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6"/>
          <w:szCs w:val="26"/>
          <w:b w:val="1"/>
          <w:bCs w:val="1"/>
          <w:color w:val="231F20"/>
        </w:rPr>
        <mc:AlternateContent>
          <mc:Choice Requires="wps">
            <w:drawing>
              <wp:anchor simplePos="0" relativeHeight="251657728" behindDoc="1" locked="0" layoutInCell="0" allowOverlap="1">
                <wp:simplePos x="0" y="0"/>
                <wp:positionH relativeFrom="page">
                  <wp:posOffset>629920</wp:posOffset>
                </wp:positionH>
                <wp:positionV relativeFrom="page">
                  <wp:posOffset>753745</wp:posOffset>
                </wp:positionV>
                <wp:extent cx="6511925" cy="0"/>
                <wp:wrapNone/>
                <wp:docPr id="1" name="Shape 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11925" cy="4763"/>
                        </a:xfrm>
                        <a:prstGeom prst="line">
                          <a:avLst/>
                        </a:prstGeom>
                        <a:solidFill>
                          <a:srgbClr val="FFFFFF"/>
                        </a:solidFill>
                        <a:ln w="5994">
                          <a:solidFill>
                            <a:srgbClr val="231F20"/>
                          </a:solidFill>
                          <a:miter lim="800000"/>
                          <a:headEnd/>
                          <a:tailEnd/>
                        </a:ln>
                      </wps:spPr>
                      <wps:bodyPr/>
                    </wps:wsp>
                  </a:graphicData>
                </a:graphic>
              </wp:anchor>
            </w:drawing>
          </mc:Choice>
          <mc:Fallback>
            <w:pict>
              <v:line id="Shape 1" o:spid="_x0000_s1026"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49.6pt,59.35pt" to="562.35pt,59.35pt" o:allowincell="f" strokecolor="#231F20" strokeweight="0.472pt">
                <w10:wrap anchorx="page" anchory="page"/>
              </v:line>
            </w:pict>
          </mc:Fallback>
        </mc:AlternateContent>
        <w:t>UNITED STATES</w:t>
      </w:r>
    </w:p>
    <w:p>
      <w:pPr>
        <w:spacing w:after="0" w:line="20" w:lineRule="exact"/>
        <w:rPr>
          <w:sz w:val="24"/>
          <w:szCs w:val="24"/>
          <w:color w:val="auto"/>
        </w:rPr>
      </w:pPr>
      <w:r>
        <w:rPr>
          <w:sz w:val="24"/>
          <w:szCs w:val="24"/>
          <w:color w:val="auto"/>
        </w:rPr>
        <mc:AlternateContent>
          <mc:Choice Requires="wps">
            <w:drawing>
              <wp:anchor simplePos="0" relativeHeight="251657728" behindDoc="1" locked="0" layoutInCell="0" allowOverlap="1">
                <wp:simplePos x="0" y="0"/>
                <wp:positionH relativeFrom="column">
                  <wp:posOffset>-17145</wp:posOffset>
                </wp:positionH>
                <wp:positionV relativeFrom="paragraph">
                  <wp:posOffset>-177165</wp:posOffset>
                </wp:positionV>
                <wp:extent cx="6511290" cy="0"/>
                <wp:wrapNone/>
                <wp:docPr id="2" name="Shape 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11290" cy="4763"/>
                        </a:xfrm>
                        <a:prstGeom prst="line">
                          <a:avLst/>
                        </a:prstGeom>
                        <a:solidFill>
                          <a:srgbClr val="FFFFFF"/>
                        </a:solidFill>
                        <a:ln w="5994">
                          <a:solidFill>
                            <a:srgbClr val="231F20"/>
                          </a:solidFill>
                          <a:miter lim="800000"/>
                          <a:headEnd/>
                          <a:tailEnd/>
                        </a:ln>
                      </wps:spPr>
                      <wps:bodyPr/>
                    </wps:wsp>
                  </a:graphicData>
                </a:graphic>
              </wp:anchor>
            </w:drawing>
          </mc:Choice>
          <mc:Fallback>
            <w:pict>
              <v:line id="Shape 2" o:spid="_x0000_s102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3499pt,-13.9499pt" to="511.35pt,-13.9499pt" o:allowincell="f" strokecolor="#231F20" strokeweight="0.472pt"/>
            </w:pict>
          </mc:Fallback>
        </mc:AlternateContent>
      </w:r>
    </w:p>
    <w:p>
      <w:pPr>
        <w:spacing w:after="0" w:line="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6"/>
          <w:szCs w:val="26"/>
          <w:b w:val="1"/>
          <w:bCs w:val="1"/>
          <w:color w:val="231F20"/>
        </w:rPr>
        <w:t>SECURITIES AND EXCHANGE COMMISSION</w:t>
      </w:r>
    </w:p>
    <w:p>
      <w:pPr>
        <w:jc w:val="center"/>
        <w:spacing w:after="0"/>
        <w:rPr>
          <w:sz w:val="20"/>
          <w:szCs w:val="20"/>
          <w:color w:val="auto"/>
        </w:rPr>
      </w:pPr>
      <w:r>
        <w:rPr>
          <w:rFonts w:ascii="Times New Roman" w:cs="Times New Roman" w:eastAsia="Times New Roman" w:hAnsi="Times New Roman"/>
          <w:sz w:val="19"/>
          <w:szCs w:val="19"/>
          <w:b w:val="1"/>
          <w:bCs w:val="1"/>
          <w:color w:val="231F20"/>
        </w:rPr>
        <w:t>Washington, D.C. 20549</w:t>
      </w:r>
    </w:p>
    <w:p>
      <w:pPr>
        <w:spacing w:after="0" w:line="20" w:lineRule="exact"/>
        <w:rPr>
          <w:sz w:val="24"/>
          <w:szCs w:val="24"/>
          <w:color w:val="auto"/>
        </w:rPr>
      </w:pPr>
      <w:r>
        <w:rPr>
          <w:sz w:val="24"/>
          <w:szCs w:val="24"/>
          <w:color w:val="auto"/>
        </w:rPr>
        <mc:AlternateContent>
          <mc:Choice Requires="wps">
            <w:drawing>
              <wp:anchor simplePos="0" relativeHeight="251657728" behindDoc="1" locked="0" layoutInCell="0" allowOverlap="1">
                <wp:simplePos x="0" y="0"/>
                <wp:positionH relativeFrom="column">
                  <wp:posOffset>2573020</wp:posOffset>
                </wp:positionH>
                <wp:positionV relativeFrom="paragraph">
                  <wp:posOffset>36830</wp:posOffset>
                </wp:positionV>
                <wp:extent cx="1330325" cy="0"/>
                <wp:wrapNone/>
                <wp:docPr id="3" name="Shape 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330325" cy="4763"/>
                        </a:xfrm>
                        <a:prstGeom prst="line">
                          <a:avLst/>
                        </a:prstGeom>
                        <a:solidFill>
                          <a:srgbClr val="FFFFFF"/>
                        </a:solidFill>
                        <a:ln w="11988">
                          <a:solidFill>
                            <a:srgbClr val="231F20"/>
                          </a:solidFill>
                          <a:miter lim="800000"/>
                          <a:headEnd/>
                          <a:tailEnd/>
                        </a:ln>
                      </wps:spPr>
                      <wps:bodyPr/>
                    </wps:wsp>
                  </a:graphicData>
                </a:graphic>
              </wp:anchor>
            </w:drawing>
          </mc:Choice>
          <mc:Fallback>
            <w:pict>
              <v:line id="Shape 3" o:spid="_x0000_s102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02.6pt,2.9pt" to="307.35pt,2.9pt" o:allowincell="f" strokecolor="#231F20" strokeweight="0.9439pt"/>
            </w:pict>
          </mc:Fallback>
        </mc:AlternateContent>
      </w:r>
    </w:p>
    <w:p>
      <w:pPr>
        <w:spacing w:after="0" w:line="3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0"/>
          <w:szCs w:val="30"/>
          <w:b w:val="1"/>
          <w:bCs w:val="1"/>
          <w:color w:val="231F20"/>
        </w:rPr>
        <w:t>FORM 10-K</w:t>
      </w:r>
    </w:p>
    <w:p>
      <w:pPr>
        <w:spacing w:after="0" w:line="48" w:lineRule="exact"/>
        <w:rPr>
          <w:sz w:val="24"/>
          <w:szCs w:val="24"/>
          <w:color w:val="auto"/>
        </w:rPr>
      </w:pPr>
    </w:p>
    <w:p>
      <w:pPr>
        <w:ind w:left="820" w:hanging="820"/>
        <w:spacing w:after="0"/>
        <w:tabs>
          <w:tab w:leader="none" w:pos="820" w:val="left"/>
        </w:tabs>
        <w:numPr>
          <w:ilvl w:val="0"/>
          <w:numId w:val="1"/>
        </w:numPr>
        <w:rPr>
          <w:rFonts w:ascii="PMingLiU" w:cs="PMingLiU" w:eastAsia="PMingLiU" w:hAnsi="PMingLiU"/>
          <w:sz w:val="19"/>
          <w:szCs w:val="19"/>
          <w:color w:val="231F20"/>
        </w:rPr>
      </w:pPr>
      <w:r>
        <w:rPr>
          <w:rFonts w:ascii="Times New Roman" w:cs="Times New Roman" w:eastAsia="Times New Roman" w:hAnsi="Times New Roman"/>
          <w:sz w:val="19"/>
          <w:szCs w:val="19"/>
          <w:b w:val="1"/>
          <w:bCs w:val="1"/>
          <w:color w:val="231F20"/>
        </w:rPr>
        <w:t>ANNUAL REPORT PURSUANT TO SECTION 13 OR 15(d) OF THE SECURITIES EXCHANGE ACT OF 1934</w:t>
      </w:r>
    </w:p>
    <w:p>
      <w:pPr>
        <w:spacing w:after="0" w:line="55" w:lineRule="exact"/>
        <w:rPr>
          <w:sz w:val="24"/>
          <w:szCs w:val="24"/>
          <w:color w:val="auto"/>
        </w:rPr>
      </w:pPr>
    </w:p>
    <w:p>
      <w:pPr>
        <w:ind w:left="3640"/>
        <w:spacing w:after="0"/>
        <w:rPr>
          <w:sz w:val="20"/>
          <w:szCs w:val="20"/>
          <w:color w:val="auto"/>
        </w:rPr>
      </w:pPr>
      <w:r>
        <w:rPr>
          <w:rFonts w:ascii="Times New Roman" w:cs="Times New Roman" w:eastAsia="Times New Roman" w:hAnsi="Times New Roman"/>
          <w:sz w:val="18"/>
          <w:szCs w:val="18"/>
          <w:b w:val="1"/>
          <w:bCs w:val="1"/>
          <w:color w:val="231F20"/>
        </w:rPr>
        <w:t>For the fiscal year ended December 31, 2024</w:t>
      </w:r>
    </w:p>
    <w:p>
      <w:pPr>
        <w:spacing w:after="0" w:line="32" w:lineRule="exact"/>
        <w:rPr>
          <w:sz w:val="24"/>
          <w:szCs w:val="24"/>
          <w:color w:val="auto"/>
        </w:rPr>
      </w:pPr>
    </w:p>
    <w:p>
      <w:pPr>
        <w:ind w:left="4960"/>
        <w:spacing w:after="0"/>
        <w:rPr>
          <w:sz w:val="20"/>
          <w:szCs w:val="20"/>
          <w:color w:val="auto"/>
        </w:rPr>
      </w:pPr>
      <w:r>
        <w:rPr>
          <w:rFonts w:ascii="Times New Roman" w:cs="Times New Roman" w:eastAsia="Times New Roman" w:hAnsi="Times New Roman"/>
          <w:sz w:val="18"/>
          <w:szCs w:val="18"/>
          <w:b w:val="1"/>
          <w:bCs w:val="1"/>
          <w:color w:val="231F20"/>
        </w:rPr>
        <w:t>OR</w:t>
      </w:r>
    </w:p>
    <w:p>
      <w:pPr>
        <w:spacing w:after="0" w:line="19" w:lineRule="exact"/>
        <w:rPr>
          <w:sz w:val="24"/>
          <w:szCs w:val="24"/>
          <w:color w:val="auto"/>
        </w:rPr>
      </w:pPr>
    </w:p>
    <w:p>
      <w:pPr>
        <w:ind w:left="820" w:right="180" w:hanging="820"/>
        <w:spacing w:after="0" w:line="242" w:lineRule="auto"/>
        <w:tabs>
          <w:tab w:leader="none" w:pos="820" w:val="left"/>
        </w:tabs>
        <w:numPr>
          <w:ilvl w:val="0"/>
          <w:numId w:val="2"/>
        </w:numPr>
        <w:rPr>
          <w:rFonts w:ascii="PMingLiU" w:cs="PMingLiU" w:eastAsia="PMingLiU" w:hAnsi="PMingLiU"/>
          <w:sz w:val="19"/>
          <w:szCs w:val="19"/>
          <w:color w:val="231F20"/>
        </w:rPr>
      </w:pPr>
      <w:r>
        <w:rPr>
          <w:rFonts w:ascii="Times New Roman" w:cs="Times New Roman" w:eastAsia="Times New Roman" w:hAnsi="Times New Roman"/>
          <w:sz w:val="19"/>
          <w:szCs w:val="19"/>
          <w:b w:val="1"/>
          <w:bCs w:val="1"/>
          <w:color w:val="231F20"/>
        </w:rPr>
        <w:t>TRANSITION REPORT PURSUANT TO SECTION 13 OR 15(d) OF THE SECURITIES EXCHANGE ACT OF 1934</w:t>
      </w:r>
    </w:p>
    <w:p>
      <w:pPr>
        <w:jc w:val="center"/>
        <w:spacing w:after="0"/>
        <w:rPr>
          <w:sz w:val="20"/>
          <w:szCs w:val="20"/>
          <w:color w:val="auto"/>
        </w:rPr>
      </w:pPr>
      <w:r>
        <w:rPr>
          <w:rFonts w:ascii="Times New Roman" w:cs="Times New Roman" w:eastAsia="Times New Roman" w:hAnsi="Times New Roman"/>
          <w:sz w:val="18"/>
          <w:szCs w:val="18"/>
          <w:b w:val="1"/>
          <w:bCs w:val="1"/>
          <w:color w:val="231F20"/>
        </w:rPr>
        <w:t>Commission file number 001-36364</w:t>
      </w:r>
    </w:p>
    <w:p>
      <w:pPr>
        <w:spacing w:after="0" w:line="5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2"/>
          <w:szCs w:val="42"/>
          <w:b w:val="1"/>
          <w:bCs w:val="1"/>
          <w:color w:val="231F20"/>
        </w:rPr>
        <w:t>Sixth Street Specialty Lending, Inc.</w:t>
      </w:r>
    </w:p>
    <w:p>
      <w:pPr>
        <w:spacing w:after="0" w:line="20" w:lineRule="exact"/>
        <w:rPr>
          <w:sz w:val="24"/>
          <w:szCs w:val="24"/>
          <w:color w:val="auto"/>
        </w:rPr>
      </w:pPr>
      <w:r>
        <w:rPr>
          <w:sz w:val="24"/>
          <w:szCs w:val="24"/>
          <w:color w:val="auto"/>
        </w:rPr>
        <mc:AlternateContent>
          <mc:Choice Requires="wps">
            <w:drawing>
              <wp:anchor simplePos="0" relativeHeight="251657728" behindDoc="1" locked="0" layoutInCell="0" allowOverlap="1">
                <wp:simplePos x="0" y="0"/>
                <wp:positionH relativeFrom="column">
                  <wp:posOffset>2573020</wp:posOffset>
                </wp:positionH>
                <wp:positionV relativeFrom="paragraph">
                  <wp:posOffset>-292100</wp:posOffset>
                </wp:positionV>
                <wp:extent cx="1330325" cy="0"/>
                <wp:wrapNone/>
                <wp:docPr id="4" name="Shape 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330325" cy="4763"/>
                        </a:xfrm>
                        <a:prstGeom prst="line">
                          <a:avLst/>
                        </a:prstGeom>
                        <a:solidFill>
                          <a:srgbClr val="FFFFFF"/>
                        </a:solidFill>
                        <a:ln w="11988">
                          <a:solidFill>
                            <a:srgbClr val="231F20"/>
                          </a:solidFill>
                          <a:miter lim="800000"/>
                          <a:headEnd/>
                          <a:tailEnd/>
                        </a:ln>
                      </wps:spPr>
                      <wps:bodyPr/>
                    </wps:wsp>
                  </a:graphicData>
                </a:graphic>
              </wp:anchor>
            </w:drawing>
          </mc:Choice>
          <mc:Fallback>
            <w:pict>
              <v:line id="Shape 4" o:spid="_x0000_s102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02.6pt,-23pt" to="307.35pt,-23pt" o:allowincell="f" strokecolor="#231F20" strokeweight="0.9439pt"/>
            </w:pict>
          </mc:Fallback>
        </mc:AlternateContent>
      </w:r>
    </w:p>
    <w:p>
      <w:pPr>
        <w:spacing w:after="0" w:line="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231F20"/>
        </w:rPr>
        <w:t>(Exact Name of Registrant as Specified in Its Charter)</w:t>
      </w:r>
    </w:p>
    <w:tbl>
      <w:tblPr>
        <w:tblLayout w:type="fixed"/>
        <w:tblInd w:w="1160" w:type="dxa"/>
        <w:tblCellMar>
          <w:top w:w="0" w:type="dxa"/>
          <w:left w:w="0" w:type="dxa"/>
          <w:bottom w:w="0" w:type="dxa"/>
          <w:right w:w="0" w:type="dxa"/>
        </w:tblCellMar>
      </w:tblPr>
      <w:tr>
        <w:trPr>
          <w:trHeight w:val="205"/>
        </w:trPr>
        <w:tc>
          <w:tcPr>
            <w:tcW w:w="4360" w:type="dxa"/>
            <w:vAlign w:val="bottom"/>
          </w:tcPr>
          <w:p>
            <w:pPr>
              <w:jc w:val="center"/>
              <w:ind w:right="1500"/>
              <w:spacing w:after="0" w:line="205" w:lineRule="exact"/>
              <w:rPr>
                <w:sz w:val="20"/>
                <w:szCs w:val="20"/>
                <w:color w:val="auto"/>
              </w:rPr>
            </w:pPr>
            <w:r>
              <w:rPr>
                <w:rFonts w:ascii="Times New Roman" w:cs="Times New Roman" w:eastAsia="Times New Roman" w:hAnsi="Times New Roman"/>
                <w:sz w:val="18"/>
                <w:szCs w:val="18"/>
                <w:b w:val="1"/>
                <w:bCs w:val="1"/>
                <w:color w:val="231F20"/>
              </w:rPr>
              <w:t>Delaware</w:t>
            </w:r>
          </w:p>
        </w:tc>
        <w:tc>
          <w:tcPr>
            <w:tcW w:w="2680" w:type="dxa"/>
            <w:vAlign w:val="bottom"/>
          </w:tcPr>
          <w:p>
            <w:pPr>
              <w:jc w:val="right"/>
              <w:ind w:right="42"/>
              <w:spacing w:after="0" w:line="205" w:lineRule="exact"/>
              <w:rPr>
                <w:sz w:val="20"/>
                <w:szCs w:val="20"/>
                <w:color w:val="auto"/>
              </w:rPr>
            </w:pPr>
            <w:r>
              <w:rPr>
                <w:rFonts w:ascii="Times New Roman" w:cs="Times New Roman" w:eastAsia="Times New Roman" w:hAnsi="Times New Roman"/>
                <w:sz w:val="18"/>
                <w:szCs w:val="18"/>
                <w:b w:val="1"/>
                <w:bCs w:val="1"/>
                <w:color w:val="231F20"/>
              </w:rPr>
              <w:t>27-3380000</w:t>
            </w:r>
          </w:p>
        </w:tc>
      </w:tr>
      <w:tr>
        <w:trPr>
          <w:trHeight w:val="155"/>
        </w:trPr>
        <w:tc>
          <w:tcPr>
            <w:tcW w:w="4360" w:type="dxa"/>
            <w:vAlign w:val="bottom"/>
          </w:tcPr>
          <w:p>
            <w:pPr>
              <w:jc w:val="center"/>
              <w:ind w:right="1500"/>
              <w:spacing w:after="0" w:line="155" w:lineRule="exact"/>
              <w:rPr>
                <w:sz w:val="20"/>
                <w:szCs w:val="20"/>
                <w:color w:val="auto"/>
              </w:rPr>
            </w:pPr>
            <w:r>
              <w:rPr>
                <w:rFonts w:ascii="Times New Roman" w:cs="Times New Roman" w:eastAsia="Times New Roman" w:hAnsi="Times New Roman"/>
                <w:sz w:val="14"/>
                <w:szCs w:val="14"/>
                <w:b w:val="1"/>
                <w:bCs w:val="1"/>
                <w:color w:val="231F20"/>
              </w:rPr>
              <w:t>(State or other jurisdiction of</w:t>
            </w:r>
          </w:p>
        </w:tc>
        <w:tc>
          <w:tcPr>
            <w:tcW w:w="2680" w:type="dxa"/>
            <w:vAlign w:val="bottom"/>
          </w:tcPr>
          <w:p>
            <w:pPr>
              <w:jc w:val="center"/>
              <w:ind w:left="1502"/>
              <w:spacing w:after="0" w:line="155" w:lineRule="exact"/>
              <w:rPr>
                <w:sz w:val="20"/>
                <w:szCs w:val="20"/>
                <w:color w:val="auto"/>
              </w:rPr>
            </w:pPr>
            <w:r>
              <w:rPr>
                <w:rFonts w:ascii="Times New Roman" w:cs="Times New Roman" w:eastAsia="Times New Roman" w:hAnsi="Times New Roman"/>
                <w:sz w:val="14"/>
                <w:szCs w:val="14"/>
                <w:b w:val="1"/>
                <w:bCs w:val="1"/>
                <w:color w:val="231F20"/>
              </w:rPr>
              <w:t>(I.R.S. Employer</w:t>
            </w:r>
          </w:p>
        </w:tc>
      </w:tr>
      <w:tr>
        <w:trPr>
          <w:trHeight w:val="194"/>
        </w:trPr>
        <w:tc>
          <w:tcPr>
            <w:tcW w:w="4360" w:type="dxa"/>
            <w:vAlign w:val="bottom"/>
          </w:tcPr>
          <w:p>
            <w:pPr>
              <w:jc w:val="center"/>
              <w:ind w:right="1500"/>
              <w:spacing w:after="0"/>
              <w:rPr>
                <w:sz w:val="20"/>
                <w:szCs w:val="20"/>
                <w:color w:val="auto"/>
              </w:rPr>
            </w:pPr>
            <w:r>
              <w:rPr>
                <w:rFonts w:ascii="Times New Roman" w:cs="Times New Roman" w:eastAsia="Times New Roman" w:hAnsi="Times New Roman"/>
                <w:sz w:val="14"/>
                <w:szCs w:val="14"/>
                <w:b w:val="1"/>
                <w:bCs w:val="1"/>
                <w:color w:val="231F20"/>
              </w:rPr>
              <w:t>incorporation or organization)</w:t>
            </w:r>
          </w:p>
        </w:tc>
        <w:tc>
          <w:tcPr>
            <w:tcW w:w="2680" w:type="dxa"/>
            <w:vAlign w:val="bottom"/>
          </w:tcPr>
          <w:p>
            <w:pPr>
              <w:jc w:val="center"/>
              <w:ind w:left="1502"/>
              <w:spacing w:after="0"/>
              <w:rPr>
                <w:sz w:val="20"/>
                <w:szCs w:val="20"/>
                <w:color w:val="auto"/>
              </w:rPr>
            </w:pPr>
            <w:r>
              <w:rPr>
                <w:rFonts w:ascii="Times New Roman" w:cs="Times New Roman" w:eastAsia="Times New Roman" w:hAnsi="Times New Roman"/>
                <w:sz w:val="14"/>
                <w:szCs w:val="14"/>
                <w:b w:val="1"/>
                <w:bCs w:val="1"/>
                <w:color w:val="231F20"/>
              </w:rPr>
              <w:t>Identification No.)</w:t>
            </w:r>
          </w:p>
        </w:tc>
      </w:tr>
      <w:tr>
        <w:trPr>
          <w:trHeight w:val="212"/>
        </w:trPr>
        <w:tc>
          <w:tcPr>
            <w:tcW w:w="4360" w:type="dxa"/>
            <w:vAlign w:val="bottom"/>
          </w:tcPr>
          <w:p>
            <w:pPr>
              <w:jc w:val="center"/>
              <w:ind w:right="1500"/>
              <w:spacing w:after="0"/>
              <w:rPr>
                <w:sz w:val="20"/>
                <w:szCs w:val="20"/>
                <w:color w:val="auto"/>
              </w:rPr>
            </w:pPr>
            <w:r>
              <w:rPr>
                <w:rFonts w:ascii="Times New Roman" w:cs="Times New Roman" w:eastAsia="Times New Roman" w:hAnsi="Times New Roman"/>
                <w:sz w:val="18"/>
                <w:szCs w:val="18"/>
                <w:b w:val="1"/>
                <w:bCs w:val="1"/>
                <w:color w:val="231F20"/>
              </w:rPr>
              <w:t>2100 McKinney Avenue, Suite 1500,</w:t>
            </w:r>
          </w:p>
        </w:tc>
        <w:tc>
          <w:tcPr>
            <w:tcW w:w="2680" w:type="dxa"/>
            <w:vAlign w:val="bottom"/>
          </w:tcPr>
          <w:p>
            <w:pPr>
              <w:spacing w:after="0"/>
              <w:rPr>
                <w:sz w:val="18"/>
                <w:szCs w:val="18"/>
                <w:color w:val="auto"/>
              </w:rPr>
            </w:pPr>
          </w:p>
        </w:tc>
      </w:tr>
      <w:tr>
        <w:trPr>
          <w:trHeight w:val="216"/>
        </w:trPr>
        <w:tc>
          <w:tcPr>
            <w:tcW w:w="4360" w:type="dxa"/>
            <w:vAlign w:val="bottom"/>
          </w:tcPr>
          <w:p>
            <w:pPr>
              <w:jc w:val="center"/>
              <w:ind w:right="1500"/>
              <w:spacing w:after="0"/>
              <w:rPr>
                <w:sz w:val="20"/>
                <w:szCs w:val="20"/>
                <w:color w:val="auto"/>
              </w:rPr>
            </w:pPr>
            <w:r>
              <w:rPr>
                <w:rFonts w:ascii="Times New Roman" w:cs="Times New Roman" w:eastAsia="Times New Roman" w:hAnsi="Times New Roman"/>
                <w:sz w:val="18"/>
                <w:szCs w:val="18"/>
                <w:b w:val="1"/>
                <w:bCs w:val="1"/>
                <w:color w:val="231F20"/>
                <w:w w:val="99"/>
              </w:rPr>
              <w:t>Dallas, TX</w:t>
            </w:r>
          </w:p>
        </w:tc>
        <w:tc>
          <w:tcPr>
            <w:tcW w:w="2680" w:type="dxa"/>
            <w:vAlign w:val="bottom"/>
          </w:tcPr>
          <w:p>
            <w:pPr>
              <w:jc w:val="right"/>
              <w:ind w:right="242"/>
              <w:spacing w:after="0"/>
              <w:rPr>
                <w:sz w:val="20"/>
                <w:szCs w:val="20"/>
                <w:color w:val="auto"/>
              </w:rPr>
            </w:pPr>
            <w:r>
              <w:rPr>
                <w:rFonts w:ascii="Times New Roman" w:cs="Times New Roman" w:eastAsia="Times New Roman" w:hAnsi="Times New Roman"/>
                <w:sz w:val="18"/>
                <w:szCs w:val="18"/>
                <w:b w:val="1"/>
                <w:bCs w:val="1"/>
                <w:color w:val="231F20"/>
              </w:rPr>
              <w:t>75201</w:t>
            </w:r>
          </w:p>
        </w:tc>
      </w:tr>
      <w:tr>
        <w:trPr>
          <w:trHeight w:val="194"/>
        </w:trPr>
        <w:tc>
          <w:tcPr>
            <w:tcW w:w="4360" w:type="dxa"/>
            <w:vAlign w:val="bottom"/>
          </w:tcPr>
          <w:p>
            <w:pPr>
              <w:jc w:val="center"/>
              <w:ind w:right="1500"/>
              <w:spacing w:after="0"/>
              <w:rPr>
                <w:sz w:val="20"/>
                <w:szCs w:val="20"/>
                <w:color w:val="auto"/>
              </w:rPr>
            </w:pPr>
            <w:r>
              <w:rPr>
                <w:rFonts w:ascii="Times New Roman" w:cs="Times New Roman" w:eastAsia="Times New Roman" w:hAnsi="Times New Roman"/>
                <w:sz w:val="14"/>
                <w:szCs w:val="14"/>
                <w:b w:val="1"/>
                <w:bCs w:val="1"/>
                <w:color w:val="231F20"/>
              </w:rPr>
              <w:t>(Address of principal executive offices)</w:t>
            </w:r>
          </w:p>
        </w:tc>
        <w:tc>
          <w:tcPr>
            <w:tcW w:w="2680" w:type="dxa"/>
            <w:vAlign w:val="bottom"/>
          </w:tcPr>
          <w:p>
            <w:pPr>
              <w:jc w:val="center"/>
              <w:ind w:left="1502"/>
              <w:spacing w:after="0"/>
              <w:rPr>
                <w:sz w:val="20"/>
                <w:szCs w:val="20"/>
                <w:color w:val="auto"/>
              </w:rPr>
            </w:pPr>
            <w:r>
              <w:rPr>
                <w:rFonts w:ascii="Times New Roman" w:cs="Times New Roman" w:eastAsia="Times New Roman" w:hAnsi="Times New Roman"/>
                <w:sz w:val="14"/>
                <w:szCs w:val="14"/>
                <w:b w:val="1"/>
                <w:bCs w:val="1"/>
                <w:color w:val="231F20"/>
              </w:rPr>
              <w:t>(Zip Code)</w:t>
            </w:r>
          </w:p>
        </w:tc>
      </w:tr>
    </w:tbl>
    <w:p>
      <w:pPr>
        <w:jc w:val="center"/>
        <w:spacing w:after="0"/>
        <w:rPr>
          <w:sz w:val="20"/>
          <w:szCs w:val="20"/>
          <w:color w:val="auto"/>
        </w:rPr>
      </w:pPr>
      <w:r>
        <w:rPr>
          <w:rFonts w:ascii="Times New Roman" w:cs="Times New Roman" w:eastAsia="Times New Roman" w:hAnsi="Times New Roman"/>
          <w:sz w:val="18"/>
          <w:szCs w:val="18"/>
          <w:b w:val="1"/>
          <w:bCs w:val="1"/>
          <w:color w:val="231F20"/>
        </w:rPr>
        <w:t>Registrant’s Telephone Number, Including Area Code: (469) 621-3001</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231F20"/>
        </w:rPr>
        <w:t>Securities registered pursuant to Section 12(b) of the Act:</w:t>
      </w:r>
    </w:p>
    <w:p>
      <w:pPr>
        <w:spacing w:after="0" w:line="27" w:lineRule="exact"/>
        <w:rPr>
          <w:sz w:val="24"/>
          <w:szCs w:val="24"/>
          <w:color w:val="auto"/>
        </w:rPr>
      </w:pPr>
    </w:p>
    <w:tbl>
      <w:tblPr>
        <w:tblLayout w:type="fixed"/>
        <w:tblInd w:w="10" w:type="dxa"/>
        <w:tblCellMar>
          <w:top w:w="0" w:type="dxa"/>
          <w:left w:w="0" w:type="dxa"/>
          <w:bottom w:w="0" w:type="dxa"/>
          <w:right w:w="0" w:type="dxa"/>
        </w:tblCellMar>
      </w:tblPr>
      <w:tr>
        <w:trPr>
          <w:trHeight w:val="164"/>
        </w:trPr>
        <w:tc>
          <w:tcPr>
            <w:tcW w:w="3420" w:type="dxa"/>
            <w:vAlign w:val="bottom"/>
            <w:tcBorders>
              <w:top w:val="single" w:sz="8" w:color="231F20"/>
              <w:left w:val="single" w:sz="8" w:color="231F20"/>
              <w:bottom w:val="single" w:sz="8" w:color="231F20"/>
              <w:right w:val="single" w:sz="8" w:color="231F20"/>
            </w:tcBorders>
          </w:tcPr>
          <w:p>
            <w:pPr>
              <w:jc w:val="center"/>
              <w:spacing w:after="0"/>
              <w:rPr>
                <w:sz w:val="20"/>
                <w:szCs w:val="20"/>
                <w:color w:val="auto"/>
              </w:rPr>
            </w:pPr>
            <w:r>
              <w:rPr>
                <w:rFonts w:ascii="Times New Roman" w:cs="Times New Roman" w:eastAsia="Times New Roman" w:hAnsi="Times New Roman"/>
                <w:sz w:val="14"/>
                <w:szCs w:val="14"/>
                <w:b w:val="1"/>
                <w:bCs w:val="1"/>
                <w:color w:val="231F20"/>
              </w:rPr>
              <w:t>Title of each class</w:t>
            </w:r>
          </w:p>
        </w:tc>
        <w:tc>
          <w:tcPr>
            <w:tcW w:w="640" w:type="dxa"/>
            <w:vAlign w:val="bottom"/>
            <w:tcBorders>
              <w:top w:val="single" w:sz="8" w:color="231F20"/>
              <w:bottom w:val="single" w:sz="8" w:color="231F20"/>
            </w:tcBorders>
          </w:tcPr>
          <w:p>
            <w:pPr>
              <w:spacing w:after="0"/>
              <w:rPr>
                <w:sz w:val="14"/>
                <w:szCs w:val="14"/>
                <w:color w:val="auto"/>
              </w:rPr>
            </w:pPr>
          </w:p>
        </w:tc>
        <w:tc>
          <w:tcPr>
            <w:tcW w:w="2760" w:type="dxa"/>
            <w:vAlign w:val="bottom"/>
            <w:tcBorders>
              <w:top w:val="single" w:sz="8" w:color="231F20"/>
              <w:bottom w:val="single" w:sz="8" w:color="231F20"/>
              <w:right w:val="single" w:sz="8" w:color="231F20"/>
            </w:tcBorders>
            <w:gridSpan w:val="2"/>
          </w:tcPr>
          <w:p>
            <w:pPr>
              <w:jc w:val="center"/>
              <w:ind w:right="570"/>
              <w:spacing w:after="0"/>
              <w:rPr>
                <w:sz w:val="20"/>
                <w:szCs w:val="20"/>
                <w:color w:val="auto"/>
              </w:rPr>
            </w:pPr>
            <w:r>
              <w:rPr>
                <w:rFonts w:ascii="Times New Roman" w:cs="Times New Roman" w:eastAsia="Times New Roman" w:hAnsi="Times New Roman"/>
                <w:sz w:val="14"/>
                <w:szCs w:val="14"/>
                <w:b w:val="1"/>
                <w:bCs w:val="1"/>
                <w:color w:val="231F20"/>
              </w:rPr>
              <w:t>Trading Symbol(s)</w:t>
            </w:r>
          </w:p>
        </w:tc>
        <w:tc>
          <w:tcPr>
            <w:tcW w:w="3400" w:type="dxa"/>
            <w:vAlign w:val="bottom"/>
            <w:tcBorders>
              <w:top w:val="single" w:sz="8" w:color="231F20"/>
              <w:bottom w:val="single" w:sz="8" w:color="231F20"/>
              <w:right w:val="single" w:sz="8" w:color="231F20"/>
            </w:tcBorders>
            <w:gridSpan w:val="3"/>
          </w:tcPr>
          <w:p>
            <w:pPr>
              <w:jc w:val="center"/>
              <w:spacing w:after="0"/>
              <w:rPr>
                <w:sz w:val="20"/>
                <w:szCs w:val="20"/>
                <w:color w:val="auto"/>
              </w:rPr>
            </w:pPr>
            <w:r>
              <w:rPr>
                <w:rFonts w:ascii="Times New Roman" w:cs="Times New Roman" w:eastAsia="Times New Roman" w:hAnsi="Times New Roman"/>
                <w:sz w:val="14"/>
                <w:szCs w:val="14"/>
                <w:b w:val="1"/>
                <w:bCs w:val="1"/>
                <w:color w:val="231F20"/>
              </w:rPr>
              <w:t>Name of each exchange on which registered</w:t>
            </w:r>
          </w:p>
        </w:tc>
        <w:tc>
          <w:tcPr>
            <w:tcW w:w="0" w:type="dxa"/>
            <w:vAlign w:val="bottom"/>
          </w:tcPr>
          <w:p>
            <w:pPr>
              <w:spacing w:after="0"/>
              <w:rPr>
                <w:sz w:val="1"/>
                <w:szCs w:val="1"/>
                <w:color w:val="auto"/>
              </w:rPr>
            </w:pPr>
          </w:p>
        </w:tc>
      </w:tr>
      <w:tr>
        <w:trPr>
          <w:trHeight w:val="242"/>
        </w:trPr>
        <w:tc>
          <w:tcPr>
            <w:tcW w:w="3420" w:type="dxa"/>
            <w:vAlign w:val="bottom"/>
            <w:tcBorders>
              <w:left w:val="single" w:sz="8" w:color="231F20"/>
              <w:bottom w:val="single" w:sz="8" w:color="231F20"/>
              <w:right w:val="single" w:sz="8" w:color="231F20"/>
            </w:tcBorders>
          </w:tcPr>
          <w:p>
            <w:pPr>
              <w:jc w:val="center"/>
              <w:spacing w:after="0"/>
              <w:rPr>
                <w:sz w:val="20"/>
                <w:szCs w:val="20"/>
                <w:color w:val="auto"/>
              </w:rPr>
            </w:pPr>
            <w:r>
              <w:rPr>
                <w:rFonts w:ascii="Times New Roman" w:cs="Times New Roman" w:eastAsia="Times New Roman" w:hAnsi="Times New Roman"/>
                <w:sz w:val="18"/>
                <w:szCs w:val="18"/>
                <w:b w:val="1"/>
                <w:bCs w:val="1"/>
                <w:color w:val="231F20"/>
                <w:w w:val="99"/>
              </w:rPr>
              <w:t>Common Stock, par value $0.01 per share</w:t>
            </w:r>
          </w:p>
        </w:tc>
        <w:tc>
          <w:tcPr>
            <w:tcW w:w="640" w:type="dxa"/>
            <w:vAlign w:val="bottom"/>
            <w:tcBorders>
              <w:bottom w:val="single" w:sz="8" w:color="231F20"/>
            </w:tcBorders>
          </w:tcPr>
          <w:p>
            <w:pPr>
              <w:spacing w:after="0"/>
              <w:rPr>
                <w:sz w:val="21"/>
                <w:szCs w:val="21"/>
                <w:color w:val="auto"/>
              </w:rPr>
            </w:pPr>
          </w:p>
        </w:tc>
        <w:tc>
          <w:tcPr>
            <w:tcW w:w="2760" w:type="dxa"/>
            <w:vAlign w:val="bottom"/>
            <w:tcBorders>
              <w:bottom w:val="single" w:sz="8" w:color="231F20"/>
              <w:right w:val="single" w:sz="8" w:color="231F20"/>
            </w:tcBorders>
            <w:gridSpan w:val="2"/>
          </w:tcPr>
          <w:p>
            <w:pPr>
              <w:jc w:val="center"/>
              <w:ind w:right="590"/>
              <w:spacing w:after="0"/>
              <w:rPr>
                <w:sz w:val="20"/>
                <w:szCs w:val="20"/>
                <w:color w:val="auto"/>
              </w:rPr>
            </w:pPr>
            <w:r>
              <w:rPr>
                <w:rFonts w:ascii="Times New Roman" w:cs="Times New Roman" w:eastAsia="Times New Roman" w:hAnsi="Times New Roman"/>
                <w:sz w:val="18"/>
                <w:szCs w:val="18"/>
                <w:b w:val="1"/>
                <w:bCs w:val="1"/>
                <w:color w:val="231F20"/>
              </w:rPr>
              <w:t>TSLX</w:t>
            </w:r>
          </w:p>
        </w:tc>
        <w:tc>
          <w:tcPr>
            <w:tcW w:w="3400" w:type="dxa"/>
            <w:vAlign w:val="bottom"/>
            <w:tcBorders>
              <w:bottom w:val="single" w:sz="8" w:color="231F20"/>
              <w:right w:val="single" w:sz="8" w:color="231F20"/>
            </w:tcBorders>
            <w:gridSpan w:val="3"/>
          </w:tcPr>
          <w:p>
            <w:pPr>
              <w:jc w:val="center"/>
              <w:spacing w:after="0"/>
              <w:rPr>
                <w:sz w:val="20"/>
                <w:szCs w:val="20"/>
                <w:color w:val="auto"/>
              </w:rPr>
            </w:pPr>
            <w:r>
              <w:rPr>
                <w:rFonts w:ascii="Times New Roman" w:cs="Times New Roman" w:eastAsia="Times New Roman" w:hAnsi="Times New Roman"/>
                <w:sz w:val="18"/>
                <w:szCs w:val="18"/>
                <w:b w:val="1"/>
                <w:bCs w:val="1"/>
                <w:color w:val="231F20"/>
                <w:w w:val="99"/>
              </w:rPr>
              <w:t>The New York Stock Exchange</w:t>
            </w:r>
          </w:p>
        </w:tc>
        <w:tc>
          <w:tcPr>
            <w:tcW w:w="0" w:type="dxa"/>
            <w:vAlign w:val="bottom"/>
          </w:tcPr>
          <w:p>
            <w:pPr>
              <w:spacing w:after="0"/>
              <w:rPr>
                <w:sz w:val="1"/>
                <w:szCs w:val="1"/>
                <w:color w:val="auto"/>
              </w:rPr>
            </w:pPr>
          </w:p>
        </w:tc>
      </w:tr>
      <w:tr>
        <w:trPr>
          <w:trHeight w:val="232"/>
        </w:trPr>
        <w:tc>
          <w:tcPr>
            <w:tcW w:w="8600" w:type="dxa"/>
            <w:vAlign w:val="bottom"/>
            <w:gridSpan w:val="5"/>
          </w:tcPr>
          <w:p>
            <w:pPr>
              <w:jc w:val="center"/>
              <w:ind w:left="1514"/>
              <w:spacing w:after="0"/>
              <w:rPr>
                <w:sz w:val="20"/>
                <w:szCs w:val="20"/>
                <w:color w:val="auto"/>
              </w:rPr>
            </w:pPr>
            <w:r>
              <w:rPr>
                <w:rFonts w:ascii="Times New Roman" w:cs="Times New Roman" w:eastAsia="Times New Roman" w:hAnsi="Times New Roman"/>
                <w:sz w:val="18"/>
                <w:szCs w:val="18"/>
                <w:b w:val="1"/>
                <w:bCs w:val="1"/>
                <w:color w:val="231F20"/>
                <w:w w:val="99"/>
              </w:rPr>
              <w:t>Securities registered pursuant to Section 12(g) of the Act: None</w:t>
            </w:r>
          </w:p>
        </w:tc>
        <w:tc>
          <w:tcPr>
            <w:tcW w:w="7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6"/>
        </w:trPr>
        <w:tc>
          <w:tcPr>
            <w:tcW w:w="34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2760" w:type="dxa"/>
            <w:vAlign w:val="bottom"/>
            <w:gridSpan w:val="2"/>
          </w:tcPr>
          <w:p>
            <w:pPr>
              <w:jc w:val="center"/>
              <w:ind w:right="590"/>
              <w:spacing w:after="0"/>
              <w:rPr>
                <w:sz w:val="20"/>
                <w:szCs w:val="20"/>
                <w:color w:val="auto"/>
              </w:rPr>
            </w:pPr>
            <w:r>
              <w:rPr>
                <w:rFonts w:ascii="Times New Roman" w:cs="Times New Roman" w:eastAsia="Times New Roman" w:hAnsi="Times New Roman"/>
                <w:sz w:val="18"/>
                <w:szCs w:val="18"/>
                <w:b w:val="1"/>
                <w:bCs w:val="1"/>
                <w:color w:val="231F20"/>
                <w:w w:val="99"/>
              </w:rPr>
              <w:t>(Title of class)</w:t>
            </w:r>
          </w:p>
        </w:tc>
        <w:tc>
          <w:tcPr>
            <w:tcW w:w="17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60"/>
        </w:trPr>
        <w:tc>
          <w:tcPr>
            <w:tcW w:w="8600" w:type="dxa"/>
            <w:vAlign w:val="bottom"/>
            <w:gridSpan w:val="5"/>
          </w:tcPr>
          <w:p>
            <w:pPr>
              <w:spacing w:after="0"/>
              <w:rPr>
                <w:sz w:val="5"/>
                <w:szCs w:val="5"/>
                <w:color w:val="auto"/>
              </w:rPr>
            </w:pPr>
          </w:p>
        </w:tc>
        <w:tc>
          <w:tcPr>
            <w:tcW w:w="700" w:type="dxa"/>
            <w:vAlign w:val="bottom"/>
            <w:vMerge w:val="restart"/>
          </w:tcPr>
          <w:p>
            <w:pPr>
              <w:ind w:left="20"/>
              <w:spacing w:after="0" w:line="219" w:lineRule="exact"/>
              <w:rPr>
                <w:sz w:val="20"/>
                <w:szCs w:val="20"/>
                <w:color w:val="auto"/>
              </w:rPr>
            </w:pPr>
            <w:r>
              <w:rPr>
                <w:rFonts w:ascii="Times New Roman" w:cs="Times New Roman" w:eastAsia="Times New Roman" w:hAnsi="Times New Roman"/>
                <w:sz w:val="18"/>
                <w:szCs w:val="18"/>
                <w:color w:val="231F20"/>
              </w:rPr>
              <w:t xml:space="preserve">Yes </w:t>
            </w:r>
            <w:r>
              <w:rPr>
                <w:rFonts w:ascii="PMingLiU" w:cs="PMingLiU" w:eastAsia="PMingLiU" w:hAnsi="PMingLiU"/>
                <w:sz w:val="18"/>
                <w:szCs w:val="18"/>
                <w:color w:val="231F20"/>
              </w:rPr>
              <w:t/>
            </w:r>
          </w:p>
        </w:tc>
        <w:tc>
          <w:tcPr>
            <w:tcW w:w="920" w:type="dxa"/>
            <w:vAlign w:val="bottom"/>
            <w:vMerge w:val="restart"/>
          </w:tcPr>
          <w:p>
            <w:pPr>
              <w:ind w:left="20"/>
              <w:spacing w:after="0" w:line="219" w:lineRule="exact"/>
              <w:rPr>
                <w:sz w:val="20"/>
                <w:szCs w:val="20"/>
                <w:color w:val="auto"/>
              </w:rPr>
            </w:pPr>
            <w:r>
              <w:rPr>
                <w:rFonts w:ascii="Times New Roman" w:cs="Times New Roman" w:eastAsia="Times New Roman" w:hAnsi="Times New Roman"/>
                <w:sz w:val="18"/>
                <w:szCs w:val="18"/>
                <w:color w:val="231F20"/>
              </w:rPr>
              <w:t xml:space="preserve">No </w:t>
            </w:r>
            <w:r>
              <w:rPr>
                <w:rFonts w:ascii="PMingLiU" w:cs="PMingLiU" w:eastAsia="PMingLiU" w:hAnsi="PMingLiU"/>
                <w:sz w:val="18"/>
                <w:szCs w:val="18"/>
                <w:color w:val="231F20"/>
              </w:rPr>
              <w:t/>
            </w:r>
          </w:p>
        </w:tc>
        <w:tc>
          <w:tcPr>
            <w:tcW w:w="0" w:type="dxa"/>
            <w:vAlign w:val="bottom"/>
          </w:tcPr>
          <w:p>
            <w:pPr>
              <w:spacing w:after="0"/>
              <w:rPr>
                <w:sz w:val="1"/>
                <w:szCs w:val="1"/>
                <w:color w:val="auto"/>
              </w:rPr>
            </w:pPr>
          </w:p>
        </w:tc>
      </w:tr>
      <w:tr>
        <w:trPr>
          <w:trHeight w:val="234"/>
        </w:trPr>
        <w:tc>
          <w:tcPr>
            <w:tcW w:w="4060" w:type="dxa"/>
            <w:vAlign w:val="bottom"/>
            <w:gridSpan w:val="2"/>
          </w:tcPr>
          <w:p>
            <w:pPr>
              <w:spacing w:after="0"/>
              <w:rPr>
                <w:sz w:val="20"/>
                <w:szCs w:val="20"/>
                <w:color w:val="auto"/>
              </w:rPr>
            </w:pPr>
            <w:r>
              <w:rPr>
                <w:rFonts w:ascii="Times New Roman" w:cs="Times New Roman" w:eastAsia="Times New Roman" w:hAnsi="Times New Roman"/>
                <w:sz w:val="18"/>
                <w:szCs w:val="18"/>
                <w:color w:val="231F20"/>
              </w:rPr>
              <w:t>Indicate by check mark if the registrant is a well-known</w:t>
            </w:r>
          </w:p>
        </w:tc>
        <w:tc>
          <w:tcPr>
            <w:tcW w:w="2080" w:type="dxa"/>
            <w:vAlign w:val="bottom"/>
            <w:tcBorders>
              <w:top w:val="single" w:sz="8" w:color="231F20"/>
            </w:tcBorders>
          </w:tcPr>
          <w:p>
            <w:pPr>
              <w:jc w:val="center"/>
              <w:spacing w:after="0"/>
              <w:rPr>
                <w:sz w:val="20"/>
                <w:szCs w:val="20"/>
                <w:color w:val="auto"/>
              </w:rPr>
            </w:pPr>
            <w:r>
              <w:rPr>
                <w:rFonts w:ascii="Times New Roman" w:cs="Times New Roman" w:eastAsia="Times New Roman" w:hAnsi="Times New Roman"/>
                <w:sz w:val="18"/>
                <w:szCs w:val="18"/>
                <w:color w:val="231F20"/>
                <w:w w:val="97"/>
              </w:rPr>
              <w:t>seasoned issuer, as defined in</w:t>
            </w:r>
          </w:p>
        </w:tc>
        <w:tc>
          <w:tcPr>
            <w:tcW w:w="24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231F20"/>
              </w:rPr>
              <w:t>Rule 405 of the Securities Act.</w:t>
            </w:r>
          </w:p>
        </w:tc>
        <w:tc>
          <w:tcPr>
            <w:tcW w:w="700" w:type="dxa"/>
            <w:vAlign w:val="bottom"/>
            <w:vMerge w:val="continue"/>
          </w:tcPr>
          <w:p>
            <w:pPr>
              <w:spacing w:after="0"/>
              <w:rPr>
                <w:sz w:val="20"/>
                <w:szCs w:val="20"/>
                <w:color w:val="auto"/>
              </w:rPr>
            </w:pPr>
          </w:p>
        </w:tc>
        <w:tc>
          <w:tcPr>
            <w:tcW w:w="9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92"/>
        </w:trPr>
        <w:tc>
          <w:tcPr>
            <w:tcW w:w="8600" w:type="dxa"/>
            <w:vAlign w:val="bottom"/>
            <w:gridSpan w:val="5"/>
          </w:tcPr>
          <w:p>
            <w:pPr>
              <w:spacing w:after="0"/>
              <w:rPr>
                <w:sz w:val="20"/>
                <w:szCs w:val="20"/>
                <w:color w:val="auto"/>
              </w:rPr>
            </w:pPr>
            <w:r>
              <w:rPr>
                <w:rFonts w:ascii="Times New Roman" w:cs="Times New Roman" w:eastAsia="Times New Roman" w:hAnsi="Times New Roman"/>
                <w:sz w:val="18"/>
                <w:szCs w:val="18"/>
                <w:color w:val="231F20"/>
                <w:w w:val="99"/>
              </w:rPr>
              <w:t>Indicate by check mark if the registrant is not required to file reports pursuant to Section 13 or Section 15(d) of the Act.</w:t>
            </w:r>
          </w:p>
        </w:tc>
        <w:tc>
          <w:tcPr>
            <w:tcW w:w="700" w:type="dxa"/>
            <w:vAlign w:val="bottom"/>
          </w:tcPr>
          <w:p>
            <w:pPr>
              <w:ind w:left="160"/>
              <w:spacing w:after="0" w:line="219" w:lineRule="exact"/>
              <w:rPr>
                <w:sz w:val="20"/>
                <w:szCs w:val="20"/>
                <w:color w:val="auto"/>
              </w:rPr>
            </w:pPr>
            <w:r>
              <w:rPr>
                <w:rFonts w:ascii="Times New Roman" w:cs="Times New Roman" w:eastAsia="Times New Roman" w:hAnsi="Times New Roman"/>
                <w:sz w:val="18"/>
                <w:szCs w:val="18"/>
                <w:color w:val="231F20"/>
              </w:rPr>
              <w:t xml:space="preserve">Yes </w:t>
            </w:r>
            <w:r>
              <w:rPr>
                <w:rFonts w:ascii="PMingLiU" w:cs="PMingLiU" w:eastAsia="PMingLiU" w:hAnsi="PMingLiU"/>
                <w:sz w:val="18"/>
                <w:szCs w:val="18"/>
                <w:color w:val="231F20"/>
              </w:rPr>
              <w:t/>
            </w:r>
          </w:p>
        </w:tc>
        <w:tc>
          <w:tcPr>
            <w:tcW w:w="920" w:type="dxa"/>
            <w:vAlign w:val="bottom"/>
          </w:tcPr>
          <w:p>
            <w:pPr>
              <w:ind w:left="160"/>
              <w:spacing w:after="0" w:line="219" w:lineRule="exact"/>
              <w:rPr>
                <w:sz w:val="20"/>
                <w:szCs w:val="20"/>
                <w:color w:val="auto"/>
              </w:rPr>
            </w:pPr>
            <w:r>
              <w:rPr>
                <w:rFonts w:ascii="Times New Roman" w:cs="Times New Roman" w:eastAsia="Times New Roman" w:hAnsi="Times New Roman"/>
                <w:sz w:val="18"/>
                <w:szCs w:val="18"/>
                <w:color w:val="231F20"/>
              </w:rPr>
              <w:t xml:space="preserve">No </w:t>
            </w:r>
            <w:r>
              <w:rPr>
                <w:rFonts w:ascii="PMingLiU" w:cs="PMingLiU" w:eastAsia="PMingLiU" w:hAnsi="PMingLiU"/>
                <w:sz w:val="18"/>
                <w:szCs w:val="18"/>
                <w:color w:val="231F20"/>
              </w:rPr>
              <w:t/>
            </w:r>
          </w:p>
        </w:tc>
        <w:tc>
          <w:tcPr>
            <w:tcW w:w="0" w:type="dxa"/>
            <w:vAlign w:val="bottom"/>
          </w:tcPr>
          <w:p>
            <w:pPr>
              <w:spacing w:after="0"/>
              <w:rPr>
                <w:sz w:val="1"/>
                <w:szCs w:val="1"/>
                <w:color w:val="auto"/>
              </w:rPr>
            </w:pPr>
          </w:p>
        </w:tc>
      </w:tr>
    </w:tbl>
    <w:p>
      <w:pPr>
        <w:ind w:right="100"/>
        <w:spacing w:after="0" w:line="236" w:lineRule="auto"/>
        <w:rPr>
          <w:sz w:val="20"/>
          <w:szCs w:val="20"/>
          <w:color w:val="auto"/>
        </w:rPr>
      </w:pPr>
      <w:r>
        <w:rPr>
          <w:rFonts w:ascii="Times New Roman" w:cs="Times New Roman" w:eastAsia="Times New Roman" w:hAnsi="Times New Roman"/>
          <w:sz w:val="17"/>
          <w:szCs w:val="17"/>
          <w:color w:val="231F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w:t>
      </w:r>
    </w:p>
    <w:p>
      <w:pPr>
        <w:spacing w:after="0" w:line="1" w:lineRule="exact"/>
        <w:rPr>
          <w:sz w:val="24"/>
          <w:szCs w:val="24"/>
          <w:color w:val="auto"/>
        </w:rPr>
      </w:pPr>
    </w:p>
    <w:p>
      <w:pPr>
        <w:spacing w:after="0" w:line="219" w:lineRule="exact"/>
        <w:tabs>
          <w:tab w:leader="none" w:pos="4140" w:val="left"/>
          <w:tab w:leader="none" w:pos="4840" w:val="left"/>
        </w:tabs>
        <w:rPr>
          <w:sz w:val="20"/>
          <w:szCs w:val="20"/>
          <w:color w:val="auto"/>
        </w:rPr>
      </w:pPr>
      <w:r>
        <w:rPr>
          <w:rFonts w:ascii="Times New Roman" w:cs="Times New Roman" w:eastAsia="Times New Roman" w:hAnsi="Times New Roman"/>
          <w:sz w:val="18"/>
          <w:szCs w:val="18"/>
          <w:color w:val="231F20"/>
        </w:rPr>
        <w:t>subject to such filing requirements for the past 90 days.</w:t>
        <w:tab/>
        <w:t xml:space="preserve">Yes </w:t>
      </w:r>
      <w:r>
        <w:rPr>
          <w:rFonts w:ascii="PMingLiU" w:cs="PMingLiU" w:eastAsia="PMingLiU" w:hAnsi="PMingLiU"/>
          <w:sz w:val="18"/>
          <w:szCs w:val="18"/>
          <w:color w:val="231F20"/>
        </w:rPr>
        <w:t/>
      </w:r>
      <w:r>
        <w:rPr>
          <w:rFonts w:ascii="Times New Roman" w:cs="Times New Roman" w:eastAsia="Times New Roman" w:hAnsi="Times New Roman"/>
          <w:sz w:val="18"/>
          <w:szCs w:val="18"/>
          <w:color w:val="231F20"/>
        </w:rPr>
        <w:tab/>
        <w:t xml:space="preserve">No </w:t>
      </w:r>
      <w:r>
        <w:rPr>
          <w:rFonts w:ascii="PMingLiU" w:cs="PMingLiU" w:eastAsia="PMingLiU" w:hAnsi="PMingLiU"/>
          <w:sz w:val="18"/>
          <w:szCs w:val="18"/>
          <w:color w:val="231F20"/>
        </w:rPr>
        <w:t/>
      </w:r>
    </w:p>
    <w:p>
      <w:pPr>
        <w:spacing w:after="0" w:line="53" w:lineRule="exact"/>
        <w:rPr>
          <w:sz w:val="24"/>
          <w:szCs w:val="24"/>
          <w:color w:val="auto"/>
        </w:rPr>
      </w:pPr>
    </w:p>
    <w:p>
      <w:pPr>
        <w:ind w:right="240"/>
        <w:spacing w:after="0" w:line="236" w:lineRule="auto"/>
        <w:rPr>
          <w:sz w:val="20"/>
          <w:szCs w:val="20"/>
          <w:color w:val="auto"/>
        </w:rPr>
      </w:pPr>
      <w:r>
        <w:rPr>
          <w:rFonts w:ascii="Times New Roman" w:cs="Times New Roman" w:eastAsia="Times New Roman" w:hAnsi="Times New Roman"/>
          <w:sz w:val="17"/>
          <w:szCs w:val="17"/>
          <w:color w:val="231F20"/>
        </w:rPr>
        <w:t>Indicate by check mark whether the registrant has submitted electronically every Interactive Data File required to be submitted pursuant to Rule 405 of Regulation S-T (§232.405 of this chapter) during the preceding 12 months (or for such shorter period that the registrant was</w:t>
      </w:r>
    </w:p>
    <w:p>
      <w:pPr>
        <w:spacing w:after="0" w:line="1" w:lineRule="exact"/>
        <w:rPr>
          <w:sz w:val="24"/>
          <w:szCs w:val="24"/>
          <w:color w:val="auto"/>
        </w:rPr>
      </w:pPr>
    </w:p>
    <w:p>
      <w:pPr>
        <w:spacing w:after="0" w:line="219" w:lineRule="exact"/>
        <w:tabs>
          <w:tab w:leader="none" w:pos="2360" w:val="left"/>
          <w:tab w:leader="none" w:pos="3060" w:val="left"/>
        </w:tabs>
        <w:rPr>
          <w:sz w:val="20"/>
          <w:szCs w:val="20"/>
          <w:color w:val="auto"/>
        </w:rPr>
      </w:pPr>
      <w:r>
        <w:rPr>
          <w:rFonts w:ascii="Times New Roman" w:cs="Times New Roman" w:eastAsia="Times New Roman" w:hAnsi="Times New Roman"/>
          <w:sz w:val="18"/>
          <w:szCs w:val="18"/>
          <w:color w:val="231F20"/>
        </w:rPr>
        <w:t>required to submit such files).</w:t>
        <w:tab/>
        <w:t xml:space="preserve">Yes </w:t>
      </w:r>
      <w:r>
        <w:rPr>
          <w:rFonts w:ascii="PMingLiU" w:cs="PMingLiU" w:eastAsia="PMingLiU" w:hAnsi="PMingLiU"/>
          <w:sz w:val="18"/>
          <w:szCs w:val="18"/>
          <w:color w:val="231F20"/>
        </w:rPr>
        <w:t/>
      </w:r>
      <w:r>
        <w:rPr>
          <w:rFonts w:ascii="Times New Roman" w:cs="Times New Roman" w:eastAsia="Times New Roman" w:hAnsi="Times New Roman"/>
          <w:sz w:val="18"/>
          <w:szCs w:val="18"/>
          <w:color w:val="231F20"/>
        </w:rPr>
        <w:tab/>
        <w:t xml:space="preserve">No </w:t>
      </w:r>
      <w:r>
        <w:rPr>
          <w:rFonts w:ascii="PMingLiU" w:cs="PMingLiU" w:eastAsia="PMingLiU" w:hAnsi="PMingLiU"/>
          <w:sz w:val="18"/>
          <w:szCs w:val="18"/>
          <w:color w:val="231F20"/>
        </w:rPr>
        <w:t/>
      </w:r>
    </w:p>
    <w:p>
      <w:pPr>
        <w:spacing w:after="0" w:line="53" w:lineRule="exact"/>
        <w:rPr>
          <w:sz w:val="24"/>
          <w:szCs w:val="24"/>
          <w:color w:val="auto"/>
        </w:rPr>
      </w:pPr>
    </w:p>
    <w:p>
      <w:pPr>
        <w:ind w:right="440"/>
        <w:spacing w:after="0" w:line="233" w:lineRule="auto"/>
        <w:rPr>
          <w:sz w:val="20"/>
          <w:szCs w:val="20"/>
          <w:color w:val="auto"/>
        </w:rPr>
      </w:pPr>
      <w:r>
        <w:rPr>
          <w:rFonts w:ascii="Times New Roman" w:cs="Times New Roman" w:eastAsia="Times New Roman" w:hAnsi="Times New Roman"/>
          <w:sz w:val="19"/>
          <w:szCs w:val="19"/>
          <w:color w:val="231F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3" w:lineRule="exact"/>
        <w:rPr>
          <w:sz w:val="24"/>
          <w:szCs w:val="24"/>
          <w:color w:val="auto"/>
        </w:rPr>
      </w:pPr>
    </w:p>
    <w:tbl>
      <w:tblPr>
        <w:tblLayout w:type="fixed"/>
        <w:tblInd w:w="460" w:type="dxa"/>
        <w:tblCellMar>
          <w:top w:w="0" w:type="dxa"/>
          <w:left w:w="0" w:type="dxa"/>
          <w:bottom w:w="0" w:type="dxa"/>
          <w:right w:w="0" w:type="dxa"/>
        </w:tblCellMar>
      </w:tblPr>
      <w:tr>
        <w:trPr>
          <w:trHeight w:val="306"/>
        </w:trPr>
        <w:tc>
          <w:tcPr>
            <w:tcW w:w="2100" w:type="dxa"/>
            <w:vAlign w:val="bottom"/>
          </w:tcPr>
          <w:p>
            <w:pPr>
              <w:spacing w:after="0"/>
              <w:rPr>
                <w:sz w:val="20"/>
                <w:szCs w:val="20"/>
                <w:color w:val="auto"/>
              </w:rPr>
            </w:pPr>
            <w:r>
              <w:rPr>
                <w:rFonts w:ascii="Times New Roman" w:cs="Times New Roman" w:eastAsia="Times New Roman" w:hAnsi="Times New Roman"/>
                <w:sz w:val="19"/>
                <w:szCs w:val="19"/>
                <w:color w:val="231F20"/>
              </w:rPr>
              <w:t>Large accelerated filer</w:t>
            </w:r>
          </w:p>
        </w:tc>
        <w:tc>
          <w:tcPr>
            <w:tcW w:w="1160" w:type="dxa"/>
            <w:vAlign w:val="bottom"/>
          </w:tcPr>
          <w:p>
            <w:pPr>
              <w:ind w:left="380"/>
              <w:spacing w:after="0" w:line="216" w:lineRule="exact"/>
              <w:rPr>
                <w:sz w:val="20"/>
                <w:szCs w:val="20"/>
                <w:color w:val="auto"/>
              </w:rPr>
            </w:pPr>
            <w:r>
              <w:rPr>
                <w:rFonts w:ascii="PMingLiU" w:cs="PMingLiU" w:eastAsia="PMingLiU" w:hAnsi="PMingLiU"/>
                <w:sz w:val="18"/>
                <w:szCs w:val="18"/>
                <w:color w:val="231F20"/>
              </w:rPr>
              <w:t/>
            </w:r>
          </w:p>
        </w:tc>
        <w:tc>
          <w:tcPr>
            <w:tcW w:w="4100" w:type="dxa"/>
            <w:vAlign w:val="bottom"/>
          </w:tcPr>
          <w:p>
            <w:pPr>
              <w:ind w:left="620"/>
              <w:spacing w:after="0"/>
              <w:rPr>
                <w:sz w:val="20"/>
                <w:szCs w:val="20"/>
                <w:color w:val="auto"/>
              </w:rPr>
            </w:pPr>
            <w:r>
              <w:rPr>
                <w:rFonts w:ascii="Times New Roman" w:cs="Times New Roman" w:eastAsia="Times New Roman" w:hAnsi="Times New Roman"/>
                <w:sz w:val="19"/>
                <w:szCs w:val="19"/>
                <w:color w:val="231F20"/>
              </w:rPr>
              <w:t>Accelerated filer</w:t>
            </w:r>
          </w:p>
        </w:tc>
        <w:tc>
          <w:tcPr>
            <w:tcW w:w="1580" w:type="dxa"/>
            <w:vAlign w:val="bottom"/>
          </w:tcPr>
          <w:p>
            <w:pPr>
              <w:jc w:val="right"/>
              <w:spacing w:after="0" w:line="228" w:lineRule="exact"/>
              <w:rPr>
                <w:sz w:val="20"/>
                <w:szCs w:val="20"/>
                <w:color w:val="auto"/>
              </w:rPr>
            </w:pPr>
            <w:r>
              <w:rPr>
                <w:rFonts w:ascii="PMingLiU" w:cs="PMingLiU" w:eastAsia="PMingLiU" w:hAnsi="PMingLiU"/>
                <w:sz w:val="19"/>
                <w:szCs w:val="19"/>
                <w:color w:val="231F20"/>
              </w:rPr>
              <w:t/>
            </w:r>
          </w:p>
        </w:tc>
      </w:tr>
      <w:tr>
        <w:trPr>
          <w:trHeight w:val="248"/>
        </w:trPr>
        <w:tc>
          <w:tcPr>
            <w:tcW w:w="2100" w:type="dxa"/>
            <w:vAlign w:val="bottom"/>
          </w:tcPr>
          <w:p>
            <w:pPr>
              <w:spacing w:after="0"/>
              <w:rPr>
                <w:sz w:val="20"/>
                <w:szCs w:val="20"/>
                <w:color w:val="auto"/>
              </w:rPr>
            </w:pPr>
            <w:r>
              <w:rPr>
                <w:rFonts w:ascii="Times New Roman" w:cs="Times New Roman" w:eastAsia="Times New Roman" w:hAnsi="Times New Roman"/>
                <w:sz w:val="19"/>
                <w:szCs w:val="19"/>
                <w:color w:val="231F20"/>
              </w:rPr>
              <w:t>Non-Accelerated filer</w:t>
            </w:r>
          </w:p>
        </w:tc>
        <w:tc>
          <w:tcPr>
            <w:tcW w:w="1160" w:type="dxa"/>
            <w:vAlign w:val="bottom"/>
          </w:tcPr>
          <w:p>
            <w:pPr>
              <w:ind w:left="380"/>
              <w:spacing w:after="0" w:line="228" w:lineRule="exact"/>
              <w:rPr>
                <w:sz w:val="20"/>
                <w:szCs w:val="20"/>
                <w:color w:val="auto"/>
              </w:rPr>
            </w:pPr>
            <w:r>
              <w:rPr>
                <w:rFonts w:ascii="PMingLiU" w:cs="PMingLiU" w:eastAsia="PMingLiU" w:hAnsi="PMingLiU"/>
                <w:sz w:val="19"/>
                <w:szCs w:val="19"/>
                <w:color w:val="231F20"/>
              </w:rPr>
              <w:t/>
            </w:r>
          </w:p>
        </w:tc>
        <w:tc>
          <w:tcPr>
            <w:tcW w:w="4100" w:type="dxa"/>
            <w:vAlign w:val="bottom"/>
          </w:tcPr>
          <w:p>
            <w:pPr>
              <w:ind w:left="620"/>
              <w:spacing w:after="0"/>
              <w:rPr>
                <w:sz w:val="20"/>
                <w:szCs w:val="20"/>
                <w:color w:val="auto"/>
              </w:rPr>
            </w:pPr>
            <w:r>
              <w:rPr>
                <w:rFonts w:ascii="Times New Roman" w:cs="Times New Roman" w:eastAsia="Times New Roman" w:hAnsi="Times New Roman"/>
                <w:sz w:val="19"/>
                <w:szCs w:val="19"/>
                <w:color w:val="231F20"/>
              </w:rPr>
              <w:t>Smaller reporting company</w:t>
            </w:r>
          </w:p>
        </w:tc>
        <w:tc>
          <w:tcPr>
            <w:tcW w:w="1580" w:type="dxa"/>
            <w:vAlign w:val="bottom"/>
          </w:tcPr>
          <w:p>
            <w:pPr>
              <w:jc w:val="right"/>
              <w:spacing w:after="0" w:line="228" w:lineRule="exact"/>
              <w:rPr>
                <w:sz w:val="20"/>
                <w:szCs w:val="20"/>
                <w:color w:val="auto"/>
              </w:rPr>
            </w:pPr>
            <w:r>
              <w:rPr>
                <w:rFonts w:ascii="PMingLiU" w:cs="PMingLiU" w:eastAsia="PMingLiU" w:hAnsi="PMingLiU"/>
                <w:sz w:val="19"/>
                <w:szCs w:val="19"/>
                <w:color w:val="231F20"/>
              </w:rPr>
              <w:t/>
            </w:r>
          </w:p>
        </w:tc>
      </w:tr>
      <w:tr>
        <w:trPr>
          <w:trHeight w:val="306"/>
        </w:trPr>
        <w:tc>
          <w:tcPr>
            <w:tcW w:w="2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100" w:type="dxa"/>
            <w:vAlign w:val="bottom"/>
          </w:tcPr>
          <w:p>
            <w:pPr>
              <w:ind w:left="620"/>
              <w:spacing w:after="0"/>
              <w:rPr>
                <w:sz w:val="20"/>
                <w:szCs w:val="20"/>
                <w:color w:val="auto"/>
              </w:rPr>
            </w:pPr>
            <w:r>
              <w:rPr>
                <w:rFonts w:ascii="Times New Roman" w:cs="Times New Roman" w:eastAsia="Times New Roman" w:hAnsi="Times New Roman"/>
                <w:sz w:val="19"/>
                <w:szCs w:val="19"/>
                <w:color w:val="231F20"/>
              </w:rPr>
              <w:t>Emerging growth company</w:t>
            </w:r>
          </w:p>
        </w:tc>
        <w:tc>
          <w:tcPr>
            <w:tcW w:w="1580" w:type="dxa"/>
            <w:vAlign w:val="bottom"/>
          </w:tcPr>
          <w:p>
            <w:pPr>
              <w:jc w:val="right"/>
              <w:spacing w:after="0" w:line="228" w:lineRule="exact"/>
              <w:rPr>
                <w:sz w:val="20"/>
                <w:szCs w:val="20"/>
                <w:color w:val="auto"/>
              </w:rPr>
            </w:pPr>
            <w:r>
              <w:rPr>
                <w:rFonts w:ascii="PMingLiU" w:cs="PMingLiU" w:eastAsia="PMingLiU" w:hAnsi="PMingLiU"/>
                <w:sz w:val="19"/>
                <w:szCs w:val="19"/>
                <w:color w:val="231F20"/>
              </w:rPr>
              <w:t/>
            </w:r>
          </w:p>
        </w:tc>
      </w:tr>
    </w:tbl>
    <w:p>
      <w:pPr>
        <w:ind w:right="480"/>
        <w:spacing w:after="0" w:line="241" w:lineRule="exact"/>
        <w:rPr>
          <w:sz w:val="20"/>
          <w:szCs w:val="20"/>
          <w:color w:val="auto"/>
        </w:rPr>
      </w:pPr>
      <w:r>
        <w:rPr>
          <w:rFonts w:ascii="Times New Roman" w:cs="Times New Roman" w:eastAsia="Times New Roman" w:hAnsi="Times New Roman"/>
          <w:sz w:val="19"/>
          <w:szCs w:val="19"/>
          <w:color w:val="231F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PMingLiU" w:cs="PMingLiU" w:eastAsia="PMingLiU" w:hAnsi="PMingLiU"/>
          <w:sz w:val="19"/>
          <w:szCs w:val="19"/>
          <w:color w:val="231F20"/>
        </w:rPr>
        <w:t/>
      </w:r>
    </w:p>
    <w:p>
      <w:pPr>
        <w:spacing w:after="0" w:line="1" w:lineRule="exact"/>
        <w:rPr>
          <w:sz w:val="24"/>
          <w:szCs w:val="24"/>
          <w:color w:val="auto"/>
        </w:rPr>
      </w:pPr>
    </w:p>
    <w:p>
      <w:pPr>
        <w:ind w:right="60"/>
        <w:spacing w:after="0" w:line="233" w:lineRule="auto"/>
        <w:rPr>
          <w:sz w:val="20"/>
          <w:szCs w:val="20"/>
          <w:color w:val="auto"/>
        </w:rPr>
      </w:pPr>
      <w:r>
        <w:rPr>
          <w:rFonts w:ascii="Times New Roman" w:cs="Times New Roman" w:eastAsia="Times New Roman" w:hAnsi="Times New Roman"/>
          <w:sz w:val="18"/>
          <w:szCs w:val="18"/>
          <w:color w:val="231F20"/>
        </w:rPr>
        <w:t>Indicate by check mark whether the registrant has filed a report on and attestation to its management’s assessment of the effectiveness of its internal control over financial reporting under Section 404(b) of the Sarbanes-Oxley Act (15 U.S.C. 7262(b)) by the registered</w:t>
      </w:r>
    </w:p>
    <w:p>
      <w:pPr>
        <w:spacing w:after="0" w:line="1" w:lineRule="exact"/>
        <w:rPr>
          <w:sz w:val="24"/>
          <w:szCs w:val="24"/>
          <w:color w:val="auto"/>
        </w:rPr>
      </w:pPr>
    </w:p>
    <w:p>
      <w:pPr>
        <w:spacing w:after="0" w:line="232" w:lineRule="exact"/>
        <w:rPr>
          <w:sz w:val="20"/>
          <w:szCs w:val="20"/>
          <w:color w:val="auto"/>
        </w:rPr>
      </w:pPr>
      <w:r>
        <w:rPr>
          <w:rFonts w:ascii="Times New Roman" w:cs="Times New Roman" w:eastAsia="Times New Roman" w:hAnsi="Times New Roman"/>
          <w:sz w:val="19"/>
          <w:szCs w:val="19"/>
          <w:color w:val="231F20"/>
        </w:rPr>
        <w:t xml:space="preserve">public accounting firm that prepared or issued its audit report. </w:t>
      </w:r>
      <w:r>
        <w:rPr>
          <w:rFonts w:ascii="PMingLiU" w:cs="PMingLiU" w:eastAsia="PMingLiU" w:hAnsi="PMingLiU"/>
          <w:sz w:val="19"/>
          <w:szCs w:val="19"/>
          <w:color w:val="231F20"/>
        </w:rPr>
        <w:t/>
      </w:r>
    </w:p>
    <w:p>
      <w:pPr>
        <w:spacing w:after="0" w:line="55" w:lineRule="exact"/>
        <w:rPr>
          <w:sz w:val="24"/>
          <w:szCs w:val="24"/>
          <w:color w:val="auto"/>
        </w:rPr>
      </w:pPr>
    </w:p>
    <w:p>
      <w:pPr>
        <w:ind w:right="660"/>
        <w:spacing w:after="0" w:line="234" w:lineRule="exact"/>
        <w:rPr>
          <w:sz w:val="20"/>
          <w:szCs w:val="20"/>
          <w:color w:val="auto"/>
        </w:rPr>
      </w:pPr>
      <w:r>
        <w:rPr>
          <w:rFonts w:ascii="Times New Roman" w:cs="Times New Roman" w:eastAsia="Times New Roman" w:hAnsi="Times New Roman"/>
          <w:sz w:val="19"/>
          <w:szCs w:val="19"/>
          <w:color w:val="231F20"/>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PMingLiU" w:cs="PMingLiU" w:eastAsia="PMingLiU" w:hAnsi="PMingLiU"/>
          <w:sz w:val="17"/>
          <w:szCs w:val="17"/>
          <w:color w:val="231F20"/>
        </w:rPr>
        <w:t/>
      </w:r>
    </w:p>
    <w:p>
      <w:pPr>
        <w:spacing w:after="0" w:line="1" w:lineRule="exact"/>
        <w:rPr>
          <w:sz w:val="24"/>
          <w:szCs w:val="24"/>
          <w:color w:val="auto"/>
        </w:rPr>
      </w:pPr>
    </w:p>
    <w:p>
      <w:pPr>
        <w:ind w:right="100"/>
        <w:spacing w:after="0" w:line="232" w:lineRule="exact"/>
        <w:rPr>
          <w:sz w:val="20"/>
          <w:szCs w:val="20"/>
          <w:color w:val="auto"/>
        </w:rPr>
      </w:pPr>
      <w:r>
        <w:rPr>
          <w:rFonts w:ascii="Times New Roman" w:cs="Times New Roman" w:eastAsia="Times New Roman" w:hAnsi="Times New Roman"/>
          <w:sz w:val="19"/>
          <w:szCs w:val="19"/>
          <w:color w:val="231F20"/>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PMingLiU" w:cs="PMingLiU" w:eastAsia="PMingLiU" w:hAnsi="PMingLiU"/>
          <w:sz w:val="17"/>
          <w:szCs w:val="17"/>
          <w:color w:val="231F20"/>
        </w:rPr>
        <w:t/>
      </w:r>
    </w:p>
    <w:p>
      <w:pPr>
        <w:spacing w:after="0" w:line="1" w:lineRule="exact"/>
        <w:rPr>
          <w:sz w:val="24"/>
          <w:szCs w:val="24"/>
          <w:color w:val="auto"/>
        </w:rPr>
      </w:pPr>
    </w:p>
    <w:p>
      <w:pPr>
        <w:spacing w:after="0" w:line="219" w:lineRule="exact"/>
        <w:tabs>
          <w:tab w:leader="none" w:pos="7560" w:val="left"/>
          <w:tab w:leader="none" w:pos="8260" w:val="left"/>
        </w:tabs>
        <w:rPr>
          <w:sz w:val="20"/>
          <w:szCs w:val="20"/>
          <w:color w:val="auto"/>
        </w:rPr>
      </w:pPr>
      <w:r>
        <w:rPr>
          <w:rFonts w:ascii="Times New Roman" w:cs="Times New Roman" w:eastAsia="Times New Roman" w:hAnsi="Times New Roman"/>
          <w:sz w:val="18"/>
          <w:szCs w:val="18"/>
          <w:color w:val="231F20"/>
        </w:rPr>
        <w:t>Indicate by check mark whether the registrant is a shell company (as defined in Rule 12b-2 of the Act).</w:t>
        <w:tab/>
        <w:t xml:space="preserve">Yes </w:t>
      </w:r>
      <w:r>
        <w:rPr>
          <w:rFonts w:ascii="PMingLiU" w:cs="PMingLiU" w:eastAsia="PMingLiU" w:hAnsi="PMingLiU"/>
          <w:sz w:val="18"/>
          <w:szCs w:val="18"/>
          <w:color w:val="231F20"/>
        </w:rPr>
        <w:t/>
      </w:r>
      <w:r>
        <w:rPr>
          <w:rFonts w:ascii="Times New Roman" w:cs="Times New Roman" w:eastAsia="Times New Roman" w:hAnsi="Times New Roman"/>
          <w:sz w:val="18"/>
          <w:szCs w:val="18"/>
          <w:color w:val="231F20"/>
        </w:rPr>
        <w:tab/>
        <w:t xml:space="preserve">No </w:t>
      </w:r>
      <w:r>
        <w:rPr>
          <w:rFonts w:ascii="PMingLiU" w:cs="PMingLiU" w:eastAsia="PMingLiU" w:hAnsi="PMingLiU"/>
          <w:sz w:val="18"/>
          <w:szCs w:val="18"/>
          <w:color w:val="231F20"/>
        </w:rPr>
        <w:t/>
      </w:r>
    </w:p>
    <w:p>
      <w:pPr>
        <w:spacing w:after="0" w:line="53" w:lineRule="exact"/>
        <w:rPr>
          <w:sz w:val="24"/>
          <w:szCs w:val="24"/>
          <w:color w:val="auto"/>
        </w:rPr>
      </w:pPr>
    </w:p>
    <w:p>
      <w:pPr>
        <w:jc w:val="both"/>
        <w:ind w:right="300"/>
        <w:spacing w:after="0" w:line="234" w:lineRule="auto"/>
        <w:rPr>
          <w:sz w:val="20"/>
          <w:szCs w:val="20"/>
          <w:color w:val="auto"/>
        </w:rPr>
      </w:pPr>
      <w:r>
        <w:rPr>
          <w:rFonts w:ascii="Times New Roman" w:cs="Times New Roman" w:eastAsia="Times New Roman" w:hAnsi="Times New Roman"/>
          <w:sz w:val="18"/>
          <w:szCs w:val="18"/>
          <w:color w:val="231F20"/>
        </w:rPr>
        <w:t>The aggregate market value of the voting stock held by non-affiliates of the registrant on June 28, 2024, based on the closing price on that date of $21.35 on The New York Stock Exchange, was approximately $1,921,778,947. The number of shares of the registrant’s common stock, $.01 par value per share, outstanding at February 13, 2025 was 93,661,436.</w:t>
      </w:r>
    </w:p>
    <w:p>
      <w:pPr>
        <w:spacing w:after="0" w:line="20" w:lineRule="exact"/>
        <w:rPr>
          <w:sz w:val="24"/>
          <w:szCs w:val="24"/>
          <w:color w:val="auto"/>
        </w:rPr>
      </w:pPr>
      <w:r>
        <w:rPr>
          <w:sz w:val="24"/>
          <w:szCs w:val="24"/>
          <w:color w:val="auto"/>
        </w:rPr>
        <mc:AlternateContent>
          <mc:Choice Requires="wps">
            <w:drawing>
              <wp:anchor simplePos="0" relativeHeight="251657728" behindDoc="1" locked="0" layoutInCell="0" allowOverlap="1">
                <wp:simplePos x="0" y="0"/>
                <wp:positionH relativeFrom="column">
                  <wp:posOffset>2573020</wp:posOffset>
                </wp:positionH>
                <wp:positionV relativeFrom="paragraph">
                  <wp:posOffset>47625</wp:posOffset>
                </wp:positionV>
                <wp:extent cx="1330325" cy="0"/>
                <wp:wrapNone/>
                <wp:docPr id="5" name="Shape 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330325" cy="4763"/>
                        </a:xfrm>
                        <a:prstGeom prst="line">
                          <a:avLst/>
                        </a:prstGeom>
                        <a:solidFill>
                          <a:srgbClr val="FFFFFF"/>
                        </a:solidFill>
                        <a:ln w="11988">
                          <a:solidFill>
                            <a:srgbClr val="231F20"/>
                          </a:solidFill>
                          <a:miter lim="800000"/>
                          <a:headEnd/>
                          <a:tailEnd/>
                        </a:ln>
                      </wps:spPr>
                      <wps:bodyPr/>
                    </wps:wsp>
                  </a:graphicData>
                </a:graphic>
              </wp:anchor>
            </w:drawing>
          </mc:Choice>
          <mc:Fallback>
            <w:pict>
              <v:line id="Shape 5" o:spid="_x0000_s103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02.6pt,3.75pt" to="307.35pt,3.75pt" o:allowincell="f" strokecolor="#231F20" strokeweight="0.9439pt"/>
            </w:pict>
          </mc:Fallback>
        </mc:AlternateContent>
      </w:r>
    </w:p>
    <w:p>
      <w:pPr>
        <w:spacing w:after="0" w:line="5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231F20"/>
        </w:rPr>
        <w:t>DOCUMENTS INCORPORATED BY REFERENCE</w:t>
      </w:r>
    </w:p>
    <w:p>
      <w:pPr>
        <w:spacing w:after="0" w:line="36" w:lineRule="exact"/>
        <w:rPr>
          <w:sz w:val="24"/>
          <w:szCs w:val="24"/>
          <w:color w:val="auto"/>
        </w:rPr>
      </w:pPr>
    </w:p>
    <w:p>
      <w:pPr>
        <w:ind w:right="880"/>
        <w:spacing w:after="0" w:line="257" w:lineRule="auto"/>
        <w:rPr>
          <w:sz w:val="20"/>
          <w:szCs w:val="20"/>
          <w:color w:val="auto"/>
        </w:rPr>
      </w:pPr>
      <w:r>
        <w:rPr>
          <w:rFonts w:ascii="Times New Roman" w:cs="Times New Roman" w:eastAsia="Times New Roman" w:hAnsi="Times New Roman"/>
          <w:sz w:val="18"/>
          <w:szCs w:val="18"/>
          <w:color w:val="231F20"/>
        </w:rPr>
        <w:t>Portions of the Registrant’s proxy statement for the 2025 annual meeting of stockholders are incorporated by reference in Part III. Auditor Firm Id:185 Auditor Name: KPMG LLP Auditor Location: New York, New York</w:t>
      </w:r>
    </w:p>
    <w:p>
      <w:pPr>
        <w:spacing w:after="0" w:line="20" w:lineRule="exact"/>
        <w:rPr>
          <w:sz w:val="24"/>
          <w:szCs w:val="24"/>
          <w:color w:val="auto"/>
        </w:rPr>
      </w:pPr>
      <w:r>
        <w:rPr>
          <w:sz w:val="24"/>
          <w:szCs w:val="24"/>
          <w:color w:val="auto"/>
        </w:rPr>
        <mc:AlternateContent>
          <mc:Choice Requires="wps">
            <w:drawing>
              <wp:anchor simplePos="0" relativeHeight="251657728" behindDoc="1" locked="0" layoutInCell="0" allowOverlap="1">
                <wp:simplePos x="0" y="0"/>
                <wp:positionH relativeFrom="column">
                  <wp:posOffset>-17145</wp:posOffset>
                </wp:positionH>
                <wp:positionV relativeFrom="paragraph">
                  <wp:posOffset>-3175</wp:posOffset>
                </wp:positionV>
                <wp:extent cx="6511290" cy="0"/>
                <wp:wrapNone/>
                <wp:docPr id="6" name="Shape 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11290" cy="4763"/>
                        </a:xfrm>
                        <a:prstGeom prst="line">
                          <a:avLst/>
                        </a:prstGeom>
                        <a:solidFill>
                          <a:srgbClr val="FFFFFF"/>
                        </a:solidFill>
                        <a:ln w="5994">
                          <a:solidFill>
                            <a:srgbClr val="231F20"/>
                          </a:solidFill>
                          <a:miter lim="800000"/>
                          <a:headEnd/>
                          <a:tailEnd/>
                        </a:ln>
                      </wps:spPr>
                      <wps:bodyPr/>
                    </wps:wsp>
                  </a:graphicData>
                </a:graphic>
              </wp:anchor>
            </w:drawing>
          </mc:Choice>
          <mc:Fallback>
            <w:pict>
              <v:line id="Shape 6" o:spid="_x0000_s103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3499pt,-0.2499pt" to="511.35pt,-0.2499pt" o:allowincell="f" strokecolor="#231F20" strokeweight="0.472pt"/>
            </w:pict>
          </mc:Fallback>
        </mc:AlternateContent>
        <mc:AlternateContent>
          <mc:Choice Requires="wps">
            <w:drawing>
              <wp:anchor simplePos="0" relativeHeight="251657728" behindDoc="1" locked="0" layoutInCell="0" allowOverlap="1">
                <wp:simplePos x="0" y="0"/>
                <wp:positionH relativeFrom="column">
                  <wp:posOffset>-17145</wp:posOffset>
                </wp:positionH>
                <wp:positionV relativeFrom="paragraph">
                  <wp:posOffset>8255</wp:posOffset>
                </wp:positionV>
                <wp:extent cx="6511290" cy="0"/>
                <wp:wrapNone/>
                <wp:docPr id="7" name="Shape 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11290" cy="4763"/>
                        </a:xfrm>
                        <a:prstGeom prst="line">
                          <a:avLst/>
                        </a:prstGeom>
                        <a:solidFill>
                          <a:srgbClr val="FFFFFF"/>
                        </a:solidFill>
                        <a:ln w="5994">
                          <a:solidFill>
                            <a:srgbClr val="231F20"/>
                          </a:solidFill>
                          <a:miter lim="800000"/>
                          <a:headEnd/>
                          <a:tailEnd/>
                        </a:ln>
                      </wps:spPr>
                      <wps:bodyPr/>
                    </wps:wsp>
                  </a:graphicData>
                </a:graphic>
              </wp:anchor>
            </w:drawing>
          </mc:Choice>
          <mc:Fallback>
            <w:pict>
              <v:line id="Shape 7" o:spid="_x0000_s103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3499pt,0.65pt" to="511.35pt,0.65pt" o:allowincell="f" strokecolor="#231F20" strokeweight="0.472pt"/>
            </w:pict>
          </mc:Fallback>
        </mc:AlternateContent>
      </w:r>
    </w:p>
    <w:p>
      <w:pPr>
        <w:sectPr>
          <w:pgSz w:w="12240" w:h="15840" w:orient="portrait"/>
          <w:cols w:equalWidth="0" w:num="1">
            <w:col w:w="10200"/>
          </w:cols>
          <w:pgMar w:left="1020" w:top="1186" w:right="1020" w:bottom="815" w:gutter="0" w:footer="0" w:header="0"/>
        </w:sectPr>
      </w:pPr>
    </w:p>
    <w:bookmarkStart w:id="1" w:name="page2"/>
    <w:bookmarkEnd w:id="1"/>
    <w:p>
      <w:pPr>
        <w:ind w:left="3140"/>
        <w:spacing w:after="0"/>
        <w:rPr>
          <w:sz w:val="20"/>
          <w:szCs w:val="20"/>
          <w:color w:val="auto"/>
        </w:rPr>
      </w:pPr>
      <w:r>
        <w:rPr>
          <w:rFonts w:ascii="Times New Roman" w:cs="Times New Roman" w:eastAsia="Times New Roman" w:hAnsi="Times New Roman"/>
          <w:sz w:val="19"/>
          <w:szCs w:val="19"/>
          <w:b w:val="1"/>
          <w:bCs w:val="1"/>
          <w:color w:val="231F20"/>
        </w:rPr>
        <w:t>SIXTH STREET SPECIALTY LENDING, INC.</w:t>
      </w:r>
    </w:p>
    <w:p>
      <w:pPr>
        <w:spacing w:after="0" w:line="27" w:lineRule="exact"/>
        <w:rPr>
          <w:sz w:val="20"/>
          <w:szCs w:val="20"/>
          <w:color w:val="auto"/>
        </w:rPr>
      </w:pPr>
    </w:p>
    <w:p>
      <w:pPr>
        <w:ind w:left="3400"/>
        <w:spacing w:after="0"/>
        <w:rPr>
          <w:sz w:val="20"/>
          <w:szCs w:val="20"/>
          <w:color w:val="auto"/>
        </w:rPr>
      </w:pPr>
      <w:r>
        <w:rPr>
          <w:rFonts w:ascii="Times New Roman" w:cs="Times New Roman" w:eastAsia="Times New Roman" w:hAnsi="Times New Roman"/>
          <w:sz w:val="19"/>
          <w:szCs w:val="19"/>
          <w:b w:val="1"/>
          <w:bCs w:val="1"/>
          <w:color w:val="231F20"/>
        </w:rPr>
        <w:t>Index to Annual Report on Form 10-K for</w:t>
      </w:r>
    </w:p>
    <w:p>
      <w:pPr>
        <w:ind w:left="3820"/>
        <w:spacing w:after="0"/>
        <w:rPr>
          <w:sz w:val="20"/>
          <w:szCs w:val="20"/>
          <w:color w:val="auto"/>
        </w:rPr>
      </w:pPr>
      <w:r>
        <w:rPr>
          <w:rFonts w:ascii="Times New Roman" w:cs="Times New Roman" w:eastAsia="Times New Roman" w:hAnsi="Times New Roman"/>
          <w:sz w:val="19"/>
          <w:szCs w:val="19"/>
          <w:b w:val="1"/>
          <w:bCs w:val="1"/>
          <w:color w:val="231F20"/>
        </w:rPr>
        <w:t>Year Ended December 31, 2024</w:t>
      </w:r>
    </w:p>
    <w:p>
      <w:pPr>
        <w:spacing w:after="0" w:line="190" w:lineRule="exact"/>
        <w:rPr>
          <w:sz w:val="20"/>
          <w:szCs w:val="20"/>
          <w:color w:val="auto"/>
        </w:rPr>
      </w:pPr>
    </w:p>
    <w:p>
      <w:pPr>
        <w:ind w:left="9560"/>
        <w:spacing w:after="0"/>
        <w:rPr>
          <w:sz w:val="20"/>
          <w:szCs w:val="20"/>
          <w:color w:val="auto"/>
        </w:rPr>
      </w:pPr>
      <w:r>
        <w:rPr>
          <w:rFonts w:ascii="Times New Roman" w:cs="Times New Roman" w:eastAsia="Times New Roman" w:hAnsi="Times New Roman"/>
          <w:sz w:val="15"/>
          <w:szCs w:val="15"/>
          <w:b w:val="1"/>
          <w:bCs w:val="1"/>
          <w:color w:val="231F20"/>
        </w:rPr>
        <w:t>PAGE</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5931535</wp:posOffset>
                </wp:positionH>
                <wp:positionV relativeFrom="paragraph">
                  <wp:posOffset>14605</wp:posOffset>
                </wp:positionV>
                <wp:extent cx="545465" cy="0"/>
                <wp:wrapNone/>
                <wp:docPr id="8" name="Shape 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45465" cy="4763"/>
                        </a:xfrm>
                        <a:prstGeom prst="line">
                          <a:avLst/>
                        </a:prstGeom>
                        <a:solidFill>
                          <a:srgbClr val="FFFFFF"/>
                        </a:solidFill>
                        <a:ln w="5994">
                          <a:solidFill>
                            <a:srgbClr val="231F20"/>
                          </a:solidFill>
                          <a:miter lim="800000"/>
                          <a:headEnd/>
                          <a:tailEnd/>
                        </a:ln>
                      </wps:spPr>
                      <wps:bodyPr/>
                    </wps:wsp>
                  </a:graphicData>
                </a:graphic>
              </wp:anchor>
            </w:drawing>
          </mc:Choice>
          <mc:Fallback>
            <w:pict>
              <v:line id="Shape 8" o:spid="_x0000_s103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67.05pt,1.15pt" to="510pt,1.15pt" o:allowincell="f" strokecolor="#231F20" strokeweight="0.472pt"/>
            </w:pict>
          </mc:Fallback>
        </mc:AlternateConten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231F20"/>
        </w:rPr>
        <w:t>PART I</w:t>
      </w:r>
    </w:p>
    <w:p>
      <w:pPr>
        <w:spacing w:after="0"/>
        <w:tabs>
          <w:tab w:leader="none" w:pos="960" w:val="left"/>
          <w:tab w:leader="dot" w:pos="10080" w:val="left"/>
        </w:tabs>
        <w:rPr>
          <w:sz w:val="20"/>
          <w:szCs w:val="20"/>
          <w:color w:val="auto"/>
        </w:rPr>
      </w:pPr>
      <w:r>
        <w:rPr>
          <w:rFonts w:ascii="Times New Roman" w:cs="Times New Roman" w:eastAsia="Times New Roman" w:hAnsi="Times New Roman"/>
          <w:sz w:val="19"/>
          <w:szCs w:val="19"/>
          <w:color w:val="231F20"/>
        </w:rPr>
        <w:t>ITEM 1.</w:t>
      </w:r>
      <w:r>
        <w:rPr>
          <w:sz w:val="20"/>
          <w:szCs w:val="20"/>
          <w:color w:val="auto"/>
        </w:rPr>
        <w:tab/>
      </w:r>
      <w:r>
        <w:rPr>
          <w:rFonts w:ascii="Times New Roman" w:cs="Times New Roman" w:eastAsia="Times New Roman" w:hAnsi="Times New Roman"/>
          <w:sz w:val="19"/>
          <w:szCs w:val="19"/>
          <w:color w:val="231F20"/>
        </w:rPr>
        <w:t>Business</w:t>
      </w:r>
      <w:r>
        <w:rPr>
          <w:sz w:val="20"/>
          <w:szCs w:val="20"/>
          <w:color w:val="auto"/>
        </w:rPr>
        <w:tab/>
      </w:r>
      <w:r>
        <w:rPr>
          <w:rFonts w:ascii="Times New Roman" w:cs="Times New Roman" w:eastAsia="Times New Roman" w:hAnsi="Times New Roman"/>
          <w:sz w:val="19"/>
          <w:szCs w:val="19"/>
          <w:color w:val="231F20"/>
        </w:rPr>
        <w:t>4</w:t>
      </w:r>
    </w:p>
    <w:p>
      <w:pPr>
        <w:spacing w:after="0"/>
        <w:tabs>
          <w:tab w:leader="none" w:pos="960" w:val="left"/>
          <w:tab w:leader="dot" w:pos="10000" w:val="left"/>
        </w:tabs>
        <w:rPr>
          <w:sz w:val="20"/>
          <w:szCs w:val="20"/>
          <w:color w:val="auto"/>
        </w:rPr>
      </w:pPr>
      <w:r>
        <w:rPr>
          <w:rFonts w:ascii="Times New Roman" w:cs="Times New Roman" w:eastAsia="Times New Roman" w:hAnsi="Times New Roman"/>
          <w:sz w:val="19"/>
          <w:szCs w:val="19"/>
          <w:color w:val="231F20"/>
        </w:rPr>
        <w:t>ITEM 1A.</w:t>
        <w:tab/>
        <w:t>Risk Factors</w:t>
      </w:r>
      <w:r>
        <w:rPr>
          <w:sz w:val="20"/>
          <w:szCs w:val="20"/>
          <w:color w:val="auto"/>
        </w:rPr>
        <w:tab/>
      </w:r>
      <w:r>
        <w:rPr>
          <w:rFonts w:ascii="Times New Roman" w:cs="Times New Roman" w:eastAsia="Times New Roman" w:hAnsi="Times New Roman"/>
          <w:sz w:val="18"/>
          <w:szCs w:val="18"/>
          <w:color w:val="231F20"/>
        </w:rPr>
        <w:t>27</w:t>
      </w:r>
    </w:p>
    <w:p>
      <w:pPr>
        <w:spacing w:after="0"/>
        <w:tabs>
          <w:tab w:leader="none" w:pos="960" w:val="left"/>
          <w:tab w:leader="dot" w:pos="10000" w:val="left"/>
        </w:tabs>
        <w:rPr>
          <w:sz w:val="20"/>
          <w:szCs w:val="20"/>
          <w:color w:val="auto"/>
        </w:rPr>
      </w:pPr>
      <w:r>
        <w:rPr>
          <w:rFonts w:ascii="Times New Roman" w:cs="Times New Roman" w:eastAsia="Times New Roman" w:hAnsi="Times New Roman"/>
          <w:sz w:val="19"/>
          <w:szCs w:val="19"/>
          <w:color w:val="231F20"/>
        </w:rPr>
        <w:t>ITEM 1B.</w:t>
        <w:tab/>
        <w:t>Unresolved Staff Comments</w:t>
      </w:r>
      <w:r>
        <w:rPr>
          <w:sz w:val="20"/>
          <w:szCs w:val="20"/>
          <w:color w:val="auto"/>
        </w:rPr>
        <w:tab/>
      </w:r>
      <w:r>
        <w:rPr>
          <w:rFonts w:ascii="Times New Roman" w:cs="Times New Roman" w:eastAsia="Times New Roman" w:hAnsi="Times New Roman"/>
          <w:sz w:val="18"/>
          <w:szCs w:val="18"/>
          <w:color w:val="231F20"/>
        </w:rPr>
        <w:t>56</w:t>
      </w:r>
    </w:p>
    <w:p>
      <w:pPr>
        <w:spacing w:after="0"/>
        <w:tabs>
          <w:tab w:leader="none" w:pos="960" w:val="left"/>
          <w:tab w:leader="dot" w:pos="10000" w:val="left"/>
        </w:tabs>
        <w:rPr>
          <w:sz w:val="20"/>
          <w:szCs w:val="20"/>
          <w:color w:val="auto"/>
        </w:rPr>
      </w:pPr>
      <w:r>
        <w:rPr>
          <w:rFonts w:ascii="Times New Roman" w:cs="Times New Roman" w:eastAsia="Times New Roman" w:hAnsi="Times New Roman"/>
          <w:sz w:val="19"/>
          <w:szCs w:val="19"/>
          <w:color w:val="231F20"/>
        </w:rPr>
        <w:t>ITEM 1C.</w:t>
        <w:tab/>
        <w:t>Cybersecurity</w:t>
      </w:r>
      <w:r>
        <w:rPr>
          <w:sz w:val="20"/>
          <w:szCs w:val="20"/>
          <w:color w:val="auto"/>
        </w:rPr>
        <w:tab/>
      </w:r>
      <w:r>
        <w:rPr>
          <w:rFonts w:ascii="Times New Roman" w:cs="Times New Roman" w:eastAsia="Times New Roman" w:hAnsi="Times New Roman"/>
          <w:sz w:val="18"/>
          <w:szCs w:val="18"/>
          <w:color w:val="231F20"/>
        </w:rPr>
        <w:t>56</w:t>
      </w:r>
    </w:p>
    <w:p>
      <w:pPr>
        <w:spacing w:after="0"/>
        <w:tabs>
          <w:tab w:leader="none" w:pos="960" w:val="left"/>
          <w:tab w:leader="dot" w:pos="10000" w:val="left"/>
        </w:tabs>
        <w:rPr>
          <w:sz w:val="20"/>
          <w:szCs w:val="20"/>
          <w:color w:val="auto"/>
        </w:rPr>
      </w:pPr>
      <w:r>
        <w:rPr>
          <w:rFonts w:ascii="Times New Roman" w:cs="Times New Roman" w:eastAsia="Times New Roman" w:hAnsi="Times New Roman"/>
          <w:sz w:val="19"/>
          <w:szCs w:val="19"/>
          <w:color w:val="231F20"/>
        </w:rPr>
        <w:t>ITEM 2.</w:t>
      </w:r>
      <w:r>
        <w:rPr>
          <w:sz w:val="20"/>
          <w:szCs w:val="20"/>
          <w:color w:val="auto"/>
        </w:rPr>
        <w:tab/>
      </w:r>
      <w:r>
        <w:rPr>
          <w:rFonts w:ascii="Times New Roman" w:cs="Times New Roman" w:eastAsia="Times New Roman" w:hAnsi="Times New Roman"/>
          <w:sz w:val="19"/>
          <w:szCs w:val="19"/>
          <w:color w:val="231F20"/>
        </w:rPr>
        <w:t>Properties</w:t>
      </w:r>
      <w:r>
        <w:rPr>
          <w:sz w:val="20"/>
          <w:szCs w:val="20"/>
          <w:color w:val="auto"/>
        </w:rPr>
        <w:tab/>
      </w:r>
      <w:r>
        <w:rPr>
          <w:rFonts w:ascii="Times New Roman" w:cs="Times New Roman" w:eastAsia="Times New Roman" w:hAnsi="Times New Roman"/>
          <w:sz w:val="18"/>
          <w:szCs w:val="18"/>
          <w:color w:val="231F20"/>
        </w:rPr>
        <w:t>57</w:t>
      </w:r>
    </w:p>
    <w:p>
      <w:pPr>
        <w:spacing w:after="0"/>
        <w:tabs>
          <w:tab w:leader="none" w:pos="960" w:val="left"/>
          <w:tab w:leader="dot" w:pos="10000" w:val="left"/>
        </w:tabs>
        <w:rPr>
          <w:sz w:val="20"/>
          <w:szCs w:val="20"/>
          <w:color w:val="auto"/>
        </w:rPr>
      </w:pPr>
      <w:r>
        <w:rPr>
          <w:rFonts w:ascii="Times New Roman" w:cs="Times New Roman" w:eastAsia="Times New Roman" w:hAnsi="Times New Roman"/>
          <w:sz w:val="19"/>
          <w:szCs w:val="19"/>
          <w:color w:val="231F20"/>
        </w:rPr>
        <w:t>ITEM 3.</w:t>
      </w:r>
      <w:r>
        <w:rPr>
          <w:sz w:val="20"/>
          <w:szCs w:val="20"/>
          <w:color w:val="auto"/>
        </w:rPr>
        <w:tab/>
      </w:r>
      <w:r>
        <w:rPr>
          <w:rFonts w:ascii="Times New Roman" w:cs="Times New Roman" w:eastAsia="Times New Roman" w:hAnsi="Times New Roman"/>
          <w:sz w:val="19"/>
          <w:szCs w:val="19"/>
          <w:color w:val="231F20"/>
        </w:rPr>
        <w:t>Legal Proceedings</w:t>
      </w:r>
      <w:r>
        <w:rPr>
          <w:sz w:val="20"/>
          <w:szCs w:val="20"/>
          <w:color w:val="auto"/>
        </w:rPr>
        <w:tab/>
      </w:r>
      <w:r>
        <w:rPr>
          <w:rFonts w:ascii="Times New Roman" w:cs="Times New Roman" w:eastAsia="Times New Roman" w:hAnsi="Times New Roman"/>
          <w:sz w:val="18"/>
          <w:szCs w:val="18"/>
          <w:color w:val="231F20"/>
        </w:rPr>
        <w:t>57</w:t>
      </w:r>
    </w:p>
    <w:p>
      <w:pPr>
        <w:spacing w:after="0" w:line="1" w:lineRule="exact"/>
        <w:rPr>
          <w:sz w:val="20"/>
          <w:szCs w:val="20"/>
          <w:color w:val="auto"/>
        </w:rPr>
      </w:pPr>
    </w:p>
    <w:p>
      <w:pPr>
        <w:spacing w:after="0"/>
        <w:tabs>
          <w:tab w:leader="none" w:pos="960" w:val="left"/>
          <w:tab w:leader="dot" w:pos="10000" w:val="left"/>
        </w:tabs>
        <w:rPr>
          <w:sz w:val="20"/>
          <w:szCs w:val="20"/>
          <w:color w:val="auto"/>
        </w:rPr>
      </w:pPr>
      <w:r>
        <w:rPr>
          <w:rFonts w:ascii="Times New Roman" w:cs="Times New Roman" w:eastAsia="Times New Roman" w:hAnsi="Times New Roman"/>
          <w:sz w:val="19"/>
          <w:szCs w:val="19"/>
          <w:color w:val="231F20"/>
        </w:rPr>
        <w:t>ITEM 4.</w:t>
      </w:r>
      <w:r>
        <w:rPr>
          <w:sz w:val="20"/>
          <w:szCs w:val="20"/>
          <w:color w:val="auto"/>
        </w:rPr>
        <w:tab/>
      </w:r>
      <w:r>
        <w:rPr>
          <w:rFonts w:ascii="Times New Roman" w:cs="Times New Roman" w:eastAsia="Times New Roman" w:hAnsi="Times New Roman"/>
          <w:sz w:val="19"/>
          <w:szCs w:val="19"/>
          <w:color w:val="231F20"/>
        </w:rPr>
        <w:t>Mine Safety Disclosures</w:t>
      </w:r>
      <w:r>
        <w:rPr>
          <w:sz w:val="20"/>
          <w:szCs w:val="20"/>
          <w:color w:val="auto"/>
        </w:rPr>
        <w:tab/>
      </w:r>
      <w:r>
        <w:rPr>
          <w:rFonts w:ascii="Times New Roman" w:cs="Times New Roman" w:eastAsia="Times New Roman" w:hAnsi="Times New Roman"/>
          <w:sz w:val="18"/>
          <w:szCs w:val="18"/>
          <w:color w:val="231F20"/>
        </w:rPr>
        <w:t>57</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231F20"/>
        </w:rPr>
        <w:t>PART II</w:t>
      </w:r>
    </w:p>
    <w:p>
      <w:pPr>
        <w:spacing w:after="0" w:line="27"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9"/>
          <w:szCs w:val="19"/>
          <w:color w:val="231F20"/>
        </w:rPr>
        <w:t>ITEM 5.</w:t>
      </w:r>
      <w:r>
        <w:rPr>
          <w:sz w:val="20"/>
          <w:szCs w:val="20"/>
          <w:color w:val="auto"/>
        </w:rPr>
        <w:tab/>
      </w:r>
      <w:r>
        <w:rPr>
          <w:rFonts w:ascii="Times New Roman" w:cs="Times New Roman" w:eastAsia="Times New Roman" w:hAnsi="Times New Roman"/>
          <w:sz w:val="18"/>
          <w:szCs w:val="18"/>
          <w:color w:val="231F20"/>
        </w:rPr>
        <w:t>Market for Registrant’s Common Equity, Related Stockholder Matters and Issuer Purchases of Equity</w:t>
      </w:r>
    </w:p>
    <w:p>
      <w:pPr>
        <w:ind w:left="980"/>
        <w:spacing w:after="0"/>
        <w:tabs>
          <w:tab w:leader="dot" w:pos="10000" w:val="left"/>
        </w:tabs>
        <w:rPr>
          <w:sz w:val="20"/>
          <w:szCs w:val="20"/>
          <w:color w:val="auto"/>
        </w:rPr>
      </w:pPr>
      <w:r>
        <w:rPr>
          <w:rFonts w:ascii="Times New Roman" w:cs="Times New Roman" w:eastAsia="Times New Roman" w:hAnsi="Times New Roman"/>
          <w:sz w:val="19"/>
          <w:szCs w:val="19"/>
          <w:color w:val="231F20"/>
        </w:rPr>
        <w:t>Securities</w:t>
      </w:r>
      <w:r>
        <w:rPr>
          <w:sz w:val="20"/>
          <w:szCs w:val="20"/>
          <w:color w:val="auto"/>
        </w:rPr>
        <w:tab/>
      </w:r>
      <w:r>
        <w:rPr>
          <w:rFonts w:ascii="Times New Roman" w:cs="Times New Roman" w:eastAsia="Times New Roman" w:hAnsi="Times New Roman"/>
          <w:sz w:val="18"/>
          <w:szCs w:val="18"/>
          <w:color w:val="231F20"/>
        </w:rPr>
        <w:t>58</w:t>
      </w:r>
    </w:p>
    <w:p>
      <w:pPr>
        <w:spacing w:after="0"/>
        <w:tabs>
          <w:tab w:leader="none" w:pos="960" w:val="left"/>
          <w:tab w:leader="dot" w:pos="10000" w:val="left"/>
        </w:tabs>
        <w:rPr>
          <w:sz w:val="20"/>
          <w:szCs w:val="20"/>
          <w:color w:val="auto"/>
        </w:rPr>
      </w:pPr>
      <w:r>
        <w:rPr>
          <w:rFonts w:ascii="Times New Roman" w:cs="Times New Roman" w:eastAsia="Times New Roman" w:hAnsi="Times New Roman"/>
          <w:sz w:val="19"/>
          <w:szCs w:val="19"/>
          <w:color w:val="231F20"/>
        </w:rPr>
        <w:t>ITEM 6.</w:t>
      </w:r>
      <w:r>
        <w:rPr>
          <w:sz w:val="20"/>
          <w:szCs w:val="20"/>
          <w:color w:val="auto"/>
        </w:rPr>
        <w:tab/>
      </w:r>
      <w:r>
        <w:rPr>
          <w:rFonts w:ascii="Times New Roman" w:cs="Times New Roman" w:eastAsia="Times New Roman" w:hAnsi="Times New Roman"/>
          <w:sz w:val="19"/>
          <w:szCs w:val="19"/>
          <w:color w:val="231F20"/>
        </w:rPr>
        <w:t>Reserved</w:t>
      </w:r>
      <w:r>
        <w:rPr>
          <w:sz w:val="20"/>
          <w:szCs w:val="20"/>
          <w:color w:val="auto"/>
        </w:rPr>
        <w:tab/>
      </w:r>
      <w:r>
        <w:rPr>
          <w:rFonts w:ascii="Times New Roman" w:cs="Times New Roman" w:eastAsia="Times New Roman" w:hAnsi="Times New Roman"/>
          <w:sz w:val="18"/>
          <w:szCs w:val="18"/>
          <w:color w:val="231F20"/>
        </w:rPr>
        <w:t>61</w:t>
      </w:r>
    </w:p>
    <w:p>
      <w:pPr>
        <w:spacing w:after="0"/>
        <w:tabs>
          <w:tab w:leader="none" w:pos="960" w:val="left"/>
          <w:tab w:leader="dot" w:pos="10000" w:val="left"/>
        </w:tabs>
        <w:rPr>
          <w:sz w:val="20"/>
          <w:szCs w:val="20"/>
          <w:color w:val="auto"/>
        </w:rPr>
      </w:pPr>
      <w:r>
        <w:rPr>
          <w:rFonts w:ascii="Times New Roman" w:cs="Times New Roman" w:eastAsia="Times New Roman" w:hAnsi="Times New Roman"/>
          <w:sz w:val="19"/>
          <w:szCs w:val="19"/>
          <w:color w:val="231F20"/>
        </w:rPr>
        <w:t>ITEM 7.</w:t>
      </w:r>
      <w:r>
        <w:rPr>
          <w:sz w:val="20"/>
          <w:szCs w:val="20"/>
          <w:color w:val="auto"/>
        </w:rPr>
        <w:tab/>
      </w:r>
      <w:r>
        <w:rPr>
          <w:rFonts w:ascii="Times New Roman" w:cs="Times New Roman" w:eastAsia="Times New Roman" w:hAnsi="Times New Roman"/>
          <w:sz w:val="19"/>
          <w:szCs w:val="19"/>
          <w:color w:val="231F20"/>
        </w:rPr>
        <w:t>Management’s Discussion and Analysis of Financial Condition and Results of Operations</w:t>
      </w:r>
      <w:r>
        <w:rPr>
          <w:sz w:val="20"/>
          <w:szCs w:val="20"/>
          <w:color w:val="auto"/>
        </w:rPr>
        <w:tab/>
      </w:r>
      <w:r>
        <w:rPr>
          <w:rFonts w:ascii="Times New Roman" w:cs="Times New Roman" w:eastAsia="Times New Roman" w:hAnsi="Times New Roman"/>
          <w:sz w:val="18"/>
          <w:szCs w:val="18"/>
          <w:color w:val="231F20"/>
        </w:rPr>
        <w:t>62</w:t>
      </w:r>
    </w:p>
    <w:p>
      <w:pPr>
        <w:spacing w:after="0"/>
        <w:tabs>
          <w:tab w:leader="none" w:pos="960" w:val="left"/>
          <w:tab w:leader="dot" w:pos="10000" w:val="left"/>
        </w:tabs>
        <w:rPr>
          <w:sz w:val="20"/>
          <w:szCs w:val="20"/>
          <w:color w:val="auto"/>
        </w:rPr>
      </w:pPr>
      <w:r>
        <w:rPr>
          <w:rFonts w:ascii="Times New Roman" w:cs="Times New Roman" w:eastAsia="Times New Roman" w:hAnsi="Times New Roman"/>
          <w:sz w:val="19"/>
          <w:szCs w:val="19"/>
          <w:color w:val="231F20"/>
        </w:rPr>
        <w:t>ITEM 7A.</w:t>
        <w:tab/>
        <w:t>Quantitative and Qualitative Disclosures About Market Risk</w:t>
      </w:r>
      <w:r>
        <w:rPr>
          <w:sz w:val="20"/>
          <w:szCs w:val="20"/>
          <w:color w:val="auto"/>
        </w:rPr>
        <w:tab/>
      </w:r>
      <w:r>
        <w:rPr>
          <w:rFonts w:ascii="Times New Roman" w:cs="Times New Roman" w:eastAsia="Times New Roman" w:hAnsi="Times New Roman"/>
          <w:sz w:val="18"/>
          <w:szCs w:val="18"/>
          <w:color w:val="231F20"/>
        </w:rPr>
        <w:t>87</w:t>
      </w:r>
    </w:p>
    <w:p>
      <w:pPr>
        <w:spacing w:after="0"/>
        <w:tabs>
          <w:tab w:leader="none" w:pos="960" w:val="left"/>
          <w:tab w:leader="dot" w:pos="9920" w:val="left"/>
        </w:tabs>
        <w:rPr>
          <w:sz w:val="20"/>
          <w:szCs w:val="20"/>
          <w:color w:val="auto"/>
        </w:rPr>
      </w:pPr>
      <w:r>
        <w:rPr>
          <w:rFonts w:ascii="Times New Roman" w:cs="Times New Roman" w:eastAsia="Times New Roman" w:hAnsi="Times New Roman"/>
          <w:sz w:val="19"/>
          <w:szCs w:val="19"/>
          <w:color w:val="231F20"/>
        </w:rPr>
        <w:t>ITEM 8.</w:t>
      </w:r>
      <w:r>
        <w:rPr>
          <w:sz w:val="20"/>
          <w:szCs w:val="20"/>
          <w:color w:val="auto"/>
        </w:rPr>
        <w:tab/>
      </w:r>
      <w:r>
        <w:rPr>
          <w:rFonts w:ascii="Times New Roman" w:cs="Times New Roman" w:eastAsia="Times New Roman" w:hAnsi="Times New Roman"/>
          <w:sz w:val="19"/>
          <w:szCs w:val="19"/>
          <w:color w:val="231F20"/>
        </w:rPr>
        <w:t>Consolidated Financial Statements and Supplementary Data</w:t>
      </w:r>
      <w:r>
        <w:rPr>
          <w:sz w:val="20"/>
          <w:szCs w:val="20"/>
          <w:color w:val="auto"/>
        </w:rPr>
        <w:tab/>
      </w:r>
      <w:r>
        <w:rPr>
          <w:rFonts w:ascii="Times New Roman" w:cs="Times New Roman" w:eastAsia="Times New Roman" w:hAnsi="Times New Roman"/>
          <w:sz w:val="18"/>
          <w:szCs w:val="18"/>
          <w:color w:val="231F20"/>
        </w:rPr>
        <w:t>F-1</w:t>
      </w:r>
    </w:p>
    <w:p>
      <w:pPr>
        <w:spacing w:after="0"/>
        <w:tabs>
          <w:tab w:leader="none" w:pos="960" w:val="left"/>
          <w:tab w:leader="dot" w:pos="10000" w:val="left"/>
        </w:tabs>
        <w:rPr>
          <w:sz w:val="20"/>
          <w:szCs w:val="20"/>
          <w:color w:val="auto"/>
        </w:rPr>
      </w:pPr>
      <w:r>
        <w:rPr>
          <w:rFonts w:ascii="Times New Roman" w:cs="Times New Roman" w:eastAsia="Times New Roman" w:hAnsi="Times New Roman"/>
          <w:sz w:val="19"/>
          <w:szCs w:val="19"/>
          <w:color w:val="231F20"/>
        </w:rPr>
        <w:t>ITEM 9.</w:t>
      </w:r>
      <w:r>
        <w:rPr>
          <w:sz w:val="20"/>
          <w:szCs w:val="20"/>
          <w:color w:val="auto"/>
        </w:rPr>
        <w:tab/>
      </w:r>
      <w:r>
        <w:rPr>
          <w:rFonts w:ascii="Times New Roman" w:cs="Times New Roman" w:eastAsia="Times New Roman" w:hAnsi="Times New Roman"/>
          <w:sz w:val="19"/>
          <w:szCs w:val="19"/>
          <w:color w:val="231F20"/>
        </w:rPr>
        <w:t>Changes in and Disagreements with Accountants on Accounting and Financial Disclosure</w:t>
      </w:r>
      <w:r>
        <w:rPr>
          <w:sz w:val="20"/>
          <w:szCs w:val="20"/>
          <w:color w:val="auto"/>
        </w:rPr>
        <w:tab/>
      </w:r>
      <w:r>
        <w:rPr>
          <w:rFonts w:ascii="Times New Roman" w:cs="Times New Roman" w:eastAsia="Times New Roman" w:hAnsi="Times New Roman"/>
          <w:sz w:val="18"/>
          <w:szCs w:val="18"/>
          <w:color w:val="231F20"/>
        </w:rPr>
        <w:t>89</w:t>
      </w:r>
    </w:p>
    <w:p>
      <w:pPr>
        <w:spacing w:after="0"/>
        <w:tabs>
          <w:tab w:leader="none" w:pos="960" w:val="left"/>
          <w:tab w:leader="dot" w:pos="10000" w:val="left"/>
        </w:tabs>
        <w:rPr>
          <w:sz w:val="20"/>
          <w:szCs w:val="20"/>
          <w:color w:val="auto"/>
        </w:rPr>
      </w:pPr>
      <w:r>
        <w:rPr>
          <w:rFonts w:ascii="Times New Roman" w:cs="Times New Roman" w:eastAsia="Times New Roman" w:hAnsi="Times New Roman"/>
          <w:sz w:val="19"/>
          <w:szCs w:val="19"/>
          <w:color w:val="231F20"/>
        </w:rPr>
        <w:t>ITEM 9A.</w:t>
        <w:tab/>
        <w:t>Controls and Procedures</w:t>
      </w:r>
      <w:r>
        <w:rPr>
          <w:sz w:val="20"/>
          <w:szCs w:val="20"/>
          <w:color w:val="auto"/>
        </w:rPr>
        <w:tab/>
      </w:r>
      <w:r>
        <w:rPr>
          <w:rFonts w:ascii="Times New Roman" w:cs="Times New Roman" w:eastAsia="Times New Roman" w:hAnsi="Times New Roman"/>
          <w:sz w:val="18"/>
          <w:szCs w:val="18"/>
          <w:color w:val="231F20"/>
        </w:rPr>
        <w:t>89</w:t>
      </w:r>
    </w:p>
    <w:p>
      <w:pPr>
        <w:spacing w:after="0"/>
        <w:tabs>
          <w:tab w:leader="none" w:pos="960" w:val="left"/>
          <w:tab w:leader="dot" w:pos="10000" w:val="left"/>
        </w:tabs>
        <w:rPr>
          <w:sz w:val="20"/>
          <w:szCs w:val="20"/>
          <w:color w:val="auto"/>
        </w:rPr>
      </w:pPr>
      <w:r>
        <w:rPr>
          <w:rFonts w:ascii="Times New Roman" w:cs="Times New Roman" w:eastAsia="Times New Roman" w:hAnsi="Times New Roman"/>
          <w:sz w:val="19"/>
          <w:szCs w:val="19"/>
          <w:color w:val="231F20"/>
        </w:rPr>
        <w:t>ITEM 9B.</w:t>
        <w:tab/>
        <w:t>Other Information</w:t>
      </w:r>
      <w:r>
        <w:rPr>
          <w:sz w:val="20"/>
          <w:szCs w:val="20"/>
          <w:color w:val="auto"/>
        </w:rPr>
        <w:tab/>
      </w:r>
      <w:r>
        <w:rPr>
          <w:rFonts w:ascii="Times New Roman" w:cs="Times New Roman" w:eastAsia="Times New Roman" w:hAnsi="Times New Roman"/>
          <w:sz w:val="18"/>
          <w:szCs w:val="18"/>
          <w:color w:val="231F20"/>
        </w:rPr>
        <w:t>89</w:t>
      </w:r>
    </w:p>
    <w:p>
      <w:pPr>
        <w:spacing w:after="0"/>
        <w:tabs>
          <w:tab w:leader="none" w:pos="960" w:val="left"/>
          <w:tab w:leader="dot" w:pos="10000" w:val="left"/>
        </w:tabs>
        <w:rPr>
          <w:sz w:val="20"/>
          <w:szCs w:val="20"/>
          <w:color w:val="auto"/>
        </w:rPr>
      </w:pPr>
      <w:r>
        <w:rPr>
          <w:rFonts w:ascii="Times New Roman" w:cs="Times New Roman" w:eastAsia="Times New Roman" w:hAnsi="Times New Roman"/>
          <w:sz w:val="19"/>
          <w:szCs w:val="19"/>
          <w:color w:val="231F20"/>
        </w:rPr>
        <w:t>ITEM 9C.</w:t>
        <w:tab/>
        <w:t>Disclosure Regarding Foreign Jurisdictions that Prevent Inspections</w:t>
      </w:r>
      <w:r>
        <w:rPr>
          <w:sz w:val="20"/>
          <w:szCs w:val="20"/>
          <w:color w:val="auto"/>
        </w:rPr>
        <w:tab/>
      </w:r>
      <w:r>
        <w:rPr>
          <w:rFonts w:ascii="Times New Roman" w:cs="Times New Roman" w:eastAsia="Times New Roman" w:hAnsi="Times New Roman"/>
          <w:sz w:val="18"/>
          <w:szCs w:val="18"/>
          <w:color w:val="231F20"/>
        </w:rPr>
        <w:t>89</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231F20"/>
        </w:rPr>
        <w:t>PART III</w:t>
      </w:r>
    </w:p>
    <w:p>
      <w:pPr>
        <w:spacing w:after="0" w:line="27" w:lineRule="exact"/>
        <w:rPr>
          <w:sz w:val="20"/>
          <w:szCs w:val="20"/>
          <w:color w:val="auto"/>
        </w:rPr>
      </w:pPr>
    </w:p>
    <w:p>
      <w:pPr>
        <w:spacing w:after="0"/>
        <w:tabs>
          <w:tab w:leader="none" w:pos="960" w:val="left"/>
          <w:tab w:leader="dot" w:pos="10000" w:val="left"/>
        </w:tabs>
        <w:rPr>
          <w:sz w:val="20"/>
          <w:szCs w:val="20"/>
          <w:color w:val="auto"/>
        </w:rPr>
      </w:pPr>
      <w:r>
        <w:rPr>
          <w:rFonts w:ascii="Times New Roman" w:cs="Times New Roman" w:eastAsia="Times New Roman" w:hAnsi="Times New Roman"/>
          <w:sz w:val="19"/>
          <w:szCs w:val="19"/>
          <w:color w:val="231F20"/>
        </w:rPr>
        <w:t>ITEM 10.</w:t>
        <w:tab/>
        <w:t>Directors, Executive Officers and Corporate Governance</w:t>
      </w:r>
      <w:r>
        <w:rPr>
          <w:sz w:val="20"/>
          <w:szCs w:val="20"/>
          <w:color w:val="auto"/>
        </w:rPr>
        <w:tab/>
      </w:r>
      <w:r>
        <w:rPr>
          <w:rFonts w:ascii="Times New Roman" w:cs="Times New Roman" w:eastAsia="Times New Roman" w:hAnsi="Times New Roman"/>
          <w:sz w:val="18"/>
          <w:szCs w:val="18"/>
          <w:color w:val="231F20"/>
        </w:rPr>
        <w:t>90</w:t>
      </w:r>
    </w:p>
    <w:p>
      <w:pPr>
        <w:spacing w:after="0"/>
        <w:tabs>
          <w:tab w:leader="none" w:pos="960" w:val="left"/>
          <w:tab w:leader="dot" w:pos="10000" w:val="left"/>
        </w:tabs>
        <w:rPr>
          <w:sz w:val="20"/>
          <w:szCs w:val="20"/>
          <w:color w:val="auto"/>
        </w:rPr>
      </w:pPr>
      <w:r>
        <w:rPr>
          <w:rFonts w:ascii="Times New Roman" w:cs="Times New Roman" w:eastAsia="Times New Roman" w:hAnsi="Times New Roman"/>
          <w:sz w:val="19"/>
          <w:szCs w:val="19"/>
          <w:color w:val="231F20"/>
        </w:rPr>
        <w:t>ITEM 11.</w:t>
        <w:tab/>
        <w:t>Executive Compensation</w:t>
      </w:r>
      <w:r>
        <w:rPr>
          <w:sz w:val="20"/>
          <w:szCs w:val="20"/>
          <w:color w:val="auto"/>
        </w:rPr>
        <w:tab/>
      </w:r>
      <w:r>
        <w:rPr>
          <w:rFonts w:ascii="Times New Roman" w:cs="Times New Roman" w:eastAsia="Times New Roman" w:hAnsi="Times New Roman"/>
          <w:sz w:val="18"/>
          <w:szCs w:val="18"/>
          <w:color w:val="231F20"/>
        </w:rPr>
        <w:t>90</w:t>
      </w:r>
    </w:p>
    <w:p>
      <w:pPr>
        <w:spacing w:after="0"/>
        <w:tabs>
          <w:tab w:leader="none" w:pos="960" w:val="left"/>
          <w:tab w:leader="dot" w:pos="10000" w:val="left"/>
        </w:tabs>
        <w:rPr>
          <w:sz w:val="20"/>
          <w:szCs w:val="20"/>
          <w:color w:val="auto"/>
        </w:rPr>
      </w:pPr>
      <w:r>
        <w:rPr>
          <w:rFonts w:ascii="Times New Roman" w:cs="Times New Roman" w:eastAsia="Times New Roman" w:hAnsi="Times New Roman"/>
          <w:sz w:val="19"/>
          <w:szCs w:val="19"/>
          <w:color w:val="231F20"/>
        </w:rPr>
        <w:t>ITEM 12.</w:t>
        <w:tab/>
        <w:t>Security Ownership of Certain Beneficial Owners and Management and Related Stockholder Matters</w:t>
      </w:r>
      <w:r>
        <w:rPr>
          <w:sz w:val="20"/>
          <w:szCs w:val="20"/>
          <w:color w:val="auto"/>
        </w:rPr>
        <w:tab/>
      </w:r>
      <w:r>
        <w:rPr>
          <w:rFonts w:ascii="Times New Roman" w:cs="Times New Roman" w:eastAsia="Times New Roman" w:hAnsi="Times New Roman"/>
          <w:sz w:val="18"/>
          <w:szCs w:val="18"/>
          <w:color w:val="231F20"/>
        </w:rPr>
        <w:t>90</w:t>
      </w:r>
    </w:p>
    <w:p>
      <w:pPr>
        <w:spacing w:after="0"/>
        <w:tabs>
          <w:tab w:leader="none" w:pos="960" w:val="left"/>
          <w:tab w:leader="dot" w:pos="10000" w:val="left"/>
        </w:tabs>
        <w:rPr>
          <w:sz w:val="20"/>
          <w:szCs w:val="20"/>
          <w:color w:val="auto"/>
        </w:rPr>
      </w:pPr>
      <w:r>
        <w:rPr>
          <w:rFonts w:ascii="Times New Roman" w:cs="Times New Roman" w:eastAsia="Times New Roman" w:hAnsi="Times New Roman"/>
          <w:sz w:val="19"/>
          <w:szCs w:val="19"/>
          <w:color w:val="231F20"/>
        </w:rPr>
        <w:t>ITEM 13.</w:t>
        <w:tab/>
        <w:t>Certain Relationships and Related Transactions, and Director Independence</w:t>
      </w:r>
      <w:r>
        <w:rPr>
          <w:sz w:val="20"/>
          <w:szCs w:val="20"/>
          <w:color w:val="auto"/>
        </w:rPr>
        <w:tab/>
      </w:r>
      <w:r>
        <w:rPr>
          <w:rFonts w:ascii="Times New Roman" w:cs="Times New Roman" w:eastAsia="Times New Roman" w:hAnsi="Times New Roman"/>
          <w:sz w:val="18"/>
          <w:szCs w:val="18"/>
          <w:color w:val="231F20"/>
        </w:rPr>
        <w:t>90</w:t>
      </w:r>
    </w:p>
    <w:p>
      <w:pPr>
        <w:spacing w:after="0" w:line="1" w:lineRule="exact"/>
        <w:rPr>
          <w:sz w:val="20"/>
          <w:szCs w:val="20"/>
          <w:color w:val="auto"/>
        </w:rPr>
      </w:pPr>
    </w:p>
    <w:p>
      <w:pPr>
        <w:spacing w:after="0"/>
        <w:tabs>
          <w:tab w:leader="none" w:pos="960" w:val="left"/>
          <w:tab w:leader="dot" w:pos="10000" w:val="left"/>
        </w:tabs>
        <w:rPr>
          <w:sz w:val="20"/>
          <w:szCs w:val="20"/>
          <w:color w:val="auto"/>
        </w:rPr>
      </w:pPr>
      <w:r>
        <w:rPr>
          <w:rFonts w:ascii="Times New Roman" w:cs="Times New Roman" w:eastAsia="Times New Roman" w:hAnsi="Times New Roman"/>
          <w:sz w:val="19"/>
          <w:szCs w:val="19"/>
          <w:color w:val="231F20"/>
        </w:rPr>
        <w:t>ITEM 14.</w:t>
        <w:tab/>
        <w:t>Principal Accountant Fees and Services</w:t>
      </w:r>
      <w:r>
        <w:rPr>
          <w:sz w:val="20"/>
          <w:szCs w:val="20"/>
          <w:color w:val="auto"/>
        </w:rPr>
        <w:tab/>
      </w:r>
      <w:r>
        <w:rPr>
          <w:rFonts w:ascii="Times New Roman" w:cs="Times New Roman" w:eastAsia="Times New Roman" w:hAnsi="Times New Roman"/>
          <w:sz w:val="18"/>
          <w:szCs w:val="18"/>
          <w:color w:val="231F20"/>
        </w:rPr>
        <w:t>90</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231F20"/>
        </w:rPr>
        <w:t>PART IV</w:t>
      </w:r>
    </w:p>
    <w:p>
      <w:pPr>
        <w:spacing w:after="0" w:line="27" w:lineRule="exact"/>
        <w:rPr>
          <w:sz w:val="20"/>
          <w:szCs w:val="20"/>
          <w:color w:val="auto"/>
        </w:rPr>
      </w:pPr>
    </w:p>
    <w:p>
      <w:pPr>
        <w:spacing w:after="0"/>
        <w:tabs>
          <w:tab w:leader="none" w:pos="960" w:val="left"/>
          <w:tab w:leader="dot" w:pos="10000" w:val="left"/>
        </w:tabs>
        <w:rPr>
          <w:sz w:val="20"/>
          <w:szCs w:val="20"/>
          <w:color w:val="auto"/>
        </w:rPr>
      </w:pPr>
      <w:r>
        <w:rPr>
          <w:rFonts w:ascii="Times New Roman" w:cs="Times New Roman" w:eastAsia="Times New Roman" w:hAnsi="Times New Roman"/>
          <w:sz w:val="19"/>
          <w:szCs w:val="19"/>
          <w:color w:val="231F20"/>
        </w:rPr>
        <w:t>ITEM 15.</w:t>
        <w:tab/>
        <w:t>Exhibits and Financial Statement Schedules</w:t>
      </w:r>
      <w:r>
        <w:rPr>
          <w:sz w:val="20"/>
          <w:szCs w:val="20"/>
          <w:color w:val="auto"/>
        </w:rPr>
        <w:tab/>
      </w:r>
      <w:r>
        <w:rPr>
          <w:rFonts w:ascii="Times New Roman" w:cs="Times New Roman" w:eastAsia="Times New Roman" w:hAnsi="Times New Roman"/>
          <w:sz w:val="18"/>
          <w:szCs w:val="18"/>
          <w:color w:val="231F20"/>
        </w:rPr>
        <w:t>91</w:t>
      </w:r>
    </w:p>
    <w:p>
      <w:pPr>
        <w:spacing w:after="0"/>
        <w:tabs>
          <w:tab w:leader="none" w:pos="960" w:val="left"/>
          <w:tab w:leader="dot" w:pos="10000" w:val="left"/>
        </w:tabs>
        <w:rPr>
          <w:sz w:val="20"/>
          <w:szCs w:val="20"/>
          <w:color w:val="auto"/>
        </w:rPr>
      </w:pPr>
      <w:r>
        <w:rPr>
          <w:rFonts w:ascii="Times New Roman" w:cs="Times New Roman" w:eastAsia="Times New Roman" w:hAnsi="Times New Roman"/>
          <w:sz w:val="19"/>
          <w:szCs w:val="19"/>
          <w:color w:val="231F20"/>
        </w:rPr>
        <w:t>ITEM 16.</w:t>
        <w:tab/>
        <w:t>Form 10-K Summary</w:t>
      </w:r>
      <w:r>
        <w:rPr>
          <w:sz w:val="20"/>
          <w:szCs w:val="20"/>
          <w:color w:val="auto"/>
        </w:rPr>
        <w:tab/>
      </w:r>
      <w:r>
        <w:rPr>
          <w:rFonts w:ascii="Times New Roman" w:cs="Times New Roman" w:eastAsia="Times New Roman" w:hAnsi="Times New Roman"/>
          <w:sz w:val="18"/>
          <w:szCs w:val="18"/>
          <w:color w:val="231F20"/>
        </w:rPr>
        <w:t>95</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231F20"/>
        </w:rPr>
        <w:t> </w:t>
      </w:r>
    </w:p>
    <w:p>
      <w:pPr>
        <w:sectPr>
          <w:pgSz w:w="12240" w:h="15840" w:orient="portrait"/>
          <w:cols w:equalWidth="0" w:num="1">
            <w:col w:w="10200"/>
          </w:cols>
          <w:pgMar w:left="1020" w:top="1315" w:right="1020" w:bottom="609"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231F20"/>
        </w:rPr>
        <w:t>2</w:t>
      </w:r>
    </w:p>
    <w:p>
      <w:pPr>
        <w:sectPr>
          <w:pgSz w:w="12240" w:h="15840" w:orient="portrait"/>
          <w:cols w:equalWidth="0" w:num="1">
            <w:col w:w="10200"/>
          </w:cols>
          <w:pgMar w:left="1020" w:top="1315" w:right="1020" w:bottom="609" w:gutter="0" w:footer="0" w:header="0"/>
          <w:type w:val="continuous"/>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9"/>
          <w:szCs w:val="19"/>
          <w:b w:val="1"/>
          <w:bCs w:val="1"/>
          <w:color w:val="231F20"/>
        </w:rPr>
        <w:t>CAUTIONARY STATEMENT REGARDING FORWARD-LOOKING STATEMENTS</w:t>
      </w:r>
    </w:p>
    <w:p>
      <w:pPr>
        <w:spacing w:after="0" w:line="227" w:lineRule="exact"/>
        <w:rPr>
          <w:sz w:val="20"/>
          <w:szCs w:val="20"/>
          <w:color w:val="auto"/>
        </w:rPr>
      </w:pPr>
    </w:p>
    <w:p>
      <w:pPr>
        <w:ind w:right="100" w:firstLine="231"/>
        <w:spacing w:after="0" w:line="244" w:lineRule="auto"/>
        <w:rPr>
          <w:sz w:val="20"/>
          <w:szCs w:val="20"/>
          <w:color w:val="auto"/>
        </w:rPr>
      </w:pPr>
      <w:r>
        <w:rPr>
          <w:rFonts w:ascii="Times New Roman" w:cs="Times New Roman" w:eastAsia="Times New Roman" w:hAnsi="Times New Roman"/>
          <w:sz w:val="19"/>
          <w:szCs w:val="19"/>
          <w:color w:val="231F20"/>
        </w:rPr>
        <w:t>This Annual Report contains forward-looking statements that involve substantial risks and uncertainties. These forward-looking statements are not historical facts, but rather are based on current expectations, estimates and projections about us, our current and prospective portfolio investments, our industry, our beliefs, and our assumptions. Words such as “anticipates,” “expects,” “intends,” “plans,” “believes,” “seeks,” “estimates,” “would,” “should,” “targets,” “projects,” and variations of these words and similar expressions are intended to identify forward-looking statements. These statements are not guarantees of future performance and are subject to risks, uncertainties, and other factors, some of which are beyond our control and difficult to predict, that could cause actual results to differ materially from those expressed or forecasted in the forward-looking statements.</w:t>
      </w:r>
    </w:p>
    <w:p>
      <w:pPr>
        <w:spacing w:after="0" w:line="192" w:lineRule="exact"/>
        <w:rPr>
          <w:sz w:val="20"/>
          <w:szCs w:val="20"/>
          <w:color w:val="auto"/>
        </w:rPr>
      </w:pPr>
    </w:p>
    <w:p>
      <w:pPr>
        <w:jc w:val="both"/>
        <w:ind w:right="160" w:firstLine="231"/>
        <w:spacing w:after="0" w:line="257" w:lineRule="auto"/>
        <w:rPr>
          <w:sz w:val="20"/>
          <w:szCs w:val="20"/>
          <w:color w:val="auto"/>
        </w:rPr>
      </w:pPr>
      <w:r>
        <w:rPr>
          <w:rFonts w:ascii="Times New Roman" w:cs="Times New Roman" w:eastAsia="Times New Roman" w:hAnsi="Times New Roman"/>
          <w:sz w:val="19"/>
          <w:szCs w:val="19"/>
          <w:color w:val="231F20"/>
        </w:rPr>
        <w:t>In addition to factors previously identified elsewhere in the reports and other documents Sixth Street Specialty Lending, Inc. has filed with the Securities and Exchange Commission, or SEC, the following factors, among others, could cause actual results to differ materially from forward-looking statements or historical performance:</w:t>
      </w:r>
    </w:p>
    <w:p>
      <w:pPr>
        <w:spacing w:after="0" w:line="77" w:lineRule="exact"/>
        <w:rPr>
          <w:sz w:val="20"/>
          <w:szCs w:val="20"/>
          <w:color w:val="auto"/>
        </w:rPr>
      </w:pPr>
    </w:p>
    <w:p>
      <w:pPr>
        <w:ind w:left="460" w:right="260" w:hanging="229"/>
        <w:spacing w:after="0" w:line="274" w:lineRule="auto"/>
        <w:tabs>
          <w:tab w:leader="none" w:pos="460" w:val="left"/>
        </w:tabs>
        <w:numPr>
          <w:ilvl w:val="0"/>
          <w:numId w:val="3"/>
        </w:numPr>
        <w:rPr>
          <w:rFonts w:ascii="Arial" w:cs="Arial" w:eastAsia="Arial" w:hAnsi="Arial"/>
          <w:sz w:val="19"/>
          <w:szCs w:val="19"/>
          <w:color w:val="231F20"/>
        </w:rPr>
      </w:pPr>
      <w:r>
        <w:rPr>
          <w:rFonts w:ascii="Times New Roman" w:cs="Times New Roman" w:eastAsia="Times New Roman" w:hAnsi="Times New Roman"/>
          <w:sz w:val="19"/>
          <w:szCs w:val="19"/>
          <w:color w:val="231F20"/>
        </w:rPr>
        <w:t>an economic downturn, could impair our portfolio companies’ abilities to continue to operate, which could lead to the loss of some or all of our investments in those portfolio companies;</w:t>
      </w:r>
    </w:p>
    <w:p>
      <w:pPr>
        <w:spacing w:after="0" w:line="61" w:lineRule="exact"/>
        <w:rPr>
          <w:rFonts w:ascii="Arial" w:cs="Arial" w:eastAsia="Arial" w:hAnsi="Arial"/>
          <w:sz w:val="19"/>
          <w:szCs w:val="19"/>
          <w:color w:val="231F20"/>
        </w:rPr>
      </w:pPr>
    </w:p>
    <w:p>
      <w:pPr>
        <w:ind w:left="460" w:hanging="229"/>
        <w:spacing w:after="0" w:line="256" w:lineRule="auto"/>
        <w:tabs>
          <w:tab w:leader="none" w:pos="460" w:val="left"/>
        </w:tabs>
        <w:numPr>
          <w:ilvl w:val="0"/>
          <w:numId w:val="3"/>
        </w:numPr>
        <w:rPr>
          <w:rFonts w:ascii="Arial" w:cs="Arial" w:eastAsia="Arial" w:hAnsi="Arial"/>
          <w:sz w:val="19"/>
          <w:szCs w:val="19"/>
          <w:color w:val="231F20"/>
        </w:rPr>
      </w:pPr>
      <w:r>
        <w:rPr>
          <w:rFonts w:ascii="Times New Roman" w:cs="Times New Roman" w:eastAsia="Times New Roman" w:hAnsi="Times New Roman"/>
          <w:sz w:val="19"/>
          <w:szCs w:val="19"/>
          <w:color w:val="231F20"/>
        </w:rPr>
        <w:t>such an economic downturn could disproportionately impact the companies in which we have invested and others that we intend to target for investment, potentially causing us to experience a decrease in investment opportunities and diminished demand for capital from these companies;</w:t>
      </w:r>
    </w:p>
    <w:p>
      <w:pPr>
        <w:spacing w:after="0" w:line="78" w:lineRule="exact"/>
        <w:rPr>
          <w:rFonts w:ascii="Arial" w:cs="Arial" w:eastAsia="Arial" w:hAnsi="Arial"/>
          <w:sz w:val="19"/>
          <w:szCs w:val="19"/>
          <w:color w:val="231F20"/>
        </w:rPr>
      </w:pPr>
    </w:p>
    <w:p>
      <w:pPr>
        <w:ind w:left="460" w:hanging="229"/>
        <w:spacing w:after="0"/>
        <w:tabs>
          <w:tab w:leader="none" w:pos="460" w:val="left"/>
        </w:tabs>
        <w:numPr>
          <w:ilvl w:val="0"/>
          <w:numId w:val="3"/>
        </w:numPr>
        <w:rPr>
          <w:rFonts w:ascii="Arial" w:cs="Arial" w:eastAsia="Arial" w:hAnsi="Arial"/>
          <w:sz w:val="19"/>
          <w:szCs w:val="19"/>
          <w:color w:val="231F20"/>
        </w:rPr>
      </w:pPr>
      <w:r>
        <w:rPr>
          <w:rFonts w:ascii="Times New Roman" w:cs="Times New Roman" w:eastAsia="Times New Roman" w:hAnsi="Times New Roman"/>
          <w:sz w:val="19"/>
          <w:szCs w:val="19"/>
          <w:color w:val="231F20"/>
        </w:rPr>
        <w:t>such an economic downturn could also impact availability and pricing of our financing;</w:t>
      </w:r>
    </w:p>
    <w:p>
      <w:pPr>
        <w:spacing w:after="0" w:line="124" w:lineRule="exact"/>
        <w:rPr>
          <w:rFonts w:ascii="Arial" w:cs="Arial" w:eastAsia="Arial" w:hAnsi="Arial"/>
          <w:sz w:val="19"/>
          <w:szCs w:val="19"/>
          <w:color w:val="231F20"/>
        </w:rPr>
      </w:pPr>
    </w:p>
    <w:p>
      <w:pPr>
        <w:ind w:left="460" w:hanging="229"/>
        <w:spacing w:after="0"/>
        <w:tabs>
          <w:tab w:leader="none" w:pos="460" w:val="left"/>
        </w:tabs>
        <w:numPr>
          <w:ilvl w:val="0"/>
          <w:numId w:val="3"/>
        </w:numPr>
        <w:rPr>
          <w:rFonts w:ascii="Arial" w:cs="Arial" w:eastAsia="Arial" w:hAnsi="Arial"/>
          <w:sz w:val="19"/>
          <w:szCs w:val="19"/>
          <w:color w:val="231F20"/>
        </w:rPr>
      </w:pPr>
      <w:r>
        <w:rPr>
          <w:rFonts w:ascii="Times New Roman" w:cs="Times New Roman" w:eastAsia="Times New Roman" w:hAnsi="Times New Roman"/>
          <w:sz w:val="19"/>
          <w:szCs w:val="19"/>
          <w:color w:val="231F20"/>
        </w:rPr>
        <w:t>an inability to access the capital markets could impair our ability to raise capital and our investment activities;</w:t>
      </w:r>
    </w:p>
    <w:p>
      <w:pPr>
        <w:spacing w:after="0" w:line="124" w:lineRule="exact"/>
        <w:rPr>
          <w:rFonts w:ascii="Arial" w:cs="Arial" w:eastAsia="Arial" w:hAnsi="Arial"/>
          <w:sz w:val="19"/>
          <w:szCs w:val="19"/>
          <w:color w:val="231F20"/>
        </w:rPr>
      </w:pPr>
    </w:p>
    <w:p>
      <w:pPr>
        <w:ind w:left="460" w:right="380" w:hanging="229"/>
        <w:spacing w:after="0" w:line="274" w:lineRule="auto"/>
        <w:tabs>
          <w:tab w:leader="none" w:pos="460" w:val="left"/>
        </w:tabs>
        <w:numPr>
          <w:ilvl w:val="0"/>
          <w:numId w:val="3"/>
        </w:numPr>
        <w:rPr>
          <w:rFonts w:ascii="Arial" w:cs="Arial" w:eastAsia="Arial" w:hAnsi="Arial"/>
          <w:sz w:val="19"/>
          <w:szCs w:val="19"/>
          <w:color w:val="231F20"/>
        </w:rPr>
      </w:pPr>
      <w:r>
        <w:rPr>
          <w:rFonts w:ascii="Times New Roman" w:cs="Times New Roman" w:eastAsia="Times New Roman" w:hAnsi="Times New Roman"/>
          <w:sz w:val="19"/>
          <w:szCs w:val="19"/>
          <w:color w:val="231F20"/>
        </w:rPr>
        <w:t>inflation could negatively impact our business, including our ability to access the debt markets on favorable terms, or could negatively impact our portfolio companies; and</w:t>
      </w:r>
    </w:p>
    <w:p>
      <w:pPr>
        <w:spacing w:after="0" w:line="61" w:lineRule="exact"/>
        <w:rPr>
          <w:rFonts w:ascii="Arial" w:cs="Arial" w:eastAsia="Arial" w:hAnsi="Arial"/>
          <w:sz w:val="19"/>
          <w:szCs w:val="19"/>
          <w:color w:val="231F20"/>
        </w:rPr>
      </w:pPr>
    </w:p>
    <w:p>
      <w:pPr>
        <w:ind w:left="460" w:right="180" w:hanging="229"/>
        <w:spacing w:after="0" w:line="274" w:lineRule="auto"/>
        <w:tabs>
          <w:tab w:leader="none" w:pos="460" w:val="left"/>
        </w:tabs>
        <w:numPr>
          <w:ilvl w:val="0"/>
          <w:numId w:val="3"/>
        </w:numPr>
        <w:rPr>
          <w:rFonts w:ascii="Arial" w:cs="Arial" w:eastAsia="Arial" w:hAnsi="Arial"/>
          <w:sz w:val="19"/>
          <w:szCs w:val="19"/>
          <w:color w:val="231F20"/>
        </w:rPr>
      </w:pPr>
      <w:r>
        <w:rPr>
          <w:rFonts w:ascii="Times New Roman" w:cs="Times New Roman" w:eastAsia="Times New Roman" w:hAnsi="Times New Roman"/>
          <w:sz w:val="19"/>
          <w:szCs w:val="19"/>
          <w:color w:val="231F20"/>
        </w:rPr>
        <w:t>the risks, uncertainties and other factors we identify in the section entitled “Risk Factors” in this Annual Report and elsewhere in our filings with the SEC.</w:t>
      </w:r>
    </w:p>
    <w:p>
      <w:pPr>
        <w:spacing w:after="0" w:line="161" w:lineRule="exact"/>
        <w:rPr>
          <w:sz w:val="20"/>
          <w:szCs w:val="20"/>
          <w:color w:val="auto"/>
        </w:rPr>
      </w:pPr>
    </w:p>
    <w:p>
      <w:pPr>
        <w:ind w:right="20" w:firstLine="231"/>
        <w:spacing w:after="0" w:line="243" w:lineRule="auto"/>
        <w:rPr>
          <w:sz w:val="20"/>
          <w:szCs w:val="20"/>
          <w:color w:val="auto"/>
        </w:rPr>
      </w:pPr>
      <w:r>
        <w:rPr>
          <w:rFonts w:ascii="Times New Roman" w:cs="Times New Roman" w:eastAsia="Times New Roman" w:hAnsi="Times New Roman"/>
          <w:sz w:val="19"/>
          <w:szCs w:val="19"/>
          <w:color w:val="231F20"/>
        </w:rPr>
        <w:t>Although we believe that the assumptions on which these forward-looking statements are based are reasonable, some of those assumptions are based on the work of third parties and any of those assumptions could prove to be inaccurate; as a result, forward-looking statements based on those assumptions also could prove to be inaccurate. In light of these and other uncertainties, the inclusion of a projection or forward-looking statement in this Annual Report should not be regarded as a representation by us that our plans and objectives will be achieved. You should not place undue reliance on these forward-looking statements, which apply only as of the date of this Annual Report. We do not undertake any obligation to update or revise any forward-looking statements or any other information contained herein, except as required by applicable law. The safe harbor provisions of Section 21E of the Securities Exchange Act of 1934, as amended (the “Exchange Act”), which preclude civil liability for certain forward-looking statements, do not apply to the forward-looking statements in this Annual Report because we are an investment company.</w:t>
      </w:r>
    </w:p>
    <w:p>
      <w:pPr>
        <w:spacing w:after="0" w:line="19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9"/>
          <w:szCs w:val="19"/>
          <w:color w:val="231F20"/>
        </w:rPr>
        <w:t>The “TSLX” and “TAO” marks are marks of Sixth Street.</w:t>
      </w:r>
    </w:p>
    <w:p>
      <w:pPr>
        <w:sectPr>
          <w:pgSz w:w="12240" w:h="15840" w:orient="portrait"/>
          <w:cols w:equalWidth="0" w:num="1">
            <w:col w:w="10180"/>
          </w:cols>
          <w:pgMar w:left="1020" w:top="1315" w:right="1040" w:bottom="609"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231F20"/>
        </w:rPr>
        <w:t>3</w:t>
      </w:r>
    </w:p>
    <w:p>
      <w:pPr>
        <w:sectPr>
          <w:pgSz w:w="12240" w:h="15840" w:orient="portrait"/>
          <w:cols w:equalWidth="0" w:num="1">
            <w:col w:w="10180"/>
          </w:cols>
          <w:pgMar w:left="1020" w:top="1315" w:right="1040" w:bottom="609" w:gutter="0" w:footer="0" w:header="0"/>
          <w:type w:val="continuous"/>
        </w:sectPr>
      </w:pPr>
    </w:p>
    <w:bookmarkStart w:id="3" w:name="page4"/>
    <w:bookmarkEnd w:id="3"/>
    <w:p>
      <w:pPr>
        <w:jc w:val="center"/>
        <w:spacing w:after="0"/>
        <w:rPr>
          <w:sz w:val="20"/>
          <w:szCs w:val="20"/>
          <w:color w:val="auto"/>
        </w:rPr>
      </w:pPr>
      <w:r>
        <w:rPr>
          <w:rFonts w:ascii="Times New Roman" w:cs="Times New Roman" w:eastAsia="Times New Roman" w:hAnsi="Times New Roman"/>
          <w:sz w:val="19"/>
          <w:szCs w:val="19"/>
          <w:b w:val="1"/>
          <w:bCs w:val="1"/>
          <w:color w:val="231F20"/>
        </w:rPr>
        <w:t>PART I</w:t>
      </w:r>
    </w:p>
    <w:p>
      <w:pPr>
        <w:spacing w:after="0" w:line="227" w:lineRule="exact"/>
        <w:rPr>
          <w:sz w:val="20"/>
          <w:szCs w:val="20"/>
          <w:color w:val="auto"/>
        </w:rPr>
      </w:pPr>
    </w:p>
    <w:p>
      <w:pPr>
        <w:ind w:right="200" w:firstLine="231"/>
        <w:spacing w:after="0" w:line="257" w:lineRule="auto"/>
        <w:rPr>
          <w:sz w:val="20"/>
          <w:szCs w:val="20"/>
          <w:color w:val="auto"/>
        </w:rPr>
      </w:pPr>
      <w:r>
        <w:rPr>
          <w:rFonts w:ascii="Times New Roman" w:cs="Times New Roman" w:eastAsia="Times New Roman" w:hAnsi="Times New Roman"/>
          <w:sz w:val="19"/>
          <w:szCs w:val="19"/>
          <w:color w:val="231F20"/>
        </w:rPr>
        <w:t>In this Annual Report, except where the context suggests otherwise, the terms “TSLX,” “we,” “us,” “our,” and “the Company” refer to Sixth Street Specialty Lending, Inc. The term “Adviser” refers to Sixth Street Specialty Lending Advisers, LLC, a Delaware limited liability company. The term “Sixth Street” refers to Sixth Street Partners, LLC.</w:t>
      </w:r>
    </w:p>
    <w:p>
      <w:pPr>
        <w:spacing w:after="0" w:line="33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231F20"/>
        </w:rPr>
        <w:t>ITEM 1. BUSINESS</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231F20"/>
        </w:rPr>
        <w:t>General</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231F20"/>
        </w:rPr>
        <w:t>Our Company</w:t>
      </w:r>
    </w:p>
    <w:p>
      <w:pPr>
        <w:spacing w:after="0" w:line="114" w:lineRule="exact"/>
        <w:rPr>
          <w:sz w:val="20"/>
          <w:szCs w:val="20"/>
          <w:color w:val="auto"/>
        </w:rPr>
      </w:pPr>
    </w:p>
    <w:p>
      <w:pPr>
        <w:ind w:firstLine="231"/>
        <w:spacing w:after="0" w:line="246" w:lineRule="auto"/>
        <w:rPr>
          <w:sz w:val="20"/>
          <w:szCs w:val="20"/>
          <w:color w:val="auto"/>
        </w:rPr>
      </w:pPr>
      <w:r>
        <w:rPr>
          <w:rFonts w:ascii="Times New Roman" w:cs="Times New Roman" w:eastAsia="Times New Roman" w:hAnsi="Times New Roman"/>
          <w:sz w:val="19"/>
          <w:szCs w:val="19"/>
          <w:color w:val="231F20"/>
        </w:rPr>
        <w:t>We are a specialty finance company focused on lending to middle-market companies. Since we began our investment activities in July 2011, through December 31, 2024, we have originated approximately $46.2 billion aggregate principal amount of investments and retained approximately $10.9 billion aggregate principal amount of these investments on our balance sheet prior to any subsequent exits and repayments. We seek to generate current income primarily in U.S.-domiciled middle-market companies through direct originations of senior secured loans and, to a lesser extent, originations of mezzanine and unsecured loans and investments in corporate bonds and equity securities.</w:t>
      </w:r>
    </w:p>
    <w:p>
      <w:pPr>
        <w:spacing w:after="0" w:line="73" w:lineRule="exact"/>
        <w:rPr>
          <w:sz w:val="20"/>
          <w:szCs w:val="20"/>
          <w:color w:val="auto"/>
        </w:rPr>
      </w:pPr>
    </w:p>
    <w:p>
      <w:pPr>
        <w:ind w:right="20" w:firstLine="231"/>
        <w:spacing w:after="0" w:line="246" w:lineRule="auto"/>
        <w:rPr>
          <w:sz w:val="20"/>
          <w:szCs w:val="20"/>
          <w:color w:val="auto"/>
        </w:rPr>
      </w:pPr>
      <w:r>
        <w:rPr>
          <w:rFonts w:ascii="Times New Roman" w:cs="Times New Roman" w:eastAsia="Times New Roman" w:hAnsi="Times New Roman"/>
          <w:sz w:val="19"/>
          <w:szCs w:val="19"/>
          <w:color w:val="231F20"/>
        </w:rPr>
        <w:t>By “middle-market companies,” we mean companies that have annual earnings before interest, income taxes, depreciation and amortization, or EBITDA, which we believe is a useful proxy for cash flow, of $10 million to $250 million, although we may invest in larger or smaller companies on occasion. As of December 31, 2024, our core portfolio companies, which exclude certain investments that fall outside of our typical borrower profile and represent 95.4% of our total investments based on fair value, had weighted average annual revenue of $336.0 million and weighted average annual EBITDA of $110.2 million. As of December 31, 2024, our core portfolio companies had a median annual revenue of $146.9 million and a median annual EBITDA of $53.1 million.</w:t>
      </w:r>
    </w:p>
    <w:p>
      <w:pPr>
        <w:spacing w:after="0" w:line="186" w:lineRule="exact"/>
        <w:rPr>
          <w:sz w:val="20"/>
          <w:szCs w:val="20"/>
          <w:color w:val="auto"/>
        </w:rPr>
      </w:pPr>
    </w:p>
    <w:p>
      <w:pPr>
        <w:ind w:right="60" w:firstLine="231"/>
        <w:spacing w:after="0" w:line="275" w:lineRule="auto"/>
        <w:rPr>
          <w:sz w:val="20"/>
          <w:szCs w:val="20"/>
          <w:color w:val="auto"/>
        </w:rPr>
      </w:pPr>
      <w:r>
        <w:rPr>
          <w:rFonts w:ascii="Times New Roman" w:cs="Times New Roman" w:eastAsia="Times New Roman" w:hAnsi="Times New Roman"/>
          <w:sz w:val="19"/>
          <w:szCs w:val="19"/>
          <w:color w:val="231F20"/>
        </w:rPr>
        <w:t>We generate revenues primarily in the form of interest income from the investments we hold. In addition, we may generate income from dividends on equity investments, capital gains on the sale of investments and various loan origination and other fees.</w:t>
      </w:r>
    </w:p>
    <w:p>
      <w:pPr>
        <w:spacing w:after="0" w:line="160" w:lineRule="exact"/>
        <w:rPr>
          <w:sz w:val="20"/>
          <w:szCs w:val="20"/>
          <w:color w:val="auto"/>
        </w:rPr>
      </w:pPr>
    </w:p>
    <w:p>
      <w:pPr>
        <w:jc w:val="both"/>
        <w:ind w:right="620" w:firstLine="231"/>
        <w:spacing w:after="0" w:line="257" w:lineRule="auto"/>
        <w:rPr>
          <w:sz w:val="20"/>
          <w:szCs w:val="20"/>
          <w:color w:val="auto"/>
        </w:rPr>
      </w:pPr>
      <w:r>
        <w:rPr>
          <w:rFonts w:ascii="Times New Roman" w:cs="Times New Roman" w:eastAsia="Times New Roman" w:hAnsi="Times New Roman"/>
          <w:sz w:val="19"/>
          <w:szCs w:val="19"/>
          <w:color w:val="231F20"/>
        </w:rPr>
        <w:t>We have operated as a business development company, or a BDC, since we began our investment activities in July 2011. In conducting our investment activities, we believe that we benefit from the significant scale and resources of our Adviser and its affiliates.</w:t>
      </w:r>
    </w:p>
    <w:p>
      <w:pPr>
        <w:spacing w:after="0" w:line="176" w:lineRule="exact"/>
        <w:rPr>
          <w:sz w:val="20"/>
          <w:szCs w:val="20"/>
          <w:color w:val="auto"/>
        </w:rPr>
      </w:pPr>
    </w:p>
    <w:p>
      <w:pPr>
        <w:ind w:right="140" w:firstLine="231"/>
        <w:spacing w:after="0" w:line="264" w:lineRule="auto"/>
        <w:rPr>
          <w:sz w:val="20"/>
          <w:szCs w:val="20"/>
          <w:color w:val="auto"/>
        </w:rPr>
      </w:pPr>
      <w:r>
        <w:rPr>
          <w:rFonts w:ascii="Times New Roman" w:cs="Times New Roman" w:eastAsia="Times New Roman" w:hAnsi="Times New Roman"/>
          <w:sz w:val="18"/>
          <w:szCs w:val="18"/>
          <w:color w:val="231F20"/>
        </w:rPr>
        <w:t>We invest in first-lien debt, second-lien debt, mezzanine and unsecured debt and equity and other investments. Our first-lien debt may include stand-alone first-lien loans; “last out” first-lien loans, which are loans that have a secondary priority behind super-senior “first out” first-lien loans; “unitranche” loans, which are loans that combine features of first-lien, second-lien and mezzanine debt, generally in a first-lien position; and secured corporate bonds with similar features to these categories of first-lien loans. Our second-lien debt may include secured loans, and, to a lesser extent, secured corporate bonds, with a secondary priority behind first-lien debt.</w:t>
      </w:r>
    </w:p>
    <w:p>
      <w:pPr>
        <w:spacing w:after="0" w:line="174" w:lineRule="exact"/>
        <w:rPr>
          <w:sz w:val="20"/>
          <w:szCs w:val="20"/>
          <w:color w:val="auto"/>
        </w:rPr>
      </w:pPr>
    </w:p>
    <w:p>
      <w:pPr>
        <w:jc w:val="both"/>
        <w:ind w:right="440" w:firstLine="231"/>
        <w:spacing w:after="0" w:line="257" w:lineRule="auto"/>
        <w:rPr>
          <w:sz w:val="20"/>
          <w:szCs w:val="20"/>
          <w:color w:val="auto"/>
        </w:rPr>
      </w:pPr>
      <w:r>
        <w:rPr>
          <w:rFonts w:ascii="Times New Roman" w:cs="Times New Roman" w:eastAsia="Times New Roman" w:hAnsi="Times New Roman"/>
          <w:sz w:val="19"/>
          <w:szCs w:val="19"/>
          <w:color w:val="231F20"/>
        </w:rPr>
        <w:t>The debt in which we invest typically is not rated by any rating agency, but if these instruments were rated, they would likely receive a rating of below investment grade (that is, below BBB- or Baa3 as defined by Standard &amp; Poor’s and Moody’s Investors Services, respectively), which is often referred to as “junk.”</w:t>
      </w:r>
    </w:p>
    <w:p>
      <w:pPr>
        <w:spacing w:after="0" w:line="176" w:lineRule="exact"/>
        <w:rPr>
          <w:sz w:val="20"/>
          <w:szCs w:val="20"/>
          <w:color w:val="auto"/>
        </w:rPr>
      </w:pPr>
    </w:p>
    <w:p>
      <w:pPr>
        <w:ind w:right="40" w:firstLine="231"/>
        <w:spacing w:after="0" w:line="243" w:lineRule="auto"/>
        <w:rPr>
          <w:sz w:val="20"/>
          <w:szCs w:val="20"/>
          <w:color w:val="auto"/>
        </w:rPr>
      </w:pPr>
      <w:r>
        <w:rPr>
          <w:rFonts w:ascii="Times New Roman" w:cs="Times New Roman" w:eastAsia="Times New Roman" w:hAnsi="Times New Roman"/>
          <w:sz w:val="19"/>
          <w:szCs w:val="19"/>
          <w:color w:val="231F20"/>
        </w:rPr>
        <w:t>As of December 31, 2024, we had investments in 116 portfolio companies (including one structured credit investment, which includes each series of collateralized loan obligation as a separate portfolio company investment), the average investment size in each of our portfolio companies was approximately $30.3 million based on fair value. Portfolio companies includes investments in structured credit investments, which include each series of collateralized loan obligation as a portfolio company investment. When excluding investments in structured credit investments the average investment in our remaining portfolio companies was approximately $30.6 million as of December 31, 2024. The companies in which we invest use our capital to support organic growth, acquisitions, market or product expansion and recapitalizations (including restructurings). As of December 31, 2024, the largest single investment based on fair value represented 2.3% of our total investment portfolio.</w:t>
      </w:r>
    </w:p>
    <w:p>
      <w:pPr>
        <w:spacing w:after="0" w:line="195" w:lineRule="exact"/>
        <w:rPr>
          <w:sz w:val="20"/>
          <w:szCs w:val="20"/>
          <w:color w:val="auto"/>
        </w:rPr>
      </w:pPr>
    </w:p>
    <w:p>
      <w:pPr>
        <w:ind w:right="240" w:firstLine="231"/>
        <w:spacing w:after="0" w:line="257" w:lineRule="auto"/>
        <w:rPr>
          <w:sz w:val="20"/>
          <w:szCs w:val="20"/>
          <w:color w:val="auto"/>
        </w:rPr>
      </w:pPr>
      <w:r>
        <w:rPr>
          <w:rFonts w:ascii="Times New Roman" w:cs="Times New Roman" w:eastAsia="Times New Roman" w:hAnsi="Times New Roman"/>
          <w:sz w:val="19"/>
          <w:szCs w:val="19"/>
          <w:color w:val="231F20"/>
        </w:rPr>
        <w:t>As of December 31, 2024, our portfolio was invested across 21 different industries. The largest industry in our portfolio as of December 31, 2024 was Internet Services, which represented, as a percentage of our portfolio, 16.4% of the total portfolio based on fair value.</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231F20"/>
        </w:rPr>
        <w:t>Relationship with our Adviser, and Sixth Street</w:t>
      </w:r>
    </w:p>
    <w:p>
      <w:pPr>
        <w:spacing w:after="0" w:line="114" w:lineRule="exact"/>
        <w:rPr>
          <w:sz w:val="20"/>
          <w:szCs w:val="20"/>
          <w:color w:val="auto"/>
        </w:rPr>
      </w:pPr>
    </w:p>
    <w:p>
      <w:pPr>
        <w:ind w:right="600" w:firstLine="231"/>
        <w:spacing w:after="0" w:line="304" w:lineRule="auto"/>
        <w:rPr>
          <w:sz w:val="20"/>
          <w:szCs w:val="20"/>
          <w:color w:val="auto"/>
        </w:rPr>
      </w:pPr>
      <w:r>
        <w:rPr>
          <w:rFonts w:ascii="Times New Roman" w:cs="Times New Roman" w:eastAsia="Times New Roman" w:hAnsi="Times New Roman"/>
          <w:sz w:val="18"/>
          <w:szCs w:val="18"/>
          <w:color w:val="231F20"/>
        </w:rPr>
        <w:t>Our Adviser is a Delaware limited liability company. Our Adviser acts as our investment adviser and administrator, and is a registered investment adviser with the SEC under the Investment Advisers Act of 1940, as amended (the “Advisers Act”). Our</w:t>
      </w:r>
    </w:p>
    <w:p>
      <w:pPr>
        <w:sectPr>
          <w:pgSz w:w="12240" w:h="15840" w:orient="portrait"/>
          <w:cols w:equalWidth="0" w:num="1">
            <w:col w:w="10200"/>
          </w:cols>
          <w:pgMar w:left="1020" w:top="1315" w:right="1020" w:bottom="609" w:gutter="0" w:footer="0" w:header="0"/>
        </w:sectPr>
      </w:pPr>
    </w:p>
    <w:p>
      <w:pPr>
        <w:spacing w:after="0" w:line="2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231F20"/>
        </w:rPr>
        <w:t>4</w:t>
      </w:r>
    </w:p>
    <w:p>
      <w:pPr>
        <w:sectPr>
          <w:pgSz w:w="12240" w:h="15840" w:orient="portrait"/>
          <w:cols w:equalWidth="0" w:num="1">
            <w:col w:w="10200"/>
          </w:cols>
          <w:pgMar w:left="1020" w:top="1315" w:right="1020" w:bottom="609" w:gutter="0" w:footer="0" w:header="0"/>
          <w:type w:val="continuous"/>
        </w:sectPr>
      </w:pPr>
    </w:p>
    <w:bookmarkStart w:id="4" w:name="page5"/>
    <w:bookmarkEnd w:id="4"/>
    <w:p>
      <w:pPr>
        <w:ind w:right="20"/>
        <w:spacing w:after="0" w:line="247" w:lineRule="auto"/>
        <w:rPr>
          <w:sz w:val="20"/>
          <w:szCs w:val="20"/>
          <w:color w:val="auto"/>
        </w:rPr>
      </w:pPr>
      <w:r>
        <w:rPr>
          <w:rFonts w:ascii="Times New Roman" w:cs="Times New Roman" w:eastAsia="Times New Roman" w:hAnsi="Times New Roman"/>
          <w:sz w:val="19"/>
          <w:szCs w:val="19"/>
          <w:color w:val="231F20"/>
        </w:rPr>
        <w:t>Adviser sources and manages our portfolio through a dedicated team of investment professionals predominately focused on direct lending, which we refer to as our Investment Team. Our Investment Team is led by our Chairman and Chief Executive Officer and our Adviser’s Co-Chief Investment Officer Joshua Easterly and our Adviser’s Co-Chief Investment Officer Alan Waxman, both of whom have substantial experience in credit origination, underwriting and asset management. Our investment decisions are made by our Investment Review Committee, which includes senior personnel of our Adviser and Sixth Street Partners, LLC or “Sixth Street.”</w:t>
      </w:r>
    </w:p>
    <w:p>
      <w:pPr>
        <w:spacing w:after="0" w:line="188" w:lineRule="exact"/>
        <w:rPr>
          <w:sz w:val="20"/>
          <w:szCs w:val="20"/>
          <w:color w:val="auto"/>
        </w:rPr>
      </w:pPr>
    </w:p>
    <w:p>
      <w:pPr>
        <w:ind w:right="120" w:firstLine="231"/>
        <w:spacing w:after="0" w:line="241" w:lineRule="auto"/>
        <w:rPr>
          <w:sz w:val="20"/>
          <w:szCs w:val="20"/>
          <w:color w:val="auto"/>
        </w:rPr>
      </w:pPr>
      <w:r>
        <w:rPr>
          <w:rFonts w:ascii="Times New Roman" w:cs="Times New Roman" w:eastAsia="Times New Roman" w:hAnsi="Times New Roman"/>
          <w:sz w:val="19"/>
          <w:szCs w:val="19"/>
          <w:color w:val="231F20"/>
        </w:rPr>
        <w:t>Sixth Street is a global investment business with over $100 billion of assets under management as of December 31, 2024. Sixth Street’s direct lending platforms include Sixth Street Specialty Lending and Sixth Street Lending Partners, which are aimed at U.S. upper middle-market loan originations, Sixth Street Specialty Lending Europe, which is aimed at European middle-market loan originations. Additional Sixth Street core platforms include Sixth Street TAO, which has the flexibility to invest across all of Sixth Street’s private credit market investments, Sixth Street Opportunities, which focuses on actively managed opportunistic investments across the credit cycle, Sixth Street Credit Market Strategies, which is the firm’s “public-side” credit investment platform focused on investment opportunities in broadly syndicated leveraged loan markets, Sixth Street Growth, which provides financing solutions to growing companies, Sixth Street Fundamental Strategies, which primarily invests in secondary credit, and Sixth Street Agriculture, which invests in niche agricultural opportunities. Sixth Street has a long-term oriented, highly flexible capital base that allows it to invest across industries, geographies, capital structures and asset classes. Sixth Street has extensive experience with highly complex, global public and private investments executed through primary originations, secondary market purchases and restructurings, and has a team of over 650 investment and operating professionals. As of December 31, 2024, seventy-two (72) of these personnel are dedicated to direct lending, including fifty-seven (57) investment professionals.</w:t>
      </w:r>
    </w:p>
    <w:p>
      <w:pPr>
        <w:spacing w:after="0" w:line="198" w:lineRule="exact"/>
        <w:rPr>
          <w:sz w:val="20"/>
          <w:szCs w:val="20"/>
          <w:color w:val="auto"/>
        </w:rPr>
      </w:pPr>
    </w:p>
    <w:p>
      <w:pPr>
        <w:ind w:right="120" w:firstLine="231"/>
        <w:spacing w:after="0" w:line="244" w:lineRule="auto"/>
        <w:rPr>
          <w:sz w:val="20"/>
          <w:szCs w:val="20"/>
          <w:color w:val="auto"/>
        </w:rPr>
      </w:pPr>
      <w:r>
        <w:rPr>
          <w:rFonts w:ascii="Times New Roman" w:cs="Times New Roman" w:eastAsia="Times New Roman" w:hAnsi="Times New Roman"/>
          <w:sz w:val="19"/>
          <w:szCs w:val="19"/>
          <w:color w:val="231F20"/>
        </w:rPr>
        <w:t>Our Adviser consults with Sixth Street in connection with a substantial number of our investments. The Sixth Street platform provides us with the breadth of large and scalable investment resources. We believe we benefit from Sixth Street’s market expertise, insights into industry, sector and macroeconomic trends and intensive due diligence capabilities, which help us discern market conditions that vary across industries and credit cycles, identify favorable investment opportunities and manage our portfolio of investments. Sixth Street and its affiliates will refer all middle-market loan origination activities for companies domiciled in the United States to us and conduct those activities through us. The Adviser will determine whether it would be permissible, advisable or otherwise appropriate for us to pursue a particular investment opportunity allocated to us.</w:t>
      </w:r>
    </w:p>
    <w:p>
      <w:pPr>
        <w:spacing w:after="0" w:line="192" w:lineRule="exact"/>
        <w:rPr>
          <w:sz w:val="20"/>
          <w:szCs w:val="20"/>
          <w:color w:val="auto"/>
        </w:rPr>
      </w:pPr>
    </w:p>
    <w:p>
      <w:pPr>
        <w:ind w:firstLine="231"/>
        <w:spacing w:after="0" w:line="260" w:lineRule="auto"/>
        <w:rPr>
          <w:sz w:val="20"/>
          <w:szCs w:val="20"/>
          <w:color w:val="auto"/>
        </w:rPr>
      </w:pPr>
      <w:r>
        <w:rPr>
          <w:rFonts w:ascii="Times New Roman" w:cs="Times New Roman" w:eastAsia="Times New Roman" w:hAnsi="Times New Roman"/>
          <w:sz w:val="18"/>
          <w:szCs w:val="18"/>
          <w:color w:val="231F20"/>
        </w:rPr>
        <w:t>On December 16, 2014, we were granted an exemptive order from the SEC that allows us to co-invest, subject to certain conditions and to the extent the size of an investment opportunity exceeds the amount our Adviser has independently determined is appropriate to invest, with certain of our affiliates (including affiliates of Sixth Street) in middle-market loan origination activities for companies domiciled in the United States and certain “follow-on” investments in companies in which we have already co-invested pursuant to the order and remain invested. On January 16, 2020, we filed a further application for co-investment exemptive relief with the SEC to better align our existing co-investment relief with more recent SEC exemptive orders. Subsequent further applications were also made, most recently as June 29, 2022. On August 3, 2022, the SEC granted the new order in response to our application.</w:t>
      </w:r>
    </w:p>
    <w:p>
      <w:pPr>
        <w:spacing w:after="0" w:line="177" w:lineRule="exact"/>
        <w:rPr>
          <w:sz w:val="20"/>
          <w:szCs w:val="20"/>
          <w:color w:val="auto"/>
        </w:rPr>
      </w:pPr>
    </w:p>
    <w:p>
      <w:pPr>
        <w:ind w:right="80" w:firstLine="231"/>
        <w:spacing w:after="0" w:line="247" w:lineRule="auto"/>
        <w:rPr>
          <w:sz w:val="20"/>
          <w:szCs w:val="20"/>
          <w:color w:val="auto"/>
        </w:rPr>
      </w:pPr>
      <w:r>
        <w:rPr>
          <w:rFonts w:ascii="Times New Roman" w:cs="Times New Roman" w:eastAsia="Times New Roman" w:hAnsi="Times New Roman"/>
          <w:sz w:val="19"/>
          <w:szCs w:val="19"/>
          <w:color w:val="231F20"/>
        </w:rPr>
        <w:t>We believe our ability to co-invest with Sixth Street affiliates is particularly useful where we identify larger capital commitments than otherwise would be appropriate for us. We expect that with the ability to co-invest with Sixth Street affiliates we will continue to be able to provide “one-stop” financing to a potential portfolio company in these circumstances, which may allow us to capture opportunities where we alone could not commit the full amount of required capital or would have to spend additional time to locate unaffiliated co-investors. See “</w:t>
      </w:r>
      <w:r>
        <w:rPr>
          <w:rFonts w:ascii="Times New Roman" w:cs="Times New Roman" w:eastAsia="Times New Roman" w:hAnsi="Times New Roman"/>
          <w:sz w:val="19"/>
          <w:szCs w:val="19"/>
          <w:i w:val="1"/>
          <w:iCs w:val="1"/>
          <w:color w:val="231F20"/>
        </w:rPr>
        <w:t>Regulation as a Business Development Company—Transactions with our Affiliates.”</w:t>
      </w:r>
    </w:p>
    <w:p>
      <w:pPr>
        <w:spacing w:after="0" w:line="188" w:lineRule="exact"/>
        <w:rPr>
          <w:sz w:val="20"/>
          <w:szCs w:val="20"/>
          <w:color w:val="auto"/>
        </w:rPr>
      </w:pPr>
    </w:p>
    <w:p>
      <w:pPr>
        <w:jc w:val="both"/>
        <w:ind w:right="80" w:firstLine="231"/>
        <w:spacing w:after="0" w:line="304" w:lineRule="auto"/>
        <w:rPr>
          <w:sz w:val="20"/>
          <w:szCs w:val="20"/>
          <w:color w:val="auto"/>
        </w:rPr>
      </w:pPr>
      <w:r>
        <w:rPr>
          <w:rFonts w:ascii="Times New Roman" w:cs="Times New Roman" w:eastAsia="Times New Roman" w:hAnsi="Times New Roman"/>
          <w:sz w:val="18"/>
          <w:szCs w:val="18"/>
          <w:color w:val="231F20"/>
        </w:rPr>
        <w:t>The Adviser is responsible for managing our day-to-day business affairs, including implementing investment policies and strategic initiatives set by our Investment Team and managing our portfolio under the general oversight of our Investment Review Committee.</w:t>
      </w:r>
    </w:p>
    <w:p>
      <w:pPr>
        <w:spacing w:after="0" w:line="133" w:lineRule="exact"/>
        <w:rPr>
          <w:sz w:val="20"/>
          <w:szCs w:val="20"/>
          <w:color w:val="auto"/>
        </w:rPr>
      </w:pPr>
    </w:p>
    <w:p>
      <w:pPr>
        <w:ind w:right="280" w:firstLine="231"/>
        <w:spacing w:after="0" w:line="252" w:lineRule="auto"/>
        <w:rPr>
          <w:sz w:val="20"/>
          <w:szCs w:val="20"/>
          <w:color w:val="auto"/>
        </w:rPr>
      </w:pPr>
      <w:r>
        <w:rPr>
          <w:rFonts w:ascii="Times New Roman" w:cs="Times New Roman" w:eastAsia="Times New Roman" w:hAnsi="Times New Roman"/>
          <w:sz w:val="19"/>
          <w:szCs w:val="19"/>
          <w:color w:val="231F20"/>
        </w:rPr>
        <w:t>On April 15, 2011, we entered into the Investment Advisory Agreement with our Adviser. The Investment Advisory Agreement was subsequently amended on December 12, 2011. Under the Investment Advisory Agreement, the Adviser provides investment advisory services to us.</w:t>
      </w:r>
    </w:p>
    <w:p>
      <w:pPr>
        <w:spacing w:after="0" w:line="177" w:lineRule="exact"/>
        <w:rPr>
          <w:sz w:val="20"/>
          <w:szCs w:val="20"/>
          <w:color w:val="auto"/>
        </w:rPr>
      </w:pPr>
    </w:p>
    <w:p>
      <w:pPr>
        <w:ind w:right="100" w:firstLine="231"/>
        <w:spacing w:after="0" w:line="239" w:lineRule="auto"/>
        <w:rPr>
          <w:sz w:val="20"/>
          <w:szCs w:val="20"/>
          <w:color w:val="auto"/>
        </w:rPr>
      </w:pPr>
      <w:r>
        <w:rPr>
          <w:rFonts w:ascii="Times New Roman" w:cs="Times New Roman" w:eastAsia="Times New Roman" w:hAnsi="Times New Roman"/>
          <w:sz w:val="19"/>
          <w:szCs w:val="19"/>
          <w:color w:val="231F20"/>
        </w:rPr>
        <w:t>Under the terms of the Investment Advisory Agreement, the Adviser’s services under the Investment Advisory Agreement are not exclusive, and the Adviser is free to furnish similar or other services to others so long as its services to us are not impaired. Under the terms of the Investment Advisory Agreement, we will pay the Adviser the base management fee (the “Management Fee”), and may also pay certain incentive fees (the “Incentive Fees”). For a discussion of the Management Fee and Incentive Fee payable by us to the Adviser, see “</w:t>
      </w:r>
      <w:r>
        <w:rPr>
          <w:rFonts w:ascii="Times New Roman" w:cs="Times New Roman" w:eastAsia="Times New Roman" w:hAnsi="Times New Roman"/>
          <w:sz w:val="19"/>
          <w:szCs w:val="19"/>
          <w:i w:val="1"/>
          <w:iCs w:val="1"/>
          <w:color w:val="231F20"/>
        </w:rPr>
        <w:t>Management Agreements—Investment Advisory Agreement; Administration Agreement; License Agreement</w:t>
      </w:r>
      <w:r>
        <w:rPr>
          <w:rFonts w:ascii="Times New Roman" w:cs="Times New Roman" w:eastAsia="Times New Roman" w:hAnsi="Times New Roman"/>
          <w:sz w:val="19"/>
          <w:szCs w:val="19"/>
          <w:color w:val="231F20"/>
        </w:rPr>
        <w:t>.” Our Board monitors the mix and performance of our investments over time and seeks to satisfy itself that the Adviser is acting in our interests and that our fee structure appropriately incentivizes the Adviser to do so.</w:t>
      </w:r>
    </w:p>
    <w:p>
      <w:pPr>
        <w:spacing w:after="0" w:line="196" w:lineRule="exact"/>
        <w:rPr>
          <w:sz w:val="20"/>
          <w:szCs w:val="20"/>
          <w:color w:val="auto"/>
        </w:rPr>
      </w:pPr>
    </w:p>
    <w:p>
      <w:pPr>
        <w:ind w:right="180" w:firstLine="231"/>
        <w:spacing w:after="0" w:line="304" w:lineRule="auto"/>
        <w:rPr>
          <w:sz w:val="20"/>
          <w:szCs w:val="20"/>
          <w:color w:val="auto"/>
        </w:rPr>
      </w:pPr>
      <w:r>
        <w:rPr>
          <w:rFonts w:ascii="Times New Roman" w:cs="Times New Roman" w:eastAsia="Times New Roman" w:hAnsi="Times New Roman"/>
          <w:sz w:val="18"/>
          <w:szCs w:val="18"/>
          <w:color w:val="231F20"/>
        </w:rPr>
        <w:t>Under the terms of the Administration Agreement, the Adviser also provides administrative services to us. These services include providing office space, equipment and office services, maintaining financial records, preparing reports to stockholders and reports</w:t>
      </w:r>
    </w:p>
    <w:p>
      <w:pPr>
        <w:sectPr>
          <w:pgSz w:w="12240" w:h="15840" w:orient="portrait"/>
          <w:cols w:equalWidth="0" w:num="1">
            <w:col w:w="10200"/>
          </w:cols>
          <w:pgMar w:left="1020" w:top="1317" w:right="1020" w:bottom="609" w:gutter="0" w:footer="0" w:header="0"/>
        </w:sect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231F20"/>
        </w:rPr>
        <w:t>5</w:t>
      </w:r>
    </w:p>
    <w:p>
      <w:pPr>
        <w:sectPr>
          <w:pgSz w:w="12240" w:h="15840" w:orient="portrait"/>
          <w:cols w:equalWidth="0" w:num="1">
            <w:col w:w="10200"/>
          </w:cols>
          <w:pgMar w:left="1020" w:top="1317" w:right="1020" w:bottom="609" w:gutter="0" w:footer="0" w:header="0"/>
          <w:type w:val="continuous"/>
        </w:sectPr>
      </w:pPr>
    </w:p>
    <w:bookmarkStart w:id="5" w:name="page6"/>
    <w:bookmarkEnd w:id="5"/>
    <w:p>
      <w:pPr>
        <w:ind w:right="280"/>
        <w:spacing w:after="0" w:line="257" w:lineRule="auto"/>
        <w:rPr>
          <w:sz w:val="20"/>
          <w:szCs w:val="20"/>
          <w:color w:val="auto"/>
        </w:rPr>
      </w:pPr>
      <w:r>
        <w:rPr>
          <w:rFonts w:ascii="Times New Roman" w:cs="Times New Roman" w:eastAsia="Times New Roman" w:hAnsi="Times New Roman"/>
          <w:sz w:val="19"/>
          <w:szCs w:val="19"/>
          <w:color w:val="231F20"/>
        </w:rPr>
        <w:t>filed with the SEC, and managing the payment of expenses and the oversight of the performance of administrative and professional services rendered by others. Certain of these services are reimbursable to the Adviser under the terms of the Administration Agreement.</w:t>
      </w:r>
    </w:p>
    <w:p>
      <w:pPr>
        <w:spacing w:after="0" w:line="173" w:lineRule="exact"/>
        <w:rPr>
          <w:sz w:val="20"/>
          <w:szCs w:val="20"/>
          <w:color w:val="auto"/>
        </w:rPr>
      </w:pPr>
    </w:p>
    <w:p>
      <w:pPr>
        <w:ind w:right="140" w:firstLine="231"/>
        <w:spacing w:after="0" w:line="252" w:lineRule="auto"/>
        <w:rPr>
          <w:sz w:val="20"/>
          <w:szCs w:val="20"/>
          <w:color w:val="auto"/>
        </w:rPr>
      </w:pPr>
      <w:r>
        <w:rPr>
          <w:rFonts w:ascii="Times New Roman" w:cs="Times New Roman" w:eastAsia="Times New Roman" w:hAnsi="Times New Roman"/>
          <w:sz w:val="19"/>
          <w:szCs w:val="19"/>
          <w:color w:val="231F20"/>
        </w:rPr>
        <w:t>In November 2024, our Board renewed the Investment Advisory Agreement and the Administration Agreement. Unless earlier terminated, the Investment Advisory Agreement will remain in effect until November 2025, and may be extended subject to required approvals.</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231F20"/>
        </w:rPr>
        <w:t>Investment Criteria/Guidelines</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231F20"/>
        </w:rPr>
        <w:t>Investment Decision Process</w:t>
      </w:r>
    </w:p>
    <w:p>
      <w:pPr>
        <w:spacing w:after="0" w:line="10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9"/>
          <w:szCs w:val="19"/>
          <w:color w:val="231F20"/>
        </w:rPr>
        <w:t>Our investment approach involves, among other things:</w:t>
      </w:r>
    </w:p>
    <w:p>
      <w:pPr>
        <w:spacing w:after="0" w:line="121" w:lineRule="exact"/>
        <w:rPr>
          <w:sz w:val="20"/>
          <w:szCs w:val="20"/>
          <w:color w:val="auto"/>
        </w:rPr>
      </w:pPr>
    </w:p>
    <w:p>
      <w:pPr>
        <w:ind w:left="460" w:right="20" w:hanging="229"/>
        <w:spacing w:after="0" w:line="269" w:lineRule="auto"/>
        <w:tabs>
          <w:tab w:leader="none" w:pos="460" w:val="left"/>
        </w:tabs>
        <w:numPr>
          <w:ilvl w:val="0"/>
          <w:numId w:val="4"/>
        </w:numPr>
        <w:rPr>
          <w:rFonts w:ascii="Arial" w:cs="Arial" w:eastAsia="Arial" w:hAnsi="Arial"/>
          <w:sz w:val="19"/>
          <w:szCs w:val="19"/>
          <w:color w:val="231F20"/>
        </w:rPr>
      </w:pPr>
      <w:r>
        <w:rPr>
          <w:rFonts w:ascii="Times New Roman" w:cs="Times New Roman" w:eastAsia="Times New Roman" w:hAnsi="Times New Roman"/>
          <w:sz w:val="19"/>
          <w:szCs w:val="19"/>
          <w:color w:val="231F20"/>
        </w:rPr>
        <w:t>an assessment of the markets, overall macroeconomic environment and how the assessment may impact industry and investment selection;</w:t>
      </w:r>
    </w:p>
    <w:p>
      <w:pPr>
        <w:spacing w:after="0" w:line="61" w:lineRule="exact"/>
        <w:rPr>
          <w:rFonts w:ascii="Arial" w:cs="Arial" w:eastAsia="Arial" w:hAnsi="Arial"/>
          <w:sz w:val="19"/>
          <w:szCs w:val="19"/>
          <w:color w:val="231F20"/>
        </w:rPr>
      </w:pPr>
    </w:p>
    <w:p>
      <w:pPr>
        <w:ind w:left="460" w:hanging="229"/>
        <w:spacing w:after="0"/>
        <w:tabs>
          <w:tab w:leader="none" w:pos="460" w:val="left"/>
        </w:tabs>
        <w:numPr>
          <w:ilvl w:val="0"/>
          <w:numId w:val="4"/>
        </w:numPr>
        <w:rPr>
          <w:rFonts w:ascii="Arial" w:cs="Arial" w:eastAsia="Arial" w:hAnsi="Arial"/>
          <w:sz w:val="19"/>
          <w:szCs w:val="19"/>
          <w:color w:val="231F20"/>
        </w:rPr>
      </w:pPr>
      <w:r>
        <w:rPr>
          <w:rFonts w:ascii="Times New Roman" w:cs="Times New Roman" w:eastAsia="Times New Roman" w:hAnsi="Times New Roman"/>
          <w:sz w:val="19"/>
          <w:szCs w:val="19"/>
          <w:color w:val="231F20"/>
        </w:rPr>
        <w:t>substantial company-specific research and analysis; and</w:t>
      </w:r>
    </w:p>
    <w:p>
      <w:pPr>
        <w:spacing w:after="0" w:line="120" w:lineRule="exact"/>
        <w:rPr>
          <w:rFonts w:ascii="Arial" w:cs="Arial" w:eastAsia="Arial" w:hAnsi="Arial"/>
          <w:sz w:val="19"/>
          <w:szCs w:val="19"/>
          <w:color w:val="231F20"/>
        </w:rPr>
      </w:pPr>
    </w:p>
    <w:p>
      <w:pPr>
        <w:ind w:left="460" w:hanging="229"/>
        <w:spacing w:after="0"/>
        <w:tabs>
          <w:tab w:leader="none" w:pos="460" w:val="left"/>
        </w:tabs>
        <w:numPr>
          <w:ilvl w:val="0"/>
          <w:numId w:val="4"/>
        </w:numPr>
        <w:rPr>
          <w:rFonts w:ascii="Arial" w:cs="Arial" w:eastAsia="Arial" w:hAnsi="Arial"/>
          <w:sz w:val="19"/>
          <w:szCs w:val="19"/>
          <w:color w:val="231F20"/>
        </w:rPr>
      </w:pPr>
      <w:r>
        <w:rPr>
          <w:rFonts w:ascii="Times New Roman" w:cs="Times New Roman" w:eastAsia="Times New Roman" w:hAnsi="Times New Roman"/>
          <w:sz w:val="19"/>
          <w:szCs w:val="19"/>
          <w:color w:val="231F20"/>
        </w:rPr>
        <w:t>with respect to each individual company, an emphasis on capital preservation, low volatility and management of downside risk.</w:t>
      </w:r>
    </w:p>
    <w:p>
      <w:pPr>
        <w:spacing w:after="0" w:line="220" w:lineRule="exact"/>
        <w:rPr>
          <w:sz w:val="20"/>
          <w:szCs w:val="20"/>
          <w:color w:val="auto"/>
        </w:rPr>
      </w:pPr>
    </w:p>
    <w:p>
      <w:pPr>
        <w:ind w:right="380" w:firstLine="231"/>
        <w:spacing w:after="0" w:line="252" w:lineRule="auto"/>
        <w:rPr>
          <w:sz w:val="20"/>
          <w:szCs w:val="20"/>
          <w:color w:val="auto"/>
        </w:rPr>
      </w:pPr>
      <w:r>
        <w:rPr>
          <w:rFonts w:ascii="Times New Roman" w:cs="Times New Roman" w:eastAsia="Times New Roman" w:hAnsi="Times New Roman"/>
          <w:sz w:val="19"/>
          <w:szCs w:val="19"/>
          <w:color w:val="231F20"/>
        </w:rPr>
        <w:t>The foundation of our investment philosophy incorporates intensive analysis, a management discipline based on both market technical and fundamental value-oriented research, and consideration of diversification within our portfolio. We follow a rigorous investment process based on:</w:t>
      </w:r>
    </w:p>
    <w:p>
      <w:pPr>
        <w:spacing w:after="0" w:line="77" w:lineRule="exact"/>
        <w:rPr>
          <w:sz w:val="20"/>
          <w:szCs w:val="20"/>
          <w:color w:val="auto"/>
        </w:rPr>
      </w:pPr>
    </w:p>
    <w:p>
      <w:pPr>
        <w:ind w:left="460" w:hanging="229"/>
        <w:spacing w:after="0"/>
        <w:tabs>
          <w:tab w:leader="none" w:pos="460" w:val="left"/>
        </w:tabs>
        <w:numPr>
          <w:ilvl w:val="0"/>
          <w:numId w:val="5"/>
        </w:numPr>
        <w:rPr>
          <w:rFonts w:ascii="Arial" w:cs="Arial" w:eastAsia="Arial" w:hAnsi="Arial"/>
          <w:sz w:val="18"/>
          <w:szCs w:val="18"/>
          <w:color w:val="231F20"/>
        </w:rPr>
      </w:pPr>
      <w:r>
        <w:rPr>
          <w:rFonts w:ascii="Times New Roman" w:cs="Times New Roman" w:eastAsia="Times New Roman" w:hAnsi="Times New Roman"/>
          <w:sz w:val="18"/>
          <w:szCs w:val="18"/>
          <w:color w:val="231F20"/>
        </w:rPr>
        <w:t>a comprehensive analysis of issuer creditworthiness, including a quantitative and qualitative assessment of the issuer’s business;</w:t>
      </w:r>
    </w:p>
    <w:p>
      <w:pPr>
        <w:spacing w:after="0" w:line="131" w:lineRule="exact"/>
        <w:rPr>
          <w:rFonts w:ascii="Arial" w:cs="Arial" w:eastAsia="Arial" w:hAnsi="Arial"/>
          <w:sz w:val="18"/>
          <w:szCs w:val="18"/>
          <w:color w:val="231F20"/>
        </w:rPr>
      </w:pPr>
    </w:p>
    <w:p>
      <w:pPr>
        <w:ind w:left="460" w:hanging="229"/>
        <w:spacing w:after="0"/>
        <w:tabs>
          <w:tab w:leader="none" w:pos="460" w:val="left"/>
        </w:tabs>
        <w:numPr>
          <w:ilvl w:val="0"/>
          <w:numId w:val="5"/>
        </w:numPr>
        <w:rPr>
          <w:rFonts w:ascii="Arial" w:cs="Arial" w:eastAsia="Arial" w:hAnsi="Arial"/>
          <w:sz w:val="19"/>
          <w:szCs w:val="19"/>
          <w:color w:val="231F20"/>
        </w:rPr>
      </w:pPr>
      <w:r>
        <w:rPr>
          <w:rFonts w:ascii="Times New Roman" w:cs="Times New Roman" w:eastAsia="Times New Roman" w:hAnsi="Times New Roman"/>
          <w:sz w:val="19"/>
          <w:szCs w:val="19"/>
          <w:color w:val="231F20"/>
        </w:rPr>
        <w:t>an evaluation of management and its economic incentives;</w:t>
      </w:r>
    </w:p>
    <w:p>
      <w:pPr>
        <w:spacing w:after="0" w:line="120" w:lineRule="exact"/>
        <w:rPr>
          <w:rFonts w:ascii="Arial" w:cs="Arial" w:eastAsia="Arial" w:hAnsi="Arial"/>
          <w:sz w:val="19"/>
          <w:szCs w:val="19"/>
          <w:color w:val="231F20"/>
        </w:rPr>
      </w:pPr>
    </w:p>
    <w:p>
      <w:pPr>
        <w:ind w:left="460" w:hanging="229"/>
        <w:spacing w:after="0"/>
        <w:tabs>
          <w:tab w:leader="none" w:pos="460" w:val="left"/>
        </w:tabs>
        <w:numPr>
          <w:ilvl w:val="0"/>
          <w:numId w:val="5"/>
        </w:numPr>
        <w:rPr>
          <w:rFonts w:ascii="Arial" w:cs="Arial" w:eastAsia="Arial" w:hAnsi="Arial"/>
          <w:sz w:val="19"/>
          <w:szCs w:val="19"/>
          <w:color w:val="231F20"/>
        </w:rPr>
      </w:pPr>
      <w:r>
        <w:rPr>
          <w:rFonts w:ascii="Times New Roman" w:cs="Times New Roman" w:eastAsia="Times New Roman" w:hAnsi="Times New Roman"/>
          <w:sz w:val="19"/>
          <w:szCs w:val="19"/>
          <w:color w:val="231F20"/>
        </w:rPr>
        <w:t>an analysis of business strategy and industry trends; and</w:t>
      </w:r>
    </w:p>
    <w:p>
      <w:pPr>
        <w:spacing w:after="0" w:line="120" w:lineRule="exact"/>
        <w:rPr>
          <w:rFonts w:ascii="Arial" w:cs="Arial" w:eastAsia="Arial" w:hAnsi="Arial"/>
          <w:sz w:val="19"/>
          <w:szCs w:val="19"/>
          <w:color w:val="231F20"/>
        </w:rPr>
      </w:pPr>
    </w:p>
    <w:p>
      <w:pPr>
        <w:ind w:left="460" w:hanging="229"/>
        <w:spacing w:after="0"/>
        <w:tabs>
          <w:tab w:leader="none" w:pos="460" w:val="left"/>
        </w:tabs>
        <w:numPr>
          <w:ilvl w:val="0"/>
          <w:numId w:val="5"/>
        </w:numPr>
        <w:rPr>
          <w:rFonts w:ascii="Arial" w:cs="Arial" w:eastAsia="Arial" w:hAnsi="Arial"/>
          <w:sz w:val="19"/>
          <w:szCs w:val="19"/>
          <w:color w:val="231F20"/>
        </w:rPr>
      </w:pPr>
      <w:r>
        <w:rPr>
          <w:rFonts w:ascii="Times New Roman" w:cs="Times New Roman" w:eastAsia="Times New Roman" w:hAnsi="Times New Roman"/>
          <w:sz w:val="19"/>
          <w:szCs w:val="19"/>
          <w:color w:val="231F20"/>
        </w:rPr>
        <w:t>an in-depth examination of a prospective portfolio company’s capital structure, financial results and projections.</w:t>
      </w:r>
    </w:p>
    <w:p>
      <w:pPr>
        <w:spacing w:after="0" w:line="220" w:lineRule="exact"/>
        <w:rPr>
          <w:sz w:val="20"/>
          <w:szCs w:val="20"/>
          <w:color w:val="auto"/>
        </w:rPr>
      </w:pPr>
    </w:p>
    <w:p>
      <w:pPr>
        <w:ind w:right="820" w:firstLine="231"/>
        <w:spacing w:after="0" w:line="270" w:lineRule="auto"/>
        <w:rPr>
          <w:sz w:val="20"/>
          <w:szCs w:val="20"/>
          <w:color w:val="auto"/>
        </w:rPr>
      </w:pPr>
      <w:r>
        <w:rPr>
          <w:rFonts w:ascii="Times New Roman" w:cs="Times New Roman" w:eastAsia="Times New Roman" w:hAnsi="Times New Roman"/>
          <w:sz w:val="19"/>
          <w:szCs w:val="19"/>
          <w:color w:val="231F20"/>
        </w:rPr>
        <w:t>We seek to identify those companies exhibiting superior fundamental risk-reward profiles and strong defensible business franchises, while focusing on the absolute and relative value of the investment.</w:t>
      </w:r>
    </w:p>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231F20"/>
        </w:rPr>
        <w:t>Investment Process Overview</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231F20"/>
        </w:rPr>
        <w:t>Origination and Sourcing</w:t>
      </w:r>
    </w:p>
    <w:p>
      <w:pPr>
        <w:spacing w:after="0" w:line="104" w:lineRule="exact"/>
        <w:rPr>
          <w:sz w:val="20"/>
          <w:szCs w:val="20"/>
          <w:color w:val="auto"/>
        </w:rPr>
      </w:pPr>
    </w:p>
    <w:p>
      <w:pPr>
        <w:ind w:firstLine="231"/>
        <w:spacing w:after="0" w:line="241" w:lineRule="auto"/>
        <w:rPr>
          <w:sz w:val="20"/>
          <w:szCs w:val="20"/>
          <w:color w:val="auto"/>
        </w:rPr>
      </w:pPr>
      <w:r>
        <w:rPr>
          <w:rFonts w:ascii="Times New Roman" w:cs="Times New Roman" w:eastAsia="Times New Roman" w:hAnsi="Times New Roman"/>
          <w:sz w:val="19"/>
          <w:szCs w:val="19"/>
          <w:color w:val="231F20"/>
        </w:rPr>
        <w:t>The substantial majority of our investments are not intermediated and are originated without the assistance of investment banks or other traditional Wall Street sources. In addition to executing direct calling campaigns on companies based on the Adviser’s sector and macroeconomic views, our Investment Team also maintains direct contact with financial sponsors, banks, corporate advisory firms, industry consultants, attorneys, investment banks, “club” investors and other potential sources of investment opportunities. The substantial majority of our deals are informed by our current sector views and are sourced directly by our Adviser through our network of contacts. We also identify opportunities through our Adviser’s relationships with Sixth Street.</w:t>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231F20"/>
        </w:rPr>
        <w:t>Due Diligence Process</w:t>
      </w:r>
    </w:p>
    <w:p>
      <w:pPr>
        <w:spacing w:after="0" w:line="104" w:lineRule="exact"/>
        <w:rPr>
          <w:sz w:val="20"/>
          <w:szCs w:val="20"/>
          <w:color w:val="auto"/>
        </w:rPr>
      </w:pPr>
    </w:p>
    <w:p>
      <w:pPr>
        <w:ind w:right="60" w:firstLine="231"/>
        <w:spacing w:after="0" w:line="246" w:lineRule="auto"/>
        <w:rPr>
          <w:sz w:val="20"/>
          <w:szCs w:val="20"/>
          <w:color w:val="auto"/>
        </w:rPr>
      </w:pPr>
      <w:r>
        <w:rPr>
          <w:rFonts w:ascii="Times New Roman" w:cs="Times New Roman" w:eastAsia="Times New Roman" w:hAnsi="Times New Roman"/>
          <w:sz w:val="19"/>
          <w:szCs w:val="19"/>
          <w:color w:val="231F20"/>
        </w:rPr>
        <w:t>The process through which an investment decision is made involves extensive research into the company, its industry, its growth prospects and its ability to withstand adverse conditions. If the investment team responsible for the transaction determines that an investment opportunity should be pursued, we will engage in an intensive due diligence process. Though each transaction will involve a somewhat different approach, our diligence of each opportunity may include:</w:t>
      </w:r>
    </w:p>
    <w:p>
      <w:pPr>
        <w:spacing w:after="0" w:line="82" w:lineRule="exact"/>
        <w:rPr>
          <w:sz w:val="20"/>
          <w:szCs w:val="20"/>
          <w:color w:val="auto"/>
        </w:rPr>
      </w:pPr>
    </w:p>
    <w:p>
      <w:pPr>
        <w:ind w:left="460" w:right="380" w:hanging="229"/>
        <w:spacing w:after="0" w:line="269" w:lineRule="auto"/>
        <w:tabs>
          <w:tab w:leader="none" w:pos="460" w:val="left"/>
        </w:tabs>
        <w:numPr>
          <w:ilvl w:val="0"/>
          <w:numId w:val="6"/>
        </w:numPr>
        <w:rPr>
          <w:rFonts w:ascii="Arial" w:cs="Arial" w:eastAsia="Arial" w:hAnsi="Arial"/>
          <w:sz w:val="19"/>
          <w:szCs w:val="19"/>
          <w:color w:val="231F20"/>
        </w:rPr>
      </w:pPr>
      <w:r>
        <w:rPr>
          <w:rFonts w:ascii="Times New Roman" w:cs="Times New Roman" w:eastAsia="Times New Roman" w:hAnsi="Times New Roman"/>
          <w:sz w:val="19"/>
          <w:szCs w:val="19"/>
          <w:color w:val="231F20"/>
        </w:rPr>
        <w:t>understanding the purpose of the capital requirement, the key personnel and variables, as well as the sources and uses of the proceeds;</w:t>
      </w:r>
    </w:p>
    <w:p>
      <w:pPr>
        <w:spacing w:after="0" w:line="61" w:lineRule="exact"/>
        <w:rPr>
          <w:rFonts w:ascii="Arial" w:cs="Arial" w:eastAsia="Arial" w:hAnsi="Arial"/>
          <w:sz w:val="19"/>
          <w:szCs w:val="19"/>
          <w:color w:val="231F20"/>
        </w:rPr>
      </w:pPr>
    </w:p>
    <w:p>
      <w:pPr>
        <w:ind w:left="460" w:right="120" w:hanging="229"/>
        <w:spacing w:after="0" w:line="269" w:lineRule="auto"/>
        <w:tabs>
          <w:tab w:leader="none" w:pos="460" w:val="left"/>
        </w:tabs>
        <w:numPr>
          <w:ilvl w:val="0"/>
          <w:numId w:val="6"/>
        </w:numPr>
        <w:rPr>
          <w:rFonts w:ascii="Arial" w:cs="Arial" w:eastAsia="Arial" w:hAnsi="Arial"/>
          <w:sz w:val="19"/>
          <w:szCs w:val="19"/>
          <w:color w:val="231F20"/>
        </w:rPr>
      </w:pPr>
      <w:r>
        <w:rPr>
          <w:rFonts w:ascii="Times New Roman" w:cs="Times New Roman" w:eastAsia="Times New Roman" w:hAnsi="Times New Roman"/>
          <w:sz w:val="19"/>
          <w:szCs w:val="19"/>
          <w:color w:val="231F20"/>
        </w:rPr>
        <w:t>meeting the company’s management, including top and middle-level executives, to get an insider’s view of the business, and to probe for potential weaknesses in business prospects;</w:t>
      </w:r>
    </w:p>
    <w:p>
      <w:pPr>
        <w:sectPr>
          <w:pgSz w:w="12240" w:h="15840" w:orient="portrait"/>
          <w:cols w:equalWidth="0" w:num="1">
            <w:col w:w="10200"/>
          </w:cols>
          <w:pgMar w:left="1020" w:top="1317" w:right="1020" w:bottom="609"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231F20"/>
        </w:rPr>
        <w:t>6</w:t>
      </w:r>
    </w:p>
    <w:p>
      <w:pPr>
        <w:sectPr>
          <w:pgSz w:w="12240" w:h="15840" w:orient="portrait"/>
          <w:cols w:equalWidth="0" w:num="1">
            <w:col w:w="10200"/>
          </w:cols>
          <w:pgMar w:left="1020" w:top="1317" w:right="1020" w:bottom="609" w:gutter="0" w:footer="0" w:header="0"/>
          <w:type w:val="continuous"/>
        </w:sectPr>
      </w:pPr>
    </w:p>
    <w:bookmarkStart w:id="6" w:name="page7"/>
    <w:bookmarkEnd w:id="6"/>
    <w:p>
      <w:pPr>
        <w:ind w:left="460" w:hanging="229"/>
        <w:spacing w:after="0"/>
        <w:tabs>
          <w:tab w:leader="none" w:pos="460" w:val="left"/>
        </w:tabs>
        <w:numPr>
          <w:ilvl w:val="0"/>
          <w:numId w:val="7"/>
        </w:numPr>
        <w:rPr>
          <w:rFonts w:ascii="Arial" w:cs="Arial" w:eastAsia="Arial" w:hAnsi="Arial"/>
          <w:sz w:val="19"/>
          <w:szCs w:val="19"/>
          <w:color w:val="231F20"/>
        </w:rPr>
      </w:pPr>
      <w:r>
        <w:rPr>
          <w:rFonts w:ascii="Times New Roman" w:cs="Times New Roman" w:eastAsia="Times New Roman" w:hAnsi="Times New Roman"/>
          <w:sz w:val="19"/>
          <w:szCs w:val="19"/>
          <w:color w:val="231F20"/>
        </w:rPr>
        <w:t>checking management’s backgrounds and references;</w:t>
      </w:r>
    </w:p>
    <w:p>
      <w:pPr>
        <w:spacing w:after="0" w:line="124" w:lineRule="exact"/>
        <w:rPr>
          <w:rFonts w:ascii="Arial" w:cs="Arial" w:eastAsia="Arial" w:hAnsi="Arial"/>
          <w:sz w:val="19"/>
          <w:szCs w:val="19"/>
          <w:color w:val="231F20"/>
        </w:rPr>
      </w:pPr>
    </w:p>
    <w:p>
      <w:pPr>
        <w:ind w:left="460" w:right="160" w:hanging="229"/>
        <w:spacing w:after="0" w:line="274" w:lineRule="auto"/>
        <w:tabs>
          <w:tab w:leader="none" w:pos="460" w:val="left"/>
        </w:tabs>
        <w:numPr>
          <w:ilvl w:val="0"/>
          <w:numId w:val="7"/>
        </w:numPr>
        <w:rPr>
          <w:rFonts w:ascii="Arial" w:cs="Arial" w:eastAsia="Arial" w:hAnsi="Arial"/>
          <w:sz w:val="19"/>
          <w:szCs w:val="19"/>
          <w:color w:val="231F20"/>
        </w:rPr>
      </w:pPr>
      <w:r>
        <w:rPr>
          <w:rFonts w:ascii="Times New Roman" w:cs="Times New Roman" w:eastAsia="Times New Roman" w:hAnsi="Times New Roman"/>
          <w:sz w:val="19"/>
          <w:szCs w:val="19"/>
          <w:color w:val="231F20"/>
        </w:rPr>
        <w:t>performing a detailed review of historical financial performance, including performance through various economic cycles, and the quality of earnings;</w:t>
      </w:r>
    </w:p>
    <w:p>
      <w:pPr>
        <w:spacing w:after="0" w:line="61" w:lineRule="exact"/>
        <w:rPr>
          <w:rFonts w:ascii="Arial" w:cs="Arial" w:eastAsia="Arial" w:hAnsi="Arial"/>
          <w:sz w:val="19"/>
          <w:szCs w:val="19"/>
          <w:color w:val="231F20"/>
        </w:rPr>
      </w:pPr>
    </w:p>
    <w:p>
      <w:pPr>
        <w:ind w:left="460" w:hanging="229"/>
        <w:spacing w:after="0"/>
        <w:tabs>
          <w:tab w:leader="none" w:pos="460" w:val="left"/>
        </w:tabs>
        <w:numPr>
          <w:ilvl w:val="0"/>
          <w:numId w:val="7"/>
        </w:numPr>
        <w:rPr>
          <w:rFonts w:ascii="Arial" w:cs="Arial" w:eastAsia="Arial" w:hAnsi="Arial"/>
          <w:sz w:val="19"/>
          <w:szCs w:val="19"/>
          <w:color w:val="231F20"/>
        </w:rPr>
      </w:pPr>
      <w:r>
        <w:rPr>
          <w:rFonts w:ascii="Times New Roman" w:cs="Times New Roman" w:eastAsia="Times New Roman" w:hAnsi="Times New Roman"/>
          <w:sz w:val="19"/>
          <w:szCs w:val="19"/>
          <w:color w:val="231F20"/>
        </w:rPr>
        <w:t>contacting customers and vendors to assess both business prospects and standard practices;</w:t>
      </w:r>
    </w:p>
    <w:p>
      <w:pPr>
        <w:spacing w:after="0" w:line="124" w:lineRule="exact"/>
        <w:rPr>
          <w:rFonts w:ascii="Arial" w:cs="Arial" w:eastAsia="Arial" w:hAnsi="Arial"/>
          <w:sz w:val="19"/>
          <w:szCs w:val="19"/>
          <w:color w:val="231F20"/>
        </w:rPr>
      </w:pPr>
    </w:p>
    <w:p>
      <w:pPr>
        <w:ind w:left="460" w:right="100" w:hanging="229"/>
        <w:spacing w:after="0" w:line="274" w:lineRule="auto"/>
        <w:tabs>
          <w:tab w:leader="none" w:pos="460" w:val="left"/>
        </w:tabs>
        <w:numPr>
          <w:ilvl w:val="0"/>
          <w:numId w:val="7"/>
        </w:numPr>
        <w:rPr>
          <w:rFonts w:ascii="Arial" w:cs="Arial" w:eastAsia="Arial" w:hAnsi="Arial"/>
          <w:sz w:val="19"/>
          <w:szCs w:val="19"/>
          <w:color w:val="231F20"/>
        </w:rPr>
      </w:pPr>
      <w:r>
        <w:rPr>
          <w:rFonts w:ascii="Times New Roman" w:cs="Times New Roman" w:eastAsia="Times New Roman" w:hAnsi="Times New Roman"/>
          <w:sz w:val="19"/>
          <w:szCs w:val="19"/>
          <w:color w:val="231F20"/>
        </w:rPr>
        <w:t>conducting a competitive analysis, and comparing the company to its main competitors on an operating, financial, market share and valuation basis;</w:t>
      </w:r>
    </w:p>
    <w:p>
      <w:pPr>
        <w:spacing w:after="0" w:line="61" w:lineRule="exact"/>
        <w:rPr>
          <w:rFonts w:ascii="Arial" w:cs="Arial" w:eastAsia="Arial" w:hAnsi="Arial"/>
          <w:sz w:val="19"/>
          <w:szCs w:val="19"/>
          <w:color w:val="231F20"/>
        </w:rPr>
      </w:pPr>
    </w:p>
    <w:p>
      <w:pPr>
        <w:ind w:left="460" w:hanging="229"/>
        <w:spacing w:after="0"/>
        <w:tabs>
          <w:tab w:leader="none" w:pos="460" w:val="left"/>
        </w:tabs>
        <w:numPr>
          <w:ilvl w:val="0"/>
          <w:numId w:val="7"/>
        </w:numPr>
        <w:rPr>
          <w:rFonts w:ascii="Arial" w:cs="Arial" w:eastAsia="Arial" w:hAnsi="Arial"/>
          <w:sz w:val="19"/>
          <w:szCs w:val="19"/>
          <w:color w:val="231F20"/>
        </w:rPr>
      </w:pPr>
      <w:r>
        <w:rPr>
          <w:rFonts w:ascii="Times New Roman" w:cs="Times New Roman" w:eastAsia="Times New Roman" w:hAnsi="Times New Roman"/>
          <w:sz w:val="19"/>
          <w:szCs w:val="19"/>
          <w:color w:val="231F20"/>
        </w:rPr>
        <w:t>researching the industry for historic growth trends and future prospects as well as to identify future exit alternatives;</w:t>
      </w:r>
    </w:p>
    <w:p>
      <w:pPr>
        <w:spacing w:after="0" w:line="124" w:lineRule="exact"/>
        <w:rPr>
          <w:rFonts w:ascii="Arial" w:cs="Arial" w:eastAsia="Arial" w:hAnsi="Arial"/>
          <w:sz w:val="19"/>
          <w:szCs w:val="19"/>
          <w:color w:val="231F20"/>
        </w:rPr>
      </w:pPr>
    </w:p>
    <w:p>
      <w:pPr>
        <w:ind w:left="460" w:hanging="229"/>
        <w:spacing w:after="0"/>
        <w:tabs>
          <w:tab w:leader="none" w:pos="460" w:val="left"/>
        </w:tabs>
        <w:numPr>
          <w:ilvl w:val="0"/>
          <w:numId w:val="7"/>
        </w:numPr>
        <w:rPr>
          <w:rFonts w:ascii="Arial" w:cs="Arial" w:eastAsia="Arial" w:hAnsi="Arial"/>
          <w:sz w:val="19"/>
          <w:szCs w:val="19"/>
          <w:color w:val="231F20"/>
        </w:rPr>
      </w:pPr>
      <w:r>
        <w:rPr>
          <w:rFonts w:ascii="Times New Roman" w:cs="Times New Roman" w:eastAsia="Times New Roman" w:hAnsi="Times New Roman"/>
          <w:sz w:val="19"/>
          <w:szCs w:val="19"/>
          <w:color w:val="231F20"/>
        </w:rPr>
        <w:t>assessing asset value and the ability of physical infrastructure and information systems to handle anticipated growth;</w:t>
      </w:r>
    </w:p>
    <w:p>
      <w:pPr>
        <w:spacing w:after="0" w:line="124" w:lineRule="exact"/>
        <w:rPr>
          <w:rFonts w:ascii="Arial" w:cs="Arial" w:eastAsia="Arial" w:hAnsi="Arial"/>
          <w:sz w:val="19"/>
          <w:szCs w:val="19"/>
          <w:color w:val="231F20"/>
        </w:rPr>
      </w:pPr>
    </w:p>
    <w:p>
      <w:pPr>
        <w:ind w:left="460" w:hanging="229"/>
        <w:spacing w:after="0"/>
        <w:tabs>
          <w:tab w:leader="none" w:pos="460" w:val="left"/>
        </w:tabs>
        <w:numPr>
          <w:ilvl w:val="0"/>
          <w:numId w:val="7"/>
        </w:numPr>
        <w:rPr>
          <w:rFonts w:ascii="Arial" w:cs="Arial" w:eastAsia="Arial" w:hAnsi="Arial"/>
          <w:sz w:val="19"/>
          <w:szCs w:val="19"/>
          <w:color w:val="231F20"/>
        </w:rPr>
      </w:pPr>
      <w:r>
        <w:rPr>
          <w:rFonts w:ascii="Times New Roman" w:cs="Times New Roman" w:eastAsia="Times New Roman" w:hAnsi="Times New Roman"/>
          <w:sz w:val="19"/>
          <w:szCs w:val="19"/>
          <w:color w:val="231F20"/>
        </w:rPr>
        <w:t>leveraging Sixth Street internal resources with institutional knowledge of the company’s business; and</w:t>
      </w:r>
    </w:p>
    <w:p>
      <w:pPr>
        <w:spacing w:after="0" w:line="124" w:lineRule="exact"/>
        <w:rPr>
          <w:rFonts w:ascii="Arial" w:cs="Arial" w:eastAsia="Arial" w:hAnsi="Arial"/>
          <w:sz w:val="19"/>
          <w:szCs w:val="19"/>
          <w:color w:val="231F20"/>
        </w:rPr>
      </w:pPr>
    </w:p>
    <w:p>
      <w:pPr>
        <w:ind w:left="460" w:hanging="229"/>
        <w:spacing w:after="0"/>
        <w:tabs>
          <w:tab w:leader="none" w:pos="460" w:val="left"/>
        </w:tabs>
        <w:numPr>
          <w:ilvl w:val="0"/>
          <w:numId w:val="7"/>
        </w:numPr>
        <w:rPr>
          <w:rFonts w:ascii="Arial" w:cs="Arial" w:eastAsia="Arial" w:hAnsi="Arial"/>
          <w:sz w:val="19"/>
          <w:szCs w:val="19"/>
          <w:color w:val="231F20"/>
        </w:rPr>
      </w:pPr>
      <w:r>
        <w:rPr>
          <w:rFonts w:ascii="Times New Roman" w:cs="Times New Roman" w:eastAsia="Times New Roman" w:hAnsi="Times New Roman"/>
          <w:sz w:val="19"/>
          <w:szCs w:val="19"/>
          <w:color w:val="231F20"/>
        </w:rPr>
        <w:t>investigating legal and regulatory risks and financial and accounting systems and practices.</w:t>
      </w:r>
    </w:p>
    <w:p>
      <w:pPr>
        <w:spacing w:after="0" w:line="34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231F20"/>
        </w:rPr>
        <w:t>Selective Investment Process</w:t>
      </w:r>
    </w:p>
    <w:p>
      <w:pPr>
        <w:spacing w:after="0" w:line="108" w:lineRule="exact"/>
        <w:rPr>
          <w:sz w:val="20"/>
          <w:szCs w:val="20"/>
          <w:color w:val="auto"/>
        </w:rPr>
      </w:pPr>
    </w:p>
    <w:p>
      <w:pPr>
        <w:ind w:right="80" w:firstLine="231"/>
        <w:spacing w:after="0" w:line="247" w:lineRule="auto"/>
        <w:rPr>
          <w:sz w:val="20"/>
          <w:szCs w:val="20"/>
          <w:color w:val="auto"/>
        </w:rPr>
      </w:pPr>
      <w:r>
        <w:rPr>
          <w:rFonts w:ascii="Times New Roman" w:cs="Times New Roman" w:eastAsia="Times New Roman" w:hAnsi="Times New Roman"/>
          <w:sz w:val="19"/>
          <w:szCs w:val="19"/>
          <w:color w:val="231F20"/>
        </w:rPr>
        <w:t>After an investment has been identified and preliminary diligence has been completed, a credit research and analysis report is prepared. This report is reviewed by senior investment professionals. If these senior and other investment professionals are supportive of pursuing the potential investment, then a more extensive due diligence process is employed. Additional due diligence with respect to any investment may be conducted on our behalf by attorneys, independent accountants, and other third-party consultants and research firms prior to the closing of the investment, as appropriate, on a case-by-case basis.</w:t>
      </w:r>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231F20"/>
        </w:rPr>
        <w:t>Issuance of Formal Commitment</w:t>
      </w:r>
    </w:p>
    <w:p>
      <w:pPr>
        <w:spacing w:after="0" w:line="108" w:lineRule="exact"/>
        <w:rPr>
          <w:sz w:val="20"/>
          <w:szCs w:val="20"/>
          <w:color w:val="auto"/>
        </w:rPr>
      </w:pPr>
    </w:p>
    <w:p>
      <w:pPr>
        <w:ind w:right="140" w:firstLine="231"/>
        <w:spacing w:after="0" w:line="250" w:lineRule="auto"/>
        <w:rPr>
          <w:sz w:val="20"/>
          <w:szCs w:val="20"/>
          <w:color w:val="auto"/>
        </w:rPr>
      </w:pPr>
      <w:r>
        <w:rPr>
          <w:rFonts w:ascii="Times New Roman" w:cs="Times New Roman" w:eastAsia="Times New Roman" w:hAnsi="Times New Roman"/>
          <w:sz w:val="19"/>
          <w:szCs w:val="19"/>
          <w:color w:val="231F20"/>
        </w:rPr>
        <w:t>Approval of an investment requires the approval of the Investment Review Committee. Once we have determined that a prospective portfolio company is suitable for investment, we work with the management or financial sponsor of that company and its other capital providers, including senior, junior and equity capital providers, if any, to finalize the structure and terms of the investment.</w:t>
      </w: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231F20"/>
        </w:rPr>
        <w:t>Portfolio Monitoring</w:t>
      </w:r>
    </w:p>
    <w:p>
      <w:pPr>
        <w:spacing w:after="0" w:line="108" w:lineRule="exact"/>
        <w:rPr>
          <w:sz w:val="20"/>
          <w:szCs w:val="20"/>
          <w:color w:val="auto"/>
        </w:rPr>
      </w:pPr>
    </w:p>
    <w:p>
      <w:pPr>
        <w:ind w:right="340" w:firstLine="231"/>
        <w:spacing w:after="0" w:line="304" w:lineRule="auto"/>
        <w:rPr>
          <w:sz w:val="20"/>
          <w:szCs w:val="20"/>
          <w:color w:val="auto"/>
        </w:rPr>
      </w:pPr>
      <w:r>
        <w:rPr>
          <w:rFonts w:ascii="Times New Roman" w:cs="Times New Roman" w:eastAsia="Times New Roman" w:hAnsi="Times New Roman"/>
          <w:sz w:val="18"/>
          <w:szCs w:val="18"/>
          <w:color w:val="231F20"/>
        </w:rPr>
        <w:t>The Adviser monitors our portfolio companies on an ongoing basis. The Adviser monitors the financial trends of each portfolio company to determine if it is meeting its business plans and to assess the appropriate course of action for each company.</w:t>
      </w:r>
    </w:p>
    <w:p>
      <w:pPr>
        <w:spacing w:after="0" w:line="137" w:lineRule="exact"/>
        <w:rPr>
          <w:sz w:val="20"/>
          <w:szCs w:val="20"/>
          <w:color w:val="auto"/>
        </w:rPr>
      </w:pPr>
    </w:p>
    <w:p>
      <w:pPr>
        <w:ind w:right="300" w:firstLine="231"/>
        <w:spacing w:after="0" w:line="275" w:lineRule="auto"/>
        <w:rPr>
          <w:sz w:val="20"/>
          <w:szCs w:val="20"/>
          <w:color w:val="auto"/>
        </w:rPr>
      </w:pPr>
      <w:r>
        <w:rPr>
          <w:rFonts w:ascii="Times New Roman" w:cs="Times New Roman" w:eastAsia="Times New Roman" w:hAnsi="Times New Roman"/>
          <w:sz w:val="19"/>
          <w:szCs w:val="19"/>
          <w:color w:val="231F20"/>
        </w:rPr>
        <w:t>The Adviser has a number of methods of evaluating and monitoring the performance of our investments, which may include the following:</w:t>
      </w:r>
    </w:p>
    <w:p>
      <w:pPr>
        <w:spacing w:after="0" w:line="61" w:lineRule="exact"/>
        <w:rPr>
          <w:sz w:val="20"/>
          <w:szCs w:val="20"/>
          <w:color w:val="auto"/>
        </w:rPr>
      </w:pPr>
    </w:p>
    <w:p>
      <w:pPr>
        <w:ind w:left="460" w:hanging="229"/>
        <w:spacing w:after="0"/>
        <w:tabs>
          <w:tab w:leader="none" w:pos="460" w:val="left"/>
        </w:tabs>
        <w:numPr>
          <w:ilvl w:val="0"/>
          <w:numId w:val="8"/>
        </w:numPr>
        <w:rPr>
          <w:rFonts w:ascii="Arial" w:cs="Arial" w:eastAsia="Arial" w:hAnsi="Arial"/>
          <w:sz w:val="19"/>
          <w:szCs w:val="19"/>
          <w:color w:val="231F20"/>
        </w:rPr>
      </w:pPr>
      <w:r>
        <w:rPr>
          <w:rFonts w:ascii="Times New Roman" w:cs="Times New Roman" w:eastAsia="Times New Roman" w:hAnsi="Times New Roman"/>
          <w:sz w:val="19"/>
          <w:szCs w:val="19"/>
          <w:color w:val="231F20"/>
        </w:rPr>
        <w:t>assessment of success of the portfolio company in adhering to its business plan and compliance with covenants;</w:t>
      </w:r>
    </w:p>
    <w:p>
      <w:pPr>
        <w:spacing w:after="0" w:line="124" w:lineRule="exact"/>
        <w:rPr>
          <w:rFonts w:ascii="Arial" w:cs="Arial" w:eastAsia="Arial" w:hAnsi="Arial"/>
          <w:sz w:val="19"/>
          <w:szCs w:val="19"/>
          <w:color w:val="231F20"/>
        </w:rPr>
      </w:pPr>
    </w:p>
    <w:p>
      <w:pPr>
        <w:ind w:left="460" w:right="540" w:hanging="229"/>
        <w:spacing w:after="0" w:line="274" w:lineRule="auto"/>
        <w:tabs>
          <w:tab w:leader="none" w:pos="460" w:val="left"/>
        </w:tabs>
        <w:numPr>
          <w:ilvl w:val="0"/>
          <w:numId w:val="8"/>
        </w:numPr>
        <w:rPr>
          <w:rFonts w:ascii="Arial" w:cs="Arial" w:eastAsia="Arial" w:hAnsi="Arial"/>
          <w:sz w:val="19"/>
          <w:szCs w:val="19"/>
          <w:color w:val="231F20"/>
        </w:rPr>
      </w:pPr>
      <w:r>
        <w:rPr>
          <w:rFonts w:ascii="Times New Roman" w:cs="Times New Roman" w:eastAsia="Times New Roman" w:hAnsi="Times New Roman"/>
          <w:sz w:val="19"/>
          <w:szCs w:val="19"/>
          <w:color w:val="231F20"/>
        </w:rPr>
        <w:t>periodic and regular contact with portfolio company management and, if appropriate, the financial or strategic sponsor, to discuss financial position, requirements and accomplishments;</w:t>
      </w:r>
    </w:p>
    <w:p>
      <w:pPr>
        <w:spacing w:after="0" w:line="61" w:lineRule="exact"/>
        <w:rPr>
          <w:rFonts w:ascii="Arial" w:cs="Arial" w:eastAsia="Arial" w:hAnsi="Arial"/>
          <w:sz w:val="19"/>
          <w:szCs w:val="19"/>
          <w:color w:val="231F20"/>
        </w:rPr>
      </w:pPr>
    </w:p>
    <w:p>
      <w:pPr>
        <w:ind w:left="460" w:hanging="229"/>
        <w:spacing w:after="0"/>
        <w:tabs>
          <w:tab w:leader="none" w:pos="460" w:val="left"/>
        </w:tabs>
        <w:numPr>
          <w:ilvl w:val="0"/>
          <w:numId w:val="8"/>
        </w:numPr>
        <w:rPr>
          <w:rFonts w:ascii="Arial" w:cs="Arial" w:eastAsia="Arial" w:hAnsi="Arial"/>
          <w:sz w:val="19"/>
          <w:szCs w:val="19"/>
          <w:color w:val="231F20"/>
        </w:rPr>
      </w:pPr>
      <w:r>
        <w:rPr>
          <w:rFonts w:ascii="Times New Roman" w:cs="Times New Roman" w:eastAsia="Times New Roman" w:hAnsi="Times New Roman"/>
          <w:sz w:val="19"/>
          <w:szCs w:val="19"/>
          <w:color w:val="231F20"/>
        </w:rPr>
        <w:t>comparisons to other companies in the industry;</w:t>
      </w:r>
    </w:p>
    <w:p>
      <w:pPr>
        <w:spacing w:after="0" w:line="124" w:lineRule="exact"/>
        <w:rPr>
          <w:rFonts w:ascii="Arial" w:cs="Arial" w:eastAsia="Arial" w:hAnsi="Arial"/>
          <w:sz w:val="19"/>
          <w:szCs w:val="19"/>
          <w:color w:val="231F20"/>
        </w:rPr>
      </w:pPr>
    </w:p>
    <w:p>
      <w:pPr>
        <w:ind w:left="460" w:hanging="229"/>
        <w:spacing w:after="0"/>
        <w:tabs>
          <w:tab w:leader="none" w:pos="460" w:val="left"/>
        </w:tabs>
        <w:numPr>
          <w:ilvl w:val="0"/>
          <w:numId w:val="8"/>
        </w:numPr>
        <w:rPr>
          <w:rFonts w:ascii="Arial" w:cs="Arial" w:eastAsia="Arial" w:hAnsi="Arial"/>
          <w:sz w:val="19"/>
          <w:szCs w:val="19"/>
          <w:color w:val="231F20"/>
        </w:rPr>
      </w:pPr>
      <w:r>
        <w:rPr>
          <w:rFonts w:ascii="Times New Roman" w:cs="Times New Roman" w:eastAsia="Times New Roman" w:hAnsi="Times New Roman"/>
          <w:sz w:val="19"/>
          <w:szCs w:val="19"/>
          <w:color w:val="231F20"/>
        </w:rPr>
        <w:t>attendance at, and participation in, board meetings; and</w:t>
      </w:r>
    </w:p>
    <w:p>
      <w:pPr>
        <w:spacing w:after="0" w:line="124" w:lineRule="exact"/>
        <w:rPr>
          <w:rFonts w:ascii="Arial" w:cs="Arial" w:eastAsia="Arial" w:hAnsi="Arial"/>
          <w:sz w:val="19"/>
          <w:szCs w:val="19"/>
          <w:color w:val="231F20"/>
        </w:rPr>
      </w:pPr>
    </w:p>
    <w:p>
      <w:pPr>
        <w:ind w:left="460" w:hanging="229"/>
        <w:spacing w:after="0"/>
        <w:tabs>
          <w:tab w:leader="none" w:pos="460" w:val="left"/>
        </w:tabs>
        <w:numPr>
          <w:ilvl w:val="0"/>
          <w:numId w:val="8"/>
        </w:numPr>
        <w:rPr>
          <w:rFonts w:ascii="Arial" w:cs="Arial" w:eastAsia="Arial" w:hAnsi="Arial"/>
          <w:sz w:val="19"/>
          <w:szCs w:val="19"/>
          <w:color w:val="231F20"/>
        </w:rPr>
      </w:pPr>
      <w:r>
        <w:rPr>
          <w:rFonts w:ascii="Times New Roman" w:cs="Times New Roman" w:eastAsia="Times New Roman" w:hAnsi="Times New Roman"/>
          <w:sz w:val="19"/>
          <w:szCs w:val="19"/>
          <w:color w:val="231F20"/>
        </w:rPr>
        <w:t>review of monthly and quarterly financial statements and financial projections for portfolio companies.</w:t>
      </w:r>
    </w:p>
    <w:p>
      <w:pPr>
        <w:spacing w:after="0" w:line="225" w:lineRule="exact"/>
        <w:rPr>
          <w:sz w:val="20"/>
          <w:szCs w:val="20"/>
          <w:color w:val="auto"/>
        </w:rPr>
      </w:pPr>
    </w:p>
    <w:p>
      <w:pPr>
        <w:ind w:firstLine="231"/>
        <w:spacing w:after="0" w:line="257" w:lineRule="auto"/>
        <w:rPr>
          <w:sz w:val="20"/>
          <w:szCs w:val="20"/>
          <w:color w:val="auto"/>
        </w:rPr>
      </w:pPr>
      <w:r>
        <w:rPr>
          <w:rFonts w:ascii="Times New Roman" w:cs="Times New Roman" w:eastAsia="Times New Roman" w:hAnsi="Times New Roman"/>
          <w:sz w:val="19"/>
          <w:szCs w:val="19"/>
          <w:color w:val="231F20"/>
        </w:rPr>
        <w:t>As part of the monitoring process, the Adviser regularly assesses the risk profile of each of our investments and, on a quarterly basis, grades each investment on a risk scale of 1 to 5. Risk assessment is not standardized in our industry and our risk assessment may not be comparable to ones used by our competitors. Our assessment is based on the following categories:</w:t>
      </w:r>
    </w:p>
    <w:p>
      <w:pPr>
        <w:spacing w:after="0" w:line="77" w:lineRule="exact"/>
        <w:rPr>
          <w:sz w:val="20"/>
          <w:szCs w:val="20"/>
          <w:color w:val="auto"/>
        </w:rPr>
      </w:pPr>
    </w:p>
    <w:p>
      <w:pPr>
        <w:ind w:left="460" w:hanging="229"/>
        <w:spacing w:after="0" w:line="256" w:lineRule="auto"/>
        <w:tabs>
          <w:tab w:leader="none" w:pos="460" w:val="left"/>
        </w:tabs>
        <w:numPr>
          <w:ilvl w:val="0"/>
          <w:numId w:val="9"/>
        </w:numPr>
        <w:rPr>
          <w:rFonts w:ascii="Arial" w:cs="Arial" w:eastAsia="Arial" w:hAnsi="Arial"/>
          <w:sz w:val="19"/>
          <w:szCs w:val="19"/>
          <w:color w:val="231F20"/>
        </w:rPr>
      </w:pPr>
      <w:r>
        <w:rPr>
          <w:rFonts w:ascii="Times New Roman" w:cs="Times New Roman" w:eastAsia="Times New Roman" w:hAnsi="Times New Roman"/>
          <w:sz w:val="19"/>
          <w:szCs w:val="19"/>
          <w:color w:val="231F20"/>
        </w:rPr>
        <w:t>An investment is rated 1 if, in the opinion of the Adviser, it is performing as agreed and there are no concerns about the portfolio company’s performance or ability to meet covenant requirements. For these investments, the Adviser generally prepares monthly reports on investment performance and intensive quarterly asset reviews.</w:t>
      </w:r>
    </w:p>
    <w:p>
      <w:pPr>
        <w:spacing w:after="0" w:line="78" w:lineRule="exact"/>
        <w:rPr>
          <w:rFonts w:ascii="Arial" w:cs="Arial" w:eastAsia="Arial" w:hAnsi="Arial"/>
          <w:sz w:val="19"/>
          <w:szCs w:val="19"/>
          <w:color w:val="231F20"/>
        </w:rPr>
      </w:pPr>
    </w:p>
    <w:p>
      <w:pPr>
        <w:ind w:left="460" w:right="160" w:hanging="229"/>
        <w:spacing w:after="0" w:line="250" w:lineRule="auto"/>
        <w:tabs>
          <w:tab w:leader="none" w:pos="460" w:val="left"/>
        </w:tabs>
        <w:numPr>
          <w:ilvl w:val="0"/>
          <w:numId w:val="9"/>
        </w:numPr>
        <w:rPr>
          <w:rFonts w:ascii="Arial" w:cs="Arial" w:eastAsia="Arial" w:hAnsi="Arial"/>
          <w:sz w:val="19"/>
          <w:szCs w:val="19"/>
          <w:color w:val="231F20"/>
        </w:rPr>
      </w:pPr>
      <w:r>
        <w:rPr>
          <w:rFonts w:ascii="Times New Roman" w:cs="Times New Roman" w:eastAsia="Times New Roman" w:hAnsi="Times New Roman"/>
          <w:sz w:val="19"/>
          <w:szCs w:val="19"/>
          <w:color w:val="231F20"/>
        </w:rPr>
        <w:t>An investment is rated 2 if it is performing as agreed, but, in the opinion of the Adviser, there may be concerns about the company’s operating performance or trends in the industry. For these investments, in addition to monthly reports and quarterly asset reviews, the Adviser also researches any areas of concern with the objective of early intervention with the portfolio company.</w:t>
      </w:r>
    </w:p>
    <w:p>
      <w:pPr>
        <w:sectPr>
          <w:pgSz w:w="12240" w:h="15840" w:orient="portrait"/>
          <w:cols w:equalWidth="0" w:num="1">
            <w:col w:w="10200"/>
          </w:cols>
          <w:pgMar w:left="1020" w:top="1330" w:right="1020" w:bottom="609" w:gutter="0" w:footer="0" w:header="0"/>
        </w:sect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231F20"/>
        </w:rPr>
        <w:t>7</w:t>
      </w:r>
    </w:p>
    <w:p>
      <w:pPr>
        <w:sectPr>
          <w:pgSz w:w="12240" w:h="15840" w:orient="portrait"/>
          <w:cols w:equalWidth="0" w:num="1">
            <w:col w:w="10200"/>
          </w:cols>
          <w:pgMar w:left="1020" w:top="1330" w:right="1020" w:bottom="609" w:gutter="0" w:footer="0" w:header="0"/>
          <w:type w:val="continuous"/>
        </w:sectPr>
      </w:pPr>
    </w:p>
    <w:bookmarkStart w:id="7" w:name="page8"/>
    <w:bookmarkEnd w:id="7"/>
    <w:p>
      <w:pPr>
        <w:ind w:left="460" w:hanging="229"/>
        <w:spacing w:after="0" w:line="277" w:lineRule="auto"/>
        <w:tabs>
          <w:tab w:leader="none" w:pos="460" w:val="left"/>
        </w:tabs>
        <w:numPr>
          <w:ilvl w:val="0"/>
          <w:numId w:val="10"/>
        </w:numPr>
        <w:rPr>
          <w:rFonts w:ascii="Arial" w:cs="Arial" w:eastAsia="Arial" w:hAnsi="Arial"/>
          <w:sz w:val="18"/>
          <w:szCs w:val="18"/>
          <w:color w:val="231F20"/>
        </w:rPr>
      </w:pPr>
      <w:r>
        <w:rPr>
          <w:rFonts w:ascii="Times New Roman" w:cs="Times New Roman" w:eastAsia="Times New Roman" w:hAnsi="Times New Roman"/>
          <w:sz w:val="18"/>
          <w:szCs w:val="18"/>
          <w:color w:val="231F20"/>
        </w:rPr>
        <w:t>An investment will be assigned a rating of 3 if it is paying its obligations to us as agreed but a material covenant violation is expected. For these investments, in addition to monthly reports and quarterly asset reviews, the Adviser also adds the investment to its “watch list” and researches any areas of concern with the objective of early intervention with the portfolio company.</w:t>
      </w:r>
    </w:p>
    <w:p>
      <w:pPr>
        <w:spacing w:after="0" w:line="60" w:lineRule="exact"/>
        <w:rPr>
          <w:rFonts w:ascii="Arial" w:cs="Arial" w:eastAsia="Arial" w:hAnsi="Arial"/>
          <w:sz w:val="18"/>
          <w:szCs w:val="18"/>
          <w:color w:val="231F20"/>
        </w:rPr>
      </w:pPr>
    </w:p>
    <w:p>
      <w:pPr>
        <w:ind w:left="460" w:right="40" w:hanging="229"/>
        <w:spacing w:after="0" w:line="244" w:lineRule="auto"/>
        <w:tabs>
          <w:tab w:leader="none" w:pos="460" w:val="left"/>
        </w:tabs>
        <w:numPr>
          <w:ilvl w:val="0"/>
          <w:numId w:val="10"/>
        </w:numPr>
        <w:rPr>
          <w:rFonts w:ascii="Arial" w:cs="Arial" w:eastAsia="Arial" w:hAnsi="Arial"/>
          <w:sz w:val="19"/>
          <w:szCs w:val="19"/>
          <w:color w:val="231F20"/>
        </w:rPr>
      </w:pPr>
      <w:r>
        <w:rPr>
          <w:rFonts w:ascii="Times New Roman" w:cs="Times New Roman" w:eastAsia="Times New Roman" w:hAnsi="Times New Roman"/>
          <w:sz w:val="19"/>
          <w:szCs w:val="19"/>
          <w:color w:val="231F20"/>
        </w:rPr>
        <w:t>An investment will be assigned a rating of 4 if a material covenant has been violated, but the company is making its scheduled payments on its obligations to us. For these investments, the Adviser generally prepares a bi-monthly asset review email and generally has monthly meetings with the portfolio company’s senior management. For investments where there have been material defaults, including bankruptcy filings, failures to achieve financial performance requirements or failure to maintain liquidity or loan-to-value requirements, the Adviser often will take immediate action to protect its position. These remedies may include negotiating for additional collateral, modifying investment terms or structure, or payment of amendment and waiver fees.</w:t>
      </w:r>
    </w:p>
    <w:p>
      <w:pPr>
        <w:spacing w:after="0" w:line="91" w:lineRule="exact"/>
        <w:rPr>
          <w:rFonts w:ascii="Arial" w:cs="Arial" w:eastAsia="Arial" w:hAnsi="Arial"/>
          <w:sz w:val="19"/>
          <w:szCs w:val="19"/>
          <w:color w:val="231F20"/>
        </w:rPr>
      </w:pPr>
    </w:p>
    <w:p>
      <w:pPr>
        <w:ind w:left="460" w:right="180" w:hanging="229"/>
        <w:spacing w:after="0" w:line="247" w:lineRule="auto"/>
        <w:tabs>
          <w:tab w:leader="none" w:pos="460" w:val="left"/>
        </w:tabs>
        <w:numPr>
          <w:ilvl w:val="0"/>
          <w:numId w:val="10"/>
        </w:numPr>
        <w:rPr>
          <w:rFonts w:ascii="Arial" w:cs="Arial" w:eastAsia="Arial" w:hAnsi="Arial"/>
          <w:sz w:val="19"/>
          <w:szCs w:val="19"/>
          <w:color w:val="231F20"/>
        </w:rPr>
      </w:pPr>
      <w:r>
        <w:rPr>
          <w:rFonts w:ascii="Times New Roman" w:cs="Times New Roman" w:eastAsia="Times New Roman" w:hAnsi="Times New Roman"/>
          <w:sz w:val="19"/>
          <w:szCs w:val="19"/>
          <w:color w:val="231F20"/>
        </w:rPr>
        <w:t>A rating of 5 indicates an investment is in default on its interest and/or principal payments. For these investments, our Adviser reviews the investment on a bi-monthly basis and, where possible, pursues workouts that achieve an early resolution to avoid further deterioration of our investment. The Adviser retains legal counsel and takes actions to preserve our rights, which may include working with the portfolio company to have the default cured, to have the investment restructured or to have the investment repaid through a consensual workout.</w:t>
      </w:r>
    </w:p>
    <w:p>
      <w:pPr>
        <w:spacing w:after="0" w:line="188" w:lineRule="exact"/>
        <w:rPr>
          <w:sz w:val="20"/>
          <w:szCs w:val="20"/>
          <w:color w:val="auto"/>
        </w:rPr>
      </w:pPr>
    </w:p>
    <w:p>
      <w:pPr>
        <w:ind w:right="40" w:firstLine="231"/>
        <w:spacing w:after="0" w:line="275" w:lineRule="auto"/>
        <w:rPr>
          <w:sz w:val="20"/>
          <w:szCs w:val="20"/>
          <w:color w:val="auto"/>
        </w:rPr>
      </w:pPr>
      <w:r>
        <w:rPr>
          <w:rFonts w:ascii="Times New Roman" w:cs="Times New Roman" w:eastAsia="Times New Roman" w:hAnsi="Times New Roman"/>
          <w:sz w:val="19"/>
          <w:szCs w:val="19"/>
          <w:color w:val="231F20"/>
        </w:rPr>
        <w:t xml:space="preserve">For more information on the investment performance ratings of our portfolio, see </w:t>
      </w:r>
      <w:r>
        <w:rPr>
          <w:rFonts w:ascii="Times New Roman" w:cs="Times New Roman" w:eastAsia="Times New Roman" w:hAnsi="Times New Roman"/>
          <w:sz w:val="19"/>
          <w:szCs w:val="19"/>
          <w:i w:val="1"/>
          <w:iCs w:val="1"/>
          <w:color w:val="231F20"/>
        </w:rPr>
        <w:t>“ITEM 7. MANAGEMENT’S DISCUSSION AND</w:t>
      </w:r>
      <w:r>
        <w:rPr>
          <w:rFonts w:ascii="Times New Roman" w:cs="Times New Roman" w:eastAsia="Times New Roman" w:hAnsi="Times New Roman"/>
          <w:sz w:val="19"/>
          <w:szCs w:val="19"/>
          <w:color w:val="231F20"/>
        </w:rPr>
        <w:t xml:space="preserve"> </w:t>
      </w:r>
      <w:r>
        <w:rPr>
          <w:rFonts w:ascii="Times New Roman" w:cs="Times New Roman" w:eastAsia="Times New Roman" w:hAnsi="Times New Roman"/>
          <w:sz w:val="19"/>
          <w:szCs w:val="19"/>
          <w:i w:val="1"/>
          <w:iCs w:val="1"/>
          <w:color w:val="231F20"/>
        </w:rPr>
        <w:t>ANALYSIS OF FINANCIAL CONDITION AND RESULTS OF OPERATIONS—Portfolio and Investment Activity.”</w:t>
      </w:r>
    </w:p>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231F20"/>
        </w:rPr>
        <w:t>Investment Review Committee</w:t>
      </w:r>
    </w:p>
    <w:p>
      <w:pPr>
        <w:spacing w:after="0" w:line="114" w:lineRule="exact"/>
        <w:rPr>
          <w:sz w:val="20"/>
          <w:szCs w:val="20"/>
          <w:color w:val="auto"/>
        </w:rPr>
      </w:pPr>
    </w:p>
    <w:p>
      <w:pPr>
        <w:ind w:right="140" w:firstLine="231"/>
        <w:spacing w:after="0" w:line="250" w:lineRule="auto"/>
        <w:rPr>
          <w:sz w:val="20"/>
          <w:szCs w:val="20"/>
          <w:color w:val="auto"/>
        </w:rPr>
      </w:pPr>
      <w:r>
        <w:rPr>
          <w:rFonts w:ascii="Times New Roman" w:cs="Times New Roman" w:eastAsia="Times New Roman" w:hAnsi="Times New Roman"/>
          <w:sz w:val="19"/>
          <w:szCs w:val="19"/>
          <w:color w:val="231F20"/>
        </w:rPr>
        <w:t>The Adviser manages our portfolio under the general oversight of the Investment Review Committee. The Investment Review Committee includes certain individuals who are senior personnel of the Adviser and Sixth Street, as well as certain other persons appointed by the Adviser from time to time. Our Investment Team and the Investment Review Committee are supported by and have access to the investment professionals, analytical capabilities and support personnel of Sixth Street.</w:t>
      </w: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231F20"/>
        </w:rPr>
        <w:t>Structure of Investments</w:t>
      </w:r>
    </w:p>
    <w:p>
      <w:pPr>
        <w:spacing w:after="0" w:line="114" w:lineRule="exact"/>
        <w:rPr>
          <w:sz w:val="20"/>
          <w:szCs w:val="20"/>
          <w:color w:val="auto"/>
        </w:rPr>
      </w:pPr>
    </w:p>
    <w:p>
      <w:pPr>
        <w:jc w:val="both"/>
        <w:ind w:right="340" w:firstLine="231"/>
        <w:spacing w:after="0" w:line="257" w:lineRule="auto"/>
        <w:rPr>
          <w:sz w:val="20"/>
          <w:szCs w:val="20"/>
          <w:color w:val="auto"/>
        </w:rPr>
      </w:pPr>
      <w:r>
        <w:rPr>
          <w:rFonts w:ascii="Times New Roman" w:cs="Times New Roman" w:eastAsia="Times New Roman" w:hAnsi="Times New Roman"/>
          <w:sz w:val="19"/>
          <w:szCs w:val="19"/>
          <w:color w:val="231F20"/>
        </w:rPr>
        <w:t>Since beginning our investment activities in July 2011, we have sought to generate current income primarily in U.S.-domiciled middle-market companies through direct originations of senior secured loans and, to a lesser extent, originations of mezzanine and unsecured loans and investments in corporate bonds and equity and other investments.</w:t>
      </w: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231F20"/>
        </w:rPr>
        <w:t>Debt Investments</w:t>
      </w:r>
    </w:p>
    <w:p>
      <w:pPr>
        <w:spacing w:after="0" w:line="108" w:lineRule="exact"/>
        <w:rPr>
          <w:sz w:val="20"/>
          <w:szCs w:val="20"/>
          <w:color w:val="auto"/>
        </w:rPr>
      </w:pPr>
    </w:p>
    <w:p>
      <w:pPr>
        <w:ind w:right="100" w:firstLine="231"/>
        <w:spacing w:after="0" w:line="257" w:lineRule="auto"/>
        <w:rPr>
          <w:sz w:val="20"/>
          <w:szCs w:val="20"/>
          <w:color w:val="auto"/>
        </w:rPr>
      </w:pPr>
      <w:r>
        <w:rPr>
          <w:rFonts w:ascii="Times New Roman" w:cs="Times New Roman" w:eastAsia="Times New Roman" w:hAnsi="Times New Roman"/>
          <w:sz w:val="19"/>
          <w:szCs w:val="19"/>
          <w:color w:val="231F20"/>
        </w:rPr>
        <w:t>The terms of our debt investments are tailored to the facts and circumstances of each transaction and prospective portfolio company. We negotiate the structure of each investment to protect our rights and manage our risk while providing funding to help the portfolio company achieve its business plan. We invest in the following types of debt:</w:t>
      </w:r>
    </w:p>
    <w:p>
      <w:pPr>
        <w:spacing w:after="0" w:line="75" w:lineRule="exact"/>
        <w:rPr>
          <w:sz w:val="20"/>
          <w:szCs w:val="20"/>
          <w:color w:val="auto"/>
        </w:rPr>
      </w:pPr>
    </w:p>
    <w:p>
      <w:pPr>
        <w:ind w:left="460" w:right="280" w:hanging="229"/>
        <w:spacing w:after="0" w:line="251" w:lineRule="auto"/>
        <w:tabs>
          <w:tab w:leader="none" w:pos="460" w:val="left"/>
        </w:tabs>
        <w:numPr>
          <w:ilvl w:val="0"/>
          <w:numId w:val="11"/>
        </w:numPr>
        <w:rPr>
          <w:rFonts w:ascii="Arial" w:cs="Arial" w:eastAsia="Arial" w:hAnsi="Arial"/>
          <w:sz w:val="19"/>
          <w:szCs w:val="19"/>
          <w:color w:val="231F20"/>
        </w:rPr>
      </w:pPr>
      <w:r>
        <w:rPr>
          <w:rFonts w:ascii="Times New Roman" w:cs="Times New Roman" w:eastAsia="Times New Roman" w:hAnsi="Times New Roman"/>
          <w:sz w:val="19"/>
          <w:szCs w:val="19"/>
          <w:b w:val="1"/>
          <w:bCs w:val="1"/>
          <w:color w:val="231F20"/>
        </w:rPr>
        <w:t xml:space="preserve">First-lien debt. </w:t>
      </w:r>
      <w:r>
        <w:rPr>
          <w:rFonts w:ascii="Times New Roman" w:cs="Times New Roman" w:eastAsia="Times New Roman" w:hAnsi="Times New Roman"/>
          <w:sz w:val="19"/>
          <w:szCs w:val="19"/>
          <w:color w:val="231F20"/>
        </w:rPr>
        <w:t>First-lien debt is typically senior on a lien basis to other liabilities in the issuer’s capital structure and has the</w:t>
      </w:r>
      <w:r>
        <w:rPr>
          <w:rFonts w:ascii="Times New Roman" w:cs="Times New Roman" w:eastAsia="Times New Roman" w:hAnsi="Times New Roman"/>
          <w:sz w:val="19"/>
          <w:szCs w:val="19"/>
          <w:b w:val="1"/>
          <w:bCs w:val="1"/>
          <w:color w:val="231F20"/>
        </w:rPr>
        <w:t xml:space="preserve"> </w:t>
      </w:r>
      <w:r>
        <w:rPr>
          <w:rFonts w:ascii="Times New Roman" w:cs="Times New Roman" w:eastAsia="Times New Roman" w:hAnsi="Times New Roman"/>
          <w:sz w:val="19"/>
          <w:szCs w:val="19"/>
          <w:color w:val="231F20"/>
        </w:rPr>
        <w:t>benefit of a first-priority security interest in assets of the issuer. The security interest ranks above the security interest of any second-lien lenders in those assets. Our first-lien debt may include stand-alone first-lien loans, “last out” first-lien loans, “unitranche” loans and secured corporate bonds with similar features to these categories of first-lien loans.</w:t>
      </w:r>
    </w:p>
    <w:p>
      <w:pPr>
        <w:spacing w:after="0" w:line="80" w:lineRule="exact"/>
        <w:rPr>
          <w:rFonts w:ascii="Arial" w:cs="Arial" w:eastAsia="Arial" w:hAnsi="Arial"/>
          <w:sz w:val="19"/>
          <w:szCs w:val="19"/>
          <w:color w:val="231F20"/>
        </w:rPr>
      </w:pPr>
    </w:p>
    <w:p>
      <w:pPr>
        <w:ind w:left="460" w:right="340" w:hanging="229"/>
        <w:spacing w:after="0" w:line="277" w:lineRule="auto"/>
        <w:tabs>
          <w:tab w:leader="none" w:pos="460" w:val="left"/>
        </w:tabs>
        <w:numPr>
          <w:ilvl w:val="0"/>
          <w:numId w:val="11"/>
        </w:numPr>
        <w:rPr>
          <w:rFonts w:ascii="Arial" w:cs="Arial" w:eastAsia="Arial" w:hAnsi="Arial"/>
          <w:sz w:val="19"/>
          <w:szCs w:val="19"/>
          <w:color w:val="231F20"/>
        </w:rPr>
      </w:pPr>
      <w:r>
        <w:rPr>
          <w:rFonts w:ascii="Times New Roman" w:cs="Times New Roman" w:eastAsia="Times New Roman" w:hAnsi="Times New Roman"/>
          <w:sz w:val="19"/>
          <w:szCs w:val="19"/>
          <w:b w:val="1"/>
          <w:bCs w:val="1"/>
          <w:color w:val="231F20"/>
        </w:rPr>
        <w:t xml:space="preserve">Stand-alone first-lien loans. </w:t>
      </w:r>
      <w:r>
        <w:rPr>
          <w:rFonts w:ascii="Times New Roman" w:cs="Times New Roman" w:eastAsia="Times New Roman" w:hAnsi="Times New Roman"/>
          <w:sz w:val="19"/>
          <w:szCs w:val="19"/>
          <w:color w:val="231F20"/>
        </w:rPr>
        <w:t>Stand-alone first-lien loans are traditional first-lien loans. All lenders in the facility have equal</w:t>
      </w:r>
      <w:r>
        <w:rPr>
          <w:rFonts w:ascii="Times New Roman" w:cs="Times New Roman" w:eastAsia="Times New Roman" w:hAnsi="Times New Roman"/>
          <w:sz w:val="19"/>
          <w:szCs w:val="19"/>
          <w:b w:val="1"/>
          <w:bCs w:val="1"/>
          <w:color w:val="231F20"/>
        </w:rPr>
        <w:t xml:space="preserve"> </w:t>
      </w:r>
      <w:r>
        <w:rPr>
          <w:rFonts w:ascii="Times New Roman" w:cs="Times New Roman" w:eastAsia="Times New Roman" w:hAnsi="Times New Roman"/>
          <w:sz w:val="19"/>
          <w:szCs w:val="19"/>
          <w:color w:val="231F20"/>
        </w:rPr>
        <w:t>rights to the collateral that is subject to the first-priority security interest.</w:t>
      </w:r>
    </w:p>
    <w:p>
      <w:pPr>
        <w:spacing w:after="0" w:line="56" w:lineRule="exact"/>
        <w:rPr>
          <w:rFonts w:ascii="Arial" w:cs="Arial" w:eastAsia="Arial" w:hAnsi="Arial"/>
          <w:sz w:val="19"/>
          <w:szCs w:val="19"/>
          <w:color w:val="231F20"/>
        </w:rPr>
      </w:pPr>
    </w:p>
    <w:p>
      <w:pPr>
        <w:ind w:left="460" w:hanging="229"/>
        <w:spacing w:after="0" w:line="243" w:lineRule="auto"/>
        <w:tabs>
          <w:tab w:leader="none" w:pos="460" w:val="left"/>
        </w:tabs>
        <w:numPr>
          <w:ilvl w:val="0"/>
          <w:numId w:val="11"/>
        </w:numPr>
        <w:rPr>
          <w:rFonts w:ascii="Arial" w:cs="Arial" w:eastAsia="Arial" w:hAnsi="Arial"/>
          <w:sz w:val="19"/>
          <w:szCs w:val="19"/>
          <w:color w:val="231F20"/>
        </w:rPr>
      </w:pPr>
      <w:r>
        <w:rPr>
          <w:rFonts w:ascii="Times New Roman" w:cs="Times New Roman" w:eastAsia="Times New Roman" w:hAnsi="Times New Roman"/>
          <w:sz w:val="19"/>
          <w:szCs w:val="19"/>
          <w:b w:val="1"/>
          <w:bCs w:val="1"/>
          <w:color w:val="231F20"/>
        </w:rPr>
        <w:t xml:space="preserve">“Last out” first-lien loans. </w:t>
      </w:r>
      <w:r>
        <w:rPr>
          <w:rFonts w:ascii="Times New Roman" w:cs="Times New Roman" w:eastAsia="Times New Roman" w:hAnsi="Times New Roman"/>
          <w:sz w:val="19"/>
          <w:szCs w:val="19"/>
          <w:color w:val="231F20"/>
        </w:rPr>
        <w:t>“Last out” first-lien loans have a secondary priority behind super-senior “first out” first-lien loans in</w:t>
      </w:r>
      <w:r>
        <w:rPr>
          <w:rFonts w:ascii="Times New Roman" w:cs="Times New Roman" w:eastAsia="Times New Roman" w:hAnsi="Times New Roman"/>
          <w:sz w:val="19"/>
          <w:szCs w:val="19"/>
          <w:b w:val="1"/>
          <w:bCs w:val="1"/>
          <w:color w:val="231F20"/>
        </w:rPr>
        <w:t xml:space="preserve"> </w:t>
      </w:r>
      <w:r>
        <w:rPr>
          <w:rFonts w:ascii="Times New Roman" w:cs="Times New Roman" w:eastAsia="Times New Roman" w:hAnsi="Times New Roman"/>
          <w:sz w:val="19"/>
          <w:szCs w:val="19"/>
          <w:color w:val="231F20"/>
        </w:rPr>
        <w:t>the collateral securing the loans in certain circumstances. The arrangements for a “last out” first-lien loan are set forth in an “agreement among lenders,” which provides lenders with “first out” and “last out” payment streams based on a single lien on the collateral. Since the “first out” lenders generally have priority over the “last out” lenders for receiving payment under certain specified events of default, or upon the occurrence of other triggering events under intercreditor agreements or agreements among lenders, the “last out” lenders bear a greater risk and, in exchange, receive a higher effective interest rate, through arrangements among the lenders, than the “first out” lenders or lenders in stand-alone first-lien loans. Agreements among lenders also typically provide greater voting rights to the “last out” lenders than the intercreditor agreements to which second-lien lenders often are subject.</w:t>
      </w:r>
    </w:p>
    <w:p>
      <w:pPr>
        <w:spacing w:after="0" w:line="90" w:lineRule="exact"/>
        <w:rPr>
          <w:rFonts w:ascii="Arial" w:cs="Arial" w:eastAsia="Arial" w:hAnsi="Arial"/>
          <w:sz w:val="19"/>
          <w:szCs w:val="19"/>
          <w:color w:val="231F20"/>
        </w:rPr>
      </w:pPr>
    </w:p>
    <w:p>
      <w:pPr>
        <w:ind w:left="460" w:right="220" w:hanging="229"/>
        <w:spacing w:after="0" w:line="251" w:lineRule="auto"/>
        <w:tabs>
          <w:tab w:leader="none" w:pos="460" w:val="left"/>
        </w:tabs>
        <w:numPr>
          <w:ilvl w:val="0"/>
          <w:numId w:val="11"/>
        </w:numPr>
        <w:rPr>
          <w:rFonts w:ascii="Arial" w:cs="Arial" w:eastAsia="Arial" w:hAnsi="Arial"/>
          <w:sz w:val="19"/>
          <w:szCs w:val="19"/>
          <w:color w:val="231F20"/>
        </w:rPr>
      </w:pPr>
      <w:r>
        <w:rPr>
          <w:rFonts w:ascii="Times New Roman" w:cs="Times New Roman" w:eastAsia="Times New Roman" w:hAnsi="Times New Roman"/>
          <w:sz w:val="19"/>
          <w:szCs w:val="19"/>
          <w:b w:val="1"/>
          <w:bCs w:val="1"/>
          <w:color w:val="231F20"/>
        </w:rPr>
        <w:t xml:space="preserve">“Unitranche” loans. </w:t>
      </w:r>
      <w:r>
        <w:rPr>
          <w:rFonts w:ascii="Times New Roman" w:cs="Times New Roman" w:eastAsia="Times New Roman" w:hAnsi="Times New Roman"/>
          <w:sz w:val="19"/>
          <w:szCs w:val="19"/>
          <w:color w:val="231F20"/>
        </w:rPr>
        <w:t>Unitranche loans combine features of first-lien, second-lien and mezzanine debt, generally in a first-lien</w:t>
      </w:r>
      <w:r>
        <w:rPr>
          <w:rFonts w:ascii="Times New Roman" w:cs="Times New Roman" w:eastAsia="Times New Roman" w:hAnsi="Times New Roman"/>
          <w:sz w:val="19"/>
          <w:szCs w:val="19"/>
          <w:b w:val="1"/>
          <w:bCs w:val="1"/>
          <w:color w:val="231F20"/>
        </w:rPr>
        <w:t xml:space="preserve"> </w:t>
      </w:r>
      <w:r>
        <w:rPr>
          <w:rFonts w:ascii="Times New Roman" w:cs="Times New Roman" w:eastAsia="Times New Roman" w:hAnsi="Times New Roman"/>
          <w:sz w:val="19"/>
          <w:szCs w:val="19"/>
          <w:color w:val="231F20"/>
        </w:rPr>
        <w:t>position. In many cases, we may provide the borrower most, if not all, of the capital structure above the equity. The primary advantages to the borrower are the ability to negotiate the entire debt financing with one lender and the elimination of intercreditor issues.</w:t>
      </w:r>
    </w:p>
    <w:p>
      <w:pPr>
        <w:sectPr>
          <w:pgSz w:w="12240" w:h="15840" w:orient="portrait"/>
          <w:cols w:equalWidth="0" w:num="1">
            <w:col w:w="10200"/>
          </w:cols>
          <w:pgMar w:left="1020" w:top="1330" w:right="1020" w:bottom="609" w:gutter="0" w:footer="0" w:header="0"/>
        </w:sectPr>
      </w:pP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231F20"/>
        </w:rPr>
        <w:t>8</w:t>
      </w:r>
    </w:p>
    <w:p>
      <w:pPr>
        <w:sectPr>
          <w:pgSz w:w="12240" w:h="15840" w:orient="portrait"/>
          <w:cols w:equalWidth="0" w:num="1">
            <w:col w:w="10200"/>
          </w:cols>
          <w:pgMar w:left="1020" w:top="1330" w:right="1020" w:bottom="609" w:gutter="0" w:footer="0" w:header="0"/>
          <w:type w:val="continuous"/>
        </w:sectPr>
      </w:pPr>
    </w:p>
    <w:bookmarkStart w:id="8" w:name="page9"/>
    <w:bookmarkEnd w:id="8"/>
    <w:p>
      <w:pPr>
        <w:ind w:left="460" w:hanging="229"/>
        <w:spacing w:after="0" w:line="248" w:lineRule="auto"/>
        <w:tabs>
          <w:tab w:leader="none" w:pos="460" w:val="left"/>
        </w:tabs>
        <w:numPr>
          <w:ilvl w:val="0"/>
          <w:numId w:val="12"/>
        </w:numPr>
        <w:rPr>
          <w:rFonts w:ascii="Arial" w:cs="Arial" w:eastAsia="Arial" w:hAnsi="Arial"/>
          <w:sz w:val="19"/>
          <w:szCs w:val="19"/>
          <w:color w:val="231F20"/>
        </w:rPr>
      </w:pPr>
      <w:r>
        <w:rPr>
          <w:rFonts w:ascii="Times New Roman" w:cs="Times New Roman" w:eastAsia="Times New Roman" w:hAnsi="Times New Roman"/>
          <w:sz w:val="19"/>
          <w:szCs w:val="19"/>
          <w:b w:val="1"/>
          <w:bCs w:val="1"/>
          <w:color w:val="231F20"/>
        </w:rPr>
        <w:t xml:space="preserve">Second-lien debt. </w:t>
      </w:r>
      <w:r>
        <w:rPr>
          <w:rFonts w:ascii="Times New Roman" w:cs="Times New Roman" w:eastAsia="Times New Roman" w:hAnsi="Times New Roman"/>
          <w:sz w:val="19"/>
          <w:szCs w:val="19"/>
          <w:color w:val="231F20"/>
        </w:rPr>
        <w:t>Our second-lien debt may include secured loans, and, to a lesser extent, secured corporate bonds, with a</w:t>
      </w:r>
      <w:r>
        <w:rPr>
          <w:rFonts w:ascii="Times New Roman" w:cs="Times New Roman" w:eastAsia="Times New Roman" w:hAnsi="Times New Roman"/>
          <w:sz w:val="19"/>
          <w:szCs w:val="19"/>
          <w:b w:val="1"/>
          <w:bCs w:val="1"/>
          <w:color w:val="231F20"/>
        </w:rPr>
        <w:t xml:space="preserve"> </w:t>
      </w:r>
      <w:r>
        <w:rPr>
          <w:rFonts w:ascii="Times New Roman" w:cs="Times New Roman" w:eastAsia="Times New Roman" w:hAnsi="Times New Roman"/>
          <w:sz w:val="19"/>
          <w:szCs w:val="19"/>
          <w:color w:val="231F20"/>
        </w:rPr>
        <w:t>secondary priority behind first-lien debt. Second-lien debt typically is senior on a lien basis to other liabilities in the issuer’s capital structure and has the benefit of a security interest over assets of the issuer, though ranking junior to first-lien debt secured by those assets. First-lien lenders and second-lien lenders typically have separate liens on the collateral, and an intercreditor agreement provides the first-lien lenders with priority over the second-lien lenders’ liens on the collateral.</w:t>
      </w:r>
    </w:p>
    <w:p>
      <w:pPr>
        <w:spacing w:after="0" w:line="83" w:lineRule="exact"/>
        <w:rPr>
          <w:rFonts w:ascii="Arial" w:cs="Arial" w:eastAsia="Arial" w:hAnsi="Arial"/>
          <w:sz w:val="19"/>
          <w:szCs w:val="19"/>
          <w:color w:val="231F20"/>
        </w:rPr>
      </w:pPr>
    </w:p>
    <w:p>
      <w:pPr>
        <w:ind w:left="460" w:right="20" w:hanging="229"/>
        <w:spacing w:after="0" w:line="242" w:lineRule="auto"/>
        <w:tabs>
          <w:tab w:leader="none" w:pos="460" w:val="left"/>
        </w:tabs>
        <w:numPr>
          <w:ilvl w:val="0"/>
          <w:numId w:val="12"/>
        </w:numPr>
        <w:rPr>
          <w:rFonts w:ascii="Arial" w:cs="Arial" w:eastAsia="Arial" w:hAnsi="Arial"/>
          <w:sz w:val="19"/>
          <w:szCs w:val="19"/>
          <w:color w:val="231F20"/>
        </w:rPr>
      </w:pPr>
      <w:r>
        <w:rPr>
          <w:rFonts w:ascii="Times New Roman" w:cs="Times New Roman" w:eastAsia="Times New Roman" w:hAnsi="Times New Roman"/>
          <w:sz w:val="19"/>
          <w:szCs w:val="19"/>
          <w:b w:val="1"/>
          <w:bCs w:val="1"/>
          <w:color w:val="231F20"/>
        </w:rPr>
        <w:t xml:space="preserve">“Mezzanine” and “Unsecured” debt. </w:t>
      </w:r>
      <w:r>
        <w:rPr>
          <w:rFonts w:ascii="Times New Roman" w:cs="Times New Roman" w:eastAsia="Times New Roman" w:hAnsi="Times New Roman"/>
          <w:sz w:val="19"/>
          <w:szCs w:val="19"/>
          <w:color w:val="231F20"/>
        </w:rPr>
        <w:t>Structurally, mezzanine debt usually ranks subordinate in priority of payment to first-lien and second-lien debt and may not have the benefit of financial covenants common in first-lien and second-lien debt. Unsecured debt may rank junior as it relates to proceeds in certain liquidations where it does not have the benefit of a lien in specific collateral held by creditors (typically first lien and/or second lien) who have a perfected security interest in such collateral. However, both mezzanine and unsecured debt ranks senior to common and preferred equity in an issuer’s capital structure. Mezzanine and unsecured debt investments generally offer lenders fixed returns in the form of interest payments and mezzanine debt will often provide lenders an opportunity to participate in the capital appreciation, if any, of an issuer through an equity interest. This equity interest typically takes the form of an equity co-investment or warrants. Due to its higher risk profile and often less restrictive covenants compared to senior secured loans, mezzanine and unsecured debt generally bears a higher stated interest rate than first-lien and second-lien debt.</w:t>
      </w:r>
    </w:p>
    <w:p>
      <w:pPr>
        <w:spacing w:after="0" w:line="197" w:lineRule="exact"/>
        <w:rPr>
          <w:sz w:val="20"/>
          <w:szCs w:val="20"/>
          <w:color w:val="auto"/>
        </w:rPr>
      </w:pPr>
    </w:p>
    <w:p>
      <w:pPr>
        <w:ind w:right="560" w:firstLine="231"/>
        <w:spacing w:after="0" w:line="275" w:lineRule="auto"/>
        <w:rPr>
          <w:sz w:val="20"/>
          <w:szCs w:val="20"/>
          <w:color w:val="auto"/>
        </w:rPr>
      </w:pPr>
      <w:r>
        <w:rPr>
          <w:rFonts w:ascii="Times New Roman" w:cs="Times New Roman" w:eastAsia="Times New Roman" w:hAnsi="Times New Roman"/>
          <w:sz w:val="19"/>
          <w:szCs w:val="19"/>
          <w:color w:val="231F20"/>
        </w:rPr>
        <w:t>Our debt investments are typically structured with the maximum seniority and collateral that we can reasonably obtain while seeking to achieve our total return target. We seek to limit the downside potential of our investments by:</w:t>
      </w:r>
    </w:p>
    <w:p>
      <w:pPr>
        <w:spacing w:after="0" w:line="61" w:lineRule="exact"/>
        <w:rPr>
          <w:sz w:val="20"/>
          <w:szCs w:val="20"/>
          <w:color w:val="auto"/>
        </w:rPr>
      </w:pPr>
    </w:p>
    <w:p>
      <w:pPr>
        <w:ind w:left="460" w:right="320" w:hanging="229"/>
        <w:spacing w:after="0" w:line="274" w:lineRule="auto"/>
        <w:tabs>
          <w:tab w:leader="none" w:pos="460" w:val="left"/>
        </w:tabs>
        <w:numPr>
          <w:ilvl w:val="0"/>
          <w:numId w:val="13"/>
        </w:numPr>
        <w:rPr>
          <w:rFonts w:ascii="Arial" w:cs="Arial" w:eastAsia="Arial" w:hAnsi="Arial"/>
          <w:sz w:val="19"/>
          <w:szCs w:val="19"/>
          <w:color w:val="231F20"/>
        </w:rPr>
      </w:pPr>
      <w:r>
        <w:rPr>
          <w:rFonts w:ascii="Times New Roman" w:cs="Times New Roman" w:eastAsia="Times New Roman" w:hAnsi="Times New Roman"/>
          <w:sz w:val="19"/>
          <w:szCs w:val="19"/>
          <w:color w:val="231F20"/>
        </w:rPr>
        <w:t>requiring a total return on our investments (including both interest and potential equity appreciation) that compensates us for credit risk; and</w:t>
      </w:r>
    </w:p>
    <w:p>
      <w:pPr>
        <w:spacing w:after="0" w:line="61" w:lineRule="exact"/>
        <w:rPr>
          <w:rFonts w:ascii="Arial" w:cs="Arial" w:eastAsia="Arial" w:hAnsi="Arial"/>
          <w:sz w:val="19"/>
          <w:szCs w:val="19"/>
          <w:color w:val="231F20"/>
        </w:rPr>
      </w:pPr>
    </w:p>
    <w:p>
      <w:pPr>
        <w:ind w:left="460" w:right="240" w:hanging="229"/>
        <w:spacing w:after="0" w:line="250" w:lineRule="auto"/>
        <w:tabs>
          <w:tab w:leader="none" w:pos="460" w:val="left"/>
        </w:tabs>
        <w:numPr>
          <w:ilvl w:val="0"/>
          <w:numId w:val="13"/>
        </w:numPr>
        <w:rPr>
          <w:rFonts w:ascii="Arial" w:cs="Arial" w:eastAsia="Arial" w:hAnsi="Arial"/>
          <w:sz w:val="19"/>
          <w:szCs w:val="19"/>
          <w:color w:val="231F20"/>
        </w:rPr>
      </w:pPr>
      <w:r>
        <w:rPr>
          <w:rFonts w:ascii="Times New Roman" w:cs="Times New Roman" w:eastAsia="Times New Roman" w:hAnsi="Times New Roman"/>
          <w:sz w:val="19"/>
          <w:szCs w:val="19"/>
          <w:color w:val="231F20"/>
        </w:rPr>
        <w:t>negotiating covenants in connection with our investments that afford our portfolio companies as much flexibility in managing their businesses as possible, consistent with preservation of our capital. Such restrictions may include affirmative covenants (including reporting requirements), negative covenants (including financial covenants), lien protection, change of control provisions and board rights, including either observation or rights to a seat on the board under some circumstances.</w:t>
      </w:r>
    </w:p>
    <w:p>
      <w:pPr>
        <w:spacing w:after="0" w:line="184" w:lineRule="exact"/>
        <w:rPr>
          <w:sz w:val="20"/>
          <w:szCs w:val="20"/>
          <w:color w:val="auto"/>
        </w:rPr>
      </w:pPr>
    </w:p>
    <w:p>
      <w:pPr>
        <w:ind w:right="200" w:firstLine="231"/>
        <w:spacing w:after="0" w:line="247" w:lineRule="auto"/>
        <w:rPr>
          <w:sz w:val="20"/>
          <w:szCs w:val="20"/>
          <w:color w:val="auto"/>
        </w:rPr>
      </w:pPr>
      <w:r>
        <w:rPr>
          <w:rFonts w:ascii="Times New Roman" w:cs="Times New Roman" w:eastAsia="Times New Roman" w:hAnsi="Times New Roman"/>
          <w:sz w:val="19"/>
          <w:szCs w:val="19"/>
          <w:color w:val="231F20"/>
        </w:rPr>
        <w:t>Among the types of first-lien debt in which we invest, we generally are able to obtain higher effective interest rates on our “last out” first-lien loans than on other types of first-lien loans, since our “last-out” first-lien loans generally are more junior in the capital structure. Within our portfolio, we aim to maintain the appropriate proportion among the various types of first-lien loans, as well as second-lien debt and mezzanine debt, which allows us to achieve our target returns while maintaining our targeted amount of credit risk.</w:t>
      </w:r>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231F20"/>
        </w:rPr>
        <w:t>Equity and Other Investments</w:t>
      </w:r>
    </w:p>
    <w:p>
      <w:pPr>
        <w:spacing w:after="0" w:line="108" w:lineRule="exact"/>
        <w:rPr>
          <w:sz w:val="20"/>
          <w:szCs w:val="20"/>
          <w:color w:val="auto"/>
        </w:rPr>
      </w:pPr>
    </w:p>
    <w:p>
      <w:pPr>
        <w:jc w:val="both"/>
        <w:ind w:right="200" w:firstLine="231"/>
        <w:spacing w:after="0" w:line="257" w:lineRule="auto"/>
        <w:rPr>
          <w:sz w:val="20"/>
          <w:szCs w:val="20"/>
          <w:color w:val="auto"/>
        </w:rPr>
      </w:pPr>
      <w:r>
        <w:rPr>
          <w:rFonts w:ascii="Times New Roman" w:cs="Times New Roman" w:eastAsia="Times New Roman" w:hAnsi="Times New Roman"/>
          <w:sz w:val="19"/>
          <w:szCs w:val="19"/>
          <w:color w:val="231F20"/>
        </w:rPr>
        <w:t>Our loans may include an equity interest in the issuer, such as a warrant or profit participation right. In certain instances, we also will make equity investments, although those situations are generally limited to those cases where we are also making an investment in a more senior part of the capital structure of the issuer.</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231F20"/>
        </w:rPr>
        <w:t>Investments</w:t>
      </w:r>
    </w:p>
    <w:p>
      <w:pPr>
        <w:spacing w:after="0" w:line="114" w:lineRule="exact"/>
        <w:rPr>
          <w:sz w:val="20"/>
          <w:szCs w:val="20"/>
          <w:color w:val="auto"/>
        </w:rPr>
      </w:pPr>
    </w:p>
    <w:p>
      <w:pPr>
        <w:ind w:right="140" w:firstLine="231"/>
        <w:spacing w:after="0" w:line="275" w:lineRule="auto"/>
        <w:rPr>
          <w:sz w:val="20"/>
          <w:szCs w:val="20"/>
          <w:color w:val="auto"/>
        </w:rPr>
      </w:pPr>
      <w:r>
        <w:rPr>
          <w:rFonts w:ascii="Times New Roman" w:cs="Times New Roman" w:eastAsia="Times New Roman" w:hAnsi="Times New Roman"/>
          <w:sz w:val="19"/>
          <w:szCs w:val="19"/>
          <w:color w:val="231F20"/>
        </w:rPr>
        <w:t>As of December 31, 2024 and December 31, 2023, we had made investments with an aggregate fair value of $3,518.4 million and $3,283.1 million, respectively, in 116 and 136 portfolio companies, respectively.</w:t>
      </w:r>
    </w:p>
    <w:p>
      <w:pPr>
        <w:spacing w:after="0" w:line="160"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9"/>
          <w:szCs w:val="19"/>
          <w:color w:val="231F20"/>
        </w:rPr>
        <w:t>Investments consisted of the following at December 31, 2024 and December 31, 2023:</w:t>
      </w:r>
    </w:p>
    <w:p>
      <w:pPr>
        <w:spacing w:after="0" w:line="33" w:lineRule="exact"/>
        <w:rPr>
          <w:sz w:val="20"/>
          <w:szCs w:val="20"/>
          <w:color w:val="auto"/>
        </w:rPr>
      </w:pPr>
    </w:p>
    <w:tbl>
      <w:tblPr>
        <w:tblLayout w:type="fixed"/>
        <w:tblInd w:w="1020" w:type="dxa"/>
        <w:tblCellMar>
          <w:top w:w="0" w:type="dxa"/>
          <w:left w:w="0" w:type="dxa"/>
          <w:bottom w:w="0" w:type="dxa"/>
          <w:right w:w="0" w:type="dxa"/>
        </w:tblCellMar>
      </w:tblPr>
      <w:tr>
        <w:trPr>
          <w:trHeight w:val="172"/>
        </w:trPr>
        <w:tc>
          <w:tcPr>
            <w:tcW w:w="2580" w:type="dxa"/>
            <w:vAlign w:val="bottom"/>
            <w:tcBorders>
              <w:bottom w:val="single" w:sz="8" w:color="FDFDFC"/>
            </w:tcBorders>
            <w:shd w:val="clear" w:color="auto" w:fill="FDFDFC"/>
          </w:tcPr>
          <w:p>
            <w:pPr>
              <w:spacing w:after="0"/>
              <w:rPr>
                <w:sz w:val="15"/>
                <w:szCs w:val="15"/>
                <w:color w:val="auto"/>
              </w:rPr>
            </w:pPr>
          </w:p>
        </w:tc>
        <w:tc>
          <w:tcPr>
            <w:tcW w:w="220" w:type="dxa"/>
            <w:vAlign w:val="bottom"/>
            <w:tcBorders>
              <w:bottom w:val="single" w:sz="8" w:color="FDFDFC"/>
            </w:tcBorders>
            <w:shd w:val="clear" w:color="auto" w:fill="FDFDFC"/>
          </w:tcPr>
          <w:p>
            <w:pPr>
              <w:spacing w:after="0"/>
              <w:rPr>
                <w:sz w:val="15"/>
                <w:szCs w:val="15"/>
                <w:color w:val="auto"/>
              </w:rPr>
            </w:pPr>
          </w:p>
        </w:tc>
        <w:tc>
          <w:tcPr>
            <w:tcW w:w="140" w:type="dxa"/>
            <w:vAlign w:val="bottom"/>
            <w:tcBorders>
              <w:bottom w:val="single" w:sz="8" w:color="231F20"/>
            </w:tcBorders>
            <w:shd w:val="clear" w:color="auto" w:fill="FDFDFC"/>
          </w:tcPr>
          <w:p>
            <w:pPr>
              <w:spacing w:after="0"/>
              <w:rPr>
                <w:sz w:val="15"/>
                <w:szCs w:val="15"/>
                <w:color w:val="auto"/>
              </w:rPr>
            </w:pPr>
          </w:p>
        </w:tc>
        <w:tc>
          <w:tcPr>
            <w:tcW w:w="1400" w:type="dxa"/>
            <w:vAlign w:val="bottom"/>
            <w:tcBorders>
              <w:bottom w:val="single" w:sz="8" w:color="231F20"/>
            </w:tcBorders>
            <w:shd w:val="clear" w:color="auto" w:fill="FDFDFC"/>
          </w:tcPr>
          <w:p>
            <w:pPr>
              <w:spacing w:after="0"/>
              <w:rPr>
                <w:sz w:val="15"/>
                <w:szCs w:val="15"/>
                <w:color w:val="auto"/>
              </w:rPr>
            </w:pPr>
          </w:p>
        </w:tc>
        <w:tc>
          <w:tcPr>
            <w:tcW w:w="140" w:type="dxa"/>
            <w:vAlign w:val="bottom"/>
            <w:tcBorders>
              <w:bottom w:val="single" w:sz="8" w:color="231F20"/>
            </w:tcBorders>
            <w:shd w:val="clear" w:color="auto" w:fill="FDFDFC"/>
          </w:tcPr>
          <w:p>
            <w:pPr>
              <w:spacing w:after="0"/>
              <w:rPr>
                <w:sz w:val="15"/>
                <w:szCs w:val="15"/>
                <w:color w:val="auto"/>
              </w:rPr>
            </w:pPr>
          </w:p>
        </w:tc>
        <w:tc>
          <w:tcPr>
            <w:tcW w:w="220" w:type="dxa"/>
            <w:vAlign w:val="bottom"/>
            <w:tcBorders>
              <w:bottom w:val="single" w:sz="8" w:color="231F20"/>
            </w:tcBorders>
            <w:shd w:val="clear" w:color="auto" w:fill="FDFDFC"/>
          </w:tcPr>
          <w:p>
            <w:pPr>
              <w:spacing w:after="0"/>
              <w:rPr>
                <w:sz w:val="15"/>
                <w:szCs w:val="15"/>
                <w:color w:val="auto"/>
              </w:rPr>
            </w:pPr>
          </w:p>
        </w:tc>
        <w:tc>
          <w:tcPr>
            <w:tcW w:w="1400" w:type="dxa"/>
            <w:vAlign w:val="bottom"/>
            <w:tcBorders>
              <w:bottom w:val="single" w:sz="8" w:color="231F20"/>
            </w:tcBorders>
            <w:gridSpan w:val="2"/>
            <w:shd w:val="clear" w:color="auto" w:fill="FDFDFC"/>
          </w:tcPr>
          <w:p>
            <w:pPr>
              <w:ind w:left="120"/>
              <w:spacing w:after="0"/>
              <w:rPr>
                <w:sz w:val="20"/>
                <w:szCs w:val="20"/>
                <w:color w:val="auto"/>
              </w:rPr>
            </w:pPr>
            <w:r>
              <w:rPr>
                <w:rFonts w:ascii="Times New Roman" w:cs="Times New Roman" w:eastAsia="Times New Roman" w:hAnsi="Times New Roman"/>
                <w:sz w:val="15"/>
                <w:szCs w:val="15"/>
                <w:b w:val="1"/>
                <w:bCs w:val="1"/>
                <w:color w:val="231F20"/>
              </w:rPr>
              <w:t>December 31, 2024</w:t>
            </w:r>
          </w:p>
        </w:tc>
        <w:tc>
          <w:tcPr>
            <w:tcW w:w="60" w:type="dxa"/>
            <w:vAlign w:val="bottom"/>
            <w:tcBorders>
              <w:bottom w:val="single" w:sz="8" w:color="231F20"/>
            </w:tcBorders>
            <w:shd w:val="clear" w:color="auto" w:fill="FDFDFC"/>
          </w:tcPr>
          <w:p>
            <w:pPr>
              <w:spacing w:after="0"/>
              <w:rPr>
                <w:sz w:val="15"/>
                <w:szCs w:val="15"/>
                <w:color w:val="auto"/>
              </w:rPr>
            </w:pPr>
          </w:p>
        </w:tc>
        <w:tc>
          <w:tcPr>
            <w:tcW w:w="280" w:type="dxa"/>
            <w:vAlign w:val="bottom"/>
            <w:tcBorders>
              <w:bottom w:val="single" w:sz="8" w:color="231F20"/>
            </w:tcBorders>
            <w:shd w:val="clear" w:color="auto" w:fill="FDFDFC"/>
          </w:tcPr>
          <w:p>
            <w:pPr>
              <w:spacing w:after="0"/>
              <w:rPr>
                <w:sz w:val="15"/>
                <w:szCs w:val="15"/>
                <w:color w:val="auto"/>
              </w:rPr>
            </w:pPr>
          </w:p>
        </w:tc>
        <w:tc>
          <w:tcPr>
            <w:tcW w:w="1640" w:type="dxa"/>
            <w:vAlign w:val="bottom"/>
            <w:tcBorders>
              <w:bottom w:val="single" w:sz="8" w:color="231F20"/>
            </w:tcBorders>
            <w:shd w:val="clear" w:color="auto" w:fill="FDFDFC"/>
          </w:tcPr>
          <w:p>
            <w:pPr>
              <w:spacing w:after="0"/>
              <w:rPr>
                <w:sz w:val="15"/>
                <w:szCs w:val="15"/>
                <w:color w:val="auto"/>
              </w:rPr>
            </w:pPr>
          </w:p>
        </w:tc>
        <w:tc>
          <w:tcPr>
            <w:tcW w:w="80" w:type="dxa"/>
            <w:vAlign w:val="bottom"/>
            <w:tcBorders>
              <w:bottom w:val="single" w:sz="8" w:color="FDFDFC"/>
            </w:tcBorders>
            <w:shd w:val="clear" w:color="auto" w:fill="FDFDFC"/>
          </w:tcPr>
          <w:p>
            <w:pPr>
              <w:spacing w:after="0"/>
              <w:rPr>
                <w:sz w:val="15"/>
                <w:szCs w:val="15"/>
                <w:color w:val="auto"/>
              </w:rPr>
            </w:pPr>
          </w:p>
        </w:tc>
      </w:tr>
      <w:tr>
        <w:trPr>
          <w:trHeight w:val="187"/>
        </w:trPr>
        <w:tc>
          <w:tcPr>
            <w:tcW w:w="2580" w:type="dxa"/>
            <w:vAlign w:val="bottom"/>
            <w:shd w:val="clear" w:color="auto" w:fill="FDFDFC"/>
          </w:tcPr>
          <w:p>
            <w:pPr>
              <w:spacing w:after="0"/>
              <w:rPr>
                <w:sz w:val="16"/>
                <w:szCs w:val="16"/>
                <w:color w:val="auto"/>
              </w:rPr>
            </w:pPr>
          </w:p>
        </w:tc>
        <w:tc>
          <w:tcPr>
            <w:tcW w:w="220" w:type="dxa"/>
            <w:vAlign w:val="bottom"/>
            <w:shd w:val="clear" w:color="auto" w:fill="FDFDFC"/>
          </w:tcPr>
          <w:p>
            <w:pPr>
              <w:spacing w:after="0"/>
              <w:rPr>
                <w:sz w:val="16"/>
                <w:szCs w:val="16"/>
                <w:color w:val="auto"/>
              </w:rPr>
            </w:pPr>
          </w:p>
        </w:tc>
        <w:tc>
          <w:tcPr>
            <w:tcW w:w="140" w:type="dxa"/>
            <w:vAlign w:val="bottom"/>
            <w:shd w:val="clear" w:color="auto" w:fill="FDFDFC"/>
          </w:tcPr>
          <w:p>
            <w:pPr>
              <w:spacing w:after="0"/>
              <w:rPr>
                <w:sz w:val="16"/>
                <w:szCs w:val="16"/>
                <w:color w:val="auto"/>
              </w:rPr>
            </w:pPr>
          </w:p>
        </w:tc>
        <w:tc>
          <w:tcPr>
            <w:tcW w:w="1400" w:type="dxa"/>
            <w:vAlign w:val="bottom"/>
            <w:shd w:val="clear" w:color="auto" w:fill="FDFDFC"/>
          </w:tcPr>
          <w:p>
            <w:pPr>
              <w:spacing w:after="0"/>
              <w:rPr>
                <w:sz w:val="16"/>
                <w:szCs w:val="16"/>
                <w:color w:val="auto"/>
              </w:rPr>
            </w:pPr>
          </w:p>
        </w:tc>
        <w:tc>
          <w:tcPr>
            <w:tcW w:w="140" w:type="dxa"/>
            <w:vAlign w:val="bottom"/>
            <w:shd w:val="clear" w:color="auto" w:fill="FDFDFC"/>
          </w:tcPr>
          <w:p>
            <w:pPr>
              <w:spacing w:after="0"/>
              <w:rPr>
                <w:sz w:val="16"/>
                <w:szCs w:val="16"/>
                <w:color w:val="auto"/>
              </w:rPr>
            </w:pPr>
          </w:p>
        </w:tc>
        <w:tc>
          <w:tcPr>
            <w:tcW w:w="220" w:type="dxa"/>
            <w:vAlign w:val="bottom"/>
            <w:shd w:val="clear" w:color="auto" w:fill="FDFDFC"/>
          </w:tcPr>
          <w:p>
            <w:pPr>
              <w:spacing w:after="0"/>
              <w:rPr>
                <w:sz w:val="16"/>
                <w:szCs w:val="16"/>
                <w:color w:val="auto"/>
              </w:rPr>
            </w:pPr>
          </w:p>
        </w:tc>
        <w:tc>
          <w:tcPr>
            <w:tcW w:w="1320" w:type="dxa"/>
            <w:vAlign w:val="bottom"/>
            <w:shd w:val="clear" w:color="auto" w:fill="FDFDFC"/>
          </w:tcPr>
          <w:p>
            <w:pPr>
              <w:spacing w:after="0"/>
              <w:rPr>
                <w:sz w:val="16"/>
                <w:szCs w:val="16"/>
                <w:color w:val="auto"/>
              </w:rPr>
            </w:pPr>
          </w:p>
        </w:tc>
        <w:tc>
          <w:tcPr>
            <w:tcW w:w="80" w:type="dxa"/>
            <w:vAlign w:val="bottom"/>
            <w:shd w:val="clear" w:color="auto" w:fill="FDFDFC"/>
          </w:tcPr>
          <w:p>
            <w:pPr>
              <w:spacing w:after="0"/>
              <w:rPr>
                <w:sz w:val="16"/>
                <w:szCs w:val="16"/>
                <w:color w:val="auto"/>
              </w:rPr>
            </w:pPr>
          </w:p>
        </w:tc>
        <w:tc>
          <w:tcPr>
            <w:tcW w:w="60" w:type="dxa"/>
            <w:vAlign w:val="bottom"/>
            <w:shd w:val="clear" w:color="auto" w:fill="FDFDFC"/>
          </w:tcPr>
          <w:p>
            <w:pPr>
              <w:spacing w:after="0"/>
              <w:rPr>
                <w:sz w:val="16"/>
                <w:szCs w:val="16"/>
                <w:color w:val="auto"/>
              </w:rPr>
            </w:pPr>
          </w:p>
        </w:tc>
        <w:tc>
          <w:tcPr>
            <w:tcW w:w="280" w:type="dxa"/>
            <w:vAlign w:val="bottom"/>
            <w:shd w:val="clear" w:color="auto" w:fill="FDFDFC"/>
          </w:tcPr>
          <w:p>
            <w:pPr>
              <w:spacing w:after="0"/>
              <w:rPr>
                <w:sz w:val="16"/>
                <w:szCs w:val="16"/>
                <w:color w:val="auto"/>
              </w:rPr>
            </w:pPr>
          </w:p>
        </w:tc>
        <w:tc>
          <w:tcPr>
            <w:tcW w:w="1640" w:type="dxa"/>
            <w:vAlign w:val="bottom"/>
            <w:shd w:val="clear" w:color="auto" w:fill="FDFDFC"/>
          </w:tcPr>
          <w:p>
            <w:pPr>
              <w:jc w:val="right"/>
              <w:ind w:right="390"/>
              <w:spacing w:after="0"/>
              <w:rPr>
                <w:sz w:val="20"/>
                <w:szCs w:val="20"/>
                <w:color w:val="auto"/>
              </w:rPr>
            </w:pPr>
            <w:r>
              <w:rPr>
                <w:rFonts w:ascii="Times New Roman" w:cs="Times New Roman" w:eastAsia="Times New Roman" w:hAnsi="Times New Roman"/>
                <w:sz w:val="15"/>
                <w:szCs w:val="15"/>
                <w:b w:val="1"/>
                <w:bCs w:val="1"/>
                <w:color w:val="231F20"/>
              </w:rPr>
              <w:t>Net Unrealized</w:t>
            </w:r>
          </w:p>
        </w:tc>
        <w:tc>
          <w:tcPr>
            <w:tcW w:w="80" w:type="dxa"/>
            <w:vAlign w:val="bottom"/>
            <w:shd w:val="clear" w:color="auto" w:fill="FDFDFC"/>
          </w:tcPr>
          <w:p>
            <w:pPr>
              <w:spacing w:after="0"/>
              <w:rPr>
                <w:sz w:val="16"/>
                <w:szCs w:val="16"/>
                <w:color w:val="auto"/>
              </w:rPr>
            </w:pPr>
          </w:p>
        </w:tc>
      </w:tr>
      <w:tr>
        <w:trPr>
          <w:trHeight w:val="187"/>
        </w:trPr>
        <w:tc>
          <w:tcPr>
            <w:tcW w:w="2580" w:type="dxa"/>
            <w:vAlign w:val="bottom"/>
            <w:tcBorders>
              <w:bottom w:val="single" w:sz="8" w:color="D0EBF2"/>
            </w:tcBorders>
            <w:shd w:val="clear" w:color="auto" w:fill="FDFDFC"/>
          </w:tcPr>
          <w:p>
            <w:pPr>
              <w:spacing w:after="0"/>
              <w:rPr>
                <w:sz w:val="20"/>
                <w:szCs w:val="20"/>
                <w:color w:val="auto"/>
              </w:rPr>
            </w:pPr>
            <w:r>
              <w:rPr>
                <w:rFonts w:ascii="Times New Roman" w:cs="Times New Roman" w:eastAsia="Times New Roman" w:hAnsi="Times New Roman"/>
                <w:sz w:val="15"/>
                <w:szCs w:val="15"/>
                <w:color w:val="231F20"/>
              </w:rPr>
              <w:t>($ in millions)</w:t>
            </w:r>
          </w:p>
        </w:tc>
        <w:tc>
          <w:tcPr>
            <w:tcW w:w="220" w:type="dxa"/>
            <w:vAlign w:val="bottom"/>
            <w:tcBorders>
              <w:bottom w:val="single" w:sz="8" w:color="D0EBF2"/>
            </w:tcBorders>
            <w:shd w:val="clear" w:color="auto" w:fill="FDFDFC"/>
          </w:tcPr>
          <w:p>
            <w:pPr>
              <w:spacing w:after="0"/>
              <w:rPr>
                <w:sz w:val="16"/>
                <w:szCs w:val="16"/>
                <w:color w:val="auto"/>
              </w:rPr>
            </w:pPr>
          </w:p>
        </w:tc>
        <w:tc>
          <w:tcPr>
            <w:tcW w:w="140" w:type="dxa"/>
            <w:vAlign w:val="bottom"/>
            <w:tcBorders>
              <w:bottom w:val="single" w:sz="8" w:color="231F20"/>
            </w:tcBorders>
            <w:shd w:val="clear" w:color="auto" w:fill="FDFDFC"/>
          </w:tcPr>
          <w:p>
            <w:pPr>
              <w:spacing w:after="0"/>
              <w:rPr>
                <w:sz w:val="16"/>
                <w:szCs w:val="16"/>
                <w:color w:val="auto"/>
              </w:rPr>
            </w:pPr>
          </w:p>
        </w:tc>
        <w:tc>
          <w:tcPr>
            <w:tcW w:w="1400" w:type="dxa"/>
            <w:vAlign w:val="bottom"/>
            <w:tcBorders>
              <w:bottom w:val="single" w:sz="8" w:color="231F20"/>
            </w:tcBorders>
            <w:shd w:val="clear" w:color="auto" w:fill="FDFDFC"/>
          </w:tcPr>
          <w:p>
            <w:pPr>
              <w:jc w:val="right"/>
              <w:ind w:right="108"/>
              <w:spacing w:after="0"/>
              <w:rPr>
                <w:sz w:val="20"/>
                <w:szCs w:val="20"/>
                <w:color w:val="auto"/>
              </w:rPr>
            </w:pPr>
            <w:r>
              <w:rPr>
                <w:rFonts w:ascii="Times New Roman" w:cs="Times New Roman" w:eastAsia="Times New Roman" w:hAnsi="Times New Roman"/>
                <w:sz w:val="15"/>
                <w:szCs w:val="15"/>
                <w:b w:val="1"/>
                <w:bCs w:val="1"/>
                <w:color w:val="231F20"/>
              </w:rPr>
              <w:t xml:space="preserve">Amortized Cost </w:t>
            </w:r>
            <w:r>
              <w:rPr>
                <w:rFonts w:ascii="Times New Roman" w:cs="Times New Roman" w:eastAsia="Times New Roman" w:hAnsi="Times New Roman"/>
                <w:sz w:val="9"/>
                <w:szCs w:val="9"/>
                <w:b w:val="1"/>
                <w:bCs w:val="1"/>
                <w:color w:val="231F20"/>
              </w:rPr>
              <w:t>(1)</w:t>
            </w:r>
          </w:p>
        </w:tc>
        <w:tc>
          <w:tcPr>
            <w:tcW w:w="140" w:type="dxa"/>
            <w:vAlign w:val="bottom"/>
            <w:tcBorders>
              <w:bottom w:val="single" w:sz="8" w:color="D0EBF2"/>
            </w:tcBorders>
            <w:shd w:val="clear" w:color="auto" w:fill="FDFDFC"/>
          </w:tcPr>
          <w:p>
            <w:pPr>
              <w:spacing w:after="0"/>
              <w:rPr>
                <w:sz w:val="16"/>
                <w:szCs w:val="16"/>
                <w:color w:val="auto"/>
              </w:rPr>
            </w:pPr>
          </w:p>
        </w:tc>
        <w:tc>
          <w:tcPr>
            <w:tcW w:w="220" w:type="dxa"/>
            <w:vAlign w:val="bottom"/>
            <w:tcBorders>
              <w:bottom w:val="single" w:sz="8" w:color="231F20"/>
            </w:tcBorders>
            <w:shd w:val="clear" w:color="auto" w:fill="FDFDFC"/>
          </w:tcPr>
          <w:p>
            <w:pPr>
              <w:spacing w:after="0"/>
              <w:rPr>
                <w:sz w:val="16"/>
                <w:szCs w:val="16"/>
                <w:color w:val="auto"/>
              </w:rPr>
            </w:pPr>
          </w:p>
        </w:tc>
        <w:tc>
          <w:tcPr>
            <w:tcW w:w="1320" w:type="dxa"/>
            <w:vAlign w:val="bottom"/>
            <w:tcBorders>
              <w:bottom w:val="single" w:sz="8" w:color="231F20"/>
            </w:tcBorders>
            <w:shd w:val="clear" w:color="auto" w:fill="FDFDFC"/>
          </w:tcPr>
          <w:p>
            <w:pPr>
              <w:jc w:val="right"/>
              <w:ind w:right="350"/>
              <w:spacing w:after="0"/>
              <w:rPr>
                <w:sz w:val="20"/>
                <w:szCs w:val="20"/>
                <w:color w:val="auto"/>
              </w:rPr>
            </w:pPr>
            <w:r>
              <w:rPr>
                <w:rFonts w:ascii="Times New Roman" w:cs="Times New Roman" w:eastAsia="Times New Roman" w:hAnsi="Times New Roman"/>
                <w:sz w:val="15"/>
                <w:szCs w:val="15"/>
                <w:b w:val="1"/>
                <w:bCs w:val="1"/>
                <w:color w:val="231F20"/>
              </w:rPr>
              <w:t>Fair Value</w:t>
            </w:r>
          </w:p>
        </w:tc>
        <w:tc>
          <w:tcPr>
            <w:tcW w:w="80" w:type="dxa"/>
            <w:vAlign w:val="bottom"/>
            <w:tcBorders>
              <w:bottom w:val="single" w:sz="8" w:color="D0EBF2"/>
            </w:tcBorders>
            <w:shd w:val="clear" w:color="auto" w:fill="FDFDFC"/>
          </w:tcPr>
          <w:p>
            <w:pPr>
              <w:spacing w:after="0"/>
              <w:rPr>
                <w:sz w:val="16"/>
                <w:szCs w:val="16"/>
                <w:color w:val="auto"/>
              </w:rPr>
            </w:pPr>
          </w:p>
        </w:tc>
        <w:tc>
          <w:tcPr>
            <w:tcW w:w="60" w:type="dxa"/>
            <w:vAlign w:val="bottom"/>
            <w:tcBorders>
              <w:bottom w:val="single" w:sz="8" w:color="D0EBF2"/>
            </w:tcBorders>
            <w:shd w:val="clear" w:color="auto" w:fill="FDFDFC"/>
          </w:tcPr>
          <w:p>
            <w:pPr>
              <w:spacing w:after="0"/>
              <w:rPr>
                <w:sz w:val="16"/>
                <w:szCs w:val="16"/>
                <w:color w:val="auto"/>
              </w:rPr>
            </w:pPr>
          </w:p>
        </w:tc>
        <w:tc>
          <w:tcPr>
            <w:tcW w:w="280" w:type="dxa"/>
            <w:vAlign w:val="bottom"/>
            <w:tcBorders>
              <w:bottom w:val="single" w:sz="8" w:color="231F20"/>
            </w:tcBorders>
            <w:shd w:val="clear" w:color="auto" w:fill="FDFDFC"/>
          </w:tcPr>
          <w:p>
            <w:pPr>
              <w:spacing w:after="0"/>
              <w:rPr>
                <w:sz w:val="16"/>
                <w:szCs w:val="16"/>
                <w:color w:val="auto"/>
              </w:rPr>
            </w:pPr>
          </w:p>
        </w:tc>
        <w:tc>
          <w:tcPr>
            <w:tcW w:w="1640" w:type="dxa"/>
            <w:vAlign w:val="bottom"/>
            <w:tcBorders>
              <w:bottom w:val="single" w:sz="8" w:color="231F20"/>
            </w:tcBorders>
            <w:shd w:val="clear" w:color="auto" w:fill="FDFDFC"/>
          </w:tcPr>
          <w:p>
            <w:pPr>
              <w:jc w:val="right"/>
              <w:ind w:right="510"/>
              <w:spacing w:after="0"/>
              <w:rPr>
                <w:sz w:val="20"/>
                <w:szCs w:val="20"/>
                <w:color w:val="auto"/>
              </w:rPr>
            </w:pPr>
            <w:r>
              <w:rPr>
                <w:rFonts w:ascii="Times New Roman" w:cs="Times New Roman" w:eastAsia="Times New Roman" w:hAnsi="Times New Roman"/>
                <w:sz w:val="15"/>
                <w:szCs w:val="15"/>
                <w:b w:val="1"/>
                <w:bCs w:val="1"/>
                <w:color w:val="231F20"/>
              </w:rPr>
              <w:t>Gain (Loss)</w:t>
            </w:r>
          </w:p>
        </w:tc>
        <w:tc>
          <w:tcPr>
            <w:tcW w:w="80" w:type="dxa"/>
            <w:vAlign w:val="bottom"/>
            <w:tcBorders>
              <w:bottom w:val="single" w:sz="8" w:color="D0EBF2"/>
            </w:tcBorders>
            <w:shd w:val="clear" w:color="auto" w:fill="FDFDFC"/>
          </w:tcPr>
          <w:p>
            <w:pPr>
              <w:spacing w:after="0"/>
              <w:rPr>
                <w:sz w:val="16"/>
                <w:szCs w:val="16"/>
                <w:color w:val="auto"/>
              </w:rPr>
            </w:pPr>
          </w:p>
        </w:tc>
      </w:tr>
      <w:tr>
        <w:trPr>
          <w:trHeight w:val="220"/>
        </w:trPr>
        <w:tc>
          <w:tcPr>
            <w:tcW w:w="2580" w:type="dxa"/>
            <w:vAlign w:val="bottom"/>
            <w:shd w:val="clear" w:color="auto" w:fill="D0EBF2"/>
          </w:tcPr>
          <w:p>
            <w:pPr>
              <w:spacing w:after="0"/>
              <w:rPr>
                <w:sz w:val="20"/>
                <w:szCs w:val="20"/>
                <w:color w:val="auto"/>
              </w:rPr>
            </w:pPr>
            <w:r>
              <w:rPr>
                <w:rFonts w:ascii="Times New Roman" w:cs="Times New Roman" w:eastAsia="Times New Roman" w:hAnsi="Times New Roman"/>
                <w:sz w:val="19"/>
                <w:szCs w:val="19"/>
                <w:color w:val="231F20"/>
              </w:rPr>
              <w:t>First-lien debt investments</w:t>
            </w:r>
          </w:p>
        </w:tc>
        <w:tc>
          <w:tcPr>
            <w:tcW w:w="220" w:type="dxa"/>
            <w:vAlign w:val="bottom"/>
            <w:shd w:val="clear" w:color="auto" w:fill="D0EBF2"/>
          </w:tcPr>
          <w:p>
            <w:pPr>
              <w:spacing w:after="0"/>
              <w:rPr>
                <w:sz w:val="19"/>
                <w:szCs w:val="19"/>
                <w:color w:val="auto"/>
              </w:rPr>
            </w:pPr>
          </w:p>
        </w:tc>
        <w:tc>
          <w:tcPr>
            <w:tcW w:w="140" w:type="dxa"/>
            <w:vAlign w:val="bottom"/>
            <w:shd w:val="clear" w:color="auto" w:fill="D0EBF2"/>
          </w:tcPr>
          <w:p>
            <w:pPr>
              <w:jc w:val="right"/>
              <w:spacing w:after="0"/>
              <w:rPr>
                <w:sz w:val="20"/>
                <w:szCs w:val="20"/>
                <w:color w:val="auto"/>
              </w:rPr>
            </w:pPr>
            <w:r>
              <w:rPr>
                <w:rFonts w:ascii="Times New Roman" w:cs="Times New Roman" w:eastAsia="Times New Roman" w:hAnsi="Times New Roman"/>
                <w:sz w:val="19"/>
                <w:szCs w:val="19"/>
                <w:color w:val="231F20"/>
                <w:w w:val="83"/>
              </w:rPr>
              <w:t>$</w:t>
            </w:r>
          </w:p>
        </w:tc>
        <w:tc>
          <w:tcPr>
            <w:tcW w:w="1400" w:type="dxa"/>
            <w:vAlign w:val="bottom"/>
            <w:shd w:val="clear" w:color="auto" w:fill="D0EBF2"/>
          </w:tcPr>
          <w:p>
            <w:pPr>
              <w:jc w:val="right"/>
              <w:spacing w:after="0"/>
              <w:rPr>
                <w:sz w:val="20"/>
                <w:szCs w:val="20"/>
                <w:color w:val="auto"/>
              </w:rPr>
            </w:pPr>
            <w:r>
              <w:rPr>
                <w:rFonts w:ascii="Times New Roman" w:cs="Times New Roman" w:eastAsia="Times New Roman" w:hAnsi="Times New Roman"/>
                <w:sz w:val="19"/>
                <w:szCs w:val="19"/>
                <w:color w:val="231F20"/>
              </w:rPr>
              <w:t>3,298.0</w:t>
            </w:r>
          </w:p>
        </w:tc>
        <w:tc>
          <w:tcPr>
            <w:tcW w:w="140" w:type="dxa"/>
            <w:vAlign w:val="bottom"/>
            <w:shd w:val="clear" w:color="auto" w:fill="D0EBF2"/>
          </w:tcPr>
          <w:p>
            <w:pPr>
              <w:spacing w:after="0"/>
              <w:rPr>
                <w:sz w:val="19"/>
                <w:szCs w:val="19"/>
                <w:color w:val="auto"/>
              </w:rPr>
            </w:pPr>
          </w:p>
        </w:tc>
        <w:tc>
          <w:tcPr>
            <w:tcW w:w="220" w:type="dxa"/>
            <w:vAlign w:val="bottom"/>
            <w:shd w:val="clear" w:color="auto" w:fill="D0EBF2"/>
          </w:tcPr>
          <w:p>
            <w:pPr>
              <w:jc w:val="right"/>
              <w:ind w:right="26"/>
              <w:spacing w:after="0"/>
              <w:rPr>
                <w:sz w:val="20"/>
                <w:szCs w:val="20"/>
                <w:color w:val="auto"/>
              </w:rPr>
            </w:pPr>
            <w:r>
              <w:rPr>
                <w:rFonts w:ascii="Times New Roman" w:cs="Times New Roman" w:eastAsia="Times New Roman" w:hAnsi="Times New Roman"/>
                <w:sz w:val="19"/>
                <w:szCs w:val="19"/>
                <w:color w:val="231F20"/>
                <w:w w:val="83"/>
              </w:rPr>
              <w:t>$</w:t>
            </w:r>
          </w:p>
        </w:tc>
        <w:tc>
          <w:tcPr>
            <w:tcW w:w="1320" w:type="dxa"/>
            <w:vAlign w:val="bottom"/>
            <w:shd w:val="clear" w:color="auto" w:fill="D0EBF2"/>
          </w:tcPr>
          <w:p>
            <w:pPr>
              <w:jc w:val="right"/>
              <w:spacing w:after="0"/>
              <w:rPr>
                <w:sz w:val="20"/>
                <w:szCs w:val="20"/>
                <w:color w:val="auto"/>
              </w:rPr>
            </w:pPr>
            <w:r>
              <w:rPr>
                <w:rFonts w:ascii="Times New Roman" w:cs="Times New Roman" w:eastAsia="Times New Roman" w:hAnsi="Times New Roman"/>
                <w:sz w:val="19"/>
                <w:szCs w:val="19"/>
                <w:color w:val="231F20"/>
              </w:rPr>
              <w:t>3,302.5</w:t>
            </w:r>
          </w:p>
        </w:tc>
        <w:tc>
          <w:tcPr>
            <w:tcW w:w="80" w:type="dxa"/>
            <w:vAlign w:val="bottom"/>
            <w:shd w:val="clear" w:color="auto" w:fill="D0EBF2"/>
          </w:tcPr>
          <w:p>
            <w:pPr>
              <w:spacing w:after="0"/>
              <w:rPr>
                <w:sz w:val="19"/>
                <w:szCs w:val="19"/>
                <w:color w:val="auto"/>
              </w:rPr>
            </w:pPr>
          </w:p>
        </w:tc>
        <w:tc>
          <w:tcPr>
            <w:tcW w:w="60" w:type="dxa"/>
            <w:vAlign w:val="bottom"/>
            <w:shd w:val="clear" w:color="auto" w:fill="D0EBF2"/>
          </w:tcPr>
          <w:p>
            <w:pPr>
              <w:spacing w:after="0"/>
              <w:rPr>
                <w:sz w:val="19"/>
                <w:szCs w:val="19"/>
                <w:color w:val="auto"/>
              </w:rPr>
            </w:pPr>
          </w:p>
        </w:tc>
        <w:tc>
          <w:tcPr>
            <w:tcW w:w="280" w:type="dxa"/>
            <w:vAlign w:val="bottom"/>
            <w:shd w:val="clear" w:color="auto" w:fill="D0EBF2"/>
          </w:tcPr>
          <w:p>
            <w:pPr>
              <w:jc w:val="right"/>
              <w:ind w:right="86"/>
              <w:spacing w:after="0"/>
              <w:rPr>
                <w:sz w:val="20"/>
                <w:szCs w:val="20"/>
                <w:color w:val="auto"/>
              </w:rPr>
            </w:pPr>
            <w:r>
              <w:rPr>
                <w:rFonts w:ascii="Times New Roman" w:cs="Times New Roman" w:eastAsia="Times New Roman" w:hAnsi="Times New Roman"/>
                <w:sz w:val="19"/>
                <w:szCs w:val="19"/>
                <w:color w:val="231F20"/>
                <w:w w:val="83"/>
              </w:rPr>
              <w:t>$</w:t>
            </w:r>
          </w:p>
        </w:tc>
        <w:tc>
          <w:tcPr>
            <w:tcW w:w="1640" w:type="dxa"/>
            <w:vAlign w:val="bottom"/>
            <w:shd w:val="clear" w:color="auto" w:fill="D0EBF2"/>
          </w:tcPr>
          <w:p>
            <w:pPr>
              <w:jc w:val="right"/>
              <w:spacing w:after="0"/>
              <w:rPr>
                <w:sz w:val="20"/>
                <w:szCs w:val="20"/>
                <w:color w:val="auto"/>
              </w:rPr>
            </w:pPr>
            <w:r>
              <w:rPr>
                <w:rFonts w:ascii="Times New Roman" w:cs="Times New Roman" w:eastAsia="Times New Roman" w:hAnsi="Times New Roman"/>
                <w:sz w:val="19"/>
                <w:szCs w:val="19"/>
                <w:color w:val="231F20"/>
              </w:rPr>
              <w:t>4.5</w:t>
            </w:r>
          </w:p>
        </w:tc>
        <w:tc>
          <w:tcPr>
            <w:tcW w:w="80" w:type="dxa"/>
            <w:vAlign w:val="bottom"/>
            <w:shd w:val="clear" w:color="auto" w:fill="D0EBF2"/>
          </w:tcPr>
          <w:p>
            <w:pPr>
              <w:spacing w:after="0"/>
              <w:rPr>
                <w:sz w:val="19"/>
                <w:szCs w:val="19"/>
                <w:color w:val="auto"/>
              </w:rPr>
            </w:pPr>
          </w:p>
        </w:tc>
      </w:tr>
      <w:tr>
        <w:trPr>
          <w:trHeight w:val="230"/>
        </w:trPr>
        <w:tc>
          <w:tcPr>
            <w:tcW w:w="2580" w:type="dxa"/>
            <w:vAlign w:val="bottom"/>
            <w:shd w:val="clear" w:color="auto" w:fill="FDFDFC"/>
          </w:tcPr>
          <w:p>
            <w:pPr>
              <w:spacing w:after="0"/>
              <w:rPr>
                <w:sz w:val="20"/>
                <w:szCs w:val="20"/>
                <w:color w:val="auto"/>
              </w:rPr>
            </w:pPr>
            <w:r>
              <w:rPr>
                <w:rFonts w:ascii="Times New Roman" w:cs="Times New Roman" w:eastAsia="Times New Roman" w:hAnsi="Times New Roman"/>
                <w:sz w:val="19"/>
                <w:szCs w:val="19"/>
                <w:color w:val="231F20"/>
              </w:rPr>
              <w:t>Second-lien debt investments</w:t>
            </w:r>
          </w:p>
        </w:tc>
        <w:tc>
          <w:tcPr>
            <w:tcW w:w="220" w:type="dxa"/>
            <w:vAlign w:val="bottom"/>
            <w:shd w:val="clear" w:color="auto" w:fill="FDFDFC"/>
          </w:tcPr>
          <w:p>
            <w:pPr>
              <w:spacing w:after="0"/>
              <w:rPr>
                <w:sz w:val="20"/>
                <w:szCs w:val="20"/>
                <w:color w:val="auto"/>
              </w:rPr>
            </w:pPr>
          </w:p>
        </w:tc>
        <w:tc>
          <w:tcPr>
            <w:tcW w:w="140" w:type="dxa"/>
            <w:vAlign w:val="bottom"/>
            <w:shd w:val="clear" w:color="auto" w:fill="FDFDFC"/>
          </w:tcPr>
          <w:p>
            <w:pPr>
              <w:spacing w:after="0"/>
              <w:rPr>
                <w:sz w:val="20"/>
                <w:szCs w:val="20"/>
                <w:color w:val="auto"/>
              </w:rPr>
            </w:pPr>
          </w:p>
        </w:tc>
        <w:tc>
          <w:tcPr>
            <w:tcW w:w="1400" w:type="dxa"/>
            <w:vAlign w:val="bottom"/>
            <w:shd w:val="clear" w:color="auto" w:fill="FDFDFC"/>
          </w:tcPr>
          <w:p>
            <w:pPr>
              <w:jc w:val="right"/>
              <w:spacing w:after="0"/>
              <w:rPr>
                <w:sz w:val="20"/>
                <w:szCs w:val="20"/>
                <w:color w:val="auto"/>
              </w:rPr>
            </w:pPr>
            <w:r>
              <w:rPr>
                <w:rFonts w:ascii="Times New Roman" w:cs="Times New Roman" w:eastAsia="Times New Roman" w:hAnsi="Times New Roman"/>
                <w:sz w:val="19"/>
                <w:szCs w:val="19"/>
                <w:color w:val="231F20"/>
              </w:rPr>
              <w:t>53.2</w:t>
            </w:r>
          </w:p>
        </w:tc>
        <w:tc>
          <w:tcPr>
            <w:tcW w:w="140" w:type="dxa"/>
            <w:vAlign w:val="bottom"/>
            <w:shd w:val="clear" w:color="auto" w:fill="FDFDFC"/>
          </w:tcPr>
          <w:p>
            <w:pPr>
              <w:spacing w:after="0"/>
              <w:rPr>
                <w:sz w:val="20"/>
                <w:szCs w:val="20"/>
                <w:color w:val="auto"/>
              </w:rPr>
            </w:pPr>
          </w:p>
        </w:tc>
        <w:tc>
          <w:tcPr>
            <w:tcW w:w="220" w:type="dxa"/>
            <w:vAlign w:val="bottom"/>
            <w:shd w:val="clear" w:color="auto" w:fill="FDFDFC"/>
          </w:tcPr>
          <w:p>
            <w:pPr>
              <w:spacing w:after="0"/>
              <w:rPr>
                <w:sz w:val="20"/>
                <w:szCs w:val="20"/>
                <w:color w:val="auto"/>
              </w:rPr>
            </w:pPr>
          </w:p>
        </w:tc>
        <w:tc>
          <w:tcPr>
            <w:tcW w:w="1320" w:type="dxa"/>
            <w:vAlign w:val="bottom"/>
            <w:shd w:val="clear" w:color="auto" w:fill="FDFDFC"/>
          </w:tcPr>
          <w:p>
            <w:pPr>
              <w:jc w:val="right"/>
              <w:spacing w:after="0"/>
              <w:rPr>
                <w:sz w:val="20"/>
                <w:szCs w:val="20"/>
                <w:color w:val="auto"/>
              </w:rPr>
            </w:pPr>
            <w:r>
              <w:rPr>
                <w:rFonts w:ascii="Times New Roman" w:cs="Times New Roman" w:eastAsia="Times New Roman" w:hAnsi="Times New Roman"/>
                <w:sz w:val="19"/>
                <w:szCs w:val="19"/>
                <w:color w:val="231F20"/>
              </w:rPr>
              <w:t>19.8</w:t>
            </w:r>
          </w:p>
        </w:tc>
        <w:tc>
          <w:tcPr>
            <w:tcW w:w="80" w:type="dxa"/>
            <w:vAlign w:val="bottom"/>
            <w:shd w:val="clear" w:color="auto" w:fill="FDFDFC"/>
          </w:tcPr>
          <w:p>
            <w:pPr>
              <w:spacing w:after="0"/>
              <w:rPr>
                <w:sz w:val="20"/>
                <w:szCs w:val="20"/>
                <w:color w:val="auto"/>
              </w:rPr>
            </w:pPr>
          </w:p>
        </w:tc>
        <w:tc>
          <w:tcPr>
            <w:tcW w:w="60" w:type="dxa"/>
            <w:vAlign w:val="bottom"/>
            <w:shd w:val="clear" w:color="auto" w:fill="FDFDFC"/>
          </w:tcPr>
          <w:p>
            <w:pPr>
              <w:spacing w:after="0"/>
              <w:rPr>
                <w:sz w:val="20"/>
                <w:szCs w:val="20"/>
                <w:color w:val="auto"/>
              </w:rPr>
            </w:pPr>
          </w:p>
        </w:tc>
        <w:tc>
          <w:tcPr>
            <w:tcW w:w="280" w:type="dxa"/>
            <w:vAlign w:val="bottom"/>
            <w:shd w:val="clear" w:color="auto" w:fill="FDFDFC"/>
          </w:tcPr>
          <w:p>
            <w:pPr>
              <w:spacing w:after="0"/>
              <w:rPr>
                <w:sz w:val="20"/>
                <w:szCs w:val="20"/>
                <w:color w:val="auto"/>
              </w:rPr>
            </w:pPr>
          </w:p>
        </w:tc>
        <w:tc>
          <w:tcPr>
            <w:tcW w:w="1640" w:type="dxa"/>
            <w:vAlign w:val="bottom"/>
            <w:shd w:val="clear" w:color="auto" w:fill="FDFDFC"/>
          </w:tcPr>
          <w:p>
            <w:pPr>
              <w:jc w:val="right"/>
              <w:spacing w:after="0"/>
              <w:rPr>
                <w:sz w:val="20"/>
                <w:szCs w:val="20"/>
                <w:color w:val="auto"/>
              </w:rPr>
            </w:pPr>
            <w:r>
              <w:rPr>
                <w:rFonts w:ascii="Times New Roman" w:cs="Times New Roman" w:eastAsia="Times New Roman" w:hAnsi="Times New Roman"/>
                <w:sz w:val="19"/>
                <w:szCs w:val="19"/>
                <w:color w:val="231F20"/>
              </w:rPr>
              <w:t>(33.4</w:t>
            </w:r>
          </w:p>
        </w:tc>
        <w:tc>
          <w:tcPr>
            <w:tcW w:w="80" w:type="dxa"/>
            <w:vAlign w:val="bottom"/>
            <w:shd w:val="clear" w:color="auto" w:fill="FDFDFC"/>
          </w:tcPr>
          <w:p>
            <w:pPr>
              <w:jc w:val="right"/>
              <w:spacing w:after="0"/>
              <w:rPr>
                <w:sz w:val="20"/>
                <w:szCs w:val="20"/>
                <w:color w:val="auto"/>
              </w:rPr>
            </w:pPr>
            <w:r>
              <w:rPr>
                <w:rFonts w:ascii="Times New Roman" w:cs="Times New Roman" w:eastAsia="Times New Roman" w:hAnsi="Times New Roman"/>
                <w:sz w:val="16"/>
                <w:szCs w:val="16"/>
                <w:color w:val="231F20"/>
                <w:w w:val="74"/>
              </w:rPr>
              <w:t>)</w:t>
            </w:r>
          </w:p>
        </w:tc>
      </w:tr>
      <w:tr>
        <w:trPr>
          <w:trHeight w:val="230"/>
        </w:trPr>
        <w:tc>
          <w:tcPr>
            <w:tcW w:w="2580" w:type="dxa"/>
            <w:vAlign w:val="bottom"/>
            <w:shd w:val="clear" w:color="auto" w:fill="D0EBF2"/>
          </w:tcPr>
          <w:p>
            <w:pPr>
              <w:spacing w:after="0"/>
              <w:rPr>
                <w:sz w:val="20"/>
                <w:szCs w:val="20"/>
                <w:color w:val="auto"/>
              </w:rPr>
            </w:pPr>
            <w:r>
              <w:rPr>
                <w:rFonts w:ascii="Times New Roman" w:cs="Times New Roman" w:eastAsia="Times New Roman" w:hAnsi="Times New Roman"/>
                <w:sz w:val="19"/>
                <w:szCs w:val="19"/>
                <w:color w:val="231F20"/>
              </w:rPr>
              <w:t>Mezzanine debt investments</w:t>
            </w:r>
          </w:p>
        </w:tc>
        <w:tc>
          <w:tcPr>
            <w:tcW w:w="220" w:type="dxa"/>
            <w:vAlign w:val="bottom"/>
            <w:shd w:val="clear" w:color="auto" w:fill="D0EBF2"/>
          </w:tcPr>
          <w:p>
            <w:pPr>
              <w:spacing w:after="0"/>
              <w:rPr>
                <w:sz w:val="20"/>
                <w:szCs w:val="20"/>
                <w:color w:val="auto"/>
              </w:rPr>
            </w:pPr>
          </w:p>
        </w:tc>
        <w:tc>
          <w:tcPr>
            <w:tcW w:w="140" w:type="dxa"/>
            <w:vAlign w:val="bottom"/>
            <w:shd w:val="clear" w:color="auto" w:fill="D0EBF2"/>
          </w:tcPr>
          <w:p>
            <w:pPr>
              <w:spacing w:after="0"/>
              <w:rPr>
                <w:sz w:val="20"/>
                <w:szCs w:val="20"/>
                <w:color w:val="auto"/>
              </w:rPr>
            </w:pPr>
          </w:p>
        </w:tc>
        <w:tc>
          <w:tcPr>
            <w:tcW w:w="1400" w:type="dxa"/>
            <w:vAlign w:val="bottom"/>
            <w:shd w:val="clear" w:color="auto" w:fill="D0EBF2"/>
          </w:tcPr>
          <w:p>
            <w:pPr>
              <w:jc w:val="right"/>
              <w:spacing w:after="0"/>
              <w:rPr>
                <w:sz w:val="20"/>
                <w:szCs w:val="20"/>
                <w:color w:val="auto"/>
              </w:rPr>
            </w:pPr>
            <w:r>
              <w:rPr>
                <w:rFonts w:ascii="Times New Roman" w:cs="Times New Roman" w:eastAsia="Times New Roman" w:hAnsi="Times New Roman"/>
                <w:sz w:val="19"/>
                <w:szCs w:val="19"/>
                <w:color w:val="231F20"/>
              </w:rPr>
              <w:t>37.1</w:t>
            </w:r>
          </w:p>
        </w:tc>
        <w:tc>
          <w:tcPr>
            <w:tcW w:w="140" w:type="dxa"/>
            <w:vAlign w:val="bottom"/>
            <w:shd w:val="clear" w:color="auto" w:fill="D0EBF2"/>
          </w:tcPr>
          <w:p>
            <w:pPr>
              <w:spacing w:after="0"/>
              <w:rPr>
                <w:sz w:val="20"/>
                <w:szCs w:val="20"/>
                <w:color w:val="auto"/>
              </w:rPr>
            </w:pPr>
          </w:p>
        </w:tc>
        <w:tc>
          <w:tcPr>
            <w:tcW w:w="220" w:type="dxa"/>
            <w:vAlign w:val="bottom"/>
            <w:shd w:val="clear" w:color="auto" w:fill="D0EBF2"/>
          </w:tcPr>
          <w:p>
            <w:pPr>
              <w:spacing w:after="0"/>
              <w:rPr>
                <w:sz w:val="20"/>
                <w:szCs w:val="20"/>
                <w:color w:val="auto"/>
              </w:rPr>
            </w:pPr>
          </w:p>
        </w:tc>
        <w:tc>
          <w:tcPr>
            <w:tcW w:w="1320" w:type="dxa"/>
            <w:vAlign w:val="bottom"/>
            <w:shd w:val="clear" w:color="auto" w:fill="D0EBF2"/>
          </w:tcPr>
          <w:p>
            <w:pPr>
              <w:jc w:val="right"/>
              <w:spacing w:after="0"/>
              <w:rPr>
                <w:sz w:val="20"/>
                <w:szCs w:val="20"/>
                <w:color w:val="auto"/>
              </w:rPr>
            </w:pPr>
            <w:r>
              <w:rPr>
                <w:rFonts w:ascii="Times New Roman" w:cs="Times New Roman" w:eastAsia="Times New Roman" w:hAnsi="Times New Roman"/>
                <w:sz w:val="19"/>
                <w:szCs w:val="19"/>
                <w:color w:val="231F20"/>
              </w:rPr>
              <w:t>39.1</w:t>
            </w:r>
          </w:p>
        </w:tc>
        <w:tc>
          <w:tcPr>
            <w:tcW w:w="80" w:type="dxa"/>
            <w:vAlign w:val="bottom"/>
            <w:shd w:val="clear" w:color="auto" w:fill="D0EBF2"/>
          </w:tcPr>
          <w:p>
            <w:pPr>
              <w:spacing w:after="0"/>
              <w:rPr>
                <w:sz w:val="20"/>
                <w:szCs w:val="20"/>
                <w:color w:val="auto"/>
              </w:rPr>
            </w:pPr>
          </w:p>
        </w:tc>
        <w:tc>
          <w:tcPr>
            <w:tcW w:w="60" w:type="dxa"/>
            <w:vAlign w:val="bottom"/>
            <w:shd w:val="clear" w:color="auto" w:fill="D0EBF2"/>
          </w:tcPr>
          <w:p>
            <w:pPr>
              <w:spacing w:after="0"/>
              <w:rPr>
                <w:sz w:val="20"/>
                <w:szCs w:val="20"/>
                <w:color w:val="auto"/>
              </w:rPr>
            </w:pPr>
          </w:p>
        </w:tc>
        <w:tc>
          <w:tcPr>
            <w:tcW w:w="280" w:type="dxa"/>
            <w:vAlign w:val="bottom"/>
            <w:shd w:val="clear" w:color="auto" w:fill="D0EBF2"/>
          </w:tcPr>
          <w:p>
            <w:pPr>
              <w:spacing w:after="0"/>
              <w:rPr>
                <w:sz w:val="20"/>
                <w:szCs w:val="20"/>
                <w:color w:val="auto"/>
              </w:rPr>
            </w:pPr>
          </w:p>
        </w:tc>
        <w:tc>
          <w:tcPr>
            <w:tcW w:w="1640" w:type="dxa"/>
            <w:vAlign w:val="bottom"/>
            <w:shd w:val="clear" w:color="auto" w:fill="D0EBF2"/>
          </w:tcPr>
          <w:p>
            <w:pPr>
              <w:jc w:val="right"/>
              <w:spacing w:after="0"/>
              <w:rPr>
                <w:sz w:val="20"/>
                <w:szCs w:val="20"/>
                <w:color w:val="auto"/>
              </w:rPr>
            </w:pPr>
            <w:r>
              <w:rPr>
                <w:rFonts w:ascii="Times New Roman" w:cs="Times New Roman" w:eastAsia="Times New Roman" w:hAnsi="Times New Roman"/>
                <w:sz w:val="19"/>
                <w:szCs w:val="19"/>
                <w:color w:val="231F20"/>
              </w:rPr>
              <w:t>2.0</w:t>
            </w:r>
          </w:p>
        </w:tc>
        <w:tc>
          <w:tcPr>
            <w:tcW w:w="80" w:type="dxa"/>
            <w:vAlign w:val="bottom"/>
            <w:shd w:val="clear" w:color="auto" w:fill="D0EBF2"/>
          </w:tcPr>
          <w:p>
            <w:pPr>
              <w:spacing w:after="0"/>
              <w:rPr>
                <w:sz w:val="20"/>
                <w:szCs w:val="20"/>
                <w:color w:val="auto"/>
              </w:rPr>
            </w:pPr>
          </w:p>
        </w:tc>
      </w:tr>
      <w:tr>
        <w:trPr>
          <w:trHeight w:val="230"/>
        </w:trPr>
        <w:tc>
          <w:tcPr>
            <w:tcW w:w="2580" w:type="dxa"/>
            <w:vAlign w:val="bottom"/>
            <w:shd w:val="clear" w:color="auto" w:fill="FDFDFC"/>
          </w:tcPr>
          <w:p>
            <w:pPr>
              <w:spacing w:after="0"/>
              <w:rPr>
                <w:sz w:val="20"/>
                <w:szCs w:val="20"/>
                <w:color w:val="auto"/>
              </w:rPr>
            </w:pPr>
            <w:r>
              <w:rPr>
                <w:rFonts w:ascii="Times New Roman" w:cs="Times New Roman" w:eastAsia="Times New Roman" w:hAnsi="Times New Roman"/>
                <w:sz w:val="19"/>
                <w:szCs w:val="19"/>
                <w:color w:val="231F20"/>
              </w:rPr>
              <w:t>Equity and other investments</w:t>
            </w:r>
          </w:p>
        </w:tc>
        <w:tc>
          <w:tcPr>
            <w:tcW w:w="220" w:type="dxa"/>
            <w:vAlign w:val="bottom"/>
            <w:shd w:val="clear" w:color="auto" w:fill="FDFDFC"/>
          </w:tcPr>
          <w:p>
            <w:pPr>
              <w:spacing w:after="0"/>
              <w:rPr>
                <w:sz w:val="20"/>
                <w:szCs w:val="20"/>
                <w:color w:val="auto"/>
              </w:rPr>
            </w:pPr>
          </w:p>
        </w:tc>
        <w:tc>
          <w:tcPr>
            <w:tcW w:w="140" w:type="dxa"/>
            <w:vAlign w:val="bottom"/>
            <w:shd w:val="clear" w:color="auto" w:fill="FDFDFC"/>
          </w:tcPr>
          <w:p>
            <w:pPr>
              <w:spacing w:after="0"/>
              <w:rPr>
                <w:sz w:val="20"/>
                <w:szCs w:val="20"/>
                <w:color w:val="auto"/>
              </w:rPr>
            </w:pPr>
          </w:p>
        </w:tc>
        <w:tc>
          <w:tcPr>
            <w:tcW w:w="1400" w:type="dxa"/>
            <w:vAlign w:val="bottom"/>
            <w:shd w:val="clear" w:color="auto" w:fill="FDFDFC"/>
          </w:tcPr>
          <w:p>
            <w:pPr>
              <w:jc w:val="right"/>
              <w:spacing w:after="0"/>
              <w:rPr>
                <w:sz w:val="20"/>
                <w:szCs w:val="20"/>
                <w:color w:val="auto"/>
              </w:rPr>
            </w:pPr>
            <w:r>
              <w:rPr>
                <w:rFonts w:ascii="Times New Roman" w:cs="Times New Roman" w:eastAsia="Times New Roman" w:hAnsi="Times New Roman"/>
                <w:sz w:val="19"/>
                <w:szCs w:val="19"/>
                <w:color w:val="231F20"/>
              </w:rPr>
              <w:t>149.4</w:t>
            </w:r>
          </w:p>
        </w:tc>
        <w:tc>
          <w:tcPr>
            <w:tcW w:w="140" w:type="dxa"/>
            <w:vAlign w:val="bottom"/>
            <w:shd w:val="clear" w:color="auto" w:fill="FDFDFC"/>
          </w:tcPr>
          <w:p>
            <w:pPr>
              <w:spacing w:after="0"/>
              <w:rPr>
                <w:sz w:val="20"/>
                <w:szCs w:val="20"/>
                <w:color w:val="auto"/>
              </w:rPr>
            </w:pPr>
          </w:p>
        </w:tc>
        <w:tc>
          <w:tcPr>
            <w:tcW w:w="220" w:type="dxa"/>
            <w:vAlign w:val="bottom"/>
            <w:shd w:val="clear" w:color="auto" w:fill="FDFDFC"/>
          </w:tcPr>
          <w:p>
            <w:pPr>
              <w:spacing w:after="0"/>
              <w:rPr>
                <w:sz w:val="20"/>
                <w:szCs w:val="20"/>
                <w:color w:val="auto"/>
              </w:rPr>
            </w:pPr>
          </w:p>
        </w:tc>
        <w:tc>
          <w:tcPr>
            <w:tcW w:w="1320" w:type="dxa"/>
            <w:vAlign w:val="bottom"/>
            <w:shd w:val="clear" w:color="auto" w:fill="FDFDFC"/>
          </w:tcPr>
          <w:p>
            <w:pPr>
              <w:jc w:val="right"/>
              <w:spacing w:after="0"/>
              <w:rPr>
                <w:sz w:val="20"/>
                <w:szCs w:val="20"/>
                <w:color w:val="auto"/>
              </w:rPr>
            </w:pPr>
            <w:r>
              <w:rPr>
                <w:rFonts w:ascii="Times New Roman" w:cs="Times New Roman" w:eastAsia="Times New Roman" w:hAnsi="Times New Roman"/>
                <w:sz w:val="19"/>
                <w:szCs w:val="19"/>
                <w:color w:val="231F20"/>
              </w:rPr>
              <w:t>155.5</w:t>
            </w:r>
          </w:p>
        </w:tc>
        <w:tc>
          <w:tcPr>
            <w:tcW w:w="80" w:type="dxa"/>
            <w:vAlign w:val="bottom"/>
            <w:shd w:val="clear" w:color="auto" w:fill="FDFDFC"/>
          </w:tcPr>
          <w:p>
            <w:pPr>
              <w:spacing w:after="0"/>
              <w:rPr>
                <w:sz w:val="20"/>
                <w:szCs w:val="20"/>
                <w:color w:val="auto"/>
              </w:rPr>
            </w:pPr>
          </w:p>
        </w:tc>
        <w:tc>
          <w:tcPr>
            <w:tcW w:w="60" w:type="dxa"/>
            <w:vAlign w:val="bottom"/>
            <w:shd w:val="clear" w:color="auto" w:fill="FDFDFC"/>
          </w:tcPr>
          <w:p>
            <w:pPr>
              <w:spacing w:after="0"/>
              <w:rPr>
                <w:sz w:val="20"/>
                <w:szCs w:val="20"/>
                <w:color w:val="auto"/>
              </w:rPr>
            </w:pPr>
          </w:p>
        </w:tc>
        <w:tc>
          <w:tcPr>
            <w:tcW w:w="280" w:type="dxa"/>
            <w:vAlign w:val="bottom"/>
            <w:shd w:val="clear" w:color="auto" w:fill="FDFDFC"/>
          </w:tcPr>
          <w:p>
            <w:pPr>
              <w:spacing w:after="0"/>
              <w:rPr>
                <w:sz w:val="20"/>
                <w:szCs w:val="20"/>
                <w:color w:val="auto"/>
              </w:rPr>
            </w:pPr>
          </w:p>
        </w:tc>
        <w:tc>
          <w:tcPr>
            <w:tcW w:w="1640" w:type="dxa"/>
            <w:vAlign w:val="bottom"/>
            <w:shd w:val="clear" w:color="auto" w:fill="FDFDFC"/>
          </w:tcPr>
          <w:p>
            <w:pPr>
              <w:jc w:val="right"/>
              <w:spacing w:after="0"/>
              <w:rPr>
                <w:sz w:val="20"/>
                <w:szCs w:val="20"/>
                <w:color w:val="auto"/>
              </w:rPr>
            </w:pPr>
            <w:r>
              <w:rPr>
                <w:rFonts w:ascii="Times New Roman" w:cs="Times New Roman" w:eastAsia="Times New Roman" w:hAnsi="Times New Roman"/>
                <w:sz w:val="19"/>
                <w:szCs w:val="19"/>
                <w:color w:val="231F20"/>
              </w:rPr>
              <w:t>6.1</w:t>
            </w:r>
          </w:p>
        </w:tc>
        <w:tc>
          <w:tcPr>
            <w:tcW w:w="80" w:type="dxa"/>
            <w:vAlign w:val="bottom"/>
            <w:shd w:val="clear" w:color="auto" w:fill="FDFDFC"/>
          </w:tcPr>
          <w:p>
            <w:pPr>
              <w:spacing w:after="0"/>
              <w:rPr>
                <w:sz w:val="20"/>
                <w:szCs w:val="20"/>
                <w:color w:val="auto"/>
              </w:rPr>
            </w:pPr>
          </w:p>
        </w:tc>
      </w:tr>
      <w:tr>
        <w:trPr>
          <w:trHeight w:val="230"/>
        </w:trPr>
        <w:tc>
          <w:tcPr>
            <w:tcW w:w="2580" w:type="dxa"/>
            <w:vAlign w:val="bottom"/>
            <w:tcBorders>
              <w:bottom w:val="single" w:sz="8" w:color="FDFDFC"/>
            </w:tcBorders>
            <w:shd w:val="clear" w:color="auto" w:fill="D0EBF2"/>
          </w:tcPr>
          <w:p>
            <w:pPr>
              <w:spacing w:after="0" w:line="230" w:lineRule="exact"/>
              <w:rPr>
                <w:sz w:val="20"/>
                <w:szCs w:val="20"/>
                <w:color w:val="auto"/>
              </w:rPr>
            </w:pPr>
            <w:r>
              <w:rPr>
                <w:rFonts w:ascii="Times New Roman" w:cs="Times New Roman" w:eastAsia="Times New Roman" w:hAnsi="Times New Roman"/>
                <w:sz w:val="19"/>
                <w:szCs w:val="19"/>
                <w:color w:val="231F20"/>
              </w:rPr>
              <w:t>Structured credit investments</w:t>
            </w:r>
            <w:r>
              <w:rPr>
                <w:rFonts w:ascii="Times New Roman" w:cs="Times New Roman" w:eastAsia="Times New Roman" w:hAnsi="Times New Roman"/>
                <w:sz w:val="24"/>
                <w:szCs w:val="24"/>
                <w:color w:val="231F20"/>
                <w:vertAlign w:val="superscript"/>
              </w:rPr>
              <w:t>(2)</w:t>
            </w:r>
          </w:p>
        </w:tc>
        <w:tc>
          <w:tcPr>
            <w:tcW w:w="220" w:type="dxa"/>
            <w:vAlign w:val="bottom"/>
            <w:tcBorders>
              <w:bottom w:val="single" w:sz="8" w:color="FDFDFC"/>
            </w:tcBorders>
            <w:shd w:val="clear" w:color="auto" w:fill="D0EBF2"/>
          </w:tcPr>
          <w:p>
            <w:pPr>
              <w:spacing w:after="0"/>
              <w:rPr>
                <w:sz w:val="20"/>
                <w:szCs w:val="20"/>
                <w:color w:val="auto"/>
              </w:rPr>
            </w:pPr>
          </w:p>
        </w:tc>
        <w:tc>
          <w:tcPr>
            <w:tcW w:w="140" w:type="dxa"/>
            <w:vAlign w:val="bottom"/>
            <w:tcBorders>
              <w:bottom w:val="single" w:sz="8" w:color="231F20"/>
            </w:tcBorders>
            <w:shd w:val="clear" w:color="auto" w:fill="D0EBF2"/>
          </w:tcPr>
          <w:p>
            <w:pPr>
              <w:spacing w:after="0"/>
              <w:rPr>
                <w:sz w:val="20"/>
                <w:szCs w:val="20"/>
                <w:color w:val="auto"/>
              </w:rPr>
            </w:pPr>
          </w:p>
        </w:tc>
        <w:tc>
          <w:tcPr>
            <w:tcW w:w="1400" w:type="dxa"/>
            <w:vAlign w:val="bottom"/>
            <w:tcBorders>
              <w:bottom w:val="single" w:sz="8" w:color="231F20"/>
            </w:tcBorders>
            <w:shd w:val="clear" w:color="auto" w:fill="D0EBF2"/>
          </w:tcPr>
          <w:p>
            <w:pPr>
              <w:jc w:val="right"/>
              <w:spacing w:after="0"/>
              <w:rPr>
                <w:sz w:val="20"/>
                <w:szCs w:val="20"/>
                <w:color w:val="auto"/>
              </w:rPr>
            </w:pPr>
            <w:r>
              <w:rPr>
                <w:rFonts w:ascii="Times New Roman" w:cs="Times New Roman" w:eastAsia="Times New Roman" w:hAnsi="Times New Roman"/>
                <w:sz w:val="19"/>
                <w:szCs w:val="19"/>
                <w:color w:val="231F20"/>
              </w:rPr>
              <w:t>1.5</w:t>
            </w:r>
          </w:p>
        </w:tc>
        <w:tc>
          <w:tcPr>
            <w:tcW w:w="140" w:type="dxa"/>
            <w:vAlign w:val="bottom"/>
            <w:tcBorders>
              <w:bottom w:val="single" w:sz="8" w:color="FDFDFC"/>
            </w:tcBorders>
            <w:shd w:val="clear" w:color="auto" w:fill="D0EBF2"/>
          </w:tcPr>
          <w:p>
            <w:pPr>
              <w:spacing w:after="0"/>
              <w:rPr>
                <w:sz w:val="20"/>
                <w:szCs w:val="20"/>
                <w:color w:val="auto"/>
              </w:rPr>
            </w:pPr>
          </w:p>
        </w:tc>
        <w:tc>
          <w:tcPr>
            <w:tcW w:w="220" w:type="dxa"/>
            <w:vAlign w:val="bottom"/>
            <w:tcBorders>
              <w:bottom w:val="single" w:sz="8" w:color="231F20"/>
            </w:tcBorders>
            <w:shd w:val="clear" w:color="auto" w:fill="D0EBF2"/>
          </w:tcPr>
          <w:p>
            <w:pPr>
              <w:spacing w:after="0"/>
              <w:rPr>
                <w:sz w:val="20"/>
                <w:szCs w:val="20"/>
                <w:color w:val="auto"/>
              </w:rPr>
            </w:pPr>
          </w:p>
        </w:tc>
        <w:tc>
          <w:tcPr>
            <w:tcW w:w="1320" w:type="dxa"/>
            <w:vAlign w:val="bottom"/>
            <w:tcBorders>
              <w:bottom w:val="single" w:sz="8" w:color="231F20"/>
            </w:tcBorders>
            <w:shd w:val="clear" w:color="auto" w:fill="D0EBF2"/>
          </w:tcPr>
          <w:p>
            <w:pPr>
              <w:jc w:val="right"/>
              <w:spacing w:after="0"/>
              <w:rPr>
                <w:sz w:val="20"/>
                <w:szCs w:val="20"/>
                <w:color w:val="auto"/>
              </w:rPr>
            </w:pPr>
            <w:r>
              <w:rPr>
                <w:rFonts w:ascii="Times New Roman" w:cs="Times New Roman" w:eastAsia="Times New Roman" w:hAnsi="Times New Roman"/>
                <w:sz w:val="19"/>
                <w:szCs w:val="19"/>
                <w:color w:val="231F20"/>
              </w:rPr>
              <w:t>1.5</w:t>
            </w:r>
          </w:p>
        </w:tc>
        <w:tc>
          <w:tcPr>
            <w:tcW w:w="80" w:type="dxa"/>
            <w:vAlign w:val="bottom"/>
            <w:tcBorders>
              <w:bottom w:val="single" w:sz="8" w:color="FDFDFC"/>
            </w:tcBorders>
            <w:shd w:val="clear" w:color="auto" w:fill="D0EBF2"/>
          </w:tcPr>
          <w:p>
            <w:pPr>
              <w:spacing w:after="0"/>
              <w:rPr>
                <w:sz w:val="20"/>
                <w:szCs w:val="20"/>
                <w:color w:val="auto"/>
              </w:rPr>
            </w:pPr>
          </w:p>
        </w:tc>
        <w:tc>
          <w:tcPr>
            <w:tcW w:w="60" w:type="dxa"/>
            <w:vAlign w:val="bottom"/>
            <w:tcBorders>
              <w:bottom w:val="single" w:sz="8" w:color="FDFDFC"/>
            </w:tcBorders>
            <w:shd w:val="clear" w:color="auto" w:fill="D0EBF2"/>
          </w:tcPr>
          <w:p>
            <w:pPr>
              <w:spacing w:after="0"/>
              <w:rPr>
                <w:sz w:val="20"/>
                <w:szCs w:val="20"/>
                <w:color w:val="auto"/>
              </w:rPr>
            </w:pPr>
          </w:p>
        </w:tc>
        <w:tc>
          <w:tcPr>
            <w:tcW w:w="280" w:type="dxa"/>
            <w:vAlign w:val="bottom"/>
            <w:tcBorders>
              <w:bottom w:val="single" w:sz="8" w:color="231F20"/>
            </w:tcBorders>
            <w:shd w:val="clear" w:color="auto" w:fill="D0EBF2"/>
          </w:tcPr>
          <w:p>
            <w:pPr>
              <w:spacing w:after="0"/>
              <w:rPr>
                <w:sz w:val="20"/>
                <w:szCs w:val="20"/>
                <w:color w:val="auto"/>
              </w:rPr>
            </w:pPr>
          </w:p>
        </w:tc>
        <w:tc>
          <w:tcPr>
            <w:tcW w:w="1640" w:type="dxa"/>
            <w:vAlign w:val="bottom"/>
            <w:tcBorders>
              <w:bottom w:val="single" w:sz="8" w:color="231F20"/>
            </w:tcBorders>
            <w:shd w:val="clear" w:color="auto" w:fill="D0EBF2"/>
          </w:tcPr>
          <w:p>
            <w:pPr>
              <w:jc w:val="right"/>
              <w:spacing w:after="0"/>
              <w:rPr>
                <w:sz w:val="20"/>
                <w:szCs w:val="20"/>
                <w:color w:val="auto"/>
              </w:rPr>
            </w:pPr>
            <w:r>
              <w:rPr>
                <w:rFonts w:ascii="Times New Roman" w:cs="Times New Roman" w:eastAsia="Times New Roman" w:hAnsi="Times New Roman"/>
                <w:sz w:val="19"/>
                <w:szCs w:val="19"/>
                <w:color w:val="231F20"/>
              </w:rPr>
              <w:t>0.0</w:t>
            </w:r>
          </w:p>
        </w:tc>
        <w:tc>
          <w:tcPr>
            <w:tcW w:w="80" w:type="dxa"/>
            <w:vAlign w:val="bottom"/>
            <w:tcBorders>
              <w:bottom w:val="single" w:sz="8" w:color="FDFDFC"/>
            </w:tcBorders>
            <w:shd w:val="clear" w:color="auto" w:fill="D0EBF2"/>
          </w:tcPr>
          <w:p>
            <w:pPr>
              <w:spacing w:after="0"/>
              <w:rPr>
                <w:sz w:val="20"/>
                <w:szCs w:val="20"/>
                <w:color w:val="auto"/>
              </w:rPr>
            </w:pPr>
          </w:p>
        </w:tc>
      </w:tr>
      <w:tr>
        <w:trPr>
          <w:trHeight w:val="220"/>
        </w:trPr>
        <w:tc>
          <w:tcPr>
            <w:tcW w:w="2580" w:type="dxa"/>
            <w:vAlign w:val="bottom"/>
            <w:shd w:val="clear" w:color="auto" w:fill="FDFDFC"/>
          </w:tcPr>
          <w:p>
            <w:pPr>
              <w:ind w:left="180"/>
              <w:spacing w:after="0"/>
              <w:rPr>
                <w:sz w:val="20"/>
                <w:szCs w:val="20"/>
                <w:color w:val="auto"/>
              </w:rPr>
            </w:pPr>
            <w:r>
              <w:rPr>
                <w:rFonts w:ascii="Times New Roman" w:cs="Times New Roman" w:eastAsia="Times New Roman" w:hAnsi="Times New Roman"/>
                <w:sz w:val="19"/>
                <w:szCs w:val="19"/>
                <w:b w:val="1"/>
                <w:bCs w:val="1"/>
                <w:color w:val="231F20"/>
              </w:rPr>
              <w:t>Total Investments</w:t>
            </w:r>
          </w:p>
        </w:tc>
        <w:tc>
          <w:tcPr>
            <w:tcW w:w="220" w:type="dxa"/>
            <w:vAlign w:val="bottom"/>
            <w:shd w:val="clear" w:color="auto" w:fill="FDFDFC"/>
          </w:tcPr>
          <w:p>
            <w:pPr>
              <w:spacing w:after="0"/>
              <w:rPr>
                <w:sz w:val="19"/>
                <w:szCs w:val="19"/>
                <w:color w:val="auto"/>
              </w:rPr>
            </w:pPr>
          </w:p>
        </w:tc>
        <w:tc>
          <w:tcPr>
            <w:tcW w:w="140" w:type="dxa"/>
            <w:vAlign w:val="bottom"/>
            <w:tcBorders>
              <w:bottom w:val="single" w:sz="8" w:color="231F20"/>
            </w:tcBorders>
            <w:shd w:val="clear" w:color="auto" w:fill="FDFDFC"/>
          </w:tcPr>
          <w:p>
            <w:pPr>
              <w:jc w:val="right"/>
              <w:spacing w:after="0"/>
              <w:rPr>
                <w:sz w:val="20"/>
                <w:szCs w:val="20"/>
                <w:color w:val="auto"/>
              </w:rPr>
            </w:pPr>
            <w:r>
              <w:rPr>
                <w:rFonts w:ascii="Times New Roman" w:cs="Times New Roman" w:eastAsia="Times New Roman" w:hAnsi="Times New Roman"/>
                <w:sz w:val="19"/>
                <w:szCs w:val="19"/>
                <w:color w:val="231F20"/>
                <w:w w:val="83"/>
              </w:rPr>
              <w:t>$</w:t>
            </w:r>
          </w:p>
        </w:tc>
        <w:tc>
          <w:tcPr>
            <w:tcW w:w="1400" w:type="dxa"/>
            <w:vAlign w:val="bottom"/>
            <w:tcBorders>
              <w:bottom w:val="single" w:sz="8" w:color="231F20"/>
            </w:tcBorders>
            <w:shd w:val="clear" w:color="auto" w:fill="FDFDFC"/>
          </w:tcPr>
          <w:p>
            <w:pPr>
              <w:jc w:val="right"/>
              <w:spacing w:after="0"/>
              <w:rPr>
                <w:sz w:val="20"/>
                <w:szCs w:val="20"/>
                <w:color w:val="auto"/>
              </w:rPr>
            </w:pPr>
            <w:r>
              <w:rPr>
                <w:rFonts w:ascii="Times New Roman" w:cs="Times New Roman" w:eastAsia="Times New Roman" w:hAnsi="Times New Roman"/>
                <w:sz w:val="19"/>
                <w:szCs w:val="19"/>
                <w:color w:val="231F20"/>
              </w:rPr>
              <w:t>3,539.2</w:t>
            </w:r>
          </w:p>
        </w:tc>
        <w:tc>
          <w:tcPr>
            <w:tcW w:w="140" w:type="dxa"/>
            <w:vAlign w:val="bottom"/>
            <w:shd w:val="clear" w:color="auto" w:fill="FDFDFC"/>
          </w:tcPr>
          <w:p>
            <w:pPr>
              <w:spacing w:after="0"/>
              <w:rPr>
                <w:sz w:val="19"/>
                <w:szCs w:val="19"/>
                <w:color w:val="auto"/>
              </w:rPr>
            </w:pPr>
          </w:p>
        </w:tc>
        <w:tc>
          <w:tcPr>
            <w:tcW w:w="220" w:type="dxa"/>
            <w:vAlign w:val="bottom"/>
            <w:tcBorders>
              <w:bottom w:val="single" w:sz="8" w:color="231F20"/>
            </w:tcBorders>
            <w:shd w:val="clear" w:color="auto" w:fill="FDFDFC"/>
          </w:tcPr>
          <w:p>
            <w:pPr>
              <w:jc w:val="right"/>
              <w:ind w:right="26"/>
              <w:spacing w:after="0"/>
              <w:rPr>
                <w:sz w:val="20"/>
                <w:szCs w:val="20"/>
                <w:color w:val="auto"/>
              </w:rPr>
            </w:pPr>
            <w:r>
              <w:rPr>
                <w:rFonts w:ascii="Times New Roman" w:cs="Times New Roman" w:eastAsia="Times New Roman" w:hAnsi="Times New Roman"/>
                <w:sz w:val="19"/>
                <w:szCs w:val="19"/>
                <w:color w:val="231F20"/>
                <w:w w:val="83"/>
              </w:rPr>
              <w:t>$</w:t>
            </w:r>
          </w:p>
        </w:tc>
        <w:tc>
          <w:tcPr>
            <w:tcW w:w="1320" w:type="dxa"/>
            <w:vAlign w:val="bottom"/>
            <w:tcBorders>
              <w:bottom w:val="single" w:sz="8" w:color="231F20"/>
            </w:tcBorders>
            <w:shd w:val="clear" w:color="auto" w:fill="FDFDFC"/>
          </w:tcPr>
          <w:p>
            <w:pPr>
              <w:jc w:val="right"/>
              <w:spacing w:after="0"/>
              <w:rPr>
                <w:sz w:val="20"/>
                <w:szCs w:val="20"/>
                <w:color w:val="auto"/>
              </w:rPr>
            </w:pPr>
            <w:r>
              <w:rPr>
                <w:rFonts w:ascii="Times New Roman" w:cs="Times New Roman" w:eastAsia="Times New Roman" w:hAnsi="Times New Roman"/>
                <w:sz w:val="19"/>
                <w:szCs w:val="19"/>
                <w:color w:val="231F20"/>
              </w:rPr>
              <w:t>3,518.4</w:t>
            </w:r>
          </w:p>
        </w:tc>
        <w:tc>
          <w:tcPr>
            <w:tcW w:w="80" w:type="dxa"/>
            <w:vAlign w:val="bottom"/>
            <w:shd w:val="clear" w:color="auto" w:fill="FDFDFC"/>
          </w:tcPr>
          <w:p>
            <w:pPr>
              <w:spacing w:after="0"/>
              <w:rPr>
                <w:sz w:val="19"/>
                <w:szCs w:val="19"/>
                <w:color w:val="auto"/>
              </w:rPr>
            </w:pPr>
          </w:p>
        </w:tc>
        <w:tc>
          <w:tcPr>
            <w:tcW w:w="60" w:type="dxa"/>
            <w:vAlign w:val="bottom"/>
            <w:shd w:val="clear" w:color="auto" w:fill="FDFDFC"/>
          </w:tcPr>
          <w:p>
            <w:pPr>
              <w:spacing w:after="0"/>
              <w:rPr>
                <w:sz w:val="19"/>
                <w:szCs w:val="19"/>
                <w:color w:val="auto"/>
              </w:rPr>
            </w:pPr>
          </w:p>
        </w:tc>
        <w:tc>
          <w:tcPr>
            <w:tcW w:w="280" w:type="dxa"/>
            <w:vAlign w:val="bottom"/>
            <w:tcBorders>
              <w:bottom w:val="single" w:sz="8" w:color="231F20"/>
            </w:tcBorders>
            <w:shd w:val="clear" w:color="auto" w:fill="FDFDFC"/>
          </w:tcPr>
          <w:p>
            <w:pPr>
              <w:jc w:val="right"/>
              <w:ind w:right="86"/>
              <w:spacing w:after="0"/>
              <w:rPr>
                <w:sz w:val="20"/>
                <w:szCs w:val="20"/>
                <w:color w:val="auto"/>
              </w:rPr>
            </w:pPr>
            <w:r>
              <w:rPr>
                <w:rFonts w:ascii="Times New Roman" w:cs="Times New Roman" w:eastAsia="Times New Roman" w:hAnsi="Times New Roman"/>
                <w:sz w:val="19"/>
                <w:szCs w:val="19"/>
                <w:color w:val="231F20"/>
                <w:w w:val="83"/>
              </w:rPr>
              <w:t>$</w:t>
            </w:r>
          </w:p>
        </w:tc>
        <w:tc>
          <w:tcPr>
            <w:tcW w:w="1640" w:type="dxa"/>
            <w:vAlign w:val="bottom"/>
            <w:tcBorders>
              <w:bottom w:val="single" w:sz="8" w:color="231F20"/>
            </w:tcBorders>
            <w:shd w:val="clear" w:color="auto" w:fill="FDFDFC"/>
          </w:tcPr>
          <w:p>
            <w:pPr>
              <w:jc w:val="right"/>
              <w:spacing w:after="0"/>
              <w:rPr>
                <w:sz w:val="20"/>
                <w:szCs w:val="20"/>
                <w:color w:val="auto"/>
              </w:rPr>
            </w:pPr>
            <w:r>
              <w:rPr>
                <w:rFonts w:ascii="Times New Roman" w:cs="Times New Roman" w:eastAsia="Times New Roman" w:hAnsi="Times New Roman"/>
                <w:sz w:val="19"/>
                <w:szCs w:val="19"/>
                <w:color w:val="231F20"/>
              </w:rPr>
              <w:t>(20.8</w:t>
            </w:r>
          </w:p>
        </w:tc>
        <w:tc>
          <w:tcPr>
            <w:tcW w:w="80" w:type="dxa"/>
            <w:vAlign w:val="bottom"/>
            <w:shd w:val="clear" w:color="auto" w:fill="FDFDFC"/>
          </w:tcPr>
          <w:p>
            <w:pPr>
              <w:jc w:val="right"/>
              <w:spacing w:after="0"/>
              <w:rPr>
                <w:sz w:val="20"/>
                <w:szCs w:val="20"/>
                <w:color w:val="auto"/>
              </w:rPr>
            </w:pPr>
            <w:r>
              <w:rPr>
                <w:rFonts w:ascii="Times New Roman" w:cs="Times New Roman" w:eastAsia="Times New Roman" w:hAnsi="Times New Roman"/>
                <w:sz w:val="16"/>
                <w:szCs w:val="16"/>
                <w:color w:val="231F20"/>
                <w:highlight w:val="white"/>
                <w:w w:val="74"/>
              </w:rPr>
              <w:t>)</w:t>
            </w:r>
          </w:p>
        </w:tc>
      </w:tr>
      <w:tr>
        <w:trPr>
          <w:trHeight w:val="20"/>
        </w:trPr>
        <w:tc>
          <w:tcPr>
            <w:tcW w:w="25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231F20"/>
            </w:tcBorders>
          </w:tcPr>
          <w:p>
            <w:pPr>
              <w:spacing w:after="0" w:line="20" w:lineRule="exact"/>
              <w:rPr>
                <w:sz w:val="1"/>
                <w:szCs w:val="1"/>
                <w:color w:val="auto"/>
              </w:rPr>
            </w:pPr>
          </w:p>
        </w:tc>
        <w:tc>
          <w:tcPr>
            <w:tcW w:w="1400" w:type="dxa"/>
            <w:vAlign w:val="bottom"/>
            <w:tcBorders>
              <w:bottom w:val="single" w:sz="8" w:color="231F20"/>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231F20"/>
            </w:tcBorders>
          </w:tcPr>
          <w:p>
            <w:pPr>
              <w:spacing w:after="0" w:line="20" w:lineRule="exact"/>
              <w:rPr>
                <w:sz w:val="1"/>
                <w:szCs w:val="1"/>
                <w:color w:val="auto"/>
              </w:rPr>
            </w:pPr>
          </w:p>
        </w:tc>
        <w:tc>
          <w:tcPr>
            <w:tcW w:w="1320" w:type="dxa"/>
            <w:vAlign w:val="bottom"/>
            <w:tcBorders>
              <w:bottom w:val="single" w:sz="8" w:color="231F20"/>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Borders>
              <w:bottom w:val="single" w:sz="8" w:color="231F20"/>
            </w:tcBorders>
          </w:tcPr>
          <w:p>
            <w:pPr>
              <w:spacing w:after="0" w:line="20" w:lineRule="exact"/>
              <w:rPr>
                <w:sz w:val="1"/>
                <w:szCs w:val="1"/>
                <w:color w:val="auto"/>
              </w:rPr>
            </w:pPr>
          </w:p>
        </w:tc>
        <w:tc>
          <w:tcPr>
            <w:tcW w:w="1640" w:type="dxa"/>
            <w:vAlign w:val="bottom"/>
            <w:tcBorders>
              <w:bottom w:val="single" w:sz="8" w:color="231F20"/>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2240" w:h="15840" w:orient="portrait"/>
          <w:cols w:equalWidth="0" w:num="1">
            <w:col w:w="10200"/>
          </w:cols>
          <w:pgMar w:left="1020" w:top="1328" w:right="1020" w:bottom="609"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231F20"/>
        </w:rPr>
        <w:t>9</w:t>
      </w:r>
    </w:p>
    <w:p>
      <w:pPr>
        <w:sectPr>
          <w:pgSz w:w="12240" w:h="15840" w:orient="portrait"/>
          <w:cols w:equalWidth="0" w:num="1">
            <w:col w:w="10200"/>
          </w:cols>
          <w:pgMar w:left="1020" w:top="1328" w:right="1020" w:bottom="609" w:gutter="0" w:footer="0" w:header="0"/>
          <w:type w:val="continuous"/>
        </w:sectPr>
      </w:pPr>
    </w:p>
    <w:bookmarkStart w:id="9" w:name="page10"/>
    <w:bookmarkEnd w:id="9"/>
    <w:p>
      <w:pPr>
        <w:ind w:left="460" w:right="440" w:hanging="460"/>
        <w:spacing w:after="0" w:line="275" w:lineRule="auto"/>
        <w:tabs>
          <w:tab w:leader="none" w:pos="460" w:val="left"/>
        </w:tabs>
        <w:numPr>
          <w:ilvl w:val="0"/>
          <w:numId w:val="14"/>
        </w:numPr>
        <w:rPr>
          <w:rFonts w:ascii="Times New Roman" w:cs="Times New Roman" w:eastAsia="Times New Roman" w:hAnsi="Times New Roman"/>
          <w:sz w:val="19"/>
          <w:szCs w:val="19"/>
          <w:color w:val="231F20"/>
        </w:rPr>
      </w:pPr>
      <w:r>
        <w:rPr>
          <w:rFonts w:ascii="Times New Roman" w:cs="Times New Roman" w:eastAsia="Times New Roman" w:hAnsi="Times New Roman"/>
          <w:sz w:val="19"/>
          <w:szCs w:val="19"/>
          <w:color w:val="231F20"/>
        </w:rPr>
        <w:t>Amortized cost represents the original cost adjusted for the amortization of discounts or premiums, as applicable, on debt investments using the effective interest method.</w:t>
      </w:r>
    </w:p>
    <w:p>
      <w:pPr>
        <w:spacing w:after="0" w:line="47" w:lineRule="exact"/>
        <w:rPr>
          <w:rFonts w:ascii="Times New Roman" w:cs="Times New Roman" w:eastAsia="Times New Roman" w:hAnsi="Times New Roman"/>
          <w:sz w:val="19"/>
          <w:szCs w:val="19"/>
          <w:color w:val="231F20"/>
        </w:rPr>
      </w:pPr>
    </w:p>
    <w:p>
      <w:pPr>
        <w:ind w:left="460" w:hanging="460"/>
        <w:spacing w:after="0"/>
        <w:tabs>
          <w:tab w:leader="none" w:pos="460" w:val="left"/>
        </w:tabs>
        <w:numPr>
          <w:ilvl w:val="0"/>
          <w:numId w:val="14"/>
        </w:numPr>
        <w:rPr>
          <w:rFonts w:ascii="Times New Roman" w:cs="Times New Roman" w:eastAsia="Times New Roman" w:hAnsi="Times New Roman"/>
          <w:sz w:val="19"/>
          <w:szCs w:val="19"/>
          <w:color w:val="231F20"/>
        </w:rPr>
      </w:pPr>
      <w:r>
        <w:rPr>
          <w:rFonts w:ascii="Times New Roman" w:cs="Times New Roman" w:eastAsia="Times New Roman" w:hAnsi="Times New Roman"/>
          <w:sz w:val="19"/>
          <w:szCs w:val="19"/>
          <w:color w:val="231F20"/>
        </w:rPr>
        <w:t>Amounts round to less than $0.1 million</w:t>
      </w:r>
    </w:p>
    <w:p>
      <w:pPr>
        <w:spacing w:after="0" w:line="236" w:lineRule="exact"/>
        <w:rPr>
          <w:sz w:val="20"/>
          <w:szCs w:val="20"/>
          <w:color w:val="auto"/>
        </w:rPr>
      </w:pPr>
    </w:p>
    <w:tbl>
      <w:tblPr>
        <w:tblLayout w:type="fixed"/>
        <w:tblInd w:w="1020" w:type="dxa"/>
        <w:tblCellMar>
          <w:top w:w="0" w:type="dxa"/>
          <w:left w:w="0" w:type="dxa"/>
          <w:bottom w:w="0" w:type="dxa"/>
          <w:right w:w="0" w:type="dxa"/>
        </w:tblCellMar>
      </w:tblPr>
      <w:tr>
        <w:trPr>
          <w:trHeight w:val="174"/>
        </w:trPr>
        <w:tc>
          <w:tcPr>
            <w:tcW w:w="3980" w:type="dxa"/>
            <w:vAlign w:val="bottom"/>
            <w:tcBorders>
              <w:bottom w:val="single" w:sz="8" w:color="FDFDFC"/>
            </w:tcBorders>
            <w:shd w:val="clear" w:color="auto" w:fill="FDFDFC"/>
          </w:tcPr>
          <w:p>
            <w:pPr>
              <w:spacing w:after="0"/>
              <w:rPr>
                <w:sz w:val="15"/>
                <w:szCs w:val="15"/>
                <w:color w:val="auto"/>
              </w:rPr>
            </w:pPr>
          </w:p>
        </w:tc>
        <w:tc>
          <w:tcPr>
            <w:tcW w:w="200" w:type="dxa"/>
            <w:vAlign w:val="bottom"/>
            <w:tcBorders>
              <w:bottom w:val="single" w:sz="8" w:color="FDFDFC"/>
            </w:tcBorders>
            <w:shd w:val="clear" w:color="auto" w:fill="FDFDFC"/>
          </w:tcPr>
          <w:p>
            <w:pPr>
              <w:spacing w:after="0"/>
              <w:rPr>
                <w:sz w:val="15"/>
                <w:szCs w:val="15"/>
                <w:color w:val="auto"/>
              </w:rPr>
            </w:pPr>
          </w:p>
        </w:tc>
        <w:tc>
          <w:tcPr>
            <w:tcW w:w="360" w:type="dxa"/>
            <w:vAlign w:val="bottom"/>
            <w:tcBorders>
              <w:bottom w:val="single" w:sz="8" w:color="231F20"/>
            </w:tcBorders>
            <w:shd w:val="clear" w:color="auto" w:fill="FDFDFC"/>
          </w:tcPr>
          <w:p>
            <w:pPr>
              <w:spacing w:after="0"/>
              <w:rPr>
                <w:sz w:val="15"/>
                <w:szCs w:val="15"/>
                <w:color w:val="auto"/>
              </w:rPr>
            </w:pPr>
          </w:p>
        </w:tc>
        <w:tc>
          <w:tcPr>
            <w:tcW w:w="860" w:type="dxa"/>
            <w:vAlign w:val="bottom"/>
            <w:tcBorders>
              <w:bottom w:val="single" w:sz="8" w:color="231F20"/>
            </w:tcBorders>
            <w:shd w:val="clear" w:color="auto" w:fill="FDFDFC"/>
          </w:tcPr>
          <w:p>
            <w:pPr>
              <w:spacing w:after="0"/>
              <w:rPr>
                <w:sz w:val="15"/>
                <w:szCs w:val="15"/>
                <w:color w:val="auto"/>
              </w:rPr>
            </w:pPr>
          </w:p>
        </w:tc>
        <w:tc>
          <w:tcPr>
            <w:tcW w:w="1320" w:type="dxa"/>
            <w:vAlign w:val="bottom"/>
            <w:tcBorders>
              <w:bottom w:val="single" w:sz="8" w:color="231F20"/>
            </w:tcBorders>
            <w:gridSpan w:val="3"/>
            <w:shd w:val="clear" w:color="auto" w:fill="FDFDFC"/>
          </w:tcPr>
          <w:p>
            <w:pPr>
              <w:jc w:val="right"/>
              <w:spacing w:after="0"/>
              <w:rPr>
                <w:sz w:val="20"/>
                <w:szCs w:val="20"/>
                <w:color w:val="auto"/>
              </w:rPr>
            </w:pPr>
            <w:r>
              <w:rPr>
                <w:rFonts w:ascii="Times New Roman" w:cs="Times New Roman" w:eastAsia="Times New Roman" w:hAnsi="Times New Roman"/>
                <w:sz w:val="15"/>
                <w:szCs w:val="15"/>
                <w:b w:val="1"/>
                <w:bCs w:val="1"/>
                <w:color w:val="231F20"/>
              </w:rPr>
              <w:t>December 31, 2023</w:t>
            </w:r>
          </w:p>
        </w:tc>
        <w:tc>
          <w:tcPr>
            <w:tcW w:w="220" w:type="dxa"/>
            <w:vAlign w:val="bottom"/>
            <w:tcBorders>
              <w:bottom w:val="single" w:sz="8" w:color="231F20"/>
            </w:tcBorders>
            <w:shd w:val="clear" w:color="auto" w:fill="FDFDFC"/>
          </w:tcPr>
          <w:p>
            <w:pPr>
              <w:spacing w:after="0"/>
              <w:rPr>
                <w:sz w:val="15"/>
                <w:szCs w:val="15"/>
                <w:color w:val="auto"/>
              </w:rPr>
            </w:pPr>
          </w:p>
        </w:tc>
        <w:tc>
          <w:tcPr>
            <w:tcW w:w="120" w:type="dxa"/>
            <w:vAlign w:val="bottom"/>
            <w:tcBorders>
              <w:bottom w:val="single" w:sz="8" w:color="231F20"/>
            </w:tcBorders>
            <w:shd w:val="clear" w:color="auto" w:fill="FDFDFC"/>
          </w:tcPr>
          <w:p>
            <w:pPr>
              <w:spacing w:after="0"/>
              <w:rPr>
                <w:sz w:val="15"/>
                <w:szCs w:val="15"/>
                <w:color w:val="auto"/>
              </w:rPr>
            </w:pPr>
          </w:p>
        </w:tc>
        <w:tc>
          <w:tcPr>
            <w:tcW w:w="1000" w:type="dxa"/>
            <w:vAlign w:val="bottom"/>
            <w:tcBorders>
              <w:bottom w:val="single" w:sz="8" w:color="231F20"/>
            </w:tcBorders>
            <w:shd w:val="clear" w:color="auto" w:fill="FDFDFC"/>
          </w:tcPr>
          <w:p>
            <w:pPr>
              <w:spacing w:after="0"/>
              <w:rPr>
                <w:sz w:val="15"/>
                <w:szCs w:val="15"/>
                <w:color w:val="auto"/>
              </w:rPr>
            </w:pPr>
          </w:p>
        </w:tc>
        <w:tc>
          <w:tcPr>
            <w:tcW w:w="100" w:type="dxa"/>
            <w:vAlign w:val="bottom"/>
            <w:tcBorders>
              <w:bottom w:val="single" w:sz="8" w:color="FDFDFC"/>
            </w:tcBorders>
            <w:shd w:val="clear" w:color="auto" w:fill="FDFDFC"/>
          </w:tcPr>
          <w:p>
            <w:pPr>
              <w:spacing w:after="0"/>
              <w:rPr>
                <w:sz w:val="15"/>
                <w:szCs w:val="15"/>
                <w:color w:val="auto"/>
              </w:rPr>
            </w:pPr>
          </w:p>
        </w:tc>
      </w:tr>
      <w:tr>
        <w:trPr>
          <w:trHeight w:val="163"/>
        </w:trPr>
        <w:tc>
          <w:tcPr>
            <w:tcW w:w="3980" w:type="dxa"/>
            <w:vAlign w:val="bottom"/>
            <w:shd w:val="clear" w:color="auto" w:fill="FDFDFC"/>
          </w:tcPr>
          <w:p>
            <w:pPr>
              <w:spacing w:after="0"/>
              <w:rPr>
                <w:sz w:val="14"/>
                <w:szCs w:val="14"/>
                <w:color w:val="auto"/>
              </w:rPr>
            </w:pPr>
          </w:p>
        </w:tc>
        <w:tc>
          <w:tcPr>
            <w:tcW w:w="200" w:type="dxa"/>
            <w:vAlign w:val="bottom"/>
            <w:shd w:val="clear" w:color="auto" w:fill="FDFDFC"/>
          </w:tcPr>
          <w:p>
            <w:pPr>
              <w:spacing w:after="0"/>
              <w:rPr>
                <w:sz w:val="14"/>
                <w:szCs w:val="14"/>
                <w:color w:val="auto"/>
              </w:rPr>
            </w:pPr>
          </w:p>
        </w:tc>
        <w:tc>
          <w:tcPr>
            <w:tcW w:w="360" w:type="dxa"/>
            <w:vAlign w:val="bottom"/>
            <w:shd w:val="clear" w:color="auto" w:fill="FDFDFC"/>
          </w:tcPr>
          <w:p>
            <w:pPr>
              <w:spacing w:after="0"/>
              <w:rPr>
                <w:sz w:val="14"/>
                <w:szCs w:val="14"/>
                <w:color w:val="auto"/>
              </w:rPr>
            </w:pPr>
          </w:p>
        </w:tc>
        <w:tc>
          <w:tcPr>
            <w:tcW w:w="860" w:type="dxa"/>
            <w:vAlign w:val="bottom"/>
            <w:shd w:val="clear" w:color="auto" w:fill="FDFDFC"/>
          </w:tcPr>
          <w:p>
            <w:pPr>
              <w:spacing w:after="0"/>
              <w:rPr>
                <w:sz w:val="14"/>
                <w:szCs w:val="14"/>
                <w:color w:val="auto"/>
              </w:rPr>
            </w:pPr>
          </w:p>
        </w:tc>
        <w:tc>
          <w:tcPr>
            <w:tcW w:w="200" w:type="dxa"/>
            <w:vAlign w:val="bottom"/>
            <w:shd w:val="clear" w:color="auto" w:fill="FDFDFC"/>
          </w:tcPr>
          <w:p>
            <w:pPr>
              <w:spacing w:after="0"/>
              <w:rPr>
                <w:sz w:val="14"/>
                <w:szCs w:val="14"/>
                <w:color w:val="auto"/>
              </w:rPr>
            </w:pPr>
          </w:p>
        </w:tc>
        <w:tc>
          <w:tcPr>
            <w:tcW w:w="160" w:type="dxa"/>
            <w:vAlign w:val="bottom"/>
            <w:shd w:val="clear" w:color="auto" w:fill="FDFDFC"/>
          </w:tcPr>
          <w:p>
            <w:pPr>
              <w:spacing w:after="0"/>
              <w:rPr>
                <w:sz w:val="14"/>
                <w:szCs w:val="14"/>
                <w:color w:val="auto"/>
              </w:rPr>
            </w:pPr>
          </w:p>
        </w:tc>
        <w:tc>
          <w:tcPr>
            <w:tcW w:w="960" w:type="dxa"/>
            <w:vAlign w:val="bottom"/>
            <w:shd w:val="clear" w:color="auto" w:fill="FDFDFC"/>
          </w:tcPr>
          <w:p>
            <w:pPr>
              <w:spacing w:after="0"/>
              <w:rPr>
                <w:sz w:val="14"/>
                <w:szCs w:val="14"/>
                <w:color w:val="auto"/>
              </w:rPr>
            </w:pPr>
          </w:p>
        </w:tc>
        <w:tc>
          <w:tcPr>
            <w:tcW w:w="220" w:type="dxa"/>
            <w:vAlign w:val="bottom"/>
            <w:shd w:val="clear" w:color="auto" w:fill="FDFDFC"/>
          </w:tcPr>
          <w:p>
            <w:pPr>
              <w:spacing w:after="0"/>
              <w:rPr>
                <w:sz w:val="14"/>
                <w:szCs w:val="14"/>
                <w:color w:val="auto"/>
              </w:rPr>
            </w:pPr>
          </w:p>
        </w:tc>
        <w:tc>
          <w:tcPr>
            <w:tcW w:w="1120" w:type="dxa"/>
            <w:vAlign w:val="bottom"/>
            <w:gridSpan w:val="2"/>
            <w:shd w:val="clear" w:color="auto" w:fill="FDFDFC"/>
          </w:tcPr>
          <w:p>
            <w:pPr>
              <w:jc w:val="right"/>
              <w:spacing w:after="0" w:line="164" w:lineRule="exact"/>
              <w:rPr>
                <w:sz w:val="20"/>
                <w:szCs w:val="20"/>
                <w:color w:val="auto"/>
              </w:rPr>
            </w:pPr>
            <w:r>
              <w:rPr>
                <w:rFonts w:ascii="Times New Roman" w:cs="Times New Roman" w:eastAsia="Times New Roman" w:hAnsi="Times New Roman"/>
                <w:sz w:val="15"/>
                <w:szCs w:val="15"/>
                <w:b w:val="1"/>
                <w:bCs w:val="1"/>
                <w:color w:val="231F20"/>
              </w:rPr>
              <w:t>Net Unrealized</w:t>
            </w:r>
          </w:p>
        </w:tc>
        <w:tc>
          <w:tcPr>
            <w:tcW w:w="100" w:type="dxa"/>
            <w:vAlign w:val="bottom"/>
            <w:shd w:val="clear" w:color="auto" w:fill="FDFDFC"/>
          </w:tcPr>
          <w:p>
            <w:pPr>
              <w:spacing w:after="0"/>
              <w:rPr>
                <w:sz w:val="14"/>
                <w:szCs w:val="14"/>
                <w:color w:val="auto"/>
              </w:rPr>
            </w:pPr>
          </w:p>
        </w:tc>
      </w:tr>
      <w:tr>
        <w:trPr>
          <w:trHeight w:val="174"/>
        </w:trPr>
        <w:tc>
          <w:tcPr>
            <w:tcW w:w="3980" w:type="dxa"/>
            <w:vAlign w:val="bottom"/>
            <w:tcBorders>
              <w:bottom w:val="single" w:sz="8" w:color="D0EBF2"/>
            </w:tcBorders>
            <w:shd w:val="clear" w:color="auto" w:fill="FDFDFC"/>
          </w:tcPr>
          <w:p>
            <w:pPr>
              <w:spacing w:after="0"/>
              <w:rPr>
                <w:sz w:val="20"/>
                <w:szCs w:val="20"/>
                <w:color w:val="auto"/>
              </w:rPr>
            </w:pPr>
            <w:r>
              <w:rPr>
                <w:rFonts w:ascii="Times New Roman" w:cs="Times New Roman" w:eastAsia="Times New Roman" w:hAnsi="Times New Roman"/>
                <w:sz w:val="15"/>
                <w:szCs w:val="15"/>
                <w:color w:val="231F20"/>
              </w:rPr>
              <w:t>($ in millions)</w:t>
            </w:r>
          </w:p>
        </w:tc>
        <w:tc>
          <w:tcPr>
            <w:tcW w:w="200" w:type="dxa"/>
            <w:vAlign w:val="bottom"/>
            <w:tcBorders>
              <w:bottom w:val="single" w:sz="8" w:color="D0EBF2"/>
            </w:tcBorders>
            <w:shd w:val="clear" w:color="auto" w:fill="FDFDFC"/>
          </w:tcPr>
          <w:p>
            <w:pPr>
              <w:spacing w:after="0"/>
              <w:rPr>
                <w:sz w:val="15"/>
                <w:szCs w:val="15"/>
                <w:color w:val="auto"/>
              </w:rPr>
            </w:pPr>
          </w:p>
        </w:tc>
        <w:tc>
          <w:tcPr>
            <w:tcW w:w="1220" w:type="dxa"/>
            <w:vAlign w:val="bottom"/>
            <w:tcBorders>
              <w:bottom w:val="single" w:sz="8" w:color="231F20"/>
            </w:tcBorders>
            <w:gridSpan w:val="2"/>
            <w:shd w:val="clear" w:color="auto" w:fill="FDFDFC"/>
          </w:tcPr>
          <w:p>
            <w:pPr>
              <w:ind w:left="20"/>
              <w:spacing w:after="0"/>
              <w:rPr>
                <w:sz w:val="20"/>
                <w:szCs w:val="20"/>
                <w:color w:val="auto"/>
              </w:rPr>
            </w:pPr>
            <w:r>
              <w:rPr>
                <w:rFonts w:ascii="Times New Roman" w:cs="Times New Roman" w:eastAsia="Times New Roman" w:hAnsi="Times New Roman"/>
                <w:sz w:val="15"/>
                <w:szCs w:val="15"/>
                <w:b w:val="1"/>
                <w:bCs w:val="1"/>
                <w:color w:val="231F20"/>
              </w:rPr>
              <w:t xml:space="preserve">Amortized Cost </w:t>
            </w:r>
            <w:r>
              <w:rPr>
                <w:rFonts w:ascii="Times New Roman" w:cs="Times New Roman" w:eastAsia="Times New Roman" w:hAnsi="Times New Roman"/>
                <w:sz w:val="9"/>
                <w:szCs w:val="9"/>
                <w:b w:val="1"/>
                <w:bCs w:val="1"/>
                <w:color w:val="231F20"/>
              </w:rPr>
              <w:t>(1)</w:t>
            </w:r>
          </w:p>
        </w:tc>
        <w:tc>
          <w:tcPr>
            <w:tcW w:w="200" w:type="dxa"/>
            <w:vAlign w:val="bottom"/>
            <w:tcBorders>
              <w:bottom w:val="single" w:sz="8" w:color="D0EBF2"/>
            </w:tcBorders>
            <w:shd w:val="clear" w:color="auto" w:fill="FDFDFC"/>
          </w:tcPr>
          <w:p>
            <w:pPr>
              <w:spacing w:after="0"/>
              <w:rPr>
                <w:sz w:val="15"/>
                <w:szCs w:val="15"/>
                <w:color w:val="auto"/>
              </w:rPr>
            </w:pPr>
          </w:p>
        </w:tc>
        <w:tc>
          <w:tcPr>
            <w:tcW w:w="160" w:type="dxa"/>
            <w:vAlign w:val="bottom"/>
            <w:tcBorders>
              <w:bottom w:val="single" w:sz="8" w:color="231F20"/>
            </w:tcBorders>
            <w:shd w:val="clear" w:color="auto" w:fill="FDFDFC"/>
          </w:tcPr>
          <w:p>
            <w:pPr>
              <w:spacing w:after="0"/>
              <w:rPr>
                <w:sz w:val="15"/>
                <w:szCs w:val="15"/>
                <w:color w:val="auto"/>
              </w:rPr>
            </w:pPr>
          </w:p>
        </w:tc>
        <w:tc>
          <w:tcPr>
            <w:tcW w:w="960" w:type="dxa"/>
            <w:vAlign w:val="bottom"/>
            <w:tcBorders>
              <w:bottom w:val="single" w:sz="8" w:color="231F20"/>
            </w:tcBorders>
            <w:shd w:val="clear" w:color="auto" w:fill="FDFDFC"/>
          </w:tcPr>
          <w:p>
            <w:pPr>
              <w:jc w:val="right"/>
              <w:ind w:right="128"/>
              <w:spacing w:after="0"/>
              <w:rPr>
                <w:sz w:val="20"/>
                <w:szCs w:val="20"/>
                <w:color w:val="auto"/>
              </w:rPr>
            </w:pPr>
            <w:r>
              <w:rPr>
                <w:rFonts w:ascii="Times New Roman" w:cs="Times New Roman" w:eastAsia="Times New Roman" w:hAnsi="Times New Roman"/>
                <w:sz w:val="15"/>
                <w:szCs w:val="15"/>
                <w:b w:val="1"/>
                <w:bCs w:val="1"/>
                <w:color w:val="231F20"/>
              </w:rPr>
              <w:t>Fair Value</w:t>
            </w:r>
          </w:p>
        </w:tc>
        <w:tc>
          <w:tcPr>
            <w:tcW w:w="220" w:type="dxa"/>
            <w:vAlign w:val="bottom"/>
            <w:tcBorders>
              <w:bottom w:val="single" w:sz="8" w:color="D0EBF2"/>
            </w:tcBorders>
            <w:shd w:val="clear" w:color="auto" w:fill="FDFDFC"/>
          </w:tcPr>
          <w:p>
            <w:pPr>
              <w:spacing w:after="0"/>
              <w:rPr>
                <w:sz w:val="15"/>
                <w:szCs w:val="15"/>
                <w:color w:val="auto"/>
              </w:rPr>
            </w:pPr>
          </w:p>
        </w:tc>
        <w:tc>
          <w:tcPr>
            <w:tcW w:w="120" w:type="dxa"/>
            <w:vAlign w:val="bottom"/>
            <w:tcBorders>
              <w:bottom w:val="single" w:sz="8" w:color="231F20"/>
            </w:tcBorders>
            <w:shd w:val="clear" w:color="auto" w:fill="FDFDFC"/>
          </w:tcPr>
          <w:p>
            <w:pPr>
              <w:spacing w:after="0"/>
              <w:rPr>
                <w:sz w:val="15"/>
                <w:szCs w:val="15"/>
                <w:color w:val="auto"/>
              </w:rPr>
            </w:pPr>
          </w:p>
        </w:tc>
        <w:tc>
          <w:tcPr>
            <w:tcW w:w="1000" w:type="dxa"/>
            <w:vAlign w:val="bottom"/>
            <w:tcBorders>
              <w:bottom w:val="single" w:sz="8" w:color="231F20"/>
            </w:tcBorders>
            <w:shd w:val="clear" w:color="auto" w:fill="FDFDFC"/>
          </w:tcPr>
          <w:p>
            <w:pPr>
              <w:jc w:val="right"/>
              <w:ind w:right="108"/>
              <w:spacing w:after="0"/>
              <w:rPr>
                <w:sz w:val="20"/>
                <w:szCs w:val="20"/>
                <w:color w:val="auto"/>
              </w:rPr>
            </w:pPr>
            <w:r>
              <w:rPr>
                <w:rFonts w:ascii="Times New Roman" w:cs="Times New Roman" w:eastAsia="Times New Roman" w:hAnsi="Times New Roman"/>
                <w:sz w:val="15"/>
                <w:szCs w:val="15"/>
                <w:b w:val="1"/>
                <w:bCs w:val="1"/>
                <w:color w:val="231F20"/>
              </w:rPr>
              <w:t>Gain (Loss)</w:t>
            </w:r>
          </w:p>
        </w:tc>
        <w:tc>
          <w:tcPr>
            <w:tcW w:w="100" w:type="dxa"/>
            <w:vAlign w:val="bottom"/>
            <w:tcBorders>
              <w:bottom w:val="single" w:sz="8" w:color="D0EBF2"/>
            </w:tcBorders>
            <w:shd w:val="clear" w:color="auto" w:fill="FDFDFC"/>
          </w:tcPr>
          <w:p>
            <w:pPr>
              <w:spacing w:after="0"/>
              <w:rPr>
                <w:sz w:val="15"/>
                <w:szCs w:val="15"/>
                <w:color w:val="auto"/>
              </w:rPr>
            </w:pPr>
          </w:p>
        </w:tc>
      </w:tr>
      <w:tr>
        <w:trPr>
          <w:trHeight w:val="207"/>
        </w:trPr>
        <w:tc>
          <w:tcPr>
            <w:tcW w:w="3980" w:type="dxa"/>
            <w:vAlign w:val="bottom"/>
            <w:shd w:val="clear" w:color="auto" w:fill="D0EBF2"/>
          </w:tcPr>
          <w:p>
            <w:pPr>
              <w:spacing w:after="0" w:line="206" w:lineRule="exact"/>
              <w:rPr>
                <w:sz w:val="20"/>
                <w:szCs w:val="20"/>
                <w:color w:val="auto"/>
              </w:rPr>
            </w:pPr>
            <w:r>
              <w:rPr>
                <w:rFonts w:ascii="Times New Roman" w:cs="Times New Roman" w:eastAsia="Times New Roman" w:hAnsi="Times New Roman"/>
                <w:sz w:val="19"/>
                <w:szCs w:val="19"/>
                <w:color w:val="231F20"/>
              </w:rPr>
              <w:t>First-lien debt investments</w:t>
            </w:r>
          </w:p>
        </w:tc>
        <w:tc>
          <w:tcPr>
            <w:tcW w:w="200" w:type="dxa"/>
            <w:vAlign w:val="bottom"/>
            <w:shd w:val="clear" w:color="auto" w:fill="D0EBF2"/>
          </w:tcPr>
          <w:p>
            <w:pPr>
              <w:spacing w:after="0"/>
              <w:rPr>
                <w:sz w:val="17"/>
                <w:szCs w:val="17"/>
                <w:color w:val="auto"/>
              </w:rPr>
            </w:pPr>
          </w:p>
        </w:tc>
        <w:tc>
          <w:tcPr>
            <w:tcW w:w="360" w:type="dxa"/>
            <w:vAlign w:val="bottom"/>
            <w:shd w:val="clear" w:color="auto" w:fill="D0EBF2"/>
          </w:tcPr>
          <w:p>
            <w:pPr>
              <w:spacing w:after="0" w:line="206" w:lineRule="exact"/>
              <w:rPr>
                <w:sz w:val="20"/>
                <w:szCs w:val="20"/>
                <w:color w:val="auto"/>
              </w:rPr>
            </w:pPr>
            <w:r>
              <w:rPr>
                <w:rFonts w:ascii="Times New Roman" w:cs="Times New Roman" w:eastAsia="Times New Roman" w:hAnsi="Times New Roman"/>
                <w:sz w:val="19"/>
                <w:szCs w:val="19"/>
                <w:color w:val="231F20"/>
              </w:rPr>
              <w:t>$</w:t>
            </w:r>
          </w:p>
        </w:tc>
        <w:tc>
          <w:tcPr>
            <w:tcW w:w="860" w:type="dxa"/>
            <w:vAlign w:val="bottom"/>
            <w:shd w:val="clear" w:color="auto" w:fill="D0EBF2"/>
          </w:tcPr>
          <w:p>
            <w:pPr>
              <w:jc w:val="right"/>
              <w:spacing w:after="0" w:line="206" w:lineRule="exact"/>
              <w:rPr>
                <w:sz w:val="20"/>
                <w:szCs w:val="20"/>
                <w:color w:val="auto"/>
              </w:rPr>
            </w:pPr>
            <w:r>
              <w:rPr>
                <w:rFonts w:ascii="Times New Roman" w:cs="Times New Roman" w:eastAsia="Times New Roman" w:hAnsi="Times New Roman"/>
                <w:sz w:val="19"/>
                <w:szCs w:val="19"/>
                <w:color w:val="231F20"/>
              </w:rPr>
              <w:t>2,956.1</w:t>
            </w:r>
          </w:p>
        </w:tc>
        <w:tc>
          <w:tcPr>
            <w:tcW w:w="200" w:type="dxa"/>
            <w:vAlign w:val="bottom"/>
            <w:shd w:val="clear" w:color="auto" w:fill="D0EBF2"/>
          </w:tcPr>
          <w:p>
            <w:pPr>
              <w:spacing w:after="0"/>
              <w:rPr>
                <w:sz w:val="17"/>
                <w:szCs w:val="17"/>
                <w:color w:val="auto"/>
              </w:rPr>
            </w:pPr>
          </w:p>
        </w:tc>
        <w:tc>
          <w:tcPr>
            <w:tcW w:w="160" w:type="dxa"/>
            <w:vAlign w:val="bottom"/>
            <w:shd w:val="clear" w:color="auto" w:fill="D0EBF2"/>
          </w:tcPr>
          <w:p>
            <w:pPr>
              <w:jc w:val="right"/>
              <w:spacing w:after="0" w:line="206" w:lineRule="exact"/>
              <w:rPr>
                <w:sz w:val="20"/>
                <w:szCs w:val="20"/>
                <w:color w:val="auto"/>
              </w:rPr>
            </w:pPr>
            <w:r>
              <w:rPr>
                <w:rFonts w:ascii="Times New Roman" w:cs="Times New Roman" w:eastAsia="Times New Roman" w:hAnsi="Times New Roman"/>
                <w:sz w:val="19"/>
                <w:szCs w:val="19"/>
                <w:color w:val="231F20"/>
                <w:w w:val="83"/>
              </w:rPr>
              <w:t>$</w:t>
            </w:r>
          </w:p>
        </w:tc>
        <w:tc>
          <w:tcPr>
            <w:tcW w:w="960" w:type="dxa"/>
            <w:vAlign w:val="bottom"/>
            <w:shd w:val="clear" w:color="auto" w:fill="D0EBF2"/>
          </w:tcPr>
          <w:p>
            <w:pPr>
              <w:jc w:val="right"/>
              <w:spacing w:after="0" w:line="206" w:lineRule="exact"/>
              <w:rPr>
                <w:sz w:val="20"/>
                <w:szCs w:val="20"/>
                <w:color w:val="auto"/>
              </w:rPr>
            </w:pPr>
            <w:r>
              <w:rPr>
                <w:rFonts w:ascii="Times New Roman" w:cs="Times New Roman" w:eastAsia="Times New Roman" w:hAnsi="Times New Roman"/>
                <w:sz w:val="19"/>
                <w:szCs w:val="19"/>
                <w:color w:val="231F20"/>
              </w:rPr>
              <w:t>2,996.2</w:t>
            </w:r>
          </w:p>
        </w:tc>
        <w:tc>
          <w:tcPr>
            <w:tcW w:w="220" w:type="dxa"/>
            <w:vAlign w:val="bottom"/>
            <w:shd w:val="clear" w:color="auto" w:fill="D0EBF2"/>
          </w:tcPr>
          <w:p>
            <w:pPr>
              <w:spacing w:after="0"/>
              <w:rPr>
                <w:sz w:val="17"/>
                <w:szCs w:val="17"/>
                <w:color w:val="auto"/>
              </w:rPr>
            </w:pPr>
          </w:p>
        </w:tc>
        <w:tc>
          <w:tcPr>
            <w:tcW w:w="120" w:type="dxa"/>
            <w:vAlign w:val="bottom"/>
            <w:shd w:val="clear" w:color="auto" w:fill="D0EBF2"/>
          </w:tcPr>
          <w:p>
            <w:pPr>
              <w:jc w:val="right"/>
              <w:spacing w:after="0"/>
              <w:rPr>
                <w:sz w:val="20"/>
                <w:szCs w:val="20"/>
                <w:color w:val="auto"/>
              </w:rPr>
            </w:pPr>
            <w:r>
              <w:rPr>
                <w:rFonts w:ascii="Times New Roman" w:cs="Times New Roman" w:eastAsia="Times New Roman" w:hAnsi="Times New Roman"/>
                <w:sz w:val="17"/>
                <w:szCs w:val="17"/>
                <w:color w:val="231F20"/>
                <w:w w:val="70"/>
              </w:rPr>
              <w:t>$</w:t>
            </w:r>
          </w:p>
        </w:tc>
        <w:tc>
          <w:tcPr>
            <w:tcW w:w="1000" w:type="dxa"/>
            <w:vAlign w:val="bottom"/>
            <w:shd w:val="clear" w:color="auto" w:fill="D0EBF2"/>
          </w:tcPr>
          <w:p>
            <w:pPr>
              <w:jc w:val="right"/>
              <w:spacing w:after="0" w:line="206" w:lineRule="exact"/>
              <w:rPr>
                <w:sz w:val="20"/>
                <w:szCs w:val="20"/>
                <w:color w:val="auto"/>
              </w:rPr>
            </w:pPr>
            <w:r>
              <w:rPr>
                <w:rFonts w:ascii="Times New Roman" w:cs="Times New Roman" w:eastAsia="Times New Roman" w:hAnsi="Times New Roman"/>
                <w:sz w:val="19"/>
                <w:szCs w:val="19"/>
                <w:color w:val="231F20"/>
              </w:rPr>
              <w:t>40.1</w:t>
            </w:r>
          </w:p>
        </w:tc>
        <w:tc>
          <w:tcPr>
            <w:tcW w:w="100" w:type="dxa"/>
            <w:vAlign w:val="bottom"/>
            <w:shd w:val="clear" w:color="auto" w:fill="D0EBF2"/>
          </w:tcPr>
          <w:p>
            <w:pPr>
              <w:spacing w:after="0"/>
              <w:rPr>
                <w:sz w:val="17"/>
                <w:szCs w:val="17"/>
                <w:color w:val="auto"/>
              </w:rPr>
            </w:pPr>
          </w:p>
        </w:tc>
      </w:tr>
      <w:tr>
        <w:trPr>
          <w:trHeight w:val="217"/>
        </w:trPr>
        <w:tc>
          <w:tcPr>
            <w:tcW w:w="3980" w:type="dxa"/>
            <w:vAlign w:val="bottom"/>
            <w:shd w:val="clear" w:color="auto" w:fill="FDFDFC"/>
          </w:tcPr>
          <w:p>
            <w:pPr>
              <w:spacing w:after="0" w:line="217" w:lineRule="exact"/>
              <w:rPr>
                <w:sz w:val="20"/>
                <w:szCs w:val="20"/>
                <w:color w:val="auto"/>
              </w:rPr>
            </w:pPr>
            <w:r>
              <w:rPr>
                <w:rFonts w:ascii="Times New Roman" w:cs="Times New Roman" w:eastAsia="Times New Roman" w:hAnsi="Times New Roman"/>
                <w:sz w:val="19"/>
                <w:szCs w:val="19"/>
                <w:color w:val="231F20"/>
              </w:rPr>
              <w:t>Second-lien debt investments</w:t>
            </w:r>
          </w:p>
        </w:tc>
        <w:tc>
          <w:tcPr>
            <w:tcW w:w="200" w:type="dxa"/>
            <w:vAlign w:val="bottom"/>
            <w:shd w:val="clear" w:color="auto" w:fill="FDFDFC"/>
          </w:tcPr>
          <w:p>
            <w:pPr>
              <w:spacing w:after="0"/>
              <w:rPr>
                <w:sz w:val="18"/>
                <w:szCs w:val="18"/>
                <w:color w:val="auto"/>
              </w:rPr>
            </w:pPr>
          </w:p>
        </w:tc>
        <w:tc>
          <w:tcPr>
            <w:tcW w:w="360" w:type="dxa"/>
            <w:vAlign w:val="bottom"/>
            <w:shd w:val="clear" w:color="auto" w:fill="FDFDFC"/>
          </w:tcPr>
          <w:p>
            <w:pPr>
              <w:spacing w:after="0"/>
              <w:rPr>
                <w:sz w:val="18"/>
                <w:szCs w:val="18"/>
                <w:color w:val="auto"/>
              </w:rPr>
            </w:pPr>
          </w:p>
        </w:tc>
        <w:tc>
          <w:tcPr>
            <w:tcW w:w="860" w:type="dxa"/>
            <w:vAlign w:val="bottom"/>
            <w:shd w:val="clear" w:color="auto" w:fill="FDFDFC"/>
          </w:tcPr>
          <w:p>
            <w:pPr>
              <w:jc w:val="right"/>
              <w:spacing w:after="0" w:line="217" w:lineRule="exact"/>
              <w:rPr>
                <w:sz w:val="20"/>
                <w:szCs w:val="20"/>
                <w:color w:val="auto"/>
              </w:rPr>
            </w:pPr>
            <w:r>
              <w:rPr>
                <w:rFonts w:ascii="Times New Roman" w:cs="Times New Roman" w:eastAsia="Times New Roman" w:hAnsi="Times New Roman"/>
                <w:sz w:val="19"/>
                <w:szCs w:val="19"/>
                <w:color w:val="231F20"/>
              </w:rPr>
              <w:t>51.4</w:t>
            </w:r>
          </w:p>
        </w:tc>
        <w:tc>
          <w:tcPr>
            <w:tcW w:w="200" w:type="dxa"/>
            <w:vAlign w:val="bottom"/>
            <w:shd w:val="clear" w:color="auto" w:fill="FDFDFC"/>
          </w:tcPr>
          <w:p>
            <w:pPr>
              <w:spacing w:after="0"/>
              <w:rPr>
                <w:sz w:val="18"/>
                <w:szCs w:val="18"/>
                <w:color w:val="auto"/>
              </w:rPr>
            </w:pPr>
          </w:p>
        </w:tc>
        <w:tc>
          <w:tcPr>
            <w:tcW w:w="160" w:type="dxa"/>
            <w:vAlign w:val="bottom"/>
            <w:shd w:val="clear" w:color="auto" w:fill="FDFDFC"/>
          </w:tcPr>
          <w:p>
            <w:pPr>
              <w:spacing w:after="0"/>
              <w:rPr>
                <w:sz w:val="18"/>
                <w:szCs w:val="18"/>
                <w:color w:val="auto"/>
              </w:rPr>
            </w:pPr>
          </w:p>
        </w:tc>
        <w:tc>
          <w:tcPr>
            <w:tcW w:w="960" w:type="dxa"/>
            <w:vAlign w:val="bottom"/>
            <w:shd w:val="clear" w:color="auto" w:fill="FDFDFC"/>
          </w:tcPr>
          <w:p>
            <w:pPr>
              <w:jc w:val="right"/>
              <w:spacing w:after="0" w:line="217" w:lineRule="exact"/>
              <w:rPr>
                <w:sz w:val="20"/>
                <w:szCs w:val="20"/>
                <w:color w:val="auto"/>
              </w:rPr>
            </w:pPr>
            <w:r>
              <w:rPr>
                <w:rFonts w:ascii="Times New Roman" w:cs="Times New Roman" w:eastAsia="Times New Roman" w:hAnsi="Times New Roman"/>
                <w:sz w:val="19"/>
                <w:szCs w:val="19"/>
                <w:color w:val="231F20"/>
              </w:rPr>
              <w:t>36.0</w:t>
            </w:r>
          </w:p>
        </w:tc>
        <w:tc>
          <w:tcPr>
            <w:tcW w:w="220" w:type="dxa"/>
            <w:vAlign w:val="bottom"/>
            <w:shd w:val="clear" w:color="auto" w:fill="FDFDFC"/>
          </w:tcPr>
          <w:p>
            <w:pPr>
              <w:spacing w:after="0"/>
              <w:rPr>
                <w:sz w:val="18"/>
                <w:szCs w:val="18"/>
                <w:color w:val="auto"/>
              </w:rPr>
            </w:pPr>
          </w:p>
        </w:tc>
        <w:tc>
          <w:tcPr>
            <w:tcW w:w="120" w:type="dxa"/>
            <w:vAlign w:val="bottom"/>
            <w:shd w:val="clear" w:color="auto" w:fill="FDFDFC"/>
          </w:tcPr>
          <w:p>
            <w:pPr>
              <w:spacing w:after="0"/>
              <w:rPr>
                <w:sz w:val="18"/>
                <w:szCs w:val="18"/>
                <w:color w:val="auto"/>
              </w:rPr>
            </w:pPr>
          </w:p>
        </w:tc>
        <w:tc>
          <w:tcPr>
            <w:tcW w:w="1000" w:type="dxa"/>
            <w:vAlign w:val="bottom"/>
            <w:shd w:val="clear" w:color="auto" w:fill="FDFDFC"/>
          </w:tcPr>
          <w:p>
            <w:pPr>
              <w:jc w:val="right"/>
              <w:spacing w:after="0" w:line="217" w:lineRule="exact"/>
              <w:rPr>
                <w:sz w:val="20"/>
                <w:szCs w:val="20"/>
                <w:color w:val="auto"/>
              </w:rPr>
            </w:pPr>
            <w:r>
              <w:rPr>
                <w:rFonts w:ascii="Times New Roman" w:cs="Times New Roman" w:eastAsia="Times New Roman" w:hAnsi="Times New Roman"/>
                <w:sz w:val="19"/>
                <w:szCs w:val="19"/>
                <w:color w:val="231F20"/>
              </w:rPr>
              <w:t>(15.4)</w:t>
            </w:r>
          </w:p>
        </w:tc>
        <w:tc>
          <w:tcPr>
            <w:tcW w:w="100" w:type="dxa"/>
            <w:vAlign w:val="bottom"/>
            <w:shd w:val="clear" w:color="auto" w:fill="FDFDFC"/>
          </w:tcPr>
          <w:p>
            <w:pPr>
              <w:spacing w:after="0"/>
              <w:rPr>
                <w:sz w:val="18"/>
                <w:szCs w:val="18"/>
                <w:color w:val="auto"/>
              </w:rPr>
            </w:pPr>
          </w:p>
        </w:tc>
      </w:tr>
      <w:tr>
        <w:trPr>
          <w:trHeight w:val="217"/>
        </w:trPr>
        <w:tc>
          <w:tcPr>
            <w:tcW w:w="3980" w:type="dxa"/>
            <w:vAlign w:val="bottom"/>
            <w:shd w:val="clear" w:color="auto" w:fill="D0EBF2"/>
          </w:tcPr>
          <w:p>
            <w:pPr>
              <w:spacing w:after="0" w:line="217" w:lineRule="exact"/>
              <w:rPr>
                <w:sz w:val="20"/>
                <w:szCs w:val="20"/>
                <w:color w:val="auto"/>
              </w:rPr>
            </w:pPr>
            <w:r>
              <w:rPr>
                <w:rFonts w:ascii="Times New Roman" w:cs="Times New Roman" w:eastAsia="Times New Roman" w:hAnsi="Times New Roman"/>
                <w:sz w:val="19"/>
                <w:szCs w:val="19"/>
                <w:color w:val="231F20"/>
              </w:rPr>
              <w:t>Mezzanine debt investments</w:t>
            </w:r>
          </w:p>
        </w:tc>
        <w:tc>
          <w:tcPr>
            <w:tcW w:w="200" w:type="dxa"/>
            <w:vAlign w:val="bottom"/>
            <w:shd w:val="clear" w:color="auto" w:fill="D0EBF2"/>
          </w:tcPr>
          <w:p>
            <w:pPr>
              <w:spacing w:after="0"/>
              <w:rPr>
                <w:sz w:val="18"/>
                <w:szCs w:val="18"/>
                <w:color w:val="auto"/>
              </w:rPr>
            </w:pPr>
          </w:p>
        </w:tc>
        <w:tc>
          <w:tcPr>
            <w:tcW w:w="360" w:type="dxa"/>
            <w:vAlign w:val="bottom"/>
            <w:shd w:val="clear" w:color="auto" w:fill="D0EBF2"/>
          </w:tcPr>
          <w:p>
            <w:pPr>
              <w:spacing w:after="0"/>
              <w:rPr>
                <w:sz w:val="18"/>
                <w:szCs w:val="18"/>
                <w:color w:val="auto"/>
              </w:rPr>
            </w:pPr>
          </w:p>
        </w:tc>
        <w:tc>
          <w:tcPr>
            <w:tcW w:w="860" w:type="dxa"/>
            <w:vAlign w:val="bottom"/>
            <w:shd w:val="clear" w:color="auto" w:fill="D0EBF2"/>
          </w:tcPr>
          <w:p>
            <w:pPr>
              <w:jc w:val="right"/>
              <w:spacing w:after="0" w:line="217" w:lineRule="exact"/>
              <w:rPr>
                <w:sz w:val="20"/>
                <w:szCs w:val="20"/>
                <w:color w:val="auto"/>
              </w:rPr>
            </w:pPr>
            <w:r>
              <w:rPr>
                <w:rFonts w:ascii="Times New Roman" w:cs="Times New Roman" w:eastAsia="Times New Roman" w:hAnsi="Times New Roman"/>
                <w:sz w:val="19"/>
                <w:szCs w:val="19"/>
                <w:color w:val="231F20"/>
              </w:rPr>
              <w:t>38.0</w:t>
            </w:r>
          </w:p>
        </w:tc>
        <w:tc>
          <w:tcPr>
            <w:tcW w:w="200" w:type="dxa"/>
            <w:vAlign w:val="bottom"/>
            <w:shd w:val="clear" w:color="auto" w:fill="D0EBF2"/>
          </w:tcPr>
          <w:p>
            <w:pPr>
              <w:spacing w:after="0"/>
              <w:rPr>
                <w:sz w:val="18"/>
                <w:szCs w:val="18"/>
                <w:color w:val="auto"/>
              </w:rPr>
            </w:pPr>
          </w:p>
        </w:tc>
        <w:tc>
          <w:tcPr>
            <w:tcW w:w="160" w:type="dxa"/>
            <w:vAlign w:val="bottom"/>
            <w:shd w:val="clear" w:color="auto" w:fill="D0EBF2"/>
          </w:tcPr>
          <w:p>
            <w:pPr>
              <w:spacing w:after="0"/>
              <w:rPr>
                <w:sz w:val="18"/>
                <w:szCs w:val="18"/>
                <w:color w:val="auto"/>
              </w:rPr>
            </w:pPr>
          </w:p>
        </w:tc>
        <w:tc>
          <w:tcPr>
            <w:tcW w:w="960" w:type="dxa"/>
            <w:vAlign w:val="bottom"/>
            <w:shd w:val="clear" w:color="auto" w:fill="D0EBF2"/>
          </w:tcPr>
          <w:p>
            <w:pPr>
              <w:jc w:val="right"/>
              <w:spacing w:after="0" w:line="217" w:lineRule="exact"/>
              <w:rPr>
                <w:sz w:val="20"/>
                <w:szCs w:val="20"/>
                <w:color w:val="auto"/>
              </w:rPr>
            </w:pPr>
            <w:r>
              <w:rPr>
                <w:rFonts w:ascii="Times New Roman" w:cs="Times New Roman" w:eastAsia="Times New Roman" w:hAnsi="Times New Roman"/>
                <w:sz w:val="19"/>
                <w:szCs w:val="19"/>
                <w:color w:val="231F20"/>
              </w:rPr>
              <w:t>39.5</w:t>
            </w:r>
          </w:p>
        </w:tc>
        <w:tc>
          <w:tcPr>
            <w:tcW w:w="220" w:type="dxa"/>
            <w:vAlign w:val="bottom"/>
            <w:shd w:val="clear" w:color="auto" w:fill="D0EBF2"/>
          </w:tcPr>
          <w:p>
            <w:pPr>
              <w:spacing w:after="0"/>
              <w:rPr>
                <w:sz w:val="18"/>
                <w:szCs w:val="18"/>
                <w:color w:val="auto"/>
              </w:rPr>
            </w:pPr>
          </w:p>
        </w:tc>
        <w:tc>
          <w:tcPr>
            <w:tcW w:w="120" w:type="dxa"/>
            <w:vAlign w:val="bottom"/>
            <w:shd w:val="clear" w:color="auto" w:fill="D0EBF2"/>
          </w:tcPr>
          <w:p>
            <w:pPr>
              <w:spacing w:after="0"/>
              <w:rPr>
                <w:sz w:val="18"/>
                <w:szCs w:val="18"/>
                <w:color w:val="auto"/>
              </w:rPr>
            </w:pPr>
          </w:p>
        </w:tc>
        <w:tc>
          <w:tcPr>
            <w:tcW w:w="1000" w:type="dxa"/>
            <w:vAlign w:val="bottom"/>
            <w:shd w:val="clear" w:color="auto" w:fill="D0EBF2"/>
          </w:tcPr>
          <w:p>
            <w:pPr>
              <w:jc w:val="right"/>
              <w:spacing w:after="0" w:line="217" w:lineRule="exact"/>
              <w:rPr>
                <w:sz w:val="20"/>
                <w:szCs w:val="20"/>
                <w:color w:val="auto"/>
              </w:rPr>
            </w:pPr>
            <w:r>
              <w:rPr>
                <w:rFonts w:ascii="Times New Roman" w:cs="Times New Roman" w:eastAsia="Times New Roman" w:hAnsi="Times New Roman"/>
                <w:sz w:val="19"/>
                <w:szCs w:val="19"/>
                <w:color w:val="231F20"/>
              </w:rPr>
              <w:t>1.5</w:t>
            </w:r>
          </w:p>
        </w:tc>
        <w:tc>
          <w:tcPr>
            <w:tcW w:w="100" w:type="dxa"/>
            <w:vAlign w:val="bottom"/>
            <w:shd w:val="clear" w:color="auto" w:fill="D0EBF2"/>
          </w:tcPr>
          <w:p>
            <w:pPr>
              <w:spacing w:after="0"/>
              <w:rPr>
                <w:sz w:val="18"/>
                <w:szCs w:val="18"/>
                <w:color w:val="auto"/>
              </w:rPr>
            </w:pPr>
          </w:p>
        </w:tc>
      </w:tr>
      <w:tr>
        <w:trPr>
          <w:trHeight w:val="217"/>
        </w:trPr>
        <w:tc>
          <w:tcPr>
            <w:tcW w:w="3980" w:type="dxa"/>
            <w:vAlign w:val="bottom"/>
            <w:shd w:val="clear" w:color="auto" w:fill="FDFDFC"/>
          </w:tcPr>
          <w:p>
            <w:pPr>
              <w:spacing w:after="0" w:line="217" w:lineRule="exact"/>
              <w:rPr>
                <w:sz w:val="20"/>
                <w:szCs w:val="20"/>
                <w:color w:val="auto"/>
              </w:rPr>
            </w:pPr>
            <w:r>
              <w:rPr>
                <w:rFonts w:ascii="Times New Roman" w:cs="Times New Roman" w:eastAsia="Times New Roman" w:hAnsi="Times New Roman"/>
                <w:sz w:val="19"/>
                <w:szCs w:val="19"/>
                <w:color w:val="231F20"/>
              </w:rPr>
              <w:t>Equity and other investments</w:t>
            </w:r>
          </w:p>
        </w:tc>
        <w:tc>
          <w:tcPr>
            <w:tcW w:w="200" w:type="dxa"/>
            <w:vAlign w:val="bottom"/>
            <w:shd w:val="clear" w:color="auto" w:fill="FDFDFC"/>
          </w:tcPr>
          <w:p>
            <w:pPr>
              <w:spacing w:after="0"/>
              <w:rPr>
                <w:sz w:val="18"/>
                <w:szCs w:val="18"/>
                <w:color w:val="auto"/>
              </w:rPr>
            </w:pPr>
          </w:p>
        </w:tc>
        <w:tc>
          <w:tcPr>
            <w:tcW w:w="360" w:type="dxa"/>
            <w:vAlign w:val="bottom"/>
            <w:shd w:val="clear" w:color="auto" w:fill="FDFDFC"/>
          </w:tcPr>
          <w:p>
            <w:pPr>
              <w:spacing w:after="0"/>
              <w:rPr>
                <w:sz w:val="18"/>
                <w:szCs w:val="18"/>
                <w:color w:val="auto"/>
              </w:rPr>
            </w:pPr>
          </w:p>
        </w:tc>
        <w:tc>
          <w:tcPr>
            <w:tcW w:w="860" w:type="dxa"/>
            <w:vAlign w:val="bottom"/>
            <w:shd w:val="clear" w:color="auto" w:fill="FDFDFC"/>
          </w:tcPr>
          <w:p>
            <w:pPr>
              <w:jc w:val="right"/>
              <w:spacing w:after="0" w:line="217" w:lineRule="exact"/>
              <w:rPr>
                <w:sz w:val="20"/>
                <w:szCs w:val="20"/>
                <w:color w:val="auto"/>
              </w:rPr>
            </w:pPr>
            <w:r>
              <w:rPr>
                <w:rFonts w:ascii="Times New Roman" w:cs="Times New Roman" w:eastAsia="Times New Roman" w:hAnsi="Times New Roman"/>
                <w:sz w:val="19"/>
                <w:szCs w:val="19"/>
                <w:color w:val="231F20"/>
              </w:rPr>
              <w:t>152.6</w:t>
            </w:r>
          </w:p>
        </w:tc>
        <w:tc>
          <w:tcPr>
            <w:tcW w:w="200" w:type="dxa"/>
            <w:vAlign w:val="bottom"/>
            <w:shd w:val="clear" w:color="auto" w:fill="FDFDFC"/>
          </w:tcPr>
          <w:p>
            <w:pPr>
              <w:spacing w:after="0"/>
              <w:rPr>
                <w:sz w:val="18"/>
                <w:szCs w:val="18"/>
                <w:color w:val="auto"/>
              </w:rPr>
            </w:pPr>
          </w:p>
        </w:tc>
        <w:tc>
          <w:tcPr>
            <w:tcW w:w="160" w:type="dxa"/>
            <w:vAlign w:val="bottom"/>
            <w:shd w:val="clear" w:color="auto" w:fill="FDFDFC"/>
          </w:tcPr>
          <w:p>
            <w:pPr>
              <w:spacing w:after="0"/>
              <w:rPr>
                <w:sz w:val="18"/>
                <w:szCs w:val="18"/>
                <w:color w:val="auto"/>
              </w:rPr>
            </w:pPr>
          </w:p>
        </w:tc>
        <w:tc>
          <w:tcPr>
            <w:tcW w:w="960" w:type="dxa"/>
            <w:vAlign w:val="bottom"/>
            <w:shd w:val="clear" w:color="auto" w:fill="FDFDFC"/>
          </w:tcPr>
          <w:p>
            <w:pPr>
              <w:jc w:val="right"/>
              <w:spacing w:after="0" w:line="217" w:lineRule="exact"/>
              <w:rPr>
                <w:sz w:val="20"/>
                <w:szCs w:val="20"/>
                <w:color w:val="auto"/>
              </w:rPr>
            </w:pPr>
            <w:r>
              <w:rPr>
                <w:rFonts w:ascii="Times New Roman" w:cs="Times New Roman" w:eastAsia="Times New Roman" w:hAnsi="Times New Roman"/>
                <w:sz w:val="19"/>
                <w:szCs w:val="19"/>
                <w:color w:val="231F20"/>
              </w:rPr>
              <w:t>155.6</w:t>
            </w:r>
          </w:p>
        </w:tc>
        <w:tc>
          <w:tcPr>
            <w:tcW w:w="220" w:type="dxa"/>
            <w:vAlign w:val="bottom"/>
            <w:shd w:val="clear" w:color="auto" w:fill="FDFDFC"/>
          </w:tcPr>
          <w:p>
            <w:pPr>
              <w:spacing w:after="0"/>
              <w:rPr>
                <w:sz w:val="18"/>
                <w:szCs w:val="18"/>
                <w:color w:val="auto"/>
              </w:rPr>
            </w:pPr>
          </w:p>
        </w:tc>
        <w:tc>
          <w:tcPr>
            <w:tcW w:w="120" w:type="dxa"/>
            <w:vAlign w:val="bottom"/>
            <w:shd w:val="clear" w:color="auto" w:fill="FDFDFC"/>
          </w:tcPr>
          <w:p>
            <w:pPr>
              <w:spacing w:after="0"/>
              <w:rPr>
                <w:sz w:val="18"/>
                <w:szCs w:val="18"/>
                <w:color w:val="auto"/>
              </w:rPr>
            </w:pPr>
          </w:p>
        </w:tc>
        <w:tc>
          <w:tcPr>
            <w:tcW w:w="1000" w:type="dxa"/>
            <w:vAlign w:val="bottom"/>
            <w:shd w:val="clear" w:color="auto" w:fill="FDFDFC"/>
          </w:tcPr>
          <w:p>
            <w:pPr>
              <w:jc w:val="right"/>
              <w:spacing w:after="0" w:line="217" w:lineRule="exact"/>
              <w:rPr>
                <w:sz w:val="20"/>
                <w:szCs w:val="20"/>
                <w:color w:val="auto"/>
              </w:rPr>
            </w:pPr>
            <w:r>
              <w:rPr>
                <w:rFonts w:ascii="Times New Roman" w:cs="Times New Roman" w:eastAsia="Times New Roman" w:hAnsi="Times New Roman"/>
                <w:sz w:val="19"/>
                <w:szCs w:val="19"/>
                <w:color w:val="231F20"/>
              </w:rPr>
              <w:t>3.0</w:t>
            </w:r>
          </w:p>
        </w:tc>
        <w:tc>
          <w:tcPr>
            <w:tcW w:w="100" w:type="dxa"/>
            <w:vAlign w:val="bottom"/>
            <w:shd w:val="clear" w:color="auto" w:fill="FDFDFC"/>
          </w:tcPr>
          <w:p>
            <w:pPr>
              <w:spacing w:after="0"/>
              <w:rPr>
                <w:sz w:val="18"/>
                <w:szCs w:val="18"/>
                <w:color w:val="auto"/>
              </w:rPr>
            </w:pPr>
          </w:p>
        </w:tc>
      </w:tr>
      <w:tr>
        <w:trPr>
          <w:trHeight w:val="217"/>
        </w:trPr>
        <w:tc>
          <w:tcPr>
            <w:tcW w:w="3980" w:type="dxa"/>
            <w:vAlign w:val="bottom"/>
            <w:tcBorders>
              <w:bottom w:val="single" w:sz="8" w:color="FDFDFC"/>
            </w:tcBorders>
            <w:shd w:val="clear" w:color="auto" w:fill="D0EBF2"/>
          </w:tcPr>
          <w:p>
            <w:pPr>
              <w:spacing w:after="0" w:line="217" w:lineRule="exact"/>
              <w:rPr>
                <w:sz w:val="20"/>
                <w:szCs w:val="20"/>
                <w:color w:val="auto"/>
              </w:rPr>
            </w:pPr>
            <w:r>
              <w:rPr>
                <w:rFonts w:ascii="Times New Roman" w:cs="Times New Roman" w:eastAsia="Times New Roman" w:hAnsi="Times New Roman"/>
                <w:sz w:val="19"/>
                <w:szCs w:val="19"/>
                <w:color w:val="231F20"/>
              </w:rPr>
              <w:t>Structured credit investments</w:t>
            </w:r>
          </w:p>
        </w:tc>
        <w:tc>
          <w:tcPr>
            <w:tcW w:w="200" w:type="dxa"/>
            <w:vAlign w:val="bottom"/>
            <w:tcBorders>
              <w:bottom w:val="single" w:sz="8" w:color="FDFDFC"/>
            </w:tcBorders>
            <w:shd w:val="clear" w:color="auto" w:fill="D0EBF2"/>
          </w:tcPr>
          <w:p>
            <w:pPr>
              <w:spacing w:after="0"/>
              <w:rPr>
                <w:sz w:val="18"/>
                <w:szCs w:val="18"/>
                <w:color w:val="auto"/>
              </w:rPr>
            </w:pPr>
          </w:p>
        </w:tc>
        <w:tc>
          <w:tcPr>
            <w:tcW w:w="360" w:type="dxa"/>
            <w:vAlign w:val="bottom"/>
            <w:tcBorders>
              <w:bottom w:val="single" w:sz="8" w:color="231F20"/>
            </w:tcBorders>
            <w:shd w:val="clear" w:color="auto" w:fill="D0EBF2"/>
          </w:tcPr>
          <w:p>
            <w:pPr>
              <w:spacing w:after="0"/>
              <w:rPr>
                <w:sz w:val="18"/>
                <w:szCs w:val="18"/>
                <w:color w:val="auto"/>
              </w:rPr>
            </w:pPr>
          </w:p>
        </w:tc>
        <w:tc>
          <w:tcPr>
            <w:tcW w:w="860" w:type="dxa"/>
            <w:vAlign w:val="bottom"/>
            <w:tcBorders>
              <w:bottom w:val="single" w:sz="8" w:color="231F20"/>
            </w:tcBorders>
            <w:shd w:val="clear" w:color="auto" w:fill="D0EBF2"/>
          </w:tcPr>
          <w:p>
            <w:pPr>
              <w:jc w:val="right"/>
              <w:spacing w:after="0" w:line="217" w:lineRule="exact"/>
              <w:rPr>
                <w:sz w:val="20"/>
                <w:szCs w:val="20"/>
                <w:color w:val="auto"/>
              </w:rPr>
            </w:pPr>
            <w:r>
              <w:rPr>
                <w:rFonts w:ascii="Times New Roman" w:cs="Times New Roman" w:eastAsia="Times New Roman" w:hAnsi="Times New Roman"/>
                <w:sz w:val="19"/>
                <w:szCs w:val="19"/>
                <w:color w:val="231F20"/>
              </w:rPr>
              <w:t>52.9</w:t>
            </w:r>
          </w:p>
        </w:tc>
        <w:tc>
          <w:tcPr>
            <w:tcW w:w="200" w:type="dxa"/>
            <w:vAlign w:val="bottom"/>
            <w:tcBorders>
              <w:bottom w:val="single" w:sz="8" w:color="FDFDFC"/>
            </w:tcBorders>
            <w:shd w:val="clear" w:color="auto" w:fill="D0EBF2"/>
          </w:tcPr>
          <w:p>
            <w:pPr>
              <w:spacing w:after="0"/>
              <w:rPr>
                <w:sz w:val="18"/>
                <w:szCs w:val="18"/>
                <w:color w:val="auto"/>
              </w:rPr>
            </w:pPr>
          </w:p>
        </w:tc>
        <w:tc>
          <w:tcPr>
            <w:tcW w:w="160" w:type="dxa"/>
            <w:vAlign w:val="bottom"/>
            <w:tcBorders>
              <w:bottom w:val="single" w:sz="8" w:color="231F20"/>
            </w:tcBorders>
            <w:shd w:val="clear" w:color="auto" w:fill="D0EBF2"/>
          </w:tcPr>
          <w:p>
            <w:pPr>
              <w:spacing w:after="0"/>
              <w:rPr>
                <w:sz w:val="18"/>
                <w:szCs w:val="18"/>
                <w:color w:val="auto"/>
              </w:rPr>
            </w:pPr>
          </w:p>
        </w:tc>
        <w:tc>
          <w:tcPr>
            <w:tcW w:w="960" w:type="dxa"/>
            <w:vAlign w:val="bottom"/>
            <w:tcBorders>
              <w:bottom w:val="single" w:sz="8" w:color="231F20"/>
            </w:tcBorders>
            <w:shd w:val="clear" w:color="auto" w:fill="D0EBF2"/>
          </w:tcPr>
          <w:p>
            <w:pPr>
              <w:jc w:val="right"/>
              <w:spacing w:after="0" w:line="217" w:lineRule="exact"/>
              <w:rPr>
                <w:sz w:val="20"/>
                <w:szCs w:val="20"/>
                <w:color w:val="auto"/>
              </w:rPr>
            </w:pPr>
            <w:r>
              <w:rPr>
                <w:rFonts w:ascii="Times New Roman" w:cs="Times New Roman" w:eastAsia="Times New Roman" w:hAnsi="Times New Roman"/>
                <w:sz w:val="19"/>
                <w:szCs w:val="19"/>
                <w:color w:val="231F20"/>
              </w:rPr>
              <w:t>55.8</w:t>
            </w:r>
          </w:p>
        </w:tc>
        <w:tc>
          <w:tcPr>
            <w:tcW w:w="220" w:type="dxa"/>
            <w:vAlign w:val="bottom"/>
            <w:tcBorders>
              <w:bottom w:val="single" w:sz="8" w:color="FDFDFC"/>
            </w:tcBorders>
            <w:shd w:val="clear" w:color="auto" w:fill="D0EBF2"/>
          </w:tcPr>
          <w:p>
            <w:pPr>
              <w:spacing w:after="0"/>
              <w:rPr>
                <w:sz w:val="18"/>
                <w:szCs w:val="18"/>
                <w:color w:val="auto"/>
              </w:rPr>
            </w:pPr>
          </w:p>
        </w:tc>
        <w:tc>
          <w:tcPr>
            <w:tcW w:w="120" w:type="dxa"/>
            <w:vAlign w:val="bottom"/>
            <w:tcBorders>
              <w:bottom w:val="single" w:sz="8" w:color="231F20"/>
            </w:tcBorders>
            <w:shd w:val="clear" w:color="auto" w:fill="D0EBF2"/>
          </w:tcPr>
          <w:p>
            <w:pPr>
              <w:spacing w:after="0"/>
              <w:rPr>
                <w:sz w:val="18"/>
                <w:szCs w:val="18"/>
                <w:color w:val="auto"/>
              </w:rPr>
            </w:pPr>
          </w:p>
        </w:tc>
        <w:tc>
          <w:tcPr>
            <w:tcW w:w="1000" w:type="dxa"/>
            <w:vAlign w:val="bottom"/>
            <w:tcBorders>
              <w:bottom w:val="single" w:sz="8" w:color="231F20"/>
            </w:tcBorders>
            <w:shd w:val="clear" w:color="auto" w:fill="D0EBF2"/>
          </w:tcPr>
          <w:p>
            <w:pPr>
              <w:jc w:val="right"/>
              <w:spacing w:after="0" w:line="217" w:lineRule="exact"/>
              <w:rPr>
                <w:sz w:val="20"/>
                <w:szCs w:val="20"/>
                <w:color w:val="auto"/>
              </w:rPr>
            </w:pPr>
            <w:r>
              <w:rPr>
                <w:rFonts w:ascii="Times New Roman" w:cs="Times New Roman" w:eastAsia="Times New Roman" w:hAnsi="Times New Roman"/>
                <w:sz w:val="19"/>
                <w:szCs w:val="19"/>
                <w:color w:val="231F20"/>
              </w:rPr>
              <w:t>2.9</w:t>
            </w:r>
          </w:p>
        </w:tc>
        <w:tc>
          <w:tcPr>
            <w:tcW w:w="100" w:type="dxa"/>
            <w:vAlign w:val="bottom"/>
            <w:tcBorders>
              <w:bottom w:val="single" w:sz="8" w:color="FDFDFC"/>
            </w:tcBorders>
            <w:shd w:val="clear" w:color="auto" w:fill="D0EBF2"/>
          </w:tcPr>
          <w:p>
            <w:pPr>
              <w:spacing w:after="0"/>
              <w:rPr>
                <w:sz w:val="18"/>
                <w:szCs w:val="18"/>
                <w:color w:val="auto"/>
              </w:rPr>
            </w:pPr>
          </w:p>
        </w:tc>
      </w:tr>
      <w:tr>
        <w:trPr>
          <w:trHeight w:val="207"/>
        </w:trPr>
        <w:tc>
          <w:tcPr>
            <w:tcW w:w="3980" w:type="dxa"/>
            <w:vAlign w:val="bottom"/>
            <w:shd w:val="clear" w:color="auto" w:fill="FDFDFC"/>
          </w:tcPr>
          <w:p>
            <w:pPr>
              <w:ind w:left="180"/>
              <w:spacing w:after="0" w:line="206" w:lineRule="exact"/>
              <w:rPr>
                <w:sz w:val="20"/>
                <w:szCs w:val="20"/>
                <w:color w:val="auto"/>
              </w:rPr>
            </w:pPr>
            <w:r>
              <w:rPr>
                <w:rFonts w:ascii="Times New Roman" w:cs="Times New Roman" w:eastAsia="Times New Roman" w:hAnsi="Times New Roman"/>
                <w:sz w:val="19"/>
                <w:szCs w:val="19"/>
                <w:b w:val="1"/>
                <w:bCs w:val="1"/>
                <w:color w:val="231F20"/>
              </w:rPr>
              <w:t>Total Investments</w:t>
            </w:r>
          </w:p>
        </w:tc>
        <w:tc>
          <w:tcPr>
            <w:tcW w:w="200" w:type="dxa"/>
            <w:vAlign w:val="bottom"/>
            <w:shd w:val="clear" w:color="auto" w:fill="FDFDFC"/>
          </w:tcPr>
          <w:p>
            <w:pPr>
              <w:spacing w:after="0"/>
              <w:rPr>
                <w:sz w:val="17"/>
                <w:szCs w:val="17"/>
                <w:color w:val="auto"/>
              </w:rPr>
            </w:pPr>
          </w:p>
        </w:tc>
        <w:tc>
          <w:tcPr>
            <w:tcW w:w="360" w:type="dxa"/>
            <w:vAlign w:val="bottom"/>
            <w:tcBorders>
              <w:bottom w:val="single" w:sz="8" w:color="231F20"/>
            </w:tcBorders>
            <w:shd w:val="clear" w:color="auto" w:fill="FDFDFC"/>
          </w:tcPr>
          <w:p>
            <w:pPr>
              <w:spacing w:after="0" w:line="206" w:lineRule="exact"/>
              <w:rPr>
                <w:sz w:val="20"/>
                <w:szCs w:val="20"/>
                <w:color w:val="auto"/>
              </w:rPr>
            </w:pPr>
            <w:r>
              <w:rPr>
                <w:rFonts w:ascii="Times New Roman" w:cs="Times New Roman" w:eastAsia="Times New Roman" w:hAnsi="Times New Roman"/>
                <w:sz w:val="19"/>
                <w:szCs w:val="19"/>
                <w:color w:val="231F20"/>
              </w:rPr>
              <w:t>$</w:t>
            </w:r>
          </w:p>
        </w:tc>
        <w:tc>
          <w:tcPr>
            <w:tcW w:w="860" w:type="dxa"/>
            <w:vAlign w:val="bottom"/>
            <w:tcBorders>
              <w:bottom w:val="single" w:sz="8" w:color="231F20"/>
            </w:tcBorders>
            <w:shd w:val="clear" w:color="auto" w:fill="FDFDFC"/>
          </w:tcPr>
          <w:p>
            <w:pPr>
              <w:jc w:val="right"/>
              <w:spacing w:after="0" w:line="206" w:lineRule="exact"/>
              <w:rPr>
                <w:sz w:val="20"/>
                <w:szCs w:val="20"/>
                <w:color w:val="auto"/>
              </w:rPr>
            </w:pPr>
            <w:r>
              <w:rPr>
                <w:rFonts w:ascii="Times New Roman" w:cs="Times New Roman" w:eastAsia="Times New Roman" w:hAnsi="Times New Roman"/>
                <w:sz w:val="19"/>
                <w:szCs w:val="19"/>
                <w:color w:val="231F20"/>
              </w:rPr>
              <w:t>3,251.0</w:t>
            </w:r>
          </w:p>
        </w:tc>
        <w:tc>
          <w:tcPr>
            <w:tcW w:w="200" w:type="dxa"/>
            <w:vAlign w:val="bottom"/>
            <w:shd w:val="clear" w:color="auto" w:fill="FDFDFC"/>
          </w:tcPr>
          <w:p>
            <w:pPr>
              <w:spacing w:after="0"/>
              <w:rPr>
                <w:sz w:val="17"/>
                <w:szCs w:val="17"/>
                <w:color w:val="auto"/>
              </w:rPr>
            </w:pPr>
          </w:p>
        </w:tc>
        <w:tc>
          <w:tcPr>
            <w:tcW w:w="160" w:type="dxa"/>
            <w:vAlign w:val="bottom"/>
            <w:tcBorders>
              <w:bottom w:val="single" w:sz="8" w:color="231F20"/>
            </w:tcBorders>
            <w:shd w:val="clear" w:color="auto" w:fill="FDFDFC"/>
          </w:tcPr>
          <w:p>
            <w:pPr>
              <w:jc w:val="right"/>
              <w:spacing w:after="0" w:line="206" w:lineRule="exact"/>
              <w:rPr>
                <w:sz w:val="20"/>
                <w:szCs w:val="20"/>
                <w:color w:val="auto"/>
              </w:rPr>
            </w:pPr>
            <w:r>
              <w:rPr>
                <w:rFonts w:ascii="Times New Roman" w:cs="Times New Roman" w:eastAsia="Times New Roman" w:hAnsi="Times New Roman"/>
                <w:sz w:val="19"/>
                <w:szCs w:val="19"/>
                <w:color w:val="231F20"/>
                <w:w w:val="83"/>
              </w:rPr>
              <w:t>$</w:t>
            </w:r>
          </w:p>
        </w:tc>
        <w:tc>
          <w:tcPr>
            <w:tcW w:w="960" w:type="dxa"/>
            <w:vAlign w:val="bottom"/>
            <w:tcBorders>
              <w:bottom w:val="single" w:sz="8" w:color="231F20"/>
            </w:tcBorders>
            <w:shd w:val="clear" w:color="auto" w:fill="FDFDFC"/>
          </w:tcPr>
          <w:p>
            <w:pPr>
              <w:jc w:val="right"/>
              <w:spacing w:after="0" w:line="206" w:lineRule="exact"/>
              <w:rPr>
                <w:sz w:val="20"/>
                <w:szCs w:val="20"/>
                <w:color w:val="auto"/>
              </w:rPr>
            </w:pPr>
            <w:r>
              <w:rPr>
                <w:rFonts w:ascii="Times New Roman" w:cs="Times New Roman" w:eastAsia="Times New Roman" w:hAnsi="Times New Roman"/>
                <w:sz w:val="19"/>
                <w:szCs w:val="19"/>
                <w:color w:val="231F20"/>
              </w:rPr>
              <w:t>3,283.1</w:t>
            </w:r>
          </w:p>
        </w:tc>
        <w:tc>
          <w:tcPr>
            <w:tcW w:w="220" w:type="dxa"/>
            <w:vAlign w:val="bottom"/>
            <w:shd w:val="clear" w:color="auto" w:fill="FDFDFC"/>
          </w:tcPr>
          <w:p>
            <w:pPr>
              <w:spacing w:after="0"/>
              <w:rPr>
                <w:sz w:val="17"/>
                <w:szCs w:val="17"/>
                <w:color w:val="auto"/>
              </w:rPr>
            </w:pPr>
          </w:p>
        </w:tc>
        <w:tc>
          <w:tcPr>
            <w:tcW w:w="120" w:type="dxa"/>
            <w:vAlign w:val="bottom"/>
            <w:tcBorders>
              <w:bottom w:val="single" w:sz="8" w:color="231F20"/>
            </w:tcBorders>
            <w:shd w:val="clear" w:color="auto" w:fill="FDFDFC"/>
          </w:tcPr>
          <w:p>
            <w:pPr>
              <w:jc w:val="right"/>
              <w:spacing w:after="0"/>
              <w:rPr>
                <w:sz w:val="20"/>
                <w:szCs w:val="20"/>
                <w:color w:val="auto"/>
              </w:rPr>
            </w:pPr>
            <w:r>
              <w:rPr>
                <w:rFonts w:ascii="Times New Roman" w:cs="Times New Roman" w:eastAsia="Times New Roman" w:hAnsi="Times New Roman"/>
                <w:sz w:val="17"/>
                <w:szCs w:val="17"/>
                <w:color w:val="231F20"/>
                <w:w w:val="70"/>
              </w:rPr>
              <w:t>$</w:t>
            </w:r>
          </w:p>
        </w:tc>
        <w:tc>
          <w:tcPr>
            <w:tcW w:w="1000" w:type="dxa"/>
            <w:vAlign w:val="bottom"/>
            <w:tcBorders>
              <w:bottom w:val="single" w:sz="8" w:color="231F20"/>
            </w:tcBorders>
            <w:shd w:val="clear" w:color="auto" w:fill="FDFDFC"/>
          </w:tcPr>
          <w:p>
            <w:pPr>
              <w:jc w:val="right"/>
              <w:spacing w:after="0" w:line="206" w:lineRule="exact"/>
              <w:rPr>
                <w:sz w:val="20"/>
                <w:szCs w:val="20"/>
                <w:color w:val="auto"/>
              </w:rPr>
            </w:pPr>
            <w:r>
              <w:rPr>
                <w:rFonts w:ascii="Times New Roman" w:cs="Times New Roman" w:eastAsia="Times New Roman" w:hAnsi="Times New Roman"/>
                <w:sz w:val="19"/>
                <w:szCs w:val="19"/>
                <w:color w:val="231F20"/>
              </w:rPr>
              <w:t>32.1</w:t>
            </w:r>
          </w:p>
        </w:tc>
        <w:tc>
          <w:tcPr>
            <w:tcW w:w="100" w:type="dxa"/>
            <w:vAlign w:val="bottom"/>
            <w:shd w:val="clear" w:color="auto" w:fill="FDFDFC"/>
          </w:tcPr>
          <w:p>
            <w:pPr>
              <w:spacing w:after="0"/>
              <w:rPr>
                <w:sz w:val="17"/>
                <w:szCs w:val="17"/>
                <w:color w:val="auto"/>
              </w:rPr>
            </w:pPr>
          </w:p>
        </w:tc>
      </w:tr>
      <w:tr>
        <w:trPr>
          <w:trHeight w:val="20"/>
        </w:trPr>
        <w:tc>
          <w:tcPr>
            <w:tcW w:w="39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Borders>
              <w:bottom w:val="single" w:sz="8" w:color="231F20"/>
            </w:tcBorders>
          </w:tcPr>
          <w:p>
            <w:pPr>
              <w:spacing w:after="0" w:line="20" w:lineRule="exact"/>
              <w:rPr>
                <w:sz w:val="1"/>
                <w:szCs w:val="1"/>
                <w:color w:val="auto"/>
              </w:rPr>
            </w:pPr>
          </w:p>
        </w:tc>
        <w:tc>
          <w:tcPr>
            <w:tcW w:w="860" w:type="dxa"/>
            <w:vAlign w:val="bottom"/>
            <w:tcBorders>
              <w:bottom w:val="single" w:sz="8" w:color="231F20"/>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231F20"/>
            </w:tcBorders>
          </w:tcPr>
          <w:p>
            <w:pPr>
              <w:spacing w:after="0" w:line="20" w:lineRule="exact"/>
              <w:rPr>
                <w:sz w:val="1"/>
                <w:szCs w:val="1"/>
                <w:color w:val="auto"/>
              </w:rPr>
            </w:pPr>
          </w:p>
        </w:tc>
        <w:tc>
          <w:tcPr>
            <w:tcW w:w="960" w:type="dxa"/>
            <w:vAlign w:val="bottom"/>
            <w:tcBorders>
              <w:bottom w:val="single" w:sz="8" w:color="231F20"/>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231F20"/>
            </w:tcBorders>
          </w:tcPr>
          <w:p>
            <w:pPr>
              <w:spacing w:after="0" w:line="20" w:lineRule="exact"/>
              <w:rPr>
                <w:sz w:val="1"/>
                <w:szCs w:val="1"/>
                <w:color w:val="auto"/>
              </w:rPr>
            </w:pPr>
          </w:p>
        </w:tc>
        <w:tc>
          <w:tcPr>
            <w:tcW w:w="1000" w:type="dxa"/>
            <w:vAlign w:val="bottom"/>
            <w:tcBorders>
              <w:bottom w:val="single" w:sz="8" w:color="231F20"/>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7" w:lineRule="exact"/>
        <w:rPr>
          <w:sz w:val="20"/>
          <w:szCs w:val="20"/>
          <w:color w:val="auto"/>
        </w:rPr>
      </w:pPr>
    </w:p>
    <w:p>
      <w:pPr>
        <w:ind w:left="460" w:right="440" w:hanging="460"/>
        <w:spacing w:after="0" w:line="275" w:lineRule="auto"/>
        <w:tabs>
          <w:tab w:leader="none" w:pos="460" w:val="left"/>
        </w:tabs>
        <w:numPr>
          <w:ilvl w:val="0"/>
          <w:numId w:val="15"/>
        </w:numPr>
        <w:rPr>
          <w:rFonts w:ascii="Times New Roman" w:cs="Times New Roman" w:eastAsia="Times New Roman" w:hAnsi="Times New Roman"/>
          <w:sz w:val="19"/>
          <w:szCs w:val="19"/>
          <w:color w:val="231F20"/>
        </w:rPr>
      </w:pPr>
      <w:r>
        <w:rPr>
          <w:rFonts w:ascii="Times New Roman" w:cs="Times New Roman" w:eastAsia="Times New Roman" w:hAnsi="Times New Roman"/>
          <w:sz w:val="19"/>
          <w:szCs w:val="19"/>
          <w:color w:val="231F20"/>
        </w:rPr>
        <w:t>Amortized cost represents the original cost adjusted for the amortization of discounts or premiums, as applicable, on debt investments using the effective interest method.</w:t>
      </w:r>
    </w:p>
    <w:p>
      <w:pPr>
        <w:spacing w:after="0" w:line="160"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9"/>
          <w:szCs w:val="19"/>
          <w:color w:val="231F20"/>
        </w:rPr>
        <w:t>The industry composition of investments at fair value at December 31, 2024 and December 31, 2023 was as follows:</w:t>
      </w:r>
    </w:p>
    <w:p>
      <w:pPr>
        <w:spacing w:after="0" w:line="220" w:lineRule="exact"/>
        <w:rPr>
          <w:sz w:val="20"/>
          <w:szCs w:val="20"/>
          <w:color w:val="auto"/>
        </w:rPr>
      </w:pPr>
    </w:p>
    <w:tbl>
      <w:tblPr>
        <w:tblLayout w:type="fixed"/>
        <w:tblInd w:w="1020" w:type="dxa"/>
        <w:tblCellMar>
          <w:top w:w="0" w:type="dxa"/>
          <w:left w:w="0" w:type="dxa"/>
          <w:bottom w:w="0" w:type="dxa"/>
          <w:right w:w="0" w:type="dxa"/>
        </w:tblCellMar>
      </w:tblPr>
      <w:tr>
        <w:trPr>
          <w:trHeight w:val="172"/>
        </w:trPr>
        <w:tc>
          <w:tcPr>
            <w:tcW w:w="5500" w:type="dxa"/>
            <w:vAlign w:val="bottom"/>
            <w:shd w:val="clear" w:color="auto" w:fill="FDFDFC"/>
          </w:tcPr>
          <w:p>
            <w:pPr>
              <w:spacing w:after="0"/>
              <w:rPr>
                <w:sz w:val="15"/>
                <w:szCs w:val="15"/>
                <w:color w:val="auto"/>
              </w:rPr>
            </w:pPr>
          </w:p>
        </w:tc>
        <w:tc>
          <w:tcPr>
            <w:tcW w:w="1380" w:type="dxa"/>
            <w:vAlign w:val="bottom"/>
            <w:gridSpan w:val="2"/>
            <w:shd w:val="clear" w:color="auto" w:fill="FDFDFC"/>
          </w:tcPr>
          <w:p>
            <w:pPr>
              <w:jc w:val="center"/>
              <w:ind w:right="260"/>
              <w:spacing w:after="0"/>
              <w:rPr>
                <w:sz w:val="20"/>
                <w:szCs w:val="20"/>
                <w:color w:val="auto"/>
              </w:rPr>
            </w:pPr>
            <w:r>
              <w:rPr>
                <w:rFonts w:ascii="Times New Roman" w:cs="Times New Roman" w:eastAsia="Times New Roman" w:hAnsi="Times New Roman"/>
                <w:sz w:val="15"/>
                <w:szCs w:val="15"/>
                <w:b w:val="1"/>
                <w:bCs w:val="1"/>
                <w:color w:val="231F20"/>
              </w:rPr>
              <w:t>December 31,</w:t>
            </w:r>
          </w:p>
        </w:tc>
        <w:tc>
          <w:tcPr>
            <w:tcW w:w="1280" w:type="dxa"/>
            <w:vAlign w:val="bottom"/>
            <w:gridSpan w:val="2"/>
            <w:shd w:val="clear" w:color="auto" w:fill="FDFDFC"/>
          </w:tcPr>
          <w:p>
            <w:pPr>
              <w:jc w:val="right"/>
              <w:ind w:right="280"/>
              <w:spacing w:after="0"/>
              <w:rPr>
                <w:sz w:val="20"/>
                <w:szCs w:val="20"/>
                <w:color w:val="auto"/>
              </w:rPr>
            </w:pPr>
            <w:r>
              <w:rPr>
                <w:rFonts w:ascii="Times New Roman" w:cs="Times New Roman" w:eastAsia="Times New Roman" w:hAnsi="Times New Roman"/>
                <w:sz w:val="15"/>
                <w:szCs w:val="15"/>
                <w:b w:val="1"/>
                <w:bCs w:val="1"/>
                <w:color w:val="231F20"/>
              </w:rPr>
              <w:t>December 31,</w:t>
            </w:r>
          </w:p>
        </w:tc>
        <w:tc>
          <w:tcPr>
            <w:tcW w:w="0" w:type="dxa"/>
            <w:vAlign w:val="bottom"/>
          </w:tcPr>
          <w:p>
            <w:pPr>
              <w:spacing w:after="0"/>
              <w:rPr>
                <w:sz w:val="1"/>
                <w:szCs w:val="1"/>
                <w:color w:val="auto"/>
              </w:rPr>
            </w:pPr>
          </w:p>
        </w:tc>
      </w:tr>
      <w:tr>
        <w:trPr>
          <w:trHeight w:val="191"/>
        </w:trPr>
        <w:tc>
          <w:tcPr>
            <w:tcW w:w="5500" w:type="dxa"/>
            <w:vAlign w:val="bottom"/>
            <w:tcBorders>
              <w:bottom w:val="single" w:sz="8" w:color="D0EBF2"/>
            </w:tcBorders>
            <w:shd w:val="clear" w:color="auto" w:fill="FDFDFC"/>
          </w:tcPr>
          <w:p>
            <w:pPr>
              <w:spacing w:after="0"/>
              <w:rPr>
                <w:sz w:val="16"/>
                <w:szCs w:val="16"/>
                <w:color w:val="auto"/>
              </w:rPr>
            </w:pPr>
          </w:p>
        </w:tc>
        <w:tc>
          <w:tcPr>
            <w:tcW w:w="1120" w:type="dxa"/>
            <w:vAlign w:val="bottom"/>
            <w:tcBorders>
              <w:bottom w:val="single" w:sz="8" w:color="231F20"/>
            </w:tcBorders>
            <w:shd w:val="clear" w:color="auto" w:fill="FDFDFC"/>
          </w:tcPr>
          <w:p>
            <w:pPr>
              <w:jc w:val="right"/>
              <w:ind w:right="327"/>
              <w:spacing w:after="0"/>
              <w:rPr>
                <w:sz w:val="20"/>
                <w:szCs w:val="20"/>
                <w:color w:val="auto"/>
              </w:rPr>
            </w:pPr>
            <w:r>
              <w:rPr>
                <w:rFonts w:ascii="Times New Roman" w:cs="Times New Roman" w:eastAsia="Times New Roman" w:hAnsi="Times New Roman"/>
                <w:sz w:val="15"/>
                <w:szCs w:val="15"/>
                <w:b w:val="1"/>
                <w:bCs w:val="1"/>
                <w:color w:val="231F20"/>
              </w:rPr>
              <w:t>2024</w:t>
            </w:r>
          </w:p>
        </w:tc>
        <w:tc>
          <w:tcPr>
            <w:tcW w:w="260" w:type="dxa"/>
            <w:vAlign w:val="bottom"/>
            <w:shd w:val="clear" w:color="auto" w:fill="FDFDFC"/>
          </w:tcPr>
          <w:p>
            <w:pPr>
              <w:spacing w:after="0"/>
              <w:rPr>
                <w:sz w:val="16"/>
                <w:szCs w:val="16"/>
                <w:color w:val="auto"/>
              </w:rPr>
            </w:pPr>
          </w:p>
        </w:tc>
        <w:tc>
          <w:tcPr>
            <w:tcW w:w="1120" w:type="dxa"/>
            <w:vAlign w:val="bottom"/>
            <w:tcBorders>
              <w:bottom w:val="single" w:sz="8" w:color="231F20"/>
            </w:tcBorders>
            <w:shd w:val="clear" w:color="auto" w:fill="FDFDFC"/>
          </w:tcPr>
          <w:p>
            <w:pPr>
              <w:jc w:val="right"/>
              <w:ind w:right="307"/>
              <w:spacing w:after="0"/>
              <w:rPr>
                <w:sz w:val="20"/>
                <w:szCs w:val="20"/>
                <w:color w:val="auto"/>
              </w:rPr>
            </w:pPr>
            <w:r>
              <w:rPr>
                <w:rFonts w:ascii="Times New Roman" w:cs="Times New Roman" w:eastAsia="Times New Roman" w:hAnsi="Times New Roman"/>
                <w:sz w:val="15"/>
                <w:szCs w:val="15"/>
                <w:b w:val="1"/>
                <w:bCs w:val="1"/>
                <w:color w:val="231F20"/>
              </w:rPr>
              <w:t>2023</w:t>
            </w:r>
          </w:p>
        </w:tc>
        <w:tc>
          <w:tcPr>
            <w:tcW w:w="160" w:type="dxa"/>
            <w:vAlign w:val="bottom"/>
            <w:shd w:val="clear" w:color="auto" w:fill="FDFDFC"/>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5500" w:type="dxa"/>
            <w:vAlign w:val="bottom"/>
            <w:shd w:val="clear" w:color="auto" w:fill="D0EBF2"/>
          </w:tcPr>
          <w:p>
            <w:pPr>
              <w:spacing w:after="0" w:line="207" w:lineRule="exact"/>
              <w:rPr>
                <w:sz w:val="20"/>
                <w:szCs w:val="20"/>
                <w:color w:val="auto"/>
              </w:rPr>
            </w:pPr>
            <w:r>
              <w:rPr>
                <w:rFonts w:ascii="Times New Roman" w:cs="Times New Roman" w:eastAsia="Times New Roman" w:hAnsi="Times New Roman"/>
                <w:sz w:val="19"/>
                <w:szCs w:val="19"/>
                <w:color w:val="231F20"/>
              </w:rPr>
              <w:t>Automotive</w:t>
            </w:r>
          </w:p>
        </w:tc>
        <w:tc>
          <w:tcPr>
            <w:tcW w:w="1380" w:type="dxa"/>
            <w:vAlign w:val="bottom"/>
            <w:gridSpan w:val="2"/>
          </w:tcPr>
          <w:p>
            <w:pPr>
              <w:jc w:val="right"/>
              <w:ind w:right="100"/>
              <w:spacing w:after="0" w:line="207" w:lineRule="exact"/>
              <w:rPr>
                <w:sz w:val="20"/>
                <w:szCs w:val="20"/>
                <w:color w:val="auto"/>
              </w:rPr>
            </w:pPr>
            <w:r>
              <w:rPr>
                <w:rFonts w:ascii="Times New Roman" w:cs="Times New Roman" w:eastAsia="Times New Roman" w:hAnsi="Times New Roman"/>
                <w:sz w:val="19"/>
                <w:szCs w:val="19"/>
                <w:color w:val="231F20"/>
              </w:rPr>
              <w:t>1.2%</w:t>
            </w:r>
          </w:p>
        </w:tc>
        <w:tc>
          <w:tcPr>
            <w:tcW w:w="1280" w:type="dxa"/>
            <w:vAlign w:val="bottom"/>
            <w:gridSpan w:val="2"/>
          </w:tcPr>
          <w:p>
            <w:pPr>
              <w:jc w:val="right"/>
              <w:spacing w:after="0" w:line="207" w:lineRule="exact"/>
              <w:rPr>
                <w:sz w:val="20"/>
                <w:szCs w:val="20"/>
                <w:color w:val="auto"/>
              </w:rPr>
            </w:pPr>
            <w:r>
              <w:rPr>
                <w:rFonts w:ascii="Times New Roman" w:cs="Times New Roman" w:eastAsia="Times New Roman" w:hAnsi="Times New Roman"/>
                <w:sz w:val="19"/>
                <w:szCs w:val="19"/>
                <w:color w:val="231F20"/>
              </w:rPr>
              <w:t>1.3%</w:t>
            </w:r>
          </w:p>
        </w:tc>
        <w:tc>
          <w:tcPr>
            <w:tcW w:w="0" w:type="dxa"/>
            <w:vAlign w:val="bottom"/>
          </w:tcPr>
          <w:p>
            <w:pPr>
              <w:spacing w:after="0"/>
              <w:rPr>
                <w:sz w:val="1"/>
                <w:szCs w:val="1"/>
                <w:color w:val="auto"/>
              </w:rPr>
            </w:pPr>
          </w:p>
        </w:tc>
      </w:tr>
      <w:tr>
        <w:trPr>
          <w:trHeight w:val="217"/>
        </w:trPr>
        <w:tc>
          <w:tcPr>
            <w:tcW w:w="5500" w:type="dxa"/>
            <w:vAlign w:val="bottom"/>
            <w:shd w:val="clear" w:color="auto" w:fill="FDFDFC"/>
          </w:tcPr>
          <w:p>
            <w:pPr>
              <w:spacing w:after="0" w:line="217" w:lineRule="exact"/>
              <w:rPr>
                <w:sz w:val="20"/>
                <w:szCs w:val="20"/>
                <w:color w:val="auto"/>
              </w:rPr>
            </w:pPr>
            <w:r>
              <w:rPr>
                <w:rFonts w:ascii="Times New Roman" w:cs="Times New Roman" w:eastAsia="Times New Roman" w:hAnsi="Times New Roman"/>
                <w:sz w:val="19"/>
                <w:szCs w:val="19"/>
                <w:color w:val="231F20"/>
              </w:rPr>
              <w:t>Business Services</w:t>
            </w:r>
          </w:p>
        </w:tc>
        <w:tc>
          <w:tcPr>
            <w:tcW w:w="1380" w:type="dxa"/>
            <w:vAlign w:val="bottom"/>
            <w:gridSpan w:val="2"/>
            <w:shd w:val="clear" w:color="auto" w:fill="FDFDFC"/>
          </w:tcPr>
          <w:p>
            <w:pPr>
              <w:jc w:val="right"/>
              <w:ind w:right="100"/>
              <w:spacing w:after="0" w:line="217" w:lineRule="exact"/>
              <w:rPr>
                <w:sz w:val="20"/>
                <w:szCs w:val="20"/>
                <w:color w:val="auto"/>
              </w:rPr>
            </w:pPr>
            <w:r>
              <w:rPr>
                <w:rFonts w:ascii="Times New Roman" w:cs="Times New Roman" w:eastAsia="Times New Roman" w:hAnsi="Times New Roman"/>
                <w:sz w:val="19"/>
                <w:szCs w:val="19"/>
                <w:color w:val="231F20"/>
              </w:rPr>
              <w:t>13.3%</w:t>
            </w:r>
          </w:p>
        </w:tc>
        <w:tc>
          <w:tcPr>
            <w:tcW w:w="1280" w:type="dxa"/>
            <w:vAlign w:val="bottom"/>
            <w:gridSpan w:val="2"/>
            <w:shd w:val="clear" w:color="auto" w:fill="FDFDFC"/>
          </w:tcPr>
          <w:p>
            <w:pPr>
              <w:jc w:val="right"/>
              <w:spacing w:after="0" w:line="217" w:lineRule="exact"/>
              <w:rPr>
                <w:sz w:val="20"/>
                <w:szCs w:val="20"/>
                <w:color w:val="auto"/>
              </w:rPr>
            </w:pPr>
            <w:r>
              <w:rPr>
                <w:rFonts w:ascii="Times New Roman" w:cs="Times New Roman" w:eastAsia="Times New Roman" w:hAnsi="Times New Roman"/>
                <w:sz w:val="19"/>
                <w:szCs w:val="19"/>
                <w:color w:val="231F20"/>
              </w:rPr>
              <w:t>18.0%</w:t>
            </w:r>
          </w:p>
        </w:tc>
        <w:tc>
          <w:tcPr>
            <w:tcW w:w="0" w:type="dxa"/>
            <w:vAlign w:val="bottom"/>
          </w:tcPr>
          <w:p>
            <w:pPr>
              <w:spacing w:after="0"/>
              <w:rPr>
                <w:sz w:val="1"/>
                <w:szCs w:val="1"/>
                <w:color w:val="auto"/>
              </w:rPr>
            </w:pPr>
          </w:p>
        </w:tc>
      </w:tr>
      <w:tr>
        <w:trPr>
          <w:trHeight w:val="217"/>
        </w:trPr>
        <w:tc>
          <w:tcPr>
            <w:tcW w:w="5500" w:type="dxa"/>
            <w:vAlign w:val="bottom"/>
            <w:shd w:val="clear" w:color="auto" w:fill="D0EBF2"/>
          </w:tcPr>
          <w:p>
            <w:pPr>
              <w:spacing w:after="0" w:line="217" w:lineRule="exact"/>
              <w:rPr>
                <w:sz w:val="20"/>
                <w:szCs w:val="20"/>
                <w:color w:val="auto"/>
              </w:rPr>
            </w:pPr>
            <w:r>
              <w:rPr>
                <w:rFonts w:ascii="Times New Roman" w:cs="Times New Roman" w:eastAsia="Times New Roman" w:hAnsi="Times New Roman"/>
                <w:sz w:val="19"/>
                <w:szCs w:val="19"/>
                <w:color w:val="231F20"/>
              </w:rPr>
              <w:t>Chemicals</w:t>
            </w:r>
          </w:p>
        </w:tc>
        <w:tc>
          <w:tcPr>
            <w:tcW w:w="1380" w:type="dxa"/>
            <w:vAlign w:val="bottom"/>
            <w:gridSpan w:val="2"/>
            <w:shd w:val="clear" w:color="auto" w:fill="D0EBF2"/>
          </w:tcPr>
          <w:p>
            <w:pPr>
              <w:jc w:val="right"/>
              <w:ind w:right="100"/>
              <w:spacing w:after="0" w:line="217" w:lineRule="exact"/>
              <w:rPr>
                <w:sz w:val="20"/>
                <w:szCs w:val="20"/>
                <w:color w:val="auto"/>
              </w:rPr>
            </w:pPr>
            <w:r>
              <w:rPr>
                <w:rFonts w:ascii="Times New Roman" w:cs="Times New Roman" w:eastAsia="Times New Roman" w:hAnsi="Times New Roman"/>
                <w:sz w:val="19"/>
                <w:szCs w:val="19"/>
                <w:color w:val="231F20"/>
              </w:rPr>
              <w:t>0.9%</w:t>
            </w:r>
          </w:p>
        </w:tc>
        <w:tc>
          <w:tcPr>
            <w:tcW w:w="1280" w:type="dxa"/>
            <w:vAlign w:val="bottom"/>
            <w:gridSpan w:val="2"/>
            <w:shd w:val="clear" w:color="auto" w:fill="D0EBF2"/>
          </w:tcPr>
          <w:p>
            <w:pPr>
              <w:jc w:val="right"/>
              <w:spacing w:after="0" w:line="217" w:lineRule="exact"/>
              <w:rPr>
                <w:sz w:val="20"/>
                <w:szCs w:val="20"/>
                <w:color w:val="auto"/>
              </w:rPr>
            </w:pPr>
            <w:r>
              <w:rPr>
                <w:rFonts w:ascii="Times New Roman" w:cs="Times New Roman" w:eastAsia="Times New Roman" w:hAnsi="Times New Roman"/>
                <w:sz w:val="19"/>
                <w:szCs w:val="19"/>
                <w:color w:val="231F20"/>
              </w:rPr>
              <w:t>0.8%</w:t>
            </w:r>
          </w:p>
        </w:tc>
        <w:tc>
          <w:tcPr>
            <w:tcW w:w="0" w:type="dxa"/>
            <w:vAlign w:val="bottom"/>
          </w:tcPr>
          <w:p>
            <w:pPr>
              <w:spacing w:after="0"/>
              <w:rPr>
                <w:sz w:val="1"/>
                <w:szCs w:val="1"/>
                <w:color w:val="auto"/>
              </w:rPr>
            </w:pPr>
          </w:p>
        </w:tc>
      </w:tr>
      <w:tr>
        <w:trPr>
          <w:trHeight w:val="217"/>
        </w:trPr>
        <w:tc>
          <w:tcPr>
            <w:tcW w:w="5500" w:type="dxa"/>
            <w:vAlign w:val="bottom"/>
            <w:shd w:val="clear" w:color="auto" w:fill="FDFDFC"/>
          </w:tcPr>
          <w:p>
            <w:pPr>
              <w:spacing w:after="0" w:line="217" w:lineRule="exact"/>
              <w:rPr>
                <w:sz w:val="20"/>
                <w:szCs w:val="20"/>
                <w:color w:val="auto"/>
              </w:rPr>
            </w:pPr>
            <w:r>
              <w:rPr>
                <w:rFonts w:ascii="Times New Roman" w:cs="Times New Roman" w:eastAsia="Times New Roman" w:hAnsi="Times New Roman"/>
                <w:sz w:val="19"/>
                <w:szCs w:val="19"/>
                <w:color w:val="231F20"/>
              </w:rPr>
              <w:t>Communications</w:t>
            </w:r>
          </w:p>
        </w:tc>
        <w:tc>
          <w:tcPr>
            <w:tcW w:w="1380" w:type="dxa"/>
            <w:vAlign w:val="bottom"/>
            <w:gridSpan w:val="2"/>
            <w:shd w:val="clear" w:color="auto" w:fill="FDFDFC"/>
          </w:tcPr>
          <w:p>
            <w:pPr>
              <w:jc w:val="right"/>
              <w:ind w:right="100"/>
              <w:spacing w:after="0" w:line="217" w:lineRule="exact"/>
              <w:rPr>
                <w:sz w:val="20"/>
                <w:szCs w:val="20"/>
                <w:color w:val="auto"/>
              </w:rPr>
            </w:pPr>
            <w:r>
              <w:rPr>
                <w:rFonts w:ascii="Times New Roman" w:cs="Times New Roman" w:eastAsia="Times New Roman" w:hAnsi="Times New Roman"/>
                <w:sz w:val="19"/>
                <w:szCs w:val="19"/>
                <w:color w:val="231F20"/>
              </w:rPr>
              <w:t>3.5%</w:t>
            </w:r>
          </w:p>
        </w:tc>
        <w:tc>
          <w:tcPr>
            <w:tcW w:w="1280" w:type="dxa"/>
            <w:vAlign w:val="bottom"/>
            <w:gridSpan w:val="2"/>
            <w:shd w:val="clear" w:color="auto" w:fill="FDFDFC"/>
          </w:tcPr>
          <w:p>
            <w:pPr>
              <w:jc w:val="right"/>
              <w:spacing w:after="0" w:line="217" w:lineRule="exact"/>
              <w:rPr>
                <w:sz w:val="20"/>
                <w:szCs w:val="20"/>
                <w:color w:val="auto"/>
              </w:rPr>
            </w:pPr>
            <w:r>
              <w:rPr>
                <w:rFonts w:ascii="Times New Roman" w:cs="Times New Roman" w:eastAsia="Times New Roman" w:hAnsi="Times New Roman"/>
                <w:sz w:val="19"/>
                <w:szCs w:val="19"/>
                <w:color w:val="231F20"/>
              </w:rPr>
              <w:t>3.3%</w:t>
            </w:r>
          </w:p>
        </w:tc>
        <w:tc>
          <w:tcPr>
            <w:tcW w:w="0" w:type="dxa"/>
            <w:vAlign w:val="bottom"/>
          </w:tcPr>
          <w:p>
            <w:pPr>
              <w:spacing w:after="0"/>
              <w:rPr>
                <w:sz w:val="1"/>
                <w:szCs w:val="1"/>
                <w:color w:val="auto"/>
              </w:rPr>
            </w:pPr>
          </w:p>
        </w:tc>
      </w:tr>
      <w:tr>
        <w:trPr>
          <w:trHeight w:val="217"/>
        </w:trPr>
        <w:tc>
          <w:tcPr>
            <w:tcW w:w="5500" w:type="dxa"/>
            <w:vAlign w:val="bottom"/>
            <w:shd w:val="clear" w:color="auto" w:fill="D0EBF2"/>
          </w:tcPr>
          <w:p>
            <w:pPr>
              <w:spacing w:after="0" w:line="217" w:lineRule="exact"/>
              <w:rPr>
                <w:sz w:val="20"/>
                <w:szCs w:val="20"/>
                <w:color w:val="auto"/>
              </w:rPr>
            </w:pPr>
            <w:r>
              <w:rPr>
                <w:rFonts w:ascii="Times New Roman" w:cs="Times New Roman" w:eastAsia="Times New Roman" w:hAnsi="Times New Roman"/>
                <w:sz w:val="19"/>
                <w:szCs w:val="19"/>
                <w:color w:val="231F20"/>
              </w:rPr>
              <w:t>Education</w:t>
            </w:r>
          </w:p>
        </w:tc>
        <w:tc>
          <w:tcPr>
            <w:tcW w:w="1380" w:type="dxa"/>
            <w:vAlign w:val="bottom"/>
            <w:gridSpan w:val="2"/>
            <w:shd w:val="clear" w:color="auto" w:fill="D0EBF2"/>
          </w:tcPr>
          <w:p>
            <w:pPr>
              <w:jc w:val="right"/>
              <w:ind w:right="100"/>
              <w:spacing w:after="0" w:line="217" w:lineRule="exact"/>
              <w:rPr>
                <w:sz w:val="20"/>
                <w:szCs w:val="20"/>
                <w:color w:val="auto"/>
              </w:rPr>
            </w:pPr>
            <w:r>
              <w:rPr>
                <w:rFonts w:ascii="Times New Roman" w:cs="Times New Roman" w:eastAsia="Times New Roman" w:hAnsi="Times New Roman"/>
                <w:sz w:val="19"/>
                <w:szCs w:val="19"/>
                <w:color w:val="231F20"/>
              </w:rPr>
              <w:t>5.0%</w:t>
            </w:r>
          </w:p>
        </w:tc>
        <w:tc>
          <w:tcPr>
            <w:tcW w:w="1280" w:type="dxa"/>
            <w:vAlign w:val="bottom"/>
            <w:gridSpan w:val="2"/>
            <w:shd w:val="clear" w:color="auto" w:fill="D0EBF2"/>
          </w:tcPr>
          <w:p>
            <w:pPr>
              <w:jc w:val="right"/>
              <w:spacing w:after="0" w:line="217" w:lineRule="exact"/>
              <w:rPr>
                <w:sz w:val="20"/>
                <w:szCs w:val="20"/>
                <w:color w:val="auto"/>
              </w:rPr>
            </w:pPr>
            <w:r>
              <w:rPr>
                <w:rFonts w:ascii="Times New Roman" w:cs="Times New Roman" w:eastAsia="Times New Roman" w:hAnsi="Times New Roman"/>
                <w:sz w:val="19"/>
                <w:szCs w:val="19"/>
                <w:color w:val="231F20"/>
              </w:rPr>
              <w:t>5.3%</w:t>
            </w:r>
          </w:p>
        </w:tc>
        <w:tc>
          <w:tcPr>
            <w:tcW w:w="0" w:type="dxa"/>
            <w:vAlign w:val="bottom"/>
          </w:tcPr>
          <w:p>
            <w:pPr>
              <w:spacing w:after="0"/>
              <w:rPr>
                <w:sz w:val="1"/>
                <w:szCs w:val="1"/>
                <w:color w:val="auto"/>
              </w:rPr>
            </w:pPr>
          </w:p>
        </w:tc>
      </w:tr>
      <w:tr>
        <w:trPr>
          <w:trHeight w:val="217"/>
        </w:trPr>
        <w:tc>
          <w:tcPr>
            <w:tcW w:w="5500" w:type="dxa"/>
            <w:vAlign w:val="bottom"/>
            <w:shd w:val="clear" w:color="auto" w:fill="FDFDFC"/>
          </w:tcPr>
          <w:p>
            <w:pPr>
              <w:spacing w:after="0" w:line="217" w:lineRule="exact"/>
              <w:rPr>
                <w:sz w:val="20"/>
                <w:szCs w:val="20"/>
                <w:color w:val="auto"/>
              </w:rPr>
            </w:pPr>
            <w:r>
              <w:rPr>
                <w:rFonts w:ascii="Times New Roman" w:cs="Times New Roman" w:eastAsia="Times New Roman" w:hAnsi="Times New Roman"/>
                <w:sz w:val="19"/>
                <w:szCs w:val="19"/>
                <w:color w:val="231F20"/>
              </w:rPr>
              <w:t>Electronics</w:t>
            </w:r>
          </w:p>
        </w:tc>
        <w:tc>
          <w:tcPr>
            <w:tcW w:w="1380" w:type="dxa"/>
            <w:vAlign w:val="bottom"/>
            <w:gridSpan w:val="2"/>
            <w:shd w:val="clear" w:color="auto" w:fill="FDFDFC"/>
          </w:tcPr>
          <w:p>
            <w:pPr>
              <w:jc w:val="right"/>
              <w:ind w:right="100"/>
              <w:spacing w:after="0" w:line="217" w:lineRule="exact"/>
              <w:rPr>
                <w:sz w:val="20"/>
                <w:szCs w:val="20"/>
                <w:color w:val="auto"/>
              </w:rPr>
            </w:pPr>
            <w:r>
              <w:rPr>
                <w:rFonts w:ascii="Times New Roman" w:cs="Times New Roman" w:eastAsia="Times New Roman" w:hAnsi="Times New Roman"/>
                <w:sz w:val="19"/>
                <w:szCs w:val="19"/>
                <w:color w:val="231F20"/>
              </w:rPr>
              <w:t>0.8%</w:t>
            </w:r>
          </w:p>
        </w:tc>
        <w:tc>
          <w:tcPr>
            <w:tcW w:w="1280" w:type="dxa"/>
            <w:vAlign w:val="bottom"/>
            <w:gridSpan w:val="2"/>
            <w:shd w:val="clear" w:color="auto" w:fill="FDFDFC"/>
          </w:tcPr>
          <w:p>
            <w:pPr>
              <w:jc w:val="right"/>
              <w:ind w:right="180"/>
              <w:spacing w:after="0" w:line="217" w:lineRule="exact"/>
              <w:rPr>
                <w:sz w:val="20"/>
                <w:szCs w:val="20"/>
                <w:color w:val="auto"/>
              </w:rPr>
            </w:pPr>
            <w:r>
              <w:rPr>
                <w:rFonts w:ascii="Times New Roman" w:cs="Times New Roman" w:eastAsia="Times New Roman" w:hAnsi="Times New Roman"/>
                <w:sz w:val="19"/>
                <w:szCs w:val="19"/>
                <w:color w:val="231F20"/>
              </w:rPr>
              <w:t>—</w:t>
            </w:r>
          </w:p>
        </w:tc>
        <w:tc>
          <w:tcPr>
            <w:tcW w:w="0" w:type="dxa"/>
            <w:vAlign w:val="bottom"/>
          </w:tcPr>
          <w:p>
            <w:pPr>
              <w:spacing w:after="0"/>
              <w:rPr>
                <w:sz w:val="1"/>
                <w:szCs w:val="1"/>
                <w:color w:val="auto"/>
              </w:rPr>
            </w:pPr>
          </w:p>
        </w:tc>
      </w:tr>
      <w:tr>
        <w:trPr>
          <w:trHeight w:val="217"/>
        </w:trPr>
        <w:tc>
          <w:tcPr>
            <w:tcW w:w="5500" w:type="dxa"/>
            <w:vAlign w:val="bottom"/>
            <w:shd w:val="clear" w:color="auto" w:fill="D0EBF2"/>
          </w:tcPr>
          <w:p>
            <w:pPr>
              <w:spacing w:after="0" w:line="217" w:lineRule="exact"/>
              <w:rPr>
                <w:sz w:val="20"/>
                <w:szCs w:val="20"/>
                <w:color w:val="auto"/>
              </w:rPr>
            </w:pPr>
            <w:r>
              <w:rPr>
                <w:rFonts w:ascii="Times New Roman" w:cs="Times New Roman" w:eastAsia="Times New Roman" w:hAnsi="Times New Roman"/>
                <w:sz w:val="19"/>
                <w:szCs w:val="19"/>
                <w:color w:val="231F20"/>
              </w:rPr>
              <w:t>Financial Services</w:t>
            </w:r>
          </w:p>
        </w:tc>
        <w:tc>
          <w:tcPr>
            <w:tcW w:w="1380" w:type="dxa"/>
            <w:vAlign w:val="bottom"/>
            <w:gridSpan w:val="2"/>
            <w:shd w:val="clear" w:color="auto" w:fill="D0EBF2"/>
          </w:tcPr>
          <w:p>
            <w:pPr>
              <w:jc w:val="right"/>
              <w:ind w:right="100"/>
              <w:spacing w:after="0" w:line="217" w:lineRule="exact"/>
              <w:rPr>
                <w:sz w:val="20"/>
                <w:szCs w:val="20"/>
                <w:color w:val="auto"/>
              </w:rPr>
            </w:pPr>
            <w:r>
              <w:rPr>
                <w:rFonts w:ascii="Times New Roman" w:cs="Times New Roman" w:eastAsia="Times New Roman" w:hAnsi="Times New Roman"/>
                <w:sz w:val="19"/>
                <w:szCs w:val="19"/>
                <w:color w:val="231F20"/>
              </w:rPr>
              <w:t>8.6%</w:t>
            </w:r>
          </w:p>
        </w:tc>
        <w:tc>
          <w:tcPr>
            <w:tcW w:w="1280" w:type="dxa"/>
            <w:vAlign w:val="bottom"/>
            <w:gridSpan w:val="2"/>
            <w:shd w:val="clear" w:color="auto" w:fill="D0EBF2"/>
          </w:tcPr>
          <w:p>
            <w:pPr>
              <w:jc w:val="right"/>
              <w:spacing w:after="0" w:line="217" w:lineRule="exact"/>
              <w:rPr>
                <w:sz w:val="20"/>
                <w:szCs w:val="20"/>
                <w:color w:val="auto"/>
              </w:rPr>
            </w:pPr>
            <w:r>
              <w:rPr>
                <w:rFonts w:ascii="Times New Roman" w:cs="Times New Roman" w:eastAsia="Times New Roman" w:hAnsi="Times New Roman"/>
                <w:sz w:val="19"/>
                <w:szCs w:val="19"/>
                <w:color w:val="231F20"/>
              </w:rPr>
              <w:t>11.1%</w:t>
            </w:r>
          </w:p>
        </w:tc>
        <w:tc>
          <w:tcPr>
            <w:tcW w:w="0" w:type="dxa"/>
            <w:vAlign w:val="bottom"/>
          </w:tcPr>
          <w:p>
            <w:pPr>
              <w:spacing w:after="0"/>
              <w:rPr>
                <w:sz w:val="1"/>
                <w:szCs w:val="1"/>
                <w:color w:val="auto"/>
              </w:rPr>
            </w:pPr>
          </w:p>
        </w:tc>
      </w:tr>
      <w:tr>
        <w:trPr>
          <w:trHeight w:val="217"/>
        </w:trPr>
        <w:tc>
          <w:tcPr>
            <w:tcW w:w="5500" w:type="dxa"/>
            <w:vAlign w:val="bottom"/>
            <w:shd w:val="clear" w:color="auto" w:fill="FDFDFC"/>
          </w:tcPr>
          <w:p>
            <w:pPr>
              <w:spacing w:after="0" w:line="217" w:lineRule="exact"/>
              <w:rPr>
                <w:sz w:val="20"/>
                <w:szCs w:val="20"/>
                <w:color w:val="auto"/>
              </w:rPr>
            </w:pPr>
            <w:r>
              <w:rPr>
                <w:rFonts w:ascii="Times New Roman" w:cs="Times New Roman" w:eastAsia="Times New Roman" w:hAnsi="Times New Roman"/>
                <w:sz w:val="19"/>
                <w:szCs w:val="19"/>
                <w:color w:val="231F20"/>
              </w:rPr>
              <w:t>Healthcare</w:t>
            </w:r>
          </w:p>
        </w:tc>
        <w:tc>
          <w:tcPr>
            <w:tcW w:w="1380" w:type="dxa"/>
            <w:vAlign w:val="bottom"/>
            <w:gridSpan w:val="2"/>
            <w:shd w:val="clear" w:color="auto" w:fill="FDFDFC"/>
          </w:tcPr>
          <w:p>
            <w:pPr>
              <w:jc w:val="right"/>
              <w:ind w:right="100"/>
              <w:spacing w:after="0" w:line="217" w:lineRule="exact"/>
              <w:rPr>
                <w:sz w:val="20"/>
                <w:szCs w:val="20"/>
                <w:color w:val="auto"/>
              </w:rPr>
            </w:pPr>
            <w:r>
              <w:rPr>
                <w:rFonts w:ascii="Times New Roman" w:cs="Times New Roman" w:eastAsia="Times New Roman" w:hAnsi="Times New Roman"/>
                <w:sz w:val="19"/>
                <w:szCs w:val="19"/>
                <w:color w:val="231F20"/>
              </w:rPr>
              <w:t>7.5%</w:t>
            </w:r>
          </w:p>
        </w:tc>
        <w:tc>
          <w:tcPr>
            <w:tcW w:w="1280" w:type="dxa"/>
            <w:vAlign w:val="bottom"/>
            <w:gridSpan w:val="2"/>
            <w:shd w:val="clear" w:color="auto" w:fill="FDFDFC"/>
          </w:tcPr>
          <w:p>
            <w:pPr>
              <w:jc w:val="right"/>
              <w:spacing w:after="0" w:line="217" w:lineRule="exact"/>
              <w:rPr>
                <w:sz w:val="20"/>
                <w:szCs w:val="20"/>
                <w:color w:val="auto"/>
              </w:rPr>
            </w:pPr>
            <w:r>
              <w:rPr>
                <w:rFonts w:ascii="Times New Roman" w:cs="Times New Roman" w:eastAsia="Times New Roman" w:hAnsi="Times New Roman"/>
                <w:sz w:val="19"/>
                <w:szCs w:val="19"/>
                <w:color w:val="231F20"/>
              </w:rPr>
              <w:t>8.9%</w:t>
            </w:r>
          </w:p>
        </w:tc>
        <w:tc>
          <w:tcPr>
            <w:tcW w:w="0" w:type="dxa"/>
            <w:vAlign w:val="bottom"/>
          </w:tcPr>
          <w:p>
            <w:pPr>
              <w:spacing w:after="0"/>
              <w:rPr>
                <w:sz w:val="1"/>
                <w:szCs w:val="1"/>
                <w:color w:val="auto"/>
              </w:rPr>
            </w:pPr>
          </w:p>
        </w:tc>
      </w:tr>
      <w:tr>
        <w:trPr>
          <w:trHeight w:val="217"/>
        </w:trPr>
        <w:tc>
          <w:tcPr>
            <w:tcW w:w="5500" w:type="dxa"/>
            <w:vAlign w:val="bottom"/>
            <w:shd w:val="clear" w:color="auto" w:fill="D0EBF2"/>
          </w:tcPr>
          <w:p>
            <w:pPr>
              <w:spacing w:after="0" w:line="217" w:lineRule="exact"/>
              <w:rPr>
                <w:sz w:val="20"/>
                <w:szCs w:val="20"/>
                <w:color w:val="auto"/>
              </w:rPr>
            </w:pPr>
            <w:r>
              <w:rPr>
                <w:rFonts w:ascii="Times New Roman" w:cs="Times New Roman" w:eastAsia="Times New Roman" w:hAnsi="Times New Roman"/>
                <w:sz w:val="19"/>
                <w:szCs w:val="19"/>
                <w:color w:val="231F20"/>
              </w:rPr>
              <w:t>Hotel, Gaming and Leisure</w:t>
            </w:r>
          </w:p>
        </w:tc>
        <w:tc>
          <w:tcPr>
            <w:tcW w:w="1380" w:type="dxa"/>
            <w:vAlign w:val="bottom"/>
            <w:gridSpan w:val="2"/>
            <w:shd w:val="clear" w:color="auto" w:fill="D0EBF2"/>
          </w:tcPr>
          <w:p>
            <w:pPr>
              <w:jc w:val="right"/>
              <w:ind w:right="100"/>
              <w:spacing w:after="0" w:line="217" w:lineRule="exact"/>
              <w:rPr>
                <w:sz w:val="20"/>
                <w:szCs w:val="20"/>
                <w:color w:val="auto"/>
              </w:rPr>
            </w:pPr>
            <w:r>
              <w:rPr>
                <w:rFonts w:ascii="Times New Roman" w:cs="Times New Roman" w:eastAsia="Times New Roman" w:hAnsi="Times New Roman"/>
                <w:sz w:val="19"/>
                <w:szCs w:val="19"/>
                <w:color w:val="231F20"/>
              </w:rPr>
              <w:t>7.4%</w:t>
            </w:r>
          </w:p>
        </w:tc>
        <w:tc>
          <w:tcPr>
            <w:tcW w:w="1280" w:type="dxa"/>
            <w:vAlign w:val="bottom"/>
            <w:gridSpan w:val="2"/>
            <w:shd w:val="clear" w:color="auto" w:fill="D0EBF2"/>
          </w:tcPr>
          <w:p>
            <w:pPr>
              <w:jc w:val="right"/>
              <w:spacing w:after="0" w:line="217" w:lineRule="exact"/>
              <w:rPr>
                <w:sz w:val="20"/>
                <w:szCs w:val="20"/>
                <w:color w:val="auto"/>
              </w:rPr>
            </w:pPr>
            <w:r>
              <w:rPr>
                <w:rFonts w:ascii="Times New Roman" w:cs="Times New Roman" w:eastAsia="Times New Roman" w:hAnsi="Times New Roman"/>
                <w:sz w:val="19"/>
                <w:szCs w:val="19"/>
                <w:color w:val="231F20"/>
              </w:rPr>
              <w:t>3.7%</w:t>
            </w:r>
          </w:p>
        </w:tc>
        <w:tc>
          <w:tcPr>
            <w:tcW w:w="0" w:type="dxa"/>
            <w:vAlign w:val="bottom"/>
          </w:tcPr>
          <w:p>
            <w:pPr>
              <w:spacing w:after="0"/>
              <w:rPr>
                <w:sz w:val="1"/>
                <w:szCs w:val="1"/>
                <w:color w:val="auto"/>
              </w:rPr>
            </w:pPr>
          </w:p>
        </w:tc>
      </w:tr>
      <w:tr>
        <w:trPr>
          <w:trHeight w:val="217"/>
        </w:trPr>
        <w:tc>
          <w:tcPr>
            <w:tcW w:w="5500" w:type="dxa"/>
            <w:vAlign w:val="bottom"/>
            <w:shd w:val="clear" w:color="auto" w:fill="FDFDFC"/>
          </w:tcPr>
          <w:p>
            <w:pPr>
              <w:spacing w:after="0" w:line="217" w:lineRule="exact"/>
              <w:rPr>
                <w:sz w:val="20"/>
                <w:szCs w:val="20"/>
                <w:color w:val="auto"/>
              </w:rPr>
            </w:pPr>
            <w:r>
              <w:rPr>
                <w:rFonts w:ascii="Times New Roman" w:cs="Times New Roman" w:eastAsia="Times New Roman" w:hAnsi="Times New Roman"/>
                <w:sz w:val="19"/>
                <w:szCs w:val="19"/>
                <w:color w:val="231F20"/>
              </w:rPr>
              <w:t>Human Resource Support Services</w:t>
            </w:r>
          </w:p>
        </w:tc>
        <w:tc>
          <w:tcPr>
            <w:tcW w:w="1380" w:type="dxa"/>
            <w:vAlign w:val="bottom"/>
            <w:gridSpan w:val="2"/>
            <w:shd w:val="clear" w:color="auto" w:fill="FDFDFC"/>
          </w:tcPr>
          <w:p>
            <w:pPr>
              <w:jc w:val="right"/>
              <w:ind w:right="100"/>
              <w:spacing w:after="0" w:line="217" w:lineRule="exact"/>
              <w:rPr>
                <w:sz w:val="20"/>
                <w:szCs w:val="20"/>
                <w:color w:val="auto"/>
              </w:rPr>
            </w:pPr>
            <w:r>
              <w:rPr>
                <w:rFonts w:ascii="Times New Roman" w:cs="Times New Roman" w:eastAsia="Times New Roman" w:hAnsi="Times New Roman"/>
                <w:sz w:val="19"/>
                <w:szCs w:val="19"/>
                <w:color w:val="231F20"/>
              </w:rPr>
              <w:t>10.2%</w:t>
            </w:r>
          </w:p>
        </w:tc>
        <w:tc>
          <w:tcPr>
            <w:tcW w:w="1280" w:type="dxa"/>
            <w:vAlign w:val="bottom"/>
            <w:gridSpan w:val="2"/>
            <w:shd w:val="clear" w:color="auto" w:fill="FDFDFC"/>
          </w:tcPr>
          <w:p>
            <w:pPr>
              <w:jc w:val="right"/>
              <w:spacing w:after="0" w:line="217" w:lineRule="exact"/>
              <w:rPr>
                <w:sz w:val="20"/>
                <w:szCs w:val="20"/>
                <w:color w:val="auto"/>
              </w:rPr>
            </w:pPr>
            <w:r>
              <w:rPr>
                <w:rFonts w:ascii="Times New Roman" w:cs="Times New Roman" w:eastAsia="Times New Roman" w:hAnsi="Times New Roman"/>
                <w:sz w:val="19"/>
                <w:szCs w:val="19"/>
                <w:color w:val="231F20"/>
              </w:rPr>
              <w:t>11.2%</w:t>
            </w:r>
          </w:p>
        </w:tc>
        <w:tc>
          <w:tcPr>
            <w:tcW w:w="0" w:type="dxa"/>
            <w:vAlign w:val="bottom"/>
          </w:tcPr>
          <w:p>
            <w:pPr>
              <w:spacing w:after="0"/>
              <w:rPr>
                <w:sz w:val="1"/>
                <w:szCs w:val="1"/>
                <w:color w:val="auto"/>
              </w:rPr>
            </w:pPr>
          </w:p>
        </w:tc>
      </w:tr>
      <w:tr>
        <w:trPr>
          <w:trHeight w:val="217"/>
        </w:trPr>
        <w:tc>
          <w:tcPr>
            <w:tcW w:w="5500" w:type="dxa"/>
            <w:vAlign w:val="bottom"/>
            <w:shd w:val="clear" w:color="auto" w:fill="D0EBF2"/>
          </w:tcPr>
          <w:p>
            <w:pPr>
              <w:spacing w:after="0" w:line="217" w:lineRule="exact"/>
              <w:rPr>
                <w:sz w:val="20"/>
                <w:szCs w:val="20"/>
                <w:color w:val="auto"/>
              </w:rPr>
            </w:pPr>
            <w:r>
              <w:rPr>
                <w:rFonts w:ascii="Times New Roman" w:cs="Times New Roman" w:eastAsia="Times New Roman" w:hAnsi="Times New Roman"/>
                <w:sz w:val="19"/>
                <w:szCs w:val="19"/>
                <w:color w:val="231F20"/>
              </w:rPr>
              <w:t>Insurance</w:t>
            </w:r>
          </w:p>
        </w:tc>
        <w:tc>
          <w:tcPr>
            <w:tcW w:w="1380" w:type="dxa"/>
            <w:vAlign w:val="bottom"/>
            <w:gridSpan w:val="2"/>
            <w:shd w:val="clear" w:color="auto" w:fill="D0EBF2"/>
          </w:tcPr>
          <w:p>
            <w:pPr>
              <w:jc w:val="right"/>
              <w:ind w:right="100"/>
              <w:spacing w:after="0" w:line="217" w:lineRule="exact"/>
              <w:rPr>
                <w:sz w:val="20"/>
                <w:szCs w:val="20"/>
                <w:color w:val="auto"/>
              </w:rPr>
            </w:pPr>
            <w:r>
              <w:rPr>
                <w:rFonts w:ascii="Times New Roman" w:cs="Times New Roman" w:eastAsia="Times New Roman" w:hAnsi="Times New Roman"/>
                <w:sz w:val="19"/>
                <w:szCs w:val="19"/>
                <w:color w:val="231F20"/>
              </w:rPr>
              <w:t>0.2%</w:t>
            </w:r>
          </w:p>
        </w:tc>
        <w:tc>
          <w:tcPr>
            <w:tcW w:w="1280" w:type="dxa"/>
            <w:vAlign w:val="bottom"/>
            <w:gridSpan w:val="2"/>
            <w:shd w:val="clear" w:color="auto" w:fill="D0EBF2"/>
          </w:tcPr>
          <w:p>
            <w:pPr>
              <w:jc w:val="right"/>
              <w:spacing w:after="0" w:line="217" w:lineRule="exact"/>
              <w:rPr>
                <w:sz w:val="20"/>
                <w:szCs w:val="20"/>
                <w:color w:val="auto"/>
              </w:rPr>
            </w:pPr>
            <w:r>
              <w:rPr>
                <w:rFonts w:ascii="Times New Roman" w:cs="Times New Roman" w:eastAsia="Times New Roman" w:hAnsi="Times New Roman"/>
                <w:sz w:val="19"/>
                <w:szCs w:val="19"/>
                <w:color w:val="231F20"/>
              </w:rPr>
              <w:t>0.1%</w:t>
            </w:r>
          </w:p>
        </w:tc>
        <w:tc>
          <w:tcPr>
            <w:tcW w:w="0" w:type="dxa"/>
            <w:vAlign w:val="bottom"/>
          </w:tcPr>
          <w:p>
            <w:pPr>
              <w:spacing w:after="0"/>
              <w:rPr>
                <w:sz w:val="1"/>
                <w:szCs w:val="1"/>
                <w:color w:val="auto"/>
              </w:rPr>
            </w:pPr>
          </w:p>
        </w:tc>
      </w:tr>
      <w:tr>
        <w:trPr>
          <w:trHeight w:val="217"/>
        </w:trPr>
        <w:tc>
          <w:tcPr>
            <w:tcW w:w="5500" w:type="dxa"/>
            <w:vAlign w:val="bottom"/>
            <w:shd w:val="clear" w:color="auto" w:fill="FDFDFC"/>
          </w:tcPr>
          <w:p>
            <w:pPr>
              <w:spacing w:after="0" w:line="217" w:lineRule="exact"/>
              <w:rPr>
                <w:sz w:val="20"/>
                <w:szCs w:val="20"/>
                <w:color w:val="auto"/>
              </w:rPr>
            </w:pPr>
            <w:r>
              <w:rPr>
                <w:rFonts w:ascii="Times New Roman" w:cs="Times New Roman" w:eastAsia="Times New Roman" w:hAnsi="Times New Roman"/>
                <w:sz w:val="19"/>
                <w:szCs w:val="19"/>
                <w:color w:val="231F20"/>
              </w:rPr>
              <w:t>Internet Services</w:t>
            </w:r>
          </w:p>
        </w:tc>
        <w:tc>
          <w:tcPr>
            <w:tcW w:w="1380" w:type="dxa"/>
            <w:vAlign w:val="bottom"/>
            <w:gridSpan w:val="2"/>
            <w:shd w:val="clear" w:color="auto" w:fill="FDFDFC"/>
          </w:tcPr>
          <w:p>
            <w:pPr>
              <w:jc w:val="right"/>
              <w:ind w:right="100"/>
              <w:spacing w:after="0" w:line="217" w:lineRule="exact"/>
              <w:rPr>
                <w:sz w:val="20"/>
                <w:szCs w:val="20"/>
                <w:color w:val="auto"/>
              </w:rPr>
            </w:pPr>
            <w:r>
              <w:rPr>
                <w:rFonts w:ascii="Times New Roman" w:cs="Times New Roman" w:eastAsia="Times New Roman" w:hAnsi="Times New Roman"/>
                <w:sz w:val="19"/>
                <w:szCs w:val="19"/>
                <w:color w:val="231F20"/>
              </w:rPr>
              <w:t>16.4%</w:t>
            </w:r>
          </w:p>
        </w:tc>
        <w:tc>
          <w:tcPr>
            <w:tcW w:w="1280" w:type="dxa"/>
            <w:vAlign w:val="bottom"/>
            <w:gridSpan w:val="2"/>
            <w:shd w:val="clear" w:color="auto" w:fill="FDFDFC"/>
          </w:tcPr>
          <w:p>
            <w:pPr>
              <w:jc w:val="right"/>
              <w:spacing w:after="0" w:line="217" w:lineRule="exact"/>
              <w:rPr>
                <w:sz w:val="20"/>
                <w:szCs w:val="20"/>
                <w:color w:val="auto"/>
              </w:rPr>
            </w:pPr>
            <w:r>
              <w:rPr>
                <w:rFonts w:ascii="Times New Roman" w:cs="Times New Roman" w:eastAsia="Times New Roman" w:hAnsi="Times New Roman"/>
                <w:sz w:val="19"/>
                <w:szCs w:val="19"/>
                <w:color w:val="231F20"/>
              </w:rPr>
              <w:t>15.1%</w:t>
            </w:r>
          </w:p>
        </w:tc>
        <w:tc>
          <w:tcPr>
            <w:tcW w:w="0" w:type="dxa"/>
            <w:vAlign w:val="bottom"/>
          </w:tcPr>
          <w:p>
            <w:pPr>
              <w:spacing w:after="0"/>
              <w:rPr>
                <w:sz w:val="1"/>
                <w:szCs w:val="1"/>
                <w:color w:val="auto"/>
              </w:rPr>
            </w:pPr>
          </w:p>
        </w:tc>
      </w:tr>
      <w:tr>
        <w:trPr>
          <w:trHeight w:val="217"/>
        </w:trPr>
        <w:tc>
          <w:tcPr>
            <w:tcW w:w="5500" w:type="dxa"/>
            <w:vAlign w:val="bottom"/>
            <w:shd w:val="clear" w:color="auto" w:fill="D0EBF2"/>
          </w:tcPr>
          <w:p>
            <w:pPr>
              <w:spacing w:after="0" w:line="217" w:lineRule="exact"/>
              <w:rPr>
                <w:sz w:val="20"/>
                <w:szCs w:val="20"/>
                <w:color w:val="auto"/>
              </w:rPr>
            </w:pPr>
            <w:r>
              <w:rPr>
                <w:rFonts w:ascii="Times New Roman" w:cs="Times New Roman" w:eastAsia="Times New Roman" w:hAnsi="Times New Roman"/>
                <w:sz w:val="19"/>
                <w:szCs w:val="19"/>
                <w:color w:val="231F20"/>
              </w:rPr>
              <w:t>Manufacturing</w:t>
            </w:r>
          </w:p>
        </w:tc>
        <w:tc>
          <w:tcPr>
            <w:tcW w:w="1380" w:type="dxa"/>
            <w:vAlign w:val="bottom"/>
            <w:gridSpan w:val="2"/>
            <w:shd w:val="clear" w:color="auto" w:fill="D0EBF2"/>
          </w:tcPr>
          <w:p>
            <w:pPr>
              <w:jc w:val="right"/>
              <w:ind w:right="100"/>
              <w:spacing w:after="0" w:line="217" w:lineRule="exact"/>
              <w:rPr>
                <w:sz w:val="20"/>
                <w:szCs w:val="20"/>
                <w:color w:val="auto"/>
              </w:rPr>
            </w:pPr>
            <w:r>
              <w:rPr>
                <w:rFonts w:ascii="Times New Roman" w:cs="Times New Roman" w:eastAsia="Times New Roman" w:hAnsi="Times New Roman"/>
                <w:sz w:val="19"/>
                <w:szCs w:val="19"/>
                <w:color w:val="231F20"/>
              </w:rPr>
              <w:t>3.5%</w:t>
            </w:r>
          </w:p>
        </w:tc>
        <w:tc>
          <w:tcPr>
            <w:tcW w:w="1280" w:type="dxa"/>
            <w:vAlign w:val="bottom"/>
            <w:gridSpan w:val="2"/>
            <w:shd w:val="clear" w:color="auto" w:fill="D0EBF2"/>
          </w:tcPr>
          <w:p>
            <w:pPr>
              <w:jc w:val="right"/>
              <w:spacing w:after="0" w:line="217" w:lineRule="exact"/>
              <w:rPr>
                <w:sz w:val="20"/>
                <w:szCs w:val="20"/>
                <w:color w:val="auto"/>
              </w:rPr>
            </w:pPr>
            <w:r>
              <w:rPr>
                <w:rFonts w:ascii="Times New Roman" w:cs="Times New Roman" w:eastAsia="Times New Roman" w:hAnsi="Times New Roman"/>
                <w:sz w:val="19"/>
                <w:szCs w:val="19"/>
                <w:color w:val="231F20"/>
              </w:rPr>
              <w:t>2.5%</w:t>
            </w:r>
          </w:p>
        </w:tc>
        <w:tc>
          <w:tcPr>
            <w:tcW w:w="0" w:type="dxa"/>
            <w:vAlign w:val="bottom"/>
          </w:tcPr>
          <w:p>
            <w:pPr>
              <w:spacing w:after="0"/>
              <w:rPr>
                <w:sz w:val="1"/>
                <w:szCs w:val="1"/>
                <w:color w:val="auto"/>
              </w:rPr>
            </w:pPr>
          </w:p>
        </w:tc>
      </w:tr>
      <w:tr>
        <w:trPr>
          <w:trHeight w:val="217"/>
        </w:trPr>
        <w:tc>
          <w:tcPr>
            <w:tcW w:w="5500" w:type="dxa"/>
            <w:vAlign w:val="bottom"/>
            <w:shd w:val="clear" w:color="auto" w:fill="FDFDFC"/>
          </w:tcPr>
          <w:p>
            <w:pPr>
              <w:spacing w:after="0" w:line="217" w:lineRule="exact"/>
              <w:rPr>
                <w:sz w:val="20"/>
                <w:szCs w:val="20"/>
                <w:color w:val="auto"/>
              </w:rPr>
            </w:pPr>
            <w:r>
              <w:rPr>
                <w:rFonts w:ascii="Times New Roman" w:cs="Times New Roman" w:eastAsia="Times New Roman" w:hAnsi="Times New Roman"/>
                <w:sz w:val="19"/>
                <w:szCs w:val="19"/>
                <w:color w:val="231F20"/>
              </w:rPr>
              <w:t>Marketing Services</w:t>
            </w:r>
          </w:p>
        </w:tc>
        <w:tc>
          <w:tcPr>
            <w:tcW w:w="1380" w:type="dxa"/>
            <w:vAlign w:val="bottom"/>
            <w:gridSpan w:val="2"/>
            <w:shd w:val="clear" w:color="auto" w:fill="FDFDFC"/>
          </w:tcPr>
          <w:p>
            <w:pPr>
              <w:jc w:val="right"/>
              <w:ind w:right="100"/>
              <w:spacing w:after="0" w:line="217" w:lineRule="exact"/>
              <w:rPr>
                <w:sz w:val="20"/>
                <w:szCs w:val="20"/>
                <w:color w:val="auto"/>
              </w:rPr>
            </w:pPr>
            <w:r>
              <w:rPr>
                <w:rFonts w:ascii="Times New Roman" w:cs="Times New Roman" w:eastAsia="Times New Roman" w:hAnsi="Times New Roman"/>
                <w:sz w:val="19"/>
                <w:szCs w:val="19"/>
                <w:color w:val="231F20"/>
              </w:rPr>
              <w:t>0.3%</w:t>
            </w:r>
          </w:p>
        </w:tc>
        <w:tc>
          <w:tcPr>
            <w:tcW w:w="1280" w:type="dxa"/>
            <w:vAlign w:val="bottom"/>
            <w:gridSpan w:val="2"/>
            <w:shd w:val="clear" w:color="auto" w:fill="FDFDFC"/>
          </w:tcPr>
          <w:p>
            <w:pPr>
              <w:jc w:val="right"/>
              <w:spacing w:after="0" w:line="217" w:lineRule="exact"/>
              <w:rPr>
                <w:sz w:val="20"/>
                <w:szCs w:val="20"/>
                <w:color w:val="auto"/>
              </w:rPr>
            </w:pPr>
            <w:r>
              <w:rPr>
                <w:rFonts w:ascii="Times New Roman" w:cs="Times New Roman" w:eastAsia="Times New Roman" w:hAnsi="Times New Roman"/>
                <w:sz w:val="19"/>
                <w:szCs w:val="19"/>
                <w:color w:val="231F20"/>
              </w:rPr>
              <w:t>0.3%</w:t>
            </w:r>
          </w:p>
        </w:tc>
        <w:tc>
          <w:tcPr>
            <w:tcW w:w="0" w:type="dxa"/>
            <w:vAlign w:val="bottom"/>
          </w:tcPr>
          <w:p>
            <w:pPr>
              <w:spacing w:after="0"/>
              <w:rPr>
                <w:sz w:val="1"/>
                <w:szCs w:val="1"/>
                <w:color w:val="auto"/>
              </w:rPr>
            </w:pPr>
          </w:p>
        </w:tc>
      </w:tr>
      <w:tr>
        <w:trPr>
          <w:trHeight w:val="217"/>
        </w:trPr>
        <w:tc>
          <w:tcPr>
            <w:tcW w:w="5500" w:type="dxa"/>
            <w:vAlign w:val="bottom"/>
            <w:shd w:val="clear" w:color="auto" w:fill="D0EBF2"/>
          </w:tcPr>
          <w:p>
            <w:pPr>
              <w:spacing w:after="0" w:line="217" w:lineRule="exact"/>
              <w:rPr>
                <w:sz w:val="20"/>
                <w:szCs w:val="20"/>
                <w:color w:val="auto"/>
              </w:rPr>
            </w:pPr>
            <w:r>
              <w:rPr>
                <w:rFonts w:ascii="Times New Roman" w:cs="Times New Roman" w:eastAsia="Times New Roman" w:hAnsi="Times New Roman"/>
                <w:sz w:val="19"/>
                <w:szCs w:val="19"/>
                <w:color w:val="231F20"/>
              </w:rPr>
              <w:t>Office Products</w:t>
            </w:r>
          </w:p>
        </w:tc>
        <w:tc>
          <w:tcPr>
            <w:tcW w:w="1380" w:type="dxa"/>
            <w:vAlign w:val="bottom"/>
            <w:gridSpan w:val="2"/>
            <w:shd w:val="clear" w:color="auto" w:fill="D0EBF2"/>
          </w:tcPr>
          <w:p>
            <w:pPr>
              <w:jc w:val="right"/>
              <w:ind w:right="100"/>
              <w:spacing w:after="0" w:line="217" w:lineRule="exact"/>
              <w:rPr>
                <w:sz w:val="20"/>
                <w:szCs w:val="20"/>
                <w:color w:val="auto"/>
              </w:rPr>
            </w:pPr>
            <w:r>
              <w:rPr>
                <w:rFonts w:ascii="Times New Roman" w:cs="Times New Roman" w:eastAsia="Times New Roman" w:hAnsi="Times New Roman"/>
                <w:sz w:val="19"/>
                <w:szCs w:val="19"/>
                <w:color w:val="231F20"/>
              </w:rPr>
              <w:t>0.4%</w:t>
            </w:r>
          </w:p>
        </w:tc>
        <w:tc>
          <w:tcPr>
            <w:tcW w:w="1280" w:type="dxa"/>
            <w:vAlign w:val="bottom"/>
            <w:gridSpan w:val="2"/>
            <w:shd w:val="clear" w:color="auto" w:fill="D0EBF2"/>
          </w:tcPr>
          <w:p>
            <w:pPr>
              <w:jc w:val="right"/>
              <w:spacing w:after="0" w:line="217" w:lineRule="exact"/>
              <w:rPr>
                <w:sz w:val="20"/>
                <w:szCs w:val="20"/>
                <w:color w:val="auto"/>
              </w:rPr>
            </w:pPr>
            <w:r>
              <w:rPr>
                <w:rFonts w:ascii="Times New Roman" w:cs="Times New Roman" w:eastAsia="Times New Roman" w:hAnsi="Times New Roman"/>
                <w:sz w:val="19"/>
                <w:szCs w:val="19"/>
                <w:color w:val="231F20"/>
              </w:rPr>
              <w:t>0.5%</w:t>
            </w:r>
          </w:p>
        </w:tc>
        <w:tc>
          <w:tcPr>
            <w:tcW w:w="0" w:type="dxa"/>
            <w:vAlign w:val="bottom"/>
          </w:tcPr>
          <w:p>
            <w:pPr>
              <w:spacing w:after="0"/>
              <w:rPr>
                <w:sz w:val="1"/>
                <w:szCs w:val="1"/>
                <w:color w:val="auto"/>
              </w:rPr>
            </w:pPr>
          </w:p>
        </w:tc>
      </w:tr>
      <w:tr>
        <w:trPr>
          <w:trHeight w:val="217"/>
        </w:trPr>
        <w:tc>
          <w:tcPr>
            <w:tcW w:w="5500" w:type="dxa"/>
            <w:vAlign w:val="bottom"/>
            <w:shd w:val="clear" w:color="auto" w:fill="FDFDFC"/>
          </w:tcPr>
          <w:p>
            <w:pPr>
              <w:spacing w:after="0" w:line="217" w:lineRule="exact"/>
              <w:rPr>
                <w:sz w:val="20"/>
                <w:szCs w:val="20"/>
                <w:color w:val="auto"/>
              </w:rPr>
            </w:pPr>
            <w:r>
              <w:rPr>
                <w:rFonts w:ascii="Times New Roman" w:cs="Times New Roman" w:eastAsia="Times New Roman" w:hAnsi="Times New Roman"/>
                <w:sz w:val="19"/>
                <w:szCs w:val="19"/>
                <w:color w:val="231F20"/>
              </w:rPr>
              <w:t>Oil, Gas and Consumable Fuels</w:t>
            </w:r>
          </w:p>
        </w:tc>
        <w:tc>
          <w:tcPr>
            <w:tcW w:w="1380" w:type="dxa"/>
            <w:vAlign w:val="bottom"/>
            <w:gridSpan w:val="2"/>
            <w:shd w:val="clear" w:color="auto" w:fill="FDFDFC"/>
          </w:tcPr>
          <w:p>
            <w:pPr>
              <w:jc w:val="right"/>
              <w:ind w:right="100"/>
              <w:spacing w:after="0" w:line="217" w:lineRule="exact"/>
              <w:rPr>
                <w:sz w:val="20"/>
                <w:szCs w:val="20"/>
                <w:color w:val="auto"/>
              </w:rPr>
            </w:pPr>
            <w:r>
              <w:rPr>
                <w:rFonts w:ascii="Times New Roman" w:cs="Times New Roman" w:eastAsia="Times New Roman" w:hAnsi="Times New Roman"/>
                <w:sz w:val="19"/>
                <w:szCs w:val="19"/>
                <w:color w:val="231F20"/>
              </w:rPr>
              <w:t>2.7%</w:t>
            </w:r>
          </w:p>
        </w:tc>
        <w:tc>
          <w:tcPr>
            <w:tcW w:w="1280" w:type="dxa"/>
            <w:vAlign w:val="bottom"/>
            <w:gridSpan w:val="2"/>
            <w:shd w:val="clear" w:color="auto" w:fill="FDFDFC"/>
          </w:tcPr>
          <w:p>
            <w:pPr>
              <w:jc w:val="right"/>
              <w:spacing w:after="0" w:line="217" w:lineRule="exact"/>
              <w:rPr>
                <w:sz w:val="20"/>
                <w:szCs w:val="20"/>
                <w:color w:val="auto"/>
              </w:rPr>
            </w:pPr>
            <w:r>
              <w:rPr>
                <w:rFonts w:ascii="Times New Roman" w:cs="Times New Roman" w:eastAsia="Times New Roman" w:hAnsi="Times New Roman"/>
                <w:sz w:val="19"/>
                <w:szCs w:val="19"/>
                <w:color w:val="231F20"/>
              </w:rPr>
              <w:t>4.7%</w:t>
            </w:r>
          </w:p>
        </w:tc>
        <w:tc>
          <w:tcPr>
            <w:tcW w:w="0" w:type="dxa"/>
            <w:vAlign w:val="bottom"/>
          </w:tcPr>
          <w:p>
            <w:pPr>
              <w:spacing w:after="0"/>
              <w:rPr>
                <w:sz w:val="1"/>
                <w:szCs w:val="1"/>
                <w:color w:val="auto"/>
              </w:rPr>
            </w:pPr>
          </w:p>
        </w:tc>
      </w:tr>
      <w:tr>
        <w:trPr>
          <w:trHeight w:val="217"/>
        </w:trPr>
        <w:tc>
          <w:tcPr>
            <w:tcW w:w="5500" w:type="dxa"/>
            <w:vAlign w:val="bottom"/>
            <w:shd w:val="clear" w:color="auto" w:fill="D0EBF2"/>
          </w:tcPr>
          <w:p>
            <w:pPr>
              <w:spacing w:after="0" w:line="217" w:lineRule="exact"/>
              <w:rPr>
                <w:sz w:val="20"/>
                <w:szCs w:val="20"/>
                <w:color w:val="auto"/>
              </w:rPr>
            </w:pPr>
            <w:r>
              <w:rPr>
                <w:rFonts w:ascii="Times New Roman" w:cs="Times New Roman" w:eastAsia="Times New Roman" w:hAnsi="Times New Roman"/>
                <w:sz w:val="19"/>
                <w:szCs w:val="19"/>
                <w:color w:val="231F20"/>
              </w:rPr>
              <w:t>Other</w:t>
            </w:r>
          </w:p>
        </w:tc>
        <w:tc>
          <w:tcPr>
            <w:tcW w:w="1380" w:type="dxa"/>
            <w:vAlign w:val="bottom"/>
            <w:gridSpan w:val="2"/>
            <w:shd w:val="clear" w:color="auto" w:fill="D0EBF2"/>
          </w:tcPr>
          <w:p>
            <w:pPr>
              <w:jc w:val="right"/>
              <w:ind w:right="100"/>
              <w:spacing w:after="0" w:line="217" w:lineRule="exact"/>
              <w:rPr>
                <w:sz w:val="20"/>
                <w:szCs w:val="20"/>
                <w:color w:val="auto"/>
              </w:rPr>
            </w:pPr>
            <w:r>
              <w:rPr>
                <w:rFonts w:ascii="Times New Roman" w:cs="Times New Roman" w:eastAsia="Times New Roman" w:hAnsi="Times New Roman"/>
                <w:sz w:val="19"/>
                <w:szCs w:val="19"/>
                <w:color w:val="231F20"/>
              </w:rPr>
              <w:t>1.9%</w:t>
            </w:r>
          </w:p>
        </w:tc>
        <w:tc>
          <w:tcPr>
            <w:tcW w:w="1280" w:type="dxa"/>
            <w:vAlign w:val="bottom"/>
            <w:gridSpan w:val="2"/>
            <w:shd w:val="clear" w:color="auto" w:fill="D0EBF2"/>
          </w:tcPr>
          <w:p>
            <w:pPr>
              <w:jc w:val="right"/>
              <w:spacing w:after="0" w:line="217" w:lineRule="exact"/>
              <w:rPr>
                <w:sz w:val="20"/>
                <w:szCs w:val="20"/>
                <w:color w:val="auto"/>
              </w:rPr>
            </w:pPr>
            <w:r>
              <w:rPr>
                <w:rFonts w:ascii="Times New Roman" w:cs="Times New Roman" w:eastAsia="Times New Roman" w:hAnsi="Times New Roman"/>
                <w:sz w:val="19"/>
                <w:szCs w:val="19"/>
                <w:color w:val="231F20"/>
              </w:rPr>
              <w:t>2.9%</w:t>
            </w:r>
          </w:p>
        </w:tc>
        <w:tc>
          <w:tcPr>
            <w:tcW w:w="0" w:type="dxa"/>
            <w:vAlign w:val="bottom"/>
          </w:tcPr>
          <w:p>
            <w:pPr>
              <w:spacing w:after="0"/>
              <w:rPr>
                <w:sz w:val="1"/>
                <w:szCs w:val="1"/>
                <w:color w:val="auto"/>
              </w:rPr>
            </w:pPr>
          </w:p>
        </w:tc>
      </w:tr>
      <w:tr>
        <w:trPr>
          <w:trHeight w:val="217"/>
        </w:trPr>
        <w:tc>
          <w:tcPr>
            <w:tcW w:w="5500" w:type="dxa"/>
            <w:vAlign w:val="bottom"/>
            <w:shd w:val="clear" w:color="auto" w:fill="FDFDFC"/>
          </w:tcPr>
          <w:p>
            <w:pPr>
              <w:spacing w:after="0" w:line="217" w:lineRule="exact"/>
              <w:rPr>
                <w:sz w:val="20"/>
                <w:szCs w:val="20"/>
                <w:color w:val="auto"/>
              </w:rPr>
            </w:pPr>
            <w:r>
              <w:rPr>
                <w:rFonts w:ascii="Times New Roman" w:cs="Times New Roman" w:eastAsia="Times New Roman" w:hAnsi="Times New Roman"/>
                <w:sz w:val="19"/>
                <w:szCs w:val="19"/>
                <w:color w:val="231F20"/>
              </w:rPr>
              <w:t>Pharmaceuticals</w:t>
            </w:r>
          </w:p>
        </w:tc>
        <w:tc>
          <w:tcPr>
            <w:tcW w:w="1380" w:type="dxa"/>
            <w:vAlign w:val="bottom"/>
            <w:gridSpan w:val="2"/>
            <w:shd w:val="clear" w:color="auto" w:fill="FDFDFC"/>
          </w:tcPr>
          <w:p>
            <w:pPr>
              <w:jc w:val="right"/>
              <w:ind w:right="100"/>
              <w:spacing w:after="0" w:line="217" w:lineRule="exact"/>
              <w:rPr>
                <w:sz w:val="20"/>
                <w:szCs w:val="20"/>
                <w:color w:val="auto"/>
              </w:rPr>
            </w:pPr>
            <w:r>
              <w:rPr>
                <w:rFonts w:ascii="Times New Roman" w:cs="Times New Roman" w:eastAsia="Times New Roman" w:hAnsi="Times New Roman"/>
                <w:sz w:val="19"/>
                <w:szCs w:val="19"/>
                <w:color w:val="231F20"/>
              </w:rPr>
              <w:t>2.9%</w:t>
            </w:r>
          </w:p>
        </w:tc>
        <w:tc>
          <w:tcPr>
            <w:tcW w:w="1280" w:type="dxa"/>
            <w:vAlign w:val="bottom"/>
            <w:gridSpan w:val="2"/>
            <w:shd w:val="clear" w:color="auto" w:fill="FDFDFC"/>
          </w:tcPr>
          <w:p>
            <w:pPr>
              <w:jc w:val="right"/>
              <w:ind w:right="180"/>
              <w:spacing w:after="0" w:line="217" w:lineRule="exact"/>
              <w:rPr>
                <w:sz w:val="20"/>
                <w:szCs w:val="20"/>
                <w:color w:val="auto"/>
              </w:rPr>
            </w:pPr>
            <w:r>
              <w:rPr>
                <w:rFonts w:ascii="Times New Roman" w:cs="Times New Roman" w:eastAsia="Times New Roman" w:hAnsi="Times New Roman"/>
                <w:sz w:val="19"/>
                <w:szCs w:val="19"/>
                <w:color w:val="231F20"/>
              </w:rPr>
              <w:t>—</w:t>
            </w:r>
          </w:p>
        </w:tc>
        <w:tc>
          <w:tcPr>
            <w:tcW w:w="0" w:type="dxa"/>
            <w:vAlign w:val="bottom"/>
          </w:tcPr>
          <w:p>
            <w:pPr>
              <w:spacing w:after="0"/>
              <w:rPr>
                <w:sz w:val="1"/>
                <w:szCs w:val="1"/>
                <w:color w:val="auto"/>
              </w:rPr>
            </w:pPr>
          </w:p>
        </w:tc>
      </w:tr>
      <w:tr>
        <w:trPr>
          <w:trHeight w:val="217"/>
        </w:trPr>
        <w:tc>
          <w:tcPr>
            <w:tcW w:w="5500" w:type="dxa"/>
            <w:vAlign w:val="bottom"/>
            <w:shd w:val="clear" w:color="auto" w:fill="D0EBF2"/>
          </w:tcPr>
          <w:p>
            <w:pPr>
              <w:spacing w:after="0" w:line="217" w:lineRule="exact"/>
              <w:rPr>
                <w:sz w:val="20"/>
                <w:szCs w:val="20"/>
                <w:color w:val="auto"/>
              </w:rPr>
            </w:pPr>
            <w:r>
              <w:rPr>
                <w:rFonts w:ascii="Times New Roman" w:cs="Times New Roman" w:eastAsia="Times New Roman" w:hAnsi="Times New Roman"/>
                <w:sz w:val="19"/>
                <w:szCs w:val="19"/>
                <w:color w:val="231F20"/>
              </w:rPr>
              <w:t xml:space="preserve">Real Estate </w:t>
            </w:r>
            <w:r>
              <w:rPr>
                <w:rFonts w:ascii="Times New Roman" w:cs="Times New Roman" w:eastAsia="Times New Roman" w:hAnsi="Times New Roman"/>
                <w:sz w:val="24"/>
                <w:szCs w:val="24"/>
                <w:color w:val="231F20"/>
                <w:vertAlign w:val="superscript"/>
              </w:rPr>
              <w:t>(1)</w:t>
            </w:r>
          </w:p>
        </w:tc>
        <w:tc>
          <w:tcPr>
            <w:tcW w:w="1380" w:type="dxa"/>
            <w:vAlign w:val="bottom"/>
            <w:gridSpan w:val="2"/>
            <w:shd w:val="clear" w:color="auto" w:fill="D0EBF2"/>
          </w:tcPr>
          <w:p>
            <w:pPr>
              <w:jc w:val="right"/>
              <w:ind w:right="100"/>
              <w:spacing w:after="0" w:line="217" w:lineRule="exact"/>
              <w:rPr>
                <w:sz w:val="20"/>
                <w:szCs w:val="20"/>
                <w:color w:val="auto"/>
              </w:rPr>
            </w:pPr>
            <w:r>
              <w:rPr>
                <w:rFonts w:ascii="Times New Roman" w:cs="Times New Roman" w:eastAsia="Times New Roman" w:hAnsi="Times New Roman"/>
                <w:sz w:val="19"/>
                <w:szCs w:val="19"/>
                <w:color w:val="231F20"/>
              </w:rPr>
              <w:t>0.0%</w:t>
            </w:r>
          </w:p>
        </w:tc>
        <w:tc>
          <w:tcPr>
            <w:tcW w:w="1280" w:type="dxa"/>
            <w:vAlign w:val="bottom"/>
            <w:gridSpan w:val="2"/>
            <w:shd w:val="clear" w:color="auto" w:fill="D0EBF2"/>
          </w:tcPr>
          <w:p>
            <w:pPr>
              <w:jc w:val="right"/>
              <w:ind w:right="180"/>
              <w:spacing w:after="0" w:line="217" w:lineRule="exact"/>
              <w:rPr>
                <w:sz w:val="20"/>
                <w:szCs w:val="20"/>
                <w:color w:val="auto"/>
              </w:rPr>
            </w:pPr>
            <w:r>
              <w:rPr>
                <w:rFonts w:ascii="Times New Roman" w:cs="Times New Roman" w:eastAsia="Times New Roman" w:hAnsi="Times New Roman"/>
                <w:sz w:val="19"/>
                <w:szCs w:val="19"/>
                <w:color w:val="231F20"/>
              </w:rPr>
              <w:t>—</w:t>
            </w:r>
          </w:p>
        </w:tc>
        <w:tc>
          <w:tcPr>
            <w:tcW w:w="0" w:type="dxa"/>
            <w:vAlign w:val="bottom"/>
          </w:tcPr>
          <w:p>
            <w:pPr>
              <w:spacing w:after="0"/>
              <w:rPr>
                <w:sz w:val="1"/>
                <w:szCs w:val="1"/>
                <w:color w:val="auto"/>
              </w:rPr>
            </w:pPr>
          </w:p>
        </w:tc>
      </w:tr>
      <w:tr>
        <w:trPr>
          <w:trHeight w:val="217"/>
        </w:trPr>
        <w:tc>
          <w:tcPr>
            <w:tcW w:w="5500" w:type="dxa"/>
            <w:vAlign w:val="bottom"/>
            <w:shd w:val="clear" w:color="auto" w:fill="FDFDFC"/>
          </w:tcPr>
          <w:p>
            <w:pPr>
              <w:spacing w:after="0" w:line="217" w:lineRule="exact"/>
              <w:rPr>
                <w:sz w:val="20"/>
                <w:szCs w:val="20"/>
                <w:color w:val="auto"/>
              </w:rPr>
            </w:pPr>
            <w:r>
              <w:rPr>
                <w:rFonts w:ascii="Times New Roman" w:cs="Times New Roman" w:eastAsia="Times New Roman" w:hAnsi="Times New Roman"/>
                <w:sz w:val="19"/>
                <w:szCs w:val="19"/>
                <w:color w:val="231F20"/>
              </w:rPr>
              <w:t>Retail and Consumer Products</w:t>
            </w:r>
          </w:p>
        </w:tc>
        <w:tc>
          <w:tcPr>
            <w:tcW w:w="1380" w:type="dxa"/>
            <w:vAlign w:val="bottom"/>
            <w:gridSpan w:val="2"/>
            <w:shd w:val="clear" w:color="auto" w:fill="FDFDFC"/>
          </w:tcPr>
          <w:p>
            <w:pPr>
              <w:jc w:val="right"/>
              <w:ind w:right="100"/>
              <w:spacing w:after="0" w:line="217" w:lineRule="exact"/>
              <w:rPr>
                <w:sz w:val="20"/>
                <w:szCs w:val="20"/>
                <w:color w:val="auto"/>
              </w:rPr>
            </w:pPr>
            <w:r>
              <w:rPr>
                <w:rFonts w:ascii="Times New Roman" w:cs="Times New Roman" w:eastAsia="Times New Roman" w:hAnsi="Times New Roman"/>
                <w:sz w:val="19"/>
                <w:szCs w:val="19"/>
                <w:color w:val="231F20"/>
              </w:rPr>
              <w:t>9.7%</w:t>
            </w:r>
          </w:p>
        </w:tc>
        <w:tc>
          <w:tcPr>
            <w:tcW w:w="1280" w:type="dxa"/>
            <w:vAlign w:val="bottom"/>
            <w:gridSpan w:val="2"/>
            <w:shd w:val="clear" w:color="auto" w:fill="FDFDFC"/>
          </w:tcPr>
          <w:p>
            <w:pPr>
              <w:jc w:val="right"/>
              <w:spacing w:after="0" w:line="217" w:lineRule="exact"/>
              <w:rPr>
                <w:sz w:val="20"/>
                <w:szCs w:val="20"/>
                <w:color w:val="auto"/>
              </w:rPr>
            </w:pPr>
            <w:r>
              <w:rPr>
                <w:rFonts w:ascii="Times New Roman" w:cs="Times New Roman" w:eastAsia="Times New Roman" w:hAnsi="Times New Roman"/>
                <w:sz w:val="19"/>
                <w:szCs w:val="19"/>
                <w:color w:val="231F20"/>
              </w:rPr>
              <w:t>8.2%</w:t>
            </w:r>
          </w:p>
        </w:tc>
        <w:tc>
          <w:tcPr>
            <w:tcW w:w="0" w:type="dxa"/>
            <w:vAlign w:val="bottom"/>
          </w:tcPr>
          <w:p>
            <w:pPr>
              <w:spacing w:after="0"/>
              <w:rPr>
                <w:sz w:val="1"/>
                <w:szCs w:val="1"/>
                <w:color w:val="auto"/>
              </w:rPr>
            </w:pPr>
          </w:p>
        </w:tc>
      </w:tr>
      <w:tr>
        <w:trPr>
          <w:trHeight w:val="217"/>
        </w:trPr>
        <w:tc>
          <w:tcPr>
            <w:tcW w:w="5500" w:type="dxa"/>
            <w:vAlign w:val="bottom"/>
            <w:shd w:val="clear" w:color="auto" w:fill="D0EBF2"/>
          </w:tcPr>
          <w:p>
            <w:pPr>
              <w:spacing w:after="0" w:line="217" w:lineRule="exact"/>
              <w:rPr>
                <w:sz w:val="20"/>
                <w:szCs w:val="20"/>
                <w:color w:val="auto"/>
              </w:rPr>
            </w:pPr>
            <w:r>
              <w:rPr>
                <w:rFonts w:ascii="Times New Roman" w:cs="Times New Roman" w:eastAsia="Times New Roman" w:hAnsi="Times New Roman"/>
                <w:sz w:val="19"/>
                <w:szCs w:val="19"/>
                <w:color w:val="231F20"/>
              </w:rPr>
              <w:t>Transportation</w:t>
            </w:r>
          </w:p>
        </w:tc>
        <w:tc>
          <w:tcPr>
            <w:tcW w:w="1380" w:type="dxa"/>
            <w:vAlign w:val="bottom"/>
            <w:gridSpan w:val="2"/>
            <w:shd w:val="clear" w:color="auto" w:fill="D0EBF2"/>
          </w:tcPr>
          <w:p>
            <w:pPr>
              <w:jc w:val="right"/>
              <w:ind w:right="100"/>
              <w:spacing w:after="0" w:line="217" w:lineRule="exact"/>
              <w:rPr>
                <w:sz w:val="20"/>
                <w:szCs w:val="20"/>
                <w:color w:val="auto"/>
              </w:rPr>
            </w:pPr>
            <w:r>
              <w:rPr>
                <w:rFonts w:ascii="Times New Roman" w:cs="Times New Roman" w:eastAsia="Times New Roman" w:hAnsi="Times New Roman"/>
                <w:sz w:val="19"/>
                <w:szCs w:val="19"/>
                <w:color w:val="231F20"/>
              </w:rPr>
              <w:t>3.6%</w:t>
            </w:r>
          </w:p>
        </w:tc>
        <w:tc>
          <w:tcPr>
            <w:tcW w:w="1280" w:type="dxa"/>
            <w:vAlign w:val="bottom"/>
            <w:gridSpan w:val="2"/>
            <w:shd w:val="clear" w:color="auto" w:fill="D0EBF2"/>
          </w:tcPr>
          <w:p>
            <w:pPr>
              <w:jc w:val="right"/>
              <w:spacing w:after="0" w:line="217" w:lineRule="exact"/>
              <w:rPr>
                <w:sz w:val="20"/>
                <w:szCs w:val="20"/>
                <w:color w:val="auto"/>
              </w:rPr>
            </w:pPr>
            <w:r>
              <w:rPr>
                <w:rFonts w:ascii="Times New Roman" w:cs="Times New Roman" w:eastAsia="Times New Roman" w:hAnsi="Times New Roman"/>
                <w:sz w:val="19"/>
                <w:szCs w:val="19"/>
                <w:color w:val="231F20"/>
              </w:rPr>
              <w:t>2.1%</w:t>
            </w:r>
          </w:p>
        </w:tc>
        <w:tc>
          <w:tcPr>
            <w:tcW w:w="0" w:type="dxa"/>
            <w:vAlign w:val="bottom"/>
          </w:tcPr>
          <w:p>
            <w:pPr>
              <w:spacing w:after="0"/>
              <w:rPr>
                <w:sz w:val="1"/>
                <w:szCs w:val="1"/>
                <w:color w:val="auto"/>
              </w:rPr>
            </w:pPr>
          </w:p>
        </w:tc>
      </w:tr>
      <w:tr>
        <w:trPr>
          <w:trHeight w:val="20"/>
        </w:trPr>
        <w:tc>
          <w:tcPr>
            <w:tcW w:w="5500" w:type="dxa"/>
            <w:vAlign w:val="bottom"/>
            <w:vMerge w:val="restart"/>
            <w:shd w:val="clear" w:color="auto" w:fill="FDFDFC"/>
          </w:tcPr>
          <w:p>
            <w:pPr>
              <w:ind w:left="180"/>
              <w:spacing w:after="0"/>
              <w:rPr>
                <w:sz w:val="20"/>
                <w:szCs w:val="20"/>
                <w:color w:val="auto"/>
              </w:rPr>
            </w:pPr>
            <w:r>
              <w:rPr>
                <w:rFonts w:ascii="Times New Roman" w:cs="Times New Roman" w:eastAsia="Times New Roman" w:hAnsi="Times New Roman"/>
                <w:sz w:val="19"/>
                <w:szCs w:val="19"/>
                <w:b w:val="1"/>
                <w:bCs w:val="1"/>
                <w:color w:val="231F20"/>
              </w:rPr>
              <w:t>Total</w:t>
            </w:r>
          </w:p>
        </w:tc>
        <w:tc>
          <w:tcPr>
            <w:tcW w:w="1120" w:type="dxa"/>
            <w:vAlign w:val="bottom"/>
            <w:shd w:val="clear" w:color="auto" w:fill="231F2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20" w:type="dxa"/>
            <w:vAlign w:val="bottom"/>
            <w:shd w:val="clear" w:color="auto" w:fill="231F2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5500" w:type="dxa"/>
            <w:vAlign w:val="bottom"/>
            <w:vMerge w:val="continue"/>
            <w:shd w:val="clear" w:color="auto" w:fill="FDFDFC"/>
          </w:tcPr>
          <w:p>
            <w:pPr>
              <w:spacing w:after="0"/>
              <w:rPr>
                <w:sz w:val="17"/>
                <w:szCs w:val="17"/>
                <w:color w:val="auto"/>
              </w:rPr>
            </w:pPr>
          </w:p>
        </w:tc>
        <w:tc>
          <w:tcPr>
            <w:tcW w:w="1380" w:type="dxa"/>
            <w:vAlign w:val="bottom"/>
            <w:gridSpan w:val="2"/>
          </w:tcPr>
          <w:p>
            <w:pPr>
              <w:jc w:val="right"/>
              <w:ind w:right="100"/>
              <w:spacing w:after="0" w:line="206" w:lineRule="exact"/>
              <w:rPr>
                <w:sz w:val="20"/>
                <w:szCs w:val="20"/>
                <w:color w:val="auto"/>
              </w:rPr>
            </w:pPr>
            <w:r>
              <w:rPr>
                <w:rFonts w:ascii="Times New Roman" w:cs="Times New Roman" w:eastAsia="Times New Roman" w:hAnsi="Times New Roman"/>
                <w:sz w:val="19"/>
                <w:szCs w:val="19"/>
                <w:color w:val="231F20"/>
              </w:rPr>
              <w:t>100.0%</w:t>
            </w:r>
          </w:p>
        </w:tc>
        <w:tc>
          <w:tcPr>
            <w:tcW w:w="1280" w:type="dxa"/>
            <w:vAlign w:val="bottom"/>
            <w:gridSpan w:val="2"/>
          </w:tcPr>
          <w:p>
            <w:pPr>
              <w:jc w:val="right"/>
              <w:spacing w:after="0" w:line="206" w:lineRule="exact"/>
              <w:rPr>
                <w:sz w:val="20"/>
                <w:szCs w:val="20"/>
                <w:color w:val="auto"/>
              </w:rPr>
            </w:pPr>
            <w:r>
              <w:rPr>
                <w:rFonts w:ascii="Times New Roman" w:cs="Times New Roman" w:eastAsia="Times New Roman" w:hAnsi="Times New Roman"/>
                <w:sz w:val="19"/>
                <w:szCs w:val="19"/>
                <w:color w:val="231F20"/>
              </w:rPr>
              <w:t>100.0%</w:t>
            </w:r>
          </w:p>
        </w:tc>
        <w:tc>
          <w:tcPr>
            <w:tcW w:w="0" w:type="dxa"/>
            <w:vAlign w:val="bottom"/>
          </w:tcPr>
          <w:p>
            <w:pPr>
              <w:spacing w:after="0"/>
              <w:rPr>
                <w:sz w:val="1"/>
                <w:szCs w:val="1"/>
                <w:color w:val="auto"/>
              </w:rPr>
            </w:pPr>
          </w:p>
        </w:tc>
      </w:tr>
      <w:tr>
        <w:trPr>
          <w:trHeight w:val="20"/>
        </w:trPr>
        <w:tc>
          <w:tcPr>
            <w:tcW w:w="5500" w:type="dxa"/>
            <w:vAlign w:val="bottom"/>
          </w:tcPr>
          <w:p>
            <w:pPr>
              <w:spacing w:after="0" w:line="20" w:lineRule="exact"/>
              <w:rPr>
                <w:sz w:val="1"/>
                <w:szCs w:val="1"/>
                <w:color w:val="auto"/>
              </w:rPr>
            </w:pPr>
          </w:p>
        </w:tc>
        <w:tc>
          <w:tcPr>
            <w:tcW w:w="1120" w:type="dxa"/>
            <w:vAlign w:val="bottom"/>
            <w:tcBorders>
              <w:top w:val="single" w:sz="8" w:color="231F20"/>
              <w:bottom w:val="single" w:sz="8" w:color="231F20"/>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20" w:type="dxa"/>
            <w:vAlign w:val="bottom"/>
            <w:tcBorders>
              <w:top w:val="single" w:sz="8" w:color="231F20"/>
              <w:bottom w:val="single" w:sz="8" w:color="231F20"/>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4141470</wp:posOffset>
                </wp:positionH>
                <wp:positionV relativeFrom="paragraph">
                  <wp:posOffset>-3067050</wp:posOffset>
                </wp:positionV>
                <wp:extent cx="706120" cy="137795"/>
                <wp:wrapNone/>
                <wp:docPr id="9" name="Shape 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06120" cy="137795"/>
                        </a:xfrm>
                        <a:prstGeom prst="rect">
                          <a:avLst/>
                        </a:prstGeom>
                        <a:solidFill>
                          <a:srgbClr val="D0EBF2"/>
                        </a:solidFill>
                      </wps:spPr>
                      <wps:bodyPr/>
                    </wps:wsp>
                  </a:graphicData>
                </a:graphic>
              </wp:anchor>
            </w:drawing>
          </mc:Choice>
          <mc:Fallback>
            <w:pict>
              <v:rect id="Shape 9" o:spid="_x0000_s1034" style="position:absolute;margin-left:326.1pt;margin-top:-241.4999pt;width:55.6pt;height:10.8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0EBF2" stroked="f"/>
            </w:pict>
          </mc:Fallback>
        </mc:AlternateContent>
        <mc:AlternateContent>
          <mc:Choice Requires="wps">
            <w:drawing>
              <wp:anchor simplePos="0" relativeHeight="251657728" behindDoc="1" locked="0" layoutInCell="0" allowOverlap="1">
                <wp:simplePos x="0" y="0"/>
                <wp:positionH relativeFrom="column">
                  <wp:posOffset>4847590</wp:posOffset>
                </wp:positionH>
                <wp:positionV relativeFrom="paragraph">
                  <wp:posOffset>-3072765</wp:posOffset>
                </wp:positionV>
                <wp:extent cx="173990" cy="143510"/>
                <wp:wrapNone/>
                <wp:docPr id="10" name="Shape 1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73990" cy="143510"/>
                        </a:xfrm>
                        <a:prstGeom prst="rect">
                          <a:avLst/>
                        </a:prstGeom>
                        <a:solidFill>
                          <a:srgbClr val="D0EBF2"/>
                        </a:solidFill>
                      </wps:spPr>
                      <wps:bodyPr/>
                    </wps:wsp>
                  </a:graphicData>
                </a:graphic>
              </wp:anchor>
            </w:drawing>
          </mc:Choice>
          <mc:Fallback>
            <w:pict>
              <v:rect id="Shape 10" o:spid="_x0000_s1035" style="position:absolute;margin-left:381.7pt;margin-top:-241.9499pt;width:13.7pt;height:11.3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0EBF2" stroked="f"/>
            </w:pict>
          </mc:Fallback>
        </mc:AlternateContent>
        <mc:AlternateContent>
          <mc:Choice Requires="wps">
            <w:drawing>
              <wp:anchor simplePos="0" relativeHeight="251657728" behindDoc="1" locked="0" layoutInCell="0" allowOverlap="1">
                <wp:simplePos x="0" y="0"/>
                <wp:positionH relativeFrom="column">
                  <wp:posOffset>5021580</wp:posOffset>
                </wp:positionH>
                <wp:positionV relativeFrom="paragraph">
                  <wp:posOffset>-3067050</wp:posOffset>
                </wp:positionV>
                <wp:extent cx="707390" cy="137795"/>
                <wp:wrapNone/>
                <wp:docPr id="11" name="Shape 1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07390" cy="137795"/>
                        </a:xfrm>
                        <a:prstGeom prst="rect">
                          <a:avLst/>
                        </a:prstGeom>
                        <a:solidFill>
                          <a:srgbClr val="D0EBF2"/>
                        </a:solidFill>
                      </wps:spPr>
                      <wps:bodyPr/>
                    </wps:wsp>
                  </a:graphicData>
                </a:graphic>
              </wp:anchor>
            </w:drawing>
          </mc:Choice>
          <mc:Fallback>
            <w:pict>
              <v:rect id="Shape 11" o:spid="_x0000_s1036" style="position:absolute;margin-left:395.4pt;margin-top:-241.4999pt;width:55.7pt;height:10.8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0EBF2" stroked="f"/>
            </w:pict>
          </mc:Fallback>
        </mc:AlternateContent>
        <mc:AlternateContent>
          <mc:Choice Requires="wps">
            <w:drawing>
              <wp:anchor simplePos="0" relativeHeight="251657728" behindDoc="1" locked="0" layoutInCell="0" allowOverlap="1">
                <wp:simplePos x="0" y="0"/>
                <wp:positionH relativeFrom="column">
                  <wp:posOffset>4141470</wp:posOffset>
                </wp:positionH>
                <wp:positionV relativeFrom="paragraph">
                  <wp:posOffset>-164465</wp:posOffset>
                </wp:positionV>
                <wp:extent cx="706120" cy="137795"/>
                <wp:wrapNone/>
                <wp:docPr id="12" name="Shape 1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06120" cy="137795"/>
                        </a:xfrm>
                        <a:prstGeom prst="rect">
                          <a:avLst/>
                        </a:prstGeom>
                        <a:solidFill>
                          <a:srgbClr val="FDFDFC"/>
                        </a:solidFill>
                      </wps:spPr>
                      <wps:bodyPr/>
                    </wps:wsp>
                  </a:graphicData>
                </a:graphic>
              </wp:anchor>
            </w:drawing>
          </mc:Choice>
          <mc:Fallback>
            <w:pict>
              <v:rect id="Shape 12" o:spid="_x0000_s1037" style="position:absolute;margin-left:326.1pt;margin-top:-12.9499pt;width:55.6pt;height:10.8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FDFDFC" stroked="f"/>
            </w:pict>
          </mc:Fallback>
        </mc:AlternateContent>
        <mc:AlternateContent>
          <mc:Choice Requires="wps">
            <w:drawing>
              <wp:anchor simplePos="0" relativeHeight="251657728" behindDoc="1" locked="0" layoutInCell="0" allowOverlap="1">
                <wp:simplePos x="0" y="0"/>
                <wp:positionH relativeFrom="column">
                  <wp:posOffset>4847590</wp:posOffset>
                </wp:positionH>
                <wp:positionV relativeFrom="paragraph">
                  <wp:posOffset>-170815</wp:posOffset>
                </wp:positionV>
                <wp:extent cx="173990" cy="144145"/>
                <wp:wrapNone/>
                <wp:docPr id="13" name="Shape 1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73990" cy="144145"/>
                        </a:xfrm>
                        <a:prstGeom prst="rect">
                          <a:avLst/>
                        </a:prstGeom>
                        <a:solidFill>
                          <a:srgbClr val="FDFDFC"/>
                        </a:solidFill>
                      </wps:spPr>
                      <wps:bodyPr/>
                    </wps:wsp>
                  </a:graphicData>
                </a:graphic>
              </wp:anchor>
            </w:drawing>
          </mc:Choice>
          <mc:Fallback>
            <w:pict>
              <v:rect id="Shape 13" o:spid="_x0000_s1038" style="position:absolute;margin-left:381.7pt;margin-top:-13.4499pt;width:13.7pt;height:11.3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FDFDFC" stroked="f"/>
            </w:pict>
          </mc:Fallback>
        </mc:AlternateContent>
        <mc:AlternateContent>
          <mc:Choice Requires="wps">
            <w:drawing>
              <wp:anchor simplePos="0" relativeHeight="251657728" behindDoc="1" locked="0" layoutInCell="0" allowOverlap="1">
                <wp:simplePos x="0" y="0"/>
                <wp:positionH relativeFrom="column">
                  <wp:posOffset>5021580</wp:posOffset>
                </wp:positionH>
                <wp:positionV relativeFrom="paragraph">
                  <wp:posOffset>-164465</wp:posOffset>
                </wp:positionV>
                <wp:extent cx="707390" cy="137795"/>
                <wp:wrapNone/>
                <wp:docPr id="14" name="Shape 1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07390" cy="137795"/>
                        </a:xfrm>
                        <a:prstGeom prst="rect">
                          <a:avLst/>
                        </a:prstGeom>
                        <a:solidFill>
                          <a:srgbClr val="FDFDFC"/>
                        </a:solidFill>
                      </wps:spPr>
                      <wps:bodyPr/>
                    </wps:wsp>
                  </a:graphicData>
                </a:graphic>
              </wp:anchor>
            </w:drawing>
          </mc:Choice>
          <mc:Fallback>
            <w:pict>
              <v:rect id="Shape 14" o:spid="_x0000_s1039" style="position:absolute;margin-left:395.4pt;margin-top:-12.9499pt;width:55.7pt;height:10.8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FDFDFC" stroked="f"/>
            </w:pict>
          </mc:Fallback>
        </mc:AlternateContent>
      </w:r>
    </w:p>
    <w:p>
      <w:pPr>
        <w:spacing w:after="0"/>
        <w:rPr>
          <w:sz w:val="20"/>
          <w:szCs w:val="20"/>
          <w:color w:val="auto"/>
        </w:rPr>
      </w:pPr>
      <w:r>
        <w:rPr>
          <w:rFonts w:ascii="Times New Roman" w:cs="Times New Roman" w:eastAsia="Times New Roman" w:hAnsi="Times New Roman"/>
          <w:sz w:val="19"/>
          <w:szCs w:val="19"/>
          <w:color w:val="231F20"/>
        </w:rPr>
        <w:t>(1) Value sums to less than 0.1%</w:t>
      </w:r>
    </w:p>
    <w:p>
      <w:pPr>
        <w:spacing w:after="0" w:line="196" w:lineRule="exact"/>
        <w:rPr>
          <w:sz w:val="20"/>
          <w:szCs w:val="20"/>
          <w:color w:val="auto"/>
        </w:rPr>
      </w:pPr>
    </w:p>
    <w:p>
      <w:pPr>
        <w:ind w:firstLine="231"/>
        <w:spacing w:after="0" w:line="275" w:lineRule="auto"/>
        <w:rPr>
          <w:sz w:val="20"/>
          <w:szCs w:val="20"/>
          <w:color w:val="auto"/>
        </w:rPr>
      </w:pPr>
      <w:r>
        <w:rPr>
          <w:rFonts w:ascii="Times New Roman" w:cs="Times New Roman" w:eastAsia="Times New Roman" w:hAnsi="Times New Roman"/>
          <w:sz w:val="19"/>
          <w:szCs w:val="19"/>
          <w:color w:val="231F20"/>
        </w:rPr>
        <w:t>We classify the industries of our portfolio companies by end-market (such as Internet Services, and Business Services) and not by the product or services (such as Software) directed to those end-markets.</w:t>
      </w:r>
    </w:p>
    <w:p>
      <w:pPr>
        <w:sectPr>
          <w:pgSz w:w="12240" w:h="15840" w:orient="portrait"/>
          <w:cols w:equalWidth="0" w:num="1">
            <w:col w:w="10060"/>
          </w:cols>
          <w:pgMar w:left="1020" w:top="1317" w:right="1160" w:bottom="57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9"/>
          <w:szCs w:val="19"/>
          <w:color w:val="231F20"/>
        </w:rPr>
        <w:t>10</w:t>
      </w:r>
    </w:p>
    <w:p>
      <w:pPr>
        <w:sectPr>
          <w:pgSz w:w="12240" w:h="15840" w:orient="portrait"/>
          <w:cols w:equalWidth="0" w:num="1">
            <w:col w:w="10060"/>
          </w:cols>
          <w:pgMar w:left="1020" w:top="1317" w:right="1160" w:bottom="574" w:gutter="0" w:footer="0" w:header="0"/>
          <w:type w:val="continuous"/>
        </w:sectPr>
      </w:pPr>
    </w:p>
    <w:bookmarkStart w:id="10" w:name="page11"/>
    <w:bookmarkEnd w:id="10"/>
    <w:p>
      <w:pPr>
        <w:ind w:left="240"/>
        <w:spacing w:after="0"/>
        <w:rPr>
          <w:sz w:val="20"/>
          <w:szCs w:val="20"/>
          <w:color w:val="auto"/>
        </w:rPr>
      </w:pPr>
      <w:r>
        <w:rPr>
          <w:rFonts w:ascii="Times New Roman" w:cs="Times New Roman" w:eastAsia="Times New Roman" w:hAnsi="Times New Roman"/>
          <w:sz w:val="19"/>
          <w:szCs w:val="19"/>
          <w:color w:val="231F20"/>
        </w:rPr>
        <w:t>The geographic composition of investments at fair value at December 31, 2024 and December 31, 2023 was as follows:</w:t>
      </w:r>
    </w:p>
    <w:p>
      <w:pPr>
        <w:spacing w:after="0" w:line="276" w:lineRule="exact"/>
        <w:rPr>
          <w:sz w:val="20"/>
          <w:szCs w:val="20"/>
          <w:color w:val="auto"/>
        </w:rPr>
      </w:pPr>
    </w:p>
    <w:tbl>
      <w:tblPr>
        <w:tblLayout w:type="fixed"/>
        <w:tblInd w:w="1020" w:type="dxa"/>
        <w:tblCellMar>
          <w:top w:w="0" w:type="dxa"/>
          <w:left w:w="0" w:type="dxa"/>
          <w:bottom w:w="0" w:type="dxa"/>
          <w:right w:w="0" w:type="dxa"/>
        </w:tblCellMar>
      </w:tblPr>
      <w:tr>
        <w:trPr>
          <w:trHeight w:val="172"/>
        </w:trPr>
        <w:tc>
          <w:tcPr>
            <w:tcW w:w="5420" w:type="dxa"/>
            <w:vAlign w:val="bottom"/>
            <w:shd w:val="clear" w:color="auto" w:fill="FDFDFC"/>
          </w:tcPr>
          <w:p>
            <w:pPr>
              <w:spacing w:after="0"/>
              <w:rPr>
                <w:sz w:val="15"/>
                <w:szCs w:val="15"/>
                <w:color w:val="auto"/>
              </w:rPr>
            </w:pPr>
          </w:p>
        </w:tc>
        <w:tc>
          <w:tcPr>
            <w:tcW w:w="1160" w:type="dxa"/>
            <w:vAlign w:val="bottom"/>
            <w:shd w:val="clear" w:color="auto" w:fill="FDFDFC"/>
          </w:tcPr>
          <w:p>
            <w:pPr>
              <w:jc w:val="right"/>
              <w:ind w:right="48"/>
              <w:spacing w:after="0"/>
              <w:rPr>
                <w:sz w:val="20"/>
                <w:szCs w:val="20"/>
                <w:color w:val="auto"/>
              </w:rPr>
            </w:pPr>
            <w:r>
              <w:rPr>
                <w:rFonts w:ascii="Times New Roman" w:cs="Times New Roman" w:eastAsia="Times New Roman" w:hAnsi="Times New Roman"/>
                <w:sz w:val="15"/>
                <w:szCs w:val="15"/>
                <w:b w:val="1"/>
                <w:bCs w:val="1"/>
                <w:color w:val="231F20"/>
              </w:rPr>
              <w:t>December 31,</w:t>
            </w:r>
          </w:p>
        </w:tc>
        <w:tc>
          <w:tcPr>
            <w:tcW w:w="260" w:type="dxa"/>
            <w:vAlign w:val="bottom"/>
            <w:shd w:val="clear" w:color="auto" w:fill="FDFDFC"/>
          </w:tcPr>
          <w:p>
            <w:pPr>
              <w:spacing w:after="0"/>
              <w:rPr>
                <w:sz w:val="15"/>
                <w:szCs w:val="15"/>
                <w:color w:val="auto"/>
              </w:rPr>
            </w:pPr>
          </w:p>
        </w:tc>
        <w:tc>
          <w:tcPr>
            <w:tcW w:w="1320" w:type="dxa"/>
            <w:vAlign w:val="bottom"/>
            <w:gridSpan w:val="2"/>
            <w:shd w:val="clear" w:color="auto" w:fill="FDFDFC"/>
          </w:tcPr>
          <w:p>
            <w:pPr>
              <w:jc w:val="right"/>
              <w:ind w:right="226"/>
              <w:spacing w:after="0"/>
              <w:rPr>
                <w:sz w:val="20"/>
                <w:szCs w:val="20"/>
                <w:color w:val="auto"/>
              </w:rPr>
            </w:pPr>
            <w:r>
              <w:rPr>
                <w:rFonts w:ascii="Times New Roman" w:cs="Times New Roman" w:eastAsia="Times New Roman" w:hAnsi="Times New Roman"/>
                <w:sz w:val="15"/>
                <w:szCs w:val="15"/>
                <w:b w:val="1"/>
                <w:bCs w:val="1"/>
                <w:color w:val="231F20"/>
              </w:rPr>
              <w:t>December 31,</w:t>
            </w:r>
          </w:p>
        </w:tc>
      </w:tr>
      <w:tr>
        <w:trPr>
          <w:trHeight w:val="191"/>
        </w:trPr>
        <w:tc>
          <w:tcPr>
            <w:tcW w:w="5420" w:type="dxa"/>
            <w:vAlign w:val="bottom"/>
            <w:tcBorders>
              <w:bottom w:val="single" w:sz="8" w:color="D0EBF2"/>
            </w:tcBorders>
            <w:shd w:val="clear" w:color="auto" w:fill="FDFDFC"/>
          </w:tcPr>
          <w:p>
            <w:pPr>
              <w:spacing w:after="0"/>
              <w:rPr>
                <w:sz w:val="16"/>
                <w:szCs w:val="16"/>
                <w:color w:val="auto"/>
              </w:rPr>
            </w:pPr>
          </w:p>
        </w:tc>
        <w:tc>
          <w:tcPr>
            <w:tcW w:w="1160" w:type="dxa"/>
            <w:vAlign w:val="bottom"/>
            <w:tcBorders>
              <w:bottom w:val="single" w:sz="8" w:color="231F20"/>
            </w:tcBorders>
            <w:shd w:val="clear" w:color="auto" w:fill="FDFDFC"/>
          </w:tcPr>
          <w:p>
            <w:pPr>
              <w:jc w:val="right"/>
              <w:ind w:right="348"/>
              <w:spacing w:after="0"/>
              <w:rPr>
                <w:sz w:val="20"/>
                <w:szCs w:val="20"/>
                <w:color w:val="auto"/>
              </w:rPr>
            </w:pPr>
            <w:r>
              <w:rPr>
                <w:rFonts w:ascii="Times New Roman" w:cs="Times New Roman" w:eastAsia="Times New Roman" w:hAnsi="Times New Roman"/>
                <w:sz w:val="15"/>
                <w:szCs w:val="15"/>
                <w:b w:val="1"/>
                <w:bCs w:val="1"/>
                <w:color w:val="231F20"/>
              </w:rPr>
              <w:t>2024</w:t>
            </w:r>
          </w:p>
        </w:tc>
        <w:tc>
          <w:tcPr>
            <w:tcW w:w="260" w:type="dxa"/>
            <w:vAlign w:val="bottom"/>
            <w:tcBorders>
              <w:bottom w:val="single" w:sz="8" w:color="D0EBF2"/>
            </w:tcBorders>
            <w:shd w:val="clear" w:color="auto" w:fill="FDFDFC"/>
          </w:tcPr>
          <w:p>
            <w:pPr>
              <w:spacing w:after="0"/>
              <w:rPr>
                <w:sz w:val="16"/>
                <w:szCs w:val="16"/>
                <w:color w:val="auto"/>
              </w:rPr>
            </w:pPr>
          </w:p>
        </w:tc>
        <w:tc>
          <w:tcPr>
            <w:tcW w:w="1140" w:type="dxa"/>
            <w:vAlign w:val="bottom"/>
            <w:tcBorders>
              <w:bottom w:val="single" w:sz="8" w:color="231F20"/>
            </w:tcBorders>
            <w:shd w:val="clear" w:color="auto" w:fill="FDFDFC"/>
          </w:tcPr>
          <w:p>
            <w:pPr>
              <w:jc w:val="right"/>
              <w:ind w:right="328"/>
              <w:spacing w:after="0"/>
              <w:rPr>
                <w:sz w:val="20"/>
                <w:szCs w:val="20"/>
                <w:color w:val="auto"/>
              </w:rPr>
            </w:pPr>
            <w:r>
              <w:rPr>
                <w:rFonts w:ascii="Times New Roman" w:cs="Times New Roman" w:eastAsia="Times New Roman" w:hAnsi="Times New Roman"/>
                <w:sz w:val="15"/>
                <w:szCs w:val="15"/>
                <w:b w:val="1"/>
                <w:bCs w:val="1"/>
                <w:color w:val="231F20"/>
              </w:rPr>
              <w:t>2023</w:t>
            </w:r>
          </w:p>
        </w:tc>
        <w:tc>
          <w:tcPr>
            <w:tcW w:w="180" w:type="dxa"/>
            <w:vAlign w:val="bottom"/>
            <w:tcBorders>
              <w:bottom w:val="single" w:sz="8" w:color="D0EBF2"/>
            </w:tcBorders>
            <w:shd w:val="clear" w:color="auto" w:fill="FDFDFC"/>
          </w:tcPr>
          <w:p>
            <w:pPr>
              <w:spacing w:after="0"/>
              <w:rPr>
                <w:sz w:val="16"/>
                <w:szCs w:val="16"/>
                <w:color w:val="auto"/>
              </w:rPr>
            </w:pPr>
          </w:p>
        </w:tc>
      </w:tr>
      <w:tr>
        <w:trPr>
          <w:trHeight w:val="220"/>
        </w:trPr>
        <w:tc>
          <w:tcPr>
            <w:tcW w:w="5420" w:type="dxa"/>
            <w:vAlign w:val="bottom"/>
            <w:shd w:val="clear" w:color="auto" w:fill="D0EBF2"/>
          </w:tcPr>
          <w:p>
            <w:pPr>
              <w:spacing w:after="0"/>
              <w:rPr>
                <w:sz w:val="20"/>
                <w:szCs w:val="20"/>
                <w:color w:val="auto"/>
              </w:rPr>
            </w:pPr>
            <w:r>
              <w:rPr>
                <w:rFonts w:ascii="Times New Roman" w:cs="Times New Roman" w:eastAsia="Times New Roman" w:hAnsi="Times New Roman"/>
                <w:sz w:val="19"/>
                <w:szCs w:val="19"/>
                <w:color w:val="231F20"/>
              </w:rPr>
              <w:t>United States</w:t>
            </w:r>
          </w:p>
        </w:tc>
        <w:tc>
          <w:tcPr>
            <w:tcW w:w="1160" w:type="dxa"/>
            <w:vAlign w:val="bottom"/>
            <w:shd w:val="clear" w:color="auto" w:fill="D0EBF2"/>
          </w:tcPr>
          <w:p>
            <w:pPr>
              <w:spacing w:after="0"/>
              <w:rPr>
                <w:sz w:val="19"/>
                <w:szCs w:val="19"/>
                <w:color w:val="auto"/>
              </w:rPr>
            </w:pPr>
          </w:p>
        </w:tc>
        <w:tc>
          <w:tcPr>
            <w:tcW w:w="260" w:type="dxa"/>
            <w:vAlign w:val="bottom"/>
            <w:shd w:val="clear" w:color="auto" w:fill="D0EBF2"/>
          </w:tcPr>
          <w:p>
            <w:pPr>
              <w:spacing w:after="0"/>
              <w:rPr>
                <w:sz w:val="19"/>
                <w:szCs w:val="19"/>
                <w:color w:val="auto"/>
              </w:rPr>
            </w:pPr>
          </w:p>
        </w:tc>
        <w:tc>
          <w:tcPr>
            <w:tcW w:w="1140" w:type="dxa"/>
            <w:vAlign w:val="bottom"/>
            <w:shd w:val="clear" w:color="auto" w:fill="D0EBF2"/>
          </w:tcPr>
          <w:p>
            <w:pPr>
              <w:spacing w:after="0"/>
              <w:rPr>
                <w:sz w:val="19"/>
                <w:szCs w:val="19"/>
                <w:color w:val="auto"/>
              </w:rPr>
            </w:pPr>
          </w:p>
        </w:tc>
        <w:tc>
          <w:tcPr>
            <w:tcW w:w="180" w:type="dxa"/>
            <w:vAlign w:val="bottom"/>
            <w:shd w:val="clear" w:color="auto" w:fill="D0EBF2"/>
          </w:tcPr>
          <w:p>
            <w:pPr>
              <w:spacing w:after="0"/>
              <w:rPr>
                <w:sz w:val="19"/>
                <w:szCs w:val="19"/>
                <w:color w:val="auto"/>
              </w:rPr>
            </w:pPr>
          </w:p>
        </w:tc>
      </w:tr>
      <w:tr>
        <w:trPr>
          <w:trHeight w:val="230"/>
        </w:trPr>
        <w:tc>
          <w:tcPr>
            <w:tcW w:w="5420" w:type="dxa"/>
            <w:vAlign w:val="bottom"/>
            <w:shd w:val="clear" w:color="auto" w:fill="FDFDFC"/>
          </w:tcPr>
          <w:p>
            <w:pPr>
              <w:ind w:left="180"/>
              <w:spacing w:after="0"/>
              <w:rPr>
                <w:sz w:val="20"/>
                <w:szCs w:val="20"/>
                <w:color w:val="auto"/>
              </w:rPr>
            </w:pPr>
            <w:r>
              <w:rPr>
                <w:rFonts w:ascii="Times New Roman" w:cs="Times New Roman" w:eastAsia="Times New Roman" w:hAnsi="Times New Roman"/>
                <w:sz w:val="19"/>
                <w:szCs w:val="19"/>
                <w:color w:val="231F20"/>
              </w:rPr>
              <w:t>Midwest</w:t>
            </w:r>
          </w:p>
        </w:tc>
        <w:tc>
          <w:tcPr>
            <w:tcW w:w="1160" w:type="dxa"/>
            <w:vAlign w:val="bottom"/>
            <w:shd w:val="clear" w:color="auto" w:fill="FDFDFC"/>
          </w:tcPr>
          <w:p>
            <w:pPr>
              <w:jc w:val="right"/>
              <w:spacing w:after="0"/>
              <w:rPr>
                <w:sz w:val="20"/>
                <w:szCs w:val="20"/>
                <w:color w:val="auto"/>
              </w:rPr>
            </w:pPr>
            <w:r>
              <w:rPr>
                <w:rFonts w:ascii="Times New Roman" w:cs="Times New Roman" w:eastAsia="Times New Roman" w:hAnsi="Times New Roman"/>
                <w:sz w:val="19"/>
                <w:szCs w:val="19"/>
                <w:color w:val="231F20"/>
              </w:rPr>
              <w:t>14.3</w:t>
            </w:r>
          </w:p>
        </w:tc>
        <w:tc>
          <w:tcPr>
            <w:tcW w:w="260" w:type="dxa"/>
            <w:vAlign w:val="bottom"/>
            <w:shd w:val="clear" w:color="auto" w:fill="FDFDFC"/>
          </w:tcPr>
          <w:p>
            <w:pPr>
              <w:jc w:val="right"/>
              <w:ind w:right="6"/>
              <w:spacing w:after="0"/>
              <w:rPr>
                <w:sz w:val="20"/>
                <w:szCs w:val="20"/>
                <w:color w:val="auto"/>
              </w:rPr>
            </w:pPr>
            <w:r>
              <w:rPr>
                <w:rFonts w:ascii="Times New Roman" w:cs="Times New Roman" w:eastAsia="Times New Roman" w:hAnsi="Times New Roman"/>
                <w:sz w:val="19"/>
                <w:szCs w:val="19"/>
                <w:color w:val="231F20"/>
                <w:w w:val="88"/>
              </w:rPr>
              <w:t>%</w:t>
            </w:r>
          </w:p>
        </w:tc>
        <w:tc>
          <w:tcPr>
            <w:tcW w:w="1140" w:type="dxa"/>
            <w:vAlign w:val="bottom"/>
            <w:shd w:val="clear" w:color="auto" w:fill="FDFDFC"/>
          </w:tcPr>
          <w:p>
            <w:pPr>
              <w:jc w:val="right"/>
              <w:spacing w:after="0"/>
              <w:rPr>
                <w:sz w:val="20"/>
                <w:szCs w:val="20"/>
                <w:color w:val="auto"/>
              </w:rPr>
            </w:pPr>
            <w:r>
              <w:rPr>
                <w:rFonts w:ascii="Times New Roman" w:cs="Times New Roman" w:eastAsia="Times New Roman" w:hAnsi="Times New Roman"/>
                <w:sz w:val="19"/>
                <w:szCs w:val="19"/>
                <w:color w:val="231F20"/>
              </w:rPr>
              <w:t>10.7</w:t>
            </w:r>
          </w:p>
        </w:tc>
        <w:tc>
          <w:tcPr>
            <w:tcW w:w="180" w:type="dxa"/>
            <w:vAlign w:val="bottom"/>
            <w:shd w:val="clear" w:color="auto" w:fill="FDFDFC"/>
          </w:tcPr>
          <w:p>
            <w:pPr>
              <w:jc w:val="right"/>
              <w:spacing w:after="0"/>
              <w:rPr>
                <w:sz w:val="20"/>
                <w:szCs w:val="20"/>
                <w:color w:val="auto"/>
              </w:rPr>
            </w:pPr>
            <w:r>
              <w:rPr>
                <w:rFonts w:ascii="Times New Roman" w:cs="Times New Roman" w:eastAsia="Times New Roman" w:hAnsi="Times New Roman"/>
                <w:sz w:val="19"/>
                <w:szCs w:val="19"/>
                <w:color w:val="231F20"/>
                <w:w w:val="88"/>
              </w:rPr>
              <w:t>%</w:t>
            </w:r>
          </w:p>
        </w:tc>
      </w:tr>
      <w:tr>
        <w:trPr>
          <w:trHeight w:val="230"/>
        </w:trPr>
        <w:tc>
          <w:tcPr>
            <w:tcW w:w="5420" w:type="dxa"/>
            <w:vAlign w:val="bottom"/>
            <w:shd w:val="clear" w:color="auto" w:fill="D0EBF2"/>
          </w:tcPr>
          <w:p>
            <w:pPr>
              <w:ind w:left="180"/>
              <w:spacing w:after="0"/>
              <w:rPr>
                <w:sz w:val="20"/>
                <w:szCs w:val="20"/>
                <w:color w:val="auto"/>
              </w:rPr>
            </w:pPr>
            <w:r>
              <w:rPr>
                <w:rFonts w:ascii="Times New Roman" w:cs="Times New Roman" w:eastAsia="Times New Roman" w:hAnsi="Times New Roman"/>
                <w:sz w:val="19"/>
                <w:szCs w:val="19"/>
                <w:color w:val="231F20"/>
              </w:rPr>
              <w:t>Northeast</w:t>
            </w:r>
          </w:p>
        </w:tc>
        <w:tc>
          <w:tcPr>
            <w:tcW w:w="1160" w:type="dxa"/>
            <w:vAlign w:val="bottom"/>
            <w:shd w:val="clear" w:color="auto" w:fill="D0EBF2"/>
          </w:tcPr>
          <w:p>
            <w:pPr>
              <w:jc w:val="right"/>
              <w:spacing w:after="0"/>
              <w:rPr>
                <w:sz w:val="20"/>
                <w:szCs w:val="20"/>
                <w:color w:val="auto"/>
              </w:rPr>
            </w:pPr>
            <w:r>
              <w:rPr>
                <w:rFonts w:ascii="Times New Roman" w:cs="Times New Roman" w:eastAsia="Times New Roman" w:hAnsi="Times New Roman"/>
                <w:sz w:val="19"/>
                <w:szCs w:val="19"/>
                <w:color w:val="231F20"/>
              </w:rPr>
              <w:t>21.7</w:t>
            </w:r>
          </w:p>
        </w:tc>
        <w:tc>
          <w:tcPr>
            <w:tcW w:w="260" w:type="dxa"/>
            <w:vAlign w:val="bottom"/>
            <w:shd w:val="clear" w:color="auto" w:fill="D0EBF2"/>
          </w:tcPr>
          <w:p>
            <w:pPr>
              <w:jc w:val="right"/>
              <w:ind w:right="6"/>
              <w:spacing w:after="0"/>
              <w:rPr>
                <w:sz w:val="20"/>
                <w:szCs w:val="20"/>
                <w:color w:val="auto"/>
              </w:rPr>
            </w:pPr>
            <w:r>
              <w:rPr>
                <w:rFonts w:ascii="Times New Roman" w:cs="Times New Roman" w:eastAsia="Times New Roman" w:hAnsi="Times New Roman"/>
                <w:sz w:val="19"/>
                <w:szCs w:val="19"/>
                <w:color w:val="231F20"/>
                <w:w w:val="88"/>
              </w:rPr>
              <w:t>%</w:t>
            </w:r>
          </w:p>
        </w:tc>
        <w:tc>
          <w:tcPr>
            <w:tcW w:w="1320" w:type="dxa"/>
            <w:vAlign w:val="bottom"/>
            <w:gridSpan w:val="2"/>
            <w:shd w:val="clear" w:color="auto" w:fill="D0EBF2"/>
          </w:tcPr>
          <w:p>
            <w:pPr>
              <w:jc w:val="right"/>
              <w:spacing w:after="0"/>
              <w:rPr>
                <w:sz w:val="20"/>
                <w:szCs w:val="20"/>
                <w:color w:val="auto"/>
              </w:rPr>
            </w:pPr>
            <w:r>
              <w:rPr>
                <w:rFonts w:ascii="Times New Roman" w:cs="Times New Roman" w:eastAsia="Times New Roman" w:hAnsi="Times New Roman"/>
                <w:sz w:val="19"/>
                <w:szCs w:val="19"/>
                <w:color w:val="231F20"/>
              </w:rPr>
              <w:t>25.4 %</w:t>
            </w:r>
          </w:p>
        </w:tc>
      </w:tr>
      <w:tr>
        <w:trPr>
          <w:trHeight w:val="230"/>
        </w:trPr>
        <w:tc>
          <w:tcPr>
            <w:tcW w:w="5420" w:type="dxa"/>
            <w:vAlign w:val="bottom"/>
            <w:shd w:val="clear" w:color="auto" w:fill="FDFDFC"/>
          </w:tcPr>
          <w:p>
            <w:pPr>
              <w:ind w:left="180"/>
              <w:spacing w:after="0"/>
              <w:rPr>
                <w:sz w:val="20"/>
                <w:szCs w:val="20"/>
                <w:color w:val="auto"/>
              </w:rPr>
            </w:pPr>
            <w:r>
              <w:rPr>
                <w:rFonts w:ascii="Times New Roman" w:cs="Times New Roman" w:eastAsia="Times New Roman" w:hAnsi="Times New Roman"/>
                <w:sz w:val="19"/>
                <w:szCs w:val="19"/>
                <w:color w:val="231F20"/>
              </w:rPr>
              <w:t>South</w:t>
            </w:r>
          </w:p>
        </w:tc>
        <w:tc>
          <w:tcPr>
            <w:tcW w:w="1160" w:type="dxa"/>
            <w:vAlign w:val="bottom"/>
            <w:shd w:val="clear" w:color="auto" w:fill="FDFDFC"/>
          </w:tcPr>
          <w:p>
            <w:pPr>
              <w:jc w:val="right"/>
              <w:spacing w:after="0"/>
              <w:rPr>
                <w:sz w:val="20"/>
                <w:szCs w:val="20"/>
                <w:color w:val="auto"/>
              </w:rPr>
            </w:pPr>
            <w:r>
              <w:rPr>
                <w:rFonts w:ascii="Times New Roman" w:cs="Times New Roman" w:eastAsia="Times New Roman" w:hAnsi="Times New Roman"/>
                <w:sz w:val="19"/>
                <w:szCs w:val="19"/>
                <w:color w:val="231F20"/>
              </w:rPr>
              <w:t>20.6</w:t>
            </w:r>
          </w:p>
        </w:tc>
        <w:tc>
          <w:tcPr>
            <w:tcW w:w="260" w:type="dxa"/>
            <w:vAlign w:val="bottom"/>
            <w:shd w:val="clear" w:color="auto" w:fill="FDFDFC"/>
          </w:tcPr>
          <w:p>
            <w:pPr>
              <w:jc w:val="right"/>
              <w:ind w:right="6"/>
              <w:spacing w:after="0"/>
              <w:rPr>
                <w:sz w:val="20"/>
                <w:szCs w:val="20"/>
                <w:color w:val="auto"/>
              </w:rPr>
            </w:pPr>
            <w:r>
              <w:rPr>
                <w:rFonts w:ascii="Times New Roman" w:cs="Times New Roman" w:eastAsia="Times New Roman" w:hAnsi="Times New Roman"/>
                <w:sz w:val="19"/>
                <w:szCs w:val="19"/>
                <w:color w:val="231F20"/>
                <w:w w:val="88"/>
              </w:rPr>
              <w:t>%</w:t>
            </w:r>
          </w:p>
        </w:tc>
        <w:tc>
          <w:tcPr>
            <w:tcW w:w="1320" w:type="dxa"/>
            <w:vAlign w:val="bottom"/>
            <w:gridSpan w:val="2"/>
            <w:shd w:val="clear" w:color="auto" w:fill="FDFDFC"/>
          </w:tcPr>
          <w:p>
            <w:pPr>
              <w:jc w:val="right"/>
              <w:spacing w:after="0"/>
              <w:rPr>
                <w:sz w:val="20"/>
                <w:szCs w:val="20"/>
                <w:color w:val="auto"/>
              </w:rPr>
            </w:pPr>
            <w:r>
              <w:rPr>
                <w:rFonts w:ascii="Times New Roman" w:cs="Times New Roman" w:eastAsia="Times New Roman" w:hAnsi="Times New Roman"/>
                <w:sz w:val="19"/>
                <w:szCs w:val="19"/>
                <w:color w:val="231F20"/>
              </w:rPr>
              <w:t>20.7 %</w:t>
            </w:r>
          </w:p>
        </w:tc>
      </w:tr>
      <w:tr>
        <w:trPr>
          <w:trHeight w:val="230"/>
        </w:trPr>
        <w:tc>
          <w:tcPr>
            <w:tcW w:w="5420" w:type="dxa"/>
            <w:vAlign w:val="bottom"/>
            <w:shd w:val="clear" w:color="auto" w:fill="D0EBF2"/>
          </w:tcPr>
          <w:p>
            <w:pPr>
              <w:ind w:left="180"/>
              <w:spacing w:after="0"/>
              <w:rPr>
                <w:sz w:val="20"/>
                <w:szCs w:val="20"/>
                <w:color w:val="auto"/>
              </w:rPr>
            </w:pPr>
            <w:r>
              <w:rPr>
                <w:rFonts w:ascii="Times New Roman" w:cs="Times New Roman" w:eastAsia="Times New Roman" w:hAnsi="Times New Roman"/>
                <w:sz w:val="19"/>
                <w:szCs w:val="19"/>
                <w:color w:val="231F20"/>
              </w:rPr>
              <w:t>West</w:t>
            </w:r>
          </w:p>
        </w:tc>
        <w:tc>
          <w:tcPr>
            <w:tcW w:w="1160" w:type="dxa"/>
            <w:vAlign w:val="bottom"/>
            <w:shd w:val="clear" w:color="auto" w:fill="D0EBF2"/>
          </w:tcPr>
          <w:p>
            <w:pPr>
              <w:jc w:val="right"/>
              <w:spacing w:after="0"/>
              <w:rPr>
                <w:sz w:val="20"/>
                <w:szCs w:val="20"/>
                <w:color w:val="auto"/>
              </w:rPr>
            </w:pPr>
            <w:r>
              <w:rPr>
                <w:rFonts w:ascii="Times New Roman" w:cs="Times New Roman" w:eastAsia="Times New Roman" w:hAnsi="Times New Roman"/>
                <w:sz w:val="19"/>
                <w:szCs w:val="19"/>
                <w:color w:val="231F20"/>
              </w:rPr>
              <w:t>28.8</w:t>
            </w:r>
          </w:p>
        </w:tc>
        <w:tc>
          <w:tcPr>
            <w:tcW w:w="260" w:type="dxa"/>
            <w:vAlign w:val="bottom"/>
            <w:shd w:val="clear" w:color="auto" w:fill="D0EBF2"/>
          </w:tcPr>
          <w:p>
            <w:pPr>
              <w:jc w:val="right"/>
              <w:ind w:right="6"/>
              <w:spacing w:after="0"/>
              <w:rPr>
                <w:sz w:val="20"/>
                <w:szCs w:val="20"/>
                <w:color w:val="auto"/>
              </w:rPr>
            </w:pPr>
            <w:r>
              <w:rPr>
                <w:rFonts w:ascii="Times New Roman" w:cs="Times New Roman" w:eastAsia="Times New Roman" w:hAnsi="Times New Roman"/>
                <w:sz w:val="19"/>
                <w:szCs w:val="19"/>
                <w:color w:val="231F20"/>
                <w:w w:val="88"/>
              </w:rPr>
              <w:t>%</w:t>
            </w:r>
          </w:p>
        </w:tc>
        <w:tc>
          <w:tcPr>
            <w:tcW w:w="1320" w:type="dxa"/>
            <w:vAlign w:val="bottom"/>
            <w:gridSpan w:val="2"/>
            <w:shd w:val="clear" w:color="auto" w:fill="D0EBF2"/>
          </w:tcPr>
          <w:p>
            <w:pPr>
              <w:jc w:val="right"/>
              <w:spacing w:after="0"/>
              <w:rPr>
                <w:sz w:val="20"/>
                <w:szCs w:val="20"/>
                <w:color w:val="auto"/>
              </w:rPr>
            </w:pPr>
            <w:r>
              <w:rPr>
                <w:rFonts w:ascii="Times New Roman" w:cs="Times New Roman" w:eastAsia="Times New Roman" w:hAnsi="Times New Roman"/>
                <w:sz w:val="19"/>
                <w:szCs w:val="19"/>
                <w:color w:val="231F20"/>
              </w:rPr>
              <w:t>32.0 %</w:t>
            </w:r>
          </w:p>
        </w:tc>
      </w:tr>
      <w:tr>
        <w:trPr>
          <w:trHeight w:val="230"/>
        </w:trPr>
        <w:tc>
          <w:tcPr>
            <w:tcW w:w="5420" w:type="dxa"/>
            <w:vAlign w:val="bottom"/>
            <w:shd w:val="clear" w:color="auto" w:fill="FDFDFC"/>
          </w:tcPr>
          <w:p>
            <w:pPr>
              <w:spacing w:after="0"/>
              <w:rPr>
                <w:sz w:val="20"/>
                <w:szCs w:val="20"/>
                <w:color w:val="auto"/>
              </w:rPr>
            </w:pPr>
            <w:r>
              <w:rPr>
                <w:rFonts w:ascii="Times New Roman" w:cs="Times New Roman" w:eastAsia="Times New Roman" w:hAnsi="Times New Roman"/>
                <w:sz w:val="19"/>
                <w:szCs w:val="19"/>
                <w:color w:val="231F20"/>
              </w:rPr>
              <w:t>Australia</w:t>
            </w:r>
          </w:p>
        </w:tc>
        <w:tc>
          <w:tcPr>
            <w:tcW w:w="1160" w:type="dxa"/>
            <w:vAlign w:val="bottom"/>
            <w:shd w:val="clear" w:color="auto" w:fill="FDFDFC"/>
          </w:tcPr>
          <w:p>
            <w:pPr>
              <w:jc w:val="right"/>
              <w:spacing w:after="0"/>
              <w:rPr>
                <w:sz w:val="20"/>
                <w:szCs w:val="20"/>
                <w:color w:val="auto"/>
              </w:rPr>
            </w:pPr>
            <w:r>
              <w:rPr>
                <w:rFonts w:ascii="Times New Roman" w:cs="Times New Roman" w:eastAsia="Times New Roman" w:hAnsi="Times New Roman"/>
                <w:sz w:val="19"/>
                <w:szCs w:val="19"/>
                <w:color w:val="231F20"/>
              </w:rPr>
              <w:t>1.1</w:t>
            </w:r>
          </w:p>
        </w:tc>
        <w:tc>
          <w:tcPr>
            <w:tcW w:w="260" w:type="dxa"/>
            <w:vAlign w:val="bottom"/>
            <w:shd w:val="clear" w:color="auto" w:fill="FDFDFC"/>
          </w:tcPr>
          <w:p>
            <w:pPr>
              <w:jc w:val="right"/>
              <w:ind w:right="6"/>
              <w:spacing w:after="0"/>
              <w:rPr>
                <w:sz w:val="20"/>
                <w:szCs w:val="20"/>
                <w:color w:val="auto"/>
              </w:rPr>
            </w:pPr>
            <w:r>
              <w:rPr>
                <w:rFonts w:ascii="Times New Roman" w:cs="Times New Roman" w:eastAsia="Times New Roman" w:hAnsi="Times New Roman"/>
                <w:sz w:val="19"/>
                <w:szCs w:val="19"/>
                <w:color w:val="231F20"/>
                <w:w w:val="88"/>
              </w:rPr>
              <w:t>%</w:t>
            </w:r>
          </w:p>
        </w:tc>
        <w:tc>
          <w:tcPr>
            <w:tcW w:w="1320" w:type="dxa"/>
            <w:vAlign w:val="bottom"/>
            <w:gridSpan w:val="2"/>
            <w:shd w:val="clear" w:color="auto" w:fill="FDFDFC"/>
          </w:tcPr>
          <w:p>
            <w:pPr>
              <w:jc w:val="right"/>
              <w:spacing w:after="0"/>
              <w:rPr>
                <w:sz w:val="20"/>
                <w:szCs w:val="20"/>
                <w:color w:val="auto"/>
              </w:rPr>
            </w:pPr>
            <w:r>
              <w:rPr>
                <w:rFonts w:ascii="Times New Roman" w:cs="Times New Roman" w:eastAsia="Times New Roman" w:hAnsi="Times New Roman"/>
                <w:sz w:val="19"/>
                <w:szCs w:val="19"/>
                <w:color w:val="231F20"/>
              </w:rPr>
              <w:t>1.8 %</w:t>
            </w:r>
          </w:p>
        </w:tc>
      </w:tr>
      <w:tr>
        <w:trPr>
          <w:trHeight w:val="230"/>
        </w:trPr>
        <w:tc>
          <w:tcPr>
            <w:tcW w:w="5420" w:type="dxa"/>
            <w:vAlign w:val="bottom"/>
            <w:shd w:val="clear" w:color="auto" w:fill="D0EBF2"/>
          </w:tcPr>
          <w:p>
            <w:pPr>
              <w:spacing w:after="0"/>
              <w:rPr>
                <w:sz w:val="20"/>
                <w:szCs w:val="20"/>
                <w:color w:val="auto"/>
              </w:rPr>
            </w:pPr>
            <w:r>
              <w:rPr>
                <w:rFonts w:ascii="Times New Roman" w:cs="Times New Roman" w:eastAsia="Times New Roman" w:hAnsi="Times New Roman"/>
                <w:sz w:val="19"/>
                <w:szCs w:val="19"/>
                <w:color w:val="231F20"/>
              </w:rPr>
              <w:t>Canada</w:t>
            </w:r>
          </w:p>
        </w:tc>
        <w:tc>
          <w:tcPr>
            <w:tcW w:w="1160" w:type="dxa"/>
            <w:vAlign w:val="bottom"/>
            <w:shd w:val="clear" w:color="auto" w:fill="D0EBF2"/>
          </w:tcPr>
          <w:p>
            <w:pPr>
              <w:jc w:val="right"/>
              <w:spacing w:after="0"/>
              <w:rPr>
                <w:sz w:val="20"/>
                <w:szCs w:val="20"/>
                <w:color w:val="auto"/>
              </w:rPr>
            </w:pPr>
            <w:r>
              <w:rPr>
                <w:rFonts w:ascii="Times New Roman" w:cs="Times New Roman" w:eastAsia="Times New Roman" w:hAnsi="Times New Roman"/>
                <w:sz w:val="19"/>
                <w:szCs w:val="19"/>
                <w:color w:val="231F20"/>
              </w:rPr>
              <w:t>3.1</w:t>
            </w:r>
          </w:p>
        </w:tc>
        <w:tc>
          <w:tcPr>
            <w:tcW w:w="260" w:type="dxa"/>
            <w:vAlign w:val="bottom"/>
            <w:shd w:val="clear" w:color="auto" w:fill="D0EBF2"/>
          </w:tcPr>
          <w:p>
            <w:pPr>
              <w:jc w:val="right"/>
              <w:ind w:right="6"/>
              <w:spacing w:after="0"/>
              <w:rPr>
                <w:sz w:val="20"/>
                <w:szCs w:val="20"/>
                <w:color w:val="auto"/>
              </w:rPr>
            </w:pPr>
            <w:r>
              <w:rPr>
                <w:rFonts w:ascii="Times New Roman" w:cs="Times New Roman" w:eastAsia="Times New Roman" w:hAnsi="Times New Roman"/>
                <w:sz w:val="19"/>
                <w:szCs w:val="19"/>
                <w:color w:val="231F20"/>
                <w:w w:val="88"/>
              </w:rPr>
              <w:t>%</w:t>
            </w:r>
          </w:p>
        </w:tc>
        <w:tc>
          <w:tcPr>
            <w:tcW w:w="1320" w:type="dxa"/>
            <w:vAlign w:val="bottom"/>
            <w:gridSpan w:val="2"/>
            <w:shd w:val="clear" w:color="auto" w:fill="D0EBF2"/>
          </w:tcPr>
          <w:p>
            <w:pPr>
              <w:jc w:val="right"/>
              <w:spacing w:after="0"/>
              <w:rPr>
                <w:sz w:val="20"/>
                <w:szCs w:val="20"/>
                <w:color w:val="auto"/>
              </w:rPr>
            </w:pPr>
            <w:r>
              <w:rPr>
                <w:rFonts w:ascii="Times New Roman" w:cs="Times New Roman" w:eastAsia="Times New Roman" w:hAnsi="Times New Roman"/>
                <w:sz w:val="19"/>
                <w:szCs w:val="19"/>
                <w:color w:val="231F20"/>
              </w:rPr>
              <w:t>4.5 %</w:t>
            </w:r>
          </w:p>
        </w:tc>
      </w:tr>
      <w:tr>
        <w:trPr>
          <w:trHeight w:val="230"/>
        </w:trPr>
        <w:tc>
          <w:tcPr>
            <w:tcW w:w="5420" w:type="dxa"/>
            <w:vAlign w:val="bottom"/>
            <w:shd w:val="clear" w:color="auto" w:fill="FDFDFC"/>
          </w:tcPr>
          <w:p>
            <w:pPr>
              <w:spacing w:after="0" w:line="230" w:lineRule="exact"/>
              <w:rPr>
                <w:sz w:val="20"/>
                <w:szCs w:val="20"/>
                <w:color w:val="auto"/>
              </w:rPr>
            </w:pPr>
            <w:r>
              <w:rPr>
                <w:rFonts w:ascii="Times New Roman" w:cs="Times New Roman" w:eastAsia="Times New Roman" w:hAnsi="Times New Roman"/>
                <w:sz w:val="19"/>
                <w:szCs w:val="19"/>
                <w:color w:val="231F20"/>
              </w:rPr>
              <w:t xml:space="preserve">Finland </w:t>
            </w:r>
            <w:r>
              <w:rPr>
                <w:rFonts w:ascii="Times New Roman" w:cs="Times New Roman" w:eastAsia="Times New Roman" w:hAnsi="Times New Roman"/>
                <w:sz w:val="24"/>
                <w:szCs w:val="24"/>
                <w:color w:val="231F20"/>
                <w:vertAlign w:val="superscript"/>
              </w:rPr>
              <w:t>(1)</w:t>
            </w:r>
          </w:p>
        </w:tc>
        <w:tc>
          <w:tcPr>
            <w:tcW w:w="1160" w:type="dxa"/>
            <w:vAlign w:val="bottom"/>
            <w:shd w:val="clear" w:color="auto" w:fill="FDFDFC"/>
          </w:tcPr>
          <w:p>
            <w:pPr>
              <w:jc w:val="right"/>
              <w:spacing w:after="0"/>
              <w:rPr>
                <w:sz w:val="20"/>
                <w:szCs w:val="20"/>
                <w:color w:val="auto"/>
              </w:rPr>
            </w:pPr>
            <w:r>
              <w:rPr>
                <w:rFonts w:ascii="Times New Roman" w:cs="Times New Roman" w:eastAsia="Times New Roman" w:hAnsi="Times New Roman"/>
                <w:sz w:val="19"/>
                <w:szCs w:val="19"/>
                <w:color w:val="231F20"/>
              </w:rPr>
              <w:t>0.0</w:t>
            </w:r>
          </w:p>
        </w:tc>
        <w:tc>
          <w:tcPr>
            <w:tcW w:w="260" w:type="dxa"/>
            <w:vAlign w:val="bottom"/>
            <w:shd w:val="clear" w:color="auto" w:fill="FDFDFC"/>
          </w:tcPr>
          <w:p>
            <w:pPr>
              <w:jc w:val="right"/>
              <w:ind w:right="6"/>
              <w:spacing w:after="0"/>
              <w:rPr>
                <w:sz w:val="20"/>
                <w:szCs w:val="20"/>
                <w:color w:val="auto"/>
              </w:rPr>
            </w:pPr>
            <w:r>
              <w:rPr>
                <w:rFonts w:ascii="Times New Roman" w:cs="Times New Roman" w:eastAsia="Times New Roman" w:hAnsi="Times New Roman"/>
                <w:sz w:val="19"/>
                <w:szCs w:val="19"/>
                <w:color w:val="231F20"/>
                <w:w w:val="88"/>
              </w:rPr>
              <w:t>%</w:t>
            </w:r>
          </w:p>
        </w:tc>
        <w:tc>
          <w:tcPr>
            <w:tcW w:w="1320" w:type="dxa"/>
            <w:vAlign w:val="bottom"/>
            <w:gridSpan w:val="2"/>
            <w:shd w:val="clear" w:color="auto" w:fill="FDFDFC"/>
          </w:tcPr>
          <w:p>
            <w:pPr>
              <w:jc w:val="right"/>
              <w:spacing w:after="0"/>
              <w:rPr>
                <w:sz w:val="20"/>
                <w:szCs w:val="20"/>
                <w:color w:val="auto"/>
              </w:rPr>
            </w:pPr>
            <w:r>
              <w:rPr>
                <w:rFonts w:ascii="Times New Roman" w:cs="Times New Roman" w:eastAsia="Times New Roman" w:hAnsi="Times New Roman"/>
                <w:sz w:val="19"/>
                <w:szCs w:val="19"/>
                <w:color w:val="231F20"/>
              </w:rPr>
              <w:t>0.0 %</w:t>
            </w:r>
          </w:p>
        </w:tc>
      </w:tr>
      <w:tr>
        <w:trPr>
          <w:trHeight w:val="230"/>
        </w:trPr>
        <w:tc>
          <w:tcPr>
            <w:tcW w:w="5420" w:type="dxa"/>
            <w:vAlign w:val="bottom"/>
            <w:shd w:val="clear" w:color="auto" w:fill="D0EBF2"/>
          </w:tcPr>
          <w:p>
            <w:pPr>
              <w:spacing w:after="0"/>
              <w:rPr>
                <w:sz w:val="20"/>
                <w:szCs w:val="20"/>
                <w:color w:val="auto"/>
              </w:rPr>
            </w:pPr>
            <w:r>
              <w:rPr>
                <w:rFonts w:ascii="Times New Roman" w:cs="Times New Roman" w:eastAsia="Times New Roman" w:hAnsi="Times New Roman"/>
                <w:sz w:val="19"/>
                <w:szCs w:val="19"/>
                <w:color w:val="231F20"/>
              </w:rPr>
              <w:t>France</w:t>
            </w:r>
          </w:p>
        </w:tc>
        <w:tc>
          <w:tcPr>
            <w:tcW w:w="1160" w:type="dxa"/>
            <w:vAlign w:val="bottom"/>
            <w:shd w:val="clear" w:color="auto" w:fill="D0EBF2"/>
          </w:tcPr>
          <w:p>
            <w:pPr>
              <w:jc w:val="right"/>
              <w:spacing w:after="0"/>
              <w:rPr>
                <w:sz w:val="20"/>
                <w:szCs w:val="20"/>
                <w:color w:val="auto"/>
              </w:rPr>
            </w:pPr>
            <w:r>
              <w:rPr>
                <w:rFonts w:ascii="Times New Roman" w:cs="Times New Roman" w:eastAsia="Times New Roman" w:hAnsi="Times New Roman"/>
                <w:sz w:val="19"/>
                <w:szCs w:val="19"/>
                <w:color w:val="231F20"/>
              </w:rPr>
              <w:t>0.1</w:t>
            </w:r>
          </w:p>
        </w:tc>
        <w:tc>
          <w:tcPr>
            <w:tcW w:w="260" w:type="dxa"/>
            <w:vAlign w:val="bottom"/>
            <w:shd w:val="clear" w:color="auto" w:fill="D0EBF2"/>
          </w:tcPr>
          <w:p>
            <w:pPr>
              <w:jc w:val="right"/>
              <w:ind w:right="6"/>
              <w:spacing w:after="0"/>
              <w:rPr>
                <w:sz w:val="20"/>
                <w:szCs w:val="20"/>
                <w:color w:val="auto"/>
              </w:rPr>
            </w:pPr>
            <w:r>
              <w:rPr>
                <w:rFonts w:ascii="Times New Roman" w:cs="Times New Roman" w:eastAsia="Times New Roman" w:hAnsi="Times New Roman"/>
                <w:sz w:val="19"/>
                <w:szCs w:val="19"/>
                <w:color w:val="231F20"/>
                <w:w w:val="88"/>
              </w:rPr>
              <w:t>%</w:t>
            </w:r>
          </w:p>
        </w:tc>
        <w:tc>
          <w:tcPr>
            <w:tcW w:w="1320" w:type="dxa"/>
            <w:vAlign w:val="bottom"/>
            <w:gridSpan w:val="2"/>
            <w:shd w:val="clear" w:color="auto" w:fill="D0EBF2"/>
          </w:tcPr>
          <w:p>
            <w:pPr>
              <w:jc w:val="right"/>
              <w:ind w:right="106"/>
              <w:spacing w:after="0"/>
              <w:rPr>
                <w:sz w:val="20"/>
                <w:szCs w:val="20"/>
                <w:color w:val="auto"/>
              </w:rPr>
            </w:pPr>
            <w:r>
              <w:rPr>
                <w:rFonts w:ascii="Times New Roman" w:cs="Times New Roman" w:eastAsia="Times New Roman" w:hAnsi="Times New Roman"/>
                <w:sz w:val="19"/>
                <w:szCs w:val="19"/>
                <w:color w:val="231F20"/>
              </w:rPr>
              <w:t>—</w:t>
            </w:r>
          </w:p>
        </w:tc>
      </w:tr>
      <w:tr>
        <w:trPr>
          <w:trHeight w:val="230"/>
        </w:trPr>
        <w:tc>
          <w:tcPr>
            <w:tcW w:w="5420" w:type="dxa"/>
            <w:vAlign w:val="bottom"/>
            <w:shd w:val="clear" w:color="auto" w:fill="FDFDFC"/>
          </w:tcPr>
          <w:p>
            <w:pPr>
              <w:spacing w:after="0"/>
              <w:rPr>
                <w:sz w:val="20"/>
                <w:szCs w:val="20"/>
                <w:color w:val="auto"/>
              </w:rPr>
            </w:pPr>
            <w:r>
              <w:rPr>
                <w:rFonts w:ascii="Times New Roman" w:cs="Times New Roman" w:eastAsia="Times New Roman" w:hAnsi="Times New Roman"/>
                <w:sz w:val="19"/>
                <w:szCs w:val="19"/>
                <w:color w:val="231F20"/>
              </w:rPr>
              <w:t>Germany</w:t>
            </w:r>
          </w:p>
        </w:tc>
        <w:tc>
          <w:tcPr>
            <w:tcW w:w="1160" w:type="dxa"/>
            <w:vAlign w:val="bottom"/>
            <w:shd w:val="clear" w:color="auto" w:fill="FDFDFC"/>
          </w:tcPr>
          <w:p>
            <w:pPr>
              <w:jc w:val="right"/>
              <w:spacing w:after="0"/>
              <w:rPr>
                <w:sz w:val="20"/>
                <w:szCs w:val="20"/>
                <w:color w:val="auto"/>
              </w:rPr>
            </w:pPr>
            <w:r>
              <w:rPr>
                <w:rFonts w:ascii="Times New Roman" w:cs="Times New Roman" w:eastAsia="Times New Roman" w:hAnsi="Times New Roman"/>
                <w:sz w:val="19"/>
                <w:szCs w:val="19"/>
                <w:color w:val="231F20"/>
              </w:rPr>
              <w:t>1.7</w:t>
            </w:r>
          </w:p>
        </w:tc>
        <w:tc>
          <w:tcPr>
            <w:tcW w:w="260" w:type="dxa"/>
            <w:vAlign w:val="bottom"/>
            <w:shd w:val="clear" w:color="auto" w:fill="FDFDFC"/>
          </w:tcPr>
          <w:p>
            <w:pPr>
              <w:jc w:val="right"/>
              <w:ind w:right="6"/>
              <w:spacing w:after="0"/>
              <w:rPr>
                <w:sz w:val="20"/>
                <w:szCs w:val="20"/>
                <w:color w:val="auto"/>
              </w:rPr>
            </w:pPr>
            <w:r>
              <w:rPr>
                <w:rFonts w:ascii="Times New Roman" w:cs="Times New Roman" w:eastAsia="Times New Roman" w:hAnsi="Times New Roman"/>
                <w:sz w:val="19"/>
                <w:szCs w:val="19"/>
                <w:color w:val="231F20"/>
                <w:w w:val="88"/>
              </w:rPr>
              <w:t>%</w:t>
            </w:r>
          </w:p>
        </w:tc>
        <w:tc>
          <w:tcPr>
            <w:tcW w:w="1320" w:type="dxa"/>
            <w:vAlign w:val="bottom"/>
            <w:gridSpan w:val="2"/>
            <w:shd w:val="clear" w:color="auto" w:fill="FDFDFC"/>
          </w:tcPr>
          <w:p>
            <w:pPr>
              <w:jc w:val="right"/>
              <w:spacing w:after="0"/>
              <w:rPr>
                <w:sz w:val="20"/>
                <w:szCs w:val="20"/>
                <w:color w:val="auto"/>
              </w:rPr>
            </w:pPr>
            <w:r>
              <w:rPr>
                <w:rFonts w:ascii="Times New Roman" w:cs="Times New Roman" w:eastAsia="Times New Roman" w:hAnsi="Times New Roman"/>
                <w:sz w:val="19"/>
                <w:szCs w:val="19"/>
                <w:color w:val="231F20"/>
              </w:rPr>
              <w:t>0.3 %</w:t>
            </w:r>
          </w:p>
        </w:tc>
      </w:tr>
      <w:tr>
        <w:trPr>
          <w:trHeight w:val="230"/>
        </w:trPr>
        <w:tc>
          <w:tcPr>
            <w:tcW w:w="5420" w:type="dxa"/>
            <w:vAlign w:val="bottom"/>
            <w:shd w:val="clear" w:color="auto" w:fill="D0EBF2"/>
          </w:tcPr>
          <w:p>
            <w:pPr>
              <w:spacing w:after="0"/>
              <w:rPr>
                <w:sz w:val="20"/>
                <w:szCs w:val="20"/>
                <w:color w:val="auto"/>
              </w:rPr>
            </w:pPr>
            <w:r>
              <w:rPr>
                <w:rFonts w:ascii="Times New Roman" w:cs="Times New Roman" w:eastAsia="Times New Roman" w:hAnsi="Times New Roman"/>
                <w:sz w:val="19"/>
                <w:szCs w:val="19"/>
                <w:color w:val="231F20"/>
              </w:rPr>
              <w:t>Italy</w:t>
            </w:r>
          </w:p>
        </w:tc>
        <w:tc>
          <w:tcPr>
            <w:tcW w:w="1160" w:type="dxa"/>
            <w:vAlign w:val="bottom"/>
            <w:shd w:val="clear" w:color="auto" w:fill="D0EBF2"/>
          </w:tcPr>
          <w:p>
            <w:pPr>
              <w:jc w:val="right"/>
              <w:spacing w:after="0"/>
              <w:rPr>
                <w:sz w:val="20"/>
                <w:szCs w:val="20"/>
                <w:color w:val="auto"/>
              </w:rPr>
            </w:pPr>
            <w:r>
              <w:rPr>
                <w:rFonts w:ascii="Times New Roman" w:cs="Times New Roman" w:eastAsia="Times New Roman" w:hAnsi="Times New Roman"/>
                <w:sz w:val="19"/>
                <w:szCs w:val="19"/>
                <w:color w:val="231F20"/>
              </w:rPr>
              <w:t>0.6</w:t>
            </w:r>
          </w:p>
        </w:tc>
        <w:tc>
          <w:tcPr>
            <w:tcW w:w="260" w:type="dxa"/>
            <w:vAlign w:val="bottom"/>
            <w:shd w:val="clear" w:color="auto" w:fill="D0EBF2"/>
          </w:tcPr>
          <w:p>
            <w:pPr>
              <w:jc w:val="right"/>
              <w:ind w:right="6"/>
              <w:spacing w:after="0"/>
              <w:rPr>
                <w:sz w:val="20"/>
                <w:szCs w:val="20"/>
                <w:color w:val="auto"/>
              </w:rPr>
            </w:pPr>
            <w:r>
              <w:rPr>
                <w:rFonts w:ascii="Times New Roman" w:cs="Times New Roman" w:eastAsia="Times New Roman" w:hAnsi="Times New Roman"/>
                <w:sz w:val="19"/>
                <w:szCs w:val="19"/>
                <w:color w:val="231F20"/>
                <w:w w:val="88"/>
              </w:rPr>
              <w:t>%</w:t>
            </w:r>
          </w:p>
        </w:tc>
        <w:tc>
          <w:tcPr>
            <w:tcW w:w="1320" w:type="dxa"/>
            <w:vAlign w:val="bottom"/>
            <w:gridSpan w:val="2"/>
            <w:shd w:val="clear" w:color="auto" w:fill="D0EBF2"/>
          </w:tcPr>
          <w:p>
            <w:pPr>
              <w:jc w:val="right"/>
              <w:ind w:right="106"/>
              <w:spacing w:after="0"/>
              <w:rPr>
                <w:sz w:val="20"/>
                <w:szCs w:val="20"/>
                <w:color w:val="auto"/>
              </w:rPr>
            </w:pPr>
            <w:r>
              <w:rPr>
                <w:rFonts w:ascii="Times New Roman" w:cs="Times New Roman" w:eastAsia="Times New Roman" w:hAnsi="Times New Roman"/>
                <w:sz w:val="19"/>
                <w:szCs w:val="19"/>
                <w:color w:val="231F20"/>
              </w:rPr>
              <w:t>—</w:t>
            </w:r>
          </w:p>
        </w:tc>
      </w:tr>
      <w:tr>
        <w:trPr>
          <w:trHeight w:val="230"/>
        </w:trPr>
        <w:tc>
          <w:tcPr>
            <w:tcW w:w="5420" w:type="dxa"/>
            <w:vAlign w:val="bottom"/>
            <w:shd w:val="clear" w:color="auto" w:fill="FDFDFC"/>
          </w:tcPr>
          <w:p>
            <w:pPr>
              <w:spacing w:after="0"/>
              <w:rPr>
                <w:sz w:val="20"/>
                <w:szCs w:val="20"/>
                <w:color w:val="auto"/>
              </w:rPr>
            </w:pPr>
            <w:r>
              <w:rPr>
                <w:rFonts w:ascii="Times New Roman" w:cs="Times New Roman" w:eastAsia="Times New Roman" w:hAnsi="Times New Roman"/>
                <w:sz w:val="19"/>
                <w:szCs w:val="19"/>
                <w:color w:val="231F20"/>
              </w:rPr>
              <w:t>Luxembourg</w:t>
            </w:r>
          </w:p>
        </w:tc>
        <w:tc>
          <w:tcPr>
            <w:tcW w:w="1160" w:type="dxa"/>
            <w:vAlign w:val="bottom"/>
            <w:shd w:val="clear" w:color="auto" w:fill="FDFDFC"/>
          </w:tcPr>
          <w:p>
            <w:pPr>
              <w:jc w:val="right"/>
              <w:spacing w:after="0"/>
              <w:rPr>
                <w:sz w:val="20"/>
                <w:szCs w:val="20"/>
                <w:color w:val="auto"/>
              </w:rPr>
            </w:pPr>
            <w:r>
              <w:rPr>
                <w:rFonts w:ascii="Times New Roman" w:cs="Times New Roman" w:eastAsia="Times New Roman" w:hAnsi="Times New Roman"/>
                <w:sz w:val="19"/>
                <w:szCs w:val="19"/>
                <w:color w:val="231F20"/>
              </w:rPr>
              <w:t>—</w:t>
            </w:r>
          </w:p>
        </w:tc>
        <w:tc>
          <w:tcPr>
            <w:tcW w:w="260" w:type="dxa"/>
            <w:vAlign w:val="bottom"/>
            <w:shd w:val="clear" w:color="auto" w:fill="FDFDFC"/>
          </w:tcPr>
          <w:p>
            <w:pPr>
              <w:spacing w:after="0"/>
              <w:rPr>
                <w:sz w:val="20"/>
                <w:szCs w:val="20"/>
                <w:color w:val="auto"/>
              </w:rPr>
            </w:pPr>
          </w:p>
        </w:tc>
        <w:tc>
          <w:tcPr>
            <w:tcW w:w="1320" w:type="dxa"/>
            <w:vAlign w:val="bottom"/>
            <w:gridSpan w:val="2"/>
            <w:shd w:val="clear" w:color="auto" w:fill="FDFDFC"/>
          </w:tcPr>
          <w:p>
            <w:pPr>
              <w:jc w:val="right"/>
              <w:spacing w:after="0"/>
              <w:rPr>
                <w:sz w:val="20"/>
                <w:szCs w:val="20"/>
                <w:color w:val="auto"/>
              </w:rPr>
            </w:pPr>
            <w:r>
              <w:rPr>
                <w:rFonts w:ascii="Times New Roman" w:cs="Times New Roman" w:eastAsia="Times New Roman" w:hAnsi="Times New Roman"/>
                <w:sz w:val="19"/>
                <w:szCs w:val="19"/>
                <w:color w:val="231F20"/>
              </w:rPr>
              <w:t>0.1 %</w:t>
            </w:r>
          </w:p>
        </w:tc>
      </w:tr>
      <w:tr>
        <w:trPr>
          <w:trHeight w:val="230"/>
        </w:trPr>
        <w:tc>
          <w:tcPr>
            <w:tcW w:w="5420" w:type="dxa"/>
            <w:vAlign w:val="bottom"/>
            <w:shd w:val="clear" w:color="auto" w:fill="D0EBF2"/>
          </w:tcPr>
          <w:p>
            <w:pPr>
              <w:spacing w:after="0"/>
              <w:rPr>
                <w:sz w:val="20"/>
                <w:szCs w:val="20"/>
                <w:color w:val="auto"/>
              </w:rPr>
            </w:pPr>
            <w:r>
              <w:rPr>
                <w:rFonts w:ascii="Times New Roman" w:cs="Times New Roman" w:eastAsia="Times New Roman" w:hAnsi="Times New Roman"/>
                <w:sz w:val="19"/>
                <w:szCs w:val="19"/>
                <w:color w:val="231F20"/>
              </w:rPr>
              <w:t>Netherlands</w:t>
            </w:r>
          </w:p>
        </w:tc>
        <w:tc>
          <w:tcPr>
            <w:tcW w:w="1160" w:type="dxa"/>
            <w:vAlign w:val="bottom"/>
            <w:shd w:val="clear" w:color="auto" w:fill="D0EBF2"/>
          </w:tcPr>
          <w:p>
            <w:pPr>
              <w:jc w:val="right"/>
              <w:spacing w:after="0"/>
              <w:rPr>
                <w:sz w:val="20"/>
                <w:szCs w:val="20"/>
                <w:color w:val="auto"/>
              </w:rPr>
            </w:pPr>
            <w:r>
              <w:rPr>
                <w:rFonts w:ascii="Times New Roman" w:cs="Times New Roman" w:eastAsia="Times New Roman" w:hAnsi="Times New Roman"/>
                <w:sz w:val="19"/>
                <w:szCs w:val="19"/>
                <w:color w:val="231F20"/>
              </w:rPr>
              <w:t>0.3</w:t>
            </w:r>
          </w:p>
        </w:tc>
        <w:tc>
          <w:tcPr>
            <w:tcW w:w="260" w:type="dxa"/>
            <w:vAlign w:val="bottom"/>
            <w:shd w:val="clear" w:color="auto" w:fill="D0EBF2"/>
          </w:tcPr>
          <w:p>
            <w:pPr>
              <w:jc w:val="right"/>
              <w:ind w:right="6"/>
              <w:spacing w:after="0"/>
              <w:rPr>
                <w:sz w:val="20"/>
                <w:szCs w:val="20"/>
                <w:color w:val="auto"/>
              </w:rPr>
            </w:pPr>
            <w:r>
              <w:rPr>
                <w:rFonts w:ascii="Times New Roman" w:cs="Times New Roman" w:eastAsia="Times New Roman" w:hAnsi="Times New Roman"/>
                <w:sz w:val="19"/>
                <w:szCs w:val="19"/>
                <w:color w:val="231F20"/>
                <w:w w:val="88"/>
              </w:rPr>
              <w:t>%</w:t>
            </w:r>
          </w:p>
        </w:tc>
        <w:tc>
          <w:tcPr>
            <w:tcW w:w="1320" w:type="dxa"/>
            <w:vAlign w:val="bottom"/>
            <w:gridSpan w:val="2"/>
            <w:shd w:val="clear" w:color="auto" w:fill="D0EBF2"/>
          </w:tcPr>
          <w:p>
            <w:pPr>
              <w:jc w:val="right"/>
              <w:spacing w:after="0"/>
              <w:rPr>
                <w:sz w:val="20"/>
                <w:szCs w:val="20"/>
                <w:color w:val="auto"/>
              </w:rPr>
            </w:pPr>
            <w:r>
              <w:rPr>
                <w:rFonts w:ascii="Times New Roman" w:cs="Times New Roman" w:eastAsia="Times New Roman" w:hAnsi="Times New Roman"/>
                <w:sz w:val="19"/>
                <w:szCs w:val="19"/>
                <w:color w:val="231F20"/>
              </w:rPr>
              <w:t>0.1 %</w:t>
            </w:r>
          </w:p>
        </w:tc>
      </w:tr>
      <w:tr>
        <w:trPr>
          <w:trHeight w:val="230"/>
        </w:trPr>
        <w:tc>
          <w:tcPr>
            <w:tcW w:w="5420" w:type="dxa"/>
            <w:vAlign w:val="bottom"/>
            <w:shd w:val="clear" w:color="auto" w:fill="FDFDFC"/>
          </w:tcPr>
          <w:p>
            <w:pPr>
              <w:spacing w:after="0"/>
              <w:rPr>
                <w:sz w:val="20"/>
                <w:szCs w:val="20"/>
                <w:color w:val="auto"/>
              </w:rPr>
            </w:pPr>
            <w:r>
              <w:rPr>
                <w:rFonts w:ascii="Times New Roman" w:cs="Times New Roman" w:eastAsia="Times New Roman" w:hAnsi="Times New Roman"/>
                <w:sz w:val="19"/>
                <w:szCs w:val="19"/>
                <w:color w:val="231F20"/>
              </w:rPr>
              <w:t>Norway</w:t>
            </w:r>
          </w:p>
        </w:tc>
        <w:tc>
          <w:tcPr>
            <w:tcW w:w="1160" w:type="dxa"/>
            <w:vAlign w:val="bottom"/>
            <w:shd w:val="clear" w:color="auto" w:fill="FDFDFC"/>
          </w:tcPr>
          <w:p>
            <w:pPr>
              <w:jc w:val="right"/>
              <w:spacing w:after="0"/>
              <w:rPr>
                <w:sz w:val="20"/>
                <w:szCs w:val="20"/>
                <w:color w:val="auto"/>
              </w:rPr>
            </w:pPr>
            <w:r>
              <w:rPr>
                <w:rFonts w:ascii="Times New Roman" w:cs="Times New Roman" w:eastAsia="Times New Roman" w:hAnsi="Times New Roman"/>
                <w:sz w:val="19"/>
                <w:szCs w:val="19"/>
                <w:color w:val="231F20"/>
              </w:rPr>
              <w:t>2.8</w:t>
            </w:r>
          </w:p>
        </w:tc>
        <w:tc>
          <w:tcPr>
            <w:tcW w:w="260" w:type="dxa"/>
            <w:vAlign w:val="bottom"/>
            <w:shd w:val="clear" w:color="auto" w:fill="FDFDFC"/>
          </w:tcPr>
          <w:p>
            <w:pPr>
              <w:jc w:val="right"/>
              <w:ind w:right="6"/>
              <w:spacing w:after="0"/>
              <w:rPr>
                <w:sz w:val="20"/>
                <w:szCs w:val="20"/>
                <w:color w:val="auto"/>
              </w:rPr>
            </w:pPr>
            <w:r>
              <w:rPr>
                <w:rFonts w:ascii="Times New Roman" w:cs="Times New Roman" w:eastAsia="Times New Roman" w:hAnsi="Times New Roman"/>
                <w:sz w:val="19"/>
                <w:szCs w:val="19"/>
                <w:color w:val="231F20"/>
                <w:w w:val="88"/>
              </w:rPr>
              <w:t>%</w:t>
            </w:r>
          </w:p>
        </w:tc>
        <w:tc>
          <w:tcPr>
            <w:tcW w:w="1320" w:type="dxa"/>
            <w:vAlign w:val="bottom"/>
            <w:gridSpan w:val="2"/>
            <w:shd w:val="clear" w:color="auto" w:fill="FDFDFC"/>
          </w:tcPr>
          <w:p>
            <w:pPr>
              <w:jc w:val="right"/>
              <w:spacing w:after="0"/>
              <w:rPr>
                <w:sz w:val="20"/>
                <w:szCs w:val="20"/>
                <w:color w:val="auto"/>
              </w:rPr>
            </w:pPr>
            <w:r>
              <w:rPr>
                <w:rFonts w:ascii="Times New Roman" w:cs="Times New Roman" w:eastAsia="Times New Roman" w:hAnsi="Times New Roman"/>
                <w:sz w:val="19"/>
                <w:szCs w:val="19"/>
                <w:color w:val="231F20"/>
              </w:rPr>
              <w:t>1.5 %</w:t>
            </w:r>
          </w:p>
        </w:tc>
      </w:tr>
      <w:tr>
        <w:trPr>
          <w:trHeight w:val="230"/>
        </w:trPr>
        <w:tc>
          <w:tcPr>
            <w:tcW w:w="5420" w:type="dxa"/>
            <w:vAlign w:val="bottom"/>
            <w:shd w:val="clear" w:color="auto" w:fill="D0EBF2"/>
          </w:tcPr>
          <w:p>
            <w:pPr>
              <w:spacing w:after="0"/>
              <w:rPr>
                <w:sz w:val="20"/>
                <w:szCs w:val="20"/>
                <w:color w:val="auto"/>
              </w:rPr>
            </w:pPr>
            <w:r>
              <w:rPr>
                <w:rFonts w:ascii="Times New Roman" w:cs="Times New Roman" w:eastAsia="Times New Roman" w:hAnsi="Times New Roman"/>
                <w:sz w:val="19"/>
                <w:szCs w:val="19"/>
                <w:color w:val="231F20"/>
              </w:rPr>
              <w:t>Sweden</w:t>
            </w:r>
          </w:p>
        </w:tc>
        <w:tc>
          <w:tcPr>
            <w:tcW w:w="1160" w:type="dxa"/>
            <w:vAlign w:val="bottom"/>
            <w:shd w:val="clear" w:color="auto" w:fill="D0EBF2"/>
          </w:tcPr>
          <w:p>
            <w:pPr>
              <w:jc w:val="right"/>
              <w:spacing w:after="0"/>
              <w:rPr>
                <w:sz w:val="20"/>
                <w:szCs w:val="20"/>
                <w:color w:val="auto"/>
              </w:rPr>
            </w:pPr>
            <w:r>
              <w:rPr>
                <w:rFonts w:ascii="Times New Roman" w:cs="Times New Roman" w:eastAsia="Times New Roman" w:hAnsi="Times New Roman"/>
                <w:sz w:val="19"/>
                <w:szCs w:val="19"/>
                <w:color w:val="231F20"/>
              </w:rPr>
              <w:t>0.3</w:t>
            </w:r>
          </w:p>
        </w:tc>
        <w:tc>
          <w:tcPr>
            <w:tcW w:w="260" w:type="dxa"/>
            <w:vAlign w:val="bottom"/>
            <w:shd w:val="clear" w:color="auto" w:fill="D0EBF2"/>
          </w:tcPr>
          <w:p>
            <w:pPr>
              <w:jc w:val="right"/>
              <w:ind w:right="6"/>
              <w:spacing w:after="0"/>
              <w:rPr>
                <w:sz w:val="20"/>
                <w:szCs w:val="20"/>
                <w:color w:val="auto"/>
              </w:rPr>
            </w:pPr>
            <w:r>
              <w:rPr>
                <w:rFonts w:ascii="Times New Roman" w:cs="Times New Roman" w:eastAsia="Times New Roman" w:hAnsi="Times New Roman"/>
                <w:sz w:val="19"/>
                <w:szCs w:val="19"/>
                <w:color w:val="231F20"/>
                <w:w w:val="88"/>
              </w:rPr>
              <w:t>%</w:t>
            </w:r>
          </w:p>
        </w:tc>
        <w:tc>
          <w:tcPr>
            <w:tcW w:w="1320" w:type="dxa"/>
            <w:vAlign w:val="bottom"/>
            <w:gridSpan w:val="2"/>
            <w:shd w:val="clear" w:color="auto" w:fill="D0EBF2"/>
          </w:tcPr>
          <w:p>
            <w:pPr>
              <w:jc w:val="right"/>
              <w:ind w:right="106"/>
              <w:spacing w:after="0"/>
              <w:rPr>
                <w:sz w:val="20"/>
                <w:szCs w:val="20"/>
                <w:color w:val="auto"/>
              </w:rPr>
            </w:pPr>
            <w:r>
              <w:rPr>
                <w:rFonts w:ascii="Times New Roman" w:cs="Times New Roman" w:eastAsia="Times New Roman" w:hAnsi="Times New Roman"/>
                <w:sz w:val="19"/>
                <w:szCs w:val="19"/>
                <w:color w:val="231F20"/>
              </w:rPr>
              <w:t>—</w:t>
            </w:r>
          </w:p>
        </w:tc>
      </w:tr>
      <w:tr>
        <w:trPr>
          <w:trHeight w:val="230"/>
        </w:trPr>
        <w:tc>
          <w:tcPr>
            <w:tcW w:w="5420" w:type="dxa"/>
            <w:vAlign w:val="bottom"/>
            <w:shd w:val="clear" w:color="auto" w:fill="FDFDFC"/>
          </w:tcPr>
          <w:p>
            <w:pPr>
              <w:spacing w:after="0"/>
              <w:rPr>
                <w:sz w:val="20"/>
                <w:szCs w:val="20"/>
                <w:color w:val="auto"/>
              </w:rPr>
            </w:pPr>
            <w:r>
              <w:rPr>
                <w:rFonts w:ascii="Times New Roman" w:cs="Times New Roman" w:eastAsia="Times New Roman" w:hAnsi="Times New Roman"/>
                <w:sz w:val="19"/>
                <w:szCs w:val="19"/>
                <w:color w:val="231F20"/>
              </w:rPr>
              <w:t>United Kingdom</w:t>
            </w:r>
          </w:p>
        </w:tc>
        <w:tc>
          <w:tcPr>
            <w:tcW w:w="1160" w:type="dxa"/>
            <w:vAlign w:val="bottom"/>
            <w:shd w:val="clear" w:color="auto" w:fill="FDFDFC"/>
          </w:tcPr>
          <w:p>
            <w:pPr>
              <w:jc w:val="right"/>
              <w:spacing w:after="0"/>
              <w:rPr>
                <w:sz w:val="20"/>
                <w:szCs w:val="20"/>
                <w:color w:val="auto"/>
              </w:rPr>
            </w:pPr>
            <w:r>
              <w:rPr>
                <w:rFonts w:ascii="Times New Roman" w:cs="Times New Roman" w:eastAsia="Times New Roman" w:hAnsi="Times New Roman"/>
                <w:sz w:val="19"/>
                <w:szCs w:val="19"/>
                <w:color w:val="231F20"/>
              </w:rPr>
              <w:t>4.6</w:t>
            </w:r>
          </w:p>
        </w:tc>
        <w:tc>
          <w:tcPr>
            <w:tcW w:w="260" w:type="dxa"/>
            <w:vAlign w:val="bottom"/>
            <w:shd w:val="clear" w:color="auto" w:fill="FDFDFC"/>
          </w:tcPr>
          <w:p>
            <w:pPr>
              <w:jc w:val="right"/>
              <w:ind w:right="6"/>
              <w:spacing w:after="0"/>
              <w:rPr>
                <w:sz w:val="20"/>
                <w:szCs w:val="20"/>
                <w:color w:val="auto"/>
              </w:rPr>
            </w:pPr>
            <w:r>
              <w:rPr>
                <w:rFonts w:ascii="Times New Roman" w:cs="Times New Roman" w:eastAsia="Times New Roman" w:hAnsi="Times New Roman"/>
                <w:sz w:val="19"/>
                <w:szCs w:val="19"/>
                <w:color w:val="231F20"/>
                <w:w w:val="88"/>
              </w:rPr>
              <w:t>%</w:t>
            </w:r>
          </w:p>
        </w:tc>
        <w:tc>
          <w:tcPr>
            <w:tcW w:w="1320" w:type="dxa"/>
            <w:vAlign w:val="bottom"/>
            <w:gridSpan w:val="2"/>
            <w:shd w:val="clear" w:color="auto" w:fill="FDFDFC"/>
          </w:tcPr>
          <w:p>
            <w:pPr>
              <w:jc w:val="right"/>
              <w:spacing w:after="0"/>
              <w:rPr>
                <w:sz w:val="20"/>
                <w:szCs w:val="20"/>
                <w:color w:val="auto"/>
              </w:rPr>
            </w:pPr>
            <w:r>
              <w:rPr>
                <w:rFonts w:ascii="Times New Roman" w:cs="Times New Roman" w:eastAsia="Times New Roman" w:hAnsi="Times New Roman"/>
                <w:sz w:val="19"/>
                <w:szCs w:val="19"/>
                <w:color w:val="231F20"/>
              </w:rPr>
              <w:t>2.9 %</w:t>
            </w:r>
          </w:p>
        </w:tc>
      </w:tr>
      <w:tr>
        <w:trPr>
          <w:trHeight w:val="220"/>
        </w:trPr>
        <w:tc>
          <w:tcPr>
            <w:tcW w:w="5420" w:type="dxa"/>
            <w:vAlign w:val="bottom"/>
            <w:tcBorders>
              <w:top w:val="single" w:sz="8" w:color="D0EBF2"/>
            </w:tcBorders>
            <w:shd w:val="clear" w:color="auto" w:fill="D0EBF2"/>
          </w:tcPr>
          <w:p>
            <w:pPr>
              <w:ind w:left="180"/>
              <w:spacing w:after="0"/>
              <w:rPr>
                <w:sz w:val="20"/>
                <w:szCs w:val="20"/>
                <w:color w:val="auto"/>
              </w:rPr>
            </w:pPr>
            <w:r>
              <w:rPr>
                <w:rFonts w:ascii="Times New Roman" w:cs="Times New Roman" w:eastAsia="Times New Roman" w:hAnsi="Times New Roman"/>
                <w:sz w:val="19"/>
                <w:szCs w:val="19"/>
                <w:b w:val="1"/>
                <w:bCs w:val="1"/>
                <w:color w:val="231F20"/>
              </w:rPr>
              <w:t>Total</w:t>
            </w:r>
          </w:p>
        </w:tc>
        <w:tc>
          <w:tcPr>
            <w:tcW w:w="1160" w:type="dxa"/>
            <w:vAlign w:val="bottom"/>
            <w:tcBorders>
              <w:top w:val="single" w:sz="8" w:color="231F20"/>
              <w:bottom w:val="single" w:sz="8" w:color="231F20"/>
            </w:tcBorders>
            <w:shd w:val="clear" w:color="auto" w:fill="D0EBF2"/>
          </w:tcPr>
          <w:p>
            <w:pPr>
              <w:jc w:val="right"/>
              <w:spacing w:after="0"/>
              <w:rPr>
                <w:sz w:val="20"/>
                <w:szCs w:val="20"/>
                <w:color w:val="auto"/>
              </w:rPr>
            </w:pPr>
            <w:r>
              <w:rPr>
                <w:rFonts w:ascii="Times New Roman" w:cs="Times New Roman" w:eastAsia="Times New Roman" w:hAnsi="Times New Roman"/>
                <w:sz w:val="19"/>
                <w:szCs w:val="19"/>
                <w:color w:val="231F20"/>
              </w:rPr>
              <w:t>100.0</w:t>
            </w:r>
          </w:p>
        </w:tc>
        <w:tc>
          <w:tcPr>
            <w:tcW w:w="260" w:type="dxa"/>
            <w:vAlign w:val="bottom"/>
            <w:tcBorders>
              <w:top w:val="single" w:sz="8" w:color="D0EBF2"/>
            </w:tcBorders>
            <w:shd w:val="clear" w:color="auto" w:fill="D0EBF2"/>
          </w:tcPr>
          <w:p>
            <w:pPr>
              <w:jc w:val="right"/>
              <w:ind w:right="6"/>
              <w:spacing w:after="0"/>
              <w:rPr>
                <w:sz w:val="20"/>
                <w:szCs w:val="20"/>
                <w:color w:val="auto"/>
              </w:rPr>
            </w:pPr>
            <w:r>
              <w:rPr>
                <w:rFonts w:ascii="Times New Roman" w:cs="Times New Roman" w:eastAsia="Times New Roman" w:hAnsi="Times New Roman"/>
                <w:sz w:val="19"/>
                <w:szCs w:val="19"/>
                <w:color w:val="231F20"/>
                <w:w w:val="88"/>
              </w:rPr>
              <w:t>%</w:t>
            </w:r>
          </w:p>
        </w:tc>
        <w:tc>
          <w:tcPr>
            <w:tcW w:w="1140" w:type="dxa"/>
            <w:vAlign w:val="bottom"/>
            <w:tcBorders>
              <w:top w:val="single" w:sz="8" w:color="231F20"/>
              <w:bottom w:val="single" w:sz="8" w:color="231F20"/>
            </w:tcBorders>
            <w:shd w:val="clear" w:color="auto" w:fill="D0EBF2"/>
          </w:tcPr>
          <w:p>
            <w:pPr>
              <w:jc w:val="right"/>
              <w:spacing w:after="0"/>
              <w:rPr>
                <w:sz w:val="20"/>
                <w:szCs w:val="20"/>
                <w:color w:val="auto"/>
              </w:rPr>
            </w:pPr>
            <w:r>
              <w:rPr>
                <w:rFonts w:ascii="Times New Roman" w:cs="Times New Roman" w:eastAsia="Times New Roman" w:hAnsi="Times New Roman"/>
                <w:sz w:val="19"/>
                <w:szCs w:val="19"/>
                <w:color w:val="231F20"/>
              </w:rPr>
              <w:t>100.0</w:t>
            </w:r>
          </w:p>
        </w:tc>
        <w:tc>
          <w:tcPr>
            <w:tcW w:w="180" w:type="dxa"/>
            <w:vAlign w:val="bottom"/>
            <w:tcBorders>
              <w:top w:val="single" w:sz="8" w:color="D0EBF2"/>
            </w:tcBorders>
            <w:shd w:val="clear" w:color="auto" w:fill="D0EBF2"/>
          </w:tcPr>
          <w:p>
            <w:pPr>
              <w:jc w:val="right"/>
              <w:spacing w:after="0"/>
              <w:rPr>
                <w:sz w:val="20"/>
                <w:szCs w:val="20"/>
                <w:color w:val="auto"/>
              </w:rPr>
            </w:pPr>
            <w:r>
              <w:rPr>
                <w:rFonts w:ascii="Times New Roman" w:cs="Times New Roman" w:eastAsia="Times New Roman" w:hAnsi="Times New Roman"/>
                <w:sz w:val="19"/>
                <w:szCs w:val="19"/>
                <w:color w:val="231F20"/>
                <w:w w:val="88"/>
                <w:shd w:val="clear" w:color="auto" w:fill="D0EBF2"/>
              </w:rPr>
              <w:t>%</w:t>
            </w:r>
          </w:p>
        </w:tc>
      </w:tr>
      <w:tr>
        <w:trPr>
          <w:trHeight w:val="20"/>
        </w:trPr>
        <w:tc>
          <w:tcPr>
            <w:tcW w:w="5420" w:type="dxa"/>
            <w:vAlign w:val="bottom"/>
          </w:tcPr>
          <w:p>
            <w:pPr>
              <w:spacing w:after="0" w:line="20" w:lineRule="exact"/>
              <w:rPr>
                <w:sz w:val="1"/>
                <w:szCs w:val="1"/>
                <w:color w:val="auto"/>
              </w:rPr>
            </w:pPr>
          </w:p>
        </w:tc>
        <w:tc>
          <w:tcPr>
            <w:tcW w:w="1160" w:type="dxa"/>
            <w:vAlign w:val="bottom"/>
            <w:tcBorders>
              <w:bottom w:val="single" w:sz="8" w:color="231F20"/>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40" w:type="dxa"/>
            <w:vAlign w:val="bottom"/>
            <w:tcBorders>
              <w:bottom w:val="single" w:sz="8" w:color="231F20"/>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231F20"/>
        </w:rPr>
        <w:t>(1) Value sums to less than 0.1%</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231F20"/>
        </w:rPr>
        <w:t>Investment Commitments</w:t>
      </w:r>
    </w:p>
    <w:p>
      <w:pPr>
        <w:spacing w:after="0" w:line="108" w:lineRule="exact"/>
        <w:rPr>
          <w:sz w:val="20"/>
          <w:szCs w:val="20"/>
          <w:color w:val="auto"/>
        </w:rPr>
      </w:pPr>
    </w:p>
    <w:p>
      <w:pPr>
        <w:ind w:firstLine="231"/>
        <w:spacing w:after="0" w:line="275" w:lineRule="auto"/>
        <w:rPr>
          <w:sz w:val="20"/>
          <w:szCs w:val="20"/>
          <w:color w:val="auto"/>
        </w:rPr>
      </w:pPr>
      <w:r>
        <w:rPr>
          <w:rFonts w:ascii="Times New Roman" w:cs="Times New Roman" w:eastAsia="Times New Roman" w:hAnsi="Times New Roman"/>
          <w:sz w:val="19"/>
          <w:szCs w:val="19"/>
          <w:color w:val="231F20"/>
        </w:rPr>
        <w:t>As of December 31, 2024 and December 31, 2023, we had the following commitments to fund investments in current portfolio companies:</w:t>
      </w:r>
    </w:p>
    <w:p>
      <w:pPr>
        <w:sectPr>
          <w:pgSz w:w="12240" w:h="15840" w:orient="portrait"/>
          <w:cols w:equalWidth="0" w:num="1">
            <w:col w:w="9820"/>
          </w:cols>
          <w:pgMar w:left="1020" w:top="1317" w:right="1400" w:bottom="57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9"/>
          <w:szCs w:val="19"/>
          <w:color w:val="231F20"/>
        </w:rPr>
        <w:t>11</w:t>
      </w:r>
    </w:p>
    <w:p>
      <w:pPr>
        <w:sectPr>
          <w:pgSz w:w="12240" w:h="15840" w:orient="portrait"/>
          <w:cols w:equalWidth="0" w:num="1">
            <w:col w:w="9820"/>
          </w:cols>
          <w:pgMar w:left="1020" w:top="1317" w:right="1400" w:bottom="574" w:gutter="0" w:footer="0" w:header="0"/>
          <w:type w:val="continuous"/>
        </w:sectPr>
      </w:pPr>
    </w:p>
    <w:bookmarkStart w:id="11" w:name="page12"/>
    <w:bookmarkEnd w:id="11"/>
    <w:tbl>
      <w:tblPr>
        <w:tblLayout w:type="fixed"/>
        <w:tblInd w:w="240" w:type="dxa"/>
        <w:tblCellMar>
          <w:top w:w="0" w:type="dxa"/>
          <w:left w:w="0" w:type="dxa"/>
          <w:bottom w:w="0" w:type="dxa"/>
          <w:right w:w="0" w:type="dxa"/>
        </w:tblCellMar>
      </w:tblPr>
      <w:tr>
        <w:trPr>
          <w:trHeight w:val="187"/>
        </w:trPr>
        <w:tc>
          <w:tcPr>
            <w:tcW w:w="4860" w:type="dxa"/>
            <w:vAlign w:val="bottom"/>
            <w:shd w:val="clear" w:color="auto" w:fill="FDFDFC"/>
          </w:tcPr>
          <w:p>
            <w:pPr>
              <w:spacing w:after="0"/>
              <w:rPr>
                <w:sz w:val="20"/>
                <w:szCs w:val="20"/>
                <w:color w:val="auto"/>
              </w:rPr>
            </w:pPr>
            <w:r>
              <w:rPr>
                <w:rFonts w:ascii="Times New Roman" w:cs="Times New Roman" w:eastAsia="Times New Roman" w:hAnsi="Times New Roman"/>
                <w:sz w:val="15"/>
                <w:szCs w:val="15"/>
                <w:color w:val="231F20"/>
              </w:rPr>
              <w:t>($ in millions)</w:t>
            </w:r>
          </w:p>
        </w:tc>
        <w:tc>
          <w:tcPr>
            <w:tcW w:w="120" w:type="dxa"/>
            <w:vAlign w:val="bottom"/>
            <w:shd w:val="clear" w:color="auto" w:fill="FDFDFC"/>
          </w:tcPr>
          <w:p>
            <w:pPr>
              <w:spacing w:after="0"/>
              <w:rPr>
                <w:sz w:val="16"/>
                <w:szCs w:val="16"/>
                <w:color w:val="auto"/>
              </w:rPr>
            </w:pPr>
          </w:p>
        </w:tc>
        <w:tc>
          <w:tcPr>
            <w:tcW w:w="180" w:type="dxa"/>
            <w:vAlign w:val="bottom"/>
            <w:shd w:val="clear" w:color="auto" w:fill="FDFDFC"/>
          </w:tcPr>
          <w:p>
            <w:pPr>
              <w:spacing w:after="0"/>
              <w:rPr>
                <w:sz w:val="16"/>
                <w:szCs w:val="16"/>
                <w:color w:val="auto"/>
              </w:rPr>
            </w:pPr>
          </w:p>
        </w:tc>
        <w:tc>
          <w:tcPr>
            <w:tcW w:w="1560" w:type="dxa"/>
            <w:vAlign w:val="bottom"/>
            <w:shd w:val="clear" w:color="auto" w:fill="FDFDFC"/>
          </w:tcPr>
          <w:p>
            <w:pPr>
              <w:jc w:val="right"/>
              <w:ind w:right="186"/>
              <w:spacing w:after="0"/>
              <w:rPr>
                <w:sz w:val="20"/>
                <w:szCs w:val="20"/>
                <w:color w:val="auto"/>
              </w:rPr>
            </w:pPr>
            <w:r>
              <w:rPr>
                <w:rFonts w:ascii="Times New Roman" w:cs="Times New Roman" w:eastAsia="Times New Roman" w:hAnsi="Times New Roman"/>
                <w:sz w:val="15"/>
                <w:szCs w:val="15"/>
                <w:b w:val="1"/>
                <w:bCs w:val="1"/>
                <w:color w:val="231F20"/>
              </w:rPr>
              <w:t>December 31, 2024</w:t>
            </w:r>
          </w:p>
        </w:tc>
        <w:tc>
          <w:tcPr>
            <w:tcW w:w="220" w:type="dxa"/>
            <w:vAlign w:val="bottom"/>
            <w:shd w:val="clear" w:color="auto" w:fill="FDFDFC"/>
          </w:tcPr>
          <w:p>
            <w:pPr>
              <w:spacing w:after="0"/>
              <w:rPr>
                <w:sz w:val="16"/>
                <w:szCs w:val="16"/>
                <w:color w:val="auto"/>
              </w:rPr>
            </w:pPr>
          </w:p>
        </w:tc>
        <w:tc>
          <w:tcPr>
            <w:tcW w:w="200" w:type="dxa"/>
            <w:vAlign w:val="bottom"/>
            <w:shd w:val="clear" w:color="auto" w:fill="FDFDFC"/>
          </w:tcPr>
          <w:p>
            <w:pPr>
              <w:spacing w:after="0"/>
              <w:rPr>
                <w:sz w:val="16"/>
                <w:szCs w:val="16"/>
                <w:color w:val="auto"/>
              </w:rPr>
            </w:pPr>
          </w:p>
        </w:tc>
        <w:tc>
          <w:tcPr>
            <w:tcW w:w="1740" w:type="dxa"/>
            <w:vAlign w:val="bottom"/>
            <w:gridSpan w:val="2"/>
            <w:shd w:val="clear" w:color="auto" w:fill="FDFDFC"/>
          </w:tcPr>
          <w:p>
            <w:pPr>
              <w:ind w:left="100"/>
              <w:spacing w:after="0"/>
              <w:rPr>
                <w:sz w:val="20"/>
                <w:szCs w:val="20"/>
                <w:color w:val="auto"/>
              </w:rPr>
            </w:pPr>
            <w:r>
              <w:rPr>
                <w:rFonts w:ascii="Times New Roman" w:cs="Times New Roman" w:eastAsia="Times New Roman" w:hAnsi="Times New Roman"/>
                <w:sz w:val="15"/>
                <w:szCs w:val="15"/>
                <w:b w:val="1"/>
                <w:bCs w:val="1"/>
                <w:color w:val="231F20"/>
              </w:rPr>
              <w:t>December 31, 2023</w:t>
            </w:r>
          </w:p>
        </w:tc>
        <w:tc>
          <w:tcPr>
            <w:tcW w:w="0" w:type="dxa"/>
            <w:vAlign w:val="bottom"/>
          </w:tcPr>
          <w:p>
            <w:pPr>
              <w:spacing w:after="0"/>
              <w:rPr>
                <w:sz w:val="1"/>
                <w:szCs w:val="1"/>
                <w:color w:val="auto"/>
              </w:rPr>
            </w:pPr>
          </w:p>
        </w:tc>
      </w:tr>
      <w:tr>
        <w:trPr>
          <w:trHeight w:val="220"/>
        </w:trPr>
        <w:tc>
          <w:tcPr>
            <w:tcW w:w="4860" w:type="dxa"/>
            <w:vAlign w:val="bottom"/>
            <w:tcBorders>
              <w:top w:val="single" w:sz="8" w:color="D0EBF2"/>
            </w:tcBorders>
            <w:shd w:val="clear" w:color="auto" w:fill="D0EBF2"/>
          </w:tcPr>
          <w:p>
            <w:pPr>
              <w:spacing w:after="0"/>
              <w:rPr>
                <w:sz w:val="20"/>
                <w:szCs w:val="20"/>
                <w:color w:val="auto"/>
              </w:rPr>
            </w:pPr>
            <w:r>
              <w:rPr>
                <w:rFonts w:ascii="Times New Roman" w:cs="Times New Roman" w:eastAsia="Times New Roman" w:hAnsi="Times New Roman"/>
                <w:sz w:val="19"/>
                <w:szCs w:val="19"/>
                <w:color w:val="231F20"/>
              </w:rPr>
              <w:t>Alaska Bidco Oy - Delayed Draw &amp; Revolver</w:t>
            </w:r>
          </w:p>
        </w:tc>
        <w:tc>
          <w:tcPr>
            <w:tcW w:w="120" w:type="dxa"/>
            <w:vAlign w:val="bottom"/>
            <w:tcBorders>
              <w:top w:val="single" w:sz="8" w:color="D0EBF2"/>
            </w:tcBorders>
            <w:shd w:val="clear" w:color="auto" w:fill="D0EBF2"/>
          </w:tcPr>
          <w:p>
            <w:pPr>
              <w:spacing w:after="0"/>
              <w:rPr>
                <w:sz w:val="19"/>
                <w:szCs w:val="19"/>
                <w:color w:val="auto"/>
              </w:rPr>
            </w:pPr>
          </w:p>
        </w:tc>
        <w:tc>
          <w:tcPr>
            <w:tcW w:w="180" w:type="dxa"/>
            <w:vAlign w:val="bottom"/>
            <w:tcBorders>
              <w:top w:val="single" w:sz="8" w:color="231F20"/>
            </w:tcBorders>
            <w:shd w:val="clear" w:color="auto" w:fill="D0EBF2"/>
          </w:tcPr>
          <w:p>
            <w:pPr>
              <w:jc w:val="right"/>
              <w:spacing w:after="0"/>
              <w:rPr>
                <w:sz w:val="20"/>
                <w:szCs w:val="20"/>
                <w:color w:val="auto"/>
              </w:rPr>
            </w:pPr>
            <w:r>
              <w:rPr>
                <w:rFonts w:ascii="Times New Roman" w:cs="Times New Roman" w:eastAsia="Times New Roman" w:hAnsi="Times New Roman"/>
                <w:sz w:val="19"/>
                <w:szCs w:val="19"/>
                <w:color w:val="231F20"/>
                <w:w w:val="83"/>
              </w:rPr>
              <w:t>$</w:t>
            </w:r>
          </w:p>
        </w:tc>
        <w:tc>
          <w:tcPr>
            <w:tcW w:w="1560" w:type="dxa"/>
            <w:vAlign w:val="bottom"/>
            <w:tcBorders>
              <w:top w:val="single" w:sz="8" w:color="231F20"/>
            </w:tcBorders>
            <w:shd w:val="clear" w:color="auto" w:fill="D0EBF2"/>
          </w:tcPr>
          <w:p>
            <w:pPr>
              <w:jc w:val="right"/>
              <w:spacing w:after="0"/>
              <w:rPr>
                <w:sz w:val="20"/>
                <w:szCs w:val="20"/>
                <w:color w:val="auto"/>
              </w:rPr>
            </w:pPr>
            <w:r>
              <w:rPr>
                <w:rFonts w:ascii="Times New Roman" w:cs="Times New Roman" w:eastAsia="Times New Roman" w:hAnsi="Times New Roman"/>
                <w:sz w:val="19"/>
                <w:szCs w:val="19"/>
                <w:color w:val="231F20"/>
              </w:rPr>
              <w:t>0.2</w:t>
            </w:r>
          </w:p>
        </w:tc>
        <w:tc>
          <w:tcPr>
            <w:tcW w:w="220" w:type="dxa"/>
            <w:vAlign w:val="bottom"/>
            <w:tcBorders>
              <w:top w:val="single" w:sz="8" w:color="D0EBF2"/>
            </w:tcBorders>
            <w:shd w:val="clear" w:color="auto" w:fill="D0EBF2"/>
          </w:tcPr>
          <w:p>
            <w:pPr>
              <w:spacing w:after="0"/>
              <w:rPr>
                <w:sz w:val="19"/>
                <w:szCs w:val="19"/>
                <w:color w:val="auto"/>
              </w:rPr>
            </w:pPr>
          </w:p>
        </w:tc>
        <w:tc>
          <w:tcPr>
            <w:tcW w:w="200" w:type="dxa"/>
            <w:vAlign w:val="bottom"/>
            <w:tcBorders>
              <w:top w:val="single" w:sz="8" w:color="231F20"/>
            </w:tcBorders>
            <w:shd w:val="clear" w:color="auto" w:fill="D0EBF2"/>
          </w:tcPr>
          <w:p>
            <w:pPr>
              <w:jc w:val="right"/>
              <w:ind w:right="36"/>
              <w:spacing w:after="0"/>
              <w:rPr>
                <w:sz w:val="20"/>
                <w:szCs w:val="20"/>
                <w:color w:val="auto"/>
              </w:rPr>
            </w:pPr>
            <w:r>
              <w:rPr>
                <w:rFonts w:ascii="Times New Roman" w:cs="Times New Roman" w:eastAsia="Times New Roman" w:hAnsi="Times New Roman"/>
                <w:sz w:val="17"/>
                <w:szCs w:val="17"/>
                <w:color w:val="231F20"/>
                <w:w w:val="70"/>
              </w:rPr>
              <w:t>$</w:t>
            </w:r>
          </w:p>
        </w:tc>
        <w:tc>
          <w:tcPr>
            <w:tcW w:w="1660" w:type="dxa"/>
            <w:vAlign w:val="bottom"/>
            <w:tcBorders>
              <w:top w:val="single" w:sz="8" w:color="231F20"/>
            </w:tcBorders>
            <w:shd w:val="clear" w:color="auto" w:fill="D0EBF2"/>
          </w:tcPr>
          <w:p>
            <w:pPr>
              <w:jc w:val="right"/>
              <w:spacing w:after="0"/>
              <w:rPr>
                <w:sz w:val="20"/>
                <w:szCs w:val="20"/>
                <w:color w:val="auto"/>
              </w:rPr>
            </w:pPr>
            <w:r>
              <w:rPr>
                <w:rFonts w:ascii="Times New Roman" w:cs="Times New Roman" w:eastAsia="Times New Roman" w:hAnsi="Times New Roman"/>
                <w:sz w:val="19"/>
                <w:szCs w:val="19"/>
                <w:color w:val="231F20"/>
              </w:rPr>
              <w:t>0.2</w:t>
            </w:r>
          </w:p>
        </w:tc>
        <w:tc>
          <w:tcPr>
            <w:tcW w:w="80" w:type="dxa"/>
            <w:vAlign w:val="bottom"/>
            <w:tcBorders>
              <w:top w:val="single" w:sz="8" w:color="D0EBF2"/>
            </w:tcBorders>
            <w:shd w:val="clear" w:color="auto" w:fill="D0EBF2"/>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60" w:type="dxa"/>
            <w:vAlign w:val="bottom"/>
            <w:shd w:val="clear" w:color="auto" w:fill="FDFDFC"/>
          </w:tcPr>
          <w:p>
            <w:pPr>
              <w:spacing w:after="0"/>
              <w:rPr>
                <w:sz w:val="20"/>
                <w:szCs w:val="20"/>
                <w:color w:val="auto"/>
              </w:rPr>
            </w:pPr>
            <w:r>
              <w:rPr>
                <w:rFonts w:ascii="Times New Roman" w:cs="Times New Roman" w:eastAsia="Times New Roman" w:hAnsi="Times New Roman"/>
                <w:sz w:val="19"/>
                <w:szCs w:val="19"/>
                <w:color w:val="231F20"/>
              </w:rPr>
              <w:t>Alpha Midco, Inc. - Delayed Draw &amp; Revolver</w:t>
            </w:r>
          </w:p>
        </w:tc>
        <w:tc>
          <w:tcPr>
            <w:tcW w:w="120" w:type="dxa"/>
            <w:vAlign w:val="bottom"/>
            <w:shd w:val="clear" w:color="auto" w:fill="FDFDFC"/>
          </w:tcPr>
          <w:p>
            <w:pPr>
              <w:spacing w:after="0"/>
              <w:rPr>
                <w:sz w:val="20"/>
                <w:szCs w:val="20"/>
                <w:color w:val="auto"/>
              </w:rPr>
            </w:pPr>
          </w:p>
        </w:tc>
        <w:tc>
          <w:tcPr>
            <w:tcW w:w="180" w:type="dxa"/>
            <w:vAlign w:val="bottom"/>
            <w:shd w:val="clear" w:color="auto" w:fill="FDFDFC"/>
          </w:tcPr>
          <w:p>
            <w:pPr>
              <w:spacing w:after="0"/>
              <w:rPr>
                <w:sz w:val="20"/>
                <w:szCs w:val="20"/>
                <w:color w:val="auto"/>
              </w:rPr>
            </w:pPr>
          </w:p>
        </w:tc>
        <w:tc>
          <w:tcPr>
            <w:tcW w:w="1560" w:type="dxa"/>
            <w:vAlign w:val="bottom"/>
            <w:shd w:val="clear" w:color="auto" w:fill="FDFDFC"/>
          </w:tcPr>
          <w:p>
            <w:pPr>
              <w:jc w:val="right"/>
              <w:spacing w:after="0"/>
              <w:rPr>
                <w:sz w:val="20"/>
                <w:szCs w:val="20"/>
                <w:color w:val="auto"/>
              </w:rPr>
            </w:pPr>
            <w:r>
              <w:rPr>
                <w:rFonts w:ascii="Times New Roman" w:cs="Times New Roman" w:eastAsia="Times New Roman" w:hAnsi="Times New Roman"/>
                <w:sz w:val="19"/>
                <w:szCs w:val="19"/>
                <w:color w:val="231F20"/>
              </w:rPr>
              <w:t>0.5</w:t>
            </w:r>
          </w:p>
        </w:tc>
        <w:tc>
          <w:tcPr>
            <w:tcW w:w="220" w:type="dxa"/>
            <w:vAlign w:val="bottom"/>
            <w:shd w:val="clear" w:color="auto" w:fill="FDFDFC"/>
          </w:tcPr>
          <w:p>
            <w:pPr>
              <w:spacing w:after="0"/>
              <w:rPr>
                <w:sz w:val="20"/>
                <w:szCs w:val="20"/>
                <w:color w:val="auto"/>
              </w:rPr>
            </w:pPr>
          </w:p>
        </w:tc>
        <w:tc>
          <w:tcPr>
            <w:tcW w:w="200" w:type="dxa"/>
            <w:vAlign w:val="bottom"/>
            <w:shd w:val="clear" w:color="auto" w:fill="FDFDFC"/>
          </w:tcPr>
          <w:p>
            <w:pPr>
              <w:spacing w:after="0"/>
              <w:rPr>
                <w:sz w:val="20"/>
                <w:szCs w:val="20"/>
                <w:color w:val="auto"/>
              </w:rPr>
            </w:pPr>
          </w:p>
        </w:tc>
        <w:tc>
          <w:tcPr>
            <w:tcW w:w="1660" w:type="dxa"/>
            <w:vAlign w:val="bottom"/>
            <w:shd w:val="clear" w:color="auto" w:fill="FDFDFC"/>
          </w:tcPr>
          <w:p>
            <w:pPr>
              <w:jc w:val="right"/>
              <w:spacing w:after="0"/>
              <w:rPr>
                <w:sz w:val="20"/>
                <w:szCs w:val="20"/>
                <w:color w:val="auto"/>
              </w:rPr>
            </w:pPr>
            <w:r>
              <w:rPr>
                <w:rFonts w:ascii="Times New Roman" w:cs="Times New Roman" w:eastAsia="Times New Roman" w:hAnsi="Times New Roman"/>
                <w:sz w:val="19"/>
                <w:szCs w:val="19"/>
                <w:color w:val="231F20"/>
              </w:rPr>
              <w:t>0.5</w:t>
            </w:r>
          </w:p>
        </w:tc>
        <w:tc>
          <w:tcPr>
            <w:tcW w:w="80" w:type="dxa"/>
            <w:vAlign w:val="bottom"/>
            <w:shd w:val="clear" w:color="auto" w:fill="FDFD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860" w:type="dxa"/>
            <w:vAlign w:val="bottom"/>
            <w:shd w:val="clear" w:color="auto" w:fill="D0EBF2"/>
          </w:tcPr>
          <w:p>
            <w:pPr>
              <w:spacing w:after="0"/>
              <w:rPr>
                <w:sz w:val="20"/>
                <w:szCs w:val="20"/>
                <w:color w:val="auto"/>
              </w:rPr>
            </w:pPr>
            <w:r>
              <w:rPr>
                <w:rFonts w:ascii="Times New Roman" w:cs="Times New Roman" w:eastAsia="Times New Roman" w:hAnsi="Times New Roman"/>
                <w:sz w:val="19"/>
                <w:szCs w:val="19"/>
                <w:color w:val="231F20"/>
              </w:rPr>
              <w:t>American Achievement, Corp. - Revolver</w:t>
            </w:r>
          </w:p>
        </w:tc>
        <w:tc>
          <w:tcPr>
            <w:tcW w:w="120" w:type="dxa"/>
            <w:vAlign w:val="bottom"/>
            <w:shd w:val="clear" w:color="auto" w:fill="D0EBF2"/>
          </w:tcPr>
          <w:p>
            <w:pPr>
              <w:spacing w:after="0"/>
              <w:rPr>
                <w:sz w:val="20"/>
                <w:szCs w:val="20"/>
                <w:color w:val="auto"/>
              </w:rPr>
            </w:pPr>
          </w:p>
        </w:tc>
        <w:tc>
          <w:tcPr>
            <w:tcW w:w="180" w:type="dxa"/>
            <w:vAlign w:val="bottom"/>
            <w:shd w:val="clear" w:color="auto" w:fill="D0EBF2"/>
          </w:tcPr>
          <w:p>
            <w:pPr>
              <w:spacing w:after="0"/>
              <w:rPr>
                <w:sz w:val="20"/>
                <w:szCs w:val="20"/>
                <w:color w:val="auto"/>
              </w:rPr>
            </w:pPr>
          </w:p>
        </w:tc>
        <w:tc>
          <w:tcPr>
            <w:tcW w:w="1560" w:type="dxa"/>
            <w:vAlign w:val="bottom"/>
            <w:shd w:val="clear" w:color="auto" w:fill="D0EBF2"/>
          </w:tcPr>
          <w:p>
            <w:pPr>
              <w:jc w:val="right"/>
              <w:spacing w:after="0"/>
              <w:rPr>
                <w:sz w:val="20"/>
                <w:szCs w:val="20"/>
                <w:color w:val="auto"/>
              </w:rPr>
            </w:pPr>
            <w:r>
              <w:rPr>
                <w:rFonts w:ascii="Times New Roman" w:cs="Times New Roman" w:eastAsia="Times New Roman" w:hAnsi="Times New Roman"/>
                <w:sz w:val="19"/>
                <w:szCs w:val="19"/>
                <w:color w:val="231F20"/>
              </w:rPr>
              <w:t>2.4</w:t>
            </w:r>
          </w:p>
        </w:tc>
        <w:tc>
          <w:tcPr>
            <w:tcW w:w="220" w:type="dxa"/>
            <w:vAlign w:val="bottom"/>
            <w:shd w:val="clear" w:color="auto" w:fill="D0EBF2"/>
          </w:tcPr>
          <w:p>
            <w:pPr>
              <w:spacing w:after="0"/>
              <w:rPr>
                <w:sz w:val="20"/>
                <w:szCs w:val="20"/>
                <w:color w:val="auto"/>
              </w:rPr>
            </w:pPr>
          </w:p>
        </w:tc>
        <w:tc>
          <w:tcPr>
            <w:tcW w:w="200" w:type="dxa"/>
            <w:vAlign w:val="bottom"/>
            <w:shd w:val="clear" w:color="auto" w:fill="D0EBF2"/>
          </w:tcPr>
          <w:p>
            <w:pPr>
              <w:spacing w:after="0"/>
              <w:rPr>
                <w:sz w:val="20"/>
                <w:szCs w:val="20"/>
                <w:color w:val="auto"/>
              </w:rPr>
            </w:pPr>
          </w:p>
        </w:tc>
        <w:tc>
          <w:tcPr>
            <w:tcW w:w="1660" w:type="dxa"/>
            <w:vAlign w:val="bottom"/>
            <w:shd w:val="clear" w:color="auto" w:fill="D0EBF2"/>
          </w:tcPr>
          <w:p>
            <w:pPr>
              <w:jc w:val="right"/>
              <w:spacing w:after="0"/>
              <w:rPr>
                <w:sz w:val="20"/>
                <w:szCs w:val="20"/>
                <w:color w:val="auto"/>
              </w:rPr>
            </w:pPr>
            <w:r>
              <w:rPr>
                <w:rFonts w:ascii="Times New Roman" w:cs="Times New Roman" w:eastAsia="Times New Roman" w:hAnsi="Times New Roman"/>
                <w:sz w:val="19"/>
                <w:szCs w:val="19"/>
                <w:color w:val="231F20"/>
              </w:rPr>
              <w:t>2.4</w:t>
            </w:r>
          </w:p>
        </w:tc>
        <w:tc>
          <w:tcPr>
            <w:tcW w:w="80" w:type="dxa"/>
            <w:vAlign w:val="bottom"/>
            <w:shd w:val="clear" w:color="auto" w:fill="D0EBF2"/>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860" w:type="dxa"/>
            <w:vAlign w:val="bottom"/>
            <w:shd w:val="clear" w:color="auto" w:fill="FDFDFC"/>
          </w:tcPr>
          <w:p>
            <w:pPr>
              <w:spacing w:after="0"/>
              <w:rPr>
                <w:sz w:val="20"/>
                <w:szCs w:val="20"/>
                <w:color w:val="auto"/>
              </w:rPr>
            </w:pPr>
            <w:r>
              <w:rPr>
                <w:rFonts w:ascii="Times New Roman" w:cs="Times New Roman" w:eastAsia="Times New Roman" w:hAnsi="Times New Roman"/>
                <w:sz w:val="19"/>
                <w:szCs w:val="19"/>
                <w:color w:val="231F20"/>
              </w:rPr>
              <w:t>Apellis Pharmaceuticals, Inc. - Delayed Draw</w:t>
            </w:r>
          </w:p>
        </w:tc>
        <w:tc>
          <w:tcPr>
            <w:tcW w:w="120" w:type="dxa"/>
            <w:vAlign w:val="bottom"/>
            <w:shd w:val="clear" w:color="auto" w:fill="FDFDFC"/>
          </w:tcPr>
          <w:p>
            <w:pPr>
              <w:spacing w:after="0"/>
              <w:rPr>
                <w:sz w:val="20"/>
                <w:szCs w:val="20"/>
                <w:color w:val="auto"/>
              </w:rPr>
            </w:pPr>
          </w:p>
        </w:tc>
        <w:tc>
          <w:tcPr>
            <w:tcW w:w="180" w:type="dxa"/>
            <w:vAlign w:val="bottom"/>
            <w:shd w:val="clear" w:color="auto" w:fill="FDFDFC"/>
          </w:tcPr>
          <w:p>
            <w:pPr>
              <w:spacing w:after="0"/>
              <w:rPr>
                <w:sz w:val="20"/>
                <w:szCs w:val="20"/>
                <w:color w:val="auto"/>
              </w:rPr>
            </w:pPr>
          </w:p>
        </w:tc>
        <w:tc>
          <w:tcPr>
            <w:tcW w:w="1560" w:type="dxa"/>
            <w:vAlign w:val="bottom"/>
            <w:shd w:val="clear" w:color="auto" w:fill="FDFDFC"/>
          </w:tcPr>
          <w:p>
            <w:pPr>
              <w:jc w:val="right"/>
              <w:spacing w:after="0"/>
              <w:rPr>
                <w:sz w:val="20"/>
                <w:szCs w:val="20"/>
                <w:color w:val="auto"/>
              </w:rPr>
            </w:pPr>
            <w:r>
              <w:rPr>
                <w:rFonts w:ascii="Times New Roman" w:cs="Times New Roman" w:eastAsia="Times New Roman" w:hAnsi="Times New Roman"/>
                <w:sz w:val="19"/>
                <w:szCs w:val="19"/>
                <w:color w:val="231F20"/>
              </w:rPr>
              <w:t>5.3</w:t>
            </w:r>
          </w:p>
        </w:tc>
        <w:tc>
          <w:tcPr>
            <w:tcW w:w="220" w:type="dxa"/>
            <w:vAlign w:val="bottom"/>
            <w:shd w:val="clear" w:color="auto" w:fill="FDFDFC"/>
          </w:tcPr>
          <w:p>
            <w:pPr>
              <w:spacing w:after="0"/>
              <w:rPr>
                <w:sz w:val="20"/>
                <w:szCs w:val="20"/>
                <w:color w:val="auto"/>
              </w:rPr>
            </w:pPr>
          </w:p>
        </w:tc>
        <w:tc>
          <w:tcPr>
            <w:tcW w:w="200" w:type="dxa"/>
            <w:vAlign w:val="bottom"/>
            <w:shd w:val="clear" w:color="auto" w:fill="FDFDFC"/>
          </w:tcPr>
          <w:p>
            <w:pPr>
              <w:spacing w:after="0"/>
              <w:rPr>
                <w:sz w:val="20"/>
                <w:szCs w:val="20"/>
                <w:color w:val="auto"/>
              </w:rPr>
            </w:pPr>
          </w:p>
        </w:tc>
        <w:tc>
          <w:tcPr>
            <w:tcW w:w="1740" w:type="dxa"/>
            <w:vAlign w:val="bottom"/>
            <w:gridSpan w:val="2"/>
            <w:shd w:val="clear" w:color="auto" w:fill="FDFDFC"/>
          </w:tcPr>
          <w:p>
            <w:pPr>
              <w:jc w:val="right"/>
              <w:ind w:right="120"/>
              <w:spacing w:after="0"/>
              <w:rPr>
                <w:sz w:val="20"/>
                <w:szCs w:val="20"/>
                <w:color w:val="auto"/>
              </w:rPr>
            </w:pPr>
            <w:r>
              <w:rPr>
                <w:rFonts w:ascii="Times New Roman" w:cs="Times New Roman" w:eastAsia="Times New Roman" w:hAnsi="Times New Roman"/>
                <w:sz w:val="19"/>
                <w:szCs w:val="19"/>
                <w:color w:val="231F20"/>
              </w:rPr>
              <w:t>—</w:t>
            </w:r>
          </w:p>
        </w:tc>
        <w:tc>
          <w:tcPr>
            <w:tcW w:w="0" w:type="dxa"/>
            <w:vAlign w:val="bottom"/>
          </w:tcPr>
          <w:p>
            <w:pPr>
              <w:spacing w:after="0"/>
              <w:rPr>
                <w:sz w:val="1"/>
                <w:szCs w:val="1"/>
                <w:color w:val="auto"/>
              </w:rPr>
            </w:pPr>
          </w:p>
        </w:tc>
      </w:tr>
      <w:tr>
        <w:trPr>
          <w:trHeight w:val="230"/>
        </w:trPr>
        <w:tc>
          <w:tcPr>
            <w:tcW w:w="4860" w:type="dxa"/>
            <w:vAlign w:val="bottom"/>
            <w:shd w:val="clear" w:color="auto" w:fill="D0EBF2"/>
          </w:tcPr>
          <w:p>
            <w:pPr>
              <w:spacing w:after="0"/>
              <w:rPr>
                <w:sz w:val="20"/>
                <w:szCs w:val="20"/>
                <w:color w:val="auto"/>
              </w:rPr>
            </w:pPr>
            <w:r>
              <w:rPr>
                <w:rFonts w:ascii="Times New Roman" w:cs="Times New Roman" w:eastAsia="Times New Roman" w:hAnsi="Times New Roman"/>
                <w:sz w:val="19"/>
                <w:szCs w:val="19"/>
                <w:color w:val="231F20"/>
              </w:rPr>
              <w:t>Aptean, Inc. - Delayed Draw &amp; Revolver</w:t>
            </w:r>
          </w:p>
        </w:tc>
        <w:tc>
          <w:tcPr>
            <w:tcW w:w="120" w:type="dxa"/>
            <w:vAlign w:val="bottom"/>
            <w:shd w:val="clear" w:color="auto" w:fill="D0EBF2"/>
          </w:tcPr>
          <w:p>
            <w:pPr>
              <w:spacing w:after="0"/>
              <w:rPr>
                <w:sz w:val="20"/>
                <w:szCs w:val="20"/>
                <w:color w:val="auto"/>
              </w:rPr>
            </w:pPr>
          </w:p>
        </w:tc>
        <w:tc>
          <w:tcPr>
            <w:tcW w:w="180" w:type="dxa"/>
            <w:vAlign w:val="bottom"/>
            <w:shd w:val="clear" w:color="auto" w:fill="D0EBF2"/>
          </w:tcPr>
          <w:p>
            <w:pPr>
              <w:spacing w:after="0"/>
              <w:rPr>
                <w:sz w:val="20"/>
                <w:szCs w:val="20"/>
                <w:color w:val="auto"/>
              </w:rPr>
            </w:pPr>
          </w:p>
        </w:tc>
        <w:tc>
          <w:tcPr>
            <w:tcW w:w="1560" w:type="dxa"/>
            <w:vAlign w:val="bottom"/>
            <w:shd w:val="clear" w:color="auto" w:fill="D0EBF2"/>
          </w:tcPr>
          <w:p>
            <w:pPr>
              <w:jc w:val="right"/>
              <w:spacing w:after="0"/>
              <w:rPr>
                <w:sz w:val="20"/>
                <w:szCs w:val="20"/>
                <w:color w:val="auto"/>
              </w:rPr>
            </w:pPr>
            <w:r>
              <w:rPr>
                <w:rFonts w:ascii="Times New Roman" w:cs="Times New Roman" w:eastAsia="Times New Roman" w:hAnsi="Times New Roman"/>
                <w:sz w:val="19"/>
                <w:szCs w:val="19"/>
                <w:color w:val="231F20"/>
              </w:rPr>
              <w:t>1.1</w:t>
            </w:r>
          </w:p>
        </w:tc>
        <w:tc>
          <w:tcPr>
            <w:tcW w:w="220" w:type="dxa"/>
            <w:vAlign w:val="bottom"/>
            <w:shd w:val="clear" w:color="auto" w:fill="D0EBF2"/>
          </w:tcPr>
          <w:p>
            <w:pPr>
              <w:spacing w:after="0"/>
              <w:rPr>
                <w:sz w:val="20"/>
                <w:szCs w:val="20"/>
                <w:color w:val="auto"/>
              </w:rPr>
            </w:pPr>
          </w:p>
        </w:tc>
        <w:tc>
          <w:tcPr>
            <w:tcW w:w="200" w:type="dxa"/>
            <w:vAlign w:val="bottom"/>
            <w:shd w:val="clear" w:color="auto" w:fill="D0EBF2"/>
          </w:tcPr>
          <w:p>
            <w:pPr>
              <w:spacing w:after="0"/>
              <w:rPr>
                <w:sz w:val="20"/>
                <w:szCs w:val="20"/>
                <w:color w:val="auto"/>
              </w:rPr>
            </w:pPr>
          </w:p>
        </w:tc>
        <w:tc>
          <w:tcPr>
            <w:tcW w:w="1740" w:type="dxa"/>
            <w:vAlign w:val="bottom"/>
            <w:gridSpan w:val="2"/>
            <w:shd w:val="clear" w:color="auto" w:fill="D0EBF2"/>
          </w:tcPr>
          <w:p>
            <w:pPr>
              <w:jc w:val="right"/>
              <w:ind w:right="120"/>
              <w:spacing w:after="0"/>
              <w:rPr>
                <w:sz w:val="20"/>
                <w:szCs w:val="20"/>
                <w:color w:val="auto"/>
              </w:rPr>
            </w:pPr>
            <w:r>
              <w:rPr>
                <w:rFonts w:ascii="Times New Roman" w:cs="Times New Roman" w:eastAsia="Times New Roman" w:hAnsi="Times New Roman"/>
                <w:sz w:val="19"/>
                <w:szCs w:val="19"/>
                <w:color w:val="231F20"/>
              </w:rPr>
              <w:t>—</w:t>
            </w:r>
          </w:p>
        </w:tc>
        <w:tc>
          <w:tcPr>
            <w:tcW w:w="0" w:type="dxa"/>
            <w:vAlign w:val="bottom"/>
          </w:tcPr>
          <w:p>
            <w:pPr>
              <w:spacing w:after="0"/>
              <w:rPr>
                <w:sz w:val="1"/>
                <w:szCs w:val="1"/>
                <w:color w:val="auto"/>
              </w:rPr>
            </w:pPr>
          </w:p>
        </w:tc>
      </w:tr>
      <w:tr>
        <w:trPr>
          <w:trHeight w:val="230"/>
        </w:trPr>
        <w:tc>
          <w:tcPr>
            <w:tcW w:w="4860" w:type="dxa"/>
            <w:vAlign w:val="bottom"/>
            <w:shd w:val="clear" w:color="auto" w:fill="FDFDFC"/>
          </w:tcPr>
          <w:p>
            <w:pPr>
              <w:spacing w:after="0"/>
              <w:rPr>
                <w:sz w:val="20"/>
                <w:szCs w:val="20"/>
                <w:color w:val="auto"/>
              </w:rPr>
            </w:pPr>
            <w:r>
              <w:rPr>
                <w:rFonts w:ascii="Times New Roman" w:cs="Times New Roman" w:eastAsia="Times New Roman" w:hAnsi="Times New Roman"/>
                <w:sz w:val="19"/>
                <w:szCs w:val="19"/>
                <w:color w:val="231F20"/>
              </w:rPr>
              <w:t>Arrow Buyer, Inc. - Delayed Draw</w:t>
            </w:r>
          </w:p>
        </w:tc>
        <w:tc>
          <w:tcPr>
            <w:tcW w:w="120" w:type="dxa"/>
            <w:vAlign w:val="bottom"/>
            <w:shd w:val="clear" w:color="auto" w:fill="FDFDFC"/>
          </w:tcPr>
          <w:p>
            <w:pPr>
              <w:spacing w:after="0"/>
              <w:rPr>
                <w:sz w:val="20"/>
                <w:szCs w:val="20"/>
                <w:color w:val="auto"/>
              </w:rPr>
            </w:pPr>
          </w:p>
        </w:tc>
        <w:tc>
          <w:tcPr>
            <w:tcW w:w="180" w:type="dxa"/>
            <w:vAlign w:val="bottom"/>
            <w:shd w:val="clear" w:color="auto" w:fill="FDFDFC"/>
          </w:tcPr>
          <w:p>
            <w:pPr>
              <w:spacing w:after="0"/>
              <w:rPr>
                <w:sz w:val="20"/>
                <w:szCs w:val="20"/>
                <w:color w:val="auto"/>
              </w:rPr>
            </w:pPr>
          </w:p>
        </w:tc>
        <w:tc>
          <w:tcPr>
            <w:tcW w:w="1560" w:type="dxa"/>
            <w:vAlign w:val="bottom"/>
            <w:shd w:val="clear" w:color="auto" w:fill="FDFDFC"/>
          </w:tcPr>
          <w:p>
            <w:pPr>
              <w:jc w:val="right"/>
              <w:spacing w:after="0"/>
              <w:rPr>
                <w:sz w:val="20"/>
                <w:szCs w:val="20"/>
                <w:color w:val="auto"/>
              </w:rPr>
            </w:pPr>
            <w:r>
              <w:rPr>
                <w:rFonts w:ascii="Times New Roman" w:cs="Times New Roman" w:eastAsia="Times New Roman" w:hAnsi="Times New Roman"/>
                <w:sz w:val="19"/>
                <w:szCs w:val="19"/>
                <w:color w:val="231F20"/>
              </w:rPr>
              <w:t>5.5</w:t>
            </w:r>
          </w:p>
        </w:tc>
        <w:tc>
          <w:tcPr>
            <w:tcW w:w="220" w:type="dxa"/>
            <w:vAlign w:val="bottom"/>
            <w:shd w:val="clear" w:color="auto" w:fill="FDFDFC"/>
          </w:tcPr>
          <w:p>
            <w:pPr>
              <w:spacing w:after="0"/>
              <w:rPr>
                <w:sz w:val="20"/>
                <w:szCs w:val="20"/>
                <w:color w:val="auto"/>
              </w:rPr>
            </w:pPr>
          </w:p>
        </w:tc>
        <w:tc>
          <w:tcPr>
            <w:tcW w:w="200" w:type="dxa"/>
            <w:vAlign w:val="bottom"/>
            <w:shd w:val="clear" w:color="auto" w:fill="FDFDFC"/>
          </w:tcPr>
          <w:p>
            <w:pPr>
              <w:spacing w:after="0"/>
              <w:rPr>
                <w:sz w:val="20"/>
                <w:szCs w:val="20"/>
                <w:color w:val="auto"/>
              </w:rPr>
            </w:pPr>
          </w:p>
        </w:tc>
        <w:tc>
          <w:tcPr>
            <w:tcW w:w="1660" w:type="dxa"/>
            <w:vAlign w:val="bottom"/>
            <w:shd w:val="clear" w:color="auto" w:fill="FDFDFC"/>
          </w:tcPr>
          <w:p>
            <w:pPr>
              <w:jc w:val="right"/>
              <w:spacing w:after="0"/>
              <w:rPr>
                <w:sz w:val="20"/>
                <w:szCs w:val="20"/>
                <w:color w:val="auto"/>
              </w:rPr>
            </w:pPr>
            <w:r>
              <w:rPr>
                <w:rFonts w:ascii="Times New Roman" w:cs="Times New Roman" w:eastAsia="Times New Roman" w:hAnsi="Times New Roman"/>
                <w:sz w:val="19"/>
                <w:szCs w:val="19"/>
                <w:color w:val="231F20"/>
              </w:rPr>
              <w:t>7.6</w:t>
            </w:r>
          </w:p>
        </w:tc>
        <w:tc>
          <w:tcPr>
            <w:tcW w:w="80" w:type="dxa"/>
            <w:vAlign w:val="bottom"/>
            <w:shd w:val="clear" w:color="auto" w:fill="FDFD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860" w:type="dxa"/>
            <w:vAlign w:val="bottom"/>
            <w:shd w:val="clear" w:color="auto" w:fill="D0EBF2"/>
          </w:tcPr>
          <w:p>
            <w:pPr>
              <w:spacing w:after="0"/>
              <w:rPr>
                <w:sz w:val="20"/>
                <w:szCs w:val="20"/>
                <w:color w:val="auto"/>
              </w:rPr>
            </w:pPr>
            <w:r>
              <w:rPr>
                <w:rFonts w:ascii="Times New Roman" w:cs="Times New Roman" w:eastAsia="Times New Roman" w:hAnsi="Times New Roman"/>
                <w:sz w:val="19"/>
                <w:szCs w:val="19"/>
                <w:color w:val="231F20"/>
              </w:rPr>
              <w:t>Arrowhead Pharmaceuticals, Inc. - Delayed Draw</w:t>
            </w:r>
          </w:p>
        </w:tc>
        <w:tc>
          <w:tcPr>
            <w:tcW w:w="120" w:type="dxa"/>
            <w:vAlign w:val="bottom"/>
            <w:shd w:val="clear" w:color="auto" w:fill="D0EBF2"/>
          </w:tcPr>
          <w:p>
            <w:pPr>
              <w:spacing w:after="0"/>
              <w:rPr>
                <w:sz w:val="20"/>
                <w:szCs w:val="20"/>
                <w:color w:val="auto"/>
              </w:rPr>
            </w:pPr>
          </w:p>
        </w:tc>
        <w:tc>
          <w:tcPr>
            <w:tcW w:w="180" w:type="dxa"/>
            <w:vAlign w:val="bottom"/>
            <w:shd w:val="clear" w:color="auto" w:fill="D0EBF2"/>
          </w:tcPr>
          <w:p>
            <w:pPr>
              <w:spacing w:after="0"/>
              <w:rPr>
                <w:sz w:val="20"/>
                <w:szCs w:val="20"/>
                <w:color w:val="auto"/>
              </w:rPr>
            </w:pPr>
          </w:p>
        </w:tc>
        <w:tc>
          <w:tcPr>
            <w:tcW w:w="1560" w:type="dxa"/>
            <w:vAlign w:val="bottom"/>
            <w:shd w:val="clear" w:color="auto" w:fill="D0EBF2"/>
          </w:tcPr>
          <w:p>
            <w:pPr>
              <w:jc w:val="right"/>
              <w:spacing w:after="0"/>
              <w:rPr>
                <w:sz w:val="20"/>
                <w:szCs w:val="20"/>
                <w:color w:val="auto"/>
              </w:rPr>
            </w:pPr>
            <w:r>
              <w:rPr>
                <w:rFonts w:ascii="Times New Roman" w:cs="Times New Roman" w:eastAsia="Times New Roman" w:hAnsi="Times New Roman"/>
                <w:sz w:val="19"/>
                <w:szCs w:val="19"/>
                <w:color w:val="231F20"/>
              </w:rPr>
              <w:t>32.0</w:t>
            </w:r>
          </w:p>
        </w:tc>
        <w:tc>
          <w:tcPr>
            <w:tcW w:w="220" w:type="dxa"/>
            <w:vAlign w:val="bottom"/>
            <w:shd w:val="clear" w:color="auto" w:fill="D0EBF2"/>
          </w:tcPr>
          <w:p>
            <w:pPr>
              <w:spacing w:after="0"/>
              <w:rPr>
                <w:sz w:val="20"/>
                <w:szCs w:val="20"/>
                <w:color w:val="auto"/>
              </w:rPr>
            </w:pPr>
          </w:p>
        </w:tc>
        <w:tc>
          <w:tcPr>
            <w:tcW w:w="200" w:type="dxa"/>
            <w:vAlign w:val="bottom"/>
            <w:shd w:val="clear" w:color="auto" w:fill="D0EBF2"/>
          </w:tcPr>
          <w:p>
            <w:pPr>
              <w:spacing w:after="0"/>
              <w:rPr>
                <w:sz w:val="20"/>
                <w:szCs w:val="20"/>
                <w:color w:val="auto"/>
              </w:rPr>
            </w:pPr>
          </w:p>
        </w:tc>
        <w:tc>
          <w:tcPr>
            <w:tcW w:w="1740" w:type="dxa"/>
            <w:vAlign w:val="bottom"/>
            <w:gridSpan w:val="2"/>
            <w:shd w:val="clear" w:color="auto" w:fill="D0EBF2"/>
          </w:tcPr>
          <w:p>
            <w:pPr>
              <w:jc w:val="right"/>
              <w:ind w:right="120"/>
              <w:spacing w:after="0"/>
              <w:rPr>
                <w:sz w:val="20"/>
                <w:szCs w:val="20"/>
                <w:color w:val="auto"/>
              </w:rPr>
            </w:pPr>
            <w:r>
              <w:rPr>
                <w:rFonts w:ascii="Times New Roman" w:cs="Times New Roman" w:eastAsia="Times New Roman" w:hAnsi="Times New Roman"/>
                <w:sz w:val="19"/>
                <w:szCs w:val="19"/>
                <w:color w:val="231F20"/>
              </w:rPr>
              <w:t>—</w:t>
            </w:r>
          </w:p>
        </w:tc>
        <w:tc>
          <w:tcPr>
            <w:tcW w:w="0" w:type="dxa"/>
            <w:vAlign w:val="bottom"/>
          </w:tcPr>
          <w:p>
            <w:pPr>
              <w:spacing w:after="0"/>
              <w:rPr>
                <w:sz w:val="1"/>
                <w:szCs w:val="1"/>
                <w:color w:val="auto"/>
              </w:rPr>
            </w:pPr>
          </w:p>
        </w:tc>
      </w:tr>
      <w:tr>
        <w:trPr>
          <w:trHeight w:val="230"/>
        </w:trPr>
        <w:tc>
          <w:tcPr>
            <w:tcW w:w="4860" w:type="dxa"/>
            <w:vAlign w:val="bottom"/>
            <w:shd w:val="clear" w:color="auto" w:fill="FDFDFC"/>
          </w:tcPr>
          <w:p>
            <w:pPr>
              <w:spacing w:after="0"/>
              <w:rPr>
                <w:sz w:val="20"/>
                <w:szCs w:val="20"/>
                <w:color w:val="auto"/>
              </w:rPr>
            </w:pPr>
            <w:r>
              <w:rPr>
                <w:rFonts w:ascii="Times New Roman" w:cs="Times New Roman" w:eastAsia="Times New Roman" w:hAnsi="Times New Roman"/>
                <w:sz w:val="19"/>
                <w:szCs w:val="19"/>
                <w:color w:val="231F20"/>
              </w:rPr>
              <w:t>Artisan Bidco, Inc. - Revolver</w:t>
            </w:r>
          </w:p>
        </w:tc>
        <w:tc>
          <w:tcPr>
            <w:tcW w:w="120" w:type="dxa"/>
            <w:vAlign w:val="bottom"/>
            <w:shd w:val="clear" w:color="auto" w:fill="FDFDFC"/>
          </w:tcPr>
          <w:p>
            <w:pPr>
              <w:spacing w:after="0"/>
              <w:rPr>
                <w:sz w:val="20"/>
                <w:szCs w:val="20"/>
                <w:color w:val="auto"/>
              </w:rPr>
            </w:pPr>
          </w:p>
        </w:tc>
        <w:tc>
          <w:tcPr>
            <w:tcW w:w="180" w:type="dxa"/>
            <w:vAlign w:val="bottom"/>
            <w:shd w:val="clear" w:color="auto" w:fill="FDFDFC"/>
          </w:tcPr>
          <w:p>
            <w:pPr>
              <w:spacing w:after="0"/>
              <w:rPr>
                <w:sz w:val="20"/>
                <w:szCs w:val="20"/>
                <w:color w:val="auto"/>
              </w:rPr>
            </w:pPr>
          </w:p>
        </w:tc>
        <w:tc>
          <w:tcPr>
            <w:tcW w:w="1560" w:type="dxa"/>
            <w:vAlign w:val="bottom"/>
            <w:shd w:val="clear" w:color="auto" w:fill="FDFDFC"/>
          </w:tcPr>
          <w:p>
            <w:pPr>
              <w:jc w:val="right"/>
              <w:spacing w:after="0"/>
              <w:rPr>
                <w:sz w:val="20"/>
                <w:szCs w:val="20"/>
                <w:color w:val="auto"/>
              </w:rPr>
            </w:pPr>
            <w:r>
              <w:rPr>
                <w:rFonts w:ascii="Times New Roman" w:cs="Times New Roman" w:eastAsia="Times New Roman" w:hAnsi="Times New Roman"/>
                <w:sz w:val="19"/>
                <w:szCs w:val="19"/>
                <w:color w:val="231F20"/>
              </w:rPr>
              <w:t>5.7</w:t>
            </w:r>
          </w:p>
        </w:tc>
        <w:tc>
          <w:tcPr>
            <w:tcW w:w="220" w:type="dxa"/>
            <w:vAlign w:val="bottom"/>
            <w:shd w:val="clear" w:color="auto" w:fill="FDFDFC"/>
          </w:tcPr>
          <w:p>
            <w:pPr>
              <w:spacing w:after="0"/>
              <w:rPr>
                <w:sz w:val="20"/>
                <w:szCs w:val="20"/>
                <w:color w:val="auto"/>
              </w:rPr>
            </w:pPr>
          </w:p>
        </w:tc>
        <w:tc>
          <w:tcPr>
            <w:tcW w:w="200" w:type="dxa"/>
            <w:vAlign w:val="bottom"/>
            <w:shd w:val="clear" w:color="auto" w:fill="FDFDFC"/>
          </w:tcPr>
          <w:p>
            <w:pPr>
              <w:spacing w:after="0"/>
              <w:rPr>
                <w:sz w:val="20"/>
                <w:szCs w:val="20"/>
                <w:color w:val="auto"/>
              </w:rPr>
            </w:pPr>
          </w:p>
        </w:tc>
        <w:tc>
          <w:tcPr>
            <w:tcW w:w="1660" w:type="dxa"/>
            <w:vAlign w:val="bottom"/>
            <w:shd w:val="clear" w:color="auto" w:fill="FDFDFC"/>
          </w:tcPr>
          <w:p>
            <w:pPr>
              <w:jc w:val="right"/>
              <w:spacing w:after="0"/>
              <w:rPr>
                <w:sz w:val="20"/>
                <w:szCs w:val="20"/>
                <w:color w:val="auto"/>
              </w:rPr>
            </w:pPr>
            <w:r>
              <w:rPr>
                <w:rFonts w:ascii="Times New Roman" w:cs="Times New Roman" w:eastAsia="Times New Roman" w:hAnsi="Times New Roman"/>
                <w:sz w:val="19"/>
                <w:szCs w:val="19"/>
                <w:color w:val="231F20"/>
              </w:rPr>
              <w:t>5.7</w:t>
            </w:r>
          </w:p>
        </w:tc>
        <w:tc>
          <w:tcPr>
            <w:tcW w:w="80" w:type="dxa"/>
            <w:vAlign w:val="bottom"/>
            <w:shd w:val="clear" w:color="auto" w:fill="FDFD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860" w:type="dxa"/>
            <w:vAlign w:val="bottom"/>
            <w:shd w:val="clear" w:color="auto" w:fill="D0EBF2"/>
          </w:tcPr>
          <w:p>
            <w:pPr>
              <w:spacing w:after="0"/>
              <w:rPr>
                <w:sz w:val="20"/>
                <w:szCs w:val="20"/>
                <w:color w:val="auto"/>
              </w:rPr>
            </w:pPr>
            <w:r>
              <w:rPr>
                <w:rFonts w:ascii="Times New Roman" w:cs="Times New Roman" w:eastAsia="Times New Roman" w:hAnsi="Times New Roman"/>
                <w:sz w:val="19"/>
                <w:szCs w:val="19"/>
                <w:color w:val="231F20"/>
              </w:rPr>
              <w:t>ASG II, LLC - Delayed Draw</w:t>
            </w:r>
          </w:p>
        </w:tc>
        <w:tc>
          <w:tcPr>
            <w:tcW w:w="120" w:type="dxa"/>
            <w:vAlign w:val="bottom"/>
            <w:shd w:val="clear" w:color="auto" w:fill="D0EBF2"/>
          </w:tcPr>
          <w:p>
            <w:pPr>
              <w:spacing w:after="0"/>
              <w:rPr>
                <w:sz w:val="20"/>
                <w:szCs w:val="20"/>
                <w:color w:val="auto"/>
              </w:rPr>
            </w:pPr>
          </w:p>
        </w:tc>
        <w:tc>
          <w:tcPr>
            <w:tcW w:w="180" w:type="dxa"/>
            <w:vAlign w:val="bottom"/>
            <w:shd w:val="clear" w:color="auto" w:fill="D0EBF2"/>
          </w:tcPr>
          <w:p>
            <w:pPr>
              <w:spacing w:after="0"/>
              <w:rPr>
                <w:sz w:val="20"/>
                <w:szCs w:val="20"/>
                <w:color w:val="auto"/>
              </w:rPr>
            </w:pPr>
          </w:p>
        </w:tc>
        <w:tc>
          <w:tcPr>
            <w:tcW w:w="1560" w:type="dxa"/>
            <w:vAlign w:val="bottom"/>
            <w:shd w:val="clear" w:color="auto" w:fill="D0EBF2"/>
          </w:tcPr>
          <w:p>
            <w:pPr>
              <w:jc w:val="right"/>
              <w:spacing w:after="0"/>
              <w:rPr>
                <w:sz w:val="20"/>
                <w:szCs w:val="20"/>
                <w:color w:val="auto"/>
              </w:rPr>
            </w:pPr>
            <w:r>
              <w:rPr>
                <w:rFonts w:ascii="Times New Roman" w:cs="Times New Roman" w:eastAsia="Times New Roman" w:hAnsi="Times New Roman"/>
                <w:sz w:val="19"/>
                <w:szCs w:val="19"/>
                <w:color w:val="231F20"/>
              </w:rPr>
              <w:t>—</w:t>
            </w:r>
          </w:p>
        </w:tc>
        <w:tc>
          <w:tcPr>
            <w:tcW w:w="220" w:type="dxa"/>
            <w:vAlign w:val="bottom"/>
            <w:shd w:val="clear" w:color="auto" w:fill="D0EBF2"/>
          </w:tcPr>
          <w:p>
            <w:pPr>
              <w:spacing w:after="0"/>
              <w:rPr>
                <w:sz w:val="20"/>
                <w:szCs w:val="20"/>
                <w:color w:val="auto"/>
              </w:rPr>
            </w:pPr>
          </w:p>
        </w:tc>
        <w:tc>
          <w:tcPr>
            <w:tcW w:w="200" w:type="dxa"/>
            <w:vAlign w:val="bottom"/>
            <w:shd w:val="clear" w:color="auto" w:fill="D0EBF2"/>
          </w:tcPr>
          <w:p>
            <w:pPr>
              <w:spacing w:after="0"/>
              <w:rPr>
                <w:sz w:val="20"/>
                <w:szCs w:val="20"/>
                <w:color w:val="auto"/>
              </w:rPr>
            </w:pPr>
          </w:p>
        </w:tc>
        <w:tc>
          <w:tcPr>
            <w:tcW w:w="1660" w:type="dxa"/>
            <w:vAlign w:val="bottom"/>
            <w:shd w:val="clear" w:color="auto" w:fill="D0EBF2"/>
          </w:tcPr>
          <w:p>
            <w:pPr>
              <w:jc w:val="right"/>
              <w:spacing w:after="0"/>
              <w:rPr>
                <w:sz w:val="20"/>
                <w:szCs w:val="20"/>
                <w:color w:val="auto"/>
              </w:rPr>
            </w:pPr>
            <w:r>
              <w:rPr>
                <w:rFonts w:ascii="Times New Roman" w:cs="Times New Roman" w:eastAsia="Times New Roman" w:hAnsi="Times New Roman"/>
                <w:sz w:val="19"/>
                <w:szCs w:val="19"/>
                <w:color w:val="231F20"/>
              </w:rPr>
              <w:t>3.4</w:t>
            </w:r>
          </w:p>
        </w:tc>
        <w:tc>
          <w:tcPr>
            <w:tcW w:w="80" w:type="dxa"/>
            <w:vAlign w:val="bottom"/>
            <w:shd w:val="clear" w:color="auto" w:fill="D0EBF2"/>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860" w:type="dxa"/>
            <w:vAlign w:val="bottom"/>
            <w:shd w:val="clear" w:color="auto" w:fill="FDFDFC"/>
          </w:tcPr>
          <w:p>
            <w:pPr>
              <w:spacing w:after="0"/>
              <w:rPr>
                <w:sz w:val="20"/>
                <w:szCs w:val="20"/>
                <w:color w:val="auto"/>
              </w:rPr>
            </w:pPr>
            <w:r>
              <w:rPr>
                <w:rFonts w:ascii="Times New Roman" w:cs="Times New Roman" w:eastAsia="Times New Roman" w:hAnsi="Times New Roman"/>
                <w:sz w:val="19"/>
                <w:szCs w:val="19"/>
                <w:color w:val="231F20"/>
              </w:rPr>
              <w:t>Avalara, Inc. - Revolver</w:t>
            </w:r>
          </w:p>
        </w:tc>
        <w:tc>
          <w:tcPr>
            <w:tcW w:w="120" w:type="dxa"/>
            <w:vAlign w:val="bottom"/>
            <w:shd w:val="clear" w:color="auto" w:fill="FDFDFC"/>
          </w:tcPr>
          <w:p>
            <w:pPr>
              <w:spacing w:after="0"/>
              <w:rPr>
                <w:sz w:val="20"/>
                <w:szCs w:val="20"/>
                <w:color w:val="auto"/>
              </w:rPr>
            </w:pPr>
          </w:p>
        </w:tc>
        <w:tc>
          <w:tcPr>
            <w:tcW w:w="180" w:type="dxa"/>
            <w:vAlign w:val="bottom"/>
            <w:shd w:val="clear" w:color="auto" w:fill="FDFDFC"/>
          </w:tcPr>
          <w:p>
            <w:pPr>
              <w:spacing w:after="0"/>
              <w:rPr>
                <w:sz w:val="20"/>
                <w:szCs w:val="20"/>
                <w:color w:val="auto"/>
              </w:rPr>
            </w:pPr>
          </w:p>
        </w:tc>
        <w:tc>
          <w:tcPr>
            <w:tcW w:w="1560" w:type="dxa"/>
            <w:vAlign w:val="bottom"/>
            <w:shd w:val="clear" w:color="auto" w:fill="FDFDFC"/>
          </w:tcPr>
          <w:p>
            <w:pPr>
              <w:jc w:val="right"/>
              <w:spacing w:after="0"/>
              <w:rPr>
                <w:sz w:val="20"/>
                <w:szCs w:val="20"/>
                <w:color w:val="auto"/>
              </w:rPr>
            </w:pPr>
            <w:r>
              <w:rPr>
                <w:rFonts w:ascii="Times New Roman" w:cs="Times New Roman" w:eastAsia="Times New Roman" w:hAnsi="Times New Roman"/>
                <w:sz w:val="19"/>
                <w:szCs w:val="19"/>
                <w:color w:val="231F20"/>
              </w:rPr>
              <w:t>3.9</w:t>
            </w:r>
          </w:p>
        </w:tc>
        <w:tc>
          <w:tcPr>
            <w:tcW w:w="220" w:type="dxa"/>
            <w:vAlign w:val="bottom"/>
            <w:shd w:val="clear" w:color="auto" w:fill="FDFDFC"/>
          </w:tcPr>
          <w:p>
            <w:pPr>
              <w:spacing w:after="0"/>
              <w:rPr>
                <w:sz w:val="20"/>
                <w:szCs w:val="20"/>
                <w:color w:val="auto"/>
              </w:rPr>
            </w:pPr>
          </w:p>
        </w:tc>
        <w:tc>
          <w:tcPr>
            <w:tcW w:w="200" w:type="dxa"/>
            <w:vAlign w:val="bottom"/>
            <w:shd w:val="clear" w:color="auto" w:fill="FDFDFC"/>
          </w:tcPr>
          <w:p>
            <w:pPr>
              <w:spacing w:after="0"/>
              <w:rPr>
                <w:sz w:val="20"/>
                <w:szCs w:val="20"/>
                <w:color w:val="auto"/>
              </w:rPr>
            </w:pPr>
          </w:p>
        </w:tc>
        <w:tc>
          <w:tcPr>
            <w:tcW w:w="1660" w:type="dxa"/>
            <w:vAlign w:val="bottom"/>
            <w:shd w:val="clear" w:color="auto" w:fill="FDFDFC"/>
          </w:tcPr>
          <w:p>
            <w:pPr>
              <w:jc w:val="right"/>
              <w:spacing w:after="0"/>
              <w:rPr>
                <w:sz w:val="20"/>
                <w:szCs w:val="20"/>
                <w:color w:val="auto"/>
              </w:rPr>
            </w:pPr>
            <w:r>
              <w:rPr>
                <w:rFonts w:ascii="Times New Roman" w:cs="Times New Roman" w:eastAsia="Times New Roman" w:hAnsi="Times New Roman"/>
                <w:sz w:val="19"/>
                <w:szCs w:val="19"/>
                <w:color w:val="231F20"/>
              </w:rPr>
              <w:t>3.9</w:t>
            </w:r>
          </w:p>
        </w:tc>
        <w:tc>
          <w:tcPr>
            <w:tcW w:w="80" w:type="dxa"/>
            <w:vAlign w:val="bottom"/>
            <w:shd w:val="clear" w:color="auto" w:fill="FDFD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860" w:type="dxa"/>
            <w:vAlign w:val="bottom"/>
            <w:shd w:val="clear" w:color="auto" w:fill="D0EBF2"/>
          </w:tcPr>
          <w:p>
            <w:pPr>
              <w:spacing w:after="0"/>
              <w:rPr>
                <w:sz w:val="20"/>
                <w:szCs w:val="20"/>
                <w:color w:val="auto"/>
              </w:rPr>
            </w:pPr>
            <w:r>
              <w:rPr>
                <w:rFonts w:ascii="Times New Roman" w:cs="Times New Roman" w:eastAsia="Times New Roman" w:hAnsi="Times New Roman"/>
                <w:sz w:val="19"/>
                <w:szCs w:val="19"/>
                <w:color w:val="231F20"/>
              </w:rPr>
              <w:t>AVSC Holding Corp. - Revolver</w:t>
            </w:r>
          </w:p>
        </w:tc>
        <w:tc>
          <w:tcPr>
            <w:tcW w:w="120" w:type="dxa"/>
            <w:vAlign w:val="bottom"/>
            <w:shd w:val="clear" w:color="auto" w:fill="D0EBF2"/>
          </w:tcPr>
          <w:p>
            <w:pPr>
              <w:spacing w:after="0"/>
              <w:rPr>
                <w:sz w:val="20"/>
                <w:szCs w:val="20"/>
                <w:color w:val="auto"/>
              </w:rPr>
            </w:pPr>
          </w:p>
        </w:tc>
        <w:tc>
          <w:tcPr>
            <w:tcW w:w="180" w:type="dxa"/>
            <w:vAlign w:val="bottom"/>
            <w:shd w:val="clear" w:color="auto" w:fill="D0EBF2"/>
          </w:tcPr>
          <w:p>
            <w:pPr>
              <w:spacing w:after="0"/>
              <w:rPr>
                <w:sz w:val="20"/>
                <w:szCs w:val="20"/>
                <w:color w:val="auto"/>
              </w:rPr>
            </w:pPr>
          </w:p>
        </w:tc>
        <w:tc>
          <w:tcPr>
            <w:tcW w:w="1560" w:type="dxa"/>
            <w:vAlign w:val="bottom"/>
            <w:shd w:val="clear" w:color="auto" w:fill="D0EBF2"/>
          </w:tcPr>
          <w:p>
            <w:pPr>
              <w:jc w:val="right"/>
              <w:spacing w:after="0"/>
              <w:rPr>
                <w:sz w:val="20"/>
                <w:szCs w:val="20"/>
                <w:color w:val="auto"/>
              </w:rPr>
            </w:pPr>
            <w:r>
              <w:rPr>
                <w:rFonts w:ascii="Times New Roman" w:cs="Times New Roman" w:eastAsia="Times New Roman" w:hAnsi="Times New Roman"/>
                <w:sz w:val="19"/>
                <w:szCs w:val="19"/>
                <w:color w:val="231F20"/>
              </w:rPr>
              <w:t>4.8</w:t>
            </w:r>
          </w:p>
        </w:tc>
        <w:tc>
          <w:tcPr>
            <w:tcW w:w="220" w:type="dxa"/>
            <w:vAlign w:val="bottom"/>
            <w:shd w:val="clear" w:color="auto" w:fill="D0EBF2"/>
          </w:tcPr>
          <w:p>
            <w:pPr>
              <w:spacing w:after="0"/>
              <w:rPr>
                <w:sz w:val="20"/>
                <w:szCs w:val="20"/>
                <w:color w:val="auto"/>
              </w:rPr>
            </w:pPr>
          </w:p>
        </w:tc>
        <w:tc>
          <w:tcPr>
            <w:tcW w:w="200" w:type="dxa"/>
            <w:vAlign w:val="bottom"/>
            <w:shd w:val="clear" w:color="auto" w:fill="D0EBF2"/>
          </w:tcPr>
          <w:p>
            <w:pPr>
              <w:spacing w:after="0"/>
              <w:rPr>
                <w:sz w:val="20"/>
                <w:szCs w:val="20"/>
                <w:color w:val="auto"/>
              </w:rPr>
            </w:pPr>
          </w:p>
        </w:tc>
        <w:tc>
          <w:tcPr>
            <w:tcW w:w="1740" w:type="dxa"/>
            <w:vAlign w:val="bottom"/>
            <w:gridSpan w:val="2"/>
            <w:shd w:val="clear" w:color="auto" w:fill="D0EBF2"/>
          </w:tcPr>
          <w:p>
            <w:pPr>
              <w:jc w:val="right"/>
              <w:ind w:right="120"/>
              <w:spacing w:after="0"/>
              <w:rPr>
                <w:sz w:val="20"/>
                <w:szCs w:val="20"/>
                <w:color w:val="auto"/>
              </w:rPr>
            </w:pPr>
            <w:r>
              <w:rPr>
                <w:rFonts w:ascii="Times New Roman" w:cs="Times New Roman" w:eastAsia="Times New Roman" w:hAnsi="Times New Roman"/>
                <w:sz w:val="19"/>
                <w:szCs w:val="19"/>
                <w:color w:val="231F20"/>
              </w:rPr>
              <w:t>—</w:t>
            </w:r>
          </w:p>
        </w:tc>
        <w:tc>
          <w:tcPr>
            <w:tcW w:w="0" w:type="dxa"/>
            <w:vAlign w:val="bottom"/>
          </w:tcPr>
          <w:p>
            <w:pPr>
              <w:spacing w:after="0"/>
              <w:rPr>
                <w:sz w:val="1"/>
                <w:szCs w:val="1"/>
                <w:color w:val="auto"/>
              </w:rPr>
            </w:pPr>
          </w:p>
        </w:tc>
      </w:tr>
      <w:tr>
        <w:trPr>
          <w:trHeight w:val="230"/>
        </w:trPr>
        <w:tc>
          <w:tcPr>
            <w:tcW w:w="4860" w:type="dxa"/>
            <w:vAlign w:val="bottom"/>
            <w:shd w:val="clear" w:color="auto" w:fill="FDFDFC"/>
          </w:tcPr>
          <w:p>
            <w:pPr>
              <w:spacing w:after="0"/>
              <w:rPr>
                <w:sz w:val="20"/>
                <w:szCs w:val="20"/>
                <w:color w:val="auto"/>
              </w:rPr>
            </w:pPr>
            <w:r>
              <w:rPr>
                <w:rFonts w:ascii="Times New Roman" w:cs="Times New Roman" w:eastAsia="Times New Roman" w:hAnsi="Times New Roman"/>
                <w:sz w:val="19"/>
                <w:szCs w:val="19"/>
                <w:color w:val="231F20"/>
              </w:rPr>
              <w:t>Axonify, Inc. - Delayed Draw</w:t>
            </w:r>
          </w:p>
        </w:tc>
        <w:tc>
          <w:tcPr>
            <w:tcW w:w="120" w:type="dxa"/>
            <w:vAlign w:val="bottom"/>
            <w:shd w:val="clear" w:color="auto" w:fill="FDFDFC"/>
          </w:tcPr>
          <w:p>
            <w:pPr>
              <w:spacing w:after="0"/>
              <w:rPr>
                <w:sz w:val="20"/>
                <w:szCs w:val="20"/>
                <w:color w:val="auto"/>
              </w:rPr>
            </w:pPr>
          </w:p>
        </w:tc>
        <w:tc>
          <w:tcPr>
            <w:tcW w:w="180" w:type="dxa"/>
            <w:vAlign w:val="bottom"/>
            <w:shd w:val="clear" w:color="auto" w:fill="FDFDFC"/>
          </w:tcPr>
          <w:p>
            <w:pPr>
              <w:spacing w:after="0"/>
              <w:rPr>
                <w:sz w:val="20"/>
                <w:szCs w:val="20"/>
                <w:color w:val="auto"/>
              </w:rPr>
            </w:pPr>
          </w:p>
        </w:tc>
        <w:tc>
          <w:tcPr>
            <w:tcW w:w="1560" w:type="dxa"/>
            <w:vAlign w:val="bottom"/>
            <w:shd w:val="clear" w:color="auto" w:fill="FDFDFC"/>
          </w:tcPr>
          <w:p>
            <w:pPr>
              <w:jc w:val="right"/>
              <w:spacing w:after="0"/>
              <w:rPr>
                <w:sz w:val="20"/>
                <w:szCs w:val="20"/>
                <w:color w:val="auto"/>
              </w:rPr>
            </w:pPr>
            <w:r>
              <w:rPr>
                <w:rFonts w:ascii="Times New Roman" w:cs="Times New Roman" w:eastAsia="Times New Roman" w:hAnsi="Times New Roman"/>
                <w:sz w:val="19"/>
                <w:szCs w:val="19"/>
                <w:color w:val="231F20"/>
              </w:rPr>
              <w:t>0.7</w:t>
            </w:r>
          </w:p>
        </w:tc>
        <w:tc>
          <w:tcPr>
            <w:tcW w:w="220" w:type="dxa"/>
            <w:vAlign w:val="bottom"/>
            <w:shd w:val="clear" w:color="auto" w:fill="FDFDFC"/>
          </w:tcPr>
          <w:p>
            <w:pPr>
              <w:spacing w:after="0"/>
              <w:rPr>
                <w:sz w:val="20"/>
                <w:szCs w:val="20"/>
                <w:color w:val="auto"/>
              </w:rPr>
            </w:pPr>
          </w:p>
        </w:tc>
        <w:tc>
          <w:tcPr>
            <w:tcW w:w="200" w:type="dxa"/>
            <w:vAlign w:val="bottom"/>
            <w:shd w:val="clear" w:color="auto" w:fill="FDFDFC"/>
          </w:tcPr>
          <w:p>
            <w:pPr>
              <w:spacing w:after="0"/>
              <w:rPr>
                <w:sz w:val="20"/>
                <w:szCs w:val="20"/>
                <w:color w:val="auto"/>
              </w:rPr>
            </w:pPr>
          </w:p>
        </w:tc>
        <w:tc>
          <w:tcPr>
            <w:tcW w:w="1660" w:type="dxa"/>
            <w:vAlign w:val="bottom"/>
            <w:shd w:val="clear" w:color="auto" w:fill="FDFDFC"/>
          </w:tcPr>
          <w:p>
            <w:pPr>
              <w:jc w:val="right"/>
              <w:spacing w:after="0"/>
              <w:rPr>
                <w:sz w:val="20"/>
                <w:szCs w:val="20"/>
                <w:color w:val="auto"/>
              </w:rPr>
            </w:pPr>
            <w:r>
              <w:rPr>
                <w:rFonts w:ascii="Times New Roman" w:cs="Times New Roman" w:eastAsia="Times New Roman" w:hAnsi="Times New Roman"/>
                <w:sz w:val="19"/>
                <w:szCs w:val="19"/>
                <w:color w:val="231F20"/>
              </w:rPr>
              <w:t>3.4</w:t>
            </w:r>
          </w:p>
        </w:tc>
        <w:tc>
          <w:tcPr>
            <w:tcW w:w="80" w:type="dxa"/>
            <w:vAlign w:val="bottom"/>
            <w:shd w:val="clear" w:color="auto" w:fill="FDFD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860" w:type="dxa"/>
            <w:vAlign w:val="bottom"/>
            <w:shd w:val="clear" w:color="auto" w:fill="D0EBF2"/>
          </w:tcPr>
          <w:p>
            <w:pPr>
              <w:spacing w:after="0"/>
              <w:rPr>
                <w:sz w:val="20"/>
                <w:szCs w:val="20"/>
                <w:color w:val="auto"/>
              </w:rPr>
            </w:pPr>
            <w:r>
              <w:rPr>
                <w:rFonts w:ascii="Times New Roman" w:cs="Times New Roman" w:eastAsia="Times New Roman" w:hAnsi="Times New Roman"/>
                <w:sz w:val="19"/>
                <w:szCs w:val="19"/>
                <w:color w:val="231F20"/>
              </w:rPr>
              <w:t>Azurite Intermediate Holdings, Inc. - Revolver &amp; Equity</w:t>
            </w:r>
          </w:p>
        </w:tc>
        <w:tc>
          <w:tcPr>
            <w:tcW w:w="120" w:type="dxa"/>
            <w:vAlign w:val="bottom"/>
            <w:shd w:val="clear" w:color="auto" w:fill="D0EBF2"/>
          </w:tcPr>
          <w:p>
            <w:pPr>
              <w:spacing w:after="0"/>
              <w:rPr>
                <w:sz w:val="20"/>
                <w:szCs w:val="20"/>
                <w:color w:val="auto"/>
              </w:rPr>
            </w:pPr>
          </w:p>
        </w:tc>
        <w:tc>
          <w:tcPr>
            <w:tcW w:w="180" w:type="dxa"/>
            <w:vAlign w:val="bottom"/>
            <w:shd w:val="clear" w:color="auto" w:fill="D0EBF2"/>
          </w:tcPr>
          <w:p>
            <w:pPr>
              <w:spacing w:after="0"/>
              <w:rPr>
                <w:sz w:val="20"/>
                <w:szCs w:val="20"/>
                <w:color w:val="auto"/>
              </w:rPr>
            </w:pPr>
          </w:p>
        </w:tc>
        <w:tc>
          <w:tcPr>
            <w:tcW w:w="1560" w:type="dxa"/>
            <w:vAlign w:val="bottom"/>
            <w:shd w:val="clear" w:color="auto" w:fill="D0EBF2"/>
          </w:tcPr>
          <w:p>
            <w:pPr>
              <w:jc w:val="right"/>
              <w:spacing w:after="0"/>
              <w:rPr>
                <w:sz w:val="20"/>
                <w:szCs w:val="20"/>
                <w:color w:val="auto"/>
              </w:rPr>
            </w:pPr>
            <w:r>
              <w:rPr>
                <w:rFonts w:ascii="Times New Roman" w:cs="Times New Roman" w:eastAsia="Times New Roman" w:hAnsi="Times New Roman"/>
                <w:sz w:val="19"/>
                <w:szCs w:val="19"/>
                <w:color w:val="231F20"/>
              </w:rPr>
              <w:t>5.6</w:t>
            </w:r>
          </w:p>
        </w:tc>
        <w:tc>
          <w:tcPr>
            <w:tcW w:w="220" w:type="dxa"/>
            <w:vAlign w:val="bottom"/>
            <w:shd w:val="clear" w:color="auto" w:fill="D0EBF2"/>
          </w:tcPr>
          <w:p>
            <w:pPr>
              <w:spacing w:after="0"/>
              <w:rPr>
                <w:sz w:val="20"/>
                <w:szCs w:val="20"/>
                <w:color w:val="auto"/>
              </w:rPr>
            </w:pPr>
          </w:p>
        </w:tc>
        <w:tc>
          <w:tcPr>
            <w:tcW w:w="200" w:type="dxa"/>
            <w:vAlign w:val="bottom"/>
            <w:shd w:val="clear" w:color="auto" w:fill="D0EBF2"/>
          </w:tcPr>
          <w:p>
            <w:pPr>
              <w:spacing w:after="0"/>
              <w:rPr>
                <w:sz w:val="20"/>
                <w:szCs w:val="20"/>
                <w:color w:val="auto"/>
              </w:rPr>
            </w:pPr>
          </w:p>
        </w:tc>
        <w:tc>
          <w:tcPr>
            <w:tcW w:w="1740" w:type="dxa"/>
            <w:vAlign w:val="bottom"/>
            <w:gridSpan w:val="2"/>
            <w:shd w:val="clear" w:color="auto" w:fill="D0EBF2"/>
          </w:tcPr>
          <w:p>
            <w:pPr>
              <w:jc w:val="right"/>
              <w:ind w:right="120"/>
              <w:spacing w:after="0"/>
              <w:rPr>
                <w:sz w:val="20"/>
                <w:szCs w:val="20"/>
                <w:color w:val="auto"/>
              </w:rPr>
            </w:pPr>
            <w:r>
              <w:rPr>
                <w:rFonts w:ascii="Times New Roman" w:cs="Times New Roman" w:eastAsia="Times New Roman" w:hAnsi="Times New Roman"/>
                <w:sz w:val="19"/>
                <w:szCs w:val="19"/>
                <w:color w:val="231F20"/>
              </w:rPr>
              <w:t>—</w:t>
            </w:r>
          </w:p>
        </w:tc>
        <w:tc>
          <w:tcPr>
            <w:tcW w:w="0" w:type="dxa"/>
            <w:vAlign w:val="bottom"/>
          </w:tcPr>
          <w:p>
            <w:pPr>
              <w:spacing w:after="0"/>
              <w:rPr>
                <w:sz w:val="1"/>
                <w:szCs w:val="1"/>
                <w:color w:val="auto"/>
              </w:rPr>
            </w:pPr>
          </w:p>
        </w:tc>
      </w:tr>
      <w:tr>
        <w:trPr>
          <w:trHeight w:val="230"/>
        </w:trPr>
        <w:tc>
          <w:tcPr>
            <w:tcW w:w="4860" w:type="dxa"/>
            <w:vAlign w:val="bottom"/>
            <w:shd w:val="clear" w:color="auto" w:fill="FDFDFC"/>
          </w:tcPr>
          <w:p>
            <w:pPr>
              <w:spacing w:after="0"/>
              <w:rPr>
                <w:sz w:val="20"/>
                <w:szCs w:val="20"/>
                <w:color w:val="auto"/>
              </w:rPr>
            </w:pPr>
            <w:r>
              <w:rPr>
                <w:rFonts w:ascii="Times New Roman" w:cs="Times New Roman" w:eastAsia="Times New Roman" w:hAnsi="Times New Roman"/>
                <w:sz w:val="19"/>
                <w:szCs w:val="19"/>
                <w:color w:val="231F20"/>
              </w:rPr>
              <w:t>Babylon Finco Limited - Delayed Draw</w:t>
            </w:r>
          </w:p>
        </w:tc>
        <w:tc>
          <w:tcPr>
            <w:tcW w:w="120" w:type="dxa"/>
            <w:vAlign w:val="bottom"/>
            <w:shd w:val="clear" w:color="auto" w:fill="FDFDFC"/>
          </w:tcPr>
          <w:p>
            <w:pPr>
              <w:spacing w:after="0"/>
              <w:rPr>
                <w:sz w:val="20"/>
                <w:szCs w:val="20"/>
                <w:color w:val="auto"/>
              </w:rPr>
            </w:pPr>
          </w:p>
        </w:tc>
        <w:tc>
          <w:tcPr>
            <w:tcW w:w="180" w:type="dxa"/>
            <w:vAlign w:val="bottom"/>
            <w:shd w:val="clear" w:color="auto" w:fill="FDFDFC"/>
          </w:tcPr>
          <w:p>
            <w:pPr>
              <w:spacing w:after="0"/>
              <w:rPr>
                <w:sz w:val="20"/>
                <w:szCs w:val="20"/>
                <w:color w:val="auto"/>
              </w:rPr>
            </w:pPr>
          </w:p>
        </w:tc>
        <w:tc>
          <w:tcPr>
            <w:tcW w:w="1560" w:type="dxa"/>
            <w:vAlign w:val="bottom"/>
            <w:shd w:val="clear" w:color="auto" w:fill="FDFDFC"/>
          </w:tcPr>
          <w:p>
            <w:pPr>
              <w:jc w:val="right"/>
              <w:spacing w:after="0"/>
              <w:rPr>
                <w:sz w:val="20"/>
                <w:szCs w:val="20"/>
                <w:color w:val="auto"/>
              </w:rPr>
            </w:pPr>
            <w:r>
              <w:rPr>
                <w:rFonts w:ascii="Times New Roman" w:cs="Times New Roman" w:eastAsia="Times New Roman" w:hAnsi="Times New Roman"/>
                <w:sz w:val="19"/>
                <w:szCs w:val="19"/>
                <w:color w:val="231F20"/>
              </w:rPr>
              <w:t>0.3</w:t>
            </w:r>
          </w:p>
        </w:tc>
        <w:tc>
          <w:tcPr>
            <w:tcW w:w="220" w:type="dxa"/>
            <w:vAlign w:val="bottom"/>
            <w:shd w:val="clear" w:color="auto" w:fill="FDFDFC"/>
          </w:tcPr>
          <w:p>
            <w:pPr>
              <w:spacing w:after="0"/>
              <w:rPr>
                <w:sz w:val="20"/>
                <w:szCs w:val="20"/>
                <w:color w:val="auto"/>
              </w:rPr>
            </w:pPr>
          </w:p>
        </w:tc>
        <w:tc>
          <w:tcPr>
            <w:tcW w:w="200" w:type="dxa"/>
            <w:vAlign w:val="bottom"/>
            <w:shd w:val="clear" w:color="auto" w:fill="FDFDFC"/>
          </w:tcPr>
          <w:p>
            <w:pPr>
              <w:spacing w:after="0"/>
              <w:rPr>
                <w:sz w:val="20"/>
                <w:szCs w:val="20"/>
                <w:color w:val="auto"/>
              </w:rPr>
            </w:pPr>
          </w:p>
        </w:tc>
        <w:tc>
          <w:tcPr>
            <w:tcW w:w="1740" w:type="dxa"/>
            <w:vAlign w:val="bottom"/>
            <w:gridSpan w:val="2"/>
            <w:shd w:val="clear" w:color="auto" w:fill="FDFDFC"/>
          </w:tcPr>
          <w:p>
            <w:pPr>
              <w:jc w:val="right"/>
              <w:ind w:right="120"/>
              <w:spacing w:after="0"/>
              <w:rPr>
                <w:sz w:val="20"/>
                <w:szCs w:val="20"/>
                <w:color w:val="auto"/>
              </w:rPr>
            </w:pPr>
            <w:r>
              <w:rPr>
                <w:rFonts w:ascii="Times New Roman" w:cs="Times New Roman" w:eastAsia="Times New Roman" w:hAnsi="Times New Roman"/>
                <w:sz w:val="19"/>
                <w:szCs w:val="19"/>
                <w:color w:val="231F20"/>
              </w:rPr>
              <w:t>—</w:t>
            </w:r>
          </w:p>
        </w:tc>
        <w:tc>
          <w:tcPr>
            <w:tcW w:w="0" w:type="dxa"/>
            <w:vAlign w:val="bottom"/>
          </w:tcPr>
          <w:p>
            <w:pPr>
              <w:spacing w:after="0"/>
              <w:rPr>
                <w:sz w:val="1"/>
                <w:szCs w:val="1"/>
                <w:color w:val="auto"/>
              </w:rPr>
            </w:pPr>
          </w:p>
        </w:tc>
      </w:tr>
      <w:tr>
        <w:trPr>
          <w:trHeight w:val="230"/>
        </w:trPr>
        <w:tc>
          <w:tcPr>
            <w:tcW w:w="4860" w:type="dxa"/>
            <w:vAlign w:val="bottom"/>
            <w:shd w:val="clear" w:color="auto" w:fill="D0EBF2"/>
          </w:tcPr>
          <w:p>
            <w:pPr>
              <w:spacing w:after="0"/>
              <w:rPr>
                <w:sz w:val="20"/>
                <w:szCs w:val="20"/>
                <w:color w:val="auto"/>
              </w:rPr>
            </w:pPr>
            <w:r>
              <w:rPr>
                <w:rFonts w:ascii="Times New Roman" w:cs="Times New Roman" w:eastAsia="Times New Roman" w:hAnsi="Times New Roman"/>
                <w:sz w:val="19"/>
                <w:szCs w:val="19"/>
                <w:color w:val="231F20"/>
              </w:rPr>
              <w:t>Banyan Software Holdings, LLC - Delayed Draw</w:t>
            </w:r>
          </w:p>
        </w:tc>
        <w:tc>
          <w:tcPr>
            <w:tcW w:w="120" w:type="dxa"/>
            <w:vAlign w:val="bottom"/>
            <w:shd w:val="clear" w:color="auto" w:fill="D0EBF2"/>
          </w:tcPr>
          <w:p>
            <w:pPr>
              <w:spacing w:after="0"/>
              <w:rPr>
                <w:sz w:val="20"/>
                <w:szCs w:val="20"/>
                <w:color w:val="auto"/>
              </w:rPr>
            </w:pPr>
          </w:p>
        </w:tc>
        <w:tc>
          <w:tcPr>
            <w:tcW w:w="180" w:type="dxa"/>
            <w:vAlign w:val="bottom"/>
            <w:shd w:val="clear" w:color="auto" w:fill="D0EBF2"/>
          </w:tcPr>
          <w:p>
            <w:pPr>
              <w:spacing w:after="0"/>
              <w:rPr>
                <w:sz w:val="20"/>
                <w:szCs w:val="20"/>
                <w:color w:val="auto"/>
              </w:rPr>
            </w:pPr>
          </w:p>
        </w:tc>
        <w:tc>
          <w:tcPr>
            <w:tcW w:w="1560" w:type="dxa"/>
            <w:vAlign w:val="bottom"/>
            <w:shd w:val="clear" w:color="auto" w:fill="D0EBF2"/>
          </w:tcPr>
          <w:p>
            <w:pPr>
              <w:jc w:val="right"/>
              <w:spacing w:after="0"/>
              <w:rPr>
                <w:sz w:val="20"/>
                <w:szCs w:val="20"/>
                <w:color w:val="auto"/>
              </w:rPr>
            </w:pPr>
            <w:r>
              <w:rPr>
                <w:rFonts w:ascii="Times New Roman" w:cs="Times New Roman" w:eastAsia="Times New Roman" w:hAnsi="Times New Roman"/>
                <w:sz w:val="19"/>
                <w:szCs w:val="19"/>
                <w:color w:val="231F20"/>
              </w:rPr>
              <w:t>3.9</w:t>
            </w:r>
          </w:p>
        </w:tc>
        <w:tc>
          <w:tcPr>
            <w:tcW w:w="220" w:type="dxa"/>
            <w:vAlign w:val="bottom"/>
            <w:shd w:val="clear" w:color="auto" w:fill="D0EBF2"/>
          </w:tcPr>
          <w:p>
            <w:pPr>
              <w:spacing w:after="0"/>
              <w:rPr>
                <w:sz w:val="20"/>
                <w:szCs w:val="20"/>
                <w:color w:val="auto"/>
              </w:rPr>
            </w:pPr>
          </w:p>
        </w:tc>
        <w:tc>
          <w:tcPr>
            <w:tcW w:w="200" w:type="dxa"/>
            <w:vAlign w:val="bottom"/>
            <w:shd w:val="clear" w:color="auto" w:fill="D0EBF2"/>
          </w:tcPr>
          <w:p>
            <w:pPr>
              <w:spacing w:after="0"/>
              <w:rPr>
                <w:sz w:val="20"/>
                <w:szCs w:val="20"/>
                <w:color w:val="auto"/>
              </w:rPr>
            </w:pPr>
          </w:p>
        </w:tc>
        <w:tc>
          <w:tcPr>
            <w:tcW w:w="1660" w:type="dxa"/>
            <w:vAlign w:val="bottom"/>
            <w:shd w:val="clear" w:color="auto" w:fill="D0EBF2"/>
          </w:tcPr>
          <w:p>
            <w:pPr>
              <w:jc w:val="right"/>
              <w:spacing w:after="0"/>
              <w:rPr>
                <w:sz w:val="20"/>
                <w:szCs w:val="20"/>
                <w:color w:val="auto"/>
              </w:rPr>
            </w:pPr>
            <w:r>
              <w:rPr>
                <w:rFonts w:ascii="Times New Roman" w:cs="Times New Roman" w:eastAsia="Times New Roman" w:hAnsi="Times New Roman"/>
                <w:sz w:val="19"/>
                <w:szCs w:val="19"/>
                <w:color w:val="231F20"/>
              </w:rPr>
              <w:t>10.0</w:t>
            </w:r>
          </w:p>
        </w:tc>
        <w:tc>
          <w:tcPr>
            <w:tcW w:w="80" w:type="dxa"/>
            <w:vAlign w:val="bottom"/>
            <w:shd w:val="clear" w:color="auto" w:fill="D0EBF2"/>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860" w:type="dxa"/>
            <w:vAlign w:val="bottom"/>
            <w:shd w:val="clear" w:color="auto" w:fill="FDFDFC"/>
          </w:tcPr>
          <w:p>
            <w:pPr>
              <w:spacing w:after="0"/>
              <w:rPr>
                <w:sz w:val="20"/>
                <w:szCs w:val="20"/>
                <w:color w:val="auto"/>
              </w:rPr>
            </w:pPr>
            <w:r>
              <w:rPr>
                <w:rFonts w:ascii="Times New Roman" w:cs="Times New Roman" w:eastAsia="Times New Roman" w:hAnsi="Times New Roman"/>
                <w:sz w:val="19"/>
                <w:szCs w:val="19"/>
                <w:color w:val="231F20"/>
              </w:rPr>
              <w:t>Bayshore Intermediate #2, L.P. - Revolver</w:t>
            </w:r>
          </w:p>
        </w:tc>
        <w:tc>
          <w:tcPr>
            <w:tcW w:w="120" w:type="dxa"/>
            <w:vAlign w:val="bottom"/>
            <w:shd w:val="clear" w:color="auto" w:fill="FDFDFC"/>
          </w:tcPr>
          <w:p>
            <w:pPr>
              <w:spacing w:after="0"/>
              <w:rPr>
                <w:sz w:val="20"/>
                <w:szCs w:val="20"/>
                <w:color w:val="auto"/>
              </w:rPr>
            </w:pPr>
          </w:p>
        </w:tc>
        <w:tc>
          <w:tcPr>
            <w:tcW w:w="180" w:type="dxa"/>
            <w:vAlign w:val="bottom"/>
            <w:shd w:val="clear" w:color="auto" w:fill="FDFDFC"/>
          </w:tcPr>
          <w:p>
            <w:pPr>
              <w:spacing w:after="0"/>
              <w:rPr>
                <w:sz w:val="20"/>
                <w:szCs w:val="20"/>
                <w:color w:val="auto"/>
              </w:rPr>
            </w:pPr>
          </w:p>
        </w:tc>
        <w:tc>
          <w:tcPr>
            <w:tcW w:w="1560" w:type="dxa"/>
            <w:vAlign w:val="bottom"/>
            <w:shd w:val="clear" w:color="auto" w:fill="FDFDFC"/>
          </w:tcPr>
          <w:p>
            <w:pPr>
              <w:jc w:val="right"/>
              <w:spacing w:after="0"/>
              <w:rPr>
                <w:sz w:val="20"/>
                <w:szCs w:val="20"/>
                <w:color w:val="auto"/>
              </w:rPr>
            </w:pPr>
            <w:r>
              <w:rPr>
                <w:rFonts w:ascii="Times New Roman" w:cs="Times New Roman" w:eastAsia="Times New Roman" w:hAnsi="Times New Roman"/>
                <w:sz w:val="19"/>
                <w:szCs w:val="19"/>
                <w:color w:val="231F20"/>
              </w:rPr>
              <w:t>3.6</w:t>
            </w:r>
          </w:p>
        </w:tc>
        <w:tc>
          <w:tcPr>
            <w:tcW w:w="220" w:type="dxa"/>
            <w:vAlign w:val="bottom"/>
            <w:shd w:val="clear" w:color="auto" w:fill="FDFDFC"/>
          </w:tcPr>
          <w:p>
            <w:pPr>
              <w:spacing w:after="0"/>
              <w:rPr>
                <w:sz w:val="20"/>
                <w:szCs w:val="20"/>
                <w:color w:val="auto"/>
              </w:rPr>
            </w:pPr>
          </w:p>
        </w:tc>
        <w:tc>
          <w:tcPr>
            <w:tcW w:w="200" w:type="dxa"/>
            <w:vAlign w:val="bottom"/>
            <w:shd w:val="clear" w:color="auto" w:fill="FDFDFC"/>
          </w:tcPr>
          <w:p>
            <w:pPr>
              <w:spacing w:after="0"/>
              <w:rPr>
                <w:sz w:val="20"/>
                <w:szCs w:val="20"/>
                <w:color w:val="auto"/>
              </w:rPr>
            </w:pPr>
          </w:p>
        </w:tc>
        <w:tc>
          <w:tcPr>
            <w:tcW w:w="1660" w:type="dxa"/>
            <w:vAlign w:val="bottom"/>
            <w:shd w:val="clear" w:color="auto" w:fill="FDFDFC"/>
          </w:tcPr>
          <w:p>
            <w:pPr>
              <w:jc w:val="right"/>
              <w:spacing w:after="0"/>
              <w:rPr>
                <w:sz w:val="20"/>
                <w:szCs w:val="20"/>
                <w:color w:val="auto"/>
              </w:rPr>
            </w:pPr>
            <w:r>
              <w:rPr>
                <w:rFonts w:ascii="Times New Roman" w:cs="Times New Roman" w:eastAsia="Times New Roman" w:hAnsi="Times New Roman"/>
                <w:sz w:val="19"/>
                <w:szCs w:val="19"/>
                <w:color w:val="231F20"/>
              </w:rPr>
              <w:t>1.9</w:t>
            </w:r>
          </w:p>
        </w:tc>
        <w:tc>
          <w:tcPr>
            <w:tcW w:w="80" w:type="dxa"/>
            <w:vAlign w:val="bottom"/>
            <w:shd w:val="clear" w:color="auto" w:fill="FDFD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860" w:type="dxa"/>
            <w:vAlign w:val="bottom"/>
            <w:shd w:val="clear" w:color="auto" w:fill="D0EBF2"/>
          </w:tcPr>
          <w:p>
            <w:pPr>
              <w:spacing w:after="0"/>
              <w:rPr>
                <w:sz w:val="20"/>
                <w:szCs w:val="20"/>
                <w:color w:val="auto"/>
              </w:rPr>
            </w:pPr>
            <w:r>
              <w:rPr>
                <w:rFonts w:ascii="Times New Roman" w:cs="Times New Roman" w:eastAsia="Times New Roman" w:hAnsi="Times New Roman"/>
                <w:sz w:val="19"/>
                <w:szCs w:val="19"/>
                <w:color w:val="231F20"/>
              </w:rPr>
              <w:t>BCTO Ace Purchaser, Inc. - Delayed Draw &amp; Revolver</w:t>
            </w:r>
          </w:p>
        </w:tc>
        <w:tc>
          <w:tcPr>
            <w:tcW w:w="120" w:type="dxa"/>
            <w:vAlign w:val="bottom"/>
            <w:shd w:val="clear" w:color="auto" w:fill="D0EBF2"/>
          </w:tcPr>
          <w:p>
            <w:pPr>
              <w:spacing w:after="0"/>
              <w:rPr>
                <w:sz w:val="20"/>
                <w:szCs w:val="20"/>
                <w:color w:val="auto"/>
              </w:rPr>
            </w:pPr>
          </w:p>
        </w:tc>
        <w:tc>
          <w:tcPr>
            <w:tcW w:w="180" w:type="dxa"/>
            <w:vAlign w:val="bottom"/>
            <w:shd w:val="clear" w:color="auto" w:fill="D0EBF2"/>
          </w:tcPr>
          <w:p>
            <w:pPr>
              <w:spacing w:after="0"/>
              <w:rPr>
                <w:sz w:val="20"/>
                <w:szCs w:val="20"/>
                <w:color w:val="auto"/>
              </w:rPr>
            </w:pPr>
          </w:p>
        </w:tc>
        <w:tc>
          <w:tcPr>
            <w:tcW w:w="1560" w:type="dxa"/>
            <w:vAlign w:val="bottom"/>
            <w:shd w:val="clear" w:color="auto" w:fill="D0EBF2"/>
          </w:tcPr>
          <w:p>
            <w:pPr>
              <w:jc w:val="right"/>
              <w:spacing w:after="0"/>
              <w:rPr>
                <w:sz w:val="20"/>
                <w:szCs w:val="20"/>
                <w:color w:val="auto"/>
              </w:rPr>
            </w:pPr>
            <w:r>
              <w:rPr>
                <w:rFonts w:ascii="Times New Roman" w:cs="Times New Roman" w:eastAsia="Times New Roman" w:hAnsi="Times New Roman"/>
                <w:sz w:val="19"/>
                <w:szCs w:val="19"/>
                <w:color w:val="231F20"/>
              </w:rPr>
              <w:t>0.3</w:t>
            </w:r>
          </w:p>
        </w:tc>
        <w:tc>
          <w:tcPr>
            <w:tcW w:w="220" w:type="dxa"/>
            <w:vAlign w:val="bottom"/>
            <w:shd w:val="clear" w:color="auto" w:fill="D0EBF2"/>
          </w:tcPr>
          <w:p>
            <w:pPr>
              <w:spacing w:after="0"/>
              <w:rPr>
                <w:sz w:val="20"/>
                <w:szCs w:val="20"/>
                <w:color w:val="auto"/>
              </w:rPr>
            </w:pPr>
          </w:p>
        </w:tc>
        <w:tc>
          <w:tcPr>
            <w:tcW w:w="200" w:type="dxa"/>
            <w:vAlign w:val="bottom"/>
            <w:shd w:val="clear" w:color="auto" w:fill="D0EBF2"/>
          </w:tcPr>
          <w:p>
            <w:pPr>
              <w:spacing w:after="0"/>
              <w:rPr>
                <w:sz w:val="20"/>
                <w:szCs w:val="20"/>
                <w:color w:val="auto"/>
              </w:rPr>
            </w:pPr>
          </w:p>
        </w:tc>
        <w:tc>
          <w:tcPr>
            <w:tcW w:w="1660" w:type="dxa"/>
            <w:vAlign w:val="bottom"/>
            <w:shd w:val="clear" w:color="auto" w:fill="D0EBF2"/>
          </w:tcPr>
          <w:p>
            <w:pPr>
              <w:jc w:val="right"/>
              <w:spacing w:after="0"/>
              <w:rPr>
                <w:sz w:val="20"/>
                <w:szCs w:val="20"/>
                <w:color w:val="auto"/>
              </w:rPr>
            </w:pPr>
            <w:r>
              <w:rPr>
                <w:rFonts w:ascii="Times New Roman" w:cs="Times New Roman" w:eastAsia="Times New Roman" w:hAnsi="Times New Roman"/>
                <w:sz w:val="19"/>
                <w:szCs w:val="19"/>
                <w:color w:val="231F20"/>
              </w:rPr>
              <w:t>0.5</w:t>
            </w:r>
          </w:p>
        </w:tc>
        <w:tc>
          <w:tcPr>
            <w:tcW w:w="80" w:type="dxa"/>
            <w:vAlign w:val="bottom"/>
            <w:shd w:val="clear" w:color="auto" w:fill="D0EBF2"/>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860" w:type="dxa"/>
            <w:vAlign w:val="bottom"/>
            <w:shd w:val="clear" w:color="auto" w:fill="FDFDFC"/>
          </w:tcPr>
          <w:p>
            <w:pPr>
              <w:spacing w:after="0"/>
              <w:rPr>
                <w:sz w:val="20"/>
                <w:szCs w:val="20"/>
                <w:color w:val="auto"/>
              </w:rPr>
            </w:pPr>
            <w:r>
              <w:rPr>
                <w:rFonts w:ascii="Times New Roman" w:cs="Times New Roman" w:eastAsia="Times New Roman" w:hAnsi="Times New Roman"/>
                <w:sz w:val="19"/>
                <w:szCs w:val="19"/>
                <w:color w:val="231F20"/>
              </w:rPr>
              <w:t>BCTO Bluebill Buyer, Inc. - Delayed Draw</w:t>
            </w:r>
          </w:p>
        </w:tc>
        <w:tc>
          <w:tcPr>
            <w:tcW w:w="120" w:type="dxa"/>
            <w:vAlign w:val="bottom"/>
            <w:shd w:val="clear" w:color="auto" w:fill="FDFDFC"/>
          </w:tcPr>
          <w:p>
            <w:pPr>
              <w:spacing w:after="0"/>
              <w:rPr>
                <w:sz w:val="20"/>
                <w:szCs w:val="20"/>
                <w:color w:val="auto"/>
              </w:rPr>
            </w:pPr>
          </w:p>
        </w:tc>
        <w:tc>
          <w:tcPr>
            <w:tcW w:w="180" w:type="dxa"/>
            <w:vAlign w:val="bottom"/>
            <w:shd w:val="clear" w:color="auto" w:fill="FDFDFC"/>
          </w:tcPr>
          <w:p>
            <w:pPr>
              <w:spacing w:after="0"/>
              <w:rPr>
                <w:sz w:val="20"/>
                <w:szCs w:val="20"/>
                <w:color w:val="auto"/>
              </w:rPr>
            </w:pPr>
          </w:p>
        </w:tc>
        <w:tc>
          <w:tcPr>
            <w:tcW w:w="1560" w:type="dxa"/>
            <w:vAlign w:val="bottom"/>
            <w:shd w:val="clear" w:color="auto" w:fill="FDFDFC"/>
          </w:tcPr>
          <w:p>
            <w:pPr>
              <w:jc w:val="right"/>
              <w:spacing w:after="0"/>
              <w:rPr>
                <w:sz w:val="20"/>
                <w:szCs w:val="20"/>
                <w:color w:val="auto"/>
              </w:rPr>
            </w:pPr>
            <w:r>
              <w:rPr>
                <w:rFonts w:ascii="Times New Roman" w:cs="Times New Roman" w:eastAsia="Times New Roman" w:hAnsi="Times New Roman"/>
                <w:sz w:val="19"/>
                <w:szCs w:val="19"/>
                <w:color w:val="231F20"/>
              </w:rPr>
              <w:t>4.1</w:t>
            </w:r>
          </w:p>
        </w:tc>
        <w:tc>
          <w:tcPr>
            <w:tcW w:w="220" w:type="dxa"/>
            <w:vAlign w:val="bottom"/>
            <w:shd w:val="clear" w:color="auto" w:fill="FDFDFC"/>
          </w:tcPr>
          <w:p>
            <w:pPr>
              <w:spacing w:after="0"/>
              <w:rPr>
                <w:sz w:val="20"/>
                <w:szCs w:val="20"/>
                <w:color w:val="auto"/>
              </w:rPr>
            </w:pPr>
          </w:p>
        </w:tc>
        <w:tc>
          <w:tcPr>
            <w:tcW w:w="200" w:type="dxa"/>
            <w:vAlign w:val="bottom"/>
            <w:shd w:val="clear" w:color="auto" w:fill="FDFDFC"/>
          </w:tcPr>
          <w:p>
            <w:pPr>
              <w:spacing w:after="0"/>
              <w:rPr>
                <w:sz w:val="20"/>
                <w:szCs w:val="20"/>
                <w:color w:val="auto"/>
              </w:rPr>
            </w:pPr>
          </w:p>
        </w:tc>
        <w:tc>
          <w:tcPr>
            <w:tcW w:w="1660" w:type="dxa"/>
            <w:vAlign w:val="bottom"/>
            <w:shd w:val="clear" w:color="auto" w:fill="FDFDFC"/>
          </w:tcPr>
          <w:p>
            <w:pPr>
              <w:jc w:val="right"/>
              <w:spacing w:after="0"/>
              <w:rPr>
                <w:sz w:val="20"/>
                <w:szCs w:val="20"/>
                <w:color w:val="auto"/>
              </w:rPr>
            </w:pPr>
            <w:r>
              <w:rPr>
                <w:rFonts w:ascii="Times New Roman" w:cs="Times New Roman" w:eastAsia="Times New Roman" w:hAnsi="Times New Roman"/>
                <w:sz w:val="19"/>
                <w:szCs w:val="19"/>
                <w:color w:val="231F20"/>
              </w:rPr>
              <w:t>5.1</w:t>
            </w:r>
          </w:p>
        </w:tc>
        <w:tc>
          <w:tcPr>
            <w:tcW w:w="80" w:type="dxa"/>
            <w:vAlign w:val="bottom"/>
            <w:shd w:val="clear" w:color="auto" w:fill="FDFD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860" w:type="dxa"/>
            <w:vAlign w:val="bottom"/>
            <w:shd w:val="clear" w:color="auto" w:fill="D0EBF2"/>
          </w:tcPr>
          <w:p>
            <w:pPr>
              <w:spacing w:after="0"/>
              <w:rPr>
                <w:sz w:val="20"/>
                <w:szCs w:val="20"/>
                <w:color w:val="auto"/>
              </w:rPr>
            </w:pPr>
            <w:r>
              <w:rPr>
                <w:rFonts w:ascii="Times New Roman" w:cs="Times New Roman" w:eastAsia="Times New Roman" w:hAnsi="Times New Roman"/>
                <w:sz w:val="19"/>
                <w:szCs w:val="19"/>
                <w:color w:val="231F20"/>
              </w:rPr>
              <w:t>Bear OpCo, LLC - Delayed Draw</w:t>
            </w:r>
          </w:p>
        </w:tc>
        <w:tc>
          <w:tcPr>
            <w:tcW w:w="120" w:type="dxa"/>
            <w:vAlign w:val="bottom"/>
            <w:shd w:val="clear" w:color="auto" w:fill="D0EBF2"/>
          </w:tcPr>
          <w:p>
            <w:pPr>
              <w:spacing w:after="0"/>
              <w:rPr>
                <w:sz w:val="20"/>
                <w:szCs w:val="20"/>
                <w:color w:val="auto"/>
              </w:rPr>
            </w:pPr>
          </w:p>
        </w:tc>
        <w:tc>
          <w:tcPr>
            <w:tcW w:w="180" w:type="dxa"/>
            <w:vAlign w:val="bottom"/>
            <w:shd w:val="clear" w:color="auto" w:fill="D0EBF2"/>
          </w:tcPr>
          <w:p>
            <w:pPr>
              <w:spacing w:after="0"/>
              <w:rPr>
                <w:sz w:val="20"/>
                <w:szCs w:val="20"/>
                <w:color w:val="auto"/>
              </w:rPr>
            </w:pPr>
          </w:p>
        </w:tc>
        <w:tc>
          <w:tcPr>
            <w:tcW w:w="1560" w:type="dxa"/>
            <w:vAlign w:val="bottom"/>
            <w:shd w:val="clear" w:color="auto" w:fill="D0EBF2"/>
          </w:tcPr>
          <w:p>
            <w:pPr>
              <w:jc w:val="right"/>
              <w:spacing w:after="0"/>
              <w:rPr>
                <w:sz w:val="20"/>
                <w:szCs w:val="20"/>
                <w:color w:val="auto"/>
              </w:rPr>
            </w:pPr>
            <w:r>
              <w:rPr>
                <w:rFonts w:ascii="Times New Roman" w:cs="Times New Roman" w:eastAsia="Times New Roman" w:hAnsi="Times New Roman"/>
                <w:sz w:val="19"/>
                <w:szCs w:val="19"/>
                <w:color w:val="231F20"/>
              </w:rPr>
              <w:t>—</w:t>
            </w:r>
          </w:p>
        </w:tc>
        <w:tc>
          <w:tcPr>
            <w:tcW w:w="220" w:type="dxa"/>
            <w:vAlign w:val="bottom"/>
            <w:shd w:val="clear" w:color="auto" w:fill="D0EBF2"/>
          </w:tcPr>
          <w:p>
            <w:pPr>
              <w:spacing w:after="0"/>
              <w:rPr>
                <w:sz w:val="20"/>
                <w:szCs w:val="20"/>
                <w:color w:val="auto"/>
              </w:rPr>
            </w:pPr>
          </w:p>
        </w:tc>
        <w:tc>
          <w:tcPr>
            <w:tcW w:w="200" w:type="dxa"/>
            <w:vAlign w:val="bottom"/>
            <w:shd w:val="clear" w:color="auto" w:fill="D0EBF2"/>
          </w:tcPr>
          <w:p>
            <w:pPr>
              <w:spacing w:after="0"/>
              <w:rPr>
                <w:sz w:val="20"/>
                <w:szCs w:val="20"/>
                <w:color w:val="auto"/>
              </w:rPr>
            </w:pPr>
          </w:p>
        </w:tc>
        <w:tc>
          <w:tcPr>
            <w:tcW w:w="1660" w:type="dxa"/>
            <w:vAlign w:val="bottom"/>
            <w:shd w:val="clear" w:color="auto" w:fill="D0EBF2"/>
          </w:tcPr>
          <w:p>
            <w:pPr>
              <w:jc w:val="right"/>
              <w:spacing w:after="0"/>
              <w:rPr>
                <w:sz w:val="20"/>
                <w:szCs w:val="20"/>
                <w:color w:val="auto"/>
              </w:rPr>
            </w:pPr>
            <w:r>
              <w:rPr>
                <w:rFonts w:ascii="Times New Roman" w:cs="Times New Roman" w:eastAsia="Times New Roman" w:hAnsi="Times New Roman"/>
                <w:sz w:val="19"/>
                <w:szCs w:val="19"/>
                <w:color w:val="231F20"/>
              </w:rPr>
              <w:t>1.2</w:t>
            </w:r>
          </w:p>
        </w:tc>
        <w:tc>
          <w:tcPr>
            <w:tcW w:w="80" w:type="dxa"/>
            <w:vAlign w:val="bottom"/>
            <w:shd w:val="clear" w:color="auto" w:fill="D0EBF2"/>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860" w:type="dxa"/>
            <w:vAlign w:val="bottom"/>
            <w:shd w:val="clear" w:color="auto" w:fill="FDFDFC"/>
          </w:tcPr>
          <w:p>
            <w:pPr>
              <w:spacing w:after="0"/>
              <w:rPr>
                <w:sz w:val="20"/>
                <w:szCs w:val="20"/>
                <w:color w:val="auto"/>
              </w:rPr>
            </w:pPr>
            <w:r>
              <w:rPr>
                <w:rFonts w:ascii="Times New Roman" w:cs="Times New Roman" w:eastAsia="Times New Roman" w:hAnsi="Times New Roman"/>
                <w:sz w:val="19"/>
                <w:szCs w:val="19"/>
                <w:color w:val="231F20"/>
              </w:rPr>
              <w:t>Ben Nevis Midco Limited - Delayed Draw</w:t>
            </w:r>
          </w:p>
        </w:tc>
        <w:tc>
          <w:tcPr>
            <w:tcW w:w="120" w:type="dxa"/>
            <w:vAlign w:val="bottom"/>
            <w:shd w:val="clear" w:color="auto" w:fill="FDFDFC"/>
          </w:tcPr>
          <w:p>
            <w:pPr>
              <w:spacing w:after="0"/>
              <w:rPr>
                <w:sz w:val="20"/>
                <w:szCs w:val="20"/>
                <w:color w:val="auto"/>
              </w:rPr>
            </w:pPr>
          </w:p>
        </w:tc>
        <w:tc>
          <w:tcPr>
            <w:tcW w:w="180" w:type="dxa"/>
            <w:vAlign w:val="bottom"/>
            <w:shd w:val="clear" w:color="auto" w:fill="FDFDFC"/>
          </w:tcPr>
          <w:p>
            <w:pPr>
              <w:spacing w:after="0"/>
              <w:rPr>
                <w:sz w:val="20"/>
                <w:szCs w:val="20"/>
                <w:color w:val="auto"/>
              </w:rPr>
            </w:pPr>
          </w:p>
        </w:tc>
        <w:tc>
          <w:tcPr>
            <w:tcW w:w="1560" w:type="dxa"/>
            <w:vAlign w:val="bottom"/>
            <w:shd w:val="clear" w:color="auto" w:fill="FDFDFC"/>
          </w:tcPr>
          <w:p>
            <w:pPr>
              <w:jc w:val="right"/>
              <w:spacing w:after="0"/>
              <w:rPr>
                <w:sz w:val="20"/>
                <w:szCs w:val="20"/>
                <w:color w:val="auto"/>
              </w:rPr>
            </w:pPr>
            <w:r>
              <w:rPr>
                <w:rFonts w:ascii="Times New Roman" w:cs="Times New Roman" w:eastAsia="Times New Roman" w:hAnsi="Times New Roman"/>
                <w:sz w:val="19"/>
                <w:szCs w:val="19"/>
                <w:color w:val="231F20"/>
              </w:rPr>
              <w:t>1.4</w:t>
            </w:r>
          </w:p>
        </w:tc>
        <w:tc>
          <w:tcPr>
            <w:tcW w:w="220" w:type="dxa"/>
            <w:vAlign w:val="bottom"/>
            <w:shd w:val="clear" w:color="auto" w:fill="FDFDFC"/>
          </w:tcPr>
          <w:p>
            <w:pPr>
              <w:spacing w:after="0"/>
              <w:rPr>
                <w:sz w:val="20"/>
                <w:szCs w:val="20"/>
                <w:color w:val="auto"/>
              </w:rPr>
            </w:pPr>
          </w:p>
        </w:tc>
        <w:tc>
          <w:tcPr>
            <w:tcW w:w="200" w:type="dxa"/>
            <w:vAlign w:val="bottom"/>
            <w:shd w:val="clear" w:color="auto" w:fill="FDFDFC"/>
          </w:tcPr>
          <w:p>
            <w:pPr>
              <w:spacing w:after="0"/>
              <w:rPr>
                <w:sz w:val="20"/>
                <w:szCs w:val="20"/>
                <w:color w:val="auto"/>
              </w:rPr>
            </w:pPr>
          </w:p>
        </w:tc>
        <w:tc>
          <w:tcPr>
            <w:tcW w:w="1740" w:type="dxa"/>
            <w:vAlign w:val="bottom"/>
            <w:gridSpan w:val="2"/>
            <w:shd w:val="clear" w:color="auto" w:fill="FDFDFC"/>
          </w:tcPr>
          <w:p>
            <w:pPr>
              <w:jc w:val="right"/>
              <w:ind w:right="120"/>
              <w:spacing w:after="0"/>
              <w:rPr>
                <w:sz w:val="20"/>
                <w:szCs w:val="20"/>
                <w:color w:val="auto"/>
              </w:rPr>
            </w:pPr>
            <w:r>
              <w:rPr>
                <w:rFonts w:ascii="Times New Roman" w:cs="Times New Roman" w:eastAsia="Times New Roman" w:hAnsi="Times New Roman"/>
                <w:sz w:val="19"/>
                <w:szCs w:val="19"/>
                <w:color w:val="231F20"/>
              </w:rPr>
              <w:t>—</w:t>
            </w:r>
          </w:p>
        </w:tc>
        <w:tc>
          <w:tcPr>
            <w:tcW w:w="0" w:type="dxa"/>
            <w:vAlign w:val="bottom"/>
          </w:tcPr>
          <w:p>
            <w:pPr>
              <w:spacing w:after="0"/>
              <w:rPr>
                <w:sz w:val="1"/>
                <w:szCs w:val="1"/>
                <w:color w:val="auto"/>
              </w:rPr>
            </w:pPr>
          </w:p>
        </w:tc>
      </w:tr>
      <w:tr>
        <w:trPr>
          <w:trHeight w:val="230"/>
        </w:trPr>
        <w:tc>
          <w:tcPr>
            <w:tcW w:w="4860" w:type="dxa"/>
            <w:vAlign w:val="bottom"/>
            <w:shd w:val="clear" w:color="auto" w:fill="D0EBF2"/>
          </w:tcPr>
          <w:p>
            <w:pPr>
              <w:spacing w:after="0"/>
              <w:rPr>
                <w:sz w:val="20"/>
                <w:szCs w:val="20"/>
                <w:color w:val="auto"/>
              </w:rPr>
            </w:pPr>
            <w:r>
              <w:rPr>
                <w:rFonts w:ascii="Times New Roman" w:cs="Times New Roman" w:eastAsia="Times New Roman" w:hAnsi="Times New Roman"/>
                <w:sz w:val="19"/>
                <w:szCs w:val="19"/>
                <w:color w:val="231F20"/>
              </w:rPr>
              <w:t>BlueSnap, Inc. - Delayed Draw &amp; Revolver</w:t>
            </w:r>
          </w:p>
        </w:tc>
        <w:tc>
          <w:tcPr>
            <w:tcW w:w="120" w:type="dxa"/>
            <w:vAlign w:val="bottom"/>
            <w:shd w:val="clear" w:color="auto" w:fill="D0EBF2"/>
          </w:tcPr>
          <w:p>
            <w:pPr>
              <w:spacing w:after="0"/>
              <w:rPr>
                <w:sz w:val="20"/>
                <w:szCs w:val="20"/>
                <w:color w:val="auto"/>
              </w:rPr>
            </w:pPr>
          </w:p>
        </w:tc>
        <w:tc>
          <w:tcPr>
            <w:tcW w:w="180" w:type="dxa"/>
            <w:vAlign w:val="bottom"/>
            <w:shd w:val="clear" w:color="auto" w:fill="D0EBF2"/>
          </w:tcPr>
          <w:p>
            <w:pPr>
              <w:spacing w:after="0"/>
              <w:rPr>
                <w:sz w:val="20"/>
                <w:szCs w:val="20"/>
                <w:color w:val="auto"/>
              </w:rPr>
            </w:pPr>
          </w:p>
        </w:tc>
        <w:tc>
          <w:tcPr>
            <w:tcW w:w="1560" w:type="dxa"/>
            <w:vAlign w:val="bottom"/>
            <w:shd w:val="clear" w:color="auto" w:fill="D0EBF2"/>
          </w:tcPr>
          <w:p>
            <w:pPr>
              <w:jc w:val="right"/>
              <w:spacing w:after="0"/>
              <w:rPr>
                <w:sz w:val="20"/>
                <w:szCs w:val="20"/>
                <w:color w:val="auto"/>
              </w:rPr>
            </w:pPr>
            <w:r>
              <w:rPr>
                <w:rFonts w:ascii="Times New Roman" w:cs="Times New Roman" w:eastAsia="Times New Roman" w:hAnsi="Times New Roman"/>
                <w:sz w:val="19"/>
                <w:szCs w:val="19"/>
                <w:color w:val="231F20"/>
              </w:rPr>
              <w:t>5.1</w:t>
            </w:r>
          </w:p>
        </w:tc>
        <w:tc>
          <w:tcPr>
            <w:tcW w:w="220" w:type="dxa"/>
            <w:vAlign w:val="bottom"/>
            <w:shd w:val="clear" w:color="auto" w:fill="D0EBF2"/>
          </w:tcPr>
          <w:p>
            <w:pPr>
              <w:spacing w:after="0"/>
              <w:rPr>
                <w:sz w:val="20"/>
                <w:szCs w:val="20"/>
                <w:color w:val="auto"/>
              </w:rPr>
            </w:pPr>
          </w:p>
        </w:tc>
        <w:tc>
          <w:tcPr>
            <w:tcW w:w="200" w:type="dxa"/>
            <w:vAlign w:val="bottom"/>
            <w:shd w:val="clear" w:color="auto" w:fill="D0EBF2"/>
          </w:tcPr>
          <w:p>
            <w:pPr>
              <w:spacing w:after="0"/>
              <w:rPr>
                <w:sz w:val="20"/>
                <w:szCs w:val="20"/>
                <w:color w:val="auto"/>
              </w:rPr>
            </w:pPr>
          </w:p>
        </w:tc>
        <w:tc>
          <w:tcPr>
            <w:tcW w:w="1660" w:type="dxa"/>
            <w:vAlign w:val="bottom"/>
            <w:shd w:val="clear" w:color="auto" w:fill="D0EBF2"/>
          </w:tcPr>
          <w:p>
            <w:pPr>
              <w:jc w:val="right"/>
              <w:spacing w:after="0"/>
              <w:rPr>
                <w:sz w:val="20"/>
                <w:szCs w:val="20"/>
                <w:color w:val="auto"/>
              </w:rPr>
            </w:pPr>
            <w:r>
              <w:rPr>
                <w:rFonts w:ascii="Times New Roman" w:cs="Times New Roman" w:eastAsia="Times New Roman" w:hAnsi="Times New Roman"/>
                <w:sz w:val="19"/>
                <w:szCs w:val="19"/>
                <w:color w:val="231F20"/>
              </w:rPr>
              <w:t>2.5</w:t>
            </w:r>
          </w:p>
        </w:tc>
        <w:tc>
          <w:tcPr>
            <w:tcW w:w="80" w:type="dxa"/>
            <w:vAlign w:val="bottom"/>
            <w:shd w:val="clear" w:color="auto" w:fill="D0EBF2"/>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860" w:type="dxa"/>
            <w:vAlign w:val="bottom"/>
            <w:shd w:val="clear" w:color="auto" w:fill="FDFDFC"/>
          </w:tcPr>
          <w:p>
            <w:pPr>
              <w:spacing w:after="0"/>
              <w:rPr>
                <w:sz w:val="20"/>
                <w:szCs w:val="20"/>
                <w:color w:val="auto"/>
              </w:rPr>
            </w:pPr>
            <w:r>
              <w:rPr>
                <w:rFonts w:ascii="Times New Roman" w:cs="Times New Roman" w:eastAsia="Times New Roman" w:hAnsi="Times New Roman"/>
                <w:sz w:val="19"/>
                <w:szCs w:val="19"/>
                <w:color w:val="231F20"/>
              </w:rPr>
              <w:t>BTRS Holdings, Inc. - Delayed Draw &amp; Revolver</w:t>
            </w:r>
          </w:p>
        </w:tc>
        <w:tc>
          <w:tcPr>
            <w:tcW w:w="120" w:type="dxa"/>
            <w:vAlign w:val="bottom"/>
            <w:shd w:val="clear" w:color="auto" w:fill="FDFDFC"/>
          </w:tcPr>
          <w:p>
            <w:pPr>
              <w:spacing w:after="0"/>
              <w:rPr>
                <w:sz w:val="20"/>
                <w:szCs w:val="20"/>
                <w:color w:val="auto"/>
              </w:rPr>
            </w:pPr>
          </w:p>
        </w:tc>
        <w:tc>
          <w:tcPr>
            <w:tcW w:w="180" w:type="dxa"/>
            <w:vAlign w:val="bottom"/>
            <w:shd w:val="clear" w:color="auto" w:fill="FDFDFC"/>
          </w:tcPr>
          <w:p>
            <w:pPr>
              <w:spacing w:after="0"/>
              <w:rPr>
                <w:sz w:val="20"/>
                <w:szCs w:val="20"/>
                <w:color w:val="auto"/>
              </w:rPr>
            </w:pPr>
          </w:p>
        </w:tc>
        <w:tc>
          <w:tcPr>
            <w:tcW w:w="1560" w:type="dxa"/>
            <w:vAlign w:val="bottom"/>
            <w:shd w:val="clear" w:color="auto" w:fill="FDFDFC"/>
          </w:tcPr>
          <w:p>
            <w:pPr>
              <w:jc w:val="right"/>
              <w:spacing w:after="0"/>
              <w:rPr>
                <w:sz w:val="20"/>
                <w:szCs w:val="20"/>
                <w:color w:val="auto"/>
              </w:rPr>
            </w:pPr>
            <w:r>
              <w:rPr>
                <w:rFonts w:ascii="Times New Roman" w:cs="Times New Roman" w:eastAsia="Times New Roman" w:hAnsi="Times New Roman"/>
                <w:sz w:val="19"/>
                <w:szCs w:val="19"/>
                <w:color w:val="231F20"/>
              </w:rPr>
              <w:t>3.0</w:t>
            </w:r>
          </w:p>
        </w:tc>
        <w:tc>
          <w:tcPr>
            <w:tcW w:w="220" w:type="dxa"/>
            <w:vAlign w:val="bottom"/>
            <w:shd w:val="clear" w:color="auto" w:fill="FDFDFC"/>
          </w:tcPr>
          <w:p>
            <w:pPr>
              <w:spacing w:after="0"/>
              <w:rPr>
                <w:sz w:val="20"/>
                <w:szCs w:val="20"/>
                <w:color w:val="auto"/>
              </w:rPr>
            </w:pPr>
          </w:p>
        </w:tc>
        <w:tc>
          <w:tcPr>
            <w:tcW w:w="200" w:type="dxa"/>
            <w:vAlign w:val="bottom"/>
            <w:shd w:val="clear" w:color="auto" w:fill="FDFDFC"/>
          </w:tcPr>
          <w:p>
            <w:pPr>
              <w:spacing w:after="0"/>
              <w:rPr>
                <w:sz w:val="20"/>
                <w:szCs w:val="20"/>
                <w:color w:val="auto"/>
              </w:rPr>
            </w:pPr>
          </w:p>
        </w:tc>
        <w:tc>
          <w:tcPr>
            <w:tcW w:w="1660" w:type="dxa"/>
            <w:vAlign w:val="bottom"/>
            <w:shd w:val="clear" w:color="auto" w:fill="FDFDFC"/>
          </w:tcPr>
          <w:p>
            <w:pPr>
              <w:jc w:val="right"/>
              <w:spacing w:after="0"/>
              <w:rPr>
                <w:sz w:val="20"/>
                <w:szCs w:val="20"/>
                <w:color w:val="auto"/>
              </w:rPr>
            </w:pPr>
            <w:r>
              <w:rPr>
                <w:rFonts w:ascii="Times New Roman" w:cs="Times New Roman" w:eastAsia="Times New Roman" w:hAnsi="Times New Roman"/>
                <w:sz w:val="19"/>
                <w:szCs w:val="19"/>
                <w:color w:val="231F20"/>
              </w:rPr>
              <w:t>5.6</w:t>
            </w:r>
          </w:p>
        </w:tc>
        <w:tc>
          <w:tcPr>
            <w:tcW w:w="80" w:type="dxa"/>
            <w:vAlign w:val="bottom"/>
            <w:shd w:val="clear" w:color="auto" w:fill="FDFD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860" w:type="dxa"/>
            <w:vAlign w:val="bottom"/>
            <w:shd w:val="clear" w:color="auto" w:fill="D0EBF2"/>
          </w:tcPr>
          <w:p>
            <w:pPr>
              <w:spacing w:after="0"/>
              <w:rPr>
                <w:sz w:val="20"/>
                <w:szCs w:val="20"/>
                <w:color w:val="auto"/>
              </w:rPr>
            </w:pPr>
            <w:r>
              <w:rPr>
                <w:rFonts w:ascii="Times New Roman" w:cs="Times New Roman" w:eastAsia="Times New Roman" w:hAnsi="Times New Roman"/>
                <w:sz w:val="19"/>
                <w:szCs w:val="19"/>
                <w:color w:val="231F20"/>
              </w:rPr>
              <w:t>Cirrus (Bidco) Ltd - Delayed Draw</w:t>
            </w:r>
          </w:p>
        </w:tc>
        <w:tc>
          <w:tcPr>
            <w:tcW w:w="120" w:type="dxa"/>
            <w:vAlign w:val="bottom"/>
            <w:shd w:val="clear" w:color="auto" w:fill="D0EBF2"/>
          </w:tcPr>
          <w:p>
            <w:pPr>
              <w:spacing w:after="0"/>
              <w:rPr>
                <w:sz w:val="20"/>
                <w:szCs w:val="20"/>
                <w:color w:val="auto"/>
              </w:rPr>
            </w:pPr>
          </w:p>
        </w:tc>
        <w:tc>
          <w:tcPr>
            <w:tcW w:w="180" w:type="dxa"/>
            <w:vAlign w:val="bottom"/>
            <w:shd w:val="clear" w:color="auto" w:fill="D0EBF2"/>
          </w:tcPr>
          <w:p>
            <w:pPr>
              <w:spacing w:after="0"/>
              <w:rPr>
                <w:sz w:val="20"/>
                <w:szCs w:val="20"/>
                <w:color w:val="auto"/>
              </w:rPr>
            </w:pPr>
          </w:p>
        </w:tc>
        <w:tc>
          <w:tcPr>
            <w:tcW w:w="1560" w:type="dxa"/>
            <w:vAlign w:val="bottom"/>
            <w:shd w:val="clear" w:color="auto" w:fill="D0EBF2"/>
          </w:tcPr>
          <w:p>
            <w:pPr>
              <w:jc w:val="right"/>
              <w:spacing w:after="0"/>
              <w:rPr>
                <w:sz w:val="20"/>
                <w:szCs w:val="20"/>
                <w:color w:val="auto"/>
              </w:rPr>
            </w:pPr>
            <w:r>
              <w:rPr>
                <w:rFonts w:ascii="Times New Roman" w:cs="Times New Roman" w:eastAsia="Times New Roman" w:hAnsi="Times New Roman"/>
                <w:sz w:val="19"/>
                <w:szCs w:val="19"/>
                <w:color w:val="231F20"/>
              </w:rPr>
              <w:t>0.4</w:t>
            </w:r>
          </w:p>
        </w:tc>
        <w:tc>
          <w:tcPr>
            <w:tcW w:w="220" w:type="dxa"/>
            <w:vAlign w:val="bottom"/>
            <w:shd w:val="clear" w:color="auto" w:fill="D0EBF2"/>
          </w:tcPr>
          <w:p>
            <w:pPr>
              <w:spacing w:after="0"/>
              <w:rPr>
                <w:sz w:val="20"/>
                <w:szCs w:val="20"/>
                <w:color w:val="auto"/>
              </w:rPr>
            </w:pPr>
          </w:p>
        </w:tc>
        <w:tc>
          <w:tcPr>
            <w:tcW w:w="200" w:type="dxa"/>
            <w:vAlign w:val="bottom"/>
            <w:shd w:val="clear" w:color="auto" w:fill="D0EBF2"/>
          </w:tcPr>
          <w:p>
            <w:pPr>
              <w:spacing w:after="0"/>
              <w:rPr>
                <w:sz w:val="20"/>
                <w:szCs w:val="20"/>
                <w:color w:val="auto"/>
              </w:rPr>
            </w:pPr>
          </w:p>
        </w:tc>
        <w:tc>
          <w:tcPr>
            <w:tcW w:w="1740" w:type="dxa"/>
            <w:vAlign w:val="bottom"/>
            <w:gridSpan w:val="2"/>
            <w:shd w:val="clear" w:color="auto" w:fill="D0EBF2"/>
          </w:tcPr>
          <w:p>
            <w:pPr>
              <w:jc w:val="right"/>
              <w:ind w:right="120"/>
              <w:spacing w:after="0"/>
              <w:rPr>
                <w:sz w:val="20"/>
                <w:szCs w:val="20"/>
                <w:color w:val="auto"/>
              </w:rPr>
            </w:pPr>
            <w:r>
              <w:rPr>
                <w:rFonts w:ascii="Times New Roman" w:cs="Times New Roman" w:eastAsia="Times New Roman" w:hAnsi="Times New Roman"/>
                <w:sz w:val="19"/>
                <w:szCs w:val="19"/>
                <w:color w:val="231F20"/>
              </w:rPr>
              <w:t>—</w:t>
            </w:r>
          </w:p>
        </w:tc>
        <w:tc>
          <w:tcPr>
            <w:tcW w:w="0" w:type="dxa"/>
            <w:vAlign w:val="bottom"/>
          </w:tcPr>
          <w:p>
            <w:pPr>
              <w:spacing w:after="0"/>
              <w:rPr>
                <w:sz w:val="1"/>
                <w:szCs w:val="1"/>
                <w:color w:val="auto"/>
              </w:rPr>
            </w:pPr>
          </w:p>
        </w:tc>
      </w:tr>
      <w:tr>
        <w:trPr>
          <w:trHeight w:val="230"/>
        </w:trPr>
        <w:tc>
          <w:tcPr>
            <w:tcW w:w="4860" w:type="dxa"/>
            <w:vAlign w:val="bottom"/>
            <w:shd w:val="clear" w:color="auto" w:fill="FDFDFC"/>
          </w:tcPr>
          <w:p>
            <w:pPr>
              <w:spacing w:after="0"/>
              <w:rPr>
                <w:sz w:val="20"/>
                <w:szCs w:val="20"/>
                <w:color w:val="auto"/>
              </w:rPr>
            </w:pPr>
            <w:r>
              <w:rPr>
                <w:rFonts w:ascii="Times New Roman" w:cs="Times New Roman" w:eastAsia="Times New Roman" w:hAnsi="Times New Roman"/>
                <w:sz w:val="19"/>
                <w:szCs w:val="19"/>
                <w:color w:val="231F20"/>
              </w:rPr>
              <w:t>Cordance Operations, LLC - Delayed Draw &amp; Revolver</w:t>
            </w:r>
          </w:p>
        </w:tc>
        <w:tc>
          <w:tcPr>
            <w:tcW w:w="120" w:type="dxa"/>
            <w:vAlign w:val="bottom"/>
            <w:shd w:val="clear" w:color="auto" w:fill="FDFDFC"/>
          </w:tcPr>
          <w:p>
            <w:pPr>
              <w:spacing w:after="0"/>
              <w:rPr>
                <w:sz w:val="20"/>
                <w:szCs w:val="20"/>
                <w:color w:val="auto"/>
              </w:rPr>
            </w:pPr>
          </w:p>
        </w:tc>
        <w:tc>
          <w:tcPr>
            <w:tcW w:w="180" w:type="dxa"/>
            <w:vAlign w:val="bottom"/>
            <w:shd w:val="clear" w:color="auto" w:fill="FDFDFC"/>
          </w:tcPr>
          <w:p>
            <w:pPr>
              <w:spacing w:after="0"/>
              <w:rPr>
                <w:sz w:val="20"/>
                <w:szCs w:val="20"/>
                <w:color w:val="auto"/>
              </w:rPr>
            </w:pPr>
          </w:p>
        </w:tc>
        <w:tc>
          <w:tcPr>
            <w:tcW w:w="1560" w:type="dxa"/>
            <w:vAlign w:val="bottom"/>
            <w:shd w:val="clear" w:color="auto" w:fill="FDFDFC"/>
          </w:tcPr>
          <w:p>
            <w:pPr>
              <w:jc w:val="right"/>
              <w:spacing w:after="0"/>
              <w:rPr>
                <w:sz w:val="20"/>
                <w:szCs w:val="20"/>
                <w:color w:val="auto"/>
              </w:rPr>
            </w:pPr>
            <w:r>
              <w:rPr>
                <w:rFonts w:ascii="Times New Roman" w:cs="Times New Roman" w:eastAsia="Times New Roman" w:hAnsi="Times New Roman"/>
                <w:sz w:val="19"/>
                <w:szCs w:val="19"/>
                <w:color w:val="231F20"/>
              </w:rPr>
              <w:t>6.7</w:t>
            </w:r>
          </w:p>
        </w:tc>
        <w:tc>
          <w:tcPr>
            <w:tcW w:w="220" w:type="dxa"/>
            <w:vAlign w:val="bottom"/>
            <w:shd w:val="clear" w:color="auto" w:fill="FDFDFC"/>
          </w:tcPr>
          <w:p>
            <w:pPr>
              <w:spacing w:after="0"/>
              <w:rPr>
                <w:sz w:val="20"/>
                <w:szCs w:val="20"/>
                <w:color w:val="auto"/>
              </w:rPr>
            </w:pPr>
          </w:p>
        </w:tc>
        <w:tc>
          <w:tcPr>
            <w:tcW w:w="200" w:type="dxa"/>
            <w:vAlign w:val="bottom"/>
            <w:shd w:val="clear" w:color="auto" w:fill="FDFDFC"/>
          </w:tcPr>
          <w:p>
            <w:pPr>
              <w:spacing w:after="0"/>
              <w:rPr>
                <w:sz w:val="20"/>
                <w:szCs w:val="20"/>
                <w:color w:val="auto"/>
              </w:rPr>
            </w:pPr>
          </w:p>
        </w:tc>
        <w:tc>
          <w:tcPr>
            <w:tcW w:w="1660" w:type="dxa"/>
            <w:vAlign w:val="bottom"/>
            <w:shd w:val="clear" w:color="auto" w:fill="FDFDFC"/>
          </w:tcPr>
          <w:p>
            <w:pPr>
              <w:jc w:val="right"/>
              <w:spacing w:after="0"/>
              <w:rPr>
                <w:sz w:val="20"/>
                <w:szCs w:val="20"/>
                <w:color w:val="auto"/>
              </w:rPr>
            </w:pPr>
            <w:r>
              <w:rPr>
                <w:rFonts w:ascii="Times New Roman" w:cs="Times New Roman" w:eastAsia="Times New Roman" w:hAnsi="Times New Roman"/>
                <w:sz w:val="19"/>
                <w:szCs w:val="19"/>
                <w:color w:val="231F20"/>
              </w:rPr>
              <w:t>2.0</w:t>
            </w:r>
          </w:p>
        </w:tc>
        <w:tc>
          <w:tcPr>
            <w:tcW w:w="80" w:type="dxa"/>
            <w:vAlign w:val="bottom"/>
            <w:shd w:val="clear" w:color="auto" w:fill="FDFD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860" w:type="dxa"/>
            <w:vAlign w:val="bottom"/>
            <w:shd w:val="clear" w:color="auto" w:fill="D0EBF2"/>
          </w:tcPr>
          <w:p>
            <w:pPr>
              <w:spacing w:after="0"/>
              <w:rPr>
                <w:sz w:val="20"/>
                <w:szCs w:val="20"/>
                <w:color w:val="auto"/>
              </w:rPr>
            </w:pPr>
            <w:r>
              <w:rPr>
                <w:rFonts w:ascii="Times New Roman" w:cs="Times New Roman" w:eastAsia="Times New Roman" w:hAnsi="Times New Roman"/>
                <w:sz w:val="19"/>
                <w:szCs w:val="19"/>
                <w:color w:val="231F20"/>
              </w:rPr>
              <w:t>Coupa Holdings, LLC - Delayed Draw &amp; Revolver</w:t>
            </w:r>
          </w:p>
        </w:tc>
        <w:tc>
          <w:tcPr>
            <w:tcW w:w="120" w:type="dxa"/>
            <w:vAlign w:val="bottom"/>
            <w:shd w:val="clear" w:color="auto" w:fill="D0EBF2"/>
          </w:tcPr>
          <w:p>
            <w:pPr>
              <w:spacing w:after="0"/>
              <w:rPr>
                <w:sz w:val="20"/>
                <w:szCs w:val="20"/>
                <w:color w:val="auto"/>
              </w:rPr>
            </w:pPr>
          </w:p>
        </w:tc>
        <w:tc>
          <w:tcPr>
            <w:tcW w:w="180" w:type="dxa"/>
            <w:vAlign w:val="bottom"/>
            <w:shd w:val="clear" w:color="auto" w:fill="D0EBF2"/>
          </w:tcPr>
          <w:p>
            <w:pPr>
              <w:spacing w:after="0"/>
              <w:rPr>
                <w:sz w:val="20"/>
                <w:szCs w:val="20"/>
                <w:color w:val="auto"/>
              </w:rPr>
            </w:pPr>
          </w:p>
        </w:tc>
        <w:tc>
          <w:tcPr>
            <w:tcW w:w="1560" w:type="dxa"/>
            <w:vAlign w:val="bottom"/>
            <w:shd w:val="clear" w:color="auto" w:fill="D0EBF2"/>
          </w:tcPr>
          <w:p>
            <w:pPr>
              <w:jc w:val="right"/>
              <w:spacing w:after="0"/>
              <w:rPr>
                <w:sz w:val="20"/>
                <w:szCs w:val="20"/>
                <w:color w:val="auto"/>
              </w:rPr>
            </w:pPr>
            <w:r>
              <w:rPr>
                <w:rFonts w:ascii="Times New Roman" w:cs="Times New Roman" w:eastAsia="Times New Roman" w:hAnsi="Times New Roman"/>
                <w:sz w:val="19"/>
                <w:szCs w:val="19"/>
                <w:color w:val="231F20"/>
              </w:rPr>
              <w:t>6.8</w:t>
            </w:r>
          </w:p>
        </w:tc>
        <w:tc>
          <w:tcPr>
            <w:tcW w:w="220" w:type="dxa"/>
            <w:vAlign w:val="bottom"/>
            <w:shd w:val="clear" w:color="auto" w:fill="D0EBF2"/>
          </w:tcPr>
          <w:p>
            <w:pPr>
              <w:spacing w:after="0"/>
              <w:rPr>
                <w:sz w:val="20"/>
                <w:szCs w:val="20"/>
                <w:color w:val="auto"/>
              </w:rPr>
            </w:pPr>
          </w:p>
        </w:tc>
        <w:tc>
          <w:tcPr>
            <w:tcW w:w="200" w:type="dxa"/>
            <w:vAlign w:val="bottom"/>
            <w:shd w:val="clear" w:color="auto" w:fill="D0EBF2"/>
          </w:tcPr>
          <w:p>
            <w:pPr>
              <w:spacing w:after="0"/>
              <w:rPr>
                <w:sz w:val="20"/>
                <w:szCs w:val="20"/>
                <w:color w:val="auto"/>
              </w:rPr>
            </w:pPr>
          </w:p>
        </w:tc>
        <w:tc>
          <w:tcPr>
            <w:tcW w:w="1660" w:type="dxa"/>
            <w:vAlign w:val="bottom"/>
            <w:shd w:val="clear" w:color="auto" w:fill="D0EBF2"/>
          </w:tcPr>
          <w:p>
            <w:pPr>
              <w:jc w:val="right"/>
              <w:spacing w:after="0"/>
              <w:rPr>
                <w:sz w:val="20"/>
                <w:szCs w:val="20"/>
                <w:color w:val="auto"/>
              </w:rPr>
            </w:pPr>
            <w:r>
              <w:rPr>
                <w:rFonts w:ascii="Times New Roman" w:cs="Times New Roman" w:eastAsia="Times New Roman" w:hAnsi="Times New Roman"/>
                <w:sz w:val="19"/>
                <w:szCs w:val="19"/>
                <w:color w:val="231F20"/>
              </w:rPr>
              <w:t>6.8</w:t>
            </w:r>
          </w:p>
        </w:tc>
        <w:tc>
          <w:tcPr>
            <w:tcW w:w="80" w:type="dxa"/>
            <w:vAlign w:val="bottom"/>
            <w:shd w:val="clear" w:color="auto" w:fill="D0EBF2"/>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860" w:type="dxa"/>
            <w:vAlign w:val="bottom"/>
            <w:shd w:val="clear" w:color="auto" w:fill="FDFDFC"/>
          </w:tcPr>
          <w:p>
            <w:pPr>
              <w:spacing w:after="0"/>
              <w:rPr>
                <w:sz w:val="20"/>
                <w:szCs w:val="20"/>
                <w:color w:val="auto"/>
              </w:rPr>
            </w:pPr>
            <w:r>
              <w:rPr>
                <w:rFonts w:ascii="Times New Roman" w:cs="Times New Roman" w:eastAsia="Times New Roman" w:hAnsi="Times New Roman"/>
                <w:sz w:val="19"/>
                <w:szCs w:val="19"/>
                <w:color w:val="231F20"/>
              </w:rPr>
              <w:t>Crewline Buyer, Inc. - Revolver &amp; Equity</w:t>
            </w:r>
          </w:p>
        </w:tc>
        <w:tc>
          <w:tcPr>
            <w:tcW w:w="120" w:type="dxa"/>
            <w:vAlign w:val="bottom"/>
            <w:shd w:val="clear" w:color="auto" w:fill="FDFDFC"/>
          </w:tcPr>
          <w:p>
            <w:pPr>
              <w:spacing w:after="0"/>
              <w:rPr>
                <w:sz w:val="20"/>
                <w:szCs w:val="20"/>
                <w:color w:val="auto"/>
              </w:rPr>
            </w:pPr>
          </w:p>
        </w:tc>
        <w:tc>
          <w:tcPr>
            <w:tcW w:w="180" w:type="dxa"/>
            <w:vAlign w:val="bottom"/>
            <w:shd w:val="clear" w:color="auto" w:fill="FDFDFC"/>
          </w:tcPr>
          <w:p>
            <w:pPr>
              <w:spacing w:after="0"/>
              <w:rPr>
                <w:sz w:val="20"/>
                <w:szCs w:val="20"/>
                <w:color w:val="auto"/>
              </w:rPr>
            </w:pPr>
          </w:p>
        </w:tc>
        <w:tc>
          <w:tcPr>
            <w:tcW w:w="1560" w:type="dxa"/>
            <w:vAlign w:val="bottom"/>
            <w:shd w:val="clear" w:color="auto" w:fill="FDFDFC"/>
          </w:tcPr>
          <w:p>
            <w:pPr>
              <w:jc w:val="right"/>
              <w:spacing w:after="0"/>
              <w:rPr>
                <w:sz w:val="20"/>
                <w:szCs w:val="20"/>
                <w:color w:val="auto"/>
              </w:rPr>
            </w:pPr>
            <w:r>
              <w:rPr>
                <w:rFonts w:ascii="Times New Roman" w:cs="Times New Roman" w:eastAsia="Times New Roman" w:hAnsi="Times New Roman"/>
                <w:sz w:val="19"/>
                <w:szCs w:val="19"/>
                <w:color w:val="231F20"/>
              </w:rPr>
              <w:t>6.1</w:t>
            </w:r>
          </w:p>
        </w:tc>
        <w:tc>
          <w:tcPr>
            <w:tcW w:w="220" w:type="dxa"/>
            <w:vAlign w:val="bottom"/>
            <w:shd w:val="clear" w:color="auto" w:fill="FDFDFC"/>
          </w:tcPr>
          <w:p>
            <w:pPr>
              <w:spacing w:after="0"/>
              <w:rPr>
                <w:sz w:val="20"/>
                <w:szCs w:val="20"/>
                <w:color w:val="auto"/>
              </w:rPr>
            </w:pPr>
          </w:p>
        </w:tc>
        <w:tc>
          <w:tcPr>
            <w:tcW w:w="200" w:type="dxa"/>
            <w:vAlign w:val="bottom"/>
            <w:shd w:val="clear" w:color="auto" w:fill="FDFDFC"/>
          </w:tcPr>
          <w:p>
            <w:pPr>
              <w:spacing w:after="0"/>
              <w:rPr>
                <w:sz w:val="20"/>
                <w:szCs w:val="20"/>
                <w:color w:val="auto"/>
              </w:rPr>
            </w:pPr>
          </w:p>
        </w:tc>
        <w:tc>
          <w:tcPr>
            <w:tcW w:w="1660" w:type="dxa"/>
            <w:vAlign w:val="bottom"/>
            <w:shd w:val="clear" w:color="auto" w:fill="FDFDFC"/>
          </w:tcPr>
          <w:p>
            <w:pPr>
              <w:jc w:val="right"/>
              <w:spacing w:after="0"/>
              <w:rPr>
                <w:sz w:val="20"/>
                <w:szCs w:val="20"/>
                <w:color w:val="auto"/>
              </w:rPr>
            </w:pPr>
            <w:r>
              <w:rPr>
                <w:rFonts w:ascii="Times New Roman" w:cs="Times New Roman" w:eastAsia="Times New Roman" w:hAnsi="Times New Roman"/>
                <w:sz w:val="19"/>
                <w:szCs w:val="19"/>
                <w:color w:val="231F20"/>
              </w:rPr>
              <w:t>6.1</w:t>
            </w:r>
          </w:p>
        </w:tc>
        <w:tc>
          <w:tcPr>
            <w:tcW w:w="80" w:type="dxa"/>
            <w:vAlign w:val="bottom"/>
            <w:shd w:val="clear" w:color="auto" w:fill="FDFD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860" w:type="dxa"/>
            <w:vAlign w:val="bottom"/>
            <w:shd w:val="clear" w:color="auto" w:fill="D0EBF2"/>
          </w:tcPr>
          <w:p>
            <w:pPr>
              <w:spacing w:after="0"/>
              <w:rPr>
                <w:sz w:val="20"/>
                <w:szCs w:val="20"/>
                <w:color w:val="auto"/>
              </w:rPr>
            </w:pPr>
            <w:r>
              <w:rPr>
                <w:rFonts w:ascii="Times New Roman" w:cs="Times New Roman" w:eastAsia="Times New Roman" w:hAnsi="Times New Roman"/>
                <w:sz w:val="19"/>
                <w:szCs w:val="19"/>
                <w:color w:val="231F20"/>
              </w:rPr>
              <w:t>Disco Parent, Inc. - Revolver</w:t>
            </w:r>
          </w:p>
        </w:tc>
        <w:tc>
          <w:tcPr>
            <w:tcW w:w="120" w:type="dxa"/>
            <w:vAlign w:val="bottom"/>
            <w:shd w:val="clear" w:color="auto" w:fill="D0EBF2"/>
          </w:tcPr>
          <w:p>
            <w:pPr>
              <w:spacing w:after="0"/>
              <w:rPr>
                <w:sz w:val="20"/>
                <w:szCs w:val="20"/>
                <w:color w:val="auto"/>
              </w:rPr>
            </w:pPr>
          </w:p>
        </w:tc>
        <w:tc>
          <w:tcPr>
            <w:tcW w:w="180" w:type="dxa"/>
            <w:vAlign w:val="bottom"/>
            <w:shd w:val="clear" w:color="auto" w:fill="D0EBF2"/>
          </w:tcPr>
          <w:p>
            <w:pPr>
              <w:spacing w:after="0"/>
              <w:rPr>
                <w:sz w:val="20"/>
                <w:szCs w:val="20"/>
                <w:color w:val="auto"/>
              </w:rPr>
            </w:pPr>
          </w:p>
        </w:tc>
        <w:tc>
          <w:tcPr>
            <w:tcW w:w="1560" w:type="dxa"/>
            <w:vAlign w:val="bottom"/>
            <w:shd w:val="clear" w:color="auto" w:fill="D0EBF2"/>
          </w:tcPr>
          <w:p>
            <w:pPr>
              <w:jc w:val="right"/>
              <w:spacing w:after="0"/>
              <w:rPr>
                <w:sz w:val="20"/>
                <w:szCs w:val="20"/>
                <w:color w:val="auto"/>
              </w:rPr>
            </w:pPr>
            <w:r>
              <w:rPr>
                <w:rFonts w:ascii="Times New Roman" w:cs="Times New Roman" w:eastAsia="Times New Roman" w:hAnsi="Times New Roman"/>
                <w:sz w:val="19"/>
                <w:szCs w:val="19"/>
                <w:color w:val="231F20"/>
              </w:rPr>
              <w:t>0.5</w:t>
            </w:r>
          </w:p>
        </w:tc>
        <w:tc>
          <w:tcPr>
            <w:tcW w:w="220" w:type="dxa"/>
            <w:vAlign w:val="bottom"/>
            <w:shd w:val="clear" w:color="auto" w:fill="D0EBF2"/>
          </w:tcPr>
          <w:p>
            <w:pPr>
              <w:spacing w:after="0"/>
              <w:rPr>
                <w:sz w:val="20"/>
                <w:szCs w:val="20"/>
                <w:color w:val="auto"/>
              </w:rPr>
            </w:pPr>
          </w:p>
        </w:tc>
        <w:tc>
          <w:tcPr>
            <w:tcW w:w="200" w:type="dxa"/>
            <w:vAlign w:val="bottom"/>
            <w:shd w:val="clear" w:color="auto" w:fill="D0EBF2"/>
          </w:tcPr>
          <w:p>
            <w:pPr>
              <w:spacing w:after="0"/>
              <w:rPr>
                <w:sz w:val="20"/>
                <w:szCs w:val="20"/>
                <w:color w:val="auto"/>
              </w:rPr>
            </w:pPr>
          </w:p>
        </w:tc>
        <w:tc>
          <w:tcPr>
            <w:tcW w:w="1660" w:type="dxa"/>
            <w:vAlign w:val="bottom"/>
            <w:shd w:val="clear" w:color="auto" w:fill="D0EBF2"/>
          </w:tcPr>
          <w:p>
            <w:pPr>
              <w:jc w:val="right"/>
              <w:spacing w:after="0"/>
              <w:rPr>
                <w:sz w:val="20"/>
                <w:szCs w:val="20"/>
                <w:color w:val="auto"/>
              </w:rPr>
            </w:pPr>
            <w:r>
              <w:rPr>
                <w:rFonts w:ascii="Times New Roman" w:cs="Times New Roman" w:eastAsia="Times New Roman" w:hAnsi="Times New Roman"/>
                <w:sz w:val="19"/>
                <w:szCs w:val="19"/>
                <w:color w:val="231F20"/>
              </w:rPr>
              <w:t>0.5</w:t>
            </w:r>
          </w:p>
        </w:tc>
        <w:tc>
          <w:tcPr>
            <w:tcW w:w="80" w:type="dxa"/>
            <w:vAlign w:val="bottom"/>
            <w:shd w:val="clear" w:color="auto" w:fill="D0EBF2"/>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860" w:type="dxa"/>
            <w:vAlign w:val="bottom"/>
            <w:shd w:val="clear" w:color="auto" w:fill="FDFDFC"/>
          </w:tcPr>
          <w:p>
            <w:pPr>
              <w:spacing w:after="0"/>
              <w:rPr>
                <w:sz w:val="20"/>
                <w:szCs w:val="20"/>
                <w:color w:val="auto"/>
              </w:rPr>
            </w:pPr>
            <w:r>
              <w:rPr>
                <w:rFonts w:ascii="Times New Roman" w:cs="Times New Roman" w:eastAsia="Times New Roman" w:hAnsi="Times New Roman"/>
                <w:sz w:val="19"/>
                <w:szCs w:val="19"/>
                <w:color w:val="231F20"/>
              </w:rPr>
              <w:t>Dye &amp; Durham Corp. - Revolver</w:t>
            </w:r>
          </w:p>
        </w:tc>
        <w:tc>
          <w:tcPr>
            <w:tcW w:w="120" w:type="dxa"/>
            <w:vAlign w:val="bottom"/>
            <w:shd w:val="clear" w:color="auto" w:fill="FDFDFC"/>
          </w:tcPr>
          <w:p>
            <w:pPr>
              <w:spacing w:after="0"/>
              <w:rPr>
                <w:sz w:val="20"/>
                <w:szCs w:val="20"/>
                <w:color w:val="auto"/>
              </w:rPr>
            </w:pPr>
          </w:p>
        </w:tc>
        <w:tc>
          <w:tcPr>
            <w:tcW w:w="180" w:type="dxa"/>
            <w:vAlign w:val="bottom"/>
            <w:shd w:val="clear" w:color="auto" w:fill="FDFDFC"/>
          </w:tcPr>
          <w:p>
            <w:pPr>
              <w:spacing w:after="0"/>
              <w:rPr>
                <w:sz w:val="20"/>
                <w:szCs w:val="20"/>
                <w:color w:val="auto"/>
              </w:rPr>
            </w:pPr>
          </w:p>
        </w:tc>
        <w:tc>
          <w:tcPr>
            <w:tcW w:w="1560" w:type="dxa"/>
            <w:vAlign w:val="bottom"/>
            <w:shd w:val="clear" w:color="auto" w:fill="FDFDFC"/>
          </w:tcPr>
          <w:p>
            <w:pPr>
              <w:jc w:val="right"/>
              <w:spacing w:after="0"/>
              <w:rPr>
                <w:sz w:val="20"/>
                <w:szCs w:val="20"/>
                <w:color w:val="auto"/>
              </w:rPr>
            </w:pPr>
            <w:r>
              <w:rPr>
                <w:rFonts w:ascii="Times New Roman" w:cs="Times New Roman" w:eastAsia="Times New Roman" w:hAnsi="Times New Roman"/>
                <w:sz w:val="19"/>
                <w:szCs w:val="19"/>
                <w:color w:val="231F20"/>
              </w:rPr>
              <w:t>—</w:t>
            </w:r>
          </w:p>
        </w:tc>
        <w:tc>
          <w:tcPr>
            <w:tcW w:w="220" w:type="dxa"/>
            <w:vAlign w:val="bottom"/>
            <w:shd w:val="clear" w:color="auto" w:fill="FDFDFC"/>
          </w:tcPr>
          <w:p>
            <w:pPr>
              <w:spacing w:after="0"/>
              <w:rPr>
                <w:sz w:val="20"/>
                <w:szCs w:val="20"/>
                <w:color w:val="auto"/>
              </w:rPr>
            </w:pPr>
          </w:p>
        </w:tc>
        <w:tc>
          <w:tcPr>
            <w:tcW w:w="200" w:type="dxa"/>
            <w:vAlign w:val="bottom"/>
            <w:shd w:val="clear" w:color="auto" w:fill="FDFDFC"/>
          </w:tcPr>
          <w:p>
            <w:pPr>
              <w:spacing w:after="0"/>
              <w:rPr>
                <w:sz w:val="20"/>
                <w:szCs w:val="20"/>
                <w:color w:val="auto"/>
              </w:rPr>
            </w:pPr>
          </w:p>
        </w:tc>
        <w:tc>
          <w:tcPr>
            <w:tcW w:w="1660" w:type="dxa"/>
            <w:vAlign w:val="bottom"/>
            <w:shd w:val="clear" w:color="auto" w:fill="FDFDFC"/>
          </w:tcPr>
          <w:p>
            <w:pPr>
              <w:jc w:val="right"/>
              <w:spacing w:after="0"/>
              <w:rPr>
                <w:sz w:val="20"/>
                <w:szCs w:val="20"/>
                <w:color w:val="auto"/>
              </w:rPr>
            </w:pPr>
            <w:r>
              <w:rPr>
                <w:rFonts w:ascii="Times New Roman" w:cs="Times New Roman" w:eastAsia="Times New Roman" w:hAnsi="Times New Roman"/>
                <w:sz w:val="19"/>
                <w:szCs w:val="19"/>
                <w:color w:val="231F20"/>
              </w:rPr>
              <w:t>1.2</w:t>
            </w:r>
          </w:p>
        </w:tc>
        <w:tc>
          <w:tcPr>
            <w:tcW w:w="80" w:type="dxa"/>
            <w:vAlign w:val="bottom"/>
            <w:shd w:val="clear" w:color="auto" w:fill="FDFD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860" w:type="dxa"/>
            <w:vAlign w:val="bottom"/>
            <w:shd w:val="clear" w:color="auto" w:fill="D0EBF2"/>
          </w:tcPr>
          <w:p>
            <w:pPr>
              <w:spacing w:after="0"/>
              <w:rPr>
                <w:sz w:val="20"/>
                <w:szCs w:val="20"/>
                <w:color w:val="auto"/>
              </w:rPr>
            </w:pPr>
            <w:r>
              <w:rPr>
                <w:rFonts w:ascii="Times New Roman" w:cs="Times New Roman" w:eastAsia="Times New Roman" w:hAnsi="Times New Roman"/>
                <w:sz w:val="19"/>
                <w:szCs w:val="19"/>
                <w:color w:val="231F20"/>
              </w:rPr>
              <w:t>EDB Parent, LLC - Delayed Draw</w:t>
            </w:r>
          </w:p>
        </w:tc>
        <w:tc>
          <w:tcPr>
            <w:tcW w:w="120" w:type="dxa"/>
            <w:vAlign w:val="bottom"/>
            <w:shd w:val="clear" w:color="auto" w:fill="D0EBF2"/>
          </w:tcPr>
          <w:p>
            <w:pPr>
              <w:spacing w:after="0"/>
              <w:rPr>
                <w:sz w:val="20"/>
                <w:szCs w:val="20"/>
                <w:color w:val="auto"/>
              </w:rPr>
            </w:pPr>
          </w:p>
        </w:tc>
        <w:tc>
          <w:tcPr>
            <w:tcW w:w="180" w:type="dxa"/>
            <w:vAlign w:val="bottom"/>
            <w:shd w:val="clear" w:color="auto" w:fill="D0EBF2"/>
          </w:tcPr>
          <w:p>
            <w:pPr>
              <w:spacing w:after="0"/>
              <w:rPr>
                <w:sz w:val="20"/>
                <w:szCs w:val="20"/>
                <w:color w:val="auto"/>
              </w:rPr>
            </w:pPr>
          </w:p>
        </w:tc>
        <w:tc>
          <w:tcPr>
            <w:tcW w:w="1560" w:type="dxa"/>
            <w:vAlign w:val="bottom"/>
            <w:shd w:val="clear" w:color="auto" w:fill="D0EBF2"/>
          </w:tcPr>
          <w:p>
            <w:pPr>
              <w:jc w:val="right"/>
              <w:spacing w:after="0"/>
              <w:rPr>
                <w:sz w:val="20"/>
                <w:szCs w:val="20"/>
                <w:color w:val="auto"/>
              </w:rPr>
            </w:pPr>
            <w:r>
              <w:rPr>
                <w:rFonts w:ascii="Times New Roman" w:cs="Times New Roman" w:eastAsia="Times New Roman" w:hAnsi="Times New Roman"/>
                <w:sz w:val="19"/>
                <w:szCs w:val="19"/>
                <w:color w:val="231F20"/>
              </w:rPr>
              <w:t>5.1</w:t>
            </w:r>
          </w:p>
        </w:tc>
        <w:tc>
          <w:tcPr>
            <w:tcW w:w="220" w:type="dxa"/>
            <w:vAlign w:val="bottom"/>
            <w:shd w:val="clear" w:color="auto" w:fill="D0EBF2"/>
          </w:tcPr>
          <w:p>
            <w:pPr>
              <w:spacing w:after="0"/>
              <w:rPr>
                <w:sz w:val="20"/>
                <w:szCs w:val="20"/>
                <w:color w:val="auto"/>
              </w:rPr>
            </w:pPr>
          </w:p>
        </w:tc>
        <w:tc>
          <w:tcPr>
            <w:tcW w:w="200" w:type="dxa"/>
            <w:vAlign w:val="bottom"/>
            <w:shd w:val="clear" w:color="auto" w:fill="D0EBF2"/>
          </w:tcPr>
          <w:p>
            <w:pPr>
              <w:spacing w:after="0"/>
              <w:rPr>
                <w:sz w:val="20"/>
                <w:szCs w:val="20"/>
                <w:color w:val="auto"/>
              </w:rPr>
            </w:pPr>
          </w:p>
        </w:tc>
        <w:tc>
          <w:tcPr>
            <w:tcW w:w="1660" w:type="dxa"/>
            <w:vAlign w:val="bottom"/>
            <w:shd w:val="clear" w:color="auto" w:fill="D0EBF2"/>
          </w:tcPr>
          <w:p>
            <w:pPr>
              <w:jc w:val="right"/>
              <w:spacing w:after="0"/>
              <w:rPr>
                <w:sz w:val="20"/>
                <w:szCs w:val="20"/>
                <w:color w:val="auto"/>
              </w:rPr>
            </w:pPr>
            <w:r>
              <w:rPr>
                <w:rFonts w:ascii="Times New Roman" w:cs="Times New Roman" w:eastAsia="Times New Roman" w:hAnsi="Times New Roman"/>
                <w:sz w:val="19"/>
                <w:szCs w:val="19"/>
                <w:color w:val="231F20"/>
              </w:rPr>
              <w:t>11.4</w:t>
            </w:r>
          </w:p>
        </w:tc>
        <w:tc>
          <w:tcPr>
            <w:tcW w:w="80" w:type="dxa"/>
            <w:vAlign w:val="bottom"/>
            <w:shd w:val="clear" w:color="auto" w:fill="D0EBF2"/>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860" w:type="dxa"/>
            <w:vAlign w:val="bottom"/>
            <w:shd w:val="clear" w:color="auto" w:fill="FDFDFC"/>
          </w:tcPr>
          <w:p>
            <w:pPr>
              <w:spacing w:after="0"/>
              <w:rPr>
                <w:sz w:val="20"/>
                <w:szCs w:val="20"/>
                <w:color w:val="auto"/>
              </w:rPr>
            </w:pPr>
            <w:r>
              <w:rPr>
                <w:rFonts w:ascii="Times New Roman" w:cs="Times New Roman" w:eastAsia="Times New Roman" w:hAnsi="Times New Roman"/>
                <w:sz w:val="19"/>
                <w:szCs w:val="19"/>
                <w:color w:val="231F20"/>
              </w:rPr>
              <w:t>Edge Bidco B.V. - Delayed Draw &amp; Revolver</w:t>
            </w:r>
          </w:p>
        </w:tc>
        <w:tc>
          <w:tcPr>
            <w:tcW w:w="120" w:type="dxa"/>
            <w:vAlign w:val="bottom"/>
            <w:shd w:val="clear" w:color="auto" w:fill="FDFDFC"/>
          </w:tcPr>
          <w:p>
            <w:pPr>
              <w:spacing w:after="0"/>
              <w:rPr>
                <w:sz w:val="20"/>
                <w:szCs w:val="20"/>
                <w:color w:val="auto"/>
              </w:rPr>
            </w:pPr>
          </w:p>
        </w:tc>
        <w:tc>
          <w:tcPr>
            <w:tcW w:w="180" w:type="dxa"/>
            <w:vAlign w:val="bottom"/>
            <w:shd w:val="clear" w:color="auto" w:fill="FDFDFC"/>
          </w:tcPr>
          <w:p>
            <w:pPr>
              <w:spacing w:after="0"/>
              <w:rPr>
                <w:sz w:val="20"/>
                <w:szCs w:val="20"/>
                <w:color w:val="auto"/>
              </w:rPr>
            </w:pPr>
          </w:p>
        </w:tc>
        <w:tc>
          <w:tcPr>
            <w:tcW w:w="1560" w:type="dxa"/>
            <w:vAlign w:val="bottom"/>
            <w:shd w:val="clear" w:color="auto" w:fill="FDFDFC"/>
          </w:tcPr>
          <w:p>
            <w:pPr>
              <w:jc w:val="right"/>
              <w:spacing w:after="0"/>
              <w:rPr>
                <w:sz w:val="20"/>
                <w:szCs w:val="20"/>
                <w:color w:val="auto"/>
              </w:rPr>
            </w:pPr>
            <w:r>
              <w:rPr>
                <w:rFonts w:ascii="Times New Roman" w:cs="Times New Roman" w:eastAsia="Times New Roman" w:hAnsi="Times New Roman"/>
                <w:sz w:val="19"/>
                <w:szCs w:val="19"/>
                <w:color w:val="231F20"/>
              </w:rPr>
              <w:t>1.0</w:t>
            </w:r>
          </w:p>
        </w:tc>
        <w:tc>
          <w:tcPr>
            <w:tcW w:w="220" w:type="dxa"/>
            <w:vAlign w:val="bottom"/>
            <w:shd w:val="clear" w:color="auto" w:fill="FDFDFC"/>
          </w:tcPr>
          <w:p>
            <w:pPr>
              <w:spacing w:after="0"/>
              <w:rPr>
                <w:sz w:val="20"/>
                <w:szCs w:val="20"/>
                <w:color w:val="auto"/>
              </w:rPr>
            </w:pPr>
          </w:p>
        </w:tc>
        <w:tc>
          <w:tcPr>
            <w:tcW w:w="200" w:type="dxa"/>
            <w:vAlign w:val="bottom"/>
            <w:shd w:val="clear" w:color="auto" w:fill="FDFDFC"/>
          </w:tcPr>
          <w:p>
            <w:pPr>
              <w:spacing w:after="0"/>
              <w:rPr>
                <w:sz w:val="20"/>
                <w:szCs w:val="20"/>
                <w:color w:val="auto"/>
              </w:rPr>
            </w:pPr>
          </w:p>
        </w:tc>
        <w:tc>
          <w:tcPr>
            <w:tcW w:w="1660" w:type="dxa"/>
            <w:vAlign w:val="bottom"/>
            <w:shd w:val="clear" w:color="auto" w:fill="FDFDFC"/>
          </w:tcPr>
          <w:p>
            <w:pPr>
              <w:jc w:val="right"/>
              <w:spacing w:after="0"/>
              <w:rPr>
                <w:sz w:val="20"/>
                <w:szCs w:val="20"/>
                <w:color w:val="auto"/>
              </w:rPr>
            </w:pPr>
            <w:r>
              <w:rPr>
                <w:rFonts w:ascii="Times New Roman" w:cs="Times New Roman" w:eastAsia="Times New Roman" w:hAnsi="Times New Roman"/>
                <w:sz w:val="19"/>
                <w:szCs w:val="19"/>
                <w:color w:val="231F20"/>
              </w:rPr>
              <w:t>1.1</w:t>
            </w:r>
          </w:p>
        </w:tc>
        <w:tc>
          <w:tcPr>
            <w:tcW w:w="80" w:type="dxa"/>
            <w:vAlign w:val="bottom"/>
            <w:shd w:val="clear" w:color="auto" w:fill="FDFD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860" w:type="dxa"/>
            <w:vAlign w:val="bottom"/>
            <w:shd w:val="clear" w:color="auto" w:fill="D0EBF2"/>
          </w:tcPr>
          <w:p>
            <w:pPr>
              <w:spacing w:after="0"/>
              <w:rPr>
                <w:sz w:val="20"/>
                <w:szCs w:val="20"/>
                <w:color w:val="auto"/>
              </w:rPr>
            </w:pPr>
            <w:r>
              <w:rPr>
                <w:rFonts w:ascii="Times New Roman" w:cs="Times New Roman" w:eastAsia="Times New Roman" w:hAnsi="Times New Roman"/>
                <w:sz w:val="19"/>
                <w:szCs w:val="19"/>
                <w:color w:val="231F20"/>
              </w:rPr>
              <w:t>Elysian Finco Ltd. - Delayed Draw &amp; Revolver</w:t>
            </w:r>
          </w:p>
        </w:tc>
        <w:tc>
          <w:tcPr>
            <w:tcW w:w="120" w:type="dxa"/>
            <w:vAlign w:val="bottom"/>
            <w:shd w:val="clear" w:color="auto" w:fill="D0EBF2"/>
          </w:tcPr>
          <w:p>
            <w:pPr>
              <w:spacing w:after="0"/>
              <w:rPr>
                <w:sz w:val="20"/>
                <w:szCs w:val="20"/>
                <w:color w:val="auto"/>
              </w:rPr>
            </w:pPr>
          </w:p>
        </w:tc>
        <w:tc>
          <w:tcPr>
            <w:tcW w:w="180" w:type="dxa"/>
            <w:vAlign w:val="bottom"/>
            <w:shd w:val="clear" w:color="auto" w:fill="D0EBF2"/>
          </w:tcPr>
          <w:p>
            <w:pPr>
              <w:spacing w:after="0"/>
              <w:rPr>
                <w:sz w:val="20"/>
                <w:szCs w:val="20"/>
                <w:color w:val="auto"/>
              </w:rPr>
            </w:pPr>
          </w:p>
        </w:tc>
        <w:tc>
          <w:tcPr>
            <w:tcW w:w="1560" w:type="dxa"/>
            <w:vAlign w:val="bottom"/>
            <w:shd w:val="clear" w:color="auto" w:fill="D0EBF2"/>
          </w:tcPr>
          <w:p>
            <w:pPr>
              <w:jc w:val="right"/>
              <w:spacing w:after="0"/>
              <w:rPr>
                <w:sz w:val="20"/>
                <w:szCs w:val="20"/>
                <w:color w:val="auto"/>
              </w:rPr>
            </w:pPr>
            <w:r>
              <w:rPr>
                <w:rFonts w:ascii="Times New Roman" w:cs="Times New Roman" w:eastAsia="Times New Roman" w:hAnsi="Times New Roman"/>
                <w:sz w:val="19"/>
                <w:szCs w:val="19"/>
                <w:color w:val="231F20"/>
              </w:rPr>
              <w:t>1.9</w:t>
            </w:r>
          </w:p>
        </w:tc>
        <w:tc>
          <w:tcPr>
            <w:tcW w:w="220" w:type="dxa"/>
            <w:vAlign w:val="bottom"/>
            <w:shd w:val="clear" w:color="auto" w:fill="D0EBF2"/>
          </w:tcPr>
          <w:p>
            <w:pPr>
              <w:spacing w:after="0"/>
              <w:rPr>
                <w:sz w:val="20"/>
                <w:szCs w:val="20"/>
                <w:color w:val="auto"/>
              </w:rPr>
            </w:pPr>
          </w:p>
        </w:tc>
        <w:tc>
          <w:tcPr>
            <w:tcW w:w="200" w:type="dxa"/>
            <w:vAlign w:val="bottom"/>
            <w:shd w:val="clear" w:color="auto" w:fill="D0EBF2"/>
          </w:tcPr>
          <w:p>
            <w:pPr>
              <w:spacing w:after="0"/>
              <w:rPr>
                <w:sz w:val="20"/>
                <w:szCs w:val="20"/>
                <w:color w:val="auto"/>
              </w:rPr>
            </w:pPr>
          </w:p>
        </w:tc>
        <w:tc>
          <w:tcPr>
            <w:tcW w:w="1660" w:type="dxa"/>
            <w:vAlign w:val="bottom"/>
            <w:shd w:val="clear" w:color="auto" w:fill="D0EBF2"/>
          </w:tcPr>
          <w:p>
            <w:pPr>
              <w:jc w:val="right"/>
              <w:spacing w:after="0"/>
              <w:rPr>
                <w:sz w:val="20"/>
                <w:szCs w:val="20"/>
                <w:color w:val="auto"/>
              </w:rPr>
            </w:pPr>
            <w:r>
              <w:rPr>
                <w:rFonts w:ascii="Times New Roman" w:cs="Times New Roman" w:eastAsia="Times New Roman" w:hAnsi="Times New Roman"/>
                <w:sz w:val="19"/>
                <w:szCs w:val="19"/>
                <w:color w:val="231F20"/>
              </w:rPr>
              <w:t>4.7</w:t>
            </w:r>
          </w:p>
        </w:tc>
        <w:tc>
          <w:tcPr>
            <w:tcW w:w="80" w:type="dxa"/>
            <w:vAlign w:val="bottom"/>
            <w:shd w:val="clear" w:color="auto" w:fill="D0EBF2"/>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860" w:type="dxa"/>
            <w:vAlign w:val="bottom"/>
            <w:shd w:val="clear" w:color="auto" w:fill="FDFDFC"/>
          </w:tcPr>
          <w:p>
            <w:pPr>
              <w:spacing w:after="0"/>
              <w:rPr>
                <w:sz w:val="20"/>
                <w:szCs w:val="20"/>
                <w:color w:val="auto"/>
              </w:rPr>
            </w:pPr>
            <w:r>
              <w:rPr>
                <w:rFonts w:ascii="Times New Roman" w:cs="Times New Roman" w:eastAsia="Times New Roman" w:hAnsi="Times New Roman"/>
                <w:sz w:val="19"/>
                <w:szCs w:val="19"/>
                <w:color w:val="231F20"/>
              </w:rPr>
              <w:t>Elysium BidCo Limited - Revolver</w:t>
            </w:r>
          </w:p>
        </w:tc>
        <w:tc>
          <w:tcPr>
            <w:tcW w:w="120" w:type="dxa"/>
            <w:vAlign w:val="bottom"/>
            <w:shd w:val="clear" w:color="auto" w:fill="FDFDFC"/>
          </w:tcPr>
          <w:p>
            <w:pPr>
              <w:spacing w:after="0"/>
              <w:rPr>
                <w:sz w:val="20"/>
                <w:szCs w:val="20"/>
                <w:color w:val="auto"/>
              </w:rPr>
            </w:pPr>
          </w:p>
        </w:tc>
        <w:tc>
          <w:tcPr>
            <w:tcW w:w="180" w:type="dxa"/>
            <w:vAlign w:val="bottom"/>
            <w:shd w:val="clear" w:color="auto" w:fill="FDFDFC"/>
          </w:tcPr>
          <w:p>
            <w:pPr>
              <w:spacing w:after="0"/>
              <w:rPr>
                <w:sz w:val="20"/>
                <w:szCs w:val="20"/>
                <w:color w:val="auto"/>
              </w:rPr>
            </w:pPr>
          </w:p>
        </w:tc>
        <w:tc>
          <w:tcPr>
            <w:tcW w:w="1560" w:type="dxa"/>
            <w:vAlign w:val="bottom"/>
            <w:shd w:val="clear" w:color="auto" w:fill="FDFDFC"/>
          </w:tcPr>
          <w:p>
            <w:pPr>
              <w:jc w:val="right"/>
              <w:spacing w:after="0"/>
              <w:rPr>
                <w:sz w:val="20"/>
                <w:szCs w:val="20"/>
                <w:color w:val="auto"/>
              </w:rPr>
            </w:pPr>
            <w:r>
              <w:rPr>
                <w:rFonts w:ascii="Times New Roman" w:cs="Times New Roman" w:eastAsia="Times New Roman" w:hAnsi="Times New Roman"/>
                <w:sz w:val="19"/>
                <w:szCs w:val="19"/>
                <w:color w:val="231F20"/>
              </w:rPr>
              <w:t>2.5</w:t>
            </w:r>
          </w:p>
        </w:tc>
        <w:tc>
          <w:tcPr>
            <w:tcW w:w="220" w:type="dxa"/>
            <w:vAlign w:val="bottom"/>
            <w:shd w:val="clear" w:color="auto" w:fill="FDFDFC"/>
          </w:tcPr>
          <w:p>
            <w:pPr>
              <w:spacing w:after="0"/>
              <w:rPr>
                <w:sz w:val="20"/>
                <w:szCs w:val="20"/>
                <w:color w:val="auto"/>
              </w:rPr>
            </w:pPr>
          </w:p>
        </w:tc>
        <w:tc>
          <w:tcPr>
            <w:tcW w:w="200" w:type="dxa"/>
            <w:vAlign w:val="bottom"/>
            <w:shd w:val="clear" w:color="auto" w:fill="FDFDFC"/>
          </w:tcPr>
          <w:p>
            <w:pPr>
              <w:spacing w:after="0"/>
              <w:rPr>
                <w:sz w:val="20"/>
                <w:szCs w:val="20"/>
                <w:color w:val="auto"/>
              </w:rPr>
            </w:pPr>
          </w:p>
        </w:tc>
        <w:tc>
          <w:tcPr>
            <w:tcW w:w="1740" w:type="dxa"/>
            <w:vAlign w:val="bottom"/>
            <w:gridSpan w:val="2"/>
            <w:shd w:val="clear" w:color="auto" w:fill="FDFDFC"/>
          </w:tcPr>
          <w:p>
            <w:pPr>
              <w:jc w:val="right"/>
              <w:ind w:right="120"/>
              <w:spacing w:after="0"/>
              <w:rPr>
                <w:sz w:val="20"/>
                <w:szCs w:val="20"/>
                <w:color w:val="auto"/>
              </w:rPr>
            </w:pPr>
            <w:r>
              <w:rPr>
                <w:rFonts w:ascii="Times New Roman" w:cs="Times New Roman" w:eastAsia="Times New Roman" w:hAnsi="Times New Roman"/>
                <w:sz w:val="19"/>
                <w:szCs w:val="19"/>
                <w:color w:val="231F20"/>
              </w:rPr>
              <w:t>—</w:t>
            </w:r>
          </w:p>
        </w:tc>
        <w:tc>
          <w:tcPr>
            <w:tcW w:w="0" w:type="dxa"/>
            <w:vAlign w:val="bottom"/>
          </w:tcPr>
          <w:p>
            <w:pPr>
              <w:spacing w:after="0"/>
              <w:rPr>
                <w:sz w:val="1"/>
                <w:szCs w:val="1"/>
                <w:color w:val="auto"/>
              </w:rPr>
            </w:pPr>
          </w:p>
        </w:tc>
      </w:tr>
      <w:tr>
        <w:trPr>
          <w:trHeight w:val="210"/>
        </w:trPr>
        <w:tc>
          <w:tcPr>
            <w:tcW w:w="4860" w:type="dxa"/>
            <w:vAlign w:val="bottom"/>
            <w:shd w:val="clear" w:color="auto" w:fill="D0EBF2"/>
          </w:tcPr>
          <w:p>
            <w:pPr>
              <w:spacing w:after="0" w:line="211" w:lineRule="exact"/>
              <w:rPr>
                <w:sz w:val="20"/>
                <w:szCs w:val="20"/>
                <w:color w:val="auto"/>
              </w:rPr>
            </w:pPr>
            <w:r>
              <w:rPr>
                <w:rFonts w:ascii="Times New Roman" w:cs="Times New Roman" w:eastAsia="Times New Roman" w:hAnsi="Times New Roman"/>
                <w:sz w:val="19"/>
                <w:szCs w:val="19"/>
                <w:color w:val="231F20"/>
              </w:rPr>
              <w:t>Employment Hero Holdings Pty Ltd. - Delayed Draw &amp;</w:t>
            </w:r>
          </w:p>
        </w:tc>
        <w:tc>
          <w:tcPr>
            <w:tcW w:w="120" w:type="dxa"/>
            <w:vAlign w:val="bottom"/>
            <w:shd w:val="clear" w:color="auto" w:fill="D0EBF2"/>
          </w:tcPr>
          <w:p>
            <w:pPr>
              <w:spacing w:after="0"/>
              <w:rPr>
                <w:sz w:val="18"/>
                <w:szCs w:val="18"/>
                <w:color w:val="auto"/>
              </w:rPr>
            </w:pPr>
          </w:p>
        </w:tc>
        <w:tc>
          <w:tcPr>
            <w:tcW w:w="180" w:type="dxa"/>
            <w:vAlign w:val="bottom"/>
            <w:shd w:val="clear" w:color="auto" w:fill="D0EBF2"/>
          </w:tcPr>
          <w:p>
            <w:pPr>
              <w:spacing w:after="0"/>
              <w:rPr>
                <w:sz w:val="18"/>
                <w:szCs w:val="18"/>
                <w:color w:val="auto"/>
              </w:rPr>
            </w:pPr>
          </w:p>
        </w:tc>
        <w:tc>
          <w:tcPr>
            <w:tcW w:w="1560" w:type="dxa"/>
            <w:vAlign w:val="bottom"/>
            <w:vMerge w:val="restart"/>
            <w:shd w:val="clear" w:color="auto" w:fill="D0EBF2"/>
          </w:tcPr>
          <w:p>
            <w:pPr>
              <w:jc w:val="right"/>
              <w:spacing w:after="0"/>
              <w:rPr>
                <w:sz w:val="20"/>
                <w:szCs w:val="20"/>
                <w:color w:val="auto"/>
              </w:rPr>
            </w:pPr>
            <w:r>
              <w:rPr>
                <w:rFonts w:ascii="Times New Roman" w:cs="Times New Roman" w:eastAsia="Times New Roman" w:hAnsi="Times New Roman"/>
                <w:sz w:val="19"/>
                <w:szCs w:val="19"/>
                <w:color w:val="231F20"/>
              </w:rPr>
              <w:t>1.9</w:t>
            </w:r>
          </w:p>
        </w:tc>
        <w:tc>
          <w:tcPr>
            <w:tcW w:w="220" w:type="dxa"/>
            <w:vAlign w:val="bottom"/>
            <w:shd w:val="clear" w:color="auto" w:fill="D0EBF2"/>
          </w:tcPr>
          <w:p>
            <w:pPr>
              <w:spacing w:after="0"/>
              <w:rPr>
                <w:sz w:val="18"/>
                <w:szCs w:val="18"/>
                <w:color w:val="auto"/>
              </w:rPr>
            </w:pPr>
          </w:p>
        </w:tc>
        <w:tc>
          <w:tcPr>
            <w:tcW w:w="200" w:type="dxa"/>
            <w:vAlign w:val="bottom"/>
            <w:shd w:val="clear" w:color="auto" w:fill="D0EBF2"/>
          </w:tcPr>
          <w:p>
            <w:pPr>
              <w:spacing w:after="0"/>
              <w:rPr>
                <w:sz w:val="18"/>
                <w:szCs w:val="18"/>
                <w:color w:val="auto"/>
              </w:rPr>
            </w:pPr>
          </w:p>
        </w:tc>
        <w:tc>
          <w:tcPr>
            <w:tcW w:w="1660" w:type="dxa"/>
            <w:vAlign w:val="bottom"/>
            <w:vMerge w:val="restart"/>
            <w:shd w:val="clear" w:color="auto" w:fill="D0EBF2"/>
          </w:tcPr>
          <w:p>
            <w:pPr>
              <w:jc w:val="right"/>
              <w:spacing w:after="0"/>
              <w:rPr>
                <w:sz w:val="20"/>
                <w:szCs w:val="20"/>
                <w:color w:val="auto"/>
              </w:rPr>
            </w:pPr>
            <w:r>
              <w:rPr>
                <w:rFonts w:ascii="Times New Roman" w:cs="Times New Roman" w:eastAsia="Times New Roman" w:hAnsi="Times New Roman"/>
                <w:sz w:val="19"/>
                <w:szCs w:val="19"/>
                <w:color w:val="231F20"/>
              </w:rPr>
              <w:t>8.9</w:t>
            </w:r>
          </w:p>
        </w:tc>
        <w:tc>
          <w:tcPr>
            <w:tcW w:w="80" w:type="dxa"/>
            <w:vAlign w:val="bottom"/>
            <w:shd w:val="clear" w:color="auto" w:fill="D0EBF2"/>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4860" w:type="dxa"/>
            <w:vAlign w:val="bottom"/>
            <w:shd w:val="clear" w:color="auto" w:fill="D0EBF2"/>
          </w:tcPr>
          <w:p>
            <w:pPr>
              <w:spacing w:after="0"/>
              <w:rPr>
                <w:sz w:val="20"/>
                <w:szCs w:val="20"/>
                <w:color w:val="auto"/>
              </w:rPr>
            </w:pPr>
            <w:r>
              <w:rPr>
                <w:rFonts w:ascii="Times New Roman" w:cs="Times New Roman" w:eastAsia="Times New Roman" w:hAnsi="Times New Roman"/>
                <w:sz w:val="19"/>
                <w:szCs w:val="19"/>
                <w:color w:val="231F20"/>
              </w:rPr>
              <w:t>Revolver</w:t>
            </w:r>
          </w:p>
        </w:tc>
        <w:tc>
          <w:tcPr>
            <w:tcW w:w="120" w:type="dxa"/>
            <w:vAlign w:val="bottom"/>
            <w:shd w:val="clear" w:color="auto" w:fill="D0EBF2"/>
          </w:tcPr>
          <w:p>
            <w:pPr>
              <w:spacing w:after="0"/>
              <w:rPr>
                <w:sz w:val="20"/>
                <w:szCs w:val="20"/>
                <w:color w:val="auto"/>
              </w:rPr>
            </w:pPr>
          </w:p>
        </w:tc>
        <w:tc>
          <w:tcPr>
            <w:tcW w:w="180" w:type="dxa"/>
            <w:vAlign w:val="bottom"/>
            <w:shd w:val="clear" w:color="auto" w:fill="D0EBF2"/>
          </w:tcPr>
          <w:p>
            <w:pPr>
              <w:spacing w:after="0"/>
              <w:rPr>
                <w:sz w:val="20"/>
                <w:szCs w:val="20"/>
                <w:color w:val="auto"/>
              </w:rPr>
            </w:pPr>
          </w:p>
        </w:tc>
        <w:tc>
          <w:tcPr>
            <w:tcW w:w="1560" w:type="dxa"/>
            <w:vAlign w:val="bottom"/>
            <w:vMerge w:val="continue"/>
            <w:shd w:val="clear" w:color="auto" w:fill="D0EBF2"/>
          </w:tcPr>
          <w:p>
            <w:pPr>
              <w:spacing w:after="0"/>
              <w:rPr>
                <w:sz w:val="20"/>
                <w:szCs w:val="20"/>
                <w:color w:val="auto"/>
              </w:rPr>
            </w:pPr>
          </w:p>
        </w:tc>
        <w:tc>
          <w:tcPr>
            <w:tcW w:w="220" w:type="dxa"/>
            <w:vAlign w:val="bottom"/>
            <w:shd w:val="clear" w:color="auto" w:fill="D0EBF2"/>
          </w:tcPr>
          <w:p>
            <w:pPr>
              <w:spacing w:after="0"/>
              <w:rPr>
                <w:sz w:val="20"/>
                <w:szCs w:val="20"/>
                <w:color w:val="auto"/>
              </w:rPr>
            </w:pPr>
          </w:p>
        </w:tc>
        <w:tc>
          <w:tcPr>
            <w:tcW w:w="200" w:type="dxa"/>
            <w:vAlign w:val="bottom"/>
            <w:shd w:val="clear" w:color="auto" w:fill="D0EBF2"/>
          </w:tcPr>
          <w:p>
            <w:pPr>
              <w:spacing w:after="0"/>
              <w:rPr>
                <w:sz w:val="20"/>
                <w:szCs w:val="20"/>
                <w:color w:val="auto"/>
              </w:rPr>
            </w:pPr>
          </w:p>
        </w:tc>
        <w:tc>
          <w:tcPr>
            <w:tcW w:w="1660" w:type="dxa"/>
            <w:vAlign w:val="bottom"/>
            <w:vMerge w:val="continue"/>
            <w:shd w:val="clear" w:color="auto" w:fill="D0EBF2"/>
          </w:tcPr>
          <w:p>
            <w:pPr>
              <w:spacing w:after="0"/>
              <w:rPr>
                <w:sz w:val="20"/>
                <w:szCs w:val="20"/>
                <w:color w:val="auto"/>
              </w:rPr>
            </w:pPr>
          </w:p>
        </w:tc>
        <w:tc>
          <w:tcPr>
            <w:tcW w:w="80" w:type="dxa"/>
            <w:vAlign w:val="bottom"/>
            <w:shd w:val="clear" w:color="auto" w:fill="D0EBF2"/>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860" w:type="dxa"/>
            <w:vAlign w:val="bottom"/>
            <w:shd w:val="clear" w:color="auto" w:fill="FDFDFC"/>
          </w:tcPr>
          <w:p>
            <w:pPr>
              <w:spacing w:after="0"/>
              <w:rPr>
                <w:sz w:val="20"/>
                <w:szCs w:val="20"/>
                <w:color w:val="auto"/>
              </w:rPr>
            </w:pPr>
            <w:r>
              <w:rPr>
                <w:rFonts w:ascii="Times New Roman" w:cs="Times New Roman" w:eastAsia="Times New Roman" w:hAnsi="Times New Roman"/>
                <w:sz w:val="19"/>
                <w:szCs w:val="19"/>
                <w:color w:val="231F20"/>
              </w:rPr>
              <w:t>EMS Linq, Inc. - Revolver</w:t>
            </w:r>
          </w:p>
        </w:tc>
        <w:tc>
          <w:tcPr>
            <w:tcW w:w="120" w:type="dxa"/>
            <w:vAlign w:val="bottom"/>
            <w:shd w:val="clear" w:color="auto" w:fill="FDFDFC"/>
          </w:tcPr>
          <w:p>
            <w:pPr>
              <w:spacing w:after="0"/>
              <w:rPr>
                <w:sz w:val="20"/>
                <w:szCs w:val="20"/>
                <w:color w:val="auto"/>
              </w:rPr>
            </w:pPr>
          </w:p>
        </w:tc>
        <w:tc>
          <w:tcPr>
            <w:tcW w:w="180" w:type="dxa"/>
            <w:vAlign w:val="bottom"/>
            <w:shd w:val="clear" w:color="auto" w:fill="FDFDFC"/>
          </w:tcPr>
          <w:p>
            <w:pPr>
              <w:spacing w:after="0"/>
              <w:rPr>
                <w:sz w:val="20"/>
                <w:szCs w:val="20"/>
                <w:color w:val="auto"/>
              </w:rPr>
            </w:pPr>
          </w:p>
        </w:tc>
        <w:tc>
          <w:tcPr>
            <w:tcW w:w="1560" w:type="dxa"/>
            <w:vAlign w:val="bottom"/>
            <w:shd w:val="clear" w:color="auto" w:fill="FDFDFC"/>
          </w:tcPr>
          <w:p>
            <w:pPr>
              <w:jc w:val="right"/>
              <w:spacing w:after="0"/>
              <w:rPr>
                <w:sz w:val="20"/>
                <w:szCs w:val="20"/>
                <w:color w:val="auto"/>
              </w:rPr>
            </w:pPr>
            <w:r>
              <w:rPr>
                <w:rFonts w:ascii="Times New Roman" w:cs="Times New Roman" w:eastAsia="Times New Roman" w:hAnsi="Times New Roman"/>
                <w:sz w:val="19"/>
                <w:szCs w:val="19"/>
                <w:color w:val="231F20"/>
              </w:rPr>
              <w:t>4.6</w:t>
            </w:r>
          </w:p>
        </w:tc>
        <w:tc>
          <w:tcPr>
            <w:tcW w:w="220" w:type="dxa"/>
            <w:vAlign w:val="bottom"/>
            <w:shd w:val="clear" w:color="auto" w:fill="FDFDFC"/>
          </w:tcPr>
          <w:p>
            <w:pPr>
              <w:spacing w:after="0"/>
              <w:rPr>
                <w:sz w:val="20"/>
                <w:szCs w:val="20"/>
                <w:color w:val="auto"/>
              </w:rPr>
            </w:pPr>
          </w:p>
        </w:tc>
        <w:tc>
          <w:tcPr>
            <w:tcW w:w="200" w:type="dxa"/>
            <w:vAlign w:val="bottom"/>
            <w:shd w:val="clear" w:color="auto" w:fill="FDFDFC"/>
          </w:tcPr>
          <w:p>
            <w:pPr>
              <w:spacing w:after="0"/>
              <w:rPr>
                <w:sz w:val="20"/>
                <w:szCs w:val="20"/>
                <w:color w:val="auto"/>
              </w:rPr>
            </w:pPr>
          </w:p>
        </w:tc>
        <w:tc>
          <w:tcPr>
            <w:tcW w:w="1660" w:type="dxa"/>
            <w:vAlign w:val="bottom"/>
            <w:shd w:val="clear" w:color="auto" w:fill="FDFDFC"/>
          </w:tcPr>
          <w:p>
            <w:pPr>
              <w:jc w:val="right"/>
              <w:spacing w:after="0"/>
              <w:rPr>
                <w:sz w:val="20"/>
                <w:szCs w:val="20"/>
                <w:color w:val="auto"/>
              </w:rPr>
            </w:pPr>
            <w:r>
              <w:rPr>
                <w:rFonts w:ascii="Times New Roman" w:cs="Times New Roman" w:eastAsia="Times New Roman" w:hAnsi="Times New Roman"/>
                <w:sz w:val="19"/>
                <w:szCs w:val="19"/>
                <w:color w:val="231F20"/>
              </w:rPr>
              <w:t>8.8</w:t>
            </w:r>
          </w:p>
        </w:tc>
        <w:tc>
          <w:tcPr>
            <w:tcW w:w="80" w:type="dxa"/>
            <w:vAlign w:val="bottom"/>
            <w:shd w:val="clear" w:color="auto" w:fill="FDFD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860" w:type="dxa"/>
            <w:vAlign w:val="bottom"/>
            <w:shd w:val="clear" w:color="auto" w:fill="D0EBF2"/>
          </w:tcPr>
          <w:p>
            <w:pPr>
              <w:spacing w:after="0"/>
              <w:rPr>
                <w:sz w:val="20"/>
                <w:szCs w:val="20"/>
                <w:color w:val="auto"/>
              </w:rPr>
            </w:pPr>
            <w:r>
              <w:rPr>
                <w:rFonts w:ascii="Times New Roman" w:cs="Times New Roman" w:eastAsia="Times New Roman" w:hAnsi="Times New Roman"/>
                <w:sz w:val="19"/>
                <w:szCs w:val="19"/>
                <w:color w:val="231F20"/>
              </w:rPr>
              <w:t>Erling Lux Bidco SARL - Delayed Draw &amp; Revolver</w:t>
            </w:r>
          </w:p>
        </w:tc>
        <w:tc>
          <w:tcPr>
            <w:tcW w:w="120" w:type="dxa"/>
            <w:vAlign w:val="bottom"/>
            <w:shd w:val="clear" w:color="auto" w:fill="D0EBF2"/>
          </w:tcPr>
          <w:p>
            <w:pPr>
              <w:spacing w:after="0"/>
              <w:rPr>
                <w:sz w:val="20"/>
                <w:szCs w:val="20"/>
                <w:color w:val="auto"/>
              </w:rPr>
            </w:pPr>
          </w:p>
        </w:tc>
        <w:tc>
          <w:tcPr>
            <w:tcW w:w="180" w:type="dxa"/>
            <w:vAlign w:val="bottom"/>
            <w:shd w:val="clear" w:color="auto" w:fill="D0EBF2"/>
          </w:tcPr>
          <w:p>
            <w:pPr>
              <w:spacing w:after="0"/>
              <w:rPr>
                <w:sz w:val="20"/>
                <w:szCs w:val="20"/>
                <w:color w:val="auto"/>
              </w:rPr>
            </w:pPr>
          </w:p>
        </w:tc>
        <w:tc>
          <w:tcPr>
            <w:tcW w:w="1560" w:type="dxa"/>
            <w:vAlign w:val="bottom"/>
            <w:shd w:val="clear" w:color="auto" w:fill="D0EBF2"/>
          </w:tcPr>
          <w:p>
            <w:pPr>
              <w:jc w:val="right"/>
              <w:spacing w:after="0"/>
              <w:rPr>
                <w:sz w:val="20"/>
                <w:szCs w:val="20"/>
                <w:color w:val="auto"/>
              </w:rPr>
            </w:pPr>
            <w:r>
              <w:rPr>
                <w:rFonts w:ascii="Times New Roman" w:cs="Times New Roman" w:eastAsia="Times New Roman" w:hAnsi="Times New Roman"/>
                <w:sz w:val="19"/>
                <w:szCs w:val="19"/>
                <w:color w:val="231F20"/>
              </w:rPr>
              <w:t>2.8</w:t>
            </w:r>
          </w:p>
        </w:tc>
        <w:tc>
          <w:tcPr>
            <w:tcW w:w="220" w:type="dxa"/>
            <w:vAlign w:val="bottom"/>
            <w:shd w:val="clear" w:color="auto" w:fill="D0EBF2"/>
          </w:tcPr>
          <w:p>
            <w:pPr>
              <w:spacing w:after="0"/>
              <w:rPr>
                <w:sz w:val="20"/>
                <w:szCs w:val="20"/>
                <w:color w:val="auto"/>
              </w:rPr>
            </w:pPr>
          </w:p>
        </w:tc>
        <w:tc>
          <w:tcPr>
            <w:tcW w:w="200" w:type="dxa"/>
            <w:vAlign w:val="bottom"/>
            <w:shd w:val="clear" w:color="auto" w:fill="D0EBF2"/>
          </w:tcPr>
          <w:p>
            <w:pPr>
              <w:spacing w:after="0"/>
              <w:rPr>
                <w:sz w:val="20"/>
                <w:szCs w:val="20"/>
                <w:color w:val="auto"/>
              </w:rPr>
            </w:pPr>
          </w:p>
        </w:tc>
        <w:tc>
          <w:tcPr>
            <w:tcW w:w="1660" w:type="dxa"/>
            <w:vAlign w:val="bottom"/>
            <w:shd w:val="clear" w:color="auto" w:fill="D0EBF2"/>
          </w:tcPr>
          <w:p>
            <w:pPr>
              <w:jc w:val="right"/>
              <w:spacing w:after="0"/>
              <w:rPr>
                <w:sz w:val="20"/>
                <w:szCs w:val="20"/>
                <w:color w:val="auto"/>
              </w:rPr>
            </w:pPr>
            <w:r>
              <w:rPr>
                <w:rFonts w:ascii="Times New Roman" w:cs="Times New Roman" w:eastAsia="Times New Roman" w:hAnsi="Times New Roman"/>
                <w:sz w:val="19"/>
                <w:szCs w:val="19"/>
                <w:color w:val="231F20"/>
              </w:rPr>
              <w:t>3.2</w:t>
            </w:r>
          </w:p>
        </w:tc>
        <w:tc>
          <w:tcPr>
            <w:tcW w:w="80" w:type="dxa"/>
            <w:vAlign w:val="bottom"/>
            <w:shd w:val="clear" w:color="auto" w:fill="D0EBF2"/>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860" w:type="dxa"/>
            <w:vAlign w:val="bottom"/>
            <w:shd w:val="clear" w:color="auto" w:fill="FDFDFC"/>
          </w:tcPr>
          <w:p>
            <w:pPr>
              <w:spacing w:after="0"/>
              <w:rPr>
                <w:sz w:val="20"/>
                <w:szCs w:val="20"/>
                <w:color w:val="auto"/>
              </w:rPr>
            </w:pPr>
            <w:r>
              <w:rPr>
                <w:rFonts w:ascii="Times New Roman" w:cs="Times New Roman" w:eastAsia="Times New Roman" w:hAnsi="Times New Roman"/>
                <w:sz w:val="19"/>
                <w:szCs w:val="19"/>
                <w:color w:val="231F20"/>
              </w:rPr>
              <w:t>Eventus Buyer, LLC - Delayed Draw &amp; Revolver</w:t>
            </w:r>
          </w:p>
        </w:tc>
        <w:tc>
          <w:tcPr>
            <w:tcW w:w="120" w:type="dxa"/>
            <w:vAlign w:val="bottom"/>
            <w:shd w:val="clear" w:color="auto" w:fill="FDFDFC"/>
          </w:tcPr>
          <w:p>
            <w:pPr>
              <w:spacing w:after="0"/>
              <w:rPr>
                <w:sz w:val="20"/>
                <w:szCs w:val="20"/>
                <w:color w:val="auto"/>
              </w:rPr>
            </w:pPr>
          </w:p>
        </w:tc>
        <w:tc>
          <w:tcPr>
            <w:tcW w:w="180" w:type="dxa"/>
            <w:vAlign w:val="bottom"/>
            <w:shd w:val="clear" w:color="auto" w:fill="FDFDFC"/>
          </w:tcPr>
          <w:p>
            <w:pPr>
              <w:spacing w:after="0"/>
              <w:rPr>
                <w:sz w:val="20"/>
                <w:szCs w:val="20"/>
                <w:color w:val="auto"/>
              </w:rPr>
            </w:pPr>
          </w:p>
        </w:tc>
        <w:tc>
          <w:tcPr>
            <w:tcW w:w="1560" w:type="dxa"/>
            <w:vAlign w:val="bottom"/>
            <w:shd w:val="clear" w:color="auto" w:fill="FDFDFC"/>
          </w:tcPr>
          <w:p>
            <w:pPr>
              <w:jc w:val="right"/>
              <w:spacing w:after="0"/>
              <w:rPr>
                <w:sz w:val="20"/>
                <w:szCs w:val="20"/>
                <w:color w:val="auto"/>
              </w:rPr>
            </w:pPr>
            <w:r>
              <w:rPr>
                <w:rFonts w:ascii="Times New Roman" w:cs="Times New Roman" w:eastAsia="Times New Roman" w:hAnsi="Times New Roman"/>
                <w:sz w:val="19"/>
                <w:szCs w:val="19"/>
                <w:color w:val="231F20"/>
              </w:rPr>
              <w:t>10.0</w:t>
            </w:r>
          </w:p>
        </w:tc>
        <w:tc>
          <w:tcPr>
            <w:tcW w:w="220" w:type="dxa"/>
            <w:vAlign w:val="bottom"/>
            <w:shd w:val="clear" w:color="auto" w:fill="FDFDFC"/>
          </w:tcPr>
          <w:p>
            <w:pPr>
              <w:spacing w:after="0"/>
              <w:rPr>
                <w:sz w:val="20"/>
                <w:szCs w:val="20"/>
                <w:color w:val="auto"/>
              </w:rPr>
            </w:pPr>
          </w:p>
        </w:tc>
        <w:tc>
          <w:tcPr>
            <w:tcW w:w="200" w:type="dxa"/>
            <w:vAlign w:val="bottom"/>
            <w:shd w:val="clear" w:color="auto" w:fill="FDFDFC"/>
          </w:tcPr>
          <w:p>
            <w:pPr>
              <w:spacing w:after="0"/>
              <w:rPr>
                <w:sz w:val="20"/>
                <w:szCs w:val="20"/>
                <w:color w:val="auto"/>
              </w:rPr>
            </w:pPr>
          </w:p>
        </w:tc>
        <w:tc>
          <w:tcPr>
            <w:tcW w:w="1740" w:type="dxa"/>
            <w:vAlign w:val="bottom"/>
            <w:gridSpan w:val="2"/>
            <w:shd w:val="clear" w:color="auto" w:fill="FDFDFC"/>
          </w:tcPr>
          <w:p>
            <w:pPr>
              <w:jc w:val="right"/>
              <w:ind w:right="120"/>
              <w:spacing w:after="0"/>
              <w:rPr>
                <w:sz w:val="20"/>
                <w:szCs w:val="20"/>
                <w:color w:val="auto"/>
              </w:rPr>
            </w:pPr>
            <w:r>
              <w:rPr>
                <w:rFonts w:ascii="Times New Roman" w:cs="Times New Roman" w:eastAsia="Times New Roman" w:hAnsi="Times New Roman"/>
                <w:sz w:val="19"/>
                <w:szCs w:val="19"/>
                <w:color w:val="231F20"/>
              </w:rPr>
              <w:t>—</w:t>
            </w:r>
          </w:p>
        </w:tc>
        <w:tc>
          <w:tcPr>
            <w:tcW w:w="0" w:type="dxa"/>
            <w:vAlign w:val="bottom"/>
          </w:tcPr>
          <w:p>
            <w:pPr>
              <w:spacing w:after="0"/>
              <w:rPr>
                <w:sz w:val="1"/>
                <w:szCs w:val="1"/>
                <w:color w:val="auto"/>
              </w:rPr>
            </w:pPr>
          </w:p>
        </w:tc>
      </w:tr>
      <w:tr>
        <w:trPr>
          <w:trHeight w:val="230"/>
        </w:trPr>
        <w:tc>
          <w:tcPr>
            <w:tcW w:w="4860" w:type="dxa"/>
            <w:vAlign w:val="bottom"/>
            <w:shd w:val="clear" w:color="auto" w:fill="D0EBF2"/>
          </w:tcPr>
          <w:p>
            <w:pPr>
              <w:spacing w:after="0"/>
              <w:rPr>
                <w:sz w:val="20"/>
                <w:szCs w:val="20"/>
                <w:color w:val="auto"/>
              </w:rPr>
            </w:pPr>
            <w:r>
              <w:rPr>
                <w:rFonts w:ascii="Times New Roman" w:cs="Times New Roman" w:eastAsia="Times New Roman" w:hAnsi="Times New Roman"/>
                <w:sz w:val="19"/>
                <w:szCs w:val="19"/>
                <w:color w:val="231F20"/>
              </w:rPr>
              <w:t>ExtraHop Networks, Inc. - Delayed Draw &amp; Revolver</w:t>
            </w:r>
          </w:p>
        </w:tc>
        <w:tc>
          <w:tcPr>
            <w:tcW w:w="120" w:type="dxa"/>
            <w:vAlign w:val="bottom"/>
            <w:shd w:val="clear" w:color="auto" w:fill="D0EBF2"/>
          </w:tcPr>
          <w:p>
            <w:pPr>
              <w:spacing w:after="0"/>
              <w:rPr>
                <w:sz w:val="20"/>
                <w:szCs w:val="20"/>
                <w:color w:val="auto"/>
              </w:rPr>
            </w:pPr>
          </w:p>
        </w:tc>
        <w:tc>
          <w:tcPr>
            <w:tcW w:w="180" w:type="dxa"/>
            <w:vAlign w:val="bottom"/>
            <w:shd w:val="clear" w:color="auto" w:fill="D0EBF2"/>
          </w:tcPr>
          <w:p>
            <w:pPr>
              <w:spacing w:after="0"/>
              <w:rPr>
                <w:sz w:val="20"/>
                <w:szCs w:val="20"/>
                <w:color w:val="auto"/>
              </w:rPr>
            </w:pPr>
          </w:p>
        </w:tc>
        <w:tc>
          <w:tcPr>
            <w:tcW w:w="1560" w:type="dxa"/>
            <w:vAlign w:val="bottom"/>
            <w:shd w:val="clear" w:color="auto" w:fill="D0EBF2"/>
          </w:tcPr>
          <w:p>
            <w:pPr>
              <w:jc w:val="right"/>
              <w:spacing w:after="0"/>
              <w:rPr>
                <w:sz w:val="20"/>
                <w:szCs w:val="20"/>
                <w:color w:val="auto"/>
              </w:rPr>
            </w:pPr>
            <w:r>
              <w:rPr>
                <w:rFonts w:ascii="Times New Roman" w:cs="Times New Roman" w:eastAsia="Times New Roman" w:hAnsi="Times New Roman"/>
                <w:sz w:val="19"/>
                <w:szCs w:val="19"/>
                <w:color w:val="231F20"/>
              </w:rPr>
              <w:t>3.4</w:t>
            </w:r>
          </w:p>
        </w:tc>
        <w:tc>
          <w:tcPr>
            <w:tcW w:w="220" w:type="dxa"/>
            <w:vAlign w:val="bottom"/>
            <w:shd w:val="clear" w:color="auto" w:fill="D0EBF2"/>
          </w:tcPr>
          <w:p>
            <w:pPr>
              <w:spacing w:after="0"/>
              <w:rPr>
                <w:sz w:val="20"/>
                <w:szCs w:val="20"/>
                <w:color w:val="auto"/>
              </w:rPr>
            </w:pPr>
          </w:p>
        </w:tc>
        <w:tc>
          <w:tcPr>
            <w:tcW w:w="200" w:type="dxa"/>
            <w:vAlign w:val="bottom"/>
            <w:shd w:val="clear" w:color="auto" w:fill="D0EBF2"/>
          </w:tcPr>
          <w:p>
            <w:pPr>
              <w:spacing w:after="0"/>
              <w:rPr>
                <w:sz w:val="20"/>
                <w:szCs w:val="20"/>
                <w:color w:val="auto"/>
              </w:rPr>
            </w:pPr>
          </w:p>
        </w:tc>
        <w:tc>
          <w:tcPr>
            <w:tcW w:w="1660" w:type="dxa"/>
            <w:vAlign w:val="bottom"/>
            <w:shd w:val="clear" w:color="auto" w:fill="D0EBF2"/>
          </w:tcPr>
          <w:p>
            <w:pPr>
              <w:jc w:val="right"/>
              <w:spacing w:after="0"/>
              <w:rPr>
                <w:sz w:val="20"/>
                <w:szCs w:val="20"/>
                <w:color w:val="auto"/>
              </w:rPr>
            </w:pPr>
            <w:r>
              <w:rPr>
                <w:rFonts w:ascii="Times New Roman" w:cs="Times New Roman" w:eastAsia="Times New Roman" w:hAnsi="Times New Roman"/>
                <w:sz w:val="19"/>
                <w:szCs w:val="19"/>
                <w:color w:val="231F20"/>
              </w:rPr>
              <w:t>9.8</w:t>
            </w:r>
          </w:p>
        </w:tc>
        <w:tc>
          <w:tcPr>
            <w:tcW w:w="80" w:type="dxa"/>
            <w:vAlign w:val="bottom"/>
            <w:shd w:val="clear" w:color="auto" w:fill="D0EBF2"/>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860" w:type="dxa"/>
            <w:vAlign w:val="bottom"/>
            <w:shd w:val="clear" w:color="auto" w:fill="FDFDFC"/>
          </w:tcPr>
          <w:p>
            <w:pPr>
              <w:spacing w:after="0"/>
              <w:rPr>
                <w:sz w:val="20"/>
                <w:szCs w:val="20"/>
                <w:color w:val="auto"/>
              </w:rPr>
            </w:pPr>
            <w:r>
              <w:rPr>
                <w:rFonts w:ascii="Times New Roman" w:cs="Times New Roman" w:eastAsia="Times New Roman" w:hAnsi="Times New Roman"/>
                <w:sz w:val="19"/>
                <w:szCs w:val="19"/>
                <w:color w:val="231F20"/>
              </w:rPr>
              <w:t>Flight Intermediate HoldCo, Inc. - Delayed Draw</w:t>
            </w:r>
          </w:p>
        </w:tc>
        <w:tc>
          <w:tcPr>
            <w:tcW w:w="120" w:type="dxa"/>
            <w:vAlign w:val="bottom"/>
            <w:shd w:val="clear" w:color="auto" w:fill="FDFDFC"/>
          </w:tcPr>
          <w:p>
            <w:pPr>
              <w:spacing w:after="0"/>
              <w:rPr>
                <w:sz w:val="20"/>
                <w:szCs w:val="20"/>
                <w:color w:val="auto"/>
              </w:rPr>
            </w:pPr>
          </w:p>
        </w:tc>
        <w:tc>
          <w:tcPr>
            <w:tcW w:w="180" w:type="dxa"/>
            <w:vAlign w:val="bottom"/>
            <w:shd w:val="clear" w:color="auto" w:fill="FDFDFC"/>
          </w:tcPr>
          <w:p>
            <w:pPr>
              <w:spacing w:after="0"/>
              <w:rPr>
                <w:sz w:val="20"/>
                <w:szCs w:val="20"/>
                <w:color w:val="auto"/>
              </w:rPr>
            </w:pPr>
          </w:p>
        </w:tc>
        <w:tc>
          <w:tcPr>
            <w:tcW w:w="1560" w:type="dxa"/>
            <w:vAlign w:val="bottom"/>
            <w:shd w:val="clear" w:color="auto" w:fill="FDFDFC"/>
          </w:tcPr>
          <w:p>
            <w:pPr>
              <w:jc w:val="right"/>
              <w:spacing w:after="0"/>
              <w:rPr>
                <w:sz w:val="20"/>
                <w:szCs w:val="20"/>
                <w:color w:val="auto"/>
              </w:rPr>
            </w:pPr>
            <w:r>
              <w:rPr>
                <w:rFonts w:ascii="Times New Roman" w:cs="Times New Roman" w:eastAsia="Times New Roman" w:hAnsi="Times New Roman"/>
                <w:sz w:val="19"/>
                <w:szCs w:val="19"/>
                <w:color w:val="231F20"/>
              </w:rPr>
              <w:t>37.9</w:t>
            </w:r>
          </w:p>
        </w:tc>
        <w:tc>
          <w:tcPr>
            <w:tcW w:w="220" w:type="dxa"/>
            <w:vAlign w:val="bottom"/>
            <w:shd w:val="clear" w:color="auto" w:fill="FDFDFC"/>
          </w:tcPr>
          <w:p>
            <w:pPr>
              <w:spacing w:after="0"/>
              <w:rPr>
                <w:sz w:val="20"/>
                <w:szCs w:val="20"/>
                <w:color w:val="auto"/>
              </w:rPr>
            </w:pPr>
          </w:p>
        </w:tc>
        <w:tc>
          <w:tcPr>
            <w:tcW w:w="200" w:type="dxa"/>
            <w:vAlign w:val="bottom"/>
            <w:shd w:val="clear" w:color="auto" w:fill="FDFDFC"/>
          </w:tcPr>
          <w:p>
            <w:pPr>
              <w:spacing w:after="0"/>
              <w:rPr>
                <w:sz w:val="20"/>
                <w:szCs w:val="20"/>
                <w:color w:val="auto"/>
              </w:rPr>
            </w:pPr>
          </w:p>
        </w:tc>
        <w:tc>
          <w:tcPr>
            <w:tcW w:w="1740" w:type="dxa"/>
            <w:vAlign w:val="bottom"/>
            <w:gridSpan w:val="2"/>
            <w:shd w:val="clear" w:color="auto" w:fill="FDFDFC"/>
          </w:tcPr>
          <w:p>
            <w:pPr>
              <w:jc w:val="right"/>
              <w:ind w:right="120"/>
              <w:spacing w:after="0"/>
              <w:rPr>
                <w:sz w:val="20"/>
                <w:szCs w:val="20"/>
                <w:color w:val="auto"/>
              </w:rPr>
            </w:pPr>
            <w:r>
              <w:rPr>
                <w:rFonts w:ascii="Times New Roman" w:cs="Times New Roman" w:eastAsia="Times New Roman" w:hAnsi="Times New Roman"/>
                <w:sz w:val="19"/>
                <w:szCs w:val="19"/>
                <w:color w:val="231F20"/>
              </w:rPr>
              <w:t>—</w:t>
            </w:r>
          </w:p>
        </w:tc>
        <w:tc>
          <w:tcPr>
            <w:tcW w:w="0" w:type="dxa"/>
            <w:vAlign w:val="bottom"/>
          </w:tcPr>
          <w:p>
            <w:pPr>
              <w:spacing w:after="0"/>
              <w:rPr>
                <w:sz w:val="1"/>
                <w:szCs w:val="1"/>
                <w:color w:val="auto"/>
              </w:rPr>
            </w:pPr>
          </w:p>
        </w:tc>
      </w:tr>
      <w:tr>
        <w:trPr>
          <w:trHeight w:val="230"/>
        </w:trPr>
        <w:tc>
          <w:tcPr>
            <w:tcW w:w="4860" w:type="dxa"/>
            <w:vAlign w:val="bottom"/>
            <w:shd w:val="clear" w:color="auto" w:fill="D0EBF2"/>
          </w:tcPr>
          <w:p>
            <w:pPr>
              <w:spacing w:after="0"/>
              <w:rPr>
                <w:sz w:val="20"/>
                <w:szCs w:val="20"/>
                <w:color w:val="auto"/>
              </w:rPr>
            </w:pPr>
            <w:r>
              <w:rPr>
                <w:rFonts w:ascii="Times New Roman" w:cs="Times New Roman" w:eastAsia="Times New Roman" w:hAnsi="Times New Roman"/>
                <w:sz w:val="19"/>
                <w:szCs w:val="19"/>
                <w:color w:val="231F20"/>
              </w:rPr>
              <w:t>ForeScout Technologies, Inc. - Delayed Draw &amp; Revolver</w:t>
            </w:r>
          </w:p>
        </w:tc>
        <w:tc>
          <w:tcPr>
            <w:tcW w:w="120" w:type="dxa"/>
            <w:vAlign w:val="bottom"/>
            <w:shd w:val="clear" w:color="auto" w:fill="D0EBF2"/>
          </w:tcPr>
          <w:p>
            <w:pPr>
              <w:spacing w:after="0"/>
              <w:rPr>
                <w:sz w:val="20"/>
                <w:szCs w:val="20"/>
                <w:color w:val="auto"/>
              </w:rPr>
            </w:pPr>
          </w:p>
        </w:tc>
        <w:tc>
          <w:tcPr>
            <w:tcW w:w="180" w:type="dxa"/>
            <w:vAlign w:val="bottom"/>
            <w:shd w:val="clear" w:color="auto" w:fill="D0EBF2"/>
          </w:tcPr>
          <w:p>
            <w:pPr>
              <w:spacing w:after="0"/>
              <w:rPr>
                <w:sz w:val="20"/>
                <w:szCs w:val="20"/>
                <w:color w:val="auto"/>
              </w:rPr>
            </w:pPr>
          </w:p>
        </w:tc>
        <w:tc>
          <w:tcPr>
            <w:tcW w:w="1560" w:type="dxa"/>
            <w:vAlign w:val="bottom"/>
            <w:shd w:val="clear" w:color="auto" w:fill="D0EBF2"/>
          </w:tcPr>
          <w:p>
            <w:pPr>
              <w:jc w:val="right"/>
              <w:spacing w:after="0"/>
              <w:rPr>
                <w:sz w:val="20"/>
                <w:szCs w:val="20"/>
                <w:color w:val="auto"/>
              </w:rPr>
            </w:pPr>
            <w:r>
              <w:rPr>
                <w:rFonts w:ascii="Times New Roman" w:cs="Times New Roman" w:eastAsia="Times New Roman" w:hAnsi="Times New Roman"/>
                <w:sz w:val="19"/>
                <w:szCs w:val="19"/>
                <w:color w:val="231F20"/>
              </w:rPr>
              <w:t>0.8</w:t>
            </w:r>
          </w:p>
        </w:tc>
        <w:tc>
          <w:tcPr>
            <w:tcW w:w="220" w:type="dxa"/>
            <w:vAlign w:val="bottom"/>
            <w:shd w:val="clear" w:color="auto" w:fill="D0EBF2"/>
          </w:tcPr>
          <w:p>
            <w:pPr>
              <w:spacing w:after="0"/>
              <w:rPr>
                <w:sz w:val="20"/>
                <w:szCs w:val="20"/>
                <w:color w:val="auto"/>
              </w:rPr>
            </w:pPr>
          </w:p>
        </w:tc>
        <w:tc>
          <w:tcPr>
            <w:tcW w:w="200" w:type="dxa"/>
            <w:vAlign w:val="bottom"/>
            <w:shd w:val="clear" w:color="auto" w:fill="D0EBF2"/>
          </w:tcPr>
          <w:p>
            <w:pPr>
              <w:spacing w:after="0"/>
              <w:rPr>
                <w:sz w:val="20"/>
                <w:szCs w:val="20"/>
                <w:color w:val="auto"/>
              </w:rPr>
            </w:pPr>
          </w:p>
        </w:tc>
        <w:tc>
          <w:tcPr>
            <w:tcW w:w="1660" w:type="dxa"/>
            <w:vAlign w:val="bottom"/>
            <w:shd w:val="clear" w:color="auto" w:fill="D0EBF2"/>
          </w:tcPr>
          <w:p>
            <w:pPr>
              <w:jc w:val="right"/>
              <w:spacing w:after="0"/>
              <w:rPr>
                <w:sz w:val="20"/>
                <w:szCs w:val="20"/>
                <w:color w:val="auto"/>
              </w:rPr>
            </w:pPr>
            <w:r>
              <w:rPr>
                <w:rFonts w:ascii="Times New Roman" w:cs="Times New Roman" w:eastAsia="Times New Roman" w:hAnsi="Times New Roman"/>
                <w:sz w:val="19"/>
                <w:szCs w:val="19"/>
                <w:color w:val="231F20"/>
              </w:rPr>
              <w:t>3.4</w:t>
            </w:r>
          </w:p>
        </w:tc>
        <w:tc>
          <w:tcPr>
            <w:tcW w:w="80" w:type="dxa"/>
            <w:vAlign w:val="bottom"/>
            <w:shd w:val="clear" w:color="auto" w:fill="D0EBF2"/>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860" w:type="dxa"/>
            <w:vAlign w:val="bottom"/>
            <w:shd w:val="clear" w:color="auto" w:fill="FDFDFC"/>
          </w:tcPr>
          <w:p>
            <w:pPr>
              <w:spacing w:after="0"/>
              <w:rPr>
                <w:sz w:val="20"/>
                <w:szCs w:val="20"/>
                <w:color w:val="auto"/>
              </w:rPr>
            </w:pPr>
            <w:r>
              <w:rPr>
                <w:rFonts w:ascii="Times New Roman" w:cs="Times New Roman" w:eastAsia="Times New Roman" w:hAnsi="Times New Roman"/>
                <w:sz w:val="19"/>
                <w:szCs w:val="19"/>
                <w:color w:val="231F20"/>
              </w:rPr>
              <w:t>Fullsteam Operations, LLC - Delayed Draw &amp; Revolver</w:t>
            </w:r>
          </w:p>
        </w:tc>
        <w:tc>
          <w:tcPr>
            <w:tcW w:w="120" w:type="dxa"/>
            <w:vAlign w:val="bottom"/>
            <w:shd w:val="clear" w:color="auto" w:fill="FDFDFC"/>
          </w:tcPr>
          <w:p>
            <w:pPr>
              <w:spacing w:after="0"/>
              <w:rPr>
                <w:sz w:val="20"/>
                <w:szCs w:val="20"/>
                <w:color w:val="auto"/>
              </w:rPr>
            </w:pPr>
          </w:p>
        </w:tc>
        <w:tc>
          <w:tcPr>
            <w:tcW w:w="180" w:type="dxa"/>
            <w:vAlign w:val="bottom"/>
            <w:shd w:val="clear" w:color="auto" w:fill="FDFDFC"/>
          </w:tcPr>
          <w:p>
            <w:pPr>
              <w:spacing w:after="0"/>
              <w:rPr>
                <w:sz w:val="20"/>
                <w:szCs w:val="20"/>
                <w:color w:val="auto"/>
              </w:rPr>
            </w:pPr>
          </w:p>
        </w:tc>
        <w:tc>
          <w:tcPr>
            <w:tcW w:w="1560" w:type="dxa"/>
            <w:vAlign w:val="bottom"/>
            <w:shd w:val="clear" w:color="auto" w:fill="FDFDFC"/>
          </w:tcPr>
          <w:p>
            <w:pPr>
              <w:jc w:val="right"/>
              <w:spacing w:after="0"/>
              <w:rPr>
                <w:sz w:val="20"/>
                <w:szCs w:val="20"/>
                <w:color w:val="auto"/>
              </w:rPr>
            </w:pPr>
            <w:r>
              <w:rPr>
                <w:rFonts w:ascii="Times New Roman" w:cs="Times New Roman" w:eastAsia="Times New Roman" w:hAnsi="Times New Roman"/>
                <w:sz w:val="19"/>
                <w:szCs w:val="19"/>
                <w:color w:val="231F20"/>
              </w:rPr>
              <w:t>8.9</w:t>
            </w:r>
          </w:p>
        </w:tc>
        <w:tc>
          <w:tcPr>
            <w:tcW w:w="220" w:type="dxa"/>
            <w:vAlign w:val="bottom"/>
            <w:shd w:val="clear" w:color="auto" w:fill="FDFDFC"/>
          </w:tcPr>
          <w:p>
            <w:pPr>
              <w:spacing w:after="0"/>
              <w:rPr>
                <w:sz w:val="20"/>
                <w:szCs w:val="20"/>
                <w:color w:val="auto"/>
              </w:rPr>
            </w:pPr>
          </w:p>
        </w:tc>
        <w:tc>
          <w:tcPr>
            <w:tcW w:w="200" w:type="dxa"/>
            <w:vAlign w:val="bottom"/>
            <w:shd w:val="clear" w:color="auto" w:fill="FDFDFC"/>
          </w:tcPr>
          <w:p>
            <w:pPr>
              <w:spacing w:after="0"/>
              <w:rPr>
                <w:sz w:val="20"/>
                <w:szCs w:val="20"/>
                <w:color w:val="auto"/>
              </w:rPr>
            </w:pPr>
          </w:p>
        </w:tc>
        <w:tc>
          <w:tcPr>
            <w:tcW w:w="1660" w:type="dxa"/>
            <w:vAlign w:val="bottom"/>
            <w:shd w:val="clear" w:color="auto" w:fill="FDFDFC"/>
          </w:tcPr>
          <w:p>
            <w:pPr>
              <w:jc w:val="right"/>
              <w:spacing w:after="0"/>
              <w:rPr>
                <w:sz w:val="20"/>
                <w:szCs w:val="20"/>
                <w:color w:val="auto"/>
              </w:rPr>
            </w:pPr>
            <w:r>
              <w:rPr>
                <w:rFonts w:ascii="Times New Roman" w:cs="Times New Roman" w:eastAsia="Times New Roman" w:hAnsi="Times New Roman"/>
                <w:sz w:val="19"/>
                <w:szCs w:val="19"/>
                <w:color w:val="231F20"/>
              </w:rPr>
              <w:t>11.2</w:t>
            </w:r>
          </w:p>
        </w:tc>
        <w:tc>
          <w:tcPr>
            <w:tcW w:w="80" w:type="dxa"/>
            <w:vAlign w:val="bottom"/>
            <w:shd w:val="clear" w:color="auto" w:fill="FDFD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860" w:type="dxa"/>
            <w:vAlign w:val="bottom"/>
            <w:shd w:val="clear" w:color="auto" w:fill="D0EBF2"/>
          </w:tcPr>
          <w:p>
            <w:pPr>
              <w:spacing w:after="0"/>
              <w:rPr>
                <w:sz w:val="20"/>
                <w:szCs w:val="20"/>
                <w:color w:val="auto"/>
              </w:rPr>
            </w:pPr>
            <w:r>
              <w:rPr>
                <w:rFonts w:ascii="Times New Roman" w:cs="Times New Roman" w:eastAsia="Times New Roman" w:hAnsi="Times New Roman"/>
                <w:sz w:val="19"/>
                <w:szCs w:val="19"/>
                <w:color w:val="231F20"/>
              </w:rPr>
              <w:t>Galileo Parent, Inc. - Revolver</w:t>
            </w:r>
          </w:p>
        </w:tc>
        <w:tc>
          <w:tcPr>
            <w:tcW w:w="120" w:type="dxa"/>
            <w:vAlign w:val="bottom"/>
            <w:shd w:val="clear" w:color="auto" w:fill="D0EBF2"/>
          </w:tcPr>
          <w:p>
            <w:pPr>
              <w:spacing w:after="0"/>
              <w:rPr>
                <w:sz w:val="20"/>
                <w:szCs w:val="20"/>
                <w:color w:val="auto"/>
              </w:rPr>
            </w:pPr>
          </w:p>
        </w:tc>
        <w:tc>
          <w:tcPr>
            <w:tcW w:w="180" w:type="dxa"/>
            <w:vAlign w:val="bottom"/>
            <w:shd w:val="clear" w:color="auto" w:fill="D0EBF2"/>
          </w:tcPr>
          <w:p>
            <w:pPr>
              <w:spacing w:after="0"/>
              <w:rPr>
                <w:sz w:val="20"/>
                <w:szCs w:val="20"/>
                <w:color w:val="auto"/>
              </w:rPr>
            </w:pPr>
          </w:p>
        </w:tc>
        <w:tc>
          <w:tcPr>
            <w:tcW w:w="1560" w:type="dxa"/>
            <w:vAlign w:val="bottom"/>
            <w:shd w:val="clear" w:color="auto" w:fill="D0EBF2"/>
          </w:tcPr>
          <w:p>
            <w:pPr>
              <w:jc w:val="right"/>
              <w:spacing w:after="0"/>
              <w:rPr>
                <w:sz w:val="20"/>
                <w:szCs w:val="20"/>
                <w:color w:val="auto"/>
              </w:rPr>
            </w:pPr>
            <w:r>
              <w:rPr>
                <w:rFonts w:ascii="Times New Roman" w:cs="Times New Roman" w:eastAsia="Times New Roman" w:hAnsi="Times New Roman"/>
                <w:sz w:val="19"/>
                <w:szCs w:val="19"/>
                <w:color w:val="231F20"/>
              </w:rPr>
              <w:t>5.5</w:t>
            </w:r>
          </w:p>
        </w:tc>
        <w:tc>
          <w:tcPr>
            <w:tcW w:w="220" w:type="dxa"/>
            <w:vAlign w:val="bottom"/>
            <w:shd w:val="clear" w:color="auto" w:fill="D0EBF2"/>
          </w:tcPr>
          <w:p>
            <w:pPr>
              <w:spacing w:after="0"/>
              <w:rPr>
                <w:sz w:val="20"/>
                <w:szCs w:val="20"/>
                <w:color w:val="auto"/>
              </w:rPr>
            </w:pPr>
          </w:p>
        </w:tc>
        <w:tc>
          <w:tcPr>
            <w:tcW w:w="200" w:type="dxa"/>
            <w:vAlign w:val="bottom"/>
            <w:shd w:val="clear" w:color="auto" w:fill="D0EBF2"/>
          </w:tcPr>
          <w:p>
            <w:pPr>
              <w:spacing w:after="0"/>
              <w:rPr>
                <w:sz w:val="20"/>
                <w:szCs w:val="20"/>
                <w:color w:val="auto"/>
              </w:rPr>
            </w:pPr>
          </w:p>
        </w:tc>
        <w:tc>
          <w:tcPr>
            <w:tcW w:w="1660" w:type="dxa"/>
            <w:vAlign w:val="bottom"/>
            <w:shd w:val="clear" w:color="auto" w:fill="D0EBF2"/>
          </w:tcPr>
          <w:p>
            <w:pPr>
              <w:jc w:val="right"/>
              <w:spacing w:after="0"/>
              <w:rPr>
                <w:sz w:val="20"/>
                <w:szCs w:val="20"/>
                <w:color w:val="auto"/>
              </w:rPr>
            </w:pPr>
            <w:r>
              <w:rPr>
                <w:rFonts w:ascii="Times New Roman" w:cs="Times New Roman" w:eastAsia="Times New Roman" w:hAnsi="Times New Roman"/>
                <w:sz w:val="19"/>
                <w:szCs w:val="19"/>
                <w:color w:val="231F20"/>
              </w:rPr>
              <w:t>6.8</w:t>
            </w:r>
          </w:p>
        </w:tc>
        <w:tc>
          <w:tcPr>
            <w:tcW w:w="80" w:type="dxa"/>
            <w:vAlign w:val="bottom"/>
            <w:shd w:val="clear" w:color="auto" w:fill="D0EBF2"/>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860" w:type="dxa"/>
            <w:vAlign w:val="bottom"/>
            <w:shd w:val="clear" w:color="auto" w:fill="FDFDFC"/>
          </w:tcPr>
          <w:p>
            <w:pPr>
              <w:spacing w:after="0"/>
              <w:rPr>
                <w:sz w:val="20"/>
                <w:szCs w:val="20"/>
                <w:color w:val="auto"/>
              </w:rPr>
            </w:pPr>
            <w:r>
              <w:rPr>
                <w:rFonts w:ascii="Times New Roman" w:cs="Times New Roman" w:eastAsia="Times New Roman" w:hAnsi="Times New Roman"/>
                <w:sz w:val="19"/>
                <w:szCs w:val="19"/>
                <w:color w:val="231F20"/>
              </w:rPr>
              <w:t>Greenshoot Bidco B.V. - Revolver</w:t>
            </w:r>
          </w:p>
        </w:tc>
        <w:tc>
          <w:tcPr>
            <w:tcW w:w="120" w:type="dxa"/>
            <w:vAlign w:val="bottom"/>
            <w:shd w:val="clear" w:color="auto" w:fill="FDFDFC"/>
          </w:tcPr>
          <w:p>
            <w:pPr>
              <w:spacing w:after="0"/>
              <w:rPr>
                <w:sz w:val="20"/>
                <w:szCs w:val="20"/>
                <w:color w:val="auto"/>
              </w:rPr>
            </w:pPr>
          </w:p>
        </w:tc>
        <w:tc>
          <w:tcPr>
            <w:tcW w:w="180" w:type="dxa"/>
            <w:vAlign w:val="bottom"/>
            <w:shd w:val="clear" w:color="auto" w:fill="FDFDFC"/>
          </w:tcPr>
          <w:p>
            <w:pPr>
              <w:spacing w:after="0"/>
              <w:rPr>
                <w:sz w:val="20"/>
                <w:szCs w:val="20"/>
                <w:color w:val="auto"/>
              </w:rPr>
            </w:pPr>
          </w:p>
        </w:tc>
        <w:tc>
          <w:tcPr>
            <w:tcW w:w="1560" w:type="dxa"/>
            <w:vAlign w:val="bottom"/>
            <w:shd w:val="clear" w:color="auto" w:fill="FDFDFC"/>
          </w:tcPr>
          <w:p>
            <w:pPr>
              <w:jc w:val="right"/>
              <w:spacing w:after="0"/>
              <w:rPr>
                <w:sz w:val="20"/>
                <w:szCs w:val="20"/>
                <w:color w:val="auto"/>
              </w:rPr>
            </w:pPr>
            <w:r>
              <w:rPr>
                <w:rFonts w:ascii="Times New Roman" w:cs="Times New Roman" w:eastAsia="Times New Roman" w:hAnsi="Times New Roman"/>
                <w:sz w:val="19"/>
                <w:szCs w:val="19"/>
                <w:color w:val="231F20"/>
              </w:rPr>
              <w:t>0.4</w:t>
            </w:r>
          </w:p>
        </w:tc>
        <w:tc>
          <w:tcPr>
            <w:tcW w:w="220" w:type="dxa"/>
            <w:vAlign w:val="bottom"/>
            <w:shd w:val="clear" w:color="auto" w:fill="FDFDFC"/>
          </w:tcPr>
          <w:p>
            <w:pPr>
              <w:spacing w:after="0"/>
              <w:rPr>
                <w:sz w:val="20"/>
                <w:szCs w:val="20"/>
                <w:color w:val="auto"/>
              </w:rPr>
            </w:pPr>
          </w:p>
        </w:tc>
        <w:tc>
          <w:tcPr>
            <w:tcW w:w="200" w:type="dxa"/>
            <w:vAlign w:val="bottom"/>
            <w:shd w:val="clear" w:color="auto" w:fill="FDFDFC"/>
          </w:tcPr>
          <w:p>
            <w:pPr>
              <w:spacing w:after="0"/>
              <w:rPr>
                <w:sz w:val="20"/>
                <w:szCs w:val="20"/>
                <w:color w:val="auto"/>
              </w:rPr>
            </w:pPr>
          </w:p>
        </w:tc>
        <w:tc>
          <w:tcPr>
            <w:tcW w:w="1740" w:type="dxa"/>
            <w:vAlign w:val="bottom"/>
            <w:gridSpan w:val="2"/>
            <w:shd w:val="clear" w:color="auto" w:fill="FDFDFC"/>
          </w:tcPr>
          <w:p>
            <w:pPr>
              <w:jc w:val="right"/>
              <w:ind w:right="120"/>
              <w:spacing w:after="0"/>
              <w:rPr>
                <w:sz w:val="20"/>
                <w:szCs w:val="20"/>
                <w:color w:val="auto"/>
              </w:rPr>
            </w:pPr>
            <w:r>
              <w:rPr>
                <w:rFonts w:ascii="Times New Roman" w:cs="Times New Roman" w:eastAsia="Times New Roman" w:hAnsi="Times New Roman"/>
                <w:sz w:val="19"/>
                <w:szCs w:val="19"/>
                <w:color w:val="231F20"/>
              </w:rPr>
              <w:t>—</w:t>
            </w:r>
          </w:p>
        </w:tc>
        <w:tc>
          <w:tcPr>
            <w:tcW w:w="0" w:type="dxa"/>
            <w:vAlign w:val="bottom"/>
          </w:tcPr>
          <w:p>
            <w:pPr>
              <w:spacing w:after="0"/>
              <w:rPr>
                <w:sz w:val="1"/>
                <w:szCs w:val="1"/>
                <w:color w:val="auto"/>
              </w:rPr>
            </w:pPr>
          </w:p>
        </w:tc>
      </w:tr>
      <w:tr>
        <w:trPr>
          <w:trHeight w:val="210"/>
        </w:trPr>
        <w:tc>
          <w:tcPr>
            <w:tcW w:w="4860" w:type="dxa"/>
            <w:vAlign w:val="bottom"/>
            <w:shd w:val="clear" w:color="auto" w:fill="D0EBF2"/>
          </w:tcPr>
          <w:p>
            <w:pPr>
              <w:spacing w:after="0" w:line="211" w:lineRule="exact"/>
              <w:rPr>
                <w:sz w:val="20"/>
                <w:szCs w:val="20"/>
                <w:color w:val="auto"/>
              </w:rPr>
            </w:pPr>
            <w:r>
              <w:rPr>
                <w:rFonts w:ascii="Times New Roman" w:cs="Times New Roman" w:eastAsia="Times New Roman" w:hAnsi="Times New Roman"/>
                <w:sz w:val="19"/>
                <w:szCs w:val="19"/>
                <w:color w:val="231F20"/>
              </w:rPr>
              <w:t>Heritage Environmental Services, Inc. - Delayed Draw &amp;</w:t>
            </w:r>
          </w:p>
        </w:tc>
        <w:tc>
          <w:tcPr>
            <w:tcW w:w="120" w:type="dxa"/>
            <w:vAlign w:val="bottom"/>
            <w:shd w:val="clear" w:color="auto" w:fill="D0EBF2"/>
          </w:tcPr>
          <w:p>
            <w:pPr>
              <w:spacing w:after="0"/>
              <w:rPr>
                <w:sz w:val="18"/>
                <w:szCs w:val="18"/>
                <w:color w:val="auto"/>
              </w:rPr>
            </w:pPr>
          </w:p>
        </w:tc>
        <w:tc>
          <w:tcPr>
            <w:tcW w:w="180" w:type="dxa"/>
            <w:vAlign w:val="bottom"/>
            <w:shd w:val="clear" w:color="auto" w:fill="D0EBF2"/>
          </w:tcPr>
          <w:p>
            <w:pPr>
              <w:spacing w:after="0"/>
              <w:rPr>
                <w:sz w:val="18"/>
                <w:szCs w:val="18"/>
                <w:color w:val="auto"/>
              </w:rPr>
            </w:pPr>
          </w:p>
        </w:tc>
        <w:tc>
          <w:tcPr>
            <w:tcW w:w="1560" w:type="dxa"/>
            <w:vAlign w:val="bottom"/>
            <w:vMerge w:val="restart"/>
            <w:shd w:val="clear" w:color="auto" w:fill="D0EBF2"/>
          </w:tcPr>
          <w:p>
            <w:pPr>
              <w:jc w:val="right"/>
              <w:spacing w:after="0"/>
              <w:rPr>
                <w:sz w:val="20"/>
                <w:szCs w:val="20"/>
                <w:color w:val="auto"/>
              </w:rPr>
            </w:pPr>
            <w:r>
              <w:rPr>
                <w:rFonts w:ascii="Times New Roman" w:cs="Times New Roman" w:eastAsia="Times New Roman" w:hAnsi="Times New Roman"/>
                <w:sz w:val="19"/>
                <w:szCs w:val="19"/>
                <w:color w:val="231F20"/>
              </w:rPr>
              <w:t>2.5</w:t>
            </w:r>
          </w:p>
        </w:tc>
        <w:tc>
          <w:tcPr>
            <w:tcW w:w="220" w:type="dxa"/>
            <w:vAlign w:val="bottom"/>
            <w:shd w:val="clear" w:color="auto" w:fill="D0EBF2"/>
          </w:tcPr>
          <w:p>
            <w:pPr>
              <w:spacing w:after="0"/>
              <w:rPr>
                <w:sz w:val="18"/>
                <w:szCs w:val="18"/>
                <w:color w:val="auto"/>
              </w:rPr>
            </w:pPr>
          </w:p>
        </w:tc>
        <w:tc>
          <w:tcPr>
            <w:tcW w:w="200" w:type="dxa"/>
            <w:vAlign w:val="bottom"/>
            <w:shd w:val="clear" w:color="auto" w:fill="D0EBF2"/>
          </w:tcPr>
          <w:p>
            <w:pPr>
              <w:spacing w:after="0"/>
              <w:rPr>
                <w:sz w:val="18"/>
                <w:szCs w:val="18"/>
                <w:color w:val="auto"/>
              </w:rPr>
            </w:pPr>
          </w:p>
        </w:tc>
        <w:tc>
          <w:tcPr>
            <w:tcW w:w="1740" w:type="dxa"/>
            <w:vAlign w:val="bottom"/>
            <w:gridSpan w:val="2"/>
            <w:vMerge w:val="restart"/>
            <w:shd w:val="clear" w:color="auto" w:fill="D0EBF2"/>
          </w:tcPr>
          <w:p>
            <w:pPr>
              <w:jc w:val="right"/>
              <w:ind w:right="120"/>
              <w:spacing w:after="0"/>
              <w:rPr>
                <w:sz w:val="20"/>
                <w:szCs w:val="20"/>
                <w:color w:val="auto"/>
              </w:rPr>
            </w:pPr>
            <w:r>
              <w:rPr>
                <w:rFonts w:ascii="Times New Roman" w:cs="Times New Roman" w:eastAsia="Times New Roman" w:hAnsi="Times New Roman"/>
                <w:sz w:val="19"/>
                <w:szCs w:val="19"/>
                <w:color w:val="231F20"/>
              </w:rPr>
              <w:t>—</w:t>
            </w:r>
          </w:p>
        </w:tc>
        <w:tc>
          <w:tcPr>
            <w:tcW w:w="0" w:type="dxa"/>
            <w:vAlign w:val="bottom"/>
          </w:tcPr>
          <w:p>
            <w:pPr>
              <w:spacing w:after="0"/>
              <w:rPr>
                <w:sz w:val="1"/>
                <w:szCs w:val="1"/>
                <w:color w:val="auto"/>
              </w:rPr>
            </w:pPr>
          </w:p>
        </w:tc>
      </w:tr>
      <w:tr>
        <w:trPr>
          <w:trHeight w:val="237"/>
        </w:trPr>
        <w:tc>
          <w:tcPr>
            <w:tcW w:w="4860" w:type="dxa"/>
            <w:vAlign w:val="bottom"/>
            <w:shd w:val="clear" w:color="auto" w:fill="D0EBF2"/>
          </w:tcPr>
          <w:p>
            <w:pPr>
              <w:spacing w:after="0"/>
              <w:rPr>
                <w:sz w:val="20"/>
                <w:szCs w:val="20"/>
                <w:color w:val="auto"/>
              </w:rPr>
            </w:pPr>
            <w:r>
              <w:rPr>
                <w:rFonts w:ascii="Times New Roman" w:cs="Times New Roman" w:eastAsia="Times New Roman" w:hAnsi="Times New Roman"/>
                <w:sz w:val="19"/>
                <w:szCs w:val="19"/>
                <w:color w:val="231F20"/>
              </w:rPr>
              <w:t>Revolver</w:t>
            </w:r>
          </w:p>
        </w:tc>
        <w:tc>
          <w:tcPr>
            <w:tcW w:w="120" w:type="dxa"/>
            <w:vAlign w:val="bottom"/>
            <w:shd w:val="clear" w:color="auto" w:fill="D0EBF2"/>
          </w:tcPr>
          <w:p>
            <w:pPr>
              <w:spacing w:after="0"/>
              <w:rPr>
                <w:sz w:val="20"/>
                <w:szCs w:val="20"/>
                <w:color w:val="auto"/>
              </w:rPr>
            </w:pPr>
          </w:p>
        </w:tc>
        <w:tc>
          <w:tcPr>
            <w:tcW w:w="180" w:type="dxa"/>
            <w:vAlign w:val="bottom"/>
            <w:shd w:val="clear" w:color="auto" w:fill="D0EBF2"/>
          </w:tcPr>
          <w:p>
            <w:pPr>
              <w:spacing w:after="0"/>
              <w:rPr>
                <w:sz w:val="20"/>
                <w:szCs w:val="20"/>
                <w:color w:val="auto"/>
              </w:rPr>
            </w:pPr>
          </w:p>
        </w:tc>
        <w:tc>
          <w:tcPr>
            <w:tcW w:w="1560" w:type="dxa"/>
            <w:vAlign w:val="bottom"/>
            <w:vMerge w:val="continue"/>
            <w:shd w:val="clear" w:color="auto" w:fill="D0EBF2"/>
          </w:tcPr>
          <w:p>
            <w:pPr>
              <w:spacing w:after="0"/>
              <w:rPr>
                <w:sz w:val="20"/>
                <w:szCs w:val="20"/>
                <w:color w:val="auto"/>
              </w:rPr>
            </w:pPr>
          </w:p>
        </w:tc>
        <w:tc>
          <w:tcPr>
            <w:tcW w:w="220" w:type="dxa"/>
            <w:vAlign w:val="bottom"/>
            <w:shd w:val="clear" w:color="auto" w:fill="D0EBF2"/>
          </w:tcPr>
          <w:p>
            <w:pPr>
              <w:spacing w:after="0"/>
              <w:rPr>
                <w:sz w:val="20"/>
                <w:szCs w:val="20"/>
                <w:color w:val="auto"/>
              </w:rPr>
            </w:pPr>
          </w:p>
        </w:tc>
        <w:tc>
          <w:tcPr>
            <w:tcW w:w="200" w:type="dxa"/>
            <w:vAlign w:val="bottom"/>
            <w:shd w:val="clear" w:color="auto" w:fill="D0EBF2"/>
          </w:tcPr>
          <w:p>
            <w:pPr>
              <w:spacing w:after="0"/>
              <w:rPr>
                <w:sz w:val="20"/>
                <w:szCs w:val="20"/>
                <w:color w:val="auto"/>
              </w:rPr>
            </w:pPr>
          </w:p>
        </w:tc>
        <w:tc>
          <w:tcPr>
            <w:tcW w:w="1740" w:type="dxa"/>
            <w:vAlign w:val="bottom"/>
            <w:gridSpan w:val="2"/>
            <w:vMerge w:val="continue"/>
            <w:shd w:val="clear" w:color="auto" w:fill="D0EBF2"/>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860" w:type="dxa"/>
            <w:vAlign w:val="bottom"/>
            <w:shd w:val="clear" w:color="auto" w:fill="FDFDFC"/>
          </w:tcPr>
          <w:p>
            <w:pPr>
              <w:spacing w:after="0"/>
              <w:rPr>
                <w:sz w:val="20"/>
                <w:szCs w:val="20"/>
                <w:color w:val="auto"/>
              </w:rPr>
            </w:pPr>
            <w:r>
              <w:rPr>
                <w:rFonts w:ascii="Times New Roman" w:cs="Times New Roman" w:eastAsia="Times New Roman" w:hAnsi="Times New Roman"/>
                <w:sz w:val="19"/>
                <w:szCs w:val="19"/>
                <w:color w:val="231F20"/>
              </w:rPr>
              <w:t>Hippo XPA Bidco AB - Delayed Draw &amp; Revolver</w:t>
            </w:r>
          </w:p>
        </w:tc>
        <w:tc>
          <w:tcPr>
            <w:tcW w:w="120" w:type="dxa"/>
            <w:vAlign w:val="bottom"/>
            <w:shd w:val="clear" w:color="auto" w:fill="FDFDFC"/>
          </w:tcPr>
          <w:p>
            <w:pPr>
              <w:spacing w:after="0"/>
              <w:rPr>
                <w:sz w:val="20"/>
                <w:szCs w:val="20"/>
                <w:color w:val="auto"/>
              </w:rPr>
            </w:pPr>
          </w:p>
        </w:tc>
        <w:tc>
          <w:tcPr>
            <w:tcW w:w="180" w:type="dxa"/>
            <w:vAlign w:val="bottom"/>
            <w:shd w:val="clear" w:color="auto" w:fill="FDFDFC"/>
          </w:tcPr>
          <w:p>
            <w:pPr>
              <w:spacing w:after="0"/>
              <w:rPr>
                <w:sz w:val="20"/>
                <w:szCs w:val="20"/>
                <w:color w:val="auto"/>
              </w:rPr>
            </w:pPr>
          </w:p>
        </w:tc>
        <w:tc>
          <w:tcPr>
            <w:tcW w:w="1560" w:type="dxa"/>
            <w:vAlign w:val="bottom"/>
            <w:shd w:val="clear" w:color="auto" w:fill="FDFDFC"/>
          </w:tcPr>
          <w:p>
            <w:pPr>
              <w:jc w:val="right"/>
              <w:spacing w:after="0"/>
              <w:rPr>
                <w:sz w:val="20"/>
                <w:szCs w:val="20"/>
                <w:color w:val="auto"/>
              </w:rPr>
            </w:pPr>
            <w:r>
              <w:rPr>
                <w:rFonts w:ascii="Times New Roman" w:cs="Times New Roman" w:eastAsia="Times New Roman" w:hAnsi="Times New Roman"/>
                <w:sz w:val="19"/>
                <w:szCs w:val="19"/>
                <w:color w:val="231F20"/>
              </w:rPr>
              <w:t>1.7</w:t>
            </w:r>
          </w:p>
        </w:tc>
        <w:tc>
          <w:tcPr>
            <w:tcW w:w="220" w:type="dxa"/>
            <w:vAlign w:val="bottom"/>
            <w:shd w:val="clear" w:color="auto" w:fill="FDFDFC"/>
          </w:tcPr>
          <w:p>
            <w:pPr>
              <w:spacing w:after="0"/>
              <w:rPr>
                <w:sz w:val="20"/>
                <w:szCs w:val="20"/>
                <w:color w:val="auto"/>
              </w:rPr>
            </w:pPr>
          </w:p>
        </w:tc>
        <w:tc>
          <w:tcPr>
            <w:tcW w:w="200" w:type="dxa"/>
            <w:vAlign w:val="bottom"/>
            <w:shd w:val="clear" w:color="auto" w:fill="FDFDFC"/>
          </w:tcPr>
          <w:p>
            <w:pPr>
              <w:spacing w:after="0"/>
              <w:rPr>
                <w:sz w:val="20"/>
                <w:szCs w:val="20"/>
                <w:color w:val="auto"/>
              </w:rPr>
            </w:pPr>
          </w:p>
        </w:tc>
        <w:tc>
          <w:tcPr>
            <w:tcW w:w="1740" w:type="dxa"/>
            <w:vAlign w:val="bottom"/>
            <w:gridSpan w:val="2"/>
            <w:shd w:val="clear" w:color="auto" w:fill="FDFDFC"/>
          </w:tcPr>
          <w:p>
            <w:pPr>
              <w:jc w:val="right"/>
              <w:ind w:right="120"/>
              <w:spacing w:after="0"/>
              <w:rPr>
                <w:sz w:val="20"/>
                <w:szCs w:val="20"/>
                <w:color w:val="auto"/>
              </w:rPr>
            </w:pPr>
            <w:r>
              <w:rPr>
                <w:rFonts w:ascii="Times New Roman" w:cs="Times New Roman" w:eastAsia="Times New Roman" w:hAnsi="Times New Roman"/>
                <w:sz w:val="19"/>
                <w:szCs w:val="19"/>
                <w:color w:val="231F20"/>
              </w:rPr>
              <w:t>—</w:t>
            </w:r>
          </w:p>
        </w:tc>
        <w:tc>
          <w:tcPr>
            <w:tcW w:w="0" w:type="dxa"/>
            <w:vAlign w:val="bottom"/>
          </w:tcPr>
          <w:p>
            <w:pPr>
              <w:spacing w:after="0"/>
              <w:rPr>
                <w:sz w:val="1"/>
                <w:szCs w:val="1"/>
                <w:color w:val="auto"/>
              </w:rPr>
            </w:pPr>
          </w:p>
        </w:tc>
      </w:tr>
      <w:tr>
        <w:trPr>
          <w:trHeight w:val="230"/>
        </w:trPr>
        <w:tc>
          <w:tcPr>
            <w:tcW w:w="4860" w:type="dxa"/>
            <w:vAlign w:val="bottom"/>
            <w:shd w:val="clear" w:color="auto" w:fill="D0EBF2"/>
          </w:tcPr>
          <w:p>
            <w:pPr>
              <w:spacing w:after="0"/>
              <w:rPr>
                <w:sz w:val="20"/>
                <w:szCs w:val="20"/>
                <w:color w:val="auto"/>
              </w:rPr>
            </w:pPr>
            <w:r>
              <w:rPr>
                <w:rFonts w:ascii="Times New Roman" w:cs="Times New Roman" w:eastAsia="Times New Roman" w:hAnsi="Times New Roman"/>
                <w:sz w:val="19"/>
                <w:szCs w:val="19"/>
                <w:color w:val="231F20"/>
              </w:rPr>
              <w:t>HireVue, Inc. - Revolver</w:t>
            </w:r>
          </w:p>
        </w:tc>
        <w:tc>
          <w:tcPr>
            <w:tcW w:w="120" w:type="dxa"/>
            <w:vAlign w:val="bottom"/>
            <w:shd w:val="clear" w:color="auto" w:fill="D0EBF2"/>
          </w:tcPr>
          <w:p>
            <w:pPr>
              <w:spacing w:after="0"/>
              <w:rPr>
                <w:sz w:val="20"/>
                <w:szCs w:val="20"/>
                <w:color w:val="auto"/>
              </w:rPr>
            </w:pPr>
          </w:p>
        </w:tc>
        <w:tc>
          <w:tcPr>
            <w:tcW w:w="180" w:type="dxa"/>
            <w:vAlign w:val="bottom"/>
            <w:shd w:val="clear" w:color="auto" w:fill="D0EBF2"/>
          </w:tcPr>
          <w:p>
            <w:pPr>
              <w:spacing w:after="0"/>
              <w:rPr>
                <w:sz w:val="20"/>
                <w:szCs w:val="20"/>
                <w:color w:val="auto"/>
              </w:rPr>
            </w:pPr>
          </w:p>
        </w:tc>
        <w:tc>
          <w:tcPr>
            <w:tcW w:w="1560" w:type="dxa"/>
            <w:vAlign w:val="bottom"/>
            <w:shd w:val="clear" w:color="auto" w:fill="D0EBF2"/>
          </w:tcPr>
          <w:p>
            <w:pPr>
              <w:jc w:val="right"/>
              <w:spacing w:after="0"/>
              <w:rPr>
                <w:sz w:val="20"/>
                <w:szCs w:val="20"/>
                <w:color w:val="auto"/>
              </w:rPr>
            </w:pPr>
            <w:r>
              <w:rPr>
                <w:rFonts w:ascii="Times New Roman" w:cs="Times New Roman" w:eastAsia="Times New Roman" w:hAnsi="Times New Roman"/>
                <w:sz w:val="19"/>
                <w:szCs w:val="19"/>
                <w:color w:val="231F20"/>
              </w:rPr>
              <w:t>2.5</w:t>
            </w:r>
          </w:p>
        </w:tc>
        <w:tc>
          <w:tcPr>
            <w:tcW w:w="220" w:type="dxa"/>
            <w:vAlign w:val="bottom"/>
            <w:shd w:val="clear" w:color="auto" w:fill="D0EBF2"/>
          </w:tcPr>
          <w:p>
            <w:pPr>
              <w:spacing w:after="0"/>
              <w:rPr>
                <w:sz w:val="20"/>
                <w:szCs w:val="20"/>
                <w:color w:val="auto"/>
              </w:rPr>
            </w:pPr>
          </w:p>
        </w:tc>
        <w:tc>
          <w:tcPr>
            <w:tcW w:w="200" w:type="dxa"/>
            <w:vAlign w:val="bottom"/>
            <w:shd w:val="clear" w:color="auto" w:fill="D0EBF2"/>
          </w:tcPr>
          <w:p>
            <w:pPr>
              <w:spacing w:after="0"/>
              <w:rPr>
                <w:sz w:val="20"/>
                <w:szCs w:val="20"/>
                <w:color w:val="auto"/>
              </w:rPr>
            </w:pPr>
          </w:p>
        </w:tc>
        <w:tc>
          <w:tcPr>
            <w:tcW w:w="1660" w:type="dxa"/>
            <w:vAlign w:val="bottom"/>
            <w:shd w:val="clear" w:color="auto" w:fill="D0EBF2"/>
          </w:tcPr>
          <w:p>
            <w:pPr>
              <w:jc w:val="right"/>
              <w:spacing w:after="0"/>
              <w:rPr>
                <w:sz w:val="20"/>
                <w:szCs w:val="20"/>
                <w:color w:val="auto"/>
              </w:rPr>
            </w:pPr>
            <w:r>
              <w:rPr>
                <w:rFonts w:ascii="Times New Roman" w:cs="Times New Roman" w:eastAsia="Times New Roman" w:hAnsi="Times New Roman"/>
                <w:sz w:val="19"/>
                <w:szCs w:val="19"/>
                <w:color w:val="231F20"/>
              </w:rPr>
              <w:t>6.9</w:t>
            </w:r>
          </w:p>
        </w:tc>
        <w:tc>
          <w:tcPr>
            <w:tcW w:w="80" w:type="dxa"/>
            <w:vAlign w:val="bottom"/>
            <w:shd w:val="clear" w:color="auto" w:fill="D0EBF2"/>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860" w:type="dxa"/>
            <w:vAlign w:val="bottom"/>
            <w:shd w:val="clear" w:color="auto" w:fill="FDFDFC"/>
          </w:tcPr>
          <w:p>
            <w:pPr>
              <w:spacing w:after="0"/>
              <w:rPr>
                <w:sz w:val="20"/>
                <w:szCs w:val="20"/>
                <w:color w:val="auto"/>
              </w:rPr>
            </w:pPr>
            <w:r>
              <w:rPr>
                <w:rFonts w:ascii="Times New Roman" w:cs="Times New Roman" w:eastAsia="Times New Roman" w:hAnsi="Times New Roman"/>
                <w:sz w:val="19"/>
                <w:szCs w:val="19"/>
                <w:color w:val="231F20"/>
              </w:rPr>
              <w:t>Hornetsecurity Holding GmbH - Delayed Draw &amp; Revolver</w:t>
            </w:r>
          </w:p>
        </w:tc>
        <w:tc>
          <w:tcPr>
            <w:tcW w:w="120" w:type="dxa"/>
            <w:vAlign w:val="bottom"/>
            <w:shd w:val="clear" w:color="auto" w:fill="FDFDFC"/>
          </w:tcPr>
          <w:p>
            <w:pPr>
              <w:spacing w:after="0"/>
              <w:rPr>
                <w:sz w:val="20"/>
                <w:szCs w:val="20"/>
                <w:color w:val="auto"/>
              </w:rPr>
            </w:pPr>
          </w:p>
        </w:tc>
        <w:tc>
          <w:tcPr>
            <w:tcW w:w="180" w:type="dxa"/>
            <w:vAlign w:val="bottom"/>
            <w:shd w:val="clear" w:color="auto" w:fill="FDFDFC"/>
          </w:tcPr>
          <w:p>
            <w:pPr>
              <w:spacing w:after="0"/>
              <w:rPr>
                <w:sz w:val="20"/>
                <w:szCs w:val="20"/>
                <w:color w:val="auto"/>
              </w:rPr>
            </w:pPr>
          </w:p>
        </w:tc>
        <w:tc>
          <w:tcPr>
            <w:tcW w:w="1560" w:type="dxa"/>
            <w:vAlign w:val="bottom"/>
            <w:shd w:val="clear" w:color="auto" w:fill="FDFDFC"/>
          </w:tcPr>
          <w:p>
            <w:pPr>
              <w:jc w:val="right"/>
              <w:spacing w:after="0"/>
              <w:rPr>
                <w:sz w:val="20"/>
                <w:szCs w:val="20"/>
                <w:color w:val="auto"/>
              </w:rPr>
            </w:pPr>
            <w:r>
              <w:rPr>
                <w:rFonts w:ascii="Times New Roman" w:cs="Times New Roman" w:eastAsia="Times New Roman" w:hAnsi="Times New Roman"/>
                <w:sz w:val="19"/>
                <w:szCs w:val="19"/>
                <w:color w:val="231F20"/>
              </w:rPr>
              <w:t>—</w:t>
            </w:r>
          </w:p>
        </w:tc>
        <w:tc>
          <w:tcPr>
            <w:tcW w:w="220" w:type="dxa"/>
            <w:vAlign w:val="bottom"/>
            <w:shd w:val="clear" w:color="auto" w:fill="FDFDFC"/>
          </w:tcPr>
          <w:p>
            <w:pPr>
              <w:spacing w:after="0"/>
              <w:rPr>
                <w:sz w:val="20"/>
                <w:szCs w:val="20"/>
                <w:color w:val="auto"/>
              </w:rPr>
            </w:pPr>
          </w:p>
        </w:tc>
        <w:tc>
          <w:tcPr>
            <w:tcW w:w="200" w:type="dxa"/>
            <w:vAlign w:val="bottom"/>
            <w:shd w:val="clear" w:color="auto" w:fill="FDFDFC"/>
          </w:tcPr>
          <w:p>
            <w:pPr>
              <w:spacing w:after="0"/>
              <w:rPr>
                <w:sz w:val="20"/>
                <w:szCs w:val="20"/>
                <w:color w:val="auto"/>
              </w:rPr>
            </w:pPr>
          </w:p>
        </w:tc>
        <w:tc>
          <w:tcPr>
            <w:tcW w:w="1660" w:type="dxa"/>
            <w:vAlign w:val="bottom"/>
            <w:shd w:val="clear" w:color="auto" w:fill="FDFDFC"/>
          </w:tcPr>
          <w:p>
            <w:pPr>
              <w:jc w:val="right"/>
              <w:spacing w:after="0"/>
              <w:rPr>
                <w:sz w:val="20"/>
                <w:szCs w:val="20"/>
                <w:color w:val="auto"/>
              </w:rPr>
            </w:pPr>
            <w:r>
              <w:rPr>
                <w:rFonts w:ascii="Times New Roman" w:cs="Times New Roman" w:eastAsia="Times New Roman" w:hAnsi="Times New Roman"/>
                <w:sz w:val="19"/>
                <w:szCs w:val="19"/>
                <w:color w:val="231F20"/>
              </w:rPr>
              <w:t>2.1</w:t>
            </w:r>
          </w:p>
        </w:tc>
        <w:tc>
          <w:tcPr>
            <w:tcW w:w="80" w:type="dxa"/>
            <w:vAlign w:val="bottom"/>
            <w:shd w:val="clear" w:color="auto" w:fill="FDFD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860" w:type="dxa"/>
            <w:vAlign w:val="bottom"/>
            <w:shd w:val="clear" w:color="auto" w:fill="D0EBF2"/>
          </w:tcPr>
          <w:p>
            <w:pPr>
              <w:spacing w:after="0"/>
              <w:rPr>
                <w:sz w:val="20"/>
                <w:szCs w:val="20"/>
                <w:color w:val="auto"/>
              </w:rPr>
            </w:pPr>
            <w:r>
              <w:rPr>
                <w:rFonts w:ascii="Times New Roman" w:cs="Times New Roman" w:eastAsia="Times New Roman" w:hAnsi="Times New Roman"/>
                <w:sz w:val="19"/>
                <w:szCs w:val="19"/>
                <w:color w:val="231F20"/>
              </w:rPr>
              <w:t>Ibis Intermediate Co. - Delayed Draw</w:t>
            </w:r>
          </w:p>
        </w:tc>
        <w:tc>
          <w:tcPr>
            <w:tcW w:w="120" w:type="dxa"/>
            <w:vAlign w:val="bottom"/>
            <w:shd w:val="clear" w:color="auto" w:fill="D0EBF2"/>
          </w:tcPr>
          <w:p>
            <w:pPr>
              <w:spacing w:after="0"/>
              <w:rPr>
                <w:sz w:val="20"/>
                <w:szCs w:val="20"/>
                <w:color w:val="auto"/>
              </w:rPr>
            </w:pPr>
          </w:p>
        </w:tc>
        <w:tc>
          <w:tcPr>
            <w:tcW w:w="180" w:type="dxa"/>
            <w:vAlign w:val="bottom"/>
            <w:shd w:val="clear" w:color="auto" w:fill="D0EBF2"/>
          </w:tcPr>
          <w:p>
            <w:pPr>
              <w:spacing w:after="0"/>
              <w:rPr>
                <w:sz w:val="20"/>
                <w:szCs w:val="20"/>
                <w:color w:val="auto"/>
              </w:rPr>
            </w:pPr>
          </w:p>
        </w:tc>
        <w:tc>
          <w:tcPr>
            <w:tcW w:w="1560" w:type="dxa"/>
            <w:vAlign w:val="bottom"/>
            <w:shd w:val="clear" w:color="auto" w:fill="D0EBF2"/>
          </w:tcPr>
          <w:p>
            <w:pPr>
              <w:jc w:val="right"/>
              <w:spacing w:after="0"/>
              <w:rPr>
                <w:sz w:val="20"/>
                <w:szCs w:val="20"/>
                <w:color w:val="auto"/>
              </w:rPr>
            </w:pPr>
            <w:r>
              <w:rPr>
                <w:rFonts w:ascii="Times New Roman" w:cs="Times New Roman" w:eastAsia="Times New Roman" w:hAnsi="Times New Roman"/>
                <w:sz w:val="19"/>
                <w:szCs w:val="19"/>
                <w:color w:val="231F20"/>
              </w:rPr>
              <w:t>—</w:t>
            </w:r>
          </w:p>
        </w:tc>
        <w:tc>
          <w:tcPr>
            <w:tcW w:w="220" w:type="dxa"/>
            <w:vAlign w:val="bottom"/>
            <w:shd w:val="clear" w:color="auto" w:fill="D0EBF2"/>
          </w:tcPr>
          <w:p>
            <w:pPr>
              <w:spacing w:after="0"/>
              <w:rPr>
                <w:sz w:val="20"/>
                <w:szCs w:val="20"/>
                <w:color w:val="auto"/>
              </w:rPr>
            </w:pPr>
          </w:p>
        </w:tc>
        <w:tc>
          <w:tcPr>
            <w:tcW w:w="200" w:type="dxa"/>
            <w:vAlign w:val="bottom"/>
            <w:shd w:val="clear" w:color="auto" w:fill="D0EBF2"/>
          </w:tcPr>
          <w:p>
            <w:pPr>
              <w:spacing w:after="0"/>
              <w:rPr>
                <w:sz w:val="20"/>
                <w:szCs w:val="20"/>
                <w:color w:val="auto"/>
              </w:rPr>
            </w:pPr>
          </w:p>
        </w:tc>
        <w:tc>
          <w:tcPr>
            <w:tcW w:w="1660" w:type="dxa"/>
            <w:vAlign w:val="bottom"/>
            <w:shd w:val="clear" w:color="auto" w:fill="D0EBF2"/>
          </w:tcPr>
          <w:p>
            <w:pPr>
              <w:jc w:val="right"/>
              <w:spacing w:after="0"/>
              <w:rPr>
                <w:sz w:val="20"/>
                <w:szCs w:val="20"/>
                <w:color w:val="auto"/>
              </w:rPr>
            </w:pPr>
            <w:r>
              <w:rPr>
                <w:rFonts w:ascii="Times New Roman" w:cs="Times New Roman" w:eastAsia="Times New Roman" w:hAnsi="Times New Roman"/>
                <w:sz w:val="19"/>
                <w:szCs w:val="19"/>
                <w:color w:val="231F20"/>
              </w:rPr>
              <w:t>6.3</w:t>
            </w:r>
          </w:p>
        </w:tc>
        <w:tc>
          <w:tcPr>
            <w:tcW w:w="80" w:type="dxa"/>
            <w:vAlign w:val="bottom"/>
            <w:shd w:val="clear" w:color="auto" w:fill="D0EBF2"/>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860" w:type="dxa"/>
            <w:vAlign w:val="bottom"/>
            <w:shd w:val="clear" w:color="auto" w:fill="FDFDFC"/>
          </w:tcPr>
          <w:p>
            <w:pPr>
              <w:spacing w:after="0"/>
              <w:rPr>
                <w:sz w:val="20"/>
                <w:szCs w:val="20"/>
                <w:color w:val="auto"/>
              </w:rPr>
            </w:pPr>
            <w:r>
              <w:rPr>
                <w:rFonts w:ascii="Times New Roman" w:cs="Times New Roman" w:eastAsia="Times New Roman" w:hAnsi="Times New Roman"/>
                <w:sz w:val="19"/>
                <w:szCs w:val="19"/>
                <w:color w:val="231F20"/>
              </w:rPr>
              <w:t>IRGSE Holding Corp. - Revolver</w:t>
            </w:r>
          </w:p>
        </w:tc>
        <w:tc>
          <w:tcPr>
            <w:tcW w:w="120" w:type="dxa"/>
            <w:vAlign w:val="bottom"/>
            <w:shd w:val="clear" w:color="auto" w:fill="FDFDFC"/>
          </w:tcPr>
          <w:p>
            <w:pPr>
              <w:spacing w:after="0"/>
              <w:rPr>
                <w:sz w:val="20"/>
                <w:szCs w:val="20"/>
                <w:color w:val="auto"/>
              </w:rPr>
            </w:pPr>
          </w:p>
        </w:tc>
        <w:tc>
          <w:tcPr>
            <w:tcW w:w="180" w:type="dxa"/>
            <w:vAlign w:val="bottom"/>
            <w:shd w:val="clear" w:color="auto" w:fill="FDFDFC"/>
          </w:tcPr>
          <w:p>
            <w:pPr>
              <w:spacing w:after="0"/>
              <w:rPr>
                <w:sz w:val="20"/>
                <w:szCs w:val="20"/>
                <w:color w:val="auto"/>
              </w:rPr>
            </w:pPr>
          </w:p>
        </w:tc>
        <w:tc>
          <w:tcPr>
            <w:tcW w:w="1560" w:type="dxa"/>
            <w:vAlign w:val="bottom"/>
            <w:shd w:val="clear" w:color="auto" w:fill="FDFDFC"/>
          </w:tcPr>
          <w:p>
            <w:pPr>
              <w:jc w:val="right"/>
              <w:spacing w:after="0"/>
              <w:rPr>
                <w:sz w:val="20"/>
                <w:szCs w:val="20"/>
                <w:color w:val="auto"/>
              </w:rPr>
            </w:pPr>
            <w:r>
              <w:rPr>
                <w:rFonts w:ascii="Times New Roman" w:cs="Times New Roman" w:eastAsia="Times New Roman" w:hAnsi="Times New Roman"/>
                <w:sz w:val="19"/>
                <w:szCs w:val="19"/>
                <w:color w:val="231F20"/>
              </w:rPr>
              <w:t>0.5</w:t>
            </w:r>
          </w:p>
        </w:tc>
        <w:tc>
          <w:tcPr>
            <w:tcW w:w="220" w:type="dxa"/>
            <w:vAlign w:val="bottom"/>
            <w:shd w:val="clear" w:color="auto" w:fill="FDFDFC"/>
          </w:tcPr>
          <w:p>
            <w:pPr>
              <w:spacing w:after="0"/>
              <w:rPr>
                <w:sz w:val="20"/>
                <w:szCs w:val="20"/>
                <w:color w:val="auto"/>
              </w:rPr>
            </w:pPr>
          </w:p>
        </w:tc>
        <w:tc>
          <w:tcPr>
            <w:tcW w:w="200" w:type="dxa"/>
            <w:vAlign w:val="bottom"/>
            <w:shd w:val="clear" w:color="auto" w:fill="FDFDFC"/>
          </w:tcPr>
          <w:p>
            <w:pPr>
              <w:spacing w:after="0"/>
              <w:rPr>
                <w:sz w:val="20"/>
                <w:szCs w:val="20"/>
                <w:color w:val="auto"/>
              </w:rPr>
            </w:pPr>
          </w:p>
        </w:tc>
        <w:tc>
          <w:tcPr>
            <w:tcW w:w="1660" w:type="dxa"/>
            <w:vAlign w:val="bottom"/>
            <w:shd w:val="clear" w:color="auto" w:fill="FDFDFC"/>
          </w:tcPr>
          <w:p>
            <w:pPr>
              <w:jc w:val="right"/>
              <w:spacing w:after="0"/>
              <w:rPr>
                <w:sz w:val="20"/>
                <w:szCs w:val="20"/>
                <w:color w:val="auto"/>
              </w:rPr>
            </w:pPr>
            <w:r>
              <w:rPr>
                <w:rFonts w:ascii="Times New Roman" w:cs="Times New Roman" w:eastAsia="Times New Roman" w:hAnsi="Times New Roman"/>
                <w:sz w:val="19"/>
                <w:szCs w:val="19"/>
                <w:color w:val="231F20"/>
              </w:rPr>
              <w:t>0.9</w:t>
            </w:r>
          </w:p>
        </w:tc>
        <w:tc>
          <w:tcPr>
            <w:tcW w:w="80" w:type="dxa"/>
            <w:vAlign w:val="bottom"/>
            <w:shd w:val="clear" w:color="auto" w:fill="FDFD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860" w:type="dxa"/>
            <w:vAlign w:val="bottom"/>
            <w:shd w:val="clear" w:color="auto" w:fill="D0EBF2"/>
          </w:tcPr>
          <w:p>
            <w:pPr>
              <w:spacing w:after="0"/>
              <w:rPr>
                <w:sz w:val="20"/>
                <w:szCs w:val="20"/>
                <w:color w:val="auto"/>
              </w:rPr>
            </w:pPr>
            <w:r>
              <w:rPr>
                <w:rFonts w:ascii="Times New Roman" w:cs="Times New Roman" w:eastAsia="Times New Roman" w:hAnsi="Times New Roman"/>
                <w:sz w:val="19"/>
                <w:szCs w:val="19"/>
                <w:color w:val="231F20"/>
              </w:rPr>
              <w:t>Kangaroo Bidco AS - Delayed Draw</w:t>
            </w:r>
          </w:p>
        </w:tc>
        <w:tc>
          <w:tcPr>
            <w:tcW w:w="120" w:type="dxa"/>
            <w:vAlign w:val="bottom"/>
            <w:shd w:val="clear" w:color="auto" w:fill="D0EBF2"/>
          </w:tcPr>
          <w:p>
            <w:pPr>
              <w:spacing w:after="0"/>
              <w:rPr>
                <w:sz w:val="20"/>
                <w:szCs w:val="20"/>
                <w:color w:val="auto"/>
              </w:rPr>
            </w:pPr>
          </w:p>
        </w:tc>
        <w:tc>
          <w:tcPr>
            <w:tcW w:w="180" w:type="dxa"/>
            <w:vAlign w:val="bottom"/>
            <w:shd w:val="clear" w:color="auto" w:fill="D0EBF2"/>
          </w:tcPr>
          <w:p>
            <w:pPr>
              <w:spacing w:after="0"/>
              <w:rPr>
                <w:sz w:val="20"/>
                <w:szCs w:val="20"/>
                <w:color w:val="auto"/>
              </w:rPr>
            </w:pPr>
          </w:p>
        </w:tc>
        <w:tc>
          <w:tcPr>
            <w:tcW w:w="1560" w:type="dxa"/>
            <w:vAlign w:val="bottom"/>
            <w:shd w:val="clear" w:color="auto" w:fill="D0EBF2"/>
          </w:tcPr>
          <w:p>
            <w:pPr>
              <w:jc w:val="right"/>
              <w:spacing w:after="0"/>
              <w:rPr>
                <w:sz w:val="20"/>
                <w:szCs w:val="20"/>
                <w:color w:val="auto"/>
              </w:rPr>
            </w:pPr>
            <w:r>
              <w:rPr>
                <w:rFonts w:ascii="Times New Roman" w:cs="Times New Roman" w:eastAsia="Times New Roman" w:hAnsi="Times New Roman"/>
                <w:sz w:val="19"/>
                <w:szCs w:val="19"/>
                <w:color w:val="231F20"/>
              </w:rPr>
              <w:t>4.4</w:t>
            </w:r>
          </w:p>
        </w:tc>
        <w:tc>
          <w:tcPr>
            <w:tcW w:w="220" w:type="dxa"/>
            <w:vAlign w:val="bottom"/>
            <w:shd w:val="clear" w:color="auto" w:fill="D0EBF2"/>
          </w:tcPr>
          <w:p>
            <w:pPr>
              <w:spacing w:after="0"/>
              <w:rPr>
                <w:sz w:val="20"/>
                <w:szCs w:val="20"/>
                <w:color w:val="auto"/>
              </w:rPr>
            </w:pPr>
          </w:p>
        </w:tc>
        <w:tc>
          <w:tcPr>
            <w:tcW w:w="200" w:type="dxa"/>
            <w:vAlign w:val="bottom"/>
            <w:shd w:val="clear" w:color="auto" w:fill="D0EBF2"/>
          </w:tcPr>
          <w:p>
            <w:pPr>
              <w:spacing w:after="0"/>
              <w:rPr>
                <w:sz w:val="20"/>
                <w:szCs w:val="20"/>
                <w:color w:val="auto"/>
              </w:rPr>
            </w:pPr>
          </w:p>
        </w:tc>
        <w:tc>
          <w:tcPr>
            <w:tcW w:w="1660" w:type="dxa"/>
            <w:vAlign w:val="bottom"/>
            <w:shd w:val="clear" w:color="auto" w:fill="D0EBF2"/>
          </w:tcPr>
          <w:p>
            <w:pPr>
              <w:jc w:val="right"/>
              <w:spacing w:after="0"/>
              <w:rPr>
                <w:sz w:val="20"/>
                <w:szCs w:val="20"/>
                <w:color w:val="auto"/>
              </w:rPr>
            </w:pPr>
            <w:r>
              <w:rPr>
                <w:rFonts w:ascii="Times New Roman" w:cs="Times New Roman" w:eastAsia="Times New Roman" w:hAnsi="Times New Roman"/>
                <w:sz w:val="19"/>
                <w:szCs w:val="19"/>
                <w:color w:val="231F20"/>
              </w:rPr>
              <w:t>9.4</w:t>
            </w:r>
          </w:p>
        </w:tc>
        <w:tc>
          <w:tcPr>
            <w:tcW w:w="80" w:type="dxa"/>
            <w:vAlign w:val="bottom"/>
            <w:shd w:val="clear" w:color="auto" w:fill="D0EBF2"/>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860" w:type="dxa"/>
            <w:vAlign w:val="bottom"/>
            <w:shd w:val="clear" w:color="auto" w:fill="FDFDFC"/>
          </w:tcPr>
          <w:p>
            <w:pPr>
              <w:spacing w:after="0"/>
              <w:rPr>
                <w:sz w:val="20"/>
                <w:szCs w:val="20"/>
                <w:color w:val="auto"/>
              </w:rPr>
            </w:pPr>
            <w:r>
              <w:rPr>
                <w:rFonts w:ascii="Times New Roman" w:cs="Times New Roman" w:eastAsia="Times New Roman" w:hAnsi="Times New Roman"/>
                <w:sz w:val="19"/>
                <w:szCs w:val="19"/>
                <w:color w:val="231F20"/>
              </w:rPr>
              <w:t>Kryptona BidCo US, LLC - Revolver</w:t>
            </w:r>
          </w:p>
        </w:tc>
        <w:tc>
          <w:tcPr>
            <w:tcW w:w="120" w:type="dxa"/>
            <w:vAlign w:val="bottom"/>
            <w:shd w:val="clear" w:color="auto" w:fill="FDFDFC"/>
          </w:tcPr>
          <w:p>
            <w:pPr>
              <w:spacing w:after="0"/>
              <w:rPr>
                <w:sz w:val="20"/>
                <w:szCs w:val="20"/>
                <w:color w:val="auto"/>
              </w:rPr>
            </w:pPr>
          </w:p>
        </w:tc>
        <w:tc>
          <w:tcPr>
            <w:tcW w:w="180" w:type="dxa"/>
            <w:vAlign w:val="bottom"/>
            <w:shd w:val="clear" w:color="auto" w:fill="FDFDFC"/>
          </w:tcPr>
          <w:p>
            <w:pPr>
              <w:spacing w:after="0"/>
              <w:rPr>
                <w:sz w:val="20"/>
                <w:szCs w:val="20"/>
                <w:color w:val="auto"/>
              </w:rPr>
            </w:pPr>
          </w:p>
        </w:tc>
        <w:tc>
          <w:tcPr>
            <w:tcW w:w="1560" w:type="dxa"/>
            <w:vAlign w:val="bottom"/>
            <w:shd w:val="clear" w:color="auto" w:fill="FDFDFC"/>
          </w:tcPr>
          <w:p>
            <w:pPr>
              <w:jc w:val="right"/>
              <w:spacing w:after="0"/>
              <w:rPr>
                <w:sz w:val="20"/>
                <w:szCs w:val="20"/>
                <w:color w:val="auto"/>
              </w:rPr>
            </w:pPr>
            <w:r>
              <w:rPr>
                <w:rFonts w:ascii="Times New Roman" w:cs="Times New Roman" w:eastAsia="Times New Roman" w:hAnsi="Times New Roman"/>
                <w:sz w:val="19"/>
                <w:szCs w:val="19"/>
                <w:color w:val="231F20"/>
              </w:rPr>
              <w:t>2.2</w:t>
            </w:r>
          </w:p>
        </w:tc>
        <w:tc>
          <w:tcPr>
            <w:tcW w:w="220" w:type="dxa"/>
            <w:vAlign w:val="bottom"/>
            <w:shd w:val="clear" w:color="auto" w:fill="FDFDFC"/>
          </w:tcPr>
          <w:p>
            <w:pPr>
              <w:spacing w:after="0"/>
              <w:rPr>
                <w:sz w:val="20"/>
                <w:szCs w:val="20"/>
                <w:color w:val="auto"/>
              </w:rPr>
            </w:pPr>
          </w:p>
        </w:tc>
        <w:tc>
          <w:tcPr>
            <w:tcW w:w="200" w:type="dxa"/>
            <w:vAlign w:val="bottom"/>
            <w:shd w:val="clear" w:color="auto" w:fill="FDFDFC"/>
          </w:tcPr>
          <w:p>
            <w:pPr>
              <w:spacing w:after="0"/>
              <w:rPr>
                <w:sz w:val="20"/>
                <w:szCs w:val="20"/>
                <w:color w:val="auto"/>
              </w:rPr>
            </w:pPr>
          </w:p>
        </w:tc>
        <w:tc>
          <w:tcPr>
            <w:tcW w:w="1740" w:type="dxa"/>
            <w:vAlign w:val="bottom"/>
            <w:gridSpan w:val="2"/>
            <w:shd w:val="clear" w:color="auto" w:fill="FDFDFC"/>
          </w:tcPr>
          <w:p>
            <w:pPr>
              <w:jc w:val="right"/>
              <w:ind w:right="120"/>
              <w:spacing w:after="0"/>
              <w:rPr>
                <w:sz w:val="20"/>
                <w:szCs w:val="20"/>
                <w:color w:val="auto"/>
              </w:rPr>
            </w:pPr>
            <w:r>
              <w:rPr>
                <w:rFonts w:ascii="Times New Roman" w:cs="Times New Roman" w:eastAsia="Times New Roman" w:hAnsi="Times New Roman"/>
                <w:sz w:val="19"/>
                <w:szCs w:val="19"/>
                <w:color w:val="231F20"/>
              </w:rPr>
              <w:t>—</w:t>
            </w:r>
          </w:p>
        </w:tc>
        <w:tc>
          <w:tcPr>
            <w:tcW w:w="0" w:type="dxa"/>
            <w:vAlign w:val="bottom"/>
          </w:tcPr>
          <w:p>
            <w:pPr>
              <w:spacing w:after="0"/>
              <w:rPr>
                <w:sz w:val="1"/>
                <w:szCs w:val="1"/>
                <w:color w:val="auto"/>
              </w:rPr>
            </w:pPr>
          </w:p>
        </w:tc>
      </w:tr>
      <w:tr>
        <w:trPr>
          <w:trHeight w:val="230"/>
        </w:trPr>
        <w:tc>
          <w:tcPr>
            <w:tcW w:w="4860" w:type="dxa"/>
            <w:vAlign w:val="bottom"/>
            <w:shd w:val="clear" w:color="auto" w:fill="D0EBF2"/>
          </w:tcPr>
          <w:p>
            <w:pPr>
              <w:spacing w:after="0"/>
              <w:rPr>
                <w:sz w:val="20"/>
                <w:szCs w:val="20"/>
                <w:color w:val="auto"/>
              </w:rPr>
            </w:pPr>
            <w:r>
              <w:rPr>
                <w:rFonts w:ascii="Times New Roman" w:cs="Times New Roman" w:eastAsia="Times New Roman" w:hAnsi="Times New Roman"/>
                <w:sz w:val="19"/>
                <w:szCs w:val="19"/>
                <w:color w:val="231F20"/>
              </w:rPr>
              <w:t>Kyriba Corp. - Revolver</w:t>
            </w:r>
          </w:p>
        </w:tc>
        <w:tc>
          <w:tcPr>
            <w:tcW w:w="120" w:type="dxa"/>
            <w:vAlign w:val="bottom"/>
            <w:shd w:val="clear" w:color="auto" w:fill="D0EBF2"/>
          </w:tcPr>
          <w:p>
            <w:pPr>
              <w:spacing w:after="0"/>
              <w:rPr>
                <w:sz w:val="20"/>
                <w:szCs w:val="20"/>
                <w:color w:val="auto"/>
              </w:rPr>
            </w:pPr>
          </w:p>
        </w:tc>
        <w:tc>
          <w:tcPr>
            <w:tcW w:w="180" w:type="dxa"/>
            <w:vAlign w:val="bottom"/>
            <w:shd w:val="clear" w:color="auto" w:fill="D0EBF2"/>
          </w:tcPr>
          <w:p>
            <w:pPr>
              <w:spacing w:after="0"/>
              <w:rPr>
                <w:sz w:val="20"/>
                <w:szCs w:val="20"/>
                <w:color w:val="auto"/>
              </w:rPr>
            </w:pPr>
          </w:p>
        </w:tc>
        <w:tc>
          <w:tcPr>
            <w:tcW w:w="1560" w:type="dxa"/>
            <w:vAlign w:val="bottom"/>
            <w:shd w:val="clear" w:color="auto" w:fill="D0EBF2"/>
          </w:tcPr>
          <w:p>
            <w:pPr>
              <w:jc w:val="right"/>
              <w:spacing w:after="0"/>
              <w:rPr>
                <w:sz w:val="20"/>
                <w:szCs w:val="20"/>
                <w:color w:val="auto"/>
              </w:rPr>
            </w:pPr>
            <w:r>
              <w:rPr>
                <w:rFonts w:ascii="Times New Roman" w:cs="Times New Roman" w:eastAsia="Times New Roman" w:hAnsi="Times New Roman"/>
                <w:sz w:val="19"/>
                <w:szCs w:val="19"/>
                <w:color w:val="231F20"/>
              </w:rPr>
              <w:t>—</w:t>
            </w:r>
          </w:p>
        </w:tc>
        <w:tc>
          <w:tcPr>
            <w:tcW w:w="220" w:type="dxa"/>
            <w:vAlign w:val="bottom"/>
            <w:shd w:val="clear" w:color="auto" w:fill="D0EBF2"/>
          </w:tcPr>
          <w:p>
            <w:pPr>
              <w:spacing w:after="0"/>
              <w:rPr>
                <w:sz w:val="20"/>
                <w:szCs w:val="20"/>
                <w:color w:val="auto"/>
              </w:rPr>
            </w:pPr>
          </w:p>
        </w:tc>
        <w:tc>
          <w:tcPr>
            <w:tcW w:w="200" w:type="dxa"/>
            <w:vAlign w:val="bottom"/>
            <w:shd w:val="clear" w:color="auto" w:fill="D0EBF2"/>
          </w:tcPr>
          <w:p>
            <w:pPr>
              <w:spacing w:after="0"/>
              <w:rPr>
                <w:sz w:val="20"/>
                <w:szCs w:val="20"/>
                <w:color w:val="auto"/>
              </w:rPr>
            </w:pPr>
          </w:p>
        </w:tc>
        <w:tc>
          <w:tcPr>
            <w:tcW w:w="1660" w:type="dxa"/>
            <w:vAlign w:val="bottom"/>
            <w:shd w:val="clear" w:color="auto" w:fill="D0EBF2"/>
          </w:tcPr>
          <w:p>
            <w:pPr>
              <w:jc w:val="right"/>
              <w:spacing w:after="0"/>
              <w:rPr>
                <w:sz w:val="20"/>
                <w:szCs w:val="20"/>
                <w:color w:val="auto"/>
              </w:rPr>
            </w:pPr>
            <w:r>
              <w:rPr>
                <w:rFonts w:ascii="Times New Roman" w:cs="Times New Roman" w:eastAsia="Times New Roman" w:hAnsi="Times New Roman"/>
                <w:sz w:val="19"/>
                <w:szCs w:val="19"/>
                <w:color w:val="231F20"/>
              </w:rPr>
              <w:t>2.5</w:t>
            </w:r>
          </w:p>
        </w:tc>
        <w:tc>
          <w:tcPr>
            <w:tcW w:w="80" w:type="dxa"/>
            <w:vAlign w:val="bottom"/>
            <w:shd w:val="clear" w:color="auto" w:fill="D0EBF2"/>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860" w:type="dxa"/>
            <w:vAlign w:val="bottom"/>
            <w:shd w:val="clear" w:color="auto" w:fill="FDFDFC"/>
          </w:tcPr>
          <w:p>
            <w:pPr>
              <w:spacing w:after="0"/>
              <w:rPr>
                <w:sz w:val="20"/>
                <w:szCs w:val="20"/>
                <w:color w:val="auto"/>
              </w:rPr>
            </w:pPr>
            <w:r>
              <w:rPr>
                <w:rFonts w:ascii="Times New Roman" w:cs="Times New Roman" w:eastAsia="Times New Roman" w:hAnsi="Times New Roman"/>
                <w:sz w:val="19"/>
                <w:szCs w:val="19"/>
                <w:color w:val="231F20"/>
              </w:rPr>
              <w:t>Laramie Energy, LLC - Delayed Draw</w:t>
            </w:r>
          </w:p>
        </w:tc>
        <w:tc>
          <w:tcPr>
            <w:tcW w:w="120" w:type="dxa"/>
            <w:vAlign w:val="bottom"/>
            <w:shd w:val="clear" w:color="auto" w:fill="FDFDFC"/>
          </w:tcPr>
          <w:p>
            <w:pPr>
              <w:spacing w:after="0"/>
              <w:rPr>
                <w:sz w:val="20"/>
                <w:szCs w:val="20"/>
                <w:color w:val="auto"/>
              </w:rPr>
            </w:pPr>
          </w:p>
        </w:tc>
        <w:tc>
          <w:tcPr>
            <w:tcW w:w="180" w:type="dxa"/>
            <w:vAlign w:val="bottom"/>
            <w:shd w:val="clear" w:color="auto" w:fill="FDFDFC"/>
          </w:tcPr>
          <w:p>
            <w:pPr>
              <w:spacing w:after="0"/>
              <w:rPr>
                <w:sz w:val="20"/>
                <w:szCs w:val="20"/>
                <w:color w:val="auto"/>
              </w:rPr>
            </w:pPr>
          </w:p>
        </w:tc>
        <w:tc>
          <w:tcPr>
            <w:tcW w:w="1560" w:type="dxa"/>
            <w:vAlign w:val="bottom"/>
            <w:shd w:val="clear" w:color="auto" w:fill="FDFDFC"/>
          </w:tcPr>
          <w:p>
            <w:pPr>
              <w:jc w:val="right"/>
              <w:spacing w:after="0"/>
              <w:rPr>
                <w:sz w:val="20"/>
                <w:szCs w:val="20"/>
                <w:color w:val="auto"/>
              </w:rPr>
            </w:pPr>
            <w:r>
              <w:rPr>
                <w:rFonts w:ascii="Times New Roman" w:cs="Times New Roman" w:eastAsia="Times New Roman" w:hAnsi="Times New Roman"/>
                <w:sz w:val="19"/>
                <w:szCs w:val="19"/>
                <w:color w:val="231F20"/>
              </w:rPr>
              <w:t>—</w:t>
            </w:r>
          </w:p>
        </w:tc>
        <w:tc>
          <w:tcPr>
            <w:tcW w:w="220" w:type="dxa"/>
            <w:vAlign w:val="bottom"/>
            <w:shd w:val="clear" w:color="auto" w:fill="FDFDFC"/>
          </w:tcPr>
          <w:p>
            <w:pPr>
              <w:spacing w:after="0"/>
              <w:rPr>
                <w:sz w:val="20"/>
                <w:szCs w:val="20"/>
                <w:color w:val="auto"/>
              </w:rPr>
            </w:pPr>
          </w:p>
        </w:tc>
        <w:tc>
          <w:tcPr>
            <w:tcW w:w="200" w:type="dxa"/>
            <w:vAlign w:val="bottom"/>
            <w:shd w:val="clear" w:color="auto" w:fill="FDFDFC"/>
          </w:tcPr>
          <w:p>
            <w:pPr>
              <w:spacing w:after="0"/>
              <w:rPr>
                <w:sz w:val="20"/>
                <w:szCs w:val="20"/>
                <w:color w:val="auto"/>
              </w:rPr>
            </w:pPr>
          </w:p>
        </w:tc>
        <w:tc>
          <w:tcPr>
            <w:tcW w:w="1660" w:type="dxa"/>
            <w:vAlign w:val="bottom"/>
            <w:shd w:val="clear" w:color="auto" w:fill="FDFDFC"/>
          </w:tcPr>
          <w:p>
            <w:pPr>
              <w:jc w:val="right"/>
              <w:spacing w:after="0"/>
              <w:rPr>
                <w:sz w:val="20"/>
                <w:szCs w:val="20"/>
                <w:color w:val="auto"/>
              </w:rPr>
            </w:pPr>
            <w:r>
              <w:rPr>
                <w:rFonts w:ascii="Times New Roman" w:cs="Times New Roman" w:eastAsia="Times New Roman" w:hAnsi="Times New Roman"/>
                <w:sz w:val="19"/>
                <w:szCs w:val="19"/>
                <w:color w:val="231F20"/>
              </w:rPr>
              <w:t>7.7</w:t>
            </w:r>
          </w:p>
        </w:tc>
        <w:tc>
          <w:tcPr>
            <w:tcW w:w="80" w:type="dxa"/>
            <w:vAlign w:val="bottom"/>
            <w:shd w:val="clear" w:color="auto" w:fill="FDFD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860" w:type="dxa"/>
            <w:vAlign w:val="bottom"/>
            <w:shd w:val="clear" w:color="auto" w:fill="D0EBF2"/>
          </w:tcPr>
          <w:p>
            <w:pPr>
              <w:spacing w:after="0"/>
              <w:rPr>
                <w:sz w:val="20"/>
                <w:szCs w:val="20"/>
                <w:color w:val="auto"/>
              </w:rPr>
            </w:pPr>
            <w:r>
              <w:rPr>
                <w:rFonts w:ascii="Times New Roman" w:cs="Times New Roman" w:eastAsia="Times New Roman" w:hAnsi="Times New Roman"/>
                <w:sz w:val="19"/>
                <w:szCs w:val="19"/>
                <w:color w:val="231F20"/>
              </w:rPr>
              <w:t>LeanTaaS Holdings, Inc. - Delayed Draw</w:t>
            </w:r>
          </w:p>
        </w:tc>
        <w:tc>
          <w:tcPr>
            <w:tcW w:w="120" w:type="dxa"/>
            <w:vAlign w:val="bottom"/>
            <w:shd w:val="clear" w:color="auto" w:fill="D0EBF2"/>
          </w:tcPr>
          <w:p>
            <w:pPr>
              <w:spacing w:after="0"/>
              <w:rPr>
                <w:sz w:val="20"/>
                <w:szCs w:val="20"/>
                <w:color w:val="auto"/>
              </w:rPr>
            </w:pPr>
          </w:p>
        </w:tc>
        <w:tc>
          <w:tcPr>
            <w:tcW w:w="180" w:type="dxa"/>
            <w:vAlign w:val="bottom"/>
            <w:shd w:val="clear" w:color="auto" w:fill="D0EBF2"/>
          </w:tcPr>
          <w:p>
            <w:pPr>
              <w:spacing w:after="0"/>
              <w:rPr>
                <w:sz w:val="20"/>
                <w:szCs w:val="20"/>
                <w:color w:val="auto"/>
              </w:rPr>
            </w:pPr>
          </w:p>
        </w:tc>
        <w:tc>
          <w:tcPr>
            <w:tcW w:w="1560" w:type="dxa"/>
            <w:vAlign w:val="bottom"/>
            <w:shd w:val="clear" w:color="auto" w:fill="D0EBF2"/>
          </w:tcPr>
          <w:p>
            <w:pPr>
              <w:jc w:val="right"/>
              <w:spacing w:after="0"/>
              <w:rPr>
                <w:sz w:val="20"/>
                <w:szCs w:val="20"/>
                <w:color w:val="auto"/>
              </w:rPr>
            </w:pPr>
            <w:r>
              <w:rPr>
                <w:rFonts w:ascii="Times New Roman" w:cs="Times New Roman" w:eastAsia="Times New Roman" w:hAnsi="Times New Roman"/>
                <w:sz w:val="19"/>
                <w:szCs w:val="19"/>
                <w:color w:val="231F20"/>
              </w:rPr>
              <w:t>18.8</w:t>
            </w:r>
          </w:p>
        </w:tc>
        <w:tc>
          <w:tcPr>
            <w:tcW w:w="220" w:type="dxa"/>
            <w:vAlign w:val="bottom"/>
            <w:shd w:val="clear" w:color="auto" w:fill="D0EBF2"/>
          </w:tcPr>
          <w:p>
            <w:pPr>
              <w:spacing w:after="0"/>
              <w:rPr>
                <w:sz w:val="20"/>
                <w:szCs w:val="20"/>
                <w:color w:val="auto"/>
              </w:rPr>
            </w:pPr>
          </w:p>
        </w:tc>
        <w:tc>
          <w:tcPr>
            <w:tcW w:w="200" w:type="dxa"/>
            <w:vAlign w:val="bottom"/>
            <w:shd w:val="clear" w:color="auto" w:fill="D0EBF2"/>
          </w:tcPr>
          <w:p>
            <w:pPr>
              <w:spacing w:after="0"/>
              <w:rPr>
                <w:sz w:val="20"/>
                <w:szCs w:val="20"/>
                <w:color w:val="auto"/>
              </w:rPr>
            </w:pPr>
          </w:p>
        </w:tc>
        <w:tc>
          <w:tcPr>
            <w:tcW w:w="1660" w:type="dxa"/>
            <w:vAlign w:val="bottom"/>
            <w:shd w:val="clear" w:color="auto" w:fill="D0EBF2"/>
          </w:tcPr>
          <w:p>
            <w:pPr>
              <w:jc w:val="right"/>
              <w:spacing w:after="0"/>
              <w:rPr>
                <w:sz w:val="20"/>
                <w:szCs w:val="20"/>
                <w:color w:val="auto"/>
              </w:rPr>
            </w:pPr>
            <w:r>
              <w:rPr>
                <w:rFonts w:ascii="Times New Roman" w:cs="Times New Roman" w:eastAsia="Times New Roman" w:hAnsi="Times New Roman"/>
                <w:sz w:val="19"/>
                <w:szCs w:val="19"/>
                <w:color w:val="231F20"/>
              </w:rPr>
              <w:t>38.0</w:t>
            </w:r>
          </w:p>
        </w:tc>
        <w:tc>
          <w:tcPr>
            <w:tcW w:w="80" w:type="dxa"/>
            <w:vAlign w:val="bottom"/>
            <w:shd w:val="clear" w:color="auto" w:fill="D0EBF2"/>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2240" w:h="15840" w:orient="portrait"/>
          <w:cols w:equalWidth="0" w:num="1">
            <w:col w:w="9360"/>
          </w:cols>
          <w:pgMar w:left="1440" w:top="1337" w:right="1440" w:bottom="574" w:gutter="0" w:footer="0" w:header="0"/>
        </w:sectPr>
      </w:pPr>
    </w:p>
    <w:p>
      <w:pPr>
        <w:spacing w:after="0" w:line="1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231F20"/>
        </w:rPr>
        <w:t>12</w:t>
      </w:r>
    </w:p>
    <w:p>
      <w:pPr>
        <w:sectPr>
          <w:pgSz w:w="12240" w:h="15840" w:orient="portrait"/>
          <w:cols w:equalWidth="0" w:num="1">
            <w:col w:w="9360"/>
          </w:cols>
          <w:pgMar w:left="1440" w:top="1337" w:right="1440" w:bottom="574" w:gutter="0" w:footer="0" w:header="0"/>
          <w:type w:val="continuous"/>
        </w:sectPr>
      </w:pPr>
    </w:p>
    <w:bookmarkStart w:id="12" w:name="page13"/>
    <w:bookmarkEnd w:id="12"/>
    <w:tbl>
      <w:tblPr>
        <w:tblLayout w:type="fixed"/>
        <w:tblInd w:w="660" w:type="dxa"/>
        <w:tblCellMar>
          <w:top w:w="0" w:type="dxa"/>
          <w:left w:w="0" w:type="dxa"/>
          <w:bottom w:w="0" w:type="dxa"/>
          <w:right w:w="0" w:type="dxa"/>
        </w:tblCellMar>
      </w:tblPr>
      <w:tr>
        <w:trPr>
          <w:trHeight w:val="230"/>
        </w:trPr>
        <w:tc>
          <w:tcPr>
            <w:tcW w:w="4860" w:type="dxa"/>
            <w:vAlign w:val="bottom"/>
            <w:shd w:val="clear" w:color="auto" w:fill="FDFDFC"/>
          </w:tcPr>
          <w:p>
            <w:pPr>
              <w:spacing w:after="0"/>
              <w:rPr>
                <w:sz w:val="20"/>
                <w:szCs w:val="20"/>
                <w:color w:val="auto"/>
              </w:rPr>
            </w:pPr>
            <w:r>
              <w:rPr>
                <w:rFonts w:ascii="Times New Roman" w:cs="Times New Roman" w:eastAsia="Times New Roman" w:hAnsi="Times New Roman"/>
                <w:sz w:val="19"/>
                <w:szCs w:val="19"/>
                <w:color w:val="231F20"/>
              </w:rPr>
              <w:t>Lucidworks, Inc. - Delayed Draw</w:t>
            </w:r>
          </w:p>
        </w:tc>
        <w:tc>
          <w:tcPr>
            <w:tcW w:w="120" w:type="dxa"/>
            <w:vAlign w:val="bottom"/>
            <w:shd w:val="clear" w:color="auto" w:fill="FDFDFC"/>
          </w:tcPr>
          <w:p>
            <w:pPr>
              <w:spacing w:after="0"/>
              <w:rPr>
                <w:sz w:val="20"/>
                <w:szCs w:val="20"/>
                <w:color w:val="auto"/>
              </w:rPr>
            </w:pPr>
          </w:p>
        </w:tc>
        <w:tc>
          <w:tcPr>
            <w:tcW w:w="700" w:type="dxa"/>
            <w:vAlign w:val="bottom"/>
            <w:shd w:val="clear" w:color="auto" w:fill="FDFDFC"/>
          </w:tcPr>
          <w:p>
            <w:pPr>
              <w:spacing w:after="0"/>
              <w:rPr>
                <w:sz w:val="20"/>
                <w:szCs w:val="20"/>
                <w:color w:val="auto"/>
              </w:rPr>
            </w:pPr>
          </w:p>
        </w:tc>
        <w:tc>
          <w:tcPr>
            <w:tcW w:w="1040" w:type="dxa"/>
            <w:vAlign w:val="bottom"/>
            <w:shd w:val="clear" w:color="auto" w:fill="FDFDFC"/>
          </w:tcPr>
          <w:p>
            <w:pPr>
              <w:jc w:val="right"/>
              <w:spacing w:after="0"/>
              <w:rPr>
                <w:sz w:val="20"/>
                <w:szCs w:val="20"/>
                <w:color w:val="auto"/>
              </w:rPr>
            </w:pPr>
            <w:r>
              <w:rPr>
                <w:rFonts w:ascii="Times New Roman" w:cs="Times New Roman" w:eastAsia="Times New Roman" w:hAnsi="Times New Roman"/>
                <w:sz w:val="19"/>
                <w:szCs w:val="19"/>
                <w:color w:val="231F20"/>
              </w:rPr>
              <w:t>—</w:t>
            </w:r>
          </w:p>
        </w:tc>
        <w:tc>
          <w:tcPr>
            <w:tcW w:w="220" w:type="dxa"/>
            <w:vAlign w:val="bottom"/>
            <w:shd w:val="clear" w:color="auto" w:fill="FDFDFC"/>
          </w:tcPr>
          <w:p>
            <w:pPr>
              <w:spacing w:after="0"/>
              <w:rPr>
                <w:sz w:val="20"/>
                <w:szCs w:val="20"/>
                <w:color w:val="auto"/>
              </w:rPr>
            </w:pPr>
          </w:p>
        </w:tc>
        <w:tc>
          <w:tcPr>
            <w:tcW w:w="740" w:type="dxa"/>
            <w:vAlign w:val="bottom"/>
            <w:shd w:val="clear" w:color="auto" w:fill="FDFDFC"/>
          </w:tcPr>
          <w:p>
            <w:pPr>
              <w:spacing w:after="0"/>
              <w:rPr>
                <w:sz w:val="20"/>
                <w:szCs w:val="20"/>
                <w:color w:val="auto"/>
              </w:rPr>
            </w:pPr>
          </w:p>
        </w:tc>
        <w:tc>
          <w:tcPr>
            <w:tcW w:w="1120" w:type="dxa"/>
            <w:vAlign w:val="bottom"/>
            <w:shd w:val="clear" w:color="auto" w:fill="FDFDFC"/>
          </w:tcPr>
          <w:p>
            <w:pPr>
              <w:jc w:val="right"/>
              <w:spacing w:after="0"/>
              <w:rPr>
                <w:sz w:val="20"/>
                <w:szCs w:val="20"/>
                <w:color w:val="auto"/>
              </w:rPr>
            </w:pPr>
            <w:r>
              <w:rPr>
                <w:rFonts w:ascii="Times New Roman" w:cs="Times New Roman" w:eastAsia="Times New Roman" w:hAnsi="Times New Roman"/>
                <w:sz w:val="19"/>
                <w:szCs w:val="19"/>
                <w:color w:val="231F20"/>
              </w:rPr>
              <w:t>0.8</w:t>
            </w:r>
          </w:p>
        </w:tc>
        <w:tc>
          <w:tcPr>
            <w:tcW w:w="80" w:type="dxa"/>
            <w:vAlign w:val="bottom"/>
            <w:shd w:val="clear" w:color="auto" w:fill="FDFD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860" w:type="dxa"/>
            <w:vAlign w:val="bottom"/>
            <w:shd w:val="clear" w:color="auto" w:fill="D0EBF2"/>
          </w:tcPr>
          <w:p>
            <w:pPr>
              <w:spacing w:after="0"/>
              <w:rPr>
                <w:sz w:val="20"/>
                <w:szCs w:val="20"/>
                <w:color w:val="auto"/>
              </w:rPr>
            </w:pPr>
            <w:r>
              <w:rPr>
                <w:rFonts w:ascii="Times New Roman" w:cs="Times New Roman" w:eastAsia="Times New Roman" w:hAnsi="Times New Roman"/>
                <w:sz w:val="19"/>
                <w:szCs w:val="19"/>
                <w:color w:val="231F20"/>
              </w:rPr>
              <w:t>Lynx BidCo - Delayed Draw &amp; Revolver</w:t>
            </w:r>
          </w:p>
        </w:tc>
        <w:tc>
          <w:tcPr>
            <w:tcW w:w="120" w:type="dxa"/>
            <w:vAlign w:val="bottom"/>
            <w:shd w:val="clear" w:color="auto" w:fill="D0EBF2"/>
          </w:tcPr>
          <w:p>
            <w:pPr>
              <w:spacing w:after="0"/>
              <w:rPr>
                <w:sz w:val="20"/>
                <w:szCs w:val="20"/>
                <w:color w:val="auto"/>
              </w:rPr>
            </w:pPr>
          </w:p>
        </w:tc>
        <w:tc>
          <w:tcPr>
            <w:tcW w:w="700" w:type="dxa"/>
            <w:vAlign w:val="bottom"/>
            <w:shd w:val="clear" w:color="auto" w:fill="D0EBF2"/>
          </w:tcPr>
          <w:p>
            <w:pPr>
              <w:spacing w:after="0"/>
              <w:rPr>
                <w:sz w:val="20"/>
                <w:szCs w:val="20"/>
                <w:color w:val="auto"/>
              </w:rPr>
            </w:pPr>
          </w:p>
        </w:tc>
        <w:tc>
          <w:tcPr>
            <w:tcW w:w="1040" w:type="dxa"/>
            <w:vAlign w:val="bottom"/>
            <w:shd w:val="clear" w:color="auto" w:fill="D0EBF2"/>
          </w:tcPr>
          <w:p>
            <w:pPr>
              <w:jc w:val="right"/>
              <w:spacing w:after="0"/>
              <w:rPr>
                <w:sz w:val="20"/>
                <w:szCs w:val="20"/>
                <w:color w:val="auto"/>
              </w:rPr>
            </w:pPr>
            <w:r>
              <w:rPr>
                <w:rFonts w:ascii="Times New Roman" w:cs="Times New Roman" w:eastAsia="Times New Roman" w:hAnsi="Times New Roman"/>
                <w:sz w:val="19"/>
                <w:szCs w:val="19"/>
                <w:color w:val="231F20"/>
              </w:rPr>
              <w:t>0.9</w:t>
            </w:r>
          </w:p>
        </w:tc>
        <w:tc>
          <w:tcPr>
            <w:tcW w:w="220" w:type="dxa"/>
            <w:vAlign w:val="bottom"/>
            <w:shd w:val="clear" w:color="auto" w:fill="D0EBF2"/>
          </w:tcPr>
          <w:p>
            <w:pPr>
              <w:spacing w:after="0"/>
              <w:rPr>
                <w:sz w:val="20"/>
                <w:szCs w:val="20"/>
                <w:color w:val="auto"/>
              </w:rPr>
            </w:pPr>
          </w:p>
        </w:tc>
        <w:tc>
          <w:tcPr>
            <w:tcW w:w="740" w:type="dxa"/>
            <w:vAlign w:val="bottom"/>
            <w:shd w:val="clear" w:color="auto" w:fill="D0EBF2"/>
          </w:tcPr>
          <w:p>
            <w:pPr>
              <w:spacing w:after="0"/>
              <w:rPr>
                <w:sz w:val="20"/>
                <w:szCs w:val="20"/>
                <w:color w:val="auto"/>
              </w:rPr>
            </w:pPr>
          </w:p>
        </w:tc>
        <w:tc>
          <w:tcPr>
            <w:tcW w:w="1200" w:type="dxa"/>
            <w:vAlign w:val="bottom"/>
            <w:gridSpan w:val="2"/>
            <w:shd w:val="clear" w:color="auto" w:fill="D0EBF2"/>
          </w:tcPr>
          <w:p>
            <w:pPr>
              <w:jc w:val="right"/>
              <w:ind w:right="120"/>
              <w:spacing w:after="0"/>
              <w:rPr>
                <w:sz w:val="20"/>
                <w:szCs w:val="20"/>
                <w:color w:val="auto"/>
              </w:rPr>
            </w:pPr>
            <w:r>
              <w:rPr>
                <w:rFonts w:ascii="Times New Roman" w:cs="Times New Roman" w:eastAsia="Times New Roman" w:hAnsi="Times New Roman"/>
                <w:sz w:val="19"/>
                <w:szCs w:val="19"/>
                <w:color w:val="231F20"/>
              </w:rPr>
              <w:t>—</w:t>
            </w:r>
          </w:p>
        </w:tc>
        <w:tc>
          <w:tcPr>
            <w:tcW w:w="0" w:type="dxa"/>
            <w:vAlign w:val="bottom"/>
          </w:tcPr>
          <w:p>
            <w:pPr>
              <w:spacing w:after="0"/>
              <w:rPr>
                <w:sz w:val="1"/>
                <w:szCs w:val="1"/>
                <w:color w:val="auto"/>
              </w:rPr>
            </w:pPr>
          </w:p>
        </w:tc>
      </w:tr>
      <w:tr>
        <w:trPr>
          <w:trHeight w:val="230"/>
        </w:trPr>
        <w:tc>
          <w:tcPr>
            <w:tcW w:w="4860" w:type="dxa"/>
            <w:vAlign w:val="bottom"/>
            <w:shd w:val="clear" w:color="auto" w:fill="FDFDFC"/>
          </w:tcPr>
          <w:p>
            <w:pPr>
              <w:spacing w:after="0"/>
              <w:rPr>
                <w:sz w:val="20"/>
                <w:szCs w:val="20"/>
                <w:color w:val="auto"/>
              </w:rPr>
            </w:pPr>
            <w:r>
              <w:rPr>
                <w:rFonts w:ascii="Times New Roman" w:cs="Times New Roman" w:eastAsia="Times New Roman" w:hAnsi="Times New Roman"/>
                <w:sz w:val="19"/>
                <w:szCs w:val="19"/>
                <w:color w:val="231F20"/>
              </w:rPr>
              <w:t>Marcura Equities LTD - Delayed Draw &amp; Revolver</w:t>
            </w:r>
          </w:p>
        </w:tc>
        <w:tc>
          <w:tcPr>
            <w:tcW w:w="120" w:type="dxa"/>
            <w:vAlign w:val="bottom"/>
            <w:shd w:val="clear" w:color="auto" w:fill="FDFDFC"/>
          </w:tcPr>
          <w:p>
            <w:pPr>
              <w:spacing w:after="0"/>
              <w:rPr>
                <w:sz w:val="20"/>
                <w:szCs w:val="20"/>
                <w:color w:val="auto"/>
              </w:rPr>
            </w:pPr>
          </w:p>
        </w:tc>
        <w:tc>
          <w:tcPr>
            <w:tcW w:w="700" w:type="dxa"/>
            <w:vAlign w:val="bottom"/>
            <w:shd w:val="clear" w:color="auto" w:fill="FDFDFC"/>
          </w:tcPr>
          <w:p>
            <w:pPr>
              <w:spacing w:after="0"/>
              <w:rPr>
                <w:sz w:val="20"/>
                <w:szCs w:val="20"/>
                <w:color w:val="auto"/>
              </w:rPr>
            </w:pPr>
          </w:p>
        </w:tc>
        <w:tc>
          <w:tcPr>
            <w:tcW w:w="1040" w:type="dxa"/>
            <w:vAlign w:val="bottom"/>
            <w:shd w:val="clear" w:color="auto" w:fill="FDFDFC"/>
          </w:tcPr>
          <w:p>
            <w:pPr>
              <w:jc w:val="right"/>
              <w:spacing w:after="0"/>
              <w:rPr>
                <w:sz w:val="20"/>
                <w:szCs w:val="20"/>
                <w:color w:val="auto"/>
              </w:rPr>
            </w:pPr>
            <w:r>
              <w:rPr>
                <w:rFonts w:ascii="Times New Roman" w:cs="Times New Roman" w:eastAsia="Times New Roman" w:hAnsi="Times New Roman"/>
                <w:sz w:val="19"/>
                <w:szCs w:val="19"/>
                <w:color w:val="231F20"/>
              </w:rPr>
              <w:t>9.1</w:t>
            </w:r>
          </w:p>
        </w:tc>
        <w:tc>
          <w:tcPr>
            <w:tcW w:w="220" w:type="dxa"/>
            <w:vAlign w:val="bottom"/>
            <w:shd w:val="clear" w:color="auto" w:fill="FDFDFC"/>
          </w:tcPr>
          <w:p>
            <w:pPr>
              <w:spacing w:after="0"/>
              <w:rPr>
                <w:sz w:val="20"/>
                <w:szCs w:val="20"/>
                <w:color w:val="auto"/>
              </w:rPr>
            </w:pPr>
          </w:p>
        </w:tc>
        <w:tc>
          <w:tcPr>
            <w:tcW w:w="740" w:type="dxa"/>
            <w:vAlign w:val="bottom"/>
            <w:shd w:val="clear" w:color="auto" w:fill="FDFDFC"/>
          </w:tcPr>
          <w:p>
            <w:pPr>
              <w:spacing w:after="0"/>
              <w:rPr>
                <w:sz w:val="20"/>
                <w:szCs w:val="20"/>
                <w:color w:val="auto"/>
              </w:rPr>
            </w:pPr>
          </w:p>
        </w:tc>
        <w:tc>
          <w:tcPr>
            <w:tcW w:w="1120" w:type="dxa"/>
            <w:vAlign w:val="bottom"/>
            <w:shd w:val="clear" w:color="auto" w:fill="FDFDFC"/>
          </w:tcPr>
          <w:p>
            <w:pPr>
              <w:jc w:val="right"/>
              <w:spacing w:after="0"/>
              <w:rPr>
                <w:sz w:val="20"/>
                <w:szCs w:val="20"/>
                <w:color w:val="auto"/>
              </w:rPr>
            </w:pPr>
            <w:r>
              <w:rPr>
                <w:rFonts w:ascii="Times New Roman" w:cs="Times New Roman" w:eastAsia="Times New Roman" w:hAnsi="Times New Roman"/>
                <w:sz w:val="19"/>
                <w:szCs w:val="19"/>
                <w:color w:val="231F20"/>
              </w:rPr>
              <w:t>11.7</w:t>
            </w:r>
          </w:p>
        </w:tc>
        <w:tc>
          <w:tcPr>
            <w:tcW w:w="80" w:type="dxa"/>
            <w:vAlign w:val="bottom"/>
            <w:shd w:val="clear" w:color="auto" w:fill="FDFDFC"/>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4860" w:type="dxa"/>
            <w:vAlign w:val="bottom"/>
            <w:shd w:val="clear" w:color="auto" w:fill="D0EBF2"/>
          </w:tcPr>
          <w:p>
            <w:pPr>
              <w:spacing w:after="0" w:line="211" w:lineRule="exact"/>
              <w:rPr>
                <w:sz w:val="20"/>
                <w:szCs w:val="20"/>
                <w:color w:val="auto"/>
              </w:rPr>
            </w:pPr>
            <w:r>
              <w:rPr>
                <w:rFonts w:ascii="Times New Roman" w:cs="Times New Roman" w:eastAsia="Times New Roman" w:hAnsi="Times New Roman"/>
                <w:sz w:val="19"/>
                <w:szCs w:val="19"/>
                <w:color w:val="231F20"/>
              </w:rPr>
              <w:t>Merit Software Finance Holdings, LLC - Delayed Draw &amp;</w:t>
            </w:r>
          </w:p>
        </w:tc>
        <w:tc>
          <w:tcPr>
            <w:tcW w:w="120" w:type="dxa"/>
            <w:vAlign w:val="bottom"/>
            <w:shd w:val="clear" w:color="auto" w:fill="D0EBF2"/>
          </w:tcPr>
          <w:p>
            <w:pPr>
              <w:spacing w:after="0"/>
              <w:rPr>
                <w:sz w:val="18"/>
                <w:szCs w:val="18"/>
                <w:color w:val="auto"/>
              </w:rPr>
            </w:pPr>
          </w:p>
        </w:tc>
        <w:tc>
          <w:tcPr>
            <w:tcW w:w="700" w:type="dxa"/>
            <w:vAlign w:val="bottom"/>
            <w:shd w:val="clear" w:color="auto" w:fill="D0EBF2"/>
          </w:tcPr>
          <w:p>
            <w:pPr>
              <w:spacing w:after="0"/>
              <w:rPr>
                <w:sz w:val="18"/>
                <w:szCs w:val="18"/>
                <w:color w:val="auto"/>
              </w:rPr>
            </w:pPr>
          </w:p>
        </w:tc>
        <w:tc>
          <w:tcPr>
            <w:tcW w:w="1040" w:type="dxa"/>
            <w:vAlign w:val="bottom"/>
            <w:vMerge w:val="restart"/>
            <w:shd w:val="clear" w:color="auto" w:fill="D0EBF2"/>
          </w:tcPr>
          <w:p>
            <w:pPr>
              <w:jc w:val="right"/>
              <w:spacing w:after="0"/>
              <w:rPr>
                <w:sz w:val="20"/>
                <w:szCs w:val="20"/>
                <w:color w:val="auto"/>
              </w:rPr>
            </w:pPr>
            <w:r>
              <w:rPr>
                <w:rFonts w:ascii="Times New Roman" w:cs="Times New Roman" w:eastAsia="Times New Roman" w:hAnsi="Times New Roman"/>
                <w:sz w:val="19"/>
                <w:szCs w:val="19"/>
                <w:color w:val="231F20"/>
              </w:rPr>
              <w:t>11.8</w:t>
            </w:r>
          </w:p>
        </w:tc>
        <w:tc>
          <w:tcPr>
            <w:tcW w:w="220" w:type="dxa"/>
            <w:vAlign w:val="bottom"/>
            <w:shd w:val="clear" w:color="auto" w:fill="D0EBF2"/>
          </w:tcPr>
          <w:p>
            <w:pPr>
              <w:spacing w:after="0"/>
              <w:rPr>
                <w:sz w:val="18"/>
                <w:szCs w:val="18"/>
                <w:color w:val="auto"/>
              </w:rPr>
            </w:pPr>
          </w:p>
        </w:tc>
        <w:tc>
          <w:tcPr>
            <w:tcW w:w="740" w:type="dxa"/>
            <w:vAlign w:val="bottom"/>
            <w:shd w:val="clear" w:color="auto" w:fill="D0EBF2"/>
          </w:tcPr>
          <w:p>
            <w:pPr>
              <w:spacing w:after="0"/>
              <w:rPr>
                <w:sz w:val="18"/>
                <w:szCs w:val="18"/>
                <w:color w:val="auto"/>
              </w:rPr>
            </w:pPr>
          </w:p>
        </w:tc>
        <w:tc>
          <w:tcPr>
            <w:tcW w:w="1200" w:type="dxa"/>
            <w:vAlign w:val="bottom"/>
            <w:gridSpan w:val="2"/>
            <w:vMerge w:val="restart"/>
            <w:shd w:val="clear" w:color="auto" w:fill="D0EBF2"/>
          </w:tcPr>
          <w:p>
            <w:pPr>
              <w:jc w:val="right"/>
              <w:ind w:right="120"/>
              <w:spacing w:after="0"/>
              <w:rPr>
                <w:sz w:val="20"/>
                <w:szCs w:val="20"/>
                <w:color w:val="auto"/>
              </w:rPr>
            </w:pPr>
            <w:r>
              <w:rPr>
                <w:rFonts w:ascii="Times New Roman" w:cs="Times New Roman" w:eastAsia="Times New Roman" w:hAnsi="Times New Roman"/>
                <w:sz w:val="19"/>
                <w:szCs w:val="19"/>
                <w:color w:val="231F20"/>
              </w:rPr>
              <w:t>—</w:t>
            </w:r>
          </w:p>
        </w:tc>
        <w:tc>
          <w:tcPr>
            <w:tcW w:w="0" w:type="dxa"/>
            <w:vAlign w:val="bottom"/>
          </w:tcPr>
          <w:p>
            <w:pPr>
              <w:spacing w:after="0"/>
              <w:rPr>
                <w:sz w:val="1"/>
                <w:szCs w:val="1"/>
                <w:color w:val="auto"/>
              </w:rPr>
            </w:pPr>
          </w:p>
        </w:tc>
      </w:tr>
      <w:tr>
        <w:trPr>
          <w:trHeight w:val="237"/>
        </w:trPr>
        <w:tc>
          <w:tcPr>
            <w:tcW w:w="4860" w:type="dxa"/>
            <w:vAlign w:val="bottom"/>
            <w:shd w:val="clear" w:color="auto" w:fill="D0EBF2"/>
          </w:tcPr>
          <w:p>
            <w:pPr>
              <w:spacing w:after="0"/>
              <w:rPr>
                <w:sz w:val="20"/>
                <w:szCs w:val="20"/>
                <w:color w:val="auto"/>
              </w:rPr>
            </w:pPr>
            <w:r>
              <w:rPr>
                <w:rFonts w:ascii="Times New Roman" w:cs="Times New Roman" w:eastAsia="Times New Roman" w:hAnsi="Times New Roman"/>
                <w:sz w:val="19"/>
                <w:szCs w:val="19"/>
                <w:color w:val="231F20"/>
              </w:rPr>
              <w:t>Revolver</w:t>
            </w:r>
          </w:p>
        </w:tc>
        <w:tc>
          <w:tcPr>
            <w:tcW w:w="120" w:type="dxa"/>
            <w:vAlign w:val="bottom"/>
            <w:shd w:val="clear" w:color="auto" w:fill="D0EBF2"/>
          </w:tcPr>
          <w:p>
            <w:pPr>
              <w:spacing w:after="0"/>
              <w:rPr>
                <w:sz w:val="20"/>
                <w:szCs w:val="20"/>
                <w:color w:val="auto"/>
              </w:rPr>
            </w:pPr>
          </w:p>
        </w:tc>
        <w:tc>
          <w:tcPr>
            <w:tcW w:w="700" w:type="dxa"/>
            <w:vAlign w:val="bottom"/>
            <w:shd w:val="clear" w:color="auto" w:fill="D0EBF2"/>
          </w:tcPr>
          <w:p>
            <w:pPr>
              <w:spacing w:after="0"/>
              <w:rPr>
                <w:sz w:val="20"/>
                <w:szCs w:val="20"/>
                <w:color w:val="auto"/>
              </w:rPr>
            </w:pPr>
          </w:p>
        </w:tc>
        <w:tc>
          <w:tcPr>
            <w:tcW w:w="1040" w:type="dxa"/>
            <w:vAlign w:val="bottom"/>
            <w:vMerge w:val="continue"/>
            <w:shd w:val="clear" w:color="auto" w:fill="D0EBF2"/>
          </w:tcPr>
          <w:p>
            <w:pPr>
              <w:spacing w:after="0"/>
              <w:rPr>
                <w:sz w:val="20"/>
                <w:szCs w:val="20"/>
                <w:color w:val="auto"/>
              </w:rPr>
            </w:pPr>
          </w:p>
        </w:tc>
        <w:tc>
          <w:tcPr>
            <w:tcW w:w="220" w:type="dxa"/>
            <w:vAlign w:val="bottom"/>
            <w:shd w:val="clear" w:color="auto" w:fill="D0EBF2"/>
          </w:tcPr>
          <w:p>
            <w:pPr>
              <w:spacing w:after="0"/>
              <w:rPr>
                <w:sz w:val="20"/>
                <w:szCs w:val="20"/>
                <w:color w:val="auto"/>
              </w:rPr>
            </w:pPr>
          </w:p>
        </w:tc>
        <w:tc>
          <w:tcPr>
            <w:tcW w:w="740" w:type="dxa"/>
            <w:vAlign w:val="bottom"/>
            <w:shd w:val="clear" w:color="auto" w:fill="D0EBF2"/>
          </w:tcPr>
          <w:p>
            <w:pPr>
              <w:spacing w:after="0"/>
              <w:rPr>
                <w:sz w:val="20"/>
                <w:szCs w:val="20"/>
                <w:color w:val="auto"/>
              </w:rPr>
            </w:pPr>
          </w:p>
        </w:tc>
        <w:tc>
          <w:tcPr>
            <w:tcW w:w="1200" w:type="dxa"/>
            <w:vAlign w:val="bottom"/>
            <w:gridSpan w:val="2"/>
            <w:vMerge w:val="continue"/>
            <w:shd w:val="clear" w:color="auto" w:fill="D0EBF2"/>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860" w:type="dxa"/>
            <w:vAlign w:val="bottom"/>
            <w:shd w:val="clear" w:color="auto" w:fill="FDFDFC"/>
          </w:tcPr>
          <w:p>
            <w:pPr>
              <w:spacing w:after="0"/>
              <w:rPr>
                <w:sz w:val="20"/>
                <w:szCs w:val="20"/>
                <w:color w:val="auto"/>
              </w:rPr>
            </w:pPr>
            <w:r>
              <w:rPr>
                <w:rFonts w:ascii="Times New Roman" w:cs="Times New Roman" w:eastAsia="Times New Roman" w:hAnsi="Times New Roman"/>
                <w:sz w:val="19"/>
                <w:szCs w:val="19"/>
                <w:color w:val="231F20"/>
              </w:rPr>
              <w:t>Netwrix Corp. - Delayed Draw &amp; Revolver</w:t>
            </w:r>
          </w:p>
        </w:tc>
        <w:tc>
          <w:tcPr>
            <w:tcW w:w="120" w:type="dxa"/>
            <w:vAlign w:val="bottom"/>
            <w:shd w:val="clear" w:color="auto" w:fill="FDFDFC"/>
          </w:tcPr>
          <w:p>
            <w:pPr>
              <w:spacing w:after="0"/>
              <w:rPr>
                <w:sz w:val="20"/>
                <w:szCs w:val="20"/>
                <w:color w:val="auto"/>
              </w:rPr>
            </w:pPr>
          </w:p>
        </w:tc>
        <w:tc>
          <w:tcPr>
            <w:tcW w:w="700" w:type="dxa"/>
            <w:vAlign w:val="bottom"/>
            <w:shd w:val="clear" w:color="auto" w:fill="FDFDFC"/>
          </w:tcPr>
          <w:p>
            <w:pPr>
              <w:spacing w:after="0"/>
              <w:rPr>
                <w:sz w:val="20"/>
                <w:szCs w:val="20"/>
                <w:color w:val="auto"/>
              </w:rPr>
            </w:pPr>
          </w:p>
        </w:tc>
        <w:tc>
          <w:tcPr>
            <w:tcW w:w="1040" w:type="dxa"/>
            <w:vAlign w:val="bottom"/>
            <w:shd w:val="clear" w:color="auto" w:fill="FDFDFC"/>
          </w:tcPr>
          <w:p>
            <w:pPr>
              <w:jc w:val="right"/>
              <w:spacing w:after="0"/>
              <w:rPr>
                <w:sz w:val="20"/>
                <w:szCs w:val="20"/>
                <w:color w:val="auto"/>
              </w:rPr>
            </w:pPr>
            <w:r>
              <w:rPr>
                <w:rFonts w:ascii="Times New Roman" w:cs="Times New Roman" w:eastAsia="Times New Roman" w:hAnsi="Times New Roman"/>
                <w:sz w:val="19"/>
                <w:szCs w:val="19"/>
                <w:color w:val="231F20"/>
              </w:rPr>
              <w:t>—</w:t>
            </w:r>
          </w:p>
        </w:tc>
        <w:tc>
          <w:tcPr>
            <w:tcW w:w="220" w:type="dxa"/>
            <w:vAlign w:val="bottom"/>
            <w:shd w:val="clear" w:color="auto" w:fill="FDFDFC"/>
          </w:tcPr>
          <w:p>
            <w:pPr>
              <w:spacing w:after="0"/>
              <w:rPr>
                <w:sz w:val="20"/>
                <w:szCs w:val="20"/>
                <w:color w:val="auto"/>
              </w:rPr>
            </w:pPr>
          </w:p>
        </w:tc>
        <w:tc>
          <w:tcPr>
            <w:tcW w:w="740" w:type="dxa"/>
            <w:vAlign w:val="bottom"/>
            <w:shd w:val="clear" w:color="auto" w:fill="FDFDFC"/>
          </w:tcPr>
          <w:p>
            <w:pPr>
              <w:spacing w:after="0"/>
              <w:rPr>
                <w:sz w:val="20"/>
                <w:szCs w:val="20"/>
                <w:color w:val="auto"/>
              </w:rPr>
            </w:pPr>
          </w:p>
        </w:tc>
        <w:tc>
          <w:tcPr>
            <w:tcW w:w="1120" w:type="dxa"/>
            <w:vAlign w:val="bottom"/>
            <w:shd w:val="clear" w:color="auto" w:fill="FDFDFC"/>
          </w:tcPr>
          <w:p>
            <w:pPr>
              <w:jc w:val="right"/>
              <w:spacing w:after="0"/>
              <w:rPr>
                <w:sz w:val="20"/>
                <w:szCs w:val="20"/>
                <w:color w:val="auto"/>
              </w:rPr>
            </w:pPr>
            <w:r>
              <w:rPr>
                <w:rFonts w:ascii="Times New Roman" w:cs="Times New Roman" w:eastAsia="Times New Roman" w:hAnsi="Times New Roman"/>
                <w:sz w:val="19"/>
                <w:szCs w:val="19"/>
                <w:color w:val="231F20"/>
              </w:rPr>
              <w:t>13.1</w:t>
            </w:r>
          </w:p>
        </w:tc>
        <w:tc>
          <w:tcPr>
            <w:tcW w:w="80" w:type="dxa"/>
            <w:vAlign w:val="bottom"/>
            <w:shd w:val="clear" w:color="auto" w:fill="FDFD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860" w:type="dxa"/>
            <w:vAlign w:val="bottom"/>
            <w:shd w:val="clear" w:color="auto" w:fill="D0EBF2"/>
          </w:tcPr>
          <w:p>
            <w:pPr>
              <w:spacing w:after="0"/>
              <w:rPr>
                <w:sz w:val="20"/>
                <w:szCs w:val="20"/>
                <w:color w:val="auto"/>
              </w:rPr>
            </w:pPr>
            <w:r>
              <w:rPr>
                <w:rFonts w:ascii="Times New Roman" w:cs="Times New Roman" w:eastAsia="Times New Roman" w:hAnsi="Times New Roman"/>
                <w:sz w:val="19"/>
                <w:szCs w:val="19"/>
                <w:color w:val="231F20"/>
              </w:rPr>
              <w:t>OutSystems Luxco SARL - Delayed Draw</w:t>
            </w:r>
          </w:p>
        </w:tc>
        <w:tc>
          <w:tcPr>
            <w:tcW w:w="120" w:type="dxa"/>
            <w:vAlign w:val="bottom"/>
            <w:shd w:val="clear" w:color="auto" w:fill="D0EBF2"/>
          </w:tcPr>
          <w:p>
            <w:pPr>
              <w:spacing w:after="0"/>
              <w:rPr>
                <w:sz w:val="20"/>
                <w:szCs w:val="20"/>
                <w:color w:val="auto"/>
              </w:rPr>
            </w:pPr>
          </w:p>
        </w:tc>
        <w:tc>
          <w:tcPr>
            <w:tcW w:w="700" w:type="dxa"/>
            <w:vAlign w:val="bottom"/>
            <w:shd w:val="clear" w:color="auto" w:fill="D0EBF2"/>
          </w:tcPr>
          <w:p>
            <w:pPr>
              <w:spacing w:after="0"/>
              <w:rPr>
                <w:sz w:val="20"/>
                <w:szCs w:val="20"/>
                <w:color w:val="auto"/>
              </w:rPr>
            </w:pPr>
          </w:p>
        </w:tc>
        <w:tc>
          <w:tcPr>
            <w:tcW w:w="1040" w:type="dxa"/>
            <w:vAlign w:val="bottom"/>
            <w:shd w:val="clear" w:color="auto" w:fill="D0EBF2"/>
          </w:tcPr>
          <w:p>
            <w:pPr>
              <w:jc w:val="right"/>
              <w:spacing w:after="0"/>
              <w:rPr>
                <w:sz w:val="20"/>
                <w:szCs w:val="20"/>
                <w:color w:val="auto"/>
              </w:rPr>
            </w:pPr>
            <w:r>
              <w:rPr>
                <w:rFonts w:ascii="Times New Roman" w:cs="Times New Roman" w:eastAsia="Times New Roman" w:hAnsi="Times New Roman"/>
                <w:sz w:val="19"/>
                <w:szCs w:val="19"/>
                <w:color w:val="231F20"/>
              </w:rPr>
              <w:t>—</w:t>
            </w:r>
          </w:p>
        </w:tc>
        <w:tc>
          <w:tcPr>
            <w:tcW w:w="220" w:type="dxa"/>
            <w:vAlign w:val="bottom"/>
            <w:shd w:val="clear" w:color="auto" w:fill="D0EBF2"/>
          </w:tcPr>
          <w:p>
            <w:pPr>
              <w:spacing w:after="0"/>
              <w:rPr>
                <w:sz w:val="20"/>
                <w:szCs w:val="20"/>
                <w:color w:val="auto"/>
              </w:rPr>
            </w:pPr>
          </w:p>
        </w:tc>
        <w:tc>
          <w:tcPr>
            <w:tcW w:w="740" w:type="dxa"/>
            <w:vAlign w:val="bottom"/>
            <w:shd w:val="clear" w:color="auto" w:fill="D0EBF2"/>
          </w:tcPr>
          <w:p>
            <w:pPr>
              <w:spacing w:after="0"/>
              <w:rPr>
                <w:sz w:val="20"/>
                <w:szCs w:val="20"/>
                <w:color w:val="auto"/>
              </w:rPr>
            </w:pPr>
          </w:p>
        </w:tc>
        <w:tc>
          <w:tcPr>
            <w:tcW w:w="1120" w:type="dxa"/>
            <w:vAlign w:val="bottom"/>
            <w:shd w:val="clear" w:color="auto" w:fill="D0EBF2"/>
          </w:tcPr>
          <w:p>
            <w:pPr>
              <w:jc w:val="right"/>
              <w:spacing w:after="0"/>
              <w:rPr>
                <w:sz w:val="20"/>
                <w:szCs w:val="20"/>
                <w:color w:val="auto"/>
              </w:rPr>
            </w:pPr>
            <w:r>
              <w:rPr>
                <w:rFonts w:ascii="Times New Roman" w:cs="Times New Roman" w:eastAsia="Times New Roman" w:hAnsi="Times New Roman"/>
                <w:sz w:val="19"/>
                <w:szCs w:val="19"/>
                <w:color w:val="231F20"/>
              </w:rPr>
              <w:t>2.2</w:t>
            </w:r>
          </w:p>
        </w:tc>
        <w:tc>
          <w:tcPr>
            <w:tcW w:w="80" w:type="dxa"/>
            <w:vAlign w:val="bottom"/>
            <w:shd w:val="clear" w:color="auto" w:fill="D0EBF2"/>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860" w:type="dxa"/>
            <w:vAlign w:val="bottom"/>
            <w:shd w:val="clear" w:color="auto" w:fill="FDFDFC"/>
          </w:tcPr>
          <w:p>
            <w:pPr>
              <w:spacing w:after="0"/>
              <w:rPr>
                <w:sz w:val="20"/>
                <w:szCs w:val="20"/>
                <w:color w:val="auto"/>
              </w:rPr>
            </w:pPr>
            <w:r>
              <w:rPr>
                <w:rFonts w:ascii="Times New Roman" w:cs="Times New Roman" w:eastAsia="Times New Roman" w:hAnsi="Times New Roman"/>
                <w:sz w:val="19"/>
                <w:szCs w:val="19"/>
                <w:color w:val="231F20"/>
              </w:rPr>
              <w:t>Passport Labs, Inc. - Revolver</w:t>
            </w:r>
          </w:p>
        </w:tc>
        <w:tc>
          <w:tcPr>
            <w:tcW w:w="120" w:type="dxa"/>
            <w:vAlign w:val="bottom"/>
            <w:shd w:val="clear" w:color="auto" w:fill="FDFDFC"/>
          </w:tcPr>
          <w:p>
            <w:pPr>
              <w:spacing w:after="0"/>
              <w:rPr>
                <w:sz w:val="20"/>
                <w:szCs w:val="20"/>
                <w:color w:val="auto"/>
              </w:rPr>
            </w:pPr>
          </w:p>
        </w:tc>
        <w:tc>
          <w:tcPr>
            <w:tcW w:w="700" w:type="dxa"/>
            <w:vAlign w:val="bottom"/>
            <w:shd w:val="clear" w:color="auto" w:fill="FDFDFC"/>
          </w:tcPr>
          <w:p>
            <w:pPr>
              <w:spacing w:after="0"/>
              <w:rPr>
                <w:sz w:val="20"/>
                <w:szCs w:val="20"/>
                <w:color w:val="auto"/>
              </w:rPr>
            </w:pPr>
          </w:p>
        </w:tc>
        <w:tc>
          <w:tcPr>
            <w:tcW w:w="1040" w:type="dxa"/>
            <w:vAlign w:val="bottom"/>
            <w:shd w:val="clear" w:color="auto" w:fill="FDFDFC"/>
          </w:tcPr>
          <w:p>
            <w:pPr>
              <w:jc w:val="right"/>
              <w:spacing w:after="0"/>
              <w:rPr>
                <w:sz w:val="20"/>
                <w:szCs w:val="20"/>
                <w:color w:val="auto"/>
              </w:rPr>
            </w:pPr>
            <w:r>
              <w:rPr>
                <w:rFonts w:ascii="Times New Roman" w:cs="Times New Roman" w:eastAsia="Times New Roman" w:hAnsi="Times New Roman"/>
                <w:sz w:val="19"/>
                <w:szCs w:val="19"/>
                <w:color w:val="231F20"/>
              </w:rPr>
              <w:t>—</w:t>
            </w:r>
          </w:p>
        </w:tc>
        <w:tc>
          <w:tcPr>
            <w:tcW w:w="220" w:type="dxa"/>
            <w:vAlign w:val="bottom"/>
            <w:shd w:val="clear" w:color="auto" w:fill="FDFDFC"/>
          </w:tcPr>
          <w:p>
            <w:pPr>
              <w:spacing w:after="0"/>
              <w:rPr>
                <w:sz w:val="20"/>
                <w:szCs w:val="20"/>
                <w:color w:val="auto"/>
              </w:rPr>
            </w:pPr>
          </w:p>
        </w:tc>
        <w:tc>
          <w:tcPr>
            <w:tcW w:w="740" w:type="dxa"/>
            <w:vAlign w:val="bottom"/>
            <w:shd w:val="clear" w:color="auto" w:fill="FDFDFC"/>
          </w:tcPr>
          <w:p>
            <w:pPr>
              <w:spacing w:after="0"/>
              <w:rPr>
                <w:sz w:val="20"/>
                <w:szCs w:val="20"/>
                <w:color w:val="auto"/>
              </w:rPr>
            </w:pPr>
          </w:p>
        </w:tc>
        <w:tc>
          <w:tcPr>
            <w:tcW w:w="1120" w:type="dxa"/>
            <w:vAlign w:val="bottom"/>
            <w:shd w:val="clear" w:color="auto" w:fill="FDFDFC"/>
          </w:tcPr>
          <w:p>
            <w:pPr>
              <w:jc w:val="right"/>
              <w:spacing w:after="0"/>
              <w:rPr>
                <w:sz w:val="20"/>
                <w:szCs w:val="20"/>
                <w:color w:val="auto"/>
              </w:rPr>
            </w:pPr>
            <w:r>
              <w:rPr>
                <w:rFonts w:ascii="Times New Roman" w:cs="Times New Roman" w:eastAsia="Times New Roman" w:hAnsi="Times New Roman"/>
                <w:sz w:val="19"/>
                <w:szCs w:val="19"/>
                <w:color w:val="231F20"/>
              </w:rPr>
              <w:t>2.8</w:t>
            </w:r>
          </w:p>
        </w:tc>
        <w:tc>
          <w:tcPr>
            <w:tcW w:w="80" w:type="dxa"/>
            <w:vAlign w:val="bottom"/>
            <w:shd w:val="clear" w:color="auto" w:fill="FDFD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860" w:type="dxa"/>
            <w:vAlign w:val="bottom"/>
            <w:shd w:val="clear" w:color="auto" w:fill="D0EBF2"/>
          </w:tcPr>
          <w:p>
            <w:pPr>
              <w:spacing w:after="0"/>
              <w:rPr>
                <w:sz w:val="20"/>
                <w:szCs w:val="20"/>
                <w:color w:val="auto"/>
              </w:rPr>
            </w:pPr>
            <w:r>
              <w:rPr>
                <w:rFonts w:ascii="Times New Roman" w:cs="Times New Roman" w:eastAsia="Times New Roman" w:hAnsi="Times New Roman"/>
                <w:sz w:val="19"/>
                <w:szCs w:val="19"/>
                <w:color w:val="231F20"/>
              </w:rPr>
              <w:t>PDI TA Holdings, Inc. - Delayed Draw &amp; Revolver</w:t>
            </w:r>
          </w:p>
        </w:tc>
        <w:tc>
          <w:tcPr>
            <w:tcW w:w="120" w:type="dxa"/>
            <w:vAlign w:val="bottom"/>
            <w:shd w:val="clear" w:color="auto" w:fill="D0EBF2"/>
          </w:tcPr>
          <w:p>
            <w:pPr>
              <w:spacing w:after="0"/>
              <w:rPr>
                <w:sz w:val="20"/>
                <w:szCs w:val="20"/>
                <w:color w:val="auto"/>
              </w:rPr>
            </w:pPr>
          </w:p>
        </w:tc>
        <w:tc>
          <w:tcPr>
            <w:tcW w:w="700" w:type="dxa"/>
            <w:vAlign w:val="bottom"/>
            <w:shd w:val="clear" w:color="auto" w:fill="D0EBF2"/>
          </w:tcPr>
          <w:p>
            <w:pPr>
              <w:spacing w:after="0"/>
              <w:rPr>
                <w:sz w:val="20"/>
                <w:szCs w:val="20"/>
                <w:color w:val="auto"/>
              </w:rPr>
            </w:pPr>
          </w:p>
        </w:tc>
        <w:tc>
          <w:tcPr>
            <w:tcW w:w="1040" w:type="dxa"/>
            <w:vAlign w:val="bottom"/>
            <w:shd w:val="clear" w:color="auto" w:fill="D0EBF2"/>
          </w:tcPr>
          <w:p>
            <w:pPr>
              <w:jc w:val="right"/>
              <w:spacing w:after="0"/>
              <w:rPr>
                <w:sz w:val="20"/>
                <w:szCs w:val="20"/>
                <w:color w:val="auto"/>
              </w:rPr>
            </w:pPr>
            <w:r>
              <w:rPr>
                <w:rFonts w:ascii="Times New Roman" w:cs="Times New Roman" w:eastAsia="Times New Roman" w:hAnsi="Times New Roman"/>
                <w:sz w:val="19"/>
                <w:szCs w:val="19"/>
                <w:color w:val="231F20"/>
              </w:rPr>
              <w:t>3.3</w:t>
            </w:r>
          </w:p>
        </w:tc>
        <w:tc>
          <w:tcPr>
            <w:tcW w:w="220" w:type="dxa"/>
            <w:vAlign w:val="bottom"/>
            <w:shd w:val="clear" w:color="auto" w:fill="D0EBF2"/>
          </w:tcPr>
          <w:p>
            <w:pPr>
              <w:spacing w:after="0"/>
              <w:rPr>
                <w:sz w:val="20"/>
                <w:szCs w:val="20"/>
                <w:color w:val="auto"/>
              </w:rPr>
            </w:pPr>
          </w:p>
        </w:tc>
        <w:tc>
          <w:tcPr>
            <w:tcW w:w="740" w:type="dxa"/>
            <w:vAlign w:val="bottom"/>
            <w:shd w:val="clear" w:color="auto" w:fill="D0EBF2"/>
          </w:tcPr>
          <w:p>
            <w:pPr>
              <w:spacing w:after="0"/>
              <w:rPr>
                <w:sz w:val="20"/>
                <w:szCs w:val="20"/>
                <w:color w:val="auto"/>
              </w:rPr>
            </w:pPr>
          </w:p>
        </w:tc>
        <w:tc>
          <w:tcPr>
            <w:tcW w:w="1200" w:type="dxa"/>
            <w:vAlign w:val="bottom"/>
            <w:gridSpan w:val="2"/>
            <w:shd w:val="clear" w:color="auto" w:fill="D0EBF2"/>
          </w:tcPr>
          <w:p>
            <w:pPr>
              <w:jc w:val="right"/>
              <w:ind w:right="120"/>
              <w:spacing w:after="0"/>
              <w:rPr>
                <w:sz w:val="20"/>
                <w:szCs w:val="20"/>
                <w:color w:val="auto"/>
              </w:rPr>
            </w:pPr>
            <w:r>
              <w:rPr>
                <w:rFonts w:ascii="Times New Roman" w:cs="Times New Roman" w:eastAsia="Times New Roman" w:hAnsi="Times New Roman"/>
                <w:sz w:val="19"/>
                <w:szCs w:val="19"/>
                <w:color w:val="231F20"/>
              </w:rPr>
              <w:t>—</w:t>
            </w:r>
          </w:p>
        </w:tc>
        <w:tc>
          <w:tcPr>
            <w:tcW w:w="0" w:type="dxa"/>
            <w:vAlign w:val="bottom"/>
          </w:tcPr>
          <w:p>
            <w:pPr>
              <w:spacing w:after="0"/>
              <w:rPr>
                <w:sz w:val="1"/>
                <w:szCs w:val="1"/>
                <w:color w:val="auto"/>
              </w:rPr>
            </w:pPr>
          </w:p>
        </w:tc>
      </w:tr>
      <w:tr>
        <w:trPr>
          <w:trHeight w:val="230"/>
        </w:trPr>
        <w:tc>
          <w:tcPr>
            <w:tcW w:w="4860" w:type="dxa"/>
            <w:vAlign w:val="bottom"/>
            <w:shd w:val="clear" w:color="auto" w:fill="FDFDFC"/>
          </w:tcPr>
          <w:p>
            <w:pPr>
              <w:spacing w:after="0"/>
              <w:rPr>
                <w:sz w:val="20"/>
                <w:szCs w:val="20"/>
                <w:color w:val="auto"/>
              </w:rPr>
            </w:pPr>
            <w:r>
              <w:rPr>
                <w:rFonts w:ascii="Times New Roman" w:cs="Times New Roman" w:eastAsia="Times New Roman" w:hAnsi="Times New Roman"/>
                <w:sz w:val="19"/>
                <w:szCs w:val="19"/>
                <w:color w:val="231F20"/>
              </w:rPr>
              <w:t>Ping Identity Holding Corp. - Revolver</w:t>
            </w:r>
          </w:p>
        </w:tc>
        <w:tc>
          <w:tcPr>
            <w:tcW w:w="120" w:type="dxa"/>
            <w:vAlign w:val="bottom"/>
            <w:shd w:val="clear" w:color="auto" w:fill="FDFDFC"/>
          </w:tcPr>
          <w:p>
            <w:pPr>
              <w:spacing w:after="0"/>
              <w:rPr>
                <w:sz w:val="20"/>
                <w:szCs w:val="20"/>
                <w:color w:val="auto"/>
              </w:rPr>
            </w:pPr>
          </w:p>
        </w:tc>
        <w:tc>
          <w:tcPr>
            <w:tcW w:w="700" w:type="dxa"/>
            <w:vAlign w:val="bottom"/>
            <w:shd w:val="clear" w:color="auto" w:fill="FDFDFC"/>
          </w:tcPr>
          <w:p>
            <w:pPr>
              <w:spacing w:after="0"/>
              <w:rPr>
                <w:sz w:val="20"/>
                <w:szCs w:val="20"/>
                <w:color w:val="auto"/>
              </w:rPr>
            </w:pPr>
          </w:p>
        </w:tc>
        <w:tc>
          <w:tcPr>
            <w:tcW w:w="1040" w:type="dxa"/>
            <w:vAlign w:val="bottom"/>
            <w:shd w:val="clear" w:color="auto" w:fill="FDFDFC"/>
          </w:tcPr>
          <w:p>
            <w:pPr>
              <w:jc w:val="right"/>
              <w:spacing w:after="0"/>
              <w:rPr>
                <w:sz w:val="20"/>
                <w:szCs w:val="20"/>
                <w:color w:val="auto"/>
              </w:rPr>
            </w:pPr>
            <w:r>
              <w:rPr>
                <w:rFonts w:ascii="Times New Roman" w:cs="Times New Roman" w:eastAsia="Times New Roman" w:hAnsi="Times New Roman"/>
                <w:sz w:val="19"/>
                <w:szCs w:val="19"/>
                <w:color w:val="231F20"/>
              </w:rPr>
              <w:t>—</w:t>
            </w:r>
          </w:p>
        </w:tc>
        <w:tc>
          <w:tcPr>
            <w:tcW w:w="220" w:type="dxa"/>
            <w:vAlign w:val="bottom"/>
            <w:shd w:val="clear" w:color="auto" w:fill="FDFDFC"/>
          </w:tcPr>
          <w:p>
            <w:pPr>
              <w:spacing w:after="0"/>
              <w:rPr>
                <w:sz w:val="20"/>
                <w:szCs w:val="20"/>
                <w:color w:val="auto"/>
              </w:rPr>
            </w:pPr>
          </w:p>
        </w:tc>
        <w:tc>
          <w:tcPr>
            <w:tcW w:w="740" w:type="dxa"/>
            <w:vAlign w:val="bottom"/>
            <w:shd w:val="clear" w:color="auto" w:fill="FDFDFC"/>
          </w:tcPr>
          <w:p>
            <w:pPr>
              <w:spacing w:after="0"/>
              <w:rPr>
                <w:sz w:val="20"/>
                <w:szCs w:val="20"/>
                <w:color w:val="auto"/>
              </w:rPr>
            </w:pPr>
          </w:p>
        </w:tc>
        <w:tc>
          <w:tcPr>
            <w:tcW w:w="1120" w:type="dxa"/>
            <w:vAlign w:val="bottom"/>
            <w:shd w:val="clear" w:color="auto" w:fill="FDFDFC"/>
          </w:tcPr>
          <w:p>
            <w:pPr>
              <w:jc w:val="right"/>
              <w:spacing w:after="0"/>
              <w:rPr>
                <w:sz w:val="20"/>
                <w:szCs w:val="20"/>
                <w:color w:val="auto"/>
              </w:rPr>
            </w:pPr>
            <w:r>
              <w:rPr>
                <w:rFonts w:ascii="Times New Roman" w:cs="Times New Roman" w:eastAsia="Times New Roman" w:hAnsi="Times New Roman"/>
                <w:sz w:val="19"/>
                <w:szCs w:val="19"/>
                <w:color w:val="231F20"/>
              </w:rPr>
              <w:t>2.3</w:t>
            </w:r>
          </w:p>
        </w:tc>
        <w:tc>
          <w:tcPr>
            <w:tcW w:w="80" w:type="dxa"/>
            <w:vAlign w:val="bottom"/>
            <w:shd w:val="clear" w:color="auto" w:fill="FDFD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860" w:type="dxa"/>
            <w:vAlign w:val="bottom"/>
            <w:shd w:val="clear" w:color="auto" w:fill="D0EBF2"/>
          </w:tcPr>
          <w:p>
            <w:pPr>
              <w:spacing w:after="0"/>
              <w:rPr>
                <w:sz w:val="20"/>
                <w:szCs w:val="20"/>
                <w:color w:val="auto"/>
              </w:rPr>
            </w:pPr>
            <w:r>
              <w:rPr>
                <w:rFonts w:ascii="Times New Roman" w:cs="Times New Roman" w:eastAsia="Times New Roman" w:hAnsi="Times New Roman"/>
                <w:sz w:val="19"/>
                <w:szCs w:val="19"/>
                <w:color w:val="231F20"/>
              </w:rPr>
              <w:t>PrimePay Intermediate, LLC - Delayed Draw</w:t>
            </w:r>
          </w:p>
        </w:tc>
        <w:tc>
          <w:tcPr>
            <w:tcW w:w="120" w:type="dxa"/>
            <w:vAlign w:val="bottom"/>
            <w:shd w:val="clear" w:color="auto" w:fill="D0EBF2"/>
          </w:tcPr>
          <w:p>
            <w:pPr>
              <w:spacing w:after="0"/>
              <w:rPr>
                <w:sz w:val="20"/>
                <w:szCs w:val="20"/>
                <w:color w:val="auto"/>
              </w:rPr>
            </w:pPr>
          </w:p>
        </w:tc>
        <w:tc>
          <w:tcPr>
            <w:tcW w:w="700" w:type="dxa"/>
            <w:vAlign w:val="bottom"/>
            <w:shd w:val="clear" w:color="auto" w:fill="D0EBF2"/>
          </w:tcPr>
          <w:p>
            <w:pPr>
              <w:spacing w:after="0"/>
              <w:rPr>
                <w:sz w:val="20"/>
                <w:szCs w:val="20"/>
                <w:color w:val="auto"/>
              </w:rPr>
            </w:pPr>
          </w:p>
        </w:tc>
        <w:tc>
          <w:tcPr>
            <w:tcW w:w="1040" w:type="dxa"/>
            <w:vAlign w:val="bottom"/>
            <w:shd w:val="clear" w:color="auto" w:fill="D0EBF2"/>
          </w:tcPr>
          <w:p>
            <w:pPr>
              <w:jc w:val="right"/>
              <w:spacing w:after="0"/>
              <w:rPr>
                <w:sz w:val="20"/>
                <w:szCs w:val="20"/>
                <w:color w:val="auto"/>
              </w:rPr>
            </w:pPr>
            <w:r>
              <w:rPr>
                <w:rFonts w:ascii="Times New Roman" w:cs="Times New Roman" w:eastAsia="Times New Roman" w:hAnsi="Times New Roman"/>
                <w:sz w:val="19"/>
                <w:szCs w:val="19"/>
                <w:color w:val="231F20"/>
              </w:rPr>
              <w:t>4.0</w:t>
            </w:r>
          </w:p>
        </w:tc>
        <w:tc>
          <w:tcPr>
            <w:tcW w:w="220" w:type="dxa"/>
            <w:vAlign w:val="bottom"/>
            <w:shd w:val="clear" w:color="auto" w:fill="D0EBF2"/>
          </w:tcPr>
          <w:p>
            <w:pPr>
              <w:spacing w:after="0"/>
              <w:rPr>
                <w:sz w:val="20"/>
                <w:szCs w:val="20"/>
                <w:color w:val="auto"/>
              </w:rPr>
            </w:pPr>
          </w:p>
        </w:tc>
        <w:tc>
          <w:tcPr>
            <w:tcW w:w="740" w:type="dxa"/>
            <w:vAlign w:val="bottom"/>
            <w:shd w:val="clear" w:color="auto" w:fill="D0EBF2"/>
          </w:tcPr>
          <w:p>
            <w:pPr>
              <w:spacing w:after="0"/>
              <w:rPr>
                <w:sz w:val="20"/>
                <w:szCs w:val="20"/>
                <w:color w:val="auto"/>
              </w:rPr>
            </w:pPr>
          </w:p>
        </w:tc>
        <w:tc>
          <w:tcPr>
            <w:tcW w:w="1200" w:type="dxa"/>
            <w:vAlign w:val="bottom"/>
            <w:gridSpan w:val="2"/>
            <w:shd w:val="clear" w:color="auto" w:fill="D0EBF2"/>
          </w:tcPr>
          <w:p>
            <w:pPr>
              <w:jc w:val="right"/>
              <w:ind w:right="120"/>
              <w:spacing w:after="0"/>
              <w:rPr>
                <w:sz w:val="20"/>
                <w:szCs w:val="20"/>
                <w:color w:val="auto"/>
              </w:rPr>
            </w:pPr>
            <w:r>
              <w:rPr>
                <w:rFonts w:ascii="Times New Roman" w:cs="Times New Roman" w:eastAsia="Times New Roman" w:hAnsi="Times New Roman"/>
                <w:sz w:val="19"/>
                <w:szCs w:val="19"/>
                <w:color w:val="231F20"/>
              </w:rPr>
              <w:t>—</w:t>
            </w:r>
          </w:p>
        </w:tc>
        <w:tc>
          <w:tcPr>
            <w:tcW w:w="0" w:type="dxa"/>
            <w:vAlign w:val="bottom"/>
          </w:tcPr>
          <w:p>
            <w:pPr>
              <w:spacing w:after="0"/>
              <w:rPr>
                <w:sz w:val="1"/>
                <w:szCs w:val="1"/>
                <w:color w:val="auto"/>
              </w:rPr>
            </w:pPr>
          </w:p>
        </w:tc>
      </w:tr>
      <w:tr>
        <w:trPr>
          <w:trHeight w:val="230"/>
        </w:trPr>
        <w:tc>
          <w:tcPr>
            <w:tcW w:w="4860" w:type="dxa"/>
            <w:vAlign w:val="bottom"/>
            <w:shd w:val="clear" w:color="auto" w:fill="FDFDFC"/>
          </w:tcPr>
          <w:p>
            <w:pPr>
              <w:spacing w:after="0"/>
              <w:rPr>
                <w:sz w:val="20"/>
                <w:szCs w:val="20"/>
                <w:color w:val="auto"/>
              </w:rPr>
            </w:pPr>
            <w:r>
              <w:rPr>
                <w:rFonts w:ascii="Times New Roman" w:cs="Times New Roman" w:eastAsia="Times New Roman" w:hAnsi="Times New Roman"/>
                <w:sz w:val="19"/>
                <w:szCs w:val="19"/>
                <w:color w:val="231F20"/>
              </w:rPr>
              <w:t>PrimeRevenue, Inc. - Revolver</w:t>
            </w:r>
          </w:p>
        </w:tc>
        <w:tc>
          <w:tcPr>
            <w:tcW w:w="120" w:type="dxa"/>
            <w:vAlign w:val="bottom"/>
            <w:shd w:val="clear" w:color="auto" w:fill="FDFDFC"/>
          </w:tcPr>
          <w:p>
            <w:pPr>
              <w:spacing w:after="0"/>
              <w:rPr>
                <w:sz w:val="20"/>
                <w:szCs w:val="20"/>
                <w:color w:val="auto"/>
              </w:rPr>
            </w:pPr>
          </w:p>
        </w:tc>
        <w:tc>
          <w:tcPr>
            <w:tcW w:w="700" w:type="dxa"/>
            <w:vAlign w:val="bottom"/>
            <w:shd w:val="clear" w:color="auto" w:fill="FDFDFC"/>
          </w:tcPr>
          <w:p>
            <w:pPr>
              <w:spacing w:after="0"/>
              <w:rPr>
                <w:sz w:val="20"/>
                <w:szCs w:val="20"/>
                <w:color w:val="auto"/>
              </w:rPr>
            </w:pPr>
          </w:p>
        </w:tc>
        <w:tc>
          <w:tcPr>
            <w:tcW w:w="1040" w:type="dxa"/>
            <w:vAlign w:val="bottom"/>
            <w:shd w:val="clear" w:color="auto" w:fill="FDFDFC"/>
          </w:tcPr>
          <w:p>
            <w:pPr>
              <w:jc w:val="right"/>
              <w:spacing w:after="0"/>
              <w:rPr>
                <w:sz w:val="20"/>
                <w:szCs w:val="20"/>
                <w:color w:val="auto"/>
              </w:rPr>
            </w:pPr>
            <w:r>
              <w:rPr>
                <w:rFonts w:ascii="Times New Roman" w:cs="Times New Roman" w:eastAsia="Times New Roman" w:hAnsi="Times New Roman"/>
                <w:sz w:val="19"/>
                <w:szCs w:val="19"/>
                <w:color w:val="231F20"/>
              </w:rPr>
              <w:t>6.3</w:t>
            </w:r>
          </w:p>
        </w:tc>
        <w:tc>
          <w:tcPr>
            <w:tcW w:w="220" w:type="dxa"/>
            <w:vAlign w:val="bottom"/>
            <w:shd w:val="clear" w:color="auto" w:fill="FDFDFC"/>
          </w:tcPr>
          <w:p>
            <w:pPr>
              <w:spacing w:after="0"/>
              <w:rPr>
                <w:sz w:val="20"/>
                <w:szCs w:val="20"/>
                <w:color w:val="auto"/>
              </w:rPr>
            </w:pPr>
          </w:p>
        </w:tc>
        <w:tc>
          <w:tcPr>
            <w:tcW w:w="740" w:type="dxa"/>
            <w:vAlign w:val="bottom"/>
            <w:shd w:val="clear" w:color="auto" w:fill="FDFDFC"/>
          </w:tcPr>
          <w:p>
            <w:pPr>
              <w:spacing w:after="0"/>
              <w:rPr>
                <w:sz w:val="20"/>
                <w:szCs w:val="20"/>
                <w:color w:val="auto"/>
              </w:rPr>
            </w:pPr>
          </w:p>
        </w:tc>
        <w:tc>
          <w:tcPr>
            <w:tcW w:w="1120" w:type="dxa"/>
            <w:vAlign w:val="bottom"/>
            <w:shd w:val="clear" w:color="auto" w:fill="FDFDFC"/>
          </w:tcPr>
          <w:p>
            <w:pPr>
              <w:jc w:val="right"/>
              <w:spacing w:after="0"/>
              <w:rPr>
                <w:sz w:val="20"/>
                <w:szCs w:val="20"/>
                <w:color w:val="auto"/>
              </w:rPr>
            </w:pPr>
            <w:r>
              <w:rPr>
                <w:rFonts w:ascii="Times New Roman" w:cs="Times New Roman" w:eastAsia="Times New Roman" w:hAnsi="Times New Roman"/>
                <w:sz w:val="19"/>
                <w:szCs w:val="19"/>
                <w:color w:val="231F20"/>
              </w:rPr>
              <w:t>6.3</w:t>
            </w:r>
          </w:p>
        </w:tc>
        <w:tc>
          <w:tcPr>
            <w:tcW w:w="80" w:type="dxa"/>
            <w:vAlign w:val="bottom"/>
            <w:shd w:val="clear" w:color="auto" w:fill="FDFD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860" w:type="dxa"/>
            <w:vAlign w:val="bottom"/>
            <w:shd w:val="clear" w:color="auto" w:fill="D0EBF2"/>
          </w:tcPr>
          <w:p>
            <w:pPr>
              <w:spacing w:after="0"/>
              <w:rPr>
                <w:sz w:val="20"/>
                <w:szCs w:val="20"/>
                <w:color w:val="auto"/>
              </w:rPr>
            </w:pPr>
            <w:r>
              <w:rPr>
                <w:rFonts w:ascii="Times New Roman" w:cs="Times New Roman" w:eastAsia="Times New Roman" w:hAnsi="Times New Roman"/>
                <w:sz w:val="19"/>
                <w:szCs w:val="19"/>
                <w:color w:val="231F20"/>
              </w:rPr>
              <w:t>Project44, Inc. - Delayed Draw</w:t>
            </w:r>
          </w:p>
        </w:tc>
        <w:tc>
          <w:tcPr>
            <w:tcW w:w="120" w:type="dxa"/>
            <w:vAlign w:val="bottom"/>
            <w:shd w:val="clear" w:color="auto" w:fill="D0EBF2"/>
          </w:tcPr>
          <w:p>
            <w:pPr>
              <w:spacing w:after="0"/>
              <w:rPr>
                <w:sz w:val="20"/>
                <w:szCs w:val="20"/>
                <w:color w:val="auto"/>
              </w:rPr>
            </w:pPr>
          </w:p>
        </w:tc>
        <w:tc>
          <w:tcPr>
            <w:tcW w:w="700" w:type="dxa"/>
            <w:vAlign w:val="bottom"/>
            <w:shd w:val="clear" w:color="auto" w:fill="D0EBF2"/>
          </w:tcPr>
          <w:p>
            <w:pPr>
              <w:spacing w:after="0"/>
              <w:rPr>
                <w:sz w:val="20"/>
                <w:szCs w:val="20"/>
                <w:color w:val="auto"/>
              </w:rPr>
            </w:pPr>
          </w:p>
        </w:tc>
        <w:tc>
          <w:tcPr>
            <w:tcW w:w="1040" w:type="dxa"/>
            <w:vAlign w:val="bottom"/>
            <w:shd w:val="clear" w:color="auto" w:fill="D0EBF2"/>
          </w:tcPr>
          <w:p>
            <w:pPr>
              <w:jc w:val="right"/>
              <w:spacing w:after="0"/>
              <w:rPr>
                <w:sz w:val="20"/>
                <w:szCs w:val="20"/>
                <w:color w:val="auto"/>
              </w:rPr>
            </w:pPr>
            <w:r>
              <w:rPr>
                <w:rFonts w:ascii="Times New Roman" w:cs="Times New Roman" w:eastAsia="Times New Roman" w:hAnsi="Times New Roman"/>
                <w:sz w:val="19"/>
                <w:szCs w:val="19"/>
                <w:color w:val="231F20"/>
              </w:rPr>
              <w:t>—</w:t>
            </w:r>
          </w:p>
        </w:tc>
        <w:tc>
          <w:tcPr>
            <w:tcW w:w="220" w:type="dxa"/>
            <w:vAlign w:val="bottom"/>
            <w:shd w:val="clear" w:color="auto" w:fill="D0EBF2"/>
          </w:tcPr>
          <w:p>
            <w:pPr>
              <w:spacing w:after="0"/>
              <w:rPr>
                <w:sz w:val="20"/>
                <w:szCs w:val="20"/>
                <w:color w:val="auto"/>
              </w:rPr>
            </w:pPr>
          </w:p>
        </w:tc>
        <w:tc>
          <w:tcPr>
            <w:tcW w:w="740" w:type="dxa"/>
            <w:vAlign w:val="bottom"/>
            <w:shd w:val="clear" w:color="auto" w:fill="D0EBF2"/>
          </w:tcPr>
          <w:p>
            <w:pPr>
              <w:spacing w:after="0"/>
              <w:rPr>
                <w:sz w:val="20"/>
                <w:szCs w:val="20"/>
                <w:color w:val="auto"/>
              </w:rPr>
            </w:pPr>
          </w:p>
        </w:tc>
        <w:tc>
          <w:tcPr>
            <w:tcW w:w="1120" w:type="dxa"/>
            <w:vAlign w:val="bottom"/>
            <w:shd w:val="clear" w:color="auto" w:fill="D0EBF2"/>
          </w:tcPr>
          <w:p>
            <w:pPr>
              <w:jc w:val="right"/>
              <w:spacing w:after="0"/>
              <w:rPr>
                <w:sz w:val="20"/>
                <w:szCs w:val="20"/>
                <w:color w:val="auto"/>
              </w:rPr>
            </w:pPr>
            <w:r>
              <w:rPr>
                <w:rFonts w:ascii="Times New Roman" w:cs="Times New Roman" w:eastAsia="Times New Roman" w:hAnsi="Times New Roman"/>
                <w:sz w:val="19"/>
                <w:szCs w:val="19"/>
                <w:color w:val="231F20"/>
              </w:rPr>
              <w:t>19.9</w:t>
            </w:r>
          </w:p>
        </w:tc>
        <w:tc>
          <w:tcPr>
            <w:tcW w:w="80" w:type="dxa"/>
            <w:vAlign w:val="bottom"/>
            <w:shd w:val="clear" w:color="auto" w:fill="D0EBF2"/>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860" w:type="dxa"/>
            <w:vAlign w:val="bottom"/>
            <w:shd w:val="clear" w:color="auto" w:fill="FDFDFC"/>
          </w:tcPr>
          <w:p>
            <w:pPr>
              <w:spacing w:after="0"/>
              <w:rPr>
                <w:sz w:val="20"/>
                <w:szCs w:val="20"/>
                <w:color w:val="auto"/>
              </w:rPr>
            </w:pPr>
            <w:r>
              <w:rPr>
                <w:rFonts w:ascii="Times New Roman" w:cs="Times New Roman" w:eastAsia="Times New Roman" w:hAnsi="Times New Roman"/>
                <w:sz w:val="19"/>
                <w:szCs w:val="19"/>
                <w:color w:val="231F20"/>
              </w:rPr>
              <w:t>QSR Acquisition Co. - Delayed Draw</w:t>
            </w:r>
          </w:p>
        </w:tc>
        <w:tc>
          <w:tcPr>
            <w:tcW w:w="120" w:type="dxa"/>
            <w:vAlign w:val="bottom"/>
            <w:shd w:val="clear" w:color="auto" w:fill="FDFDFC"/>
          </w:tcPr>
          <w:p>
            <w:pPr>
              <w:spacing w:after="0"/>
              <w:rPr>
                <w:sz w:val="20"/>
                <w:szCs w:val="20"/>
                <w:color w:val="auto"/>
              </w:rPr>
            </w:pPr>
          </w:p>
        </w:tc>
        <w:tc>
          <w:tcPr>
            <w:tcW w:w="700" w:type="dxa"/>
            <w:vAlign w:val="bottom"/>
            <w:shd w:val="clear" w:color="auto" w:fill="FDFDFC"/>
          </w:tcPr>
          <w:p>
            <w:pPr>
              <w:spacing w:after="0"/>
              <w:rPr>
                <w:sz w:val="20"/>
                <w:szCs w:val="20"/>
                <w:color w:val="auto"/>
              </w:rPr>
            </w:pPr>
          </w:p>
        </w:tc>
        <w:tc>
          <w:tcPr>
            <w:tcW w:w="1040" w:type="dxa"/>
            <w:vAlign w:val="bottom"/>
            <w:shd w:val="clear" w:color="auto" w:fill="FDFDFC"/>
          </w:tcPr>
          <w:p>
            <w:pPr>
              <w:jc w:val="right"/>
              <w:spacing w:after="0"/>
              <w:rPr>
                <w:sz w:val="20"/>
                <w:szCs w:val="20"/>
                <w:color w:val="auto"/>
              </w:rPr>
            </w:pPr>
            <w:r>
              <w:rPr>
                <w:rFonts w:ascii="Times New Roman" w:cs="Times New Roman" w:eastAsia="Times New Roman" w:hAnsi="Times New Roman"/>
                <w:sz w:val="19"/>
                <w:szCs w:val="19"/>
                <w:color w:val="231F20"/>
              </w:rPr>
              <w:t>15.0</w:t>
            </w:r>
          </w:p>
        </w:tc>
        <w:tc>
          <w:tcPr>
            <w:tcW w:w="220" w:type="dxa"/>
            <w:vAlign w:val="bottom"/>
            <w:shd w:val="clear" w:color="auto" w:fill="FDFDFC"/>
          </w:tcPr>
          <w:p>
            <w:pPr>
              <w:spacing w:after="0"/>
              <w:rPr>
                <w:sz w:val="20"/>
                <w:szCs w:val="20"/>
                <w:color w:val="auto"/>
              </w:rPr>
            </w:pPr>
          </w:p>
        </w:tc>
        <w:tc>
          <w:tcPr>
            <w:tcW w:w="740" w:type="dxa"/>
            <w:vAlign w:val="bottom"/>
            <w:shd w:val="clear" w:color="auto" w:fill="FDFDFC"/>
          </w:tcPr>
          <w:p>
            <w:pPr>
              <w:spacing w:after="0"/>
              <w:rPr>
                <w:sz w:val="20"/>
                <w:szCs w:val="20"/>
                <w:color w:val="auto"/>
              </w:rPr>
            </w:pPr>
          </w:p>
        </w:tc>
        <w:tc>
          <w:tcPr>
            <w:tcW w:w="1200" w:type="dxa"/>
            <w:vAlign w:val="bottom"/>
            <w:gridSpan w:val="2"/>
            <w:shd w:val="clear" w:color="auto" w:fill="FDFDFC"/>
          </w:tcPr>
          <w:p>
            <w:pPr>
              <w:jc w:val="right"/>
              <w:ind w:right="120"/>
              <w:spacing w:after="0"/>
              <w:rPr>
                <w:sz w:val="20"/>
                <w:szCs w:val="20"/>
                <w:color w:val="auto"/>
              </w:rPr>
            </w:pPr>
            <w:r>
              <w:rPr>
                <w:rFonts w:ascii="Times New Roman" w:cs="Times New Roman" w:eastAsia="Times New Roman" w:hAnsi="Times New Roman"/>
                <w:sz w:val="19"/>
                <w:szCs w:val="19"/>
                <w:color w:val="231F20"/>
              </w:rPr>
              <w:t>—</w:t>
            </w:r>
          </w:p>
        </w:tc>
        <w:tc>
          <w:tcPr>
            <w:tcW w:w="0" w:type="dxa"/>
            <w:vAlign w:val="bottom"/>
          </w:tcPr>
          <w:p>
            <w:pPr>
              <w:spacing w:after="0"/>
              <w:rPr>
                <w:sz w:val="1"/>
                <w:szCs w:val="1"/>
                <w:color w:val="auto"/>
              </w:rPr>
            </w:pPr>
          </w:p>
        </w:tc>
      </w:tr>
      <w:tr>
        <w:trPr>
          <w:trHeight w:val="210"/>
        </w:trPr>
        <w:tc>
          <w:tcPr>
            <w:tcW w:w="4860" w:type="dxa"/>
            <w:vAlign w:val="bottom"/>
            <w:shd w:val="clear" w:color="auto" w:fill="D0EBF2"/>
          </w:tcPr>
          <w:p>
            <w:pPr>
              <w:spacing w:after="0" w:line="211" w:lineRule="exact"/>
              <w:rPr>
                <w:sz w:val="20"/>
                <w:szCs w:val="20"/>
                <w:color w:val="auto"/>
              </w:rPr>
            </w:pPr>
            <w:r>
              <w:rPr>
                <w:rFonts w:ascii="Times New Roman" w:cs="Times New Roman" w:eastAsia="Times New Roman" w:hAnsi="Times New Roman"/>
                <w:sz w:val="19"/>
                <w:szCs w:val="19"/>
                <w:color w:val="231F20"/>
              </w:rPr>
              <w:t>Rapid Data GmbH Unternehmensberatung - Delayed Draw &amp;</w:t>
            </w:r>
          </w:p>
        </w:tc>
        <w:tc>
          <w:tcPr>
            <w:tcW w:w="120" w:type="dxa"/>
            <w:vAlign w:val="bottom"/>
            <w:shd w:val="clear" w:color="auto" w:fill="D0EBF2"/>
          </w:tcPr>
          <w:p>
            <w:pPr>
              <w:spacing w:after="0"/>
              <w:rPr>
                <w:sz w:val="18"/>
                <w:szCs w:val="18"/>
                <w:color w:val="auto"/>
              </w:rPr>
            </w:pPr>
          </w:p>
        </w:tc>
        <w:tc>
          <w:tcPr>
            <w:tcW w:w="700" w:type="dxa"/>
            <w:vAlign w:val="bottom"/>
            <w:shd w:val="clear" w:color="auto" w:fill="D0EBF2"/>
          </w:tcPr>
          <w:p>
            <w:pPr>
              <w:spacing w:after="0"/>
              <w:rPr>
                <w:sz w:val="18"/>
                <w:szCs w:val="18"/>
                <w:color w:val="auto"/>
              </w:rPr>
            </w:pPr>
          </w:p>
        </w:tc>
        <w:tc>
          <w:tcPr>
            <w:tcW w:w="1040" w:type="dxa"/>
            <w:vAlign w:val="bottom"/>
            <w:vMerge w:val="restart"/>
            <w:shd w:val="clear" w:color="auto" w:fill="D0EBF2"/>
          </w:tcPr>
          <w:p>
            <w:pPr>
              <w:jc w:val="right"/>
              <w:spacing w:after="0"/>
              <w:rPr>
                <w:sz w:val="20"/>
                <w:szCs w:val="20"/>
                <w:color w:val="auto"/>
              </w:rPr>
            </w:pPr>
            <w:r>
              <w:rPr>
                <w:rFonts w:ascii="Times New Roman" w:cs="Times New Roman" w:eastAsia="Times New Roman" w:hAnsi="Times New Roman"/>
                <w:sz w:val="19"/>
                <w:szCs w:val="19"/>
                <w:color w:val="231F20"/>
              </w:rPr>
              <w:t>1.4</w:t>
            </w:r>
          </w:p>
        </w:tc>
        <w:tc>
          <w:tcPr>
            <w:tcW w:w="220" w:type="dxa"/>
            <w:vAlign w:val="bottom"/>
            <w:shd w:val="clear" w:color="auto" w:fill="D0EBF2"/>
          </w:tcPr>
          <w:p>
            <w:pPr>
              <w:spacing w:after="0"/>
              <w:rPr>
                <w:sz w:val="18"/>
                <w:szCs w:val="18"/>
                <w:color w:val="auto"/>
              </w:rPr>
            </w:pPr>
          </w:p>
        </w:tc>
        <w:tc>
          <w:tcPr>
            <w:tcW w:w="740" w:type="dxa"/>
            <w:vAlign w:val="bottom"/>
            <w:shd w:val="clear" w:color="auto" w:fill="D0EBF2"/>
          </w:tcPr>
          <w:p>
            <w:pPr>
              <w:spacing w:after="0"/>
              <w:rPr>
                <w:sz w:val="18"/>
                <w:szCs w:val="18"/>
                <w:color w:val="auto"/>
              </w:rPr>
            </w:pPr>
          </w:p>
        </w:tc>
        <w:tc>
          <w:tcPr>
            <w:tcW w:w="1120" w:type="dxa"/>
            <w:vAlign w:val="bottom"/>
            <w:vMerge w:val="restart"/>
            <w:shd w:val="clear" w:color="auto" w:fill="D0EBF2"/>
          </w:tcPr>
          <w:p>
            <w:pPr>
              <w:jc w:val="right"/>
              <w:spacing w:after="0"/>
              <w:rPr>
                <w:sz w:val="20"/>
                <w:szCs w:val="20"/>
                <w:color w:val="auto"/>
              </w:rPr>
            </w:pPr>
            <w:r>
              <w:rPr>
                <w:rFonts w:ascii="Times New Roman" w:cs="Times New Roman" w:eastAsia="Times New Roman" w:hAnsi="Times New Roman"/>
                <w:sz w:val="19"/>
                <w:szCs w:val="19"/>
                <w:color w:val="231F20"/>
              </w:rPr>
              <w:t>6.3</w:t>
            </w:r>
          </w:p>
        </w:tc>
        <w:tc>
          <w:tcPr>
            <w:tcW w:w="80" w:type="dxa"/>
            <w:vAlign w:val="bottom"/>
            <w:shd w:val="clear" w:color="auto" w:fill="D0EBF2"/>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4860" w:type="dxa"/>
            <w:vAlign w:val="bottom"/>
            <w:shd w:val="clear" w:color="auto" w:fill="D0EBF2"/>
          </w:tcPr>
          <w:p>
            <w:pPr>
              <w:spacing w:after="0"/>
              <w:rPr>
                <w:sz w:val="20"/>
                <w:szCs w:val="20"/>
                <w:color w:val="auto"/>
              </w:rPr>
            </w:pPr>
            <w:r>
              <w:rPr>
                <w:rFonts w:ascii="Times New Roman" w:cs="Times New Roman" w:eastAsia="Times New Roman" w:hAnsi="Times New Roman"/>
                <w:sz w:val="19"/>
                <w:szCs w:val="19"/>
                <w:color w:val="231F20"/>
              </w:rPr>
              <w:t>Revolver</w:t>
            </w:r>
          </w:p>
        </w:tc>
        <w:tc>
          <w:tcPr>
            <w:tcW w:w="120" w:type="dxa"/>
            <w:vAlign w:val="bottom"/>
            <w:shd w:val="clear" w:color="auto" w:fill="D0EBF2"/>
          </w:tcPr>
          <w:p>
            <w:pPr>
              <w:spacing w:after="0"/>
              <w:rPr>
                <w:sz w:val="20"/>
                <w:szCs w:val="20"/>
                <w:color w:val="auto"/>
              </w:rPr>
            </w:pPr>
          </w:p>
        </w:tc>
        <w:tc>
          <w:tcPr>
            <w:tcW w:w="700" w:type="dxa"/>
            <w:vAlign w:val="bottom"/>
            <w:shd w:val="clear" w:color="auto" w:fill="D0EBF2"/>
          </w:tcPr>
          <w:p>
            <w:pPr>
              <w:spacing w:after="0"/>
              <w:rPr>
                <w:sz w:val="20"/>
                <w:szCs w:val="20"/>
                <w:color w:val="auto"/>
              </w:rPr>
            </w:pPr>
          </w:p>
        </w:tc>
        <w:tc>
          <w:tcPr>
            <w:tcW w:w="1040" w:type="dxa"/>
            <w:vAlign w:val="bottom"/>
            <w:vMerge w:val="continue"/>
            <w:shd w:val="clear" w:color="auto" w:fill="D0EBF2"/>
          </w:tcPr>
          <w:p>
            <w:pPr>
              <w:spacing w:after="0"/>
              <w:rPr>
                <w:sz w:val="20"/>
                <w:szCs w:val="20"/>
                <w:color w:val="auto"/>
              </w:rPr>
            </w:pPr>
          </w:p>
        </w:tc>
        <w:tc>
          <w:tcPr>
            <w:tcW w:w="220" w:type="dxa"/>
            <w:vAlign w:val="bottom"/>
            <w:shd w:val="clear" w:color="auto" w:fill="D0EBF2"/>
          </w:tcPr>
          <w:p>
            <w:pPr>
              <w:spacing w:after="0"/>
              <w:rPr>
                <w:sz w:val="20"/>
                <w:szCs w:val="20"/>
                <w:color w:val="auto"/>
              </w:rPr>
            </w:pPr>
          </w:p>
        </w:tc>
        <w:tc>
          <w:tcPr>
            <w:tcW w:w="740" w:type="dxa"/>
            <w:vAlign w:val="bottom"/>
            <w:shd w:val="clear" w:color="auto" w:fill="D0EBF2"/>
          </w:tcPr>
          <w:p>
            <w:pPr>
              <w:spacing w:after="0"/>
              <w:rPr>
                <w:sz w:val="20"/>
                <w:szCs w:val="20"/>
                <w:color w:val="auto"/>
              </w:rPr>
            </w:pPr>
          </w:p>
        </w:tc>
        <w:tc>
          <w:tcPr>
            <w:tcW w:w="1120" w:type="dxa"/>
            <w:vAlign w:val="bottom"/>
            <w:vMerge w:val="continue"/>
            <w:shd w:val="clear" w:color="auto" w:fill="D0EBF2"/>
          </w:tcPr>
          <w:p>
            <w:pPr>
              <w:spacing w:after="0"/>
              <w:rPr>
                <w:sz w:val="20"/>
                <w:szCs w:val="20"/>
                <w:color w:val="auto"/>
              </w:rPr>
            </w:pPr>
          </w:p>
        </w:tc>
        <w:tc>
          <w:tcPr>
            <w:tcW w:w="80" w:type="dxa"/>
            <w:vAlign w:val="bottom"/>
            <w:shd w:val="clear" w:color="auto" w:fill="D0EBF2"/>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860" w:type="dxa"/>
            <w:vAlign w:val="bottom"/>
            <w:shd w:val="clear" w:color="auto" w:fill="FDFDFC"/>
          </w:tcPr>
          <w:p>
            <w:pPr>
              <w:spacing w:after="0"/>
              <w:rPr>
                <w:sz w:val="20"/>
                <w:szCs w:val="20"/>
                <w:color w:val="auto"/>
              </w:rPr>
            </w:pPr>
            <w:r>
              <w:rPr>
                <w:rFonts w:ascii="Times New Roman" w:cs="Times New Roman" w:eastAsia="Times New Roman" w:hAnsi="Times New Roman"/>
                <w:sz w:val="19"/>
                <w:szCs w:val="19"/>
                <w:color w:val="231F20"/>
              </w:rPr>
              <w:t>Raptor US Buyer II Corp. - Revolver</w:t>
            </w:r>
          </w:p>
        </w:tc>
        <w:tc>
          <w:tcPr>
            <w:tcW w:w="120" w:type="dxa"/>
            <w:vAlign w:val="bottom"/>
            <w:shd w:val="clear" w:color="auto" w:fill="FDFDFC"/>
          </w:tcPr>
          <w:p>
            <w:pPr>
              <w:spacing w:after="0"/>
              <w:rPr>
                <w:sz w:val="20"/>
                <w:szCs w:val="20"/>
                <w:color w:val="auto"/>
              </w:rPr>
            </w:pPr>
          </w:p>
        </w:tc>
        <w:tc>
          <w:tcPr>
            <w:tcW w:w="700" w:type="dxa"/>
            <w:vAlign w:val="bottom"/>
            <w:shd w:val="clear" w:color="auto" w:fill="FDFDFC"/>
          </w:tcPr>
          <w:p>
            <w:pPr>
              <w:spacing w:after="0"/>
              <w:rPr>
                <w:sz w:val="20"/>
                <w:szCs w:val="20"/>
                <w:color w:val="auto"/>
              </w:rPr>
            </w:pPr>
          </w:p>
        </w:tc>
        <w:tc>
          <w:tcPr>
            <w:tcW w:w="1040" w:type="dxa"/>
            <w:vAlign w:val="bottom"/>
            <w:shd w:val="clear" w:color="auto" w:fill="FDFDFC"/>
          </w:tcPr>
          <w:p>
            <w:pPr>
              <w:jc w:val="right"/>
              <w:spacing w:after="0"/>
              <w:rPr>
                <w:sz w:val="20"/>
                <w:szCs w:val="20"/>
                <w:color w:val="auto"/>
              </w:rPr>
            </w:pPr>
            <w:r>
              <w:rPr>
                <w:rFonts w:ascii="Times New Roman" w:cs="Times New Roman" w:eastAsia="Times New Roman" w:hAnsi="Times New Roman"/>
                <w:sz w:val="19"/>
                <w:szCs w:val="19"/>
                <w:color w:val="231F20"/>
              </w:rPr>
              <w:t>0.7</w:t>
            </w:r>
          </w:p>
        </w:tc>
        <w:tc>
          <w:tcPr>
            <w:tcW w:w="220" w:type="dxa"/>
            <w:vAlign w:val="bottom"/>
            <w:shd w:val="clear" w:color="auto" w:fill="FDFDFC"/>
          </w:tcPr>
          <w:p>
            <w:pPr>
              <w:spacing w:after="0"/>
              <w:rPr>
                <w:sz w:val="20"/>
                <w:szCs w:val="20"/>
                <w:color w:val="auto"/>
              </w:rPr>
            </w:pPr>
          </w:p>
        </w:tc>
        <w:tc>
          <w:tcPr>
            <w:tcW w:w="740" w:type="dxa"/>
            <w:vAlign w:val="bottom"/>
            <w:shd w:val="clear" w:color="auto" w:fill="FDFDFC"/>
          </w:tcPr>
          <w:p>
            <w:pPr>
              <w:spacing w:after="0"/>
              <w:rPr>
                <w:sz w:val="20"/>
                <w:szCs w:val="20"/>
                <w:color w:val="auto"/>
              </w:rPr>
            </w:pPr>
          </w:p>
        </w:tc>
        <w:tc>
          <w:tcPr>
            <w:tcW w:w="1200" w:type="dxa"/>
            <w:vAlign w:val="bottom"/>
            <w:gridSpan w:val="2"/>
            <w:shd w:val="clear" w:color="auto" w:fill="FDFDFC"/>
          </w:tcPr>
          <w:p>
            <w:pPr>
              <w:jc w:val="right"/>
              <w:ind w:right="120"/>
              <w:spacing w:after="0"/>
              <w:rPr>
                <w:sz w:val="20"/>
                <w:szCs w:val="20"/>
                <w:color w:val="auto"/>
              </w:rPr>
            </w:pPr>
            <w:r>
              <w:rPr>
                <w:rFonts w:ascii="Times New Roman" w:cs="Times New Roman" w:eastAsia="Times New Roman" w:hAnsi="Times New Roman"/>
                <w:sz w:val="19"/>
                <w:szCs w:val="19"/>
                <w:color w:val="231F20"/>
              </w:rPr>
              <w:t>—</w:t>
            </w:r>
          </w:p>
        </w:tc>
        <w:tc>
          <w:tcPr>
            <w:tcW w:w="0" w:type="dxa"/>
            <w:vAlign w:val="bottom"/>
          </w:tcPr>
          <w:p>
            <w:pPr>
              <w:spacing w:after="0"/>
              <w:rPr>
                <w:sz w:val="1"/>
                <w:szCs w:val="1"/>
                <w:color w:val="auto"/>
              </w:rPr>
            </w:pPr>
          </w:p>
        </w:tc>
      </w:tr>
      <w:tr>
        <w:trPr>
          <w:trHeight w:val="230"/>
        </w:trPr>
        <w:tc>
          <w:tcPr>
            <w:tcW w:w="4860" w:type="dxa"/>
            <w:vAlign w:val="bottom"/>
            <w:shd w:val="clear" w:color="auto" w:fill="D0EBF2"/>
          </w:tcPr>
          <w:p>
            <w:pPr>
              <w:spacing w:after="0"/>
              <w:rPr>
                <w:sz w:val="20"/>
                <w:szCs w:val="20"/>
                <w:color w:val="auto"/>
              </w:rPr>
            </w:pPr>
            <w:r>
              <w:rPr>
                <w:rFonts w:ascii="Times New Roman" w:cs="Times New Roman" w:eastAsia="Times New Roman" w:hAnsi="Times New Roman"/>
                <w:sz w:val="19"/>
                <w:szCs w:val="19"/>
                <w:color w:val="231F20"/>
              </w:rPr>
              <w:t>ReliaQuest Holdings, LLC - Delayed Draw &amp; Equity</w:t>
            </w:r>
          </w:p>
        </w:tc>
        <w:tc>
          <w:tcPr>
            <w:tcW w:w="120" w:type="dxa"/>
            <w:vAlign w:val="bottom"/>
            <w:shd w:val="clear" w:color="auto" w:fill="D0EBF2"/>
          </w:tcPr>
          <w:p>
            <w:pPr>
              <w:spacing w:after="0"/>
              <w:rPr>
                <w:sz w:val="20"/>
                <w:szCs w:val="20"/>
                <w:color w:val="auto"/>
              </w:rPr>
            </w:pPr>
          </w:p>
        </w:tc>
        <w:tc>
          <w:tcPr>
            <w:tcW w:w="700" w:type="dxa"/>
            <w:vAlign w:val="bottom"/>
            <w:shd w:val="clear" w:color="auto" w:fill="D0EBF2"/>
          </w:tcPr>
          <w:p>
            <w:pPr>
              <w:spacing w:after="0"/>
              <w:rPr>
                <w:sz w:val="20"/>
                <w:szCs w:val="20"/>
                <w:color w:val="auto"/>
              </w:rPr>
            </w:pPr>
          </w:p>
        </w:tc>
        <w:tc>
          <w:tcPr>
            <w:tcW w:w="1040" w:type="dxa"/>
            <w:vAlign w:val="bottom"/>
            <w:shd w:val="clear" w:color="auto" w:fill="D0EBF2"/>
          </w:tcPr>
          <w:p>
            <w:pPr>
              <w:jc w:val="right"/>
              <w:spacing w:after="0"/>
              <w:rPr>
                <w:sz w:val="20"/>
                <w:szCs w:val="20"/>
                <w:color w:val="auto"/>
              </w:rPr>
            </w:pPr>
            <w:r>
              <w:rPr>
                <w:rFonts w:ascii="Times New Roman" w:cs="Times New Roman" w:eastAsia="Times New Roman" w:hAnsi="Times New Roman"/>
                <w:sz w:val="19"/>
                <w:szCs w:val="19"/>
                <w:color w:val="231F20"/>
              </w:rPr>
              <w:t>—</w:t>
            </w:r>
          </w:p>
        </w:tc>
        <w:tc>
          <w:tcPr>
            <w:tcW w:w="220" w:type="dxa"/>
            <w:vAlign w:val="bottom"/>
            <w:shd w:val="clear" w:color="auto" w:fill="D0EBF2"/>
          </w:tcPr>
          <w:p>
            <w:pPr>
              <w:spacing w:after="0"/>
              <w:rPr>
                <w:sz w:val="20"/>
                <w:szCs w:val="20"/>
                <w:color w:val="auto"/>
              </w:rPr>
            </w:pPr>
          </w:p>
        </w:tc>
        <w:tc>
          <w:tcPr>
            <w:tcW w:w="740" w:type="dxa"/>
            <w:vAlign w:val="bottom"/>
            <w:shd w:val="clear" w:color="auto" w:fill="D0EBF2"/>
          </w:tcPr>
          <w:p>
            <w:pPr>
              <w:spacing w:after="0"/>
              <w:rPr>
                <w:sz w:val="20"/>
                <w:szCs w:val="20"/>
                <w:color w:val="auto"/>
              </w:rPr>
            </w:pPr>
          </w:p>
        </w:tc>
        <w:tc>
          <w:tcPr>
            <w:tcW w:w="1120" w:type="dxa"/>
            <w:vAlign w:val="bottom"/>
            <w:shd w:val="clear" w:color="auto" w:fill="D0EBF2"/>
          </w:tcPr>
          <w:p>
            <w:pPr>
              <w:jc w:val="right"/>
              <w:spacing w:after="0"/>
              <w:rPr>
                <w:sz w:val="20"/>
                <w:szCs w:val="20"/>
                <w:color w:val="auto"/>
              </w:rPr>
            </w:pPr>
            <w:r>
              <w:rPr>
                <w:rFonts w:ascii="Times New Roman" w:cs="Times New Roman" w:eastAsia="Times New Roman" w:hAnsi="Times New Roman"/>
                <w:sz w:val="19"/>
                <w:szCs w:val="19"/>
                <w:color w:val="231F20"/>
              </w:rPr>
              <w:t>4.4</w:t>
            </w:r>
          </w:p>
        </w:tc>
        <w:tc>
          <w:tcPr>
            <w:tcW w:w="80" w:type="dxa"/>
            <w:vAlign w:val="bottom"/>
            <w:shd w:val="clear" w:color="auto" w:fill="D0EBF2"/>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860" w:type="dxa"/>
            <w:vAlign w:val="bottom"/>
            <w:shd w:val="clear" w:color="auto" w:fill="FDFDFC"/>
          </w:tcPr>
          <w:p>
            <w:pPr>
              <w:spacing w:after="0"/>
              <w:rPr>
                <w:sz w:val="20"/>
                <w:szCs w:val="20"/>
                <w:color w:val="auto"/>
              </w:rPr>
            </w:pPr>
            <w:r>
              <w:rPr>
                <w:rFonts w:ascii="Times New Roman" w:cs="Times New Roman" w:eastAsia="Times New Roman" w:hAnsi="Times New Roman"/>
                <w:sz w:val="19"/>
                <w:szCs w:val="19"/>
                <w:color w:val="231F20"/>
              </w:rPr>
              <w:t>Sapphire Software Buyer, Inc. - Revolver</w:t>
            </w:r>
          </w:p>
        </w:tc>
        <w:tc>
          <w:tcPr>
            <w:tcW w:w="120" w:type="dxa"/>
            <w:vAlign w:val="bottom"/>
            <w:shd w:val="clear" w:color="auto" w:fill="FDFDFC"/>
          </w:tcPr>
          <w:p>
            <w:pPr>
              <w:spacing w:after="0"/>
              <w:rPr>
                <w:sz w:val="20"/>
                <w:szCs w:val="20"/>
                <w:color w:val="auto"/>
              </w:rPr>
            </w:pPr>
          </w:p>
        </w:tc>
        <w:tc>
          <w:tcPr>
            <w:tcW w:w="700" w:type="dxa"/>
            <w:vAlign w:val="bottom"/>
            <w:shd w:val="clear" w:color="auto" w:fill="FDFDFC"/>
          </w:tcPr>
          <w:p>
            <w:pPr>
              <w:spacing w:after="0"/>
              <w:rPr>
                <w:sz w:val="20"/>
                <w:szCs w:val="20"/>
                <w:color w:val="auto"/>
              </w:rPr>
            </w:pPr>
          </w:p>
        </w:tc>
        <w:tc>
          <w:tcPr>
            <w:tcW w:w="1040" w:type="dxa"/>
            <w:vAlign w:val="bottom"/>
            <w:shd w:val="clear" w:color="auto" w:fill="FDFDFC"/>
          </w:tcPr>
          <w:p>
            <w:pPr>
              <w:jc w:val="right"/>
              <w:spacing w:after="0"/>
              <w:rPr>
                <w:sz w:val="20"/>
                <w:szCs w:val="20"/>
                <w:color w:val="auto"/>
              </w:rPr>
            </w:pPr>
            <w:r>
              <w:rPr>
                <w:rFonts w:ascii="Times New Roman" w:cs="Times New Roman" w:eastAsia="Times New Roman" w:hAnsi="Times New Roman"/>
                <w:sz w:val="19"/>
                <w:szCs w:val="19"/>
                <w:color w:val="231F20"/>
              </w:rPr>
              <w:t>3.2</w:t>
            </w:r>
          </w:p>
        </w:tc>
        <w:tc>
          <w:tcPr>
            <w:tcW w:w="220" w:type="dxa"/>
            <w:vAlign w:val="bottom"/>
            <w:shd w:val="clear" w:color="auto" w:fill="FDFDFC"/>
          </w:tcPr>
          <w:p>
            <w:pPr>
              <w:spacing w:after="0"/>
              <w:rPr>
                <w:sz w:val="20"/>
                <w:szCs w:val="20"/>
                <w:color w:val="auto"/>
              </w:rPr>
            </w:pPr>
          </w:p>
        </w:tc>
        <w:tc>
          <w:tcPr>
            <w:tcW w:w="740" w:type="dxa"/>
            <w:vAlign w:val="bottom"/>
            <w:shd w:val="clear" w:color="auto" w:fill="FDFDFC"/>
          </w:tcPr>
          <w:p>
            <w:pPr>
              <w:spacing w:after="0"/>
              <w:rPr>
                <w:sz w:val="20"/>
                <w:szCs w:val="20"/>
                <w:color w:val="auto"/>
              </w:rPr>
            </w:pPr>
          </w:p>
        </w:tc>
        <w:tc>
          <w:tcPr>
            <w:tcW w:w="1200" w:type="dxa"/>
            <w:vAlign w:val="bottom"/>
            <w:gridSpan w:val="2"/>
            <w:shd w:val="clear" w:color="auto" w:fill="FDFDFC"/>
          </w:tcPr>
          <w:p>
            <w:pPr>
              <w:jc w:val="right"/>
              <w:ind w:right="120"/>
              <w:spacing w:after="0"/>
              <w:rPr>
                <w:sz w:val="20"/>
                <w:szCs w:val="20"/>
                <w:color w:val="auto"/>
              </w:rPr>
            </w:pPr>
            <w:r>
              <w:rPr>
                <w:rFonts w:ascii="Times New Roman" w:cs="Times New Roman" w:eastAsia="Times New Roman" w:hAnsi="Times New Roman"/>
                <w:sz w:val="19"/>
                <w:szCs w:val="19"/>
                <w:color w:val="231F20"/>
              </w:rPr>
              <w:t>—</w:t>
            </w:r>
          </w:p>
        </w:tc>
        <w:tc>
          <w:tcPr>
            <w:tcW w:w="0" w:type="dxa"/>
            <w:vAlign w:val="bottom"/>
          </w:tcPr>
          <w:p>
            <w:pPr>
              <w:spacing w:after="0"/>
              <w:rPr>
                <w:sz w:val="1"/>
                <w:szCs w:val="1"/>
                <w:color w:val="auto"/>
              </w:rPr>
            </w:pPr>
          </w:p>
        </w:tc>
      </w:tr>
      <w:tr>
        <w:trPr>
          <w:trHeight w:val="230"/>
        </w:trPr>
        <w:tc>
          <w:tcPr>
            <w:tcW w:w="4860" w:type="dxa"/>
            <w:vAlign w:val="bottom"/>
            <w:shd w:val="clear" w:color="auto" w:fill="D0EBF2"/>
          </w:tcPr>
          <w:p>
            <w:pPr>
              <w:spacing w:after="0"/>
              <w:rPr>
                <w:sz w:val="20"/>
                <w:szCs w:val="20"/>
                <w:color w:val="auto"/>
              </w:rPr>
            </w:pPr>
            <w:r>
              <w:rPr>
                <w:rFonts w:ascii="Times New Roman" w:cs="Times New Roman" w:eastAsia="Times New Roman" w:hAnsi="Times New Roman"/>
                <w:sz w:val="19"/>
                <w:szCs w:val="19"/>
                <w:color w:val="231F20"/>
              </w:rPr>
              <w:t>Scorpio Bidco - Delayed Draw</w:t>
            </w:r>
          </w:p>
        </w:tc>
        <w:tc>
          <w:tcPr>
            <w:tcW w:w="120" w:type="dxa"/>
            <w:vAlign w:val="bottom"/>
            <w:shd w:val="clear" w:color="auto" w:fill="D0EBF2"/>
          </w:tcPr>
          <w:p>
            <w:pPr>
              <w:spacing w:after="0"/>
              <w:rPr>
                <w:sz w:val="20"/>
                <w:szCs w:val="20"/>
                <w:color w:val="auto"/>
              </w:rPr>
            </w:pPr>
          </w:p>
        </w:tc>
        <w:tc>
          <w:tcPr>
            <w:tcW w:w="700" w:type="dxa"/>
            <w:vAlign w:val="bottom"/>
            <w:shd w:val="clear" w:color="auto" w:fill="D0EBF2"/>
          </w:tcPr>
          <w:p>
            <w:pPr>
              <w:spacing w:after="0"/>
              <w:rPr>
                <w:sz w:val="20"/>
                <w:szCs w:val="20"/>
                <w:color w:val="auto"/>
              </w:rPr>
            </w:pPr>
          </w:p>
        </w:tc>
        <w:tc>
          <w:tcPr>
            <w:tcW w:w="1040" w:type="dxa"/>
            <w:vAlign w:val="bottom"/>
            <w:shd w:val="clear" w:color="auto" w:fill="D0EBF2"/>
          </w:tcPr>
          <w:p>
            <w:pPr>
              <w:jc w:val="right"/>
              <w:spacing w:after="0"/>
              <w:rPr>
                <w:sz w:val="20"/>
                <w:szCs w:val="20"/>
                <w:color w:val="auto"/>
              </w:rPr>
            </w:pPr>
            <w:r>
              <w:rPr>
                <w:rFonts w:ascii="Times New Roman" w:cs="Times New Roman" w:eastAsia="Times New Roman" w:hAnsi="Times New Roman"/>
                <w:sz w:val="19"/>
                <w:szCs w:val="19"/>
                <w:color w:val="231F20"/>
              </w:rPr>
              <w:t>0.5</w:t>
            </w:r>
          </w:p>
        </w:tc>
        <w:tc>
          <w:tcPr>
            <w:tcW w:w="220" w:type="dxa"/>
            <w:vAlign w:val="bottom"/>
            <w:shd w:val="clear" w:color="auto" w:fill="D0EBF2"/>
          </w:tcPr>
          <w:p>
            <w:pPr>
              <w:spacing w:after="0"/>
              <w:rPr>
                <w:sz w:val="20"/>
                <w:szCs w:val="20"/>
                <w:color w:val="auto"/>
              </w:rPr>
            </w:pPr>
          </w:p>
        </w:tc>
        <w:tc>
          <w:tcPr>
            <w:tcW w:w="740" w:type="dxa"/>
            <w:vAlign w:val="bottom"/>
            <w:shd w:val="clear" w:color="auto" w:fill="D0EBF2"/>
          </w:tcPr>
          <w:p>
            <w:pPr>
              <w:spacing w:after="0"/>
              <w:rPr>
                <w:sz w:val="20"/>
                <w:szCs w:val="20"/>
                <w:color w:val="auto"/>
              </w:rPr>
            </w:pPr>
          </w:p>
        </w:tc>
        <w:tc>
          <w:tcPr>
            <w:tcW w:w="1200" w:type="dxa"/>
            <w:vAlign w:val="bottom"/>
            <w:gridSpan w:val="2"/>
            <w:shd w:val="clear" w:color="auto" w:fill="D0EBF2"/>
          </w:tcPr>
          <w:p>
            <w:pPr>
              <w:jc w:val="right"/>
              <w:ind w:right="120"/>
              <w:spacing w:after="0"/>
              <w:rPr>
                <w:sz w:val="20"/>
                <w:szCs w:val="20"/>
                <w:color w:val="auto"/>
              </w:rPr>
            </w:pPr>
            <w:r>
              <w:rPr>
                <w:rFonts w:ascii="Times New Roman" w:cs="Times New Roman" w:eastAsia="Times New Roman" w:hAnsi="Times New Roman"/>
                <w:sz w:val="19"/>
                <w:szCs w:val="19"/>
                <w:color w:val="231F20"/>
              </w:rPr>
              <w:t>—</w:t>
            </w:r>
          </w:p>
        </w:tc>
        <w:tc>
          <w:tcPr>
            <w:tcW w:w="0" w:type="dxa"/>
            <w:vAlign w:val="bottom"/>
          </w:tcPr>
          <w:p>
            <w:pPr>
              <w:spacing w:after="0"/>
              <w:rPr>
                <w:sz w:val="1"/>
                <w:szCs w:val="1"/>
                <w:color w:val="auto"/>
              </w:rPr>
            </w:pPr>
          </w:p>
        </w:tc>
      </w:tr>
      <w:tr>
        <w:trPr>
          <w:trHeight w:val="230"/>
        </w:trPr>
        <w:tc>
          <w:tcPr>
            <w:tcW w:w="4860" w:type="dxa"/>
            <w:vAlign w:val="bottom"/>
            <w:shd w:val="clear" w:color="auto" w:fill="FDFDFC"/>
          </w:tcPr>
          <w:p>
            <w:pPr>
              <w:spacing w:after="0"/>
              <w:rPr>
                <w:sz w:val="20"/>
                <w:szCs w:val="20"/>
                <w:color w:val="auto"/>
              </w:rPr>
            </w:pPr>
            <w:r>
              <w:rPr>
                <w:rFonts w:ascii="Times New Roman" w:cs="Times New Roman" w:eastAsia="Times New Roman" w:hAnsi="Times New Roman"/>
                <w:sz w:val="19"/>
                <w:szCs w:val="19"/>
                <w:color w:val="231F20"/>
              </w:rPr>
              <w:t>Severin Acquisition, LLC - Delayed Draw &amp; Revolver</w:t>
            </w:r>
          </w:p>
        </w:tc>
        <w:tc>
          <w:tcPr>
            <w:tcW w:w="120" w:type="dxa"/>
            <w:vAlign w:val="bottom"/>
            <w:shd w:val="clear" w:color="auto" w:fill="FDFDFC"/>
          </w:tcPr>
          <w:p>
            <w:pPr>
              <w:spacing w:after="0"/>
              <w:rPr>
                <w:sz w:val="20"/>
                <w:szCs w:val="20"/>
                <w:color w:val="auto"/>
              </w:rPr>
            </w:pPr>
          </w:p>
        </w:tc>
        <w:tc>
          <w:tcPr>
            <w:tcW w:w="700" w:type="dxa"/>
            <w:vAlign w:val="bottom"/>
            <w:shd w:val="clear" w:color="auto" w:fill="FDFDFC"/>
          </w:tcPr>
          <w:p>
            <w:pPr>
              <w:spacing w:after="0"/>
              <w:rPr>
                <w:sz w:val="20"/>
                <w:szCs w:val="20"/>
                <w:color w:val="auto"/>
              </w:rPr>
            </w:pPr>
          </w:p>
        </w:tc>
        <w:tc>
          <w:tcPr>
            <w:tcW w:w="1040" w:type="dxa"/>
            <w:vAlign w:val="bottom"/>
            <w:shd w:val="clear" w:color="auto" w:fill="FDFDFC"/>
          </w:tcPr>
          <w:p>
            <w:pPr>
              <w:jc w:val="right"/>
              <w:spacing w:after="0"/>
              <w:rPr>
                <w:sz w:val="20"/>
                <w:szCs w:val="20"/>
                <w:color w:val="auto"/>
              </w:rPr>
            </w:pPr>
            <w:r>
              <w:rPr>
                <w:rFonts w:ascii="Times New Roman" w:cs="Times New Roman" w:eastAsia="Times New Roman" w:hAnsi="Times New Roman"/>
                <w:sz w:val="19"/>
                <w:szCs w:val="19"/>
                <w:color w:val="231F20"/>
              </w:rPr>
              <w:t>5.0</w:t>
            </w:r>
          </w:p>
        </w:tc>
        <w:tc>
          <w:tcPr>
            <w:tcW w:w="220" w:type="dxa"/>
            <w:vAlign w:val="bottom"/>
            <w:shd w:val="clear" w:color="auto" w:fill="FDFDFC"/>
          </w:tcPr>
          <w:p>
            <w:pPr>
              <w:spacing w:after="0"/>
              <w:rPr>
                <w:sz w:val="20"/>
                <w:szCs w:val="20"/>
                <w:color w:val="auto"/>
              </w:rPr>
            </w:pPr>
          </w:p>
        </w:tc>
        <w:tc>
          <w:tcPr>
            <w:tcW w:w="740" w:type="dxa"/>
            <w:vAlign w:val="bottom"/>
            <w:shd w:val="clear" w:color="auto" w:fill="FDFDFC"/>
          </w:tcPr>
          <w:p>
            <w:pPr>
              <w:spacing w:after="0"/>
              <w:rPr>
                <w:sz w:val="20"/>
                <w:szCs w:val="20"/>
                <w:color w:val="auto"/>
              </w:rPr>
            </w:pPr>
          </w:p>
        </w:tc>
        <w:tc>
          <w:tcPr>
            <w:tcW w:w="1200" w:type="dxa"/>
            <w:vAlign w:val="bottom"/>
            <w:gridSpan w:val="2"/>
            <w:shd w:val="clear" w:color="auto" w:fill="FDFDFC"/>
          </w:tcPr>
          <w:p>
            <w:pPr>
              <w:jc w:val="right"/>
              <w:ind w:right="120"/>
              <w:spacing w:after="0"/>
              <w:rPr>
                <w:sz w:val="20"/>
                <w:szCs w:val="20"/>
                <w:color w:val="auto"/>
              </w:rPr>
            </w:pPr>
            <w:r>
              <w:rPr>
                <w:rFonts w:ascii="Times New Roman" w:cs="Times New Roman" w:eastAsia="Times New Roman" w:hAnsi="Times New Roman"/>
                <w:sz w:val="19"/>
                <w:szCs w:val="19"/>
                <w:color w:val="231F20"/>
              </w:rPr>
              <w:t>—</w:t>
            </w:r>
          </w:p>
        </w:tc>
        <w:tc>
          <w:tcPr>
            <w:tcW w:w="0" w:type="dxa"/>
            <w:vAlign w:val="bottom"/>
          </w:tcPr>
          <w:p>
            <w:pPr>
              <w:spacing w:after="0"/>
              <w:rPr>
                <w:sz w:val="1"/>
                <w:szCs w:val="1"/>
                <w:color w:val="auto"/>
              </w:rPr>
            </w:pPr>
          </w:p>
        </w:tc>
      </w:tr>
      <w:tr>
        <w:trPr>
          <w:trHeight w:val="230"/>
        </w:trPr>
        <w:tc>
          <w:tcPr>
            <w:tcW w:w="4860" w:type="dxa"/>
            <w:vAlign w:val="bottom"/>
            <w:shd w:val="clear" w:color="auto" w:fill="D0EBF2"/>
          </w:tcPr>
          <w:p>
            <w:pPr>
              <w:spacing w:after="0"/>
              <w:rPr>
                <w:sz w:val="20"/>
                <w:szCs w:val="20"/>
                <w:color w:val="auto"/>
              </w:rPr>
            </w:pPr>
            <w:r>
              <w:rPr>
                <w:rFonts w:ascii="Times New Roman" w:cs="Times New Roman" w:eastAsia="Times New Roman" w:hAnsi="Times New Roman"/>
                <w:sz w:val="19"/>
                <w:szCs w:val="19"/>
                <w:color w:val="231F20"/>
              </w:rPr>
              <w:t>Shiftmove GmbH - Delayed Draw</w:t>
            </w:r>
          </w:p>
        </w:tc>
        <w:tc>
          <w:tcPr>
            <w:tcW w:w="120" w:type="dxa"/>
            <w:vAlign w:val="bottom"/>
            <w:shd w:val="clear" w:color="auto" w:fill="D0EBF2"/>
          </w:tcPr>
          <w:p>
            <w:pPr>
              <w:spacing w:after="0"/>
              <w:rPr>
                <w:sz w:val="20"/>
                <w:szCs w:val="20"/>
                <w:color w:val="auto"/>
              </w:rPr>
            </w:pPr>
          </w:p>
        </w:tc>
        <w:tc>
          <w:tcPr>
            <w:tcW w:w="700" w:type="dxa"/>
            <w:vAlign w:val="bottom"/>
            <w:shd w:val="clear" w:color="auto" w:fill="D0EBF2"/>
          </w:tcPr>
          <w:p>
            <w:pPr>
              <w:spacing w:after="0"/>
              <w:rPr>
                <w:sz w:val="20"/>
                <w:szCs w:val="20"/>
                <w:color w:val="auto"/>
              </w:rPr>
            </w:pPr>
          </w:p>
        </w:tc>
        <w:tc>
          <w:tcPr>
            <w:tcW w:w="1040" w:type="dxa"/>
            <w:vAlign w:val="bottom"/>
            <w:shd w:val="clear" w:color="auto" w:fill="D0EBF2"/>
          </w:tcPr>
          <w:p>
            <w:pPr>
              <w:jc w:val="right"/>
              <w:spacing w:after="0"/>
              <w:rPr>
                <w:sz w:val="20"/>
                <w:szCs w:val="20"/>
                <w:color w:val="auto"/>
              </w:rPr>
            </w:pPr>
            <w:r>
              <w:rPr>
                <w:rFonts w:ascii="Times New Roman" w:cs="Times New Roman" w:eastAsia="Times New Roman" w:hAnsi="Times New Roman"/>
                <w:sz w:val="19"/>
                <w:szCs w:val="19"/>
                <w:color w:val="231F20"/>
              </w:rPr>
              <w:t>13.6</w:t>
            </w:r>
          </w:p>
        </w:tc>
        <w:tc>
          <w:tcPr>
            <w:tcW w:w="220" w:type="dxa"/>
            <w:vAlign w:val="bottom"/>
            <w:shd w:val="clear" w:color="auto" w:fill="D0EBF2"/>
          </w:tcPr>
          <w:p>
            <w:pPr>
              <w:spacing w:after="0"/>
              <w:rPr>
                <w:sz w:val="20"/>
                <w:szCs w:val="20"/>
                <w:color w:val="auto"/>
              </w:rPr>
            </w:pPr>
          </w:p>
        </w:tc>
        <w:tc>
          <w:tcPr>
            <w:tcW w:w="740" w:type="dxa"/>
            <w:vAlign w:val="bottom"/>
            <w:shd w:val="clear" w:color="auto" w:fill="D0EBF2"/>
          </w:tcPr>
          <w:p>
            <w:pPr>
              <w:spacing w:after="0"/>
              <w:rPr>
                <w:sz w:val="20"/>
                <w:szCs w:val="20"/>
                <w:color w:val="auto"/>
              </w:rPr>
            </w:pPr>
          </w:p>
        </w:tc>
        <w:tc>
          <w:tcPr>
            <w:tcW w:w="1200" w:type="dxa"/>
            <w:vAlign w:val="bottom"/>
            <w:gridSpan w:val="2"/>
            <w:shd w:val="clear" w:color="auto" w:fill="D0EBF2"/>
          </w:tcPr>
          <w:p>
            <w:pPr>
              <w:jc w:val="right"/>
              <w:ind w:right="120"/>
              <w:spacing w:after="0"/>
              <w:rPr>
                <w:sz w:val="20"/>
                <w:szCs w:val="20"/>
                <w:color w:val="auto"/>
              </w:rPr>
            </w:pPr>
            <w:r>
              <w:rPr>
                <w:rFonts w:ascii="Times New Roman" w:cs="Times New Roman" w:eastAsia="Times New Roman" w:hAnsi="Times New Roman"/>
                <w:sz w:val="19"/>
                <w:szCs w:val="19"/>
                <w:color w:val="231F20"/>
              </w:rPr>
              <w:t>—</w:t>
            </w:r>
          </w:p>
        </w:tc>
        <w:tc>
          <w:tcPr>
            <w:tcW w:w="0" w:type="dxa"/>
            <w:vAlign w:val="bottom"/>
          </w:tcPr>
          <w:p>
            <w:pPr>
              <w:spacing w:after="0"/>
              <w:rPr>
                <w:sz w:val="1"/>
                <w:szCs w:val="1"/>
                <w:color w:val="auto"/>
              </w:rPr>
            </w:pPr>
          </w:p>
        </w:tc>
      </w:tr>
      <w:tr>
        <w:trPr>
          <w:trHeight w:val="230"/>
        </w:trPr>
        <w:tc>
          <w:tcPr>
            <w:tcW w:w="4860" w:type="dxa"/>
            <w:vAlign w:val="bottom"/>
            <w:shd w:val="clear" w:color="auto" w:fill="FDFDFC"/>
          </w:tcPr>
          <w:p>
            <w:pPr>
              <w:spacing w:after="0"/>
              <w:rPr>
                <w:sz w:val="20"/>
                <w:szCs w:val="20"/>
                <w:color w:val="auto"/>
              </w:rPr>
            </w:pPr>
            <w:r>
              <w:rPr>
                <w:rFonts w:ascii="Times New Roman" w:cs="Times New Roman" w:eastAsia="Times New Roman" w:hAnsi="Times New Roman"/>
                <w:sz w:val="19"/>
                <w:szCs w:val="19"/>
                <w:color w:val="231F20"/>
              </w:rPr>
              <w:t>Sky Bidco S.p.A. - Delayed Draw</w:t>
            </w:r>
          </w:p>
        </w:tc>
        <w:tc>
          <w:tcPr>
            <w:tcW w:w="120" w:type="dxa"/>
            <w:vAlign w:val="bottom"/>
            <w:shd w:val="clear" w:color="auto" w:fill="FDFDFC"/>
          </w:tcPr>
          <w:p>
            <w:pPr>
              <w:spacing w:after="0"/>
              <w:rPr>
                <w:sz w:val="20"/>
                <w:szCs w:val="20"/>
                <w:color w:val="auto"/>
              </w:rPr>
            </w:pPr>
          </w:p>
        </w:tc>
        <w:tc>
          <w:tcPr>
            <w:tcW w:w="700" w:type="dxa"/>
            <w:vAlign w:val="bottom"/>
            <w:shd w:val="clear" w:color="auto" w:fill="FDFDFC"/>
          </w:tcPr>
          <w:p>
            <w:pPr>
              <w:spacing w:after="0"/>
              <w:rPr>
                <w:sz w:val="20"/>
                <w:szCs w:val="20"/>
                <w:color w:val="auto"/>
              </w:rPr>
            </w:pPr>
          </w:p>
        </w:tc>
        <w:tc>
          <w:tcPr>
            <w:tcW w:w="1040" w:type="dxa"/>
            <w:vAlign w:val="bottom"/>
            <w:shd w:val="clear" w:color="auto" w:fill="FDFDFC"/>
          </w:tcPr>
          <w:p>
            <w:pPr>
              <w:jc w:val="right"/>
              <w:spacing w:after="0"/>
              <w:rPr>
                <w:sz w:val="20"/>
                <w:szCs w:val="20"/>
                <w:color w:val="auto"/>
              </w:rPr>
            </w:pPr>
            <w:r>
              <w:rPr>
                <w:rFonts w:ascii="Times New Roman" w:cs="Times New Roman" w:eastAsia="Times New Roman" w:hAnsi="Times New Roman"/>
                <w:sz w:val="19"/>
                <w:szCs w:val="19"/>
                <w:color w:val="231F20"/>
              </w:rPr>
              <w:t>3.6</w:t>
            </w:r>
          </w:p>
        </w:tc>
        <w:tc>
          <w:tcPr>
            <w:tcW w:w="220" w:type="dxa"/>
            <w:vAlign w:val="bottom"/>
            <w:shd w:val="clear" w:color="auto" w:fill="FDFDFC"/>
          </w:tcPr>
          <w:p>
            <w:pPr>
              <w:spacing w:after="0"/>
              <w:rPr>
                <w:sz w:val="20"/>
                <w:szCs w:val="20"/>
                <w:color w:val="auto"/>
              </w:rPr>
            </w:pPr>
          </w:p>
        </w:tc>
        <w:tc>
          <w:tcPr>
            <w:tcW w:w="740" w:type="dxa"/>
            <w:vAlign w:val="bottom"/>
            <w:shd w:val="clear" w:color="auto" w:fill="FDFDFC"/>
          </w:tcPr>
          <w:p>
            <w:pPr>
              <w:spacing w:after="0"/>
              <w:rPr>
                <w:sz w:val="20"/>
                <w:szCs w:val="20"/>
                <w:color w:val="auto"/>
              </w:rPr>
            </w:pPr>
          </w:p>
        </w:tc>
        <w:tc>
          <w:tcPr>
            <w:tcW w:w="1200" w:type="dxa"/>
            <w:vAlign w:val="bottom"/>
            <w:gridSpan w:val="2"/>
            <w:shd w:val="clear" w:color="auto" w:fill="FDFDFC"/>
          </w:tcPr>
          <w:p>
            <w:pPr>
              <w:jc w:val="right"/>
              <w:ind w:right="120"/>
              <w:spacing w:after="0"/>
              <w:rPr>
                <w:sz w:val="20"/>
                <w:szCs w:val="20"/>
                <w:color w:val="auto"/>
              </w:rPr>
            </w:pPr>
            <w:r>
              <w:rPr>
                <w:rFonts w:ascii="Times New Roman" w:cs="Times New Roman" w:eastAsia="Times New Roman" w:hAnsi="Times New Roman"/>
                <w:sz w:val="19"/>
                <w:szCs w:val="19"/>
                <w:color w:val="231F20"/>
              </w:rPr>
              <w:t>—</w:t>
            </w:r>
          </w:p>
        </w:tc>
        <w:tc>
          <w:tcPr>
            <w:tcW w:w="0" w:type="dxa"/>
            <w:vAlign w:val="bottom"/>
          </w:tcPr>
          <w:p>
            <w:pPr>
              <w:spacing w:after="0"/>
              <w:rPr>
                <w:sz w:val="1"/>
                <w:szCs w:val="1"/>
                <w:color w:val="auto"/>
              </w:rPr>
            </w:pPr>
          </w:p>
        </w:tc>
      </w:tr>
      <w:tr>
        <w:trPr>
          <w:trHeight w:val="230"/>
        </w:trPr>
        <w:tc>
          <w:tcPr>
            <w:tcW w:w="4860" w:type="dxa"/>
            <w:vAlign w:val="bottom"/>
            <w:shd w:val="clear" w:color="auto" w:fill="D0EBF2"/>
          </w:tcPr>
          <w:p>
            <w:pPr>
              <w:spacing w:after="0"/>
              <w:rPr>
                <w:sz w:val="20"/>
                <w:szCs w:val="20"/>
                <w:color w:val="auto"/>
              </w:rPr>
            </w:pPr>
            <w:r>
              <w:rPr>
                <w:rFonts w:ascii="Times New Roman" w:cs="Times New Roman" w:eastAsia="Times New Roman" w:hAnsi="Times New Roman"/>
                <w:sz w:val="19"/>
                <w:szCs w:val="19"/>
                <w:color w:val="231F20"/>
              </w:rPr>
              <w:t>SkyLark UK DebtCo Limited - Delayed Draw</w:t>
            </w:r>
          </w:p>
        </w:tc>
        <w:tc>
          <w:tcPr>
            <w:tcW w:w="120" w:type="dxa"/>
            <w:vAlign w:val="bottom"/>
            <w:shd w:val="clear" w:color="auto" w:fill="D0EBF2"/>
          </w:tcPr>
          <w:p>
            <w:pPr>
              <w:spacing w:after="0"/>
              <w:rPr>
                <w:sz w:val="20"/>
                <w:szCs w:val="20"/>
                <w:color w:val="auto"/>
              </w:rPr>
            </w:pPr>
          </w:p>
        </w:tc>
        <w:tc>
          <w:tcPr>
            <w:tcW w:w="700" w:type="dxa"/>
            <w:vAlign w:val="bottom"/>
            <w:shd w:val="clear" w:color="auto" w:fill="D0EBF2"/>
          </w:tcPr>
          <w:p>
            <w:pPr>
              <w:spacing w:after="0"/>
              <w:rPr>
                <w:sz w:val="20"/>
                <w:szCs w:val="20"/>
                <w:color w:val="auto"/>
              </w:rPr>
            </w:pPr>
          </w:p>
        </w:tc>
        <w:tc>
          <w:tcPr>
            <w:tcW w:w="1040" w:type="dxa"/>
            <w:vAlign w:val="bottom"/>
            <w:shd w:val="clear" w:color="auto" w:fill="D0EBF2"/>
          </w:tcPr>
          <w:p>
            <w:pPr>
              <w:jc w:val="right"/>
              <w:spacing w:after="0"/>
              <w:rPr>
                <w:sz w:val="20"/>
                <w:szCs w:val="20"/>
                <w:color w:val="auto"/>
              </w:rPr>
            </w:pPr>
            <w:r>
              <w:rPr>
                <w:rFonts w:ascii="Times New Roman" w:cs="Times New Roman" w:eastAsia="Times New Roman" w:hAnsi="Times New Roman"/>
                <w:sz w:val="19"/>
                <w:szCs w:val="19"/>
                <w:color w:val="231F20"/>
              </w:rPr>
              <w:t>6.9</w:t>
            </w:r>
          </w:p>
        </w:tc>
        <w:tc>
          <w:tcPr>
            <w:tcW w:w="220" w:type="dxa"/>
            <w:vAlign w:val="bottom"/>
            <w:shd w:val="clear" w:color="auto" w:fill="D0EBF2"/>
          </w:tcPr>
          <w:p>
            <w:pPr>
              <w:spacing w:after="0"/>
              <w:rPr>
                <w:sz w:val="20"/>
                <w:szCs w:val="20"/>
                <w:color w:val="auto"/>
              </w:rPr>
            </w:pPr>
          </w:p>
        </w:tc>
        <w:tc>
          <w:tcPr>
            <w:tcW w:w="740" w:type="dxa"/>
            <w:vAlign w:val="bottom"/>
            <w:shd w:val="clear" w:color="auto" w:fill="D0EBF2"/>
          </w:tcPr>
          <w:p>
            <w:pPr>
              <w:spacing w:after="0"/>
              <w:rPr>
                <w:sz w:val="20"/>
                <w:szCs w:val="20"/>
                <w:color w:val="auto"/>
              </w:rPr>
            </w:pPr>
          </w:p>
        </w:tc>
        <w:tc>
          <w:tcPr>
            <w:tcW w:w="1120" w:type="dxa"/>
            <w:vAlign w:val="bottom"/>
            <w:shd w:val="clear" w:color="auto" w:fill="D0EBF2"/>
          </w:tcPr>
          <w:p>
            <w:pPr>
              <w:jc w:val="right"/>
              <w:spacing w:after="0"/>
              <w:rPr>
                <w:sz w:val="20"/>
                <w:szCs w:val="20"/>
                <w:color w:val="auto"/>
              </w:rPr>
            </w:pPr>
            <w:r>
              <w:rPr>
                <w:rFonts w:ascii="Times New Roman" w:cs="Times New Roman" w:eastAsia="Times New Roman" w:hAnsi="Times New Roman"/>
                <w:sz w:val="19"/>
                <w:szCs w:val="19"/>
                <w:color w:val="231F20"/>
              </w:rPr>
              <w:t>7.1</w:t>
            </w:r>
          </w:p>
        </w:tc>
        <w:tc>
          <w:tcPr>
            <w:tcW w:w="80" w:type="dxa"/>
            <w:vAlign w:val="bottom"/>
            <w:shd w:val="clear" w:color="auto" w:fill="D0EBF2"/>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860" w:type="dxa"/>
            <w:vAlign w:val="bottom"/>
            <w:shd w:val="clear" w:color="auto" w:fill="FDFDFC"/>
          </w:tcPr>
          <w:p>
            <w:pPr>
              <w:spacing w:after="0"/>
              <w:rPr>
                <w:sz w:val="20"/>
                <w:szCs w:val="20"/>
                <w:color w:val="auto"/>
              </w:rPr>
            </w:pPr>
            <w:r>
              <w:rPr>
                <w:rFonts w:ascii="Times New Roman" w:cs="Times New Roman" w:eastAsia="Times New Roman" w:hAnsi="Times New Roman"/>
                <w:sz w:val="19"/>
                <w:szCs w:val="19"/>
                <w:color w:val="231F20"/>
              </w:rPr>
              <w:t>SL Buyer Corp. - Delayed Draw</w:t>
            </w:r>
          </w:p>
        </w:tc>
        <w:tc>
          <w:tcPr>
            <w:tcW w:w="120" w:type="dxa"/>
            <w:vAlign w:val="bottom"/>
            <w:shd w:val="clear" w:color="auto" w:fill="FDFDFC"/>
          </w:tcPr>
          <w:p>
            <w:pPr>
              <w:spacing w:after="0"/>
              <w:rPr>
                <w:sz w:val="20"/>
                <w:szCs w:val="20"/>
                <w:color w:val="auto"/>
              </w:rPr>
            </w:pPr>
          </w:p>
        </w:tc>
        <w:tc>
          <w:tcPr>
            <w:tcW w:w="700" w:type="dxa"/>
            <w:vAlign w:val="bottom"/>
            <w:shd w:val="clear" w:color="auto" w:fill="FDFDFC"/>
          </w:tcPr>
          <w:p>
            <w:pPr>
              <w:spacing w:after="0"/>
              <w:rPr>
                <w:sz w:val="20"/>
                <w:szCs w:val="20"/>
                <w:color w:val="auto"/>
              </w:rPr>
            </w:pPr>
          </w:p>
        </w:tc>
        <w:tc>
          <w:tcPr>
            <w:tcW w:w="1040" w:type="dxa"/>
            <w:vAlign w:val="bottom"/>
            <w:shd w:val="clear" w:color="auto" w:fill="FDFDFC"/>
          </w:tcPr>
          <w:p>
            <w:pPr>
              <w:jc w:val="right"/>
              <w:spacing w:after="0"/>
              <w:rPr>
                <w:sz w:val="20"/>
                <w:szCs w:val="20"/>
                <w:color w:val="auto"/>
              </w:rPr>
            </w:pPr>
            <w:r>
              <w:rPr>
                <w:rFonts w:ascii="Times New Roman" w:cs="Times New Roman" w:eastAsia="Times New Roman" w:hAnsi="Times New Roman"/>
                <w:sz w:val="19"/>
                <w:szCs w:val="19"/>
                <w:color w:val="231F20"/>
              </w:rPr>
              <w:t>11.2</w:t>
            </w:r>
          </w:p>
        </w:tc>
        <w:tc>
          <w:tcPr>
            <w:tcW w:w="220" w:type="dxa"/>
            <w:vAlign w:val="bottom"/>
            <w:shd w:val="clear" w:color="auto" w:fill="FDFDFC"/>
          </w:tcPr>
          <w:p>
            <w:pPr>
              <w:spacing w:after="0"/>
              <w:rPr>
                <w:sz w:val="20"/>
                <w:szCs w:val="20"/>
                <w:color w:val="auto"/>
              </w:rPr>
            </w:pPr>
          </w:p>
        </w:tc>
        <w:tc>
          <w:tcPr>
            <w:tcW w:w="740" w:type="dxa"/>
            <w:vAlign w:val="bottom"/>
            <w:shd w:val="clear" w:color="auto" w:fill="FDFDFC"/>
          </w:tcPr>
          <w:p>
            <w:pPr>
              <w:spacing w:after="0"/>
              <w:rPr>
                <w:sz w:val="20"/>
                <w:szCs w:val="20"/>
                <w:color w:val="auto"/>
              </w:rPr>
            </w:pPr>
          </w:p>
        </w:tc>
        <w:tc>
          <w:tcPr>
            <w:tcW w:w="1120" w:type="dxa"/>
            <w:vAlign w:val="bottom"/>
            <w:shd w:val="clear" w:color="auto" w:fill="FDFDFC"/>
          </w:tcPr>
          <w:p>
            <w:pPr>
              <w:jc w:val="right"/>
              <w:spacing w:after="0"/>
              <w:rPr>
                <w:sz w:val="20"/>
                <w:szCs w:val="20"/>
                <w:color w:val="auto"/>
              </w:rPr>
            </w:pPr>
            <w:r>
              <w:rPr>
                <w:rFonts w:ascii="Times New Roman" w:cs="Times New Roman" w:eastAsia="Times New Roman" w:hAnsi="Times New Roman"/>
                <w:sz w:val="19"/>
                <w:szCs w:val="19"/>
                <w:color w:val="231F20"/>
              </w:rPr>
              <w:t>13.2</w:t>
            </w:r>
          </w:p>
        </w:tc>
        <w:tc>
          <w:tcPr>
            <w:tcW w:w="80" w:type="dxa"/>
            <w:vAlign w:val="bottom"/>
            <w:shd w:val="clear" w:color="auto" w:fill="FDFD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860" w:type="dxa"/>
            <w:vAlign w:val="bottom"/>
            <w:shd w:val="clear" w:color="auto" w:fill="D0EBF2"/>
          </w:tcPr>
          <w:p>
            <w:pPr>
              <w:spacing w:after="0"/>
              <w:rPr>
                <w:sz w:val="20"/>
                <w:szCs w:val="20"/>
                <w:color w:val="auto"/>
              </w:rPr>
            </w:pPr>
            <w:r>
              <w:rPr>
                <w:rFonts w:ascii="Times New Roman" w:cs="Times New Roman" w:eastAsia="Times New Roman" w:hAnsi="Times New Roman"/>
                <w:sz w:val="19"/>
                <w:szCs w:val="19"/>
                <w:color w:val="231F20"/>
              </w:rPr>
              <w:t>SMA Technologies Holdings, LLC - Revolver</w:t>
            </w:r>
          </w:p>
        </w:tc>
        <w:tc>
          <w:tcPr>
            <w:tcW w:w="120" w:type="dxa"/>
            <w:vAlign w:val="bottom"/>
            <w:shd w:val="clear" w:color="auto" w:fill="D0EBF2"/>
          </w:tcPr>
          <w:p>
            <w:pPr>
              <w:spacing w:after="0"/>
              <w:rPr>
                <w:sz w:val="20"/>
                <w:szCs w:val="20"/>
                <w:color w:val="auto"/>
              </w:rPr>
            </w:pPr>
          </w:p>
        </w:tc>
        <w:tc>
          <w:tcPr>
            <w:tcW w:w="700" w:type="dxa"/>
            <w:vAlign w:val="bottom"/>
            <w:shd w:val="clear" w:color="auto" w:fill="D0EBF2"/>
          </w:tcPr>
          <w:p>
            <w:pPr>
              <w:spacing w:after="0"/>
              <w:rPr>
                <w:sz w:val="20"/>
                <w:szCs w:val="20"/>
                <w:color w:val="auto"/>
              </w:rPr>
            </w:pPr>
          </w:p>
        </w:tc>
        <w:tc>
          <w:tcPr>
            <w:tcW w:w="1040" w:type="dxa"/>
            <w:vAlign w:val="bottom"/>
            <w:shd w:val="clear" w:color="auto" w:fill="D0EBF2"/>
          </w:tcPr>
          <w:p>
            <w:pPr>
              <w:jc w:val="right"/>
              <w:spacing w:after="0"/>
              <w:rPr>
                <w:sz w:val="20"/>
                <w:szCs w:val="20"/>
                <w:color w:val="auto"/>
              </w:rPr>
            </w:pPr>
            <w:r>
              <w:rPr>
                <w:rFonts w:ascii="Times New Roman" w:cs="Times New Roman" w:eastAsia="Times New Roman" w:hAnsi="Times New Roman"/>
                <w:sz w:val="19"/>
                <w:szCs w:val="19"/>
                <w:color w:val="231F20"/>
              </w:rPr>
              <w:t>1.0</w:t>
            </w:r>
          </w:p>
        </w:tc>
        <w:tc>
          <w:tcPr>
            <w:tcW w:w="220" w:type="dxa"/>
            <w:vAlign w:val="bottom"/>
            <w:shd w:val="clear" w:color="auto" w:fill="D0EBF2"/>
          </w:tcPr>
          <w:p>
            <w:pPr>
              <w:spacing w:after="0"/>
              <w:rPr>
                <w:sz w:val="20"/>
                <w:szCs w:val="20"/>
                <w:color w:val="auto"/>
              </w:rPr>
            </w:pPr>
          </w:p>
        </w:tc>
        <w:tc>
          <w:tcPr>
            <w:tcW w:w="740" w:type="dxa"/>
            <w:vAlign w:val="bottom"/>
            <w:shd w:val="clear" w:color="auto" w:fill="D0EBF2"/>
          </w:tcPr>
          <w:p>
            <w:pPr>
              <w:spacing w:after="0"/>
              <w:rPr>
                <w:sz w:val="20"/>
                <w:szCs w:val="20"/>
                <w:color w:val="auto"/>
              </w:rPr>
            </w:pPr>
          </w:p>
        </w:tc>
        <w:tc>
          <w:tcPr>
            <w:tcW w:w="1200" w:type="dxa"/>
            <w:vAlign w:val="bottom"/>
            <w:gridSpan w:val="2"/>
            <w:shd w:val="clear" w:color="auto" w:fill="D0EBF2"/>
          </w:tcPr>
          <w:p>
            <w:pPr>
              <w:jc w:val="right"/>
              <w:ind w:right="120"/>
              <w:spacing w:after="0"/>
              <w:rPr>
                <w:sz w:val="20"/>
                <w:szCs w:val="20"/>
                <w:color w:val="auto"/>
              </w:rPr>
            </w:pPr>
            <w:r>
              <w:rPr>
                <w:rFonts w:ascii="Times New Roman" w:cs="Times New Roman" w:eastAsia="Times New Roman" w:hAnsi="Times New Roman"/>
                <w:sz w:val="19"/>
                <w:szCs w:val="19"/>
                <w:color w:val="231F20"/>
              </w:rPr>
              <w:t>—</w:t>
            </w:r>
          </w:p>
        </w:tc>
        <w:tc>
          <w:tcPr>
            <w:tcW w:w="0" w:type="dxa"/>
            <w:vAlign w:val="bottom"/>
          </w:tcPr>
          <w:p>
            <w:pPr>
              <w:spacing w:after="0"/>
              <w:rPr>
                <w:sz w:val="1"/>
                <w:szCs w:val="1"/>
                <w:color w:val="auto"/>
              </w:rPr>
            </w:pPr>
          </w:p>
        </w:tc>
      </w:tr>
      <w:tr>
        <w:trPr>
          <w:trHeight w:val="230"/>
        </w:trPr>
        <w:tc>
          <w:tcPr>
            <w:tcW w:w="4860" w:type="dxa"/>
            <w:vAlign w:val="bottom"/>
            <w:shd w:val="clear" w:color="auto" w:fill="FDFDFC"/>
          </w:tcPr>
          <w:p>
            <w:pPr>
              <w:spacing w:after="0"/>
              <w:rPr>
                <w:sz w:val="20"/>
                <w:szCs w:val="20"/>
                <w:color w:val="auto"/>
              </w:rPr>
            </w:pPr>
            <w:r>
              <w:rPr>
                <w:rFonts w:ascii="Times New Roman" w:cs="Times New Roman" w:eastAsia="Times New Roman" w:hAnsi="Times New Roman"/>
                <w:sz w:val="19"/>
                <w:szCs w:val="19"/>
                <w:color w:val="231F20"/>
              </w:rPr>
              <w:t>Sport Alliance GmbH - Revolver</w:t>
            </w:r>
          </w:p>
        </w:tc>
        <w:tc>
          <w:tcPr>
            <w:tcW w:w="120" w:type="dxa"/>
            <w:vAlign w:val="bottom"/>
            <w:shd w:val="clear" w:color="auto" w:fill="FDFDFC"/>
          </w:tcPr>
          <w:p>
            <w:pPr>
              <w:spacing w:after="0"/>
              <w:rPr>
                <w:sz w:val="20"/>
                <w:szCs w:val="20"/>
                <w:color w:val="auto"/>
              </w:rPr>
            </w:pPr>
          </w:p>
        </w:tc>
        <w:tc>
          <w:tcPr>
            <w:tcW w:w="700" w:type="dxa"/>
            <w:vAlign w:val="bottom"/>
            <w:shd w:val="clear" w:color="auto" w:fill="FDFDFC"/>
          </w:tcPr>
          <w:p>
            <w:pPr>
              <w:spacing w:after="0"/>
              <w:rPr>
                <w:sz w:val="20"/>
                <w:szCs w:val="20"/>
                <w:color w:val="auto"/>
              </w:rPr>
            </w:pPr>
          </w:p>
        </w:tc>
        <w:tc>
          <w:tcPr>
            <w:tcW w:w="1040" w:type="dxa"/>
            <w:vAlign w:val="bottom"/>
            <w:shd w:val="clear" w:color="auto" w:fill="FDFDFC"/>
          </w:tcPr>
          <w:p>
            <w:pPr>
              <w:jc w:val="right"/>
              <w:spacing w:after="0"/>
              <w:rPr>
                <w:sz w:val="20"/>
                <w:szCs w:val="20"/>
                <w:color w:val="auto"/>
              </w:rPr>
            </w:pPr>
            <w:r>
              <w:rPr>
                <w:rFonts w:ascii="Times New Roman" w:cs="Times New Roman" w:eastAsia="Times New Roman" w:hAnsi="Times New Roman"/>
                <w:sz w:val="19"/>
                <w:szCs w:val="19"/>
                <w:color w:val="231F20"/>
              </w:rPr>
              <w:t>0.6</w:t>
            </w:r>
          </w:p>
        </w:tc>
        <w:tc>
          <w:tcPr>
            <w:tcW w:w="220" w:type="dxa"/>
            <w:vAlign w:val="bottom"/>
            <w:shd w:val="clear" w:color="auto" w:fill="FDFDFC"/>
          </w:tcPr>
          <w:p>
            <w:pPr>
              <w:spacing w:after="0"/>
              <w:rPr>
                <w:sz w:val="20"/>
                <w:szCs w:val="20"/>
                <w:color w:val="auto"/>
              </w:rPr>
            </w:pPr>
          </w:p>
        </w:tc>
        <w:tc>
          <w:tcPr>
            <w:tcW w:w="740" w:type="dxa"/>
            <w:vAlign w:val="bottom"/>
            <w:shd w:val="clear" w:color="auto" w:fill="FDFDFC"/>
          </w:tcPr>
          <w:p>
            <w:pPr>
              <w:spacing w:after="0"/>
              <w:rPr>
                <w:sz w:val="20"/>
                <w:szCs w:val="20"/>
                <w:color w:val="auto"/>
              </w:rPr>
            </w:pPr>
          </w:p>
        </w:tc>
        <w:tc>
          <w:tcPr>
            <w:tcW w:w="1200" w:type="dxa"/>
            <w:vAlign w:val="bottom"/>
            <w:gridSpan w:val="2"/>
            <w:shd w:val="clear" w:color="auto" w:fill="FDFDFC"/>
          </w:tcPr>
          <w:p>
            <w:pPr>
              <w:jc w:val="right"/>
              <w:ind w:right="120"/>
              <w:spacing w:after="0"/>
              <w:rPr>
                <w:sz w:val="20"/>
                <w:szCs w:val="20"/>
                <w:color w:val="auto"/>
              </w:rPr>
            </w:pPr>
            <w:r>
              <w:rPr>
                <w:rFonts w:ascii="Times New Roman" w:cs="Times New Roman" w:eastAsia="Times New Roman" w:hAnsi="Times New Roman"/>
                <w:sz w:val="19"/>
                <w:szCs w:val="19"/>
                <w:color w:val="231F20"/>
              </w:rPr>
              <w:t>—</w:t>
            </w:r>
          </w:p>
        </w:tc>
        <w:tc>
          <w:tcPr>
            <w:tcW w:w="0" w:type="dxa"/>
            <w:vAlign w:val="bottom"/>
          </w:tcPr>
          <w:p>
            <w:pPr>
              <w:spacing w:after="0"/>
              <w:rPr>
                <w:sz w:val="1"/>
                <w:szCs w:val="1"/>
                <w:color w:val="auto"/>
              </w:rPr>
            </w:pPr>
          </w:p>
        </w:tc>
      </w:tr>
      <w:tr>
        <w:trPr>
          <w:trHeight w:val="210"/>
        </w:trPr>
        <w:tc>
          <w:tcPr>
            <w:tcW w:w="4860" w:type="dxa"/>
            <w:vAlign w:val="bottom"/>
            <w:shd w:val="clear" w:color="auto" w:fill="D0EBF2"/>
          </w:tcPr>
          <w:p>
            <w:pPr>
              <w:spacing w:after="0" w:line="211" w:lineRule="exact"/>
              <w:rPr>
                <w:sz w:val="20"/>
                <w:szCs w:val="20"/>
                <w:color w:val="auto"/>
              </w:rPr>
            </w:pPr>
            <w:r>
              <w:rPr>
                <w:rFonts w:ascii="Times New Roman" w:cs="Times New Roman" w:eastAsia="Times New Roman" w:hAnsi="Times New Roman"/>
                <w:sz w:val="19"/>
                <w:szCs w:val="19"/>
                <w:color w:val="231F20"/>
              </w:rPr>
              <w:t>Tango Management Consulting, LLC - Delayed Draw &amp;</w:t>
            </w:r>
          </w:p>
        </w:tc>
        <w:tc>
          <w:tcPr>
            <w:tcW w:w="120" w:type="dxa"/>
            <w:vAlign w:val="bottom"/>
            <w:shd w:val="clear" w:color="auto" w:fill="D0EBF2"/>
          </w:tcPr>
          <w:p>
            <w:pPr>
              <w:spacing w:after="0"/>
              <w:rPr>
                <w:sz w:val="18"/>
                <w:szCs w:val="18"/>
                <w:color w:val="auto"/>
              </w:rPr>
            </w:pPr>
          </w:p>
        </w:tc>
        <w:tc>
          <w:tcPr>
            <w:tcW w:w="700" w:type="dxa"/>
            <w:vAlign w:val="bottom"/>
            <w:shd w:val="clear" w:color="auto" w:fill="D0EBF2"/>
          </w:tcPr>
          <w:p>
            <w:pPr>
              <w:spacing w:after="0"/>
              <w:rPr>
                <w:sz w:val="18"/>
                <w:szCs w:val="18"/>
                <w:color w:val="auto"/>
              </w:rPr>
            </w:pPr>
          </w:p>
        </w:tc>
        <w:tc>
          <w:tcPr>
            <w:tcW w:w="1040" w:type="dxa"/>
            <w:vAlign w:val="bottom"/>
            <w:vMerge w:val="restart"/>
            <w:shd w:val="clear" w:color="auto" w:fill="D0EBF2"/>
          </w:tcPr>
          <w:p>
            <w:pPr>
              <w:jc w:val="right"/>
              <w:spacing w:after="0"/>
              <w:rPr>
                <w:sz w:val="20"/>
                <w:szCs w:val="20"/>
                <w:color w:val="auto"/>
              </w:rPr>
            </w:pPr>
            <w:r>
              <w:rPr>
                <w:rFonts w:ascii="Times New Roman" w:cs="Times New Roman" w:eastAsia="Times New Roman" w:hAnsi="Times New Roman"/>
                <w:sz w:val="19"/>
                <w:szCs w:val="19"/>
                <w:color w:val="231F20"/>
              </w:rPr>
              <w:t>1.5</w:t>
            </w:r>
          </w:p>
        </w:tc>
        <w:tc>
          <w:tcPr>
            <w:tcW w:w="220" w:type="dxa"/>
            <w:vAlign w:val="bottom"/>
            <w:shd w:val="clear" w:color="auto" w:fill="D0EBF2"/>
          </w:tcPr>
          <w:p>
            <w:pPr>
              <w:spacing w:after="0"/>
              <w:rPr>
                <w:sz w:val="18"/>
                <w:szCs w:val="18"/>
                <w:color w:val="auto"/>
              </w:rPr>
            </w:pPr>
          </w:p>
        </w:tc>
        <w:tc>
          <w:tcPr>
            <w:tcW w:w="740" w:type="dxa"/>
            <w:vAlign w:val="bottom"/>
            <w:shd w:val="clear" w:color="auto" w:fill="D0EBF2"/>
          </w:tcPr>
          <w:p>
            <w:pPr>
              <w:spacing w:after="0"/>
              <w:rPr>
                <w:sz w:val="18"/>
                <w:szCs w:val="18"/>
                <w:color w:val="auto"/>
              </w:rPr>
            </w:pPr>
          </w:p>
        </w:tc>
        <w:tc>
          <w:tcPr>
            <w:tcW w:w="1120" w:type="dxa"/>
            <w:vAlign w:val="bottom"/>
            <w:vMerge w:val="restart"/>
            <w:shd w:val="clear" w:color="auto" w:fill="D0EBF2"/>
          </w:tcPr>
          <w:p>
            <w:pPr>
              <w:jc w:val="right"/>
              <w:spacing w:after="0"/>
              <w:rPr>
                <w:sz w:val="20"/>
                <w:szCs w:val="20"/>
                <w:color w:val="auto"/>
              </w:rPr>
            </w:pPr>
            <w:r>
              <w:rPr>
                <w:rFonts w:ascii="Times New Roman" w:cs="Times New Roman" w:eastAsia="Times New Roman" w:hAnsi="Times New Roman"/>
                <w:sz w:val="19"/>
                <w:szCs w:val="19"/>
                <w:color w:val="231F20"/>
              </w:rPr>
              <w:t>11.0</w:t>
            </w:r>
          </w:p>
        </w:tc>
        <w:tc>
          <w:tcPr>
            <w:tcW w:w="80" w:type="dxa"/>
            <w:vAlign w:val="bottom"/>
            <w:shd w:val="clear" w:color="auto" w:fill="D0EBF2"/>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4860" w:type="dxa"/>
            <w:vAlign w:val="bottom"/>
            <w:shd w:val="clear" w:color="auto" w:fill="D0EBF2"/>
          </w:tcPr>
          <w:p>
            <w:pPr>
              <w:spacing w:after="0"/>
              <w:rPr>
                <w:sz w:val="20"/>
                <w:szCs w:val="20"/>
                <w:color w:val="auto"/>
              </w:rPr>
            </w:pPr>
            <w:r>
              <w:rPr>
                <w:rFonts w:ascii="Times New Roman" w:cs="Times New Roman" w:eastAsia="Times New Roman" w:hAnsi="Times New Roman"/>
                <w:sz w:val="19"/>
                <w:szCs w:val="19"/>
                <w:color w:val="231F20"/>
              </w:rPr>
              <w:t>Revolver</w:t>
            </w:r>
          </w:p>
        </w:tc>
        <w:tc>
          <w:tcPr>
            <w:tcW w:w="120" w:type="dxa"/>
            <w:vAlign w:val="bottom"/>
            <w:shd w:val="clear" w:color="auto" w:fill="D0EBF2"/>
          </w:tcPr>
          <w:p>
            <w:pPr>
              <w:spacing w:after="0"/>
              <w:rPr>
                <w:sz w:val="20"/>
                <w:szCs w:val="20"/>
                <w:color w:val="auto"/>
              </w:rPr>
            </w:pPr>
          </w:p>
        </w:tc>
        <w:tc>
          <w:tcPr>
            <w:tcW w:w="700" w:type="dxa"/>
            <w:vAlign w:val="bottom"/>
            <w:shd w:val="clear" w:color="auto" w:fill="D0EBF2"/>
          </w:tcPr>
          <w:p>
            <w:pPr>
              <w:spacing w:after="0"/>
              <w:rPr>
                <w:sz w:val="20"/>
                <w:szCs w:val="20"/>
                <w:color w:val="auto"/>
              </w:rPr>
            </w:pPr>
          </w:p>
        </w:tc>
        <w:tc>
          <w:tcPr>
            <w:tcW w:w="1040" w:type="dxa"/>
            <w:vAlign w:val="bottom"/>
            <w:vMerge w:val="continue"/>
            <w:shd w:val="clear" w:color="auto" w:fill="D0EBF2"/>
          </w:tcPr>
          <w:p>
            <w:pPr>
              <w:spacing w:after="0"/>
              <w:rPr>
                <w:sz w:val="20"/>
                <w:szCs w:val="20"/>
                <w:color w:val="auto"/>
              </w:rPr>
            </w:pPr>
          </w:p>
        </w:tc>
        <w:tc>
          <w:tcPr>
            <w:tcW w:w="220" w:type="dxa"/>
            <w:vAlign w:val="bottom"/>
            <w:shd w:val="clear" w:color="auto" w:fill="D0EBF2"/>
          </w:tcPr>
          <w:p>
            <w:pPr>
              <w:spacing w:after="0"/>
              <w:rPr>
                <w:sz w:val="20"/>
                <w:szCs w:val="20"/>
                <w:color w:val="auto"/>
              </w:rPr>
            </w:pPr>
          </w:p>
        </w:tc>
        <w:tc>
          <w:tcPr>
            <w:tcW w:w="740" w:type="dxa"/>
            <w:vAlign w:val="bottom"/>
            <w:shd w:val="clear" w:color="auto" w:fill="D0EBF2"/>
          </w:tcPr>
          <w:p>
            <w:pPr>
              <w:spacing w:after="0"/>
              <w:rPr>
                <w:sz w:val="20"/>
                <w:szCs w:val="20"/>
                <w:color w:val="auto"/>
              </w:rPr>
            </w:pPr>
          </w:p>
        </w:tc>
        <w:tc>
          <w:tcPr>
            <w:tcW w:w="1120" w:type="dxa"/>
            <w:vAlign w:val="bottom"/>
            <w:vMerge w:val="continue"/>
            <w:shd w:val="clear" w:color="auto" w:fill="D0EBF2"/>
          </w:tcPr>
          <w:p>
            <w:pPr>
              <w:spacing w:after="0"/>
              <w:rPr>
                <w:sz w:val="20"/>
                <w:szCs w:val="20"/>
                <w:color w:val="auto"/>
              </w:rPr>
            </w:pPr>
          </w:p>
        </w:tc>
        <w:tc>
          <w:tcPr>
            <w:tcW w:w="80" w:type="dxa"/>
            <w:vAlign w:val="bottom"/>
            <w:shd w:val="clear" w:color="auto" w:fill="D0EBF2"/>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860" w:type="dxa"/>
            <w:vAlign w:val="bottom"/>
            <w:shd w:val="clear" w:color="auto" w:fill="FDFDFC"/>
          </w:tcPr>
          <w:p>
            <w:pPr>
              <w:spacing w:after="0"/>
              <w:rPr>
                <w:sz w:val="20"/>
                <w:szCs w:val="20"/>
                <w:color w:val="auto"/>
              </w:rPr>
            </w:pPr>
            <w:r>
              <w:rPr>
                <w:rFonts w:ascii="Times New Roman" w:cs="Times New Roman" w:eastAsia="Times New Roman" w:hAnsi="Times New Roman"/>
                <w:sz w:val="19"/>
                <w:szCs w:val="19"/>
                <w:color w:val="231F20"/>
              </w:rPr>
              <w:t>TradingScreen, Inc. - Revolver</w:t>
            </w:r>
          </w:p>
        </w:tc>
        <w:tc>
          <w:tcPr>
            <w:tcW w:w="120" w:type="dxa"/>
            <w:vAlign w:val="bottom"/>
            <w:shd w:val="clear" w:color="auto" w:fill="FDFDFC"/>
          </w:tcPr>
          <w:p>
            <w:pPr>
              <w:spacing w:after="0"/>
              <w:rPr>
                <w:sz w:val="20"/>
                <w:szCs w:val="20"/>
                <w:color w:val="auto"/>
              </w:rPr>
            </w:pPr>
          </w:p>
        </w:tc>
        <w:tc>
          <w:tcPr>
            <w:tcW w:w="700" w:type="dxa"/>
            <w:vAlign w:val="bottom"/>
            <w:shd w:val="clear" w:color="auto" w:fill="FDFDFC"/>
          </w:tcPr>
          <w:p>
            <w:pPr>
              <w:spacing w:after="0"/>
              <w:rPr>
                <w:sz w:val="20"/>
                <w:szCs w:val="20"/>
                <w:color w:val="auto"/>
              </w:rPr>
            </w:pPr>
          </w:p>
        </w:tc>
        <w:tc>
          <w:tcPr>
            <w:tcW w:w="1040" w:type="dxa"/>
            <w:vAlign w:val="bottom"/>
            <w:shd w:val="clear" w:color="auto" w:fill="FDFDFC"/>
          </w:tcPr>
          <w:p>
            <w:pPr>
              <w:jc w:val="right"/>
              <w:spacing w:after="0"/>
              <w:rPr>
                <w:sz w:val="20"/>
                <w:szCs w:val="20"/>
                <w:color w:val="auto"/>
              </w:rPr>
            </w:pPr>
            <w:r>
              <w:rPr>
                <w:rFonts w:ascii="Times New Roman" w:cs="Times New Roman" w:eastAsia="Times New Roman" w:hAnsi="Times New Roman"/>
                <w:sz w:val="19"/>
                <w:szCs w:val="19"/>
                <w:color w:val="231F20"/>
              </w:rPr>
              <w:t>0.8</w:t>
            </w:r>
          </w:p>
        </w:tc>
        <w:tc>
          <w:tcPr>
            <w:tcW w:w="220" w:type="dxa"/>
            <w:vAlign w:val="bottom"/>
            <w:shd w:val="clear" w:color="auto" w:fill="FDFDFC"/>
          </w:tcPr>
          <w:p>
            <w:pPr>
              <w:spacing w:after="0"/>
              <w:rPr>
                <w:sz w:val="20"/>
                <w:szCs w:val="20"/>
                <w:color w:val="auto"/>
              </w:rPr>
            </w:pPr>
          </w:p>
        </w:tc>
        <w:tc>
          <w:tcPr>
            <w:tcW w:w="740" w:type="dxa"/>
            <w:vAlign w:val="bottom"/>
            <w:shd w:val="clear" w:color="auto" w:fill="FDFDFC"/>
          </w:tcPr>
          <w:p>
            <w:pPr>
              <w:spacing w:after="0"/>
              <w:rPr>
                <w:sz w:val="20"/>
                <w:szCs w:val="20"/>
                <w:color w:val="auto"/>
              </w:rPr>
            </w:pPr>
          </w:p>
        </w:tc>
        <w:tc>
          <w:tcPr>
            <w:tcW w:w="1200" w:type="dxa"/>
            <w:vAlign w:val="bottom"/>
            <w:gridSpan w:val="2"/>
            <w:shd w:val="clear" w:color="auto" w:fill="FDFDFC"/>
          </w:tcPr>
          <w:p>
            <w:pPr>
              <w:jc w:val="right"/>
              <w:ind w:right="120"/>
              <w:spacing w:after="0"/>
              <w:rPr>
                <w:sz w:val="20"/>
                <w:szCs w:val="20"/>
                <w:color w:val="auto"/>
              </w:rPr>
            </w:pPr>
            <w:r>
              <w:rPr>
                <w:rFonts w:ascii="Times New Roman" w:cs="Times New Roman" w:eastAsia="Times New Roman" w:hAnsi="Times New Roman"/>
                <w:sz w:val="19"/>
                <w:szCs w:val="19"/>
                <w:color w:val="231F20"/>
              </w:rPr>
              <w:t>—</w:t>
            </w:r>
          </w:p>
        </w:tc>
        <w:tc>
          <w:tcPr>
            <w:tcW w:w="0" w:type="dxa"/>
            <w:vAlign w:val="bottom"/>
          </w:tcPr>
          <w:p>
            <w:pPr>
              <w:spacing w:after="0"/>
              <w:rPr>
                <w:sz w:val="1"/>
                <w:szCs w:val="1"/>
                <w:color w:val="auto"/>
              </w:rPr>
            </w:pPr>
          </w:p>
        </w:tc>
      </w:tr>
      <w:tr>
        <w:trPr>
          <w:trHeight w:val="230"/>
        </w:trPr>
        <w:tc>
          <w:tcPr>
            <w:tcW w:w="4860" w:type="dxa"/>
            <w:vAlign w:val="bottom"/>
            <w:shd w:val="clear" w:color="auto" w:fill="D0EBF2"/>
          </w:tcPr>
          <w:p>
            <w:pPr>
              <w:spacing w:after="0"/>
              <w:rPr>
                <w:sz w:val="20"/>
                <w:szCs w:val="20"/>
                <w:color w:val="auto"/>
              </w:rPr>
            </w:pPr>
            <w:r>
              <w:rPr>
                <w:rFonts w:ascii="Times New Roman" w:cs="Times New Roman" w:eastAsia="Times New Roman" w:hAnsi="Times New Roman"/>
                <w:sz w:val="19"/>
                <w:szCs w:val="19"/>
                <w:color w:val="231F20"/>
              </w:rPr>
              <w:t>TRP Assets, LLC - Delayed Draw</w:t>
            </w:r>
          </w:p>
        </w:tc>
        <w:tc>
          <w:tcPr>
            <w:tcW w:w="120" w:type="dxa"/>
            <w:vAlign w:val="bottom"/>
            <w:shd w:val="clear" w:color="auto" w:fill="D0EBF2"/>
          </w:tcPr>
          <w:p>
            <w:pPr>
              <w:spacing w:after="0"/>
              <w:rPr>
                <w:sz w:val="20"/>
                <w:szCs w:val="20"/>
                <w:color w:val="auto"/>
              </w:rPr>
            </w:pPr>
          </w:p>
        </w:tc>
        <w:tc>
          <w:tcPr>
            <w:tcW w:w="700" w:type="dxa"/>
            <w:vAlign w:val="bottom"/>
            <w:shd w:val="clear" w:color="auto" w:fill="D0EBF2"/>
          </w:tcPr>
          <w:p>
            <w:pPr>
              <w:spacing w:after="0"/>
              <w:rPr>
                <w:sz w:val="20"/>
                <w:szCs w:val="20"/>
                <w:color w:val="auto"/>
              </w:rPr>
            </w:pPr>
          </w:p>
        </w:tc>
        <w:tc>
          <w:tcPr>
            <w:tcW w:w="1040" w:type="dxa"/>
            <w:vAlign w:val="bottom"/>
            <w:shd w:val="clear" w:color="auto" w:fill="D0EBF2"/>
          </w:tcPr>
          <w:p>
            <w:pPr>
              <w:jc w:val="right"/>
              <w:spacing w:after="0"/>
              <w:rPr>
                <w:sz w:val="20"/>
                <w:szCs w:val="20"/>
                <w:color w:val="auto"/>
              </w:rPr>
            </w:pPr>
            <w:r>
              <w:rPr>
                <w:rFonts w:ascii="Times New Roman" w:cs="Times New Roman" w:eastAsia="Times New Roman" w:hAnsi="Times New Roman"/>
                <w:sz w:val="19"/>
                <w:szCs w:val="19"/>
                <w:color w:val="231F20"/>
              </w:rPr>
              <w:t>10.2</w:t>
            </w:r>
          </w:p>
        </w:tc>
        <w:tc>
          <w:tcPr>
            <w:tcW w:w="220" w:type="dxa"/>
            <w:vAlign w:val="bottom"/>
            <w:shd w:val="clear" w:color="auto" w:fill="D0EBF2"/>
          </w:tcPr>
          <w:p>
            <w:pPr>
              <w:spacing w:after="0"/>
              <w:rPr>
                <w:sz w:val="20"/>
                <w:szCs w:val="20"/>
                <w:color w:val="auto"/>
              </w:rPr>
            </w:pPr>
          </w:p>
        </w:tc>
        <w:tc>
          <w:tcPr>
            <w:tcW w:w="740" w:type="dxa"/>
            <w:vAlign w:val="bottom"/>
            <w:shd w:val="clear" w:color="auto" w:fill="D0EBF2"/>
          </w:tcPr>
          <w:p>
            <w:pPr>
              <w:spacing w:after="0"/>
              <w:rPr>
                <w:sz w:val="20"/>
                <w:szCs w:val="20"/>
                <w:color w:val="auto"/>
              </w:rPr>
            </w:pPr>
          </w:p>
        </w:tc>
        <w:tc>
          <w:tcPr>
            <w:tcW w:w="1120" w:type="dxa"/>
            <w:vAlign w:val="bottom"/>
            <w:shd w:val="clear" w:color="auto" w:fill="D0EBF2"/>
          </w:tcPr>
          <w:p>
            <w:pPr>
              <w:jc w:val="right"/>
              <w:spacing w:after="0"/>
              <w:rPr>
                <w:sz w:val="20"/>
                <w:szCs w:val="20"/>
                <w:color w:val="auto"/>
              </w:rPr>
            </w:pPr>
            <w:r>
              <w:rPr>
                <w:rFonts w:ascii="Times New Roman" w:cs="Times New Roman" w:eastAsia="Times New Roman" w:hAnsi="Times New Roman"/>
                <w:sz w:val="19"/>
                <w:szCs w:val="19"/>
                <w:color w:val="231F20"/>
              </w:rPr>
              <w:t>1.0</w:t>
            </w:r>
          </w:p>
        </w:tc>
        <w:tc>
          <w:tcPr>
            <w:tcW w:w="80" w:type="dxa"/>
            <w:vAlign w:val="bottom"/>
            <w:shd w:val="clear" w:color="auto" w:fill="D0EBF2"/>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860" w:type="dxa"/>
            <w:vAlign w:val="bottom"/>
            <w:shd w:val="clear" w:color="auto" w:fill="FDFDFC"/>
          </w:tcPr>
          <w:p>
            <w:pPr>
              <w:spacing w:after="0"/>
              <w:rPr>
                <w:sz w:val="20"/>
                <w:szCs w:val="20"/>
                <w:color w:val="auto"/>
              </w:rPr>
            </w:pPr>
            <w:r>
              <w:rPr>
                <w:rFonts w:ascii="Times New Roman" w:cs="Times New Roman" w:eastAsia="Times New Roman" w:hAnsi="Times New Roman"/>
                <w:sz w:val="19"/>
                <w:szCs w:val="19"/>
                <w:color w:val="231F20"/>
              </w:rPr>
              <w:t>Truck-Lite Co., LLC - Delayed Draw &amp; Revolver</w:t>
            </w:r>
          </w:p>
        </w:tc>
        <w:tc>
          <w:tcPr>
            <w:tcW w:w="120" w:type="dxa"/>
            <w:vAlign w:val="bottom"/>
            <w:shd w:val="clear" w:color="auto" w:fill="FDFDFC"/>
          </w:tcPr>
          <w:p>
            <w:pPr>
              <w:spacing w:after="0"/>
              <w:rPr>
                <w:sz w:val="20"/>
                <w:szCs w:val="20"/>
                <w:color w:val="auto"/>
              </w:rPr>
            </w:pPr>
          </w:p>
        </w:tc>
        <w:tc>
          <w:tcPr>
            <w:tcW w:w="700" w:type="dxa"/>
            <w:vAlign w:val="bottom"/>
            <w:shd w:val="clear" w:color="auto" w:fill="FDFDFC"/>
          </w:tcPr>
          <w:p>
            <w:pPr>
              <w:spacing w:after="0"/>
              <w:rPr>
                <w:sz w:val="20"/>
                <w:szCs w:val="20"/>
                <w:color w:val="auto"/>
              </w:rPr>
            </w:pPr>
          </w:p>
        </w:tc>
        <w:tc>
          <w:tcPr>
            <w:tcW w:w="1040" w:type="dxa"/>
            <w:vAlign w:val="bottom"/>
            <w:shd w:val="clear" w:color="auto" w:fill="FDFDFC"/>
          </w:tcPr>
          <w:p>
            <w:pPr>
              <w:jc w:val="right"/>
              <w:spacing w:after="0"/>
              <w:rPr>
                <w:sz w:val="20"/>
                <w:szCs w:val="20"/>
                <w:color w:val="auto"/>
              </w:rPr>
            </w:pPr>
            <w:r>
              <w:rPr>
                <w:rFonts w:ascii="Times New Roman" w:cs="Times New Roman" w:eastAsia="Times New Roman" w:hAnsi="Times New Roman"/>
                <w:sz w:val="19"/>
                <w:szCs w:val="19"/>
                <w:color w:val="231F20"/>
              </w:rPr>
              <w:t>8.7</w:t>
            </w:r>
          </w:p>
        </w:tc>
        <w:tc>
          <w:tcPr>
            <w:tcW w:w="220" w:type="dxa"/>
            <w:vAlign w:val="bottom"/>
            <w:shd w:val="clear" w:color="auto" w:fill="FDFDFC"/>
          </w:tcPr>
          <w:p>
            <w:pPr>
              <w:spacing w:after="0"/>
              <w:rPr>
                <w:sz w:val="20"/>
                <w:szCs w:val="20"/>
                <w:color w:val="auto"/>
              </w:rPr>
            </w:pPr>
          </w:p>
        </w:tc>
        <w:tc>
          <w:tcPr>
            <w:tcW w:w="740" w:type="dxa"/>
            <w:vAlign w:val="bottom"/>
            <w:shd w:val="clear" w:color="auto" w:fill="FDFDFC"/>
          </w:tcPr>
          <w:p>
            <w:pPr>
              <w:spacing w:after="0"/>
              <w:rPr>
                <w:sz w:val="20"/>
                <w:szCs w:val="20"/>
                <w:color w:val="auto"/>
              </w:rPr>
            </w:pPr>
          </w:p>
        </w:tc>
        <w:tc>
          <w:tcPr>
            <w:tcW w:w="1200" w:type="dxa"/>
            <w:vAlign w:val="bottom"/>
            <w:gridSpan w:val="2"/>
            <w:shd w:val="clear" w:color="auto" w:fill="FDFDFC"/>
          </w:tcPr>
          <w:p>
            <w:pPr>
              <w:jc w:val="right"/>
              <w:ind w:right="120"/>
              <w:spacing w:after="0"/>
              <w:rPr>
                <w:sz w:val="20"/>
                <w:szCs w:val="20"/>
                <w:color w:val="auto"/>
              </w:rPr>
            </w:pPr>
            <w:r>
              <w:rPr>
                <w:rFonts w:ascii="Times New Roman" w:cs="Times New Roman" w:eastAsia="Times New Roman" w:hAnsi="Times New Roman"/>
                <w:sz w:val="19"/>
                <w:szCs w:val="19"/>
                <w:color w:val="231F20"/>
              </w:rPr>
              <w:t>—</w:t>
            </w:r>
          </w:p>
        </w:tc>
        <w:tc>
          <w:tcPr>
            <w:tcW w:w="0" w:type="dxa"/>
            <w:vAlign w:val="bottom"/>
          </w:tcPr>
          <w:p>
            <w:pPr>
              <w:spacing w:after="0"/>
              <w:rPr>
                <w:sz w:val="1"/>
                <w:szCs w:val="1"/>
                <w:color w:val="auto"/>
              </w:rPr>
            </w:pPr>
          </w:p>
        </w:tc>
      </w:tr>
      <w:tr>
        <w:trPr>
          <w:trHeight w:val="230"/>
        </w:trPr>
        <w:tc>
          <w:tcPr>
            <w:tcW w:w="4860" w:type="dxa"/>
            <w:vAlign w:val="bottom"/>
            <w:shd w:val="clear" w:color="auto" w:fill="D0EBF2"/>
          </w:tcPr>
          <w:p>
            <w:pPr>
              <w:spacing w:after="0"/>
              <w:rPr>
                <w:sz w:val="20"/>
                <w:szCs w:val="20"/>
                <w:color w:val="auto"/>
              </w:rPr>
            </w:pPr>
            <w:r>
              <w:rPr>
                <w:rFonts w:ascii="Times New Roman" w:cs="Times New Roman" w:eastAsia="Times New Roman" w:hAnsi="Times New Roman"/>
                <w:sz w:val="19"/>
                <w:szCs w:val="19"/>
                <w:color w:val="231F20"/>
              </w:rPr>
              <w:t>USA Debusk LLC - Delayed Draw &amp; Revolver</w:t>
            </w:r>
          </w:p>
        </w:tc>
        <w:tc>
          <w:tcPr>
            <w:tcW w:w="120" w:type="dxa"/>
            <w:vAlign w:val="bottom"/>
            <w:shd w:val="clear" w:color="auto" w:fill="D0EBF2"/>
          </w:tcPr>
          <w:p>
            <w:pPr>
              <w:spacing w:after="0"/>
              <w:rPr>
                <w:sz w:val="20"/>
                <w:szCs w:val="20"/>
                <w:color w:val="auto"/>
              </w:rPr>
            </w:pPr>
          </w:p>
        </w:tc>
        <w:tc>
          <w:tcPr>
            <w:tcW w:w="700" w:type="dxa"/>
            <w:vAlign w:val="bottom"/>
            <w:shd w:val="clear" w:color="auto" w:fill="D0EBF2"/>
          </w:tcPr>
          <w:p>
            <w:pPr>
              <w:spacing w:after="0"/>
              <w:rPr>
                <w:sz w:val="20"/>
                <w:szCs w:val="20"/>
                <w:color w:val="auto"/>
              </w:rPr>
            </w:pPr>
          </w:p>
        </w:tc>
        <w:tc>
          <w:tcPr>
            <w:tcW w:w="1040" w:type="dxa"/>
            <w:vAlign w:val="bottom"/>
            <w:shd w:val="clear" w:color="auto" w:fill="D0EBF2"/>
          </w:tcPr>
          <w:p>
            <w:pPr>
              <w:jc w:val="right"/>
              <w:spacing w:after="0"/>
              <w:rPr>
                <w:sz w:val="20"/>
                <w:szCs w:val="20"/>
                <w:color w:val="auto"/>
              </w:rPr>
            </w:pPr>
            <w:r>
              <w:rPr>
                <w:rFonts w:ascii="Times New Roman" w:cs="Times New Roman" w:eastAsia="Times New Roman" w:hAnsi="Times New Roman"/>
                <w:sz w:val="19"/>
                <w:szCs w:val="19"/>
                <w:color w:val="231F20"/>
              </w:rPr>
              <w:t>2.8</w:t>
            </w:r>
          </w:p>
        </w:tc>
        <w:tc>
          <w:tcPr>
            <w:tcW w:w="220" w:type="dxa"/>
            <w:vAlign w:val="bottom"/>
            <w:shd w:val="clear" w:color="auto" w:fill="D0EBF2"/>
          </w:tcPr>
          <w:p>
            <w:pPr>
              <w:spacing w:after="0"/>
              <w:rPr>
                <w:sz w:val="20"/>
                <w:szCs w:val="20"/>
                <w:color w:val="auto"/>
              </w:rPr>
            </w:pPr>
          </w:p>
        </w:tc>
        <w:tc>
          <w:tcPr>
            <w:tcW w:w="740" w:type="dxa"/>
            <w:vAlign w:val="bottom"/>
            <w:shd w:val="clear" w:color="auto" w:fill="D0EBF2"/>
          </w:tcPr>
          <w:p>
            <w:pPr>
              <w:spacing w:after="0"/>
              <w:rPr>
                <w:sz w:val="20"/>
                <w:szCs w:val="20"/>
                <w:color w:val="auto"/>
              </w:rPr>
            </w:pPr>
          </w:p>
        </w:tc>
        <w:tc>
          <w:tcPr>
            <w:tcW w:w="1200" w:type="dxa"/>
            <w:vAlign w:val="bottom"/>
            <w:gridSpan w:val="2"/>
            <w:shd w:val="clear" w:color="auto" w:fill="D0EBF2"/>
          </w:tcPr>
          <w:p>
            <w:pPr>
              <w:jc w:val="right"/>
              <w:ind w:right="120"/>
              <w:spacing w:after="0"/>
              <w:rPr>
                <w:sz w:val="20"/>
                <w:szCs w:val="20"/>
                <w:color w:val="auto"/>
              </w:rPr>
            </w:pPr>
            <w:r>
              <w:rPr>
                <w:rFonts w:ascii="Times New Roman" w:cs="Times New Roman" w:eastAsia="Times New Roman" w:hAnsi="Times New Roman"/>
                <w:sz w:val="19"/>
                <w:szCs w:val="19"/>
                <w:color w:val="231F20"/>
              </w:rPr>
              <w:t>—</w:t>
            </w:r>
          </w:p>
        </w:tc>
        <w:tc>
          <w:tcPr>
            <w:tcW w:w="0" w:type="dxa"/>
            <w:vAlign w:val="bottom"/>
          </w:tcPr>
          <w:p>
            <w:pPr>
              <w:spacing w:after="0"/>
              <w:rPr>
                <w:sz w:val="1"/>
                <w:szCs w:val="1"/>
                <w:color w:val="auto"/>
              </w:rPr>
            </w:pPr>
          </w:p>
        </w:tc>
      </w:tr>
      <w:tr>
        <w:trPr>
          <w:trHeight w:val="230"/>
        </w:trPr>
        <w:tc>
          <w:tcPr>
            <w:tcW w:w="4860" w:type="dxa"/>
            <w:vAlign w:val="bottom"/>
            <w:shd w:val="clear" w:color="auto" w:fill="FDFDFC"/>
          </w:tcPr>
          <w:p>
            <w:pPr>
              <w:spacing w:after="0"/>
              <w:rPr>
                <w:sz w:val="20"/>
                <w:szCs w:val="20"/>
                <w:color w:val="auto"/>
              </w:rPr>
            </w:pPr>
            <w:r>
              <w:rPr>
                <w:rFonts w:ascii="Times New Roman" w:cs="Times New Roman" w:eastAsia="Times New Roman" w:hAnsi="Times New Roman"/>
                <w:sz w:val="19"/>
                <w:szCs w:val="19"/>
                <w:color w:val="231F20"/>
              </w:rPr>
              <w:t>Varinem German Bidco GmbH - Delayed Draw</w:t>
            </w:r>
          </w:p>
        </w:tc>
        <w:tc>
          <w:tcPr>
            <w:tcW w:w="120" w:type="dxa"/>
            <w:vAlign w:val="bottom"/>
            <w:shd w:val="clear" w:color="auto" w:fill="FDFDFC"/>
          </w:tcPr>
          <w:p>
            <w:pPr>
              <w:spacing w:after="0"/>
              <w:rPr>
                <w:sz w:val="20"/>
                <w:szCs w:val="20"/>
                <w:color w:val="auto"/>
              </w:rPr>
            </w:pPr>
          </w:p>
        </w:tc>
        <w:tc>
          <w:tcPr>
            <w:tcW w:w="700" w:type="dxa"/>
            <w:vAlign w:val="bottom"/>
            <w:shd w:val="clear" w:color="auto" w:fill="FDFDFC"/>
          </w:tcPr>
          <w:p>
            <w:pPr>
              <w:spacing w:after="0"/>
              <w:rPr>
                <w:sz w:val="20"/>
                <w:szCs w:val="20"/>
                <w:color w:val="auto"/>
              </w:rPr>
            </w:pPr>
          </w:p>
        </w:tc>
        <w:tc>
          <w:tcPr>
            <w:tcW w:w="1040" w:type="dxa"/>
            <w:vAlign w:val="bottom"/>
            <w:shd w:val="clear" w:color="auto" w:fill="FDFDFC"/>
          </w:tcPr>
          <w:p>
            <w:pPr>
              <w:jc w:val="right"/>
              <w:spacing w:after="0"/>
              <w:rPr>
                <w:sz w:val="20"/>
                <w:szCs w:val="20"/>
                <w:color w:val="auto"/>
              </w:rPr>
            </w:pPr>
            <w:r>
              <w:rPr>
                <w:rFonts w:ascii="Times New Roman" w:cs="Times New Roman" w:eastAsia="Times New Roman" w:hAnsi="Times New Roman"/>
                <w:sz w:val="19"/>
                <w:szCs w:val="19"/>
                <w:color w:val="231F20"/>
              </w:rPr>
              <w:t>3.6</w:t>
            </w:r>
          </w:p>
        </w:tc>
        <w:tc>
          <w:tcPr>
            <w:tcW w:w="220" w:type="dxa"/>
            <w:vAlign w:val="bottom"/>
            <w:shd w:val="clear" w:color="auto" w:fill="FDFDFC"/>
          </w:tcPr>
          <w:p>
            <w:pPr>
              <w:spacing w:after="0"/>
              <w:rPr>
                <w:sz w:val="20"/>
                <w:szCs w:val="20"/>
                <w:color w:val="auto"/>
              </w:rPr>
            </w:pPr>
          </w:p>
        </w:tc>
        <w:tc>
          <w:tcPr>
            <w:tcW w:w="740" w:type="dxa"/>
            <w:vAlign w:val="bottom"/>
            <w:shd w:val="clear" w:color="auto" w:fill="FDFDFC"/>
          </w:tcPr>
          <w:p>
            <w:pPr>
              <w:spacing w:after="0"/>
              <w:rPr>
                <w:sz w:val="20"/>
                <w:szCs w:val="20"/>
                <w:color w:val="auto"/>
              </w:rPr>
            </w:pPr>
          </w:p>
        </w:tc>
        <w:tc>
          <w:tcPr>
            <w:tcW w:w="1200" w:type="dxa"/>
            <w:vAlign w:val="bottom"/>
            <w:gridSpan w:val="2"/>
            <w:shd w:val="clear" w:color="auto" w:fill="FDFDFC"/>
          </w:tcPr>
          <w:p>
            <w:pPr>
              <w:jc w:val="right"/>
              <w:ind w:right="120"/>
              <w:spacing w:after="0"/>
              <w:rPr>
                <w:sz w:val="20"/>
                <w:szCs w:val="20"/>
                <w:color w:val="auto"/>
              </w:rPr>
            </w:pPr>
            <w:r>
              <w:rPr>
                <w:rFonts w:ascii="Times New Roman" w:cs="Times New Roman" w:eastAsia="Times New Roman" w:hAnsi="Times New Roman"/>
                <w:sz w:val="19"/>
                <w:szCs w:val="19"/>
                <w:color w:val="231F20"/>
              </w:rPr>
              <w:t>—</w:t>
            </w:r>
          </w:p>
        </w:tc>
        <w:tc>
          <w:tcPr>
            <w:tcW w:w="0" w:type="dxa"/>
            <w:vAlign w:val="bottom"/>
          </w:tcPr>
          <w:p>
            <w:pPr>
              <w:spacing w:after="0"/>
              <w:rPr>
                <w:sz w:val="1"/>
                <w:szCs w:val="1"/>
                <w:color w:val="auto"/>
              </w:rPr>
            </w:pPr>
          </w:p>
        </w:tc>
      </w:tr>
      <w:tr>
        <w:trPr>
          <w:trHeight w:val="230"/>
        </w:trPr>
        <w:tc>
          <w:tcPr>
            <w:tcW w:w="4860" w:type="dxa"/>
            <w:vAlign w:val="bottom"/>
            <w:tcBorders>
              <w:bottom w:val="single" w:sz="8" w:color="FDFDFC"/>
            </w:tcBorders>
            <w:shd w:val="clear" w:color="auto" w:fill="D0EBF2"/>
          </w:tcPr>
          <w:p>
            <w:pPr>
              <w:spacing w:after="0"/>
              <w:rPr>
                <w:sz w:val="20"/>
                <w:szCs w:val="20"/>
                <w:color w:val="auto"/>
              </w:rPr>
            </w:pPr>
            <w:r>
              <w:rPr>
                <w:rFonts w:ascii="Times New Roman" w:cs="Times New Roman" w:eastAsia="Times New Roman" w:hAnsi="Times New Roman"/>
                <w:sz w:val="19"/>
                <w:szCs w:val="19"/>
                <w:color w:val="231F20"/>
              </w:rPr>
              <w:t>Wrangler Topco, LLC - Delayed Draw &amp; Revolver</w:t>
            </w:r>
          </w:p>
        </w:tc>
        <w:tc>
          <w:tcPr>
            <w:tcW w:w="120" w:type="dxa"/>
            <w:vAlign w:val="bottom"/>
            <w:tcBorders>
              <w:bottom w:val="single" w:sz="8" w:color="FDFDFC"/>
            </w:tcBorders>
            <w:shd w:val="clear" w:color="auto" w:fill="D0EBF2"/>
          </w:tcPr>
          <w:p>
            <w:pPr>
              <w:spacing w:after="0"/>
              <w:rPr>
                <w:sz w:val="20"/>
                <w:szCs w:val="20"/>
                <w:color w:val="auto"/>
              </w:rPr>
            </w:pPr>
          </w:p>
        </w:tc>
        <w:tc>
          <w:tcPr>
            <w:tcW w:w="700" w:type="dxa"/>
            <w:vAlign w:val="bottom"/>
            <w:tcBorders>
              <w:bottom w:val="single" w:sz="8" w:color="231F20"/>
            </w:tcBorders>
            <w:shd w:val="clear" w:color="auto" w:fill="D0EBF2"/>
          </w:tcPr>
          <w:p>
            <w:pPr>
              <w:spacing w:after="0"/>
              <w:rPr>
                <w:sz w:val="20"/>
                <w:szCs w:val="20"/>
                <w:color w:val="auto"/>
              </w:rPr>
            </w:pPr>
          </w:p>
        </w:tc>
        <w:tc>
          <w:tcPr>
            <w:tcW w:w="1040" w:type="dxa"/>
            <w:vAlign w:val="bottom"/>
            <w:tcBorders>
              <w:bottom w:val="single" w:sz="8" w:color="231F20"/>
            </w:tcBorders>
            <w:shd w:val="clear" w:color="auto" w:fill="D0EBF2"/>
          </w:tcPr>
          <w:p>
            <w:pPr>
              <w:jc w:val="right"/>
              <w:spacing w:after="0"/>
              <w:rPr>
                <w:sz w:val="20"/>
                <w:szCs w:val="20"/>
                <w:color w:val="auto"/>
              </w:rPr>
            </w:pPr>
            <w:r>
              <w:rPr>
                <w:rFonts w:ascii="Times New Roman" w:cs="Times New Roman" w:eastAsia="Times New Roman" w:hAnsi="Times New Roman"/>
                <w:sz w:val="19"/>
                <w:szCs w:val="19"/>
                <w:color w:val="231F20"/>
              </w:rPr>
              <w:t>1.4</w:t>
            </w:r>
          </w:p>
        </w:tc>
        <w:tc>
          <w:tcPr>
            <w:tcW w:w="220" w:type="dxa"/>
            <w:vAlign w:val="bottom"/>
            <w:tcBorders>
              <w:bottom w:val="single" w:sz="8" w:color="FDFDFC"/>
            </w:tcBorders>
            <w:shd w:val="clear" w:color="auto" w:fill="D0EBF2"/>
          </w:tcPr>
          <w:p>
            <w:pPr>
              <w:spacing w:after="0"/>
              <w:rPr>
                <w:sz w:val="20"/>
                <w:szCs w:val="20"/>
                <w:color w:val="auto"/>
              </w:rPr>
            </w:pPr>
          </w:p>
        </w:tc>
        <w:tc>
          <w:tcPr>
            <w:tcW w:w="740" w:type="dxa"/>
            <w:vAlign w:val="bottom"/>
            <w:tcBorders>
              <w:bottom w:val="single" w:sz="8" w:color="231F20"/>
            </w:tcBorders>
            <w:shd w:val="clear" w:color="auto" w:fill="D0EBF2"/>
          </w:tcPr>
          <w:p>
            <w:pPr>
              <w:spacing w:after="0"/>
              <w:rPr>
                <w:sz w:val="20"/>
                <w:szCs w:val="20"/>
                <w:color w:val="auto"/>
              </w:rPr>
            </w:pPr>
          </w:p>
        </w:tc>
        <w:tc>
          <w:tcPr>
            <w:tcW w:w="1120" w:type="dxa"/>
            <w:vAlign w:val="bottom"/>
            <w:tcBorders>
              <w:bottom w:val="single" w:sz="8" w:color="231F20"/>
            </w:tcBorders>
            <w:shd w:val="clear" w:color="auto" w:fill="D0EBF2"/>
          </w:tcPr>
          <w:p>
            <w:pPr>
              <w:jc w:val="right"/>
              <w:spacing w:after="0"/>
              <w:rPr>
                <w:sz w:val="20"/>
                <w:szCs w:val="20"/>
                <w:color w:val="auto"/>
              </w:rPr>
            </w:pPr>
            <w:r>
              <w:rPr>
                <w:rFonts w:ascii="Times New Roman" w:cs="Times New Roman" w:eastAsia="Times New Roman" w:hAnsi="Times New Roman"/>
                <w:sz w:val="19"/>
                <w:szCs w:val="19"/>
                <w:color w:val="231F20"/>
              </w:rPr>
              <w:t>0.4</w:t>
            </w:r>
          </w:p>
        </w:tc>
        <w:tc>
          <w:tcPr>
            <w:tcW w:w="80" w:type="dxa"/>
            <w:vAlign w:val="bottom"/>
            <w:tcBorders>
              <w:bottom w:val="single" w:sz="8" w:color="FDFDFC"/>
            </w:tcBorders>
            <w:shd w:val="clear" w:color="auto" w:fill="D0EBF2"/>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4860" w:type="dxa"/>
            <w:vAlign w:val="bottom"/>
            <w:shd w:val="clear" w:color="auto" w:fill="FDFDFC"/>
          </w:tcPr>
          <w:p>
            <w:pPr>
              <w:ind w:left="100"/>
              <w:spacing w:after="0" w:line="220" w:lineRule="exact"/>
              <w:rPr>
                <w:sz w:val="20"/>
                <w:szCs w:val="20"/>
                <w:color w:val="auto"/>
              </w:rPr>
            </w:pPr>
            <w:r>
              <w:rPr>
                <w:rFonts w:ascii="Times New Roman" w:cs="Times New Roman" w:eastAsia="Times New Roman" w:hAnsi="Times New Roman"/>
                <w:sz w:val="19"/>
                <w:szCs w:val="19"/>
                <w:b w:val="1"/>
                <w:bCs w:val="1"/>
                <w:color w:val="231F20"/>
              </w:rPr>
              <w:t xml:space="preserve">Total Portfolio Company Commitments </w:t>
            </w:r>
            <w:r>
              <w:rPr>
                <w:rFonts w:ascii="Times New Roman" w:cs="Times New Roman" w:eastAsia="Times New Roman" w:hAnsi="Times New Roman"/>
                <w:sz w:val="24"/>
                <w:szCs w:val="24"/>
                <w:b w:val="1"/>
                <w:bCs w:val="1"/>
                <w:color w:val="231F20"/>
                <w:vertAlign w:val="superscript"/>
              </w:rPr>
              <w:t>(1)(2)</w:t>
            </w:r>
          </w:p>
        </w:tc>
        <w:tc>
          <w:tcPr>
            <w:tcW w:w="120" w:type="dxa"/>
            <w:vAlign w:val="bottom"/>
            <w:shd w:val="clear" w:color="auto" w:fill="FDFDFC"/>
          </w:tcPr>
          <w:p>
            <w:pPr>
              <w:spacing w:after="0"/>
              <w:rPr>
                <w:sz w:val="19"/>
                <w:szCs w:val="19"/>
                <w:color w:val="auto"/>
              </w:rPr>
            </w:pPr>
          </w:p>
        </w:tc>
        <w:tc>
          <w:tcPr>
            <w:tcW w:w="700" w:type="dxa"/>
            <w:vAlign w:val="bottom"/>
            <w:tcBorders>
              <w:bottom w:val="single" w:sz="8" w:color="231F20"/>
            </w:tcBorders>
            <w:shd w:val="clear" w:color="auto" w:fill="FDFDFC"/>
          </w:tcPr>
          <w:p>
            <w:pPr>
              <w:jc w:val="right"/>
              <w:ind w:right="506"/>
              <w:spacing w:after="0"/>
              <w:rPr>
                <w:sz w:val="20"/>
                <w:szCs w:val="20"/>
                <w:color w:val="auto"/>
              </w:rPr>
            </w:pPr>
            <w:r>
              <w:rPr>
                <w:rFonts w:ascii="Times New Roman" w:cs="Times New Roman" w:eastAsia="Times New Roman" w:hAnsi="Times New Roman"/>
                <w:sz w:val="19"/>
                <w:szCs w:val="19"/>
                <w:color w:val="231F20"/>
                <w:w w:val="83"/>
              </w:rPr>
              <w:t>$</w:t>
            </w:r>
          </w:p>
        </w:tc>
        <w:tc>
          <w:tcPr>
            <w:tcW w:w="1040" w:type="dxa"/>
            <w:vAlign w:val="bottom"/>
            <w:tcBorders>
              <w:bottom w:val="single" w:sz="8" w:color="231F20"/>
            </w:tcBorders>
            <w:shd w:val="clear" w:color="auto" w:fill="FDFDFC"/>
          </w:tcPr>
          <w:p>
            <w:pPr>
              <w:jc w:val="right"/>
              <w:spacing w:after="0"/>
              <w:rPr>
                <w:sz w:val="20"/>
                <w:szCs w:val="20"/>
                <w:color w:val="auto"/>
              </w:rPr>
            </w:pPr>
            <w:r>
              <w:rPr>
                <w:rFonts w:ascii="Times New Roman" w:cs="Times New Roman" w:eastAsia="Times New Roman" w:hAnsi="Times New Roman"/>
                <w:sz w:val="19"/>
                <w:szCs w:val="19"/>
                <w:color w:val="231F20"/>
              </w:rPr>
              <w:t>356.3</w:t>
            </w:r>
          </w:p>
        </w:tc>
        <w:tc>
          <w:tcPr>
            <w:tcW w:w="220" w:type="dxa"/>
            <w:vAlign w:val="bottom"/>
            <w:shd w:val="clear" w:color="auto" w:fill="FDFDFC"/>
          </w:tcPr>
          <w:p>
            <w:pPr>
              <w:spacing w:after="0"/>
              <w:rPr>
                <w:sz w:val="19"/>
                <w:szCs w:val="19"/>
                <w:color w:val="auto"/>
              </w:rPr>
            </w:pPr>
          </w:p>
        </w:tc>
        <w:tc>
          <w:tcPr>
            <w:tcW w:w="740" w:type="dxa"/>
            <w:vAlign w:val="bottom"/>
            <w:tcBorders>
              <w:bottom w:val="single" w:sz="8" w:color="231F20"/>
            </w:tcBorders>
            <w:shd w:val="clear" w:color="auto" w:fill="FDFDFC"/>
          </w:tcPr>
          <w:p>
            <w:pPr>
              <w:jc w:val="right"/>
              <w:ind w:right="576"/>
              <w:spacing w:after="0"/>
              <w:rPr>
                <w:sz w:val="20"/>
                <w:szCs w:val="20"/>
                <w:color w:val="auto"/>
              </w:rPr>
            </w:pPr>
            <w:r>
              <w:rPr>
                <w:rFonts w:ascii="Times New Roman" w:cs="Times New Roman" w:eastAsia="Times New Roman" w:hAnsi="Times New Roman"/>
                <w:sz w:val="17"/>
                <w:szCs w:val="17"/>
                <w:color w:val="231F20"/>
                <w:w w:val="70"/>
              </w:rPr>
              <w:t>$</w:t>
            </w:r>
          </w:p>
        </w:tc>
        <w:tc>
          <w:tcPr>
            <w:tcW w:w="1120" w:type="dxa"/>
            <w:vAlign w:val="bottom"/>
            <w:tcBorders>
              <w:bottom w:val="single" w:sz="8" w:color="231F20"/>
            </w:tcBorders>
            <w:shd w:val="clear" w:color="auto" w:fill="FDFDFC"/>
          </w:tcPr>
          <w:p>
            <w:pPr>
              <w:jc w:val="right"/>
              <w:spacing w:after="0"/>
              <w:rPr>
                <w:sz w:val="20"/>
                <w:szCs w:val="20"/>
                <w:color w:val="auto"/>
              </w:rPr>
            </w:pPr>
            <w:r>
              <w:rPr>
                <w:rFonts w:ascii="Times New Roman" w:cs="Times New Roman" w:eastAsia="Times New Roman" w:hAnsi="Times New Roman"/>
                <w:sz w:val="19"/>
                <w:szCs w:val="19"/>
                <w:color w:val="231F20"/>
              </w:rPr>
              <w:t>316.1</w:t>
            </w:r>
          </w:p>
        </w:tc>
        <w:tc>
          <w:tcPr>
            <w:tcW w:w="80" w:type="dxa"/>
            <w:vAlign w:val="bottom"/>
            <w:shd w:val="clear" w:color="auto" w:fill="FDFD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Borders>
              <w:bottom w:val="single" w:sz="8" w:color="231F20"/>
            </w:tcBorders>
          </w:tcPr>
          <w:p>
            <w:pPr>
              <w:spacing w:after="0" w:line="20" w:lineRule="exact"/>
              <w:rPr>
                <w:sz w:val="1"/>
                <w:szCs w:val="1"/>
                <w:color w:val="auto"/>
              </w:rPr>
            </w:pPr>
          </w:p>
        </w:tc>
        <w:tc>
          <w:tcPr>
            <w:tcW w:w="1040" w:type="dxa"/>
            <w:vAlign w:val="bottom"/>
            <w:tcBorders>
              <w:bottom w:val="single" w:sz="8" w:color="231F20"/>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Borders>
              <w:bottom w:val="single" w:sz="8" w:color="231F20"/>
            </w:tcBorders>
          </w:tcPr>
          <w:p>
            <w:pPr>
              <w:spacing w:after="0" w:line="20" w:lineRule="exact"/>
              <w:rPr>
                <w:sz w:val="1"/>
                <w:szCs w:val="1"/>
                <w:color w:val="auto"/>
              </w:rPr>
            </w:pPr>
          </w:p>
        </w:tc>
        <w:tc>
          <w:tcPr>
            <w:tcW w:w="1120" w:type="dxa"/>
            <w:vAlign w:val="bottom"/>
            <w:tcBorders>
              <w:bottom w:val="single" w:sz="8" w:color="231F20"/>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7" w:lineRule="exact"/>
        <w:rPr>
          <w:sz w:val="20"/>
          <w:szCs w:val="20"/>
          <w:color w:val="auto"/>
        </w:rPr>
      </w:pPr>
    </w:p>
    <w:p>
      <w:pPr>
        <w:ind w:left="460" w:right="200" w:hanging="460"/>
        <w:spacing w:after="0" w:line="248" w:lineRule="auto"/>
        <w:tabs>
          <w:tab w:leader="none" w:pos="460" w:val="left"/>
        </w:tabs>
        <w:numPr>
          <w:ilvl w:val="0"/>
          <w:numId w:val="16"/>
        </w:numPr>
        <w:rPr>
          <w:rFonts w:ascii="Times New Roman" w:cs="Times New Roman" w:eastAsia="Times New Roman" w:hAnsi="Times New Roman"/>
          <w:sz w:val="19"/>
          <w:szCs w:val="19"/>
          <w:color w:val="231F20"/>
        </w:rPr>
      </w:pPr>
      <w:r>
        <w:rPr>
          <w:rFonts w:ascii="Times New Roman" w:cs="Times New Roman" w:eastAsia="Times New Roman" w:hAnsi="Times New Roman"/>
          <w:sz w:val="19"/>
          <w:szCs w:val="19"/>
          <w:color w:val="231F20"/>
        </w:rPr>
        <w:t>Represents the full amount of our commitments to fund investments on such date. Commitments may be subject to limitations on borrowings set forth in the agreements between us and the applicable portfolio company. As a result, portfolio companies may not be eligible to borrow the full commitment amount on such date.</w:t>
      </w:r>
    </w:p>
    <w:p>
      <w:pPr>
        <w:spacing w:after="0" w:line="2" w:lineRule="exact"/>
        <w:rPr>
          <w:rFonts w:ascii="Times New Roman" w:cs="Times New Roman" w:eastAsia="Times New Roman" w:hAnsi="Times New Roman"/>
          <w:sz w:val="19"/>
          <w:szCs w:val="19"/>
          <w:color w:val="231F20"/>
        </w:rPr>
      </w:pPr>
    </w:p>
    <w:p>
      <w:pPr>
        <w:ind w:left="460" w:hanging="460"/>
        <w:spacing w:after="0" w:line="245" w:lineRule="auto"/>
        <w:tabs>
          <w:tab w:leader="none" w:pos="460" w:val="left"/>
        </w:tabs>
        <w:numPr>
          <w:ilvl w:val="0"/>
          <w:numId w:val="16"/>
        </w:numPr>
        <w:rPr>
          <w:rFonts w:ascii="Times New Roman" w:cs="Times New Roman" w:eastAsia="Times New Roman" w:hAnsi="Times New Roman"/>
          <w:sz w:val="19"/>
          <w:szCs w:val="19"/>
          <w:color w:val="231F20"/>
        </w:rPr>
      </w:pPr>
      <w:r>
        <w:rPr>
          <w:rFonts w:ascii="Times New Roman" w:cs="Times New Roman" w:eastAsia="Times New Roman" w:hAnsi="Times New Roman"/>
          <w:sz w:val="19"/>
          <w:szCs w:val="19"/>
          <w:color w:val="231F20"/>
        </w:rPr>
        <w:t>Our estimate of the fair value of the current investments in these portfolio companies includes as analysis of the fair value of any unfunded commitments.</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231F20"/>
        </w:rPr>
        <w:t>Other Commitments and Contingencies</w:t>
      </w:r>
    </w:p>
    <w:p>
      <w:pPr>
        <w:spacing w:after="0" w:line="108" w:lineRule="exact"/>
        <w:rPr>
          <w:sz w:val="20"/>
          <w:szCs w:val="20"/>
          <w:color w:val="auto"/>
        </w:rPr>
      </w:pPr>
    </w:p>
    <w:p>
      <w:pPr>
        <w:ind w:right="620" w:firstLine="231"/>
        <w:spacing w:after="0" w:line="275" w:lineRule="auto"/>
        <w:rPr>
          <w:sz w:val="20"/>
          <w:szCs w:val="20"/>
          <w:color w:val="auto"/>
        </w:rPr>
      </w:pPr>
      <w:r>
        <w:rPr>
          <w:rFonts w:ascii="Times New Roman" w:cs="Times New Roman" w:eastAsia="Times New Roman" w:hAnsi="Times New Roman"/>
          <w:sz w:val="19"/>
          <w:szCs w:val="19"/>
          <w:color w:val="231F20"/>
        </w:rPr>
        <w:t>As of December 31, 2024 and December 31, 2023, we did not have any unfunded commitments to fund investments to new borrowers that were not current portfolio companies as of such date.</w:t>
      </w:r>
    </w:p>
    <w:p>
      <w:pPr>
        <w:spacing w:after="0" w:line="160" w:lineRule="exact"/>
        <w:rPr>
          <w:sz w:val="20"/>
          <w:szCs w:val="20"/>
          <w:color w:val="auto"/>
        </w:rPr>
      </w:pPr>
    </w:p>
    <w:p>
      <w:pPr>
        <w:ind w:right="500" w:firstLine="231"/>
        <w:spacing w:after="0" w:line="257" w:lineRule="auto"/>
        <w:rPr>
          <w:sz w:val="20"/>
          <w:szCs w:val="20"/>
          <w:color w:val="auto"/>
        </w:rPr>
      </w:pPr>
      <w:r>
        <w:rPr>
          <w:rFonts w:ascii="Times New Roman" w:cs="Times New Roman" w:eastAsia="Times New Roman" w:hAnsi="Times New Roman"/>
          <w:sz w:val="19"/>
          <w:szCs w:val="19"/>
          <w:color w:val="231F20"/>
        </w:rPr>
        <w:t>From time to time, we may become a party to certain legal proceedings incidental to the normal course of our business. As of December 31, 2024, management is not aware of any material pending or threatened litigation that would require accounting recognition or financial statement disclosure.</w:t>
      </w:r>
    </w:p>
    <w:p>
      <w:pPr>
        <w:sectPr>
          <w:pgSz w:w="12240" w:h="15840" w:orient="portrait"/>
          <w:cols w:equalWidth="0" w:num="1">
            <w:col w:w="10200"/>
          </w:cols>
          <w:pgMar w:left="1020" w:top="1337" w:right="1020" w:bottom="57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231F20"/>
        </w:rPr>
        <w:t>13</w:t>
      </w:r>
    </w:p>
    <w:p>
      <w:pPr>
        <w:sectPr>
          <w:pgSz w:w="12240" w:h="15840" w:orient="portrait"/>
          <w:cols w:equalWidth="0" w:num="1">
            <w:col w:w="10200"/>
          </w:cols>
          <w:pgMar w:left="1020" w:top="1337" w:right="1020" w:bottom="574" w:gutter="0" w:footer="0" w:header="0"/>
          <w:type w:val="continuous"/>
        </w:sectPr>
      </w:pPr>
    </w:p>
    <w:bookmarkStart w:id="13" w:name="page14"/>
    <w:bookmarkEnd w:id="13"/>
    <w:p>
      <w:pPr>
        <w:spacing w:after="0"/>
        <w:rPr>
          <w:sz w:val="20"/>
          <w:szCs w:val="20"/>
          <w:color w:val="auto"/>
        </w:rPr>
      </w:pPr>
      <w:r>
        <w:rPr>
          <w:rFonts w:ascii="Times New Roman" w:cs="Times New Roman" w:eastAsia="Times New Roman" w:hAnsi="Times New Roman"/>
          <w:sz w:val="19"/>
          <w:szCs w:val="19"/>
          <w:i w:val="1"/>
          <w:iCs w:val="1"/>
          <w:color w:val="231F20"/>
        </w:rPr>
        <w:t>Competition</w:t>
      </w:r>
    </w:p>
    <w:p>
      <w:pPr>
        <w:spacing w:after="0" w:line="108" w:lineRule="exact"/>
        <w:rPr>
          <w:sz w:val="20"/>
          <w:szCs w:val="20"/>
          <w:color w:val="auto"/>
        </w:rPr>
      </w:pPr>
    </w:p>
    <w:p>
      <w:pPr>
        <w:ind w:firstLine="231"/>
        <w:spacing w:after="0" w:line="243" w:lineRule="auto"/>
        <w:rPr>
          <w:sz w:val="20"/>
          <w:szCs w:val="20"/>
          <w:color w:val="auto"/>
        </w:rPr>
      </w:pPr>
      <w:r>
        <w:rPr>
          <w:rFonts w:ascii="Times New Roman" w:cs="Times New Roman" w:eastAsia="Times New Roman" w:hAnsi="Times New Roman"/>
          <w:sz w:val="19"/>
          <w:szCs w:val="19"/>
          <w:color w:val="231F20"/>
        </w:rPr>
        <w:t>We compete for investments with a number of capital providers, including BDCs, other investment funds (including private debt and equity funds and venture capital funds), special purpose acquisition company sponsors, investment banks with underwriting activities, hedge funds that invest in private investments in public equities, traditional financial services companies such as commercial banks, and other sources of financing, including the broadly syndicated loan market and high yield capital market. Many of these capital providers have greater financial and managerial resources than we do. In addition, many of our competitors are not subject to the regulatory restrictions that the 1940 Act imposes on us as a BDC. For additional information concerning the competitive risks we expect to face, see “</w:t>
      </w:r>
      <w:r>
        <w:rPr>
          <w:rFonts w:ascii="Times New Roman" w:cs="Times New Roman" w:eastAsia="Times New Roman" w:hAnsi="Times New Roman"/>
          <w:sz w:val="19"/>
          <w:szCs w:val="19"/>
          <w:i w:val="1"/>
          <w:iCs w:val="1"/>
          <w:color w:val="231F20"/>
        </w:rPr>
        <w:t>ITEM 1A. RISK FACTORS—Risks Related to Our Business and Structure—We operate in a highly</w:t>
      </w:r>
      <w:r>
        <w:rPr>
          <w:rFonts w:ascii="Times New Roman" w:cs="Times New Roman" w:eastAsia="Times New Roman" w:hAnsi="Times New Roman"/>
          <w:sz w:val="19"/>
          <w:szCs w:val="19"/>
          <w:color w:val="231F20"/>
        </w:rPr>
        <w:t xml:space="preserve"> </w:t>
      </w:r>
      <w:r>
        <w:rPr>
          <w:rFonts w:ascii="Times New Roman" w:cs="Times New Roman" w:eastAsia="Times New Roman" w:hAnsi="Times New Roman"/>
          <w:sz w:val="19"/>
          <w:szCs w:val="19"/>
          <w:i w:val="1"/>
          <w:iCs w:val="1"/>
          <w:color w:val="231F20"/>
        </w:rPr>
        <w:t>competitive market for investment opportunities.</w:t>
      </w:r>
      <w:r>
        <w:rPr>
          <w:rFonts w:ascii="Times New Roman" w:cs="Times New Roman" w:eastAsia="Times New Roman" w:hAnsi="Times New Roman"/>
          <w:sz w:val="19"/>
          <w:szCs w:val="19"/>
          <w:color w:val="231F20"/>
        </w:rPr>
        <w:t>”</w:t>
      </w:r>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231F20"/>
        </w:rPr>
        <w:t>Capital Resources and Borrowings</w:t>
      </w:r>
    </w:p>
    <w:p>
      <w:pPr>
        <w:spacing w:after="0" w:line="108" w:lineRule="exact"/>
        <w:rPr>
          <w:sz w:val="20"/>
          <w:szCs w:val="20"/>
          <w:color w:val="auto"/>
        </w:rPr>
      </w:pPr>
    </w:p>
    <w:p>
      <w:pPr>
        <w:ind w:right="20" w:firstLine="231"/>
        <w:spacing w:after="0" w:line="257" w:lineRule="auto"/>
        <w:rPr>
          <w:sz w:val="20"/>
          <w:szCs w:val="20"/>
          <w:color w:val="auto"/>
        </w:rPr>
      </w:pPr>
      <w:r>
        <w:rPr>
          <w:rFonts w:ascii="Times New Roman" w:cs="Times New Roman" w:eastAsia="Times New Roman" w:hAnsi="Times New Roman"/>
          <w:sz w:val="19"/>
          <w:szCs w:val="19"/>
          <w:color w:val="231F20"/>
        </w:rPr>
        <w:t>We anticipate generating cash in the future from cash flows from operations, including interest received on our cash and cash equivalents, U.S. government securities and other high-quality debt investments that mature in one year or less, and through issuances of common stock.</w:t>
      </w:r>
    </w:p>
    <w:p>
      <w:pPr>
        <w:spacing w:after="0" w:line="176" w:lineRule="exact"/>
        <w:rPr>
          <w:sz w:val="20"/>
          <w:szCs w:val="20"/>
          <w:color w:val="auto"/>
        </w:rPr>
      </w:pPr>
    </w:p>
    <w:p>
      <w:pPr>
        <w:ind w:right="40" w:firstLine="231"/>
        <w:spacing w:after="0" w:line="250" w:lineRule="auto"/>
        <w:rPr>
          <w:sz w:val="20"/>
          <w:szCs w:val="20"/>
          <w:color w:val="auto"/>
        </w:rPr>
      </w:pPr>
      <w:r>
        <w:rPr>
          <w:rFonts w:ascii="Times New Roman" w:cs="Times New Roman" w:eastAsia="Times New Roman" w:hAnsi="Times New Roman"/>
          <w:sz w:val="19"/>
          <w:szCs w:val="19"/>
          <w:color w:val="231F20"/>
        </w:rPr>
        <w:t>Additionally, we are permitted, under specified conditions, to issue multiple classes of indebtedness and one class of shares senior to our common stock if our asset coverage, as defined in the 1940 Act, is at least equal to 150% immediately after each such issuance. As of December 31, 2024 and December 31, 2023, our asset coverage was 182.5% and 181.6%, respectively. See “</w:t>
      </w:r>
      <w:r>
        <w:rPr>
          <w:rFonts w:ascii="Times New Roman" w:cs="Times New Roman" w:eastAsia="Times New Roman" w:hAnsi="Times New Roman"/>
          <w:sz w:val="19"/>
          <w:szCs w:val="19"/>
          <w:i w:val="1"/>
          <w:iCs w:val="1"/>
          <w:color w:val="231F20"/>
        </w:rPr>
        <w:t>Regulation as a</w:t>
      </w:r>
      <w:r>
        <w:rPr>
          <w:rFonts w:ascii="Times New Roman" w:cs="Times New Roman" w:eastAsia="Times New Roman" w:hAnsi="Times New Roman"/>
          <w:sz w:val="19"/>
          <w:szCs w:val="19"/>
          <w:color w:val="231F20"/>
        </w:rPr>
        <w:t xml:space="preserve"> </w:t>
      </w:r>
      <w:r>
        <w:rPr>
          <w:rFonts w:ascii="Times New Roman" w:cs="Times New Roman" w:eastAsia="Times New Roman" w:hAnsi="Times New Roman"/>
          <w:sz w:val="19"/>
          <w:szCs w:val="19"/>
          <w:i w:val="1"/>
          <w:iCs w:val="1"/>
          <w:color w:val="231F20"/>
        </w:rPr>
        <w:t>Business Development Company—Senior Securities</w:t>
      </w:r>
      <w:r>
        <w:rPr>
          <w:rFonts w:ascii="Times New Roman" w:cs="Times New Roman" w:eastAsia="Times New Roman" w:hAnsi="Times New Roman"/>
          <w:sz w:val="19"/>
          <w:szCs w:val="19"/>
          <w:color w:val="231F20"/>
        </w:rPr>
        <w:t>” below.</w:t>
      </w:r>
    </w:p>
    <w:p>
      <w:pPr>
        <w:spacing w:after="0" w:line="185" w:lineRule="exact"/>
        <w:rPr>
          <w:sz w:val="20"/>
          <w:szCs w:val="20"/>
          <w:color w:val="auto"/>
        </w:rPr>
      </w:pPr>
    </w:p>
    <w:p>
      <w:pPr>
        <w:ind w:right="60" w:firstLine="231"/>
        <w:spacing w:after="0" w:line="269" w:lineRule="auto"/>
        <w:rPr>
          <w:sz w:val="20"/>
          <w:szCs w:val="20"/>
          <w:color w:val="auto"/>
        </w:rPr>
      </w:pPr>
      <w:r>
        <w:rPr>
          <w:rFonts w:ascii="Times New Roman" w:cs="Times New Roman" w:eastAsia="Times New Roman" w:hAnsi="Times New Roman"/>
          <w:sz w:val="18"/>
          <w:szCs w:val="18"/>
          <w:color w:val="231F20"/>
        </w:rPr>
        <w:t>Furthermore, while any indebtedness and senior securities remain outstanding, we must make provisions to prohibit any distribution to our stockholders (which may cause us to fail to distribute amounts necessary to avoid entity-level taxation under the Code), or the repurchase of such securities or shares unless we meet the applicable asset coverage ratios at the time of the distribution or repurchase. In addition, we must also comply with positive and negative covenants customary for these types of facilities.</w:t>
      </w:r>
    </w:p>
    <w:p>
      <w:pPr>
        <w:spacing w:after="0" w:line="16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9"/>
          <w:szCs w:val="19"/>
          <w:color w:val="231F20"/>
        </w:rPr>
        <w:t>Debt obligations consisted of the following as of December 31, 2024 and December 31, 2023:</w:t>
      </w:r>
    </w:p>
    <w:p>
      <w:pPr>
        <w:spacing w:after="0" w:line="279" w:lineRule="exact"/>
        <w:rPr>
          <w:sz w:val="20"/>
          <w:szCs w:val="20"/>
          <w:color w:val="auto"/>
        </w:rPr>
      </w:pPr>
    </w:p>
    <w:tbl>
      <w:tblPr>
        <w:tblLayout w:type="fixed"/>
        <w:tblInd w:w="1020" w:type="dxa"/>
        <w:tblCellMar>
          <w:top w:w="0" w:type="dxa"/>
          <w:left w:w="0" w:type="dxa"/>
          <w:bottom w:w="0" w:type="dxa"/>
          <w:right w:w="0" w:type="dxa"/>
        </w:tblCellMar>
      </w:tblPr>
      <w:tr>
        <w:trPr>
          <w:trHeight w:val="187"/>
        </w:trPr>
        <w:tc>
          <w:tcPr>
            <w:tcW w:w="2960" w:type="dxa"/>
            <w:vAlign w:val="bottom"/>
            <w:tcBorders>
              <w:bottom w:val="single" w:sz="8" w:color="FDFDFC"/>
            </w:tcBorders>
            <w:shd w:val="clear" w:color="auto" w:fill="FDFDFC"/>
          </w:tcPr>
          <w:p>
            <w:pPr>
              <w:spacing w:after="0"/>
              <w:rPr>
                <w:sz w:val="16"/>
                <w:szCs w:val="16"/>
                <w:color w:val="auto"/>
              </w:rPr>
            </w:pPr>
          </w:p>
        </w:tc>
        <w:tc>
          <w:tcPr>
            <w:tcW w:w="240" w:type="dxa"/>
            <w:vAlign w:val="bottom"/>
            <w:tcBorders>
              <w:bottom w:val="single" w:sz="8" w:color="231F20"/>
            </w:tcBorders>
            <w:shd w:val="clear" w:color="auto" w:fill="FDFDFC"/>
          </w:tcPr>
          <w:p>
            <w:pPr>
              <w:spacing w:after="0"/>
              <w:rPr>
                <w:sz w:val="16"/>
                <w:szCs w:val="16"/>
                <w:color w:val="auto"/>
              </w:rPr>
            </w:pPr>
          </w:p>
        </w:tc>
        <w:tc>
          <w:tcPr>
            <w:tcW w:w="1120" w:type="dxa"/>
            <w:vAlign w:val="bottom"/>
            <w:tcBorders>
              <w:bottom w:val="single" w:sz="8" w:color="231F20"/>
            </w:tcBorders>
            <w:shd w:val="clear" w:color="auto" w:fill="FDFDFC"/>
          </w:tcPr>
          <w:p>
            <w:pPr>
              <w:spacing w:after="0"/>
              <w:rPr>
                <w:sz w:val="16"/>
                <w:szCs w:val="16"/>
                <w:color w:val="auto"/>
              </w:rPr>
            </w:pPr>
          </w:p>
        </w:tc>
        <w:tc>
          <w:tcPr>
            <w:tcW w:w="200" w:type="dxa"/>
            <w:vAlign w:val="bottom"/>
            <w:tcBorders>
              <w:bottom w:val="single" w:sz="8" w:color="231F20"/>
            </w:tcBorders>
            <w:shd w:val="clear" w:color="auto" w:fill="FDFDFC"/>
          </w:tcPr>
          <w:p>
            <w:pPr>
              <w:spacing w:after="0"/>
              <w:rPr>
                <w:sz w:val="16"/>
                <w:szCs w:val="16"/>
                <w:color w:val="auto"/>
              </w:rPr>
            </w:pPr>
          </w:p>
        </w:tc>
        <w:tc>
          <w:tcPr>
            <w:tcW w:w="100" w:type="dxa"/>
            <w:vAlign w:val="bottom"/>
            <w:tcBorders>
              <w:bottom w:val="single" w:sz="8" w:color="231F20"/>
            </w:tcBorders>
            <w:shd w:val="clear" w:color="auto" w:fill="FDFDFC"/>
          </w:tcPr>
          <w:p>
            <w:pPr>
              <w:spacing w:after="0"/>
              <w:rPr>
                <w:sz w:val="16"/>
                <w:szCs w:val="16"/>
                <w:color w:val="auto"/>
              </w:rPr>
            </w:pPr>
          </w:p>
        </w:tc>
        <w:tc>
          <w:tcPr>
            <w:tcW w:w="2240" w:type="dxa"/>
            <w:vAlign w:val="bottom"/>
            <w:tcBorders>
              <w:bottom w:val="single" w:sz="8" w:color="231F20"/>
            </w:tcBorders>
            <w:gridSpan w:val="4"/>
            <w:shd w:val="clear" w:color="auto" w:fill="FDFDFC"/>
          </w:tcPr>
          <w:p>
            <w:pPr>
              <w:jc w:val="right"/>
              <w:ind w:right="671"/>
              <w:spacing w:after="0"/>
              <w:rPr>
                <w:sz w:val="20"/>
                <w:szCs w:val="20"/>
                <w:color w:val="auto"/>
              </w:rPr>
            </w:pPr>
            <w:r>
              <w:rPr>
                <w:rFonts w:ascii="Times New Roman" w:cs="Times New Roman" w:eastAsia="Times New Roman" w:hAnsi="Times New Roman"/>
                <w:sz w:val="15"/>
                <w:szCs w:val="15"/>
                <w:b w:val="1"/>
                <w:bCs w:val="1"/>
                <w:color w:val="231F20"/>
              </w:rPr>
              <w:t>December 31, 2024</w:t>
            </w:r>
          </w:p>
        </w:tc>
        <w:tc>
          <w:tcPr>
            <w:tcW w:w="200" w:type="dxa"/>
            <w:vAlign w:val="bottom"/>
            <w:tcBorders>
              <w:bottom w:val="single" w:sz="8" w:color="231F20"/>
            </w:tcBorders>
            <w:shd w:val="clear" w:color="auto" w:fill="FDFDFC"/>
          </w:tcPr>
          <w:p>
            <w:pPr>
              <w:spacing w:after="0"/>
              <w:rPr>
                <w:sz w:val="16"/>
                <w:szCs w:val="16"/>
                <w:color w:val="auto"/>
              </w:rPr>
            </w:pPr>
          </w:p>
        </w:tc>
        <w:tc>
          <w:tcPr>
            <w:tcW w:w="120" w:type="dxa"/>
            <w:vAlign w:val="bottom"/>
            <w:tcBorders>
              <w:bottom w:val="single" w:sz="8" w:color="231F20"/>
            </w:tcBorders>
            <w:shd w:val="clear" w:color="auto" w:fill="FDFDFC"/>
          </w:tcPr>
          <w:p>
            <w:pPr>
              <w:spacing w:after="0"/>
              <w:rPr>
                <w:sz w:val="16"/>
                <w:szCs w:val="16"/>
                <w:color w:val="auto"/>
              </w:rPr>
            </w:pPr>
          </w:p>
        </w:tc>
        <w:tc>
          <w:tcPr>
            <w:tcW w:w="880" w:type="dxa"/>
            <w:vAlign w:val="bottom"/>
            <w:tcBorders>
              <w:bottom w:val="single" w:sz="8" w:color="231F20"/>
            </w:tcBorders>
            <w:shd w:val="clear" w:color="auto" w:fill="FDFDFC"/>
          </w:tcPr>
          <w:p>
            <w:pPr>
              <w:spacing w:after="0"/>
              <w:rPr>
                <w:sz w:val="16"/>
                <w:szCs w:val="16"/>
                <w:color w:val="auto"/>
              </w:rPr>
            </w:pPr>
          </w:p>
        </w:tc>
        <w:tc>
          <w:tcPr>
            <w:tcW w:w="100" w:type="dxa"/>
            <w:vAlign w:val="bottom"/>
            <w:tcBorders>
              <w:bottom w:val="single" w:sz="8" w:color="FDFDFC"/>
            </w:tcBorders>
            <w:shd w:val="clear" w:color="auto" w:fill="FDFDFC"/>
          </w:tcPr>
          <w:p>
            <w:pPr>
              <w:spacing w:after="0"/>
              <w:rPr>
                <w:sz w:val="16"/>
                <w:szCs w:val="16"/>
                <w:color w:val="auto"/>
              </w:rPr>
            </w:pPr>
          </w:p>
        </w:tc>
      </w:tr>
      <w:tr>
        <w:trPr>
          <w:trHeight w:val="176"/>
        </w:trPr>
        <w:tc>
          <w:tcPr>
            <w:tcW w:w="2960" w:type="dxa"/>
            <w:vAlign w:val="bottom"/>
            <w:shd w:val="clear" w:color="auto" w:fill="FDFDFC"/>
          </w:tcPr>
          <w:p>
            <w:pPr>
              <w:spacing w:after="0"/>
              <w:rPr>
                <w:sz w:val="15"/>
                <w:szCs w:val="15"/>
                <w:color w:val="auto"/>
              </w:rPr>
            </w:pPr>
          </w:p>
        </w:tc>
        <w:tc>
          <w:tcPr>
            <w:tcW w:w="1360" w:type="dxa"/>
            <w:vAlign w:val="bottom"/>
            <w:gridSpan w:val="2"/>
            <w:shd w:val="clear" w:color="auto" w:fill="FDFDFC"/>
          </w:tcPr>
          <w:p>
            <w:pPr>
              <w:ind w:left="20"/>
              <w:spacing w:after="0"/>
              <w:rPr>
                <w:sz w:val="20"/>
                <w:szCs w:val="20"/>
                <w:color w:val="auto"/>
              </w:rPr>
            </w:pPr>
            <w:r>
              <w:rPr>
                <w:rFonts w:ascii="Times New Roman" w:cs="Times New Roman" w:eastAsia="Times New Roman" w:hAnsi="Times New Roman"/>
                <w:sz w:val="15"/>
                <w:szCs w:val="15"/>
                <w:b w:val="1"/>
                <w:bCs w:val="1"/>
                <w:color w:val="231F20"/>
                <w:highlight w:val="white"/>
              </w:rPr>
              <w:t>Aggregate Principal</w:t>
            </w:r>
          </w:p>
        </w:tc>
        <w:tc>
          <w:tcPr>
            <w:tcW w:w="200" w:type="dxa"/>
            <w:vAlign w:val="bottom"/>
            <w:shd w:val="clear" w:color="auto" w:fill="FDFDFC"/>
          </w:tcPr>
          <w:p>
            <w:pPr>
              <w:spacing w:after="0"/>
              <w:rPr>
                <w:sz w:val="15"/>
                <w:szCs w:val="15"/>
                <w:color w:val="auto"/>
              </w:rPr>
            </w:pPr>
          </w:p>
        </w:tc>
        <w:tc>
          <w:tcPr>
            <w:tcW w:w="100" w:type="dxa"/>
            <w:vAlign w:val="bottom"/>
            <w:shd w:val="clear" w:color="auto" w:fill="FDFDFC"/>
          </w:tcPr>
          <w:p>
            <w:pPr>
              <w:spacing w:after="0"/>
              <w:rPr>
                <w:sz w:val="15"/>
                <w:szCs w:val="15"/>
                <w:color w:val="auto"/>
              </w:rPr>
            </w:pPr>
          </w:p>
        </w:tc>
        <w:tc>
          <w:tcPr>
            <w:tcW w:w="960" w:type="dxa"/>
            <w:vAlign w:val="bottom"/>
            <w:shd w:val="clear" w:color="auto" w:fill="FDFDFC"/>
          </w:tcPr>
          <w:p>
            <w:pPr>
              <w:jc w:val="right"/>
              <w:ind w:right="53"/>
              <w:spacing w:after="0"/>
              <w:rPr>
                <w:sz w:val="20"/>
                <w:szCs w:val="20"/>
                <w:color w:val="auto"/>
              </w:rPr>
            </w:pPr>
            <w:r>
              <w:rPr>
                <w:rFonts w:ascii="Times New Roman" w:cs="Times New Roman" w:eastAsia="Times New Roman" w:hAnsi="Times New Roman"/>
                <w:sz w:val="15"/>
                <w:szCs w:val="15"/>
                <w:b w:val="1"/>
                <w:bCs w:val="1"/>
                <w:color w:val="231F20"/>
                <w:w w:val="99"/>
              </w:rPr>
              <w:t>Outstanding</w:t>
            </w:r>
          </w:p>
        </w:tc>
        <w:tc>
          <w:tcPr>
            <w:tcW w:w="200" w:type="dxa"/>
            <w:vAlign w:val="bottom"/>
            <w:shd w:val="clear" w:color="auto" w:fill="FDFDFC"/>
          </w:tcPr>
          <w:p>
            <w:pPr>
              <w:spacing w:after="0"/>
              <w:rPr>
                <w:sz w:val="15"/>
                <w:szCs w:val="15"/>
                <w:color w:val="auto"/>
              </w:rPr>
            </w:pPr>
          </w:p>
        </w:tc>
        <w:tc>
          <w:tcPr>
            <w:tcW w:w="120" w:type="dxa"/>
            <w:vAlign w:val="bottom"/>
            <w:shd w:val="clear" w:color="auto" w:fill="FDFDFC"/>
          </w:tcPr>
          <w:p>
            <w:pPr>
              <w:spacing w:after="0"/>
              <w:rPr>
                <w:sz w:val="15"/>
                <w:szCs w:val="15"/>
                <w:color w:val="auto"/>
              </w:rPr>
            </w:pPr>
          </w:p>
        </w:tc>
        <w:tc>
          <w:tcPr>
            <w:tcW w:w="960" w:type="dxa"/>
            <w:vAlign w:val="bottom"/>
            <w:shd w:val="clear" w:color="auto" w:fill="FDFDFC"/>
          </w:tcPr>
          <w:p>
            <w:pPr>
              <w:jc w:val="right"/>
              <w:ind w:right="191"/>
              <w:spacing w:after="0"/>
              <w:rPr>
                <w:sz w:val="20"/>
                <w:szCs w:val="20"/>
                <w:color w:val="auto"/>
              </w:rPr>
            </w:pPr>
            <w:r>
              <w:rPr>
                <w:rFonts w:ascii="Times New Roman" w:cs="Times New Roman" w:eastAsia="Times New Roman" w:hAnsi="Times New Roman"/>
                <w:sz w:val="15"/>
                <w:szCs w:val="15"/>
                <w:b w:val="1"/>
                <w:bCs w:val="1"/>
                <w:color w:val="231F20"/>
              </w:rPr>
              <w:t>Amount</w:t>
            </w:r>
          </w:p>
        </w:tc>
        <w:tc>
          <w:tcPr>
            <w:tcW w:w="200" w:type="dxa"/>
            <w:vAlign w:val="bottom"/>
            <w:shd w:val="clear" w:color="auto" w:fill="FDFDFC"/>
          </w:tcPr>
          <w:p>
            <w:pPr>
              <w:spacing w:after="0"/>
              <w:rPr>
                <w:sz w:val="15"/>
                <w:szCs w:val="15"/>
                <w:color w:val="auto"/>
              </w:rPr>
            </w:pPr>
          </w:p>
        </w:tc>
        <w:tc>
          <w:tcPr>
            <w:tcW w:w="120" w:type="dxa"/>
            <w:vAlign w:val="bottom"/>
            <w:shd w:val="clear" w:color="auto" w:fill="FDFDFC"/>
          </w:tcPr>
          <w:p>
            <w:pPr>
              <w:spacing w:after="0"/>
              <w:rPr>
                <w:sz w:val="15"/>
                <w:szCs w:val="15"/>
                <w:color w:val="auto"/>
              </w:rPr>
            </w:pPr>
          </w:p>
        </w:tc>
        <w:tc>
          <w:tcPr>
            <w:tcW w:w="880" w:type="dxa"/>
            <w:vAlign w:val="bottom"/>
            <w:shd w:val="clear" w:color="auto" w:fill="FDFDFC"/>
          </w:tcPr>
          <w:p>
            <w:pPr>
              <w:jc w:val="right"/>
              <w:ind w:right="136"/>
              <w:spacing w:after="0"/>
              <w:rPr>
                <w:sz w:val="20"/>
                <w:szCs w:val="20"/>
                <w:color w:val="auto"/>
              </w:rPr>
            </w:pPr>
            <w:r>
              <w:rPr>
                <w:rFonts w:ascii="Times New Roman" w:cs="Times New Roman" w:eastAsia="Times New Roman" w:hAnsi="Times New Roman"/>
                <w:sz w:val="15"/>
                <w:szCs w:val="15"/>
                <w:b w:val="1"/>
                <w:bCs w:val="1"/>
                <w:color w:val="231F20"/>
              </w:rPr>
              <w:t>Carrying</w:t>
            </w:r>
          </w:p>
        </w:tc>
        <w:tc>
          <w:tcPr>
            <w:tcW w:w="100" w:type="dxa"/>
            <w:vAlign w:val="bottom"/>
            <w:shd w:val="clear" w:color="auto" w:fill="FDFDFC"/>
          </w:tcPr>
          <w:p>
            <w:pPr>
              <w:spacing w:after="0"/>
              <w:rPr>
                <w:sz w:val="15"/>
                <w:szCs w:val="15"/>
                <w:color w:val="auto"/>
              </w:rPr>
            </w:pPr>
          </w:p>
        </w:tc>
      </w:tr>
      <w:tr>
        <w:trPr>
          <w:trHeight w:val="187"/>
        </w:trPr>
        <w:tc>
          <w:tcPr>
            <w:tcW w:w="2960" w:type="dxa"/>
            <w:vAlign w:val="bottom"/>
            <w:tcBorders>
              <w:bottom w:val="single" w:sz="8" w:color="D0EBF2"/>
            </w:tcBorders>
            <w:shd w:val="clear" w:color="auto" w:fill="FDFDFC"/>
          </w:tcPr>
          <w:p>
            <w:pPr>
              <w:spacing w:after="0"/>
              <w:rPr>
                <w:sz w:val="20"/>
                <w:szCs w:val="20"/>
                <w:color w:val="auto"/>
              </w:rPr>
            </w:pPr>
            <w:r>
              <w:rPr>
                <w:rFonts w:ascii="Times New Roman" w:cs="Times New Roman" w:eastAsia="Times New Roman" w:hAnsi="Times New Roman"/>
                <w:sz w:val="15"/>
                <w:szCs w:val="15"/>
                <w:color w:val="231F20"/>
              </w:rPr>
              <w:t>($ in millions)</w:t>
            </w:r>
          </w:p>
        </w:tc>
        <w:tc>
          <w:tcPr>
            <w:tcW w:w="1360" w:type="dxa"/>
            <w:vAlign w:val="bottom"/>
            <w:tcBorders>
              <w:bottom w:val="single" w:sz="8" w:color="231F20"/>
            </w:tcBorders>
            <w:gridSpan w:val="2"/>
            <w:shd w:val="clear" w:color="auto" w:fill="FDFDFC"/>
          </w:tcPr>
          <w:p>
            <w:pPr>
              <w:ind w:left="20"/>
              <w:spacing w:after="0"/>
              <w:rPr>
                <w:sz w:val="20"/>
                <w:szCs w:val="20"/>
                <w:color w:val="auto"/>
              </w:rPr>
            </w:pPr>
            <w:r>
              <w:rPr>
                <w:rFonts w:ascii="Times New Roman" w:cs="Times New Roman" w:eastAsia="Times New Roman" w:hAnsi="Times New Roman"/>
                <w:sz w:val="15"/>
                <w:szCs w:val="15"/>
                <w:b w:val="1"/>
                <w:bCs w:val="1"/>
                <w:color w:val="231F20"/>
              </w:rPr>
              <w:t>Amount Committed</w:t>
            </w:r>
          </w:p>
        </w:tc>
        <w:tc>
          <w:tcPr>
            <w:tcW w:w="200" w:type="dxa"/>
            <w:vAlign w:val="bottom"/>
            <w:tcBorders>
              <w:bottom w:val="single" w:sz="8" w:color="D0EBF2"/>
            </w:tcBorders>
            <w:shd w:val="clear" w:color="auto" w:fill="FDFDFC"/>
          </w:tcPr>
          <w:p>
            <w:pPr>
              <w:spacing w:after="0"/>
              <w:rPr>
                <w:sz w:val="16"/>
                <w:szCs w:val="16"/>
                <w:color w:val="auto"/>
              </w:rPr>
            </w:pPr>
          </w:p>
        </w:tc>
        <w:tc>
          <w:tcPr>
            <w:tcW w:w="100" w:type="dxa"/>
            <w:vAlign w:val="bottom"/>
            <w:tcBorders>
              <w:bottom w:val="single" w:sz="8" w:color="231F20"/>
            </w:tcBorders>
            <w:shd w:val="clear" w:color="auto" w:fill="FDFDFC"/>
          </w:tcPr>
          <w:p>
            <w:pPr>
              <w:spacing w:after="0"/>
              <w:rPr>
                <w:sz w:val="16"/>
                <w:szCs w:val="16"/>
                <w:color w:val="auto"/>
              </w:rPr>
            </w:pPr>
          </w:p>
        </w:tc>
        <w:tc>
          <w:tcPr>
            <w:tcW w:w="960" w:type="dxa"/>
            <w:vAlign w:val="bottom"/>
            <w:tcBorders>
              <w:bottom w:val="single" w:sz="8" w:color="231F20"/>
            </w:tcBorders>
            <w:shd w:val="clear" w:color="auto" w:fill="FDFDFC"/>
          </w:tcPr>
          <w:p>
            <w:pPr>
              <w:jc w:val="right"/>
              <w:ind w:right="153"/>
              <w:spacing w:after="0"/>
              <w:rPr>
                <w:sz w:val="20"/>
                <w:szCs w:val="20"/>
                <w:color w:val="auto"/>
              </w:rPr>
            </w:pPr>
            <w:r>
              <w:rPr>
                <w:rFonts w:ascii="Times New Roman" w:cs="Times New Roman" w:eastAsia="Times New Roman" w:hAnsi="Times New Roman"/>
                <w:sz w:val="15"/>
                <w:szCs w:val="15"/>
                <w:b w:val="1"/>
                <w:bCs w:val="1"/>
                <w:color w:val="231F20"/>
              </w:rPr>
              <w:t>Principal</w:t>
            </w:r>
          </w:p>
        </w:tc>
        <w:tc>
          <w:tcPr>
            <w:tcW w:w="200" w:type="dxa"/>
            <w:vAlign w:val="bottom"/>
            <w:tcBorders>
              <w:bottom w:val="single" w:sz="8" w:color="D0EBF2"/>
            </w:tcBorders>
            <w:shd w:val="clear" w:color="auto" w:fill="FDFDFC"/>
          </w:tcPr>
          <w:p>
            <w:pPr>
              <w:spacing w:after="0"/>
              <w:rPr>
                <w:sz w:val="16"/>
                <w:szCs w:val="16"/>
                <w:color w:val="auto"/>
              </w:rPr>
            </w:pPr>
          </w:p>
        </w:tc>
        <w:tc>
          <w:tcPr>
            <w:tcW w:w="120" w:type="dxa"/>
            <w:vAlign w:val="bottom"/>
            <w:tcBorders>
              <w:bottom w:val="single" w:sz="8" w:color="231F20"/>
            </w:tcBorders>
            <w:shd w:val="clear" w:color="auto" w:fill="FDFDFC"/>
          </w:tcPr>
          <w:p>
            <w:pPr>
              <w:spacing w:after="0"/>
              <w:rPr>
                <w:sz w:val="16"/>
                <w:szCs w:val="16"/>
                <w:color w:val="auto"/>
              </w:rPr>
            </w:pPr>
          </w:p>
        </w:tc>
        <w:tc>
          <w:tcPr>
            <w:tcW w:w="960" w:type="dxa"/>
            <w:vAlign w:val="bottom"/>
            <w:tcBorders>
              <w:bottom w:val="single" w:sz="8" w:color="231F20"/>
            </w:tcBorders>
            <w:shd w:val="clear" w:color="auto" w:fill="FDFDFC"/>
          </w:tcPr>
          <w:p>
            <w:pPr>
              <w:jc w:val="right"/>
              <w:ind w:right="91"/>
              <w:spacing w:after="0"/>
              <w:rPr>
                <w:sz w:val="20"/>
                <w:szCs w:val="20"/>
                <w:color w:val="auto"/>
              </w:rPr>
            </w:pPr>
            <w:r>
              <w:rPr>
                <w:rFonts w:ascii="Times New Roman" w:cs="Times New Roman" w:eastAsia="Times New Roman" w:hAnsi="Times New Roman"/>
                <w:sz w:val="15"/>
                <w:szCs w:val="15"/>
                <w:b w:val="1"/>
                <w:bCs w:val="1"/>
                <w:color w:val="231F20"/>
              </w:rPr>
              <w:t xml:space="preserve">Available </w:t>
            </w:r>
            <w:r>
              <w:rPr>
                <w:rFonts w:ascii="Times New Roman" w:cs="Times New Roman" w:eastAsia="Times New Roman" w:hAnsi="Times New Roman"/>
                <w:sz w:val="9"/>
                <w:szCs w:val="9"/>
                <w:b w:val="1"/>
                <w:bCs w:val="1"/>
                <w:color w:val="231F20"/>
              </w:rPr>
              <w:t>(1)</w:t>
            </w:r>
          </w:p>
        </w:tc>
        <w:tc>
          <w:tcPr>
            <w:tcW w:w="200" w:type="dxa"/>
            <w:vAlign w:val="bottom"/>
            <w:tcBorders>
              <w:bottom w:val="single" w:sz="8" w:color="D0EBF2"/>
            </w:tcBorders>
            <w:shd w:val="clear" w:color="auto" w:fill="FDFDFC"/>
          </w:tcPr>
          <w:p>
            <w:pPr>
              <w:spacing w:after="0"/>
              <w:rPr>
                <w:sz w:val="16"/>
                <w:szCs w:val="16"/>
                <w:color w:val="auto"/>
              </w:rPr>
            </w:pPr>
          </w:p>
        </w:tc>
        <w:tc>
          <w:tcPr>
            <w:tcW w:w="120" w:type="dxa"/>
            <w:vAlign w:val="bottom"/>
            <w:tcBorders>
              <w:bottom w:val="single" w:sz="8" w:color="231F20"/>
            </w:tcBorders>
            <w:shd w:val="clear" w:color="auto" w:fill="FDFDFC"/>
          </w:tcPr>
          <w:p>
            <w:pPr>
              <w:spacing w:after="0"/>
              <w:rPr>
                <w:sz w:val="16"/>
                <w:szCs w:val="16"/>
                <w:color w:val="auto"/>
              </w:rPr>
            </w:pPr>
          </w:p>
        </w:tc>
        <w:tc>
          <w:tcPr>
            <w:tcW w:w="880" w:type="dxa"/>
            <w:vAlign w:val="bottom"/>
            <w:tcBorders>
              <w:bottom w:val="single" w:sz="8" w:color="231F20"/>
            </w:tcBorders>
            <w:shd w:val="clear" w:color="auto" w:fill="FDFDFC"/>
          </w:tcPr>
          <w:p>
            <w:pPr>
              <w:jc w:val="right"/>
              <w:ind w:right="116"/>
              <w:spacing w:after="0" w:line="187" w:lineRule="exact"/>
              <w:rPr>
                <w:sz w:val="20"/>
                <w:szCs w:val="20"/>
                <w:color w:val="auto"/>
              </w:rPr>
            </w:pPr>
            <w:r>
              <w:rPr>
                <w:rFonts w:ascii="Times New Roman" w:cs="Times New Roman" w:eastAsia="Times New Roman" w:hAnsi="Times New Roman"/>
                <w:sz w:val="21"/>
                <w:szCs w:val="21"/>
                <w:b w:val="1"/>
                <w:bCs w:val="1"/>
                <w:color w:val="231F20"/>
                <w:vertAlign w:val="subscript"/>
              </w:rPr>
              <w:t>Value</w:t>
            </w:r>
            <w:r>
              <w:rPr>
                <w:rFonts w:ascii="Times New Roman" w:cs="Times New Roman" w:eastAsia="Times New Roman" w:hAnsi="Times New Roman"/>
                <w:sz w:val="8"/>
                <w:szCs w:val="8"/>
                <w:b w:val="1"/>
                <w:bCs w:val="1"/>
                <w:color w:val="231F20"/>
              </w:rPr>
              <w:t xml:space="preserve"> (2)(3)</w:t>
            </w:r>
          </w:p>
        </w:tc>
        <w:tc>
          <w:tcPr>
            <w:tcW w:w="100" w:type="dxa"/>
            <w:vAlign w:val="bottom"/>
            <w:tcBorders>
              <w:bottom w:val="single" w:sz="8" w:color="D0EBF2"/>
            </w:tcBorders>
            <w:shd w:val="clear" w:color="auto" w:fill="FDFDFC"/>
          </w:tcPr>
          <w:p>
            <w:pPr>
              <w:spacing w:after="0"/>
              <w:rPr>
                <w:sz w:val="16"/>
                <w:szCs w:val="16"/>
                <w:color w:val="auto"/>
              </w:rPr>
            </w:pPr>
          </w:p>
        </w:tc>
      </w:tr>
      <w:tr>
        <w:trPr>
          <w:trHeight w:val="220"/>
        </w:trPr>
        <w:tc>
          <w:tcPr>
            <w:tcW w:w="2960" w:type="dxa"/>
            <w:vAlign w:val="bottom"/>
            <w:shd w:val="clear" w:color="auto" w:fill="D0EBF2"/>
          </w:tcPr>
          <w:p>
            <w:pPr>
              <w:spacing w:after="0"/>
              <w:rPr>
                <w:sz w:val="20"/>
                <w:szCs w:val="20"/>
                <w:color w:val="auto"/>
              </w:rPr>
            </w:pPr>
            <w:r>
              <w:rPr>
                <w:rFonts w:ascii="Times New Roman" w:cs="Times New Roman" w:eastAsia="Times New Roman" w:hAnsi="Times New Roman"/>
                <w:sz w:val="19"/>
                <w:szCs w:val="19"/>
                <w:color w:val="231F20"/>
              </w:rPr>
              <w:t>Revolving Credit Facility</w:t>
            </w:r>
          </w:p>
        </w:tc>
        <w:tc>
          <w:tcPr>
            <w:tcW w:w="240" w:type="dxa"/>
            <w:vAlign w:val="bottom"/>
            <w:shd w:val="clear" w:color="auto" w:fill="D0EBF2"/>
          </w:tcPr>
          <w:p>
            <w:pPr>
              <w:spacing w:after="0"/>
              <w:rPr>
                <w:sz w:val="20"/>
                <w:szCs w:val="20"/>
                <w:color w:val="auto"/>
              </w:rPr>
            </w:pPr>
            <w:r>
              <w:rPr>
                <w:rFonts w:ascii="Times New Roman" w:cs="Times New Roman" w:eastAsia="Times New Roman" w:hAnsi="Times New Roman"/>
                <w:sz w:val="19"/>
                <w:szCs w:val="19"/>
                <w:color w:val="231F20"/>
              </w:rPr>
              <w:t>$</w:t>
            </w:r>
          </w:p>
        </w:tc>
        <w:tc>
          <w:tcPr>
            <w:tcW w:w="1120" w:type="dxa"/>
            <w:vAlign w:val="bottom"/>
            <w:shd w:val="clear" w:color="auto" w:fill="D0EBF2"/>
          </w:tcPr>
          <w:p>
            <w:pPr>
              <w:jc w:val="right"/>
              <w:spacing w:after="0"/>
              <w:rPr>
                <w:sz w:val="20"/>
                <w:szCs w:val="20"/>
                <w:color w:val="auto"/>
              </w:rPr>
            </w:pPr>
            <w:r>
              <w:rPr>
                <w:rFonts w:ascii="Times New Roman" w:cs="Times New Roman" w:eastAsia="Times New Roman" w:hAnsi="Times New Roman"/>
                <w:sz w:val="19"/>
                <w:szCs w:val="19"/>
                <w:color w:val="231F20"/>
              </w:rPr>
              <w:t>1,700.0</w:t>
            </w:r>
          </w:p>
        </w:tc>
        <w:tc>
          <w:tcPr>
            <w:tcW w:w="200" w:type="dxa"/>
            <w:vAlign w:val="bottom"/>
            <w:shd w:val="clear" w:color="auto" w:fill="D0EBF2"/>
          </w:tcPr>
          <w:p>
            <w:pPr>
              <w:spacing w:after="0"/>
              <w:rPr>
                <w:sz w:val="19"/>
                <w:szCs w:val="19"/>
                <w:color w:val="auto"/>
              </w:rPr>
            </w:pPr>
          </w:p>
        </w:tc>
        <w:tc>
          <w:tcPr>
            <w:tcW w:w="100" w:type="dxa"/>
            <w:vAlign w:val="bottom"/>
            <w:shd w:val="clear" w:color="auto" w:fill="D0EBF2"/>
          </w:tcPr>
          <w:p>
            <w:pPr>
              <w:jc w:val="right"/>
              <w:spacing w:after="0"/>
              <w:rPr>
                <w:sz w:val="20"/>
                <w:szCs w:val="20"/>
                <w:color w:val="auto"/>
              </w:rPr>
            </w:pPr>
            <w:r>
              <w:rPr>
                <w:rFonts w:ascii="Times New Roman" w:cs="Times New Roman" w:eastAsia="Times New Roman" w:hAnsi="Times New Roman"/>
                <w:sz w:val="19"/>
                <w:szCs w:val="19"/>
                <w:color w:val="231F20"/>
                <w:w w:val="83"/>
              </w:rPr>
              <w:t>$</w:t>
            </w:r>
          </w:p>
        </w:tc>
        <w:tc>
          <w:tcPr>
            <w:tcW w:w="960" w:type="dxa"/>
            <w:vAlign w:val="bottom"/>
            <w:shd w:val="clear" w:color="auto" w:fill="D0EBF2"/>
          </w:tcPr>
          <w:p>
            <w:pPr>
              <w:jc w:val="right"/>
              <w:spacing w:after="0"/>
              <w:rPr>
                <w:sz w:val="20"/>
                <w:szCs w:val="20"/>
                <w:color w:val="auto"/>
              </w:rPr>
            </w:pPr>
            <w:r>
              <w:rPr>
                <w:rFonts w:ascii="Times New Roman" w:cs="Times New Roman" w:eastAsia="Times New Roman" w:hAnsi="Times New Roman"/>
                <w:sz w:val="19"/>
                <w:szCs w:val="19"/>
                <w:color w:val="231F20"/>
              </w:rPr>
              <w:t>1,004.1</w:t>
            </w:r>
          </w:p>
        </w:tc>
        <w:tc>
          <w:tcPr>
            <w:tcW w:w="200" w:type="dxa"/>
            <w:vAlign w:val="bottom"/>
            <w:shd w:val="clear" w:color="auto" w:fill="D0EBF2"/>
          </w:tcPr>
          <w:p>
            <w:pPr>
              <w:spacing w:after="0"/>
              <w:rPr>
                <w:sz w:val="19"/>
                <w:szCs w:val="19"/>
                <w:color w:val="auto"/>
              </w:rPr>
            </w:pPr>
          </w:p>
        </w:tc>
        <w:tc>
          <w:tcPr>
            <w:tcW w:w="120" w:type="dxa"/>
            <w:vAlign w:val="bottom"/>
            <w:shd w:val="clear" w:color="auto" w:fill="D0EBF2"/>
          </w:tcPr>
          <w:p>
            <w:pPr>
              <w:jc w:val="right"/>
              <w:spacing w:after="0"/>
              <w:rPr>
                <w:sz w:val="20"/>
                <w:szCs w:val="20"/>
                <w:color w:val="auto"/>
              </w:rPr>
            </w:pPr>
            <w:r>
              <w:rPr>
                <w:rFonts w:ascii="Times New Roman" w:cs="Times New Roman" w:eastAsia="Times New Roman" w:hAnsi="Times New Roman"/>
                <w:sz w:val="19"/>
                <w:szCs w:val="19"/>
                <w:color w:val="231F20"/>
                <w:w w:val="83"/>
              </w:rPr>
              <w:t>$</w:t>
            </w:r>
          </w:p>
        </w:tc>
        <w:tc>
          <w:tcPr>
            <w:tcW w:w="960" w:type="dxa"/>
            <w:vAlign w:val="bottom"/>
            <w:shd w:val="clear" w:color="auto" w:fill="D0EBF2"/>
          </w:tcPr>
          <w:p>
            <w:pPr>
              <w:jc w:val="right"/>
              <w:spacing w:after="0"/>
              <w:rPr>
                <w:sz w:val="20"/>
                <w:szCs w:val="20"/>
                <w:color w:val="auto"/>
              </w:rPr>
            </w:pPr>
            <w:r>
              <w:rPr>
                <w:rFonts w:ascii="Times New Roman" w:cs="Times New Roman" w:eastAsia="Times New Roman" w:hAnsi="Times New Roman"/>
                <w:sz w:val="19"/>
                <w:szCs w:val="19"/>
                <w:color w:val="231F20"/>
              </w:rPr>
              <w:t>674.2</w:t>
            </w:r>
          </w:p>
        </w:tc>
        <w:tc>
          <w:tcPr>
            <w:tcW w:w="200" w:type="dxa"/>
            <w:vAlign w:val="bottom"/>
            <w:shd w:val="clear" w:color="auto" w:fill="D0EBF2"/>
          </w:tcPr>
          <w:p>
            <w:pPr>
              <w:spacing w:after="0"/>
              <w:rPr>
                <w:sz w:val="19"/>
                <w:szCs w:val="19"/>
                <w:color w:val="auto"/>
              </w:rPr>
            </w:pPr>
          </w:p>
        </w:tc>
        <w:tc>
          <w:tcPr>
            <w:tcW w:w="120" w:type="dxa"/>
            <w:vAlign w:val="bottom"/>
            <w:shd w:val="clear" w:color="auto" w:fill="D0EBF2"/>
          </w:tcPr>
          <w:p>
            <w:pPr>
              <w:jc w:val="right"/>
              <w:spacing w:after="0"/>
              <w:rPr>
                <w:sz w:val="20"/>
                <w:szCs w:val="20"/>
                <w:color w:val="auto"/>
              </w:rPr>
            </w:pPr>
            <w:r>
              <w:rPr>
                <w:rFonts w:ascii="Times New Roman" w:cs="Times New Roman" w:eastAsia="Times New Roman" w:hAnsi="Times New Roman"/>
                <w:sz w:val="17"/>
                <w:szCs w:val="17"/>
                <w:color w:val="231F20"/>
                <w:w w:val="70"/>
              </w:rPr>
              <w:t>$</w:t>
            </w:r>
          </w:p>
        </w:tc>
        <w:tc>
          <w:tcPr>
            <w:tcW w:w="880" w:type="dxa"/>
            <w:vAlign w:val="bottom"/>
            <w:shd w:val="clear" w:color="auto" w:fill="D0EBF2"/>
          </w:tcPr>
          <w:p>
            <w:pPr>
              <w:jc w:val="right"/>
              <w:spacing w:after="0"/>
              <w:rPr>
                <w:sz w:val="20"/>
                <w:szCs w:val="20"/>
                <w:color w:val="auto"/>
              </w:rPr>
            </w:pPr>
            <w:r>
              <w:rPr>
                <w:rFonts w:ascii="Times New Roman" w:cs="Times New Roman" w:eastAsia="Times New Roman" w:hAnsi="Times New Roman"/>
                <w:sz w:val="19"/>
                <w:szCs w:val="19"/>
                <w:color w:val="231F20"/>
              </w:rPr>
              <w:t>988.6</w:t>
            </w:r>
          </w:p>
        </w:tc>
        <w:tc>
          <w:tcPr>
            <w:tcW w:w="100" w:type="dxa"/>
            <w:vAlign w:val="bottom"/>
            <w:shd w:val="clear" w:color="auto" w:fill="D0EBF2"/>
          </w:tcPr>
          <w:p>
            <w:pPr>
              <w:spacing w:after="0"/>
              <w:rPr>
                <w:sz w:val="19"/>
                <w:szCs w:val="19"/>
                <w:color w:val="auto"/>
              </w:rPr>
            </w:pPr>
          </w:p>
        </w:tc>
      </w:tr>
      <w:tr>
        <w:trPr>
          <w:trHeight w:val="230"/>
        </w:trPr>
        <w:tc>
          <w:tcPr>
            <w:tcW w:w="2960" w:type="dxa"/>
            <w:vAlign w:val="bottom"/>
            <w:shd w:val="clear" w:color="auto" w:fill="FDFDFC"/>
          </w:tcPr>
          <w:p>
            <w:pPr>
              <w:spacing w:after="0"/>
              <w:rPr>
                <w:sz w:val="20"/>
                <w:szCs w:val="20"/>
                <w:color w:val="auto"/>
              </w:rPr>
            </w:pPr>
            <w:r>
              <w:rPr>
                <w:rFonts w:ascii="Times New Roman" w:cs="Times New Roman" w:eastAsia="Times New Roman" w:hAnsi="Times New Roman"/>
                <w:sz w:val="19"/>
                <w:szCs w:val="19"/>
                <w:color w:val="231F20"/>
              </w:rPr>
              <w:t>2026 Notes</w:t>
            </w:r>
          </w:p>
        </w:tc>
        <w:tc>
          <w:tcPr>
            <w:tcW w:w="240" w:type="dxa"/>
            <w:vAlign w:val="bottom"/>
            <w:shd w:val="clear" w:color="auto" w:fill="FDFDFC"/>
          </w:tcPr>
          <w:p>
            <w:pPr>
              <w:spacing w:after="0"/>
              <w:rPr>
                <w:sz w:val="20"/>
                <w:szCs w:val="20"/>
                <w:color w:val="auto"/>
              </w:rPr>
            </w:pPr>
          </w:p>
        </w:tc>
        <w:tc>
          <w:tcPr>
            <w:tcW w:w="1120" w:type="dxa"/>
            <w:vAlign w:val="bottom"/>
            <w:shd w:val="clear" w:color="auto" w:fill="FDFDFC"/>
          </w:tcPr>
          <w:p>
            <w:pPr>
              <w:jc w:val="right"/>
              <w:spacing w:after="0"/>
              <w:rPr>
                <w:sz w:val="20"/>
                <w:szCs w:val="20"/>
                <w:color w:val="auto"/>
              </w:rPr>
            </w:pPr>
            <w:r>
              <w:rPr>
                <w:rFonts w:ascii="Times New Roman" w:cs="Times New Roman" w:eastAsia="Times New Roman" w:hAnsi="Times New Roman"/>
                <w:sz w:val="19"/>
                <w:szCs w:val="19"/>
                <w:color w:val="231F20"/>
              </w:rPr>
              <w:t>300.0</w:t>
            </w:r>
          </w:p>
        </w:tc>
        <w:tc>
          <w:tcPr>
            <w:tcW w:w="200" w:type="dxa"/>
            <w:vAlign w:val="bottom"/>
            <w:shd w:val="clear" w:color="auto" w:fill="FDFDFC"/>
          </w:tcPr>
          <w:p>
            <w:pPr>
              <w:spacing w:after="0"/>
              <w:rPr>
                <w:sz w:val="20"/>
                <w:szCs w:val="20"/>
                <w:color w:val="auto"/>
              </w:rPr>
            </w:pPr>
          </w:p>
        </w:tc>
        <w:tc>
          <w:tcPr>
            <w:tcW w:w="100" w:type="dxa"/>
            <w:vAlign w:val="bottom"/>
            <w:shd w:val="clear" w:color="auto" w:fill="FDFDFC"/>
          </w:tcPr>
          <w:p>
            <w:pPr>
              <w:spacing w:after="0"/>
              <w:rPr>
                <w:sz w:val="20"/>
                <w:szCs w:val="20"/>
                <w:color w:val="auto"/>
              </w:rPr>
            </w:pPr>
          </w:p>
        </w:tc>
        <w:tc>
          <w:tcPr>
            <w:tcW w:w="960" w:type="dxa"/>
            <w:vAlign w:val="bottom"/>
            <w:shd w:val="clear" w:color="auto" w:fill="FDFDFC"/>
          </w:tcPr>
          <w:p>
            <w:pPr>
              <w:jc w:val="right"/>
              <w:spacing w:after="0"/>
              <w:rPr>
                <w:sz w:val="20"/>
                <w:szCs w:val="20"/>
                <w:color w:val="auto"/>
              </w:rPr>
            </w:pPr>
            <w:r>
              <w:rPr>
                <w:rFonts w:ascii="Times New Roman" w:cs="Times New Roman" w:eastAsia="Times New Roman" w:hAnsi="Times New Roman"/>
                <w:sz w:val="19"/>
                <w:szCs w:val="19"/>
                <w:color w:val="231F20"/>
              </w:rPr>
              <w:t>300.0</w:t>
            </w:r>
          </w:p>
        </w:tc>
        <w:tc>
          <w:tcPr>
            <w:tcW w:w="200" w:type="dxa"/>
            <w:vAlign w:val="bottom"/>
            <w:shd w:val="clear" w:color="auto" w:fill="FDFDFC"/>
          </w:tcPr>
          <w:p>
            <w:pPr>
              <w:spacing w:after="0"/>
              <w:rPr>
                <w:sz w:val="20"/>
                <w:szCs w:val="20"/>
                <w:color w:val="auto"/>
              </w:rPr>
            </w:pPr>
          </w:p>
        </w:tc>
        <w:tc>
          <w:tcPr>
            <w:tcW w:w="120" w:type="dxa"/>
            <w:vAlign w:val="bottom"/>
            <w:shd w:val="clear" w:color="auto" w:fill="FDFDFC"/>
          </w:tcPr>
          <w:p>
            <w:pPr>
              <w:spacing w:after="0"/>
              <w:rPr>
                <w:sz w:val="20"/>
                <w:szCs w:val="20"/>
                <w:color w:val="auto"/>
              </w:rPr>
            </w:pPr>
          </w:p>
        </w:tc>
        <w:tc>
          <w:tcPr>
            <w:tcW w:w="960" w:type="dxa"/>
            <w:vAlign w:val="bottom"/>
            <w:shd w:val="clear" w:color="auto" w:fill="FDFDFC"/>
          </w:tcPr>
          <w:p>
            <w:pPr>
              <w:jc w:val="right"/>
              <w:spacing w:after="0"/>
              <w:rPr>
                <w:sz w:val="20"/>
                <w:szCs w:val="20"/>
                <w:color w:val="auto"/>
              </w:rPr>
            </w:pPr>
            <w:r>
              <w:rPr>
                <w:rFonts w:ascii="Times New Roman" w:cs="Times New Roman" w:eastAsia="Times New Roman" w:hAnsi="Times New Roman"/>
                <w:sz w:val="19"/>
                <w:szCs w:val="19"/>
                <w:color w:val="231F20"/>
              </w:rPr>
              <w:t>—</w:t>
            </w:r>
          </w:p>
        </w:tc>
        <w:tc>
          <w:tcPr>
            <w:tcW w:w="200" w:type="dxa"/>
            <w:vAlign w:val="bottom"/>
            <w:shd w:val="clear" w:color="auto" w:fill="FDFDFC"/>
          </w:tcPr>
          <w:p>
            <w:pPr>
              <w:spacing w:after="0"/>
              <w:rPr>
                <w:sz w:val="20"/>
                <w:szCs w:val="20"/>
                <w:color w:val="auto"/>
              </w:rPr>
            </w:pPr>
          </w:p>
        </w:tc>
        <w:tc>
          <w:tcPr>
            <w:tcW w:w="120" w:type="dxa"/>
            <w:vAlign w:val="bottom"/>
            <w:shd w:val="clear" w:color="auto" w:fill="FDFDFC"/>
          </w:tcPr>
          <w:p>
            <w:pPr>
              <w:spacing w:after="0"/>
              <w:rPr>
                <w:sz w:val="20"/>
                <w:szCs w:val="20"/>
                <w:color w:val="auto"/>
              </w:rPr>
            </w:pPr>
          </w:p>
        </w:tc>
        <w:tc>
          <w:tcPr>
            <w:tcW w:w="880" w:type="dxa"/>
            <w:vAlign w:val="bottom"/>
            <w:shd w:val="clear" w:color="auto" w:fill="FDFDFC"/>
          </w:tcPr>
          <w:p>
            <w:pPr>
              <w:jc w:val="right"/>
              <w:spacing w:after="0"/>
              <w:rPr>
                <w:sz w:val="20"/>
                <w:szCs w:val="20"/>
                <w:color w:val="auto"/>
              </w:rPr>
            </w:pPr>
            <w:r>
              <w:rPr>
                <w:rFonts w:ascii="Times New Roman" w:cs="Times New Roman" w:eastAsia="Times New Roman" w:hAnsi="Times New Roman"/>
                <w:sz w:val="19"/>
                <w:szCs w:val="19"/>
                <w:color w:val="231F20"/>
              </w:rPr>
              <w:t>280.5</w:t>
            </w:r>
          </w:p>
        </w:tc>
        <w:tc>
          <w:tcPr>
            <w:tcW w:w="100" w:type="dxa"/>
            <w:vAlign w:val="bottom"/>
            <w:shd w:val="clear" w:color="auto" w:fill="FDFDFC"/>
          </w:tcPr>
          <w:p>
            <w:pPr>
              <w:spacing w:after="0"/>
              <w:rPr>
                <w:sz w:val="20"/>
                <w:szCs w:val="20"/>
                <w:color w:val="auto"/>
              </w:rPr>
            </w:pPr>
          </w:p>
        </w:tc>
      </w:tr>
      <w:tr>
        <w:trPr>
          <w:trHeight w:val="230"/>
        </w:trPr>
        <w:tc>
          <w:tcPr>
            <w:tcW w:w="2960" w:type="dxa"/>
            <w:vAlign w:val="bottom"/>
            <w:shd w:val="clear" w:color="auto" w:fill="D0EBF2"/>
          </w:tcPr>
          <w:p>
            <w:pPr>
              <w:spacing w:after="0"/>
              <w:rPr>
                <w:sz w:val="20"/>
                <w:szCs w:val="20"/>
                <w:color w:val="auto"/>
              </w:rPr>
            </w:pPr>
            <w:r>
              <w:rPr>
                <w:rFonts w:ascii="Times New Roman" w:cs="Times New Roman" w:eastAsia="Times New Roman" w:hAnsi="Times New Roman"/>
                <w:sz w:val="19"/>
                <w:szCs w:val="19"/>
                <w:color w:val="231F20"/>
              </w:rPr>
              <w:t>2028 Notes</w:t>
            </w:r>
          </w:p>
        </w:tc>
        <w:tc>
          <w:tcPr>
            <w:tcW w:w="240" w:type="dxa"/>
            <w:vAlign w:val="bottom"/>
            <w:shd w:val="clear" w:color="auto" w:fill="D0EBF2"/>
          </w:tcPr>
          <w:p>
            <w:pPr>
              <w:spacing w:after="0"/>
              <w:rPr>
                <w:sz w:val="20"/>
                <w:szCs w:val="20"/>
                <w:color w:val="auto"/>
              </w:rPr>
            </w:pPr>
          </w:p>
        </w:tc>
        <w:tc>
          <w:tcPr>
            <w:tcW w:w="1120" w:type="dxa"/>
            <w:vAlign w:val="bottom"/>
            <w:shd w:val="clear" w:color="auto" w:fill="D0EBF2"/>
          </w:tcPr>
          <w:p>
            <w:pPr>
              <w:jc w:val="right"/>
              <w:spacing w:after="0"/>
              <w:rPr>
                <w:sz w:val="20"/>
                <w:szCs w:val="20"/>
                <w:color w:val="auto"/>
              </w:rPr>
            </w:pPr>
            <w:r>
              <w:rPr>
                <w:rFonts w:ascii="Times New Roman" w:cs="Times New Roman" w:eastAsia="Times New Roman" w:hAnsi="Times New Roman"/>
                <w:sz w:val="19"/>
                <w:szCs w:val="19"/>
                <w:color w:val="231F20"/>
              </w:rPr>
              <w:t>300.0</w:t>
            </w:r>
          </w:p>
        </w:tc>
        <w:tc>
          <w:tcPr>
            <w:tcW w:w="200" w:type="dxa"/>
            <w:vAlign w:val="bottom"/>
            <w:shd w:val="clear" w:color="auto" w:fill="D0EBF2"/>
          </w:tcPr>
          <w:p>
            <w:pPr>
              <w:spacing w:after="0"/>
              <w:rPr>
                <w:sz w:val="20"/>
                <w:szCs w:val="20"/>
                <w:color w:val="auto"/>
              </w:rPr>
            </w:pPr>
          </w:p>
        </w:tc>
        <w:tc>
          <w:tcPr>
            <w:tcW w:w="100" w:type="dxa"/>
            <w:vAlign w:val="bottom"/>
            <w:shd w:val="clear" w:color="auto" w:fill="D0EBF2"/>
          </w:tcPr>
          <w:p>
            <w:pPr>
              <w:spacing w:after="0"/>
              <w:rPr>
                <w:sz w:val="20"/>
                <w:szCs w:val="20"/>
                <w:color w:val="auto"/>
              </w:rPr>
            </w:pPr>
          </w:p>
        </w:tc>
        <w:tc>
          <w:tcPr>
            <w:tcW w:w="960" w:type="dxa"/>
            <w:vAlign w:val="bottom"/>
            <w:shd w:val="clear" w:color="auto" w:fill="D0EBF2"/>
          </w:tcPr>
          <w:p>
            <w:pPr>
              <w:jc w:val="right"/>
              <w:spacing w:after="0"/>
              <w:rPr>
                <w:sz w:val="20"/>
                <w:szCs w:val="20"/>
                <w:color w:val="auto"/>
              </w:rPr>
            </w:pPr>
            <w:r>
              <w:rPr>
                <w:rFonts w:ascii="Times New Roman" w:cs="Times New Roman" w:eastAsia="Times New Roman" w:hAnsi="Times New Roman"/>
                <w:sz w:val="19"/>
                <w:szCs w:val="19"/>
                <w:color w:val="231F20"/>
              </w:rPr>
              <w:t>300.0</w:t>
            </w:r>
          </w:p>
        </w:tc>
        <w:tc>
          <w:tcPr>
            <w:tcW w:w="200" w:type="dxa"/>
            <w:vAlign w:val="bottom"/>
            <w:shd w:val="clear" w:color="auto" w:fill="D0EBF2"/>
          </w:tcPr>
          <w:p>
            <w:pPr>
              <w:spacing w:after="0"/>
              <w:rPr>
                <w:sz w:val="20"/>
                <w:szCs w:val="20"/>
                <w:color w:val="auto"/>
              </w:rPr>
            </w:pPr>
          </w:p>
        </w:tc>
        <w:tc>
          <w:tcPr>
            <w:tcW w:w="120" w:type="dxa"/>
            <w:vAlign w:val="bottom"/>
            <w:shd w:val="clear" w:color="auto" w:fill="D0EBF2"/>
          </w:tcPr>
          <w:p>
            <w:pPr>
              <w:spacing w:after="0"/>
              <w:rPr>
                <w:sz w:val="20"/>
                <w:szCs w:val="20"/>
                <w:color w:val="auto"/>
              </w:rPr>
            </w:pPr>
          </w:p>
        </w:tc>
        <w:tc>
          <w:tcPr>
            <w:tcW w:w="960" w:type="dxa"/>
            <w:vAlign w:val="bottom"/>
            <w:shd w:val="clear" w:color="auto" w:fill="D0EBF2"/>
          </w:tcPr>
          <w:p>
            <w:pPr>
              <w:jc w:val="right"/>
              <w:spacing w:after="0"/>
              <w:rPr>
                <w:sz w:val="20"/>
                <w:szCs w:val="20"/>
                <w:color w:val="auto"/>
              </w:rPr>
            </w:pPr>
            <w:r>
              <w:rPr>
                <w:rFonts w:ascii="Times New Roman" w:cs="Times New Roman" w:eastAsia="Times New Roman" w:hAnsi="Times New Roman"/>
                <w:sz w:val="19"/>
                <w:szCs w:val="19"/>
                <w:color w:val="231F20"/>
              </w:rPr>
              <w:t>—</w:t>
            </w:r>
          </w:p>
        </w:tc>
        <w:tc>
          <w:tcPr>
            <w:tcW w:w="200" w:type="dxa"/>
            <w:vAlign w:val="bottom"/>
            <w:shd w:val="clear" w:color="auto" w:fill="D0EBF2"/>
          </w:tcPr>
          <w:p>
            <w:pPr>
              <w:spacing w:after="0"/>
              <w:rPr>
                <w:sz w:val="20"/>
                <w:szCs w:val="20"/>
                <w:color w:val="auto"/>
              </w:rPr>
            </w:pPr>
          </w:p>
        </w:tc>
        <w:tc>
          <w:tcPr>
            <w:tcW w:w="120" w:type="dxa"/>
            <w:vAlign w:val="bottom"/>
            <w:shd w:val="clear" w:color="auto" w:fill="D0EBF2"/>
          </w:tcPr>
          <w:p>
            <w:pPr>
              <w:spacing w:after="0"/>
              <w:rPr>
                <w:sz w:val="20"/>
                <w:szCs w:val="20"/>
                <w:color w:val="auto"/>
              </w:rPr>
            </w:pPr>
          </w:p>
        </w:tc>
        <w:tc>
          <w:tcPr>
            <w:tcW w:w="880" w:type="dxa"/>
            <w:vAlign w:val="bottom"/>
            <w:shd w:val="clear" w:color="auto" w:fill="D0EBF2"/>
          </w:tcPr>
          <w:p>
            <w:pPr>
              <w:jc w:val="right"/>
              <w:spacing w:after="0"/>
              <w:rPr>
                <w:sz w:val="20"/>
                <w:szCs w:val="20"/>
                <w:color w:val="auto"/>
              </w:rPr>
            </w:pPr>
            <w:r>
              <w:rPr>
                <w:rFonts w:ascii="Times New Roman" w:cs="Times New Roman" w:eastAsia="Times New Roman" w:hAnsi="Times New Roman"/>
                <w:sz w:val="19"/>
                <w:szCs w:val="19"/>
                <w:color w:val="231F20"/>
              </w:rPr>
              <w:t>294.1</w:t>
            </w:r>
          </w:p>
        </w:tc>
        <w:tc>
          <w:tcPr>
            <w:tcW w:w="100" w:type="dxa"/>
            <w:vAlign w:val="bottom"/>
            <w:shd w:val="clear" w:color="auto" w:fill="D0EBF2"/>
          </w:tcPr>
          <w:p>
            <w:pPr>
              <w:spacing w:after="0"/>
              <w:rPr>
                <w:sz w:val="20"/>
                <w:szCs w:val="20"/>
                <w:color w:val="auto"/>
              </w:rPr>
            </w:pPr>
          </w:p>
        </w:tc>
      </w:tr>
      <w:tr>
        <w:trPr>
          <w:trHeight w:val="230"/>
        </w:trPr>
        <w:tc>
          <w:tcPr>
            <w:tcW w:w="2960" w:type="dxa"/>
            <w:vAlign w:val="bottom"/>
            <w:tcBorders>
              <w:bottom w:val="single" w:sz="8" w:color="D0EBF2"/>
            </w:tcBorders>
            <w:shd w:val="clear" w:color="auto" w:fill="FDFDFC"/>
          </w:tcPr>
          <w:p>
            <w:pPr>
              <w:spacing w:after="0"/>
              <w:rPr>
                <w:sz w:val="20"/>
                <w:szCs w:val="20"/>
                <w:color w:val="auto"/>
              </w:rPr>
            </w:pPr>
            <w:r>
              <w:rPr>
                <w:rFonts w:ascii="Times New Roman" w:cs="Times New Roman" w:eastAsia="Times New Roman" w:hAnsi="Times New Roman"/>
                <w:sz w:val="19"/>
                <w:szCs w:val="19"/>
                <w:color w:val="231F20"/>
              </w:rPr>
              <w:t>2029 Notes</w:t>
            </w:r>
          </w:p>
        </w:tc>
        <w:tc>
          <w:tcPr>
            <w:tcW w:w="240" w:type="dxa"/>
            <w:vAlign w:val="bottom"/>
            <w:tcBorders>
              <w:bottom w:val="single" w:sz="8" w:color="231F20"/>
            </w:tcBorders>
            <w:shd w:val="clear" w:color="auto" w:fill="FDFDFC"/>
          </w:tcPr>
          <w:p>
            <w:pPr>
              <w:spacing w:after="0"/>
              <w:rPr>
                <w:sz w:val="20"/>
                <w:szCs w:val="20"/>
                <w:color w:val="auto"/>
              </w:rPr>
            </w:pPr>
          </w:p>
        </w:tc>
        <w:tc>
          <w:tcPr>
            <w:tcW w:w="1120" w:type="dxa"/>
            <w:vAlign w:val="bottom"/>
            <w:tcBorders>
              <w:bottom w:val="single" w:sz="8" w:color="231F20"/>
            </w:tcBorders>
            <w:shd w:val="clear" w:color="auto" w:fill="FDFDFC"/>
          </w:tcPr>
          <w:p>
            <w:pPr>
              <w:jc w:val="right"/>
              <w:spacing w:after="0"/>
              <w:rPr>
                <w:sz w:val="20"/>
                <w:szCs w:val="20"/>
                <w:color w:val="auto"/>
              </w:rPr>
            </w:pPr>
            <w:r>
              <w:rPr>
                <w:rFonts w:ascii="Times New Roman" w:cs="Times New Roman" w:eastAsia="Times New Roman" w:hAnsi="Times New Roman"/>
                <w:sz w:val="19"/>
                <w:szCs w:val="19"/>
                <w:color w:val="231F20"/>
              </w:rPr>
              <w:t>350.0</w:t>
            </w:r>
          </w:p>
        </w:tc>
        <w:tc>
          <w:tcPr>
            <w:tcW w:w="200" w:type="dxa"/>
            <w:vAlign w:val="bottom"/>
            <w:tcBorders>
              <w:bottom w:val="single" w:sz="8" w:color="D0EBF2"/>
            </w:tcBorders>
            <w:shd w:val="clear" w:color="auto" w:fill="FDFDFC"/>
          </w:tcPr>
          <w:p>
            <w:pPr>
              <w:spacing w:after="0"/>
              <w:rPr>
                <w:sz w:val="20"/>
                <w:szCs w:val="20"/>
                <w:color w:val="auto"/>
              </w:rPr>
            </w:pPr>
          </w:p>
        </w:tc>
        <w:tc>
          <w:tcPr>
            <w:tcW w:w="100" w:type="dxa"/>
            <w:vAlign w:val="bottom"/>
            <w:tcBorders>
              <w:bottom w:val="single" w:sz="8" w:color="231F20"/>
            </w:tcBorders>
            <w:shd w:val="clear" w:color="auto" w:fill="FDFDFC"/>
          </w:tcPr>
          <w:p>
            <w:pPr>
              <w:spacing w:after="0"/>
              <w:rPr>
                <w:sz w:val="20"/>
                <w:szCs w:val="20"/>
                <w:color w:val="auto"/>
              </w:rPr>
            </w:pPr>
          </w:p>
        </w:tc>
        <w:tc>
          <w:tcPr>
            <w:tcW w:w="960" w:type="dxa"/>
            <w:vAlign w:val="bottom"/>
            <w:tcBorders>
              <w:bottom w:val="single" w:sz="8" w:color="231F20"/>
            </w:tcBorders>
            <w:shd w:val="clear" w:color="auto" w:fill="FDFDFC"/>
          </w:tcPr>
          <w:p>
            <w:pPr>
              <w:jc w:val="right"/>
              <w:spacing w:after="0"/>
              <w:rPr>
                <w:sz w:val="20"/>
                <w:szCs w:val="20"/>
                <w:color w:val="auto"/>
              </w:rPr>
            </w:pPr>
            <w:r>
              <w:rPr>
                <w:rFonts w:ascii="Times New Roman" w:cs="Times New Roman" w:eastAsia="Times New Roman" w:hAnsi="Times New Roman"/>
                <w:sz w:val="19"/>
                <w:szCs w:val="19"/>
                <w:color w:val="231F20"/>
              </w:rPr>
              <w:t>350.0</w:t>
            </w:r>
          </w:p>
        </w:tc>
        <w:tc>
          <w:tcPr>
            <w:tcW w:w="200" w:type="dxa"/>
            <w:vAlign w:val="bottom"/>
            <w:tcBorders>
              <w:bottom w:val="single" w:sz="8" w:color="D0EBF2"/>
            </w:tcBorders>
            <w:shd w:val="clear" w:color="auto" w:fill="FDFDFC"/>
          </w:tcPr>
          <w:p>
            <w:pPr>
              <w:spacing w:after="0"/>
              <w:rPr>
                <w:sz w:val="20"/>
                <w:szCs w:val="20"/>
                <w:color w:val="auto"/>
              </w:rPr>
            </w:pPr>
          </w:p>
        </w:tc>
        <w:tc>
          <w:tcPr>
            <w:tcW w:w="120" w:type="dxa"/>
            <w:vAlign w:val="bottom"/>
            <w:tcBorders>
              <w:bottom w:val="single" w:sz="8" w:color="231F20"/>
            </w:tcBorders>
            <w:shd w:val="clear" w:color="auto" w:fill="FDFDFC"/>
          </w:tcPr>
          <w:p>
            <w:pPr>
              <w:spacing w:after="0"/>
              <w:rPr>
                <w:sz w:val="20"/>
                <w:szCs w:val="20"/>
                <w:color w:val="auto"/>
              </w:rPr>
            </w:pPr>
          </w:p>
        </w:tc>
        <w:tc>
          <w:tcPr>
            <w:tcW w:w="960" w:type="dxa"/>
            <w:vAlign w:val="bottom"/>
            <w:tcBorders>
              <w:bottom w:val="single" w:sz="8" w:color="231F20"/>
            </w:tcBorders>
            <w:shd w:val="clear" w:color="auto" w:fill="FDFDFC"/>
          </w:tcPr>
          <w:p>
            <w:pPr>
              <w:jc w:val="right"/>
              <w:spacing w:after="0"/>
              <w:rPr>
                <w:sz w:val="20"/>
                <w:szCs w:val="20"/>
                <w:color w:val="auto"/>
              </w:rPr>
            </w:pPr>
            <w:r>
              <w:rPr>
                <w:rFonts w:ascii="Times New Roman" w:cs="Times New Roman" w:eastAsia="Times New Roman" w:hAnsi="Times New Roman"/>
                <w:sz w:val="19"/>
                <w:szCs w:val="19"/>
                <w:color w:val="231F20"/>
              </w:rPr>
              <w:t>—</w:t>
            </w:r>
          </w:p>
        </w:tc>
        <w:tc>
          <w:tcPr>
            <w:tcW w:w="200" w:type="dxa"/>
            <w:vAlign w:val="bottom"/>
            <w:tcBorders>
              <w:bottom w:val="single" w:sz="8" w:color="D0EBF2"/>
            </w:tcBorders>
            <w:shd w:val="clear" w:color="auto" w:fill="FDFDFC"/>
          </w:tcPr>
          <w:p>
            <w:pPr>
              <w:spacing w:after="0"/>
              <w:rPr>
                <w:sz w:val="20"/>
                <w:szCs w:val="20"/>
                <w:color w:val="auto"/>
              </w:rPr>
            </w:pPr>
          </w:p>
        </w:tc>
        <w:tc>
          <w:tcPr>
            <w:tcW w:w="120" w:type="dxa"/>
            <w:vAlign w:val="bottom"/>
            <w:tcBorders>
              <w:bottom w:val="single" w:sz="8" w:color="231F20"/>
            </w:tcBorders>
            <w:shd w:val="clear" w:color="auto" w:fill="FDFDFC"/>
          </w:tcPr>
          <w:p>
            <w:pPr>
              <w:spacing w:after="0"/>
              <w:rPr>
                <w:sz w:val="20"/>
                <w:szCs w:val="20"/>
                <w:color w:val="auto"/>
              </w:rPr>
            </w:pPr>
          </w:p>
        </w:tc>
        <w:tc>
          <w:tcPr>
            <w:tcW w:w="880" w:type="dxa"/>
            <w:vAlign w:val="bottom"/>
            <w:tcBorders>
              <w:bottom w:val="single" w:sz="8" w:color="231F20"/>
            </w:tcBorders>
            <w:shd w:val="clear" w:color="auto" w:fill="FDFDFC"/>
          </w:tcPr>
          <w:p>
            <w:pPr>
              <w:jc w:val="right"/>
              <w:spacing w:after="0"/>
              <w:rPr>
                <w:sz w:val="20"/>
                <w:szCs w:val="20"/>
                <w:color w:val="auto"/>
              </w:rPr>
            </w:pPr>
            <w:r>
              <w:rPr>
                <w:rFonts w:ascii="Times New Roman" w:cs="Times New Roman" w:eastAsia="Times New Roman" w:hAnsi="Times New Roman"/>
                <w:sz w:val="19"/>
                <w:szCs w:val="19"/>
                <w:color w:val="231F20"/>
              </w:rPr>
              <w:t>337.9</w:t>
            </w:r>
          </w:p>
        </w:tc>
        <w:tc>
          <w:tcPr>
            <w:tcW w:w="100" w:type="dxa"/>
            <w:vAlign w:val="bottom"/>
            <w:tcBorders>
              <w:bottom w:val="single" w:sz="8" w:color="D0EBF2"/>
            </w:tcBorders>
            <w:shd w:val="clear" w:color="auto" w:fill="FDFDFC"/>
          </w:tcPr>
          <w:p>
            <w:pPr>
              <w:spacing w:after="0"/>
              <w:rPr>
                <w:sz w:val="20"/>
                <w:szCs w:val="20"/>
                <w:color w:val="auto"/>
              </w:rPr>
            </w:pPr>
          </w:p>
        </w:tc>
      </w:tr>
      <w:tr>
        <w:trPr>
          <w:trHeight w:val="220"/>
        </w:trPr>
        <w:tc>
          <w:tcPr>
            <w:tcW w:w="2960" w:type="dxa"/>
            <w:vAlign w:val="bottom"/>
            <w:shd w:val="clear" w:color="auto" w:fill="D0EBF2"/>
          </w:tcPr>
          <w:p>
            <w:pPr>
              <w:ind w:left="180"/>
              <w:spacing w:after="0"/>
              <w:rPr>
                <w:sz w:val="20"/>
                <w:szCs w:val="20"/>
                <w:color w:val="auto"/>
              </w:rPr>
            </w:pPr>
            <w:r>
              <w:rPr>
                <w:rFonts w:ascii="Times New Roman" w:cs="Times New Roman" w:eastAsia="Times New Roman" w:hAnsi="Times New Roman"/>
                <w:sz w:val="19"/>
                <w:szCs w:val="19"/>
                <w:b w:val="1"/>
                <w:bCs w:val="1"/>
                <w:color w:val="231F20"/>
              </w:rPr>
              <w:t>Total Debt</w:t>
            </w:r>
          </w:p>
        </w:tc>
        <w:tc>
          <w:tcPr>
            <w:tcW w:w="240" w:type="dxa"/>
            <w:vAlign w:val="bottom"/>
            <w:tcBorders>
              <w:bottom w:val="single" w:sz="8" w:color="231F20"/>
            </w:tcBorders>
            <w:shd w:val="clear" w:color="auto" w:fill="D0EBF2"/>
          </w:tcPr>
          <w:p>
            <w:pPr>
              <w:spacing w:after="0"/>
              <w:rPr>
                <w:sz w:val="20"/>
                <w:szCs w:val="20"/>
                <w:color w:val="auto"/>
              </w:rPr>
            </w:pPr>
            <w:r>
              <w:rPr>
                <w:rFonts w:ascii="Times New Roman" w:cs="Times New Roman" w:eastAsia="Times New Roman" w:hAnsi="Times New Roman"/>
                <w:sz w:val="19"/>
                <w:szCs w:val="19"/>
                <w:color w:val="231F20"/>
              </w:rPr>
              <w:t>$</w:t>
            </w:r>
          </w:p>
        </w:tc>
        <w:tc>
          <w:tcPr>
            <w:tcW w:w="1120" w:type="dxa"/>
            <w:vAlign w:val="bottom"/>
            <w:tcBorders>
              <w:bottom w:val="single" w:sz="8" w:color="231F20"/>
            </w:tcBorders>
            <w:shd w:val="clear" w:color="auto" w:fill="D0EBF2"/>
          </w:tcPr>
          <w:p>
            <w:pPr>
              <w:jc w:val="right"/>
              <w:spacing w:after="0"/>
              <w:rPr>
                <w:sz w:val="20"/>
                <w:szCs w:val="20"/>
                <w:color w:val="auto"/>
              </w:rPr>
            </w:pPr>
            <w:r>
              <w:rPr>
                <w:rFonts w:ascii="Times New Roman" w:cs="Times New Roman" w:eastAsia="Times New Roman" w:hAnsi="Times New Roman"/>
                <w:sz w:val="19"/>
                <w:szCs w:val="19"/>
                <w:color w:val="231F20"/>
              </w:rPr>
              <w:t>2,650.0</w:t>
            </w:r>
          </w:p>
        </w:tc>
        <w:tc>
          <w:tcPr>
            <w:tcW w:w="200" w:type="dxa"/>
            <w:vAlign w:val="bottom"/>
            <w:shd w:val="clear" w:color="auto" w:fill="D0EBF2"/>
          </w:tcPr>
          <w:p>
            <w:pPr>
              <w:spacing w:after="0"/>
              <w:rPr>
                <w:sz w:val="19"/>
                <w:szCs w:val="19"/>
                <w:color w:val="auto"/>
              </w:rPr>
            </w:pPr>
          </w:p>
        </w:tc>
        <w:tc>
          <w:tcPr>
            <w:tcW w:w="100" w:type="dxa"/>
            <w:vAlign w:val="bottom"/>
            <w:tcBorders>
              <w:bottom w:val="single" w:sz="8" w:color="231F20"/>
            </w:tcBorders>
            <w:shd w:val="clear" w:color="auto" w:fill="D0EBF2"/>
          </w:tcPr>
          <w:p>
            <w:pPr>
              <w:jc w:val="right"/>
              <w:spacing w:after="0"/>
              <w:rPr>
                <w:sz w:val="20"/>
                <w:szCs w:val="20"/>
                <w:color w:val="auto"/>
              </w:rPr>
            </w:pPr>
            <w:r>
              <w:rPr>
                <w:rFonts w:ascii="Times New Roman" w:cs="Times New Roman" w:eastAsia="Times New Roman" w:hAnsi="Times New Roman"/>
                <w:sz w:val="19"/>
                <w:szCs w:val="19"/>
                <w:color w:val="231F20"/>
                <w:w w:val="83"/>
              </w:rPr>
              <w:t>$</w:t>
            </w:r>
          </w:p>
        </w:tc>
        <w:tc>
          <w:tcPr>
            <w:tcW w:w="960" w:type="dxa"/>
            <w:vAlign w:val="bottom"/>
            <w:tcBorders>
              <w:bottom w:val="single" w:sz="8" w:color="231F20"/>
            </w:tcBorders>
            <w:shd w:val="clear" w:color="auto" w:fill="D0EBF2"/>
          </w:tcPr>
          <w:p>
            <w:pPr>
              <w:jc w:val="right"/>
              <w:spacing w:after="0"/>
              <w:rPr>
                <w:sz w:val="20"/>
                <w:szCs w:val="20"/>
                <w:color w:val="auto"/>
              </w:rPr>
            </w:pPr>
            <w:r>
              <w:rPr>
                <w:rFonts w:ascii="Times New Roman" w:cs="Times New Roman" w:eastAsia="Times New Roman" w:hAnsi="Times New Roman"/>
                <w:sz w:val="19"/>
                <w:szCs w:val="19"/>
                <w:color w:val="231F20"/>
              </w:rPr>
              <w:t>1,954.1</w:t>
            </w:r>
          </w:p>
        </w:tc>
        <w:tc>
          <w:tcPr>
            <w:tcW w:w="200" w:type="dxa"/>
            <w:vAlign w:val="bottom"/>
            <w:shd w:val="clear" w:color="auto" w:fill="D0EBF2"/>
          </w:tcPr>
          <w:p>
            <w:pPr>
              <w:spacing w:after="0"/>
              <w:rPr>
                <w:sz w:val="19"/>
                <w:szCs w:val="19"/>
                <w:color w:val="auto"/>
              </w:rPr>
            </w:pPr>
          </w:p>
        </w:tc>
        <w:tc>
          <w:tcPr>
            <w:tcW w:w="120" w:type="dxa"/>
            <w:vAlign w:val="bottom"/>
            <w:tcBorders>
              <w:bottom w:val="single" w:sz="8" w:color="231F20"/>
            </w:tcBorders>
            <w:shd w:val="clear" w:color="auto" w:fill="D0EBF2"/>
          </w:tcPr>
          <w:p>
            <w:pPr>
              <w:jc w:val="right"/>
              <w:spacing w:after="0"/>
              <w:rPr>
                <w:sz w:val="20"/>
                <w:szCs w:val="20"/>
                <w:color w:val="auto"/>
              </w:rPr>
            </w:pPr>
            <w:r>
              <w:rPr>
                <w:rFonts w:ascii="Times New Roman" w:cs="Times New Roman" w:eastAsia="Times New Roman" w:hAnsi="Times New Roman"/>
                <w:sz w:val="19"/>
                <w:szCs w:val="19"/>
                <w:color w:val="231F20"/>
                <w:w w:val="83"/>
              </w:rPr>
              <w:t>$</w:t>
            </w:r>
          </w:p>
        </w:tc>
        <w:tc>
          <w:tcPr>
            <w:tcW w:w="960" w:type="dxa"/>
            <w:vAlign w:val="bottom"/>
            <w:tcBorders>
              <w:bottom w:val="single" w:sz="8" w:color="231F20"/>
            </w:tcBorders>
            <w:shd w:val="clear" w:color="auto" w:fill="D0EBF2"/>
          </w:tcPr>
          <w:p>
            <w:pPr>
              <w:jc w:val="right"/>
              <w:spacing w:after="0"/>
              <w:rPr>
                <w:sz w:val="20"/>
                <w:szCs w:val="20"/>
                <w:color w:val="auto"/>
              </w:rPr>
            </w:pPr>
            <w:r>
              <w:rPr>
                <w:rFonts w:ascii="Times New Roman" w:cs="Times New Roman" w:eastAsia="Times New Roman" w:hAnsi="Times New Roman"/>
                <w:sz w:val="19"/>
                <w:szCs w:val="19"/>
                <w:color w:val="231F20"/>
              </w:rPr>
              <w:t>674.2</w:t>
            </w:r>
          </w:p>
        </w:tc>
        <w:tc>
          <w:tcPr>
            <w:tcW w:w="200" w:type="dxa"/>
            <w:vAlign w:val="bottom"/>
            <w:shd w:val="clear" w:color="auto" w:fill="D0EBF2"/>
          </w:tcPr>
          <w:p>
            <w:pPr>
              <w:spacing w:after="0"/>
              <w:rPr>
                <w:sz w:val="19"/>
                <w:szCs w:val="19"/>
                <w:color w:val="auto"/>
              </w:rPr>
            </w:pPr>
          </w:p>
        </w:tc>
        <w:tc>
          <w:tcPr>
            <w:tcW w:w="120" w:type="dxa"/>
            <w:vAlign w:val="bottom"/>
            <w:tcBorders>
              <w:bottom w:val="single" w:sz="8" w:color="231F20"/>
            </w:tcBorders>
            <w:shd w:val="clear" w:color="auto" w:fill="D0EBF2"/>
          </w:tcPr>
          <w:p>
            <w:pPr>
              <w:jc w:val="right"/>
              <w:spacing w:after="0"/>
              <w:rPr>
                <w:sz w:val="20"/>
                <w:szCs w:val="20"/>
                <w:color w:val="auto"/>
              </w:rPr>
            </w:pPr>
            <w:r>
              <w:rPr>
                <w:rFonts w:ascii="Times New Roman" w:cs="Times New Roman" w:eastAsia="Times New Roman" w:hAnsi="Times New Roman"/>
                <w:sz w:val="17"/>
                <w:szCs w:val="17"/>
                <w:color w:val="231F20"/>
                <w:w w:val="70"/>
                <w:shd w:val="clear" w:color="auto" w:fill="D0EBF2"/>
              </w:rPr>
              <w:t>$</w:t>
            </w:r>
          </w:p>
        </w:tc>
        <w:tc>
          <w:tcPr>
            <w:tcW w:w="880" w:type="dxa"/>
            <w:vAlign w:val="bottom"/>
            <w:tcBorders>
              <w:bottom w:val="single" w:sz="8" w:color="231F20"/>
            </w:tcBorders>
            <w:shd w:val="clear" w:color="auto" w:fill="D0EBF2"/>
          </w:tcPr>
          <w:p>
            <w:pPr>
              <w:jc w:val="right"/>
              <w:spacing w:after="0"/>
              <w:rPr>
                <w:sz w:val="20"/>
                <w:szCs w:val="20"/>
                <w:color w:val="auto"/>
              </w:rPr>
            </w:pPr>
            <w:r>
              <w:rPr>
                <w:rFonts w:ascii="Times New Roman" w:cs="Times New Roman" w:eastAsia="Times New Roman" w:hAnsi="Times New Roman"/>
                <w:sz w:val="19"/>
                <w:szCs w:val="19"/>
                <w:color w:val="231F20"/>
                <w:shd w:val="clear" w:color="auto" w:fill="D0EBF2"/>
              </w:rPr>
              <w:t>1,901.1</w:t>
            </w:r>
          </w:p>
        </w:tc>
        <w:tc>
          <w:tcPr>
            <w:tcW w:w="100" w:type="dxa"/>
            <w:vAlign w:val="bottom"/>
            <w:shd w:val="clear" w:color="auto" w:fill="D0EBF2"/>
          </w:tcPr>
          <w:p>
            <w:pPr>
              <w:spacing w:after="0"/>
              <w:rPr>
                <w:sz w:val="19"/>
                <w:szCs w:val="19"/>
                <w:color w:val="auto"/>
              </w:rPr>
            </w:pPr>
          </w:p>
        </w:tc>
      </w:tr>
      <w:tr>
        <w:trPr>
          <w:trHeight w:val="20"/>
        </w:trPr>
        <w:tc>
          <w:tcPr>
            <w:tcW w:w="2960" w:type="dxa"/>
            <w:vAlign w:val="bottom"/>
          </w:tcPr>
          <w:p>
            <w:pPr>
              <w:spacing w:after="0" w:line="20" w:lineRule="exact"/>
              <w:rPr>
                <w:sz w:val="1"/>
                <w:szCs w:val="1"/>
                <w:color w:val="auto"/>
              </w:rPr>
            </w:pPr>
          </w:p>
        </w:tc>
        <w:tc>
          <w:tcPr>
            <w:tcW w:w="240" w:type="dxa"/>
            <w:vAlign w:val="bottom"/>
            <w:tcBorders>
              <w:bottom w:val="single" w:sz="8" w:color="231F20"/>
            </w:tcBorders>
          </w:tcPr>
          <w:p>
            <w:pPr>
              <w:spacing w:after="0" w:line="20" w:lineRule="exact"/>
              <w:rPr>
                <w:sz w:val="1"/>
                <w:szCs w:val="1"/>
                <w:color w:val="auto"/>
              </w:rPr>
            </w:pPr>
          </w:p>
        </w:tc>
        <w:tc>
          <w:tcPr>
            <w:tcW w:w="1120" w:type="dxa"/>
            <w:vAlign w:val="bottom"/>
            <w:tcBorders>
              <w:bottom w:val="single" w:sz="8" w:color="231F20"/>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231F20"/>
            </w:tcBorders>
          </w:tcPr>
          <w:p>
            <w:pPr>
              <w:spacing w:after="0" w:line="20" w:lineRule="exact"/>
              <w:rPr>
                <w:sz w:val="1"/>
                <w:szCs w:val="1"/>
                <w:color w:val="auto"/>
              </w:rPr>
            </w:pPr>
          </w:p>
        </w:tc>
        <w:tc>
          <w:tcPr>
            <w:tcW w:w="960" w:type="dxa"/>
            <w:vAlign w:val="bottom"/>
            <w:tcBorders>
              <w:bottom w:val="single" w:sz="8" w:color="231F20"/>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231F20"/>
            </w:tcBorders>
          </w:tcPr>
          <w:p>
            <w:pPr>
              <w:spacing w:after="0" w:line="20" w:lineRule="exact"/>
              <w:rPr>
                <w:sz w:val="1"/>
                <w:szCs w:val="1"/>
                <w:color w:val="auto"/>
              </w:rPr>
            </w:pPr>
          </w:p>
        </w:tc>
        <w:tc>
          <w:tcPr>
            <w:tcW w:w="960" w:type="dxa"/>
            <w:vAlign w:val="bottom"/>
            <w:tcBorders>
              <w:bottom w:val="single" w:sz="8" w:color="231F20"/>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231F20"/>
            </w:tcBorders>
          </w:tcPr>
          <w:p>
            <w:pPr>
              <w:spacing w:after="0" w:line="20" w:lineRule="exact"/>
              <w:rPr>
                <w:sz w:val="1"/>
                <w:szCs w:val="1"/>
                <w:color w:val="auto"/>
              </w:rPr>
            </w:pPr>
          </w:p>
        </w:tc>
        <w:tc>
          <w:tcPr>
            <w:tcW w:w="880" w:type="dxa"/>
            <w:vAlign w:val="bottom"/>
            <w:tcBorders>
              <w:bottom w:val="single" w:sz="8" w:color="231F20"/>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1" w:lineRule="exact"/>
        <w:rPr>
          <w:sz w:val="20"/>
          <w:szCs w:val="20"/>
          <w:color w:val="auto"/>
        </w:rPr>
      </w:pPr>
    </w:p>
    <w:p>
      <w:pPr>
        <w:ind w:left="460" w:right="800" w:hanging="460"/>
        <w:spacing w:after="0" w:line="253" w:lineRule="auto"/>
        <w:tabs>
          <w:tab w:leader="none" w:pos="460" w:val="left"/>
        </w:tabs>
        <w:numPr>
          <w:ilvl w:val="0"/>
          <w:numId w:val="17"/>
        </w:numPr>
        <w:rPr>
          <w:rFonts w:ascii="Times New Roman" w:cs="Times New Roman" w:eastAsia="Times New Roman" w:hAnsi="Times New Roman"/>
          <w:sz w:val="19"/>
          <w:szCs w:val="19"/>
          <w:color w:val="231F20"/>
        </w:rPr>
      </w:pPr>
      <w:r>
        <w:rPr>
          <w:rFonts w:ascii="Times New Roman" w:cs="Times New Roman" w:eastAsia="Times New Roman" w:hAnsi="Times New Roman"/>
          <w:sz w:val="19"/>
          <w:szCs w:val="19"/>
          <w:color w:val="231F20"/>
        </w:rPr>
        <w:t>The amount available may be subject to limitations related to the borrowing base under the Revolving Credit Facility, outstanding letters of credit issued and asset coverage requirements.</w:t>
      </w:r>
    </w:p>
    <w:p>
      <w:pPr>
        <w:spacing w:after="0" w:line="1" w:lineRule="exact"/>
        <w:rPr>
          <w:rFonts w:ascii="Times New Roman" w:cs="Times New Roman" w:eastAsia="Times New Roman" w:hAnsi="Times New Roman"/>
          <w:sz w:val="19"/>
          <w:szCs w:val="19"/>
          <w:color w:val="231F20"/>
        </w:rPr>
      </w:pPr>
    </w:p>
    <w:p>
      <w:pPr>
        <w:ind w:left="460" w:right="300" w:hanging="460"/>
        <w:spacing w:after="0" w:line="251" w:lineRule="auto"/>
        <w:tabs>
          <w:tab w:leader="none" w:pos="460" w:val="left"/>
        </w:tabs>
        <w:numPr>
          <w:ilvl w:val="0"/>
          <w:numId w:val="17"/>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carrying values of the Revolving Credit Facility, 2026 Notes, 2028 Notes and 2029 Notes are presented net of deferred financing costs and original issue discounts totaling $15.4 million, $1.8 million, $4.5 million, and $6.9 million, respectively.</w:t>
      </w:r>
    </w:p>
    <w:p>
      <w:pPr>
        <w:spacing w:after="0" w:line="1" w:lineRule="exact"/>
        <w:rPr>
          <w:rFonts w:ascii="Times New Roman" w:cs="Times New Roman" w:eastAsia="Times New Roman" w:hAnsi="Times New Roman"/>
          <w:sz w:val="18"/>
          <w:szCs w:val="18"/>
          <w:color w:val="231F20"/>
        </w:rPr>
      </w:pPr>
    </w:p>
    <w:p>
      <w:pPr>
        <w:jc w:val="both"/>
        <w:ind w:left="460" w:right="200" w:hanging="460"/>
        <w:spacing w:after="0" w:line="241" w:lineRule="auto"/>
        <w:tabs>
          <w:tab w:leader="none" w:pos="460" w:val="left"/>
        </w:tabs>
        <w:numPr>
          <w:ilvl w:val="0"/>
          <w:numId w:val="17"/>
        </w:numPr>
        <w:rPr>
          <w:rFonts w:ascii="Times New Roman" w:cs="Times New Roman" w:eastAsia="Times New Roman" w:hAnsi="Times New Roman"/>
          <w:sz w:val="19"/>
          <w:szCs w:val="19"/>
          <w:color w:val="231F20"/>
        </w:rPr>
      </w:pPr>
      <w:r>
        <w:rPr>
          <w:rFonts w:ascii="Times New Roman" w:cs="Times New Roman" w:eastAsia="Times New Roman" w:hAnsi="Times New Roman"/>
          <w:sz w:val="19"/>
          <w:szCs w:val="19"/>
          <w:color w:val="231F20"/>
        </w:rPr>
        <w:t>The carrying value of the 2026 Notes, 2028 Notes, and 2029 Notes are presented inclusive of an incremental $(17.6) million, $(1.4) million and $(5.2) million, respectively, which represents an adjustment in the carrying values of the 2026 Notes, 2028 Notes and 2029 Notes, each resulting from a hedge accounting relationship.</w:t>
      </w:r>
    </w:p>
    <w:p>
      <w:pPr>
        <w:spacing w:after="0" w:line="212" w:lineRule="exact"/>
        <w:rPr>
          <w:sz w:val="20"/>
          <w:szCs w:val="20"/>
          <w:color w:val="auto"/>
        </w:rPr>
      </w:pPr>
    </w:p>
    <w:tbl>
      <w:tblPr>
        <w:tblLayout w:type="fixed"/>
        <w:tblInd w:w="1020" w:type="dxa"/>
        <w:tblCellMar>
          <w:top w:w="0" w:type="dxa"/>
          <w:left w:w="0" w:type="dxa"/>
          <w:bottom w:w="0" w:type="dxa"/>
          <w:right w:w="0" w:type="dxa"/>
        </w:tblCellMar>
      </w:tblPr>
      <w:tr>
        <w:trPr>
          <w:trHeight w:val="174"/>
        </w:trPr>
        <w:tc>
          <w:tcPr>
            <w:tcW w:w="2340" w:type="dxa"/>
            <w:vAlign w:val="bottom"/>
            <w:tcBorders>
              <w:bottom w:val="single" w:sz="8" w:color="FDFDFC"/>
            </w:tcBorders>
            <w:shd w:val="clear" w:color="auto" w:fill="FDFDFC"/>
          </w:tcPr>
          <w:p>
            <w:pPr>
              <w:spacing w:after="0"/>
              <w:rPr>
                <w:sz w:val="15"/>
                <w:szCs w:val="15"/>
                <w:color w:val="auto"/>
              </w:rPr>
            </w:pPr>
          </w:p>
        </w:tc>
        <w:tc>
          <w:tcPr>
            <w:tcW w:w="420" w:type="dxa"/>
            <w:vAlign w:val="bottom"/>
            <w:tcBorders>
              <w:bottom w:val="single" w:sz="8" w:color="FDFDFC"/>
            </w:tcBorders>
            <w:shd w:val="clear" w:color="auto" w:fill="FDFDFC"/>
          </w:tcPr>
          <w:p>
            <w:pPr>
              <w:spacing w:after="0"/>
              <w:rPr>
                <w:sz w:val="15"/>
                <w:szCs w:val="15"/>
                <w:color w:val="auto"/>
              </w:rPr>
            </w:pPr>
          </w:p>
        </w:tc>
        <w:tc>
          <w:tcPr>
            <w:tcW w:w="100" w:type="dxa"/>
            <w:vAlign w:val="bottom"/>
            <w:tcBorders>
              <w:bottom w:val="single" w:sz="8" w:color="231F20"/>
            </w:tcBorders>
            <w:shd w:val="clear" w:color="auto" w:fill="FDFDFC"/>
          </w:tcPr>
          <w:p>
            <w:pPr>
              <w:spacing w:after="0"/>
              <w:rPr>
                <w:sz w:val="15"/>
                <w:szCs w:val="15"/>
                <w:color w:val="auto"/>
              </w:rPr>
            </w:pPr>
          </w:p>
        </w:tc>
        <w:tc>
          <w:tcPr>
            <w:tcW w:w="1460" w:type="dxa"/>
            <w:vAlign w:val="bottom"/>
            <w:tcBorders>
              <w:bottom w:val="single" w:sz="8" w:color="231F20"/>
            </w:tcBorders>
            <w:shd w:val="clear" w:color="auto" w:fill="FDFDFC"/>
          </w:tcPr>
          <w:p>
            <w:pPr>
              <w:spacing w:after="0"/>
              <w:rPr>
                <w:sz w:val="15"/>
                <w:szCs w:val="15"/>
                <w:color w:val="auto"/>
              </w:rPr>
            </w:pPr>
          </w:p>
        </w:tc>
        <w:tc>
          <w:tcPr>
            <w:tcW w:w="200" w:type="dxa"/>
            <w:vAlign w:val="bottom"/>
            <w:tcBorders>
              <w:bottom w:val="single" w:sz="8" w:color="231F20"/>
            </w:tcBorders>
            <w:shd w:val="clear" w:color="auto" w:fill="FDFDFC"/>
          </w:tcPr>
          <w:p>
            <w:pPr>
              <w:spacing w:after="0"/>
              <w:rPr>
                <w:sz w:val="15"/>
                <w:szCs w:val="15"/>
                <w:color w:val="auto"/>
              </w:rPr>
            </w:pPr>
          </w:p>
        </w:tc>
        <w:tc>
          <w:tcPr>
            <w:tcW w:w="120" w:type="dxa"/>
            <w:vAlign w:val="bottom"/>
            <w:tcBorders>
              <w:bottom w:val="single" w:sz="8" w:color="231F20"/>
            </w:tcBorders>
            <w:shd w:val="clear" w:color="auto" w:fill="FDFDFC"/>
          </w:tcPr>
          <w:p>
            <w:pPr>
              <w:spacing w:after="0"/>
              <w:rPr>
                <w:sz w:val="15"/>
                <w:szCs w:val="15"/>
                <w:color w:val="auto"/>
              </w:rPr>
            </w:pPr>
          </w:p>
        </w:tc>
        <w:tc>
          <w:tcPr>
            <w:tcW w:w="2220" w:type="dxa"/>
            <w:vAlign w:val="bottom"/>
            <w:tcBorders>
              <w:bottom w:val="single" w:sz="8" w:color="231F20"/>
            </w:tcBorders>
            <w:gridSpan w:val="4"/>
            <w:shd w:val="clear" w:color="auto" w:fill="FDFDFC"/>
          </w:tcPr>
          <w:p>
            <w:pPr>
              <w:jc w:val="right"/>
              <w:ind w:right="771"/>
              <w:spacing w:after="0"/>
              <w:rPr>
                <w:sz w:val="20"/>
                <w:szCs w:val="20"/>
                <w:color w:val="auto"/>
              </w:rPr>
            </w:pPr>
            <w:r>
              <w:rPr>
                <w:rFonts w:ascii="Times New Roman" w:cs="Times New Roman" w:eastAsia="Times New Roman" w:hAnsi="Times New Roman"/>
                <w:sz w:val="15"/>
                <w:szCs w:val="15"/>
                <w:b w:val="1"/>
                <w:bCs w:val="1"/>
                <w:color w:val="231F20"/>
              </w:rPr>
              <w:t>December 31, 2023</w:t>
            </w:r>
          </w:p>
        </w:tc>
        <w:tc>
          <w:tcPr>
            <w:tcW w:w="200" w:type="dxa"/>
            <w:vAlign w:val="bottom"/>
            <w:tcBorders>
              <w:bottom w:val="single" w:sz="8" w:color="231F20"/>
            </w:tcBorders>
            <w:shd w:val="clear" w:color="auto" w:fill="FDFDFC"/>
          </w:tcPr>
          <w:p>
            <w:pPr>
              <w:spacing w:after="0"/>
              <w:rPr>
                <w:sz w:val="15"/>
                <w:szCs w:val="15"/>
                <w:color w:val="auto"/>
              </w:rPr>
            </w:pPr>
          </w:p>
        </w:tc>
        <w:tc>
          <w:tcPr>
            <w:tcW w:w="140" w:type="dxa"/>
            <w:vAlign w:val="bottom"/>
            <w:tcBorders>
              <w:bottom w:val="single" w:sz="8" w:color="231F20"/>
            </w:tcBorders>
            <w:shd w:val="clear" w:color="auto" w:fill="FDFDFC"/>
          </w:tcPr>
          <w:p>
            <w:pPr>
              <w:spacing w:after="0"/>
              <w:rPr>
                <w:sz w:val="15"/>
                <w:szCs w:val="15"/>
                <w:color w:val="auto"/>
              </w:rPr>
            </w:pPr>
          </w:p>
        </w:tc>
        <w:tc>
          <w:tcPr>
            <w:tcW w:w="860" w:type="dxa"/>
            <w:vAlign w:val="bottom"/>
            <w:tcBorders>
              <w:bottom w:val="single" w:sz="8" w:color="231F20"/>
            </w:tcBorders>
            <w:shd w:val="clear" w:color="auto" w:fill="FDFDFC"/>
          </w:tcPr>
          <w:p>
            <w:pPr>
              <w:spacing w:after="0"/>
              <w:rPr>
                <w:sz w:val="15"/>
                <w:szCs w:val="15"/>
                <w:color w:val="auto"/>
              </w:rPr>
            </w:pPr>
          </w:p>
        </w:tc>
        <w:tc>
          <w:tcPr>
            <w:tcW w:w="100" w:type="dxa"/>
            <w:vAlign w:val="bottom"/>
            <w:tcBorders>
              <w:bottom w:val="single" w:sz="8" w:color="FDFDFC"/>
            </w:tcBorders>
            <w:shd w:val="clear" w:color="auto" w:fill="FDFDFC"/>
          </w:tcPr>
          <w:p>
            <w:pPr>
              <w:spacing w:after="0"/>
              <w:rPr>
                <w:sz w:val="15"/>
                <w:szCs w:val="15"/>
                <w:color w:val="auto"/>
              </w:rPr>
            </w:pPr>
          </w:p>
        </w:tc>
      </w:tr>
      <w:tr>
        <w:trPr>
          <w:trHeight w:val="163"/>
        </w:trPr>
        <w:tc>
          <w:tcPr>
            <w:tcW w:w="2340" w:type="dxa"/>
            <w:vAlign w:val="bottom"/>
            <w:shd w:val="clear" w:color="auto" w:fill="FDFDFC"/>
          </w:tcPr>
          <w:p>
            <w:pPr>
              <w:spacing w:after="0"/>
              <w:rPr>
                <w:sz w:val="14"/>
                <w:szCs w:val="14"/>
                <w:color w:val="auto"/>
              </w:rPr>
            </w:pPr>
          </w:p>
        </w:tc>
        <w:tc>
          <w:tcPr>
            <w:tcW w:w="420" w:type="dxa"/>
            <w:vAlign w:val="bottom"/>
            <w:shd w:val="clear" w:color="auto" w:fill="FDFDFC"/>
          </w:tcPr>
          <w:p>
            <w:pPr>
              <w:spacing w:after="0"/>
              <w:rPr>
                <w:sz w:val="14"/>
                <w:szCs w:val="14"/>
                <w:color w:val="auto"/>
              </w:rPr>
            </w:pPr>
          </w:p>
        </w:tc>
        <w:tc>
          <w:tcPr>
            <w:tcW w:w="100" w:type="dxa"/>
            <w:vAlign w:val="bottom"/>
            <w:shd w:val="clear" w:color="auto" w:fill="FDFDFC"/>
          </w:tcPr>
          <w:p>
            <w:pPr>
              <w:spacing w:after="0"/>
              <w:rPr>
                <w:sz w:val="14"/>
                <w:szCs w:val="14"/>
                <w:color w:val="auto"/>
              </w:rPr>
            </w:pPr>
          </w:p>
        </w:tc>
        <w:tc>
          <w:tcPr>
            <w:tcW w:w="1460" w:type="dxa"/>
            <w:vAlign w:val="bottom"/>
            <w:shd w:val="clear" w:color="auto" w:fill="FDFDFC"/>
          </w:tcPr>
          <w:p>
            <w:pPr>
              <w:jc w:val="right"/>
              <w:ind w:right="51"/>
              <w:spacing w:after="0" w:line="164" w:lineRule="exact"/>
              <w:rPr>
                <w:sz w:val="20"/>
                <w:szCs w:val="20"/>
                <w:color w:val="auto"/>
              </w:rPr>
            </w:pPr>
            <w:r>
              <w:rPr>
                <w:rFonts w:ascii="Times New Roman" w:cs="Times New Roman" w:eastAsia="Times New Roman" w:hAnsi="Times New Roman"/>
                <w:sz w:val="15"/>
                <w:szCs w:val="15"/>
                <w:b w:val="1"/>
                <w:bCs w:val="1"/>
                <w:color w:val="231F20"/>
              </w:rPr>
              <w:t>Aggregate Principal</w:t>
            </w:r>
          </w:p>
        </w:tc>
        <w:tc>
          <w:tcPr>
            <w:tcW w:w="200" w:type="dxa"/>
            <w:vAlign w:val="bottom"/>
            <w:shd w:val="clear" w:color="auto" w:fill="FDFDFC"/>
          </w:tcPr>
          <w:p>
            <w:pPr>
              <w:spacing w:after="0"/>
              <w:rPr>
                <w:sz w:val="14"/>
                <w:szCs w:val="14"/>
                <w:color w:val="auto"/>
              </w:rPr>
            </w:pPr>
          </w:p>
        </w:tc>
        <w:tc>
          <w:tcPr>
            <w:tcW w:w="120" w:type="dxa"/>
            <w:vAlign w:val="bottom"/>
            <w:shd w:val="clear" w:color="auto" w:fill="FDFDFC"/>
          </w:tcPr>
          <w:p>
            <w:pPr>
              <w:spacing w:after="0"/>
              <w:rPr>
                <w:sz w:val="14"/>
                <w:szCs w:val="14"/>
                <w:color w:val="auto"/>
              </w:rPr>
            </w:pPr>
          </w:p>
        </w:tc>
        <w:tc>
          <w:tcPr>
            <w:tcW w:w="940" w:type="dxa"/>
            <w:vAlign w:val="bottom"/>
            <w:shd w:val="clear" w:color="auto" w:fill="FDFDFC"/>
          </w:tcPr>
          <w:p>
            <w:pPr>
              <w:jc w:val="right"/>
              <w:ind w:right="33"/>
              <w:spacing w:after="0" w:line="164" w:lineRule="exact"/>
              <w:rPr>
                <w:sz w:val="20"/>
                <w:szCs w:val="20"/>
                <w:color w:val="auto"/>
              </w:rPr>
            </w:pPr>
            <w:r>
              <w:rPr>
                <w:rFonts w:ascii="Times New Roman" w:cs="Times New Roman" w:eastAsia="Times New Roman" w:hAnsi="Times New Roman"/>
                <w:sz w:val="15"/>
                <w:szCs w:val="15"/>
                <w:b w:val="1"/>
                <w:bCs w:val="1"/>
                <w:color w:val="231F20"/>
                <w:w w:val="99"/>
              </w:rPr>
              <w:t>Outstanding</w:t>
            </w:r>
          </w:p>
        </w:tc>
        <w:tc>
          <w:tcPr>
            <w:tcW w:w="220" w:type="dxa"/>
            <w:vAlign w:val="bottom"/>
            <w:shd w:val="clear" w:color="auto" w:fill="FDFDFC"/>
          </w:tcPr>
          <w:p>
            <w:pPr>
              <w:spacing w:after="0"/>
              <w:rPr>
                <w:sz w:val="14"/>
                <w:szCs w:val="14"/>
                <w:color w:val="auto"/>
              </w:rPr>
            </w:pPr>
          </w:p>
        </w:tc>
        <w:tc>
          <w:tcPr>
            <w:tcW w:w="120" w:type="dxa"/>
            <w:vAlign w:val="bottom"/>
            <w:shd w:val="clear" w:color="auto" w:fill="FDFDFC"/>
          </w:tcPr>
          <w:p>
            <w:pPr>
              <w:spacing w:after="0"/>
              <w:rPr>
                <w:sz w:val="14"/>
                <w:szCs w:val="14"/>
                <w:color w:val="auto"/>
              </w:rPr>
            </w:pPr>
          </w:p>
        </w:tc>
        <w:tc>
          <w:tcPr>
            <w:tcW w:w="940" w:type="dxa"/>
            <w:vAlign w:val="bottom"/>
            <w:shd w:val="clear" w:color="auto" w:fill="FDFDFC"/>
          </w:tcPr>
          <w:p>
            <w:pPr>
              <w:jc w:val="right"/>
              <w:ind w:right="191"/>
              <w:spacing w:after="0" w:line="164" w:lineRule="exact"/>
              <w:rPr>
                <w:sz w:val="20"/>
                <w:szCs w:val="20"/>
                <w:color w:val="auto"/>
              </w:rPr>
            </w:pPr>
            <w:r>
              <w:rPr>
                <w:rFonts w:ascii="Times New Roman" w:cs="Times New Roman" w:eastAsia="Times New Roman" w:hAnsi="Times New Roman"/>
                <w:sz w:val="15"/>
                <w:szCs w:val="15"/>
                <w:b w:val="1"/>
                <w:bCs w:val="1"/>
                <w:color w:val="231F20"/>
              </w:rPr>
              <w:t>Amount</w:t>
            </w:r>
          </w:p>
        </w:tc>
        <w:tc>
          <w:tcPr>
            <w:tcW w:w="200" w:type="dxa"/>
            <w:vAlign w:val="bottom"/>
            <w:shd w:val="clear" w:color="auto" w:fill="FDFDFC"/>
          </w:tcPr>
          <w:p>
            <w:pPr>
              <w:spacing w:after="0"/>
              <w:rPr>
                <w:sz w:val="14"/>
                <w:szCs w:val="14"/>
                <w:color w:val="auto"/>
              </w:rPr>
            </w:pPr>
          </w:p>
        </w:tc>
        <w:tc>
          <w:tcPr>
            <w:tcW w:w="140" w:type="dxa"/>
            <w:vAlign w:val="bottom"/>
            <w:shd w:val="clear" w:color="auto" w:fill="FDFDFC"/>
          </w:tcPr>
          <w:p>
            <w:pPr>
              <w:spacing w:after="0"/>
              <w:rPr>
                <w:sz w:val="14"/>
                <w:szCs w:val="14"/>
                <w:color w:val="auto"/>
              </w:rPr>
            </w:pPr>
          </w:p>
        </w:tc>
        <w:tc>
          <w:tcPr>
            <w:tcW w:w="860" w:type="dxa"/>
            <w:vAlign w:val="bottom"/>
            <w:shd w:val="clear" w:color="auto" w:fill="FDFDFC"/>
          </w:tcPr>
          <w:p>
            <w:pPr>
              <w:jc w:val="right"/>
              <w:ind w:right="136"/>
              <w:spacing w:after="0" w:line="164" w:lineRule="exact"/>
              <w:rPr>
                <w:sz w:val="20"/>
                <w:szCs w:val="20"/>
                <w:color w:val="auto"/>
              </w:rPr>
            </w:pPr>
            <w:r>
              <w:rPr>
                <w:rFonts w:ascii="Times New Roman" w:cs="Times New Roman" w:eastAsia="Times New Roman" w:hAnsi="Times New Roman"/>
                <w:sz w:val="15"/>
                <w:szCs w:val="15"/>
                <w:b w:val="1"/>
                <w:bCs w:val="1"/>
                <w:color w:val="231F20"/>
              </w:rPr>
              <w:t>Carrying</w:t>
            </w:r>
          </w:p>
        </w:tc>
        <w:tc>
          <w:tcPr>
            <w:tcW w:w="100" w:type="dxa"/>
            <w:vAlign w:val="bottom"/>
            <w:shd w:val="clear" w:color="auto" w:fill="FDFDFC"/>
          </w:tcPr>
          <w:p>
            <w:pPr>
              <w:spacing w:after="0"/>
              <w:rPr>
                <w:sz w:val="14"/>
                <w:szCs w:val="14"/>
                <w:color w:val="auto"/>
              </w:rPr>
            </w:pPr>
          </w:p>
        </w:tc>
      </w:tr>
      <w:tr>
        <w:trPr>
          <w:trHeight w:val="174"/>
        </w:trPr>
        <w:tc>
          <w:tcPr>
            <w:tcW w:w="2340" w:type="dxa"/>
            <w:vAlign w:val="bottom"/>
            <w:tcBorders>
              <w:bottom w:val="single" w:sz="8" w:color="D0EBF2"/>
            </w:tcBorders>
            <w:shd w:val="clear" w:color="auto" w:fill="FDFDFC"/>
          </w:tcPr>
          <w:p>
            <w:pPr>
              <w:spacing w:after="0"/>
              <w:rPr>
                <w:sz w:val="20"/>
                <w:szCs w:val="20"/>
                <w:color w:val="auto"/>
              </w:rPr>
            </w:pPr>
            <w:r>
              <w:rPr>
                <w:rFonts w:ascii="Times New Roman" w:cs="Times New Roman" w:eastAsia="Times New Roman" w:hAnsi="Times New Roman"/>
                <w:sz w:val="15"/>
                <w:szCs w:val="15"/>
                <w:color w:val="231F20"/>
              </w:rPr>
              <w:t>($ in millions)</w:t>
            </w:r>
          </w:p>
        </w:tc>
        <w:tc>
          <w:tcPr>
            <w:tcW w:w="420" w:type="dxa"/>
            <w:vAlign w:val="bottom"/>
            <w:tcBorders>
              <w:bottom w:val="single" w:sz="8" w:color="D0EBF2"/>
            </w:tcBorders>
            <w:shd w:val="clear" w:color="auto" w:fill="FDFDFC"/>
          </w:tcPr>
          <w:p>
            <w:pPr>
              <w:spacing w:after="0"/>
              <w:rPr>
                <w:sz w:val="15"/>
                <w:szCs w:val="15"/>
                <w:color w:val="auto"/>
              </w:rPr>
            </w:pPr>
          </w:p>
        </w:tc>
        <w:tc>
          <w:tcPr>
            <w:tcW w:w="100" w:type="dxa"/>
            <w:vAlign w:val="bottom"/>
            <w:tcBorders>
              <w:bottom w:val="single" w:sz="8" w:color="231F20"/>
            </w:tcBorders>
            <w:shd w:val="clear" w:color="auto" w:fill="FDFDFC"/>
          </w:tcPr>
          <w:p>
            <w:pPr>
              <w:spacing w:after="0"/>
              <w:rPr>
                <w:sz w:val="15"/>
                <w:szCs w:val="15"/>
                <w:color w:val="auto"/>
              </w:rPr>
            </w:pPr>
          </w:p>
        </w:tc>
        <w:tc>
          <w:tcPr>
            <w:tcW w:w="1460" w:type="dxa"/>
            <w:vAlign w:val="bottom"/>
            <w:tcBorders>
              <w:bottom w:val="single" w:sz="8" w:color="231F20"/>
            </w:tcBorders>
            <w:shd w:val="clear" w:color="auto" w:fill="FDFDFC"/>
          </w:tcPr>
          <w:p>
            <w:pPr>
              <w:jc w:val="right"/>
              <w:ind w:right="51"/>
              <w:spacing w:after="0"/>
              <w:rPr>
                <w:sz w:val="20"/>
                <w:szCs w:val="20"/>
                <w:color w:val="auto"/>
              </w:rPr>
            </w:pPr>
            <w:r>
              <w:rPr>
                <w:rFonts w:ascii="Times New Roman" w:cs="Times New Roman" w:eastAsia="Times New Roman" w:hAnsi="Times New Roman"/>
                <w:sz w:val="15"/>
                <w:szCs w:val="15"/>
                <w:b w:val="1"/>
                <w:bCs w:val="1"/>
                <w:color w:val="231F20"/>
              </w:rPr>
              <w:t>Amount Committed</w:t>
            </w:r>
          </w:p>
        </w:tc>
        <w:tc>
          <w:tcPr>
            <w:tcW w:w="200" w:type="dxa"/>
            <w:vAlign w:val="bottom"/>
            <w:tcBorders>
              <w:bottom w:val="single" w:sz="8" w:color="D0EBF2"/>
            </w:tcBorders>
            <w:shd w:val="clear" w:color="auto" w:fill="FDFDFC"/>
          </w:tcPr>
          <w:p>
            <w:pPr>
              <w:spacing w:after="0"/>
              <w:rPr>
                <w:sz w:val="15"/>
                <w:szCs w:val="15"/>
                <w:color w:val="auto"/>
              </w:rPr>
            </w:pPr>
          </w:p>
        </w:tc>
        <w:tc>
          <w:tcPr>
            <w:tcW w:w="120" w:type="dxa"/>
            <w:vAlign w:val="bottom"/>
            <w:tcBorders>
              <w:bottom w:val="single" w:sz="8" w:color="231F20"/>
            </w:tcBorders>
            <w:shd w:val="clear" w:color="auto" w:fill="FDFDFC"/>
          </w:tcPr>
          <w:p>
            <w:pPr>
              <w:spacing w:after="0"/>
              <w:rPr>
                <w:sz w:val="15"/>
                <w:szCs w:val="15"/>
                <w:color w:val="auto"/>
              </w:rPr>
            </w:pPr>
          </w:p>
        </w:tc>
        <w:tc>
          <w:tcPr>
            <w:tcW w:w="940" w:type="dxa"/>
            <w:vAlign w:val="bottom"/>
            <w:tcBorders>
              <w:bottom w:val="single" w:sz="8" w:color="231F20"/>
            </w:tcBorders>
            <w:shd w:val="clear" w:color="auto" w:fill="FDFDFC"/>
          </w:tcPr>
          <w:p>
            <w:pPr>
              <w:jc w:val="right"/>
              <w:ind w:right="153"/>
              <w:spacing w:after="0"/>
              <w:rPr>
                <w:sz w:val="20"/>
                <w:szCs w:val="20"/>
                <w:color w:val="auto"/>
              </w:rPr>
            </w:pPr>
            <w:r>
              <w:rPr>
                <w:rFonts w:ascii="Times New Roman" w:cs="Times New Roman" w:eastAsia="Times New Roman" w:hAnsi="Times New Roman"/>
                <w:sz w:val="15"/>
                <w:szCs w:val="15"/>
                <w:b w:val="1"/>
                <w:bCs w:val="1"/>
                <w:color w:val="231F20"/>
              </w:rPr>
              <w:t>Principal</w:t>
            </w:r>
          </w:p>
        </w:tc>
        <w:tc>
          <w:tcPr>
            <w:tcW w:w="220" w:type="dxa"/>
            <w:vAlign w:val="bottom"/>
            <w:tcBorders>
              <w:bottom w:val="single" w:sz="8" w:color="D0EBF2"/>
            </w:tcBorders>
            <w:shd w:val="clear" w:color="auto" w:fill="FDFDFC"/>
          </w:tcPr>
          <w:p>
            <w:pPr>
              <w:spacing w:after="0"/>
              <w:rPr>
                <w:sz w:val="15"/>
                <w:szCs w:val="15"/>
                <w:color w:val="auto"/>
              </w:rPr>
            </w:pPr>
          </w:p>
        </w:tc>
        <w:tc>
          <w:tcPr>
            <w:tcW w:w="120" w:type="dxa"/>
            <w:vAlign w:val="bottom"/>
            <w:tcBorders>
              <w:bottom w:val="single" w:sz="8" w:color="231F20"/>
            </w:tcBorders>
            <w:shd w:val="clear" w:color="auto" w:fill="FDFDFC"/>
          </w:tcPr>
          <w:p>
            <w:pPr>
              <w:spacing w:after="0"/>
              <w:rPr>
                <w:sz w:val="15"/>
                <w:szCs w:val="15"/>
                <w:color w:val="auto"/>
              </w:rPr>
            </w:pPr>
          </w:p>
        </w:tc>
        <w:tc>
          <w:tcPr>
            <w:tcW w:w="940" w:type="dxa"/>
            <w:vAlign w:val="bottom"/>
            <w:tcBorders>
              <w:bottom w:val="single" w:sz="8" w:color="231F20"/>
            </w:tcBorders>
            <w:shd w:val="clear" w:color="auto" w:fill="FDFDFC"/>
          </w:tcPr>
          <w:p>
            <w:pPr>
              <w:jc w:val="right"/>
              <w:ind w:right="71"/>
              <w:spacing w:after="0"/>
              <w:rPr>
                <w:sz w:val="20"/>
                <w:szCs w:val="20"/>
                <w:color w:val="auto"/>
              </w:rPr>
            </w:pPr>
            <w:r>
              <w:rPr>
                <w:rFonts w:ascii="Times New Roman" w:cs="Times New Roman" w:eastAsia="Times New Roman" w:hAnsi="Times New Roman"/>
                <w:sz w:val="15"/>
                <w:szCs w:val="15"/>
                <w:b w:val="1"/>
                <w:bCs w:val="1"/>
                <w:color w:val="231F20"/>
              </w:rPr>
              <w:t xml:space="preserve">Available </w:t>
            </w:r>
            <w:r>
              <w:rPr>
                <w:rFonts w:ascii="Times New Roman" w:cs="Times New Roman" w:eastAsia="Times New Roman" w:hAnsi="Times New Roman"/>
                <w:sz w:val="9"/>
                <w:szCs w:val="9"/>
                <w:b w:val="1"/>
                <w:bCs w:val="1"/>
                <w:color w:val="231F20"/>
              </w:rPr>
              <w:t>(1)</w:t>
            </w:r>
          </w:p>
        </w:tc>
        <w:tc>
          <w:tcPr>
            <w:tcW w:w="200" w:type="dxa"/>
            <w:vAlign w:val="bottom"/>
            <w:tcBorders>
              <w:bottom w:val="single" w:sz="8" w:color="D0EBF2"/>
            </w:tcBorders>
            <w:shd w:val="clear" w:color="auto" w:fill="FDFDFC"/>
          </w:tcPr>
          <w:p>
            <w:pPr>
              <w:spacing w:after="0"/>
              <w:rPr>
                <w:sz w:val="15"/>
                <w:szCs w:val="15"/>
                <w:color w:val="auto"/>
              </w:rPr>
            </w:pPr>
          </w:p>
        </w:tc>
        <w:tc>
          <w:tcPr>
            <w:tcW w:w="140" w:type="dxa"/>
            <w:vAlign w:val="bottom"/>
            <w:tcBorders>
              <w:bottom w:val="single" w:sz="8" w:color="231F20"/>
            </w:tcBorders>
            <w:shd w:val="clear" w:color="auto" w:fill="FDFDFC"/>
          </w:tcPr>
          <w:p>
            <w:pPr>
              <w:spacing w:after="0"/>
              <w:rPr>
                <w:sz w:val="15"/>
                <w:szCs w:val="15"/>
                <w:color w:val="auto"/>
              </w:rPr>
            </w:pPr>
          </w:p>
        </w:tc>
        <w:tc>
          <w:tcPr>
            <w:tcW w:w="860" w:type="dxa"/>
            <w:vAlign w:val="bottom"/>
            <w:tcBorders>
              <w:bottom w:val="single" w:sz="8" w:color="231F20"/>
            </w:tcBorders>
            <w:shd w:val="clear" w:color="auto" w:fill="FDFDFC"/>
          </w:tcPr>
          <w:p>
            <w:pPr>
              <w:jc w:val="right"/>
              <w:ind w:right="116"/>
              <w:spacing w:after="0" w:line="174" w:lineRule="exact"/>
              <w:rPr>
                <w:sz w:val="20"/>
                <w:szCs w:val="20"/>
                <w:color w:val="auto"/>
              </w:rPr>
            </w:pPr>
            <w:r>
              <w:rPr>
                <w:rFonts w:ascii="Times New Roman" w:cs="Times New Roman" w:eastAsia="Times New Roman" w:hAnsi="Times New Roman"/>
                <w:sz w:val="20"/>
                <w:szCs w:val="20"/>
                <w:b w:val="1"/>
                <w:bCs w:val="1"/>
                <w:color w:val="231F20"/>
                <w:vertAlign w:val="subscript"/>
              </w:rPr>
              <w:t>Value</w:t>
            </w:r>
            <w:r>
              <w:rPr>
                <w:rFonts w:ascii="Times New Roman" w:cs="Times New Roman" w:eastAsia="Times New Roman" w:hAnsi="Times New Roman"/>
                <w:sz w:val="8"/>
                <w:szCs w:val="8"/>
                <w:b w:val="1"/>
                <w:bCs w:val="1"/>
                <w:color w:val="231F20"/>
              </w:rPr>
              <w:t xml:space="preserve"> (2)(3)</w:t>
            </w:r>
          </w:p>
        </w:tc>
        <w:tc>
          <w:tcPr>
            <w:tcW w:w="100" w:type="dxa"/>
            <w:vAlign w:val="bottom"/>
            <w:tcBorders>
              <w:bottom w:val="single" w:sz="8" w:color="D0EBF2"/>
            </w:tcBorders>
            <w:shd w:val="clear" w:color="auto" w:fill="FDFDFC"/>
          </w:tcPr>
          <w:p>
            <w:pPr>
              <w:spacing w:after="0"/>
              <w:rPr>
                <w:sz w:val="15"/>
                <w:szCs w:val="15"/>
                <w:color w:val="auto"/>
              </w:rPr>
            </w:pPr>
          </w:p>
        </w:tc>
      </w:tr>
      <w:tr>
        <w:trPr>
          <w:trHeight w:val="207"/>
        </w:trPr>
        <w:tc>
          <w:tcPr>
            <w:tcW w:w="2340" w:type="dxa"/>
            <w:vAlign w:val="bottom"/>
            <w:shd w:val="clear" w:color="auto" w:fill="D0EBF2"/>
          </w:tcPr>
          <w:p>
            <w:pPr>
              <w:spacing w:after="0" w:line="206" w:lineRule="exact"/>
              <w:rPr>
                <w:sz w:val="20"/>
                <w:szCs w:val="20"/>
                <w:color w:val="auto"/>
              </w:rPr>
            </w:pPr>
            <w:r>
              <w:rPr>
                <w:rFonts w:ascii="Times New Roman" w:cs="Times New Roman" w:eastAsia="Times New Roman" w:hAnsi="Times New Roman"/>
                <w:sz w:val="19"/>
                <w:szCs w:val="19"/>
                <w:color w:val="231F20"/>
              </w:rPr>
              <w:t>Revolving Credit Facility</w:t>
            </w:r>
          </w:p>
        </w:tc>
        <w:tc>
          <w:tcPr>
            <w:tcW w:w="420" w:type="dxa"/>
            <w:vAlign w:val="bottom"/>
            <w:shd w:val="clear" w:color="auto" w:fill="D0EBF2"/>
          </w:tcPr>
          <w:p>
            <w:pPr>
              <w:spacing w:after="0"/>
              <w:rPr>
                <w:sz w:val="17"/>
                <w:szCs w:val="17"/>
                <w:color w:val="auto"/>
              </w:rPr>
            </w:pPr>
          </w:p>
        </w:tc>
        <w:tc>
          <w:tcPr>
            <w:tcW w:w="100" w:type="dxa"/>
            <w:vAlign w:val="bottom"/>
            <w:shd w:val="clear" w:color="auto" w:fill="D0EBF2"/>
          </w:tcPr>
          <w:p>
            <w:pPr>
              <w:jc w:val="right"/>
              <w:spacing w:after="0"/>
              <w:rPr>
                <w:sz w:val="20"/>
                <w:szCs w:val="20"/>
                <w:color w:val="auto"/>
              </w:rPr>
            </w:pPr>
            <w:r>
              <w:rPr>
                <w:rFonts w:ascii="Times New Roman" w:cs="Times New Roman" w:eastAsia="Times New Roman" w:hAnsi="Times New Roman"/>
                <w:sz w:val="17"/>
                <w:szCs w:val="17"/>
                <w:color w:val="231F20"/>
                <w:w w:val="70"/>
              </w:rPr>
              <w:t>$</w:t>
            </w:r>
          </w:p>
        </w:tc>
        <w:tc>
          <w:tcPr>
            <w:tcW w:w="1460" w:type="dxa"/>
            <w:vAlign w:val="bottom"/>
            <w:shd w:val="clear" w:color="auto" w:fill="D0EBF2"/>
          </w:tcPr>
          <w:p>
            <w:pPr>
              <w:jc w:val="right"/>
              <w:spacing w:after="0" w:line="206" w:lineRule="exact"/>
              <w:rPr>
                <w:sz w:val="20"/>
                <w:szCs w:val="20"/>
                <w:color w:val="auto"/>
              </w:rPr>
            </w:pPr>
            <w:r>
              <w:rPr>
                <w:rFonts w:ascii="Times New Roman" w:cs="Times New Roman" w:eastAsia="Times New Roman" w:hAnsi="Times New Roman"/>
                <w:sz w:val="19"/>
                <w:szCs w:val="19"/>
                <w:color w:val="231F20"/>
              </w:rPr>
              <w:t>1,710.0</w:t>
            </w:r>
          </w:p>
        </w:tc>
        <w:tc>
          <w:tcPr>
            <w:tcW w:w="200" w:type="dxa"/>
            <w:vAlign w:val="bottom"/>
            <w:shd w:val="clear" w:color="auto" w:fill="D0EBF2"/>
          </w:tcPr>
          <w:p>
            <w:pPr>
              <w:spacing w:after="0"/>
              <w:rPr>
                <w:sz w:val="17"/>
                <w:szCs w:val="17"/>
                <w:color w:val="auto"/>
              </w:rPr>
            </w:pPr>
          </w:p>
        </w:tc>
        <w:tc>
          <w:tcPr>
            <w:tcW w:w="120" w:type="dxa"/>
            <w:vAlign w:val="bottom"/>
            <w:shd w:val="clear" w:color="auto" w:fill="D0EBF2"/>
          </w:tcPr>
          <w:p>
            <w:pPr>
              <w:jc w:val="right"/>
              <w:spacing w:after="0" w:line="206" w:lineRule="exact"/>
              <w:rPr>
                <w:sz w:val="20"/>
                <w:szCs w:val="20"/>
                <w:color w:val="auto"/>
              </w:rPr>
            </w:pPr>
            <w:r>
              <w:rPr>
                <w:rFonts w:ascii="Times New Roman" w:cs="Times New Roman" w:eastAsia="Times New Roman" w:hAnsi="Times New Roman"/>
                <w:sz w:val="19"/>
                <w:szCs w:val="19"/>
                <w:color w:val="231F20"/>
                <w:w w:val="83"/>
              </w:rPr>
              <w:t>$</w:t>
            </w:r>
          </w:p>
        </w:tc>
        <w:tc>
          <w:tcPr>
            <w:tcW w:w="940" w:type="dxa"/>
            <w:vAlign w:val="bottom"/>
            <w:shd w:val="clear" w:color="auto" w:fill="D0EBF2"/>
          </w:tcPr>
          <w:p>
            <w:pPr>
              <w:jc w:val="right"/>
              <w:spacing w:after="0" w:line="206" w:lineRule="exact"/>
              <w:rPr>
                <w:sz w:val="20"/>
                <w:szCs w:val="20"/>
                <w:color w:val="auto"/>
              </w:rPr>
            </w:pPr>
            <w:r>
              <w:rPr>
                <w:rFonts w:ascii="Times New Roman" w:cs="Times New Roman" w:eastAsia="Times New Roman" w:hAnsi="Times New Roman"/>
                <w:sz w:val="19"/>
                <w:szCs w:val="19"/>
                <w:color w:val="231F20"/>
              </w:rPr>
              <w:t>889.7</w:t>
            </w:r>
          </w:p>
        </w:tc>
        <w:tc>
          <w:tcPr>
            <w:tcW w:w="220" w:type="dxa"/>
            <w:vAlign w:val="bottom"/>
            <w:shd w:val="clear" w:color="auto" w:fill="D0EBF2"/>
          </w:tcPr>
          <w:p>
            <w:pPr>
              <w:spacing w:after="0"/>
              <w:rPr>
                <w:sz w:val="17"/>
                <w:szCs w:val="17"/>
                <w:color w:val="auto"/>
              </w:rPr>
            </w:pPr>
          </w:p>
        </w:tc>
        <w:tc>
          <w:tcPr>
            <w:tcW w:w="120" w:type="dxa"/>
            <w:vAlign w:val="bottom"/>
            <w:shd w:val="clear" w:color="auto" w:fill="D0EBF2"/>
          </w:tcPr>
          <w:p>
            <w:pPr>
              <w:jc w:val="right"/>
              <w:spacing w:after="0"/>
              <w:rPr>
                <w:sz w:val="20"/>
                <w:szCs w:val="20"/>
                <w:color w:val="auto"/>
              </w:rPr>
            </w:pPr>
            <w:r>
              <w:rPr>
                <w:rFonts w:ascii="Times New Roman" w:cs="Times New Roman" w:eastAsia="Times New Roman" w:hAnsi="Times New Roman"/>
                <w:sz w:val="17"/>
                <w:szCs w:val="17"/>
                <w:color w:val="231F20"/>
                <w:w w:val="70"/>
              </w:rPr>
              <w:t>$</w:t>
            </w:r>
          </w:p>
        </w:tc>
        <w:tc>
          <w:tcPr>
            <w:tcW w:w="940" w:type="dxa"/>
            <w:vAlign w:val="bottom"/>
            <w:shd w:val="clear" w:color="auto" w:fill="D0EBF2"/>
          </w:tcPr>
          <w:p>
            <w:pPr>
              <w:jc w:val="right"/>
              <w:spacing w:after="0" w:line="206" w:lineRule="exact"/>
              <w:rPr>
                <w:sz w:val="20"/>
                <w:szCs w:val="20"/>
                <w:color w:val="auto"/>
              </w:rPr>
            </w:pPr>
            <w:r>
              <w:rPr>
                <w:rFonts w:ascii="Times New Roman" w:cs="Times New Roman" w:eastAsia="Times New Roman" w:hAnsi="Times New Roman"/>
                <w:sz w:val="19"/>
                <w:szCs w:val="19"/>
                <w:color w:val="231F20"/>
              </w:rPr>
              <w:t>820.2</w:t>
            </w:r>
          </w:p>
        </w:tc>
        <w:tc>
          <w:tcPr>
            <w:tcW w:w="200" w:type="dxa"/>
            <w:vAlign w:val="bottom"/>
            <w:shd w:val="clear" w:color="auto" w:fill="D0EBF2"/>
          </w:tcPr>
          <w:p>
            <w:pPr>
              <w:spacing w:after="0"/>
              <w:rPr>
                <w:sz w:val="17"/>
                <w:szCs w:val="17"/>
                <w:color w:val="auto"/>
              </w:rPr>
            </w:pPr>
          </w:p>
        </w:tc>
        <w:tc>
          <w:tcPr>
            <w:tcW w:w="140" w:type="dxa"/>
            <w:vAlign w:val="bottom"/>
            <w:shd w:val="clear" w:color="auto" w:fill="D0EBF2"/>
          </w:tcPr>
          <w:p>
            <w:pPr>
              <w:jc w:val="right"/>
              <w:spacing w:after="0" w:line="206" w:lineRule="exact"/>
              <w:rPr>
                <w:sz w:val="20"/>
                <w:szCs w:val="20"/>
                <w:color w:val="auto"/>
              </w:rPr>
            </w:pPr>
            <w:r>
              <w:rPr>
                <w:rFonts w:ascii="Times New Roman" w:cs="Times New Roman" w:eastAsia="Times New Roman" w:hAnsi="Times New Roman"/>
                <w:sz w:val="19"/>
                <w:szCs w:val="19"/>
                <w:color w:val="231F20"/>
                <w:w w:val="83"/>
              </w:rPr>
              <w:t>$</w:t>
            </w:r>
          </w:p>
        </w:tc>
        <w:tc>
          <w:tcPr>
            <w:tcW w:w="860" w:type="dxa"/>
            <w:vAlign w:val="bottom"/>
            <w:shd w:val="clear" w:color="auto" w:fill="D0EBF2"/>
          </w:tcPr>
          <w:p>
            <w:pPr>
              <w:jc w:val="right"/>
              <w:spacing w:after="0" w:line="206" w:lineRule="exact"/>
              <w:rPr>
                <w:sz w:val="20"/>
                <w:szCs w:val="20"/>
                <w:color w:val="auto"/>
              </w:rPr>
            </w:pPr>
            <w:r>
              <w:rPr>
                <w:rFonts w:ascii="Times New Roman" w:cs="Times New Roman" w:eastAsia="Times New Roman" w:hAnsi="Times New Roman"/>
                <w:sz w:val="19"/>
                <w:szCs w:val="19"/>
                <w:color w:val="231F20"/>
              </w:rPr>
              <w:t>874.5</w:t>
            </w:r>
          </w:p>
        </w:tc>
        <w:tc>
          <w:tcPr>
            <w:tcW w:w="100" w:type="dxa"/>
            <w:vAlign w:val="bottom"/>
            <w:shd w:val="clear" w:color="auto" w:fill="D0EBF2"/>
          </w:tcPr>
          <w:p>
            <w:pPr>
              <w:spacing w:after="0"/>
              <w:rPr>
                <w:sz w:val="17"/>
                <w:szCs w:val="17"/>
                <w:color w:val="auto"/>
              </w:rPr>
            </w:pPr>
          </w:p>
        </w:tc>
      </w:tr>
      <w:tr>
        <w:trPr>
          <w:trHeight w:val="217"/>
        </w:trPr>
        <w:tc>
          <w:tcPr>
            <w:tcW w:w="2340" w:type="dxa"/>
            <w:vAlign w:val="bottom"/>
            <w:shd w:val="clear" w:color="auto" w:fill="FDFDFC"/>
          </w:tcPr>
          <w:p>
            <w:pPr>
              <w:spacing w:after="0" w:line="217" w:lineRule="exact"/>
              <w:rPr>
                <w:sz w:val="20"/>
                <w:szCs w:val="20"/>
                <w:color w:val="auto"/>
              </w:rPr>
            </w:pPr>
            <w:r>
              <w:rPr>
                <w:rFonts w:ascii="Times New Roman" w:cs="Times New Roman" w:eastAsia="Times New Roman" w:hAnsi="Times New Roman"/>
                <w:sz w:val="19"/>
                <w:szCs w:val="19"/>
                <w:color w:val="231F20"/>
              </w:rPr>
              <w:t>2024 Notes</w:t>
            </w:r>
          </w:p>
        </w:tc>
        <w:tc>
          <w:tcPr>
            <w:tcW w:w="420" w:type="dxa"/>
            <w:vAlign w:val="bottom"/>
            <w:shd w:val="clear" w:color="auto" w:fill="FDFDFC"/>
          </w:tcPr>
          <w:p>
            <w:pPr>
              <w:spacing w:after="0"/>
              <w:rPr>
                <w:sz w:val="18"/>
                <w:szCs w:val="18"/>
                <w:color w:val="auto"/>
              </w:rPr>
            </w:pPr>
          </w:p>
        </w:tc>
        <w:tc>
          <w:tcPr>
            <w:tcW w:w="100" w:type="dxa"/>
            <w:vAlign w:val="bottom"/>
            <w:shd w:val="clear" w:color="auto" w:fill="FDFDFC"/>
          </w:tcPr>
          <w:p>
            <w:pPr>
              <w:spacing w:after="0"/>
              <w:rPr>
                <w:sz w:val="18"/>
                <w:szCs w:val="18"/>
                <w:color w:val="auto"/>
              </w:rPr>
            </w:pPr>
          </w:p>
        </w:tc>
        <w:tc>
          <w:tcPr>
            <w:tcW w:w="1460" w:type="dxa"/>
            <w:vAlign w:val="bottom"/>
            <w:shd w:val="clear" w:color="auto" w:fill="FDFDFC"/>
          </w:tcPr>
          <w:p>
            <w:pPr>
              <w:jc w:val="right"/>
              <w:spacing w:after="0" w:line="217" w:lineRule="exact"/>
              <w:rPr>
                <w:sz w:val="20"/>
                <w:szCs w:val="20"/>
                <w:color w:val="auto"/>
              </w:rPr>
            </w:pPr>
            <w:r>
              <w:rPr>
                <w:rFonts w:ascii="Times New Roman" w:cs="Times New Roman" w:eastAsia="Times New Roman" w:hAnsi="Times New Roman"/>
                <w:sz w:val="19"/>
                <w:szCs w:val="19"/>
                <w:color w:val="231F20"/>
              </w:rPr>
              <w:t>347.5</w:t>
            </w:r>
          </w:p>
        </w:tc>
        <w:tc>
          <w:tcPr>
            <w:tcW w:w="200" w:type="dxa"/>
            <w:vAlign w:val="bottom"/>
            <w:shd w:val="clear" w:color="auto" w:fill="FDFDFC"/>
          </w:tcPr>
          <w:p>
            <w:pPr>
              <w:spacing w:after="0"/>
              <w:rPr>
                <w:sz w:val="18"/>
                <w:szCs w:val="18"/>
                <w:color w:val="auto"/>
              </w:rPr>
            </w:pPr>
          </w:p>
        </w:tc>
        <w:tc>
          <w:tcPr>
            <w:tcW w:w="120" w:type="dxa"/>
            <w:vAlign w:val="bottom"/>
            <w:shd w:val="clear" w:color="auto" w:fill="FDFDFC"/>
          </w:tcPr>
          <w:p>
            <w:pPr>
              <w:spacing w:after="0"/>
              <w:rPr>
                <w:sz w:val="18"/>
                <w:szCs w:val="18"/>
                <w:color w:val="auto"/>
              </w:rPr>
            </w:pPr>
          </w:p>
        </w:tc>
        <w:tc>
          <w:tcPr>
            <w:tcW w:w="940" w:type="dxa"/>
            <w:vAlign w:val="bottom"/>
            <w:shd w:val="clear" w:color="auto" w:fill="FDFDFC"/>
          </w:tcPr>
          <w:p>
            <w:pPr>
              <w:jc w:val="right"/>
              <w:spacing w:after="0" w:line="217" w:lineRule="exact"/>
              <w:rPr>
                <w:sz w:val="20"/>
                <w:szCs w:val="20"/>
                <w:color w:val="auto"/>
              </w:rPr>
            </w:pPr>
            <w:r>
              <w:rPr>
                <w:rFonts w:ascii="Times New Roman" w:cs="Times New Roman" w:eastAsia="Times New Roman" w:hAnsi="Times New Roman"/>
                <w:sz w:val="19"/>
                <w:szCs w:val="19"/>
                <w:color w:val="231F20"/>
              </w:rPr>
              <w:t>347.5</w:t>
            </w:r>
          </w:p>
        </w:tc>
        <w:tc>
          <w:tcPr>
            <w:tcW w:w="220" w:type="dxa"/>
            <w:vAlign w:val="bottom"/>
            <w:shd w:val="clear" w:color="auto" w:fill="FDFDFC"/>
          </w:tcPr>
          <w:p>
            <w:pPr>
              <w:spacing w:after="0"/>
              <w:rPr>
                <w:sz w:val="18"/>
                <w:szCs w:val="18"/>
                <w:color w:val="auto"/>
              </w:rPr>
            </w:pPr>
          </w:p>
        </w:tc>
        <w:tc>
          <w:tcPr>
            <w:tcW w:w="120" w:type="dxa"/>
            <w:vAlign w:val="bottom"/>
            <w:shd w:val="clear" w:color="auto" w:fill="FDFDFC"/>
          </w:tcPr>
          <w:p>
            <w:pPr>
              <w:spacing w:after="0"/>
              <w:rPr>
                <w:sz w:val="18"/>
                <w:szCs w:val="18"/>
                <w:color w:val="auto"/>
              </w:rPr>
            </w:pPr>
          </w:p>
        </w:tc>
        <w:tc>
          <w:tcPr>
            <w:tcW w:w="940" w:type="dxa"/>
            <w:vAlign w:val="bottom"/>
            <w:shd w:val="clear" w:color="auto" w:fill="FDFDFC"/>
          </w:tcPr>
          <w:p>
            <w:pPr>
              <w:jc w:val="right"/>
              <w:spacing w:after="0" w:line="217" w:lineRule="exact"/>
              <w:rPr>
                <w:sz w:val="20"/>
                <w:szCs w:val="20"/>
                <w:color w:val="auto"/>
              </w:rPr>
            </w:pPr>
            <w:r>
              <w:rPr>
                <w:rFonts w:ascii="Times New Roman" w:cs="Times New Roman" w:eastAsia="Times New Roman" w:hAnsi="Times New Roman"/>
                <w:sz w:val="19"/>
                <w:szCs w:val="19"/>
                <w:color w:val="231F20"/>
              </w:rPr>
              <w:t>—</w:t>
            </w:r>
          </w:p>
        </w:tc>
        <w:tc>
          <w:tcPr>
            <w:tcW w:w="200" w:type="dxa"/>
            <w:vAlign w:val="bottom"/>
            <w:shd w:val="clear" w:color="auto" w:fill="FDFDFC"/>
          </w:tcPr>
          <w:p>
            <w:pPr>
              <w:spacing w:after="0"/>
              <w:rPr>
                <w:sz w:val="18"/>
                <w:szCs w:val="18"/>
                <w:color w:val="auto"/>
              </w:rPr>
            </w:pPr>
          </w:p>
        </w:tc>
        <w:tc>
          <w:tcPr>
            <w:tcW w:w="140" w:type="dxa"/>
            <w:vAlign w:val="bottom"/>
            <w:shd w:val="clear" w:color="auto" w:fill="FDFDFC"/>
          </w:tcPr>
          <w:p>
            <w:pPr>
              <w:spacing w:after="0"/>
              <w:rPr>
                <w:sz w:val="18"/>
                <w:szCs w:val="18"/>
                <w:color w:val="auto"/>
              </w:rPr>
            </w:pPr>
          </w:p>
        </w:tc>
        <w:tc>
          <w:tcPr>
            <w:tcW w:w="860" w:type="dxa"/>
            <w:vAlign w:val="bottom"/>
            <w:shd w:val="clear" w:color="auto" w:fill="FDFDFC"/>
          </w:tcPr>
          <w:p>
            <w:pPr>
              <w:jc w:val="right"/>
              <w:spacing w:after="0" w:line="217" w:lineRule="exact"/>
              <w:rPr>
                <w:sz w:val="20"/>
                <w:szCs w:val="20"/>
                <w:color w:val="auto"/>
              </w:rPr>
            </w:pPr>
            <w:r>
              <w:rPr>
                <w:rFonts w:ascii="Times New Roman" w:cs="Times New Roman" w:eastAsia="Times New Roman" w:hAnsi="Times New Roman"/>
                <w:sz w:val="19"/>
                <w:szCs w:val="19"/>
                <w:color w:val="231F20"/>
              </w:rPr>
              <w:t>335.9</w:t>
            </w:r>
          </w:p>
        </w:tc>
        <w:tc>
          <w:tcPr>
            <w:tcW w:w="100" w:type="dxa"/>
            <w:vAlign w:val="bottom"/>
            <w:shd w:val="clear" w:color="auto" w:fill="FDFDFC"/>
          </w:tcPr>
          <w:p>
            <w:pPr>
              <w:spacing w:after="0"/>
              <w:rPr>
                <w:sz w:val="18"/>
                <w:szCs w:val="18"/>
                <w:color w:val="auto"/>
              </w:rPr>
            </w:pPr>
          </w:p>
        </w:tc>
      </w:tr>
      <w:tr>
        <w:trPr>
          <w:trHeight w:val="217"/>
        </w:trPr>
        <w:tc>
          <w:tcPr>
            <w:tcW w:w="2340" w:type="dxa"/>
            <w:vAlign w:val="bottom"/>
            <w:shd w:val="clear" w:color="auto" w:fill="D0EBF2"/>
          </w:tcPr>
          <w:p>
            <w:pPr>
              <w:spacing w:after="0" w:line="217" w:lineRule="exact"/>
              <w:rPr>
                <w:sz w:val="20"/>
                <w:szCs w:val="20"/>
                <w:color w:val="auto"/>
              </w:rPr>
            </w:pPr>
            <w:r>
              <w:rPr>
                <w:rFonts w:ascii="Times New Roman" w:cs="Times New Roman" w:eastAsia="Times New Roman" w:hAnsi="Times New Roman"/>
                <w:sz w:val="19"/>
                <w:szCs w:val="19"/>
                <w:color w:val="231F20"/>
              </w:rPr>
              <w:t>2026 Notes</w:t>
            </w:r>
          </w:p>
        </w:tc>
        <w:tc>
          <w:tcPr>
            <w:tcW w:w="420" w:type="dxa"/>
            <w:vAlign w:val="bottom"/>
            <w:shd w:val="clear" w:color="auto" w:fill="D0EBF2"/>
          </w:tcPr>
          <w:p>
            <w:pPr>
              <w:spacing w:after="0"/>
              <w:rPr>
                <w:sz w:val="18"/>
                <w:szCs w:val="18"/>
                <w:color w:val="auto"/>
              </w:rPr>
            </w:pPr>
          </w:p>
        </w:tc>
        <w:tc>
          <w:tcPr>
            <w:tcW w:w="100" w:type="dxa"/>
            <w:vAlign w:val="bottom"/>
            <w:shd w:val="clear" w:color="auto" w:fill="D0EBF2"/>
          </w:tcPr>
          <w:p>
            <w:pPr>
              <w:spacing w:after="0"/>
              <w:rPr>
                <w:sz w:val="18"/>
                <w:szCs w:val="18"/>
                <w:color w:val="auto"/>
              </w:rPr>
            </w:pPr>
          </w:p>
        </w:tc>
        <w:tc>
          <w:tcPr>
            <w:tcW w:w="1460" w:type="dxa"/>
            <w:vAlign w:val="bottom"/>
            <w:shd w:val="clear" w:color="auto" w:fill="D0EBF2"/>
          </w:tcPr>
          <w:p>
            <w:pPr>
              <w:jc w:val="right"/>
              <w:spacing w:after="0" w:line="217" w:lineRule="exact"/>
              <w:rPr>
                <w:sz w:val="20"/>
                <w:szCs w:val="20"/>
                <w:color w:val="auto"/>
              </w:rPr>
            </w:pPr>
            <w:r>
              <w:rPr>
                <w:rFonts w:ascii="Times New Roman" w:cs="Times New Roman" w:eastAsia="Times New Roman" w:hAnsi="Times New Roman"/>
                <w:sz w:val="19"/>
                <w:szCs w:val="19"/>
                <w:color w:val="231F20"/>
              </w:rPr>
              <w:t>300.0</w:t>
            </w:r>
          </w:p>
        </w:tc>
        <w:tc>
          <w:tcPr>
            <w:tcW w:w="200" w:type="dxa"/>
            <w:vAlign w:val="bottom"/>
            <w:shd w:val="clear" w:color="auto" w:fill="D0EBF2"/>
          </w:tcPr>
          <w:p>
            <w:pPr>
              <w:spacing w:after="0"/>
              <w:rPr>
                <w:sz w:val="18"/>
                <w:szCs w:val="18"/>
                <w:color w:val="auto"/>
              </w:rPr>
            </w:pPr>
          </w:p>
        </w:tc>
        <w:tc>
          <w:tcPr>
            <w:tcW w:w="120" w:type="dxa"/>
            <w:vAlign w:val="bottom"/>
            <w:shd w:val="clear" w:color="auto" w:fill="D0EBF2"/>
          </w:tcPr>
          <w:p>
            <w:pPr>
              <w:spacing w:after="0"/>
              <w:rPr>
                <w:sz w:val="18"/>
                <w:szCs w:val="18"/>
                <w:color w:val="auto"/>
              </w:rPr>
            </w:pPr>
          </w:p>
        </w:tc>
        <w:tc>
          <w:tcPr>
            <w:tcW w:w="940" w:type="dxa"/>
            <w:vAlign w:val="bottom"/>
            <w:shd w:val="clear" w:color="auto" w:fill="D0EBF2"/>
          </w:tcPr>
          <w:p>
            <w:pPr>
              <w:jc w:val="right"/>
              <w:spacing w:after="0" w:line="217" w:lineRule="exact"/>
              <w:rPr>
                <w:sz w:val="20"/>
                <w:szCs w:val="20"/>
                <w:color w:val="auto"/>
              </w:rPr>
            </w:pPr>
            <w:r>
              <w:rPr>
                <w:rFonts w:ascii="Times New Roman" w:cs="Times New Roman" w:eastAsia="Times New Roman" w:hAnsi="Times New Roman"/>
                <w:sz w:val="19"/>
                <w:szCs w:val="19"/>
                <w:color w:val="231F20"/>
              </w:rPr>
              <w:t>300.0</w:t>
            </w:r>
          </w:p>
        </w:tc>
        <w:tc>
          <w:tcPr>
            <w:tcW w:w="220" w:type="dxa"/>
            <w:vAlign w:val="bottom"/>
            <w:shd w:val="clear" w:color="auto" w:fill="D0EBF2"/>
          </w:tcPr>
          <w:p>
            <w:pPr>
              <w:spacing w:after="0"/>
              <w:rPr>
                <w:sz w:val="18"/>
                <w:szCs w:val="18"/>
                <w:color w:val="auto"/>
              </w:rPr>
            </w:pPr>
          </w:p>
        </w:tc>
        <w:tc>
          <w:tcPr>
            <w:tcW w:w="120" w:type="dxa"/>
            <w:vAlign w:val="bottom"/>
            <w:shd w:val="clear" w:color="auto" w:fill="D0EBF2"/>
          </w:tcPr>
          <w:p>
            <w:pPr>
              <w:spacing w:after="0"/>
              <w:rPr>
                <w:sz w:val="18"/>
                <w:szCs w:val="18"/>
                <w:color w:val="auto"/>
              </w:rPr>
            </w:pPr>
          </w:p>
        </w:tc>
        <w:tc>
          <w:tcPr>
            <w:tcW w:w="940" w:type="dxa"/>
            <w:vAlign w:val="bottom"/>
            <w:shd w:val="clear" w:color="auto" w:fill="D0EBF2"/>
          </w:tcPr>
          <w:p>
            <w:pPr>
              <w:jc w:val="right"/>
              <w:spacing w:after="0" w:line="217" w:lineRule="exact"/>
              <w:rPr>
                <w:sz w:val="20"/>
                <w:szCs w:val="20"/>
                <w:color w:val="auto"/>
              </w:rPr>
            </w:pPr>
            <w:r>
              <w:rPr>
                <w:rFonts w:ascii="Times New Roman" w:cs="Times New Roman" w:eastAsia="Times New Roman" w:hAnsi="Times New Roman"/>
                <w:sz w:val="19"/>
                <w:szCs w:val="19"/>
                <w:color w:val="231F20"/>
              </w:rPr>
              <w:t>—</w:t>
            </w:r>
          </w:p>
        </w:tc>
        <w:tc>
          <w:tcPr>
            <w:tcW w:w="200" w:type="dxa"/>
            <w:vAlign w:val="bottom"/>
            <w:shd w:val="clear" w:color="auto" w:fill="D0EBF2"/>
          </w:tcPr>
          <w:p>
            <w:pPr>
              <w:spacing w:after="0"/>
              <w:rPr>
                <w:sz w:val="18"/>
                <w:szCs w:val="18"/>
                <w:color w:val="auto"/>
              </w:rPr>
            </w:pPr>
          </w:p>
        </w:tc>
        <w:tc>
          <w:tcPr>
            <w:tcW w:w="140" w:type="dxa"/>
            <w:vAlign w:val="bottom"/>
            <w:shd w:val="clear" w:color="auto" w:fill="D0EBF2"/>
          </w:tcPr>
          <w:p>
            <w:pPr>
              <w:spacing w:after="0"/>
              <w:rPr>
                <w:sz w:val="18"/>
                <w:szCs w:val="18"/>
                <w:color w:val="auto"/>
              </w:rPr>
            </w:pPr>
          </w:p>
        </w:tc>
        <w:tc>
          <w:tcPr>
            <w:tcW w:w="860" w:type="dxa"/>
            <w:vAlign w:val="bottom"/>
            <w:shd w:val="clear" w:color="auto" w:fill="D0EBF2"/>
          </w:tcPr>
          <w:p>
            <w:pPr>
              <w:jc w:val="right"/>
              <w:spacing w:after="0" w:line="217" w:lineRule="exact"/>
              <w:rPr>
                <w:sz w:val="20"/>
                <w:szCs w:val="20"/>
                <w:color w:val="auto"/>
              </w:rPr>
            </w:pPr>
            <w:r>
              <w:rPr>
                <w:rFonts w:ascii="Times New Roman" w:cs="Times New Roman" w:eastAsia="Times New Roman" w:hAnsi="Times New Roman"/>
                <w:sz w:val="19"/>
                <w:szCs w:val="19"/>
                <w:color w:val="231F20"/>
              </w:rPr>
              <w:t>270.9</w:t>
            </w:r>
          </w:p>
        </w:tc>
        <w:tc>
          <w:tcPr>
            <w:tcW w:w="100" w:type="dxa"/>
            <w:vAlign w:val="bottom"/>
            <w:shd w:val="clear" w:color="auto" w:fill="D0EBF2"/>
          </w:tcPr>
          <w:p>
            <w:pPr>
              <w:spacing w:after="0"/>
              <w:rPr>
                <w:sz w:val="18"/>
                <w:szCs w:val="18"/>
                <w:color w:val="auto"/>
              </w:rPr>
            </w:pPr>
          </w:p>
        </w:tc>
      </w:tr>
      <w:tr>
        <w:trPr>
          <w:trHeight w:val="217"/>
        </w:trPr>
        <w:tc>
          <w:tcPr>
            <w:tcW w:w="2340" w:type="dxa"/>
            <w:vAlign w:val="bottom"/>
            <w:tcBorders>
              <w:bottom w:val="single" w:sz="8" w:color="D0EBF2"/>
            </w:tcBorders>
            <w:shd w:val="clear" w:color="auto" w:fill="FDFDFC"/>
          </w:tcPr>
          <w:p>
            <w:pPr>
              <w:spacing w:after="0" w:line="217" w:lineRule="exact"/>
              <w:rPr>
                <w:sz w:val="20"/>
                <w:szCs w:val="20"/>
                <w:color w:val="auto"/>
              </w:rPr>
            </w:pPr>
            <w:r>
              <w:rPr>
                <w:rFonts w:ascii="Times New Roman" w:cs="Times New Roman" w:eastAsia="Times New Roman" w:hAnsi="Times New Roman"/>
                <w:sz w:val="19"/>
                <w:szCs w:val="19"/>
                <w:color w:val="231F20"/>
              </w:rPr>
              <w:t>2028 Notes</w:t>
            </w:r>
          </w:p>
        </w:tc>
        <w:tc>
          <w:tcPr>
            <w:tcW w:w="420" w:type="dxa"/>
            <w:vAlign w:val="bottom"/>
            <w:tcBorders>
              <w:bottom w:val="single" w:sz="8" w:color="D0EBF2"/>
            </w:tcBorders>
            <w:shd w:val="clear" w:color="auto" w:fill="FDFDFC"/>
          </w:tcPr>
          <w:p>
            <w:pPr>
              <w:spacing w:after="0"/>
              <w:rPr>
                <w:sz w:val="18"/>
                <w:szCs w:val="18"/>
                <w:color w:val="auto"/>
              </w:rPr>
            </w:pPr>
          </w:p>
        </w:tc>
        <w:tc>
          <w:tcPr>
            <w:tcW w:w="100" w:type="dxa"/>
            <w:vAlign w:val="bottom"/>
            <w:tcBorders>
              <w:bottom w:val="single" w:sz="8" w:color="231F20"/>
            </w:tcBorders>
            <w:shd w:val="clear" w:color="auto" w:fill="FDFDFC"/>
          </w:tcPr>
          <w:p>
            <w:pPr>
              <w:spacing w:after="0"/>
              <w:rPr>
                <w:sz w:val="18"/>
                <w:szCs w:val="18"/>
                <w:color w:val="auto"/>
              </w:rPr>
            </w:pPr>
          </w:p>
        </w:tc>
        <w:tc>
          <w:tcPr>
            <w:tcW w:w="1460" w:type="dxa"/>
            <w:vAlign w:val="bottom"/>
            <w:tcBorders>
              <w:bottom w:val="single" w:sz="8" w:color="231F20"/>
            </w:tcBorders>
            <w:shd w:val="clear" w:color="auto" w:fill="FDFDFC"/>
          </w:tcPr>
          <w:p>
            <w:pPr>
              <w:jc w:val="right"/>
              <w:spacing w:after="0" w:line="217" w:lineRule="exact"/>
              <w:rPr>
                <w:sz w:val="20"/>
                <w:szCs w:val="20"/>
                <w:color w:val="auto"/>
              </w:rPr>
            </w:pPr>
            <w:r>
              <w:rPr>
                <w:rFonts w:ascii="Times New Roman" w:cs="Times New Roman" w:eastAsia="Times New Roman" w:hAnsi="Times New Roman"/>
                <w:sz w:val="19"/>
                <w:szCs w:val="19"/>
                <w:color w:val="231F20"/>
              </w:rPr>
              <w:t>300.0</w:t>
            </w:r>
          </w:p>
        </w:tc>
        <w:tc>
          <w:tcPr>
            <w:tcW w:w="200" w:type="dxa"/>
            <w:vAlign w:val="bottom"/>
            <w:tcBorders>
              <w:bottom w:val="single" w:sz="8" w:color="D0EBF2"/>
            </w:tcBorders>
            <w:shd w:val="clear" w:color="auto" w:fill="FDFDFC"/>
          </w:tcPr>
          <w:p>
            <w:pPr>
              <w:spacing w:after="0"/>
              <w:rPr>
                <w:sz w:val="18"/>
                <w:szCs w:val="18"/>
                <w:color w:val="auto"/>
              </w:rPr>
            </w:pPr>
          </w:p>
        </w:tc>
        <w:tc>
          <w:tcPr>
            <w:tcW w:w="120" w:type="dxa"/>
            <w:vAlign w:val="bottom"/>
            <w:tcBorders>
              <w:bottom w:val="single" w:sz="8" w:color="231F20"/>
            </w:tcBorders>
            <w:shd w:val="clear" w:color="auto" w:fill="FDFDFC"/>
          </w:tcPr>
          <w:p>
            <w:pPr>
              <w:spacing w:after="0"/>
              <w:rPr>
                <w:sz w:val="18"/>
                <w:szCs w:val="18"/>
                <w:color w:val="auto"/>
              </w:rPr>
            </w:pPr>
          </w:p>
        </w:tc>
        <w:tc>
          <w:tcPr>
            <w:tcW w:w="940" w:type="dxa"/>
            <w:vAlign w:val="bottom"/>
            <w:tcBorders>
              <w:bottom w:val="single" w:sz="8" w:color="231F20"/>
            </w:tcBorders>
            <w:shd w:val="clear" w:color="auto" w:fill="FDFDFC"/>
          </w:tcPr>
          <w:p>
            <w:pPr>
              <w:jc w:val="right"/>
              <w:spacing w:after="0" w:line="217" w:lineRule="exact"/>
              <w:rPr>
                <w:sz w:val="20"/>
                <w:szCs w:val="20"/>
                <w:color w:val="auto"/>
              </w:rPr>
            </w:pPr>
            <w:r>
              <w:rPr>
                <w:rFonts w:ascii="Times New Roman" w:cs="Times New Roman" w:eastAsia="Times New Roman" w:hAnsi="Times New Roman"/>
                <w:sz w:val="19"/>
                <w:szCs w:val="19"/>
                <w:color w:val="231F20"/>
              </w:rPr>
              <w:t>300.0</w:t>
            </w:r>
          </w:p>
        </w:tc>
        <w:tc>
          <w:tcPr>
            <w:tcW w:w="220" w:type="dxa"/>
            <w:vAlign w:val="bottom"/>
            <w:tcBorders>
              <w:bottom w:val="single" w:sz="8" w:color="D0EBF2"/>
            </w:tcBorders>
            <w:shd w:val="clear" w:color="auto" w:fill="FDFDFC"/>
          </w:tcPr>
          <w:p>
            <w:pPr>
              <w:spacing w:after="0"/>
              <w:rPr>
                <w:sz w:val="18"/>
                <w:szCs w:val="18"/>
                <w:color w:val="auto"/>
              </w:rPr>
            </w:pPr>
          </w:p>
        </w:tc>
        <w:tc>
          <w:tcPr>
            <w:tcW w:w="120" w:type="dxa"/>
            <w:vAlign w:val="bottom"/>
            <w:tcBorders>
              <w:bottom w:val="single" w:sz="8" w:color="231F20"/>
            </w:tcBorders>
            <w:shd w:val="clear" w:color="auto" w:fill="FDFDFC"/>
          </w:tcPr>
          <w:p>
            <w:pPr>
              <w:spacing w:after="0"/>
              <w:rPr>
                <w:sz w:val="18"/>
                <w:szCs w:val="18"/>
                <w:color w:val="auto"/>
              </w:rPr>
            </w:pPr>
          </w:p>
        </w:tc>
        <w:tc>
          <w:tcPr>
            <w:tcW w:w="940" w:type="dxa"/>
            <w:vAlign w:val="bottom"/>
            <w:tcBorders>
              <w:bottom w:val="single" w:sz="8" w:color="231F20"/>
            </w:tcBorders>
            <w:shd w:val="clear" w:color="auto" w:fill="FDFDFC"/>
          </w:tcPr>
          <w:p>
            <w:pPr>
              <w:jc w:val="right"/>
              <w:spacing w:after="0" w:line="217" w:lineRule="exact"/>
              <w:rPr>
                <w:sz w:val="20"/>
                <w:szCs w:val="20"/>
                <w:color w:val="auto"/>
              </w:rPr>
            </w:pPr>
            <w:r>
              <w:rPr>
                <w:rFonts w:ascii="Times New Roman" w:cs="Times New Roman" w:eastAsia="Times New Roman" w:hAnsi="Times New Roman"/>
                <w:sz w:val="19"/>
                <w:szCs w:val="19"/>
                <w:color w:val="231F20"/>
              </w:rPr>
              <w:t>—</w:t>
            </w:r>
          </w:p>
        </w:tc>
        <w:tc>
          <w:tcPr>
            <w:tcW w:w="200" w:type="dxa"/>
            <w:vAlign w:val="bottom"/>
            <w:tcBorders>
              <w:bottom w:val="single" w:sz="8" w:color="D0EBF2"/>
            </w:tcBorders>
            <w:shd w:val="clear" w:color="auto" w:fill="FDFDFC"/>
          </w:tcPr>
          <w:p>
            <w:pPr>
              <w:spacing w:after="0"/>
              <w:rPr>
                <w:sz w:val="18"/>
                <w:szCs w:val="18"/>
                <w:color w:val="auto"/>
              </w:rPr>
            </w:pPr>
          </w:p>
        </w:tc>
        <w:tc>
          <w:tcPr>
            <w:tcW w:w="140" w:type="dxa"/>
            <w:vAlign w:val="bottom"/>
            <w:tcBorders>
              <w:bottom w:val="single" w:sz="8" w:color="231F20"/>
            </w:tcBorders>
            <w:shd w:val="clear" w:color="auto" w:fill="FDFDFC"/>
          </w:tcPr>
          <w:p>
            <w:pPr>
              <w:spacing w:after="0"/>
              <w:rPr>
                <w:sz w:val="18"/>
                <w:szCs w:val="18"/>
                <w:color w:val="auto"/>
              </w:rPr>
            </w:pPr>
          </w:p>
        </w:tc>
        <w:tc>
          <w:tcPr>
            <w:tcW w:w="860" w:type="dxa"/>
            <w:vAlign w:val="bottom"/>
            <w:tcBorders>
              <w:bottom w:val="single" w:sz="8" w:color="231F20"/>
            </w:tcBorders>
            <w:shd w:val="clear" w:color="auto" w:fill="FDFDFC"/>
          </w:tcPr>
          <w:p>
            <w:pPr>
              <w:jc w:val="right"/>
              <w:spacing w:after="0" w:line="217" w:lineRule="exact"/>
              <w:rPr>
                <w:sz w:val="20"/>
                <w:szCs w:val="20"/>
                <w:color w:val="auto"/>
              </w:rPr>
            </w:pPr>
            <w:r>
              <w:rPr>
                <w:rFonts w:ascii="Times New Roman" w:cs="Times New Roman" w:eastAsia="Times New Roman" w:hAnsi="Times New Roman"/>
                <w:sz w:val="19"/>
                <w:szCs w:val="19"/>
                <w:color w:val="231F20"/>
              </w:rPr>
              <w:t>299.0</w:t>
            </w:r>
          </w:p>
        </w:tc>
        <w:tc>
          <w:tcPr>
            <w:tcW w:w="100" w:type="dxa"/>
            <w:vAlign w:val="bottom"/>
            <w:tcBorders>
              <w:bottom w:val="single" w:sz="8" w:color="D0EBF2"/>
            </w:tcBorders>
            <w:shd w:val="clear" w:color="auto" w:fill="FDFDFC"/>
          </w:tcPr>
          <w:p>
            <w:pPr>
              <w:spacing w:after="0"/>
              <w:rPr>
                <w:sz w:val="18"/>
                <w:szCs w:val="18"/>
                <w:color w:val="auto"/>
              </w:rPr>
            </w:pPr>
          </w:p>
        </w:tc>
      </w:tr>
      <w:tr>
        <w:trPr>
          <w:trHeight w:val="227"/>
        </w:trPr>
        <w:tc>
          <w:tcPr>
            <w:tcW w:w="2340" w:type="dxa"/>
            <w:vAlign w:val="bottom"/>
            <w:tcBorders>
              <w:bottom w:val="single" w:sz="8" w:color="D0EBF2"/>
            </w:tcBorders>
            <w:shd w:val="clear" w:color="auto" w:fill="D0EBF2"/>
          </w:tcPr>
          <w:p>
            <w:pPr>
              <w:ind w:left="180"/>
              <w:spacing w:after="0" w:line="206" w:lineRule="exact"/>
              <w:rPr>
                <w:sz w:val="20"/>
                <w:szCs w:val="20"/>
                <w:color w:val="auto"/>
              </w:rPr>
            </w:pPr>
            <w:r>
              <w:rPr>
                <w:rFonts w:ascii="Times New Roman" w:cs="Times New Roman" w:eastAsia="Times New Roman" w:hAnsi="Times New Roman"/>
                <w:sz w:val="19"/>
                <w:szCs w:val="19"/>
                <w:b w:val="1"/>
                <w:bCs w:val="1"/>
                <w:color w:val="231F20"/>
              </w:rPr>
              <w:t>Total Debt</w:t>
            </w:r>
          </w:p>
        </w:tc>
        <w:tc>
          <w:tcPr>
            <w:tcW w:w="420" w:type="dxa"/>
            <w:vAlign w:val="bottom"/>
            <w:tcBorders>
              <w:bottom w:val="single" w:sz="8" w:color="D0EBF2"/>
            </w:tcBorders>
            <w:shd w:val="clear" w:color="auto" w:fill="D0EBF2"/>
          </w:tcPr>
          <w:p>
            <w:pPr>
              <w:spacing w:after="0"/>
              <w:rPr>
                <w:sz w:val="19"/>
                <w:szCs w:val="19"/>
                <w:color w:val="auto"/>
              </w:rPr>
            </w:pPr>
          </w:p>
        </w:tc>
        <w:tc>
          <w:tcPr>
            <w:tcW w:w="100" w:type="dxa"/>
            <w:vAlign w:val="bottom"/>
            <w:tcBorders>
              <w:bottom w:val="single" w:sz="8" w:color="231F20"/>
            </w:tcBorders>
            <w:shd w:val="clear" w:color="auto" w:fill="D0EBF2"/>
          </w:tcPr>
          <w:p>
            <w:pPr>
              <w:jc w:val="right"/>
              <w:spacing w:after="0"/>
              <w:rPr>
                <w:sz w:val="20"/>
                <w:szCs w:val="20"/>
                <w:color w:val="auto"/>
              </w:rPr>
            </w:pPr>
            <w:r>
              <w:rPr>
                <w:rFonts w:ascii="Times New Roman" w:cs="Times New Roman" w:eastAsia="Times New Roman" w:hAnsi="Times New Roman"/>
                <w:sz w:val="17"/>
                <w:szCs w:val="17"/>
                <w:color w:val="231F20"/>
                <w:w w:val="70"/>
              </w:rPr>
              <w:t>$</w:t>
            </w:r>
          </w:p>
        </w:tc>
        <w:tc>
          <w:tcPr>
            <w:tcW w:w="1460" w:type="dxa"/>
            <w:vAlign w:val="bottom"/>
            <w:tcBorders>
              <w:bottom w:val="single" w:sz="8" w:color="231F20"/>
            </w:tcBorders>
            <w:shd w:val="clear" w:color="auto" w:fill="D0EBF2"/>
          </w:tcPr>
          <w:p>
            <w:pPr>
              <w:jc w:val="right"/>
              <w:spacing w:after="0" w:line="206" w:lineRule="exact"/>
              <w:rPr>
                <w:sz w:val="20"/>
                <w:szCs w:val="20"/>
                <w:color w:val="auto"/>
              </w:rPr>
            </w:pPr>
            <w:r>
              <w:rPr>
                <w:rFonts w:ascii="Times New Roman" w:cs="Times New Roman" w:eastAsia="Times New Roman" w:hAnsi="Times New Roman"/>
                <w:sz w:val="19"/>
                <w:szCs w:val="19"/>
                <w:color w:val="231F20"/>
              </w:rPr>
              <w:t>2,657.5</w:t>
            </w:r>
          </w:p>
        </w:tc>
        <w:tc>
          <w:tcPr>
            <w:tcW w:w="200" w:type="dxa"/>
            <w:vAlign w:val="bottom"/>
            <w:tcBorders>
              <w:bottom w:val="single" w:sz="8" w:color="D0EBF2"/>
            </w:tcBorders>
            <w:shd w:val="clear" w:color="auto" w:fill="D0EBF2"/>
          </w:tcPr>
          <w:p>
            <w:pPr>
              <w:spacing w:after="0"/>
              <w:rPr>
                <w:sz w:val="19"/>
                <w:szCs w:val="19"/>
                <w:color w:val="auto"/>
              </w:rPr>
            </w:pPr>
          </w:p>
        </w:tc>
        <w:tc>
          <w:tcPr>
            <w:tcW w:w="120" w:type="dxa"/>
            <w:vAlign w:val="bottom"/>
            <w:tcBorders>
              <w:bottom w:val="single" w:sz="8" w:color="231F20"/>
            </w:tcBorders>
            <w:shd w:val="clear" w:color="auto" w:fill="D0EBF2"/>
          </w:tcPr>
          <w:p>
            <w:pPr>
              <w:jc w:val="right"/>
              <w:spacing w:after="0" w:line="206" w:lineRule="exact"/>
              <w:rPr>
                <w:sz w:val="20"/>
                <w:szCs w:val="20"/>
                <w:color w:val="auto"/>
              </w:rPr>
            </w:pPr>
            <w:r>
              <w:rPr>
                <w:rFonts w:ascii="Times New Roman" w:cs="Times New Roman" w:eastAsia="Times New Roman" w:hAnsi="Times New Roman"/>
                <w:sz w:val="19"/>
                <w:szCs w:val="19"/>
                <w:color w:val="231F20"/>
                <w:w w:val="83"/>
              </w:rPr>
              <w:t>$</w:t>
            </w:r>
          </w:p>
        </w:tc>
        <w:tc>
          <w:tcPr>
            <w:tcW w:w="940" w:type="dxa"/>
            <w:vAlign w:val="bottom"/>
            <w:tcBorders>
              <w:bottom w:val="single" w:sz="8" w:color="231F20"/>
            </w:tcBorders>
            <w:shd w:val="clear" w:color="auto" w:fill="D0EBF2"/>
          </w:tcPr>
          <w:p>
            <w:pPr>
              <w:jc w:val="right"/>
              <w:spacing w:after="0" w:line="206" w:lineRule="exact"/>
              <w:rPr>
                <w:sz w:val="20"/>
                <w:szCs w:val="20"/>
                <w:color w:val="auto"/>
              </w:rPr>
            </w:pPr>
            <w:r>
              <w:rPr>
                <w:rFonts w:ascii="Times New Roman" w:cs="Times New Roman" w:eastAsia="Times New Roman" w:hAnsi="Times New Roman"/>
                <w:sz w:val="19"/>
                <w:szCs w:val="19"/>
                <w:color w:val="231F20"/>
              </w:rPr>
              <w:t>1,837.2</w:t>
            </w:r>
          </w:p>
        </w:tc>
        <w:tc>
          <w:tcPr>
            <w:tcW w:w="220" w:type="dxa"/>
            <w:vAlign w:val="bottom"/>
            <w:tcBorders>
              <w:bottom w:val="single" w:sz="8" w:color="D0EBF2"/>
            </w:tcBorders>
            <w:shd w:val="clear" w:color="auto" w:fill="D0EBF2"/>
          </w:tcPr>
          <w:p>
            <w:pPr>
              <w:spacing w:after="0"/>
              <w:rPr>
                <w:sz w:val="19"/>
                <w:szCs w:val="19"/>
                <w:color w:val="auto"/>
              </w:rPr>
            </w:pPr>
          </w:p>
        </w:tc>
        <w:tc>
          <w:tcPr>
            <w:tcW w:w="120" w:type="dxa"/>
            <w:vAlign w:val="bottom"/>
            <w:tcBorders>
              <w:bottom w:val="single" w:sz="8" w:color="231F20"/>
            </w:tcBorders>
            <w:shd w:val="clear" w:color="auto" w:fill="D0EBF2"/>
          </w:tcPr>
          <w:p>
            <w:pPr>
              <w:jc w:val="right"/>
              <w:spacing w:after="0"/>
              <w:rPr>
                <w:sz w:val="20"/>
                <w:szCs w:val="20"/>
                <w:color w:val="auto"/>
              </w:rPr>
            </w:pPr>
            <w:r>
              <w:rPr>
                <w:rFonts w:ascii="Times New Roman" w:cs="Times New Roman" w:eastAsia="Times New Roman" w:hAnsi="Times New Roman"/>
                <w:sz w:val="17"/>
                <w:szCs w:val="17"/>
                <w:color w:val="231F20"/>
                <w:w w:val="70"/>
              </w:rPr>
              <w:t>$</w:t>
            </w:r>
          </w:p>
        </w:tc>
        <w:tc>
          <w:tcPr>
            <w:tcW w:w="940" w:type="dxa"/>
            <w:vAlign w:val="bottom"/>
            <w:tcBorders>
              <w:bottom w:val="single" w:sz="8" w:color="231F20"/>
            </w:tcBorders>
            <w:shd w:val="clear" w:color="auto" w:fill="D0EBF2"/>
          </w:tcPr>
          <w:p>
            <w:pPr>
              <w:jc w:val="right"/>
              <w:spacing w:after="0" w:line="206" w:lineRule="exact"/>
              <w:rPr>
                <w:sz w:val="20"/>
                <w:szCs w:val="20"/>
                <w:color w:val="auto"/>
              </w:rPr>
            </w:pPr>
            <w:r>
              <w:rPr>
                <w:rFonts w:ascii="Times New Roman" w:cs="Times New Roman" w:eastAsia="Times New Roman" w:hAnsi="Times New Roman"/>
                <w:sz w:val="19"/>
                <w:szCs w:val="19"/>
                <w:color w:val="231F20"/>
              </w:rPr>
              <w:t>820.2</w:t>
            </w:r>
          </w:p>
        </w:tc>
        <w:tc>
          <w:tcPr>
            <w:tcW w:w="200" w:type="dxa"/>
            <w:vAlign w:val="bottom"/>
            <w:tcBorders>
              <w:bottom w:val="single" w:sz="8" w:color="D0EBF2"/>
            </w:tcBorders>
            <w:shd w:val="clear" w:color="auto" w:fill="D0EBF2"/>
          </w:tcPr>
          <w:p>
            <w:pPr>
              <w:spacing w:after="0"/>
              <w:rPr>
                <w:sz w:val="19"/>
                <w:szCs w:val="19"/>
                <w:color w:val="auto"/>
              </w:rPr>
            </w:pPr>
          </w:p>
        </w:tc>
        <w:tc>
          <w:tcPr>
            <w:tcW w:w="140" w:type="dxa"/>
            <w:vAlign w:val="bottom"/>
            <w:tcBorders>
              <w:bottom w:val="single" w:sz="8" w:color="231F20"/>
            </w:tcBorders>
            <w:shd w:val="clear" w:color="auto" w:fill="D0EBF2"/>
          </w:tcPr>
          <w:p>
            <w:pPr>
              <w:jc w:val="right"/>
              <w:spacing w:after="0" w:line="206" w:lineRule="exact"/>
              <w:rPr>
                <w:sz w:val="20"/>
                <w:szCs w:val="20"/>
                <w:color w:val="auto"/>
              </w:rPr>
            </w:pPr>
            <w:r>
              <w:rPr>
                <w:rFonts w:ascii="Times New Roman" w:cs="Times New Roman" w:eastAsia="Times New Roman" w:hAnsi="Times New Roman"/>
                <w:sz w:val="19"/>
                <w:szCs w:val="19"/>
                <w:color w:val="231F20"/>
                <w:w w:val="83"/>
                <w:shd w:val="clear" w:color="auto" w:fill="D0EBF2"/>
              </w:rPr>
              <w:t>$</w:t>
            </w:r>
          </w:p>
        </w:tc>
        <w:tc>
          <w:tcPr>
            <w:tcW w:w="860" w:type="dxa"/>
            <w:vAlign w:val="bottom"/>
            <w:tcBorders>
              <w:bottom w:val="single" w:sz="8" w:color="231F20"/>
            </w:tcBorders>
            <w:shd w:val="clear" w:color="auto" w:fill="D0EBF2"/>
          </w:tcPr>
          <w:p>
            <w:pPr>
              <w:jc w:val="right"/>
              <w:spacing w:after="0" w:line="206" w:lineRule="exact"/>
              <w:rPr>
                <w:sz w:val="20"/>
                <w:szCs w:val="20"/>
                <w:color w:val="auto"/>
              </w:rPr>
            </w:pPr>
            <w:r>
              <w:rPr>
                <w:rFonts w:ascii="Times New Roman" w:cs="Times New Roman" w:eastAsia="Times New Roman" w:hAnsi="Times New Roman"/>
                <w:sz w:val="19"/>
                <w:szCs w:val="19"/>
                <w:color w:val="231F20"/>
                <w:shd w:val="clear" w:color="auto" w:fill="D0EBF2"/>
              </w:rPr>
              <w:t>1,780.3</w:t>
            </w:r>
          </w:p>
        </w:tc>
        <w:tc>
          <w:tcPr>
            <w:tcW w:w="100" w:type="dxa"/>
            <w:vAlign w:val="bottom"/>
            <w:tcBorders>
              <w:bottom w:val="single" w:sz="8" w:color="D0EBF2"/>
            </w:tcBorders>
            <w:shd w:val="clear" w:color="auto" w:fill="D0EBF2"/>
          </w:tcPr>
          <w:p>
            <w:pPr>
              <w:spacing w:after="0"/>
              <w:rPr>
                <w:sz w:val="19"/>
                <w:szCs w:val="19"/>
                <w:color w:val="auto"/>
              </w:rPr>
            </w:pPr>
          </w:p>
        </w:tc>
      </w:tr>
      <w:tr>
        <w:trPr>
          <w:trHeight w:val="20"/>
        </w:trPr>
        <w:tc>
          <w:tcPr>
            <w:tcW w:w="23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bottom w:val="single" w:sz="8" w:color="231F20"/>
            </w:tcBorders>
          </w:tcPr>
          <w:p>
            <w:pPr>
              <w:spacing w:after="0" w:line="20" w:lineRule="exact"/>
              <w:rPr>
                <w:sz w:val="1"/>
                <w:szCs w:val="1"/>
                <w:color w:val="auto"/>
              </w:rPr>
            </w:pPr>
          </w:p>
        </w:tc>
        <w:tc>
          <w:tcPr>
            <w:tcW w:w="1460" w:type="dxa"/>
            <w:vAlign w:val="bottom"/>
            <w:tcBorders>
              <w:bottom w:val="single" w:sz="8" w:color="231F20"/>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231F20"/>
            </w:tcBorders>
          </w:tcPr>
          <w:p>
            <w:pPr>
              <w:spacing w:after="0" w:line="20" w:lineRule="exact"/>
              <w:rPr>
                <w:sz w:val="1"/>
                <w:szCs w:val="1"/>
                <w:color w:val="auto"/>
              </w:rPr>
            </w:pPr>
          </w:p>
        </w:tc>
        <w:tc>
          <w:tcPr>
            <w:tcW w:w="940" w:type="dxa"/>
            <w:vAlign w:val="bottom"/>
            <w:tcBorders>
              <w:bottom w:val="single" w:sz="8" w:color="231F20"/>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231F20"/>
            </w:tcBorders>
          </w:tcPr>
          <w:p>
            <w:pPr>
              <w:spacing w:after="0" w:line="20" w:lineRule="exact"/>
              <w:rPr>
                <w:sz w:val="1"/>
                <w:szCs w:val="1"/>
                <w:color w:val="auto"/>
              </w:rPr>
            </w:pPr>
          </w:p>
        </w:tc>
        <w:tc>
          <w:tcPr>
            <w:tcW w:w="940" w:type="dxa"/>
            <w:vAlign w:val="bottom"/>
            <w:tcBorders>
              <w:bottom w:val="single" w:sz="8" w:color="231F20"/>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231F20"/>
            </w:tcBorders>
          </w:tcPr>
          <w:p>
            <w:pPr>
              <w:spacing w:after="0" w:line="20" w:lineRule="exact"/>
              <w:rPr>
                <w:sz w:val="1"/>
                <w:szCs w:val="1"/>
                <w:color w:val="auto"/>
              </w:rPr>
            </w:pPr>
          </w:p>
        </w:tc>
        <w:tc>
          <w:tcPr>
            <w:tcW w:w="860" w:type="dxa"/>
            <w:vAlign w:val="bottom"/>
            <w:tcBorders>
              <w:bottom w:val="single" w:sz="8" w:color="231F20"/>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1" w:lineRule="exact"/>
        <w:rPr>
          <w:sz w:val="20"/>
          <w:szCs w:val="20"/>
          <w:color w:val="auto"/>
        </w:rPr>
      </w:pPr>
    </w:p>
    <w:p>
      <w:pPr>
        <w:ind w:left="460" w:right="800" w:hanging="460"/>
        <w:spacing w:after="0" w:line="275" w:lineRule="auto"/>
        <w:tabs>
          <w:tab w:leader="none" w:pos="460" w:val="left"/>
        </w:tabs>
        <w:numPr>
          <w:ilvl w:val="0"/>
          <w:numId w:val="18"/>
        </w:numPr>
        <w:rPr>
          <w:rFonts w:ascii="Times New Roman" w:cs="Times New Roman" w:eastAsia="Times New Roman" w:hAnsi="Times New Roman"/>
          <w:sz w:val="19"/>
          <w:szCs w:val="19"/>
          <w:color w:val="231F20"/>
        </w:rPr>
      </w:pPr>
      <w:r>
        <w:rPr>
          <w:rFonts w:ascii="Times New Roman" w:cs="Times New Roman" w:eastAsia="Times New Roman" w:hAnsi="Times New Roman"/>
          <w:sz w:val="19"/>
          <w:szCs w:val="19"/>
          <w:color w:val="231F20"/>
        </w:rPr>
        <w:t>The amount available may be subject to limitations related to the borrowing base under the Revolving Credit Facility, outstanding letters of credit issued and asset coverage requirements.</w:t>
      </w:r>
    </w:p>
    <w:p>
      <w:pPr>
        <w:sectPr>
          <w:pgSz w:w="12240" w:h="15840" w:orient="portrait"/>
          <w:cols w:equalWidth="0" w:num="1">
            <w:col w:w="10160"/>
          </w:cols>
          <w:pgMar w:left="1020" w:top="1321" w:right="1060" w:bottom="57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9"/>
          <w:szCs w:val="19"/>
          <w:color w:val="231F20"/>
        </w:rPr>
        <w:t>14</w:t>
      </w:r>
    </w:p>
    <w:p>
      <w:pPr>
        <w:sectPr>
          <w:pgSz w:w="12240" w:h="15840" w:orient="portrait"/>
          <w:cols w:equalWidth="0" w:num="1">
            <w:col w:w="10160"/>
          </w:cols>
          <w:pgMar w:left="1020" w:top="1321" w:right="1060" w:bottom="574" w:gutter="0" w:footer="0" w:header="0"/>
          <w:type w:val="continuous"/>
        </w:sectPr>
      </w:pPr>
    </w:p>
    <w:bookmarkStart w:id="14" w:name="page15"/>
    <w:bookmarkEnd w:id="14"/>
    <w:p>
      <w:pPr>
        <w:ind w:left="460" w:right="340" w:hanging="460"/>
        <w:spacing w:after="0" w:line="268" w:lineRule="auto"/>
        <w:tabs>
          <w:tab w:leader="none" w:pos="460" w:val="left"/>
        </w:tabs>
        <w:numPr>
          <w:ilvl w:val="0"/>
          <w:numId w:val="19"/>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carrying values of the Revolving Credit Facility, 2024 Notes, 2026 Notes and 2028 Notes are presented net of deferred financing costs and original issue discounts totaling $15.2 million, $1.2 million, $3.0 million, and $5.7 million, respectively.</w:t>
      </w:r>
    </w:p>
    <w:p>
      <w:pPr>
        <w:jc w:val="both"/>
        <w:ind w:left="460" w:right="280" w:hanging="460"/>
        <w:spacing w:after="0" w:line="241" w:lineRule="auto"/>
        <w:tabs>
          <w:tab w:leader="none" w:pos="460" w:val="left"/>
        </w:tabs>
        <w:numPr>
          <w:ilvl w:val="0"/>
          <w:numId w:val="19"/>
        </w:numPr>
        <w:rPr>
          <w:rFonts w:ascii="Times New Roman" w:cs="Times New Roman" w:eastAsia="Times New Roman" w:hAnsi="Times New Roman"/>
          <w:sz w:val="19"/>
          <w:szCs w:val="19"/>
          <w:color w:val="231F20"/>
        </w:rPr>
      </w:pPr>
      <w:r>
        <w:rPr>
          <w:rFonts w:ascii="Times New Roman" w:cs="Times New Roman" w:eastAsia="Times New Roman" w:hAnsi="Times New Roman"/>
          <w:sz w:val="19"/>
          <w:szCs w:val="19"/>
          <w:color w:val="231F20"/>
        </w:rPr>
        <w:t>The carrying value of the 2024 Notes, 2026 Notes, and 2028 Notes are presented inclusive of an incremental $(10.4) million, $(26.1) million and $4.7 million, respectively, which represents an adjustment in the carrying values of the 2024 Notes, 2026 Notes and 2028 Notes, each resulting from a hedge accounting relationship.</w:t>
      </w:r>
    </w:p>
    <w:p>
      <w:pPr>
        <w:spacing w:after="0" w:line="192" w:lineRule="exact"/>
        <w:rPr>
          <w:sz w:val="20"/>
          <w:szCs w:val="20"/>
          <w:color w:val="auto"/>
        </w:rPr>
      </w:pPr>
    </w:p>
    <w:p>
      <w:pPr>
        <w:ind w:right="100" w:firstLine="231"/>
        <w:spacing w:after="0" w:line="275" w:lineRule="auto"/>
        <w:rPr>
          <w:sz w:val="20"/>
          <w:szCs w:val="20"/>
          <w:color w:val="auto"/>
        </w:rPr>
      </w:pPr>
      <w:r>
        <w:rPr>
          <w:rFonts w:ascii="Times New Roman" w:cs="Times New Roman" w:eastAsia="Times New Roman" w:hAnsi="Times New Roman"/>
          <w:sz w:val="19"/>
          <w:szCs w:val="19"/>
          <w:color w:val="231F20"/>
        </w:rPr>
        <w:t>For the years ended December 31, 2024, December 31, 2023, and December 31, 2022, the components of interest expense were as follows:</w:t>
      </w:r>
    </w:p>
    <w:p>
      <w:pPr>
        <w:spacing w:after="0" w:line="214" w:lineRule="exact"/>
        <w:rPr>
          <w:sz w:val="20"/>
          <w:szCs w:val="20"/>
          <w:color w:val="auto"/>
        </w:rPr>
      </w:pPr>
    </w:p>
    <w:tbl>
      <w:tblPr>
        <w:tblLayout w:type="fixed"/>
        <w:tblInd w:w="1020" w:type="dxa"/>
        <w:tblCellMar>
          <w:top w:w="0" w:type="dxa"/>
          <w:left w:w="0" w:type="dxa"/>
          <w:bottom w:w="0" w:type="dxa"/>
          <w:right w:w="0" w:type="dxa"/>
        </w:tblCellMar>
      </w:tblPr>
      <w:tr>
        <w:trPr>
          <w:trHeight w:val="254"/>
        </w:trPr>
        <w:tc>
          <w:tcPr>
            <w:tcW w:w="3220" w:type="dxa"/>
            <w:vAlign w:val="bottom"/>
            <w:tcBorders>
              <w:bottom w:val="single" w:sz="8" w:color="FDFDFC"/>
            </w:tcBorders>
            <w:vMerge w:val="restart"/>
            <w:shd w:val="clear" w:color="auto" w:fill="FDFDFC"/>
          </w:tcPr>
          <w:p>
            <w:pPr>
              <w:spacing w:after="0"/>
              <w:rPr>
                <w:sz w:val="20"/>
                <w:szCs w:val="20"/>
                <w:color w:val="auto"/>
              </w:rPr>
            </w:pPr>
            <w:r>
              <w:rPr>
                <w:rFonts w:ascii="Times New Roman" w:cs="Times New Roman" w:eastAsia="Times New Roman" w:hAnsi="Times New Roman"/>
                <w:sz w:val="15"/>
                <w:szCs w:val="15"/>
                <w:color w:val="231F20"/>
              </w:rPr>
              <w:t>($ in millions)</w:t>
            </w:r>
          </w:p>
        </w:tc>
        <w:tc>
          <w:tcPr>
            <w:tcW w:w="140" w:type="dxa"/>
            <w:vAlign w:val="bottom"/>
            <w:tcBorders>
              <w:bottom w:val="single" w:sz="8" w:color="FDFDFC"/>
            </w:tcBorders>
            <w:shd w:val="clear" w:color="auto" w:fill="FDFDFC"/>
          </w:tcPr>
          <w:p>
            <w:pPr>
              <w:spacing w:after="0"/>
              <w:rPr>
                <w:sz w:val="22"/>
                <w:szCs w:val="22"/>
                <w:color w:val="auto"/>
              </w:rPr>
            </w:pPr>
          </w:p>
        </w:tc>
        <w:tc>
          <w:tcPr>
            <w:tcW w:w="440" w:type="dxa"/>
            <w:vAlign w:val="bottom"/>
            <w:tcBorders>
              <w:bottom w:val="single" w:sz="8" w:color="231F20"/>
            </w:tcBorders>
            <w:shd w:val="clear" w:color="auto" w:fill="FDFDFC"/>
          </w:tcPr>
          <w:p>
            <w:pPr>
              <w:spacing w:after="0"/>
              <w:rPr>
                <w:sz w:val="22"/>
                <w:szCs w:val="22"/>
                <w:color w:val="auto"/>
              </w:rPr>
            </w:pPr>
          </w:p>
        </w:tc>
        <w:tc>
          <w:tcPr>
            <w:tcW w:w="900" w:type="dxa"/>
            <w:vAlign w:val="bottom"/>
            <w:tcBorders>
              <w:bottom w:val="single" w:sz="8" w:color="231F20"/>
            </w:tcBorders>
            <w:shd w:val="clear" w:color="auto" w:fill="FDFDFC"/>
          </w:tcPr>
          <w:p>
            <w:pPr>
              <w:spacing w:after="0"/>
              <w:rPr>
                <w:sz w:val="22"/>
                <w:szCs w:val="22"/>
                <w:color w:val="auto"/>
              </w:rPr>
            </w:pPr>
          </w:p>
        </w:tc>
        <w:tc>
          <w:tcPr>
            <w:tcW w:w="240" w:type="dxa"/>
            <w:vAlign w:val="bottom"/>
            <w:tcBorders>
              <w:bottom w:val="single" w:sz="8" w:color="231F20"/>
            </w:tcBorders>
            <w:shd w:val="clear" w:color="auto" w:fill="FDFDFC"/>
          </w:tcPr>
          <w:p>
            <w:pPr>
              <w:spacing w:after="0"/>
              <w:rPr>
                <w:sz w:val="22"/>
                <w:szCs w:val="22"/>
                <w:color w:val="auto"/>
              </w:rPr>
            </w:pPr>
          </w:p>
        </w:tc>
        <w:tc>
          <w:tcPr>
            <w:tcW w:w="100" w:type="dxa"/>
            <w:vAlign w:val="bottom"/>
            <w:tcBorders>
              <w:bottom w:val="single" w:sz="8" w:color="231F20"/>
            </w:tcBorders>
            <w:shd w:val="clear" w:color="auto" w:fill="FDFDFC"/>
          </w:tcPr>
          <w:p>
            <w:pPr>
              <w:spacing w:after="0"/>
              <w:rPr>
                <w:sz w:val="22"/>
                <w:szCs w:val="22"/>
                <w:color w:val="auto"/>
              </w:rPr>
            </w:pPr>
          </w:p>
        </w:tc>
        <w:tc>
          <w:tcPr>
            <w:tcW w:w="180" w:type="dxa"/>
            <w:vAlign w:val="bottom"/>
            <w:tcBorders>
              <w:bottom w:val="single" w:sz="8" w:color="231F20"/>
            </w:tcBorders>
            <w:shd w:val="clear" w:color="auto" w:fill="FDFDFC"/>
          </w:tcPr>
          <w:p>
            <w:pPr>
              <w:spacing w:after="0"/>
              <w:rPr>
                <w:sz w:val="22"/>
                <w:szCs w:val="22"/>
                <w:color w:val="auto"/>
              </w:rPr>
            </w:pPr>
          </w:p>
        </w:tc>
        <w:tc>
          <w:tcPr>
            <w:tcW w:w="1320" w:type="dxa"/>
            <w:vAlign w:val="bottom"/>
            <w:tcBorders>
              <w:bottom w:val="single" w:sz="8" w:color="231F20"/>
            </w:tcBorders>
            <w:gridSpan w:val="2"/>
            <w:shd w:val="clear" w:color="auto" w:fill="FDFDFC"/>
          </w:tcPr>
          <w:p>
            <w:pPr>
              <w:jc w:val="right"/>
              <w:ind w:right="500"/>
              <w:spacing w:after="0"/>
              <w:rPr>
                <w:sz w:val="20"/>
                <w:szCs w:val="20"/>
                <w:color w:val="auto"/>
              </w:rPr>
            </w:pPr>
            <w:r>
              <w:rPr>
                <w:rFonts w:ascii="Times New Roman" w:cs="Times New Roman" w:eastAsia="Times New Roman" w:hAnsi="Times New Roman"/>
                <w:sz w:val="15"/>
                <w:szCs w:val="15"/>
                <w:b w:val="1"/>
                <w:bCs w:val="1"/>
                <w:color w:val="231F20"/>
              </w:rPr>
              <w:t>Year ended</w:t>
            </w:r>
          </w:p>
        </w:tc>
        <w:tc>
          <w:tcPr>
            <w:tcW w:w="160" w:type="dxa"/>
            <w:vAlign w:val="bottom"/>
            <w:tcBorders>
              <w:bottom w:val="single" w:sz="8" w:color="231F20"/>
            </w:tcBorders>
            <w:shd w:val="clear" w:color="auto" w:fill="FDFDFC"/>
          </w:tcPr>
          <w:p>
            <w:pPr>
              <w:spacing w:after="0"/>
              <w:rPr>
                <w:sz w:val="22"/>
                <w:szCs w:val="22"/>
                <w:color w:val="auto"/>
              </w:rPr>
            </w:pPr>
          </w:p>
        </w:tc>
        <w:tc>
          <w:tcPr>
            <w:tcW w:w="400" w:type="dxa"/>
            <w:vAlign w:val="bottom"/>
            <w:tcBorders>
              <w:bottom w:val="single" w:sz="8" w:color="231F20"/>
            </w:tcBorders>
            <w:shd w:val="clear" w:color="auto" w:fill="FDFDFC"/>
          </w:tcPr>
          <w:p>
            <w:pPr>
              <w:spacing w:after="0"/>
              <w:rPr>
                <w:sz w:val="22"/>
                <w:szCs w:val="22"/>
                <w:color w:val="auto"/>
              </w:rPr>
            </w:pPr>
          </w:p>
        </w:tc>
        <w:tc>
          <w:tcPr>
            <w:tcW w:w="900" w:type="dxa"/>
            <w:vAlign w:val="bottom"/>
            <w:tcBorders>
              <w:bottom w:val="single" w:sz="8" w:color="231F20"/>
            </w:tcBorders>
            <w:shd w:val="clear" w:color="auto" w:fill="FDFDFC"/>
          </w:tcPr>
          <w:p>
            <w:pPr>
              <w:spacing w:after="0"/>
              <w:rPr>
                <w:sz w:val="22"/>
                <w:szCs w:val="22"/>
                <w:color w:val="auto"/>
              </w:rPr>
            </w:pPr>
          </w:p>
        </w:tc>
        <w:tc>
          <w:tcPr>
            <w:tcW w:w="160" w:type="dxa"/>
            <w:vAlign w:val="bottom"/>
            <w:tcBorders>
              <w:bottom w:val="single" w:sz="8" w:color="FDFDFC"/>
            </w:tcBorders>
            <w:shd w:val="clear" w:color="auto" w:fill="FDFDFC"/>
          </w:tcPr>
          <w:p>
            <w:pPr>
              <w:spacing w:after="0"/>
              <w:rPr>
                <w:sz w:val="22"/>
                <w:szCs w:val="22"/>
                <w:color w:val="auto"/>
              </w:rPr>
            </w:pPr>
          </w:p>
        </w:tc>
        <w:tc>
          <w:tcPr>
            <w:tcW w:w="0" w:type="dxa"/>
            <w:vAlign w:val="bottom"/>
          </w:tcPr>
          <w:p>
            <w:pPr>
              <w:spacing w:after="0"/>
              <w:rPr>
                <w:sz w:val="1"/>
                <w:szCs w:val="1"/>
                <w:color w:val="auto"/>
              </w:rPr>
            </w:pPr>
          </w:p>
        </w:tc>
      </w:tr>
      <w:tr>
        <w:trPr>
          <w:trHeight w:val="163"/>
        </w:trPr>
        <w:tc>
          <w:tcPr>
            <w:tcW w:w="3220" w:type="dxa"/>
            <w:vAlign w:val="bottom"/>
            <w:tcBorders>
              <w:bottom w:val="single" w:sz="8" w:color="D0EBF2"/>
            </w:tcBorders>
            <w:vMerge w:val="continue"/>
            <w:shd w:val="clear" w:color="auto" w:fill="FDFDFC"/>
          </w:tcPr>
          <w:p>
            <w:pPr>
              <w:spacing w:after="0"/>
              <w:rPr>
                <w:sz w:val="14"/>
                <w:szCs w:val="14"/>
                <w:color w:val="auto"/>
              </w:rPr>
            </w:pPr>
          </w:p>
        </w:tc>
        <w:tc>
          <w:tcPr>
            <w:tcW w:w="140" w:type="dxa"/>
            <w:vAlign w:val="bottom"/>
            <w:tcBorders>
              <w:bottom w:val="single" w:sz="8" w:color="D0EBF2"/>
            </w:tcBorders>
            <w:shd w:val="clear" w:color="auto" w:fill="FDFDFC"/>
          </w:tcPr>
          <w:p>
            <w:pPr>
              <w:spacing w:after="0"/>
              <w:rPr>
                <w:sz w:val="14"/>
                <w:szCs w:val="14"/>
                <w:color w:val="auto"/>
              </w:rPr>
            </w:pPr>
          </w:p>
        </w:tc>
        <w:tc>
          <w:tcPr>
            <w:tcW w:w="1340" w:type="dxa"/>
            <w:vAlign w:val="bottom"/>
            <w:tcBorders>
              <w:bottom w:val="single" w:sz="8" w:color="231F20"/>
            </w:tcBorders>
            <w:gridSpan w:val="2"/>
            <w:shd w:val="clear" w:color="auto" w:fill="FDFDFC"/>
          </w:tcPr>
          <w:p>
            <w:pPr>
              <w:jc w:val="right"/>
              <w:spacing w:after="0" w:line="164" w:lineRule="exact"/>
              <w:rPr>
                <w:sz w:val="20"/>
                <w:szCs w:val="20"/>
                <w:color w:val="auto"/>
              </w:rPr>
            </w:pPr>
            <w:r>
              <w:rPr>
                <w:rFonts w:ascii="Times New Roman" w:cs="Times New Roman" w:eastAsia="Times New Roman" w:hAnsi="Times New Roman"/>
                <w:sz w:val="15"/>
                <w:szCs w:val="15"/>
                <w:b w:val="1"/>
                <w:bCs w:val="1"/>
                <w:color w:val="231F20"/>
              </w:rPr>
              <w:t>December 31, 2024</w:t>
            </w:r>
          </w:p>
        </w:tc>
        <w:tc>
          <w:tcPr>
            <w:tcW w:w="240" w:type="dxa"/>
            <w:vAlign w:val="bottom"/>
            <w:tcBorders>
              <w:bottom w:val="single" w:sz="8" w:color="D0EBF2"/>
            </w:tcBorders>
            <w:shd w:val="clear" w:color="auto" w:fill="FDFDFC"/>
          </w:tcPr>
          <w:p>
            <w:pPr>
              <w:spacing w:after="0"/>
              <w:rPr>
                <w:sz w:val="14"/>
                <w:szCs w:val="14"/>
                <w:color w:val="auto"/>
              </w:rPr>
            </w:pPr>
          </w:p>
        </w:tc>
        <w:tc>
          <w:tcPr>
            <w:tcW w:w="100" w:type="dxa"/>
            <w:vAlign w:val="bottom"/>
            <w:tcBorders>
              <w:bottom w:val="single" w:sz="8" w:color="D0EBF2"/>
            </w:tcBorders>
            <w:shd w:val="clear" w:color="auto" w:fill="FDFDFC"/>
          </w:tcPr>
          <w:p>
            <w:pPr>
              <w:spacing w:after="0"/>
              <w:rPr>
                <w:sz w:val="14"/>
                <w:szCs w:val="14"/>
                <w:color w:val="auto"/>
              </w:rPr>
            </w:pPr>
          </w:p>
        </w:tc>
        <w:tc>
          <w:tcPr>
            <w:tcW w:w="1300" w:type="dxa"/>
            <w:vAlign w:val="bottom"/>
            <w:tcBorders>
              <w:bottom w:val="single" w:sz="8" w:color="231F20"/>
            </w:tcBorders>
            <w:gridSpan w:val="2"/>
            <w:shd w:val="clear" w:color="auto" w:fill="FDFDFC"/>
          </w:tcPr>
          <w:p>
            <w:pPr>
              <w:jc w:val="right"/>
              <w:spacing w:after="0" w:line="164" w:lineRule="exact"/>
              <w:rPr>
                <w:sz w:val="20"/>
                <w:szCs w:val="20"/>
                <w:color w:val="auto"/>
              </w:rPr>
            </w:pPr>
            <w:r>
              <w:rPr>
                <w:rFonts w:ascii="Times New Roman" w:cs="Times New Roman" w:eastAsia="Times New Roman" w:hAnsi="Times New Roman"/>
                <w:sz w:val="15"/>
                <w:szCs w:val="15"/>
                <w:b w:val="1"/>
                <w:bCs w:val="1"/>
                <w:color w:val="231F20"/>
              </w:rPr>
              <w:t>December 31, 2023</w:t>
            </w:r>
          </w:p>
        </w:tc>
        <w:tc>
          <w:tcPr>
            <w:tcW w:w="200" w:type="dxa"/>
            <w:vAlign w:val="bottom"/>
            <w:tcBorders>
              <w:bottom w:val="single" w:sz="8" w:color="D0EBF2"/>
            </w:tcBorders>
            <w:shd w:val="clear" w:color="auto" w:fill="FDFDFC"/>
          </w:tcPr>
          <w:p>
            <w:pPr>
              <w:spacing w:after="0"/>
              <w:rPr>
                <w:sz w:val="14"/>
                <w:szCs w:val="14"/>
                <w:color w:val="auto"/>
              </w:rPr>
            </w:pPr>
          </w:p>
        </w:tc>
        <w:tc>
          <w:tcPr>
            <w:tcW w:w="160" w:type="dxa"/>
            <w:vAlign w:val="bottom"/>
            <w:tcBorders>
              <w:bottom w:val="single" w:sz="8" w:color="D0EBF2"/>
            </w:tcBorders>
            <w:shd w:val="clear" w:color="auto" w:fill="FDFDFC"/>
          </w:tcPr>
          <w:p>
            <w:pPr>
              <w:spacing w:after="0"/>
              <w:rPr>
                <w:sz w:val="14"/>
                <w:szCs w:val="14"/>
                <w:color w:val="auto"/>
              </w:rPr>
            </w:pPr>
          </w:p>
        </w:tc>
        <w:tc>
          <w:tcPr>
            <w:tcW w:w="1300" w:type="dxa"/>
            <w:vAlign w:val="bottom"/>
            <w:tcBorders>
              <w:bottom w:val="single" w:sz="8" w:color="231F20"/>
            </w:tcBorders>
            <w:gridSpan w:val="2"/>
            <w:shd w:val="clear" w:color="auto" w:fill="FDFDFC"/>
          </w:tcPr>
          <w:p>
            <w:pPr>
              <w:jc w:val="right"/>
              <w:spacing w:after="0" w:line="164" w:lineRule="exact"/>
              <w:rPr>
                <w:sz w:val="20"/>
                <w:szCs w:val="20"/>
                <w:color w:val="auto"/>
              </w:rPr>
            </w:pPr>
            <w:r>
              <w:rPr>
                <w:rFonts w:ascii="Times New Roman" w:cs="Times New Roman" w:eastAsia="Times New Roman" w:hAnsi="Times New Roman"/>
                <w:sz w:val="15"/>
                <w:szCs w:val="15"/>
                <w:b w:val="1"/>
                <w:bCs w:val="1"/>
                <w:color w:val="231F20"/>
              </w:rPr>
              <w:t>December 31, 2022</w:t>
            </w:r>
          </w:p>
        </w:tc>
        <w:tc>
          <w:tcPr>
            <w:tcW w:w="160" w:type="dxa"/>
            <w:vAlign w:val="bottom"/>
            <w:tcBorders>
              <w:bottom w:val="single" w:sz="8" w:color="D0EBF2"/>
            </w:tcBorders>
            <w:shd w:val="clear" w:color="auto" w:fill="FDFDFC"/>
          </w:tcPr>
          <w:p>
            <w:pPr>
              <w:spacing w:after="0"/>
              <w:rPr>
                <w:sz w:val="14"/>
                <w:szCs w:val="14"/>
                <w:color w:val="auto"/>
              </w:rPr>
            </w:pPr>
          </w:p>
        </w:tc>
        <w:tc>
          <w:tcPr>
            <w:tcW w:w="0" w:type="dxa"/>
            <w:vAlign w:val="bottom"/>
          </w:tcPr>
          <w:p>
            <w:pPr>
              <w:spacing w:after="0"/>
              <w:rPr>
                <w:sz w:val="1"/>
                <w:szCs w:val="1"/>
                <w:color w:val="auto"/>
              </w:rPr>
            </w:pPr>
          </w:p>
        </w:tc>
      </w:tr>
      <w:tr>
        <w:trPr>
          <w:trHeight w:val="207"/>
        </w:trPr>
        <w:tc>
          <w:tcPr>
            <w:tcW w:w="3220" w:type="dxa"/>
            <w:vAlign w:val="bottom"/>
            <w:shd w:val="clear" w:color="auto" w:fill="D0EBF2"/>
          </w:tcPr>
          <w:p>
            <w:pPr>
              <w:spacing w:after="0" w:line="207" w:lineRule="exact"/>
              <w:rPr>
                <w:sz w:val="20"/>
                <w:szCs w:val="20"/>
                <w:color w:val="auto"/>
              </w:rPr>
            </w:pPr>
            <w:r>
              <w:rPr>
                <w:rFonts w:ascii="Times New Roman" w:cs="Times New Roman" w:eastAsia="Times New Roman" w:hAnsi="Times New Roman"/>
                <w:sz w:val="19"/>
                <w:szCs w:val="19"/>
                <w:color w:val="231F20"/>
              </w:rPr>
              <w:t>Interest expense</w:t>
            </w:r>
          </w:p>
        </w:tc>
        <w:tc>
          <w:tcPr>
            <w:tcW w:w="140" w:type="dxa"/>
            <w:vAlign w:val="bottom"/>
            <w:shd w:val="clear" w:color="auto" w:fill="D0EBF2"/>
          </w:tcPr>
          <w:p>
            <w:pPr>
              <w:spacing w:after="0"/>
              <w:rPr>
                <w:sz w:val="17"/>
                <w:szCs w:val="17"/>
                <w:color w:val="auto"/>
              </w:rPr>
            </w:pPr>
          </w:p>
        </w:tc>
        <w:tc>
          <w:tcPr>
            <w:tcW w:w="440" w:type="dxa"/>
            <w:vAlign w:val="bottom"/>
            <w:shd w:val="clear" w:color="auto" w:fill="D0EBF2"/>
          </w:tcPr>
          <w:p>
            <w:pPr>
              <w:jc w:val="right"/>
              <w:ind w:right="250"/>
              <w:spacing w:after="0" w:line="207" w:lineRule="exact"/>
              <w:rPr>
                <w:sz w:val="20"/>
                <w:szCs w:val="20"/>
                <w:color w:val="auto"/>
              </w:rPr>
            </w:pPr>
            <w:r>
              <w:rPr>
                <w:rFonts w:ascii="Times New Roman" w:cs="Times New Roman" w:eastAsia="Times New Roman" w:hAnsi="Times New Roman"/>
                <w:sz w:val="19"/>
                <w:szCs w:val="19"/>
                <w:color w:val="231F20"/>
                <w:w w:val="83"/>
              </w:rPr>
              <w:t>$</w:t>
            </w:r>
          </w:p>
        </w:tc>
        <w:tc>
          <w:tcPr>
            <w:tcW w:w="900" w:type="dxa"/>
            <w:vAlign w:val="bottom"/>
            <w:shd w:val="clear" w:color="auto" w:fill="D0EBF2"/>
          </w:tcPr>
          <w:p>
            <w:pPr>
              <w:jc w:val="right"/>
              <w:spacing w:after="0" w:line="207" w:lineRule="exact"/>
              <w:rPr>
                <w:sz w:val="20"/>
                <w:szCs w:val="20"/>
                <w:color w:val="auto"/>
              </w:rPr>
            </w:pPr>
            <w:r>
              <w:rPr>
                <w:rFonts w:ascii="Times New Roman" w:cs="Times New Roman" w:eastAsia="Times New Roman" w:hAnsi="Times New Roman"/>
                <w:sz w:val="19"/>
                <w:szCs w:val="19"/>
                <w:color w:val="231F20"/>
              </w:rPr>
              <w:t>105.2</w:t>
            </w:r>
          </w:p>
        </w:tc>
        <w:tc>
          <w:tcPr>
            <w:tcW w:w="240" w:type="dxa"/>
            <w:vAlign w:val="bottom"/>
            <w:shd w:val="clear" w:color="auto" w:fill="D0EBF2"/>
          </w:tcPr>
          <w:p>
            <w:pPr>
              <w:spacing w:after="0"/>
              <w:rPr>
                <w:sz w:val="17"/>
                <w:szCs w:val="17"/>
                <w:color w:val="auto"/>
              </w:rPr>
            </w:pPr>
          </w:p>
        </w:tc>
        <w:tc>
          <w:tcPr>
            <w:tcW w:w="100" w:type="dxa"/>
            <w:vAlign w:val="bottom"/>
            <w:shd w:val="clear" w:color="auto" w:fill="D0EBF2"/>
          </w:tcPr>
          <w:p>
            <w:pPr>
              <w:spacing w:after="0"/>
              <w:rPr>
                <w:sz w:val="17"/>
                <w:szCs w:val="17"/>
                <w:color w:val="auto"/>
              </w:rPr>
            </w:pPr>
          </w:p>
        </w:tc>
        <w:tc>
          <w:tcPr>
            <w:tcW w:w="180" w:type="dxa"/>
            <w:vAlign w:val="bottom"/>
            <w:shd w:val="clear" w:color="auto" w:fill="D0EBF2"/>
          </w:tcPr>
          <w:p>
            <w:pPr>
              <w:jc w:val="right"/>
              <w:spacing w:after="0" w:line="207" w:lineRule="exact"/>
              <w:rPr>
                <w:sz w:val="20"/>
                <w:szCs w:val="20"/>
                <w:color w:val="auto"/>
              </w:rPr>
            </w:pPr>
            <w:r>
              <w:rPr>
                <w:rFonts w:ascii="Times New Roman" w:cs="Times New Roman" w:eastAsia="Times New Roman" w:hAnsi="Times New Roman"/>
                <w:sz w:val="19"/>
                <w:szCs w:val="19"/>
                <w:color w:val="231F20"/>
                <w:w w:val="83"/>
              </w:rPr>
              <w:t>$</w:t>
            </w:r>
          </w:p>
        </w:tc>
        <w:tc>
          <w:tcPr>
            <w:tcW w:w="1120" w:type="dxa"/>
            <w:vAlign w:val="bottom"/>
            <w:shd w:val="clear" w:color="auto" w:fill="D0EBF2"/>
          </w:tcPr>
          <w:p>
            <w:pPr>
              <w:jc w:val="right"/>
              <w:spacing w:after="0" w:line="207" w:lineRule="exact"/>
              <w:rPr>
                <w:sz w:val="20"/>
                <w:szCs w:val="20"/>
                <w:color w:val="auto"/>
              </w:rPr>
            </w:pPr>
            <w:r>
              <w:rPr>
                <w:rFonts w:ascii="Times New Roman" w:cs="Times New Roman" w:eastAsia="Times New Roman" w:hAnsi="Times New Roman"/>
                <w:sz w:val="19"/>
                <w:szCs w:val="19"/>
                <w:color w:val="231F20"/>
              </w:rPr>
              <w:t>95.5</w:t>
            </w:r>
          </w:p>
        </w:tc>
        <w:tc>
          <w:tcPr>
            <w:tcW w:w="200" w:type="dxa"/>
            <w:vAlign w:val="bottom"/>
            <w:shd w:val="clear" w:color="auto" w:fill="D0EBF2"/>
          </w:tcPr>
          <w:p>
            <w:pPr>
              <w:spacing w:after="0"/>
              <w:rPr>
                <w:sz w:val="17"/>
                <w:szCs w:val="17"/>
                <w:color w:val="auto"/>
              </w:rPr>
            </w:pPr>
          </w:p>
        </w:tc>
        <w:tc>
          <w:tcPr>
            <w:tcW w:w="160" w:type="dxa"/>
            <w:vAlign w:val="bottom"/>
            <w:shd w:val="clear" w:color="auto" w:fill="D0EBF2"/>
          </w:tcPr>
          <w:p>
            <w:pPr>
              <w:spacing w:after="0"/>
              <w:rPr>
                <w:sz w:val="17"/>
                <w:szCs w:val="17"/>
                <w:color w:val="auto"/>
              </w:rPr>
            </w:pPr>
          </w:p>
        </w:tc>
        <w:tc>
          <w:tcPr>
            <w:tcW w:w="400" w:type="dxa"/>
            <w:vAlign w:val="bottom"/>
            <w:shd w:val="clear" w:color="auto" w:fill="D0EBF2"/>
          </w:tcPr>
          <w:p>
            <w:pPr>
              <w:jc w:val="right"/>
              <w:ind w:right="238"/>
              <w:spacing w:after="0"/>
              <w:rPr>
                <w:sz w:val="20"/>
                <w:szCs w:val="20"/>
                <w:color w:val="auto"/>
              </w:rPr>
            </w:pPr>
            <w:r>
              <w:rPr>
                <w:rFonts w:ascii="Times New Roman" w:cs="Times New Roman" w:eastAsia="Times New Roman" w:hAnsi="Times New Roman"/>
                <w:sz w:val="17"/>
                <w:szCs w:val="17"/>
                <w:color w:val="231F20"/>
                <w:w w:val="70"/>
              </w:rPr>
              <w:t>$</w:t>
            </w:r>
          </w:p>
        </w:tc>
        <w:tc>
          <w:tcPr>
            <w:tcW w:w="900" w:type="dxa"/>
            <w:vAlign w:val="bottom"/>
            <w:shd w:val="clear" w:color="auto" w:fill="D0EBF2"/>
          </w:tcPr>
          <w:p>
            <w:pPr>
              <w:jc w:val="right"/>
              <w:spacing w:after="0" w:line="207" w:lineRule="exact"/>
              <w:rPr>
                <w:sz w:val="20"/>
                <w:szCs w:val="20"/>
                <w:color w:val="auto"/>
              </w:rPr>
            </w:pPr>
            <w:r>
              <w:rPr>
                <w:rFonts w:ascii="Times New Roman" w:cs="Times New Roman" w:eastAsia="Times New Roman" w:hAnsi="Times New Roman"/>
                <w:sz w:val="19"/>
                <w:szCs w:val="19"/>
                <w:color w:val="231F20"/>
              </w:rPr>
              <w:t>49.9</w:t>
            </w:r>
          </w:p>
        </w:tc>
        <w:tc>
          <w:tcPr>
            <w:tcW w:w="160" w:type="dxa"/>
            <w:vAlign w:val="bottom"/>
            <w:shd w:val="clear" w:color="auto" w:fill="D0EBF2"/>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3220" w:type="dxa"/>
            <w:vAlign w:val="bottom"/>
            <w:shd w:val="clear" w:color="auto" w:fill="FDFDFC"/>
          </w:tcPr>
          <w:p>
            <w:pPr>
              <w:spacing w:after="0" w:line="217" w:lineRule="exact"/>
              <w:rPr>
                <w:sz w:val="20"/>
                <w:szCs w:val="20"/>
                <w:color w:val="auto"/>
              </w:rPr>
            </w:pPr>
            <w:r>
              <w:rPr>
                <w:rFonts w:ascii="Times New Roman" w:cs="Times New Roman" w:eastAsia="Times New Roman" w:hAnsi="Times New Roman"/>
                <w:sz w:val="19"/>
                <w:szCs w:val="19"/>
                <w:color w:val="231F20"/>
              </w:rPr>
              <w:t>Commitment fees</w:t>
            </w:r>
          </w:p>
        </w:tc>
        <w:tc>
          <w:tcPr>
            <w:tcW w:w="140" w:type="dxa"/>
            <w:vAlign w:val="bottom"/>
            <w:shd w:val="clear" w:color="auto" w:fill="FDFDFC"/>
          </w:tcPr>
          <w:p>
            <w:pPr>
              <w:spacing w:after="0"/>
              <w:rPr>
                <w:sz w:val="18"/>
                <w:szCs w:val="18"/>
                <w:color w:val="auto"/>
              </w:rPr>
            </w:pPr>
          </w:p>
        </w:tc>
        <w:tc>
          <w:tcPr>
            <w:tcW w:w="440" w:type="dxa"/>
            <w:vAlign w:val="bottom"/>
            <w:shd w:val="clear" w:color="auto" w:fill="FDFDFC"/>
          </w:tcPr>
          <w:p>
            <w:pPr>
              <w:spacing w:after="0"/>
              <w:rPr>
                <w:sz w:val="18"/>
                <w:szCs w:val="18"/>
                <w:color w:val="auto"/>
              </w:rPr>
            </w:pPr>
          </w:p>
        </w:tc>
        <w:tc>
          <w:tcPr>
            <w:tcW w:w="900" w:type="dxa"/>
            <w:vAlign w:val="bottom"/>
            <w:shd w:val="clear" w:color="auto" w:fill="FDFDFC"/>
          </w:tcPr>
          <w:p>
            <w:pPr>
              <w:jc w:val="right"/>
              <w:spacing w:after="0" w:line="217" w:lineRule="exact"/>
              <w:rPr>
                <w:sz w:val="20"/>
                <w:szCs w:val="20"/>
                <w:color w:val="auto"/>
              </w:rPr>
            </w:pPr>
            <w:r>
              <w:rPr>
                <w:rFonts w:ascii="Times New Roman" w:cs="Times New Roman" w:eastAsia="Times New Roman" w:hAnsi="Times New Roman"/>
                <w:sz w:val="19"/>
                <w:szCs w:val="19"/>
                <w:color w:val="231F20"/>
              </w:rPr>
              <w:t>4.0</w:t>
            </w:r>
          </w:p>
        </w:tc>
        <w:tc>
          <w:tcPr>
            <w:tcW w:w="240" w:type="dxa"/>
            <w:vAlign w:val="bottom"/>
            <w:shd w:val="clear" w:color="auto" w:fill="FDFDFC"/>
          </w:tcPr>
          <w:p>
            <w:pPr>
              <w:spacing w:after="0"/>
              <w:rPr>
                <w:sz w:val="18"/>
                <w:szCs w:val="18"/>
                <w:color w:val="auto"/>
              </w:rPr>
            </w:pPr>
          </w:p>
        </w:tc>
        <w:tc>
          <w:tcPr>
            <w:tcW w:w="100" w:type="dxa"/>
            <w:vAlign w:val="bottom"/>
            <w:shd w:val="clear" w:color="auto" w:fill="FDFDFC"/>
          </w:tcPr>
          <w:p>
            <w:pPr>
              <w:spacing w:after="0"/>
              <w:rPr>
                <w:sz w:val="18"/>
                <w:szCs w:val="18"/>
                <w:color w:val="auto"/>
              </w:rPr>
            </w:pPr>
          </w:p>
        </w:tc>
        <w:tc>
          <w:tcPr>
            <w:tcW w:w="180" w:type="dxa"/>
            <w:vAlign w:val="bottom"/>
            <w:shd w:val="clear" w:color="auto" w:fill="FDFDFC"/>
          </w:tcPr>
          <w:p>
            <w:pPr>
              <w:spacing w:after="0"/>
              <w:rPr>
                <w:sz w:val="18"/>
                <w:szCs w:val="18"/>
                <w:color w:val="auto"/>
              </w:rPr>
            </w:pPr>
          </w:p>
        </w:tc>
        <w:tc>
          <w:tcPr>
            <w:tcW w:w="1120" w:type="dxa"/>
            <w:vAlign w:val="bottom"/>
            <w:shd w:val="clear" w:color="auto" w:fill="FDFDFC"/>
          </w:tcPr>
          <w:p>
            <w:pPr>
              <w:jc w:val="right"/>
              <w:spacing w:after="0" w:line="217" w:lineRule="exact"/>
              <w:rPr>
                <w:sz w:val="20"/>
                <w:szCs w:val="20"/>
                <w:color w:val="auto"/>
              </w:rPr>
            </w:pPr>
            <w:r>
              <w:rPr>
                <w:rFonts w:ascii="Times New Roman" w:cs="Times New Roman" w:eastAsia="Times New Roman" w:hAnsi="Times New Roman"/>
                <w:sz w:val="19"/>
                <w:szCs w:val="19"/>
                <w:color w:val="231F20"/>
              </w:rPr>
              <w:t>2.9</w:t>
            </w:r>
          </w:p>
        </w:tc>
        <w:tc>
          <w:tcPr>
            <w:tcW w:w="200" w:type="dxa"/>
            <w:vAlign w:val="bottom"/>
            <w:shd w:val="clear" w:color="auto" w:fill="FDFDFC"/>
          </w:tcPr>
          <w:p>
            <w:pPr>
              <w:spacing w:after="0"/>
              <w:rPr>
                <w:sz w:val="18"/>
                <w:szCs w:val="18"/>
                <w:color w:val="auto"/>
              </w:rPr>
            </w:pPr>
          </w:p>
        </w:tc>
        <w:tc>
          <w:tcPr>
            <w:tcW w:w="160" w:type="dxa"/>
            <w:vAlign w:val="bottom"/>
            <w:shd w:val="clear" w:color="auto" w:fill="FDFDFC"/>
          </w:tcPr>
          <w:p>
            <w:pPr>
              <w:spacing w:after="0"/>
              <w:rPr>
                <w:sz w:val="18"/>
                <w:szCs w:val="18"/>
                <w:color w:val="auto"/>
              </w:rPr>
            </w:pPr>
          </w:p>
        </w:tc>
        <w:tc>
          <w:tcPr>
            <w:tcW w:w="400" w:type="dxa"/>
            <w:vAlign w:val="bottom"/>
            <w:shd w:val="clear" w:color="auto" w:fill="FDFDFC"/>
          </w:tcPr>
          <w:p>
            <w:pPr>
              <w:spacing w:after="0"/>
              <w:rPr>
                <w:sz w:val="18"/>
                <w:szCs w:val="18"/>
                <w:color w:val="auto"/>
              </w:rPr>
            </w:pPr>
          </w:p>
        </w:tc>
        <w:tc>
          <w:tcPr>
            <w:tcW w:w="900" w:type="dxa"/>
            <w:vAlign w:val="bottom"/>
            <w:shd w:val="clear" w:color="auto" w:fill="FDFDFC"/>
          </w:tcPr>
          <w:p>
            <w:pPr>
              <w:jc w:val="right"/>
              <w:spacing w:after="0" w:line="217" w:lineRule="exact"/>
              <w:rPr>
                <w:sz w:val="20"/>
                <w:szCs w:val="20"/>
                <w:color w:val="auto"/>
              </w:rPr>
            </w:pPr>
            <w:r>
              <w:rPr>
                <w:rFonts w:ascii="Times New Roman" w:cs="Times New Roman" w:eastAsia="Times New Roman" w:hAnsi="Times New Roman"/>
                <w:sz w:val="19"/>
                <w:szCs w:val="19"/>
                <w:color w:val="231F20"/>
              </w:rPr>
              <w:t>4.1</w:t>
            </w:r>
          </w:p>
        </w:tc>
        <w:tc>
          <w:tcPr>
            <w:tcW w:w="160" w:type="dxa"/>
            <w:vAlign w:val="bottom"/>
            <w:shd w:val="clear" w:color="auto" w:fill="FDFDFC"/>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3220" w:type="dxa"/>
            <w:vAlign w:val="bottom"/>
            <w:shd w:val="clear" w:color="auto" w:fill="D0EBF2"/>
          </w:tcPr>
          <w:p>
            <w:pPr>
              <w:spacing w:after="0" w:line="217" w:lineRule="exact"/>
              <w:rPr>
                <w:sz w:val="20"/>
                <w:szCs w:val="20"/>
                <w:color w:val="auto"/>
              </w:rPr>
            </w:pPr>
            <w:r>
              <w:rPr>
                <w:rFonts w:ascii="Times New Roman" w:cs="Times New Roman" w:eastAsia="Times New Roman" w:hAnsi="Times New Roman"/>
                <w:sz w:val="19"/>
                <w:szCs w:val="19"/>
                <w:color w:val="231F20"/>
              </w:rPr>
              <w:t>Amortization of deferred financing costs</w:t>
            </w:r>
          </w:p>
        </w:tc>
        <w:tc>
          <w:tcPr>
            <w:tcW w:w="140" w:type="dxa"/>
            <w:vAlign w:val="bottom"/>
            <w:shd w:val="clear" w:color="auto" w:fill="D0EBF2"/>
          </w:tcPr>
          <w:p>
            <w:pPr>
              <w:spacing w:after="0"/>
              <w:rPr>
                <w:sz w:val="18"/>
                <w:szCs w:val="18"/>
                <w:color w:val="auto"/>
              </w:rPr>
            </w:pPr>
          </w:p>
        </w:tc>
        <w:tc>
          <w:tcPr>
            <w:tcW w:w="440" w:type="dxa"/>
            <w:vAlign w:val="bottom"/>
            <w:shd w:val="clear" w:color="auto" w:fill="D0EBF2"/>
          </w:tcPr>
          <w:p>
            <w:pPr>
              <w:spacing w:after="0"/>
              <w:rPr>
                <w:sz w:val="18"/>
                <w:szCs w:val="18"/>
                <w:color w:val="auto"/>
              </w:rPr>
            </w:pPr>
          </w:p>
        </w:tc>
        <w:tc>
          <w:tcPr>
            <w:tcW w:w="900" w:type="dxa"/>
            <w:vAlign w:val="bottom"/>
            <w:shd w:val="clear" w:color="auto" w:fill="D0EBF2"/>
          </w:tcPr>
          <w:p>
            <w:pPr>
              <w:jc w:val="right"/>
              <w:spacing w:after="0" w:line="217" w:lineRule="exact"/>
              <w:rPr>
                <w:sz w:val="20"/>
                <w:szCs w:val="20"/>
                <w:color w:val="auto"/>
              </w:rPr>
            </w:pPr>
            <w:r>
              <w:rPr>
                <w:rFonts w:ascii="Times New Roman" w:cs="Times New Roman" w:eastAsia="Times New Roman" w:hAnsi="Times New Roman"/>
                <w:sz w:val="19"/>
                <w:szCs w:val="19"/>
                <w:color w:val="231F20"/>
              </w:rPr>
              <w:t>6.9</w:t>
            </w:r>
          </w:p>
        </w:tc>
        <w:tc>
          <w:tcPr>
            <w:tcW w:w="240" w:type="dxa"/>
            <w:vAlign w:val="bottom"/>
            <w:shd w:val="clear" w:color="auto" w:fill="D0EBF2"/>
          </w:tcPr>
          <w:p>
            <w:pPr>
              <w:spacing w:after="0"/>
              <w:rPr>
                <w:sz w:val="18"/>
                <w:szCs w:val="18"/>
                <w:color w:val="auto"/>
              </w:rPr>
            </w:pPr>
          </w:p>
        </w:tc>
        <w:tc>
          <w:tcPr>
            <w:tcW w:w="100" w:type="dxa"/>
            <w:vAlign w:val="bottom"/>
            <w:shd w:val="clear" w:color="auto" w:fill="D0EBF2"/>
          </w:tcPr>
          <w:p>
            <w:pPr>
              <w:spacing w:after="0"/>
              <w:rPr>
                <w:sz w:val="18"/>
                <w:szCs w:val="18"/>
                <w:color w:val="auto"/>
              </w:rPr>
            </w:pPr>
          </w:p>
        </w:tc>
        <w:tc>
          <w:tcPr>
            <w:tcW w:w="180" w:type="dxa"/>
            <w:vAlign w:val="bottom"/>
            <w:shd w:val="clear" w:color="auto" w:fill="D0EBF2"/>
          </w:tcPr>
          <w:p>
            <w:pPr>
              <w:spacing w:after="0"/>
              <w:rPr>
                <w:sz w:val="18"/>
                <w:szCs w:val="18"/>
                <w:color w:val="auto"/>
              </w:rPr>
            </w:pPr>
          </w:p>
        </w:tc>
        <w:tc>
          <w:tcPr>
            <w:tcW w:w="1120" w:type="dxa"/>
            <w:vAlign w:val="bottom"/>
            <w:shd w:val="clear" w:color="auto" w:fill="D0EBF2"/>
          </w:tcPr>
          <w:p>
            <w:pPr>
              <w:jc w:val="right"/>
              <w:spacing w:after="0" w:line="217" w:lineRule="exact"/>
              <w:rPr>
                <w:sz w:val="20"/>
                <w:szCs w:val="20"/>
                <w:color w:val="auto"/>
              </w:rPr>
            </w:pPr>
            <w:r>
              <w:rPr>
                <w:rFonts w:ascii="Times New Roman" w:cs="Times New Roman" w:eastAsia="Times New Roman" w:hAnsi="Times New Roman"/>
                <w:sz w:val="19"/>
                <w:szCs w:val="19"/>
                <w:color w:val="231F20"/>
              </w:rPr>
              <w:t>5.2</w:t>
            </w:r>
          </w:p>
        </w:tc>
        <w:tc>
          <w:tcPr>
            <w:tcW w:w="200" w:type="dxa"/>
            <w:vAlign w:val="bottom"/>
            <w:shd w:val="clear" w:color="auto" w:fill="D0EBF2"/>
          </w:tcPr>
          <w:p>
            <w:pPr>
              <w:spacing w:after="0"/>
              <w:rPr>
                <w:sz w:val="18"/>
                <w:szCs w:val="18"/>
                <w:color w:val="auto"/>
              </w:rPr>
            </w:pPr>
          </w:p>
        </w:tc>
        <w:tc>
          <w:tcPr>
            <w:tcW w:w="160" w:type="dxa"/>
            <w:vAlign w:val="bottom"/>
            <w:shd w:val="clear" w:color="auto" w:fill="D0EBF2"/>
          </w:tcPr>
          <w:p>
            <w:pPr>
              <w:spacing w:after="0"/>
              <w:rPr>
                <w:sz w:val="18"/>
                <w:szCs w:val="18"/>
                <w:color w:val="auto"/>
              </w:rPr>
            </w:pPr>
          </w:p>
        </w:tc>
        <w:tc>
          <w:tcPr>
            <w:tcW w:w="400" w:type="dxa"/>
            <w:vAlign w:val="bottom"/>
            <w:shd w:val="clear" w:color="auto" w:fill="D0EBF2"/>
          </w:tcPr>
          <w:p>
            <w:pPr>
              <w:spacing w:after="0"/>
              <w:rPr>
                <w:sz w:val="18"/>
                <w:szCs w:val="18"/>
                <w:color w:val="auto"/>
              </w:rPr>
            </w:pPr>
          </w:p>
        </w:tc>
        <w:tc>
          <w:tcPr>
            <w:tcW w:w="900" w:type="dxa"/>
            <w:vAlign w:val="bottom"/>
            <w:shd w:val="clear" w:color="auto" w:fill="D0EBF2"/>
          </w:tcPr>
          <w:p>
            <w:pPr>
              <w:jc w:val="right"/>
              <w:spacing w:after="0" w:line="217" w:lineRule="exact"/>
              <w:rPr>
                <w:sz w:val="20"/>
                <w:szCs w:val="20"/>
                <w:color w:val="auto"/>
              </w:rPr>
            </w:pPr>
            <w:r>
              <w:rPr>
                <w:rFonts w:ascii="Times New Roman" w:cs="Times New Roman" w:eastAsia="Times New Roman" w:hAnsi="Times New Roman"/>
                <w:sz w:val="19"/>
                <w:szCs w:val="19"/>
                <w:color w:val="231F20"/>
              </w:rPr>
              <w:t>5.7</w:t>
            </w:r>
          </w:p>
        </w:tc>
        <w:tc>
          <w:tcPr>
            <w:tcW w:w="160" w:type="dxa"/>
            <w:vAlign w:val="bottom"/>
            <w:shd w:val="clear" w:color="auto" w:fill="D0EBF2"/>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3220" w:type="dxa"/>
            <w:vAlign w:val="bottom"/>
            <w:shd w:val="clear" w:color="auto" w:fill="FDFDFC"/>
          </w:tcPr>
          <w:p>
            <w:pPr>
              <w:spacing w:after="0" w:line="217" w:lineRule="exact"/>
              <w:rPr>
                <w:sz w:val="20"/>
                <w:szCs w:val="20"/>
                <w:color w:val="auto"/>
              </w:rPr>
            </w:pPr>
            <w:r>
              <w:rPr>
                <w:rFonts w:ascii="Times New Roman" w:cs="Times New Roman" w:eastAsia="Times New Roman" w:hAnsi="Times New Roman"/>
                <w:sz w:val="19"/>
                <w:szCs w:val="19"/>
                <w:color w:val="231F20"/>
              </w:rPr>
              <w:t>Accretion of original issue discount</w:t>
            </w:r>
          </w:p>
        </w:tc>
        <w:tc>
          <w:tcPr>
            <w:tcW w:w="140" w:type="dxa"/>
            <w:vAlign w:val="bottom"/>
            <w:shd w:val="clear" w:color="auto" w:fill="FDFDFC"/>
          </w:tcPr>
          <w:p>
            <w:pPr>
              <w:spacing w:after="0"/>
              <w:rPr>
                <w:sz w:val="18"/>
                <w:szCs w:val="18"/>
                <w:color w:val="auto"/>
              </w:rPr>
            </w:pPr>
          </w:p>
        </w:tc>
        <w:tc>
          <w:tcPr>
            <w:tcW w:w="440" w:type="dxa"/>
            <w:vAlign w:val="bottom"/>
            <w:shd w:val="clear" w:color="auto" w:fill="FDFDFC"/>
          </w:tcPr>
          <w:p>
            <w:pPr>
              <w:spacing w:after="0"/>
              <w:rPr>
                <w:sz w:val="18"/>
                <w:szCs w:val="18"/>
                <w:color w:val="auto"/>
              </w:rPr>
            </w:pPr>
          </w:p>
        </w:tc>
        <w:tc>
          <w:tcPr>
            <w:tcW w:w="900" w:type="dxa"/>
            <w:vAlign w:val="bottom"/>
            <w:shd w:val="clear" w:color="auto" w:fill="FDFDFC"/>
          </w:tcPr>
          <w:p>
            <w:pPr>
              <w:jc w:val="right"/>
              <w:spacing w:after="0" w:line="217" w:lineRule="exact"/>
              <w:rPr>
                <w:sz w:val="20"/>
                <w:szCs w:val="20"/>
                <w:color w:val="auto"/>
              </w:rPr>
            </w:pPr>
            <w:r>
              <w:rPr>
                <w:rFonts w:ascii="Times New Roman" w:cs="Times New Roman" w:eastAsia="Times New Roman" w:hAnsi="Times New Roman"/>
                <w:sz w:val="19"/>
                <w:szCs w:val="19"/>
                <w:color w:val="231F20"/>
              </w:rPr>
              <w:t>1.6</w:t>
            </w:r>
          </w:p>
        </w:tc>
        <w:tc>
          <w:tcPr>
            <w:tcW w:w="240" w:type="dxa"/>
            <w:vAlign w:val="bottom"/>
            <w:shd w:val="clear" w:color="auto" w:fill="FDFDFC"/>
          </w:tcPr>
          <w:p>
            <w:pPr>
              <w:spacing w:after="0"/>
              <w:rPr>
                <w:sz w:val="18"/>
                <w:szCs w:val="18"/>
                <w:color w:val="auto"/>
              </w:rPr>
            </w:pPr>
          </w:p>
        </w:tc>
        <w:tc>
          <w:tcPr>
            <w:tcW w:w="100" w:type="dxa"/>
            <w:vAlign w:val="bottom"/>
            <w:shd w:val="clear" w:color="auto" w:fill="FDFDFC"/>
          </w:tcPr>
          <w:p>
            <w:pPr>
              <w:spacing w:after="0"/>
              <w:rPr>
                <w:sz w:val="18"/>
                <w:szCs w:val="18"/>
                <w:color w:val="auto"/>
              </w:rPr>
            </w:pPr>
          </w:p>
        </w:tc>
        <w:tc>
          <w:tcPr>
            <w:tcW w:w="180" w:type="dxa"/>
            <w:vAlign w:val="bottom"/>
            <w:shd w:val="clear" w:color="auto" w:fill="FDFDFC"/>
          </w:tcPr>
          <w:p>
            <w:pPr>
              <w:spacing w:after="0"/>
              <w:rPr>
                <w:sz w:val="18"/>
                <w:szCs w:val="18"/>
                <w:color w:val="auto"/>
              </w:rPr>
            </w:pPr>
          </w:p>
        </w:tc>
        <w:tc>
          <w:tcPr>
            <w:tcW w:w="1120" w:type="dxa"/>
            <w:vAlign w:val="bottom"/>
            <w:shd w:val="clear" w:color="auto" w:fill="FDFDFC"/>
          </w:tcPr>
          <w:p>
            <w:pPr>
              <w:jc w:val="right"/>
              <w:spacing w:after="0" w:line="217" w:lineRule="exact"/>
              <w:rPr>
                <w:sz w:val="20"/>
                <w:szCs w:val="20"/>
                <w:color w:val="auto"/>
              </w:rPr>
            </w:pPr>
            <w:r>
              <w:rPr>
                <w:rFonts w:ascii="Times New Roman" w:cs="Times New Roman" w:eastAsia="Times New Roman" w:hAnsi="Times New Roman"/>
                <w:sz w:val="19"/>
                <w:szCs w:val="19"/>
                <w:color w:val="231F20"/>
              </w:rPr>
              <w:t>0.9</w:t>
            </w:r>
          </w:p>
        </w:tc>
        <w:tc>
          <w:tcPr>
            <w:tcW w:w="200" w:type="dxa"/>
            <w:vAlign w:val="bottom"/>
            <w:shd w:val="clear" w:color="auto" w:fill="FDFDFC"/>
          </w:tcPr>
          <w:p>
            <w:pPr>
              <w:spacing w:after="0"/>
              <w:rPr>
                <w:sz w:val="18"/>
                <w:szCs w:val="18"/>
                <w:color w:val="auto"/>
              </w:rPr>
            </w:pPr>
          </w:p>
        </w:tc>
        <w:tc>
          <w:tcPr>
            <w:tcW w:w="160" w:type="dxa"/>
            <w:vAlign w:val="bottom"/>
            <w:shd w:val="clear" w:color="auto" w:fill="FDFDFC"/>
          </w:tcPr>
          <w:p>
            <w:pPr>
              <w:spacing w:after="0"/>
              <w:rPr>
                <w:sz w:val="18"/>
                <w:szCs w:val="18"/>
                <w:color w:val="auto"/>
              </w:rPr>
            </w:pPr>
          </w:p>
        </w:tc>
        <w:tc>
          <w:tcPr>
            <w:tcW w:w="400" w:type="dxa"/>
            <w:vAlign w:val="bottom"/>
            <w:shd w:val="clear" w:color="auto" w:fill="FDFDFC"/>
          </w:tcPr>
          <w:p>
            <w:pPr>
              <w:spacing w:after="0"/>
              <w:rPr>
                <w:sz w:val="18"/>
                <w:szCs w:val="18"/>
                <w:color w:val="auto"/>
              </w:rPr>
            </w:pPr>
          </w:p>
        </w:tc>
        <w:tc>
          <w:tcPr>
            <w:tcW w:w="900" w:type="dxa"/>
            <w:vAlign w:val="bottom"/>
            <w:shd w:val="clear" w:color="auto" w:fill="FDFDFC"/>
          </w:tcPr>
          <w:p>
            <w:pPr>
              <w:jc w:val="right"/>
              <w:spacing w:after="0" w:line="217" w:lineRule="exact"/>
              <w:rPr>
                <w:sz w:val="20"/>
                <w:szCs w:val="20"/>
                <w:color w:val="auto"/>
              </w:rPr>
            </w:pPr>
            <w:r>
              <w:rPr>
                <w:rFonts w:ascii="Times New Roman" w:cs="Times New Roman" w:eastAsia="Times New Roman" w:hAnsi="Times New Roman"/>
                <w:sz w:val="19"/>
                <w:szCs w:val="19"/>
                <w:color w:val="231F20"/>
              </w:rPr>
              <w:t>0.8</w:t>
            </w:r>
          </w:p>
        </w:tc>
        <w:tc>
          <w:tcPr>
            <w:tcW w:w="160" w:type="dxa"/>
            <w:vAlign w:val="bottom"/>
            <w:shd w:val="clear" w:color="auto" w:fill="FDFDFC"/>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3220" w:type="dxa"/>
            <w:vAlign w:val="bottom"/>
            <w:tcBorders>
              <w:bottom w:val="single" w:sz="8" w:color="FDFDFC"/>
            </w:tcBorders>
            <w:shd w:val="clear" w:color="auto" w:fill="D0EBF2"/>
          </w:tcPr>
          <w:p>
            <w:pPr>
              <w:spacing w:after="0" w:line="217" w:lineRule="exact"/>
              <w:rPr>
                <w:sz w:val="20"/>
                <w:szCs w:val="20"/>
                <w:color w:val="auto"/>
              </w:rPr>
            </w:pPr>
            <w:r>
              <w:rPr>
                <w:rFonts w:ascii="Times New Roman" w:cs="Times New Roman" w:eastAsia="Times New Roman" w:hAnsi="Times New Roman"/>
                <w:sz w:val="19"/>
                <w:szCs w:val="19"/>
                <w:color w:val="231F20"/>
              </w:rPr>
              <w:t>Swap settlement</w:t>
            </w:r>
          </w:p>
        </w:tc>
        <w:tc>
          <w:tcPr>
            <w:tcW w:w="140" w:type="dxa"/>
            <w:vAlign w:val="bottom"/>
            <w:tcBorders>
              <w:bottom w:val="single" w:sz="8" w:color="FDFDFC"/>
            </w:tcBorders>
            <w:shd w:val="clear" w:color="auto" w:fill="D0EBF2"/>
          </w:tcPr>
          <w:p>
            <w:pPr>
              <w:spacing w:after="0"/>
              <w:rPr>
                <w:sz w:val="18"/>
                <w:szCs w:val="18"/>
                <w:color w:val="auto"/>
              </w:rPr>
            </w:pPr>
          </w:p>
        </w:tc>
        <w:tc>
          <w:tcPr>
            <w:tcW w:w="440" w:type="dxa"/>
            <w:vAlign w:val="bottom"/>
            <w:tcBorders>
              <w:bottom w:val="single" w:sz="8" w:color="231F20"/>
            </w:tcBorders>
            <w:shd w:val="clear" w:color="auto" w:fill="D0EBF2"/>
          </w:tcPr>
          <w:p>
            <w:pPr>
              <w:spacing w:after="0"/>
              <w:rPr>
                <w:sz w:val="18"/>
                <w:szCs w:val="18"/>
                <w:color w:val="auto"/>
              </w:rPr>
            </w:pPr>
          </w:p>
        </w:tc>
        <w:tc>
          <w:tcPr>
            <w:tcW w:w="900" w:type="dxa"/>
            <w:vAlign w:val="bottom"/>
            <w:tcBorders>
              <w:bottom w:val="single" w:sz="8" w:color="231F20"/>
            </w:tcBorders>
            <w:shd w:val="clear" w:color="auto" w:fill="D0EBF2"/>
          </w:tcPr>
          <w:p>
            <w:pPr>
              <w:jc w:val="right"/>
              <w:spacing w:after="0" w:line="217" w:lineRule="exact"/>
              <w:rPr>
                <w:sz w:val="20"/>
                <w:szCs w:val="20"/>
                <w:color w:val="auto"/>
              </w:rPr>
            </w:pPr>
            <w:r>
              <w:rPr>
                <w:rFonts w:ascii="Times New Roman" w:cs="Times New Roman" w:eastAsia="Times New Roman" w:hAnsi="Times New Roman"/>
                <w:sz w:val="19"/>
                <w:szCs w:val="19"/>
                <w:color w:val="231F20"/>
              </w:rPr>
              <w:t>36.5</w:t>
            </w:r>
          </w:p>
        </w:tc>
        <w:tc>
          <w:tcPr>
            <w:tcW w:w="240" w:type="dxa"/>
            <w:vAlign w:val="bottom"/>
            <w:tcBorders>
              <w:bottom w:val="single" w:sz="8" w:color="FDFDFC"/>
            </w:tcBorders>
            <w:shd w:val="clear" w:color="auto" w:fill="D0EBF2"/>
          </w:tcPr>
          <w:p>
            <w:pPr>
              <w:spacing w:after="0"/>
              <w:rPr>
                <w:sz w:val="18"/>
                <w:szCs w:val="18"/>
                <w:color w:val="auto"/>
              </w:rPr>
            </w:pPr>
          </w:p>
        </w:tc>
        <w:tc>
          <w:tcPr>
            <w:tcW w:w="100" w:type="dxa"/>
            <w:vAlign w:val="bottom"/>
            <w:tcBorders>
              <w:bottom w:val="single" w:sz="8" w:color="FDFDFC"/>
            </w:tcBorders>
            <w:shd w:val="clear" w:color="auto" w:fill="D0EBF2"/>
          </w:tcPr>
          <w:p>
            <w:pPr>
              <w:spacing w:after="0"/>
              <w:rPr>
                <w:sz w:val="18"/>
                <w:szCs w:val="18"/>
                <w:color w:val="auto"/>
              </w:rPr>
            </w:pPr>
          </w:p>
        </w:tc>
        <w:tc>
          <w:tcPr>
            <w:tcW w:w="180" w:type="dxa"/>
            <w:vAlign w:val="bottom"/>
            <w:tcBorders>
              <w:bottom w:val="single" w:sz="8" w:color="231F20"/>
            </w:tcBorders>
            <w:shd w:val="clear" w:color="auto" w:fill="D0EBF2"/>
          </w:tcPr>
          <w:p>
            <w:pPr>
              <w:spacing w:after="0"/>
              <w:rPr>
                <w:sz w:val="18"/>
                <w:szCs w:val="18"/>
                <w:color w:val="auto"/>
              </w:rPr>
            </w:pPr>
          </w:p>
        </w:tc>
        <w:tc>
          <w:tcPr>
            <w:tcW w:w="1120" w:type="dxa"/>
            <w:vAlign w:val="bottom"/>
            <w:tcBorders>
              <w:bottom w:val="single" w:sz="8" w:color="231F20"/>
            </w:tcBorders>
            <w:shd w:val="clear" w:color="auto" w:fill="D0EBF2"/>
          </w:tcPr>
          <w:p>
            <w:pPr>
              <w:jc w:val="right"/>
              <w:spacing w:after="0" w:line="217" w:lineRule="exact"/>
              <w:rPr>
                <w:sz w:val="20"/>
                <w:szCs w:val="20"/>
                <w:color w:val="auto"/>
              </w:rPr>
            </w:pPr>
            <w:r>
              <w:rPr>
                <w:rFonts w:ascii="Times New Roman" w:cs="Times New Roman" w:eastAsia="Times New Roman" w:hAnsi="Times New Roman"/>
                <w:sz w:val="19"/>
                <w:szCs w:val="19"/>
                <w:color w:val="231F20"/>
              </w:rPr>
              <w:t>29.2</w:t>
            </w:r>
          </w:p>
        </w:tc>
        <w:tc>
          <w:tcPr>
            <w:tcW w:w="200" w:type="dxa"/>
            <w:vAlign w:val="bottom"/>
            <w:tcBorders>
              <w:bottom w:val="single" w:sz="8" w:color="FDFDFC"/>
            </w:tcBorders>
            <w:shd w:val="clear" w:color="auto" w:fill="D0EBF2"/>
          </w:tcPr>
          <w:p>
            <w:pPr>
              <w:spacing w:after="0"/>
              <w:rPr>
                <w:sz w:val="18"/>
                <w:szCs w:val="18"/>
                <w:color w:val="auto"/>
              </w:rPr>
            </w:pPr>
          </w:p>
        </w:tc>
        <w:tc>
          <w:tcPr>
            <w:tcW w:w="160" w:type="dxa"/>
            <w:vAlign w:val="bottom"/>
            <w:tcBorders>
              <w:bottom w:val="single" w:sz="8" w:color="FDFDFC"/>
            </w:tcBorders>
            <w:shd w:val="clear" w:color="auto" w:fill="D0EBF2"/>
          </w:tcPr>
          <w:p>
            <w:pPr>
              <w:spacing w:after="0"/>
              <w:rPr>
                <w:sz w:val="18"/>
                <w:szCs w:val="18"/>
                <w:color w:val="auto"/>
              </w:rPr>
            </w:pPr>
          </w:p>
        </w:tc>
        <w:tc>
          <w:tcPr>
            <w:tcW w:w="400" w:type="dxa"/>
            <w:vAlign w:val="bottom"/>
            <w:tcBorders>
              <w:bottom w:val="single" w:sz="8" w:color="231F20"/>
            </w:tcBorders>
            <w:shd w:val="clear" w:color="auto" w:fill="D0EBF2"/>
          </w:tcPr>
          <w:p>
            <w:pPr>
              <w:spacing w:after="0"/>
              <w:rPr>
                <w:sz w:val="18"/>
                <w:szCs w:val="18"/>
                <w:color w:val="auto"/>
              </w:rPr>
            </w:pPr>
          </w:p>
        </w:tc>
        <w:tc>
          <w:tcPr>
            <w:tcW w:w="900" w:type="dxa"/>
            <w:vAlign w:val="bottom"/>
            <w:tcBorders>
              <w:bottom w:val="single" w:sz="8" w:color="231F20"/>
            </w:tcBorders>
            <w:shd w:val="clear" w:color="auto" w:fill="D0EBF2"/>
          </w:tcPr>
          <w:p>
            <w:pPr>
              <w:jc w:val="right"/>
              <w:spacing w:after="0" w:line="217" w:lineRule="exact"/>
              <w:rPr>
                <w:sz w:val="20"/>
                <w:szCs w:val="20"/>
                <w:color w:val="auto"/>
              </w:rPr>
            </w:pPr>
            <w:r>
              <w:rPr>
                <w:rFonts w:ascii="Times New Roman" w:cs="Times New Roman" w:eastAsia="Times New Roman" w:hAnsi="Times New Roman"/>
                <w:sz w:val="19"/>
                <w:szCs w:val="19"/>
                <w:color w:val="231F20"/>
              </w:rPr>
              <w:t>2.5</w:t>
            </w:r>
          </w:p>
        </w:tc>
        <w:tc>
          <w:tcPr>
            <w:tcW w:w="160" w:type="dxa"/>
            <w:vAlign w:val="bottom"/>
            <w:tcBorders>
              <w:bottom w:val="single" w:sz="8" w:color="FDFDFC"/>
            </w:tcBorders>
            <w:shd w:val="clear" w:color="auto" w:fill="D0EBF2"/>
          </w:tcPr>
          <w:p>
            <w:pPr>
              <w:spacing w:after="0"/>
              <w:rPr>
                <w:sz w:val="18"/>
                <w:szCs w:val="18"/>
                <w:color w:val="auto"/>
              </w:rPr>
            </w:pPr>
          </w:p>
        </w:tc>
        <w:tc>
          <w:tcPr>
            <w:tcW w:w="0" w:type="dxa"/>
            <w:vAlign w:val="bottom"/>
          </w:tcPr>
          <w:p>
            <w:pPr>
              <w:spacing w:after="0"/>
              <w:rPr>
                <w:sz w:val="1"/>
                <w:szCs w:val="1"/>
                <w:color w:val="auto"/>
              </w:rPr>
            </w:pPr>
          </w:p>
        </w:tc>
      </w:tr>
      <w:tr>
        <w:trPr>
          <w:trHeight w:val="247"/>
        </w:trPr>
        <w:tc>
          <w:tcPr>
            <w:tcW w:w="3220" w:type="dxa"/>
            <w:vAlign w:val="bottom"/>
            <w:tcBorders>
              <w:bottom w:val="single" w:sz="8" w:color="D0EBF2"/>
            </w:tcBorders>
            <w:shd w:val="clear" w:color="auto" w:fill="FDFDFC"/>
          </w:tcPr>
          <w:p>
            <w:pPr>
              <w:ind w:left="180"/>
              <w:spacing w:after="0" w:line="207" w:lineRule="exact"/>
              <w:rPr>
                <w:sz w:val="20"/>
                <w:szCs w:val="20"/>
                <w:color w:val="auto"/>
              </w:rPr>
            </w:pPr>
            <w:r>
              <w:rPr>
                <w:rFonts w:ascii="Times New Roman" w:cs="Times New Roman" w:eastAsia="Times New Roman" w:hAnsi="Times New Roman"/>
                <w:sz w:val="19"/>
                <w:szCs w:val="19"/>
                <w:b w:val="1"/>
                <w:bCs w:val="1"/>
                <w:color w:val="231F20"/>
              </w:rPr>
              <w:t>Total Interest Expense</w:t>
            </w:r>
          </w:p>
        </w:tc>
        <w:tc>
          <w:tcPr>
            <w:tcW w:w="140" w:type="dxa"/>
            <w:vAlign w:val="bottom"/>
            <w:tcBorders>
              <w:bottom w:val="single" w:sz="8" w:color="D0EBF2"/>
            </w:tcBorders>
            <w:shd w:val="clear" w:color="auto" w:fill="FDFDFC"/>
          </w:tcPr>
          <w:p>
            <w:pPr>
              <w:spacing w:after="0"/>
              <w:rPr>
                <w:sz w:val="21"/>
                <w:szCs w:val="21"/>
                <w:color w:val="auto"/>
              </w:rPr>
            </w:pPr>
          </w:p>
        </w:tc>
        <w:tc>
          <w:tcPr>
            <w:tcW w:w="440" w:type="dxa"/>
            <w:vAlign w:val="bottom"/>
            <w:tcBorders>
              <w:bottom w:val="single" w:sz="8" w:color="231F20"/>
            </w:tcBorders>
            <w:shd w:val="clear" w:color="auto" w:fill="FDFDFC"/>
          </w:tcPr>
          <w:p>
            <w:pPr>
              <w:jc w:val="right"/>
              <w:ind w:right="250"/>
              <w:spacing w:after="0" w:line="207" w:lineRule="exact"/>
              <w:rPr>
                <w:sz w:val="20"/>
                <w:szCs w:val="20"/>
                <w:color w:val="auto"/>
              </w:rPr>
            </w:pPr>
            <w:r>
              <w:rPr>
                <w:rFonts w:ascii="Times New Roman" w:cs="Times New Roman" w:eastAsia="Times New Roman" w:hAnsi="Times New Roman"/>
                <w:sz w:val="19"/>
                <w:szCs w:val="19"/>
                <w:color w:val="231F20"/>
                <w:w w:val="83"/>
              </w:rPr>
              <w:t>$</w:t>
            </w:r>
          </w:p>
        </w:tc>
        <w:tc>
          <w:tcPr>
            <w:tcW w:w="900" w:type="dxa"/>
            <w:vAlign w:val="bottom"/>
            <w:tcBorders>
              <w:bottom w:val="single" w:sz="8" w:color="231F20"/>
            </w:tcBorders>
            <w:shd w:val="clear" w:color="auto" w:fill="FDFDFC"/>
          </w:tcPr>
          <w:p>
            <w:pPr>
              <w:jc w:val="right"/>
              <w:spacing w:after="0" w:line="207" w:lineRule="exact"/>
              <w:rPr>
                <w:sz w:val="20"/>
                <w:szCs w:val="20"/>
                <w:color w:val="auto"/>
              </w:rPr>
            </w:pPr>
            <w:r>
              <w:rPr>
                <w:rFonts w:ascii="Times New Roman" w:cs="Times New Roman" w:eastAsia="Times New Roman" w:hAnsi="Times New Roman"/>
                <w:sz w:val="19"/>
                <w:szCs w:val="19"/>
                <w:color w:val="231F20"/>
              </w:rPr>
              <w:t>154.2</w:t>
            </w:r>
          </w:p>
        </w:tc>
        <w:tc>
          <w:tcPr>
            <w:tcW w:w="240" w:type="dxa"/>
            <w:vAlign w:val="bottom"/>
            <w:tcBorders>
              <w:bottom w:val="single" w:sz="8" w:color="D0EBF2"/>
            </w:tcBorders>
            <w:shd w:val="clear" w:color="auto" w:fill="FDFDFC"/>
          </w:tcPr>
          <w:p>
            <w:pPr>
              <w:spacing w:after="0"/>
              <w:rPr>
                <w:sz w:val="21"/>
                <w:szCs w:val="21"/>
                <w:color w:val="auto"/>
              </w:rPr>
            </w:pPr>
          </w:p>
        </w:tc>
        <w:tc>
          <w:tcPr>
            <w:tcW w:w="100" w:type="dxa"/>
            <w:vAlign w:val="bottom"/>
            <w:tcBorders>
              <w:bottom w:val="single" w:sz="8" w:color="D0EBF2"/>
            </w:tcBorders>
            <w:shd w:val="clear" w:color="auto" w:fill="FDFDFC"/>
          </w:tcPr>
          <w:p>
            <w:pPr>
              <w:spacing w:after="0"/>
              <w:rPr>
                <w:sz w:val="21"/>
                <w:szCs w:val="21"/>
                <w:color w:val="auto"/>
              </w:rPr>
            </w:pPr>
          </w:p>
        </w:tc>
        <w:tc>
          <w:tcPr>
            <w:tcW w:w="180" w:type="dxa"/>
            <w:vAlign w:val="bottom"/>
            <w:tcBorders>
              <w:bottom w:val="single" w:sz="8" w:color="231F20"/>
            </w:tcBorders>
            <w:shd w:val="clear" w:color="auto" w:fill="FDFDFC"/>
          </w:tcPr>
          <w:p>
            <w:pPr>
              <w:jc w:val="right"/>
              <w:spacing w:after="0" w:line="207" w:lineRule="exact"/>
              <w:rPr>
                <w:sz w:val="20"/>
                <w:szCs w:val="20"/>
                <w:color w:val="auto"/>
              </w:rPr>
            </w:pPr>
            <w:r>
              <w:rPr>
                <w:rFonts w:ascii="Times New Roman" w:cs="Times New Roman" w:eastAsia="Times New Roman" w:hAnsi="Times New Roman"/>
                <w:sz w:val="19"/>
                <w:szCs w:val="19"/>
                <w:color w:val="231F20"/>
                <w:w w:val="83"/>
              </w:rPr>
              <w:t>$</w:t>
            </w:r>
          </w:p>
        </w:tc>
        <w:tc>
          <w:tcPr>
            <w:tcW w:w="1120" w:type="dxa"/>
            <w:vAlign w:val="bottom"/>
            <w:tcBorders>
              <w:bottom w:val="single" w:sz="8" w:color="231F20"/>
            </w:tcBorders>
            <w:shd w:val="clear" w:color="auto" w:fill="FDFDFC"/>
          </w:tcPr>
          <w:p>
            <w:pPr>
              <w:jc w:val="right"/>
              <w:spacing w:after="0" w:line="207" w:lineRule="exact"/>
              <w:rPr>
                <w:sz w:val="20"/>
                <w:szCs w:val="20"/>
                <w:color w:val="auto"/>
              </w:rPr>
            </w:pPr>
            <w:r>
              <w:rPr>
                <w:rFonts w:ascii="Times New Roman" w:cs="Times New Roman" w:eastAsia="Times New Roman" w:hAnsi="Times New Roman"/>
                <w:sz w:val="19"/>
                <w:szCs w:val="19"/>
                <w:color w:val="231F20"/>
              </w:rPr>
              <w:t>133.7</w:t>
            </w:r>
          </w:p>
        </w:tc>
        <w:tc>
          <w:tcPr>
            <w:tcW w:w="200" w:type="dxa"/>
            <w:vAlign w:val="bottom"/>
            <w:tcBorders>
              <w:bottom w:val="single" w:sz="8" w:color="D0EBF2"/>
            </w:tcBorders>
            <w:shd w:val="clear" w:color="auto" w:fill="FDFDFC"/>
          </w:tcPr>
          <w:p>
            <w:pPr>
              <w:spacing w:after="0"/>
              <w:rPr>
                <w:sz w:val="21"/>
                <w:szCs w:val="21"/>
                <w:color w:val="auto"/>
              </w:rPr>
            </w:pPr>
          </w:p>
        </w:tc>
        <w:tc>
          <w:tcPr>
            <w:tcW w:w="160" w:type="dxa"/>
            <w:vAlign w:val="bottom"/>
            <w:tcBorders>
              <w:bottom w:val="single" w:sz="8" w:color="D0EBF2"/>
            </w:tcBorders>
            <w:shd w:val="clear" w:color="auto" w:fill="FDFDFC"/>
          </w:tcPr>
          <w:p>
            <w:pPr>
              <w:spacing w:after="0"/>
              <w:rPr>
                <w:sz w:val="21"/>
                <w:szCs w:val="21"/>
                <w:color w:val="auto"/>
              </w:rPr>
            </w:pPr>
          </w:p>
        </w:tc>
        <w:tc>
          <w:tcPr>
            <w:tcW w:w="400" w:type="dxa"/>
            <w:vAlign w:val="bottom"/>
            <w:tcBorders>
              <w:bottom w:val="single" w:sz="8" w:color="231F20"/>
            </w:tcBorders>
            <w:shd w:val="clear" w:color="auto" w:fill="FDFDFC"/>
          </w:tcPr>
          <w:p>
            <w:pPr>
              <w:jc w:val="right"/>
              <w:ind w:right="238"/>
              <w:spacing w:after="0"/>
              <w:rPr>
                <w:sz w:val="20"/>
                <w:szCs w:val="20"/>
                <w:color w:val="auto"/>
              </w:rPr>
            </w:pPr>
            <w:r>
              <w:rPr>
                <w:rFonts w:ascii="Times New Roman" w:cs="Times New Roman" w:eastAsia="Times New Roman" w:hAnsi="Times New Roman"/>
                <w:sz w:val="17"/>
                <w:szCs w:val="17"/>
                <w:color w:val="231F20"/>
                <w:w w:val="70"/>
              </w:rPr>
              <w:t>$</w:t>
            </w:r>
          </w:p>
        </w:tc>
        <w:tc>
          <w:tcPr>
            <w:tcW w:w="900" w:type="dxa"/>
            <w:vAlign w:val="bottom"/>
            <w:tcBorders>
              <w:bottom w:val="single" w:sz="8" w:color="231F20"/>
            </w:tcBorders>
            <w:shd w:val="clear" w:color="auto" w:fill="FDFDFC"/>
          </w:tcPr>
          <w:p>
            <w:pPr>
              <w:jc w:val="right"/>
              <w:spacing w:after="0" w:line="207" w:lineRule="exact"/>
              <w:rPr>
                <w:sz w:val="20"/>
                <w:szCs w:val="20"/>
                <w:color w:val="auto"/>
              </w:rPr>
            </w:pPr>
            <w:r>
              <w:rPr>
                <w:rFonts w:ascii="Times New Roman" w:cs="Times New Roman" w:eastAsia="Times New Roman" w:hAnsi="Times New Roman"/>
                <w:sz w:val="19"/>
                <w:szCs w:val="19"/>
                <w:color w:val="231F20"/>
              </w:rPr>
              <w:t>63.0</w:t>
            </w:r>
          </w:p>
        </w:tc>
        <w:tc>
          <w:tcPr>
            <w:tcW w:w="160" w:type="dxa"/>
            <w:vAlign w:val="bottom"/>
            <w:tcBorders>
              <w:bottom w:val="single" w:sz="8" w:color="D0EBF2"/>
            </w:tcBorders>
            <w:shd w:val="clear" w:color="auto" w:fill="FDFDFC"/>
          </w:tcPr>
          <w:p>
            <w:pPr>
              <w:spacing w:after="0"/>
              <w:rPr>
                <w:sz w:val="21"/>
                <w:szCs w:val="21"/>
                <w:color w:val="auto"/>
              </w:rPr>
            </w:pPr>
          </w:p>
        </w:tc>
        <w:tc>
          <w:tcPr>
            <w:tcW w:w="0" w:type="dxa"/>
            <w:vAlign w:val="bottom"/>
          </w:tcPr>
          <w:p>
            <w:pPr>
              <w:spacing w:after="0"/>
              <w:rPr>
                <w:sz w:val="1"/>
                <w:szCs w:val="1"/>
                <w:color w:val="auto"/>
              </w:rPr>
            </w:pPr>
          </w:p>
        </w:tc>
      </w:tr>
      <w:tr>
        <w:trPr>
          <w:trHeight w:val="200"/>
        </w:trPr>
        <w:tc>
          <w:tcPr>
            <w:tcW w:w="3220" w:type="dxa"/>
            <w:vAlign w:val="bottom"/>
            <w:shd w:val="clear" w:color="auto" w:fill="D0EBF2"/>
          </w:tcPr>
          <w:p>
            <w:pPr>
              <w:spacing w:after="0" w:line="200" w:lineRule="exact"/>
              <w:rPr>
                <w:sz w:val="20"/>
                <w:szCs w:val="20"/>
                <w:color w:val="auto"/>
              </w:rPr>
            </w:pPr>
            <w:r>
              <w:rPr>
                <w:rFonts w:ascii="Times New Roman" w:cs="Times New Roman" w:eastAsia="Times New Roman" w:hAnsi="Times New Roman"/>
                <w:sz w:val="19"/>
                <w:szCs w:val="19"/>
                <w:color w:val="231F20"/>
              </w:rPr>
              <w:t>Average debt outstanding</w:t>
            </w:r>
          </w:p>
        </w:tc>
        <w:tc>
          <w:tcPr>
            <w:tcW w:w="140" w:type="dxa"/>
            <w:vAlign w:val="bottom"/>
            <w:shd w:val="clear" w:color="auto" w:fill="D0EBF2"/>
          </w:tcPr>
          <w:p>
            <w:pPr>
              <w:spacing w:after="0"/>
              <w:rPr>
                <w:sz w:val="17"/>
                <w:szCs w:val="17"/>
                <w:color w:val="auto"/>
              </w:rPr>
            </w:pPr>
          </w:p>
        </w:tc>
        <w:tc>
          <w:tcPr>
            <w:tcW w:w="440" w:type="dxa"/>
            <w:vAlign w:val="bottom"/>
            <w:shd w:val="clear" w:color="auto" w:fill="D0EBF2"/>
          </w:tcPr>
          <w:p>
            <w:pPr>
              <w:jc w:val="right"/>
              <w:ind w:right="250"/>
              <w:spacing w:after="0" w:line="200" w:lineRule="exact"/>
              <w:rPr>
                <w:sz w:val="20"/>
                <w:szCs w:val="20"/>
                <w:color w:val="auto"/>
              </w:rPr>
            </w:pPr>
            <w:r>
              <w:rPr>
                <w:rFonts w:ascii="Times New Roman" w:cs="Times New Roman" w:eastAsia="Times New Roman" w:hAnsi="Times New Roman"/>
                <w:sz w:val="19"/>
                <w:szCs w:val="19"/>
                <w:color w:val="231F20"/>
                <w:w w:val="83"/>
              </w:rPr>
              <w:t>$</w:t>
            </w:r>
          </w:p>
        </w:tc>
        <w:tc>
          <w:tcPr>
            <w:tcW w:w="900" w:type="dxa"/>
            <w:vAlign w:val="bottom"/>
            <w:shd w:val="clear" w:color="auto" w:fill="D0EBF2"/>
          </w:tcPr>
          <w:p>
            <w:pPr>
              <w:jc w:val="right"/>
              <w:spacing w:after="0" w:line="200" w:lineRule="exact"/>
              <w:rPr>
                <w:sz w:val="20"/>
                <w:szCs w:val="20"/>
                <w:color w:val="auto"/>
              </w:rPr>
            </w:pPr>
            <w:r>
              <w:rPr>
                <w:rFonts w:ascii="Times New Roman" w:cs="Times New Roman" w:eastAsia="Times New Roman" w:hAnsi="Times New Roman"/>
                <w:sz w:val="19"/>
                <w:szCs w:val="19"/>
                <w:color w:val="231F20"/>
              </w:rPr>
              <w:t>1,882.7</w:t>
            </w:r>
          </w:p>
        </w:tc>
        <w:tc>
          <w:tcPr>
            <w:tcW w:w="240" w:type="dxa"/>
            <w:vAlign w:val="bottom"/>
            <w:shd w:val="clear" w:color="auto" w:fill="D0EBF2"/>
          </w:tcPr>
          <w:p>
            <w:pPr>
              <w:spacing w:after="0"/>
              <w:rPr>
                <w:sz w:val="17"/>
                <w:szCs w:val="17"/>
                <w:color w:val="auto"/>
              </w:rPr>
            </w:pPr>
          </w:p>
        </w:tc>
        <w:tc>
          <w:tcPr>
            <w:tcW w:w="100" w:type="dxa"/>
            <w:vAlign w:val="bottom"/>
            <w:shd w:val="clear" w:color="auto" w:fill="D0EBF2"/>
          </w:tcPr>
          <w:p>
            <w:pPr>
              <w:spacing w:after="0"/>
              <w:rPr>
                <w:sz w:val="17"/>
                <w:szCs w:val="17"/>
                <w:color w:val="auto"/>
              </w:rPr>
            </w:pPr>
          </w:p>
        </w:tc>
        <w:tc>
          <w:tcPr>
            <w:tcW w:w="180" w:type="dxa"/>
            <w:vAlign w:val="bottom"/>
            <w:shd w:val="clear" w:color="auto" w:fill="D0EBF2"/>
          </w:tcPr>
          <w:p>
            <w:pPr>
              <w:jc w:val="right"/>
              <w:spacing w:after="0" w:line="200" w:lineRule="exact"/>
              <w:rPr>
                <w:sz w:val="20"/>
                <w:szCs w:val="20"/>
                <w:color w:val="auto"/>
              </w:rPr>
            </w:pPr>
            <w:r>
              <w:rPr>
                <w:rFonts w:ascii="Times New Roman" w:cs="Times New Roman" w:eastAsia="Times New Roman" w:hAnsi="Times New Roman"/>
                <w:sz w:val="19"/>
                <w:szCs w:val="19"/>
                <w:color w:val="231F20"/>
                <w:w w:val="83"/>
              </w:rPr>
              <w:t>$</w:t>
            </w:r>
          </w:p>
        </w:tc>
        <w:tc>
          <w:tcPr>
            <w:tcW w:w="1120" w:type="dxa"/>
            <w:vAlign w:val="bottom"/>
            <w:shd w:val="clear" w:color="auto" w:fill="D0EBF2"/>
          </w:tcPr>
          <w:p>
            <w:pPr>
              <w:jc w:val="right"/>
              <w:spacing w:after="0" w:line="200" w:lineRule="exact"/>
              <w:rPr>
                <w:sz w:val="20"/>
                <w:szCs w:val="20"/>
                <w:color w:val="auto"/>
              </w:rPr>
            </w:pPr>
            <w:r>
              <w:rPr>
                <w:rFonts w:ascii="Times New Roman" w:cs="Times New Roman" w:eastAsia="Times New Roman" w:hAnsi="Times New Roman"/>
                <w:sz w:val="19"/>
                <w:szCs w:val="19"/>
                <w:color w:val="231F20"/>
              </w:rPr>
              <w:t>1,705.6</w:t>
            </w:r>
          </w:p>
        </w:tc>
        <w:tc>
          <w:tcPr>
            <w:tcW w:w="200" w:type="dxa"/>
            <w:vAlign w:val="bottom"/>
            <w:shd w:val="clear" w:color="auto" w:fill="D0EBF2"/>
          </w:tcPr>
          <w:p>
            <w:pPr>
              <w:spacing w:after="0"/>
              <w:rPr>
                <w:sz w:val="17"/>
                <w:szCs w:val="17"/>
                <w:color w:val="auto"/>
              </w:rPr>
            </w:pPr>
          </w:p>
        </w:tc>
        <w:tc>
          <w:tcPr>
            <w:tcW w:w="160" w:type="dxa"/>
            <w:vAlign w:val="bottom"/>
            <w:shd w:val="clear" w:color="auto" w:fill="D0EBF2"/>
          </w:tcPr>
          <w:p>
            <w:pPr>
              <w:spacing w:after="0"/>
              <w:rPr>
                <w:sz w:val="17"/>
                <w:szCs w:val="17"/>
                <w:color w:val="auto"/>
              </w:rPr>
            </w:pPr>
          </w:p>
        </w:tc>
        <w:tc>
          <w:tcPr>
            <w:tcW w:w="400" w:type="dxa"/>
            <w:vAlign w:val="bottom"/>
            <w:shd w:val="clear" w:color="auto" w:fill="D0EBF2"/>
          </w:tcPr>
          <w:p>
            <w:pPr>
              <w:jc w:val="right"/>
              <w:ind w:right="238"/>
              <w:spacing w:after="0"/>
              <w:rPr>
                <w:sz w:val="20"/>
                <w:szCs w:val="20"/>
                <w:color w:val="auto"/>
              </w:rPr>
            </w:pPr>
            <w:r>
              <w:rPr>
                <w:rFonts w:ascii="Times New Roman" w:cs="Times New Roman" w:eastAsia="Times New Roman" w:hAnsi="Times New Roman"/>
                <w:sz w:val="17"/>
                <w:szCs w:val="17"/>
                <w:color w:val="231F20"/>
                <w:w w:val="70"/>
              </w:rPr>
              <w:t>$</w:t>
            </w:r>
          </w:p>
        </w:tc>
        <w:tc>
          <w:tcPr>
            <w:tcW w:w="900" w:type="dxa"/>
            <w:vAlign w:val="bottom"/>
            <w:shd w:val="clear" w:color="auto" w:fill="D0EBF2"/>
          </w:tcPr>
          <w:p>
            <w:pPr>
              <w:jc w:val="right"/>
              <w:spacing w:after="0" w:line="200" w:lineRule="exact"/>
              <w:rPr>
                <w:sz w:val="20"/>
                <w:szCs w:val="20"/>
                <w:color w:val="auto"/>
              </w:rPr>
            </w:pPr>
            <w:r>
              <w:rPr>
                <w:rFonts w:ascii="Times New Roman" w:cs="Times New Roman" w:eastAsia="Times New Roman" w:hAnsi="Times New Roman"/>
                <w:sz w:val="19"/>
                <w:szCs w:val="19"/>
                <w:color w:val="231F20"/>
              </w:rPr>
              <w:t>1,342.0</w:t>
            </w:r>
          </w:p>
        </w:tc>
        <w:tc>
          <w:tcPr>
            <w:tcW w:w="160" w:type="dxa"/>
            <w:vAlign w:val="bottom"/>
            <w:shd w:val="clear" w:color="auto" w:fill="D0EBF2"/>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3220" w:type="dxa"/>
            <w:vAlign w:val="bottom"/>
          </w:tcPr>
          <w:p>
            <w:pPr>
              <w:spacing w:after="0" w:line="217" w:lineRule="exact"/>
              <w:rPr>
                <w:sz w:val="20"/>
                <w:szCs w:val="20"/>
                <w:color w:val="auto"/>
              </w:rPr>
            </w:pPr>
            <w:r>
              <w:rPr>
                <w:rFonts w:ascii="Times New Roman" w:cs="Times New Roman" w:eastAsia="Times New Roman" w:hAnsi="Times New Roman"/>
                <w:sz w:val="19"/>
                <w:szCs w:val="19"/>
                <w:color w:val="231F20"/>
              </w:rPr>
              <w:t>Weighted average interest rate</w:t>
            </w: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40" w:type="dxa"/>
            <w:vAlign w:val="bottom"/>
            <w:gridSpan w:val="2"/>
          </w:tcPr>
          <w:p>
            <w:pPr>
              <w:jc w:val="right"/>
              <w:ind w:right="80"/>
              <w:spacing w:after="0" w:line="217" w:lineRule="exact"/>
              <w:rPr>
                <w:sz w:val="20"/>
                <w:szCs w:val="20"/>
                <w:color w:val="auto"/>
              </w:rPr>
            </w:pPr>
            <w:r>
              <w:rPr>
                <w:rFonts w:ascii="Times New Roman" w:cs="Times New Roman" w:eastAsia="Times New Roman" w:hAnsi="Times New Roman"/>
                <w:sz w:val="19"/>
                <w:szCs w:val="19"/>
                <w:color w:val="231F20"/>
              </w:rPr>
              <w:t>7.5%</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gridSpan w:val="2"/>
          </w:tcPr>
          <w:p>
            <w:pPr>
              <w:jc w:val="right"/>
              <w:ind w:right="40"/>
              <w:spacing w:after="0" w:line="217" w:lineRule="exact"/>
              <w:rPr>
                <w:sz w:val="20"/>
                <w:szCs w:val="20"/>
                <w:color w:val="auto"/>
              </w:rPr>
            </w:pPr>
            <w:r>
              <w:rPr>
                <w:rFonts w:ascii="Times New Roman" w:cs="Times New Roman" w:eastAsia="Times New Roman" w:hAnsi="Times New Roman"/>
                <w:sz w:val="19"/>
                <w:szCs w:val="19"/>
                <w:color w:val="231F20"/>
              </w:rPr>
              <w:t>7.3%</w:t>
            </w: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60" w:type="dxa"/>
            <w:vAlign w:val="bottom"/>
            <w:gridSpan w:val="2"/>
          </w:tcPr>
          <w:p>
            <w:pPr>
              <w:jc w:val="right"/>
              <w:spacing w:after="0" w:line="217" w:lineRule="exact"/>
              <w:rPr>
                <w:sz w:val="20"/>
                <w:szCs w:val="20"/>
                <w:color w:val="auto"/>
              </w:rPr>
            </w:pPr>
            <w:r>
              <w:rPr>
                <w:rFonts w:ascii="Times New Roman" w:cs="Times New Roman" w:eastAsia="Times New Roman" w:hAnsi="Times New Roman"/>
                <w:sz w:val="19"/>
                <w:szCs w:val="19"/>
                <w:color w:val="231F20"/>
              </w:rPr>
              <w:t>3.9%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647700</wp:posOffset>
                </wp:positionH>
                <wp:positionV relativeFrom="paragraph">
                  <wp:posOffset>-137795</wp:posOffset>
                </wp:positionV>
                <wp:extent cx="2990215" cy="137795"/>
                <wp:wrapNone/>
                <wp:docPr id="15" name="Shape 1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990215" cy="137795"/>
                        </a:xfrm>
                        <a:prstGeom prst="rect">
                          <a:avLst/>
                        </a:prstGeom>
                        <a:solidFill>
                          <a:srgbClr val="FDFDFC"/>
                        </a:solidFill>
                      </wps:spPr>
                      <wps:bodyPr/>
                    </wps:wsp>
                  </a:graphicData>
                </a:graphic>
              </wp:anchor>
            </w:drawing>
          </mc:Choice>
          <mc:Fallback>
            <w:pict>
              <v:rect id="Shape 15" o:spid="_x0000_s1040" style="position:absolute;margin-left:51pt;margin-top:-10.8499pt;width:235.45pt;height:10.8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FDFDFC" stroked="f"/>
            </w:pict>
          </mc:Fallback>
        </mc:AlternateContent>
        <mc:AlternateContent>
          <mc:Choice Requires="wps">
            <w:drawing>
              <wp:anchor simplePos="0" relativeHeight="251657728" behindDoc="1" locked="0" layoutInCell="0" allowOverlap="1">
                <wp:simplePos x="0" y="0"/>
                <wp:positionH relativeFrom="column">
                  <wp:posOffset>3637915</wp:posOffset>
                </wp:positionH>
                <wp:positionV relativeFrom="paragraph">
                  <wp:posOffset>-137795</wp:posOffset>
                </wp:positionV>
                <wp:extent cx="2191385" cy="137795"/>
                <wp:wrapNone/>
                <wp:docPr id="16" name="Shape 1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191385" cy="137795"/>
                        </a:xfrm>
                        <a:prstGeom prst="rect">
                          <a:avLst/>
                        </a:prstGeom>
                        <a:solidFill>
                          <a:srgbClr val="FDFDFC"/>
                        </a:solidFill>
                      </wps:spPr>
                      <wps:bodyPr/>
                    </wps:wsp>
                  </a:graphicData>
                </a:graphic>
              </wp:anchor>
            </w:drawing>
          </mc:Choice>
          <mc:Fallback>
            <w:pict>
              <v:rect id="Shape 16" o:spid="_x0000_s1041" style="position:absolute;margin-left:286.45pt;margin-top:-10.8499pt;width:172.55pt;height:10.8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FDFDFC" stroked="f"/>
            </w:pict>
          </mc:Fallback>
        </mc:AlternateContent>
      </w:r>
    </w:p>
    <w:p>
      <w:pPr>
        <w:spacing w:after="0" w:line="221" w:lineRule="exact"/>
        <w:rPr>
          <w:sz w:val="20"/>
          <w:szCs w:val="20"/>
          <w:color w:val="auto"/>
        </w:rPr>
      </w:pPr>
    </w:p>
    <w:p>
      <w:pPr>
        <w:ind w:right="80" w:firstLine="231"/>
        <w:spacing w:after="0" w:line="275" w:lineRule="auto"/>
        <w:rPr>
          <w:sz w:val="20"/>
          <w:szCs w:val="20"/>
          <w:color w:val="auto"/>
        </w:rPr>
      </w:pPr>
      <w:r>
        <w:rPr>
          <w:rFonts w:ascii="Times New Roman" w:cs="Times New Roman" w:eastAsia="Times New Roman" w:hAnsi="Times New Roman"/>
          <w:sz w:val="19"/>
          <w:szCs w:val="19"/>
          <w:color w:val="231F20"/>
        </w:rPr>
        <w:t>For more information on our debt, see “</w:t>
      </w:r>
      <w:r>
        <w:rPr>
          <w:rFonts w:ascii="Times New Roman" w:cs="Times New Roman" w:eastAsia="Times New Roman" w:hAnsi="Times New Roman"/>
          <w:sz w:val="19"/>
          <w:szCs w:val="19"/>
          <w:i w:val="1"/>
          <w:iCs w:val="1"/>
          <w:color w:val="231F20"/>
        </w:rPr>
        <w:t>ITEM 7. MANAGEMENT’S DISCUSSION AND ANALYSIS OF FINANCIAL CONDITION</w:t>
      </w:r>
      <w:r>
        <w:rPr>
          <w:rFonts w:ascii="Times New Roman" w:cs="Times New Roman" w:eastAsia="Times New Roman" w:hAnsi="Times New Roman"/>
          <w:sz w:val="19"/>
          <w:szCs w:val="19"/>
          <w:color w:val="231F20"/>
        </w:rPr>
        <w:t xml:space="preserve"> </w:t>
      </w:r>
      <w:r>
        <w:rPr>
          <w:rFonts w:ascii="Times New Roman" w:cs="Times New Roman" w:eastAsia="Times New Roman" w:hAnsi="Times New Roman"/>
          <w:sz w:val="19"/>
          <w:szCs w:val="19"/>
          <w:i w:val="1"/>
          <w:iCs w:val="1"/>
          <w:color w:val="231F20"/>
        </w:rPr>
        <w:t>AND RESULTS OF OPERATIONS——Financial Condition, Liquidity and Capital Resources.</w:t>
      </w:r>
      <w:r>
        <w:rPr>
          <w:rFonts w:ascii="Times New Roman" w:cs="Times New Roman" w:eastAsia="Times New Roman" w:hAnsi="Times New Roman"/>
          <w:sz w:val="19"/>
          <w:szCs w:val="19"/>
          <w:color w:val="231F20"/>
        </w:rPr>
        <w:t>”</w:t>
      </w:r>
    </w:p>
    <w:p>
      <w:pPr>
        <w:spacing w:after="0" w:line="27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231F20"/>
        </w:rPr>
        <w:t>Dividend Policy</w:t>
      </w:r>
    </w:p>
    <w:p>
      <w:pPr>
        <w:spacing w:after="0" w:line="108" w:lineRule="exact"/>
        <w:rPr>
          <w:sz w:val="20"/>
          <w:szCs w:val="20"/>
          <w:color w:val="auto"/>
        </w:rPr>
      </w:pPr>
    </w:p>
    <w:p>
      <w:pPr>
        <w:ind w:right="40" w:firstLine="231"/>
        <w:spacing w:after="0" w:line="244" w:lineRule="auto"/>
        <w:rPr>
          <w:sz w:val="20"/>
          <w:szCs w:val="20"/>
          <w:color w:val="auto"/>
        </w:rPr>
      </w:pPr>
      <w:r>
        <w:rPr>
          <w:rFonts w:ascii="Times New Roman" w:cs="Times New Roman" w:eastAsia="Times New Roman" w:hAnsi="Times New Roman"/>
          <w:sz w:val="19"/>
          <w:szCs w:val="19"/>
          <w:color w:val="231F20"/>
        </w:rPr>
        <w:t>To maintain our status as a RIC, we must distribute (or be treated as distributing) in each taxable year dividends for tax purposes of an amount equal to at least 90% of our investment company taxable income (which includes, among other items, dividends, interest, the excess of any net short-term capital gains over net long-term capital losses, as well as other taxable income, excluding any net capital gains reduced by deductible expenses) and 90% of our net tax-exempt income for that taxable year. As a RIC, we generally will not be subject to corporate-level U.S. federal income tax on our investment company taxable income and net capital gains that we distribute to stockholders. In addition, to avoid the imposition of a nondeductible 4% U.S. federal excise tax, we must distribute (or be treated as distributing) in each calendar year an amount at least equal to the sum of:</w:t>
      </w:r>
    </w:p>
    <w:p>
      <w:pPr>
        <w:spacing w:after="0" w:line="93" w:lineRule="exact"/>
        <w:rPr>
          <w:sz w:val="20"/>
          <w:szCs w:val="20"/>
          <w:color w:val="auto"/>
        </w:rPr>
      </w:pPr>
    </w:p>
    <w:p>
      <w:pPr>
        <w:ind w:left="460" w:hanging="229"/>
        <w:spacing w:after="0"/>
        <w:tabs>
          <w:tab w:leader="none" w:pos="460" w:val="left"/>
        </w:tabs>
        <w:numPr>
          <w:ilvl w:val="0"/>
          <w:numId w:val="20"/>
        </w:numPr>
        <w:rPr>
          <w:rFonts w:ascii="Arial" w:cs="Arial" w:eastAsia="Arial" w:hAnsi="Arial"/>
          <w:sz w:val="19"/>
          <w:szCs w:val="19"/>
          <w:color w:val="231F20"/>
        </w:rPr>
      </w:pPr>
      <w:r>
        <w:rPr>
          <w:rFonts w:ascii="Times New Roman" w:cs="Times New Roman" w:eastAsia="Times New Roman" w:hAnsi="Times New Roman"/>
          <w:sz w:val="19"/>
          <w:szCs w:val="19"/>
          <w:color w:val="231F20"/>
        </w:rPr>
        <w:t>98% of our net ordinary income, excluding certain ordinary gains and losses, recognized during a calendar year;</w:t>
      </w:r>
    </w:p>
    <w:p>
      <w:pPr>
        <w:spacing w:after="0" w:line="124" w:lineRule="exact"/>
        <w:rPr>
          <w:rFonts w:ascii="Arial" w:cs="Arial" w:eastAsia="Arial" w:hAnsi="Arial"/>
          <w:sz w:val="19"/>
          <w:szCs w:val="19"/>
          <w:color w:val="231F20"/>
        </w:rPr>
      </w:pPr>
    </w:p>
    <w:p>
      <w:pPr>
        <w:ind w:left="460" w:right="340" w:hanging="229"/>
        <w:spacing w:after="0" w:line="274" w:lineRule="auto"/>
        <w:tabs>
          <w:tab w:leader="none" w:pos="460" w:val="left"/>
        </w:tabs>
        <w:numPr>
          <w:ilvl w:val="0"/>
          <w:numId w:val="20"/>
        </w:numPr>
        <w:rPr>
          <w:rFonts w:ascii="Arial" w:cs="Arial" w:eastAsia="Arial" w:hAnsi="Arial"/>
          <w:sz w:val="19"/>
          <w:szCs w:val="19"/>
          <w:color w:val="231F20"/>
        </w:rPr>
      </w:pPr>
      <w:r>
        <w:rPr>
          <w:rFonts w:ascii="Times New Roman" w:cs="Times New Roman" w:eastAsia="Times New Roman" w:hAnsi="Times New Roman"/>
          <w:sz w:val="19"/>
          <w:szCs w:val="19"/>
          <w:color w:val="231F20"/>
        </w:rPr>
        <w:t>98.2% of our capital gain net income, adjusted for certain ordinary gains and losses, recognized for the twelve-month period ending on October 31 of such calendar year; and</w:t>
      </w:r>
    </w:p>
    <w:p>
      <w:pPr>
        <w:spacing w:after="0" w:line="61" w:lineRule="exact"/>
        <w:rPr>
          <w:rFonts w:ascii="Arial" w:cs="Arial" w:eastAsia="Arial" w:hAnsi="Arial"/>
          <w:sz w:val="19"/>
          <w:szCs w:val="19"/>
          <w:color w:val="231F20"/>
        </w:rPr>
      </w:pPr>
    </w:p>
    <w:p>
      <w:pPr>
        <w:ind w:left="460" w:hanging="229"/>
        <w:spacing w:after="0"/>
        <w:tabs>
          <w:tab w:leader="none" w:pos="460" w:val="left"/>
        </w:tabs>
        <w:numPr>
          <w:ilvl w:val="0"/>
          <w:numId w:val="20"/>
        </w:numPr>
        <w:rPr>
          <w:rFonts w:ascii="Arial" w:cs="Arial" w:eastAsia="Arial" w:hAnsi="Arial"/>
          <w:sz w:val="19"/>
          <w:szCs w:val="19"/>
          <w:color w:val="231F20"/>
        </w:rPr>
      </w:pPr>
      <w:r>
        <w:rPr>
          <w:rFonts w:ascii="Times New Roman" w:cs="Times New Roman" w:eastAsia="Times New Roman" w:hAnsi="Times New Roman"/>
          <w:sz w:val="19"/>
          <w:szCs w:val="19"/>
          <w:color w:val="231F20"/>
        </w:rPr>
        <w:t>100% of any income or gains recognized, but not distributed, in preceding years.</w:t>
      </w:r>
    </w:p>
    <w:p>
      <w:pPr>
        <w:spacing w:after="0" w:line="225" w:lineRule="exact"/>
        <w:rPr>
          <w:sz w:val="20"/>
          <w:szCs w:val="20"/>
          <w:color w:val="auto"/>
        </w:rPr>
      </w:pPr>
    </w:p>
    <w:p>
      <w:pPr>
        <w:ind w:firstLine="231"/>
        <w:spacing w:after="0" w:line="244" w:lineRule="auto"/>
        <w:rPr>
          <w:sz w:val="20"/>
          <w:szCs w:val="20"/>
          <w:color w:val="auto"/>
        </w:rPr>
      </w:pPr>
      <w:r>
        <w:rPr>
          <w:rFonts w:ascii="Times New Roman" w:cs="Times New Roman" w:eastAsia="Times New Roman" w:hAnsi="Times New Roman"/>
          <w:sz w:val="19"/>
          <w:szCs w:val="19"/>
          <w:color w:val="231F20"/>
        </w:rPr>
        <w:t xml:space="preserve">We have previously incurred, and can be expected to incur in the future, such excise tax on a portion of our income and gains. While we intend to distribute income and capital gains to minimize exposure to the 4% U.S. federal excise tax, we may not be able to, or may choose not to, distribute amounts sufficient to avoid the imposition of the excise tax entirely. In that event, we will be liable for the excise tax only on the amount by which we do not meet the foregoing distribution requirement. </w:t>
      </w:r>
      <w:r>
        <w:rPr>
          <w:rFonts w:ascii="Times New Roman" w:cs="Times New Roman" w:eastAsia="Times New Roman" w:hAnsi="Times New Roman"/>
          <w:sz w:val="19"/>
          <w:szCs w:val="19"/>
          <w:i w:val="1"/>
          <w:iCs w:val="1"/>
          <w:color w:val="231F20"/>
        </w:rPr>
        <w:t>See “ITEM 1A. RISK FACTORS—</w:t>
      </w:r>
      <w:r>
        <w:rPr>
          <w:rFonts w:ascii="Times New Roman" w:cs="Times New Roman" w:eastAsia="Times New Roman" w:hAnsi="Times New Roman"/>
          <w:sz w:val="19"/>
          <w:szCs w:val="19"/>
          <w:color w:val="231F20"/>
        </w:rPr>
        <w:t xml:space="preserve"> </w:t>
      </w:r>
      <w:r>
        <w:rPr>
          <w:rFonts w:ascii="Times New Roman" w:cs="Times New Roman" w:eastAsia="Times New Roman" w:hAnsi="Times New Roman"/>
          <w:sz w:val="19"/>
          <w:szCs w:val="19"/>
          <w:i w:val="1"/>
          <w:iCs w:val="1"/>
          <w:color w:val="231F20"/>
        </w:rPr>
        <w:t>Risks Related to Our Business and Structure—We will be subject to corporate-level income tax if we are unable to maintain our qualification as a RIC under Subchapter M of the Code, including as a result of our failure to satisfy the RIC distribution requirements.”</w:t>
      </w: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231F20"/>
        </w:rPr>
        <w:t>Dividend Reinvestment Plan</w:t>
      </w:r>
    </w:p>
    <w:p>
      <w:pPr>
        <w:spacing w:after="0" w:line="108" w:lineRule="exact"/>
        <w:rPr>
          <w:sz w:val="20"/>
          <w:szCs w:val="20"/>
          <w:color w:val="auto"/>
        </w:rPr>
      </w:pPr>
    </w:p>
    <w:p>
      <w:pPr>
        <w:ind w:right="40" w:firstLine="231"/>
        <w:spacing w:after="0" w:line="247" w:lineRule="auto"/>
        <w:rPr>
          <w:sz w:val="20"/>
          <w:szCs w:val="20"/>
          <w:color w:val="auto"/>
        </w:rPr>
      </w:pPr>
      <w:r>
        <w:rPr>
          <w:rFonts w:ascii="Times New Roman" w:cs="Times New Roman" w:eastAsia="Times New Roman" w:hAnsi="Times New Roman"/>
          <w:sz w:val="19"/>
          <w:szCs w:val="19"/>
          <w:color w:val="231F20"/>
        </w:rPr>
        <w:t>We have adopted a dividend reinvestment plan, pursuant to which we will reinvest all cash dividends or distributions declared by the Board on behalf of investors who do not elect to receive their cash dividends or distributions in cash as provided below. As a result, if the Board authorizes, and we declare, a cash dividend or distribution, then our stockholders who have not elected to “opt out” of our dividend reinvestment plan will have their cash dividends or distributions automatically reinvested in additional common stock as described below.</w:t>
      </w:r>
    </w:p>
    <w:p>
      <w:pPr>
        <w:spacing w:after="0" w:line="75" w:lineRule="exact"/>
        <w:rPr>
          <w:sz w:val="20"/>
          <w:szCs w:val="20"/>
          <w:color w:val="auto"/>
        </w:rPr>
      </w:pPr>
    </w:p>
    <w:p>
      <w:pPr>
        <w:ind w:right="660" w:firstLine="231"/>
        <w:spacing w:after="0" w:line="275" w:lineRule="auto"/>
        <w:rPr>
          <w:sz w:val="20"/>
          <w:szCs w:val="20"/>
          <w:color w:val="auto"/>
        </w:rPr>
      </w:pPr>
      <w:r>
        <w:rPr>
          <w:rFonts w:ascii="Times New Roman" w:cs="Times New Roman" w:eastAsia="Times New Roman" w:hAnsi="Times New Roman"/>
          <w:sz w:val="19"/>
          <w:szCs w:val="19"/>
          <w:color w:val="231F20"/>
        </w:rPr>
        <w:t>Those stockholders whose shares are held by a broker or other financial intermediary may receive cash dividends and other distributions in cash by notifying their broker or other financial intermediary of their election.</w:t>
      </w:r>
    </w:p>
    <w:p>
      <w:pPr>
        <w:sectPr>
          <w:pgSz w:w="12240" w:h="15840" w:orient="portrait"/>
          <w:cols w:equalWidth="0" w:num="1">
            <w:col w:w="10200"/>
          </w:cols>
          <w:pgMar w:left="1020" w:top="1317" w:right="1020" w:bottom="57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231F20"/>
        </w:rPr>
        <w:t>15</w:t>
      </w:r>
    </w:p>
    <w:p>
      <w:pPr>
        <w:sectPr>
          <w:pgSz w:w="12240" w:h="15840" w:orient="portrait"/>
          <w:cols w:equalWidth="0" w:num="1">
            <w:col w:w="10200"/>
          </w:cols>
          <w:pgMar w:left="1020" w:top="1317" w:right="1020" w:bottom="574" w:gutter="0" w:footer="0" w:header="0"/>
          <w:type w:val="continuous"/>
        </w:sectPr>
      </w:pPr>
    </w:p>
    <w:bookmarkStart w:id="15" w:name="page16"/>
    <w:bookmarkEnd w:id="15"/>
    <w:p>
      <w:pPr>
        <w:ind w:right="100" w:firstLine="231"/>
        <w:spacing w:after="0" w:line="246" w:lineRule="auto"/>
        <w:rPr>
          <w:sz w:val="20"/>
          <w:szCs w:val="20"/>
          <w:color w:val="auto"/>
        </w:rPr>
      </w:pPr>
      <w:r>
        <w:rPr>
          <w:rFonts w:ascii="Times New Roman" w:cs="Times New Roman" w:eastAsia="Times New Roman" w:hAnsi="Times New Roman"/>
          <w:sz w:val="19"/>
          <w:szCs w:val="19"/>
          <w:color w:val="231F20"/>
        </w:rPr>
        <w:t>No action is required on the part of a registered stockholder to have its cash dividend or other distribution reinvested in our common stock. A registered stockholder is able to elect to receive an entire cash dividend or distribution in cash by notifying Equiniti Trust Company, LLC, the plan administrator and our transfer agent and registrar, in writing, so that notice is received by the plan administrator no later than 10 days prior to the record date for the cash dividend or distributions to the stockholders. The plan administrator has set up an account for shares acquired through the plan for each stockholder who has not elected to receive cash dividends or distributions in cash and hold the shares in non-certificated form.</w:t>
      </w:r>
    </w:p>
    <w:p>
      <w:pPr>
        <w:spacing w:after="0" w:line="186" w:lineRule="exact"/>
        <w:rPr>
          <w:sz w:val="20"/>
          <w:szCs w:val="20"/>
          <w:color w:val="auto"/>
        </w:rPr>
      </w:pPr>
    </w:p>
    <w:p>
      <w:pPr>
        <w:ind w:right="40" w:firstLine="231"/>
        <w:spacing w:after="0" w:line="256" w:lineRule="auto"/>
        <w:rPr>
          <w:sz w:val="20"/>
          <w:szCs w:val="20"/>
          <w:color w:val="auto"/>
        </w:rPr>
      </w:pPr>
      <w:r>
        <w:rPr>
          <w:rFonts w:ascii="Times New Roman" w:cs="Times New Roman" w:eastAsia="Times New Roman" w:hAnsi="Times New Roman"/>
          <w:sz w:val="18"/>
          <w:szCs w:val="18"/>
          <w:color w:val="231F20"/>
        </w:rPr>
        <w:t>We expect to use primarily newly issued shares to implement the plan, whether our shares are trading at a premium or at a discount to net asset value. We reserve the right to purchase shares in the open market in connection with our implementation of the plan. The number of shares to be issued to a stockholder is determined by dividing the total dollar amount of the cash dividend or distribution payable to a stockholder by the market price per share of our common stock at the close of regular trading on the New York Stock Exchange, or “NYSE,” on the payment date of a distribution, or if no sale is reported for such day, the average of the reported bid and ask prices. However, if the market price per share on the payment date of a cash dividend or distribution exceeds the most recently computed net asset value per share, we will issue shares at the greater of (i) the most recently computed net asset value per share and</w:t>
      </w:r>
    </w:p>
    <w:p>
      <w:pPr>
        <w:spacing w:after="0" w:line="3" w:lineRule="exact"/>
        <w:rPr>
          <w:sz w:val="20"/>
          <w:szCs w:val="20"/>
          <w:color w:val="auto"/>
        </w:rPr>
      </w:pPr>
    </w:p>
    <w:p>
      <w:pPr>
        <w:jc w:val="both"/>
        <w:spacing w:after="0"/>
        <w:tabs>
          <w:tab w:leader="none" w:pos="278" w:val="left"/>
        </w:tabs>
        <w:numPr>
          <w:ilvl w:val="0"/>
          <w:numId w:val="21"/>
        </w:numPr>
        <w:rPr>
          <w:rFonts w:ascii="Times New Roman" w:cs="Times New Roman" w:eastAsia="Times New Roman" w:hAnsi="Times New Roman"/>
          <w:sz w:val="19"/>
          <w:szCs w:val="19"/>
          <w:color w:val="231F20"/>
        </w:rPr>
      </w:pPr>
      <w:r>
        <w:rPr>
          <w:rFonts w:ascii="Times New Roman" w:cs="Times New Roman" w:eastAsia="Times New Roman" w:hAnsi="Times New Roman"/>
          <w:sz w:val="19"/>
          <w:szCs w:val="19"/>
          <w:color w:val="231F20"/>
        </w:rPr>
        <w:t>95% of the current market price per share (or such lesser discount to the current market price per share that still exceeded the most recently computed net asset value per share). Shares purchased in open market transactions by the plan administrator will be allocated to a stockholder based on the average purchase price, excluding any brokerage charges or other charges, of all shares of common stock purchased in the open market.</w:t>
      </w:r>
    </w:p>
    <w:p>
      <w:pPr>
        <w:spacing w:after="0" w:line="194" w:lineRule="exact"/>
        <w:rPr>
          <w:sz w:val="20"/>
          <w:szCs w:val="20"/>
          <w:color w:val="auto"/>
        </w:rPr>
      </w:pPr>
    </w:p>
    <w:p>
      <w:pPr>
        <w:ind w:firstLine="231"/>
        <w:spacing w:after="0" w:line="246" w:lineRule="auto"/>
        <w:rPr>
          <w:sz w:val="20"/>
          <w:szCs w:val="20"/>
          <w:color w:val="auto"/>
        </w:rPr>
      </w:pPr>
      <w:r>
        <w:rPr>
          <w:rFonts w:ascii="Times New Roman" w:cs="Times New Roman" w:eastAsia="Times New Roman" w:hAnsi="Times New Roman"/>
          <w:sz w:val="19"/>
          <w:szCs w:val="19"/>
          <w:color w:val="231F20"/>
        </w:rPr>
        <w:t>The number of shares of our common stock that will be outstanding after giving effect to payment of a cash dividend or distribution cannot be established until the value per share at which additional shares will be issued has been determined and elections of our stockholders have been tabulated. The number of shares to be issued to a stockholder pursuant to the foregoing will be rounded down to the nearest whole share to avoid the issuance of fractional shares, with any fractional shares being paid in cash. For non-U.S. stockholders, the number of shares to be issued to the stockholder will be the amount equal to the total dollar amount of the cash dividend or distribution payable, net of applicable withholding taxes.</w:t>
      </w:r>
    </w:p>
    <w:p>
      <w:pPr>
        <w:spacing w:after="0" w:line="186" w:lineRule="exact"/>
        <w:rPr>
          <w:sz w:val="20"/>
          <w:szCs w:val="20"/>
          <w:color w:val="auto"/>
        </w:rPr>
      </w:pPr>
    </w:p>
    <w:p>
      <w:pPr>
        <w:ind w:right="60" w:firstLine="231"/>
        <w:spacing w:after="0" w:line="247" w:lineRule="auto"/>
        <w:rPr>
          <w:sz w:val="20"/>
          <w:szCs w:val="20"/>
          <w:color w:val="auto"/>
        </w:rPr>
      </w:pPr>
      <w:r>
        <w:rPr>
          <w:rFonts w:ascii="Times New Roman" w:cs="Times New Roman" w:eastAsia="Times New Roman" w:hAnsi="Times New Roman"/>
          <w:sz w:val="19"/>
          <w:szCs w:val="19"/>
          <w:color w:val="231F20"/>
        </w:rPr>
        <w:t>There are no brokerage charges or other charges to stockholders who participate in the plan. The plan is terminable by us upon notice in writing mailed to each stockholder of record at least 30 days prior to any record date for the payment of any cash dividend or distribution by us. If a participant elects by written notice to the plan administrator to have the plan administrator sell part or all of the shares held by the plan administrator in the participant’s account and remit the proceeds to the participant, the plan administrator is authorized to deduct a $15.00 transaction fee plus a brokerage commission from the proceeds.</w:t>
      </w:r>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231F20"/>
        </w:rPr>
        <w:t>Administration</w:t>
      </w:r>
    </w:p>
    <w:p>
      <w:pPr>
        <w:spacing w:after="0" w:line="108" w:lineRule="exact"/>
        <w:rPr>
          <w:sz w:val="20"/>
          <w:szCs w:val="20"/>
          <w:color w:val="auto"/>
        </w:rPr>
      </w:pPr>
    </w:p>
    <w:p>
      <w:pPr>
        <w:ind w:right="100" w:firstLine="231"/>
        <w:spacing w:after="0" w:line="258" w:lineRule="auto"/>
        <w:rPr>
          <w:sz w:val="20"/>
          <w:szCs w:val="20"/>
          <w:color w:val="auto"/>
        </w:rPr>
      </w:pPr>
      <w:r>
        <w:rPr>
          <w:rFonts w:ascii="Times New Roman" w:cs="Times New Roman" w:eastAsia="Times New Roman" w:hAnsi="Times New Roman"/>
          <w:sz w:val="18"/>
          <w:szCs w:val="18"/>
          <w:color w:val="231F20"/>
        </w:rPr>
        <w:t>Each of our executive officers is an employee of our Adviser or its affiliates. We do not currently have any employees and do not expect to have any employees. Individuals who are employees of our Adviser or its affiliates provide services necessary for our business under the terms of the Investment Advisory Agreement and the Administration Agreement. Our day-to-day investment operations are managed by our Adviser and the services necessary for the origination and administration of our investment portfolio are provided by investment professionals employed by our Adviser or its affiliates. Our Investment Team focuses on origination and transaction development and the ongoing monitoring of our investments. In addition, we reimburse the Adviser for the allocable portion of the compensation paid by the Adviser (or its affiliates) to our Chief Compliance Officer, Chief Financial Officer, and other professionals who spend time on those related activities (based on the percentage of time those individuals devote, on an estimated basis, to our business and affairs). See “</w:t>
      </w:r>
      <w:r>
        <w:rPr>
          <w:rFonts w:ascii="Times New Roman" w:cs="Times New Roman" w:eastAsia="Times New Roman" w:hAnsi="Times New Roman"/>
          <w:sz w:val="18"/>
          <w:szCs w:val="18"/>
          <w:i w:val="1"/>
          <w:iCs w:val="1"/>
          <w:color w:val="231F20"/>
        </w:rPr>
        <w:t>Investment Advisory Agreement; Administration Agreement; License Agreement</w:t>
      </w:r>
      <w:r>
        <w:rPr>
          <w:rFonts w:ascii="Times New Roman" w:cs="Times New Roman" w:eastAsia="Times New Roman" w:hAnsi="Times New Roman"/>
          <w:sz w:val="18"/>
          <w:szCs w:val="18"/>
          <w:color w:val="231F20"/>
        </w:rPr>
        <w:t>” below.</w:t>
      </w:r>
    </w:p>
    <w:p>
      <w:pPr>
        <w:spacing w:after="0" w:line="66" w:lineRule="exact"/>
        <w:rPr>
          <w:sz w:val="20"/>
          <w:szCs w:val="20"/>
          <w:color w:val="auto"/>
        </w:rPr>
      </w:pPr>
    </w:p>
    <w:p>
      <w:pPr>
        <w:ind w:right="180" w:firstLine="231"/>
        <w:spacing w:after="0" w:line="275" w:lineRule="auto"/>
        <w:rPr>
          <w:sz w:val="20"/>
          <w:szCs w:val="20"/>
          <w:color w:val="auto"/>
        </w:rPr>
      </w:pPr>
      <w:r>
        <w:rPr>
          <w:rFonts w:ascii="Times New Roman" w:cs="Times New Roman" w:eastAsia="Times New Roman" w:hAnsi="Times New Roman"/>
          <w:sz w:val="19"/>
          <w:szCs w:val="19"/>
          <w:color w:val="231F20"/>
        </w:rPr>
        <w:t>In addition to our Adviser, Sixth Street has a team of over 650 investment and operating professionals. As of December 31, 2024, seventy-two (72) of these personnel are dedicated to direct lending, including fifty-seven (57) investment professionals.</w:t>
      </w:r>
    </w:p>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231F20"/>
        </w:rPr>
        <w:t>Management Agreements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231F20"/>
        </w:rPr>
        <w:t>Investment Advisory Agreement; Administration Agreement; License Agreement</w:t>
      </w:r>
    </w:p>
    <w:p>
      <w:pPr>
        <w:spacing w:after="0" w:line="108" w:lineRule="exact"/>
        <w:rPr>
          <w:sz w:val="20"/>
          <w:szCs w:val="20"/>
          <w:color w:val="auto"/>
        </w:rPr>
      </w:pPr>
    </w:p>
    <w:p>
      <w:pPr>
        <w:ind w:right="280" w:firstLine="231"/>
        <w:spacing w:after="0" w:line="275" w:lineRule="auto"/>
        <w:rPr>
          <w:sz w:val="20"/>
          <w:szCs w:val="20"/>
          <w:color w:val="auto"/>
        </w:rPr>
      </w:pPr>
      <w:r>
        <w:rPr>
          <w:rFonts w:ascii="Times New Roman" w:cs="Times New Roman" w:eastAsia="Times New Roman" w:hAnsi="Times New Roman"/>
          <w:sz w:val="19"/>
          <w:szCs w:val="19"/>
          <w:color w:val="231F20"/>
        </w:rPr>
        <w:t>On April 15, 2011, we entered into the Investment Advisory Agreement with our Adviser. The Investment Advisory Agreement was subsequently amended on December 12, 2011.</w:t>
      </w:r>
    </w:p>
    <w:p>
      <w:pPr>
        <w:spacing w:after="0" w:line="160"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9"/>
          <w:szCs w:val="19"/>
          <w:color w:val="231F20"/>
        </w:rPr>
        <w:t>Under the Investment Advisory Agreement, the Adviser:</w:t>
      </w:r>
    </w:p>
    <w:p>
      <w:pPr>
        <w:spacing w:after="0" w:line="126" w:lineRule="exact"/>
        <w:rPr>
          <w:sz w:val="20"/>
          <w:szCs w:val="20"/>
          <w:color w:val="auto"/>
        </w:rPr>
      </w:pPr>
    </w:p>
    <w:p>
      <w:pPr>
        <w:ind w:left="460" w:right="980" w:hanging="229"/>
        <w:spacing w:after="0" w:line="274" w:lineRule="auto"/>
        <w:tabs>
          <w:tab w:leader="none" w:pos="460" w:val="left"/>
        </w:tabs>
        <w:numPr>
          <w:ilvl w:val="0"/>
          <w:numId w:val="22"/>
        </w:numPr>
        <w:rPr>
          <w:rFonts w:ascii="Arial" w:cs="Arial" w:eastAsia="Arial" w:hAnsi="Arial"/>
          <w:sz w:val="19"/>
          <w:szCs w:val="19"/>
          <w:color w:val="231F20"/>
        </w:rPr>
      </w:pPr>
      <w:r>
        <w:rPr>
          <w:rFonts w:ascii="Times New Roman" w:cs="Times New Roman" w:eastAsia="Times New Roman" w:hAnsi="Times New Roman"/>
          <w:sz w:val="19"/>
          <w:szCs w:val="19"/>
          <w:color w:val="231F20"/>
        </w:rPr>
        <w:t>determines the composition of our portfolio, the nature and timing of the changes to our portfolio and the manner of implementing those changes;</w:t>
      </w:r>
    </w:p>
    <w:p>
      <w:pPr>
        <w:spacing w:after="0" w:line="61" w:lineRule="exact"/>
        <w:rPr>
          <w:rFonts w:ascii="Arial" w:cs="Arial" w:eastAsia="Arial" w:hAnsi="Arial"/>
          <w:sz w:val="19"/>
          <w:szCs w:val="19"/>
          <w:color w:val="231F20"/>
        </w:rPr>
      </w:pPr>
    </w:p>
    <w:p>
      <w:pPr>
        <w:ind w:left="460" w:right="640" w:hanging="229"/>
        <w:spacing w:after="0" w:line="274" w:lineRule="auto"/>
        <w:tabs>
          <w:tab w:leader="none" w:pos="460" w:val="left"/>
        </w:tabs>
        <w:numPr>
          <w:ilvl w:val="0"/>
          <w:numId w:val="22"/>
        </w:numPr>
        <w:rPr>
          <w:rFonts w:ascii="Arial" w:cs="Arial" w:eastAsia="Arial" w:hAnsi="Arial"/>
          <w:sz w:val="19"/>
          <w:szCs w:val="19"/>
          <w:color w:val="231F20"/>
        </w:rPr>
      </w:pPr>
      <w:r>
        <w:rPr>
          <w:rFonts w:ascii="Times New Roman" w:cs="Times New Roman" w:eastAsia="Times New Roman" w:hAnsi="Times New Roman"/>
          <w:sz w:val="19"/>
          <w:szCs w:val="19"/>
          <w:color w:val="231F20"/>
        </w:rPr>
        <w:t>identifies, evaluates and negotiates the structure of the investments we make (including performing due diligence on our prospective portfolio companies);</w:t>
      </w:r>
    </w:p>
    <w:p>
      <w:pPr>
        <w:sectPr>
          <w:pgSz w:w="12240" w:h="15840" w:orient="portrait"/>
          <w:cols w:equalWidth="0" w:num="1">
            <w:col w:w="10200"/>
          </w:cols>
          <w:pgMar w:left="1020" w:top="1317" w:right="1020" w:bottom="574" w:gutter="0" w:footer="0" w:header="0"/>
        </w:sectPr>
      </w:pPr>
    </w:p>
    <w:p>
      <w:pPr>
        <w:spacing w:after="0" w:line="1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231F20"/>
        </w:rPr>
        <w:t>16</w:t>
      </w:r>
    </w:p>
    <w:p>
      <w:pPr>
        <w:sectPr>
          <w:pgSz w:w="12240" w:h="15840" w:orient="portrait"/>
          <w:cols w:equalWidth="0" w:num="1">
            <w:col w:w="10200"/>
          </w:cols>
          <w:pgMar w:left="1020" w:top="1317" w:right="1020" w:bottom="574" w:gutter="0" w:footer="0" w:header="0"/>
          <w:type w:val="continuous"/>
        </w:sectPr>
      </w:pPr>
    </w:p>
    <w:bookmarkStart w:id="16" w:name="page17"/>
    <w:bookmarkEnd w:id="16"/>
    <w:p>
      <w:pPr>
        <w:ind w:left="460" w:hanging="229"/>
        <w:spacing w:after="0"/>
        <w:tabs>
          <w:tab w:leader="none" w:pos="460" w:val="left"/>
        </w:tabs>
        <w:numPr>
          <w:ilvl w:val="0"/>
          <w:numId w:val="23"/>
        </w:numPr>
        <w:rPr>
          <w:rFonts w:ascii="Arial" w:cs="Arial" w:eastAsia="Arial" w:hAnsi="Arial"/>
          <w:sz w:val="19"/>
          <w:szCs w:val="19"/>
          <w:color w:val="231F20"/>
        </w:rPr>
      </w:pPr>
      <w:r>
        <w:rPr>
          <w:rFonts w:ascii="Times New Roman" w:cs="Times New Roman" w:eastAsia="Times New Roman" w:hAnsi="Times New Roman"/>
          <w:sz w:val="19"/>
          <w:szCs w:val="19"/>
          <w:color w:val="231F20"/>
        </w:rPr>
        <w:t>determines the assets we will originate, purchase, retain or sell;</w:t>
      </w:r>
    </w:p>
    <w:p>
      <w:pPr>
        <w:spacing w:after="0" w:line="124" w:lineRule="exact"/>
        <w:rPr>
          <w:rFonts w:ascii="Arial" w:cs="Arial" w:eastAsia="Arial" w:hAnsi="Arial"/>
          <w:sz w:val="19"/>
          <w:szCs w:val="19"/>
          <w:color w:val="231F20"/>
        </w:rPr>
      </w:pPr>
    </w:p>
    <w:p>
      <w:pPr>
        <w:ind w:left="460" w:right="340" w:hanging="229"/>
        <w:spacing w:after="0" w:line="274" w:lineRule="auto"/>
        <w:tabs>
          <w:tab w:leader="none" w:pos="460" w:val="left"/>
        </w:tabs>
        <w:numPr>
          <w:ilvl w:val="0"/>
          <w:numId w:val="23"/>
        </w:numPr>
        <w:rPr>
          <w:rFonts w:ascii="Arial" w:cs="Arial" w:eastAsia="Arial" w:hAnsi="Arial"/>
          <w:sz w:val="19"/>
          <w:szCs w:val="19"/>
          <w:color w:val="231F20"/>
        </w:rPr>
      </w:pPr>
      <w:r>
        <w:rPr>
          <w:rFonts w:ascii="Times New Roman" w:cs="Times New Roman" w:eastAsia="Times New Roman" w:hAnsi="Times New Roman"/>
          <w:sz w:val="19"/>
          <w:szCs w:val="19"/>
          <w:color w:val="231F20"/>
        </w:rPr>
        <w:t>closes, monitors and administers the investments we make, including the exercise of any rights in our capacity as a lender or equity holder; and</w:t>
      </w:r>
    </w:p>
    <w:p>
      <w:pPr>
        <w:spacing w:after="0" w:line="61" w:lineRule="exact"/>
        <w:rPr>
          <w:rFonts w:ascii="Arial" w:cs="Arial" w:eastAsia="Arial" w:hAnsi="Arial"/>
          <w:sz w:val="19"/>
          <w:szCs w:val="19"/>
          <w:color w:val="231F20"/>
        </w:rPr>
      </w:pPr>
    </w:p>
    <w:p>
      <w:pPr>
        <w:ind w:left="460" w:right="20" w:hanging="229"/>
        <w:spacing w:after="0" w:line="303" w:lineRule="auto"/>
        <w:tabs>
          <w:tab w:leader="none" w:pos="460" w:val="left"/>
        </w:tabs>
        <w:numPr>
          <w:ilvl w:val="0"/>
          <w:numId w:val="23"/>
        </w:numPr>
        <w:rPr>
          <w:rFonts w:ascii="Arial" w:cs="Arial" w:eastAsia="Arial" w:hAnsi="Arial"/>
          <w:sz w:val="18"/>
          <w:szCs w:val="18"/>
          <w:color w:val="231F20"/>
        </w:rPr>
      </w:pPr>
      <w:r>
        <w:rPr>
          <w:rFonts w:ascii="Times New Roman" w:cs="Times New Roman" w:eastAsia="Times New Roman" w:hAnsi="Times New Roman"/>
          <w:sz w:val="18"/>
          <w:szCs w:val="18"/>
          <w:color w:val="231F20"/>
        </w:rPr>
        <w:t>provides us other investment advisory, research and related services as we may, from time to time, reasonably require for the investment of our funds, including providing operating and managerial assistance to us and our portfolio companies, as required.</w:t>
      </w:r>
    </w:p>
    <w:p>
      <w:pPr>
        <w:spacing w:after="0" w:line="137" w:lineRule="exact"/>
        <w:rPr>
          <w:sz w:val="20"/>
          <w:szCs w:val="20"/>
          <w:color w:val="auto"/>
        </w:rPr>
      </w:pPr>
    </w:p>
    <w:p>
      <w:pPr>
        <w:ind w:right="280" w:firstLine="231"/>
        <w:spacing w:after="0" w:line="275" w:lineRule="auto"/>
        <w:rPr>
          <w:sz w:val="20"/>
          <w:szCs w:val="20"/>
          <w:color w:val="auto"/>
        </w:rPr>
      </w:pPr>
      <w:r>
        <w:rPr>
          <w:rFonts w:ascii="Times New Roman" w:cs="Times New Roman" w:eastAsia="Times New Roman" w:hAnsi="Times New Roman"/>
          <w:sz w:val="19"/>
          <w:szCs w:val="19"/>
          <w:color w:val="231F20"/>
        </w:rPr>
        <w:t>The Adviser’s services under the Investment Advisory Agreement are not exclusive, and the Adviser is free to furnish similar or other services to others so long as its services to us are not impaired.</w:t>
      </w:r>
    </w:p>
    <w:p>
      <w:pPr>
        <w:spacing w:after="0" w:line="160" w:lineRule="exact"/>
        <w:rPr>
          <w:sz w:val="20"/>
          <w:szCs w:val="20"/>
          <w:color w:val="auto"/>
        </w:rPr>
      </w:pPr>
    </w:p>
    <w:p>
      <w:pPr>
        <w:ind w:right="140" w:firstLine="231"/>
        <w:spacing w:after="0" w:line="275" w:lineRule="auto"/>
        <w:rPr>
          <w:sz w:val="20"/>
          <w:szCs w:val="20"/>
          <w:color w:val="auto"/>
        </w:rPr>
      </w:pPr>
      <w:r>
        <w:rPr>
          <w:rFonts w:ascii="Times New Roman" w:cs="Times New Roman" w:eastAsia="Times New Roman" w:hAnsi="Times New Roman"/>
          <w:sz w:val="19"/>
          <w:szCs w:val="19"/>
          <w:color w:val="231F20"/>
        </w:rPr>
        <w:t>Under the terms of the Investment Advisory Agreement, we pay the Adviser a base management fee (the “Management Fee”) and may also pay certain incentive fees (the “Incentive Fees”).</w:t>
      </w:r>
    </w:p>
    <w:p>
      <w:pPr>
        <w:spacing w:after="0" w:line="160" w:lineRule="exact"/>
        <w:rPr>
          <w:sz w:val="20"/>
          <w:szCs w:val="20"/>
          <w:color w:val="auto"/>
        </w:rPr>
      </w:pPr>
    </w:p>
    <w:p>
      <w:pPr>
        <w:jc w:val="both"/>
        <w:ind w:right="340" w:firstLine="231"/>
        <w:spacing w:after="0" w:line="257" w:lineRule="auto"/>
        <w:rPr>
          <w:sz w:val="20"/>
          <w:szCs w:val="20"/>
          <w:color w:val="auto"/>
        </w:rPr>
      </w:pPr>
      <w:r>
        <w:rPr>
          <w:rFonts w:ascii="Times New Roman" w:cs="Times New Roman" w:eastAsia="Times New Roman" w:hAnsi="Times New Roman"/>
          <w:sz w:val="19"/>
          <w:szCs w:val="19"/>
          <w:color w:val="231F20"/>
        </w:rPr>
        <w:t>The Management Fee is calculated at an annual rate of 1.5% based on the average value of our gross assets calculated using the values at the end of the two most recently completed calendar quarters, adjusted for any share issuances or repurchases during the period. The Management Fee is payable quarterly in arrears.</w:t>
      </w:r>
    </w:p>
    <w:p>
      <w:pPr>
        <w:spacing w:after="0" w:line="176" w:lineRule="exact"/>
        <w:rPr>
          <w:sz w:val="20"/>
          <w:szCs w:val="20"/>
          <w:color w:val="auto"/>
        </w:rPr>
      </w:pPr>
    </w:p>
    <w:p>
      <w:pPr>
        <w:ind w:right="680" w:firstLine="231"/>
        <w:spacing w:after="0" w:line="275" w:lineRule="auto"/>
        <w:rPr>
          <w:sz w:val="20"/>
          <w:szCs w:val="20"/>
          <w:color w:val="auto"/>
        </w:rPr>
      </w:pPr>
      <w:r>
        <w:rPr>
          <w:rFonts w:ascii="Times New Roman" w:cs="Times New Roman" w:eastAsia="Times New Roman" w:hAnsi="Times New Roman"/>
          <w:sz w:val="19"/>
          <w:szCs w:val="19"/>
          <w:color w:val="231F20"/>
        </w:rPr>
        <w:t>For each of the years ended December 31, 2024, December 31, 2023, and December 31, 2022, Management Fees (gross of waivers) were $51.8 million, $46.4 million and $39.9 million, respectively.</w:t>
      </w:r>
    </w:p>
    <w:p>
      <w:pPr>
        <w:spacing w:after="0" w:line="160"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9"/>
          <w:szCs w:val="19"/>
          <w:color w:val="231F20"/>
        </w:rPr>
        <w:t>Any waived Management Fees are not subject to recoupment by the Adviser.</w:t>
      </w:r>
    </w:p>
    <w:p>
      <w:pPr>
        <w:spacing w:after="0" w:line="225" w:lineRule="exact"/>
        <w:rPr>
          <w:sz w:val="20"/>
          <w:szCs w:val="20"/>
          <w:color w:val="auto"/>
        </w:rPr>
      </w:pPr>
    </w:p>
    <w:p>
      <w:pPr>
        <w:ind w:right="40" w:firstLine="231"/>
        <w:spacing w:after="0" w:line="244" w:lineRule="auto"/>
        <w:rPr>
          <w:sz w:val="20"/>
          <w:szCs w:val="20"/>
          <w:color w:val="auto"/>
        </w:rPr>
      </w:pPr>
      <w:r>
        <w:rPr>
          <w:rFonts w:ascii="Times New Roman" w:cs="Times New Roman" w:eastAsia="Times New Roman" w:hAnsi="Times New Roman"/>
          <w:sz w:val="19"/>
          <w:szCs w:val="19"/>
          <w:color w:val="231F20"/>
        </w:rPr>
        <w:t>The Adviser intends to waive a portion of the Management Fee payable under the Investment Advisory Agreement by reducing the Management Fee on assets financed using leverage over 200% asset coverage (in other words, over 1.0x debt to equity) (the “Leverage Waiver”). Pursuant to the Leverage Waiver, the Adviser intends to waive the portion of the Management Fee in excess of an annual rate of 1.0% (0.250% per quarter) on the average value of our gross assets as of the end of the two most recently completed calendar quarters that exceeds the product of (i) 200% and (ii) the average value of our net asset value at the end of the two most recently completed calendar quarters. For the years ended December 31, 2024, December 31, 2023 and December 31, 2022, Management Fees of $1.5 million, $1.2 million and $0.4 million, respectively, have been waived pursuant to the Leverage Waiver.</w:t>
      </w:r>
    </w:p>
    <w:p>
      <w:pPr>
        <w:spacing w:after="0" w:line="19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9"/>
          <w:szCs w:val="19"/>
          <w:color w:val="231F20"/>
        </w:rPr>
        <w:t>The Incentive Fee consists of two parts, as follows:</w:t>
      </w:r>
    </w:p>
    <w:p>
      <w:pPr>
        <w:spacing w:after="0" w:line="112" w:lineRule="exact"/>
        <w:rPr>
          <w:sz w:val="20"/>
          <w:szCs w:val="20"/>
          <w:color w:val="auto"/>
        </w:rPr>
      </w:pPr>
    </w:p>
    <w:p>
      <w:pPr>
        <w:ind w:left="460" w:hanging="407"/>
        <w:spacing w:after="0" w:line="257" w:lineRule="auto"/>
        <w:tabs>
          <w:tab w:leader="none" w:pos="460" w:val="left"/>
        </w:tabs>
        <w:numPr>
          <w:ilvl w:val="0"/>
          <w:numId w:val="24"/>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first component, payable at the end of each quarter in arrears, equals 100% of the pre-Incentive Fee net investment income in excess of a 1.5% quarterly “hurdle rate,” the calculation of which is further explained below, until the Adviser has received 17.5% of the total pre-Incentive Fee net investment income for that quarter and, for pre-Incentive Fee net investment income in excess of 1.82% quarterly, 17.5% of all remaining pre-Incentive Fee net investment income for that quarter. The 100% “catch-up” provision for pre-Incentive Fee net investment income in excess of the 1.5% “hurdle rate” is intended to provide the Adviser with an Incentive Fee of 17.5% on all pre-Incentive Fee net investment income when that amount equals 1.82% in a quarter</w:t>
      </w:r>
    </w:p>
    <w:p>
      <w:pPr>
        <w:spacing w:after="0" w:line="1" w:lineRule="exact"/>
        <w:rPr>
          <w:rFonts w:ascii="Times New Roman" w:cs="Times New Roman" w:eastAsia="Times New Roman" w:hAnsi="Times New Roman"/>
          <w:sz w:val="18"/>
          <w:szCs w:val="18"/>
          <w:color w:val="231F20"/>
        </w:rPr>
      </w:pPr>
    </w:p>
    <w:p>
      <w:pPr>
        <w:ind w:left="460" w:right="80"/>
        <w:spacing w:after="0" w:line="245" w:lineRule="auto"/>
        <w:rPr>
          <w:rFonts w:ascii="Times New Roman" w:cs="Times New Roman" w:eastAsia="Times New Roman" w:hAnsi="Times New Roman"/>
          <w:sz w:val="18"/>
          <w:szCs w:val="18"/>
          <w:color w:val="231F20"/>
        </w:rPr>
      </w:pPr>
      <w:r>
        <w:rPr>
          <w:rFonts w:ascii="Times New Roman" w:cs="Times New Roman" w:eastAsia="Times New Roman" w:hAnsi="Times New Roman"/>
          <w:sz w:val="19"/>
          <w:szCs w:val="19"/>
          <w:color w:val="231F20"/>
        </w:rPr>
        <w:t>(7.28% annualized), which is the rate at which catch-up is achieved. Once the “hurdle rate” is reached and catch-up is achieved, 17.5% of any pre-Incentive Fee net investment income in excess of 1.82% in any quarter is payable to the Adviser.</w:t>
      </w:r>
    </w:p>
    <w:p>
      <w:pPr>
        <w:spacing w:after="0" w:line="73" w:lineRule="exact"/>
        <w:rPr>
          <w:rFonts w:ascii="Times New Roman" w:cs="Times New Roman" w:eastAsia="Times New Roman" w:hAnsi="Times New Roman"/>
          <w:sz w:val="18"/>
          <w:szCs w:val="18"/>
          <w:color w:val="231F20"/>
        </w:rPr>
      </w:pPr>
    </w:p>
    <w:p>
      <w:pPr>
        <w:ind w:left="460" w:right="60"/>
        <w:spacing w:after="0" w:line="244" w:lineRule="auto"/>
        <w:rPr>
          <w:rFonts w:ascii="Times New Roman" w:cs="Times New Roman" w:eastAsia="Times New Roman" w:hAnsi="Times New Roman"/>
          <w:sz w:val="18"/>
          <w:szCs w:val="18"/>
          <w:color w:val="231F20"/>
        </w:rPr>
      </w:pPr>
      <w:r>
        <w:rPr>
          <w:rFonts w:ascii="Times New Roman" w:cs="Times New Roman" w:eastAsia="Times New Roman" w:hAnsi="Times New Roman"/>
          <w:sz w:val="19"/>
          <w:szCs w:val="19"/>
          <w:color w:val="231F20"/>
        </w:rPr>
        <w:t>Pre-Incentive Fee net investment income means dividends, interest and fee income accrued by us during the calendar quarter, minus our operating expenses for the quarter (including the Management Fee, expenses payable under the Administration Agreement to the Administrator, and any interest expense and dividends paid on any issued and outstanding preferred stock, but excluding the Incentive Fee). Pre-Incentive Fee net investment income includes, in the case of investments with a deferred interest feature (such as original issue discount, debt instruments with pay-in-kind interest and zero coupon securities), accrued income that we may not have received in cash. Pre-Incentive Fee net investment income does not include any realized capital gains, realized capital losses or unrealized capital gains or losses.</w:t>
      </w:r>
    </w:p>
    <w:p>
      <w:pPr>
        <w:spacing w:after="0" w:line="78" w:lineRule="exact"/>
        <w:rPr>
          <w:rFonts w:ascii="Times New Roman" w:cs="Times New Roman" w:eastAsia="Times New Roman" w:hAnsi="Times New Roman"/>
          <w:sz w:val="18"/>
          <w:szCs w:val="18"/>
          <w:color w:val="231F20"/>
        </w:rPr>
      </w:pPr>
    </w:p>
    <w:p>
      <w:pPr>
        <w:ind w:left="460" w:right="20" w:hanging="459"/>
        <w:spacing w:after="0" w:line="257" w:lineRule="auto"/>
        <w:tabs>
          <w:tab w:leader="none" w:pos="460" w:val="left"/>
        </w:tabs>
        <w:numPr>
          <w:ilvl w:val="0"/>
          <w:numId w:val="24"/>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second component, payable at the end of each fiscal year in arrears, equaled 15% through March 31, 2014 and, beginning April 1, 2014, equals a weighted percentage of cumulative realized capital gains from our inception to the end of that fiscal year, less cumulative realized capital losses and unrealized capital losses. This component of the Incentive Fee is referred to as the Capital Gains Fee. Each year, the fee paid for this component of the Incentive Fee is net of the aggregate amount of any previously paid Capital Gains Fee for prior periods. For capital gains that accrue following March 31, 2014, the Incentive Fee rate is 17.5%. We accrue, but do not pay, a Capital Gains Fee with respect to unrealized capital gains because a Capital Gains Fee would be owed to the Adviser if we were to sell the relevant investment and realize a capital gain. The weighted percentage is intended to ensure that for each fiscal year following the completion of the initial public offering ("IPO"), the portion of our realized capital gains that accrued prior to March 31, 2014, is subject to an Incentive Fee rate of 15% and the portion of our realized capital gains that accrued beginning April 1, 2014 is subject to an Incentive Fee rate of 17.5%. In the determination of the second component of the Incentive Fee, any unrealized gains or losses specifically related to the foreign currency</w:t>
      </w:r>
    </w:p>
    <w:p>
      <w:pPr>
        <w:sectPr>
          <w:pgSz w:w="12240" w:h="15840" w:orient="portrait"/>
          <w:cols w:equalWidth="0" w:num="1">
            <w:col w:w="10200"/>
          </w:cols>
          <w:pgMar w:left="1020" w:top="1330" w:right="1020" w:bottom="574" w:gutter="0" w:footer="0" w:header="0"/>
        </w:sectPr>
      </w:pP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231F20"/>
        </w:rPr>
        <w:t>17</w:t>
      </w:r>
    </w:p>
    <w:p>
      <w:pPr>
        <w:sectPr>
          <w:pgSz w:w="12240" w:h="15840" w:orient="portrait"/>
          <w:cols w:equalWidth="0" w:num="1">
            <w:col w:w="10200"/>
          </w:cols>
          <w:pgMar w:left="1020" w:top="1330" w:right="1020" w:bottom="574" w:gutter="0" w:footer="0" w:header="0"/>
          <w:type w:val="continuous"/>
        </w:sectPr>
      </w:pPr>
    </w:p>
    <w:bookmarkStart w:id="17" w:name="page18"/>
    <w:bookmarkEnd w:id="17"/>
    <w:p>
      <w:pPr>
        <w:ind w:left="460" w:right="40"/>
        <w:spacing w:after="0" w:line="257" w:lineRule="auto"/>
        <w:rPr>
          <w:sz w:val="20"/>
          <w:szCs w:val="20"/>
          <w:color w:val="auto"/>
        </w:rPr>
      </w:pPr>
      <w:r>
        <w:rPr>
          <w:rFonts w:ascii="Times New Roman" w:cs="Times New Roman" w:eastAsia="Times New Roman" w:hAnsi="Times New Roman"/>
          <w:sz w:val="19"/>
          <w:szCs w:val="19"/>
          <w:color w:val="231F20"/>
        </w:rPr>
        <w:t>denominated borrowings of non-US dollar denominated investments is offset against any associated unrealized gains or losses related to foreign currency denominated investments. As of March 31, 2020, there are no remaining investments that were made prior to April 1, 2014, and as a result, the Incentive Fee rate of 17.5% is applicable to any future realized capital gains.</w:t>
      </w:r>
    </w:p>
    <w:p>
      <w:pPr>
        <w:spacing w:after="0" w:line="176" w:lineRule="exact"/>
        <w:rPr>
          <w:sz w:val="20"/>
          <w:szCs w:val="20"/>
          <w:color w:val="auto"/>
        </w:rPr>
      </w:pPr>
    </w:p>
    <w:p>
      <w:pPr>
        <w:jc w:val="both"/>
        <w:ind w:right="460" w:firstLine="231"/>
        <w:spacing w:after="0" w:line="257" w:lineRule="auto"/>
        <w:rPr>
          <w:sz w:val="20"/>
          <w:szCs w:val="20"/>
          <w:color w:val="auto"/>
        </w:rPr>
      </w:pPr>
      <w:r>
        <w:rPr>
          <w:rFonts w:ascii="Times New Roman" w:cs="Times New Roman" w:eastAsia="Times New Roman" w:hAnsi="Times New Roman"/>
          <w:sz w:val="19"/>
          <w:szCs w:val="19"/>
          <w:color w:val="231F20"/>
        </w:rPr>
        <w:t>For purposes of determining whether pre-Incentive Fee net investment income exceeds the hurdle rate, pre-Incentive Fee net investment income is expressed as a rate of return on the value of our net assets at the end of the immediately preceding calendar quarter.</w:t>
      </w:r>
    </w:p>
    <w:p>
      <w:pPr>
        <w:spacing w:after="0" w:line="176" w:lineRule="exact"/>
        <w:rPr>
          <w:sz w:val="20"/>
          <w:szCs w:val="20"/>
          <w:color w:val="auto"/>
        </w:rPr>
      </w:pPr>
    </w:p>
    <w:p>
      <w:pPr>
        <w:ind w:right="40" w:firstLine="231"/>
        <w:spacing w:after="0" w:line="243" w:lineRule="auto"/>
        <w:rPr>
          <w:sz w:val="20"/>
          <w:szCs w:val="20"/>
          <w:color w:val="auto"/>
        </w:rPr>
      </w:pPr>
      <w:r>
        <w:rPr>
          <w:rFonts w:ascii="Times New Roman" w:cs="Times New Roman" w:eastAsia="Times New Roman" w:hAnsi="Times New Roman"/>
          <w:sz w:val="19"/>
          <w:szCs w:val="19"/>
          <w:color w:val="231F20"/>
        </w:rPr>
        <w:t>Pre-Incentive Fee net investment income does not include any realized capital gains, realized capital losses or unrealized capital gains or losses. Because of the structure of the Incentive Fee, it is possible that we may pay an Incentive Fee in a quarter in which we incur a loss. For example, if we receive pre-Incentive Fee net investment income in excess of the quarterly minimum hurdle rate, we will pay the applicable Incentive Fee even if we have incurred a loss in that quarter due to realized and unrealized capital losses. In addition, because the quarterly minimum hurdle rate is calculated based on our net assets, decreases in our net assets due to realized or unrealized capital losses in any given quarter may increase the likelihood that the hurdle rate is reached and therefore the likelihood of us paying an Incentive Fee for that quarter. Our net investment income used to calculate this component of the Incentive Fee is also included in the amount of our gross assets used to calculate the Management Fee because gross assets are total assets (including cash received) before deducting liabilities (such as declared dividend payments).</w:t>
      </w:r>
    </w:p>
    <w:p>
      <w:pPr>
        <w:spacing w:after="0" w:line="191" w:lineRule="exact"/>
        <w:rPr>
          <w:sz w:val="20"/>
          <w:szCs w:val="20"/>
          <w:color w:val="auto"/>
        </w:rPr>
      </w:pPr>
    </w:p>
    <w:p>
      <w:pPr>
        <w:ind w:right="220" w:firstLine="231"/>
        <w:spacing w:after="0" w:line="275" w:lineRule="auto"/>
        <w:rPr>
          <w:sz w:val="20"/>
          <w:szCs w:val="20"/>
          <w:color w:val="auto"/>
        </w:rPr>
      </w:pPr>
      <w:r>
        <w:rPr>
          <w:rFonts w:ascii="Times New Roman" w:cs="Times New Roman" w:eastAsia="Times New Roman" w:hAnsi="Times New Roman"/>
          <w:sz w:val="19"/>
          <w:szCs w:val="19"/>
          <w:color w:val="231F20"/>
        </w:rPr>
        <w:t>Section 205(b)(3) of the Advisers Act, as amended, prohibits the Adviser from receiving the payment of fees on unrealized gains until those gains are realized, if ever. There can be no assurance that such unrealized gains will be realized in the future.</w:t>
      </w:r>
    </w:p>
    <w:p>
      <w:pPr>
        <w:spacing w:after="0" w:line="160" w:lineRule="exact"/>
        <w:rPr>
          <w:sz w:val="20"/>
          <w:szCs w:val="20"/>
          <w:color w:val="auto"/>
        </w:rPr>
      </w:pPr>
    </w:p>
    <w:p>
      <w:pPr>
        <w:ind w:right="120" w:firstLine="231"/>
        <w:spacing w:after="0" w:line="246" w:lineRule="auto"/>
        <w:rPr>
          <w:sz w:val="20"/>
          <w:szCs w:val="20"/>
          <w:color w:val="auto"/>
        </w:rPr>
      </w:pPr>
      <w:r>
        <w:rPr>
          <w:rFonts w:ascii="Times New Roman" w:cs="Times New Roman" w:eastAsia="Times New Roman" w:hAnsi="Times New Roman"/>
          <w:sz w:val="19"/>
          <w:szCs w:val="19"/>
          <w:color w:val="231F20"/>
        </w:rPr>
        <w:t>For the years ended December 31, 2024, December 31, 2023 and December 31, 2022, Incentive Fees were $40.2 million, $47.0 million, and $24.5 million, respectively, of which $45.5 million, $42.6 million, and $33.4 million, respectively, were realized and payable to the Adviser. For the years ended December 31, 2024, December 31, 2023 and December 31, 2022, $(5.4) million, $4.4 million, and $(8.9) million, respectively, of Incentive Fees were accrued related to Capital Gains Fees. As of December 31, 2024, these accrued Incentive Fees are not contractually payable to the Adviser. The Adviser did not waive any Incentive Fees for the years ended December 31, 2024, December 31, 2023 and December 31, 2022.</w:t>
      </w:r>
    </w:p>
    <w:p>
      <w:pPr>
        <w:spacing w:after="0" w:line="186"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9"/>
          <w:szCs w:val="19"/>
          <w:color w:val="231F20"/>
        </w:rPr>
        <w:t>Any waived Incentive Fees are not subject to recoupment by the Adviser.</w:t>
      </w:r>
    </w:p>
    <w:p>
      <w:pPr>
        <w:spacing w:after="0" w:line="225" w:lineRule="exact"/>
        <w:rPr>
          <w:sz w:val="20"/>
          <w:szCs w:val="20"/>
          <w:color w:val="auto"/>
        </w:rPr>
      </w:pPr>
    </w:p>
    <w:p>
      <w:pPr>
        <w:ind w:right="120" w:firstLine="231"/>
        <w:spacing w:after="0" w:line="257" w:lineRule="auto"/>
        <w:rPr>
          <w:sz w:val="20"/>
          <w:szCs w:val="20"/>
          <w:color w:val="auto"/>
        </w:rPr>
      </w:pPr>
      <w:r>
        <w:rPr>
          <w:rFonts w:ascii="Times New Roman" w:cs="Times New Roman" w:eastAsia="Times New Roman" w:hAnsi="Times New Roman"/>
          <w:sz w:val="19"/>
          <w:szCs w:val="19"/>
          <w:color w:val="231F20"/>
        </w:rPr>
        <w:t>Since our IPO, with the exception of its waiver of Management Fees and certain Incentive Fees attributable to our ownership of certain investments and the Leverage Waiver, the Adviser has not waived its right to receive any Management Fees or Incentive Fees payable pursuant to the Investment Advisory Agreement.</w:t>
      </w:r>
    </w:p>
    <w:p>
      <w:pPr>
        <w:spacing w:after="0" w:line="176" w:lineRule="exact"/>
        <w:rPr>
          <w:sz w:val="20"/>
          <w:szCs w:val="20"/>
          <w:color w:val="auto"/>
        </w:rPr>
      </w:pPr>
    </w:p>
    <w:p>
      <w:pPr>
        <w:ind w:right="160" w:firstLine="231"/>
        <w:spacing w:after="0" w:line="251" w:lineRule="auto"/>
        <w:rPr>
          <w:sz w:val="20"/>
          <w:szCs w:val="20"/>
          <w:color w:val="auto"/>
        </w:rPr>
      </w:pPr>
      <w:r>
        <w:rPr>
          <w:rFonts w:ascii="Times New Roman" w:cs="Times New Roman" w:eastAsia="Times New Roman" w:hAnsi="Times New Roman"/>
          <w:sz w:val="19"/>
          <w:szCs w:val="19"/>
          <w:color w:val="231F20"/>
        </w:rPr>
        <w:t>In November 2024, the Board renewed the Investment Advisory Agreement. Unless earlier terminated as described below, the Investment Advisory Agreement will remain in effect until November 2025, and may be extended subject to required approvals. The Investment Advisory Agreement will automatically terminate in the event of an assignment and may be terminated by either party without penalty on 60 days’ written notice to the other party.</w:t>
      </w:r>
    </w:p>
    <w:p>
      <w:pPr>
        <w:spacing w:after="0" w:line="182" w:lineRule="exact"/>
        <w:rPr>
          <w:sz w:val="20"/>
          <w:szCs w:val="20"/>
          <w:color w:val="auto"/>
        </w:rPr>
      </w:pPr>
    </w:p>
    <w:p>
      <w:pPr>
        <w:ind w:right="220" w:firstLine="231"/>
        <w:spacing w:after="0" w:line="275" w:lineRule="auto"/>
        <w:rPr>
          <w:sz w:val="20"/>
          <w:szCs w:val="20"/>
          <w:color w:val="auto"/>
        </w:rPr>
      </w:pPr>
      <w:r>
        <w:rPr>
          <w:rFonts w:ascii="Times New Roman" w:cs="Times New Roman" w:eastAsia="Times New Roman" w:hAnsi="Times New Roman"/>
          <w:sz w:val="19"/>
          <w:szCs w:val="19"/>
          <w:color w:val="231F20"/>
        </w:rPr>
        <w:t>Our Board monitors the mix and performance of our investments over time and seeks to satisfy itself that the Adviser is acting in our interests and that our fee structure appropriately incentivizes the Adviser to do so.</w:t>
      </w:r>
    </w:p>
    <w:p>
      <w:pPr>
        <w:spacing w:after="0" w:line="160" w:lineRule="exact"/>
        <w:rPr>
          <w:sz w:val="20"/>
          <w:szCs w:val="20"/>
          <w:color w:val="auto"/>
        </w:rPr>
      </w:pPr>
    </w:p>
    <w:p>
      <w:pPr>
        <w:ind w:firstLine="231"/>
        <w:spacing w:after="0" w:line="242" w:lineRule="auto"/>
        <w:rPr>
          <w:sz w:val="20"/>
          <w:szCs w:val="20"/>
          <w:color w:val="auto"/>
        </w:rPr>
      </w:pPr>
      <w:r>
        <w:rPr>
          <w:rFonts w:ascii="Times New Roman" w:cs="Times New Roman" w:eastAsia="Times New Roman" w:hAnsi="Times New Roman"/>
          <w:sz w:val="19"/>
          <w:szCs w:val="19"/>
          <w:color w:val="231F20"/>
        </w:rPr>
        <w:t>On March 15, 2011, we entered into the Administration Agreement with our Adviser. Under the terms of the Administration Agreement, the Adviser provides administrative services to us. These services include providing office space, equipment and office services, maintaining financial records, preparing reports to stockholders and reports filed with the SEC, and managing the payment of expenses and the oversight of the performance of administrative and professional services rendered by others. Certain of these services are reimbursable to the Adviser under the terms of the Administration Agreement. See “—</w:t>
      </w:r>
      <w:r>
        <w:rPr>
          <w:rFonts w:ascii="Times New Roman" w:cs="Times New Roman" w:eastAsia="Times New Roman" w:hAnsi="Times New Roman"/>
          <w:sz w:val="19"/>
          <w:szCs w:val="19"/>
          <w:i w:val="1"/>
          <w:iCs w:val="1"/>
          <w:color w:val="231F20"/>
        </w:rPr>
        <w:t>Payment of Our Expenses</w:t>
      </w:r>
      <w:r>
        <w:rPr>
          <w:rFonts w:ascii="Times New Roman" w:cs="Times New Roman" w:eastAsia="Times New Roman" w:hAnsi="Times New Roman"/>
          <w:sz w:val="19"/>
          <w:szCs w:val="19"/>
          <w:color w:val="231F20"/>
        </w:rPr>
        <w:t>” below. In addition, the Adviser is permitted to delegate its duties under the Administration Agreement to affiliates or third parties and we pay or reimburse the Adviser expenses incurred by any such affiliates or third parties for work done on our behalf. For the years ended December 31, 2024, December 31, 2023, and December 31, 2022, we incurred expenses of $3.9 million, $3.2 million, and $3.1 million, respectively, for administrative services payable under the terms of the Administration Agreement, which are included in Other general and administrative expenses.</w:t>
      </w:r>
    </w:p>
    <w:p>
      <w:pPr>
        <w:spacing w:after="0" w:line="196" w:lineRule="exact"/>
        <w:rPr>
          <w:sz w:val="20"/>
          <w:szCs w:val="20"/>
          <w:color w:val="auto"/>
        </w:rPr>
      </w:pPr>
    </w:p>
    <w:p>
      <w:pPr>
        <w:ind w:firstLine="231"/>
        <w:spacing w:after="0" w:line="257" w:lineRule="auto"/>
        <w:rPr>
          <w:sz w:val="20"/>
          <w:szCs w:val="20"/>
          <w:color w:val="auto"/>
        </w:rPr>
      </w:pPr>
      <w:r>
        <w:rPr>
          <w:rFonts w:ascii="Times New Roman" w:cs="Times New Roman" w:eastAsia="Times New Roman" w:hAnsi="Times New Roman"/>
          <w:sz w:val="19"/>
          <w:szCs w:val="19"/>
          <w:color w:val="231F20"/>
        </w:rPr>
        <w:t>From time to time, the Adviser may pay amounts owed by us to third-party providers of goods or services, including the Board, and we will subsequently reimburse the Adviser for such amounts paid on our behalf. Amounts payable to the Adviser are settled in the normal course of business without formal payment terms.</w:t>
      </w:r>
    </w:p>
    <w:p>
      <w:pPr>
        <w:sectPr>
          <w:pgSz w:w="12240" w:h="15840" w:orient="portrait"/>
          <w:cols w:equalWidth="0" w:num="1">
            <w:col w:w="10200"/>
          </w:cols>
          <w:pgMar w:left="1020" w:top="1317" w:right="1020" w:bottom="57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231F20"/>
        </w:rPr>
        <w:t>18</w:t>
      </w:r>
    </w:p>
    <w:p>
      <w:pPr>
        <w:sectPr>
          <w:pgSz w:w="12240" w:h="15840" w:orient="portrait"/>
          <w:cols w:equalWidth="0" w:num="1">
            <w:col w:w="10200"/>
          </w:cols>
          <w:pgMar w:left="1020" w:top="1317" w:right="1020" w:bottom="574" w:gutter="0" w:footer="0" w:header="0"/>
          <w:type w:val="continuous"/>
        </w:sectPr>
      </w:pPr>
    </w:p>
    <w:bookmarkStart w:id="18" w:name="page19"/>
    <w:bookmarkEnd w:id="18"/>
    <w:p>
      <w:pPr>
        <w:ind w:right="580" w:firstLine="231"/>
        <w:spacing w:after="0" w:line="278" w:lineRule="auto"/>
        <w:rPr>
          <w:sz w:val="20"/>
          <w:szCs w:val="20"/>
          <w:color w:val="auto"/>
        </w:rPr>
      </w:pPr>
      <w:r>
        <w:rPr>
          <w:rFonts w:ascii="Times New Roman" w:cs="Times New Roman" w:eastAsia="Times New Roman" w:hAnsi="Times New Roman"/>
          <w:sz w:val="18"/>
          <w:szCs w:val="18"/>
          <w:color w:val="231F20"/>
        </w:rPr>
        <w:t>In November 2024, the Board renewed the Administration Agreement. Unless earlier terminated as described below, the Administration Agreement will remain in effect until November 2025, and may be extended subject to required approvals. The Administration Agreement may be terminated by either party without penalty on 60 days’ written notice to the other party.</w:t>
      </w:r>
    </w:p>
    <w:p>
      <w:pPr>
        <w:spacing w:after="0" w:line="159" w:lineRule="exact"/>
        <w:rPr>
          <w:sz w:val="20"/>
          <w:szCs w:val="20"/>
          <w:color w:val="auto"/>
        </w:rPr>
      </w:pPr>
    </w:p>
    <w:p>
      <w:pPr>
        <w:ind w:right="20" w:firstLine="231"/>
        <w:spacing w:after="0" w:line="241" w:lineRule="auto"/>
        <w:rPr>
          <w:sz w:val="20"/>
          <w:szCs w:val="20"/>
          <w:color w:val="auto"/>
        </w:rPr>
      </w:pPr>
      <w:r>
        <w:rPr>
          <w:rFonts w:ascii="Times New Roman" w:cs="Times New Roman" w:eastAsia="Times New Roman" w:hAnsi="Times New Roman"/>
          <w:sz w:val="19"/>
          <w:szCs w:val="19"/>
          <w:color w:val="231F20"/>
        </w:rPr>
        <w:t>No person who is an officer, director or employee of the Adviser or its affiliates and who serves as our director receives any compensation from us for his or her services as a director. However, we reimburse the Adviser or its affiliates for the allocable portion of the costs of compensation, benefits, and related administrative expenses of our officers who provide operational and administrative services to us pursuant to the Administration Agreement, their respective staffs and other professionals who provide services to us (including, in each case, employees of the Adviser or an affiliate). Such reimbursable amounts include the allocable portion of the compensation paid by the Adviser or its affiliates to our Chief Financial Officer, Chief Compliance Officer, and other professionals who provide operational and administrative services to us pursuant to the Administration Agreement, including individuals who provide “back office” or “middle office” financial, operational, legal and/or compliance services to us. We reimburse the Adviser or its affiliates for the allocable portion of the compensation paid by the Adviser or its affiliates to such individuals based on the percentage of time those individuals devote, on an estimated basis, to our business and affairs and in acting on behalf of us. We may also reimburse the Adviser or its affiliates for the allocable portion of overhead expenses (including rent, office equipment and utilities) attributable thereto. Directors who are not affiliated with the Adviser receive compensation for their services and reimbursement of expenses incurred to attend meetings.</w:t>
      </w:r>
    </w:p>
    <w:p>
      <w:pPr>
        <w:spacing w:after="0" w:line="198" w:lineRule="exact"/>
        <w:rPr>
          <w:sz w:val="20"/>
          <w:szCs w:val="20"/>
          <w:color w:val="auto"/>
        </w:rPr>
      </w:pPr>
    </w:p>
    <w:p>
      <w:pPr>
        <w:ind w:right="20" w:firstLine="231"/>
        <w:spacing w:after="0" w:line="241" w:lineRule="auto"/>
        <w:rPr>
          <w:sz w:val="20"/>
          <w:szCs w:val="20"/>
          <w:color w:val="auto"/>
        </w:rPr>
      </w:pPr>
      <w:r>
        <w:rPr>
          <w:rFonts w:ascii="Times New Roman" w:cs="Times New Roman" w:eastAsia="Times New Roman" w:hAnsi="Times New Roman"/>
          <w:sz w:val="19"/>
          <w:szCs w:val="19"/>
          <w:color w:val="231F20"/>
        </w:rPr>
        <w:t>The Adviser does not assume any responsibility to us other than to render the services described in, and on the terms of the Investment Advisory Agreement and the Administration Agreement, and is not responsible for any action of our Board in declining to follow the advice or recommendations of the Adviser. Under the terms of the Investment Advisory Agreement and the Administration Agreement, the Adviser (and its members, managers, officers, employees, agents, controlling persons and any other person or entity affiliated with it) shall not be liable to us for any action taken or omitted to be taken by the Adviser in connection with the performance of any of its duties or obligations under the Investment Advisory Agreement, the Administration Agreement or otherwise as an investment adviser of ours (except to the extent specified in Section 36(b) of the 1940 Act concerning loss resulting from a breach of fiduciary duty (as the same is finally determined by judicial proceedings) with respect to the receipt of compensation for services). We shall, to the fullest extent permitted by law, provide indemnification and the right to the advancement of expenses, to each person who was or is made a party or is threatened to be made a party to or is involved (including, without limitation, as a witness) in any actual or threatened action, suit or proceeding, whether civil, criminal, administrative or investigative, by reason of the fact that he or she is or was a member, manager, officer, employee, agent, controlling person of the Adviser or any other person or entity affiliated with the Adviser, or is or was a member of the Adviser’s Investment Review Committee, on the same general terms set forth in Article VIII of our certificate of incorporation.</w:t>
      </w:r>
    </w:p>
    <w:p>
      <w:pPr>
        <w:spacing w:after="0" w:line="196" w:lineRule="exact"/>
        <w:rPr>
          <w:sz w:val="20"/>
          <w:szCs w:val="20"/>
          <w:color w:val="auto"/>
        </w:rPr>
      </w:pPr>
    </w:p>
    <w:p>
      <w:pPr>
        <w:ind w:right="180" w:firstLine="231"/>
        <w:spacing w:after="0" w:line="257" w:lineRule="auto"/>
        <w:rPr>
          <w:sz w:val="20"/>
          <w:szCs w:val="20"/>
          <w:color w:val="auto"/>
        </w:rPr>
      </w:pPr>
      <w:r>
        <w:rPr>
          <w:rFonts w:ascii="Times New Roman" w:cs="Times New Roman" w:eastAsia="Times New Roman" w:hAnsi="Times New Roman"/>
          <w:sz w:val="19"/>
          <w:szCs w:val="19"/>
          <w:color w:val="231F20"/>
        </w:rPr>
        <w:t>United States federal and state securities laws may impose liability under certain circumstances on persons who act in good faith. Nothing in the Investment Advisory Agreement will constitute a waiver or limitation of any rights that we may have under any applicable federal or state securities laws.</w:t>
      </w: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231F20"/>
        </w:rPr>
        <w:t>Payment of Our Expenses</w:t>
      </w:r>
    </w:p>
    <w:p>
      <w:pPr>
        <w:spacing w:after="0" w:line="108" w:lineRule="exact"/>
        <w:rPr>
          <w:sz w:val="20"/>
          <w:szCs w:val="20"/>
          <w:color w:val="auto"/>
        </w:rPr>
      </w:pPr>
    </w:p>
    <w:p>
      <w:pPr>
        <w:jc w:val="both"/>
        <w:ind w:firstLine="231"/>
        <w:spacing w:after="0" w:line="257" w:lineRule="auto"/>
        <w:rPr>
          <w:sz w:val="20"/>
          <w:szCs w:val="20"/>
          <w:color w:val="auto"/>
        </w:rPr>
      </w:pPr>
      <w:r>
        <w:rPr>
          <w:rFonts w:ascii="Times New Roman" w:cs="Times New Roman" w:eastAsia="Times New Roman" w:hAnsi="Times New Roman"/>
          <w:sz w:val="19"/>
          <w:szCs w:val="19"/>
          <w:color w:val="231F20"/>
        </w:rPr>
        <w:t>The costs associated with the Investment Team and staff of the Adviser, when and to the extent engaged in providing us investment advisory and management services are paid for by the Adviser. We bear all other costs and expenses of our operations, administration and transactions, including those relating to:</w:t>
      </w:r>
    </w:p>
    <w:p>
      <w:pPr>
        <w:spacing w:after="0" w:line="77" w:lineRule="exact"/>
        <w:rPr>
          <w:sz w:val="20"/>
          <w:szCs w:val="20"/>
          <w:color w:val="auto"/>
        </w:rPr>
      </w:pPr>
    </w:p>
    <w:p>
      <w:pPr>
        <w:ind w:left="460" w:hanging="229"/>
        <w:spacing w:after="0"/>
        <w:tabs>
          <w:tab w:leader="none" w:pos="460" w:val="left"/>
        </w:tabs>
        <w:numPr>
          <w:ilvl w:val="0"/>
          <w:numId w:val="25"/>
        </w:numPr>
        <w:rPr>
          <w:rFonts w:ascii="Arial" w:cs="Arial" w:eastAsia="Arial" w:hAnsi="Arial"/>
          <w:sz w:val="18"/>
          <w:szCs w:val="18"/>
          <w:color w:val="231F20"/>
        </w:rPr>
      </w:pPr>
      <w:r>
        <w:rPr>
          <w:rFonts w:ascii="Times New Roman" w:cs="Times New Roman" w:eastAsia="Times New Roman" w:hAnsi="Times New Roman"/>
          <w:sz w:val="18"/>
          <w:szCs w:val="18"/>
          <w:color w:val="231F20"/>
        </w:rPr>
        <w:t>calculating individual asset values and our net asset value (including the cost and expenses of any independent valuation firms);</w:t>
      </w:r>
    </w:p>
    <w:p>
      <w:pPr>
        <w:spacing w:after="0" w:line="136" w:lineRule="exact"/>
        <w:rPr>
          <w:rFonts w:ascii="Arial" w:cs="Arial" w:eastAsia="Arial" w:hAnsi="Arial"/>
          <w:sz w:val="18"/>
          <w:szCs w:val="18"/>
          <w:color w:val="231F20"/>
        </w:rPr>
      </w:pPr>
    </w:p>
    <w:p>
      <w:pPr>
        <w:ind w:left="460" w:hanging="229"/>
        <w:spacing w:after="0" w:line="256" w:lineRule="auto"/>
        <w:tabs>
          <w:tab w:leader="none" w:pos="460" w:val="left"/>
        </w:tabs>
        <w:numPr>
          <w:ilvl w:val="0"/>
          <w:numId w:val="25"/>
        </w:numPr>
        <w:rPr>
          <w:rFonts w:ascii="Arial" w:cs="Arial" w:eastAsia="Arial" w:hAnsi="Arial"/>
          <w:sz w:val="19"/>
          <w:szCs w:val="19"/>
          <w:color w:val="231F20"/>
        </w:rPr>
      </w:pPr>
      <w:r>
        <w:rPr>
          <w:rFonts w:ascii="Times New Roman" w:cs="Times New Roman" w:eastAsia="Times New Roman" w:hAnsi="Times New Roman"/>
          <w:sz w:val="19"/>
          <w:szCs w:val="19"/>
          <w:color w:val="231F20"/>
        </w:rPr>
        <w:t>expenses, including travel expenses, incurred by the Adviser, or members of our Investment Team, or payable to third parties, in respect of due diligence on prospective portfolio companies and, if necessary, in respect of enforcing our rights with respect to investments in existing portfolio companies;</w:t>
      </w:r>
    </w:p>
    <w:p>
      <w:pPr>
        <w:spacing w:after="0" w:line="78" w:lineRule="exact"/>
        <w:rPr>
          <w:rFonts w:ascii="Arial" w:cs="Arial" w:eastAsia="Arial" w:hAnsi="Arial"/>
          <w:sz w:val="19"/>
          <w:szCs w:val="19"/>
          <w:color w:val="231F20"/>
        </w:rPr>
      </w:pPr>
    </w:p>
    <w:p>
      <w:pPr>
        <w:ind w:left="460" w:hanging="229"/>
        <w:spacing w:after="0"/>
        <w:tabs>
          <w:tab w:leader="none" w:pos="460" w:val="left"/>
        </w:tabs>
        <w:numPr>
          <w:ilvl w:val="0"/>
          <w:numId w:val="25"/>
        </w:numPr>
        <w:rPr>
          <w:rFonts w:ascii="Arial" w:cs="Arial" w:eastAsia="Arial" w:hAnsi="Arial"/>
          <w:sz w:val="19"/>
          <w:szCs w:val="19"/>
          <w:color w:val="231F20"/>
        </w:rPr>
      </w:pPr>
      <w:r>
        <w:rPr>
          <w:rFonts w:ascii="Times New Roman" w:cs="Times New Roman" w:eastAsia="Times New Roman" w:hAnsi="Times New Roman"/>
          <w:sz w:val="19"/>
          <w:szCs w:val="19"/>
          <w:color w:val="231F20"/>
        </w:rPr>
        <w:t>the costs of any public offerings of our common stock and other securities, including registration and listing fees;</w:t>
      </w:r>
    </w:p>
    <w:p>
      <w:pPr>
        <w:spacing w:after="0" w:line="124" w:lineRule="exact"/>
        <w:rPr>
          <w:rFonts w:ascii="Arial" w:cs="Arial" w:eastAsia="Arial" w:hAnsi="Arial"/>
          <w:sz w:val="19"/>
          <w:szCs w:val="19"/>
          <w:color w:val="231F20"/>
        </w:rPr>
      </w:pPr>
    </w:p>
    <w:p>
      <w:pPr>
        <w:ind w:left="460" w:hanging="229"/>
        <w:spacing w:after="0"/>
        <w:tabs>
          <w:tab w:leader="none" w:pos="460" w:val="left"/>
        </w:tabs>
        <w:numPr>
          <w:ilvl w:val="0"/>
          <w:numId w:val="25"/>
        </w:numPr>
        <w:rPr>
          <w:rFonts w:ascii="Arial" w:cs="Arial" w:eastAsia="Arial" w:hAnsi="Arial"/>
          <w:sz w:val="19"/>
          <w:szCs w:val="19"/>
          <w:color w:val="231F20"/>
        </w:rPr>
      </w:pPr>
      <w:r>
        <w:rPr>
          <w:rFonts w:ascii="Times New Roman" w:cs="Times New Roman" w:eastAsia="Times New Roman" w:hAnsi="Times New Roman"/>
          <w:sz w:val="19"/>
          <w:szCs w:val="19"/>
          <w:color w:val="231F20"/>
        </w:rPr>
        <w:t>the Management Fee and any Incentive Fee;</w:t>
      </w:r>
    </w:p>
    <w:p>
      <w:pPr>
        <w:spacing w:after="0" w:line="124" w:lineRule="exact"/>
        <w:rPr>
          <w:rFonts w:ascii="Arial" w:cs="Arial" w:eastAsia="Arial" w:hAnsi="Arial"/>
          <w:sz w:val="19"/>
          <w:szCs w:val="19"/>
          <w:color w:val="231F20"/>
        </w:rPr>
      </w:pPr>
    </w:p>
    <w:p>
      <w:pPr>
        <w:ind w:left="460" w:hanging="229"/>
        <w:spacing w:after="0"/>
        <w:tabs>
          <w:tab w:leader="none" w:pos="460" w:val="left"/>
        </w:tabs>
        <w:numPr>
          <w:ilvl w:val="0"/>
          <w:numId w:val="25"/>
        </w:numPr>
        <w:rPr>
          <w:rFonts w:ascii="Arial" w:cs="Arial" w:eastAsia="Arial" w:hAnsi="Arial"/>
          <w:sz w:val="19"/>
          <w:szCs w:val="19"/>
          <w:color w:val="231F20"/>
        </w:rPr>
      </w:pPr>
      <w:r>
        <w:rPr>
          <w:rFonts w:ascii="Times New Roman" w:cs="Times New Roman" w:eastAsia="Times New Roman" w:hAnsi="Times New Roman"/>
          <w:sz w:val="19"/>
          <w:szCs w:val="19"/>
          <w:color w:val="231F20"/>
        </w:rPr>
        <w:t>certain costs and expenses relating to distributions paid on our shares;</w:t>
      </w:r>
    </w:p>
    <w:p>
      <w:pPr>
        <w:spacing w:after="0" w:line="124" w:lineRule="exact"/>
        <w:rPr>
          <w:rFonts w:ascii="Arial" w:cs="Arial" w:eastAsia="Arial" w:hAnsi="Arial"/>
          <w:sz w:val="19"/>
          <w:szCs w:val="19"/>
          <w:color w:val="231F20"/>
        </w:rPr>
      </w:pPr>
    </w:p>
    <w:p>
      <w:pPr>
        <w:ind w:left="460" w:hanging="229"/>
        <w:spacing w:after="0"/>
        <w:tabs>
          <w:tab w:leader="none" w:pos="460" w:val="left"/>
        </w:tabs>
        <w:numPr>
          <w:ilvl w:val="0"/>
          <w:numId w:val="25"/>
        </w:numPr>
        <w:rPr>
          <w:rFonts w:ascii="Arial" w:cs="Arial" w:eastAsia="Arial" w:hAnsi="Arial"/>
          <w:sz w:val="19"/>
          <w:szCs w:val="19"/>
          <w:color w:val="231F20"/>
        </w:rPr>
      </w:pPr>
      <w:r>
        <w:rPr>
          <w:rFonts w:ascii="Times New Roman" w:cs="Times New Roman" w:eastAsia="Times New Roman" w:hAnsi="Times New Roman"/>
          <w:sz w:val="19"/>
          <w:szCs w:val="19"/>
          <w:color w:val="231F20"/>
        </w:rPr>
        <w:t>administration fees payable under our Administration Agreement;</w:t>
      </w:r>
    </w:p>
    <w:p>
      <w:pPr>
        <w:spacing w:after="0" w:line="124" w:lineRule="exact"/>
        <w:rPr>
          <w:rFonts w:ascii="Arial" w:cs="Arial" w:eastAsia="Arial" w:hAnsi="Arial"/>
          <w:sz w:val="19"/>
          <w:szCs w:val="19"/>
          <w:color w:val="231F20"/>
        </w:rPr>
      </w:pPr>
    </w:p>
    <w:p>
      <w:pPr>
        <w:ind w:left="460" w:hanging="229"/>
        <w:spacing w:after="0"/>
        <w:tabs>
          <w:tab w:leader="none" w:pos="460" w:val="left"/>
        </w:tabs>
        <w:numPr>
          <w:ilvl w:val="0"/>
          <w:numId w:val="25"/>
        </w:numPr>
        <w:rPr>
          <w:rFonts w:ascii="Arial" w:cs="Arial" w:eastAsia="Arial" w:hAnsi="Arial"/>
          <w:sz w:val="19"/>
          <w:szCs w:val="19"/>
          <w:color w:val="231F20"/>
        </w:rPr>
      </w:pPr>
      <w:r>
        <w:rPr>
          <w:rFonts w:ascii="Times New Roman" w:cs="Times New Roman" w:eastAsia="Times New Roman" w:hAnsi="Times New Roman"/>
          <w:sz w:val="19"/>
          <w:szCs w:val="19"/>
          <w:color w:val="231F20"/>
        </w:rPr>
        <w:t>debt service and other costs of borrowings or other financing arrangements;</w:t>
      </w:r>
    </w:p>
    <w:p>
      <w:pPr>
        <w:spacing w:after="0" w:line="124" w:lineRule="exact"/>
        <w:rPr>
          <w:rFonts w:ascii="Arial" w:cs="Arial" w:eastAsia="Arial" w:hAnsi="Arial"/>
          <w:sz w:val="19"/>
          <w:szCs w:val="19"/>
          <w:color w:val="231F20"/>
        </w:rPr>
      </w:pPr>
    </w:p>
    <w:p>
      <w:pPr>
        <w:ind w:left="460" w:right="180" w:hanging="229"/>
        <w:spacing w:after="0" w:line="274" w:lineRule="auto"/>
        <w:tabs>
          <w:tab w:leader="none" w:pos="460" w:val="left"/>
        </w:tabs>
        <w:numPr>
          <w:ilvl w:val="0"/>
          <w:numId w:val="25"/>
        </w:numPr>
        <w:rPr>
          <w:rFonts w:ascii="Arial" w:cs="Arial" w:eastAsia="Arial" w:hAnsi="Arial"/>
          <w:sz w:val="19"/>
          <w:szCs w:val="19"/>
          <w:color w:val="231F20"/>
        </w:rPr>
      </w:pPr>
      <w:r>
        <w:rPr>
          <w:rFonts w:ascii="Times New Roman" w:cs="Times New Roman" w:eastAsia="Times New Roman" w:hAnsi="Times New Roman"/>
          <w:sz w:val="19"/>
          <w:szCs w:val="19"/>
          <w:color w:val="231F20"/>
        </w:rPr>
        <w:t>the Adviser’s allocable share of costs incurred in providing significant managerial assistance to those portfolio companies that request it;</w:t>
      </w:r>
    </w:p>
    <w:p>
      <w:pPr>
        <w:spacing w:after="0" w:line="61" w:lineRule="exact"/>
        <w:rPr>
          <w:rFonts w:ascii="Arial" w:cs="Arial" w:eastAsia="Arial" w:hAnsi="Arial"/>
          <w:sz w:val="19"/>
          <w:szCs w:val="19"/>
          <w:color w:val="231F20"/>
        </w:rPr>
      </w:pPr>
    </w:p>
    <w:p>
      <w:pPr>
        <w:ind w:left="460" w:hanging="229"/>
        <w:spacing w:after="0"/>
        <w:tabs>
          <w:tab w:leader="none" w:pos="460" w:val="left"/>
        </w:tabs>
        <w:numPr>
          <w:ilvl w:val="0"/>
          <w:numId w:val="25"/>
        </w:numPr>
        <w:rPr>
          <w:rFonts w:ascii="Arial" w:cs="Arial" w:eastAsia="Arial" w:hAnsi="Arial"/>
          <w:sz w:val="19"/>
          <w:szCs w:val="19"/>
          <w:color w:val="231F20"/>
        </w:rPr>
      </w:pPr>
      <w:r>
        <w:rPr>
          <w:rFonts w:ascii="Times New Roman" w:cs="Times New Roman" w:eastAsia="Times New Roman" w:hAnsi="Times New Roman"/>
          <w:sz w:val="19"/>
          <w:szCs w:val="19"/>
          <w:color w:val="231F20"/>
        </w:rPr>
        <w:t>amounts payable to third parties relating to, or associated with, making or holding investments;</w:t>
      </w:r>
    </w:p>
    <w:p>
      <w:pPr>
        <w:sectPr>
          <w:pgSz w:w="12240" w:h="15840" w:orient="portrait"/>
          <w:cols w:equalWidth="0" w:num="1">
            <w:col w:w="10180"/>
          </w:cols>
          <w:pgMar w:left="1020" w:top="1317" w:right="1040" w:bottom="574" w:gutter="0" w:footer="0" w:header="0"/>
        </w:sectPr>
      </w:pPr>
    </w:p>
    <w:p>
      <w:pPr>
        <w:spacing w:after="0" w:line="2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231F20"/>
        </w:rPr>
        <w:t>19</w:t>
      </w:r>
    </w:p>
    <w:p>
      <w:pPr>
        <w:sectPr>
          <w:pgSz w:w="12240" w:h="15840" w:orient="portrait"/>
          <w:cols w:equalWidth="0" w:num="1">
            <w:col w:w="10180"/>
          </w:cols>
          <w:pgMar w:left="1020" w:top="1317" w:right="1040" w:bottom="574" w:gutter="0" w:footer="0" w:header="0"/>
          <w:type w:val="continuous"/>
        </w:sectPr>
      </w:pPr>
    </w:p>
    <w:bookmarkStart w:id="19" w:name="page20"/>
    <w:bookmarkEnd w:id="19"/>
    <w:p>
      <w:pPr>
        <w:ind w:left="460" w:hanging="229"/>
        <w:spacing w:after="0"/>
        <w:tabs>
          <w:tab w:leader="none" w:pos="460" w:val="left"/>
        </w:tabs>
        <w:numPr>
          <w:ilvl w:val="0"/>
          <w:numId w:val="26"/>
        </w:numPr>
        <w:rPr>
          <w:rFonts w:ascii="Arial" w:cs="Arial" w:eastAsia="Arial" w:hAnsi="Arial"/>
          <w:sz w:val="19"/>
          <w:szCs w:val="19"/>
          <w:color w:val="231F20"/>
        </w:rPr>
      </w:pPr>
      <w:r>
        <w:rPr>
          <w:rFonts w:ascii="Times New Roman" w:cs="Times New Roman" w:eastAsia="Times New Roman" w:hAnsi="Times New Roman"/>
          <w:sz w:val="19"/>
          <w:szCs w:val="19"/>
          <w:color w:val="231F20"/>
        </w:rPr>
        <w:t>transfer agent and custodial fees;</w:t>
      </w:r>
    </w:p>
    <w:p>
      <w:pPr>
        <w:spacing w:after="0" w:line="124" w:lineRule="exact"/>
        <w:rPr>
          <w:rFonts w:ascii="Arial" w:cs="Arial" w:eastAsia="Arial" w:hAnsi="Arial"/>
          <w:sz w:val="19"/>
          <w:szCs w:val="19"/>
          <w:color w:val="231F20"/>
        </w:rPr>
      </w:pPr>
    </w:p>
    <w:p>
      <w:pPr>
        <w:ind w:left="460" w:hanging="229"/>
        <w:spacing w:after="0"/>
        <w:tabs>
          <w:tab w:leader="none" w:pos="460" w:val="left"/>
        </w:tabs>
        <w:numPr>
          <w:ilvl w:val="0"/>
          <w:numId w:val="26"/>
        </w:numPr>
        <w:rPr>
          <w:rFonts w:ascii="Arial" w:cs="Arial" w:eastAsia="Arial" w:hAnsi="Arial"/>
          <w:sz w:val="19"/>
          <w:szCs w:val="19"/>
          <w:color w:val="231F20"/>
        </w:rPr>
      </w:pPr>
      <w:r>
        <w:rPr>
          <w:rFonts w:ascii="Times New Roman" w:cs="Times New Roman" w:eastAsia="Times New Roman" w:hAnsi="Times New Roman"/>
          <w:sz w:val="19"/>
          <w:szCs w:val="19"/>
          <w:color w:val="231F20"/>
        </w:rPr>
        <w:t>costs of hedging;</w:t>
      </w:r>
    </w:p>
    <w:p>
      <w:pPr>
        <w:spacing w:after="0" w:line="124" w:lineRule="exact"/>
        <w:rPr>
          <w:rFonts w:ascii="Arial" w:cs="Arial" w:eastAsia="Arial" w:hAnsi="Arial"/>
          <w:sz w:val="19"/>
          <w:szCs w:val="19"/>
          <w:color w:val="231F20"/>
        </w:rPr>
      </w:pPr>
    </w:p>
    <w:p>
      <w:pPr>
        <w:ind w:left="460" w:hanging="229"/>
        <w:spacing w:after="0"/>
        <w:tabs>
          <w:tab w:leader="none" w:pos="460" w:val="left"/>
        </w:tabs>
        <w:numPr>
          <w:ilvl w:val="0"/>
          <w:numId w:val="26"/>
        </w:numPr>
        <w:rPr>
          <w:rFonts w:ascii="Arial" w:cs="Arial" w:eastAsia="Arial" w:hAnsi="Arial"/>
          <w:sz w:val="19"/>
          <w:szCs w:val="19"/>
          <w:color w:val="231F20"/>
        </w:rPr>
      </w:pPr>
      <w:r>
        <w:rPr>
          <w:rFonts w:ascii="Times New Roman" w:cs="Times New Roman" w:eastAsia="Times New Roman" w:hAnsi="Times New Roman"/>
          <w:sz w:val="19"/>
          <w:szCs w:val="19"/>
          <w:color w:val="231F20"/>
        </w:rPr>
        <w:t>commissions and other compensation payable to brokers or dealers;</w:t>
      </w:r>
    </w:p>
    <w:p>
      <w:pPr>
        <w:spacing w:after="0" w:line="124" w:lineRule="exact"/>
        <w:rPr>
          <w:rFonts w:ascii="Arial" w:cs="Arial" w:eastAsia="Arial" w:hAnsi="Arial"/>
          <w:sz w:val="19"/>
          <w:szCs w:val="19"/>
          <w:color w:val="231F20"/>
        </w:rPr>
      </w:pPr>
    </w:p>
    <w:p>
      <w:pPr>
        <w:ind w:left="460" w:hanging="229"/>
        <w:spacing w:after="0"/>
        <w:tabs>
          <w:tab w:leader="none" w:pos="460" w:val="left"/>
        </w:tabs>
        <w:numPr>
          <w:ilvl w:val="0"/>
          <w:numId w:val="26"/>
        </w:numPr>
        <w:rPr>
          <w:rFonts w:ascii="Arial" w:cs="Arial" w:eastAsia="Arial" w:hAnsi="Arial"/>
          <w:sz w:val="19"/>
          <w:szCs w:val="19"/>
          <w:color w:val="231F20"/>
        </w:rPr>
      </w:pPr>
      <w:r>
        <w:rPr>
          <w:rFonts w:ascii="Times New Roman" w:cs="Times New Roman" w:eastAsia="Times New Roman" w:hAnsi="Times New Roman"/>
          <w:sz w:val="19"/>
          <w:szCs w:val="19"/>
          <w:color w:val="231F20"/>
        </w:rPr>
        <w:t>taxes;</w:t>
      </w:r>
    </w:p>
    <w:p>
      <w:pPr>
        <w:spacing w:after="0" w:line="124" w:lineRule="exact"/>
        <w:rPr>
          <w:rFonts w:ascii="Arial" w:cs="Arial" w:eastAsia="Arial" w:hAnsi="Arial"/>
          <w:sz w:val="19"/>
          <w:szCs w:val="19"/>
          <w:color w:val="231F20"/>
        </w:rPr>
      </w:pPr>
    </w:p>
    <w:p>
      <w:pPr>
        <w:ind w:left="460" w:hanging="229"/>
        <w:spacing w:after="0"/>
        <w:tabs>
          <w:tab w:leader="none" w:pos="460" w:val="left"/>
        </w:tabs>
        <w:numPr>
          <w:ilvl w:val="0"/>
          <w:numId w:val="26"/>
        </w:numPr>
        <w:rPr>
          <w:rFonts w:ascii="Arial" w:cs="Arial" w:eastAsia="Arial" w:hAnsi="Arial"/>
          <w:sz w:val="19"/>
          <w:szCs w:val="19"/>
          <w:color w:val="231F20"/>
        </w:rPr>
      </w:pPr>
      <w:r>
        <w:rPr>
          <w:rFonts w:ascii="Times New Roman" w:cs="Times New Roman" w:eastAsia="Times New Roman" w:hAnsi="Times New Roman"/>
          <w:sz w:val="19"/>
          <w:szCs w:val="19"/>
          <w:color w:val="231F20"/>
        </w:rPr>
        <w:t>Independent Director fees and expenses;</w:t>
      </w:r>
    </w:p>
    <w:p>
      <w:pPr>
        <w:spacing w:after="0" w:line="124" w:lineRule="exact"/>
        <w:rPr>
          <w:rFonts w:ascii="Arial" w:cs="Arial" w:eastAsia="Arial" w:hAnsi="Arial"/>
          <w:sz w:val="19"/>
          <w:szCs w:val="19"/>
          <w:color w:val="231F20"/>
        </w:rPr>
      </w:pPr>
    </w:p>
    <w:p>
      <w:pPr>
        <w:ind w:left="460" w:right="60" w:hanging="229"/>
        <w:spacing w:after="0" w:line="247" w:lineRule="auto"/>
        <w:tabs>
          <w:tab w:leader="none" w:pos="460" w:val="left"/>
        </w:tabs>
        <w:numPr>
          <w:ilvl w:val="0"/>
          <w:numId w:val="26"/>
        </w:numPr>
        <w:rPr>
          <w:rFonts w:ascii="Arial" w:cs="Arial" w:eastAsia="Arial" w:hAnsi="Arial"/>
          <w:sz w:val="19"/>
          <w:szCs w:val="19"/>
          <w:color w:val="231F20"/>
        </w:rPr>
      </w:pPr>
      <w:r>
        <w:rPr>
          <w:rFonts w:ascii="Times New Roman" w:cs="Times New Roman" w:eastAsia="Times New Roman" w:hAnsi="Times New Roman"/>
          <w:sz w:val="19"/>
          <w:szCs w:val="19"/>
          <w:color w:val="231F20"/>
        </w:rPr>
        <w:t>costs of preparing financial statements and maintaining books and records and filing reports or other documents with the SEC (or other regulatory bodies) and other reporting and compliance costs, and the compensation of professionals responsible for the preparation of the foregoing, including the allocable portion of the compensation of our Chief Financial Officer, Chief Compliance Officer and other professionals who spend time on those related activities (based on the percentage of time those individuals devote, on an estimated basis, to our business and affairs);</w:t>
      </w:r>
    </w:p>
    <w:p>
      <w:pPr>
        <w:spacing w:after="0" w:line="87" w:lineRule="exact"/>
        <w:rPr>
          <w:rFonts w:ascii="Arial" w:cs="Arial" w:eastAsia="Arial" w:hAnsi="Arial"/>
          <w:sz w:val="19"/>
          <w:szCs w:val="19"/>
          <w:color w:val="231F20"/>
        </w:rPr>
      </w:pPr>
    </w:p>
    <w:p>
      <w:pPr>
        <w:jc w:val="both"/>
        <w:ind w:left="460" w:right="20" w:hanging="229"/>
        <w:spacing w:after="0" w:line="256" w:lineRule="auto"/>
        <w:tabs>
          <w:tab w:leader="none" w:pos="460" w:val="left"/>
        </w:tabs>
        <w:numPr>
          <w:ilvl w:val="0"/>
          <w:numId w:val="26"/>
        </w:numPr>
        <w:rPr>
          <w:rFonts w:ascii="Arial" w:cs="Arial" w:eastAsia="Arial" w:hAnsi="Arial"/>
          <w:sz w:val="19"/>
          <w:szCs w:val="19"/>
          <w:color w:val="231F20"/>
        </w:rPr>
      </w:pPr>
      <w:r>
        <w:rPr>
          <w:rFonts w:ascii="Times New Roman" w:cs="Times New Roman" w:eastAsia="Times New Roman" w:hAnsi="Times New Roman"/>
          <w:sz w:val="19"/>
          <w:szCs w:val="19"/>
          <w:color w:val="231F20"/>
        </w:rPr>
        <w:t>the costs of any reports, proxy statements or other notices to our stockholders (including printing and mailing costs), the costs of any stockholders’ meetings and the compensation of investor relations personnel responsible for the preparation of the foregoing and related matters;</w:t>
      </w:r>
    </w:p>
    <w:p>
      <w:pPr>
        <w:spacing w:after="0" w:line="78" w:lineRule="exact"/>
        <w:rPr>
          <w:rFonts w:ascii="Arial" w:cs="Arial" w:eastAsia="Arial" w:hAnsi="Arial"/>
          <w:sz w:val="19"/>
          <w:szCs w:val="19"/>
          <w:color w:val="231F20"/>
        </w:rPr>
      </w:pPr>
    </w:p>
    <w:p>
      <w:pPr>
        <w:ind w:left="460" w:hanging="229"/>
        <w:spacing w:after="0"/>
        <w:tabs>
          <w:tab w:leader="none" w:pos="460" w:val="left"/>
        </w:tabs>
        <w:numPr>
          <w:ilvl w:val="0"/>
          <w:numId w:val="26"/>
        </w:numPr>
        <w:rPr>
          <w:rFonts w:ascii="Arial" w:cs="Arial" w:eastAsia="Arial" w:hAnsi="Arial"/>
          <w:sz w:val="19"/>
          <w:szCs w:val="19"/>
          <w:color w:val="231F20"/>
        </w:rPr>
      </w:pPr>
      <w:r>
        <w:rPr>
          <w:rFonts w:ascii="Times New Roman" w:cs="Times New Roman" w:eastAsia="Times New Roman" w:hAnsi="Times New Roman"/>
          <w:sz w:val="19"/>
          <w:szCs w:val="19"/>
          <w:color w:val="231F20"/>
        </w:rPr>
        <w:t>our fidelity bond;</w:t>
      </w:r>
    </w:p>
    <w:p>
      <w:pPr>
        <w:spacing w:after="0" w:line="124" w:lineRule="exact"/>
        <w:rPr>
          <w:rFonts w:ascii="Arial" w:cs="Arial" w:eastAsia="Arial" w:hAnsi="Arial"/>
          <w:sz w:val="19"/>
          <w:szCs w:val="19"/>
          <w:color w:val="231F20"/>
        </w:rPr>
      </w:pPr>
    </w:p>
    <w:p>
      <w:pPr>
        <w:ind w:left="460" w:hanging="229"/>
        <w:spacing w:after="0"/>
        <w:tabs>
          <w:tab w:leader="none" w:pos="460" w:val="left"/>
        </w:tabs>
        <w:numPr>
          <w:ilvl w:val="0"/>
          <w:numId w:val="26"/>
        </w:numPr>
        <w:rPr>
          <w:rFonts w:ascii="Arial" w:cs="Arial" w:eastAsia="Arial" w:hAnsi="Arial"/>
          <w:sz w:val="19"/>
          <w:szCs w:val="19"/>
          <w:color w:val="231F20"/>
        </w:rPr>
      </w:pPr>
      <w:r>
        <w:rPr>
          <w:rFonts w:ascii="Times New Roman" w:cs="Times New Roman" w:eastAsia="Times New Roman" w:hAnsi="Times New Roman"/>
          <w:sz w:val="19"/>
          <w:szCs w:val="19"/>
          <w:color w:val="231F20"/>
        </w:rPr>
        <w:t>directors and officers/errors and omissions liability insurance, and any other insurance premiums;</w:t>
      </w:r>
    </w:p>
    <w:p>
      <w:pPr>
        <w:spacing w:after="0" w:line="124" w:lineRule="exact"/>
        <w:rPr>
          <w:rFonts w:ascii="Arial" w:cs="Arial" w:eastAsia="Arial" w:hAnsi="Arial"/>
          <w:sz w:val="19"/>
          <w:szCs w:val="19"/>
          <w:color w:val="231F20"/>
        </w:rPr>
      </w:pPr>
    </w:p>
    <w:p>
      <w:pPr>
        <w:ind w:left="460" w:hanging="229"/>
        <w:spacing w:after="0"/>
        <w:tabs>
          <w:tab w:leader="none" w:pos="460" w:val="left"/>
        </w:tabs>
        <w:numPr>
          <w:ilvl w:val="0"/>
          <w:numId w:val="26"/>
        </w:numPr>
        <w:rPr>
          <w:rFonts w:ascii="Arial" w:cs="Arial" w:eastAsia="Arial" w:hAnsi="Arial"/>
          <w:sz w:val="19"/>
          <w:szCs w:val="19"/>
          <w:color w:val="231F20"/>
        </w:rPr>
      </w:pPr>
      <w:r>
        <w:rPr>
          <w:rFonts w:ascii="Times New Roman" w:cs="Times New Roman" w:eastAsia="Times New Roman" w:hAnsi="Times New Roman"/>
          <w:sz w:val="19"/>
          <w:szCs w:val="19"/>
          <w:color w:val="231F20"/>
        </w:rPr>
        <w:t>indemnification payments;</w:t>
      </w:r>
    </w:p>
    <w:p>
      <w:pPr>
        <w:spacing w:after="0" w:line="124" w:lineRule="exact"/>
        <w:rPr>
          <w:rFonts w:ascii="Arial" w:cs="Arial" w:eastAsia="Arial" w:hAnsi="Arial"/>
          <w:sz w:val="19"/>
          <w:szCs w:val="19"/>
          <w:color w:val="231F20"/>
        </w:rPr>
      </w:pPr>
    </w:p>
    <w:p>
      <w:pPr>
        <w:ind w:left="460" w:hanging="229"/>
        <w:spacing w:after="0"/>
        <w:tabs>
          <w:tab w:leader="none" w:pos="460" w:val="left"/>
        </w:tabs>
        <w:numPr>
          <w:ilvl w:val="0"/>
          <w:numId w:val="26"/>
        </w:numPr>
        <w:rPr>
          <w:rFonts w:ascii="Arial" w:cs="Arial" w:eastAsia="Arial" w:hAnsi="Arial"/>
          <w:sz w:val="19"/>
          <w:szCs w:val="19"/>
          <w:color w:val="231F20"/>
        </w:rPr>
      </w:pPr>
      <w:r>
        <w:rPr>
          <w:rFonts w:ascii="Times New Roman" w:cs="Times New Roman" w:eastAsia="Times New Roman" w:hAnsi="Times New Roman"/>
          <w:sz w:val="19"/>
          <w:szCs w:val="19"/>
          <w:color w:val="231F20"/>
        </w:rPr>
        <w:t>direct costs and expenses of administration, including audit, accounting, consulting and legal costs; and</w:t>
      </w:r>
    </w:p>
    <w:p>
      <w:pPr>
        <w:spacing w:after="0" w:line="124" w:lineRule="exact"/>
        <w:rPr>
          <w:rFonts w:ascii="Arial" w:cs="Arial" w:eastAsia="Arial" w:hAnsi="Arial"/>
          <w:sz w:val="19"/>
          <w:szCs w:val="19"/>
          <w:color w:val="231F20"/>
        </w:rPr>
      </w:pPr>
    </w:p>
    <w:p>
      <w:pPr>
        <w:ind w:left="460" w:hanging="229"/>
        <w:spacing w:after="0"/>
        <w:tabs>
          <w:tab w:leader="none" w:pos="460" w:val="left"/>
        </w:tabs>
        <w:numPr>
          <w:ilvl w:val="0"/>
          <w:numId w:val="26"/>
        </w:numPr>
        <w:rPr>
          <w:rFonts w:ascii="Arial" w:cs="Arial" w:eastAsia="Arial" w:hAnsi="Arial"/>
          <w:sz w:val="19"/>
          <w:szCs w:val="19"/>
          <w:color w:val="231F20"/>
        </w:rPr>
      </w:pPr>
      <w:r>
        <w:rPr>
          <w:rFonts w:ascii="Times New Roman" w:cs="Times New Roman" w:eastAsia="Times New Roman" w:hAnsi="Times New Roman"/>
          <w:sz w:val="19"/>
          <w:szCs w:val="19"/>
          <w:color w:val="231F20"/>
        </w:rPr>
        <w:t>all other expenses reasonably incurred by us in connection with making investments and administering our business.</w:t>
      </w:r>
    </w:p>
    <w:p>
      <w:pPr>
        <w:spacing w:after="0" w:line="225" w:lineRule="exact"/>
        <w:rPr>
          <w:sz w:val="20"/>
          <w:szCs w:val="20"/>
          <w:color w:val="auto"/>
        </w:rPr>
      </w:pPr>
    </w:p>
    <w:p>
      <w:pPr>
        <w:ind w:right="240" w:firstLine="231"/>
        <w:spacing w:after="0" w:line="246" w:lineRule="auto"/>
        <w:rPr>
          <w:sz w:val="20"/>
          <w:szCs w:val="20"/>
          <w:color w:val="auto"/>
        </w:rPr>
      </w:pPr>
      <w:r>
        <w:rPr>
          <w:rFonts w:ascii="Times New Roman" w:cs="Times New Roman" w:eastAsia="Times New Roman" w:hAnsi="Times New Roman"/>
          <w:sz w:val="19"/>
          <w:szCs w:val="19"/>
          <w:color w:val="231F20"/>
        </w:rPr>
        <w:t>In addition, from time to time, the Adviser pays amounts owed by us to third-party providers of goods or services, including the Board. We subsequently reimburse the Adviser for those amounts paid on our behalf. Amounts payable to the Adviser are settled in the normal course of business without formal payment terms. We also reimburse the Adviser for the allocable portion of the compensation paid by the Adviser or its affiliates to our Chief Compliance Officer, Chief Financial Officer, and other professionals who spend time on those related activities (based on the percentage of time those individuals devote, on an estimated basis, to our business and affairs).</w:t>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231F20"/>
        </w:rPr>
        <w:t>Duration and Termination</w:t>
      </w:r>
    </w:p>
    <w:p>
      <w:pPr>
        <w:spacing w:after="0" w:line="10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9"/>
          <w:szCs w:val="19"/>
          <w:color w:val="231F20"/>
        </w:rPr>
        <w:t>Unless earlier terminated as described below, both the Investment Advisory Agreement and the Administration Agreement will</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231F20"/>
        </w:rPr>
        <w:t>remain in effect until November 2025, and each may be extended subject to required approvals. Each agreement will remain in effect</w:t>
      </w:r>
    </w:p>
    <w:p>
      <w:pPr>
        <w:spacing w:after="0" w:line="238" w:lineRule="auto"/>
        <w:rPr>
          <w:sz w:val="20"/>
          <w:szCs w:val="20"/>
          <w:color w:val="auto"/>
        </w:rPr>
      </w:pPr>
      <w:r>
        <w:rPr>
          <w:rFonts w:ascii="Times New Roman" w:cs="Times New Roman" w:eastAsia="Times New Roman" w:hAnsi="Times New Roman"/>
          <w:sz w:val="19"/>
          <w:szCs w:val="19"/>
          <w:color w:val="231F20"/>
        </w:rPr>
        <w:t>from year to year thereafter if approved annually by our Board or by the affirmative vote of the holders of a majority of our</w:t>
      </w:r>
    </w:p>
    <w:p>
      <w:pPr>
        <w:spacing w:after="0"/>
        <w:rPr>
          <w:sz w:val="20"/>
          <w:szCs w:val="20"/>
          <w:color w:val="auto"/>
        </w:rPr>
      </w:pPr>
      <w:r>
        <w:rPr>
          <w:rFonts w:ascii="Times New Roman" w:cs="Times New Roman" w:eastAsia="Times New Roman" w:hAnsi="Times New Roman"/>
          <w:sz w:val="19"/>
          <w:szCs w:val="19"/>
          <w:color w:val="231F20"/>
        </w:rPr>
        <w:t>outstanding voting securities, and, in either case, if also approved by a majority of the directors of the Board who are not “interested</w:t>
      </w:r>
    </w:p>
    <w:p>
      <w:pPr>
        <w:spacing w:after="0" w:line="238" w:lineRule="auto"/>
        <w:rPr>
          <w:sz w:val="20"/>
          <w:szCs w:val="20"/>
          <w:color w:val="auto"/>
        </w:rPr>
      </w:pPr>
      <w:r>
        <w:rPr>
          <w:rFonts w:ascii="Times New Roman" w:cs="Times New Roman" w:eastAsia="Times New Roman" w:hAnsi="Times New Roman"/>
          <w:sz w:val="19"/>
          <w:szCs w:val="19"/>
          <w:color w:val="231F20"/>
        </w:rPr>
        <w:t>persons” of us, the Adviser or any of our or its respective affiliates, as defined in the 1940 Act (known as Independent Directors). The</w:t>
      </w:r>
    </w:p>
    <w:p>
      <w:pPr>
        <w:spacing w:after="0"/>
        <w:rPr>
          <w:sz w:val="20"/>
          <w:szCs w:val="20"/>
          <w:color w:val="auto"/>
        </w:rPr>
      </w:pPr>
      <w:r>
        <w:rPr>
          <w:rFonts w:ascii="Times New Roman" w:cs="Times New Roman" w:eastAsia="Times New Roman" w:hAnsi="Times New Roman"/>
          <w:sz w:val="19"/>
          <w:szCs w:val="19"/>
          <w:color w:val="231F20"/>
        </w:rPr>
        <w:t>Investment Advisory Agreement automatically terminates in the event of its assignment, as defined in the 1940 Act, by the Adviser.</w:t>
      </w:r>
    </w:p>
    <w:p>
      <w:pPr>
        <w:spacing w:after="0" w:line="238" w:lineRule="auto"/>
        <w:rPr>
          <w:sz w:val="20"/>
          <w:szCs w:val="20"/>
          <w:color w:val="auto"/>
        </w:rPr>
      </w:pPr>
      <w:r>
        <w:rPr>
          <w:rFonts w:ascii="Times New Roman" w:cs="Times New Roman" w:eastAsia="Times New Roman" w:hAnsi="Times New Roman"/>
          <w:sz w:val="19"/>
          <w:szCs w:val="19"/>
          <w:color w:val="231F20"/>
        </w:rPr>
        <w:t>Each agreement may be terminated by either party without penalty on 60 days’ written notice to the other party. The holders of a</w:t>
      </w:r>
    </w:p>
    <w:p>
      <w:pPr>
        <w:spacing w:after="0"/>
        <w:rPr>
          <w:sz w:val="20"/>
          <w:szCs w:val="20"/>
          <w:color w:val="auto"/>
        </w:rPr>
      </w:pPr>
      <w:r>
        <w:rPr>
          <w:rFonts w:ascii="Times New Roman" w:cs="Times New Roman" w:eastAsia="Times New Roman" w:hAnsi="Times New Roman"/>
          <w:sz w:val="19"/>
          <w:szCs w:val="19"/>
          <w:color w:val="231F20"/>
        </w:rPr>
        <w:t>majority of our outstanding voting securities may also terminate each agreement without penalty on 60 days’ written notice. See</w:t>
      </w:r>
    </w:p>
    <w:p>
      <w:pPr>
        <w:spacing w:after="0" w:line="238" w:lineRule="auto"/>
        <w:rPr>
          <w:sz w:val="20"/>
          <w:szCs w:val="20"/>
          <w:color w:val="auto"/>
        </w:rPr>
      </w:pPr>
      <w:r>
        <w:rPr>
          <w:rFonts w:ascii="Times New Roman" w:cs="Times New Roman" w:eastAsia="Times New Roman" w:hAnsi="Times New Roman"/>
          <w:sz w:val="19"/>
          <w:szCs w:val="19"/>
          <w:color w:val="231F20"/>
        </w:rPr>
        <w:t>“</w:t>
      </w:r>
      <w:r>
        <w:rPr>
          <w:rFonts w:ascii="Times New Roman" w:cs="Times New Roman" w:eastAsia="Times New Roman" w:hAnsi="Times New Roman"/>
          <w:sz w:val="19"/>
          <w:szCs w:val="19"/>
          <w:i w:val="1"/>
          <w:iCs w:val="1"/>
          <w:color w:val="231F20"/>
        </w:rPr>
        <w:t>ITEM 1A. RISK FACTORS—Risks Related to Our Business and Structure—We are dependent upon management personnel of the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231F20"/>
        </w:rPr>
        <w:t>Adviser, Sixth Street, and their affiliates for our future success</w:t>
      </w:r>
      <w:r>
        <w:rPr>
          <w:rFonts w:ascii="Times New Roman" w:cs="Times New Roman" w:eastAsia="Times New Roman" w:hAnsi="Times New Roman"/>
          <w:sz w:val="19"/>
          <w:szCs w:val="19"/>
          <w:color w:val="231F20"/>
        </w:rPr>
        <w:t>.”</w:t>
      </w:r>
    </w:p>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231F20"/>
        </w:rPr>
        <w:t>Indemnification</w:t>
      </w:r>
    </w:p>
    <w:p>
      <w:pPr>
        <w:spacing w:after="0" w:line="108" w:lineRule="exact"/>
        <w:rPr>
          <w:sz w:val="20"/>
          <w:szCs w:val="20"/>
          <w:color w:val="auto"/>
        </w:rPr>
      </w:pPr>
    </w:p>
    <w:p>
      <w:pPr>
        <w:ind w:firstLine="231"/>
        <w:spacing w:after="0" w:line="256" w:lineRule="auto"/>
        <w:rPr>
          <w:sz w:val="20"/>
          <w:szCs w:val="20"/>
          <w:color w:val="auto"/>
        </w:rPr>
      </w:pPr>
      <w:r>
        <w:rPr>
          <w:rFonts w:ascii="Times New Roman" w:cs="Times New Roman" w:eastAsia="Times New Roman" w:hAnsi="Times New Roman"/>
          <w:sz w:val="18"/>
          <w:szCs w:val="18"/>
          <w:color w:val="231F20"/>
        </w:rPr>
        <w:t>The Investment Advisory Agreement and the Administration Agreement provide that the Adviser and its members, managers, officers, employees, agents, controlling persons and any other person or entity affiliated with it shall not be liable to us for any action taken or omitted to be taken by the Adviser in connection with the performance of any of its duties or obligations under the Investment Advisory Agreement, the Administration Agreement or otherwise as an investment adviser of ours (except to the extent specified in Section 36(b) of the 1940 Act concerning loss resulting from a breach of fiduciary duty (as the same is finally determined by judicial proceedings) with respect to the receipt of compensation for services). We will, to the fullest extent permitted by law, provide indemnification and the right to the advancement of expenses, to each person who was or is made a party or is threatened to be made a party to or is involved (including, without limitation, as a witness) in any actual or threatened action, suit or proceeding, whether civil, criminal, administrative or investigative, because he or she is or was a member, manager, officer, employee, agent, controlling person or any other person or entity affiliated with the Adviser, including without limitation the Administrator, or is or was a member of the Adviser’s Investment Review Committee, on the same general terms set forth in our certificate of incorporation. Our obligation to provide indemnification and advancement of expenses is subject to the requirements of the 1940 Act and Investment Company Act</w:t>
      </w:r>
    </w:p>
    <w:p>
      <w:pPr>
        <w:sectPr>
          <w:pgSz w:w="12240" w:h="15840" w:orient="portrait"/>
          <w:cols w:equalWidth="0" w:num="1">
            <w:col w:w="10200"/>
          </w:cols>
          <w:pgMar w:left="1020" w:top="1330" w:right="1020" w:bottom="574" w:gutter="0" w:footer="0" w:header="0"/>
        </w:sectPr>
      </w:pP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231F20"/>
        </w:rPr>
        <w:t>20</w:t>
      </w:r>
    </w:p>
    <w:p>
      <w:pPr>
        <w:sectPr>
          <w:pgSz w:w="12240" w:h="15840" w:orient="portrait"/>
          <w:cols w:equalWidth="0" w:num="1">
            <w:col w:w="10200"/>
          </w:cols>
          <w:pgMar w:left="1020" w:top="1330" w:right="1020" w:bottom="574" w:gutter="0" w:footer="0" w:header="0"/>
          <w:type w:val="continuous"/>
        </w:sectPr>
      </w:pPr>
    </w:p>
    <w:bookmarkStart w:id="20" w:name="page21"/>
    <w:bookmarkEnd w:id="20"/>
    <w:p>
      <w:pPr>
        <w:jc w:val="both"/>
        <w:ind w:right="220"/>
        <w:spacing w:after="0" w:line="257" w:lineRule="auto"/>
        <w:rPr>
          <w:sz w:val="20"/>
          <w:szCs w:val="20"/>
          <w:color w:val="auto"/>
        </w:rPr>
      </w:pPr>
      <w:r>
        <w:rPr>
          <w:rFonts w:ascii="Times New Roman" w:cs="Times New Roman" w:eastAsia="Times New Roman" w:hAnsi="Times New Roman"/>
          <w:sz w:val="19"/>
          <w:szCs w:val="19"/>
          <w:color w:val="231F20"/>
        </w:rPr>
        <w:t>Release No. 11330, which, among other things, preclude indemnification for any liability (whether or not there is an adjudication of liability or the matter has been settled) arising by reason of willful misfeasance, bad faith, gross negligence, or reckless disregard of duties, and require reasonable and fair means for determining whether indemnification will be made.</w:t>
      </w: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231F20"/>
        </w:rPr>
        <w:t>Board Approval of the Investment Advisory Agreement</w:t>
      </w:r>
    </w:p>
    <w:p>
      <w:pPr>
        <w:spacing w:after="0" w:line="108" w:lineRule="exact"/>
        <w:rPr>
          <w:sz w:val="20"/>
          <w:szCs w:val="20"/>
          <w:color w:val="auto"/>
        </w:rPr>
      </w:pPr>
    </w:p>
    <w:p>
      <w:pPr>
        <w:ind w:right="160" w:firstLine="231"/>
        <w:spacing w:after="0" w:line="250" w:lineRule="auto"/>
        <w:rPr>
          <w:sz w:val="20"/>
          <w:szCs w:val="20"/>
          <w:color w:val="auto"/>
        </w:rPr>
      </w:pPr>
      <w:r>
        <w:rPr>
          <w:rFonts w:ascii="Times New Roman" w:cs="Times New Roman" w:eastAsia="Times New Roman" w:hAnsi="Times New Roman"/>
          <w:sz w:val="19"/>
          <w:szCs w:val="19"/>
          <w:color w:val="231F20"/>
        </w:rPr>
        <w:t>Our Board, including our Independent Directors, and holders of a majority of our outstanding securities, approved our Investment Advisory Agreement in December 2011. Our Board, including a majority of the Independent Directors, renewed the Investment Advisory Agreement in November 2024. In its consideration of the Investment Advisory Agreement at the time of approval and renewal, the Board focused on information it had received relating to, among other things:</w:t>
      </w:r>
    </w:p>
    <w:p>
      <w:pPr>
        <w:spacing w:after="0" w:line="85" w:lineRule="exact"/>
        <w:rPr>
          <w:sz w:val="20"/>
          <w:szCs w:val="20"/>
          <w:color w:val="auto"/>
        </w:rPr>
      </w:pPr>
    </w:p>
    <w:p>
      <w:pPr>
        <w:ind w:left="460" w:hanging="229"/>
        <w:spacing w:after="0"/>
        <w:tabs>
          <w:tab w:leader="none" w:pos="460" w:val="left"/>
        </w:tabs>
        <w:numPr>
          <w:ilvl w:val="0"/>
          <w:numId w:val="27"/>
        </w:numPr>
        <w:rPr>
          <w:rFonts w:ascii="Arial" w:cs="Arial" w:eastAsia="Arial" w:hAnsi="Arial"/>
          <w:sz w:val="19"/>
          <w:szCs w:val="19"/>
          <w:color w:val="231F20"/>
        </w:rPr>
      </w:pPr>
      <w:r>
        <w:rPr>
          <w:rFonts w:ascii="Times New Roman" w:cs="Times New Roman" w:eastAsia="Times New Roman" w:hAnsi="Times New Roman"/>
          <w:sz w:val="19"/>
          <w:szCs w:val="19"/>
          <w:color w:val="231F20"/>
        </w:rPr>
        <w:t>the nature, quality and extent of the advisory and other services to be provided to us by the Adviser;</w:t>
      </w:r>
    </w:p>
    <w:p>
      <w:pPr>
        <w:spacing w:after="0" w:line="124" w:lineRule="exact"/>
        <w:rPr>
          <w:rFonts w:ascii="Arial" w:cs="Arial" w:eastAsia="Arial" w:hAnsi="Arial"/>
          <w:sz w:val="19"/>
          <w:szCs w:val="19"/>
          <w:color w:val="231F20"/>
        </w:rPr>
      </w:pPr>
    </w:p>
    <w:p>
      <w:pPr>
        <w:ind w:left="460" w:hanging="229"/>
        <w:spacing w:after="0"/>
        <w:tabs>
          <w:tab w:leader="none" w:pos="460" w:val="left"/>
        </w:tabs>
        <w:numPr>
          <w:ilvl w:val="0"/>
          <w:numId w:val="27"/>
        </w:numPr>
        <w:rPr>
          <w:rFonts w:ascii="Arial" w:cs="Arial" w:eastAsia="Arial" w:hAnsi="Arial"/>
          <w:sz w:val="19"/>
          <w:szCs w:val="19"/>
          <w:color w:val="231F20"/>
        </w:rPr>
      </w:pPr>
      <w:r>
        <w:rPr>
          <w:rFonts w:ascii="Times New Roman" w:cs="Times New Roman" w:eastAsia="Times New Roman" w:hAnsi="Times New Roman"/>
          <w:sz w:val="19"/>
          <w:szCs w:val="19"/>
          <w:color w:val="231F20"/>
        </w:rPr>
        <w:t>our investment and financial performance on a standalone basis and against a comparative universe of peers;</w:t>
      </w:r>
    </w:p>
    <w:p>
      <w:pPr>
        <w:spacing w:after="0" w:line="124" w:lineRule="exact"/>
        <w:rPr>
          <w:rFonts w:ascii="Arial" w:cs="Arial" w:eastAsia="Arial" w:hAnsi="Arial"/>
          <w:sz w:val="19"/>
          <w:szCs w:val="19"/>
          <w:color w:val="231F20"/>
        </w:rPr>
      </w:pPr>
    </w:p>
    <w:p>
      <w:pPr>
        <w:ind w:left="460" w:right="580" w:hanging="229"/>
        <w:spacing w:after="0" w:line="274" w:lineRule="auto"/>
        <w:tabs>
          <w:tab w:leader="none" w:pos="460" w:val="left"/>
        </w:tabs>
        <w:numPr>
          <w:ilvl w:val="0"/>
          <w:numId w:val="27"/>
        </w:numPr>
        <w:rPr>
          <w:rFonts w:ascii="Arial" w:cs="Arial" w:eastAsia="Arial" w:hAnsi="Arial"/>
          <w:sz w:val="19"/>
          <w:szCs w:val="19"/>
          <w:color w:val="231F20"/>
        </w:rPr>
      </w:pPr>
      <w:r>
        <w:rPr>
          <w:rFonts w:ascii="Times New Roman" w:cs="Times New Roman" w:eastAsia="Times New Roman" w:hAnsi="Times New Roman"/>
          <w:sz w:val="19"/>
          <w:szCs w:val="19"/>
          <w:color w:val="231F20"/>
        </w:rPr>
        <w:t>the extent to which economies of scale would be realized as we grow, and whether the fees payable under the Investment Advisory Agreement reflect these economies of scale for the benefit of our stockholders;</w:t>
      </w:r>
    </w:p>
    <w:p>
      <w:pPr>
        <w:spacing w:after="0" w:line="61" w:lineRule="exact"/>
        <w:rPr>
          <w:rFonts w:ascii="Arial" w:cs="Arial" w:eastAsia="Arial" w:hAnsi="Arial"/>
          <w:sz w:val="19"/>
          <w:szCs w:val="19"/>
          <w:color w:val="231F20"/>
        </w:rPr>
      </w:pPr>
    </w:p>
    <w:p>
      <w:pPr>
        <w:ind w:left="460" w:hanging="229"/>
        <w:spacing w:after="0"/>
        <w:tabs>
          <w:tab w:leader="none" w:pos="460" w:val="left"/>
        </w:tabs>
        <w:numPr>
          <w:ilvl w:val="0"/>
          <w:numId w:val="27"/>
        </w:numPr>
        <w:rPr>
          <w:rFonts w:ascii="Arial" w:cs="Arial" w:eastAsia="Arial" w:hAnsi="Arial"/>
          <w:sz w:val="19"/>
          <w:szCs w:val="19"/>
          <w:color w:val="231F20"/>
        </w:rPr>
      </w:pPr>
      <w:r>
        <w:rPr>
          <w:rFonts w:ascii="Times New Roman" w:cs="Times New Roman" w:eastAsia="Times New Roman" w:hAnsi="Times New Roman"/>
          <w:sz w:val="19"/>
          <w:szCs w:val="19"/>
          <w:color w:val="231F20"/>
        </w:rPr>
        <w:t>comparative data with respect to advisory fees or similar expenses paid by other BDCs with similar investment objectives;</w:t>
      </w:r>
    </w:p>
    <w:p>
      <w:pPr>
        <w:spacing w:after="0" w:line="124" w:lineRule="exact"/>
        <w:rPr>
          <w:rFonts w:ascii="Arial" w:cs="Arial" w:eastAsia="Arial" w:hAnsi="Arial"/>
          <w:sz w:val="19"/>
          <w:szCs w:val="19"/>
          <w:color w:val="231F20"/>
        </w:rPr>
      </w:pPr>
    </w:p>
    <w:p>
      <w:pPr>
        <w:ind w:left="460" w:hanging="229"/>
        <w:spacing w:after="0"/>
        <w:tabs>
          <w:tab w:leader="none" w:pos="460" w:val="left"/>
        </w:tabs>
        <w:numPr>
          <w:ilvl w:val="0"/>
          <w:numId w:val="27"/>
        </w:numPr>
        <w:rPr>
          <w:rFonts w:ascii="Arial" w:cs="Arial" w:eastAsia="Arial" w:hAnsi="Arial"/>
          <w:sz w:val="19"/>
          <w:szCs w:val="19"/>
          <w:color w:val="231F20"/>
        </w:rPr>
      </w:pPr>
      <w:r>
        <w:rPr>
          <w:rFonts w:ascii="Times New Roman" w:cs="Times New Roman" w:eastAsia="Times New Roman" w:hAnsi="Times New Roman"/>
          <w:sz w:val="19"/>
          <w:szCs w:val="19"/>
          <w:color w:val="231F20"/>
        </w:rPr>
        <w:t>our expense ratio compared to BDCs with similar investment objectives;</w:t>
      </w:r>
    </w:p>
    <w:p>
      <w:pPr>
        <w:spacing w:after="0" w:line="121" w:lineRule="exact"/>
        <w:rPr>
          <w:rFonts w:ascii="Arial" w:cs="Arial" w:eastAsia="Arial" w:hAnsi="Arial"/>
          <w:sz w:val="19"/>
          <w:szCs w:val="19"/>
          <w:color w:val="231F20"/>
        </w:rPr>
      </w:pPr>
    </w:p>
    <w:p>
      <w:pPr>
        <w:ind w:left="460" w:right="180" w:hanging="229"/>
        <w:spacing w:after="0" w:line="269" w:lineRule="auto"/>
        <w:tabs>
          <w:tab w:leader="none" w:pos="460" w:val="left"/>
        </w:tabs>
        <w:numPr>
          <w:ilvl w:val="0"/>
          <w:numId w:val="27"/>
        </w:numPr>
        <w:rPr>
          <w:rFonts w:ascii="Arial" w:cs="Arial" w:eastAsia="Arial" w:hAnsi="Arial"/>
          <w:sz w:val="19"/>
          <w:szCs w:val="19"/>
          <w:color w:val="231F20"/>
        </w:rPr>
      </w:pPr>
      <w:r>
        <w:rPr>
          <w:rFonts w:ascii="Times New Roman" w:cs="Times New Roman" w:eastAsia="Times New Roman" w:hAnsi="Times New Roman"/>
          <w:sz w:val="19"/>
          <w:szCs w:val="19"/>
          <w:color w:val="231F20"/>
        </w:rPr>
        <w:t>any existing and potential sources of indirect income to the Adviser from its relationships with us and the profitability of those income sources;</w:t>
      </w:r>
    </w:p>
    <w:p>
      <w:pPr>
        <w:spacing w:after="0" w:line="61" w:lineRule="exact"/>
        <w:rPr>
          <w:rFonts w:ascii="Arial" w:cs="Arial" w:eastAsia="Arial" w:hAnsi="Arial"/>
          <w:sz w:val="19"/>
          <w:szCs w:val="19"/>
          <w:color w:val="231F20"/>
        </w:rPr>
      </w:pPr>
    </w:p>
    <w:p>
      <w:pPr>
        <w:ind w:left="460" w:right="420" w:hanging="229"/>
        <w:spacing w:after="0" w:line="269" w:lineRule="auto"/>
        <w:tabs>
          <w:tab w:leader="none" w:pos="460" w:val="left"/>
        </w:tabs>
        <w:numPr>
          <w:ilvl w:val="0"/>
          <w:numId w:val="27"/>
        </w:numPr>
        <w:rPr>
          <w:rFonts w:ascii="Arial" w:cs="Arial" w:eastAsia="Arial" w:hAnsi="Arial"/>
          <w:sz w:val="19"/>
          <w:szCs w:val="19"/>
          <w:color w:val="231F20"/>
        </w:rPr>
      </w:pPr>
      <w:r>
        <w:rPr>
          <w:rFonts w:ascii="Times New Roman" w:cs="Times New Roman" w:eastAsia="Times New Roman" w:hAnsi="Times New Roman"/>
          <w:sz w:val="19"/>
          <w:szCs w:val="19"/>
          <w:color w:val="231F20"/>
        </w:rPr>
        <w:t>information about the services to be performed and the personnel performing those services under the Investment Advisory Agreement;</w:t>
      </w:r>
    </w:p>
    <w:p>
      <w:pPr>
        <w:spacing w:after="0" w:line="61" w:lineRule="exact"/>
        <w:rPr>
          <w:rFonts w:ascii="Arial" w:cs="Arial" w:eastAsia="Arial" w:hAnsi="Arial"/>
          <w:sz w:val="19"/>
          <w:szCs w:val="19"/>
          <w:color w:val="231F20"/>
        </w:rPr>
      </w:pPr>
    </w:p>
    <w:p>
      <w:pPr>
        <w:ind w:left="460" w:hanging="229"/>
        <w:spacing w:after="0"/>
        <w:tabs>
          <w:tab w:leader="none" w:pos="460" w:val="left"/>
        </w:tabs>
        <w:numPr>
          <w:ilvl w:val="0"/>
          <w:numId w:val="27"/>
        </w:numPr>
        <w:rPr>
          <w:rFonts w:ascii="Arial" w:cs="Arial" w:eastAsia="Arial" w:hAnsi="Arial"/>
          <w:sz w:val="19"/>
          <w:szCs w:val="19"/>
          <w:color w:val="231F20"/>
        </w:rPr>
      </w:pPr>
      <w:r>
        <w:rPr>
          <w:rFonts w:ascii="Times New Roman" w:cs="Times New Roman" w:eastAsia="Times New Roman" w:hAnsi="Times New Roman"/>
          <w:sz w:val="19"/>
          <w:szCs w:val="19"/>
          <w:color w:val="231F20"/>
        </w:rPr>
        <w:t>the organizational and functional capabilities and financial condition of the Adviser and its respective affiliates; and</w:t>
      </w:r>
    </w:p>
    <w:p>
      <w:pPr>
        <w:spacing w:after="0" w:line="120" w:lineRule="exact"/>
        <w:rPr>
          <w:rFonts w:ascii="Arial" w:cs="Arial" w:eastAsia="Arial" w:hAnsi="Arial"/>
          <w:sz w:val="19"/>
          <w:szCs w:val="19"/>
          <w:color w:val="231F20"/>
        </w:rPr>
      </w:pPr>
    </w:p>
    <w:p>
      <w:pPr>
        <w:ind w:left="460" w:hanging="229"/>
        <w:spacing w:after="0"/>
        <w:tabs>
          <w:tab w:leader="none" w:pos="460" w:val="left"/>
        </w:tabs>
        <w:numPr>
          <w:ilvl w:val="0"/>
          <w:numId w:val="27"/>
        </w:numPr>
        <w:rPr>
          <w:rFonts w:ascii="Arial" w:cs="Arial" w:eastAsia="Arial" w:hAnsi="Arial"/>
          <w:sz w:val="19"/>
          <w:szCs w:val="19"/>
          <w:color w:val="231F20"/>
        </w:rPr>
      </w:pPr>
      <w:r>
        <w:rPr>
          <w:rFonts w:ascii="Times New Roman" w:cs="Times New Roman" w:eastAsia="Times New Roman" w:hAnsi="Times New Roman"/>
          <w:sz w:val="19"/>
          <w:szCs w:val="19"/>
          <w:color w:val="231F20"/>
        </w:rPr>
        <w:t>the possibility of obtaining similar services from other third-party service providers or through an internally managed structure.</w:t>
      </w:r>
    </w:p>
    <w:p>
      <w:pPr>
        <w:spacing w:after="0" w:line="220" w:lineRule="exact"/>
        <w:rPr>
          <w:sz w:val="20"/>
          <w:szCs w:val="20"/>
          <w:color w:val="auto"/>
        </w:rPr>
      </w:pPr>
    </w:p>
    <w:p>
      <w:pPr>
        <w:ind w:right="280" w:firstLine="231"/>
        <w:spacing w:after="0" w:line="252" w:lineRule="auto"/>
        <w:rPr>
          <w:sz w:val="20"/>
          <w:szCs w:val="20"/>
          <w:color w:val="auto"/>
        </w:rPr>
      </w:pPr>
      <w:r>
        <w:rPr>
          <w:rFonts w:ascii="Times New Roman" w:cs="Times New Roman" w:eastAsia="Times New Roman" w:hAnsi="Times New Roman"/>
          <w:sz w:val="19"/>
          <w:szCs w:val="19"/>
          <w:color w:val="231F20"/>
        </w:rPr>
        <w:t>The Board also takes into consideration the reimbursement of expenses incurred by the Adviser on our behalf when determining whether to approve renewal of the Investment Advisory Agreement and the Administration Agreement. No one factor was given greater weight than any others, but rather the Board considered all factors collectively as a whole.</w:t>
      </w:r>
    </w:p>
    <w:p>
      <w:pPr>
        <w:spacing w:after="0" w:line="177" w:lineRule="exact"/>
        <w:rPr>
          <w:sz w:val="20"/>
          <w:szCs w:val="20"/>
          <w:color w:val="auto"/>
        </w:rPr>
      </w:pPr>
    </w:p>
    <w:p>
      <w:pPr>
        <w:ind w:right="580" w:firstLine="231"/>
        <w:spacing w:after="0" w:line="270" w:lineRule="auto"/>
        <w:rPr>
          <w:sz w:val="20"/>
          <w:szCs w:val="20"/>
          <w:color w:val="auto"/>
        </w:rPr>
      </w:pPr>
      <w:r>
        <w:rPr>
          <w:rFonts w:ascii="Times New Roman" w:cs="Times New Roman" w:eastAsia="Times New Roman" w:hAnsi="Times New Roman"/>
          <w:sz w:val="19"/>
          <w:szCs w:val="19"/>
          <w:color w:val="231F20"/>
        </w:rPr>
        <w:t>Based on the information reviewed and the discussion thereof, the Board, including a majority of the Independent Directors, concluded that the investment advisory fee rates are reasonable in relation to the services to be provided.</w:t>
      </w:r>
    </w:p>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231F20"/>
        </w:rPr>
        <w:t>Regulation as a Business Development Company</w:t>
      </w:r>
    </w:p>
    <w:p>
      <w:pPr>
        <w:spacing w:after="0" w:line="110" w:lineRule="exact"/>
        <w:rPr>
          <w:sz w:val="20"/>
          <w:szCs w:val="20"/>
          <w:color w:val="auto"/>
        </w:rPr>
      </w:pPr>
    </w:p>
    <w:p>
      <w:pPr>
        <w:ind w:right="240" w:firstLine="231"/>
        <w:spacing w:after="0" w:line="252" w:lineRule="auto"/>
        <w:rPr>
          <w:sz w:val="20"/>
          <w:szCs w:val="20"/>
          <w:color w:val="auto"/>
        </w:rPr>
      </w:pPr>
      <w:r>
        <w:rPr>
          <w:rFonts w:ascii="Times New Roman" w:cs="Times New Roman" w:eastAsia="Times New Roman" w:hAnsi="Times New Roman"/>
          <w:sz w:val="19"/>
          <w:szCs w:val="19"/>
          <w:color w:val="231F20"/>
        </w:rPr>
        <w:t>We are regulated as a BDC under the 1940 Act. A BDC must be organized in the United States for the purpose of investing in or lending to primarily private companies and making significant managerial assistance available to them. A BDC may use capital provided by public stockholders and from other sources to make long-term, private investments in businesses.</w:t>
      </w:r>
    </w:p>
    <w:p>
      <w:pPr>
        <w:spacing w:after="0" w:line="177" w:lineRule="exact"/>
        <w:rPr>
          <w:sz w:val="20"/>
          <w:szCs w:val="20"/>
          <w:color w:val="auto"/>
        </w:rPr>
      </w:pPr>
    </w:p>
    <w:p>
      <w:pPr>
        <w:ind w:firstLine="231"/>
        <w:spacing w:after="0" w:line="241" w:lineRule="auto"/>
        <w:rPr>
          <w:sz w:val="20"/>
          <w:szCs w:val="20"/>
          <w:color w:val="auto"/>
        </w:rPr>
      </w:pPr>
      <w:r>
        <w:rPr>
          <w:rFonts w:ascii="Times New Roman" w:cs="Times New Roman" w:eastAsia="Times New Roman" w:hAnsi="Times New Roman"/>
          <w:sz w:val="19"/>
          <w:szCs w:val="19"/>
          <w:color w:val="231F20"/>
        </w:rPr>
        <w:t>As with other companies regulated by the 1940 Act, a BDC must adhere to certain substantive regulatory requirements. A majority of our directors must be persons who are not “interested persons,” as that term is defined in the 1940 Act. Additionally, we are required to provide and maintain a bond issued by a reputable fidelity insurance company to protect us against larceny and embezzlement. Furthermore, as a BDC, we are prohibited from protecting any director or officer against any liability to us or our stockholders arising from willful misfeasance, bad faith, gross negligence or reckless disregard of the duties involved in the conduct of such person’s office.</w:t>
      </w:r>
    </w:p>
    <w:p>
      <w:pPr>
        <w:spacing w:after="0" w:line="187" w:lineRule="exact"/>
        <w:rPr>
          <w:sz w:val="20"/>
          <w:szCs w:val="20"/>
          <w:color w:val="auto"/>
        </w:rPr>
      </w:pPr>
    </w:p>
    <w:p>
      <w:pPr>
        <w:ind w:right="60" w:firstLine="231"/>
        <w:spacing w:after="0" w:line="238" w:lineRule="auto"/>
        <w:rPr>
          <w:sz w:val="20"/>
          <w:szCs w:val="20"/>
          <w:color w:val="auto"/>
        </w:rPr>
      </w:pPr>
      <w:r>
        <w:rPr>
          <w:rFonts w:ascii="Times New Roman" w:cs="Times New Roman" w:eastAsia="Times New Roman" w:hAnsi="Times New Roman"/>
          <w:sz w:val="19"/>
          <w:szCs w:val="19"/>
          <w:color w:val="231F20"/>
        </w:rPr>
        <w:t>As a BDC, we are permitted, under specified conditions, to issue multiple classes of indebtedness and one class of shares senior to our common stock if our asset coverage, as defined in the 1940 Act, is at least equal to 150% immediately after any borrowing or issuance. See “</w:t>
      </w:r>
      <w:r>
        <w:rPr>
          <w:rFonts w:ascii="Times New Roman" w:cs="Times New Roman" w:eastAsia="Times New Roman" w:hAnsi="Times New Roman"/>
          <w:sz w:val="19"/>
          <w:szCs w:val="19"/>
          <w:i w:val="1"/>
          <w:iCs w:val="1"/>
          <w:color w:val="231F20"/>
        </w:rPr>
        <w:t>—Senior Securities</w:t>
      </w:r>
      <w:r>
        <w:rPr>
          <w:rFonts w:ascii="Times New Roman" w:cs="Times New Roman" w:eastAsia="Times New Roman" w:hAnsi="Times New Roman"/>
          <w:sz w:val="19"/>
          <w:szCs w:val="19"/>
          <w:color w:val="231F20"/>
        </w:rPr>
        <w:t>” for more information. In addition, while any preferred stock or publicly traded debt securities are outstanding, we may be prohibited from making distributions to our stockholders or repurchasing securities or shares unless we meet the applicable asset coverage ratio at the time of the distribution or repurchase. We may also borrow amounts up to 5% of the value of our total assets for temporary or emergency purposes without regard to asset coverage. For a discussion of the risks associated with leverage, see “</w:t>
      </w:r>
      <w:r>
        <w:rPr>
          <w:rFonts w:ascii="Times New Roman" w:cs="Times New Roman" w:eastAsia="Times New Roman" w:hAnsi="Times New Roman"/>
          <w:sz w:val="19"/>
          <w:szCs w:val="19"/>
          <w:i w:val="1"/>
          <w:iCs w:val="1"/>
          <w:color w:val="231F20"/>
        </w:rPr>
        <w:t>ITEM 1A. RISK FACTORS—Risks Related to Our Business and Structure—We borrow money, which magnifies the</w:t>
      </w:r>
      <w:r>
        <w:rPr>
          <w:rFonts w:ascii="Times New Roman" w:cs="Times New Roman" w:eastAsia="Times New Roman" w:hAnsi="Times New Roman"/>
          <w:sz w:val="19"/>
          <w:szCs w:val="19"/>
          <w:color w:val="231F20"/>
        </w:rPr>
        <w:t xml:space="preserve"> </w:t>
      </w:r>
      <w:r>
        <w:rPr>
          <w:rFonts w:ascii="Times New Roman" w:cs="Times New Roman" w:eastAsia="Times New Roman" w:hAnsi="Times New Roman"/>
          <w:sz w:val="19"/>
          <w:szCs w:val="19"/>
          <w:i w:val="1"/>
          <w:iCs w:val="1"/>
          <w:color w:val="231F20"/>
        </w:rPr>
        <w:t>potential for gain or loss and increases the risk of investing in us</w:t>
      </w:r>
      <w:r>
        <w:rPr>
          <w:rFonts w:ascii="Times New Roman" w:cs="Times New Roman" w:eastAsia="Times New Roman" w:hAnsi="Times New Roman"/>
          <w:sz w:val="19"/>
          <w:szCs w:val="19"/>
          <w:color w:val="231F20"/>
        </w:rPr>
        <w:t>.” As of December 31, 2024 and December 31, 2023, our asset</w:t>
      </w:r>
      <w:r>
        <w:rPr>
          <w:rFonts w:ascii="Times New Roman" w:cs="Times New Roman" w:eastAsia="Times New Roman" w:hAnsi="Times New Roman"/>
          <w:sz w:val="19"/>
          <w:szCs w:val="19"/>
          <w:i w:val="1"/>
          <w:iCs w:val="1"/>
          <w:color w:val="231F20"/>
        </w:rPr>
        <w:t xml:space="preserve"> </w:t>
      </w:r>
      <w:r>
        <w:rPr>
          <w:rFonts w:ascii="Times New Roman" w:cs="Times New Roman" w:eastAsia="Times New Roman" w:hAnsi="Times New Roman"/>
          <w:sz w:val="19"/>
          <w:szCs w:val="19"/>
          <w:color w:val="231F20"/>
        </w:rPr>
        <w:t>coverage was 182.5% and 181.6% respectively.</w:t>
      </w:r>
    </w:p>
    <w:p>
      <w:pPr>
        <w:spacing w:after="0" w:line="191" w:lineRule="exact"/>
        <w:rPr>
          <w:sz w:val="20"/>
          <w:szCs w:val="20"/>
          <w:color w:val="auto"/>
        </w:rPr>
      </w:pPr>
    </w:p>
    <w:p>
      <w:pPr>
        <w:ind w:right="40" w:firstLine="231"/>
        <w:spacing w:after="0" w:line="270" w:lineRule="auto"/>
        <w:rPr>
          <w:sz w:val="20"/>
          <w:szCs w:val="20"/>
          <w:color w:val="auto"/>
        </w:rPr>
      </w:pPr>
      <w:r>
        <w:rPr>
          <w:rFonts w:ascii="Times New Roman" w:cs="Times New Roman" w:eastAsia="Times New Roman" w:hAnsi="Times New Roman"/>
          <w:sz w:val="19"/>
          <w:szCs w:val="19"/>
          <w:color w:val="231F20"/>
        </w:rPr>
        <w:t>We may not change the nature of our business so as to cease to be, or withdraw our election as, a BDC unless authorized by vote of a majority of the outstanding voting securities, as required by the 1940 Act. A majority of the outstanding voting securities of a</w:t>
      </w:r>
    </w:p>
    <w:p>
      <w:pPr>
        <w:sectPr>
          <w:pgSz w:w="12240" w:h="15840" w:orient="portrait"/>
          <w:cols w:equalWidth="0" w:num="1">
            <w:col w:w="10200"/>
          </w:cols>
          <w:pgMar w:left="1020" w:top="1317" w:right="1020" w:bottom="574" w:gutter="0" w:footer="0" w:header="0"/>
        </w:sectPr>
      </w:pPr>
    </w:p>
    <w:p>
      <w:pPr>
        <w:spacing w:after="0" w:line="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231F20"/>
        </w:rPr>
        <w:t>21</w:t>
      </w:r>
    </w:p>
    <w:p>
      <w:pPr>
        <w:sectPr>
          <w:pgSz w:w="12240" w:h="15840" w:orient="portrait"/>
          <w:cols w:equalWidth="0" w:num="1">
            <w:col w:w="10200"/>
          </w:cols>
          <w:pgMar w:left="1020" w:top="1317" w:right="1020" w:bottom="574" w:gutter="0" w:footer="0" w:header="0"/>
          <w:type w:val="continuous"/>
        </w:sectPr>
      </w:pPr>
    </w:p>
    <w:bookmarkStart w:id="21" w:name="page22"/>
    <w:bookmarkEnd w:id="21"/>
    <w:p>
      <w:pPr>
        <w:jc w:val="both"/>
        <w:ind w:right="180"/>
        <w:spacing w:after="0" w:line="252" w:lineRule="auto"/>
        <w:rPr>
          <w:sz w:val="20"/>
          <w:szCs w:val="20"/>
          <w:color w:val="auto"/>
        </w:rPr>
      </w:pPr>
      <w:r>
        <w:rPr>
          <w:rFonts w:ascii="Times New Roman" w:cs="Times New Roman" w:eastAsia="Times New Roman" w:hAnsi="Times New Roman"/>
          <w:sz w:val="19"/>
          <w:szCs w:val="19"/>
          <w:color w:val="231F20"/>
        </w:rPr>
        <w:t>company is defined under the 1940 Act as the lesser of: (a) 67% or more of such company’s voting securities present at a meeting if more than 50% of the outstanding voting securities of such company are present or represented by proxy, and (b) more than 50% of the outstanding voting securities of such company.</w:t>
      </w:r>
    </w:p>
    <w:p>
      <w:pPr>
        <w:spacing w:after="0" w:line="17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9"/>
          <w:szCs w:val="19"/>
          <w:color w:val="231F20"/>
        </w:rPr>
        <w:t>We do not anticipate any substantial change in the nature of our business.</w:t>
      </w:r>
    </w:p>
    <w:p>
      <w:pPr>
        <w:spacing w:after="0" w:line="221" w:lineRule="exact"/>
        <w:rPr>
          <w:sz w:val="20"/>
          <w:szCs w:val="20"/>
          <w:color w:val="auto"/>
        </w:rPr>
      </w:pPr>
    </w:p>
    <w:p>
      <w:pPr>
        <w:ind w:right="80" w:firstLine="231"/>
        <w:spacing w:after="0" w:line="239" w:lineRule="auto"/>
        <w:rPr>
          <w:sz w:val="20"/>
          <w:szCs w:val="20"/>
          <w:color w:val="auto"/>
        </w:rPr>
      </w:pPr>
      <w:r>
        <w:rPr>
          <w:rFonts w:ascii="Times New Roman" w:cs="Times New Roman" w:eastAsia="Times New Roman" w:hAnsi="Times New Roman"/>
          <w:sz w:val="19"/>
          <w:szCs w:val="19"/>
          <w:color w:val="231F20"/>
        </w:rPr>
        <w:t>We do not intend to acquire securities issued by any investment company that exceed the limits imposed by the 1940 Act. Under these limits, except for registered money market funds, we generally cannot acquire more than 3% of the voting stock of any investment company, invest more than 5% of the value of our total assets in the securities of one investment company or invest more than 10% of the value of our total assets in the securities of investment companies in the aggregate. The portion of our portfolio invested in securities issued by investment companies ordinarily will subject our stockholders to additional expenses. Our investment portfolio is also subject to diversification requirements by virtue of our status as a RIC for U.S. federal income tax purposes. See “— Regulated Investment Company Classification” for more information.</w:t>
      </w:r>
    </w:p>
    <w:p>
      <w:pPr>
        <w:spacing w:after="0" w:line="193" w:lineRule="exact"/>
        <w:rPr>
          <w:sz w:val="20"/>
          <w:szCs w:val="20"/>
          <w:color w:val="auto"/>
        </w:rPr>
      </w:pPr>
    </w:p>
    <w:p>
      <w:pPr>
        <w:ind w:right="200" w:firstLine="231"/>
        <w:spacing w:after="0" w:line="242" w:lineRule="auto"/>
        <w:rPr>
          <w:sz w:val="20"/>
          <w:szCs w:val="20"/>
          <w:color w:val="auto"/>
        </w:rPr>
      </w:pPr>
      <w:r>
        <w:rPr>
          <w:rFonts w:ascii="Times New Roman" w:cs="Times New Roman" w:eastAsia="Times New Roman" w:hAnsi="Times New Roman"/>
          <w:sz w:val="19"/>
          <w:szCs w:val="19"/>
          <w:color w:val="231F20"/>
        </w:rPr>
        <w:t>In addition, investment companies registered under the 1940 Act and private funds that are excluded from the definition of “investment company” pursuant to either Section 3(c)(1) or 3(c)(7) of the 1940 Act may not acquire directly or through a controlled entity more than 3% of our total outstanding voting stock (measured at the time of the acquisition), unless the funds comply with an exemption under the 1940 Act. As a result, certain of our investors may hold a smaller position in our shares than if they were not subject to these restrictions.</w:t>
      </w:r>
    </w:p>
    <w:p>
      <w:pPr>
        <w:spacing w:after="0" w:line="192" w:lineRule="exact"/>
        <w:rPr>
          <w:sz w:val="20"/>
          <w:szCs w:val="20"/>
          <w:color w:val="auto"/>
        </w:rPr>
      </w:pPr>
    </w:p>
    <w:p>
      <w:pPr>
        <w:ind w:right="20" w:firstLine="231"/>
        <w:spacing w:after="0" w:line="256" w:lineRule="auto"/>
        <w:rPr>
          <w:sz w:val="20"/>
          <w:szCs w:val="20"/>
          <w:color w:val="auto"/>
        </w:rPr>
      </w:pPr>
      <w:r>
        <w:rPr>
          <w:rFonts w:ascii="Times New Roman" w:cs="Times New Roman" w:eastAsia="Times New Roman" w:hAnsi="Times New Roman"/>
          <w:sz w:val="18"/>
          <w:szCs w:val="18"/>
          <w:color w:val="231F20"/>
        </w:rPr>
        <w:t>We are generally not able to issue and sell our common stock at a price below net asset value per share. See “ITEM 1A. RISK FACTORS—Risks Related to Our Business and Structure—Regulations governing our operation as a BDC affect our ability to, and the way in which we, raise additional capital.” We may, however, elect to issue and sell our common stock, or warrants, options or rights to acquire our common stock, at a price below the then-current net asset value of our common stock if our Board determines that the sale is in our best interests and the best interests of our stockholders, and our stockholders have approved our policy and practice of making these sales within the preceding 12 months. Pursuant to approval granted at a special meeting of stockholders held on May 25, 2023, we are currently permitted to sell or otherwise issue shares of our common stock at a price below our then-current net asset value per share, subject to the approval of our Board and certain other conditions. Such stockholder approval expires on May 25, 2024. We may in the future seek such approval again; however, there is no assurance such approval will be obtained. In this case, the price at which our securities are to be issued and sold may not be less than a price that, in the determination of our Board, closely approximates the market value of such securities. In addition, we may generally issue new common stock at a price below net asset value in rights offerings to existing stockholders, in payment of dividends and in certain other limited circumstances.</w:t>
      </w:r>
    </w:p>
    <w:p>
      <w:pPr>
        <w:spacing w:after="0" w:line="18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9"/>
          <w:szCs w:val="19"/>
          <w:color w:val="231F20"/>
        </w:rPr>
        <w:t>We are subject to periodic examination by the SEC for compliance with the 1940 Act.</w:t>
      </w:r>
    </w:p>
    <w:p>
      <w:pPr>
        <w:spacing w:after="0" w:line="225"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9"/>
          <w:szCs w:val="19"/>
          <w:color w:val="231F20"/>
        </w:rPr>
        <w:t>Compliance with regulations has not had a material effect on our capital expenditure, earnings or competitive position.</w:t>
      </w:r>
    </w:p>
    <w:p>
      <w:pPr>
        <w:spacing w:after="0" w:line="225" w:lineRule="exact"/>
        <w:rPr>
          <w:sz w:val="20"/>
          <w:szCs w:val="20"/>
          <w:color w:val="auto"/>
        </w:rPr>
      </w:pPr>
    </w:p>
    <w:p>
      <w:pPr>
        <w:ind w:right="160" w:firstLine="231"/>
        <w:spacing w:after="0" w:line="275" w:lineRule="auto"/>
        <w:rPr>
          <w:sz w:val="20"/>
          <w:szCs w:val="20"/>
          <w:color w:val="auto"/>
        </w:rPr>
      </w:pPr>
      <w:r>
        <w:rPr>
          <w:rFonts w:ascii="Times New Roman" w:cs="Times New Roman" w:eastAsia="Times New Roman" w:hAnsi="Times New Roman"/>
          <w:sz w:val="19"/>
          <w:szCs w:val="19"/>
          <w:color w:val="231F20"/>
        </w:rPr>
        <w:t>As a BDC, we are subject to certain risks and uncertainties. See “</w:t>
      </w:r>
      <w:r>
        <w:rPr>
          <w:rFonts w:ascii="Times New Roman" w:cs="Times New Roman" w:eastAsia="Times New Roman" w:hAnsi="Times New Roman"/>
          <w:sz w:val="19"/>
          <w:szCs w:val="19"/>
          <w:i w:val="1"/>
          <w:iCs w:val="1"/>
          <w:color w:val="231F20"/>
        </w:rPr>
        <w:t>ITEM 1A. RISK FACTORS—Risks Related to Our Business and</w:t>
      </w:r>
      <w:r>
        <w:rPr>
          <w:rFonts w:ascii="Times New Roman" w:cs="Times New Roman" w:eastAsia="Times New Roman" w:hAnsi="Times New Roman"/>
          <w:sz w:val="19"/>
          <w:szCs w:val="19"/>
          <w:color w:val="231F20"/>
        </w:rPr>
        <w:t xml:space="preserve"> </w:t>
      </w:r>
      <w:r>
        <w:rPr>
          <w:rFonts w:ascii="Times New Roman" w:cs="Times New Roman" w:eastAsia="Times New Roman" w:hAnsi="Times New Roman"/>
          <w:sz w:val="19"/>
          <w:szCs w:val="19"/>
          <w:i w:val="1"/>
          <w:iCs w:val="1"/>
          <w:color w:val="231F20"/>
        </w:rPr>
        <w:t>Structure.</w:t>
      </w:r>
      <w:r>
        <w:rPr>
          <w:rFonts w:ascii="Times New Roman" w:cs="Times New Roman" w:eastAsia="Times New Roman" w:hAnsi="Times New Roman"/>
          <w:sz w:val="19"/>
          <w:szCs w:val="19"/>
          <w:color w:val="231F20"/>
        </w:rPr>
        <w:t>”</w:t>
      </w:r>
    </w:p>
    <w:p>
      <w:pPr>
        <w:spacing w:after="0" w:line="27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231F20"/>
        </w:rPr>
        <w:t>Transactions with our Affiliates</w:t>
      </w:r>
    </w:p>
    <w:p>
      <w:pPr>
        <w:spacing w:after="0" w:line="108" w:lineRule="exact"/>
        <w:rPr>
          <w:sz w:val="20"/>
          <w:szCs w:val="20"/>
          <w:color w:val="auto"/>
        </w:rPr>
      </w:pPr>
    </w:p>
    <w:p>
      <w:pPr>
        <w:ind w:right="140" w:firstLine="231"/>
        <w:spacing w:after="0" w:line="250" w:lineRule="auto"/>
        <w:rPr>
          <w:sz w:val="20"/>
          <w:szCs w:val="20"/>
          <w:color w:val="auto"/>
        </w:rPr>
      </w:pPr>
      <w:r>
        <w:rPr>
          <w:rFonts w:ascii="Times New Roman" w:cs="Times New Roman" w:eastAsia="Times New Roman" w:hAnsi="Times New Roman"/>
          <w:sz w:val="19"/>
          <w:szCs w:val="19"/>
          <w:color w:val="231F20"/>
        </w:rPr>
        <w:t>We may also be prohibited under the 1940 Act from knowingly participating in certain transactions with our affiliates, including our officers, directors, investment adviser, and principal underwriters, and certain of their affiliates, without the prior approval of the members of our Board who are not interested persons and, in some cases, prior approval by the SEC through an exemptive order (other than in certain limited situations pursuant to current regulatory guidance).</w:t>
      </w:r>
    </w:p>
    <w:p>
      <w:pPr>
        <w:spacing w:after="0" w:line="185" w:lineRule="exact"/>
        <w:rPr>
          <w:sz w:val="20"/>
          <w:szCs w:val="20"/>
          <w:color w:val="auto"/>
        </w:rPr>
      </w:pPr>
    </w:p>
    <w:p>
      <w:pPr>
        <w:ind w:firstLine="231"/>
        <w:spacing w:after="0" w:line="260" w:lineRule="auto"/>
        <w:rPr>
          <w:sz w:val="20"/>
          <w:szCs w:val="20"/>
          <w:color w:val="auto"/>
        </w:rPr>
      </w:pPr>
      <w:r>
        <w:rPr>
          <w:rFonts w:ascii="Times New Roman" w:cs="Times New Roman" w:eastAsia="Times New Roman" w:hAnsi="Times New Roman"/>
          <w:sz w:val="18"/>
          <w:szCs w:val="18"/>
          <w:color w:val="231F20"/>
        </w:rPr>
        <w:t>On December 16, 2014, we were granted an exemptive order from the SEC that allows us to co-invest, subject to certain conditions and to the extent the size of an investment opportunity exceeds the amount our Adviser has independently determined is appropriate for us to invest, with certain of our affiliates (including affiliates of Sixth Street) in middle-market loan origination activities for companies domiciled in the United States and certain “follow-on” investments in companies in which we have already co-invested pursuant to the order and remain invested. On January 16, 2020, we filed a further application for co-investment exemptive relief with the SEC to better align our existing co-investment relief with more recent SEC exemptive orders. Subsequent further applications were also made, most recently as June 29, 2022. On August 3, 2022, the SEC granted the new order in response to our application.</w:t>
      </w:r>
    </w:p>
    <w:p>
      <w:pPr>
        <w:spacing w:after="0" w:line="178" w:lineRule="exact"/>
        <w:rPr>
          <w:sz w:val="20"/>
          <w:szCs w:val="20"/>
          <w:color w:val="auto"/>
        </w:rPr>
      </w:pPr>
    </w:p>
    <w:p>
      <w:pPr>
        <w:ind w:right="40" w:firstLine="231"/>
        <w:spacing w:after="0" w:line="257" w:lineRule="auto"/>
        <w:rPr>
          <w:sz w:val="20"/>
          <w:szCs w:val="20"/>
          <w:color w:val="auto"/>
        </w:rPr>
      </w:pPr>
      <w:r>
        <w:rPr>
          <w:rFonts w:ascii="Times New Roman" w:cs="Times New Roman" w:eastAsia="Times New Roman" w:hAnsi="Times New Roman"/>
          <w:sz w:val="19"/>
          <w:szCs w:val="19"/>
          <w:color w:val="231F20"/>
        </w:rPr>
        <w:t>We believe our ability to co-invest with Sixth Street affiliates is particularly useful where we identify larger capital commitments than otherwise would be appropriate for us. We expect that with the ability to co-invest with Sixth Street affiliates we will continue to be able to provide “one-stop” financing to a potential portfolio company in these circumstances, which may allow us to capture</w:t>
      </w:r>
    </w:p>
    <w:p>
      <w:pPr>
        <w:sectPr>
          <w:pgSz w:w="12240" w:h="15840" w:orient="portrait"/>
          <w:cols w:equalWidth="0" w:num="1">
            <w:col w:w="10160"/>
          </w:cols>
          <w:pgMar w:left="1020" w:top="1313" w:right="1060" w:bottom="574" w:gutter="0" w:footer="0" w:header="0"/>
        </w:sectPr>
      </w:pPr>
    </w:p>
    <w:p>
      <w:pPr>
        <w:spacing w:after="0" w:line="200" w:lineRule="exact"/>
        <w:rPr>
          <w:sz w:val="20"/>
          <w:szCs w:val="20"/>
          <w:color w:val="auto"/>
        </w:rPr>
      </w:pPr>
    </w:p>
    <w:p>
      <w:pPr>
        <w:spacing w:after="0" w:line="28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9"/>
          <w:szCs w:val="19"/>
          <w:color w:val="231F20"/>
        </w:rPr>
        <w:t>22</w:t>
      </w:r>
    </w:p>
    <w:p>
      <w:pPr>
        <w:sectPr>
          <w:pgSz w:w="12240" w:h="15840" w:orient="portrait"/>
          <w:cols w:equalWidth="0" w:num="1">
            <w:col w:w="10160"/>
          </w:cols>
          <w:pgMar w:left="1020" w:top="1313" w:right="1060" w:bottom="574" w:gutter="0" w:footer="0" w:header="0"/>
          <w:type w:val="continuous"/>
        </w:sectPr>
      </w:pPr>
    </w:p>
    <w:bookmarkStart w:id="22" w:name="page23"/>
    <w:bookmarkEnd w:id="22"/>
    <w:p>
      <w:pPr>
        <w:ind w:right="260"/>
        <w:spacing w:after="0" w:line="275" w:lineRule="auto"/>
        <w:rPr>
          <w:sz w:val="20"/>
          <w:szCs w:val="20"/>
          <w:color w:val="auto"/>
        </w:rPr>
      </w:pPr>
      <w:r>
        <w:rPr>
          <w:rFonts w:ascii="Times New Roman" w:cs="Times New Roman" w:eastAsia="Times New Roman" w:hAnsi="Times New Roman"/>
          <w:sz w:val="19"/>
          <w:szCs w:val="19"/>
          <w:color w:val="231F20"/>
        </w:rPr>
        <w:t>opportunities where we alone could not commit the full amount of required capital or would have to spend additional time to locate unaffiliated co-investors.</w:t>
      </w:r>
    </w:p>
    <w:p>
      <w:pPr>
        <w:spacing w:after="0" w:line="160" w:lineRule="exact"/>
        <w:rPr>
          <w:sz w:val="20"/>
          <w:szCs w:val="20"/>
          <w:color w:val="auto"/>
        </w:rPr>
      </w:pPr>
    </w:p>
    <w:p>
      <w:pPr>
        <w:ind w:right="120" w:firstLine="231"/>
        <w:spacing w:after="0" w:line="257" w:lineRule="auto"/>
        <w:rPr>
          <w:sz w:val="20"/>
          <w:szCs w:val="20"/>
          <w:color w:val="auto"/>
        </w:rPr>
      </w:pPr>
      <w:r>
        <w:rPr>
          <w:rFonts w:ascii="Times New Roman" w:cs="Times New Roman" w:eastAsia="Times New Roman" w:hAnsi="Times New Roman"/>
          <w:sz w:val="19"/>
          <w:szCs w:val="19"/>
          <w:color w:val="231F20"/>
        </w:rPr>
        <w:t>Further, in accordance with the exemptive order, we have undertaken that, in connection with any commitment to a co-investment or follow-on investment, a “required majority” (as defined in Section 57(o) of the 1940 Act) of Independent Directors must make certain conclusions, including that:</w:t>
      </w:r>
    </w:p>
    <w:p>
      <w:pPr>
        <w:spacing w:after="0" w:line="77" w:lineRule="exact"/>
        <w:rPr>
          <w:sz w:val="20"/>
          <w:szCs w:val="20"/>
          <w:color w:val="auto"/>
        </w:rPr>
      </w:pPr>
    </w:p>
    <w:p>
      <w:pPr>
        <w:ind w:left="460" w:right="100" w:hanging="229"/>
        <w:spacing w:after="0" w:line="274" w:lineRule="auto"/>
        <w:tabs>
          <w:tab w:leader="none" w:pos="460" w:val="left"/>
        </w:tabs>
        <w:numPr>
          <w:ilvl w:val="0"/>
          <w:numId w:val="28"/>
        </w:numPr>
        <w:rPr>
          <w:rFonts w:ascii="Arial" w:cs="Arial" w:eastAsia="Arial" w:hAnsi="Arial"/>
          <w:sz w:val="19"/>
          <w:szCs w:val="19"/>
          <w:color w:val="231F20"/>
        </w:rPr>
      </w:pPr>
      <w:r>
        <w:rPr>
          <w:rFonts w:ascii="Times New Roman" w:cs="Times New Roman" w:eastAsia="Times New Roman" w:hAnsi="Times New Roman"/>
          <w:sz w:val="19"/>
          <w:szCs w:val="19"/>
          <w:color w:val="231F20"/>
        </w:rPr>
        <w:t>the terms of the proposed transaction (including the consideration to be paid) are reasonable and fair to us and our stockholders and do not involve overreaching of us or our stockholders on the part of any person concerned;</w:t>
      </w:r>
    </w:p>
    <w:p>
      <w:pPr>
        <w:spacing w:after="0" w:line="61" w:lineRule="exact"/>
        <w:rPr>
          <w:rFonts w:ascii="Arial" w:cs="Arial" w:eastAsia="Arial" w:hAnsi="Arial"/>
          <w:sz w:val="19"/>
          <w:szCs w:val="19"/>
          <w:color w:val="231F20"/>
        </w:rPr>
      </w:pPr>
    </w:p>
    <w:p>
      <w:pPr>
        <w:ind w:left="460" w:hanging="229"/>
        <w:spacing w:after="0"/>
        <w:tabs>
          <w:tab w:leader="none" w:pos="460" w:val="left"/>
        </w:tabs>
        <w:numPr>
          <w:ilvl w:val="0"/>
          <w:numId w:val="28"/>
        </w:numPr>
        <w:rPr>
          <w:rFonts w:ascii="Arial" w:cs="Arial" w:eastAsia="Arial" w:hAnsi="Arial"/>
          <w:sz w:val="19"/>
          <w:szCs w:val="19"/>
          <w:color w:val="231F20"/>
        </w:rPr>
      </w:pPr>
      <w:r>
        <w:rPr>
          <w:rFonts w:ascii="Times New Roman" w:cs="Times New Roman" w:eastAsia="Times New Roman" w:hAnsi="Times New Roman"/>
          <w:sz w:val="19"/>
          <w:szCs w:val="19"/>
          <w:color w:val="231F20"/>
        </w:rPr>
        <w:t>the transaction is consistent with the interests of our stockholders and our investment strategies and policies;</w:t>
      </w:r>
    </w:p>
    <w:p>
      <w:pPr>
        <w:spacing w:after="0" w:line="117" w:lineRule="exact"/>
        <w:rPr>
          <w:rFonts w:ascii="Arial" w:cs="Arial" w:eastAsia="Arial" w:hAnsi="Arial"/>
          <w:sz w:val="19"/>
          <w:szCs w:val="19"/>
          <w:color w:val="231F20"/>
        </w:rPr>
      </w:pPr>
    </w:p>
    <w:p>
      <w:pPr>
        <w:ind w:left="460" w:right="820" w:hanging="229"/>
        <w:spacing w:after="0" w:line="264" w:lineRule="auto"/>
        <w:tabs>
          <w:tab w:leader="none" w:pos="460" w:val="left"/>
        </w:tabs>
        <w:numPr>
          <w:ilvl w:val="0"/>
          <w:numId w:val="28"/>
        </w:numPr>
        <w:rPr>
          <w:rFonts w:ascii="Arial" w:cs="Arial" w:eastAsia="Arial" w:hAnsi="Arial"/>
          <w:sz w:val="19"/>
          <w:szCs w:val="19"/>
          <w:color w:val="231F20"/>
        </w:rPr>
      </w:pPr>
      <w:r>
        <w:rPr>
          <w:rFonts w:ascii="Times New Roman" w:cs="Times New Roman" w:eastAsia="Times New Roman" w:hAnsi="Times New Roman"/>
          <w:sz w:val="19"/>
          <w:szCs w:val="19"/>
          <w:color w:val="231F20"/>
        </w:rPr>
        <w:t>the investment by our affiliate would not disadvantage us, and our participation is not on a basis different from or less advantageous than that of our affiliate; and</w:t>
      </w:r>
    </w:p>
    <w:p>
      <w:pPr>
        <w:spacing w:after="0" w:line="61" w:lineRule="exact"/>
        <w:rPr>
          <w:rFonts w:ascii="Arial" w:cs="Arial" w:eastAsia="Arial" w:hAnsi="Arial"/>
          <w:sz w:val="19"/>
          <w:szCs w:val="19"/>
          <w:color w:val="231F20"/>
        </w:rPr>
      </w:pPr>
    </w:p>
    <w:p>
      <w:pPr>
        <w:ind w:left="460" w:hanging="229"/>
        <w:spacing w:after="0" w:line="264" w:lineRule="auto"/>
        <w:tabs>
          <w:tab w:leader="none" w:pos="460" w:val="left"/>
        </w:tabs>
        <w:numPr>
          <w:ilvl w:val="0"/>
          <w:numId w:val="28"/>
        </w:numPr>
        <w:rPr>
          <w:rFonts w:ascii="Arial" w:cs="Arial" w:eastAsia="Arial" w:hAnsi="Arial"/>
          <w:sz w:val="19"/>
          <w:szCs w:val="19"/>
          <w:color w:val="231F20"/>
        </w:rPr>
      </w:pPr>
      <w:r>
        <w:rPr>
          <w:rFonts w:ascii="Times New Roman" w:cs="Times New Roman" w:eastAsia="Times New Roman" w:hAnsi="Times New Roman"/>
          <w:sz w:val="19"/>
          <w:szCs w:val="19"/>
          <w:color w:val="231F20"/>
        </w:rPr>
        <w:t>our investment will not benefit any affiliate other than the affiliate participating in the investment, and as otherwise permitted by the order.</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231F20"/>
        </w:rPr>
        <w:t>Qualifying Assets</w:t>
      </w:r>
    </w:p>
    <w:p>
      <w:pPr>
        <w:spacing w:after="0" w:line="99" w:lineRule="exact"/>
        <w:rPr>
          <w:sz w:val="20"/>
          <w:szCs w:val="20"/>
          <w:color w:val="auto"/>
        </w:rPr>
      </w:pPr>
    </w:p>
    <w:p>
      <w:pPr>
        <w:ind w:right="120" w:firstLine="231"/>
        <w:spacing w:after="0" w:line="247" w:lineRule="auto"/>
        <w:rPr>
          <w:sz w:val="20"/>
          <w:szCs w:val="20"/>
          <w:color w:val="auto"/>
        </w:rPr>
      </w:pPr>
      <w:r>
        <w:rPr>
          <w:rFonts w:ascii="Times New Roman" w:cs="Times New Roman" w:eastAsia="Times New Roman" w:hAnsi="Times New Roman"/>
          <w:sz w:val="19"/>
          <w:szCs w:val="19"/>
          <w:color w:val="231F20"/>
        </w:rPr>
        <w:t>Under the 1940 Act, a BDC may not acquire any assets other than assets of the type listed in Section 55(a) of the 1940 Act, which are referred to as qualifying assets, unless, at the time the acquisition is made, qualifying assets represent at least 70% of the company’s total assets. The principal categories of qualifying assets relevant to our business are the following:</w:t>
      </w:r>
    </w:p>
    <w:p>
      <w:pPr>
        <w:spacing w:after="0" w:line="77" w:lineRule="exact"/>
        <w:rPr>
          <w:sz w:val="20"/>
          <w:szCs w:val="20"/>
          <w:color w:val="auto"/>
        </w:rPr>
      </w:pPr>
    </w:p>
    <w:p>
      <w:pPr>
        <w:ind w:left="460" w:right="40" w:hanging="229"/>
        <w:spacing w:after="0"/>
        <w:tabs>
          <w:tab w:leader="none" w:pos="460" w:val="left"/>
        </w:tabs>
        <w:numPr>
          <w:ilvl w:val="0"/>
          <w:numId w:val="29"/>
        </w:numPr>
        <w:rPr>
          <w:rFonts w:ascii="Arial" w:cs="Arial" w:eastAsia="Arial" w:hAnsi="Arial"/>
          <w:sz w:val="19"/>
          <w:szCs w:val="19"/>
          <w:color w:val="231F20"/>
        </w:rPr>
      </w:pPr>
      <w:r>
        <w:rPr>
          <w:rFonts w:ascii="Times New Roman" w:cs="Times New Roman" w:eastAsia="Times New Roman" w:hAnsi="Times New Roman"/>
          <w:sz w:val="19"/>
          <w:szCs w:val="19"/>
          <w:color w:val="231F20"/>
        </w:rPr>
        <w:t>Securities purchased in transactions not involving any public offering from the issuer of such securities, which issuer (subject to certain limited exceptions) is an eligible portfolio company, or from any person who is, or has been during the preceding 13 months, an affiliated person of an eligible portfolio company, or from any other person, subject to such rules as may be prescribed by the SEC. An eligible portfolio company is defined in the 1940 Act as any issuer which:</w:t>
      </w:r>
    </w:p>
    <w:p>
      <w:pPr>
        <w:spacing w:after="0" w:line="84" w:lineRule="exact"/>
        <w:rPr>
          <w:rFonts w:ascii="Arial" w:cs="Arial" w:eastAsia="Arial" w:hAnsi="Arial"/>
          <w:sz w:val="19"/>
          <w:szCs w:val="19"/>
          <w:color w:val="231F20"/>
        </w:rPr>
      </w:pPr>
    </w:p>
    <w:p>
      <w:pPr>
        <w:ind w:left="700" w:hanging="237"/>
        <w:spacing w:after="0"/>
        <w:tabs>
          <w:tab w:leader="none" w:pos="700" w:val="left"/>
        </w:tabs>
        <w:numPr>
          <w:ilvl w:val="1"/>
          <w:numId w:val="29"/>
        </w:numPr>
        <w:rPr>
          <w:rFonts w:ascii="Arial" w:cs="Arial" w:eastAsia="Arial" w:hAnsi="Arial"/>
          <w:sz w:val="19"/>
          <w:szCs w:val="19"/>
          <w:color w:val="231F20"/>
        </w:rPr>
      </w:pPr>
      <w:r>
        <w:rPr>
          <w:rFonts w:ascii="Times New Roman" w:cs="Times New Roman" w:eastAsia="Times New Roman" w:hAnsi="Times New Roman"/>
          <w:sz w:val="19"/>
          <w:szCs w:val="19"/>
          <w:color w:val="231F20"/>
        </w:rPr>
        <w:t>is organized under the laws of, and has its principal place of business in, the United States;</w:t>
      </w:r>
    </w:p>
    <w:p>
      <w:pPr>
        <w:spacing w:after="0" w:line="115" w:lineRule="exact"/>
        <w:rPr>
          <w:rFonts w:ascii="Arial" w:cs="Arial" w:eastAsia="Arial" w:hAnsi="Arial"/>
          <w:sz w:val="19"/>
          <w:szCs w:val="19"/>
          <w:color w:val="231F20"/>
        </w:rPr>
      </w:pPr>
    </w:p>
    <w:p>
      <w:pPr>
        <w:ind w:left="700" w:right="420" w:hanging="237"/>
        <w:spacing w:after="0" w:line="264" w:lineRule="auto"/>
        <w:tabs>
          <w:tab w:leader="none" w:pos="700" w:val="left"/>
        </w:tabs>
        <w:numPr>
          <w:ilvl w:val="1"/>
          <w:numId w:val="29"/>
        </w:numPr>
        <w:rPr>
          <w:rFonts w:ascii="Arial" w:cs="Arial" w:eastAsia="Arial" w:hAnsi="Arial"/>
          <w:sz w:val="19"/>
          <w:szCs w:val="19"/>
          <w:color w:val="231F20"/>
        </w:rPr>
      </w:pPr>
      <w:r>
        <w:rPr>
          <w:rFonts w:ascii="Times New Roman" w:cs="Times New Roman" w:eastAsia="Times New Roman" w:hAnsi="Times New Roman"/>
          <w:sz w:val="19"/>
          <w:szCs w:val="19"/>
          <w:color w:val="231F20"/>
        </w:rPr>
        <w:t>is not an investment company (other than a small business investment company wholly owned by us) or a company that would be an investment company but for certain exclusions under the 1940 Act; and</w:t>
      </w:r>
    </w:p>
    <w:p>
      <w:pPr>
        <w:spacing w:after="0" w:line="61" w:lineRule="exact"/>
        <w:rPr>
          <w:rFonts w:ascii="Arial" w:cs="Arial" w:eastAsia="Arial" w:hAnsi="Arial"/>
          <w:sz w:val="19"/>
          <w:szCs w:val="19"/>
          <w:color w:val="231F20"/>
        </w:rPr>
      </w:pPr>
    </w:p>
    <w:p>
      <w:pPr>
        <w:ind w:left="700" w:hanging="237"/>
        <w:spacing w:after="0"/>
        <w:tabs>
          <w:tab w:leader="none" w:pos="700" w:val="left"/>
        </w:tabs>
        <w:numPr>
          <w:ilvl w:val="1"/>
          <w:numId w:val="29"/>
        </w:numPr>
        <w:rPr>
          <w:rFonts w:ascii="Arial" w:cs="Arial" w:eastAsia="Arial" w:hAnsi="Arial"/>
          <w:sz w:val="19"/>
          <w:szCs w:val="19"/>
          <w:color w:val="231F20"/>
        </w:rPr>
      </w:pPr>
      <w:r>
        <w:rPr>
          <w:rFonts w:ascii="Times New Roman" w:cs="Times New Roman" w:eastAsia="Times New Roman" w:hAnsi="Times New Roman"/>
          <w:sz w:val="19"/>
          <w:szCs w:val="19"/>
          <w:color w:val="231F20"/>
        </w:rPr>
        <w:t>satisfies any of the following:</w:t>
      </w:r>
    </w:p>
    <w:p>
      <w:pPr>
        <w:spacing w:after="0" w:line="115" w:lineRule="exact"/>
        <w:rPr>
          <w:rFonts w:ascii="Arial" w:cs="Arial" w:eastAsia="Arial" w:hAnsi="Arial"/>
          <w:sz w:val="19"/>
          <w:szCs w:val="19"/>
          <w:color w:val="231F20"/>
        </w:rPr>
      </w:pPr>
    </w:p>
    <w:p>
      <w:pPr>
        <w:ind w:left="1160" w:hanging="235"/>
        <w:spacing w:after="0" w:line="264" w:lineRule="auto"/>
        <w:tabs>
          <w:tab w:leader="none" w:pos="1160" w:val="left"/>
        </w:tabs>
        <w:numPr>
          <w:ilvl w:val="2"/>
          <w:numId w:val="29"/>
        </w:numPr>
        <w:rPr>
          <w:rFonts w:ascii="Arial" w:cs="Arial" w:eastAsia="Arial" w:hAnsi="Arial"/>
          <w:sz w:val="19"/>
          <w:szCs w:val="19"/>
          <w:color w:val="231F20"/>
        </w:rPr>
      </w:pPr>
      <w:r>
        <w:rPr>
          <w:rFonts w:ascii="Times New Roman" w:cs="Times New Roman" w:eastAsia="Times New Roman" w:hAnsi="Times New Roman"/>
          <w:sz w:val="19"/>
          <w:szCs w:val="19"/>
          <w:color w:val="231F20"/>
        </w:rPr>
        <w:t>has an equity market capitalization of less than $250 million or does not have any class of securities listed on a national securities exchange;</w:t>
      </w:r>
    </w:p>
    <w:p>
      <w:pPr>
        <w:spacing w:after="0" w:line="61" w:lineRule="exact"/>
        <w:rPr>
          <w:rFonts w:ascii="Arial" w:cs="Arial" w:eastAsia="Arial" w:hAnsi="Arial"/>
          <w:sz w:val="19"/>
          <w:szCs w:val="19"/>
          <w:color w:val="231F20"/>
        </w:rPr>
      </w:pPr>
    </w:p>
    <w:p>
      <w:pPr>
        <w:jc w:val="both"/>
        <w:ind w:left="1160" w:right="160" w:hanging="235"/>
        <w:spacing w:after="0" w:line="246" w:lineRule="auto"/>
        <w:tabs>
          <w:tab w:leader="none" w:pos="1160" w:val="left"/>
        </w:tabs>
        <w:numPr>
          <w:ilvl w:val="2"/>
          <w:numId w:val="29"/>
        </w:numPr>
        <w:rPr>
          <w:rFonts w:ascii="Arial" w:cs="Arial" w:eastAsia="Arial" w:hAnsi="Arial"/>
          <w:sz w:val="19"/>
          <w:szCs w:val="19"/>
          <w:color w:val="231F20"/>
        </w:rPr>
      </w:pPr>
      <w:r>
        <w:rPr>
          <w:rFonts w:ascii="Times New Roman" w:cs="Times New Roman" w:eastAsia="Times New Roman" w:hAnsi="Times New Roman"/>
          <w:sz w:val="19"/>
          <w:szCs w:val="19"/>
          <w:color w:val="231F20"/>
        </w:rPr>
        <w:t>is controlled by a BDC or a group of companies including a BDC, the BDC actually exercises a controlling influence over the management or policies of the eligible portfolio company, and, as a result thereof, the BDC has an affiliated person who is a director of the eligible portfolio company; or</w:t>
      </w:r>
    </w:p>
    <w:p>
      <w:pPr>
        <w:spacing w:after="0" w:line="78" w:lineRule="exact"/>
        <w:rPr>
          <w:rFonts w:ascii="Arial" w:cs="Arial" w:eastAsia="Arial" w:hAnsi="Arial"/>
          <w:sz w:val="19"/>
          <w:szCs w:val="19"/>
          <w:color w:val="231F20"/>
        </w:rPr>
      </w:pPr>
    </w:p>
    <w:p>
      <w:pPr>
        <w:ind w:left="1160" w:right="120" w:hanging="235"/>
        <w:spacing w:after="0" w:line="264" w:lineRule="auto"/>
        <w:tabs>
          <w:tab w:leader="none" w:pos="1160" w:val="left"/>
        </w:tabs>
        <w:numPr>
          <w:ilvl w:val="2"/>
          <w:numId w:val="29"/>
        </w:numPr>
        <w:rPr>
          <w:rFonts w:ascii="Arial" w:cs="Arial" w:eastAsia="Arial" w:hAnsi="Arial"/>
          <w:sz w:val="19"/>
          <w:szCs w:val="19"/>
          <w:color w:val="231F20"/>
        </w:rPr>
      </w:pPr>
      <w:r>
        <w:rPr>
          <w:rFonts w:ascii="Times New Roman" w:cs="Times New Roman" w:eastAsia="Times New Roman" w:hAnsi="Times New Roman"/>
          <w:sz w:val="19"/>
          <w:szCs w:val="19"/>
          <w:color w:val="231F20"/>
        </w:rPr>
        <w:t>is a small and solvent company having total assets of not more than $4 million and capital and surplus of not less than $2 million.</w:t>
      </w:r>
    </w:p>
    <w:p>
      <w:pPr>
        <w:spacing w:after="0" w:line="61" w:lineRule="exact"/>
        <w:rPr>
          <w:rFonts w:ascii="Arial" w:cs="Arial" w:eastAsia="Arial" w:hAnsi="Arial"/>
          <w:sz w:val="19"/>
          <w:szCs w:val="19"/>
          <w:color w:val="231F20"/>
        </w:rPr>
      </w:pPr>
    </w:p>
    <w:p>
      <w:pPr>
        <w:ind w:left="460" w:hanging="229"/>
        <w:spacing w:after="0"/>
        <w:tabs>
          <w:tab w:leader="none" w:pos="460" w:val="left"/>
        </w:tabs>
        <w:numPr>
          <w:ilvl w:val="0"/>
          <w:numId w:val="29"/>
        </w:numPr>
        <w:rPr>
          <w:rFonts w:ascii="Arial" w:cs="Arial" w:eastAsia="Arial" w:hAnsi="Arial"/>
          <w:sz w:val="19"/>
          <w:szCs w:val="19"/>
          <w:color w:val="231F20"/>
        </w:rPr>
      </w:pPr>
      <w:r>
        <w:rPr>
          <w:rFonts w:ascii="Times New Roman" w:cs="Times New Roman" w:eastAsia="Times New Roman" w:hAnsi="Times New Roman"/>
          <w:sz w:val="19"/>
          <w:szCs w:val="19"/>
          <w:color w:val="231F20"/>
        </w:rPr>
        <w:t>Securities of any eligible portfolio company that we control;</w:t>
      </w:r>
    </w:p>
    <w:p>
      <w:pPr>
        <w:spacing w:after="0" w:line="115" w:lineRule="exact"/>
        <w:rPr>
          <w:rFonts w:ascii="Arial" w:cs="Arial" w:eastAsia="Arial" w:hAnsi="Arial"/>
          <w:sz w:val="19"/>
          <w:szCs w:val="19"/>
          <w:color w:val="231F20"/>
        </w:rPr>
      </w:pPr>
    </w:p>
    <w:p>
      <w:pPr>
        <w:ind w:left="460" w:hanging="229"/>
        <w:spacing w:after="0"/>
        <w:tabs>
          <w:tab w:leader="none" w:pos="460" w:val="left"/>
        </w:tabs>
        <w:numPr>
          <w:ilvl w:val="0"/>
          <w:numId w:val="29"/>
        </w:numPr>
        <w:rPr>
          <w:rFonts w:ascii="Arial" w:cs="Arial" w:eastAsia="Arial" w:hAnsi="Arial"/>
          <w:sz w:val="19"/>
          <w:szCs w:val="19"/>
          <w:color w:val="231F20"/>
        </w:rPr>
      </w:pPr>
      <w:r>
        <w:rPr>
          <w:rFonts w:ascii="Times New Roman" w:cs="Times New Roman" w:eastAsia="Times New Roman" w:hAnsi="Times New Roman"/>
          <w:sz w:val="19"/>
          <w:szCs w:val="19"/>
          <w:color w:val="231F20"/>
        </w:rPr>
        <w:t>Securities purchased in a private transaction from a U.S. issuer that is not an investment company or from an affiliated person of the issuer, or in transactions incident thereto, if the issuer is in bankruptcy and subject to reorganization or if the issuer, immediately prior to the purchase of its securities was unable to meet its obligations as they came due without material assistance other than conventional lending or financing arrangements;</w:t>
      </w:r>
    </w:p>
    <w:p>
      <w:pPr>
        <w:spacing w:after="0" w:line="84" w:lineRule="exact"/>
        <w:rPr>
          <w:rFonts w:ascii="Arial" w:cs="Arial" w:eastAsia="Arial" w:hAnsi="Arial"/>
          <w:sz w:val="19"/>
          <w:szCs w:val="19"/>
          <w:color w:val="231F20"/>
        </w:rPr>
      </w:pPr>
    </w:p>
    <w:p>
      <w:pPr>
        <w:ind w:left="460" w:right="300" w:hanging="229"/>
        <w:spacing w:after="0" w:line="264" w:lineRule="auto"/>
        <w:tabs>
          <w:tab w:leader="none" w:pos="460" w:val="left"/>
        </w:tabs>
        <w:numPr>
          <w:ilvl w:val="0"/>
          <w:numId w:val="29"/>
        </w:numPr>
        <w:rPr>
          <w:rFonts w:ascii="Arial" w:cs="Arial" w:eastAsia="Arial" w:hAnsi="Arial"/>
          <w:sz w:val="19"/>
          <w:szCs w:val="19"/>
          <w:color w:val="231F20"/>
        </w:rPr>
      </w:pPr>
      <w:r>
        <w:rPr>
          <w:rFonts w:ascii="Times New Roman" w:cs="Times New Roman" w:eastAsia="Times New Roman" w:hAnsi="Times New Roman"/>
          <w:sz w:val="19"/>
          <w:szCs w:val="19"/>
          <w:color w:val="231F20"/>
        </w:rPr>
        <w:t>Securities of an eligible portfolio company purchased from any person in a private transaction if there is no ready market for such securities and we already own 60% of the outstanding equity of the eligible portfolio company;</w:t>
      </w:r>
    </w:p>
    <w:p>
      <w:pPr>
        <w:spacing w:after="0" w:line="61" w:lineRule="exact"/>
        <w:rPr>
          <w:rFonts w:ascii="Arial" w:cs="Arial" w:eastAsia="Arial" w:hAnsi="Arial"/>
          <w:sz w:val="19"/>
          <w:szCs w:val="19"/>
          <w:color w:val="231F20"/>
        </w:rPr>
      </w:pPr>
    </w:p>
    <w:p>
      <w:pPr>
        <w:ind w:left="460" w:right="80" w:hanging="229"/>
        <w:spacing w:after="0" w:line="264" w:lineRule="auto"/>
        <w:tabs>
          <w:tab w:leader="none" w:pos="460" w:val="left"/>
        </w:tabs>
        <w:numPr>
          <w:ilvl w:val="0"/>
          <w:numId w:val="29"/>
        </w:numPr>
        <w:rPr>
          <w:rFonts w:ascii="Arial" w:cs="Arial" w:eastAsia="Arial" w:hAnsi="Arial"/>
          <w:sz w:val="19"/>
          <w:szCs w:val="19"/>
          <w:color w:val="231F20"/>
        </w:rPr>
      </w:pPr>
      <w:r>
        <w:rPr>
          <w:rFonts w:ascii="Times New Roman" w:cs="Times New Roman" w:eastAsia="Times New Roman" w:hAnsi="Times New Roman"/>
          <w:sz w:val="19"/>
          <w:szCs w:val="19"/>
          <w:color w:val="231F20"/>
        </w:rPr>
        <w:t>Securities received in exchange for or distributed on or with respect to securities described above, or pursuant to the exercise of warrants or rights relating to such securities;</w:t>
      </w:r>
    </w:p>
    <w:p>
      <w:pPr>
        <w:spacing w:after="0" w:line="61" w:lineRule="exact"/>
        <w:rPr>
          <w:rFonts w:ascii="Arial" w:cs="Arial" w:eastAsia="Arial" w:hAnsi="Arial"/>
          <w:sz w:val="19"/>
          <w:szCs w:val="19"/>
          <w:color w:val="231F20"/>
        </w:rPr>
      </w:pPr>
    </w:p>
    <w:p>
      <w:pPr>
        <w:ind w:left="460" w:right="80" w:hanging="229"/>
        <w:spacing w:after="0" w:line="264" w:lineRule="auto"/>
        <w:tabs>
          <w:tab w:leader="none" w:pos="460" w:val="left"/>
        </w:tabs>
        <w:numPr>
          <w:ilvl w:val="0"/>
          <w:numId w:val="29"/>
        </w:numPr>
        <w:rPr>
          <w:rFonts w:ascii="Arial" w:cs="Arial" w:eastAsia="Arial" w:hAnsi="Arial"/>
          <w:sz w:val="19"/>
          <w:szCs w:val="19"/>
          <w:color w:val="231F20"/>
        </w:rPr>
      </w:pPr>
      <w:r>
        <w:rPr>
          <w:rFonts w:ascii="Times New Roman" w:cs="Times New Roman" w:eastAsia="Times New Roman" w:hAnsi="Times New Roman"/>
          <w:sz w:val="19"/>
          <w:szCs w:val="19"/>
          <w:color w:val="231F20"/>
        </w:rPr>
        <w:t>Cash, cash equivalents, U.S. Government securities or high-quality debt securities maturing in one year or less from the time of investment.</w:t>
      </w:r>
    </w:p>
    <w:p>
      <w:pPr>
        <w:spacing w:after="0" w:line="161" w:lineRule="exact"/>
        <w:rPr>
          <w:sz w:val="20"/>
          <w:szCs w:val="20"/>
          <w:color w:val="auto"/>
        </w:rPr>
      </w:pPr>
    </w:p>
    <w:p>
      <w:pPr>
        <w:ind w:right="480" w:firstLine="231"/>
        <w:spacing w:after="0" w:line="247" w:lineRule="auto"/>
        <w:rPr>
          <w:sz w:val="20"/>
          <w:szCs w:val="20"/>
          <w:color w:val="auto"/>
        </w:rPr>
      </w:pPr>
      <w:r>
        <w:rPr>
          <w:rFonts w:ascii="Times New Roman" w:cs="Times New Roman" w:eastAsia="Times New Roman" w:hAnsi="Times New Roman"/>
          <w:sz w:val="19"/>
          <w:szCs w:val="19"/>
          <w:color w:val="231F20"/>
        </w:rPr>
        <w:t>Pending investment in other types of “qualifying assets,” as described above, our investments may consist of cash, cash equivalents, U.S. Government securities or high-quality debt securities maturing in one year or less from the time of investment, which we refer to, collectively, as temporary investments, such that at least 70% of our assets are qualifying assets.</w:t>
      </w:r>
    </w:p>
    <w:p>
      <w:pPr>
        <w:sectPr>
          <w:pgSz w:w="12240" w:h="15840" w:orient="portrait"/>
          <w:cols w:equalWidth="0" w:num="1">
            <w:col w:w="10180"/>
          </w:cols>
          <w:pgMar w:left="1020" w:top="1317" w:right="1040" w:bottom="57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231F20"/>
        </w:rPr>
        <w:t>23</w:t>
      </w:r>
    </w:p>
    <w:p>
      <w:pPr>
        <w:sectPr>
          <w:pgSz w:w="12240" w:h="15840" w:orient="portrait"/>
          <w:cols w:equalWidth="0" w:num="1">
            <w:col w:w="10180"/>
          </w:cols>
          <w:pgMar w:left="1020" w:top="1317" w:right="1040" w:bottom="574" w:gutter="0" w:footer="0" w:header="0"/>
          <w:type w:val="continuous"/>
        </w:sectPr>
      </w:pPr>
    </w:p>
    <w:bookmarkStart w:id="23" w:name="page24"/>
    <w:bookmarkEnd w:id="23"/>
    <w:p>
      <w:pPr>
        <w:spacing w:after="0"/>
        <w:rPr>
          <w:sz w:val="20"/>
          <w:szCs w:val="20"/>
          <w:color w:val="auto"/>
        </w:rPr>
      </w:pPr>
      <w:r>
        <w:rPr>
          <w:rFonts w:ascii="Times New Roman" w:cs="Times New Roman" w:eastAsia="Times New Roman" w:hAnsi="Times New Roman"/>
          <w:sz w:val="19"/>
          <w:szCs w:val="19"/>
          <w:i w:val="1"/>
          <w:iCs w:val="1"/>
          <w:color w:val="231F20"/>
        </w:rPr>
        <w:t>Managerial Assistance to Portfolio Companies</w:t>
      </w:r>
    </w:p>
    <w:p>
      <w:pPr>
        <w:spacing w:after="0" w:line="99" w:lineRule="exact"/>
        <w:rPr>
          <w:sz w:val="20"/>
          <w:szCs w:val="20"/>
          <w:color w:val="auto"/>
        </w:rPr>
      </w:pPr>
    </w:p>
    <w:p>
      <w:pPr>
        <w:ind w:right="80" w:firstLine="231"/>
        <w:spacing w:after="0" w:line="234" w:lineRule="auto"/>
        <w:rPr>
          <w:sz w:val="20"/>
          <w:szCs w:val="20"/>
          <w:color w:val="auto"/>
        </w:rPr>
      </w:pPr>
      <w:r>
        <w:rPr>
          <w:rFonts w:ascii="Times New Roman" w:cs="Times New Roman" w:eastAsia="Times New Roman" w:hAnsi="Times New Roman"/>
          <w:sz w:val="19"/>
          <w:szCs w:val="19"/>
          <w:color w:val="231F20"/>
        </w:rPr>
        <w:t>A BDC must be operated for the purpose of making investments in the types of securities described under “Qualifying Assets” above. However, to count portfolio securities as qualifying assets for the purpose of the 70% test, the BDC must offer to make available to the issuer of the securities (other than small and solvent companies described above) significant managerial assistance; except that, where the BDC purchases such securities in conjunction with one or more other persons acting together, the BDC will satisfy this test if one of the other persons in the group makes available such managerial assistance. Making available managerial assistance means, among other things, either controlling the issuer of the securities or any arrangement whereby the BDC, through its directors, officers or employees, offers to provide, and, if accepted, does in fact provide, significant guidance and counsel concerning the management, operations or business objectives and policies of a portfolio company.</w:t>
      </w:r>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231F20"/>
        </w:rPr>
        <w:t>Senior Securities</w:t>
      </w:r>
    </w:p>
    <w:p>
      <w:pPr>
        <w:spacing w:after="0" w:line="108" w:lineRule="exact"/>
        <w:rPr>
          <w:sz w:val="20"/>
          <w:szCs w:val="20"/>
          <w:color w:val="auto"/>
        </w:rPr>
      </w:pPr>
    </w:p>
    <w:p>
      <w:pPr>
        <w:ind w:right="60" w:firstLine="231"/>
        <w:spacing w:after="0" w:line="257" w:lineRule="auto"/>
        <w:rPr>
          <w:sz w:val="20"/>
          <w:szCs w:val="20"/>
          <w:color w:val="auto"/>
        </w:rPr>
      </w:pPr>
      <w:r>
        <w:rPr>
          <w:rFonts w:ascii="Times New Roman" w:cs="Times New Roman" w:eastAsia="Times New Roman" w:hAnsi="Times New Roman"/>
          <w:sz w:val="19"/>
          <w:szCs w:val="19"/>
          <w:color w:val="231F20"/>
        </w:rPr>
        <w:t>Under the 1940 Act, a BDC generally is not permitted to incur borrowings, issue debt securities or issue preferred stock unless immediately after the borrowing or issuance the ratio of total assets (less total liabilities other than indebtedness) to total indebtedness plus preferred stock is at least 150%.</w:t>
      </w:r>
    </w:p>
    <w:p>
      <w:pPr>
        <w:spacing w:after="0" w:line="176" w:lineRule="exact"/>
        <w:rPr>
          <w:sz w:val="20"/>
          <w:szCs w:val="20"/>
          <w:color w:val="auto"/>
        </w:rPr>
      </w:pPr>
    </w:p>
    <w:p>
      <w:pPr>
        <w:ind w:right="80" w:firstLine="231"/>
        <w:spacing w:after="0" w:line="246" w:lineRule="auto"/>
        <w:rPr>
          <w:sz w:val="20"/>
          <w:szCs w:val="20"/>
          <w:color w:val="auto"/>
        </w:rPr>
      </w:pPr>
      <w:r>
        <w:rPr>
          <w:rFonts w:ascii="Times New Roman" w:cs="Times New Roman" w:eastAsia="Times New Roman" w:hAnsi="Times New Roman"/>
          <w:sz w:val="19"/>
          <w:szCs w:val="19"/>
          <w:color w:val="231F20"/>
        </w:rPr>
        <w:t>We are permitted, under specified conditions, to issue multiple classes of indebtedness and one class of shares senior to our common stock if our asset coverage, as defined in the 1940 Act, is at least equal to 150% immediately after any borrowing or issuance. In addition, while any preferred stock or publicly-traded debt securities are outstanding, we may be prohibited from making distributions to our stockholders or repurchasing securities or shares unless we meet the applicable asset coverage ratio at the time of the distribution or repurchase. We may also borrow amounts up to 5% of the value of our total assets for temporary or emergency purposes without regard to asset coverage.</w:t>
      </w:r>
    </w:p>
    <w:p>
      <w:pPr>
        <w:spacing w:after="0" w:line="186" w:lineRule="exact"/>
        <w:rPr>
          <w:sz w:val="20"/>
          <w:szCs w:val="20"/>
          <w:color w:val="auto"/>
        </w:rPr>
      </w:pPr>
    </w:p>
    <w:p>
      <w:pPr>
        <w:ind w:right="440" w:firstLine="231"/>
        <w:spacing w:after="0" w:line="275" w:lineRule="auto"/>
        <w:rPr>
          <w:sz w:val="20"/>
          <w:szCs w:val="20"/>
          <w:color w:val="auto"/>
        </w:rPr>
      </w:pPr>
      <w:r>
        <w:rPr>
          <w:rFonts w:ascii="Times New Roman" w:cs="Times New Roman" w:eastAsia="Times New Roman" w:hAnsi="Times New Roman"/>
          <w:sz w:val="19"/>
          <w:szCs w:val="19"/>
          <w:color w:val="231F20"/>
        </w:rPr>
        <w:t>The 1940 Act imposes limitations on a BDC’s issuance of preferred stock, which is considered a “senior security” and thus is subject to the 150% asset coverage requirement described above.</w:t>
      </w:r>
    </w:p>
    <w:p>
      <w:pPr>
        <w:spacing w:after="0" w:line="160"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9"/>
          <w:szCs w:val="19"/>
          <w:color w:val="231F20"/>
        </w:rPr>
        <w:t>As of December 31, 2024 and December 31, 2023, our asset coverage was 182.5% and 181.6% respectively.</w:t>
      </w:r>
    </w:p>
    <w:p>
      <w:pPr>
        <w:spacing w:after="0" w:line="34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231F20"/>
        </w:rPr>
        <w:t>Code of Ethics</w:t>
      </w:r>
    </w:p>
    <w:p>
      <w:pPr>
        <w:spacing w:after="0" w:line="108" w:lineRule="exact"/>
        <w:rPr>
          <w:sz w:val="20"/>
          <w:szCs w:val="20"/>
          <w:color w:val="auto"/>
        </w:rPr>
      </w:pPr>
    </w:p>
    <w:p>
      <w:pPr>
        <w:ind w:right="40" w:firstLine="231"/>
        <w:spacing w:after="0" w:line="262" w:lineRule="auto"/>
        <w:rPr>
          <w:sz w:val="20"/>
          <w:szCs w:val="20"/>
          <w:color w:val="auto"/>
        </w:rPr>
      </w:pPr>
      <w:r>
        <w:rPr>
          <w:rFonts w:ascii="Times New Roman" w:cs="Times New Roman" w:eastAsia="Times New Roman" w:hAnsi="Times New Roman"/>
          <w:sz w:val="18"/>
          <w:szCs w:val="18"/>
          <w:color w:val="231F20"/>
        </w:rPr>
        <w:t>As required by the Advisers Act and the 1940 Act, we and the Adviser have adopted codes of ethics which apply to, among others, our officers, including our Chief Executive Officer and Chief Financial Officer, as well as our Adviser’s officers, directors and employees. The codes of ethics establish procedures for personal investments and restrict certain personal securities transactions. Personnel subject to the codes may invest in securities for their personal investment accounts, including securities that may be purchased or held by us, so long as such investments are made in accordance with the codes’ requirements. There have been no material changes to the codes or material waivers of the codes that apply to our Chief Executive Officer or Chief Financial Officer.</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231F20"/>
        </w:rPr>
        <w:t>Compliance Policies and Procedures</w:t>
      </w:r>
    </w:p>
    <w:p>
      <w:pPr>
        <w:spacing w:after="0" w:line="108" w:lineRule="exact"/>
        <w:rPr>
          <w:sz w:val="20"/>
          <w:szCs w:val="20"/>
          <w:color w:val="auto"/>
        </w:rPr>
      </w:pPr>
    </w:p>
    <w:p>
      <w:pPr>
        <w:ind w:right="80" w:firstLine="231"/>
        <w:spacing w:after="0" w:line="250" w:lineRule="auto"/>
        <w:rPr>
          <w:sz w:val="20"/>
          <w:szCs w:val="20"/>
          <w:color w:val="auto"/>
        </w:rPr>
      </w:pPr>
      <w:r>
        <w:rPr>
          <w:rFonts w:ascii="Times New Roman" w:cs="Times New Roman" w:eastAsia="Times New Roman" w:hAnsi="Times New Roman"/>
          <w:sz w:val="19"/>
          <w:szCs w:val="19"/>
          <w:color w:val="231F20"/>
        </w:rPr>
        <w:t>We and our Adviser have adopted and implemented written policies and procedures reasonably designed to detect and prevent violation of the federal securities laws and we are required to review these compliance policies and procedures annually for their adequacy and the effectiveness of their implementation and designate a Chief Compliance Officer to be responsible for administering the policies and procedures.</w:t>
      </w: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231F20"/>
        </w:rPr>
        <w:t>Proxy Voting Policies and Procedures</w:t>
      </w:r>
    </w:p>
    <w:p>
      <w:pPr>
        <w:spacing w:after="0" w:line="108" w:lineRule="exact"/>
        <w:rPr>
          <w:sz w:val="20"/>
          <w:szCs w:val="20"/>
          <w:color w:val="auto"/>
        </w:rPr>
      </w:pPr>
    </w:p>
    <w:p>
      <w:pPr>
        <w:ind w:right="60" w:firstLine="231"/>
        <w:spacing w:after="0" w:line="257" w:lineRule="auto"/>
        <w:rPr>
          <w:sz w:val="20"/>
          <w:szCs w:val="20"/>
          <w:color w:val="auto"/>
        </w:rPr>
      </w:pPr>
      <w:r>
        <w:rPr>
          <w:rFonts w:ascii="Times New Roman" w:cs="Times New Roman" w:eastAsia="Times New Roman" w:hAnsi="Times New Roman"/>
          <w:sz w:val="19"/>
          <w:szCs w:val="19"/>
          <w:color w:val="231F20"/>
        </w:rPr>
        <w:t>We delegate our proxy voting responsibility to our Adviser. The Proxy Voting Policies and Procedures of our Adviser are set forth below. The guidelines are reviewed periodically by the Adviser and our Independent Directors, and, accordingly, are subject to change.</w:t>
      </w:r>
    </w:p>
    <w:p>
      <w:pPr>
        <w:spacing w:after="0" w:line="176" w:lineRule="exact"/>
        <w:rPr>
          <w:sz w:val="20"/>
          <w:szCs w:val="20"/>
          <w:color w:val="auto"/>
        </w:rPr>
      </w:pPr>
    </w:p>
    <w:p>
      <w:pPr>
        <w:ind w:right="20" w:firstLine="231"/>
        <w:spacing w:after="0" w:line="250" w:lineRule="auto"/>
        <w:rPr>
          <w:sz w:val="20"/>
          <w:szCs w:val="20"/>
          <w:color w:val="auto"/>
        </w:rPr>
      </w:pPr>
      <w:r>
        <w:rPr>
          <w:rFonts w:ascii="Times New Roman" w:cs="Times New Roman" w:eastAsia="Times New Roman" w:hAnsi="Times New Roman"/>
          <w:sz w:val="19"/>
          <w:szCs w:val="19"/>
          <w:color w:val="231F20"/>
        </w:rPr>
        <w:t>An investment adviser registered under the Advisers Act has a fiduciary duty to act solely in the best interests of its clients. As part of this duty, the Adviser recognizes that it must vote client securities in a timely manner free of conflicts of interest and in the best interests of its clients. These policies and procedures for voting proxies for the Adviser’s investment advisory clients are intended to comply with Section 206 of, and Rule 206(4)-6 under, the Advisers Act.</w:t>
      </w:r>
    </w:p>
    <w:p>
      <w:pPr>
        <w:spacing w:after="0" w:line="185" w:lineRule="exact"/>
        <w:rPr>
          <w:sz w:val="20"/>
          <w:szCs w:val="20"/>
          <w:color w:val="auto"/>
        </w:rPr>
      </w:pPr>
    </w:p>
    <w:p>
      <w:pPr>
        <w:ind w:firstLine="231"/>
        <w:spacing w:after="0" w:line="269" w:lineRule="auto"/>
        <w:rPr>
          <w:sz w:val="20"/>
          <w:szCs w:val="20"/>
          <w:color w:val="auto"/>
        </w:rPr>
      </w:pPr>
      <w:r>
        <w:rPr>
          <w:rFonts w:ascii="Times New Roman" w:cs="Times New Roman" w:eastAsia="Times New Roman" w:hAnsi="Times New Roman"/>
          <w:sz w:val="18"/>
          <w:szCs w:val="18"/>
          <w:color w:val="231F20"/>
        </w:rPr>
        <w:t>The Adviser will vote all proxies based upon the guiding principle of seeking the maximization of the ultimate long-term economic value of our stockholders’ holdings, and ultimately all votes are cast on a case-by-case basis, taking into consideration the contractual obligations under the relevant advisory agreements or comparable documents, and all other relevant facts and circumstances at the time of the vote. All proxy voting decisions will require a mandatory conflicts of interest review by our Chief Compliance Officer in</w:t>
      </w:r>
    </w:p>
    <w:p>
      <w:pPr>
        <w:sectPr>
          <w:pgSz w:w="12240" w:h="15840" w:orient="portrait"/>
          <w:cols w:equalWidth="0" w:num="1">
            <w:col w:w="10160"/>
          </w:cols>
          <w:pgMar w:left="1020" w:top="1313" w:right="1060" w:bottom="574" w:gutter="0" w:footer="0" w:header="0"/>
        </w:sectPr>
      </w:pPr>
    </w:p>
    <w:p>
      <w:pPr>
        <w:spacing w:after="0" w:line="13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9"/>
          <w:szCs w:val="19"/>
          <w:color w:val="231F20"/>
        </w:rPr>
        <w:t>24</w:t>
      </w:r>
    </w:p>
    <w:p>
      <w:pPr>
        <w:sectPr>
          <w:pgSz w:w="12240" w:h="15840" w:orient="portrait"/>
          <w:cols w:equalWidth="0" w:num="1">
            <w:col w:w="10160"/>
          </w:cols>
          <w:pgMar w:left="1020" w:top="1313" w:right="1060" w:bottom="574" w:gutter="0" w:footer="0" w:header="0"/>
          <w:type w:val="continuous"/>
        </w:sectPr>
      </w:pPr>
    </w:p>
    <w:bookmarkStart w:id="24" w:name="page25"/>
    <w:bookmarkEnd w:id="24"/>
    <w:p>
      <w:pPr>
        <w:spacing w:after="0" w:line="244" w:lineRule="auto"/>
        <w:rPr>
          <w:sz w:val="20"/>
          <w:szCs w:val="20"/>
          <w:color w:val="auto"/>
        </w:rPr>
      </w:pPr>
      <w:r>
        <w:rPr>
          <w:rFonts w:ascii="Times New Roman" w:cs="Times New Roman" w:eastAsia="Times New Roman" w:hAnsi="Times New Roman"/>
          <w:sz w:val="19"/>
          <w:szCs w:val="19"/>
          <w:color w:val="231F20"/>
        </w:rPr>
        <w:t>accordance with these policies and procedures, which will include consideration of whether the Adviser or any investment professional or other person recommending how to vote the proxy has an interest in how the proxy is voted that may present a conflict of interest. It is the Adviser’s general policy to vote or give consent on all matters presented to security holders in any proxy, and these policies and procedures have been designed with that in mind. However, the Adviser reserves the right to abstain on any particular vote or otherwise withhold its vote or consent on any matter if, in the judgment of our Chief Compliance Officer or the relevant investment professional(s), the costs associated with voting such proxy outweigh the benefits to our stockholders or if the circumstances make such an abstention or withholding otherwise advisable and in the best interest of the relevant stockholder(s).</w:t>
      </w: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231F20"/>
        </w:rPr>
        <w:t>Privacy Principles</w:t>
      </w:r>
    </w:p>
    <w:p>
      <w:pPr>
        <w:spacing w:after="0" w:line="108" w:lineRule="exact"/>
        <w:rPr>
          <w:sz w:val="20"/>
          <w:szCs w:val="20"/>
          <w:color w:val="auto"/>
        </w:rPr>
      </w:pPr>
    </w:p>
    <w:p>
      <w:pPr>
        <w:ind w:right="60" w:firstLine="231"/>
        <w:spacing w:after="0" w:line="257" w:lineRule="auto"/>
        <w:rPr>
          <w:sz w:val="20"/>
          <w:szCs w:val="20"/>
          <w:color w:val="auto"/>
        </w:rPr>
      </w:pPr>
      <w:r>
        <w:rPr>
          <w:rFonts w:ascii="Times New Roman" w:cs="Times New Roman" w:eastAsia="Times New Roman" w:hAnsi="Times New Roman"/>
          <w:sz w:val="19"/>
          <w:szCs w:val="19"/>
          <w:color w:val="231F20"/>
        </w:rPr>
        <w:t>We are committed to maintaining the confidentiality, integrity and security of nonpublic personal information relating to investors. The following information is provided to help investors understand what personal information we collect, how we protect that information and why, in certain cases, we may share information with select other parties.</w:t>
      </w:r>
    </w:p>
    <w:p>
      <w:pPr>
        <w:spacing w:after="0" w:line="176" w:lineRule="exact"/>
        <w:rPr>
          <w:sz w:val="20"/>
          <w:szCs w:val="20"/>
          <w:color w:val="auto"/>
        </w:rPr>
      </w:pPr>
    </w:p>
    <w:p>
      <w:pPr>
        <w:ind w:right="40" w:firstLine="231"/>
        <w:spacing w:after="0" w:line="258" w:lineRule="auto"/>
        <w:rPr>
          <w:sz w:val="20"/>
          <w:szCs w:val="20"/>
          <w:color w:val="auto"/>
        </w:rPr>
      </w:pPr>
      <w:r>
        <w:rPr>
          <w:rFonts w:ascii="Times New Roman" w:cs="Times New Roman" w:eastAsia="Times New Roman" w:hAnsi="Times New Roman"/>
          <w:sz w:val="18"/>
          <w:szCs w:val="18"/>
          <w:color w:val="231F20"/>
        </w:rPr>
        <w:t>We generally will not receive any nonpublic personal information relating to stockholders who purchase common stock. We may collect nonpublic personal information regarding certain investors from sources such as subscription agreements, investor questionnaires and other forms; individual investors’ account histories; and correspondence between us and individual investors. We may share information that we collect regarding an investor with our affiliates and the employees of such affiliates for legitimate business purposes, for example, to service the investor’s accounts or provide the investor with information about other products and services offered by us or our affiliates that may be of interest to the investor. In addition, we may disclose information that we collect regarding investors to third parties who are not affiliated with us (i) as authorized by our investors in investor subscription agreements or our organizational documents; (ii) as required by law or in connection with regulatory or law enforcement inquiries; or, (iii) as otherwise permitted by law to the extent necessary to effect, administer or enforce investor transactions or our transactions.</w:t>
      </w:r>
    </w:p>
    <w:p>
      <w:pPr>
        <w:spacing w:after="0" w:line="179" w:lineRule="exact"/>
        <w:rPr>
          <w:sz w:val="20"/>
          <w:szCs w:val="20"/>
          <w:color w:val="auto"/>
        </w:rPr>
      </w:pPr>
    </w:p>
    <w:p>
      <w:pPr>
        <w:ind w:right="280" w:firstLine="231"/>
        <w:spacing w:after="0" w:line="247" w:lineRule="auto"/>
        <w:rPr>
          <w:sz w:val="20"/>
          <w:szCs w:val="20"/>
          <w:color w:val="auto"/>
        </w:rPr>
      </w:pPr>
      <w:r>
        <w:rPr>
          <w:rFonts w:ascii="Times New Roman" w:cs="Times New Roman" w:eastAsia="Times New Roman" w:hAnsi="Times New Roman"/>
          <w:sz w:val="19"/>
          <w:szCs w:val="19"/>
          <w:color w:val="231F20"/>
        </w:rPr>
        <w:t>Any party that receives nonpublic personal information relating to investors from us is permitted to use the information only for legitimate business purposes or as otherwise required or permitted by applicable law or regulation. In this regard, our officers, employees and agents and those of our affiliates, access to such information is restricted to those who need such access to provide services to us and our investors. We maintain physical, electronic and procedural safeguards to seek to guard investor nonpublic personal information.</w:t>
      </w:r>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231F20"/>
        </w:rPr>
        <w:t>Reporting Obligations</w:t>
      </w:r>
    </w:p>
    <w:p>
      <w:pPr>
        <w:spacing w:after="0" w:line="108" w:lineRule="exact"/>
        <w:rPr>
          <w:sz w:val="20"/>
          <w:szCs w:val="20"/>
          <w:color w:val="auto"/>
        </w:rPr>
      </w:pPr>
    </w:p>
    <w:p>
      <w:pPr>
        <w:ind w:right="420" w:firstLine="231"/>
        <w:spacing w:after="0" w:line="257" w:lineRule="auto"/>
        <w:rPr>
          <w:sz w:val="20"/>
          <w:szCs w:val="20"/>
          <w:color w:val="auto"/>
        </w:rPr>
      </w:pPr>
      <w:r>
        <w:rPr>
          <w:rFonts w:ascii="Times New Roman" w:cs="Times New Roman" w:eastAsia="Times New Roman" w:hAnsi="Times New Roman"/>
          <w:sz w:val="19"/>
          <w:szCs w:val="19"/>
          <w:color w:val="231F20"/>
        </w:rPr>
        <w:t>We will furnish our stockholders with annual reports containing audited financial statements, quarterly reports, and such other periodic reports, as we determine to be appropriate or as may be required by law. We are required to comply with all periodic reporting, proxy solicitation and other applicable requirements under the Exchange Act.</w:t>
      </w:r>
    </w:p>
    <w:p>
      <w:pPr>
        <w:spacing w:after="0" w:line="176" w:lineRule="exact"/>
        <w:rPr>
          <w:sz w:val="20"/>
          <w:szCs w:val="20"/>
          <w:color w:val="auto"/>
        </w:rPr>
      </w:pPr>
    </w:p>
    <w:p>
      <w:pPr>
        <w:jc w:val="both"/>
        <w:ind w:right="40" w:firstLine="231"/>
        <w:spacing w:after="0" w:line="257" w:lineRule="auto"/>
        <w:rPr>
          <w:sz w:val="20"/>
          <w:szCs w:val="20"/>
          <w:color w:val="auto"/>
        </w:rPr>
      </w:pPr>
      <w:r>
        <w:rPr>
          <w:rFonts w:ascii="Times New Roman" w:cs="Times New Roman" w:eastAsia="Times New Roman" w:hAnsi="Times New Roman"/>
          <w:sz w:val="19"/>
          <w:szCs w:val="19"/>
          <w:color w:val="231F20"/>
        </w:rPr>
        <w:t>We make available on our website (www.sixthstreetspecialtylending.com) our proxy statements, our annual reports on Form 10-K, quarterly reports on Form 10-Q and our current reports on Form 8-K that we file with the SEC. Information contained on our website is not incorporated into this Annual Report and you should not consider such information to be part of this Annual Report.</w:t>
      </w:r>
    </w:p>
    <w:p>
      <w:pPr>
        <w:spacing w:after="0" w:line="176"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9"/>
          <w:szCs w:val="19"/>
          <w:color w:val="231F20"/>
        </w:rPr>
        <w:t>The SEC also maintains a website (www.sec.gov) that contains this information.</w:t>
      </w:r>
    </w:p>
    <w:p>
      <w:pPr>
        <w:spacing w:after="0" w:line="34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231F20"/>
        </w:rPr>
        <w:t>Regulated Investment Company Classification</w:t>
      </w:r>
    </w:p>
    <w:p>
      <w:pPr>
        <w:spacing w:after="0" w:line="10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9"/>
          <w:szCs w:val="19"/>
          <w:color w:val="231F20"/>
        </w:rPr>
        <w:t>As a BDC, we have elected to be treated as a RIC for U.S. federal income tax purposes.</w:t>
      </w:r>
    </w:p>
    <w:p>
      <w:pPr>
        <w:spacing w:after="0" w:line="225"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9"/>
          <w:szCs w:val="19"/>
          <w:color w:val="231F20"/>
        </w:rPr>
        <w:t>To maintain our status as a RIC, we must, among other things:</w:t>
      </w:r>
    </w:p>
    <w:p>
      <w:pPr>
        <w:spacing w:after="0" w:line="126" w:lineRule="exact"/>
        <w:rPr>
          <w:sz w:val="20"/>
          <w:szCs w:val="20"/>
          <w:color w:val="auto"/>
        </w:rPr>
      </w:pPr>
    </w:p>
    <w:p>
      <w:pPr>
        <w:ind w:left="460" w:hanging="229"/>
        <w:spacing w:after="0"/>
        <w:tabs>
          <w:tab w:leader="none" w:pos="460" w:val="left"/>
        </w:tabs>
        <w:numPr>
          <w:ilvl w:val="0"/>
          <w:numId w:val="30"/>
        </w:numPr>
        <w:rPr>
          <w:rFonts w:ascii="Arial" w:cs="Arial" w:eastAsia="Arial" w:hAnsi="Arial"/>
          <w:sz w:val="19"/>
          <w:szCs w:val="19"/>
          <w:color w:val="231F20"/>
        </w:rPr>
      </w:pPr>
      <w:r>
        <w:rPr>
          <w:rFonts w:ascii="Times New Roman" w:cs="Times New Roman" w:eastAsia="Times New Roman" w:hAnsi="Times New Roman"/>
          <w:sz w:val="19"/>
          <w:szCs w:val="19"/>
          <w:color w:val="231F20"/>
        </w:rPr>
        <w:t>maintain our election under the 1940 Act to be treated as a BDC;</w:t>
      </w:r>
    </w:p>
    <w:p>
      <w:pPr>
        <w:spacing w:after="0" w:line="124" w:lineRule="exact"/>
        <w:rPr>
          <w:rFonts w:ascii="Arial" w:cs="Arial" w:eastAsia="Arial" w:hAnsi="Arial"/>
          <w:sz w:val="19"/>
          <w:szCs w:val="19"/>
          <w:color w:val="231F20"/>
        </w:rPr>
      </w:pPr>
    </w:p>
    <w:p>
      <w:pPr>
        <w:ind w:left="460" w:right="80" w:hanging="229"/>
        <w:spacing w:after="0" w:line="274" w:lineRule="auto"/>
        <w:tabs>
          <w:tab w:leader="none" w:pos="460" w:val="left"/>
        </w:tabs>
        <w:numPr>
          <w:ilvl w:val="0"/>
          <w:numId w:val="30"/>
        </w:numPr>
        <w:rPr>
          <w:rFonts w:ascii="Arial" w:cs="Arial" w:eastAsia="Arial" w:hAnsi="Arial"/>
          <w:sz w:val="19"/>
          <w:szCs w:val="19"/>
          <w:color w:val="231F20"/>
        </w:rPr>
      </w:pPr>
      <w:r>
        <w:rPr>
          <w:rFonts w:ascii="Times New Roman" w:cs="Times New Roman" w:eastAsia="Times New Roman" w:hAnsi="Times New Roman"/>
          <w:sz w:val="19"/>
          <w:szCs w:val="19"/>
          <w:color w:val="231F20"/>
        </w:rPr>
        <w:t>derive in each taxable year at least 90% of our gross income from dividends, interest, gains from the sale or other disposition of stock or securities and other specified categories of investment income; and</w:t>
      </w:r>
    </w:p>
    <w:p>
      <w:pPr>
        <w:spacing w:after="0" w:line="61" w:lineRule="exact"/>
        <w:rPr>
          <w:rFonts w:ascii="Arial" w:cs="Arial" w:eastAsia="Arial" w:hAnsi="Arial"/>
          <w:sz w:val="19"/>
          <w:szCs w:val="19"/>
          <w:color w:val="231F20"/>
        </w:rPr>
      </w:pPr>
    </w:p>
    <w:p>
      <w:pPr>
        <w:ind w:left="460" w:right="320" w:hanging="229"/>
        <w:spacing w:after="0" w:line="274" w:lineRule="auto"/>
        <w:tabs>
          <w:tab w:leader="none" w:pos="460" w:val="left"/>
        </w:tabs>
        <w:numPr>
          <w:ilvl w:val="0"/>
          <w:numId w:val="30"/>
        </w:numPr>
        <w:rPr>
          <w:rFonts w:ascii="Arial" w:cs="Arial" w:eastAsia="Arial" w:hAnsi="Arial"/>
          <w:sz w:val="19"/>
          <w:szCs w:val="19"/>
          <w:color w:val="231F20"/>
        </w:rPr>
      </w:pPr>
      <w:r>
        <w:rPr>
          <w:rFonts w:ascii="Times New Roman" w:cs="Times New Roman" w:eastAsia="Times New Roman" w:hAnsi="Times New Roman"/>
          <w:sz w:val="19"/>
          <w:szCs w:val="19"/>
          <w:color w:val="231F20"/>
        </w:rPr>
        <w:t>maintain diversified holdings so that, subject to certain exceptions and cure periods, at the end of each quarter of our taxable year:</w:t>
      </w:r>
    </w:p>
    <w:p>
      <w:pPr>
        <w:spacing w:after="0" w:line="61" w:lineRule="exact"/>
        <w:rPr>
          <w:rFonts w:ascii="Arial" w:cs="Arial" w:eastAsia="Arial" w:hAnsi="Arial"/>
          <w:sz w:val="19"/>
          <w:szCs w:val="19"/>
          <w:color w:val="231F20"/>
        </w:rPr>
      </w:pPr>
    </w:p>
    <w:p>
      <w:pPr>
        <w:ind w:left="700" w:right="80" w:hanging="237"/>
        <w:spacing w:after="0" w:line="250" w:lineRule="auto"/>
        <w:tabs>
          <w:tab w:leader="none" w:pos="700" w:val="left"/>
        </w:tabs>
        <w:numPr>
          <w:ilvl w:val="1"/>
          <w:numId w:val="30"/>
        </w:numPr>
        <w:rPr>
          <w:rFonts w:ascii="Arial" w:cs="Arial" w:eastAsia="Arial" w:hAnsi="Arial"/>
          <w:sz w:val="19"/>
          <w:szCs w:val="19"/>
          <w:color w:val="231F20"/>
        </w:rPr>
      </w:pPr>
      <w:r>
        <w:rPr>
          <w:rFonts w:ascii="Times New Roman" w:cs="Times New Roman" w:eastAsia="Times New Roman" w:hAnsi="Times New Roman"/>
          <w:sz w:val="19"/>
          <w:szCs w:val="19"/>
          <w:color w:val="231F20"/>
        </w:rPr>
        <w:t>at least 50% of the value of our total gross assets is represented by cash and cash items, U.S. government securities, the securities of other RICs and “other securities,” provided that such “other securities” shall not include any amount of any one issuer, if our holdings of such issuer are greater in value than 5% of our total assets or greater than 10% of the outstanding voting securities of such issuer, and</w:t>
      </w:r>
    </w:p>
    <w:p>
      <w:pPr>
        <w:sectPr>
          <w:pgSz w:w="12240" w:h="15840" w:orient="portrait"/>
          <w:cols w:equalWidth="0" w:num="1">
            <w:col w:w="10180"/>
          </w:cols>
          <w:pgMar w:left="1020" w:top="1317" w:right="1040" w:bottom="574" w:gutter="0" w:footer="0" w:header="0"/>
        </w:sectPr>
      </w:pPr>
    </w:p>
    <w:p>
      <w:pPr>
        <w:spacing w:after="0" w:line="3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231F20"/>
        </w:rPr>
        <w:t>25</w:t>
      </w:r>
    </w:p>
    <w:p>
      <w:pPr>
        <w:sectPr>
          <w:pgSz w:w="12240" w:h="15840" w:orient="portrait"/>
          <w:cols w:equalWidth="0" w:num="1">
            <w:col w:w="10180"/>
          </w:cols>
          <w:pgMar w:left="1020" w:top="1317" w:right="1040" w:bottom="574" w:gutter="0" w:footer="0" w:header="0"/>
          <w:type w:val="continuous"/>
        </w:sectPr>
      </w:pPr>
    </w:p>
    <w:bookmarkStart w:id="25" w:name="page26"/>
    <w:bookmarkEnd w:id="25"/>
    <w:p>
      <w:pPr>
        <w:ind w:left="700" w:right="40" w:hanging="237"/>
        <w:spacing w:after="0" w:line="277" w:lineRule="auto"/>
        <w:tabs>
          <w:tab w:leader="none" w:pos="700" w:val="left"/>
        </w:tabs>
        <w:numPr>
          <w:ilvl w:val="0"/>
          <w:numId w:val="31"/>
        </w:numPr>
        <w:rPr>
          <w:rFonts w:ascii="Arial" w:cs="Arial" w:eastAsia="Arial" w:hAnsi="Arial"/>
          <w:sz w:val="18"/>
          <w:szCs w:val="18"/>
          <w:color w:val="231F20"/>
        </w:rPr>
      </w:pPr>
      <w:r>
        <w:rPr>
          <w:rFonts w:ascii="Times New Roman" w:cs="Times New Roman" w:eastAsia="Times New Roman" w:hAnsi="Times New Roman"/>
          <w:sz w:val="18"/>
          <w:szCs w:val="18"/>
          <w:color w:val="231F20"/>
        </w:rPr>
        <w:t>no more than 25% of the value of our assets may be invested in securities of any one issuer, the securities of any two or more issuers that are controlled by us and are engaged in the same or similar or related trades or businesses (excluding U.S. government securities and securities of other RICs), or the securities of one or more “qualified publicly traded partnerships.”</w:t>
      </w:r>
    </w:p>
    <w:p>
      <w:pPr>
        <w:spacing w:after="0" w:line="161" w:lineRule="exact"/>
        <w:rPr>
          <w:sz w:val="20"/>
          <w:szCs w:val="20"/>
          <w:color w:val="auto"/>
        </w:rPr>
      </w:pPr>
    </w:p>
    <w:p>
      <w:pPr>
        <w:ind w:right="40" w:firstLine="231"/>
        <w:spacing w:after="0" w:line="244" w:lineRule="auto"/>
        <w:rPr>
          <w:sz w:val="20"/>
          <w:szCs w:val="20"/>
          <w:color w:val="auto"/>
        </w:rPr>
      </w:pPr>
      <w:r>
        <w:rPr>
          <w:rFonts w:ascii="Times New Roman" w:cs="Times New Roman" w:eastAsia="Times New Roman" w:hAnsi="Times New Roman"/>
          <w:sz w:val="19"/>
          <w:szCs w:val="19"/>
          <w:color w:val="231F20"/>
        </w:rPr>
        <w:t>To maintain our status as a RIC, we must distribute (or be treated as distributing) in each taxable year dividends for tax purposes of an amount equal to at least 90% of our investment company taxable income (which includes, among other items, dividends, interest, the excess of any net short-term capital gains over net long-term capital losses, as well as other taxable income, excluding any net capital gains reduced by deductible expenses) and 90% of our net tax-exempt income for that taxable year. As a RIC, we generally will not be subject to corporate-level U.S. federal income tax on our investment company taxable income and net capital gains that we distribute to stockholders. In addition, to avoid the imposition of a nondeductible 4% U.S. federal excise tax, we must distribute (or be treated as distributing) in each calendar year an amount at least equal to the sum of:</w:t>
      </w:r>
    </w:p>
    <w:p>
      <w:pPr>
        <w:spacing w:after="0" w:line="93" w:lineRule="exact"/>
        <w:rPr>
          <w:sz w:val="20"/>
          <w:szCs w:val="20"/>
          <w:color w:val="auto"/>
        </w:rPr>
      </w:pPr>
    </w:p>
    <w:p>
      <w:pPr>
        <w:ind w:left="700" w:hanging="237"/>
        <w:spacing w:after="0"/>
        <w:tabs>
          <w:tab w:leader="none" w:pos="700" w:val="left"/>
        </w:tabs>
        <w:numPr>
          <w:ilvl w:val="0"/>
          <w:numId w:val="32"/>
        </w:numPr>
        <w:rPr>
          <w:rFonts w:ascii="Arial" w:cs="Arial" w:eastAsia="Arial" w:hAnsi="Arial"/>
          <w:sz w:val="19"/>
          <w:szCs w:val="19"/>
          <w:color w:val="231F20"/>
        </w:rPr>
      </w:pPr>
      <w:r>
        <w:rPr>
          <w:rFonts w:ascii="Times New Roman" w:cs="Times New Roman" w:eastAsia="Times New Roman" w:hAnsi="Times New Roman"/>
          <w:sz w:val="19"/>
          <w:szCs w:val="19"/>
          <w:color w:val="231F20"/>
        </w:rPr>
        <w:t>98% of our net ordinary income, excluding certain ordinary gains and losses, recognized during a calendar year;</w:t>
      </w:r>
    </w:p>
    <w:p>
      <w:pPr>
        <w:spacing w:after="0" w:line="124" w:lineRule="exact"/>
        <w:rPr>
          <w:rFonts w:ascii="Arial" w:cs="Arial" w:eastAsia="Arial" w:hAnsi="Arial"/>
          <w:sz w:val="19"/>
          <w:szCs w:val="19"/>
          <w:color w:val="231F20"/>
        </w:rPr>
      </w:pPr>
    </w:p>
    <w:p>
      <w:pPr>
        <w:ind w:left="700" w:right="120" w:hanging="237"/>
        <w:spacing w:after="0" w:line="274" w:lineRule="auto"/>
        <w:tabs>
          <w:tab w:leader="none" w:pos="700" w:val="left"/>
        </w:tabs>
        <w:numPr>
          <w:ilvl w:val="0"/>
          <w:numId w:val="32"/>
        </w:numPr>
        <w:rPr>
          <w:rFonts w:ascii="Arial" w:cs="Arial" w:eastAsia="Arial" w:hAnsi="Arial"/>
          <w:sz w:val="19"/>
          <w:szCs w:val="19"/>
          <w:color w:val="231F20"/>
        </w:rPr>
      </w:pPr>
      <w:r>
        <w:rPr>
          <w:rFonts w:ascii="Times New Roman" w:cs="Times New Roman" w:eastAsia="Times New Roman" w:hAnsi="Times New Roman"/>
          <w:sz w:val="19"/>
          <w:szCs w:val="19"/>
          <w:color w:val="231F20"/>
        </w:rPr>
        <w:t>98.2% of our capital gain net income, adjusted for certain ordinary gains and losses, recognized for the twelve-month period ending on October 31 of such calendar year; and</w:t>
      </w:r>
    </w:p>
    <w:p>
      <w:pPr>
        <w:spacing w:after="0" w:line="61" w:lineRule="exact"/>
        <w:rPr>
          <w:rFonts w:ascii="Arial" w:cs="Arial" w:eastAsia="Arial" w:hAnsi="Arial"/>
          <w:sz w:val="19"/>
          <w:szCs w:val="19"/>
          <w:color w:val="231F20"/>
        </w:rPr>
      </w:pPr>
    </w:p>
    <w:p>
      <w:pPr>
        <w:ind w:left="700" w:hanging="237"/>
        <w:spacing w:after="0"/>
        <w:tabs>
          <w:tab w:leader="none" w:pos="700" w:val="left"/>
        </w:tabs>
        <w:numPr>
          <w:ilvl w:val="0"/>
          <w:numId w:val="32"/>
        </w:numPr>
        <w:rPr>
          <w:rFonts w:ascii="Arial" w:cs="Arial" w:eastAsia="Arial" w:hAnsi="Arial"/>
          <w:sz w:val="19"/>
          <w:szCs w:val="19"/>
          <w:color w:val="231F20"/>
        </w:rPr>
      </w:pPr>
      <w:r>
        <w:rPr>
          <w:rFonts w:ascii="Times New Roman" w:cs="Times New Roman" w:eastAsia="Times New Roman" w:hAnsi="Times New Roman"/>
          <w:sz w:val="19"/>
          <w:szCs w:val="19"/>
          <w:color w:val="231F20"/>
        </w:rPr>
        <w:t>100% of any income or gains recognized, but not distributed, in preceding years.</w:t>
      </w:r>
    </w:p>
    <w:p>
      <w:pPr>
        <w:spacing w:after="0" w:line="225" w:lineRule="exact"/>
        <w:rPr>
          <w:sz w:val="20"/>
          <w:szCs w:val="20"/>
          <w:color w:val="auto"/>
        </w:rPr>
      </w:pPr>
    </w:p>
    <w:p>
      <w:pPr>
        <w:ind w:right="160" w:firstLine="231"/>
        <w:spacing w:after="0" w:line="250" w:lineRule="auto"/>
        <w:rPr>
          <w:sz w:val="20"/>
          <w:szCs w:val="20"/>
          <w:color w:val="auto"/>
        </w:rPr>
      </w:pPr>
      <w:r>
        <w:rPr>
          <w:rFonts w:ascii="Times New Roman" w:cs="Times New Roman" w:eastAsia="Times New Roman" w:hAnsi="Times New Roman"/>
          <w:sz w:val="19"/>
          <w:szCs w:val="19"/>
          <w:color w:val="231F20"/>
        </w:rPr>
        <w:t>We have previously incurred, and can be expected to incur in the future, such excise tax on a portion of our income and gains. While we intend to distribute income and capital gains to minimize exposure to the 4% excise tax, we may not be able to, or may choose not to, distribute amounts sufficient to avoid the imposition of the tax entirely. In that event, we will be liable for the tax only on the amount by which we do not meet the foregoing distribution requirement.</w:t>
      </w:r>
    </w:p>
    <w:p>
      <w:pPr>
        <w:spacing w:after="0" w:line="185" w:lineRule="exact"/>
        <w:rPr>
          <w:sz w:val="20"/>
          <w:szCs w:val="20"/>
          <w:color w:val="auto"/>
        </w:rPr>
      </w:pPr>
    </w:p>
    <w:p>
      <w:pPr>
        <w:ind w:firstLine="231"/>
        <w:spacing w:after="0" w:line="250" w:lineRule="auto"/>
        <w:rPr>
          <w:sz w:val="20"/>
          <w:szCs w:val="20"/>
          <w:color w:val="auto"/>
        </w:rPr>
      </w:pPr>
      <w:r>
        <w:rPr>
          <w:rFonts w:ascii="Times New Roman" w:cs="Times New Roman" w:eastAsia="Times New Roman" w:hAnsi="Times New Roman"/>
          <w:sz w:val="19"/>
          <w:szCs w:val="19"/>
          <w:color w:val="231F20"/>
        </w:rPr>
        <w:t>We generally expect to distribute substantially all of our earnings on a quarterly basis, but will reinvest dividends on behalf of those investors that do not elect to receive their dividends in cash. See “—</w:t>
      </w:r>
      <w:r>
        <w:rPr>
          <w:rFonts w:ascii="Times New Roman" w:cs="Times New Roman" w:eastAsia="Times New Roman" w:hAnsi="Times New Roman"/>
          <w:sz w:val="19"/>
          <w:szCs w:val="19"/>
          <w:i w:val="1"/>
          <w:iCs w:val="1"/>
          <w:color w:val="231F20"/>
        </w:rPr>
        <w:t>Dividend Policy</w:t>
      </w:r>
      <w:r>
        <w:rPr>
          <w:rFonts w:ascii="Times New Roman" w:cs="Times New Roman" w:eastAsia="Times New Roman" w:hAnsi="Times New Roman"/>
          <w:sz w:val="19"/>
          <w:szCs w:val="19"/>
          <w:color w:val="231F20"/>
        </w:rPr>
        <w:t>” and “—</w:t>
      </w:r>
      <w:r>
        <w:rPr>
          <w:rFonts w:ascii="Times New Roman" w:cs="Times New Roman" w:eastAsia="Times New Roman" w:hAnsi="Times New Roman"/>
          <w:sz w:val="19"/>
          <w:szCs w:val="19"/>
          <w:i w:val="1"/>
          <w:iCs w:val="1"/>
          <w:color w:val="231F20"/>
        </w:rPr>
        <w:t>Dividend Reinvestment Plan</w:t>
      </w:r>
      <w:r>
        <w:rPr>
          <w:rFonts w:ascii="Times New Roman" w:cs="Times New Roman" w:eastAsia="Times New Roman" w:hAnsi="Times New Roman"/>
          <w:sz w:val="19"/>
          <w:szCs w:val="19"/>
          <w:color w:val="231F20"/>
        </w:rPr>
        <w:t>” for a description of our dividend policy and obligations. One or more of the considerations described below, however, could result in the deferral of dividend distributions until the end of the fiscal year:</w:t>
      </w:r>
    </w:p>
    <w:p>
      <w:pPr>
        <w:spacing w:after="0" w:line="85" w:lineRule="exact"/>
        <w:rPr>
          <w:sz w:val="20"/>
          <w:szCs w:val="20"/>
          <w:color w:val="auto"/>
        </w:rPr>
      </w:pPr>
    </w:p>
    <w:p>
      <w:pPr>
        <w:ind w:left="460" w:right="140" w:hanging="229"/>
        <w:spacing w:after="0" w:line="250" w:lineRule="auto"/>
        <w:tabs>
          <w:tab w:leader="none" w:pos="460" w:val="left"/>
        </w:tabs>
        <w:numPr>
          <w:ilvl w:val="0"/>
          <w:numId w:val="33"/>
        </w:numPr>
        <w:rPr>
          <w:rFonts w:ascii="Arial" w:cs="Arial" w:eastAsia="Arial" w:hAnsi="Arial"/>
          <w:sz w:val="19"/>
          <w:szCs w:val="19"/>
          <w:color w:val="231F20"/>
        </w:rPr>
      </w:pPr>
      <w:r>
        <w:rPr>
          <w:rFonts w:ascii="Times New Roman" w:cs="Times New Roman" w:eastAsia="Times New Roman" w:hAnsi="Times New Roman"/>
          <w:sz w:val="19"/>
          <w:szCs w:val="19"/>
          <w:color w:val="231F20"/>
        </w:rPr>
        <w:t>We may make investments that are subject to tax rules that require us to include amounts in our income before we receive cash corresponding to that income or that defer or limit our ability to claim the benefit of deductions or losses. For example, if we acquire securities issued with original issue discount, that original issue discount may be accrued in income before we receive any corresponding cash payments.</w:t>
      </w:r>
    </w:p>
    <w:p>
      <w:pPr>
        <w:spacing w:after="0" w:line="84" w:lineRule="exact"/>
        <w:rPr>
          <w:rFonts w:ascii="Arial" w:cs="Arial" w:eastAsia="Arial" w:hAnsi="Arial"/>
          <w:sz w:val="19"/>
          <w:szCs w:val="19"/>
          <w:color w:val="231F20"/>
        </w:rPr>
      </w:pPr>
    </w:p>
    <w:p>
      <w:pPr>
        <w:ind w:left="460" w:right="120" w:hanging="229"/>
        <w:spacing w:after="0" w:line="274" w:lineRule="auto"/>
        <w:tabs>
          <w:tab w:leader="none" w:pos="460" w:val="left"/>
        </w:tabs>
        <w:numPr>
          <w:ilvl w:val="0"/>
          <w:numId w:val="33"/>
        </w:numPr>
        <w:rPr>
          <w:rFonts w:ascii="Arial" w:cs="Arial" w:eastAsia="Arial" w:hAnsi="Arial"/>
          <w:sz w:val="19"/>
          <w:szCs w:val="19"/>
          <w:color w:val="231F20"/>
        </w:rPr>
      </w:pPr>
      <w:r>
        <w:rPr>
          <w:rFonts w:ascii="Times New Roman" w:cs="Times New Roman" w:eastAsia="Times New Roman" w:hAnsi="Times New Roman"/>
          <w:sz w:val="19"/>
          <w:szCs w:val="19"/>
          <w:color w:val="231F20"/>
        </w:rPr>
        <w:t>In cases where our taxable income exceeds our available cash flow, we will need to fund distributions with the proceeds of sale of securities or with borrowed money, and may raise funds for this purpose opportunistically over the course of the year.</w:t>
      </w:r>
    </w:p>
    <w:p>
      <w:pPr>
        <w:spacing w:after="0" w:line="161" w:lineRule="exact"/>
        <w:rPr>
          <w:sz w:val="20"/>
          <w:szCs w:val="20"/>
          <w:color w:val="auto"/>
        </w:rPr>
      </w:pPr>
    </w:p>
    <w:p>
      <w:pPr>
        <w:ind w:right="20" w:firstLine="231"/>
        <w:spacing w:after="0" w:line="246" w:lineRule="auto"/>
        <w:rPr>
          <w:sz w:val="20"/>
          <w:szCs w:val="20"/>
          <w:color w:val="auto"/>
        </w:rPr>
      </w:pPr>
      <w:r>
        <w:rPr>
          <w:rFonts w:ascii="Times New Roman" w:cs="Times New Roman" w:eastAsia="Times New Roman" w:hAnsi="Times New Roman"/>
          <w:sz w:val="19"/>
          <w:szCs w:val="19"/>
          <w:color w:val="231F20"/>
        </w:rPr>
        <w:t>In certain circumstances (e.g., where we are required to recognize income before or without receiving cash representing such income), we may have difficulty making distributions in the amounts necessary to satisfy the requirements for maintaining RIC status and for avoiding U.S. federal income and excise taxes. Accordingly, we may have to sell investments at times we would not otherwise consider advantageous, raise additional debt or equity capital or reduce new investment originations to meet these distribution requirements. If we are not able to obtain cash from other sources, we may fail to qualify as a RIC and thereby be subject to corporate-level U.S. federal income tax.</w:t>
      </w:r>
    </w:p>
    <w:p>
      <w:pPr>
        <w:spacing w:after="0" w:line="183" w:lineRule="exact"/>
        <w:rPr>
          <w:sz w:val="20"/>
          <w:szCs w:val="20"/>
          <w:color w:val="auto"/>
        </w:rPr>
      </w:pPr>
    </w:p>
    <w:p>
      <w:pPr>
        <w:ind w:right="40" w:firstLine="231"/>
        <w:spacing w:after="0" w:line="238" w:lineRule="auto"/>
        <w:rPr>
          <w:sz w:val="20"/>
          <w:szCs w:val="20"/>
          <w:color w:val="auto"/>
        </w:rPr>
      </w:pPr>
      <w:r>
        <w:rPr>
          <w:rFonts w:ascii="Times New Roman" w:cs="Times New Roman" w:eastAsia="Times New Roman" w:hAnsi="Times New Roman"/>
          <w:sz w:val="19"/>
          <w:szCs w:val="19"/>
          <w:color w:val="231F20"/>
        </w:rPr>
        <w:t>If in any particular taxable year, we do not qualify as a RIC, all of our taxable income (including our net capital gains) will be subject to tax at regular corporate rates without any deduction for distributions to stockholders, and distributions will be taxable to our stockholders as ordinary dividends to the extent of our current or accumulated earnings and profits, and distributions would not be required. Distributions in excess of our current and accumulated earnings and profits would be treated first as a return of capital to the extent of the stockholder’s tax basis, and any remaining distributions would be treated as capital gain. If we fail to qualify as a RIC for a period greater than two consecutive taxable years, to qualify as a RIC in a subsequent year we may be subject to regular corporate tax on any net built-in gains with respect to certain assets (that is, the excess of the aggregate gains, including items of income, over aggregate losses that would have been realized with respect to such assets if we had sold the property at fair market value at the end of the taxable year) that we elect to recognize on requalification or when recognized over the next five years.</w:t>
      </w:r>
    </w:p>
    <w:p>
      <w:pPr>
        <w:spacing w:after="0" w:line="191" w:lineRule="exact"/>
        <w:rPr>
          <w:sz w:val="20"/>
          <w:szCs w:val="20"/>
          <w:color w:val="auto"/>
        </w:rPr>
      </w:pPr>
    </w:p>
    <w:p>
      <w:pPr>
        <w:ind w:right="20" w:firstLine="231"/>
        <w:spacing w:after="0" w:line="252" w:lineRule="auto"/>
        <w:rPr>
          <w:sz w:val="20"/>
          <w:szCs w:val="20"/>
          <w:color w:val="auto"/>
        </w:rPr>
      </w:pPr>
      <w:r>
        <w:rPr>
          <w:rFonts w:ascii="Times New Roman" w:cs="Times New Roman" w:eastAsia="Times New Roman" w:hAnsi="Times New Roman"/>
          <w:sz w:val="19"/>
          <w:szCs w:val="19"/>
          <w:color w:val="231F20"/>
        </w:rPr>
        <w:t>In the event we invest in foreign securities, we may be subject to withholding and other foreign taxes with respect to those securities. We do not expect to satisfy the conditions necessary to pass through to our stockholders their share of the foreign taxes paid by us.</w:t>
      </w:r>
    </w:p>
    <w:p>
      <w:pPr>
        <w:sectPr>
          <w:pgSz w:w="12240" w:h="15840" w:orient="portrait"/>
          <w:cols w:equalWidth="0" w:num="1">
            <w:col w:w="10200"/>
          </w:cols>
          <w:pgMar w:left="1020" w:top="1330" w:right="1020" w:bottom="57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231F20"/>
        </w:rPr>
        <w:t>26</w:t>
      </w:r>
    </w:p>
    <w:p>
      <w:pPr>
        <w:sectPr>
          <w:pgSz w:w="12240" w:h="15840" w:orient="portrait"/>
          <w:cols w:equalWidth="0" w:num="1">
            <w:col w:w="10200"/>
          </w:cols>
          <w:pgMar w:left="1020" w:top="1330" w:right="1020" w:bottom="574" w:gutter="0" w:footer="0" w:header="0"/>
          <w:type w:val="continuous"/>
        </w:sectPr>
      </w:pPr>
    </w:p>
    <w:bookmarkStart w:id="26" w:name="page27"/>
    <w:bookmarkEnd w:id="26"/>
    <w:p>
      <w:pPr>
        <w:spacing w:after="0"/>
        <w:rPr>
          <w:sz w:val="20"/>
          <w:szCs w:val="20"/>
          <w:color w:val="auto"/>
        </w:rPr>
      </w:pPr>
      <w:r>
        <w:rPr>
          <w:rFonts w:ascii="Times New Roman" w:cs="Times New Roman" w:eastAsia="Times New Roman" w:hAnsi="Times New Roman"/>
          <w:sz w:val="19"/>
          <w:szCs w:val="19"/>
          <w:b w:val="1"/>
          <w:bCs w:val="1"/>
          <w:color w:val="231F20"/>
        </w:rPr>
        <w:t>ITEM 1A. RISK FACTORS</w:t>
      </w:r>
    </w:p>
    <w:p>
      <w:pPr>
        <w:spacing w:after="0" w:line="110" w:lineRule="exact"/>
        <w:rPr>
          <w:sz w:val="20"/>
          <w:szCs w:val="20"/>
          <w:color w:val="auto"/>
        </w:rPr>
      </w:pPr>
    </w:p>
    <w:p>
      <w:pPr>
        <w:ind w:right="160" w:firstLine="231"/>
        <w:spacing w:after="0" w:line="241" w:lineRule="auto"/>
        <w:rPr>
          <w:sz w:val="20"/>
          <w:szCs w:val="20"/>
          <w:color w:val="auto"/>
        </w:rPr>
      </w:pPr>
      <w:r>
        <w:rPr>
          <w:rFonts w:ascii="Times New Roman" w:cs="Times New Roman" w:eastAsia="Times New Roman" w:hAnsi="Times New Roman"/>
          <w:sz w:val="19"/>
          <w:szCs w:val="19"/>
          <w:color w:val="231F20"/>
        </w:rPr>
        <w:t>Investing in our securities involves a number of significant risks. Before you invest in our securities, you should be aware of various risks associated with the investment, including those described below. The risks set out below are not the only risks we face. Additional risks and uncertainties not presently known to us or not presently deemed material by us may also impair our operations and performance. If any of the following events occur, our business, financial condition and results of operations could be materially and adversely affected. In such case, our net asset value and the trading price of our securities could decline, and you may lose all or part of your investment.</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231F20"/>
        </w:rPr>
        <w:t>Summary of Risk Factors</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231F20"/>
        </w:rPr>
        <w:t>The following is a summary of the principal risks that could adversely affect our business, operations and financial results.</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231F20"/>
        </w:rPr>
        <w:t>Risks Related to Our Business and Structure</w:t>
      </w:r>
    </w:p>
    <w:p>
      <w:pPr>
        <w:spacing w:after="0" w:line="117" w:lineRule="exact"/>
        <w:rPr>
          <w:sz w:val="20"/>
          <w:szCs w:val="20"/>
          <w:color w:val="auto"/>
        </w:rPr>
      </w:pPr>
    </w:p>
    <w:p>
      <w:pPr>
        <w:ind w:left="680" w:hanging="340"/>
        <w:spacing w:after="0"/>
        <w:tabs>
          <w:tab w:leader="none" w:pos="680" w:val="left"/>
        </w:tabs>
        <w:numPr>
          <w:ilvl w:val="0"/>
          <w:numId w:val="34"/>
        </w:numPr>
        <w:rPr>
          <w:rFonts w:ascii="Arial" w:cs="Arial" w:eastAsia="Arial" w:hAnsi="Arial"/>
          <w:sz w:val="19"/>
          <w:szCs w:val="19"/>
          <w:color w:val="231F20"/>
        </w:rPr>
      </w:pPr>
      <w:r>
        <w:rPr>
          <w:rFonts w:ascii="Times New Roman" w:cs="Times New Roman" w:eastAsia="Times New Roman" w:hAnsi="Times New Roman"/>
          <w:sz w:val="19"/>
          <w:szCs w:val="19"/>
          <w:color w:val="231F20"/>
        </w:rPr>
        <w:t>We are dependent upon management personnel of the Adviser, Sixth Street and their affiliates for our future success.</w:t>
      </w:r>
    </w:p>
    <w:p>
      <w:pPr>
        <w:spacing w:after="0" w:line="120" w:lineRule="exact"/>
        <w:rPr>
          <w:rFonts w:ascii="Arial" w:cs="Arial" w:eastAsia="Arial" w:hAnsi="Arial"/>
          <w:sz w:val="19"/>
          <w:szCs w:val="19"/>
          <w:color w:val="231F20"/>
        </w:rPr>
      </w:pPr>
    </w:p>
    <w:p>
      <w:pPr>
        <w:ind w:left="680" w:right="40" w:hanging="340"/>
        <w:spacing w:after="0" w:line="269" w:lineRule="auto"/>
        <w:tabs>
          <w:tab w:leader="none" w:pos="680" w:val="left"/>
        </w:tabs>
        <w:numPr>
          <w:ilvl w:val="0"/>
          <w:numId w:val="34"/>
        </w:numPr>
        <w:rPr>
          <w:rFonts w:ascii="Arial" w:cs="Arial" w:eastAsia="Arial" w:hAnsi="Arial"/>
          <w:sz w:val="19"/>
          <w:szCs w:val="19"/>
          <w:color w:val="231F20"/>
        </w:rPr>
      </w:pPr>
      <w:r>
        <w:rPr>
          <w:rFonts w:ascii="Times New Roman" w:cs="Times New Roman" w:eastAsia="Times New Roman" w:hAnsi="Times New Roman"/>
          <w:sz w:val="19"/>
          <w:szCs w:val="19"/>
          <w:color w:val="231F20"/>
        </w:rPr>
        <w:t>We are subject to significant regulations governing our operation as a BDC, which affect our ability to, and the way in which we, raise additional capital. Changes in regulation could adversely affect our business.</w:t>
      </w:r>
    </w:p>
    <w:p>
      <w:pPr>
        <w:spacing w:after="0" w:line="61" w:lineRule="exact"/>
        <w:rPr>
          <w:rFonts w:ascii="Arial" w:cs="Arial" w:eastAsia="Arial" w:hAnsi="Arial"/>
          <w:sz w:val="19"/>
          <w:szCs w:val="19"/>
          <w:color w:val="231F20"/>
        </w:rPr>
      </w:pPr>
    </w:p>
    <w:p>
      <w:pPr>
        <w:ind w:left="680" w:hanging="340"/>
        <w:spacing w:after="0"/>
        <w:tabs>
          <w:tab w:leader="none" w:pos="680" w:val="left"/>
        </w:tabs>
        <w:numPr>
          <w:ilvl w:val="0"/>
          <w:numId w:val="34"/>
        </w:numPr>
        <w:rPr>
          <w:rFonts w:ascii="Arial" w:cs="Arial" w:eastAsia="Arial" w:hAnsi="Arial"/>
          <w:sz w:val="19"/>
          <w:szCs w:val="19"/>
          <w:color w:val="231F20"/>
        </w:rPr>
      </w:pPr>
      <w:r>
        <w:rPr>
          <w:rFonts w:ascii="Times New Roman" w:cs="Times New Roman" w:eastAsia="Times New Roman" w:hAnsi="Times New Roman"/>
          <w:sz w:val="19"/>
          <w:szCs w:val="19"/>
          <w:color w:val="231F20"/>
        </w:rPr>
        <w:t>We borrow money, which magnifies the potential for gain or loss and increases the risk of investing in us.</w:t>
      </w:r>
    </w:p>
    <w:p>
      <w:pPr>
        <w:spacing w:after="0" w:line="120" w:lineRule="exact"/>
        <w:rPr>
          <w:rFonts w:ascii="Arial" w:cs="Arial" w:eastAsia="Arial" w:hAnsi="Arial"/>
          <w:sz w:val="19"/>
          <w:szCs w:val="19"/>
          <w:color w:val="231F20"/>
        </w:rPr>
      </w:pPr>
    </w:p>
    <w:p>
      <w:pPr>
        <w:ind w:left="680" w:hanging="340"/>
        <w:spacing w:after="0"/>
        <w:tabs>
          <w:tab w:leader="none" w:pos="680" w:val="left"/>
        </w:tabs>
        <w:numPr>
          <w:ilvl w:val="0"/>
          <w:numId w:val="34"/>
        </w:numPr>
        <w:rPr>
          <w:rFonts w:ascii="Arial" w:cs="Arial" w:eastAsia="Arial" w:hAnsi="Arial"/>
          <w:sz w:val="19"/>
          <w:szCs w:val="19"/>
          <w:color w:val="231F20"/>
        </w:rPr>
      </w:pPr>
      <w:r>
        <w:rPr>
          <w:rFonts w:ascii="Times New Roman" w:cs="Times New Roman" w:eastAsia="Times New Roman" w:hAnsi="Times New Roman"/>
          <w:sz w:val="19"/>
          <w:szCs w:val="19"/>
          <w:color w:val="231F20"/>
        </w:rPr>
        <w:t>We operate in a highly competitive market for investment opportunities.</w:t>
      </w:r>
    </w:p>
    <w:p>
      <w:pPr>
        <w:spacing w:after="0" w:line="120" w:lineRule="exact"/>
        <w:rPr>
          <w:rFonts w:ascii="Arial" w:cs="Arial" w:eastAsia="Arial" w:hAnsi="Arial"/>
          <w:sz w:val="19"/>
          <w:szCs w:val="19"/>
          <w:color w:val="231F20"/>
        </w:rPr>
      </w:pPr>
    </w:p>
    <w:p>
      <w:pPr>
        <w:ind w:left="680" w:right="200" w:hanging="340"/>
        <w:spacing w:after="0" w:line="269" w:lineRule="auto"/>
        <w:tabs>
          <w:tab w:leader="none" w:pos="680" w:val="left"/>
        </w:tabs>
        <w:numPr>
          <w:ilvl w:val="0"/>
          <w:numId w:val="34"/>
        </w:numPr>
        <w:rPr>
          <w:rFonts w:ascii="Arial" w:cs="Arial" w:eastAsia="Arial" w:hAnsi="Arial"/>
          <w:sz w:val="19"/>
          <w:szCs w:val="19"/>
          <w:color w:val="231F20"/>
        </w:rPr>
      </w:pPr>
      <w:r>
        <w:rPr>
          <w:rFonts w:ascii="Times New Roman" w:cs="Times New Roman" w:eastAsia="Times New Roman" w:hAnsi="Times New Roman"/>
          <w:sz w:val="19"/>
          <w:szCs w:val="19"/>
          <w:color w:val="231F20"/>
        </w:rPr>
        <w:t>If we are unable to source investments, access financing or manage future growth effectively, we may be unable to achieve our investment objective.</w:t>
      </w:r>
    </w:p>
    <w:p>
      <w:pPr>
        <w:spacing w:after="0" w:line="61" w:lineRule="exact"/>
        <w:rPr>
          <w:rFonts w:ascii="Arial" w:cs="Arial" w:eastAsia="Arial" w:hAnsi="Arial"/>
          <w:sz w:val="19"/>
          <w:szCs w:val="19"/>
          <w:color w:val="231F20"/>
        </w:rPr>
      </w:pPr>
    </w:p>
    <w:p>
      <w:pPr>
        <w:ind w:left="680" w:hanging="340"/>
        <w:spacing w:after="0" w:line="269" w:lineRule="auto"/>
        <w:tabs>
          <w:tab w:leader="none" w:pos="680" w:val="left"/>
        </w:tabs>
        <w:numPr>
          <w:ilvl w:val="0"/>
          <w:numId w:val="34"/>
        </w:numPr>
        <w:rPr>
          <w:rFonts w:ascii="Arial" w:cs="Arial" w:eastAsia="Arial" w:hAnsi="Arial"/>
          <w:sz w:val="19"/>
          <w:szCs w:val="19"/>
          <w:color w:val="231F20"/>
        </w:rPr>
      </w:pPr>
      <w:r>
        <w:rPr>
          <w:rFonts w:ascii="Times New Roman" w:cs="Times New Roman" w:eastAsia="Times New Roman" w:hAnsi="Times New Roman"/>
          <w:sz w:val="19"/>
          <w:szCs w:val="19"/>
          <w:color w:val="231F20"/>
        </w:rPr>
        <w:t>Even in the event the value of your investment declines, the Management Fee and, in certain circumstances, the Incentive Fee will still be payable to the Adviser.</w:t>
      </w:r>
    </w:p>
    <w:p>
      <w:pPr>
        <w:spacing w:after="0" w:line="61" w:lineRule="exact"/>
        <w:rPr>
          <w:rFonts w:ascii="Arial" w:cs="Arial" w:eastAsia="Arial" w:hAnsi="Arial"/>
          <w:sz w:val="19"/>
          <w:szCs w:val="19"/>
          <w:color w:val="231F20"/>
        </w:rPr>
      </w:pPr>
    </w:p>
    <w:p>
      <w:pPr>
        <w:ind w:left="680" w:right="120" w:hanging="340"/>
        <w:spacing w:after="0" w:line="269" w:lineRule="auto"/>
        <w:tabs>
          <w:tab w:leader="none" w:pos="680" w:val="left"/>
        </w:tabs>
        <w:numPr>
          <w:ilvl w:val="0"/>
          <w:numId w:val="34"/>
        </w:numPr>
        <w:rPr>
          <w:rFonts w:ascii="Arial" w:cs="Arial" w:eastAsia="Arial" w:hAnsi="Arial"/>
          <w:sz w:val="19"/>
          <w:szCs w:val="19"/>
          <w:color w:val="231F20"/>
        </w:rPr>
      </w:pPr>
      <w:r>
        <w:rPr>
          <w:rFonts w:ascii="Times New Roman" w:cs="Times New Roman" w:eastAsia="Times New Roman" w:hAnsi="Times New Roman"/>
          <w:sz w:val="19"/>
          <w:szCs w:val="19"/>
          <w:color w:val="231F20"/>
        </w:rPr>
        <w:t>To the extent that we do not realize income or choose not to retain after-tax realized net capital gains, we will have a greater need for additional capital to fund our investments and operating expenses.</w:t>
      </w:r>
    </w:p>
    <w:p>
      <w:pPr>
        <w:spacing w:after="0" w:line="61" w:lineRule="exact"/>
        <w:rPr>
          <w:rFonts w:ascii="Arial" w:cs="Arial" w:eastAsia="Arial" w:hAnsi="Arial"/>
          <w:sz w:val="19"/>
          <w:szCs w:val="19"/>
          <w:color w:val="231F20"/>
        </w:rPr>
      </w:pPr>
    </w:p>
    <w:p>
      <w:pPr>
        <w:ind w:left="680" w:right="240" w:hanging="340"/>
        <w:spacing w:after="0" w:line="269" w:lineRule="auto"/>
        <w:tabs>
          <w:tab w:leader="none" w:pos="680" w:val="left"/>
        </w:tabs>
        <w:numPr>
          <w:ilvl w:val="0"/>
          <w:numId w:val="34"/>
        </w:numPr>
        <w:rPr>
          <w:rFonts w:ascii="Arial" w:cs="Arial" w:eastAsia="Arial" w:hAnsi="Arial"/>
          <w:sz w:val="19"/>
          <w:szCs w:val="19"/>
          <w:color w:val="231F20"/>
        </w:rPr>
      </w:pPr>
      <w:r>
        <w:rPr>
          <w:rFonts w:ascii="Times New Roman" w:cs="Times New Roman" w:eastAsia="Times New Roman" w:hAnsi="Times New Roman"/>
          <w:sz w:val="19"/>
          <w:szCs w:val="19"/>
          <w:color w:val="231F20"/>
        </w:rPr>
        <w:t>We will be subject to corporate-level U.S. federal income tax if we are unable to maintain our qualification as a RIC under Subchapter M of the Code, including as a result of our failure to satisfy the RIC distribution requirements.</w:t>
      </w:r>
    </w:p>
    <w:p>
      <w:pPr>
        <w:spacing w:after="0" w:line="61" w:lineRule="exact"/>
        <w:rPr>
          <w:rFonts w:ascii="Arial" w:cs="Arial" w:eastAsia="Arial" w:hAnsi="Arial"/>
          <w:sz w:val="19"/>
          <w:szCs w:val="19"/>
          <w:color w:val="231F20"/>
        </w:rPr>
      </w:pPr>
    </w:p>
    <w:p>
      <w:pPr>
        <w:ind w:left="680" w:hanging="340"/>
        <w:spacing w:after="0" w:line="269" w:lineRule="auto"/>
        <w:tabs>
          <w:tab w:leader="none" w:pos="680" w:val="left"/>
        </w:tabs>
        <w:numPr>
          <w:ilvl w:val="0"/>
          <w:numId w:val="34"/>
        </w:numPr>
        <w:rPr>
          <w:rFonts w:ascii="Arial" w:cs="Arial" w:eastAsia="Arial" w:hAnsi="Arial"/>
          <w:sz w:val="19"/>
          <w:szCs w:val="19"/>
          <w:color w:val="231F20"/>
        </w:rPr>
      </w:pPr>
      <w:r>
        <w:rPr>
          <w:rFonts w:ascii="Times New Roman" w:cs="Times New Roman" w:eastAsia="Times New Roman" w:hAnsi="Times New Roman"/>
          <w:sz w:val="19"/>
          <w:szCs w:val="19"/>
          <w:color w:val="231F20"/>
        </w:rPr>
        <w:t>We can be expected to retain some income and capital gains in excess of what is permissible for excise tax purposes and such amounts will be subject to 4% U.S. federal excise tax.</w:t>
      </w:r>
    </w:p>
    <w:p>
      <w:pPr>
        <w:spacing w:after="0" w:line="61" w:lineRule="exact"/>
        <w:rPr>
          <w:rFonts w:ascii="Arial" w:cs="Arial" w:eastAsia="Arial" w:hAnsi="Arial"/>
          <w:sz w:val="19"/>
          <w:szCs w:val="19"/>
          <w:color w:val="231F20"/>
        </w:rPr>
      </w:pPr>
    </w:p>
    <w:p>
      <w:pPr>
        <w:ind w:left="680" w:hanging="340"/>
        <w:spacing w:after="0"/>
        <w:tabs>
          <w:tab w:leader="none" w:pos="680" w:val="left"/>
        </w:tabs>
        <w:numPr>
          <w:ilvl w:val="0"/>
          <w:numId w:val="34"/>
        </w:numPr>
        <w:rPr>
          <w:rFonts w:ascii="Arial" w:cs="Arial" w:eastAsia="Arial" w:hAnsi="Arial"/>
          <w:sz w:val="19"/>
          <w:szCs w:val="19"/>
          <w:color w:val="231F20"/>
        </w:rPr>
      </w:pPr>
      <w:r>
        <w:rPr>
          <w:rFonts w:ascii="Times New Roman" w:cs="Times New Roman" w:eastAsia="Times New Roman" w:hAnsi="Times New Roman"/>
          <w:sz w:val="19"/>
          <w:szCs w:val="19"/>
          <w:color w:val="231F20"/>
        </w:rPr>
        <w:t>Our Adviser and its affiliates, officers and employees may face certain conflicts of interest.</w:t>
      </w:r>
    </w:p>
    <w:p>
      <w:pPr>
        <w:spacing w:after="0" w:line="120" w:lineRule="exact"/>
        <w:rPr>
          <w:rFonts w:ascii="Arial" w:cs="Arial" w:eastAsia="Arial" w:hAnsi="Arial"/>
          <w:sz w:val="19"/>
          <w:szCs w:val="19"/>
          <w:color w:val="231F20"/>
        </w:rPr>
      </w:pPr>
    </w:p>
    <w:p>
      <w:pPr>
        <w:ind w:left="680" w:right="100" w:hanging="340"/>
        <w:spacing w:after="0" w:line="269" w:lineRule="auto"/>
        <w:tabs>
          <w:tab w:leader="none" w:pos="680" w:val="left"/>
        </w:tabs>
        <w:numPr>
          <w:ilvl w:val="0"/>
          <w:numId w:val="34"/>
        </w:numPr>
        <w:rPr>
          <w:rFonts w:ascii="Arial" w:cs="Arial" w:eastAsia="Arial" w:hAnsi="Arial"/>
          <w:sz w:val="19"/>
          <w:szCs w:val="19"/>
          <w:color w:val="231F20"/>
        </w:rPr>
      </w:pPr>
      <w:r>
        <w:rPr>
          <w:rFonts w:ascii="Times New Roman" w:cs="Times New Roman" w:eastAsia="Times New Roman" w:hAnsi="Times New Roman"/>
          <w:sz w:val="19"/>
          <w:szCs w:val="19"/>
          <w:color w:val="231F20"/>
        </w:rPr>
        <w:t>Our Adviser can resign on 60 days’ notice. We may not be able to find a suitable replacement within that time, resulting in a disruption in our operations and a loss of the benefits from our relationship with Sixth Street.</w:t>
      </w:r>
    </w:p>
    <w:p>
      <w:pPr>
        <w:spacing w:after="0" w:line="61" w:lineRule="exact"/>
        <w:rPr>
          <w:rFonts w:ascii="Arial" w:cs="Arial" w:eastAsia="Arial" w:hAnsi="Arial"/>
          <w:sz w:val="19"/>
          <w:szCs w:val="19"/>
          <w:color w:val="231F20"/>
        </w:rPr>
      </w:pPr>
    </w:p>
    <w:p>
      <w:pPr>
        <w:jc w:val="both"/>
        <w:ind w:left="680" w:right="180" w:hanging="340"/>
        <w:spacing w:after="0" w:line="251" w:lineRule="auto"/>
        <w:tabs>
          <w:tab w:leader="none" w:pos="680" w:val="left"/>
        </w:tabs>
        <w:numPr>
          <w:ilvl w:val="0"/>
          <w:numId w:val="34"/>
        </w:numPr>
        <w:rPr>
          <w:rFonts w:ascii="Arial" w:cs="Arial" w:eastAsia="Arial" w:hAnsi="Arial"/>
          <w:sz w:val="19"/>
          <w:szCs w:val="19"/>
          <w:color w:val="231F20"/>
        </w:rPr>
      </w:pPr>
      <w:r>
        <w:rPr>
          <w:rFonts w:ascii="Times New Roman" w:cs="Times New Roman" w:eastAsia="Times New Roman" w:hAnsi="Times New Roman"/>
          <w:sz w:val="19"/>
          <w:szCs w:val="19"/>
          <w:color w:val="231F20"/>
        </w:rPr>
        <w:t>The Adviser’s liability is limited under the Investment Advisory Agreement, and we are required to indemnify the Adviser against certain liabilities, which may lead the Adviser to act in a riskier manner on our behalf than it would when acting for its own account.</w:t>
      </w:r>
    </w:p>
    <w:p>
      <w:pPr>
        <w:spacing w:after="0" w:line="78" w:lineRule="exact"/>
        <w:rPr>
          <w:rFonts w:ascii="Arial" w:cs="Arial" w:eastAsia="Arial" w:hAnsi="Arial"/>
          <w:sz w:val="19"/>
          <w:szCs w:val="19"/>
          <w:color w:val="231F20"/>
        </w:rPr>
      </w:pPr>
    </w:p>
    <w:p>
      <w:pPr>
        <w:ind w:left="680" w:hanging="340"/>
        <w:spacing w:after="0"/>
        <w:tabs>
          <w:tab w:leader="none" w:pos="680" w:val="left"/>
        </w:tabs>
        <w:numPr>
          <w:ilvl w:val="0"/>
          <w:numId w:val="34"/>
        </w:numPr>
        <w:rPr>
          <w:rFonts w:ascii="Arial" w:cs="Arial" w:eastAsia="Arial" w:hAnsi="Arial"/>
          <w:sz w:val="19"/>
          <w:szCs w:val="19"/>
          <w:color w:val="231F20"/>
        </w:rPr>
      </w:pPr>
      <w:r>
        <w:rPr>
          <w:rFonts w:ascii="Times New Roman" w:cs="Times New Roman" w:eastAsia="Times New Roman" w:hAnsi="Times New Roman"/>
          <w:sz w:val="19"/>
          <w:szCs w:val="19"/>
          <w:color w:val="231F20"/>
        </w:rPr>
        <w:t>Any failure to maintain our status as a BDC would reduce our operating flexibility.</w:t>
      </w:r>
    </w:p>
    <w:p>
      <w:pPr>
        <w:spacing w:after="0" w:line="120" w:lineRule="exact"/>
        <w:rPr>
          <w:rFonts w:ascii="Arial" w:cs="Arial" w:eastAsia="Arial" w:hAnsi="Arial"/>
          <w:sz w:val="19"/>
          <w:szCs w:val="19"/>
          <w:color w:val="231F20"/>
        </w:rPr>
      </w:pPr>
    </w:p>
    <w:p>
      <w:pPr>
        <w:ind w:left="680" w:hanging="340"/>
        <w:spacing w:after="0"/>
        <w:tabs>
          <w:tab w:leader="none" w:pos="680" w:val="left"/>
        </w:tabs>
        <w:numPr>
          <w:ilvl w:val="0"/>
          <w:numId w:val="34"/>
        </w:numPr>
        <w:rPr>
          <w:rFonts w:ascii="Arial" w:cs="Arial" w:eastAsia="Arial" w:hAnsi="Arial"/>
          <w:sz w:val="19"/>
          <w:szCs w:val="19"/>
          <w:color w:val="231F20"/>
        </w:rPr>
      </w:pPr>
      <w:r>
        <w:rPr>
          <w:rFonts w:ascii="Times New Roman" w:cs="Times New Roman" w:eastAsia="Times New Roman" w:hAnsi="Times New Roman"/>
          <w:sz w:val="19"/>
          <w:szCs w:val="19"/>
          <w:color w:val="231F20"/>
        </w:rPr>
        <w:t>We incur significant costs as a result of being a publicly traded company.</w:t>
      </w:r>
    </w:p>
    <w:p>
      <w:pPr>
        <w:spacing w:after="0" w:line="120" w:lineRule="exact"/>
        <w:rPr>
          <w:rFonts w:ascii="Arial" w:cs="Arial" w:eastAsia="Arial" w:hAnsi="Arial"/>
          <w:sz w:val="19"/>
          <w:szCs w:val="19"/>
          <w:color w:val="231F20"/>
        </w:rPr>
      </w:pPr>
    </w:p>
    <w:p>
      <w:pPr>
        <w:ind w:left="680" w:right="280" w:hanging="340"/>
        <w:spacing w:after="0" w:line="269" w:lineRule="auto"/>
        <w:tabs>
          <w:tab w:leader="none" w:pos="680" w:val="left"/>
        </w:tabs>
        <w:numPr>
          <w:ilvl w:val="0"/>
          <w:numId w:val="34"/>
        </w:numPr>
        <w:rPr>
          <w:rFonts w:ascii="Arial" w:cs="Arial" w:eastAsia="Arial" w:hAnsi="Arial"/>
          <w:sz w:val="19"/>
          <w:szCs w:val="19"/>
          <w:color w:val="231F20"/>
        </w:rPr>
      </w:pPr>
      <w:r>
        <w:rPr>
          <w:rFonts w:ascii="Times New Roman" w:cs="Times New Roman" w:eastAsia="Times New Roman" w:hAnsi="Times New Roman"/>
          <w:sz w:val="19"/>
          <w:szCs w:val="19"/>
          <w:color w:val="231F20"/>
        </w:rPr>
        <w:t>Provisions of the General Corporation Law of the State of Delaware and our certificate of incorporation and bylaws could deter takeover attempts and have an adverse effect on the price of our common stock.</w:t>
      </w:r>
    </w:p>
    <w:p>
      <w:pPr>
        <w:spacing w:after="0" w:line="61" w:lineRule="exact"/>
        <w:rPr>
          <w:rFonts w:ascii="Arial" w:cs="Arial" w:eastAsia="Arial" w:hAnsi="Arial"/>
          <w:sz w:val="19"/>
          <w:szCs w:val="19"/>
          <w:color w:val="231F20"/>
        </w:rPr>
      </w:pPr>
    </w:p>
    <w:p>
      <w:pPr>
        <w:ind w:left="680" w:hanging="340"/>
        <w:spacing w:after="0"/>
        <w:tabs>
          <w:tab w:leader="none" w:pos="680" w:val="left"/>
        </w:tabs>
        <w:numPr>
          <w:ilvl w:val="0"/>
          <w:numId w:val="34"/>
        </w:numPr>
        <w:rPr>
          <w:rFonts w:ascii="Arial" w:cs="Arial" w:eastAsia="Arial" w:hAnsi="Arial"/>
          <w:sz w:val="19"/>
          <w:szCs w:val="19"/>
          <w:color w:val="231F20"/>
        </w:rPr>
      </w:pPr>
      <w:r>
        <w:rPr>
          <w:rFonts w:ascii="Times New Roman" w:cs="Times New Roman" w:eastAsia="Times New Roman" w:hAnsi="Times New Roman"/>
          <w:sz w:val="19"/>
          <w:szCs w:val="19"/>
          <w:color w:val="231F20"/>
        </w:rPr>
        <w:t>Certain investors are limited in their ability to make significant investments in us.</w:t>
      </w:r>
    </w:p>
    <w:p>
      <w:pPr>
        <w:spacing w:after="0" w:line="120" w:lineRule="exact"/>
        <w:rPr>
          <w:rFonts w:ascii="Arial" w:cs="Arial" w:eastAsia="Arial" w:hAnsi="Arial"/>
          <w:sz w:val="19"/>
          <w:szCs w:val="19"/>
          <w:color w:val="231F20"/>
        </w:rPr>
      </w:pPr>
    </w:p>
    <w:p>
      <w:pPr>
        <w:ind w:left="680" w:hanging="340"/>
        <w:spacing w:after="0"/>
        <w:tabs>
          <w:tab w:leader="none" w:pos="680" w:val="left"/>
        </w:tabs>
        <w:numPr>
          <w:ilvl w:val="0"/>
          <w:numId w:val="34"/>
        </w:numPr>
        <w:rPr>
          <w:rFonts w:ascii="Arial" w:cs="Arial" w:eastAsia="Arial" w:hAnsi="Arial"/>
          <w:sz w:val="19"/>
          <w:szCs w:val="19"/>
          <w:color w:val="231F20"/>
        </w:rPr>
      </w:pPr>
      <w:r>
        <w:rPr>
          <w:rFonts w:ascii="Times New Roman" w:cs="Times New Roman" w:eastAsia="Times New Roman" w:hAnsi="Times New Roman"/>
          <w:sz w:val="19"/>
          <w:szCs w:val="19"/>
          <w:color w:val="231F20"/>
        </w:rPr>
        <w:t>Cybersecurity risks and cyber incidents may adversely affect our business or those of our portfolio companies.</w:t>
      </w:r>
    </w:p>
    <w:p>
      <w:pPr>
        <w:spacing w:after="0" w:line="120" w:lineRule="exact"/>
        <w:rPr>
          <w:rFonts w:ascii="Arial" w:cs="Arial" w:eastAsia="Arial" w:hAnsi="Arial"/>
          <w:sz w:val="19"/>
          <w:szCs w:val="19"/>
          <w:color w:val="231F20"/>
        </w:rPr>
      </w:pPr>
    </w:p>
    <w:p>
      <w:pPr>
        <w:ind w:left="680" w:right="620" w:hanging="340"/>
        <w:spacing w:after="0" w:line="269" w:lineRule="auto"/>
        <w:tabs>
          <w:tab w:leader="none" w:pos="680" w:val="left"/>
        </w:tabs>
        <w:numPr>
          <w:ilvl w:val="0"/>
          <w:numId w:val="34"/>
        </w:numPr>
        <w:rPr>
          <w:rFonts w:ascii="Arial" w:cs="Arial" w:eastAsia="Arial" w:hAnsi="Arial"/>
          <w:sz w:val="19"/>
          <w:szCs w:val="19"/>
          <w:color w:val="231F20"/>
        </w:rPr>
      </w:pPr>
      <w:r>
        <w:rPr>
          <w:rFonts w:ascii="Times New Roman" w:cs="Times New Roman" w:eastAsia="Times New Roman" w:hAnsi="Times New Roman"/>
          <w:sz w:val="19"/>
          <w:szCs w:val="19"/>
          <w:color w:val="231F20"/>
        </w:rPr>
        <w:t>Our Board may change our investment objective, operating policies and strategies without prior notice or stockholder approval.</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231F20"/>
        </w:rPr>
        <w:t>Risks Related to Economic Conditions</w:t>
      </w:r>
    </w:p>
    <w:p>
      <w:pPr>
        <w:spacing w:after="0" w:line="122" w:lineRule="exact"/>
        <w:rPr>
          <w:sz w:val="20"/>
          <w:szCs w:val="20"/>
          <w:color w:val="auto"/>
        </w:rPr>
      </w:pPr>
    </w:p>
    <w:p>
      <w:pPr>
        <w:ind w:left="680" w:right="220" w:hanging="340"/>
        <w:spacing w:after="0" w:line="274" w:lineRule="auto"/>
        <w:tabs>
          <w:tab w:leader="none" w:pos="680" w:val="left"/>
        </w:tabs>
        <w:numPr>
          <w:ilvl w:val="0"/>
          <w:numId w:val="35"/>
        </w:numPr>
        <w:rPr>
          <w:rFonts w:ascii="Arial" w:cs="Arial" w:eastAsia="Arial" w:hAnsi="Arial"/>
          <w:sz w:val="19"/>
          <w:szCs w:val="19"/>
          <w:color w:val="231F20"/>
        </w:rPr>
      </w:pPr>
      <w:r>
        <w:rPr>
          <w:rFonts w:ascii="Times New Roman" w:cs="Times New Roman" w:eastAsia="Times New Roman" w:hAnsi="Times New Roman"/>
          <w:sz w:val="19"/>
          <w:szCs w:val="19"/>
          <w:color w:val="231F20"/>
        </w:rPr>
        <w:t>The current state of the economy and financial markets increases the likelihood of adverse effects on our financial position and results of operations.</w:t>
      </w:r>
    </w:p>
    <w:p>
      <w:pPr>
        <w:spacing w:after="0" w:line="61" w:lineRule="exact"/>
        <w:rPr>
          <w:rFonts w:ascii="Arial" w:cs="Arial" w:eastAsia="Arial" w:hAnsi="Arial"/>
          <w:sz w:val="19"/>
          <w:szCs w:val="19"/>
          <w:color w:val="231F20"/>
        </w:rPr>
      </w:pPr>
    </w:p>
    <w:p>
      <w:pPr>
        <w:ind w:left="680" w:hanging="340"/>
        <w:spacing w:after="0"/>
        <w:tabs>
          <w:tab w:leader="none" w:pos="680" w:val="left"/>
        </w:tabs>
        <w:numPr>
          <w:ilvl w:val="0"/>
          <w:numId w:val="35"/>
        </w:numPr>
        <w:rPr>
          <w:rFonts w:ascii="Arial" w:cs="Arial" w:eastAsia="Arial" w:hAnsi="Arial"/>
          <w:sz w:val="19"/>
          <w:szCs w:val="19"/>
          <w:color w:val="231F20"/>
        </w:rPr>
      </w:pPr>
      <w:r>
        <w:rPr>
          <w:rFonts w:ascii="Times New Roman" w:cs="Times New Roman" w:eastAsia="Times New Roman" w:hAnsi="Times New Roman"/>
          <w:sz w:val="19"/>
          <w:szCs w:val="19"/>
          <w:color w:val="231F20"/>
        </w:rPr>
        <w:t>Economic recessions or downturns could impair our portfolio companies and harm our operating results.</w:t>
      </w:r>
    </w:p>
    <w:p>
      <w:pPr>
        <w:sectPr>
          <w:pgSz w:w="12240" w:h="15840" w:orient="portrait"/>
          <w:cols w:equalWidth="0" w:num="1">
            <w:col w:w="10180"/>
          </w:cols>
          <w:pgMar w:left="1020" w:top="1311" w:right="1040" w:bottom="57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231F20"/>
        </w:rPr>
        <w:t>27</w:t>
      </w:r>
    </w:p>
    <w:p>
      <w:pPr>
        <w:sectPr>
          <w:pgSz w:w="12240" w:h="15840" w:orient="portrait"/>
          <w:cols w:equalWidth="0" w:num="1">
            <w:col w:w="10180"/>
          </w:cols>
          <w:pgMar w:left="1020" w:top="1311" w:right="1040" w:bottom="574" w:gutter="0" w:footer="0" w:header="0"/>
          <w:type w:val="continuous"/>
        </w:sectPr>
      </w:pPr>
    </w:p>
    <w:bookmarkStart w:id="27" w:name="page28"/>
    <w:bookmarkEnd w:id="27"/>
    <w:p>
      <w:pPr>
        <w:spacing w:after="0"/>
        <w:rPr>
          <w:sz w:val="20"/>
          <w:szCs w:val="20"/>
          <w:color w:val="auto"/>
        </w:rPr>
      </w:pPr>
      <w:r>
        <w:rPr>
          <w:rFonts w:ascii="Times New Roman" w:cs="Times New Roman" w:eastAsia="Times New Roman" w:hAnsi="Times New Roman"/>
          <w:sz w:val="19"/>
          <w:szCs w:val="19"/>
          <w:i w:val="1"/>
          <w:iCs w:val="1"/>
          <w:color w:val="231F20"/>
        </w:rPr>
        <w:t>Risks Related to Our Portfolio Company Investments</w:t>
      </w:r>
    </w:p>
    <w:p>
      <w:pPr>
        <w:spacing w:after="0" w:line="122" w:lineRule="exact"/>
        <w:rPr>
          <w:sz w:val="20"/>
          <w:szCs w:val="20"/>
          <w:color w:val="auto"/>
        </w:rPr>
      </w:pPr>
    </w:p>
    <w:p>
      <w:pPr>
        <w:ind w:left="680" w:hanging="340"/>
        <w:spacing w:after="0"/>
        <w:tabs>
          <w:tab w:leader="none" w:pos="680" w:val="left"/>
        </w:tabs>
        <w:numPr>
          <w:ilvl w:val="0"/>
          <w:numId w:val="36"/>
        </w:numPr>
        <w:rPr>
          <w:rFonts w:ascii="Arial" w:cs="Arial" w:eastAsia="Arial" w:hAnsi="Arial"/>
          <w:sz w:val="19"/>
          <w:szCs w:val="19"/>
          <w:color w:val="231F20"/>
        </w:rPr>
      </w:pPr>
      <w:r>
        <w:rPr>
          <w:rFonts w:ascii="Times New Roman" w:cs="Times New Roman" w:eastAsia="Times New Roman" w:hAnsi="Times New Roman"/>
          <w:sz w:val="19"/>
          <w:szCs w:val="19"/>
          <w:color w:val="231F20"/>
        </w:rPr>
        <w:t>Our investments are very risky and highly speculative.</w:t>
      </w:r>
    </w:p>
    <w:p>
      <w:pPr>
        <w:spacing w:after="0" w:line="124" w:lineRule="exact"/>
        <w:rPr>
          <w:rFonts w:ascii="Arial" w:cs="Arial" w:eastAsia="Arial" w:hAnsi="Arial"/>
          <w:sz w:val="19"/>
          <w:szCs w:val="19"/>
          <w:color w:val="231F20"/>
        </w:rPr>
      </w:pPr>
    </w:p>
    <w:p>
      <w:pPr>
        <w:jc w:val="both"/>
        <w:ind w:left="680" w:right="220" w:hanging="340"/>
        <w:spacing w:after="0" w:line="256" w:lineRule="auto"/>
        <w:tabs>
          <w:tab w:leader="none" w:pos="680" w:val="left"/>
        </w:tabs>
        <w:numPr>
          <w:ilvl w:val="0"/>
          <w:numId w:val="36"/>
        </w:numPr>
        <w:rPr>
          <w:rFonts w:ascii="Arial" w:cs="Arial" w:eastAsia="Arial" w:hAnsi="Arial"/>
          <w:sz w:val="19"/>
          <w:szCs w:val="19"/>
          <w:color w:val="231F20"/>
        </w:rPr>
      </w:pPr>
      <w:r>
        <w:rPr>
          <w:rFonts w:ascii="Times New Roman" w:cs="Times New Roman" w:eastAsia="Times New Roman" w:hAnsi="Times New Roman"/>
          <w:sz w:val="19"/>
          <w:szCs w:val="19"/>
          <w:color w:val="231F20"/>
        </w:rPr>
        <w:t>The value of most of our portfolio securities will not have a readily available market price and we value these securities at fair value as determined in good faith by our Board, which valuation is inherently subjective, may not reflect what we may actually realize for the sale of the investment and could result in a conflict of interest with the Adviser.</w:t>
      </w:r>
    </w:p>
    <w:p>
      <w:pPr>
        <w:spacing w:after="0" w:line="78" w:lineRule="exact"/>
        <w:rPr>
          <w:rFonts w:ascii="Arial" w:cs="Arial" w:eastAsia="Arial" w:hAnsi="Arial"/>
          <w:sz w:val="19"/>
          <w:szCs w:val="19"/>
          <w:color w:val="231F20"/>
        </w:rPr>
      </w:pPr>
    </w:p>
    <w:p>
      <w:pPr>
        <w:ind w:left="680" w:hanging="340"/>
        <w:spacing w:after="0"/>
        <w:tabs>
          <w:tab w:leader="none" w:pos="680" w:val="left"/>
        </w:tabs>
        <w:numPr>
          <w:ilvl w:val="0"/>
          <w:numId w:val="36"/>
        </w:numPr>
        <w:rPr>
          <w:rFonts w:ascii="Arial" w:cs="Arial" w:eastAsia="Arial" w:hAnsi="Arial"/>
          <w:sz w:val="19"/>
          <w:szCs w:val="19"/>
          <w:color w:val="231F20"/>
        </w:rPr>
      </w:pPr>
      <w:r>
        <w:rPr>
          <w:rFonts w:ascii="Times New Roman" w:cs="Times New Roman" w:eastAsia="Times New Roman" w:hAnsi="Times New Roman"/>
          <w:sz w:val="19"/>
          <w:szCs w:val="19"/>
          <w:color w:val="231F20"/>
        </w:rPr>
        <w:t>The lack of liquidity in our investments may adversely affect our business.</w:t>
      </w:r>
    </w:p>
    <w:p>
      <w:pPr>
        <w:spacing w:after="0" w:line="124" w:lineRule="exact"/>
        <w:rPr>
          <w:rFonts w:ascii="Arial" w:cs="Arial" w:eastAsia="Arial" w:hAnsi="Arial"/>
          <w:sz w:val="19"/>
          <w:szCs w:val="19"/>
          <w:color w:val="231F20"/>
        </w:rPr>
      </w:pPr>
    </w:p>
    <w:p>
      <w:pPr>
        <w:ind w:left="680" w:hanging="340"/>
        <w:spacing w:after="0" w:line="256" w:lineRule="auto"/>
        <w:tabs>
          <w:tab w:leader="none" w:pos="680" w:val="left"/>
        </w:tabs>
        <w:numPr>
          <w:ilvl w:val="0"/>
          <w:numId w:val="36"/>
        </w:numPr>
        <w:rPr>
          <w:rFonts w:ascii="Arial" w:cs="Arial" w:eastAsia="Arial" w:hAnsi="Arial"/>
          <w:sz w:val="19"/>
          <w:szCs w:val="19"/>
          <w:color w:val="231F20"/>
        </w:rPr>
      </w:pPr>
      <w:r>
        <w:rPr>
          <w:rFonts w:ascii="Times New Roman" w:cs="Times New Roman" w:eastAsia="Times New Roman" w:hAnsi="Times New Roman"/>
          <w:sz w:val="19"/>
          <w:szCs w:val="19"/>
          <w:color w:val="231F20"/>
        </w:rPr>
        <w:t>Our portfolio may be focused on a limited number of portfolio companies or industries, which will subject us to a risk of significant loss if any of these companies defaults on its obligations under any of its debt instruments or if there is a downturn in a particular industry.</w:t>
      </w:r>
    </w:p>
    <w:p>
      <w:pPr>
        <w:spacing w:after="0" w:line="78" w:lineRule="exact"/>
        <w:rPr>
          <w:rFonts w:ascii="Arial" w:cs="Arial" w:eastAsia="Arial" w:hAnsi="Arial"/>
          <w:sz w:val="19"/>
          <w:szCs w:val="19"/>
          <w:color w:val="231F20"/>
        </w:rPr>
      </w:pPr>
    </w:p>
    <w:p>
      <w:pPr>
        <w:ind w:left="680" w:hanging="340"/>
        <w:spacing w:after="0"/>
        <w:tabs>
          <w:tab w:leader="none" w:pos="680" w:val="left"/>
        </w:tabs>
        <w:numPr>
          <w:ilvl w:val="0"/>
          <w:numId w:val="36"/>
        </w:numPr>
        <w:rPr>
          <w:rFonts w:ascii="Arial" w:cs="Arial" w:eastAsia="Arial" w:hAnsi="Arial"/>
          <w:sz w:val="19"/>
          <w:szCs w:val="19"/>
          <w:color w:val="231F20"/>
        </w:rPr>
      </w:pPr>
      <w:r>
        <w:rPr>
          <w:rFonts w:ascii="Times New Roman" w:cs="Times New Roman" w:eastAsia="Times New Roman" w:hAnsi="Times New Roman"/>
          <w:sz w:val="19"/>
          <w:szCs w:val="19"/>
          <w:color w:val="231F20"/>
        </w:rPr>
        <w:t>We may securitize certain of our investments, which may subject us to certain structured financing risks.</w:t>
      </w:r>
    </w:p>
    <w:p>
      <w:pPr>
        <w:spacing w:after="0" w:line="124" w:lineRule="exact"/>
        <w:rPr>
          <w:rFonts w:ascii="Arial" w:cs="Arial" w:eastAsia="Arial" w:hAnsi="Arial"/>
          <w:sz w:val="19"/>
          <w:szCs w:val="19"/>
          <w:color w:val="231F20"/>
        </w:rPr>
      </w:pPr>
    </w:p>
    <w:p>
      <w:pPr>
        <w:ind w:left="680" w:right="40" w:hanging="340"/>
        <w:spacing w:after="0" w:line="256" w:lineRule="auto"/>
        <w:tabs>
          <w:tab w:leader="none" w:pos="680" w:val="left"/>
        </w:tabs>
        <w:numPr>
          <w:ilvl w:val="0"/>
          <w:numId w:val="36"/>
        </w:numPr>
        <w:rPr>
          <w:rFonts w:ascii="Arial" w:cs="Arial" w:eastAsia="Arial" w:hAnsi="Arial"/>
          <w:sz w:val="19"/>
          <w:szCs w:val="19"/>
          <w:color w:val="231F20"/>
        </w:rPr>
      </w:pPr>
      <w:r>
        <w:rPr>
          <w:rFonts w:ascii="Times New Roman" w:cs="Times New Roman" w:eastAsia="Times New Roman" w:hAnsi="Times New Roman"/>
          <w:sz w:val="19"/>
          <w:szCs w:val="19"/>
          <w:color w:val="231F20"/>
        </w:rPr>
        <w:t>Because we generally do not hold controlling interests in our portfolio companies, we may not be in a position to exercise control over those portfolio companies or prevent decisions by management of those portfolio companies that could decrease the value of our investments.</w:t>
      </w:r>
    </w:p>
    <w:p>
      <w:pPr>
        <w:spacing w:after="0" w:line="78" w:lineRule="exact"/>
        <w:rPr>
          <w:rFonts w:ascii="Arial" w:cs="Arial" w:eastAsia="Arial" w:hAnsi="Arial"/>
          <w:sz w:val="19"/>
          <w:szCs w:val="19"/>
          <w:color w:val="231F20"/>
        </w:rPr>
      </w:pPr>
    </w:p>
    <w:p>
      <w:pPr>
        <w:ind w:left="680" w:hanging="340"/>
        <w:spacing w:after="0"/>
        <w:tabs>
          <w:tab w:leader="none" w:pos="680" w:val="left"/>
        </w:tabs>
        <w:numPr>
          <w:ilvl w:val="0"/>
          <w:numId w:val="36"/>
        </w:numPr>
        <w:rPr>
          <w:rFonts w:ascii="Arial" w:cs="Arial" w:eastAsia="Arial" w:hAnsi="Arial"/>
          <w:sz w:val="19"/>
          <w:szCs w:val="19"/>
          <w:color w:val="231F20"/>
        </w:rPr>
      </w:pPr>
      <w:r>
        <w:rPr>
          <w:rFonts w:ascii="Times New Roman" w:cs="Times New Roman" w:eastAsia="Times New Roman" w:hAnsi="Times New Roman"/>
          <w:sz w:val="19"/>
          <w:szCs w:val="19"/>
          <w:color w:val="231F20"/>
        </w:rPr>
        <w:t>We are exposed to risks associated with changes in interest rates.</w:t>
      </w:r>
    </w:p>
    <w:p>
      <w:pPr>
        <w:spacing w:after="0" w:line="124" w:lineRule="exact"/>
        <w:rPr>
          <w:rFonts w:ascii="Arial" w:cs="Arial" w:eastAsia="Arial" w:hAnsi="Arial"/>
          <w:sz w:val="19"/>
          <w:szCs w:val="19"/>
          <w:color w:val="231F20"/>
        </w:rPr>
      </w:pPr>
    </w:p>
    <w:p>
      <w:pPr>
        <w:ind w:left="680" w:hanging="340"/>
        <w:spacing w:after="0"/>
        <w:tabs>
          <w:tab w:leader="none" w:pos="680" w:val="left"/>
        </w:tabs>
        <w:numPr>
          <w:ilvl w:val="0"/>
          <w:numId w:val="36"/>
        </w:numPr>
        <w:rPr>
          <w:rFonts w:ascii="Arial" w:cs="Arial" w:eastAsia="Arial" w:hAnsi="Arial"/>
          <w:sz w:val="19"/>
          <w:szCs w:val="19"/>
          <w:color w:val="231F20"/>
        </w:rPr>
      </w:pPr>
      <w:r>
        <w:rPr>
          <w:rFonts w:ascii="Times New Roman" w:cs="Times New Roman" w:eastAsia="Times New Roman" w:hAnsi="Times New Roman"/>
          <w:sz w:val="19"/>
          <w:szCs w:val="19"/>
          <w:color w:val="231F20"/>
        </w:rPr>
        <w:t>We may not be able to realize expected returns on our invested capital.</w:t>
      </w:r>
    </w:p>
    <w:p>
      <w:pPr>
        <w:spacing w:after="0" w:line="124" w:lineRule="exact"/>
        <w:rPr>
          <w:rFonts w:ascii="Arial" w:cs="Arial" w:eastAsia="Arial" w:hAnsi="Arial"/>
          <w:sz w:val="19"/>
          <w:szCs w:val="19"/>
          <w:color w:val="231F20"/>
        </w:rPr>
      </w:pPr>
    </w:p>
    <w:p>
      <w:pPr>
        <w:ind w:left="680" w:right="200" w:hanging="340"/>
        <w:spacing w:after="0" w:line="274" w:lineRule="auto"/>
        <w:tabs>
          <w:tab w:leader="none" w:pos="680" w:val="left"/>
        </w:tabs>
        <w:numPr>
          <w:ilvl w:val="0"/>
          <w:numId w:val="36"/>
        </w:numPr>
        <w:rPr>
          <w:rFonts w:ascii="Arial" w:cs="Arial" w:eastAsia="Arial" w:hAnsi="Arial"/>
          <w:sz w:val="19"/>
          <w:szCs w:val="19"/>
          <w:color w:val="231F20"/>
        </w:rPr>
      </w:pPr>
      <w:r>
        <w:rPr>
          <w:rFonts w:ascii="Times New Roman" w:cs="Times New Roman" w:eastAsia="Times New Roman" w:hAnsi="Times New Roman"/>
          <w:sz w:val="19"/>
          <w:szCs w:val="19"/>
          <w:color w:val="231F20"/>
        </w:rPr>
        <w:t>By originating loans to companies that are experiencing significant financial or business difficulties, we may be exposed to distressed lending risks.</w:t>
      </w:r>
    </w:p>
    <w:p>
      <w:pPr>
        <w:spacing w:after="0" w:line="61" w:lineRule="exact"/>
        <w:rPr>
          <w:rFonts w:ascii="Arial" w:cs="Arial" w:eastAsia="Arial" w:hAnsi="Arial"/>
          <w:sz w:val="19"/>
          <w:szCs w:val="19"/>
          <w:color w:val="231F20"/>
        </w:rPr>
      </w:pPr>
    </w:p>
    <w:p>
      <w:pPr>
        <w:ind w:left="680" w:right="400" w:hanging="340"/>
        <w:spacing w:after="0" w:line="274" w:lineRule="auto"/>
        <w:tabs>
          <w:tab w:leader="none" w:pos="680" w:val="left"/>
        </w:tabs>
        <w:numPr>
          <w:ilvl w:val="0"/>
          <w:numId w:val="36"/>
        </w:numPr>
        <w:rPr>
          <w:rFonts w:ascii="Arial" w:cs="Arial" w:eastAsia="Arial" w:hAnsi="Arial"/>
          <w:sz w:val="19"/>
          <w:szCs w:val="19"/>
          <w:color w:val="231F20"/>
        </w:rPr>
      </w:pPr>
      <w:r>
        <w:rPr>
          <w:rFonts w:ascii="Times New Roman" w:cs="Times New Roman" w:eastAsia="Times New Roman" w:hAnsi="Times New Roman"/>
          <w:sz w:val="19"/>
          <w:szCs w:val="19"/>
          <w:color w:val="231F20"/>
        </w:rPr>
        <w:t>Our portfolio companies may incur debt or issue equity securities that rank equally with, or senior to, our investments in those companies and we may be exposed to special risks associated with bankruptcy cases.</w:t>
      </w:r>
    </w:p>
    <w:p>
      <w:pPr>
        <w:spacing w:after="0" w:line="61" w:lineRule="exact"/>
        <w:rPr>
          <w:rFonts w:ascii="Arial" w:cs="Arial" w:eastAsia="Arial" w:hAnsi="Arial"/>
          <w:sz w:val="19"/>
          <w:szCs w:val="19"/>
          <w:color w:val="231F20"/>
        </w:rPr>
      </w:pPr>
    </w:p>
    <w:p>
      <w:pPr>
        <w:ind w:left="680" w:hanging="340"/>
        <w:spacing w:after="0"/>
        <w:tabs>
          <w:tab w:leader="none" w:pos="680" w:val="left"/>
        </w:tabs>
        <w:numPr>
          <w:ilvl w:val="0"/>
          <w:numId w:val="36"/>
        </w:numPr>
        <w:rPr>
          <w:rFonts w:ascii="Arial" w:cs="Arial" w:eastAsia="Arial" w:hAnsi="Arial"/>
          <w:sz w:val="19"/>
          <w:szCs w:val="19"/>
          <w:color w:val="231F20"/>
        </w:rPr>
      </w:pPr>
      <w:r>
        <w:rPr>
          <w:rFonts w:ascii="Times New Roman" w:cs="Times New Roman" w:eastAsia="Times New Roman" w:hAnsi="Times New Roman"/>
          <w:sz w:val="19"/>
          <w:szCs w:val="19"/>
          <w:color w:val="231F20"/>
        </w:rPr>
        <w:t>Our failure to make follow-on investments in our portfolio companies could impair the value of our investments.</w:t>
      </w:r>
    </w:p>
    <w:p>
      <w:pPr>
        <w:spacing w:after="0" w:line="124" w:lineRule="exact"/>
        <w:rPr>
          <w:rFonts w:ascii="Arial" w:cs="Arial" w:eastAsia="Arial" w:hAnsi="Arial"/>
          <w:sz w:val="19"/>
          <w:szCs w:val="19"/>
          <w:color w:val="231F20"/>
        </w:rPr>
      </w:pPr>
    </w:p>
    <w:p>
      <w:pPr>
        <w:ind w:left="680" w:hanging="340"/>
        <w:spacing w:after="0"/>
        <w:tabs>
          <w:tab w:leader="none" w:pos="680" w:val="left"/>
        </w:tabs>
        <w:numPr>
          <w:ilvl w:val="0"/>
          <w:numId w:val="36"/>
        </w:numPr>
        <w:rPr>
          <w:rFonts w:ascii="Arial" w:cs="Arial" w:eastAsia="Arial" w:hAnsi="Arial"/>
          <w:sz w:val="19"/>
          <w:szCs w:val="19"/>
          <w:color w:val="231F20"/>
        </w:rPr>
      </w:pPr>
      <w:r>
        <w:rPr>
          <w:rFonts w:ascii="Times New Roman" w:cs="Times New Roman" w:eastAsia="Times New Roman" w:hAnsi="Times New Roman"/>
          <w:sz w:val="19"/>
          <w:szCs w:val="19"/>
          <w:color w:val="231F20"/>
        </w:rPr>
        <w:t>Our ability to enter into transactions with our affiliates is restricted.</w:t>
      </w:r>
    </w:p>
    <w:p>
      <w:pPr>
        <w:spacing w:after="0" w:line="124" w:lineRule="exact"/>
        <w:rPr>
          <w:rFonts w:ascii="Arial" w:cs="Arial" w:eastAsia="Arial" w:hAnsi="Arial"/>
          <w:sz w:val="19"/>
          <w:szCs w:val="19"/>
          <w:color w:val="231F20"/>
        </w:rPr>
      </w:pPr>
    </w:p>
    <w:p>
      <w:pPr>
        <w:ind w:left="680" w:hanging="340"/>
        <w:spacing w:after="0"/>
        <w:tabs>
          <w:tab w:leader="none" w:pos="680" w:val="left"/>
        </w:tabs>
        <w:numPr>
          <w:ilvl w:val="0"/>
          <w:numId w:val="36"/>
        </w:numPr>
        <w:rPr>
          <w:rFonts w:ascii="Arial" w:cs="Arial" w:eastAsia="Arial" w:hAnsi="Arial"/>
          <w:sz w:val="19"/>
          <w:szCs w:val="19"/>
          <w:color w:val="231F20"/>
        </w:rPr>
      </w:pPr>
      <w:r>
        <w:rPr>
          <w:rFonts w:ascii="Times New Roman" w:cs="Times New Roman" w:eastAsia="Times New Roman" w:hAnsi="Times New Roman"/>
          <w:sz w:val="19"/>
          <w:szCs w:val="19"/>
          <w:color w:val="231F20"/>
        </w:rPr>
        <w:t>Any acquisitions or strategic investments that we pursue are subject to risks and uncertainties.</w:t>
      </w:r>
    </w:p>
    <w:p>
      <w:pPr>
        <w:spacing w:after="0" w:line="124" w:lineRule="exact"/>
        <w:rPr>
          <w:rFonts w:ascii="Arial" w:cs="Arial" w:eastAsia="Arial" w:hAnsi="Arial"/>
          <w:sz w:val="19"/>
          <w:szCs w:val="19"/>
          <w:color w:val="231F20"/>
        </w:rPr>
      </w:pPr>
    </w:p>
    <w:p>
      <w:pPr>
        <w:ind w:left="680" w:right="120" w:hanging="340"/>
        <w:spacing w:after="0" w:line="274" w:lineRule="auto"/>
        <w:tabs>
          <w:tab w:leader="none" w:pos="680" w:val="left"/>
        </w:tabs>
        <w:numPr>
          <w:ilvl w:val="0"/>
          <w:numId w:val="36"/>
        </w:numPr>
        <w:rPr>
          <w:rFonts w:ascii="Arial" w:cs="Arial" w:eastAsia="Arial" w:hAnsi="Arial"/>
          <w:sz w:val="19"/>
          <w:szCs w:val="19"/>
          <w:color w:val="231F20"/>
        </w:rPr>
      </w:pPr>
      <w:r>
        <w:rPr>
          <w:rFonts w:ascii="Times New Roman" w:cs="Times New Roman" w:eastAsia="Times New Roman" w:hAnsi="Times New Roman"/>
          <w:sz w:val="19"/>
          <w:szCs w:val="19"/>
          <w:color w:val="231F20"/>
        </w:rPr>
        <w:t>We cannot guarantee that we will be able to obtain various required licenses in U.S. states or in any other jurisdiction where they may be required in the future.</w:t>
      </w:r>
    </w:p>
    <w:p>
      <w:pPr>
        <w:spacing w:after="0" w:line="61" w:lineRule="exact"/>
        <w:rPr>
          <w:rFonts w:ascii="Arial" w:cs="Arial" w:eastAsia="Arial" w:hAnsi="Arial"/>
          <w:sz w:val="19"/>
          <w:szCs w:val="19"/>
          <w:color w:val="231F20"/>
        </w:rPr>
      </w:pPr>
    </w:p>
    <w:p>
      <w:pPr>
        <w:ind w:left="680" w:hanging="340"/>
        <w:spacing w:after="0"/>
        <w:tabs>
          <w:tab w:leader="none" w:pos="680" w:val="left"/>
        </w:tabs>
        <w:numPr>
          <w:ilvl w:val="0"/>
          <w:numId w:val="36"/>
        </w:numPr>
        <w:rPr>
          <w:rFonts w:ascii="Arial" w:cs="Arial" w:eastAsia="Arial" w:hAnsi="Arial"/>
          <w:sz w:val="19"/>
          <w:szCs w:val="19"/>
          <w:color w:val="231F20"/>
        </w:rPr>
      </w:pPr>
      <w:r>
        <w:rPr>
          <w:rFonts w:ascii="Times New Roman" w:cs="Times New Roman" w:eastAsia="Times New Roman" w:hAnsi="Times New Roman"/>
          <w:sz w:val="19"/>
          <w:szCs w:val="19"/>
          <w:color w:val="231F20"/>
        </w:rPr>
        <w:t>Our investments in foreign companies may involve significant risks in addition to the risks inherent in U.S. investments.</w:t>
      </w:r>
    </w:p>
    <w:p>
      <w:pPr>
        <w:spacing w:after="0" w:line="124" w:lineRule="exact"/>
        <w:rPr>
          <w:rFonts w:ascii="Arial" w:cs="Arial" w:eastAsia="Arial" w:hAnsi="Arial"/>
          <w:sz w:val="19"/>
          <w:szCs w:val="19"/>
          <w:color w:val="231F20"/>
        </w:rPr>
      </w:pPr>
    </w:p>
    <w:p>
      <w:pPr>
        <w:ind w:left="680" w:hanging="340"/>
        <w:spacing w:after="0"/>
        <w:tabs>
          <w:tab w:leader="none" w:pos="680" w:val="left"/>
        </w:tabs>
        <w:numPr>
          <w:ilvl w:val="0"/>
          <w:numId w:val="36"/>
        </w:numPr>
        <w:rPr>
          <w:rFonts w:ascii="Arial" w:cs="Arial" w:eastAsia="Arial" w:hAnsi="Arial"/>
          <w:sz w:val="19"/>
          <w:szCs w:val="19"/>
          <w:color w:val="231F20"/>
        </w:rPr>
      </w:pPr>
      <w:r>
        <w:rPr>
          <w:rFonts w:ascii="Times New Roman" w:cs="Times New Roman" w:eastAsia="Times New Roman" w:hAnsi="Times New Roman"/>
          <w:sz w:val="19"/>
          <w:szCs w:val="19"/>
          <w:color w:val="231F20"/>
        </w:rPr>
        <w:t>We expose ourselves to risks when we engage in hedging transactions.</w:t>
      </w:r>
    </w:p>
    <w:p>
      <w:pPr>
        <w:spacing w:after="0" w:line="124" w:lineRule="exact"/>
        <w:rPr>
          <w:rFonts w:ascii="Arial" w:cs="Arial" w:eastAsia="Arial" w:hAnsi="Arial"/>
          <w:sz w:val="19"/>
          <w:szCs w:val="19"/>
          <w:color w:val="231F20"/>
        </w:rPr>
      </w:pPr>
    </w:p>
    <w:p>
      <w:pPr>
        <w:ind w:left="680" w:right="60" w:hanging="340"/>
        <w:spacing w:after="0" w:line="274" w:lineRule="auto"/>
        <w:tabs>
          <w:tab w:leader="none" w:pos="680" w:val="left"/>
        </w:tabs>
        <w:numPr>
          <w:ilvl w:val="0"/>
          <w:numId w:val="36"/>
        </w:numPr>
        <w:rPr>
          <w:rFonts w:ascii="Arial" w:cs="Arial" w:eastAsia="Arial" w:hAnsi="Arial"/>
          <w:sz w:val="19"/>
          <w:szCs w:val="19"/>
          <w:color w:val="231F20"/>
        </w:rPr>
      </w:pPr>
      <w:r>
        <w:rPr>
          <w:rFonts w:ascii="Times New Roman" w:cs="Times New Roman" w:eastAsia="Times New Roman" w:hAnsi="Times New Roman"/>
          <w:sz w:val="19"/>
          <w:szCs w:val="19"/>
          <w:color w:val="231F20"/>
        </w:rPr>
        <w:t>The market structure applicable to derivatives imposed by the Dodd-Frank Act may affect our ability to use over-the-counter (“OTC”) derivatives for hedging purposes.</w:t>
      </w:r>
    </w:p>
    <w:p>
      <w:pPr>
        <w:spacing w:after="0" w:line="61" w:lineRule="exact"/>
        <w:rPr>
          <w:rFonts w:ascii="Arial" w:cs="Arial" w:eastAsia="Arial" w:hAnsi="Arial"/>
          <w:sz w:val="19"/>
          <w:szCs w:val="19"/>
          <w:color w:val="231F20"/>
        </w:rPr>
      </w:pPr>
    </w:p>
    <w:p>
      <w:pPr>
        <w:ind w:left="680" w:right="100" w:hanging="340"/>
        <w:spacing w:after="0" w:line="274" w:lineRule="auto"/>
        <w:tabs>
          <w:tab w:leader="none" w:pos="680" w:val="left"/>
        </w:tabs>
        <w:numPr>
          <w:ilvl w:val="0"/>
          <w:numId w:val="36"/>
        </w:numPr>
        <w:rPr>
          <w:rFonts w:ascii="Arial" w:cs="Arial" w:eastAsia="Arial" w:hAnsi="Arial"/>
          <w:sz w:val="19"/>
          <w:szCs w:val="19"/>
          <w:color w:val="231F20"/>
        </w:rPr>
      </w:pPr>
      <w:r>
        <w:rPr>
          <w:rFonts w:ascii="Times New Roman" w:cs="Times New Roman" w:eastAsia="Times New Roman" w:hAnsi="Times New Roman"/>
          <w:sz w:val="19"/>
          <w:szCs w:val="19"/>
          <w:color w:val="231F20"/>
        </w:rPr>
        <w:t>Our portfolio investments may present special tax issues, and there are certain risks associated with holding debt obligations that have original issue discount or payment-in-kind interest.</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231F20"/>
        </w:rPr>
        <w:t>Risks Related to Our Securities</w:t>
      </w:r>
    </w:p>
    <w:p>
      <w:pPr>
        <w:spacing w:after="0" w:line="122" w:lineRule="exact"/>
        <w:rPr>
          <w:sz w:val="20"/>
          <w:szCs w:val="20"/>
          <w:color w:val="auto"/>
        </w:rPr>
      </w:pPr>
    </w:p>
    <w:p>
      <w:pPr>
        <w:ind w:left="680" w:hanging="340"/>
        <w:spacing w:after="0"/>
        <w:tabs>
          <w:tab w:leader="none" w:pos="680" w:val="left"/>
        </w:tabs>
        <w:numPr>
          <w:ilvl w:val="0"/>
          <w:numId w:val="37"/>
        </w:numPr>
        <w:rPr>
          <w:rFonts w:ascii="Arial" w:cs="Arial" w:eastAsia="Arial" w:hAnsi="Arial"/>
          <w:sz w:val="19"/>
          <w:szCs w:val="19"/>
          <w:color w:val="231F20"/>
        </w:rPr>
      </w:pPr>
      <w:r>
        <w:rPr>
          <w:rFonts w:ascii="Times New Roman" w:cs="Times New Roman" w:eastAsia="Times New Roman" w:hAnsi="Times New Roman"/>
          <w:sz w:val="19"/>
          <w:szCs w:val="19"/>
          <w:color w:val="231F20"/>
        </w:rPr>
        <w:t>There is a risk that investors in our common stock may not receive dividends or that our dividends may not grow over time.</w:t>
      </w:r>
    </w:p>
    <w:p>
      <w:pPr>
        <w:spacing w:after="0" w:line="124" w:lineRule="exact"/>
        <w:rPr>
          <w:rFonts w:ascii="Arial" w:cs="Arial" w:eastAsia="Arial" w:hAnsi="Arial"/>
          <w:sz w:val="19"/>
          <w:szCs w:val="19"/>
          <w:color w:val="231F20"/>
        </w:rPr>
      </w:pPr>
    </w:p>
    <w:p>
      <w:pPr>
        <w:ind w:left="680" w:right="620" w:hanging="340"/>
        <w:spacing w:after="0" w:line="274" w:lineRule="auto"/>
        <w:tabs>
          <w:tab w:leader="none" w:pos="680" w:val="left"/>
        </w:tabs>
        <w:numPr>
          <w:ilvl w:val="0"/>
          <w:numId w:val="37"/>
        </w:numPr>
        <w:rPr>
          <w:rFonts w:ascii="Arial" w:cs="Arial" w:eastAsia="Arial" w:hAnsi="Arial"/>
          <w:sz w:val="19"/>
          <w:szCs w:val="19"/>
          <w:color w:val="231F20"/>
        </w:rPr>
      </w:pPr>
      <w:r>
        <w:rPr>
          <w:rFonts w:ascii="Times New Roman" w:cs="Times New Roman" w:eastAsia="Times New Roman" w:hAnsi="Times New Roman"/>
          <w:sz w:val="19"/>
          <w:szCs w:val="19"/>
          <w:color w:val="231F20"/>
        </w:rPr>
        <w:t>Investing in our securities may involve a high degree of risk and the market price of our common stock may fluctuate significantly and could decline.</w:t>
      </w:r>
    </w:p>
    <w:p>
      <w:pPr>
        <w:spacing w:after="0" w:line="61" w:lineRule="exact"/>
        <w:rPr>
          <w:rFonts w:ascii="Arial" w:cs="Arial" w:eastAsia="Arial" w:hAnsi="Arial"/>
          <w:sz w:val="19"/>
          <w:szCs w:val="19"/>
          <w:color w:val="231F20"/>
        </w:rPr>
      </w:pPr>
    </w:p>
    <w:p>
      <w:pPr>
        <w:ind w:left="680" w:hanging="340"/>
        <w:spacing w:after="0"/>
        <w:tabs>
          <w:tab w:leader="none" w:pos="680" w:val="left"/>
        </w:tabs>
        <w:numPr>
          <w:ilvl w:val="0"/>
          <w:numId w:val="37"/>
        </w:numPr>
        <w:rPr>
          <w:rFonts w:ascii="Arial" w:cs="Arial" w:eastAsia="Arial" w:hAnsi="Arial"/>
          <w:sz w:val="19"/>
          <w:szCs w:val="19"/>
          <w:color w:val="231F20"/>
        </w:rPr>
      </w:pPr>
      <w:r>
        <w:rPr>
          <w:rFonts w:ascii="Times New Roman" w:cs="Times New Roman" w:eastAsia="Times New Roman" w:hAnsi="Times New Roman"/>
          <w:sz w:val="19"/>
          <w:szCs w:val="19"/>
          <w:color w:val="231F20"/>
        </w:rPr>
        <w:t>Our stockholders will experience dilution in their ownership percentage if they opt out of our dividend reinvestment plan.</w:t>
      </w:r>
    </w:p>
    <w:p>
      <w:pPr>
        <w:spacing w:after="0" w:line="124" w:lineRule="exact"/>
        <w:rPr>
          <w:rFonts w:ascii="Arial" w:cs="Arial" w:eastAsia="Arial" w:hAnsi="Arial"/>
          <w:sz w:val="19"/>
          <w:szCs w:val="19"/>
          <w:color w:val="231F20"/>
        </w:rPr>
      </w:pPr>
    </w:p>
    <w:p>
      <w:pPr>
        <w:ind w:left="680" w:right="80" w:hanging="340"/>
        <w:spacing w:after="0" w:line="274" w:lineRule="auto"/>
        <w:tabs>
          <w:tab w:leader="none" w:pos="680" w:val="left"/>
        </w:tabs>
        <w:numPr>
          <w:ilvl w:val="0"/>
          <w:numId w:val="37"/>
        </w:numPr>
        <w:rPr>
          <w:rFonts w:ascii="Arial" w:cs="Arial" w:eastAsia="Arial" w:hAnsi="Arial"/>
          <w:sz w:val="19"/>
          <w:szCs w:val="19"/>
          <w:color w:val="231F20"/>
        </w:rPr>
      </w:pPr>
      <w:r>
        <w:rPr>
          <w:rFonts w:ascii="Times New Roman" w:cs="Times New Roman" w:eastAsia="Times New Roman" w:hAnsi="Times New Roman"/>
          <w:sz w:val="19"/>
          <w:szCs w:val="19"/>
          <w:color w:val="231F20"/>
        </w:rPr>
        <w:t>Purchases of our common stock by us under the Company 10b5-1 Plan may result in dilution to our net asset value per share and the price of our common stock being higher than the price that otherwise might exist in the open market.</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231F20"/>
        </w:rPr>
        <w:t>General Risk Factors</w:t>
      </w:r>
    </w:p>
    <w:p>
      <w:pPr>
        <w:spacing w:after="0" w:line="122" w:lineRule="exact"/>
        <w:rPr>
          <w:sz w:val="20"/>
          <w:szCs w:val="20"/>
          <w:color w:val="auto"/>
        </w:rPr>
      </w:pPr>
    </w:p>
    <w:p>
      <w:pPr>
        <w:ind w:left="680" w:right="20" w:hanging="340"/>
        <w:spacing w:after="0" w:line="274" w:lineRule="auto"/>
        <w:tabs>
          <w:tab w:leader="none" w:pos="680" w:val="left"/>
        </w:tabs>
        <w:numPr>
          <w:ilvl w:val="0"/>
          <w:numId w:val="38"/>
        </w:numPr>
        <w:rPr>
          <w:rFonts w:ascii="Arial" w:cs="Arial" w:eastAsia="Arial" w:hAnsi="Arial"/>
          <w:sz w:val="19"/>
          <w:szCs w:val="19"/>
          <w:color w:val="231F20"/>
        </w:rPr>
      </w:pPr>
      <w:r>
        <w:rPr>
          <w:rFonts w:ascii="Times New Roman" w:cs="Times New Roman" w:eastAsia="Times New Roman" w:hAnsi="Times New Roman"/>
          <w:sz w:val="19"/>
          <w:szCs w:val="19"/>
          <w:color w:val="231F20"/>
        </w:rPr>
        <w:t>We are highly dependent on information systems and systems failures could significantly disrupt our business, which may, in turn, negatively affect the market price of our common stock and our ability to pay dividend.</w:t>
      </w:r>
    </w:p>
    <w:p>
      <w:pPr>
        <w:spacing w:after="0" w:line="61" w:lineRule="exact"/>
        <w:rPr>
          <w:rFonts w:ascii="Arial" w:cs="Arial" w:eastAsia="Arial" w:hAnsi="Arial"/>
          <w:sz w:val="19"/>
          <w:szCs w:val="19"/>
          <w:color w:val="231F20"/>
        </w:rPr>
      </w:pPr>
    </w:p>
    <w:p>
      <w:pPr>
        <w:ind w:left="680" w:hanging="340"/>
        <w:spacing w:after="0"/>
        <w:tabs>
          <w:tab w:leader="none" w:pos="680" w:val="left"/>
        </w:tabs>
        <w:numPr>
          <w:ilvl w:val="0"/>
          <w:numId w:val="38"/>
        </w:numPr>
        <w:rPr>
          <w:rFonts w:ascii="Arial" w:cs="Arial" w:eastAsia="Arial" w:hAnsi="Arial"/>
          <w:sz w:val="19"/>
          <w:szCs w:val="19"/>
          <w:color w:val="231F20"/>
        </w:rPr>
      </w:pPr>
      <w:r>
        <w:rPr>
          <w:rFonts w:ascii="Times New Roman" w:cs="Times New Roman" w:eastAsia="Times New Roman" w:hAnsi="Times New Roman"/>
          <w:sz w:val="19"/>
          <w:szCs w:val="19"/>
          <w:color w:val="231F20"/>
        </w:rPr>
        <w:t>Changes in laws or regulations governing our operations may adversely affect our business.</w:t>
      </w:r>
    </w:p>
    <w:p>
      <w:pPr>
        <w:spacing w:after="0" w:line="124" w:lineRule="exact"/>
        <w:rPr>
          <w:rFonts w:ascii="Arial" w:cs="Arial" w:eastAsia="Arial" w:hAnsi="Arial"/>
          <w:sz w:val="19"/>
          <w:szCs w:val="19"/>
          <w:color w:val="231F20"/>
        </w:rPr>
      </w:pPr>
    </w:p>
    <w:p>
      <w:pPr>
        <w:ind w:left="680" w:hanging="340"/>
        <w:spacing w:after="0"/>
        <w:tabs>
          <w:tab w:leader="none" w:pos="680" w:val="left"/>
        </w:tabs>
        <w:numPr>
          <w:ilvl w:val="0"/>
          <w:numId w:val="38"/>
        </w:numPr>
        <w:rPr>
          <w:rFonts w:ascii="Arial" w:cs="Arial" w:eastAsia="Arial" w:hAnsi="Arial"/>
          <w:sz w:val="19"/>
          <w:szCs w:val="19"/>
          <w:color w:val="231F20"/>
        </w:rPr>
      </w:pPr>
      <w:r>
        <w:rPr>
          <w:rFonts w:ascii="Times New Roman" w:cs="Times New Roman" w:eastAsia="Times New Roman" w:hAnsi="Times New Roman"/>
          <w:sz w:val="19"/>
          <w:szCs w:val="19"/>
          <w:color w:val="231F20"/>
        </w:rPr>
        <w:t>The effect of geopolitical conflicts and global climate change may impact us and our portfolio companies.</w:t>
      </w:r>
    </w:p>
    <w:p>
      <w:pPr>
        <w:sectPr>
          <w:pgSz w:w="12240" w:h="15840" w:orient="portrait"/>
          <w:cols w:equalWidth="0" w:num="1">
            <w:col w:w="10180"/>
          </w:cols>
          <w:pgMar w:left="1020" w:top="1321" w:right="1040" w:bottom="57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231F20"/>
        </w:rPr>
        <w:t>28</w:t>
      </w:r>
    </w:p>
    <w:p>
      <w:pPr>
        <w:sectPr>
          <w:pgSz w:w="12240" w:h="15840" w:orient="portrait"/>
          <w:cols w:equalWidth="0" w:num="1">
            <w:col w:w="10180"/>
          </w:cols>
          <w:pgMar w:left="1020" w:top="1321" w:right="1040" w:bottom="574" w:gutter="0" w:footer="0" w:header="0"/>
          <w:type w:val="continuous"/>
        </w:sectPr>
      </w:pPr>
    </w:p>
    <w:bookmarkStart w:id="28" w:name="page29"/>
    <w:bookmarkEnd w:id="28"/>
    <w:p>
      <w:pPr>
        <w:spacing w:after="0"/>
        <w:rPr>
          <w:sz w:val="20"/>
          <w:szCs w:val="20"/>
          <w:color w:val="auto"/>
        </w:rPr>
      </w:pPr>
      <w:r>
        <w:rPr>
          <w:rFonts w:ascii="Times New Roman" w:cs="Times New Roman" w:eastAsia="Times New Roman" w:hAnsi="Times New Roman"/>
          <w:sz w:val="19"/>
          <w:szCs w:val="19"/>
          <w:b w:val="1"/>
          <w:bCs w:val="1"/>
          <w:color w:val="231F20"/>
        </w:rPr>
        <w:t>Risks Related to Our Business and Structure</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231F20"/>
        </w:rPr>
        <w:t>We are dependent upon management personnel of the Adviser, Sixth Street and their affiliates for our future success.</w:t>
      </w:r>
    </w:p>
    <w:p>
      <w:pPr>
        <w:spacing w:after="0" w:line="110" w:lineRule="exact"/>
        <w:rPr>
          <w:sz w:val="20"/>
          <w:szCs w:val="20"/>
          <w:color w:val="auto"/>
        </w:rPr>
      </w:pPr>
    </w:p>
    <w:p>
      <w:pPr>
        <w:ind w:right="20" w:firstLine="231"/>
        <w:spacing w:after="0" w:line="246" w:lineRule="auto"/>
        <w:rPr>
          <w:sz w:val="20"/>
          <w:szCs w:val="20"/>
          <w:color w:val="auto"/>
        </w:rPr>
      </w:pPr>
      <w:r>
        <w:rPr>
          <w:rFonts w:ascii="Times New Roman" w:cs="Times New Roman" w:eastAsia="Times New Roman" w:hAnsi="Times New Roman"/>
          <w:sz w:val="19"/>
          <w:szCs w:val="19"/>
          <w:color w:val="231F20"/>
        </w:rPr>
        <w:t>We depend on the experience, diligence, skill and network of business contacts of senior members of our Investment Team. Our Investment Team, together with other professionals at Sixth Street and its affiliates, identifies, evaluates, negotiates, structures, closes, monitors and manages our investments. Our success will depend to a significant extent on the continued service and coordination of the senior members of our Investment Team. The senior members of our Investment Team are not contractually restricted from leaving the Adviser. The departure of any of these key personnel, including members of our Adviser’s Investment Review Committee, could have a material adverse effect on us.</w:t>
      </w:r>
    </w:p>
    <w:p>
      <w:pPr>
        <w:spacing w:after="0" w:line="186" w:lineRule="exact"/>
        <w:rPr>
          <w:sz w:val="20"/>
          <w:szCs w:val="20"/>
          <w:color w:val="auto"/>
        </w:rPr>
      </w:pPr>
    </w:p>
    <w:p>
      <w:pPr>
        <w:ind w:right="220" w:firstLine="231"/>
        <w:spacing w:after="0" w:line="250" w:lineRule="auto"/>
        <w:rPr>
          <w:sz w:val="20"/>
          <w:szCs w:val="20"/>
          <w:color w:val="auto"/>
        </w:rPr>
      </w:pPr>
      <w:r>
        <w:rPr>
          <w:rFonts w:ascii="Times New Roman" w:cs="Times New Roman" w:eastAsia="Times New Roman" w:hAnsi="Times New Roman"/>
          <w:sz w:val="19"/>
          <w:szCs w:val="19"/>
          <w:color w:val="231F20"/>
        </w:rPr>
        <w:t>In addition, we cannot assure you that the Adviser will remain our investment adviser or that we will continue to have access to Sixth Street or its investment professionals. The Investment Advisory Agreement may be terminated by either party without penalty on 60 days’ written notice to the other party. The holders of a majority of our outstanding voting securities may also terminate the Investment Advisory Agreement without penalty on 60 days’ written notice.</w:t>
      </w: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231F20"/>
        </w:rPr>
        <w:t>Regulations governing our operation as a BDC affect our ability to, and the way in which we, raise additional capital.</w:t>
      </w:r>
    </w:p>
    <w:p>
      <w:pPr>
        <w:spacing w:after="0" w:line="110" w:lineRule="exact"/>
        <w:rPr>
          <w:sz w:val="20"/>
          <w:szCs w:val="20"/>
          <w:color w:val="auto"/>
        </w:rPr>
      </w:pPr>
    </w:p>
    <w:p>
      <w:pPr>
        <w:ind w:right="240" w:firstLine="231"/>
        <w:spacing w:after="0" w:line="247" w:lineRule="auto"/>
        <w:rPr>
          <w:sz w:val="20"/>
          <w:szCs w:val="20"/>
          <w:color w:val="auto"/>
        </w:rPr>
      </w:pPr>
      <w:r>
        <w:rPr>
          <w:rFonts w:ascii="Times New Roman" w:cs="Times New Roman" w:eastAsia="Times New Roman" w:hAnsi="Times New Roman"/>
          <w:sz w:val="19"/>
          <w:szCs w:val="19"/>
          <w:color w:val="231F20"/>
        </w:rPr>
        <w:t>The 1940 Act imposes numerous constraints on the operations of BDCs. See “</w:t>
      </w:r>
      <w:r>
        <w:rPr>
          <w:rFonts w:ascii="Times New Roman" w:cs="Times New Roman" w:eastAsia="Times New Roman" w:hAnsi="Times New Roman"/>
          <w:sz w:val="19"/>
          <w:szCs w:val="19"/>
          <w:i w:val="1"/>
          <w:iCs w:val="1"/>
          <w:color w:val="231F20"/>
        </w:rPr>
        <w:t>ITEM 1. BUSINESS—Regulation as a Business</w:t>
      </w:r>
      <w:r>
        <w:rPr>
          <w:rFonts w:ascii="Times New Roman" w:cs="Times New Roman" w:eastAsia="Times New Roman" w:hAnsi="Times New Roman"/>
          <w:sz w:val="19"/>
          <w:szCs w:val="19"/>
          <w:color w:val="231F20"/>
        </w:rPr>
        <w:t xml:space="preserve"> </w:t>
      </w:r>
      <w:r>
        <w:rPr>
          <w:rFonts w:ascii="Times New Roman" w:cs="Times New Roman" w:eastAsia="Times New Roman" w:hAnsi="Times New Roman"/>
          <w:sz w:val="19"/>
          <w:szCs w:val="19"/>
          <w:i w:val="1"/>
          <w:iCs w:val="1"/>
          <w:color w:val="231F20"/>
        </w:rPr>
        <w:t>Development Company</w:t>
      </w:r>
      <w:r>
        <w:rPr>
          <w:rFonts w:ascii="Times New Roman" w:cs="Times New Roman" w:eastAsia="Times New Roman" w:hAnsi="Times New Roman"/>
          <w:sz w:val="19"/>
          <w:szCs w:val="19"/>
          <w:color w:val="231F20"/>
        </w:rPr>
        <w:t>” for a discussion of BDC limitations. For example, BDCs are required to invest at least 70% of their total</w:t>
      </w:r>
      <w:r>
        <w:rPr>
          <w:rFonts w:ascii="Times New Roman" w:cs="Times New Roman" w:eastAsia="Times New Roman" w:hAnsi="Times New Roman"/>
          <w:sz w:val="19"/>
          <w:szCs w:val="19"/>
          <w:i w:val="1"/>
          <w:iCs w:val="1"/>
          <w:color w:val="231F20"/>
        </w:rPr>
        <w:t xml:space="preserve"> </w:t>
      </w:r>
      <w:r>
        <w:rPr>
          <w:rFonts w:ascii="Times New Roman" w:cs="Times New Roman" w:eastAsia="Times New Roman" w:hAnsi="Times New Roman"/>
          <w:sz w:val="19"/>
          <w:szCs w:val="19"/>
          <w:color w:val="231F20"/>
        </w:rPr>
        <w:t>assets in securities of nonpublic or thinly traded U.S. companies, cash, cash equivalents, U.S. government securities and other high-quality debt investments that mature in one year or less. These constraints may hinder the Adviser’s ability to take advantage of attractive investment opportunities and to achieve our investment objective.</w:t>
      </w:r>
    </w:p>
    <w:p>
      <w:pPr>
        <w:spacing w:after="0" w:line="188" w:lineRule="exact"/>
        <w:rPr>
          <w:sz w:val="20"/>
          <w:szCs w:val="20"/>
          <w:color w:val="auto"/>
        </w:rPr>
      </w:pPr>
    </w:p>
    <w:p>
      <w:pPr>
        <w:jc w:val="both"/>
        <w:ind w:right="420" w:firstLine="231"/>
        <w:spacing w:after="0" w:line="257" w:lineRule="auto"/>
        <w:rPr>
          <w:sz w:val="20"/>
          <w:szCs w:val="20"/>
          <w:color w:val="auto"/>
        </w:rPr>
      </w:pPr>
      <w:r>
        <w:rPr>
          <w:rFonts w:ascii="Times New Roman" w:cs="Times New Roman" w:eastAsia="Times New Roman" w:hAnsi="Times New Roman"/>
          <w:sz w:val="19"/>
          <w:szCs w:val="19"/>
          <w:color w:val="231F20"/>
        </w:rPr>
        <w:t>We may need to periodically access the debt and equity capital markets to raise cash to fund new investments in excess of our repayments, and we may also need to access the capital markets to refinance existing debt obligations to the extent such maturing obligations are not repaid with availability under our revolving credit facilities or cash flows from operations.</w:t>
      </w:r>
    </w:p>
    <w:p>
      <w:pPr>
        <w:spacing w:after="0" w:line="176" w:lineRule="exact"/>
        <w:rPr>
          <w:sz w:val="20"/>
          <w:szCs w:val="20"/>
          <w:color w:val="auto"/>
        </w:rPr>
      </w:pPr>
    </w:p>
    <w:p>
      <w:pPr>
        <w:ind w:right="40" w:firstLine="231"/>
        <w:spacing w:after="0" w:line="247" w:lineRule="auto"/>
        <w:rPr>
          <w:sz w:val="20"/>
          <w:szCs w:val="20"/>
          <w:color w:val="auto"/>
        </w:rPr>
      </w:pPr>
      <w:r>
        <w:rPr>
          <w:rFonts w:ascii="Times New Roman" w:cs="Times New Roman" w:eastAsia="Times New Roman" w:hAnsi="Times New Roman"/>
          <w:sz w:val="19"/>
          <w:szCs w:val="19"/>
          <w:color w:val="231F20"/>
        </w:rPr>
        <w:t>Regulations governing our operation as a BDC affect our ability to raise additional capital, and the ways in which we can do so. Raising additional capital may expose us to risks, including the typical risks associated with leverage, and may result in dilution to our current stockholders. The 1940 Act limits our ability to incur borrowings and issue debt securities and preferred stock, which we refer to as senior securities, requiring that after any borrowing or issuance the ratio of total assets (less total liabilities other than indebtedness) to total indebtedness plus preferred stock, is at least 150%.</w:t>
      </w:r>
    </w:p>
    <w:p>
      <w:pPr>
        <w:spacing w:after="0" w:line="188" w:lineRule="exact"/>
        <w:rPr>
          <w:sz w:val="20"/>
          <w:szCs w:val="20"/>
          <w:color w:val="auto"/>
        </w:rPr>
      </w:pPr>
    </w:p>
    <w:p>
      <w:pPr>
        <w:ind w:firstLine="231"/>
        <w:spacing w:after="0" w:line="243" w:lineRule="auto"/>
        <w:rPr>
          <w:sz w:val="20"/>
          <w:szCs w:val="20"/>
          <w:color w:val="auto"/>
        </w:rPr>
      </w:pPr>
      <w:r>
        <w:rPr>
          <w:rFonts w:ascii="Times New Roman" w:cs="Times New Roman" w:eastAsia="Times New Roman" w:hAnsi="Times New Roman"/>
          <w:sz w:val="19"/>
          <w:szCs w:val="19"/>
          <w:color w:val="231F20"/>
        </w:rPr>
        <w:t>We may need to continue to borrow from financial institutions and issue additional securities to fund our growth. Unfavorable economic or capital market conditions may increase our funding costs, limit our access to the capital markets or could result in a decision by lenders not to extend credit to us. An inability to successfully access the capital markets may limit our ability to refinance our existing debt obligations as they come due and/or to fully execute our business strategy and could limit our ability to grow or cause us to have to shrink the size of our business, which could decrease our earnings, if any. Consequently, if the value of our assets declines or we are unable to access the capital markets we may be required to sell a portion of our investments and, depending on the nature of our leverage, repay a portion of our indebtedness at a time when this may be disadvantageous. Also, any amounts that we use to service our indebtedness would not be available for distributions to our common stockholders. If we borrow money or issue senior securities, we will be exposed to typical risks associated with leverage, including an increased risk of loss.</w:t>
      </w:r>
    </w:p>
    <w:p>
      <w:pPr>
        <w:spacing w:after="0" w:line="191" w:lineRule="exact"/>
        <w:rPr>
          <w:sz w:val="20"/>
          <w:szCs w:val="20"/>
          <w:color w:val="auto"/>
        </w:rPr>
      </w:pPr>
    </w:p>
    <w:p>
      <w:pPr>
        <w:ind w:right="40" w:firstLine="231"/>
        <w:spacing w:after="0" w:line="243" w:lineRule="auto"/>
        <w:rPr>
          <w:sz w:val="20"/>
          <w:szCs w:val="20"/>
          <w:color w:val="auto"/>
        </w:rPr>
      </w:pPr>
      <w:r>
        <w:rPr>
          <w:rFonts w:ascii="Times New Roman" w:cs="Times New Roman" w:eastAsia="Times New Roman" w:hAnsi="Times New Roman"/>
          <w:sz w:val="19"/>
          <w:szCs w:val="19"/>
          <w:color w:val="231F20"/>
        </w:rPr>
        <w:t>If we issue preferred stock, the preferred stock would rank senior to common stock in our capital structure. Preferred stockholders would have separate voting rights on certain matters and may have other rights, preferences or privileges more favorable than those of our common stockholders. The issuance of preferred stock could have the effect of delaying, deferring or preventing a transaction or a change of control that might involve a premium price for holders of our common stock or otherwise be in your best interest. Holders of our common stock will directly or indirectly bear all of the costs associated with offering and servicing any preferred stock that we issue. In addition, any interests of preferred stockholders may not necessarily align with the interests of holders of our common stock and the rights of holders of shares of preferred stock to receive dividends would be senior to those of holders of shares of our common stock.</w:t>
      </w:r>
    </w:p>
    <w:p>
      <w:pPr>
        <w:spacing w:after="0" w:line="195" w:lineRule="exact"/>
        <w:rPr>
          <w:sz w:val="20"/>
          <w:szCs w:val="20"/>
          <w:color w:val="auto"/>
        </w:rPr>
      </w:pPr>
    </w:p>
    <w:p>
      <w:pPr>
        <w:ind w:right="100" w:firstLine="231"/>
        <w:spacing w:after="0" w:line="260" w:lineRule="auto"/>
        <w:rPr>
          <w:sz w:val="20"/>
          <w:szCs w:val="20"/>
          <w:color w:val="auto"/>
        </w:rPr>
      </w:pPr>
      <w:r>
        <w:rPr>
          <w:rFonts w:ascii="Times New Roman" w:cs="Times New Roman" w:eastAsia="Times New Roman" w:hAnsi="Times New Roman"/>
          <w:sz w:val="18"/>
          <w:szCs w:val="18"/>
          <w:color w:val="231F20"/>
        </w:rPr>
        <w:t>Our Board may decide to issue additional common stock to finance our operations rather than issuing debt or other senior securities. However, we generally are not able to issue and sell our common stock at a price below net asset value per share. We may, however, elect to issue and sell our common stock, or warrants, options or rights to acquire our common stock, at a price below the then-current net asset value of our common stock if our Board determines that the sale is in our best interests and the best interests of our stockholders, and our stockholders have approved our policy and practice of making these sales within the preceding 12 months. Pursuant to approval granted at a special meeting of stockholders held on May 22, 2024, we are currently permitted to sell or otherwise issue shares of our common stock at a price below our then-current net asset value per share, subject to the approval of our</w:t>
      </w:r>
    </w:p>
    <w:p>
      <w:pPr>
        <w:sectPr>
          <w:pgSz w:w="12240" w:h="15840" w:orient="portrait"/>
          <w:cols w:equalWidth="0" w:num="1">
            <w:col w:w="10200"/>
          </w:cols>
          <w:pgMar w:left="1020" w:top="1315" w:right="1020" w:bottom="574" w:gutter="0" w:footer="0" w:header="0"/>
        </w:sect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231F20"/>
        </w:rPr>
        <w:t>29</w:t>
      </w:r>
    </w:p>
    <w:p>
      <w:pPr>
        <w:sectPr>
          <w:pgSz w:w="12240" w:h="15840" w:orient="portrait"/>
          <w:cols w:equalWidth="0" w:num="1">
            <w:col w:w="10200"/>
          </w:cols>
          <w:pgMar w:left="1020" w:top="1315" w:right="1020" w:bottom="574" w:gutter="0" w:footer="0" w:header="0"/>
          <w:type w:val="continuous"/>
        </w:sectPr>
      </w:pPr>
    </w:p>
    <w:bookmarkStart w:id="29" w:name="page30"/>
    <w:bookmarkEnd w:id="29"/>
    <w:p>
      <w:pPr>
        <w:ind w:right="160"/>
        <w:spacing w:after="0" w:line="242" w:lineRule="auto"/>
        <w:rPr>
          <w:sz w:val="20"/>
          <w:szCs w:val="20"/>
          <w:color w:val="auto"/>
        </w:rPr>
      </w:pPr>
      <w:r>
        <w:rPr>
          <w:rFonts w:ascii="Times New Roman" w:cs="Times New Roman" w:eastAsia="Times New Roman" w:hAnsi="Times New Roman"/>
          <w:sz w:val="19"/>
          <w:szCs w:val="19"/>
          <w:color w:val="231F20"/>
        </w:rPr>
        <w:t>Board and certain other conditions. Such stockholder approval expires on May 22, 2025. We may in the future seek such approval again; however, there is no assurance such approval will be obtained. In any such case, the price at which our securities are to be issued and sold may not be less than a price that, in the determination of our Board, closely approximates the market value of those securities (less any distribution commission or discount). In the event we sell shares of our common stock at a price below net asset value per share, existing stockholders will experience net asset value dilution. This dilution would occur as a result of the sale of shares at a price below the then current net asset value per share of our common stock and would cause a proportionately greater decrease in the stockholders’ interest in our earnings and assets and their voting interest in us than the increase in our assets resulting from such issuance. As a result of any such dilution, our market price per share may decline. Because the number of shares of common stock that could be so issued and the timing of any issuance is not currently known, the actual dilutive effect cannot be predicted.</w:t>
      </w:r>
    </w:p>
    <w:p>
      <w:pPr>
        <w:spacing w:after="0" w:line="196" w:lineRule="exact"/>
        <w:rPr>
          <w:sz w:val="20"/>
          <w:szCs w:val="20"/>
          <w:color w:val="auto"/>
        </w:rPr>
      </w:pPr>
    </w:p>
    <w:p>
      <w:pPr>
        <w:ind w:firstLine="231"/>
        <w:spacing w:after="0" w:line="241" w:lineRule="auto"/>
        <w:rPr>
          <w:sz w:val="20"/>
          <w:szCs w:val="20"/>
          <w:color w:val="auto"/>
        </w:rPr>
      </w:pPr>
      <w:r>
        <w:rPr>
          <w:rFonts w:ascii="Times New Roman" w:cs="Times New Roman" w:eastAsia="Times New Roman" w:hAnsi="Times New Roman"/>
          <w:sz w:val="19"/>
          <w:szCs w:val="19"/>
          <w:color w:val="231F20"/>
        </w:rPr>
        <w:t>In addition to issuing securities to raise capital as described above, we could securitize our investments to generate cash for funding new investments. To securitize our investments, we likely would create a wholly owned subsidiary, contribute a pool of loans to the subsidiary and have the subsidiary issue primarily investment grade debt securities to purchasers who we would expect would be willing to accept a substantially lower interest rate than the loans earn. We would retain all or a portion of the equity in the securitized pool of loans. Our retained equity would be exposed to any losses on the portfolio of investments before any of the debt securities would be exposed to the losses. An inability to successfully securitize our investment portfolio could limit our ability to grow or fully execute our business and could adversely affect our earnings, if any. The successful securitization of our investment could expose us to losses because the portions of the securitized investments that we would typically retain tend to be those that are riskier and more apt to generate losses. The 1940 Act also may impose restrictions on the structure of any securitization. In connection with any future securitization of investments, we may incur greater set-up and administration fees relating to such vehicles than we have in connection with financing of our investments in the past. See “</w:t>
      </w:r>
      <w:r>
        <w:rPr>
          <w:rFonts w:ascii="Times New Roman" w:cs="Times New Roman" w:eastAsia="Times New Roman" w:hAnsi="Times New Roman"/>
          <w:sz w:val="19"/>
          <w:szCs w:val="19"/>
          <w:i w:val="1"/>
          <w:iCs w:val="1"/>
          <w:color w:val="231F20"/>
        </w:rPr>
        <w:t>—Risks Related to Our Portfolio Company Investments</w:t>
      </w:r>
      <w:r>
        <w:rPr>
          <w:rFonts w:ascii="Times New Roman" w:cs="Times New Roman" w:eastAsia="Times New Roman" w:hAnsi="Times New Roman"/>
          <w:sz w:val="19"/>
          <w:szCs w:val="19"/>
          <w:b w:val="1"/>
          <w:bCs w:val="1"/>
          <w:color w:val="231F20"/>
        </w:rPr>
        <w:t>—</w:t>
      </w:r>
      <w:r>
        <w:rPr>
          <w:rFonts w:ascii="Times New Roman" w:cs="Times New Roman" w:eastAsia="Times New Roman" w:hAnsi="Times New Roman"/>
          <w:sz w:val="19"/>
          <w:szCs w:val="19"/>
          <w:i w:val="1"/>
          <w:iCs w:val="1"/>
          <w:color w:val="231F20"/>
        </w:rPr>
        <w:t>We may securitize certain</w:t>
      </w:r>
      <w:r>
        <w:rPr>
          <w:rFonts w:ascii="Times New Roman" w:cs="Times New Roman" w:eastAsia="Times New Roman" w:hAnsi="Times New Roman"/>
          <w:sz w:val="19"/>
          <w:szCs w:val="19"/>
          <w:color w:val="231F20"/>
        </w:rPr>
        <w:t xml:space="preserve"> </w:t>
      </w:r>
      <w:r>
        <w:rPr>
          <w:rFonts w:ascii="Times New Roman" w:cs="Times New Roman" w:eastAsia="Times New Roman" w:hAnsi="Times New Roman"/>
          <w:sz w:val="19"/>
          <w:szCs w:val="19"/>
          <w:i w:val="1"/>
          <w:iCs w:val="1"/>
          <w:color w:val="231F20"/>
        </w:rPr>
        <w:t>of our investments, which may subject us to certain structured financing risks</w:t>
      </w:r>
      <w:r>
        <w:rPr>
          <w:rFonts w:ascii="Times New Roman" w:cs="Times New Roman" w:eastAsia="Times New Roman" w:hAnsi="Times New Roman"/>
          <w:sz w:val="19"/>
          <w:szCs w:val="19"/>
          <w:color w:val="231F20"/>
        </w:rPr>
        <w:t>.”</w:t>
      </w: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231F20"/>
        </w:rPr>
        <w:t>We borrow money, which magnifies the potential for gain or loss and increases the risk of investing in us.</w:t>
      </w:r>
    </w:p>
    <w:p>
      <w:pPr>
        <w:spacing w:after="0" w:line="110" w:lineRule="exact"/>
        <w:rPr>
          <w:sz w:val="20"/>
          <w:szCs w:val="20"/>
          <w:color w:val="auto"/>
        </w:rPr>
      </w:pPr>
    </w:p>
    <w:p>
      <w:pPr>
        <w:ind w:firstLine="231"/>
        <w:spacing w:after="0" w:line="241" w:lineRule="auto"/>
        <w:rPr>
          <w:sz w:val="20"/>
          <w:szCs w:val="20"/>
          <w:color w:val="auto"/>
        </w:rPr>
      </w:pPr>
      <w:r>
        <w:rPr>
          <w:rFonts w:ascii="Times New Roman" w:cs="Times New Roman" w:eastAsia="Times New Roman" w:hAnsi="Times New Roman"/>
          <w:sz w:val="19"/>
          <w:szCs w:val="19"/>
          <w:color w:val="231F20"/>
        </w:rPr>
        <w:t>As part of our business strategy, we borrow from, and may in the future issue additional senior debt securities to, banks, insurance companies and other lenders. Holders of these loans or senior securities would have fixed-dollar claims on our assets that have priority over the claims of our stockholders. If the value of our assets decreases, leverage will cause our net asset value to decline more sharply than it otherwise would have without leverage. Similarly, any decrease in our income would cause our net income to decline more sharply than it would have if we had not borrowed. This decline could negatively affect our ability to make dividend payments on our common stock. Our ability to service our borrowings depends largely on our financial performance and is subject to prevailing economic conditions and competitive pressures. In addition, the Management Fee is payable based on our gross assets, including cash and assets acquired through the use of leverage, which may give our Adviser an incentive to use leverage to make additional investments. See “</w:t>
      </w:r>
      <w:r>
        <w:rPr>
          <w:rFonts w:ascii="Times New Roman" w:cs="Times New Roman" w:eastAsia="Times New Roman" w:hAnsi="Times New Roman"/>
          <w:sz w:val="19"/>
          <w:szCs w:val="19"/>
          <w:i w:val="1"/>
          <w:iCs w:val="1"/>
          <w:color w:val="231F20"/>
        </w:rPr>
        <w:t>—Risks Related to Our Business and Structure—Even in the event the value of your investment declines, the</w:t>
      </w:r>
      <w:r>
        <w:rPr>
          <w:rFonts w:ascii="Times New Roman" w:cs="Times New Roman" w:eastAsia="Times New Roman" w:hAnsi="Times New Roman"/>
          <w:sz w:val="19"/>
          <w:szCs w:val="19"/>
          <w:color w:val="231F20"/>
        </w:rPr>
        <w:t xml:space="preserve"> </w:t>
      </w:r>
      <w:r>
        <w:rPr>
          <w:rFonts w:ascii="Times New Roman" w:cs="Times New Roman" w:eastAsia="Times New Roman" w:hAnsi="Times New Roman"/>
          <w:sz w:val="19"/>
          <w:szCs w:val="19"/>
          <w:i w:val="1"/>
          <w:iCs w:val="1"/>
          <w:color w:val="231F20"/>
        </w:rPr>
        <w:t>Management Fee and, in certain circumstances, the Incentive Fee will still be payable to the Adviser</w:t>
      </w:r>
      <w:r>
        <w:rPr>
          <w:rFonts w:ascii="Times New Roman" w:cs="Times New Roman" w:eastAsia="Times New Roman" w:hAnsi="Times New Roman"/>
          <w:sz w:val="19"/>
          <w:szCs w:val="19"/>
          <w:color w:val="231F20"/>
        </w:rPr>
        <w:t>.” The amount of leverage that we</w:t>
      </w:r>
      <w:r>
        <w:rPr>
          <w:rFonts w:ascii="Times New Roman" w:cs="Times New Roman" w:eastAsia="Times New Roman" w:hAnsi="Times New Roman"/>
          <w:sz w:val="19"/>
          <w:szCs w:val="19"/>
          <w:i w:val="1"/>
          <w:iCs w:val="1"/>
          <w:color w:val="231F20"/>
        </w:rPr>
        <w:t xml:space="preserve"> </w:t>
      </w:r>
      <w:r>
        <w:rPr>
          <w:rFonts w:ascii="Times New Roman" w:cs="Times New Roman" w:eastAsia="Times New Roman" w:hAnsi="Times New Roman"/>
          <w:sz w:val="19"/>
          <w:szCs w:val="19"/>
          <w:color w:val="231F20"/>
        </w:rPr>
        <w:t>employ will depend on our Adviser’s and our Board’s assessment of market and other factors at the time of any proposed borrowing. We cannot assure you that we will be able to obtain credit at all or on terms acceptable to us.</w:t>
      </w:r>
    </w:p>
    <w:p>
      <w:pPr>
        <w:spacing w:after="0" w:line="201" w:lineRule="exact"/>
        <w:rPr>
          <w:sz w:val="20"/>
          <w:szCs w:val="20"/>
          <w:color w:val="auto"/>
        </w:rPr>
      </w:pPr>
    </w:p>
    <w:p>
      <w:pPr>
        <w:ind w:firstLine="231"/>
        <w:spacing w:after="0" w:line="243" w:lineRule="auto"/>
        <w:rPr>
          <w:sz w:val="20"/>
          <w:szCs w:val="20"/>
          <w:color w:val="auto"/>
        </w:rPr>
      </w:pPr>
      <w:r>
        <w:rPr>
          <w:rFonts w:ascii="Times New Roman" w:cs="Times New Roman" w:eastAsia="Times New Roman" w:hAnsi="Times New Roman"/>
          <w:sz w:val="19"/>
          <w:szCs w:val="19"/>
          <w:color w:val="231F20"/>
        </w:rPr>
        <w:t>Our credit facilities and indentures governing our indebtedness also impose financial and operating covenants that restrict our business activities, remedies on default and similar matters. As of the date of this Annual Report, we are in compliance with the covenants of our credit facilities and indentures. However, our continued compliance with these covenants depends on many factors, some of which are beyond our control. Accordingly, although we believe we will continue to be in compliance, we cannot assure you that we will continue to comply with the covenants in our credit facilities and indentures. Failure to comply with these covenants could result in a default. If we were unable to obtain a waiver of a default from the lenders or holders of that indebtedness, as applicable, those lenders or holders could accelerate repayment under that indebtedness. An acceleration could have a material adverse impact on our business, financial condition and results of operations. Lastly, we may be unable to obtain additional leverage, which would, in turn, affect our return on capital.</w:t>
      </w:r>
    </w:p>
    <w:p>
      <w:pPr>
        <w:spacing w:after="0" w:line="191" w:lineRule="exact"/>
        <w:rPr>
          <w:sz w:val="20"/>
          <w:szCs w:val="20"/>
          <w:color w:val="auto"/>
        </w:rPr>
      </w:pPr>
    </w:p>
    <w:p>
      <w:pPr>
        <w:ind w:right="20" w:firstLine="231"/>
        <w:spacing w:after="0" w:line="257" w:lineRule="auto"/>
        <w:rPr>
          <w:sz w:val="20"/>
          <w:szCs w:val="20"/>
          <w:color w:val="auto"/>
        </w:rPr>
      </w:pPr>
      <w:r>
        <w:rPr>
          <w:rFonts w:ascii="Times New Roman" w:cs="Times New Roman" w:eastAsia="Times New Roman" w:hAnsi="Times New Roman"/>
          <w:sz w:val="19"/>
          <w:szCs w:val="19"/>
          <w:color w:val="231F20"/>
        </w:rPr>
        <w:t>As of December 31, 2024, we had $1,954.1 million principal amount of outstanding indebtedness, which had an annualized interest cost of 7.5% under the terms of our debt, excluding fees (such as fees on undrawn amounts and amortization of upfront fees) and giving effect to the swap-adjusted interest rates on our 2026 Notes, 2028 Notes and 2029 Notes.</w:t>
      </w:r>
    </w:p>
    <w:p>
      <w:pPr>
        <w:spacing w:after="0" w:line="176" w:lineRule="exact"/>
        <w:rPr>
          <w:sz w:val="20"/>
          <w:szCs w:val="20"/>
          <w:color w:val="auto"/>
        </w:rPr>
      </w:pPr>
    </w:p>
    <w:p>
      <w:pPr>
        <w:jc w:val="both"/>
        <w:ind w:right="60" w:firstLine="231"/>
        <w:spacing w:after="0" w:line="257" w:lineRule="auto"/>
        <w:rPr>
          <w:sz w:val="20"/>
          <w:szCs w:val="20"/>
          <w:color w:val="auto"/>
        </w:rPr>
      </w:pPr>
      <w:r>
        <w:rPr>
          <w:rFonts w:ascii="Times New Roman" w:cs="Times New Roman" w:eastAsia="Times New Roman" w:hAnsi="Times New Roman"/>
          <w:sz w:val="19"/>
          <w:szCs w:val="19"/>
          <w:color w:val="231F20"/>
        </w:rPr>
        <w:t>As of December 31, 2024, as adjusted to give effect to the interest rate swaps, the interest rate on the 2026 Notes was three-month SOFR plus 2.17%, the interest rate on the 2028 Notes was three-month SOFR plus 2.99%, and the interest rate on the 2029 Notes was three-month SOFR plus 2.44%.</w:t>
      </w:r>
    </w:p>
    <w:p>
      <w:pPr>
        <w:spacing w:after="0" w:line="176" w:lineRule="exact"/>
        <w:rPr>
          <w:sz w:val="20"/>
          <w:szCs w:val="20"/>
          <w:color w:val="auto"/>
        </w:rPr>
      </w:pPr>
    </w:p>
    <w:p>
      <w:pPr>
        <w:ind w:right="140" w:firstLine="231"/>
        <w:spacing w:after="0" w:line="304" w:lineRule="auto"/>
        <w:rPr>
          <w:sz w:val="20"/>
          <w:szCs w:val="20"/>
          <w:color w:val="auto"/>
        </w:rPr>
      </w:pPr>
      <w:r>
        <w:rPr>
          <w:rFonts w:ascii="Times New Roman" w:cs="Times New Roman" w:eastAsia="Times New Roman" w:hAnsi="Times New Roman"/>
          <w:sz w:val="18"/>
          <w:szCs w:val="18"/>
          <w:color w:val="231F20"/>
        </w:rPr>
        <w:t>For us to cover these annualized interest payments on indebtedness, we must achieve annual returns on our investments of at least 3.9%. Since we generally pay interest at a floating rate on our debt, an increase in interest rates will generally increase our borrowing</w:t>
      </w:r>
    </w:p>
    <w:p>
      <w:pPr>
        <w:sectPr>
          <w:pgSz w:w="12240" w:h="15840" w:orient="portrait"/>
          <w:cols w:equalWidth="0" w:num="1">
            <w:col w:w="10200"/>
          </w:cols>
          <w:pgMar w:left="1020" w:top="1317" w:right="1020" w:bottom="574" w:gutter="0" w:footer="0" w:header="0"/>
        </w:sectPr>
      </w:pP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231F20"/>
        </w:rPr>
        <w:t>30</w:t>
      </w:r>
    </w:p>
    <w:p>
      <w:pPr>
        <w:sectPr>
          <w:pgSz w:w="12240" w:h="15840" w:orient="portrait"/>
          <w:cols w:equalWidth="0" w:num="1">
            <w:col w:w="10200"/>
          </w:cols>
          <w:pgMar w:left="1020" w:top="1317" w:right="1020" w:bottom="574" w:gutter="0" w:footer="0" w:header="0"/>
          <w:type w:val="continuous"/>
        </w:sectPr>
      </w:pPr>
    </w:p>
    <w:bookmarkStart w:id="30" w:name="page31"/>
    <w:bookmarkEnd w:id="30"/>
    <w:p>
      <w:pPr>
        <w:ind w:right="600"/>
        <w:spacing w:after="0" w:line="275" w:lineRule="auto"/>
        <w:rPr>
          <w:sz w:val="20"/>
          <w:szCs w:val="20"/>
          <w:color w:val="auto"/>
        </w:rPr>
      </w:pPr>
      <w:r>
        <w:rPr>
          <w:rFonts w:ascii="Times New Roman" w:cs="Times New Roman" w:eastAsia="Times New Roman" w:hAnsi="Times New Roman"/>
          <w:sz w:val="19"/>
          <w:szCs w:val="19"/>
          <w:color w:val="231F20"/>
        </w:rPr>
        <w:t>costs. We expect that our annualized interest cost and returns required to cover interest will increase if we issue additional debt securities.</w:t>
      </w:r>
    </w:p>
    <w:p>
      <w:pPr>
        <w:spacing w:after="0" w:line="153" w:lineRule="exact"/>
        <w:rPr>
          <w:sz w:val="20"/>
          <w:szCs w:val="20"/>
          <w:color w:val="auto"/>
        </w:rPr>
      </w:pPr>
    </w:p>
    <w:p>
      <w:pPr>
        <w:ind w:right="20" w:firstLine="231"/>
        <w:spacing w:after="0" w:line="238" w:lineRule="auto"/>
        <w:rPr>
          <w:sz w:val="20"/>
          <w:szCs w:val="20"/>
          <w:color w:val="auto"/>
        </w:rPr>
      </w:pPr>
      <w:r>
        <w:rPr>
          <w:rFonts w:ascii="Times New Roman" w:cs="Times New Roman" w:eastAsia="Times New Roman" w:hAnsi="Times New Roman"/>
          <w:sz w:val="19"/>
          <w:szCs w:val="19"/>
          <w:color w:val="231F20"/>
        </w:rPr>
        <w:t>In order to assist investors in understanding the effects of leverage, the following table illustrates the effect of leverage on returns from an investment in our common stock assuming various annual returns, net of expenses. Leverage generally magnifies the return of stockholders when the portfolio return is positive and magnifies their losses when the portfolio return is negative. Actual returns may be greater or less than those appearing in the table. The calculations in the table below are hypothetical and actual returns may be higher or lower than those appearing below.</w:t>
      </w: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231F20"/>
        </w:rPr>
        <w:t>Effects of Leverage Based on Actual Amount of Borrowings Incurred by us as of December 31, 2024</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4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300" w:type="dxa"/>
            <w:vAlign w:val="bottom"/>
            <w:gridSpan w:val="5"/>
          </w:tcPr>
          <w:p>
            <w:pPr>
              <w:jc w:val="center"/>
              <w:spacing w:after="0"/>
              <w:rPr>
                <w:sz w:val="20"/>
                <w:szCs w:val="20"/>
                <w:color w:val="auto"/>
              </w:rPr>
            </w:pPr>
            <w:r>
              <w:rPr>
                <w:rFonts w:ascii="Times New Roman" w:cs="Times New Roman" w:eastAsia="Times New Roman" w:hAnsi="Times New Roman"/>
                <w:sz w:val="15"/>
                <w:szCs w:val="15"/>
                <w:b w:val="1"/>
                <w:bCs w:val="1"/>
                <w:color w:val="231F20"/>
              </w:rPr>
              <w:t>Assumed Return on Our Portfolio</w:t>
            </w: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174"/>
        </w:trPr>
        <w:tc>
          <w:tcPr>
            <w:tcW w:w="4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40" w:type="dxa"/>
            <w:vAlign w:val="bottom"/>
            <w:gridSpan w:val="3"/>
          </w:tcPr>
          <w:p>
            <w:pPr>
              <w:jc w:val="center"/>
              <w:spacing w:after="0"/>
              <w:rPr>
                <w:sz w:val="20"/>
                <w:szCs w:val="20"/>
                <w:color w:val="auto"/>
              </w:rPr>
            </w:pPr>
            <w:r>
              <w:rPr>
                <w:rFonts w:ascii="Times New Roman" w:cs="Times New Roman" w:eastAsia="Times New Roman" w:hAnsi="Times New Roman"/>
                <w:sz w:val="15"/>
                <w:szCs w:val="15"/>
                <w:b w:val="1"/>
                <w:bCs w:val="1"/>
                <w:color w:val="231F20"/>
                <w:w w:val="99"/>
              </w:rPr>
              <w:t xml:space="preserve">(net of expenses) </w:t>
            </w:r>
            <w:r>
              <w:rPr>
                <w:rFonts w:ascii="Times New Roman" w:cs="Times New Roman" w:eastAsia="Times New Roman" w:hAnsi="Times New Roman"/>
                <w:sz w:val="9"/>
                <w:szCs w:val="9"/>
                <w:b w:val="1"/>
                <w:bCs w:val="1"/>
                <w:color w:val="231F20"/>
                <w:w w:val="99"/>
              </w:rPr>
              <w:t>(1)</w:t>
            </w: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191"/>
        </w:trPr>
        <w:tc>
          <w:tcPr>
            <w:tcW w:w="4520" w:type="dxa"/>
            <w:vAlign w:val="bottom"/>
          </w:tcPr>
          <w:p>
            <w:pPr>
              <w:spacing w:after="0"/>
              <w:rPr>
                <w:sz w:val="16"/>
                <w:szCs w:val="16"/>
                <w:color w:val="auto"/>
              </w:rPr>
            </w:pPr>
          </w:p>
        </w:tc>
        <w:tc>
          <w:tcPr>
            <w:tcW w:w="1140" w:type="dxa"/>
            <w:vAlign w:val="bottom"/>
            <w:gridSpan w:val="2"/>
          </w:tcPr>
          <w:p>
            <w:pPr>
              <w:jc w:val="right"/>
              <w:ind w:right="246"/>
              <w:spacing w:after="0"/>
              <w:rPr>
                <w:sz w:val="20"/>
                <w:szCs w:val="20"/>
                <w:color w:val="auto"/>
              </w:rPr>
            </w:pPr>
            <w:r>
              <w:rPr>
                <w:rFonts w:ascii="Times New Roman" w:cs="Times New Roman" w:eastAsia="Times New Roman" w:hAnsi="Times New Roman"/>
                <w:sz w:val="15"/>
                <w:szCs w:val="15"/>
                <w:b w:val="1"/>
                <w:bCs w:val="1"/>
                <w:color w:val="231F20"/>
              </w:rPr>
              <w:t>-10%</w:t>
            </w:r>
          </w:p>
        </w:tc>
        <w:tc>
          <w:tcPr>
            <w:tcW w:w="1140" w:type="dxa"/>
            <w:vAlign w:val="bottom"/>
            <w:gridSpan w:val="2"/>
          </w:tcPr>
          <w:p>
            <w:pPr>
              <w:jc w:val="right"/>
              <w:ind w:right="295"/>
              <w:spacing w:after="0"/>
              <w:rPr>
                <w:sz w:val="20"/>
                <w:szCs w:val="20"/>
                <w:color w:val="auto"/>
              </w:rPr>
            </w:pPr>
            <w:r>
              <w:rPr>
                <w:rFonts w:ascii="Times New Roman" w:cs="Times New Roman" w:eastAsia="Times New Roman" w:hAnsi="Times New Roman"/>
                <w:sz w:val="15"/>
                <w:szCs w:val="15"/>
                <w:b w:val="1"/>
                <w:bCs w:val="1"/>
                <w:color w:val="231F20"/>
              </w:rPr>
              <w:t>-5%</w:t>
            </w:r>
          </w:p>
        </w:tc>
        <w:tc>
          <w:tcPr>
            <w:tcW w:w="1120" w:type="dxa"/>
            <w:vAlign w:val="bottom"/>
            <w:gridSpan w:val="2"/>
          </w:tcPr>
          <w:p>
            <w:pPr>
              <w:jc w:val="right"/>
              <w:ind w:right="306"/>
              <w:spacing w:after="0"/>
              <w:rPr>
                <w:sz w:val="20"/>
                <w:szCs w:val="20"/>
                <w:color w:val="auto"/>
              </w:rPr>
            </w:pPr>
            <w:r>
              <w:rPr>
                <w:rFonts w:ascii="Times New Roman" w:cs="Times New Roman" w:eastAsia="Times New Roman" w:hAnsi="Times New Roman"/>
                <w:sz w:val="15"/>
                <w:szCs w:val="15"/>
                <w:b w:val="1"/>
                <w:bCs w:val="1"/>
                <w:color w:val="231F20"/>
              </w:rPr>
              <w:t>0%</w:t>
            </w:r>
          </w:p>
        </w:tc>
        <w:tc>
          <w:tcPr>
            <w:tcW w:w="120" w:type="dxa"/>
            <w:vAlign w:val="bottom"/>
          </w:tcPr>
          <w:p>
            <w:pPr>
              <w:spacing w:after="0"/>
              <w:rPr>
                <w:sz w:val="16"/>
                <w:szCs w:val="16"/>
                <w:color w:val="auto"/>
              </w:rPr>
            </w:pPr>
          </w:p>
        </w:tc>
        <w:tc>
          <w:tcPr>
            <w:tcW w:w="1020" w:type="dxa"/>
            <w:vAlign w:val="bottom"/>
          </w:tcPr>
          <w:p>
            <w:pPr>
              <w:jc w:val="right"/>
              <w:ind w:right="315"/>
              <w:spacing w:after="0"/>
              <w:rPr>
                <w:sz w:val="20"/>
                <w:szCs w:val="20"/>
                <w:color w:val="auto"/>
              </w:rPr>
            </w:pPr>
            <w:r>
              <w:rPr>
                <w:rFonts w:ascii="Times New Roman" w:cs="Times New Roman" w:eastAsia="Times New Roman" w:hAnsi="Times New Roman"/>
                <w:sz w:val="15"/>
                <w:szCs w:val="15"/>
                <w:b w:val="1"/>
                <w:bCs w:val="1"/>
                <w:color w:val="231F20"/>
              </w:rPr>
              <w:t>5%</w:t>
            </w:r>
          </w:p>
        </w:tc>
        <w:tc>
          <w:tcPr>
            <w:tcW w:w="1140" w:type="dxa"/>
            <w:vAlign w:val="bottom"/>
            <w:gridSpan w:val="2"/>
          </w:tcPr>
          <w:p>
            <w:pPr>
              <w:jc w:val="right"/>
              <w:ind w:right="266"/>
              <w:spacing w:after="0"/>
              <w:rPr>
                <w:sz w:val="20"/>
                <w:szCs w:val="20"/>
                <w:color w:val="auto"/>
              </w:rPr>
            </w:pPr>
            <w:r>
              <w:rPr>
                <w:rFonts w:ascii="Times New Roman" w:cs="Times New Roman" w:eastAsia="Times New Roman" w:hAnsi="Times New Roman"/>
                <w:sz w:val="15"/>
                <w:szCs w:val="15"/>
                <w:b w:val="1"/>
                <w:bCs w:val="1"/>
                <w:color w:val="231F20"/>
              </w:rPr>
              <w:t>10%</w:t>
            </w:r>
          </w:p>
        </w:tc>
      </w:tr>
      <w:tr>
        <w:trPr>
          <w:trHeight w:val="216"/>
        </w:trPr>
        <w:tc>
          <w:tcPr>
            <w:tcW w:w="4520" w:type="dxa"/>
            <w:vAlign w:val="bottom"/>
            <w:tcBorders>
              <w:top w:val="single" w:sz="8" w:color="CDEAF4"/>
            </w:tcBorders>
            <w:shd w:val="clear" w:color="auto" w:fill="CDEAF4"/>
          </w:tcPr>
          <w:p>
            <w:pPr>
              <w:spacing w:after="0" w:line="216" w:lineRule="exact"/>
              <w:rPr>
                <w:sz w:val="20"/>
                <w:szCs w:val="20"/>
                <w:color w:val="auto"/>
              </w:rPr>
            </w:pPr>
            <w:r>
              <w:rPr>
                <w:rFonts w:ascii="Times New Roman" w:cs="Times New Roman" w:eastAsia="Times New Roman" w:hAnsi="Times New Roman"/>
                <w:sz w:val="19"/>
                <w:szCs w:val="19"/>
                <w:color w:val="231F20"/>
              </w:rPr>
              <w:t xml:space="preserve">Corresponding return to stockholder </w:t>
            </w:r>
            <w:r>
              <w:rPr>
                <w:rFonts w:ascii="Times New Roman" w:cs="Times New Roman" w:eastAsia="Times New Roman" w:hAnsi="Times New Roman"/>
                <w:sz w:val="24"/>
                <w:szCs w:val="24"/>
                <w:color w:val="231F20"/>
                <w:vertAlign w:val="superscript"/>
              </w:rPr>
              <w:t>(2)</w:t>
            </w:r>
          </w:p>
        </w:tc>
        <w:tc>
          <w:tcPr>
            <w:tcW w:w="100" w:type="dxa"/>
            <w:vAlign w:val="bottom"/>
            <w:tcBorders>
              <w:top w:val="single" w:sz="8" w:color="CDEAF4"/>
            </w:tcBorders>
            <w:shd w:val="clear" w:color="auto" w:fill="CDEAF4"/>
          </w:tcPr>
          <w:p>
            <w:pPr>
              <w:spacing w:after="0"/>
              <w:rPr>
                <w:sz w:val="18"/>
                <w:szCs w:val="18"/>
                <w:color w:val="auto"/>
              </w:rPr>
            </w:pPr>
          </w:p>
        </w:tc>
        <w:tc>
          <w:tcPr>
            <w:tcW w:w="1040" w:type="dxa"/>
            <w:vAlign w:val="bottom"/>
            <w:tcBorders>
              <w:top w:val="single" w:sz="8" w:color="231F20"/>
            </w:tcBorders>
            <w:shd w:val="clear" w:color="auto" w:fill="CDEAF4"/>
          </w:tcPr>
          <w:p>
            <w:pPr>
              <w:jc w:val="right"/>
              <w:ind w:right="106"/>
              <w:spacing w:after="0" w:line="216" w:lineRule="exact"/>
              <w:rPr>
                <w:sz w:val="20"/>
                <w:szCs w:val="20"/>
                <w:color w:val="auto"/>
              </w:rPr>
            </w:pPr>
            <w:r>
              <w:rPr>
                <w:rFonts w:ascii="Times New Roman" w:cs="Times New Roman" w:eastAsia="Times New Roman" w:hAnsi="Times New Roman"/>
                <w:sz w:val="19"/>
                <w:szCs w:val="19"/>
                <w:color w:val="231F20"/>
              </w:rPr>
              <w:t>(30.8%)</w:t>
            </w:r>
          </w:p>
        </w:tc>
        <w:tc>
          <w:tcPr>
            <w:tcW w:w="100" w:type="dxa"/>
            <w:vAlign w:val="bottom"/>
            <w:tcBorders>
              <w:top w:val="single" w:sz="8" w:color="CDEAF4"/>
            </w:tcBorders>
            <w:shd w:val="clear" w:color="auto" w:fill="CDEAF4"/>
          </w:tcPr>
          <w:p>
            <w:pPr>
              <w:spacing w:after="0"/>
              <w:rPr>
                <w:sz w:val="18"/>
                <w:szCs w:val="18"/>
                <w:color w:val="auto"/>
              </w:rPr>
            </w:pPr>
          </w:p>
        </w:tc>
        <w:tc>
          <w:tcPr>
            <w:tcW w:w="1040" w:type="dxa"/>
            <w:vAlign w:val="bottom"/>
            <w:tcBorders>
              <w:top w:val="single" w:sz="8" w:color="231F20"/>
            </w:tcBorders>
            <w:shd w:val="clear" w:color="auto" w:fill="CDEAF4"/>
          </w:tcPr>
          <w:p>
            <w:pPr>
              <w:jc w:val="right"/>
              <w:ind w:right="135"/>
              <w:spacing w:after="0" w:line="216" w:lineRule="exact"/>
              <w:rPr>
                <w:sz w:val="20"/>
                <w:szCs w:val="20"/>
                <w:color w:val="auto"/>
              </w:rPr>
            </w:pPr>
            <w:r>
              <w:rPr>
                <w:rFonts w:ascii="Times New Roman" w:cs="Times New Roman" w:eastAsia="Times New Roman" w:hAnsi="Times New Roman"/>
                <w:sz w:val="19"/>
                <w:szCs w:val="19"/>
                <w:color w:val="231F20"/>
              </w:rPr>
              <w:t>(19.7%)</w:t>
            </w:r>
          </w:p>
        </w:tc>
        <w:tc>
          <w:tcPr>
            <w:tcW w:w="100" w:type="dxa"/>
            <w:vAlign w:val="bottom"/>
            <w:tcBorders>
              <w:top w:val="single" w:sz="8" w:color="CDEAF4"/>
            </w:tcBorders>
            <w:shd w:val="clear" w:color="auto" w:fill="CDEAF4"/>
          </w:tcPr>
          <w:p>
            <w:pPr>
              <w:spacing w:after="0"/>
              <w:rPr>
                <w:sz w:val="18"/>
                <w:szCs w:val="18"/>
                <w:color w:val="auto"/>
              </w:rPr>
            </w:pPr>
          </w:p>
        </w:tc>
        <w:tc>
          <w:tcPr>
            <w:tcW w:w="1020" w:type="dxa"/>
            <w:vAlign w:val="bottom"/>
            <w:tcBorders>
              <w:top w:val="single" w:sz="8" w:color="231F20"/>
            </w:tcBorders>
            <w:shd w:val="clear" w:color="auto" w:fill="CDEAF4"/>
          </w:tcPr>
          <w:p>
            <w:pPr>
              <w:jc w:val="right"/>
              <w:ind w:right="146"/>
              <w:spacing w:after="0" w:line="216" w:lineRule="exact"/>
              <w:rPr>
                <w:sz w:val="20"/>
                <w:szCs w:val="20"/>
                <w:color w:val="auto"/>
              </w:rPr>
            </w:pPr>
            <w:r>
              <w:rPr>
                <w:rFonts w:ascii="Times New Roman" w:cs="Times New Roman" w:eastAsia="Times New Roman" w:hAnsi="Times New Roman"/>
                <w:sz w:val="19"/>
                <w:szCs w:val="19"/>
                <w:color w:val="231F20"/>
              </w:rPr>
              <w:t>(8.5%)</w:t>
            </w:r>
          </w:p>
        </w:tc>
        <w:tc>
          <w:tcPr>
            <w:tcW w:w="120" w:type="dxa"/>
            <w:vAlign w:val="bottom"/>
            <w:tcBorders>
              <w:top w:val="single" w:sz="8" w:color="CDEAF4"/>
            </w:tcBorders>
            <w:shd w:val="clear" w:color="auto" w:fill="CDEAF4"/>
          </w:tcPr>
          <w:p>
            <w:pPr>
              <w:spacing w:after="0"/>
              <w:rPr>
                <w:sz w:val="18"/>
                <w:szCs w:val="18"/>
                <w:color w:val="auto"/>
              </w:rPr>
            </w:pPr>
          </w:p>
        </w:tc>
        <w:tc>
          <w:tcPr>
            <w:tcW w:w="1020" w:type="dxa"/>
            <w:vAlign w:val="bottom"/>
            <w:tcBorders>
              <w:top w:val="single" w:sz="8" w:color="231F20"/>
            </w:tcBorders>
            <w:shd w:val="clear" w:color="auto" w:fill="CDEAF4"/>
          </w:tcPr>
          <w:p>
            <w:pPr>
              <w:jc w:val="right"/>
              <w:ind w:right="235"/>
              <w:spacing w:after="0" w:line="216" w:lineRule="exact"/>
              <w:rPr>
                <w:sz w:val="20"/>
                <w:szCs w:val="20"/>
                <w:color w:val="auto"/>
              </w:rPr>
            </w:pPr>
            <w:r>
              <w:rPr>
                <w:rFonts w:ascii="Times New Roman" w:cs="Times New Roman" w:eastAsia="Times New Roman" w:hAnsi="Times New Roman"/>
                <w:sz w:val="19"/>
                <w:szCs w:val="19"/>
                <w:color w:val="231F20"/>
              </w:rPr>
              <w:t>2.6%</w:t>
            </w:r>
          </w:p>
        </w:tc>
        <w:tc>
          <w:tcPr>
            <w:tcW w:w="100" w:type="dxa"/>
            <w:vAlign w:val="bottom"/>
            <w:tcBorders>
              <w:top w:val="single" w:sz="8" w:color="CDEAF4"/>
            </w:tcBorders>
            <w:shd w:val="clear" w:color="auto" w:fill="CDEAF4"/>
          </w:tcPr>
          <w:p>
            <w:pPr>
              <w:spacing w:after="0"/>
              <w:rPr>
                <w:sz w:val="18"/>
                <w:szCs w:val="18"/>
                <w:color w:val="auto"/>
              </w:rPr>
            </w:pPr>
          </w:p>
        </w:tc>
        <w:tc>
          <w:tcPr>
            <w:tcW w:w="1040" w:type="dxa"/>
            <w:vAlign w:val="bottom"/>
            <w:tcBorders>
              <w:top w:val="single" w:sz="8" w:color="231F20"/>
            </w:tcBorders>
            <w:shd w:val="clear" w:color="auto" w:fill="CDEAF4"/>
          </w:tcPr>
          <w:p>
            <w:pPr>
              <w:jc w:val="right"/>
              <w:ind w:right="186"/>
              <w:spacing w:after="0" w:line="216" w:lineRule="exact"/>
              <w:rPr>
                <w:sz w:val="20"/>
                <w:szCs w:val="20"/>
                <w:color w:val="auto"/>
              </w:rPr>
            </w:pPr>
            <w:r>
              <w:rPr>
                <w:rFonts w:ascii="Times New Roman" w:cs="Times New Roman" w:eastAsia="Times New Roman" w:hAnsi="Times New Roman"/>
                <w:sz w:val="19"/>
                <w:szCs w:val="19"/>
                <w:color w:val="231F20"/>
              </w:rPr>
              <w:t>13.7%</w:t>
            </w:r>
          </w:p>
        </w:tc>
      </w:tr>
    </w:tbl>
    <w:p>
      <w:pPr>
        <w:spacing w:after="0" w:line="197" w:lineRule="exact"/>
        <w:rPr>
          <w:sz w:val="20"/>
          <w:szCs w:val="20"/>
          <w:color w:val="auto"/>
        </w:rPr>
      </w:pPr>
    </w:p>
    <w:p>
      <w:pPr>
        <w:ind w:left="460" w:right="160" w:hanging="460"/>
        <w:spacing w:after="0" w:line="246" w:lineRule="auto"/>
        <w:tabs>
          <w:tab w:leader="none" w:pos="460" w:val="left"/>
        </w:tabs>
        <w:numPr>
          <w:ilvl w:val="0"/>
          <w:numId w:val="39"/>
        </w:numPr>
        <w:rPr>
          <w:rFonts w:ascii="Times New Roman" w:cs="Times New Roman" w:eastAsia="Times New Roman" w:hAnsi="Times New Roman"/>
          <w:sz w:val="19"/>
          <w:szCs w:val="19"/>
          <w:color w:val="231F20"/>
        </w:rPr>
      </w:pPr>
      <w:r>
        <w:rPr>
          <w:rFonts w:ascii="Times New Roman" w:cs="Times New Roman" w:eastAsia="Times New Roman" w:hAnsi="Times New Roman"/>
          <w:sz w:val="19"/>
          <w:szCs w:val="19"/>
          <w:color w:val="231F20"/>
        </w:rPr>
        <w:t>The assumed portfolio return is required by SEC regulations and is not a prediction of, and does not represent, our projected or actual performance. Actual returns may be greater or less than those appearing in the table. Pursuant to SEC regulations, this table is calculated as of December 31, 2024. As a result, it has not been updated to take into account any changes in assets or leverage since December 31, 2024.</w:t>
      </w:r>
    </w:p>
    <w:p>
      <w:pPr>
        <w:spacing w:after="0" w:line="1" w:lineRule="exact"/>
        <w:rPr>
          <w:rFonts w:ascii="Times New Roman" w:cs="Times New Roman" w:eastAsia="Times New Roman" w:hAnsi="Times New Roman"/>
          <w:sz w:val="19"/>
          <w:szCs w:val="19"/>
          <w:color w:val="231F20"/>
        </w:rPr>
      </w:pPr>
    </w:p>
    <w:p>
      <w:pPr>
        <w:ind w:left="460" w:right="20" w:hanging="460"/>
        <w:spacing w:after="0" w:line="256" w:lineRule="auto"/>
        <w:tabs>
          <w:tab w:leader="none" w:pos="460" w:val="left"/>
        </w:tabs>
        <w:numPr>
          <w:ilvl w:val="0"/>
          <w:numId w:val="39"/>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In order to compute the “Corresponding return to stockholder,” the “Assumed Return on Our Portfolio” is multiplied by the total value of our assets at December 31, 2024 to obtain an assumed return to us. From this amount, the interest expense (calculated by multiplying the weighted average annualized stated interest rate of 7.5% by the approximately $1,954.1 million of principal debt outstanding) is subtracted to determine the return available to stockholders. The return available to stockholders is then divided by the total value of our net assets as of December 31, 2024 to determine the “Corresponding return to stockholder.”</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231F20"/>
        </w:rPr>
        <w:t>Our indebtedness could adversely affect our business, financial condition or results of operations.</w:t>
      </w:r>
    </w:p>
    <w:p>
      <w:pPr>
        <w:spacing w:after="0" w:line="97" w:lineRule="exact"/>
        <w:rPr>
          <w:sz w:val="20"/>
          <w:szCs w:val="20"/>
          <w:color w:val="auto"/>
        </w:rPr>
      </w:pPr>
    </w:p>
    <w:p>
      <w:pPr>
        <w:ind w:firstLine="231"/>
        <w:spacing w:after="0" w:line="232" w:lineRule="auto"/>
        <w:rPr>
          <w:sz w:val="20"/>
          <w:szCs w:val="20"/>
          <w:color w:val="auto"/>
        </w:rPr>
      </w:pPr>
      <w:r>
        <w:rPr>
          <w:rFonts w:ascii="Times New Roman" w:cs="Times New Roman" w:eastAsia="Times New Roman" w:hAnsi="Times New Roman"/>
          <w:sz w:val="19"/>
          <w:szCs w:val="19"/>
          <w:color w:val="231F20"/>
        </w:rPr>
        <w:t>We cannot assure you that our business will generate sufficient cash flow from operations or that future borrowings will be available to us under our credit facilities or otherwise in an amount sufficient to enable us to pay our indebtedness or to fund our other liquidity needs. We may need to refinance all or a portion of our indebtedness on or before it matures. We cannot assure you that we will be able to refinance any of our indebtedness on commercially reasonable terms or at all. If we cannot service our indebtedness, we may have to take actions such as selling assets or seeking additional equity. We cannot assure you that any such actions, if necessary, could be effected on commercially reasonable terms or at all, or on terms that would not be disadvantageous to our stockholders or on terms that would not require us to breach the terms and conditions of our existing or future debt agreements.</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231F20"/>
        </w:rPr>
        <w:t>Legislation allows us to incur additional leverage.</w:t>
      </w:r>
    </w:p>
    <w:p>
      <w:pPr>
        <w:spacing w:after="0" w:line="97" w:lineRule="exact"/>
        <w:rPr>
          <w:sz w:val="20"/>
          <w:szCs w:val="20"/>
          <w:color w:val="auto"/>
        </w:rPr>
      </w:pPr>
    </w:p>
    <w:p>
      <w:pPr>
        <w:ind w:firstLine="231"/>
        <w:spacing w:after="0" w:line="235" w:lineRule="auto"/>
        <w:rPr>
          <w:sz w:val="20"/>
          <w:szCs w:val="20"/>
          <w:color w:val="auto"/>
        </w:rPr>
      </w:pPr>
      <w:r>
        <w:rPr>
          <w:rFonts w:ascii="Times New Roman" w:cs="Times New Roman" w:eastAsia="Times New Roman" w:hAnsi="Times New Roman"/>
          <w:sz w:val="19"/>
          <w:szCs w:val="19"/>
          <w:color w:val="231F20"/>
        </w:rPr>
        <w:t>Under the 1940 Act, a BDC generally is not permitted to incur borrowings, issue debt securities or issue preferred stock unless immediately after the borrowing or issuance the ratio of total assets (less total liabilities other than indebtedness) to total indebtedness plus preferred stock is at least 200%. However, under the SBCAA, which became law in March 2018, BDCs have the ability to elect to become subject to a lower asset coverage requirement of 150%, subject to the receipt of the requisite board or stockholder approvals under the SBCAA and satisfaction of certain other conditions.</w:t>
      </w:r>
    </w:p>
    <w:p>
      <w:pPr>
        <w:spacing w:after="0" w:line="180" w:lineRule="exact"/>
        <w:rPr>
          <w:sz w:val="20"/>
          <w:szCs w:val="20"/>
          <w:color w:val="auto"/>
        </w:rPr>
      </w:pPr>
    </w:p>
    <w:p>
      <w:pPr>
        <w:ind w:firstLine="231"/>
        <w:spacing w:after="0" w:line="235" w:lineRule="auto"/>
        <w:rPr>
          <w:sz w:val="20"/>
          <w:szCs w:val="20"/>
          <w:color w:val="auto"/>
        </w:rPr>
      </w:pPr>
      <w:r>
        <w:rPr>
          <w:rFonts w:ascii="Times New Roman" w:cs="Times New Roman" w:eastAsia="Times New Roman" w:hAnsi="Times New Roman"/>
          <w:sz w:val="19"/>
          <w:szCs w:val="19"/>
          <w:color w:val="231F20"/>
        </w:rPr>
        <w:t>On October 8, 2018, our stockholders approved the application of the minimum asset coverage ratio of 150% to us, as set forth in Section 61(a)(2) of the 1940 Act, as amended by the SBCAA. As a result and subject to certain additional disclosure requirements, as of October 9, 2018, our minimum asset coverage ratio was reduced from 200% to 150%. In other words, pursuant to Section 61(a) of the 1940 Act, as amended by the SBCAA, we are permitted to potentially increase our maximum debt-to-equity ratio from an effective level of one-to-one to two-to-one.</w:t>
      </w:r>
    </w:p>
    <w:p>
      <w:pPr>
        <w:spacing w:after="0" w:line="180" w:lineRule="exact"/>
        <w:rPr>
          <w:sz w:val="20"/>
          <w:szCs w:val="20"/>
          <w:color w:val="auto"/>
        </w:rPr>
      </w:pPr>
    </w:p>
    <w:p>
      <w:pPr>
        <w:jc w:val="both"/>
        <w:ind w:right="140" w:firstLine="231"/>
        <w:spacing w:after="0" w:line="237" w:lineRule="auto"/>
        <w:rPr>
          <w:sz w:val="20"/>
          <w:szCs w:val="20"/>
          <w:color w:val="auto"/>
        </w:rPr>
      </w:pPr>
      <w:r>
        <w:rPr>
          <w:rFonts w:ascii="Times New Roman" w:cs="Times New Roman" w:eastAsia="Times New Roman" w:hAnsi="Times New Roman"/>
          <w:sz w:val="19"/>
          <w:szCs w:val="19"/>
          <w:color w:val="231F20"/>
        </w:rPr>
        <w:t>As a result, you may face increased investment risk. We may not be able to implement our strategy to utilize additional leverage successfully. See “</w:t>
      </w:r>
      <w:r>
        <w:rPr>
          <w:rFonts w:ascii="Times New Roman" w:cs="Times New Roman" w:eastAsia="Times New Roman" w:hAnsi="Times New Roman"/>
          <w:sz w:val="19"/>
          <w:szCs w:val="19"/>
          <w:b w:val="1"/>
          <w:bCs w:val="1"/>
          <w:color w:val="231F20"/>
        </w:rPr>
        <w:t>—</w:t>
      </w:r>
      <w:r>
        <w:rPr>
          <w:rFonts w:ascii="Times New Roman" w:cs="Times New Roman" w:eastAsia="Times New Roman" w:hAnsi="Times New Roman"/>
          <w:sz w:val="19"/>
          <w:szCs w:val="19"/>
          <w:i w:val="1"/>
          <w:iCs w:val="1"/>
          <w:color w:val="231F20"/>
        </w:rPr>
        <w:t>We operate in a highly competitive environment for investment opportunities</w:t>
      </w:r>
      <w:r>
        <w:rPr>
          <w:rFonts w:ascii="Times New Roman" w:cs="Times New Roman" w:eastAsia="Times New Roman" w:hAnsi="Times New Roman"/>
          <w:sz w:val="19"/>
          <w:szCs w:val="19"/>
          <w:color w:val="231F20"/>
        </w:rPr>
        <w:t>.” Any impact on returns or equity or our business associated with additional leverage may not outweigh the additional risk. See “</w:t>
      </w:r>
      <w:r>
        <w:rPr>
          <w:rFonts w:ascii="Times New Roman" w:cs="Times New Roman" w:eastAsia="Times New Roman" w:hAnsi="Times New Roman"/>
          <w:sz w:val="19"/>
          <w:szCs w:val="19"/>
          <w:b w:val="1"/>
          <w:bCs w:val="1"/>
          <w:color w:val="231F20"/>
        </w:rPr>
        <w:t>—</w:t>
      </w:r>
      <w:r>
        <w:rPr>
          <w:rFonts w:ascii="Times New Roman" w:cs="Times New Roman" w:eastAsia="Times New Roman" w:hAnsi="Times New Roman"/>
          <w:sz w:val="19"/>
          <w:szCs w:val="19"/>
          <w:i w:val="1"/>
          <w:iCs w:val="1"/>
          <w:color w:val="231F20"/>
        </w:rPr>
        <w:t>We borrow money, which magnifies</w:t>
      </w:r>
      <w:r>
        <w:rPr>
          <w:rFonts w:ascii="Times New Roman" w:cs="Times New Roman" w:eastAsia="Times New Roman" w:hAnsi="Times New Roman"/>
          <w:sz w:val="19"/>
          <w:szCs w:val="19"/>
          <w:color w:val="231F20"/>
        </w:rPr>
        <w:t xml:space="preserve"> </w:t>
      </w:r>
      <w:r>
        <w:rPr>
          <w:rFonts w:ascii="Times New Roman" w:cs="Times New Roman" w:eastAsia="Times New Roman" w:hAnsi="Times New Roman"/>
          <w:sz w:val="19"/>
          <w:szCs w:val="19"/>
          <w:i w:val="1"/>
          <w:iCs w:val="1"/>
          <w:color w:val="231F20"/>
        </w:rPr>
        <w:t>the potential for gain or loss and increases the risk of investing in us.</w:t>
      </w:r>
      <w:r>
        <w:rPr>
          <w:rFonts w:ascii="Times New Roman" w:cs="Times New Roman" w:eastAsia="Times New Roman" w:hAnsi="Times New Roman"/>
          <w:sz w:val="19"/>
          <w:szCs w:val="19"/>
          <w:color w:val="231F20"/>
        </w:rPr>
        <w:t>”</w:t>
      </w: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231F20"/>
        </w:rPr>
        <w:t>We operate in a highly competitive market for investment opportunities.</w:t>
      </w:r>
    </w:p>
    <w:p>
      <w:pPr>
        <w:spacing w:after="0" w:line="97" w:lineRule="exact"/>
        <w:rPr>
          <w:sz w:val="20"/>
          <w:szCs w:val="20"/>
          <w:color w:val="auto"/>
        </w:rPr>
      </w:pPr>
    </w:p>
    <w:p>
      <w:pPr>
        <w:ind w:right="80" w:firstLine="231"/>
        <w:spacing w:after="0" w:line="254" w:lineRule="auto"/>
        <w:rPr>
          <w:sz w:val="20"/>
          <w:szCs w:val="20"/>
          <w:color w:val="auto"/>
        </w:rPr>
      </w:pPr>
      <w:r>
        <w:rPr>
          <w:rFonts w:ascii="Times New Roman" w:cs="Times New Roman" w:eastAsia="Times New Roman" w:hAnsi="Times New Roman"/>
          <w:sz w:val="18"/>
          <w:szCs w:val="18"/>
          <w:color w:val="231F20"/>
        </w:rPr>
        <w:t>Other public and private entities, including commercial banks, commercial financing companies, other BDCs and insurance companies compete with us to make the types of investments that we make in middle-market companies. Certain of these competitors may be substantially larger, have considerably greater financial, technical and marketing resources than we have and offer a wider array of financial services. For example, some competitors may have a lower cost of funds and access to funding sources that are not</w:t>
      </w:r>
    </w:p>
    <w:p>
      <w:pPr>
        <w:sectPr>
          <w:pgSz w:w="12240" w:h="15840" w:orient="portrait"/>
          <w:cols w:equalWidth="0" w:num="1">
            <w:col w:w="10200"/>
          </w:cols>
          <w:pgMar w:left="1020" w:top="1317" w:right="1020" w:bottom="574" w:gutter="0" w:footer="0" w:header="0"/>
        </w:sectPr>
      </w:pP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231F20"/>
        </w:rPr>
        <w:t>31</w:t>
      </w:r>
    </w:p>
    <w:p>
      <w:pPr>
        <w:sectPr>
          <w:pgSz w:w="12240" w:h="15840" w:orient="portrait"/>
          <w:cols w:equalWidth="0" w:num="1">
            <w:col w:w="10200"/>
          </w:cols>
          <w:pgMar w:left="1020" w:top="1317" w:right="1020" w:bottom="574" w:gutter="0" w:footer="0" w:header="0"/>
          <w:type w:val="continuous"/>
        </w:sectPr>
      </w:pPr>
    </w:p>
    <w:bookmarkStart w:id="31" w:name="page32"/>
    <w:bookmarkEnd w:id="31"/>
    <w:p>
      <w:pPr>
        <w:ind w:right="80"/>
        <w:spacing w:after="0" w:line="237" w:lineRule="auto"/>
        <w:rPr>
          <w:sz w:val="20"/>
          <w:szCs w:val="20"/>
          <w:color w:val="auto"/>
        </w:rPr>
      </w:pPr>
      <w:r>
        <w:rPr>
          <w:rFonts w:ascii="Times New Roman" w:cs="Times New Roman" w:eastAsia="Times New Roman" w:hAnsi="Times New Roman"/>
          <w:sz w:val="19"/>
          <w:szCs w:val="19"/>
          <w:color w:val="231F20"/>
        </w:rPr>
        <w:t>available to us. In addition, some of our competitors may have higher risk tolerances or different risk assessments, which could allow them to consider a wider variety of investments and establish more relationships. We may lose investment opportunities if we do not match our competitors’ pricing, terms and structure. If we match our competitors’ pricing, terms and structure, however, we may experience decreased net interest income and increased risk of credit loss.</w:t>
      </w:r>
    </w:p>
    <w:p>
      <w:pPr>
        <w:spacing w:after="0" w:line="185" w:lineRule="exact"/>
        <w:rPr>
          <w:sz w:val="20"/>
          <w:szCs w:val="20"/>
          <w:color w:val="auto"/>
        </w:rPr>
      </w:pPr>
    </w:p>
    <w:p>
      <w:pPr>
        <w:ind w:right="60" w:firstLine="231"/>
        <w:spacing w:after="0" w:line="236" w:lineRule="auto"/>
        <w:rPr>
          <w:sz w:val="20"/>
          <w:szCs w:val="20"/>
          <w:color w:val="auto"/>
        </w:rPr>
      </w:pPr>
      <w:r>
        <w:rPr>
          <w:rFonts w:ascii="Times New Roman" w:cs="Times New Roman" w:eastAsia="Times New Roman" w:hAnsi="Times New Roman"/>
          <w:sz w:val="19"/>
          <w:szCs w:val="19"/>
          <w:color w:val="231F20"/>
        </w:rPr>
        <w:t>In addition, many competitors are not subject to the regulatory restrictions that the 1940 Act imposes on us as a BDC or the restrictions that the Code imposes on us as a RIC. As a result, we face additional constraints on our operations, which may put us at a competitive disadvantage. As a result of this existing and potentially increasing competition, we may not be able to take advantage of attractive investment opportunities and we cannot assure you that we will be able to identify and make investments that are consistent with our investment objective. The competitive pressures we face could have a material adverse effect on our ability to achieve our investment objective.</w:t>
      </w:r>
    </w:p>
    <w:p>
      <w:pPr>
        <w:spacing w:after="0" w:line="302" w:lineRule="exact"/>
        <w:rPr>
          <w:sz w:val="20"/>
          <w:szCs w:val="20"/>
          <w:color w:val="auto"/>
        </w:rPr>
      </w:pPr>
    </w:p>
    <w:p>
      <w:pPr>
        <w:ind w:right="300"/>
        <w:spacing w:after="0" w:line="263" w:lineRule="auto"/>
        <w:rPr>
          <w:sz w:val="20"/>
          <w:szCs w:val="20"/>
          <w:color w:val="auto"/>
        </w:rPr>
      </w:pPr>
      <w:r>
        <w:rPr>
          <w:rFonts w:ascii="Times New Roman" w:cs="Times New Roman" w:eastAsia="Times New Roman" w:hAnsi="Times New Roman"/>
          <w:sz w:val="19"/>
          <w:szCs w:val="19"/>
          <w:b w:val="1"/>
          <w:bCs w:val="1"/>
          <w:i w:val="1"/>
          <w:iCs w:val="1"/>
          <w:color w:val="231F20"/>
        </w:rPr>
        <w:t>If we are unable to source investments, access financing or manage future growth effectively, we may be unable to achieve our investment objective.</w:t>
      </w:r>
    </w:p>
    <w:p>
      <w:pPr>
        <w:spacing w:after="0" w:line="49" w:lineRule="exact"/>
        <w:rPr>
          <w:sz w:val="20"/>
          <w:szCs w:val="20"/>
          <w:color w:val="auto"/>
        </w:rPr>
      </w:pPr>
    </w:p>
    <w:p>
      <w:pPr>
        <w:ind w:right="20" w:firstLine="231"/>
        <w:spacing w:after="0" w:line="234" w:lineRule="auto"/>
        <w:rPr>
          <w:sz w:val="20"/>
          <w:szCs w:val="20"/>
          <w:color w:val="auto"/>
        </w:rPr>
      </w:pPr>
      <w:r>
        <w:rPr>
          <w:rFonts w:ascii="Times New Roman" w:cs="Times New Roman" w:eastAsia="Times New Roman" w:hAnsi="Times New Roman"/>
          <w:sz w:val="19"/>
          <w:szCs w:val="19"/>
          <w:color w:val="231F20"/>
        </w:rPr>
        <w:t>Our ability to achieve our investment objective depends on our Investment Team’s ability to identify, evaluate, finance and invest in suitable companies that meet our investment criteria. Accomplishing this result on a cost-effective basis is largely a function of our marketing capabilities, our management of the investment process, our ability to provide efficient services and our access to financing sources on acceptable terms, including equity financing. Moreover, our ability to structure investments may also depend upon the participation of other prospective investors. For example, our ability to offer loans above a certain size and to structure loans in a certain way may depend on our ability to partner with other investors. As a result, we could fail to capture some investment opportunities if we cannot provide “one-stop” financing to a potential portfolio company either alone or with other investment partners.</w:t>
      </w:r>
    </w:p>
    <w:p>
      <w:pPr>
        <w:spacing w:after="0" w:line="188" w:lineRule="exact"/>
        <w:rPr>
          <w:sz w:val="20"/>
          <w:szCs w:val="20"/>
          <w:color w:val="auto"/>
        </w:rPr>
      </w:pPr>
    </w:p>
    <w:p>
      <w:pPr>
        <w:ind w:right="40" w:firstLine="231"/>
        <w:spacing w:after="0" w:line="241" w:lineRule="auto"/>
        <w:rPr>
          <w:sz w:val="20"/>
          <w:szCs w:val="20"/>
          <w:color w:val="auto"/>
        </w:rPr>
      </w:pPr>
      <w:r>
        <w:rPr>
          <w:rFonts w:ascii="Times New Roman" w:cs="Times New Roman" w:eastAsia="Times New Roman" w:hAnsi="Times New Roman"/>
          <w:sz w:val="19"/>
          <w:szCs w:val="19"/>
          <w:color w:val="231F20"/>
        </w:rPr>
        <w:t>In addition to monitoring the performance of our existing investments, members of our Investment Team may also be called upon to provide managerial assistance to our portfolio companies. These demands on their time may distract them or slow the rate of investment. To grow, our Adviser may need to hire, train, supervise and manage new employees. Failure to manage our future growth effectively could have a material adverse effect on our growth prospects and ability to achieve our investment objective.</w:t>
      </w:r>
    </w:p>
    <w:p>
      <w:pPr>
        <w:spacing w:after="0" w:line="297" w:lineRule="exact"/>
        <w:rPr>
          <w:sz w:val="20"/>
          <w:szCs w:val="20"/>
          <w:color w:val="auto"/>
        </w:rPr>
      </w:pPr>
    </w:p>
    <w:p>
      <w:pPr>
        <w:spacing w:after="0" w:line="263" w:lineRule="auto"/>
        <w:rPr>
          <w:sz w:val="20"/>
          <w:szCs w:val="20"/>
          <w:color w:val="auto"/>
        </w:rPr>
      </w:pPr>
      <w:r>
        <w:rPr>
          <w:rFonts w:ascii="Times New Roman" w:cs="Times New Roman" w:eastAsia="Times New Roman" w:hAnsi="Times New Roman"/>
          <w:sz w:val="19"/>
          <w:szCs w:val="19"/>
          <w:b w:val="1"/>
          <w:bCs w:val="1"/>
          <w:i w:val="1"/>
          <w:iCs w:val="1"/>
          <w:color w:val="231F20"/>
        </w:rPr>
        <w:t>Even in the event the value of your investment declines, the Management Fee and, in certain circumstances, the Incentive Fee will still be payable to the Adviser.</w:t>
      </w:r>
    </w:p>
    <w:p>
      <w:pPr>
        <w:spacing w:after="0" w:line="49" w:lineRule="exact"/>
        <w:rPr>
          <w:sz w:val="20"/>
          <w:szCs w:val="20"/>
          <w:color w:val="auto"/>
        </w:rPr>
      </w:pPr>
    </w:p>
    <w:p>
      <w:pPr>
        <w:ind w:right="40" w:firstLine="231"/>
        <w:spacing w:after="0" w:line="235" w:lineRule="auto"/>
        <w:rPr>
          <w:sz w:val="20"/>
          <w:szCs w:val="20"/>
          <w:color w:val="auto"/>
        </w:rPr>
      </w:pPr>
      <w:r>
        <w:rPr>
          <w:rFonts w:ascii="Times New Roman" w:cs="Times New Roman" w:eastAsia="Times New Roman" w:hAnsi="Times New Roman"/>
          <w:sz w:val="19"/>
          <w:szCs w:val="19"/>
          <w:color w:val="231F20"/>
        </w:rPr>
        <w:t>Even in the event the value of your investment declines, the Management Fee and, in certain circumstances, the Incentive Fee will still be payable to the Adviser. The Management Fee is calculated as a percentage of the value of our gross assets at a specific time, which would include any borrowings for investment purposes, and may give our Adviser an incentive to use leverage to make additional investments. In addition, the Management Fee is payable regardless of whether the value of our gross assets or your investment have decreased. The use of increased leverage may increase the likelihood of default, which would disfavor holders of our common stock. Given the subjective nature of the investment decisions that our Adviser will make on our behalf, we may not be able to monitor this potential conflict of interest.</w:t>
      </w:r>
    </w:p>
    <w:p>
      <w:pPr>
        <w:spacing w:after="0" w:line="186" w:lineRule="exact"/>
        <w:rPr>
          <w:sz w:val="20"/>
          <w:szCs w:val="20"/>
          <w:color w:val="auto"/>
        </w:rPr>
      </w:pPr>
    </w:p>
    <w:p>
      <w:pPr>
        <w:ind w:firstLine="231"/>
        <w:spacing w:after="0" w:line="248" w:lineRule="auto"/>
        <w:rPr>
          <w:sz w:val="20"/>
          <w:szCs w:val="20"/>
          <w:color w:val="auto"/>
        </w:rPr>
      </w:pPr>
      <w:r>
        <w:rPr>
          <w:rFonts w:ascii="Times New Roman" w:cs="Times New Roman" w:eastAsia="Times New Roman" w:hAnsi="Times New Roman"/>
          <w:sz w:val="18"/>
          <w:szCs w:val="18"/>
          <w:color w:val="231F20"/>
        </w:rPr>
        <w:t>The Incentive Fee is calculated as a percentage of pre-Incentive Fee net investment income. Since pre-Incentive Fee net investment income does not include any realized capital gains, realized capital losses or unrealized capital gains or losses, it is possible that we may pay an Incentive Fee in a quarter in which we incur a loss. For example, if we receive pre-Incentive Fee net investment income in excess of the quarterly minimum hurdle rate, we will pay the applicable Incentive Fee even if we have incurred a loss in that quarter due to realized and unrealized capital losses. In addition, because the quarterly minimum hurdle rate is calculated based on our net assets, decreases in our net assets due to realized or unrealized capital losses in any given quarter may increase the likelihood that the hurdle rate is reached in that quarter and, as a result, that an Incentive Fee is paid for that quarter. Our net investment income used to calculate this component of the Incentive Fee is also included in the amount of our gross assets used to calculate the Management Fee.</w:t>
      </w:r>
    </w:p>
    <w:p>
      <w:pPr>
        <w:spacing w:after="0" w:line="181" w:lineRule="exact"/>
        <w:rPr>
          <w:sz w:val="20"/>
          <w:szCs w:val="20"/>
          <w:color w:val="auto"/>
        </w:rPr>
      </w:pPr>
    </w:p>
    <w:p>
      <w:pPr>
        <w:ind w:right="20" w:firstLine="231"/>
        <w:spacing w:after="0" w:line="238" w:lineRule="auto"/>
        <w:rPr>
          <w:sz w:val="20"/>
          <w:szCs w:val="20"/>
          <w:color w:val="auto"/>
        </w:rPr>
      </w:pPr>
      <w:r>
        <w:rPr>
          <w:rFonts w:ascii="Times New Roman" w:cs="Times New Roman" w:eastAsia="Times New Roman" w:hAnsi="Times New Roman"/>
          <w:sz w:val="19"/>
          <w:szCs w:val="19"/>
          <w:color w:val="231F20"/>
        </w:rPr>
        <w:t>Also, one component of the Incentive Fee is calculated annually based upon our realized capital gains, computed net of realized capital losses and unrealized capital losses on a cumulative basis. As a result, we may owe the Adviser an Incentive Fee during one year as a result of realized capital gains on certain investments, and then incur significant realized capital losses and unrealized capital losses on the remaining investments in our portfolio during subsequent years. Incentive Fees earned in prior years cannot be clawed back even if we later incur losses.</w:t>
      </w:r>
    </w:p>
    <w:p>
      <w:pPr>
        <w:spacing w:after="0" w:line="192" w:lineRule="exact"/>
        <w:rPr>
          <w:sz w:val="20"/>
          <w:szCs w:val="20"/>
          <w:color w:val="auto"/>
        </w:rPr>
      </w:pPr>
    </w:p>
    <w:p>
      <w:pPr>
        <w:ind w:firstLine="231"/>
        <w:spacing w:after="0" w:line="247" w:lineRule="auto"/>
        <w:rPr>
          <w:sz w:val="20"/>
          <w:szCs w:val="20"/>
          <w:color w:val="auto"/>
        </w:rPr>
      </w:pPr>
      <w:r>
        <w:rPr>
          <w:rFonts w:ascii="Times New Roman" w:cs="Times New Roman" w:eastAsia="Times New Roman" w:hAnsi="Times New Roman"/>
          <w:sz w:val="19"/>
          <w:szCs w:val="19"/>
          <w:color w:val="231F20"/>
        </w:rPr>
        <w:t>In addition, the Incentive Fee payable by us to the Adviser may create an incentive for the Adviser to make investments on our behalf that are risky or more speculative than would be the case in the absence of such a compensation arrangement. The Adviser receives the Incentive Fee based, in part, upon capital gains realized on our investments. Unlike the portion of the Incentive Fee that is based on income, there is no hurdle rate applicable to the portion of the Incentive Fee based on capital gains. As a result, the Adviser may have an incentive to invest more in companies whose securities are likely to yield capital gains, as compared to income-</w:t>
      </w:r>
    </w:p>
    <w:p>
      <w:pPr>
        <w:sectPr>
          <w:pgSz w:w="12240" w:h="15840" w:orient="portrait"/>
          <w:cols w:equalWidth="0" w:num="1">
            <w:col w:w="10160"/>
          </w:cols>
          <w:pgMar w:left="1020" w:top="1306" w:right="1060" w:bottom="574"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9"/>
          <w:szCs w:val="19"/>
          <w:color w:val="231F20"/>
        </w:rPr>
        <w:t>32</w:t>
      </w:r>
    </w:p>
    <w:p>
      <w:pPr>
        <w:sectPr>
          <w:pgSz w:w="12240" w:h="15840" w:orient="portrait"/>
          <w:cols w:equalWidth="0" w:num="1">
            <w:col w:w="10160"/>
          </w:cols>
          <w:pgMar w:left="1020" w:top="1306" w:right="1060" w:bottom="574" w:gutter="0" w:footer="0" w:header="0"/>
          <w:type w:val="continuous"/>
        </w:sectPr>
      </w:pPr>
    </w:p>
    <w:bookmarkStart w:id="32" w:name="page33"/>
    <w:bookmarkEnd w:id="32"/>
    <w:p>
      <w:pPr>
        <w:ind w:right="300"/>
        <w:spacing w:after="0" w:line="275" w:lineRule="auto"/>
        <w:rPr>
          <w:sz w:val="20"/>
          <w:szCs w:val="20"/>
          <w:color w:val="auto"/>
        </w:rPr>
      </w:pPr>
      <w:r>
        <w:rPr>
          <w:rFonts w:ascii="Times New Roman" w:cs="Times New Roman" w:eastAsia="Times New Roman" w:hAnsi="Times New Roman"/>
          <w:sz w:val="19"/>
          <w:szCs w:val="19"/>
          <w:color w:val="231F20"/>
        </w:rPr>
        <w:t>producing investments. Such a practice could result in our making more speculative investments than would otherwise be the case, which could result in higher investment losses, particularly during cyclical economic downturns.</w:t>
      </w:r>
    </w:p>
    <w:p>
      <w:pPr>
        <w:spacing w:after="0" w:line="276" w:lineRule="exact"/>
        <w:rPr>
          <w:sz w:val="20"/>
          <w:szCs w:val="20"/>
          <w:color w:val="auto"/>
        </w:rPr>
      </w:pPr>
    </w:p>
    <w:p>
      <w:pPr>
        <w:ind w:right="140"/>
        <w:spacing w:after="0" w:line="273" w:lineRule="auto"/>
        <w:rPr>
          <w:sz w:val="20"/>
          <w:szCs w:val="20"/>
          <w:color w:val="auto"/>
        </w:rPr>
      </w:pPr>
      <w:r>
        <w:rPr>
          <w:rFonts w:ascii="Times New Roman" w:cs="Times New Roman" w:eastAsia="Times New Roman" w:hAnsi="Times New Roman"/>
          <w:sz w:val="19"/>
          <w:szCs w:val="19"/>
          <w:b w:val="1"/>
          <w:bCs w:val="1"/>
          <w:i w:val="1"/>
          <w:iCs w:val="1"/>
          <w:color w:val="231F20"/>
        </w:rPr>
        <w:t>To the extent that we do not realize income or choose not to retain after-tax realized net capital gains, we will have a greater need for additional capital to fund our investments and operating expenses.</w:t>
      </w:r>
    </w:p>
    <w:p>
      <w:pPr>
        <w:spacing w:after="0" w:line="49" w:lineRule="exact"/>
        <w:rPr>
          <w:sz w:val="20"/>
          <w:szCs w:val="20"/>
          <w:color w:val="auto"/>
        </w:rPr>
      </w:pPr>
    </w:p>
    <w:p>
      <w:pPr>
        <w:ind w:firstLine="231"/>
        <w:spacing w:after="0" w:line="243" w:lineRule="auto"/>
        <w:rPr>
          <w:sz w:val="20"/>
          <w:szCs w:val="20"/>
          <w:color w:val="auto"/>
        </w:rPr>
      </w:pPr>
      <w:r>
        <w:rPr>
          <w:rFonts w:ascii="Times New Roman" w:cs="Times New Roman" w:eastAsia="Times New Roman" w:hAnsi="Times New Roman"/>
          <w:sz w:val="19"/>
          <w:szCs w:val="19"/>
          <w:color w:val="231F20"/>
        </w:rPr>
        <w:t>To maintain our status as a RIC for U.S. federal income tax purposes, we must distribute (or be treated as distributing) in each taxable year dividends for tax purposes equal to at least 90% of our investment company taxable income and net tax-exempt income for that taxable year, and may either distribute or retain our realized net capital gains from investments. Unless investors elect to reinvest dividends, earnings that we are required to distribute to stockholders will not be available to fund future investments. Accordingly, we may have insufficient funds to make new and follow-on investments, which could have a material adverse effect on our financial condition and results of operations. Because of the structure and objectives of our business, we may experience operating losses and expect to rely on proceeds from sales of investments, rather than on interest and dividend income, to pay our operating expenses. We cannot assure you that we will be able to sell our investments and thereby fund our operating expenses.</w:t>
      </w:r>
    </w:p>
    <w:p>
      <w:pPr>
        <w:spacing w:after="0" w:line="310" w:lineRule="exact"/>
        <w:rPr>
          <w:sz w:val="20"/>
          <w:szCs w:val="20"/>
          <w:color w:val="auto"/>
        </w:rPr>
      </w:pPr>
    </w:p>
    <w:p>
      <w:pPr>
        <w:ind w:right="640"/>
        <w:spacing w:after="0" w:line="273" w:lineRule="auto"/>
        <w:rPr>
          <w:sz w:val="20"/>
          <w:szCs w:val="20"/>
          <w:color w:val="auto"/>
        </w:rPr>
      </w:pPr>
      <w:r>
        <w:rPr>
          <w:rFonts w:ascii="Times New Roman" w:cs="Times New Roman" w:eastAsia="Times New Roman" w:hAnsi="Times New Roman"/>
          <w:sz w:val="19"/>
          <w:szCs w:val="19"/>
          <w:b w:val="1"/>
          <w:bCs w:val="1"/>
          <w:i w:val="1"/>
          <w:iCs w:val="1"/>
          <w:color w:val="231F20"/>
        </w:rPr>
        <w:t>We will be subject to corporate-level U.S. federal income tax if we are unable to maintain our qualification as a RIC under Subchapter M of the Code, including as a result of our failure to satisfy the RIC distribution requirements.</w:t>
      </w:r>
    </w:p>
    <w:p>
      <w:pPr>
        <w:spacing w:after="0" w:line="49" w:lineRule="exact"/>
        <w:rPr>
          <w:sz w:val="20"/>
          <w:szCs w:val="20"/>
          <w:color w:val="auto"/>
        </w:rPr>
      </w:pPr>
    </w:p>
    <w:p>
      <w:pPr>
        <w:ind w:right="80" w:firstLine="231"/>
        <w:spacing w:after="0" w:line="247" w:lineRule="auto"/>
        <w:rPr>
          <w:sz w:val="20"/>
          <w:szCs w:val="20"/>
          <w:color w:val="auto"/>
        </w:rPr>
      </w:pPr>
      <w:r>
        <w:rPr>
          <w:rFonts w:ascii="Times New Roman" w:cs="Times New Roman" w:eastAsia="Times New Roman" w:hAnsi="Times New Roman"/>
          <w:sz w:val="19"/>
          <w:szCs w:val="19"/>
          <w:color w:val="231F20"/>
        </w:rPr>
        <w:t>We will incur corporate-level U.S. federal income tax costs if we are unable to maintain our qualification as a RIC for U.S. federal income tax purposes, including as a result of our failure to satisfy the RIC distribution requirements. Although we have elected to be treated as a RIC for U.S. federal income tax purposes, we cannot assure you that we will be able to continue to qualify for and maintain RIC status. To maintain RIC status under the Code and to avoid corporate-level U.S. federal income tax, we must meet the following annual distribution, income source and asset diversification requirements:</w:t>
      </w:r>
    </w:p>
    <w:p>
      <w:pPr>
        <w:spacing w:after="0" w:line="89" w:lineRule="exact"/>
        <w:rPr>
          <w:sz w:val="20"/>
          <w:szCs w:val="20"/>
          <w:color w:val="auto"/>
        </w:rPr>
      </w:pPr>
    </w:p>
    <w:p>
      <w:pPr>
        <w:ind w:left="460" w:right="220" w:hanging="229"/>
        <w:spacing w:after="0" w:line="274" w:lineRule="auto"/>
        <w:tabs>
          <w:tab w:leader="none" w:pos="460" w:val="left"/>
        </w:tabs>
        <w:numPr>
          <w:ilvl w:val="0"/>
          <w:numId w:val="40"/>
        </w:numPr>
        <w:rPr>
          <w:rFonts w:ascii="Arial" w:cs="Arial" w:eastAsia="Arial" w:hAnsi="Arial"/>
          <w:sz w:val="19"/>
          <w:szCs w:val="19"/>
          <w:color w:val="231F20"/>
        </w:rPr>
      </w:pPr>
      <w:r>
        <w:rPr>
          <w:rFonts w:ascii="Times New Roman" w:cs="Times New Roman" w:eastAsia="Times New Roman" w:hAnsi="Times New Roman"/>
          <w:sz w:val="19"/>
          <w:szCs w:val="19"/>
          <w:color w:val="231F20"/>
        </w:rPr>
        <w:t>We must distribute (or be treated as distributing) dividends for tax purposes in each taxable year equal to at least 90% of each of:</w:t>
      </w:r>
    </w:p>
    <w:p>
      <w:pPr>
        <w:spacing w:after="0" w:line="61" w:lineRule="exact"/>
        <w:rPr>
          <w:rFonts w:ascii="Arial" w:cs="Arial" w:eastAsia="Arial" w:hAnsi="Arial"/>
          <w:sz w:val="19"/>
          <w:szCs w:val="19"/>
          <w:color w:val="231F20"/>
        </w:rPr>
      </w:pPr>
    </w:p>
    <w:p>
      <w:pPr>
        <w:ind w:left="460" w:right="20" w:hanging="229"/>
        <w:spacing w:after="0" w:line="274" w:lineRule="auto"/>
        <w:tabs>
          <w:tab w:leader="none" w:pos="460" w:val="left"/>
        </w:tabs>
        <w:numPr>
          <w:ilvl w:val="0"/>
          <w:numId w:val="40"/>
        </w:numPr>
        <w:rPr>
          <w:rFonts w:ascii="Arial" w:cs="Arial" w:eastAsia="Arial" w:hAnsi="Arial"/>
          <w:sz w:val="19"/>
          <w:szCs w:val="19"/>
          <w:color w:val="231F20"/>
        </w:rPr>
      </w:pPr>
      <w:r>
        <w:rPr>
          <w:rFonts w:ascii="Times New Roman" w:cs="Times New Roman" w:eastAsia="Times New Roman" w:hAnsi="Times New Roman"/>
          <w:sz w:val="19"/>
          <w:szCs w:val="19"/>
          <w:color w:val="231F20"/>
        </w:rPr>
        <w:t>the sum of our net ordinary income and realized net short-term capital gains in excess of realized net long-term capital losses or, investment company taxable income, if any, for that taxable year; and</w:t>
      </w:r>
    </w:p>
    <w:p>
      <w:pPr>
        <w:spacing w:after="0" w:line="61" w:lineRule="exact"/>
        <w:rPr>
          <w:rFonts w:ascii="Arial" w:cs="Arial" w:eastAsia="Arial" w:hAnsi="Arial"/>
          <w:sz w:val="19"/>
          <w:szCs w:val="19"/>
          <w:color w:val="231F20"/>
        </w:rPr>
      </w:pPr>
    </w:p>
    <w:p>
      <w:pPr>
        <w:ind w:left="460" w:hanging="229"/>
        <w:spacing w:after="0"/>
        <w:tabs>
          <w:tab w:leader="none" w:pos="460" w:val="left"/>
        </w:tabs>
        <w:numPr>
          <w:ilvl w:val="0"/>
          <w:numId w:val="40"/>
        </w:numPr>
        <w:rPr>
          <w:rFonts w:ascii="Arial" w:cs="Arial" w:eastAsia="Arial" w:hAnsi="Arial"/>
          <w:sz w:val="19"/>
          <w:szCs w:val="19"/>
          <w:color w:val="231F20"/>
        </w:rPr>
      </w:pPr>
      <w:r>
        <w:rPr>
          <w:rFonts w:ascii="Times New Roman" w:cs="Times New Roman" w:eastAsia="Times New Roman" w:hAnsi="Times New Roman"/>
          <w:sz w:val="19"/>
          <w:szCs w:val="19"/>
          <w:color w:val="231F20"/>
        </w:rPr>
        <w:t>our net tax-exempt income for that taxable year.</w:t>
      </w:r>
    </w:p>
    <w:p>
      <w:pPr>
        <w:spacing w:after="0" w:line="225" w:lineRule="exact"/>
        <w:rPr>
          <w:sz w:val="20"/>
          <w:szCs w:val="20"/>
          <w:color w:val="auto"/>
        </w:rPr>
      </w:pPr>
    </w:p>
    <w:p>
      <w:pPr>
        <w:ind w:right="60" w:firstLine="231"/>
        <w:spacing w:after="0" w:line="247" w:lineRule="auto"/>
        <w:rPr>
          <w:sz w:val="20"/>
          <w:szCs w:val="20"/>
          <w:color w:val="auto"/>
        </w:rPr>
      </w:pPr>
      <w:r>
        <w:rPr>
          <w:rFonts w:ascii="Times New Roman" w:cs="Times New Roman" w:eastAsia="Times New Roman" w:hAnsi="Times New Roman"/>
          <w:sz w:val="19"/>
          <w:szCs w:val="19"/>
          <w:color w:val="231F20"/>
        </w:rPr>
        <w:t>The asset coverage ratio requirements under the 1940 Act and financial covenants under our loan and credit agreements could, under certain circumstances, restrict us from making distributions necessary to satisfy the distribution requirement. In addition, as discussed in more detail below, our income for tax purposes may exceed our available cash flow. If we are unable to obtain cash from other sources, we could fail to satisfy the distribution requirements that apply to a RIC. As a result, we could lose our RIC status and become subject to corporate-level U.S. federal income tax.</w:t>
      </w:r>
    </w:p>
    <w:p>
      <w:pPr>
        <w:spacing w:after="0" w:line="89" w:lineRule="exact"/>
        <w:rPr>
          <w:sz w:val="20"/>
          <w:szCs w:val="20"/>
          <w:color w:val="auto"/>
        </w:rPr>
      </w:pPr>
    </w:p>
    <w:p>
      <w:pPr>
        <w:ind w:left="460" w:right="160" w:hanging="229"/>
        <w:spacing w:after="0" w:line="274" w:lineRule="auto"/>
        <w:tabs>
          <w:tab w:leader="none" w:pos="460" w:val="left"/>
        </w:tabs>
        <w:numPr>
          <w:ilvl w:val="0"/>
          <w:numId w:val="41"/>
        </w:numPr>
        <w:rPr>
          <w:rFonts w:ascii="Arial" w:cs="Arial" w:eastAsia="Arial" w:hAnsi="Arial"/>
          <w:sz w:val="19"/>
          <w:szCs w:val="19"/>
          <w:color w:val="231F20"/>
        </w:rPr>
      </w:pPr>
      <w:r>
        <w:rPr>
          <w:rFonts w:ascii="Times New Roman" w:cs="Times New Roman" w:eastAsia="Times New Roman" w:hAnsi="Times New Roman"/>
          <w:sz w:val="19"/>
          <w:szCs w:val="19"/>
          <w:color w:val="231F20"/>
        </w:rPr>
        <w:t>We must derive at least 90% of our gross income for each taxable year from dividends, interest, gains from the sale of or other disposition of stock or securities or similar sources.</w:t>
      </w:r>
    </w:p>
    <w:p>
      <w:pPr>
        <w:spacing w:after="0" w:line="61" w:lineRule="exact"/>
        <w:rPr>
          <w:rFonts w:ascii="Arial" w:cs="Arial" w:eastAsia="Arial" w:hAnsi="Arial"/>
          <w:sz w:val="19"/>
          <w:szCs w:val="19"/>
          <w:color w:val="231F20"/>
        </w:rPr>
      </w:pPr>
    </w:p>
    <w:p>
      <w:pPr>
        <w:ind w:left="460" w:right="360" w:hanging="229"/>
        <w:spacing w:after="0" w:line="250" w:lineRule="auto"/>
        <w:tabs>
          <w:tab w:leader="none" w:pos="460" w:val="left"/>
        </w:tabs>
        <w:numPr>
          <w:ilvl w:val="0"/>
          <w:numId w:val="41"/>
        </w:numPr>
        <w:rPr>
          <w:rFonts w:ascii="Arial" w:cs="Arial" w:eastAsia="Arial" w:hAnsi="Arial"/>
          <w:sz w:val="19"/>
          <w:szCs w:val="19"/>
          <w:color w:val="231F20"/>
        </w:rPr>
      </w:pPr>
      <w:r>
        <w:rPr>
          <w:rFonts w:ascii="Times New Roman" w:cs="Times New Roman" w:eastAsia="Times New Roman" w:hAnsi="Times New Roman"/>
          <w:sz w:val="19"/>
          <w:szCs w:val="19"/>
          <w:color w:val="231F20"/>
        </w:rPr>
        <w:t>We must meet specified asset diversification requirements at the end of each quarter of our taxable year. The need to satisfy these requirements to prevent the loss of RIC status may result in our having to dispose of certain investments quickly on unfavorable terms. Because most of our investments will be relatively illiquid, any such dispositions could be made at disadvantageous prices and could result in substantial losses.</w:t>
      </w:r>
    </w:p>
    <w:p>
      <w:pPr>
        <w:spacing w:after="0" w:line="184" w:lineRule="exact"/>
        <w:rPr>
          <w:sz w:val="20"/>
          <w:szCs w:val="20"/>
          <w:color w:val="auto"/>
        </w:rPr>
      </w:pPr>
    </w:p>
    <w:p>
      <w:pPr>
        <w:ind w:right="420" w:firstLine="231"/>
        <w:spacing w:after="0" w:line="304" w:lineRule="auto"/>
        <w:rPr>
          <w:sz w:val="20"/>
          <w:szCs w:val="20"/>
          <w:color w:val="auto"/>
        </w:rPr>
      </w:pPr>
      <w:r>
        <w:rPr>
          <w:rFonts w:ascii="Times New Roman" w:cs="Times New Roman" w:eastAsia="Times New Roman" w:hAnsi="Times New Roman"/>
          <w:sz w:val="18"/>
          <w:szCs w:val="18"/>
          <w:color w:val="231F20"/>
        </w:rPr>
        <w:t>If we fail to maintain our qualification for tax treatment as a RIC for any reason, the resulting U.S. federal income tax liability could substantially reduce our net assets, the amount of income available for distribution, and the amount of our distributions.</w:t>
      </w:r>
    </w:p>
    <w:p>
      <w:pPr>
        <w:sectPr>
          <w:pgSz w:w="12240" w:h="15840" w:orient="portrait"/>
          <w:cols w:equalWidth="0" w:num="1">
            <w:col w:w="10180"/>
          </w:cols>
          <w:pgMar w:left="1020" w:top="1317" w:right="1040" w:bottom="57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231F20"/>
        </w:rPr>
        <w:t>33</w:t>
      </w:r>
    </w:p>
    <w:p>
      <w:pPr>
        <w:sectPr>
          <w:pgSz w:w="12240" w:h="15840" w:orient="portrait"/>
          <w:cols w:equalWidth="0" w:num="1">
            <w:col w:w="10180"/>
          </w:cols>
          <w:pgMar w:left="1020" w:top="1317" w:right="1040" w:bottom="574" w:gutter="0" w:footer="0" w:header="0"/>
          <w:type w:val="continuous"/>
        </w:sectPr>
      </w:pPr>
    </w:p>
    <w:bookmarkStart w:id="33" w:name="page34"/>
    <w:bookmarkEnd w:id="33"/>
    <w:p>
      <w:pPr>
        <w:ind w:right="480"/>
        <w:spacing w:after="0" w:line="273" w:lineRule="auto"/>
        <w:rPr>
          <w:sz w:val="20"/>
          <w:szCs w:val="20"/>
          <w:color w:val="auto"/>
        </w:rPr>
      </w:pPr>
      <w:r>
        <w:rPr>
          <w:rFonts w:ascii="Times New Roman" w:cs="Times New Roman" w:eastAsia="Times New Roman" w:hAnsi="Times New Roman"/>
          <w:sz w:val="19"/>
          <w:szCs w:val="19"/>
          <w:b w:val="1"/>
          <w:bCs w:val="1"/>
          <w:i w:val="1"/>
          <w:iCs w:val="1"/>
          <w:color w:val="231F20"/>
        </w:rPr>
        <w:t>We can be expected to retain some income and capital gains in excess of what is permissible for excise tax purposes and such amounts will be subject to 4% U.S. federal excise tax.</w:t>
      </w:r>
    </w:p>
    <w:p>
      <w:pPr>
        <w:spacing w:after="0" w:line="49" w:lineRule="exact"/>
        <w:rPr>
          <w:sz w:val="20"/>
          <w:szCs w:val="20"/>
          <w:color w:val="auto"/>
        </w:rPr>
      </w:pPr>
    </w:p>
    <w:p>
      <w:pPr>
        <w:ind w:right="60" w:firstLine="231"/>
        <w:spacing w:after="0" w:line="244" w:lineRule="auto"/>
        <w:rPr>
          <w:sz w:val="20"/>
          <w:szCs w:val="20"/>
          <w:color w:val="auto"/>
        </w:rPr>
      </w:pPr>
      <w:r>
        <w:rPr>
          <w:rFonts w:ascii="Times New Roman" w:cs="Times New Roman" w:eastAsia="Times New Roman" w:hAnsi="Times New Roman"/>
          <w:sz w:val="19"/>
          <w:szCs w:val="19"/>
          <w:color w:val="231F20"/>
        </w:rPr>
        <w:t>As of December 31, 2024 and December 31, 2023, we elected to retain approximately $116.2 million and $91.6 million of taxable income and capital gains, respectively, in order to provide us with additional liquidity and we recorded an expense of $3.8 million and $2.3 million, respectively, for U.S. federal excise tax as a result. We can be expected to retain some income and capital gains in the future, including for purposes of providing us with additional liquidity, which amounts would similarly be subject to the 4% U.S. federal excise tax. In that event, we will be liable for the tax on the amount by which we do not meet the foregoing distribution requirement. See “</w:t>
      </w:r>
      <w:r>
        <w:rPr>
          <w:rFonts w:ascii="Times New Roman" w:cs="Times New Roman" w:eastAsia="Times New Roman" w:hAnsi="Times New Roman"/>
          <w:sz w:val="19"/>
          <w:szCs w:val="19"/>
          <w:i w:val="1"/>
          <w:iCs w:val="1"/>
          <w:color w:val="231F20"/>
        </w:rPr>
        <w:t>ITEM 1. BUSINESS—Regulation as a Business Development Company—Regulated Investment Company</w:t>
      </w:r>
      <w:r>
        <w:rPr>
          <w:rFonts w:ascii="Times New Roman" w:cs="Times New Roman" w:eastAsia="Times New Roman" w:hAnsi="Times New Roman"/>
          <w:sz w:val="19"/>
          <w:szCs w:val="19"/>
          <w:color w:val="231F20"/>
        </w:rPr>
        <w:t xml:space="preserve"> </w:t>
      </w:r>
      <w:r>
        <w:rPr>
          <w:rFonts w:ascii="Times New Roman" w:cs="Times New Roman" w:eastAsia="Times New Roman" w:hAnsi="Times New Roman"/>
          <w:sz w:val="19"/>
          <w:szCs w:val="19"/>
          <w:i w:val="1"/>
          <w:iCs w:val="1"/>
          <w:color w:val="231F20"/>
        </w:rPr>
        <w:t>Classification</w:t>
      </w:r>
      <w:r>
        <w:rPr>
          <w:rFonts w:ascii="Times New Roman" w:cs="Times New Roman" w:eastAsia="Times New Roman" w:hAnsi="Times New Roman"/>
          <w:sz w:val="19"/>
          <w:szCs w:val="19"/>
          <w:color w:val="231F20"/>
        </w:rPr>
        <w:t>” for more information.</w:t>
      </w: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231F20"/>
        </w:rPr>
        <w:t>We are exposed to risks associated with changes in interest rates.</w:t>
      </w:r>
    </w:p>
    <w:p>
      <w:pPr>
        <w:spacing w:after="0" w:line="110" w:lineRule="exact"/>
        <w:rPr>
          <w:sz w:val="20"/>
          <w:szCs w:val="20"/>
          <w:color w:val="auto"/>
        </w:rPr>
      </w:pPr>
    </w:p>
    <w:p>
      <w:pPr>
        <w:ind w:firstLine="231"/>
        <w:spacing w:after="0" w:line="243" w:lineRule="auto"/>
        <w:rPr>
          <w:sz w:val="20"/>
          <w:szCs w:val="20"/>
          <w:color w:val="auto"/>
        </w:rPr>
      </w:pPr>
      <w:r>
        <w:rPr>
          <w:rFonts w:ascii="Times New Roman" w:cs="Times New Roman" w:eastAsia="Times New Roman" w:hAnsi="Times New Roman"/>
          <w:sz w:val="19"/>
          <w:szCs w:val="19"/>
          <w:color w:val="231F20"/>
        </w:rPr>
        <w:t>The majority of our debt investments are based on floating rates, such as Euro Interbank Offer Rate (“EURIBOR”), Term Secured Overnight Financing Rate (“SOFR”), Sterling Overnight Index Average ("SONIA"), the Federal Funds Rate or the Prime Rate. General interest rate fluctuations may have a substantial negative impact on our investments, the value of our common stock and our rate of return on invested capital. On one hand, a reduction in the interest rates on new investments relative to interest rates on current investments could have an adverse impact on our net interest income, which also could be negatively impacted by our borrowers making prepayments on their loans. On the other hand, an increase in interest rates could increase the interest repayment obligations of our borrowers and result in challenges to their financial performance and ability to repay their obligations, adversely affecting the credit quality of our investments.</w:t>
      </w:r>
    </w:p>
    <w:p>
      <w:pPr>
        <w:spacing w:after="0" w:line="81" w:lineRule="exact"/>
        <w:rPr>
          <w:sz w:val="20"/>
          <w:szCs w:val="20"/>
          <w:color w:val="auto"/>
        </w:rPr>
      </w:pPr>
    </w:p>
    <w:p>
      <w:pPr>
        <w:ind w:right="60" w:firstLine="231"/>
        <w:spacing w:after="0" w:line="244" w:lineRule="auto"/>
        <w:rPr>
          <w:sz w:val="20"/>
          <w:szCs w:val="20"/>
          <w:color w:val="auto"/>
        </w:rPr>
      </w:pPr>
      <w:r>
        <w:rPr>
          <w:rFonts w:ascii="Times New Roman" w:cs="Times New Roman" w:eastAsia="Times New Roman" w:hAnsi="Times New Roman"/>
          <w:sz w:val="19"/>
          <w:szCs w:val="19"/>
          <w:color w:val="231F20"/>
        </w:rPr>
        <w:t>An increase in interest rates could also decrease the value of any investments we hold that earn fixed interest rates, including subordinated loans, senior and junior secured and unsecured debt securities and loans and high yield bonds, and also could increase our interest expense, thereby decreasing our net income. Moreover, an increase in interest rates available to investors could make investment in our common stock less attractive if we are not able to increase our dividend rate, which could reduce the value of our common stock. Federal Reserve policy, including with respect to certain interest rates and the decision to end its quantitative easing policy, may also adversely affect the value, volatility and liquidity of dividend- and interest-paying securities. Market volatility, rising interest rates and/or a return to unfavorable economic conditions could adversely affect our business.</w:t>
      </w:r>
    </w:p>
    <w:p>
      <w:pPr>
        <w:spacing w:after="0" w:line="79" w:lineRule="exact"/>
        <w:rPr>
          <w:sz w:val="20"/>
          <w:szCs w:val="20"/>
          <w:color w:val="auto"/>
        </w:rPr>
      </w:pPr>
    </w:p>
    <w:p>
      <w:pPr>
        <w:ind w:right="220" w:firstLine="231"/>
        <w:spacing w:after="0" w:line="275" w:lineRule="auto"/>
        <w:rPr>
          <w:sz w:val="20"/>
          <w:szCs w:val="20"/>
          <w:color w:val="auto"/>
        </w:rPr>
      </w:pPr>
      <w:r>
        <w:rPr>
          <w:rFonts w:ascii="Times New Roman" w:cs="Times New Roman" w:eastAsia="Times New Roman" w:hAnsi="Times New Roman"/>
          <w:sz w:val="19"/>
          <w:szCs w:val="19"/>
          <w:color w:val="231F20"/>
        </w:rPr>
        <w:t>A rise in the general level of interest rates typically leads to higher interest rates applicable to our debt investments. Accordingly, an increase in interest rates may result in an increase in the amount of the Incentive Fee payable to the Adviser.</w:t>
      </w:r>
    </w:p>
    <w:p>
      <w:pPr>
        <w:spacing w:after="0" w:line="47" w:lineRule="exact"/>
        <w:rPr>
          <w:sz w:val="20"/>
          <w:szCs w:val="20"/>
          <w:color w:val="auto"/>
        </w:rPr>
      </w:pPr>
    </w:p>
    <w:p>
      <w:pPr>
        <w:ind w:right="780" w:firstLine="231"/>
        <w:spacing w:after="0" w:line="275" w:lineRule="auto"/>
        <w:rPr>
          <w:sz w:val="20"/>
          <w:szCs w:val="20"/>
          <w:color w:val="auto"/>
        </w:rPr>
      </w:pPr>
      <w:r>
        <w:rPr>
          <w:rFonts w:ascii="Times New Roman" w:cs="Times New Roman" w:eastAsia="Times New Roman" w:hAnsi="Times New Roman"/>
          <w:sz w:val="19"/>
          <w:szCs w:val="19"/>
          <w:color w:val="231F20"/>
        </w:rPr>
        <w:t>We may use interest rate risk management techniques in an effort to limit our exposure to interest rate fluctuations. These techniques may include various interest rate hedging activities to the extent permitted by the 1940 Act.</w:t>
      </w:r>
    </w:p>
    <w:p>
      <w:pPr>
        <w:spacing w:after="0" w:line="47" w:lineRule="exact"/>
        <w:rPr>
          <w:sz w:val="20"/>
          <w:szCs w:val="20"/>
          <w:color w:val="auto"/>
        </w:rPr>
      </w:pPr>
    </w:p>
    <w:p>
      <w:pPr>
        <w:ind w:right="520" w:firstLine="231"/>
        <w:spacing w:after="0" w:line="257" w:lineRule="auto"/>
        <w:rPr>
          <w:sz w:val="20"/>
          <w:szCs w:val="20"/>
          <w:color w:val="auto"/>
        </w:rPr>
      </w:pPr>
      <w:r>
        <w:rPr>
          <w:rFonts w:ascii="Times New Roman" w:cs="Times New Roman" w:eastAsia="Times New Roman" w:hAnsi="Times New Roman"/>
          <w:sz w:val="19"/>
          <w:szCs w:val="19"/>
          <w:color w:val="231F20"/>
        </w:rPr>
        <w:t>Our Revolving Credit Facility is subject to variable rates that expose us to interest rate risk. We may also incur additional indebtedness subject to variable rates in the future. When interest rates increase, our debt service obligations on the variable rate indebtedness increase even though the amount borrowed remains the same.</w:t>
      </w:r>
    </w:p>
    <w:p>
      <w:pPr>
        <w:spacing w:after="0" w:line="63" w:lineRule="exact"/>
        <w:rPr>
          <w:sz w:val="20"/>
          <w:szCs w:val="20"/>
          <w:color w:val="auto"/>
        </w:rPr>
      </w:pPr>
    </w:p>
    <w:p>
      <w:pPr>
        <w:ind w:right="40" w:firstLine="231"/>
        <w:spacing w:after="0" w:line="244" w:lineRule="auto"/>
        <w:rPr>
          <w:sz w:val="20"/>
          <w:szCs w:val="20"/>
          <w:color w:val="auto"/>
        </w:rPr>
      </w:pPr>
      <w:r>
        <w:rPr>
          <w:rFonts w:ascii="Times New Roman" w:cs="Times New Roman" w:eastAsia="Times New Roman" w:hAnsi="Times New Roman"/>
          <w:sz w:val="19"/>
          <w:szCs w:val="19"/>
          <w:color w:val="231F20"/>
        </w:rPr>
        <w:t>U.S. dollar borrowings under our Revolving Credit Facility bear interest at a rate derived from SOFR. SOFR is a relatively new reference rate and has a very limited history. The future performance of SOFR cannot be predicted based on its limited historical performance. Since the initial publication of SOFR in April 2018, changes in SOFR have, on occasion, been more volatile than changes in other benchmark or market rates. The use of SOFR is relatively new, and there could be unanticipated difficulties or disruptions with the calculation and publication of SOFR. Additionally, any successor rate to SOFR under our revolving credit facility may not have the same characteristics as SOFR. As a result, the amount of interest we may pay on our revolving credit facility is difficult to predict.</w:t>
      </w:r>
    </w:p>
    <w:p>
      <w:pPr>
        <w:spacing w:after="0" w:line="30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231F20"/>
        </w:rPr>
        <w:t>Our Adviser and its affiliates, officers and employees may face certain conflicts of interest.</w:t>
      </w:r>
    </w:p>
    <w:p>
      <w:pPr>
        <w:spacing w:after="0" w:line="110" w:lineRule="exact"/>
        <w:rPr>
          <w:sz w:val="20"/>
          <w:szCs w:val="20"/>
          <w:color w:val="auto"/>
        </w:rPr>
      </w:pPr>
    </w:p>
    <w:p>
      <w:pPr>
        <w:ind w:firstLine="231"/>
        <w:spacing w:after="0" w:line="244" w:lineRule="auto"/>
        <w:rPr>
          <w:sz w:val="20"/>
          <w:szCs w:val="20"/>
          <w:color w:val="auto"/>
        </w:rPr>
      </w:pPr>
      <w:r>
        <w:rPr>
          <w:rFonts w:ascii="Times New Roman" w:cs="Times New Roman" w:eastAsia="Times New Roman" w:hAnsi="Times New Roman"/>
          <w:sz w:val="19"/>
          <w:szCs w:val="19"/>
          <w:color w:val="231F20"/>
        </w:rPr>
        <w:t>Sixth Street and its affiliates will refer all middle-market loan origination activities for companies domiciled in the United States to us and conduct those activities through us. The Adviser will determine whether it would be permissible, advisable or otherwise appropriate for us to pursue a particular investment opportunity allocated to us. However, the Adviser, its officers and employees and members of its Investment Review Committee serve or may serve as investment advisers, officers, directors or principals of entities or investment funds that operate in the same or a related line of business as us or of investment funds managed by our affiliates. Accordingly, these individuals may have obligations to investors in those entities or funds, the fulfillment of which might not be in our best interests or the best interests of our stockholders.</w:t>
      </w:r>
    </w:p>
    <w:p>
      <w:pPr>
        <w:spacing w:after="0" w:line="192" w:lineRule="exact"/>
        <w:rPr>
          <w:sz w:val="20"/>
          <w:szCs w:val="20"/>
          <w:color w:val="auto"/>
        </w:rPr>
      </w:pPr>
    </w:p>
    <w:p>
      <w:pPr>
        <w:ind w:right="80" w:firstLine="231"/>
        <w:spacing w:after="0" w:line="269" w:lineRule="auto"/>
        <w:rPr>
          <w:sz w:val="20"/>
          <w:szCs w:val="20"/>
          <w:color w:val="auto"/>
        </w:rPr>
      </w:pPr>
      <w:r>
        <w:rPr>
          <w:rFonts w:ascii="Times New Roman" w:cs="Times New Roman" w:eastAsia="Times New Roman" w:hAnsi="Times New Roman"/>
          <w:sz w:val="18"/>
          <w:szCs w:val="18"/>
          <w:color w:val="231F20"/>
        </w:rPr>
        <w:t>In addition, any affiliated investment vehicle currently formed or formed in the future and managed by the Adviser or its affiliates, particularly in connection with any future growth of their respective businesses, may have overlapping investment objectives with our own and, accordingly, may invest in asset classes similar to those targeted by us. For example, Sixth Street has organized a separate investment vehicle, Sixth Street Specialty Lending Europe, aimed specifically at European middle-market loan originations and may</w:t>
      </w:r>
    </w:p>
    <w:p>
      <w:pPr>
        <w:sectPr>
          <w:pgSz w:w="12240" w:h="15840" w:orient="portrait"/>
          <w:cols w:equalWidth="0" w:num="1">
            <w:col w:w="10200"/>
          </w:cols>
          <w:pgMar w:left="1020" w:top="1319" w:right="1020" w:bottom="574" w:gutter="0" w:footer="0" w:header="0"/>
        </w:sect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231F20"/>
        </w:rPr>
        <w:t>34</w:t>
      </w:r>
    </w:p>
    <w:p>
      <w:pPr>
        <w:sectPr>
          <w:pgSz w:w="12240" w:h="15840" w:orient="portrait"/>
          <w:cols w:equalWidth="0" w:num="1">
            <w:col w:w="10200"/>
          </w:cols>
          <w:pgMar w:left="1020" w:top="1319" w:right="1020" w:bottom="574" w:gutter="0" w:footer="0" w:header="0"/>
          <w:type w:val="continuous"/>
        </w:sectPr>
      </w:pPr>
    </w:p>
    <w:bookmarkStart w:id="34" w:name="page35"/>
    <w:bookmarkEnd w:id="34"/>
    <w:p>
      <w:pPr>
        <w:ind w:right="220"/>
        <w:spacing w:after="0" w:line="246" w:lineRule="auto"/>
        <w:rPr>
          <w:sz w:val="20"/>
          <w:szCs w:val="20"/>
          <w:color w:val="auto"/>
        </w:rPr>
      </w:pPr>
      <w:r>
        <w:rPr>
          <w:rFonts w:ascii="Times New Roman" w:cs="Times New Roman" w:eastAsia="Times New Roman" w:hAnsi="Times New Roman"/>
          <w:sz w:val="19"/>
          <w:szCs w:val="19"/>
          <w:color w:val="231F20"/>
        </w:rPr>
        <w:t>in the future organize vehicles aimed at other loan origination opportunities outside our primary focus. Our ability to pursue investment opportunities other than middle-market loan originations for companies domiciled in the United States is subject to the contractual and other requirements of these other funds and allocation decisions by their respective senior professionals. As a result, the Adviser and its affiliates may face conflicts in allocating investment opportunities between us and those other entities. It is possible that we may not be given the opportunity to participate in certain investments made by those other entities that would otherwise be suitable for us.</w:t>
      </w:r>
    </w:p>
    <w:p>
      <w:pPr>
        <w:spacing w:after="0" w:line="18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9"/>
          <w:szCs w:val="19"/>
          <w:b w:val="1"/>
          <w:bCs w:val="1"/>
          <w:i w:val="1"/>
          <w:iCs w:val="1"/>
          <w:color w:val="231F20"/>
        </w:rPr>
        <w:t>Our ability to enter into transactions with our affiliates is restricted.</w:t>
      </w:r>
    </w:p>
    <w:p>
      <w:pPr>
        <w:spacing w:after="0" w:line="223" w:lineRule="exact"/>
        <w:rPr>
          <w:sz w:val="20"/>
          <w:szCs w:val="20"/>
          <w:color w:val="auto"/>
        </w:rPr>
      </w:pPr>
    </w:p>
    <w:p>
      <w:pPr>
        <w:ind w:right="20" w:firstLine="231"/>
        <w:spacing w:after="0" w:line="258" w:lineRule="auto"/>
        <w:rPr>
          <w:sz w:val="20"/>
          <w:szCs w:val="20"/>
          <w:color w:val="auto"/>
        </w:rPr>
      </w:pPr>
      <w:r>
        <w:rPr>
          <w:rFonts w:ascii="Times New Roman" w:cs="Times New Roman" w:eastAsia="Times New Roman" w:hAnsi="Times New Roman"/>
          <w:sz w:val="18"/>
          <w:szCs w:val="18"/>
          <w:color w:val="231F20"/>
        </w:rPr>
        <w:t>We are prohibited under the 1940 Act from participating in certain transactions with certain of our affiliates without the prior approval of our Independent Directors and, in some cases, exemptive relief from the SEC. Any person that owns, directly or indirectly, 5% or more of our outstanding voting securities is our affiliate for purposes of the 1940 Act, and we generally are prohibited from buying or selling any security from or to such affiliate, absent the prior approval of our Independent Directors. The 1940 Act also prohibits certain “joint” transactions with certain of our affiliates, which could include investments in the same portfolio company (whether at the same or different times), without prior approval of our Independent Directors and, in some cases, exemptive relief from the SEC. If a person acquires more than 25% of our voting securities, we are prohibited from buying or selling any security from or to such person or certain of that person’s affiliates, or entering into prohibited joint transactions with such persons, absent the prior approval of the SEC. Similar restrictions limit our ability to transact business with our officers or directors or their affiliates.</w:t>
      </w:r>
    </w:p>
    <w:p>
      <w:pPr>
        <w:spacing w:after="0" w:line="179" w:lineRule="exact"/>
        <w:rPr>
          <w:sz w:val="20"/>
          <w:szCs w:val="20"/>
          <w:color w:val="auto"/>
        </w:rPr>
      </w:pPr>
    </w:p>
    <w:p>
      <w:pPr>
        <w:ind w:right="180" w:firstLine="231"/>
        <w:spacing w:after="0" w:line="247" w:lineRule="auto"/>
        <w:rPr>
          <w:sz w:val="20"/>
          <w:szCs w:val="20"/>
          <w:color w:val="auto"/>
        </w:rPr>
      </w:pPr>
      <w:r>
        <w:rPr>
          <w:rFonts w:ascii="Times New Roman" w:cs="Times New Roman" w:eastAsia="Times New Roman" w:hAnsi="Times New Roman"/>
          <w:sz w:val="19"/>
          <w:szCs w:val="19"/>
          <w:color w:val="231F20"/>
        </w:rPr>
        <w:t>The decision by Sixth Street, our Adviser or their affiliates to allocate an opportunity to another entity could cause us to forgo an investment opportunity that we otherwise would have made. We also generally will be unable to invest in any issuer in which Sixth Street and its other affiliates or a fund managed by Sixth Street or its other affiliates has previously invested or in which they are making an investment. Similar restrictions limit our ability to transact business with our officers or directors or their affiliates. These restrictions may limit the scope of investment opportunities that would otherwise be available to us.</w:t>
      </w:r>
    </w:p>
    <w:p>
      <w:pPr>
        <w:spacing w:after="0" w:line="188" w:lineRule="exact"/>
        <w:rPr>
          <w:sz w:val="20"/>
          <w:szCs w:val="20"/>
          <w:color w:val="auto"/>
        </w:rPr>
      </w:pPr>
    </w:p>
    <w:p>
      <w:pPr>
        <w:ind w:firstLine="231"/>
        <w:spacing w:after="0" w:line="255" w:lineRule="auto"/>
        <w:rPr>
          <w:sz w:val="20"/>
          <w:szCs w:val="20"/>
          <w:color w:val="auto"/>
        </w:rPr>
      </w:pPr>
      <w:r>
        <w:rPr>
          <w:rFonts w:ascii="Times New Roman" w:cs="Times New Roman" w:eastAsia="Times New Roman" w:hAnsi="Times New Roman"/>
          <w:sz w:val="18"/>
          <w:szCs w:val="18"/>
          <w:color w:val="231F20"/>
        </w:rPr>
        <w:t>On December 16, 2014, we were granted an exemptive order from the SEC that, if certain conditions are met, allows us to co-invest with certain of our affiliates (including affiliates of Sixth Street) in middle-market loan origination activities for companies domiciled in the United States and certain “follow-on” investments in companies in which we have already co-invested pursuant to the order and remain invested. On January 16, 2020, we filed a further application for co-investment exemptive relief with the SEC, which was most recently amended on June 29, 2022, in order to better align our existing co-investment relief with more recent SEC exemptive orders, including flexibility to allow certain private funds affiliated with us to participate in “follow-on” investments in issuers in which we are invested, but such private affiliated funds are not invested. On August 3, 2022, the SEC granted the new order in response to our application. The new order provides us with greater flexibility to participate in co-investment transactions with certain proprietary accounts that are majority-owned by our Adviser or its affiliates, to participate in “follow-on” investments in so-called “pre-boarding” investments in which we or an affiliated fund acquired a prior position not in reliance on the prior SEC exemptive order, and to participate in certain “follow-on” investments and pro rata distributions of existing co-investment positions without seeking approval by a majority of our Independent Directors. Our Board has established certain criteria to describe the characteristics of potential co-investment transactions in which we are permitted to participate and regarding which the Adviser should be notified. We and our affiliates, including investment funds managed by our affiliates, are only permitted to co-invest in accordance with the terms of the exemptive order or in the limited circumstances otherwise currently permitted by regulatory guidance. We cannot assure you when or whether we will apply for any other exemptive relief in the future and whether such orders will be obtained.</w:t>
      </w:r>
    </w:p>
    <w:p>
      <w:pPr>
        <w:spacing w:after="0" w:line="185" w:lineRule="exact"/>
        <w:rPr>
          <w:sz w:val="20"/>
          <w:szCs w:val="20"/>
          <w:color w:val="auto"/>
        </w:rPr>
      </w:pPr>
    </w:p>
    <w:p>
      <w:pPr>
        <w:ind w:right="320" w:firstLine="231"/>
        <w:spacing w:after="0" w:line="256" w:lineRule="auto"/>
        <w:rPr>
          <w:sz w:val="20"/>
          <w:szCs w:val="20"/>
          <w:color w:val="auto"/>
        </w:rPr>
      </w:pPr>
      <w:r>
        <w:rPr>
          <w:rFonts w:ascii="Times New Roman" w:cs="Times New Roman" w:eastAsia="Times New Roman" w:hAnsi="Times New Roman"/>
          <w:sz w:val="19"/>
          <w:szCs w:val="19"/>
          <w:b w:val="1"/>
          <w:bCs w:val="1"/>
          <w:i w:val="1"/>
          <w:iCs w:val="1"/>
          <w:color w:val="231F20"/>
        </w:rPr>
        <w:t>Our Adviser can resign on 60 days’ notice. We may not be able to find a suitable replacement within that time, resulting in a disruption in our operations and a loss of the benefits from our relationship with Sixth Street. Any new investment advisory agreement would require stockholder approval.</w:t>
      </w:r>
    </w:p>
    <w:p>
      <w:pPr>
        <w:spacing w:after="0" w:line="64" w:lineRule="exact"/>
        <w:rPr>
          <w:sz w:val="20"/>
          <w:szCs w:val="20"/>
          <w:color w:val="auto"/>
        </w:rPr>
      </w:pPr>
    </w:p>
    <w:p>
      <w:pPr>
        <w:ind w:right="40" w:firstLine="231"/>
        <w:spacing w:after="0" w:line="242" w:lineRule="auto"/>
        <w:rPr>
          <w:sz w:val="20"/>
          <w:szCs w:val="20"/>
          <w:color w:val="auto"/>
        </w:rPr>
      </w:pPr>
      <w:r>
        <w:rPr>
          <w:rFonts w:ascii="Times New Roman" w:cs="Times New Roman" w:eastAsia="Times New Roman" w:hAnsi="Times New Roman"/>
          <w:sz w:val="19"/>
          <w:szCs w:val="19"/>
          <w:color w:val="231F20"/>
        </w:rPr>
        <w:t>The Adviser has the right, under the Investment Advisory Agreement and the Administration Agreement, to resign at any time on 60 days’ written notice, regardless of whether we have found a replacement. In addition, our Board has the authority to remove the Adviser for any reason or for no reason, or may choose not to renew the Investment Advisory Agreement and the Administration Agreement. Furthermore, the Investment Advisory Agreement automatically terminates in the event of its assignment, as defined in the 1940 Act, by the Adviser. If the Adviser resigns or is terminated, or if we do not obtain the requisite approvals of stockholders and our Board to approve an agreement with the Adviser after an assignment, we may not be able to find a new investment adviser or hire internal management with similar expertise and ability to provide the same or equivalent services on acceptable terms within 60 days, or at all. If we are unable to do so quickly, our operations are likely to experience a disruption and costs under any new agreements that we enter into could increase. Our financial condition, business and results of operations, as well as our ability to pay dividends, are likely to be adversely affected, and the value of our common stock may decline.</w:t>
      </w:r>
    </w:p>
    <w:p>
      <w:pPr>
        <w:spacing w:after="0" w:line="196" w:lineRule="exact"/>
        <w:rPr>
          <w:sz w:val="20"/>
          <w:szCs w:val="20"/>
          <w:color w:val="auto"/>
        </w:rPr>
      </w:pPr>
    </w:p>
    <w:p>
      <w:pPr>
        <w:ind w:right="40" w:firstLine="231"/>
        <w:spacing w:after="0" w:line="304" w:lineRule="auto"/>
        <w:rPr>
          <w:sz w:val="20"/>
          <w:szCs w:val="20"/>
          <w:color w:val="auto"/>
        </w:rPr>
      </w:pPr>
      <w:r>
        <w:rPr>
          <w:rFonts w:ascii="Times New Roman" w:cs="Times New Roman" w:eastAsia="Times New Roman" w:hAnsi="Times New Roman"/>
          <w:sz w:val="18"/>
          <w:szCs w:val="18"/>
          <w:color w:val="231F20"/>
        </w:rPr>
        <w:t>Any new Investment Advisory Agreement would be subject to approval by our stockholders. Even if we are able to enter into comparable management or administrative arrangements, the integration of a new adviser or administrator and their lack of familiarity</w:t>
      </w:r>
    </w:p>
    <w:p>
      <w:pPr>
        <w:sectPr>
          <w:pgSz w:w="12240" w:h="15840" w:orient="portrait"/>
          <w:cols w:equalWidth="0" w:num="1">
            <w:col w:w="10200"/>
          </w:cols>
          <w:pgMar w:left="1020" w:top="1317" w:right="1020" w:bottom="574" w:gutter="0" w:footer="0" w:header="0"/>
        </w:sectPr>
      </w:pPr>
    </w:p>
    <w:p>
      <w:pPr>
        <w:spacing w:after="0" w:line="3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231F20"/>
        </w:rPr>
        <w:t>35</w:t>
      </w:r>
    </w:p>
    <w:p>
      <w:pPr>
        <w:sectPr>
          <w:pgSz w:w="12240" w:h="15840" w:orient="portrait"/>
          <w:cols w:equalWidth="0" w:num="1">
            <w:col w:w="10200"/>
          </w:cols>
          <w:pgMar w:left="1020" w:top="1317" w:right="1020" w:bottom="574" w:gutter="0" w:footer="0" w:header="0"/>
          <w:type w:val="continuous"/>
        </w:sectPr>
      </w:pPr>
    </w:p>
    <w:bookmarkStart w:id="35" w:name="page36"/>
    <w:bookmarkEnd w:id="35"/>
    <w:p>
      <w:pPr>
        <w:spacing w:after="0" w:line="275" w:lineRule="auto"/>
        <w:rPr>
          <w:sz w:val="20"/>
          <w:szCs w:val="20"/>
          <w:color w:val="auto"/>
        </w:rPr>
      </w:pPr>
      <w:r>
        <w:rPr>
          <w:rFonts w:ascii="Times New Roman" w:cs="Times New Roman" w:eastAsia="Times New Roman" w:hAnsi="Times New Roman"/>
          <w:sz w:val="19"/>
          <w:szCs w:val="19"/>
          <w:color w:val="231F20"/>
        </w:rPr>
        <w:t>with our investment objective may result in additional costs and time delays that may adversely affect our business, financial condition and results of operations.</w:t>
      </w:r>
    </w:p>
    <w:p>
      <w:pPr>
        <w:spacing w:after="0" w:line="160" w:lineRule="exact"/>
        <w:rPr>
          <w:sz w:val="20"/>
          <w:szCs w:val="20"/>
          <w:color w:val="auto"/>
        </w:rPr>
      </w:pPr>
    </w:p>
    <w:p>
      <w:pPr>
        <w:ind w:right="220" w:firstLine="231"/>
        <w:spacing w:after="0" w:line="257" w:lineRule="auto"/>
        <w:rPr>
          <w:sz w:val="20"/>
          <w:szCs w:val="20"/>
          <w:color w:val="auto"/>
        </w:rPr>
      </w:pPr>
      <w:r>
        <w:rPr>
          <w:rFonts w:ascii="Times New Roman" w:cs="Times New Roman" w:eastAsia="Times New Roman" w:hAnsi="Times New Roman"/>
          <w:sz w:val="19"/>
          <w:szCs w:val="19"/>
          <w:color w:val="231F20"/>
        </w:rPr>
        <w:t>In addition, if the Adviser resigns or is terminated, we would lose the benefits of our relationship with Sixth Street, including insights into our existing portfolio, market expertise, sector and macroeconomic views and due diligence capabilities, as well as any investment opportunities referred to us.</w:t>
      </w:r>
    </w:p>
    <w:p>
      <w:pPr>
        <w:spacing w:after="0" w:line="292" w:lineRule="exact"/>
        <w:rPr>
          <w:sz w:val="20"/>
          <w:szCs w:val="20"/>
          <w:color w:val="auto"/>
        </w:rPr>
      </w:pPr>
    </w:p>
    <w:p>
      <w:pPr>
        <w:ind w:right="180"/>
        <w:spacing w:after="0" w:line="256" w:lineRule="auto"/>
        <w:rPr>
          <w:sz w:val="20"/>
          <w:szCs w:val="20"/>
          <w:color w:val="auto"/>
        </w:rPr>
      </w:pPr>
      <w:r>
        <w:rPr>
          <w:rFonts w:ascii="Times New Roman" w:cs="Times New Roman" w:eastAsia="Times New Roman" w:hAnsi="Times New Roman"/>
          <w:sz w:val="19"/>
          <w:szCs w:val="19"/>
          <w:b w:val="1"/>
          <w:bCs w:val="1"/>
          <w:i w:val="1"/>
          <w:iCs w:val="1"/>
          <w:color w:val="231F20"/>
        </w:rPr>
        <w:t>The Adviser’s liability is limited under the Investment Advisory Agreement, and we are required to indemnify the Adviser against certain liabilities, which may lead the Adviser to act in a riskier manner on our behalf than it would when acting for its own account.</w:t>
      </w:r>
    </w:p>
    <w:p>
      <w:pPr>
        <w:spacing w:after="0" w:line="64" w:lineRule="exact"/>
        <w:rPr>
          <w:sz w:val="20"/>
          <w:szCs w:val="20"/>
          <w:color w:val="auto"/>
        </w:rPr>
      </w:pPr>
    </w:p>
    <w:p>
      <w:pPr>
        <w:ind w:right="40" w:firstLine="231"/>
        <w:spacing w:after="0" w:line="260" w:lineRule="auto"/>
        <w:rPr>
          <w:sz w:val="20"/>
          <w:szCs w:val="20"/>
          <w:color w:val="auto"/>
        </w:rPr>
      </w:pPr>
      <w:r>
        <w:rPr>
          <w:rFonts w:ascii="Times New Roman" w:cs="Times New Roman" w:eastAsia="Times New Roman" w:hAnsi="Times New Roman"/>
          <w:sz w:val="18"/>
          <w:szCs w:val="18"/>
          <w:color w:val="231F20"/>
        </w:rPr>
        <w:t>The Adviser has not assumed any responsibility to us other than to render the services described in the Investment Advisory Agreement, and it will not be responsible for any action of our Board in declining to follow the Adviser’s advice or recommendations. Pursuant to the Investment Advisory Agreement, the Adviser and its members, managers, officers, employees, agents, controlling persons and any other person or entity affiliated with it will not be liable to us for any action taken or omitted to be taken by the Adviser in connection with the performance of any of its duties or obligations under the Investment Advisory Agreement or otherwise as our investment adviser (except to the extent specified in Section 36(b) of the 1940 Act concerning loss resulting from a breach of fiduciary duty (as the same is finally determined by judicial proceedings) with respect to the receipt of compensation for services).</w:t>
      </w:r>
    </w:p>
    <w:p>
      <w:pPr>
        <w:spacing w:after="0" w:line="177" w:lineRule="exact"/>
        <w:rPr>
          <w:sz w:val="20"/>
          <w:szCs w:val="20"/>
          <w:color w:val="auto"/>
        </w:rPr>
      </w:pPr>
    </w:p>
    <w:p>
      <w:pPr>
        <w:ind w:right="100" w:firstLine="231"/>
        <w:spacing w:after="0" w:line="241" w:lineRule="auto"/>
        <w:rPr>
          <w:sz w:val="20"/>
          <w:szCs w:val="20"/>
          <w:color w:val="auto"/>
        </w:rPr>
      </w:pPr>
      <w:r>
        <w:rPr>
          <w:rFonts w:ascii="Times New Roman" w:cs="Times New Roman" w:eastAsia="Times New Roman" w:hAnsi="Times New Roman"/>
          <w:sz w:val="19"/>
          <w:szCs w:val="19"/>
          <w:color w:val="231F20"/>
        </w:rPr>
        <w:t>We have agreed to the fullest extent permitted by law, to provide indemnification and the right to the advancement of expenses, to each person who was or is made a party or is threatened to be made a party to or is involved (including as a witness) in any actual or threatened action, suit or proceeding, whether civil, criminal, administrative or investigative, because he or she is or was a member, manager, officer, employee, agent, controlling person or any other person or entity affiliated with the Adviser with respect to all damages, liabilities, costs and expenses resulting from acts of the Adviser in the performance of the person’s duties under the Investment Advisory Agreement. Our obligation to provide indemnification and advancement of expenses is subject to the requirements of the 1940 Act and Investment Company Act Release No. 11330, which, among other things, preclude indemnification for any liability (whether or not there is an adjudication of liability or the matter has been settled) arising by reason of willful misfeasance, bad faith, gross negligence, or reckless disregard of duties, and require reasonable and fair means for determining whether indemnification will be made. Despite these limitations, the rights to indemnification and advancement of expenses may lead the Adviser and its members, managers, officers, employees, agents, controlling persons and other persons and entities affiliated with the Adviser to act in a riskier manner than they would when acting for their own account.</w:t>
      </w:r>
    </w:p>
    <w:p>
      <w:pPr>
        <w:spacing w:after="0" w:line="201" w:lineRule="exact"/>
        <w:rPr>
          <w:sz w:val="20"/>
          <w:szCs w:val="20"/>
          <w:color w:val="auto"/>
        </w:rPr>
      </w:pPr>
    </w:p>
    <w:p>
      <w:pPr>
        <w:ind w:right="320" w:firstLine="231"/>
        <w:spacing w:after="0" w:line="250" w:lineRule="auto"/>
        <w:rPr>
          <w:sz w:val="20"/>
          <w:szCs w:val="20"/>
          <w:color w:val="auto"/>
        </w:rPr>
      </w:pPr>
      <w:r>
        <w:rPr>
          <w:rFonts w:ascii="Times New Roman" w:cs="Times New Roman" w:eastAsia="Times New Roman" w:hAnsi="Times New Roman"/>
          <w:sz w:val="19"/>
          <w:szCs w:val="19"/>
          <w:color w:val="231F20"/>
        </w:rPr>
        <w:t>The Adviser and individuals employed by the Adviser are generally not prohibited from raising capital for and managing other investment entities that make the same types of investments as those we target. As a result, the time and resources that these individuals may devote to us may be diverted. In addition, we may compete with any such investment entity for the same investors and investment opportunities.</w:t>
      </w: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231F20"/>
        </w:rPr>
        <w:t>Any failure to maintain our status as a BDC would reduce our operating flexibility.</w:t>
      </w:r>
    </w:p>
    <w:p>
      <w:pPr>
        <w:spacing w:after="0" w:line="110" w:lineRule="exact"/>
        <w:rPr>
          <w:sz w:val="20"/>
          <w:szCs w:val="20"/>
          <w:color w:val="auto"/>
        </w:rPr>
      </w:pPr>
    </w:p>
    <w:p>
      <w:pPr>
        <w:ind w:right="80" w:firstLine="231"/>
        <w:spacing w:after="0" w:line="250" w:lineRule="auto"/>
        <w:rPr>
          <w:sz w:val="20"/>
          <w:szCs w:val="20"/>
          <w:color w:val="auto"/>
        </w:rPr>
      </w:pPr>
      <w:r>
        <w:rPr>
          <w:rFonts w:ascii="Times New Roman" w:cs="Times New Roman" w:eastAsia="Times New Roman" w:hAnsi="Times New Roman"/>
          <w:sz w:val="19"/>
          <w:szCs w:val="19"/>
          <w:color w:val="231F20"/>
        </w:rPr>
        <w:t>If we do not remain a BDC, we might be regulated as a closed-end investment company under the 1940 Act, which would subject us to substantially more regulatory restrictions under the 1940 Act and correspondingly decrease our operating flexibility. In addition, failure to comply with the requirements imposed on BDCs by the 1940 Act could cause the SEC to bring an enforcement action against us.</w:t>
      </w: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231F20"/>
        </w:rPr>
        <w:t>We incur significant costs as a result of being a publicly traded company.</w:t>
      </w:r>
    </w:p>
    <w:p>
      <w:pPr>
        <w:spacing w:after="0" w:line="110" w:lineRule="exact"/>
        <w:rPr>
          <w:sz w:val="20"/>
          <w:szCs w:val="20"/>
          <w:color w:val="auto"/>
        </w:rPr>
      </w:pPr>
    </w:p>
    <w:p>
      <w:pPr>
        <w:ind w:right="160" w:firstLine="231"/>
        <w:spacing w:after="0" w:line="247" w:lineRule="auto"/>
        <w:rPr>
          <w:sz w:val="20"/>
          <w:szCs w:val="20"/>
          <w:color w:val="auto"/>
        </w:rPr>
      </w:pPr>
      <w:r>
        <w:rPr>
          <w:rFonts w:ascii="Times New Roman" w:cs="Times New Roman" w:eastAsia="Times New Roman" w:hAnsi="Times New Roman"/>
          <w:sz w:val="19"/>
          <w:szCs w:val="19"/>
          <w:color w:val="231F20"/>
        </w:rPr>
        <w:t>As a publicly traded company, we incur legal, accounting, investor relations and other expenses, including costs associated with corporate governance requirements, such as those under the Sarbanes-Oxley Act, other rules implemented by the SEC and the listing standards of the NYSE. Our independent registered public accounting firm is required to attest to the effectiveness of our internal controls over financial reporting pursuant to Section 404 of the Sarbanes-Oxley Act, which increases the costs associated with our periodic reporting requirements.</w:t>
      </w:r>
    </w:p>
    <w:p>
      <w:pPr>
        <w:spacing w:after="0" w:line="304" w:lineRule="exact"/>
        <w:rPr>
          <w:sz w:val="20"/>
          <w:szCs w:val="20"/>
          <w:color w:val="auto"/>
        </w:rPr>
      </w:pPr>
    </w:p>
    <w:p>
      <w:pPr>
        <w:ind w:right="220"/>
        <w:spacing w:after="0" w:line="256" w:lineRule="auto"/>
        <w:rPr>
          <w:sz w:val="20"/>
          <w:szCs w:val="20"/>
          <w:color w:val="auto"/>
        </w:rPr>
      </w:pPr>
      <w:r>
        <w:rPr>
          <w:rFonts w:ascii="Times New Roman" w:cs="Times New Roman" w:eastAsia="Times New Roman" w:hAnsi="Times New Roman"/>
          <w:sz w:val="19"/>
          <w:szCs w:val="19"/>
          <w:b w:val="1"/>
          <w:bCs w:val="1"/>
          <w:i w:val="1"/>
          <w:iCs w:val="1"/>
          <w:color w:val="231F20"/>
        </w:rPr>
        <w:t>We are obligated to maintain proper and effective internal control over financial reporting. We may not complete our analysis of our internal control over financial reporting in a timely manner, or our internal controls may not be determined to be effective, which may adversely affect investor confidence in our company and, as a result, the value of our securities.</w:t>
      </w:r>
    </w:p>
    <w:p>
      <w:pPr>
        <w:spacing w:after="0" w:line="64" w:lineRule="exact"/>
        <w:rPr>
          <w:sz w:val="20"/>
          <w:szCs w:val="20"/>
          <w:color w:val="auto"/>
        </w:rPr>
      </w:pPr>
    </w:p>
    <w:p>
      <w:pPr>
        <w:ind w:right="200" w:firstLine="231"/>
        <w:spacing w:after="0" w:line="278" w:lineRule="auto"/>
        <w:rPr>
          <w:sz w:val="20"/>
          <w:szCs w:val="20"/>
          <w:color w:val="auto"/>
        </w:rPr>
      </w:pPr>
      <w:r>
        <w:rPr>
          <w:rFonts w:ascii="Times New Roman" w:cs="Times New Roman" w:eastAsia="Times New Roman" w:hAnsi="Times New Roman"/>
          <w:sz w:val="18"/>
          <w:szCs w:val="18"/>
          <w:color w:val="231F20"/>
        </w:rPr>
        <w:t>We are required to comply with the independent auditor attestation requirements of Section 404 of the Sarbanes-Oxley Act. Complying with Section 404 requires a rigorous compliance program as well as adequate time and resources. We may not be able to complete our internal control evaluation, testing and any required remediation in a timely fashion. Matters impacting our internal</w:t>
      </w:r>
    </w:p>
    <w:p>
      <w:pPr>
        <w:sectPr>
          <w:pgSz w:w="12240" w:h="15840" w:orient="portrait"/>
          <w:cols w:equalWidth="0" w:num="1">
            <w:col w:w="10200"/>
          </w:cols>
          <w:pgMar w:left="1020" w:top="1317" w:right="1020" w:bottom="574" w:gutter="0" w:footer="0" w:header="0"/>
        </w:sectPr>
      </w:pP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231F20"/>
        </w:rPr>
        <w:t>36</w:t>
      </w:r>
    </w:p>
    <w:p>
      <w:pPr>
        <w:sectPr>
          <w:pgSz w:w="12240" w:h="15840" w:orient="portrait"/>
          <w:cols w:equalWidth="0" w:num="1">
            <w:col w:w="10200"/>
          </w:cols>
          <w:pgMar w:left="1020" w:top="1317" w:right="1020" w:bottom="574" w:gutter="0" w:footer="0" w:header="0"/>
          <w:type w:val="continuous"/>
        </w:sectPr>
      </w:pPr>
    </w:p>
    <w:bookmarkStart w:id="36" w:name="page37"/>
    <w:bookmarkEnd w:id="36"/>
    <w:p>
      <w:pPr>
        <w:ind w:right="20"/>
        <w:spacing w:after="0" w:line="244" w:lineRule="auto"/>
        <w:rPr>
          <w:sz w:val="20"/>
          <w:szCs w:val="20"/>
          <w:color w:val="auto"/>
        </w:rPr>
      </w:pPr>
      <w:r>
        <w:rPr>
          <w:rFonts w:ascii="Times New Roman" w:cs="Times New Roman" w:eastAsia="Times New Roman" w:hAnsi="Times New Roman"/>
          <w:sz w:val="19"/>
          <w:szCs w:val="19"/>
          <w:color w:val="231F20"/>
        </w:rPr>
        <w:t>control may cause us to be unable to report our financial information on a timely basis and thereby subject us to adverse regulatory consequences, including sanctions by the SEC or violations of applicable stock exchange listing rules, and result in a breach of the covenants under the agreements governing any of our financing arrangements. Additionally, if we identify one or more material weaknesses in our internal control over financial reporting, we will be unable to assert that our internal controls are effective. If we are unable to assert that our internal control over financial reporting is effective, or if our auditors are unable to attest to management’s report on the effectiveness of our internal controls, we could lose investor confidence in the accuracy and completeness of our financial reports, which would have a material adverse effect on the price of our securities.</w:t>
      </w:r>
    </w:p>
    <w:p>
      <w:pPr>
        <w:spacing w:after="0" w:line="30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231F20"/>
        </w:rPr>
        <w:t>We may experience fluctuations in our quarterly results.</w:t>
      </w:r>
    </w:p>
    <w:p>
      <w:pPr>
        <w:spacing w:after="0" w:line="110" w:lineRule="exact"/>
        <w:rPr>
          <w:sz w:val="20"/>
          <w:szCs w:val="20"/>
          <w:color w:val="auto"/>
        </w:rPr>
      </w:pPr>
    </w:p>
    <w:p>
      <w:pPr>
        <w:ind w:right="180" w:firstLine="231"/>
        <w:spacing w:after="0" w:line="250" w:lineRule="auto"/>
        <w:rPr>
          <w:sz w:val="20"/>
          <w:szCs w:val="20"/>
          <w:color w:val="auto"/>
        </w:rPr>
      </w:pPr>
      <w:r>
        <w:rPr>
          <w:rFonts w:ascii="Times New Roman" w:cs="Times New Roman" w:eastAsia="Times New Roman" w:hAnsi="Times New Roman"/>
          <w:sz w:val="19"/>
          <w:szCs w:val="19"/>
          <w:color w:val="231F20"/>
        </w:rPr>
        <w:t>We may experience fluctuations in our quarterly operating results as a result of a number of factors, including the pace at which investments are made, rates of repayment, interest rates payable on investments, changes in realized and unrealized gains and losses, syndication and other fees, the level of our expenses and default rates on our investments. As a result of these and other possible factors, results for any period should not be relied upon as being indicative of performance in future periods.</w:t>
      </w:r>
    </w:p>
    <w:p>
      <w:pPr>
        <w:spacing w:after="0" w:line="301" w:lineRule="exact"/>
        <w:rPr>
          <w:sz w:val="20"/>
          <w:szCs w:val="20"/>
          <w:color w:val="auto"/>
        </w:rPr>
      </w:pPr>
    </w:p>
    <w:p>
      <w:pPr>
        <w:ind w:right="260"/>
        <w:spacing w:after="0" w:line="273" w:lineRule="auto"/>
        <w:rPr>
          <w:sz w:val="20"/>
          <w:szCs w:val="20"/>
          <w:color w:val="auto"/>
        </w:rPr>
      </w:pPr>
      <w:r>
        <w:rPr>
          <w:rFonts w:ascii="Times New Roman" w:cs="Times New Roman" w:eastAsia="Times New Roman" w:hAnsi="Times New Roman"/>
          <w:sz w:val="19"/>
          <w:szCs w:val="19"/>
          <w:b w:val="1"/>
          <w:bCs w:val="1"/>
          <w:i w:val="1"/>
          <w:iCs w:val="1"/>
          <w:color w:val="231F20"/>
        </w:rPr>
        <w:t>Provisions of the General Corporation Law of the State of Delaware and our certificate of incorporation and bylaws could deter takeover attempts and have an adverse effect on the price of our common stock.</w:t>
      </w:r>
    </w:p>
    <w:p>
      <w:pPr>
        <w:spacing w:after="0" w:line="49" w:lineRule="exact"/>
        <w:rPr>
          <w:sz w:val="20"/>
          <w:szCs w:val="20"/>
          <w:color w:val="auto"/>
        </w:rPr>
      </w:pPr>
    </w:p>
    <w:p>
      <w:pPr>
        <w:ind w:right="20" w:firstLine="231"/>
        <w:spacing w:after="0" w:line="254" w:lineRule="auto"/>
        <w:rPr>
          <w:sz w:val="20"/>
          <w:szCs w:val="20"/>
          <w:color w:val="auto"/>
        </w:rPr>
      </w:pPr>
      <w:r>
        <w:rPr>
          <w:rFonts w:ascii="Times New Roman" w:cs="Times New Roman" w:eastAsia="Times New Roman" w:hAnsi="Times New Roman"/>
          <w:sz w:val="18"/>
          <w:szCs w:val="18"/>
          <w:color w:val="231F20"/>
        </w:rPr>
        <w:t>The General Corporation Law of the State of Delaware (the “DGCL”), our amended and restated certificate of incorporation, which we refer to as our certificate of incorporation, and bylaws contain provisions that may discourage, delay or make more difficult a change in control of us or the removal of our directors. Among other provisions, we have a staggered board and our directors may be removed for cause only by the affirmative vote of 75% of the holders of our outstanding capital stock. Our Board also is authorized to issue preferred stock in one or more series. In addition, our certificate of incorporation requires the favorable vote of a majority of our Board followed by the favorable vote of the holders of at least 75% of our outstanding shares of common stock, to approve, adopt or authorize certain transactions, including mergers and the sale, lease or exchange of all or any substantial part of our assets with 10% or greater holders of our outstanding common stock and their affiliates or associates, unless the transaction has been approved by at least 80% of our Board, in which case approval by “a majority of the outstanding voting securities” (as defined in the 1940 Act) is required. Our certificate of incorporation further provides that stockholders may not take action by written consent in lieu of a meeting and our bylaws provide that any stockholder action required or permitted at an annual meeting or special meeting of stockholders may only be taken if it is properly brought before such meeting. These provisions may also discourage another person or entity from making a tender offer for our common stock, because such person or entity, even if it acquired a majority of our outstanding voting securities, would be able to take action as a stockholder (such as electing new directors or approving a merger) only at a duly called stockholders’ meeting and not by written consent. We also are subject to Section 203 of the DGCL, which generally prohibits us from engaging in mergers and other business combinations with stockholders that beneficially own 15% or more of our voting stock, or with their affiliates, unless our directors or stockholders approve the business combination in the prescribed manner. These measures may delay, defer or prevent a transaction or a change in control that might otherwise be in the best interests of our stockholders and could have the effect of depriving stockholders of an opportunity to sell their shares at a premium over prevailing market prices.</w:t>
      </w: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231F20"/>
        </w:rPr>
        <w:t>Certain investors are limited in their ability to make significant investments in us.</w:t>
      </w:r>
    </w:p>
    <w:p>
      <w:pPr>
        <w:spacing w:after="0" w:line="110" w:lineRule="exact"/>
        <w:rPr>
          <w:sz w:val="20"/>
          <w:szCs w:val="20"/>
          <w:color w:val="auto"/>
        </w:rPr>
      </w:pPr>
    </w:p>
    <w:p>
      <w:pPr>
        <w:ind w:firstLine="231"/>
        <w:spacing w:after="0" w:line="246" w:lineRule="auto"/>
        <w:rPr>
          <w:sz w:val="20"/>
          <w:szCs w:val="20"/>
          <w:color w:val="auto"/>
        </w:rPr>
      </w:pPr>
      <w:r>
        <w:rPr>
          <w:rFonts w:ascii="Times New Roman" w:cs="Times New Roman" w:eastAsia="Times New Roman" w:hAnsi="Times New Roman"/>
          <w:sz w:val="19"/>
          <w:szCs w:val="19"/>
          <w:color w:val="231F20"/>
        </w:rPr>
        <w:t>Investment companies registered under the 1940 Act are restricted from acquiring directly or through a controlled entity more than 3% of our total outstanding voting stock (measured at the time of the acquisition), unless these funds comply with an exemption under the 1940 Act as well as other limitations under the 1940 Act that would restrict the amount that they are able to invest in our securities. Private funds that are excluded from the definition of “investment company” either pursuant to Section 3(c)(1) or 3(c)(7) of the 1940 Act are also subject to this restriction. As a result, certain investors may be precluded from acquiring additional shares at a time that they might desire to do so.</w:t>
      </w:r>
    </w:p>
    <w:p>
      <w:pPr>
        <w:spacing w:after="0" w:line="302" w:lineRule="exact"/>
        <w:rPr>
          <w:sz w:val="20"/>
          <w:szCs w:val="20"/>
          <w:color w:val="auto"/>
        </w:rPr>
      </w:pPr>
    </w:p>
    <w:p>
      <w:pPr>
        <w:ind w:right="140"/>
        <w:spacing w:after="0" w:line="276" w:lineRule="auto"/>
        <w:rPr>
          <w:sz w:val="20"/>
          <w:szCs w:val="20"/>
          <w:color w:val="auto"/>
        </w:rPr>
      </w:pPr>
      <w:r>
        <w:rPr>
          <w:rFonts w:ascii="Times New Roman" w:cs="Times New Roman" w:eastAsia="Times New Roman" w:hAnsi="Times New Roman"/>
          <w:sz w:val="18"/>
          <w:szCs w:val="18"/>
          <w:b w:val="1"/>
          <w:bCs w:val="1"/>
          <w:i w:val="1"/>
          <w:iCs w:val="1"/>
          <w:color w:val="231F20"/>
        </w:rPr>
        <w:t>Cybersecurity risks and cyber incidents may adversely affect our business or those of our portfolio companies by causing a disruption to our operations, a compromise or corruption of confidential information and/or damage to business relationships, or those of our portfolio companies, all of which could negatively impact our business, results of operations or financial condition.</w:t>
      </w:r>
    </w:p>
    <w:p>
      <w:pPr>
        <w:spacing w:after="0" w:line="49" w:lineRule="exact"/>
        <w:rPr>
          <w:sz w:val="20"/>
          <w:szCs w:val="20"/>
          <w:color w:val="auto"/>
        </w:rPr>
      </w:pPr>
    </w:p>
    <w:p>
      <w:pPr>
        <w:ind w:right="40" w:firstLine="231"/>
        <w:spacing w:after="0" w:line="259" w:lineRule="auto"/>
        <w:rPr>
          <w:sz w:val="20"/>
          <w:szCs w:val="20"/>
          <w:color w:val="auto"/>
        </w:rPr>
      </w:pPr>
      <w:r>
        <w:rPr>
          <w:rFonts w:ascii="Times New Roman" w:cs="Times New Roman" w:eastAsia="Times New Roman" w:hAnsi="Times New Roman"/>
          <w:sz w:val="18"/>
          <w:szCs w:val="18"/>
          <w:color w:val="231F20"/>
        </w:rPr>
        <w:t>A cyber incident is considered to be any adverse event that threatens the confidentiality, integrity or availability of our information resources. These incidents may be an intentional attack or an unintentional event and could involve gaining unauthorized access to, use, alteration or destruction of our information systems for purposes of misappropriating assets, obtaining ransom payments, stealing confidential information, corrupting data or causing operational disruption, or may involve phishing. The result of these incidents may include disrupted operations, misstated or unreliable financial data, liability for stolen information, misappropriation of assets, increased cybersecurity protection and insurance costs, litigation and damage to our business relationships. This could result in significant losses, reputational damage, litigation, regulatory fines or penalties, or otherwise adversely affect our business, financial condition or results of operations. In addition, we may be required to expend significant additional resources to modify our protective</w:t>
      </w:r>
    </w:p>
    <w:p>
      <w:pPr>
        <w:sectPr>
          <w:pgSz w:w="12240" w:h="15840" w:orient="portrait"/>
          <w:cols w:equalWidth="0" w:num="1">
            <w:col w:w="10200"/>
          </w:cols>
          <w:pgMar w:left="1020" w:top="1317" w:right="1020" w:bottom="574" w:gutter="0" w:footer="0" w:header="0"/>
        </w:sect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231F20"/>
        </w:rPr>
        <w:t>37</w:t>
      </w:r>
    </w:p>
    <w:p>
      <w:pPr>
        <w:sectPr>
          <w:pgSz w:w="12240" w:h="15840" w:orient="portrait"/>
          <w:cols w:equalWidth="0" w:num="1">
            <w:col w:w="10200"/>
          </w:cols>
          <w:pgMar w:left="1020" w:top="1317" w:right="1020" w:bottom="574" w:gutter="0" w:footer="0" w:header="0"/>
          <w:type w:val="continuous"/>
        </w:sectPr>
      </w:pPr>
    </w:p>
    <w:bookmarkStart w:id="37" w:name="page38"/>
    <w:bookmarkEnd w:id="37"/>
    <w:p>
      <w:pPr>
        <w:ind w:right="20"/>
        <w:spacing w:after="0" w:line="243" w:lineRule="auto"/>
        <w:rPr>
          <w:sz w:val="20"/>
          <w:szCs w:val="20"/>
          <w:color w:val="auto"/>
        </w:rPr>
      </w:pPr>
      <w:r>
        <w:rPr>
          <w:rFonts w:ascii="Times New Roman" w:cs="Times New Roman" w:eastAsia="Times New Roman" w:hAnsi="Times New Roman"/>
          <w:sz w:val="19"/>
          <w:szCs w:val="19"/>
          <w:color w:val="231F20"/>
        </w:rPr>
        <w:t>measures and to investigate and remediate vulnerabilities or other exposures arising from operational and security risks. The costs related to cybersecurity incidents may not be fully insured or indemnified. As our and our portfolio companies’ reliance on technology has increased, so have the risks posed to our information systems, both internal and those provided by our Adviser and third-party service providers, and the information systems of our portfolio companies. We, our Adviser and its affiliates have implemented processes, procedures and internal controls to help mitigate cybersecurity risks and cyber intrusions, but these measures, as well as our increased awareness of the nature and extent of a risk of a cyber incident, may be ineffective and do not guarantee that a cyber incident will not occur or that our financial results, operations or confidential information will not be negatively impacted by such an incident.</w:t>
      </w:r>
    </w:p>
    <w:p>
      <w:pPr>
        <w:spacing w:after="0" w:line="195" w:lineRule="exact"/>
        <w:rPr>
          <w:sz w:val="20"/>
          <w:szCs w:val="20"/>
          <w:color w:val="auto"/>
        </w:rPr>
      </w:pPr>
    </w:p>
    <w:p>
      <w:pPr>
        <w:ind w:right="20" w:firstLine="231"/>
        <w:spacing w:after="0" w:line="243" w:lineRule="auto"/>
        <w:rPr>
          <w:sz w:val="20"/>
          <w:szCs w:val="20"/>
          <w:color w:val="auto"/>
        </w:rPr>
      </w:pPr>
      <w:r>
        <w:rPr>
          <w:rFonts w:ascii="Times New Roman" w:cs="Times New Roman" w:eastAsia="Times New Roman" w:hAnsi="Times New Roman"/>
          <w:sz w:val="19"/>
          <w:szCs w:val="19"/>
          <w:color w:val="231F20"/>
        </w:rPr>
        <w:t>Third parties with which we do business (including, but not limited to, service providers, such as accountants, custodians, transfer agents and administrators, and the issuers of securities in which we invest) may also be sources or targets of cybersecurity or other technological risks. We outsource certain functions and these relationships allow for the storage and processing of our information and assets, as well as certain investor, counterparty, employee and borrower information. While we engage in actions to reduce our exposure resulting from outsourcing, we cannot control the cybersecurity plans and systems put in place by these third parties and ongoing threats may result in unauthorized access, loss, exposure or destruction of data, or other cybersecurity incidents, with increased costs and other consequences, including those described above. Privacy and information security laws and regulation changes, and compliance with those changes, may also result in cost increases due to system changes and the development of new administrative processes.</w:t>
      </w:r>
    </w:p>
    <w:p>
      <w:pPr>
        <w:spacing w:after="0" w:line="191" w:lineRule="exact"/>
        <w:rPr>
          <w:sz w:val="20"/>
          <w:szCs w:val="20"/>
          <w:color w:val="auto"/>
        </w:rPr>
      </w:pPr>
    </w:p>
    <w:p>
      <w:pPr>
        <w:ind w:right="60" w:firstLine="231"/>
        <w:spacing w:after="0" w:line="246" w:lineRule="auto"/>
        <w:rPr>
          <w:sz w:val="20"/>
          <w:szCs w:val="20"/>
          <w:color w:val="auto"/>
        </w:rPr>
      </w:pPr>
      <w:r>
        <w:rPr>
          <w:rFonts w:ascii="Times New Roman" w:cs="Times New Roman" w:eastAsia="Times New Roman" w:hAnsi="Times New Roman"/>
          <w:sz w:val="19"/>
          <w:szCs w:val="19"/>
          <w:color w:val="231F20"/>
        </w:rPr>
        <w:t>Additionally, investments of Sixth Street’s funds, including the Company, and other Sixth Street entities have involved and may in the future involve companies that have experienced cyber-events and that, given the rise of cybersecurity incidents, may become involved in future cyber events. Cybersecurity events also could affect other Sixth Street and/or affiliated entities. Such cyber security attacks are evolving and include, but are not limited to, malicious software, attempts to gain unauthorized access to data, and other electronic security breaches that could lead to disruptions in critical systems, unauthorized release of confidential or otherwise protected information and corruption of data.</w:t>
      </w:r>
    </w:p>
    <w:p>
      <w:pPr>
        <w:spacing w:after="0" w:line="186" w:lineRule="exact"/>
        <w:rPr>
          <w:sz w:val="20"/>
          <w:szCs w:val="20"/>
          <w:color w:val="auto"/>
        </w:rPr>
      </w:pPr>
    </w:p>
    <w:p>
      <w:pPr>
        <w:ind w:firstLine="231"/>
        <w:spacing w:after="0" w:line="243" w:lineRule="auto"/>
        <w:rPr>
          <w:sz w:val="20"/>
          <w:szCs w:val="20"/>
          <w:color w:val="auto"/>
        </w:rPr>
      </w:pPr>
      <w:r>
        <w:rPr>
          <w:rFonts w:ascii="Times New Roman" w:cs="Times New Roman" w:eastAsia="Times New Roman" w:hAnsi="Times New Roman"/>
          <w:sz w:val="19"/>
          <w:szCs w:val="19"/>
          <w:color w:val="231F20"/>
        </w:rPr>
        <w:t>A cybersecurity breach may cause the Company to lose proprietary information, suffer data corruption or expose information to misuse. Sensitive information which may be breached in the event of a cybersecurity threat includes, without limitation, information regarding the Company’s investment activities and shareholders. Cybersecurity breaches of Sixth Street’s and the Company’s third-party service providers or portfolio investments may also subject the Company to many of the same risks associated with direct cybersecurity breaches. If such events were to materialize, they could, among other things, (i) lead to losses of sensitive information or capabilities essential to Sixth Street’s, the Company’s, and/or the Company’s portfolio company’s operations, (ii) have a material adverse effect on Sixth Street’s, the Company’s and/or the portfolio company’s reputations, financial positions, results of operations or cash flows, (iii) lead to financial losses from remedial actions, loss of business or potential liability, or (iv) lead to the disclosure of Company shareholders’ personal information or other sensitive information.</w:t>
      </w:r>
    </w:p>
    <w:p>
      <w:pPr>
        <w:spacing w:after="0" w:line="191" w:lineRule="exact"/>
        <w:rPr>
          <w:sz w:val="20"/>
          <w:szCs w:val="20"/>
          <w:color w:val="auto"/>
        </w:rPr>
      </w:pPr>
    </w:p>
    <w:p>
      <w:pPr>
        <w:ind w:right="100" w:firstLine="231"/>
        <w:spacing w:after="0" w:line="244" w:lineRule="auto"/>
        <w:rPr>
          <w:sz w:val="20"/>
          <w:szCs w:val="20"/>
          <w:color w:val="auto"/>
        </w:rPr>
      </w:pPr>
      <w:r>
        <w:rPr>
          <w:rFonts w:ascii="Times New Roman" w:cs="Times New Roman" w:eastAsia="Times New Roman" w:hAnsi="Times New Roman"/>
          <w:sz w:val="19"/>
          <w:szCs w:val="19"/>
          <w:color w:val="231F20"/>
        </w:rPr>
        <w:t>The failure of these systems and/or of disaster recovery plans for any reason could cause significant interruptions in Sixth Street’s, the Company’s and/or a portfolio company’s operations and result in a failure to maintain the security, confidentiality or privacy of sensitive data, including personal information of any shareholder (and, if applicable, its underlying investors or beneficial owners and/or control persons) or information relating to any portfolio company. Such a failure could result in reputational harm to Sixth Street, the Company and/or the affected portfolio investment, subject any such entity and its affiliates to legal claims and otherwise adversely affect its business and financial performance. Cybersecurity risks also require us to undertake ongoing preventative measures and to incur compliance costs.</w:t>
      </w:r>
    </w:p>
    <w:p>
      <w:pPr>
        <w:spacing w:after="0" w:line="30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231F20"/>
        </w:rPr>
        <w:t>Our Board may change our investment objective, operating policies and strategies without prior notice or stockholder approval.</w:t>
      </w:r>
    </w:p>
    <w:p>
      <w:pPr>
        <w:spacing w:after="0" w:line="110" w:lineRule="exact"/>
        <w:rPr>
          <w:sz w:val="20"/>
          <w:szCs w:val="20"/>
          <w:color w:val="auto"/>
        </w:rPr>
      </w:pPr>
    </w:p>
    <w:p>
      <w:pPr>
        <w:ind w:right="20" w:firstLine="231"/>
        <w:spacing w:after="0" w:line="247" w:lineRule="auto"/>
        <w:rPr>
          <w:sz w:val="20"/>
          <w:szCs w:val="20"/>
          <w:color w:val="auto"/>
        </w:rPr>
      </w:pPr>
      <w:r>
        <w:rPr>
          <w:rFonts w:ascii="Times New Roman" w:cs="Times New Roman" w:eastAsia="Times New Roman" w:hAnsi="Times New Roman"/>
          <w:sz w:val="19"/>
          <w:szCs w:val="19"/>
          <w:color w:val="231F20"/>
        </w:rPr>
        <w:t>Our Board has the authority to change our investment objective and modify or waive certain of our operating policies and strategies without prior notice (except as required by the 1940 Act) and without stockholder approval. However, absent stockholder approval, we may not change the nature of our business so as to cease to be a BDC and we may not withdraw our election as a BDC. We cannot predict the effect any changes to our current operating policies or strategies would have on our business, operating results and value of our common stock. Nevertheless, the effects may adversely affect our business and impact our ability to pay dividends.</w:t>
      </w:r>
    </w:p>
    <w:p>
      <w:pPr>
        <w:spacing w:after="0" w:line="30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231F20"/>
        </w:rPr>
        <w:t>Changes in tax laws, including the Tax Cuts and Jobs Act and the Inflation Reduction Act may adversely affect our business.</w:t>
      </w:r>
    </w:p>
    <w:p>
      <w:pPr>
        <w:spacing w:after="0" w:line="106" w:lineRule="exact"/>
        <w:rPr>
          <w:sz w:val="20"/>
          <w:szCs w:val="20"/>
          <w:color w:val="auto"/>
        </w:rPr>
      </w:pPr>
    </w:p>
    <w:p>
      <w:pPr>
        <w:ind w:right="140" w:firstLine="231"/>
        <w:spacing w:after="0" w:line="259" w:lineRule="auto"/>
        <w:rPr>
          <w:sz w:val="20"/>
          <w:szCs w:val="20"/>
          <w:color w:val="auto"/>
        </w:rPr>
      </w:pPr>
      <w:r>
        <w:rPr>
          <w:rFonts w:ascii="Times New Roman" w:cs="Times New Roman" w:eastAsia="Times New Roman" w:hAnsi="Times New Roman"/>
          <w:sz w:val="18"/>
          <w:szCs w:val="18"/>
          <w:color w:val="231F20"/>
        </w:rPr>
        <w:t>Changes to U.S. tax laws, including the Tax Cuts and Jobs Act enacted on December 22, 2017 (“Tax Reform”), the Coronavirus Aid, Relief, and Economic Security Act enacted on March 27, 2020 (the “CARES Act”) and the Inflation Reduction Act, enacted on August 16, 2022 (the “IRA”) have made significant changes to the U.S. federal income tax system. Among other things, Tax Reform may limit the ability of borrowers to fully deduct interest expense. This could potentially affect the loan market, for example by impacting the demand for loans available from us or the terms of such loans. In addition, the IRA introduced a corporate alternative</w:t>
      </w:r>
    </w:p>
    <w:p>
      <w:pPr>
        <w:sectPr>
          <w:pgSz w:w="12240" w:h="15840" w:orient="portrait"/>
          <w:cols w:equalWidth="0" w:num="1">
            <w:col w:w="10200"/>
          </w:cols>
          <w:pgMar w:left="1020" w:top="1317" w:right="1020" w:bottom="574" w:gutter="0" w:footer="0" w:header="0"/>
        </w:sect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231F20"/>
        </w:rPr>
        <w:t>38</w:t>
      </w:r>
    </w:p>
    <w:p>
      <w:pPr>
        <w:sectPr>
          <w:pgSz w:w="12240" w:h="15840" w:orient="portrait"/>
          <w:cols w:equalWidth="0" w:num="1">
            <w:col w:w="10200"/>
          </w:cols>
          <w:pgMar w:left="1020" w:top="1317" w:right="1020" w:bottom="574" w:gutter="0" w:footer="0" w:header="0"/>
          <w:type w:val="continuous"/>
        </w:sectPr>
      </w:pPr>
    </w:p>
    <w:bookmarkStart w:id="38" w:name="page39"/>
    <w:bookmarkEnd w:id="38"/>
    <w:p>
      <w:pPr>
        <w:ind w:right="180"/>
        <w:spacing w:after="0" w:line="238" w:lineRule="auto"/>
        <w:rPr>
          <w:sz w:val="20"/>
          <w:szCs w:val="20"/>
          <w:color w:val="auto"/>
        </w:rPr>
      </w:pPr>
      <w:r>
        <w:rPr>
          <w:rFonts w:ascii="Times New Roman" w:cs="Times New Roman" w:eastAsia="Times New Roman" w:hAnsi="Times New Roman"/>
          <w:sz w:val="19"/>
          <w:szCs w:val="19"/>
          <w:color w:val="231F20"/>
        </w:rPr>
        <w:t>minimum tax of 15% of the “adjusted financial statement income” of certain domestic corporations as well as a 1% excise tax on the fair market value of stock repurchases by certain domestic corporations, effective for tax years beginning in 2023. Further changes could be made under the new Presidential administration in the United States. Such changes to the tax laws, including (i) changes to interest deductibility, utility of net operating losses and other provisions of Tax Reform, (ii) the corporate alternative minimum tax, excise tax on stock repurchases and other provisions of the IRA or (iii) changes pursuant to future legislation or regulatory guidance could also in certain circumstances increase the U.S. tax burden on our portfolio assets which, in turn, could negatively impact their ability to service their interest expense obligations to us. Prospective investors are urged to consult with their own advisors about the potential effects of Tax Reform, IRA and other changes in tax laws on the loan market and about the tax consequences of an investment in us.</w:t>
      </w:r>
    </w:p>
    <w:p>
      <w:pPr>
        <w:spacing w:after="0" w:line="306" w:lineRule="exact"/>
        <w:rPr>
          <w:sz w:val="20"/>
          <w:szCs w:val="20"/>
          <w:color w:val="auto"/>
        </w:rPr>
      </w:pPr>
    </w:p>
    <w:p>
      <w:pPr>
        <w:ind w:right="300"/>
        <w:spacing w:after="0" w:line="268" w:lineRule="auto"/>
        <w:rPr>
          <w:sz w:val="20"/>
          <w:szCs w:val="20"/>
          <w:color w:val="auto"/>
        </w:rPr>
      </w:pPr>
      <w:r>
        <w:rPr>
          <w:rFonts w:ascii="Times New Roman" w:cs="Times New Roman" w:eastAsia="Times New Roman" w:hAnsi="Times New Roman"/>
          <w:sz w:val="19"/>
          <w:szCs w:val="19"/>
          <w:b w:val="1"/>
          <w:bCs w:val="1"/>
          <w:i w:val="1"/>
          <w:iCs w:val="1"/>
          <w:color w:val="231F20"/>
        </w:rPr>
        <w:t>We are subject to risks associated with artificial intelligence, including the application of various forms of artificial intelligence such as machine learning technology.</w:t>
      </w:r>
    </w:p>
    <w:p>
      <w:pPr>
        <w:spacing w:after="0" w:line="49" w:lineRule="exact"/>
        <w:rPr>
          <w:sz w:val="20"/>
          <w:szCs w:val="20"/>
          <w:color w:val="auto"/>
        </w:rPr>
      </w:pPr>
    </w:p>
    <w:p>
      <w:pPr>
        <w:ind w:right="60" w:firstLine="231"/>
        <w:spacing w:after="0" w:line="239" w:lineRule="auto"/>
        <w:rPr>
          <w:sz w:val="20"/>
          <w:szCs w:val="20"/>
          <w:color w:val="auto"/>
        </w:rPr>
      </w:pPr>
      <w:r>
        <w:rPr>
          <w:rFonts w:ascii="Times New Roman" w:cs="Times New Roman" w:eastAsia="Times New Roman" w:hAnsi="Times New Roman"/>
          <w:sz w:val="19"/>
          <w:szCs w:val="19"/>
          <w:color w:val="231F20"/>
        </w:rPr>
        <w:t>Recent technological advances in artificial intelligence, including machine learning technology (“Machine Learning Technology”), pose risks to us and our portfolio companies. We and our portfolio companies could be exposed to the risks of Machine Learning Technology if third-party service providers or any counterparties use Machine Learning Technology in their business activities. We and the Adviser are not in a position to control the use of Machine Learning Technology in third-party products or services. Use of Machine Learning Technology could include the input of confidential information in contravention of applicable policies, contractual or other obligations or restrictions, resulting in such confidential information becoming partly accessible by other third-party Machine Learning Technology applications and users. Machine Learning Technology and its applications continue to develop rapidly, and we cannot predict the risks that may arise from such developments.</w:t>
      </w:r>
    </w:p>
    <w:p>
      <w:pPr>
        <w:spacing w:after="0" w:line="74" w:lineRule="exact"/>
        <w:rPr>
          <w:sz w:val="20"/>
          <w:szCs w:val="20"/>
          <w:color w:val="auto"/>
        </w:rPr>
      </w:pPr>
    </w:p>
    <w:p>
      <w:pPr>
        <w:ind w:right="160" w:firstLine="231"/>
        <w:spacing w:after="0" w:line="241" w:lineRule="auto"/>
        <w:rPr>
          <w:sz w:val="20"/>
          <w:szCs w:val="20"/>
          <w:color w:val="auto"/>
        </w:rPr>
      </w:pPr>
      <w:r>
        <w:rPr>
          <w:rFonts w:ascii="Times New Roman" w:cs="Times New Roman" w:eastAsia="Times New Roman" w:hAnsi="Times New Roman"/>
          <w:sz w:val="19"/>
          <w:szCs w:val="19"/>
          <w:color w:val="231F20"/>
        </w:rPr>
        <w:t>Machine Learning Technology is generally highly reliant on the collection and analysis of large amounts of data, and it is not possible or practicable to incorporate all relevant data into the model that Machine Learning Technology utilizes to operate. Certain data in such models will inevitably contain a degree of inaccuracy and error and could otherwise be inadequate or flawed, which would be likely to degrade the effectiveness of Machine Learning Technology. To the extent we or our portfolio companies are exposed to the risks of Machine Learning Technology use, any such inaccuracies or errors could adversely impact us or our portfolio companies.</w:t>
      </w:r>
    </w:p>
    <w:p>
      <w:pPr>
        <w:spacing w:after="0" w:line="79" w:lineRule="exact"/>
        <w:rPr>
          <w:sz w:val="20"/>
          <w:szCs w:val="20"/>
          <w:color w:val="auto"/>
        </w:rPr>
      </w:pPr>
    </w:p>
    <w:p>
      <w:pPr>
        <w:ind w:right="400" w:firstLine="463"/>
        <w:spacing w:after="0" w:line="273" w:lineRule="auto"/>
        <w:rPr>
          <w:sz w:val="20"/>
          <w:szCs w:val="20"/>
          <w:color w:val="auto"/>
        </w:rPr>
      </w:pPr>
      <w:r>
        <w:rPr>
          <w:rFonts w:ascii="Times New Roman" w:cs="Times New Roman" w:eastAsia="Times New Roman" w:hAnsi="Times New Roman"/>
          <w:sz w:val="19"/>
          <w:szCs w:val="19"/>
          <w:b w:val="1"/>
          <w:bCs w:val="1"/>
          <w:i w:val="1"/>
          <w:iCs w:val="1"/>
          <w:color w:val="231F20"/>
        </w:rPr>
        <w:t>Failure or alleged failure to comply with applicable data protection and privacy laws and regulations could subject us to ongoing costs and, in some cases, fines and reputational harm.</w:t>
      </w:r>
    </w:p>
    <w:p>
      <w:pPr>
        <w:spacing w:after="0" w:line="49" w:lineRule="exact"/>
        <w:rPr>
          <w:sz w:val="20"/>
          <w:szCs w:val="20"/>
          <w:color w:val="auto"/>
        </w:rPr>
      </w:pPr>
    </w:p>
    <w:p>
      <w:pPr>
        <w:ind w:firstLine="463"/>
        <w:spacing w:after="0" w:line="241" w:lineRule="auto"/>
        <w:rPr>
          <w:sz w:val="20"/>
          <w:szCs w:val="20"/>
          <w:color w:val="auto"/>
        </w:rPr>
      </w:pPr>
      <w:r>
        <w:rPr>
          <w:rFonts w:ascii="Times New Roman" w:cs="Times New Roman" w:eastAsia="Times New Roman" w:hAnsi="Times New Roman"/>
          <w:sz w:val="19"/>
          <w:szCs w:val="19"/>
          <w:color w:val="231F20"/>
        </w:rPr>
        <w:t>We and the Adviser and its affiliates are subject to numerous laws and regulations in various jurisdictions relating to privacy and the storage, sharing, use, processing, disclosure and protection of information that we and our affiliates hold. The EU’s General Data Protection Regulation, the Cayman Islands Data Protection Act (2021 Revision), and the California Consumer Privacy Act of 2018, as amended, are recent examples of such laws, and we anticipate new privacy and data protection laws and regulations will be passed in other jurisdictions in the future. For example, the SEC has adopted changes to Regulation S-P, which requires, among other things, that registered investment advisers notify affected individuals of a breach involving their personal information when there has been an incident that rises to the level of being a reportable breach. In general, these laws and regulations introduce many new obligations on us and create new rights for parties who have given any of us their personal information, such as investors and others. The scope of data protection and privacy laws and regulations is rapidly evolving, and such laws and regulations are subject to differing interpretations. Any inability or perceived inability to adequately address privacy concerns, or comply with applicable laws and regulations, even if unfounded, could result in regulatory and third-party liability, increased costs, disruption to our operations, and reputational damage. Obligations to which we are subject impose compliance costs and risks of penalties, which could increase as such laws and regulations evolve globally. Moreover, as data protection and privacy laws and regulations continue to develop, it could be more difficult and/or more costly for us to collect, store, use, transmit and process personal information.</w:t>
      </w:r>
    </w:p>
    <w:p>
      <w:pPr>
        <w:spacing w:after="0" w:line="83" w:lineRule="exact"/>
        <w:rPr>
          <w:sz w:val="20"/>
          <w:szCs w:val="20"/>
          <w:color w:val="auto"/>
        </w:rPr>
      </w:pPr>
    </w:p>
    <w:p>
      <w:pPr>
        <w:ind w:right="340" w:firstLine="463"/>
        <w:spacing w:after="0" w:line="246" w:lineRule="auto"/>
        <w:rPr>
          <w:sz w:val="20"/>
          <w:szCs w:val="20"/>
          <w:color w:val="auto"/>
        </w:rPr>
      </w:pPr>
      <w:r>
        <w:rPr>
          <w:rFonts w:ascii="Times New Roman" w:cs="Times New Roman" w:eastAsia="Times New Roman" w:hAnsi="Times New Roman"/>
          <w:sz w:val="19"/>
          <w:szCs w:val="19"/>
          <w:color w:val="231F20"/>
        </w:rPr>
        <w:t>The costs of monitoring, interpreting and, where applicable, complying with global data protection and privacy laws and regulations could have a material adverse effect on the business, results of the operations and financial condition of us and of our portfolio companies. The continued development of these laws and regulations and their interpretations could increase compliance costs, restrict our ability to offer services in certain locations, require changes to business practices, result in negative publicity or significant costs or penalties associated with litigation and/or regulatory action, all of which could adversely affect our business, financial conditions and results of operations, including affecting investment returns.</w:t>
      </w:r>
    </w:p>
    <w:p>
      <w:pPr>
        <w:spacing w:after="0" w:line="68" w:lineRule="exact"/>
        <w:rPr>
          <w:sz w:val="20"/>
          <w:szCs w:val="20"/>
          <w:color w:val="auto"/>
        </w:rPr>
      </w:pPr>
    </w:p>
    <w:p>
      <w:pPr>
        <w:ind w:right="40" w:firstLine="231"/>
        <w:spacing w:after="0" w:line="238" w:lineRule="auto"/>
        <w:rPr>
          <w:sz w:val="20"/>
          <w:szCs w:val="20"/>
          <w:color w:val="auto"/>
        </w:rPr>
      </w:pPr>
      <w:r>
        <w:rPr>
          <w:rFonts w:ascii="Times New Roman" w:cs="Times New Roman" w:eastAsia="Times New Roman" w:hAnsi="Times New Roman"/>
          <w:sz w:val="19"/>
          <w:szCs w:val="19"/>
          <w:color w:val="231F20"/>
        </w:rPr>
        <w:t>While we, the Advisor and its affiliates take reasonable efforts to comply with data protection and privacy laws and regulations, it is possible that we will not be able to accurately anticipate the ways in which regulators and courts will apply or interpret these laws, and there can be no assurance that we will not be subject to regulatory or individual legal action, including fines, in the event of a security incident, alleged non-compliance with applicable data protection and privacy laws or regulations, or other claim that an individual’s privacy rights have been violated. Many regulators have indicated an intention to take more aggressive enforcement actions regarding data privacy matters, and private litigation resulting from such matters is increasing and resulting in large judgments and settlements.</w:t>
      </w:r>
    </w:p>
    <w:p>
      <w:pPr>
        <w:sectPr>
          <w:pgSz w:w="12240" w:h="15840" w:orient="portrait"/>
          <w:cols w:equalWidth="0" w:num="1">
            <w:col w:w="10200"/>
          </w:cols>
          <w:pgMar w:left="1020" w:top="1313" w:right="1020" w:bottom="574" w:gutter="0" w:footer="0" w:header="0"/>
        </w:sect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231F20"/>
        </w:rPr>
        <w:t>39</w:t>
      </w:r>
    </w:p>
    <w:p>
      <w:pPr>
        <w:sectPr>
          <w:pgSz w:w="12240" w:h="15840" w:orient="portrait"/>
          <w:cols w:equalWidth="0" w:num="1">
            <w:col w:w="10200"/>
          </w:cols>
          <w:pgMar w:left="1020" w:top="1313" w:right="1020" w:bottom="574" w:gutter="0" w:footer="0" w:header="0"/>
          <w:type w:val="continuous"/>
        </w:sectPr>
      </w:pPr>
    </w:p>
    <w:bookmarkStart w:id="39" w:name="page40"/>
    <w:bookmarkEnd w:id="39"/>
    <w:p>
      <w:pPr>
        <w:spacing w:after="0"/>
        <w:rPr>
          <w:sz w:val="20"/>
          <w:szCs w:val="20"/>
          <w:color w:val="auto"/>
        </w:rPr>
      </w:pPr>
      <w:r>
        <w:rPr>
          <w:rFonts w:ascii="Times New Roman" w:cs="Times New Roman" w:eastAsia="Times New Roman" w:hAnsi="Times New Roman"/>
          <w:sz w:val="19"/>
          <w:szCs w:val="19"/>
          <w:b w:val="1"/>
          <w:bCs w:val="1"/>
          <w:color w:val="231F20"/>
        </w:rPr>
        <w:t>Risks Related to Economic Conditions</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231F20"/>
        </w:rPr>
        <w:t>Inflation and global supply chain issues may adversely affect our business.</w:t>
      </w:r>
    </w:p>
    <w:p>
      <w:pPr>
        <w:spacing w:after="0" w:line="106" w:lineRule="exact"/>
        <w:rPr>
          <w:sz w:val="20"/>
          <w:szCs w:val="20"/>
          <w:color w:val="auto"/>
        </w:rPr>
      </w:pPr>
    </w:p>
    <w:p>
      <w:pPr>
        <w:ind w:right="20" w:firstLine="231"/>
        <w:spacing w:after="0" w:line="241" w:lineRule="auto"/>
        <w:rPr>
          <w:sz w:val="20"/>
          <w:szCs w:val="20"/>
          <w:color w:val="auto"/>
        </w:rPr>
      </w:pPr>
      <w:r>
        <w:rPr>
          <w:rFonts w:ascii="Times New Roman" w:cs="Times New Roman" w:eastAsia="Times New Roman" w:hAnsi="Times New Roman"/>
          <w:sz w:val="19"/>
          <w:szCs w:val="19"/>
          <w:color w:val="231F20"/>
        </w:rPr>
        <w:t>Inflation and fluctuations in inflation rates have had in the past, and may in the future have, negative effects on economies and financial markets, particularly in emerging economies. For example, wages and prices of inputs increase during periods of inflation, which can negatively impact returns on investments. In an attempt to stabilize inflation, countries may impose wage and price controls or otherwise intervene in the economy. Governmental efforts to curb inflation often have negative effects on the level of economic activity. There can be no assurance that inflation will not become a serious problem in the future and have an adverse impact on the Company's returns.</w:t>
      </w:r>
    </w:p>
    <w:p>
      <w:pPr>
        <w:spacing w:after="0" w:line="73" w:lineRule="exact"/>
        <w:rPr>
          <w:sz w:val="20"/>
          <w:szCs w:val="20"/>
          <w:color w:val="auto"/>
        </w:rPr>
      </w:pPr>
    </w:p>
    <w:p>
      <w:pPr>
        <w:ind w:firstLine="231"/>
        <w:spacing w:after="0" w:line="252" w:lineRule="auto"/>
        <w:rPr>
          <w:sz w:val="20"/>
          <w:szCs w:val="20"/>
          <w:color w:val="auto"/>
        </w:rPr>
      </w:pPr>
      <w:r>
        <w:rPr>
          <w:rFonts w:ascii="Times New Roman" w:cs="Times New Roman" w:eastAsia="Times New Roman" w:hAnsi="Times New Roman"/>
          <w:sz w:val="19"/>
          <w:szCs w:val="19"/>
          <w:color w:val="231F20"/>
        </w:rPr>
        <w:t>Economic activity has continued to accelerate across sectors and regions. Nevertheless, global supply chain issues have, and may in the future, lead to a rise in energy prices. Inflation may continue in the near to medium-term, particularly in the U.S., with the possibility that monetary policy may tighten in response. Persistent inflationary pressures could affect our obligors’ profit margins.</w:t>
      </w:r>
    </w:p>
    <w:p>
      <w:pPr>
        <w:spacing w:after="0" w:line="63" w:lineRule="exact"/>
        <w:rPr>
          <w:sz w:val="20"/>
          <w:szCs w:val="20"/>
          <w:color w:val="auto"/>
        </w:rPr>
      </w:pPr>
    </w:p>
    <w:p>
      <w:pPr>
        <w:ind w:right="140" w:firstLine="231"/>
        <w:spacing w:after="0" w:line="237" w:lineRule="auto"/>
        <w:rPr>
          <w:sz w:val="20"/>
          <w:szCs w:val="20"/>
          <w:color w:val="auto"/>
        </w:rPr>
      </w:pPr>
      <w:r>
        <w:rPr>
          <w:rFonts w:ascii="Times New Roman" w:cs="Times New Roman" w:eastAsia="Times New Roman" w:hAnsi="Times New Roman"/>
          <w:sz w:val="19"/>
          <w:szCs w:val="19"/>
          <w:color w:val="231F20"/>
        </w:rPr>
        <w:t>In light of the presidential transition in 2025, global trade disputes may be magnified, including the continuing trade dispute between the United States and China, pursuant to which both countries have, among other things, imposed tariffs on one another, has had an adverse economic effect on U.S. markets and international trade more broadly. This adverse economic effect is likely to become more pronounced if the dispute remains unresolved, which could have a material adverse impact on the Company's portfolio investments. For example, existing and any additional supply chain and other laws, regulations, or executive orders by either country that restrict or prohibit transactions or impose requirements or limitations on business could impair the ability of U.S.-based companies (in which the Company is likely to invest) to expand into markets in China and the ability of such companies’ to produce or obtain component parts necessary for production. Also, for the foreseeable future, the trade dispute will likely continue to be an ongoing source of instability, resulting in significant currency fluctuations, increased capital markets volatility, and other adverse effects on international markets, international trade agreements, and other existing cross-border cooperation arrangements (whether economic, tax, fiscal, legal, regulatory or otherwise), which could present similar and additional potential risks and consequences for the Company and is portfolio investments.</w:t>
      </w:r>
    </w:p>
    <w:p>
      <w:pPr>
        <w:spacing w:after="0" w:line="305" w:lineRule="exact"/>
        <w:rPr>
          <w:sz w:val="20"/>
          <w:szCs w:val="20"/>
          <w:color w:val="auto"/>
        </w:rPr>
      </w:pPr>
    </w:p>
    <w:p>
      <w:pPr>
        <w:ind w:right="800"/>
        <w:spacing w:after="0" w:line="268" w:lineRule="auto"/>
        <w:rPr>
          <w:sz w:val="20"/>
          <w:szCs w:val="20"/>
          <w:color w:val="auto"/>
        </w:rPr>
      </w:pPr>
      <w:r>
        <w:rPr>
          <w:rFonts w:ascii="Times New Roman" w:cs="Times New Roman" w:eastAsia="Times New Roman" w:hAnsi="Times New Roman"/>
          <w:sz w:val="19"/>
          <w:szCs w:val="19"/>
          <w:b w:val="1"/>
          <w:bCs w:val="1"/>
          <w:i w:val="1"/>
          <w:iCs w:val="1"/>
          <w:color w:val="231F20"/>
        </w:rPr>
        <w:t>We are currently operating in a period of disruption, volatility and uncertainty in the capital markets and in the economy generally.</w:t>
      </w:r>
    </w:p>
    <w:p>
      <w:pPr>
        <w:spacing w:after="0" w:line="162" w:lineRule="exact"/>
        <w:rPr>
          <w:sz w:val="20"/>
          <w:szCs w:val="20"/>
          <w:color w:val="auto"/>
        </w:rPr>
      </w:pPr>
    </w:p>
    <w:p>
      <w:pPr>
        <w:ind w:right="20" w:firstLine="231"/>
        <w:spacing w:after="0" w:line="238" w:lineRule="auto"/>
        <w:rPr>
          <w:sz w:val="20"/>
          <w:szCs w:val="20"/>
          <w:color w:val="auto"/>
        </w:rPr>
      </w:pPr>
      <w:r>
        <w:rPr>
          <w:rFonts w:ascii="Times New Roman" w:cs="Times New Roman" w:eastAsia="Times New Roman" w:hAnsi="Times New Roman"/>
          <w:sz w:val="19"/>
          <w:szCs w:val="19"/>
          <w:color w:val="231F20"/>
        </w:rPr>
        <w:t>The U.S. capital markets have experienced extreme volatility and disruption in recent years. Disruptions in the capital markets have increased the spread between the yields realized on risk-free and higher risk securities, resulting in illiquidity in parts of the capital markets. The federal government and the Federal Reserve, as well as foreign governments and central banks, have implemented, and may in the future implement, significant fiscal and monetary policies in response to these disruptions, and additional government and regulatory responses may be possible. These actions, future market disruptions and illiquidity could have an adverse effect on our business, financial condition, results of operations and cash flows. Unfavorable economic conditions also could increase our funding costs, limit our access to the capital markets or result in a decision by lenders not to extend credit to us. These events could limit our investment originations and our ability to grow, and could have a material negative impact on our operating results and the fair values of our debt and equity investments.</w:t>
      </w:r>
    </w:p>
    <w:p>
      <w:pPr>
        <w:spacing w:after="0" w:line="191" w:lineRule="exact"/>
        <w:rPr>
          <w:sz w:val="20"/>
          <w:szCs w:val="20"/>
          <w:color w:val="auto"/>
        </w:rPr>
      </w:pPr>
    </w:p>
    <w:p>
      <w:pPr>
        <w:ind w:right="40" w:firstLine="231"/>
        <w:spacing w:after="0" w:line="242" w:lineRule="auto"/>
        <w:rPr>
          <w:sz w:val="20"/>
          <w:szCs w:val="20"/>
          <w:color w:val="auto"/>
        </w:rPr>
      </w:pPr>
      <w:r>
        <w:rPr>
          <w:rFonts w:ascii="Times New Roman" w:cs="Times New Roman" w:eastAsia="Times New Roman" w:hAnsi="Times New Roman"/>
          <w:sz w:val="19"/>
          <w:szCs w:val="19"/>
          <w:color w:val="231F20"/>
        </w:rPr>
        <w:t>We believe that attractive investment opportunities may present themselves during this volatile period as in other periods of market volatility, and we may have opportunities to make investments at compelling values. However, periods of market disruption and instability, like the one we are experiencing currently, may adversely affect our access to sufficient debt and equity capital in order to take advantage of attractive investment opportunities that are created during these periods. In addition, the debt capital that will be available in the future, if any, may be at a higher cost and on less favorable terms and conditions.</w:t>
      </w:r>
    </w:p>
    <w:p>
      <w:pPr>
        <w:sectPr>
          <w:pgSz w:w="12240" w:h="15840" w:orient="portrait"/>
          <w:cols w:equalWidth="0" w:num="1">
            <w:col w:w="10200"/>
          </w:cols>
          <w:pgMar w:left="1020" w:top="1311" w:right="1020" w:bottom="57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231F20"/>
        </w:rPr>
        <w:t>40</w:t>
      </w:r>
    </w:p>
    <w:p>
      <w:pPr>
        <w:sectPr>
          <w:pgSz w:w="12240" w:h="15840" w:orient="portrait"/>
          <w:cols w:equalWidth="0" w:num="1">
            <w:col w:w="10200"/>
          </w:cols>
          <w:pgMar w:left="1020" w:top="1311" w:right="1020" w:bottom="574" w:gutter="0" w:footer="0" w:header="0"/>
          <w:type w:val="continuous"/>
        </w:sectPr>
      </w:pPr>
    </w:p>
    <w:bookmarkStart w:id="40" w:name="page41"/>
    <w:bookmarkEnd w:id="40"/>
    <w:p>
      <w:pPr>
        <w:ind w:right="260"/>
        <w:spacing w:after="0" w:line="268" w:lineRule="auto"/>
        <w:rPr>
          <w:sz w:val="20"/>
          <w:szCs w:val="20"/>
          <w:color w:val="auto"/>
        </w:rPr>
      </w:pPr>
      <w:r>
        <w:rPr>
          <w:rFonts w:ascii="Times New Roman" w:cs="Times New Roman" w:eastAsia="Times New Roman" w:hAnsi="Times New Roman"/>
          <w:sz w:val="19"/>
          <w:szCs w:val="19"/>
          <w:b w:val="1"/>
          <w:bCs w:val="1"/>
          <w:i w:val="1"/>
          <w:iCs w:val="1"/>
          <w:color w:val="231F20"/>
        </w:rPr>
        <w:t>The current state of the economy and financial markets increases the likelihood of adverse effects on our financial position and results of operations.</w:t>
      </w:r>
    </w:p>
    <w:p>
      <w:pPr>
        <w:spacing w:after="0" w:line="49" w:lineRule="exact"/>
        <w:rPr>
          <w:sz w:val="20"/>
          <w:szCs w:val="20"/>
          <w:color w:val="auto"/>
        </w:rPr>
      </w:pPr>
    </w:p>
    <w:p>
      <w:pPr>
        <w:ind w:firstLine="231"/>
        <w:spacing w:after="0" w:line="237" w:lineRule="auto"/>
        <w:rPr>
          <w:sz w:val="20"/>
          <w:szCs w:val="20"/>
          <w:color w:val="auto"/>
        </w:rPr>
      </w:pPr>
      <w:r>
        <w:rPr>
          <w:rFonts w:ascii="Times New Roman" w:cs="Times New Roman" w:eastAsia="Times New Roman" w:hAnsi="Times New Roman"/>
          <w:sz w:val="19"/>
          <w:szCs w:val="19"/>
          <w:color w:val="231F20"/>
        </w:rPr>
        <w:t>The U.S. and global capital markets experienced extreme volatility and disruption in recent years, leading to periods of recessionary conditions and depressed levels of consumer and commercial spending. For instance, monetary policies of the Federal Reserve and political uncertainty resulting from recent events, including changes to U.S. trade policies, the impact of the end of the transition period following United Kingdom’s exit from the European Union in January 2020 (“Brexit”), the provisional application of the EU-UK Trade and Cooperation Agreement and ongoing conflicts between Russia and Ukraine and in the Middle East and related responses, has led to, from time to time, disruption and instability in the global markets. Disruptions in the capital markets increased the spread between the yields realized on risk-free and higher risk securities, resulting in illiquidity in parts of the capital markets. We cannot assure you that these conditions will not worsen. If conditions worsen, a prolonged period of market illiquidity could have a material adverse effect on our business, financial condition and results of operations. Unfavorable economic conditions also could increase our funding costs, limit our access to the capital markets or result in a decision by lenders not to extend credit to us. These events could limit our investment originations, limit our ability to grow and negatively impact our operating results.</w:t>
      </w:r>
    </w:p>
    <w:p>
      <w:pPr>
        <w:spacing w:after="0" w:line="80" w:lineRule="exact"/>
        <w:rPr>
          <w:sz w:val="20"/>
          <w:szCs w:val="20"/>
          <w:color w:val="auto"/>
        </w:rPr>
      </w:pPr>
    </w:p>
    <w:p>
      <w:pPr>
        <w:ind w:right="220" w:firstLine="231"/>
        <w:spacing w:after="0" w:line="259" w:lineRule="auto"/>
        <w:rPr>
          <w:sz w:val="20"/>
          <w:szCs w:val="20"/>
          <w:color w:val="auto"/>
        </w:rPr>
      </w:pPr>
      <w:r>
        <w:rPr>
          <w:rFonts w:ascii="Times New Roman" w:cs="Times New Roman" w:eastAsia="Times New Roman" w:hAnsi="Times New Roman"/>
          <w:sz w:val="18"/>
          <w:szCs w:val="18"/>
          <w:color w:val="231F20"/>
        </w:rPr>
        <w:t>In addition, to the extent that recessionary conditions return, the financial results of small to mid-sized companies, like those in which we invest, will likely experience deterioration, which could ultimately lead to difficulty in meeting debt service requirements and an increase in defaults. Additionally, the end markets for certain of our portfolio companies’ products and services have experienced, and continue to experience, negative economic trends. The performances of certain of our portfolio companies have been, and may continue to be, negatively impacted by these economic or other conditions, which may ultimately result in:</w:t>
      </w:r>
    </w:p>
    <w:p>
      <w:pPr>
        <w:spacing w:after="0" w:line="74" w:lineRule="exact"/>
        <w:rPr>
          <w:sz w:val="20"/>
          <w:szCs w:val="20"/>
          <w:color w:val="auto"/>
        </w:rPr>
      </w:pPr>
    </w:p>
    <w:p>
      <w:pPr>
        <w:ind w:left="460" w:hanging="229"/>
        <w:spacing w:after="0"/>
        <w:tabs>
          <w:tab w:leader="none" w:pos="460" w:val="left"/>
        </w:tabs>
        <w:numPr>
          <w:ilvl w:val="0"/>
          <w:numId w:val="42"/>
        </w:numPr>
        <w:rPr>
          <w:rFonts w:ascii="Arial" w:cs="Arial" w:eastAsia="Arial" w:hAnsi="Arial"/>
          <w:sz w:val="19"/>
          <w:szCs w:val="19"/>
          <w:color w:val="231F20"/>
        </w:rPr>
      </w:pPr>
      <w:r>
        <w:rPr>
          <w:rFonts w:ascii="Times New Roman" w:cs="Times New Roman" w:eastAsia="Times New Roman" w:hAnsi="Times New Roman"/>
          <w:sz w:val="19"/>
          <w:szCs w:val="19"/>
          <w:color w:val="231F20"/>
        </w:rPr>
        <w:t>our receipt of a reduced level of interest income from our portfolio companies;</w:t>
      </w:r>
    </w:p>
    <w:p>
      <w:pPr>
        <w:spacing w:after="0" w:line="120" w:lineRule="exact"/>
        <w:rPr>
          <w:rFonts w:ascii="Arial" w:cs="Arial" w:eastAsia="Arial" w:hAnsi="Arial"/>
          <w:sz w:val="19"/>
          <w:szCs w:val="19"/>
          <w:color w:val="231F20"/>
        </w:rPr>
      </w:pPr>
    </w:p>
    <w:p>
      <w:pPr>
        <w:ind w:left="460" w:hanging="229"/>
        <w:spacing w:after="0"/>
        <w:tabs>
          <w:tab w:leader="none" w:pos="460" w:val="left"/>
        </w:tabs>
        <w:numPr>
          <w:ilvl w:val="0"/>
          <w:numId w:val="42"/>
        </w:numPr>
        <w:rPr>
          <w:rFonts w:ascii="Arial" w:cs="Arial" w:eastAsia="Arial" w:hAnsi="Arial"/>
          <w:sz w:val="19"/>
          <w:szCs w:val="19"/>
          <w:color w:val="231F20"/>
        </w:rPr>
      </w:pPr>
      <w:r>
        <w:rPr>
          <w:rFonts w:ascii="Times New Roman" w:cs="Times New Roman" w:eastAsia="Times New Roman" w:hAnsi="Times New Roman"/>
          <w:sz w:val="19"/>
          <w:szCs w:val="19"/>
          <w:color w:val="231F20"/>
        </w:rPr>
        <w:t>decreases in the value of collateral securing some of our loans and the value of our equity investments; and</w:t>
      </w:r>
    </w:p>
    <w:p>
      <w:pPr>
        <w:spacing w:after="0" w:line="120" w:lineRule="exact"/>
        <w:rPr>
          <w:rFonts w:ascii="Arial" w:cs="Arial" w:eastAsia="Arial" w:hAnsi="Arial"/>
          <w:sz w:val="19"/>
          <w:szCs w:val="19"/>
          <w:color w:val="231F20"/>
        </w:rPr>
      </w:pPr>
    </w:p>
    <w:p>
      <w:pPr>
        <w:ind w:left="460" w:hanging="229"/>
        <w:spacing w:after="0"/>
        <w:tabs>
          <w:tab w:leader="none" w:pos="460" w:val="left"/>
        </w:tabs>
        <w:numPr>
          <w:ilvl w:val="0"/>
          <w:numId w:val="42"/>
        </w:numPr>
        <w:rPr>
          <w:rFonts w:ascii="Arial" w:cs="Arial" w:eastAsia="Arial" w:hAnsi="Arial"/>
          <w:sz w:val="19"/>
          <w:szCs w:val="19"/>
          <w:color w:val="231F20"/>
        </w:rPr>
      </w:pPr>
      <w:r>
        <w:rPr>
          <w:rFonts w:ascii="Times New Roman" w:cs="Times New Roman" w:eastAsia="Times New Roman" w:hAnsi="Times New Roman"/>
          <w:sz w:val="19"/>
          <w:szCs w:val="19"/>
          <w:color w:val="231F20"/>
        </w:rPr>
        <w:t>ultimately, losses or charge-offs related to our investments.</w:t>
      </w:r>
    </w:p>
    <w:p>
      <w:pPr>
        <w:spacing w:after="0" w:line="335" w:lineRule="exact"/>
        <w:rPr>
          <w:sz w:val="20"/>
          <w:szCs w:val="20"/>
          <w:color w:val="auto"/>
        </w:rPr>
      </w:pPr>
    </w:p>
    <w:p>
      <w:pPr>
        <w:ind w:right="300"/>
        <w:spacing w:after="0" w:line="268" w:lineRule="auto"/>
        <w:rPr>
          <w:sz w:val="20"/>
          <w:szCs w:val="20"/>
          <w:color w:val="auto"/>
        </w:rPr>
      </w:pPr>
      <w:r>
        <w:rPr>
          <w:rFonts w:ascii="Times New Roman" w:cs="Times New Roman" w:eastAsia="Times New Roman" w:hAnsi="Times New Roman"/>
          <w:sz w:val="19"/>
          <w:szCs w:val="19"/>
          <w:b w:val="1"/>
          <w:bCs w:val="1"/>
          <w:i w:val="1"/>
          <w:iCs w:val="1"/>
          <w:color w:val="231F20"/>
        </w:rPr>
        <w:t>Uncertainty about financial stability could have a significant adverse effect on our business, results of operations and financial condition.</w:t>
      </w:r>
    </w:p>
    <w:p>
      <w:pPr>
        <w:spacing w:after="0" w:line="49" w:lineRule="exact"/>
        <w:rPr>
          <w:sz w:val="20"/>
          <w:szCs w:val="20"/>
          <w:color w:val="auto"/>
        </w:rPr>
      </w:pPr>
    </w:p>
    <w:p>
      <w:pPr>
        <w:ind w:right="20" w:firstLine="231"/>
        <w:spacing w:after="0" w:line="254" w:lineRule="auto"/>
        <w:rPr>
          <w:sz w:val="20"/>
          <w:szCs w:val="20"/>
          <w:color w:val="auto"/>
        </w:rPr>
      </w:pPr>
      <w:r>
        <w:rPr>
          <w:rFonts w:ascii="Times New Roman" w:cs="Times New Roman" w:eastAsia="Times New Roman" w:hAnsi="Times New Roman"/>
          <w:sz w:val="18"/>
          <w:szCs w:val="18"/>
          <w:color w:val="231F20"/>
        </w:rPr>
        <w:t>Due to federal budget deficit concerns, S&amp;P downgraded the federal government’s credit rating from AAA to AA+ for the first time in history on August 5, 2011. Further, in 2023, Fitch downgraded the federal government’s credit rating from AAA to AA+. Further downgrades or warnings by S&amp;P, Moody’s or other rating agencies, and the government’s credit and deficit concerns in general, could cause interest rates and borrowing costs to rise, which may negatively impact both the perception of credit risk associated with our debt portfolio and our ability to access the debt markets on favorable terms. In addition, a decreased credit rating could create broader financial turmoil and uncertainty, which may weigh heavily on our financial performance and the value of our common stock. Also, to the extent uncertainty regarding any economic recovery in Europe and Brexit continue to negatively impact consumer confidence and consumer credit factors, our business and results of operations could be significantly and adversely affected.</w:t>
      </w:r>
    </w:p>
    <w:p>
      <w:pPr>
        <w:spacing w:after="0" w:line="176" w:lineRule="exact"/>
        <w:rPr>
          <w:sz w:val="20"/>
          <w:szCs w:val="20"/>
          <w:color w:val="auto"/>
        </w:rPr>
      </w:pPr>
    </w:p>
    <w:p>
      <w:pPr>
        <w:ind w:right="80" w:firstLine="231"/>
        <w:spacing w:after="0" w:line="241" w:lineRule="auto"/>
        <w:rPr>
          <w:sz w:val="20"/>
          <w:szCs w:val="20"/>
          <w:color w:val="auto"/>
        </w:rPr>
      </w:pPr>
      <w:r>
        <w:rPr>
          <w:rFonts w:ascii="Times New Roman" w:cs="Times New Roman" w:eastAsia="Times New Roman" w:hAnsi="Times New Roman"/>
          <w:sz w:val="19"/>
          <w:szCs w:val="19"/>
          <w:color w:val="231F20"/>
        </w:rPr>
        <w:t>After raising the target range for the federal funds rate in 2017 and 2018, the Federal Reserve lowered the target rate three times in 2019 and two times in 2020. Following recent heightened inflation, the Federal Reserve raised the target rate four times in 2023, raising the fed funds rate by about three percentage points in a six month period. However, in 2024, the Federal Reserved lowered the target rate three times. In 2025, it is possible that the Federal Reserve will lower the interest rates further. Further changes in key economic indicators, such as the unemployment rate or inflation, could lead to additional changes to the target range for the federal funds rate that may cause instability or may negatively impact our ability to access the debt markets on favorable terms.</w:t>
      </w:r>
    </w:p>
    <w:p>
      <w:pPr>
        <w:spacing w:after="0" w:line="187" w:lineRule="exact"/>
        <w:rPr>
          <w:sz w:val="20"/>
          <w:szCs w:val="20"/>
          <w:color w:val="auto"/>
        </w:rPr>
      </w:pPr>
    </w:p>
    <w:p>
      <w:pPr>
        <w:ind w:right="20" w:firstLine="231"/>
        <w:spacing w:after="0" w:line="238" w:lineRule="auto"/>
        <w:rPr>
          <w:sz w:val="20"/>
          <w:szCs w:val="20"/>
          <w:color w:val="auto"/>
        </w:rPr>
      </w:pPr>
      <w:r>
        <w:rPr>
          <w:rFonts w:ascii="Times New Roman" w:cs="Times New Roman" w:eastAsia="Times New Roman" w:hAnsi="Times New Roman"/>
          <w:sz w:val="19"/>
          <w:szCs w:val="19"/>
          <w:color w:val="231F20"/>
        </w:rPr>
        <w:t>The election of a new U.S. president for a term that commenced in 2025, coupled with a consolidation of party control of both chambers of Congress, has led to new legislative and regulatory initiatives and the roll-back of certain initiatives of the previous presidential administration, which may impact our business and our clients’ businesses in unpredictable ways. Areas subject to potential change or amendment include the Wall Street Reform and Consumer Protection Act, or the Dodd-Frank Act, and the authority of the Federal Reserve and the Financial Stability Oversight Council. Additionally, under the narrowly divided control of the Congress, the likelihood of a failure to increase the debt ceiling and a default by the federal government is increased. The United States may also increase tariffs and potentially withdraw from, renegotiate or enter into various trade agreements and take other actions that would change current trade policies of the United States. We cannot predict which, if any, of these actions will be taken or, if taken, their effect on the financial stability of the United States. Such actions could have a significant adverse effect on our business, financial condition and results of operations.</w:t>
      </w:r>
    </w:p>
    <w:p>
      <w:pPr>
        <w:sectPr>
          <w:pgSz w:w="12240" w:h="15840" w:orient="portrait"/>
          <w:cols w:equalWidth="0" w:num="1">
            <w:col w:w="10180"/>
          </w:cols>
          <w:pgMar w:left="1020" w:top="1315" w:right="1040" w:bottom="57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231F20"/>
        </w:rPr>
        <w:t>41</w:t>
      </w:r>
    </w:p>
    <w:p>
      <w:pPr>
        <w:sectPr>
          <w:pgSz w:w="12240" w:h="15840" w:orient="portrait"/>
          <w:cols w:equalWidth="0" w:num="1">
            <w:col w:w="10180"/>
          </w:cols>
          <w:pgMar w:left="1020" w:top="1315" w:right="1040" w:bottom="574" w:gutter="0" w:footer="0" w:header="0"/>
          <w:type w:val="continuous"/>
        </w:sectPr>
      </w:pPr>
    </w:p>
    <w:bookmarkStart w:id="41" w:name="page42"/>
    <w:bookmarkEnd w:id="41"/>
    <w:p>
      <w:pPr>
        <w:spacing w:after="0"/>
        <w:rPr>
          <w:sz w:val="20"/>
          <w:szCs w:val="20"/>
          <w:color w:val="auto"/>
        </w:rPr>
      </w:pPr>
      <w:r>
        <w:rPr>
          <w:rFonts w:ascii="Times New Roman" w:cs="Times New Roman" w:eastAsia="Times New Roman" w:hAnsi="Times New Roman"/>
          <w:sz w:val="19"/>
          <w:szCs w:val="19"/>
          <w:b w:val="1"/>
          <w:bCs w:val="1"/>
          <w:i w:val="1"/>
          <w:iCs w:val="1"/>
          <w:color w:val="231F20"/>
        </w:rPr>
        <w:t>Economic recessions or downturns could impair our portfolio companies and harm our operating results.</w:t>
      </w:r>
    </w:p>
    <w:p>
      <w:pPr>
        <w:spacing w:after="0" w:line="110" w:lineRule="exact"/>
        <w:rPr>
          <w:sz w:val="20"/>
          <w:szCs w:val="20"/>
          <w:color w:val="auto"/>
        </w:rPr>
      </w:pPr>
    </w:p>
    <w:p>
      <w:pPr>
        <w:ind w:right="60" w:firstLine="231"/>
        <w:spacing w:after="0" w:line="243" w:lineRule="auto"/>
        <w:rPr>
          <w:sz w:val="20"/>
          <w:szCs w:val="20"/>
          <w:color w:val="auto"/>
        </w:rPr>
      </w:pPr>
      <w:r>
        <w:rPr>
          <w:rFonts w:ascii="Times New Roman" w:cs="Times New Roman" w:eastAsia="Times New Roman" w:hAnsi="Times New Roman"/>
          <w:sz w:val="19"/>
          <w:szCs w:val="19"/>
          <w:color w:val="231F20"/>
        </w:rPr>
        <w:t>Many of the portfolio companies in which we make investments may be susceptible to economic slowdowns or recessions and during these periods may be unable to repay the loans we made to them. Therefore, our non-performing assets may increase and the value of our portfolio may decrease during these periods as we are required to record our investments at their current fair value. Adverse economic conditions also may decrease the value of collateral securing some of our loans and the value of our equity investments. Economic slowdowns or recessions could lead to financial losses in our portfolio and a decrease in revenues, net income and assets. Unfavorable economic conditions also could increase our and our portfolio companies’ funding costs, limit our and our portfolio companies’ access to the capital markets or result in a decision by lenders not to extend credit to us or our portfolio companies. These events could prevent us from increasing investments and harm our operating results.</w:t>
      </w:r>
    </w:p>
    <w:p>
      <w:pPr>
        <w:spacing w:after="0" w:line="195" w:lineRule="exact"/>
        <w:rPr>
          <w:sz w:val="20"/>
          <w:szCs w:val="20"/>
          <w:color w:val="auto"/>
        </w:rPr>
      </w:pPr>
    </w:p>
    <w:p>
      <w:pPr>
        <w:ind w:right="60" w:firstLine="231"/>
        <w:spacing w:after="0" w:line="244" w:lineRule="auto"/>
        <w:rPr>
          <w:sz w:val="20"/>
          <w:szCs w:val="20"/>
          <w:color w:val="auto"/>
        </w:rPr>
      </w:pPr>
      <w:r>
        <w:rPr>
          <w:rFonts w:ascii="Times New Roman" w:cs="Times New Roman" w:eastAsia="Times New Roman" w:hAnsi="Times New Roman"/>
          <w:sz w:val="19"/>
          <w:szCs w:val="19"/>
          <w:color w:val="231F20"/>
        </w:rPr>
        <w:t>A portfolio company’s failure to satisfy financial or operating covenants imposed by us or other lenders could lead to defaults and, potentially, acceleration of the time when the loans are due and foreclosure on its secured assets, which could trigger cross-defaults under other agreements and jeopardize the portfolio company’s ability to meet its obligations under the debt that we hold. We may incur additional expenses to the extent necessary to seek recovery upon default or to negotiate new terms with a defaulting portfolio company. In addition, if one of our portfolio companies were to go bankrupt, depending on the facts and circumstances, including the extent to which we will actually provide significant managerial assistance to that portfolio company, a bankruptcy court might subordinate all or a portion of our claim to that of other creditors.</w:t>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231F20"/>
        </w:rPr>
        <w:t>Risks Related to Our Portfolio Company Investments</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231F20"/>
        </w:rPr>
        <w:t>Our investments are very risky and highly speculative.</w:t>
      </w:r>
    </w:p>
    <w:p>
      <w:pPr>
        <w:spacing w:after="0" w:line="110" w:lineRule="exact"/>
        <w:rPr>
          <w:sz w:val="20"/>
          <w:szCs w:val="20"/>
          <w:color w:val="auto"/>
        </w:rPr>
      </w:pPr>
    </w:p>
    <w:p>
      <w:pPr>
        <w:ind w:right="120" w:firstLine="231"/>
        <w:spacing w:after="0" w:line="246" w:lineRule="auto"/>
        <w:rPr>
          <w:sz w:val="20"/>
          <w:szCs w:val="20"/>
          <w:color w:val="auto"/>
        </w:rPr>
      </w:pPr>
      <w:r>
        <w:rPr>
          <w:rFonts w:ascii="Times New Roman" w:cs="Times New Roman" w:eastAsia="Times New Roman" w:hAnsi="Times New Roman"/>
          <w:sz w:val="19"/>
          <w:szCs w:val="19"/>
          <w:color w:val="231F20"/>
        </w:rPr>
        <w:t>We primarily invest in first-lien debt, second-lien debt, mezzanine and unsecured debt or equity or other securities issued by middle-market companies. The companies in which we intend to invest are typically highly leveraged, and, in most cases, our investments in these companies are not rated by any rating agency. If these instruments were rated, we believe that they would likely receive a rating of below investment grade (that is, below BBB- or Baa3, which is often referred to as “junk”). Exposure to below investment grade instruments involves certain risks, including speculation with respect to the borrower’s capacity to pay interest and repay principal.</w:t>
      </w:r>
    </w:p>
    <w:p>
      <w:pPr>
        <w:spacing w:after="0" w:line="186" w:lineRule="exact"/>
        <w:rPr>
          <w:sz w:val="20"/>
          <w:szCs w:val="20"/>
          <w:color w:val="auto"/>
        </w:rPr>
      </w:pPr>
    </w:p>
    <w:p>
      <w:pPr>
        <w:ind w:firstLine="231"/>
        <w:spacing w:after="0" w:line="242" w:lineRule="auto"/>
        <w:rPr>
          <w:sz w:val="20"/>
          <w:szCs w:val="20"/>
          <w:color w:val="auto"/>
        </w:rPr>
      </w:pPr>
      <w:r>
        <w:rPr>
          <w:rFonts w:ascii="Times New Roman" w:cs="Times New Roman" w:eastAsia="Times New Roman" w:hAnsi="Times New Roman"/>
          <w:sz w:val="19"/>
          <w:szCs w:val="19"/>
          <w:i w:val="1"/>
          <w:iCs w:val="1"/>
          <w:color w:val="231F20"/>
        </w:rPr>
        <w:t>First-Lien Debt</w:t>
      </w:r>
      <w:r>
        <w:rPr>
          <w:rFonts w:ascii="Times New Roman" w:cs="Times New Roman" w:eastAsia="Times New Roman" w:hAnsi="Times New Roman"/>
          <w:sz w:val="19"/>
          <w:szCs w:val="19"/>
          <w:color w:val="231F20"/>
        </w:rPr>
        <w:t>. When we make a first-lien loan, we generally take a security interest in the available assets of the portfolio</w:t>
      </w:r>
      <w:r>
        <w:rPr>
          <w:rFonts w:ascii="Times New Roman" w:cs="Times New Roman" w:eastAsia="Times New Roman" w:hAnsi="Times New Roman"/>
          <w:sz w:val="19"/>
          <w:szCs w:val="19"/>
          <w:i w:val="1"/>
          <w:iCs w:val="1"/>
          <w:color w:val="231F20"/>
        </w:rPr>
        <w:t xml:space="preserve"> </w:t>
      </w:r>
      <w:r>
        <w:rPr>
          <w:rFonts w:ascii="Times New Roman" w:cs="Times New Roman" w:eastAsia="Times New Roman" w:hAnsi="Times New Roman"/>
          <w:sz w:val="19"/>
          <w:szCs w:val="19"/>
          <w:color w:val="231F20"/>
        </w:rPr>
        <w:t>company, including the equity interests of its subsidiaries, which we expect to help mitigate the risk that we will not be repaid. However, there is a risk that the collateral securing our loans may decrease in value over time, may be difficult to sell in a timely manner, may be difficult to appraise, and may fluctuate in value based upon the success of the business and market conditions, including as a result of the inability of the portfolio company to raise additional capital. In some circumstances, our lien is, or could become, subordinated to claims of other creditors. Consequently, the fact that a loan is secured does not guarantee that we will receive principal and interest payments according to the loan’s terms, or at all, or that we will be able to collect on the loan should we need to enforce our remedies. In addition, in connection with our “last out” first-lien loans, we enter into agreements among lenders. Under these agreements, our interest in the collateral of the first-lien loans may rank junior to those of other lenders in the loan under certain circumstances. This may result in greater risk and loss of principal on these loans.</w:t>
      </w:r>
    </w:p>
    <w:p>
      <w:pPr>
        <w:spacing w:after="0" w:line="196" w:lineRule="exact"/>
        <w:rPr>
          <w:sz w:val="20"/>
          <w:szCs w:val="20"/>
          <w:color w:val="auto"/>
        </w:rPr>
      </w:pPr>
    </w:p>
    <w:p>
      <w:pPr>
        <w:ind w:firstLine="231"/>
        <w:spacing w:after="0" w:line="257" w:lineRule="auto"/>
        <w:rPr>
          <w:sz w:val="20"/>
          <w:szCs w:val="20"/>
          <w:color w:val="auto"/>
        </w:rPr>
      </w:pPr>
      <w:r>
        <w:rPr>
          <w:rFonts w:ascii="Times New Roman" w:cs="Times New Roman" w:eastAsia="Times New Roman" w:hAnsi="Times New Roman"/>
          <w:sz w:val="19"/>
          <w:szCs w:val="19"/>
          <w:i w:val="1"/>
          <w:iCs w:val="1"/>
          <w:color w:val="231F20"/>
        </w:rPr>
        <w:t>Second-Lien and Mezzanine Debt</w:t>
      </w:r>
      <w:r>
        <w:rPr>
          <w:rFonts w:ascii="Times New Roman" w:cs="Times New Roman" w:eastAsia="Times New Roman" w:hAnsi="Times New Roman"/>
          <w:sz w:val="19"/>
          <w:szCs w:val="19"/>
          <w:color w:val="231F20"/>
        </w:rPr>
        <w:t>. Our investments in second-lien and mezzanine debt generally are subordinated to senior loans</w:t>
      </w:r>
      <w:r>
        <w:rPr>
          <w:rFonts w:ascii="Times New Roman" w:cs="Times New Roman" w:eastAsia="Times New Roman" w:hAnsi="Times New Roman"/>
          <w:sz w:val="19"/>
          <w:szCs w:val="19"/>
          <w:i w:val="1"/>
          <w:iCs w:val="1"/>
          <w:color w:val="231F20"/>
        </w:rPr>
        <w:t xml:space="preserve"> </w:t>
      </w:r>
      <w:r>
        <w:rPr>
          <w:rFonts w:ascii="Times New Roman" w:cs="Times New Roman" w:eastAsia="Times New Roman" w:hAnsi="Times New Roman"/>
          <w:sz w:val="19"/>
          <w:szCs w:val="19"/>
          <w:color w:val="231F20"/>
        </w:rPr>
        <w:t>and will either have junior security interests or be unsecured. As such, other creditors may rank senior to us in the event of insolvency. This may result in greater risk and loss of principal.</w:t>
      </w:r>
    </w:p>
    <w:p>
      <w:pPr>
        <w:spacing w:after="0" w:line="176" w:lineRule="exact"/>
        <w:rPr>
          <w:sz w:val="20"/>
          <w:szCs w:val="20"/>
          <w:color w:val="auto"/>
        </w:rPr>
      </w:pPr>
    </w:p>
    <w:p>
      <w:pPr>
        <w:ind w:right="20" w:firstLine="231"/>
        <w:spacing w:after="0" w:line="246" w:lineRule="auto"/>
        <w:rPr>
          <w:sz w:val="20"/>
          <w:szCs w:val="20"/>
          <w:color w:val="auto"/>
        </w:rPr>
      </w:pPr>
      <w:r>
        <w:rPr>
          <w:rFonts w:ascii="Times New Roman" w:cs="Times New Roman" w:eastAsia="Times New Roman" w:hAnsi="Times New Roman"/>
          <w:sz w:val="19"/>
          <w:szCs w:val="19"/>
          <w:i w:val="1"/>
          <w:iCs w:val="1"/>
          <w:color w:val="231F20"/>
        </w:rPr>
        <w:t xml:space="preserve">Equity and Other Investments. </w:t>
      </w:r>
      <w:r>
        <w:rPr>
          <w:rFonts w:ascii="Times New Roman" w:cs="Times New Roman" w:eastAsia="Times New Roman" w:hAnsi="Times New Roman"/>
          <w:sz w:val="19"/>
          <w:szCs w:val="19"/>
          <w:color w:val="231F20"/>
        </w:rPr>
        <w:t>When we invest in first-lien debt, second-lien debt or mezzanine debt, we may acquire equity</w:t>
      </w:r>
      <w:r>
        <w:rPr>
          <w:rFonts w:ascii="Times New Roman" w:cs="Times New Roman" w:eastAsia="Times New Roman" w:hAnsi="Times New Roman"/>
          <w:sz w:val="19"/>
          <w:szCs w:val="19"/>
          <w:i w:val="1"/>
          <w:iCs w:val="1"/>
          <w:color w:val="231F20"/>
        </w:rPr>
        <w:t xml:space="preserve"> </w:t>
      </w:r>
      <w:r>
        <w:rPr>
          <w:rFonts w:ascii="Times New Roman" w:cs="Times New Roman" w:eastAsia="Times New Roman" w:hAnsi="Times New Roman"/>
          <w:sz w:val="19"/>
          <w:szCs w:val="19"/>
          <w:color w:val="231F20"/>
        </w:rPr>
        <w:t>securities, such as warrants, options and convertible instruments. In addition, we may invest directly in the equity securities of portfolio companies. We seek to dispose of these equity interests and realize gains upon our disposition of these interests. However, the equity interests we receive may not appreciate in value and, in fact, may decline in value. Accordingly, we may not be able to realize gains from our equity interests, and any gains that we do realize on the disposition of any equity interests may not be sufficient to offset any other losses we experience.</w:t>
      </w:r>
    </w:p>
    <w:p>
      <w:pPr>
        <w:spacing w:after="0" w:line="186"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9"/>
          <w:szCs w:val="19"/>
          <w:i w:val="1"/>
          <w:iCs w:val="1"/>
          <w:color w:val="231F20"/>
        </w:rPr>
        <w:t xml:space="preserve">Preferred Stock. </w:t>
      </w:r>
      <w:r>
        <w:rPr>
          <w:rFonts w:ascii="Times New Roman" w:cs="Times New Roman" w:eastAsia="Times New Roman" w:hAnsi="Times New Roman"/>
          <w:sz w:val="19"/>
          <w:szCs w:val="19"/>
          <w:color w:val="231F20"/>
        </w:rPr>
        <w:t>To the extent we invest in preferred securities, we may incur particular risks, including:</w:t>
      </w:r>
    </w:p>
    <w:p>
      <w:pPr>
        <w:spacing w:after="0" w:line="126" w:lineRule="exact"/>
        <w:rPr>
          <w:sz w:val="20"/>
          <w:szCs w:val="20"/>
          <w:color w:val="auto"/>
        </w:rPr>
      </w:pPr>
    </w:p>
    <w:p>
      <w:pPr>
        <w:ind w:left="460" w:right="380" w:hanging="229"/>
        <w:spacing w:after="0" w:line="256" w:lineRule="auto"/>
        <w:tabs>
          <w:tab w:leader="none" w:pos="460" w:val="left"/>
        </w:tabs>
        <w:numPr>
          <w:ilvl w:val="0"/>
          <w:numId w:val="43"/>
        </w:numPr>
        <w:rPr>
          <w:rFonts w:ascii="Arial" w:cs="Arial" w:eastAsia="Arial" w:hAnsi="Arial"/>
          <w:sz w:val="19"/>
          <w:szCs w:val="19"/>
          <w:color w:val="231F20"/>
        </w:rPr>
      </w:pPr>
      <w:r>
        <w:rPr>
          <w:rFonts w:ascii="Times New Roman" w:cs="Times New Roman" w:eastAsia="Times New Roman" w:hAnsi="Times New Roman"/>
          <w:sz w:val="19"/>
          <w:szCs w:val="19"/>
          <w:color w:val="231F20"/>
        </w:rPr>
        <w:t>preferred securities may include provisions that permit the issuer, at its discretion, to defer distributions for a stated period without any adverse consequences to the issuer. If we own a preferred security that is deferring its distributions, we may be required to report income for U.S. federal income tax purposes before we receive such distributions;</w:t>
      </w:r>
    </w:p>
    <w:p>
      <w:pPr>
        <w:spacing w:after="0" w:line="78" w:lineRule="exact"/>
        <w:rPr>
          <w:rFonts w:ascii="Arial" w:cs="Arial" w:eastAsia="Arial" w:hAnsi="Arial"/>
          <w:sz w:val="19"/>
          <w:szCs w:val="19"/>
          <w:color w:val="231F20"/>
        </w:rPr>
      </w:pPr>
    </w:p>
    <w:p>
      <w:pPr>
        <w:ind w:left="460" w:right="60" w:hanging="229"/>
        <w:spacing w:after="0" w:line="256" w:lineRule="auto"/>
        <w:tabs>
          <w:tab w:leader="none" w:pos="460" w:val="left"/>
        </w:tabs>
        <w:numPr>
          <w:ilvl w:val="0"/>
          <w:numId w:val="43"/>
        </w:numPr>
        <w:rPr>
          <w:rFonts w:ascii="Arial" w:cs="Arial" w:eastAsia="Arial" w:hAnsi="Arial"/>
          <w:sz w:val="19"/>
          <w:szCs w:val="19"/>
          <w:color w:val="231F20"/>
        </w:rPr>
      </w:pPr>
      <w:r>
        <w:rPr>
          <w:rFonts w:ascii="Times New Roman" w:cs="Times New Roman" w:eastAsia="Times New Roman" w:hAnsi="Times New Roman"/>
          <w:sz w:val="19"/>
          <w:szCs w:val="19"/>
          <w:color w:val="231F20"/>
        </w:rPr>
        <w:t>preferred securities are subordinated to bonds and other debt instruments in a company’s capital structure in terms of priority to corporate income and liquidation payments, and therefore are subject to greater credit risk than more senior debt instruments; and</w:t>
      </w:r>
    </w:p>
    <w:p>
      <w:pPr>
        <w:sectPr>
          <w:pgSz w:w="12240" w:h="15840" w:orient="portrait"/>
          <w:cols w:equalWidth="0" w:num="1">
            <w:col w:w="10160"/>
          </w:cols>
          <w:pgMar w:left="1020" w:top="1319" w:right="1060" w:bottom="574" w:gutter="0" w:footer="0" w:header="0"/>
        </w:sectPr>
      </w:pPr>
    </w:p>
    <w:p>
      <w:pPr>
        <w:spacing w:after="0" w:line="19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9"/>
          <w:szCs w:val="19"/>
          <w:color w:val="231F20"/>
        </w:rPr>
        <w:t>42</w:t>
      </w:r>
    </w:p>
    <w:p>
      <w:pPr>
        <w:sectPr>
          <w:pgSz w:w="12240" w:h="15840" w:orient="portrait"/>
          <w:cols w:equalWidth="0" w:num="1">
            <w:col w:w="10160"/>
          </w:cols>
          <w:pgMar w:left="1020" w:top="1319" w:right="1060" w:bottom="574" w:gutter="0" w:footer="0" w:header="0"/>
          <w:type w:val="continuous"/>
        </w:sectPr>
      </w:pPr>
    </w:p>
    <w:bookmarkStart w:id="42" w:name="page43"/>
    <w:bookmarkEnd w:id="42"/>
    <w:p>
      <w:pPr>
        <w:ind w:left="460" w:right="20" w:hanging="229"/>
        <w:spacing w:after="0" w:line="277" w:lineRule="auto"/>
        <w:tabs>
          <w:tab w:leader="none" w:pos="460" w:val="left"/>
        </w:tabs>
        <w:numPr>
          <w:ilvl w:val="0"/>
          <w:numId w:val="44"/>
        </w:numPr>
        <w:rPr>
          <w:rFonts w:ascii="Arial" w:cs="Arial" w:eastAsia="Arial" w:hAnsi="Arial"/>
          <w:sz w:val="18"/>
          <w:szCs w:val="18"/>
          <w:color w:val="231F20"/>
        </w:rPr>
      </w:pPr>
      <w:r>
        <w:rPr>
          <w:rFonts w:ascii="Times New Roman" w:cs="Times New Roman" w:eastAsia="Times New Roman" w:hAnsi="Times New Roman"/>
          <w:sz w:val="18"/>
          <w:szCs w:val="18"/>
          <w:color w:val="231F20"/>
        </w:rPr>
        <w:t>generally, preferred security holders have no voting rights with respect to the issuing company unless preferred dividends have been in arrears for a specified number of periods, at which time the preferred security holders may elect a number of directors to the issuer’s board; generally, once all the arrearages have been paid, the preferred security holders no longer have voting rights.</w:t>
      </w:r>
    </w:p>
    <w:p>
      <w:pPr>
        <w:spacing w:after="0" w:line="16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9"/>
          <w:szCs w:val="19"/>
          <w:color w:val="231F20"/>
        </w:rPr>
        <w:t>In addition, our investments generally involve a number of significant risks, including:</w:t>
      </w:r>
    </w:p>
    <w:p>
      <w:pPr>
        <w:spacing w:after="0" w:line="126" w:lineRule="exact"/>
        <w:rPr>
          <w:sz w:val="20"/>
          <w:szCs w:val="20"/>
          <w:color w:val="auto"/>
        </w:rPr>
      </w:pPr>
    </w:p>
    <w:p>
      <w:pPr>
        <w:ind w:left="460" w:right="100" w:hanging="229"/>
        <w:spacing w:after="0" w:line="256" w:lineRule="auto"/>
        <w:tabs>
          <w:tab w:leader="none" w:pos="460" w:val="left"/>
        </w:tabs>
        <w:numPr>
          <w:ilvl w:val="0"/>
          <w:numId w:val="45"/>
        </w:numPr>
        <w:rPr>
          <w:rFonts w:ascii="Arial" w:cs="Arial" w:eastAsia="Arial" w:hAnsi="Arial"/>
          <w:sz w:val="19"/>
          <w:szCs w:val="19"/>
          <w:color w:val="231F20"/>
        </w:rPr>
      </w:pPr>
      <w:r>
        <w:rPr>
          <w:rFonts w:ascii="Times New Roman" w:cs="Times New Roman" w:eastAsia="Times New Roman" w:hAnsi="Times New Roman"/>
          <w:sz w:val="19"/>
          <w:szCs w:val="19"/>
          <w:color w:val="231F20"/>
        </w:rPr>
        <w:t>the companies in which we invest may have limited financial resources and may be unable to meet their obligations under their debt securities that we hold, which may be accompanied by a deterioration in the value of any collateral and a reduction in the likelihood of us realizing any guarantees we may have obtained in connection with our investment;</w:t>
      </w:r>
    </w:p>
    <w:p>
      <w:pPr>
        <w:spacing w:after="0" w:line="78" w:lineRule="exact"/>
        <w:rPr>
          <w:rFonts w:ascii="Arial" w:cs="Arial" w:eastAsia="Arial" w:hAnsi="Arial"/>
          <w:sz w:val="19"/>
          <w:szCs w:val="19"/>
          <w:color w:val="231F20"/>
        </w:rPr>
      </w:pPr>
    </w:p>
    <w:p>
      <w:pPr>
        <w:ind w:left="460" w:right="220" w:hanging="229"/>
        <w:spacing w:after="0" w:line="256" w:lineRule="auto"/>
        <w:tabs>
          <w:tab w:leader="none" w:pos="460" w:val="left"/>
        </w:tabs>
        <w:numPr>
          <w:ilvl w:val="0"/>
          <w:numId w:val="45"/>
        </w:numPr>
        <w:rPr>
          <w:rFonts w:ascii="Arial" w:cs="Arial" w:eastAsia="Arial" w:hAnsi="Arial"/>
          <w:sz w:val="19"/>
          <w:szCs w:val="19"/>
          <w:color w:val="231F20"/>
        </w:rPr>
      </w:pPr>
      <w:r>
        <w:rPr>
          <w:rFonts w:ascii="Times New Roman" w:cs="Times New Roman" w:eastAsia="Times New Roman" w:hAnsi="Times New Roman"/>
          <w:sz w:val="19"/>
          <w:szCs w:val="19"/>
          <w:color w:val="231F20"/>
        </w:rPr>
        <w:t>the companies in which we invest typically have shorter operating histories, narrower product lines and smaller market shares than larger businesses, which tend to render them more vulnerable to competitors’ actions and market conditions, as well as general economic downturns;</w:t>
      </w:r>
    </w:p>
    <w:p>
      <w:pPr>
        <w:spacing w:after="0" w:line="78" w:lineRule="exact"/>
        <w:rPr>
          <w:rFonts w:ascii="Arial" w:cs="Arial" w:eastAsia="Arial" w:hAnsi="Arial"/>
          <w:sz w:val="19"/>
          <w:szCs w:val="19"/>
          <w:color w:val="231F20"/>
        </w:rPr>
      </w:pPr>
    </w:p>
    <w:p>
      <w:pPr>
        <w:jc w:val="both"/>
        <w:ind w:left="460" w:right="100" w:hanging="229"/>
        <w:spacing w:after="0" w:line="256" w:lineRule="auto"/>
        <w:tabs>
          <w:tab w:leader="none" w:pos="460" w:val="left"/>
        </w:tabs>
        <w:numPr>
          <w:ilvl w:val="0"/>
          <w:numId w:val="45"/>
        </w:numPr>
        <w:rPr>
          <w:rFonts w:ascii="Arial" w:cs="Arial" w:eastAsia="Arial" w:hAnsi="Arial"/>
          <w:sz w:val="19"/>
          <w:szCs w:val="19"/>
          <w:color w:val="231F20"/>
        </w:rPr>
      </w:pPr>
      <w:r>
        <w:rPr>
          <w:rFonts w:ascii="Times New Roman" w:cs="Times New Roman" w:eastAsia="Times New Roman" w:hAnsi="Times New Roman"/>
          <w:sz w:val="19"/>
          <w:szCs w:val="19"/>
          <w:color w:val="231F20"/>
        </w:rPr>
        <w:t>the companies in which we invest are more likely to depend on the management talents and efforts of a small group of persons; therefore, the death, disability, resignation or termination of one or more of these persons could have a material adverse impact on our portfolio company and, in turn, on us;</w:t>
      </w:r>
    </w:p>
    <w:p>
      <w:pPr>
        <w:spacing w:after="0" w:line="78" w:lineRule="exact"/>
        <w:rPr>
          <w:rFonts w:ascii="Arial" w:cs="Arial" w:eastAsia="Arial" w:hAnsi="Arial"/>
          <w:sz w:val="19"/>
          <w:szCs w:val="19"/>
          <w:color w:val="231F20"/>
        </w:rPr>
      </w:pPr>
    </w:p>
    <w:p>
      <w:pPr>
        <w:ind w:left="460" w:right="160" w:hanging="229"/>
        <w:spacing w:after="0" w:line="256" w:lineRule="auto"/>
        <w:tabs>
          <w:tab w:leader="none" w:pos="460" w:val="left"/>
        </w:tabs>
        <w:numPr>
          <w:ilvl w:val="0"/>
          <w:numId w:val="45"/>
        </w:numPr>
        <w:rPr>
          <w:rFonts w:ascii="Arial" w:cs="Arial" w:eastAsia="Arial" w:hAnsi="Arial"/>
          <w:sz w:val="19"/>
          <w:szCs w:val="19"/>
          <w:color w:val="231F20"/>
        </w:rPr>
      </w:pPr>
      <w:r>
        <w:rPr>
          <w:rFonts w:ascii="Times New Roman" w:cs="Times New Roman" w:eastAsia="Times New Roman" w:hAnsi="Times New Roman"/>
          <w:sz w:val="19"/>
          <w:szCs w:val="19"/>
          <w:color w:val="231F20"/>
        </w:rPr>
        <w:t>the companies in which we invest generally have less predictable operating results, may be engaged in rapidly changing businesses with products subject to a substantial risk of obsolescence, and may require substantial additional capital to support their operations, finance expansion or maintain their competitive position;</w:t>
      </w:r>
    </w:p>
    <w:p>
      <w:pPr>
        <w:spacing w:after="0" w:line="78" w:lineRule="exact"/>
        <w:rPr>
          <w:rFonts w:ascii="Arial" w:cs="Arial" w:eastAsia="Arial" w:hAnsi="Arial"/>
          <w:sz w:val="19"/>
          <w:szCs w:val="19"/>
          <w:color w:val="231F20"/>
        </w:rPr>
      </w:pPr>
    </w:p>
    <w:p>
      <w:pPr>
        <w:ind w:left="460" w:right="440" w:hanging="229"/>
        <w:spacing w:after="0" w:line="303" w:lineRule="auto"/>
        <w:tabs>
          <w:tab w:leader="none" w:pos="460" w:val="left"/>
        </w:tabs>
        <w:numPr>
          <w:ilvl w:val="0"/>
          <w:numId w:val="45"/>
        </w:numPr>
        <w:rPr>
          <w:rFonts w:ascii="Arial" w:cs="Arial" w:eastAsia="Arial" w:hAnsi="Arial"/>
          <w:sz w:val="18"/>
          <w:szCs w:val="18"/>
          <w:color w:val="231F20"/>
        </w:rPr>
      </w:pPr>
      <w:r>
        <w:rPr>
          <w:rFonts w:ascii="Times New Roman" w:cs="Times New Roman" w:eastAsia="Times New Roman" w:hAnsi="Times New Roman"/>
          <w:sz w:val="18"/>
          <w:szCs w:val="18"/>
          <w:color w:val="231F20"/>
        </w:rPr>
        <w:t>the debt investments in our portfolio generally have a significant portion of principal due at the maturity of the investment, which would result in a substantial loss to us if such borrowers are unable to refinance or repay their debt at maturity;</w:t>
      </w:r>
    </w:p>
    <w:p>
      <w:pPr>
        <w:spacing w:after="0" w:line="37" w:lineRule="exact"/>
        <w:rPr>
          <w:rFonts w:ascii="Arial" w:cs="Arial" w:eastAsia="Arial" w:hAnsi="Arial"/>
          <w:sz w:val="18"/>
          <w:szCs w:val="18"/>
          <w:color w:val="231F20"/>
        </w:rPr>
      </w:pPr>
    </w:p>
    <w:p>
      <w:pPr>
        <w:ind w:left="460" w:right="520" w:hanging="229"/>
        <w:spacing w:after="0" w:line="274" w:lineRule="auto"/>
        <w:tabs>
          <w:tab w:leader="none" w:pos="460" w:val="left"/>
        </w:tabs>
        <w:numPr>
          <w:ilvl w:val="0"/>
          <w:numId w:val="45"/>
        </w:numPr>
        <w:rPr>
          <w:rFonts w:ascii="Arial" w:cs="Arial" w:eastAsia="Arial" w:hAnsi="Arial"/>
          <w:sz w:val="19"/>
          <w:szCs w:val="19"/>
          <w:color w:val="231F20"/>
        </w:rPr>
      </w:pPr>
      <w:r>
        <w:rPr>
          <w:rFonts w:ascii="Times New Roman" w:cs="Times New Roman" w:eastAsia="Times New Roman" w:hAnsi="Times New Roman"/>
          <w:sz w:val="19"/>
          <w:szCs w:val="19"/>
          <w:color w:val="231F20"/>
        </w:rPr>
        <w:t>our executive officers, directors and Adviser may, in the ordinary course of business, be named as defendants in litigation arising from our investments in the portfolio companies;</w:t>
      </w:r>
    </w:p>
    <w:p>
      <w:pPr>
        <w:spacing w:after="0" w:line="61" w:lineRule="exact"/>
        <w:rPr>
          <w:rFonts w:ascii="Arial" w:cs="Arial" w:eastAsia="Arial" w:hAnsi="Arial"/>
          <w:sz w:val="19"/>
          <w:szCs w:val="19"/>
          <w:color w:val="231F20"/>
        </w:rPr>
      </w:pPr>
    </w:p>
    <w:p>
      <w:pPr>
        <w:ind w:left="460" w:right="260" w:hanging="229"/>
        <w:spacing w:after="0" w:line="256" w:lineRule="auto"/>
        <w:tabs>
          <w:tab w:leader="none" w:pos="460" w:val="left"/>
        </w:tabs>
        <w:numPr>
          <w:ilvl w:val="0"/>
          <w:numId w:val="45"/>
        </w:numPr>
        <w:rPr>
          <w:rFonts w:ascii="Arial" w:cs="Arial" w:eastAsia="Arial" w:hAnsi="Arial"/>
          <w:sz w:val="19"/>
          <w:szCs w:val="19"/>
          <w:color w:val="231F20"/>
        </w:rPr>
      </w:pPr>
      <w:r>
        <w:rPr>
          <w:rFonts w:ascii="Times New Roman" w:cs="Times New Roman" w:eastAsia="Times New Roman" w:hAnsi="Times New Roman"/>
          <w:sz w:val="19"/>
          <w:szCs w:val="19"/>
          <w:color w:val="231F20"/>
        </w:rPr>
        <w:t>the companies in which we invest generally have less publicly available information about their businesses, operations and financial condition and, if we are unable to uncover all material information about these companies, we may not make a fully informed investment decision; and</w:t>
      </w:r>
    </w:p>
    <w:p>
      <w:pPr>
        <w:spacing w:after="0" w:line="78" w:lineRule="exact"/>
        <w:rPr>
          <w:rFonts w:ascii="Arial" w:cs="Arial" w:eastAsia="Arial" w:hAnsi="Arial"/>
          <w:sz w:val="19"/>
          <w:szCs w:val="19"/>
          <w:color w:val="231F20"/>
        </w:rPr>
      </w:pPr>
    </w:p>
    <w:p>
      <w:pPr>
        <w:ind w:left="460" w:right="320" w:hanging="229"/>
        <w:spacing w:after="0" w:line="274" w:lineRule="auto"/>
        <w:tabs>
          <w:tab w:leader="none" w:pos="460" w:val="left"/>
        </w:tabs>
        <w:numPr>
          <w:ilvl w:val="0"/>
          <w:numId w:val="45"/>
        </w:numPr>
        <w:rPr>
          <w:rFonts w:ascii="Arial" w:cs="Arial" w:eastAsia="Arial" w:hAnsi="Arial"/>
          <w:sz w:val="19"/>
          <w:szCs w:val="19"/>
          <w:color w:val="231F20"/>
        </w:rPr>
      </w:pPr>
      <w:r>
        <w:rPr>
          <w:rFonts w:ascii="Times New Roman" w:cs="Times New Roman" w:eastAsia="Times New Roman" w:hAnsi="Times New Roman"/>
          <w:sz w:val="19"/>
          <w:szCs w:val="19"/>
          <w:color w:val="231F20"/>
        </w:rPr>
        <w:t>the companies in which we invest may have difficulty accessing the capital markets to meet future capital needs, which may limit their ability to grow or to repay their outstanding indebtedness upon maturity.</w:t>
      </w:r>
    </w:p>
    <w:p>
      <w:pPr>
        <w:spacing w:after="0" w:line="277" w:lineRule="exact"/>
        <w:rPr>
          <w:sz w:val="20"/>
          <w:szCs w:val="20"/>
          <w:color w:val="auto"/>
        </w:rPr>
      </w:pPr>
    </w:p>
    <w:p>
      <w:pPr>
        <w:jc w:val="both"/>
        <w:ind w:right="340"/>
        <w:spacing w:after="0" w:line="256" w:lineRule="auto"/>
        <w:rPr>
          <w:sz w:val="20"/>
          <w:szCs w:val="20"/>
          <w:color w:val="auto"/>
        </w:rPr>
      </w:pPr>
      <w:r>
        <w:rPr>
          <w:rFonts w:ascii="Times New Roman" w:cs="Times New Roman" w:eastAsia="Times New Roman" w:hAnsi="Times New Roman"/>
          <w:sz w:val="19"/>
          <w:szCs w:val="19"/>
          <w:b w:val="1"/>
          <w:bCs w:val="1"/>
          <w:i w:val="1"/>
          <w:iCs w:val="1"/>
          <w:color w:val="231F20"/>
        </w:rPr>
        <w:t>The value of most of our portfolio securities will not have a readily available market price and we value these securities at fair value as determined in good faith by our Board, which valuation is inherently subjective, may not reflect what we may actually realize for the sale of the investment and could result in a conflict of interest with the Adviser.</w:t>
      </w:r>
    </w:p>
    <w:p>
      <w:pPr>
        <w:spacing w:after="0" w:line="64" w:lineRule="exact"/>
        <w:rPr>
          <w:sz w:val="20"/>
          <w:szCs w:val="20"/>
          <w:color w:val="auto"/>
        </w:rPr>
      </w:pPr>
    </w:p>
    <w:p>
      <w:pPr>
        <w:ind w:right="100" w:firstLine="231"/>
        <w:spacing w:after="0" w:line="243" w:lineRule="auto"/>
        <w:rPr>
          <w:sz w:val="20"/>
          <w:szCs w:val="20"/>
          <w:color w:val="auto"/>
        </w:rPr>
      </w:pPr>
      <w:r>
        <w:rPr>
          <w:rFonts w:ascii="Times New Roman" w:cs="Times New Roman" w:eastAsia="Times New Roman" w:hAnsi="Times New Roman"/>
          <w:sz w:val="19"/>
          <w:szCs w:val="19"/>
          <w:color w:val="231F20"/>
        </w:rPr>
        <w:t>Investments are valued at the end of each fiscal quarter. The majority of our investments are expected to be in loans that do not have readily ascertainable market prices. The fair value of investments that are not publicly traded or whose market prices are not readily available are determined in good faith by the Board, which is supported by the valuation committee of our Adviser and by the audit committee of our Board. The Board has retained independent third-party valuation firms to perform certain limited third-party valuation services that the Board identified and requested them to perform. In accordance with our valuation policy, our Investment Team prepares portfolio company valuations using sources or proprietary models depending on the availability of information on our investments and the type of asset being valued. The participation of the Adviser in our valuation process could result in a conflict of interest, since the Management Fee is based on the value of our gross assets.</w:t>
      </w:r>
    </w:p>
    <w:p>
      <w:pPr>
        <w:spacing w:after="0" w:line="195" w:lineRule="exact"/>
        <w:rPr>
          <w:sz w:val="20"/>
          <w:szCs w:val="20"/>
          <w:color w:val="auto"/>
        </w:rPr>
      </w:pPr>
    </w:p>
    <w:p>
      <w:pPr>
        <w:ind w:firstLine="231"/>
        <w:spacing w:after="0" w:line="243" w:lineRule="auto"/>
        <w:rPr>
          <w:sz w:val="20"/>
          <w:szCs w:val="20"/>
          <w:color w:val="auto"/>
        </w:rPr>
      </w:pPr>
      <w:r>
        <w:rPr>
          <w:rFonts w:ascii="Times New Roman" w:cs="Times New Roman" w:eastAsia="Times New Roman" w:hAnsi="Times New Roman"/>
          <w:sz w:val="19"/>
          <w:szCs w:val="19"/>
          <w:color w:val="231F20"/>
        </w:rPr>
        <w:t>Factors that we may consider in determining the fair value of our investments include the nature and realizable value of any collateral, the portfolio company’s earnings and its ability to make payments on its indebtedness, the markets in which the portfolio company does business, comparison to similar publicly traded companies, discounted cash flow and other relevant factors. Because fair valuations, and particularly fair valuations of private securities and private companies, are inherently uncertain, may fluctuate over short periods of time and are often based to a large extent on estimates, comparisons and qualitative evaluations of private information, our determinations of fair value may differ materially from the values that would have been determined if a ready market for these securities existed. This could make it more difficult for investors to value accurately our portfolio investments and could lead to undervaluation or overvaluation of our common stock. In addition, the valuation of these types of securities may result in substantial write-downs and earnings volatility.</w:t>
      </w:r>
    </w:p>
    <w:p>
      <w:pPr>
        <w:spacing w:after="0" w:line="191" w:lineRule="exact"/>
        <w:rPr>
          <w:sz w:val="20"/>
          <w:szCs w:val="20"/>
          <w:color w:val="auto"/>
        </w:rPr>
      </w:pPr>
    </w:p>
    <w:p>
      <w:pPr>
        <w:ind w:right="80" w:firstLine="231"/>
        <w:spacing w:after="0" w:line="250" w:lineRule="auto"/>
        <w:rPr>
          <w:sz w:val="20"/>
          <w:szCs w:val="20"/>
          <w:color w:val="auto"/>
        </w:rPr>
      </w:pPr>
      <w:r>
        <w:rPr>
          <w:rFonts w:ascii="Times New Roman" w:cs="Times New Roman" w:eastAsia="Times New Roman" w:hAnsi="Times New Roman"/>
          <w:sz w:val="19"/>
          <w:szCs w:val="19"/>
          <w:color w:val="231F20"/>
        </w:rPr>
        <w:t>Decreases in the market values or fair values of our investments are recorded as unrealized losses. The effect of all of these factors on our portfolio can reduce our net asset value by increasing net unrealized losses in our portfolio. Depending on market conditions, we could incur substantial realized losses and may suffer unrealized losses, which could have a material adverse impact on our business, financial condition and results of operations.</w:t>
      </w:r>
    </w:p>
    <w:p>
      <w:pPr>
        <w:sectPr>
          <w:pgSz w:w="12240" w:h="15840" w:orient="portrait"/>
          <w:cols w:equalWidth="0" w:num="1">
            <w:col w:w="10180"/>
          </w:cols>
          <w:pgMar w:left="1020" w:top="1330" w:right="1040" w:bottom="574" w:gutter="0" w:footer="0" w:header="0"/>
        </w:sectPr>
      </w:pPr>
    </w:p>
    <w:p>
      <w:pPr>
        <w:spacing w:after="0" w:line="3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231F20"/>
        </w:rPr>
        <w:t>43</w:t>
      </w:r>
    </w:p>
    <w:p>
      <w:pPr>
        <w:sectPr>
          <w:pgSz w:w="12240" w:h="15840" w:orient="portrait"/>
          <w:cols w:equalWidth="0" w:num="1">
            <w:col w:w="10180"/>
          </w:cols>
          <w:pgMar w:left="1020" w:top="1330" w:right="1040" w:bottom="574" w:gutter="0" w:footer="0" w:header="0"/>
          <w:type w:val="continuous"/>
        </w:sectPr>
      </w:pPr>
    </w:p>
    <w:bookmarkStart w:id="43" w:name="page44"/>
    <w:bookmarkEnd w:id="43"/>
    <w:p>
      <w:pPr>
        <w:spacing w:after="0"/>
        <w:rPr>
          <w:sz w:val="20"/>
          <w:szCs w:val="20"/>
          <w:color w:val="auto"/>
        </w:rPr>
      </w:pPr>
      <w:r>
        <w:rPr>
          <w:rFonts w:ascii="Times New Roman" w:cs="Times New Roman" w:eastAsia="Times New Roman" w:hAnsi="Times New Roman"/>
          <w:sz w:val="19"/>
          <w:szCs w:val="19"/>
          <w:b w:val="1"/>
          <w:bCs w:val="1"/>
          <w:i w:val="1"/>
          <w:iCs w:val="1"/>
          <w:color w:val="231F20"/>
        </w:rPr>
        <w:t>The lack of liquidity in our investments may adversely affect our business.</w:t>
      </w:r>
    </w:p>
    <w:p>
      <w:pPr>
        <w:spacing w:after="0" w:line="110" w:lineRule="exact"/>
        <w:rPr>
          <w:sz w:val="20"/>
          <w:szCs w:val="20"/>
          <w:color w:val="auto"/>
        </w:rPr>
      </w:pPr>
    </w:p>
    <w:p>
      <w:pPr>
        <w:ind w:right="60" w:firstLine="231"/>
        <w:spacing w:after="0" w:line="246" w:lineRule="auto"/>
        <w:rPr>
          <w:sz w:val="20"/>
          <w:szCs w:val="20"/>
          <w:color w:val="auto"/>
        </w:rPr>
      </w:pPr>
      <w:r>
        <w:rPr>
          <w:rFonts w:ascii="Times New Roman" w:cs="Times New Roman" w:eastAsia="Times New Roman" w:hAnsi="Times New Roman"/>
          <w:sz w:val="19"/>
          <w:szCs w:val="19"/>
          <w:color w:val="231F20"/>
        </w:rPr>
        <w:t>We generally make loans to private companies. There may not be a ready market for our loans and certain loans may contain transfer restrictions, which may also limit liquidity. The illiquidity of these investments may make it difficult for us to sell positions if the need arises. In addition, if we are required to liquidate all or a portion of our portfolio quickly, we may realize significantly less than the value at which we had previously recorded these investments. In addition, we may face other restrictions on our ability to liquidate an investment in a portfolio company to the extent that we hold a significant portion of a company’s equity or if we have material nonpublic information regarding that company.</w:t>
      </w:r>
    </w:p>
    <w:p>
      <w:pPr>
        <w:spacing w:after="0" w:line="302"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9"/>
          <w:szCs w:val="19"/>
          <w:b w:val="1"/>
          <w:bCs w:val="1"/>
          <w:i w:val="1"/>
          <w:iCs w:val="1"/>
          <w:color w:val="231F20"/>
        </w:rPr>
        <w:t>Our portfolio may be focused on a limited number of portfolio companies or industries, which will subject us to a risk of significant loss if any of these companies defaults on its obligations under any of its debt instruments or if there is a downturn in a particular industry.</w:t>
      </w:r>
    </w:p>
    <w:p>
      <w:pPr>
        <w:spacing w:after="0" w:line="64" w:lineRule="exact"/>
        <w:rPr>
          <w:sz w:val="20"/>
          <w:szCs w:val="20"/>
          <w:color w:val="auto"/>
        </w:rPr>
      </w:pPr>
    </w:p>
    <w:p>
      <w:pPr>
        <w:ind w:firstLine="231"/>
        <w:spacing w:after="0" w:line="243" w:lineRule="auto"/>
        <w:rPr>
          <w:sz w:val="20"/>
          <w:szCs w:val="20"/>
          <w:color w:val="auto"/>
        </w:rPr>
      </w:pPr>
      <w:r>
        <w:rPr>
          <w:rFonts w:ascii="Times New Roman" w:cs="Times New Roman" w:eastAsia="Times New Roman" w:hAnsi="Times New Roman"/>
          <w:sz w:val="19"/>
          <w:szCs w:val="19"/>
          <w:color w:val="231F20"/>
        </w:rPr>
        <w:t>Our portfolio is currently invested in a limited number of portfolio companies and industries and may continue to be in the near future. Beyond the asset diversification requirements associated with our qualification as a RIC for U.S. federal income tax purposes, we do not have fixed guidelines for diversification. While we are not targeting any specific industries, our investments may be focused on relatively few industries. For example, although we classify the industries of our portfolio companies by end-market (such as healthcare, and business services) and not by the products or services (such as software) directed to those end-markets, many of our portfolio companies principally provide software products or services, which exposes us to downturns in that sector. As a result, the aggregate returns we realize may be significantly adversely affected if a small number of investments perform poorly or if we need to write down the value of any one investment. Additionally, a downturn in any particular industry in which we are invested could significantly affect our aggregate returns.</w:t>
      </w:r>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231F20"/>
        </w:rPr>
        <w:t>We may securitize certain of our investments, which may subject us to certain structured financing risks.</w:t>
      </w:r>
    </w:p>
    <w:p>
      <w:pPr>
        <w:spacing w:after="0" w:line="110" w:lineRule="exact"/>
        <w:rPr>
          <w:sz w:val="20"/>
          <w:szCs w:val="20"/>
          <w:color w:val="auto"/>
        </w:rPr>
      </w:pPr>
    </w:p>
    <w:p>
      <w:pPr>
        <w:ind w:right="140" w:firstLine="231"/>
        <w:spacing w:after="0" w:line="250" w:lineRule="auto"/>
        <w:rPr>
          <w:sz w:val="20"/>
          <w:szCs w:val="20"/>
          <w:color w:val="auto"/>
        </w:rPr>
      </w:pPr>
      <w:r>
        <w:rPr>
          <w:rFonts w:ascii="Times New Roman" w:cs="Times New Roman" w:eastAsia="Times New Roman" w:hAnsi="Times New Roman"/>
          <w:sz w:val="19"/>
          <w:szCs w:val="19"/>
          <w:color w:val="231F20"/>
        </w:rPr>
        <w:t>Although we have not done so to date, we may securitize certain of our investments in the future, including through the formation of one or more collateralized loan obligations, or CLOs, while retaining all or most of the exposure to the performance of these investments. This would involve contributing a pool of assets to a special purpose entity, and selling debt interests in that entity on a non-recourse or limited-recourse basis to purchasers.</w:t>
      </w:r>
    </w:p>
    <w:p>
      <w:pPr>
        <w:spacing w:after="0" w:line="185" w:lineRule="exact"/>
        <w:rPr>
          <w:sz w:val="20"/>
          <w:szCs w:val="20"/>
          <w:color w:val="auto"/>
        </w:rPr>
      </w:pPr>
    </w:p>
    <w:p>
      <w:pPr>
        <w:ind w:right="40" w:firstLine="231"/>
        <w:spacing w:after="0" w:line="242" w:lineRule="auto"/>
        <w:rPr>
          <w:sz w:val="20"/>
          <w:szCs w:val="20"/>
          <w:color w:val="auto"/>
        </w:rPr>
      </w:pPr>
      <w:r>
        <w:rPr>
          <w:rFonts w:ascii="Times New Roman" w:cs="Times New Roman" w:eastAsia="Times New Roman" w:hAnsi="Times New Roman"/>
          <w:sz w:val="19"/>
          <w:szCs w:val="19"/>
          <w:color w:val="231F20"/>
        </w:rPr>
        <w:t>If we were to create a CLO or other securitization vehicle, we would depend on distributions from the vehicle to pay dividends to our stockholders. The ability of a CLO or other securitization vehicle to make distributions will be subject to various limitations, including the terms and covenants of the debt it issues. For example, tests (based on interest coverage or other financial ratios or other criteria) may restrict our ability, as holder of a CLO or other securitization vehicle equity interest, to receive cash flow from these investments. We cannot assure you that any such performance tests would be satisfied. Also, a CLO or other securitization vehicle may take actions that delay distributions to preserve ratings and to keep the cost of present and future financings lower or the financing vehicle may be obligated to retain cash or other assets to satisfy over-collateralization requirements commonly provided for holders of its debt. As a result, there may be a lag, which could be significant, between the repayment or other realization on a loan or other assets in, and the distribution of cash out of, a CLO or other securitization vehicle, or cash flow may be completely restricted for the life of the CLO or other securitization vehicle.</w:t>
      </w:r>
    </w:p>
    <w:p>
      <w:pPr>
        <w:spacing w:after="0" w:line="196" w:lineRule="exact"/>
        <w:rPr>
          <w:sz w:val="20"/>
          <w:szCs w:val="20"/>
          <w:color w:val="auto"/>
        </w:rPr>
      </w:pPr>
    </w:p>
    <w:p>
      <w:pPr>
        <w:ind w:firstLine="231"/>
        <w:spacing w:after="0" w:line="262" w:lineRule="auto"/>
        <w:rPr>
          <w:sz w:val="20"/>
          <w:szCs w:val="20"/>
          <w:color w:val="auto"/>
        </w:rPr>
      </w:pPr>
      <w:r>
        <w:rPr>
          <w:rFonts w:ascii="Times New Roman" w:cs="Times New Roman" w:eastAsia="Times New Roman" w:hAnsi="Times New Roman"/>
          <w:sz w:val="18"/>
          <w:szCs w:val="18"/>
          <w:color w:val="231F20"/>
        </w:rPr>
        <w:t>In addition, a decline in the credit quality of loans in a CLO or other securitization vehicle due to poor operating results of the relevant borrower, declines in the value of loan collateral or increases in defaults, among other things, may force the sale of certain assets at a loss, reducing their earnings and, in turn, cash potentially available for distribution to us for distribution to our stockholders. If we were to form a CLO or other securitization vehicle, to the extent that any losses were incurred by the financing vehicle in respect of any collateral, these losses would be borne first by us as owners of its equity interests. Any equity interests that we were to retain in a CLO or other securitization vehicle would not be secured by its assets and we would rank behind all of its creditors.</w:t>
      </w:r>
    </w:p>
    <w:p>
      <w:pPr>
        <w:spacing w:after="0" w:line="174" w:lineRule="exact"/>
        <w:rPr>
          <w:sz w:val="20"/>
          <w:szCs w:val="20"/>
          <w:color w:val="auto"/>
        </w:rPr>
      </w:pPr>
    </w:p>
    <w:p>
      <w:pPr>
        <w:jc w:val="both"/>
        <w:ind w:right="240" w:firstLine="231"/>
        <w:spacing w:after="0" w:line="257" w:lineRule="auto"/>
        <w:rPr>
          <w:sz w:val="20"/>
          <w:szCs w:val="20"/>
          <w:color w:val="auto"/>
        </w:rPr>
      </w:pPr>
      <w:r>
        <w:rPr>
          <w:rFonts w:ascii="Times New Roman" w:cs="Times New Roman" w:eastAsia="Times New Roman" w:hAnsi="Times New Roman"/>
          <w:sz w:val="19"/>
          <w:szCs w:val="19"/>
          <w:color w:val="231F20"/>
        </w:rPr>
        <w:t>A CLO or other securitization vehicle, if created, also would likely be consolidated in our financial statements and consequently affect our asset coverage ratio, which may limit our ability to incur additional leverage. See “</w:t>
      </w:r>
      <w:r>
        <w:rPr>
          <w:rFonts w:ascii="Times New Roman" w:cs="Times New Roman" w:eastAsia="Times New Roman" w:hAnsi="Times New Roman"/>
          <w:sz w:val="19"/>
          <w:szCs w:val="19"/>
          <w:i w:val="1"/>
          <w:iCs w:val="1"/>
          <w:color w:val="231F20"/>
        </w:rPr>
        <w:t>ITEM 1. BUSINESS – Regulation as a</w:t>
      </w:r>
      <w:r>
        <w:rPr>
          <w:rFonts w:ascii="Times New Roman" w:cs="Times New Roman" w:eastAsia="Times New Roman" w:hAnsi="Times New Roman"/>
          <w:sz w:val="19"/>
          <w:szCs w:val="19"/>
          <w:color w:val="231F20"/>
        </w:rPr>
        <w:t xml:space="preserve"> </w:t>
      </w:r>
      <w:r>
        <w:rPr>
          <w:rFonts w:ascii="Times New Roman" w:cs="Times New Roman" w:eastAsia="Times New Roman" w:hAnsi="Times New Roman"/>
          <w:sz w:val="19"/>
          <w:szCs w:val="19"/>
          <w:i w:val="1"/>
          <w:iCs w:val="1"/>
          <w:color w:val="231F20"/>
        </w:rPr>
        <w:t>Business Development Company.”</w:t>
      </w:r>
    </w:p>
    <w:p>
      <w:pPr>
        <w:spacing w:after="0" w:line="292" w:lineRule="exact"/>
        <w:rPr>
          <w:sz w:val="20"/>
          <w:szCs w:val="20"/>
          <w:color w:val="auto"/>
        </w:rPr>
      </w:pPr>
    </w:p>
    <w:p>
      <w:pPr>
        <w:jc w:val="both"/>
        <w:ind w:right="140"/>
        <w:spacing w:after="0" w:line="256" w:lineRule="auto"/>
        <w:rPr>
          <w:sz w:val="20"/>
          <w:szCs w:val="20"/>
          <w:color w:val="auto"/>
        </w:rPr>
      </w:pPr>
      <w:r>
        <w:rPr>
          <w:rFonts w:ascii="Times New Roman" w:cs="Times New Roman" w:eastAsia="Times New Roman" w:hAnsi="Times New Roman"/>
          <w:sz w:val="19"/>
          <w:szCs w:val="19"/>
          <w:b w:val="1"/>
          <w:bCs w:val="1"/>
          <w:i w:val="1"/>
          <w:iCs w:val="1"/>
          <w:color w:val="231F20"/>
        </w:rPr>
        <w:t>Because we generally do not hold controlling interests in our portfolio companies, we may not be in a position to exercise control over those portfolio companies or prevent decisions by management of those portfolio companies that could decrease the value of our investments.</w:t>
      </w:r>
    </w:p>
    <w:p>
      <w:pPr>
        <w:spacing w:after="0" w:line="64" w:lineRule="exact"/>
        <w:rPr>
          <w:sz w:val="20"/>
          <w:szCs w:val="20"/>
          <w:color w:val="auto"/>
        </w:rPr>
      </w:pPr>
    </w:p>
    <w:p>
      <w:pPr>
        <w:ind w:right="180" w:firstLine="231"/>
        <w:spacing w:after="0" w:line="269" w:lineRule="auto"/>
        <w:rPr>
          <w:sz w:val="20"/>
          <w:szCs w:val="20"/>
          <w:color w:val="auto"/>
        </w:rPr>
      </w:pPr>
      <w:r>
        <w:rPr>
          <w:rFonts w:ascii="Times New Roman" w:cs="Times New Roman" w:eastAsia="Times New Roman" w:hAnsi="Times New Roman"/>
          <w:sz w:val="18"/>
          <w:szCs w:val="18"/>
          <w:color w:val="231F20"/>
        </w:rPr>
        <w:t>We are a lender, and loans (and any equity investments we make) typically will be non-controlling investments, meaning we will not be in a position to control the management, operation and strategic decision-making of the companies we invest in (outside of, potentially, the context of a restructuring, insolvency or similar event). As a result, we will be subject to the risk that a portfolio company we do not control, or in which we do not have a majority ownership position, may make business decisions with which we</w:t>
      </w:r>
    </w:p>
    <w:p>
      <w:pPr>
        <w:sectPr>
          <w:pgSz w:w="12240" w:h="15840" w:orient="portrait"/>
          <w:cols w:equalWidth="0" w:num="1">
            <w:col w:w="10180"/>
          </w:cols>
          <w:pgMar w:left="1020" w:top="1319" w:right="1040" w:bottom="574" w:gutter="0" w:footer="0" w:header="0"/>
        </w:sectPr>
      </w:pPr>
    </w:p>
    <w:p>
      <w:pPr>
        <w:spacing w:after="0" w:line="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231F20"/>
        </w:rPr>
        <w:t>44</w:t>
      </w:r>
    </w:p>
    <w:p>
      <w:pPr>
        <w:sectPr>
          <w:pgSz w:w="12240" w:h="15840" w:orient="portrait"/>
          <w:cols w:equalWidth="0" w:num="1">
            <w:col w:w="10180"/>
          </w:cols>
          <w:pgMar w:left="1020" w:top="1319" w:right="1040" w:bottom="574" w:gutter="0" w:footer="0" w:header="0"/>
          <w:type w:val="continuous"/>
        </w:sectPr>
      </w:pPr>
    </w:p>
    <w:bookmarkStart w:id="44" w:name="page45"/>
    <w:bookmarkEnd w:id="44"/>
    <w:p>
      <w:pPr>
        <w:ind w:right="20"/>
        <w:spacing w:after="0" w:line="257" w:lineRule="auto"/>
        <w:rPr>
          <w:sz w:val="20"/>
          <w:szCs w:val="20"/>
          <w:color w:val="auto"/>
        </w:rPr>
      </w:pPr>
      <w:r>
        <w:rPr>
          <w:rFonts w:ascii="Times New Roman" w:cs="Times New Roman" w:eastAsia="Times New Roman" w:hAnsi="Times New Roman"/>
          <w:sz w:val="19"/>
          <w:szCs w:val="19"/>
          <w:color w:val="231F20"/>
        </w:rPr>
        <w:t>disagree, and the equity holders and management of such a portfolio company may take risks or otherwise act in ways that are adverse to our interests. We may not be able to dispose of our investments in the event that we disagree with the actions of a portfolio company, and may therefore suffer a decrease in the value of our investments.</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231F20"/>
        </w:rPr>
        <w:t>We are exposed to risks associated with changes in interest rates.</w:t>
      </w:r>
    </w:p>
    <w:p>
      <w:pPr>
        <w:spacing w:after="0" w:line="110" w:lineRule="exact"/>
        <w:rPr>
          <w:sz w:val="20"/>
          <w:szCs w:val="20"/>
          <w:color w:val="auto"/>
        </w:rPr>
      </w:pPr>
    </w:p>
    <w:p>
      <w:pPr>
        <w:ind w:right="20" w:firstLine="231"/>
        <w:spacing w:after="0" w:line="262" w:lineRule="auto"/>
        <w:rPr>
          <w:sz w:val="20"/>
          <w:szCs w:val="20"/>
          <w:color w:val="auto"/>
        </w:rPr>
      </w:pPr>
      <w:r>
        <w:rPr>
          <w:rFonts w:ascii="Times New Roman" w:cs="Times New Roman" w:eastAsia="Times New Roman" w:hAnsi="Times New Roman"/>
          <w:sz w:val="18"/>
          <w:szCs w:val="18"/>
          <w:color w:val="231F20"/>
        </w:rPr>
        <w:t>The majority of our debt investments are based on floating rates, such as SOFR, EURIBOR, SONIA, the Federal Funds Rate or the Prime Rate. General interest rate fluctuations may have a substantial negative impact on our investments, the value of our common stock and our rate of return on invested capital. On one hand, a reduction in the interest rates on new investments relative to interest rates on current investments could have an adverse impact on our net interest income, which also could be negatively impacted by our borrowers making prepayments on their loans. On the other hand, an increase in interest rates could increase the interest repayment obligations of our borrowers and result in challenges to their financial performance and ability to repay their obligations.</w:t>
      </w:r>
    </w:p>
    <w:p>
      <w:pPr>
        <w:spacing w:after="0" w:line="174" w:lineRule="exact"/>
        <w:rPr>
          <w:sz w:val="20"/>
          <w:szCs w:val="20"/>
          <w:color w:val="auto"/>
        </w:rPr>
      </w:pPr>
    </w:p>
    <w:p>
      <w:pPr>
        <w:ind w:right="40" w:firstLine="231"/>
        <w:spacing w:after="0" w:line="243" w:lineRule="auto"/>
        <w:rPr>
          <w:sz w:val="20"/>
          <w:szCs w:val="20"/>
          <w:color w:val="auto"/>
        </w:rPr>
      </w:pPr>
      <w:r>
        <w:rPr>
          <w:rFonts w:ascii="Times New Roman" w:cs="Times New Roman" w:eastAsia="Times New Roman" w:hAnsi="Times New Roman"/>
          <w:sz w:val="19"/>
          <w:szCs w:val="19"/>
          <w:color w:val="231F20"/>
        </w:rPr>
        <w:t>An increase in interest rates could also decrease the value of any investments we hold that earn fixed interest rates, including subordinated loans, senior and junior secured and unsecured debt securities and loans and high yield bonds, and also could increase our interest expense, thereby decreasing our net income. Moreover, an increase in interest rates available to investors could make investment in our common stock less attractive if we are not able to increase our dividend rate, which could reduce the value of our common stock. Federal Reserve policy, including with respect to certain interest rates and the decision to end its quantitative easing policy, may also adversely affect the value, volatility and liquidity of dividend- and interest-paying securities. Market volatility, rising interest rates and/or a return to unfavorable economic conditions could adversely affect our business. See “</w:t>
      </w:r>
      <w:r>
        <w:rPr>
          <w:rFonts w:ascii="Times New Roman" w:cs="Times New Roman" w:eastAsia="Times New Roman" w:hAnsi="Times New Roman"/>
          <w:sz w:val="19"/>
          <w:szCs w:val="19"/>
          <w:i w:val="1"/>
          <w:iCs w:val="1"/>
          <w:color w:val="231F20"/>
        </w:rPr>
        <w:t>—Risks Related to</w:t>
      </w:r>
      <w:r>
        <w:rPr>
          <w:rFonts w:ascii="Times New Roman" w:cs="Times New Roman" w:eastAsia="Times New Roman" w:hAnsi="Times New Roman"/>
          <w:sz w:val="19"/>
          <w:szCs w:val="19"/>
          <w:color w:val="231F20"/>
        </w:rPr>
        <w:t xml:space="preserve"> </w:t>
      </w:r>
      <w:r>
        <w:rPr>
          <w:rFonts w:ascii="Times New Roman" w:cs="Times New Roman" w:eastAsia="Times New Roman" w:hAnsi="Times New Roman"/>
          <w:sz w:val="19"/>
          <w:szCs w:val="19"/>
          <w:i w:val="1"/>
          <w:iCs w:val="1"/>
          <w:color w:val="231F20"/>
        </w:rPr>
        <w:t>Economic Conditions—Uncertainty about financial stability could have a significant adverse effect on our business, results of operations and financial condition.</w:t>
      </w:r>
      <w:r>
        <w:rPr>
          <w:rFonts w:ascii="Times New Roman" w:cs="Times New Roman" w:eastAsia="Times New Roman" w:hAnsi="Times New Roman"/>
          <w:sz w:val="19"/>
          <w:szCs w:val="19"/>
          <w:color w:val="231F20"/>
        </w:rPr>
        <w:t>”</w:t>
      </w:r>
    </w:p>
    <w:p>
      <w:pPr>
        <w:spacing w:after="0" w:line="191" w:lineRule="exact"/>
        <w:rPr>
          <w:sz w:val="20"/>
          <w:szCs w:val="20"/>
          <w:color w:val="auto"/>
        </w:rPr>
      </w:pPr>
    </w:p>
    <w:p>
      <w:pPr>
        <w:ind w:right="200" w:firstLine="231"/>
        <w:spacing w:after="0" w:line="275" w:lineRule="auto"/>
        <w:rPr>
          <w:sz w:val="20"/>
          <w:szCs w:val="20"/>
          <w:color w:val="auto"/>
        </w:rPr>
      </w:pPr>
      <w:r>
        <w:rPr>
          <w:rFonts w:ascii="Times New Roman" w:cs="Times New Roman" w:eastAsia="Times New Roman" w:hAnsi="Times New Roman"/>
          <w:sz w:val="19"/>
          <w:szCs w:val="19"/>
          <w:color w:val="231F20"/>
        </w:rPr>
        <w:t>A rise in the general level of interest rates typically leads to higher interest rates applicable to our debt investments. Accordingly, an increase in interest rates may result in an increase in the amount of the Incentive Fee payable to the Adviser.</w:t>
      </w:r>
    </w:p>
    <w:p>
      <w:pPr>
        <w:spacing w:after="0" w:line="160" w:lineRule="exact"/>
        <w:rPr>
          <w:sz w:val="20"/>
          <w:szCs w:val="20"/>
          <w:color w:val="auto"/>
        </w:rPr>
      </w:pPr>
    </w:p>
    <w:p>
      <w:pPr>
        <w:ind w:right="220" w:firstLine="231"/>
        <w:spacing w:after="0" w:line="257" w:lineRule="auto"/>
        <w:rPr>
          <w:sz w:val="20"/>
          <w:szCs w:val="20"/>
          <w:color w:val="auto"/>
        </w:rPr>
      </w:pPr>
      <w:r>
        <w:rPr>
          <w:rFonts w:ascii="Times New Roman" w:cs="Times New Roman" w:eastAsia="Times New Roman" w:hAnsi="Times New Roman"/>
          <w:sz w:val="19"/>
          <w:szCs w:val="19"/>
          <w:color w:val="231F20"/>
        </w:rPr>
        <w:t>We may use interest rate risk management techniques in an effort to limit our exposure to interest rate fluctuations. These techniques may include various interest rate hedging activities to the extent permitted by the 1940 Act. See “</w:t>
      </w:r>
      <w:r>
        <w:rPr>
          <w:rFonts w:ascii="Times New Roman" w:cs="Times New Roman" w:eastAsia="Times New Roman" w:hAnsi="Times New Roman"/>
          <w:sz w:val="19"/>
          <w:szCs w:val="19"/>
          <w:i w:val="1"/>
          <w:iCs w:val="1"/>
          <w:color w:val="231F20"/>
        </w:rPr>
        <w:t>—Risks Related to Our</w:t>
      </w:r>
      <w:r>
        <w:rPr>
          <w:rFonts w:ascii="Times New Roman" w:cs="Times New Roman" w:eastAsia="Times New Roman" w:hAnsi="Times New Roman"/>
          <w:sz w:val="19"/>
          <w:szCs w:val="19"/>
          <w:color w:val="231F20"/>
        </w:rPr>
        <w:t xml:space="preserve"> </w:t>
      </w:r>
      <w:r>
        <w:rPr>
          <w:rFonts w:ascii="Times New Roman" w:cs="Times New Roman" w:eastAsia="Times New Roman" w:hAnsi="Times New Roman"/>
          <w:sz w:val="19"/>
          <w:szCs w:val="19"/>
          <w:i w:val="1"/>
          <w:iCs w:val="1"/>
          <w:color w:val="231F20"/>
        </w:rPr>
        <w:t>Portfolio Company Investments—We expose ourselves to risks when we engage in hedging transactions.</w:t>
      </w:r>
      <w:r>
        <w:rPr>
          <w:rFonts w:ascii="Times New Roman" w:cs="Times New Roman" w:eastAsia="Times New Roman" w:hAnsi="Times New Roman"/>
          <w:sz w:val="19"/>
          <w:szCs w:val="19"/>
          <w:color w:val="231F20"/>
        </w:rPr>
        <w:t>”</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231F20"/>
        </w:rPr>
        <w:t>We may not be able to realize expected returns on our invested capital.</w:t>
      </w:r>
    </w:p>
    <w:p>
      <w:pPr>
        <w:spacing w:after="0" w:line="110" w:lineRule="exact"/>
        <w:rPr>
          <w:sz w:val="20"/>
          <w:szCs w:val="20"/>
          <w:color w:val="auto"/>
        </w:rPr>
      </w:pPr>
    </w:p>
    <w:p>
      <w:pPr>
        <w:ind w:right="20" w:firstLine="231"/>
        <w:spacing w:after="0" w:line="247" w:lineRule="auto"/>
        <w:rPr>
          <w:sz w:val="20"/>
          <w:szCs w:val="20"/>
          <w:color w:val="auto"/>
        </w:rPr>
      </w:pPr>
      <w:r>
        <w:rPr>
          <w:rFonts w:ascii="Times New Roman" w:cs="Times New Roman" w:eastAsia="Times New Roman" w:hAnsi="Times New Roman"/>
          <w:sz w:val="19"/>
          <w:szCs w:val="19"/>
          <w:color w:val="231F20"/>
        </w:rPr>
        <w:t>We may not realize expected returns on our investment in a portfolio company due to changes in the portfolio company’s financial position or due to an acquisition of the portfolio company. If a portfolio company repays our loans prior to their maturity, we may not receive our expected returns on our invested capital. Many of our investments are structured to provide a disincentive for the borrower to pre-pay or call the security, but this call protection may not cover the full expected value of an investment if that investment is repaid prior to maturity.</w:t>
      </w:r>
    </w:p>
    <w:p>
      <w:pPr>
        <w:spacing w:after="0" w:line="188" w:lineRule="exact"/>
        <w:rPr>
          <w:sz w:val="20"/>
          <w:szCs w:val="20"/>
          <w:color w:val="auto"/>
        </w:rPr>
      </w:pPr>
    </w:p>
    <w:p>
      <w:pPr>
        <w:ind w:firstLine="231"/>
        <w:spacing w:after="0" w:line="250" w:lineRule="auto"/>
        <w:rPr>
          <w:sz w:val="20"/>
          <w:szCs w:val="20"/>
          <w:color w:val="auto"/>
        </w:rPr>
      </w:pPr>
      <w:r>
        <w:rPr>
          <w:rFonts w:ascii="Times New Roman" w:cs="Times New Roman" w:eastAsia="Times New Roman" w:hAnsi="Times New Roman"/>
          <w:sz w:val="19"/>
          <w:szCs w:val="19"/>
          <w:color w:val="231F20"/>
        </w:rPr>
        <w:t>Middle-market companies operate in a highly acquisitive market with frequent mergers and buyouts. If a portfolio company is acquired or merged with another company prior to drawing on our commitment, we would not realize our expected return. Similarly, in many cases companies will seek to restructure or repay their debt investments or buy our other equity ownership positions as part of an acquisition or merger transaction, which may result in a repayment of debt or other reduction of our investment.</w:t>
      </w:r>
    </w:p>
    <w:p>
      <w:pPr>
        <w:spacing w:after="0" w:line="301" w:lineRule="exact"/>
        <w:rPr>
          <w:sz w:val="20"/>
          <w:szCs w:val="20"/>
          <w:color w:val="auto"/>
        </w:rPr>
      </w:pPr>
    </w:p>
    <w:p>
      <w:pPr>
        <w:ind w:right="620"/>
        <w:spacing w:after="0" w:line="273" w:lineRule="auto"/>
        <w:rPr>
          <w:sz w:val="20"/>
          <w:szCs w:val="20"/>
          <w:color w:val="auto"/>
        </w:rPr>
      </w:pPr>
      <w:r>
        <w:rPr>
          <w:rFonts w:ascii="Times New Roman" w:cs="Times New Roman" w:eastAsia="Times New Roman" w:hAnsi="Times New Roman"/>
          <w:sz w:val="19"/>
          <w:szCs w:val="19"/>
          <w:b w:val="1"/>
          <w:bCs w:val="1"/>
          <w:i w:val="1"/>
          <w:iCs w:val="1"/>
          <w:color w:val="231F20"/>
        </w:rPr>
        <w:t>By originating loans to companies that are experiencing significant financial or business difficulties, we may be exposed to distressed lending risks.</w:t>
      </w:r>
    </w:p>
    <w:p>
      <w:pPr>
        <w:spacing w:after="0" w:line="49" w:lineRule="exact"/>
        <w:rPr>
          <w:sz w:val="20"/>
          <w:szCs w:val="20"/>
          <w:color w:val="auto"/>
        </w:rPr>
      </w:pPr>
    </w:p>
    <w:p>
      <w:pPr>
        <w:ind w:right="60" w:firstLine="231"/>
        <w:spacing w:after="0" w:line="243" w:lineRule="auto"/>
        <w:rPr>
          <w:sz w:val="20"/>
          <w:szCs w:val="20"/>
          <w:color w:val="auto"/>
        </w:rPr>
      </w:pPr>
      <w:r>
        <w:rPr>
          <w:rFonts w:ascii="Times New Roman" w:cs="Times New Roman" w:eastAsia="Times New Roman" w:hAnsi="Times New Roman"/>
          <w:sz w:val="19"/>
          <w:szCs w:val="19"/>
          <w:color w:val="231F20"/>
        </w:rPr>
        <w:t>As part of our lending activities, we may originate loans to companies that are experiencing significant financial or business difficulties, including companies involved in bankruptcy or other reorganization and liquidation proceedings. Although the terms of such financing may result in significant financial returns to us, they involve a substantial degree of risk. The level of analytical sophistication, both financial and legal, necessary for successful financing to companies experiencing significant business and financial difficulties is unusually high. We cannot assure you that we will correctly evaluate the value of the assets collateralizing our loans or the prospects for a successful reorganization or similar action. In any reorganization or liquidation proceeding relating to a company that we fund, we may lose all or part of the amounts advanced to the borrower or may be required to accept collateral with a value less than the amount of the loan advanced by us to the borrower.</w:t>
      </w:r>
    </w:p>
    <w:p>
      <w:pPr>
        <w:sectPr>
          <w:pgSz w:w="12240" w:h="15840" w:orient="portrait"/>
          <w:cols w:equalWidth="0" w:num="1">
            <w:col w:w="10180"/>
          </w:cols>
          <w:pgMar w:left="1020" w:top="1317" w:right="1040" w:bottom="57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231F20"/>
        </w:rPr>
        <w:t>45</w:t>
      </w:r>
    </w:p>
    <w:p>
      <w:pPr>
        <w:sectPr>
          <w:pgSz w:w="12240" w:h="15840" w:orient="portrait"/>
          <w:cols w:equalWidth="0" w:num="1">
            <w:col w:w="10180"/>
          </w:cols>
          <w:pgMar w:left="1020" w:top="1317" w:right="1040" w:bottom="574" w:gutter="0" w:footer="0" w:header="0"/>
          <w:type w:val="continuous"/>
        </w:sectPr>
      </w:pPr>
    </w:p>
    <w:bookmarkStart w:id="45" w:name="page46"/>
    <w:bookmarkEnd w:id="45"/>
    <w:p>
      <w:pPr>
        <w:ind w:right="380"/>
        <w:spacing w:after="0" w:line="273" w:lineRule="auto"/>
        <w:rPr>
          <w:sz w:val="20"/>
          <w:szCs w:val="20"/>
          <w:color w:val="auto"/>
        </w:rPr>
      </w:pPr>
      <w:r>
        <w:rPr>
          <w:rFonts w:ascii="Times New Roman" w:cs="Times New Roman" w:eastAsia="Times New Roman" w:hAnsi="Times New Roman"/>
          <w:sz w:val="19"/>
          <w:szCs w:val="19"/>
          <w:b w:val="1"/>
          <w:bCs w:val="1"/>
          <w:i w:val="1"/>
          <w:iCs w:val="1"/>
          <w:color w:val="231F20"/>
        </w:rPr>
        <w:t>Our portfolio companies may incur debt or issue equity securities that rank equally with, or senior to, our investments in those companies.</w:t>
      </w:r>
    </w:p>
    <w:p>
      <w:pPr>
        <w:spacing w:after="0" w:line="49" w:lineRule="exact"/>
        <w:rPr>
          <w:sz w:val="20"/>
          <w:szCs w:val="20"/>
          <w:color w:val="auto"/>
        </w:rPr>
      </w:pPr>
    </w:p>
    <w:p>
      <w:pPr>
        <w:ind w:right="40" w:firstLine="231"/>
        <w:spacing w:after="0" w:line="242" w:lineRule="auto"/>
        <w:rPr>
          <w:sz w:val="20"/>
          <w:szCs w:val="20"/>
          <w:color w:val="auto"/>
        </w:rPr>
      </w:pPr>
      <w:r>
        <w:rPr>
          <w:rFonts w:ascii="Times New Roman" w:cs="Times New Roman" w:eastAsia="Times New Roman" w:hAnsi="Times New Roman"/>
          <w:sz w:val="19"/>
          <w:szCs w:val="19"/>
          <w:color w:val="231F20"/>
        </w:rPr>
        <w:t>Our portfolio companies may have, or may be permitted to incur, other debt, or issue other equity securities that rank equally with, or senior to, our investments. By their terms, those instruments may provide that the holders are entitled to receive payment of dividends, interest or principal on or before the dates on which we are entitled to receive payments in respect of our investments. These debt instruments would usually prohibit the portfolio companies from paying interest on or repaying our investments in the event and during the continuance of a default under the debt. Also, in the event of insolvency, liquidation, dissolution, reorganization or bankruptcy of a portfolio company, holders of securities ranking senior to our investment in that portfolio company typically would be entitled to receive payment in full before we receive any distribution in respect of our investment. After repaying those holders, the portfolio company may not have any remaining assets to use for repaying its obligation to us. In the case of securities ranking equally with our investments, we would have to share on an equal basis any distributions with other security holders in the event of an insolvency, liquidation, dissolution, reorganization or bankruptcy of the relevant portfolio company.</w:t>
      </w:r>
    </w:p>
    <w:p>
      <w:pPr>
        <w:spacing w:after="0" w:line="196" w:lineRule="exact"/>
        <w:rPr>
          <w:sz w:val="20"/>
          <w:szCs w:val="20"/>
          <w:color w:val="auto"/>
        </w:rPr>
      </w:pPr>
    </w:p>
    <w:p>
      <w:pPr>
        <w:ind w:right="80" w:firstLine="231"/>
        <w:spacing w:after="0" w:line="244" w:lineRule="auto"/>
        <w:rPr>
          <w:sz w:val="20"/>
          <w:szCs w:val="20"/>
          <w:color w:val="auto"/>
        </w:rPr>
      </w:pPr>
      <w:r>
        <w:rPr>
          <w:rFonts w:ascii="Times New Roman" w:cs="Times New Roman" w:eastAsia="Times New Roman" w:hAnsi="Times New Roman"/>
          <w:sz w:val="19"/>
          <w:szCs w:val="19"/>
          <w:color w:val="231F20"/>
        </w:rPr>
        <w:t>The rights we may have with respect to the collateral securing certain loans we make to our portfolio companies may also be limited pursuant to the terms of one or more intercreditor agreements or agreements among lenders. Under these agreements, we may forfeit certain rights with respect to the collateral to holders with prior claims. These rights may include the right to commence enforcement proceedings against the collateral, the right to control the conduct of those enforcement proceedings, the right to approve amendments to collateral documents, the right to release liens on the collateral and the right to waive past defaults under collateral documents. We may not have the ability to control or direct such actions, even if as a result our rights as lenders are adversely affected.</w:t>
      </w:r>
    </w:p>
    <w:p>
      <w:pPr>
        <w:spacing w:after="0" w:line="30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231F20"/>
        </w:rPr>
        <w:t>We may be exposed to special risks associated with bankruptcy cases.</w:t>
      </w:r>
    </w:p>
    <w:p>
      <w:pPr>
        <w:spacing w:after="0" w:line="110" w:lineRule="exact"/>
        <w:rPr>
          <w:sz w:val="20"/>
          <w:szCs w:val="20"/>
          <w:color w:val="auto"/>
        </w:rPr>
      </w:pPr>
    </w:p>
    <w:p>
      <w:pPr>
        <w:ind w:firstLine="231"/>
        <w:spacing w:after="0" w:line="244" w:lineRule="auto"/>
        <w:rPr>
          <w:sz w:val="20"/>
          <w:szCs w:val="20"/>
          <w:color w:val="auto"/>
        </w:rPr>
      </w:pPr>
      <w:r>
        <w:rPr>
          <w:rFonts w:ascii="Times New Roman" w:cs="Times New Roman" w:eastAsia="Times New Roman" w:hAnsi="Times New Roman"/>
          <w:sz w:val="19"/>
          <w:szCs w:val="19"/>
          <w:color w:val="231F20"/>
        </w:rPr>
        <w:t>One or more of our portfolio companies may be involved in bankruptcy or other reorganization or liquidation proceedings. Many of the events within a bankruptcy case are adversarial and often beyond the control of the creditors. While creditors generally are afforded an opportunity to object to significant actions, we cannot assure you that a bankruptcy court would not approve actions that may be contrary to our interests. There also are instances where creditors can lose their ranking and priority if they are considered to have taken over management of a borrower. If one of our portfolio companies were to go bankrupt, depending on the facts and circumstances, including the extent to which we will actually provide significant managerial assistance to that portfolio company, a bankruptcy court might subordinate all or a portion of our claim to that of other creditors.</w:t>
      </w:r>
    </w:p>
    <w:p>
      <w:pPr>
        <w:spacing w:after="0" w:line="192" w:lineRule="exact"/>
        <w:rPr>
          <w:sz w:val="20"/>
          <w:szCs w:val="20"/>
          <w:color w:val="auto"/>
        </w:rPr>
      </w:pPr>
    </w:p>
    <w:p>
      <w:pPr>
        <w:ind w:right="20" w:firstLine="231"/>
        <w:spacing w:after="0" w:line="246" w:lineRule="auto"/>
        <w:rPr>
          <w:sz w:val="20"/>
          <w:szCs w:val="20"/>
          <w:color w:val="auto"/>
        </w:rPr>
      </w:pPr>
      <w:r>
        <w:rPr>
          <w:rFonts w:ascii="Times New Roman" w:cs="Times New Roman" w:eastAsia="Times New Roman" w:hAnsi="Times New Roman"/>
          <w:sz w:val="19"/>
          <w:szCs w:val="19"/>
          <w:color w:val="231F20"/>
        </w:rPr>
        <w:t>The reorganization of a company can involve substantial legal, professional and administrative costs to a lender and the borrower. It is subject to unpredictable and lengthy delays, and during the process a company’s competitive position may erode, key management may depart and a company may not be able to invest adequately. In some cases, the debtor company may not be able to reorganize and may be required to liquidate assets. The debt of companies in financial reorganization will, in most cases, not pay current interest, may not accrue interest during reorganization and may be adversely affected by an erosion of the issuer’s fundamental value.</w:t>
      </w:r>
    </w:p>
    <w:p>
      <w:pPr>
        <w:spacing w:after="0" w:line="186" w:lineRule="exact"/>
        <w:rPr>
          <w:sz w:val="20"/>
          <w:szCs w:val="20"/>
          <w:color w:val="auto"/>
        </w:rPr>
      </w:pPr>
    </w:p>
    <w:p>
      <w:pPr>
        <w:ind w:right="120" w:firstLine="231"/>
        <w:spacing w:after="0" w:line="250" w:lineRule="auto"/>
        <w:rPr>
          <w:sz w:val="20"/>
          <w:szCs w:val="20"/>
          <w:color w:val="auto"/>
        </w:rPr>
      </w:pPr>
      <w:r>
        <w:rPr>
          <w:rFonts w:ascii="Times New Roman" w:cs="Times New Roman" w:eastAsia="Times New Roman" w:hAnsi="Times New Roman"/>
          <w:sz w:val="19"/>
          <w:szCs w:val="19"/>
          <w:color w:val="231F20"/>
        </w:rPr>
        <w:t>In addition, lenders can be subject to lender liability claims for actions taken by them where they become too involved in the borrower’s business or exercise control over the borrower. For example, we could become subject to a lender liability claim (alleging that we misused our influence on the borrower for the benefit of its lenders), if, among other things, the borrower requests significant managerial assistance from us and we provide that assistance.</w:t>
      </w: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231F20"/>
        </w:rPr>
        <w:t>Our failure to make follow-on investments in our portfolio companies could impair the value of our investments.</w:t>
      </w:r>
    </w:p>
    <w:p>
      <w:pPr>
        <w:spacing w:after="0" w:line="110" w:lineRule="exact"/>
        <w:rPr>
          <w:sz w:val="20"/>
          <w:szCs w:val="20"/>
          <w:color w:val="auto"/>
        </w:rPr>
      </w:pPr>
    </w:p>
    <w:p>
      <w:pPr>
        <w:ind w:right="60" w:firstLine="231"/>
        <w:spacing w:after="0" w:line="275" w:lineRule="auto"/>
        <w:rPr>
          <w:sz w:val="20"/>
          <w:szCs w:val="20"/>
          <w:color w:val="auto"/>
        </w:rPr>
      </w:pPr>
      <w:r>
        <w:rPr>
          <w:rFonts w:ascii="Times New Roman" w:cs="Times New Roman" w:eastAsia="Times New Roman" w:hAnsi="Times New Roman"/>
          <w:sz w:val="19"/>
          <w:szCs w:val="19"/>
          <w:color w:val="231F20"/>
        </w:rPr>
        <w:t>Following an initial investment in a portfolio company, we may make additional investments in that portfolio company as “follow-on” investments to:</w:t>
      </w:r>
    </w:p>
    <w:p>
      <w:pPr>
        <w:spacing w:after="0" w:line="61" w:lineRule="exact"/>
        <w:rPr>
          <w:sz w:val="20"/>
          <w:szCs w:val="20"/>
          <w:color w:val="auto"/>
        </w:rPr>
      </w:pPr>
    </w:p>
    <w:p>
      <w:pPr>
        <w:ind w:left="460" w:hanging="229"/>
        <w:spacing w:after="0"/>
        <w:tabs>
          <w:tab w:leader="none" w:pos="460" w:val="left"/>
        </w:tabs>
        <w:numPr>
          <w:ilvl w:val="0"/>
          <w:numId w:val="46"/>
        </w:numPr>
        <w:rPr>
          <w:rFonts w:ascii="Arial" w:cs="Arial" w:eastAsia="Arial" w:hAnsi="Arial"/>
          <w:sz w:val="19"/>
          <w:szCs w:val="19"/>
          <w:color w:val="231F20"/>
        </w:rPr>
      </w:pPr>
      <w:r>
        <w:rPr>
          <w:rFonts w:ascii="Times New Roman" w:cs="Times New Roman" w:eastAsia="Times New Roman" w:hAnsi="Times New Roman"/>
          <w:sz w:val="19"/>
          <w:szCs w:val="19"/>
          <w:color w:val="231F20"/>
        </w:rPr>
        <w:t>increase or maintain in whole or in part our equity ownership percentage;</w:t>
      </w:r>
    </w:p>
    <w:p>
      <w:pPr>
        <w:spacing w:after="0" w:line="124" w:lineRule="exact"/>
        <w:rPr>
          <w:rFonts w:ascii="Arial" w:cs="Arial" w:eastAsia="Arial" w:hAnsi="Arial"/>
          <w:sz w:val="19"/>
          <w:szCs w:val="19"/>
          <w:color w:val="231F20"/>
        </w:rPr>
      </w:pPr>
    </w:p>
    <w:p>
      <w:pPr>
        <w:ind w:left="460" w:hanging="229"/>
        <w:spacing w:after="0"/>
        <w:tabs>
          <w:tab w:leader="none" w:pos="460" w:val="left"/>
        </w:tabs>
        <w:numPr>
          <w:ilvl w:val="0"/>
          <w:numId w:val="46"/>
        </w:numPr>
        <w:rPr>
          <w:rFonts w:ascii="Arial" w:cs="Arial" w:eastAsia="Arial" w:hAnsi="Arial"/>
          <w:sz w:val="19"/>
          <w:szCs w:val="19"/>
          <w:color w:val="231F20"/>
        </w:rPr>
      </w:pPr>
      <w:r>
        <w:rPr>
          <w:rFonts w:ascii="Times New Roman" w:cs="Times New Roman" w:eastAsia="Times New Roman" w:hAnsi="Times New Roman"/>
          <w:sz w:val="19"/>
          <w:szCs w:val="19"/>
          <w:color w:val="231F20"/>
        </w:rPr>
        <w:t>exercise warrants, options or convertible securities that were acquired in the original or subsequent financing; or</w:t>
      </w:r>
    </w:p>
    <w:p>
      <w:pPr>
        <w:spacing w:after="0" w:line="124" w:lineRule="exact"/>
        <w:rPr>
          <w:rFonts w:ascii="Arial" w:cs="Arial" w:eastAsia="Arial" w:hAnsi="Arial"/>
          <w:sz w:val="19"/>
          <w:szCs w:val="19"/>
          <w:color w:val="231F20"/>
        </w:rPr>
      </w:pPr>
    </w:p>
    <w:p>
      <w:pPr>
        <w:ind w:left="460" w:hanging="229"/>
        <w:spacing w:after="0"/>
        <w:tabs>
          <w:tab w:leader="none" w:pos="460" w:val="left"/>
        </w:tabs>
        <w:numPr>
          <w:ilvl w:val="0"/>
          <w:numId w:val="46"/>
        </w:numPr>
        <w:rPr>
          <w:rFonts w:ascii="Arial" w:cs="Arial" w:eastAsia="Arial" w:hAnsi="Arial"/>
          <w:sz w:val="19"/>
          <w:szCs w:val="19"/>
          <w:color w:val="231F20"/>
        </w:rPr>
      </w:pPr>
      <w:r>
        <w:rPr>
          <w:rFonts w:ascii="Times New Roman" w:cs="Times New Roman" w:eastAsia="Times New Roman" w:hAnsi="Times New Roman"/>
          <w:sz w:val="19"/>
          <w:szCs w:val="19"/>
          <w:color w:val="231F20"/>
        </w:rPr>
        <w:t>attempt to preserve or enhance the value of our investment.</w:t>
      </w:r>
    </w:p>
    <w:p>
      <w:pPr>
        <w:spacing w:after="0" w:line="225" w:lineRule="exact"/>
        <w:rPr>
          <w:sz w:val="20"/>
          <w:szCs w:val="20"/>
          <w:color w:val="auto"/>
        </w:rPr>
      </w:pPr>
    </w:p>
    <w:p>
      <w:pPr>
        <w:ind w:right="80" w:firstLine="231"/>
        <w:spacing w:after="0" w:line="257" w:lineRule="auto"/>
        <w:rPr>
          <w:sz w:val="20"/>
          <w:szCs w:val="20"/>
          <w:color w:val="auto"/>
        </w:rPr>
      </w:pPr>
      <w:r>
        <w:rPr>
          <w:rFonts w:ascii="Times New Roman" w:cs="Times New Roman" w:eastAsia="Times New Roman" w:hAnsi="Times New Roman"/>
          <w:sz w:val="19"/>
          <w:szCs w:val="19"/>
          <w:color w:val="231F20"/>
        </w:rPr>
        <w:t>We may elect not to make follow-on investments, may be constrained in our ability to employ available funds, or otherwise may lack sufficient funds to make those investments. We have the discretion to make any follow-on investments, subject to the availability of capital resources. However, doing so could be placing even more capital at risk in existing portfolio companies.</w:t>
      </w:r>
    </w:p>
    <w:p>
      <w:pPr>
        <w:sectPr>
          <w:pgSz w:w="12240" w:h="15840" w:orient="portrait"/>
          <w:cols w:equalWidth="0" w:num="1">
            <w:col w:w="10200"/>
          </w:cols>
          <w:pgMar w:left="1020" w:top="1319" w:right="1020" w:bottom="57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231F20"/>
        </w:rPr>
        <w:t>46</w:t>
      </w:r>
    </w:p>
    <w:p>
      <w:pPr>
        <w:sectPr>
          <w:pgSz w:w="12240" w:h="15840" w:orient="portrait"/>
          <w:cols w:equalWidth="0" w:num="1">
            <w:col w:w="10200"/>
          </w:cols>
          <w:pgMar w:left="1020" w:top="1319" w:right="1020" w:bottom="574" w:gutter="0" w:footer="0" w:header="0"/>
          <w:type w:val="continuous"/>
        </w:sectPr>
      </w:pPr>
    </w:p>
    <w:bookmarkStart w:id="46" w:name="page47"/>
    <w:bookmarkEnd w:id="46"/>
    <w:p>
      <w:pPr>
        <w:jc w:val="both"/>
        <w:ind w:right="80" w:firstLine="231"/>
        <w:spacing w:after="0" w:line="247" w:lineRule="auto"/>
        <w:rPr>
          <w:sz w:val="20"/>
          <w:szCs w:val="20"/>
          <w:color w:val="auto"/>
        </w:rPr>
      </w:pPr>
      <w:r>
        <w:rPr>
          <w:rFonts w:ascii="Times New Roman" w:cs="Times New Roman" w:eastAsia="Times New Roman" w:hAnsi="Times New Roman"/>
          <w:sz w:val="19"/>
          <w:szCs w:val="19"/>
          <w:color w:val="231F20"/>
        </w:rPr>
        <w:t>The failure to make follow-on investments may, in some circumstances, jeopardize the continued viability of a portfolio company and our initial investment, or may result in a missed opportunity for us to increase our participation in a successful operation. Even if we have sufficient capital to make a desired follow-on investment, we may elect not to make a follow-on investment because we may not want to increase our concentration of risk, because we prefer other opportunities or because we are inhibited by compliance with BDC requirements or the desire to maintain our tax status.</w:t>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231F20"/>
        </w:rPr>
        <w:t>Any acquisitions or strategic investments that we pursue are subject to risks and uncertainties.</w:t>
      </w:r>
    </w:p>
    <w:p>
      <w:pPr>
        <w:spacing w:after="0" w:line="110" w:lineRule="exact"/>
        <w:rPr>
          <w:sz w:val="20"/>
          <w:szCs w:val="20"/>
          <w:color w:val="auto"/>
        </w:rPr>
      </w:pPr>
    </w:p>
    <w:p>
      <w:pPr>
        <w:ind w:right="40" w:firstLine="231"/>
        <w:spacing w:after="0" w:line="246" w:lineRule="auto"/>
        <w:rPr>
          <w:sz w:val="20"/>
          <w:szCs w:val="20"/>
          <w:color w:val="auto"/>
        </w:rPr>
      </w:pPr>
      <w:r>
        <w:rPr>
          <w:rFonts w:ascii="Times New Roman" w:cs="Times New Roman" w:eastAsia="Times New Roman" w:hAnsi="Times New Roman"/>
          <w:sz w:val="19"/>
          <w:szCs w:val="19"/>
          <w:color w:val="231F20"/>
        </w:rPr>
        <w:t>We have pursued and may continue to pursue growth through acquisitions or strategic investments in new businesses. Completion and timing of any such acquisitions or strategic investments may be subject to a number of contingencies, including the uncertainty in reaching a commercial agreement with our counterparty, our ability to obtain required board, shareholder and regulatory approvals, as well as any required financing (or the risk that these are obtained subject to terms and conditions that are not anticipated). The announcement or consummation of any transaction also may adversely impact our business relationships or engender competitive responses.</w:t>
      </w:r>
    </w:p>
    <w:p>
      <w:pPr>
        <w:spacing w:after="0" w:line="186" w:lineRule="exact"/>
        <w:rPr>
          <w:sz w:val="20"/>
          <w:szCs w:val="20"/>
          <w:color w:val="auto"/>
        </w:rPr>
      </w:pPr>
    </w:p>
    <w:p>
      <w:pPr>
        <w:ind w:right="20" w:firstLine="231"/>
        <w:spacing w:after="0" w:line="243" w:lineRule="auto"/>
        <w:rPr>
          <w:sz w:val="20"/>
          <w:szCs w:val="20"/>
          <w:color w:val="auto"/>
        </w:rPr>
      </w:pPr>
      <w:r>
        <w:rPr>
          <w:rFonts w:ascii="Times New Roman" w:cs="Times New Roman" w:eastAsia="Times New Roman" w:hAnsi="Times New Roman"/>
          <w:sz w:val="19"/>
          <w:szCs w:val="19"/>
          <w:color w:val="231F20"/>
        </w:rPr>
        <w:t>Acquisitions could involve numerous additional risks, such as unanticipated litigation, unexpected costs, liabilities, charges or expenses resulting from a transaction, the inability to generate sufficient revenue to offset acquisition costs and any changes in general economic or industry specific conditions. There can be no assurance that the integration of an acquired business will be successful or that an acquired business will prove to be profitable or sustainable. The failure to integrate successfully or to manage the challenges presented by an integration process may adversely impact our financial results. In addition, the proposal and negotiation of acquisitions or strategic investments, whether or not completed, as well as the integration of those businesses into our existing portfolio, could result in substantial expenses and the diversion of our Adviser’s time, attention and resources from our day-to-day operations.</w:t>
      </w:r>
    </w:p>
    <w:p>
      <w:pPr>
        <w:spacing w:after="0" w:line="195" w:lineRule="exact"/>
        <w:rPr>
          <w:sz w:val="20"/>
          <w:szCs w:val="20"/>
          <w:color w:val="auto"/>
        </w:rPr>
      </w:pPr>
    </w:p>
    <w:p>
      <w:pPr>
        <w:ind w:right="60" w:firstLine="231"/>
        <w:spacing w:after="0" w:line="257" w:lineRule="auto"/>
        <w:rPr>
          <w:sz w:val="20"/>
          <w:szCs w:val="20"/>
          <w:color w:val="auto"/>
        </w:rPr>
      </w:pPr>
      <w:r>
        <w:rPr>
          <w:rFonts w:ascii="Times New Roman" w:cs="Times New Roman" w:eastAsia="Times New Roman" w:hAnsi="Times New Roman"/>
          <w:sz w:val="19"/>
          <w:szCs w:val="19"/>
          <w:color w:val="231F20"/>
        </w:rPr>
        <w:t>Our ability to manage our growth through acquisitions or strategic investments will depend, in part, on our success in addressing these risks. Any failure to effectively implement our acquisition or strategic investment strategies could have a material adverse effect on our business, financial condition or results of operations.</w:t>
      </w:r>
    </w:p>
    <w:p>
      <w:pPr>
        <w:spacing w:after="0" w:line="284" w:lineRule="exact"/>
        <w:rPr>
          <w:sz w:val="20"/>
          <w:szCs w:val="20"/>
          <w:color w:val="auto"/>
        </w:rPr>
      </w:pPr>
    </w:p>
    <w:p>
      <w:pPr>
        <w:ind w:right="140"/>
        <w:spacing w:after="0" w:line="263" w:lineRule="auto"/>
        <w:rPr>
          <w:sz w:val="20"/>
          <w:szCs w:val="20"/>
          <w:color w:val="auto"/>
        </w:rPr>
      </w:pPr>
      <w:r>
        <w:rPr>
          <w:rFonts w:ascii="Times New Roman" w:cs="Times New Roman" w:eastAsia="Times New Roman" w:hAnsi="Times New Roman"/>
          <w:sz w:val="19"/>
          <w:szCs w:val="19"/>
          <w:b w:val="1"/>
          <w:bCs w:val="1"/>
          <w:i w:val="1"/>
          <w:iCs w:val="1"/>
          <w:color w:val="231F20"/>
        </w:rPr>
        <w:t>We cannot guarantee that we will be able to obtain various required licenses in U.S. states or in any other jurisdiction where they may be required in the future.</w:t>
      </w:r>
    </w:p>
    <w:p>
      <w:pPr>
        <w:spacing w:after="0" w:line="49" w:lineRule="exact"/>
        <w:rPr>
          <w:sz w:val="20"/>
          <w:szCs w:val="20"/>
          <w:color w:val="auto"/>
        </w:rPr>
      </w:pPr>
    </w:p>
    <w:p>
      <w:pPr>
        <w:ind w:right="100" w:firstLine="231"/>
        <w:spacing w:after="0" w:line="235" w:lineRule="auto"/>
        <w:rPr>
          <w:sz w:val="20"/>
          <w:szCs w:val="20"/>
          <w:color w:val="auto"/>
        </w:rPr>
      </w:pPr>
      <w:r>
        <w:rPr>
          <w:rFonts w:ascii="Times New Roman" w:cs="Times New Roman" w:eastAsia="Times New Roman" w:hAnsi="Times New Roman"/>
          <w:sz w:val="19"/>
          <w:szCs w:val="19"/>
          <w:color w:val="231F20"/>
        </w:rPr>
        <w:t>We are required to have and may be required in the future to obtain various state licenses to, among other things, originate commercial loans, and may be required to obtain similar licenses from other authorities, including outside of the United States, in the future in connection with one or more investments. Applying for and obtaining required licenses can be costly and take several months. We cannot assure you that we will maintain or obtain all of the licenses that we need on a timely basis. We also are and will be subject to various information and other requirements to maintain and obtain these licenses, and we cannot assure you that we will satisfy those requirements. Our failure to maintain or obtain licenses that we require, now or in the future, might restrict investment options and have other adverse consequences.</w:t>
      </w:r>
    </w:p>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231F20"/>
        </w:rPr>
        <w:t>Our investments in foreign companies may involve significant risks in addition to the risks inherent in U.S. investments.</w:t>
      </w:r>
    </w:p>
    <w:p>
      <w:pPr>
        <w:spacing w:after="0" w:line="101" w:lineRule="exact"/>
        <w:rPr>
          <w:sz w:val="20"/>
          <w:szCs w:val="20"/>
          <w:color w:val="auto"/>
        </w:rPr>
      </w:pPr>
    </w:p>
    <w:p>
      <w:pPr>
        <w:ind w:right="60" w:firstLine="231"/>
        <w:spacing w:after="0" w:line="234" w:lineRule="auto"/>
        <w:rPr>
          <w:sz w:val="20"/>
          <w:szCs w:val="20"/>
          <w:color w:val="auto"/>
        </w:rPr>
      </w:pPr>
      <w:r>
        <w:rPr>
          <w:rFonts w:ascii="Times New Roman" w:cs="Times New Roman" w:eastAsia="Times New Roman" w:hAnsi="Times New Roman"/>
          <w:sz w:val="19"/>
          <w:szCs w:val="19"/>
          <w:color w:val="231F20"/>
        </w:rPr>
        <w:t>Our investment strategy may include potential investments in foreign companies. Investing in foreign companies may expose us to additional risks not typically associated with investing in U.S. companies. These risks include changes in exchange control regulations, U.S. trade policy, political and social instability, expropriation, imposition of foreign taxes (potentially at confiscatory levels), less liquid markets, less available information than is generally the case in the United States, higher transaction costs, less government supervision of exchanges, brokers and issuers, less developed bankruptcy laws, difficulty in enforcing contractual obligations, lack of uniform accounting and auditing standards and greater price volatility. Uncertainty in the wake of Russia’s invasion of Ukraine and conflict in the Middle East, among other current events, could also have negative impacts on the economies of countries in Europe and elsewhere. In addition, interest income derived from loans to foreign companies is not eligible to be distributed to our non-U.S. stockholders free from withholding taxes.</w:t>
      </w:r>
    </w:p>
    <w:p>
      <w:pPr>
        <w:spacing w:after="0" w:line="183" w:lineRule="exact"/>
        <w:rPr>
          <w:sz w:val="20"/>
          <w:szCs w:val="20"/>
          <w:color w:val="auto"/>
        </w:rPr>
      </w:pPr>
    </w:p>
    <w:p>
      <w:pPr>
        <w:jc w:val="both"/>
        <w:ind w:firstLine="231"/>
        <w:spacing w:after="0" w:line="254" w:lineRule="auto"/>
        <w:rPr>
          <w:sz w:val="20"/>
          <w:szCs w:val="20"/>
          <w:color w:val="auto"/>
        </w:rPr>
      </w:pPr>
      <w:r>
        <w:rPr>
          <w:rFonts w:ascii="Times New Roman" w:cs="Times New Roman" w:eastAsia="Times New Roman" w:hAnsi="Times New Roman"/>
          <w:sz w:val="18"/>
          <w:szCs w:val="18"/>
          <w:color w:val="231F20"/>
        </w:rPr>
        <w:t>Although most of our investments will be U.S. dollar-denominated, our investments that are denominated in a foreign currency will be subject to the risk that the value of a particular currency will change in relation to one or more other currencies. Among the factors that may affect currency values are trade balances, the level of short-term interest rates, differences in relative values of similar assets in different currencies, long-term opportunities for investment and capital gains and political developments. We may employ hedging techniques to minimize these risks, but we cannot assure you that such strategies will be effective or without risk to us.</w:t>
      </w:r>
    </w:p>
    <w:p>
      <w:pPr>
        <w:sectPr>
          <w:pgSz w:w="12240" w:h="15840" w:orient="portrait"/>
          <w:cols w:equalWidth="0" w:num="1">
            <w:col w:w="10180"/>
          </w:cols>
          <w:pgMar w:left="1020" w:top="1317" w:right="1040" w:bottom="57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231F20"/>
        </w:rPr>
        <w:t>47</w:t>
      </w:r>
    </w:p>
    <w:p>
      <w:pPr>
        <w:sectPr>
          <w:pgSz w:w="12240" w:h="15840" w:orient="portrait"/>
          <w:cols w:equalWidth="0" w:num="1">
            <w:col w:w="10180"/>
          </w:cols>
          <w:pgMar w:left="1020" w:top="1317" w:right="1040" w:bottom="574" w:gutter="0" w:footer="0" w:header="0"/>
          <w:type w:val="continuous"/>
        </w:sectPr>
      </w:pPr>
    </w:p>
    <w:bookmarkStart w:id="47" w:name="page48"/>
    <w:bookmarkEnd w:id="47"/>
    <w:p>
      <w:pPr>
        <w:spacing w:after="0"/>
        <w:rPr>
          <w:sz w:val="20"/>
          <w:szCs w:val="20"/>
          <w:color w:val="auto"/>
        </w:rPr>
      </w:pPr>
      <w:r>
        <w:rPr>
          <w:rFonts w:ascii="Times New Roman" w:cs="Times New Roman" w:eastAsia="Times New Roman" w:hAnsi="Times New Roman"/>
          <w:sz w:val="19"/>
          <w:szCs w:val="19"/>
          <w:b w:val="1"/>
          <w:bCs w:val="1"/>
          <w:i w:val="1"/>
          <w:iCs w:val="1"/>
          <w:color w:val="231F20"/>
        </w:rPr>
        <w:t>We expose ourselves to risks when we engage in hedging transactions.</w:t>
      </w:r>
    </w:p>
    <w:p>
      <w:pPr>
        <w:spacing w:after="0" w:line="101" w:lineRule="exact"/>
        <w:rPr>
          <w:sz w:val="20"/>
          <w:szCs w:val="20"/>
          <w:color w:val="auto"/>
        </w:rPr>
      </w:pPr>
    </w:p>
    <w:p>
      <w:pPr>
        <w:ind w:right="100" w:firstLine="231"/>
        <w:spacing w:after="0" w:line="236" w:lineRule="auto"/>
        <w:rPr>
          <w:sz w:val="20"/>
          <w:szCs w:val="20"/>
          <w:color w:val="auto"/>
        </w:rPr>
      </w:pPr>
      <w:r>
        <w:rPr>
          <w:rFonts w:ascii="Times New Roman" w:cs="Times New Roman" w:eastAsia="Times New Roman" w:hAnsi="Times New Roman"/>
          <w:sz w:val="19"/>
          <w:szCs w:val="19"/>
          <w:color w:val="231F20"/>
        </w:rPr>
        <w:t>We have entered, and may in the future enter, into hedging transactions, which may expose us to risks associated with such transactions. We may seek to utilize instruments such as forward contracts, currency options and interest rate swaps, caps, collars and floors to seek to hedge against fluctuations in the relative values of our portfolio positions from changes in currency exchange rates and market interest rates and the relative value of certain debt securities from changes in market interest rates. Use of these hedging instruments may include counterparty credit risk. To the extent we have non-U.S. investments, particularly investments denominated in non-U.S. currencies, our hedging costs will increase.</w:t>
      </w:r>
    </w:p>
    <w:p>
      <w:pPr>
        <w:spacing w:after="0" w:line="187" w:lineRule="exact"/>
        <w:rPr>
          <w:sz w:val="20"/>
          <w:szCs w:val="20"/>
          <w:color w:val="auto"/>
        </w:rPr>
      </w:pPr>
    </w:p>
    <w:p>
      <w:pPr>
        <w:ind w:right="20" w:firstLine="231"/>
        <w:spacing w:after="0" w:line="235" w:lineRule="auto"/>
        <w:rPr>
          <w:sz w:val="20"/>
          <w:szCs w:val="20"/>
          <w:color w:val="auto"/>
        </w:rPr>
      </w:pPr>
      <w:r>
        <w:rPr>
          <w:rFonts w:ascii="Times New Roman" w:cs="Times New Roman" w:eastAsia="Times New Roman" w:hAnsi="Times New Roman"/>
          <w:sz w:val="19"/>
          <w:szCs w:val="19"/>
          <w:color w:val="231F20"/>
        </w:rPr>
        <w:t>We also have the ability to borrow in certain foreign currencies under the second amended and restated senior secured revolving credit agreement, as amended, with Truist Bank (as a successor by merger to SunTrust Bank), as administrative agent, and certain lenders, which we refer to as the Revolving Credit Facility. Instead of entering into a foreign exchange forward contract in connection with loans or other investments we have made that are denominated in a foreign currency, we may borrow in that currency to establish a natural hedge against our loan or investment. To the extent the loan or investment is based on a floating rate other than a rate under which we can borrow under our Revolving Credit Facility, we may seek to utilize interest rate derivatives to hedge our exposure to changes in the associated rate.</w:t>
      </w:r>
    </w:p>
    <w:p>
      <w:pPr>
        <w:spacing w:after="0" w:line="186" w:lineRule="exact"/>
        <w:rPr>
          <w:sz w:val="20"/>
          <w:szCs w:val="20"/>
          <w:color w:val="auto"/>
        </w:rPr>
      </w:pPr>
    </w:p>
    <w:p>
      <w:pPr>
        <w:ind w:right="40" w:firstLine="231"/>
        <w:spacing w:after="0" w:line="236" w:lineRule="auto"/>
        <w:rPr>
          <w:sz w:val="20"/>
          <w:szCs w:val="20"/>
          <w:color w:val="auto"/>
        </w:rPr>
      </w:pPr>
      <w:r>
        <w:rPr>
          <w:rFonts w:ascii="Times New Roman" w:cs="Times New Roman" w:eastAsia="Times New Roman" w:hAnsi="Times New Roman"/>
          <w:sz w:val="19"/>
          <w:szCs w:val="19"/>
          <w:color w:val="231F20"/>
        </w:rPr>
        <w:t>Hedging against a decline in the values of our portfolio positions would not eliminate the possibility of fluctuations in the values of such positions or prevent losses if the values of such positions were to decline. However, such hedging can establish other positions designed to gain from those same developments, thereby offsetting the decline in the value of such portfolio positions. Such hedging transactions may also limit the opportunity for gain if the values of the underlying portfolio positions were to increase. It also may not be possible to hedge against an exchange rate or interest rate fluctuation that is so generally anticipated that we are not able to enter into a hedging transaction at an acceptable price.</w:t>
      </w:r>
    </w:p>
    <w:p>
      <w:pPr>
        <w:spacing w:after="0" w:line="187" w:lineRule="exact"/>
        <w:rPr>
          <w:sz w:val="20"/>
          <w:szCs w:val="20"/>
          <w:color w:val="auto"/>
        </w:rPr>
      </w:pPr>
    </w:p>
    <w:p>
      <w:pPr>
        <w:ind w:firstLine="231"/>
        <w:spacing w:after="0" w:line="234" w:lineRule="auto"/>
        <w:rPr>
          <w:sz w:val="20"/>
          <w:szCs w:val="20"/>
          <w:color w:val="auto"/>
        </w:rPr>
      </w:pPr>
      <w:r>
        <w:rPr>
          <w:rFonts w:ascii="Times New Roman" w:cs="Times New Roman" w:eastAsia="Times New Roman" w:hAnsi="Times New Roman"/>
          <w:sz w:val="19"/>
          <w:szCs w:val="19"/>
          <w:color w:val="231F20"/>
        </w:rPr>
        <w:t>The success of our hedging strategy will depend on our ability to correctly identify appropriate exposures for hedging. To date, we have entered into hedging transactions to seek to reduce currency exchange rate risk and interest rate risk related to specific portfolio companies. In addition, in connection with our 2024 Notes, 2026 Notes, 2028 Notes and 2029 Notes, which bear interest at fixed rates, we entered into fixed-to-floating interest rate swaps to align the interest rates of our liabilities with our investment portfolio, which consists of predominately floating rate loans. However, unanticipated changes in currency exchange rates or other exposures that we might hedge may result in poorer overall investment performance than if we had not engaged in any such hedging transactions. In addition, the degree of correlation between price movements of the instruments used in a hedging strategy and price movements in the portfolio positions being hedged may vary, as may the time period in which the hedge is effective relative to the time period of the related exposure.</w:t>
      </w:r>
    </w:p>
    <w:p>
      <w:pPr>
        <w:spacing w:after="0" w:line="187" w:lineRule="exact"/>
        <w:rPr>
          <w:sz w:val="20"/>
          <w:szCs w:val="20"/>
          <w:color w:val="auto"/>
        </w:rPr>
      </w:pPr>
    </w:p>
    <w:p>
      <w:pPr>
        <w:ind w:firstLine="231"/>
        <w:spacing w:after="0" w:line="237" w:lineRule="auto"/>
        <w:rPr>
          <w:sz w:val="20"/>
          <w:szCs w:val="20"/>
          <w:color w:val="auto"/>
        </w:rPr>
      </w:pPr>
      <w:r>
        <w:rPr>
          <w:rFonts w:ascii="Times New Roman" w:cs="Times New Roman" w:eastAsia="Times New Roman" w:hAnsi="Times New Roman"/>
          <w:sz w:val="19"/>
          <w:szCs w:val="19"/>
          <w:color w:val="231F20"/>
        </w:rPr>
        <w:t>For a variety of reasons, we may not seek to (or be able to) establish a perfect correlation between such hedging instruments and the positions being hedged. Any such imperfect correlation may prevent us from achieving the intended hedge and expose us to risk of loss. In addition, it may not be possible to hedge fully or perfectly against currency fluctuations affecting the value of securities denominated in non-U.S. currencies because the value of those securities is likely to fluctuate as a result of factors not related to currency fluctuations. Income derived from hedging transactions also is not eligible to be distributed to non-U.S. stockholders free from withholding taxes. Changes to the regulations applicable to the financial instruments we use to accomplish our hedging strategy could affect the effectiveness of that strategy. For additional information on these regulatory changes, see “</w:t>
      </w:r>
      <w:r>
        <w:rPr>
          <w:rFonts w:ascii="Times New Roman" w:cs="Times New Roman" w:eastAsia="Times New Roman" w:hAnsi="Times New Roman"/>
          <w:sz w:val="19"/>
          <w:szCs w:val="19"/>
          <w:i w:val="1"/>
          <w:iCs w:val="1"/>
          <w:color w:val="231F20"/>
        </w:rPr>
        <w:t>—Risks Related to Our</w:t>
      </w:r>
      <w:r>
        <w:rPr>
          <w:rFonts w:ascii="Times New Roman" w:cs="Times New Roman" w:eastAsia="Times New Roman" w:hAnsi="Times New Roman"/>
          <w:sz w:val="19"/>
          <w:szCs w:val="19"/>
          <w:color w:val="231F20"/>
        </w:rPr>
        <w:t xml:space="preserve"> </w:t>
      </w:r>
      <w:r>
        <w:rPr>
          <w:rFonts w:ascii="Times New Roman" w:cs="Times New Roman" w:eastAsia="Times New Roman" w:hAnsi="Times New Roman"/>
          <w:sz w:val="19"/>
          <w:szCs w:val="19"/>
          <w:i w:val="1"/>
          <w:iCs w:val="1"/>
          <w:color w:val="231F20"/>
        </w:rPr>
        <w:t>Portfolio Company Investments—The market structure applicable to derivatives imposed by the Dodd-Frank Act may affect our ability to use over-the-counter (“OTC”) derivatives for hedging purposes</w:t>
      </w:r>
      <w:r>
        <w:rPr>
          <w:rFonts w:ascii="Times New Roman" w:cs="Times New Roman" w:eastAsia="Times New Roman" w:hAnsi="Times New Roman"/>
          <w:sz w:val="19"/>
          <w:szCs w:val="19"/>
          <w:color w:val="231F20"/>
        </w:rPr>
        <w:t>.” See also “</w:t>
      </w:r>
      <w:r>
        <w:rPr>
          <w:rFonts w:ascii="Times New Roman" w:cs="Times New Roman" w:eastAsia="Times New Roman" w:hAnsi="Times New Roman"/>
          <w:sz w:val="19"/>
          <w:szCs w:val="19"/>
          <w:i w:val="1"/>
          <w:iCs w:val="1"/>
          <w:color w:val="231F20"/>
        </w:rPr>
        <w:t>—Risks Related to Our Portfolio Company Investments—We are exposed to risks associated with changes in interest rates</w:t>
      </w:r>
      <w:r>
        <w:rPr>
          <w:rFonts w:ascii="Times New Roman" w:cs="Times New Roman" w:eastAsia="Times New Roman" w:hAnsi="Times New Roman"/>
          <w:sz w:val="19"/>
          <w:szCs w:val="19"/>
          <w:color w:val="231F20"/>
        </w:rPr>
        <w:t>” and “</w:t>
      </w:r>
      <w:r>
        <w:rPr>
          <w:rFonts w:ascii="Times New Roman" w:cs="Times New Roman" w:eastAsia="Times New Roman" w:hAnsi="Times New Roman"/>
          <w:sz w:val="19"/>
          <w:szCs w:val="19"/>
          <w:i w:val="1"/>
          <w:iCs w:val="1"/>
          <w:color w:val="231F20"/>
        </w:rPr>
        <w:t>ITEM 7. MANAGEMENT’S DISCUSSION AND ANALYSIS OF FINANCIAL CONDITION AND RESULTS OF OPERATIONS—Results of Operations—Hedging</w:t>
      </w:r>
      <w:r>
        <w:rPr>
          <w:rFonts w:ascii="Times New Roman" w:cs="Times New Roman" w:eastAsia="Times New Roman" w:hAnsi="Times New Roman"/>
          <w:sz w:val="19"/>
          <w:szCs w:val="19"/>
          <w:color w:val="231F20"/>
        </w:rPr>
        <w:t>.”</w:t>
      </w:r>
    </w:p>
    <w:p>
      <w:pPr>
        <w:spacing w:after="0" w:line="193" w:lineRule="exact"/>
        <w:rPr>
          <w:sz w:val="20"/>
          <w:szCs w:val="20"/>
          <w:color w:val="auto"/>
        </w:rPr>
      </w:pPr>
    </w:p>
    <w:p>
      <w:pPr>
        <w:ind w:firstLine="231"/>
        <w:spacing w:after="0" w:line="238" w:lineRule="auto"/>
        <w:rPr>
          <w:sz w:val="20"/>
          <w:szCs w:val="20"/>
          <w:color w:val="auto"/>
        </w:rPr>
      </w:pPr>
      <w:r>
        <w:rPr>
          <w:rFonts w:ascii="Times New Roman" w:cs="Times New Roman" w:eastAsia="Times New Roman" w:hAnsi="Times New Roman"/>
          <w:sz w:val="19"/>
          <w:szCs w:val="19"/>
          <w:color w:val="231F20"/>
        </w:rPr>
        <w:t>Finally, Rule 18f-4 constrains our ability to use swaps and other derivatives. Among other requirements, the rule would force us to reduce our use of derivatives, unless we were to qualify as a limited derivatives user under the rule, if the value-at-risk of our investment portfolio including our swap or derivative positions, exceeds 200 percent of a “designated reference portfolio,” which is a designated index that is unleveraged and reflects the market or asset classes in which we invest or our securities portfolio. If we could not identify a suitable reference portfolio, our value-at-risk would not be permitted to exceed 20% of our net assets. In addition, we are required under the final rule to establish a risk management program for our use of swaps or other derivative positions. Based on our current use of derivatives primarily for interest rate hedging purposes, we believe that we qualify, and will continue to qualify, as a limited derivatives user under the rule. However, we cannot assure you that we will be treated as a limited derivatives user or that our approach to our use of derivatives will not change.</w:t>
      </w:r>
    </w:p>
    <w:p>
      <w:pPr>
        <w:spacing w:after="0" w:line="306" w:lineRule="exact"/>
        <w:rPr>
          <w:sz w:val="20"/>
          <w:szCs w:val="20"/>
          <w:color w:val="auto"/>
        </w:rPr>
      </w:pPr>
    </w:p>
    <w:p>
      <w:pPr>
        <w:ind w:right="540"/>
        <w:spacing w:after="0" w:line="268" w:lineRule="auto"/>
        <w:rPr>
          <w:sz w:val="20"/>
          <w:szCs w:val="20"/>
          <w:color w:val="auto"/>
        </w:rPr>
      </w:pPr>
      <w:r>
        <w:rPr>
          <w:rFonts w:ascii="Times New Roman" w:cs="Times New Roman" w:eastAsia="Times New Roman" w:hAnsi="Times New Roman"/>
          <w:sz w:val="19"/>
          <w:szCs w:val="19"/>
          <w:b w:val="1"/>
          <w:bCs w:val="1"/>
          <w:i w:val="1"/>
          <w:iCs w:val="1"/>
          <w:color w:val="231F20"/>
        </w:rPr>
        <w:t>The market structure applicable to derivatives imposed by the Dodd-Frank Act may affect our ability to use over-the-counter (“OTC”) derivatives for hedging purposes.</w:t>
      </w:r>
    </w:p>
    <w:p>
      <w:pPr>
        <w:sectPr>
          <w:pgSz w:w="12240" w:h="15840" w:orient="portrait"/>
          <w:cols w:equalWidth="0" w:num="1">
            <w:col w:w="10200"/>
          </w:cols>
          <w:pgMar w:left="1020" w:top="1311" w:right="1020" w:bottom="57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231F20"/>
        </w:rPr>
        <w:t>48</w:t>
      </w:r>
    </w:p>
    <w:p>
      <w:pPr>
        <w:sectPr>
          <w:pgSz w:w="12240" w:h="15840" w:orient="portrait"/>
          <w:cols w:equalWidth="0" w:num="1">
            <w:col w:w="10200"/>
          </w:cols>
          <w:pgMar w:left="1020" w:top="1311" w:right="1020" w:bottom="574" w:gutter="0" w:footer="0" w:header="0"/>
          <w:type w:val="continuous"/>
        </w:sectPr>
      </w:pPr>
    </w:p>
    <w:bookmarkStart w:id="48" w:name="page49"/>
    <w:bookmarkEnd w:id="48"/>
    <w:p>
      <w:pPr>
        <w:ind w:right="60" w:firstLine="231"/>
        <w:spacing w:after="0" w:line="246" w:lineRule="auto"/>
        <w:rPr>
          <w:sz w:val="20"/>
          <w:szCs w:val="20"/>
          <w:color w:val="auto"/>
        </w:rPr>
      </w:pPr>
      <w:r>
        <w:rPr>
          <w:rFonts w:ascii="Times New Roman" w:cs="Times New Roman" w:eastAsia="Times New Roman" w:hAnsi="Times New Roman"/>
          <w:sz w:val="19"/>
          <w:szCs w:val="19"/>
          <w:color w:val="231F20"/>
        </w:rPr>
        <w:t>The Dodd-Frank Act enacted, and the Commodity Futures Trading Commission, or CFTC, and SEC have issued or proposed rules to implement, both broad new regulatory requirements and broad new structural requirements applicable to OTC derivatives markets and, to a lesser extent, listed commodity futures (and futures options) markets. Similar changes are in the process of being implemented in other major financial markets.</w:t>
      </w:r>
    </w:p>
    <w:p>
      <w:pPr>
        <w:spacing w:after="0" w:line="205" w:lineRule="exact"/>
        <w:rPr>
          <w:sz w:val="20"/>
          <w:szCs w:val="20"/>
          <w:color w:val="auto"/>
        </w:rPr>
      </w:pPr>
    </w:p>
    <w:p>
      <w:pPr>
        <w:ind w:firstLine="231"/>
        <w:spacing w:after="0" w:line="236" w:lineRule="auto"/>
        <w:rPr>
          <w:sz w:val="20"/>
          <w:szCs w:val="20"/>
          <w:color w:val="auto"/>
        </w:rPr>
      </w:pPr>
      <w:r>
        <w:rPr>
          <w:rFonts w:ascii="Times New Roman" w:cs="Times New Roman" w:eastAsia="Times New Roman" w:hAnsi="Times New Roman"/>
          <w:sz w:val="19"/>
          <w:szCs w:val="19"/>
          <w:color w:val="231F20"/>
        </w:rPr>
        <w:t>Recent and anticipated regulatory changes require that certain types of OTC derivatives, including those that we may use for hedging activities such as interest rate and credit default swaps, be cleared and traded on regulated platforms, and these regulatory changes are expected to apply to foreign exchange transactions in the future. Our cleared OTC derivatives (such as the interest rate swaps we entered into in connection with certain investments in portfolio companies and our 2026 Notes, 2028 Notes and 2029 Notes) are subject to margin requirements established by regulated clearinghouses, including daily exchanges of cash variation (or mark-to-market) margin and an upfront posting of cash or securities initial margin to cover the clearinghouse’s potential future exposure to the default of a party to a particular OTC derivatives transaction. U.S. regulators have also adopted rules imposing margin requirements for OTC derivatives executed with registered swap dealers or security-based swap dealers that are not cleared. The margin requirements for cleared and uncleared OTC derivatives may require that our Adviser, in order to maintain its exclusion from commodity pool operator (“CPO”) registration under CFTC Rule 4.5, limit our ability to enter into hedging transactions or to obtain synthetic investment exposures, in either case adversely affecting our ability to mitigate risk. Furthermore, any failure by us to fulfill any collateral requirement (e.g., a so-called “margin call”) may result in a default and could have a material adverse impact on our business, financial condition and results of operations.</w:t>
      </w:r>
    </w:p>
    <w:p>
      <w:pPr>
        <w:spacing w:after="0" w:line="199" w:lineRule="exact"/>
        <w:rPr>
          <w:sz w:val="20"/>
          <w:szCs w:val="20"/>
          <w:color w:val="auto"/>
        </w:rPr>
      </w:pPr>
    </w:p>
    <w:p>
      <w:pPr>
        <w:ind w:right="20" w:firstLine="231"/>
        <w:spacing w:after="0" w:line="239" w:lineRule="auto"/>
        <w:rPr>
          <w:sz w:val="20"/>
          <w:szCs w:val="20"/>
          <w:color w:val="auto"/>
        </w:rPr>
      </w:pPr>
      <w:r>
        <w:rPr>
          <w:rFonts w:ascii="Times New Roman" w:cs="Times New Roman" w:eastAsia="Times New Roman" w:hAnsi="Times New Roman"/>
          <w:sz w:val="19"/>
          <w:szCs w:val="19"/>
          <w:color w:val="231F20"/>
        </w:rPr>
        <w:t>The Dodd-Frank Act and the rules adopted by the CFTC and SEC thereunder also imposed requirements relating to real-time public and regulatory reporting of OTC derivative transactions, enhanced documentation requirements, position limits on an expanded array of derivatives, and recordkeeping requirements. Taken as a whole, these changes could significantly increase the cost of using uncleared OTC derivatives to hedge risks, including interest rate and foreign exchange risk; reduce the level of exposure we are able to obtain for risk management purposes through OTC derivatives (including as the result of the CFTC imposing position limits on additional products); reduce the amounts available to us to make non-derivatives investments; impair liquidity in certain OTC derivatives; and adversely affect the quality of execution pricing obtained by us, all of which could adversely impact our investment returns.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2404745</wp:posOffset>
                </wp:positionH>
                <wp:positionV relativeFrom="paragraph">
                  <wp:posOffset>-872490</wp:posOffset>
                </wp:positionV>
                <wp:extent cx="29845" cy="0"/>
                <wp:wrapNone/>
                <wp:docPr id="17" name="Shape 1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9845" cy="4763"/>
                        </a:xfrm>
                        <a:prstGeom prst="line">
                          <a:avLst/>
                        </a:prstGeom>
                        <a:solidFill>
                          <a:srgbClr val="FFFFFF"/>
                        </a:solidFill>
                        <a:ln w="5994">
                          <a:solidFill>
                            <a:srgbClr val="231F20"/>
                          </a:solidFill>
                          <a:miter lim="800000"/>
                          <a:headEnd/>
                          <a:tailEnd/>
                        </a:ln>
                      </wps:spPr>
                      <wps:bodyPr/>
                    </wps:wsp>
                  </a:graphicData>
                </a:graphic>
              </wp:anchor>
            </w:drawing>
          </mc:Choice>
          <mc:Fallback>
            <w:pict>
              <v:line id="Shape 17" o:spid="_x0000_s104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89.35pt,-68.6999pt" to="191.7pt,-68.6999pt" o:allowincell="f" strokecolor="#231F20" strokeweight="0.472pt"/>
            </w:pict>
          </mc:Fallback>
        </mc:AlternateContent>
      </w:r>
    </w:p>
    <w:p>
      <w:pPr>
        <w:spacing w:after="0" w:line="283" w:lineRule="exact"/>
        <w:rPr>
          <w:sz w:val="20"/>
          <w:szCs w:val="20"/>
          <w:color w:val="auto"/>
        </w:rPr>
      </w:pPr>
    </w:p>
    <w:p>
      <w:pPr>
        <w:ind w:right="60"/>
        <w:spacing w:after="0" w:line="268" w:lineRule="auto"/>
        <w:rPr>
          <w:sz w:val="20"/>
          <w:szCs w:val="20"/>
          <w:color w:val="auto"/>
        </w:rPr>
      </w:pPr>
      <w:r>
        <w:rPr>
          <w:rFonts w:ascii="Times New Roman" w:cs="Times New Roman" w:eastAsia="Times New Roman" w:hAnsi="Times New Roman"/>
          <w:sz w:val="19"/>
          <w:szCs w:val="19"/>
          <w:b w:val="1"/>
          <w:bCs w:val="1"/>
          <w:i w:val="1"/>
          <w:iCs w:val="1"/>
          <w:color w:val="231F20"/>
        </w:rPr>
        <w:t>If we cease to be eligible for an exemption from regulation as a commodity pool operator, our compliance expenses could increase substantially.</w:t>
      </w:r>
    </w:p>
    <w:p>
      <w:pPr>
        <w:spacing w:after="0" w:line="49" w:lineRule="exact"/>
        <w:rPr>
          <w:sz w:val="20"/>
          <w:szCs w:val="20"/>
          <w:color w:val="auto"/>
        </w:rPr>
      </w:pPr>
    </w:p>
    <w:p>
      <w:pPr>
        <w:ind w:right="40" w:firstLine="231"/>
        <w:spacing w:after="0" w:line="252" w:lineRule="auto"/>
        <w:rPr>
          <w:sz w:val="20"/>
          <w:szCs w:val="20"/>
          <w:color w:val="auto"/>
        </w:rPr>
      </w:pPr>
      <w:r>
        <w:rPr>
          <w:rFonts w:ascii="Times New Roman" w:cs="Times New Roman" w:eastAsia="Times New Roman" w:hAnsi="Times New Roman"/>
          <w:sz w:val="19"/>
          <w:szCs w:val="19"/>
          <w:color w:val="231F20"/>
        </w:rPr>
        <w:t>Our Adviser has filed with the National Futures Association a notice of exclusion from registration with the CFTC as a commodity pool operator (“CPO”) pursuant to CFTC Rule 4.5. CFTC Rule 4.5 relieves our Adviser from registering with the CFTC as the CPO of us, so long as we:</w:t>
      </w:r>
    </w:p>
    <w:p>
      <w:pPr>
        <w:spacing w:after="0" w:line="77" w:lineRule="exact"/>
        <w:rPr>
          <w:sz w:val="20"/>
          <w:szCs w:val="20"/>
          <w:color w:val="auto"/>
        </w:rPr>
      </w:pPr>
    </w:p>
    <w:p>
      <w:pPr>
        <w:ind w:left="460" w:hanging="229"/>
        <w:spacing w:after="0"/>
        <w:tabs>
          <w:tab w:leader="none" w:pos="460" w:val="left"/>
        </w:tabs>
        <w:numPr>
          <w:ilvl w:val="0"/>
          <w:numId w:val="47"/>
        </w:numPr>
        <w:rPr>
          <w:rFonts w:ascii="Arial" w:cs="Arial" w:eastAsia="Arial" w:hAnsi="Arial"/>
          <w:sz w:val="19"/>
          <w:szCs w:val="19"/>
          <w:color w:val="231F20"/>
        </w:rPr>
      </w:pPr>
      <w:r>
        <w:rPr>
          <w:rFonts w:ascii="Times New Roman" w:cs="Times New Roman" w:eastAsia="Times New Roman" w:hAnsi="Times New Roman"/>
          <w:sz w:val="19"/>
          <w:szCs w:val="19"/>
          <w:color w:val="231F20"/>
        </w:rPr>
        <w:t>continue to be regulated by the SEC as a BDC;</w:t>
      </w:r>
    </w:p>
    <w:p>
      <w:pPr>
        <w:spacing w:after="0" w:line="120" w:lineRule="exact"/>
        <w:rPr>
          <w:rFonts w:ascii="Arial" w:cs="Arial" w:eastAsia="Arial" w:hAnsi="Arial"/>
          <w:sz w:val="19"/>
          <w:szCs w:val="19"/>
          <w:color w:val="231F20"/>
        </w:rPr>
      </w:pPr>
    </w:p>
    <w:p>
      <w:pPr>
        <w:ind w:left="460" w:hanging="229"/>
        <w:spacing w:after="0"/>
        <w:tabs>
          <w:tab w:leader="none" w:pos="460" w:val="left"/>
        </w:tabs>
        <w:numPr>
          <w:ilvl w:val="0"/>
          <w:numId w:val="47"/>
        </w:numPr>
        <w:rPr>
          <w:rFonts w:ascii="Arial" w:cs="Arial" w:eastAsia="Arial" w:hAnsi="Arial"/>
          <w:sz w:val="19"/>
          <w:szCs w:val="19"/>
          <w:color w:val="231F20"/>
        </w:rPr>
      </w:pPr>
      <w:r>
        <w:rPr>
          <w:rFonts w:ascii="Times New Roman" w:cs="Times New Roman" w:eastAsia="Times New Roman" w:hAnsi="Times New Roman"/>
          <w:sz w:val="19"/>
          <w:szCs w:val="19"/>
          <w:color w:val="231F20"/>
        </w:rPr>
        <w:t>confine our trading in CFTC-regulated derivatives within specified thresholds; and</w:t>
      </w:r>
    </w:p>
    <w:p>
      <w:pPr>
        <w:spacing w:after="0" w:line="120" w:lineRule="exact"/>
        <w:rPr>
          <w:rFonts w:ascii="Arial" w:cs="Arial" w:eastAsia="Arial" w:hAnsi="Arial"/>
          <w:sz w:val="19"/>
          <w:szCs w:val="19"/>
          <w:color w:val="231F20"/>
        </w:rPr>
      </w:pPr>
    </w:p>
    <w:p>
      <w:pPr>
        <w:ind w:left="460" w:hanging="229"/>
        <w:spacing w:after="0"/>
        <w:tabs>
          <w:tab w:leader="none" w:pos="460" w:val="left"/>
        </w:tabs>
        <w:numPr>
          <w:ilvl w:val="0"/>
          <w:numId w:val="47"/>
        </w:numPr>
        <w:rPr>
          <w:rFonts w:ascii="Arial" w:cs="Arial" w:eastAsia="Arial" w:hAnsi="Arial"/>
          <w:sz w:val="19"/>
          <w:szCs w:val="19"/>
          <w:color w:val="231F20"/>
        </w:rPr>
      </w:pPr>
      <w:r>
        <w:rPr>
          <w:rFonts w:ascii="Times New Roman" w:cs="Times New Roman" w:eastAsia="Times New Roman" w:hAnsi="Times New Roman"/>
          <w:sz w:val="19"/>
          <w:szCs w:val="19"/>
          <w:color w:val="231F20"/>
        </w:rPr>
        <w:t>are not marketed to the public as a commodity pool or as a vehicle for trading in CFTC-regulated derivatives.</w:t>
      </w:r>
    </w:p>
    <w:p>
      <w:pPr>
        <w:spacing w:after="0" w:line="224" w:lineRule="exact"/>
        <w:rPr>
          <w:sz w:val="20"/>
          <w:szCs w:val="20"/>
          <w:color w:val="auto"/>
        </w:rPr>
      </w:pPr>
    </w:p>
    <w:p>
      <w:pPr>
        <w:ind w:firstLine="231"/>
        <w:spacing w:after="0" w:line="247" w:lineRule="auto"/>
        <w:rPr>
          <w:sz w:val="20"/>
          <w:szCs w:val="20"/>
          <w:color w:val="auto"/>
        </w:rPr>
      </w:pPr>
      <w:r>
        <w:rPr>
          <w:rFonts w:ascii="Times New Roman" w:cs="Times New Roman" w:eastAsia="Times New Roman" w:hAnsi="Times New Roman"/>
          <w:sz w:val="19"/>
          <w:szCs w:val="19"/>
          <w:color w:val="231F20"/>
        </w:rPr>
        <w:t>If we were unable to satisfy the conditions of CFTC Rule 4.5 in the future, our Adviser may be subject to registration with the CFTC as a CPO, unless it can rely on a different exclusion, exemption or no-action relief. Registered CPOs must comply with numerous substantive regulations related to disclosure, reporting and recordkeeping, and are required to become members of the NFA, and be subject to the NFA’s rules and bylaws. Compliance with these additional registration and regulatory requirements could increase our expenses and impact performance.</w:t>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231F20"/>
        </w:rPr>
        <w:t>Our portfolio investments may present special tax issues.</w:t>
      </w:r>
    </w:p>
    <w:p>
      <w:pPr>
        <w:spacing w:after="0" w:line="110" w:lineRule="exact"/>
        <w:rPr>
          <w:sz w:val="20"/>
          <w:szCs w:val="20"/>
          <w:color w:val="auto"/>
        </w:rPr>
      </w:pPr>
    </w:p>
    <w:p>
      <w:pPr>
        <w:ind w:firstLine="231"/>
        <w:spacing w:after="0" w:line="241" w:lineRule="auto"/>
        <w:rPr>
          <w:sz w:val="20"/>
          <w:szCs w:val="20"/>
          <w:color w:val="auto"/>
        </w:rPr>
      </w:pPr>
      <w:r>
        <w:rPr>
          <w:rFonts w:ascii="Times New Roman" w:cs="Times New Roman" w:eastAsia="Times New Roman" w:hAnsi="Times New Roman"/>
          <w:sz w:val="19"/>
          <w:szCs w:val="19"/>
          <w:color w:val="231F20"/>
        </w:rPr>
        <w:t>Investments in below-investment grade debt instruments and certain equity securities may present special tax issues for us. U.S. federal income tax rules are not entirely clear about certain issues, including when we may cease to accrue interest, original issue discount or market discount, when and to what extent certain deductions may be taken for bad debts or worthless equity securities, how payments received on obligations in default should be allocated between principal and interest income, as well as whether exchanges of debt instruments in a bankruptcy or workout context are taxable. These matters could cause us to recognize taxable income for U.S. federal income tax purposes, even in the absence of cash or economic gain, and require us to make taxable distributions to our stockholders to maintain our RIC status or preclude the imposition of either U.S. federal corporate income or excise taxation. Additionally, because such taxable income may not be matched by corresponding cash received by us, we may be required to borrow money or dispose of other investments to be able to make distributions to our stockholders. These and other issues will be considered by us, to the extent determined necessary, so that we aim to minimize the level of any U.S. federal income or excise tax that we would otherwise incur. See “</w:t>
      </w:r>
      <w:r>
        <w:rPr>
          <w:rFonts w:ascii="Times New Roman" w:cs="Times New Roman" w:eastAsia="Times New Roman" w:hAnsi="Times New Roman"/>
          <w:sz w:val="19"/>
          <w:szCs w:val="19"/>
          <w:i w:val="1"/>
          <w:iCs w:val="1"/>
          <w:color w:val="231F20"/>
        </w:rPr>
        <w:t>ITEM 1. BUSINESS—Regulation as a Business Development Company</w:t>
      </w:r>
      <w:r>
        <w:rPr>
          <w:rFonts w:ascii="Times New Roman" w:cs="Times New Roman" w:eastAsia="Times New Roman" w:hAnsi="Times New Roman"/>
          <w:sz w:val="19"/>
          <w:szCs w:val="19"/>
          <w:color w:val="231F20"/>
        </w:rPr>
        <w:t>—</w:t>
      </w:r>
      <w:r>
        <w:rPr>
          <w:rFonts w:ascii="Times New Roman" w:cs="Times New Roman" w:eastAsia="Times New Roman" w:hAnsi="Times New Roman"/>
          <w:sz w:val="19"/>
          <w:szCs w:val="19"/>
          <w:i w:val="1"/>
          <w:iCs w:val="1"/>
          <w:color w:val="231F20"/>
        </w:rPr>
        <w:t>Regulated</w:t>
      </w:r>
      <w:r>
        <w:rPr>
          <w:rFonts w:ascii="Times New Roman" w:cs="Times New Roman" w:eastAsia="Times New Roman" w:hAnsi="Times New Roman"/>
          <w:sz w:val="19"/>
          <w:szCs w:val="19"/>
          <w:color w:val="231F20"/>
        </w:rPr>
        <w:t xml:space="preserve"> </w:t>
      </w:r>
      <w:r>
        <w:rPr>
          <w:rFonts w:ascii="Times New Roman" w:cs="Times New Roman" w:eastAsia="Times New Roman" w:hAnsi="Times New Roman"/>
          <w:sz w:val="19"/>
          <w:szCs w:val="19"/>
          <w:i w:val="1"/>
          <w:iCs w:val="1"/>
          <w:color w:val="231F20"/>
        </w:rPr>
        <w:t>Investment Company Classification</w:t>
      </w:r>
      <w:r>
        <w:rPr>
          <w:rFonts w:ascii="Times New Roman" w:cs="Times New Roman" w:eastAsia="Times New Roman" w:hAnsi="Times New Roman"/>
          <w:sz w:val="19"/>
          <w:szCs w:val="19"/>
          <w:color w:val="231F20"/>
        </w:rPr>
        <w:t>” for more information.</w:t>
      </w:r>
    </w:p>
    <w:p>
      <w:pPr>
        <w:sectPr>
          <w:pgSz w:w="12240" w:h="15840" w:orient="portrait"/>
          <w:cols w:equalWidth="0" w:num="1">
            <w:col w:w="10180"/>
          </w:cols>
          <w:pgMar w:left="1020" w:top="1313" w:right="1040" w:bottom="574" w:gutter="0" w:footer="0" w:header="0"/>
        </w:sectPr>
      </w:pPr>
    </w:p>
    <w:p>
      <w:pPr>
        <w:spacing w:after="0" w:line="2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231F20"/>
        </w:rPr>
        <w:t>49</w:t>
      </w:r>
    </w:p>
    <w:p>
      <w:pPr>
        <w:sectPr>
          <w:pgSz w:w="12240" w:h="15840" w:orient="portrait"/>
          <w:cols w:equalWidth="0" w:num="1">
            <w:col w:w="10180"/>
          </w:cols>
          <w:pgMar w:left="1020" w:top="1313" w:right="1040" w:bottom="574" w:gutter="0" w:footer="0" w:header="0"/>
          <w:type w:val="continuous"/>
        </w:sectPr>
      </w:pPr>
    </w:p>
    <w:bookmarkStart w:id="49" w:name="page50"/>
    <w:bookmarkEnd w:id="49"/>
    <w:p>
      <w:pPr>
        <w:spacing w:after="0"/>
        <w:rPr>
          <w:sz w:val="20"/>
          <w:szCs w:val="20"/>
          <w:color w:val="auto"/>
        </w:rPr>
      </w:pPr>
      <w:r>
        <w:rPr>
          <w:rFonts w:ascii="Times New Roman" w:cs="Times New Roman" w:eastAsia="Times New Roman" w:hAnsi="Times New Roman"/>
          <w:sz w:val="19"/>
          <w:szCs w:val="19"/>
          <w:b w:val="1"/>
          <w:bCs w:val="1"/>
          <w:i w:val="1"/>
          <w:iCs w:val="1"/>
          <w:color w:val="231F20"/>
        </w:rPr>
        <w:t>There are certain risks associated with holding debt obligations that have original issue discount or payment-in-kind interest.</w:t>
      </w:r>
    </w:p>
    <w:p>
      <w:pPr>
        <w:spacing w:after="0" w:line="110" w:lineRule="exact"/>
        <w:rPr>
          <w:sz w:val="20"/>
          <w:szCs w:val="20"/>
          <w:color w:val="auto"/>
        </w:rPr>
      </w:pPr>
    </w:p>
    <w:p>
      <w:pPr>
        <w:ind w:right="120" w:firstLine="231"/>
        <w:spacing w:after="0" w:line="257" w:lineRule="auto"/>
        <w:rPr>
          <w:sz w:val="20"/>
          <w:szCs w:val="20"/>
          <w:color w:val="auto"/>
        </w:rPr>
      </w:pPr>
      <w:r>
        <w:rPr>
          <w:rFonts w:ascii="Times New Roman" w:cs="Times New Roman" w:eastAsia="Times New Roman" w:hAnsi="Times New Roman"/>
          <w:sz w:val="19"/>
          <w:szCs w:val="19"/>
          <w:color w:val="231F20"/>
        </w:rPr>
        <w:t>Original issue discount, or OID, may arise if we hold securities issued at a discount, receive warrants in connection with the making of a loan, or in certain other circumstances. OID creates the risk that Incentive Fees will be paid to the Adviser based on non-cash accruals that ultimately may not be realized, while the Adviser will be under no obligation to reimburse us for these fees.</w:t>
      </w:r>
    </w:p>
    <w:p>
      <w:pPr>
        <w:spacing w:after="0" w:line="176" w:lineRule="exact"/>
        <w:rPr>
          <w:sz w:val="20"/>
          <w:szCs w:val="20"/>
          <w:color w:val="auto"/>
        </w:rPr>
      </w:pPr>
    </w:p>
    <w:p>
      <w:pPr>
        <w:ind w:right="120" w:firstLine="231"/>
        <w:spacing w:after="0" w:line="250" w:lineRule="auto"/>
        <w:rPr>
          <w:sz w:val="20"/>
          <w:szCs w:val="20"/>
          <w:color w:val="auto"/>
        </w:rPr>
      </w:pPr>
      <w:r>
        <w:rPr>
          <w:rFonts w:ascii="Times New Roman" w:cs="Times New Roman" w:eastAsia="Times New Roman" w:hAnsi="Times New Roman"/>
          <w:sz w:val="19"/>
          <w:szCs w:val="19"/>
          <w:color w:val="231F20"/>
        </w:rPr>
        <w:t>The higher interest rates of OID instruments reflect the payment deferral and increased credit risk associated with these instruments, and OID instruments generally represent a significantly higher credit risk than coupon loans. Even if the accounting conditions for income accrual are met, the borrower could still default when our actual collection is supposed to occur at the maturity of the obligation.</w:t>
      </w:r>
    </w:p>
    <w:p>
      <w:pPr>
        <w:spacing w:after="0" w:line="185" w:lineRule="exact"/>
        <w:rPr>
          <w:sz w:val="20"/>
          <w:szCs w:val="20"/>
          <w:color w:val="auto"/>
        </w:rPr>
      </w:pPr>
    </w:p>
    <w:p>
      <w:pPr>
        <w:ind w:right="240" w:firstLine="231"/>
        <w:spacing w:after="0" w:line="257" w:lineRule="auto"/>
        <w:rPr>
          <w:sz w:val="20"/>
          <w:szCs w:val="20"/>
          <w:color w:val="auto"/>
        </w:rPr>
      </w:pPr>
      <w:r>
        <w:rPr>
          <w:rFonts w:ascii="Times New Roman" w:cs="Times New Roman" w:eastAsia="Times New Roman" w:hAnsi="Times New Roman"/>
          <w:sz w:val="19"/>
          <w:szCs w:val="19"/>
          <w:color w:val="231F20"/>
        </w:rPr>
        <w:t>OID instruments may have unreliable valuations because their continuing accruals require continuing judgments about the collectability of the deferred payments and the value of any associated collateral. OID income may also create uncertainty about the source of our cash dividends.</w:t>
      </w:r>
    </w:p>
    <w:p>
      <w:pPr>
        <w:spacing w:after="0" w:line="176" w:lineRule="exact"/>
        <w:rPr>
          <w:sz w:val="20"/>
          <w:szCs w:val="20"/>
          <w:color w:val="auto"/>
        </w:rPr>
      </w:pPr>
    </w:p>
    <w:p>
      <w:pPr>
        <w:ind w:right="320" w:firstLine="231"/>
        <w:spacing w:after="0" w:line="250" w:lineRule="auto"/>
        <w:rPr>
          <w:sz w:val="20"/>
          <w:szCs w:val="20"/>
          <w:color w:val="auto"/>
        </w:rPr>
      </w:pPr>
      <w:r>
        <w:rPr>
          <w:rFonts w:ascii="Times New Roman" w:cs="Times New Roman" w:eastAsia="Times New Roman" w:hAnsi="Times New Roman"/>
          <w:sz w:val="19"/>
          <w:szCs w:val="19"/>
          <w:color w:val="231F20"/>
        </w:rPr>
        <w:t>For accounting purposes, any cash dividends to stockholders representing OID income are not treated as coming from paid-in capital, even if the cash to pay them comes from the proceeds of issuances of our common stock. As a result, despite the fact that a dividend representing OID income could be paid out of amounts invested by our stockholders, the 1940 Act does not require that stockholders be given notice of this fact by reporting it as a return of capital.</w:t>
      </w:r>
    </w:p>
    <w:p>
      <w:pPr>
        <w:spacing w:after="0" w:line="182" w:lineRule="exact"/>
        <w:rPr>
          <w:sz w:val="20"/>
          <w:szCs w:val="20"/>
          <w:color w:val="auto"/>
        </w:rPr>
      </w:pPr>
    </w:p>
    <w:p>
      <w:pPr>
        <w:jc w:val="both"/>
        <w:ind w:right="80" w:firstLine="231"/>
        <w:spacing w:after="0" w:line="252" w:lineRule="auto"/>
        <w:rPr>
          <w:sz w:val="20"/>
          <w:szCs w:val="20"/>
          <w:color w:val="auto"/>
        </w:rPr>
      </w:pPr>
      <w:r>
        <w:rPr>
          <w:rFonts w:ascii="Times New Roman" w:cs="Times New Roman" w:eastAsia="Times New Roman" w:hAnsi="Times New Roman"/>
          <w:sz w:val="19"/>
          <w:szCs w:val="19"/>
          <w:color w:val="231F20"/>
        </w:rPr>
        <w:t>Payment-in-kind, or PIK, interest has the effect of generating investment income at a compounding rate, thereby further increasing the Incentive Fees payable to the Adviser. Similarly, all things being equal, the deferral associated with PIK interest also increases the loan-to-value ratio at a compounding rate.</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231F20"/>
        </w:rPr>
        <w:t>Risks Related to Our Securities</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231F20"/>
        </w:rPr>
        <w:t>There is a risk that investors in our common stock may not receive dividends or that our dividends may not grow over time.</w:t>
      </w:r>
    </w:p>
    <w:p>
      <w:pPr>
        <w:spacing w:after="0" w:line="106" w:lineRule="exact"/>
        <w:rPr>
          <w:sz w:val="20"/>
          <w:szCs w:val="20"/>
          <w:color w:val="auto"/>
        </w:rPr>
      </w:pPr>
    </w:p>
    <w:p>
      <w:pPr>
        <w:ind w:right="40" w:firstLine="231"/>
        <w:spacing w:after="0" w:line="239" w:lineRule="auto"/>
        <w:rPr>
          <w:sz w:val="20"/>
          <w:szCs w:val="20"/>
          <w:color w:val="auto"/>
        </w:rPr>
      </w:pPr>
      <w:r>
        <w:rPr>
          <w:rFonts w:ascii="Times New Roman" w:cs="Times New Roman" w:eastAsia="Times New Roman" w:hAnsi="Times New Roman"/>
          <w:sz w:val="19"/>
          <w:szCs w:val="19"/>
          <w:color w:val="231F20"/>
        </w:rPr>
        <w:t>We intend to continue paying dividends on a quarterly basis to our stockholders out of assets legally available for distribution. We cannot assure you that we will achieve investment results or maintain a tax status that will allow or require any specified level of cash dividends or year-to-year increases in cash dividends. Our ability to pay dividends might be adversely affected by the impact of one or more of the risk factors described in this Annual Report. Due to the asset coverage test applicable to us under the 1940 Act as a BDC or restrictions under our credit facilities, we may be limited in our ability to pay dividends. Although a portion of our expected earnings and dividend distributions will be attributable to net interest income, we do not expect to generate capital gains from the sale of our portfolio investments on a level or uniform basis from quarter to quarter. This may result in substantial fluctuations in our quarterly dividend payments.</w:t>
      </w:r>
    </w:p>
    <w:p>
      <w:pPr>
        <w:spacing w:after="0" w:line="188" w:lineRule="exact"/>
        <w:rPr>
          <w:sz w:val="20"/>
          <w:szCs w:val="20"/>
          <w:color w:val="auto"/>
        </w:rPr>
      </w:pPr>
    </w:p>
    <w:p>
      <w:pPr>
        <w:ind w:right="120" w:firstLine="231"/>
        <w:spacing w:after="0" w:line="242" w:lineRule="auto"/>
        <w:rPr>
          <w:sz w:val="20"/>
          <w:szCs w:val="20"/>
          <w:color w:val="auto"/>
        </w:rPr>
      </w:pPr>
      <w:r>
        <w:rPr>
          <w:rFonts w:ascii="Times New Roman" w:cs="Times New Roman" w:eastAsia="Times New Roman" w:hAnsi="Times New Roman"/>
          <w:sz w:val="19"/>
          <w:szCs w:val="19"/>
          <w:color w:val="231F20"/>
        </w:rPr>
        <w:t>In some cases where we receive certain upfront fees in connection with loans we originate, we treat the loan as having OID under applicable accounting and tax regulations, even though we have received the corresponding cash. In other cases, however, we may recognize income before or without receiving the corresponding cash, including in connection with the accretion of OID. For other risks associated with debt obligations treated as having OID, see “</w:t>
      </w:r>
      <w:r>
        <w:rPr>
          <w:rFonts w:ascii="Times New Roman" w:cs="Times New Roman" w:eastAsia="Times New Roman" w:hAnsi="Times New Roman"/>
          <w:sz w:val="19"/>
          <w:szCs w:val="19"/>
          <w:i w:val="1"/>
          <w:iCs w:val="1"/>
          <w:color w:val="231F20"/>
        </w:rPr>
        <w:t>—Risks Related to Our Portfolio Company Investments—There are</w:t>
      </w:r>
      <w:r>
        <w:rPr>
          <w:rFonts w:ascii="Times New Roman" w:cs="Times New Roman" w:eastAsia="Times New Roman" w:hAnsi="Times New Roman"/>
          <w:sz w:val="19"/>
          <w:szCs w:val="19"/>
          <w:color w:val="231F20"/>
        </w:rPr>
        <w:t xml:space="preserve"> </w:t>
      </w:r>
      <w:r>
        <w:rPr>
          <w:rFonts w:ascii="Times New Roman" w:cs="Times New Roman" w:eastAsia="Times New Roman" w:hAnsi="Times New Roman"/>
          <w:sz w:val="19"/>
          <w:szCs w:val="19"/>
          <w:i w:val="1"/>
          <w:iCs w:val="1"/>
          <w:color w:val="231F20"/>
        </w:rPr>
        <w:t>certain risks associated with holding debt obligations that have original issue discount or payment-in-kind interest</w:t>
      </w:r>
      <w:r>
        <w:rPr>
          <w:rFonts w:ascii="Times New Roman" w:cs="Times New Roman" w:eastAsia="Times New Roman" w:hAnsi="Times New Roman"/>
          <w:sz w:val="19"/>
          <w:szCs w:val="19"/>
          <w:color w:val="231F20"/>
        </w:rPr>
        <w:t>.”</w:t>
      </w:r>
    </w:p>
    <w:p>
      <w:pPr>
        <w:spacing w:after="0" w:line="189" w:lineRule="exact"/>
        <w:rPr>
          <w:sz w:val="20"/>
          <w:szCs w:val="20"/>
          <w:color w:val="auto"/>
        </w:rPr>
      </w:pPr>
    </w:p>
    <w:p>
      <w:pPr>
        <w:ind w:firstLine="231"/>
        <w:spacing w:after="0" w:line="241" w:lineRule="auto"/>
        <w:rPr>
          <w:sz w:val="20"/>
          <w:szCs w:val="20"/>
          <w:color w:val="auto"/>
        </w:rPr>
      </w:pPr>
      <w:r>
        <w:rPr>
          <w:rFonts w:ascii="Times New Roman" w:cs="Times New Roman" w:eastAsia="Times New Roman" w:hAnsi="Times New Roman"/>
          <w:sz w:val="19"/>
          <w:szCs w:val="19"/>
          <w:color w:val="231F20"/>
        </w:rPr>
        <w:t>Therefore, we may be required to make a distribution to our stockholders in order to satisfy the annual distribution requirement necessary to qualify for and maintain RIC tax treatment under Subchapter M of the Code, even though we may not have received the corresponding cash amount. Accordingly, we may have to sell investments at times we would not otherwise consider advantageous, raise additional debt or equity capital or reduce new investment originations to meet these distribution requirements for this purpose. If we are not able to obtain cash from other sources, we may fail to qualify as a RIC and thereby be subject to corporate-level income tax.</w:t>
      </w:r>
    </w:p>
    <w:p>
      <w:pPr>
        <w:spacing w:after="0" w:line="187" w:lineRule="exact"/>
        <w:rPr>
          <w:sz w:val="20"/>
          <w:szCs w:val="20"/>
          <w:color w:val="auto"/>
        </w:rPr>
      </w:pPr>
    </w:p>
    <w:p>
      <w:pPr>
        <w:ind w:right="40" w:firstLine="231"/>
        <w:spacing w:after="0" w:line="272" w:lineRule="auto"/>
        <w:rPr>
          <w:sz w:val="20"/>
          <w:szCs w:val="20"/>
          <w:color w:val="auto"/>
        </w:rPr>
      </w:pPr>
      <w:r>
        <w:rPr>
          <w:rFonts w:ascii="Times New Roman" w:cs="Times New Roman" w:eastAsia="Times New Roman" w:hAnsi="Times New Roman"/>
          <w:sz w:val="18"/>
          <w:szCs w:val="18"/>
          <w:color w:val="231F20"/>
        </w:rPr>
        <w:t>To the extent that the amounts distributed by us exceed our current and accumulated earnings and profits, these excess distributions will be treated first as a return of capital to the extent of a stockholder’s tax basis in his or her shares and then as capital gain. Reducing a stockholder’s tax basis will have the effect of increasing his or her gain (or reducing loss) on a subsequent sale of shares.</w:t>
      </w:r>
    </w:p>
    <w:p>
      <w:pPr>
        <w:spacing w:after="0" w:line="161" w:lineRule="exact"/>
        <w:rPr>
          <w:sz w:val="20"/>
          <w:szCs w:val="20"/>
          <w:color w:val="auto"/>
        </w:rPr>
      </w:pPr>
    </w:p>
    <w:p>
      <w:pPr>
        <w:ind w:right="20" w:firstLine="231"/>
        <w:spacing w:after="0" w:line="241" w:lineRule="auto"/>
        <w:rPr>
          <w:sz w:val="20"/>
          <w:szCs w:val="20"/>
          <w:color w:val="auto"/>
        </w:rPr>
      </w:pPr>
      <w:r>
        <w:rPr>
          <w:rFonts w:ascii="Times New Roman" w:cs="Times New Roman" w:eastAsia="Times New Roman" w:hAnsi="Times New Roman"/>
          <w:sz w:val="19"/>
          <w:szCs w:val="19"/>
          <w:color w:val="231F20"/>
        </w:rPr>
        <w:t>The part of the Incentive Fee payable by us that relates to our net investment income is computed and paid on income that may include interest that has been accrued but not yet received in cash. If a portfolio company defaults on a loan, it is possible that accrued interest previously used in the calculation of the Incentive Fee will become uncollectible. Consequently, while we may make Incentive Fee payments on income accruals that we may not collect in the future and with respect to which we do not have a clawback right against our Adviser, the amount of accrued income written off in any period will reduce the income in the period in which the write-off is taken and thereby reduce that period’s Incentive Fee payment, if any.</w:t>
      </w:r>
    </w:p>
    <w:p>
      <w:pPr>
        <w:sectPr>
          <w:pgSz w:w="12240" w:h="15840" w:orient="portrait"/>
          <w:cols w:equalWidth="0" w:num="1">
            <w:col w:w="10200"/>
          </w:cols>
          <w:pgMar w:left="1020" w:top="1319" w:right="1020" w:bottom="574" w:gutter="0" w:footer="0" w:header="0"/>
        </w:sect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231F20"/>
        </w:rPr>
        <w:t>50</w:t>
      </w:r>
    </w:p>
    <w:p>
      <w:pPr>
        <w:sectPr>
          <w:pgSz w:w="12240" w:h="15840" w:orient="portrait"/>
          <w:cols w:equalWidth="0" w:num="1">
            <w:col w:w="10200"/>
          </w:cols>
          <w:pgMar w:left="1020" w:top="1319" w:right="1020" w:bottom="574" w:gutter="0" w:footer="0" w:header="0"/>
          <w:type w:val="continuous"/>
        </w:sectPr>
      </w:pPr>
    </w:p>
    <w:bookmarkStart w:id="50" w:name="page51"/>
    <w:bookmarkEnd w:id="50"/>
    <w:p>
      <w:pPr>
        <w:ind w:firstLine="231"/>
        <w:spacing w:after="0" w:line="246" w:lineRule="auto"/>
        <w:rPr>
          <w:sz w:val="20"/>
          <w:szCs w:val="20"/>
          <w:color w:val="auto"/>
        </w:rPr>
      </w:pPr>
      <w:r>
        <w:rPr>
          <w:rFonts w:ascii="Times New Roman" w:cs="Times New Roman" w:eastAsia="Times New Roman" w:hAnsi="Times New Roman"/>
          <w:sz w:val="19"/>
          <w:szCs w:val="19"/>
          <w:color w:val="231F20"/>
        </w:rPr>
        <w:t>In addition, the middle-market companies in which we intend to invest may be more susceptible to economic downturns than larger operating companies, and therefore may be more likely to default on their payment obligations to us during recessionary periods. Any such defaults could substantially reduce our net investment income available for distribution in the form of dividends to our stockholders.</w:t>
      </w: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231F20"/>
        </w:rPr>
        <w:t>Investing in our securities may involve a high degree of risk.</w:t>
      </w:r>
    </w:p>
    <w:p>
      <w:pPr>
        <w:spacing w:after="0" w:line="106" w:lineRule="exact"/>
        <w:rPr>
          <w:sz w:val="20"/>
          <w:szCs w:val="20"/>
          <w:color w:val="auto"/>
        </w:rPr>
      </w:pPr>
    </w:p>
    <w:p>
      <w:pPr>
        <w:ind w:right="540" w:firstLine="231"/>
        <w:spacing w:after="0" w:line="272" w:lineRule="auto"/>
        <w:rPr>
          <w:sz w:val="20"/>
          <w:szCs w:val="20"/>
          <w:color w:val="auto"/>
        </w:rPr>
      </w:pPr>
      <w:r>
        <w:rPr>
          <w:rFonts w:ascii="Times New Roman" w:cs="Times New Roman" w:eastAsia="Times New Roman" w:hAnsi="Times New Roman"/>
          <w:sz w:val="18"/>
          <w:szCs w:val="18"/>
          <w:color w:val="231F20"/>
        </w:rPr>
        <w:t>The investments we make in accordance with our investment objective may result in a higher amount of risk than alternative investment options and volatility or loss of principal. Our investments in portfolio companies may be highly speculative and aggressive and, therefore, an investment in our securities may not be suitable for someone with lower risk tolerance.</w:t>
      </w:r>
    </w:p>
    <w:p>
      <w:pPr>
        <w:spacing w:after="0" w:line="27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231F20"/>
        </w:rPr>
        <w:t>The market price of our common stock may fluctuate significantly.</w:t>
      </w:r>
    </w:p>
    <w:p>
      <w:pPr>
        <w:spacing w:after="0" w:line="106" w:lineRule="exact"/>
        <w:rPr>
          <w:sz w:val="20"/>
          <w:szCs w:val="20"/>
          <w:color w:val="auto"/>
        </w:rPr>
      </w:pPr>
    </w:p>
    <w:p>
      <w:pPr>
        <w:ind w:right="260" w:firstLine="231"/>
        <w:spacing w:after="0" w:line="299" w:lineRule="auto"/>
        <w:rPr>
          <w:sz w:val="20"/>
          <w:szCs w:val="20"/>
          <w:color w:val="auto"/>
        </w:rPr>
      </w:pPr>
      <w:r>
        <w:rPr>
          <w:rFonts w:ascii="Times New Roman" w:cs="Times New Roman" w:eastAsia="Times New Roman" w:hAnsi="Times New Roman"/>
          <w:sz w:val="18"/>
          <w:szCs w:val="18"/>
          <w:color w:val="231F20"/>
        </w:rPr>
        <w:t>The market price and liquidity of the market for shares of our common stock may be significantly affected by numerous factors, some of which are beyond our control and may not be directly related to our operating performance. These factors include:</w:t>
      </w:r>
    </w:p>
    <w:p>
      <w:pPr>
        <w:spacing w:after="0" w:line="37" w:lineRule="exact"/>
        <w:rPr>
          <w:sz w:val="20"/>
          <w:szCs w:val="20"/>
          <w:color w:val="auto"/>
        </w:rPr>
      </w:pPr>
    </w:p>
    <w:p>
      <w:pPr>
        <w:ind w:left="460" w:right="20" w:hanging="229"/>
        <w:spacing w:after="0" w:line="269" w:lineRule="auto"/>
        <w:tabs>
          <w:tab w:leader="none" w:pos="460" w:val="left"/>
        </w:tabs>
        <w:numPr>
          <w:ilvl w:val="0"/>
          <w:numId w:val="48"/>
        </w:numPr>
        <w:rPr>
          <w:rFonts w:ascii="Arial" w:cs="Arial" w:eastAsia="Arial" w:hAnsi="Arial"/>
          <w:sz w:val="19"/>
          <w:szCs w:val="19"/>
          <w:color w:val="231F20"/>
        </w:rPr>
      </w:pPr>
      <w:r>
        <w:rPr>
          <w:rFonts w:ascii="Times New Roman" w:cs="Times New Roman" w:eastAsia="Times New Roman" w:hAnsi="Times New Roman"/>
          <w:sz w:val="19"/>
          <w:szCs w:val="19"/>
          <w:color w:val="231F20"/>
        </w:rPr>
        <w:t>significant volatility in the market price and trading volume of securities of BDCs or other companies in our sector, which is not necessarily related to the operating performance of these companies;</w:t>
      </w:r>
    </w:p>
    <w:p>
      <w:pPr>
        <w:spacing w:after="0" w:line="61" w:lineRule="exact"/>
        <w:rPr>
          <w:rFonts w:ascii="Arial" w:cs="Arial" w:eastAsia="Arial" w:hAnsi="Arial"/>
          <w:sz w:val="19"/>
          <w:szCs w:val="19"/>
          <w:color w:val="231F20"/>
        </w:rPr>
      </w:pPr>
    </w:p>
    <w:p>
      <w:pPr>
        <w:ind w:left="460" w:hanging="229"/>
        <w:spacing w:after="0"/>
        <w:tabs>
          <w:tab w:leader="none" w:pos="460" w:val="left"/>
        </w:tabs>
        <w:numPr>
          <w:ilvl w:val="0"/>
          <w:numId w:val="48"/>
        </w:numPr>
        <w:rPr>
          <w:rFonts w:ascii="Arial" w:cs="Arial" w:eastAsia="Arial" w:hAnsi="Arial"/>
          <w:sz w:val="19"/>
          <w:szCs w:val="19"/>
          <w:color w:val="231F20"/>
        </w:rPr>
      </w:pPr>
      <w:r>
        <w:rPr>
          <w:rFonts w:ascii="Times New Roman" w:cs="Times New Roman" w:eastAsia="Times New Roman" w:hAnsi="Times New Roman"/>
          <w:sz w:val="19"/>
          <w:szCs w:val="19"/>
          <w:color w:val="231F20"/>
        </w:rPr>
        <w:t>changes in regulatory policies or tax guidelines, particularly with respect to RICs or BDCs;</w:t>
      </w:r>
    </w:p>
    <w:p>
      <w:pPr>
        <w:spacing w:after="0" w:line="123" w:lineRule="exact"/>
        <w:rPr>
          <w:rFonts w:ascii="Arial" w:cs="Arial" w:eastAsia="Arial" w:hAnsi="Arial"/>
          <w:sz w:val="19"/>
          <w:szCs w:val="19"/>
          <w:color w:val="231F20"/>
        </w:rPr>
      </w:pPr>
    </w:p>
    <w:p>
      <w:pPr>
        <w:ind w:left="460" w:right="100" w:hanging="229"/>
        <w:spacing w:after="0" w:line="274" w:lineRule="auto"/>
        <w:tabs>
          <w:tab w:leader="none" w:pos="460" w:val="left"/>
        </w:tabs>
        <w:numPr>
          <w:ilvl w:val="0"/>
          <w:numId w:val="48"/>
        </w:numPr>
        <w:rPr>
          <w:rFonts w:ascii="Arial" w:cs="Arial" w:eastAsia="Arial" w:hAnsi="Arial"/>
          <w:sz w:val="19"/>
          <w:szCs w:val="19"/>
          <w:color w:val="231F20"/>
        </w:rPr>
      </w:pPr>
      <w:r>
        <w:rPr>
          <w:rFonts w:ascii="Times New Roman" w:cs="Times New Roman" w:eastAsia="Times New Roman" w:hAnsi="Times New Roman"/>
          <w:sz w:val="19"/>
          <w:szCs w:val="19"/>
          <w:color w:val="231F20"/>
        </w:rPr>
        <w:t>the exclusion of BDC common stock from certain market indices, which could reduce the ability of certain investment funds to own our common stock and put short term selling pressure on our common stock;</w:t>
      </w:r>
    </w:p>
    <w:p>
      <w:pPr>
        <w:spacing w:after="0" w:line="61" w:lineRule="exact"/>
        <w:rPr>
          <w:rFonts w:ascii="Arial" w:cs="Arial" w:eastAsia="Arial" w:hAnsi="Arial"/>
          <w:sz w:val="19"/>
          <w:szCs w:val="19"/>
          <w:color w:val="231F20"/>
        </w:rPr>
      </w:pPr>
    </w:p>
    <w:p>
      <w:pPr>
        <w:ind w:left="460" w:hanging="229"/>
        <w:spacing w:after="0"/>
        <w:tabs>
          <w:tab w:leader="none" w:pos="460" w:val="left"/>
        </w:tabs>
        <w:numPr>
          <w:ilvl w:val="0"/>
          <w:numId w:val="48"/>
        </w:numPr>
        <w:rPr>
          <w:rFonts w:ascii="Arial" w:cs="Arial" w:eastAsia="Arial" w:hAnsi="Arial"/>
          <w:sz w:val="19"/>
          <w:szCs w:val="19"/>
          <w:color w:val="231F20"/>
        </w:rPr>
      </w:pPr>
      <w:r>
        <w:rPr>
          <w:rFonts w:ascii="Times New Roman" w:cs="Times New Roman" w:eastAsia="Times New Roman" w:hAnsi="Times New Roman"/>
          <w:sz w:val="19"/>
          <w:szCs w:val="19"/>
          <w:color w:val="231F20"/>
        </w:rPr>
        <w:t>loss of RIC or BDC status;</w:t>
      </w:r>
    </w:p>
    <w:p>
      <w:pPr>
        <w:spacing w:after="0" w:line="124" w:lineRule="exact"/>
        <w:rPr>
          <w:rFonts w:ascii="Arial" w:cs="Arial" w:eastAsia="Arial" w:hAnsi="Arial"/>
          <w:sz w:val="19"/>
          <w:szCs w:val="19"/>
          <w:color w:val="231F20"/>
        </w:rPr>
      </w:pPr>
    </w:p>
    <w:p>
      <w:pPr>
        <w:ind w:left="460" w:hanging="229"/>
        <w:spacing w:after="0"/>
        <w:tabs>
          <w:tab w:leader="none" w:pos="460" w:val="left"/>
        </w:tabs>
        <w:numPr>
          <w:ilvl w:val="0"/>
          <w:numId w:val="48"/>
        </w:numPr>
        <w:rPr>
          <w:rFonts w:ascii="Arial" w:cs="Arial" w:eastAsia="Arial" w:hAnsi="Arial"/>
          <w:sz w:val="19"/>
          <w:szCs w:val="19"/>
          <w:color w:val="231F20"/>
        </w:rPr>
      </w:pPr>
      <w:r>
        <w:rPr>
          <w:rFonts w:ascii="Times New Roman" w:cs="Times New Roman" w:eastAsia="Times New Roman" w:hAnsi="Times New Roman"/>
          <w:sz w:val="19"/>
          <w:szCs w:val="19"/>
          <w:color w:val="231F20"/>
        </w:rPr>
        <w:t>changes or perceived changes in earnings or variations in operating results;</w:t>
      </w:r>
    </w:p>
    <w:p>
      <w:pPr>
        <w:spacing w:after="0" w:line="124" w:lineRule="exact"/>
        <w:rPr>
          <w:rFonts w:ascii="Arial" w:cs="Arial" w:eastAsia="Arial" w:hAnsi="Arial"/>
          <w:sz w:val="19"/>
          <w:szCs w:val="19"/>
          <w:color w:val="231F20"/>
        </w:rPr>
      </w:pPr>
    </w:p>
    <w:p>
      <w:pPr>
        <w:ind w:left="460" w:hanging="229"/>
        <w:spacing w:after="0"/>
        <w:tabs>
          <w:tab w:leader="none" w:pos="460" w:val="left"/>
        </w:tabs>
        <w:numPr>
          <w:ilvl w:val="0"/>
          <w:numId w:val="48"/>
        </w:numPr>
        <w:rPr>
          <w:rFonts w:ascii="Arial" w:cs="Arial" w:eastAsia="Arial" w:hAnsi="Arial"/>
          <w:sz w:val="19"/>
          <w:szCs w:val="19"/>
          <w:color w:val="231F20"/>
        </w:rPr>
      </w:pPr>
      <w:r>
        <w:rPr>
          <w:rFonts w:ascii="Times New Roman" w:cs="Times New Roman" w:eastAsia="Times New Roman" w:hAnsi="Times New Roman"/>
          <w:sz w:val="19"/>
          <w:szCs w:val="19"/>
          <w:color w:val="231F20"/>
        </w:rPr>
        <w:t>changes in our portfolio of investments;</w:t>
      </w:r>
    </w:p>
    <w:p>
      <w:pPr>
        <w:spacing w:after="0" w:line="124" w:lineRule="exact"/>
        <w:rPr>
          <w:rFonts w:ascii="Arial" w:cs="Arial" w:eastAsia="Arial" w:hAnsi="Arial"/>
          <w:sz w:val="19"/>
          <w:szCs w:val="19"/>
          <w:color w:val="231F20"/>
        </w:rPr>
      </w:pPr>
    </w:p>
    <w:p>
      <w:pPr>
        <w:ind w:left="460" w:hanging="229"/>
        <w:spacing w:after="0"/>
        <w:tabs>
          <w:tab w:leader="none" w:pos="460" w:val="left"/>
        </w:tabs>
        <w:numPr>
          <w:ilvl w:val="0"/>
          <w:numId w:val="48"/>
        </w:numPr>
        <w:rPr>
          <w:rFonts w:ascii="Arial" w:cs="Arial" w:eastAsia="Arial" w:hAnsi="Arial"/>
          <w:sz w:val="19"/>
          <w:szCs w:val="19"/>
          <w:color w:val="231F20"/>
        </w:rPr>
      </w:pPr>
      <w:r>
        <w:rPr>
          <w:rFonts w:ascii="Times New Roman" w:cs="Times New Roman" w:eastAsia="Times New Roman" w:hAnsi="Times New Roman"/>
          <w:sz w:val="19"/>
          <w:szCs w:val="19"/>
          <w:color w:val="231F20"/>
        </w:rPr>
        <w:t>changes or perceived changes in the value of our portfolio of investments;</w:t>
      </w:r>
    </w:p>
    <w:p>
      <w:pPr>
        <w:spacing w:after="0" w:line="124" w:lineRule="exact"/>
        <w:rPr>
          <w:rFonts w:ascii="Arial" w:cs="Arial" w:eastAsia="Arial" w:hAnsi="Arial"/>
          <w:sz w:val="19"/>
          <w:szCs w:val="19"/>
          <w:color w:val="231F20"/>
        </w:rPr>
      </w:pPr>
    </w:p>
    <w:p>
      <w:pPr>
        <w:ind w:left="460" w:hanging="229"/>
        <w:spacing w:after="0"/>
        <w:tabs>
          <w:tab w:leader="none" w:pos="460" w:val="left"/>
        </w:tabs>
        <w:numPr>
          <w:ilvl w:val="0"/>
          <w:numId w:val="48"/>
        </w:numPr>
        <w:rPr>
          <w:rFonts w:ascii="Arial" w:cs="Arial" w:eastAsia="Arial" w:hAnsi="Arial"/>
          <w:sz w:val="19"/>
          <w:szCs w:val="19"/>
          <w:color w:val="231F20"/>
        </w:rPr>
      </w:pPr>
      <w:r>
        <w:rPr>
          <w:rFonts w:ascii="Times New Roman" w:cs="Times New Roman" w:eastAsia="Times New Roman" w:hAnsi="Times New Roman"/>
          <w:sz w:val="19"/>
          <w:szCs w:val="19"/>
          <w:color w:val="231F20"/>
        </w:rPr>
        <w:t>changes in accounting guidelines governing valuation of our investments;</w:t>
      </w:r>
    </w:p>
    <w:p>
      <w:pPr>
        <w:spacing w:after="0" w:line="124" w:lineRule="exact"/>
        <w:rPr>
          <w:rFonts w:ascii="Arial" w:cs="Arial" w:eastAsia="Arial" w:hAnsi="Arial"/>
          <w:sz w:val="19"/>
          <w:szCs w:val="19"/>
          <w:color w:val="231F20"/>
        </w:rPr>
      </w:pPr>
    </w:p>
    <w:p>
      <w:pPr>
        <w:ind w:left="460" w:hanging="229"/>
        <w:spacing w:after="0"/>
        <w:tabs>
          <w:tab w:leader="none" w:pos="460" w:val="left"/>
        </w:tabs>
        <w:numPr>
          <w:ilvl w:val="0"/>
          <w:numId w:val="48"/>
        </w:numPr>
        <w:rPr>
          <w:rFonts w:ascii="Arial" w:cs="Arial" w:eastAsia="Arial" w:hAnsi="Arial"/>
          <w:sz w:val="19"/>
          <w:szCs w:val="19"/>
          <w:color w:val="231F20"/>
        </w:rPr>
      </w:pPr>
      <w:r>
        <w:rPr>
          <w:rFonts w:ascii="Times New Roman" w:cs="Times New Roman" w:eastAsia="Times New Roman" w:hAnsi="Times New Roman"/>
          <w:sz w:val="19"/>
          <w:szCs w:val="19"/>
          <w:color w:val="231F20"/>
        </w:rPr>
        <w:t>any shortfall in revenue or net income or any increase in losses from levels expected by investors or securities analysts;</w:t>
      </w:r>
    </w:p>
    <w:p>
      <w:pPr>
        <w:spacing w:after="0" w:line="124" w:lineRule="exact"/>
        <w:rPr>
          <w:rFonts w:ascii="Arial" w:cs="Arial" w:eastAsia="Arial" w:hAnsi="Arial"/>
          <w:sz w:val="19"/>
          <w:szCs w:val="19"/>
          <w:color w:val="231F20"/>
        </w:rPr>
      </w:pPr>
    </w:p>
    <w:p>
      <w:pPr>
        <w:ind w:left="460" w:hanging="229"/>
        <w:spacing w:after="0"/>
        <w:tabs>
          <w:tab w:leader="none" w:pos="460" w:val="left"/>
        </w:tabs>
        <w:numPr>
          <w:ilvl w:val="0"/>
          <w:numId w:val="48"/>
        </w:numPr>
        <w:rPr>
          <w:rFonts w:ascii="Arial" w:cs="Arial" w:eastAsia="Arial" w:hAnsi="Arial"/>
          <w:sz w:val="19"/>
          <w:szCs w:val="19"/>
          <w:color w:val="231F20"/>
        </w:rPr>
      </w:pPr>
      <w:r>
        <w:rPr>
          <w:rFonts w:ascii="Times New Roman" w:cs="Times New Roman" w:eastAsia="Times New Roman" w:hAnsi="Times New Roman"/>
          <w:sz w:val="19"/>
          <w:szCs w:val="19"/>
          <w:color w:val="231F20"/>
        </w:rPr>
        <w:t>any downgrades to our credit rating or placement on a negative watch status by a credit rating agency;</w:t>
      </w:r>
    </w:p>
    <w:p>
      <w:pPr>
        <w:spacing w:after="0" w:line="124" w:lineRule="exact"/>
        <w:rPr>
          <w:rFonts w:ascii="Arial" w:cs="Arial" w:eastAsia="Arial" w:hAnsi="Arial"/>
          <w:sz w:val="19"/>
          <w:szCs w:val="19"/>
          <w:color w:val="231F20"/>
        </w:rPr>
      </w:pPr>
    </w:p>
    <w:p>
      <w:pPr>
        <w:ind w:left="460" w:hanging="229"/>
        <w:spacing w:after="0"/>
        <w:tabs>
          <w:tab w:leader="none" w:pos="460" w:val="left"/>
        </w:tabs>
        <w:numPr>
          <w:ilvl w:val="0"/>
          <w:numId w:val="48"/>
        </w:numPr>
        <w:rPr>
          <w:rFonts w:ascii="Arial" w:cs="Arial" w:eastAsia="Arial" w:hAnsi="Arial"/>
          <w:sz w:val="19"/>
          <w:szCs w:val="19"/>
          <w:color w:val="231F20"/>
        </w:rPr>
      </w:pPr>
      <w:r>
        <w:rPr>
          <w:rFonts w:ascii="Times New Roman" w:cs="Times New Roman" w:eastAsia="Times New Roman" w:hAnsi="Times New Roman"/>
          <w:sz w:val="19"/>
          <w:szCs w:val="19"/>
          <w:color w:val="231F20"/>
        </w:rPr>
        <w:t>departure of the Adviser’s or any of its affiliates’ key personnel;</w:t>
      </w:r>
    </w:p>
    <w:p>
      <w:pPr>
        <w:spacing w:after="0" w:line="124" w:lineRule="exact"/>
        <w:rPr>
          <w:rFonts w:ascii="Arial" w:cs="Arial" w:eastAsia="Arial" w:hAnsi="Arial"/>
          <w:sz w:val="19"/>
          <w:szCs w:val="19"/>
          <w:color w:val="231F20"/>
        </w:rPr>
      </w:pPr>
    </w:p>
    <w:p>
      <w:pPr>
        <w:ind w:left="460" w:hanging="229"/>
        <w:spacing w:after="0"/>
        <w:tabs>
          <w:tab w:leader="none" w:pos="460" w:val="left"/>
        </w:tabs>
        <w:numPr>
          <w:ilvl w:val="0"/>
          <w:numId w:val="48"/>
        </w:numPr>
        <w:rPr>
          <w:rFonts w:ascii="Arial" w:cs="Arial" w:eastAsia="Arial" w:hAnsi="Arial"/>
          <w:sz w:val="19"/>
          <w:szCs w:val="19"/>
          <w:color w:val="231F20"/>
        </w:rPr>
      </w:pPr>
      <w:r>
        <w:rPr>
          <w:rFonts w:ascii="Times New Roman" w:cs="Times New Roman" w:eastAsia="Times New Roman" w:hAnsi="Times New Roman"/>
          <w:sz w:val="19"/>
          <w:szCs w:val="19"/>
          <w:color w:val="231F20"/>
        </w:rPr>
        <w:t>operating performance of companies comparable to us;</w:t>
      </w:r>
    </w:p>
    <w:p>
      <w:pPr>
        <w:spacing w:after="0" w:line="124" w:lineRule="exact"/>
        <w:rPr>
          <w:rFonts w:ascii="Arial" w:cs="Arial" w:eastAsia="Arial" w:hAnsi="Arial"/>
          <w:sz w:val="19"/>
          <w:szCs w:val="19"/>
          <w:color w:val="231F20"/>
        </w:rPr>
      </w:pPr>
    </w:p>
    <w:p>
      <w:pPr>
        <w:ind w:left="460" w:hanging="229"/>
        <w:spacing w:after="0"/>
        <w:tabs>
          <w:tab w:leader="none" w:pos="460" w:val="left"/>
        </w:tabs>
        <w:numPr>
          <w:ilvl w:val="0"/>
          <w:numId w:val="48"/>
        </w:numPr>
        <w:rPr>
          <w:rFonts w:ascii="Arial" w:cs="Arial" w:eastAsia="Arial" w:hAnsi="Arial"/>
          <w:sz w:val="19"/>
          <w:szCs w:val="19"/>
          <w:color w:val="231F20"/>
        </w:rPr>
      </w:pPr>
      <w:r>
        <w:rPr>
          <w:rFonts w:ascii="Times New Roman" w:cs="Times New Roman" w:eastAsia="Times New Roman" w:hAnsi="Times New Roman"/>
          <w:sz w:val="19"/>
          <w:szCs w:val="19"/>
          <w:color w:val="231F20"/>
        </w:rPr>
        <w:t>short-selling pressure with respect to shares of our common stock or BDCs generally;</w:t>
      </w:r>
    </w:p>
    <w:p>
      <w:pPr>
        <w:spacing w:after="0" w:line="124" w:lineRule="exact"/>
        <w:rPr>
          <w:rFonts w:ascii="Arial" w:cs="Arial" w:eastAsia="Arial" w:hAnsi="Arial"/>
          <w:sz w:val="19"/>
          <w:szCs w:val="19"/>
          <w:color w:val="231F20"/>
        </w:rPr>
      </w:pPr>
    </w:p>
    <w:p>
      <w:pPr>
        <w:ind w:left="460" w:right="300" w:hanging="229"/>
        <w:spacing w:after="0" w:line="274" w:lineRule="auto"/>
        <w:tabs>
          <w:tab w:leader="none" w:pos="460" w:val="left"/>
        </w:tabs>
        <w:numPr>
          <w:ilvl w:val="0"/>
          <w:numId w:val="48"/>
        </w:numPr>
        <w:rPr>
          <w:rFonts w:ascii="Arial" w:cs="Arial" w:eastAsia="Arial" w:hAnsi="Arial"/>
          <w:sz w:val="19"/>
          <w:szCs w:val="19"/>
          <w:color w:val="231F20"/>
        </w:rPr>
      </w:pPr>
      <w:r>
        <w:rPr>
          <w:rFonts w:ascii="Times New Roman" w:cs="Times New Roman" w:eastAsia="Times New Roman" w:hAnsi="Times New Roman"/>
          <w:sz w:val="19"/>
          <w:szCs w:val="19"/>
          <w:color w:val="231F20"/>
        </w:rPr>
        <w:t>future sales of our securities convertible into or exchangeable or exercisable for our common stock or the conversion of such securities;</w:t>
      </w:r>
    </w:p>
    <w:p>
      <w:pPr>
        <w:spacing w:after="0" w:line="61" w:lineRule="exact"/>
        <w:rPr>
          <w:rFonts w:ascii="Arial" w:cs="Arial" w:eastAsia="Arial" w:hAnsi="Arial"/>
          <w:sz w:val="19"/>
          <w:szCs w:val="19"/>
          <w:color w:val="231F20"/>
        </w:rPr>
      </w:pPr>
    </w:p>
    <w:p>
      <w:pPr>
        <w:ind w:left="460" w:hanging="229"/>
        <w:spacing w:after="0"/>
        <w:tabs>
          <w:tab w:leader="none" w:pos="460" w:val="left"/>
        </w:tabs>
        <w:numPr>
          <w:ilvl w:val="0"/>
          <w:numId w:val="48"/>
        </w:numPr>
        <w:rPr>
          <w:rFonts w:ascii="Arial" w:cs="Arial" w:eastAsia="Arial" w:hAnsi="Arial"/>
          <w:sz w:val="19"/>
          <w:szCs w:val="19"/>
          <w:color w:val="231F20"/>
        </w:rPr>
      </w:pPr>
      <w:r>
        <w:rPr>
          <w:rFonts w:ascii="Times New Roman" w:cs="Times New Roman" w:eastAsia="Times New Roman" w:hAnsi="Times New Roman"/>
          <w:sz w:val="19"/>
          <w:szCs w:val="19"/>
          <w:color w:val="231F20"/>
        </w:rPr>
        <w:t>uncertainty surrounding the strength of the U.S. economy;</w:t>
      </w:r>
    </w:p>
    <w:p>
      <w:pPr>
        <w:spacing w:after="0" w:line="124" w:lineRule="exact"/>
        <w:rPr>
          <w:rFonts w:ascii="Arial" w:cs="Arial" w:eastAsia="Arial" w:hAnsi="Arial"/>
          <w:sz w:val="19"/>
          <w:szCs w:val="19"/>
          <w:color w:val="231F20"/>
        </w:rPr>
      </w:pPr>
    </w:p>
    <w:p>
      <w:pPr>
        <w:ind w:left="460" w:hanging="229"/>
        <w:spacing w:after="0"/>
        <w:tabs>
          <w:tab w:leader="none" w:pos="460" w:val="left"/>
        </w:tabs>
        <w:numPr>
          <w:ilvl w:val="0"/>
          <w:numId w:val="48"/>
        </w:numPr>
        <w:rPr>
          <w:rFonts w:ascii="Arial" w:cs="Arial" w:eastAsia="Arial" w:hAnsi="Arial"/>
          <w:sz w:val="19"/>
          <w:szCs w:val="19"/>
          <w:color w:val="231F20"/>
        </w:rPr>
      </w:pPr>
      <w:r>
        <w:rPr>
          <w:rFonts w:ascii="Times New Roman" w:cs="Times New Roman" w:eastAsia="Times New Roman" w:hAnsi="Times New Roman"/>
          <w:sz w:val="19"/>
          <w:szCs w:val="19"/>
          <w:color w:val="231F20"/>
        </w:rPr>
        <w:t>concerns regarding European sovereign debt and Brexit;</w:t>
      </w:r>
    </w:p>
    <w:p>
      <w:pPr>
        <w:spacing w:after="0" w:line="124" w:lineRule="exact"/>
        <w:rPr>
          <w:rFonts w:ascii="Arial" w:cs="Arial" w:eastAsia="Arial" w:hAnsi="Arial"/>
          <w:sz w:val="19"/>
          <w:szCs w:val="19"/>
          <w:color w:val="231F20"/>
        </w:rPr>
      </w:pPr>
    </w:p>
    <w:p>
      <w:pPr>
        <w:ind w:left="460" w:hanging="229"/>
        <w:spacing w:after="0"/>
        <w:tabs>
          <w:tab w:leader="none" w:pos="460" w:val="left"/>
        </w:tabs>
        <w:numPr>
          <w:ilvl w:val="0"/>
          <w:numId w:val="48"/>
        </w:numPr>
        <w:rPr>
          <w:rFonts w:ascii="Arial" w:cs="Arial" w:eastAsia="Arial" w:hAnsi="Arial"/>
          <w:sz w:val="19"/>
          <w:szCs w:val="19"/>
          <w:color w:val="231F20"/>
        </w:rPr>
      </w:pPr>
      <w:r>
        <w:rPr>
          <w:rFonts w:ascii="Times New Roman" w:cs="Times New Roman" w:eastAsia="Times New Roman" w:hAnsi="Times New Roman"/>
          <w:sz w:val="19"/>
          <w:szCs w:val="19"/>
          <w:color w:val="231F20"/>
        </w:rPr>
        <w:t>concerns regarding volatility in the Chinese stock market and Chinese currency;</w:t>
      </w:r>
    </w:p>
    <w:p>
      <w:pPr>
        <w:spacing w:after="0" w:line="124" w:lineRule="exact"/>
        <w:rPr>
          <w:rFonts w:ascii="Arial" w:cs="Arial" w:eastAsia="Arial" w:hAnsi="Arial"/>
          <w:sz w:val="19"/>
          <w:szCs w:val="19"/>
          <w:color w:val="231F20"/>
        </w:rPr>
      </w:pPr>
    </w:p>
    <w:p>
      <w:pPr>
        <w:ind w:left="460" w:hanging="229"/>
        <w:spacing w:after="0"/>
        <w:tabs>
          <w:tab w:leader="none" w:pos="460" w:val="left"/>
        </w:tabs>
        <w:numPr>
          <w:ilvl w:val="0"/>
          <w:numId w:val="48"/>
        </w:numPr>
        <w:rPr>
          <w:rFonts w:ascii="Arial" w:cs="Arial" w:eastAsia="Arial" w:hAnsi="Arial"/>
          <w:sz w:val="19"/>
          <w:szCs w:val="19"/>
          <w:color w:val="231F20"/>
        </w:rPr>
      </w:pPr>
      <w:r>
        <w:rPr>
          <w:rFonts w:ascii="Times New Roman" w:cs="Times New Roman" w:eastAsia="Times New Roman" w:hAnsi="Times New Roman"/>
          <w:sz w:val="19"/>
          <w:szCs w:val="19"/>
          <w:color w:val="231F20"/>
        </w:rPr>
        <w:t>concerns regarding U.S. and global tariffs and trade policy;</w:t>
      </w:r>
    </w:p>
    <w:p>
      <w:pPr>
        <w:spacing w:after="0" w:line="124" w:lineRule="exact"/>
        <w:rPr>
          <w:rFonts w:ascii="Arial" w:cs="Arial" w:eastAsia="Arial" w:hAnsi="Arial"/>
          <w:sz w:val="19"/>
          <w:szCs w:val="19"/>
          <w:color w:val="231F20"/>
        </w:rPr>
      </w:pPr>
    </w:p>
    <w:p>
      <w:pPr>
        <w:ind w:left="460" w:right="1700" w:hanging="229"/>
        <w:spacing w:after="0" w:line="274" w:lineRule="auto"/>
        <w:tabs>
          <w:tab w:leader="none" w:pos="460" w:val="left"/>
        </w:tabs>
        <w:numPr>
          <w:ilvl w:val="0"/>
          <w:numId w:val="48"/>
        </w:numPr>
        <w:rPr>
          <w:rFonts w:ascii="Arial" w:cs="Arial" w:eastAsia="Arial" w:hAnsi="Arial"/>
          <w:sz w:val="19"/>
          <w:szCs w:val="19"/>
          <w:color w:val="231F20"/>
        </w:rPr>
      </w:pPr>
      <w:r>
        <w:rPr>
          <w:rFonts w:ascii="Times New Roman" w:cs="Times New Roman" w:eastAsia="Times New Roman" w:hAnsi="Times New Roman"/>
          <w:sz w:val="19"/>
          <w:szCs w:val="19"/>
          <w:color w:val="231F20"/>
        </w:rPr>
        <w:t>the impact of the large-scale invasion of Ukraine by Russia that began in February 2022, related sanctions and other potential retaliatory actions or responses;</w:t>
      </w:r>
    </w:p>
    <w:p>
      <w:pPr>
        <w:spacing w:after="0" w:line="61" w:lineRule="exact"/>
        <w:rPr>
          <w:rFonts w:ascii="Arial" w:cs="Arial" w:eastAsia="Arial" w:hAnsi="Arial"/>
          <w:sz w:val="19"/>
          <w:szCs w:val="19"/>
          <w:color w:val="231F20"/>
        </w:rPr>
      </w:pPr>
    </w:p>
    <w:p>
      <w:pPr>
        <w:ind w:left="460" w:hanging="229"/>
        <w:spacing w:after="0"/>
        <w:tabs>
          <w:tab w:leader="none" w:pos="460" w:val="left"/>
        </w:tabs>
        <w:numPr>
          <w:ilvl w:val="0"/>
          <w:numId w:val="48"/>
        </w:numPr>
        <w:rPr>
          <w:rFonts w:ascii="Arial" w:cs="Arial" w:eastAsia="Arial" w:hAnsi="Arial"/>
          <w:sz w:val="19"/>
          <w:szCs w:val="19"/>
          <w:color w:val="231F20"/>
        </w:rPr>
      </w:pPr>
      <w:r>
        <w:rPr>
          <w:rFonts w:ascii="Times New Roman" w:cs="Times New Roman" w:eastAsia="Times New Roman" w:hAnsi="Times New Roman"/>
          <w:sz w:val="19"/>
          <w:szCs w:val="19"/>
          <w:color w:val="231F20"/>
        </w:rPr>
        <w:t>fluctuations in base interest rates, such as SOFR, EURIBOR, SONIA, the Federal Funds Rate or the Prime Rate;</w:t>
      </w:r>
    </w:p>
    <w:p>
      <w:pPr>
        <w:spacing w:after="0" w:line="124" w:lineRule="exact"/>
        <w:rPr>
          <w:rFonts w:ascii="Arial" w:cs="Arial" w:eastAsia="Arial" w:hAnsi="Arial"/>
          <w:sz w:val="19"/>
          <w:szCs w:val="19"/>
          <w:color w:val="231F20"/>
        </w:rPr>
      </w:pPr>
    </w:p>
    <w:p>
      <w:pPr>
        <w:ind w:left="460" w:hanging="229"/>
        <w:spacing w:after="0"/>
        <w:tabs>
          <w:tab w:leader="none" w:pos="460" w:val="left"/>
        </w:tabs>
        <w:numPr>
          <w:ilvl w:val="0"/>
          <w:numId w:val="48"/>
        </w:numPr>
        <w:rPr>
          <w:rFonts w:ascii="Arial" w:cs="Arial" w:eastAsia="Arial" w:hAnsi="Arial"/>
          <w:sz w:val="19"/>
          <w:szCs w:val="19"/>
          <w:color w:val="231F20"/>
        </w:rPr>
      </w:pPr>
      <w:r>
        <w:rPr>
          <w:rFonts w:ascii="Times New Roman" w:cs="Times New Roman" w:eastAsia="Times New Roman" w:hAnsi="Times New Roman"/>
          <w:sz w:val="19"/>
          <w:szCs w:val="19"/>
          <w:color w:val="231F20"/>
        </w:rPr>
        <w:t>the impact of public health epidemics on the global economy;</w:t>
      </w:r>
    </w:p>
    <w:p>
      <w:pPr>
        <w:spacing w:after="0" w:line="124" w:lineRule="exact"/>
        <w:rPr>
          <w:rFonts w:ascii="Arial" w:cs="Arial" w:eastAsia="Arial" w:hAnsi="Arial"/>
          <w:sz w:val="19"/>
          <w:szCs w:val="19"/>
          <w:color w:val="231F20"/>
        </w:rPr>
      </w:pPr>
    </w:p>
    <w:p>
      <w:pPr>
        <w:ind w:left="460" w:hanging="229"/>
        <w:spacing w:after="0"/>
        <w:tabs>
          <w:tab w:leader="none" w:pos="460" w:val="left"/>
        </w:tabs>
        <w:numPr>
          <w:ilvl w:val="0"/>
          <w:numId w:val="48"/>
        </w:numPr>
        <w:rPr>
          <w:rFonts w:ascii="Arial" w:cs="Arial" w:eastAsia="Arial" w:hAnsi="Arial"/>
          <w:sz w:val="19"/>
          <w:szCs w:val="19"/>
          <w:color w:val="231F20"/>
        </w:rPr>
      </w:pPr>
      <w:r>
        <w:rPr>
          <w:rFonts w:ascii="Times New Roman" w:cs="Times New Roman" w:eastAsia="Times New Roman" w:hAnsi="Times New Roman"/>
          <w:sz w:val="19"/>
          <w:szCs w:val="19"/>
          <w:color w:val="231F20"/>
        </w:rPr>
        <w:t>general economic trends and other external factors; and</w:t>
      </w:r>
    </w:p>
    <w:p>
      <w:pPr>
        <w:spacing w:after="0" w:line="124" w:lineRule="exact"/>
        <w:rPr>
          <w:rFonts w:ascii="Arial" w:cs="Arial" w:eastAsia="Arial" w:hAnsi="Arial"/>
          <w:sz w:val="19"/>
          <w:szCs w:val="19"/>
          <w:color w:val="231F20"/>
        </w:rPr>
      </w:pPr>
    </w:p>
    <w:p>
      <w:pPr>
        <w:ind w:left="460" w:hanging="229"/>
        <w:spacing w:after="0"/>
        <w:tabs>
          <w:tab w:leader="none" w:pos="460" w:val="left"/>
        </w:tabs>
        <w:numPr>
          <w:ilvl w:val="0"/>
          <w:numId w:val="48"/>
        </w:numPr>
        <w:rPr>
          <w:rFonts w:ascii="Arial" w:cs="Arial" w:eastAsia="Arial" w:hAnsi="Arial"/>
          <w:sz w:val="19"/>
          <w:szCs w:val="19"/>
          <w:color w:val="231F20"/>
        </w:rPr>
      </w:pPr>
      <w:r>
        <w:rPr>
          <w:rFonts w:ascii="Times New Roman" w:cs="Times New Roman" w:eastAsia="Times New Roman" w:hAnsi="Times New Roman"/>
          <w:sz w:val="19"/>
          <w:szCs w:val="19"/>
          <w:color w:val="231F20"/>
        </w:rPr>
        <w:t>loss of a major funding source.</w:t>
      </w:r>
    </w:p>
    <w:p>
      <w:pPr>
        <w:spacing w:after="0" w:line="225" w:lineRule="exact"/>
        <w:rPr>
          <w:sz w:val="20"/>
          <w:szCs w:val="20"/>
          <w:color w:val="auto"/>
        </w:rPr>
      </w:pPr>
    </w:p>
    <w:p>
      <w:pPr>
        <w:ind w:firstLine="231"/>
        <w:spacing w:after="0" w:line="257" w:lineRule="auto"/>
        <w:rPr>
          <w:sz w:val="20"/>
          <w:szCs w:val="20"/>
          <w:color w:val="auto"/>
        </w:rPr>
      </w:pPr>
      <w:r>
        <w:rPr>
          <w:rFonts w:ascii="Times New Roman" w:cs="Times New Roman" w:eastAsia="Times New Roman" w:hAnsi="Times New Roman"/>
          <w:sz w:val="19"/>
          <w:szCs w:val="19"/>
          <w:color w:val="231F20"/>
        </w:rPr>
        <w:t>In the past, following periods of volatility in the market price of a company’s securities, securities class action litigation has often been brought against that company. If our stock price fluctuates significantly, we may be the target of securities litigation in the future. Securities litigation could result in substantial costs and divert management’s attention and resources from our business.</w:t>
      </w:r>
    </w:p>
    <w:p>
      <w:pPr>
        <w:sectPr>
          <w:pgSz w:w="12240" w:h="15840" w:orient="portrait"/>
          <w:cols w:equalWidth="0" w:num="1">
            <w:col w:w="10180"/>
          </w:cols>
          <w:pgMar w:left="1020" w:top="1313" w:right="1040" w:bottom="574" w:gutter="0" w:footer="0" w:header="0"/>
        </w:sectPr>
      </w:pP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231F20"/>
        </w:rPr>
        <w:t>51</w:t>
      </w:r>
    </w:p>
    <w:p>
      <w:pPr>
        <w:sectPr>
          <w:pgSz w:w="12240" w:h="15840" w:orient="portrait"/>
          <w:cols w:equalWidth="0" w:num="1">
            <w:col w:w="10180"/>
          </w:cols>
          <w:pgMar w:left="1020" w:top="1313" w:right="1040" w:bottom="574" w:gutter="0" w:footer="0" w:header="0"/>
          <w:type w:val="continuous"/>
        </w:sectPr>
      </w:pPr>
    </w:p>
    <w:bookmarkStart w:id="51" w:name="page52"/>
    <w:bookmarkEnd w:id="51"/>
    <w:p>
      <w:pPr>
        <w:spacing w:after="0"/>
        <w:rPr>
          <w:sz w:val="20"/>
          <w:szCs w:val="20"/>
          <w:color w:val="auto"/>
        </w:rPr>
      </w:pPr>
      <w:r>
        <w:rPr>
          <w:rFonts w:ascii="Times New Roman" w:cs="Times New Roman" w:eastAsia="Times New Roman" w:hAnsi="Times New Roman"/>
          <w:sz w:val="19"/>
          <w:szCs w:val="19"/>
          <w:b w:val="1"/>
          <w:bCs w:val="1"/>
          <w:i w:val="1"/>
          <w:iCs w:val="1"/>
          <w:color w:val="231F20"/>
        </w:rPr>
        <w:t>We cannot assure you that the market price of shares of our common stock will not decline.</w:t>
      </w:r>
    </w:p>
    <w:p>
      <w:pPr>
        <w:spacing w:after="0" w:line="110" w:lineRule="exact"/>
        <w:rPr>
          <w:sz w:val="20"/>
          <w:szCs w:val="20"/>
          <w:color w:val="auto"/>
        </w:rPr>
      </w:pPr>
    </w:p>
    <w:p>
      <w:pPr>
        <w:ind w:right="20" w:firstLine="231"/>
        <w:spacing w:after="0" w:line="243" w:lineRule="auto"/>
        <w:rPr>
          <w:sz w:val="20"/>
          <w:szCs w:val="20"/>
          <w:color w:val="auto"/>
        </w:rPr>
      </w:pPr>
      <w:r>
        <w:rPr>
          <w:rFonts w:ascii="Times New Roman" w:cs="Times New Roman" w:eastAsia="Times New Roman" w:hAnsi="Times New Roman"/>
          <w:sz w:val="19"/>
          <w:szCs w:val="19"/>
          <w:color w:val="231F20"/>
        </w:rPr>
        <w:t>Shares of closed-end investment companies, including BDCs, frequently trade at a discount from their net asset value and our stock may also be discounted in the market. This characteristic of closed-end investment companies is separate and distinct from the risk that our net asset value per share of common stock may decline. In the past, shares of BDCs, including at times shares of our common stock, have traded at prices per share below net asset value per share. We cannot predict whether our common stock will trade at a price per share above, at or below net asset value per share. In addition, if our common stock trades below its net asset value per share, we will generally not be able to sell additional shares of our common stock to the public at its market price without first obtaining the approval of a majority of our stockholders (including a majority of our unaffiliated stockholders) and our Independent Directors for such issuance. See</w:t>
      </w:r>
      <w:r>
        <w:rPr>
          <w:rFonts w:ascii="Times New Roman" w:cs="Times New Roman" w:eastAsia="Times New Roman" w:hAnsi="Times New Roman"/>
          <w:sz w:val="19"/>
          <w:szCs w:val="19"/>
          <w:i w:val="1"/>
          <w:iCs w:val="1"/>
          <w:color w:val="231F20"/>
        </w:rPr>
        <w:t>“—Risks Related to Our Business and Structure—Regulations governing our operation as a BDC affect our ability</w:t>
      </w:r>
      <w:r>
        <w:rPr>
          <w:rFonts w:ascii="Times New Roman" w:cs="Times New Roman" w:eastAsia="Times New Roman" w:hAnsi="Times New Roman"/>
          <w:sz w:val="19"/>
          <w:szCs w:val="19"/>
          <w:color w:val="231F20"/>
        </w:rPr>
        <w:t xml:space="preserve"> </w:t>
      </w:r>
      <w:r>
        <w:rPr>
          <w:rFonts w:ascii="Times New Roman" w:cs="Times New Roman" w:eastAsia="Times New Roman" w:hAnsi="Times New Roman"/>
          <w:sz w:val="19"/>
          <w:szCs w:val="19"/>
          <w:i w:val="1"/>
          <w:iCs w:val="1"/>
          <w:color w:val="231F20"/>
        </w:rPr>
        <w:t>to, and the way in which we, raise additional capital.”</w:t>
      </w:r>
    </w:p>
    <w:p>
      <w:pPr>
        <w:spacing w:after="0" w:line="306" w:lineRule="exact"/>
        <w:rPr>
          <w:sz w:val="20"/>
          <w:szCs w:val="20"/>
          <w:color w:val="auto"/>
        </w:rPr>
      </w:pPr>
    </w:p>
    <w:p>
      <w:pPr>
        <w:ind w:right="420"/>
        <w:spacing w:after="0" w:line="273" w:lineRule="auto"/>
        <w:rPr>
          <w:sz w:val="20"/>
          <w:szCs w:val="20"/>
          <w:color w:val="auto"/>
        </w:rPr>
      </w:pPr>
      <w:r>
        <w:rPr>
          <w:rFonts w:ascii="Times New Roman" w:cs="Times New Roman" w:eastAsia="Times New Roman" w:hAnsi="Times New Roman"/>
          <w:sz w:val="19"/>
          <w:szCs w:val="19"/>
          <w:b w:val="1"/>
          <w:bCs w:val="1"/>
          <w:i w:val="1"/>
          <w:iCs w:val="1"/>
          <w:color w:val="231F20"/>
        </w:rPr>
        <w:t>Sales of substantial amounts of our common stock in the public market may have an adverse effect on the market price of our common stock.</w:t>
      </w:r>
    </w:p>
    <w:p>
      <w:pPr>
        <w:spacing w:after="0" w:line="49" w:lineRule="exact"/>
        <w:rPr>
          <w:sz w:val="20"/>
          <w:szCs w:val="20"/>
          <w:color w:val="auto"/>
        </w:rPr>
      </w:pPr>
    </w:p>
    <w:p>
      <w:pPr>
        <w:ind w:firstLine="231"/>
        <w:spacing w:after="0" w:line="247" w:lineRule="auto"/>
        <w:rPr>
          <w:sz w:val="20"/>
          <w:szCs w:val="20"/>
          <w:color w:val="auto"/>
        </w:rPr>
      </w:pPr>
      <w:r>
        <w:rPr>
          <w:rFonts w:ascii="Times New Roman" w:cs="Times New Roman" w:eastAsia="Times New Roman" w:hAnsi="Times New Roman"/>
          <w:sz w:val="19"/>
          <w:szCs w:val="19"/>
          <w:color w:val="231F20"/>
        </w:rPr>
        <w:t>Sales of substantial amounts of our common stock, the availability of such common stock for sale or the perception that such sales could occur could adversely affect the prevailing market prices for our common stock. If this occurs, it could impair our ability to raise additional capital through the sale of equity securities should we desire to do so. We cannot predict what effect, if any, future sales of securities or the availability of securities for future sales will have on the market price of our common stock prevailing from time to time.</w:t>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231F20"/>
        </w:rPr>
        <w:t>Our stockholders will experience dilution in their ownership percentage if they opt out of our dividend reinvestment plan.</w:t>
      </w:r>
    </w:p>
    <w:p>
      <w:pPr>
        <w:spacing w:after="0" w:line="110" w:lineRule="exact"/>
        <w:rPr>
          <w:sz w:val="20"/>
          <w:szCs w:val="20"/>
          <w:color w:val="auto"/>
        </w:rPr>
      </w:pPr>
    </w:p>
    <w:p>
      <w:pPr>
        <w:ind w:right="80" w:firstLine="231"/>
        <w:spacing w:after="0" w:line="246" w:lineRule="auto"/>
        <w:rPr>
          <w:sz w:val="20"/>
          <w:szCs w:val="20"/>
          <w:color w:val="auto"/>
        </w:rPr>
      </w:pPr>
      <w:r>
        <w:rPr>
          <w:rFonts w:ascii="Times New Roman" w:cs="Times New Roman" w:eastAsia="Times New Roman" w:hAnsi="Times New Roman"/>
          <w:sz w:val="19"/>
          <w:szCs w:val="19"/>
          <w:color w:val="231F20"/>
        </w:rPr>
        <w:t xml:space="preserve">We have adopted a dividend reinvestment plan, pursuant to which we will reinvest all cash dividends and distributions declared by the Board on behalf of investors who do not elect to receive their dividends in cash. As a result, if the Board authorizes, and we declare, a cash dividend or other distribution, then our stockholders who have not opted out of our dividend reinvestment plan will have their cash distributions automatically reinvested in additional common stock, rather than receiving the cash dividend or other distribution. See </w:t>
      </w:r>
      <w:r>
        <w:rPr>
          <w:rFonts w:ascii="Times New Roman" w:cs="Times New Roman" w:eastAsia="Times New Roman" w:hAnsi="Times New Roman"/>
          <w:sz w:val="19"/>
          <w:szCs w:val="19"/>
          <w:i w:val="1"/>
          <w:iCs w:val="1"/>
          <w:color w:val="231F20"/>
        </w:rPr>
        <w:t>“ITEM 1. BUSINESS—Dividend Policy</w:t>
      </w:r>
      <w:r>
        <w:rPr>
          <w:rFonts w:ascii="Times New Roman" w:cs="Times New Roman" w:eastAsia="Times New Roman" w:hAnsi="Times New Roman"/>
          <w:sz w:val="19"/>
          <w:szCs w:val="19"/>
          <w:color w:val="231F20"/>
        </w:rPr>
        <w:t>” and “</w:t>
      </w:r>
      <w:r>
        <w:rPr>
          <w:rFonts w:ascii="Times New Roman" w:cs="Times New Roman" w:eastAsia="Times New Roman" w:hAnsi="Times New Roman"/>
          <w:sz w:val="19"/>
          <w:szCs w:val="19"/>
          <w:i w:val="1"/>
          <w:iCs w:val="1"/>
          <w:color w:val="231F20"/>
        </w:rPr>
        <w:t>ITEM 1. BUSINESS—Dividend Reinvestment Plan</w:t>
      </w:r>
      <w:r>
        <w:rPr>
          <w:rFonts w:ascii="Times New Roman" w:cs="Times New Roman" w:eastAsia="Times New Roman" w:hAnsi="Times New Roman"/>
          <w:sz w:val="19"/>
          <w:szCs w:val="19"/>
          <w:color w:val="231F20"/>
        </w:rPr>
        <w:t>” for a description of our dividend policy and obligations.</w:t>
      </w:r>
    </w:p>
    <w:p>
      <w:pPr>
        <w:spacing w:after="0" w:line="186" w:lineRule="exact"/>
        <w:rPr>
          <w:sz w:val="20"/>
          <w:szCs w:val="20"/>
          <w:color w:val="auto"/>
        </w:rPr>
      </w:pPr>
    </w:p>
    <w:p>
      <w:pPr>
        <w:ind w:right="20" w:firstLine="231"/>
        <w:spacing w:after="0" w:line="243" w:lineRule="auto"/>
        <w:rPr>
          <w:sz w:val="20"/>
          <w:szCs w:val="20"/>
          <w:color w:val="auto"/>
        </w:rPr>
      </w:pPr>
      <w:r>
        <w:rPr>
          <w:rFonts w:ascii="Times New Roman" w:cs="Times New Roman" w:eastAsia="Times New Roman" w:hAnsi="Times New Roman"/>
          <w:sz w:val="19"/>
          <w:szCs w:val="19"/>
          <w:color w:val="231F20"/>
        </w:rPr>
        <w:t>In addition, the number of shares issued pursuant to the dividend reinvestment plan will be determined based on the market price of shares of our common stock, except in circumstances where the market price exceeds our most recently computed net asset value per share, in which case we will issue shares at the greater of (i) the most recently computed net asset value per share and (ii) 95% of the current market price per share or such lesser discount to the current market price per share that still exceeds the most recently computed net asset value per share. Accordingly, participants in the dividend reinvestment plan may receive a greater number of shares of our common stock than the number of shares associated with the market price of our common stock, resulting in dilution for other stockholders. Stockholders that opt out of our dividend reinvestment plan will experience dilution in their ownership percentage of our common stock over time.</w:t>
      </w:r>
    </w:p>
    <w:p>
      <w:pPr>
        <w:spacing w:after="0" w:line="310" w:lineRule="exact"/>
        <w:rPr>
          <w:sz w:val="20"/>
          <w:szCs w:val="20"/>
          <w:color w:val="auto"/>
        </w:rPr>
      </w:pPr>
    </w:p>
    <w:p>
      <w:pPr>
        <w:ind w:right="140"/>
        <w:spacing w:after="0" w:line="273" w:lineRule="auto"/>
        <w:rPr>
          <w:sz w:val="20"/>
          <w:szCs w:val="20"/>
          <w:color w:val="auto"/>
        </w:rPr>
      </w:pPr>
      <w:r>
        <w:rPr>
          <w:rFonts w:ascii="Times New Roman" w:cs="Times New Roman" w:eastAsia="Times New Roman" w:hAnsi="Times New Roman"/>
          <w:sz w:val="19"/>
          <w:szCs w:val="19"/>
          <w:b w:val="1"/>
          <w:bCs w:val="1"/>
          <w:i w:val="1"/>
          <w:iCs w:val="1"/>
          <w:color w:val="231F20"/>
        </w:rPr>
        <w:t>Purchases of our common stock by us under the Company 10b5-1 Plan may result in the price of our common stock being higher than the price that otherwise might exist in the open market.</w:t>
      </w:r>
    </w:p>
    <w:p>
      <w:pPr>
        <w:spacing w:after="0" w:line="49" w:lineRule="exact"/>
        <w:rPr>
          <w:sz w:val="20"/>
          <w:szCs w:val="20"/>
          <w:color w:val="auto"/>
        </w:rPr>
      </w:pPr>
    </w:p>
    <w:p>
      <w:pPr>
        <w:ind w:right="40" w:firstLine="231"/>
        <w:spacing w:after="0" w:line="250" w:lineRule="auto"/>
        <w:rPr>
          <w:sz w:val="20"/>
          <w:szCs w:val="20"/>
          <w:color w:val="auto"/>
        </w:rPr>
      </w:pPr>
      <w:r>
        <w:rPr>
          <w:rFonts w:ascii="Times New Roman" w:cs="Times New Roman" w:eastAsia="Times New Roman" w:hAnsi="Times New Roman"/>
          <w:sz w:val="19"/>
          <w:szCs w:val="19"/>
          <w:color w:val="231F20"/>
        </w:rPr>
        <w:t>We have entered into an agreement with Goldman Sachs &amp; Co. LLC, which we refer to as the Company 10b5-1 Plan, in accordance with Rules 10b5-1 and 10b-18 under the Exchange Act, under which Goldman Sachs &amp; Co. LLC, as agent for us, will buy up to $50 million of our common stock in the aggregate during the period ending on the earlier of the date on which all the capital committed to the plan has been exhausted or May 31, 2025.</w:t>
      </w:r>
    </w:p>
    <w:p>
      <w:pPr>
        <w:spacing w:after="0" w:line="185" w:lineRule="exact"/>
        <w:rPr>
          <w:sz w:val="20"/>
          <w:szCs w:val="20"/>
          <w:color w:val="auto"/>
        </w:rPr>
      </w:pPr>
    </w:p>
    <w:p>
      <w:pPr>
        <w:ind w:right="60" w:firstLine="231"/>
        <w:spacing w:after="0" w:line="250" w:lineRule="auto"/>
        <w:rPr>
          <w:sz w:val="20"/>
          <w:szCs w:val="20"/>
          <w:color w:val="auto"/>
        </w:rPr>
      </w:pPr>
      <w:r>
        <w:rPr>
          <w:rFonts w:ascii="Times New Roman" w:cs="Times New Roman" w:eastAsia="Times New Roman" w:hAnsi="Times New Roman"/>
          <w:sz w:val="19"/>
          <w:szCs w:val="19"/>
          <w:color w:val="231F20"/>
        </w:rPr>
        <w:t>Whether purchases will be made under the Company 10b5-1 Plan and how much will be purchased at any time is uncertain, dependent on prevailing market prices and trading volumes, all of which we cannot predict. These activities may have the effect of maintaining the market price of our common stock or retarding a decline in the market price of the common stock, and, as a result, the price of our common stock may be higher than the price that otherwise might exist in the open market.</w:t>
      </w: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231F20"/>
        </w:rPr>
        <w:t>Purchases of our common stock by us under the Company 10b5-1 Plan may result in dilution to our net asset value per share.</w:t>
      </w:r>
    </w:p>
    <w:p>
      <w:pPr>
        <w:spacing w:after="0" w:line="110" w:lineRule="exact"/>
        <w:rPr>
          <w:sz w:val="20"/>
          <w:szCs w:val="20"/>
          <w:color w:val="auto"/>
        </w:rPr>
      </w:pPr>
    </w:p>
    <w:p>
      <w:pPr>
        <w:ind w:right="100" w:firstLine="231"/>
        <w:spacing w:after="0" w:line="247" w:lineRule="auto"/>
        <w:rPr>
          <w:sz w:val="20"/>
          <w:szCs w:val="20"/>
          <w:color w:val="auto"/>
        </w:rPr>
      </w:pPr>
      <w:r>
        <w:rPr>
          <w:rFonts w:ascii="Times New Roman" w:cs="Times New Roman" w:eastAsia="Times New Roman" w:hAnsi="Times New Roman"/>
          <w:sz w:val="19"/>
          <w:szCs w:val="19"/>
          <w:color w:val="231F20"/>
        </w:rPr>
        <w:t>On August 4, 2015, the Board authorized us to acquire up to $50 million in aggregate of our common stock from time to time over an initial six month period, and has continued to authorize the refreshment of the $50 million amount authorized under and extension of the stock repurchase program prior to its expiration since that time, most recently as of November 5, 2024. Under the Company 10b5-1 Plan, the agent will increase the volume of purchases made as the price of our common stock declines, subject to volume restrictions.</w:t>
      </w:r>
    </w:p>
    <w:p>
      <w:pPr>
        <w:sectPr>
          <w:pgSz w:w="12240" w:h="15840" w:orient="portrait"/>
          <w:cols w:equalWidth="0" w:num="1">
            <w:col w:w="10200"/>
          </w:cols>
          <w:pgMar w:left="1020" w:top="1319" w:right="1020" w:bottom="574" w:gutter="0" w:footer="0" w:header="0"/>
        </w:sectPr>
      </w:pPr>
    </w:p>
    <w:p>
      <w:pPr>
        <w:spacing w:after="0" w:line="3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231F20"/>
        </w:rPr>
        <w:t>52</w:t>
      </w:r>
    </w:p>
    <w:p>
      <w:pPr>
        <w:sectPr>
          <w:pgSz w:w="12240" w:h="15840" w:orient="portrait"/>
          <w:cols w:equalWidth="0" w:num="1">
            <w:col w:w="10200"/>
          </w:cols>
          <w:pgMar w:left="1020" w:top="1319" w:right="1020" w:bottom="574" w:gutter="0" w:footer="0" w:header="0"/>
          <w:type w:val="continuous"/>
        </w:sectPr>
      </w:pPr>
    </w:p>
    <w:bookmarkStart w:id="52" w:name="page53"/>
    <w:bookmarkEnd w:id="52"/>
    <w:p>
      <w:pPr>
        <w:jc w:val="both"/>
        <w:ind w:right="120" w:firstLine="231"/>
        <w:spacing w:after="0" w:line="257" w:lineRule="auto"/>
        <w:rPr>
          <w:sz w:val="20"/>
          <w:szCs w:val="20"/>
          <w:color w:val="auto"/>
        </w:rPr>
      </w:pPr>
      <w:r>
        <w:rPr>
          <w:rFonts w:ascii="Times New Roman" w:cs="Times New Roman" w:eastAsia="Times New Roman" w:hAnsi="Times New Roman"/>
          <w:sz w:val="19"/>
          <w:szCs w:val="19"/>
          <w:color w:val="231F20"/>
        </w:rPr>
        <w:t>Dilution to our net asset value per share will occur if we purchase shares of our common stock at a price above the net asset value per share, as it would cause a proportionately smaller increase in our stockholders’ interest in our earnings and assets and their voting interest in us than the decrease in our assets resulting from such repurchase.</w:t>
      </w:r>
    </w:p>
    <w:p>
      <w:pPr>
        <w:spacing w:after="0" w:line="176" w:lineRule="exact"/>
        <w:rPr>
          <w:sz w:val="20"/>
          <w:szCs w:val="20"/>
          <w:color w:val="auto"/>
        </w:rPr>
      </w:pPr>
    </w:p>
    <w:p>
      <w:pPr>
        <w:jc w:val="both"/>
        <w:ind w:right="260" w:firstLine="231"/>
        <w:spacing w:after="0" w:line="304" w:lineRule="auto"/>
        <w:rPr>
          <w:sz w:val="20"/>
          <w:szCs w:val="20"/>
          <w:color w:val="auto"/>
        </w:rPr>
      </w:pPr>
      <w:r>
        <w:rPr>
          <w:rFonts w:ascii="Times New Roman" w:cs="Times New Roman" w:eastAsia="Times New Roman" w:hAnsi="Times New Roman"/>
          <w:sz w:val="18"/>
          <w:szCs w:val="18"/>
          <w:color w:val="231F20"/>
        </w:rPr>
        <w:t>As a result of any such dilution, our market price per share may decline. The actual dilutive effect will depend on the number of shares of common stock that could be so repurchased, the price and the timing of any repurchases under the Company 10b5-1 Plan.</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231F20"/>
        </w:rPr>
        <w:t>General Risk Factors</w:t>
      </w:r>
    </w:p>
    <w:p>
      <w:pPr>
        <w:spacing w:after="0" w:line="116" w:lineRule="exact"/>
        <w:rPr>
          <w:sz w:val="20"/>
          <w:szCs w:val="20"/>
          <w:color w:val="auto"/>
        </w:rPr>
      </w:pPr>
    </w:p>
    <w:p>
      <w:pPr>
        <w:ind w:right="40"/>
        <w:spacing w:after="0" w:line="273" w:lineRule="auto"/>
        <w:rPr>
          <w:sz w:val="20"/>
          <w:szCs w:val="20"/>
          <w:color w:val="auto"/>
        </w:rPr>
      </w:pPr>
      <w:r>
        <w:rPr>
          <w:rFonts w:ascii="Times New Roman" w:cs="Times New Roman" w:eastAsia="Times New Roman" w:hAnsi="Times New Roman"/>
          <w:sz w:val="19"/>
          <w:szCs w:val="19"/>
          <w:b w:val="1"/>
          <w:bCs w:val="1"/>
          <w:i w:val="1"/>
          <w:iCs w:val="1"/>
          <w:color w:val="231F20"/>
        </w:rPr>
        <w:t>We are highly dependent on information systems and systems failures could significantly disrupt our business, which may, in turn, negatively affect the market price of our common stock and our ability to pay dividends.</w:t>
      </w:r>
    </w:p>
    <w:p>
      <w:pPr>
        <w:spacing w:after="0" w:line="49" w:lineRule="exact"/>
        <w:rPr>
          <w:sz w:val="20"/>
          <w:szCs w:val="20"/>
          <w:color w:val="auto"/>
        </w:rPr>
      </w:pPr>
    </w:p>
    <w:p>
      <w:pPr>
        <w:ind w:right="80" w:firstLine="231"/>
        <w:spacing w:after="0" w:line="244" w:lineRule="auto"/>
        <w:rPr>
          <w:sz w:val="20"/>
          <w:szCs w:val="20"/>
          <w:color w:val="auto"/>
        </w:rPr>
      </w:pPr>
      <w:r>
        <w:rPr>
          <w:rFonts w:ascii="Times New Roman" w:cs="Times New Roman" w:eastAsia="Times New Roman" w:hAnsi="Times New Roman"/>
          <w:sz w:val="19"/>
          <w:szCs w:val="19"/>
          <w:color w:val="231F20"/>
        </w:rPr>
        <w:t>Our business is highly dependent on the communications and information systems of the Adviser, its affiliates and third parties. Further, in the ordinary course of our business we or the Adviser engage certain third-party service providers to provide us with services necessary for our business. Any failure or interruption of those systems or services, including as a result of the termination or suspension of an agreement with any third-party service providers, could cause delays or other problems in our activities. Our financial, accounting, data processing, backup or other operating systems and facilities may fail to operate properly or become disabled or damaged as a result of a number of factors including events that are wholly or partially beyond our control and adversely affect our business. There could be:</w:t>
      </w:r>
    </w:p>
    <w:p>
      <w:pPr>
        <w:spacing w:after="0" w:line="93" w:lineRule="exact"/>
        <w:rPr>
          <w:sz w:val="20"/>
          <w:szCs w:val="20"/>
          <w:color w:val="auto"/>
        </w:rPr>
      </w:pPr>
    </w:p>
    <w:p>
      <w:pPr>
        <w:ind w:left="460" w:hanging="229"/>
        <w:spacing w:after="0"/>
        <w:tabs>
          <w:tab w:leader="none" w:pos="460" w:val="left"/>
        </w:tabs>
        <w:numPr>
          <w:ilvl w:val="0"/>
          <w:numId w:val="49"/>
        </w:numPr>
        <w:rPr>
          <w:rFonts w:ascii="Arial" w:cs="Arial" w:eastAsia="Arial" w:hAnsi="Arial"/>
          <w:sz w:val="19"/>
          <w:szCs w:val="19"/>
          <w:color w:val="231F20"/>
        </w:rPr>
      </w:pPr>
      <w:r>
        <w:rPr>
          <w:rFonts w:ascii="Times New Roman" w:cs="Times New Roman" w:eastAsia="Times New Roman" w:hAnsi="Times New Roman"/>
          <w:sz w:val="19"/>
          <w:szCs w:val="19"/>
          <w:color w:val="231F20"/>
        </w:rPr>
        <w:t>sudden electrical or telecommunications outages;</w:t>
      </w:r>
    </w:p>
    <w:p>
      <w:pPr>
        <w:spacing w:after="0" w:line="124" w:lineRule="exact"/>
        <w:rPr>
          <w:rFonts w:ascii="Arial" w:cs="Arial" w:eastAsia="Arial" w:hAnsi="Arial"/>
          <w:sz w:val="19"/>
          <w:szCs w:val="19"/>
          <w:color w:val="231F20"/>
        </w:rPr>
      </w:pPr>
    </w:p>
    <w:p>
      <w:pPr>
        <w:ind w:left="460" w:hanging="229"/>
        <w:spacing w:after="0"/>
        <w:tabs>
          <w:tab w:leader="none" w:pos="460" w:val="left"/>
        </w:tabs>
        <w:numPr>
          <w:ilvl w:val="0"/>
          <w:numId w:val="49"/>
        </w:numPr>
        <w:rPr>
          <w:rFonts w:ascii="Arial" w:cs="Arial" w:eastAsia="Arial" w:hAnsi="Arial"/>
          <w:sz w:val="19"/>
          <w:szCs w:val="19"/>
          <w:color w:val="231F20"/>
        </w:rPr>
      </w:pPr>
      <w:r>
        <w:rPr>
          <w:rFonts w:ascii="Times New Roman" w:cs="Times New Roman" w:eastAsia="Times New Roman" w:hAnsi="Times New Roman"/>
          <w:sz w:val="19"/>
          <w:szCs w:val="19"/>
          <w:color w:val="231F20"/>
        </w:rPr>
        <w:t>natural disasters such as earthquakes, tornadoes and hurricanes;</w:t>
      </w:r>
    </w:p>
    <w:p>
      <w:pPr>
        <w:spacing w:after="0" w:line="124" w:lineRule="exact"/>
        <w:rPr>
          <w:rFonts w:ascii="Arial" w:cs="Arial" w:eastAsia="Arial" w:hAnsi="Arial"/>
          <w:sz w:val="19"/>
          <w:szCs w:val="19"/>
          <w:color w:val="231F20"/>
        </w:rPr>
      </w:pPr>
    </w:p>
    <w:p>
      <w:pPr>
        <w:ind w:left="460" w:hanging="229"/>
        <w:spacing w:after="0"/>
        <w:tabs>
          <w:tab w:leader="none" w:pos="460" w:val="left"/>
        </w:tabs>
        <w:numPr>
          <w:ilvl w:val="0"/>
          <w:numId w:val="49"/>
        </w:numPr>
        <w:rPr>
          <w:rFonts w:ascii="Arial" w:cs="Arial" w:eastAsia="Arial" w:hAnsi="Arial"/>
          <w:sz w:val="19"/>
          <w:szCs w:val="19"/>
          <w:color w:val="231F20"/>
        </w:rPr>
      </w:pPr>
      <w:r>
        <w:rPr>
          <w:rFonts w:ascii="Times New Roman" w:cs="Times New Roman" w:eastAsia="Times New Roman" w:hAnsi="Times New Roman"/>
          <w:sz w:val="19"/>
          <w:szCs w:val="19"/>
          <w:color w:val="231F20"/>
        </w:rPr>
        <w:t>disease pandemics;</w:t>
      </w:r>
    </w:p>
    <w:p>
      <w:pPr>
        <w:spacing w:after="0" w:line="124" w:lineRule="exact"/>
        <w:rPr>
          <w:rFonts w:ascii="Arial" w:cs="Arial" w:eastAsia="Arial" w:hAnsi="Arial"/>
          <w:sz w:val="19"/>
          <w:szCs w:val="19"/>
          <w:color w:val="231F20"/>
        </w:rPr>
      </w:pPr>
    </w:p>
    <w:p>
      <w:pPr>
        <w:ind w:left="460" w:hanging="229"/>
        <w:spacing w:after="0"/>
        <w:tabs>
          <w:tab w:leader="none" w:pos="460" w:val="left"/>
        </w:tabs>
        <w:numPr>
          <w:ilvl w:val="0"/>
          <w:numId w:val="49"/>
        </w:numPr>
        <w:rPr>
          <w:rFonts w:ascii="Arial" w:cs="Arial" w:eastAsia="Arial" w:hAnsi="Arial"/>
          <w:sz w:val="19"/>
          <w:szCs w:val="19"/>
          <w:color w:val="231F20"/>
        </w:rPr>
      </w:pPr>
      <w:r>
        <w:rPr>
          <w:rFonts w:ascii="Times New Roman" w:cs="Times New Roman" w:eastAsia="Times New Roman" w:hAnsi="Times New Roman"/>
          <w:sz w:val="19"/>
          <w:szCs w:val="19"/>
          <w:color w:val="231F20"/>
        </w:rPr>
        <w:t>events arising from local or larger scale political or social matters, including wars or terrorist acts;</w:t>
      </w:r>
    </w:p>
    <w:p>
      <w:pPr>
        <w:spacing w:after="0" w:line="124" w:lineRule="exact"/>
        <w:rPr>
          <w:rFonts w:ascii="Arial" w:cs="Arial" w:eastAsia="Arial" w:hAnsi="Arial"/>
          <w:sz w:val="19"/>
          <w:szCs w:val="19"/>
          <w:color w:val="231F20"/>
        </w:rPr>
      </w:pPr>
    </w:p>
    <w:p>
      <w:pPr>
        <w:ind w:left="460" w:hanging="229"/>
        <w:spacing w:after="0"/>
        <w:tabs>
          <w:tab w:leader="none" w:pos="460" w:val="left"/>
        </w:tabs>
        <w:numPr>
          <w:ilvl w:val="0"/>
          <w:numId w:val="49"/>
        </w:numPr>
        <w:rPr>
          <w:rFonts w:ascii="Arial" w:cs="Arial" w:eastAsia="Arial" w:hAnsi="Arial"/>
          <w:sz w:val="19"/>
          <w:szCs w:val="19"/>
          <w:color w:val="231F20"/>
        </w:rPr>
      </w:pPr>
      <w:r>
        <w:rPr>
          <w:rFonts w:ascii="Times New Roman" w:cs="Times New Roman" w:eastAsia="Times New Roman" w:hAnsi="Times New Roman"/>
          <w:sz w:val="19"/>
          <w:szCs w:val="19"/>
          <w:color w:val="231F20"/>
        </w:rPr>
        <w:t>outages due to idiosyncratic issues at specific providers; and</w:t>
      </w:r>
    </w:p>
    <w:p>
      <w:pPr>
        <w:spacing w:after="0" w:line="124" w:lineRule="exact"/>
        <w:rPr>
          <w:rFonts w:ascii="Arial" w:cs="Arial" w:eastAsia="Arial" w:hAnsi="Arial"/>
          <w:sz w:val="19"/>
          <w:szCs w:val="19"/>
          <w:color w:val="231F20"/>
        </w:rPr>
      </w:pPr>
    </w:p>
    <w:p>
      <w:pPr>
        <w:ind w:left="460" w:hanging="229"/>
        <w:spacing w:after="0"/>
        <w:tabs>
          <w:tab w:leader="none" w:pos="460" w:val="left"/>
        </w:tabs>
        <w:numPr>
          <w:ilvl w:val="0"/>
          <w:numId w:val="49"/>
        </w:numPr>
        <w:rPr>
          <w:rFonts w:ascii="Arial" w:cs="Arial" w:eastAsia="Arial" w:hAnsi="Arial"/>
          <w:sz w:val="19"/>
          <w:szCs w:val="19"/>
          <w:color w:val="231F20"/>
        </w:rPr>
      </w:pPr>
      <w:r>
        <w:rPr>
          <w:rFonts w:ascii="Times New Roman" w:cs="Times New Roman" w:eastAsia="Times New Roman" w:hAnsi="Times New Roman"/>
          <w:sz w:val="19"/>
          <w:szCs w:val="19"/>
          <w:color w:val="231F20"/>
        </w:rPr>
        <w:t>cyber-attacks.</w:t>
      </w:r>
    </w:p>
    <w:p>
      <w:pPr>
        <w:spacing w:after="0" w:line="111" w:lineRule="exact"/>
        <w:rPr>
          <w:sz w:val="20"/>
          <w:szCs w:val="20"/>
          <w:color w:val="auto"/>
        </w:rPr>
      </w:pPr>
    </w:p>
    <w:p>
      <w:pPr>
        <w:ind w:right="340" w:firstLine="231"/>
        <w:spacing w:after="0" w:line="275" w:lineRule="auto"/>
        <w:rPr>
          <w:sz w:val="20"/>
          <w:szCs w:val="20"/>
          <w:color w:val="auto"/>
        </w:rPr>
      </w:pPr>
      <w:r>
        <w:rPr>
          <w:rFonts w:ascii="Times New Roman" w:cs="Times New Roman" w:eastAsia="Times New Roman" w:hAnsi="Times New Roman"/>
          <w:sz w:val="19"/>
          <w:szCs w:val="19"/>
          <w:color w:val="231F20"/>
        </w:rPr>
        <w:t>These events, in turn, could have a material adverse effect on our operating results and negatively affect the market price of our common stock and our ability to pay dividends to our stockholders.</w:t>
      </w:r>
    </w:p>
    <w:p>
      <w:pPr>
        <w:spacing w:after="0" w:line="27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231F20"/>
        </w:rPr>
        <w:t>Changes in laws or regulations governing our operations may adversely affect our business.</w:t>
      </w:r>
    </w:p>
    <w:p>
      <w:pPr>
        <w:spacing w:after="0" w:line="223" w:lineRule="exact"/>
        <w:rPr>
          <w:sz w:val="20"/>
          <w:szCs w:val="20"/>
          <w:color w:val="auto"/>
        </w:rPr>
      </w:pPr>
    </w:p>
    <w:p>
      <w:pPr>
        <w:ind w:firstLine="231"/>
        <w:spacing w:after="0" w:line="241" w:lineRule="auto"/>
        <w:rPr>
          <w:sz w:val="20"/>
          <w:szCs w:val="20"/>
          <w:color w:val="auto"/>
        </w:rPr>
      </w:pPr>
      <w:r>
        <w:rPr>
          <w:rFonts w:ascii="Times New Roman" w:cs="Times New Roman" w:eastAsia="Times New Roman" w:hAnsi="Times New Roman"/>
          <w:sz w:val="19"/>
          <w:szCs w:val="19"/>
          <w:color w:val="231F20"/>
        </w:rPr>
        <w:t>We and our portfolio companies are subject to regulation by laws and regulations at the local, state, federal and, in some cases, foreign levels. These laws and regulations, as well as their interpretation, may be changed from time to time, and new laws and regulations may be enacted. Accordingly, any change in these laws or regulations, changes in their interpretation, or newly enacted laws or regulations and any failure by us or our portfolio companies to comply with these laws or regulations, could require changes to certain business practices of us or our portfolio companies, negatively impact the operations, cash flows or financial condition of us or our portfolio companies, impose additional costs on us or our portfolio companies or otherwise adversely affect our business or the business of our portfolio companies. In particular, changes to the laws and regulations governing BDCs or the interpretation of these laws and regulations by the staff of the SEC could disrupt our business model. For example, tax reform legislation could have an adverse impact on us, the credit markets and our portfolio companies, to the extent the reduction in corporate tax rates or limitations on interest expense deductibility impact the credit markets and our portfolio companies. Any changes to the laws and regulations governing our operations or the U.S. federal income tax treatment of our assets may cause us to alter our investment strategy to avail ourselves of new or different opportunities. For more information on tax regulatory risks, see “</w:t>
      </w:r>
      <w:r>
        <w:rPr>
          <w:rFonts w:ascii="Times New Roman" w:cs="Times New Roman" w:eastAsia="Times New Roman" w:hAnsi="Times New Roman"/>
          <w:sz w:val="19"/>
          <w:szCs w:val="19"/>
          <w:i w:val="1"/>
          <w:iCs w:val="1"/>
          <w:color w:val="231F20"/>
        </w:rPr>
        <w:t>Risks Related to our Portfolio Company</w:t>
      </w:r>
      <w:r>
        <w:rPr>
          <w:rFonts w:ascii="Times New Roman" w:cs="Times New Roman" w:eastAsia="Times New Roman" w:hAnsi="Times New Roman"/>
          <w:sz w:val="19"/>
          <w:szCs w:val="19"/>
          <w:color w:val="231F20"/>
        </w:rPr>
        <w:t xml:space="preserve"> </w:t>
      </w:r>
      <w:r>
        <w:rPr>
          <w:rFonts w:ascii="Times New Roman" w:cs="Times New Roman" w:eastAsia="Times New Roman" w:hAnsi="Times New Roman"/>
          <w:sz w:val="19"/>
          <w:szCs w:val="19"/>
          <w:i w:val="1"/>
          <w:iCs w:val="1"/>
          <w:color w:val="231F20"/>
        </w:rPr>
        <w:t>Investments.”</w:t>
      </w:r>
    </w:p>
    <w:p>
      <w:pPr>
        <w:spacing w:after="0" w:line="198" w:lineRule="exact"/>
        <w:rPr>
          <w:sz w:val="20"/>
          <w:szCs w:val="20"/>
          <w:color w:val="auto"/>
        </w:rPr>
      </w:pPr>
    </w:p>
    <w:p>
      <w:pPr>
        <w:ind w:right="120" w:firstLine="231"/>
        <w:spacing w:after="0" w:line="247" w:lineRule="auto"/>
        <w:rPr>
          <w:sz w:val="20"/>
          <w:szCs w:val="20"/>
          <w:color w:val="auto"/>
        </w:rPr>
      </w:pPr>
      <w:r>
        <w:rPr>
          <w:rFonts w:ascii="Times New Roman" w:cs="Times New Roman" w:eastAsia="Times New Roman" w:hAnsi="Times New Roman"/>
          <w:sz w:val="19"/>
          <w:szCs w:val="19"/>
          <w:color w:val="231F20"/>
        </w:rPr>
        <w:t>Over the last several years, there has been an increase in regulatory attention to the extension of credit outside of the traditional banking sector, raising the possibility that some portion of the non-bank financial sector will be subject to new regulation. While it cannot be known at this time whether these regulations will be implemented or what form they will take, increased regulation of non-bank credit extension could negatively impact our operations, cash flows or financial condition, impose additional costs on us, intensify the regulatory supervision of us or otherwise adversely affect our business.</w:t>
      </w:r>
    </w:p>
    <w:p>
      <w:pPr>
        <w:spacing w:after="0" w:line="304" w:lineRule="exact"/>
        <w:rPr>
          <w:sz w:val="20"/>
          <w:szCs w:val="20"/>
          <w:color w:val="auto"/>
        </w:rPr>
      </w:pPr>
    </w:p>
    <w:p>
      <w:pPr>
        <w:ind w:right="500"/>
        <w:spacing w:after="0" w:line="273" w:lineRule="auto"/>
        <w:rPr>
          <w:sz w:val="20"/>
          <w:szCs w:val="20"/>
          <w:color w:val="auto"/>
        </w:rPr>
      </w:pPr>
      <w:r>
        <w:rPr>
          <w:rFonts w:ascii="Times New Roman" w:cs="Times New Roman" w:eastAsia="Times New Roman" w:hAnsi="Times New Roman"/>
          <w:sz w:val="19"/>
          <w:szCs w:val="19"/>
          <w:b w:val="1"/>
          <w:bCs w:val="1"/>
          <w:i w:val="1"/>
          <w:iCs w:val="1"/>
          <w:color w:val="231F20"/>
        </w:rPr>
        <w:t>Economic and trade sanctions could make it more difficult or costly for us to conduct our operations or achieve our business objectives.</w:t>
      </w:r>
    </w:p>
    <w:p>
      <w:pPr>
        <w:spacing w:after="0" w:line="162" w:lineRule="exact"/>
        <w:rPr>
          <w:sz w:val="20"/>
          <w:szCs w:val="20"/>
          <w:color w:val="auto"/>
        </w:rPr>
      </w:pPr>
    </w:p>
    <w:p>
      <w:pPr>
        <w:ind w:right="180" w:firstLine="231"/>
        <w:spacing w:after="0" w:line="304" w:lineRule="auto"/>
        <w:rPr>
          <w:sz w:val="20"/>
          <w:szCs w:val="20"/>
          <w:color w:val="auto"/>
        </w:rPr>
      </w:pPr>
      <w:r>
        <w:rPr>
          <w:rFonts w:ascii="Times New Roman" w:cs="Times New Roman" w:eastAsia="Times New Roman" w:hAnsi="Times New Roman"/>
          <w:sz w:val="18"/>
          <w:szCs w:val="18"/>
          <w:color w:val="231F20"/>
        </w:rPr>
        <w:t>Economic and trade sanctions laws in the United States and other jurisdictions may prohibit us from transacting with or in certain countries and with certain individuals, companies and industry sectors. In the United States, the U.S. Department of the Treasury’s</w:t>
      </w:r>
    </w:p>
    <w:p>
      <w:pPr>
        <w:sectPr>
          <w:pgSz w:w="12240" w:h="15840" w:orient="portrait"/>
          <w:cols w:equalWidth="0" w:num="1">
            <w:col w:w="10200"/>
          </w:cols>
          <w:pgMar w:left="1020" w:top="1317" w:right="1020" w:bottom="574" w:gutter="0" w:footer="0" w:header="0"/>
        </w:sectPr>
      </w:pPr>
    </w:p>
    <w:p>
      <w:pPr>
        <w:spacing w:after="0" w:line="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231F20"/>
        </w:rPr>
        <w:t>53</w:t>
      </w:r>
    </w:p>
    <w:p>
      <w:pPr>
        <w:sectPr>
          <w:pgSz w:w="12240" w:h="15840" w:orient="portrait"/>
          <w:cols w:equalWidth="0" w:num="1">
            <w:col w:w="10200"/>
          </w:cols>
          <w:pgMar w:left="1020" w:top="1317" w:right="1020" w:bottom="574" w:gutter="0" w:footer="0" w:header="0"/>
          <w:type w:val="continuous"/>
        </w:sectPr>
      </w:pPr>
    </w:p>
    <w:bookmarkStart w:id="53" w:name="page54"/>
    <w:bookmarkEnd w:id="53"/>
    <w:p>
      <w:pPr>
        <w:spacing w:after="0" w:line="241" w:lineRule="auto"/>
        <w:rPr>
          <w:sz w:val="20"/>
          <w:szCs w:val="20"/>
          <w:color w:val="auto"/>
        </w:rPr>
      </w:pPr>
      <w:r>
        <w:rPr>
          <w:rFonts w:ascii="Times New Roman" w:cs="Times New Roman" w:eastAsia="Times New Roman" w:hAnsi="Times New Roman"/>
          <w:sz w:val="19"/>
          <w:szCs w:val="19"/>
          <w:color w:val="231F20"/>
        </w:rPr>
        <w:t>Office of Foreign Assets Control (“OFAC”), administers and enforces laws, Executive Orders and regulations establishing U.S. sanctions. Such sanctions prohibit, among other things, transactions with, and the provision of services to, certain foreign countries, territories, entities and individuals. These entities and individuals include specially designated nationals, specially designated narcotics traffickers and other parties subject to OFAC sanctions and embargo programs. In addition, certain sanctions programs prohibit dealing with individuals or entities in certain countries, or certain securities and certain industry sectors regardless of whether relevant individuals or entities appear on the lists maintained by OFAC, which may make it more difficult for us to comply with applicable sanctions. These types of sanctions may significantly restrict or limit our investment activities in certain countries (in particular, certain emerging market countries). We may from time to time be subject to trade sanctions laws and regulations of other jurisdictions, which may be inconsistent with or even seek to prohibit compliance with certain sanctions programs administered by OFAC. The legal uncertainties arising from those conflicts may make it more difficult or costly for us to navigate investment activities that are subject to sanctions administered by OFAC or the laws and regulations of other jurisdictions. Some jurisdictions where the Company or its portfolio companies do business from time to time have adopted measures prohibiting compliance with certain U.S. sanctions programs, which may make compliance with all applicable sanctions impossible.</w:t>
      </w:r>
    </w:p>
    <w:p>
      <w:pPr>
        <w:spacing w:after="0" w:line="198" w:lineRule="exact"/>
        <w:rPr>
          <w:sz w:val="20"/>
          <w:szCs w:val="20"/>
          <w:color w:val="auto"/>
        </w:rPr>
      </w:pPr>
    </w:p>
    <w:p>
      <w:pPr>
        <w:ind w:right="120" w:firstLine="231"/>
        <w:spacing w:after="0" w:line="269" w:lineRule="auto"/>
        <w:rPr>
          <w:sz w:val="20"/>
          <w:szCs w:val="20"/>
          <w:color w:val="auto"/>
        </w:rPr>
      </w:pPr>
      <w:r>
        <w:rPr>
          <w:rFonts w:ascii="Times New Roman" w:cs="Times New Roman" w:eastAsia="Times New Roman" w:hAnsi="Times New Roman"/>
          <w:sz w:val="18"/>
          <w:szCs w:val="18"/>
          <w:color w:val="231F20"/>
        </w:rPr>
        <w:t>At the same time, the Company may be obligated to comply with certain anti-boycott laws and regulations that prevent us from engaging in certain discriminatory practices that may be allowed or required in certain jurisdictions. the Company’s refusal to discriminate in this manner could make it more difficult for us to pursue certain investments and engage in certain business activities, and any compliance with such practices could subject us to fines, penalties, and adverse legal and reputational consequences.</w:t>
      </w:r>
    </w:p>
    <w:p>
      <w:pPr>
        <w:spacing w:after="0" w:line="283" w:lineRule="exact"/>
        <w:rPr>
          <w:sz w:val="20"/>
          <w:szCs w:val="20"/>
          <w:color w:val="auto"/>
        </w:rPr>
      </w:pPr>
    </w:p>
    <w:p>
      <w:pPr>
        <w:ind w:right="680"/>
        <w:spacing w:after="0" w:line="273" w:lineRule="auto"/>
        <w:rPr>
          <w:sz w:val="20"/>
          <w:szCs w:val="20"/>
          <w:color w:val="auto"/>
        </w:rPr>
      </w:pPr>
      <w:r>
        <w:rPr>
          <w:rFonts w:ascii="Times New Roman" w:cs="Times New Roman" w:eastAsia="Times New Roman" w:hAnsi="Times New Roman"/>
          <w:sz w:val="19"/>
          <w:szCs w:val="19"/>
          <w:b w:val="1"/>
          <w:bCs w:val="1"/>
          <w:i w:val="1"/>
          <w:iCs w:val="1"/>
          <w:color w:val="231F20"/>
        </w:rPr>
        <w:t>The ongoing armed conflicts as a result of the Russian invasion of Ukraine and the conflict in the Middle East may have a material adverse impact on us and our portfolio companies.</w:t>
      </w:r>
    </w:p>
    <w:p>
      <w:pPr>
        <w:spacing w:after="0" w:line="162" w:lineRule="exact"/>
        <w:rPr>
          <w:sz w:val="20"/>
          <w:szCs w:val="20"/>
          <w:color w:val="auto"/>
        </w:rPr>
      </w:pPr>
    </w:p>
    <w:p>
      <w:pPr>
        <w:ind w:right="80" w:firstLine="231"/>
        <w:spacing w:after="0" w:line="243" w:lineRule="auto"/>
        <w:rPr>
          <w:sz w:val="20"/>
          <w:szCs w:val="20"/>
          <w:color w:val="auto"/>
        </w:rPr>
      </w:pPr>
      <w:r>
        <w:rPr>
          <w:rFonts w:ascii="Times New Roman" w:cs="Times New Roman" w:eastAsia="Times New Roman" w:hAnsi="Times New Roman"/>
          <w:sz w:val="19"/>
          <w:szCs w:val="19"/>
          <w:color w:val="231F20"/>
        </w:rPr>
        <w:t>The Russian invasion of Ukraine and the conflict in the Middle East have led, are currently leading, and for an unknown period of time may continue to lead to disruptions in local, regional, national, and global markets and economies affected thereby and could have a negative impact on the economy and business activity globally (including in the countries in which the Company invests), and therefore could adversely affect the performance of the Company’s investments. Furthermore, the aforementioned conflicts and the varying involvement of the United States and other NATO countries could preclude prediction as to their ultimate adverse impact on global economic and market conditions, and, as a result, presents material uncertainty and risk with respect to the Company and the performance of its investments or operations, and the ability of the Company to achieve its investment objectives. Additionally, to the extent that third parties, investors, or related customer bases have material operations or assets in such conflict zones, they may have adverse consequences related to the ongoing conflict.</w:t>
      </w:r>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231F20"/>
        </w:rPr>
        <w:t>The effect of global climate change may adversely affect our business and impact the operations of our portfolio companies.</w:t>
      </w:r>
    </w:p>
    <w:p>
      <w:pPr>
        <w:spacing w:after="0" w:line="223" w:lineRule="exact"/>
        <w:rPr>
          <w:sz w:val="20"/>
          <w:szCs w:val="20"/>
          <w:color w:val="auto"/>
        </w:rPr>
      </w:pPr>
    </w:p>
    <w:p>
      <w:pPr>
        <w:ind w:right="360" w:firstLine="231"/>
        <w:spacing w:after="0" w:line="257" w:lineRule="auto"/>
        <w:rPr>
          <w:sz w:val="20"/>
          <w:szCs w:val="20"/>
          <w:color w:val="auto"/>
        </w:rPr>
      </w:pPr>
      <w:r>
        <w:rPr>
          <w:rFonts w:ascii="Times New Roman" w:cs="Times New Roman" w:eastAsia="Times New Roman" w:hAnsi="Times New Roman"/>
          <w:sz w:val="19"/>
          <w:szCs w:val="19"/>
          <w:color w:val="231F20"/>
        </w:rPr>
        <w:t>We and our portfolio companies face risks associated with climate change including risks related to the impact of climate-and ESG-related legislation and regulation (both domestically and internationally), risks related to climate-related business trends, and risks stemming from the physical impacts of climate change.</w:t>
      </w:r>
    </w:p>
    <w:p>
      <w:pPr>
        <w:spacing w:after="0" w:line="176" w:lineRule="exact"/>
        <w:rPr>
          <w:sz w:val="20"/>
          <w:szCs w:val="20"/>
          <w:color w:val="auto"/>
        </w:rPr>
      </w:pPr>
    </w:p>
    <w:p>
      <w:pPr>
        <w:ind w:right="40" w:firstLine="231"/>
        <w:spacing w:after="0" w:line="242" w:lineRule="auto"/>
        <w:rPr>
          <w:sz w:val="20"/>
          <w:szCs w:val="20"/>
          <w:color w:val="auto"/>
        </w:rPr>
      </w:pPr>
      <w:r>
        <w:rPr>
          <w:rFonts w:ascii="Times New Roman" w:cs="Times New Roman" w:eastAsia="Times New Roman" w:hAnsi="Times New Roman"/>
          <w:sz w:val="19"/>
          <w:szCs w:val="19"/>
          <w:color w:val="231F20"/>
        </w:rPr>
        <w:t>New climate change-related regulations or interpretations of existing laws may result in enhanced disclosure obligations, which could negatively affect us or our portfolio companies and materially increase our regulatory burden. Increased regulations generally increase our costs, and we could continue to experience higher costs if new laws require us to spend more time or buy new technology to comply effectively. At the portfolio company level, while we have increasingly and substantially sought to invest in sectors that are inherently lower carbon intensity (e.g., business services) which decreases transition risk, there are still individual portfolio companies in these and other sectors that could face transition risk if carbon-related regulations or taxes are implemented. Further, advances in climate science may change society’s understanding of sources and magnitudes of negative effects on climate, which could negatively impact portfolio company financial performance and regulatory jeopardy. For our portfolio companies, business trends related to climate change may require capital expenditures, product or service redesigns, and changes to operations and supply chains to meet changing customer expectations. While this can create opportunities, not addressing these changed expectations could create business risks for portfolio companies.</w:t>
      </w:r>
    </w:p>
    <w:p>
      <w:pPr>
        <w:spacing w:after="0" w:line="193" w:lineRule="exact"/>
        <w:rPr>
          <w:sz w:val="20"/>
          <w:szCs w:val="20"/>
          <w:color w:val="auto"/>
        </w:rPr>
      </w:pPr>
    </w:p>
    <w:p>
      <w:pPr>
        <w:ind w:right="20" w:firstLine="231"/>
        <w:spacing w:after="0" w:line="259" w:lineRule="auto"/>
        <w:rPr>
          <w:sz w:val="20"/>
          <w:szCs w:val="20"/>
          <w:color w:val="auto"/>
        </w:rPr>
      </w:pPr>
      <w:r>
        <w:rPr>
          <w:rFonts w:ascii="Times New Roman" w:cs="Times New Roman" w:eastAsia="Times New Roman" w:hAnsi="Times New Roman"/>
          <w:sz w:val="18"/>
          <w:szCs w:val="18"/>
          <w:color w:val="231F20"/>
        </w:rPr>
        <w:t>Further, significant physical effects of climate change including extreme weather events such as hurricanes or floods, can also have an adverse impact on certain of our portfolio companies and investments, especially our portfolio companies that rely on locations in the affected areas. As the effects of climate change increase, we expect the frequency and impact of weather and climate related events and conditions to increase as well. For example, unseasonal or violent weather events can have a material impact to businesses that focus on tourism or recreational travel. Additionally, the needs of customers of energy companies vary with weather conditions, primarily temperature and humidity. To the extent weather conditions are affected by climate change, energy use could increase or decrease depending on the duration and magnitude of any changes. Increases in the cost of energy could adversely affect the cost of operations of our portfolio companies if the use of energy products or services is material to their business. A decrease in energy use</w:t>
      </w:r>
    </w:p>
    <w:p>
      <w:pPr>
        <w:sectPr>
          <w:pgSz w:w="12240" w:h="15840" w:orient="portrait"/>
          <w:cols w:equalWidth="0" w:num="1">
            <w:col w:w="10200"/>
          </w:cols>
          <w:pgMar w:left="1020" w:top="1317" w:right="1020" w:bottom="574" w:gutter="0" w:footer="0" w:header="0"/>
        </w:sect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231F20"/>
        </w:rPr>
        <w:t>54</w:t>
      </w:r>
    </w:p>
    <w:p>
      <w:pPr>
        <w:sectPr>
          <w:pgSz w:w="12240" w:h="15840" w:orient="portrait"/>
          <w:cols w:equalWidth="0" w:num="1">
            <w:col w:w="10200"/>
          </w:cols>
          <w:pgMar w:left="1020" w:top="1317" w:right="1020" w:bottom="574" w:gutter="0" w:footer="0" w:header="0"/>
          <w:type w:val="continuous"/>
        </w:sectPr>
      </w:pPr>
    </w:p>
    <w:bookmarkStart w:id="54" w:name="page55"/>
    <w:bookmarkEnd w:id="54"/>
    <w:p>
      <w:pPr>
        <w:spacing w:after="0" w:line="257" w:lineRule="auto"/>
        <w:rPr>
          <w:sz w:val="20"/>
          <w:szCs w:val="20"/>
          <w:color w:val="auto"/>
        </w:rPr>
      </w:pPr>
      <w:r>
        <w:rPr>
          <w:rFonts w:ascii="Times New Roman" w:cs="Times New Roman" w:eastAsia="Times New Roman" w:hAnsi="Times New Roman"/>
          <w:sz w:val="19"/>
          <w:szCs w:val="19"/>
          <w:color w:val="231F20"/>
        </w:rPr>
        <w:t>due to weather changes may affect some of our portfolio companies’ financial condition, through decreased revenues. Extreme weather conditions in general require more system backup, adding to costs, and can contribute to increased system stresses, including service interruptions.</w:t>
      </w:r>
    </w:p>
    <w:p>
      <w:pPr>
        <w:sectPr>
          <w:pgSz w:w="12240" w:h="15840" w:orient="portrait"/>
          <w:cols w:equalWidth="0" w:num="1">
            <w:col w:w="10080"/>
          </w:cols>
          <w:pgMar w:left="1020" w:top="1317" w:right="1140" w:bottom="57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9"/>
          <w:szCs w:val="19"/>
          <w:color w:val="231F20"/>
        </w:rPr>
        <w:t>55</w:t>
      </w:r>
    </w:p>
    <w:p>
      <w:pPr>
        <w:sectPr>
          <w:pgSz w:w="12240" w:h="15840" w:orient="portrait"/>
          <w:cols w:equalWidth="0" w:num="1">
            <w:col w:w="10080"/>
          </w:cols>
          <w:pgMar w:left="1020" w:top="1317" w:right="1140" w:bottom="574" w:gutter="0" w:footer="0" w:header="0"/>
          <w:type w:val="continuous"/>
        </w:sectPr>
      </w:pPr>
    </w:p>
    <w:bookmarkStart w:id="55" w:name="page56"/>
    <w:bookmarkEnd w:id="55"/>
    <w:p>
      <w:pPr>
        <w:spacing w:after="0"/>
        <w:rPr>
          <w:sz w:val="20"/>
          <w:szCs w:val="20"/>
          <w:color w:val="auto"/>
        </w:rPr>
      </w:pPr>
      <w:r>
        <w:rPr>
          <w:rFonts w:ascii="Times New Roman" w:cs="Times New Roman" w:eastAsia="Times New Roman" w:hAnsi="Times New Roman"/>
          <w:sz w:val="19"/>
          <w:szCs w:val="19"/>
          <w:b w:val="1"/>
          <w:bCs w:val="1"/>
          <w:color w:val="231F20"/>
        </w:rPr>
        <w:t>ITEM 1B. UNRESOLVED STAFF COMMENTS</w:t>
      </w:r>
    </w:p>
    <w:p>
      <w:pPr>
        <w:spacing w:after="0" w:line="11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9"/>
          <w:szCs w:val="19"/>
          <w:color w:val="231F20"/>
        </w:rPr>
        <w:t>None.</w:t>
      </w:r>
    </w:p>
    <w:p>
      <w:pPr>
        <w:spacing w:after="0" w:line="33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231F20"/>
        </w:rPr>
        <w:t>ITEM 1C. CYBERSECURITY</w:t>
      </w:r>
    </w:p>
    <w:p>
      <w:pPr>
        <w:spacing w:after="0" w:line="11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9"/>
          <w:szCs w:val="19"/>
          <w:b w:val="1"/>
          <w:bCs w:val="1"/>
          <w:color w:val="231F20"/>
        </w:rPr>
        <w:t>Cybersecurity Risk Management and Strategy</w:t>
      </w:r>
    </w:p>
    <w:p>
      <w:pPr>
        <w:spacing w:after="0" w:line="114" w:lineRule="exact"/>
        <w:rPr>
          <w:sz w:val="20"/>
          <w:szCs w:val="20"/>
          <w:color w:val="auto"/>
        </w:rPr>
      </w:pPr>
    </w:p>
    <w:p>
      <w:pPr>
        <w:ind w:right="20" w:firstLine="231"/>
        <w:spacing w:after="0" w:line="246" w:lineRule="auto"/>
        <w:rPr>
          <w:sz w:val="20"/>
          <w:szCs w:val="20"/>
          <w:color w:val="auto"/>
        </w:rPr>
      </w:pPr>
      <w:r>
        <w:rPr>
          <w:rFonts w:ascii="Times New Roman" w:cs="Times New Roman" w:eastAsia="Times New Roman" w:hAnsi="Times New Roman"/>
          <w:sz w:val="19"/>
          <w:szCs w:val="19"/>
          <w:color w:val="231F20"/>
        </w:rPr>
        <w:t>As an externally managed closed-end management investment company that has elected to be regulated as a BDC under the 1940 Act, our day-to-day operations are managed by the Adviser, Administrator and our executive officers under the oversight of our Board of Directors. Our executive officers are senior professionals of the Adviser and Sixth Street and each of the Adviser and Administrator is a subsidiary of Sixth Street. As such, we are reliant on Sixth Street for assessing, identifying and managing material risks to our business from cybersecurity threats. Below are details Sixth Street has provided to us regarding its cybersecurity program that are relevant to us.</w:t>
      </w:r>
    </w:p>
    <w:p>
      <w:pPr>
        <w:spacing w:after="0" w:line="290" w:lineRule="exact"/>
        <w:rPr>
          <w:sz w:val="20"/>
          <w:szCs w:val="20"/>
          <w:color w:val="auto"/>
        </w:rPr>
      </w:pPr>
    </w:p>
    <w:p>
      <w:pPr>
        <w:ind w:right="20" w:firstLine="231"/>
        <w:spacing w:after="0" w:line="246" w:lineRule="auto"/>
        <w:rPr>
          <w:sz w:val="20"/>
          <w:szCs w:val="20"/>
          <w:color w:val="auto"/>
        </w:rPr>
      </w:pPr>
      <w:r>
        <w:rPr>
          <w:rFonts w:ascii="Times New Roman" w:cs="Times New Roman" w:eastAsia="Times New Roman" w:hAnsi="Times New Roman"/>
          <w:sz w:val="19"/>
          <w:szCs w:val="19"/>
          <w:color w:val="231F20"/>
        </w:rPr>
        <w:t>Sixth Street maintains a comprehensive cybersecurity program, including policies and procedures designed to protect its systems, operations, and the data utilized and entrusted to it, including by us, from anticipated threats or hazards. Sixth Street utilizes a variety of protective measures as a part of its cybersecurity program. These measures include, where appropriate, physical and digital access controls, patch management, identity verification and mobile device management software, employee cybersecurity awareness and best practices training programs, security baselines and tools to report anomalous activity, and monitoring of data usage, hardware and software, among others.</w:t>
      </w:r>
    </w:p>
    <w:p>
      <w:pPr>
        <w:spacing w:after="0" w:line="290" w:lineRule="exact"/>
        <w:rPr>
          <w:sz w:val="20"/>
          <w:szCs w:val="20"/>
          <w:color w:val="auto"/>
        </w:rPr>
      </w:pPr>
    </w:p>
    <w:p>
      <w:pPr>
        <w:ind w:right="160" w:firstLine="231"/>
        <w:spacing w:after="0" w:line="244" w:lineRule="auto"/>
        <w:rPr>
          <w:sz w:val="20"/>
          <w:szCs w:val="20"/>
          <w:color w:val="auto"/>
        </w:rPr>
      </w:pPr>
      <w:r>
        <w:rPr>
          <w:rFonts w:ascii="Times New Roman" w:cs="Times New Roman" w:eastAsia="Times New Roman" w:hAnsi="Times New Roman"/>
          <w:sz w:val="19"/>
          <w:szCs w:val="19"/>
          <w:color w:val="231F20"/>
        </w:rPr>
        <w:t>Sixth Street tests its cybersecurity defenses regularly through automated and manual vulnerability scanning, to identify and remediate critical vulnerabilities. In addition, it conducts annual “white hat” penetration tests to validate its security posture. Further, Sixth Street engages in cyber incident tabletop exercises and scenario planning exercises involving hypothetical cybersecurity incidents to test its cyber incident response processes. Tabletop exercises are conducted by Sixth Street’s Technology Risk team in collaboration with outside service providers as appropriate and includes members of Sixth Street’s senior management and Legal/ Compliance team. Learnings from these tabletop exercises and any events that Sixth Street experiences are reviewed, discussed, and incorporated into its cybersecurity framework as appropriate.</w:t>
      </w:r>
    </w:p>
    <w:p>
      <w:pPr>
        <w:spacing w:after="0" w:line="296" w:lineRule="exact"/>
        <w:rPr>
          <w:sz w:val="20"/>
          <w:szCs w:val="20"/>
          <w:color w:val="auto"/>
        </w:rPr>
      </w:pPr>
    </w:p>
    <w:p>
      <w:pPr>
        <w:ind w:firstLine="231"/>
        <w:spacing w:after="0" w:line="269" w:lineRule="auto"/>
        <w:rPr>
          <w:sz w:val="20"/>
          <w:szCs w:val="20"/>
          <w:color w:val="auto"/>
        </w:rPr>
      </w:pPr>
      <w:r>
        <w:rPr>
          <w:rFonts w:ascii="Times New Roman" w:cs="Times New Roman" w:eastAsia="Times New Roman" w:hAnsi="Times New Roman"/>
          <w:sz w:val="18"/>
          <w:szCs w:val="18"/>
          <w:color w:val="231F20"/>
        </w:rPr>
        <w:t>In addition to Sixth Street’s internal exercises to test aspects of its cybersecurity program, Sixth Street periodically engages independent third parties to assess the risks associated with its information technology resources and information assets. Among other matters, these third parties analyze data on the interactions of users of Sixth Street’s information technology resources, including employees, and conduct penetration tests and scanning exercises to assess the performance of the cybersecurity systems and processes.</w:t>
      </w:r>
    </w:p>
    <w:p>
      <w:pPr>
        <w:spacing w:after="0" w:line="271" w:lineRule="exact"/>
        <w:rPr>
          <w:sz w:val="20"/>
          <w:szCs w:val="20"/>
          <w:color w:val="auto"/>
        </w:rPr>
      </w:pPr>
    </w:p>
    <w:p>
      <w:pPr>
        <w:ind w:right="40" w:firstLine="231"/>
        <w:spacing w:after="0" w:line="244" w:lineRule="auto"/>
        <w:rPr>
          <w:sz w:val="20"/>
          <w:szCs w:val="20"/>
          <w:color w:val="auto"/>
        </w:rPr>
      </w:pPr>
      <w:r>
        <w:rPr>
          <w:rFonts w:ascii="Times New Roman" w:cs="Times New Roman" w:eastAsia="Times New Roman" w:hAnsi="Times New Roman"/>
          <w:sz w:val="19"/>
          <w:szCs w:val="19"/>
          <w:color w:val="231F20"/>
        </w:rPr>
        <w:t>Sixth Street has a comprehensive Security Incident Response Plan (the “IRP”) designed to inform the proper escalation (including, as appropriate, to our executive officers and other representatives of the Adviser or its affiliates) of non-routine suspected or confirmed information security or cybersecurity events based on the expected risk an event presents. As appropriate, a team composed of individuals from several internal technical and managerial functions may be formed to investigate and remediate the event and determine the extent of external advisor support required, including from external counsel, forensic investigators, and/or law enforcement. The IRP sets out ongoing monitoring or remediating actions to be taken after resolution of an incident. The IRP is reviewed at least annually.</w:t>
      </w:r>
    </w:p>
    <w:p>
      <w:pPr>
        <w:spacing w:after="0" w:line="296" w:lineRule="exact"/>
        <w:rPr>
          <w:sz w:val="20"/>
          <w:szCs w:val="20"/>
          <w:color w:val="auto"/>
        </w:rPr>
      </w:pPr>
    </w:p>
    <w:p>
      <w:pPr>
        <w:ind w:right="220" w:firstLine="279"/>
        <w:spacing w:after="0" w:line="257" w:lineRule="auto"/>
        <w:rPr>
          <w:sz w:val="20"/>
          <w:szCs w:val="20"/>
          <w:color w:val="auto"/>
        </w:rPr>
      </w:pPr>
      <w:r>
        <w:rPr>
          <w:rFonts w:ascii="Times New Roman" w:cs="Times New Roman" w:eastAsia="Times New Roman" w:hAnsi="Times New Roman"/>
          <w:sz w:val="19"/>
          <w:szCs w:val="19"/>
          <w:color w:val="231F20"/>
        </w:rPr>
        <w:t>Sixth Street maintains a cybersecurity risk management process to identify and mitigate risks that impact the firm. Sixth Street’s Head of Technology Risk periodically discusses and reviews cybersecurity risks and related mitigants with Sixth Street’s Cybersecurity Committee and incorporates relevant cybersecurity risk updates and metrics.</w:t>
      </w:r>
    </w:p>
    <w:p>
      <w:pPr>
        <w:spacing w:after="0" w:line="280" w:lineRule="exact"/>
        <w:rPr>
          <w:sz w:val="20"/>
          <w:szCs w:val="20"/>
          <w:color w:val="auto"/>
        </w:rPr>
      </w:pPr>
    </w:p>
    <w:p>
      <w:pPr>
        <w:ind w:right="280" w:firstLine="231"/>
        <w:spacing w:after="0" w:line="257" w:lineRule="auto"/>
        <w:rPr>
          <w:sz w:val="20"/>
          <w:szCs w:val="20"/>
          <w:color w:val="auto"/>
        </w:rPr>
      </w:pPr>
      <w:r>
        <w:rPr>
          <w:rFonts w:ascii="Times New Roman" w:cs="Times New Roman" w:eastAsia="Times New Roman" w:hAnsi="Times New Roman"/>
          <w:sz w:val="19"/>
          <w:szCs w:val="19"/>
          <w:color w:val="231F20"/>
        </w:rPr>
        <w:t>Sixth Street employs a process designed to assess the cybersecurity risks associated with the engagement of third-party vendors. This assessment is conducted on the basis of, among other factors, the types of services provided and the extent and type of data accessed or processed by a third-party vendor.</w:t>
      </w:r>
    </w:p>
    <w:p>
      <w:pPr>
        <w:spacing w:after="0" w:line="280" w:lineRule="exact"/>
        <w:rPr>
          <w:sz w:val="20"/>
          <w:szCs w:val="20"/>
          <w:color w:val="auto"/>
        </w:rPr>
      </w:pPr>
    </w:p>
    <w:p>
      <w:pPr>
        <w:ind w:right="100" w:firstLine="231"/>
        <w:spacing w:after="0" w:line="246" w:lineRule="auto"/>
        <w:rPr>
          <w:sz w:val="20"/>
          <w:szCs w:val="20"/>
          <w:color w:val="auto"/>
        </w:rPr>
      </w:pPr>
      <w:r>
        <w:rPr>
          <w:rFonts w:ascii="Times New Roman" w:cs="Times New Roman" w:eastAsia="Times New Roman" w:hAnsi="Times New Roman"/>
          <w:sz w:val="19"/>
          <w:szCs w:val="19"/>
          <w:color w:val="231F20"/>
        </w:rPr>
        <w:t>In the last three fiscal years, we have not experienced a material information security breach incident and the expenses we have incurred from information security breach incidents have been immaterial. However, future incidents could have a material impact on our business strategy, results of operations or financial condition. For a discussion of how risks from cybersecurity threats affect our business, and our reliance on the Sixth Street and its affiliates in managing these risks, see “Part 1. Item 1A. Risk Factors – Risk Related to our Business – Cybersecurity risks and cyber incidents may adversely affect our business or those of our portfolio companies by causing a disruption to our operations, a compromise or corruption of confidential information and/or damage to</w:t>
      </w:r>
    </w:p>
    <w:p>
      <w:pPr>
        <w:sectPr>
          <w:pgSz w:w="12240" w:h="15840" w:orient="portrait"/>
          <w:cols w:equalWidth="0" w:num="1">
            <w:col w:w="10200"/>
          </w:cols>
          <w:pgMar w:left="1020" w:top="1315" w:right="1020" w:bottom="574" w:gutter="0" w:footer="0" w:header="0"/>
        </w:sectPr>
      </w:pP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231F20"/>
        </w:rPr>
        <w:t>56</w:t>
      </w:r>
    </w:p>
    <w:p>
      <w:pPr>
        <w:sectPr>
          <w:pgSz w:w="12240" w:h="15840" w:orient="portrait"/>
          <w:cols w:equalWidth="0" w:num="1">
            <w:col w:w="10200"/>
          </w:cols>
          <w:pgMar w:left="1020" w:top="1315" w:right="1020" w:bottom="574" w:gutter="0" w:footer="0" w:header="0"/>
          <w:type w:val="continuous"/>
        </w:sectPr>
      </w:pPr>
    </w:p>
    <w:bookmarkStart w:id="56" w:name="page57"/>
    <w:bookmarkEnd w:id="56"/>
    <w:p>
      <w:pPr>
        <w:ind w:right="100"/>
        <w:spacing w:after="0" w:line="275" w:lineRule="auto"/>
        <w:rPr>
          <w:sz w:val="20"/>
          <w:szCs w:val="20"/>
          <w:color w:val="auto"/>
        </w:rPr>
      </w:pPr>
      <w:r>
        <w:rPr>
          <w:rFonts w:ascii="Times New Roman" w:cs="Times New Roman" w:eastAsia="Times New Roman" w:hAnsi="Times New Roman"/>
          <w:sz w:val="19"/>
          <w:szCs w:val="19"/>
          <w:color w:val="231F20"/>
        </w:rPr>
        <w:t>business relationships, or those of our portfolio companies, all of which could negatively impact our business, results of operations or financial condition” in this Annual Report on Form 10-K.</w:t>
      </w:r>
    </w:p>
    <w:p>
      <w:pPr>
        <w:spacing w:after="0" w:line="149"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9"/>
          <w:szCs w:val="19"/>
          <w:b w:val="1"/>
          <w:bCs w:val="1"/>
          <w:color w:val="231F20"/>
        </w:rPr>
        <w:t>Cybersecurity Governance</w:t>
      </w:r>
    </w:p>
    <w:p>
      <w:pPr>
        <w:spacing w:after="0" w:line="114" w:lineRule="exact"/>
        <w:rPr>
          <w:sz w:val="20"/>
          <w:szCs w:val="20"/>
          <w:color w:val="auto"/>
        </w:rPr>
      </w:pPr>
    </w:p>
    <w:p>
      <w:pPr>
        <w:ind w:right="120" w:firstLine="231"/>
        <w:spacing w:after="0" w:line="250" w:lineRule="auto"/>
        <w:rPr>
          <w:sz w:val="20"/>
          <w:szCs w:val="20"/>
          <w:color w:val="auto"/>
        </w:rPr>
      </w:pPr>
      <w:r>
        <w:rPr>
          <w:rFonts w:ascii="Times New Roman" w:cs="Times New Roman" w:eastAsia="Times New Roman" w:hAnsi="Times New Roman"/>
          <w:sz w:val="19"/>
          <w:szCs w:val="19"/>
          <w:color w:val="231F20"/>
        </w:rPr>
        <w:t>Sixth Street has a dedicated cybersecurity team, led by its Head of Technology Risk, who works closely with Sixth Street’s Cybersecurity Committee, to develop and advance the firm’s cybersecurity strategy, which applies to us. Sixth Street’s Cybersecurity Committee includes its Chief Operating Officer and Chief Information Officer, Chief Risk Officer, General Counsel, Chief Compliance Officer, as well as our Chief Financial Officer and Chief Compliance Officer.</w:t>
      </w:r>
    </w:p>
    <w:p>
      <w:pPr>
        <w:spacing w:after="0" w:line="289" w:lineRule="exact"/>
        <w:rPr>
          <w:sz w:val="20"/>
          <w:szCs w:val="20"/>
          <w:color w:val="auto"/>
        </w:rPr>
      </w:pPr>
    </w:p>
    <w:p>
      <w:pPr>
        <w:ind w:right="580" w:firstLine="231"/>
        <w:spacing w:after="0" w:line="250" w:lineRule="auto"/>
        <w:rPr>
          <w:sz w:val="20"/>
          <w:szCs w:val="20"/>
          <w:color w:val="auto"/>
        </w:rPr>
      </w:pPr>
      <w:r>
        <w:rPr>
          <w:rFonts w:ascii="Times New Roman" w:cs="Times New Roman" w:eastAsia="Times New Roman" w:hAnsi="Times New Roman"/>
          <w:sz w:val="19"/>
          <w:szCs w:val="19"/>
          <w:color w:val="231F20"/>
        </w:rPr>
        <w:t>The Head of Technology Risk has extensive experience in cybersecurity and technology and is responsible for all aspects of cybersecurity across Sixth Street. He has a B.S. in Computer Science from University of Washington and has over 18 years of experience contributing to cybersecurity related workflows, processes, policies, system designs, program management, and vulnerability discovery, exploitation, mitigation, and remediation.</w:t>
      </w:r>
    </w:p>
    <w:p>
      <w:pPr>
        <w:spacing w:after="0" w:line="289" w:lineRule="exact"/>
        <w:rPr>
          <w:sz w:val="20"/>
          <w:szCs w:val="20"/>
          <w:color w:val="auto"/>
        </w:rPr>
      </w:pPr>
    </w:p>
    <w:p>
      <w:pPr>
        <w:ind w:right="260" w:firstLine="231"/>
        <w:spacing w:after="0" w:line="247" w:lineRule="auto"/>
        <w:rPr>
          <w:sz w:val="20"/>
          <w:szCs w:val="20"/>
          <w:color w:val="auto"/>
        </w:rPr>
      </w:pPr>
      <w:r>
        <w:rPr>
          <w:rFonts w:ascii="Times New Roman" w:cs="Times New Roman" w:eastAsia="Times New Roman" w:hAnsi="Times New Roman"/>
          <w:sz w:val="19"/>
          <w:szCs w:val="19"/>
          <w:color w:val="231F20"/>
        </w:rPr>
        <w:t>Sixth Street conducts periodic cybersecurity risk assessments, including assessments or audits of third-party vendors, and assists with the management and mitigation of identified cybersecurity risks. The Head of Technology Risk reviews the cybersecurity framework annually as well as on an event-driven basis as necessary. The Head of Technology Risk also reviews the scope of the cybersecurity measures periodically, including in the event of a change in business practices that may implicate the security or integrity of Sixth Street’s information and systems.</w:t>
      </w:r>
    </w:p>
    <w:p>
      <w:pPr>
        <w:spacing w:after="0" w:line="292" w:lineRule="exact"/>
        <w:rPr>
          <w:sz w:val="20"/>
          <w:szCs w:val="20"/>
          <w:color w:val="auto"/>
        </w:rPr>
      </w:pPr>
    </w:p>
    <w:p>
      <w:pPr>
        <w:ind w:right="220" w:firstLine="231"/>
        <w:spacing w:after="0" w:line="246" w:lineRule="auto"/>
        <w:rPr>
          <w:sz w:val="20"/>
          <w:szCs w:val="20"/>
          <w:color w:val="auto"/>
        </w:rPr>
      </w:pPr>
      <w:r>
        <w:rPr>
          <w:rFonts w:ascii="Times New Roman" w:cs="Times New Roman" w:eastAsia="Times New Roman" w:hAnsi="Times New Roman"/>
          <w:sz w:val="19"/>
          <w:szCs w:val="19"/>
          <w:color w:val="231F20"/>
        </w:rPr>
        <w:t>Our Board of Directors is responsible for understanding the primary risks to our business, including any cybersecurity risks. The Board of Directors is responsible for reviewing periodically our and the Adviser’s information technology security controls and related compliance matters, with management. Sixth Street’s Head of Technology Risk reports to the Board of Directors at least annually on cybersecurity matters, including risks facing us and the Adviser and, as applicable, certain incidents. In addition to such periodic reports, the Board of Directors may receive updates from management as to our and the Adviser’s cybersecurity risks and Sixth Street cybersecurity program developments.</w:t>
      </w: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231F20"/>
        </w:rPr>
        <w:t>ITEM 2. PROPERTIES</w:t>
      </w:r>
    </w:p>
    <w:p>
      <w:pPr>
        <w:spacing w:after="0" w:line="114" w:lineRule="exact"/>
        <w:rPr>
          <w:sz w:val="20"/>
          <w:szCs w:val="20"/>
          <w:color w:val="auto"/>
        </w:rPr>
      </w:pPr>
    </w:p>
    <w:p>
      <w:pPr>
        <w:ind w:right="160" w:firstLine="231"/>
        <w:spacing w:after="0" w:line="275" w:lineRule="auto"/>
        <w:rPr>
          <w:sz w:val="20"/>
          <w:szCs w:val="20"/>
          <w:color w:val="auto"/>
        </w:rPr>
      </w:pPr>
      <w:r>
        <w:rPr>
          <w:rFonts w:ascii="Times New Roman" w:cs="Times New Roman" w:eastAsia="Times New Roman" w:hAnsi="Times New Roman"/>
          <w:sz w:val="19"/>
          <w:szCs w:val="19"/>
          <w:color w:val="231F20"/>
        </w:rPr>
        <w:t>We maintain our principal executive office at 2100 McKinney Avenue, Suite 1500, Dallas, Texas 75201. We do not own any real estate.</w:t>
      </w:r>
    </w:p>
    <w:p>
      <w:pPr>
        <w:spacing w:after="0" w:line="36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231F20"/>
        </w:rPr>
        <w:t>ITEM 3. LEGAL PROCEEDINGS</w:t>
      </w:r>
    </w:p>
    <w:p>
      <w:pPr>
        <w:spacing w:after="0" w:line="114" w:lineRule="exact"/>
        <w:rPr>
          <w:sz w:val="20"/>
          <w:szCs w:val="20"/>
          <w:color w:val="auto"/>
        </w:rPr>
      </w:pPr>
    </w:p>
    <w:p>
      <w:pPr>
        <w:jc w:val="both"/>
        <w:ind w:firstLine="231"/>
        <w:spacing w:after="0" w:line="257" w:lineRule="auto"/>
        <w:rPr>
          <w:sz w:val="20"/>
          <w:szCs w:val="20"/>
          <w:color w:val="auto"/>
        </w:rPr>
      </w:pPr>
      <w:r>
        <w:rPr>
          <w:rFonts w:ascii="Times New Roman" w:cs="Times New Roman" w:eastAsia="Times New Roman" w:hAnsi="Times New Roman"/>
          <w:sz w:val="19"/>
          <w:szCs w:val="19"/>
          <w:color w:val="231F20"/>
        </w:rPr>
        <w:t>From time to time, we may be a party to certain legal proceedings in the ordinary course of business, including proceedings relating to the enforcement of our rights under loans to or other contracts with our portfolio companies. As of December 31, 2024 we were not aware of any material legal proceedings, nor, to our knowledge, is any material legal proceeding threatened against us.</w:t>
      </w: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231F20"/>
        </w:rPr>
        <w:t>ITEM 4. MINE SAFETY DISCLOSURES</w:t>
      </w:r>
    </w:p>
    <w:p>
      <w:pPr>
        <w:spacing w:after="0" w:line="11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9"/>
          <w:szCs w:val="19"/>
          <w:color w:val="231F20"/>
        </w:rPr>
        <w:t>Not applicable.</w:t>
      </w:r>
    </w:p>
    <w:p>
      <w:pPr>
        <w:sectPr>
          <w:pgSz w:w="12240" w:h="15840" w:orient="portrait"/>
          <w:cols w:equalWidth="0" w:num="1">
            <w:col w:w="10200"/>
          </w:cols>
          <w:pgMar w:left="1020" w:top="1317" w:right="1020" w:bottom="57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231F20"/>
        </w:rPr>
        <w:t>57</w:t>
      </w:r>
    </w:p>
    <w:p>
      <w:pPr>
        <w:sectPr>
          <w:pgSz w:w="12240" w:h="15840" w:orient="portrait"/>
          <w:cols w:equalWidth="0" w:num="1">
            <w:col w:w="10200"/>
          </w:cols>
          <w:pgMar w:left="1020" w:top="1317" w:right="1020" w:bottom="574" w:gutter="0" w:footer="0" w:header="0"/>
          <w:type w:val="continuous"/>
        </w:sectPr>
      </w:pPr>
    </w:p>
    <w:bookmarkStart w:id="57" w:name="page58"/>
    <w:bookmarkEnd w:id="57"/>
    <w:p>
      <w:pPr>
        <w:jc w:val="center"/>
        <w:spacing w:after="0"/>
        <w:rPr>
          <w:sz w:val="20"/>
          <w:szCs w:val="20"/>
          <w:color w:val="auto"/>
        </w:rPr>
      </w:pPr>
      <w:r>
        <w:rPr>
          <w:rFonts w:ascii="Times New Roman" w:cs="Times New Roman" w:eastAsia="Times New Roman" w:hAnsi="Times New Roman"/>
          <w:sz w:val="19"/>
          <w:szCs w:val="19"/>
          <w:b w:val="1"/>
          <w:bCs w:val="1"/>
          <w:color w:val="231F20"/>
        </w:rPr>
        <w:t>PART II</w:t>
      </w:r>
    </w:p>
    <w:p>
      <w:pPr>
        <w:spacing w:after="0" w:line="25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9"/>
          <w:szCs w:val="19"/>
          <w:b w:val="1"/>
          <w:bCs w:val="1"/>
          <w:color w:val="231F20"/>
        </w:rPr>
        <w:t>ITEM 5. MARKET FOR REGISTRANT’S COMMON EQUITY, RELATED STOCKHOLDER MATTERS AND ISSUER PURCHASES OF EQUITY SECURITIES</w:t>
      </w:r>
    </w:p>
    <w:p>
      <w:pPr>
        <w:spacing w:after="0" w:line="26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231F20"/>
        </w:rPr>
        <w:t>Price Range of Common Stock</w:t>
      </w:r>
    </w:p>
    <w:p>
      <w:pPr>
        <w:spacing w:after="0" w:line="108" w:lineRule="exact"/>
        <w:rPr>
          <w:sz w:val="20"/>
          <w:szCs w:val="20"/>
          <w:color w:val="auto"/>
        </w:rPr>
      </w:pPr>
    </w:p>
    <w:p>
      <w:pPr>
        <w:ind w:right="60" w:firstLine="231"/>
        <w:spacing w:after="0" w:line="250" w:lineRule="auto"/>
        <w:rPr>
          <w:sz w:val="20"/>
          <w:szCs w:val="20"/>
          <w:color w:val="auto"/>
        </w:rPr>
      </w:pPr>
      <w:r>
        <w:rPr>
          <w:rFonts w:ascii="Times New Roman" w:cs="Times New Roman" w:eastAsia="Times New Roman" w:hAnsi="Times New Roman"/>
          <w:sz w:val="19"/>
          <w:szCs w:val="19"/>
          <w:color w:val="231F20"/>
        </w:rPr>
        <w:t>Our common stock is traded on the NYSE under the symbol “TSLX.” Our common stock has historically traded at prices both above and below our net asset value per share. It is not possible to predict whether our common stock will trade at a price per share at, above or below net asset value per share. See “</w:t>
      </w:r>
      <w:r>
        <w:rPr>
          <w:rFonts w:ascii="Times New Roman" w:cs="Times New Roman" w:eastAsia="Times New Roman" w:hAnsi="Times New Roman"/>
          <w:sz w:val="19"/>
          <w:szCs w:val="19"/>
          <w:i w:val="1"/>
          <w:iCs w:val="1"/>
          <w:color w:val="231F20"/>
        </w:rPr>
        <w:t>ITEM 1A. RISK FACTORS—Risks Related to Our Securities—We cannot assure you</w:t>
      </w:r>
      <w:r>
        <w:rPr>
          <w:rFonts w:ascii="Times New Roman" w:cs="Times New Roman" w:eastAsia="Times New Roman" w:hAnsi="Times New Roman"/>
          <w:sz w:val="19"/>
          <w:szCs w:val="19"/>
          <w:color w:val="231F20"/>
        </w:rPr>
        <w:t xml:space="preserve"> </w:t>
      </w:r>
      <w:r>
        <w:rPr>
          <w:rFonts w:ascii="Times New Roman" w:cs="Times New Roman" w:eastAsia="Times New Roman" w:hAnsi="Times New Roman"/>
          <w:sz w:val="19"/>
          <w:szCs w:val="19"/>
          <w:i w:val="1"/>
          <w:iCs w:val="1"/>
          <w:color w:val="231F20"/>
        </w:rPr>
        <w:t>that the market price of shares of our common stock will not decline</w:t>
      </w:r>
      <w:r>
        <w:rPr>
          <w:rFonts w:ascii="Times New Roman" w:cs="Times New Roman" w:eastAsia="Times New Roman" w:hAnsi="Times New Roman"/>
          <w:sz w:val="19"/>
          <w:szCs w:val="19"/>
          <w:color w:val="231F20"/>
        </w:rPr>
        <w:t>.”</w:t>
      </w: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231F20"/>
        </w:rPr>
        <w:t>Holders</w:t>
      </w:r>
    </w:p>
    <w:p>
      <w:pPr>
        <w:spacing w:after="0" w:line="108" w:lineRule="exact"/>
        <w:rPr>
          <w:sz w:val="20"/>
          <w:szCs w:val="20"/>
          <w:color w:val="auto"/>
        </w:rPr>
      </w:pPr>
    </w:p>
    <w:p>
      <w:pPr>
        <w:ind w:right="60" w:firstLine="231"/>
        <w:spacing w:after="0" w:line="275" w:lineRule="auto"/>
        <w:rPr>
          <w:sz w:val="20"/>
          <w:szCs w:val="20"/>
          <w:color w:val="auto"/>
        </w:rPr>
      </w:pPr>
      <w:r>
        <w:rPr>
          <w:rFonts w:ascii="Times New Roman" w:cs="Times New Roman" w:eastAsia="Times New Roman" w:hAnsi="Times New Roman"/>
          <w:sz w:val="19"/>
          <w:szCs w:val="19"/>
          <w:color w:val="231F20"/>
        </w:rPr>
        <w:t>As of February 13, 2025, there were approximately 4 holders of record of our common stock (including Cede &amp; Co.). This number does not include shareholders for whom shares are held in “nominee” or “street name.”</w:t>
      </w:r>
    </w:p>
    <w:p>
      <w:pPr>
        <w:spacing w:after="0" w:line="27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231F20"/>
        </w:rPr>
        <w:t>Issuer Purchases of Equity Securities</w:t>
      </w:r>
    </w:p>
    <w:p>
      <w:pPr>
        <w:spacing w:after="0" w:line="10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9"/>
          <w:szCs w:val="19"/>
          <w:color w:val="231F20"/>
        </w:rPr>
        <w:t>For the year ended December 31, 2024, there was no common stock repurchased by the Company.</w:t>
      </w:r>
    </w:p>
    <w:p>
      <w:pPr>
        <w:spacing w:after="0" w:line="34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231F20"/>
        </w:rPr>
        <w:t>Stock Performance Graph</w:t>
      </w:r>
    </w:p>
    <w:p>
      <w:pPr>
        <w:spacing w:after="0" w:line="108" w:lineRule="exact"/>
        <w:rPr>
          <w:sz w:val="20"/>
          <w:szCs w:val="20"/>
          <w:color w:val="auto"/>
        </w:rPr>
      </w:pPr>
    </w:p>
    <w:p>
      <w:pPr>
        <w:ind w:right="80" w:firstLine="231"/>
        <w:spacing w:after="0" w:line="259" w:lineRule="auto"/>
        <w:rPr>
          <w:sz w:val="20"/>
          <w:szCs w:val="20"/>
          <w:color w:val="auto"/>
        </w:rPr>
      </w:pPr>
      <w:r>
        <w:rPr>
          <w:rFonts w:ascii="Times New Roman" w:cs="Times New Roman" w:eastAsia="Times New Roman" w:hAnsi="Times New Roman"/>
          <w:sz w:val="18"/>
          <w:szCs w:val="18"/>
          <w:color w:val="231F20"/>
        </w:rPr>
        <w:t>The following graph compares the total return on our common stock from December 31, 2019 to December 31, 2024 with that of the Standard &amp; Poor’s BDC Index, the Standard &amp; Poor’s 500 Stock Index, the S&amp;P LSTA Leveraged Loan Index (“Leverage Loan Index”), and the Bloomberg Barclays US Corporate High Yield Total Return Index (“High Yield Bond Index”). This graph assumes that on December 31, 2019, $100 was invested in our common stock, the Standard &amp; Poor’s BDC Index, the Standard &amp; Poor’s 500 Stock Index, the Leverage Loan Index and the High Yield Bond Index. The graph also assumes the reinvestment of all cash dividends prior to any tax effect. The graph and other information furnished under this Part II Item 5 of this annual report on Form 10-K shall not be deemed to be “soliciting material” or to be “filed” with the SEC or subject to Regulation 14A or 14C under, or to the liabilities of Section 18 of, the Exchange Act. The performance included in the below graph is not necessarily indicative of future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53340</wp:posOffset>
            </wp:positionV>
            <wp:extent cx="6477000" cy="24466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8">
                      <a:extLst>
                        <a:ext uri="{28A0092B-C50C-407E-A947-70E740481C1C}"/>
                      </a:extLst>
                    </a:blip>
                    <a:srcRect/>
                    <a:stretch>
                      <a:fillRect/>
                    </a:stretch>
                  </pic:blipFill>
                  <pic:spPr bwMode="auto">
                    <a:xfrm>
                      <a:off x="0" y="0"/>
                      <a:ext cx="6477000" cy="2446655"/>
                    </a:xfrm>
                    <a:prstGeom prst="rect">
                      <a:avLst/>
                    </a:prstGeom>
                    <a:noFill/>
                  </pic:spPr>
                </pic:pic>
              </a:graphicData>
            </a:graphic>
          </wp:anchor>
        </w:drawing>
      </w:r>
    </w:p>
    <w:p>
      <w:pPr>
        <w:sectPr>
          <w:pgSz w:w="12240" w:h="15840" w:orient="portrait"/>
          <w:cols w:equalWidth="0" w:num="1">
            <w:col w:w="10200"/>
          </w:cols>
          <w:pgMar w:left="1020" w:top="1315" w:right="1020" w:bottom="57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231F20"/>
        </w:rPr>
        <w:t>58</w:t>
      </w:r>
    </w:p>
    <w:p>
      <w:pPr>
        <w:sectPr>
          <w:pgSz w:w="12240" w:h="15840" w:orient="portrait"/>
          <w:cols w:equalWidth="0" w:num="1">
            <w:col w:w="10200"/>
          </w:cols>
          <w:pgMar w:left="1020" w:top="1315" w:right="1020" w:bottom="574" w:gutter="0" w:footer="0" w:header="0"/>
          <w:type w:val="continuous"/>
        </w:sectPr>
      </w:pPr>
    </w:p>
    <w:bookmarkStart w:id="58" w:name="page59"/>
    <w:bookmarkEnd w:id="58"/>
    <w:p>
      <w:pPr>
        <w:jc w:val="center"/>
        <w:ind w:right="-199"/>
        <w:spacing w:after="0"/>
        <w:rPr>
          <w:sz w:val="20"/>
          <w:szCs w:val="20"/>
          <w:color w:val="auto"/>
        </w:rPr>
      </w:pPr>
      <w:r>
        <w:rPr>
          <w:rFonts w:ascii="Times New Roman" w:cs="Times New Roman" w:eastAsia="Times New Roman" w:hAnsi="Times New Roman"/>
          <w:sz w:val="19"/>
          <w:szCs w:val="19"/>
          <w:b w:val="1"/>
          <w:bCs w:val="1"/>
          <w:color w:val="231F20"/>
        </w:rPr>
        <w:t>SENIOR SECURITIES</w:t>
      </w:r>
    </w:p>
    <w:p>
      <w:pPr>
        <w:spacing w:after="0" w:line="218" w:lineRule="exact"/>
        <w:rPr>
          <w:sz w:val="20"/>
          <w:szCs w:val="20"/>
          <w:color w:val="auto"/>
        </w:rPr>
      </w:pPr>
    </w:p>
    <w:p>
      <w:pPr>
        <w:jc w:val="both"/>
        <w:ind w:firstLine="231"/>
        <w:spacing w:after="0" w:line="241" w:lineRule="auto"/>
        <w:rPr>
          <w:sz w:val="20"/>
          <w:szCs w:val="20"/>
          <w:color w:val="auto"/>
        </w:rPr>
      </w:pPr>
      <w:r>
        <w:rPr>
          <w:rFonts w:ascii="Times New Roman" w:cs="Times New Roman" w:eastAsia="Times New Roman" w:hAnsi="Times New Roman"/>
          <w:sz w:val="19"/>
          <w:szCs w:val="19"/>
          <w:color w:val="231F20"/>
        </w:rPr>
        <w:t>Information about our senior securities is shown in the following table as of the end of the last ten fiscal years. The report of our independent registered public accounting firm, KPMG LLP, on the senior securities table as of December 31, 2024 is attached as an exhibit to this annual report on Form 10-K. The “-” indicates information that the SEC expressly does not require to be disclosed for certain types of senior securities.</w:t>
      </w:r>
    </w:p>
    <w:p>
      <w:pPr>
        <w:sectPr>
          <w:pgSz w:w="12240" w:h="15840" w:orient="portrait"/>
          <w:cols w:equalWidth="0" w:num="1">
            <w:col w:w="10000"/>
          </w:cols>
          <w:pgMar w:left="1020" w:top="1307" w:right="1220" w:bottom="57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9"/>
          <w:szCs w:val="19"/>
          <w:color w:val="231F20"/>
        </w:rPr>
        <w:t>59</w:t>
      </w:r>
    </w:p>
    <w:p>
      <w:pPr>
        <w:sectPr>
          <w:pgSz w:w="12240" w:h="15840" w:orient="portrait"/>
          <w:cols w:equalWidth="0" w:num="1">
            <w:col w:w="10000"/>
          </w:cols>
          <w:pgMar w:left="1020" w:top="1307" w:right="1220" w:bottom="574" w:gutter="0" w:footer="0" w:header="0"/>
          <w:type w:val="continuous"/>
        </w:sectPr>
      </w:pPr>
    </w:p>
    <w:bookmarkStart w:id="59" w:name="page60"/>
    <w:bookmarkEnd w:id="59"/>
    <w:tbl>
      <w:tblPr>
        <w:tblLayout w:type="fixed"/>
        <w:tblInd w:w="200" w:type="dxa"/>
        <w:tblCellMar>
          <w:top w:w="0" w:type="dxa"/>
          <w:left w:w="0" w:type="dxa"/>
          <w:bottom w:w="0" w:type="dxa"/>
          <w:right w:w="0" w:type="dxa"/>
        </w:tblCellMar>
      </w:tblPr>
      <w:tr>
        <w:trPr>
          <w:trHeight w:val="195"/>
        </w:trPr>
        <w:tc>
          <w:tcPr>
            <w:tcW w:w="2860" w:type="dxa"/>
            <w:vAlign w:val="bottom"/>
            <w:shd w:val="clear" w:color="auto" w:fill="FDFDFC"/>
          </w:tcPr>
          <w:p>
            <w:pPr>
              <w:spacing w:after="0"/>
              <w:rPr>
                <w:sz w:val="17"/>
                <w:szCs w:val="17"/>
                <w:color w:val="auto"/>
              </w:rPr>
            </w:pPr>
          </w:p>
        </w:tc>
        <w:tc>
          <w:tcPr>
            <w:tcW w:w="180" w:type="dxa"/>
            <w:vAlign w:val="bottom"/>
            <w:shd w:val="clear" w:color="auto" w:fill="FDFDFC"/>
          </w:tcPr>
          <w:p>
            <w:pPr>
              <w:spacing w:after="0"/>
              <w:rPr>
                <w:sz w:val="17"/>
                <w:szCs w:val="17"/>
                <w:color w:val="auto"/>
              </w:rPr>
            </w:pPr>
          </w:p>
        </w:tc>
        <w:tc>
          <w:tcPr>
            <w:tcW w:w="1480" w:type="dxa"/>
            <w:vAlign w:val="bottom"/>
            <w:gridSpan w:val="2"/>
            <w:shd w:val="clear" w:color="auto" w:fill="FDFDFC"/>
          </w:tcPr>
          <w:p>
            <w:pPr>
              <w:jc w:val="center"/>
              <w:spacing w:after="0"/>
              <w:rPr>
                <w:sz w:val="20"/>
                <w:szCs w:val="20"/>
                <w:color w:val="auto"/>
              </w:rPr>
            </w:pPr>
            <w:r>
              <w:rPr>
                <w:rFonts w:ascii="Times New Roman" w:cs="Times New Roman" w:eastAsia="Times New Roman" w:hAnsi="Times New Roman"/>
                <w:sz w:val="17"/>
                <w:szCs w:val="17"/>
                <w:b w:val="1"/>
                <w:bCs w:val="1"/>
                <w:color w:val="231F20"/>
                <w:w w:val="99"/>
              </w:rPr>
              <w:t>Total Amount</w:t>
            </w:r>
          </w:p>
        </w:tc>
        <w:tc>
          <w:tcPr>
            <w:tcW w:w="280" w:type="dxa"/>
            <w:vAlign w:val="bottom"/>
            <w:shd w:val="clear" w:color="auto" w:fill="FDFDFC"/>
          </w:tcPr>
          <w:p>
            <w:pPr>
              <w:spacing w:after="0"/>
              <w:rPr>
                <w:sz w:val="17"/>
                <w:szCs w:val="17"/>
                <w:color w:val="auto"/>
              </w:rPr>
            </w:pPr>
          </w:p>
        </w:tc>
        <w:tc>
          <w:tcPr>
            <w:tcW w:w="120" w:type="dxa"/>
            <w:vAlign w:val="bottom"/>
            <w:shd w:val="clear" w:color="auto" w:fill="FDFDFC"/>
          </w:tcPr>
          <w:p>
            <w:pPr>
              <w:spacing w:after="0"/>
              <w:rPr>
                <w:sz w:val="17"/>
                <w:szCs w:val="17"/>
                <w:color w:val="auto"/>
              </w:rPr>
            </w:pPr>
          </w:p>
        </w:tc>
        <w:tc>
          <w:tcPr>
            <w:tcW w:w="1040" w:type="dxa"/>
            <w:vAlign w:val="bottom"/>
            <w:shd w:val="clear" w:color="auto" w:fill="FDFDFC"/>
          </w:tcPr>
          <w:p>
            <w:pPr>
              <w:spacing w:after="0"/>
              <w:rPr>
                <w:sz w:val="17"/>
                <w:szCs w:val="17"/>
                <w:color w:val="auto"/>
              </w:rPr>
            </w:pPr>
          </w:p>
        </w:tc>
        <w:tc>
          <w:tcPr>
            <w:tcW w:w="300" w:type="dxa"/>
            <w:vAlign w:val="bottom"/>
            <w:shd w:val="clear" w:color="auto" w:fill="FDFDFC"/>
          </w:tcPr>
          <w:p>
            <w:pPr>
              <w:spacing w:after="0"/>
              <w:rPr>
                <w:sz w:val="17"/>
                <w:szCs w:val="17"/>
                <w:color w:val="auto"/>
              </w:rPr>
            </w:pPr>
          </w:p>
        </w:tc>
        <w:tc>
          <w:tcPr>
            <w:tcW w:w="100" w:type="dxa"/>
            <w:vAlign w:val="bottom"/>
            <w:shd w:val="clear" w:color="auto" w:fill="FDFDFC"/>
          </w:tcPr>
          <w:p>
            <w:pPr>
              <w:spacing w:after="0"/>
              <w:rPr>
                <w:sz w:val="17"/>
                <w:szCs w:val="17"/>
                <w:color w:val="auto"/>
              </w:rPr>
            </w:pPr>
          </w:p>
        </w:tc>
        <w:tc>
          <w:tcPr>
            <w:tcW w:w="1220" w:type="dxa"/>
            <w:vAlign w:val="bottom"/>
            <w:shd w:val="clear" w:color="auto" w:fill="FDFDFC"/>
          </w:tcPr>
          <w:p>
            <w:pPr>
              <w:spacing w:after="0"/>
              <w:rPr>
                <w:sz w:val="17"/>
                <w:szCs w:val="17"/>
                <w:color w:val="auto"/>
              </w:rPr>
            </w:pPr>
          </w:p>
        </w:tc>
        <w:tc>
          <w:tcPr>
            <w:tcW w:w="340" w:type="dxa"/>
            <w:vAlign w:val="bottom"/>
            <w:shd w:val="clear" w:color="auto" w:fill="FDFDFC"/>
          </w:tcPr>
          <w:p>
            <w:pPr>
              <w:spacing w:after="0"/>
              <w:rPr>
                <w:sz w:val="17"/>
                <w:szCs w:val="17"/>
                <w:color w:val="auto"/>
              </w:rPr>
            </w:pPr>
          </w:p>
        </w:tc>
        <w:tc>
          <w:tcPr>
            <w:tcW w:w="1040" w:type="dxa"/>
            <w:vAlign w:val="bottom"/>
            <w:shd w:val="clear" w:color="auto" w:fill="FDFDFC"/>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2860" w:type="dxa"/>
            <w:vAlign w:val="bottom"/>
            <w:shd w:val="clear" w:color="auto" w:fill="FDFDFC"/>
          </w:tcPr>
          <w:p>
            <w:pPr>
              <w:spacing w:after="0"/>
              <w:rPr>
                <w:sz w:val="17"/>
                <w:szCs w:val="17"/>
                <w:color w:val="auto"/>
              </w:rPr>
            </w:pPr>
          </w:p>
        </w:tc>
        <w:tc>
          <w:tcPr>
            <w:tcW w:w="180" w:type="dxa"/>
            <w:vAlign w:val="bottom"/>
            <w:shd w:val="clear" w:color="auto" w:fill="FDFDFC"/>
          </w:tcPr>
          <w:p>
            <w:pPr>
              <w:spacing w:after="0"/>
              <w:rPr>
                <w:sz w:val="17"/>
                <w:szCs w:val="17"/>
                <w:color w:val="auto"/>
              </w:rPr>
            </w:pPr>
          </w:p>
        </w:tc>
        <w:tc>
          <w:tcPr>
            <w:tcW w:w="1480" w:type="dxa"/>
            <w:vAlign w:val="bottom"/>
            <w:gridSpan w:val="2"/>
            <w:shd w:val="clear" w:color="auto" w:fill="FDFDFC"/>
          </w:tcPr>
          <w:p>
            <w:pPr>
              <w:jc w:val="center"/>
              <w:spacing w:after="0"/>
              <w:rPr>
                <w:sz w:val="20"/>
                <w:szCs w:val="20"/>
                <w:color w:val="auto"/>
              </w:rPr>
            </w:pPr>
            <w:r>
              <w:rPr>
                <w:rFonts w:ascii="Times New Roman" w:cs="Times New Roman" w:eastAsia="Times New Roman" w:hAnsi="Times New Roman"/>
                <w:sz w:val="17"/>
                <w:szCs w:val="17"/>
                <w:b w:val="1"/>
                <w:bCs w:val="1"/>
                <w:color w:val="231F20"/>
                <w:w w:val="99"/>
              </w:rPr>
              <w:t>Outstanding</w:t>
            </w:r>
          </w:p>
        </w:tc>
        <w:tc>
          <w:tcPr>
            <w:tcW w:w="280" w:type="dxa"/>
            <w:vAlign w:val="bottom"/>
            <w:shd w:val="clear" w:color="auto" w:fill="FDFDFC"/>
          </w:tcPr>
          <w:p>
            <w:pPr>
              <w:spacing w:after="0"/>
              <w:rPr>
                <w:sz w:val="17"/>
                <w:szCs w:val="17"/>
                <w:color w:val="auto"/>
              </w:rPr>
            </w:pPr>
          </w:p>
        </w:tc>
        <w:tc>
          <w:tcPr>
            <w:tcW w:w="120" w:type="dxa"/>
            <w:vAlign w:val="bottom"/>
            <w:shd w:val="clear" w:color="auto" w:fill="FDFDFC"/>
          </w:tcPr>
          <w:p>
            <w:pPr>
              <w:spacing w:after="0"/>
              <w:rPr>
                <w:sz w:val="17"/>
                <w:szCs w:val="17"/>
                <w:color w:val="auto"/>
              </w:rPr>
            </w:pPr>
          </w:p>
        </w:tc>
        <w:tc>
          <w:tcPr>
            <w:tcW w:w="1040" w:type="dxa"/>
            <w:vAlign w:val="bottom"/>
            <w:shd w:val="clear" w:color="auto" w:fill="FDFDFC"/>
          </w:tcPr>
          <w:p>
            <w:pPr>
              <w:spacing w:after="0"/>
              <w:rPr>
                <w:sz w:val="17"/>
                <w:szCs w:val="17"/>
                <w:color w:val="auto"/>
              </w:rPr>
            </w:pPr>
          </w:p>
        </w:tc>
        <w:tc>
          <w:tcPr>
            <w:tcW w:w="300" w:type="dxa"/>
            <w:vAlign w:val="bottom"/>
            <w:shd w:val="clear" w:color="auto" w:fill="FDFDFC"/>
          </w:tcPr>
          <w:p>
            <w:pPr>
              <w:spacing w:after="0"/>
              <w:rPr>
                <w:sz w:val="17"/>
                <w:szCs w:val="17"/>
                <w:color w:val="auto"/>
              </w:rPr>
            </w:pPr>
          </w:p>
        </w:tc>
        <w:tc>
          <w:tcPr>
            <w:tcW w:w="100" w:type="dxa"/>
            <w:vAlign w:val="bottom"/>
            <w:shd w:val="clear" w:color="auto" w:fill="FDFDFC"/>
          </w:tcPr>
          <w:p>
            <w:pPr>
              <w:spacing w:after="0"/>
              <w:rPr>
                <w:sz w:val="17"/>
                <w:szCs w:val="17"/>
                <w:color w:val="auto"/>
              </w:rPr>
            </w:pPr>
          </w:p>
        </w:tc>
        <w:tc>
          <w:tcPr>
            <w:tcW w:w="1220" w:type="dxa"/>
            <w:vAlign w:val="bottom"/>
            <w:vMerge w:val="restart"/>
            <w:shd w:val="clear" w:color="auto" w:fill="FDFDFC"/>
          </w:tcPr>
          <w:p>
            <w:pPr>
              <w:jc w:val="center"/>
              <w:ind w:right="35"/>
              <w:spacing w:after="0"/>
              <w:rPr>
                <w:sz w:val="20"/>
                <w:szCs w:val="20"/>
                <w:color w:val="auto"/>
              </w:rPr>
            </w:pPr>
            <w:r>
              <w:rPr>
                <w:rFonts w:ascii="Times New Roman" w:cs="Times New Roman" w:eastAsia="Times New Roman" w:hAnsi="Times New Roman"/>
                <w:sz w:val="17"/>
                <w:szCs w:val="17"/>
                <w:b w:val="1"/>
                <w:bCs w:val="1"/>
                <w:color w:val="231F20"/>
                <w:w w:val="98"/>
              </w:rPr>
              <w:t>Involuntary</w:t>
            </w:r>
          </w:p>
        </w:tc>
        <w:tc>
          <w:tcPr>
            <w:tcW w:w="340" w:type="dxa"/>
            <w:vAlign w:val="bottom"/>
            <w:shd w:val="clear" w:color="auto" w:fill="FDFDFC"/>
          </w:tcPr>
          <w:p>
            <w:pPr>
              <w:spacing w:after="0"/>
              <w:rPr>
                <w:sz w:val="17"/>
                <w:szCs w:val="17"/>
                <w:color w:val="auto"/>
              </w:rPr>
            </w:pPr>
          </w:p>
        </w:tc>
        <w:tc>
          <w:tcPr>
            <w:tcW w:w="1040" w:type="dxa"/>
            <w:vAlign w:val="bottom"/>
            <w:vMerge w:val="restart"/>
            <w:shd w:val="clear" w:color="auto" w:fill="FDFDFC"/>
          </w:tcPr>
          <w:p>
            <w:pPr>
              <w:jc w:val="center"/>
              <w:spacing w:after="0"/>
              <w:rPr>
                <w:sz w:val="20"/>
                <w:szCs w:val="20"/>
                <w:color w:val="auto"/>
              </w:rPr>
            </w:pPr>
            <w:r>
              <w:rPr>
                <w:rFonts w:ascii="Times New Roman" w:cs="Times New Roman" w:eastAsia="Times New Roman" w:hAnsi="Times New Roman"/>
                <w:sz w:val="17"/>
                <w:szCs w:val="17"/>
                <w:b w:val="1"/>
                <w:bCs w:val="1"/>
                <w:color w:val="231F20"/>
                <w:w w:val="99"/>
              </w:rPr>
              <w:t>Average</w:t>
            </w:r>
          </w:p>
        </w:tc>
        <w:tc>
          <w:tcPr>
            <w:tcW w:w="0" w:type="dxa"/>
            <w:vAlign w:val="bottom"/>
          </w:tcPr>
          <w:p>
            <w:pPr>
              <w:spacing w:after="0"/>
              <w:rPr>
                <w:sz w:val="1"/>
                <w:szCs w:val="1"/>
                <w:color w:val="auto"/>
              </w:rPr>
            </w:pPr>
          </w:p>
        </w:tc>
      </w:tr>
      <w:tr>
        <w:trPr>
          <w:trHeight w:val="195"/>
        </w:trPr>
        <w:tc>
          <w:tcPr>
            <w:tcW w:w="2860" w:type="dxa"/>
            <w:vAlign w:val="bottom"/>
            <w:shd w:val="clear" w:color="auto" w:fill="FDFDFC"/>
          </w:tcPr>
          <w:p>
            <w:pPr>
              <w:spacing w:after="0"/>
              <w:rPr>
                <w:sz w:val="16"/>
                <w:szCs w:val="16"/>
                <w:color w:val="auto"/>
              </w:rPr>
            </w:pPr>
          </w:p>
        </w:tc>
        <w:tc>
          <w:tcPr>
            <w:tcW w:w="180" w:type="dxa"/>
            <w:vAlign w:val="bottom"/>
            <w:shd w:val="clear" w:color="auto" w:fill="FDFDFC"/>
          </w:tcPr>
          <w:p>
            <w:pPr>
              <w:spacing w:after="0"/>
              <w:rPr>
                <w:sz w:val="16"/>
                <w:szCs w:val="16"/>
                <w:color w:val="auto"/>
              </w:rPr>
            </w:pPr>
          </w:p>
        </w:tc>
        <w:tc>
          <w:tcPr>
            <w:tcW w:w="1480" w:type="dxa"/>
            <w:vAlign w:val="bottom"/>
            <w:gridSpan w:val="2"/>
            <w:shd w:val="clear" w:color="auto" w:fill="FDFDFC"/>
          </w:tcPr>
          <w:p>
            <w:pPr>
              <w:jc w:val="center"/>
              <w:spacing w:after="0"/>
              <w:rPr>
                <w:sz w:val="20"/>
                <w:szCs w:val="20"/>
                <w:color w:val="auto"/>
              </w:rPr>
            </w:pPr>
            <w:r>
              <w:rPr>
                <w:rFonts w:ascii="Times New Roman" w:cs="Times New Roman" w:eastAsia="Times New Roman" w:hAnsi="Times New Roman"/>
                <w:sz w:val="17"/>
                <w:szCs w:val="17"/>
                <w:b w:val="1"/>
                <w:bCs w:val="1"/>
                <w:color w:val="231F20"/>
                <w:w w:val="98"/>
              </w:rPr>
              <w:t>Exclusive of</w:t>
            </w:r>
          </w:p>
        </w:tc>
        <w:tc>
          <w:tcPr>
            <w:tcW w:w="280" w:type="dxa"/>
            <w:vAlign w:val="bottom"/>
            <w:shd w:val="clear" w:color="auto" w:fill="FDFDFC"/>
          </w:tcPr>
          <w:p>
            <w:pPr>
              <w:spacing w:after="0"/>
              <w:rPr>
                <w:sz w:val="16"/>
                <w:szCs w:val="16"/>
                <w:color w:val="auto"/>
              </w:rPr>
            </w:pPr>
          </w:p>
        </w:tc>
        <w:tc>
          <w:tcPr>
            <w:tcW w:w="120" w:type="dxa"/>
            <w:vAlign w:val="bottom"/>
            <w:shd w:val="clear" w:color="auto" w:fill="FDFDFC"/>
          </w:tcPr>
          <w:p>
            <w:pPr>
              <w:spacing w:after="0"/>
              <w:rPr>
                <w:sz w:val="16"/>
                <w:szCs w:val="16"/>
                <w:color w:val="auto"/>
              </w:rPr>
            </w:pPr>
          </w:p>
        </w:tc>
        <w:tc>
          <w:tcPr>
            <w:tcW w:w="1040" w:type="dxa"/>
            <w:vAlign w:val="bottom"/>
            <w:shd w:val="clear" w:color="auto" w:fill="FDFDFC"/>
          </w:tcPr>
          <w:p>
            <w:pPr>
              <w:spacing w:after="0"/>
              <w:rPr>
                <w:sz w:val="16"/>
                <w:szCs w:val="16"/>
                <w:color w:val="auto"/>
              </w:rPr>
            </w:pPr>
          </w:p>
        </w:tc>
        <w:tc>
          <w:tcPr>
            <w:tcW w:w="300" w:type="dxa"/>
            <w:vAlign w:val="bottom"/>
            <w:shd w:val="clear" w:color="auto" w:fill="FDFDFC"/>
          </w:tcPr>
          <w:p>
            <w:pPr>
              <w:spacing w:after="0"/>
              <w:rPr>
                <w:sz w:val="16"/>
                <w:szCs w:val="16"/>
                <w:color w:val="auto"/>
              </w:rPr>
            </w:pPr>
          </w:p>
        </w:tc>
        <w:tc>
          <w:tcPr>
            <w:tcW w:w="100" w:type="dxa"/>
            <w:vAlign w:val="bottom"/>
            <w:shd w:val="clear" w:color="auto" w:fill="FDFDFC"/>
          </w:tcPr>
          <w:p>
            <w:pPr>
              <w:spacing w:after="0"/>
              <w:rPr>
                <w:sz w:val="16"/>
                <w:szCs w:val="16"/>
                <w:color w:val="auto"/>
              </w:rPr>
            </w:pPr>
          </w:p>
        </w:tc>
        <w:tc>
          <w:tcPr>
            <w:tcW w:w="1220" w:type="dxa"/>
            <w:vAlign w:val="bottom"/>
            <w:vMerge w:val="continue"/>
            <w:shd w:val="clear" w:color="auto" w:fill="FDFDFC"/>
          </w:tcPr>
          <w:p>
            <w:pPr>
              <w:spacing w:after="0"/>
              <w:rPr>
                <w:sz w:val="16"/>
                <w:szCs w:val="16"/>
                <w:color w:val="auto"/>
              </w:rPr>
            </w:pPr>
          </w:p>
        </w:tc>
        <w:tc>
          <w:tcPr>
            <w:tcW w:w="340" w:type="dxa"/>
            <w:vAlign w:val="bottom"/>
            <w:shd w:val="clear" w:color="auto" w:fill="FDFDFC"/>
          </w:tcPr>
          <w:p>
            <w:pPr>
              <w:spacing w:after="0"/>
              <w:rPr>
                <w:sz w:val="16"/>
                <w:szCs w:val="16"/>
                <w:color w:val="auto"/>
              </w:rPr>
            </w:pPr>
          </w:p>
        </w:tc>
        <w:tc>
          <w:tcPr>
            <w:tcW w:w="1040" w:type="dxa"/>
            <w:vAlign w:val="bottom"/>
            <w:vMerge w:val="continue"/>
            <w:shd w:val="clear" w:color="auto" w:fill="FDFDFC"/>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860" w:type="dxa"/>
            <w:vAlign w:val="bottom"/>
            <w:shd w:val="clear" w:color="auto" w:fill="FDFDFC"/>
          </w:tcPr>
          <w:p>
            <w:pPr>
              <w:spacing w:after="0"/>
              <w:rPr>
                <w:sz w:val="17"/>
                <w:szCs w:val="17"/>
                <w:color w:val="auto"/>
              </w:rPr>
            </w:pPr>
          </w:p>
        </w:tc>
        <w:tc>
          <w:tcPr>
            <w:tcW w:w="180" w:type="dxa"/>
            <w:vAlign w:val="bottom"/>
            <w:shd w:val="clear" w:color="auto" w:fill="FDFDFC"/>
          </w:tcPr>
          <w:p>
            <w:pPr>
              <w:spacing w:after="0"/>
              <w:rPr>
                <w:sz w:val="17"/>
                <w:szCs w:val="17"/>
                <w:color w:val="auto"/>
              </w:rPr>
            </w:pPr>
          </w:p>
        </w:tc>
        <w:tc>
          <w:tcPr>
            <w:tcW w:w="380" w:type="dxa"/>
            <w:vAlign w:val="bottom"/>
            <w:shd w:val="clear" w:color="auto" w:fill="FDFDFC"/>
          </w:tcPr>
          <w:p>
            <w:pPr>
              <w:spacing w:after="0"/>
              <w:rPr>
                <w:sz w:val="17"/>
                <w:szCs w:val="17"/>
                <w:color w:val="auto"/>
              </w:rPr>
            </w:pPr>
          </w:p>
        </w:tc>
        <w:tc>
          <w:tcPr>
            <w:tcW w:w="1100" w:type="dxa"/>
            <w:vAlign w:val="bottom"/>
            <w:shd w:val="clear" w:color="auto" w:fill="FDFDFC"/>
          </w:tcPr>
          <w:p>
            <w:pPr>
              <w:jc w:val="center"/>
              <w:ind w:right="315"/>
              <w:spacing w:after="0"/>
              <w:rPr>
                <w:sz w:val="20"/>
                <w:szCs w:val="20"/>
                <w:color w:val="auto"/>
              </w:rPr>
            </w:pPr>
            <w:r>
              <w:rPr>
                <w:rFonts w:ascii="Times New Roman" w:cs="Times New Roman" w:eastAsia="Times New Roman" w:hAnsi="Times New Roman"/>
                <w:sz w:val="17"/>
                <w:szCs w:val="17"/>
                <w:b w:val="1"/>
                <w:bCs w:val="1"/>
                <w:color w:val="231F20"/>
                <w:w w:val="98"/>
              </w:rPr>
              <w:t>Treasury</w:t>
            </w:r>
          </w:p>
        </w:tc>
        <w:tc>
          <w:tcPr>
            <w:tcW w:w="280" w:type="dxa"/>
            <w:vAlign w:val="bottom"/>
            <w:shd w:val="clear" w:color="auto" w:fill="FDFDFC"/>
          </w:tcPr>
          <w:p>
            <w:pPr>
              <w:spacing w:after="0"/>
              <w:rPr>
                <w:sz w:val="17"/>
                <w:szCs w:val="17"/>
                <w:color w:val="auto"/>
              </w:rPr>
            </w:pPr>
          </w:p>
        </w:tc>
        <w:tc>
          <w:tcPr>
            <w:tcW w:w="120" w:type="dxa"/>
            <w:vAlign w:val="bottom"/>
            <w:shd w:val="clear" w:color="auto" w:fill="FDFDFC"/>
          </w:tcPr>
          <w:p>
            <w:pPr>
              <w:spacing w:after="0"/>
              <w:rPr>
                <w:sz w:val="17"/>
                <w:szCs w:val="17"/>
                <w:color w:val="auto"/>
              </w:rPr>
            </w:pPr>
          </w:p>
        </w:tc>
        <w:tc>
          <w:tcPr>
            <w:tcW w:w="1040" w:type="dxa"/>
            <w:vAlign w:val="bottom"/>
            <w:shd w:val="clear" w:color="auto" w:fill="FDFDFC"/>
          </w:tcPr>
          <w:p>
            <w:pPr>
              <w:spacing w:after="0"/>
              <w:rPr>
                <w:sz w:val="17"/>
                <w:szCs w:val="17"/>
                <w:color w:val="auto"/>
              </w:rPr>
            </w:pPr>
          </w:p>
        </w:tc>
        <w:tc>
          <w:tcPr>
            <w:tcW w:w="300" w:type="dxa"/>
            <w:vAlign w:val="bottom"/>
            <w:shd w:val="clear" w:color="auto" w:fill="FDFDFC"/>
          </w:tcPr>
          <w:p>
            <w:pPr>
              <w:spacing w:after="0"/>
              <w:rPr>
                <w:sz w:val="17"/>
                <w:szCs w:val="17"/>
                <w:color w:val="auto"/>
              </w:rPr>
            </w:pPr>
          </w:p>
        </w:tc>
        <w:tc>
          <w:tcPr>
            <w:tcW w:w="100" w:type="dxa"/>
            <w:vAlign w:val="bottom"/>
            <w:shd w:val="clear" w:color="auto" w:fill="FDFDFC"/>
          </w:tcPr>
          <w:p>
            <w:pPr>
              <w:spacing w:after="0"/>
              <w:rPr>
                <w:sz w:val="17"/>
                <w:szCs w:val="17"/>
                <w:color w:val="auto"/>
              </w:rPr>
            </w:pPr>
          </w:p>
        </w:tc>
        <w:tc>
          <w:tcPr>
            <w:tcW w:w="1220" w:type="dxa"/>
            <w:vAlign w:val="bottom"/>
            <w:shd w:val="clear" w:color="auto" w:fill="FDFDFC"/>
          </w:tcPr>
          <w:p>
            <w:pPr>
              <w:jc w:val="center"/>
              <w:ind w:right="35"/>
              <w:spacing w:after="0"/>
              <w:rPr>
                <w:sz w:val="20"/>
                <w:szCs w:val="20"/>
                <w:color w:val="auto"/>
              </w:rPr>
            </w:pPr>
            <w:r>
              <w:rPr>
                <w:rFonts w:ascii="Times New Roman" w:cs="Times New Roman" w:eastAsia="Times New Roman" w:hAnsi="Times New Roman"/>
                <w:sz w:val="17"/>
                <w:szCs w:val="17"/>
                <w:b w:val="1"/>
                <w:bCs w:val="1"/>
                <w:color w:val="231F20"/>
                <w:w w:val="99"/>
              </w:rPr>
              <w:t>Liquidating</w:t>
            </w:r>
          </w:p>
        </w:tc>
        <w:tc>
          <w:tcPr>
            <w:tcW w:w="340" w:type="dxa"/>
            <w:vAlign w:val="bottom"/>
            <w:shd w:val="clear" w:color="auto" w:fill="FDFDFC"/>
          </w:tcPr>
          <w:p>
            <w:pPr>
              <w:spacing w:after="0"/>
              <w:rPr>
                <w:sz w:val="17"/>
                <w:szCs w:val="17"/>
                <w:color w:val="auto"/>
              </w:rPr>
            </w:pPr>
          </w:p>
        </w:tc>
        <w:tc>
          <w:tcPr>
            <w:tcW w:w="1040" w:type="dxa"/>
            <w:vAlign w:val="bottom"/>
            <w:shd w:val="clear" w:color="auto" w:fill="FDFDFC"/>
          </w:tcPr>
          <w:p>
            <w:pPr>
              <w:jc w:val="center"/>
              <w:spacing w:after="0"/>
              <w:rPr>
                <w:sz w:val="20"/>
                <w:szCs w:val="20"/>
                <w:color w:val="auto"/>
              </w:rPr>
            </w:pPr>
            <w:r>
              <w:rPr>
                <w:rFonts w:ascii="Times New Roman" w:cs="Times New Roman" w:eastAsia="Times New Roman" w:hAnsi="Times New Roman"/>
                <w:sz w:val="17"/>
                <w:szCs w:val="17"/>
                <w:b w:val="1"/>
                <w:bCs w:val="1"/>
                <w:color w:val="231F20"/>
                <w:w w:val="98"/>
              </w:rPr>
              <w:t>Market</w:t>
            </w:r>
          </w:p>
        </w:tc>
        <w:tc>
          <w:tcPr>
            <w:tcW w:w="0" w:type="dxa"/>
            <w:vAlign w:val="bottom"/>
          </w:tcPr>
          <w:p>
            <w:pPr>
              <w:spacing w:after="0"/>
              <w:rPr>
                <w:sz w:val="1"/>
                <w:szCs w:val="1"/>
                <w:color w:val="auto"/>
              </w:rPr>
            </w:pPr>
          </w:p>
        </w:tc>
      </w:tr>
      <w:tr>
        <w:trPr>
          <w:trHeight w:val="195"/>
        </w:trPr>
        <w:tc>
          <w:tcPr>
            <w:tcW w:w="2860" w:type="dxa"/>
            <w:vAlign w:val="bottom"/>
            <w:shd w:val="clear" w:color="auto" w:fill="FDFDFC"/>
          </w:tcPr>
          <w:p>
            <w:pPr>
              <w:spacing w:after="0"/>
              <w:rPr>
                <w:sz w:val="16"/>
                <w:szCs w:val="16"/>
                <w:color w:val="auto"/>
              </w:rPr>
            </w:pPr>
          </w:p>
        </w:tc>
        <w:tc>
          <w:tcPr>
            <w:tcW w:w="180" w:type="dxa"/>
            <w:vAlign w:val="bottom"/>
            <w:shd w:val="clear" w:color="auto" w:fill="FDFDFC"/>
          </w:tcPr>
          <w:p>
            <w:pPr>
              <w:spacing w:after="0"/>
              <w:rPr>
                <w:sz w:val="16"/>
                <w:szCs w:val="16"/>
                <w:color w:val="auto"/>
              </w:rPr>
            </w:pPr>
          </w:p>
        </w:tc>
        <w:tc>
          <w:tcPr>
            <w:tcW w:w="1480" w:type="dxa"/>
            <w:vAlign w:val="bottom"/>
            <w:gridSpan w:val="2"/>
            <w:shd w:val="clear" w:color="auto" w:fill="FDFDFC"/>
          </w:tcPr>
          <w:p>
            <w:pPr>
              <w:jc w:val="center"/>
              <w:spacing w:after="0" w:line="196" w:lineRule="exact"/>
              <w:rPr>
                <w:sz w:val="20"/>
                <w:szCs w:val="20"/>
                <w:color w:val="auto"/>
              </w:rPr>
            </w:pPr>
            <w:r>
              <w:rPr>
                <w:rFonts w:ascii="Times New Roman" w:cs="Times New Roman" w:eastAsia="Times New Roman" w:hAnsi="Times New Roman"/>
                <w:sz w:val="17"/>
                <w:szCs w:val="17"/>
                <w:b w:val="1"/>
                <w:bCs w:val="1"/>
                <w:color w:val="231F20"/>
                <w:w w:val="95"/>
              </w:rPr>
              <w:t xml:space="preserve">Securities </w:t>
            </w:r>
            <w:r>
              <w:rPr>
                <w:rFonts w:ascii="Times New Roman" w:cs="Times New Roman" w:eastAsia="Times New Roman" w:hAnsi="Times New Roman"/>
                <w:sz w:val="22"/>
                <w:szCs w:val="22"/>
                <w:b w:val="1"/>
                <w:bCs w:val="1"/>
                <w:color w:val="231F20"/>
                <w:w w:val="95"/>
                <w:vertAlign w:val="superscript"/>
              </w:rPr>
              <w:t>(1)</w:t>
            </w:r>
          </w:p>
        </w:tc>
        <w:tc>
          <w:tcPr>
            <w:tcW w:w="280" w:type="dxa"/>
            <w:vAlign w:val="bottom"/>
            <w:shd w:val="clear" w:color="auto" w:fill="FDFDFC"/>
          </w:tcPr>
          <w:p>
            <w:pPr>
              <w:spacing w:after="0"/>
              <w:rPr>
                <w:sz w:val="16"/>
                <w:szCs w:val="16"/>
                <w:color w:val="auto"/>
              </w:rPr>
            </w:pPr>
          </w:p>
        </w:tc>
        <w:tc>
          <w:tcPr>
            <w:tcW w:w="1160" w:type="dxa"/>
            <w:vAlign w:val="bottom"/>
            <w:gridSpan w:val="2"/>
            <w:shd w:val="clear" w:color="auto" w:fill="FDFDFC"/>
          </w:tcPr>
          <w:p>
            <w:pPr>
              <w:spacing w:after="0"/>
              <w:rPr>
                <w:sz w:val="20"/>
                <w:szCs w:val="20"/>
                <w:color w:val="auto"/>
              </w:rPr>
            </w:pPr>
            <w:r>
              <w:rPr>
                <w:rFonts w:ascii="Times New Roman" w:cs="Times New Roman" w:eastAsia="Times New Roman" w:hAnsi="Times New Roman"/>
                <w:sz w:val="17"/>
                <w:szCs w:val="17"/>
                <w:b w:val="1"/>
                <w:bCs w:val="1"/>
                <w:color w:val="231F20"/>
              </w:rPr>
              <w:t>Asset Coverage</w:t>
            </w:r>
          </w:p>
        </w:tc>
        <w:tc>
          <w:tcPr>
            <w:tcW w:w="300" w:type="dxa"/>
            <w:vAlign w:val="bottom"/>
            <w:shd w:val="clear" w:color="auto" w:fill="FDFDFC"/>
          </w:tcPr>
          <w:p>
            <w:pPr>
              <w:spacing w:after="0"/>
              <w:rPr>
                <w:sz w:val="16"/>
                <w:szCs w:val="16"/>
                <w:color w:val="auto"/>
              </w:rPr>
            </w:pPr>
          </w:p>
        </w:tc>
        <w:tc>
          <w:tcPr>
            <w:tcW w:w="100" w:type="dxa"/>
            <w:vAlign w:val="bottom"/>
            <w:shd w:val="clear" w:color="auto" w:fill="FDFDFC"/>
          </w:tcPr>
          <w:p>
            <w:pPr>
              <w:spacing w:after="0"/>
              <w:rPr>
                <w:sz w:val="16"/>
                <w:szCs w:val="16"/>
                <w:color w:val="auto"/>
              </w:rPr>
            </w:pPr>
          </w:p>
        </w:tc>
        <w:tc>
          <w:tcPr>
            <w:tcW w:w="1220" w:type="dxa"/>
            <w:vAlign w:val="bottom"/>
            <w:shd w:val="clear" w:color="auto" w:fill="FDFDFC"/>
          </w:tcPr>
          <w:p>
            <w:pPr>
              <w:jc w:val="center"/>
              <w:ind w:right="55"/>
              <w:spacing w:after="0"/>
              <w:rPr>
                <w:sz w:val="20"/>
                <w:szCs w:val="20"/>
                <w:color w:val="auto"/>
              </w:rPr>
            </w:pPr>
            <w:r>
              <w:rPr>
                <w:rFonts w:ascii="Times New Roman" w:cs="Times New Roman" w:eastAsia="Times New Roman" w:hAnsi="Times New Roman"/>
                <w:sz w:val="17"/>
                <w:szCs w:val="17"/>
                <w:b w:val="1"/>
                <w:bCs w:val="1"/>
                <w:color w:val="231F20"/>
                <w:w w:val="99"/>
              </w:rPr>
              <w:t>Preference Per</w:t>
            </w:r>
          </w:p>
        </w:tc>
        <w:tc>
          <w:tcPr>
            <w:tcW w:w="340" w:type="dxa"/>
            <w:vAlign w:val="bottom"/>
            <w:shd w:val="clear" w:color="auto" w:fill="FDFDFC"/>
          </w:tcPr>
          <w:p>
            <w:pPr>
              <w:spacing w:after="0"/>
              <w:rPr>
                <w:sz w:val="16"/>
                <w:szCs w:val="16"/>
                <w:color w:val="auto"/>
              </w:rPr>
            </w:pPr>
          </w:p>
        </w:tc>
        <w:tc>
          <w:tcPr>
            <w:tcW w:w="1040" w:type="dxa"/>
            <w:vAlign w:val="bottom"/>
            <w:shd w:val="clear" w:color="auto" w:fill="FDFDFC"/>
          </w:tcPr>
          <w:p>
            <w:pPr>
              <w:jc w:val="center"/>
              <w:spacing w:after="0"/>
              <w:rPr>
                <w:sz w:val="20"/>
                <w:szCs w:val="20"/>
                <w:color w:val="auto"/>
              </w:rPr>
            </w:pPr>
            <w:r>
              <w:rPr>
                <w:rFonts w:ascii="Times New Roman" w:cs="Times New Roman" w:eastAsia="Times New Roman" w:hAnsi="Times New Roman"/>
                <w:sz w:val="17"/>
                <w:szCs w:val="17"/>
                <w:b w:val="1"/>
                <w:bCs w:val="1"/>
                <w:color w:val="231F20"/>
                <w:w w:val="98"/>
              </w:rPr>
              <w:t>Value</w:t>
            </w:r>
          </w:p>
        </w:tc>
        <w:tc>
          <w:tcPr>
            <w:tcW w:w="0" w:type="dxa"/>
            <w:vAlign w:val="bottom"/>
          </w:tcPr>
          <w:p>
            <w:pPr>
              <w:spacing w:after="0"/>
              <w:rPr>
                <w:sz w:val="1"/>
                <w:szCs w:val="1"/>
                <w:color w:val="auto"/>
              </w:rPr>
            </w:pPr>
          </w:p>
        </w:tc>
      </w:tr>
      <w:tr>
        <w:trPr>
          <w:trHeight w:val="216"/>
        </w:trPr>
        <w:tc>
          <w:tcPr>
            <w:tcW w:w="2860" w:type="dxa"/>
            <w:vAlign w:val="bottom"/>
            <w:shd w:val="clear" w:color="auto" w:fill="FDFDFC"/>
          </w:tcPr>
          <w:p>
            <w:pPr>
              <w:ind w:left="600"/>
              <w:spacing w:after="0"/>
              <w:rPr>
                <w:sz w:val="20"/>
                <w:szCs w:val="20"/>
                <w:color w:val="auto"/>
              </w:rPr>
            </w:pPr>
            <w:r>
              <w:rPr>
                <w:rFonts w:ascii="Times New Roman" w:cs="Times New Roman" w:eastAsia="Times New Roman" w:hAnsi="Times New Roman"/>
                <w:sz w:val="17"/>
                <w:szCs w:val="17"/>
                <w:b w:val="1"/>
                <w:bCs w:val="1"/>
                <w:color w:val="231F20"/>
              </w:rPr>
              <w:t>Class and Year/Period</w:t>
            </w:r>
          </w:p>
        </w:tc>
        <w:tc>
          <w:tcPr>
            <w:tcW w:w="560" w:type="dxa"/>
            <w:vAlign w:val="bottom"/>
            <w:gridSpan w:val="2"/>
            <w:shd w:val="clear" w:color="auto" w:fill="FDFDFC"/>
          </w:tcPr>
          <w:p>
            <w:pPr>
              <w:jc w:val="right"/>
              <w:spacing w:after="0"/>
              <w:rPr>
                <w:sz w:val="20"/>
                <w:szCs w:val="20"/>
                <w:color w:val="auto"/>
              </w:rPr>
            </w:pPr>
            <w:r>
              <w:rPr>
                <w:rFonts w:ascii="Times New Roman" w:cs="Times New Roman" w:eastAsia="Times New Roman" w:hAnsi="Times New Roman"/>
                <w:sz w:val="17"/>
                <w:szCs w:val="17"/>
                <w:b w:val="1"/>
                <w:bCs w:val="1"/>
                <w:color w:val="231F20"/>
              </w:rPr>
              <w:t>($</w:t>
            </w:r>
          </w:p>
        </w:tc>
        <w:tc>
          <w:tcPr>
            <w:tcW w:w="1100" w:type="dxa"/>
            <w:vAlign w:val="bottom"/>
            <w:shd w:val="clear" w:color="auto" w:fill="FDFDFC"/>
          </w:tcPr>
          <w:p>
            <w:pPr>
              <w:jc w:val="right"/>
              <w:ind w:right="155"/>
              <w:spacing w:after="0"/>
              <w:rPr>
                <w:sz w:val="20"/>
                <w:szCs w:val="20"/>
                <w:color w:val="auto"/>
              </w:rPr>
            </w:pPr>
            <w:r>
              <w:rPr>
                <w:rFonts w:ascii="Times New Roman" w:cs="Times New Roman" w:eastAsia="Times New Roman" w:hAnsi="Times New Roman"/>
                <w:sz w:val="17"/>
                <w:szCs w:val="17"/>
                <w:b w:val="1"/>
                <w:bCs w:val="1"/>
                <w:color w:val="231F20"/>
              </w:rPr>
              <w:t>in millions)</w:t>
            </w:r>
          </w:p>
        </w:tc>
        <w:tc>
          <w:tcPr>
            <w:tcW w:w="280" w:type="dxa"/>
            <w:vAlign w:val="bottom"/>
            <w:shd w:val="clear" w:color="auto" w:fill="FDFDFC"/>
          </w:tcPr>
          <w:p>
            <w:pPr>
              <w:spacing w:after="0"/>
              <w:rPr>
                <w:sz w:val="18"/>
                <w:szCs w:val="18"/>
                <w:color w:val="auto"/>
              </w:rPr>
            </w:pPr>
          </w:p>
        </w:tc>
        <w:tc>
          <w:tcPr>
            <w:tcW w:w="120" w:type="dxa"/>
            <w:vAlign w:val="bottom"/>
            <w:shd w:val="clear" w:color="auto" w:fill="FDFDFC"/>
          </w:tcPr>
          <w:p>
            <w:pPr>
              <w:spacing w:after="0"/>
              <w:rPr>
                <w:sz w:val="18"/>
                <w:szCs w:val="18"/>
                <w:color w:val="auto"/>
              </w:rPr>
            </w:pPr>
          </w:p>
        </w:tc>
        <w:tc>
          <w:tcPr>
            <w:tcW w:w="1040" w:type="dxa"/>
            <w:vAlign w:val="bottom"/>
            <w:shd w:val="clear" w:color="auto" w:fill="FDFDFC"/>
          </w:tcPr>
          <w:p>
            <w:pPr>
              <w:jc w:val="right"/>
              <w:ind w:right="115"/>
              <w:spacing w:after="0" w:line="217" w:lineRule="exact"/>
              <w:rPr>
                <w:sz w:val="20"/>
                <w:szCs w:val="20"/>
                <w:color w:val="auto"/>
              </w:rPr>
            </w:pPr>
            <w:r>
              <w:rPr>
                <w:rFonts w:ascii="Times New Roman" w:cs="Times New Roman" w:eastAsia="Times New Roman" w:hAnsi="Times New Roman"/>
                <w:sz w:val="17"/>
                <w:szCs w:val="17"/>
                <w:b w:val="1"/>
                <w:bCs w:val="1"/>
                <w:color w:val="231F20"/>
                <w:w w:val="98"/>
              </w:rPr>
              <w:t xml:space="preserve">Per Unit </w:t>
            </w:r>
            <w:r>
              <w:rPr>
                <w:rFonts w:ascii="Times New Roman" w:cs="Times New Roman" w:eastAsia="Times New Roman" w:hAnsi="Times New Roman"/>
                <w:sz w:val="22"/>
                <w:szCs w:val="22"/>
                <w:b w:val="1"/>
                <w:bCs w:val="1"/>
                <w:color w:val="231F20"/>
                <w:w w:val="98"/>
                <w:vertAlign w:val="superscript"/>
              </w:rPr>
              <w:t>(2)</w:t>
            </w:r>
          </w:p>
        </w:tc>
        <w:tc>
          <w:tcPr>
            <w:tcW w:w="300" w:type="dxa"/>
            <w:vAlign w:val="bottom"/>
            <w:shd w:val="clear" w:color="auto" w:fill="FDFDFC"/>
          </w:tcPr>
          <w:p>
            <w:pPr>
              <w:spacing w:after="0"/>
              <w:rPr>
                <w:sz w:val="18"/>
                <w:szCs w:val="18"/>
                <w:color w:val="auto"/>
              </w:rPr>
            </w:pPr>
          </w:p>
        </w:tc>
        <w:tc>
          <w:tcPr>
            <w:tcW w:w="100" w:type="dxa"/>
            <w:vAlign w:val="bottom"/>
            <w:shd w:val="clear" w:color="auto" w:fill="FDFDFC"/>
          </w:tcPr>
          <w:p>
            <w:pPr>
              <w:spacing w:after="0"/>
              <w:rPr>
                <w:sz w:val="18"/>
                <w:szCs w:val="18"/>
                <w:color w:val="auto"/>
              </w:rPr>
            </w:pPr>
          </w:p>
        </w:tc>
        <w:tc>
          <w:tcPr>
            <w:tcW w:w="1220" w:type="dxa"/>
            <w:vAlign w:val="bottom"/>
            <w:shd w:val="clear" w:color="auto" w:fill="FDFDFC"/>
          </w:tcPr>
          <w:p>
            <w:pPr>
              <w:jc w:val="center"/>
              <w:ind w:right="35"/>
              <w:spacing w:after="0" w:line="217" w:lineRule="exact"/>
              <w:rPr>
                <w:sz w:val="20"/>
                <w:szCs w:val="20"/>
                <w:color w:val="auto"/>
              </w:rPr>
            </w:pPr>
            <w:r>
              <w:rPr>
                <w:rFonts w:ascii="Times New Roman" w:cs="Times New Roman" w:eastAsia="Times New Roman" w:hAnsi="Times New Roman"/>
                <w:sz w:val="17"/>
                <w:szCs w:val="17"/>
                <w:b w:val="1"/>
                <w:bCs w:val="1"/>
                <w:color w:val="231F20"/>
                <w:w w:val="93"/>
              </w:rPr>
              <w:t xml:space="preserve">Unit </w:t>
            </w:r>
            <w:r>
              <w:rPr>
                <w:rFonts w:ascii="Times New Roman" w:cs="Times New Roman" w:eastAsia="Times New Roman" w:hAnsi="Times New Roman"/>
                <w:sz w:val="22"/>
                <w:szCs w:val="22"/>
                <w:b w:val="1"/>
                <w:bCs w:val="1"/>
                <w:color w:val="231F20"/>
                <w:w w:val="93"/>
                <w:vertAlign w:val="superscript"/>
              </w:rPr>
              <w:t>(3)</w:t>
            </w:r>
          </w:p>
        </w:tc>
        <w:tc>
          <w:tcPr>
            <w:tcW w:w="340" w:type="dxa"/>
            <w:vAlign w:val="bottom"/>
            <w:shd w:val="clear" w:color="auto" w:fill="FDFDFC"/>
          </w:tcPr>
          <w:p>
            <w:pPr>
              <w:spacing w:after="0"/>
              <w:rPr>
                <w:sz w:val="18"/>
                <w:szCs w:val="18"/>
                <w:color w:val="auto"/>
              </w:rPr>
            </w:pPr>
          </w:p>
        </w:tc>
        <w:tc>
          <w:tcPr>
            <w:tcW w:w="1040" w:type="dxa"/>
            <w:vAlign w:val="bottom"/>
            <w:shd w:val="clear" w:color="auto" w:fill="FDFDFC"/>
          </w:tcPr>
          <w:p>
            <w:pPr>
              <w:jc w:val="center"/>
              <w:spacing w:after="0" w:line="217" w:lineRule="exact"/>
              <w:rPr>
                <w:sz w:val="20"/>
                <w:szCs w:val="20"/>
                <w:color w:val="auto"/>
              </w:rPr>
            </w:pPr>
            <w:r>
              <w:rPr>
                <w:rFonts w:ascii="Times New Roman" w:cs="Times New Roman" w:eastAsia="Times New Roman" w:hAnsi="Times New Roman"/>
                <w:sz w:val="17"/>
                <w:szCs w:val="17"/>
                <w:b w:val="1"/>
                <w:bCs w:val="1"/>
                <w:color w:val="231F20"/>
                <w:w w:val="96"/>
              </w:rPr>
              <w:t xml:space="preserve">Per Unit </w:t>
            </w:r>
            <w:r>
              <w:rPr>
                <w:rFonts w:ascii="Times New Roman" w:cs="Times New Roman" w:eastAsia="Times New Roman" w:hAnsi="Times New Roman"/>
                <w:sz w:val="22"/>
                <w:szCs w:val="22"/>
                <w:b w:val="1"/>
                <w:bCs w:val="1"/>
                <w:color w:val="231F20"/>
                <w:w w:val="96"/>
                <w:vertAlign w:val="superscript"/>
              </w:rPr>
              <w:t>(4)</w:t>
            </w:r>
          </w:p>
        </w:tc>
        <w:tc>
          <w:tcPr>
            <w:tcW w:w="0" w:type="dxa"/>
            <w:vAlign w:val="bottom"/>
          </w:tcPr>
          <w:p>
            <w:pPr>
              <w:spacing w:after="0"/>
              <w:rPr>
                <w:sz w:val="1"/>
                <w:szCs w:val="1"/>
                <w:color w:val="auto"/>
              </w:rPr>
            </w:pPr>
          </w:p>
        </w:tc>
      </w:tr>
      <w:tr>
        <w:trPr>
          <w:trHeight w:val="198"/>
        </w:trPr>
        <w:tc>
          <w:tcPr>
            <w:tcW w:w="2860" w:type="dxa"/>
            <w:vAlign w:val="bottom"/>
            <w:tcBorders>
              <w:top w:val="single" w:sz="8" w:color="231F20"/>
            </w:tcBorders>
            <w:shd w:val="clear" w:color="auto" w:fill="D0EBF2"/>
          </w:tcPr>
          <w:p>
            <w:pPr>
              <w:spacing w:after="0"/>
              <w:rPr>
                <w:sz w:val="20"/>
                <w:szCs w:val="20"/>
                <w:color w:val="auto"/>
              </w:rPr>
            </w:pPr>
            <w:r>
              <w:rPr>
                <w:rFonts w:ascii="Times New Roman" w:cs="Times New Roman" w:eastAsia="Times New Roman" w:hAnsi="Times New Roman"/>
                <w:sz w:val="17"/>
                <w:szCs w:val="17"/>
                <w:b w:val="1"/>
                <w:bCs w:val="1"/>
                <w:color w:val="231F20"/>
              </w:rPr>
              <w:t>Revolving Credit Facilities</w:t>
            </w:r>
          </w:p>
        </w:tc>
        <w:tc>
          <w:tcPr>
            <w:tcW w:w="180" w:type="dxa"/>
            <w:vAlign w:val="bottom"/>
            <w:tcBorders>
              <w:top w:val="single" w:sz="8" w:color="D0EBF2"/>
            </w:tcBorders>
            <w:shd w:val="clear" w:color="auto" w:fill="D0EBF2"/>
          </w:tcPr>
          <w:p>
            <w:pPr>
              <w:spacing w:after="0"/>
              <w:rPr>
                <w:sz w:val="17"/>
                <w:szCs w:val="17"/>
                <w:color w:val="auto"/>
              </w:rPr>
            </w:pPr>
          </w:p>
        </w:tc>
        <w:tc>
          <w:tcPr>
            <w:tcW w:w="380" w:type="dxa"/>
            <w:vAlign w:val="bottom"/>
            <w:tcBorders>
              <w:top w:val="single" w:sz="8" w:color="231F20"/>
            </w:tcBorders>
            <w:shd w:val="clear" w:color="auto" w:fill="D0EBF2"/>
          </w:tcPr>
          <w:p>
            <w:pPr>
              <w:spacing w:after="0"/>
              <w:rPr>
                <w:sz w:val="17"/>
                <w:szCs w:val="17"/>
                <w:color w:val="auto"/>
              </w:rPr>
            </w:pPr>
          </w:p>
        </w:tc>
        <w:tc>
          <w:tcPr>
            <w:tcW w:w="1100" w:type="dxa"/>
            <w:vAlign w:val="bottom"/>
            <w:tcBorders>
              <w:top w:val="single" w:sz="8" w:color="231F20"/>
            </w:tcBorders>
            <w:shd w:val="clear" w:color="auto" w:fill="D0EBF2"/>
          </w:tcPr>
          <w:p>
            <w:pPr>
              <w:spacing w:after="0"/>
              <w:rPr>
                <w:sz w:val="17"/>
                <w:szCs w:val="17"/>
                <w:color w:val="auto"/>
              </w:rPr>
            </w:pPr>
          </w:p>
        </w:tc>
        <w:tc>
          <w:tcPr>
            <w:tcW w:w="280" w:type="dxa"/>
            <w:vAlign w:val="bottom"/>
            <w:tcBorders>
              <w:top w:val="single" w:sz="8" w:color="D0EBF2"/>
            </w:tcBorders>
            <w:shd w:val="clear" w:color="auto" w:fill="D0EBF2"/>
          </w:tcPr>
          <w:p>
            <w:pPr>
              <w:spacing w:after="0"/>
              <w:rPr>
                <w:sz w:val="17"/>
                <w:szCs w:val="17"/>
                <w:color w:val="auto"/>
              </w:rPr>
            </w:pPr>
          </w:p>
        </w:tc>
        <w:tc>
          <w:tcPr>
            <w:tcW w:w="120" w:type="dxa"/>
            <w:vAlign w:val="bottom"/>
            <w:tcBorders>
              <w:top w:val="single" w:sz="8" w:color="231F20"/>
            </w:tcBorders>
            <w:shd w:val="clear" w:color="auto" w:fill="D0EBF2"/>
          </w:tcPr>
          <w:p>
            <w:pPr>
              <w:spacing w:after="0"/>
              <w:rPr>
                <w:sz w:val="17"/>
                <w:szCs w:val="17"/>
                <w:color w:val="auto"/>
              </w:rPr>
            </w:pPr>
          </w:p>
        </w:tc>
        <w:tc>
          <w:tcPr>
            <w:tcW w:w="1040" w:type="dxa"/>
            <w:vAlign w:val="bottom"/>
            <w:tcBorders>
              <w:top w:val="single" w:sz="8" w:color="231F20"/>
            </w:tcBorders>
            <w:shd w:val="clear" w:color="auto" w:fill="D0EBF2"/>
          </w:tcPr>
          <w:p>
            <w:pPr>
              <w:spacing w:after="0"/>
              <w:rPr>
                <w:sz w:val="17"/>
                <w:szCs w:val="17"/>
                <w:color w:val="auto"/>
              </w:rPr>
            </w:pPr>
          </w:p>
        </w:tc>
        <w:tc>
          <w:tcPr>
            <w:tcW w:w="300" w:type="dxa"/>
            <w:vAlign w:val="bottom"/>
            <w:tcBorders>
              <w:top w:val="single" w:sz="8" w:color="D0EBF2"/>
            </w:tcBorders>
            <w:shd w:val="clear" w:color="auto" w:fill="D0EBF2"/>
          </w:tcPr>
          <w:p>
            <w:pPr>
              <w:spacing w:after="0"/>
              <w:rPr>
                <w:sz w:val="17"/>
                <w:szCs w:val="17"/>
                <w:color w:val="auto"/>
              </w:rPr>
            </w:pPr>
          </w:p>
        </w:tc>
        <w:tc>
          <w:tcPr>
            <w:tcW w:w="100" w:type="dxa"/>
            <w:vAlign w:val="bottom"/>
            <w:tcBorders>
              <w:top w:val="single" w:sz="8" w:color="231F20"/>
            </w:tcBorders>
            <w:shd w:val="clear" w:color="auto" w:fill="D0EBF2"/>
          </w:tcPr>
          <w:p>
            <w:pPr>
              <w:spacing w:after="0"/>
              <w:rPr>
                <w:sz w:val="17"/>
                <w:szCs w:val="17"/>
                <w:color w:val="auto"/>
              </w:rPr>
            </w:pPr>
          </w:p>
        </w:tc>
        <w:tc>
          <w:tcPr>
            <w:tcW w:w="1220" w:type="dxa"/>
            <w:vAlign w:val="bottom"/>
            <w:tcBorders>
              <w:top w:val="single" w:sz="8" w:color="231F20"/>
            </w:tcBorders>
            <w:shd w:val="clear" w:color="auto" w:fill="D0EBF2"/>
          </w:tcPr>
          <w:p>
            <w:pPr>
              <w:spacing w:after="0"/>
              <w:rPr>
                <w:sz w:val="17"/>
                <w:szCs w:val="17"/>
                <w:color w:val="auto"/>
              </w:rPr>
            </w:pPr>
          </w:p>
        </w:tc>
        <w:tc>
          <w:tcPr>
            <w:tcW w:w="340" w:type="dxa"/>
            <w:vAlign w:val="bottom"/>
            <w:tcBorders>
              <w:top w:val="single" w:sz="8" w:color="D0EBF2"/>
            </w:tcBorders>
            <w:shd w:val="clear" w:color="auto" w:fill="D0EBF2"/>
          </w:tcPr>
          <w:p>
            <w:pPr>
              <w:spacing w:after="0"/>
              <w:rPr>
                <w:sz w:val="17"/>
                <w:szCs w:val="17"/>
                <w:color w:val="auto"/>
              </w:rPr>
            </w:pPr>
          </w:p>
        </w:tc>
        <w:tc>
          <w:tcPr>
            <w:tcW w:w="1040" w:type="dxa"/>
            <w:vAlign w:val="bottom"/>
            <w:tcBorders>
              <w:top w:val="single" w:sz="8" w:color="231F20"/>
            </w:tcBorders>
            <w:shd w:val="clear" w:color="auto" w:fill="D0EBF2"/>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860" w:type="dxa"/>
            <w:vAlign w:val="bottom"/>
            <w:shd w:val="clear" w:color="auto" w:fill="FDFDFC"/>
          </w:tcPr>
          <w:p>
            <w:pPr>
              <w:spacing w:after="0"/>
              <w:rPr>
                <w:sz w:val="20"/>
                <w:szCs w:val="20"/>
                <w:color w:val="auto"/>
              </w:rPr>
            </w:pPr>
            <w:r>
              <w:rPr>
                <w:rFonts w:ascii="Times New Roman" w:cs="Times New Roman" w:eastAsia="Times New Roman" w:hAnsi="Times New Roman"/>
                <w:sz w:val="17"/>
                <w:szCs w:val="17"/>
                <w:color w:val="231F20"/>
              </w:rPr>
              <w:t>December 31, 2024</w:t>
            </w:r>
          </w:p>
        </w:tc>
        <w:tc>
          <w:tcPr>
            <w:tcW w:w="180" w:type="dxa"/>
            <w:vAlign w:val="bottom"/>
            <w:shd w:val="clear" w:color="auto" w:fill="FDFDFC"/>
          </w:tcPr>
          <w:p>
            <w:pPr>
              <w:spacing w:after="0"/>
              <w:rPr>
                <w:sz w:val="18"/>
                <w:szCs w:val="18"/>
                <w:color w:val="auto"/>
              </w:rPr>
            </w:pPr>
          </w:p>
        </w:tc>
        <w:tc>
          <w:tcPr>
            <w:tcW w:w="380" w:type="dxa"/>
            <w:vAlign w:val="bottom"/>
            <w:shd w:val="clear" w:color="auto" w:fill="FDFDFC"/>
          </w:tcPr>
          <w:p>
            <w:pPr>
              <w:jc w:val="right"/>
              <w:ind w:right="195"/>
              <w:spacing w:after="0"/>
              <w:rPr>
                <w:sz w:val="20"/>
                <w:szCs w:val="20"/>
                <w:color w:val="auto"/>
              </w:rPr>
            </w:pPr>
            <w:r>
              <w:rPr>
                <w:rFonts w:ascii="Times New Roman" w:cs="Times New Roman" w:eastAsia="Times New Roman" w:hAnsi="Times New Roman"/>
                <w:sz w:val="17"/>
                <w:szCs w:val="17"/>
                <w:color w:val="231F20"/>
                <w:w w:val="93"/>
              </w:rPr>
              <w:t>$</w:t>
            </w:r>
          </w:p>
        </w:tc>
        <w:tc>
          <w:tcPr>
            <w:tcW w:w="1100" w:type="dxa"/>
            <w:vAlign w:val="bottom"/>
            <w:shd w:val="clear" w:color="auto" w:fill="FDFDFC"/>
          </w:tcPr>
          <w:p>
            <w:pPr>
              <w:jc w:val="right"/>
              <w:spacing w:after="0"/>
              <w:rPr>
                <w:sz w:val="20"/>
                <w:szCs w:val="20"/>
                <w:color w:val="auto"/>
              </w:rPr>
            </w:pPr>
            <w:r>
              <w:rPr>
                <w:rFonts w:ascii="Times New Roman" w:cs="Times New Roman" w:eastAsia="Times New Roman" w:hAnsi="Times New Roman"/>
                <w:sz w:val="17"/>
                <w:szCs w:val="17"/>
                <w:color w:val="231F20"/>
              </w:rPr>
              <w:t>1,004.1</w:t>
            </w:r>
          </w:p>
        </w:tc>
        <w:tc>
          <w:tcPr>
            <w:tcW w:w="280" w:type="dxa"/>
            <w:vAlign w:val="bottom"/>
            <w:shd w:val="clear" w:color="auto" w:fill="FDFDFC"/>
          </w:tcPr>
          <w:p>
            <w:pPr>
              <w:spacing w:after="0"/>
              <w:rPr>
                <w:sz w:val="18"/>
                <w:szCs w:val="18"/>
                <w:color w:val="auto"/>
              </w:rPr>
            </w:pPr>
          </w:p>
        </w:tc>
        <w:tc>
          <w:tcPr>
            <w:tcW w:w="120" w:type="dxa"/>
            <w:vAlign w:val="bottom"/>
            <w:shd w:val="clear" w:color="auto" w:fill="FDFDFC"/>
          </w:tcPr>
          <w:p>
            <w:pPr>
              <w:spacing w:after="0"/>
              <w:rPr>
                <w:sz w:val="20"/>
                <w:szCs w:val="20"/>
                <w:color w:val="auto"/>
              </w:rPr>
            </w:pPr>
            <w:r>
              <w:rPr>
                <w:rFonts w:ascii="Times New Roman" w:cs="Times New Roman" w:eastAsia="Times New Roman" w:hAnsi="Times New Roman"/>
                <w:sz w:val="17"/>
                <w:szCs w:val="17"/>
                <w:color w:val="231F20"/>
              </w:rPr>
              <w:t>$</w:t>
            </w:r>
          </w:p>
        </w:tc>
        <w:tc>
          <w:tcPr>
            <w:tcW w:w="1040" w:type="dxa"/>
            <w:vAlign w:val="bottom"/>
            <w:shd w:val="clear" w:color="auto" w:fill="FDFDFC"/>
          </w:tcPr>
          <w:p>
            <w:pPr>
              <w:jc w:val="right"/>
              <w:spacing w:after="0"/>
              <w:rPr>
                <w:sz w:val="20"/>
                <w:szCs w:val="20"/>
                <w:color w:val="auto"/>
              </w:rPr>
            </w:pPr>
            <w:r>
              <w:rPr>
                <w:rFonts w:ascii="Times New Roman" w:cs="Times New Roman" w:eastAsia="Times New Roman" w:hAnsi="Times New Roman"/>
                <w:sz w:val="17"/>
                <w:szCs w:val="17"/>
                <w:color w:val="231F20"/>
              </w:rPr>
              <w:t>1,824.7</w:t>
            </w:r>
          </w:p>
        </w:tc>
        <w:tc>
          <w:tcPr>
            <w:tcW w:w="300" w:type="dxa"/>
            <w:vAlign w:val="bottom"/>
            <w:shd w:val="clear" w:color="auto" w:fill="FDFDFC"/>
          </w:tcPr>
          <w:p>
            <w:pPr>
              <w:spacing w:after="0"/>
              <w:rPr>
                <w:sz w:val="18"/>
                <w:szCs w:val="18"/>
                <w:color w:val="auto"/>
              </w:rPr>
            </w:pPr>
          </w:p>
        </w:tc>
        <w:tc>
          <w:tcPr>
            <w:tcW w:w="100" w:type="dxa"/>
            <w:vAlign w:val="bottom"/>
            <w:shd w:val="clear" w:color="auto" w:fill="FDFDFC"/>
          </w:tcPr>
          <w:p>
            <w:pPr>
              <w:jc w:val="right"/>
              <w:spacing w:after="0"/>
              <w:rPr>
                <w:sz w:val="20"/>
                <w:szCs w:val="20"/>
                <w:color w:val="auto"/>
              </w:rPr>
            </w:pPr>
            <w:r>
              <w:rPr>
                <w:rFonts w:ascii="Times New Roman" w:cs="Times New Roman" w:eastAsia="Times New Roman" w:hAnsi="Times New Roman"/>
                <w:sz w:val="17"/>
                <w:szCs w:val="17"/>
                <w:color w:val="231F20"/>
                <w:w w:val="93"/>
              </w:rPr>
              <w:t>$</w:t>
            </w:r>
          </w:p>
        </w:tc>
        <w:tc>
          <w:tcPr>
            <w:tcW w:w="1220" w:type="dxa"/>
            <w:vAlign w:val="bottom"/>
            <w:shd w:val="clear" w:color="auto" w:fill="FDFDFC"/>
          </w:tcPr>
          <w:p>
            <w:pPr>
              <w:ind w:left="1020"/>
              <w:spacing w:after="0"/>
              <w:rPr>
                <w:sz w:val="20"/>
                <w:szCs w:val="20"/>
                <w:color w:val="auto"/>
              </w:rPr>
            </w:pPr>
            <w:r>
              <w:rPr>
                <w:rFonts w:ascii="Times New Roman" w:cs="Times New Roman" w:eastAsia="Times New Roman" w:hAnsi="Times New Roman"/>
                <w:sz w:val="17"/>
                <w:szCs w:val="17"/>
                <w:color w:val="231F20"/>
              </w:rPr>
              <w:t>—</w:t>
            </w:r>
          </w:p>
        </w:tc>
        <w:tc>
          <w:tcPr>
            <w:tcW w:w="340" w:type="dxa"/>
            <w:vAlign w:val="bottom"/>
            <w:shd w:val="clear" w:color="auto" w:fill="FDFDFC"/>
          </w:tcPr>
          <w:p>
            <w:pPr>
              <w:spacing w:after="0"/>
              <w:rPr>
                <w:sz w:val="18"/>
                <w:szCs w:val="18"/>
                <w:color w:val="auto"/>
              </w:rPr>
            </w:pPr>
          </w:p>
        </w:tc>
        <w:tc>
          <w:tcPr>
            <w:tcW w:w="1040" w:type="dxa"/>
            <w:vAlign w:val="bottom"/>
            <w:shd w:val="clear" w:color="auto" w:fill="FDFDFC"/>
          </w:tcPr>
          <w:p>
            <w:pPr>
              <w:ind w:left="720"/>
              <w:spacing w:after="0"/>
              <w:rPr>
                <w:sz w:val="20"/>
                <w:szCs w:val="20"/>
                <w:color w:val="auto"/>
              </w:rPr>
            </w:pPr>
            <w:r>
              <w:rPr>
                <w:rFonts w:ascii="Times New Roman" w:cs="Times New Roman" w:eastAsia="Times New Roman" w:hAnsi="Times New Roman"/>
                <w:sz w:val="17"/>
                <w:szCs w:val="17"/>
                <w:color w:val="231F20"/>
              </w:rPr>
              <w:t>N/A</w:t>
            </w:r>
          </w:p>
        </w:tc>
        <w:tc>
          <w:tcPr>
            <w:tcW w:w="0" w:type="dxa"/>
            <w:vAlign w:val="bottom"/>
          </w:tcPr>
          <w:p>
            <w:pPr>
              <w:spacing w:after="0"/>
              <w:rPr>
                <w:sz w:val="1"/>
                <w:szCs w:val="1"/>
                <w:color w:val="auto"/>
              </w:rPr>
            </w:pPr>
          </w:p>
        </w:tc>
      </w:tr>
      <w:tr>
        <w:trPr>
          <w:trHeight w:val="209"/>
        </w:trPr>
        <w:tc>
          <w:tcPr>
            <w:tcW w:w="2860" w:type="dxa"/>
            <w:vAlign w:val="bottom"/>
            <w:shd w:val="clear" w:color="auto" w:fill="D0EBF2"/>
          </w:tcPr>
          <w:p>
            <w:pPr>
              <w:spacing w:after="0"/>
              <w:rPr>
                <w:sz w:val="20"/>
                <w:szCs w:val="20"/>
                <w:color w:val="auto"/>
              </w:rPr>
            </w:pPr>
            <w:r>
              <w:rPr>
                <w:rFonts w:ascii="Times New Roman" w:cs="Times New Roman" w:eastAsia="Times New Roman" w:hAnsi="Times New Roman"/>
                <w:sz w:val="17"/>
                <w:szCs w:val="17"/>
                <w:color w:val="231F20"/>
              </w:rPr>
              <w:t>December 31, 2023</w:t>
            </w:r>
          </w:p>
        </w:tc>
        <w:tc>
          <w:tcPr>
            <w:tcW w:w="180" w:type="dxa"/>
            <w:vAlign w:val="bottom"/>
            <w:shd w:val="clear" w:color="auto" w:fill="D0EBF2"/>
          </w:tcPr>
          <w:p>
            <w:pPr>
              <w:spacing w:after="0"/>
              <w:rPr>
                <w:sz w:val="18"/>
                <w:szCs w:val="18"/>
                <w:color w:val="auto"/>
              </w:rPr>
            </w:pPr>
          </w:p>
        </w:tc>
        <w:tc>
          <w:tcPr>
            <w:tcW w:w="380" w:type="dxa"/>
            <w:vAlign w:val="bottom"/>
            <w:shd w:val="clear" w:color="auto" w:fill="D0EBF2"/>
          </w:tcPr>
          <w:p>
            <w:pPr>
              <w:spacing w:after="0"/>
              <w:rPr>
                <w:sz w:val="18"/>
                <w:szCs w:val="18"/>
                <w:color w:val="auto"/>
              </w:rPr>
            </w:pPr>
          </w:p>
        </w:tc>
        <w:tc>
          <w:tcPr>
            <w:tcW w:w="1100" w:type="dxa"/>
            <w:vAlign w:val="bottom"/>
            <w:shd w:val="clear" w:color="auto" w:fill="D0EBF2"/>
          </w:tcPr>
          <w:p>
            <w:pPr>
              <w:jc w:val="right"/>
              <w:spacing w:after="0"/>
              <w:rPr>
                <w:sz w:val="20"/>
                <w:szCs w:val="20"/>
                <w:color w:val="auto"/>
              </w:rPr>
            </w:pPr>
            <w:r>
              <w:rPr>
                <w:rFonts w:ascii="Times New Roman" w:cs="Times New Roman" w:eastAsia="Times New Roman" w:hAnsi="Times New Roman"/>
                <w:sz w:val="17"/>
                <w:szCs w:val="17"/>
                <w:color w:val="231F20"/>
              </w:rPr>
              <w:t>889.7</w:t>
            </w:r>
          </w:p>
        </w:tc>
        <w:tc>
          <w:tcPr>
            <w:tcW w:w="280" w:type="dxa"/>
            <w:vAlign w:val="bottom"/>
            <w:shd w:val="clear" w:color="auto" w:fill="D0EBF2"/>
          </w:tcPr>
          <w:p>
            <w:pPr>
              <w:spacing w:after="0"/>
              <w:rPr>
                <w:sz w:val="18"/>
                <w:szCs w:val="18"/>
                <w:color w:val="auto"/>
              </w:rPr>
            </w:pPr>
          </w:p>
        </w:tc>
        <w:tc>
          <w:tcPr>
            <w:tcW w:w="120" w:type="dxa"/>
            <w:vAlign w:val="bottom"/>
            <w:shd w:val="clear" w:color="auto" w:fill="D0EBF2"/>
          </w:tcPr>
          <w:p>
            <w:pPr>
              <w:spacing w:after="0"/>
              <w:rPr>
                <w:sz w:val="18"/>
                <w:szCs w:val="18"/>
                <w:color w:val="auto"/>
              </w:rPr>
            </w:pPr>
          </w:p>
        </w:tc>
        <w:tc>
          <w:tcPr>
            <w:tcW w:w="1040" w:type="dxa"/>
            <w:vAlign w:val="bottom"/>
            <w:shd w:val="clear" w:color="auto" w:fill="D0EBF2"/>
          </w:tcPr>
          <w:p>
            <w:pPr>
              <w:jc w:val="right"/>
              <w:spacing w:after="0"/>
              <w:rPr>
                <w:sz w:val="20"/>
                <w:szCs w:val="20"/>
                <w:color w:val="auto"/>
              </w:rPr>
            </w:pPr>
            <w:r>
              <w:rPr>
                <w:rFonts w:ascii="Times New Roman" w:cs="Times New Roman" w:eastAsia="Times New Roman" w:hAnsi="Times New Roman"/>
                <w:sz w:val="17"/>
                <w:szCs w:val="17"/>
                <w:color w:val="231F20"/>
              </w:rPr>
              <w:t>1,815.9</w:t>
            </w:r>
          </w:p>
        </w:tc>
        <w:tc>
          <w:tcPr>
            <w:tcW w:w="300" w:type="dxa"/>
            <w:vAlign w:val="bottom"/>
            <w:shd w:val="clear" w:color="auto" w:fill="D0EBF2"/>
          </w:tcPr>
          <w:p>
            <w:pPr>
              <w:spacing w:after="0"/>
              <w:rPr>
                <w:sz w:val="18"/>
                <w:szCs w:val="18"/>
                <w:color w:val="auto"/>
              </w:rPr>
            </w:pPr>
          </w:p>
        </w:tc>
        <w:tc>
          <w:tcPr>
            <w:tcW w:w="100" w:type="dxa"/>
            <w:vAlign w:val="bottom"/>
            <w:shd w:val="clear" w:color="auto" w:fill="D0EBF2"/>
          </w:tcPr>
          <w:p>
            <w:pPr>
              <w:spacing w:after="0"/>
              <w:rPr>
                <w:sz w:val="18"/>
                <w:szCs w:val="18"/>
                <w:color w:val="auto"/>
              </w:rPr>
            </w:pPr>
          </w:p>
        </w:tc>
        <w:tc>
          <w:tcPr>
            <w:tcW w:w="1220" w:type="dxa"/>
            <w:vAlign w:val="bottom"/>
            <w:shd w:val="clear" w:color="auto" w:fill="D0EBF2"/>
          </w:tcPr>
          <w:p>
            <w:pPr>
              <w:ind w:left="1020"/>
              <w:spacing w:after="0"/>
              <w:rPr>
                <w:sz w:val="20"/>
                <w:szCs w:val="20"/>
                <w:color w:val="auto"/>
              </w:rPr>
            </w:pPr>
            <w:r>
              <w:rPr>
                <w:rFonts w:ascii="Times New Roman" w:cs="Times New Roman" w:eastAsia="Times New Roman" w:hAnsi="Times New Roman"/>
                <w:sz w:val="17"/>
                <w:szCs w:val="17"/>
                <w:color w:val="231F20"/>
              </w:rPr>
              <w:t>—</w:t>
            </w:r>
          </w:p>
        </w:tc>
        <w:tc>
          <w:tcPr>
            <w:tcW w:w="340" w:type="dxa"/>
            <w:vAlign w:val="bottom"/>
            <w:shd w:val="clear" w:color="auto" w:fill="D0EBF2"/>
          </w:tcPr>
          <w:p>
            <w:pPr>
              <w:spacing w:after="0"/>
              <w:rPr>
                <w:sz w:val="18"/>
                <w:szCs w:val="18"/>
                <w:color w:val="auto"/>
              </w:rPr>
            </w:pPr>
          </w:p>
        </w:tc>
        <w:tc>
          <w:tcPr>
            <w:tcW w:w="1040" w:type="dxa"/>
            <w:vAlign w:val="bottom"/>
            <w:shd w:val="clear" w:color="auto" w:fill="D0EBF2"/>
          </w:tcPr>
          <w:p>
            <w:pPr>
              <w:ind w:left="720"/>
              <w:spacing w:after="0"/>
              <w:rPr>
                <w:sz w:val="20"/>
                <w:szCs w:val="20"/>
                <w:color w:val="auto"/>
              </w:rPr>
            </w:pPr>
            <w:r>
              <w:rPr>
                <w:rFonts w:ascii="Times New Roman" w:cs="Times New Roman" w:eastAsia="Times New Roman" w:hAnsi="Times New Roman"/>
                <w:sz w:val="17"/>
                <w:szCs w:val="17"/>
                <w:color w:val="231F20"/>
              </w:rPr>
              <w:t>N/A</w:t>
            </w:r>
          </w:p>
        </w:tc>
        <w:tc>
          <w:tcPr>
            <w:tcW w:w="0" w:type="dxa"/>
            <w:vAlign w:val="bottom"/>
          </w:tcPr>
          <w:p>
            <w:pPr>
              <w:spacing w:after="0"/>
              <w:rPr>
                <w:sz w:val="1"/>
                <w:szCs w:val="1"/>
                <w:color w:val="auto"/>
              </w:rPr>
            </w:pPr>
          </w:p>
        </w:tc>
      </w:tr>
      <w:tr>
        <w:trPr>
          <w:trHeight w:val="209"/>
        </w:trPr>
        <w:tc>
          <w:tcPr>
            <w:tcW w:w="2860" w:type="dxa"/>
            <w:vAlign w:val="bottom"/>
            <w:shd w:val="clear" w:color="auto" w:fill="FDFDFC"/>
          </w:tcPr>
          <w:p>
            <w:pPr>
              <w:spacing w:after="0"/>
              <w:rPr>
                <w:sz w:val="20"/>
                <w:szCs w:val="20"/>
                <w:color w:val="auto"/>
              </w:rPr>
            </w:pPr>
            <w:r>
              <w:rPr>
                <w:rFonts w:ascii="Times New Roman" w:cs="Times New Roman" w:eastAsia="Times New Roman" w:hAnsi="Times New Roman"/>
                <w:sz w:val="17"/>
                <w:szCs w:val="17"/>
                <w:color w:val="231F20"/>
              </w:rPr>
              <w:t>December 31, 2022</w:t>
            </w:r>
          </w:p>
        </w:tc>
        <w:tc>
          <w:tcPr>
            <w:tcW w:w="180" w:type="dxa"/>
            <w:vAlign w:val="bottom"/>
            <w:shd w:val="clear" w:color="auto" w:fill="FDFDFC"/>
          </w:tcPr>
          <w:p>
            <w:pPr>
              <w:spacing w:after="0"/>
              <w:rPr>
                <w:sz w:val="18"/>
                <w:szCs w:val="18"/>
                <w:color w:val="auto"/>
              </w:rPr>
            </w:pPr>
          </w:p>
        </w:tc>
        <w:tc>
          <w:tcPr>
            <w:tcW w:w="380" w:type="dxa"/>
            <w:vAlign w:val="bottom"/>
            <w:shd w:val="clear" w:color="auto" w:fill="FDFDFC"/>
          </w:tcPr>
          <w:p>
            <w:pPr>
              <w:spacing w:after="0"/>
              <w:rPr>
                <w:sz w:val="18"/>
                <w:szCs w:val="18"/>
                <w:color w:val="auto"/>
              </w:rPr>
            </w:pPr>
          </w:p>
        </w:tc>
        <w:tc>
          <w:tcPr>
            <w:tcW w:w="1100" w:type="dxa"/>
            <w:vAlign w:val="bottom"/>
            <w:shd w:val="clear" w:color="auto" w:fill="FDFDFC"/>
          </w:tcPr>
          <w:p>
            <w:pPr>
              <w:jc w:val="right"/>
              <w:spacing w:after="0"/>
              <w:rPr>
                <w:sz w:val="20"/>
                <w:szCs w:val="20"/>
                <w:color w:val="auto"/>
              </w:rPr>
            </w:pPr>
            <w:r>
              <w:rPr>
                <w:rFonts w:ascii="Times New Roman" w:cs="Times New Roman" w:eastAsia="Times New Roman" w:hAnsi="Times New Roman"/>
                <w:sz w:val="17"/>
                <w:szCs w:val="17"/>
                <w:color w:val="231F20"/>
              </w:rPr>
              <w:t>719.3</w:t>
            </w:r>
          </w:p>
        </w:tc>
        <w:tc>
          <w:tcPr>
            <w:tcW w:w="280" w:type="dxa"/>
            <w:vAlign w:val="bottom"/>
            <w:shd w:val="clear" w:color="auto" w:fill="FDFDFC"/>
          </w:tcPr>
          <w:p>
            <w:pPr>
              <w:spacing w:after="0"/>
              <w:rPr>
                <w:sz w:val="18"/>
                <w:szCs w:val="18"/>
                <w:color w:val="auto"/>
              </w:rPr>
            </w:pPr>
          </w:p>
        </w:tc>
        <w:tc>
          <w:tcPr>
            <w:tcW w:w="120" w:type="dxa"/>
            <w:vAlign w:val="bottom"/>
            <w:shd w:val="clear" w:color="auto" w:fill="FDFDFC"/>
          </w:tcPr>
          <w:p>
            <w:pPr>
              <w:spacing w:after="0"/>
              <w:rPr>
                <w:sz w:val="18"/>
                <w:szCs w:val="18"/>
                <w:color w:val="auto"/>
              </w:rPr>
            </w:pPr>
          </w:p>
        </w:tc>
        <w:tc>
          <w:tcPr>
            <w:tcW w:w="1040" w:type="dxa"/>
            <w:vAlign w:val="bottom"/>
            <w:shd w:val="clear" w:color="auto" w:fill="FDFDFC"/>
          </w:tcPr>
          <w:p>
            <w:pPr>
              <w:jc w:val="right"/>
              <w:spacing w:after="0"/>
              <w:rPr>
                <w:sz w:val="20"/>
                <w:szCs w:val="20"/>
                <w:color w:val="auto"/>
              </w:rPr>
            </w:pPr>
            <w:r>
              <w:rPr>
                <w:rFonts w:ascii="Times New Roman" w:cs="Times New Roman" w:eastAsia="Times New Roman" w:hAnsi="Times New Roman"/>
                <w:sz w:val="17"/>
                <w:szCs w:val="17"/>
                <w:color w:val="231F20"/>
              </w:rPr>
              <w:t>1,885.7</w:t>
            </w:r>
          </w:p>
        </w:tc>
        <w:tc>
          <w:tcPr>
            <w:tcW w:w="300" w:type="dxa"/>
            <w:vAlign w:val="bottom"/>
            <w:shd w:val="clear" w:color="auto" w:fill="FDFDFC"/>
          </w:tcPr>
          <w:p>
            <w:pPr>
              <w:spacing w:after="0"/>
              <w:rPr>
                <w:sz w:val="18"/>
                <w:szCs w:val="18"/>
                <w:color w:val="auto"/>
              </w:rPr>
            </w:pPr>
          </w:p>
        </w:tc>
        <w:tc>
          <w:tcPr>
            <w:tcW w:w="100" w:type="dxa"/>
            <w:vAlign w:val="bottom"/>
            <w:shd w:val="clear" w:color="auto" w:fill="FDFDFC"/>
          </w:tcPr>
          <w:p>
            <w:pPr>
              <w:spacing w:after="0"/>
              <w:rPr>
                <w:sz w:val="18"/>
                <w:szCs w:val="18"/>
                <w:color w:val="auto"/>
              </w:rPr>
            </w:pPr>
          </w:p>
        </w:tc>
        <w:tc>
          <w:tcPr>
            <w:tcW w:w="1220" w:type="dxa"/>
            <w:vAlign w:val="bottom"/>
            <w:shd w:val="clear" w:color="auto" w:fill="FDFDFC"/>
          </w:tcPr>
          <w:p>
            <w:pPr>
              <w:ind w:left="1020"/>
              <w:spacing w:after="0"/>
              <w:rPr>
                <w:sz w:val="20"/>
                <w:szCs w:val="20"/>
                <w:color w:val="auto"/>
              </w:rPr>
            </w:pPr>
            <w:r>
              <w:rPr>
                <w:rFonts w:ascii="Times New Roman" w:cs="Times New Roman" w:eastAsia="Times New Roman" w:hAnsi="Times New Roman"/>
                <w:sz w:val="17"/>
                <w:szCs w:val="17"/>
                <w:color w:val="231F20"/>
              </w:rPr>
              <w:t>—</w:t>
            </w:r>
          </w:p>
        </w:tc>
        <w:tc>
          <w:tcPr>
            <w:tcW w:w="340" w:type="dxa"/>
            <w:vAlign w:val="bottom"/>
            <w:shd w:val="clear" w:color="auto" w:fill="FDFDFC"/>
          </w:tcPr>
          <w:p>
            <w:pPr>
              <w:spacing w:after="0"/>
              <w:rPr>
                <w:sz w:val="18"/>
                <w:szCs w:val="18"/>
                <w:color w:val="auto"/>
              </w:rPr>
            </w:pPr>
          </w:p>
        </w:tc>
        <w:tc>
          <w:tcPr>
            <w:tcW w:w="1040" w:type="dxa"/>
            <w:vAlign w:val="bottom"/>
            <w:shd w:val="clear" w:color="auto" w:fill="FDFDFC"/>
          </w:tcPr>
          <w:p>
            <w:pPr>
              <w:ind w:left="720"/>
              <w:spacing w:after="0"/>
              <w:rPr>
                <w:sz w:val="20"/>
                <w:szCs w:val="20"/>
                <w:color w:val="auto"/>
              </w:rPr>
            </w:pPr>
            <w:r>
              <w:rPr>
                <w:rFonts w:ascii="Times New Roman" w:cs="Times New Roman" w:eastAsia="Times New Roman" w:hAnsi="Times New Roman"/>
                <w:sz w:val="17"/>
                <w:szCs w:val="17"/>
                <w:color w:val="231F20"/>
              </w:rPr>
              <w:t>N/A</w:t>
            </w:r>
          </w:p>
        </w:tc>
        <w:tc>
          <w:tcPr>
            <w:tcW w:w="0" w:type="dxa"/>
            <w:vAlign w:val="bottom"/>
          </w:tcPr>
          <w:p>
            <w:pPr>
              <w:spacing w:after="0"/>
              <w:rPr>
                <w:sz w:val="1"/>
                <w:szCs w:val="1"/>
                <w:color w:val="auto"/>
              </w:rPr>
            </w:pPr>
          </w:p>
        </w:tc>
      </w:tr>
      <w:tr>
        <w:trPr>
          <w:trHeight w:val="209"/>
        </w:trPr>
        <w:tc>
          <w:tcPr>
            <w:tcW w:w="2860" w:type="dxa"/>
            <w:vAlign w:val="bottom"/>
            <w:shd w:val="clear" w:color="auto" w:fill="D0EBF2"/>
          </w:tcPr>
          <w:p>
            <w:pPr>
              <w:spacing w:after="0"/>
              <w:rPr>
                <w:sz w:val="20"/>
                <w:szCs w:val="20"/>
                <w:color w:val="auto"/>
              </w:rPr>
            </w:pPr>
            <w:r>
              <w:rPr>
                <w:rFonts w:ascii="Times New Roman" w:cs="Times New Roman" w:eastAsia="Times New Roman" w:hAnsi="Times New Roman"/>
                <w:sz w:val="17"/>
                <w:szCs w:val="17"/>
                <w:color w:val="231F20"/>
              </w:rPr>
              <w:t>December 31, 2021</w:t>
            </w:r>
          </w:p>
        </w:tc>
        <w:tc>
          <w:tcPr>
            <w:tcW w:w="180" w:type="dxa"/>
            <w:vAlign w:val="bottom"/>
            <w:shd w:val="clear" w:color="auto" w:fill="D0EBF2"/>
          </w:tcPr>
          <w:p>
            <w:pPr>
              <w:spacing w:after="0"/>
              <w:rPr>
                <w:sz w:val="18"/>
                <w:szCs w:val="18"/>
                <w:color w:val="auto"/>
              </w:rPr>
            </w:pPr>
          </w:p>
        </w:tc>
        <w:tc>
          <w:tcPr>
            <w:tcW w:w="380" w:type="dxa"/>
            <w:vAlign w:val="bottom"/>
            <w:shd w:val="clear" w:color="auto" w:fill="D0EBF2"/>
          </w:tcPr>
          <w:p>
            <w:pPr>
              <w:spacing w:after="0"/>
              <w:rPr>
                <w:sz w:val="18"/>
                <w:szCs w:val="18"/>
                <w:color w:val="auto"/>
              </w:rPr>
            </w:pPr>
          </w:p>
        </w:tc>
        <w:tc>
          <w:tcPr>
            <w:tcW w:w="1100" w:type="dxa"/>
            <w:vAlign w:val="bottom"/>
            <w:shd w:val="clear" w:color="auto" w:fill="D0EBF2"/>
          </w:tcPr>
          <w:p>
            <w:pPr>
              <w:jc w:val="right"/>
              <w:spacing w:after="0"/>
              <w:rPr>
                <w:sz w:val="20"/>
                <w:szCs w:val="20"/>
                <w:color w:val="auto"/>
              </w:rPr>
            </w:pPr>
            <w:r>
              <w:rPr>
                <w:rFonts w:ascii="Times New Roman" w:cs="Times New Roman" w:eastAsia="Times New Roman" w:hAnsi="Times New Roman"/>
                <w:sz w:val="17"/>
                <w:szCs w:val="17"/>
                <w:color w:val="231F20"/>
              </w:rPr>
              <w:t>316.4</w:t>
            </w:r>
          </w:p>
        </w:tc>
        <w:tc>
          <w:tcPr>
            <w:tcW w:w="280" w:type="dxa"/>
            <w:vAlign w:val="bottom"/>
            <w:shd w:val="clear" w:color="auto" w:fill="D0EBF2"/>
          </w:tcPr>
          <w:p>
            <w:pPr>
              <w:spacing w:after="0"/>
              <w:rPr>
                <w:sz w:val="18"/>
                <w:szCs w:val="18"/>
                <w:color w:val="auto"/>
              </w:rPr>
            </w:pPr>
          </w:p>
        </w:tc>
        <w:tc>
          <w:tcPr>
            <w:tcW w:w="120" w:type="dxa"/>
            <w:vAlign w:val="bottom"/>
            <w:shd w:val="clear" w:color="auto" w:fill="D0EBF2"/>
          </w:tcPr>
          <w:p>
            <w:pPr>
              <w:spacing w:after="0"/>
              <w:rPr>
                <w:sz w:val="18"/>
                <w:szCs w:val="18"/>
                <w:color w:val="auto"/>
              </w:rPr>
            </w:pPr>
          </w:p>
        </w:tc>
        <w:tc>
          <w:tcPr>
            <w:tcW w:w="1040" w:type="dxa"/>
            <w:vAlign w:val="bottom"/>
            <w:shd w:val="clear" w:color="auto" w:fill="D0EBF2"/>
          </w:tcPr>
          <w:p>
            <w:pPr>
              <w:jc w:val="right"/>
              <w:spacing w:after="0"/>
              <w:rPr>
                <w:sz w:val="20"/>
                <w:szCs w:val="20"/>
                <w:color w:val="auto"/>
              </w:rPr>
            </w:pPr>
            <w:r>
              <w:rPr>
                <w:rFonts w:ascii="Times New Roman" w:cs="Times New Roman" w:eastAsia="Times New Roman" w:hAnsi="Times New Roman"/>
                <w:sz w:val="17"/>
                <w:szCs w:val="17"/>
                <w:color w:val="231F20"/>
              </w:rPr>
              <w:t>2,053.6</w:t>
            </w:r>
          </w:p>
        </w:tc>
        <w:tc>
          <w:tcPr>
            <w:tcW w:w="300" w:type="dxa"/>
            <w:vAlign w:val="bottom"/>
            <w:shd w:val="clear" w:color="auto" w:fill="D0EBF2"/>
          </w:tcPr>
          <w:p>
            <w:pPr>
              <w:spacing w:after="0"/>
              <w:rPr>
                <w:sz w:val="18"/>
                <w:szCs w:val="18"/>
                <w:color w:val="auto"/>
              </w:rPr>
            </w:pPr>
          </w:p>
        </w:tc>
        <w:tc>
          <w:tcPr>
            <w:tcW w:w="100" w:type="dxa"/>
            <w:vAlign w:val="bottom"/>
            <w:shd w:val="clear" w:color="auto" w:fill="D0EBF2"/>
          </w:tcPr>
          <w:p>
            <w:pPr>
              <w:spacing w:after="0"/>
              <w:rPr>
                <w:sz w:val="18"/>
                <w:szCs w:val="18"/>
                <w:color w:val="auto"/>
              </w:rPr>
            </w:pPr>
          </w:p>
        </w:tc>
        <w:tc>
          <w:tcPr>
            <w:tcW w:w="1220" w:type="dxa"/>
            <w:vAlign w:val="bottom"/>
            <w:shd w:val="clear" w:color="auto" w:fill="D0EBF2"/>
          </w:tcPr>
          <w:p>
            <w:pPr>
              <w:ind w:left="1020"/>
              <w:spacing w:after="0"/>
              <w:rPr>
                <w:sz w:val="20"/>
                <w:szCs w:val="20"/>
                <w:color w:val="auto"/>
              </w:rPr>
            </w:pPr>
            <w:r>
              <w:rPr>
                <w:rFonts w:ascii="Times New Roman" w:cs="Times New Roman" w:eastAsia="Times New Roman" w:hAnsi="Times New Roman"/>
                <w:sz w:val="17"/>
                <w:szCs w:val="17"/>
                <w:color w:val="231F20"/>
              </w:rPr>
              <w:t>—</w:t>
            </w:r>
          </w:p>
        </w:tc>
        <w:tc>
          <w:tcPr>
            <w:tcW w:w="340" w:type="dxa"/>
            <w:vAlign w:val="bottom"/>
            <w:shd w:val="clear" w:color="auto" w:fill="D0EBF2"/>
          </w:tcPr>
          <w:p>
            <w:pPr>
              <w:spacing w:after="0"/>
              <w:rPr>
                <w:sz w:val="18"/>
                <w:szCs w:val="18"/>
                <w:color w:val="auto"/>
              </w:rPr>
            </w:pPr>
          </w:p>
        </w:tc>
        <w:tc>
          <w:tcPr>
            <w:tcW w:w="1040" w:type="dxa"/>
            <w:vAlign w:val="bottom"/>
            <w:shd w:val="clear" w:color="auto" w:fill="D0EBF2"/>
          </w:tcPr>
          <w:p>
            <w:pPr>
              <w:ind w:left="720"/>
              <w:spacing w:after="0"/>
              <w:rPr>
                <w:sz w:val="20"/>
                <w:szCs w:val="20"/>
                <w:color w:val="auto"/>
              </w:rPr>
            </w:pPr>
            <w:r>
              <w:rPr>
                <w:rFonts w:ascii="Times New Roman" w:cs="Times New Roman" w:eastAsia="Times New Roman" w:hAnsi="Times New Roman"/>
                <w:sz w:val="17"/>
                <w:szCs w:val="17"/>
                <w:color w:val="231F20"/>
              </w:rPr>
              <w:t>N/A</w:t>
            </w:r>
          </w:p>
        </w:tc>
        <w:tc>
          <w:tcPr>
            <w:tcW w:w="0" w:type="dxa"/>
            <w:vAlign w:val="bottom"/>
          </w:tcPr>
          <w:p>
            <w:pPr>
              <w:spacing w:after="0"/>
              <w:rPr>
                <w:sz w:val="1"/>
                <w:szCs w:val="1"/>
                <w:color w:val="auto"/>
              </w:rPr>
            </w:pPr>
          </w:p>
        </w:tc>
      </w:tr>
      <w:tr>
        <w:trPr>
          <w:trHeight w:val="209"/>
        </w:trPr>
        <w:tc>
          <w:tcPr>
            <w:tcW w:w="2860" w:type="dxa"/>
            <w:vAlign w:val="bottom"/>
            <w:shd w:val="clear" w:color="auto" w:fill="FDFDFC"/>
          </w:tcPr>
          <w:p>
            <w:pPr>
              <w:spacing w:after="0"/>
              <w:rPr>
                <w:sz w:val="20"/>
                <w:szCs w:val="20"/>
                <w:color w:val="auto"/>
              </w:rPr>
            </w:pPr>
            <w:r>
              <w:rPr>
                <w:rFonts w:ascii="Times New Roman" w:cs="Times New Roman" w:eastAsia="Times New Roman" w:hAnsi="Times New Roman"/>
                <w:sz w:val="17"/>
                <w:szCs w:val="17"/>
                <w:color w:val="231F20"/>
              </w:rPr>
              <w:t>December 31, 2020</w:t>
            </w:r>
          </w:p>
        </w:tc>
        <w:tc>
          <w:tcPr>
            <w:tcW w:w="180" w:type="dxa"/>
            <w:vAlign w:val="bottom"/>
            <w:shd w:val="clear" w:color="auto" w:fill="FDFDFC"/>
          </w:tcPr>
          <w:p>
            <w:pPr>
              <w:spacing w:after="0"/>
              <w:rPr>
                <w:sz w:val="18"/>
                <w:szCs w:val="18"/>
                <w:color w:val="auto"/>
              </w:rPr>
            </w:pPr>
          </w:p>
        </w:tc>
        <w:tc>
          <w:tcPr>
            <w:tcW w:w="380" w:type="dxa"/>
            <w:vAlign w:val="bottom"/>
            <w:shd w:val="clear" w:color="auto" w:fill="FDFDFC"/>
          </w:tcPr>
          <w:p>
            <w:pPr>
              <w:spacing w:after="0"/>
              <w:rPr>
                <w:sz w:val="18"/>
                <w:szCs w:val="18"/>
                <w:color w:val="auto"/>
              </w:rPr>
            </w:pPr>
          </w:p>
        </w:tc>
        <w:tc>
          <w:tcPr>
            <w:tcW w:w="1100" w:type="dxa"/>
            <w:vAlign w:val="bottom"/>
            <w:shd w:val="clear" w:color="auto" w:fill="FDFDFC"/>
          </w:tcPr>
          <w:p>
            <w:pPr>
              <w:jc w:val="right"/>
              <w:spacing w:after="0"/>
              <w:rPr>
                <w:sz w:val="20"/>
                <w:szCs w:val="20"/>
                <w:color w:val="auto"/>
              </w:rPr>
            </w:pPr>
            <w:r>
              <w:rPr>
                <w:rFonts w:ascii="Times New Roman" w:cs="Times New Roman" w:eastAsia="Times New Roman" w:hAnsi="Times New Roman"/>
                <w:sz w:val="17"/>
                <w:szCs w:val="17"/>
                <w:color w:val="231F20"/>
              </w:rPr>
              <w:t>472.3</w:t>
            </w:r>
          </w:p>
        </w:tc>
        <w:tc>
          <w:tcPr>
            <w:tcW w:w="280" w:type="dxa"/>
            <w:vAlign w:val="bottom"/>
            <w:shd w:val="clear" w:color="auto" w:fill="FDFDFC"/>
          </w:tcPr>
          <w:p>
            <w:pPr>
              <w:spacing w:after="0"/>
              <w:rPr>
                <w:sz w:val="18"/>
                <w:szCs w:val="18"/>
                <w:color w:val="auto"/>
              </w:rPr>
            </w:pPr>
          </w:p>
        </w:tc>
        <w:tc>
          <w:tcPr>
            <w:tcW w:w="120" w:type="dxa"/>
            <w:vAlign w:val="bottom"/>
            <w:shd w:val="clear" w:color="auto" w:fill="FDFDFC"/>
          </w:tcPr>
          <w:p>
            <w:pPr>
              <w:spacing w:after="0"/>
              <w:rPr>
                <w:sz w:val="18"/>
                <w:szCs w:val="18"/>
                <w:color w:val="auto"/>
              </w:rPr>
            </w:pPr>
          </w:p>
        </w:tc>
        <w:tc>
          <w:tcPr>
            <w:tcW w:w="1040" w:type="dxa"/>
            <w:vAlign w:val="bottom"/>
            <w:shd w:val="clear" w:color="auto" w:fill="FDFDFC"/>
          </w:tcPr>
          <w:p>
            <w:pPr>
              <w:jc w:val="right"/>
              <w:spacing w:after="0"/>
              <w:rPr>
                <w:sz w:val="20"/>
                <w:szCs w:val="20"/>
                <w:color w:val="auto"/>
              </w:rPr>
            </w:pPr>
            <w:r>
              <w:rPr>
                <w:rFonts w:ascii="Times New Roman" w:cs="Times New Roman" w:eastAsia="Times New Roman" w:hAnsi="Times New Roman"/>
                <w:sz w:val="17"/>
                <w:szCs w:val="17"/>
                <w:color w:val="231F20"/>
              </w:rPr>
              <w:t>2,045.4</w:t>
            </w:r>
          </w:p>
        </w:tc>
        <w:tc>
          <w:tcPr>
            <w:tcW w:w="300" w:type="dxa"/>
            <w:vAlign w:val="bottom"/>
            <w:shd w:val="clear" w:color="auto" w:fill="FDFDFC"/>
          </w:tcPr>
          <w:p>
            <w:pPr>
              <w:spacing w:after="0"/>
              <w:rPr>
                <w:sz w:val="18"/>
                <w:szCs w:val="18"/>
                <w:color w:val="auto"/>
              </w:rPr>
            </w:pPr>
          </w:p>
        </w:tc>
        <w:tc>
          <w:tcPr>
            <w:tcW w:w="100" w:type="dxa"/>
            <w:vAlign w:val="bottom"/>
            <w:shd w:val="clear" w:color="auto" w:fill="FDFDFC"/>
          </w:tcPr>
          <w:p>
            <w:pPr>
              <w:spacing w:after="0"/>
              <w:rPr>
                <w:sz w:val="18"/>
                <w:szCs w:val="18"/>
                <w:color w:val="auto"/>
              </w:rPr>
            </w:pPr>
          </w:p>
        </w:tc>
        <w:tc>
          <w:tcPr>
            <w:tcW w:w="1220" w:type="dxa"/>
            <w:vAlign w:val="bottom"/>
            <w:shd w:val="clear" w:color="auto" w:fill="FDFDFC"/>
          </w:tcPr>
          <w:p>
            <w:pPr>
              <w:ind w:left="1020"/>
              <w:spacing w:after="0"/>
              <w:rPr>
                <w:sz w:val="20"/>
                <w:szCs w:val="20"/>
                <w:color w:val="auto"/>
              </w:rPr>
            </w:pPr>
            <w:r>
              <w:rPr>
                <w:rFonts w:ascii="Times New Roman" w:cs="Times New Roman" w:eastAsia="Times New Roman" w:hAnsi="Times New Roman"/>
                <w:sz w:val="17"/>
                <w:szCs w:val="17"/>
                <w:color w:val="231F20"/>
              </w:rPr>
              <w:t>—</w:t>
            </w:r>
          </w:p>
        </w:tc>
        <w:tc>
          <w:tcPr>
            <w:tcW w:w="340" w:type="dxa"/>
            <w:vAlign w:val="bottom"/>
            <w:shd w:val="clear" w:color="auto" w:fill="FDFDFC"/>
          </w:tcPr>
          <w:p>
            <w:pPr>
              <w:spacing w:after="0"/>
              <w:rPr>
                <w:sz w:val="18"/>
                <w:szCs w:val="18"/>
                <w:color w:val="auto"/>
              </w:rPr>
            </w:pPr>
          </w:p>
        </w:tc>
        <w:tc>
          <w:tcPr>
            <w:tcW w:w="1040" w:type="dxa"/>
            <w:vAlign w:val="bottom"/>
            <w:shd w:val="clear" w:color="auto" w:fill="FDFDFC"/>
          </w:tcPr>
          <w:p>
            <w:pPr>
              <w:ind w:left="720"/>
              <w:spacing w:after="0"/>
              <w:rPr>
                <w:sz w:val="20"/>
                <w:szCs w:val="20"/>
                <w:color w:val="auto"/>
              </w:rPr>
            </w:pPr>
            <w:r>
              <w:rPr>
                <w:rFonts w:ascii="Times New Roman" w:cs="Times New Roman" w:eastAsia="Times New Roman" w:hAnsi="Times New Roman"/>
                <w:sz w:val="17"/>
                <w:szCs w:val="17"/>
                <w:color w:val="231F20"/>
              </w:rPr>
              <w:t>N/A</w:t>
            </w:r>
          </w:p>
        </w:tc>
        <w:tc>
          <w:tcPr>
            <w:tcW w:w="0" w:type="dxa"/>
            <w:vAlign w:val="bottom"/>
          </w:tcPr>
          <w:p>
            <w:pPr>
              <w:spacing w:after="0"/>
              <w:rPr>
                <w:sz w:val="1"/>
                <w:szCs w:val="1"/>
                <w:color w:val="auto"/>
              </w:rPr>
            </w:pPr>
          </w:p>
        </w:tc>
      </w:tr>
      <w:tr>
        <w:trPr>
          <w:trHeight w:val="209"/>
        </w:trPr>
        <w:tc>
          <w:tcPr>
            <w:tcW w:w="2860" w:type="dxa"/>
            <w:vAlign w:val="bottom"/>
            <w:shd w:val="clear" w:color="auto" w:fill="D0EBF2"/>
          </w:tcPr>
          <w:p>
            <w:pPr>
              <w:spacing w:after="0"/>
              <w:rPr>
                <w:sz w:val="20"/>
                <w:szCs w:val="20"/>
                <w:color w:val="auto"/>
              </w:rPr>
            </w:pPr>
            <w:r>
              <w:rPr>
                <w:rFonts w:ascii="Times New Roman" w:cs="Times New Roman" w:eastAsia="Times New Roman" w:hAnsi="Times New Roman"/>
                <w:sz w:val="17"/>
                <w:szCs w:val="17"/>
                <w:color w:val="231F20"/>
              </w:rPr>
              <w:t>December 31, 2019</w:t>
            </w:r>
          </w:p>
        </w:tc>
        <w:tc>
          <w:tcPr>
            <w:tcW w:w="180" w:type="dxa"/>
            <w:vAlign w:val="bottom"/>
            <w:shd w:val="clear" w:color="auto" w:fill="D0EBF2"/>
          </w:tcPr>
          <w:p>
            <w:pPr>
              <w:spacing w:after="0"/>
              <w:rPr>
                <w:sz w:val="18"/>
                <w:szCs w:val="18"/>
                <w:color w:val="auto"/>
              </w:rPr>
            </w:pPr>
          </w:p>
        </w:tc>
        <w:tc>
          <w:tcPr>
            <w:tcW w:w="380" w:type="dxa"/>
            <w:vAlign w:val="bottom"/>
            <w:shd w:val="clear" w:color="auto" w:fill="D0EBF2"/>
          </w:tcPr>
          <w:p>
            <w:pPr>
              <w:spacing w:after="0"/>
              <w:rPr>
                <w:sz w:val="18"/>
                <w:szCs w:val="18"/>
                <w:color w:val="auto"/>
              </w:rPr>
            </w:pPr>
          </w:p>
        </w:tc>
        <w:tc>
          <w:tcPr>
            <w:tcW w:w="1100" w:type="dxa"/>
            <w:vAlign w:val="bottom"/>
            <w:shd w:val="clear" w:color="auto" w:fill="D0EBF2"/>
          </w:tcPr>
          <w:p>
            <w:pPr>
              <w:jc w:val="right"/>
              <w:spacing w:after="0"/>
              <w:rPr>
                <w:sz w:val="20"/>
                <w:szCs w:val="20"/>
                <w:color w:val="auto"/>
              </w:rPr>
            </w:pPr>
            <w:r>
              <w:rPr>
                <w:rFonts w:ascii="Times New Roman" w:cs="Times New Roman" w:eastAsia="Times New Roman" w:hAnsi="Times New Roman"/>
                <w:sz w:val="17"/>
                <w:szCs w:val="17"/>
                <w:color w:val="231F20"/>
              </w:rPr>
              <w:t>495.7</w:t>
            </w:r>
          </w:p>
        </w:tc>
        <w:tc>
          <w:tcPr>
            <w:tcW w:w="280" w:type="dxa"/>
            <w:vAlign w:val="bottom"/>
            <w:shd w:val="clear" w:color="auto" w:fill="D0EBF2"/>
          </w:tcPr>
          <w:p>
            <w:pPr>
              <w:spacing w:after="0"/>
              <w:rPr>
                <w:sz w:val="18"/>
                <w:szCs w:val="18"/>
                <w:color w:val="auto"/>
              </w:rPr>
            </w:pPr>
          </w:p>
        </w:tc>
        <w:tc>
          <w:tcPr>
            <w:tcW w:w="120" w:type="dxa"/>
            <w:vAlign w:val="bottom"/>
            <w:shd w:val="clear" w:color="auto" w:fill="D0EBF2"/>
          </w:tcPr>
          <w:p>
            <w:pPr>
              <w:spacing w:after="0"/>
              <w:rPr>
                <w:sz w:val="18"/>
                <w:szCs w:val="18"/>
                <w:color w:val="auto"/>
              </w:rPr>
            </w:pPr>
          </w:p>
        </w:tc>
        <w:tc>
          <w:tcPr>
            <w:tcW w:w="1040" w:type="dxa"/>
            <w:vAlign w:val="bottom"/>
            <w:shd w:val="clear" w:color="auto" w:fill="D0EBF2"/>
          </w:tcPr>
          <w:p>
            <w:pPr>
              <w:jc w:val="right"/>
              <w:spacing w:after="0"/>
              <w:rPr>
                <w:sz w:val="20"/>
                <w:szCs w:val="20"/>
                <w:color w:val="auto"/>
              </w:rPr>
            </w:pPr>
            <w:r>
              <w:rPr>
                <w:rFonts w:ascii="Times New Roman" w:cs="Times New Roman" w:eastAsia="Times New Roman" w:hAnsi="Times New Roman"/>
                <w:sz w:val="17"/>
                <w:szCs w:val="17"/>
                <w:color w:val="231F20"/>
              </w:rPr>
              <w:t>2,004.1</w:t>
            </w:r>
          </w:p>
        </w:tc>
        <w:tc>
          <w:tcPr>
            <w:tcW w:w="300" w:type="dxa"/>
            <w:vAlign w:val="bottom"/>
            <w:shd w:val="clear" w:color="auto" w:fill="D0EBF2"/>
          </w:tcPr>
          <w:p>
            <w:pPr>
              <w:spacing w:after="0"/>
              <w:rPr>
                <w:sz w:val="18"/>
                <w:szCs w:val="18"/>
                <w:color w:val="auto"/>
              </w:rPr>
            </w:pPr>
          </w:p>
        </w:tc>
        <w:tc>
          <w:tcPr>
            <w:tcW w:w="100" w:type="dxa"/>
            <w:vAlign w:val="bottom"/>
            <w:shd w:val="clear" w:color="auto" w:fill="D0EBF2"/>
          </w:tcPr>
          <w:p>
            <w:pPr>
              <w:spacing w:after="0"/>
              <w:rPr>
                <w:sz w:val="18"/>
                <w:szCs w:val="18"/>
                <w:color w:val="auto"/>
              </w:rPr>
            </w:pPr>
          </w:p>
        </w:tc>
        <w:tc>
          <w:tcPr>
            <w:tcW w:w="1220" w:type="dxa"/>
            <w:vAlign w:val="bottom"/>
            <w:shd w:val="clear" w:color="auto" w:fill="D0EBF2"/>
          </w:tcPr>
          <w:p>
            <w:pPr>
              <w:ind w:left="1020"/>
              <w:spacing w:after="0"/>
              <w:rPr>
                <w:sz w:val="20"/>
                <w:szCs w:val="20"/>
                <w:color w:val="auto"/>
              </w:rPr>
            </w:pPr>
            <w:r>
              <w:rPr>
                <w:rFonts w:ascii="Times New Roman" w:cs="Times New Roman" w:eastAsia="Times New Roman" w:hAnsi="Times New Roman"/>
                <w:sz w:val="17"/>
                <w:szCs w:val="17"/>
                <w:color w:val="231F20"/>
              </w:rPr>
              <w:t>—</w:t>
            </w:r>
          </w:p>
        </w:tc>
        <w:tc>
          <w:tcPr>
            <w:tcW w:w="340" w:type="dxa"/>
            <w:vAlign w:val="bottom"/>
            <w:shd w:val="clear" w:color="auto" w:fill="D0EBF2"/>
          </w:tcPr>
          <w:p>
            <w:pPr>
              <w:spacing w:after="0"/>
              <w:rPr>
                <w:sz w:val="18"/>
                <w:szCs w:val="18"/>
                <w:color w:val="auto"/>
              </w:rPr>
            </w:pPr>
          </w:p>
        </w:tc>
        <w:tc>
          <w:tcPr>
            <w:tcW w:w="1040" w:type="dxa"/>
            <w:vAlign w:val="bottom"/>
            <w:shd w:val="clear" w:color="auto" w:fill="D0EBF2"/>
          </w:tcPr>
          <w:p>
            <w:pPr>
              <w:ind w:left="720"/>
              <w:spacing w:after="0"/>
              <w:rPr>
                <w:sz w:val="20"/>
                <w:szCs w:val="20"/>
                <w:color w:val="auto"/>
              </w:rPr>
            </w:pPr>
            <w:r>
              <w:rPr>
                <w:rFonts w:ascii="Times New Roman" w:cs="Times New Roman" w:eastAsia="Times New Roman" w:hAnsi="Times New Roman"/>
                <w:sz w:val="17"/>
                <w:szCs w:val="17"/>
                <w:color w:val="231F20"/>
              </w:rPr>
              <w:t>N/A</w:t>
            </w:r>
          </w:p>
        </w:tc>
        <w:tc>
          <w:tcPr>
            <w:tcW w:w="0" w:type="dxa"/>
            <w:vAlign w:val="bottom"/>
          </w:tcPr>
          <w:p>
            <w:pPr>
              <w:spacing w:after="0"/>
              <w:rPr>
                <w:sz w:val="1"/>
                <w:szCs w:val="1"/>
                <w:color w:val="auto"/>
              </w:rPr>
            </w:pPr>
          </w:p>
        </w:tc>
      </w:tr>
      <w:tr>
        <w:trPr>
          <w:trHeight w:val="209"/>
        </w:trPr>
        <w:tc>
          <w:tcPr>
            <w:tcW w:w="2860" w:type="dxa"/>
            <w:vAlign w:val="bottom"/>
            <w:shd w:val="clear" w:color="auto" w:fill="FDFDFC"/>
          </w:tcPr>
          <w:p>
            <w:pPr>
              <w:spacing w:after="0"/>
              <w:rPr>
                <w:sz w:val="20"/>
                <w:szCs w:val="20"/>
                <w:color w:val="auto"/>
              </w:rPr>
            </w:pPr>
            <w:r>
              <w:rPr>
                <w:rFonts w:ascii="Times New Roman" w:cs="Times New Roman" w:eastAsia="Times New Roman" w:hAnsi="Times New Roman"/>
                <w:sz w:val="17"/>
                <w:szCs w:val="17"/>
                <w:color w:val="231F20"/>
              </w:rPr>
              <w:t>December 31, 2018</w:t>
            </w:r>
          </w:p>
        </w:tc>
        <w:tc>
          <w:tcPr>
            <w:tcW w:w="180" w:type="dxa"/>
            <w:vAlign w:val="bottom"/>
            <w:shd w:val="clear" w:color="auto" w:fill="FDFDFC"/>
          </w:tcPr>
          <w:p>
            <w:pPr>
              <w:spacing w:after="0"/>
              <w:rPr>
                <w:sz w:val="18"/>
                <w:szCs w:val="18"/>
                <w:color w:val="auto"/>
              </w:rPr>
            </w:pPr>
          </w:p>
        </w:tc>
        <w:tc>
          <w:tcPr>
            <w:tcW w:w="380" w:type="dxa"/>
            <w:vAlign w:val="bottom"/>
            <w:shd w:val="clear" w:color="auto" w:fill="FDFDFC"/>
          </w:tcPr>
          <w:p>
            <w:pPr>
              <w:spacing w:after="0"/>
              <w:rPr>
                <w:sz w:val="18"/>
                <w:szCs w:val="18"/>
                <w:color w:val="auto"/>
              </w:rPr>
            </w:pPr>
          </w:p>
        </w:tc>
        <w:tc>
          <w:tcPr>
            <w:tcW w:w="1100" w:type="dxa"/>
            <w:vAlign w:val="bottom"/>
            <w:shd w:val="clear" w:color="auto" w:fill="FDFDFC"/>
          </w:tcPr>
          <w:p>
            <w:pPr>
              <w:jc w:val="right"/>
              <w:spacing w:after="0"/>
              <w:rPr>
                <w:sz w:val="20"/>
                <w:szCs w:val="20"/>
                <w:color w:val="auto"/>
              </w:rPr>
            </w:pPr>
            <w:r>
              <w:rPr>
                <w:rFonts w:ascii="Times New Roman" w:cs="Times New Roman" w:eastAsia="Times New Roman" w:hAnsi="Times New Roman"/>
                <w:sz w:val="17"/>
                <w:szCs w:val="17"/>
                <w:color w:val="231F20"/>
              </w:rPr>
              <w:t>187.5</w:t>
            </w:r>
          </w:p>
        </w:tc>
        <w:tc>
          <w:tcPr>
            <w:tcW w:w="280" w:type="dxa"/>
            <w:vAlign w:val="bottom"/>
            <w:shd w:val="clear" w:color="auto" w:fill="FDFDFC"/>
          </w:tcPr>
          <w:p>
            <w:pPr>
              <w:spacing w:after="0"/>
              <w:rPr>
                <w:sz w:val="18"/>
                <w:szCs w:val="18"/>
                <w:color w:val="auto"/>
              </w:rPr>
            </w:pPr>
          </w:p>
        </w:tc>
        <w:tc>
          <w:tcPr>
            <w:tcW w:w="120" w:type="dxa"/>
            <w:vAlign w:val="bottom"/>
            <w:shd w:val="clear" w:color="auto" w:fill="FDFDFC"/>
          </w:tcPr>
          <w:p>
            <w:pPr>
              <w:spacing w:after="0"/>
              <w:rPr>
                <w:sz w:val="18"/>
                <w:szCs w:val="18"/>
                <w:color w:val="auto"/>
              </w:rPr>
            </w:pPr>
          </w:p>
        </w:tc>
        <w:tc>
          <w:tcPr>
            <w:tcW w:w="1040" w:type="dxa"/>
            <w:vAlign w:val="bottom"/>
            <w:shd w:val="clear" w:color="auto" w:fill="FDFDFC"/>
          </w:tcPr>
          <w:p>
            <w:pPr>
              <w:jc w:val="right"/>
              <w:spacing w:after="0"/>
              <w:rPr>
                <w:sz w:val="20"/>
                <w:szCs w:val="20"/>
                <w:color w:val="auto"/>
              </w:rPr>
            </w:pPr>
            <w:r>
              <w:rPr>
                <w:rFonts w:ascii="Times New Roman" w:cs="Times New Roman" w:eastAsia="Times New Roman" w:hAnsi="Times New Roman"/>
                <w:sz w:val="17"/>
                <w:szCs w:val="17"/>
                <w:color w:val="231F20"/>
              </w:rPr>
              <w:t>2,705.2</w:t>
            </w:r>
          </w:p>
        </w:tc>
        <w:tc>
          <w:tcPr>
            <w:tcW w:w="300" w:type="dxa"/>
            <w:vAlign w:val="bottom"/>
            <w:shd w:val="clear" w:color="auto" w:fill="FDFDFC"/>
          </w:tcPr>
          <w:p>
            <w:pPr>
              <w:spacing w:after="0"/>
              <w:rPr>
                <w:sz w:val="18"/>
                <w:szCs w:val="18"/>
                <w:color w:val="auto"/>
              </w:rPr>
            </w:pPr>
          </w:p>
        </w:tc>
        <w:tc>
          <w:tcPr>
            <w:tcW w:w="100" w:type="dxa"/>
            <w:vAlign w:val="bottom"/>
            <w:shd w:val="clear" w:color="auto" w:fill="FDFDFC"/>
          </w:tcPr>
          <w:p>
            <w:pPr>
              <w:spacing w:after="0"/>
              <w:rPr>
                <w:sz w:val="18"/>
                <w:szCs w:val="18"/>
                <w:color w:val="auto"/>
              </w:rPr>
            </w:pPr>
          </w:p>
        </w:tc>
        <w:tc>
          <w:tcPr>
            <w:tcW w:w="1220" w:type="dxa"/>
            <w:vAlign w:val="bottom"/>
            <w:shd w:val="clear" w:color="auto" w:fill="FDFDFC"/>
          </w:tcPr>
          <w:p>
            <w:pPr>
              <w:ind w:left="1020"/>
              <w:spacing w:after="0"/>
              <w:rPr>
                <w:sz w:val="20"/>
                <w:szCs w:val="20"/>
                <w:color w:val="auto"/>
              </w:rPr>
            </w:pPr>
            <w:r>
              <w:rPr>
                <w:rFonts w:ascii="Times New Roman" w:cs="Times New Roman" w:eastAsia="Times New Roman" w:hAnsi="Times New Roman"/>
                <w:sz w:val="17"/>
                <w:szCs w:val="17"/>
                <w:color w:val="231F20"/>
              </w:rPr>
              <w:t>—</w:t>
            </w:r>
          </w:p>
        </w:tc>
        <w:tc>
          <w:tcPr>
            <w:tcW w:w="340" w:type="dxa"/>
            <w:vAlign w:val="bottom"/>
            <w:shd w:val="clear" w:color="auto" w:fill="FDFDFC"/>
          </w:tcPr>
          <w:p>
            <w:pPr>
              <w:spacing w:after="0"/>
              <w:rPr>
                <w:sz w:val="18"/>
                <w:szCs w:val="18"/>
                <w:color w:val="auto"/>
              </w:rPr>
            </w:pPr>
          </w:p>
        </w:tc>
        <w:tc>
          <w:tcPr>
            <w:tcW w:w="1040" w:type="dxa"/>
            <w:vAlign w:val="bottom"/>
            <w:shd w:val="clear" w:color="auto" w:fill="FDFDFC"/>
          </w:tcPr>
          <w:p>
            <w:pPr>
              <w:ind w:left="720"/>
              <w:spacing w:after="0"/>
              <w:rPr>
                <w:sz w:val="20"/>
                <w:szCs w:val="20"/>
                <w:color w:val="auto"/>
              </w:rPr>
            </w:pPr>
            <w:r>
              <w:rPr>
                <w:rFonts w:ascii="Times New Roman" w:cs="Times New Roman" w:eastAsia="Times New Roman" w:hAnsi="Times New Roman"/>
                <w:sz w:val="17"/>
                <w:szCs w:val="17"/>
                <w:color w:val="231F20"/>
              </w:rPr>
              <w:t>N/A</w:t>
            </w:r>
          </w:p>
        </w:tc>
        <w:tc>
          <w:tcPr>
            <w:tcW w:w="0" w:type="dxa"/>
            <w:vAlign w:val="bottom"/>
          </w:tcPr>
          <w:p>
            <w:pPr>
              <w:spacing w:after="0"/>
              <w:rPr>
                <w:sz w:val="1"/>
                <w:szCs w:val="1"/>
                <w:color w:val="auto"/>
              </w:rPr>
            </w:pPr>
          </w:p>
        </w:tc>
      </w:tr>
      <w:tr>
        <w:trPr>
          <w:trHeight w:val="209"/>
        </w:trPr>
        <w:tc>
          <w:tcPr>
            <w:tcW w:w="2860" w:type="dxa"/>
            <w:vAlign w:val="bottom"/>
            <w:shd w:val="clear" w:color="auto" w:fill="D0EBF2"/>
          </w:tcPr>
          <w:p>
            <w:pPr>
              <w:spacing w:after="0"/>
              <w:rPr>
                <w:sz w:val="20"/>
                <w:szCs w:val="20"/>
                <w:color w:val="auto"/>
              </w:rPr>
            </w:pPr>
            <w:r>
              <w:rPr>
                <w:rFonts w:ascii="Times New Roman" w:cs="Times New Roman" w:eastAsia="Times New Roman" w:hAnsi="Times New Roman"/>
                <w:sz w:val="17"/>
                <w:szCs w:val="17"/>
                <w:color w:val="231F20"/>
              </w:rPr>
              <w:t>December 31, 2017</w:t>
            </w:r>
          </w:p>
        </w:tc>
        <w:tc>
          <w:tcPr>
            <w:tcW w:w="180" w:type="dxa"/>
            <w:vAlign w:val="bottom"/>
            <w:shd w:val="clear" w:color="auto" w:fill="D0EBF2"/>
          </w:tcPr>
          <w:p>
            <w:pPr>
              <w:spacing w:after="0"/>
              <w:rPr>
                <w:sz w:val="18"/>
                <w:szCs w:val="18"/>
                <w:color w:val="auto"/>
              </w:rPr>
            </w:pPr>
          </w:p>
        </w:tc>
        <w:tc>
          <w:tcPr>
            <w:tcW w:w="380" w:type="dxa"/>
            <w:vAlign w:val="bottom"/>
            <w:shd w:val="clear" w:color="auto" w:fill="D0EBF2"/>
          </w:tcPr>
          <w:p>
            <w:pPr>
              <w:spacing w:after="0"/>
              <w:rPr>
                <w:sz w:val="18"/>
                <w:szCs w:val="18"/>
                <w:color w:val="auto"/>
              </w:rPr>
            </w:pPr>
          </w:p>
        </w:tc>
        <w:tc>
          <w:tcPr>
            <w:tcW w:w="1100" w:type="dxa"/>
            <w:vAlign w:val="bottom"/>
            <w:shd w:val="clear" w:color="auto" w:fill="D0EBF2"/>
          </w:tcPr>
          <w:p>
            <w:pPr>
              <w:jc w:val="right"/>
              <w:spacing w:after="0"/>
              <w:rPr>
                <w:sz w:val="20"/>
                <w:szCs w:val="20"/>
                <w:color w:val="auto"/>
              </w:rPr>
            </w:pPr>
            <w:r>
              <w:rPr>
                <w:rFonts w:ascii="Times New Roman" w:cs="Times New Roman" w:eastAsia="Times New Roman" w:hAnsi="Times New Roman"/>
                <w:sz w:val="17"/>
                <w:szCs w:val="17"/>
                <w:color w:val="231F20"/>
              </w:rPr>
              <w:t>486.8</w:t>
            </w:r>
          </w:p>
        </w:tc>
        <w:tc>
          <w:tcPr>
            <w:tcW w:w="280" w:type="dxa"/>
            <w:vAlign w:val="bottom"/>
            <w:shd w:val="clear" w:color="auto" w:fill="D0EBF2"/>
          </w:tcPr>
          <w:p>
            <w:pPr>
              <w:spacing w:after="0"/>
              <w:rPr>
                <w:sz w:val="18"/>
                <w:szCs w:val="18"/>
                <w:color w:val="auto"/>
              </w:rPr>
            </w:pPr>
          </w:p>
        </w:tc>
        <w:tc>
          <w:tcPr>
            <w:tcW w:w="120" w:type="dxa"/>
            <w:vAlign w:val="bottom"/>
            <w:shd w:val="clear" w:color="auto" w:fill="D0EBF2"/>
          </w:tcPr>
          <w:p>
            <w:pPr>
              <w:spacing w:after="0"/>
              <w:rPr>
                <w:sz w:val="18"/>
                <w:szCs w:val="18"/>
                <w:color w:val="auto"/>
              </w:rPr>
            </w:pPr>
          </w:p>
        </w:tc>
        <w:tc>
          <w:tcPr>
            <w:tcW w:w="1040" w:type="dxa"/>
            <w:vAlign w:val="bottom"/>
            <w:shd w:val="clear" w:color="auto" w:fill="D0EBF2"/>
          </w:tcPr>
          <w:p>
            <w:pPr>
              <w:jc w:val="right"/>
              <w:spacing w:after="0"/>
              <w:rPr>
                <w:sz w:val="20"/>
                <w:szCs w:val="20"/>
                <w:color w:val="auto"/>
              </w:rPr>
            </w:pPr>
            <w:r>
              <w:rPr>
                <w:rFonts w:ascii="Times New Roman" w:cs="Times New Roman" w:eastAsia="Times New Roman" w:hAnsi="Times New Roman"/>
                <w:sz w:val="17"/>
                <w:szCs w:val="17"/>
                <w:color w:val="231F20"/>
              </w:rPr>
              <w:t>2,355.3</w:t>
            </w:r>
          </w:p>
        </w:tc>
        <w:tc>
          <w:tcPr>
            <w:tcW w:w="300" w:type="dxa"/>
            <w:vAlign w:val="bottom"/>
            <w:shd w:val="clear" w:color="auto" w:fill="D0EBF2"/>
          </w:tcPr>
          <w:p>
            <w:pPr>
              <w:spacing w:after="0"/>
              <w:rPr>
                <w:sz w:val="18"/>
                <w:szCs w:val="18"/>
                <w:color w:val="auto"/>
              </w:rPr>
            </w:pPr>
          </w:p>
        </w:tc>
        <w:tc>
          <w:tcPr>
            <w:tcW w:w="100" w:type="dxa"/>
            <w:vAlign w:val="bottom"/>
            <w:shd w:val="clear" w:color="auto" w:fill="D0EBF2"/>
          </w:tcPr>
          <w:p>
            <w:pPr>
              <w:spacing w:after="0"/>
              <w:rPr>
                <w:sz w:val="18"/>
                <w:szCs w:val="18"/>
                <w:color w:val="auto"/>
              </w:rPr>
            </w:pPr>
          </w:p>
        </w:tc>
        <w:tc>
          <w:tcPr>
            <w:tcW w:w="1220" w:type="dxa"/>
            <w:vAlign w:val="bottom"/>
            <w:shd w:val="clear" w:color="auto" w:fill="D0EBF2"/>
          </w:tcPr>
          <w:p>
            <w:pPr>
              <w:ind w:left="1020"/>
              <w:spacing w:after="0"/>
              <w:rPr>
                <w:sz w:val="20"/>
                <w:szCs w:val="20"/>
                <w:color w:val="auto"/>
              </w:rPr>
            </w:pPr>
            <w:r>
              <w:rPr>
                <w:rFonts w:ascii="Times New Roman" w:cs="Times New Roman" w:eastAsia="Times New Roman" w:hAnsi="Times New Roman"/>
                <w:sz w:val="17"/>
                <w:szCs w:val="17"/>
                <w:color w:val="231F20"/>
              </w:rPr>
              <w:t>—</w:t>
            </w:r>
          </w:p>
        </w:tc>
        <w:tc>
          <w:tcPr>
            <w:tcW w:w="340" w:type="dxa"/>
            <w:vAlign w:val="bottom"/>
            <w:shd w:val="clear" w:color="auto" w:fill="D0EBF2"/>
          </w:tcPr>
          <w:p>
            <w:pPr>
              <w:spacing w:after="0"/>
              <w:rPr>
                <w:sz w:val="18"/>
                <w:szCs w:val="18"/>
                <w:color w:val="auto"/>
              </w:rPr>
            </w:pPr>
          </w:p>
        </w:tc>
        <w:tc>
          <w:tcPr>
            <w:tcW w:w="1040" w:type="dxa"/>
            <w:vAlign w:val="bottom"/>
            <w:shd w:val="clear" w:color="auto" w:fill="D0EBF2"/>
          </w:tcPr>
          <w:p>
            <w:pPr>
              <w:ind w:left="720"/>
              <w:spacing w:after="0"/>
              <w:rPr>
                <w:sz w:val="20"/>
                <w:szCs w:val="20"/>
                <w:color w:val="auto"/>
              </w:rPr>
            </w:pPr>
            <w:r>
              <w:rPr>
                <w:rFonts w:ascii="Times New Roman" w:cs="Times New Roman" w:eastAsia="Times New Roman" w:hAnsi="Times New Roman"/>
                <w:sz w:val="17"/>
                <w:szCs w:val="17"/>
                <w:color w:val="231F20"/>
              </w:rPr>
              <w:t>N/A</w:t>
            </w:r>
          </w:p>
        </w:tc>
        <w:tc>
          <w:tcPr>
            <w:tcW w:w="0" w:type="dxa"/>
            <w:vAlign w:val="bottom"/>
          </w:tcPr>
          <w:p>
            <w:pPr>
              <w:spacing w:after="0"/>
              <w:rPr>
                <w:sz w:val="1"/>
                <w:szCs w:val="1"/>
                <w:color w:val="auto"/>
              </w:rPr>
            </w:pPr>
          </w:p>
        </w:tc>
      </w:tr>
      <w:tr>
        <w:trPr>
          <w:trHeight w:val="209"/>
        </w:trPr>
        <w:tc>
          <w:tcPr>
            <w:tcW w:w="2860" w:type="dxa"/>
            <w:vAlign w:val="bottom"/>
            <w:shd w:val="clear" w:color="auto" w:fill="FDFDFC"/>
          </w:tcPr>
          <w:p>
            <w:pPr>
              <w:spacing w:after="0"/>
              <w:rPr>
                <w:sz w:val="20"/>
                <w:szCs w:val="20"/>
                <w:color w:val="auto"/>
              </w:rPr>
            </w:pPr>
            <w:r>
              <w:rPr>
                <w:rFonts w:ascii="Times New Roman" w:cs="Times New Roman" w:eastAsia="Times New Roman" w:hAnsi="Times New Roman"/>
                <w:sz w:val="17"/>
                <w:szCs w:val="17"/>
                <w:color w:val="231F20"/>
              </w:rPr>
              <w:t>December 31, 2016</w:t>
            </w:r>
          </w:p>
        </w:tc>
        <w:tc>
          <w:tcPr>
            <w:tcW w:w="180" w:type="dxa"/>
            <w:vAlign w:val="bottom"/>
            <w:shd w:val="clear" w:color="auto" w:fill="FDFDFC"/>
          </w:tcPr>
          <w:p>
            <w:pPr>
              <w:spacing w:after="0"/>
              <w:rPr>
                <w:sz w:val="18"/>
                <w:szCs w:val="18"/>
                <w:color w:val="auto"/>
              </w:rPr>
            </w:pPr>
          </w:p>
        </w:tc>
        <w:tc>
          <w:tcPr>
            <w:tcW w:w="380" w:type="dxa"/>
            <w:vAlign w:val="bottom"/>
            <w:shd w:val="clear" w:color="auto" w:fill="FDFDFC"/>
          </w:tcPr>
          <w:p>
            <w:pPr>
              <w:spacing w:after="0"/>
              <w:rPr>
                <w:sz w:val="18"/>
                <w:szCs w:val="18"/>
                <w:color w:val="auto"/>
              </w:rPr>
            </w:pPr>
          </w:p>
        </w:tc>
        <w:tc>
          <w:tcPr>
            <w:tcW w:w="1100" w:type="dxa"/>
            <w:vAlign w:val="bottom"/>
            <w:shd w:val="clear" w:color="auto" w:fill="FDFDFC"/>
          </w:tcPr>
          <w:p>
            <w:pPr>
              <w:jc w:val="right"/>
              <w:spacing w:after="0"/>
              <w:rPr>
                <w:sz w:val="20"/>
                <w:szCs w:val="20"/>
                <w:color w:val="auto"/>
              </w:rPr>
            </w:pPr>
            <w:r>
              <w:rPr>
                <w:rFonts w:ascii="Times New Roman" w:cs="Times New Roman" w:eastAsia="Times New Roman" w:hAnsi="Times New Roman"/>
                <w:sz w:val="17"/>
                <w:szCs w:val="17"/>
                <w:color w:val="231F20"/>
              </w:rPr>
              <w:t>578.7</w:t>
            </w:r>
          </w:p>
        </w:tc>
        <w:tc>
          <w:tcPr>
            <w:tcW w:w="280" w:type="dxa"/>
            <w:vAlign w:val="bottom"/>
            <w:shd w:val="clear" w:color="auto" w:fill="FDFDFC"/>
          </w:tcPr>
          <w:p>
            <w:pPr>
              <w:spacing w:after="0"/>
              <w:rPr>
                <w:sz w:val="18"/>
                <w:szCs w:val="18"/>
                <w:color w:val="auto"/>
              </w:rPr>
            </w:pPr>
          </w:p>
        </w:tc>
        <w:tc>
          <w:tcPr>
            <w:tcW w:w="120" w:type="dxa"/>
            <w:vAlign w:val="bottom"/>
            <w:shd w:val="clear" w:color="auto" w:fill="FDFDFC"/>
          </w:tcPr>
          <w:p>
            <w:pPr>
              <w:spacing w:after="0"/>
              <w:rPr>
                <w:sz w:val="18"/>
                <w:szCs w:val="18"/>
                <w:color w:val="auto"/>
              </w:rPr>
            </w:pPr>
          </w:p>
        </w:tc>
        <w:tc>
          <w:tcPr>
            <w:tcW w:w="1040" w:type="dxa"/>
            <w:vAlign w:val="bottom"/>
            <w:shd w:val="clear" w:color="auto" w:fill="FDFDFC"/>
          </w:tcPr>
          <w:p>
            <w:pPr>
              <w:jc w:val="right"/>
              <w:spacing w:after="0"/>
              <w:rPr>
                <w:sz w:val="20"/>
                <w:szCs w:val="20"/>
                <w:color w:val="auto"/>
              </w:rPr>
            </w:pPr>
            <w:r>
              <w:rPr>
                <w:rFonts w:ascii="Times New Roman" w:cs="Times New Roman" w:eastAsia="Times New Roman" w:hAnsi="Times New Roman"/>
                <w:sz w:val="17"/>
                <w:szCs w:val="17"/>
                <w:color w:val="231F20"/>
              </w:rPr>
              <w:t>2,376.6</w:t>
            </w:r>
          </w:p>
        </w:tc>
        <w:tc>
          <w:tcPr>
            <w:tcW w:w="300" w:type="dxa"/>
            <w:vAlign w:val="bottom"/>
            <w:shd w:val="clear" w:color="auto" w:fill="FDFDFC"/>
          </w:tcPr>
          <w:p>
            <w:pPr>
              <w:spacing w:after="0"/>
              <w:rPr>
                <w:sz w:val="18"/>
                <w:szCs w:val="18"/>
                <w:color w:val="auto"/>
              </w:rPr>
            </w:pPr>
          </w:p>
        </w:tc>
        <w:tc>
          <w:tcPr>
            <w:tcW w:w="100" w:type="dxa"/>
            <w:vAlign w:val="bottom"/>
            <w:shd w:val="clear" w:color="auto" w:fill="FDFDFC"/>
          </w:tcPr>
          <w:p>
            <w:pPr>
              <w:spacing w:after="0"/>
              <w:rPr>
                <w:sz w:val="18"/>
                <w:szCs w:val="18"/>
                <w:color w:val="auto"/>
              </w:rPr>
            </w:pPr>
          </w:p>
        </w:tc>
        <w:tc>
          <w:tcPr>
            <w:tcW w:w="1220" w:type="dxa"/>
            <w:vAlign w:val="bottom"/>
            <w:shd w:val="clear" w:color="auto" w:fill="FDFDFC"/>
          </w:tcPr>
          <w:p>
            <w:pPr>
              <w:ind w:left="1020"/>
              <w:spacing w:after="0"/>
              <w:rPr>
                <w:sz w:val="20"/>
                <w:szCs w:val="20"/>
                <w:color w:val="auto"/>
              </w:rPr>
            </w:pPr>
            <w:r>
              <w:rPr>
                <w:rFonts w:ascii="Times New Roman" w:cs="Times New Roman" w:eastAsia="Times New Roman" w:hAnsi="Times New Roman"/>
                <w:sz w:val="17"/>
                <w:szCs w:val="17"/>
                <w:color w:val="231F20"/>
              </w:rPr>
              <w:t>—</w:t>
            </w:r>
          </w:p>
        </w:tc>
        <w:tc>
          <w:tcPr>
            <w:tcW w:w="340" w:type="dxa"/>
            <w:vAlign w:val="bottom"/>
            <w:shd w:val="clear" w:color="auto" w:fill="FDFDFC"/>
          </w:tcPr>
          <w:p>
            <w:pPr>
              <w:spacing w:after="0"/>
              <w:rPr>
                <w:sz w:val="18"/>
                <w:szCs w:val="18"/>
                <w:color w:val="auto"/>
              </w:rPr>
            </w:pPr>
          </w:p>
        </w:tc>
        <w:tc>
          <w:tcPr>
            <w:tcW w:w="1040" w:type="dxa"/>
            <w:vAlign w:val="bottom"/>
            <w:shd w:val="clear" w:color="auto" w:fill="FDFDFC"/>
          </w:tcPr>
          <w:p>
            <w:pPr>
              <w:ind w:left="720"/>
              <w:spacing w:after="0"/>
              <w:rPr>
                <w:sz w:val="20"/>
                <w:szCs w:val="20"/>
                <w:color w:val="auto"/>
              </w:rPr>
            </w:pPr>
            <w:r>
              <w:rPr>
                <w:rFonts w:ascii="Times New Roman" w:cs="Times New Roman" w:eastAsia="Times New Roman" w:hAnsi="Times New Roman"/>
                <w:sz w:val="17"/>
                <w:szCs w:val="17"/>
                <w:color w:val="231F20"/>
              </w:rPr>
              <w:t>N/A</w:t>
            </w:r>
          </w:p>
        </w:tc>
        <w:tc>
          <w:tcPr>
            <w:tcW w:w="0" w:type="dxa"/>
            <w:vAlign w:val="bottom"/>
          </w:tcPr>
          <w:p>
            <w:pPr>
              <w:spacing w:after="0"/>
              <w:rPr>
                <w:sz w:val="1"/>
                <w:szCs w:val="1"/>
                <w:color w:val="auto"/>
              </w:rPr>
            </w:pPr>
          </w:p>
        </w:tc>
      </w:tr>
      <w:tr>
        <w:trPr>
          <w:trHeight w:val="209"/>
        </w:trPr>
        <w:tc>
          <w:tcPr>
            <w:tcW w:w="2860" w:type="dxa"/>
            <w:vAlign w:val="bottom"/>
            <w:shd w:val="clear" w:color="auto" w:fill="D0EBF2"/>
          </w:tcPr>
          <w:p>
            <w:pPr>
              <w:spacing w:after="0"/>
              <w:rPr>
                <w:sz w:val="20"/>
                <w:szCs w:val="20"/>
                <w:color w:val="auto"/>
              </w:rPr>
            </w:pPr>
            <w:r>
              <w:rPr>
                <w:rFonts w:ascii="Times New Roman" w:cs="Times New Roman" w:eastAsia="Times New Roman" w:hAnsi="Times New Roman"/>
                <w:sz w:val="17"/>
                <w:szCs w:val="17"/>
                <w:color w:val="231F20"/>
              </w:rPr>
              <w:t>December 31, 2015</w:t>
            </w:r>
          </w:p>
        </w:tc>
        <w:tc>
          <w:tcPr>
            <w:tcW w:w="180" w:type="dxa"/>
            <w:vAlign w:val="bottom"/>
            <w:shd w:val="clear" w:color="auto" w:fill="D0EBF2"/>
          </w:tcPr>
          <w:p>
            <w:pPr>
              <w:spacing w:after="0"/>
              <w:rPr>
                <w:sz w:val="18"/>
                <w:szCs w:val="18"/>
                <w:color w:val="auto"/>
              </w:rPr>
            </w:pPr>
          </w:p>
        </w:tc>
        <w:tc>
          <w:tcPr>
            <w:tcW w:w="380" w:type="dxa"/>
            <w:vAlign w:val="bottom"/>
            <w:shd w:val="clear" w:color="auto" w:fill="D0EBF2"/>
          </w:tcPr>
          <w:p>
            <w:pPr>
              <w:spacing w:after="0"/>
              <w:rPr>
                <w:sz w:val="18"/>
                <w:szCs w:val="18"/>
                <w:color w:val="auto"/>
              </w:rPr>
            </w:pPr>
          </w:p>
        </w:tc>
        <w:tc>
          <w:tcPr>
            <w:tcW w:w="1100" w:type="dxa"/>
            <w:vAlign w:val="bottom"/>
            <w:shd w:val="clear" w:color="auto" w:fill="D0EBF2"/>
          </w:tcPr>
          <w:p>
            <w:pPr>
              <w:jc w:val="right"/>
              <w:spacing w:after="0"/>
              <w:rPr>
                <w:sz w:val="20"/>
                <w:szCs w:val="20"/>
                <w:color w:val="auto"/>
              </w:rPr>
            </w:pPr>
            <w:r>
              <w:rPr>
                <w:rFonts w:ascii="Times New Roman" w:cs="Times New Roman" w:eastAsia="Times New Roman" w:hAnsi="Times New Roman"/>
                <w:sz w:val="17"/>
                <w:szCs w:val="17"/>
                <w:color w:val="231F20"/>
              </w:rPr>
              <w:t>540.3</w:t>
            </w:r>
          </w:p>
        </w:tc>
        <w:tc>
          <w:tcPr>
            <w:tcW w:w="280" w:type="dxa"/>
            <w:vAlign w:val="bottom"/>
            <w:shd w:val="clear" w:color="auto" w:fill="D0EBF2"/>
          </w:tcPr>
          <w:p>
            <w:pPr>
              <w:spacing w:after="0"/>
              <w:rPr>
                <w:sz w:val="18"/>
                <w:szCs w:val="18"/>
                <w:color w:val="auto"/>
              </w:rPr>
            </w:pPr>
          </w:p>
        </w:tc>
        <w:tc>
          <w:tcPr>
            <w:tcW w:w="120" w:type="dxa"/>
            <w:vAlign w:val="bottom"/>
            <w:shd w:val="clear" w:color="auto" w:fill="D0EBF2"/>
          </w:tcPr>
          <w:p>
            <w:pPr>
              <w:spacing w:after="0"/>
              <w:rPr>
                <w:sz w:val="18"/>
                <w:szCs w:val="18"/>
                <w:color w:val="auto"/>
              </w:rPr>
            </w:pPr>
          </w:p>
        </w:tc>
        <w:tc>
          <w:tcPr>
            <w:tcW w:w="1040" w:type="dxa"/>
            <w:vAlign w:val="bottom"/>
            <w:shd w:val="clear" w:color="auto" w:fill="D0EBF2"/>
          </w:tcPr>
          <w:p>
            <w:pPr>
              <w:jc w:val="right"/>
              <w:spacing w:after="0"/>
              <w:rPr>
                <w:sz w:val="20"/>
                <w:szCs w:val="20"/>
                <w:color w:val="auto"/>
              </w:rPr>
            </w:pPr>
            <w:r>
              <w:rPr>
                <w:rFonts w:ascii="Times New Roman" w:cs="Times New Roman" w:eastAsia="Times New Roman" w:hAnsi="Times New Roman"/>
                <w:sz w:val="17"/>
                <w:szCs w:val="17"/>
                <w:color w:val="231F20"/>
              </w:rPr>
              <w:t>2,257.3</w:t>
            </w:r>
          </w:p>
        </w:tc>
        <w:tc>
          <w:tcPr>
            <w:tcW w:w="300" w:type="dxa"/>
            <w:vAlign w:val="bottom"/>
            <w:shd w:val="clear" w:color="auto" w:fill="D0EBF2"/>
          </w:tcPr>
          <w:p>
            <w:pPr>
              <w:spacing w:after="0"/>
              <w:rPr>
                <w:sz w:val="18"/>
                <w:szCs w:val="18"/>
                <w:color w:val="auto"/>
              </w:rPr>
            </w:pPr>
          </w:p>
        </w:tc>
        <w:tc>
          <w:tcPr>
            <w:tcW w:w="100" w:type="dxa"/>
            <w:vAlign w:val="bottom"/>
            <w:shd w:val="clear" w:color="auto" w:fill="D0EBF2"/>
          </w:tcPr>
          <w:p>
            <w:pPr>
              <w:spacing w:after="0"/>
              <w:rPr>
                <w:sz w:val="18"/>
                <w:szCs w:val="18"/>
                <w:color w:val="auto"/>
              </w:rPr>
            </w:pPr>
          </w:p>
        </w:tc>
        <w:tc>
          <w:tcPr>
            <w:tcW w:w="1220" w:type="dxa"/>
            <w:vAlign w:val="bottom"/>
            <w:shd w:val="clear" w:color="auto" w:fill="D0EBF2"/>
          </w:tcPr>
          <w:p>
            <w:pPr>
              <w:ind w:left="1020"/>
              <w:spacing w:after="0"/>
              <w:rPr>
                <w:sz w:val="20"/>
                <w:szCs w:val="20"/>
                <w:color w:val="auto"/>
              </w:rPr>
            </w:pPr>
            <w:r>
              <w:rPr>
                <w:rFonts w:ascii="Times New Roman" w:cs="Times New Roman" w:eastAsia="Times New Roman" w:hAnsi="Times New Roman"/>
                <w:sz w:val="17"/>
                <w:szCs w:val="17"/>
                <w:color w:val="231F20"/>
              </w:rPr>
              <w:t>—</w:t>
            </w:r>
          </w:p>
        </w:tc>
        <w:tc>
          <w:tcPr>
            <w:tcW w:w="340" w:type="dxa"/>
            <w:vAlign w:val="bottom"/>
            <w:shd w:val="clear" w:color="auto" w:fill="D0EBF2"/>
          </w:tcPr>
          <w:p>
            <w:pPr>
              <w:spacing w:after="0"/>
              <w:rPr>
                <w:sz w:val="18"/>
                <w:szCs w:val="18"/>
                <w:color w:val="auto"/>
              </w:rPr>
            </w:pPr>
          </w:p>
        </w:tc>
        <w:tc>
          <w:tcPr>
            <w:tcW w:w="1040" w:type="dxa"/>
            <w:vAlign w:val="bottom"/>
            <w:shd w:val="clear" w:color="auto" w:fill="D0EBF2"/>
          </w:tcPr>
          <w:p>
            <w:pPr>
              <w:ind w:left="720"/>
              <w:spacing w:after="0"/>
              <w:rPr>
                <w:sz w:val="20"/>
                <w:szCs w:val="20"/>
                <w:color w:val="auto"/>
              </w:rPr>
            </w:pPr>
            <w:r>
              <w:rPr>
                <w:rFonts w:ascii="Times New Roman" w:cs="Times New Roman" w:eastAsia="Times New Roman" w:hAnsi="Times New Roman"/>
                <w:sz w:val="17"/>
                <w:szCs w:val="17"/>
                <w:color w:val="231F20"/>
              </w:rPr>
              <w:t>N/A</w:t>
            </w:r>
          </w:p>
        </w:tc>
        <w:tc>
          <w:tcPr>
            <w:tcW w:w="0" w:type="dxa"/>
            <w:vAlign w:val="bottom"/>
          </w:tcPr>
          <w:p>
            <w:pPr>
              <w:spacing w:after="0"/>
              <w:rPr>
                <w:sz w:val="1"/>
                <w:szCs w:val="1"/>
                <w:color w:val="auto"/>
              </w:rPr>
            </w:pPr>
          </w:p>
        </w:tc>
      </w:tr>
      <w:tr>
        <w:trPr>
          <w:trHeight w:val="209"/>
        </w:trPr>
        <w:tc>
          <w:tcPr>
            <w:tcW w:w="2860" w:type="dxa"/>
            <w:vAlign w:val="bottom"/>
            <w:shd w:val="clear" w:color="auto" w:fill="FDFDFC"/>
          </w:tcPr>
          <w:p>
            <w:pPr>
              <w:spacing w:after="0"/>
              <w:rPr>
                <w:sz w:val="20"/>
                <w:szCs w:val="20"/>
                <w:color w:val="auto"/>
              </w:rPr>
            </w:pPr>
            <w:r>
              <w:rPr>
                <w:rFonts w:ascii="Times New Roman" w:cs="Times New Roman" w:eastAsia="Times New Roman" w:hAnsi="Times New Roman"/>
                <w:sz w:val="17"/>
                <w:szCs w:val="17"/>
                <w:b w:val="1"/>
                <w:bCs w:val="1"/>
                <w:color w:val="231F20"/>
              </w:rPr>
              <w:t>Convertible Senior Notes due 2019</w:t>
            </w:r>
          </w:p>
        </w:tc>
        <w:tc>
          <w:tcPr>
            <w:tcW w:w="180" w:type="dxa"/>
            <w:vAlign w:val="bottom"/>
            <w:shd w:val="clear" w:color="auto" w:fill="FDFDFC"/>
          </w:tcPr>
          <w:p>
            <w:pPr>
              <w:spacing w:after="0"/>
              <w:rPr>
                <w:sz w:val="18"/>
                <w:szCs w:val="18"/>
                <w:color w:val="auto"/>
              </w:rPr>
            </w:pPr>
          </w:p>
        </w:tc>
        <w:tc>
          <w:tcPr>
            <w:tcW w:w="380" w:type="dxa"/>
            <w:vAlign w:val="bottom"/>
            <w:shd w:val="clear" w:color="auto" w:fill="FDFDFC"/>
          </w:tcPr>
          <w:p>
            <w:pPr>
              <w:spacing w:after="0"/>
              <w:rPr>
                <w:sz w:val="18"/>
                <w:szCs w:val="18"/>
                <w:color w:val="auto"/>
              </w:rPr>
            </w:pPr>
          </w:p>
        </w:tc>
        <w:tc>
          <w:tcPr>
            <w:tcW w:w="1100" w:type="dxa"/>
            <w:vAlign w:val="bottom"/>
            <w:shd w:val="clear" w:color="auto" w:fill="FDFDFC"/>
          </w:tcPr>
          <w:p>
            <w:pPr>
              <w:spacing w:after="0"/>
              <w:rPr>
                <w:sz w:val="18"/>
                <w:szCs w:val="18"/>
                <w:color w:val="auto"/>
              </w:rPr>
            </w:pPr>
          </w:p>
        </w:tc>
        <w:tc>
          <w:tcPr>
            <w:tcW w:w="280" w:type="dxa"/>
            <w:vAlign w:val="bottom"/>
            <w:shd w:val="clear" w:color="auto" w:fill="FDFDFC"/>
          </w:tcPr>
          <w:p>
            <w:pPr>
              <w:spacing w:after="0"/>
              <w:rPr>
                <w:sz w:val="18"/>
                <w:szCs w:val="18"/>
                <w:color w:val="auto"/>
              </w:rPr>
            </w:pPr>
          </w:p>
        </w:tc>
        <w:tc>
          <w:tcPr>
            <w:tcW w:w="120" w:type="dxa"/>
            <w:vAlign w:val="bottom"/>
            <w:shd w:val="clear" w:color="auto" w:fill="FDFDFC"/>
          </w:tcPr>
          <w:p>
            <w:pPr>
              <w:spacing w:after="0"/>
              <w:rPr>
                <w:sz w:val="18"/>
                <w:szCs w:val="18"/>
                <w:color w:val="auto"/>
              </w:rPr>
            </w:pPr>
          </w:p>
        </w:tc>
        <w:tc>
          <w:tcPr>
            <w:tcW w:w="1040" w:type="dxa"/>
            <w:vAlign w:val="bottom"/>
            <w:shd w:val="clear" w:color="auto" w:fill="FDFDFC"/>
          </w:tcPr>
          <w:p>
            <w:pPr>
              <w:spacing w:after="0"/>
              <w:rPr>
                <w:sz w:val="18"/>
                <w:szCs w:val="18"/>
                <w:color w:val="auto"/>
              </w:rPr>
            </w:pPr>
          </w:p>
        </w:tc>
        <w:tc>
          <w:tcPr>
            <w:tcW w:w="300" w:type="dxa"/>
            <w:vAlign w:val="bottom"/>
            <w:shd w:val="clear" w:color="auto" w:fill="FDFDFC"/>
          </w:tcPr>
          <w:p>
            <w:pPr>
              <w:spacing w:after="0"/>
              <w:rPr>
                <w:sz w:val="18"/>
                <w:szCs w:val="18"/>
                <w:color w:val="auto"/>
              </w:rPr>
            </w:pPr>
          </w:p>
        </w:tc>
        <w:tc>
          <w:tcPr>
            <w:tcW w:w="100" w:type="dxa"/>
            <w:vAlign w:val="bottom"/>
            <w:shd w:val="clear" w:color="auto" w:fill="FDFDFC"/>
          </w:tcPr>
          <w:p>
            <w:pPr>
              <w:spacing w:after="0"/>
              <w:rPr>
                <w:sz w:val="18"/>
                <w:szCs w:val="18"/>
                <w:color w:val="auto"/>
              </w:rPr>
            </w:pPr>
          </w:p>
        </w:tc>
        <w:tc>
          <w:tcPr>
            <w:tcW w:w="1220" w:type="dxa"/>
            <w:vAlign w:val="bottom"/>
            <w:shd w:val="clear" w:color="auto" w:fill="FDFDFC"/>
          </w:tcPr>
          <w:p>
            <w:pPr>
              <w:spacing w:after="0"/>
              <w:rPr>
                <w:sz w:val="18"/>
                <w:szCs w:val="18"/>
                <w:color w:val="auto"/>
              </w:rPr>
            </w:pPr>
          </w:p>
        </w:tc>
        <w:tc>
          <w:tcPr>
            <w:tcW w:w="340" w:type="dxa"/>
            <w:vAlign w:val="bottom"/>
            <w:shd w:val="clear" w:color="auto" w:fill="FDFDFC"/>
          </w:tcPr>
          <w:p>
            <w:pPr>
              <w:spacing w:after="0"/>
              <w:rPr>
                <w:sz w:val="18"/>
                <w:szCs w:val="18"/>
                <w:color w:val="auto"/>
              </w:rPr>
            </w:pPr>
          </w:p>
        </w:tc>
        <w:tc>
          <w:tcPr>
            <w:tcW w:w="1040" w:type="dxa"/>
            <w:vAlign w:val="bottom"/>
            <w:shd w:val="clear" w:color="auto" w:fill="FDFD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860" w:type="dxa"/>
            <w:vAlign w:val="bottom"/>
            <w:shd w:val="clear" w:color="auto" w:fill="D0EBF2"/>
          </w:tcPr>
          <w:p>
            <w:pPr>
              <w:spacing w:after="0"/>
              <w:rPr>
                <w:sz w:val="20"/>
                <w:szCs w:val="20"/>
                <w:color w:val="auto"/>
              </w:rPr>
            </w:pPr>
            <w:r>
              <w:rPr>
                <w:rFonts w:ascii="Times New Roman" w:cs="Times New Roman" w:eastAsia="Times New Roman" w:hAnsi="Times New Roman"/>
                <w:sz w:val="17"/>
                <w:szCs w:val="17"/>
                <w:color w:val="231F20"/>
              </w:rPr>
              <w:t>December 31, 2024</w:t>
            </w:r>
          </w:p>
        </w:tc>
        <w:tc>
          <w:tcPr>
            <w:tcW w:w="560" w:type="dxa"/>
            <w:vAlign w:val="bottom"/>
            <w:gridSpan w:val="2"/>
            <w:shd w:val="clear" w:color="auto" w:fill="D0EBF2"/>
          </w:tcPr>
          <w:p>
            <w:pPr>
              <w:jc w:val="right"/>
              <w:ind w:right="195"/>
              <w:spacing w:after="0"/>
              <w:rPr>
                <w:sz w:val="20"/>
                <w:szCs w:val="20"/>
                <w:color w:val="auto"/>
              </w:rPr>
            </w:pPr>
            <w:r>
              <w:rPr>
                <w:rFonts w:ascii="Times New Roman" w:cs="Times New Roman" w:eastAsia="Times New Roman" w:hAnsi="Times New Roman"/>
                <w:sz w:val="17"/>
                <w:szCs w:val="17"/>
                <w:color w:val="231F20"/>
              </w:rPr>
              <w:t>$</w:t>
            </w:r>
          </w:p>
        </w:tc>
        <w:tc>
          <w:tcPr>
            <w:tcW w:w="1100" w:type="dxa"/>
            <w:vAlign w:val="bottom"/>
            <w:shd w:val="clear" w:color="auto" w:fill="D0EBF2"/>
          </w:tcPr>
          <w:p>
            <w:pPr>
              <w:jc w:val="right"/>
              <w:spacing w:after="0"/>
              <w:rPr>
                <w:sz w:val="20"/>
                <w:szCs w:val="20"/>
                <w:color w:val="auto"/>
              </w:rPr>
            </w:pPr>
            <w:r>
              <w:rPr>
                <w:rFonts w:ascii="Times New Roman" w:cs="Times New Roman" w:eastAsia="Times New Roman" w:hAnsi="Times New Roman"/>
                <w:sz w:val="17"/>
                <w:szCs w:val="17"/>
                <w:color w:val="231F20"/>
              </w:rPr>
              <w:t>—</w:t>
            </w:r>
          </w:p>
        </w:tc>
        <w:tc>
          <w:tcPr>
            <w:tcW w:w="400" w:type="dxa"/>
            <w:vAlign w:val="bottom"/>
            <w:gridSpan w:val="2"/>
            <w:shd w:val="clear" w:color="auto" w:fill="D0EBF2"/>
          </w:tcPr>
          <w:p>
            <w:pPr>
              <w:ind w:left="280"/>
              <w:spacing w:after="0"/>
              <w:rPr>
                <w:sz w:val="20"/>
                <w:szCs w:val="20"/>
                <w:color w:val="auto"/>
              </w:rPr>
            </w:pPr>
            <w:r>
              <w:rPr>
                <w:rFonts w:ascii="Times New Roman" w:cs="Times New Roman" w:eastAsia="Times New Roman" w:hAnsi="Times New Roman"/>
                <w:sz w:val="17"/>
                <w:szCs w:val="17"/>
                <w:color w:val="231F20"/>
              </w:rPr>
              <w:t>$</w:t>
            </w:r>
          </w:p>
        </w:tc>
        <w:tc>
          <w:tcPr>
            <w:tcW w:w="1040" w:type="dxa"/>
            <w:vAlign w:val="bottom"/>
            <w:shd w:val="clear" w:color="auto" w:fill="D0EBF2"/>
          </w:tcPr>
          <w:p>
            <w:pPr>
              <w:jc w:val="right"/>
              <w:spacing w:after="0"/>
              <w:rPr>
                <w:sz w:val="20"/>
                <w:szCs w:val="20"/>
                <w:color w:val="auto"/>
              </w:rPr>
            </w:pPr>
            <w:r>
              <w:rPr>
                <w:rFonts w:ascii="Times New Roman" w:cs="Times New Roman" w:eastAsia="Times New Roman" w:hAnsi="Times New Roman"/>
                <w:sz w:val="17"/>
                <w:szCs w:val="17"/>
                <w:color w:val="231F20"/>
              </w:rPr>
              <w:t>—</w:t>
            </w:r>
          </w:p>
        </w:tc>
        <w:tc>
          <w:tcPr>
            <w:tcW w:w="400" w:type="dxa"/>
            <w:vAlign w:val="bottom"/>
            <w:gridSpan w:val="2"/>
            <w:shd w:val="clear" w:color="auto" w:fill="D0EBF2"/>
          </w:tcPr>
          <w:p>
            <w:pPr>
              <w:jc w:val="right"/>
              <w:spacing w:after="0"/>
              <w:rPr>
                <w:sz w:val="20"/>
                <w:szCs w:val="20"/>
                <w:color w:val="auto"/>
              </w:rPr>
            </w:pPr>
            <w:r>
              <w:rPr>
                <w:rFonts w:ascii="Times New Roman" w:cs="Times New Roman" w:eastAsia="Times New Roman" w:hAnsi="Times New Roman"/>
                <w:sz w:val="17"/>
                <w:szCs w:val="17"/>
                <w:color w:val="231F20"/>
              </w:rPr>
              <w:t>$</w:t>
            </w:r>
          </w:p>
        </w:tc>
        <w:tc>
          <w:tcPr>
            <w:tcW w:w="1220" w:type="dxa"/>
            <w:vAlign w:val="bottom"/>
            <w:shd w:val="clear" w:color="auto" w:fill="D0EBF2"/>
          </w:tcPr>
          <w:p>
            <w:pPr>
              <w:ind w:left="1020"/>
              <w:spacing w:after="0"/>
              <w:rPr>
                <w:sz w:val="20"/>
                <w:szCs w:val="20"/>
                <w:color w:val="auto"/>
              </w:rPr>
            </w:pPr>
            <w:r>
              <w:rPr>
                <w:rFonts w:ascii="Times New Roman" w:cs="Times New Roman" w:eastAsia="Times New Roman" w:hAnsi="Times New Roman"/>
                <w:sz w:val="17"/>
                <w:szCs w:val="17"/>
                <w:color w:val="231F20"/>
              </w:rPr>
              <w:t>—</w:t>
            </w:r>
          </w:p>
        </w:tc>
        <w:tc>
          <w:tcPr>
            <w:tcW w:w="340" w:type="dxa"/>
            <w:vAlign w:val="bottom"/>
            <w:shd w:val="clear" w:color="auto" w:fill="D0EBF2"/>
          </w:tcPr>
          <w:p>
            <w:pPr>
              <w:spacing w:after="0"/>
              <w:rPr>
                <w:sz w:val="18"/>
                <w:szCs w:val="18"/>
                <w:color w:val="auto"/>
              </w:rPr>
            </w:pPr>
          </w:p>
        </w:tc>
        <w:tc>
          <w:tcPr>
            <w:tcW w:w="1040" w:type="dxa"/>
            <w:vAlign w:val="bottom"/>
            <w:shd w:val="clear" w:color="auto" w:fill="D0EBF2"/>
          </w:tcPr>
          <w:p>
            <w:pPr>
              <w:ind w:left="720"/>
              <w:spacing w:after="0"/>
              <w:rPr>
                <w:sz w:val="20"/>
                <w:szCs w:val="20"/>
                <w:color w:val="auto"/>
              </w:rPr>
            </w:pPr>
            <w:r>
              <w:rPr>
                <w:rFonts w:ascii="Times New Roman" w:cs="Times New Roman" w:eastAsia="Times New Roman" w:hAnsi="Times New Roman"/>
                <w:sz w:val="17"/>
                <w:szCs w:val="17"/>
                <w:color w:val="231F20"/>
              </w:rPr>
              <w:t>N/A</w:t>
            </w:r>
          </w:p>
        </w:tc>
        <w:tc>
          <w:tcPr>
            <w:tcW w:w="0" w:type="dxa"/>
            <w:vAlign w:val="bottom"/>
          </w:tcPr>
          <w:p>
            <w:pPr>
              <w:spacing w:after="0"/>
              <w:rPr>
                <w:sz w:val="1"/>
                <w:szCs w:val="1"/>
                <w:color w:val="auto"/>
              </w:rPr>
            </w:pPr>
          </w:p>
        </w:tc>
      </w:tr>
      <w:tr>
        <w:trPr>
          <w:trHeight w:val="209"/>
        </w:trPr>
        <w:tc>
          <w:tcPr>
            <w:tcW w:w="2860" w:type="dxa"/>
            <w:vAlign w:val="bottom"/>
            <w:shd w:val="clear" w:color="auto" w:fill="FDFDFC"/>
          </w:tcPr>
          <w:p>
            <w:pPr>
              <w:spacing w:after="0"/>
              <w:rPr>
                <w:sz w:val="20"/>
                <w:szCs w:val="20"/>
                <w:color w:val="auto"/>
              </w:rPr>
            </w:pPr>
            <w:r>
              <w:rPr>
                <w:rFonts w:ascii="Times New Roman" w:cs="Times New Roman" w:eastAsia="Times New Roman" w:hAnsi="Times New Roman"/>
                <w:sz w:val="17"/>
                <w:szCs w:val="17"/>
                <w:color w:val="231F20"/>
              </w:rPr>
              <w:t>December 31, 2023</w:t>
            </w:r>
          </w:p>
        </w:tc>
        <w:tc>
          <w:tcPr>
            <w:tcW w:w="180" w:type="dxa"/>
            <w:vAlign w:val="bottom"/>
            <w:shd w:val="clear" w:color="auto" w:fill="FDFDFC"/>
          </w:tcPr>
          <w:p>
            <w:pPr>
              <w:spacing w:after="0"/>
              <w:rPr>
                <w:sz w:val="18"/>
                <w:szCs w:val="18"/>
                <w:color w:val="auto"/>
              </w:rPr>
            </w:pPr>
          </w:p>
        </w:tc>
        <w:tc>
          <w:tcPr>
            <w:tcW w:w="380" w:type="dxa"/>
            <w:vAlign w:val="bottom"/>
            <w:shd w:val="clear" w:color="auto" w:fill="FDFDFC"/>
          </w:tcPr>
          <w:p>
            <w:pPr>
              <w:spacing w:after="0"/>
              <w:rPr>
                <w:sz w:val="18"/>
                <w:szCs w:val="18"/>
                <w:color w:val="auto"/>
              </w:rPr>
            </w:pPr>
          </w:p>
        </w:tc>
        <w:tc>
          <w:tcPr>
            <w:tcW w:w="1100" w:type="dxa"/>
            <w:vAlign w:val="bottom"/>
            <w:shd w:val="clear" w:color="auto" w:fill="FDFDFC"/>
          </w:tcPr>
          <w:p>
            <w:pPr>
              <w:jc w:val="right"/>
              <w:spacing w:after="0"/>
              <w:rPr>
                <w:sz w:val="20"/>
                <w:szCs w:val="20"/>
                <w:color w:val="auto"/>
              </w:rPr>
            </w:pPr>
            <w:r>
              <w:rPr>
                <w:rFonts w:ascii="Times New Roman" w:cs="Times New Roman" w:eastAsia="Times New Roman" w:hAnsi="Times New Roman"/>
                <w:sz w:val="17"/>
                <w:szCs w:val="17"/>
                <w:color w:val="231F20"/>
              </w:rPr>
              <w:t>—</w:t>
            </w:r>
          </w:p>
        </w:tc>
        <w:tc>
          <w:tcPr>
            <w:tcW w:w="280" w:type="dxa"/>
            <w:vAlign w:val="bottom"/>
            <w:shd w:val="clear" w:color="auto" w:fill="FDFDFC"/>
          </w:tcPr>
          <w:p>
            <w:pPr>
              <w:spacing w:after="0"/>
              <w:rPr>
                <w:sz w:val="18"/>
                <w:szCs w:val="18"/>
                <w:color w:val="auto"/>
              </w:rPr>
            </w:pPr>
          </w:p>
        </w:tc>
        <w:tc>
          <w:tcPr>
            <w:tcW w:w="120" w:type="dxa"/>
            <w:vAlign w:val="bottom"/>
            <w:shd w:val="clear" w:color="auto" w:fill="FDFDFC"/>
          </w:tcPr>
          <w:p>
            <w:pPr>
              <w:spacing w:after="0"/>
              <w:rPr>
                <w:sz w:val="18"/>
                <w:szCs w:val="18"/>
                <w:color w:val="auto"/>
              </w:rPr>
            </w:pPr>
          </w:p>
        </w:tc>
        <w:tc>
          <w:tcPr>
            <w:tcW w:w="1040" w:type="dxa"/>
            <w:vAlign w:val="bottom"/>
            <w:shd w:val="clear" w:color="auto" w:fill="FDFDFC"/>
          </w:tcPr>
          <w:p>
            <w:pPr>
              <w:jc w:val="right"/>
              <w:spacing w:after="0"/>
              <w:rPr>
                <w:sz w:val="20"/>
                <w:szCs w:val="20"/>
                <w:color w:val="auto"/>
              </w:rPr>
            </w:pPr>
            <w:r>
              <w:rPr>
                <w:rFonts w:ascii="Times New Roman" w:cs="Times New Roman" w:eastAsia="Times New Roman" w:hAnsi="Times New Roman"/>
                <w:sz w:val="17"/>
                <w:szCs w:val="17"/>
                <w:color w:val="231F20"/>
              </w:rPr>
              <w:t>—</w:t>
            </w:r>
          </w:p>
        </w:tc>
        <w:tc>
          <w:tcPr>
            <w:tcW w:w="300" w:type="dxa"/>
            <w:vAlign w:val="bottom"/>
            <w:shd w:val="clear" w:color="auto" w:fill="FDFDFC"/>
          </w:tcPr>
          <w:p>
            <w:pPr>
              <w:spacing w:after="0"/>
              <w:rPr>
                <w:sz w:val="18"/>
                <w:szCs w:val="18"/>
                <w:color w:val="auto"/>
              </w:rPr>
            </w:pPr>
          </w:p>
        </w:tc>
        <w:tc>
          <w:tcPr>
            <w:tcW w:w="100" w:type="dxa"/>
            <w:vAlign w:val="bottom"/>
            <w:shd w:val="clear" w:color="auto" w:fill="FDFDFC"/>
          </w:tcPr>
          <w:p>
            <w:pPr>
              <w:spacing w:after="0"/>
              <w:rPr>
                <w:sz w:val="18"/>
                <w:szCs w:val="18"/>
                <w:color w:val="auto"/>
              </w:rPr>
            </w:pPr>
          </w:p>
        </w:tc>
        <w:tc>
          <w:tcPr>
            <w:tcW w:w="1220" w:type="dxa"/>
            <w:vAlign w:val="bottom"/>
            <w:shd w:val="clear" w:color="auto" w:fill="FDFDFC"/>
          </w:tcPr>
          <w:p>
            <w:pPr>
              <w:ind w:left="1020"/>
              <w:spacing w:after="0"/>
              <w:rPr>
                <w:sz w:val="20"/>
                <w:szCs w:val="20"/>
                <w:color w:val="auto"/>
              </w:rPr>
            </w:pPr>
            <w:r>
              <w:rPr>
                <w:rFonts w:ascii="Times New Roman" w:cs="Times New Roman" w:eastAsia="Times New Roman" w:hAnsi="Times New Roman"/>
                <w:sz w:val="17"/>
                <w:szCs w:val="17"/>
                <w:color w:val="231F20"/>
              </w:rPr>
              <w:t>—</w:t>
            </w:r>
          </w:p>
        </w:tc>
        <w:tc>
          <w:tcPr>
            <w:tcW w:w="340" w:type="dxa"/>
            <w:vAlign w:val="bottom"/>
            <w:shd w:val="clear" w:color="auto" w:fill="FDFDFC"/>
          </w:tcPr>
          <w:p>
            <w:pPr>
              <w:spacing w:after="0"/>
              <w:rPr>
                <w:sz w:val="18"/>
                <w:szCs w:val="18"/>
                <w:color w:val="auto"/>
              </w:rPr>
            </w:pPr>
          </w:p>
        </w:tc>
        <w:tc>
          <w:tcPr>
            <w:tcW w:w="1040" w:type="dxa"/>
            <w:vAlign w:val="bottom"/>
            <w:shd w:val="clear" w:color="auto" w:fill="FDFDFC"/>
          </w:tcPr>
          <w:p>
            <w:pPr>
              <w:ind w:left="720"/>
              <w:spacing w:after="0"/>
              <w:rPr>
                <w:sz w:val="20"/>
                <w:szCs w:val="20"/>
                <w:color w:val="auto"/>
              </w:rPr>
            </w:pPr>
            <w:r>
              <w:rPr>
                <w:rFonts w:ascii="Times New Roman" w:cs="Times New Roman" w:eastAsia="Times New Roman" w:hAnsi="Times New Roman"/>
                <w:sz w:val="17"/>
                <w:szCs w:val="17"/>
                <w:color w:val="231F20"/>
              </w:rPr>
              <w:t>N/A</w:t>
            </w:r>
          </w:p>
        </w:tc>
        <w:tc>
          <w:tcPr>
            <w:tcW w:w="0" w:type="dxa"/>
            <w:vAlign w:val="bottom"/>
          </w:tcPr>
          <w:p>
            <w:pPr>
              <w:spacing w:after="0"/>
              <w:rPr>
                <w:sz w:val="1"/>
                <w:szCs w:val="1"/>
                <w:color w:val="auto"/>
              </w:rPr>
            </w:pPr>
          </w:p>
        </w:tc>
      </w:tr>
      <w:tr>
        <w:trPr>
          <w:trHeight w:val="209"/>
        </w:trPr>
        <w:tc>
          <w:tcPr>
            <w:tcW w:w="2860" w:type="dxa"/>
            <w:vAlign w:val="bottom"/>
            <w:shd w:val="clear" w:color="auto" w:fill="D0EBF2"/>
          </w:tcPr>
          <w:p>
            <w:pPr>
              <w:spacing w:after="0"/>
              <w:rPr>
                <w:sz w:val="20"/>
                <w:szCs w:val="20"/>
                <w:color w:val="auto"/>
              </w:rPr>
            </w:pPr>
            <w:r>
              <w:rPr>
                <w:rFonts w:ascii="Times New Roman" w:cs="Times New Roman" w:eastAsia="Times New Roman" w:hAnsi="Times New Roman"/>
                <w:sz w:val="17"/>
                <w:szCs w:val="17"/>
                <w:color w:val="231F20"/>
              </w:rPr>
              <w:t>December 31, 2022</w:t>
            </w:r>
          </w:p>
        </w:tc>
        <w:tc>
          <w:tcPr>
            <w:tcW w:w="180" w:type="dxa"/>
            <w:vAlign w:val="bottom"/>
            <w:shd w:val="clear" w:color="auto" w:fill="D0EBF2"/>
          </w:tcPr>
          <w:p>
            <w:pPr>
              <w:spacing w:after="0"/>
              <w:rPr>
                <w:sz w:val="18"/>
                <w:szCs w:val="18"/>
                <w:color w:val="auto"/>
              </w:rPr>
            </w:pPr>
          </w:p>
        </w:tc>
        <w:tc>
          <w:tcPr>
            <w:tcW w:w="380" w:type="dxa"/>
            <w:vAlign w:val="bottom"/>
            <w:shd w:val="clear" w:color="auto" w:fill="D0EBF2"/>
          </w:tcPr>
          <w:p>
            <w:pPr>
              <w:spacing w:after="0"/>
              <w:rPr>
                <w:sz w:val="18"/>
                <w:szCs w:val="18"/>
                <w:color w:val="auto"/>
              </w:rPr>
            </w:pPr>
          </w:p>
        </w:tc>
        <w:tc>
          <w:tcPr>
            <w:tcW w:w="1100" w:type="dxa"/>
            <w:vAlign w:val="bottom"/>
            <w:shd w:val="clear" w:color="auto" w:fill="D0EBF2"/>
          </w:tcPr>
          <w:p>
            <w:pPr>
              <w:jc w:val="right"/>
              <w:spacing w:after="0"/>
              <w:rPr>
                <w:sz w:val="20"/>
                <w:szCs w:val="20"/>
                <w:color w:val="auto"/>
              </w:rPr>
            </w:pPr>
            <w:r>
              <w:rPr>
                <w:rFonts w:ascii="Times New Roman" w:cs="Times New Roman" w:eastAsia="Times New Roman" w:hAnsi="Times New Roman"/>
                <w:sz w:val="17"/>
                <w:szCs w:val="17"/>
                <w:color w:val="231F20"/>
              </w:rPr>
              <w:t>—</w:t>
            </w:r>
          </w:p>
        </w:tc>
        <w:tc>
          <w:tcPr>
            <w:tcW w:w="280" w:type="dxa"/>
            <w:vAlign w:val="bottom"/>
            <w:shd w:val="clear" w:color="auto" w:fill="D0EBF2"/>
          </w:tcPr>
          <w:p>
            <w:pPr>
              <w:spacing w:after="0"/>
              <w:rPr>
                <w:sz w:val="18"/>
                <w:szCs w:val="18"/>
                <w:color w:val="auto"/>
              </w:rPr>
            </w:pPr>
          </w:p>
        </w:tc>
        <w:tc>
          <w:tcPr>
            <w:tcW w:w="120" w:type="dxa"/>
            <w:vAlign w:val="bottom"/>
            <w:shd w:val="clear" w:color="auto" w:fill="D0EBF2"/>
          </w:tcPr>
          <w:p>
            <w:pPr>
              <w:spacing w:after="0"/>
              <w:rPr>
                <w:sz w:val="18"/>
                <w:szCs w:val="18"/>
                <w:color w:val="auto"/>
              </w:rPr>
            </w:pPr>
          </w:p>
        </w:tc>
        <w:tc>
          <w:tcPr>
            <w:tcW w:w="1040" w:type="dxa"/>
            <w:vAlign w:val="bottom"/>
            <w:shd w:val="clear" w:color="auto" w:fill="D0EBF2"/>
          </w:tcPr>
          <w:p>
            <w:pPr>
              <w:jc w:val="right"/>
              <w:spacing w:after="0"/>
              <w:rPr>
                <w:sz w:val="20"/>
                <w:szCs w:val="20"/>
                <w:color w:val="auto"/>
              </w:rPr>
            </w:pPr>
            <w:r>
              <w:rPr>
                <w:rFonts w:ascii="Times New Roman" w:cs="Times New Roman" w:eastAsia="Times New Roman" w:hAnsi="Times New Roman"/>
                <w:sz w:val="17"/>
                <w:szCs w:val="17"/>
                <w:color w:val="231F20"/>
              </w:rPr>
              <w:t>—</w:t>
            </w:r>
          </w:p>
        </w:tc>
        <w:tc>
          <w:tcPr>
            <w:tcW w:w="300" w:type="dxa"/>
            <w:vAlign w:val="bottom"/>
            <w:shd w:val="clear" w:color="auto" w:fill="D0EBF2"/>
          </w:tcPr>
          <w:p>
            <w:pPr>
              <w:spacing w:after="0"/>
              <w:rPr>
                <w:sz w:val="18"/>
                <w:szCs w:val="18"/>
                <w:color w:val="auto"/>
              </w:rPr>
            </w:pPr>
          </w:p>
        </w:tc>
        <w:tc>
          <w:tcPr>
            <w:tcW w:w="100" w:type="dxa"/>
            <w:vAlign w:val="bottom"/>
            <w:shd w:val="clear" w:color="auto" w:fill="D0EBF2"/>
          </w:tcPr>
          <w:p>
            <w:pPr>
              <w:spacing w:after="0"/>
              <w:rPr>
                <w:sz w:val="18"/>
                <w:szCs w:val="18"/>
                <w:color w:val="auto"/>
              </w:rPr>
            </w:pPr>
          </w:p>
        </w:tc>
        <w:tc>
          <w:tcPr>
            <w:tcW w:w="1220" w:type="dxa"/>
            <w:vAlign w:val="bottom"/>
            <w:shd w:val="clear" w:color="auto" w:fill="D0EBF2"/>
          </w:tcPr>
          <w:p>
            <w:pPr>
              <w:ind w:left="1020"/>
              <w:spacing w:after="0"/>
              <w:rPr>
                <w:sz w:val="20"/>
                <w:szCs w:val="20"/>
                <w:color w:val="auto"/>
              </w:rPr>
            </w:pPr>
            <w:r>
              <w:rPr>
                <w:rFonts w:ascii="Times New Roman" w:cs="Times New Roman" w:eastAsia="Times New Roman" w:hAnsi="Times New Roman"/>
                <w:sz w:val="17"/>
                <w:szCs w:val="17"/>
                <w:color w:val="231F20"/>
              </w:rPr>
              <w:t>—</w:t>
            </w:r>
          </w:p>
        </w:tc>
        <w:tc>
          <w:tcPr>
            <w:tcW w:w="340" w:type="dxa"/>
            <w:vAlign w:val="bottom"/>
            <w:shd w:val="clear" w:color="auto" w:fill="D0EBF2"/>
          </w:tcPr>
          <w:p>
            <w:pPr>
              <w:spacing w:after="0"/>
              <w:rPr>
                <w:sz w:val="18"/>
                <w:szCs w:val="18"/>
                <w:color w:val="auto"/>
              </w:rPr>
            </w:pPr>
          </w:p>
        </w:tc>
        <w:tc>
          <w:tcPr>
            <w:tcW w:w="1040" w:type="dxa"/>
            <w:vAlign w:val="bottom"/>
            <w:shd w:val="clear" w:color="auto" w:fill="D0EBF2"/>
          </w:tcPr>
          <w:p>
            <w:pPr>
              <w:ind w:left="720"/>
              <w:spacing w:after="0"/>
              <w:rPr>
                <w:sz w:val="20"/>
                <w:szCs w:val="20"/>
                <w:color w:val="auto"/>
              </w:rPr>
            </w:pPr>
            <w:r>
              <w:rPr>
                <w:rFonts w:ascii="Times New Roman" w:cs="Times New Roman" w:eastAsia="Times New Roman" w:hAnsi="Times New Roman"/>
                <w:sz w:val="17"/>
                <w:szCs w:val="17"/>
                <w:color w:val="231F20"/>
              </w:rPr>
              <w:t>N/A</w:t>
            </w:r>
          </w:p>
        </w:tc>
        <w:tc>
          <w:tcPr>
            <w:tcW w:w="0" w:type="dxa"/>
            <w:vAlign w:val="bottom"/>
          </w:tcPr>
          <w:p>
            <w:pPr>
              <w:spacing w:after="0"/>
              <w:rPr>
                <w:sz w:val="1"/>
                <w:szCs w:val="1"/>
                <w:color w:val="auto"/>
              </w:rPr>
            </w:pPr>
          </w:p>
        </w:tc>
      </w:tr>
      <w:tr>
        <w:trPr>
          <w:trHeight w:val="209"/>
        </w:trPr>
        <w:tc>
          <w:tcPr>
            <w:tcW w:w="2860" w:type="dxa"/>
            <w:vAlign w:val="bottom"/>
            <w:shd w:val="clear" w:color="auto" w:fill="FDFDFC"/>
          </w:tcPr>
          <w:p>
            <w:pPr>
              <w:spacing w:after="0"/>
              <w:rPr>
                <w:sz w:val="20"/>
                <w:szCs w:val="20"/>
                <w:color w:val="auto"/>
              </w:rPr>
            </w:pPr>
            <w:r>
              <w:rPr>
                <w:rFonts w:ascii="Times New Roman" w:cs="Times New Roman" w:eastAsia="Times New Roman" w:hAnsi="Times New Roman"/>
                <w:sz w:val="17"/>
                <w:szCs w:val="17"/>
                <w:color w:val="231F20"/>
              </w:rPr>
              <w:t>December 31, 2021</w:t>
            </w:r>
          </w:p>
        </w:tc>
        <w:tc>
          <w:tcPr>
            <w:tcW w:w="180" w:type="dxa"/>
            <w:vAlign w:val="bottom"/>
            <w:shd w:val="clear" w:color="auto" w:fill="FDFDFC"/>
          </w:tcPr>
          <w:p>
            <w:pPr>
              <w:spacing w:after="0"/>
              <w:rPr>
                <w:sz w:val="18"/>
                <w:szCs w:val="18"/>
                <w:color w:val="auto"/>
              </w:rPr>
            </w:pPr>
          </w:p>
        </w:tc>
        <w:tc>
          <w:tcPr>
            <w:tcW w:w="380" w:type="dxa"/>
            <w:vAlign w:val="bottom"/>
            <w:shd w:val="clear" w:color="auto" w:fill="FDFDFC"/>
          </w:tcPr>
          <w:p>
            <w:pPr>
              <w:spacing w:after="0"/>
              <w:rPr>
                <w:sz w:val="18"/>
                <w:szCs w:val="18"/>
                <w:color w:val="auto"/>
              </w:rPr>
            </w:pPr>
          </w:p>
        </w:tc>
        <w:tc>
          <w:tcPr>
            <w:tcW w:w="1100" w:type="dxa"/>
            <w:vAlign w:val="bottom"/>
            <w:shd w:val="clear" w:color="auto" w:fill="FDFDFC"/>
          </w:tcPr>
          <w:p>
            <w:pPr>
              <w:jc w:val="right"/>
              <w:spacing w:after="0"/>
              <w:rPr>
                <w:sz w:val="20"/>
                <w:szCs w:val="20"/>
                <w:color w:val="auto"/>
              </w:rPr>
            </w:pPr>
            <w:r>
              <w:rPr>
                <w:rFonts w:ascii="Times New Roman" w:cs="Times New Roman" w:eastAsia="Times New Roman" w:hAnsi="Times New Roman"/>
                <w:sz w:val="17"/>
                <w:szCs w:val="17"/>
                <w:color w:val="231F20"/>
              </w:rPr>
              <w:t>—</w:t>
            </w:r>
          </w:p>
        </w:tc>
        <w:tc>
          <w:tcPr>
            <w:tcW w:w="280" w:type="dxa"/>
            <w:vAlign w:val="bottom"/>
            <w:shd w:val="clear" w:color="auto" w:fill="FDFDFC"/>
          </w:tcPr>
          <w:p>
            <w:pPr>
              <w:spacing w:after="0"/>
              <w:rPr>
                <w:sz w:val="18"/>
                <w:szCs w:val="18"/>
                <w:color w:val="auto"/>
              </w:rPr>
            </w:pPr>
          </w:p>
        </w:tc>
        <w:tc>
          <w:tcPr>
            <w:tcW w:w="120" w:type="dxa"/>
            <w:vAlign w:val="bottom"/>
            <w:shd w:val="clear" w:color="auto" w:fill="FDFDFC"/>
          </w:tcPr>
          <w:p>
            <w:pPr>
              <w:spacing w:after="0"/>
              <w:rPr>
                <w:sz w:val="18"/>
                <w:szCs w:val="18"/>
                <w:color w:val="auto"/>
              </w:rPr>
            </w:pPr>
          </w:p>
        </w:tc>
        <w:tc>
          <w:tcPr>
            <w:tcW w:w="1040" w:type="dxa"/>
            <w:vAlign w:val="bottom"/>
            <w:shd w:val="clear" w:color="auto" w:fill="FDFDFC"/>
          </w:tcPr>
          <w:p>
            <w:pPr>
              <w:jc w:val="right"/>
              <w:spacing w:after="0"/>
              <w:rPr>
                <w:sz w:val="20"/>
                <w:szCs w:val="20"/>
                <w:color w:val="auto"/>
              </w:rPr>
            </w:pPr>
            <w:r>
              <w:rPr>
                <w:rFonts w:ascii="Times New Roman" w:cs="Times New Roman" w:eastAsia="Times New Roman" w:hAnsi="Times New Roman"/>
                <w:sz w:val="17"/>
                <w:szCs w:val="17"/>
                <w:color w:val="231F20"/>
              </w:rPr>
              <w:t>—</w:t>
            </w:r>
          </w:p>
        </w:tc>
        <w:tc>
          <w:tcPr>
            <w:tcW w:w="300" w:type="dxa"/>
            <w:vAlign w:val="bottom"/>
            <w:shd w:val="clear" w:color="auto" w:fill="FDFDFC"/>
          </w:tcPr>
          <w:p>
            <w:pPr>
              <w:spacing w:after="0"/>
              <w:rPr>
                <w:sz w:val="18"/>
                <w:szCs w:val="18"/>
                <w:color w:val="auto"/>
              </w:rPr>
            </w:pPr>
          </w:p>
        </w:tc>
        <w:tc>
          <w:tcPr>
            <w:tcW w:w="100" w:type="dxa"/>
            <w:vAlign w:val="bottom"/>
            <w:shd w:val="clear" w:color="auto" w:fill="FDFDFC"/>
          </w:tcPr>
          <w:p>
            <w:pPr>
              <w:spacing w:after="0"/>
              <w:rPr>
                <w:sz w:val="18"/>
                <w:szCs w:val="18"/>
                <w:color w:val="auto"/>
              </w:rPr>
            </w:pPr>
          </w:p>
        </w:tc>
        <w:tc>
          <w:tcPr>
            <w:tcW w:w="1220" w:type="dxa"/>
            <w:vAlign w:val="bottom"/>
            <w:shd w:val="clear" w:color="auto" w:fill="FDFDFC"/>
          </w:tcPr>
          <w:p>
            <w:pPr>
              <w:ind w:left="1020"/>
              <w:spacing w:after="0"/>
              <w:rPr>
                <w:sz w:val="20"/>
                <w:szCs w:val="20"/>
                <w:color w:val="auto"/>
              </w:rPr>
            </w:pPr>
            <w:r>
              <w:rPr>
                <w:rFonts w:ascii="Times New Roman" w:cs="Times New Roman" w:eastAsia="Times New Roman" w:hAnsi="Times New Roman"/>
                <w:sz w:val="17"/>
                <w:szCs w:val="17"/>
                <w:color w:val="231F20"/>
              </w:rPr>
              <w:t>—</w:t>
            </w:r>
          </w:p>
        </w:tc>
        <w:tc>
          <w:tcPr>
            <w:tcW w:w="340" w:type="dxa"/>
            <w:vAlign w:val="bottom"/>
            <w:shd w:val="clear" w:color="auto" w:fill="FDFDFC"/>
          </w:tcPr>
          <w:p>
            <w:pPr>
              <w:spacing w:after="0"/>
              <w:rPr>
                <w:sz w:val="18"/>
                <w:szCs w:val="18"/>
                <w:color w:val="auto"/>
              </w:rPr>
            </w:pPr>
          </w:p>
        </w:tc>
        <w:tc>
          <w:tcPr>
            <w:tcW w:w="1040" w:type="dxa"/>
            <w:vAlign w:val="bottom"/>
            <w:shd w:val="clear" w:color="auto" w:fill="FDFDFC"/>
          </w:tcPr>
          <w:p>
            <w:pPr>
              <w:ind w:left="720"/>
              <w:spacing w:after="0"/>
              <w:rPr>
                <w:sz w:val="20"/>
                <w:szCs w:val="20"/>
                <w:color w:val="auto"/>
              </w:rPr>
            </w:pPr>
            <w:r>
              <w:rPr>
                <w:rFonts w:ascii="Times New Roman" w:cs="Times New Roman" w:eastAsia="Times New Roman" w:hAnsi="Times New Roman"/>
                <w:sz w:val="17"/>
                <w:szCs w:val="17"/>
                <w:color w:val="231F20"/>
              </w:rPr>
              <w:t>N/A</w:t>
            </w:r>
          </w:p>
        </w:tc>
        <w:tc>
          <w:tcPr>
            <w:tcW w:w="0" w:type="dxa"/>
            <w:vAlign w:val="bottom"/>
          </w:tcPr>
          <w:p>
            <w:pPr>
              <w:spacing w:after="0"/>
              <w:rPr>
                <w:sz w:val="1"/>
                <w:szCs w:val="1"/>
                <w:color w:val="auto"/>
              </w:rPr>
            </w:pPr>
          </w:p>
        </w:tc>
      </w:tr>
      <w:tr>
        <w:trPr>
          <w:trHeight w:val="209"/>
        </w:trPr>
        <w:tc>
          <w:tcPr>
            <w:tcW w:w="2860" w:type="dxa"/>
            <w:vAlign w:val="bottom"/>
            <w:shd w:val="clear" w:color="auto" w:fill="D0EBF2"/>
          </w:tcPr>
          <w:p>
            <w:pPr>
              <w:spacing w:after="0"/>
              <w:rPr>
                <w:sz w:val="20"/>
                <w:szCs w:val="20"/>
                <w:color w:val="auto"/>
              </w:rPr>
            </w:pPr>
            <w:r>
              <w:rPr>
                <w:rFonts w:ascii="Times New Roman" w:cs="Times New Roman" w:eastAsia="Times New Roman" w:hAnsi="Times New Roman"/>
                <w:sz w:val="17"/>
                <w:szCs w:val="17"/>
                <w:color w:val="231F20"/>
              </w:rPr>
              <w:t>December 31, 2020</w:t>
            </w:r>
          </w:p>
        </w:tc>
        <w:tc>
          <w:tcPr>
            <w:tcW w:w="180" w:type="dxa"/>
            <w:vAlign w:val="bottom"/>
            <w:shd w:val="clear" w:color="auto" w:fill="D0EBF2"/>
          </w:tcPr>
          <w:p>
            <w:pPr>
              <w:spacing w:after="0"/>
              <w:rPr>
                <w:sz w:val="18"/>
                <w:szCs w:val="18"/>
                <w:color w:val="auto"/>
              </w:rPr>
            </w:pPr>
          </w:p>
        </w:tc>
        <w:tc>
          <w:tcPr>
            <w:tcW w:w="380" w:type="dxa"/>
            <w:vAlign w:val="bottom"/>
            <w:shd w:val="clear" w:color="auto" w:fill="D0EBF2"/>
          </w:tcPr>
          <w:p>
            <w:pPr>
              <w:spacing w:after="0"/>
              <w:rPr>
                <w:sz w:val="18"/>
                <w:szCs w:val="18"/>
                <w:color w:val="auto"/>
              </w:rPr>
            </w:pPr>
          </w:p>
        </w:tc>
        <w:tc>
          <w:tcPr>
            <w:tcW w:w="1100" w:type="dxa"/>
            <w:vAlign w:val="bottom"/>
            <w:shd w:val="clear" w:color="auto" w:fill="D0EBF2"/>
          </w:tcPr>
          <w:p>
            <w:pPr>
              <w:jc w:val="right"/>
              <w:spacing w:after="0"/>
              <w:rPr>
                <w:sz w:val="20"/>
                <w:szCs w:val="20"/>
                <w:color w:val="auto"/>
              </w:rPr>
            </w:pPr>
            <w:r>
              <w:rPr>
                <w:rFonts w:ascii="Times New Roman" w:cs="Times New Roman" w:eastAsia="Times New Roman" w:hAnsi="Times New Roman"/>
                <w:sz w:val="17"/>
                <w:szCs w:val="17"/>
                <w:color w:val="231F20"/>
              </w:rPr>
              <w:t>—</w:t>
            </w:r>
          </w:p>
        </w:tc>
        <w:tc>
          <w:tcPr>
            <w:tcW w:w="280" w:type="dxa"/>
            <w:vAlign w:val="bottom"/>
            <w:shd w:val="clear" w:color="auto" w:fill="D0EBF2"/>
          </w:tcPr>
          <w:p>
            <w:pPr>
              <w:spacing w:after="0"/>
              <w:rPr>
                <w:sz w:val="18"/>
                <w:szCs w:val="18"/>
                <w:color w:val="auto"/>
              </w:rPr>
            </w:pPr>
          </w:p>
        </w:tc>
        <w:tc>
          <w:tcPr>
            <w:tcW w:w="120" w:type="dxa"/>
            <w:vAlign w:val="bottom"/>
            <w:shd w:val="clear" w:color="auto" w:fill="D0EBF2"/>
          </w:tcPr>
          <w:p>
            <w:pPr>
              <w:spacing w:after="0"/>
              <w:rPr>
                <w:sz w:val="18"/>
                <w:szCs w:val="18"/>
                <w:color w:val="auto"/>
              </w:rPr>
            </w:pPr>
          </w:p>
        </w:tc>
        <w:tc>
          <w:tcPr>
            <w:tcW w:w="1040" w:type="dxa"/>
            <w:vAlign w:val="bottom"/>
            <w:shd w:val="clear" w:color="auto" w:fill="D0EBF2"/>
          </w:tcPr>
          <w:p>
            <w:pPr>
              <w:jc w:val="right"/>
              <w:spacing w:after="0"/>
              <w:rPr>
                <w:sz w:val="20"/>
                <w:szCs w:val="20"/>
                <w:color w:val="auto"/>
              </w:rPr>
            </w:pPr>
            <w:r>
              <w:rPr>
                <w:rFonts w:ascii="Times New Roman" w:cs="Times New Roman" w:eastAsia="Times New Roman" w:hAnsi="Times New Roman"/>
                <w:sz w:val="17"/>
                <w:szCs w:val="17"/>
                <w:color w:val="231F20"/>
              </w:rPr>
              <w:t>—</w:t>
            </w:r>
          </w:p>
        </w:tc>
        <w:tc>
          <w:tcPr>
            <w:tcW w:w="300" w:type="dxa"/>
            <w:vAlign w:val="bottom"/>
            <w:shd w:val="clear" w:color="auto" w:fill="D0EBF2"/>
          </w:tcPr>
          <w:p>
            <w:pPr>
              <w:spacing w:after="0"/>
              <w:rPr>
                <w:sz w:val="18"/>
                <w:szCs w:val="18"/>
                <w:color w:val="auto"/>
              </w:rPr>
            </w:pPr>
          </w:p>
        </w:tc>
        <w:tc>
          <w:tcPr>
            <w:tcW w:w="100" w:type="dxa"/>
            <w:vAlign w:val="bottom"/>
            <w:shd w:val="clear" w:color="auto" w:fill="D0EBF2"/>
          </w:tcPr>
          <w:p>
            <w:pPr>
              <w:spacing w:after="0"/>
              <w:rPr>
                <w:sz w:val="18"/>
                <w:szCs w:val="18"/>
                <w:color w:val="auto"/>
              </w:rPr>
            </w:pPr>
          </w:p>
        </w:tc>
        <w:tc>
          <w:tcPr>
            <w:tcW w:w="1220" w:type="dxa"/>
            <w:vAlign w:val="bottom"/>
            <w:shd w:val="clear" w:color="auto" w:fill="D0EBF2"/>
          </w:tcPr>
          <w:p>
            <w:pPr>
              <w:ind w:left="1020"/>
              <w:spacing w:after="0"/>
              <w:rPr>
                <w:sz w:val="20"/>
                <w:szCs w:val="20"/>
                <w:color w:val="auto"/>
              </w:rPr>
            </w:pPr>
            <w:r>
              <w:rPr>
                <w:rFonts w:ascii="Times New Roman" w:cs="Times New Roman" w:eastAsia="Times New Roman" w:hAnsi="Times New Roman"/>
                <w:sz w:val="17"/>
                <w:szCs w:val="17"/>
                <w:color w:val="231F20"/>
              </w:rPr>
              <w:t>—</w:t>
            </w:r>
          </w:p>
        </w:tc>
        <w:tc>
          <w:tcPr>
            <w:tcW w:w="340" w:type="dxa"/>
            <w:vAlign w:val="bottom"/>
            <w:shd w:val="clear" w:color="auto" w:fill="D0EBF2"/>
          </w:tcPr>
          <w:p>
            <w:pPr>
              <w:spacing w:after="0"/>
              <w:rPr>
                <w:sz w:val="18"/>
                <w:szCs w:val="18"/>
                <w:color w:val="auto"/>
              </w:rPr>
            </w:pPr>
          </w:p>
        </w:tc>
        <w:tc>
          <w:tcPr>
            <w:tcW w:w="1040" w:type="dxa"/>
            <w:vAlign w:val="bottom"/>
            <w:shd w:val="clear" w:color="auto" w:fill="D0EBF2"/>
          </w:tcPr>
          <w:p>
            <w:pPr>
              <w:ind w:left="720"/>
              <w:spacing w:after="0"/>
              <w:rPr>
                <w:sz w:val="20"/>
                <w:szCs w:val="20"/>
                <w:color w:val="auto"/>
              </w:rPr>
            </w:pPr>
            <w:r>
              <w:rPr>
                <w:rFonts w:ascii="Times New Roman" w:cs="Times New Roman" w:eastAsia="Times New Roman" w:hAnsi="Times New Roman"/>
                <w:sz w:val="17"/>
                <w:szCs w:val="17"/>
                <w:color w:val="231F20"/>
              </w:rPr>
              <w:t>N/A</w:t>
            </w:r>
          </w:p>
        </w:tc>
        <w:tc>
          <w:tcPr>
            <w:tcW w:w="0" w:type="dxa"/>
            <w:vAlign w:val="bottom"/>
          </w:tcPr>
          <w:p>
            <w:pPr>
              <w:spacing w:after="0"/>
              <w:rPr>
                <w:sz w:val="1"/>
                <w:szCs w:val="1"/>
                <w:color w:val="auto"/>
              </w:rPr>
            </w:pPr>
          </w:p>
        </w:tc>
      </w:tr>
      <w:tr>
        <w:trPr>
          <w:trHeight w:val="209"/>
        </w:trPr>
        <w:tc>
          <w:tcPr>
            <w:tcW w:w="2860" w:type="dxa"/>
            <w:vAlign w:val="bottom"/>
            <w:shd w:val="clear" w:color="auto" w:fill="FDFDFC"/>
          </w:tcPr>
          <w:p>
            <w:pPr>
              <w:spacing w:after="0"/>
              <w:rPr>
                <w:sz w:val="20"/>
                <w:szCs w:val="20"/>
                <w:color w:val="auto"/>
              </w:rPr>
            </w:pPr>
            <w:r>
              <w:rPr>
                <w:rFonts w:ascii="Times New Roman" w:cs="Times New Roman" w:eastAsia="Times New Roman" w:hAnsi="Times New Roman"/>
                <w:sz w:val="17"/>
                <w:szCs w:val="17"/>
                <w:color w:val="231F20"/>
              </w:rPr>
              <w:t>December 31, 2019</w:t>
            </w:r>
          </w:p>
        </w:tc>
        <w:tc>
          <w:tcPr>
            <w:tcW w:w="180" w:type="dxa"/>
            <w:vAlign w:val="bottom"/>
            <w:shd w:val="clear" w:color="auto" w:fill="FDFDFC"/>
          </w:tcPr>
          <w:p>
            <w:pPr>
              <w:spacing w:after="0"/>
              <w:rPr>
                <w:sz w:val="18"/>
                <w:szCs w:val="18"/>
                <w:color w:val="auto"/>
              </w:rPr>
            </w:pPr>
          </w:p>
        </w:tc>
        <w:tc>
          <w:tcPr>
            <w:tcW w:w="380" w:type="dxa"/>
            <w:vAlign w:val="bottom"/>
            <w:shd w:val="clear" w:color="auto" w:fill="FDFDFC"/>
          </w:tcPr>
          <w:p>
            <w:pPr>
              <w:spacing w:after="0"/>
              <w:rPr>
                <w:sz w:val="18"/>
                <w:szCs w:val="18"/>
                <w:color w:val="auto"/>
              </w:rPr>
            </w:pPr>
          </w:p>
        </w:tc>
        <w:tc>
          <w:tcPr>
            <w:tcW w:w="1100" w:type="dxa"/>
            <w:vAlign w:val="bottom"/>
            <w:shd w:val="clear" w:color="auto" w:fill="FDFDFC"/>
          </w:tcPr>
          <w:p>
            <w:pPr>
              <w:jc w:val="right"/>
              <w:spacing w:after="0"/>
              <w:rPr>
                <w:sz w:val="20"/>
                <w:szCs w:val="20"/>
                <w:color w:val="auto"/>
              </w:rPr>
            </w:pPr>
            <w:r>
              <w:rPr>
                <w:rFonts w:ascii="Times New Roman" w:cs="Times New Roman" w:eastAsia="Times New Roman" w:hAnsi="Times New Roman"/>
                <w:sz w:val="17"/>
                <w:szCs w:val="17"/>
                <w:color w:val="231F20"/>
              </w:rPr>
              <w:t>—</w:t>
            </w:r>
          </w:p>
        </w:tc>
        <w:tc>
          <w:tcPr>
            <w:tcW w:w="280" w:type="dxa"/>
            <w:vAlign w:val="bottom"/>
            <w:shd w:val="clear" w:color="auto" w:fill="FDFDFC"/>
          </w:tcPr>
          <w:p>
            <w:pPr>
              <w:spacing w:after="0"/>
              <w:rPr>
                <w:sz w:val="18"/>
                <w:szCs w:val="18"/>
                <w:color w:val="auto"/>
              </w:rPr>
            </w:pPr>
          </w:p>
        </w:tc>
        <w:tc>
          <w:tcPr>
            <w:tcW w:w="120" w:type="dxa"/>
            <w:vAlign w:val="bottom"/>
            <w:shd w:val="clear" w:color="auto" w:fill="FDFDFC"/>
          </w:tcPr>
          <w:p>
            <w:pPr>
              <w:spacing w:after="0"/>
              <w:rPr>
                <w:sz w:val="18"/>
                <w:szCs w:val="18"/>
                <w:color w:val="auto"/>
              </w:rPr>
            </w:pPr>
          </w:p>
        </w:tc>
        <w:tc>
          <w:tcPr>
            <w:tcW w:w="1040" w:type="dxa"/>
            <w:vAlign w:val="bottom"/>
            <w:shd w:val="clear" w:color="auto" w:fill="FDFDFC"/>
          </w:tcPr>
          <w:p>
            <w:pPr>
              <w:jc w:val="right"/>
              <w:spacing w:after="0"/>
              <w:rPr>
                <w:sz w:val="20"/>
                <w:szCs w:val="20"/>
                <w:color w:val="auto"/>
              </w:rPr>
            </w:pPr>
            <w:r>
              <w:rPr>
                <w:rFonts w:ascii="Times New Roman" w:cs="Times New Roman" w:eastAsia="Times New Roman" w:hAnsi="Times New Roman"/>
                <w:sz w:val="17"/>
                <w:szCs w:val="17"/>
                <w:color w:val="231F20"/>
              </w:rPr>
              <w:t>—</w:t>
            </w:r>
          </w:p>
        </w:tc>
        <w:tc>
          <w:tcPr>
            <w:tcW w:w="300" w:type="dxa"/>
            <w:vAlign w:val="bottom"/>
            <w:shd w:val="clear" w:color="auto" w:fill="FDFDFC"/>
          </w:tcPr>
          <w:p>
            <w:pPr>
              <w:spacing w:after="0"/>
              <w:rPr>
                <w:sz w:val="18"/>
                <w:szCs w:val="18"/>
                <w:color w:val="auto"/>
              </w:rPr>
            </w:pPr>
          </w:p>
        </w:tc>
        <w:tc>
          <w:tcPr>
            <w:tcW w:w="100" w:type="dxa"/>
            <w:vAlign w:val="bottom"/>
            <w:shd w:val="clear" w:color="auto" w:fill="FDFDFC"/>
          </w:tcPr>
          <w:p>
            <w:pPr>
              <w:spacing w:after="0"/>
              <w:rPr>
                <w:sz w:val="18"/>
                <w:szCs w:val="18"/>
                <w:color w:val="auto"/>
              </w:rPr>
            </w:pPr>
          </w:p>
        </w:tc>
        <w:tc>
          <w:tcPr>
            <w:tcW w:w="1220" w:type="dxa"/>
            <w:vAlign w:val="bottom"/>
            <w:shd w:val="clear" w:color="auto" w:fill="FDFDFC"/>
          </w:tcPr>
          <w:p>
            <w:pPr>
              <w:ind w:left="1020"/>
              <w:spacing w:after="0"/>
              <w:rPr>
                <w:sz w:val="20"/>
                <w:szCs w:val="20"/>
                <w:color w:val="auto"/>
              </w:rPr>
            </w:pPr>
            <w:r>
              <w:rPr>
                <w:rFonts w:ascii="Times New Roman" w:cs="Times New Roman" w:eastAsia="Times New Roman" w:hAnsi="Times New Roman"/>
                <w:sz w:val="17"/>
                <w:szCs w:val="17"/>
                <w:color w:val="231F20"/>
              </w:rPr>
              <w:t>—</w:t>
            </w:r>
          </w:p>
        </w:tc>
        <w:tc>
          <w:tcPr>
            <w:tcW w:w="340" w:type="dxa"/>
            <w:vAlign w:val="bottom"/>
            <w:shd w:val="clear" w:color="auto" w:fill="FDFDFC"/>
          </w:tcPr>
          <w:p>
            <w:pPr>
              <w:spacing w:after="0"/>
              <w:rPr>
                <w:sz w:val="18"/>
                <w:szCs w:val="18"/>
                <w:color w:val="auto"/>
              </w:rPr>
            </w:pPr>
          </w:p>
        </w:tc>
        <w:tc>
          <w:tcPr>
            <w:tcW w:w="1040" w:type="dxa"/>
            <w:vAlign w:val="bottom"/>
            <w:shd w:val="clear" w:color="auto" w:fill="FDFDFC"/>
          </w:tcPr>
          <w:p>
            <w:pPr>
              <w:ind w:left="720"/>
              <w:spacing w:after="0"/>
              <w:rPr>
                <w:sz w:val="20"/>
                <w:szCs w:val="20"/>
                <w:color w:val="auto"/>
              </w:rPr>
            </w:pPr>
            <w:r>
              <w:rPr>
                <w:rFonts w:ascii="Times New Roman" w:cs="Times New Roman" w:eastAsia="Times New Roman" w:hAnsi="Times New Roman"/>
                <w:sz w:val="17"/>
                <w:szCs w:val="17"/>
                <w:color w:val="231F20"/>
              </w:rPr>
              <w:t>N/A</w:t>
            </w:r>
          </w:p>
        </w:tc>
        <w:tc>
          <w:tcPr>
            <w:tcW w:w="0" w:type="dxa"/>
            <w:vAlign w:val="bottom"/>
          </w:tcPr>
          <w:p>
            <w:pPr>
              <w:spacing w:after="0"/>
              <w:rPr>
                <w:sz w:val="1"/>
                <w:szCs w:val="1"/>
                <w:color w:val="auto"/>
              </w:rPr>
            </w:pPr>
          </w:p>
        </w:tc>
      </w:tr>
      <w:tr>
        <w:trPr>
          <w:trHeight w:val="209"/>
        </w:trPr>
        <w:tc>
          <w:tcPr>
            <w:tcW w:w="2860" w:type="dxa"/>
            <w:vAlign w:val="bottom"/>
            <w:shd w:val="clear" w:color="auto" w:fill="D0EBF2"/>
          </w:tcPr>
          <w:p>
            <w:pPr>
              <w:spacing w:after="0"/>
              <w:rPr>
                <w:sz w:val="20"/>
                <w:szCs w:val="20"/>
                <w:color w:val="auto"/>
              </w:rPr>
            </w:pPr>
            <w:r>
              <w:rPr>
                <w:rFonts w:ascii="Times New Roman" w:cs="Times New Roman" w:eastAsia="Times New Roman" w:hAnsi="Times New Roman"/>
                <w:sz w:val="17"/>
                <w:szCs w:val="17"/>
                <w:color w:val="231F20"/>
              </w:rPr>
              <w:t>December 31, 2018</w:t>
            </w:r>
          </w:p>
        </w:tc>
        <w:tc>
          <w:tcPr>
            <w:tcW w:w="180" w:type="dxa"/>
            <w:vAlign w:val="bottom"/>
            <w:shd w:val="clear" w:color="auto" w:fill="D0EBF2"/>
          </w:tcPr>
          <w:p>
            <w:pPr>
              <w:spacing w:after="0"/>
              <w:rPr>
                <w:sz w:val="18"/>
                <w:szCs w:val="18"/>
                <w:color w:val="auto"/>
              </w:rPr>
            </w:pPr>
          </w:p>
        </w:tc>
        <w:tc>
          <w:tcPr>
            <w:tcW w:w="380" w:type="dxa"/>
            <w:vAlign w:val="bottom"/>
            <w:shd w:val="clear" w:color="auto" w:fill="D0EBF2"/>
          </w:tcPr>
          <w:p>
            <w:pPr>
              <w:spacing w:after="0"/>
              <w:rPr>
                <w:sz w:val="18"/>
                <w:szCs w:val="18"/>
                <w:color w:val="auto"/>
              </w:rPr>
            </w:pPr>
          </w:p>
        </w:tc>
        <w:tc>
          <w:tcPr>
            <w:tcW w:w="1100" w:type="dxa"/>
            <w:vAlign w:val="bottom"/>
            <w:shd w:val="clear" w:color="auto" w:fill="D0EBF2"/>
          </w:tcPr>
          <w:p>
            <w:pPr>
              <w:jc w:val="right"/>
              <w:spacing w:after="0"/>
              <w:rPr>
                <w:sz w:val="20"/>
                <w:szCs w:val="20"/>
                <w:color w:val="auto"/>
              </w:rPr>
            </w:pPr>
            <w:r>
              <w:rPr>
                <w:rFonts w:ascii="Times New Roman" w:cs="Times New Roman" w:eastAsia="Times New Roman" w:hAnsi="Times New Roman"/>
                <w:sz w:val="17"/>
                <w:szCs w:val="17"/>
                <w:color w:val="231F20"/>
              </w:rPr>
              <w:t>114.3</w:t>
            </w:r>
          </w:p>
        </w:tc>
        <w:tc>
          <w:tcPr>
            <w:tcW w:w="280" w:type="dxa"/>
            <w:vAlign w:val="bottom"/>
            <w:shd w:val="clear" w:color="auto" w:fill="D0EBF2"/>
          </w:tcPr>
          <w:p>
            <w:pPr>
              <w:spacing w:after="0"/>
              <w:rPr>
                <w:sz w:val="18"/>
                <w:szCs w:val="18"/>
                <w:color w:val="auto"/>
              </w:rPr>
            </w:pPr>
          </w:p>
        </w:tc>
        <w:tc>
          <w:tcPr>
            <w:tcW w:w="120" w:type="dxa"/>
            <w:vAlign w:val="bottom"/>
            <w:shd w:val="clear" w:color="auto" w:fill="D0EBF2"/>
          </w:tcPr>
          <w:p>
            <w:pPr>
              <w:spacing w:after="0"/>
              <w:rPr>
                <w:sz w:val="18"/>
                <w:szCs w:val="18"/>
                <w:color w:val="auto"/>
              </w:rPr>
            </w:pPr>
          </w:p>
        </w:tc>
        <w:tc>
          <w:tcPr>
            <w:tcW w:w="1040" w:type="dxa"/>
            <w:vAlign w:val="bottom"/>
            <w:shd w:val="clear" w:color="auto" w:fill="D0EBF2"/>
          </w:tcPr>
          <w:p>
            <w:pPr>
              <w:jc w:val="right"/>
              <w:spacing w:after="0"/>
              <w:rPr>
                <w:sz w:val="20"/>
                <w:szCs w:val="20"/>
                <w:color w:val="auto"/>
              </w:rPr>
            </w:pPr>
            <w:r>
              <w:rPr>
                <w:rFonts w:ascii="Times New Roman" w:cs="Times New Roman" w:eastAsia="Times New Roman" w:hAnsi="Times New Roman"/>
                <w:sz w:val="17"/>
                <w:szCs w:val="17"/>
                <w:color w:val="231F20"/>
              </w:rPr>
              <w:t>2,705.2</w:t>
            </w:r>
          </w:p>
        </w:tc>
        <w:tc>
          <w:tcPr>
            <w:tcW w:w="300" w:type="dxa"/>
            <w:vAlign w:val="bottom"/>
            <w:shd w:val="clear" w:color="auto" w:fill="D0EBF2"/>
          </w:tcPr>
          <w:p>
            <w:pPr>
              <w:spacing w:after="0"/>
              <w:rPr>
                <w:sz w:val="18"/>
                <w:szCs w:val="18"/>
                <w:color w:val="auto"/>
              </w:rPr>
            </w:pPr>
          </w:p>
        </w:tc>
        <w:tc>
          <w:tcPr>
            <w:tcW w:w="100" w:type="dxa"/>
            <w:vAlign w:val="bottom"/>
            <w:shd w:val="clear" w:color="auto" w:fill="D0EBF2"/>
          </w:tcPr>
          <w:p>
            <w:pPr>
              <w:spacing w:after="0"/>
              <w:rPr>
                <w:sz w:val="18"/>
                <w:szCs w:val="18"/>
                <w:color w:val="auto"/>
              </w:rPr>
            </w:pPr>
          </w:p>
        </w:tc>
        <w:tc>
          <w:tcPr>
            <w:tcW w:w="1220" w:type="dxa"/>
            <w:vAlign w:val="bottom"/>
            <w:shd w:val="clear" w:color="auto" w:fill="D0EBF2"/>
          </w:tcPr>
          <w:p>
            <w:pPr>
              <w:ind w:left="1020"/>
              <w:spacing w:after="0"/>
              <w:rPr>
                <w:sz w:val="20"/>
                <w:szCs w:val="20"/>
                <w:color w:val="auto"/>
              </w:rPr>
            </w:pPr>
            <w:r>
              <w:rPr>
                <w:rFonts w:ascii="Times New Roman" w:cs="Times New Roman" w:eastAsia="Times New Roman" w:hAnsi="Times New Roman"/>
                <w:sz w:val="17"/>
                <w:szCs w:val="17"/>
                <w:color w:val="231F20"/>
              </w:rPr>
              <w:t>—</w:t>
            </w:r>
          </w:p>
        </w:tc>
        <w:tc>
          <w:tcPr>
            <w:tcW w:w="340" w:type="dxa"/>
            <w:vAlign w:val="bottom"/>
            <w:shd w:val="clear" w:color="auto" w:fill="D0EBF2"/>
          </w:tcPr>
          <w:p>
            <w:pPr>
              <w:spacing w:after="0"/>
              <w:rPr>
                <w:sz w:val="18"/>
                <w:szCs w:val="18"/>
                <w:color w:val="auto"/>
              </w:rPr>
            </w:pPr>
          </w:p>
        </w:tc>
        <w:tc>
          <w:tcPr>
            <w:tcW w:w="1040" w:type="dxa"/>
            <w:vAlign w:val="bottom"/>
            <w:shd w:val="clear" w:color="auto" w:fill="D0EBF2"/>
          </w:tcPr>
          <w:p>
            <w:pPr>
              <w:ind w:left="720"/>
              <w:spacing w:after="0"/>
              <w:rPr>
                <w:sz w:val="20"/>
                <w:szCs w:val="20"/>
                <w:color w:val="auto"/>
              </w:rPr>
            </w:pPr>
            <w:r>
              <w:rPr>
                <w:rFonts w:ascii="Times New Roman" w:cs="Times New Roman" w:eastAsia="Times New Roman" w:hAnsi="Times New Roman"/>
                <w:sz w:val="17"/>
                <w:szCs w:val="17"/>
                <w:color w:val="231F20"/>
              </w:rPr>
              <w:t>N/A</w:t>
            </w:r>
          </w:p>
        </w:tc>
        <w:tc>
          <w:tcPr>
            <w:tcW w:w="0" w:type="dxa"/>
            <w:vAlign w:val="bottom"/>
          </w:tcPr>
          <w:p>
            <w:pPr>
              <w:spacing w:after="0"/>
              <w:rPr>
                <w:sz w:val="1"/>
                <w:szCs w:val="1"/>
                <w:color w:val="auto"/>
              </w:rPr>
            </w:pPr>
          </w:p>
        </w:tc>
      </w:tr>
      <w:tr>
        <w:trPr>
          <w:trHeight w:val="209"/>
        </w:trPr>
        <w:tc>
          <w:tcPr>
            <w:tcW w:w="2860" w:type="dxa"/>
            <w:vAlign w:val="bottom"/>
            <w:shd w:val="clear" w:color="auto" w:fill="FDFDFC"/>
          </w:tcPr>
          <w:p>
            <w:pPr>
              <w:spacing w:after="0"/>
              <w:rPr>
                <w:sz w:val="20"/>
                <w:szCs w:val="20"/>
                <w:color w:val="auto"/>
              </w:rPr>
            </w:pPr>
            <w:r>
              <w:rPr>
                <w:rFonts w:ascii="Times New Roman" w:cs="Times New Roman" w:eastAsia="Times New Roman" w:hAnsi="Times New Roman"/>
                <w:sz w:val="17"/>
                <w:szCs w:val="17"/>
                <w:color w:val="231F20"/>
              </w:rPr>
              <w:t>December 31, 2017</w:t>
            </w:r>
          </w:p>
        </w:tc>
        <w:tc>
          <w:tcPr>
            <w:tcW w:w="180" w:type="dxa"/>
            <w:vAlign w:val="bottom"/>
            <w:shd w:val="clear" w:color="auto" w:fill="FDFDFC"/>
          </w:tcPr>
          <w:p>
            <w:pPr>
              <w:spacing w:after="0"/>
              <w:rPr>
                <w:sz w:val="18"/>
                <w:szCs w:val="18"/>
                <w:color w:val="auto"/>
              </w:rPr>
            </w:pPr>
          </w:p>
        </w:tc>
        <w:tc>
          <w:tcPr>
            <w:tcW w:w="380" w:type="dxa"/>
            <w:vAlign w:val="bottom"/>
            <w:shd w:val="clear" w:color="auto" w:fill="FDFDFC"/>
          </w:tcPr>
          <w:p>
            <w:pPr>
              <w:spacing w:after="0"/>
              <w:rPr>
                <w:sz w:val="18"/>
                <w:szCs w:val="18"/>
                <w:color w:val="auto"/>
              </w:rPr>
            </w:pPr>
          </w:p>
        </w:tc>
        <w:tc>
          <w:tcPr>
            <w:tcW w:w="1100" w:type="dxa"/>
            <w:vAlign w:val="bottom"/>
            <w:shd w:val="clear" w:color="auto" w:fill="FDFDFC"/>
          </w:tcPr>
          <w:p>
            <w:pPr>
              <w:jc w:val="right"/>
              <w:spacing w:after="0"/>
              <w:rPr>
                <w:sz w:val="20"/>
                <w:szCs w:val="20"/>
                <w:color w:val="auto"/>
              </w:rPr>
            </w:pPr>
            <w:r>
              <w:rPr>
                <w:rFonts w:ascii="Times New Roman" w:cs="Times New Roman" w:eastAsia="Times New Roman" w:hAnsi="Times New Roman"/>
                <w:sz w:val="17"/>
                <w:szCs w:val="17"/>
                <w:color w:val="231F20"/>
              </w:rPr>
              <w:t>113.7</w:t>
            </w:r>
          </w:p>
        </w:tc>
        <w:tc>
          <w:tcPr>
            <w:tcW w:w="280" w:type="dxa"/>
            <w:vAlign w:val="bottom"/>
            <w:shd w:val="clear" w:color="auto" w:fill="FDFDFC"/>
          </w:tcPr>
          <w:p>
            <w:pPr>
              <w:spacing w:after="0"/>
              <w:rPr>
                <w:sz w:val="18"/>
                <w:szCs w:val="18"/>
                <w:color w:val="auto"/>
              </w:rPr>
            </w:pPr>
          </w:p>
        </w:tc>
        <w:tc>
          <w:tcPr>
            <w:tcW w:w="120" w:type="dxa"/>
            <w:vAlign w:val="bottom"/>
            <w:shd w:val="clear" w:color="auto" w:fill="FDFDFC"/>
          </w:tcPr>
          <w:p>
            <w:pPr>
              <w:spacing w:after="0"/>
              <w:rPr>
                <w:sz w:val="18"/>
                <w:szCs w:val="18"/>
                <w:color w:val="auto"/>
              </w:rPr>
            </w:pPr>
          </w:p>
        </w:tc>
        <w:tc>
          <w:tcPr>
            <w:tcW w:w="1040" w:type="dxa"/>
            <w:vAlign w:val="bottom"/>
            <w:shd w:val="clear" w:color="auto" w:fill="FDFDFC"/>
          </w:tcPr>
          <w:p>
            <w:pPr>
              <w:jc w:val="right"/>
              <w:spacing w:after="0"/>
              <w:rPr>
                <w:sz w:val="20"/>
                <w:szCs w:val="20"/>
                <w:color w:val="auto"/>
              </w:rPr>
            </w:pPr>
            <w:r>
              <w:rPr>
                <w:rFonts w:ascii="Times New Roman" w:cs="Times New Roman" w:eastAsia="Times New Roman" w:hAnsi="Times New Roman"/>
                <w:sz w:val="17"/>
                <w:szCs w:val="17"/>
                <w:color w:val="231F20"/>
              </w:rPr>
              <w:t>2,355.3</w:t>
            </w:r>
          </w:p>
        </w:tc>
        <w:tc>
          <w:tcPr>
            <w:tcW w:w="300" w:type="dxa"/>
            <w:vAlign w:val="bottom"/>
            <w:shd w:val="clear" w:color="auto" w:fill="FDFDFC"/>
          </w:tcPr>
          <w:p>
            <w:pPr>
              <w:spacing w:after="0"/>
              <w:rPr>
                <w:sz w:val="18"/>
                <w:szCs w:val="18"/>
                <w:color w:val="auto"/>
              </w:rPr>
            </w:pPr>
          </w:p>
        </w:tc>
        <w:tc>
          <w:tcPr>
            <w:tcW w:w="100" w:type="dxa"/>
            <w:vAlign w:val="bottom"/>
            <w:shd w:val="clear" w:color="auto" w:fill="FDFDFC"/>
          </w:tcPr>
          <w:p>
            <w:pPr>
              <w:spacing w:after="0"/>
              <w:rPr>
                <w:sz w:val="18"/>
                <w:szCs w:val="18"/>
                <w:color w:val="auto"/>
              </w:rPr>
            </w:pPr>
          </w:p>
        </w:tc>
        <w:tc>
          <w:tcPr>
            <w:tcW w:w="1220" w:type="dxa"/>
            <w:vAlign w:val="bottom"/>
            <w:shd w:val="clear" w:color="auto" w:fill="FDFDFC"/>
          </w:tcPr>
          <w:p>
            <w:pPr>
              <w:ind w:left="1020"/>
              <w:spacing w:after="0"/>
              <w:rPr>
                <w:sz w:val="20"/>
                <w:szCs w:val="20"/>
                <w:color w:val="auto"/>
              </w:rPr>
            </w:pPr>
            <w:r>
              <w:rPr>
                <w:rFonts w:ascii="Times New Roman" w:cs="Times New Roman" w:eastAsia="Times New Roman" w:hAnsi="Times New Roman"/>
                <w:sz w:val="17"/>
                <w:szCs w:val="17"/>
                <w:color w:val="231F20"/>
              </w:rPr>
              <w:t>—</w:t>
            </w:r>
          </w:p>
        </w:tc>
        <w:tc>
          <w:tcPr>
            <w:tcW w:w="340" w:type="dxa"/>
            <w:vAlign w:val="bottom"/>
            <w:shd w:val="clear" w:color="auto" w:fill="FDFDFC"/>
          </w:tcPr>
          <w:p>
            <w:pPr>
              <w:spacing w:after="0"/>
              <w:rPr>
                <w:sz w:val="18"/>
                <w:szCs w:val="18"/>
                <w:color w:val="auto"/>
              </w:rPr>
            </w:pPr>
          </w:p>
        </w:tc>
        <w:tc>
          <w:tcPr>
            <w:tcW w:w="1040" w:type="dxa"/>
            <w:vAlign w:val="bottom"/>
            <w:shd w:val="clear" w:color="auto" w:fill="FDFDFC"/>
          </w:tcPr>
          <w:p>
            <w:pPr>
              <w:ind w:left="720"/>
              <w:spacing w:after="0"/>
              <w:rPr>
                <w:sz w:val="20"/>
                <w:szCs w:val="20"/>
                <w:color w:val="auto"/>
              </w:rPr>
            </w:pPr>
            <w:r>
              <w:rPr>
                <w:rFonts w:ascii="Times New Roman" w:cs="Times New Roman" w:eastAsia="Times New Roman" w:hAnsi="Times New Roman"/>
                <w:sz w:val="17"/>
                <w:szCs w:val="17"/>
                <w:color w:val="231F20"/>
              </w:rPr>
              <w:t>N/A</w:t>
            </w:r>
          </w:p>
        </w:tc>
        <w:tc>
          <w:tcPr>
            <w:tcW w:w="0" w:type="dxa"/>
            <w:vAlign w:val="bottom"/>
          </w:tcPr>
          <w:p>
            <w:pPr>
              <w:spacing w:after="0"/>
              <w:rPr>
                <w:sz w:val="1"/>
                <w:szCs w:val="1"/>
                <w:color w:val="auto"/>
              </w:rPr>
            </w:pPr>
          </w:p>
        </w:tc>
      </w:tr>
      <w:tr>
        <w:trPr>
          <w:trHeight w:val="209"/>
        </w:trPr>
        <w:tc>
          <w:tcPr>
            <w:tcW w:w="2860" w:type="dxa"/>
            <w:vAlign w:val="bottom"/>
            <w:shd w:val="clear" w:color="auto" w:fill="D0EBF2"/>
          </w:tcPr>
          <w:p>
            <w:pPr>
              <w:spacing w:after="0"/>
              <w:rPr>
                <w:sz w:val="20"/>
                <w:szCs w:val="20"/>
                <w:color w:val="auto"/>
              </w:rPr>
            </w:pPr>
            <w:r>
              <w:rPr>
                <w:rFonts w:ascii="Times New Roman" w:cs="Times New Roman" w:eastAsia="Times New Roman" w:hAnsi="Times New Roman"/>
                <w:sz w:val="17"/>
                <w:szCs w:val="17"/>
                <w:color w:val="231F20"/>
              </w:rPr>
              <w:t>December 31, 2016</w:t>
            </w:r>
          </w:p>
        </w:tc>
        <w:tc>
          <w:tcPr>
            <w:tcW w:w="180" w:type="dxa"/>
            <w:vAlign w:val="bottom"/>
            <w:shd w:val="clear" w:color="auto" w:fill="D0EBF2"/>
          </w:tcPr>
          <w:p>
            <w:pPr>
              <w:spacing w:after="0"/>
              <w:rPr>
                <w:sz w:val="18"/>
                <w:szCs w:val="18"/>
                <w:color w:val="auto"/>
              </w:rPr>
            </w:pPr>
          </w:p>
        </w:tc>
        <w:tc>
          <w:tcPr>
            <w:tcW w:w="380" w:type="dxa"/>
            <w:vAlign w:val="bottom"/>
            <w:shd w:val="clear" w:color="auto" w:fill="D0EBF2"/>
          </w:tcPr>
          <w:p>
            <w:pPr>
              <w:spacing w:after="0"/>
              <w:rPr>
                <w:sz w:val="18"/>
                <w:szCs w:val="18"/>
                <w:color w:val="auto"/>
              </w:rPr>
            </w:pPr>
          </w:p>
        </w:tc>
        <w:tc>
          <w:tcPr>
            <w:tcW w:w="1100" w:type="dxa"/>
            <w:vAlign w:val="bottom"/>
            <w:shd w:val="clear" w:color="auto" w:fill="D0EBF2"/>
          </w:tcPr>
          <w:p>
            <w:pPr>
              <w:jc w:val="right"/>
              <w:spacing w:after="0"/>
              <w:rPr>
                <w:sz w:val="20"/>
                <w:szCs w:val="20"/>
                <w:color w:val="auto"/>
              </w:rPr>
            </w:pPr>
            <w:r>
              <w:rPr>
                <w:rFonts w:ascii="Times New Roman" w:cs="Times New Roman" w:eastAsia="Times New Roman" w:hAnsi="Times New Roman"/>
                <w:sz w:val="17"/>
                <w:szCs w:val="17"/>
                <w:color w:val="231F20"/>
              </w:rPr>
              <w:t>113.1</w:t>
            </w:r>
          </w:p>
        </w:tc>
        <w:tc>
          <w:tcPr>
            <w:tcW w:w="280" w:type="dxa"/>
            <w:vAlign w:val="bottom"/>
            <w:shd w:val="clear" w:color="auto" w:fill="D0EBF2"/>
          </w:tcPr>
          <w:p>
            <w:pPr>
              <w:spacing w:after="0"/>
              <w:rPr>
                <w:sz w:val="18"/>
                <w:szCs w:val="18"/>
                <w:color w:val="auto"/>
              </w:rPr>
            </w:pPr>
          </w:p>
        </w:tc>
        <w:tc>
          <w:tcPr>
            <w:tcW w:w="120" w:type="dxa"/>
            <w:vAlign w:val="bottom"/>
            <w:shd w:val="clear" w:color="auto" w:fill="D0EBF2"/>
          </w:tcPr>
          <w:p>
            <w:pPr>
              <w:spacing w:after="0"/>
              <w:rPr>
                <w:sz w:val="18"/>
                <w:szCs w:val="18"/>
                <w:color w:val="auto"/>
              </w:rPr>
            </w:pPr>
          </w:p>
        </w:tc>
        <w:tc>
          <w:tcPr>
            <w:tcW w:w="1040" w:type="dxa"/>
            <w:vAlign w:val="bottom"/>
            <w:shd w:val="clear" w:color="auto" w:fill="D0EBF2"/>
          </w:tcPr>
          <w:p>
            <w:pPr>
              <w:jc w:val="right"/>
              <w:spacing w:after="0"/>
              <w:rPr>
                <w:sz w:val="20"/>
                <w:szCs w:val="20"/>
                <w:color w:val="auto"/>
              </w:rPr>
            </w:pPr>
            <w:r>
              <w:rPr>
                <w:rFonts w:ascii="Times New Roman" w:cs="Times New Roman" w:eastAsia="Times New Roman" w:hAnsi="Times New Roman"/>
                <w:sz w:val="17"/>
                <w:szCs w:val="17"/>
                <w:color w:val="231F20"/>
              </w:rPr>
              <w:t>2,376.6</w:t>
            </w:r>
          </w:p>
        </w:tc>
        <w:tc>
          <w:tcPr>
            <w:tcW w:w="300" w:type="dxa"/>
            <w:vAlign w:val="bottom"/>
            <w:shd w:val="clear" w:color="auto" w:fill="D0EBF2"/>
          </w:tcPr>
          <w:p>
            <w:pPr>
              <w:spacing w:after="0"/>
              <w:rPr>
                <w:sz w:val="18"/>
                <w:szCs w:val="18"/>
                <w:color w:val="auto"/>
              </w:rPr>
            </w:pPr>
          </w:p>
        </w:tc>
        <w:tc>
          <w:tcPr>
            <w:tcW w:w="100" w:type="dxa"/>
            <w:vAlign w:val="bottom"/>
            <w:shd w:val="clear" w:color="auto" w:fill="D0EBF2"/>
          </w:tcPr>
          <w:p>
            <w:pPr>
              <w:spacing w:after="0"/>
              <w:rPr>
                <w:sz w:val="18"/>
                <w:szCs w:val="18"/>
                <w:color w:val="auto"/>
              </w:rPr>
            </w:pPr>
          </w:p>
        </w:tc>
        <w:tc>
          <w:tcPr>
            <w:tcW w:w="1220" w:type="dxa"/>
            <w:vAlign w:val="bottom"/>
            <w:shd w:val="clear" w:color="auto" w:fill="D0EBF2"/>
          </w:tcPr>
          <w:p>
            <w:pPr>
              <w:ind w:left="1020"/>
              <w:spacing w:after="0"/>
              <w:rPr>
                <w:sz w:val="20"/>
                <w:szCs w:val="20"/>
                <w:color w:val="auto"/>
              </w:rPr>
            </w:pPr>
            <w:r>
              <w:rPr>
                <w:rFonts w:ascii="Times New Roman" w:cs="Times New Roman" w:eastAsia="Times New Roman" w:hAnsi="Times New Roman"/>
                <w:sz w:val="17"/>
                <w:szCs w:val="17"/>
                <w:color w:val="231F20"/>
              </w:rPr>
              <w:t>—</w:t>
            </w:r>
          </w:p>
        </w:tc>
        <w:tc>
          <w:tcPr>
            <w:tcW w:w="340" w:type="dxa"/>
            <w:vAlign w:val="bottom"/>
            <w:shd w:val="clear" w:color="auto" w:fill="D0EBF2"/>
          </w:tcPr>
          <w:p>
            <w:pPr>
              <w:spacing w:after="0"/>
              <w:rPr>
                <w:sz w:val="18"/>
                <w:szCs w:val="18"/>
                <w:color w:val="auto"/>
              </w:rPr>
            </w:pPr>
          </w:p>
        </w:tc>
        <w:tc>
          <w:tcPr>
            <w:tcW w:w="1040" w:type="dxa"/>
            <w:vAlign w:val="bottom"/>
            <w:shd w:val="clear" w:color="auto" w:fill="D0EBF2"/>
          </w:tcPr>
          <w:p>
            <w:pPr>
              <w:ind w:left="720"/>
              <w:spacing w:after="0"/>
              <w:rPr>
                <w:sz w:val="20"/>
                <w:szCs w:val="20"/>
                <w:color w:val="auto"/>
              </w:rPr>
            </w:pPr>
            <w:r>
              <w:rPr>
                <w:rFonts w:ascii="Times New Roman" w:cs="Times New Roman" w:eastAsia="Times New Roman" w:hAnsi="Times New Roman"/>
                <w:sz w:val="17"/>
                <w:szCs w:val="17"/>
                <w:color w:val="231F20"/>
              </w:rPr>
              <w:t>N/A</w:t>
            </w:r>
          </w:p>
        </w:tc>
        <w:tc>
          <w:tcPr>
            <w:tcW w:w="0" w:type="dxa"/>
            <w:vAlign w:val="bottom"/>
          </w:tcPr>
          <w:p>
            <w:pPr>
              <w:spacing w:after="0"/>
              <w:rPr>
                <w:sz w:val="1"/>
                <w:szCs w:val="1"/>
                <w:color w:val="auto"/>
              </w:rPr>
            </w:pPr>
          </w:p>
        </w:tc>
      </w:tr>
      <w:tr>
        <w:trPr>
          <w:trHeight w:val="209"/>
        </w:trPr>
        <w:tc>
          <w:tcPr>
            <w:tcW w:w="2860" w:type="dxa"/>
            <w:vAlign w:val="bottom"/>
            <w:shd w:val="clear" w:color="auto" w:fill="FDFDFC"/>
          </w:tcPr>
          <w:p>
            <w:pPr>
              <w:spacing w:after="0"/>
              <w:rPr>
                <w:sz w:val="20"/>
                <w:szCs w:val="20"/>
                <w:color w:val="auto"/>
              </w:rPr>
            </w:pPr>
            <w:r>
              <w:rPr>
                <w:rFonts w:ascii="Times New Roman" w:cs="Times New Roman" w:eastAsia="Times New Roman" w:hAnsi="Times New Roman"/>
                <w:sz w:val="17"/>
                <w:szCs w:val="17"/>
                <w:color w:val="231F20"/>
              </w:rPr>
              <w:t>December 31, 2015</w:t>
            </w:r>
          </w:p>
        </w:tc>
        <w:tc>
          <w:tcPr>
            <w:tcW w:w="180" w:type="dxa"/>
            <w:vAlign w:val="bottom"/>
            <w:shd w:val="clear" w:color="auto" w:fill="FDFDFC"/>
          </w:tcPr>
          <w:p>
            <w:pPr>
              <w:spacing w:after="0"/>
              <w:rPr>
                <w:sz w:val="18"/>
                <w:szCs w:val="18"/>
                <w:color w:val="auto"/>
              </w:rPr>
            </w:pPr>
          </w:p>
        </w:tc>
        <w:tc>
          <w:tcPr>
            <w:tcW w:w="380" w:type="dxa"/>
            <w:vAlign w:val="bottom"/>
            <w:shd w:val="clear" w:color="auto" w:fill="FDFDFC"/>
          </w:tcPr>
          <w:p>
            <w:pPr>
              <w:spacing w:after="0"/>
              <w:rPr>
                <w:sz w:val="18"/>
                <w:szCs w:val="18"/>
                <w:color w:val="auto"/>
              </w:rPr>
            </w:pPr>
          </w:p>
        </w:tc>
        <w:tc>
          <w:tcPr>
            <w:tcW w:w="1100" w:type="dxa"/>
            <w:vAlign w:val="bottom"/>
            <w:shd w:val="clear" w:color="auto" w:fill="FDFDFC"/>
          </w:tcPr>
          <w:p>
            <w:pPr>
              <w:jc w:val="right"/>
              <w:spacing w:after="0"/>
              <w:rPr>
                <w:sz w:val="20"/>
                <w:szCs w:val="20"/>
                <w:color w:val="auto"/>
              </w:rPr>
            </w:pPr>
            <w:r>
              <w:rPr>
                <w:rFonts w:ascii="Times New Roman" w:cs="Times New Roman" w:eastAsia="Times New Roman" w:hAnsi="Times New Roman"/>
                <w:sz w:val="17"/>
                <w:szCs w:val="17"/>
                <w:color w:val="231F20"/>
              </w:rPr>
              <w:t>112.5</w:t>
            </w:r>
          </w:p>
        </w:tc>
        <w:tc>
          <w:tcPr>
            <w:tcW w:w="280" w:type="dxa"/>
            <w:vAlign w:val="bottom"/>
            <w:shd w:val="clear" w:color="auto" w:fill="FDFDFC"/>
          </w:tcPr>
          <w:p>
            <w:pPr>
              <w:spacing w:after="0"/>
              <w:rPr>
                <w:sz w:val="18"/>
                <w:szCs w:val="18"/>
                <w:color w:val="auto"/>
              </w:rPr>
            </w:pPr>
          </w:p>
        </w:tc>
        <w:tc>
          <w:tcPr>
            <w:tcW w:w="120" w:type="dxa"/>
            <w:vAlign w:val="bottom"/>
            <w:shd w:val="clear" w:color="auto" w:fill="FDFDFC"/>
          </w:tcPr>
          <w:p>
            <w:pPr>
              <w:spacing w:after="0"/>
              <w:rPr>
                <w:sz w:val="18"/>
                <w:szCs w:val="18"/>
                <w:color w:val="auto"/>
              </w:rPr>
            </w:pPr>
          </w:p>
        </w:tc>
        <w:tc>
          <w:tcPr>
            <w:tcW w:w="1040" w:type="dxa"/>
            <w:vAlign w:val="bottom"/>
            <w:shd w:val="clear" w:color="auto" w:fill="FDFDFC"/>
          </w:tcPr>
          <w:p>
            <w:pPr>
              <w:jc w:val="right"/>
              <w:spacing w:after="0"/>
              <w:rPr>
                <w:sz w:val="20"/>
                <w:szCs w:val="20"/>
                <w:color w:val="auto"/>
              </w:rPr>
            </w:pPr>
            <w:r>
              <w:rPr>
                <w:rFonts w:ascii="Times New Roman" w:cs="Times New Roman" w:eastAsia="Times New Roman" w:hAnsi="Times New Roman"/>
                <w:sz w:val="17"/>
                <w:szCs w:val="17"/>
                <w:color w:val="231F20"/>
              </w:rPr>
              <w:t>2,257.3</w:t>
            </w:r>
          </w:p>
        </w:tc>
        <w:tc>
          <w:tcPr>
            <w:tcW w:w="300" w:type="dxa"/>
            <w:vAlign w:val="bottom"/>
            <w:shd w:val="clear" w:color="auto" w:fill="FDFDFC"/>
          </w:tcPr>
          <w:p>
            <w:pPr>
              <w:spacing w:after="0"/>
              <w:rPr>
                <w:sz w:val="18"/>
                <w:szCs w:val="18"/>
                <w:color w:val="auto"/>
              </w:rPr>
            </w:pPr>
          </w:p>
        </w:tc>
        <w:tc>
          <w:tcPr>
            <w:tcW w:w="100" w:type="dxa"/>
            <w:vAlign w:val="bottom"/>
            <w:shd w:val="clear" w:color="auto" w:fill="FDFDFC"/>
          </w:tcPr>
          <w:p>
            <w:pPr>
              <w:spacing w:after="0"/>
              <w:rPr>
                <w:sz w:val="18"/>
                <w:szCs w:val="18"/>
                <w:color w:val="auto"/>
              </w:rPr>
            </w:pPr>
          </w:p>
        </w:tc>
        <w:tc>
          <w:tcPr>
            <w:tcW w:w="1220" w:type="dxa"/>
            <w:vAlign w:val="bottom"/>
            <w:shd w:val="clear" w:color="auto" w:fill="FDFDFC"/>
          </w:tcPr>
          <w:p>
            <w:pPr>
              <w:ind w:left="1020"/>
              <w:spacing w:after="0"/>
              <w:rPr>
                <w:sz w:val="20"/>
                <w:szCs w:val="20"/>
                <w:color w:val="auto"/>
              </w:rPr>
            </w:pPr>
            <w:r>
              <w:rPr>
                <w:rFonts w:ascii="Times New Roman" w:cs="Times New Roman" w:eastAsia="Times New Roman" w:hAnsi="Times New Roman"/>
                <w:sz w:val="17"/>
                <w:szCs w:val="17"/>
                <w:color w:val="231F20"/>
              </w:rPr>
              <w:t>—</w:t>
            </w:r>
          </w:p>
        </w:tc>
        <w:tc>
          <w:tcPr>
            <w:tcW w:w="340" w:type="dxa"/>
            <w:vAlign w:val="bottom"/>
            <w:shd w:val="clear" w:color="auto" w:fill="FDFDFC"/>
          </w:tcPr>
          <w:p>
            <w:pPr>
              <w:spacing w:after="0"/>
              <w:rPr>
                <w:sz w:val="18"/>
                <w:szCs w:val="18"/>
                <w:color w:val="auto"/>
              </w:rPr>
            </w:pPr>
          </w:p>
        </w:tc>
        <w:tc>
          <w:tcPr>
            <w:tcW w:w="1040" w:type="dxa"/>
            <w:vAlign w:val="bottom"/>
            <w:shd w:val="clear" w:color="auto" w:fill="FDFDFC"/>
          </w:tcPr>
          <w:p>
            <w:pPr>
              <w:ind w:left="720"/>
              <w:spacing w:after="0"/>
              <w:rPr>
                <w:sz w:val="20"/>
                <w:szCs w:val="20"/>
                <w:color w:val="auto"/>
              </w:rPr>
            </w:pPr>
            <w:r>
              <w:rPr>
                <w:rFonts w:ascii="Times New Roman" w:cs="Times New Roman" w:eastAsia="Times New Roman" w:hAnsi="Times New Roman"/>
                <w:sz w:val="17"/>
                <w:szCs w:val="17"/>
                <w:color w:val="231F20"/>
              </w:rPr>
              <w:t>N/A</w:t>
            </w:r>
          </w:p>
        </w:tc>
        <w:tc>
          <w:tcPr>
            <w:tcW w:w="0" w:type="dxa"/>
            <w:vAlign w:val="bottom"/>
          </w:tcPr>
          <w:p>
            <w:pPr>
              <w:spacing w:after="0"/>
              <w:rPr>
                <w:sz w:val="1"/>
                <w:szCs w:val="1"/>
                <w:color w:val="auto"/>
              </w:rPr>
            </w:pPr>
          </w:p>
        </w:tc>
      </w:tr>
      <w:tr>
        <w:trPr>
          <w:trHeight w:val="209"/>
        </w:trPr>
        <w:tc>
          <w:tcPr>
            <w:tcW w:w="2860" w:type="dxa"/>
            <w:vAlign w:val="bottom"/>
            <w:shd w:val="clear" w:color="auto" w:fill="D0EBF2"/>
          </w:tcPr>
          <w:p>
            <w:pPr>
              <w:spacing w:after="0"/>
              <w:rPr>
                <w:sz w:val="20"/>
                <w:szCs w:val="20"/>
                <w:color w:val="auto"/>
              </w:rPr>
            </w:pPr>
            <w:r>
              <w:rPr>
                <w:rFonts w:ascii="Times New Roman" w:cs="Times New Roman" w:eastAsia="Times New Roman" w:hAnsi="Times New Roman"/>
                <w:sz w:val="17"/>
                <w:szCs w:val="17"/>
                <w:b w:val="1"/>
                <w:bCs w:val="1"/>
                <w:color w:val="231F20"/>
              </w:rPr>
              <w:t>Convertible Senior Note due 2022</w:t>
            </w:r>
          </w:p>
        </w:tc>
        <w:tc>
          <w:tcPr>
            <w:tcW w:w="180" w:type="dxa"/>
            <w:vAlign w:val="bottom"/>
            <w:shd w:val="clear" w:color="auto" w:fill="D0EBF2"/>
          </w:tcPr>
          <w:p>
            <w:pPr>
              <w:spacing w:after="0"/>
              <w:rPr>
                <w:sz w:val="18"/>
                <w:szCs w:val="18"/>
                <w:color w:val="auto"/>
              </w:rPr>
            </w:pPr>
          </w:p>
        </w:tc>
        <w:tc>
          <w:tcPr>
            <w:tcW w:w="380" w:type="dxa"/>
            <w:vAlign w:val="bottom"/>
            <w:shd w:val="clear" w:color="auto" w:fill="D0EBF2"/>
          </w:tcPr>
          <w:p>
            <w:pPr>
              <w:spacing w:after="0"/>
              <w:rPr>
                <w:sz w:val="18"/>
                <w:szCs w:val="18"/>
                <w:color w:val="auto"/>
              </w:rPr>
            </w:pPr>
          </w:p>
        </w:tc>
        <w:tc>
          <w:tcPr>
            <w:tcW w:w="1100" w:type="dxa"/>
            <w:vAlign w:val="bottom"/>
            <w:shd w:val="clear" w:color="auto" w:fill="D0EBF2"/>
          </w:tcPr>
          <w:p>
            <w:pPr>
              <w:spacing w:after="0"/>
              <w:rPr>
                <w:sz w:val="18"/>
                <w:szCs w:val="18"/>
                <w:color w:val="auto"/>
              </w:rPr>
            </w:pPr>
          </w:p>
        </w:tc>
        <w:tc>
          <w:tcPr>
            <w:tcW w:w="280" w:type="dxa"/>
            <w:vAlign w:val="bottom"/>
            <w:shd w:val="clear" w:color="auto" w:fill="D0EBF2"/>
          </w:tcPr>
          <w:p>
            <w:pPr>
              <w:spacing w:after="0"/>
              <w:rPr>
                <w:sz w:val="18"/>
                <w:szCs w:val="18"/>
                <w:color w:val="auto"/>
              </w:rPr>
            </w:pPr>
          </w:p>
        </w:tc>
        <w:tc>
          <w:tcPr>
            <w:tcW w:w="120" w:type="dxa"/>
            <w:vAlign w:val="bottom"/>
            <w:shd w:val="clear" w:color="auto" w:fill="D0EBF2"/>
          </w:tcPr>
          <w:p>
            <w:pPr>
              <w:spacing w:after="0"/>
              <w:rPr>
                <w:sz w:val="18"/>
                <w:szCs w:val="18"/>
                <w:color w:val="auto"/>
              </w:rPr>
            </w:pPr>
          </w:p>
        </w:tc>
        <w:tc>
          <w:tcPr>
            <w:tcW w:w="1040" w:type="dxa"/>
            <w:vAlign w:val="bottom"/>
            <w:shd w:val="clear" w:color="auto" w:fill="D0EBF2"/>
          </w:tcPr>
          <w:p>
            <w:pPr>
              <w:spacing w:after="0"/>
              <w:rPr>
                <w:sz w:val="18"/>
                <w:szCs w:val="18"/>
                <w:color w:val="auto"/>
              </w:rPr>
            </w:pPr>
          </w:p>
        </w:tc>
        <w:tc>
          <w:tcPr>
            <w:tcW w:w="300" w:type="dxa"/>
            <w:vAlign w:val="bottom"/>
            <w:shd w:val="clear" w:color="auto" w:fill="D0EBF2"/>
          </w:tcPr>
          <w:p>
            <w:pPr>
              <w:spacing w:after="0"/>
              <w:rPr>
                <w:sz w:val="18"/>
                <w:szCs w:val="18"/>
                <w:color w:val="auto"/>
              </w:rPr>
            </w:pPr>
          </w:p>
        </w:tc>
        <w:tc>
          <w:tcPr>
            <w:tcW w:w="100" w:type="dxa"/>
            <w:vAlign w:val="bottom"/>
            <w:shd w:val="clear" w:color="auto" w:fill="D0EBF2"/>
          </w:tcPr>
          <w:p>
            <w:pPr>
              <w:spacing w:after="0"/>
              <w:rPr>
                <w:sz w:val="18"/>
                <w:szCs w:val="18"/>
                <w:color w:val="auto"/>
              </w:rPr>
            </w:pPr>
          </w:p>
        </w:tc>
        <w:tc>
          <w:tcPr>
            <w:tcW w:w="1220" w:type="dxa"/>
            <w:vAlign w:val="bottom"/>
            <w:shd w:val="clear" w:color="auto" w:fill="D0EBF2"/>
          </w:tcPr>
          <w:p>
            <w:pPr>
              <w:spacing w:after="0"/>
              <w:rPr>
                <w:sz w:val="18"/>
                <w:szCs w:val="18"/>
                <w:color w:val="auto"/>
              </w:rPr>
            </w:pPr>
          </w:p>
        </w:tc>
        <w:tc>
          <w:tcPr>
            <w:tcW w:w="340" w:type="dxa"/>
            <w:vAlign w:val="bottom"/>
            <w:shd w:val="clear" w:color="auto" w:fill="D0EBF2"/>
          </w:tcPr>
          <w:p>
            <w:pPr>
              <w:spacing w:after="0"/>
              <w:rPr>
                <w:sz w:val="18"/>
                <w:szCs w:val="18"/>
                <w:color w:val="auto"/>
              </w:rPr>
            </w:pPr>
          </w:p>
        </w:tc>
        <w:tc>
          <w:tcPr>
            <w:tcW w:w="1040" w:type="dxa"/>
            <w:vAlign w:val="bottom"/>
            <w:shd w:val="clear" w:color="auto" w:fill="D0EBF2"/>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860" w:type="dxa"/>
            <w:vAlign w:val="bottom"/>
            <w:shd w:val="clear" w:color="auto" w:fill="FDFDFC"/>
          </w:tcPr>
          <w:p>
            <w:pPr>
              <w:spacing w:after="0"/>
              <w:rPr>
                <w:sz w:val="20"/>
                <w:szCs w:val="20"/>
                <w:color w:val="auto"/>
              </w:rPr>
            </w:pPr>
            <w:r>
              <w:rPr>
                <w:rFonts w:ascii="Times New Roman" w:cs="Times New Roman" w:eastAsia="Times New Roman" w:hAnsi="Times New Roman"/>
                <w:sz w:val="17"/>
                <w:szCs w:val="17"/>
                <w:color w:val="231F20"/>
              </w:rPr>
              <w:t>December 31, 2024</w:t>
            </w:r>
          </w:p>
        </w:tc>
        <w:tc>
          <w:tcPr>
            <w:tcW w:w="560" w:type="dxa"/>
            <w:vAlign w:val="bottom"/>
            <w:gridSpan w:val="2"/>
            <w:shd w:val="clear" w:color="auto" w:fill="FDFDFC"/>
          </w:tcPr>
          <w:p>
            <w:pPr>
              <w:jc w:val="right"/>
              <w:ind w:right="195"/>
              <w:spacing w:after="0"/>
              <w:rPr>
                <w:sz w:val="20"/>
                <w:szCs w:val="20"/>
                <w:color w:val="auto"/>
              </w:rPr>
            </w:pPr>
            <w:r>
              <w:rPr>
                <w:rFonts w:ascii="Times New Roman" w:cs="Times New Roman" w:eastAsia="Times New Roman" w:hAnsi="Times New Roman"/>
                <w:sz w:val="17"/>
                <w:szCs w:val="17"/>
                <w:color w:val="231F20"/>
              </w:rPr>
              <w:t>$</w:t>
            </w:r>
          </w:p>
        </w:tc>
        <w:tc>
          <w:tcPr>
            <w:tcW w:w="1100" w:type="dxa"/>
            <w:vAlign w:val="bottom"/>
            <w:shd w:val="clear" w:color="auto" w:fill="FDFDFC"/>
          </w:tcPr>
          <w:p>
            <w:pPr>
              <w:jc w:val="right"/>
              <w:spacing w:after="0"/>
              <w:rPr>
                <w:sz w:val="20"/>
                <w:szCs w:val="20"/>
                <w:color w:val="auto"/>
              </w:rPr>
            </w:pPr>
            <w:r>
              <w:rPr>
                <w:rFonts w:ascii="Times New Roman" w:cs="Times New Roman" w:eastAsia="Times New Roman" w:hAnsi="Times New Roman"/>
                <w:sz w:val="17"/>
                <w:szCs w:val="17"/>
                <w:color w:val="231F20"/>
              </w:rPr>
              <w:t>—</w:t>
            </w:r>
          </w:p>
        </w:tc>
        <w:tc>
          <w:tcPr>
            <w:tcW w:w="400" w:type="dxa"/>
            <w:vAlign w:val="bottom"/>
            <w:gridSpan w:val="2"/>
            <w:shd w:val="clear" w:color="auto" w:fill="FDFDFC"/>
          </w:tcPr>
          <w:p>
            <w:pPr>
              <w:ind w:left="280"/>
              <w:spacing w:after="0"/>
              <w:rPr>
                <w:sz w:val="20"/>
                <w:szCs w:val="20"/>
                <w:color w:val="auto"/>
              </w:rPr>
            </w:pPr>
            <w:r>
              <w:rPr>
                <w:rFonts w:ascii="Times New Roman" w:cs="Times New Roman" w:eastAsia="Times New Roman" w:hAnsi="Times New Roman"/>
                <w:sz w:val="17"/>
                <w:szCs w:val="17"/>
                <w:color w:val="231F20"/>
              </w:rPr>
              <w:t>$</w:t>
            </w:r>
          </w:p>
        </w:tc>
        <w:tc>
          <w:tcPr>
            <w:tcW w:w="1040" w:type="dxa"/>
            <w:vAlign w:val="bottom"/>
            <w:shd w:val="clear" w:color="auto" w:fill="FDFDFC"/>
          </w:tcPr>
          <w:p>
            <w:pPr>
              <w:jc w:val="right"/>
              <w:spacing w:after="0"/>
              <w:rPr>
                <w:sz w:val="20"/>
                <w:szCs w:val="20"/>
                <w:color w:val="auto"/>
              </w:rPr>
            </w:pPr>
            <w:r>
              <w:rPr>
                <w:rFonts w:ascii="Times New Roman" w:cs="Times New Roman" w:eastAsia="Times New Roman" w:hAnsi="Times New Roman"/>
                <w:sz w:val="17"/>
                <w:szCs w:val="17"/>
                <w:color w:val="231F20"/>
              </w:rPr>
              <w:t>—</w:t>
            </w:r>
          </w:p>
        </w:tc>
        <w:tc>
          <w:tcPr>
            <w:tcW w:w="400" w:type="dxa"/>
            <w:vAlign w:val="bottom"/>
            <w:gridSpan w:val="2"/>
            <w:shd w:val="clear" w:color="auto" w:fill="FDFDFC"/>
          </w:tcPr>
          <w:p>
            <w:pPr>
              <w:jc w:val="right"/>
              <w:spacing w:after="0"/>
              <w:rPr>
                <w:sz w:val="20"/>
                <w:szCs w:val="20"/>
                <w:color w:val="auto"/>
              </w:rPr>
            </w:pPr>
            <w:r>
              <w:rPr>
                <w:rFonts w:ascii="Times New Roman" w:cs="Times New Roman" w:eastAsia="Times New Roman" w:hAnsi="Times New Roman"/>
                <w:sz w:val="17"/>
                <w:szCs w:val="17"/>
                <w:color w:val="231F20"/>
              </w:rPr>
              <w:t>$</w:t>
            </w:r>
          </w:p>
        </w:tc>
        <w:tc>
          <w:tcPr>
            <w:tcW w:w="1220" w:type="dxa"/>
            <w:vAlign w:val="bottom"/>
            <w:shd w:val="clear" w:color="auto" w:fill="FDFDFC"/>
          </w:tcPr>
          <w:p>
            <w:pPr>
              <w:ind w:left="1020"/>
              <w:spacing w:after="0"/>
              <w:rPr>
                <w:sz w:val="20"/>
                <w:szCs w:val="20"/>
                <w:color w:val="auto"/>
              </w:rPr>
            </w:pPr>
            <w:r>
              <w:rPr>
                <w:rFonts w:ascii="Times New Roman" w:cs="Times New Roman" w:eastAsia="Times New Roman" w:hAnsi="Times New Roman"/>
                <w:sz w:val="17"/>
                <w:szCs w:val="17"/>
                <w:color w:val="231F20"/>
              </w:rPr>
              <w:t>—</w:t>
            </w:r>
          </w:p>
        </w:tc>
        <w:tc>
          <w:tcPr>
            <w:tcW w:w="340" w:type="dxa"/>
            <w:vAlign w:val="bottom"/>
            <w:shd w:val="clear" w:color="auto" w:fill="FDFDFC"/>
          </w:tcPr>
          <w:p>
            <w:pPr>
              <w:spacing w:after="0"/>
              <w:rPr>
                <w:sz w:val="18"/>
                <w:szCs w:val="18"/>
                <w:color w:val="auto"/>
              </w:rPr>
            </w:pPr>
          </w:p>
        </w:tc>
        <w:tc>
          <w:tcPr>
            <w:tcW w:w="1040" w:type="dxa"/>
            <w:vAlign w:val="bottom"/>
            <w:shd w:val="clear" w:color="auto" w:fill="FDFDFC"/>
          </w:tcPr>
          <w:p>
            <w:pPr>
              <w:ind w:left="720"/>
              <w:spacing w:after="0"/>
              <w:rPr>
                <w:sz w:val="20"/>
                <w:szCs w:val="20"/>
                <w:color w:val="auto"/>
              </w:rPr>
            </w:pPr>
            <w:r>
              <w:rPr>
                <w:rFonts w:ascii="Times New Roman" w:cs="Times New Roman" w:eastAsia="Times New Roman" w:hAnsi="Times New Roman"/>
                <w:sz w:val="17"/>
                <w:szCs w:val="17"/>
                <w:color w:val="231F20"/>
              </w:rPr>
              <w:t>N/A</w:t>
            </w:r>
          </w:p>
        </w:tc>
        <w:tc>
          <w:tcPr>
            <w:tcW w:w="0" w:type="dxa"/>
            <w:vAlign w:val="bottom"/>
          </w:tcPr>
          <w:p>
            <w:pPr>
              <w:spacing w:after="0"/>
              <w:rPr>
                <w:sz w:val="1"/>
                <w:szCs w:val="1"/>
                <w:color w:val="auto"/>
              </w:rPr>
            </w:pPr>
          </w:p>
        </w:tc>
      </w:tr>
      <w:tr>
        <w:trPr>
          <w:trHeight w:val="209"/>
        </w:trPr>
        <w:tc>
          <w:tcPr>
            <w:tcW w:w="2860" w:type="dxa"/>
            <w:vAlign w:val="bottom"/>
            <w:shd w:val="clear" w:color="auto" w:fill="D0EBF2"/>
          </w:tcPr>
          <w:p>
            <w:pPr>
              <w:spacing w:after="0"/>
              <w:rPr>
                <w:sz w:val="20"/>
                <w:szCs w:val="20"/>
                <w:color w:val="auto"/>
              </w:rPr>
            </w:pPr>
            <w:r>
              <w:rPr>
                <w:rFonts w:ascii="Times New Roman" w:cs="Times New Roman" w:eastAsia="Times New Roman" w:hAnsi="Times New Roman"/>
                <w:sz w:val="17"/>
                <w:szCs w:val="17"/>
                <w:color w:val="231F20"/>
              </w:rPr>
              <w:t>December 31, 2023</w:t>
            </w:r>
          </w:p>
        </w:tc>
        <w:tc>
          <w:tcPr>
            <w:tcW w:w="180" w:type="dxa"/>
            <w:vAlign w:val="bottom"/>
            <w:shd w:val="clear" w:color="auto" w:fill="D0EBF2"/>
          </w:tcPr>
          <w:p>
            <w:pPr>
              <w:spacing w:after="0"/>
              <w:rPr>
                <w:sz w:val="18"/>
                <w:szCs w:val="18"/>
                <w:color w:val="auto"/>
              </w:rPr>
            </w:pPr>
          </w:p>
        </w:tc>
        <w:tc>
          <w:tcPr>
            <w:tcW w:w="380" w:type="dxa"/>
            <w:vAlign w:val="bottom"/>
            <w:shd w:val="clear" w:color="auto" w:fill="D0EBF2"/>
          </w:tcPr>
          <w:p>
            <w:pPr>
              <w:spacing w:after="0"/>
              <w:rPr>
                <w:sz w:val="18"/>
                <w:szCs w:val="18"/>
                <w:color w:val="auto"/>
              </w:rPr>
            </w:pPr>
          </w:p>
        </w:tc>
        <w:tc>
          <w:tcPr>
            <w:tcW w:w="1100" w:type="dxa"/>
            <w:vAlign w:val="bottom"/>
            <w:shd w:val="clear" w:color="auto" w:fill="D0EBF2"/>
          </w:tcPr>
          <w:p>
            <w:pPr>
              <w:jc w:val="right"/>
              <w:spacing w:after="0"/>
              <w:rPr>
                <w:sz w:val="20"/>
                <w:szCs w:val="20"/>
                <w:color w:val="auto"/>
              </w:rPr>
            </w:pPr>
            <w:r>
              <w:rPr>
                <w:rFonts w:ascii="Times New Roman" w:cs="Times New Roman" w:eastAsia="Times New Roman" w:hAnsi="Times New Roman"/>
                <w:sz w:val="17"/>
                <w:szCs w:val="17"/>
                <w:color w:val="231F20"/>
              </w:rPr>
              <w:t>—</w:t>
            </w:r>
          </w:p>
        </w:tc>
        <w:tc>
          <w:tcPr>
            <w:tcW w:w="280" w:type="dxa"/>
            <w:vAlign w:val="bottom"/>
            <w:shd w:val="clear" w:color="auto" w:fill="D0EBF2"/>
          </w:tcPr>
          <w:p>
            <w:pPr>
              <w:spacing w:after="0"/>
              <w:rPr>
                <w:sz w:val="18"/>
                <w:szCs w:val="18"/>
                <w:color w:val="auto"/>
              </w:rPr>
            </w:pPr>
          </w:p>
        </w:tc>
        <w:tc>
          <w:tcPr>
            <w:tcW w:w="120" w:type="dxa"/>
            <w:vAlign w:val="bottom"/>
            <w:shd w:val="clear" w:color="auto" w:fill="D0EBF2"/>
          </w:tcPr>
          <w:p>
            <w:pPr>
              <w:spacing w:after="0"/>
              <w:rPr>
                <w:sz w:val="18"/>
                <w:szCs w:val="18"/>
                <w:color w:val="auto"/>
              </w:rPr>
            </w:pPr>
          </w:p>
        </w:tc>
        <w:tc>
          <w:tcPr>
            <w:tcW w:w="1040" w:type="dxa"/>
            <w:vAlign w:val="bottom"/>
            <w:shd w:val="clear" w:color="auto" w:fill="D0EBF2"/>
          </w:tcPr>
          <w:p>
            <w:pPr>
              <w:jc w:val="right"/>
              <w:spacing w:after="0"/>
              <w:rPr>
                <w:sz w:val="20"/>
                <w:szCs w:val="20"/>
                <w:color w:val="auto"/>
              </w:rPr>
            </w:pPr>
            <w:r>
              <w:rPr>
                <w:rFonts w:ascii="Times New Roman" w:cs="Times New Roman" w:eastAsia="Times New Roman" w:hAnsi="Times New Roman"/>
                <w:sz w:val="17"/>
                <w:szCs w:val="17"/>
                <w:color w:val="231F20"/>
              </w:rPr>
              <w:t>—</w:t>
            </w:r>
          </w:p>
        </w:tc>
        <w:tc>
          <w:tcPr>
            <w:tcW w:w="300" w:type="dxa"/>
            <w:vAlign w:val="bottom"/>
            <w:shd w:val="clear" w:color="auto" w:fill="D0EBF2"/>
          </w:tcPr>
          <w:p>
            <w:pPr>
              <w:spacing w:after="0"/>
              <w:rPr>
                <w:sz w:val="18"/>
                <w:szCs w:val="18"/>
                <w:color w:val="auto"/>
              </w:rPr>
            </w:pPr>
          </w:p>
        </w:tc>
        <w:tc>
          <w:tcPr>
            <w:tcW w:w="100" w:type="dxa"/>
            <w:vAlign w:val="bottom"/>
            <w:shd w:val="clear" w:color="auto" w:fill="D0EBF2"/>
          </w:tcPr>
          <w:p>
            <w:pPr>
              <w:spacing w:after="0"/>
              <w:rPr>
                <w:sz w:val="18"/>
                <w:szCs w:val="18"/>
                <w:color w:val="auto"/>
              </w:rPr>
            </w:pPr>
          </w:p>
        </w:tc>
        <w:tc>
          <w:tcPr>
            <w:tcW w:w="1220" w:type="dxa"/>
            <w:vAlign w:val="bottom"/>
            <w:shd w:val="clear" w:color="auto" w:fill="D0EBF2"/>
          </w:tcPr>
          <w:p>
            <w:pPr>
              <w:ind w:left="1020"/>
              <w:spacing w:after="0"/>
              <w:rPr>
                <w:sz w:val="20"/>
                <w:szCs w:val="20"/>
                <w:color w:val="auto"/>
              </w:rPr>
            </w:pPr>
            <w:r>
              <w:rPr>
                <w:rFonts w:ascii="Times New Roman" w:cs="Times New Roman" w:eastAsia="Times New Roman" w:hAnsi="Times New Roman"/>
                <w:sz w:val="17"/>
                <w:szCs w:val="17"/>
                <w:color w:val="231F20"/>
              </w:rPr>
              <w:t>—</w:t>
            </w:r>
          </w:p>
        </w:tc>
        <w:tc>
          <w:tcPr>
            <w:tcW w:w="340" w:type="dxa"/>
            <w:vAlign w:val="bottom"/>
            <w:shd w:val="clear" w:color="auto" w:fill="D0EBF2"/>
          </w:tcPr>
          <w:p>
            <w:pPr>
              <w:spacing w:after="0"/>
              <w:rPr>
                <w:sz w:val="18"/>
                <w:szCs w:val="18"/>
                <w:color w:val="auto"/>
              </w:rPr>
            </w:pPr>
          </w:p>
        </w:tc>
        <w:tc>
          <w:tcPr>
            <w:tcW w:w="1040" w:type="dxa"/>
            <w:vAlign w:val="bottom"/>
            <w:shd w:val="clear" w:color="auto" w:fill="D0EBF2"/>
          </w:tcPr>
          <w:p>
            <w:pPr>
              <w:ind w:left="720"/>
              <w:spacing w:after="0"/>
              <w:rPr>
                <w:sz w:val="20"/>
                <w:szCs w:val="20"/>
                <w:color w:val="auto"/>
              </w:rPr>
            </w:pPr>
            <w:r>
              <w:rPr>
                <w:rFonts w:ascii="Times New Roman" w:cs="Times New Roman" w:eastAsia="Times New Roman" w:hAnsi="Times New Roman"/>
                <w:sz w:val="17"/>
                <w:szCs w:val="17"/>
                <w:color w:val="231F20"/>
              </w:rPr>
              <w:t>N/A</w:t>
            </w:r>
          </w:p>
        </w:tc>
        <w:tc>
          <w:tcPr>
            <w:tcW w:w="0" w:type="dxa"/>
            <w:vAlign w:val="bottom"/>
          </w:tcPr>
          <w:p>
            <w:pPr>
              <w:spacing w:after="0"/>
              <w:rPr>
                <w:sz w:val="1"/>
                <w:szCs w:val="1"/>
                <w:color w:val="auto"/>
              </w:rPr>
            </w:pPr>
          </w:p>
        </w:tc>
      </w:tr>
      <w:tr>
        <w:trPr>
          <w:trHeight w:val="209"/>
        </w:trPr>
        <w:tc>
          <w:tcPr>
            <w:tcW w:w="2860" w:type="dxa"/>
            <w:vAlign w:val="bottom"/>
            <w:shd w:val="clear" w:color="auto" w:fill="FDFDFC"/>
          </w:tcPr>
          <w:p>
            <w:pPr>
              <w:spacing w:after="0"/>
              <w:rPr>
                <w:sz w:val="20"/>
                <w:szCs w:val="20"/>
                <w:color w:val="auto"/>
              </w:rPr>
            </w:pPr>
            <w:r>
              <w:rPr>
                <w:rFonts w:ascii="Times New Roman" w:cs="Times New Roman" w:eastAsia="Times New Roman" w:hAnsi="Times New Roman"/>
                <w:sz w:val="17"/>
                <w:szCs w:val="17"/>
                <w:color w:val="231F20"/>
              </w:rPr>
              <w:t>December 31, 2022</w:t>
            </w:r>
          </w:p>
        </w:tc>
        <w:tc>
          <w:tcPr>
            <w:tcW w:w="180" w:type="dxa"/>
            <w:vAlign w:val="bottom"/>
            <w:shd w:val="clear" w:color="auto" w:fill="FDFDFC"/>
          </w:tcPr>
          <w:p>
            <w:pPr>
              <w:spacing w:after="0"/>
              <w:rPr>
                <w:sz w:val="18"/>
                <w:szCs w:val="18"/>
                <w:color w:val="auto"/>
              </w:rPr>
            </w:pPr>
          </w:p>
        </w:tc>
        <w:tc>
          <w:tcPr>
            <w:tcW w:w="380" w:type="dxa"/>
            <w:vAlign w:val="bottom"/>
            <w:shd w:val="clear" w:color="auto" w:fill="FDFDFC"/>
          </w:tcPr>
          <w:p>
            <w:pPr>
              <w:spacing w:after="0"/>
              <w:rPr>
                <w:sz w:val="18"/>
                <w:szCs w:val="18"/>
                <w:color w:val="auto"/>
              </w:rPr>
            </w:pPr>
          </w:p>
        </w:tc>
        <w:tc>
          <w:tcPr>
            <w:tcW w:w="1100" w:type="dxa"/>
            <w:vAlign w:val="bottom"/>
            <w:shd w:val="clear" w:color="auto" w:fill="FDFDFC"/>
          </w:tcPr>
          <w:p>
            <w:pPr>
              <w:jc w:val="right"/>
              <w:spacing w:after="0"/>
              <w:rPr>
                <w:sz w:val="20"/>
                <w:szCs w:val="20"/>
                <w:color w:val="auto"/>
              </w:rPr>
            </w:pPr>
            <w:r>
              <w:rPr>
                <w:rFonts w:ascii="Times New Roman" w:cs="Times New Roman" w:eastAsia="Times New Roman" w:hAnsi="Times New Roman"/>
                <w:sz w:val="17"/>
                <w:szCs w:val="17"/>
                <w:color w:val="231F20"/>
              </w:rPr>
              <w:t>—</w:t>
            </w:r>
          </w:p>
        </w:tc>
        <w:tc>
          <w:tcPr>
            <w:tcW w:w="280" w:type="dxa"/>
            <w:vAlign w:val="bottom"/>
            <w:shd w:val="clear" w:color="auto" w:fill="FDFDFC"/>
          </w:tcPr>
          <w:p>
            <w:pPr>
              <w:spacing w:after="0"/>
              <w:rPr>
                <w:sz w:val="18"/>
                <w:szCs w:val="18"/>
                <w:color w:val="auto"/>
              </w:rPr>
            </w:pPr>
          </w:p>
        </w:tc>
        <w:tc>
          <w:tcPr>
            <w:tcW w:w="120" w:type="dxa"/>
            <w:vAlign w:val="bottom"/>
            <w:shd w:val="clear" w:color="auto" w:fill="FDFDFC"/>
          </w:tcPr>
          <w:p>
            <w:pPr>
              <w:spacing w:after="0"/>
              <w:rPr>
                <w:sz w:val="18"/>
                <w:szCs w:val="18"/>
                <w:color w:val="auto"/>
              </w:rPr>
            </w:pPr>
          </w:p>
        </w:tc>
        <w:tc>
          <w:tcPr>
            <w:tcW w:w="1040" w:type="dxa"/>
            <w:vAlign w:val="bottom"/>
            <w:shd w:val="clear" w:color="auto" w:fill="FDFDFC"/>
          </w:tcPr>
          <w:p>
            <w:pPr>
              <w:jc w:val="right"/>
              <w:spacing w:after="0"/>
              <w:rPr>
                <w:sz w:val="20"/>
                <w:szCs w:val="20"/>
                <w:color w:val="auto"/>
              </w:rPr>
            </w:pPr>
            <w:r>
              <w:rPr>
                <w:rFonts w:ascii="Times New Roman" w:cs="Times New Roman" w:eastAsia="Times New Roman" w:hAnsi="Times New Roman"/>
                <w:sz w:val="17"/>
                <w:szCs w:val="17"/>
                <w:color w:val="231F20"/>
              </w:rPr>
              <w:t>—</w:t>
            </w:r>
          </w:p>
        </w:tc>
        <w:tc>
          <w:tcPr>
            <w:tcW w:w="300" w:type="dxa"/>
            <w:vAlign w:val="bottom"/>
            <w:shd w:val="clear" w:color="auto" w:fill="FDFDFC"/>
          </w:tcPr>
          <w:p>
            <w:pPr>
              <w:spacing w:after="0"/>
              <w:rPr>
                <w:sz w:val="18"/>
                <w:szCs w:val="18"/>
                <w:color w:val="auto"/>
              </w:rPr>
            </w:pPr>
          </w:p>
        </w:tc>
        <w:tc>
          <w:tcPr>
            <w:tcW w:w="100" w:type="dxa"/>
            <w:vAlign w:val="bottom"/>
            <w:shd w:val="clear" w:color="auto" w:fill="FDFDFC"/>
          </w:tcPr>
          <w:p>
            <w:pPr>
              <w:spacing w:after="0"/>
              <w:rPr>
                <w:sz w:val="18"/>
                <w:szCs w:val="18"/>
                <w:color w:val="auto"/>
              </w:rPr>
            </w:pPr>
          </w:p>
        </w:tc>
        <w:tc>
          <w:tcPr>
            <w:tcW w:w="1220" w:type="dxa"/>
            <w:vAlign w:val="bottom"/>
            <w:shd w:val="clear" w:color="auto" w:fill="FDFDFC"/>
          </w:tcPr>
          <w:p>
            <w:pPr>
              <w:ind w:left="1020"/>
              <w:spacing w:after="0"/>
              <w:rPr>
                <w:sz w:val="20"/>
                <w:szCs w:val="20"/>
                <w:color w:val="auto"/>
              </w:rPr>
            </w:pPr>
            <w:r>
              <w:rPr>
                <w:rFonts w:ascii="Times New Roman" w:cs="Times New Roman" w:eastAsia="Times New Roman" w:hAnsi="Times New Roman"/>
                <w:sz w:val="17"/>
                <w:szCs w:val="17"/>
                <w:color w:val="231F20"/>
              </w:rPr>
              <w:t>—</w:t>
            </w:r>
          </w:p>
        </w:tc>
        <w:tc>
          <w:tcPr>
            <w:tcW w:w="340" w:type="dxa"/>
            <w:vAlign w:val="bottom"/>
            <w:shd w:val="clear" w:color="auto" w:fill="FDFDFC"/>
          </w:tcPr>
          <w:p>
            <w:pPr>
              <w:spacing w:after="0"/>
              <w:rPr>
                <w:sz w:val="18"/>
                <w:szCs w:val="18"/>
                <w:color w:val="auto"/>
              </w:rPr>
            </w:pPr>
          </w:p>
        </w:tc>
        <w:tc>
          <w:tcPr>
            <w:tcW w:w="1040" w:type="dxa"/>
            <w:vAlign w:val="bottom"/>
            <w:shd w:val="clear" w:color="auto" w:fill="FDFDFC"/>
          </w:tcPr>
          <w:p>
            <w:pPr>
              <w:ind w:left="720"/>
              <w:spacing w:after="0"/>
              <w:rPr>
                <w:sz w:val="20"/>
                <w:szCs w:val="20"/>
                <w:color w:val="auto"/>
              </w:rPr>
            </w:pPr>
            <w:r>
              <w:rPr>
                <w:rFonts w:ascii="Times New Roman" w:cs="Times New Roman" w:eastAsia="Times New Roman" w:hAnsi="Times New Roman"/>
                <w:sz w:val="17"/>
                <w:szCs w:val="17"/>
                <w:color w:val="231F20"/>
              </w:rPr>
              <w:t>N/A</w:t>
            </w:r>
          </w:p>
        </w:tc>
        <w:tc>
          <w:tcPr>
            <w:tcW w:w="0" w:type="dxa"/>
            <w:vAlign w:val="bottom"/>
          </w:tcPr>
          <w:p>
            <w:pPr>
              <w:spacing w:after="0"/>
              <w:rPr>
                <w:sz w:val="1"/>
                <w:szCs w:val="1"/>
                <w:color w:val="auto"/>
              </w:rPr>
            </w:pPr>
          </w:p>
        </w:tc>
      </w:tr>
      <w:tr>
        <w:trPr>
          <w:trHeight w:val="209"/>
        </w:trPr>
        <w:tc>
          <w:tcPr>
            <w:tcW w:w="2860" w:type="dxa"/>
            <w:vAlign w:val="bottom"/>
            <w:shd w:val="clear" w:color="auto" w:fill="D0EBF2"/>
          </w:tcPr>
          <w:p>
            <w:pPr>
              <w:spacing w:after="0"/>
              <w:rPr>
                <w:sz w:val="20"/>
                <w:szCs w:val="20"/>
                <w:color w:val="auto"/>
              </w:rPr>
            </w:pPr>
            <w:r>
              <w:rPr>
                <w:rFonts w:ascii="Times New Roman" w:cs="Times New Roman" w:eastAsia="Times New Roman" w:hAnsi="Times New Roman"/>
                <w:sz w:val="17"/>
                <w:szCs w:val="17"/>
                <w:color w:val="231F20"/>
              </w:rPr>
              <w:t>December 31, 2021</w:t>
            </w:r>
          </w:p>
        </w:tc>
        <w:tc>
          <w:tcPr>
            <w:tcW w:w="180" w:type="dxa"/>
            <w:vAlign w:val="bottom"/>
            <w:shd w:val="clear" w:color="auto" w:fill="D0EBF2"/>
          </w:tcPr>
          <w:p>
            <w:pPr>
              <w:spacing w:after="0"/>
              <w:rPr>
                <w:sz w:val="18"/>
                <w:szCs w:val="18"/>
                <w:color w:val="auto"/>
              </w:rPr>
            </w:pPr>
          </w:p>
        </w:tc>
        <w:tc>
          <w:tcPr>
            <w:tcW w:w="380" w:type="dxa"/>
            <w:vAlign w:val="bottom"/>
            <w:shd w:val="clear" w:color="auto" w:fill="D0EBF2"/>
          </w:tcPr>
          <w:p>
            <w:pPr>
              <w:spacing w:after="0"/>
              <w:rPr>
                <w:sz w:val="18"/>
                <w:szCs w:val="18"/>
                <w:color w:val="auto"/>
              </w:rPr>
            </w:pPr>
          </w:p>
        </w:tc>
        <w:tc>
          <w:tcPr>
            <w:tcW w:w="1100" w:type="dxa"/>
            <w:vAlign w:val="bottom"/>
            <w:shd w:val="clear" w:color="auto" w:fill="D0EBF2"/>
          </w:tcPr>
          <w:p>
            <w:pPr>
              <w:jc w:val="right"/>
              <w:spacing w:after="0"/>
              <w:rPr>
                <w:sz w:val="20"/>
                <w:szCs w:val="20"/>
                <w:color w:val="auto"/>
              </w:rPr>
            </w:pPr>
            <w:r>
              <w:rPr>
                <w:rFonts w:ascii="Times New Roman" w:cs="Times New Roman" w:eastAsia="Times New Roman" w:hAnsi="Times New Roman"/>
                <w:sz w:val="17"/>
                <w:szCs w:val="17"/>
                <w:color w:val="231F20"/>
              </w:rPr>
              <w:t>100.0</w:t>
            </w:r>
          </w:p>
        </w:tc>
        <w:tc>
          <w:tcPr>
            <w:tcW w:w="280" w:type="dxa"/>
            <w:vAlign w:val="bottom"/>
            <w:shd w:val="clear" w:color="auto" w:fill="D0EBF2"/>
          </w:tcPr>
          <w:p>
            <w:pPr>
              <w:spacing w:after="0"/>
              <w:rPr>
                <w:sz w:val="18"/>
                <w:szCs w:val="18"/>
                <w:color w:val="auto"/>
              </w:rPr>
            </w:pPr>
          </w:p>
        </w:tc>
        <w:tc>
          <w:tcPr>
            <w:tcW w:w="120" w:type="dxa"/>
            <w:vAlign w:val="bottom"/>
            <w:shd w:val="clear" w:color="auto" w:fill="D0EBF2"/>
          </w:tcPr>
          <w:p>
            <w:pPr>
              <w:spacing w:after="0"/>
              <w:rPr>
                <w:sz w:val="18"/>
                <w:szCs w:val="18"/>
                <w:color w:val="auto"/>
              </w:rPr>
            </w:pPr>
          </w:p>
        </w:tc>
        <w:tc>
          <w:tcPr>
            <w:tcW w:w="1040" w:type="dxa"/>
            <w:vAlign w:val="bottom"/>
            <w:shd w:val="clear" w:color="auto" w:fill="D0EBF2"/>
          </w:tcPr>
          <w:p>
            <w:pPr>
              <w:jc w:val="right"/>
              <w:spacing w:after="0"/>
              <w:rPr>
                <w:sz w:val="20"/>
                <w:szCs w:val="20"/>
                <w:color w:val="auto"/>
              </w:rPr>
            </w:pPr>
            <w:r>
              <w:rPr>
                <w:rFonts w:ascii="Times New Roman" w:cs="Times New Roman" w:eastAsia="Times New Roman" w:hAnsi="Times New Roman"/>
                <w:sz w:val="17"/>
                <w:szCs w:val="17"/>
                <w:color w:val="231F20"/>
              </w:rPr>
              <w:t>2,053.6</w:t>
            </w:r>
          </w:p>
        </w:tc>
        <w:tc>
          <w:tcPr>
            <w:tcW w:w="300" w:type="dxa"/>
            <w:vAlign w:val="bottom"/>
            <w:shd w:val="clear" w:color="auto" w:fill="D0EBF2"/>
          </w:tcPr>
          <w:p>
            <w:pPr>
              <w:spacing w:after="0"/>
              <w:rPr>
                <w:sz w:val="18"/>
                <w:szCs w:val="18"/>
                <w:color w:val="auto"/>
              </w:rPr>
            </w:pPr>
          </w:p>
        </w:tc>
        <w:tc>
          <w:tcPr>
            <w:tcW w:w="100" w:type="dxa"/>
            <w:vAlign w:val="bottom"/>
            <w:shd w:val="clear" w:color="auto" w:fill="D0EBF2"/>
          </w:tcPr>
          <w:p>
            <w:pPr>
              <w:spacing w:after="0"/>
              <w:rPr>
                <w:sz w:val="18"/>
                <w:szCs w:val="18"/>
                <w:color w:val="auto"/>
              </w:rPr>
            </w:pPr>
          </w:p>
        </w:tc>
        <w:tc>
          <w:tcPr>
            <w:tcW w:w="1220" w:type="dxa"/>
            <w:vAlign w:val="bottom"/>
            <w:shd w:val="clear" w:color="auto" w:fill="D0EBF2"/>
          </w:tcPr>
          <w:p>
            <w:pPr>
              <w:ind w:left="1020"/>
              <w:spacing w:after="0"/>
              <w:rPr>
                <w:sz w:val="20"/>
                <w:szCs w:val="20"/>
                <w:color w:val="auto"/>
              </w:rPr>
            </w:pPr>
            <w:r>
              <w:rPr>
                <w:rFonts w:ascii="Times New Roman" w:cs="Times New Roman" w:eastAsia="Times New Roman" w:hAnsi="Times New Roman"/>
                <w:sz w:val="17"/>
                <w:szCs w:val="17"/>
                <w:color w:val="231F20"/>
              </w:rPr>
              <w:t>—</w:t>
            </w:r>
          </w:p>
        </w:tc>
        <w:tc>
          <w:tcPr>
            <w:tcW w:w="340" w:type="dxa"/>
            <w:vAlign w:val="bottom"/>
            <w:shd w:val="clear" w:color="auto" w:fill="D0EBF2"/>
          </w:tcPr>
          <w:p>
            <w:pPr>
              <w:spacing w:after="0"/>
              <w:rPr>
                <w:sz w:val="18"/>
                <w:szCs w:val="18"/>
                <w:color w:val="auto"/>
              </w:rPr>
            </w:pPr>
          </w:p>
        </w:tc>
        <w:tc>
          <w:tcPr>
            <w:tcW w:w="1040" w:type="dxa"/>
            <w:vAlign w:val="bottom"/>
            <w:shd w:val="clear" w:color="auto" w:fill="D0EBF2"/>
          </w:tcPr>
          <w:p>
            <w:pPr>
              <w:ind w:left="720"/>
              <w:spacing w:after="0"/>
              <w:rPr>
                <w:sz w:val="20"/>
                <w:szCs w:val="20"/>
                <w:color w:val="auto"/>
              </w:rPr>
            </w:pPr>
            <w:r>
              <w:rPr>
                <w:rFonts w:ascii="Times New Roman" w:cs="Times New Roman" w:eastAsia="Times New Roman" w:hAnsi="Times New Roman"/>
                <w:sz w:val="17"/>
                <w:szCs w:val="17"/>
                <w:color w:val="231F20"/>
              </w:rPr>
              <w:t>N/A</w:t>
            </w:r>
          </w:p>
        </w:tc>
        <w:tc>
          <w:tcPr>
            <w:tcW w:w="0" w:type="dxa"/>
            <w:vAlign w:val="bottom"/>
          </w:tcPr>
          <w:p>
            <w:pPr>
              <w:spacing w:after="0"/>
              <w:rPr>
                <w:sz w:val="1"/>
                <w:szCs w:val="1"/>
                <w:color w:val="auto"/>
              </w:rPr>
            </w:pPr>
          </w:p>
        </w:tc>
      </w:tr>
      <w:tr>
        <w:trPr>
          <w:trHeight w:val="209"/>
        </w:trPr>
        <w:tc>
          <w:tcPr>
            <w:tcW w:w="2860" w:type="dxa"/>
            <w:vAlign w:val="bottom"/>
            <w:shd w:val="clear" w:color="auto" w:fill="FDFDFC"/>
          </w:tcPr>
          <w:p>
            <w:pPr>
              <w:spacing w:after="0"/>
              <w:rPr>
                <w:sz w:val="20"/>
                <w:szCs w:val="20"/>
                <w:color w:val="auto"/>
              </w:rPr>
            </w:pPr>
            <w:r>
              <w:rPr>
                <w:rFonts w:ascii="Times New Roman" w:cs="Times New Roman" w:eastAsia="Times New Roman" w:hAnsi="Times New Roman"/>
                <w:sz w:val="17"/>
                <w:szCs w:val="17"/>
                <w:color w:val="231F20"/>
              </w:rPr>
              <w:t>December 31, 2020</w:t>
            </w:r>
          </w:p>
        </w:tc>
        <w:tc>
          <w:tcPr>
            <w:tcW w:w="180" w:type="dxa"/>
            <w:vAlign w:val="bottom"/>
            <w:shd w:val="clear" w:color="auto" w:fill="FDFDFC"/>
          </w:tcPr>
          <w:p>
            <w:pPr>
              <w:spacing w:after="0"/>
              <w:rPr>
                <w:sz w:val="18"/>
                <w:szCs w:val="18"/>
                <w:color w:val="auto"/>
              </w:rPr>
            </w:pPr>
          </w:p>
        </w:tc>
        <w:tc>
          <w:tcPr>
            <w:tcW w:w="380" w:type="dxa"/>
            <w:vAlign w:val="bottom"/>
            <w:shd w:val="clear" w:color="auto" w:fill="FDFDFC"/>
          </w:tcPr>
          <w:p>
            <w:pPr>
              <w:spacing w:after="0"/>
              <w:rPr>
                <w:sz w:val="18"/>
                <w:szCs w:val="18"/>
                <w:color w:val="auto"/>
              </w:rPr>
            </w:pPr>
          </w:p>
        </w:tc>
        <w:tc>
          <w:tcPr>
            <w:tcW w:w="1100" w:type="dxa"/>
            <w:vAlign w:val="bottom"/>
            <w:shd w:val="clear" w:color="auto" w:fill="FDFDFC"/>
          </w:tcPr>
          <w:p>
            <w:pPr>
              <w:jc w:val="right"/>
              <w:spacing w:after="0"/>
              <w:rPr>
                <w:sz w:val="20"/>
                <w:szCs w:val="20"/>
                <w:color w:val="auto"/>
              </w:rPr>
            </w:pPr>
            <w:r>
              <w:rPr>
                <w:rFonts w:ascii="Times New Roman" w:cs="Times New Roman" w:eastAsia="Times New Roman" w:hAnsi="Times New Roman"/>
                <w:sz w:val="17"/>
                <w:szCs w:val="17"/>
                <w:color w:val="231F20"/>
              </w:rPr>
              <w:t>142.5</w:t>
            </w:r>
          </w:p>
        </w:tc>
        <w:tc>
          <w:tcPr>
            <w:tcW w:w="280" w:type="dxa"/>
            <w:vAlign w:val="bottom"/>
            <w:shd w:val="clear" w:color="auto" w:fill="FDFDFC"/>
          </w:tcPr>
          <w:p>
            <w:pPr>
              <w:spacing w:after="0"/>
              <w:rPr>
                <w:sz w:val="18"/>
                <w:szCs w:val="18"/>
                <w:color w:val="auto"/>
              </w:rPr>
            </w:pPr>
          </w:p>
        </w:tc>
        <w:tc>
          <w:tcPr>
            <w:tcW w:w="120" w:type="dxa"/>
            <w:vAlign w:val="bottom"/>
            <w:shd w:val="clear" w:color="auto" w:fill="FDFDFC"/>
          </w:tcPr>
          <w:p>
            <w:pPr>
              <w:spacing w:after="0"/>
              <w:rPr>
                <w:sz w:val="18"/>
                <w:szCs w:val="18"/>
                <w:color w:val="auto"/>
              </w:rPr>
            </w:pPr>
          </w:p>
        </w:tc>
        <w:tc>
          <w:tcPr>
            <w:tcW w:w="1040" w:type="dxa"/>
            <w:vAlign w:val="bottom"/>
            <w:shd w:val="clear" w:color="auto" w:fill="FDFDFC"/>
          </w:tcPr>
          <w:p>
            <w:pPr>
              <w:jc w:val="right"/>
              <w:spacing w:after="0"/>
              <w:rPr>
                <w:sz w:val="20"/>
                <w:szCs w:val="20"/>
                <w:color w:val="auto"/>
              </w:rPr>
            </w:pPr>
            <w:r>
              <w:rPr>
                <w:rFonts w:ascii="Times New Roman" w:cs="Times New Roman" w:eastAsia="Times New Roman" w:hAnsi="Times New Roman"/>
                <w:sz w:val="17"/>
                <w:szCs w:val="17"/>
                <w:color w:val="231F20"/>
              </w:rPr>
              <w:t>2,045.4</w:t>
            </w:r>
          </w:p>
        </w:tc>
        <w:tc>
          <w:tcPr>
            <w:tcW w:w="300" w:type="dxa"/>
            <w:vAlign w:val="bottom"/>
            <w:shd w:val="clear" w:color="auto" w:fill="FDFDFC"/>
          </w:tcPr>
          <w:p>
            <w:pPr>
              <w:spacing w:after="0"/>
              <w:rPr>
                <w:sz w:val="18"/>
                <w:szCs w:val="18"/>
                <w:color w:val="auto"/>
              </w:rPr>
            </w:pPr>
          </w:p>
        </w:tc>
        <w:tc>
          <w:tcPr>
            <w:tcW w:w="100" w:type="dxa"/>
            <w:vAlign w:val="bottom"/>
            <w:shd w:val="clear" w:color="auto" w:fill="FDFDFC"/>
          </w:tcPr>
          <w:p>
            <w:pPr>
              <w:spacing w:after="0"/>
              <w:rPr>
                <w:sz w:val="18"/>
                <w:szCs w:val="18"/>
                <w:color w:val="auto"/>
              </w:rPr>
            </w:pPr>
          </w:p>
        </w:tc>
        <w:tc>
          <w:tcPr>
            <w:tcW w:w="1220" w:type="dxa"/>
            <w:vAlign w:val="bottom"/>
            <w:shd w:val="clear" w:color="auto" w:fill="FDFDFC"/>
          </w:tcPr>
          <w:p>
            <w:pPr>
              <w:ind w:left="1020"/>
              <w:spacing w:after="0"/>
              <w:rPr>
                <w:sz w:val="20"/>
                <w:szCs w:val="20"/>
                <w:color w:val="auto"/>
              </w:rPr>
            </w:pPr>
            <w:r>
              <w:rPr>
                <w:rFonts w:ascii="Times New Roman" w:cs="Times New Roman" w:eastAsia="Times New Roman" w:hAnsi="Times New Roman"/>
                <w:sz w:val="17"/>
                <w:szCs w:val="17"/>
                <w:color w:val="231F20"/>
              </w:rPr>
              <w:t>—</w:t>
            </w:r>
          </w:p>
        </w:tc>
        <w:tc>
          <w:tcPr>
            <w:tcW w:w="340" w:type="dxa"/>
            <w:vAlign w:val="bottom"/>
            <w:shd w:val="clear" w:color="auto" w:fill="FDFDFC"/>
          </w:tcPr>
          <w:p>
            <w:pPr>
              <w:spacing w:after="0"/>
              <w:rPr>
                <w:sz w:val="18"/>
                <w:szCs w:val="18"/>
                <w:color w:val="auto"/>
              </w:rPr>
            </w:pPr>
          </w:p>
        </w:tc>
        <w:tc>
          <w:tcPr>
            <w:tcW w:w="1040" w:type="dxa"/>
            <w:vAlign w:val="bottom"/>
            <w:shd w:val="clear" w:color="auto" w:fill="FDFDFC"/>
          </w:tcPr>
          <w:p>
            <w:pPr>
              <w:ind w:left="720"/>
              <w:spacing w:after="0"/>
              <w:rPr>
                <w:sz w:val="20"/>
                <w:szCs w:val="20"/>
                <w:color w:val="auto"/>
              </w:rPr>
            </w:pPr>
            <w:r>
              <w:rPr>
                <w:rFonts w:ascii="Times New Roman" w:cs="Times New Roman" w:eastAsia="Times New Roman" w:hAnsi="Times New Roman"/>
                <w:sz w:val="17"/>
                <w:szCs w:val="17"/>
                <w:color w:val="231F20"/>
              </w:rPr>
              <w:t>N/A</w:t>
            </w:r>
          </w:p>
        </w:tc>
        <w:tc>
          <w:tcPr>
            <w:tcW w:w="0" w:type="dxa"/>
            <w:vAlign w:val="bottom"/>
          </w:tcPr>
          <w:p>
            <w:pPr>
              <w:spacing w:after="0"/>
              <w:rPr>
                <w:sz w:val="1"/>
                <w:szCs w:val="1"/>
                <w:color w:val="auto"/>
              </w:rPr>
            </w:pPr>
          </w:p>
        </w:tc>
      </w:tr>
      <w:tr>
        <w:trPr>
          <w:trHeight w:val="209"/>
        </w:trPr>
        <w:tc>
          <w:tcPr>
            <w:tcW w:w="2860" w:type="dxa"/>
            <w:vAlign w:val="bottom"/>
            <w:shd w:val="clear" w:color="auto" w:fill="D0EBF2"/>
          </w:tcPr>
          <w:p>
            <w:pPr>
              <w:spacing w:after="0"/>
              <w:rPr>
                <w:sz w:val="20"/>
                <w:szCs w:val="20"/>
                <w:color w:val="auto"/>
              </w:rPr>
            </w:pPr>
            <w:r>
              <w:rPr>
                <w:rFonts w:ascii="Times New Roman" w:cs="Times New Roman" w:eastAsia="Times New Roman" w:hAnsi="Times New Roman"/>
                <w:sz w:val="17"/>
                <w:szCs w:val="17"/>
                <w:color w:val="231F20"/>
              </w:rPr>
              <w:t>December 31, 2019</w:t>
            </w:r>
          </w:p>
        </w:tc>
        <w:tc>
          <w:tcPr>
            <w:tcW w:w="180" w:type="dxa"/>
            <w:vAlign w:val="bottom"/>
            <w:shd w:val="clear" w:color="auto" w:fill="D0EBF2"/>
          </w:tcPr>
          <w:p>
            <w:pPr>
              <w:spacing w:after="0"/>
              <w:rPr>
                <w:sz w:val="18"/>
                <w:szCs w:val="18"/>
                <w:color w:val="auto"/>
              </w:rPr>
            </w:pPr>
          </w:p>
        </w:tc>
        <w:tc>
          <w:tcPr>
            <w:tcW w:w="380" w:type="dxa"/>
            <w:vAlign w:val="bottom"/>
            <w:shd w:val="clear" w:color="auto" w:fill="D0EBF2"/>
          </w:tcPr>
          <w:p>
            <w:pPr>
              <w:spacing w:after="0"/>
              <w:rPr>
                <w:sz w:val="18"/>
                <w:szCs w:val="18"/>
                <w:color w:val="auto"/>
              </w:rPr>
            </w:pPr>
          </w:p>
        </w:tc>
        <w:tc>
          <w:tcPr>
            <w:tcW w:w="1100" w:type="dxa"/>
            <w:vAlign w:val="bottom"/>
            <w:shd w:val="clear" w:color="auto" w:fill="D0EBF2"/>
          </w:tcPr>
          <w:p>
            <w:pPr>
              <w:jc w:val="right"/>
              <w:spacing w:after="0"/>
              <w:rPr>
                <w:sz w:val="20"/>
                <w:szCs w:val="20"/>
                <w:color w:val="auto"/>
              </w:rPr>
            </w:pPr>
            <w:r>
              <w:rPr>
                <w:rFonts w:ascii="Times New Roman" w:cs="Times New Roman" w:eastAsia="Times New Roman" w:hAnsi="Times New Roman"/>
                <w:sz w:val="17"/>
                <w:szCs w:val="17"/>
                <w:color w:val="231F20"/>
              </w:rPr>
              <w:t>171.9</w:t>
            </w:r>
          </w:p>
        </w:tc>
        <w:tc>
          <w:tcPr>
            <w:tcW w:w="280" w:type="dxa"/>
            <w:vAlign w:val="bottom"/>
            <w:shd w:val="clear" w:color="auto" w:fill="D0EBF2"/>
          </w:tcPr>
          <w:p>
            <w:pPr>
              <w:spacing w:after="0"/>
              <w:rPr>
                <w:sz w:val="18"/>
                <w:szCs w:val="18"/>
                <w:color w:val="auto"/>
              </w:rPr>
            </w:pPr>
          </w:p>
        </w:tc>
        <w:tc>
          <w:tcPr>
            <w:tcW w:w="120" w:type="dxa"/>
            <w:vAlign w:val="bottom"/>
            <w:shd w:val="clear" w:color="auto" w:fill="D0EBF2"/>
          </w:tcPr>
          <w:p>
            <w:pPr>
              <w:spacing w:after="0"/>
              <w:rPr>
                <w:sz w:val="18"/>
                <w:szCs w:val="18"/>
                <w:color w:val="auto"/>
              </w:rPr>
            </w:pPr>
          </w:p>
        </w:tc>
        <w:tc>
          <w:tcPr>
            <w:tcW w:w="1040" w:type="dxa"/>
            <w:vAlign w:val="bottom"/>
            <w:shd w:val="clear" w:color="auto" w:fill="D0EBF2"/>
          </w:tcPr>
          <w:p>
            <w:pPr>
              <w:jc w:val="right"/>
              <w:spacing w:after="0"/>
              <w:rPr>
                <w:sz w:val="20"/>
                <w:szCs w:val="20"/>
                <w:color w:val="auto"/>
              </w:rPr>
            </w:pPr>
            <w:r>
              <w:rPr>
                <w:rFonts w:ascii="Times New Roman" w:cs="Times New Roman" w:eastAsia="Times New Roman" w:hAnsi="Times New Roman"/>
                <w:sz w:val="17"/>
                <w:szCs w:val="17"/>
                <w:color w:val="231F20"/>
              </w:rPr>
              <w:t>2,004.1</w:t>
            </w:r>
          </w:p>
        </w:tc>
        <w:tc>
          <w:tcPr>
            <w:tcW w:w="300" w:type="dxa"/>
            <w:vAlign w:val="bottom"/>
            <w:shd w:val="clear" w:color="auto" w:fill="D0EBF2"/>
          </w:tcPr>
          <w:p>
            <w:pPr>
              <w:spacing w:after="0"/>
              <w:rPr>
                <w:sz w:val="18"/>
                <w:szCs w:val="18"/>
                <w:color w:val="auto"/>
              </w:rPr>
            </w:pPr>
          </w:p>
        </w:tc>
        <w:tc>
          <w:tcPr>
            <w:tcW w:w="100" w:type="dxa"/>
            <w:vAlign w:val="bottom"/>
            <w:shd w:val="clear" w:color="auto" w:fill="D0EBF2"/>
          </w:tcPr>
          <w:p>
            <w:pPr>
              <w:spacing w:after="0"/>
              <w:rPr>
                <w:sz w:val="18"/>
                <w:szCs w:val="18"/>
                <w:color w:val="auto"/>
              </w:rPr>
            </w:pPr>
          </w:p>
        </w:tc>
        <w:tc>
          <w:tcPr>
            <w:tcW w:w="1220" w:type="dxa"/>
            <w:vAlign w:val="bottom"/>
            <w:shd w:val="clear" w:color="auto" w:fill="D0EBF2"/>
          </w:tcPr>
          <w:p>
            <w:pPr>
              <w:ind w:left="1020"/>
              <w:spacing w:after="0"/>
              <w:rPr>
                <w:sz w:val="20"/>
                <w:szCs w:val="20"/>
                <w:color w:val="auto"/>
              </w:rPr>
            </w:pPr>
            <w:r>
              <w:rPr>
                <w:rFonts w:ascii="Times New Roman" w:cs="Times New Roman" w:eastAsia="Times New Roman" w:hAnsi="Times New Roman"/>
                <w:sz w:val="17"/>
                <w:szCs w:val="17"/>
                <w:color w:val="231F20"/>
              </w:rPr>
              <w:t>—</w:t>
            </w:r>
          </w:p>
        </w:tc>
        <w:tc>
          <w:tcPr>
            <w:tcW w:w="340" w:type="dxa"/>
            <w:vAlign w:val="bottom"/>
            <w:shd w:val="clear" w:color="auto" w:fill="D0EBF2"/>
          </w:tcPr>
          <w:p>
            <w:pPr>
              <w:spacing w:after="0"/>
              <w:rPr>
                <w:sz w:val="18"/>
                <w:szCs w:val="18"/>
                <w:color w:val="auto"/>
              </w:rPr>
            </w:pPr>
          </w:p>
        </w:tc>
        <w:tc>
          <w:tcPr>
            <w:tcW w:w="1040" w:type="dxa"/>
            <w:vAlign w:val="bottom"/>
            <w:shd w:val="clear" w:color="auto" w:fill="D0EBF2"/>
          </w:tcPr>
          <w:p>
            <w:pPr>
              <w:ind w:left="720"/>
              <w:spacing w:after="0"/>
              <w:rPr>
                <w:sz w:val="20"/>
                <w:szCs w:val="20"/>
                <w:color w:val="auto"/>
              </w:rPr>
            </w:pPr>
            <w:r>
              <w:rPr>
                <w:rFonts w:ascii="Times New Roman" w:cs="Times New Roman" w:eastAsia="Times New Roman" w:hAnsi="Times New Roman"/>
                <w:sz w:val="17"/>
                <w:szCs w:val="17"/>
                <w:color w:val="231F20"/>
              </w:rPr>
              <w:t>N/A</w:t>
            </w:r>
          </w:p>
        </w:tc>
        <w:tc>
          <w:tcPr>
            <w:tcW w:w="0" w:type="dxa"/>
            <w:vAlign w:val="bottom"/>
          </w:tcPr>
          <w:p>
            <w:pPr>
              <w:spacing w:after="0"/>
              <w:rPr>
                <w:sz w:val="1"/>
                <w:szCs w:val="1"/>
                <w:color w:val="auto"/>
              </w:rPr>
            </w:pPr>
          </w:p>
        </w:tc>
      </w:tr>
      <w:tr>
        <w:trPr>
          <w:trHeight w:val="209"/>
        </w:trPr>
        <w:tc>
          <w:tcPr>
            <w:tcW w:w="2860" w:type="dxa"/>
            <w:vAlign w:val="bottom"/>
            <w:shd w:val="clear" w:color="auto" w:fill="FDFDFC"/>
          </w:tcPr>
          <w:p>
            <w:pPr>
              <w:spacing w:after="0"/>
              <w:rPr>
                <w:sz w:val="20"/>
                <w:szCs w:val="20"/>
                <w:color w:val="auto"/>
              </w:rPr>
            </w:pPr>
            <w:r>
              <w:rPr>
                <w:rFonts w:ascii="Times New Roman" w:cs="Times New Roman" w:eastAsia="Times New Roman" w:hAnsi="Times New Roman"/>
                <w:sz w:val="17"/>
                <w:szCs w:val="17"/>
                <w:color w:val="231F20"/>
              </w:rPr>
              <w:t>December 31, 2018</w:t>
            </w:r>
          </w:p>
        </w:tc>
        <w:tc>
          <w:tcPr>
            <w:tcW w:w="180" w:type="dxa"/>
            <w:vAlign w:val="bottom"/>
            <w:shd w:val="clear" w:color="auto" w:fill="FDFDFC"/>
          </w:tcPr>
          <w:p>
            <w:pPr>
              <w:spacing w:after="0"/>
              <w:rPr>
                <w:sz w:val="18"/>
                <w:szCs w:val="18"/>
                <w:color w:val="auto"/>
              </w:rPr>
            </w:pPr>
          </w:p>
        </w:tc>
        <w:tc>
          <w:tcPr>
            <w:tcW w:w="380" w:type="dxa"/>
            <w:vAlign w:val="bottom"/>
            <w:shd w:val="clear" w:color="auto" w:fill="FDFDFC"/>
          </w:tcPr>
          <w:p>
            <w:pPr>
              <w:spacing w:after="0"/>
              <w:rPr>
                <w:sz w:val="18"/>
                <w:szCs w:val="18"/>
                <w:color w:val="auto"/>
              </w:rPr>
            </w:pPr>
          </w:p>
        </w:tc>
        <w:tc>
          <w:tcPr>
            <w:tcW w:w="1100" w:type="dxa"/>
            <w:vAlign w:val="bottom"/>
            <w:shd w:val="clear" w:color="auto" w:fill="FDFDFC"/>
          </w:tcPr>
          <w:p>
            <w:pPr>
              <w:jc w:val="right"/>
              <w:spacing w:after="0"/>
              <w:rPr>
                <w:sz w:val="20"/>
                <w:szCs w:val="20"/>
                <w:color w:val="auto"/>
              </w:rPr>
            </w:pPr>
            <w:r>
              <w:rPr>
                <w:rFonts w:ascii="Times New Roman" w:cs="Times New Roman" w:eastAsia="Times New Roman" w:hAnsi="Times New Roman"/>
                <w:sz w:val="17"/>
                <w:szCs w:val="17"/>
                <w:color w:val="231F20"/>
              </w:rPr>
              <w:t>171.7</w:t>
            </w:r>
          </w:p>
        </w:tc>
        <w:tc>
          <w:tcPr>
            <w:tcW w:w="280" w:type="dxa"/>
            <w:vAlign w:val="bottom"/>
            <w:shd w:val="clear" w:color="auto" w:fill="FDFDFC"/>
          </w:tcPr>
          <w:p>
            <w:pPr>
              <w:spacing w:after="0"/>
              <w:rPr>
                <w:sz w:val="18"/>
                <w:szCs w:val="18"/>
                <w:color w:val="auto"/>
              </w:rPr>
            </w:pPr>
          </w:p>
        </w:tc>
        <w:tc>
          <w:tcPr>
            <w:tcW w:w="120" w:type="dxa"/>
            <w:vAlign w:val="bottom"/>
            <w:shd w:val="clear" w:color="auto" w:fill="FDFDFC"/>
          </w:tcPr>
          <w:p>
            <w:pPr>
              <w:spacing w:after="0"/>
              <w:rPr>
                <w:sz w:val="18"/>
                <w:szCs w:val="18"/>
                <w:color w:val="auto"/>
              </w:rPr>
            </w:pPr>
          </w:p>
        </w:tc>
        <w:tc>
          <w:tcPr>
            <w:tcW w:w="1040" w:type="dxa"/>
            <w:vAlign w:val="bottom"/>
            <w:shd w:val="clear" w:color="auto" w:fill="FDFDFC"/>
          </w:tcPr>
          <w:p>
            <w:pPr>
              <w:jc w:val="right"/>
              <w:spacing w:after="0"/>
              <w:rPr>
                <w:sz w:val="20"/>
                <w:szCs w:val="20"/>
                <w:color w:val="auto"/>
              </w:rPr>
            </w:pPr>
            <w:r>
              <w:rPr>
                <w:rFonts w:ascii="Times New Roman" w:cs="Times New Roman" w:eastAsia="Times New Roman" w:hAnsi="Times New Roman"/>
                <w:sz w:val="17"/>
                <w:szCs w:val="17"/>
                <w:color w:val="231F20"/>
              </w:rPr>
              <w:t>2,705.2</w:t>
            </w:r>
          </w:p>
        </w:tc>
        <w:tc>
          <w:tcPr>
            <w:tcW w:w="300" w:type="dxa"/>
            <w:vAlign w:val="bottom"/>
            <w:shd w:val="clear" w:color="auto" w:fill="FDFDFC"/>
          </w:tcPr>
          <w:p>
            <w:pPr>
              <w:spacing w:after="0"/>
              <w:rPr>
                <w:sz w:val="18"/>
                <w:szCs w:val="18"/>
                <w:color w:val="auto"/>
              </w:rPr>
            </w:pPr>
          </w:p>
        </w:tc>
        <w:tc>
          <w:tcPr>
            <w:tcW w:w="100" w:type="dxa"/>
            <w:vAlign w:val="bottom"/>
            <w:shd w:val="clear" w:color="auto" w:fill="FDFDFC"/>
          </w:tcPr>
          <w:p>
            <w:pPr>
              <w:spacing w:after="0"/>
              <w:rPr>
                <w:sz w:val="18"/>
                <w:szCs w:val="18"/>
                <w:color w:val="auto"/>
              </w:rPr>
            </w:pPr>
          </w:p>
        </w:tc>
        <w:tc>
          <w:tcPr>
            <w:tcW w:w="1220" w:type="dxa"/>
            <w:vAlign w:val="bottom"/>
            <w:shd w:val="clear" w:color="auto" w:fill="FDFDFC"/>
          </w:tcPr>
          <w:p>
            <w:pPr>
              <w:ind w:left="1020"/>
              <w:spacing w:after="0"/>
              <w:rPr>
                <w:sz w:val="20"/>
                <w:szCs w:val="20"/>
                <w:color w:val="auto"/>
              </w:rPr>
            </w:pPr>
            <w:r>
              <w:rPr>
                <w:rFonts w:ascii="Times New Roman" w:cs="Times New Roman" w:eastAsia="Times New Roman" w:hAnsi="Times New Roman"/>
                <w:sz w:val="17"/>
                <w:szCs w:val="17"/>
                <w:color w:val="231F20"/>
              </w:rPr>
              <w:t>—</w:t>
            </w:r>
          </w:p>
        </w:tc>
        <w:tc>
          <w:tcPr>
            <w:tcW w:w="340" w:type="dxa"/>
            <w:vAlign w:val="bottom"/>
            <w:shd w:val="clear" w:color="auto" w:fill="FDFDFC"/>
          </w:tcPr>
          <w:p>
            <w:pPr>
              <w:spacing w:after="0"/>
              <w:rPr>
                <w:sz w:val="18"/>
                <w:szCs w:val="18"/>
                <w:color w:val="auto"/>
              </w:rPr>
            </w:pPr>
          </w:p>
        </w:tc>
        <w:tc>
          <w:tcPr>
            <w:tcW w:w="1040" w:type="dxa"/>
            <w:vAlign w:val="bottom"/>
            <w:shd w:val="clear" w:color="auto" w:fill="FDFDFC"/>
          </w:tcPr>
          <w:p>
            <w:pPr>
              <w:ind w:left="720"/>
              <w:spacing w:after="0"/>
              <w:rPr>
                <w:sz w:val="20"/>
                <w:szCs w:val="20"/>
                <w:color w:val="auto"/>
              </w:rPr>
            </w:pPr>
            <w:r>
              <w:rPr>
                <w:rFonts w:ascii="Times New Roman" w:cs="Times New Roman" w:eastAsia="Times New Roman" w:hAnsi="Times New Roman"/>
                <w:sz w:val="17"/>
                <w:szCs w:val="17"/>
                <w:color w:val="231F20"/>
              </w:rPr>
              <w:t>N/A</w:t>
            </w:r>
          </w:p>
        </w:tc>
        <w:tc>
          <w:tcPr>
            <w:tcW w:w="0" w:type="dxa"/>
            <w:vAlign w:val="bottom"/>
          </w:tcPr>
          <w:p>
            <w:pPr>
              <w:spacing w:after="0"/>
              <w:rPr>
                <w:sz w:val="1"/>
                <w:szCs w:val="1"/>
                <w:color w:val="auto"/>
              </w:rPr>
            </w:pPr>
          </w:p>
        </w:tc>
      </w:tr>
      <w:tr>
        <w:trPr>
          <w:trHeight w:val="209"/>
        </w:trPr>
        <w:tc>
          <w:tcPr>
            <w:tcW w:w="2860" w:type="dxa"/>
            <w:vAlign w:val="bottom"/>
            <w:shd w:val="clear" w:color="auto" w:fill="D0EBF2"/>
          </w:tcPr>
          <w:p>
            <w:pPr>
              <w:spacing w:after="0"/>
              <w:rPr>
                <w:sz w:val="20"/>
                <w:szCs w:val="20"/>
                <w:color w:val="auto"/>
              </w:rPr>
            </w:pPr>
            <w:r>
              <w:rPr>
                <w:rFonts w:ascii="Times New Roman" w:cs="Times New Roman" w:eastAsia="Times New Roman" w:hAnsi="Times New Roman"/>
                <w:sz w:val="17"/>
                <w:szCs w:val="17"/>
                <w:color w:val="231F20"/>
              </w:rPr>
              <w:t>December 31, 2017</w:t>
            </w:r>
          </w:p>
        </w:tc>
        <w:tc>
          <w:tcPr>
            <w:tcW w:w="180" w:type="dxa"/>
            <w:vAlign w:val="bottom"/>
            <w:shd w:val="clear" w:color="auto" w:fill="D0EBF2"/>
          </w:tcPr>
          <w:p>
            <w:pPr>
              <w:spacing w:after="0"/>
              <w:rPr>
                <w:sz w:val="18"/>
                <w:szCs w:val="18"/>
                <w:color w:val="auto"/>
              </w:rPr>
            </w:pPr>
          </w:p>
        </w:tc>
        <w:tc>
          <w:tcPr>
            <w:tcW w:w="380" w:type="dxa"/>
            <w:vAlign w:val="bottom"/>
            <w:shd w:val="clear" w:color="auto" w:fill="D0EBF2"/>
          </w:tcPr>
          <w:p>
            <w:pPr>
              <w:spacing w:after="0"/>
              <w:rPr>
                <w:sz w:val="18"/>
                <w:szCs w:val="18"/>
                <w:color w:val="auto"/>
              </w:rPr>
            </w:pPr>
          </w:p>
        </w:tc>
        <w:tc>
          <w:tcPr>
            <w:tcW w:w="1100" w:type="dxa"/>
            <w:vAlign w:val="bottom"/>
            <w:shd w:val="clear" w:color="auto" w:fill="D0EBF2"/>
          </w:tcPr>
          <w:p>
            <w:pPr>
              <w:jc w:val="right"/>
              <w:spacing w:after="0"/>
              <w:rPr>
                <w:sz w:val="20"/>
                <w:szCs w:val="20"/>
                <w:color w:val="auto"/>
              </w:rPr>
            </w:pPr>
            <w:r>
              <w:rPr>
                <w:rFonts w:ascii="Times New Roman" w:cs="Times New Roman" w:eastAsia="Times New Roman" w:hAnsi="Times New Roman"/>
                <w:sz w:val="17"/>
                <w:szCs w:val="17"/>
                <w:color w:val="231F20"/>
              </w:rPr>
              <w:t>114.7</w:t>
            </w:r>
          </w:p>
        </w:tc>
        <w:tc>
          <w:tcPr>
            <w:tcW w:w="280" w:type="dxa"/>
            <w:vAlign w:val="bottom"/>
            <w:shd w:val="clear" w:color="auto" w:fill="D0EBF2"/>
          </w:tcPr>
          <w:p>
            <w:pPr>
              <w:spacing w:after="0"/>
              <w:rPr>
                <w:sz w:val="18"/>
                <w:szCs w:val="18"/>
                <w:color w:val="auto"/>
              </w:rPr>
            </w:pPr>
          </w:p>
        </w:tc>
        <w:tc>
          <w:tcPr>
            <w:tcW w:w="120" w:type="dxa"/>
            <w:vAlign w:val="bottom"/>
            <w:shd w:val="clear" w:color="auto" w:fill="D0EBF2"/>
          </w:tcPr>
          <w:p>
            <w:pPr>
              <w:spacing w:after="0"/>
              <w:rPr>
                <w:sz w:val="18"/>
                <w:szCs w:val="18"/>
                <w:color w:val="auto"/>
              </w:rPr>
            </w:pPr>
          </w:p>
        </w:tc>
        <w:tc>
          <w:tcPr>
            <w:tcW w:w="1040" w:type="dxa"/>
            <w:vAlign w:val="bottom"/>
            <w:shd w:val="clear" w:color="auto" w:fill="D0EBF2"/>
          </w:tcPr>
          <w:p>
            <w:pPr>
              <w:jc w:val="right"/>
              <w:spacing w:after="0"/>
              <w:rPr>
                <w:sz w:val="20"/>
                <w:szCs w:val="20"/>
                <w:color w:val="auto"/>
              </w:rPr>
            </w:pPr>
            <w:r>
              <w:rPr>
                <w:rFonts w:ascii="Times New Roman" w:cs="Times New Roman" w:eastAsia="Times New Roman" w:hAnsi="Times New Roman"/>
                <w:sz w:val="17"/>
                <w:szCs w:val="17"/>
                <w:color w:val="231F20"/>
              </w:rPr>
              <w:t>2,355.3</w:t>
            </w:r>
          </w:p>
        </w:tc>
        <w:tc>
          <w:tcPr>
            <w:tcW w:w="300" w:type="dxa"/>
            <w:vAlign w:val="bottom"/>
            <w:shd w:val="clear" w:color="auto" w:fill="D0EBF2"/>
          </w:tcPr>
          <w:p>
            <w:pPr>
              <w:spacing w:after="0"/>
              <w:rPr>
                <w:sz w:val="18"/>
                <w:szCs w:val="18"/>
                <w:color w:val="auto"/>
              </w:rPr>
            </w:pPr>
          </w:p>
        </w:tc>
        <w:tc>
          <w:tcPr>
            <w:tcW w:w="100" w:type="dxa"/>
            <w:vAlign w:val="bottom"/>
            <w:shd w:val="clear" w:color="auto" w:fill="D0EBF2"/>
          </w:tcPr>
          <w:p>
            <w:pPr>
              <w:spacing w:after="0"/>
              <w:rPr>
                <w:sz w:val="18"/>
                <w:szCs w:val="18"/>
                <w:color w:val="auto"/>
              </w:rPr>
            </w:pPr>
          </w:p>
        </w:tc>
        <w:tc>
          <w:tcPr>
            <w:tcW w:w="1220" w:type="dxa"/>
            <w:vAlign w:val="bottom"/>
            <w:shd w:val="clear" w:color="auto" w:fill="D0EBF2"/>
          </w:tcPr>
          <w:p>
            <w:pPr>
              <w:ind w:left="1020"/>
              <w:spacing w:after="0"/>
              <w:rPr>
                <w:sz w:val="20"/>
                <w:szCs w:val="20"/>
                <w:color w:val="auto"/>
              </w:rPr>
            </w:pPr>
            <w:r>
              <w:rPr>
                <w:rFonts w:ascii="Times New Roman" w:cs="Times New Roman" w:eastAsia="Times New Roman" w:hAnsi="Times New Roman"/>
                <w:sz w:val="17"/>
                <w:szCs w:val="17"/>
                <w:color w:val="231F20"/>
              </w:rPr>
              <w:t>—</w:t>
            </w:r>
          </w:p>
        </w:tc>
        <w:tc>
          <w:tcPr>
            <w:tcW w:w="340" w:type="dxa"/>
            <w:vAlign w:val="bottom"/>
            <w:shd w:val="clear" w:color="auto" w:fill="D0EBF2"/>
          </w:tcPr>
          <w:p>
            <w:pPr>
              <w:spacing w:after="0"/>
              <w:rPr>
                <w:sz w:val="18"/>
                <w:szCs w:val="18"/>
                <w:color w:val="auto"/>
              </w:rPr>
            </w:pPr>
          </w:p>
        </w:tc>
        <w:tc>
          <w:tcPr>
            <w:tcW w:w="1040" w:type="dxa"/>
            <w:vAlign w:val="bottom"/>
            <w:shd w:val="clear" w:color="auto" w:fill="D0EBF2"/>
          </w:tcPr>
          <w:p>
            <w:pPr>
              <w:ind w:left="720"/>
              <w:spacing w:after="0"/>
              <w:rPr>
                <w:sz w:val="20"/>
                <w:szCs w:val="20"/>
                <w:color w:val="auto"/>
              </w:rPr>
            </w:pPr>
            <w:r>
              <w:rPr>
                <w:rFonts w:ascii="Times New Roman" w:cs="Times New Roman" w:eastAsia="Times New Roman" w:hAnsi="Times New Roman"/>
                <w:sz w:val="17"/>
                <w:szCs w:val="17"/>
                <w:color w:val="231F20"/>
              </w:rPr>
              <w:t>N/A</w:t>
            </w:r>
          </w:p>
        </w:tc>
        <w:tc>
          <w:tcPr>
            <w:tcW w:w="0" w:type="dxa"/>
            <w:vAlign w:val="bottom"/>
          </w:tcPr>
          <w:p>
            <w:pPr>
              <w:spacing w:after="0"/>
              <w:rPr>
                <w:sz w:val="1"/>
                <w:szCs w:val="1"/>
                <w:color w:val="auto"/>
              </w:rPr>
            </w:pPr>
          </w:p>
        </w:tc>
      </w:tr>
      <w:tr>
        <w:trPr>
          <w:trHeight w:val="209"/>
        </w:trPr>
        <w:tc>
          <w:tcPr>
            <w:tcW w:w="2860" w:type="dxa"/>
            <w:vAlign w:val="bottom"/>
            <w:shd w:val="clear" w:color="auto" w:fill="FDFDFC"/>
          </w:tcPr>
          <w:p>
            <w:pPr>
              <w:spacing w:after="0"/>
              <w:rPr>
                <w:sz w:val="20"/>
                <w:szCs w:val="20"/>
                <w:color w:val="auto"/>
              </w:rPr>
            </w:pPr>
            <w:r>
              <w:rPr>
                <w:rFonts w:ascii="Times New Roman" w:cs="Times New Roman" w:eastAsia="Times New Roman" w:hAnsi="Times New Roman"/>
                <w:sz w:val="17"/>
                <w:szCs w:val="17"/>
                <w:b w:val="1"/>
                <w:bCs w:val="1"/>
                <w:color w:val="231F20"/>
              </w:rPr>
              <w:t>2023 Notes</w:t>
            </w:r>
          </w:p>
        </w:tc>
        <w:tc>
          <w:tcPr>
            <w:tcW w:w="180" w:type="dxa"/>
            <w:vAlign w:val="bottom"/>
            <w:shd w:val="clear" w:color="auto" w:fill="FDFDFC"/>
          </w:tcPr>
          <w:p>
            <w:pPr>
              <w:spacing w:after="0"/>
              <w:rPr>
                <w:sz w:val="18"/>
                <w:szCs w:val="18"/>
                <w:color w:val="auto"/>
              </w:rPr>
            </w:pPr>
          </w:p>
        </w:tc>
        <w:tc>
          <w:tcPr>
            <w:tcW w:w="380" w:type="dxa"/>
            <w:vAlign w:val="bottom"/>
            <w:shd w:val="clear" w:color="auto" w:fill="FDFDFC"/>
          </w:tcPr>
          <w:p>
            <w:pPr>
              <w:spacing w:after="0"/>
              <w:rPr>
                <w:sz w:val="18"/>
                <w:szCs w:val="18"/>
                <w:color w:val="auto"/>
              </w:rPr>
            </w:pPr>
          </w:p>
        </w:tc>
        <w:tc>
          <w:tcPr>
            <w:tcW w:w="1100" w:type="dxa"/>
            <w:vAlign w:val="bottom"/>
            <w:shd w:val="clear" w:color="auto" w:fill="FDFDFC"/>
          </w:tcPr>
          <w:p>
            <w:pPr>
              <w:spacing w:after="0"/>
              <w:rPr>
                <w:sz w:val="18"/>
                <w:szCs w:val="18"/>
                <w:color w:val="auto"/>
              </w:rPr>
            </w:pPr>
          </w:p>
        </w:tc>
        <w:tc>
          <w:tcPr>
            <w:tcW w:w="280" w:type="dxa"/>
            <w:vAlign w:val="bottom"/>
            <w:shd w:val="clear" w:color="auto" w:fill="FDFDFC"/>
          </w:tcPr>
          <w:p>
            <w:pPr>
              <w:spacing w:after="0"/>
              <w:rPr>
                <w:sz w:val="18"/>
                <w:szCs w:val="18"/>
                <w:color w:val="auto"/>
              </w:rPr>
            </w:pPr>
          </w:p>
        </w:tc>
        <w:tc>
          <w:tcPr>
            <w:tcW w:w="120" w:type="dxa"/>
            <w:vAlign w:val="bottom"/>
            <w:shd w:val="clear" w:color="auto" w:fill="FDFDFC"/>
          </w:tcPr>
          <w:p>
            <w:pPr>
              <w:spacing w:after="0"/>
              <w:rPr>
                <w:sz w:val="18"/>
                <w:szCs w:val="18"/>
                <w:color w:val="auto"/>
              </w:rPr>
            </w:pPr>
          </w:p>
        </w:tc>
        <w:tc>
          <w:tcPr>
            <w:tcW w:w="1040" w:type="dxa"/>
            <w:vAlign w:val="bottom"/>
            <w:shd w:val="clear" w:color="auto" w:fill="FDFDFC"/>
          </w:tcPr>
          <w:p>
            <w:pPr>
              <w:spacing w:after="0"/>
              <w:rPr>
                <w:sz w:val="18"/>
                <w:szCs w:val="18"/>
                <w:color w:val="auto"/>
              </w:rPr>
            </w:pPr>
          </w:p>
        </w:tc>
        <w:tc>
          <w:tcPr>
            <w:tcW w:w="300" w:type="dxa"/>
            <w:vAlign w:val="bottom"/>
            <w:shd w:val="clear" w:color="auto" w:fill="FDFDFC"/>
          </w:tcPr>
          <w:p>
            <w:pPr>
              <w:spacing w:after="0"/>
              <w:rPr>
                <w:sz w:val="18"/>
                <w:szCs w:val="18"/>
                <w:color w:val="auto"/>
              </w:rPr>
            </w:pPr>
          </w:p>
        </w:tc>
        <w:tc>
          <w:tcPr>
            <w:tcW w:w="100" w:type="dxa"/>
            <w:vAlign w:val="bottom"/>
            <w:shd w:val="clear" w:color="auto" w:fill="FDFDFC"/>
          </w:tcPr>
          <w:p>
            <w:pPr>
              <w:spacing w:after="0"/>
              <w:rPr>
                <w:sz w:val="18"/>
                <w:szCs w:val="18"/>
                <w:color w:val="auto"/>
              </w:rPr>
            </w:pPr>
          </w:p>
        </w:tc>
        <w:tc>
          <w:tcPr>
            <w:tcW w:w="1220" w:type="dxa"/>
            <w:vAlign w:val="bottom"/>
            <w:shd w:val="clear" w:color="auto" w:fill="FDFDFC"/>
          </w:tcPr>
          <w:p>
            <w:pPr>
              <w:spacing w:after="0"/>
              <w:rPr>
                <w:sz w:val="18"/>
                <w:szCs w:val="18"/>
                <w:color w:val="auto"/>
              </w:rPr>
            </w:pPr>
          </w:p>
        </w:tc>
        <w:tc>
          <w:tcPr>
            <w:tcW w:w="340" w:type="dxa"/>
            <w:vAlign w:val="bottom"/>
            <w:shd w:val="clear" w:color="auto" w:fill="FDFDFC"/>
          </w:tcPr>
          <w:p>
            <w:pPr>
              <w:spacing w:after="0"/>
              <w:rPr>
                <w:sz w:val="18"/>
                <w:szCs w:val="18"/>
                <w:color w:val="auto"/>
              </w:rPr>
            </w:pPr>
          </w:p>
        </w:tc>
        <w:tc>
          <w:tcPr>
            <w:tcW w:w="1040" w:type="dxa"/>
            <w:vAlign w:val="bottom"/>
            <w:shd w:val="clear" w:color="auto" w:fill="FDFD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860" w:type="dxa"/>
            <w:vAlign w:val="bottom"/>
            <w:shd w:val="clear" w:color="auto" w:fill="D0EBF2"/>
          </w:tcPr>
          <w:p>
            <w:pPr>
              <w:spacing w:after="0"/>
              <w:rPr>
                <w:sz w:val="20"/>
                <w:szCs w:val="20"/>
                <w:color w:val="auto"/>
              </w:rPr>
            </w:pPr>
            <w:r>
              <w:rPr>
                <w:rFonts w:ascii="Times New Roman" w:cs="Times New Roman" w:eastAsia="Times New Roman" w:hAnsi="Times New Roman"/>
                <w:sz w:val="17"/>
                <w:szCs w:val="17"/>
                <w:color w:val="231F20"/>
              </w:rPr>
              <w:t>December 31, 2024</w:t>
            </w:r>
          </w:p>
        </w:tc>
        <w:tc>
          <w:tcPr>
            <w:tcW w:w="560" w:type="dxa"/>
            <w:vAlign w:val="bottom"/>
            <w:gridSpan w:val="2"/>
            <w:shd w:val="clear" w:color="auto" w:fill="D0EBF2"/>
          </w:tcPr>
          <w:p>
            <w:pPr>
              <w:jc w:val="right"/>
              <w:ind w:right="195"/>
              <w:spacing w:after="0"/>
              <w:rPr>
                <w:sz w:val="20"/>
                <w:szCs w:val="20"/>
                <w:color w:val="auto"/>
              </w:rPr>
            </w:pPr>
            <w:r>
              <w:rPr>
                <w:rFonts w:ascii="Times New Roman" w:cs="Times New Roman" w:eastAsia="Times New Roman" w:hAnsi="Times New Roman"/>
                <w:sz w:val="17"/>
                <w:szCs w:val="17"/>
                <w:color w:val="231F20"/>
              </w:rPr>
              <w:t>$</w:t>
            </w:r>
          </w:p>
        </w:tc>
        <w:tc>
          <w:tcPr>
            <w:tcW w:w="1100" w:type="dxa"/>
            <w:vAlign w:val="bottom"/>
            <w:shd w:val="clear" w:color="auto" w:fill="D0EBF2"/>
          </w:tcPr>
          <w:p>
            <w:pPr>
              <w:jc w:val="right"/>
              <w:spacing w:after="0"/>
              <w:rPr>
                <w:sz w:val="20"/>
                <w:szCs w:val="20"/>
                <w:color w:val="auto"/>
              </w:rPr>
            </w:pPr>
            <w:r>
              <w:rPr>
                <w:rFonts w:ascii="Times New Roman" w:cs="Times New Roman" w:eastAsia="Times New Roman" w:hAnsi="Times New Roman"/>
                <w:sz w:val="17"/>
                <w:szCs w:val="17"/>
                <w:color w:val="231F20"/>
              </w:rPr>
              <w:t>—</w:t>
            </w:r>
          </w:p>
        </w:tc>
        <w:tc>
          <w:tcPr>
            <w:tcW w:w="400" w:type="dxa"/>
            <w:vAlign w:val="bottom"/>
            <w:gridSpan w:val="2"/>
            <w:shd w:val="clear" w:color="auto" w:fill="D0EBF2"/>
          </w:tcPr>
          <w:p>
            <w:pPr>
              <w:ind w:left="280"/>
              <w:spacing w:after="0"/>
              <w:rPr>
                <w:sz w:val="20"/>
                <w:szCs w:val="20"/>
                <w:color w:val="auto"/>
              </w:rPr>
            </w:pPr>
            <w:r>
              <w:rPr>
                <w:rFonts w:ascii="Times New Roman" w:cs="Times New Roman" w:eastAsia="Times New Roman" w:hAnsi="Times New Roman"/>
                <w:sz w:val="17"/>
                <w:szCs w:val="17"/>
                <w:color w:val="231F20"/>
              </w:rPr>
              <w:t>$</w:t>
            </w:r>
          </w:p>
        </w:tc>
        <w:tc>
          <w:tcPr>
            <w:tcW w:w="1040" w:type="dxa"/>
            <w:vAlign w:val="bottom"/>
            <w:shd w:val="clear" w:color="auto" w:fill="D0EBF2"/>
          </w:tcPr>
          <w:p>
            <w:pPr>
              <w:jc w:val="right"/>
              <w:spacing w:after="0"/>
              <w:rPr>
                <w:sz w:val="20"/>
                <w:szCs w:val="20"/>
                <w:color w:val="auto"/>
              </w:rPr>
            </w:pPr>
            <w:r>
              <w:rPr>
                <w:rFonts w:ascii="Times New Roman" w:cs="Times New Roman" w:eastAsia="Times New Roman" w:hAnsi="Times New Roman"/>
                <w:sz w:val="17"/>
                <w:szCs w:val="17"/>
                <w:color w:val="231F20"/>
              </w:rPr>
              <w:t>—</w:t>
            </w:r>
          </w:p>
        </w:tc>
        <w:tc>
          <w:tcPr>
            <w:tcW w:w="400" w:type="dxa"/>
            <w:vAlign w:val="bottom"/>
            <w:gridSpan w:val="2"/>
            <w:shd w:val="clear" w:color="auto" w:fill="D0EBF2"/>
          </w:tcPr>
          <w:p>
            <w:pPr>
              <w:jc w:val="right"/>
              <w:spacing w:after="0"/>
              <w:rPr>
                <w:sz w:val="20"/>
                <w:szCs w:val="20"/>
                <w:color w:val="auto"/>
              </w:rPr>
            </w:pPr>
            <w:r>
              <w:rPr>
                <w:rFonts w:ascii="Times New Roman" w:cs="Times New Roman" w:eastAsia="Times New Roman" w:hAnsi="Times New Roman"/>
                <w:sz w:val="17"/>
                <w:szCs w:val="17"/>
                <w:color w:val="231F20"/>
              </w:rPr>
              <w:t>$</w:t>
            </w:r>
          </w:p>
        </w:tc>
        <w:tc>
          <w:tcPr>
            <w:tcW w:w="1220" w:type="dxa"/>
            <w:vAlign w:val="bottom"/>
            <w:shd w:val="clear" w:color="auto" w:fill="D0EBF2"/>
          </w:tcPr>
          <w:p>
            <w:pPr>
              <w:ind w:left="1020"/>
              <w:spacing w:after="0"/>
              <w:rPr>
                <w:sz w:val="20"/>
                <w:szCs w:val="20"/>
                <w:color w:val="auto"/>
              </w:rPr>
            </w:pPr>
            <w:r>
              <w:rPr>
                <w:rFonts w:ascii="Times New Roman" w:cs="Times New Roman" w:eastAsia="Times New Roman" w:hAnsi="Times New Roman"/>
                <w:sz w:val="17"/>
                <w:szCs w:val="17"/>
                <w:color w:val="231F20"/>
              </w:rPr>
              <w:t>—</w:t>
            </w:r>
          </w:p>
        </w:tc>
        <w:tc>
          <w:tcPr>
            <w:tcW w:w="340" w:type="dxa"/>
            <w:vAlign w:val="bottom"/>
            <w:shd w:val="clear" w:color="auto" w:fill="D0EBF2"/>
          </w:tcPr>
          <w:p>
            <w:pPr>
              <w:spacing w:after="0"/>
              <w:rPr>
                <w:sz w:val="18"/>
                <w:szCs w:val="18"/>
                <w:color w:val="auto"/>
              </w:rPr>
            </w:pPr>
          </w:p>
        </w:tc>
        <w:tc>
          <w:tcPr>
            <w:tcW w:w="1040" w:type="dxa"/>
            <w:vAlign w:val="bottom"/>
            <w:shd w:val="clear" w:color="auto" w:fill="D0EBF2"/>
          </w:tcPr>
          <w:p>
            <w:pPr>
              <w:ind w:left="720"/>
              <w:spacing w:after="0"/>
              <w:rPr>
                <w:sz w:val="20"/>
                <w:szCs w:val="20"/>
                <w:color w:val="auto"/>
              </w:rPr>
            </w:pPr>
            <w:r>
              <w:rPr>
                <w:rFonts w:ascii="Times New Roman" w:cs="Times New Roman" w:eastAsia="Times New Roman" w:hAnsi="Times New Roman"/>
                <w:sz w:val="17"/>
                <w:szCs w:val="17"/>
                <w:color w:val="231F20"/>
              </w:rPr>
              <w:t>N/A</w:t>
            </w:r>
          </w:p>
        </w:tc>
        <w:tc>
          <w:tcPr>
            <w:tcW w:w="0" w:type="dxa"/>
            <w:vAlign w:val="bottom"/>
          </w:tcPr>
          <w:p>
            <w:pPr>
              <w:spacing w:after="0"/>
              <w:rPr>
                <w:sz w:val="1"/>
                <w:szCs w:val="1"/>
                <w:color w:val="auto"/>
              </w:rPr>
            </w:pPr>
          </w:p>
        </w:tc>
      </w:tr>
      <w:tr>
        <w:trPr>
          <w:trHeight w:val="209"/>
        </w:trPr>
        <w:tc>
          <w:tcPr>
            <w:tcW w:w="2860" w:type="dxa"/>
            <w:vAlign w:val="bottom"/>
            <w:shd w:val="clear" w:color="auto" w:fill="FDFDFC"/>
          </w:tcPr>
          <w:p>
            <w:pPr>
              <w:spacing w:after="0"/>
              <w:rPr>
                <w:sz w:val="20"/>
                <w:szCs w:val="20"/>
                <w:color w:val="auto"/>
              </w:rPr>
            </w:pPr>
            <w:r>
              <w:rPr>
                <w:rFonts w:ascii="Times New Roman" w:cs="Times New Roman" w:eastAsia="Times New Roman" w:hAnsi="Times New Roman"/>
                <w:sz w:val="17"/>
                <w:szCs w:val="17"/>
                <w:color w:val="231F20"/>
              </w:rPr>
              <w:t>December 31, 2023</w:t>
            </w:r>
          </w:p>
        </w:tc>
        <w:tc>
          <w:tcPr>
            <w:tcW w:w="180" w:type="dxa"/>
            <w:vAlign w:val="bottom"/>
            <w:shd w:val="clear" w:color="auto" w:fill="FDFDFC"/>
          </w:tcPr>
          <w:p>
            <w:pPr>
              <w:spacing w:after="0"/>
              <w:rPr>
                <w:sz w:val="18"/>
                <w:szCs w:val="18"/>
                <w:color w:val="auto"/>
              </w:rPr>
            </w:pPr>
          </w:p>
        </w:tc>
        <w:tc>
          <w:tcPr>
            <w:tcW w:w="380" w:type="dxa"/>
            <w:vAlign w:val="bottom"/>
            <w:shd w:val="clear" w:color="auto" w:fill="FDFDFC"/>
          </w:tcPr>
          <w:p>
            <w:pPr>
              <w:spacing w:after="0"/>
              <w:rPr>
                <w:sz w:val="18"/>
                <w:szCs w:val="18"/>
                <w:color w:val="auto"/>
              </w:rPr>
            </w:pPr>
          </w:p>
        </w:tc>
        <w:tc>
          <w:tcPr>
            <w:tcW w:w="1100" w:type="dxa"/>
            <w:vAlign w:val="bottom"/>
            <w:shd w:val="clear" w:color="auto" w:fill="FDFDFC"/>
          </w:tcPr>
          <w:p>
            <w:pPr>
              <w:jc w:val="right"/>
              <w:spacing w:after="0"/>
              <w:rPr>
                <w:sz w:val="20"/>
                <w:szCs w:val="20"/>
                <w:color w:val="auto"/>
              </w:rPr>
            </w:pPr>
            <w:r>
              <w:rPr>
                <w:rFonts w:ascii="Times New Roman" w:cs="Times New Roman" w:eastAsia="Times New Roman" w:hAnsi="Times New Roman"/>
                <w:sz w:val="17"/>
                <w:szCs w:val="17"/>
                <w:color w:val="231F20"/>
              </w:rPr>
              <w:t>—</w:t>
            </w:r>
          </w:p>
        </w:tc>
        <w:tc>
          <w:tcPr>
            <w:tcW w:w="280" w:type="dxa"/>
            <w:vAlign w:val="bottom"/>
            <w:shd w:val="clear" w:color="auto" w:fill="FDFDFC"/>
          </w:tcPr>
          <w:p>
            <w:pPr>
              <w:spacing w:after="0"/>
              <w:rPr>
                <w:sz w:val="18"/>
                <w:szCs w:val="18"/>
                <w:color w:val="auto"/>
              </w:rPr>
            </w:pPr>
          </w:p>
        </w:tc>
        <w:tc>
          <w:tcPr>
            <w:tcW w:w="120" w:type="dxa"/>
            <w:vAlign w:val="bottom"/>
            <w:shd w:val="clear" w:color="auto" w:fill="FDFDFC"/>
          </w:tcPr>
          <w:p>
            <w:pPr>
              <w:spacing w:after="0"/>
              <w:rPr>
                <w:sz w:val="18"/>
                <w:szCs w:val="18"/>
                <w:color w:val="auto"/>
              </w:rPr>
            </w:pPr>
          </w:p>
        </w:tc>
        <w:tc>
          <w:tcPr>
            <w:tcW w:w="1040" w:type="dxa"/>
            <w:vAlign w:val="bottom"/>
            <w:shd w:val="clear" w:color="auto" w:fill="FDFDFC"/>
          </w:tcPr>
          <w:p>
            <w:pPr>
              <w:jc w:val="right"/>
              <w:spacing w:after="0"/>
              <w:rPr>
                <w:sz w:val="20"/>
                <w:szCs w:val="20"/>
                <w:color w:val="auto"/>
              </w:rPr>
            </w:pPr>
            <w:r>
              <w:rPr>
                <w:rFonts w:ascii="Times New Roman" w:cs="Times New Roman" w:eastAsia="Times New Roman" w:hAnsi="Times New Roman"/>
                <w:sz w:val="17"/>
                <w:szCs w:val="17"/>
                <w:color w:val="231F20"/>
              </w:rPr>
              <w:t>—</w:t>
            </w:r>
          </w:p>
        </w:tc>
        <w:tc>
          <w:tcPr>
            <w:tcW w:w="300" w:type="dxa"/>
            <w:vAlign w:val="bottom"/>
            <w:shd w:val="clear" w:color="auto" w:fill="FDFDFC"/>
          </w:tcPr>
          <w:p>
            <w:pPr>
              <w:spacing w:after="0"/>
              <w:rPr>
                <w:sz w:val="18"/>
                <w:szCs w:val="18"/>
                <w:color w:val="auto"/>
              </w:rPr>
            </w:pPr>
          </w:p>
        </w:tc>
        <w:tc>
          <w:tcPr>
            <w:tcW w:w="100" w:type="dxa"/>
            <w:vAlign w:val="bottom"/>
            <w:shd w:val="clear" w:color="auto" w:fill="FDFDFC"/>
          </w:tcPr>
          <w:p>
            <w:pPr>
              <w:spacing w:after="0"/>
              <w:rPr>
                <w:sz w:val="18"/>
                <w:szCs w:val="18"/>
                <w:color w:val="auto"/>
              </w:rPr>
            </w:pPr>
          </w:p>
        </w:tc>
        <w:tc>
          <w:tcPr>
            <w:tcW w:w="1220" w:type="dxa"/>
            <w:vAlign w:val="bottom"/>
            <w:shd w:val="clear" w:color="auto" w:fill="FDFDFC"/>
          </w:tcPr>
          <w:p>
            <w:pPr>
              <w:ind w:left="1020"/>
              <w:spacing w:after="0"/>
              <w:rPr>
                <w:sz w:val="20"/>
                <w:szCs w:val="20"/>
                <w:color w:val="auto"/>
              </w:rPr>
            </w:pPr>
            <w:r>
              <w:rPr>
                <w:rFonts w:ascii="Times New Roman" w:cs="Times New Roman" w:eastAsia="Times New Roman" w:hAnsi="Times New Roman"/>
                <w:sz w:val="17"/>
                <w:szCs w:val="17"/>
                <w:color w:val="231F20"/>
              </w:rPr>
              <w:t>—</w:t>
            </w:r>
          </w:p>
        </w:tc>
        <w:tc>
          <w:tcPr>
            <w:tcW w:w="340" w:type="dxa"/>
            <w:vAlign w:val="bottom"/>
            <w:shd w:val="clear" w:color="auto" w:fill="FDFDFC"/>
          </w:tcPr>
          <w:p>
            <w:pPr>
              <w:spacing w:after="0"/>
              <w:rPr>
                <w:sz w:val="18"/>
                <w:szCs w:val="18"/>
                <w:color w:val="auto"/>
              </w:rPr>
            </w:pPr>
          </w:p>
        </w:tc>
        <w:tc>
          <w:tcPr>
            <w:tcW w:w="1040" w:type="dxa"/>
            <w:vAlign w:val="bottom"/>
            <w:shd w:val="clear" w:color="auto" w:fill="FDFDFC"/>
          </w:tcPr>
          <w:p>
            <w:pPr>
              <w:ind w:left="720"/>
              <w:spacing w:after="0"/>
              <w:rPr>
                <w:sz w:val="20"/>
                <w:szCs w:val="20"/>
                <w:color w:val="auto"/>
              </w:rPr>
            </w:pPr>
            <w:r>
              <w:rPr>
                <w:rFonts w:ascii="Times New Roman" w:cs="Times New Roman" w:eastAsia="Times New Roman" w:hAnsi="Times New Roman"/>
                <w:sz w:val="17"/>
                <w:szCs w:val="17"/>
                <w:color w:val="231F20"/>
              </w:rPr>
              <w:t>N/A</w:t>
            </w:r>
          </w:p>
        </w:tc>
        <w:tc>
          <w:tcPr>
            <w:tcW w:w="0" w:type="dxa"/>
            <w:vAlign w:val="bottom"/>
          </w:tcPr>
          <w:p>
            <w:pPr>
              <w:spacing w:after="0"/>
              <w:rPr>
                <w:sz w:val="1"/>
                <w:szCs w:val="1"/>
                <w:color w:val="auto"/>
              </w:rPr>
            </w:pPr>
          </w:p>
        </w:tc>
      </w:tr>
      <w:tr>
        <w:trPr>
          <w:trHeight w:val="209"/>
        </w:trPr>
        <w:tc>
          <w:tcPr>
            <w:tcW w:w="2860" w:type="dxa"/>
            <w:vAlign w:val="bottom"/>
            <w:shd w:val="clear" w:color="auto" w:fill="D0EBF2"/>
          </w:tcPr>
          <w:p>
            <w:pPr>
              <w:spacing w:after="0"/>
              <w:rPr>
                <w:sz w:val="20"/>
                <w:szCs w:val="20"/>
                <w:color w:val="auto"/>
              </w:rPr>
            </w:pPr>
            <w:r>
              <w:rPr>
                <w:rFonts w:ascii="Times New Roman" w:cs="Times New Roman" w:eastAsia="Times New Roman" w:hAnsi="Times New Roman"/>
                <w:sz w:val="17"/>
                <w:szCs w:val="17"/>
                <w:color w:val="231F20"/>
              </w:rPr>
              <w:t>December 31, 2022</w:t>
            </w:r>
          </w:p>
        </w:tc>
        <w:tc>
          <w:tcPr>
            <w:tcW w:w="180" w:type="dxa"/>
            <w:vAlign w:val="bottom"/>
            <w:shd w:val="clear" w:color="auto" w:fill="D0EBF2"/>
          </w:tcPr>
          <w:p>
            <w:pPr>
              <w:spacing w:after="0"/>
              <w:rPr>
                <w:sz w:val="18"/>
                <w:szCs w:val="18"/>
                <w:color w:val="auto"/>
              </w:rPr>
            </w:pPr>
          </w:p>
        </w:tc>
        <w:tc>
          <w:tcPr>
            <w:tcW w:w="380" w:type="dxa"/>
            <w:vAlign w:val="bottom"/>
            <w:shd w:val="clear" w:color="auto" w:fill="D0EBF2"/>
          </w:tcPr>
          <w:p>
            <w:pPr>
              <w:spacing w:after="0"/>
              <w:rPr>
                <w:sz w:val="18"/>
                <w:szCs w:val="18"/>
                <w:color w:val="auto"/>
              </w:rPr>
            </w:pPr>
          </w:p>
        </w:tc>
        <w:tc>
          <w:tcPr>
            <w:tcW w:w="1100" w:type="dxa"/>
            <w:vAlign w:val="bottom"/>
            <w:shd w:val="clear" w:color="auto" w:fill="D0EBF2"/>
          </w:tcPr>
          <w:p>
            <w:pPr>
              <w:jc w:val="right"/>
              <w:spacing w:after="0"/>
              <w:rPr>
                <w:sz w:val="20"/>
                <w:szCs w:val="20"/>
                <w:color w:val="auto"/>
              </w:rPr>
            </w:pPr>
            <w:r>
              <w:rPr>
                <w:rFonts w:ascii="Times New Roman" w:cs="Times New Roman" w:eastAsia="Times New Roman" w:hAnsi="Times New Roman"/>
                <w:sz w:val="17"/>
                <w:szCs w:val="17"/>
                <w:color w:val="231F20"/>
              </w:rPr>
              <w:t>150.0</w:t>
            </w:r>
          </w:p>
        </w:tc>
        <w:tc>
          <w:tcPr>
            <w:tcW w:w="280" w:type="dxa"/>
            <w:vAlign w:val="bottom"/>
            <w:shd w:val="clear" w:color="auto" w:fill="D0EBF2"/>
          </w:tcPr>
          <w:p>
            <w:pPr>
              <w:spacing w:after="0"/>
              <w:rPr>
                <w:sz w:val="18"/>
                <w:szCs w:val="18"/>
                <w:color w:val="auto"/>
              </w:rPr>
            </w:pPr>
          </w:p>
        </w:tc>
        <w:tc>
          <w:tcPr>
            <w:tcW w:w="120" w:type="dxa"/>
            <w:vAlign w:val="bottom"/>
            <w:shd w:val="clear" w:color="auto" w:fill="D0EBF2"/>
          </w:tcPr>
          <w:p>
            <w:pPr>
              <w:spacing w:after="0"/>
              <w:rPr>
                <w:sz w:val="18"/>
                <w:szCs w:val="18"/>
                <w:color w:val="auto"/>
              </w:rPr>
            </w:pPr>
          </w:p>
        </w:tc>
        <w:tc>
          <w:tcPr>
            <w:tcW w:w="1040" w:type="dxa"/>
            <w:vAlign w:val="bottom"/>
            <w:shd w:val="clear" w:color="auto" w:fill="D0EBF2"/>
          </w:tcPr>
          <w:p>
            <w:pPr>
              <w:jc w:val="right"/>
              <w:spacing w:after="0"/>
              <w:rPr>
                <w:sz w:val="20"/>
                <w:szCs w:val="20"/>
                <w:color w:val="auto"/>
              </w:rPr>
            </w:pPr>
            <w:r>
              <w:rPr>
                <w:rFonts w:ascii="Times New Roman" w:cs="Times New Roman" w:eastAsia="Times New Roman" w:hAnsi="Times New Roman"/>
                <w:sz w:val="17"/>
                <w:szCs w:val="17"/>
                <w:color w:val="231F20"/>
              </w:rPr>
              <w:t>1,885.7</w:t>
            </w:r>
          </w:p>
        </w:tc>
        <w:tc>
          <w:tcPr>
            <w:tcW w:w="300" w:type="dxa"/>
            <w:vAlign w:val="bottom"/>
            <w:shd w:val="clear" w:color="auto" w:fill="D0EBF2"/>
          </w:tcPr>
          <w:p>
            <w:pPr>
              <w:spacing w:after="0"/>
              <w:rPr>
                <w:sz w:val="18"/>
                <w:szCs w:val="18"/>
                <w:color w:val="auto"/>
              </w:rPr>
            </w:pPr>
          </w:p>
        </w:tc>
        <w:tc>
          <w:tcPr>
            <w:tcW w:w="100" w:type="dxa"/>
            <w:vAlign w:val="bottom"/>
            <w:shd w:val="clear" w:color="auto" w:fill="D0EBF2"/>
          </w:tcPr>
          <w:p>
            <w:pPr>
              <w:spacing w:after="0"/>
              <w:rPr>
                <w:sz w:val="18"/>
                <w:szCs w:val="18"/>
                <w:color w:val="auto"/>
              </w:rPr>
            </w:pPr>
          </w:p>
        </w:tc>
        <w:tc>
          <w:tcPr>
            <w:tcW w:w="1220" w:type="dxa"/>
            <w:vAlign w:val="bottom"/>
            <w:shd w:val="clear" w:color="auto" w:fill="D0EBF2"/>
          </w:tcPr>
          <w:p>
            <w:pPr>
              <w:ind w:left="1020"/>
              <w:spacing w:after="0"/>
              <w:rPr>
                <w:sz w:val="20"/>
                <w:szCs w:val="20"/>
                <w:color w:val="auto"/>
              </w:rPr>
            </w:pPr>
            <w:r>
              <w:rPr>
                <w:rFonts w:ascii="Times New Roman" w:cs="Times New Roman" w:eastAsia="Times New Roman" w:hAnsi="Times New Roman"/>
                <w:sz w:val="17"/>
                <w:szCs w:val="17"/>
                <w:color w:val="231F20"/>
              </w:rPr>
              <w:t>—</w:t>
            </w:r>
          </w:p>
        </w:tc>
        <w:tc>
          <w:tcPr>
            <w:tcW w:w="340" w:type="dxa"/>
            <w:vAlign w:val="bottom"/>
            <w:shd w:val="clear" w:color="auto" w:fill="D0EBF2"/>
          </w:tcPr>
          <w:p>
            <w:pPr>
              <w:spacing w:after="0"/>
              <w:rPr>
                <w:sz w:val="18"/>
                <w:szCs w:val="18"/>
                <w:color w:val="auto"/>
              </w:rPr>
            </w:pPr>
          </w:p>
        </w:tc>
        <w:tc>
          <w:tcPr>
            <w:tcW w:w="1040" w:type="dxa"/>
            <w:vAlign w:val="bottom"/>
            <w:shd w:val="clear" w:color="auto" w:fill="D0EBF2"/>
          </w:tcPr>
          <w:p>
            <w:pPr>
              <w:ind w:left="720"/>
              <w:spacing w:after="0"/>
              <w:rPr>
                <w:sz w:val="20"/>
                <w:szCs w:val="20"/>
                <w:color w:val="auto"/>
              </w:rPr>
            </w:pPr>
            <w:r>
              <w:rPr>
                <w:rFonts w:ascii="Times New Roman" w:cs="Times New Roman" w:eastAsia="Times New Roman" w:hAnsi="Times New Roman"/>
                <w:sz w:val="17"/>
                <w:szCs w:val="17"/>
                <w:color w:val="231F20"/>
              </w:rPr>
              <w:t>N/A</w:t>
            </w:r>
          </w:p>
        </w:tc>
        <w:tc>
          <w:tcPr>
            <w:tcW w:w="0" w:type="dxa"/>
            <w:vAlign w:val="bottom"/>
          </w:tcPr>
          <w:p>
            <w:pPr>
              <w:spacing w:after="0"/>
              <w:rPr>
                <w:sz w:val="1"/>
                <w:szCs w:val="1"/>
                <w:color w:val="auto"/>
              </w:rPr>
            </w:pPr>
          </w:p>
        </w:tc>
      </w:tr>
      <w:tr>
        <w:trPr>
          <w:trHeight w:val="209"/>
        </w:trPr>
        <w:tc>
          <w:tcPr>
            <w:tcW w:w="2860" w:type="dxa"/>
            <w:vAlign w:val="bottom"/>
            <w:shd w:val="clear" w:color="auto" w:fill="FDFDFC"/>
          </w:tcPr>
          <w:p>
            <w:pPr>
              <w:spacing w:after="0"/>
              <w:rPr>
                <w:sz w:val="20"/>
                <w:szCs w:val="20"/>
                <w:color w:val="auto"/>
              </w:rPr>
            </w:pPr>
            <w:r>
              <w:rPr>
                <w:rFonts w:ascii="Times New Roman" w:cs="Times New Roman" w:eastAsia="Times New Roman" w:hAnsi="Times New Roman"/>
                <w:sz w:val="17"/>
                <w:szCs w:val="17"/>
                <w:color w:val="231F20"/>
              </w:rPr>
              <w:t>December 31, 2021</w:t>
            </w:r>
          </w:p>
        </w:tc>
        <w:tc>
          <w:tcPr>
            <w:tcW w:w="180" w:type="dxa"/>
            <w:vAlign w:val="bottom"/>
            <w:shd w:val="clear" w:color="auto" w:fill="FDFDFC"/>
          </w:tcPr>
          <w:p>
            <w:pPr>
              <w:spacing w:after="0"/>
              <w:rPr>
                <w:sz w:val="18"/>
                <w:szCs w:val="18"/>
                <w:color w:val="auto"/>
              </w:rPr>
            </w:pPr>
          </w:p>
        </w:tc>
        <w:tc>
          <w:tcPr>
            <w:tcW w:w="380" w:type="dxa"/>
            <w:vAlign w:val="bottom"/>
            <w:shd w:val="clear" w:color="auto" w:fill="FDFDFC"/>
          </w:tcPr>
          <w:p>
            <w:pPr>
              <w:spacing w:after="0"/>
              <w:rPr>
                <w:sz w:val="18"/>
                <w:szCs w:val="18"/>
                <w:color w:val="auto"/>
              </w:rPr>
            </w:pPr>
          </w:p>
        </w:tc>
        <w:tc>
          <w:tcPr>
            <w:tcW w:w="1100" w:type="dxa"/>
            <w:vAlign w:val="bottom"/>
            <w:shd w:val="clear" w:color="auto" w:fill="FDFDFC"/>
          </w:tcPr>
          <w:p>
            <w:pPr>
              <w:jc w:val="right"/>
              <w:spacing w:after="0"/>
              <w:rPr>
                <w:sz w:val="20"/>
                <w:szCs w:val="20"/>
                <w:color w:val="auto"/>
              </w:rPr>
            </w:pPr>
            <w:r>
              <w:rPr>
                <w:rFonts w:ascii="Times New Roman" w:cs="Times New Roman" w:eastAsia="Times New Roman" w:hAnsi="Times New Roman"/>
                <w:sz w:val="17"/>
                <w:szCs w:val="17"/>
                <w:color w:val="231F20"/>
              </w:rPr>
              <w:t>150.0</w:t>
            </w:r>
          </w:p>
        </w:tc>
        <w:tc>
          <w:tcPr>
            <w:tcW w:w="280" w:type="dxa"/>
            <w:vAlign w:val="bottom"/>
            <w:shd w:val="clear" w:color="auto" w:fill="FDFDFC"/>
          </w:tcPr>
          <w:p>
            <w:pPr>
              <w:spacing w:after="0"/>
              <w:rPr>
                <w:sz w:val="18"/>
                <w:szCs w:val="18"/>
                <w:color w:val="auto"/>
              </w:rPr>
            </w:pPr>
          </w:p>
        </w:tc>
        <w:tc>
          <w:tcPr>
            <w:tcW w:w="120" w:type="dxa"/>
            <w:vAlign w:val="bottom"/>
            <w:shd w:val="clear" w:color="auto" w:fill="FDFDFC"/>
          </w:tcPr>
          <w:p>
            <w:pPr>
              <w:spacing w:after="0"/>
              <w:rPr>
                <w:sz w:val="18"/>
                <w:szCs w:val="18"/>
                <w:color w:val="auto"/>
              </w:rPr>
            </w:pPr>
          </w:p>
        </w:tc>
        <w:tc>
          <w:tcPr>
            <w:tcW w:w="1040" w:type="dxa"/>
            <w:vAlign w:val="bottom"/>
            <w:shd w:val="clear" w:color="auto" w:fill="FDFDFC"/>
          </w:tcPr>
          <w:p>
            <w:pPr>
              <w:jc w:val="right"/>
              <w:spacing w:after="0"/>
              <w:rPr>
                <w:sz w:val="20"/>
                <w:szCs w:val="20"/>
                <w:color w:val="auto"/>
              </w:rPr>
            </w:pPr>
            <w:r>
              <w:rPr>
                <w:rFonts w:ascii="Times New Roman" w:cs="Times New Roman" w:eastAsia="Times New Roman" w:hAnsi="Times New Roman"/>
                <w:sz w:val="17"/>
                <w:szCs w:val="17"/>
                <w:color w:val="231F20"/>
              </w:rPr>
              <w:t>2,053.6</w:t>
            </w:r>
          </w:p>
        </w:tc>
        <w:tc>
          <w:tcPr>
            <w:tcW w:w="300" w:type="dxa"/>
            <w:vAlign w:val="bottom"/>
            <w:shd w:val="clear" w:color="auto" w:fill="FDFDFC"/>
          </w:tcPr>
          <w:p>
            <w:pPr>
              <w:spacing w:after="0"/>
              <w:rPr>
                <w:sz w:val="18"/>
                <w:szCs w:val="18"/>
                <w:color w:val="auto"/>
              </w:rPr>
            </w:pPr>
          </w:p>
        </w:tc>
        <w:tc>
          <w:tcPr>
            <w:tcW w:w="100" w:type="dxa"/>
            <w:vAlign w:val="bottom"/>
            <w:shd w:val="clear" w:color="auto" w:fill="FDFDFC"/>
          </w:tcPr>
          <w:p>
            <w:pPr>
              <w:spacing w:after="0"/>
              <w:rPr>
                <w:sz w:val="18"/>
                <w:szCs w:val="18"/>
                <w:color w:val="auto"/>
              </w:rPr>
            </w:pPr>
          </w:p>
        </w:tc>
        <w:tc>
          <w:tcPr>
            <w:tcW w:w="1220" w:type="dxa"/>
            <w:vAlign w:val="bottom"/>
            <w:shd w:val="clear" w:color="auto" w:fill="FDFDFC"/>
          </w:tcPr>
          <w:p>
            <w:pPr>
              <w:ind w:left="1020"/>
              <w:spacing w:after="0"/>
              <w:rPr>
                <w:sz w:val="20"/>
                <w:szCs w:val="20"/>
                <w:color w:val="auto"/>
              </w:rPr>
            </w:pPr>
            <w:r>
              <w:rPr>
                <w:rFonts w:ascii="Times New Roman" w:cs="Times New Roman" w:eastAsia="Times New Roman" w:hAnsi="Times New Roman"/>
                <w:sz w:val="17"/>
                <w:szCs w:val="17"/>
                <w:color w:val="231F20"/>
              </w:rPr>
              <w:t>—</w:t>
            </w:r>
          </w:p>
        </w:tc>
        <w:tc>
          <w:tcPr>
            <w:tcW w:w="340" w:type="dxa"/>
            <w:vAlign w:val="bottom"/>
            <w:shd w:val="clear" w:color="auto" w:fill="FDFDFC"/>
          </w:tcPr>
          <w:p>
            <w:pPr>
              <w:spacing w:after="0"/>
              <w:rPr>
                <w:sz w:val="18"/>
                <w:szCs w:val="18"/>
                <w:color w:val="auto"/>
              </w:rPr>
            </w:pPr>
          </w:p>
        </w:tc>
        <w:tc>
          <w:tcPr>
            <w:tcW w:w="1040" w:type="dxa"/>
            <w:vAlign w:val="bottom"/>
            <w:shd w:val="clear" w:color="auto" w:fill="FDFDFC"/>
          </w:tcPr>
          <w:p>
            <w:pPr>
              <w:ind w:left="720"/>
              <w:spacing w:after="0"/>
              <w:rPr>
                <w:sz w:val="20"/>
                <w:szCs w:val="20"/>
                <w:color w:val="auto"/>
              </w:rPr>
            </w:pPr>
            <w:r>
              <w:rPr>
                <w:rFonts w:ascii="Times New Roman" w:cs="Times New Roman" w:eastAsia="Times New Roman" w:hAnsi="Times New Roman"/>
                <w:sz w:val="17"/>
                <w:szCs w:val="17"/>
                <w:color w:val="231F20"/>
              </w:rPr>
              <w:t>N/A</w:t>
            </w:r>
          </w:p>
        </w:tc>
        <w:tc>
          <w:tcPr>
            <w:tcW w:w="0" w:type="dxa"/>
            <w:vAlign w:val="bottom"/>
          </w:tcPr>
          <w:p>
            <w:pPr>
              <w:spacing w:after="0"/>
              <w:rPr>
                <w:sz w:val="1"/>
                <w:szCs w:val="1"/>
                <w:color w:val="auto"/>
              </w:rPr>
            </w:pPr>
          </w:p>
        </w:tc>
      </w:tr>
      <w:tr>
        <w:trPr>
          <w:trHeight w:val="209"/>
        </w:trPr>
        <w:tc>
          <w:tcPr>
            <w:tcW w:w="2860" w:type="dxa"/>
            <w:vAlign w:val="bottom"/>
            <w:shd w:val="clear" w:color="auto" w:fill="D0EBF2"/>
          </w:tcPr>
          <w:p>
            <w:pPr>
              <w:spacing w:after="0"/>
              <w:rPr>
                <w:sz w:val="20"/>
                <w:szCs w:val="20"/>
                <w:color w:val="auto"/>
              </w:rPr>
            </w:pPr>
            <w:r>
              <w:rPr>
                <w:rFonts w:ascii="Times New Roman" w:cs="Times New Roman" w:eastAsia="Times New Roman" w:hAnsi="Times New Roman"/>
                <w:sz w:val="17"/>
                <w:szCs w:val="17"/>
                <w:color w:val="231F20"/>
              </w:rPr>
              <w:t>December 31, 2020</w:t>
            </w:r>
          </w:p>
        </w:tc>
        <w:tc>
          <w:tcPr>
            <w:tcW w:w="180" w:type="dxa"/>
            <w:vAlign w:val="bottom"/>
            <w:shd w:val="clear" w:color="auto" w:fill="D0EBF2"/>
          </w:tcPr>
          <w:p>
            <w:pPr>
              <w:spacing w:after="0"/>
              <w:rPr>
                <w:sz w:val="18"/>
                <w:szCs w:val="18"/>
                <w:color w:val="auto"/>
              </w:rPr>
            </w:pPr>
          </w:p>
        </w:tc>
        <w:tc>
          <w:tcPr>
            <w:tcW w:w="380" w:type="dxa"/>
            <w:vAlign w:val="bottom"/>
            <w:shd w:val="clear" w:color="auto" w:fill="D0EBF2"/>
          </w:tcPr>
          <w:p>
            <w:pPr>
              <w:spacing w:after="0"/>
              <w:rPr>
                <w:sz w:val="18"/>
                <w:szCs w:val="18"/>
                <w:color w:val="auto"/>
              </w:rPr>
            </w:pPr>
          </w:p>
        </w:tc>
        <w:tc>
          <w:tcPr>
            <w:tcW w:w="1100" w:type="dxa"/>
            <w:vAlign w:val="bottom"/>
            <w:shd w:val="clear" w:color="auto" w:fill="D0EBF2"/>
          </w:tcPr>
          <w:p>
            <w:pPr>
              <w:jc w:val="right"/>
              <w:spacing w:after="0"/>
              <w:rPr>
                <w:sz w:val="20"/>
                <w:szCs w:val="20"/>
                <w:color w:val="auto"/>
              </w:rPr>
            </w:pPr>
            <w:r>
              <w:rPr>
                <w:rFonts w:ascii="Times New Roman" w:cs="Times New Roman" w:eastAsia="Times New Roman" w:hAnsi="Times New Roman"/>
                <w:sz w:val="17"/>
                <w:szCs w:val="17"/>
                <w:color w:val="231F20"/>
              </w:rPr>
              <w:t>150.0</w:t>
            </w:r>
          </w:p>
        </w:tc>
        <w:tc>
          <w:tcPr>
            <w:tcW w:w="280" w:type="dxa"/>
            <w:vAlign w:val="bottom"/>
            <w:shd w:val="clear" w:color="auto" w:fill="D0EBF2"/>
          </w:tcPr>
          <w:p>
            <w:pPr>
              <w:spacing w:after="0"/>
              <w:rPr>
                <w:sz w:val="18"/>
                <w:szCs w:val="18"/>
                <w:color w:val="auto"/>
              </w:rPr>
            </w:pPr>
          </w:p>
        </w:tc>
        <w:tc>
          <w:tcPr>
            <w:tcW w:w="120" w:type="dxa"/>
            <w:vAlign w:val="bottom"/>
            <w:shd w:val="clear" w:color="auto" w:fill="D0EBF2"/>
          </w:tcPr>
          <w:p>
            <w:pPr>
              <w:spacing w:after="0"/>
              <w:rPr>
                <w:sz w:val="18"/>
                <w:szCs w:val="18"/>
                <w:color w:val="auto"/>
              </w:rPr>
            </w:pPr>
          </w:p>
        </w:tc>
        <w:tc>
          <w:tcPr>
            <w:tcW w:w="1040" w:type="dxa"/>
            <w:vAlign w:val="bottom"/>
            <w:shd w:val="clear" w:color="auto" w:fill="D0EBF2"/>
          </w:tcPr>
          <w:p>
            <w:pPr>
              <w:jc w:val="right"/>
              <w:spacing w:after="0"/>
              <w:rPr>
                <w:sz w:val="20"/>
                <w:szCs w:val="20"/>
                <w:color w:val="auto"/>
              </w:rPr>
            </w:pPr>
            <w:r>
              <w:rPr>
                <w:rFonts w:ascii="Times New Roman" w:cs="Times New Roman" w:eastAsia="Times New Roman" w:hAnsi="Times New Roman"/>
                <w:sz w:val="17"/>
                <w:szCs w:val="17"/>
                <w:color w:val="231F20"/>
              </w:rPr>
              <w:t>2,045.4</w:t>
            </w:r>
          </w:p>
        </w:tc>
        <w:tc>
          <w:tcPr>
            <w:tcW w:w="300" w:type="dxa"/>
            <w:vAlign w:val="bottom"/>
            <w:shd w:val="clear" w:color="auto" w:fill="D0EBF2"/>
          </w:tcPr>
          <w:p>
            <w:pPr>
              <w:spacing w:after="0"/>
              <w:rPr>
                <w:sz w:val="18"/>
                <w:szCs w:val="18"/>
                <w:color w:val="auto"/>
              </w:rPr>
            </w:pPr>
          </w:p>
        </w:tc>
        <w:tc>
          <w:tcPr>
            <w:tcW w:w="100" w:type="dxa"/>
            <w:vAlign w:val="bottom"/>
            <w:shd w:val="clear" w:color="auto" w:fill="D0EBF2"/>
          </w:tcPr>
          <w:p>
            <w:pPr>
              <w:spacing w:after="0"/>
              <w:rPr>
                <w:sz w:val="18"/>
                <w:szCs w:val="18"/>
                <w:color w:val="auto"/>
              </w:rPr>
            </w:pPr>
          </w:p>
        </w:tc>
        <w:tc>
          <w:tcPr>
            <w:tcW w:w="1220" w:type="dxa"/>
            <w:vAlign w:val="bottom"/>
            <w:shd w:val="clear" w:color="auto" w:fill="D0EBF2"/>
          </w:tcPr>
          <w:p>
            <w:pPr>
              <w:ind w:left="1020"/>
              <w:spacing w:after="0"/>
              <w:rPr>
                <w:sz w:val="20"/>
                <w:szCs w:val="20"/>
                <w:color w:val="auto"/>
              </w:rPr>
            </w:pPr>
            <w:r>
              <w:rPr>
                <w:rFonts w:ascii="Times New Roman" w:cs="Times New Roman" w:eastAsia="Times New Roman" w:hAnsi="Times New Roman"/>
                <w:sz w:val="17"/>
                <w:szCs w:val="17"/>
                <w:color w:val="231F20"/>
              </w:rPr>
              <w:t>—</w:t>
            </w:r>
          </w:p>
        </w:tc>
        <w:tc>
          <w:tcPr>
            <w:tcW w:w="340" w:type="dxa"/>
            <w:vAlign w:val="bottom"/>
            <w:shd w:val="clear" w:color="auto" w:fill="D0EBF2"/>
          </w:tcPr>
          <w:p>
            <w:pPr>
              <w:spacing w:after="0"/>
              <w:rPr>
                <w:sz w:val="18"/>
                <w:szCs w:val="18"/>
                <w:color w:val="auto"/>
              </w:rPr>
            </w:pPr>
          </w:p>
        </w:tc>
        <w:tc>
          <w:tcPr>
            <w:tcW w:w="1040" w:type="dxa"/>
            <w:vAlign w:val="bottom"/>
            <w:shd w:val="clear" w:color="auto" w:fill="D0EBF2"/>
          </w:tcPr>
          <w:p>
            <w:pPr>
              <w:ind w:left="720"/>
              <w:spacing w:after="0"/>
              <w:rPr>
                <w:sz w:val="20"/>
                <w:szCs w:val="20"/>
                <w:color w:val="auto"/>
              </w:rPr>
            </w:pPr>
            <w:r>
              <w:rPr>
                <w:rFonts w:ascii="Times New Roman" w:cs="Times New Roman" w:eastAsia="Times New Roman" w:hAnsi="Times New Roman"/>
                <w:sz w:val="17"/>
                <w:szCs w:val="17"/>
                <w:color w:val="231F20"/>
              </w:rPr>
              <w:t>N/A</w:t>
            </w:r>
          </w:p>
        </w:tc>
        <w:tc>
          <w:tcPr>
            <w:tcW w:w="0" w:type="dxa"/>
            <w:vAlign w:val="bottom"/>
          </w:tcPr>
          <w:p>
            <w:pPr>
              <w:spacing w:after="0"/>
              <w:rPr>
                <w:sz w:val="1"/>
                <w:szCs w:val="1"/>
                <w:color w:val="auto"/>
              </w:rPr>
            </w:pPr>
          </w:p>
        </w:tc>
      </w:tr>
      <w:tr>
        <w:trPr>
          <w:trHeight w:val="209"/>
        </w:trPr>
        <w:tc>
          <w:tcPr>
            <w:tcW w:w="2860" w:type="dxa"/>
            <w:vAlign w:val="bottom"/>
            <w:shd w:val="clear" w:color="auto" w:fill="FDFDFC"/>
          </w:tcPr>
          <w:p>
            <w:pPr>
              <w:spacing w:after="0"/>
              <w:rPr>
                <w:sz w:val="20"/>
                <w:szCs w:val="20"/>
                <w:color w:val="auto"/>
              </w:rPr>
            </w:pPr>
            <w:r>
              <w:rPr>
                <w:rFonts w:ascii="Times New Roman" w:cs="Times New Roman" w:eastAsia="Times New Roman" w:hAnsi="Times New Roman"/>
                <w:sz w:val="17"/>
                <w:szCs w:val="17"/>
                <w:color w:val="231F20"/>
              </w:rPr>
              <w:t>December 31, 2019</w:t>
            </w:r>
          </w:p>
        </w:tc>
        <w:tc>
          <w:tcPr>
            <w:tcW w:w="180" w:type="dxa"/>
            <w:vAlign w:val="bottom"/>
            <w:shd w:val="clear" w:color="auto" w:fill="FDFDFC"/>
          </w:tcPr>
          <w:p>
            <w:pPr>
              <w:spacing w:after="0"/>
              <w:rPr>
                <w:sz w:val="18"/>
                <w:szCs w:val="18"/>
                <w:color w:val="auto"/>
              </w:rPr>
            </w:pPr>
          </w:p>
        </w:tc>
        <w:tc>
          <w:tcPr>
            <w:tcW w:w="380" w:type="dxa"/>
            <w:vAlign w:val="bottom"/>
            <w:shd w:val="clear" w:color="auto" w:fill="FDFDFC"/>
          </w:tcPr>
          <w:p>
            <w:pPr>
              <w:spacing w:after="0"/>
              <w:rPr>
                <w:sz w:val="18"/>
                <w:szCs w:val="18"/>
                <w:color w:val="auto"/>
              </w:rPr>
            </w:pPr>
          </w:p>
        </w:tc>
        <w:tc>
          <w:tcPr>
            <w:tcW w:w="1100" w:type="dxa"/>
            <w:vAlign w:val="bottom"/>
            <w:shd w:val="clear" w:color="auto" w:fill="FDFDFC"/>
          </w:tcPr>
          <w:p>
            <w:pPr>
              <w:jc w:val="right"/>
              <w:spacing w:after="0"/>
              <w:rPr>
                <w:sz w:val="20"/>
                <w:szCs w:val="20"/>
                <w:color w:val="auto"/>
              </w:rPr>
            </w:pPr>
            <w:r>
              <w:rPr>
                <w:rFonts w:ascii="Times New Roman" w:cs="Times New Roman" w:eastAsia="Times New Roman" w:hAnsi="Times New Roman"/>
                <w:sz w:val="17"/>
                <w:szCs w:val="17"/>
                <w:color w:val="231F20"/>
              </w:rPr>
              <w:t>150.0</w:t>
            </w:r>
          </w:p>
        </w:tc>
        <w:tc>
          <w:tcPr>
            <w:tcW w:w="280" w:type="dxa"/>
            <w:vAlign w:val="bottom"/>
            <w:shd w:val="clear" w:color="auto" w:fill="FDFDFC"/>
          </w:tcPr>
          <w:p>
            <w:pPr>
              <w:spacing w:after="0"/>
              <w:rPr>
                <w:sz w:val="18"/>
                <w:szCs w:val="18"/>
                <w:color w:val="auto"/>
              </w:rPr>
            </w:pPr>
          </w:p>
        </w:tc>
        <w:tc>
          <w:tcPr>
            <w:tcW w:w="120" w:type="dxa"/>
            <w:vAlign w:val="bottom"/>
            <w:shd w:val="clear" w:color="auto" w:fill="FDFDFC"/>
          </w:tcPr>
          <w:p>
            <w:pPr>
              <w:spacing w:after="0"/>
              <w:rPr>
                <w:sz w:val="18"/>
                <w:szCs w:val="18"/>
                <w:color w:val="auto"/>
              </w:rPr>
            </w:pPr>
          </w:p>
        </w:tc>
        <w:tc>
          <w:tcPr>
            <w:tcW w:w="1040" w:type="dxa"/>
            <w:vAlign w:val="bottom"/>
            <w:shd w:val="clear" w:color="auto" w:fill="FDFDFC"/>
          </w:tcPr>
          <w:p>
            <w:pPr>
              <w:jc w:val="right"/>
              <w:spacing w:after="0"/>
              <w:rPr>
                <w:sz w:val="20"/>
                <w:szCs w:val="20"/>
                <w:color w:val="auto"/>
              </w:rPr>
            </w:pPr>
            <w:r>
              <w:rPr>
                <w:rFonts w:ascii="Times New Roman" w:cs="Times New Roman" w:eastAsia="Times New Roman" w:hAnsi="Times New Roman"/>
                <w:sz w:val="17"/>
                <w:szCs w:val="17"/>
                <w:color w:val="231F20"/>
              </w:rPr>
              <w:t>2,004.1</w:t>
            </w:r>
          </w:p>
        </w:tc>
        <w:tc>
          <w:tcPr>
            <w:tcW w:w="300" w:type="dxa"/>
            <w:vAlign w:val="bottom"/>
            <w:shd w:val="clear" w:color="auto" w:fill="FDFDFC"/>
          </w:tcPr>
          <w:p>
            <w:pPr>
              <w:spacing w:after="0"/>
              <w:rPr>
                <w:sz w:val="18"/>
                <w:szCs w:val="18"/>
                <w:color w:val="auto"/>
              </w:rPr>
            </w:pPr>
          </w:p>
        </w:tc>
        <w:tc>
          <w:tcPr>
            <w:tcW w:w="100" w:type="dxa"/>
            <w:vAlign w:val="bottom"/>
            <w:shd w:val="clear" w:color="auto" w:fill="FDFDFC"/>
          </w:tcPr>
          <w:p>
            <w:pPr>
              <w:spacing w:after="0"/>
              <w:rPr>
                <w:sz w:val="18"/>
                <w:szCs w:val="18"/>
                <w:color w:val="auto"/>
              </w:rPr>
            </w:pPr>
          </w:p>
        </w:tc>
        <w:tc>
          <w:tcPr>
            <w:tcW w:w="1220" w:type="dxa"/>
            <w:vAlign w:val="bottom"/>
            <w:shd w:val="clear" w:color="auto" w:fill="FDFDFC"/>
          </w:tcPr>
          <w:p>
            <w:pPr>
              <w:ind w:left="1020"/>
              <w:spacing w:after="0"/>
              <w:rPr>
                <w:sz w:val="20"/>
                <w:szCs w:val="20"/>
                <w:color w:val="auto"/>
              </w:rPr>
            </w:pPr>
            <w:r>
              <w:rPr>
                <w:rFonts w:ascii="Times New Roman" w:cs="Times New Roman" w:eastAsia="Times New Roman" w:hAnsi="Times New Roman"/>
                <w:sz w:val="17"/>
                <w:szCs w:val="17"/>
                <w:color w:val="231F20"/>
              </w:rPr>
              <w:t>—</w:t>
            </w:r>
          </w:p>
        </w:tc>
        <w:tc>
          <w:tcPr>
            <w:tcW w:w="340" w:type="dxa"/>
            <w:vAlign w:val="bottom"/>
            <w:shd w:val="clear" w:color="auto" w:fill="FDFDFC"/>
          </w:tcPr>
          <w:p>
            <w:pPr>
              <w:spacing w:after="0"/>
              <w:rPr>
                <w:sz w:val="18"/>
                <w:szCs w:val="18"/>
                <w:color w:val="auto"/>
              </w:rPr>
            </w:pPr>
          </w:p>
        </w:tc>
        <w:tc>
          <w:tcPr>
            <w:tcW w:w="1040" w:type="dxa"/>
            <w:vAlign w:val="bottom"/>
            <w:shd w:val="clear" w:color="auto" w:fill="FDFDFC"/>
          </w:tcPr>
          <w:p>
            <w:pPr>
              <w:ind w:left="720"/>
              <w:spacing w:after="0"/>
              <w:rPr>
                <w:sz w:val="20"/>
                <w:szCs w:val="20"/>
                <w:color w:val="auto"/>
              </w:rPr>
            </w:pPr>
            <w:r>
              <w:rPr>
                <w:rFonts w:ascii="Times New Roman" w:cs="Times New Roman" w:eastAsia="Times New Roman" w:hAnsi="Times New Roman"/>
                <w:sz w:val="17"/>
                <w:szCs w:val="17"/>
                <w:color w:val="231F20"/>
              </w:rPr>
              <w:t>N/A</w:t>
            </w:r>
          </w:p>
        </w:tc>
        <w:tc>
          <w:tcPr>
            <w:tcW w:w="0" w:type="dxa"/>
            <w:vAlign w:val="bottom"/>
          </w:tcPr>
          <w:p>
            <w:pPr>
              <w:spacing w:after="0"/>
              <w:rPr>
                <w:sz w:val="1"/>
                <w:szCs w:val="1"/>
                <w:color w:val="auto"/>
              </w:rPr>
            </w:pPr>
          </w:p>
        </w:tc>
      </w:tr>
      <w:tr>
        <w:trPr>
          <w:trHeight w:val="209"/>
        </w:trPr>
        <w:tc>
          <w:tcPr>
            <w:tcW w:w="2860" w:type="dxa"/>
            <w:vAlign w:val="bottom"/>
            <w:shd w:val="clear" w:color="auto" w:fill="D0EBF2"/>
          </w:tcPr>
          <w:p>
            <w:pPr>
              <w:spacing w:after="0"/>
              <w:rPr>
                <w:sz w:val="20"/>
                <w:szCs w:val="20"/>
                <w:color w:val="auto"/>
              </w:rPr>
            </w:pPr>
            <w:r>
              <w:rPr>
                <w:rFonts w:ascii="Times New Roman" w:cs="Times New Roman" w:eastAsia="Times New Roman" w:hAnsi="Times New Roman"/>
                <w:sz w:val="17"/>
                <w:szCs w:val="17"/>
                <w:color w:val="231F20"/>
              </w:rPr>
              <w:t>December 31, 2018</w:t>
            </w:r>
          </w:p>
        </w:tc>
        <w:tc>
          <w:tcPr>
            <w:tcW w:w="180" w:type="dxa"/>
            <w:vAlign w:val="bottom"/>
            <w:shd w:val="clear" w:color="auto" w:fill="D0EBF2"/>
          </w:tcPr>
          <w:p>
            <w:pPr>
              <w:spacing w:after="0"/>
              <w:rPr>
                <w:sz w:val="18"/>
                <w:szCs w:val="18"/>
                <w:color w:val="auto"/>
              </w:rPr>
            </w:pPr>
          </w:p>
        </w:tc>
        <w:tc>
          <w:tcPr>
            <w:tcW w:w="380" w:type="dxa"/>
            <w:vAlign w:val="bottom"/>
            <w:shd w:val="clear" w:color="auto" w:fill="D0EBF2"/>
          </w:tcPr>
          <w:p>
            <w:pPr>
              <w:spacing w:after="0"/>
              <w:rPr>
                <w:sz w:val="18"/>
                <w:szCs w:val="18"/>
                <w:color w:val="auto"/>
              </w:rPr>
            </w:pPr>
          </w:p>
        </w:tc>
        <w:tc>
          <w:tcPr>
            <w:tcW w:w="1100" w:type="dxa"/>
            <w:vAlign w:val="bottom"/>
            <w:shd w:val="clear" w:color="auto" w:fill="D0EBF2"/>
          </w:tcPr>
          <w:p>
            <w:pPr>
              <w:jc w:val="right"/>
              <w:spacing w:after="0"/>
              <w:rPr>
                <w:sz w:val="20"/>
                <w:szCs w:val="20"/>
                <w:color w:val="auto"/>
              </w:rPr>
            </w:pPr>
            <w:r>
              <w:rPr>
                <w:rFonts w:ascii="Times New Roman" w:cs="Times New Roman" w:eastAsia="Times New Roman" w:hAnsi="Times New Roman"/>
                <w:sz w:val="17"/>
                <w:szCs w:val="17"/>
                <w:color w:val="231F20"/>
              </w:rPr>
              <w:t>150.0</w:t>
            </w:r>
          </w:p>
        </w:tc>
        <w:tc>
          <w:tcPr>
            <w:tcW w:w="280" w:type="dxa"/>
            <w:vAlign w:val="bottom"/>
            <w:shd w:val="clear" w:color="auto" w:fill="D0EBF2"/>
          </w:tcPr>
          <w:p>
            <w:pPr>
              <w:spacing w:after="0"/>
              <w:rPr>
                <w:sz w:val="18"/>
                <w:szCs w:val="18"/>
                <w:color w:val="auto"/>
              </w:rPr>
            </w:pPr>
          </w:p>
        </w:tc>
        <w:tc>
          <w:tcPr>
            <w:tcW w:w="120" w:type="dxa"/>
            <w:vAlign w:val="bottom"/>
            <w:shd w:val="clear" w:color="auto" w:fill="D0EBF2"/>
          </w:tcPr>
          <w:p>
            <w:pPr>
              <w:spacing w:after="0"/>
              <w:rPr>
                <w:sz w:val="18"/>
                <w:szCs w:val="18"/>
                <w:color w:val="auto"/>
              </w:rPr>
            </w:pPr>
          </w:p>
        </w:tc>
        <w:tc>
          <w:tcPr>
            <w:tcW w:w="1040" w:type="dxa"/>
            <w:vAlign w:val="bottom"/>
            <w:shd w:val="clear" w:color="auto" w:fill="D0EBF2"/>
          </w:tcPr>
          <w:p>
            <w:pPr>
              <w:jc w:val="right"/>
              <w:spacing w:after="0"/>
              <w:rPr>
                <w:sz w:val="20"/>
                <w:szCs w:val="20"/>
                <w:color w:val="auto"/>
              </w:rPr>
            </w:pPr>
            <w:r>
              <w:rPr>
                <w:rFonts w:ascii="Times New Roman" w:cs="Times New Roman" w:eastAsia="Times New Roman" w:hAnsi="Times New Roman"/>
                <w:sz w:val="17"/>
                <w:szCs w:val="17"/>
                <w:color w:val="231F20"/>
              </w:rPr>
              <w:t>2,705.2</w:t>
            </w:r>
          </w:p>
        </w:tc>
        <w:tc>
          <w:tcPr>
            <w:tcW w:w="300" w:type="dxa"/>
            <w:vAlign w:val="bottom"/>
            <w:shd w:val="clear" w:color="auto" w:fill="D0EBF2"/>
          </w:tcPr>
          <w:p>
            <w:pPr>
              <w:spacing w:after="0"/>
              <w:rPr>
                <w:sz w:val="18"/>
                <w:szCs w:val="18"/>
                <w:color w:val="auto"/>
              </w:rPr>
            </w:pPr>
          </w:p>
        </w:tc>
        <w:tc>
          <w:tcPr>
            <w:tcW w:w="100" w:type="dxa"/>
            <w:vAlign w:val="bottom"/>
            <w:shd w:val="clear" w:color="auto" w:fill="D0EBF2"/>
          </w:tcPr>
          <w:p>
            <w:pPr>
              <w:spacing w:after="0"/>
              <w:rPr>
                <w:sz w:val="18"/>
                <w:szCs w:val="18"/>
                <w:color w:val="auto"/>
              </w:rPr>
            </w:pPr>
          </w:p>
        </w:tc>
        <w:tc>
          <w:tcPr>
            <w:tcW w:w="1220" w:type="dxa"/>
            <w:vAlign w:val="bottom"/>
            <w:shd w:val="clear" w:color="auto" w:fill="D0EBF2"/>
          </w:tcPr>
          <w:p>
            <w:pPr>
              <w:ind w:left="1020"/>
              <w:spacing w:after="0"/>
              <w:rPr>
                <w:sz w:val="20"/>
                <w:szCs w:val="20"/>
                <w:color w:val="auto"/>
              </w:rPr>
            </w:pPr>
            <w:r>
              <w:rPr>
                <w:rFonts w:ascii="Times New Roman" w:cs="Times New Roman" w:eastAsia="Times New Roman" w:hAnsi="Times New Roman"/>
                <w:sz w:val="17"/>
                <w:szCs w:val="17"/>
                <w:color w:val="231F20"/>
              </w:rPr>
              <w:t>—</w:t>
            </w:r>
          </w:p>
        </w:tc>
        <w:tc>
          <w:tcPr>
            <w:tcW w:w="340" w:type="dxa"/>
            <w:vAlign w:val="bottom"/>
            <w:shd w:val="clear" w:color="auto" w:fill="D0EBF2"/>
          </w:tcPr>
          <w:p>
            <w:pPr>
              <w:spacing w:after="0"/>
              <w:rPr>
                <w:sz w:val="18"/>
                <w:szCs w:val="18"/>
                <w:color w:val="auto"/>
              </w:rPr>
            </w:pPr>
          </w:p>
        </w:tc>
        <w:tc>
          <w:tcPr>
            <w:tcW w:w="1040" w:type="dxa"/>
            <w:vAlign w:val="bottom"/>
            <w:shd w:val="clear" w:color="auto" w:fill="D0EBF2"/>
          </w:tcPr>
          <w:p>
            <w:pPr>
              <w:ind w:left="720"/>
              <w:spacing w:after="0"/>
              <w:rPr>
                <w:sz w:val="20"/>
                <w:szCs w:val="20"/>
                <w:color w:val="auto"/>
              </w:rPr>
            </w:pPr>
            <w:r>
              <w:rPr>
                <w:rFonts w:ascii="Times New Roman" w:cs="Times New Roman" w:eastAsia="Times New Roman" w:hAnsi="Times New Roman"/>
                <w:sz w:val="17"/>
                <w:szCs w:val="17"/>
                <w:color w:val="231F20"/>
              </w:rPr>
              <w:t>N/A</w:t>
            </w:r>
          </w:p>
        </w:tc>
        <w:tc>
          <w:tcPr>
            <w:tcW w:w="0" w:type="dxa"/>
            <w:vAlign w:val="bottom"/>
          </w:tcPr>
          <w:p>
            <w:pPr>
              <w:spacing w:after="0"/>
              <w:rPr>
                <w:sz w:val="1"/>
                <w:szCs w:val="1"/>
                <w:color w:val="auto"/>
              </w:rPr>
            </w:pPr>
          </w:p>
        </w:tc>
      </w:tr>
      <w:tr>
        <w:trPr>
          <w:trHeight w:val="209"/>
        </w:trPr>
        <w:tc>
          <w:tcPr>
            <w:tcW w:w="2860" w:type="dxa"/>
            <w:vAlign w:val="bottom"/>
            <w:shd w:val="clear" w:color="auto" w:fill="FDFDFC"/>
          </w:tcPr>
          <w:p>
            <w:pPr>
              <w:spacing w:after="0"/>
              <w:rPr>
                <w:sz w:val="20"/>
                <w:szCs w:val="20"/>
                <w:color w:val="auto"/>
              </w:rPr>
            </w:pPr>
            <w:r>
              <w:rPr>
                <w:rFonts w:ascii="Times New Roman" w:cs="Times New Roman" w:eastAsia="Times New Roman" w:hAnsi="Times New Roman"/>
                <w:sz w:val="17"/>
                <w:szCs w:val="17"/>
                <w:b w:val="1"/>
                <w:bCs w:val="1"/>
                <w:color w:val="231F20"/>
              </w:rPr>
              <w:t>2024 Notes</w:t>
            </w:r>
          </w:p>
        </w:tc>
        <w:tc>
          <w:tcPr>
            <w:tcW w:w="180" w:type="dxa"/>
            <w:vAlign w:val="bottom"/>
            <w:shd w:val="clear" w:color="auto" w:fill="FDFDFC"/>
          </w:tcPr>
          <w:p>
            <w:pPr>
              <w:spacing w:after="0"/>
              <w:rPr>
                <w:sz w:val="18"/>
                <w:szCs w:val="18"/>
                <w:color w:val="auto"/>
              </w:rPr>
            </w:pPr>
          </w:p>
        </w:tc>
        <w:tc>
          <w:tcPr>
            <w:tcW w:w="380" w:type="dxa"/>
            <w:vAlign w:val="bottom"/>
            <w:shd w:val="clear" w:color="auto" w:fill="FDFDFC"/>
          </w:tcPr>
          <w:p>
            <w:pPr>
              <w:spacing w:after="0"/>
              <w:rPr>
                <w:sz w:val="18"/>
                <w:szCs w:val="18"/>
                <w:color w:val="auto"/>
              </w:rPr>
            </w:pPr>
          </w:p>
        </w:tc>
        <w:tc>
          <w:tcPr>
            <w:tcW w:w="1100" w:type="dxa"/>
            <w:vAlign w:val="bottom"/>
            <w:shd w:val="clear" w:color="auto" w:fill="FDFDFC"/>
          </w:tcPr>
          <w:p>
            <w:pPr>
              <w:spacing w:after="0"/>
              <w:rPr>
                <w:sz w:val="18"/>
                <w:szCs w:val="18"/>
                <w:color w:val="auto"/>
              </w:rPr>
            </w:pPr>
          </w:p>
        </w:tc>
        <w:tc>
          <w:tcPr>
            <w:tcW w:w="280" w:type="dxa"/>
            <w:vAlign w:val="bottom"/>
            <w:shd w:val="clear" w:color="auto" w:fill="FDFDFC"/>
          </w:tcPr>
          <w:p>
            <w:pPr>
              <w:spacing w:after="0"/>
              <w:rPr>
                <w:sz w:val="18"/>
                <w:szCs w:val="18"/>
                <w:color w:val="auto"/>
              </w:rPr>
            </w:pPr>
          </w:p>
        </w:tc>
        <w:tc>
          <w:tcPr>
            <w:tcW w:w="120" w:type="dxa"/>
            <w:vAlign w:val="bottom"/>
            <w:shd w:val="clear" w:color="auto" w:fill="FDFDFC"/>
          </w:tcPr>
          <w:p>
            <w:pPr>
              <w:spacing w:after="0"/>
              <w:rPr>
                <w:sz w:val="18"/>
                <w:szCs w:val="18"/>
                <w:color w:val="auto"/>
              </w:rPr>
            </w:pPr>
          </w:p>
        </w:tc>
        <w:tc>
          <w:tcPr>
            <w:tcW w:w="1040" w:type="dxa"/>
            <w:vAlign w:val="bottom"/>
            <w:shd w:val="clear" w:color="auto" w:fill="FDFDFC"/>
          </w:tcPr>
          <w:p>
            <w:pPr>
              <w:spacing w:after="0"/>
              <w:rPr>
                <w:sz w:val="18"/>
                <w:szCs w:val="18"/>
                <w:color w:val="auto"/>
              </w:rPr>
            </w:pPr>
          </w:p>
        </w:tc>
        <w:tc>
          <w:tcPr>
            <w:tcW w:w="300" w:type="dxa"/>
            <w:vAlign w:val="bottom"/>
            <w:shd w:val="clear" w:color="auto" w:fill="FDFDFC"/>
          </w:tcPr>
          <w:p>
            <w:pPr>
              <w:spacing w:after="0"/>
              <w:rPr>
                <w:sz w:val="18"/>
                <w:szCs w:val="18"/>
                <w:color w:val="auto"/>
              </w:rPr>
            </w:pPr>
          </w:p>
        </w:tc>
        <w:tc>
          <w:tcPr>
            <w:tcW w:w="100" w:type="dxa"/>
            <w:vAlign w:val="bottom"/>
            <w:shd w:val="clear" w:color="auto" w:fill="FDFDFC"/>
          </w:tcPr>
          <w:p>
            <w:pPr>
              <w:spacing w:after="0"/>
              <w:rPr>
                <w:sz w:val="18"/>
                <w:szCs w:val="18"/>
                <w:color w:val="auto"/>
              </w:rPr>
            </w:pPr>
          </w:p>
        </w:tc>
        <w:tc>
          <w:tcPr>
            <w:tcW w:w="1220" w:type="dxa"/>
            <w:vAlign w:val="bottom"/>
            <w:shd w:val="clear" w:color="auto" w:fill="FDFDFC"/>
          </w:tcPr>
          <w:p>
            <w:pPr>
              <w:spacing w:after="0"/>
              <w:rPr>
                <w:sz w:val="18"/>
                <w:szCs w:val="18"/>
                <w:color w:val="auto"/>
              </w:rPr>
            </w:pPr>
          </w:p>
        </w:tc>
        <w:tc>
          <w:tcPr>
            <w:tcW w:w="340" w:type="dxa"/>
            <w:vAlign w:val="bottom"/>
            <w:shd w:val="clear" w:color="auto" w:fill="FDFDFC"/>
          </w:tcPr>
          <w:p>
            <w:pPr>
              <w:spacing w:after="0"/>
              <w:rPr>
                <w:sz w:val="18"/>
                <w:szCs w:val="18"/>
                <w:color w:val="auto"/>
              </w:rPr>
            </w:pPr>
          </w:p>
        </w:tc>
        <w:tc>
          <w:tcPr>
            <w:tcW w:w="1040" w:type="dxa"/>
            <w:vAlign w:val="bottom"/>
            <w:shd w:val="clear" w:color="auto" w:fill="FDFD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860" w:type="dxa"/>
            <w:vAlign w:val="bottom"/>
            <w:shd w:val="clear" w:color="auto" w:fill="D0EBF2"/>
          </w:tcPr>
          <w:p>
            <w:pPr>
              <w:spacing w:after="0"/>
              <w:rPr>
                <w:sz w:val="20"/>
                <w:szCs w:val="20"/>
                <w:color w:val="auto"/>
              </w:rPr>
            </w:pPr>
            <w:r>
              <w:rPr>
                <w:rFonts w:ascii="Times New Roman" w:cs="Times New Roman" w:eastAsia="Times New Roman" w:hAnsi="Times New Roman"/>
                <w:sz w:val="17"/>
                <w:szCs w:val="17"/>
                <w:color w:val="231F20"/>
              </w:rPr>
              <w:t>December 31, 2024</w:t>
            </w:r>
          </w:p>
        </w:tc>
        <w:tc>
          <w:tcPr>
            <w:tcW w:w="560" w:type="dxa"/>
            <w:vAlign w:val="bottom"/>
            <w:gridSpan w:val="2"/>
            <w:shd w:val="clear" w:color="auto" w:fill="D0EBF2"/>
          </w:tcPr>
          <w:p>
            <w:pPr>
              <w:jc w:val="right"/>
              <w:ind w:right="195"/>
              <w:spacing w:after="0"/>
              <w:rPr>
                <w:sz w:val="20"/>
                <w:szCs w:val="20"/>
                <w:color w:val="auto"/>
              </w:rPr>
            </w:pPr>
            <w:r>
              <w:rPr>
                <w:rFonts w:ascii="Times New Roman" w:cs="Times New Roman" w:eastAsia="Times New Roman" w:hAnsi="Times New Roman"/>
                <w:sz w:val="17"/>
                <w:szCs w:val="17"/>
                <w:color w:val="231F20"/>
              </w:rPr>
              <w:t>$</w:t>
            </w:r>
          </w:p>
        </w:tc>
        <w:tc>
          <w:tcPr>
            <w:tcW w:w="1100" w:type="dxa"/>
            <w:vAlign w:val="bottom"/>
            <w:shd w:val="clear" w:color="auto" w:fill="D0EBF2"/>
          </w:tcPr>
          <w:p>
            <w:pPr>
              <w:jc w:val="right"/>
              <w:spacing w:after="0"/>
              <w:rPr>
                <w:sz w:val="20"/>
                <w:szCs w:val="20"/>
                <w:color w:val="auto"/>
              </w:rPr>
            </w:pPr>
            <w:r>
              <w:rPr>
                <w:rFonts w:ascii="Times New Roman" w:cs="Times New Roman" w:eastAsia="Times New Roman" w:hAnsi="Times New Roman"/>
                <w:sz w:val="17"/>
                <w:szCs w:val="17"/>
                <w:color w:val="231F20"/>
              </w:rPr>
              <w:t>—</w:t>
            </w:r>
          </w:p>
        </w:tc>
        <w:tc>
          <w:tcPr>
            <w:tcW w:w="400" w:type="dxa"/>
            <w:vAlign w:val="bottom"/>
            <w:gridSpan w:val="2"/>
            <w:shd w:val="clear" w:color="auto" w:fill="D0EBF2"/>
          </w:tcPr>
          <w:p>
            <w:pPr>
              <w:ind w:left="280"/>
              <w:spacing w:after="0"/>
              <w:rPr>
                <w:sz w:val="20"/>
                <w:szCs w:val="20"/>
                <w:color w:val="auto"/>
              </w:rPr>
            </w:pPr>
            <w:r>
              <w:rPr>
                <w:rFonts w:ascii="Times New Roman" w:cs="Times New Roman" w:eastAsia="Times New Roman" w:hAnsi="Times New Roman"/>
                <w:sz w:val="17"/>
                <w:szCs w:val="17"/>
                <w:color w:val="231F20"/>
              </w:rPr>
              <w:t>$</w:t>
            </w:r>
          </w:p>
        </w:tc>
        <w:tc>
          <w:tcPr>
            <w:tcW w:w="1040" w:type="dxa"/>
            <w:vAlign w:val="bottom"/>
            <w:shd w:val="clear" w:color="auto" w:fill="D0EBF2"/>
          </w:tcPr>
          <w:p>
            <w:pPr>
              <w:jc w:val="right"/>
              <w:spacing w:after="0"/>
              <w:rPr>
                <w:sz w:val="20"/>
                <w:szCs w:val="20"/>
                <w:color w:val="auto"/>
              </w:rPr>
            </w:pPr>
            <w:r>
              <w:rPr>
                <w:rFonts w:ascii="Times New Roman" w:cs="Times New Roman" w:eastAsia="Times New Roman" w:hAnsi="Times New Roman"/>
                <w:sz w:val="17"/>
                <w:szCs w:val="17"/>
                <w:color w:val="231F20"/>
              </w:rPr>
              <w:t>—</w:t>
            </w:r>
          </w:p>
        </w:tc>
        <w:tc>
          <w:tcPr>
            <w:tcW w:w="400" w:type="dxa"/>
            <w:vAlign w:val="bottom"/>
            <w:gridSpan w:val="2"/>
            <w:shd w:val="clear" w:color="auto" w:fill="D0EBF2"/>
          </w:tcPr>
          <w:p>
            <w:pPr>
              <w:jc w:val="right"/>
              <w:spacing w:after="0"/>
              <w:rPr>
                <w:sz w:val="20"/>
                <w:szCs w:val="20"/>
                <w:color w:val="auto"/>
              </w:rPr>
            </w:pPr>
            <w:r>
              <w:rPr>
                <w:rFonts w:ascii="Times New Roman" w:cs="Times New Roman" w:eastAsia="Times New Roman" w:hAnsi="Times New Roman"/>
                <w:sz w:val="17"/>
                <w:szCs w:val="17"/>
                <w:color w:val="231F20"/>
              </w:rPr>
              <w:t>$</w:t>
            </w:r>
          </w:p>
        </w:tc>
        <w:tc>
          <w:tcPr>
            <w:tcW w:w="1220" w:type="dxa"/>
            <w:vAlign w:val="bottom"/>
            <w:shd w:val="clear" w:color="auto" w:fill="D0EBF2"/>
          </w:tcPr>
          <w:p>
            <w:pPr>
              <w:ind w:left="1020"/>
              <w:spacing w:after="0"/>
              <w:rPr>
                <w:sz w:val="20"/>
                <w:szCs w:val="20"/>
                <w:color w:val="auto"/>
              </w:rPr>
            </w:pPr>
            <w:r>
              <w:rPr>
                <w:rFonts w:ascii="Times New Roman" w:cs="Times New Roman" w:eastAsia="Times New Roman" w:hAnsi="Times New Roman"/>
                <w:sz w:val="17"/>
                <w:szCs w:val="17"/>
                <w:color w:val="231F20"/>
              </w:rPr>
              <w:t>—</w:t>
            </w:r>
          </w:p>
        </w:tc>
        <w:tc>
          <w:tcPr>
            <w:tcW w:w="340" w:type="dxa"/>
            <w:vAlign w:val="bottom"/>
            <w:shd w:val="clear" w:color="auto" w:fill="D0EBF2"/>
          </w:tcPr>
          <w:p>
            <w:pPr>
              <w:spacing w:after="0"/>
              <w:rPr>
                <w:sz w:val="18"/>
                <w:szCs w:val="18"/>
                <w:color w:val="auto"/>
              </w:rPr>
            </w:pPr>
          </w:p>
        </w:tc>
        <w:tc>
          <w:tcPr>
            <w:tcW w:w="1040" w:type="dxa"/>
            <w:vAlign w:val="bottom"/>
            <w:shd w:val="clear" w:color="auto" w:fill="D0EBF2"/>
          </w:tcPr>
          <w:p>
            <w:pPr>
              <w:ind w:left="720"/>
              <w:spacing w:after="0"/>
              <w:rPr>
                <w:sz w:val="20"/>
                <w:szCs w:val="20"/>
                <w:color w:val="auto"/>
              </w:rPr>
            </w:pPr>
            <w:r>
              <w:rPr>
                <w:rFonts w:ascii="Times New Roman" w:cs="Times New Roman" w:eastAsia="Times New Roman" w:hAnsi="Times New Roman"/>
                <w:sz w:val="17"/>
                <w:szCs w:val="17"/>
                <w:color w:val="231F20"/>
              </w:rPr>
              <w:t>N/A</w:t>
            </w:r>
          </w:p>
        </w:tc>
        <w:tc>
          <w:tcPr>
            <w:tcW w:w="0" w:type="dxa"/>
            <w:vAlign w:val="bottom"/>
          </w:tcPr>
          <w:p>
            <w:pPr>
              <w:spacing w:after="0"/>
              <w:rPr>
                <w:sz w:val="1"/>
                <w:szCs w:val="1"/>
                <w:color w:val="auto"/>
              </w:rPr>
            </w:pPr>
          </w:p>
        </w:tc>
      </w:tr>
      <w:tr>
        <w:trPr>
          <w:trHeight w:val="209"/>
        </w:trPr>
        <w:tc>
          <w:tcPr>
            <w:tcW w:w="2860" w:type="dxa"/>
            <w:vAlign w:val="bottom"/>
            <w:shd w:val="clear" w:color="auto" w:fill="FDFDFC"/>
          </w:tcPr>
          <w:p>
            <w:pPr>
              <w:spacing w:after="0"/>
              <w:rPr>
                <w:sz w:val="20"/>
                <w:szCs w:val="20"/>
                <w:color w:val="auto"/>
              </w:rPr>
            </w:pPr>
            <w:r>
              <w:rPr>
                <w:rFonts w:ascii="Times New Roman" w:cs="Times New Roman" w:eastAsia="Times New Roman" w:hAnsi="Times New Roman"/>
                <w:sz w:val="17"/>
                <w:szCs w:val="17"/>
                <w:color w:val="231F20"/>
              </w:rPr>
              <w:t>December 31, 2023</w:t>
            </w:r>
          </w:p>
        </w:tc>
        <w:tc>
          <w:tcPr>
            <w:tcW w:w="180" w:type="dxa"/>
            <w:vAlign w:val="bottom"/>
            <w:shd w:val="clear" w:color="auto" w:fill="FDFDFC"/>
          </w:tcPr>
          <w:p>
            <w:pPr>
              <w:spacing w:after="0"/>
              <w:rPr>
                <w:sz w:val="18"/>
                <w:szCs w:val="18"/>
                <w:color w:val="auto"/>
              </w:rPr>
            </w:pPr>
          </w:p>
        </w:tc>
        <w:tc>
          <w:tcPr>
            <w:tcW w:w="380" w:type="dxa"/>
            <w:vAlign w:val="bottom"/>
            <w:shd w:val="clear" w:color="auto" w:fill="FDFDFC"/>
          </w:tcPr>
          <w:p>
            <w:pPr>
              <w:spacing w:after="0"/>
              <w:rPr>
                <w:sz w:val="18"/>
                <w:szCs w:val="18"/>
                <w:color w:val="auto"/>
              </w:rPr>
            </w:pPr>
          </w:p>
        </w:tc>
        <w:tc>
          <w:tcPr>
            <w:tcW w:w="1100" w:type="dxa"/>
            <w:vAlign w:val="bottom"/>
            <w:shd w:val="clear" w:color="auto" w:fill="FDFDFC"/>
          </w:tcPr>
          <w:p>
            <w:pPr>
              <w:jc w:val="right"/>
              <w:spacing w:after="0"/>
              <w:rPr>
                <w:sz w:val="20"/>
                <w:szCs w:val="20"/>
                <w:color w:val="auto"/>
              </w:rPr>
            </w:pPr>
            <w:r>
              <w:rPr>
                <w:rFonts w:ascii="Times New Roman" w:cs="Times New Roman" w:eastAsia="Times New Roman" w:hAnsi="Times New Roman"/>
                <w:sz w:val="17"/>
                <w:szCs w:val="17"/>
                <w:color w:val="231F20"/>
              </w:rPr>
              <w:t>347.2</w:t>
            </w:r>
          </w:p>
        </w:tc>
        <w:tc>
          <w:tcPr>
            <w:tcW w:w="280" w:type="dxa"/>
            <w:vAlign w:val="bottom"/>
            <w:shd w:val="clear" w:color="auto" w:fill="FDFDFC"/>
          </w:tcPr>
          <w:p>
            <w:pPr>
              <w:spacing w:after="0"/>
              <w:rPr>
                <w:sz w:val="18"/>
                <w:szCs w:val="18"/>
                <w:color w:val="auto"/>
              </w:rPr>
            </w:pPr>
          </w:p>
        </w:tc>
        <w:tc>
          <w:tcPr>
            <w:tcW w:w="120" w:type="dxa"/>
            <w:vAlign w:val="bottom"/>
            <w:shd w:val="clear" w:color="auto" w:fill="FDFDFC"/>
          </w:tcPr>
          <w:p>
            <w:pPr>
              <w:spacing w:after="0"/>
              <w:rPr>
                <w:sz w:val="18"/>
                <w:szCs w:val="18"/>
                <w:color w:val="auto"/>
              </w:rPr>
            </w:pPr>
          </w:p>
        </w:tc>
        <w:tc>
          <w:tcPr>
            <w:tcW w:w="1040" w:type="dxa"/>
            <w:vAlign w:val="bottom"/>
            <w:shd w:val="clear" w:color="auto" w:fill="FDFDFC"/>
          </w:tcPr>
          <w:p>
            <w:pPr>
              <w:jc w:val="right"/>
              <w:spacing w:after="0"/>
              <w:rPr>
                <w:sz w:val="20"/>
                <w:szCs w:val="20"/>
                <w:color w:val="auto"/>
              </w:rPr>
            </w:pPr>
            <w:r>
              <w:rPr>
                <w:rFonts w:ascii="Times New Roman" w:cs="Times New Roman" w:eastAsia="Times New Roman" w:hAnsi="Times New Roman"/>
                <w:sz w:val="17"/>
                <w:szCs w:val="17"/>
                <w:color w:val="231F20"/>
              </w:rPr>
              <w:t>1,815.9</w:t>
            </w:r>
          </w:p>
        </w:tc>
        <w:tc>
          <w:tcPr>
            <w:tcW w:w="300" w:type="dxa"/>
            <w:vAlign w:val="bottom"/>
            <w:shd w:val="clear" w:color="auto" w:fill="FDFDFC"/>
          </w:tcPr>
          <w:p>
            <w:pPr>
              <w:spacing w:after="0"/>
              <w:rPr>
                <w:sz w:val="18"/>
                <w:szCs w:val="18"/>
                <w:color w:val="auto"/>
              </w:rPr>
            </w:pPr>
          </w:p>
        </w:tc>
        <w:tc>
          <w:tcPr>
            <w:tcW w:w="100" w:type="dxa"/>
            <w:vAlign w:val="bottom"/>
            <w:shd w:val="clear" w:color="auto" w:fill="FDFDFC"/>
          </w:tcPr>
          <w:p>
            <w:pPr>
              <w:spacing w:after="0"/>
              <w:rPr>
                <w:sz w:val="18"/>
                <w:szCs w:val="18"/>
                <w:color w:val="auto"/>
              </w:rPr>
            </w:pPr>
          </w:p>
        </w:tc>
        <w:tc>
          <w:tcPr>
            <w:tcW w:w="1220" w:type="dxa"/>
            <w:vAlign w:val="bottom"/>
            <w:shd w:val="clear" w:color="auto" w:fill="FDFDFC"/>
          </w:tcPr>
          <w:p>
            <w:pPr>
              <w:ind w:left="1020"/>
              <w:spacing w:after="0"/>
              <w:rPr>
                <w:sz w:val="20"/>
                <w:szCs w:val="20"/>
                <w:color w:val="auto"/>
              </w:rPr>
            </w:pPr>
            <w:r>
              <w:rPr>
                <w:rFonts w:ascii="Times New Roman" w:cs="Times New Roman" w:eastAsia="Times New Roman" w:hAnsi="Times New Roman"/>
                <w:sz w:val="17"/>
                <w:szCs w:val="17"/>
                <w:color w:val="231F20"/>
              </w:rPr>
              <w:t>—</w:t>
            </w:r>
          </w:p>
        </w:tc>
        <w:tc>
          <w:tcPr>
            <w:tcW w:w="340" w:type="dxa"/>
            <w:vAlign w:val="bottom"/>
            <w:shd w:val="clear" w:color="auto" w:fill="FDFDFC"/>
          </w:tcPr>
          <w:p>
            <w:pPr>
              <w:spacing w:after="0"/>
              <w:rPr>
                <w:sz w:val="18"/>
                <w:szCs w:val="18"/>
                <w:color w:val="auto"/>
              </w:rPr>
            </w:pPr>
          </w:p>
        </w:tc>
        <w:tc>
          <w:tcPr>
            <w:tcW w:w="1040" w:type="dxa"/>
            <w:vAlign w:val="bottom"/>
            <w:shd w:val="clear" w:color="auto" w:fill="FDFDFC"/>
          </w:tcPr>
          <w:p>
            <w:pPr>
              <w:ind w:left="720"/>
              <w:spacing w:after="0"/>
              <w:rPr>
                <w:sz w:val="20"/>
                <w:szCs w:val="20"/>
                <w:color w:val="auto"/>
              </w:rPr>
            </w:pPr>
            <w:r>
              <w:rPr>
                <w:rFonts w:ascii="Times New Roman" w:cs="Times New Roman" w:eastAsia="Times New Roman" w:hAnsi="Times New Roman"/>
                <w:sz w:val="17"/>
                <w:szCs w:val="17"/>
                <w:color w:val="231F20"/>
              </w:rPr>
              <w:t>N/A</w:t>
            </w:r>
          </w:p>
        </w:tc>
        <w:tc>
          <w:tcPr>
            <w:tcW w:w="0" w:type="dxa"/>
            <w:vAlign w:val="bottom"/>
          </w:tcPr>
          <w:p>
            <w:pPr>
              <w:spacing w:after="0"/>
              <w:rPr>
                <w:sz w:val="1"/>
                <w:szCs w:val="1"/>
                <w:color w:val="auto"/>
              </w:rPr>
            </w:pPr>
          </w:p>
        </w:tc>
      </w:tr>
      <w:tr>
        <w:trPr>
          <w:trHeight w:val="209"/>
        </w:trPr>
        <w:tc>
          <w:tcPr>
            <w:tcW w:w="2860" w:type="dxa"/>
            <w:vAlign w:val="bottom"/>
            <w:shd w:val="clear" w:color="auto" w:fill="D0EBF2"/>
          </w:tcPr>
          <w:p>
            <w:pPr>
              <w:spacing w:after="0"/>
              <w:rPr>
                <w:sz w:val="20"/>
                <w:szCs w:val="20"/>
                <w:color w:val="auto"/>
              </w:rPr>
            </w:pPr>
            <w:r>
              <w:rPr>
                <w:rFonts w:ascii="Times New Roman" w:cs="Times New Roman" w:eastAsia="Times New Roman" w:hAnsi="Times New Roman"/>
                <w:sz w:val="17"/>
                <w:szCs w:val="17"/>
                <w:color w:val="231F20"/>
              </w:rPr>
              <w:t>December 31, 2022</w:t>
            </w:r>
          </w:p>
        </w:tc>
        <w:tc>
          <w:tcPr>
            <w:tcW w:w="180" w:type="dxa"/>
            <w:vAlign w:val="bottom"/>
            <w:shd w:val="clear" w:color="auto" w:fill="D0EBF2"/>
          </w:tcPr>
          <w:p>
            <w:pPr>
              <w:spacing w:after="0"/>
              <w:rPr>
                <w:sz w:val="18"/>
                <w:szCs w:val="18"/>
                <w:color w:val="auto"/>
              </w:rPr>
            </w:pPr>
          </w:p>
        </w:tc>
        <w:tc>
          <w:tcPr>
            <w:tcW w:w="380" w:type="dxa"/>
            <w:vAlign w:val="bottom"/>
            <w:shd w:val="clear" w:color="auto" w:fill="D0EBF2"/>
          </w:tcPr>
          <w:p>
            <w:pPr>
              <w:spacing w:after="0"/>
              <w:rPr>
                <w:sz w:val="18"/>
                <w:szCs w:val="18"/>
                <w:color w:val="auto"/>
              </w:rPr>
            </w:pPr>
          </w:p>
        </w:tc>
        <w:tc>
          <w:tcPr>
            <w:tcW w:w="1100" w:type="dxa"/>
            <w:vAlign w:val="bottom"/>
            <w:shd w:val="clear" w:color="auto" w:fill="D0EBF2"/>
          </w:tcPr>
          <w:p>
            <w:pPr>
              <w:jc w:val="right"/>
              <w:spacing w:after="0"/>
              <w:rPr>
                <w:sz w:val="20"/>
                <w:szCs w:val="20"/>
                <w:color w:val="auto"/>
              </w:rPr>
            </w:pPr>
            <w:r>
              <w:rPr>
                <w:rFonts w:ascii="Times New Roman" w:cs="Times New Roman" w:eastAsia="Times New Roman" w:hAnsi="Times New Roman"/>
                <w:sz w:val="17"/>
                <w:szCs w:val="17"/>
                <w:color w:val="231F20"/>
              </w:rPr>
              <w:t>346.8</w:t>
            </w:r>
          </w:p>
        </w:tc>
        <w:tc>
          <w:tcPr>
            <w:tcW w:w="280" w:type="dxa"/>
            <w:vAlign w:val="bottom"/>
            <w:shd w:val="clear" w:color="auto" w:fill="D0EBF2"/>
          </w:tcPr>
          <w:p>
            <w:pPr>
              <w:spacing w:after="0"/>
              <w:rPr>
                <w:sz w:val="18"/>
                <w:szCs w:val="18"/>
                <w:color w:val="auto"/>
              </w:rPr>
            </w:pPr>
          </w:p>
        </w:tc>
        <w:tc>
          <w:tcPr>
            <w:tcW w:w="120" w:type="dxa"/>
            <w:vAlign w:val="bottom"/>
            <w:shd w:val="clear" w:color="auto" w:fill="D0EBF2"/>
          </w:tcPr>
          <w:p>
            <w:pPr>
              <w:spacing w:after="0"/>
              <w:rPr>
                <w:sz w:val="18"/>
                <w:szCs w:val="18"/>
                <w:color w:val="auto"/>
              </w:rPr>
            </w:pPr>
          </w:p>
        </w:tc>
        <w:tc>
          <w:tcPr>
            <w:tcW w:w="1040" w:type="dxa"/>
            <w:vAlign w:val="bottom"/>
            <w:shd w:val="clear" w:color="auto" w:fill="D0EBF2"/>
          </w:tcPr>
          <w:p>
            <w:pPr>
              <w:jc w:val="right"/>
              <w:spacing w:after="0"/>
              <w:rPr>
                <w:sz w:val="20"/>
                <w:szCs w:val="20"/>
                <w:color w:val="auto"/>
              </w:rPr>
            </w:pPr>
            <w:r>
              <w:rPr>
                <w:rFonts w:ascii="Times New Roman" w:cs="Times New Roman" w:eastAsia="Times New Roman" w:hAnsi="Times New Roman"/>
                <w:sz w:val="17"/>
                <w:szCs w:val="17"/>
                <w:color w:val="231F20"/>
              </w:rPr>
              <w:t>1,885.7</w:t>
            </w:r>
          </w:p>
        </w:tc>
        <w:tc>
          <w:tcPr>
            <w:tcW w:w="300" w:type="dxa"/>
            <w:vAlign w:val="bottom"/>
            <w:shd w:val="clear" w:color="auto" w:fill="D0EBF2"/>
          </w:tcPr>
          <w:p>
            <w:pPr>
              <w:spacing w:after="0"/>
              <w:rPr>
                <w:sz w:val="18"/>
                <w:szCs w:val="18"/>
                <w:color w:val="auto"/>
              </w:rPr>
            </w:pPr>
          </w:p>
        </w:tc>
        <w:tc>
          <w:tcPr>
            <w:tcW w:w="100" w:type="dxa"/>
            <w:vAlign w:val="bottom"/>
            <w:shd w:val="clear" w:color="auto" w:fill="D0EBF2"/>
          </w:tcPr>
          <w:p>
            <w:pPr>
              <w:spacing w:after="0"/>
              <w:rPr>
                <w:sz w:val="18"/>
                <w:szCs w:val="18"/>
                <w:color w:val="auto"/>
              </w:rPr>
            </w:pPr>
          </w:p>
        </w:tc>
        <w:tc>
          <w:tcPr>
            <w:tcW w:w="1220" w:type="dxa"/>
            <w:vAlign w:val="bottom"/>
            <w:shd w:val="clear" w:color="auto" w:fill="D0EBF2"/>
          </w:tcPr>
          <w:p>
            <w:pPr>
              <w:ind w:left="1020"/>
              <w:spacing w:after="0"/>
              <w:rPr>
                <w:sz w:val="20"/>
                <w:szCs w:val="20"/>
                <w:color w:val="auto"/>
              </w:rPr>
            </w:pPr>
            <w:r>
              <w:rPr>
                <w:rFonts w:ascii="Times New Roman" w:cs="Times New Roman" w:eastAsia="Times New Roman" w:hAnsi="Times New Roman"/>
                <w:sz w:val="17"/>
                <w:szCs w:val="17"/>
                <w:color w:val="231F20"/>
              </w:rPr>
              <w:t>—</w:t>
            </w:r>
          </w:p>
        </w:tc>
        <w:tc>
          <w:tcPr>
            <w:tcW w:w="340" w:type="dxa"/>
            <w:vAlign w:val="bottom"/>
            <w:shd w:val="clear" w:color="auto" w:fill="D0EBF2"/>
          </w:tcPr>
          <w:p>
            <w:pPr>
              <w:spacing w:after="0"/>
              <w:rPr>
                <w:sz w:val="18"/>
                <w:szCs w:val="18"/>
                <w:color w:val="auto"/>
              </w:rPr>
            </w:pPr>
          </w:p>
        </w:tc>
        <w:tc>
          <w:tcPr>
            <w:tcW w:w="1040" w:type="dxa"/>
            <w:vAlign w:val="bottom"/>
            <w:shd w:val="clear" w:color="auto" w:fill="D0EBF2"/>
          </w:tcPr>
          <w:p>
            <w:pPr>
              <w:ind w:left="720"/>
              <w:spacing w:after="0"/>
              <w:rPr>
                <w:sz w:val="20"/>
                <w:szCs w:val="20"/>
                <w:color w:val="auto"/>
              </w:rPr>
            </w:pPr>
            <w:r>
              <w:rPr>
                <w:rFonts w:ascii="Times New Roman" w:cs="Times New Roman" w:eastAsia="Times New Roman" w:hAnsi="Times New Roman"/>
                <w:sz w:val="17"/>
                <w:szCs w:val="17"/>
                <w:color w:val="231F20"/>
              </w:rPr>
              <w:t>N/A</w:t>
            </w:r>
          </w:p>
        </w:tc>
        <w:tc>
          <w:tcPr>
            <w:tcW w:w="0" w:type="dxa"/>
            <w:vAlign w:val="bottom"/>
          </w:tcPr>
          <w:p>
            <w:pPr>
              <w:spacing w:after="0"/>
              <w:rPr>
                <w:sz w:val="1"/>
                <w:szCs w:val="1"/>
                <w:color w:val="auto"/>
              </w:rPr>
            </w:pPr>
          </w:p>
        </w:tc>
      </w:tr>
      <w:tr>
        <w:trPr>
          <w:trHeight w:val="209"/>
        </w:trPr>
        <w:tc>
          <w:tcPr>
            <w:tcW w:w="2860" w:type="dxa"/>
            <w:vAlign w:val="bottom"/>
            <w:shd w:val="clear" w:color="auto" w:fill="FDFDFC"/>
          </w:tcPr>
          <w:p>
            <w:pPr>
              <w:spacing w:after="0"/>
              <w:rPr>
                <w:sz w:val="20"/>
                <w:szCs w:val="20"/>
                <w:color w:val="auto"/>
              </w:rPr>
            </w:pPr>
            <w:r>
              <w:rPr>
                <w:rFonts w:ascii="Times New Roman" w:cs="Times New Roman" w:eastAsia="Times New Roman" w:hAnsi="Times New Roman"/>
                <w:sz w:val="17"/>
                <w:szCs w:val="17"/>
                <w:color w:val="231F20"/>
              </w:rPr>
              <w:t>December 31, 2021</w:t>
            </w:r>
          </w:p>
        </w:tc>
        <w:tc>
          <w:tcPr>
            <w:tcW w:w="180" w:type="dxa"/>
            <w:vAlign w:val="bottom"/>
            <w:shd w:val="clear" w:color="auto" w:fill="FDFDFC"/>
          </w:tcPr>
          <w:p>
            <w:pPr>
              <w:spacing w:after="0"/>
              <w:rPr>
                <w:sz w:val="18"/>
                <w:szCs w:val="18"/>
                <w:color w:val="auto"/>
              </w:rPr>
            </w:pPr>
          </w:p>
        </w:tc>
        <w:tc>
          <w:tcPr>
            <w:tcW w:w="380" w:type="dxa"/>
            <w:vAlign w:val="bottom"/>
            <w:shd w:val="clear" w:color="auto" w:fill="FDFDFC"/>
          </w:tcPr>
          <w:p>
            <w:pPr>
              <w:spacing w:after="0"/>
              <w:rPr>
                <w:sz w:val="18"/>
                <w:szCs w:val="18"/>
                <w:color w:val="auto"/>
              </w:rPr>
            </w:pPr>
          </w:p>
        </w:tc>
        <w:tc>
          <w:tcPr>
            <w:tcW w:w="1100" w:type="dxa"/>
            <w:vAlign w:val="bottom"/>
            <w:shd w:val="clear" w:color="auto" w:fill="FDFDFC"/>
          </w:tcPr>
          <w:p>
            <w:pPr>
              <w:jc w:val="right"/>
              <w:spacing w:after="0"/>
              <w:rPr>
                <w:sz w:val="20"/>
                <w:szCs w:val="20"/>
                <w:color w:val="auto"/>
              </w:rPr>
            </w:pPr>
            <w:r>
              <w:rPr>
                <w:rFonts w:ascii="Times New Roman" w:cs="Times New Roman" w:eastAsia="Times New Roman" w:hAnsi="Times New Roman"/>
                <w:sz w:val="17"/>
                <w:szCs w:val="17"/>
                <w:color w:val="231F20"/>
              </w:rPr>
              <w:t>346.4</w:t>
            </w:r>
          </w:p>
        </w:tc>
        <w:tc>
          <w:tcPr>
            <w:tcW w:w="280" w:type="dxa"/>
            <w:vAlign w:val="bottom"/>
            <w:shd w:val="clear" w:color="auto" w:fill="FDFDFC"/>
          </w:tcPr>
          <w:p>
            <w:pPr>
              <w:spacing w:after="0"/>
              <w:rPr>
                <w:sz w:val="18"/>
                <w:szCs w:val="18"/>
                <w:color w:val="auto"/>
              </w:rPr>
            </w:pPr>
          </w:p>
        </w:tc>
        <w:tc>
          <w:tcPr>
            <w:tcW w:w="120" w:type="dxa"/>
            <w:vAlign w:val="bottom"/>
            <w:shd w:val="clear" w:color="auto" w:fill="FDFDFC"/>
          </w:tcPr>
          <w:p>
            <w:pPr>
              <w:spacing w:after="0"/>
              <w:rPr>
                <w:sz w:val="18"/>
                <w:szCs w:val="18"/>
                <w:color w:val="auto"/>
              </w:rPr>
            </w:pPr>
          </w:p>
        </w:tc>
        <w:tc>
          <w:tcPr>
            <w:tcW w:w="1040" w:type="dxa"/>
            <w:vAlign w:val="bottom"/>
            <w:shd w:val="clear" w:color="auto" w:fill="FDFDFC"/>
          </w:tcPr>
          <w:p>
            <w:pPr>
              <w:jc w:val="right"/>
              <w:spacing w:after="0"/>
              <w:rPr>
                <w:sz w:val="20"/>
                <w:szCs w:val="20"/>
                <w:color w:val="auto"/>
              </w:rPr>
            </w:pPr>
            <w:r>
              <w:rPr>
                <w:rFonts w:ascii="Times New Roman" w:cs="Times New Roman" w:eastAsia="Times New Roman" w:hAnsi="Times New Roman"/>
                <w:sz w:val="17"/>
                <w:szCs w:val="17"/>
                <w:color w:val="231F20"/>
              </w:rPr>
              <w:t>2,053.6</w:t>
            </w:r>
          </w:p>
        </w:tc>
        <w:tc>
          <w:tcPr>
            <w:tcW w:w="300" w:type="dxa"/>
            <w:vAlign w:val="bottom"/>
            <w:shd w:val="clear" w:color="auto" w:fill="FDFDFC"/>
          </w:tcPr>
          <w:p>
            <w:pPr>
              <w:spacing w:after="0"/>
              <w:rPr>
                <w:sz w:val="18"/>
                <w:szCs w:val="18"/>
                <w:color w:val="auto"/>
              </w:rPr>
            </w:pPr>
          </w:p>
        </w:tc>
        <w:tc>
          <w:tcPr>
            <w:tcW w:w="100" w:type="dxa"/>
            <w:vAlign w:val="bottom"/>
            <w:shd w:val="clear" w:color="auto" w:fill="FDFDFC"/>
          </w:tcPr>
          <w:p>
            <w:pPr>
              <w:spacing w:after="0"/>
              <w:rPr>
                <w:sz w:val="18"/>
                <w:szCs w:val="18"/>
                <w:color w:val="auto"/>
              </w:rPr>
            </w:pPr>
          </w:p>
        </w:tc>
        <w:tc>
          <w:tcPr>
            <w:tcW w:w="1220" w:type="dxa"/>
            <w:vAlign w:val="bottom"/>
            <w:shd w:val="clear" w:color="auto" w:fill="FDFDFC"/>
          </w:tcPr>
          <w:p>
            <w:pPr>
              <w:ind w:left="1020"/>
              <w:spacing w:after="0"/>
              <w:rPr>
                <w:sz w:val="20"/>
                <w:szCs w:val="20"/>
                <w:color w:val="auto"/>
              </w:rPr>
            </w:pPr>
            <w:r>
              <w:rPr>
                <w:rFonts w:ascii="Times New Roman" w:cs="Times New Roman" w:eastAsia="Times New Roman" w:hAnsi="Times New Roman"/>
                <w:sz w:val="17"/>
                <w:szCs w:val="17"/>
                <w:color w:val="231F20"/>
              </w:rPr>
              <w:t>—</w:t>
            </w:r>
          </w:p>
        </w:tc>
        <w:tc>
          <w:tcPr>
            <w:tcW w:w="340" w:type="dxa"/>
            <w:vAlign w:val="bottom"/>
            <w:shd w:val="clear" w:color="auto" w:fill="FDFDFC"/>
          </w:tcPr>
          <w:p>
            <w:pPr>
              <w:spacing w:after="0"/>
              <w:rPr>
                <w:sz w:val="18"/>
                <w:szCs w:val="18"/>
                <w:color w:val="auto"/>
              </w:rPr>
            </w:pPr>
          </w:p>
        </w:tc>
        <w:tc>
          <w:tcPr>
            <w:tcW w:w="1040" w:type="dxa"/>
            <w:vAlign w:val="bottom"/>
            <w:shd w:val="clear" w:color="auto" w:fill="FDFDFC"/>
          </w:tcPr>
          <w:p>
            <w:pPr>
              <w:ind w:left="720"/>
              <w:spacing w:after="0"/>
              <w:rPr>
                <w:sz w:val="20"/>
                <w:szCs w:val="20"/>
                <w:color w:val="auto"/>
              </w:rPr>
            </w:pPr>
            <w:r>
              <w:rPr>
                <w:rFonts w:ascii="Times New Roman" w:cs="Times New Roman" w:eastAsia="Times New Roman" w:hAnsi="Times New Roman"/>
                <w:sz w:val="17"/>
                <w:szCs w:val="17"/>
                <w:color w:val="231F20"/>
              </w:rPr>
              <w:t>N/A</w:t>
            </w:r>
          </w:p>
        </w:tc>
        <w:tc>
          <w:tcPr>
            <w:tcW w:w="0" w:type="dxa"/>
            <w:vAlign w:val="bottom"/>
          </w:tcPr>
          <w:p>
            <w:pPr>
              <w:spacing w:after="0"/>
              <w:rPr>
                <w:sz w:val="1"/>
                <w:szCs w:val="1"/>
                <w:color w:val="auto"/>
              </w:rPr>
            </w:pPr>
          </w:p>
        </w:tc>
      </w:tr>
      <w:tr>
        <w:trPr>
          <w:trHeight w:val="209"/>
        </w:trPr>
        <w:tc>
          <w:tcPr>
            <w:tcW w:w="2860" w:type="dxa"/>
            <w:vAlign w:val="bottom"/>
            <w:shd w:val="clear" w:color="auto" w:fill="D0EBF2"/>
          </w:tcPr>
          <w:p>
            <w:pPr>
              <w:spacing w:after="0"/>
              <w:rPr>
                <w:sz w:val="20"/>
                <w:szCs w:val="20"/>
                <w:color w:val="auto"/>
              </w:rPr>
            </w:pPr>
            <w:r>
              <w:rPr>
                <w:rFonts w:ascii="Times New Roman" w:cs="Times New Roman" w:eastAsia="Times New Roman" w:hAnsi="Times New Roman"/>
                <w:sz w:val="17"/>
                <w:szCs w:val="17"/>
                <w:color w:val="231F20"/>
              </w:rPr>
              <w:t>December 31, 2020</w:t>
            </w:r>
          </w:p>
        </w:tc>
        <w:tc>
          <w:tcPr>
            <w:tcW w:w="180" w:type="dxa"/>
            <w:vAlign w:val="bottom"/>
            <w:shd w:val="clear" w:color="auto" w:fill="D0EBF2"/>
          </w:tcPr>
          <w:p>
            <w:pPr>
              <w:spacing w:after="0"/>
              <w:rPr>
                <w:sz w:val="18"/>
                <w:szCs w:val="18"/>
                <w:color w:val="auto"/>
              </w:rPr>
            </w:pPr>
          </w:p>
        </w:tc>
        <w:tc>
          <w:tcPr>
            <w:tcW w:w="380" w:type="dxa"/>
            <w:vAlign w:val="bottom"/>
            <w:shd w:val="clear" w:color="auto" w:fill="D0EBF2"/>
          </w:tcPr>
          <w:p>
            <w:pPr>
              <w:spacing w:after="0"/>
              <w:rPr>
                <w:sz w:val="18"/>
                <w:szCs w:val="18"/>
                <w:color w:val="auto"/>
              </w:rPr>
            </w:pPr>
          </w:p>
        </w:tc>
        <w:tc>
          <w:tcPr>
            <w:tcW w:w="1100" w:type="dxa"/>
            <w:vAlign w:val="bottom"/>
            <w:shd w:val="clear" w:color="auto" w:fill="D0EBF2"/>
          </w:tcPr>
          <w:p>
            <w:pPr>
              <w:jc w:val="right"/>
              <w:spacing w:after="0"/>
              <w:rPr>
                <w:sz w:val="20"/>
                <w:szCs w:val="20"/>
                <w:color w:val="auto"/>
              </w:rPr>
            </w:pPr>
            <w:r>
              <w:rPr>
                <w:rFonts w:ascii="Times New Roman" w:cs="Times New Roman" w:eastAsia="Times New Roman" w:hAnsi="Times New Roman"/>
                <w:sz w:val="17"/>
                <w:szCs w:val="17"/>
                <w:color w:val="231F20"/>
              </w:rPr>
              <w:t>346.1</w:t>
            </w:r>
          </w:p>
        </w:tc>
        <w:tc>
          <w:tcPr>
            <w:tcW w:w="280" w:type="dxa"/>
            <w:vAlign w:val="bottom"/>
            <w:shd w:val="clear" w:color="auto" w:fill="D0EBF2"/>
          </w:tcPr>
          <w:p>
            <w:pPr>
              <w:spacing w:after="0"/>
              <w:rPr>
                <w:sz w:val="18"/>
                <w:szCs w:val="18"/>
                <w:color w:val="auto"/>
              </w:rPr>
            </w:pPr>
          </w:p>
        </w:tc>
        <w:tc>
          <w:tcPr>
            <w:tcW w:w="120" w:type="dxa"/>
            <w:vAlign w:val="bottom"/>
            <w:shd w:val="clear" w:color="auto" w:fill="D0EBF2"/>
          </w:tcPr>
          <w:p>
            <w:pPr>
              <w:spacing w:after="0"/>
              <w:rPr>
                <w:sz w:val="18"/>
                <w:szCs w:val="18"/>
                <w:color w:val="auto"/>
              </w:rPr>
            </w:pPr>
          </w:p>
        </w:tc>
        <w:tc>
          <w:tcPr>
            <w:tcW w:w="1040" w:type="dxa"/>
            <w:vAlign w:val="bottom"/>
            <w:shd w:val="clear" w:color="auto" w:fill="D0EBF2"/>
          </w:tcPr>
          <w:p>
            <w:pPr>
              <w:jc w:val="right"/>
              <w:spacing w:after="0"/>
              <w:rPr>
                <w:sz w:val="20"/>
                <w:szCs w:val="20"/>
                <w:color w:val="auto"/>
              </w:rPr>
            </w:pPr>
            <w:r>
              <w:rPr>
                <w:rFonts w:ascii="Times New Roman" w:cs="Times New Roman" w:eastAsia="Times New Roman" w:hAnsi="Times New Roman"/>
                <w:sz w:val="17"/>
                <w:szCs w:val="17"/>
                <w:color w:val="231F20"/>
              </w:rPr>
              <w:t>2,045.4</w:t>
            </w:r>
          </w:p>
        </w:tc>
        <w:tc>
          <w:tcPr>
            <w:tcW w:w="300" w:type="dxa"/>
            <w:vAlign w:val="bottom"/>
            <w:shd w:val="clear" w:color="auto" w:fill="D0EBF2"/>
          </w:tcPr>
          <w:p>
            <w:pPr>
              <w:spacing w:after="0"/>
              <w:rPr>
                <w:sz w:val="18"/>
                <w:szCs w:val="18"/>
                <w:color w:val="auto"/>
              </w:rPr>
            </w:pPr>
          </w:p>
        </w:tc>
        <w:tc>
          <w:tcPr>
            <w:tcW w:w="100" w:type="dxa"/>
            <w:vAlign w:val="bottom"/>
            <w:shd w:val="clear" w:color="auto" w:fill="D0EBF2"/>
          </w:tcPr>
          <w:p>
            <w:pPr>
              <w:spacing w:after="0"/>
              <w:rPr>
                <w:sz w:val="18"/>
                <w:szCs w:val="18"/>
                <w:color w:val="auto"/>
              </w:rPr>
            </w:pPr>
          </w:p>
        </w:tc>
        <w:tc>
          <w:tcPr>
            <w:tcW w:w="1220" w:type="dxa"/>
            <w:vAlign w:val="bottom"/>
            <w:shd w:val="clear" w:color="auto" w:fill="D0EBF2"/>
          </w:tcPr>
          <w:p>
            <w:pPr>
              <w:ind w:left="1020"/>
              <w:spacing w:after="0"/>
              <w:rPr>
                <w:sz w:val="20"/>
                <w:szCs w:val="20"/>
                <w:color w:val="auto"/>
              </w:rPr>
            </w:pPr>
            <w:r>
              <w:rPr>
                <w:rFonts w:ascii="Times New Roman" w:cs="Times New Roman" w:eastAsia="Times New Roman" w:hAnsi="Times New Roman"/>
                <w:sz w:val="17"/>
                <w:szCs w:val="17"/>
                <w:color w:val="231F20"/>
              </w:rPr>
              <w:t>—</w:t>
            </w:r>
          </w:p>
        </w:tc>
        <w:tc>
          <w:tcPr>
            <w:tcW w:w="340" w:type="dxa"/>
            <w:vAlign w:val="bottom"/>
            <w:shd w:val="clear" w:color="auto" w:fill="D0EBF2"/>
          </w:tcPr>
          <w:p>
            <w:pPr>
              <w:spacing w:after="0"/>
              <w:rPr>
                <w:sz w:val="18"/>
                <w:szCs w:val="18"/>
                <w:color w:val="auto"/>
              </w:rPr>
            </w:pPr>
          </w:p>
        </w:tc>
        <w:tc>
          <w:tcPr>
            <w:tcW w:w="1040" w:type="dxa"/>
            <w:vAlign w:val="bottom"/>
            <w:shd w:val="clear" w:color="auto" w:fill="D0EBF2"/>
          </w:tcPr>
          <w:p>
            <w:pPr>
              <w:ind w:left="720"/>
              <w:spacing w:after="0"/>
              <w:rPr>
                <w:sz w:val="20"/>
                <w:szCs w:val="20"/>
                <w:color w:val="auto"/>
              </w:rPr>
            </w:pPr>
            <w:r>
              <w:rPr>
                <w:rFonts w:ascii="Times New Roman" w:cs="Times New Roman" w:eastAsia="Times New Roman" w:hAnsi="Times New Roman"/>
                <w:sz w:val="17"/>
                <w:szCs w:val="17"/>
                <w:color w:val="231F20"/>
              </w:rPr>
              <w:t>N/A</w:t>
            </w:r>
          </w:p>
        </w:tc>
        <w:tc>
          <w:tcPr>
            <w:tcW w:w="0" w:type="dxa"/>
            <w:vAlign w:val="bottom"/>
          </w:tcPr>
          <w:p>
            <w:pPr>
              <w:spacing w:after="0"/>
              <w:rPr>
                <w:sz w:val="1"/>
                <w:szCs w:val="1"/>
                <w:color w:val="auto"/>
              </w:rPr>
            </w:pPr>
          </w:p>
        </w:tc>
      </w:tr>
      <w:tr>
        <w:trPr>
          <w:trHeight w:val="209"/>
        </w:trPr>
        <w:tc>
          <w:tcPr>
            <w:tcW w:w="2860" w:type="dxa"/>
            <w:vAlign w:val="bottom"/>
            <w:shd w:val="clear" w:color="auto" w:fill="FDFDFC"/>
          </w:tcPr>
          <w:p>
            <w:pPr>
              <w:spacing w:after="0"/>
              <w:rPr>
                <w:sz w:val="20"/>
                <w:szCs w:val="20"/>
                <w:color w:val="auto"/>
              </w:rPr>
            </w:pPr>
            <w:r>
              <w:rPr>
                <w:rFonts w:ascii="Times New Roman" w:cs="Times New Roman" w:eastAsia="Times New Roman" w:hAnsi="Times New Roman"/>
                <w:sz w:val="17"/>
                <w:szCs w:val="17"/>
                <w:color w:val="231F20"/>
              </w:rPr>
              <w:t>December 31, 2019</w:t>
            </w:r>
          </w:p>
        </w:tc>
        <w:tc>
          <w:tcPr>
            <w:tcW w:w="180" w:type="dxa"/>
            <w:vAlign w:val="bottom"/>
            <w:shd w:val="clear" w:color="auto" w:fill="FDFDFC"/>
          </w:tcPr>
          <w:p>
            <w:pPr>
              <w:spacing w:after="0"/>
              <w:rPr>
                <w:sz w:val="18"/>
                <w:szCs w:val="18"/>
                <w:color w:val="auto"/>
              </w:rPr>
            </w:pPr>
          </w:p>
        </w:tc>
        <w:tc>
          <w:tcPr>
            <w:tcW w:w="380" w:type="dxa"/>
            <w:vAlign w:val="bottom"/>
            <w:shd w:val="clear" w:color="auto" w:fill="FDFDFC"/>
          </w:tcPr>
          <w:p>
            <w:pPr>
              <w:spacing w:after="0"/>
              <w:rPr>
                <w:sz w:val="18"/>
                <w:szCs w:val="18"/>
                <w:color w:val="auto"/>
              </w:rPr>
            </w:pPr>
          </w:p>
        </w:tc>
        <w:tc>
          <w:tcPr>
            <w:tcW w:w="1100" w:type="dxa"/>
            <w:vAlign w:val="bottom"/>
            <w:shd w:val="clear" w:color="auto" w:fill="FDFDFC"/>
          </w:tcPr>
          <w:p>
            <w:pPr>
              <w:jc w:val="right"/>
              <w:spacing w:after="0"/>
              <w:rPr>
                <w:sz w:val="20"/>
                <w:szCs w:val="20"/>
                <w:color w:val="auto"/>
              </w:rPr>
            </w:pPr>
            <w:r>
              <w:rPr>
                <w:rFonts w:ascii="Times New Roman" w:cs="Times New Roman" w:eastAsia="Times New Roman" w:hAnsi="Times New Roman"/>
                <w:sz w:val="17"/>
                <w:szCs w:val="17"/>
                <w:color w:val="231F20"/>
              </w:rPr>
              <w:t>297.2</w:t>
            </w:r>
          </w:p>
        </w:tc>
        <w:tc>
          <w:tcPr>
            <w:tcW w:w="280" w:type="dxa"/>
            <w:vAlign w:val="bottom"/>
            <w:shd w:val="clear" w:color="auto" w:fill="FDFDFC"/>
          </w:tcPr>
          <w:p>
            <w:pPr>
              <w:spacing w:after="0"/>
              <w:rPr>
                <w:sz w:val="18"/>
                <w:szCs w:val="18"/>
                <w:color w:val="auto"/>
              </w:rPr>
            </w:pPr>
          </w:p>
        </w:tc>
        <w:tc>
          <w:tcPr>
            <w:tcW w:w="120" w:type="dxa"/>
            <w:vAlign w:val="bottom"/>
            <w:shd w:val="clear" w:color="auto" w:fill="FDFDFC"/>
          </w:tcPr>
          <w:p>
            <w:pPr>
              <w:spacing w:after="0"/>
              <w:rPr>
                <w:sz w:val="18"/>
                <w:szCs w:val="18"/>
                <w:color w:val="auto"/>
              </w:rPr>
            </w:pPr>
          </w:p>
        </w:tc>
        <w:tc>
          <w:tcPr>
            <w:tcW w:w="1040" w:type="dxa"/>
            <w:vAlign w:val="bottom"/>
            <w:shd w:val="clear" w:color="auto" w:fill="FDFDFC"/>
          </w:tcPr>
          <w:p>
            <w:pPr>
              <w:jc w:val="right"/>
              <w:spacing w:after="0"/>
              <w:rPr>
                <w:sz w:val="20"/>
                <w:szCs w:val="20"/>
                <w:color w:val="auto"/>
              </w:rPr>
            </w:pPr>
            <w:r>
              <w:rPr>
                <w:rFonts w:ascii="Times New Roman" w:cs="Times New Roman" w:eastAsia="Times New Roman" w:hAnsi="Times New Roman"/>
                <w:sz w:val="17"/>
                <w:szCs w:val="17"/>
                <w:color w:val="231F20"/>
              </w:rPr>
              <w:t>2,004.1</w:t>
            </w:r>
          </w:p>
        </w:tc>
        <w:tc>
          <w:tcPr>
            <w:tcW w:w="300" w:type="dxa"/>
            <w:vAlign w:val="bottom"/>
            <w:shd w:val="clear" w:color="auto" w:fill="FDFDFC"/>
          </w:tcPr>
          <w:p>
            <w:pPr>
              <w:spacing w:after="0"/>
              <w:rPr>
                <w:sz w:val="18"/>
                <w:szCs w:val="18"/>
                <w:color w:val="auto"/>
              </w:rPr>
            </w:pPr>
          </w:p>
        </w:tc>
        <w:tc>
          <w:tcPr>
            <w:tcW w:w="100" w:type="dxa"/>
            <w:vAlign w:val="bottom"/>
            <w:shd w:val="clear" w:color="auto" w:fill="FDFDFC"/>
          </w:tcPr>
          <w:p>
            <w:pPr>
              <w:spacing w:after="0"/>
              <w:rPr>
                <w:sz w:val="18"/>
                <w:szCs w:val="18"/>
                <w:color w:val="auto"/>
              </w:rPr>
            </w:pPr>
          </w:p>
        </w:tc>
        <w:tc>
          <w:tcPr>
            <w:tcW w:w="1220" w:type="dxa"/>
            <w:vAlign w:val="bottom"/>
            <w:shd w:val="clear" w:color="auto" w:fill="FDFDFC"/>
          </w:tcPr>
          <w:p>
            <w:pPr>
              <w:ind w:left="1020"/>
              <w:spacing w:after="0"/>
              <w:rPr>
                <w:sz w:val="20"/>
                <w:szCs w:val="20"/>
                <w:color w:val="auto"/>
              </w:rPr>
            </w:pPr>
            <w:r>
              <w:rPr>
                <w:rFonts w:ascii="Times New Roman" w:cs="Times New Roman" w:eastAsia="Times New Roman" w:hAnsi="Times New Roman"/>
                <w:sz w:val="17"/>
                <w:szCs w:val="17"/>
                <w:color w:val="231F20"/>
              </w:rPr>
              <w:t>—</w:t>
            </w:r>
          </w:p>
        </w:tc>
        <w:tc>
          <w:tcPr>
            <w:tcW w:w="340" w:type="dxa"/>
            <w:vAlign w:val="bottom"/>
            <w:shd w:val="clear" w:color="auto" w:fill="FDFDFC"/>
          </w:tcPr>
          <w:p>
            <w:pPr>
              <w:spacing w:after="0"/>
              <w:rPr>
                <w:sz w:val="18"/>
                <w:szCs w:val="18"/>
                <w:color w:val="auto"/>
              </w:rPr>
            </w:pPr>
          </w:p>
        </w:tc>
        <w:tc>
          <w:tcPr>
            <w:tcW w:w="1040" w:type="dxa"/>
            <w:vAlign w:val="bottom"/>
            <w:shd w:val="clear" w:color="auto" w:fill="FDFDFC"/>
          </w:tcPr>
          <w:p>
            <w:pPr>
              <w:ind w:left="720"/>
              <w:spacing w:after="0"/>
              <w:rPr>
                <w:sz w:val="20"/>
                <w:szCs w:val="20"/>
                <w:color w:val="auto"/>
              </w:rPr>
            </w:pPr>
            <w:r>
              <w:rPr>
                <w:rFonts w:ascii="Times New Roman" w:cs="Times New Roman" w:eastAsia="Times New Roman" w:hAnsi="Times New Roman"/>
                <w:sz w:val="17"/>
                <w:szCs w:val="17"/>
                <w:color w:val="231F20"/>
              </w:rPr>
              <w:t>N/A</w:t>
            </w:r>
          </w:p>
        </w:tc>
        <w:tc>
          <w:tcPr>
            <w:tcW w:w="0" w:type="dxa"/>
            <w:vAlign w:val="bottom"/>
          </w:tcPr>
          <w:p>
            <w:pPr>
              <w:spacing w:after="0"/>
              <w:rPr>
                <w:sz w:val="1"/>
                <w:szCs w:val="1"/>
                <w:color w:val="auto"/>
              </w:rPr>
            </w:pPr>
          </w:p>
        </w:tc>
      </w:tr>
      <w:tr>
        <w:trPr>
          <w:trHeight w:val="209"/>
        </w:trPr>
        <w:tc>
          <w:tcPr>
            <w:tcW w:w="2860" w:type="dxa"/>
            <w:vAlign w:val="bottom"/>
            <w:shd w:val="clear" w:color="auto" w:fill="D0EBF2"/>
          </w:tcPr>
          <w:p>
            <w:pPr>
              <w:spacing w:after="0"/>
              <w:rPr>
                <w:sz w:val="20"/>
                <w:szCs w:val="20"/>
                <w:color w:val="auto"/>
              </w:rPr>
            </w:pPr>
            <w:r>
              <w:rPr>
                <w:rFonts w:ascii="Times New Roman" w:cs="Times New Roman" w:eastAsia="Times New Roman" w:hAnsi="Times New Roman"/>
                <w:sz w:val="17"/>
                <w:szCs w:val="17"/>
                <w:b w:val="1"/>
                <w:bCs w:val="1"/>
                <w:color w:val="231F20"/>
              </w:rPr>
              <w:t>2026 Notes</w:t>
            </w:r>
          </w:p>
        </w:tc>
        <w:tc>
          <w:tcPr>
            <w:tcW w:w="180" w:type="dxa"/>
            <w:vAlign w:val="bottom"/>
            <w:shd w:val="clear" w:color="auto" w:fill="D0EBF2"/>
          </w:tcPr>
          <w:p>
            <w:pPr>
              <w:spacing w:after="0"/>
              <w:rPr>
                <w:sz w:val="18"/>
                <w:szCs w:val="18"/>
                <w:color w:val="auto"/>
              </w:rPr>
            </w:pPr>
          </w:p>
        </w:tc>
        <w:tc>
          <w:tcPr>
            <w:tcW w:w="380" w:type="dxa"/>
            <w:vAlign w:val="bottom"/>
            <w:shd w:val="clear" w:color="auto" w:fill="D0EBF2"/>
          </w:tcPr>
          <w:p>
            <w:pPr>
              <w:spacing w:after="0"/>
              <w:rPr>
                <w:sz w:val="18"/>
                <w:szCs w:val="18"/>
                <w:color w:val="auto"/>
              </w:rPr>
            </w:pPr>
          </w:p>
        </w:tc>
        <w:tc>
          <w:tcPr>
            <w:tcW w:w="1100" w:type="dxa"/>
            <w:vAlign w:val="bottom"/>
            <w:shd w:val="clear" w:color="auto" w:fill="D0EBF2"/>
          </w:tcPr>
          <w:p>
            <w:pPr>
              <w:spacing w:after="0"/>
              <w:rPr>
                <w:sz w:val="18"/>
                <w:szCs w:val="18"/>
                <w:color w:val="auto"/>
              </w:rPr>
            </w:pPr>
          </w:p>
        </w:tc>
        <w:tc>
          <w:tcPr>
            <w:tcW w:w="280" w:type="dxa"/>
            <w:vAlign w:val="bottom"/>
            <w:shd w:val="clear" w:color="auto" w:fill="D0EBF2"/>
          </w:tcPr>
          <w:p>
            <w:pPr>
              <w:spacing w:after="0"/>
              <w:rPr>
                <w:sz w:val="18"/>
                <w:szCs w:val="18"/>
                <w:color w:val="auto"/>
              </w:rPr>
            </w:pPr>
          </w:p>
        </w:tc>
        <w:tc>
          <w:tcPr>
            <w:tcW w:w="120" w:type="dxa"/>
            <w:vAlign w:val="bottom"/>
            <w:shd w:val="clear" w:color="auto" w:fill="D0EBF2"/>
          </w:tcPr>
          <w:p>
            <w:pPr>
              <w:spacing w:after="0"/>
              <w:rPr>
                <w:sz w:val="18"/>
                <w:szCs w:val="18"/>
                <w:color w:val="auto"/>
              </w:rPr>
            </w:pPr>
          </w:p>
        </w:tc>
        <w:tc>
          <w:tcPr>
            <w:tcW w:w="1040" w:type="dxa"/>
            <w:vAlign w:val="bottom"/>
            <w:shd w:val="clear" w:color="auto" w:fill="D0EBF2"/>
          </w:tcPr>
          <w:p>
            <w:pPr>
              <w:spacing w:after="0"/>
              <w:rPr>
                <w:sz w:val="18"/>
                <w:szCs w:val="18"/>
                <w:color w:val="auto"/>
              </w:rPr>
            </w:pPr>
          </w:p>
        </w:tc>
        <w:tc>
          <w:tcPr>
            <w:tcW w:w="300" w:type="dxa"/>
            <w:vAlign w:val="bottom"/>
            <w:shd w:val="clear" w:color="auto" w:fill="D0EBF2"/>
          </w:tcPr>
          <w:p>
            <w:pPr>
              <w:spacing w:after="0"/>
              <w:rPr>
                <w:sz w:val="18"/>
                <w:szCs w:val="18"/>
                <w:color w:val="auto"/>
              </w:rPr>
            </w:pPr>
          </w:p>
        </w:tc>
        <w:tc>
          <w:tcPr>
            <w:tcW w:w="100" w:type="dxa"/>
            <w:vAlign w:val="bottom"/>
            <w:shd w:val="clear" w:color="auto" w:fill="D0EBF2"/>
          </w:tcPr>
          <w:p>
            <w:pPr>
              <w:spacing w:after="0"/>
              <w:rPr>
                <w:sz w:val="18"/>
                <w:szCs w:val="18"/>
                <w:color w:val="auto"/>
              </w:rPr>
            </w:pPr>
          </w:p>
        </w:tc>
        <w:tc>
          <w:tcPr>
            <w:tcW w:w="1220" w:type="dxa"/>
            <w:vAlign w:val="bottom"/>
            <w:shd w:val="clear" w:color="auto" w:fill="D0EBF2"/>
          </w:tcPr>
          <w:p>
            <w:pPr>
              <w:spacing w:after="0"/>
              <w:rPr>
                <w:sz w:val="18"/>
                <w:szCs w:val="18"/>
                <w:color w:val="auto"/>
              </w:rPr>
            </w:pPr>
          </w:p>
        </w:tc>
        <w:tc>
          <w:tcPr>
            <w:tcW w:w="340" w:type="dxa"/>
            <w:vAlign w:val="bottom"/>
            <w:shd w:val="clear" w:color="auto" w:fill="D0EBF2"/>
          </w:tcPr>
          <w:p>
            <w:pPr>
              <w:spacing w:after="0"/>
              <w:rPr>
                <w:sz w:val="18"/>
                <w:szCs w:val="18"/>
                <w:color w:val="auto"/>
              </w:rPr>
            </w:pPr>
          </w:p>
        </w:tc>
        <w:tc>
          <w:tcPr>
            <w:tcW w:w="1040" w:type="dxa"/>
            <w:vAlign w:val="bottom"/>
            <w:shd w:val="clear" w:color="auto" w:fill="D0EBF2"/>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860" w:type="dxa"/>
            <w:vAlign w:val="bottom"/>
            <w:shd w:val="clear" w:color="auto" w:fill="FDFDFC"/>
          </w:tcPr>
          <w:p>
            <w:pPr>
              <w:spacing w:after="0"/>
              <w:rPr>
                <w:sz w:val="20"/>
                <w:szCs w:val="20"/>
                <w:color w:val="auto"/>
              </w:rPr>
            </w:pPr>
            <w:r>
              <w:rPr>
                <w:rFonts w:ascii="Times New Roman" w:cs="Times New Roman" w:eastAsia="Times New Roman" w:hAnsi="Times New Roman"/>
                <w:sz w:val="17"/>
                <w:szCs w:val="17"/>
                <w:color w:val="231F20"/>
              </w:rPr>
              <w:t>December 31, 2024</w:t>
            </w:r>
          </w:p>
        </w:tc>
        <w:tc>
          <w:tcPr>
            <w:tcW w:w="560" w:type="dxa"/>
            <w:vAlign w:val="bottom"/>
            <w:gridSpan w:val="2"/>
            <w:shd w:val="clear" w:color="auto" w:fill="FDFDFC"/>
          </w:tcPr>
          <w:p>
            <w:pPr>
              <w:jc w:val="right"/>
              <w:ind w:right="195"/>
              <w:spacing w:after="0"/>
              <w:rPr>
                <w:sz w:val="20"/>
                <w:szCs w:val="20"/>
                <w:color w:val="auto"/>
              </w:rPr>
            </w:pPr>
            <w:r>
              <w:rPr>
                <w:rFonts w:ascii="Times New Roman" w:cs="Times New Roman" w:eastAsia="Times New Roman" w:hAnsi="Times New Roman"/>
                <w:sz w:val="17"/>
                <w:szCs w:val="17"/>
                <w:color w:val="231F20"/>
              </w:rPr>
              <w:t>$</w:t>
            </w:r>
          </w:p>
        </w:tc>
        <w:tc>
          <w:tcPr>
            <w:tcW w:w="1100" w:type="dxa"/>
            <w:vAlign w:val="bottom"/>
            <w:shd w:val="clear" w:color="auto" w:fill="FDFDFC"/>
          </w:tcPr>
          <w:p>
            <w:pPr>
              <w:jc w:val="right"/>
              <w:spacing w:after="0"/>
              <w:rPr>
                <w:sz w:val="20"/>
                <w:szCs w:val="20"/>
                <w:color w:val="auto"/>
              </w:rPr>
            </w:pPr>
            <w:r>
              <w:rPr>
                <w:rFonts w:ascii="Times New Roman" w:cs="Times New Roman" w:eastAsia="Times New Roman" w:hAnsi="Times New Roman"/>
                <w:sz w:val="17"/>
                <w:szCs w:val="17"/>
                <w:color w:val="231F20"/>
              </w:rPr>
              <w:t>299.3</w:t>
            </w:r>
          </w:p>
        </w:tc>
        <w:tc>
          <w:tcPr>
            <w:tcW w:w="400" w:type="dxa"/>
            <w:vAlign w:val="bottom"/>
            <w:gridSpan w:val="2"/>
            <w:shd w:val="clear" w:color="auto" w:fill="FDFDFC"/>
          </w:tcPr>
          <w:p>
            <w:pPr>
              <w:ind w:left="280"/>
              <w:spacing w:after="0"/>
              <w:rPr>
                <w:sz w:val="20"/>
                <w:szCs w:val="20"/>
                <w:color w:val="auto"/>
              </w:rPr>
            </w:pPr>
            <w:r>
              <w:rPr>
                <w:rFonts w:ascii="Times New Roman" w:cs="Times New Roman" w:eastAsia="Times New Roman" w:hAnsi="Times New Roman"/>
                <w:sz w:val="17"/>
                <w:szCs w:val="17"/>
                <w:color w:val="231F20"/>
              </w:rPr>
              <w:t>$</w:t>
            </w:r>
          </w:p>
        </w:tc>
        <w:tc>
          <w:tcPr>
            <w:tcW w:w="1040" w:type="dxa"/>
            <w:vAlign w:val="bottom"/>
            <w:shd w:val="clear" w:color="auto" w:fill="FDFDFC"/>
          </w:tcPr>
          <w:p>
            <w:pPr>
              <w:jc w:val="right"/>
              <w:spacing w:after="0"/>
              <w:rPr>
                <w:sz w:val="20"/>
                <w:szCs w:val="20"/>
                <w:color w:val="auto"/>
              </w:rPr>
            </w:pPr>
            <w:r>
              <w:rPr>
                <w:rFonts w:ascii="Times New Roman" w:cs="Times New Roman" w:eastAsia="Times New Roman" w:hAnsi="Times New Roman"/>
                <w:sz w:val="17"/>
                <w:szCs w:val="17"/>
                <w:color w:val="231F20"/>
              </w:rPr>
              <w:t>1,824.7</w:t>
            </w:r>
          </w:p>
        </w:tc>
        <w:tc>
          <w:tcPr>
            <w:tcW w:w="400" w:type="dxa"/>
            <w:vAlign w:val="bottom"/>
            <w:gridSpan w:val="2"/>
            <w:shd w:val="clear" w:color="auto" w:fill="FDFDFC"/>
          </w:tcPr>
          <w:p>
            <w:pPr>
              <w:jc w:val="right"/>
              <w:spacing w:after="0"/>
              <w:rPr>
                <w:sz w:val="20"/>
                <w:szCs w:val="20"/>
                <w:color w:val="auto"/>
              </w:rPr>
            </w:pPr>
            <w:r>
              <w:rPr>
                <w:rFonts w:ascii="Times New Roman" w:cs="Times New Roman" w:eastAsia="Times New Roman" w:hAnsi="Times New Roman"/>
                <w:sz w:val="17"/>
                <w:szCs w:val="17"/>
                <w:color w:val="231F20"/>
              </w:rPr>
              <w:t>$</w:t>
            </w:r>
          </w:p>
        </w:tc>
        <w:tc>
          <w:tcPr>
            <w:tcW w:w="1220" w:type="dxa"/>
            <w:vAlign w:val="bottom"/>
            <w:shd w:val="clear" w:color="auto" w:fill="FDFDFC"/>
          </w:tcPr>
          <w:p>
            <w:pPr>
              <w:ind w:left="1020"/>
              <w:spacing w:after="0"/>
              <w:rPr>
                <w:sz w:val="20"/>
                <w:szCs w:val="20"/>
                <w:color w:val="auto"/>
              </w:rPr>
            </w:pPr>
            <w:r>
              <w:rPr>
                <w:rFonts w:ascii="Times New Roman" w:cs="Times New Roman" w:eastAsia="Times New Roman" w:hAnsi="Times New Roman"/>
                <w:sz w:val="17"/>
                <w:szCs w:val="17"/>
                <w:color w:val="231F20"/>
              </w:rPr>
              <w:t>—</w:t>
            </w:r>
          </w:p>
        </w:tc>
        <w:tc>
          <w:tcPr>
            <w:tcW w:w="340" w:type="dxa"/>
            <w:vAlign w:val="bottom"/>
            <w:shd w:val="clear" w:color="auto" w:fill="FDFDFC"/>
          </w:tcPr>
          <w:p>
            <w:pPr>
              <w:spacing w:after="0"/>
              <w:rPr>
                <w:sz w:val="18"/>
                <w:szCs w:val="18"/>
                <w:color w:val="auto"/>
              </w:rPr>
            </w:pPr>
          </w:p>
        </w:tc>
        <w:tc>
          <w:tcPr>
            <w:tcW w:w="1040" w:type="dxa"/>
            <w:vAlign w:val="bottom"/>
            <w:shd w:val="clear" w:color="auto" w:fill="FDFDFC"/>
          </w:tcPr>
          <w:p>
            <w:pPr>
              <w:ind w:left="720"/>
              <w:spacing w:after="0"/>
              <w:rPr>
                <w:sz w:val="20"/>
                <w:szCs w:val="20"/>
                <w:color w:val="auto"/>
              </w:rPr>
            </w:pPr>
            <w:r>
              <w:rPr>
                <w:rFonts w:ascii="Times New Roman" w:cs="Times New Roman" w:eastAsia="Times New Roman" w:hAnsi="Times New Roman"/>
                <w:sz w:val="17"/>
                <w:szCs w:val="17"/>
                <w:color w:val="231F20"/>
              </w:rPr>
              <w:t>N/A</w:t>
            </w:r>
          </w:p>
        </w:tc>
        <w:tc>
          <w:tcPr>
            <w:tcW w:w="0" w:type="dxa"/>
            <w:vAlign w:val="bottom"/>
          </w:tcPr>
          <w:p>
            <w:pPr>
              <w:spacing w:after="0"/>
              <w:rPr>
                <w:sz w:val="1"/>
                <w:szCs w:val="1"/>
                <w:color w:val="auto"/>
              </w:rPr>
            </w:pPr>
          </w:p>
        </w:tc>
      </w:tr>
      <w:tr>
        <w:trPr>
          <w:trHeight w:val="209"/>
        </w:trPr>
        <w:tc>
          <w:tcPr>
            <w:tcW w:w="2860" w:type="dxa"/>
            <w:vAlign w:val="bottom"/>
            <w:shd w:val="clear" w:color="auto" w:fill="D0EBF2"/>
          </w:tcPr>
          <w:p>
            <w:pPr>
              <w:spacing w:after="0"/>
              <w:rPr>
                <w:sz w:val="20"/>
                <w:szCs w:val="20"/>
                <w:color w:val="auto"/>
              </w:rPr>
            </w:pPr>
            <w:r>
              <w:rPr>
                <w:rFonts w:ascii="Times New Roman" w:cs="Times New Roman" w:eastAsia="Times New Roman" w:hAnsi="Times New Roman"/>
                <w:sz w:val="17"/>
                <w:szCs w:val="17"/>
                <w:color w:val="231F20"/>
              </w:rPr>
              <w:t>December 31, 2023</w:t>
            </w:r>
          </w:p>
        </w:tc>
        <w:tc>
          <w:tcPr>
            <w:tcW w:w="180" w:type="dxa"/>
            <w:vAlign w:val="bottom"/>
            <w:shd w:val="clear" w:color="auto" w:fill="D0EBF2"/>
          </w:tcPr>
          <w:p>
            <w:pPr>
              <w:spacing w:after="0"/>
              <w:rPr>
                <w:sz w:val="18"/>
                <w:szCs w:val="18"/>
                <w:color w:val="auto"/>
              </w:rPr>
            </w:pPr>
          </w:p>
        </w:tc>
        <w:tc>
          <w:tcPr>
            <w:tcW w:w="380" w:type="dxa"/>
            <w:vAlign w:val="bottom"/>
            <w:shd w:val="clear" w:color="auto" w:fill="D0EBF2"/>
          </w:tcPr>
          <w:p>
            <w:pPr>
              <w:spacing w:after="0"/>
              <w:rPr>
                <w:sz w:val="18"/>
                <w:szCs w:val="18"/>
                <w:color w:val="auto"/>
              </w:rPr>
            </w:pPr>
          </w:p>
        </w:tc>
        <w:tc>
          <w:tcPr>
            <w:tcW w:w="1100" w:type="dxa"/>
            <w:vAlign w:val="bottom"/>
            <w:shd w:val="clear" w:color="auto" w:fill="D0EBF2"/>
          </w:tcPr>
          <w:p>
            <w:pPr>
              <w:jc w:val="right"/>
              <w:spacing w:after="0"/>
              <w:rPr>
                <w:sz w:val="20"/>
                <w:szCs w:val="20"/>
                <w:color w:val="auto"/>
              </w:rPr>
            </w:pPr>
            <w:r>
              <w:rPr>
                <w:rFonts w:ascii="Times New Roman" w:cs="Times New Roman" w:eastAsia="Times New Roman" w:hAnsi="Times New Roman"/>
                <w:sz w:val="17"/>
                <w:szCs w:val="17"/>
                <w:color w:val="231F20"/>
              </w:rPr>
              <w:t>298.9</w:t>
            </w:r>
          </w:p>
        </w:tc>
        <w:tc>
          <w:tcPr>
            <w:tcW w:w="280" w:type="dxa"/>
            <w:vAlign w:val="bottom"/>
            <w:shd w:val="clear" w:color="auto" w:fill="D0EBF2"/>
          </w:tcPr>
          <w:p>
            <w:pPr>
              <w:spacing w:after="0"/>
              <w:rPr>
                <w:sz w:val="18"/>
                <w:szCs w:val="18"/>
                <w:color w:val="auto"/>
              </w:rPr>
            </w:pPr>
          </w:p>
        </w:tc>
        <w:tc>
          <w:tcPr>
            <w:tcW w:w="120" w:type="dxa"/>
            <w:vAlign w:val="bottom"/>
            <w:shd w:val="clear" w:color="auto" w:fill="D0EBF2"/>
          </w:tcPr>
          <w:p>
            <w:pPr>
              <w:spacing w:after="0"/>
              <w:rPr>
                <w:sz w:val="18"/>
                <w:szCs w:val="18"/>
                <w:color w:val="auto"/>
              </w:rPr>
            </w:pPr>
          </w:p>
        </w:tc>
        <w:tc>
          <w:tcPr>
            <w:tcW w:w="1040" w:type="dxa"/>
            <w:vAlign w:val="bottom"/>
            <w:shd w:val="clear" w:color="auto" w:fill="D0EBF2"/>
          </w:tcPr>
          <w:p>
            <w:pPr>
              <w:jc w:val="right"/>
              <w:spacing w:after="0"/>
              <w:rPr>
                <w:sz w:val="20"/>
                <w:szCs w:val="20"/>
                <w:color w:val="auto"/>
              </w:rPr>
            </w:pPr>
            <w:r>
              <w:rPr>
                <w:rFonts w:ascii="Times New Roman" w:cs="Times New Roman" w:eastAsia="Times New Roman" w:hAnsi="Times New Roman"/>
                <w:sz w:val="17"/>
                <w:szCs w:val="17"/>
                <w:color w:val="231F20"/>
              </w:rPr>
              <w:t>1,815.9</w:t>
            </w:r>
          </w:p>
        </w:tc>
        <w:tc>
          <w:tcPr>
            <w:tcW w:w="300" w:type="dxa"/>
            <w:vAlign w:val="bottom"/>
            <w:shd w:val="clear" w:color="auto" w:fill="D0EBF2"/>
          </w:tcPr>
          <w:p>
            <w:pPr>
              <w:spacing w:after="0"/>
              <w:rPr>
                <w:sz w:val="18"/>
                <w:szCs w:val="18"/>
                <w:color w:val="auto"/>
              </w:rPr>
            </w:pPr>
          </w:p>
        </w:tc>
        <w:tc>
          <w:tcPr>
            <w:tcW w:w="100" w:type="dxa"/>
            <w:vAlign w:val="bottom"/>
            <w:shd w:val="clear" w:color="auto" w:fill="D0EBF2"/>
          </w:tcPr>
          <w:p>
            <w:pPr>
              <w:spacing w:after="0"/>
              <w:rPr>
                <w:sz w:val="18"/>
                <w:szCs w:val="18"/>
                <w:color w:val="auto"/>
              </w:rPr>
            </w:pPr>
          </w:p>
        </w:tc>
        <w:tc>
          <w:tcPr>
            <w:tcW w:w="1220" w:type="dxa"/>
            <w:vAlign w:val="bottom"/>
            <w:shd w:val="clear" w:color="auto" w:fill="D0EBF2"/>
          </w:tcPr>
          <w:p>
            <w:pPr>
              <w:ind w:left="1020"/>
              <w:spacing w:after="0"/>
              <w:rPr>
                <w:sz w:val="20"/>
                <w:szCs w:val="20"/>
                <w:color w:val="auto"/>
              </w:rPr>
            </w:pPr>
            <w:r>
              <w:rPr>
                <w:rFonts w:ascii="Times New Roman" w:cs="Times New Roman" w:eastAsia="Times New Roman" w:hAnsi="Times New Roman"/>
                <w:sz w:val="17"/>
                <w:szCs w:val="17"/>
                <w:color w:val="231F20"/>
              </w:rPr>
              <w:t>—</w:t>
            </w:r>
          </w:p>
        </w:tc>
        <w:tc>
          <w:tcPr>
            <w:tcW w:w="340" w:type="dxa"/>
            <w:vAlign w:val="bottom"/>
            <w:shd w:val="clear" w:color="auto" w:fill="D0EBF2"/>
          </w:tcPr>
          <w:p>
            <w:pPr>
              <w:spacing w:after="0"/>
              <w:rPr>
                <w:sz w:val="18"/>
                <w:szCs w:val="18"/>
                <w:color w:val="auto"/>
              </w:rPr>
            </w:pPr>
          </w:p>
        </w:tc>
        <w:tc>
          <w:tcPr>
            <w:tcW w:w="1040" w:type="dxa"/>
            <w:vAlign w:val="bottom"/>
            <w:shd w:val="clear" w:color="auto" w:fill="D0EBF2"/>
          </w:tcPr>
          <w:p>
            <w:pPr>
              <w:ind w:left="720"/>
              <w:spacing w:after="0"/>
              <w:rPr>
                <w:sz w:val="20"/>
                <w:szCs w:val="20"/>
                <w:color w:val="auto"/>
              </w:rPr>
            </w:pPr>
            <w:r>
              <w:rPr>
                <w:rFonts w:ascii="Times New Roman" w:cs="Times New Roman" w:eastAsia="Times New Roman" w:hAnsi="Times New Roman"/>
                <w:sz w:val="17"/>
                <w:szCs w:val="17"/>
                <w:color w:val="231F20"/>
              </w:rPr>
              <w:t>N/A</w:t>
            </w:r>
          </w:p>
        </w:tc>
        <w:tc>
          <w:tcPr>
            <w:tcW w:w="0" w:type="dxa"/>
            <w:vAlign w:val="bottom"/>
          </w:tcPr>
          <w:p>
            <w:pPr>
              <w:spacing w:after="0"/>
              <w:rPr>
                <w:sz w:val="1"/>
                <w:szCs w:val="1"/>
                <w:color w:val="auto"/>
              </w:rPr>
            </w:pPr>
          </w:p>
        </w:tc>
      </w:tr>
      <w:tr>
        <w:trPr>
          <w:trHeight w:val="209"/>
        </w:trPr>
        <w:tc>
          <w:tcPr>
            <w:tcW w:w="2860" w:type="dxa"/>
            <w:vAlign w:val="bottom"/>
            <w:shd w:val="clear" w:color="auto" w:fill="FDFDFC"/>
          </w:tcPr>
          <w:p>
            <w:pPr>
              <w:spacing w:after="0"/>
              <w:rPr>
                <w:sz w:val="20"/>
                <w:szCs w:val="20"/>
                <w:color w:val="auto"/>
              </w:rPr>
            </w:pPr>
            <w:r>
              <w:rPr>
                <w:rFonts w:ascii="Times New Roman" w:cs="Times New Roman" w:eastAsia="Times New Roman" w:hAnsi="Times New Roman"/>
                <w:sz w:val="17"/>
                <w:szCs w:val="17"/>
                <w:color w:val="231F20"/>
              </w:rPr>
              <w:t>December 31, 2022</w:t>
            </w:r>
          </w:p>
        </w:tc>
        <w:tc>
          <w:tcPr>
            <w:tcW w:w="180" w:type="dxa"/>
            <w:vAlign w:val="bottom"/>
            <w:shd w:val="clear" w:color="auto" w:fill="FDFDFC"/>
          </w:tcPr>
          <w:p>
            <w:pPr>
              <w:spacing w:after="0"/>
              <w:rPr>
                <w:sz w:val="18"/>
                <w:szCs w:val="18"/>
                <w:color w:val="auto"/>
              </w:rPr>
            </w:pPr>
          </w:p>
        </w:tc>
        <w:tc>
          <w:tcPr>
            <w:tcW w:w="380" w:type="dxa"/>
            <w:vAlign w:val="bottom"/>
            <w:shd w:val="clear" w:color="auto" w:fill="FDFDFC"/>
          </w:tcPr>
          <w:p>
            <w:pPr>
              <w:spacing w:after="0"/>
              <w:rPr>
                <w:sz w:val="18"/>
                <w:szCs w:val="18"/>
                <w:color w:val="auto"/>
              </w:rPr>
            </w:pPr>
          </w:p>
        </w:tc>
        <w:tc>
          <w:tcPr>
            <w:tcW w:w="1100" w:type="dxa"/>
            <w:vAlign w:val="bottom"/>
            <w:shd w:val="clear" w:color="auto" w:fill="FDFDFC"/>
          </w:tcPr>
          <w:p>
            <w:pPr>
              <w:jc w:val="right"/>
              <w:spacing w:after="0"/>
              <w:rPr>
                <w:sz w:val="20"/>
                <w:szCs w:val="20"/>
                <w:color w:val="auto"/>
              </w:rPr>
            </w:pPr>
            <w:r>
              <w:rPr>
                <w:rFonts w:ascii="Times New Roman" w:cs="Times New Roman" w:eastAsia="Times New Roman" w:hAnsi="Times New Roman"/>
                <w:sz w:val="17"/>
                <w:szCs w:val="17"/>
                <w:color w:val="231F20"/>
              </w:rPr>
              <w:t>298.5</w:t>
            </w:r>
          </w:p>
        </w:tc>
        <w:tc>
          <w:tcPr>
            <w:tcW w:w="280" w:type="dxa"/>
            <w:vAlign w:val="bottom"/>
            <w:shd w:val="clear" w:color="auto" w:fill="FDFDFC"/>
          </w:tcPr>
          <w:p>
            <w:pPr>
              <w:spacing w:after="0"/>
              <w:rPr>
                <w:sz w:val="18"/>
                <w:szCs w:val="18"/>
                <w:color w:val="auto"/>
              </w:rPr>
            </w:pPr>
          </w:p>
        </w:tc>
        <w:tc>
          <w:tcPr>
            <w:tcW w:w="120" w:type="dxa"/>
            <w:vAlign w:val="bottom"/>
            <w:shd w:val="clear" w:color="auto" w:fill="FDFDFC"/>
          </w:tcPr>
          <w:p>
            <w:pPr>
              <w:spacing w:after="0"/>
              <w:rPr>
                <w:sz w:val="18"/>
                <w:szCs w:val="18"/>
                <w:color w:val="auto"/>
              </w:rPr>
            </w:pPr>
          </w:p>
        </w:tc>
        <w:tc>
          <w:tcPr>
            <w:tcW w:w="1040" w:type="dxa"/>
            <w:vAlign w:val="bottom"/>
            <w:shd w:val="clear" w:color="auto" w:fill="FDFDFC"/>
          </w:tcPr>
          <w:p>
            <w:pPr>
              <w:jc w:val="right"/>
              <w:spacing w:after="0"/>
              <w:rPr>
                <w:sz w:val="20"/>
                <w:szCs w:val="20"/>
                <w:color w:val="auto"/>
              </w:rPr>
            </w:pPr>
            <w:r>
              <w:rPr>
                <w:rFonts w:ascii="Times New Roman" w:cs="Times New Roman" w:eastAsia="Times New Roman" w:hAnsi="Times New Roman"/>
                <w:sz w:val="17"/>
                <w:szCs w:val="17"/>
                <w:color w:val="231F20"/>
              </w:rPr>
              <w:t>1,885.7</w:t>
            </w:r>
          </w:p>
        </w:tc>
        <w:tc>
          <w:tcPr>
            <w:tcW w:w="300" w:type="dxa"/>
            <w:vAlign w:val="bottom"/>
            <w:shd w:val="clear" w:color="auto" w:fill="FDFDFC"/>
          </w:tcPr>
          <w:p>
            <w:pPr>
              <w:spacing w:after="0"/>
              <w:rPr>
                <w:sz w:val="18"/>
                <w:szCs w:val="18"/>
                <w:color w:val="auto"/>
              </w:rPr>
            </w:pPr>
          </w:p>
        </w:tc>
        <w:tc>
          <w:tcPr>
            <w:tcW w:w="100" w:type="dxa"/>
            <w:vAlign w:val="bottom"/>
            <w:shd w:val="clear" w:color="auto" w:fill="FDFDFC"/>
          </w:tcPr>
          <w:p>
            <w:pPr>
              <w:spacing w:after="0"/>
              <w:rPr>
                <w:sz w:val="18"/>
                <w:szCs w:val="18"/>
                <w:color w:val="auto"/>
              </w:rPr>
            </w:pPr>
          </w:p>
        </w:tc>
        <w:tc>
          <w:tcPr>
            <w:tcW w:w="1220" w:type="dxa"/>
            <w:vAlign w:val="bottom"/>
            <w:shd w:val="clear" w:color="auto" w:fill="FDFDFC"/>
          </w:tcPr>
          <w:p>
            <w:pPr>
              <w:ind w:left="1020"/>
              <w:spacing w:after="0"/>
              <w:rPr>
                <w:sz w:val="20"/>
                <w:szCs w:val="20"/>
                <w:color w:val="auto"/>
              </w:rPr>
            </w:pPr>
            <w:r>
              <w:rPr>
                <w:rFonts w:ascii="Times New Roman" w:cs="Times New Roman" w:eastAsia="Times New Roman" w:hAnsi="Times New Roman"/>
                <w:sz w:val="17"/>
                <w:szCs w:val="17"/>
                <w:color w:val="231F20"/>
              </w:rPr>
              <w:t>—</w:t>
            </w:r>
          </w:p>
        </w:tc>
        <w:tc>
          <w:tcPr>
            <w:tcW w:w="340" w:type="dxa"/>
            <w:vAlign w:val="bottom"/>
            <w:shd w:val="clear" w:color="auto" w:fill="FDFDFC"/>
          </w:tcPr>
          <w:p>
            <w:pPr>
              <w:spacing w:after="0"/>
              <w:rPr>
                <w:sz w:val="18"/>
                <w:szCs w:val="18"/>
                <w:color w:val="auto"/>
              </w:rPr>
            </w:pPr>
          </w:p>
        </w:tc>
        <w:tc>
          <w:tcPr>
            <w:tcW w:w="1040" w:type="dxa"/>
            <w:vAlign w:val="bottom"/>
            <w:shd w:val="clear" w:color="auto" w:fill="FDFDFC"/>
          </w:tcPr>
          <w:p>
            <w:pPr>
              <w:ind w:left="720"/>
              <w:spacing w:after="0"/>
              <w:rPr>
                <w:sz w:val="20"/>
                <w:szCs w:val="20"/>
                <w:color w:val="auto"/>
              </w:rPr>
            </w:pPr>
            <w:r>
              <w:rPr>
                <w:rFonts w:ascii="Times New Roman" w:cs="Times New Roman" w:eastAsia="Times New Roman" w:hAnsi="Times New Roman"/>
                <w:sz w:val="17"/>
                <w:szCs w:val="17"/>
                <w:color w:val="231F20"/>
              </w:rPr>
              <w:t>N/A</w:t>
            </w:r>
          </w:p>
        </w:tc>
        <w:tc>
          <w:tcPr>
            <w:tcW w:w="0" w:type="dxa"/>
            <w:vAlign w:val="bottom"/>
          </w:tcPr>
          <w:p>
            <w:pPr>
              <w:spacing w:after="0"/>
              <w:rPr>
                <w:sz w:val="1"/>
                <w:szCs w:val="1"/>
                <w:color w:val="auto"/>
              </w:rPr>
            </w:pPr>
          </w:p>
        </w:tc>
      </w:tr>
      <w:tr>
        <w:trPr>
          <w:trHeight w:val="209"/>
        </w:trPr>
        <w:tc>
          <w:tcPr>
            <w:tcW w:w="2860" w:type="dxa"/>
            <w:vAlign w:val="bottom"/>
            <w:shd w:val="clear" w:color="auto" w:fill="D0EBF2"/>
          </w:tcPr>
          <w:p>
            <w:pPr>
              <w:spacing w:after="0"/>
              <w:rPr>
                <w:sz w:val="20"/>
                <w:szCs w:val="20"/>
                <w:color w:val="auto"/>
              </w:rPr>
            </w:pPr>
            <w:r>
              <w:rPr>
                <w:rFonts w:ascii="Times New Roman" w:cs="Times New Roman" w:eastAsia="Times New Roman" w:hAnsi="Times New Roman"/>
                <w:sz w:val="17"/>
                <w:szCs w:val="17"/>
                <w:color w:val="231F20"/>
              </w:rPr>
              <w:t>December 31, 2021</w:t>
            </w:r>
          </w:p>
        </w:tc>
        <w:tc>
          <w:tcPr>
            <w:tcW w:w="180" w:type="dxa"/>
            <w:vAlign w:val="bottom"/>
            <w:shd w:val="clear" w:color="auto" w:fill="D0EBF2"/>
          </w:tcPr>
          <w:p>
            <w:pPr>
              <w:spacing w:after="0"/>
              <w:rPr>
                <w:sz w:val="18"/>
                <w:szCs w:val="18"/>
                <w:color w:val="auto"/>
              </w:rPr>
            </w:pPr>
          </w:p>
        </w:tc>
        <w:tc>
          <w:tcPr>
            <w:tcW w:w="380" w:type="dxa"/>
            <w:vAlign w:val="bottom"/>
            <w:shd w:val="clear" w:color="auto" w:fill="D0EBF2"/>
          </w:tcPr>
          <w:p>
            <w:pPr>
              <w:spacing w:after="0"/>
              <w:rPr>
                <w:sz w:val="18"/>
                <w:szCs w:val="18"/>
                <w:color w:val="auto"/>
              </w:rPr>
            </w:pPr>
          </w:p>
        </w:tc>
        <w:tc>
          <w:tcPr>
            <w:tcW w:w="1100" w:type="dxa"/>
            <w:vAlign w:val="bottom"/>
            <w:shd w:val="clear" w:color="auto" w:fill="D0EBF2"/>
          </w:tcPr>
          <w:p>
            <w:pPr>
              <w:jc w:val="right"/>
              <w:spacing w:after="0"/>
              <w:rPr>
                <w:sz w:val="20"/>
                <w:szCs w:val="20"/>
                <w:color w:val="auto"/>
              </w:rPr>
            </w:pPr>
            <w:r>
              <w:rPr>
                <w:rFonts w:ascii="Times New Roman" w:cs="Times New Roman" w:eastAsia="Times New Roman" w:hAnsi="Times New Roman"/>
                <w:sz w:val="17"/>
                <w:szCs w:val="17"/>
                <w:color w:val="231F20"/>
              </w:rPr>
              <w:t>298.1</w:t>
            </w:r>
          </w:p>
        </w:tc>
        <w:tc>
          <w:tcPr>
            <w:tcW w:w="280" w:type="dxa"/>
            <w:vAlign w:val="bottom"/>
            <w:shd w:val="clear" w:color="auto" w:fill="D0EBF2"/>
          </w:tcPr>
          <w:p>
            <w:pPr>
              <w:spacing w:after="0"/>
              <w:rPr>
                <w:sz w:val="18"/>
                <w:szCs w:val="18"/>
                <w:color w:val="auto"/>
              </w:rPr>
            </w:pPr>
          </w:p>
        </w:tc>
        <w:tc>
          <w:tcPr>
            <w:tcW w:w="120" w:type="dxa"/>
            <w:vAlign w:val="bottom"/>
            <w:shd w:val="clear" w:color="auto" w:fill="D0EBF2"/>
          </w:tcPr>
          <w:p>
            <w:pPr>
              <w:spacing w:after="0"/>
              <w:rPr>
                <w:sz w:val="18"/>
                <w:szCs w:val="18"/>
                <w:color w:val="auto"/>
              </w:rPr>
            </w:pPr>
          </w:p>
        </w:tc>
        <w:tc>
          <w:tcPr>
            <w:tcW w:w="1040" w:type="dxa"/>
            <w:vAlign w:val="bottom"/>
            <w:shd w:val="clear" w:color="auto" w:fill="D0EBF2"/>
          </w:tcPr>
          <w:p>
            <w:pPr>
              <w:jc w:val="right"/>
              <w:spacing w:after="0"/>
              <w:rPr>
                <w:sz w:val="20"/>
                <w:szCs w:val="20"/>
                <w:color w:val="auto"/>
              </w:rPr>
            </w:pPr>
            <w:r>
              <w:rPr>
                <w:rFonts w:ascii="Times New Roman" w:cs="Times New Roman" w:eastAsia="Times New Roman" w:hAnsi="Times New Roman"/>
                <w:sz w:val="17"/>
                <w:szCs w:val="17"/>
                <w:color w:val="231F20"/>
              </w:rPr>
              <w:t>2,053.6</w:t>
            </w:r>
          </w:p>
        </w:tc>
        <w:tc>
          <w:tcPr>
            <w:tcW w:w="300" w:type="dxa"/>
            <w:vAlign w:val="bottom"/>
            <w:shd w:val="clear" w:color="auto" w:fill="D0EBF2"/>
          </w:tcPr>
          <w:p>
            <w:pPr>
              <w:spacing w:after="0"/>
              <w:rPr>
                <w:sz w:val="18"/>
                <w:szCs w:val="18"/>
                <w:color w:val="auto"/>
              </w:rPr>
            </w:pPr>
          </w:p>
        </w:tc>
        <w:tc>
          <w:tcPr>
            <w:tcW w:w="100" w:type="dxa"/>
            <w:vAlign w:val="bottom"/>
            <w:shd w:val="clear" w:color="auto" w:fill="D0EBF2"/>
          </w:tcPr>
          <w:p>
            <w:pPr>
              <w:spacing w:after="0"/>
              <w:rPr>
                <w:sz w:val="18"/>
                <w:szCs w:val="18"/>
                <w:color w:val="auto"/>
              </w:rPr>
            </w:pPr>
          </w:p>
        </w:tc>
        <w:tc>
          <w:tcPr>
            <w:tcW w:w="1220" w:type="dxa"/>
            <w:vAlign w:val="bottom"/>
            <w:shd w:val="clear" w:color="auto" w:fill="D0EBF2"/>
          </w:tcPr>
          <w:p>
            <w:pPr>
              <w:ind w:left="1020"/>
              <w:spacing w:after="0"/>
              <w:rPr>
                <w:sz w:val="20"/>
                <w:szCs w:val="20"/>
                <w:color w:val="auto"/>
              </w:rPr>
            </w:pPr>
            <w:r>
              <w:rPr>
                <w:rFonts w:ascii="Times New Roman" w:cs="Times New Roman" w:eastAsia="Times New Roman" w:hAnsi="Times New Roman"/>
                <w:sz w:val="17"/>
                <w:szCs w:val="17"/>
                <w:color w:val="231F20"/>
              </w:rPr>
              <w:t>—</w:t>
            </w:r>
          </w:p>
        </w:tc>
        <w:tc>
          <w:tcPr>
            <w:tcW w:w="340" w:type="dxa"/>
            <w:vAlign w:val="bottom"/>
            <w:shd w:val="clear" w:color="auto" w:fill="D0EBF2"/>
          </w:tcPr>
          <w:p>
            <w:pPr>
              <w:spacing w:after="0"/>
              <w:rPr>
                <w:sz w:val="18"/>
                <w:szCs w:val="18"/>
                <w:color w:val="auto"/>
              </w:rPr>
            </w:pPr>
          </w:p>
        </w:tc>
        <w:tc>
          <w:tcPr>
            <w:tcW w:w="1040" w:type="dxa"/>
            <w:vAlign w:val="bottom"/>
            <w:shd w:val="clear" w:color="auto" w:fill="D0EBF2"/>
          </w:tcPr>
          <w:p>
            <w:pPr>
              <w:ind w:left="720"/>
              <w:spacing w:after="0"/>
              <w:rPr>
                <w:sz w:val="20"/>
                <w:szCs w:val="20"/>
                <w:color w:val="auto"/>
              </w:rPr>
            </w:pPr>
            <w:r>
              <w:rPr>
                <w:rFonts w:ascii="Times New Roman" w:cs="Times New Roman" w:eastAsia="Times New Roman" w:hAnsi="Times New Roman"/>
                <w:sz w:val="17"/>
                <w:szCs w:val="17"/>
                <w:color w:val="231F20"/>
              </w:rPr>
              <w:t>N/A</w:t>
            </w:r>
          </w:p>
        </w:tc>
        <w:tc>
          <w:tcPr>
            <w:tcW w:w="0" w:type="dxa"/>
            <w:vAlign w:val="bottom"/>
          </w:tcPr>
          <w:p>
            <w:pPr>
              <w:spacing w:after="0"/>
              <w:rPr>
                <w:sz w:val="1"/>
                <w:szCs w:val="1"/>
                <w:color w:val="auto"/>
              </w:rPr>
            </w:pPr>
          </w:p>
        </w:tc>
      </w:tr>
      <w:tr>
        <w:trPr>
          <w:trHeight w:val="209"/>
        </w:trPr>
        <w:tc>
          <w:tcPr>
            <w:tcW w:w="2860" w:type="dxa"/>
            <w:vAlign w:val="bottom"/>
            <w:tcBorders>
              <w:bottom w:val="single" w:sz="8" w:color="D0EBF2"/>
            </w:tcBorders>
            <w:shd w:val="clear" w:color="auto" w:fill="FDFDFC"/>
          </w:tcPr>
          <w:p>
            <w:pPr>
              <w:spacing w:after="0"/>
              <w:rPr>
                <w:sz w:val="20"/>
                <w:szCs w:val="20"/>
                <w:color w:val="auto"/>
              </w:rPr>
            </w:pPr>
            <w:r>
              <w:rPr>
                <w:rFonts w:ascii="Times New Roman" w:cs="Times New Roman" w:eastAsia="Times New Roman" w:hAnsi="Times New Roman"/>
                <w:sz w:val="17"/>
                <w:szCs w:val="17"/>
                <w:b w:val="1"/>
                <w:bCs w:val="1"/>
                <w:color w:val="231F20"/>
              </w:rPr>
              <w:t>2028 Notes</w:t>
            </w:r>
          </w:p>
        </w:tc>
        <w:tc>
          <w:tcPr>
            <w:tcW w:w="180" w:type="dxa"/>
            <w:vAlign w:val="bottom"/>
            <w:tcBorders>
              <w:bottom w:val="single" w:sz="8" w:color="D0EBF2"/>
            </w:tcBorders>
            <w:shd w:val="clear" w:color="auto" w:fill="FDFDFC"/>
          </w:tcPr>
          <w:p>
            <w:pPr>
              <w:spacing w:after="0"/>
              <w:rPr>
                <w:sz w:val="18"/>
                <w:szCs w:val="18"/>
                <w:color w:val="auto"/>
              </w:rPr>
            </w:pPr>
          </w:p>
        </w:tc>
        <w:tc>
          <w:tcPr>
            <w:tcW w:w="380" w:type="dxa"/>
            <w:vAlign w:val="bottom"/>
            <w:tcBorders>
              <w:bottom w:val="single" w:sz="8" w:color="D0EBF2"/>
            </w:tcBorders>
            <w:shd w:val="clear" w:color="auto" w:fill="FDFDFC"/>
          </w:tcPr>
          <w:p>
            <w:pPr>
              <w:spacing w:after="0"/>
              <w:rPr>
                <w:sz w:val="18"/>
                <w:szCs w:val="18"/>
                <w:color w:val="auto"/>
              </w:rPr>
            </w:pPr>
          </w:p>
        </w:tc>
        <w:tc>
          <w:tcPr>
            <w:tcW w:w="1100" w:type="dxa"/>
            <w:vAlign w:val="bottom"/>
            <w:tcBorders>
              <w:bottom w:val="single" w:sz="8" w:color="D0EBF2"/>
            </w:tcBorders>
            <w:shd w:val="clear" w:color="auto" w:fill="FDFDFC"/>
          </w:tcPr>
          <w:p>
            <w:pPr>
              <w:spacing w:after="0"/>
              <w:rPr>
                <w:sz w:val="18"/>
                <w:szCs w:val="18"/>
                <w:color w:val="auto"/>
              </w:rPr>
            </w:pPr>
          </w:p>
        </w:tc>
        <w:tc>
          <w:tcPr>
            <w:tcW w:w="280" w:type="dxa"/>
            <w:vAlign w:val="bottom"/>
            <w:tcBorders>
              <w:bottom w:val="single" w:sz="8" w:color="D0EBF2"/>
            </w:tcBorders>
            <w:shd w:val="clear" w:color="auto" w:fill="FDFDFC"/>
          </w:tcPr>
          <w:p>
            <w:pPr>
              <w:spacing w:after="0"/>
              <w:rPr>
                <w:sz w:val="18"/>
                <w:szCs w:val="18"/>
                <w:color w:val="auto"/>
              </w:rPr>
            </w:pPr>
          </w:p>
        </w:tc>
        <w:tc>
          <w:tcPr>
            <w:tcW w:w="120" w:type="dxa"/>
            <w:vAlign w:val="bottom"/>
            <w:tcBorders>
              <w:bottom w:val="single" w:sz="8" w:color="D0EBF2"/>
            </w:tcBorders>
            <w:shd w:val="clear" w:color="auto" w:fill="FDFDFC"/>
          </w:tcPr>
          <w:p>
            <w:pPr>
              <w:spacing w:after="0"/>
              <w:rPr>
                <w:sz w:val="18"/>
                <w:szCs w:val="18"/>
                <w:color w:val="auto"/>
              </w:rPr>
            </w:pPr>
          </w:p>
        </w:tc>
        <w:tc>
          <w:tcPr>
            <w:tcW w:w="1040" w:type="dxa"/>
            <w:vAlign w:val="bottom"/>
            <w:tcBorders>
              <w:bottom w:val="single" w:sz="8" w:color="D0EBF2"/>
            </w:tcBorders>
            <w:shd w:val="clear" w:color="auto" w:fill="FDFDFC"/>
          </w:tcPr>
          <w:p>
            <w:pPr>
              <w:spacing w:after="0"/>
              <w:rPr>
                <w:sz w:val="18"/>
                <w:szCs w:val="18"/>
                <w:color w:val="auto"/>
              </w:rPr>
            </w:pPr>
          </w:p>
        </w:tc>
        <w:tc>
          <w:tcPr>
            <w:tcW w:w="300" w:type="dxa"/>
            <w:vAlign w:val="bottom"/>
            <w:tcBorders>
              <w:bottom w:val="single" w:sz="8" w:color="D0EBF2"/>
            </w:tcBorders>
            <w:shd w:val="clear" w:color="auto" w:fill="FDFDFC"/>
          </w:tcPr>
          <w:p>
            <w:pPr>
              <w:spacing w:after="0"/>
              <w:rPr>
                <w:sz w:val="18"/>
                <w:szCs w:val="18"/>
                <w:color w:val="auto"/>
              </w:rPr>
            </w:pPr>
          </w:p>
        </w:tc>
        <w:tc>
          <w:tcPr>
            <w:tcW w:w="100" w:type="dxa"/>
            <w:vAlign w:val="bottom"/>
            <w:tcBorders>
              <w:bottom w:val="single" w:sz="8" w:color="D0EBF2"/>
            </w:tcBorders>
            <w:shd w:val="clear" w:color="auto" w:fill="FDFDFC"/>
          </w:tcPr>
          <w:p>
            <w:pPr>
              <w:spacing w:after="0"/>
              <w:rPr>
                <w:sz w:val="18"/>
                <w:szCs w:val="18"/>
                <w:color w:val="auto"/>
              </w:rPr>
            </w:pPr>
          </w:p>
        </w:tc>
        <w:tc>
          <w:tcPr>
            <w:tcW w:w="1220" w:type="dxa"/>
            <w:vAlign w:val="bottom"/>
            <w:tcBorders>
              <w:bottom w:val="single" w:sz="8" w:color="D0EBF2"/>
            </w:tcBorders>
            <w:shd w:val="clear" w:color="auto" w:fill="FDFDFC"/>
          </w:tcPr>
          <w:p>
            <w:pPr>
              <w:spacing w:after="0"/>
              <w:rPr>
                <w:sz w:val="18"/>
                <w:szCs w:val="18"/>
                <w:color w:val="auto"/>
              </w:rPr>
            </w:pPr>
          </w:p>
        </w:tc>
        <w:tc>
          <w:tcPr>
            <w:tcW w:w="340" w:type="dxa"/>
            <w:vAlign w:val="bottom"/>
            <w:tcBorders>
              <w:bottom w:val="single" w:sz="8" w:color="D0EBF2"/>
            </w:tcBorders>
            <w:shd w:val="clear" w:color="auto" w:fill="FDFDFC"/>
          </w:tcPr>
          <w:p>
            <w:pPr>
              <w:spacing w:after="0"/>
              <w:rPr>
                <w:sz w:val="18"/>
                <w:szCs w:val="18"/>
                <w:color w:val="auto"/>
              </w:rPr>
            </w:pPr>
          </w:p>
        </w:tc>
        <w:tc>
          <w:tcPr>
            <w:tcW w:w="1040" w:type="dxa"/>
            <w:vAlign w:val="bottom"/>
            <w:tcBorders>
              <w:bottom w:val="single" w:sz="8" w:color="D0EBF2"/>
            </w:tcBorders>
            <w:shd w:val="clear" w:color="auto" w:fill="FDFDFC"/>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2860" w:type="dxa"/>
            <w:vAlign w:val="bottom"/>
            <w:shd w:val="clear" w:color="auto" w:fill="D0EBF2"/>
          </w:tcPr>
          <w:p>
            <w:pPr>
              <w:spacing w:after="0" w:line="189" w:lineRule="exact"/>
              <w:rPr>
                <w:sz w:val="20"/>
                <w:szCs w:val="20"/>
                <w:color w:val="auto"/>
              </w:rPr>
            </w:pPr>
            <w:r>
              <w:rPr>
                <w:rFonts w:ascii="Times New Roman" w:cs="Times New Roman" w:eastAsia="Times New Roman" w:hAnsi="Times New Roman"/>
                <w:sz w:val="17"/>
                <w:szCs w:val="17"/>
                <w:color w:val="231F20"/>
              </w:rPr>
              <w:t>December 31, 2024</w:t>
            </w:r>
          </w:p>
        </w:tc>
        <w:tc>
          <w:tcPr>
            <w:tcW w:w="560" w:type="dxa"/>
            <w:vAlign w:val="bottom"/>
            <w:gridSpan w:val="2"/>
            <w:shd w:val="clear" w:color="auto" w:fill="D0EBF2"/>
          </w:tcPr>
          <w:p>
            <w:pPr>
              <w:jc w:val="right"/>
              <w:ind w:right="195"/>
              <w:spacing w:after="0" w:line="189" w:lineRule="exact"/>
              <w:rPr>
                <w:sz w:val="20"/>
                <w:szCs w:val="20"/>
                <w:color w:val="auto"/>
              </w:rPr>
            </w:pPr>
            <w:r>
              <w:rPr>
                <w:rFonts w:ascii="Times New Roman" w:cs="Times New Roman" w:eastAsia="Times New Roman" w:hAnsi="Times New Roman"/>
                <w:sz w:val="17"/>
                <w:szCs w:val="17"/>
                <w:color w:val="231F20"/>
              </w:rPr>
              <w:t>$</w:t>
            </w:r>
          </w:p>
        </w:tc>
        <w:tc>
          <w:tcPr>
            <w:tcW w:w="1100" w:type="dxa"/>
            <w:vAlign w:val="bottom"/>
            <w:shd w:val="clear" w:color="auto" w:fill="D0EBF2"/>
          </w:tcPr>
          <w:p>
            <w:pPr>
              <w:jc w:val="right"/>
              <w:spacing w:after="0" w:line="189" w:lineRule="exact"/>
              <w:rPr>
                <w:sz w:val="20"/>
                <w:szCs w:val="20"/>
                <w:color w:val="auto"/>
              </w:rPr>
            </w:pPr>
            <w:r>
              <w:rPr>
                <w:rFonts w:ascii="Times New Roman" w:cs="Times New Roman" w:eastAsia="Times New Roman" w:hAnsi="Times New Roman"/>
                <w:sz w:val="17"/>
                <w:szCs w:val="17"/>
                <w:color w:val="231F20"/>
              </w:rPr>
              <w:t>298.6</w:t>
            </w:r>
          </w:p>
        </w:tc>
        <w:tc>
          <w:tcPr>
            <w:tcW w:w="400" w:type="dxa"/>
            <w:vAlign w:val="bottom"/>
            <w:gridSpan w:val="2"/>
            <w:shd w:val="clear" w:color="auto" w:fill="D0EBF2"/>
          </w:tcPr>
          <w:p>
            <w:pPr>
              <w:ind w:left="280"/>
              <w:spacing w:after="0" w:line="189" w:lineRule="exact"/>
              <w:rPr>
                <w:sz w:val="20"/>
                <w:szCs w:val="20"/>
                <w:color w:val="auto"/>
              </w:rPr>
            </w:pPr>
            <w:r>
              <w:rPr>
                <w:rFonts w:ascii="Times New Roman" w:cs="Times New Roman" w:eastAsia="Times New Roman" w:hAnsi="Times New Roman"/>
                <w:sz w:val="17"/>
                <w:szCs w:val="17"/>
                <w:color w:val="231F20"/>
              </w:rPr>
              <w:t>$</w:t>
            </w:r>
          </w:p>
        </w:tc>
        <w:tc>
          <w:tcPr>
            <w:tcW w:w="1040" w:type="dxa"/>
            <w:vAlign w:val="bottom"/>
            <w:shd w:val="clear" w:color="auto" w:fill="D0EBF2"/>
          </w:tcPr>
          <w:p>
            <w:pPr>
              <w:jc w:val="right"/>
              <w:spacing w:after="0" w:line="189" w:lineRule="exact"/>
              <w:rPr>
                <w:sz w:val="20"/>
                <w:szCs w:val="20"/>
                <w:color w:val="auto"/>
              </w:rPr>
            </w:pPr>
            <w:r>
              <w:rPr>
                <w:rFonts w:ascii="Times New Roman" w:cs="Times New Roman" w:eastAsia="Times New Roman" w:hAnsi="Times New Roman"/>
                <w:sz w:val="17"/>
                <w:szCs w:val="17"/>
                <w:color w:val="231F20"/>
              </w:rPr>
              <w:t>1,824.7</w:t>
            </w:r>
          </w:p>
        </w:tc>
        <w:tc>
          <w:tcPr>
            <w:tcW w:w="400" w:type="dxa"/>
            <w:vAlign w:val="bottom"/>
            <w:gridSpan w:val="2"/>
            <w:shd w:val="clear" w:color="auto" w:fill="D0EBF2"/>
          </w:tcPr>
          <w:p>
            <w:pPr>
              <w:jc w:val="right"/>
              <w:spacing w:after="0" w:line="189" w:lineRule="exact"/>
              <w:rPr>
                <w:sz w:val="20"/>
                <w:szCs w:val="20"/>
                <w:color w:val="auto"/>
              </w:rPr>
            </w:pPr>
            <w:r>
              <w:rPr>
                <w:rFonts w:ascii="Times New Roman" w:cs="Times New Roman" w:eastAsia="Times New Roman" w:hAnsi="Times New Roman"/>
                <w:sz w:val="17"/>
                <w:szCs w:val="17"/>
                <w:color w:val="231F20"/>
              </w:rPr>
              <w:t>$</w:t>
            </w:r>
          </w:p>
        </w:tc>
        <w:tc>
          <w:tcPr>
            <w:tcW w:w="1220" w:type="dxa"/>
            <w:vAlign w:val="bottom"/>
            <w:shd w:val="clear" w:color="auto" w:fill="D0EBF2"/>
          </w:tcPr>
          <w:p>
            <w:pPr>
              <w:ind w:left="1020"/>
              <w:spacing w:after="0" w:line="189" w:lineRule="exact"/>
              <w:rPr>
                <w:sz w:val="20"/>
                <w:szCs w:val="20"/>
                <w:color w:val="auto"/>
              </w:rPr>
            </w:pPr>
            <w:r>
              <w:rPr>
                <w:rFonts w:ascii="Times New Roman" w:cs="Times New Roman" w:eastAsia="Times New Roman" w:hAnsi="Times New Roman"/>
                <w:sz w:val="17"/>
                <w:szCs w:val="17"/>
                <w:color w:val="231F20"/>
              </w:rPr>
              <w:t>—</w:t>
            </w:r>
          </w:p>
        </w:tc>
        <w:tc>
          <w:tcPr>
            <w:tcW w:w="340" w:type="dxa"/>
            <w:vAlign w:val="bottom"/>
            <w:shd w:val="clear" w:color="auto" w:fill="D0EBF2"/>
          </w:tcPr>
          <w:p>
            <w:pPr>
              <w:spacing w:after="0"/>
              <w:rPr>
                <w:sz w:val="16"/>
                <w:szCs w:val="16"/>
                <w:color w:val="auto"/>
              </w:rPr>
            </w:pPr>
          </w:p>
        </w:tc>
        <w:tc>
          <w:tcPr>
            <w:tcW w:w="1040" w:type="dxa"/>
            <w:vAlign w:val="bottom"/>
            <w:shd w:val="clear" w:color="auto" w:fill="D0EBF2"/>
          </w:tcPr>
          <w:p>
            <w:pPr>
              <w:ind w:left="720"/>
              <w:spacing w:after="0" w:line="189" w:lineRule="exact"/>
              <w:rPr>
                <w:sz w:val="20"/>
                <w:szCs w:val="20"/>
                <w:color w:val="auto"/>
              </w:rPr>
            </w:pPr>
            <w:r>
              <w:rPr>
                <w:rFonts w:ascii="Times New Roman" w:cs="Times New Roman" w:eastAsia="Times New Roman" w:hAnsi="Times New Roman"/>
                <w:sz w:val="17"/>
                <w:szCs w:val="17"/>
                <w:color w:val="231F20"/>
              </w:rPr>
              <w:t>N/A</w:t>
            </w:r>
          </w:p>
        </w:tc>
        <w:tc>
          <w:tcPr>
            <w:tcW w:w="0" w:type="dxa"/>
            <w:vAlign w:val="bottom"/>
          </w:tcPr>
          <w:p>
            <w:pPr>
              <w:spacing w:after="0"/>
              <w:rPr>
                <w:sz w:val="1"/>
                <w:szCs w:val="1"/>
                <w:color w:val="auto"/>
              </w:rPr>
            </w:pPr>
          </w:p>
        </w:tc>
      </w:tr>
      <w:tr>
        <w:trPr>
          <w:trHeight w:val="209"/>
        </w:trPr>
        <w:tc>
          <w:tcPr>
            <w:tcW w:w="2860" w:type="dxa"/>
            <w:vAlign w:val="bottom"/>
            <w:shd w:val="clear" w:color="auto" w:fill="FDFDFC"/>
          </w:tcPr>
          <w:p>
            <w:pPr>
              <w:spacing w:after="0"/>
              <w:rPr>
                <w:sz w:val="20"/>
                <w:szCs w:val="20"/>
                <w:color w:val="auto"/>
              </w:rPr>
            </w:pPr>
            <w:r>
              <w:rPr>
                <w:rFonts w:ascii="Times New Roman" w:cs="Times New Roman" w:eastAsia="Times New Roman" w:hAnsi="Times New Roman"/>
                <w:sz w:val="17"/>
                <w:szCs w:val="17"/>
                <w:color w:val="231F20"/>
              </w:rPr>
              <w:t>December 31, 2023</w:t>
            </w:r>
          </w:p>
        </w:tc>
        <w:tc>
          <w:tcPr>
            <w:tcW w:w="180" w:type="dxa"/>
            <w:vAlign w:val="bottom"/>
            <w:shd w:val="clear" w:color="auto" w:fill="FDFDFC"/>
          </w:tcPr>
          <w:p>
            <w:pPr>
              <w:spacing w:after="0"/>
              <w:rPr>
                <w:sz w:val="18"/>
                <w:szCs w:val="18"/>
                <w:color w:val="auto"/>
              </w:rPr>
            </w:pPr>
          </w:p>
        </w:tc>
        <w:tc>
          <w:tcPr>
            <w:tcW w:w="380" w:type="dxa"/>
            <w:vAlign w:val="bottom"/>
            <w:shd w:val="clear" w:color="auto" w:fill="FDFDFC"/>
          </w:tcPr>
          <w:p>
            <w:pPr>
              <w:spacing w:after="0"/>
              <w:rPr>
                <w:sz w:val="18"/>
                <w:szCs w:val="18"/>
                <w:color w:val="auto"/>
              </w:rPr>
            </w:pPr>
          </w:p>
        </w:tc>
        <w:tc>
          <w:tcPr>
            <w:tcW w:w="1100" w:type="dxa"/>
            <w:vAlign w:val="bottom"/>
            <w:shd w:val="clear" w:color="auto" w:fill="FDFDFC"/>
          </w:tcPr>
          <w:p>
            <w:pPr>
              <w:jc w:val="right"/>
              <w:spacing w:after="0"/>
              <w:rPr>
                <w:sz w:val="20"/>
                <w:szCs w:val="20"/>
                <w:color w:val="auto"/>
              </w:rPr>
            </w:pPr>
            <w:r>
              <w:rPr>
                <w:rFonts w:ascii="Times New Roman" w:cs="Times New Roman" w:eastAsia="Times New Roman" w:hAnsi="Times New Roman"/>
                <w:sz w:val="17"/>
                <w:szCs w:val="17"/>
                <w:color w:val="231F20"/>
              </w:rPr>
              <w:t>298.3</w:t>
            </w:r>
          </w:p>
        </w:tc>
        <w:tc>
          <w:tcPr>
            <w:tcW w:w="280" w:type="dxa"/>
            <w:vAlign w:val="bottom"/>
            <w:shd w:val="clear" w:color="auto" w:fill="FDFDFC"/>
          </w:tcPr>
          <w:p>
            <w:pPr>
              <w:spacing w:after="0"/>
              <w:rPr>
                <w:sz w:val="18"/>
                <w:szCs w:val="18"/>
                <w:color w:val="auto"/>
              </w:rPr>
            </w:pPr>
          </w:p>
        </w:tc>
        <w:tc>
          <w:tcPr>
            <w:tcW w:w="120" w:type="dxa"/>
            <w:vAlign w:val="bottom"/>
            <w:shd w:val="clear" w:color="auto" w:fill="FDFDFC"/>
          </w:tcPr>
          <w:p>
            <w:pPr>
              <w:spacing w:after="0"/>
              <w:rPr>
                <w:sz w:val="18"/>
                <w:szCs w:val="18"/>
                <w:color w:val="auto"/>
              </w:rPr>
            </w:pPr>
          </w:p>
        </w:tc>
        <w:tc>
          <w:tcPr>
            <w:tcW w:w="1040" w:type="dxa"/>
            <w:vAlign w:val="bottom"/>
            <w:shd w:val="clear" w:color="auto" w:fill="FDFDFC"/>
          </w:tcPr>
          <w:p>
            <w:pPr>
              <w:jc w:val="right"/>
              <w:spacing w:after="0"/>
              <w:rPr>
                <w:sz w:val="20"/>
                <w:szCs w:val="20"/>
                <w:color w:val="auto"/>
              </w:rPr>
            </w:pPr>
            <w:r>
              <w:rPr>
                <w:rFonts w:ascii="Times New Roman" w:cs="Times New Roman" w:eastAsia="Times New Roman" w:hAnsi="Times New Roman"/>
                <w:sz w:val="17"/>
                <w:szCs w:val="17"/>
                <w:color w:val="231F20"/>
              </w:rPr>
              <w:t>1,815.9</w:t>
            </w:r>
          </w:p>
        </w:tc>
        <w:tc>
          <w:tcPr>
            <w:tcW w:w="300" w:type="dxa"/>
            <w:vAlign w:val="bottom"/>
            <w:shd w:val="clear" w:color="auto" w:fill="FDFDFC"/>
          </w:tcPr>
          <w:p>
            <w:pPr>
              <w:spacing w:after="0"/>
              <w:rPr>
                <w:sz w:val="18"/>
                <w:szCs w:val="18"/>
                <w:color w:val="auto"/>
              </w:rPr>
            </w:pPr>
          </w:p>
        </w:tc>
        <w:tc>
          <w:tcPr>
            <w:tcW w:w="100" w:type="dxa"/>
            <w:vAlign w:val="bottom"/>
            <w:shd w:val="clear" w:color="auto" w:fill="FDFDFC"/>
          </w:tcPr>
          <w:p>
            <w:pPr>
              <w:spacing w:after="0"/>
              <w:rPr>
                <w:sz w:val="18"/>
                <w:szCs w:val="18"/>
                <w:color w:val="auto"/>
              </w:rPr>
            </w:pPr>
          </w:p>
        </w:tc>
        <w:tc>
          <w:tcPr>
            <w:tcW w:w="1220" w:type="dxa"/>
            <w:vAlign w:val="bottom"/>
            <w:shd w:val="clear" w:color="auto" w:fill="FDFDFC"/>
          </w:tcPr>
          <w:p>
            <w:pPr>
              <w:ind w:left="1020"/>
              <w:spacing w:after="0"/>
              <w:rPr>
                <w:sz w:val="20"/>
                <w:szCs w:val="20"/>
                <w:color w:val="auto"/>
              </w:rPr>
            </w:pPr>
            <w:r>
              <w:rPr>
                <w:rFonts w:ascii="Times New Roman" w:cs="Times New Roman" w:eastAsia="Times New Roman" w:hAnsi="Times New Roman"/>
                <w:sz w:val="17"/>
                <w:szCs w:val="17"/>
                <w:color w:val="231F20"/>
              </w:rPr>
              <w:t>—</w:t>
            </w:r>
          </w:p>
        </w:tc>
        <w:tc>
          <w:tcPr>
            <w:tcW w:w="340" w:type="dxa"/>
            <w:vAlign w:val="bottom"/>
            <w:shd w:val="clear" w:color="auto" w:fill="FDFDFC"/>
          </w:tcPr>
          <w:p>
            <w:pPr>
              <w:spacing w:after="0"/>
              <w:rPr>
                <w:sz w:val="18"/>
                <w:szCs w:val="18"/>
                <w:color w:val="auto"/>
              </w:rPr>
            </w:pPr>
          </w:p>
        </w:tc>
        <w:tc>
          <w:tcPr>
            <w:tcW w:w="1040" w:type="dxa"/>
            <w:vAlign w:val="bottom"/>
            <w:shd w:val="clear" w:color="auto" w:fill="FDFDFC"/>
          </w:tcPr>
          <w:p>
            <w:pPr>
              <w:ind w:left="720"/>
              <w:spacing w:after="0"/>
              <w:rPr>
                <w:sz w:val="20"/>
                <w:szCs w:val="20"/>
                <w:color w:val="auto"/>
              </w:rPr>
            </w:pPr>
            <w:r>
              <w:rPr>
                <w:rFonts w:ascii="Times New Roman" w:cs="Times New Roman" w:eastAsia="Times New Roman" w:hAnsi="Times New Roman"/>
                <w:sz w:val="17"/>
                <w:szCs w:val="17"/>
                <w:color w:val="231F20"/>
              </w:rPr>
              <w:t>N/A</w:t>
            </w:r>
          </w:p>
        </w:tc>
        <w:tc>
          <w:tcPr>
            <w:tcW w:w="0" w:type="dxa"/>
            <w:vAlign w:val="bottom"/>
          </w:tcPr>
          <w:p>
            <w:pPr>
              <w:spacing w:after="0"/>
              <w:rPr>
                <w:sz w:val="1"/>
                <w:szCs w:val="1"/>
                <w:color w:val="auto"/>
              </w:rPr>
            </w:pPr>
          </w:p>
        </w:tc>
      </w:tr>
      <w:tr>
        <w:trPr>
          <w:trHeight w:val="209"/>
        </w:trPr>
        <w:tc>
          <w:tcPr>
            <w:tcW w:w="2860" w:type="dxa"/>
            <w:vAlign w:val="bottom"/>
            <w:shd w:val="clear" w:color="auto" w:fill="D0EBF2"/>
          </w:tcPr>
          <w:p>
            <w:pPr>
              <w:spacing w:after="0"/>
              <w:rPr>
                <w:sz w:val="20"/>
                <w:szCs w:val="20"/>
                <w:color w:val="auto"/>
              </w:rPr>
            </w:pPr>
            <w:r>
              <w:rPr>
                <w:rFonts w:ascii="Times New Roman" w:cs="Times New Roman" w:eastAsia="Times New Roman" w:hAnsi="Times New Roman"/>
                <w:sz w:val="17"/>
                <w:szCs w:val="17"/>
                <w:b w:val="1"/>
                <w:bCs w:val="1"/>
                <w:color w:val="231F20"/>
              </w:rPr>
              <w:t>2029 Notes</w:t>
            </w:r>
          </w:p>
        </w:tc>
        <w:tc>
          <w:tcPr>
            <w:tcW w:w="180" w:type="dxa"/>
            <w:vAlign w:val="bottom"/>
            <w:shd w:val="clear" w:color="auto" w:fill="D0EBF2"/>
          </w:tcPr>
          <w:p>
            <w:pPr>
              <w:spacing w:after="0"/>
              <w:rPr>
                <w:sz w:val="18"/>
                <w:szCs w:val="18"/>
                <w:color w:val="auto"/>
              </w:rPr>
            </w:pPr>
          </w:p>
        </w:tc>
        <w:tc>
          <w:tcPr>
            <w:tcW w:w="380" w:type="dxa"/>
            <w:vAlign w:val="bottom"/>
            <w:shd w:val="clear" w:color="auto" w:fill="D0EBF2"/>
          </w:tcPr>
          <w:p>
            <w:pPr>
              <w:spacing w:after="0"/>
              <w:rPr>
                <w:sz w:val="18"/>
                <w:szCs w:val="18"/>
                <w:color w:val="auto"/>
              </w:rPr>
            </w:pPr>
          </w:p>
        </w:tc>
        <w:tc>
          <w:tcPr>
            <w:tcW w:w="1100" w:type="dxa"/>
            <w:vAlign w:val="bottom"/>
            <w:shd w:val="clear" w:color="auto" w:fill="D0EBF2"/>
          </w:tcPr>
          <w:p>
            <w:pPr>
              <w:spacing w:after="0"/>
              <w:rPr>
                <w:sz w:val="18"/>
                <w:szCs w:val="18"/>
                <w:color w:val="auto"/>
              </w:rPr>
            </w:pPr>
          </w:p>
        </w:tc>
        <w:tc>
          <w:tcPr>
            <w:tcW w:w="280" w:type="dxa"/>
            <w:vAlign w:val="bottom"/>
            <w:shd w:val="clear" w:color="auto" w:fill="D0EBF2"/>
          </w:tcPr>
          <w:p>
            <w:pPr>
              <w:spacing w:after="0"/>
              <w:rPr>
                <w:sz w:val="18"/>
                <w:szCs w:val="18"/>
                <w:color w:val="auto"/>
              </w:rPr>
            </w:pPr>
          </w:p>
        </w:tc>
        <w:tc>
          <w:tcPr>
            <w:tcW w:w="120" w:type="dxa"/>
            <w:vAlign w:val="bottom"/>
            <w:shd w:val="clear" w:color="auto" w:fill="D0EBF2"/>
          </w:tcPr>
          <w:p>
            <w:pPr>
              <w:spacing w:after="0"/>
              <w:rPr>
                <w:sz w:val="18"/>
                <w:szCs w:val="18"/>
                <w:color w:val="auto"/>
              </w:rPr>
            </w:pPr>
          </w:p>
        </w:tc>
        <w:tc>
          <w:tcPr>
            <w:tcW w:w="1040" w:type="dxa"/>
            <w:vAlign w:val="bottom"/>
            <w:shd w:val="clear" w:color="auto" w:fill="D0EBF2"/>
          </w:tcPr>
          <w:p>
            <w:pPr>
              <w:spacing w:after="0"/>
              <w:rPr>
                <w:sz w:val="18"/>
                <w:szCs w:val="18"/>
                <w:color w:val="auto"/>
              </w:rPr>
            </w:pPr>
          </w:p>
        </w:tc>
        <w:tc>
          <w:tcPr>
            <w:tcW w:w="300" w:type="dxa"/>
            <w:vAlign w:val="bottom"/>
            <w:shd w:val="clear" w:color="auto" w:fill="D0EBF2"/>
          </w:tcPr>
          <w:p>
            <w:pPr>
              <w:spacing w:after="0"/>
              <w:rPr>
                <w:sz w:val="18"/>
                <w:szCs w:val="18"/>
                <w:color w:val="auto"/>
              </w:rPr>
            </w:pPr>
          </w:p>
        </w:tc>
        <w:tc>
          <w:tcPr>
            <w:tcW w:w="100" w:type="dxa"/>
            <w:vAlign w:val="bottom"/>
            <w:shd w:val="clear" w:color="auto" w:fill="D0EBF2"/>
          </w:tcPr>
          <w:p>
            <w:pPr>
              <w:spacing w:after="0"/>
              <w:rPr>
                <w:sz w:val="18"/>
                <w:szCs w:val="18"/>
                <w:color w:val="auto"/>
              </w:rPr>
            </w:pPr>
          </w:p>
        </w:tc>
        <w:tc>
          <w:tcPr>
            <w:tcW w:w="1220" w:type="dxa"/>
            <w:vAlign w:val="bottom"/>
            <w:shd w:val="clear" w:color="auto" w:fill="D0EBF2"/>
          </w:tcPr>
          <w:p>
            <w:pPr>
              <w:spacing w:after="0"/>
              <w:rPr>
                <w:sz w:val="18"/>
                <w:szCs w:val="18"/>
                <w:color w:val="auto"/>
              </w:rPr>
            </w:pPr>
          </w:p>
        </w:tc>
        <w:tc>
          <w:tcPr>
            <w:tcW w:w="340" w:type="dxa"/>
            <w:vAlign w:val="bottom"/>
            <w:shd w:val="clear" w:color="auto" w:fill="D0EBF2"/>
          </w:tcPr>
          <w:p>
            <w:pPr>
              <w:spacing w:after="0"/>
              <w:rPr>
                <w:sz w:val="18"/>
                <w:szCs w:val="18"/>
                <w:color w:val="auto"/>
              </w:rPr>
            </w:pPr>
          </w:p>
        </w:tc>
        <w:tc>
          <w:tcPr>
            <w:tcW w:w="1040" w:type="dxa"/>
            <w:vAlign w:val="bottom"/>
            <w:shd w:val="clear" w:color="auto" w:fill="D0EBF2"/>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860" w:type="dxa"/>
            <w:vAlign w:val="bottom"/>
            <w:shd w:val="clear" w:color="auto" w:fill="FDFDFC"/>
          </w:tcPr>
          <w:p>
            <w:pPr>
              <w:spacing w:after="0"/>
              <w:rPr>
                <w:sz w:val="20"/>
                <w:szCs w:val="20"/>
                <w:color w:val="auto"/>
              </w:rPr>
            </w:pPr>
            <w:r>
              <w:rPr>
                <w:rFonts w:ascii="Times New Roman" w:cs="Times New Roman" w:eastAsia="Times New Roman" w:hAnsi="Times New Roman"/>
                <w:sz w:val="17"/>
                <w:szCs w:val="17"/>
                <w:color w:val="231F20"/>
              </w:rPr>
              <w:t>December 31, 2024</w:t>
            </w:r>
          </w:p>
        </w:tc>
        <w:tc>
          <w:tcPr>
            <w:tcW w:w="560" w:type="dxa"/>
            <w:vAlign w:val="bottom"/>
            <w:gridSpan w:val="2"/>
            <w:shd w:val="clear" w:color="auto" w:fill="FDFDFC"/>
          </w:tcPr>
          <w:p>
            <w:pPr>
              <w:jc w:val="right"/>
              <w:ind w:right="195"/>
              <w:spacing w:after="0"/>
              <w:rPr>
                <w:sz w:val="20"/>
                <w:szCs w:val="20"/>
                <w:color w:val="auto"/>
              </w:rPr>
            </w:pPr>
            <w:r>
              <w:rPr>
                <w:rFonts w:ascii="Times New Roman" w:cs="Times New Roman" w:eastAsia="Times New Roman" w:hAnsi="Times New Roman"/>
                <w:sz w:val="17"/>
                <w:szCs w:val="17"/>
                <w:color w:val="231F20"/>
              </w:rPr>
              <w:t>$</w:t>
            </w:r>
          </w:p>
        </w:tc>
        <w:tc>
          <w:tcPr>
            <w:tcW w:w="1100" w:type="dxa"/>
            <w:vAlign w:val="bottom"/>
            <w:shd w:val="clear" w:color="auto" w:fill="FDFDFC"/>
          </w:tcPr>
          <w:p>
            <w:pPr>
              <w:jc w:val="right"/>
              <w:spacing w:after="0"/>
              <w:rPr>
                <w:sz w:val="20"/>
                <w:szCs w:val="20"/>
                <w:color w:val="auto"/>
              </w:rPr>
            </w:pPr>
            <w:r>
              <w:rPr>
                <w:rFonts w:ascii="Times New Roman" w:cs="Times New Roman" w:eastAsia="Times New Roman" w:hAnsi="Times New Roman"/>
                <w:sz w:val="17"/>
                <w:szCs w:val="17"/>
                <w:color w:val="231F20"/>
              </w:rPr>
              <w:t>347.2</w:t>
            </w:r>
          </w:p>
        </w:tc>
        <w:tc>
          <w:tcPr>
            <w:tcW w:w="400" w:type="dxa"/>
            <w:vAlign w:val="bottom"/>
            <w:gridSpan w:val="2"/>
            <w:shd w:val="clear" w:color="auto" w:fill="FDFDFC"/>
          </w:tcPr>
          <w:p>
            <w:pPr>
              <w:ind w:left="280"/>
              <w:spacing w:after="0"/>
              <w:rPr>
                <w:sz w:val="20"/>
                <w:szCs w:val="20"/>
                <w:color w:val="auto"/>
              </w:rPr>
            </w:pPr>
            <w:r>
              <w:rPr>
                <w:rFonts w:ascii="Times New Roman" w:cs="Times New Roman" w:eastAsia="Times New Roman" w:hAnsi="Times New Roman"/>
                <w:sz w:val="17"/>
                <w:szCs w:val="17"/>
                <w:color w:val="231F20"/>
              </w:rPr>
              <w:t>$</w:t>
            </w:r>
          </w:p>
        </w:tc>
        <w:tc>
          <w:tcPr>
            <w:tcW w:w="1040" w:type="dxa"/>
            <w:vAlign w:val="bottom"/>
            <w:shd w:val="clear" w:color="auto" w:fill="FDFDFC"/>
          </w:tcPr>
          <w:p>
            <w:pPr>
              <w:jc w:val="right"/>
              <w:spacing w:after="0"/>
              <w:rPr>
                <w:sz w:val="20"/>
                <w:szCs w:val="20"/>
                <w:color w:val="auto"/>
              </w:rPr>
            </w:pPr>
            <w:r>
              <w:rPr>
                <w:rFonts w:ascii="Times New Roman" w:cs="Times New Roman" w:eastAsia="Times New Roman" w:hAnsi="Times New Roman"/>
                <w:sz w:val="17"/>
                <w:szCs w:val="17"/>
                <w:color w:val="231F20"/>
              </w:rPr>
              <w:t>1,824.7</w:t>
            </w:r>
          </w:p>
        </w:tc>
        <w:tc>
          <w:tcPr>
            <w:tcW w:w="400" w:type="dxa"/>
            <w:vAlign w:val="bottom"/>
            <w:gridSpan w:val="2"/>
            <w:shd w:val="clear" w:color="auto" w:fill="FDFDFC"/>
          </w:tcPr>
          <w:p>
            <w:pPr>
              <w:jc w:val="right"/>
              <w:spacing w:after="0"/>
              <w:rPr>
                <w:sz w:val="20"/>
                <w:szCs w:val="20"/>
                <w:color w:val="auto"/>
              </w:rPr>
            </w:pPr>
            <w:r>
              <w:rPr>
                <w:rFonts w:ascii="Times New Roman" w:cs="Times New Roman" w:eastAsia="Times New Roman" w:hAnsi="Times New Roman"/>
                <w:sz w:val="17"/>
                <w:szCs w:val="17"/>
                <w:color w:val="231F20"/>
              </w:rPr>
              <w:t>$</w:t>
            </w:r>
          </w:p>
        </w:tc>
        <w:tc>
          <w:tcPr>
            <w:tcW w:w="1220" w:type="dxa"/>
            <w:vAlign w:val="bottom"/>
            <w:shd w:val="clear" w:color="auto" w:fill="FDFDFC"/>
          </w:tcPr>
          <w:p>
            <w:pPr>
              <w:ind w:left="1020"/>
              <w:spacing w:after="0"/>
              <w:rPr>
                <w:sz w:val="20"/>
                <w:szCs w:val="20"/>
                <w:color w:val="auto"/>
              </w:rPr>
            </w:pPr>
            <w:r>
              <w:rPr>
                <w:rFonts w:ascii="Times New Roman" w:cs="Times New Roman" w:eastAsia="Times New Roman" w:hAnsi="Times New Roman"/>
                <w:sz w:val="17"/>
                <w:szCs w:val="17"/>
                <w:color w:val="231F20"/>
              </w:rPr>
              <w:t>—</w:t>
            </w:r>
          </w:p>
        </w:tc>
        <w:tc>
          <w:tcPr>
            <w:tcW w:w="340" w:type="dxa"/>
            <w:vAlign w:val="bottom"/>
            <w:shd w:val="clear" w:color="auto" w:fill="FDFDFC"/>
          </w:tcPr>
          <w:p>
            <w:pPr>
              <w:spacing w:after="0"/>
              <w:rPr>
                <w:sz w:val="18"/>
                <w:szCs w:val="18"/>
                <w:color w:val="auto"/>
              </w:rPr>
            </w:pPr>
          </w:p>
        </w:tc>
        <w:tc>
          <w:tcPr>
            <w:tcW w:w="1040" w:type="dxa"/>
            <w:vAlign w:val="bottom"/>
            <w:shd w:val="clear" w:color="auto" w:fill="FDFDFC"/>
          </w:tcPr>
          <w:p>
            <w:pPr>
              <w:ind w:left="720"/>
              <w:spacing w:after="0"/>
              <w:rPr>
                <w:sz w:val="20"/>
                <w:szCs w:val="20"/>
                <w:color w:val="auto"/>
              </w:rPr>
            </w:pPr>
            <w:r>
              <w:rPr>
                <w:rFonts w:ascii="Times New Roman" w:cs="Times New Roman" w:eastAsia="Times New Roman" w:hAnsi="Times New Roman"/>
                <w:sz w:val="17"/>
                <w:szCs w:val="17"/>
                <w:color w:val="231F20"/>
              </w:rPr>
              <w:t>N/A</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2240" w:h="15840" w:orient="portrait"/>
          <w:cols w:equalWidth="0" w:num="1">
            <w:col w:w="9360"/>
          </w:cols>
          <w:pgMar w:left="1440" w:top="1329" w:right="1440" w:bottom="574" w:gutter="0" w:footer="0" w:header="0"/>
        </w:sectPr>
      </w:pP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231F20"/>
        </w:rPr>
        <w:t>60</w:t>
      </w:r>
    </w:p>
    <w:p>
      <w:pPr>
        <w:sectPr>
          <w:pgSz w:w="12240" w:h="15840" w:orient="portrait"/>
          <w:cols w:equalWidth="0" w:num="1">
            <w:col w:w="9360"/>
          </w:cols>
          <w:pgMar w:left="1440" w:top="1329" w:right="1440" w:bottom="574" w:gutter="0" w:footer="0" w:header="0"/>
          <w:type w:val="continuous"/>
        </w:sectPr>
      </w:pPr>
    </w:p>
    <w:bookmarkStart w:id="60" w:name="page61"/>
    <w:bookmarkEnd w:id="60"/>
    <w:p>
      <w:pPr>
        <w:spacing w:after="0" w:line="94" w:lineRule="exact"/>
        <w:rPr>
          <w:sz w:val="20"/>
          <w:szCs w:val="20"/>
          <w:color w:val="auto"/>
        </w:rPr>
      </w:pPr>
    </w:p>
    <w:p>
      <w:pPr>
        <w:ind w:left="460" w:right="220" w:hanging="460"/>
        <w:spacing w:after="0" w:line="253" w:lineRule="auto"/>
        <w:tabs>
          <w:tab w:leader="none" w:pos="460" w:val="left"/>
        </w:tabs>
        <w:numPr>
          <w:ilvl w:val="0"/>
          <w:numId w:val="50"/>
        </w:numPr>
        <w:rPr>
          <w:rFonts w:ascii="Times New Roman" w:cs="Times New Roman" w:eastAsia="Times New Roman" w:hAnsi="Times New Roman"/>
          <w:sz w:val="19"/>
          <w:szCs w:val="19"/>
          <w:color w:val="231F20"/>
        </w:rPr>
      </w:pPr>
      <w:r>
        <w:rPr>
          <w:rFonts w:ascii="Times New Roman" w:cs="Times New Roman" w:eastAsia="Times New Roman" w:hAnsi="Times New Roman"/>
          <w:sz w:val="19"/>
          <w:szCs w:val="19"/>
          <w:color w:val="231F20"/>
        </w:rPr>
        <w:t>Total amount of each class of senior securities outstanding at carrying value, excluding the impact of deferred financing costs and hedge accounting relationships, at the end of the period presented.</w:t>
      </w:r>
    </w:p>
    <w:p>
      <w:pPr>
        <w:spacing w:after="0" w:line="1" w:lineRule="exact"/>
        <w:rPr>
          <w:rFonts w:ascii="Times New Roman" w:cs="Times New Roman" w:eastAsia="Times New Roman" w:hAnsi="Times New Roman"/>
          <w:sz w:val="19"/>
          <w:szCs w:val="19"/>
          <w:color w:val="231F20"/>
        </w:rPr>
      </w:pPr>
    </w:p>
    <w:p>
      <w:pPr>
        <w:jc w:val="both"/>
        <w:ind w:left="460" w:hanging="460"/>
        <w:spacing w:after="0" w:line="238" w:lineRule="auto"/>
        <w:tabs>
          <w:tab w:leader="none" w:pos="460" w:val="left"/>
        </w:tabs>
        <w:numPr>
          <w:ilvl w:val="0"/>
          <w:numId w:val="50"/>
        </w:numPr>
        <w:rPr>
          <w:rFonts w:ascii="Times New Roman" w:cs="Times New Roman" w:eastAsia="Times New Roman" w:hAnsi="Times New Roman"/>
          <w:sz w:val="19"/>
          <w:szCs w:val="19"/>
          <w:color w:val="231F20"/>
        </w:rPr>
      </w:pPr>
      <w:r>
        <w:rPr>
          <w:rFonts w:ascii="Times New Roman" w:cs="Times New Roman" w:eastAsia="Times New Roman" w:hAnsi="Times New Roman"/>
          <w:sz w:val="19"/>
          <w:szCs w:val="19"/>
          <w:color w:val="231F20"/>
        </w:rPr>
        <w:t>Asset coverage per unit is the ratio of the carrying value of our total assets, less all liabilities excluding indebtedness represented by senior securities in this table, to the aggregate amount of senior securities representing indebtedness. Asset coverage per unit is expressed in terms of dollar amounts per $1,000 of indebtedness and is calculated on a consolidated basis.</w:t>
      </w:r>
    </w:p>
    <w:p>
      <w:pPr>
        <w:spacing w:after="0" w:line="1" w:lineRule="exact"/>
        <w:rPr>
          <w:rFonts w:ascii="Times New Roman" w:cs="Times New Roman" w:eastAsia="Times New Roman" w:hAnsi="Times New Roman"/>
          <w:sz w:val="19"/>
          <w:szCs w:val="19"/>
          <w:color w:val="231F20"/>
        </w:rPr>
      </w:pPr>
    </w:p>
    <w:p>
      <w:pPr>
        <w:ind w:left="460" w:right="360" w:hanging="460"/>
        <w:spacing w:after="0" w:line="238" w:lineRule="auto"/>
        <w:tabs>
          <w:tab w:leader="none" w:pos="460" w:val="left"/>
        </w:tabs>
        <w:numPr>
          <w:ilvl w:val="0"/>
          <w:numId w:val="50"/>
        </w:numPr>
        <w:rPr>
          <w:rFonts w:ascii="Times New Roman" w:cs="Times New Roman" w:eastAsia="Times New Roman" w:hAnsi="Times New Roman"/>
          <w:sz w:val="19"/>
          <w:szCs w:val="19"/>
          <w:color w:val="231F20"/>
        </w:rPr>
      </w:pPr>
      <w:r>
        <w:rPr>
          <w:rFonts w:ascii="Times New Roman" w:cs="Times New Roman" w:eastAsia="Times New Roman" w:hAnsi="Times New Roman"/>
          <w:sz w:val="19"/>
          <w:szCs w:val="19"/>
          <w:color w:val="231F20"/>
        </w:rPr>
        <w:t>The amount to which such class of senior security would be entitled upon our involuntary liquidation in preference to any security junior to it. The “-” in this column indicates information that the SEC expressly does not require to be disclosed for certain types of senior securities.</w:t>
      </w:r>
    </w:p>
    <w:p>
      <w:pPr>
        <w:spacing w:after="0" w:line="1" w:lineRule="exact"/>
        <w:rPr>
          <w:rFonts w:ascii="Times New Roman" w:cs="Times New Roman" w:eastAsia="Times New Roman" w:hAnsi="Times New Roman"/>
          <w:sz w:val="19"/>
          <w:szCs w:val="19"/>
          <w:color w:val="231F20"/>
        </w:rPr>
      </w:pPr>
    </w:p>
    <w:p>
      <w:pPr>
        <w:ind w:left="460" w:hanging="460"/>
        <w:spacing w:after="0"/>
        <w:tabs>
          <w:tab w:leader="none" w:pos="460" w:val="left"/>
        </w:tabs>
        <w:numPr>
          <w:ilvl w:val="0"/>
          <w:numId w:val="50"/>
        </w:numPr>
        <w:rPr>
          <w:rFonts w:ascii="Times New Roman" w:cs="Times New Roman" w:eastAsia="Times New Roman" w:hAnsi="Times New Roman"/>
          <w:sz w:val="19"/>
          <w:szCs w:val="19"/>
          <w:color w:val="231F20"/>
        </w:rPr>
      </w:pPr>
      <w:r>
        <w:rPr>
          <w:rFonts w:ascii="Times New Roman" w:cs="Times New Roman" w:eastAsia="Times New Roman" w:hAnsi="Times New Roman"/>
          <w:sz w:val="19"/>
          <w:szCs w:val="19"/>
          <w:color w:val="231F20"/>
        </w:rPr>
        <w:t>Not applicable because the senior securities are not registered for public trading.</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231F20"/>
        </w:rPr>
        <w:t>ITEM 6. RESERVED</w:t>
      </w:r>
    </w:p>
    <w:p>
      <w:pPr>
        <w:sectPr>
          <w:pgSz w:w="12240" w:h="15840" w:orient="portrait"/>
          <w:cols w:equalWidth="0" w:num="1">
            <w:col w:w="10180"/>
          </w:cols>
          <w:pgMar w:left="1020" w:top="1440" w:right="1040" w:bottom="57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231F20"/>
        </w:rPr>
        <w:t>61</w:t>
      </w:r>
    </w:p>
    <w:p>
      <w:pPr>
        <w:sectPr>
          <w:pgSz w:w="12240" w:h="15840" w:orient="portrait"/>
          <w:cols w:equalWidth="0" w:num="1">
            <w:col w:w="10180"/>
          </w:cols>
          <w:pgMar w:left="1020" w:top="1440" w:right="1040" w:bottom="574" w:gutter="0" w:footer="0" w:header="0"/>
          <w:type w:val="continuous"/>
        </w:sectPr>
      </w:pPr>
    </w:p>
    <w:bookmarkStart w:id="61" w:name="page62"/>
    <w:bookmarkEnd w:id="61"/>
    <w:p>
      <w:pPr>
        <w:ind w:right="880"/>
        <w:spacing w:after="0" w:line="272" w:lineRule="auto"/>
        <w:rPr>
          <w:sz w:val="20"/>
          <w:szCs w:val="20"/>
          <w:color w:val="auto"/>
        </w:rPr>
      </w:pPr>
      <w:r>
        <w:rPr>
          <w:rFonts w:ascii="Times New Roman" w:cs="Times New Roman" w:eastAsia="Times New Roman" w:hAnsi="Times New Roman"/>
          <w:sz w:val="19"/>
          <w:szCs w:val="19"/>
          <w:b w:val="1"/>
          <w:bCs w:val="1"/>
          <w:color w:val="231F20"/>
        </w:rPr>
        <w:t>ITEM 7. MANAGEMENT’S DISCUSSION AND ANALYSIS OF FINANCIAL CONDITION AND RESULTS OF OPERATIONS</w:t>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231F20"/>
        </w:rPr>
        <w:t>Introduction</w:t>
      </w:r>
    </w:p>
    <w:p>
      <w:pPr>
        <w:spacing w:after="0" w:line="109" w:lineRule="exact"/>
        <w:rPr>
          <w:sz w:val="20"/>
          <w:szCs w:val="20"/>
          <w:color w:val="auto"/>
        </w:rPr>
      </w:pPr>
    </w:p>
    <w:p>
      <w:pPr>
        <w:ind w:right="80" w:firstLine="231"/>
        <w:spacing w:after="0" w:line="239" w:lineRule="auto"/>
        <w:rPr>
          <w:sz w:val="20"/>
          <w:szCs w:val="20"/>
          <w:color w:val="auto"/>
        </w:rPr>
      </w:pPr>
      <w:r>
        <w:rPr>
          <w:rFonts w:ascii="Times New Roman" w:cs="Times New Roman" w:eastAsia="Times New Roman" w:hAnsi="Times New Roman"/>
          <w:sz w:val="19"/>
          <w:szCs w:val="19"/>
          <w:i w:val="1"/>
          <w:iCs w:val="1"/>
          <w:color w:val="231F20"/>
        </w:rPr>
        <w:t>Management’s Discussion and Analysis should be read in conjunction with ITEM 8. CONSOLIDATED FINANCIAL STATEMENTS AND SUPPLEMENTARY DATA. This discussion contains forward-looking statements and involves numerous risks and uncertainties, including, but not limited to, those described in “ITEM 1A. RISK FACTORS.” Actual results may differ materially from those contained in any forward-looking statements.</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231F20"/>
        </w:rPr>
        <w:t>Overview</w:t>
      </w:r>
    </w:p>
    <w:p>
      <w:pPr>
        <w:spacing w:after="0" w:line="105" w:lineRule="exact"/>
        <w:rPr>
          <w:sz w:val="20"/>
          <w:szCs w:val="20"/>
          <w:color w:val="auto"/>
        </w:rPr>
      </w:pPr>
    </w:p>
    <w:p>
      <w:pPr>
        <w:ind w:right="100" w:firstLine="231"/>
        <w:spacing w:after="0" w:line="241" w:lineRule="auto"/>
        <w:rPr>
          <w:sz w:val="20"/>
          <w:szCs w:val="20"/>
          <w:color w:val="auto"/>
        </w:rPr>
      </w:pPr>
      <w:r>
        <w:rPr>
          <w:rFonts w:ascii="Times New Roman" w:cs="Times New Roman" w:eastAsia="Times New Roman" w:hAnsi="Times New Roman"/>
          <w:sz w:val="19"/>
          <w:szCs w:val="19"/>
          <w:color w:val="231F20"/>
        </w:rPr>
        <w:t>Sixth Street Specialty Lending, Inc. is a Delaware corporation formed on July 21, 2010. The Adviser is our external manager. We have four wholly owned subsidiaries, TC Lending, LLC, a Delaware limited liability company, which holds a California finance lender and broker license, Sixth Street SL SPV, LLC, a Delaware limited liability company, Sixth Street SL Holding, LLC, a Delaware limited liability company, and Sixth Street Specialty Lending Sub, LLC, a Cayman Islands limited liability company.</w:t>
      </w:r>
    </w:p>
    <w:p>
      <w:pPr>
        <w:spacing w:after="0" w:line="182" w:lineRule="exact"/>
        <w:rPr>
          <w:sz w:val="20"/>
          <w:szCs w:val="20"/>
          <w:color w:val="auto"/>
        </w:rPr>
      </w:pPr>
    </w:p>
    <w:p>
      <w:pPr>
        <w:ind w:right="120" w:firstLine="231"/>
        <w:spacing w:after="0" w:line="265" w:lineRule="auto"/>
        <w:rPr>
          <w:sz w:val="20"/>
          <w:szCs w:val="20"/>
          <w:color w:val="auto"/>
        </w:rPr>
      </w:pPr>
      <w:r>
        <w:rPr>
          <w:rFonts w:ascii="Times New Roman" w:cs="Times New Roman" w:eastAsia="Times New Roman" w:hAnsi="Times New Roman"/>
          <w:sz w:val="19"/>
          <w:szCs w:val="19"/>
          <w:color w:val="231F20"/>
        </w:rPr>
        <w:t>We have elected to be regulated as a BDC under the 1940 Act and as a RIC under the Code. We made our BDC election on April 15, 2011. As a result, we are required to comply with various statutory and regulatory requirements, such as:</w:t>
      </w:r>
    </w:p>
    <w:p>
      <w:pPr>
        <w:spacing w:after="0" w:line="61" w:lineRule="exact"/>
        <w:rPr>
          <w:sz w:val="20"/>
          <w:szCs w:val="20"/>
          <w:color w:val="auto"/>
        </w:rPr>
      </w:pPr>
    </w:p>
    <w:p>
      <w:pPr>
        <w:ind w:left="460" w:hanging="229"/>
        <w:spacing w:after="0"/>
        <w:tabs>
          <w:tab w:leader="none" w:pos="460" w:val="left"/>
        </w:tabs>
        <w:numPr>
          <w:ilvl w:val="0"/>
          <w:numId w:val="51"/>
        </w:numPr>
        <w:rPr>
          <w:rFonts w:ascii="Arial" w:cs="Arial" w:eastAsia="Arial" w:hAnsi="Arial"/>
          <w:sz w:val="19"/>
          <w:szCs w:val="19"/>
          <w:color w:val="231F20"/>
        </w:rPr>
      </w:pPr>
      <w:r>
        <w:rPr>
          <w:rFonts w:ascii="Times New Roman" w:cs="Times New Roman" w:eastAsia="Times New Roman" w:hAnsi="Times New Roman"/>
          <w:sz w:val="19"/>
          <w:szCs w:val="19"/>
          <w:color w:val="231F20"/>
        </w:rPr>
        <w:t>the requirement to invest at least 70% of our assets in “qualifying assets”;</w:t>
      </w:r>
    </w:p>
    <w:p>
      <w:pPr>
        <w:spacing w:after="0" w:line="115" w:lineRule="exact"/>
        <w:rPr>
          <w:rFonts w:ascii="Arial" w:cs="Arial" w:eastAsia="Arial" w:hAnsi="Arial"/>
          <w:sz w:val="19"/>
          <w:szCs w:val="19"/>
          <w:color w:val="231F20"/>
        </w:rPr>
      </w:pPr>
    </w:p>
    <w:p>
      <w:pPr>
        <w:ind w:left="460" w:hanging="229"/>
        <w:spacing w:after="0"/>
        <w:tabs>
          <w:tab w:leader="none" w:pos="460" w:val="left"/>
        </w:tabs>
        <w:numPr>
          <w:ilvl w:val="0"/>
          <w:numId w:val="51"/>
        </w:numPr>
        <w:rPr>
          <w:rFonts w:ascii="Arial" w:cs="Arial" w:eastAsia="Arial" w:hAnsi="Arial"/>
          <w:sz w:val="19"/>
          <w:szCs w:val="19"/>
          <w:color w:val="231F20"/>
        </w:rPr>
      </w:pPr>
      <w:r>
        <w:rPr>
          <w:rFonts w:ascii="Times New Roman" w:cs="Times New Roman" w:eastAsia="Times New Roman" w:hAnsi="Times New Roman"/>
          <w:sz w:val="19"/>
          <w:szCs w:val="19"/>
          <w:color w:val="231F20"/>
        </w:rPr>
        <w:t>source of income limitations;</w:t>
      </w:r>
    </w:p>
    <w:p>
      <w:pPr>
        <w:spacing w:after="0" w:line="115" w:lineRule="exact"/>
        <w:rPr>
          <w:rFonts w:ascii="Arial" w:cs="Arial" w:eastAsia="Arial" w:hAnsi="Arial"/>
          <w:sz w:val="19"/>
          <w:szCs w:val="19"/>
          <w:color w:val="231F20"/>
        </w:rPr>
      </w:pPr>
    </w:p>
    <w:p>
      <w:pPr>
        <w:ind w:left="460" w:hanging="229"/>
        <w:spacing w:after="0"/>
        <w:tabs>
          <w:tab w:leader="none" w:pos="460" w:val="left"/>
        </w:tabs>
        <w:numPr>
          <w:ilvl w:val="0"/>
          <w:numId w:val="51"/>
        </w:numPr>
        <w:rPr>
          <w:rFonts w:ascii="Arial" w:cs="Arial" w:eastAsia="Arial" w:hAnsi="Arial"/>
          <w:sz w:val="19"/>
          <w:szCs w:val="19"/>
          <w:color w:val="231F20"/>
        </w:rPr>
      </w:pPr>
      <w:r>
        <w:rPr>
          <w:rFonts w:ascii="Times New Roman" w:cs="Times New Roman" w:eastAsia="Times New Roman" w:hAnsi="Times New Roman"/>
          <w:sz w:val="19"/>
          <w:szCs w:val="19"/>
          <w:color w:val="231F20"/>
        </w:rPr>
        <w:t>asset diversification requirements; and</w:t>
      </w:r>
    </w:p>
    <w:p>
      <w:pPr>
        <w:spacing w:after="0" w:line="115" w:lineRule="exact"/>
        <w:rPr>
          <w:rFonts w:ascii="Arial" w:cs="Arial" w:eastAsia="Arial" w:hAnsi="Arial"/>
          <w:sz w:val="19"/>
          <w:szCs w:val="19"/>
          <w:color w:val="231F20"/>
        </w:rPr>
      </w:pPr>
    </w:p>
    <w:p>
      <w:pPr>
        <w:ind w:left="460" w:right="60" w:hanging="229"/>
        <w:spacing w:after="0" w:line="264" w:lineRule="auto"/>
        <w:tabs>
          <w:tab w:leader="none" w:pos="460" w:val="left"/>
        </w:tabs>
        <w:numPr>
          <w:ilvl w:val="0"/>
          <w:numId w:val="51"/>
        </w:numPr>
        <w:rPr>
          <w:rFonts w:ascii="Arial" w:cs="Arial" w:eastAsia="Arial" w:hAnsi="Arial"/>
          <w:sz w:val="19"/>
          <w:szCs w:val="19"/>
          <w:color w:val="231F20"/>
        </w:rPr>
      </w:pPr>
      <w:r>
        <w:rPr>
          <w:rFonts w:ascii="Times New Roman" w:cs="Times New Roman" w:eastAsia="Times New Roman" w:hAnsi="Times New Roman"/>
          <w:sz w:val="19"/>
          <w:szCs w:val="19"/>
          <w:color w:val="231F20"/>
        </w:rPr>
        <w:t>the requirement to distribute (or be treated as distributing) in each taxable year at least 90% of our investment company taxable income and tax-exempt interest for that taxable year.</w:t>
      </w:r>
    </w:p>
    <w:p>
      <w:pPr>
        <w:spacing w:after="0" w:line="16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9"/>
          <w:szCs w:val="19"/>
          <w:color w:val="231F20"/>
        </w:rPr>
        <w:t>Our shares are listed on the NYSE under the symbol “TSLX.”</w:t>
      </w:r>
    </w:p>
    <w:p>
      <w:pPr>
        <w:spacing w:after="0" w:line="32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231F20"/>
        </w:rPr>
        <w:t>Our Investment Framework</w:t>
      </w:r>
    </w:p>
    <w:p>
      <w:pPr>
        <w:spacing w:after="0" w:line="105" w:lineRule="exact"/>
        <w:rPr>
          <w:sz w:val="20"/>
          <w:szCs w:val="20"/>
          <w:color w:val="auto"/>
        </w:rPr>
      </w:pPr>
    </w:p>
    <w:p>
      <w:pPr>
        <w:ind w:firstLine="231"/>
        <w:spacing w:after="0" w:line="236" w:lineRule="auto"/>
        <w:rPr>
          <w:sz w:val="20"/>
          <w:szCs w:val="20"/>
          <w:color w:val="auto"/>
        </w:rPr>
      </w:pPr>
      <w:r>
        <w:rPr>
          <w:rFonts w:ascii="Times New Roman" w:cs="Times New Roman" w:eastAsia="Times New Roman" w:hAnsi="Times New Roman"/>
          <w:sz w:val="19"/>
          <w:szCs w:val="19"/>
          <w:color w:val="231F20"/>
        </w:rPr>
        <w:t>We are a specialty finance company focused on lending to middle-market companies. Since we began our investment activities in July 2011, through December 31, 2024, we have originated more than $46.2 billion aggregate principal amount of investments and retained approximately $10.9 billion aggregate principal amount of these investments on our balance sheet prior to any subsequent exits and repayments. We seek to generate current income primarily in U.S.-domiciled middle-market companies through direct investment originations of senior secured loans and, to a lesser extent, originations of mezzanine and unsecured loans and investments in corporate bonds, equity securities, and other instruments.</w:t>
      </w:r>
    </w:p>
    <w:p>
      <w:pPr>
        <w:spacing w:after="0" w:line="194" w:lineRule="exact"/>
        <w:rPr>
          <w:sz w:val="20"/>
          <w:szCs w:val="20"/>
          <w:color w:val="auto"/>
        </w:rPr>
      </w:pPr>
    </w:p>
    <w:p>
      <w:pPr>
        <w:ind w:right="40" w:firstLine="231"/>
        <w:spacing w:after="0" w:line="246" w:lineRule="auto"/>
        <w:rPr>
          <w:sz w:val="20"/>
          <w:szCs w:val="20"/>
          <w:color w:val="auto"/>
        </w:rPr>
      </w:pPr>
      <w:r>
        <w:rPr>
          <w:rFonts w:ascii="Times New Roman" w:cs="Times New Roman" w:eastAsia="Times New Roman" w:hAnsi="Times New Roman"/>
          <w:sz w:val="19"/>
          <w:szCs w:val="19"/>
          <w:color w:val="231F20"/>
        </w:rPr>
        <w:t>By “middle-market companies,” we mean companies that have annual EBITDA, which we believe is a useful proxy for cash flow, of $10 million to $250 million, although we may invest in larger or smaller companies on occasion. As of December 31, 2024, our core portfolio companies, which exclude certain investments that fall outside of our typical borrower profile and represent 95.4% of our total investments based on fair value, had weighted average annual revenue of $336.0 million and weighted average annual EBITDA of $110.2 million. As of December 31, 2024, our core portfolio companies had a median annual revenue of $146.9 million and a median annual EBITDA of $53.1 million.</w:t>
      </w:r>
    </w:p>
    <w:p>
      <w:pPr>
        <w:spacing w:after="0" w:line="186" w:lineRule="exact"/>
        <w:rPr>
          <w:sz w:val="20"/>
          <w:szCs w:val="20"/>
          <w:color w:val="auto"/>
        </w:rPr>
      </w:pPr>
    </w:p>
    <w:p>
      <w:pPr>
        <w:ind w:right="80" w:firstLine="231"/>
        <w:spacing w:after="0" w:line="264" w:lineRule="auto"/>
        <w:rPr>
          <w:sz w:val="20"/>
          <w:szCs w:val="20"/>
          <w:color w:val="auto"/>
        </w:rPr>
      </w:pPr>
      <w:r>
        <w:rPr>
          <w:rFonts w:ascii="Times New Roman" w:cs="Times New Roman" w:eastAsia="Times New Roman" w:hAnsi="Times New Roman"/>
          <w:sz w:val="18"/>
          <w:szCs w:val="18"/>
          <w:color w:val="231F20"/>
        </w:rPr>
        <w:t>We invest in first-lien debt, second-lien debt, mezzanine and unsecured debt and equity and other investments. Our first-lien debt may include stand-alone first-lien loans; “last out” first-lien loans, which are loans that have a secondary priority behind super-senior “first out” first-lien loans; “unitranche” loans, which are loans that combine features of first-lien, second-lien and mezzanine debt, generally in a first-lien position; and secured corporate bonds with similar features to these categories of first-lien loans. Our second-lien debt may include secured loans, and, to a lesser extent, secured corporate bonds, with a secondary priority behind first-lien debt.</w:t>
      </w:r>
    </w:p>
    <w:p>
      <w:pPr>
        <w:spacing w:after="0" w:line="174" w:lineRule="exact"/>
        <w:rPr>
          <w:sz w:val="20"/>
          <w:szCs w:val="20"/>
          <w:color w:val="auto"/>
        </w:rPr>
      </w:pPr>
    </w:p>
    <w:p>
      <w:pPr>
        <w:jc w:val="both"/>
        <w:ind w:right="380" w:firstLine="231"/>
        <w:spacing w:after="0" w:line="257" w:lineRule="auto"/>
        <w:rPr>
          <w:sz w:val="20"/>
          <w:szCs w:val="20"/>
          <w:color w:val="auto"/>
        </w:rPr>
      </w:pPr>
      <w:r>
        <w:rPr>
          <w:rFonts w:ascii="Times New Roman" w:cs="Times New Roman" w:eastAsia="Times New Roman" w:hAnsi="Times New Roman"/>
          <w:sz w:val="19"/>
          <w:szCs w:val="19"/>
          <w:color w:val="231F20"/>
        </w:rPr>
        <w:t>The debt in which we invest typically is not rated by any rating agency, but if these instruments were rated, they would likely receive a rating of below investment grade (that is, below BBB- or Baa3 as defined by Standard &amp; Poor’s and Moody’s Investors Services, respectively), which is often referred to as “junk.”</w:t>
      </w:r>
    </w:p>
    <w:p>
      <w:pPr>
        <w:spacing w:after="0" w:line="176" w:lineRule="exact"/>
        <w:rPr>
          <w:sz w:val="20"/>
          <w:szCs w:val="20"/>
          <w:color w:val="auto"/>
        </w:rPr>
      </w:pPr>
    </w:p>
    <w:p>
      <w:pPr>
        <w:ind w:right="240" w:firstLine="231"/>
        <w:spacing w:after="0" w:line="257" w:lineRule="auto"/>
        <w:rPr>
          <w:sz w:val="20"/>
          <w:szCs w:val="20"/>
          <w:color w:val="auto"/>
        </w:rPr>
      </w:pPr>
      <w:r>
        <w:rPr>
          <w:rFonts w:ascii="Times New Roman" w:cs="Times New Roman" w:eastAsia="Times New Roman" w:hAnsi="Times New Roman"/>
          <w:sz w:val="19"/>
          <w:szCs w:val="19"/>
          <w:color w:val="231F20"/>
        </w:rPr>
        <w:t>The companies in which we invest use our capital to support organic growth, acquisitions, market or product expansion and recapitalizations (including restructurings). As of December 31, 2024, the largest single investment based on fair value represented 2.3% of our total investment portfolio.</w:t>
      </w:r>
    </w:p>
    <w:p>
      <w:pPr>
        <w:spacing w:after="0" w:line="176" w:lineRule="exact"/>
        <w:rPr>
          <w:sz w:val="20"/>
          <w:szCs w:val="20"/>
          <w:color w:val="auto"/>
        </w:rPr>
      </w:pPr>
    </w:p>
    <w:p>
      <w:pPr>
        <w:ind w:right="100" w:firstLine="231"/>
        <w:spacing w:after="0" w:line="304" w:lineRule="auto"/>
        <w:rPr>
          <w:sz w:val="20"/>
          <w:szCs w:val="20"/>
          <w:color w:val="auto"/>
        </w:rPr>
      </w:pPr>
      <w:r>
        <w:rPr>
          <w:rFonts w:ascii="Times New Roman" w:cs="Times New Roman" w:eastAsia="Times New Roman" w:hAnsi="Times New Roman"/>
          <w:sz w:val="18"/>
          <w:szCs w:val="18"/>
          <w:color w:val="231F20"/>
        </w:rPr>
        <w:t>As of December 31, 2024, the average investment size in each of our portfolio companies was approximately $30.3 million based on fair value. Portfolio companies includes investments in structured credit investments, which include each series of collateralized</w:t>
      </w:r>
    </w:p>
    <w:p>
      <w:pPr>
        <w:sectPr>
          <w:pgSz w:w="12240" w:h="15840" w:orient="portrait"/>
          <w:cols w:equalWidth="0" w:num="1">
            <w:col w:w="10140"/>
          </w:cols>
          <w:pgMar w:left="1020" w:top="1307" w:right="1080" w:bottom="574" w:gutter="0" w:footer="0" w:header="0"/>
        </w:sectPr>
      </w:pPr>
    </w:p>
    <w:p>
      <w:pPr>
        <w:spacing w:after="0" w:line="10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9"/>
          <w:szCs w:val="19"/>
          <w:color w:val="231F20"/>
        </w:rPr>
        <w:t>62</w:t>
      </w:r>
    </w:p>
    <w:p>
      <w:pPr>
        <w:sectPr>
          <w:pgSz w:w="12240" w:h="15840" w:orient="portrait"/>
          <w:cols w:equalWidth="0" w:num="1">
            <w:col w:w="10140"/>
          </w:cols>
          <w:pgMar w:left="1020" w:top="1307" w:right="1080" w:bottom="574" w:gutter="0" w:footer="0" w:header="0"/>
          <w:type w:val="continuous"/>
        </w:sectPr>
      </w:pPr>
    </w:p>
    <w:bookmarkStart w:id="62" w:name="page63"/>
    <w:bookmarkEnd w:id="62"/>
    <w:p>
      <w:pPr>
        <w:ind w:right="700"/>
        <w:spacing w:after="0" w:line="275" w:lineRule="auto"/>
        <w:rPr>
          <w:sz w:val="20"/>
          <w:szCs w:val="20"/>
          <w:color w:val="auto"/>
        </w:rPr>
      </w:pPr>
      <w:r>
        <w:rPr>
          <w:rFonts w:ascii="Times New Roman" w:cs="Times New Roman" w:eastAsia="Times New Roman" w:hAnsi="Times New Roman"/>
          <w:sz w:val="19"/>
          <w:szCs w:val="19"/>
          <w:color w:val="231F20"/>
        </w:rPr>
        <w:t>loan obligation as a portfolio company investment. When excluding investments in structured credit investments, the average investment in our remaining portfolio companies was approximately $30.6 million as of December 31, 2024.</w:t>
      </w:r>
    </w:p>
    <w:p>
      <w:pPr>
        <w:spacing w:after="0" w:line="160" w:lineRule="exact"/>
        <w:rPr>
          <w:sz w:val="20"/>
          <w:szCs w:val="20"/>
          <w:color w:val="auto"/>
        </w:rPr>
      </w:pPr>
    </w:p>
    <w:p>
      <w:pPr>
        <w:ind w:right="420" w:firstLine="231"/>
        <w:spacing w:after="0" w:line="275" w:lineRule="auto"/>
        <w:rPr>
          <w:sz w:val="20"/>
          <w:szCs w:val="20"/>
          <w:color w:val="auto"/>
        </w:rPr>
      </w:pPr>
      <w:r>
        <w:rPr>
          <w:rFonts w:ascii="Times New Roman" w:cs="Times New Roman" w:eastAsia="Times New Roman" w:hAnsi="Times New Roman"/>
          <w:sz w:val="19"/>
          <w:szCs w:val="19"/>
          <w:color w:val="231F20"/>
        </w:rPr>
        <w:t>Through our Adviser, we consider potential investments utilizing a four-tiered investment framework and against our existing portfolio as a whole:</w:t>
      </w:r>
    </w:p>
    <w:p>
      <w:pPr>
        <w:spacing w:after="0" w:line="160" w:lineRule="exact"/>
        <w:rPr>
          <w:sz w:val="20"/>
          <w:szCs w:val="20"/>
          <w:color w:val="auto"/>
        </w:rPr>
      </w:pPr>
    </w:p>
    <w:p>
      <w:pPr>
        <w:ind w:right="120" w:firstLine="231"/>
        <w:spacing w:after="0" w:line="269" w:lineRule="auto"/>
        <w:rPr>
          <w:sz w:val="20"/>
          <w:szCs w:val="20"/>
          <w:color w:val="auto"/>
        </w:rPr>
      </w:pPr>
      <w:r>
        <w:rPr>
          <w:rFonts w:ascii="Times New Roman" w:cs="Times New Roman" w:eastAsia="Times New Roman" w:hAnsi="Times New Roman"/>
          <w:sz w:val="18"/>
          <w:szCs w:val="18"/>
          <w:i w:val="1"/>
          <w:iCs w:val="1"/>
          <w:color w:val="231F20"/>
        </w:rPr>
        <w:t xml:space="preserve">Business and sector selection. </w:t>
      </w:r>
      <w:r>
        <w:rPr>
          <w:rFonts w:ascii="Times New Roman" w:cs="Times New Roman" w:eastAsia="Times New Roman" w:hAnsi="Times New Roman"/>
          <w:sz w:val="18"/>
          <w:szCs w:val="18"/>
          <w:color w:val="231F20"/>
        </w:rPr>
        <w:t>We focus on companies with enterprise value between $50 million and $1 billion. When reviewing</w:t>
      </w:r>
      <w:r>
        <w:rPr>
          <w:rFonts w:ascii="Times New Roman" w:cs="Times New Roman" w:eastAsia="Times New Roman" w:hAnsi="Times New Roman"/>
          <w:sz w:val="18"/>
          <w:szCs w:val="18"/>
          <w:i w:val="1"/>
          <w:iCs w:val="1"/>
          <w:color w:val="231F20"/>
        </w:rPr>
        <w:t xml:space="preserve"> </w:t>
      </w:r>
      <w:r>
        <w:rPr>
          <w:rFonts w:ascii="Times New Roman" w:cs="Times New Roman" w:eastAsia="Times New Roman" w:hAnsi="Times New Roman"/>
          <w:sz w:val="18"/>
          <w:szCs w:val="18"/>
          <w:color w:val="231F20"/>
        </w:rPr>
        <w:t>potential investments, we seek to invest in businesses with high marginal cash flow, recurring revenue streams and where we believe credit quality will improve over time. We look for portfolio companies that we think have a sustainable competitive advantage in growing industries or distressed situations. We also seek companies where our investment will have a low loan-to-value ratio.</w:t>
      </w:r>
    </w:p>
    <w:p>
      <w:pPr>
        <w:spacing w:after="0" w:line="168" w:lineRule="exact"/>
        <w:rPr>
          <w:sz w:val="20"/>
          <w:szCs w:val="20"/>
          <w:color w:val="auto"/>
        </w:rPr>
      </w:pPr>
    </w:p>
    <w:p>
      <w:pPr>
        <w:ind w:right="40" w:firstLine="231"/>
        <w:spacing w:after="0" w:line="257" w:lineRule="auto"/>
        <w:rPr>
          <w:sz w:val="20"/>
          <w:szCs w:val="20"/>
          <w:color w:val="auto"/>
        </w:rPr>
      </w:pPr>
      <w:r>
        <w:rPr>
          <w:rFonts w:ascii="Times New Roman" w:cs="Times New Roman" w:eastAsia="Times New Roman" w:hAnsi="Times New Roman"/>
          <w:sz w:val="19"/>
          <w:szCs w:val="19"/>
          <w:color w:val="231F20"/>
        </w:rPr>
        <w:t>We currently do not limit our focus to any specific industry and we may invest in larger or smaller companies on occasion. We classify the industries of our portfolio companies by end-market (such as healthcare, and business services) and not by the products or services (such as software) directed to those end-markets.</w:t>
      </w:r>
    </w:p>
    <w:p>
      <w:pPr>
        <w:spacing w:after="0" w:line="176"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9"/>
          <w:szCs w:val="19"/>
          <w:color w:val="231F20"/>
        </w:rPr>
        <w:t>As of December 31, 2024, the largest industry represented 16.4% of our total investment portfolio based on fair value.</w:t>
      </w:r>
    </w:p>
    <w:p>
      <w:pPr>
        <w:spacing w:after="0" w:line="225" w:lineRule="exact"/>
        <w:rPr>
          <w:sz w:val="20"/>
          <w:szCs w:val="20"/>
          <w:color w:val="auto"/>
        </w:rPr>
      </w:pPr>
    </w:p>
    <w:p>
      <w:pPr>
        <w:ind w:firstLine="231"/>
        <w:spacing w:after="0" w:line="243" w:lineRule="auto"/>
        <w:rPr>
          <w:sz w:val="20"/>
          <w:szCs w:val="20"/>
          <w:color w:val="auto"/>
        </w:rPr>
      </w:pPr>
      <w:r>
        <w:rPr>
          <w:rFonts w:ascii="Times New Roman" w:cs="Times New Roman" w:eastAsia="Times New Roman" w:hAnsi="Times New Roman"/>
          <w:sz w:val="19"/>
          <w:szCs w:val="19"/>
          <w:i w:val="1"/>
          <w:iCs w:val="1"/>
          <w:color w:val="231F20"/>
        </w:rPr>
        <w:t xml:space="preserve">Investment Structuring. </w:t>
      </w:r>
      <w:r>
        <w:rPr>
          <w:rFonts w:ascii="Times New Roman" w:cs="Times New Roman" w:eastAsia="Times New Roman" w:hAnsi="Times New Roman"/>
          <w:sz w:val="19"/>
          <w:szCs w:val="19"/>
          <w:color w:val="231F20"/>
        </w:rPr>
        <w:t>We focus on investing at the top of the capital structure and protecting that position. As of December 31,</w:t>
      </w:r>
      <w:r>
        <w:rPr>
          <w:rFonts w:ascii="Times New Roman" w:cs="Times New Roman" w:eastAsia="Times New Roman" w:hAnsi="Times New Roman"/>
          <w:sz w:val="19"/>
          <w:szCs w:val="19"/>
          <w:i w:val="1"/>
          <w:iCs w:val="1"/>
          <w:color w:val="231F20"/>
        </w:rPr>
        <w:t xml:space="preserve"> </w:t>
      </w:r>
      <w:r>
        <w:rPr>
          <w:rFonts w:ascii="Times New Roman" w:cs="Times New Roman" w:eastAsia="Times New Roman" w:hAnsi="Times New Roman"/>
          <w:sz w:val="19"/>
          <w:szCs w:val="19"/>
          <w:color w:val="231F20"/>
        </w:rPr>
        <w:t>2024, approximately 94.5% of our portfolio was invested in secured debt, including 93.9% in first-lien debt investments. We carefully perform diligence and structure investments to include strong investor covenants. As a result, we structure investments with a view to creating opportunities for early intervention in the event of non-performance or stress. In addition, we seek to retain effective voting control in investments over the loans or particular class of securities in which we invest through maintaining affirmative voting positions or negotiating consent rights that allow us to retain a blocking position. We also aim for our loans to mature on a medium term, between two to seven years after origination. For the year ended December 31, 2024, the weighted average term on new investment commitments in new portfolio companies was 6.2 years.</w:t>
      </w:r>
    </w:p>
    <w:p>
      <w:pPr>
        <w:spacing w:after="0" w:line="195" w:lineRule="exact"/>
        <w:rPr>
          <w:sz w:val="20"/>
          <w:szCs w:val="20"/>
          <w:color w:val="auto"/>
        </w:rPr>
      </w:pPr>
    </w:p>
    <w:p>
      <w:pPr>
        <w:ind w:right="40" w:firstLine="231"/>
        <w:spacing w:after="0" w:line="304" w:lineRule="auto"/>
        <w:rPr>
          <w:sz w:val="20"/>
          <w:szCs w:val="20"/>
          <w:color w:val="auto"/>
        </w:rPr>
      </w:pPr>
      <w:r>
        <w:rPr>
          <w:rFonts w:ascii="Times New Roman" w:cs="Times New Roman" w:eastAsia="Times New Roman" w:hAnsi="Times New Roman"/>
          <w:sz w:val="18"/>
          <w:szCs w:val="18"/>
          <w:i w:val="1"/>
          <w:iCs w:val="1"/>
          <w:color w:val="231F20"/>
        </w:rPr>
        <w:t xml:space="preserve">Deal Dynamics. </w:t>
      </w:r>
      <w:r>
        <w:rPr>
          <w:rFonts w:ascii="Times New Roman" w:cs="Times New Roman" w:eastAsia="Times New Roman" w:hAnsi="Times New Roman"/>
          <w:sz w:val="18"/>
          <w:szCs w:val="18"/>
          <w:color w:val="231F20"/>
        </w:rPr>
        <w:t>We focus on, among other deal dynamics, direct origination of investments, where we identify and lead the</w:t>
      </w:r>
      <w:r>
        <w:rPr>
          <w:rFonts w:ascii="Times New Roman" w:cs="Times New Roman" w:eastAsia="Times New Roman" w:hAnsi="Times New Roman"/>
          <w:sz w:val="18"/>
          <w:szCs w:val="18"/>
          <w:i w:val="1"/>
          <w:iCs w:val="1"/>
          <w:color w:val="231F20"/>
        </w:rPr>
        <w:t xml:space="preserve"> </w:t>
      </w:r>
      <w:r>
        <w:rPr>
          <w:rFonts w:ascii="Times New Roman" w:cs="Times New Roman" w:eastAsia="Times New Roman" w:hAnsi="Times New Roman"/>
          <w:sz w:val="18"/>
          <w:szCs w:val="18"/>
          <w:color w:val="231F20"/>
        </w:rPr>
        <w:t>investment transaction. A substantial majority of our portfolio investments are sourced through our direct or proprietary relationships.</w:t>
      </w:r>
    </w:p>
    <w:p>
      <w:pPr>
        <w:spacing w:after="0" w:line="137" w:lineRule="exact"/>
        <w:rPr>
          <w:sz w:val="20"/>
          <w:szCs w:val="20"/>
          <w:color w:val="auto"/>
        </w:rPr>
      </w:pPr>
    </w:p>
    <w:p>
      <w:pPr>
        <w:ind w:firstLine="231"/>
        <w:spacing w:after="0" w:line="246" w:lineRule="auto"/>
        <w:rPr>
          <w:sz w:val="20"/>
          <w:szCs w:val="20"/>
          <w:color w:val="auto"/>
        </w:rPr>
      </w:pPr>
      <w:r>
        <w:rPr>
          <w:rFonts w:ascii="Times New Roman" w:cs="Times New Roman" w:eastAsia="Times New Roman" w:hAnsi="Times New Roman"/>
          <w:sz w:val="19"/>
          <w:szCs w:val="19"/>
          <w:i w:val="1"/>
          <w:iCs w:val="1"/>
          <w:color w:val="231F20"/>
        </w:rPr>
        <w:t xml:space="preserve">Risk Mitigation. </w:t>
      </w:r>
      <w:r>
        <w:rPr>
          <w:rFonts w:ascii="Times New Roman" w:cs="Times New Roman" w:eastAsia="Times New Roman" w:hAnsi="Times New Roman"/>
          <w:sz w:val="19"/>
          <w:szCs w:val="19"/>
          <w:color w:val="231F20"/>
        </w:rPr>
        <w:t>We seek to mitigate non-credit-related risk on our returns in several ways, including call protection provisions to</w:t>
      </w:r>
      <w:r>
        <w:rPr>
          <w:rFonts w:ascii="Times New Roman" w:cs="Times New Roman" w:eastAsia="Times New Roman" w:hAnsi="Times New Roman"/>
          <w:sz w:val="19"/>
          <w:szCs w:val="19"/>
          <w:i w:val="1"/>
          <w:iCs w:val="1"/>
          <w:color w:val="231F20"/>
        </w:rPr>
        <w:t xml:space="preserve"> </w:t>
      </w:r>
      <w:r>
        <w:rPr>
          <w:rFonts w:ascii="Times New Roman" w:cs="Times New Roman" w:eastAsia="Times New Roman" w:hAnsi="Times New Roman"/>
          <w:sz w:val="19"/>
          <w:szCs w:val="19"/>
          <w:color w:val="231F20"/>
        </w:rPr>
        <w:t>protect future interest income. As of December 31, 2024, we had call protection on 73.9% of our debt investments based on fair value, with weighted average call prices of 107.8% for the first year, 104.3% for the second year and 101.7% for the third year, in each case from the date of the initial investment. As of December 31, 2024, 97.2% of our debt investments based on fair value bore interest at floating rates, with 100.0% of these subject to interest rate floors, which we believe helps act as a portfolio-wide hedge against inflation.</w:t>
      </w:r>
    </w:p>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231F20"/>
        </w:rPr>
        <w:t>Relationship with our Adviser and Sixth Street</w:t>
      </w:r>
    </w:p>
    <w:p>
      <w:pPr>
        <w:spacing w:after="0" w:line="110" w:lineRule="exact"/>
        <w:rPr>
          <w:sz w:val="20"/>
          <w:szCs w:val="20"/>
          <w:color w:val="auto"/>
        </w:rPr>
      </w:pPr>
    </w:p>
    <w:p>
      <w:pPr>
        <w:ind w:right="20" w:firstLine="231"/>
        <w:spacing w:after="0" w:line="244" w:lineRule="auto"/>
        <w:rPr>
          <w:sz w:val="20"/>
          <w:szCs w:val="20"/>
          <w:color w:val="auto"/>
        </w:rPr>
      </w:pPr>
      <w:r>
        <w:rPr>
          <w:rFonts w:ascii="Times New Roman" w:cs="Times New Roman" w:eastAsia="Times New Roman" w:hAnsi="Times New Roman"/>
          <w:sz w:val="19"/>
          <w:szCs w:val="19"/>
          <w:color w:val="231F20"/>
        </w:rPr>
        <w:t>Our Adviser is a Delaware limited liability company. Our Adviser acts as our investment adviser and administrator and is a registered investment adviser with the SEC under the Advisers Act. Our Adviser sources and manages our portfolio through a dedicated team of investment professionals predominately focused on direct lending, which we refer to as our Investment Team. Our Investment Team is led by our Chairman and Chief Executive Officer and our Adviser’s Co-Chief Investment Officer Joshua Easterly and our Adviser’s Co-Chief Investment Officer Alan Waxman, both of whom have substantial experience in credit origination, underwriting and asset management. Our investment decisions are made by our Investment Review Committee, which includes senior personnel of our Adviser and affiliates of Sixth Street Partners, LLC, or “Sixth Street.”</w:t>
      </w:r>
    </w:p>
    <w:p>
      <w:pPr>
        <w:spacing w:after="0" w:line="192" w:lineRule="exact"/>
        <w:rPr>
          <w:sz w:val="20"/>
          <w:szCs w:val="20"/>
          <w:color w:val="auto"/>
        </w:rPr>
      </w:pPr>
    </w:p>
    <w:p>
      <w:pPr>
        <w:ind w:right="80" w:firstLine="231"/>
        <w:spacing w:after="0" w:line="241" w:lineRule="auto"/>
        <w:rPr>
          <w:sz w:val="20"/>
          <w:szCs w:val="20"/>
          <w:color w:val="auto"/>
        </w:rPr>
      </w:pPr>
      <w:r>
        <w:rPr>
          <w:rFonts w:ascii="Times New Roman" w:cs="Times New Roman" w:eastAsia="Times New Roman" w:hAnsi="Times New Roman"/>
          <w:sz w:val="19"/>
          <w:szCs w:val="19"/>
          <w:color w:val="231F20"/>
        </w:rPr>
        <w:t>Sixth Street is a global investment business with over $100 billion of assets under management as of December 31, 2024. Sixth Street’s direct lending platforms include Sixth Street Specialty Lending and Sixth Street Lending Partners, which are aimed at U.S. upper middle-market loan originations, Sixth Street Specialty Lending Europe, which is aimed at European middle-market loan originations. Additional Sixth Street core platforms include Sixth Street TAO, which has the flexibility to invest across all of Sixth Street’s private credit market investments, Sixth Street Opportunities, which focuses on actively managed opportunistic investments across the credit cycle, Sixth Street Credit Market Strategies, which is the firm’s “public-side” credit investment platform focused on investment opportunities in broadly syndicated leveraged loan markets, Sixth Street Growth, which provides financing solutions to growing companies, Sixth Street Fundamental Strategies, which primarily invests in secondary credit, and Sixth Street Agriculture, which invests in niche agricultural opportunities. Sixth Street has a long-term oriented, highly flexible capital base that allows it to invest across industries, geographies, capital structures and asset classes. Sixth Street has extensive experience with highly complex, global public and private investments executed through primary originations, secondary market purchases and restructurings, and has a team of over 650 investment and operating professionals. As of December 31, 2024, seventy-two (72) of these personnel are dedicated to direct lending, including fifty-seven (57) investment professionals.</w:t>
      </w:r>
    </w:p>
    <w:p>
      <w:pPr>
        <w:sectPr>
          <w:pgSz w:w="12240" w:h="15840" w:orient="portrait"/>
          <w:cols w:equalWidth="0" w:num="1">
            <w:col w:w="10160"/>
          </w:cols>
          <w:pgMar w:left="1020" w:top="1317" w:right="1060" w:bottom="574" w:gutter="0" w:footer="0" w:header="0"/>
        </w:sectPr>
      </w:pPr>
    </w:p>
    <w:p>
      <w:pPr>
        <w:spacing w:after="0" w:line="22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9"/>
          <w:szCs w:val="19"/>
          <w:color w:val="231F20"/>
        </w:rPr>
        <w:t>63</w:t>
      </w:r>
    </w:p>
    <w:p>
      <w:pPr>
        <w:sectPr>
          <w:pgSz w:w="12240" w:h="15840" w:orient="portrait"/>
          <w:cols w:equalWidth="0" w:num="1">
            <w:col w:w="10160"/>
          </w:cols>
          <w:pgMar w:left="1020" w:top="1317" w:right="1060" w:bottom="574" w:gutter="0" w:footer="0" w:header="0"/>
          <w:type w:val="continuous"/>
        </w:sectPr>
      </w:pPr>
    </w:p>
    <w:bookmarkStart w:id="63" w:name="page64"/>
    <w:bookmarkEnd w:id="63"/>
    <w:p>
      <w:pPr>
        <w:ind w:right="120" w:firstLine="231"/>
        <w:spacing w:after="0" w:line="244" w:lineRule="auto"/>
        <w:rPr>
          <w:sz w:val="20"/>
          <w:szCs w:val="20"/>
          <w:color w:val="auto"/>
        </w:rPr>
      </w:pPr>
      <w:r>
        <w:rPr>
          <w:rFonts w:ascii="Times New Roman" w:cs="Times New Roman" w:eastAsia="Times New Roman" w:hAnsi="Times New Roman"/>
          <w:sz w:val="19"/>
          <w:szCs w:val="19"/>
          <w:color w:val="231F20"/>
        </w:rPr>
        <w:t>Our Adviser consults with Sixth Street in connection with a substantial number of our investments. The Sixth Street platform provides us with a breadth of large and scalable investment resources. We believe we benefit from Sixth Street’s market expertise, insights into industry, sector and macroeconomic trends and intensive due diligence capabilities, which help us discern market conditions that vary across industries and credit cycles, identify favorable investment opportunities and manage our portfolio of investments. Sixth Street and its affiliates will refer all middle-market loan origination activities for companies domiciled in the United States to us and conduct those activities through us. The Adviser will determine whether it would be permissible, advisable or otherwise appropriate for us to pursue a particular investment opportunity allocated to us.</w:t>
      </w:r>
    </w:p>
    <w:p>
      <w:pPr>
        <w:spacing w:after="0" w:line="192" w:lineRule="exact"/>
        <w:rPr>
          <w:sz w:val="20"/>
          <w:szCs w:val="20"/>
          <w:color w:val="auto"/>
        </w:rPr>
      </w:pPr>
    </w:p>
    <w:p>
      <w:pPr>
        <w:ind w:firstLine="231"/>
        <w:spacing w:after="0" w:line="260" w:lineRule="auto"/>
        <w:rPr>
          <w:sz w:val="20"/>
          <w:szCs w:val="20"/>
          <w:color w:val="auto"/>
        </w:rPr>
      </w:pPr>
      <w:r>
        <w:rPr>
          <w:rFonts w:ascii="Times New Roman" w:cs="Times New Roman" w:eastAsia="Times New Roman" w:hAnsi="Times New Roman"/>
          <w:sz w:val="18"/>
          <w:szCs w:val="18"/>
          <w:color w:val="231F20"/>
        </w:rPr>
        <w:t>On December 16, 2014, we were granted an exemptive order from the SEC that allows us to co-invest, subject to certain conditions and to the extent the size of an investment opportunity exceeds the amount our Adviser has independently determined is appropriate to invest, with certain of our affiliates (including affiliates of Sixth Street) in middle-market loan origination activities for companies domiciled in the United States and certain “follow-on” investments in companies in which we have already co-invested pursuant to the order and remain invested. On January 16, 2020, we filed a further application for co-investment exemptive relief with the SEC to better align our existing co-investment relief with more recent SEC exemptive orders. Subsequent further applications were also made, most recently as June 29, 2022. On August 3, 2022, the SEC granted the new order in response to our application.</w:t>
      </w:r>
    </w:p>
    <w:p>
      <w:pPr>
        <w:spacing w:after="0" w:line="177" w:lineRule="exact"/>
        <w:rPr>
          <w:sz w:val="20"/>
          <w:szCs w:val="20"/>
          <w:color w:val="auto"/>
        </w:rPr>
      </w:pPr>
    </w:p>
    <w:p>
      <w:pPr>
        <w:ind w:right="80" w:firstLine="231"/>
        <w:spacing w:after="0" w:line="247" w:lineRule="auto"/>
        <w:rPr>
          <w:sz w:val="20"/>
          <w:szCs w:val="20"/>
          <w:color w:val="auto"/>
        </w:rPr>
      </w:pPr>
      <w:r>
        <w:rPr>
          <w:rFonts w:ascii="Times New Roman" w:cs="Times New Roman" w:eastAsia="Times New Roman" w:hAnsi="Times New Roman"/>
          <w:sz w:val="19"/>
          <w:szCs w:val="19"/>
          <w:color w:val="231F20"/>
        </w:rPr>
        <w:t>We believe our ability to co-invest with Sixth Street affiliates is particularly useful where we identify larger capital commitments than otherwise would be appropriate for us. We expect that with the ability to co-invest with Sixth Street affiliates we will continue to be able to provide “one-stop” financing to a potential portfolio company in these circumstances, which may allow us to capture opportunities where we alone could not commit the full amount of required capital or would have to spend additional time to locate unaffiliated co-investors.</w:t>
      </w:r>
    </w:p>
    <w:p>
      <w:pPr>
        <w:spacing w:after="0" w:line="188" w:lineRule="exact"/>
        <w:rPr>
          <w:sz w:val="20"/>
          <w:szCs w:val="20"/>
          <w:color w:val="auto"/>
        </w:rPr>
      </w:pPr>
    </w:p>
    <w:p>
      <w:pPr>
        <w:jc w:val="both"/>
        <w:ind w:right="200" w:firstLine="231"/>
        <w:spacing w:after="0" w:line="250" w:lineRule="auto"/>
        <w:rPr>
          <w:sz w:val="20"/>
          <w:szCs w:val="20"/>
          <w:color w:val="auto"/>
        </w:rPr>
      </w:pPr>
      <w:r>
        <w:rPr>
          <w:rFonts w:ascii="Times New Roman" w:cs="Times New Roman" w:eastAsia="Times New Roman" w:hAnsi="Times New Roman"/>
          <w:sz w:val="19"/>
          <w:szCs w:val="19"/>
          <w:color w:val="231F20"/>
        </w:rPr>
        <w:t>Under the terms of the Investment Advisory Agreement and Administration Agreement, the Adviser’s services are not exclusive, and the Adviser is free to furnish similar or other services to others, so long as its services to us are not impaired. Under the terms of the Investment Advisory Agreement, we will pay the Adviser the base management fee (the “Management Fee”), and may also pay certain incentive fees (the “Incentive Fees”).</w:t>
      </w:r>
    </w:p>
    <w:p>
      <w:pPr>
        <w:spacing w:after="0" w:line="185" w:lineRule="exact"/>
        <w:rPr>
          <w:sz w:val="20"/>
          <w:szCs w:val="20"/>
          <w:color w:val="auto"/>
        </w:rPr>
      </w:pPr>
    </w:p>
    <w:p>
      <w:pPr>
        <w:ind w:right="180" w:firstLine="231"/>
        <w:spacing w:after="0" w:line="247" w:lineRule="auto"/>
        <w:rPr>
          <w:sz w:val="20"/>
          <w:szCs w:val="20"/>
          <w:color w:val="auto"/>
        </w:rPr>
      </w:pPr>
      <w:r>
        <w:rPr>
          <w:rFonts w:ascii="Times New Roman" w:cs="Times New Roman" w:eastAsia="Times New Roman" w:hAnsi="Times New Roman"/>
          <w:sz w:val="19"/>
          <w:szCs w:val="19"/>
          <w:color w:val="231F20"/>
        </w:rPr>
        <w:t>Under the terms of the Administration Agreement, the Adviser also provides administrative services to us. These services include providing office space, equipment and office services, maintaining financial records, preparing reports to stockholders and reports filed with the SEC, and managing the payment of expenses and the oversight of the performance of administrative and professional services rendered by others. Certain of these services are reimbursable to the Adviser under the terms of the Administration Agreement.</w:t>
      </w:r>
    </w:p>
    <w:p>
      <w:pPr>
        <w:spacing w:after="0" w:line="30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231F20"/>
        </w:rPr>
        <w:t>Key Components of Our Results of Operations</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231F20"/>
        </w:rPr>
        <w:t>Investments</w:t>
      </w:r>
    </w:p>
    <w:p>
      <w:pPr>
        <w:spacing w:after="0" w:line="110"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9"/>
          <w:szCs w:val="19"/>
          <w:color w:val="231F20"/>
        </w:rPr>
        <w:t>We focus primarily on the direct origination of loans to middle-market companies domiciled in the United States.</w:t>
      </w:r>
    </w:p>
    <w:p>
      <w:pPr>
        <w:spacing w:after="0" w:line="225" w:lineRule="exact"/>
        <w:rPr>
          <w:sz w:val="20"/>
          <w:szCs w:val="20"/>
          <w:color w:val="auto"/>
        </w:rPr>
      </w:pPr>
    </w:p>
    <w:p>
      <w:pPr>
        <w:ind w:right="180" w:firstLine="231"/>
        <w:spacing w:after="0" w:line="250" w:lineRule="auto"/>
        <w:rPr>
          <w:sz w:val="20"/>
          <w:szCs w:val="20"/>
          <w:color w:val="auto"/>
        </w:rPr>
      </w:pPr>
      <w:r>
        <w:rPr>
          <w:rFonts w:ascii="Times New Roman" w:cs="Times New Roman" w:eastAsia="Times New Roman" w:hAnsi="Times New Roman"/>
          <w:sz w:val="19"/>
          <w:szCs w:val="19"/>
          <w:color w:val="231F20"/>
        </w:rPr>
        <w:t>Our level of investment activity (both the number of investments and the size of each investment) can and does vary substantially from period to period depending on many factors, including the amount of debt and equity capital generally available to middle-market companies, the level of merger and acquisition activity for such companies, the general economic environment and the competitive environment for the types of investments we make.</w:t>
      </w:r>
    </w:p>
    <w:p>
      <w:pPr>
        <w:spacing w:after="0" w:line="185" w:lineRule="exact"/>
        <w:rPr>
          <w:sz w:val="20"/>
          <w:szCs w:val="20"/>
          <w:color w:val="auto"/>
        </w:rPr>
      </w:pPr>
    </w:p>
    <w:p>
      <w:pPr>
        <w:ind w:right="660" w:firstLine="231"/>
        <w:spacing w:after="0" w:line="275" w:lineRule="auto"/>
        <w:rPr>
          <w:sz w:val="20"/>
          <w:szCs w:val="20"/>
          <w:color w:val="auto"/>
        </w:rPr>
      </w:pPr>
      <w:r>
        <w:rPr>
          <w:rFonts w:ascii="Times New Roman" w:cs="Times New Roman" w:eastAsia="Times New Roman" w:hAnsi="Times New Roman"/>
          <w:sz w:val="19"/>
          <w:szCs w:val="19"/>
          <w:color w:val="231F20"/>
        </w:rPr>
        <w:t>In addition, as part of our risk strategy on investments, we may reduce certain levels of investments through partial sales or syndication to additional investors.</w:t>
      </w:r>
    </w:p>
    <w:p>
      <w:pPr>
        <w:spacing w:after="0" w:line="27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231F20"/>
        </w:rPr>
        <w:t>Revenues</w:t>
      </w:r>
    </w:p>
    <w:p>
      <w:pPr>
        <w:spacing w:after="0" w:line="110" w:lineRule="exact"/>
        <w:rPr>
          <w:sz w:val="20"/>
          <w:szCs w:val="20"/>
          <w:color w:val="auto"/>
        </w:rPr>
      </w:pPr>
    </w:p>
    <w:p>
      <w:pPr>
        <w:ind w:right="60" w:firstLine="231"/>
        <w:spacing w:after="0" w:line="244" w:lineRule="auto"/>
        <w:rPr>
          <w:sz w:val="20"/>
          <w:szCs w:val="20"/>
          <w:color w:val="auto"/>
        </w:rPr>
      </w:pPr>
      <w:r>
        <w:rPr>
          <w:rFonts w:ascii="Times New Roman" w:cs="Times New Roman" w:eastAsia="Times New Roman" w:hAnsi="Times New Roman"/>
          <w:sz w:val="19"/>
          <w:szCs w:val="19"/>
          <w:color w:val="231F20"/>
        </w:rPr>
        <w:t>We generate revenues primarily in the form of interest income from the investments we hold. In addition, we may generate income from dividends on direct equity investments, capital gains on the sale of investments and various loan origination and other fees. Our debt investments typically have a term of two to seven years, and, as of December 31, 2024, 97.2% of these investments based on fair value bore interest at a floating rate, with 100.0% of these subject to interest rate floors. Interest on debt investments is generally payable monthly or quarterly. Some of our investments provide for deferred interest payments or PIK interest. For the years ended December 31, 2024, 2023 and 2022, 6.1%, 4.5% and 4.1%, respectively, of our total investment income was comprised of PIK interest.</w:t>
      </w:r>
    </w:p>
    <w:p>
      <w:pPr>
        <w:spacing w:after="0" w:line="192" w:lineRule="exact"/>
        <w:rPr>
          <w:sz w:val="20"/>
          <w:szCs w:val="20"/>
          <w:color w:val="auto"/>
        </w:rPr>
      </w:pPr>
    </w:p>
    <w:p>
      <w:pPr>
        <w:ind w:right="20" w:firstLine="231"/>
        <w:spacing w:after="0" w:line="278" w:lineRule="auto"/>
        <w:rPr>
          <w:sz w:val="20"/>
          <w:szCs w:val="20"/>
          <w:color w:val="auto"/>
        </w:rPr>
      </w:pPr>
      <w:r>
        <w:rPr>
          <w:rFonts w:ascii="Times New Roman" w:cs="Times New Roman" w:eastAsia="Times New Roman" w:hAnsi="Times New Roman"/>
          <w:sz w:val="18"/>
          <w:szCs w:val="18"/>
          <w:color w:val="231F20"/>
        </w:rPr>
        <w:t>Changes in our net investment income are primarily driven by the spread between the payments we receive from our investments in our portfolio companies against our cost of funding, rather than by changes in interest rates. Our investment portfolio primarily consists of floating rate loans, and our Revolving Credit Facility, 2026 Notes 2028 Notes, and 2029 Notes after taking into account the</w:t>
      </w:r>
    </w:p>
    <w:p>
      <w:pPr>
        <w:sectPr>
          <w:pgSz w:w="12240" w:h="15840" w:orient="portrait"/>
          <w:cols w:equalWidth="0" w:num="1">
            <w:col w:w="10200"/>
          </w:cols>
          <w:pgMar w:left="1020" w:top="1317" w:right="1020" w:bottom="574" w:gutter="0" w:footer="0" w:header="0"/>
        </w:sectPr>
      </w:pPr>
    </w:p>
    <w:p>
      <w:pPr>
        <w:spacing w:after="0" w:line="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231F20"/>
        </w:rPr>
        <w:t>64</w:t>
      </w:r>
    </w:p>
    <w:p>
      <w:pPr>
        <w:sectPr>
          <w:pgSz w:w="12240" w:h="15840" w:orient="portrait"/>
          <w:cols w:equalWidth="0" w:num="1">
            <w:col w:w="10200"/>
          </w:cols>
          <w:pgMar w:left="1020" w:top="1317" w:right="1020" w:bottom="574" w:gutter="0" w:footer="0" w:header="0"/>
          <w:type w:val="continuous"/>
        </w:sectPr>
      </w:pPr>
    </w:p>
    <w:bookmarkStart w:id="64" w:name="page65"/>
    <w:bookmarkEnd w:id="64"/>
    <w:p>
      <w:pPr>
        <w:spacing w:after="0" w:line="246" w:lineRule="auto"/>
        <w:rPr>
          <w:sz w:val="20"/>
          <w:szCs w:val="20"/>
          <w:color w:val="auto"/>
        </w:rPr>
      </w:pPr>
      <w:r>
        <w:rPr>
          <w:rFonts w:ascii="Times New Roman" w:cs="Times New Roman" w:eastAsia="Times New Roman" w:hAnsi="Times New Roman"/>
          <w:sz w:val="19"/>
          <w:szCs w:val="19"/>
          <w:color w:val="231F20"/>
        </w:rPr>
        <w:t>effect of the interest rate swaps we have entered into in connection with these securities, all bear interest at floating rates. Macro trends in base interest rates like SOFR or other reference rates may affect our net investment income over the long term. However, because we generally originate loans to a limited number of portfolio companies each quarter, and those investments also vary in size, our results in any given period—including the interest rate on investments that were sold or repaid in a period compared to the interest rate of new investments made during that period—often are idiosyncratic, and reflect the characteristics of the particular portfolio companies that we invested in or exited during the period and not necessarily any trends in our business.</w:t>
      </w:r>
    </w:p>
    <w:p>
      <w:pPr>
        <w:spacing w:after="0" w:line="186" w:lineRule="exact"/>
        <w:rPr>
          <w:sz w:val="20"/>
          <w:szCs w:val="20"/>
          <w:color w:val="auto"/>
        </w:rPr>
      </w:pPr>
    </w:p>
    <w:p>
      <w:pPr>
        <w:ind w:right="20" w:firstLine="231"/>
        <w:spacing w:after="0" w:line="246" w:lineRule="auto"/>
        <w:rPr>
          <w:sz w:val="20"/>
          <w:szCs w:val="20"/>
          <w:color w:val="auto"/>
        </w:rPr>
      </w:pPr>
      <w:r>
        <w:rPr>
          <w:rFonts w:ascii="Times New Roman" w:cs="Times New Roman" w:eastAsia="Times New Roman" w:hAnsi="Times New Roman"/>
          <w:sz w:val="19"/>
          <w:szCs w:val="19"/>
          <w:color w:val="231F20"/>
        </w:rPr>
        <w:t>In addition to interest income, our net investment income is also driven by prepayment and other fees, which also can vary significantly from quarter to quarter. The level of prepayment fees is generally correlated to the movement in credit spreads and risk premiums, but also will vary based on corporate events that may take place at an individual portfolio company in a given period—e.g., merger and acquisition activity, initial public offerings and restructurings. As noted above, generally a small but varied number of portfolio companies may make prepayments in any quarter, meaning that changes in the amount of prepayment fees received can vary significantly between periods and can vary without regard to underlying credit trends.</w:t>
      </w:r>
    </w:p>
    <w:p>
      <w:pPr>
        <w:spacing w:after="0" w:line="186" w:lineRule="exact"/>
        <w:rPr>
          <w:sz w:val="20"/>
          <w:szCs w:val="20"/>
          <w:color w:val="auto"/>
        </w:rPr>
      </w:pPr>
    </w:p>
    <w:p>
      <w:pPr>
        <w:ind w:right="380" w:firstLine="231"/>
        <w:spacing w:after="0" w:line="246" w:lineRule="auto"/>
        <w:rPr>
          <w:sz w:val="20"/>
          <w:szCs w:val="20"/>
          <w:color w:val="auto"/>
        </w:rPr>
      </w:pPr>
      <w:r>
        <w:rPr>
          <w:rFonts w:ascii="Times New Roman" w:cs="Times New Roman" w:eastAsia="Times New Roman" w:hAnsi="Times New Roman"/>
          <w:sz w:val="19"/>
          <w:szCs w:val="19"/>
          <w:color w:val="231F20"/>
        </w:rPr>
        <w:t>Loan origination fees, original issue discount and market discount or premium are capitalized, and we accrete or amortize such amounts as interest income using the effective interest method for term instruments and the straight-line method for revolving or delayed draw instruments. Repayments of our debt investments can reduce interest income from period to period. We record prepayment premiums on loans as interest income when earned. We also may generate revenue in the form of commitment, amendment, structuring, syndication or due diligence fees, fees for providing managerial assistance and consulting fees. The frequency or volume of these items of revenue may fluctuate significantly.</w:t>
      </w:r>
    </w:p>
    <w:p>
      <w:pPr>
        <w:spacing w:after="0" w:line="186" w:lineRule="exact"/>
        <w:rPr>
          <w:sz w:val="20"/>
          <w:szCs w:val="20"/>
          <w:color w:val="auto"/>
        </w:rPr>
      </w:pPr>
    </w:p>
    <w:p>
      <w:pPr>
        <w:ind w:right="560" w:firstLine="231"/>
        <w:spacing w:after="0" w:line="275" w:lineRule="auto"/>
        <w:rPr>
          <w:sz w:val="20"/>
          <w:szCs w:val="20"/>
          <w:color w:val="auto"/>
        </w:rPr>
      </w:pPr>
      <w:r>
        <w:rPr>
          <w:rFonts w:ascii="Times New Roman" w:cs="Times New Roman" w:eastAsia="Times New Roman" w:hAnsi="Times New Roman"/>
          <w:sz w:val="19"/>
          <w:szCs w:val="19"/>
          <w:color w:val="231F20"/>
        </w:rPr>
        <w:t>Dividend income on common equity investments is recorded on the record date for private portfolio companies or on the ex-dividend date for publicly traded portfolio companies.</w:t>
      </w:r>
    </w:p>
    <w:p>
      <w:pPr>
        <w:spacing w:after="0" w:line="160" w:lineRule="exact"/>
        <w:rPr>
          <w:sz w:val="20"/>
          <w:szCs w:val="20"/>
          <w:color w:val="auto"/>
        </w:rPr>
      </w:pPr>
    </w:p>
    <w:p>
      <w:pPr>
        <w:ind w:right="40" w:firstLine="231"/>
        <w:spacing w:after="0" w:line="269" w:lineRule="auto"/>
        <w:rPr>
          <w:sz w:val="20"/>
          <w:szCs w:val="20"/>
          <w:color w:val="auto"/>
        </w:rPr>
      </w:pPr>
      <w:r>
        <w:rPr>
          <w:rFonts w:ascii="Times New Roman" w:cs="Times New Roman" w:eastAsia="Times New Roman" w:hAnsi="Times New Roman"/>
          <w:sz w:val="18"/>
          <w:szCs w:val="18"/>
          <w:color w:val="231F20"/>
        </w:rPr>
        <w:t>Our portfolio activity also reflects the proceeds of sales of investments. We recognize realized gains or losses on investments based on the difference between the net proceeds from the disposition and the amortized cost basis of the investment without regard to unrealized gains or losses previously recognized. We record current period changes in fair value of investments that are measured at fair value as a component of the net change in unrealized gains (losses) on investments in the Consolidated Statements of Operations.</w:t>
      </w: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231F20"/>
        </w:rPr>
        <w:t>Expenses</w:t>
      </w:r>
    </w:p>
    <w:p>
      <w:pPr>
        <w:spacing w:after="0" w:line="103" w:lineRule="exact"/>
        <w:rPr>
          <w:sz w:val="20"/>
          <w:szCs w:val="20"/>
          <w:color w:val="auto"/>
        </w:rPr>
      </w:pPr>
    </w:p>
    <w:p>
      <w:pPr>
        <w:ind w:right="220" w:firstLine="231"/>
        <w:spacing w:after="0" w:line="241" w:lineRule="auto"/>
        <w:rPr>
          <w:sz w:val="20"/>
          <w:szCs w:val="20"/>
          <w:color w:val="auto"/>
        </w:rPr>
      </w:pPr>
      <w:r>
        <w:rPr>
          <w:rFonts w:ascii="Times New Roman" w:cs="Times New Roman" w:eastAsia="Times New Roman" w:hAnsi="Times New Roman"/>
          <w:sz w:val="19"/>
          <w:szCs w:val="19"/>
          <w:color w:val="231F20"/>
        </w:rPr>
        <w:t>Our primary operating expenses include the payment of fees to our Adviser under the Investment Advisory Agreement, expenses reimbursable under the Administration Agreement and other operating costs described below. Additionally, we pay interest expense on our outstanding debt. We bear all other costs and expenses of our operations, administration and transactions, including those relating to:</w:t>
      </w:r>
    </w:p>
    <w:p>
      <w:pPr>
        <w:spacing w:after="0" w:line="82" w:lineRule="exact"/>
        <w:rPr>
          <w:sz w:val="20"/>
          <w:szCs w:val="20"/>
          <w:color w:val="auto"/>
        </w:rPr>
      </w:pPr>
    </w:p>
    <w:p>
      <w:pPr>
        <w:ind w:left="460" w:hanging="229"/>
        <w:spacing w:after="0"/>
        <w:tabs>
          <w:tab w:leader="none" w:pos="460" w:val="left"/>
        </w:tabs>
        <w:numPr>
          <w:ilvl w:val="0"/>
          <w:numId w:val="52"/>
        </w:numPr>
        <w:rPr>
          <w:rFonts w:ascii="Arial" w:cs="Arial" w:eastAsia="Arial" w:hAnsi="Arial"/>
          <w:sz w:val="19"/>
          <w:szCs w:val="19"/>
          <w:color w:val="231F20"/>
        </w:rPr>
      </w:pPr>
      <w:r>
        <w:rPr>
          <w:rFonts w:ascii="Times New Roman" w:cs="Times New Roman" w:eastAsia="Times New Roman" w:hAnsi="Times New Roman"/>
          <w:sz w:val="19"/>
          <w:szCs w:val="19"/>
          <w:color w:val="231F20"/>
        </w:rPr>
        <w:t>calculating individual asset values and our net asset value (including the cost and expenses of any independent valuation firms);</w:t>
      </w:r>
    </w:p>
    <w:p>
      <w:pPr>
        <w:spacing w:after="0" w:line="115" w:lineRule="exact"/>
        <w:rPr>
          <w:rFonts w:ascii="Arial" w:cs="Arial" w:eastAsia="Arial" w:hAnsi="Arial"/>
          <w:sz w:val="19"/>
          <w:szCs w:val="19"/>
          <w:color w:val="231F20"/>
        </w:rPr>
      </w:pPr>
    </w:p>
    <w:p>
      <w:pPr>
        <w:ind w:left="460" w:right="20" w:hanging="229"/>
        <w:spacing w:after="0" w:line="246" w:lineRule="auto"/>
        <w:tabs>
          <w:tab w:leader="none" w:pos="460" w:val="left"/>
        </w:tabs>
        <w:numPr>
          <w:ilvl w:val="0"/>
          <w:numId w:val="52"/>
        </w:numPr>
        <w:rPr>
          <w:rFonts w:ascii="Arial" w:cs="Arial" w:eastAsia="Arial" w:hAnsi="Arial"/>
          <w:sz w:val="19"/>
          <w:szCs w:val="19"/>
          <w:color w:val="231F20"/>
        </w:rPr>
      </w:pPr>
      <w:r>
        <w:rPr>
          <w:rFonts w:ascii="Times New Roman" w:cs="Times New Roman" w:eastAsia="Times New Roman" w:hAnsi="Times New Roman"/>
          <w:sz w:val="19"/>
          <w:szCs w:val="19"/>
          <w:color w:val="231F20"/>
        </w:rPr>
        <w:t>expenses, including travel expenses, incurred by the Adviser, or members of our Investment Team, or payable to third parties, in respect of due diligence on prospective portfolio companies and, if necessary, in respect of enforcing our rights with respect to investments in existing portfolio companies;</w:t>
      </w:r>
    </w:p>
    <w:p>
      <w:pPr>
        <w:spacing w:after="0" w:line="78" w:lineRule="exact"/>
        <w:rPr>
          <w:rFonts w:ascii="Arial" w:cs="Arial" w:eastAsia="Arial" w:hAnsi="Arial"/>
          <w:sz w:val="19"/>
          <w:szCs w:val="19"/>
          <w:color w:val="231F20"/>
        </w:rPr>
      </w:pPr>
    </w:p>
    <w:p>
      <w:pPr>
        <w:ind w:left="460" w:hanging="229"/>
        <w:spacing w:after="0"/>
        <w:tabs>
          <w:tab w:leader="none" w:pos="460" w:val="left"/>
        </w:tabs>
        <w:numPr>
          <w:ilvl w:val="0"/>
          <w:numId w:val="52"/>
        </w:numPr>
        <w:rPr>
          <w:rFonts w:ascii="Arial" w:cs="Arial" w:eastAsia="Arial" w:hAnsi="Arial"/>
          <w:sz w:val="19"/>
          <w:szCs w:val="19"/>
          <w:color w:val="231F20"/>
        </w:rPr>
      </w:pPr>
      <w:r>
        <w:rPr>
          <w:rFonts w:ascii="Times New Roman" w:cs="Times New Roman" w:eastAsia="Times New Roman" w:hAnsi="Times New Roman"/>
          <w:sz w:val="19"/>
          <w:szCs w:val="19"/>
          <w:color w:val="231F20"/>
        </w:rPr>
        <w:t>the costs of any public offerings of our common stock and other securities, including registration and listing fees;</w:t>
      </w:r>
    </w:p>
    <w:p>
      <w:pPr>
        <w:spacing w:after="0" w:line="115" w:lineRule="exact"/>
        <w:rPr>
          <w:rFonts w:ascii="Arial" w:cs="Arial" w:eastAsia="Arial" w:hAnsi="Arial"/>
          <w:sz w:val="19"/>
          <w:szCs w:val="19"/>
          <w:color w:val="231F20"/>
        </w:rPr>
      </w:pPr>
    </w:p>
    <w:p>
      <w:pPr>
        <w:ind w:left="460" w:hanging="229"/>
        <w:spacing w:after="0"/>
        <w:tabs>
          <w:tab w:leader="none" w:pos="460" w:val="left"/>
        </w:tabs>
        <w:numPr>
          <w:ilvl w:val="0"/>
          <w:numId w:val="52"/>
        </w:numPr>
        <w:rPr>
          <w:rFonts w:ascii="Arial" w:cs="Arial" w:eastAsia="Arial" w:hAnsi="Arial"/>
          <w:sz w:val="19"/>
          <w:szCs w:val="19"/>
          <w:color w:val="231F20"/>
        </w:rPr>
      </w:pPr>
      <w:r>
        <w:rPr>
          <w:rFonts w:ascii="Times New Roman" w:cs="Times New Roman" w:eastAsia="Times New Roman" w:hAnsi="Times New Roman"/>
          <w:sz w:val="19"/>
          <w:szCs w:val="19"/>
          <w:color w:val="231F20"/>
        </w:rPr>
        <w:t>the Management Fee and any Incentive Fee;</w:t>
      </w:r>
    </w:p>
    <w:p>
      <w:pPr>
        <w:spacing w:after="0" w:line="115" w:lineRule="exact"/>
        <w:rPr>
          <w:rFonts w:ascii="Arial" w:cs="Arial" w:eastAsia="Arial" w:hAnsi="Arial"/>
          <w:sz w:val="19"/>
          <w:szCs w:val="19"/>
          <w:color w:val="231F20"/>
        </w:rPr>
      </w:pPr>
    </w:p>
    <w:p>
      <w:pPr>
        <w:ind w:left="460" w:hanging="229"/>
        <w:spacing w:after="0"/>
        <w:tabs>
          <w:tab w:leader="none" w:pos="460" w:val="left"/>
        </w:tabs>
        <w:numPr>
          <w:ilvl w:val="0"/>
          <w:numId w:val="52"/>
        </w:numPr>
        <w:rPr>
          <w:rFonts w:ascii="Arial" w:cs="Arial" w:eastAsia="Arial" w:hAnsi="Arial"/>
          <w:sz w:val="19"/>
          <w:szCs w:val="19"/>
          <w:color w:val="231F20"/>
        </w:rPr>
      </w:pPr>
      <w:r>
        <w:rPr>
          <w:rFonts w:ascii="Times New Roman" w:cs="Times New Roman" w:eastAsia="Times New Roman" w:hAnsi="Times New Roman"/>
          <w:sz w:val="19"/>
          <w:szCs w:val="19"/>
          <w:color w:val="231F20"/>
        </w:rPr>
        <w:t>certain costs and expenses relating to distributions paid on our shares;</w:t>
      </w:r>
    </w:p>
    <w:p>
      <w:pPr>
        <w:spacing w:after="0" w:line="115" w:lineRule="exact"/>
        <w:rPr>
          <w:rFonts w:ascii="Arial" w:cs="Arial" w:eastAsia="Arial" w:hAnsi="Arial"/>
          <w:sz w:val="19"/>
          <w:szCs w:val="19"/>
          <w:color w:val="231F20"/>
        </w:rPr>
      </w:pPr>
    </w:p>
    <w:p>
      <w:pPr>
        <w:ind w:left="460" w:hanging="229"/>
        <w:spacing w:after="0"/>
        <w:tabs>
          <w:tab w:leader="none" w:pos="460" w:val="left"/>
        </w:tabs>
        <w:numPr>
          <w:ilvl w:val="0"/>
          <w:numId w:val="52"/>
        </w:numPr>
        <w:rPr>
          <w:rFonts w:ascii="Arial" w:cs="Arial" w:eastAsia="Arial" w:hAnsi="Arial"/>
          <w:sz w:val="19"/>
          <w:szCs w:val="19"/>
          <w:color w:val="231F20"/>
        </w:rPr>
      </w:pPr>
      <w:r>
        <w:rPr>
          <w:rFonts w:ascii="Times New Roman" w:cs="Times New Roman" w:eastAsia="Times New Roman" w:hAnsi="Times New Roman"/>
          <w:sz w:val="19"/>
          <w:szCs w:val="19"/>
          <w:color w:val="231F20"/>
        </w:rPr>
        <w:t>administration fees payable under our Administration Agreement;</w:t>
      </w:r>
    </w:p>
    <w:p>
      <w:pPr>
        <w:spacing w:after="0" w:line="123" w:lineRule="exact"/>
        <w:rPr>
          <w:rFonts w:ascii="Arial" w:cs="Arial" w:eastAsia="Arial" w:hAnsi="Arial"/>
          <w:sz w:val="19"/>
          <w:szCs w:val="19"/>
          <w:color w:val="231F20"/>
        </w:rPr>
      </w:pPr>
    </w:p>
    <w:p>
      <w:pPr>
        <w:ind w:left="460" w:right="60" w:hanging="229"/>
        <w:spacing w:after="0" w:line="247" w:lineRule="auto"/>
        <w:tabs>
          <w:tab w:leader="none" w:pos="460" w:val="left"/>
        </w:tabs>
        <w:numPr>
          <w:ilvl w:val="0"/>
          <w:numId w:val="52"/>
        </w:numPr>
        <w:rPr>
          <w:rFonts w:ascii="Arial" w:cs="Arial" w:eastAsia="Arial" w:hAnsi="Arial"/>
          <w:sz w:val="19"/>
          <w:szCs w:val="19"/>
          <w:color w:val="231F20"/>
        </w:rPr>
      </w:pPr>
      <w:r>
        <w:rPr>
          <w:rFonts w:ascii="Times New Roman" w:cs="Times New Roman" w:eastAsia="Times New Roman" w:hAnsi="Times New Roman"/>
          <w:sz w:val="19"/>
          <w:szCs w:val="19"/>
          <w:color w:val="231F20"/>
        </w:rPr>
        <w:t>costs of preparing financial statements and maintaining books and records and filing reports or other documents with the SEC (or other regulatory bodies) and other reporting and compliance costs, and the compensation of professionals responsible for the preparation of the foregoing, including the allocable portion of the compensation of our Chief Financial Officer, Chief Compliance Officer and other professionals who spend time on those related activities (based on the percentage of time those individuals devote, on an estimated basis, to our business and affairs);</w:t>
      </w:r>
    </w:p>
    <w:p>
      <w:pPr>
        <w:spacing w:after="0" w:line="87" w:lineRule="exact"/>
        <w:rPr>
          <w:rFonts w:ascii="Arial" w:cs="Arial" w:eastAsia="Arial" w:hAnsi="Arial"/>
          <w:sz w:val="19"/>
          <w:szCs w:val="19"/>
          <w:color w:val="231F20"/>
        </w:rPr>
      </w:pPr>
    </w:p>
    <w:p>
      <w:pPr>
        <w:ind w:left="460" w:hanging="229"/>
        <w:spacing w:after="0"/>
        <w:tabs>
          <w:tab w:leader="none" w:pos="460" w:val="left"/>
        </w:tabs>
        <w:numPr>
          <w:ilvl w:val="0"/>
          <w:numId w:val="52"/>
        </w:numPr>
        <w:rPr>
          <w:rFonts w:ascii="Arial" w:cs="Arial" w:eastAsia="Arial" w:hAnsi="Arial"/>
          <w:sz w:val="19"/>
          <w:szCs w:val="19"/>
          <w:color w:val="231F20"/>
        </w:rPr>
      </w:pPr>
      <w:r>
        <w:rPr>
          <w:rFonts w:ascii="Times New Roman" w:cs="Times New Roman" w:eastAsia="Times New Roman" w:hAnsi="Times New Roman"/>
          <w:sz w:val="19"/>
          <w:szCs w:val="19"/>
          <w:color w:val="231F20"/>
        </w:rPr>
        <w:t>debt service and other costs of borrowings or other financing arrangements;</w:t>
      </w:r>
    </w:p>
    <w:p>
      <w:pPr>
        <w:spacing w:after="0" w:line="124" w:lineRule="exact"/>
        <w:rPr>
          <w:rFonts w:ascii="Arial" w:cs="Arial" w:eastAsia="Arial" w:hAnsi="Arial"/>
          <w:sz w:val="19"/>
          <w:szCs w:val="19"/>
          <w:color w:val="231F20"/>
        </w:rPr>
      </w:pPr>
    </w:p>
    <w:p>
      <w:pPr>
        <w:ind w:left="460" w:right="200" w:hanging="229"/>
        <w:spacing w:after="0" w:line="274" w:lineRule="auto"/>
        <w:tabs>
          <w:tab w:leader="none" w:pos="460" w:val="left"/>
        </w:tabs>
        <w:numPr>
          <w:ilvl w:val="0"/>
          <w:numId w:val="52"/>
        </w:numPr>
        <w:rPr>
          <w:rFonts w:ascii="Arial" w:cs="Arial" w:eastAsia="Arial" w:hAnsi="Arial"/>
          <w:sz w:val="19"/>
          <w:szCs w:val="19"/>
          <w:color w:val="231F20"/>
        </w:rPr>
      </w:pPr>
      <w:r>
        <w:rPr>
          <w:rFonts w:ascii="Times New Roman" w:cs="Times New Roman" w:eastAsia="Times New Roman" w:hAnsi="Times New Roman"/>
          <w:sz w:val="19"/>
          <w:szCs w:val="19"/>
          <w:color w:val="231F20"/>
        </w:rPr>
        <w:t>the Adviser’s allocable share of costs incurred in providing significant managerial assistance to those portfolio companies that request it;</w:t>
      </w:r>
    </w:p>
    <w:p>
      <w:pPr>
        <w:spacing w:after="0" w:line="61" w:lineRule="exact"/>
        <w:rPr>
          <w:rFonts w:ascii="Arial" w:cs="Arial" w:eastAsia="Arial" w:hAnsi="Arial"/>
          <w:sz w:val="19"/>
          <w:szCs w:val="19"/>
          <w:color w:val="231F20"/>
        </w:rPr>
      </w:pPr>
    </w:p>
    <w:p>
      <w:pPr>
        <w:ind w:left="460" w:hanging="229"/>
        <w:spacing w:after="0"/>
        <w:tabs>
          <w:tab w:leader="none" w:pos="460" w:val="left"/>
        </w:tabs>
        <w:numPr>
          <w:ilvl w:val="0"/>
          <w:numId w:val="52"/>
        </w:numPr>
        <w:rPr>
          <w:rFonts w:ascii="Arial" w:cs="Arial" w:eastAsia="Arial" w:hAnsi="Arial"/>
          <w:sz w:val="19"/>
          <w:szCs w:val="19"/>
          <w:color w:val="231F20"/>
        </w:rPr>
      </w:pPr>
      <w:r>
        <w:rPr>
          <w:rFonts w:ascii="Times New Roman" w:cs="Times New Roman" w:eastAsia="Times New Roman" w:hAnsi="Times New Roman"/>
          <w:sz w:val="19"/>
          <w:szCs w:val="19"/>
          <w:color w:val="231F20"/>
        </w:rPr>
        <w:t>amounts payable to third parties relating to, or associated with, making or holding investments;</w:t>
      </w:r>
    </w:p>
    <w:p>
      <w:pPr>
        <w:sectPr>
          <w:pgSz w:w="12240" w:h="15840" w:orient="portrait"/>
          <w:cols w:equalWidth="0" w:num="1">
            <w:col w:w="10200"/>
          </w:cols>
          <w:pgMar w:left="1020" w:top="1317" w:right="1020" w:bottom="57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231F20"/>
        </w:rPr>
        <w:t>65</w:t>
      </w:r>
    </w:p>
    <w:p>
      <w:pPr>
        <w:sectPr>
          <w:pgSz w:w="12240" w:h="15840" w:orient="portrait"/>
          <w:cols w:equalWidth="0" w:num="1">
            <w:col w:w="10200"/>
          </w:cols>
          <w:pgMar w:left="1020" w:top="1317" w:right="1020" w:bottom="574" w:gutter="0" w:footer="0" w:header="0"/>
          <w:type w:val="continuous"/>
        </w:sectPr>
      </w:pPr>
    </w:p>
    <w:bookmarkStart w:id="65" w:name="page66"/>
    <w:bookmarkEnd w:id="65"/>
    <w:p>
      <w:pPr>
        <w:ind w:left="460" w:hanging="229"/>
        <w:spacing w:after="0"/>
        <w:tabs>
          <w:tab w:leader="none" w:pos="460" w:val="left"/>
        </w:tabs>
        <w:numPr>
          <w:ilvl w:val="0"/>
          <w:numId w:val="53"/>
        </w:numPr>
        <w:rPr>
          <w:rFonts w:ascii="Arial" w:cs="Arial" w:eastAsia="Arial" w:hAnsi="Arial"/>
          <w:sz w:val="19"/>
          <w:szCs w:val="19"/>
          <w:color w:val="231F20"/>
        </w:rPr>
      </w:pPr>
      <w:r>
        <w:rPr>
          <w:rFonts w:ascii="Times New Roman" w:cs="Times New Roman" w:eastAsia="Times New Roman" w:hAnsi="Times New Roman"/>
          <w:sz w:val="19"/>
          <w:szCs w:val="19"/>
          <w:color w:val="231F20"/>
        </w:rPr>
        <w:t>transfer agent and custodial fees;</w:t>
      </w:r>
    </w:p>
    <w:p>
      <w:pPr>
        <w:spacing w:after="0" w:line="124" w:lineRule="exact"/>
        <w:rPr>
          <w:rFonts w:ascii="Arial" w:cs="Arial" w:eastAsia="Arial" w:hAnsi="Arial"/>
          <w:sz w:val="19"/>
          <w:szCs w:val="19"/>
          <w:color w:val="231F20"/>
        </w:rPr>
      </w:pPr>
    </w:p>
    <w:p>
      <w:pPr>
        <w:ind w:left="460" w:hanging="229"/>
        <w:spacing w:after="0"/>
        <w:tabs>
          <w:tab w:leader="none" w:pos="460" w:val="left"/>
        </w:tabs>
        <w:numPr>
          <w:ilvl w:val="0"/>
          <w:numId w:val="53"/>
        </w:numPr>
        <w:rPr>
          <w:rFonts w:ascii="Arial" w:cs="Arial" w:eastAsia="Arial" w:hAnsi="Arial"/>
          <w:sz w:val="19"/>
          <w:szCs w:val="19"/>
          <w:color w:val="231F20"/>
        </w:rPr>
      </w:pPr>
      <w:r>
        <w:rPr>
          <w:rFonts w:ascii="Times New Roman" w:cs="Times New Roman" w:eastAsia="Times New Roman" w:hAnsi="Times New Roman"/>
          <w:sz w:val="19"/>
          <w:szCs w:val="19"/>
          <w:color w:val="231F20"/>
        </w:rPr>
        <w:t>costs of hedging;</w:t>
      </w:r>
    </w:p>
    <w:p>
      <w:pPr>
        <w:spacing w:after="0" w:line="124" w:lineRule="exact"/>
        <w:rPr>
          <w:rFonts w:ascii="Arial" w:cs="Arial" w:eastAsia="Arial" w:hAnsi="Arial"/>
          <w:sz w:val="19"/>
          <w:szCs w:val="19"/>
          <w:color w:val="231F20"/>
        </w:rPr>
      </w:pPr>
    </w:p>
    <w:p>
      <w:pPr>
        <w:ind w:left="460" w:hanging="229"/>
        <w:spacing w:after="0"/>
        <w:tabs>
          <w:tab w:leader="none" w:pos="460" w:val="left"/>
        </w:tabs>
        <w:numPr>
          <w:ilvl w:val="0"/>
          <w:numId w:val="53"/>
        </w:numPr>
        <w:rPr>
          <w:rFonts w:ascii="Arial" w:cs="Arial" w:eastAsia="Arial" w:hAnsi="Arial"/>
          <w:sz w:val="19"/>
          <w:szCs w:val="19"/>
          <w:color w:val="231F20"/>
        </w:rPr>
      </w:pPr>
      <w:r>
        <w:rPr>
          <w:rFonts w:ascii="Times New Roman" w:cs="Times New Roman" w:eastAsia="Times New Roman" w:hAnsi="Times New Roman"/>
          <w:sz w:val="19"/>
          <w:szCs w:val="19"/>
          <w:color w:val="231F20"/>
        </w:rPr>
        <w:t>commissions and other compensation payable to brokers or dealers;</w:t>
      </w:r>
    </w:p>
    <w:p>
      <w:pPr>
        <w:spacing w:after="0" w:line="124" w:lineRule="exact"/>
        <w:rPr>
          <w:rFonts w:ascii="Arial" w:cs="Arial" w:eastAsia="Arial" w:hAnsi="Arial"/>
          <w:sz w:val="19"/>
          <w:szCs w:val="19"/>
          <w:color w:val="231F20"/>
        </w:rPr>
      </w:pPr>
    </w:p>
    <w:p>
      <w:pPr>
        <w:ind w:left="460" w:hanging="229"/>
        <w:spacing w:after="0"/>
        <w:tabs>
          <w:tab w:leader="none" w:pos="460" w:val="left"/>
        </w:tabs>
        <w:numPr>
          <w:ilvl w:val="0"/>
          <w:numId w:val="53"/>
        </w:numPr>
        <w:rPr>
          <w:rFonts w:ascii="Arial" w:cs="Arial" w:eastAsia="Arial" w:hAnsi="Arial"/>
          <w:sz w:val="19"/>
          <w:szCs w:val="19"/>
          <w:color w:val="231F20"/>
        </w:rPr>
      </w:pPr>
      <w:r>
        <w:rPr>
          <w:rFonts w:ascii="Times New Roman" w:cs="Times New Roman" w:eastAsia="Times New Roman" w:hAnsi="Times New Roman"/>
          <w:sz w:val="19"/>
          <w:szCs w:val="19"/>
          <w:color w:val="231F20"/>
        </w:rPr>
        <w:t>taxes;</w:t>
      </w:r>
    </w:p>
    <w:p>
      <w:pPr>
        <w:spacing w:after="0" w:line="124" w:lineRule="exact"/>
        <w:rPr>
          <w:rFonts w:ascii="Arial" w:cs="Arial" w:eastAsia="Arial" w:hAnsi="Arial"/>
          <w:sz w:val="19"/>
          <w:szCs w:val="19"/>
          <w:color w:val="231F20"/>
        </w:rPr>
      </w:pPr>
    </w:p>
    <w:p>
      <w:pPr>
        <w:ind w:left="460" w:hanging="229"/>
        <w:spacing w:after="0"/>
        <w:tabs>
          <w:tab w:leader="none" w:pos="460" w:val="left"/>
        </w:tabs>
        <w:numPr>
          <w:ilvl w:val="0"/>
          <w:numId w:val="53"/>
        </w:numPr>
        <w:rPr>
          <w:rFonts w:ascii="Arial" w:cs="Arial" w:eastAsia="Arial" w:hAnsi="Arial"/>
          <w:sz w:val="19"/>
          <w:szCs w:val="19"/>
          <w:color w:val="231F20"/>
        </w:rPr>
      </w:pPr>
      <w:r>
        <w:rPr>
          <w:rFonts w:ascii="Times New Roman" w:cs="Times New Roman" w:eastAsia="Times New Roman" w:hAnsi="Times New Roman"/>
          <w:sz w:val="19"/>
          <w:szCs w:val="19"/>
          <w:color w:val="231F20"/>
        </w:rPr>
        <w:t>Independent Director fees and expenses;</w:t>
      </w:r>
    </w:p>
    <w:p>
      <w:pPr>
        <w:spacing w:after="0" w:line="124" w:lineRule="exact"/>
        <w:rPr>
          <w:rFonts w:ascii="Arial" w:cs="Arial" w:eastAsia="Arial" w:hAnsi="Arial"/>
          <w:sz w:val="19"/>
          <w:szCs w:val="19"/>
          <w:color w:val="231F20"/>
        </w:rPr>
      </w:pPr>
    </w:p>
    <w:p>
      <w:pPr>
        <w:jc w:val="both"/>
        <w:ind w:left="460" w:hanging="229"/>
        <w:spacing w:after="0" w:line="256" w:lineRule="auto"/>
        <w:tabs>
          <w:tab w:leader="none" w:pos="460" w:val="left"/>
        </w:tabs>
        <w:numPr>
          <w:ilvl w:val="0"/>
          <w:numId w:val="53"/>
        </w:numPr>
        <w:rPr>
          <w:rFonts w:ascii="Arial" w:cs="Arial" w:eastAsia="Arial" w:hAnsi="Arial"/>
          <w:sz w:val="19"/>
          <w:szCs w:val="19"/>
          <w:color w:val="231F20"/>
        </w:rPr>
      </w:pPr>
      <w:r>
        <w:rPr>
          <w:rFonts w:ascii="Times New Roman" w:cs="Times New Roman" w:eastAsia="Times New Roman" w:hAnsi="Times New Roman"/>
          <w:sz w:val="19"/>
          <w:szCs w:val="19"/>
          <w:color w:val="231F20"/>
        </w:rPr>
        <w:t>the costs of any reports, proxy statements or other notices to our stockholders (including printing and mailing costs), the costs of any stockholders’ meetings and the compensation of investor relations personnel responsible for the preparation of the foregoing and related matters;</w:t>
      </w:r>
    </w:p>
    <w:p>
      <w:pPr>
        <w:spacing w:after="0" w:line="78" w:lineRule="exact"/>
        <w:rPr>
          <w:rFonts w:ascii="Arial" w:cs="Arial" w:eastAsia="Arial" w:hAnsi="Arial"/>
          <w:sz w:val="19"/>
          <w:szCs w:val="19"/>
          <w:color w:val="231F20"/>
        </w:rPr>
      </w:pPr>
    </w:p>
    <w:p>
      <w:pPr>
        <w:ind w:left="460" w:hanging="229"/>
        <w:spacing w:after="0"/>
        <w:tabs>
          <w:tab w:leader="none" w:pos="460" w:val="left"/>
        </w:tabs>
        <w:numPr>
          <w:ilvl w:val="0"/>
          <w:numId w:val="53"/>
        </w:numPr>
        <w:rPr>
          <w:rFonts w:ascii="Arial" w:cs="Arial" w:eastAsia="Arial" w:hAnsi="Arial"/>
          <w:sz w:val="19"/>
          <w:szCs w:val="19"/>
          <w:color w:val="231F20"/>
        </w:rPr>
      </w:pPr>
      <w:r>
        <w:rPr>
          <w:rFonts w:ascii="Times New Roman" w:cs="Times New Roman" w:eastAsia="Times New Roman" w:hAnsi="Times New Roman"/>
          <w:sz w:val="19"/>
          <w:szCs w:val="19"/>
          <w:color w:val="231F20"/>
        </w:rPr>
        <w:t>our fidelity bond;</w:t>
      </w:r>
    </w:p>
    <w:p>
      <w:pPr>
        <w:spacing w:after="0" w:line="124" w:lineRule="exact"/>
        <w:rPr>
          <w:rFonts w:ascii="Arial" w:cs="Arial" w:eastAsia="Arial" w:hAnsi="Arial"/>
          <w:sz w:val="19"/>
          <w:szCs w:val="19"/>
          <w:color w:val="231F20"/>
        </w:rPr>
      </w:pPr>
    </w:p>
    <w:p>
      <w:pPr>
        <w:ind w:left="460" w:hanging="229"/>
        <w:spacing w:after="0"/>
        <w:tabs>
          <w:tab w:leader="none" w:pos="460" w:val="left"/>
        </w:tabs>
        <w:numPr>
          <w:ilvl w:val="0"/>
          <w:numId w:val="53"/>
        </w:numPr>
        <w:rPr>
          <w:rFonts w:ascii="Arial" w:cs="Arial" w:eastAsia="Arial" w:hAnsi="Arial"/>
          <w:sz w:val="19"/>
          <w:szCs w:val="19"/>
          <w:color w:val="231F20"/>
        </w:rPr>
      </w:pPr>
      <w:r>
        <w:rPr>
          <w:rFonts w:ascii="Times New Roman" w:cs="Times New Roman" w:eastAsia="Times New Roman" w:hAnsi="Times New Roman"/>
          <w:sz w:val="19"/>
          <w:szCs w:val="19"/>
          <w:color w:val="231F20"/>
        </w:rPr>
        <w:t>directors and officers/errors and omissions liability insurance, and any other insurance premiums;</w:t>
      </w:r>
    </w:p>
    <w:p>
      <w:pPr>
        <w:spacing w:after="0" w:line="124" w:lineRule="exact"/>
        <w:rPr>
          <w:rFonts w:ascii="Arial" w:cs="Arial" w:eastAsia="Arial" w:hAnsi="Arial"/>
          <w:sz w:val="19"/>
          <w:szCs w:val="19"/>
          <w:color w:val="231F20"/>
        </w:rPr>
      </w:pPr>
    </w:p>
    <w:p>
      <w:pPr>
        <w:ind w:left="460" w:hanging="229"/>
        <w:spacing w:after="0"/>
        <w:tabs>
          <w:tab w:leader="none" w:pos="460" w:val="left"/>
        </w:tabs>
        <w:numPr>
          <w:ilvl w:val="0"/>
          <w:numId w:val="53"/>
        </w:numPr>
        <w:rPr>
          <w:rFonts w:ascii="Arial" w:cs="Arial" w:eastAsia="Arial" w:hAnsi="Arial"/>
          <w:sz w:val="19"/>
          <w:szCs w:val="19"/>
          <w:color w:val="231F20"/>
        </w:rPr>
      </w:pPr>
      <w:r>
        <w:rPr>
          <w:rFonts w:ascii="Times New Roman" w:cs="Times New Roman" w:eastAsia="Times New Roman" w:hAnsi="Times New Roman"/>
          <w:sz w:val="19"/>
          <w:szCs w:val="19"/>
          <w:color w:val="231F20"/>
        </w:rPr>
        <w:t>indemnification payments;</w:t>
      </w:r>
    </w:p>
    <w:p>
      <w:pPr>
        <w:spacing w:after="0" w:line="124" w:lineRule="exact"/>
        <w:rPr>
          <w:rFonts w:ascii="Arial" w:cs="Arial" w:eastAsia="Arial" w:hAnsi="Arial"/>
          <w:sz w:val="19"/>
          <w:szCs w:val="19"/>
          <w:color w:val="231F20"/>
        </w:rPr>
      </w:pPr>
    </w:p>
    <w:p>
      <w:pPr>
        <w:ind w:left="460" w:hanging="229"/>
        <w:spacing w:after="0"/>
        <w:tabs>
          <w:tab w:leader="none" w:pos="460" w:val="left"/>
        </w:tabs>
        <w:numPr>
          <w:ilvl w:val="0"/>
          <w:numId w:val="53"/>
        </w:numPr>
        <w:rPr>
          <w:rFonts w:ascii="Arial" w:cs="Arial" w:eastAsia="Arial" w:hAnsi="Arial"/>
          <w:sz w:val="19"/>
          <w:szCs w:val="19"/>
          <w:color w:val="231F20"/>
        </w:rPr>
      </w:pPr>
      <w:r>
        <w:rPr>
          <w:rFonts w:ascii="Times New Roman" w:cs="Times New Roman" w:eastAsia="Times New Roman" w:hAnsi="Times New Roman"/>
          <w:sz w:val="19"/>
          <w:szCs w:val="19"/>
          <w:color w:val="231F20"/>
        </w:rPr>
        <w:t>direct costs and expenses of administration, including audit, accounting, consulting and legal costs; and</w:t>
      </w:r>
    </w:p>
    <w:p>
      <w:pPr>
        <w:spacing w:after="0" w:line="124" w:lineRule="exact"/>
        <w:rPr>
          <w:rFonts w:ascii="Arial" w:cs="Arial" w:eastAsia="Arial" w:hAnsi="Arial"/>
          <w:sz w:val="19"/>
          <w:szCs w:val="19"/>
          <w:color w:val="231F20"/>
        </w:rPr>
      </w:pPr>
    </w:p>
    <w:p>
      <w:pPr>
        <w:ind w:left="460" w:hanging="229"/>
        <w:spacing w:after="0"/>
        <w:tabs>
          <w:tab w:leader="none" w:pos="460" w:val="left"/>
        </w:tabs>
        <w:numPr>
          <w:ilvl w:val="0"/>
          <w:numId w:val="53"/>
        </w:numPr>
        <w:rPr>
          <w:rFonts w:ascii="Arial" w:cs="Arial" w:eastAsia="Arial" w:hAnsi="Arial"/>
          <w:sz w:val="19"/>
          <w:szCs w:val="19"/>
          <w:color w:val="231F20"/>
        </w:rPr>
      </w:pPr>
      <w:r>
        <w:rPr>
          <w:rFonts w:ascii="Times New Roman" w:cs="Times New Roman" w:eastAsia="Times New Roman" w:hAnsi="Times New Roman"/>
          <w:sz w:val="19"/>
          <w:szCs w:val="19"/>
          <w:color w:val="231F20"/>
        </w:rPr>
        <w:t>all other expenses reasonably incurred by us in connection with making investments and administering our business.</w:t>
      </w:r>
    </w:p>
    <w:p>
      <w:pPr>
        <w:spacing w:after="0" w:line="225" w:lineRule="exact"/>
        <w:rPr>
          <w:sz w:val="20"/>
          <w:szCs w:val="20"/>
          <w:color w:val="auto"/>
        </w:rPr>
      </w:pPr>
    </w:p>
    <w:p>
      <w:pPr>
        <w:ind w:right="60" w:firstLine="231"/>
        <w:spacing w:after="0" w:line="275" w:lineRule="auto"/>
        <w:rPr>
          <w:sz w:val="20"/>
          <w:szCs w:val="20"/>
          <w:color w:val="auto"/>
        </w:rPr>
      </w:pPr>
      <w:r>
        <w:rPr>
          <w:rFonts w:ascii="Times New Roman" w:cs="Times New Roman" w:eastAsia="Times New Roman" w:hAnsi="Times New Roman"/>
          <w:sz w:val="19"/>
          <w:szCs w:val="19"/>
          <w:color w:val="231F20"/>
        </w:rPr>
        <w:t>We expect that during periods of asset growth, our general and administrative expenses will be relatively stable or will decline as a percentage of total assets, and will increase as a percentage of total assets during periods of asset declines.</w:t>
      </w:r>
    </w:p>
    <w:p>
      <w:pPr>
        <w:spacing w:after="0" w:line="27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231F20"/>
        </w:rPr>
        <w:t>Leverage</w:t>
      </w:r>
    </w:p>
    <w:p>
      <w:pPr>
        <w:spacing w:after="0" w:line="110" w:lineRule="exact"/>
        <w:rPr>
          <w:sz w:val="20"/>
          <w:szCs w:val="20"/>
          <w:color w:val="auto"/>
        </w:rPr>
      </w:pPr>
    </w:p>
    <w:p>
      <w:pPr>
        <w:ind w:firstLine="231"/>
        <w:spacing w:after="0" w:line="244" w:lineRule="auto"/>
        <w:rPr>
          <w:sz w:val="20"/>
          <w:szCs w:val="20"/>
          <w:color w:val="auto"/>
        </w:rPr>
      </w:pPr>
      <w:r>
        <w:rPr>
          <w:rFonts w:ascii="Times New Roman" w:cs="Times New Roman" w:eastAsia="Times New Roman" w:hAnsi="Times New Roman"/>
          <w:sz w:val="19"/>
          <w:szCs w:val="19"/>
          <w:color w:val="231F20"/>
        </w:rPr>
        <w:t>While as a BDC the amount of leverage that we are permitted to use is limited in significant respects, we use leverage to increase our ability to make investments. The amount of leverage we use in any period depends on a variety of factors, including cash available for investing, the cost of financing and general economic and market conditions, however, under the 1940 Act, our total borrowings are limited so that our asset coverage ratio cannot fall below 150% immediately after any borrowing, as defined in the 1940 Act. In any period, our interest expense will depend largely on the extent of our borrowing and we expect interest expense will increase as we increase leverage over time within the limits of the 1940 Act. In addition, we may dedicate assets as collateral to financing facilities from time to time.</w:t>
      </w:r>
    </w:p>
    <w:p>
      <w:pPr>
        <w:spacing w:after="0" w:line="30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231F20"/>
        </w:rPr>
        <w:t>Market Trends</w:t>
      </w:r>
    </w:p>
    <w:p>
      <w:pPr>
        <w:spacing w:after="0" w:line="110" w:lineRule="exact"/>
        <w:rPr>
          <w:sz w:val="20"/>
          <w:szCs w:val="20"/>
          <w:color w:val="auto"/>
        </w:rPr>
      </w:pPr>
    </w:p>
    <w:p>
      <w:pPr>
        <w:ind w:right="20" w:firstLine="231"/>
        <w:spacing w:after="0" w:line="257" w:lineRule="auto"/>
        <w:rPr>
          <w:sz w:val="20"/>
          <w:szCs w:val="20"/>
          <w:color w:val="auto"/>
        </w:rPr>
      </w:pPr>
      <w:r>
        <w:rPr>
          <w:rFonts w:ascii="Times New Roman" w:cs="Times New Roman" w:eastAsia="Times New Roman" w:hAnsi="Times New Roman"/>
          <w:sz w:val="19"/>
          <w:szCs w:val="19"/>
          <w:color w:val="231F20"/>
        </w:rPr>
        <w:t>We believe trends in the middle-market lending environment, including the limited availability of capital from traditional regulated financial institutions, strong demand for debt capital and specialized lending requirements, are likely to continue to create favorable opportunities for us to invest at attractive risk-adjusted rates.</w:t>
      </w:r>
    </w:p>
    <w:p>
      <w:pPr>
        <w:spacing w:after="0" w:line="176" w:lineRule="exact"/>
        <w:rPr>
          <w:sz w:val="20"/>
          <w:szCs w:val="20"/>
          <w:color w:val="auto"/>
        </w:rPr>
      </w:pPr>
    </w:p>
    <w:p>
      <w:pPr>
        <w:ind w:right="100" w:firstLine="231"/>
        <w:spacing w:after="0" w:line="247" w:lineRule="auto"/>
        <w:rPr>
          <w:sz w:val="20"/>
          <w:szCs w:val="20"/>
          <w:color w:val="auto"/>
        </w:rPr>
      </w:pPr>
      <w:r>
        <w:rPr>
          <w:rFonts w:ascii="Times New Roman" w:cs="Times New Roman" w:eastAsia="Times New Roman" w:hAnsi="Times New Roman"/>
          <w:sz w:val="19"/>
          <w:szCs w:val="19"/>
          <w:color w:val="231F20"/>
        </w:rPr>
        <w:t>Subsequent to the global financial crisis, the implementation of regulatory changes such as Basel III requirements, Leverage Lending Guidance, and the Volcker Rule, tightened risk appetites and reduced the capacity of traditional lenders to serve middle-market companies. We believe that these dynamics create a significant opportunity for us to directly originate investments. We also believe that the large amount of uninvested capital held by private equity firms will continue to drive deal activity, which may in turn create additional demand for debt capital.</w:t>
      </w:r>
    </w:p>
    <w:p>
      <w:pPr>
        <w:spacing w:after="0" w:line="188" w:lineRule="exact"/>
        <w:rPr>
          <w:sz w:val="20"/>
          <w:szCs w:val="20"/>
          <w:color w:val="auto"/>
        </w:rPr>
      </w:pPr>
    </w:p>
    <w:p>
      <w:pPr>
        <w:jc w:val="both"/>
        <w:ind w:right="200" w:firstLine="231"/>
        <w:spacing w:after="0" w:line="250" w:lineRule="auto"/>
        <w:rPr>
          <w:sz w:val="20"/>
          <w:szCs w:val="20"/>
          <w:color w:val="auto"/>
        </w:rPr>
      </w:pPr>
      <w:r>
        <w:rPr>
          <w:rFonts w:ascii="Times New Roman" w:cs="Times New Roman" w:eastAsia="Times New Roman" w:hAnsi="Times New Roman"/>
          <w:sz w:val="19"/>
          <w:szCs w:val="19"/>
          <w:color w:val="231F20"/>
        </w:rPr>
        <w:t>This market dynamic is further exacerbated by the specialized due diligence and underwriting capabilities, as well as extensive ongoing monitoring, required for middle-market lending. We believe middle-market lending is generally more labor-intensive than lending to larger companies due to smaller investment sizes and the lack of publicly available information on these companies. As a result, the opportunities for dedicated private lenders such as us has continued to expand.</w:t>
      </w:r>
    </w:p>
    <w:p>
      <w:pPr>
        <w:spacing w:after="0" w:line="185" w:lineRule="exact"/>
        <w:rPr>
          <w:sz w:val="20"/>
          <w:szCs w:val="20"/>
          <w:color w:val="auto"/>
        </w:rPr>
      </w:pPr>
    </w:p>
    <w:p>
      <w:pPr>
        <w:ind w:right="80" w:firstLine="231"/>
        <w:spacing w:after="0" w:line="247" w:lineRule="auto"/>
        <w:rPr>
          <w:sz w:val="20"/>
          <w:szCs w:val="20"/>
          <w:color w:val="auto"/>
        </w:rPr>
      </w:pPr>
      <w:r>
        <w:rPr>
          <w:rFonts w:ascii="Times New Roman" w:cs="Times New Roman" w:eastAsia="Times New Roman" w:hAnsi="Times New Roman"/>
          <w:sz w:val="19"/>
          <w:szCs w:val="19"/>
          <w:color w:val="231F20"/>
        </w:rPr>
        <w:t>An imbalance between the supply of, and demand for, middle-market debt capital creates attractive pricing dynamics for investors such as BDCs. The negotiated nature of middle-market financings also generally provides for more favorable terms to the lenders, including stronger covenant and reporting packages, better call protection and lender-protective change of control provisions. We believe that BDCs have flexibility to develop loans that reflect each borrower’s distinct situation, provide long-term relationships and a potential source for future capital, which renders BDCs, including us, attractive lenders.</w:t>
      </w:r>
    </w:p>
    <w:p>
      <w:pPr>
        <w:sectPr>
          <w:pgSz w:w="12240" w:h="15840" w:orient="portrait"/>
          <w:cols w:equalWidth="0" w:num="1">
            <w:col w:w="10180"/>
          </w:cols>
          <w:pgMar w:left="1020" w:top="1330" w:right="1040" w:bottom="57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231F20"/>
        </w:rPr>
        <w:t>66</w:t>
      </w:r>
    </w:p>
    <w:p>
      <w:pPr>
        <w:sectPr>
          <w:pgSz w:w="12240" w:h="15840" w:orient="portrait"/>
          <w:cols w:equalWidth="0" w:num="1">
            <w:col w:w="10180"/>
          </w:cols>
          <w:pgMar w:left="1020" w:top="1330" w:right="1040" w:bottom="574" w:gutter="0" w:footer="0" w:header="0"/>
          <w:type w:val="continuous"/>
        </w:sectPr>
      </w:pPr>
    </w:p>
    <w:bookmarkStart w:id="66" w:name="page67"/>
    <w:bookmarkEnd w:id="66"/>
    <w:p>
      <w:pPr>
        <w:spacing w:after="0"/>
        <w:rPr>
          <w:sz w:val="20"/>
          <w:szCs w:val="20"/>
          <w:color w:val="auto"/>
        </w:rPr>
      </w:pPr>
      <w:r>
        <w:rPr>
          <w:rFonts w:ascii="Times New Roman" w:cs="Times New Roman" w:eastAsia="Times New Roman" w:hAnsi="Times New Roman"/>
          <w:sz w:val="19"/>
          <w:szCs w:val="19"/>
          <w:b w:val="1"/>
          <w:bCs w:val="1"/>
          <w:color w:val="231F20"/>
        </w:rPr>
        <w:t>Portfolio and Investment Activity</w:t>
      </w:r>
    </w:p>
    <w:p>
      <w:pPr>
        <w:spacing w:after="0" w:line="114" w:lineRule="exact"/>
        <w:rPr>
          <w:sz w:val="20"/>
          <w:szCs w:val="20"/>
          <w:color w:val="auto"/>
        </w:rPr>
      </w:pPr>
    </w:p>
    <w:p>
      <w:pPr>
        <w:ind w:right="140" w:firstLine="231"/>
        <w:spacing w:after="0" w:line="269" w:lineRule="auto"/>
        <w:rPr>
          <w:sz w:val="20"/>
          <w:szCs w:val="20"/>
          <w:color w:val="auto"/>
        </w:rPr>
      </w:pPr>
      <w:r>
        <w:rPr>
          <w:rFonts w:ascii="Times New Roman" w:cs="Times New Roman" w:eastAsia="Times New Roman" w:hAnsi="Times New Roman"/>
          <w:sz w:val="18"/>
          <w:szCs w:val="18"/>
          <w:color w:val="231F20"/>
        </w:rPr>
        <w:t>As of December 31, 2024, our portfolio based on fair value consisted of 93.9% first-lien debt investments, 0.6% second-lien debt investments, 1.1% mezzanine debt investments, 4.4% equity and other investments and less than 0.1% structured credit investments. As of December 31, 2023, our portfolio based on fair value consisted of 91.3% first-lien debt investments, 1.1% second-lien debt investments, 1.2% mezzanine debt investments, 4.7% equity and other investments and 1.7% structured credit investments.</w:t>
      </w:r>
    </w:p>
    <w:p>
      <w:pPr>
        <w:spacing w:after="0" w:line="167" w:lineRule="exact"/>
        <w:rPr>
          <w:sz w:val="20"/>
          <w:szCs w:val="20"/>
          <w:color w:val="auto"/>
        </w:rPr>
      </w:pPr>
    </w:p>
    <w:p>
      <w:pPr>
        <w:ind w:firstLine="231"/>
        <w:spacing w:after="0" w:line="250" w:lineRule="auto"/>
        <w:rPr>
          <w:sz w:val="20"/>
          <w:szCs w:val="20"/>
          <w:color w:val="auto"/>
        </w:rPr>
      </w:pPr>
      <w:r>
        <w:rPr>
          <w:rFonts w:ascii="Times New Roman" w:cs="Times New Roman" w:eastAsia="Times New Roman" w:hAnsi="Times New Roman"/>
          <w:sz w:val="19"/>
          <w:szCs w:val="19"/>
          <w:color w:val="231F20"/>
        </w:rPr>
        <w:t>As of December 31, 2024 and December 31, 2023, our weighted average total yield of debt and income producing securities at fair value (which includes interest income and amortization of fees and discounts) was 12.3% and 14.1%, respectively, and our weighted average total yield of debt and income-producing securities at amortized cost (which includes interest income and amortization of fees and discounts) was 12.5% and 14.2%, respectively.</w:t>
      </w:r>
    </w:p>
    <w:p>
      <w:pPr>
        <w:spacing w:after="0" w:line="185" w:lineRule="exact"/>
        <w:rPr>
          <w:sz w:val="20"/>
          <w:szCs w:val="20"/>
          <w:color w:val="auto"/>
        </w:rPr>
      </w:pPr>
    </w:p>
    <w:p>
      <w:pPr>
        <w:ind w:right="40" w:firstLine="231"/>
        <w:spacing w:after="0" w:line="269" w:lineRule="auto"/>
        <w:rPr>
          <w:sz w:val="20"/>
          <w:szCs w:val="20"/>
          <w:color w:val="auto"/>
        </w:rPr>
      </w:pPr>
      <w:r>
        <w:rPr>
          <w:rFonts w:ascii="Times New Roman" w:cs="Times New Roman" w:eastAsia="Times New Roman" w:hAnsi="Times New Roman"/>
          <w:sz w:val="18"/>
          <w:szCs w:val="18"/>
          <w:color w:val="231F20"/>
        </w:rPr>
        <w:t>As of December 31, 2024 and December 31, 2023, we had investments in 116 portfolio companies (including one structured credit investment, which include each series of collateralized loan obligation as a separate portfolio company investment) and 136 portfolio companies (including 42 structured credit investments, which include each series of collateralized loan obligation as a separate portfolio company investment), respectively, with an aggregate fair value of $3,518.4 million and $3,283.1 million, respectively.</w:t>
      </w:r>
    </w:p>
    <w:p>
      <w:pPr>
        <w:spacing w:after="0" w:line="168" w:lineRule="exact"/>
        <w:rPr>
          <w:sz w:val="20"/>
          <w:szCs w:val="20"/>
          <w:color w:val="auto"/>
        </w:rPr>
      </w:pPr>
    </w:p>
    <w:p>
      <w:pPr>
        <w:ind w:right="100" w:firstLine="231"/>
        <w:spacing w:after="0" w:line="257" w:lineRule="auto"/>
        <w:rPr>
          <w:sz w:val="20"/>
          <w:szCs w:val="20"/>
          <w:color w:val="auto"/>
        </w:rPr>
      </w:pPr>
      <w:r>
        <w:rPr>
          <w:rFonts w:ascii="Times New Roman" w:cs="Times New Roman" w:eastAsia="Times New Roman" w:hAnsi="Times New Roman"/>
          <w:sz w:val="19"/>
          <w:szCs w:val="19"/>
          <w:color w:val="231F20"/>
        </w:rPr>
        <w:t>For the year ended December 31, 2024, the principal amount of new investments funded was $838.9 million in thirty-four new portfolio companies and twenty-one existing portfolio companies. For this period, we had $793.7 million aggregate principal amount in exits and repayments.</w:t>
      </w:r>
    </w:p>
    <w:p>
      <w:pPr>
        <w:spacing w:after="0" w:line="176" w:lineRule="exact"/>
        <w:rPr>
          <w:sz w:val="20"/>
          <w:szCs w:val="20"/>
          <w:color w:val="auto"/>
        </w:rPr>
      </w:pPr>
    </w:p>
    <w:p>
      <w:pPr>
        <w:ind w:right="240" w:firstLine="231"/>
        <w:spacing w:after="0" w:line="257" w:lineRule="auto"/>
        <w:rPr>
          <w:sz w:val="20"/>
          <w:szCs w:val="20"/>
          <w:color w:val="auto"/>
        </w:rPr>
      </w:pPr>
      <w:r>
        <w:rPr>
          <w:rFonts w:ascii="Times New Roman" w:cs="Times New Roman" w:eastAsia="Times New Roman" w:hAnsi="Times New Roman"/>
          <w:sz w:val="19"/>
          <w:szCs w:val="19"/>
          <w:color w:val="231F20"/>
        </w:rPr>
        <w:t>For the year ended December 31, 2023, the principal amount of new investments funded was $808.4 million in 30 new portfolio companies and 16 existing portfolio companies. For this period, we had $469.1 million aggregate principal amount in exits and repayments.</w:t>
      </w:r>
    </w:p>
    <w:p>
      <w:pPr>
        <w:sectPr>
          <w:pgSz w:w="12240" w:h="15840" w:orient="portrait"/>
          <w:cols w:equalWidth="0" w:num="1">
            <w:col w:w="10160"/>
          </w:cols>
          <w:pgMar w:left="1020" w:top="1315" w:right="1060" w:bottom="57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9"/>
          <w:szCs w:val="19"/>
          <w:color w:val="231F20"/>
        </w:rPr>
        <w:t>67</w:t>
      </w:r>
    </w:p>
    <w:p>
      <w:pPr>
        <w:sectPr>
          <w:pgSz w:w="12240" w:h="15840" w:orient="portrait"/>
          <w:cols w:equalWidth="0" w:num="1">
            <w:col w:w="10160"/>
          </w:cols>
          <w:pgMar w:left="1020" w:top="1315" w:right="1060" w:bottom="574" w:gutter="0" w:footer="0" w:header="0"/>
          <w:type w:val="continuous"/>
        </w:sectPr>
      </w:pPr>
    </w:p>
    <w:bookmarkStart w:id="67" w:name="page68"/>
    <w:bookmarkEnd w:id="67"/>
    <w:p>
      <w:pPr>
        <w:ind w:firstLine="231"/>
        <w:spacing w:after="0" w:line="275" w:lineRule="auto"/>
        <w:rPr>
          <w:sz w:val="20"/>
          <w:szCs w:val="20"/>
          <w:color w:val="auto"/>
        </w:rPr>
      </w:pPr>
      <w:r>
        <w:rPr>
          <w:rFonts w:ascii="Times New Roman" w:cs="Times New Roman" w:eastAsia="Times New Roman" w:hAnsi="Times New Roman"/>
          <w:sz w:val="19"/>
          <w:szCs w:val="19"/>
          <w:color w:val="231F20"/>
        </w:rPr>
        <w:t>Our investment activity for the years ended December 31, 2024, December 31, 2023 and December 31, 2022 is presented below (information presented herein is at par value unless otherwise indicated).</w:t>
      </w:r>
    </w:p>
    <w:p>
      <w:pPr>
        <w:spacing w:after="0" w:line="171" w:lineRule="exact"/>
        <w:rPr>
          <w:sz w:val="20"/>
          <w:szCs w:val="20"/>
          <w:color w:val="auto"/>
        </w:rPr>
      </w:pPr>
    </w:p>
    <w:tbl>
      <w:tblPr>
        <w:tblLayout w:type="fixed"/>
        <w:tblInd w:w="520" w:type="dxa"/>
        <w:tblCellMar>
          <w:top w:w="0" w:type="dxa"/>
          <w:left w:w="0" w:type="dxa"/>
          <w:bottom w:w="0" w:type="dxa"/>
          <w:right w:w="0" w:type="dxa"/>
        </w:tblCellMar>
      </w:tblPr>
      <w:tr>
        <w:trPr>
          <w:trHeight w:val="187"/>
        </w:trPr>
        <w:tc>
          <w:tcPr>
            <w:tcW w:w="5080" w:type="dxa"/>
            <w:vAlign w:val="bottom"/>
            <w:tcBorders>
              <w:bottom w:val="single" w:sz="8" w:color="FDFDFC"/>
            </w:tcBorders>
            <w:shd w:val="clear" w:color="auto" w:fill="FDFDFC"/>
          </w:tcPr>
          <w:p>
            <w:pPr>
              <w:spacing w:after="0"/>
              <w:rPr>
                <w:sz w:val="16"/>
                <w:szCs w:val="16"/>
                <w:color w:val="auto"/>
              </w:rPr>
            </w:pPr>
          </w:p>
        </w:tc>
        <w:tc>
          <w:tcPr>
            <w:tcW w:w="100" w:type="dxa"/>
            <w:vAlign w:val="bottom"/>
            <w:tcBorders>
              <w:bottom w:val="single" w:sz="8" w:color="FDFDFC"/>
            </w:tcBorders>
            <w:shd w:val="clear" w:color="auto" w:fill="FDFDFC"/>
          </w:tcPr>
          <w:p>
            <w:pPr>
              <w:spacing w:after="0"/>
              <w:rPr>
                <w:sz w:val="16"/>
                <w:szCs w:val="16"/>
                <w:color w:val="auto"/>
              </w:rPr>
            </w:pPr>
          </w:p>
        </w:tc>
        <w:tc>
          <w:tcPr>
            <w:tcW w:w="200" w:type="dxa"/>
            <w:vAlign w:val="bottom"/>
            <w:tcBorders>
              <w:bottom w:val="single" w:sz="8" w:color="231F20"/>
            </w:tcBorders>
            <w:shd w:val="clear" w:color="auto" w:fill="FDFDFC"/>
          </w:tcPr>
          <w:p>
            <w:pPr>
              <w:spacing w:after="0"/>
              <w:rPr>
                <w:sz w:val="16"/>
                <w:szCs w:val="16"/>
                <w:color w:val="auto"/>
              </w:rPr>
            </w:pPr>
          </w:p>
        </w:tc>
        <w:tc>
          <w:tcPr>
            <w:tcW w:w="780" w:type="dxa"/>
            <w:vAlign w:val="bottom"/>
            <w:tcBorders>
              <w:bottom w:val="single" w:sz="8" w:color="231F20"/>
            </w:tcBorders>
            <w:shd w:val="clear" w:color="auto" w:fill="FDFDFC"/>
          </w:tcPr>
          <w:p>
            <w:pPr>
              <w:spacing w:after="0"/>
              <w:rPr>
                <w:sz w:val="16"/>
                <w:szCs w:val="16"/>
                <w:color w:val="auto"/>
              </w:rPr>
            </w:pPr>
          </w:p>
        </w:tc>
        <w:tc>
          <w:tcPr>
            <w:tcW w:w="180" w:type="dxa"/>
            <w:vAlign w:val="bottom"/>
            <w:tcBorders>
              <w:bottom w:val="single" w:sz="8" w:color="231F20"/>
            </w:tcBorders>
            <w:shd w:val="clear" w:color="auto" w:fill="FDFDFC"/>
          </w:tcPr>
          <w:p>
            <w:pPr>
              <w:spacing w:after="0"/>
              <w:rPr>
                <w:sz w:val="16"/>
                <w:szCs w:val="16"/>
                <w:color w:val="auto"/>
              </w:rPr>
            </w:pPr>
          </w:p>
        </w:tc>
        <w:tc>
          <w:tcPr>
            <w:tcW w:w="100" w:type="dxa"/>
            <w:vAlign w:val="bottom"/>
            <w:tcBorders>
              <w:bottom w:val="single" w:sz="8" w:color="231F20"/>
            </w:tcBorders>
            <w:shd w:val="clear" w:color="auto" w:fill="FDFDFC"/>
          </w:tcPr>
          <w:p>
            <w:pPr>
              <w:spacing w:after="0"/>
              <w:rPr>
                <w:sz w:val="16"/>
                <w:szCs w:val="16"/>
                <w:color w:val="auto"/>
              </w:rPr>
            </w:pPr>
          </w:p>
        </w:tc>
        <w:tc>
          <w:tcPr>
            <w:tcW w:w="100" w:type="dxa"/>
            <w:vAlign w:val="bottom"/>
            <w:tcBorders>
              <w:bottom w:val="single" w:sz="8" w:color="231F20"/>
            </w:tcBorders>
            <w:shd w:val="clear" w:color="auto" w:fill="FDFDFC"/>
          </w:tcPr>
          <w:p>
            <w:pPr>
              <w:spacing w:after="0"/>
              <w:rPr>
                <w:sz w:val="16"/>
                <w:szCs w:val="16"/>
                <w:color w:val="auto"/>
              </w:rPr>
            </w:pPr>
          </w:p>
        </w:tc>
        <w:tc>
          <w:tcPr>
            <w:tcW w:w="1220" w:type="dxa"/>
            <w:vAlign w:val="bottom"/>
            <w:tcBorders>
              <w:bottom w:val="single" w:sz="8" w:color="231F20"/>
            </w:tcBorders>
            <w:gridSpan w:val="2"/>
            <w:shd w:val="clear" w:color="auto" w:fill="FDFDFC"/>
          </w:tcPr>
          <w:p>
            <w:pPr>
              <w:jc w:val="right"/>
              <w:ind w:right="300"/>
              <w:spacing w:after="0"/>
              <w:rPr>
                <w:sz w:val="20"/>
                <w:szCs w:val="20"/>
                <w:color w:val="auto"/>
              </w:rPr>
            </w:pPr>
            <w:r>
              <w:rPr>
                <w:rFonts w:ascii="Times New Roman" w:cs="Times New Roman" w:eastAsia="Times New Roman" w:hAnsi="Times New Roman"/>
                <w:sz w:val="15"/>
                <w:szCs w:val="15"/>
                <w:b w:val="1"/>
                <w:bCs w:val="1"/>
                <w:color w:val="231F20"/>
              </w:rPr>
              <w:t>Year Ended</w:t>
            </w:r>
          </w:p>
        </w:tc>
        <w:tc>
          <w:tcPr>
            <w:tcW w:w="200" w:type="dxa"/>
            <w:vAlign w:val="bottom"/>
            <w:tcBorders>
              <w:bottom w:val="single" w:sz="8" w:color="231F20"/>
            </w:tcBorders>
            <w:shd w:val="clear" w:color="auto" w:fill="FDFDFC"/>
          </w:tcPr>
          <w:p>
            <w:pPr>
              <w:spacing w:after="0"/>
              <w:rPr>
                <w:sz w:val="16"/>
                <w:szCs w:val="16"/>
                <w:color w:val="auto"/>
              </w:rPr>
            </w:pPr>
          </w:p>
        </w:tc>
        <w:tc>
          <w:tcPr>
            <w:tcW w:w="1040" w:type="dxa"/>
            <w:vAlign w:val="bottom"/>
            <w:tcBorders>
              <w:bottom w:val="single" w:sz="8" w:color="231F20"/>
            </w:tcBorders>
            <w:shd w:val="clear" w:color="auto" w:fill="FDFDFC"/>
          </w:tcPr>
          <w:p>
            <w:pPr>
              <w:spacing w:after="0"/>
              <w:rPr>
                <w:sz w:val="16"/>
                <w:szCs w:val="16"/>
                <w:color w:val="auto"/>
              </w:rPr>
            </w:pPr>
          </w:p>
        </w:tc>
        <w:tc>
          <w:tcPr>
            <w:tcW w:w="180" w:type="dxa"/>
            <w:vAlign w:val="bottom"/>
            <w:tcBorders>
              <w:bottom w:val="single" w:sz="8" w:color="FDFDFC"/>
            </w:tcBorders>
            <w:shd w:val="clear" w:color="auto" w:fill="FDFDFC"/>
          </w:tcPr>
          <w:p>
            <w:pPr>
              <w:spacing w:after="0"/>
              <w:rPr>
                <w:sz w:val="16"/>
                <w:szCs w:val="16"/>
                <w:color w:val="auto"/>
              </w:rPr>
            </w:pPr>
          </w:p>
        </w:tc>
      </w:tr>
      <w:tr>
        <w:trPr>
          <w:trHeight w:val="159"/>
        </w:trPr>
        <w:tc>
          <w:tcPr>
            <w:tcW w:w="5080" w:type="dxa"/>
            <w:vAlign w:val="bottom"/>
            <w:shd w:val="clear" w:color="auto" w:fill="FDFDFC"/>
          </w:tcPr>
          <w:p>
            <w:pPr>
              <w:spacing w:after="0"/>
              <w:rPr>
                <w:sz w:val="13"/>
                <w:szCs w:val="13"/>
                <w:color w:val="auto"/>
              </w:rPr>
            </w:pPr>
          </w:p>
        </w:tc>
        <w:tc>
          <w:tcPr>
            <w:tcW w:w="100" w:type="dxa"/>
            <w:vAlign w:val="bottom"/>
            <w:shd w:val="clear" w:color="auto" w:fill="FDFDFC"/>
          </w:tcPr>
          <w:p>
            <w:pPr>
              <w:spacing w:after="0"/>
              <w:rPr>
                <w:sz w:val="13"/>
                <w:szCs w:val="13"/>
                <w:color w:val="auto"/>
              </w:rPr>
            </w:pPr>
          </w:p>
        </w:tc>
        <w:tc>
          <w:tcPr>
            <w:tcW w:w="980" w:type="dxa"/>
            <w:vAlign w:val="bottom"/>
            <w:gridSpan w:val="2"/>
            <w:shd w:val="clear" w:color="auto" w:fill="FDFDFC"/>
          </w:tcPr>
          <w:p>
            <w:pPr>
              <w:jc w:val="right"/>
              <w:spacing w:after="0" w:line="159" w:lineRule="exact"/>
              <w:rPr>
                <w:sz w:val="20"/>
                <w:szCs w:val="20"/>
                <w:color w:val="auto"/>
              </w:rPr>
            </w:pPr>
            <w:r>
              <w:rPr>
                <w:rFonts w:ascii="Times New Roman" w:cs="Times New Roman" w:eastAsia="Times New Roman" w:hAnsi="Times New Roman"/>
                <w:sz w:val="15"/>
                <w:szCs w:val="15"/>
                <w:b w:val="1"/>
                <w:bCs w:val="1"/>
                <w:color w:val="231F20"/>
              </w:rPr>
              <w:t>December 31,</w:t>
            </w:r>
          </w:p>
        </w:tc>
        <w:tc>
          <w:tcPr>
            <w:tcW w:w="180" w:type="dxa"/>
            <w:vAlign w:val="bottom"/>
            <w:shd w:val="clear" w:color="auto" w:fill="FDFDFC"/>
          </w:tcPr>
          <w:p>
            <w:pPr>
              <w:spacing w:after="0"/>
              <w:rPr>
                <w:sz w:val="13"/>
                <w:szCs w:val="13"/>
                <w:color w:val="auto"/>
              </w:rPr>
            </w:pPr>
          </w:p>
        </w:tc>
        <w:tc>
          <w:tcPr>
            <w:tcW w:w="100" w:type="dxa"/>
            <w:vAlign w:val="bottom"/>
            <w:shd w:val="clear" w:color="auto" w:fill="FDFDFC"/>
          </w:tcPr>
          <w:p>
            <w:pPr>
              <w:spacing w:after="0"/>
              <w:rPr>
                <w:sz w:val="13"/>
                <w:szCs w:val="13"/>
                <w:color w:val="auto"/>
              </w:rPr>
            </w:pPr>
          </w:p>
        </w:tc>
        <w:tc>
          <w:tcPr>
            <w:tcW w:w="100" w:type="dxa"/>
            <w:vAlign w:val="bottom"/>
            <w:shd w:val="clear" w:color="auto" w:fill="FDFDFC"/>
          </w:tcPr>
          <w:p>
            <w:pPr>
              <w:spacing w:after="0"/>
              <w:rPr>
                <w:sz w:val="13"/>
                <w:szCs w:val="13"/>
                <w:color w:val="auto"/>
              </w:rPr>
            </w:pPr>
          </w:p>
        </w:tc>
        <w:tc>
          <w:tcPr>
            <w:tcW w:w="1040" w:type="dxa"/>
            <w:vAlign w:val="bottom"/>
            <w:shd w:val="clear" w:color="auto" w:fill="FDFDFC"/>
          </w:tcPr>
          <w:p>
            <w:pPr>
              <w:jc w:val="right"/>
              <w:ind w:right="48"/>
              <w:spacing w:after="0" w:line="159" w:lineRule="exact"/>
              <w:rPr>
                <w:sz w:val="20"/>
                <w:szCs w:val="20"/>
                <w:color w:val="auto"/>
              </w:rPr>
            </w:pPr>
            <w:r>
              <w:rPr>
                <w:rFonts w:ascii="Times New Roman" w:cs="Times New Roman" w:eastAsia="Times New Roman" w:hAnsi="Times New Roman"/>
                <w:sz w:val="15"/>
                <w:szCs w:val="15"/>
                <w:b w:val="1"/>
                <w:bCs w:val="1"/>
                <w:color w:val="231F20"/>
              </w:rPr>
              <w:t>December 31,</w:t>
            </w:r>
          </w:p>
        </w:tc>
        <w:tc>
          <w:tcPr>
            <w:tcW w:w="180" w:type="dxa"/>
            <w:vAlign w:val="bottom"/>
            <w:shd w:val="clear" w:color="auto" w:fill="FDFDFC"/>
          </w:tcPr>
          <w:p>
            <w:pPr>
              <w:spacing w:after="0"/>
              <w:rPr>
                <w:sz w:val="13"/>
                <w:szCs w:val="13"/>
                <w:color w:val="auto"/>
              </w:rPr>
            </w:pPr>
          </w:p>
        </w:tc>
        <w:tc>
          <w:tcPr>
            <w:tcW w:w="200" w:type="dxa"/>
            <w:vAlign w:val="bottom"/>
            <w:shd w:val="clear" w:color="auto" w:fill="FDFDFC"/>
          </w:tcPr>
          <w:p>
            <w:pPr>
              <w:spacing w:after="0"/>
              <w:rPr>
                <w:sz w:val="13"/>
                <w:szCs w:val="13"/>
                <w:color w:val="auto"/>
              </w:rPr>
            </w:pPr>
          </w:p>
        </w:tc>
        <w:tc>
          <w:tcPr>
            <w:tcW w:w="1040" w:type="dxa"/>
            <w:vAlign w:val="bottom"/>
            <w:shd w:val="clear" w:color="auto" w:fill="FDFDFC"/>
          </w:tcPr>
          <w:p>
            <w:pPr>
              <w:jc w:val="right"/>
              <w:ind w:right="47"/>
              <w:spacing w:after="0" w:line="159" w:lineRule="exact"/>
              <w:rPr>
                <w:sz w:val="20"/>
                <w:szCs w:val="20"/>
                <w:color w:val="auto"/>
              </w:rPr>
            </w:pPr>
            <w:r>
              <w:rPr>
                <w:rFonts w:ascii="Times New Roman" w:cs="Times New Roman" w:eastAsia="Times New Roman" w:hAnsi="Times New Roman"/>
                <w:sz w:val="15"/>
                <w:szCs w:val="15"/>
                <w:b w:val="1"/>
                <w:bCs w:val="1"/>
                <w:color w:val="231F20"/>
              </w:rPr>
              <w:t>December 31,</w:t>
            </w:r>
          </w:p>
        </w:tc>
        <w:tc>
          <w:tcPr>
            <w:tcW w:w="180" w:type="dxa"/>
            <w:vAlign w:val="bottom"/>
            <w:shd w:val="clear" w:color="auto" w:fill="FDFDFC"/>
          </w:tcPr>
          <w:p>
            <w:pPr>
              <w:spacing w:after="0"/>
              <w:rPr>
                <w:sz w:val="13"/>
                <w:szCs w:val="13"/>
                <w:color w:val="auto"/>
              </w:rPr>
            </w:pPr>
          </w:p>
        </w:tc>
      </w:tr>
      <w:tr>
        <w:trPr>
          <w:trHeight w:val="191"/>
        </w:trPr>
        <w:tc>
          <w:tcPr>
            <w:tcW w:w="5080" w:type="dxa"/>
            <w:vAlign w:val="bottom"/>
            <w:tcBorders>
              <w:bottom w:val="single" w:sz="8" w:color="D0EBF2"/>
            </w:tcBorders>
            <w:shd w:val="clear" w:color="auto" w:fill="FDFDFC"/>
          </w:tcPr>
          <w:p>
            <w:pPr>
              <w:spacing w:after="0"/>
              <w:rPr>
                <w:sz w:val="20"/>
                <w:szCs w:val="20"/>
                <w:color w:val="auto"/>
              </w:rPr>
            </w:pPr>
            <w:r>
              <w:rPr>
                <w:rFonts w:ascii="Times New Roman" w:cs="Times New Roman" w:eastAsia="Times New Roman" w:hAnsi="Times New Roman"/>
                <w:sz w:val="15"/>
                <w:szCs w:val="15"/>
                <w:color w:val="231F20"/>
              </w:rPr>
              <w:t>($ in millions)</w:t>
            </w:r>
          </w:p>
        </w:tc>
        <w:tc>
          <w:tcPr>
            <w:tcW w:w="100" w:type="dxa"/>
            <w:vAlign w:val="bottom"/>
            <w:tcBorders>
              <w:bottom w:val="single" w:sz="8" w:color="D0EBF2"/>
            </w:tcBorders>
            <w:shd w:val="clear" w:color="auto" w:fill="FDFDFC"/>
          </w:tcPr>
          <w:p>
            <w:pPr>
              <w:spacing w:after="0"/>
              <w:rPr>
                <w:sz w:val="16"/>
                <w:szCs w:val="16"/>
                <w:color w:val="auto"/>
              </w:rPr>
            </w:pPr>
          </w:p>
        </w:tc>
        <w:tc>
          <w:tcPr>
            <w:tcW w:w="200" w:type="dxa"/>
            <w:vAlign w:val="bottom"/>
            <w:tcBorders>
              <w:bottom w:val="single" w:sz="8" w:color="231F20"/>
            </w:tcBorders>
            <w:shd w:val="clear" w:color="auto" w:fill="FDFDFC"/>
          </w:tcPr>
          <w:p>
            <w:pPr>
              <w:spacing w:after="0"/>
              <w:rPr>
                <w:sz w:val="16"/>
                <w:szCs w:val="16"/>
                <w:color w:val="auto"/>
              </w:rPr>
            </w:pPr>
          </w:p>
        </w:tc>
        <w:tc>
          <w:tcPr>
            <w:tcW w:w="780" w:type="dxa"/>
            <w:vAlign w:val="bottom"/>
            <w:tcBorders>
              <w:bottom w:val="single" w:sz="8" w:color="231F20"/>
            </w:tcBorders>
            <w:shd w:val="clear" w:color="auto" w:fill="FDFDFC"/>
          </w:tcPr>
          <w:p>
            <w:pPr>
              <w:jc w:val="right"/>
              <w:ind w:right="246"/>
              <w:spacing w:after="0"/>
              <w:rPr>
                <w:sz w:val="20"/>
                <w:szCs w:val="20"/>
                <w:color w:val="auto"/>
              </w:rPr>
            </w:pPr>
            <w:r>
              <w:rPr>
                <w:rFonts w:ascii="Times New Roman" w:cs="Times New Roman" w:eastAsia="Times New Roman" w:hAnsi="Times New Roman"/>
                <w:sz w:val="15"/>
                <w:szCs w:val="15"/>
                <w:b w:val="1"/>
                <w:bCs w:val="1"/>
                <w:color w:val="231F20"/>
              </w:rPr>
              <w:t>2024</w:t>
            </w:r>
          </w:p>
        </w:tc>
        <w:tc>
          <w:tcPr>
            <w:tcW w:w="180" w:type="dxa"/>
            <w:vAlign w:val="bottom"/>
            <w:tcBorders>
              <w:bottom w:val="single" w:sz="8" w:color="D0EBF2"/>
            </w:tcBorders>
            <w:shd w:val="clear" w:color="auto" w:fill="FDFDFC"/>
          </w:tcPr>
          <w:p>
            <w:pPr>
              <w:spacing w:after="0"/>
              <w:rPr>
                <w:sz w:val="16"/>
                <w:szCs w:val="16"/>
                <w:color w:val="auto"/>
              </w:rPr>
            </w:pPr>
          </w:p>
        </w:tc>
        <w:tc>
          <w:tcPr>
            <w:tcW w:w="100" w:type="dxa"/>
            <w:vAlign w:val="bottom"/>
            <w:tcBorders>
              <w:bottom w:val="single" w:sz="8" w:color="D0EBF2"/>
            </w:tcBorders>
            <w:shd w:val="clear" w:color="auto" w:fill="FDFDFC"/>
          </w:tcPr>
          <w:p>
            <w:pPr>
              <w:spacing w:after="0"/>
              <w:rPr>
                <w:sz w:val="16"/>
                <w:szCs w:val="16"/>
                <w:color w:val="auto"/>
              </w:rPr>
            </w:pPr>
          </w:p>
        </w:tc>
        <w:tc>
          <w:tcPr>
            <w:tcW w:w="100" w:type="dxa"/>
            <w:vAlign w:val="bottom"/>
            <w:tcBorders>
              <w:bottom w:val="single" w:sz="8" w:color="231F20"/>
            </w:tcBorders>
            <w:shd w:val="clear" w:color="auto" w:fill="FDFDFC"/>
          </w:tcPr>
          <w:p>
            <w:pPr>
              <w:spacing w:after="0"/>
              <w:rPr>
                <w:sz w:val="16"/>
                <w:szCs w:val="16"/>
                <w:color w:val="auto"/>
              </w:rPr>
            </w:pPr>
          </w:p>
        </w:tc>
        <w:tc>
          <w:tcPr>
            <w:tcW w:w="1040" w:type="dxa"/>
            <w:vAlign w:val="bottom"/>
            <w:tcBorders>
              <w:bottom w:val="single" w:sz="8" w:color="231F20"/>
            </w:tcBorders>
            <w:shd w:val="clear" w:color="auto" w:fill="FDFDFC"/>
          </w:tcPr>
          <w:p>
            <w:pPr>
              <w:jc w:val="right"/>
              <w:ind w:right="348"/>
              <w:spacing w:after="0"/>
              <w:rPr>
                <w:sz w:val="20"/>
                <w:szCs w:val="20"/>
                <w:color w:val="auto"/>
              </w:rPr>
            </w:pPr>
            <w:r>
              <w:rPr>
                <w:rFonts w:ascii="Times New Roman" w:cs="Times New Roman" w:eastAsia="Times New Roman" w:hAnsi="Times New Roman"/>
                <w:sz w:val="15"/>
                <w:szCs w:val="15"/>
                <w:b w:val="1"/>
                <w:bCs w:val="1"/>
                <w:color w:val="231F20"/>
              </w:rPr>
              <w:t>2023</w:t>
            </w:r>
          </w:p>
        </w:tc>
        <w:tc>
          <w:tcPr>
            <w:tcW w:w="180" w:type="dxa"/>
            <w:vAlign w:val="bottom"/>
            <w:tcBorders>
              <w:bottom w:val="single" w:sz="8" w:color="D0EBF2"/>
            </w:tcBorders>
            <w:shd w:val="clear" w:color="auto" w:fill="FDFDFC"/>
          </w:tcPr>
          <w:p>
            <w:pPr>
              <w:spacing w:after="0"/>
              <w:rPr>
                <w:sz w:val="16"/>
                <w:szCs w:val="16"/>
                <w:color w:val="auto"/>
              </w:rPr>
            </w:pPr>
          </w:p>
        </w:tc>
        <w:tc>
          <w:tcPr>
            <w:tcW w:w="200" w:type="dxa"/>
            <w:vAlign w:val="bottom"/>
            <w:tcBorders>
              <w:bottom w:val="single" w:sz="8" w:color="231F20"/>
            </w:tcBorders>
            <w:shd w:val="clear" w:color="auto" w:fill="FDFDFC"/>
          </w:tcPr>
          <w:p>
            <w:pPr>
              <w:spacing w:after="0"/>
              <w:rPr>
                <w:sz w:val="16"/>
                <w:szCs w:val="16"/>
                <w:color w:val="auto"/>
              </w:rPr>
            </w:pPr>
          </w:p>
        </w:tc>
        <w:tc>
          <w:tcPr>
            <w:tcW w:w="1040" w:type="dxa"/>
            <w:vAlign w:val="bottom"/>
            <w:tcBorders>
              <w:bottom w:val="single" w:sz="8" w:color="231F20"/>
            </w:tcBorders>
            <w:shd w:val="clear" w:color="auto" w:fill="FDFDFC"/>
          </w:tcPr>
          <w:p>
            <w:pPr>
              <w:jc w:val="right"/>
              <w:ind w:right="347"/>
              <w:spacing w:after="0"/>
              <w:rPr>
                <w:sz w:val="20"/>
                <w:szCs w:val="20"/>
                <w:color w:val="auto"/>
              </w:rPr>
            </w:pPr>
            <w:r>
              <w:rPr>
                <w:rFonts w:ascii="Times New Roman" w:cs="Times New Roman" w:eastAsia="Times New Roman" w:hAnsi="Times New Roman"/>
                <w:sz w:val="15"/>
                <w:szCs w:val="15"/>
                <w:b w:val="1"/>
                <w:bCs w:val="1"/>
                <w:color w:val="231F20"/>
              </w:rPr>
              <w:t>2022</w:t>
            </w:r>
          </w:p>
        </w:tc>
        <w:tc>
          <w:tcPr>
            <w:tcW w:w="180" w:type="dxa"/>
            <w:vAlign w:val="bottom"/>
            <w:tcBorders>
              <w:bottom w:val="single" w:sz="8" w:color="D0EBF2"/>
            </w:tcBorders>
            <w:shd w:val="clear" w:color="auto" w:fill="FDFDFC"/>
          </w:tcPr>
          <w:p>
            <w:pPr>
              <w:spacing w:after="0"/>
              <w:rPr>
                <w:sz w:val="16"/>
                <w:szCs w:val="16"/>
                <w:color w:val="auto"/>
              </w:rPr>
            </w:pPr>
          </w:p>
        </w:tc>
      </w:tr>
      <w:tr>
        <w:trPr>
          <w:trHeight w:val="220"/>
        </w:trPr>
        <w:tc>
          <w:tcPr>
            <w:tcW w:w="5080" w:type="dxa"/>
            <w:vAlign w:val="bottom"/>
            <w:shd w:val="clear" w:color="auto" w:fill="D0EBF2"/>
          </w:tcPr>
          <w:p>
            <w:pPr>
              <w:spacing w:after="0"/>
              <w:rPr>
                <w:sz w:val="20"/>
                <w:szCs w:val="20"/>
                <w:color w:val="auto"/>
              </w:rPr>
            </w:pPr>
            <w:r>
              <w:rPr>
                <w:rFonts w:ascii="Times New Roman" w:cs="Times New Roman" w:eastAsia="Times New Roman" w:hAnsi="Times New Roman"/>
                <w:sz w:val="19"/>
                <w:szCs w:val="19"/>
                <w:b w:val="1"/>
                <w:bCs w:val="1"/>
                <w:color w:val="231F20"/>
              </w:rPr>
              <w:t>New investment commitments:</w:t>
            </w:r>
          </w:p>
        </w:tc>
        <w:tc>
          <w:tcPr>
            <w:tcW w:w="100" w:type="dxa"/>
            <w:vAlign w:val="bottom"/>
            <w:shd w:val="clear" w:color="auto" w:fill="D0EBF2"/>
          </w:tcPr>
          <w:p>
            <w:pPr>
              <w:spacing w:after="0"/>
              <w:rPr>
                <w:sz w:val="19"/>
                <w:szCs w:val="19"/>
                <w:color w:val="auto"/>
              </w:rPr>
            </w:pPr>
          </w:p>
        </w:tc>
        <w:tc>
          <w:tcPr>
            <w:tcW w:w="200" w:type="dxa"/>
            <w:vAlign w:val="bottom"/>
            <w:shd w:val="clear" w:color="auto" w:fill="D0EBF2"/>
          </w:tcPr>
          <w:p>
            <w:pPr>
              <w:spacing w:after="0"/>
              <w:rPr>
                <w:sz w:val="19"/>
                <w:szCs w:val="19"/>
                <w:color w:val="auto"/>
              </w:rPr>
            </w:pPr>
          </w:p>
        </w:tc>
        <w:tc>
          <w:tcPr>
            <w:tcW w:w="780" w:type="dxa"/>
            <w:vAlign w:val="bottom"/>
            <w:shd w:val="clear" w:color="auto" w:fill="D0EBF2"/>
          </w:tcPr>
          <w:p>
            <w:pPr>
              <w:spacing w:after="0"/>
              <w:rPr>
                <w:sz w:val="19"/>
                <w:szCs w:val="19"/>
                <w:color w:val="auto"/>
              </w:rPr>
            </w:pPr>
          </w:p>
        </w:tc>
        <w:tc>
          <w:tcPr>
            <w:tcW w:w="180" w:type="dxa"/>
            <w:vAlign w:val="bottom"/>
            <w:shd w:val="clear" w:color="auto" w:fill="D0EBF2"/>
          </w:tcPr>
          <w:p>
            <w:pPr>
              <w:spacing w:after="0"/>
              <w:rPr>
                <w:sz w:val="19"/>
                <w:szCs w:val="19"/>
                <w:color w:val="auto"/>
              </w:rPr>
            </w:pPr>
          </w:p>
        </w:tc>
        <w:tc>
          <w:tcPr>
            <w:tcW w:w="100" w:type="dxa"/>
            <w:vAlign w:val="bottom"/>
            <w:shd w:val="clear" w:color="auto" w:fill="D0EBF2"/>
          </w:tcPr>
          <w:p>
            <w:pPr>
              <w:spacing w:after="0"/>
              <w:rPr>
                <w:sz w:val="19"/>
                <w:szCs w:val="19"/>
                <w:color w:val="auto"/>
              </w:rPr>
            </w:pPr>
          </w:p>
        </w:tc>
        <w:tc>
          <w:tcPr>
            <w:tcW w:w="100" w:type="dxa"/>
            <w:vAlign w:val="bottom"/>
            <w:shd w:val="clear" w:color="auto" w:fill="D0EBF2"/>
          </w:tcPr>
          <w:p>
            <w:pPr>
              <w:spacing w:after="0"/>
              <w:rPr>
                <w:sz w:val="19"/>
                <w:szCs w:val="19"/>
                <w:color w:val="auto"/>
              </w:rPr>
            </w:pPr>
          </w:p>
        </w:tc>
        <w:tc>
          <w:tcPr>
            <w:tcW w:w="1040" w:type="dxa"/>
            <w:vAlign w:val="bottom"/>
            <w:shd w:val="clear" w:color="auto" w:fill="D0EBF2"/>
          </w:tcPr>
          <w:p>
            <w:pPr>
              <w:spacing w:after="0"/>
              <w:rPr>
                <w:sz w:val="19"/>
                <w:szCs w:val="19"/>
                <w:color w:val="auto"/>
              </w:rPr>
            </w:pPr>
          </w:p>
        </w:tc>
        <w:tc>
          <w:tcPr>
            <w:tcW w:w="180" w:type="dxa"/>
            <w:vAlign w:val="bottom"/>
            <w:shd w:val="clear" w:color="auto" w:fill="D0EBF2"/>
          </w:tcPr>
          <w:p>
            <w:pPr>
              <w:spacing w:after="0"/>
              <w:rPr>
                <w:sz w:val="19"/>
                <w:szCs w:val="19"/>
                <w:color w:val="auto"/>
              </w:rPr>
            </w:pPr>
          </w:p>
        </w:tc>
        <w:tc>
          <w:tcPr>
            <w:tcW w:w="200" w:type="dxa"/>
            <w:vAlign w:val="bottom"/>
            <w:shd w:val="clear" w:color="auto" w:fill="D0EBF2"/>
          </w:tcPr>
          <w:p>
            <w:pPr>
              <w:spacing w:after="0"/>
              <w:rPr>
                <w:sz w:val="19"/>
                <w:szCs w:val="19"/>
                <w:color w:val="auto"/>
              </w:rPr>
            </w:pPr>
          </w:p>
        </w:tc>
        <w:tc>
          <w:tcPr>
            <w:tcW w:w="1040" w:type="dxa"/>
            <w:vAlign w:val="bottom"/>
            <w:shd w:val="clear" w:color="auto" w:fill="D0EBF2"/>
          </w:tcPr>
          <w:p>
            <w:pPr>
              <w:spacing w:after="0"/>
              <w:rPr>
                <w:sz w:val="19"/>
                <w:szCs w:val="19"/>
                <w:color w:val="auto"/>
              </w:rPr>
            </w:pPr>
          </w:p>
        </w:tc>
        <w:tc>
          <w:tcPr>
            <w:tcW w:w="180" w:type="dxa"/>
            <w:vAlign w:val="bottom"/>
            <w:shd w:val="clear" w:color="auto" w:fill="D0EBF2"/>
          </w:tcPr>
          <w:p>
            <w:pPr>
              <w:spacing w:after="0"/>
              <w:rPr>
                <w:sz w:val="19"/>
                <w:szCs w:val="19"/>
                <w:color w:val="auto"/>
              </w:rPr>
            </w:pPr>
          </w:p>
        </w:tc>
      </w:tr>
      <w:tr>
        <w:trPr>
          <w:trHeight w:val="230"/>
        </w:trPr>
        <w:tc>
          <w:tcPr>
            <w:tcW w:w="5080" w:type="dxa"/>
            <w:vAlign w:val="bottom"/>
            <w:shd w:val="clear" w:color="auto" w:fill="FDFDFC"/>
          </w:tcPr>
          <w:p>
            <w:pPr>
              <w:ind w:left="180"/>
              <w:spacing w:after="0" w:line="230" w:lineRule="exact"/>
              <w:rPr>
                <w:sz w:val="20"/>
                <w:szCs w:val="20"/>
                <w:color w:val="auto"/>
              </w:rPr>
            </w:pPr>
            <w:r>
              <w:rPr>
                <w:rFonts w:ascii="Times New Roman" w:cs="Times New Roman" w:eastAsia="Times New Roman" w:hAnsi="Times New Roman"/>
                <w:sz w:val="19"/>
                <w:szCs w:val="19"/>
                <w:color w:val="231F20"/>
              </w:rPr>
              <w:t xml:space="preserve">Gross originations </w:t>
            </w:r>
            <w:r>
              <w:rPr>
                <w:rFonts w:ascii="Times New Roman" w:cs="Times New Roman" w:eastAsia="Times New Roman" w:hAnsi="Times New Roman"/>
                <w:sz w:val="24"/>
                <w:szCs w:val="24"/>
                <w:color w:val="231F20"/>
                <w:vertAlign w:val="superscript"/>
              </w:rPr>
              <w:t>(1)</w:t>
            </w:r>
          </w:p>
        </w:tc>
        <w:tc>
          <w:tcPr>
            <w:tcW w:w="100" w:type="dxa"/>
            <w:vAlign w:val="bottom"/>
            <w:shd w:val="clear" w:color="auto" w:fill="FDFDFC"/>
          </w:tcPr>
          <w:p>
            <w:pPr>
              <w:spacing w:after="0"/>
              <w:rPr>
                <w:sz w:val="20"/>
                <w:szCs w:val="20"/>
                <w:color w:val="auto"/>
              </w:rPr>
            </w:pPr>
          </w:p>
        </w:tc>
        <w:tc>
          <w:tcPr>
            <w:tcW w:w="200" w:type="dxa"/>
            <w:vAlign w:val="bottom"/>
            <w:shd w:val="clear" w:color="auto" w:fill="FDFDFC"/>
          </w:tcPr>
          <w:p>
            <w:pPr>
              <w:jc w:val="right"/>
              <w:ind w:right="9"/>
              <w:spacing w:after="0"/>
              <w:rPr>
                <w:sz w:val="20"/>
                <w:szCs w:val="20"/>
                <w:color w:val="auto"/>
              </w:rPr>
            </w:pPr>
            <w:r>
              <w:rPr>
                <w:rFonts w:ascii="Times New Roman" w:cs="Times New Roman" w:eastAsia="Times New Roman" w:hAnsi="Times New Roman"/>
                <w:sz w:val="19"/>
                <w:szCs w:val="19"/>
                <w:color w:val="231F20"/>
                <w:w w:val="83"/>
              </w:rPr>
              <w:t>$</w:t>
            </w:r>
          </w:p>
        </w:tc>
        <w:tc>
          <w:tcPr>
            <w:tcW w:w="780" w:type="dxa"/>
            <w:vAlign w:val="bottom"/>
            <w:shd w:val="clear" w:color="auto" w:fill="FDFDFC"/>
          </w:tcPr>
          <w:p>
            <w:pPr>
              <w:jc w:val="right"/>
              <w:spacing w:after="0"/>
              <w:rPr>
                <w:sz w:val="20"/>
                <w:szCs w:val="20"/>
                <w:color w:val="auto"/>
              </w:rPr>
            </w:pPr>
            <w:r>
              <w:rPr>
                <w:rFonts w:ascii="Times New Roman" w:cs="Times New Roman" w:eastAsia="Times New Roman" w:hAnsi="Times New Roman"/>
                <w:sz w:val="19"/>
                <w:szCs w:val="19"/>
                <w:color w:val="231F20"/>
              </w:rPr>
              <w:t>15,354.7</w:t>
            </w:r>
          </w:p>
        </w:tc>
        <w:tc>
          <w:tcPr>
            <w:tcW w:w="180" w:type="dxa"/>
            <w:vAlign w:val="bottom"/>
            <w:shd w:val="clear" w:color="auto" w:fill="FDFDFC"/>
          </w:tcPr>
          <w:p>
            <w:pPr>
              <w:spacing w:after="0"/>
              <w:rPr>
                <w:sz w:val="20"/>
                <w:szCs w:val="20"/>
                <w:color w:val="auto"/>
              </w:rPr>
            </w:pPr>
          </w:p>
        </w:tc>
        <w:tc>
          <w:tcPr>
            <w:tcW w:w="100" w:type="dxa"/>
            <w:vAlign w:val="bottom"/>
            <w:shd w:val="clear" w:color="auto" w:fill="FDFDFC"/>
          </w:tcPr>
          <w:p>
            <w:pPr>
              <w:spacing w:after="0"/>
              <w:rPr>
                <w:sz w:val="20"/>
                <w:szCs w:val="20"/>
                <w:color w:val="auto"/>
              </w:rPr>
            </w:pPr>
          </w:p>
        </w:tc>
        <w:tc>
          <w:tcPr>
            <w:tcW w:w="100" w:type="dxa"/>
            <w:vAlign w:val="bottom"/>
            <w:shd w:val="clear" w:color="auto" w:fill="FDFDFC"/>
          </w:tcPr>
          <w:p>
            <w:pPr>
              <w:jc w:val="right"/>
              <w:spacing w:after="0"/>
              <w:rPr>
                <w:sz w:val="20"/>
                <w:szCs w:val="20"/>
                <w:color w:val="auto"/>
              </w:rPr>
            </w:pPr>
            <w:r>
              <w:rPr>
                <w:rFonts w:ascii="Times New Roman" w:cs="Times New Roman" w:eastAsia="Times New Roman" w:hAnsi="Times New Roman"/>
                <w:sz w:val="19"/>
                <w:szCs w:val="19"/>
                <w:color w:val="231F20"/>
                <w:w w:val="83"/>
              </w:rPr>
              <w:t>$</w:t>
            </w:r>
          </w:p>
        </w:tc>
        <w:tc>
          <w:tcPr>
            <w:tcW w:w="1040" w:type="dxa"/>
            <w:vAlign w:val="bottom"/>
            <w:shd w:val="clear" w:color="auto" w:fill="FDFDFC"/>
          </w:tcPr>
          <w:p>
            <w:pPr>
              <w:jc w:val="right"/>
              <w:spacing w:after="0"/>
              <w:rPr>
                <w:sz w:val="20"/>
                <w:szCs w:val="20"/>
                <w:color w:val="auto"/>
              </w:rPr>
            </w:pPr>
            <w:r>
              <w:rPr>
                <w:rFonts w:ascii="Times New Roman" w:cs="Times New Roman" w:eastAsia="Times New Roman" w:hAnsi="Times New Roman"/>
                <w:sz w:val="19"/>
                <w:szCs w:val="19"/>
                <w:color w:val="231F20"/>
              </w:rPr>
              <w:t>6,516.6</w:t>
            </w:r>
          </w:p>
        </w:tc>
        <w:tc>
          <w:tcPr>
            <w:tcW w:w="180" w:type="dxa"/>
            <w:vAlign w:val="bottom"/>
            <w:shd w:val="clear" w:color="auto" w:fill="FDFDFC"/>
          </w:tcPr>
          <w:p>
            <w:pPr>
              <w:spacing w:after="0"/>
              <w:rPr>
                <w:sz w:val="20"/>
                <w:szCs w:val="20"/>
                <w:color w:val="auto"/>
              </w:rPr>
            </w:pPr>
          </w:p>
        </w:tc>
        <w:tc>
          <w:tcPr>
            <w:tcW w:w="200" w:type="dxa"/>
            <w:vAlign w:val="bottom"/>
            <w:shd w:val="clear" w:color="auto" w:fill="FDFDFC"/>
          </w:tcPr>
          <w:p>
            <w:pPr>
              <w:jc w:val="right"/>
              <w:spacing w:after="0"/>
              <w:rPr>
                <w:sz w:val="20"/>
                <w:szCs w:val="20"/>
                <w:color w:val="auto"/>
              </w:rPr>
            </w:pPr>
            <w:r>
              <w:rPr>
                <w:rFonts w:ascii="Times New Roman" w:cs="Times New Roman" w:eastAsia="Times New Roman" w:hAnsi="Times New Roman"/>
                <w:sz w:val="19"/>
                <w:szCs w:val="19"/>
                <w:color w:val="231F20"/>
              </w:rPr>
              <w:t>$</w:t>
            </w:r>
          </w:p>
        </w:tc>
        <w:tc>
          <w:tcPr>
            <w:tcW w:w="1040" w:type="dxa"/>
            <w:vAlign w:val="bottom"/>
            <w:shd w:val="clear" w:color="auto" w:fill="FDFDFC"/>
          </w:tcPr>
          <w:p>
            <w:pPr>
              <w:jc w:val="right"/>
              <w:spacing w:after="0"/>
              <w:rPr>
                <w:sz w:val="20"/>
                <w:szCs w:val="20"/>
                <w:color w:val="auto"/>
              </w:rPr>
            </w:pPr>
            <w:r>
              <w:rPr>
                <w:rFonts w:ascii="Times New Roman" w:cs="Times New Roman" w:eastAsia="Times New Roman" w:hAnsi="Times New Roman"/>
                <w:sz w:val="19"/>
                <w:szCs w:val="19"/>
                <w:color w:val="231F20"/>
              </w:rPr>
              <w:t>4,240.9</w:t>
            </w:r>
          </w:p>
        </w:tc>
        <w:tc>
          <w:tcPr>
            <w:tcW w:w="180" w:type="dxa"/>
            <w:vAlign w:val="bottom"/>
            <w:shd w:val="clear" w:color="auto" w:fill="FDFDFC"/>
          </w:tcPr>
          <w:p>
            <w:pPr>
              <w:spacing w:after="0"/>
              <w:rPr>
                <w:sz w:val="20"/>
                <w:szCs w:val="20"/>
                <w:color w:val="auto"/>
              </w:rPr>
            </w:pPr>
          </w:p>
        </w:tc>
      </w:tr>
      <w:tr>
        <w:trPr>
          <w:trHeight w:val="255"/>
        </w:trPr>
        <w:tc>
          <w:tcPr>
            <w:tcW w:w="5080" w:type="dxa"/>
            <w:vAlign w:val="bottom"/>
            <w:tcBorders>
              <w:bottom w:val="single" w:sz="8" w:color="D0EBF2"/>
            </w:tcBorders>
            <w:shd w:val="clear" w:color="auto" w:fill="D0EBF2"/>
          </w:tcPr>
          <w:p>
            <w:pPr>
              <w:ind w:left="180"/>
              <w:spacing w:after="0" w:line="230" w:lineRule="exact"/>
              <w:rPr>
                <w:sz w:val="20"/>
                <w:szCs w:val="20"/>
                <w:color w:val="auto"/>
              </w:rPr>
            </w:pPr>
            <w:r>
              <w:rPr>
                <w:rFonts w:ascii="Times New Roman" w:cs="Times New Roman" w:eastAsia="Times New Roman" w:hAnsi="Times New Roman"/>
                <w:sz w:val="19"/>
                <w:szCs w:val="19"/>
                <w:color w:val="231F20"/>
              </w:rPr>
              <w:t xml:space="preserve">Less: Syndications/sell downs </w:t>
            </w:r>
            <w:r>
              <w:rPr>
                <w:rFonts w:ascii="Times New Roman" w:cs="Times New Roman" w:eastAsia="Times New Roman" w:hAnsi="Times New Roman"/>
                <w:sz w:val="24"/>
                <w:szCs w:val="24"/>
                <w:color w:val="231F20"/>
                <w:vertAlign w:val="superscript"/>
              </w:rPr>
              <w:t>(1)</w:t>
            </w:r>
          </w:p>
        </w:tc>
        <w:tc>
          <w:tcPr>
            <w:tcW w:w="100" w:type="dxa"/>
            <w:vAlign w:val="bottom"/>
            <w:tcBorders>
              <w:bottom w:val="single" w:sz="8" w:color="D0EBF2"/>
            </w:tcBorders>
            <w:shd w:val="clear" w:color="auto" w:fill="D0EBF2"/>
          </w:tcPr>
          <w:p>
            <w:pPr>
              <w:spacing w:after="0"/>
              <w:rPr>
                <w:sz w:val="21"/>
                <w:szCs w:val="21"/>
                <w:color w:val="auto"/>
              </w:rPr>
            </w:pPr>
          </w:p>
        </w:tc>
        <w:tc>
          <w:tcPr>
            <w:tcW w:w="200" w:type="dxa"/>
            <w:vAlign w:val="bottom"/>
            <w:tcBorders>
              <w:bottom w:val="single" w:sz="8" w:color="231F20"/>
            </w:tcBorders>
            <w:shd w:val="clear" w:color="auto" w:fill="D0EBF2"/>
          </w:tcPr>
          <w:p>
            <w:pPr>
              <w:spacing w:after="0"/>
              <w:rPr>
                <w:sz w:val="21"/>
                <w:szCs w:val="21"/>
                <w:color w:val="auto"/>
              </w:rPr>
            </w:pPr>
          </w:p>
        </w:tc>
        <w:tc>
          <w:tcPr>
            <w:tcW w:w="780" w:type="dxa"/>
            <w:vAlign w:val="bottom"/>
            <w:tcBorders>
              <w:bottom w:val="single" w:sz="8" w:color="231F20"/>
            </w:tcBorders>
            <w:shd w:val="clear" w:color="auto" w:fill="D0EBF2"/>
          </w:tcPr>
          <w:p>
            <w:pPr>
              <w:jc w:val="right"/>
              <w:spacing w:after="0"/>
              <w:rPr>
                <w:sz w:val="20"/>
                <w:szCs w:val="20"/>
                <w:color w:val="auto"/>
              </w:rPr>
            </w:pPr>
            <w:r>
              <w:rPr>
                <w:rFonts w:ascii="Times New Roman" w:cs="Times New Roman" w:eastAsia="Times New Roman" w:hAnsi="Times New Roman"/>
                <w:sz w:val="19"/>
                <w:szCs w:val="19"/>
                <w:color w:val="231F20"/>
              </w:rPr>
              <w:t>14,111.8</w:t>
            </w:r>
          </w:p>
        </w:tc>
        <w:tc>
          <w:tcPr>
            <w:tcW w:w="180" w:type="dxa"/>
            <w:vAlign w:val="bottom"/>
            <w:tcBorders>
              <w:bottom w:val="single" w:sz="8" w:color="D0EBF2"/>
            </w:tcBorders>
            <w:shd w:val="clear" w:color="auto" w:fill="D0EBF2"/>
          </w:tcPr>
          <w:p>
            <w:pPr>
              <w:spacing w:after="0"/>
              <w:rPr>
                <w:sz w:val="21"/>
                <w:szCs w:val="21"/>
                <w:color w:val="auto"/>
              </w:rPr>
            </w:pPr>
          </w:p>
        </w:tc>
        <w:tc>
          <w:tcPr>
            <w:tcW w:w="100" w:type="dxa"/>
            <w:vAlign w:val="bottom"/>
            <w:tcBorders>
              <w:bottom w:val="single" w:sz="8" w:color="D0EBF2"/>
            </w:tcBorders>
            <w:shd w:val="clear" w:color="auto" w:fill="D0EBF2"/>
          </w:tcPr>
          <w:p>
            <w:pPr>
              <w:spacing w:after="0"/>
              <w:rPr>
                <w:sz w:val="21"/>
                <w:szCs w:val="21"/>
                <w:color w:val="auto"/>
              </w:rPr>
            </w:pPr>
          </w:p>
        </w:tc>
        <w:tc>
          <w:tcPr>
            <w:tcW w:w="100" w:type="dxa"/>
            <w:vAlign w:val="bottom"/>
            <w:tcBorders>
              <w:bottom w:val="single" w:sz="8" w:color="231F20"/>
            </w:tcBorders>
            <w:shd w:val="clear" w:color="auto" w:fill="D0EBF2"/>
          </w:tcPr>
          <w:p>
            <w:pPr>
              <w:spacing w:after="0"/>
              <w:rPr>
                <w:sz w:val="21"/>
                <w:szCs w:val="21"/>
                <w:color w:val="auto"/>
              </w:rPr>
            </w:pPr>
          </w:p>
        </w:tc>
        <w:tc>
          <w:tcPr>
            <w:tcW w:w="1040" w:type="dxa"/>
            <w:vAlign w:val="bottom"/>
            <w:tcBorders>
              <w:bottom w:val="single" w:sz="8" w:color="231F20"/>
            </w:tcBorders>
            <w:shd w:val="clear" w:color="auto" w:fill="D0EBF2"/>
          </w:tcPr>
          <w:p>
            <w:pPr>
              <w:jc w:val="right"/>
              <w:spacing w:after="0"/>
              <w:rPr>
                <w:sz w:val="20"/>
                <w:szCs w:val="20"/>
                <w:color w:val="auto"/>
              </w:rPr>
            </w:pPr>
            <w:r>
              <w:rPr>
                <w:rFonts w:ascii="Times New Roman" w:cs="Times New Roman" w:eastAsia="Times New Roman" w:hAnsi="Times New Roman"/>
                <w:sz w:val="19"/>
                <w:szCs w:val="19"/>
                <w:color w:val="231F20"/>
              </w:rPr>
              <w:t>5,558.0</w:t>
            </w:r>
          </w:p>
        </w:tc>
        <w:tc>
          <w:tcPr>
            <w:tcW w:w="180" w:type="dxa"/>
            <w:vAlign w:val="bottom"/>
            <w:tcBorders>
              <w:bottom w:val="single" w:sz="8" w:color="D0EBF2"/>
            </w:tcBorders>
            <w:shd w:val="clear" w:color="auto" w:fill="D0EBF2"/>
          </w:tcPr>
          <w:p>
            <w:pPr>
              <w:spacing w:after="0"/>
              <w:rPr>
                <w:sz w:val="21"/>
                <w:szCs w:val="21"/>
                <w:color w:val="auto"/>
              </w:rPr>
            </w:pPr>
          </w:p>
        </w:tc>
        <w:tc>
          <w:tcPr>
            <w:tcW w:w="200" w:type="dxa"/>
            <w:vAlign w:val="bottom"/>
            <w:tcBorders>
              <w:bottom w:val="single" w:sz="8" w:color="231F20"/>
            </w:tcBorders>
            <w:shd w:val="clear" w:color="auto" w:fill="D0EBF2"/>
          </w:tcPr>
          <w:p>
            <w:pPr>
              <w:spacing w:after="0"/>
              <w:rPr>
                <w:sz w:val="21"/>
                <w:szCs w:val="21"/>
                <w:color w:val="auto"/>
              </w:rPr>
            </w:pPr>
          </w:p>
        </w:tc>
        <w:tc>
          <w:tcPr>
            <w:tcW w:w="1040" w:type="dxa"/>
            <w:vAlign w:val="bottom"/>
            <w:tcBorders>
              <w:bottom w:val="single" w:sz="8" w:color="231F20"/>
            </w:tcBorders>
            <w:shd w:val="clear" w:color="auto" w:fill="D0EBF2"/>
          </w:tcPr>
          <w:p>
            <w:pPr>
              <w:jc w:val="right"/>
              <w:spacing w:after="0"/>
              <w:rPr>
                <w:sz w:val="20"/>
                <w:szCs w:val="20"/>
                <w:color w:val="auto"/>
              </w:rPr>
            </w:pPr>
            <w:r>
              <w:rPr>
                <w:rFonts w:ascii="Times New Roman" w:cs="Times New Roman" w:eastAsia="Times New Roman" w:hAnsi="Times New Roman"/>
                <w:sz w:val="19"/>
                <w:szCs w:val="19"/>
                <w:color w:val="231F20"/>
              </w:rPr>
              <w:t>3,156.7</w:t>
            </w:r>
          </w:p>
        </w:tc>
        <w:tc>
          <w:tcPr>
            <w:tcW w:w="180" w:type="dxa"/>
            <w:vAlign w:val="bottom"/>
            <w:tcBorders>
              <w:bottom w:val="single" w:sz="8" w:color="D0EBF2"/>
            </w:tcBorders>
            <w:shd w:val="clear" w:color="auto" w:fill="D0EBF2"/>
          </w:tcPr>
          <w:p>
            <w:pPr>
              <w:spacing w:after="0"/>
              <w:rPr>
                <w:sz w:val="21"/>
                <w:szCs w:val="21"/>
                <w:color w:val="auto"/>
              </w:rPr>
            </w:pPr>
          </w:p>
        </w:tc>
      </w:tr>
      <w:tr>
        <w:trPr>
          <w:trHeight w:val="200"/>
        </w:trPr>
        <w:tc>
          <w:tcPr>
            <w:tcW w:w="5080" w:type="dxa"/>
            <w:vAlign w:val="bottom"/>
            <w:tcBorders>
              <w:top w:val="single" w:sz="8" w:color="FDFDFC"/>
            </w:tcBorders>
            <w:shd w:val="clear" w:color="auto" w:fill="FDFDFC"/>
          </w:tcPr>
          <w:p>
            <w:pPr>
              <w:ind w:left="360"/>
              <w:spacing w:after="0" w:line="200" w:lineRule="exact"/>
              <w:rPr>
                <w:sz w:val="20"/>
                <w:szCs w:val="20"/>
                <w:color w:val="auto"/>
              </w:rPr>
            </w:pPr>
            <w:r>
              <w:rPr>
                <w:rFonts w:ascii="Times New Roman" w:cs="Times New Roman" w:eastAsia="Times New Roman" w:hAnsi="Times New Roman"/>
                <w:sz w:val="19"/>
                <w:szCs w:val="19"/>
                <w:color w:val="231F20"/>
              </w:rPr>
              <w:t>Total new investment commitments</w:t>
            </w:r>
          </w:p>
        </w:tc>
        <w:tc>
          <w:tcPr>
            <w:tcW w:w="100" w:type="dxa"/>
            <w:vAlign w:val="bottom"/>
            <w:tcBorders>
              <w:top w:val="single" w:sz="8" w:color="FDFDFC"/>
            </w:tcBorders>
            <w:shd w:val="clear" w:color="auto" w:fill="FDFDFC"/>
          </w:tcPr>
          <w:p>
            <w:pPr>
              <w:spacing w:after="0"/>
              <w:rPr>
                <w:sz w:val="17"/>
                <w:szCs w:val="17"/>
                <w:color w:val="auto"/>
              </w:rPr>
            </w:pPr>
          </w:p>
        </w:tc>
        <w:tc>
          <w:tcPr>
            <w:tcW w:w="200" w:type="dxa"/>
            <w:vAlign w:val="bottom"/>
            <w:tcBorders>
              <w:top w:val="single" w:sz="8" w:color="231F20"/>
            </w:tcBorders>
            <w:shd w:val="clear" w:color="auto" w:fill="FDFDFC"/>
          </w:tcPr>
          <w:p>
            <w:pPr>
              <w:jc w:val="right"/>
              <w:ind w:right="9"/>
              <w:spacing w:after="0" w:line="200" w:lineRule="exact"/>
              <w:rPr>
                <w:sz w:val="20"/>
                <w:szCs w:val="20"/>
                <w:color w:val="auto"/>
              </w:rPr>
            </w:pPr>
            <w:r>
              <w:rPr>
                <w:rFonts w:ascii="Times New Roman" w:cs="Times New Roman" w:eastAsia="Times New Roman" w:hAnsi="Times New Roman"/>
                <w:sz w:val="19"/>
                <w:szCs w:val="19"/>
                <w:color w:val="231F20"/>
                <w:highlight w:val="white"/>
                <w:w w:val="83"/>
              </w:rPr>
              <w:t>$</w:t>
            </w:r>
          </w:p>
        </w:tc>
        <w:tc>
          <w:tcPr>
            <w:tcW w:w="780" w:type="dxa"/>
            <w:vAlign w:val="bottom"/>
            <w:tcBorders>
              <w:top w:val="single" w:sz="8" w:color="231F20"/>
            </w:tcBorders>
            <w:shd w:val="clear" w:color="auto" w:fill="FDFDFC"/>
          </w:tcPr>
          <w:p>
            <w:pPr>
              <w:jc w:val="right"/>
              <w:spacing w:after="0" w:line="200" w:lineRule="exact"/>
              <w:rPr>
                <w:sz w:val="20"/>
                <w:szCs w:val="20"/>
                <w:color w:val="auto"/>
              </w:rPr>
            </w:pPr>
            <w:r>
              <w:rPr>
                <w:rFonts w:ascii="Times New Roman" w:cs="Times New Roman" w:eastAsia="Times New Roman" w:hAnsi="Times New Roman"/>
                <w:sz w:val="19"/>
                <w:szCs w:val="19"/>
                <w:color w:val="231F20"/>
                <w:highlight w:val="white"/>
              </w:rPr>
              <w:t>1,242.9</w:t>
            </w:r>
          </w:p>
        </w:tc>
        <w:tc>
          <w:tcPr>
            <w:tcW w:w="180" w:type="dxa"/>
            <w:vAlign w:val="bottom"/>
            <w:tcBorders>
              <w:top w:val="single" w:sz="8" w:color="FDFDFC"/>
            </w:tcBorders>
            <w:shd w:val="clear" w:color="auto" w:fill="FDFDFC"/>
          </w:tcPr>
          <w:p>
            <w:pPr>
              <w:spacing w:after="0"/>
              <w:rPr>
                <w:sz w:val="17"/>
                <w:szCs w:val="17"/>
                <w:color w:val="auto"/>
              </w:rPr>
            </w:pPr>
          </w:p>
        </w:tc>
        <w:tc>
          <w:tcPr>
            <w:tcW w:w="100" w:type="dxa"/>
            <w:vAlign w:val="bottom"/>
            <w:tcBorders>
              <w:top w:val="single" w:sz="8" w:color="FDFDFC"/>
            </w:tcBorders>
            <w:shd w:val="clear" w:color="auto" w:fill="FDFDFC"/>
          </w:tcPr>
          <w:p>
            <w:pPr>
              <w:spacing w:after="0"/>
              <w:rPr>
                <w:sz w:val="17"/>
                <w:szCs w:val="17"/>
                <w:color w:val="auto"/>
              </w:rPr>
            </w:pPr>
          </w:p>
        </w:tc>
        <w:tc>
          <w:tcPr>
            <w:tcW w:w="100" w:type="dxa"/>
            <w:vAlign w:val="bottom"/>
            <w:tcBorders>
              <w:top w:val="single" w:sz="8" w:color="231F20"/>
            </w:tcBorders>
            <w:shd w:val="clear" w:color="auto" w:fill="FDFDFC"/>
          </w:tcPr>
          <w:p>
            <w:pPr>
              <w:jc w:val="right"/>
              <w:spacing w:after="0" w:line="200" w:lineRule="exact"/>
              <w:rPr>
                <w:sz w:val="20"/>
                <w:szCs w:val="20"/>
                <w:color w:val="auto"/>
              </w:rPr>
            </w:pPr>
            <w:r>
              <w:rPr>
                <w:rFonts w:ascii="Times New Roman" w:cs="Times New Roman" w:eastAsia="Times New Roman" w:hAnsi="Times New Roman"/>
                <w:sz w:val="19"/>
                <w:szCs w:val="19"/>
                <w:color w:val="231F20"/>
                <w:w w:val="83"/>
              </w:rPr>
              <w:t>$</w:t>
            </w:r>
          </w:p>
        </w:tc>
        <w:tc>
          <w:tcPr>
            <w:tcW w:w="1040" w:type="dxa"/>
            <w:vAlign w:val="bottom"/>
            <w:tcBorders>
              <w:top w:val="single" w:sz="8" w:color="231F20"/>
            </w:tcBorders>
            <w:shd w:val="clear" w:color="auto" w:fill="FDFDFC"/>
          </w:tcPr>
          <w:p>
            <w:pPr>
              <w:jc w:val="right"/>
              <w:spacing w:after="0" w:line="200" w:lineRule="exact"/>
              <w:rPr>
                <w:sz w:val="20"/>
                <w:szCs w:val="20"/>
                <w:color w:val="auto"/>
              </w:rPr>
            </w:pPr>
            <w:r>
              <w:rPr>
                <w:rFonts w:ascii="Times New Roman" w:cs="Times New Roman" w:eastAsia="Times New Roman" w:hAnsi="Times New Roman"/>
                <w:sz w:val="19"/>
                <w:szCs w:val="19"/>
                <w:color w:val="231F20"/>
              </w:rPr>
              <w:t>958.6</w:t>
            </w:r>
          </w:p>
        </w:tc>
        <w:tc>
          <w:tcPr>
            <w:tcW w:w="180" w:type="dxa"/>
            <w:vAlign w:val="bottom"/>
            <w:tcBorders>
              <w:top w:val="single" w:sz="8" w:color="FDFDFC"/>
            </w:tcBorders>
            <w:shd w:val="clear" w:color="auto" w:fill="FDFDFC"/>
          </w:tcPr>
          <w:p>
            <w:pPr>
              <w:spacing w:after="0"/>
              <w:rPr>
                <w:sz w:val="17"/>
                <w:szCs w:val="17"/>
                <w:color w:val="auto"/>
              </w:rPr>
            </w:pPr>
          </w:p>
        </w:tc>
        <w:tc>
          <w:tcPr>
            <w:tcW w:w="200" w:type="dxa"/>
            <w:vAlign w:val="bottom"/>
            <w:tcBorders>
              <w:top w:val="single" w:sz="8" w:color="231F20"/>
            </w:tcBorders>
            <w:shd w:val="clear" w:color="auto" w:fill="FDFDFC"/>
          </w:tcPr>
          <w:p>
            <w:pPr>
              <w:jc w:val="right"/>
              <w:spacing w:after="0" w:line="200" w:lineRule="exact"/>
              <w:rPr>
                <w:sz w:val="20"/>
                <w:szCs w:val="20"/>
                <w:color w:val="auto"/>
              </w:rPr>
            </w:pPr>
            <w:r>
              <w:rPr>
                <w:rFonts w:ascii="Times New Roman" w:cs="Times New Roman" w:eastAsia="Times New Roman" w:hAnsi="Times New Roman"/>
                <w:sz w:val="19"/>
                <w:szCs w:val="19"/>
                <w:color w:val="231F20"/>
              </w:rPr>
              <w:t>$</w:t>
            </w:r>
          </w:p>
        </w:tc>
        <w:tc>
          <w:tcPr>
            <w:tcW w:w="1040" w:type="dxa"/>
            <w:vAlign w:val="bottom"/>
            <w:tcBorders>
              <w:top w:val="single" w:sz="8" w:color="231F20"/>
            </w:tcBorders>
            <w:shd w:val="clear" w:color="auto" w:fill="FDFDFC"/>
          </w:tcPr>
          <w:p>
            <w:pPr>
              <w:jc w:val="right"/>
              <w:spacing w:after="0" w:line="200" w:lineRule="exact"/>
              <w:rPr>
                <w:sz w:val="20"/>
                <w:szCs w:val="20"/>
                <w:color w:val="auto"/>
              </w:rPr>
            </w:pPr>
            <w:r>
              <w:rPr>
                <w:rFonts w:ascii="Times New Roman" w:cs="Times New Roman" w:eastAsia="Times New Roman" w:hAnsi="Times New Roman"/>
                <w:sz w:val="19"/>
                <w:szCs w:val="19"/>
                <w:color w:val="231F20"/>
              </w:rPr>
              <w:t>1,084.2</w:t>
            </w:r>
          </w:p>
        </w:tc>
        <w:tc>
          <w:tcPr>
            <w:tcW w:w="180" w:type="dxa"/>
            <w:vAlign w:val="bottom"/>
            <w:tcBorders>
              <w:top w:val="single" w:sz="8" w:color="FDFDFC"/>
            </w:tcBorders>
            <w:shd w:val="clear" w:color="auto" w:fill="FDFDFC"/>
          </w:tcPr>
          <w:p>
            <w:pPr>
              <w:spacing w:after="0"/>
              <w:rPr>
                <w:sz w:val="17"/>
                <w:szCs w:val="17"/>
                <w:color w:val="auto"/>
              </w:rPr>
            </w:pPr>
          </w:p>
        </w:tc>
      </w:tr>
      <w:tr>
        <w:trPr>
          <w:trHeight w:val="230"/>
        </w:trPr>
        <w:tc>
          <w:tcPr>
            <w:tcW w:w="5080" w:type="dxa"/>
            <w:vAlign w:val="bottom"/>
            <w:shd w:val="clear" w:color="auto" w:fill="D0EBF2"/>
          </w:tcPr>
          <w:p>
            <w:pPr>
              <w:spacing w:after="0"/>
              <w:rPr>
                <w:sz w:val="20"/>
                <w:szCs w:val="20"/>
                <w:color w:val="auto"/>
              </w:rPr>
            </w:pPr>
            <w:r>
              <w:rPr>
                <w:rFonts w:ascii="Times New Roman" w:cs="Times New Roman" w:eastAsia="Times New Roman" w:hAnsi="Times New Roman"/>
                <w:sz w:val="19"/>
                <w:szCs w:val="19"/>
                <w:b w:val="1"/>
                <w:bCs w:val="1"/>
                <w:color w:val="231F20"/>
              </w:rPr>
              <w:t>Principal amount of investments funded:</w:t>
            </w:r>
          </w:p>
        </w:tc>
        <w:tc>
          <w:tcPr>
            <w:tcW w:w="100" w:type="dxa"/>
            <w:vAlign w:val="bottom"/>
            <w:shd w:val="clear" w:color="auto" w:fill="D0EBF2"/>
          </w:tcPr>
          <w:p>
            <w:pPr>
              <w:spacing w:after="0"/>
              <w:rPr>
                <w:sz w:val="20"/>
                <w:szCs w:val="20"/>
                <w:color w:val="auto"/>
              </w:rPr>
            </w:pPr>
          </w:p>
        </w:tc>
        <w:tc>
          <w:tcPr>
            <w:tcW w:w="200" w:type="dxa"/>
            <w:vAlign w:val="bottom"/>
            <w:shd w:val="clear" w:color="auto" w:fill="D0EBF2"/>
          </w:tcPr>
          <w:p>
            <w:pPr>
              <w:spacing w:after="0"/>
              <w:rPr>
                <w:sz w:val="20"/>
                <w:szCs w:val="20"/>
                <w:color w:val="auto"/>
              </w:rPr>
            </w:pPr>
          </w:p>
        </w:tc>
        <w:tc>
          <w:tcPr>
            <w:tcW w:w="780" w:type="dxa"/>
            <w:vAlign w:val="bottom"/>
            <w:shd w:val="clear" w:color="auto" w:fill="D0EBF2"/>
          </w:tcPr>
          <w:p>
            <w:pPr>
              <w:spacing w:after="0"/>
              <w:rPr>
                <w:sz w:val="20"/>
                <w:szCs w:val="20"/>
                <w:color w:val="auto"/>
              </w:rPr>
            </w:pPr>
          </w:p>
        </w:tc>
        <w:tc>
          <w:tcPr>
            <w:tcW w:w="180" w:type="dxa"/>
            <w:vAlign w:val="bottom"/>
            <w:shd w:val="clear" w:color="auto" w:fill="D0EBF2"/>
          </w:tcPr>
          <w:p>
            <w:pPr>
              <w:spacing w:after="0"/>
              <w:rPr>
                <w:sz w:val="20"/>
                <w:szCs w:val="20"/>
                <w:color w:val="auto"/>
              </w:rPr>
            </w:pPr>
          </w:p>
        </w:tc>
        <w:tc>
          <w:tcPr>
            <w:tcW w:w="100" w:type="dxa"/>
            <w:vAlign w:val="bottom"/>
            <w:shd w:val="clear" w:color="auto" w:fill="D0EBF2"/>
          </w:tcPr>
          <w:p>
            <w:pPr>
              <w:spacing w:after="0"/>
              <w:rPr>
                <w:sz w:val="20"/>
                <w:szCs w:val="20"/>
                <w:color w:val="auto"/>
              </w:rPr>
            </w:pPr>
          </w:p>
        </w:tc>
        <w:tc>
          <w:tcPr>
            <w:tcW w:w="100" w:type="dxa"/>
            <w:vAlign w:val="bottom"/>
            <w:shd w:val="clear" w:color="auto" w:fill="D0EBF2"/>
          </w:tcPr>
          <w:p>
            <w:pPr>
              <w:spacing w:after="0"/>
              <w:rPr>
                <w:sz w:val="20"/>
                <w:szCs w:val="20"/>
                <w:color w:val="auto"/>
              </w:rPr>
            </w:pPr>
          </w:p>
        </w:tc>
        <w:tc>
          <w:tcPr>
            <w:tcW w:w="1040" w:type="dxa"/>
            <w:vAlign w:val="bottom"/>
            <w:shd w:val="clear" w:color="auto" w:fill="D0EBF2"/>
          </w:tcPr>
          <w:p>
            <w:pPr>
              <w:spacing w:after="0"/>
              <w:rPr>
                <w:sz w:val="20"/>
                <w:szCs w:val="20"/>
                <w:color w:val="auto"/>
              </w:rPr>
            </w:pPr>
          </w:p>
        </w:tc>
        <w:tc>
          <w:tcPr>
            <w:tcW w:w="180" w:type="dxa"/>
            <w:vAlign w:val="bottom"/>
            <w:shd w:val="clear" w:color="auto" w:fill="D0EBF2"/>
          </w:tcPr>
          <w:p>
            <w:pPr>
              <w:spacing w:after="0"/>
              <w:rPr>
                <w:sz w:val="20"/>
                <w:szCs w:val="20"/>
                <w:color w:val="auto"/>
              </w:rPr>
            </w:pPr>
          </w:p>
        </w:tc>
        <w:tc>
          <w:tcPr>
            <w:tcW w:w="200" w:type="dxa"/>
            <w:vAlign w:val="bottom"/>
            <w:shd w:val="clear" w:color="auto" w:fill="D0EBF2"/>
          </w:tcPr>
          <w:p>
            <w:pPr>
              <w:spacing w:after="0"/>
              <w:rPr>
                <w:sz w:val="20"/>
                <w:szCs w:val="20"/>
                <w:color w:val="auto"/>
              </w:rPr>
            </w:pPr>
          </w:p>
        </w:tc>
        <w:tc>
          <w:tcPr>
            <w:tcW w:w="1040" w:type="dxa"/>
            <w:vAlign w:val="bottom"/>
            <w:shd w:val="clear" w:color="auto" w:fill="D0EBF2"/>
          </w:tcPr>
          <w:p>
            <w:pPr>
              <w:spacing w:after="0"/>
              <w:rPr>
                <w:sz w:val="20"/>
                <w:szCs w:val="20"/>
                <w:color w:val="auto"/>
              </w:rPr>
            </w:pPr>
          </w:p>
        </w:tc>
        <w:tc>
          <w:tcPr>
            <w:tcW w:w="180" w:type="dxa"/>
            <w:vAlign w:val="bottom"/>
            <w:shd w:val="clear" w:color="auto" w:fill="D0EBF2"/>
          </w:tcPr>
          <w:p>
            <w:pPr>
              <w:spacing w:after="0"/>
              <w:rPr>
                <w:sz w:val="20"/>
                <w:szCs w:val="20"/>
                <w:color w:val="auto"/>
              </w:rPr>
            </w:pPr>
          </w:p>
        </w:tc>
      </w:tr>
      <w:tr>
        <w:trPr>
          <w:trHeight w:val="230"/>
        </w:trPr>
        <w:tc>
          <w:tcPr>
            <w:tcW w:w="5080" w:type="dxa"/>
            <w:vAlign w:val="bottom"/>
            <w:shd w:val="clear" w:color="auto" w:fill="FDFDFC"/>
          </w:tcPr>
          <w:p>
            <w:pPr>
              <w:ind w:left="180"/>
              <w:spacing w:after="0"/>
              <w:rPr>
                <w:sz w:val="20"/>
                <w:szCs w:val="20"/>
                <w:color w:val="auto"/>
              </w:rPr>
            </w:pPr>
            <w:r>
              <w:rPr>
                <w:rFonts w:ascii="Times New Roman" w:cs="Times New Roman" w:eastAsia="Times New Roman" w:hAnsi="Times New Roman"/>
                <w:sz w:val="19"/>
                <w:szCs w:val="19"/>
                <w:color w:val="231F20"/>
              </w:rPr>
              <w:t>First-lien</w:t>
            </w:r>
          </w:p>
        </w:tc>
        <w:tc>
          <w:tcPr>
            <w:tcW w:w="300" w:type="dxa"/>
            <w:vAlign w:val="bottom"/>
            <w:gridSpan w:val="2"/>
            <w:shd w:val="clear" w:color="auto" w:fill="FDFDFC"/>
          </w:tcPr>
          <w:p>
            <w:pPr>
              <w:jc w:val="right"/>
              <w:ind w:right="9"/>
              <w:spacing w:after="0"/>
              <w:rPr>
                <w:sz w:val="20"/>
                <w:szCs w:val="20"/>
                <w:color w:val="auto"/>
              </w:rPr>
            </w:pPr>
            <w:r>
              <w:rPr>
                <w:rFonts w:ascii="Times New Roman" w:cs="Times New Roman" w:eastAsia="Times New Roman" w:hAnsi="Times New Roman"/>
                <w:sz w:val="19"/>
                <w:szCs w:val="19"/>
                <w:color w:val="231F20"/>
              </w:rPr>
              <w:t>$</w:t>
            </w:r>
          </w:p>
        </w:tc>
        <w:tc>
          <w:tcPr>
            <w:tcW w:w="780" w:type="dxa"/>
            <w:vAlign w:val="bottom"/>
            <w:shd w:val="clear" w:color="auto" w:fill="FDFDFC"/>
          </w:tcPr>
          <w:p>
            <w:pPr>
              <w:jc w:val="right"/>
              <w:spacing w:after="0"/>
              <w:rPr>
                <w:sz w:val="20"/>
                <w:szCs w:val="20"/>
                <w:color w:val="auto"/>
              </w:rPr>
            </w:pPr>
            <w:r>
              <w:rPr>
                <w:rFonts w:ascii="Times New Roman" w:cs="Times New Roman" w:eastAsia="Times New Roman" w:hAnsi="Times New Roman"/>
                <w:sz w:val="19"/>
                <w:szCs w:val="19"/>
                <w:color w:val="231F20"/>
              </w:rPr>
              <w:t>823.9</w:t>
            </w:r>
          </w:p>
        </w:tc>
        <w:tc>
          <w:tcPr>
            <w:tcW w:w="180" w:type="dxa"/>
            <w:vAlign w:val="bottom"/>
            <w:shd w:val="clear" w:color="auto" w:fill="FDFDFC"/>
          </w:tcPr>
          <w:p>
            <w:pPr>
              <w:spacing w:after="0"/>
              <w:rPr>
                <w:sz w:val="20"/>
                <w:szCs w:val="20"/>
                <w:color w:val="auto"/>
              </w:rPr>
            </w:pPr>
          </w:p>
        </w:tc>
        <w:tc>
          <w:tcPr>
            <w:tcW w:w="200" w:type="dxa"/>
            <w:vAlign w:val="bottom"/>
            <w:gridSpan w:val="2"/>
            <w:shd w:val="clear" w:color="auto" w:fill="FDFDFC"/>
          </w:tcPr>
          <w:p>
            <w:pPr>
              <w:jc w:val="right"/>
              <w:spacing w:after="0"/>
              <w:rPr>
                <w:sz w:val="20"/>
                <w:szCs w:val="20"/>
                <w:color w:val="auto"/>
              </w:rPr>
            </w:pPr>
            <w:r>
              <w:rPr>
                <w:rFonts w:ascii="Times New Roman" w:cs="Times New Roman" w:eastAsia="Times New Roman" w:hAnsi="Times New Roman"/>
                <w:sz w:val="19"/>
                <w:szCs w:val="19"/>
                <w:color w:val="231F20"/>
              </w:rPr>
              <w:t>$</w:t>
            </w:r>
          </w:p>
        </w:tc>
        <w:tc>
          <w:tcPr>
            <w:tcW w:w="1040" w:type="dxa"/>
            <w:vAlign w:val="bottom"/>
            <w:shd w:val="clear" w:color="auto" w:fill="FDFDFC"/>
          </w:tcPr>
          <w:p>
            <w:pPr>
              <w:jc w:val="right"/>
              <w:spacing w:after="0"/>
              <w:rPr>
                <w:sz w:val="20"/>
                <w:szCs w:val="20"/>
                <w:color w:val="auto"/>
              </w:rPr>
            </w:pPr>
            <w:r>
              <w:rPr>
                <w:rFonts w:ascii="Times New Roman" w:cs="Times New Roman" w:eastAsia="Times New Roman" w:hAnsi="Times New Roman"/>
                <w:sz w:val="19"/>
                <w:szCs w:val="19"/>
                <w:color w:val="231F20"/>
              </w:rPr>
              <w:t>753.4</w:t>
            </w:r>
          </w:p>
        </w:tc>
        <w:tc>
          <w:tcPr>
            <w:tcW w:w="180" w:type="dxa"/>
            <w:vAlign w:val="bottom"/>
            <w:shd w:val="clear" w:color="auto" w:fill="FDFDFC"/>
          </w:tcPr>
          <w:p>
            <w:pPr>
              <w:spacing w:after="0"/>
              <w:rPr>
                <w:sz w:val="20"/>
                <w:szCs w:val="20"/>
                <w:color w:val="auto"/>
              </w:rPr>
            </w:pPr>
          </w:p>
        </w:tc>
        <w:tc>
          <w:tcPr>
            <w:tcW w:w="200" w:type="dxa"/>
            <w:vAlign w:val="bottom"/>
            <w:shd w:val="clear" w:color="auto" w:fill="FDFDFC"/>
          </w:tcPr>
          <w:p>
            <w:pPr>
              <w:jc w:val="right"/>
              <w:spacing w:after="0"/>
              <w:rPr>
                <w:sz w:val="20"/>
                <w:szCs w:val="20"/>
                <w:color w:val="auto"/>
              </w:rPr>
            </w:pPr>
            <w:r>
              <w:rPr>
                <w:rFonts w:ascii="Times New Roman" w:cs="Times New Roman" w:eastAsia="Times New Roman" w:hAnsi="Times New Roman"/>
                <w:sz w:val="19"/>
                <w:szCs w:val="19"/>
                <w:color w:val="231F20"/>
              </w:rPr>
              <w:t>$</w:t>
            </w:r>
          </w:p>
        </w:tc>
        <w:tc>
          <w:tcPr>
            <w:tcW w:w="1040" w:type="dxa"/>
            <w:vAlign w:val="bottom"/>
            <w:shd w:val="clear" w:color="auto" w:fill="FDFDFC"/>
          </w:tcPr>
          <w:p>
            <w:pPr>
              <w:jc w:val="right"/>
              <w:spacing w:after="0"/>
              <w:rPr>
                <w:sz w:val="20"/>
                <w:szCs w:val="20"/>
                <w:color w:val="auto"/>
              </w:rPr>
            </w:pPr>
            <w:r>
              <w:rPr>
                <w:rFonts w:ascii="Times New Roman" w:cs="Times New Roman" w:eastAsia="Times New Roman" w:hAnsi="Times New Roman"/>
                <w:sz w:val="19"/>
                <w:szCs w:val="19"/>
                <w:color w:val="231F20"/>
              </w:rPr>
              <w:t>761.7</w:t>
            </w:r>
          </w:p>
        </w:tc>
        <w:tc>
          <w:tcPr>
            <w:tcW w:w="180" w:type="dxa"/>
            <w:vAlign w:val="bottom"/>
            <w:shd w:val="clear" w:color="auto" w:fill="FDFDFC"/>
          </w:tcPr>
          <w:p>
            <w:pPr>
              <w:spacing w:after="0"/>
              <w:rPr>
                <w:sz w:val="20"/>
                <w:szCs w:val="20"/>
                <w:color w:val="auto"/>
              </w:rPr>
            </w:pPr>
          </w:p>
        </w:tc>
      </w:tr>
      <w:tr>
        <w:trPr>
          <w:trHeight w:val="230"/>
        </w:trPr>
        <w:tc>
          <w:tcPr>
            <w:tcW w:w="5080" w:type="dxa"/>
            <w:vAlign w:val="bottom"/>
            <w:shd w:val="clear" w:color="auto" w:fill="D0EBF2"/>
          </w:tcPr>
          <w:p>
            <w:pPr>
              <w:ind w:left="180"/>
              <w:spacing w:after="0"/>
              <w:rPr>
                <w:sz w:val="20"/>
                <w:szCs w:val="20"/>
                <w:color w:val="auto"/>
              </w:rPr>
            </w:pPr>
            <w:r>
              <w:rPr>
                <w:rFonts w:ascii="Times New Roman" w:cs="Times New Roman" w:eastAsia="Times New Roman" w:hAnsi="Times New Roman"/>
                <w:sz w:val="19"/>
                <w:szCs w:val="19"/>
                <w:color w:val="231F20"/>
              </w:rPr>
              <w:t>Second-lien</w:t>
            </w:r>
          </w:p>
        </w:tc>
        <w:tc>
          <w:tcPr>
            <w:tcW w:w="100" w:type="dxa"/>
            <w:vAlign w:val="bottom"/>
            <w:shd w:val="clear" w:color="auto" w:fill="D0EBF2"/>
          </w:tcPr>
          <w:p>
            <w:pPr>
              <w:spacing w:after="0"/>
              <w:rPr>
                <w:sz w:val="20"/>
                <w:szCs w:val="20"/>
                <w:color w:val="auto"/>
              </w:rPr>
            </w:pPr>
          </w:p>
        </w:tc>
        <w:tc>
          <w:tcPr>
            <w:tcW w:w="200" w:type="dxa"/>
            <w:vAlign w:val="bottom"/>
            <w:shd w:val="clear" w:color="auto" w:fill="D0EBF2"/>
          </w:tcPr>
          <w:p>
            <w:pPr>
              <w:spacing w:after="0"/>
              <w:rPr>
                <w:sz w:val="20"/>
                <w:szCs w:val="20"/>
                <w:color w:val="auto"/>
              </w:rPr>
            </w:pPr>
          </w:p>
        </w:tc>
        <w:tc>
          <w:tcPr>
            <w:tcW w:w="780" w:type="dxa"/>
            <w:vAlign w:val="bottom"/>
            <w:shd w:val="clear" w:color="auto" w:fill="D0EBF2"/>
          </w:tcPr>
          <w:p>
            <w:pPr>
              <w:jc w:val="right"/>
              <w:spacing w:after="0"/>
              <w:rPr>
                <w:sz w:val="20"/>
                <w:szCs w:val="20"/>
                <w:color w:val="auto"/>
              </w:rPr>
            </w:pPr>
            <w:r>
              <w:rPr>
                <w:rFonts w:ascii="Times New Roman" w:cs="Times New Roman" w:eastAsia="Times New Roman" w:hAnsi="Times New Roman"/>
                <w:sz w:val="19"/>
                <w:szCs w:val="19"/>
                <w:color w:val="231F20"/>
              </w:rPr>
              <w:t>2.1</w:t>
            </w:r>
          </w:p>
        </w:tc>
        <w:tc>
          <w:tcPr>
            <w:tcW w:w="180" w:type="dxa"/>
            <w:vAlign w:val="bottom"/>
            <w:shd w:val="clear" w:color="auto" w:fill="D0EBF2"/>
          </w:tcPr>
          <w:p>
            <w:pPr>
              <w:spacing w:after="0"/>
              <w:rPr>
                <w:sz w:val="20"/>
                <w:szCs w:val="20"/>
                <w:color w:val="auto"/>
              </w:rPr>
            </w:pPr>
          </w:p>
        </w:tc>
        <w:tc>
          <w:tcPr>
            <w:tcW w:w="100" w:type="dxa"/>
            <w:vAlign w:val="bottom"/>
            <w:shd w:val="clear" w:color="auto" w:fill="D0EBF2"/>
          </w:tcPr>
          <w:p>
            <w:pPr>
              <w:spacing w:after="0"/>
              <w:rPr>
                <w:sz w:val="20"/>
                <w:szCs w:val="20"/>
                <w:color w:val="auto"/>
              </w:rPr>
            </w:pPr>
          </w:p>
        </w:tc>
        <w:tc>
          <w:tcPr>
            <w:tcW w:w="100" w:type="dxa"/>
            <w:vAlign w:val="bottom"/>
            <w:shd w:val="clear" w:color="auto" w:fill="D0EBF2"/>
          </w:tcPr>
          <w:p>
            <w:pPr>
              <w:spacing w:after="0"/>
              <w:rPr>
                <w:sz w:val="20"/>
                <w:szCs w:val="20"/>
                <w:color w:val="auto"/>
              </w:rPr>
            </w:pPr>
          </w:p>
        </w:tc>
        <w:tc>
          <w:tcPr>
            <w:tcW w:w="1040" w:type="dxa"/>
            <w:vAlign w:val="bottom"/>
            <w:shd w:val="clear" w:color="auto" w:fill="D0EBF2"/>
          </w:tcPr>
          <w:p>
            <w:pPr>
              <w:jc w:val="right"/>
              <w:spacing w:after="0"/>
              <w:rPr>
                <w:sz w:val="20"/>
                <w:szCs w:val="20"/>
                <w:color w:val="auto"/>
              </w:rPr>
            </w:pPr>
            <w:r>
              <w:rPr>
                <w:rFonts w:ascii="Times New Roman" w:cs="Times New Roman" w:eastAsia="Times New Roman" w:hAnsi="Times New Roman"/>
                <w:sz w:val="19"/>
                <w:szCs w:val="19"/>
                <w:color w:val="231F20"/>
              </w:rPr>
              <w:t>8.4</w:t>
            </w:r>
          </w:p>
        </w:tc>
        <w:tc>
          <w:tcPr>
            <w:tcW w:w="180" w:type="dxa"/>
            <w:vAlign w:val="bottom"/>
            <w:shd w:val="clear" w:color="auto" w:fill="D0EBF2"/>
          </w:tcPr>
          <w:p>
            <w:pPr>
              <w:spacing w:after="0"/>
              <w:rPr>
                <w:sz w:val="20"/>
                <w:szCs w:val="20"/>
                <w:color w:val="auto"/>
              </w:rPr>
            </w:pPr>
          </w:p>
        </w:tc>
        <w:tc>
          <w:tcPr>
            <w:tcW w:w="200" w:type="dxa"/>
            <w:vAlign w:val="bottom"/>
            <w:shd w:val="clear" w:color="auto" w:fill="D0EBF2"/>
          </w:tcPr>
          <w:p>
            <w:pPr>
              <w:spacing w:after="0"/>
              <w:rPr>
                <w:sz w:val="20"/>
                <w:szCs w:val="20"/>
                <w:color w:val="auto"/>
              </w:rPr>
            </w:pPr>
          </w:p>
        </w:tc>
        <w:tc>
          <w:tcPr>
            <w:tcW w:w="1220" w:type="dxa"/>
            <w:vAlign w:val="bottom"/>
            <w:gridSpan w:val="2"/>
            <w:shd w:val="clear" w:color="auto" w:fill="D0EBF2"/>
          </w:tcPr>
          <w:p>
            <w:pPr>
              <w:jc w:val="right"/>
              <w:ind w:right="200"/>
              <w:spacing w:after="0"/>
              <w:rPr>
                <w:sz w:val="20"/>
                <w:szCs w:val="20"/>
                <w:color w:val="auto"/>
              </w:rPr>
            </w:pPr>
            <w:r>
              <w:rPr>
                <w:rFonts w:ascii="Times New Roman" w:cs="Times New Roman" w:eastAsia="Times New Roman" w:hAnsi="Times New Roman"/>
                <w:sz w:val="19"/>
                <w:szCs w:val="19"/>
                <w:color w:val="231F20"/>
              </w:rPr>
              <w:t>—</w:t>
            </w:r>
          </w:p>
        </w:tc>
      </w:tr>
      <w:tr>
        <w:trPr>
          <w:trHeight w:val="230"/>
        </w:trPr>
        <w:tc>
          <w:tcPr>
            <w:tcW w:w="5080" w:type="dxa"/>
            <w:vAlign w:val="bottom"/>
            <w:shd w:val="clear" w:color="auto" w:fill="FDFDFC"/>
          </w:tcPr>
          <w:p>
            <w:pPr>
              <w:ind w:left="180"/>
              <w:spacing w:after="0"/>
              <w:rPr>
                <w:sz w:val="20"/>
                <w:szCs w:val="20"/>
                <w:color w:val="auto"/>
              </w:rPr>
            </w:pPr>
            <w:r>
              <w:rPr>
                <w:rFonts w:ascii="Times New Roman" w:cs="Times New Roman" w:eastAsia="Times New Roman" w:hAnsi="Times New Roman"/>
                <w:sz w:val="19"/>
                <w:szCs w:val="19"/>
                <w:color w:val="231F20"/>
              </w:rPr>
              <w:t>Mezzanine</w:t>
            </w:r>
          </w:p>
        </w:tc>
        <w:tc>
          <w:tcPr>
            <w:tcW w:w="100" w:type="dxa"/>
            <w:vAlign w:val="bottom"/>
            <w:shd w:val="clear" w:color="auto" w:fill="FDFDFC"/>
          </w:tcPr>
          <w:p>
            <w:pPr>
              <w:spacing w:after="0"/>
              <w:rPr>
                <w:sz w:val="20"/>
                <w:szCs w:val="20"/>
                <w:color w:val="auto"/>
              </w:rPr>
            </w:pPr>
          </w:p>
        </w:tc>
        <w:tc>
          <w:tcPr>
            <w:tcW w:w="200" w:type="dxa"/>
            <w:vAlign w:val="bottom"/>
            <w:shd w:val="clear" w:color="auto" w:fill="FDFDFC"/>
          </w:tcPr>
          <w:p>
            <w:pPr>
              <w:spacing w:after="0"/>
              <w:rPr>
                <w:sz w:val="20"/>
                <w:szCs w:val="20"/>
                <w:color w:val="auto"/>
              </w:rPr>
            </w:pPr>
          </w:p>
        </w:tc>
        <w:tc>
          <w:tcPr>
            <w:tcW w:w="780" w:type="dxa"/>
            <w:vAlign w:val="bottom"/>
            <w:shd w:val="clear" w:color="auto" w:fill="FDFDFC"/>
          </w:tcPr>
          <w:p>
            <w:pPr>
              <w:jc w:val="right"/>
              <w:spacing w:after="0"/>
              <w:rPr>
                <w:sz w:val="20"/>
                <w:szCs w:val="20"/>
                <w:color w:val="auto"/>
              </w:rPr>
            </w:pPr>
            <w:r>
              <w:rPr>
                <w:rFonts w:ascii="Times New Roman" w:cs="Times New Roman" w:eastAsia="Times New Roman" w:hAnsi="Times New Roman"/>
                <w:sz w:val="19"/>
                <w:szCs w:val="19"/>
                <w:color w:val="231F20"/>
              </w:rPr>
              <w:t>1.1</w:t>
            </w:r>
          </w:p>
        </w:tc>
        <w:tc>
          <w:tcPr>
            <w:tcW w:w="180" w:type="dxa"/>
            <w:vAlign w:val="bottom"/>
            <w:shd w:val="clear" w:color="auto" w:fill="FDFDFC"/>
          </w:tcPr>
          <w:p>
            <w:pPr>
              <w:spacing w:after="0"/>
              <w:rPr>
                <w:sz w:val="20"/>
                <w:szCs w:val="20"/>
                <w:color w:val="auto"/>
              </w:rPr>
            </w:pPr>
          </w:p>
        </w:tc>
        <w:tc>
          <w:tcPr>
            <w:tcW w:w="100" w:type="dxa"/>
            <w:vAlign w:val="bottom"/>
            <w:shd w:val="clear" w:color="auto" w:fill="FDFDFC"/>
          </w:tcPr>
          <w:p>
            <w:pPr>
              <w:spacing w:after="0"/>
              <w:rPr>
                <w:sz w:val="20"/>
                <w:szCs w:val="20"/>
                <w:color w:val="auto"/>
              </w:rPr>
            </w:pPr>
          </w:p>
        </w:tc>
        <w:tc>
          <w:tcPr>
            <w:tcW w:w="100" w:type="dxa"/>
            <w:vAlign w:val="bottom"/>
            <w:shd w:val="clear" w:color="auto" w:fill="FDFDFC"/>
          </w:tcPr>
          <w:p>
            <w:pPr>
              <w:spacing w:after="0"/>
              <w:rPr>
                <w:sz w:val="20"/>
                <w:szCs w:val="20"/>
                <w:color w:val="auto"/>
              </w:rPr>
            </w:pPr>
          </w:p>
        </w:tc>
        <w:tc>
          <w:tcPr>
            <w:tcW w:w="1040" w:type="dxa"/>
            <w:vAlign w:val="bottom"/>
            <w:shd w:val="clear" w:color="auto" w:fill="FDFDFC"/>
          </w:tcPr>
          <w:p>
            <w:pPr>
              <w:jc w:val="right"/>
              <w:spacing w:after="0"/>
              <w:rPr>
                <w:sz w:val="20"/>
                <w:szCs w:val="20"/>
                <w:color w:val="auto"/>
              </w:rPr>
            </w:pPr>
            <w:r>
              <w:rPr>
                <w:rFonts w:ascii="Times New Roman" w:cs="Times New Roman" w:eastAsia="Times New Roman" w:hAnsi="Times New Roman"/>
                <w:sz w:val="19"/>
                <w:szCs w:val="19"/>
                <w:color w:val="231F20"/>
              </w:rPr>
              <w:t>32.2</w:t>
            </w:r>
          </w:p>
        </w:tc>
        <w:tc>
          <w:tcPr>
            <w:tcW w:w="180" w:type="dxa"/>
            <w:vAlign w:val="bottom"/>
            <w:shd w:val="clear" w:color="auto" w:fill="FDFDFC"/>
          </w:tcPr>
          <w:p>
            <w:pPr>
              <w:spacing w:after="0"/>
              <w:rPr>
                <w:sz w:val="20"/>
                <w:szCs w:val="20"/>
                <w:color w:val="auto"/>
              </w:rPr>
            </w:pPr>
          </w:p>
        </w:tc>
        <w:tc>
          <w:tcPr>
            <w:tcW w:w="200" w:type="dxa"/>
            <w:vAlign w:val="bottom"/>
            <w:shd w:val="clear" w:color="auto" w:fill="FDFDFC"/>
          </w:tcPr>
          <w:p>
            <w:pPr>
              <w:spacing w:after="0"/>
              <w:rPr>
                <w:sz w:val="20"/>
                <w:szCs w:val="20"/>
                <w:color w:val="auto"/>
              </w:rPr>
            </w:pPr>
          </w:p>
        </w:tc>
        <w:tc>
          <w:tcPr>
            <w:tcW w:w="1220" w:type="dxa"/>
            <w:vAlign w:val="bottom"/>
            <w:gridSpan w:val="2"/>
            <w:shd w:val="clear" w:color="auto" w:fill="FDFDFC"/>
          </w:tcPr>
          <w:p>
            <w:pPr>
              <w:jc w:val="right"/>
              <w:ind w:right="200"/>
              <w:spacing w:after="0"/>
              <w:rPr>
                <w:sz w:val="20"/>
                <w:szCs w:val="20"/>
                <w:color w:val="auto"/>
              </w:rPr>
            </w:pPr>
            <w:r>
              <w:rPr>
                <w:rFonts w:ascii="Times New Roman" w:cs="Times New Roman" w:eastAsia="Times New Roman" w:hAnsi="Times New Roman"/>
                <w:sz w:val="19"/>
                <w:szCs w:val="19"/>
                <w:color w:val="231F20"/>
              </w:rPr>
              <w:t>—</w:t>
            </w:r>
          </w:p>
        </w:tc>
      </w:tr>
      <w:tr>
        <w:trPr>
          <w:trHeight w:val="230"/>
        </w:trPr>
        <w:tc>
          <w:tcPr>
            <w:tcW w:w="5080" w:type="dxa"/>
            <w:vAlign w:val="bottom"/>
            <w:shd w:val="clear" w:color="auto" w:fill="D0EBF2"/>
          </w:tcPr>
          <w:p>
            <w:pPr>
              <w:ind w:left="180"/>
              <w:spacing w:after="0"/>
              <w:rPr>
                <w:sz w:val="20"/>
                <w:szCs w:val="20"/>
                <w:color w:val="auto"/>
              </w:rPr>
            </w:pPr>
            <w:r>
              <w:rPr>
                <w:rFonts w:ascii="Times New Roman" w:cs="Times New Roman" w:eastAsia="Times New Roman" w:hAnsi="Times New Roman"/>
                <w:sz w:val="19"/>
                <w:szCs w:val="19"/>
                <w:color w:val="231F20"/>
              </w:rPr>
              <w:t>Equity and other</w:t>
            </w:r>
          </w:p>
        </w:tc>
        <w:tc>
          <w:tcPr>
            <w:tcW w:w="100" w:type="dxa"/>
            <w:vAlign w:val="bottom"/>
            <w:shd w:val="clear" w:color="auto" w:fill="D0EBF2"/>
          </w:tcPr>
          <w:p>
            <w:pPr>
              <w:spacing w:after="0"/>
              <w:rPr>
                <w:sz w:val="20"/>
                <w:szCs w:val="20"/>
                <w:color w:val="auto"/>
              </w:rPr>
            </w:pPr>
          </w:p>
        </w:tc>
        <w:tc>
          <w:tcPr>
            <w:tcW w:w="200" w:type="dxa"/>
            <w:vAlign w:val="bottom"/>
            <w:shd w:val="clear" w:color="auto" w:fill="D0EBF2"/>
          </w:tcPr>
          <w:p>
            <w:pPr>
              <w:spacing w:after="0"/>
              <w:rPr>
                <w:sz w:val="20"/>
                <w:szCs w:val="20"/>
                <w:color w:val="auto"/>
              </w:rPr>
            </w:pPr>
          </w:p>
        </w:tc>
        <w:tc>
          <w:tcPr>
            <w:tcW w:w="780" w:type="dxa"/>
            <w:vAlign w:val="bottom"/>
            <w:shd w:val="clear" w:color="auto" w:fill="D0EBF2"/>
          </w:tcPr>
          <w:p>
            <w:pPr>
              <w:jc w:val="right"/>
              <w:spacing w:after="0"/>
              <w:rPr>
                <w:sz w:val="20"/>
                <w:szCs w:val="20"/>
                <w:color w:val="auto"/>
              </w:rPr>
            </w:pPr>
            <w:r>
              <w:rPr>
                <w:rFonts w:ascii="Times New Roman" w:cs="Times New Roman" w:eastAsia="Times New Roman" w:hAnsi="Times New Roman"/>
                <w:sz w:val="19"/>
                <w:szCs w:val="19"/>
                <w:color w:val="231F20"/>
              </w:rPr>
              <w:t>10.8</w:t>
            </w:r>
          </w:p>
        </w:tc>
        <w:tc>
          <w:tcPr>
            <w:tcW w:w="180" w:type="dxa"/>
            <w:vAlign w:val="bottom"/>
            <w:shd w:val="clear" w:color="auto" w:fill="D0EBF2"/>
          </w:tcPr>
          <w:p>
            <w:pPr>
              <w:spacing w:after="0"/>
              <w:rPr>
                <w:sz w:val="20"/>
                <w:szCs w:val="20"/>
                <w:color w:val="auto"/>
              </w:rPr>
            </w:pPr>
          </w:p>
        </w:tc>
        <w:tc>
          <w:tcPr>
            <w:tcW w:w="100" w:type="dxa"/>
            <w:vAlign w:val="bottom"/>
            <w:shd w:val="clear" w:color="auto" w:fill="D0EBF2"/>
          </w:tcPr>
          <w:p>
            <w:pPr>
              <w:spacing w:after="0"/>
              <w:rPr>
                <w:sz w:val="20"/>
                <w:szCs w:val="20"/>
                <w:color w:val="auto"/>
              </w:rPr>
            </w:pPr>
          </w:p>
        </w:tc>
        <w:tc>
          <w:tcPr>
            <w:tcW w:w="100" w:type="dxa"/>
            <w:vAlign w:val="bottom"/>
            <w:shd w:val="clear" w:color="auto" w:fill="D0EBF2"/>
          </w:tcPr>
          <w:p>
            <w:pPr>
              <w:spacing w:after="0"/>
              <w:rPr>
                <w:sz w:val="20"/>
                <w:szCs w:val="20"/>
                <w:color w:val="auto"/>
              </w:rPr>
            </w:pPr>
          </w:p>
        </w:tc>
        <w:tc>
          <w:tcPr>
            <w:tcW w:w="1040" w:type="dxa"/>
            <w:vAlign w:val="bottom"/>
            <w:shd w:val="clear" w:color="auto" w:fill="D0EBF2"/>
          </w:tcPr>
          <w:p>
            <w:pPr>
              <w:jc w:val="right"/>
              <w:spacing w:after="0"/>
              <w:rPr>
                <w:sz w:val="20"/>
                <w:szCs w:val="20"/>
                <w:color w:val="auto"/>
              </w:rPr>
            </w:pPr>
            <w:r>
              <w:rPr>
                <w:rFonts w:ascii="Times New Roman" w:cs="Times New Roman" w:eastAsia="Times New Roman" w:hAnsi="Times New Roman"/>
                <w:sz w:val="19"/>
                <w:szCs w:val="19"/>
                <w:color w:val="231F20"/>
              </w:rPr>
              <w:t>12.8</w:t>
            </w:r>
          </w:p>
        </w:tc>
        <w:tc>
          <w:tcPr>
            <w:tcW w:w="180" w:type="dxa"/>
            <w:vAlign w:val="bottom"/>
            <w:shd w:val="clear" w:color="auto" w:fill="D0EBF2"/>
          </w:tcPr>
          <w:p>
            <w:pPr>
              <w:spacing w:after="0"/>
              <w:rPr>
                <w:sz w:val="20"/>
                <w:szCs w:val="20"/>
                <w:color w:val="auto"/>
              </w:rPr>
            </w:pPr>
          </w:p>
        </w:tc>
        <w:tc>
          <w:tcPr>
            <w:tcW w:w="200" w:type="dxa"/>
            <w:vAlign w:val="bottom"/>
            <w:shd w:val="clear" w:color="auto" w:fill="D0EBF2"/>
          </w:tcPr>
          <w:p>
            <w:pPr>
              <w:spacing w:after="0"/>
              <w:rPr>
                <w:sz w:val="20"/>
                <w:szCs w:val="20"/>
                <w:color w:val="auto"/>
              </w:rPr>
            </w:pPr>
          </w:p>
        </w:tc>
        <w:tc>
          <w:tcPr>
            <w:tcW w:w="1040" w:type="dxa"/>
            <w:vAlign w:val="bottom"/>
            <w:shd w:val="clear" w:color="auto" w:fill="D0EBF2"/>
          </w:tcPr>
          <w:p>
            <w:pPr>
              <w:jc w:val="right"/>
              <w:spacing w:after="0"/>
              <w:rPr>
                <w:sz w:val="20"/>
                <w:szCs w:val="20"/>
                <w:color w:val="auto"/>
              </w:rPr>
            </w:pPr>
            <w:r>
              <w:rPr>
                <w:rFonts w:ascii="Times New Roman" w:cs="Times New Roman" w:eastAsia="Times New Roman" w:hAnsi="Times New Roman"/>
                <w:sz w:val="19"/>
                <w:szCs w:val="19"/>
                <w:color w:val="231F20"/>
              </w:rPr>
              <w:t>44.8</w:t>
            </w:r>
          </w:p>
        </w:tc>
        <w:tc>
          <w:tcPr>
            <w:tcW w:w="180" w:type="dxa"/>
            <w:vAlign w:val="bottom"/>
            <w:shd w:val="clear" w:color="auto" w:fill="D0EBF2"/>
          </w:tcPr>
          <w:p>
            <w:pPr>
              <w:spacing w:after="0"/>
              <w:rPr>
                <w:sz w:val="20"/>
                <w:szCs w:val="20"/>
                <w:color w:val="auto"/>
              </w:rPr>
            </w:pPr>
          </w:p>
        </w:tc>
      </w:tr>
      <w:tr>
        <w:trPr>
          <w:trHeight w:val="230"/>
        </w:trPr>
        <w:tc>
          <w:tcPr>
            <w:tcW w:w="5080" w:type="dxa"/>
            <w:vAlign w:val="bottom"/>
            <w:tcBorders>
              <w:bottom w:val="single" w:sz="8" w:color="D0EBF2"/>
            </w:tcBorders>
            <w:shd w:val="clear" w:color="auto" w:fill="FDFDFC"/>
          </w:tcPr>
          <w:p>
            <w:pPr>
              <w:ind w:left="180"/>
              <w:spacing w:after="0"/>
              <w:rPr>
                <w:sz w:val="20"/>
                <w:szCs w:val="20"/>
                <w:color w:val="auto"/>
              </w:rPr>
            </w:pPr>
            <w:r>
              <w:rPr>
                <w:rFonts w:ascii="Times New Roman" w:cs="Times New Roman" w:eastAsia="Times New Roman" w:hAnsi="Times New Roman"/>
                <w:sz w:val="19"/>
                <w:szCs w:val="19"/>
                <w:color w:val="231F20"/>
              </w:rPr>
              <w:t>Structured Credit</w:t>
            </w:r>
          </w:p>
        </w:tc>
        <w:tc>
          <w:tcPr>
            <w:tcW w:w="100" w:type="dxa"/>
            <w:vAlign w:val="bottom"/>
            <w:tcBorders>
              <w:bottom w:val="single" w:sz="8" w:color="D0EBF2"/>
            </w:tcBorders>
            <w:shd w:val="clear" w:color="auto" w:fill="FDFDFC"/>
          </w:tcPr>
          <w:p>
            <w:pPr>
              <w:spacing w:after="0"/>
              <w:rPr>
                <w:sz w:val="20"/>
                <w:szCs w:val="20"/>
                <w:color w:val="auto"/>
              </w:rPr>
            </w:pPr>
          </w:p>
        </w:tc>
        <w:tc>
          <w:tcPr>
            <w:tcW w:w="200" w:type="dxa"/>
            <w:vAlign w:val="bottom"/>
            <w:tcBorders>
              <w:bottom w:val="single" w:sz="8" w:color="231F20"/>
            </w:tcBorders>
            <w:shd w:val="clear" w:color="auto" w:fill="FDFDFC"/>
          </w:tcPr>
          <w:p>
            <w:pPr>
              <w:spacing w:after="0"/>
              <w:rPr>
                <w:sz w:val="20"/>
                <w:szCs w:val="20"/>
                <w:color w:val="auto"/>
              </w:rPr>
            </w:pPr>
          </w:p>
        </w:tc>
        <w:tc>
          <w:tcPr>
            <w:tcW w:w="780" w:type="dxa"/>
            <w:vAlign w:val="bottom"/>
            <w:tcBorders>
              <w:bottom w:val="single" w:sz="8" w:color="231F20"/>
            </w:tcBorders>
            <w:shd w:val="clear" w:color="auto" w:fill="FDFDFC"/>
          </w:tcPr>
          <w:p>
            <w:pPr>
              <w:jc w:val="right"/>
              <w:spacing w:after="0"/>
              <w:rPr>
                <w:sz w:val="20"/>
                <w:szCs w:val="20"/>
                <w:color w:val="auto"/>
              </w:rPr>
            </w:pPr>
            <w:r>
              <w:rPr>
                <w:rFonts w:ascii="Times New Roman" w:cs="Times New Roman" w:eastAsia="Times New Roman" w:hAnsi="Times New Roman"/>
                <w:sz w:val="19"/>
                <w:szCs w:val="19"/>
                <w:color w:val="231F20"/>
              </w:rPr>
              <w:t>1.0</w:t>
            </w:r>
          </w:p>
        </w:tc>
        <w:tc>
          <w:tcPr>
            <w:tcW w:w="180" w:type="dxa"/>
            <w:vAlign w:val="bottom"/>
            <w:tcBorders>
              <w:bottom w:val="single" w:sz="8" w:color="D0EBF2"/>
            </w:tcBorders>
            <w:shd w:val="clear" w:color="auto" w:fill="FDFDFC"/>
          </w:tcPr>
          <w:p>
            <w:pPr>
              <w:spacing w:after="0"/>
              <w:rPr>
                <w:sz w:val="20"/>
                <w:szCs w:val="20"/>
                <w:color w:val="auto"/>
              </w:rPr>
            </w:pPr>
          </w:p>
        </w:tc>
        <w:tc>
          <w:tcPr>
            <w:tcW w:w="100" w:type="dxa"/>
            <w:vAlign w:val="bottom"/>
            <w:tcBorders>
              <w:bottom w:val="single" w:sz="8" w:color="D0EBF2"/>
            </w:tcBorders>
            <w:shd w:val="clear" w:color="auto" w:fill="FDFDFC"/>
          </w:tcPr>
          <w:p>
            <w:pPr>
              <w:spacing w:after="0"/>
              <w:rPr>
                <w:sz w:val="20"/>
                <w:szCs w:val="20"/>
                <w:color w:val="auto"/>
              </w:rPr>
            </w:pPr>
          </w:p>
        </w:tc>
        <w:tc>
          <w:tcPr>
            <w:tcW w:w="100" w:type="dxa"/>
            <w:vAlign w:val="bottom"/>
            <w:tcBorders>
              <w:bottom w:val="single" w:sz="8" w:color="231F20"/>
            </w:tcBorders>
            <w:shd w:val="clear" w:color="auto" w:fill="FDFDFC"/>
          </w:tcPr>
          <w:p>
            <w:pPr>
              <w:spacing w:after="0"/>
              <w:rPr>
                <w:sz w:val="20"/>
                <w:szCs w:val="20"/>
                <w:color w:val="auto"/>
              </w:rPr>
            </w:pPr>
          </w:p>
        </w:tc>
        <w:tc>
          <w:tcPr>
            <w:tcW w:w="1040" w:type="dxa"/>
            <w:vAlign w:val="bottom"/>
            <w:tcBorders>
              <w:bottom w:val="single" w:sz="8" w:color="231F20"/>
            </w:tcBorders>
            <w:shd w:val="clear" w:color="auto" w:fill="FDFDFC"/>
          </w:tcPr>
          <w:p>
            <w:pPr>
              <w:jc w:val="right"/>
              <w:spacing w:after="0"/>
              <w:rPr>
                <w:sz w:val="20"/>
                <w:szCs w:val="20"/>
                <w:color w:val="auto"/>
              </w:rPr>
            </w:pPr>
            <w:r>
              <w:rPr>
                <w:rFonts w:ascii="Times New Roman" w:cs="Times New Roman" w:eastAsia="Times New Roman" w:hAnsi="Times New Roman"/>
                <w:sz w:val="19"/>
                <w:szCs w:val="19"/>
                <w:color w:val="231F20"/>
              </w:rPr>
              <w:t>1.6</w:t>
            </w:r>
          </w:p>
        </w:tc>
        <w:tc>
          <w:tcPr>
            <w:tcW w:w="180" w:type="dxa"/>
            <w:vAlign w:val="bottom"/>
            <w:tcBorders>
              <w:bottom w:val="single" w:sz="8" w:color="D0EBF2"/>
            </w:tcBorders>
            <w:shd w:val="clear" w:color="auto" w:fill="FDFDFC"/>
          </w:tcPr>
          <w:p>
            <w:pPr>
              <w:spacing w:after="0"/>
              <w:rPr>
                <w:sz w:val="20"/>
                <w:szCs w:val="20"/>
                <w:color w:val="auto"/>
              </w:rPr>
            </w:pPr>
          </w:p>
        </w:tc>
        <w:tc>
          <w:tcPr>
            <w:tcW w:w="200" w:type="dxa"/>
            <w:vAlign w:val="bottom"/>
            <w:tcBorders>
              <w:bottom w:val="single" w:sz="8" w:color="231F20"/>
            </w:tcBorders>
            <w:shd w:val="clear" w:color="auto" w:fill="FDFDFC"/>
          </w:tcPr>
          <w:p>
            <w:pPr>
              <w:spacing w:after="0"/>
              <w:rPr>
                <w:sz w:val="20"/>
                <w:szCs w:val="20"/>
                <w:color w:val="auto"/>
              </w:rPr>
            </w:pPr>
          </w:p>
        </w:tc>
        <w:tc>
          <w:tcPr>
            <w:tcW w:w="1040" w:type="dxa"/>
            <w:vAlign w:val="bottom"/>
            <w:tcBorders>
              <w:bottom w:val="single" w:sz="8" w:color="231F20"/>
            </w:tcBorders>
            <w:shd w:val="clear" w:color="auto" w:fill="FDFDFC"/>
          </w:tcPr>
          <w:p>
            <w:pPr>
              <w:jc w:val="right"/>
              <w:spacing w:after="0"/>
              <w:rPr>
                <w:sz w:val="20"/>
                <w:szCs w:val="20"/>
                <w:color w:val="auto"/>
              </w:rPr>
            </w:pPr>
            <w:r>
              <w:rPr>
                <w:rFonts w:ascii="Times New Roman" w:cs="Times New Roman" w:eastAsia="Times New Roman" w:hAnsi="Times New Roman"/>
                <w:sz w:val="19"/>
                <w:szCs w:val="19"/>
                <w:color w:val="231F20"/>
              </w:rPr>
              <w:t>57.5</w:t>
            </w:r>
          </w:p>
        </w:tc>
        <w:tc>
          <w:tcPr>
            <w:tcW w:w="180" w:type="dxa"/>
            <w:vAlign w:val="bottom"/>
            <w:tcBorders>
              <w:bottom w:val="single" w:sz="8" w:color="D0EBF2"/>
            </w:tcBorders>
            <w:shd w:val="clear" w:color="auto" w:fill="FDFDFC"/>
          </w:tcPr>
          <w:p>
            <w:pPr>
              <w:spacing w:after="0"/>
              <w:rPr>
                <w:sz w:val="20"/>
                <w:szCs w:val="20"/>
                <w:color w:val="auto"/>
              </w:rPr>
            </w:pPr>
          </w:p>
        </w:tc>
      </w:tr>
      <w:tr>
        <w:trPr>
          <w:trHeight w:val="220"/>
        </w:trPr>
        <w:tc>
          <w:tcPr>
            <w:tcW w:w="5080" w:type="dxa"/>
            <w:vAlign w:val="bottom"/>
            <w:shd w:val="clear" w:color="auto" w:fill="D0EBF2"/>
          </w:tcPr>
          <w:p>
            <w:pPr>
              <w:ind w:left="360"/>
              <w:spacing w:after="0"/>
              <w:rPr>
                <w:sz w:val="20"/>
                <w:szCs w:val="20"/>
                <w:color w:val="auto"/>
              </w:rPr>
            </w:pPr>
            <w:r>
              <w:rPr>
                <w:rFonts w:ascii="Times New Roman" w:cs="Times New Roman" w:eastAsia="Times New Roman" w:hAnsi="Times New Roman"/>
                <w:sz w:val="19"/>
                <w:szCs w:val="19"/>
                <w:color w:val="231F20"/>
              </w:rPr>
              <w:t>Total</w:t>
            </w:r>
          </w:p>
        </w:tc>
        <w:tc>
          <w:tcPr>
            <w:tcW w:w="100" w:type="dxa"/>
            <w:vAlign w:val="bottom"/>
            <w:shd w:val="clear" w:color="auto" w:fill="D0EBF2"/>
          </w:tcPr>
          <w:p>
            <w:pPr>
              <w:spacing w:after="0"/>
              <w:rPr>
                <w:sz w:val="19"/>
                <w:szCs w:val="19"/>
                <w:color w:val="auto"/>
              </w:rPr>
            </w:pPr>
          </w:p>
        </w:tc>
        <w:tc>
          <w:tcPr>
            <w:tcW w:w="200" w:type="dxa"/>
            <w:vAlign w:val="bottom"/>
            <w:shd w:val="clear" w:color="auto" w:fill="D0EBF2"/>
          </w:tcPr>
          <w:p>
            <w:pPr>
              <w:jc w:val="right"/>
              <w:ind w:right="9"/>
              <w:spacing w:after="0"/>
              <w:rPr>
                <w:sz w:val="20"/>
                <w:szCs w:val="20"/>
                <w:color w:val="auto"/>
              </w:rPr>
            </w:pPr>
            <w:r>
              <w:rPr>
                <w:rFonts w:ascii="Times New Roman" w:cs="Times New Roman" w:eastAsia="Times New Roman" w:hAnsi="Times New Roman"/>
                <w:sz w:val="19"/>
                <w:szCs w:val="19"/>
                <w:color w:val="231F20"/>
                <w:w w:val="83"/>
              </w:rPr>
              <w:t>$</w:t>
            </w:r>
          </w:p>
        </w:tc>
        <w:tc>
          <w:tcPr>
            <w:tcW w:w="780" w:type="dxa"/>
            <w:vAlign w:val="bottom"/>
            <w:shd w:val="clear" w:color="auto" w:fill="D0EBF2"/>
          </w:tcPr>
          <w:p>
            <w:pPr>
              <w:jc w:val="right"/>
              <w:spacing w:after="0"/>
              <w:rPr>
                <w:sz w:val="20"/>
                <w:szCs w:val="20"/>
                <w:color w:val="auto"/>
              </w:rPr>
            </w:pPr>
            <w:r>
              <w:rPr>
                <w:rFonts w:ascii="Times New Roman" w:cs="Times New Roman" w:eastAsia="Times New Roman" w:hAnsi="Times New Roman"/>
                <w:sz w:val="19"/>
                <w:szCs w:val="19"/>
                <w:color w:val="231F20"/>
              </w:rPr>
              <w:t>838.9</w:t>
            </w:r>
          </w:p>
        </w:tc>
        <w:tc>
          <w:tcPr>
            <w:tcW w:w="180" w:type="dxa"/>
            <w:vAlign w:val="bottom"/>
            <w:shd w:val="clear" w:color="auto" w:fill="D0EBF2"/>
          </w:tcPr>
          <w:p>
            <w:pPr>
              <w:spacing w:after="0"/>
              <w:rPr>
                <w:sz w:val="19"/>
                <w:szCs w:val="19"/>
                <w:color w:val="auto"/>
              </w:rPr>
            </w:pPr>
          </w:p>
        </w:tc>
        <w:tc>
          <w:tcPr>
            <w:tcW w:w="100" w:type="dxa"/>
            <w:vAlign w:val="bottom"/>
            <w:shd w:val="clear" w:color="auto" w:fill="D0EBF2"/>
          </w:tcPr>
          <w:p>
            <w:pPr>
              <w:spacing w:after="0"/>
              <w:rPr>
                <w:sz w:val="19"/>
                <w:szCs w:val="19"/>
                <w:color w:val="auto"/>
              </w:rPr>
            </w:pPr>
          </w:p>
        </w:tc>
        <w:tc>
          <w:tcPr>
            <w:tcW w:w="100" w:type="dxa"/>
            <w:vAlign w:val="bottom"/>
            <w:shd w:val="clear" w:color="auto" w:fill="D0EBF2"/>
          </w:tcPr>
          <w:p>
            <w:pPr>
              <w:jc w:val="right"/>
              <w:spacing w:after="0"/>
              <w:rPr>
                <w:sz w:val="20"/>
                <w:szCs w:val="20"/>
                <w:color w:val="auto"/>
              </w:rPr>
            </w:pPr>
            <w:r>
              <w:rPr>
                <w:rFonts w:ascii="Times New Roman" w:cs="Times New Roman" w:eastAsia="Times New Roman" w:hAnsi="Times New Roman"/>
                <w:sz w:val="19"/>
                <w:szCs w:val="19"/>
                <w:color w:val="231F20"/>
                <w:w w:val="83"/>
              </w:rPr>
              <w:t>$</w:t>
            </w:r>
          </w:p>
        </w:tc>
        <w:tc>
          <w:tcPr>
            <w:tcW w:w="1040" w:type="dxa"/>
            <w:vAlign w:val="bottom"/>
            <w:shd w:val="clear" w:color="auto" w:fill="D0EBF2"/>
          </w:tcPr>
          <w:p>
            <w:pPr>
              <w:jc w:val="right"/>
              <w:spacing w:after="0"/>
              <w:rPr>
                <w:sz w:val="20"/>
                <w:szCs w:val="20"/>
                <w:color w:val="auto"/>
              </w:rPr>
            </w:pPr>
            <w:r>
              <w:rPr>
                <w:rFonts w:ascii="Times New Roman" w:cs="Times New Roman" w:eastAsia="Times New Roman" w:hAnsi="Times New Roman"/>
                <w:sz w:val="19"/>
                <w:szCs w:val="19"/>
                <w:color w:val="231F20"/>
              </w:rPr>
              <w:t>808.4</w:t>
            </w:r>
          </w:p>
        </w:tc>
        <w:tc>
          <w:tcPr>
            <w:tcW w:w="180" w:type="dxa"/>
            <w:vAlign w:val="bottom"/>
            <w:shd w:val="clear" w:color="auto" w:fill="D0EBF2"/>
          </w:tcPr>
          <w:p>
            <w:pPr>
              <w:spacing w:after="0"/>
              <w:rPr>
                <w:sz w:val="19"/>
                <w:szCs w:val="19"/>
                <w:color w:val="auto"/>
              </w:rPr>
            </w:pPr>
          </w:p>
        </w:tc>
        <w:tc>
          <w:tcPr>
            <w:tcW w:w="200" w:type="dxa"/>
            <w:vAlign w:val="bottom"/>
            <w:shd w:val="clear" w:color="auto" w:fill="D0EBF2"/>
          </w:tcPr>
          <w:p>
            <w:pPr>
              <w:jc w:val="right"/>
              <w:spacing w:after="0"/>
              <w:rPr>
                <w:sz w:val="20"/>
                <w:szCs w:val="20"/>
                <w:color w:val="auto"/>
              </w:rPr>
            </w:pPr>
            <w:r>
              <w:rPr>
                <w:rFonts w:ascii="Times New Roman" w:cs="Times New Roman" w:eastAsia="Times New Roman" w:hAnsi="Times New Roman"/>
                <w:sz w:val="19"/>
                <w:szCs w:val="19"/>
                <w:color w:val="231F20"/>
              </w:rPr>
              <w:t>$</w:t>
            </w:r>
          </w:p>
        </w:tc>
        <w:tc>
          <w:tcPr>
            <w:tcW w:w="1040" w:type="dxa"/>
            <w:vAlign w:val="bottom"/>
            <w:shd w:val="clear" w:color="auto" w:fill="D0EBF2"/>
          </w:tcPr>
          <w:p>
            <w:pPr>
              <w:jc w:val="right"/>
              <w:spacing w:after="0"/>
              <w:rPr>
                <w:sz w:val="20"/>
                <w:szCs w:val="20"/>
                <w:color w:val="auto"/>
              </w:rPr>
            </w:pPr>
            <w:r>
              <w:rPr>
                <w:rFonts w:ascii="Times New Roman" w:cs="Times New Roman" w:eastAsia="Times New Roman" w:hAnsi="Times New Roman"/>
                <w:sz w:val="19"/>
                <w:szCs w:val="19"/>
                <w:color w:val="231F20"/>
              </w:rPr>
              <w:t>864.0</w:t>
            </w:r>
          </w:p>
        </w:tc>
        <w:tc>
          <w:tcPr>
            <w:tcW w:w="180" w:type="dxa"/>
            <w:vAlign w:val="bottom"/>
            <w:shd w:val="clear" w:color="auto" w:fill="D0EBF2"/>
          </w:tcPr>
          <w:p>
            <w:pPr>
              <w:spacing w:after="0"/>
              <w:rPr>
                <w:sz w:val="19"/>
                <w:szCs w:val="19"/>
                <w:color w:val="auto"/>
              </w:rPr>
            </w:pPr>
          </w:p>
        </w:tc>
      </w:tr>
      <w:tr>
        <w:trPr>
          <w:trHeight w:val="230"/>
        </w:trPr>
        <w:tc>
          <w:tcPr>
            <w:tcW w:w="5080" w:type="dxa"/>
            <w:vAlign w:val="bottom"/>
            <w:shd w:val="clear" w:color="auto" w:fill="FDFDFC"/>
          </w:tcPr>
          <w:p>
            <w:pPr>
              <w:spacing w:after="0"/>
              <w:rPr>
                <w:sz w:val="20"/>
                <w:szCs w:val="20"/>
                <w:color w:val="auto"/>
              </w:rPr>
            </w:pPr>
            <w:r>
              <w:rPr>
                <w:rFonts w:ascii="Times New Roman" w:cs="Times New Roman" w:eastAsia="Times New Roman" w:hAnsi="Times New Roman"/>
                <w:sz w:val="19"/>
                <w:szCs w:val="19"/>
                <w:b w:val="1"/>
                <w:bCs w:val="1"/>
                <w:color w:val="231F20"/>
              </w:rPr>
              <w:t>Principal amount of investments sold or repaid:</w:t>
            </w:r>
          </w:p>
        </w:tc>
        <w:tc>
          <w:tcPr>
            <w:tcW w:w="100" w:type="dxa"/>
            <w:vAlign w:val="bottom"/>
            <w:shd w:val="clear" w:color="auto" w:fill="FDFDFC"/>
          </w:tcPr>
          <w:p>
            <w:pPr>
              <w:spacing w:after="0"/>
              <w:rPr>
                <w:sz w:val="20"/>
                <w:szCs w:val="20"/>
                <w:color w:val="auto"/>
              </w:rPr>
            </w:pPr>
          </w:p>
        </w:tc>
        <w:tc>
          <w:tcPr>
            <w:tcW w:w="200" w:type="dxa"/>
            <w:vAlign w:val="bottom"/>
            <w:shd w:val="clear" w:color="auto" w:fill="FDFDFC"/>
          </w:tcPr>
          <w:p>
            <w:pPr>
              <w:spacing w:after="0"/>
              <w:rPr>
                <w:sz w:val="20"/>
                <w:szCs w:val="20"/>
                <w:color w:val="auto"/>
              </w:rPr>
            </w:pPr>
          </w:p>
        </w:tc>
        <w:tc>
          <w:tcPr>
            <w:tcW w:w="780" w:type="dxa"/>
            <w:vAlign w:val="bottom"/>
            <w:shd w:val="clear" w:color="auto" w:fill="FDFDFC"/>
          </w:tcPr>
          <w:p>
            <w:pPr>
              <w:spacing w:after="0"/>
              <w:rPr>
                <w:sz w:val="20"/>
                <w:szCs w:val="20"/>
                <w:color w:val="auto"/>
              </w:rPr>
            </w:pPr>
          </w:p>
        </w:tc>
        <w:tc>
          <w:tcPr>
            <w:tcW w:w="180" w:type="dxa"/>
            <w:vAlign w:val="bottom"/>
            <w:shd w:val="clear" w:color="auto" w:fill="FDFDFC"/>
          </w:tcPr>
          <w:p>
            <w:pPr>
              <w:spacing w:after="0"/>
              <w:rPr>
                <w:sz w:val="20"/>
                <w:szCs w:val="20"/>
                <w:color w:val="auto"/>
              </w:rPr>
            </w:pPr>
          </w:p>
        </w:tc>
        <w:tc>
          <w:tcPr>
            <w:tcW w:w="100" w:type="dxa"/>
            <w:vAlign w:val="bottom"/>
            <w:shd w:val="clear" w:color="auto" w:fill="FDFDFC"/>
          </w:tcPr>
          <w:p>
            <w:pPr>
              <w:spacing w:after="0"/>
              <w:rPr>
                <w:sz w:val="20"/>
                <w:szCs w:val="20"/>
                <w:color w:val="auto"/>
              </w:rPr>
            </w:pPr>
          </w:p>
        </w:tc>
        <w:tc>
          <w:tcPr>
            <w:tcW w:w="100" w:type="dxa"/>
            <w:vAlign w:val="bottom"/>
            <w:shd w:val="clear" w:color="auto" w:fill="FDFDFC"/>
          </w:tcPr>
          <w:p>
            <w:pPr>
              <w:spacing w:after="0"/>
              <w:rPr>
                <w:sz w:val="20"/>
                <w:szCs w:val="20"/>
                <w:color w:val="auto"/>
              </w:rPr>
            </w:pPr>
          </w:p>
        </w:tc>
        <w:tc>
          <w:tcPr>
            <w:tcW w:w="1040" w:type="dxa"/>
            <w:vAlign w:val="bottom"/>
            <w:shd w:val="clear" w:color="auto" w:fill="FDFDFC"/>
          </w:tcPr>
          <w:p>
            <w:pPr>
              <w:spacing w:after="0"/>
              <w:rPr>
                <w:sz w:val="20"/>
                <w:szCs w:val="20"/>
                <w:color w:val="auto"/>
              </w:rPr>
            </w:pPr>
          </w:p>
        </w:tc>
        <w:tc>
          <w:tcPr>
            <w:tcW w:w="180" w:type="dxa"/>
            <w:vAlign w:val="bottom"/>
            <w:shd w:val="clear" w:color="auto" w:fill="FDFDFC"/>
          </w:tcPr>
          <w:p>
            <w:pPr>
              <w:spacing w:after="0"/>
              <w:rPr>
                <w:sz w:val="20"/>
                <w:szCs w:val="20"/>
                <w:color w:val="auto"/>
              </w:rPr>
            </w:pPr>
          </w:p>
        </w:tc>
        <w:tc>
          <w:tcPr>
            <w:tcW w:w="200" w:type="dxa"/>
            <w:vAlign w:val="bottom"/>
            <w:shd w:val="clear" w:color="auto" w:fill="FDFDFC"/>
          </w:tcPr>
          <w:p>
            <w:pPr>
              <w:spacing w:after="0"/>
              <w:rPr>
                <w:sz w:val="20"/>
                <w:szCs w:val="20"/>
                <w:color w:val="auto"/>
              </w:rPr>
            </w:pPr>
          </w:p>
        </w:tc>
        <w:tc>
          <w:tcPr>
            <w:tcW w:w="1040" w:type="dxa"/>
            <w:vAlign w:val="bottom"/>
            <w:shd w:val="clear" w:color="auto" w:fill="FDFDFC"/>
          </w:tcPr>
          <w:p>
            <w:pPr>
              <w:spacing w:after="0"/>
              <w:rPr>
                <w:sz w:val="20"/>
                <w:szCs w:val="20"/>
                <w:color w:val="auto"/>
              </w:rPr>
            </w:pPr>
          </w:p>
        </w:tc>
        <w:tc>
          <w:tcPr>
            <w:tcW w:w="180" w:type="dxa"/>
            <w:vAlign w:val="bottom"/>
            <w:shd w:val="clear" w:color="auto" w:fill="FDFDFC"/>
          </w:tcPr>
          <w:p>
            <w:pPr>
              <w:spacing w:after="0"/>
              <w:rPr>
                <w:sz w:val="20"/>
                <w:szCs w:val="20"/>
                <w:color w:val="auto"/>
              </w:rPr>
            </w:pPr>
          </w:p>
        </w:tc>
      </w:tr>
      <w:tr>
        <w:trPr>
          <w:trHeight w:val="230"/>
        </w:trPr>
        <w:tc>
          <w:tcPr>
            <w:tcW w:w="5080" w:type="dxa"/>
            <w:vAlign w:val="bottom"/>
            <w:shd w:val="clear" w:color="auto" w:fill="D0EBF2"/>
          </w:tcPr>
          <w:p>
            <w:pPr>
              <w:ind w:left="180"/>
              <w:spacing w:after="0"/>
              <w:rPr>
                <w:sz w:val="20"/>
                <w:szCs w:val="20"/>
                <w:color w:val="auto"/>
              </w:rPr>
            </w:pPr>
            <w:r>
              <w:rPr>
                <w:rFonts w:ascii="Times New Roman" w:cs="Times New Roman" w:eastAsia="Times New Roman" w:hAnsi="Times New Roman"/>
                <w:sz w:val="19"/>
                <w:szCs w:val="19"/>
                <w:color w:val="231F20"/>
              </w:rPr>
              <w:t>First-lien</w:t>
            </w:r>
          </w:p>
        </w:tc>
        <w:tc>
          <w:tcPr>
            <w:tcW w:w="300" w:type="dxa"/>
            <w:vAlign w:val="bottom"/>
            <w:gridSpan w:val="2"/>
            <w:shd w:val="clear" w:color="auto" w:fill="D0EBF2"/>
          </w:tcPr>
          <w:p>
            <w:pPr>
              <w:jc w:val="right"/>
              <w:ind w:right="9"/>
              <w:spacing w:after="0"/>
              <w:rPr>
                <w:sz w:val="20"/>
                <w:szCs w:val="20"/>
                <w:color w:val="auto"/>
              </w:rPr>
            </w:pPr>
            <w:r>
              <w:rPr>
                <w:rFonts w:ascii="Times New Roman" w:cs="Times New Roman" w:eastAsia="Times New Roman" w:hAnsi="Times New Roman"/>
                <w:sz w:val="19"/>
                <w:szCs w:val="19"/>
                <w:color w:val="231F20"/>
              </w:rPr>
              <w:t>$</w:t>
            </w:r>
          </w:p>
        </w:tc>
        <w:tc>
          <w:tcPr>
            <w:tcW w:w="780" w:type="dxa"/>
            <w:vAlign w:val="bottom"/>
            <w:shd w:val="clear" w:color="auto" w:fill="D0EBF2"/>
          </w:tcPr>
          <w:p>
            <w:pPr>
              <w:jc w:val="right"/>
              <w:spacing w:after="0"/>
              <w:rPr>
                <w:sz w:val="20"/>
                <w:szCs w:val="20"/>
                <w:color w:val="auto"/>
              </w:rPr>
            </w:pPr>
            <w:r>
              <w:rPr>
                <w:rFonts w:ascii="Times New Roman" w:cs="Times New Roman" w:eastAsia="Times New Roman" w:hAnsi="Times New Roman"/>
                <w:sz w:val="19"/>
                <w:szCs w:val="19"/>
                <w:color w:val="231F20"/>
              </w:rPr>
              <w:t>717.3</w:t>
            </w:r>
          </w:p>
        </w:tc>
        <w:tc>
          <w:tcPr>
            <w:tcW w:w="180" w:type="dxa"/>
            <w:vAlign w:val="bottom"/>
            <w:shd w:val="clear" w:color="auto" w:fill="D0EBF2"/>
          </w:tcPr>
          <w:p>
            <w:pPr>
              <w:spacing w:after="0"/>
              <w:rPr>
                <w:sz w:val="20"/>
                <w:szCs w:val="20"/>
                <w:color w:val="auto"/>
              </w:rPr>
            </w:pPr>
          </w:p>
        </w:tc>
        <w:tc>
          <w:tcPr>
            <w:tcW w:w="200" w:type="dxa"/>
            <w:vAlign w:val="bottom"/>
            <w:gridSpan w:val="2"/>
            <w:shd w:val="clear" w:color="auto" w:fill="D0EBF2"/>
          </w:tcPr>
          <w:p>
            <w:pPr>
              <w:jc w:val="right"/>
              <w:spacing w:after="0"/>
              <w:rPr>
                <w:sz w:val="20"/>
                <w:szCs w:val="20"/>
                <w:color w:val="auto"/>
              </w:rPr>
            </w:pPr>
            <w:r>
              <w:rPr>
                <w:rFonts w:ascii="Times New Roman" w:cs="Times New Roman" w:eastAsia="Times New Roman" w:hAnsi="Times New Roman"/>
                <w:sz w:val="19"/>
                <w:szCs w:val="19"/>
                <w:color w:val="231F20"/>
              </w:rPr>
              <w:t>$</w:t>
            </w:r>
          </w:p>
        </w:tc>
        <w:tc>
          <w:tcPr>
            <w:tcW w:w="1040" w:type="dxa"/>
            <w:vAlign w:val="bottom"/>
            <w:shd w:val="clear" w:color="auto" w:fill="D0EBF2"/>
          </w:tcPr>
          <w:p>
            <w:pPr>
              <w:jc w:val="right"/>
              <w:spacing w:after="0"/>
              <w:rPr>
                <w:sz w:val="20"/>
                <w:szCs w:val="20"/>
                <w:color w:val="auto"/>
              </w:rPr>
            </w:pPr>
            <w:r>
              <w:rPr>
                <w:rFonts w:ascii="Times New Roman" w:cs="Times New Roman" w:eastAsia="Times New Roman" w:hAnsi="Times New Roman"/>
                <w:sz w:val="19"/>
                <w:szCs w:val="19"/>
                <w:color w:val="231F20"/>
              </w:rPr>
              <w:t>460.3</w:t>
            </w:r>
          </w:p>
        </w:tc>
        <w:tc>
          <w:tcPr>
            <w:tcW w:w="180" w:type="dxa"/>
            <w:vAlign w:val="bottom"/>
            <w:shd w:val="clear" w:color="auto" w:fill="D0EBF2"/>
          </w:tcPr>
          <w:p>
            <w:pPr>
              <w:spacing w:after="0"/>
              <w:rPr>
                <w:sz w:val="20"/>
                <w:szCs w:val="20"/>
                <w:color w:val="auto"/>
              </w:rPr>
            </w:pPr>
          </w:p>
        </w:tc>
        <w:tc>
          <w:tcPr>
            <w:tcW w:w="200" w:type="dxa"/>
            <w:vAlign w:val="bottom"/>
            <w:shd w:val="clear" w:color="auto" w:fill="D0EBF2"/>
          </w:tcPr>
          <w:p>
            <w:pPr>
              <w:jc w:val="right"/>
              <w:spacing w:after="0"/>
              <w:rPr>
                <w:sz w:val="20"/>
                <w:szCs w:val="20"/>
                <w:color w:val="auto"/>
              </w:rPr>
            </w:pPr>
            <w:r>
              <w:rPr>
                <w:rFonts w:ascii="Times New Roman" w:cs="Times New Roman" w:eastAsia="Times New Roman" w:hAnsi="Times New Roman"/>
                <w:sz w:val="19"/>
                <w:szCs w:val="19"/>
                <w:color w:val="231F20"/>
              </w:rPr>
              <w:t>$</w:t>
            </w:r>
          </w:p>
        </w:tc>
        <w:tc>
          <w:tcPr>
            <w:tcW w:w="1040" w:type="dxa"/>
            <w:vAlign w:val="bottom"/>
            <w:shd w:val="clear" w:color="auto" w:fill="D0EBF2"/>
          </w:tcPr>
          <w:p>
            <w:pPr>
              <w:jc w:val="right"/>
              <w:spacing w:after="0"/>
              <w:rPr>
                <w:sz w:val="20"/>
                <w:szCs w:val="20"/>
                <w:color w:val="auto"/>
              </w:rPr>
            </w:pPr>
            <w:r>
              <w:rPr>
                <w:rFonts w:ascii="Times New Roman" w:cs="Times New Roman" w:eastAsia="Times New Roman" w:hAnsi="Times New Roman"/>
                <w:sz w:val="19"/>
                <w:szCs w:val="19"/>
                <w:color w:val="231F20"/>
              </w:rPr>
              <w:t>645.4</w:t>
            </w:r>
          </w:p>
        </w:tc>
        <w:tc>
          <w:tcPr>
            <w:tcW w:w="180" w:type="dxa"/>
            <w:vAlign w:val="bottom"/>
            <w:shd w:val="clear" w:color="auto" w:fill="D0EBF2"/>
          </w:tcPr>
          <w:p>
            <w:pPr>
              <w:spacing w:after="0"/>
              <w:rPr>
                <w:sz w:val="20"/>
                <w:szCs w:val="20"/>
                <w:color w:val="auto"/>
              </w:rPr>
            </w:pPr>
          </w:p>
        </w:tc>
      </w:tr>
      <w:tr>
        <w:trPr>
          <w:trHeight w:val="230"/>
        </w:trPr>
        <w:tc>
          <w:tcPr>
            <w:tcW w:w="5080" w:type="dxa"/>
            <w:vAlign w:val="bottom"/>
            <w:shd w:val="clear" w:color="auto" w:fill="FDFDFC"/>
          </w:tcPr>
          <w:p>
            <w:pPr>
              <w:ind w:left="180"/>
              <w:spacing w:after="0"/>
              <w:rPr>
                <w:sz w:val="20"/>
                <w:szCs w:val="20"/>
                <w:color w:val="auto"/>
              </w:rPr>
            </w:pPr>
            <w:r>
              <w:rPr>
                <w:rFonts w:ascii="Times New Roman" w:cs="Times New Roman" w:eastAsia="Times New Roman" w:hAnsi="Times New Roman"/>
                <w:sz w:val="19"/>
                <w:szCs w:val="19"/>
                <w:color w:val="231F20"/>
              </w:rPr>
              <w:t>Second-lien</w:t>
            </w:r>
          </w:p>
        </w:tc>
        <w:tc>
          <w:tcPr>
            <w:tcW w:w="100" w:type="dxa"/>
            <w:vAlign w:val="bottom"/>
            <w:shd w:val="clear" w:color="auto" w:fill="FDFDFC"/>
          </w:tcPr>
          <w:p>
            <w:pPr>
              <w:spacing w:after="0"/>
              <w:rPr>
                <w:sz w:val="20"/>
                <w:szCs w:val="20"/>
                <w:color w:val="auto"/>
              </w:rPr>
            </w:pPr>
          </w:p>
        </w:tc>
        <w:tc>
          <w:tcPr>
            <w:tcW w:w="200" w:type="dxa"/>
            <w:vAlign w:val="bottom"/>
            <w:shd w:val="clear" w:color="auto" w:fill="FDFDFC"/>
          </w:tcPr>
          <w:p>
            <w:pPr>
              <w:spacing w:after="0"/>
              <w:rPr>
                <w:sz w:val="20"/>
                <w:szCs w:val="20"/>
                <w:color w:val="auto"/>
              </w:rPr>
            </w:pPr>
          </w:p>
        </w:tc>
        <w:tc>
          <w:tcPr>
            <w:tcW w:w="960" w:type="dxa"/>
            <w:vAlign w:val="bottom"/>
            <w:gridSpan w:val="2"/>
            <w:shd w:val="clear" w:color="auto" w:fill="FDFDFC"/>
          </w:tcPr>
          <w:p>
            <w:pPr>
              <w:jc w:val="right"/>
              <w:ind w:right="200"/>
              <w:spacing w:after="0"/>
              <w:rPr>
                <w:sz w:val="20"/>
                <w:szCs w:val="20"/>
                <w:color w:val="auto"/>
              </w:rPr>
            </w:pPr>
            <w:r>
              <w:rPr>
                <w:rFonts w:ascii="Times New Roman" w:cs="Times New Roman" w:eastAsia="Times New Roman" w:hAnsi="Times New Roman"/>
                <w:sz w:val="19"/>
                <w:szCs w:val="19"/>
                <w:color w:val="231F20"/>
              </w:rPr>
              <w:t>—</w:t>
            </w:r>
          </w:p>
        </w:tc>
        <w:tc>
          <w:tcPr>
            <w:tcW w:w="100" w:type="dxa"/>
            <w:vAlign w:val="bottom"/>
            <w:shd w:val="clear" w:color="auto" w:fill="FDFDFC"/>
          </w:tcPr>
          <w:p>
            <w:pPr>
              <w:spacing w:after="0"/>
              <w:rPr>
                <w:sz w:val="20"/>
                <w:szCs w:val="20"/>
                <w:color w:val="auto"/>
              </w:rPr>
            </w:pPr>
          </w:p>
        </w:tc>
        <w:tc>
          <w:tcPr>
            <w:tcW w:w="100" w:type="dxa"/>
            <w:vAlign w:val="bottom"/>
            <w:shd w:val="clear" w:color="auto" w:fill="FDFDFC"/>
          </w:tcPr>
          <w:p>
            <w:pPr>
              <w:spacing w:after="0"/>
              <w:rPr>
                <w:sz w:val="20"/>
                <w:szCs w:val="20"/>
                <w:color w:val="auto"/>
              </w:rPr>
            </w:pPr>
          </w:p>
        </w:tc>
        <w:tc>
          <w:tcPr>
            <w:tcW w:w="1220" w:type="dxa"/>
            <w:vAlign w:val="bottom"/>
            <w:gridSpan w:val="2"/>
            <w:shd w:val="clear" w:color="auto" w:fill="FDFDFC"/>
          </w:tcPr>
          <w:p>
            <w:pPr>
              <w:jc w:val="right"/>
              <w:ind w:right="200"/>
              <w:spacing w:after="0"/>
              <w:rPr>
                <w:sz w:val="20"/>
                <w:szCs w:val="20"/>
                <w:color w:val="auto"/>
              </w:rPr>
            </w:pPr>
            <w:r>
              <w:rPr>
                <w:rFonts w:ascii="Times New Roman" w:cs="Times New Roman" w:eastAsia="Times New Roman" w:hAnsi="Times New Roman"/>
                <w:sz w:val="19"/>
                <w:szCs w:val="19"/>
                <w:color w:val="231F20"/>
              </w:rPr>
              <w:t>—</w:t>
            </w:r>
          </w:p>
        </w:tc>
        <w:tc>
          <w:tcPr>
            <w:tcW w:w="200" w:type="dxa"/>
            <w:vAlign w:val="bottom"/>
            <w:shd w:val="clear" w:color="auto" w:fill="FDFDFC"/>
          </w:tcPr>
          <w:p>
            <w:pPr>
              <w:spacing w:after="0"/>
              <w:rPr>
                <w:sz w:val="20"/>
                <w:szCs w:val="20"/>
                <w:color w:val="auto"/>
              </w:rPr>
            </w:pPr>
          </w:p>
        </w:tc>
        <w:tc>
          <w:tcPr>
            <w:tcW w:w="1220" w:type="dxa"/>
            <w:vAlign w:val="bottom"/>
            <w:gridSpan w:val="2"/>
            <w:shd w:val="clear" w:color="auto" w:fill="FDFDFC"/>
          </w:tcPr>
          <w:p>
            <w:pPr>
              <w:jc w:val="right"/>
              <w:ind w:right="200"/>
              <w:spacing w:after="0"/>
              <w:rPr>
                <w:sz w:val="20"/>
                <w:szCs w:val="20"/>
                <w:color w:val="auto"/>
              </w:rPr>
            </w:pPr>
            <w:r>
              <w:rPr>
                <w:rFonts w:ascii="Times New Roman" w:cs="Times New Roman" w:eastAsia="Times New Roman" w:hAnsi="Times New Roman"/>
                <w:sz w:val="19"/>
                <w:szCs w:val="19"/>
                <w:color w:val="231F20"/>
              </w:rPr>
              <w:t>—</w:t>
            </w:r>
          </w:p>
        </w:tc>
      </w:tr>
      <w:tr>
        <w:trPr>
          <w:trHeight w:val="230"/>
        </w:trPr>
        <w:tc>
          <w:tcPr>
            <w:tcW w:w="5080" w:type="dxa"/>
            <w:vAlign w:val="bottom"/>
            <w:shd w:val="clear" w:color="auto" w:fill="D0EBF2"/>
          </w:tcPr>
          <w:p>
            <w:pPr>
              <w:ind w:left="180"/>
              <w:spacing w:after="0"/>
              <w:rPr>
                <w:sz w:val="20"/>
                <w:szCs w:val="20"/>
                <w:color w:val="auto"/>
              </w:rPr>
            </w:pPr>
            <w:r>
              <w:rPr>
                <w:rFonts w:ascii="Times New Roman" w:cs="Times New Roman" w:eastAsia="Times New Roman" w:hAnsi="Times New Roman"/>
                <w:sz w:val="19"/>
                <w:szCs w:val="19"/>
                <w:color w:val="231F20"/>
              </w:rPr>
              <w:t>Mezzanine</w:t>
            </w:r>
          </w:p>
        </w:tc>
        <w:tc>
          <w:tcPr>
            <w:tcW w:w="100" w:type="dxa"/>
            <w:vAlign w:val="bottom"/>
            <w:shd w:val="clear" w:color="auto" w:fill="D0EBF2"/>
          </w:tcPr>
          <w:p>
            <w:pPr>
              <w:spacing w:after="0"/>
              <w:rPr>
                <w:sz w:val="20"/>
                <w:szCs w:val="20"/>
                <w:color w:val="auto"/>
              </w:rPr>
            </w:pPr>
          </w:p>
        </w:tc>
        <w:tc>
          <w:tcPr>
            <w:tcW w:w="200" w:type="dxa"/>
            <w:vAlign w:val="bottom"/>
            <w:shd w:val="clear" w:color="auto" w:fill="D0EBF2"/>
          </w:tcPr>
          <w:p>
            <w:pPr>
              <w:spacing w:after="0"/>
              <w:rPr>
                <w:sz w:val="20"/>
                <w:szCs w:val="20"/>
                <w:color w:val="auto"/>
              </w:rPr>
            </w:pPr>
          </w:p>
        </w:tc>
        <w:tc>
          <w:tcPr>
            <w:tcW w:w="780" w:type="dxa"/>
            <w:vAlign w:val="bottom"/>
            <w:shd w:val="clear" w:color="auto" w:fill="D0EBF2"/>
          </w:tcPr>
          <w:p>
            <w:pPr>
              <w:jc w:val="right"/>
              <w:spacing w:after="0"/>
              <w:rPr>
                <w:sz w:val="20"/>
                <w:szCs w:val="20"/>
                <w:color w:val="auto"/>
              </w:rPr>
            </w:pPr>
            <w:r>
              <w:rPr>
                <w:rFonts w:ascii="Times New Roman" w:cs="Times New Roman" w:eastAsia="Times New Roman" w:hAnsi="Times New Roman"/>
                <w:sz w:val="19"/>
                <w:szCs w:val="19"/>
                <w:color w:val="231F20"/>
              </w:rPr>
              <w:t>4.9</w:t>
            </w:r>
          </w:p>
        </w:tc>
        <w:tc>
          <w:tcPr>
            <w:tcW w:w="180" w:type="dxa"/>
            <w:vAlign w:val="bottom"/>
            <w:shd w:val="clear" w:color="auto" w:fill="D0EBF2"/>
          </w:tcPr>
          <w:p>
            <w:pPr>
              <w:spacing w:after="0"/>
              <w:rPr>
                <w:sz w:val="20"/>
                <w:szCs w:val="20"/>
                <w:color w:val="auto"/>
              </w:rPr>
            </w:pPr>
          </w:p>
        </w:tc>
        <w:tc>
          <w:tcPr>
            <w:tcW w:w="100" w:type="dxa"/>
            <w:vAlign w:val="bottom"/>
            <w:shd w:val="clear" w:color="auto" w:fill="D0EBF2"/>
          </w:tcPr>
          <w:p>
            <w:pPr>
              <w:spacing w:after="0"/>
              <w:rPr>
                <w:sz w:val="20"/>
                <w:szCs w:val="20"/>
                <w:color w:val="auto"/>
              </w:rPr>
            </w:pPr>
          </w:p>
        </w:tc>
        <w:tc>
          <w:tcPr>
            <w:tcW w:w="100" w:type="dxa"/>
            <w:vAlign w:val="bottom"/>
            <w:shd w:val="clear" w:color="auto" w:fill="D0EBF2"/>
          </w:tcPr>
          <w:p>
            <w:pPr>
              <w:spacing w:after="0"/>
              <w:rPr>
                <w:sz w:val="20"/>
                <w:szCs w:val="20"/>
                <w:color w:val="auto"/>
              </w:rPr>
            </w:pPr>
          </w:p>
        </w:tc>
        <w:tc>
          <w:tcPr>
            <w:tcW w:w="1220" w:type="dxa"/>
            <w:vAlign w:val="bottom"/>
            <w:gridSpan w:val="2"/>
            <w:shd w:val="clear" w:color="auto" w:fill="D0EBF2"/>
          </w:tcPr>
          <w:p>
            <w:pPr>
              <w:jc w:val="right"/>
              <w:ind w:right="200"/>
              <w:spacing w:after="0"/>
              <w:rPr>
                <w:sz w:val="20"/>
                <w:szCs w:val="20"/>
                <w:color w:val="auto"/>
              </w:rPr>
            </w:pPr>
            <w:r>
              <w:rPr>
                <w:rFonts w:ascii="Times New Roman" w:cs="Times New Roman" w:eastAsia="Times New Roman" w:hAnsi="Times New Roman"/>
                <w:sz w:val="19"/>
                <w:szCs w:val="19"/>
                <w:color w:val="231F20"/>
              </w:rPr>
              <w:t>—</w:t>
            </w:r>
          </w:p>
        </w:tc>
        <w:tc>
          <w:tcPr>
            <w:tcW w:w="200" w:type="dxa"/>
            <w:vAlign w:val="bottom"/>
            <w:shd w:val="clear" w:color="auto" w:fill="D0EBF2"/>
          </w:tcPr>
          <w:p>
            <w:pPr>
              <w:spacing w:after="0"/>
              <w:rPr>
                <w:sz w:val="20"/>
                <w:szCs w:val="20"/>
                <w:color w:val="auto"/>
              </w:rPr>
            </w:pPr>
          </w:p>
        </w:tc>
        <w:tc>
          <w:tcPr>
            <w:tcW w:w="1220" w:type="dxa"/>
            <w:vAlign w:val="bottom"/>
            <w:gridSpan w:val="2"/>
            <w:shd w:val="clear" w:color="auto" w:fill="D0EBF2"/>
          </w:tcPr>
          <w:p>
            <w:pPr>
              <w:jc w:val="right"/>
              <w:ind w:right="200"/>
              <w:spacing w:after="0"/>
              <w:rPr>
                <w:sz w:val="20"/>
                <w:szCs w:val="20"/>
                <w:color w:val="auto"/>
              </w:rPr>
            </w:pPr>
            <w:r>
              <w:rPr>
                <w:rFonts w:ascii="Times New Roman" w:cs="Times New Roman" w:eastAsia="Times New Roman" w:hAnsi="Times New Roman"/>
                <w:sz w:val="19"/>
                <w:szCs w:val="19"/>
                <w:color w:val="231F20"/>
              </w:rPr>
              <w:t>—</w:t>
            </w:r>
          </w:p>
        </w:tc>
      </w:tr>
      <w:tr>
        <w:trPr>
          <w:trHeight w:val="230"/>
        </w:trPr>
        <w:tc>
          <w:tcPr>
            <w:tcW w:w="5080" w:type="dxa"/>
            <w:vAlign w:val="bottom"/>
            <w:shd w:val="clear" w:color="auto" w:fill="FDFDFC"/>
          </w:tcPr>
          <w:p>
            <w:pPr>
              <w:ind w:left="180"/>
              <w:spacing w:after="0"/>
              <w:rPr>
                <w:sz w:val="20"/>
                <w:szCs w:val="20"/>
                <w:color w:val="auto"/>
              </w:rPr>
            </w:pPr>
            <w:r>
              <w:rPr>
                <w:rFonts w:ascii="Times New Roman" w:cs="Times New Roman" w:eastAsia="Times New Roman" w:hAnsi="Times New Roman"/>
                <w:sz w:val="19"/>
                <w:szCs w:val="19"/>
                <w:color w:val="231F20"/>
              </w:rPr>
              <w:t>Equity and other</w:t>
            </w:r>
          </w:p>
        </w:tc>
        <w:tc>
          <w:tcPr>
            <w:tcW w:w="100" w:type="dxa"/>
            <w:vAlign w:val="bottom"/>
            <w:shd w:val="clear" w:color="auto" w:fill="FDFDFC"/>
          </w:tcPr>
          <w:p>
            <w:pPr>
              <w:spacing w:after="0"/>
              <w:rPr>
                <w:sz w:val="20"/>
                <w:szCs w:val="20"/>
                <w:color w:val="auto"/>
              </w:rPr>
            </w:pPr>
          </w:p>
        </w:tc>
        <w:tc>
          <w:tcPr>
            <w:tcW w:w="200" w:type="dxa"/>
            <w:vAlign w:val="bottom"/>
            <w:shd w:val="clear" w:color="auto" w:fill="FDFDFC"/>
          </w:tcPr>
          <w:p>
            <w:pPr>
              <w:spacing w:after="0"/>
              <w:rPr>
                <w:sz w:val="20"/>
                <w:szCs w:val="20"/>
                <w:color w:val="auto"/>
              </w:rPr>
            </w:pPr>
          </w:p>
        </w:tc>
        <w:tc>
          <w:tcPr>
            <w:tcW w:w="780" w:type="dxa"/>
            <w:vAlign w:val="bottom"/>
            <w:shd w:val="clear" w:color="auto" w:fill="FDFDFC"/>
          </w:tcPr>
          <w:p>
            <w:pPr>
              <w:jc w:val="right"/>
              <w:spacing w:after="0"/>
              <w:rPr>
                <w:sz w:val="20"/>
                <w:szCs w:val="20"/>
                <w:color w:val="auto"/>
              </w:rPr>
            </w:pPr>
            <w:r>
              <w:rPr>
                <w:rFonts w:ascii="Times New Roman" w:cs="Times New Roman" w:eastAsia="Times New Roman" w:hAnsi="Times New Roman"/>
                <w:sz w:val="19"/>
                <w:szCs w:val="19"/>
                <w:color w:val="231F20"/>
              </w:rPr>
              <w:t>13.6</w:t>
            </w:r>
          </w:p>
        </w:tc>
        <w:tc>
          <w:tcPr>
            <w:tcW w:w="180" w:type="dxa"/>
            <w:vAlign w:val="bottom"/>
            <w:shd w:val="clear" w:color="auto" w:fill="FDFDFC"/>
          </w:tcPr>
          <w:p>
            <w:pPr>
              <w:spacing w:after="0"/>
              <w:rPr>
                <w:sz w:val="20"/>
                <w:szCs w:val="20"/>
                <w:color w:val="auto"/>
              </w:rPr>
            </w:pPr>
          </w:p>
        </w:tc>
        <w:tc>
          <w:tcPr>
            <w:tcW w:w="100" w:type="dxa"/>
            <w:vAlign w:val="bottom"/>
            <w:shd w:val="clear" w:color="auto" w:fill="FDFDFC"/>
          </w:tcPr>
          <w:p>
            <w:pPr>
              <w:spacing w:after="0"/>
              <w:rPr>
                <w:sz w:val="20"/>
                <w:szCs w:val="20"/>
                <w:color w:val="auto"/>
              </w:rPr>
            </w:pPr>
          </w:p>
        </w:tc>
        <w:tc>
          <w:tcPr>
            <w:tcW w:w="100" w:type="dxa"/>
            <w:vAlign w:val="bottom"/>
            <w:shd w:val="clear" w:color="auto" w:fill="FDFDFC"/>
          </w:tcPr>
          <w:p>
            <w:pPr>
              <w:spacing w:after="0"/>
              <w:rPr>
                <w:sz w:val="20"/>
                <w:szCs w:val="20"/>
                <w:color w:val="auto"/>
              </w:rPr>
            </w:pPr>
          </w:p>
        </w:tc>
        <w:tc>
          <w:tcPr>
            <w:tcW w:w="1040" w:type="dxa"/>
            <w:vAlign w:val="bottom"/>
            <w:shd w:val="clear" w:color="auto" w:fill="FDFDFC"/>
          </w:tcPr>
          <w:p>
            <w:pPr>
              <w:jc w:val="right"/>
              <w:spacing w:after="0"/>
              <w:rPr>
                <w:sz w:val="20"/>
                <w:szCs w:val="20"/>
                <w:color w:val="auto"/>
              </w:rPr>
            </w:pPr>
            <w:r>
              <w:rPr>
                <w:rFonts w:ascii="Times New Roman" w:cs="Times New Roman" w:eastAsia="Times New Roman" w:hAnsi="Times New Roman"/>
                <w:sz w:val="19"/>
                <w:szCs w:val="19"/>
                <w:color w:val="231F20"/>
              </w:rPr>
              <w:t>6.0</w:t>
            </w:r>
          </w:p>
        </w:tc>
        <w:tc>
          <w:tcPr>
            <w:tcW w:w="180" w:type="dxa"/>
            <w:vAlign w:val="bottom"/>
            <w:shd w:val="clear" w:color="auto" w:fill="FDFDFC"/>
          </w:tcPr>
          <w:p>
            <w:pPr>
              <w:spacing w:after="0"/>
              <w:rPr>
                <w:sz w:val="20"/>
                <w:szCs w:val="20"/>
                <w:color w:val="auto"/>
              </w:rPr>
            </w:pPr>
          </w:p>
        </w:tc>
        <w:tc>
          <w:tcPr>
            <w:tcW w:w="200" w:type="dxa"/>
            <w:vAlign w:val="bottom"/>
            <w:shd w:val="clear" w:color="auto" w:fill="FDFDFC"/>
          </w:tcPr>
          <w:p>
            <w:pPr>
              <w:spacing w:after="0"/>
              <w:rPr>
                <w:sz w:val="20"/>
                <w:szCs w:val="20"/>
                <w:color w:val="auto"/>
              </w:rPr>
            </w:pPr>
          </w:p>
        </w:tc>
        <w:tc>
          <w:tcPr>
            <w:tcW w:w="1040" w:type="dxa"/>
            <w:vAlign w:val="bottom"/>
            <w:shd w:val="clear" w:color="auto" w:fill="FDFDFC"/>
          </w:tcPr>
          <w:p>
            <w:pPr>
              <w:jc w:val="right"/>
              <w:spacing w:after="0"/>
              <w:rPr>
                <w:sz w:val="20"/>
                <w:szCs w:val="20"/>
                <w:color w:val="auto"/>
              </w:rPr>
            </w:pPr>
            <w:r>
              <w:rPr>
                <w:rFonts w:ascii="Times New Roman" w:cs="Times New Roman" w:eastAsia="Times New Roman" w:hAnsi="Times New Roman"/>
                <w:sz w:val="19"/>
                <w:szCs w:val="19"/>
                <w:color w:val="231F20"/>
              </w:rPr>
              <w:t>4.3</w:t>
            </w:r>
          </w:p>
        </w:tc>
        <w:tc>
          <w:tcPr>
            <w:tcW w:w="180" w:type="dxa"/>
            <w:vAlign w:val="bottom"/>
            <w:shd w:val="clear" w:color="auto" w:fill="FDFDFC"/>
          </w:tcPr>
          <w:p>
            <w:pPr>
              <w:spacing w:after="0"/>
              <w:rPr>
                <w:sz w:val="20"/>
                <w:szCs w:val="20"/>
                <w:color w:val="auto"/>
              </w:rPr>
            </w:pPr>
          </w:p>
        </w:tc>
      </w:tr>
      <w:tr>
        <w:trPr>
          <w:trHeight w:val="230"/>
        </w:trPr>
        <w:tc>
          <w:tcPr>
            <w:tcW w:w="5080" w:type="dxa"/>
            <w:vAlign w:val="bottom"/>
            <w:tcBorders>
              <w:bottom w:val="single" w:sz="8" w:color="FDFDFC"/>
            </w:tcBorders>
            <w:shd w:val="clear" w:color="auto" w:fill="D0EBF2"/>
          </w:tcPr>
          <w:p>
            <w:pPr>
              <w:ind w:left="180"/>
              <w:spacing w:after="0"/>
              <w:rPr>
                <w:sz w:val="20"/>
                <w:szCs w:val="20"/>
                <w:color w:val="auto"/>
              </w:rPr>
            </w:pPr>
            <w:r>
              <w:rPr>
                <w:rFonts w:ascii="Times New Roman" w:cs="Times New Roman" w:eastAsia="Times New Roman" w:hAnsi="Times New Roman"/>
                <w:sz w:val="19"/>
                <w:szCs w:val="19"/>
                <w:color w:val="231F20"/>
              </w:rPr>
              <w:t>Structured Credit</w:t>
            </w:r>
          </w:p>
        </w:tc>
        <w:tc>
          <w:tcPr>
            <w:tcW w:w="100" w:type="dxa"/>
            <w:vAlign w:val="bottom"/>
            <w:tcBorders>
              <w:bottom w:val="single" w:sz="8" w:color="FDFDFC"/>
            </w:tcBorders>
            <w:shd w:val="clear" w:color="auto" w:fill="D0EBF2"/>
          </w:tcPr>
          <w:p>
            <w:pPr>
              <w:spacing w:after="0"/>
              <w:rPr>
                <w:sz w:val="20"/>
                <w:szCs w:val="20"/>
                <w:color w:val="auto"/>
              </w:rPr>
            </w:pPr>
          </w:p>
        </w:tc>
        <w:tc>
          <w:tcPr>
            <w:tcW w:w="200" w:type="dxa"/>
            <w:vAlign w:val="bottom"/>
            <w:tcBorders>
              <w:bottom w:val="single" w:sz="8" w:color="231F20"/>
            </w:tcBorders>
            <w:shd w:val="clear" w:color="auto" w:fill="D0EBF2"/>
          </w:tcPr>
          <w:p>
            <w:pPr>
              <w:spacing w:after="0"/>
              <w:rPr>
                <w:sz w:val="20"/>
                <w:szCs w:val="20"/>
                <w:color w:val="auto"/>
              </w:rPr>
            </w:pPr>
          </w:p>
        </w:tc>
        <w:tc>
          <w:tcPr>
            <w:tcW w:w="780" w:type="dxa"/>
            <w:vAlign w:val="bottom"/>
            <w:tcBorders>
              <w:bottom w:val="single" w:sz="8" w:color="231F20"/>
            </w:tcBorders>
            <w:shd w:val="clear" w:color="auto" w:fill="D0EBF2"/>
          </w:tcPr>
          <w:p>
            <w:pPr>
              <w:jc w:val="right"/>
              <w:spacing w:after="0"/>
              <w:rPr>
                <w:sz w:val="20"/>
                <w:szCs w:val="20"/>
                <w:color w:val="auto"/>
              </w:rPr>
            </w:pPr>
            <w:r>
              <w:rPr>
                <w:rFonts w:ascii="Times New Roman" w:cs="Times New Roman" w:eastAsia="Times New Roman" w:hAnsi="Times New Roman"/>
                <w:sz w:val="19"/>
                <w:szCs w:val="19"/>
                <w:color w:val="231F20"/>
              </w:rPr>
              <w:t>57.9</w:t>
            </w:r>
          </w:p>
        </w:tc>
        <w:tc>
          <w:tcPr>
            <w:tcW w:w="180" w:type="dxa"/>
            <w:vAlign w:val="bottom"/>
            <w:tcBorders>
              <w:bottom w:val="single" w:sz="8" w:color="FDFDFC"/>
            </w:tcBorders>
            <w:shd w:val="clear" w:color="auto" w:fill="D0EBF2"/>
          </w:tcPr>
          <w:p>
            <w:pPr>
              <w:spacing w:after="0"/>
              <w:rPr>
                <w:sz w:val="20"/>
                <w:szCs w:val="20"/>
                <w:color w:val="auto"/>
              </w:rPr>
            </w:pPr>
          </w:p>
        </w:tc>
        <w:tc>
          <w:tcPr>
            <w:tcW w:w="100" w:type="dxa"/>
            <w:vAlign w:val="bottom"/>
            <w:tcBorders>
              <w:bottom w:val="single" w:sz="8" w:color="FDFDFC"/>
            </w:tcBorders>
            <w:shd w:val="clear" w:color="auto" w:fill="D0EBF2"/>
          </w:tcPr>
          <w:p>
            <w:pPr>
              <w:spacing w:after="0"/>
              <w:rPr>
                <w:sz w:val="20"/>
                <w:szCs w:val="20"/>
                <w:color w:val="auto"/>
              </w:rPr>
            </w:pPr>
          </w:p>
        </w:tc>
        <w:tc>
          <w:tcPr>
            <w:tcW w:w="100" w:type="dxa"/>
            <w:vAlign w:val="bottom"/>
            <w:tcBorders>
              <w:bottom w:val="single" w:sz="8" w:color="231F20"/>
            </w:tcBorders>
            <w:shd w:val="clear" w:color="auto" w:fill="D0EBF2"/>
          </w:tcPr>
          <w:p>
            <w:pPr>
              <w:spacing w:after="0"/>
              <w:rPr>
                <w:sz w:val="20"/>
                <w:szCs w:val="20"/>
                <w:color w:val="auto"/>
              </w:rPr>
            </w:pPr>
          </w:p>
        </w:tc>
        <w:tc>
          <w:tcPr>
            <w:tcW w:w="1040" w:type="dxa"/>
            <w:vAlign w:val="bottom"/>
            <w:tcBorders>
              <w:bottom w:val="single" w:sz="8" w:color="231F20"/>
            </w:tcBorders>
            <w:shd w:val="clear" w:color="auto" w:fill="D0EBF2"/>
          </w:tcPr>
          <w:p>
            <w:pPr>
              <w:jc w:val="right"/>
              <w:spacing w:after="0"/>
              <w:rPr>
                <w:sz w:val="20"/>
                <w:szCs w:val="20"/>
                <w:color w:val="auto"/>
              </w:rPr>
            </w:pPr>
            <w:r>
              <w:rPr>
                <w:rFonts w:ascii="Times New Roman" w:cs="Times New Roman" w:eastAsia="Times New Roman" w:hAnsi="Times New Roman"/>
                <w:sz w:val="19"/>
                <w:szCs w:val="19"/>
                <w:color w:val="231F20"/>
              </w:rPr>
              <w:t>2.8</w:t>
            </w:r>
          </w:p>
        </w:tc>
        <w:tc>
          <w:tcPr>
            <w:tcW w:w="180" w:type="dxa"/>
            <w:vAlign w:val="bottom"/>
            <w:tcBorders>
              <w:bottom w:val="single" w:sz="8" w:color="FDFDFC"/>
            </w:tcBorders>
            <w:shd w:val="clear" w:color="auto" w:fill="D0EBF2"/>
          </w:tcPr>
          <w:p>
            <w:pPr>
              <w:spacing w:after="0"/>
              <w:rPr>
                <w:sz w:val="20"/>
                <w:szCs w:val="20"/>
                <w:color w:val="auto"/>
              </w:rPr>
            </w:pPr>
          </w:p>
        </w:tc>
        <w:tc>
          <w:tcPr>
            <w:tcW w:w="200" w:type="dxa"/>
            <w:vAlign w:val="bottom"/>
            <w:tcBorders>
              <w:bottom w:val="single" w:sz="8" w:color="231F20"/>
            </w:tcBorders>
            <w:shd w:val="clear" w:color="auto" w:fill="D0EBF2"/>
          </w:tcPr>
          <w:p>
            <w:pPr>
              <w:spacing w:after="0"/>
              <w:rPr>
                <w:sz w:val="20"/>
                <w:szCs w:val="20"/>
                <w:color w:val="auto"/>
              </w:rPr>
            </w:pPr>
          </w:p>
        </w:tc>
        <w:tc>
          <w:tcPr>
            <w:tcW w:w="1040" w:type="dxa"/>
            <w:vAlign w:val="bottom"/>
            <w:tcBorders>
              <w:bottom w:val="single" w:sz="8" w:color="231F20"/>
            </w:tcBorders>
            <w:shd w:val="clear" w:color="auto" w:fill="D0EBF2"/>
          </w:tcPr>
          <w:p>
            <w:pPr>
              <w:jc w:val="right"/>
              <w:spacing w:after="0"/>
              <w:rPr>
                <w:sz w:val="20"/>
                <w:szCs w:val="20"/>
                <w:color w:val="auto"/>
              </w:rPr>
            </w:pPr>
            <w:r>
              <w:rPr>
                <w:rFonts w:ascii="Times New Roman" w:cs="Times New Roman" w:eastAsia="Times New Roman" w:hAnsi="Times New Roman"/>
                <w:sz w:val="19"/>
                <w:szCs w:val="19"/>
                <w:color w:val="231F20"/>
              </w:rPr>
              <w:t>4.1</w:t>
            </w:r>
          </w:p>
        </w:tc>
        <w:tc>
          <w:tcPr>
            <w:tcW w:w="180" w:type="dxa"/>
            <w:vAlign w:val="bottom"/>
            <w:tcBorders>
              <w:bottom w:val="single" w:sz="8" w:color="FDFDFC"/>
            </w:tcBorders>
            <w:shd w:val="clear" w:color="auto" w:fill="D0EBF2"/>
          </w:tcPr>
          <w:p>
            <w:pPr>
              <w:spacing w:after="0"/>
              <w:rPr>
                <w:sz w:val="20"/>
                <w:szCs w:val="20"/>
                <w:color w:val="auto"/>
              </w:rPr>
            </w:pPr>
          </w:p>
        </w:tc>
      </w:tr>
      <w:tr>
        <w:trPr>
          <w:trHeight w:val="220"/>
        </w:trPr>
        <w:tc>
          <w:tcPr>
            <w:tcW w:w="5080" w:type="dxa"/>
            <w:vAlign w:val="bottom"/>
            <w:tcBorders>
              <w:bottom w:val="single" w:sz="8" w:color="D0EBF2"/>
            </w:tcBorders>
            <w:shd w:val="clear" w:color="auto" w:fill="FDFDFC"/>
          </w:tcPr>
          <w:p>
            <w:pPr>
              <w:ind w:left="360"/>
              <w:spacing w:after="0"/>
              <w:rPr>
                <w:sz w:val="20"/>
                <w:szCs w:val="20"/>
                <w:color w:val="auto"/>
              </w:rPr>
            </w:pPr>
            <w:r>
              <w:rPr>
                <w:rFonts w:ascii="Times New Roman" w:cs="Times New Roman" w:eastAsia="Times New Roman" w:hAnsi="Times New Roman"/>
                <w:sz w:val="19"/>
                <w:szCs w:val="19"/>
                <w:color w:val="231F20"/>
              </w:rPr>
              <w:t>Total</w:t>
            </w:r>
          </w:p>
        </w:tc>
        <w:tc>
          <w:tcPr>
            <w:tcW w:w="100" w:type="dxa"/>
            <w:vAlign w:val="bottom"/>
            <w:tcBorders>
              <w:bottom w:val="single" w:sz="8" w:color="D0EBF2"/>
            </w:tcBorders>
            <w:shd w:val="clear" w:color="auto" w:fill="FDFDFC"/>
          </w:tcPr>
          <w:p>
            <w:pPr>
              <w:spacing w:after="0"/>
              <w:rPr>
                <w:sz w:val="19"/>
                <w:szCs w:val="19"/>
                <w:color w:val="auto"/>
              </w:rPr>
            </w:pPr>
          </w:p>
        </w:tc>
        <w:tc>
          <w:tcPr>
            <w:tcW w:w="200" w:type="dxa"/>
            <w:vAlign w:val="bottom"/>
            <w:tcBorders>
              <w:bottom w:val="single" w:sz="8" w:color="231F20"/>
            </w:tcBorders>
            <w:shd w:val="clear" w:color="auto" w:fill="FDFDFC"/>
          </w:tcPr>
          <w:p>
            <w:pPr>
              <w:jc w:val="right"/>
              <w:ind w:right="9"/>
              <w:spacing w:after="0"/>
              <w:rPr>
                <w:sz w:val="20"/>
                <w:szCs w:val="20"/>
                <w:color w:val="auto"/>
              </w:rPr>
            </w:pPr>
            <w:r>
              <w:rPr>
                <w:rFonts w:ascii="Times New Roman" w:cs="Times New Roman" w:eastAsia="Times New Roman" w:hAnsi="Times New Roman"/>
                <w:sz w:val="19"/>
                <w:szCs w:val="19"/>
                <w:color w:val="231F20"/>
                <w:w w:val="83"/>
              </w:rPr>
              <w:t>$</w:t>
            </w:r>
          </w:p>
        </w:tc>
        <w:tc>
          <w:tcPr>
            <w:tcW w:w="780" w:type="dxa"/>
            <w:vAlign w:val="bottom"/>
            <w:tcBorders>
              <w:bottom w:val="single" w:sz="8" w:color="231F20"/>
            </w:tcBorders>
            <w:shd w:val="clear" w:color="auto" w:fill="FDFDFC"/>
          </w:tcPr>
          <w:p>
            <w:pPr>
              <w:jc w:val="right"/>
              <w:spacing w:after="0"/>
              <w:rPr>
                <w:sz w:val="20"/>
                <w:szCs w:val="20"/>
                <w:color w:val="auto"/>
              </w:rPr>
            </w:pPr>
            <w:r>
              <w:rPr>
                <w:rFonts w:ascii="Times New Roman" w:cs="Times New Roman" w:eastAsia="Times New Roman" w:hAnsi="Times New Roman"/>
                <w:sz w:val="19"/>
                <w:szCs w:val="19"/>
                <w:color w:val="231F20"/>
              </w:rPr>
              <w:t>793.7</w:t>
            </w:r>
          </w:p>
        </w:tc>
        <w:tc>
          <w:tcPr>
            <w:tcW w:w="180" w:type="dxa"/>
            <w:vAlign w:val="bottom"/>
            <w:tcBorders>
              <w:bottom w:val="single" w:sz="8" w:color="D0EBF2"/>
            </w:tcBorders>
            <w:shd w:val="clear" w:color="auto" w:fill="FDFDFC"/>
          </w:tcPr>
          <w:p>
            <w:pPr>
              <w:spacing w:after="0"/>
              <w:rPr>
                <w:sz w:val="19"/>
                <w:szCs w:val="19"/>
                <w:color w:val="auto"/>
              </w:rPr>
            </w:pPr>
          </w:p>
        </w:tc>
        <w:tc>
          <w:tcPr>
            <w:tcW w:w="100" w:type="dxa"/>
            <w:vAlign w:val="bottom"/>
            <w:tcBorders>
              <w:bottom w:val="single" w:sz="8" w:color="D0EBF2"/>
            </w:tcBorders>
            <w:shd w:val="clear" w:color="auto" w:fill="FDFDFC"/>
          </w:tcPr>
          <w:p>
            <w:pPr>
              <w:spacing w:after="0"/>
              <w:rPr>
                <w:sz w:val="19"/>
                <w:szCs w:val="19"/>
                <w:color w:val="auto"/>
              </w:rPr>
            </w:pPr>
          </w:p>
        </w:tc>
        <w:tc>
          <w:tcPr>
            <w:tcW w:w="100" w:type="dxa"/>
            <w:vAlign w:val="bottom"/>
            <w:tcBorders>
              <w:bottom w:val="single" w:sz="8" w:color="231F20"/>
            </w:tcBorders>
            <w:shd w:val="clear" w:color="auto" w:fill="FDFDFC"/>
          </w:tcPr>
          <w:p>
            <w:pPr>
              <w:jc w:val="right"/>
              <w:spacing w:after="0"/>
              <w:rPr>
                <w:sz w:val="20"/>
                <w:szCs w:val="20"/>
                <w:color w:val="auto"/>
              </w:rPr>
            </w:pPr>
            <w:r>
              <w:rPr>
                <w:rFonts w:ascii="Times New Roman" w:cs="Times New Roman" w:eastAsia="Times New Roman" w:hAnsi="Times New Roman"/>
                <w:sz w:val="19"/>
                <w:szCs w:val="19"/>
                <w:color w:val="231F20"/>
                <w:w w:val="83"/>
              </w:rPr>
              <w:t>$</w:t>
            </w:r>
          </w:p>
        </w:tc>
        <w:tc>
          <w:tcPr>
            <w:tcW w:w="1040" w:type="dxa"/>
            <w:vAlign w:val="bottom"/>
            <w:tcBorders>
              <w:bottom w:val="single" w:sz="8" w:color="231F20"/>
            </w:tcBorders>
            <w:shd w:val="clear" w:color="auto" w:fill="FDFDFC"/>
          </w:tcPr>
          <w:p>
            <w:pPr>
              <w:jc w:val="right"/>
              <w:spacing w:after="0"/>
              <w:rPr>
                <w:sz w:val="20"/>
                <w:szCs w:val="20"/>
                <w:color w:val="auto"/>
              </w:rPr>
            </w:pPr>
            <w:r>
              <w:rPr>
                <w:rFonts w:ascii="Times New Roman" w:cs="Times New Roman" w:eastAsia="Times New Roman" w:hAnsi="Times New Roman"/>
                <w:sz w:val="19"/>
                <w:szCs w:val="19"/>
                <w:color w:val="231F20"/>
              </w:rPr>
              <w:t>469.1</w:t>
            </w:r>
          </w:p>
        </w:tc>
        <w:tc>
          <w:tcPr>
            <w:tcW w:w="180" w:type="dxa"/>
            <w:vAlign w:val="bottom"/>
            <w:tcBorders>
              <w:bottom w:val="single" w:sz="8" w:color="D0EBF2"/>
            </w:tcBorders>
            <w:shd w:val="clear" w:color="auto" w:fill="FDFDFC"/>
          </w:tcPr>
          <w:p>
            <w:pPr>
              <w:spacing w:after="0"/>
              <w:rPr>
                <w:sz w:val="19"/>
                <w:szCs w:val="19"/>
                <w:color w:val="auto"/>
              </w:rPr>
            </w:pPr>
          </w:p>
        </w:tc>
        <w:tc>
          <w:tcPr>
            <w:tcW w:w="200" w:type="dxa"/>
            <w:vAlign w:val="bottom"/>
            <w:tcBorders>
              <w:bottom w:val="single" w:sz="8" w:color="231F20"/>
            </w:tcBorders>
            <w:shd w:val="clear" w:color="auto" w:fill="FDFDFC"/>
          </w:tcPr>
          <w:p>
            <w:pPr>
              <w:jc w:val="right"/>
              <w:spacing w:after="0"/>
              <w:rPr>
                <w:sz w:val="20"/>
                <w:szCs w:val="20"/>
                <w:color w:val="auto"/>
              </w:rPr>
            </w:pPr>
            <w:r>
              <w:rPr>
                <w:rFonts w:ascii="Times New Roman" w:cs="Times New Roman" w:eastAsia="Times New Roman" w:hAnsi="Times New Roman"/>
                <w:sz w:val="19"/>
                <w:szCs w:val="19"/>
                <w:color w:val="231F20"/>
              </w:rPr>
              <w:t>$</w:t>
            </w:r>
          </w:p>
        </w:tc>
        <w:tc>
          <w:tcPr>
            <w:tcW w:w="1040" w:type="dxa"/>
            <w:vAlign w:val="bottom"/>
            <w:tcBorders>
              <w:bottom w:val="single" w:sz="8" w:color="231F20"/>
            </w:tcBorders>
            <w:shd w:val="clear" w:color="auto" w:fill="FDFDFC"/>
          </w:tcPr>
          <w:p>
            <w:pPr>
              <w:jc w:val="right"/>
              <w:spacing w:after="0"/>
              <w:rPr>
                <w:sz w:val="20"/>
                <w:szCs w:val="20"/>
                <w:color w:val="auto"/>
              </w:rPr>
            </w:pPr>
            <w:r>
              <w:rPr>
                <w:rFonts w:ascii="Times New Roman" w:cs="Times New Roman" w:eastAsia="Times New Roman" w:hAnsi="Times New Roman"/>
                <w:sz w:val="19"/>
                <w:szCs w:val="19"/>
                <w:color w:val="231F20"/>
              </w:rPr>
              <w:t>653.8</w:t>
            </w:r>
          </w:p>
        </w:tc>
        <w:tc>
          <w:tcPr>
            <w:tcW w:w="180" w:type="dxa"/>
            <w:vAlign w:val="bottom"/>
            <w:tcBorders>
              <w:bottom w:val="single" w:sz="8" w:color="D0EBF2"/>
            </w:tcBorders>
            <w:shd w:val="clear" w:color="auto" w:fill="FDFDFC"/>
          </w:tcPr>
          <w:p>
            <w:pPr>
              <w:spacing w:after="0"/>
              <w:rPr>
                <w:sz w:val="19"/>
                <w:szCs w:val="19"/>
                <w:color w:val="auto"/>
              </w:rPr>
            </w:pPr>
          </w:p>
        </w:tc>
      </w:tr>
      <w:tr>
        <w:trPr>
          <w:trHeight w:val="198"/>
        </w:trPr>
        <w:tc>
          <w:tcPr>
            <w:tcW w:w="5080" w:type="dxa"/>
            <w:vAlign w:val="bottom"/>
            <w:shd w:val="clear" w:color="auto" w:fill="D0EBF2"/>
          </w:tcPr>
          <w:p>
            <w:pPr>
              <w:spacing w:after="0" w:line="198" w:lineRule="exact"/>
              <w:rPr>
                <w:sz w:val="20"/>
                <w:szCs w:val="20"/>
                <w:color w:val="auto"/>
              </w:rPr>
            </w:pPr>
            <w:r>
              <w:rPr>
                <w:rFonts w:ascii="Times New Roman" w:cs="Times New Roman" w:eastAsia="Times New Roman" w:hAnsi="Times New Roman"/>
                <w:sz w:val="19"/>
                <w:szCs w:val="19"/>
                <w:b w:val="1"/>
                <w:bCs w:val="1"/>
                <w:color w:val="231F20"/>
              </w:rPr>
              <w:t>Number of new investment commitments in</w:t>
            </w:r>
          </w:p>
        </w:tc>
        <w:tc>
          <w:tcPr>
            <w:tcW w:w="100" w:type="dxa"/>
            <w:vAlign w:val="bottom"/>
            <w:shd w:val="clear" w:color="auto" w:fill="D0EBF2"/>
          </w:tcPr>
          <w:p>
            <w:pPr>
              <w:spacing w:after="0"/>
              <w:rPr>
                <w:sz w:val="17"/>
                <w:szCs w:val="17"/>
                <w:color w:val="auto"/>
              </w:rPr>
            </w:pPr>
          </w:p>
        </w:tc>
        <w:tc>
          <w:tcPr>
            <w:tcW w:w="200" w:type="dxa"/>
            <w:vAlign w:val="bottom"/>
            <w:shd w:val="clear" w:color="auto" w:fill="D0EBF2"/>
          </w:tcPr>
          <w:p>
            <w:pPr>
              <w:spacing w:after="0"/>
              <w:rPr>
                <w:sz w:val="17"/>
                <w:szCs w:val="17"/>
                <w:color w:val="auto"/>
              </w:rPr>
            </w:pPr>
          </w:p>
        </w:tc>
        <w:tc>
          <w:tcPr>
            <w:tcW w:w="780" w:type="dxa"/>
            <w:vAlign w:val="bottom"/>
            <w:shd w:val="clear" w:color="auto" w:fill="D0EBF2"/>
          </w:tcPr>
          <w:p>
            <w:pPr>
              <w:spacing w:after="0"/>
              <w:rPr>
                <w:sz w:val="17"/>
                <w:szCs w:val="17"/>
                <w:color w:val="auto"/>
              </w:rPr>
            </w:pPr>
          </w:p>
        </w:tc>
        <w:tc>
          <w:tcPr>
            <w:tcW w:w="180" w:type="dxa"/>
            <w:vAlign w:val="bottom"/>
            <w:shd w:val="clear" w:color="auto" w:fill="D0EBF2"/>
          </w:tcPr>
          <w:p>
            <w:pPr>
              <w:spacing w:after="0"/>
              <w:rPr>
                <w:sz w:val="17"/>
                <w:szCs w:val="17"/>
                <w:color w:val="auto"/>
              </w:rPr>
            </w:pPr>
          </w:p>
        </w:tc>
        <w:tc>
          <w:tcPr>
            <w:tcW w:w="100" w:type="dxa"/>
            <w:vAlign w:val="bottom"/>
            <w:shd w:val="clear" w:color="auto" w:fill="D0EBF2"/>
          </w:tcPr>
          <w:p>
            <w:pPr>
              <w:spacing w:after="0"/>
              <w:rPr>
                <w:sz w:val="17"/>
                <w:szCs w:val="17"/>
                <w:color w:val="auto"/>
              </w:rPr>
            </w:pPr>
          </w:p>
        </w:tc>
        <w:tc>
          <w:tcPr>
            <w:tcW w:w="100" w:type="dxa"/>
            <w:vAlign w:val="bottom"/>
            <w:shd w:val="clear" w:color="auto" w:fill="D0EBF2"/>
          </w:tcPr>
          <w:p>
            <w:pPr>
              <w:spacing w:after="0"/>
              <w:rPr>
                <w:sz w:val="17"/>
                <w:szCs w:val="17"/>
                <w:color w:val="auto"/>
              </w:rPr>
            </w:pPr>
          </w:p>
        </w:tc>
        <w:tc>
          <w:tcPr>
            <w:tcW w:w="1040" w:type="dxa"/>
            <w:vAlign w:val="bottom"/>
            <w:shd w:val="clear" w:color="auto" w:fill="D0EBF2"/>
          </w:tcPr>
          <w:p>
            <w:pPr>
              <w:spacing w:after="0"/>
              <w:rPr>
                <w:sz w:val="17"/>
                <w:szCs w:val="17"/>
                <w:color w:val="auto"/>
              </w:rPr>
            </w:pPr>
          </w:p>
        </w:tc>
        <w:tc>
          <w:tcPr>
            <w:tcW w:w="180" w:type="dxa"/>
            <w:vAlign w:val="bottom"/>
            <w:shd w:val="clear" w:color="auto" w:fill="D0EBF2"/>
          </w:tcPr>
          <w:p>
            <w:pPr>
              <w:spacing w:after="0"/>
              <w:rPr>
                <w:sz w:val="17"/>
                <w:szCs w:val="17"/>
                <w:color w:val="auto"/>
              </w:rPr>
            </w:pPr>
          </w:p>
        </w:tc>
        <w:tc>
          <w:tcPr>
            <w:tcW w:w="200" w:type="dxa"/>
            <w:vAlign w:val="bottom"/>
            <w:shd w:val="clear" w:color="auto" w:fill="D0EBF2"/>
          </w:tcPr>
          <w:p>
            <w:pPr>
              <w:spacing w:after="0"/>
              <w:rPr>
                <w:sz w:val="17"/>
                <w:szCs w:val="17"/>
                <w:color w:val="auto"/>
              </w:rPr>
            </w:pPr>
          </w:p>
        </w:tc>
        <w:tc>
          <w:tcPr>
            <w:tcW w:w="1040" w:type="dxa"/>
            <w:vAlign w:val="bottom"/>
            <w:shd w:val="clear" w:color="auto" w:fill="D0EBF2"/>
          </w:tcPr>
          <w:p>
            <w:pPr>
              <w:spacing w:after="0"/>
              <w:rPr>
                <w:sz w:val="17"/>
                <w:szCs w:val="17"/>
                <w:color w:val="auto"/>
              </w:rPr>
            </w:pPr>
          </w:p>
        </w:tc>
        <w:tc>
          <w:tcPr>
            <w:tcW w:w="180" w:type="dxa"/>
            <w:vAlign w:val="bottom"/>
            <w:shd w:val="clear" w:color="auto" w:fill="D0EBF2"/>
          </w:tcPr>
          <w:p>
            <w:pPr>
              <w:spacing w:after="0"/>
              <w:rPr>
                <w:sz w:val="17"/>
                <w:szCs w:val="17"/>
                <w:color w:val="auto"/>
              </w:rPr>
            </w:pPr>
          </w:p>
        </w:tc>
      </w:tr>
      <w:tr>
        <w:trPr>
          <w:trHeight w:val="239"/>
        </w:trPr>
        <w:tc>
          <w:tcPr>
            <w:tcW w:w="5080" w:type="dxa"/>
            <w:vAlign w:val="bottom"/>
            <w:shd w:val="clear" w:color="auto" w:fill="D0EBF2"/>
          </w:tcPr>
          <w:p>
            <w:pPr>
              <w:ind w:left="140"/>
              <w:spacing w:after="0"/>
              <w:rPr>
                <w:sz w:val="20"/>
                <w:szCs w:val="20"/>
                <w:color w:val="auto"/>
              </w:rPr>
            </w:pPr>
            <w:r>
              <w:rPr>
                <w:rFonts w:ascii="Times New Roman" w:cs="Times New Roman" w:eastAsia="Times New Roman" w:hAnsi="Times New Roman"/>
                <w:sz w:val="19"/>
                <w:szCs w:val="19"/>
                <w:b w:val="1"/>
                <w:bCs w:val="1"/>
                <w:color w:val="231F20"/>
              </w:rPr>
              <w:t>new portfolio companies</w:t>
            </w:r>
          </w:p>
        </w:tc>
        <w:tc>
          <w:tcPr>
            <w:tcW w:w="100" w:type="dxa"/>
            <w:vAlign w:val="bottom"/>
            <w:shd w:val="clear" w:color="auto" w:fill="D0EBF2"/>
          </w:tcPr>
          <w:p>
            <w:pPr>
              <w:spacing w:after="0"/>
              <w:rPr>
                <w:sz w:val="20"/>
                <w:szCs w:val="20"/>
                <w:color w:val="auto"/>
              </w:rPr>
            </w:pPr>
          </w:p>
        </w:tc>
        <w:tc>
          <w:tcPr>
            <w:tcW w:w="200" w:type="dxa"/>
            <w:vAlign w:val="bottom"/>
            <w:shd w:val="clear" w:color="auto" w:fill="D0EBF2"/>
          </w:tcPr>
          <w:p>
            <w:pPr>
              <w:spacing w:after="0"/>
              <w:rPr>
                <w:sz w:val="20"/>
                <w:szCs w:val="20"/>
                <w:color w:val="auto"/>
              </w:rPr>
            </w:pPr>
          </w:p>
        </w:tc>
        <w:tc>
          <w:tcPr>
            <w:tcW w:w="780" w:type="dxa"/>
            <w:vAlign w:val="bottom"/>
            <w:shd w:val="clear" w:color="auto" w:fill="D0EBF2"/>
          </w:tcPr>
          <w:p>
            <w:pPr>
              <w:jc w:val="right"/>
              <w:spacing w:after="0"/>
              <w:rPr>
                <w:sz w:val="20"/>
                <w:szCs w:val="20"/>
                <w:color w:val="auto"/>
              </w:rPr>
            </w:pPr>
            <w:r>
              <w:rPr>
                <w:rFonts w:ascii="Times New Roman" w:cs="Times New Roman" w:eastAsia="Times New Roman" w:hAnsi="Times New Roman"/>
                <w:sz w:val="19"/>
                <w:szCs w:val="19"/>
                <w:color w:val="231F20"/>
              </w:rPr>
              <w:t>34</w:t>
            </w:r>
          </w:p>
        </w:tc>
        <w:tc>
          <w:tcPr>
            <w:tcW w:w="180" w:type="dxa"/>
            <w:vAlign w:val="bottom"/>
            <w:shd w:val="clear" w:color="auto" w:fill="D0EBF2"/>
          </w:tcPr>
          <w:p>
            <w:pPr>
              <w:spacing w:after="0"/>
              <w:rPr>
                <w:sz w:val="20"/>
                <w:szCs w:val="20"/>
                <w:color w:val="auto"/>
              </w:rPr>
            </w:pPr>
          </w:p>
        </w:tc>
        <w:tc>
          <w:tcPr>
            <w:tcW w:w="100" w:type="dxa"/>
            <w:vAlign w:val="bottom"/>
            <w:shd w:val="clear" w:color="auto" w:fill="D0EBF2"/>
          </w:tcPr>
          <w:p>
            <w:pPr>
              <w:spacing w:after="0"/>
              <w:rPr>
                <w:sz w:val="20"/>
                <w:szCs w:val="20"/>
                <w:color w:val="auto"/>
              </w:rPr>
            </w:pPr>
          </w:p>
        </w:tc>
        <w:tc>
          <w:tcPr>
            <w:tcW w:w="100" w:type="dxa"/>
            <w:vAlign w:val="bottom"/>
            <w:shd w:val="clear" w:color="auto" w:fill="D0EBF2"/>
          </w:tcPr>
          <w:p>
            <w:pPr>
              <w:spacing w:after="0"/>
              <w:rPr>
                <w:sz w:val="20"/>
                <w:szCs w:val="20"/>
                <w:color w:val="auto"/>
              </w:rPr>
            </w:pPr>
          </w:p>
        </w:tc>
        <w:tc>
          <w:tcPr>
            <w:tcW w:w="1040" w:type="dxa"/>
            <w:vAlign w:val="bottom"/>
            <w:shd w:val="clear" w:color="auto" w:fill="D0EBF2"/>
          </w:tcPr>
          <w:p>
            <w:pPr>
              <w:jc w:val="right"/>
              <w:spacing w:after="0"/>
              <w:rPr>
                <w:sz w:val="20"/>
                <w:szCs w:val="20"/>
                <w:color w:val="auto"/>
              </w:rPr>
            </w:pPr>
            <w:r>
              <w:rPr>
                <w:rFonts w:ascii="Times New Roman" w:cs="Times New Roman" w:eastAsia="Times New Roman" w:hAnsi="Times New Roman"/>
                <w:sz w:val="19"/>
                <w:szCs w:val="19"/>
                <w:color w:val="231F20"/>
              </w:rPr>
              <w:t>30</w:t>
            </w:r>
          </w:p>
        </w:tc>
        <w:tc>
          <w:tcPr>
            <w:tcW w:w="180" w:type="dxa"/>
            <w:vAlign w:val="bottom"/>
            <w:shd w:val="clear" w:color="auto" w:fill="D0EBF2"/>
          </w:tcPr>
          <w:p>
            <w:pPr>
              <w:spacing w:after="0"/>
              <w:rPr>
                <w:sz w:val="20"/>
                <w:szCs w:val="20"/>
                <w:color w:val="auto"/>
              </w:rPr>
            </w:pPr>
          </w:p>
        </w:tc>
        <w:tc>
          <w:tcPr>
            <w:tcW w:w="200" w:type="dxa"/>
            <w:vAlign w:val="bottom"/>
            <w:shd w:val="clear" w:color="auto" w:fill="D0EBF2"/>
          </w:tcPr>
          <w:p>
            <w:pPr>
              <w:spacing w:after="0"/>
              <w:rPr>
                <w:sz w:val="20"/>
                <w:szCs w:val="20"/>
                <w:color w:val="auto"/>
              </w:rPr>
            </w:pPr>
          </w:p>
        </w:tc>
        <w:tc>
          <w:tcPr>
            <w:tcW w:w="1040" w:type="dxa"/>
            <w:vAlign w:val="bottom"/>
            <w:shd w:val="clear" w:color="auto" w:fill="D0EBF2"/>
          </w:tcPr>
          <w:p>
            <w:pPr>
              <w:jc w:val="right"/>
              <w:spacing w:after="0"/>
              <w:rPr>
                <w:sz w:val="20"/>
                <w:szCs w:val="20"/>
                <w:color w:val="auto"/>
              </w:rPr>
            </w:pPr>
            <w:r>
              <w:rPr>
                <w:rFonts w:ascii="Times New Roman" w:cs="Times New Roman" w:eastAsia="Times New Roman" w:hAnsi="Times New Roman"/>
                <w:sz w:val="19"/>
                <w:szCs w:val="19"/>
                <w:color w:val="231F20"/>
              </w:rPr>
              <w:t>65</w:t>
            </w:r>
          </w:p>
        </w:tc>
        <w:tc>
          <w:tcPr>
            <w:tcW w:w="180" w:type="dxa"/>
            <w:vAlign w:val="bottom"/>
            <w:shd w:val="clear" w:color="auto" w:fill="D0EBF2"/>
          </w:tcPr>
          <w:p>
            <w:pPr>
              <w:spacing w:after="0"/>
              <w:rPr>
                <w:sz w:val="20"/>
                <w:szCs w:val="20"/>
                <w:color w:val="auto"/>
              </w:rPr>
            </w:pPr>
          </w:p>
        </w:tc>
      </w:tr>
      <w:tr>
        <w:trPr>
          <w:trHeight w:val="208"/>
        </w:trPr>
        <w:tc>
          <w:tcPr>
            <w:tcW w:w="5080" w:type="dxa"/>
            <w:vAlign w:val="bottom"/>
            <w:shd w:val="clear" w:color="auto" w:fill="FDFDFC"/>
          </w:tcPr>
          <w:p>
            <w:pPr>
              <w:spacing w:after="0" w:line="208" w:lineRule="exact"/>
              <w:rPr>
                <w:sz w:val="20"/>
                <w:szCs w:val="20"/>
                <w:color w:val="auto"/>
              </w:rPr>
            </w:pPr>
            <w:r>
              <w:rPr>
                <w:rFonts w:ascii="Times New Roman" w:cs="Times New Roman" w:eastAsia="Times New Roman" w:hAnsi="Times New Roman"/>
                <w:sz w:val="19"/>
                <w:szCs w:val="19"/>
                <w:b w:val="1"/>
                <w:bCs w:val="1"/>
                <w:color w:val="231F20"/>
              </w:rPr>
              <w:t>Average new investment commitment amount in</w:t>
            </w:r>
          </w:p>
        </w:tc>
        <w:tc>
          <w:tcPr>
            <w:tcW w:w="100" w:type="dxa"/>
            <w:vAlign w:val="bottom"/>
            <w:shd w:val="clear" w:color="auto" w:fill="FDFDFC"/>
          </w:tcPr>
          <w:p>
            <w:pPr>
              <w:spacing w:after="0"/>
              <w:rPr>
                <w:sz w:val="18"/>
                <w:szCs w:val="18"/>
                <w:color w:val="auto"/>
              </w:rPr>
            </w:pPr>
          </w:p>
        </w:tc>
        <w:tc>
          <w:tcPr>
            <w:tcW w:w="200" w:type="dxa"/>
            <w:vAlign w:val="bottom"/>
            <w:shd w:val="clear" w:color="auto" w:fill="FDFDFC"/>
          </w:tcPr>
          <w:p>
            <w:pPr>
              <w:spacing w:after="0"/>
              <w:rPr>
                <w:sz w:val="18"/>
                <w:szCs w:val="18"/>
                <w:color w:val="auto"/>
              </w:rPr>
            </w:pPr>
          </w:p>
        </w:tc>
        <w:tc>
          <w:tcPr>
            <w:tcW w:w="780" w:type="dxa"/>
            <w:vAlign w:val="bottom"/>
            <w:shd w:val="clear" w:color="auto" w:fill="FDFDFC"/>
          </w:tcPr>
          <w:p>
            <w:pPr>
              <w:spacing w:after="0"/>
              <w:rPr>
                <w:sz w:val="18"/>
                <w:szCs w:val="18"/>
                <w:color w:val="auto"/>
              </w:rPr>
            </w:pPr>
          </w:p>
        </w:tc>
        <w:tc>
          <w:tcPr>
            <w:tcW w:w="180" w:type="dxa"/>
            <w:vAlign w:val="bottom"/>
            <w:shd w:val="clear" w:color="auto" w:fill="FDFDFC"/>
          </w:tcPr>
          <w:p>
            <w:pPr>
              <w:spacing w:after="0"/>
              <w:rPr>
                <w:sz w:val="18"/>
                <w:szCs w:val="18"/>
                <w:color w:val="auto"/>
              </w:rPr>
            </w:pPr>
          </w:p>
        </w:tc>
        <w:tc>
          <w:tcPr>
            <w:tcW w:w="100" w:type="dxa"/>
            <w:vAlign w:val="bottom"/>
            <w:shd w:val="clear" w:color="auto" w:fill="FDFDFC"/>
          </w:tcPr>
          <w:p>
            <w:pPr>
              <w:spacing w:after="0"/>
              <w:rPr>
                <w:sz w:val="18"/>
                <w:szCs w:val="18"/>
                <w:color w:val="auto"/>
              </w:rPr>
            </w:pPr>
          </w:p>
        </w:tc>
        <w:tc>
          <w:tcPr>
            <w:tcW w:w="100" w:type="dxa"/>
            <w:vAlign w:val="bottom"/>
            <w:shd w:val="clear" w:color="auto" w:fill="FDFDFC"/>
          </w:tcPr>
          <w:p>
            <w:pPr>
              <w:spacing w:after="0"/>
              <w:rPr>
                <w:sz w:val="18"/>
                <w:szCs w:val="18"/>
                <w:color w:val="auto"/>
              </w:rPr>
            </w:pPr>
          </w:p>
        </w:tc>
        <w:tc>
          <w:tcPr>
            <w:tcW w:w="1040" w:type="dxa"/>
            <w:vAlign w:val="bottom"/>
            <w:shd w:val="clear" w:color="auto" w:fill="FDFDFC"/>
          </w:tcPr>
          <w:p>
            <w:pPr>
              <w:spacing w:after="0"/>
              <w:rPr>
                <w:sz w:val="18"/>
                <w:szCs w:val="18"/>
                <w:color w:val="auto"/>
              </w:rPr>
            </w:pPr>
          </w:p>
        </w:tc>
        <w:tc>
          <w:tcPr>
            <w:tcW w:w="180" w:type="dxa"/>
            <w:vAlign w:val="bottom"/>
            <w:shd w:val="clear" w:color="auto" w:fill="FDFDFC"/>
          </w:tcPr>
          <w:p>
            <w:pPr>
              <w:spacing w:after="0"/>
              <w:rPr>
                <w:sz w:val="18"/>
                <w:szCs w:val="18"/>
                <w:color w:val="auto"/>
              </w:rPr>
            </w:pPr>
          </w:p>
        </w:tc>
        <w:tc>
          <w:tcPr>
            <w:tcW w:w="200" w:type="dxa"/>
            <w:vAlign w:val="bottom"/>
            <w:shd w:val="clear" w:color="auto" w:fill="FDFDFC"/>
          </w:tcPr>
          <w:p>
            <w:pPr>
              <w:spacing w:after="0"/>
              <w:rPr>
                <w:sz w:val="18"/>
                <w:szCs w:val="18"/>
                <w:color w:val="auto"/>
              </w:rPr>
            </w:pPr>
          </w:p>
        </w:tc>
        <w:tc>
          <w:tcPr>
            <w:tcW w:w="1040" w:type="dxa"/>
            <w:vAlign w:val="bottom"/>
            <w:shd w:val="clear" w:color="auto" w:fill="FDFDFC"/>
          </w:tcPr>
          <w:p>
            <w:pPr>
              <w:spacing w:after="0"/>
              <w:rPr>
                <w:sz w:val="18"/>
                <w:szCs w:val="18"/>
                <w:color w:val="auto"/>
              </w:rPr>
            </w:pPr>
          </w:p>
        </w:tc>
        <w:tc>
          <w:tcPr>
            <w:tcW w:w="180" w:type="dxa"/>
            <w:vAlign w:val="bottom"/>
            <w:shd w:val="clear" w:color="auto" w:fill="FDFDFC"/>
          </w:tcPr>
          <w:p>
            <w:pPr>
              <w:spacing w:after="0"/>
              <w:rPr>
                <w:sz w:val="18"/>
                <w:szCs w:val="18"/>
                <w:color w:val="auto"/>
              </w:rPr>
            </w:pPr>
          </w:p>
        </w:tc>
      </w:tr>
      <w:tr>
        <w:trPr>
          <w:trHeight w:val="239"/>
        </w:trPr>
        <w:tc>
          <w:tcPr>
            <w:tcW w:w="5080" w:type="dxa"/>
            <w:vAlign w:val="bottom"/>
            <w:shd w:val="clear" w:color="auto" w:fill="FDFDFC"/>
          </w:tcPr>
          <w:p>
            <w:pPr>
              <w:ind w:left="140"/>
              <w:spacing w:after="0"/>
              <w:rPr>
                <w:sz w:val="20"/>
                <w:szCs w:val="20"/>
                <w:color w:val="auto"/>
              </w:rPr>
            </w:pPr>
            <w:r>
              <w:rPr>
                <w:rFonts w:ascii="Times New Roman" w:cs="Times New Roman" w:eastAsia="Times New Roman" w:hAnsi="Times New Roman"/>
                <w:sz w:val="19"/>
                <w:szCs w:val="19"/>
                <w:b w:val="1"/>
                <w:bCs w:val="1"/>
                <w:color w:val="231F20"/>
              </w:rPr>
              <w:t>new portfolio companies</w:t>
            </w:r>
          </w:p>
        </w:tc>
        <w:tc>
          <w:tcPr>
            <w:tcW w:w="300" w:type="dxa"/>
            <w:vAlign w:val="bottom"/>
            <w:gridSpan w:val="2"/>
            <w:shd w:val="clear" w:color="auto" w:fill="FDFDFC"/>
          </w:tcPr>
          <w:p>
            <w:pPr>
              <w:jc w:val="right"/>
              <w:ind w:right="9"/>
              <w:spacing w:after="0"/>
              <w:rPr>
                <w:sz w:val="20"/>
                <w:szCs w:val="20"/>
                <w:color w:val="auto"/>
              </w:rPr>
            </w:pPr>
            <w:r>
              <w:rPr>
                <w:rFonts w:ascii="Times New Roman" w:cs="Times New Roman" w:eastAsia="Times New Roman" w:hAnsi="Times New Roman"/>
                <w:sz w:val="19"/>
                <w:szCs w:val="19"/>
                <w:color w:val="231F20"/>
              </w:rPr>
              <w:t>$</w:t>
            </w:r>
          </w:p>
        </w:tc>
        <w:tc>
          <w:tcPr>
            <w:tcW w:w="780" w:type="dxa"/>
            <w:vAlign w:val="bottom"/>
            <w:shd w:val="clear" w:color="auto" w:fill="FDFDFC"/>
          </w:tcPr>
          <w:p>
            <w:pPr>
              <w:jc w:val="right"/>
              <w:spacing w:after="0"/>
              <w:rPr>
                <w:sz w:val="20"/>
                <w:szCs w:val="20"/>
                <w:color w:val="auto"/>
              </w:rPr>
            </w:pPr>
            <w:r>
              <w:rPr>
                <w:rFonts w:ascii="Times New Roman" w:cs="Times New Roman" w:eastAsia="Times New Roman" w:hAnsi="Times New Roman"/>
                <w:sz w:val="19"/>
                <w:szCs w:val="19"/>
                <w:color w:val="231F20"/>
              </w:rPr>
              <w:t>30.4</w:t>
            </w:r>
          </w:p>
        </w:tc>
        <w:tc>
          <w:tcPr>
            <w:tcW w:w="180" w:type="dxa"/>
            <w:vAlign w:val="bottom"/>
            <w:shd w:val="clear" w:color="auto" w:fill="FDFDFC"/>
          </w:tcPr>
          <w:p>
            <w:pPr>
              <w:spacing w:after="0"/>
              <w:rPr>
                <w:sz w:val="20"/>
                <w:szCs w:val="20"/>
                <w:color w:val="auto"/>
              </w:rPr>
            </w:pPr>
          </w:p>
        </w:tc>
        <w:tc>
          <w:tcPr>
            <w:tcW w:w="200" w:type="dxa"/>
            <w:vAlign w:val="bottom"/>
            <w:gridSpan w:val="2"/>
            <w:shd w:val="clear" w:color="auto" w:fill="FDFDFC"/>
          </w:tcPr>
          <w:p>
            <w:pPr>
              <w:jc w:val="right"/>
              <w:spacing w:after="0"/>
              <w:rPr>
                <w:sz w:val="20"/>
                <w:szCs w:val="20"/>
                <w:color w:val="auto"/>
              </w:rPr>
            </w:pPr>
            <w:r>
              <w:rPr>
                <w:rFonts w:ascii="Times New Roman" w:cs="Times New Roman" w:eastAsia="Times New Roman" w:hAnsi="Times New Roman"/>
                <w:sz w:val="19"/>
                <w:szCs w:val="19"/>
                <w:color w:val="231F20"/>
              </w:rPr>
              <w:t>$</w:t>
            </w:r>
          </w:p>
        </w:tc>
        <w:tc>
          <w:tcPr>
            <w:tcW w:w="1040" w:type="dxa"/>
            <w:vAlign w:val="bottom"/>
            <w:shd w:val="clear" w:color="auto" w:fill="FDFDFC"/>
          </w:tcPr>
          <w:p>
            <w:pPr>
              <w:jc w:val="right"/>
              <w:spacing w:after="0"/>
              <w:rPr>
                <w:sz w:val="20"/>
                <w:szCs w:val="20"/>
                <w:color w:val="auto"/>
              </w:rPr>
            </w:pPr>
            <w:r>
              <w:rPr>
                <w:rFonts w:ascii="Times New Roman" w:cs="Times New Roman" w:eastAsia="Times New Roman" w:hAnsi="Times New Roman"/>
                <w:sz w:val="19"/>
                <w:szCs w:val="19"/>
                <w:color w:val="231F20"/>
              </w:rPr>
              <w:t>29.2</w:t>
            </w:r>
          </w:p>
        </w:tc>
        <w:tc>
          <w:tcPr>
            <w:tcW w:w="180" w:type="dxa"/>
            <w:vAlign w:val="bottom"/>
            <w:shd w:val="clear" w:color="auto" w:fill="FDFDFC"/>
          </w:tcPr>
          <w:p>
            <w:pPr>
              <w:spacing w:after="0"/>
              <w:rPr>
                <w:sz w:val="20"/>
                <w:szCs w:val="20"/>
                <w:color w:val="auto"/>
              </w:rPr>
            </w:pPr>
          </w:p>
        </w:tc>
        <w:tc>
          <w:tcPr>
            <w:tcW w:w="200" w:type="dxa"/>
            <w:vAlign w:val="bottom"/>
            <w:shd w:val="clear" w:color="auto" w:fill="FDFDFC"/>
          </w:tcPr>
          <w:p>
            <w:pPr>
              <w:jc w:val="right"/>
              <w:spacing w:after="0"/>
              <w:rPr>
                <w:sz w:val="20"/>
                <w:szCs w:val="20"/>
                <w:color w:val="auto"/>
              </w:rPr>
            </w:pPr>
            <w:r>
              <w:rPr>
                <w:rFonts w:ascii="Times New Roman" w:cs="Times New Roman" w:eastAsia="Times New Roman" w:hAnsi="Times New Roman"/>
                <w:sz w:val="19"/>
                <w:szCs w:val="19"/>
                <w:color w:val="231F20"/>
              </w:rPr>
              <w:t>$</w:t>
            </w:r>
          </w:p>
        </w:tc>
        <w:tc>
          <w:tcPr>
            <w:tcW w:w="1040" w:type="dxa"/>
            <w:vAlign w:val="bottom"/>
            <w:shd w:val="clear" w:color="auto" w:fill="FDFDFC"/>
          </w:tcPr>
          <w:p>
            <w:pPr>
              <w:jc w:val="right"/>
              <w:spacing w:after="0"/>
              <w:rPr>
                <w:sz w:val="20"/>
                <w:szCs w:val="20"/>
                <w:color w:val="auto"/>
              </w:rPr>
            </w:pPr>
            <w:r>
              <w:rPr>
                <w:rFonts w:ascii="Times New Roman" w:cs="Times New Roman" w:eastAsia="Times New Roman" w:hAnsi="Times New Roman"/>
                <w:sz w:val="19"/>
                <w:szCs w:val="19"/>
                <w:color w:val="231F20"/>
              </w:rPr>
              <w:t>14.6</w:t>
            </w:r>
          </w:p>
        </w:tc>
        <w:tc>
          <w:tcPr>
            <w:tcW w:w="180" w:type="dxa"/>
            <w:vAlign w:val="bottom"/>
            <w:shd w:val="clear" w:color="auto" w:fill="FDFDFC"/>
          </w:tcPr>
          <w:p>
            <w:pPr>
              <w:spacing w:after="0"/>
              <w:rPr>
                <w:sz w:val="20"/>
                <w:szCs w:val="20"/>
                <w:color w:val="auto"/>
              </w:rPr>
            </w:pPr>
          </w:p>
        </w:tc>
      </w:tr>
      <w:tr>
        <w:trPr>
          <w:trHeight w:val="208"/>
        </w:trPr>
        <w:tc>
          <w:tcPr>
            <w:tcW w:w="5080" w:type="dxa"/>
            <w:vAlign w:val="bottom"/>
            <w:shd w:val="clear" w:color="auto" w:fill="D0EBF2"/>
          </w:tcPr>
          <w:p>
            <w:pPr>
              <w:spacing w:after="0" w:line="209" w:lineRule="exact"/>
              <w:rPr>
                <w:sz w:val="20"/>
                <w:szCs w:val="20"/>
                <w:color w:val="auto"/>
              </w:rPr>
            </w:pPr>
            <w:r>
              <w:rPr>
                <w:rFonts w:ascii="Times New Roman" w:cs="Times New Roman" w:eastAsia="Times New Roman" w:hAnsi="Times New Roman"/>
                <w:sz w:val="19"/>
                <w:szCs w:val="19"/>
                <w:b w:val="1"/>
                <w:bCs w:val="1"/>
                <w:color w:val="231F20"/>
              </w:rPr>
              <w:t>Weighted average term for new investment</w:t>
            </w:r>
          </w:p>
        </w:tc>
        <w:tc>
          <w:tcPr>
            <w:tcW w:w="100" w:type="dxa"/>
            <w:vAlign w:val="bottom"/>
            <w:shd w:val="clear" w:color="auto" w:fill="D0EBF2"/>
          </w:tcPr>
          <w:p>
            <w:pPr>
              <w:spacing w:after="0"/>
              <w:rPr>
                <w:sz w:val="18"/>
                <w:szCs w:val="18"/>
                <w:color w:val="auto"/>
              </w:rPr>
            </w:pPr>
          </w:p>
        </w:tc>
        <w:tc>
          <w:tcPr>
            <w:tcW w:w="200" w:type="dxa"/>
            <w:vAlign w:val="bottom"/>
            <w:shd w:val="clear" w:color="auto" w:fill="D0EBF2"/>
          </w:tcPr>
          <w:p>
            <w:pPr>
              <w:spacing w:after="0"/>
              <w:rPr>
                <w:sz w:val="18"/>
                <w:szCs w:val="18"/>
                <w:color w:val="auto"/>
              </w:rPr>
            </w:pPr>
          </w:p>
        </w:tc>
        <w:tc>
          <w:tcPr>
            <w:tcW w:w="780" w:type="dxa"/>
            <w:vAlign w:val="bottom"/>
            <w:shd w:val="clear" w:color="auto" w:fill="D0EBF2"/>
          </w:tcPr>
          <w:p>
            <w:pPr>
              <w:spacing w:after="0"/>
              <w:rPr>
                <w:sz w:val="18"/>
                <w:szCs w:val="18"/>
                <w:color w:val="auto"/>
              </w:rPr>
            </w:pPr>
          </w:p>
        </w:tc>
        <w:tc>
          <w:tcPr>
            <w:tcW w:w="180" w:type="dxa"/>
            <w:vAlign w:val="bottom"/>
            <w:shd w:val="clear" w:color="auto" w:fill="D0EBF2"/>
          </w:tcPr>
          <w:p>
            <w:pPr>
              <w:spacing w:after="0"/>
              <w:rPr>
                <w:sz w:val="18"/>
                <w:szCs w:val="18"/>
                <w:color w:val="auto"/>
              </w:rPr>
            </w:pPr>
          </w:p>
        </w:tc>
        <w:tc>
          <w:tcPr>
            <w:tcW w:w="100" w:type="dxa"/>
            <w:vAlign w:val="bottom"/>
            <w:shd w:val="clear" w:color="auto" w:fill="D0EBF2"/>
          </w:tcPr>
          <w:p>
            <w:pPr>
              <w:spacing w:after="0"/>
              <w:rPr>
                <w:sz w:val="18"/>
                <w:szCs w:val="18"/>
                <w:color w:val="auto"/>
              </w:rPr>
            </w:pPr>
          </w:p>
        </w:tc>
        <w:tc>
          <w:tcPr>
            <w:tcW w:w="100" w:type="dxa"/>
            <w:vAlign w:val="bottom"/>
            <w:shd w:val="clear" w:color="auto" w:fill="D0EBF2"/>
          </w:tcPr>
          <w:p>
            <w:pPr>
              <w:spacing w:after="0"/>
              <w:rPr>
                <w:sz w:val="18"/>
                <w:szCs w:val="18"/>
                <w:color w:val="auto"/>
              </w:rPr>
            </w:pPr>
          </w:p>
        </w:tc>
        <w:tc>
          <w:tcPr>
            <w:tcW w:w="1040" w:type="dxa"/>
            <w:vAlign w:val="bottom"/>
            <w:shd w:val="clear" w:color="auto" w:fill="D0EBF2"/>
          </w:tcPr>
          <w:p>
            <w:pPr>
              <w:spacing w:after="0"/>
              <w:rPr>
                <w:sz w:val="18"/>
                <w:szCs w:val="18"/>
                <w:color w:val="auto"/>
              </w:rPr>
            </w:pPr>
          </w:p>
        </w:tc>
        <w:tc>
          <w:tcPr>
            <w:tcW w:w="180" w:type="dxa"/>
            <w:vAlign w:val="bottom"/>
            <w:shd w:val="clear" w:color="auto" w:fill="D0EBF2"/>
          </w:tcPr>
          <w:p>
            <w:pPr>
              <w:spacing w:after="0"/>
              <w:rPr>
                <w:sz w:val="18"/>
                <w:szCs w:val="18"/>
                <w:color w:val="auto"/>
              </w:rPr>
            </w:pPr>
          </w:p>
        </w:tc>
        <w:tc>
          <w:tcPr>
            <w:tcW w:w="200" w:type="dxa"/>
            <w:vAlign w:val="bottom"/>
            <w:shd w:val="clear" w:color="auto" w:fill="D0EBF2"/>
          </w:tcPr>
          <w:p>
            <w:pPr>
              <w:spacing w:after="0"/>
              <w:rPr>
                <w:sz w:val="18"/>
                <w:szCs w:val="18"/>
                <w:color w:val="auto"/>
              </w:rPr>
            </w:pPr>
          </w:p>
        </w:tc>
        <w:tc>
          <w:tcPr>
            <w:tcW w:w="1040" w:type="dxa"/>
            <w:vAlign w:val="bottom"/>
            <w:shd w:val="clear" w:color="auto" w:fill="D0EBF2"/>
          </w:tcPr>
          <w:p>
            <w:pPr>
              <w:spacing w:after="0"/>
              <w:rPr>
                <w:sz w:val="18"/>
                <w:szCs w:val="18"/>
                <w:color w:val="auto"/>
              </w:rPr>
            </w:pPr>
          </w:p>
        </w:tc>
        <w:tc>
          <w:tcPr>
            <w:tcW w:w="180" w:type="dxa"/>
            <w:vAlign w:val="bottom"/>
            <w:shd w:val="clear" w:color="auto" w:fill="D0EBF2"/>
          </w:tcPr>
          <w:p>
            <w:pPr>
              <w:spacing w:after="0"/>
              <w:rPr>
                <w:sz w:val="18"/>
                <w:szCs w:val="18"/>
                <w:color w:val="auto"/>
              </w:rPr>
            </w:pPr>
          </w:p>
        </w:tc>
      </w:tr>
      <w:tr>
        <w:trPr>
          <w:trHeight w:val="217"/>
        </w:trPr>
        <w:tc>
          <w:tcPr>
            <w:tcW w:w="5080" w:type="dxa"/>
            <w:vAlign w:val="bottom"/>
            <w:shd w:val="clear" w:color="auto" w:fill="D0EBF2"/>
          </w:tcPr>
          <w:p>
            <w:pPr>
              <w:ind w:left="140"/>
              <w:spacing w:after="0" w:line="217" w:lineRule="exact"/>
              <w:rPr>
                <w:sz w:val="20"/>
                <w:szCs w:val="20"/>
                <w:color w:val="auto"/>
              </w:rPr>
            </w:pPr>
            <w:r>
              <w:rPr>
                <w:rFonts w:ascii="Times New Roman" w:cs="Times New Roman" w:eastAsia="Times New Roman" w:hAnsi="Times New Roman"/>
                <w:sz w:val="19"/>
                <w:szCs w:val="19"/>
                <w:b w:val="1"/>
                <w:bCs w:val="1"/>
                <w:color w:val="231F20"/>
              </w:rPr>
              <w:t>commitments in new portfolio companies</w:t>
            </w:r>
          </w:p>
        </w:tc>
        <w:tc>
          <w:tcPr>
            <w:tcW w:w="100" w:type="dxa"/>
            <w:vAlign w:val="bottom"/>
            <w:shd w:val="clear" w:color="auto" w:fill="D0EBF2"/>
          </w:tcPr>
          <w:p>
            <w:pPr>
              <w:spacing w:after="0"/>
              <w:rPr>
                <w:sz w:val="18"/>
                <w:szCs w:val="18"/>
                <w:color w:val="auto"/>
              </w:rPr>
            </w:pPr>
          </w:p>
        </w:tc>
        <w:tc>
          <w:tcPr>
            <w:tcW w:w="200" w:type="dxa"/>
            <w:vAlign w:val="bottom"/>
            <w:shd w:val="clear" w:color="auto" w:fill="D0EBF2"/>
          </w:tcPr>
          <w:p>
            <w:pPr>
              <w:spacing w:after="0"/>
              <w:rPr>
                <w:sz w:val="18"/>
                <w:szCs w:val="18"/>
                <w:color w:val="auto"/>
              </w:rPr>
            </w:pPr>
          </w:p>
        </w:tc>
        <w:tc>
          <w:tcPr>
            <w:tcW w:w="780" w:type="dxa"/>
            <w:vAlign w:val="bottom"/>
            <w:shd w:val="clear" w:color="auto" w:fill="D0EBF2"/>
          </w:tcPr>
          <w:p>
            <w:pPr>
              <w:spacing w:after="0"/>
              <w:rPr>
                <w:sz w:val="18"/>
                <w:szCs w:val="18"/>
                <w:color w:val="auto"/>
              </w:rPr>
            </w:pPr>
          </w:p>
        </w:tc>
        <w:tc>
          <w:tcPr>
            <w:tcW w:w="180" w:type="dxa"/>
            <w:vAlign w:val="bottom"/>
            <w:shd w:val="clear" w:color="auto" w:fill="D0EBF2"/>
          </w:tcPr>
          <w:p>
            <w:pPr>
              <w:spacing w:after="0"/>
              <w:rPr>
                <w:sz w:val="18"/>
                <w:szCs w:val="18"/>
                <w:color w:val="auto"/>
              </w:rPr>
            </w:pPr>
          </w:p>
        </w:tc>
        <w:tc>
          <w:tcPr>
            <w:tcW w:w="100" w:type="dxa"/>
            <w:vAlign w:val="bottom"/>
            <w:shd w:val="clear" w:color="auto" w:fill="D0EBF2"/>
          </w:tcPr>
          <w:p>
            <w:pPr>
              <w:spacing w:after="0"/>
              <w:rPr>
                <w:sz w:val="18"/>
                <w:szCs w:val="18"/>
                <w:color w:val="auto"/>
              </w:rPr>
            </w:pPr>
          </w:p>
        </w:tc>
        <w:tc>
          <w:tcPr>
            <w:tcW w:w="100" w:type="dxa"/>
            <w:vAlign w:val="bottom"/>
            <w:shd w:val="clear" w:color="auto" w:fill="D0EBF2"/>
          </w:tcPr>
          <w:p>
            <w:pPr>
              <w:spacing w:after="0"/>
              <w:rPr>
                <w:sz w:val="18"/>
                <w:szCs w:val="18"/>
                <w:color w:val="auto"/>
              </w:rPr>
            </w:pPr>
          </w:p>
        </w:tc>
        <w:tc>
          <w:tcPr>
            <w:tcW w:w="1040" w:type="dxa"/>
            <w:vAlign w:val="bottom"/>
            <w:shd w:val="clear" w:color="auto" w:fill="D0EBF2"/>
          </w:tcPr>
          <w:p>
            <w:pPr>
              <w:spacing w:after="0"/>
              <w:rPr>
                <w:sz w:val="18"/>
                <w:szCs w:val="18"/>
                <w:color w:val="auto"/>
              </w:rPr>
            </w:pPr>
          </w:p>
        </w:tc>
        <w:tc>
          <w:tcPr>
            <w:tcW w:w="180" w:type="dxa"/>
            <w:vAlign w:val="bottom"/>
            <w:shd w:val="clear" w:color="auto" w:fill="D0EBF2"/>
          </w:tcPr>
          <w:p>
            <w:pPr>
              <w:spacing w:after="0"/>
              <w:rPr>
                <w:sz w:val="18"/>
                <w:szCs w:val="18"/>
                <w:color w:val="auto"/>
              </w:rPr>
            </w:pPr>
          </w:p>
        </w:tc>
        <w:tc>
          <w:tcPr>
            <w:tcW w:w="200" w:type="dxa"/>
            <w:vAlign w:val="bottom"/>
            <w:shd w:val="clear" w:color="auto" w:fill="D0EBF2"/>
          </w:tcPr>
          <w:p>
            <w:pPr>
              <w:spacing w:after="0"/>
              <w:rPr>
                <w:sz w:val="18"/>
                <w:szCs w:val="18"/>
                <w:color w:val="auto"/>
              </w:rPr>
            </w:pPr>
          </w:p>
        </w:tc>
        <w:tc>
          <w:tcPr>
            <w:tcW w:w="1040" w:type="dxa"/>
            <w:vAlign w:val="bottom"/>
            <w:shd w:val="clear" w:color="auto" w:fill="D0EBF2"/>
          </w:tcPr>
          <w:p>
            <w:pPr>
              <w:spacing w:after="0"/>
              <w:rPr>
                <w:sz w:val="18"/>
                <w:szCs w:val="18"/>
                <w:color w:val="auto"/>
              </w:rPr>
            </w:pPr>
          </w:p>
        </w:tc>
        <w:tc>
          <w:tcPr>
            <w:tcW w:w="180" w:type="dxa"/>
            <w:vAlign w:val="bottom"/>
            <w:shd w:val="clear" w:color="auto" w:fill="D0EBF2"/>
          </w:tcPr>
          <w:p>
            <w:pPr>
              <w:spacing w:after="0"/>
              <w:rPr>
                <w:sz w:val="18"/>
                <w:szCs w:val="18"/>
                <w:color w:val="auto"/>
              </w:rPr>
            </w:pPr>
          </w:p>
        </w:tc>
      </w:tr>
      <w:tr>
        <w:trPr>
          <w:trHeight w:val="239"/>
        </w:trPr>
        <w:tc>
          <w:tcPr>
            <w:tcW w:w="5080" w:type="dxa"/>
            <w:vAlign w:val="bottom"/>
            <w:shd w:val="clear" w:color="auto" w:fill="D0EBF2"/>
          </w:tcPr>
          <w:p>
            <w:pPr>
              <w:ind w:left="140"/>
              <w:spacing w:after="0"/>
              <w:rPr>
                <w:sz w:val="20"/>
                <w:szCs w:val="20"/>
                <w:color w:val="auto"/>
              </w:rPr>
            </w:pPr>
            <w:r>
              <w:rPr>
                <w:rFonts w:ascii="Times New Roman" w:cs="Times New Roman" w:eastAsia="Times New Roman" w:hAnsi="Times New Roman"/>
                <w:sz w:val="19"/>
                <w:szCs w:val="19"/>
                <w:b w:val="1"/>
                <w:bCs w:val="1"/>
                <w:color w:val="231F20"/>
              </w:rPr>
              <w:t>(in years)</w:t>
            </w:r>
          </w:p>
        </w:tc>
        <w:tc>
          <w:tcPr>
            <w:tcW w:w="100" w:type="dxa"/>
            <w:vAlign w:val="bottom"/>
            <w:shd w:val="clear" w:color="auto" w:fill="D0EBF2"/>
          </w:tcPr>
          <w:p>
            <w:pPr>
              <w:spacing w:after="0"/>
              <w:rPr>
                <w:sz w:val="20"/>
                <w:szCs w:val="20"/>
                <w:color w:val="auto"/>
              </w:rPr>
            </w:pPr>
          </w:p>
        </w:tc>
        <w:tc>
          <w:tcPr>
            <w:tcW w:w="200" w:type="dxa"/>
            <w:vAlign w:val="bottom"/>
            <w:shd w:val="clear" w:color="auto" w:fill="D0EBF2"/>
          </w:tcPr>
          <w:p>
            <w:pPr>
              <w:spacing w:after="0"/>
              <w:rPr>
                <w:sz w:val="20"/>
                <w:szCs w:val="20"/>
                <w:color w:val="auto"/>
              </w:rPr>
            </w:pPr>
          </w:p>
        </w:tc>
        <w:tc>
          <w:tcPr>
            <w:tcW w:w="780" w:type="dxa"/>
            <w:vAlign w:val="bottom"/>
            <w:shd w:val="clear" w:color="auto" w:fill="D0EBF2"/>
          </w:tcPr>
          <w:p>
            <w:pPr>
              <w:jc w:val="right"/>
              <w:spacing w:after="0"/>
              <w:rPr>
                <w:sz w:val="20"/>
                <w:szCs w:val="20"/>
                <w:color w:val="auto"/>
              </w:rPr>
            </w:pPr>
            <w:r>
              <w:rPr>
                <w:rFonts w:ascii="Times New Roman" w:cs="Times New Roman" w:eastAsia="Times New Roman" w:hAnsi="Times New Roman"/>
                <w:sz w:val="19"/>
                <w:szCs w:val="19"/>
                <w:color w:val="231F20"/>
              </w:rPr>
              <w:t>6.2</w:t>
            </w:r>
          </w:p>
        </w:tc>
        <w:tc>
          <w:tcPr>
            <w:tcW w:w="180" w:type="dxa"/>
            <w:vAlign w:val="bottom"/>
            <w:shd w:val="clear" w:color="auto" w:fill="D0EBF2"/>
          </w:tcPr>
          <w:p>
            <w:pPr>
              <w:spacing w:after="0"/>
              <w:rPr>
                <w:sz w:val="20"/>
                <w:szCs w:val="20"/>
                <w:color w:val="auto"/>
              </w:rPr>
            </w:pPr>
          </w:p>
        </w:tc>
        <w:tc>
          <w:tcPr>
            <w:tcW w:w="100" w:type="dxa"/>
            <w:vAlign w:val="bottom"/>
            <w:shd w:val="clear" w:color="auto" w:fill="D0EBF2"/>
          </w:tcPr>
          <w:p>
            <w:pPr>
              <w:spacing w:after="0"/>
              <w:rPr>
                <w:sz w:val="20"/>
                <w:szCs w:val="20"/>
                <w:color w:val="auto"/>
              </w:rPr>
            </w:pPr>
          </w:p>
        </w:tc>
        <w:tc>
          <w:tcPr>
            <w:tcW w:w="100" w:type="dxa"/>
            <w:vAlign w:val="bottom"/>
            <w:shd w:val="clear" w:color="auto" w:fill="D0EBF2"/>
          </w:tcPr>
          <w:p>
            <w:pPr>
              <w:spacing w:after="0"/>
              <w:rPr>
                <w:sz w:val="20"/>
                <w:szCs w:val="20"/>
                <w:color w:val="auto"/>
              </w:rPr>
            </w:pPr>
          </w:p>
        </w:tc>
        <w:tc>
          <w:tcPr>
            <w:tcW w:w="1040" w:type="dxa"/>
            <w:vAlign w:val="bottom"/>
            <w:shd w:val="clear" w:color="auto" w:fill="D0EBF2"/>
          </w:tcPr>
          <w:p>
            <w:pPr>
              <w:jc w:val="right"/>
              <w:spacing w:after="0"/>
              <w:rPr>
                <w:sz w:val="20"/>
                <w:szCs w:val="20"/>
                <w:color w:val="auto"/>
              </w:rPr>
            </w:pPr>
            <w:r>
              <w:rPr>
                <w:rFonts w:ascii="Times New Roman" w:cs="Times New Roman" w:eastAsia="Times New Roman" w:hAnsi="Times New Roman"/>
                <w:sz w:val="19"/>
                <w:szCs w:val="19"/>
                <w:color w:val="231F20"/>
              </w:rPr>
              <w:t>6.0</w:t>
            </w:r>
          </w:p>
        </w:tc>
        <w:tc>
          <w:tcPr>
            <w:tcW w:w="180" w:type="dxa"/>
            <w:vAlign w:val="bottom"/>
            <w:shd w:val="clear" w:color="auto" w:fill="D0EBF2"/>
          </w:tcPr>
          <w:p>
            <w:pPr>
              <w:spacing w:after="0"/>
              <w:rPr>
                <w:sz w:val="20"/>
                <w:szCs w:val="20"/>
                <w:color w:val="auto"/>
              </w:rPr>
            </w:pPr>
          </w:p>
        </w:tc>
        <w:tc>
          <w:tcPr>
            <w:tcW w:w="200" w:type="dxa"/>
            <w:vAlign w:val="bottom"/>
            <w:shd w:val="clear" w:color="auto" w:fill="D0EBF2"/>
          </w:tcPr>
          <w:p>
            <w:pPr>
              <w:spacing w:after="0"/>
              <w:rPr>
                <w:sz w:val="20"/>
                <w:szCs w:val="20"/>
                <w:color w:val="auto"/>
              </w:rPr>
            </w:pPr>
          </w:p>
        </w:tc>
        <w:tc>
          <w:tcPr>
            <w:tcW w:w="1040" w:type="dxa"/>
            <w:vAlign w:val="bottom"/>
            <w:shd w:val="clear" w:color="auto" w:fill="D0EBF2"/>
          </w:tcPr>
          <w:p>
            <w:pPr>
              <w:jc w:val="right"/>
              <w:spacing w:after="0"/>
              <w:rPr>
                <w:sz w:val="20"/>
                <w:szCs w:val="20"/>
                <w:color w:val="auto"/>
              </w:rPr>
            </w:pPr>
            <w:r>
              <w:rPr>
                <w:rFonts w:ascii="Times New Roman" w:cs="Times New Roman" w:eastAsia="Times New Roman" w:hAnsi="Times New Roman"/>
                <w:sz w:val="19"/>
                <w:szCs w:val="19"/>
                <w:color w:val="231F20"/>
              </w:rPr>
              <w:t>6.1</w:t>
            </w:r>
          </w:p>
        </w:tc>
        <w:tc>
          <w:tcPr>
            <w:tcW w:w="180" w:type="dxa"/>
            <w:vAlign w:val="bottom"/>
            <w:shd w:val="clear" w:color="auto" w:fill="D0EBF2"/>
          </w:tcPr>
          <w:p>
            <w:pPr>
              <w:spacing w:after="0"/>
              <w:rPr>
                <w:sz w:val="20"/>
                <w:szCs w:val="20"/>
                <w:color w:val="auto"/>
              </w:rPr>
            </w:pPr>
          </w:p>
        </w:tc>
      </w:tr>
      <w:tr>
        <w:trPr>
          <w:trHeight w:val="208"/>
        </w:trPr>
        <w:tc>
          <w:tcPr>
            <w:tcW w:w="5080" w:type="dxa"/>
            <w:vAlign w:val="bottom"/>
            <w:shd w:val="clear" w:color="auto" w:fill="FDFDFC"/>
          </w:tcPr>
          <w:p>
            <w:pPr>
              <w:spacing w:after="0" w:line="208" w:lineRule="exact"/>
              <w:rPr>
                <w:sz w:val="20"/>
                <w:szCs w:val="20"/>
                <w:color w:val="auto"/>
              </w:rPr>
            </w:pPr>
            <w:r>
              <w:rPr>
                <w:rFonts w:ascii="Times New Roman" w:cs="Times New Roman" w:eastAsia="Times New Roman" w:hAnsi="Times New Roman"/>
                <w:sz w:val="19"/>
                <w:szCs w:val="19"/>
                <w:b w:val="1"/>
                <w:bCs w:val="1"/>
                <w:color w:val="231F20"/>
              </w:rPr>
              <w:t>Percentage of new debt investment commitments</w:t>
            </w:r>
          </w:p>
        </w:tc>
        <w:tc>
          <w:tcPr>
            <w:tcW w:w="100" w:type="dxa"/>
            <w:vAlign w:val="bottom"/>
            <w:shd w:val="clear" w:color="auto" w:fill="FDFDFC"/>
          </w:tcPr>
          <w:p>
            <w:pPr>
              <w:spacing w:after="0"/>
              <w:rPr>
                <w:sz w:val="18"/>
                <w:szCs w:val="18"/>
                <w:color w:val="auto"/>
              </w:rPr>
            </w:pPr>
          </w:p>
        </w:tc>
        <w:tc>
          <w:tcPr>
            <w:tcW w:w="200" w:type="dxa"/>
            <w:vAlign w:val="bottom"/>
            <w:shd w:val="clear" w:color="auto" w:fill="FDFDFC"/>
          </w:tcPr>
          <w:p>
            <w:pPr>
              <w:spacing w:after="0"/>
              <w:rPr>
                <w:sz w:val="18"/>
                <w:szCs w:val="18"/>
                <w:color w:val="auto"/>
              </w:rPr>
            </w:pPr>
          </w:p>
        </w:tc>
        <w:tc>
          <w:tcPr>
            <w:tcW w:w="780" w:type="dxa"/>
            <w:vAlign w:val="bottom"/>
            <w:shd w:val="clear" w:color="auto" w:fill="FDFDFC"/>
          </w:tcPr>
          <w:p>
            <w:pPr>
              <w:spacing w:after="0"/>
              <w:rPr>
                <w:sz w:val="18"/>
                <w:szCs w:val="18"/>
                <w:color w:val="auto"/>
              </w:rPr>
            </w:pPr>
          </w:p>
        </w:tc>
        <w:tc>
          <w:tcPr>
            <w:tcW w:w="180" w:type="dxa"/>
            <w:vAlign w:val="bottom"/>
            <w:shd w:val="clear" w:color="auto" w:fill="FDFDFC"/>
          </w:tcPr>
          <w:p>
            <w:pPr>
              <w:spacing w:after="0"/>
              <w:rPr>
                <w:sz w:val="18"/>
                <w:szCs w:val="18"/>
                <w:color w:val="auto"/>
              </w:rPr>
            </w:pPr>
          </w:p>
        </w:tc>
        <w:tc>
          <w:tcPr>
            <w:tcW w:w="100" w:type="dxa"/>
            <w:vAlign w:val="bottom"/>
            <w:shd w:val="clear" w:color="auto" w:fill="FDFDFC"/>
          </w:tcPr>
          <w:p>
            <w:pPr>
              <w:spacing w:after="0"/>
              <w:rPr>
                <w:sz w:val="18"/>
                <w:szCs w:val="18"/>
                <w:color w:val="auto"/>
              </w:rPr>
            </w:pPr>
          </w:p>
        </w:tc>
        <w:tc>
          <w:tcPr>
            <w:tcW w:w="100" w:type="dxa"/>
            <w:vAlign w:val="bottom"/>
            <w:shd w:val="clear" w:color="auto" w:fill="FDFDFC"/>
          </w:tcPr>
          <w:p>
            <w:pPr>
              <w:spacing w:after="0"/>
              <w:rPr>
                <w:sz w:val="18"/>
                <w:szCs w:val="18"/>
                <w:color w:val="auto"/>
              </w:rPr>
            </w:pPr>
          </w:p>
        </w:tc>
        <w:tc>
          <w:tcPr>
            <w:tcW w:w="1040" w:type="dxa"/>
            <w:vAlign w:val="bottom"/>
            <w:shd w:val="clear" w:color="auto" w:fill="FDFDFC"/>
          </w:tcPr>
          <w:p>
            <w:pPr>
              <w:spacing w:after="0"/>
              <w:rPr>
                <w:sz w:val="18"/>
                <w:szCs w:val="18"/>
                <w:color w:val="auto"/>
              </w:rPr>
            </w:pPr>
          </w:p>
        </w:tc>
        <w:tc>
          <w:tcPr>
            <w:tcW w:w="180" w:type="dxa"/>
            <w:vAlign w:val="bottom"/>
            <w:shd w:val="clear" w:color="auto" w:fill="FDFDFC"/>
          </w:tcPr>
          <w:p>
            <w:pPr>
              <w:spacing w:after="0"/>
              <w:rPr>
                <w:sz w:val="18"/>
                <w:szCs w:val="18"/>
                <w:color w:val="auto"/>
              </w:rPr>
            </w:pPr>
          </w:p>
        </w:tc>
        <w:tc>
          <w:tcPr>
            <w:tcW w:w="200" w:type="dxa"/>
            <w:vAlign w:val="bottom"/>
            <w:shd w:val="clear" w:color="auto" w:fill="FDFDFC"/>
          </w:tcPr>
          <w:p>
            <w:pPr>
              <w:spacing w:after="0"/>
              <w:rPr>
                <w:sz w:val="18"/>
                <w:szCs w:val="18"/>
                <w:color w:val="auto"/>
              </w:rPr>
            </w:pPr>
          </w:p>
        </w:tc>
        <w:tc>
          <w:tcPr>
            <w:tcW w:w="1040" w:type="dxa"/>
            <w:vAlign w:val="bottom"/>
            <w:shd w:val="clear" w:color="auto" w:fill="FDFDFC"/>
          </w:tcPr>
          <w:p>
            <w:pPr>
              <w:spacing w:after="0"/>
              <w:rPr>
                <w:sz w:val="18"/>
                <w:szCs w:val="18"/>
                <w:color w:val="auto"/>
              </w:rPr>
            </w:pPr>
          </w:p>
        </w:tc>
        <w:tc>
          <w:tcPr>
            <w:tcW w:w="180" w:type="dxa"/>
            <w:vAlign w:val="bottom"/>
            <w:shd w:val="clear" w:color="auto" w:fill="FDFDFC"/>
          </w:tcPr>
          <w:p>
            <w:pPr>
              <w:spacing w:after="0"/>
              <w:rPr>
                <w:sz w:val="18"/>
                <w:szCs w:val="18"/>
                <w:color w:val="auto"/>
              </w:rPr>
            </w:pPr>
          </w:p>
        </w:tc>
      </w:tr>
      <w:tr>
        <w:trPr>
          <w:trHeight w:val="239"/>
        </w:trPr>
        <w:tc>
          <w:tcPr>
            <w:tcW w:w="5080" w:type="dxa"/>
            <w:vAlign w:val="bottom"/>
            <w:shd w:val="clear" w:color="auto" w:fill="FDFDFC"/>
          </w:tcPr>
          <w:p>
            <w:pPr>
              <w:ind w:left="140"/>
              <w:spacing w:after="0"/>
              <w:rPr>
                <w:sz w:val="20"/>
                <w:szCs w:val="20"/>
                <w:color w:val="auto"/>
              </w:rPr>
            </w:pPr>
            <w:r>
              <w:rPr>
                <w:rFonts w:ascii="Times New Roman" w:cs="Times New Roman" w:eastAsia="Times New Roman" w:hAnsi="Times New Roman"/>
                <w:sz w:val="19"/>
                <w:szCs w:val="19"/>
                <w:b w:val="1"/>
                <w:bCs w:val="1"/>
                <w:color w:val="231F20"/>
              </w:rPr>
              <w:t>at floating rates</w:t>
            </w:r>
          </w:p>
        </w:tc>
        <w:tc>
          <w:tcPr>
            <w:tcW w:w="100" w:type="dxa"/>
            <w:vAlign w:val="bottom"/>
            <w:shd w:val="clear" w:color="auto" w:fill="FDFDFC"/>
          </w:tcPr>
          <w:p>
            <w:pPr>
              <w:spacing w:after="0"/>
              <w:rPr>
                <w:sz w:val="20"/>
                <w:szCs w:val="20"/>
                <w:color w:val="auto"/>
              </w:rPr>
            </w:pPr>
          </w:p>
        </w:tc>
        <w:tc>
          <w:tcPr>
            <w:tcW w:w="200" w:type="dxa"/>
            <w:vAlign w:val="bottom"/>
            <w:shd w:val="clear" w:color="auto" w:fill="FDFDFC"/>
          </w:tcPr>
          <w:p>
            <w:pPr>
              <w:spacing w:after="0"/>
              <w:rPr>
                <w:sz w:val="20"/>
                <w:szCs w:val="20"/>
                <w:color w:val="auto"/>
              </w:rPr>
            </w:pPr>
          </w:p>
        </w:tc>
        <w:tc>
          <w:tcPr>
            <w:tcW w:w="960" w:type="dxa"/>
            <w:vAlign w:val="bottom"/>
            <w:gridSpan w:val="2"/>
            <w:shd w:val="clear" w:color="auto" w:fill="FDFDFC"/>
          </w:tcPr>
          <w:p>
            <w:pPr>
              <w:jc w:val="right"/>
              <w:ind w:right="20"/>
              <w:spacing w:after="0"/>
              <w:rPr>
                <w:sz w:val="20"/>
                <w:szCs w:val="20"/>
                <w:color w:val="auto"/>
              </w:rPr>
            </w:pPr>
            <w:r>
              <w:rPr>
                <w:rFonts w:ascii="Times New Roman" w:cs="Times New Roman" w:eastAsia="Times New Roman" w:hAnsi="Times New Roman"/>
                <w:sz w:val="19"/>
                <w:szCs w:val="19"/>
                <w:color w:val="231F20"/>
              </w:rPr>
              <w:t>87.6 %</w:t>
            </w:r>
          </w:p>
        </w:tc>
        <w:tc>
          <w:tcPr>
            <w:tcW w:w="100" w:type="dxa"/>
            <w:vAlign w:val="bottom"/>
            <w:shd w:val="clear" w:color="auto" w:fill="FDFDFC"/>
          </w:tcPr>
          <w:p>
            <w:pPr>
              <w:spacing w:after="0"/>
              <w:rPr>
                <w:sz w:val="20"/>
                <w:szCs w:val="20"/>
                <w:color w:val="auto"/>
              </w:rPr>
            </w:pPr>
          </w:p>
        </w:tc>
        <w:tc>
          <w:tcPr>
            <w:tcW w:w="100" w:type="dxa"/>
            <w:vAlign w:val="bottom"/>
            <w:shd w:val="clear" w:color="auto" w:fill="FDFDFC"/>
          </w:tcPr>
          <w:p>
            <w:pPr>
              <w:spacing w:after="0"/>
              <w:rPr>
                <w:sz w:val="20"/>
                <w:szCs w:val="20"/>
                <w:color w:val="auto"/>
              </w:rPr>
            </w:pPr>
          </w:p>
        </w:tc>
        <w:tc>
          <w:tcPr>
            <w:tcW w:w="1220" w:type="dxa"/>
            <w:vAlign w:val="bottom"/>
            <w:gridSpan w:val="2"/>
            <w:shd w:val="clear" w:color="auto" w:fill="FDFDFC"/>
          </w:tcPr>
          <w:p>
            <w:pPr>
              <w:jc w:val="right"/>
              <w:ind w:right="20"/>
              <w:spacing w:after="0"/>
              <w:rPr>
                <w:sz w:val="20"/>
                <w:szCs w:val="20"/>
                <w:color w:val="auto"/>
              </w:rPr>
            </w:pPr>
            <w:r>
              <w:rPr>
                <w:rFonts w:ascii="Times New Roman" w:cs="Times New Roman" w:eastAsia="Times New Roman" w:hAnsi="Times New Roman"/>
                <w:sz w:val="19"/>
                <w:szCs w:val="19"/>
                <w:color w:val="231F20"/>
              </w:rPr>
              <w:t>99.5 %</w:t>
            </w:r>
          </w:p>
        </w:tc>
        <w:tc>
          <w:tcPr>
            <w:tcW w:w="200" w:type="dxa"/>
            <w:vAlign w:val="bottom"/>
            <w:shd w:val="clear" w:color="auto" w:fill="FDFDFC"/>
          </w:tcPr>
          <w:p>
            <w:pPr>
              <w:spacing w:after="0"/>
              <w:rPr>
                <w:sz w:val="20"/>
                <w:szCs w:val="20"/>
                <w:color w:val="auto"/>
              </w:rPr>
            </w:pPr>
          </w:p>
        </w:tc>
        <w:tc>
          <w:tcPr>
            <w:tcW w:w="1220" w:type="dxa"/>
            <w:vAlign w:val="bottom"/>
            <w:gridSpan w:val="2"/>
            <w:shd w:val="clear" w:color="auto" w:fill="FDFDFC"/>
          </w:tcPr>
          <w:p>
            <w:pPr>
              <w:jc w:val="right"/>
              <w:ind w:right="20"/>
              <w:spacing w:after="0"/>
              <w:rPr>
                <w:sz w:val="20"/>
                <w:szCs w:val="20"/>
                <w:color w:val="auto"/>
              </w:rPr>
            </w:pPr>
            <w:r>
              <w:rPr>
                <w:rFonts w:ascii="Times New Roman" w:cs="Times New Roman" w:eastAsia="Times New Roman" w:hAnsi="Times New Roman"/>
                <w:sz w:val="19"/>
                <w:szCs w:val="19"/>
                <w:color w:val="231F20"/>
              </w:rPr>
              <w:t>98.9 %</w:t>
            </w:r>
          </w:p>
        </w:tc>
      </w:tr>
      <w:tr>
        <w:trPr>
          <w:trHeight w:val="208"/>
        </w:trPr>
        <w:tc>
          <w:tcPr>
            <w:tcW w:w="5080" w:type="dxa"/>
            <w:vAlign w:val="bottom"/>
            <w:shd w:val="clear" w:color="auto" w:fill="D0EBF2"/>
          </w:tcPr>
          <w:p>
            <w:pPr>
              <w:spacing w:after="0" w:line="209" w:lineRule="exact"/>
              <w:rPr>
                <w:sz w:val="20"/>
                <w:szCs w:val="20"/>
                <w:color w:val="auto"/>
              </w:rPr>
            </w:pPr>
            <w:r>
              <w:rPr>
                <w:rFonts w:ascii="Times New Roman" w:cs="Times New Roman" w:eastAsia="Times New Roman" w:hAnsi="Times New Roman"/>
                <w:sz w:val="19"/>
                <w:szCs w:val="19"/>
                <w:b w:val="1"/>
                <w:bCs w:val="1"/>
                <w:color w:val="231F20"/>
              </w:rPr>
              <w:t>Percentage of new debt investment commitments</w:t>
            </w:r>
          </w:p>
        </w:tc>
        <w:tc>
          <w:tcPr>
            <w:tcW w:w="100" w:type="dxa"/>
            <w:vAlign w:val="bottom"/>
            <w:shd w:val="clear" w:color="auto" w:fill="D0EBF2"/>
          </w:tcPr>
          <w:p>
            <w:pPr>
              <w:spacing w:after="0"/>
              <w:rPr>
                <w:sz w:val="18"/>
                <w:szCs w:val="18"/>
                <w:color w:val="auto"/>
              </w:rPr>
            </w:pPr>
          </w:p>
        </w:tc>
        <w:tc>
          <w:tcPr>
            <w:tcW w:w="200" w:type="dxa"/>
            <w:vAlign w:val="bottom"/>
            <w:shd w:val="clear" w:color="auto" w:fill="D0EBF2"/>
          </w:tcPr>
          <w:p>
            <w:pPr>
              <w:spacing w:after="0"/>
              <w:rPr>
                <w:sz w:val="18"/>
                <w:szCs w:val="18"/>
                <w:color w:val="auto"/>
              </w:rPr>
            </w:pPr>
          </w:p>
        </w:tc>
        <w:tc>
          <w:tcPr>
            <w:tcW w:w="780" w:type="dxa"/>
            <w:vAlign w:val="bottom"/>
            <w:shd w:val="clear" w:color="auto" w:fill="D0EBF2"/>
          </w:tcPr>
          <w:p>
            <w:pPr>
              <w:spacing w:after="0"/>
              <w:rPr>
                <w:sz w:val="18"/>
                <w:szCs w:val="18"/>
                <w:color w:val="auto"/>
              </w:rPr>
            </w:pPr>
          </w:p>
        </w:tc>
        <w:tc>
          <w:tcPr>
            <w:tcW w:w="180" w:type="dxa"/>
            <w:vAlign w:val="bottom"/>
            <w:shd w:val="clear" w:color="auto" w:fill="D0EBF2"/>
          </w:tcPr>
          <w:p>
            <w:pPr>
              <w:spacing w:after="0"/>
              <w:rPr>
                <w:sz w:val="18"/>
                <w:szCs w:val="18"/>
                <w:color w:val="auto"/>
              </w:rPr>
            </w:pPr>
          </w:p>
        </w:tc>
        <w:tc>
          <w:tcPr>
            <w:tcW w:w="100" w:type="dxa"/>
            <w:vAlign w:val="bottom"/>
            <w:shd w:val="clear" w:color="auto" w:fill="D0EBF2"/>
          </w:tcPr>
          <w:p>
            <w:pPr>
              <w:spacing w:after="0"/>
              <w:rPr>
                <w:sz w:val="18"/>
                <w:szCs w:val="18"/>
                <w:color w:val="auto"/>
              </w:rPr>
            </w:pPr>
          </w:p>
        </w:tc>
        <w:tc>
          <w:tcPr>
            <w:tcW w:w="100" w:type="dxa"/>
            <w:vAlign w:val="bottom"/>
            <w:shd w:val="clear" w:color="auto" w:fill="D0EBF2"/>
          </w:tcPr>
          <w:p>
            <w:pPr>
              <w:spacing w:after="0"/>
              <w:rPr>
                <w:sz w:val="18"/>
                <w:szCs w:val="18"/>
                <w:color w:val="auto"/>
              </w:rPr>
            </w:pPr>
          </w:p>
        </w:tc>
        <w:tc>
          <w:tcPr>
            <w:tcW w:w="1040" w:type="dxa"/>
            <w:vAlign w:val="bottom"/>
            <w:shd w:val="clear" w:color="auto" w:fill="D0EBF2"/>
          </w:tcPr>
          <w:p>
            <w:pPr>
              <w:spacing w:after="0"/>
              <w:rPr>
                <w:sz w:val="18"/>
                <w:szCs w:val="18"/>
                <w:color w:val="auto"/>
              </w:rPr>
            </w:pPr>
          </w:p>
        </w:tc>
        <w:tc>
          <w:tcPr>
            <w:tcW w:w="180" w:type="dxa"/>
            <w:vAlign w:val="bottom"/>
            <w:shd w:val="clear" w:color="auto" w:fill="D0EBF2"/>
          </w:tcPr>
          <w:p>
            <w:pPr>
              <w:spacing w:after="0"/>
              <w:rPr>
                <w:sz w:val="18"/>
                <w:szCs w:val="18"/>
                <w:color w:val="auto"/>
              </w:rPr>
            </w:pPr>
          </w:p>
        </w:tc>
        <w:tc>
          <w:tcPr>
            <w:tcW w:w="200" w:type="dxa"/>
            <w:vAlign w:val="bottom"/>
            <w:shd w:val="clear" w:color="auto" w:fill="D0EBF2"/>
          </w:tcPr>
          <w:p>
            <w:pPr>
              <w:spacing w:after="0"/>
              <w:rPr>
                <w:sz w:val="18"/>
                <w:szCs w:val="18"/>
                <w:color w:val="auto"/>
              </w:rPr>
            </w:pPr>
          </w:p>
        </w:tc>
        <w:tc>
          <w:tcPr>
            <w:tcW w:w="1040" w:type="dxa"/>
            <w:vAlign w:val="bottom"/>
            <w:shd w:val="clear" w:color="auto" w:fill="D0EBF2"/>
          </w:tcPr>
          <w:p>
            <w:pPr>
              <w:spacing w:after="0"/>
              <w:rPr>
                <w:sz w:val="18"/>
                <w:szCs w:val="18"/>
                <w:color w:val="auto"/>
              </w:rPr>
            </w:pPr>
          </w:p>
        </w:tc>
        <w:tc>
          <w:tcPr>
            <w:tcW w:w="180" w:type="dxa"/>
            <w:vAlign w:val="bottom"/>
            <w:shd w:val="clear" w:color="auto" w:fill="D0EBF2"/>
          </w:tcPr>
          <w:p>
            <w:pPr>
              <w:spacing w:after="0"/>
              <w:rPr>
                <w:sz w:val="18"/>
                <w:szCs w:val="18"/>
                <w:color w:val="auto"/>
              </w:rPr>
            </w:pPr>
          </w:p>
        </w:tc>
      </w:tr>
      <w:tr>
        <w:trPr>
          <w:trHeight w:val="239"/>
        </w:trPr>
        <w:tc>
          <w:tcPr>
            <w:tcW w:w="5080" w:type="dxa"/>
            <w:vAlign w:val="bottom"/>
            <w:shd w:val="clear" w:color="auto" w:fill="D0EBF2"/>
          </w:tcPr>
          <w:p>
            <w:pPr>
              <w:ind w:left="140"/>
              <w:spacing w:after="0"/>
              <w:rPr>
                <w:sz w:val="20"/>
                <w:szCs w:val="20"/>
                <w:color w:val="auto"/>
              </w:rPr>
            </w:pPr>
            <w:r>
              <w:rPr>
                <w:rFonts w:ascii="Times New Roman" w:cs="Times New Roman" w:eastAsia="Times New Roman" w:hAnsi="Times New Roman"/>
                <w:sz w:val="19"/>
                <w:szCs w:val="19"/>
                <w:b w:val="1"/>
                <w:bCs w:val="1"/>
                <w:color w:val="231F20"/>
              </w:rPr>
              <w:t>at fixed rates</w:t>
            </w:r>
          </w:p>
        </w:tc>
        <w:tc>
          <w:tcPr>
            <w:tcW w:w="100" w:type="dxa"/>
            <w:vAlign w:val="bottom"/>
            <w:shd w:val="clear" w:color="auto" w:fill="D0EBF2"/>
          </w:tcPr>
          <w:p>
            <w:pPr>
              <w:spacing w:after="0"/>
              <w:rPr>
                <w:sz w:val="20"/>
                <w:szCs w:val="20"/>
                <w:color w:val="auto"/>
              </w:rPr>
            </w:pPr>
          </w:p>
        </w:tc>
        <w:tc>
          <w:tcPr>
            <w:tcW w:w="200" w:type="dxa"/>
            <w:vAlign w:val="bottom"/>
            <w:shd w:val="clear" w:color="auto" w:fill="D0EBF2"/>
          </w:tcPr>
          <w:p>
            <w:pPr>
              <w:spacing w:after="0"/>
              <w:rPr>
                <w:sz w:val="20"/>
                <w:szCs w:val="20"/>
                <w:color w:val="auto"/>
              </w:rPr>
            </w:pPr>
          </w:p>
        </w:tc>
        <w:tc>
          <w:tcPr>
            <w:tcW w:w="960" w:type="dxa"/>
            <w:vAlign w:val="bottom"/>
            <w:gridSpan w:val="2"/>
            <w:shd w:val="clear" w:color="auto" w:fill="D0EBF2"/>
          </w:tcPr>
          <w:p>
            <w:pPr>
              <w:jc w:val="right"/>
              <w:ind w:right="20"/>
              <w:spacing w:after="0"/>
              <w:rPr>
                <w:sz w:val="20"/>
                <w:szCs w:val="20"/>
                <w:color w:val="auto"/>
              </w:rPr>
            </w:pPr>
            <w:r>
              <w:rPr>
                <w:rFonts w:ascii="Times New Roman" w:cs="Times New Roman" w:eastAsia="Times New Roman" w:hAnsi="Times New Roman"/>
                <w:sz w:val="19"/>
                <w:szCs w:val="19"/>
                <w:color w:val="231F20"/>
              </w:rPr>
              <w:t>12.4 %</w:t>
            </w:r>
          </w:p>
        </w:tc>
        <w:tc>
          <w:tcPr>
            <w:tcW w:w="100" w:type="dxa"/>
            <w:vAlign w:val="bottom"/>
            <w:shd w:val="clear" w:color="auto" w:fill="D0EBF2"/>
          </w:tcPr>
          <w:p>
            <w:pPr>
              <w:spacing w:after="0"/>
              <w:rPr>
                <w:sz w:val="20"/>
                <w:szCs w:val="20"/>
                <w:color w:val="auto"/>
              </w:rPr>
            </w:pPr>
          </w:p>
        </w:tc>
        <w:tc>
          <w:tcPr>
            <w:tcW w:w="100" w:type="dxa"/>
            <w:vAlign w:val="bottom"/>
            <w:shd w:val="clear" w:color="auto" w:fill="D0EBF2"/>
          </w:tcPr>
          <w:p>
            <w:pPr>
              <w:spacing w:after="0"/>
              <w:rPr>
                <w:sz w:val="20"/>
                <w:szCs w:val="20"/>
                <w:color w:val="auto"/>
              </w:rPr>
            </w:pPr>
          </w:p>
        </w:tc>
        <w:tc>
          <w:tcPr>
            <w:tcW w:w="1220" w:type="dxa"/>
            <w:vAlign w:val="bottom"/>
            <w:gridSpan w:val="2"/>
            <w:shd w:val="clear" w:color="auto" w:fill="D0EBF2"/>
          </w:tcPr>
          <w:p>
            <w:pPr>
              <w:jc w:val="right"/>
              <w:ind w:right="20"/>
              <w:spacing w:after="0"/>
              <w:rPr>
                <w:sz w:val="20"/>
                <w:szCs w:val="20"/>
                <w:color w:val="auto"/>
              </w:rPr>
            </w:pPr>
            <w:r>
              <w:rPr>
                <w:rFonts w:ascii="Times New Roman" w:cs="Times New Roman" w:eastAsia="Times New Roman" w:hAnsi="Times New Roman"/>
                <w:sz w:val="19"/>
                <w:szCs w:val="19"/>
                <w:color w:val="231F20"/>
              </w:rPr>
              <w:t>0.5 %</w:t>
            </w:r>
          </w:p>
        </w:tc>
        <w:tc>
          <w:tcPr>
            <w:tcW w:w="200" w:type="dxa"/>
            <w:vAlign w:val="bottom"/>
            <w:shd w:val="clear" w:color="auto" w:fill="D0EBF2"/>
          </w:tcPr>
          <w:p>
            <w:pPr>
              <w:spacing w:after="0"/>
              <w:rPr>
                <w:sz w:val="20"/>
                <w:szCs w:val="20"/>
                <w:color w:val="auto"/>
              </w:rPr>
            </w:pPr>
          </w:p>
        </w:tc>
        <w:tc>
          <w:tcPr>
            <w:tcW w:w="1220" w:type="dxa"/>
            <w:vAlign w:val="bottom"/>
            <w:gridSpan w:val="2"/>
            <w:shd w:val="clear" w:color="auto" w:fill="D0EBF2"/>
          </w:tcPr>
          <w:p>
            <w:pPr>
              <w:jc w:val="right"/>
              <w:ind w:right="20"/>
              <w:spacing w:after="0"/>
              <w:rPr>
                <w:sz w:val="20"/>
                <w:szCs w:val="20"/>
                <w:color w:val="auto"/>
              </w:rPr>
            </w:pPr>
            <w:r>
              <w:rPr>
                <w:rFonts w:ascii="Times New Roman" w:cs="Times New Roman" w:eastAsia="Times New Roman" w:hAnsi="Times New Roman"/>
                <w:sz w:val="19"/>
                <w:szCs w:val="19"/>
                <w:color w:val="231F20"/>
              </w:rPr>
              <w:t>1.1 %</w:t>
            </w:r>
          </w:p>
        </w:tc>
      </w:tr>
      <w:tr>
        <w:trPr>
          <w:trHeight w:val="208"/>
        </w:trPr>
        <w:tc>
          <w:tcPr>
            <w:tcW w:w="5080" w:type="dxa"/>
            <w:vAlign w:val="bottom"/>
            <w:shd w:val="clear" w:color="auto" w:fill="FDFDFC"/>
          </w:tcPr>
          <w:p>
            <w:pPr>
              <w:spacing w:after="0" w:line="209" w:lineRule="exact"/>
              <w:rPr>
                <w:sz w:val="20"/>
                <w:szCs w:val="20"/>
                <w:color w:val="auto"/>
              </w:rPr>
            </w:pPr>
            <w:r>
              <w:rPr>
                <w:rFonts w:ascii="Times New Roman" w:cs="Times New Roman" w:eastAsia="Times New Roman" w:hAnsi="Times New Roman"/>
                <w:sz w:val="19"/>
                <w:szCs w:val="19"/>
                <w:b w:val="1"/>
                <w:bCs w:val="1"/>
                <w:color w:val="231F20"/>
              </w:rPr>
              <w:t>Weighted average interest rate of new</w:t>
            </w:r>
          </w:p>
        </w:tc>
        <w:tc>
          <w:tcPr>
            <w:tcW w:w="100" w:type="dxa"/>
            <w:vAlign w:val="bottom"/>
            <w:shd w:val="clear" w:color="auto" w:fill="FDFDFC"/>
          </w:tcPr>
          <w:p>
            <w:pPr>
              <w:spacing w:after="0"/>
              <w:rPr>
                <w:sz w:val="18"/>
                <w:szCs w:val="18"/>
                <w:color w:val="auto"/>
              </w:rPr>
            </w:pPr>
          </w:p>
        </w:tc>
        <w:tc>
          <w:tcPr>
            <w:tcW w:w="200" w:type="dxa"/>
            <w:vAlign w:val="bottom"/>
            <w:shd w:val="clear" w:color="auto" w:fill="FDFDFC"/>
          </w:tcPr>
          <w:p>
            <w:pPr>
              <w:spacing w:after="0"/>
              <w:rPr>
                <w:sz w:val="18"/>
                <w:szCs w:val="18"/>
                <w:color w:val="auto"/>
              </w:rPr>
            </w:pPr>
          </w:p>
        </w:tc>
        <w:tc>
          <w:tcPr>
            <w:tcW w:w="780" w:type="dxa"/>
            <w:vAlign w:val="bottom"/>
            <w:shd w:val="clear" w:color="auto" w:fill="FDFDFC"/>
          </w:tcPr>
          <w:p>
            <w:pPr>
              <w:spacing w:after="0"/>
              <w:rPr>
                <w:sz w:val="18"/>
                <w:szCs w:val="18"/>
                <w:color w:val="auto"/>
              </w:rPr>
            </w:pPr>
          </w:p>
        </w:tc>
        <w:tc>
          <w:tcPr>
            <w:tcW w:w="180" w:type="dxa"/>
            <w:vAlign w:val="bottom"/>
            <w:shd w:val="clear" w:color="auto" w:fill="FDFDFC"/>
          </w:tcPr>
          <w:p>
            <w:pPr>
              <w:spacing w:after="0"/>
              <w:rPr>
                <w:sz w:val="18"/>
                <w:szCs w:val="18"/>
                <w:color w:val="auto"/>
              </w:rPr>
            </w:pPr>
          </w:p>
        </w:tc>
        <w:tc>
          <w:tcPr>
            <w:tcW w:w="100" w:type="dxa"/>
            <w:vAlign w:val="bottom"/>
            <w:shd w:val="clear" w:color="auto" w:fill="FDFDFC"/>
          </w:tcPr>
          <w:p>
            <w:pPr>
              <w:spacing w:after="0"/>
              <w:rPr>
                <w:sz w:val="18"/>
                <w:szCs w:val="18"/>
                <w:color w:val="auto"/>
              </w:rPr>
            </w:pPr>
          </w:p>
        </w:tc>
        <w:tc>
          <w:tcPr>
            <w:tcW w:w="100" w:type="dxa"/>
            <w:vAlign w:val="bottom"/>
            <w:shd w:val="clear" w:color="auto" w:fill="FDFDFC"/>
          </w:tcPr>
          <w:p>
            <w:pPr>
              <w:spacing w:after="0"/>
              <w:rPr>
                <w:sz w:val="18"/>
                <w:szCs w:val="18"/>
                <w:color w:val="auto"/>
              </w:rPr>
            </w:pPr>
          </w:p>
        </w:tc>
        <w:tc>
          <w:tcPr>
            <w:tcW w:w="1040" w:type="dxa"/>
            <w:vAlign w:val="bottom"/>
            <w:shd w:val="clear" w:color="auto" w:fill="FDFDFC"/>
          </w:tcPr>
          <w:p>
            <w:pPr>
              <w:spacing w:after="0"/>
              <w:rPr>
                <w:sz w:val="18"/>
                <w:szCs w:val="18"/>
                <w:color w:val="auto"/>
              </w:rPr>
            </w:pPr>
          </w:p>
        </w:tc>
        <w:tc>
          <w:tcPr>
            <w:tcW w:w="180" w:type="dxa"/>
            <w:vAlign w:val="bottom"/>
            <w:shd w:val="clear" w:color="auto" w:fill="FDFDFC"/>
          </w:tcPr>
          <w:p>
            <w:pPr>
              <w:spacing w:after="0"/>
              <w:rPr>
                <w:sz w:val="18"/>
                <w:szCs w:val="18"/>
                <w:color w:val="auto"/>
              </w:rPr>
            </w:pPr>
          </w:p>
        </w:tc>
        <w:tc>
          <w:tcPr>
            <w:tcW w:w="200" w:type="dxa"/>
            <w:vAlign w:val="bottom"/>
            <w:shd w:val="clear" w:color="auto" w:fill="FDFDFC"/>
          </w:tcPr>
          <w:p>
            <w:pPr>
              <w:spacing w:after="0"/>
              <w:rPr>
                <w:sz w:val="18"/>
                <w:szCs w:val="18"/>
                <w:color w:val="auto"/>
              </w:rPr>
            </w:pPr>
          </w:p>
        </w:tc>
        <w:tc>
          <w:tcPr>
            <w:tcW w:w="1040" w:type="dxa"/>
            <w:vAlign w:val="bottom"/>
            <w:shd w:val="clear" w:color="auto" w:fill="FDFDFC"/>
          </w:tcPr>
          <w:p>
            <w:pPr>
              <w:spacing w:after="0"/>
              <w:rPr>
                <w:sz w:val="18"/>
                <w:szCs w:val="18"/>
                <w:color w:val="auto"/>
              </w:rPr>
            </w:pPr>
          </w:p>
        </w:tc>
        <w:tc>
          <w:tcPr>
            <w:tcW w:w="180" w:type="dxa"/>
            <w:vAlign w:val="bottom"/>
            <w:shd w:val="clear" w:color="auto" w:fill="FDFDFC"/>
          </w:tcPr>
          <w:p>
            <w:pPr>
              <w:spacing w:after="0"/>
              <w:rPr>
                <w:sz w:val="18"/>
                <w:szCs w:val="18"/>
                <w:color w:val="auto"/>
              </w:rPr>
            </w:pPr>
          </w:p>
        </w:tc>
      </w:tr>
      <w:tr>
        <w:trPr>
          <w:trHeight w:val="239"/>
        </w:trPr>
        <w:tc>
          <w:tcPr>
            <w:tcW w:w="5080" w:type="dxa"/>
            <w:vAlign w:val="bottom"/>
            <w:shd w:val="clear" w:color="auto" w:fill="FDFDFC"/>
          </w:tcPr>
          <w:p>
            <w:pPr>
              <w:ind w:left="140"/>
              <w:spacing w:after="0"/>
              <w:rPr>
                <w:sz w:val="20"/>
                <w:szCs w:val="20"/>
                <w:color w:val="auto"/>
              </w:rPr>
            </w:pPr>
            <w:r>
              <w:rPr>
                <w:rFonts w:ascii="Times New Roman" w:cs="Times New Roman" w:eastAsia="Times New Roman" w:hAnsi="Times New Roman"/>
                <w:sz w:val="19"/>
                <w:szCs w:val="19"/>
                <w:b w:val="1"/>
                <w:bCs w:val="1"/>
                <w:color w:val="231F20"/>
              </w:rPr>
              <w:t>investment commitments</w:t>
            </w:r>
          </w:p>
        </w:tc>
        <w:tc>
          <w:tcPr>
            <w:tcW w:w="100" w:type="dxa"/>
            <w:vAlign w:val="bottom"/>
            <w:shd w:val="clear" w:color="auto" w:fill="FDFDFC"/>
          </w:tcPr>
          <w:p>
            <w:pPr>
              <w:spacing w:after="0"/>
              <w:rPr>
                <w:sz w:val="20"/>
                <w:szCs w:val="20"/>
                <w:color w:val="auto"/>
              </w:rPr>
            </w:pPr>
          </w:p>
        </w:tc>
        <w:tc>
          <w:tcPr>
            <w:tcW w:w="200" w:type="dxa"/>
            <w:vAlign w:val="bottom"/>
            <w:shd w:val="clear" w:color="auto" w:fill="FDFDFC"/>
          </w:tcPr>
          <w:p>
            <w:pPr>
              <w:spacing w:after="0"/>
              <w:rPr>
                <w:sz w:val="20"/>
                <w:szCs w:val="20"/>
                <w:color w:val="auto"/>
              </w:rPr>
            </w:pPr>
          </w:p>
        </w:tc>
        <w:tc>
          <w:tcPr>
            <w:tcW w:w="960" w:type="dxa"/>
            <w:vAlign w:val="bottom"/>
            <w:gridSpan w:val="2"/>
            <w:shd w:val="clear" w:color="auto" w:fill="FDFDFC"/>
          </w:tcPr>
          <w:p>
            <w:pPr>
              <w:jc w:val="right"/>
              <w:ind w:right="20"/>
              <w:spacing w:after="0"/>
              <w:rPr>
                <w:sz w:val="20"/>
                <w:szCs w:val="20"/>
                <w:color w:val="auto"/>
              </w:rPr>
            </w:pPr>
            <w:r>
              <w:rPr>
                <w:rFonts w:ascii="Times New Roman" w:cs="Times New Roman" w:eastAsia="Times New Roman" w:hAnsi="Times New Roman"/>
                <w:sz w:val="19"/>
                <w:szCs w:val="19"/>
                <w:color w:val="231F20"/>
              </w:rPr>
              <w:t>10.9 %</w:t>
            </w:r>
          </w:p>
        </w:tc>
        <w:tc>
          <w:tcPr>
            <w:tcW w:w="100" w:type="dxa"/>
            <w:vAlign w:val="bottom"/>
            <w:shd w:val="clear" w:color="auto" w:fill="FDFDFC"/>
          </w:tcPr>
          <w:p>
            <w:pPr>
              <w:spacing w:after="0"/>
              <w:rPr>
                <w:sz w:val="20"/>
                <w:szCs w:val="20"/>
                <w:color w:val="auto"/>
              </w:rPr>
            </w:pPr>
          </w:p>
        </w:tc>
        <w:tc>
          <w:tcPr>
            <w:tcW w:w="100" w:type="dxa"/>
            <w:vAlign w:val="bottom"/>
            <w:shd w:val="clear" w:color="auto" w:fill="FDFDFC"/>
          </w:tcPr>
          <w:p>
            <w:pPr>
              <w:spacing w:after="0"/>
              <w:rPr>
                <w:sz w:val="20"/>
                <w:szCs w:val="20"/>
                <w:color w:val="auto"/>
              </w:rPr>
            </w:pPr>
          </w:p>
        </w:tc>
        <w:tc>
          <w:tcPr>
            <w:tcW w:w="1220" w:type="dxa"/>
            <w:vAlign w:val="bottom"/>
            <w:gridSpan w:val="2"/>
            <w:shd w:val="clear" w:color="auto" w:fill="FDFDFC"/>
          </w:tcPr>
          <w:p>
            <w:pPr>
              <w:jc w:val="right"/>
              <w:ind w:right="20"/>
              <w:spacing w:after="0"/>
              <w:rPr>
                <w:sz w:val="20"/>
                <w:szCs w:val="20"/>
                <w:color w:val="auto"/>
              </w:rPr>
            </w:pPr>
            <w:r>
              <w:rPr>
                <w:rFonts w:ascii="Times New Roman" w:cs="Times New Roman" w:eastAsia="Times New Roman" w:hAnsi="Times New Roman"/>
                <w:sz w:val="19"/>
                <w:szCs w:val="19"/>
                <w:color w:val="231F20"/>
              </w:rPr>
              <w:t>12.9 %</w:t>
            </w:r>
          </w:p>
        </w:tc>
        <w:tc>
          <w:tcPr>
            <w:tcW w:w="200" w:type="dxa"/>
            <w:vAlign w:val="bottom"/>
            <w:shd w:val="clear" w:color="auto" w:fill="FDFDFC"/>
          </w:tcPr>
          <w:p>
            <w:pPr>
              <w:spacing w:after="0"/>
              <w:rPr>
                <w:sz w:val="20"/>
                <w:szCs w:val="20"/>
                <w:color w:val="auto"/>
              </w:rPr>
            </w:pPr>
          </w:p>
        </w:tc>
        <w:tc>
          <w:tcPr>
            <w:tcW w:w="1220" w:type="dxa"/>
            <w:vAlign w:val="bottom"/>
            <w:gridSpan w:val="2"/>
            <w:shd w:val="clear" w:color="auto" w:fill="FDFDFC"/>
          </w:tcPr>
          <w:p>
            <w:pPr>
              <w:jc w:val="right"/>
              <w:ind w:right="20"/>
              <w:spacing w:after="0"/>
              <w:rPr>
                <w:sz w:val="20"/>
                <w:szCs w:val="20"/>
                <w:color w:val="auto"/>
              </w:rPr>
            </w:pPr>
            <w:r>
              <w:rPr>
                <w:rFonts w:ascii="Times New Roman" w:cs="Times New Roman" w:eastAsia="Times New Roman" w:hAnsi="Times New Roman"/>
                <w:sz w:val="19"/>
                <w:szCs w:val="19"/>
                <w:color w:val="231F20"/>
              </w:rPr>
              <w:t>11.9 %</w:t>
            </w:r>
          </w:p>
        </w:tc>
      </w:tr>
      <w:tr>
        <w:trPr>
          <w:trHeight w:val="208"/>
        </w:trPr>
        <w:tc>
          <w:tcPr>
            <w:tcW w:w="5080" w:type="dxa"/>
            <w:vAlign w:val="bottom"/>
            <w:shd w:val="clear" w:color="auto" w:fill="D0EBF2"/>
          </w:tcPr>
          <w:p>
            <w:pPr>
              <w:spacing w:after="0" w:line="209" w:lineRule="exact"/>
              <w:rPr>
                <w:sz w:val="20"/>
                <w:szCs w:val="20"/>
                <w:color w:val="auto"/>
              </w:rPr>
            </w:pPr>
            <w:r>
              <w:rPr>
                <w:rFonts w:ascii="Times New Roman" w:cs="Times New Roman" w:eastAsia="Times New Roman" w:hAnsi="Times New Roman"/>
                <w:sz w:val="19"/>
                <w:szCs w:val="19"/>
                <w:b w:val="1"/>
                <w:bCs w:val="1"/>
                <w:color w:val="231F20"/>
              </w:rPr>
              <w:t>Weighted average spread over reference rate of new</w:t>
            </w:r>
          </w:p>
        </w:tc>
        <w:tc>
          <w:tcPr>
            <w:tcW w:w="100" w:type="dxa"/>
            <w:vAlign w:val="bottom"/>
            <w:shd w:val="clear" w:color="auto" w:fill="D0EBF2"/>
          </w:tcPr>
          <w:p>
            <w:pPr>
              <w:spacing w:after="0"/>
              <w:rPr>
                <w:sz w:val="18"/>
                <w:szCs w:val="18"/>
                <w:color w:val="auto"/>
              </w:rPr>
            </w:pPr>
          </w:p>
        </w:tc>
        <w:tc>
          <w:tcPr>
            <w:tcW w:w="200" w:type="dxa"/>
            <w:vAlign w:val="bottom"/>
            <w:shd w:val="clear" w:color="auto" w:fill="D0EBF2"/>
          </w:tcPr>
          <w:p>
            <w:pPr>
              <w:spacing w:after="0"/>
              <w:rPr>
                <w:sz w:val="18"/>
                <w:szCs w:val="18"/>
                <w:color w:val="auto"/>
              </w:rPr>
            </w:pPr>
          </w:p>
        </w:tc>
        <w:tc>
          <w:tcPr>
            <w:tcW w:w="780" w:type="dxa"/>
            <w:vAlign w:val="bottom"/>
            <w:shd w:val="clear" w:color="auto" w:fill="D0EBF2"/>
          </w:tcPr>
          <w:p>
            <w:pPr>
              <w:spacing w:after="0"/>
              <w:rPr>
                <w:sz w:val="18"/>
                <w:szCs w:val="18"/>
                <w:color w:val="auto"/>
              </w:rPr>
            </w:pPr>
          </w:p>
        </w:tc>
        <w:tc>
          <w:tcPr>
            <w:tcW w:w="180" w:type="dxa"/>
            <w:vAlign w:val="bottom"/>
            <w:shd w:val="clear" w:color="auto" w:fill="D0EBF2"/>
          </w:tcPr>
          <w:p>
            <w:pPr>
              <w:spacing w:after="0"/>
              <w:rPr>
                <w:sz w:val="18"/>
                <w:szCs w:val="18"/>
                <w:color w:val="auto"/>
              </w:rPr>
            </w:pPr>
          </w:p>
        </w:tc>
        <w:tc>
          <w:tcPr>
            <w:tcW w:w="100" w:type="dxa"/>
            <w:vAlign w:val="bottom"/>
            <w:shd w:val="clear" w:color="auto" w:fill="D0EBF2"/>
          </w:tcPr>
          <w:p>
            <w:pPr>
              <w:spacing w:after="0"/>
              <w:rPr>
                <w:sz w:val="18"/>
                <w:szCs w:val="18"/>
                <w:color w:val="auto"/>
              </w:rPr>
            </w:pPr>
          </w:p>
        </w:tc>
        <w:tc>
          <w:tcPr>
            <w:tcW w:w="100" w:type="dxa"/>
            <w:vAlign w:val="bottom"/>
            <w:shd w:val="clear" w:color="auto" w:fill="D0EBF2"/>
          </w:tcPr>
          <w:p>
            <w:pPr>
              <w:spacing w:after="0"/>
              <w:rPr>
                <w:sz w:val="18"/>
                <w:szCs w:val="18"/>
                <w:color w:val="auto"/>
              </w:rPr>
            </w:pPr>
          </w:p>
        </w:tc>
        <w:tc>
          <w:tcPr>
            <w:tcW w:w="1040" w:type="dxa"/>
            <w:vAlign w:val="bottom"/>
            <w:shd w:val="clear" w:color="auto" w:fill="D0EBF2"/>
          </w:tcPr>
          <w:p>
            <w:pPr>
              <w:spacing w:after="0"/>
              <w:rPr>
                <w:sz w:val="18"/>
                <w:szCs w:val="18"/>
                <w:color w:val="auto"/>
              </w:rPr>
            </w:pPr>
          </w:p>
        </w:tc>
        <w:tc>
          <w:tcPr>
            <w:tcW w:w="180" w:type="dxa"/>
            <w:vAlign w:val="bottom"/>
            <w:shd w:val="clear" w:color="auto" w:fill="D0EBF2"/>
          </w:tcPr>
          <w:p>
            <w:pPr>
              <w:spacing w:after="0"/>
              <w:rPr>
                <w:sz w:val="18"/>
                <w:szCs w:val="18"/>
                <w:color w:val="auto"/>
              </w:rPr>
            </w:pPr>
          </w:p>
        </w:tc>
        <w:tc>
          <w:tcPr>
            <w:tcW w:w="200" w:type="dxa"/>
            <w:vAlign w:val="bottom"/>
            <w:shd w:val="clear" w:color="auto" w:fill="D0EBF2"/>
          </w:tcPr>
          <w:p>
            <w:pPr>
              <w:spacing w:after="0"/>
              <w:rPr>
                <w:sz w:val="18"/>
                <w:szCs w:val="18"/>
                <w:color w:val="auto"/>
              </w:rPr>
            </w:pPr>
          </w:p>
        </w:tc>
        <w:tc>
          <w:tcPr>
            <w:tcW w:w="1040" w:type="dxa"/>
            <w:vAlign w:val="bottom"/>
            <w:shd w:val="clear" w:color="auto" w:fill="D0EBF2"/>
          </w:tcPr>
          <w:p>
            <w:pPr>
              <w:spacing w:after="0"/>
              <w:rPr>
                <w:sz w:val="18"/>
                <w:szCs w:val="18"/>
                <w:color w:val="auto"/>
              </w:rPr>
            </w:pPr>
          </w:p>
        </w:tc>
        <w:tc>
          <w:tcPr>
            <w:tcW w:w="180" w:type="dxa"/>
            <w:vAlign w:val="bottom"/>
            <w:shd w:val="clear" w:color="auto" w:fill="D0EBF2"/>
          </w:tcPr>
          <w:p>
            <w:pPr>
              <w:spacing w:after="0"/>
              <w:rPr>
                <w:sz w:val="18"/>
                <w:szCs w:val="18"/>
                <w:color w:val="auto"/>
              </w:rPr>
            </w:pPr>
          </w:p>
        </w:tc>
      </w:tr>
      <w:tr>
        <w:trPr>
          <w:trHeight w:val="239"/>
        </w:trPr>
        <w:tc>
          <w:tcPr>
            <w:tcW w:w="5080" w:type="dxa"/>
            <w:vAlign w:val="bottom"/>
            <w:shd w:val="clear" w:color="auto" w:fill="D0EBF2"/>
          </w:tcPr>
          <w:p>
            <w:pPr>
              <w:ind w:left="140"/>
              <w:spacing w:after="0"/>
              <w:rPr>
                <w:sz w:val="20"/>
                <w:szCs w:val="20"/>
                <w:color w:val="auto"/>
              </w:rPr>
            </w:pPr>
            <w:r>
              <w:rPr>
                <w:rFonts w:ascii="Times New Roman" w:cs="Times New Roman" w:eastAsia="Times New Roman" w:hAnsi="Times New Roman"/>
                <w:sz w:val="19"/>
                <w:szCs w:val="19"/>
                <w:b w:val="1"/>
                <w:bCs w:val="1"/>
                <w:color w:val="231F20"/>
              </w:rPr>
              <w:t>floating rate investment commitments</w:t>
            </w:r>
          </w:p>
        </w:tc>
        <w:tc>
          <w:tcPr>
            <w:tcW w:w="100" w:type="dxa"/>
            <w:vAlign w:val="bottom"/>
            <w:shd w:val="clear" w:color="auto" w:fill="D0EBF2"/>
          </w:tcPr>
          <w:p>
            <w:pPr>
              <w:spacing w:after="0"/>
              <w:rPr>
                <w:sz w:val="20"/>
                <w:szCs w:val="20"/>
                <w:color w:val="auto"/>
              </w:rPr>
            </w:pPr>
          </w:p>
        </w:tc>
        <w:tc>
          <w:tcPr>
            <w:tcW w:w="200" w:type="dxa"/>
            <w:vAlign w:val="bottom"/>
            <w:shd w:val="clear" w:color="auto" w:fill="D0EBF2"/>
          </w:tcPr>
          <w:p>
            <w:pPr>
              <w:spacing w:after="0"/>
              <w:rPr>
                <w:sz w:val="20"/>
                <w:szCs w:val="20"/>
                <w:color w:val="auto"/>
              </w:rPr>
            </w:pPr>
          </w:p>
        </w:tc>
        <w:tc>
          <w:tcPr>
            <w:tcW w:w="960" w:type="dxa"/>
            <w:vAlign w:val="bottom"/>
            <w:gridSpan w:val="2"/>
            <w:shd w:val="clear" w:color="auto" w:fill="D0EBF2"/>
          </w:tcPr>
          <w:p>
            <w:pPr>
              <w:jc w:val="right"/>
              <w:ind w:right="20"/>
              <w:spacing w:after="0"/>
              <w:rPr>
                <w:sz w:val="20"/>
                <w:szCs w:val="20"/>
                <w:color w:val="auto"/>
              </w:rPr>
            </w:pPr>
            <w:r>
              <w:rPr>
                <w:rFonts w:ascii="Times New Roman" w:cs="Times New Roman" w:eastAsia="Times New Roman" w:hAnsi="Times New Roman"/>
                <w:sz w:val="19"/>
                <w:szCs w:val="19"/>
                <w:color w:val="231F20"/>
              </w:rPr>
              <w:t>6.4 %</w:t>
            </w:r>
          </w:p>
        </w:tc>
        <w:tc>
          <w:tcPr>
            <w:tcW w:w="100" w:type="dxa"/>
            <w:vAlign w:val="bottom"/>
            <w:shd w:val="clear" w:color="auto" w:fill="D0EBF2"/>
          </w:tcPr>
          <w:p>
            <w:pPr>
              <w:spacing w:after="0"/>
              <w:rPr>
                <w:sz w:val="20"/>
                <w:szCs w:val="20"/>
                <w:color w:val="auto"/>
              </w:rPr>
            </w:pPr>
          </w:p>
        </w:tc>
        <w:tc>
          <w:tcPr>
            <w:tcW w:w="100" w:type="dxa"/>
            <w:vAlign w:val="bottom"/>
            <w:shd w:val="clear" w:color="auto" w:fill="D0EBF2"/>
          </w:tcPr>
          <w:p>
            <w:pPr>
              <w:spacing w:after="0"/>
              <w:rPr>
                <w:sz w:val="20"/>
                <w:szCs w:val="20"/>
                <w:color w:val="auto"/>
              </w:rPr>
            </w:pPr>
          </w:p>
        </w:tc>
        <w:tc>
          <w:tcPr>
            <w:tcW w:w="1220" w:type="dxa"/>
            <w:vAlign w:val="bottom"/>
            <w:gridSpan w:val="2"/>
            <w:shd w:val="clear" w:color="auto" w:fill="D0EBF2"/>
          </w:tcPr>
          <w:p>
            <w:pPr>
              <w:jc w:val="right"/>
              <w:ind w:right="20"/>
              <w:spacing w:after="0"/>
              <w:rPr>
                <w:sz w:val="20"/>
                <w:szCs w:val="20"/>
                <w:color w:val="auto"/>
              </w:rPr>
            </w:pPr>
            <w:r>
              <w:rPr>
                <w:rFonts w:ascii="Times New Roman" w:cs="Times New Roman" w:eastAsia="Times New Roman" w:hAnsi="Times New Roman"/>
                <w:sz w:val="19"/>
                <w:szCs w:val="19"/>
                <w:color w:val="231F20"/>
              </w:rPr>
              <w:t>7.6 %</w:t>
            </w:r>
          </w:p>
        </w:tc>
        <w:tc>
          <w:tcPr>
            <w:tcW w:w="200" w:type="dxa"/>
            <w:vAlign w:val="bottom"/>
            <w:shd w:val="clear" w:color="auto" w:fill="D0EBF2"/>
          </w:tcPr>
          <w:p>
            <w:pPr>
              <w:spacing w:after="0"/>
              <w:rPr>
                <w:sz w:val="20"/>
                <w:szCs w:val="20"/>
                <w:color w:val="auto"/>
              </w:rPr>
            </w:pPr>
          </w:p>
        </w:tc>
        <w:tc>
          <w:tcPr>
            <w:tcW w:w="1220" w:type="dxa"/>
            <w:vAlign w:val="bottom"/>
            <w:gridSpan w:val="2"/>
            <w:shd w:val="clear" w:color="auto" w:fill="D0EBF2"/>
          </w:tcPr>
          <w:p>
            <w:pPr>
              <w:jc w:val="right"/>
              <w:ind w:right="20"/>
              <w:spacing w:after="0"/>
              <w:rPr>
                <w:sz w:val="20"/>
                <w:szCs w:val="20"/>
                <w:color w:val="auto"/>
              </w:rPr>
            </w:pPr>
            <w:r>
              <w:rPr>
                <w:rFonts w:ascii="Times New Roman" w:cs="Times New Roman" w:eastAsia="Times New Roman" w:hAnsi="Times New Roman"/>
                <w:sz w:val="19"/>
                <w:szCs w:val="19"/>
                <w:color w:val="231F20"/>
              </w:rPr>
              <w:t>7.8 %</w:t>
            </w:r>
          </w:p>
        </w:tc>
      </w:tr>
      <w:tr>
        <w:trPr>
          <w:trHeight w:val="208"/>
        </w:trPr>
        <w:tc>
          <w:tcPr>
            <w:tcW w:w="5080" w:type="dxa"/>
            <w:vAlign w:val="bottom"/>
            <w:shd w:val="clear" w:color="auto" w:fill="FDFDFC"/>
          </w:tcPr>
          <w:p>
            <w:pPr>
              <w:spacing w:after="0" w:line="209" w:lineRule="exact"/>
              <w:rPr>
                <w:sz w:val="20"/>
                <w:szCs w:val="20"/>
                <w:color w:val="auto"/>
              </w:rPr>
            </w:pPr>
            <w:r>
              <w:rPr>
                <w:rFonts w:ascii="Times New Roman" w:cs="Times New Roman" w:eastAsia="Times New Roman" w:hAnsi="Times New Roman"/>
                <w:sz w:val="19"/>
                <w:szCs w:val="19"/>
                <w:b w:val="1"/>
                <w:bCs w:val="1"/>
                <w:color w:val="231F20"/>
              </w:rPr>
              <w:t>Weighted average interest rate on investments</w:t>
            </w:r>
          </w:p>
        </w:tc>
        <w:tc>
          <w:tcPr>
            <w:tcW w:w="100" w:type="dxa"/>
            <w:vAlign w:val="bottom"/>
            <w:shd w:val="clear" w:color="auto" w:fill="FDFDFC"/>
          </w:tcPr>
          <w:p>
            <w:pPr>
              <w:spacing w:after="0"/>
              <w:rPr>
                <w:sz w:val="18"/>
                <w:szCs w:val="18"/>
                <w:color w:val="auto"/>
              </w:rPr>
            </w:pPr>
          </w:p>
        </w:tc>
        <w:tc>
          <w:tcPr>
            <w:tcW w:w="200" w:type="dxa"/>
            <w:vAlign w:val="bottom"/>
            <w:shd w:val="clear" w:color="auto" w:fill="FDFDFC"/>
          </w:tcPr>
          <w:p>
            <w:pPr>
              <w:spacing w:after="0"/>
              <w:rPr>
                <w:sz w:val="18"/>
                <w:szCs w:val="18"/>
                <w:color w:val="auto"/>
              </w:rPr>
            </w:pPr>
          </w:p>
        </w:tc>
        <w:tc>
          <w:tcPr>
            <w:tcW w:w="780" w:type="dxa"/>
            <w:vAlign w:val="bottom"/>
            <w:shd w:val="clear" w:color="auto" w:fill="FDFDFC"/>
          </w:tcPr>
          <w:p>
            <w:pPr>
              <w:spacing w:after="0"/>
              <w:rPr>
                <w:sz w:val="18"/>
                <w:szCs w:val="18"/>
                <w:color w:val="auto"/>
              </w:rPr>
            </w:pPr>
          </w:p>
        </w:tc>
        <w:tc>
          <w:tcPr>
            <w:tcW w:w="180" w:type="dxa"/>
            <w:vAlign w:val="bottom"/>
            <w:shd w:val="clear" w:color="auto" w:fill="FDFDFC"/>
          </w:tcPr>
          <w:p>
            <w:pPr>
              <w:spacing w:after="0"/>
              <w:rPr>
                <w:sz w:val="18"/>
                <w:szCs w:val="18"/>
                <w:color w:val="auto"/>
              </w:rPr>
            </w:pPr>
          </w:p>
        </w:tc>
        <w:tc>
          <w:tcPr>
            <w:tcW w:w="100" w:type="dxa"/>
            <w:vAlign w:val="bottom"/>
            <w:shd w:val="clear" w:color="auto" w:fill="FDFDFC"/>
          </w:tcPr>
          <w:p>
            <w:pPr>
              <w:spacing w:after="0"/>
              <w:rPr>
                <w:sz w:val="18"/>
                <w:szCs w:val="18"/>
                <w:color w:val="auto"/>
              </w:rPr>
            </w:pPr>
          </w:p>
        </w:tc>
        <w:tc>
          <w:tcPr>
            <w:tcW w:w="100" w:type="dxa"/>
            <w:vAlign w:val="bottom"/>
            <w:shd w:val="clear" w:color="auto" w:fill="FDFDFC"/>
          </w:tcPr>
          <w:p>
            <w:pPr>
              <w:spacing w:after="0"/>
              <w:rPr>
                <w:sz w:val="18"/>
                <w:szCs w:val="18"/>
                <w:color w:val="auto"/>
              </w:rPr>
            </w:pPr>
          </w:p>
        </w:tc>
        <w:tc>
          <w:tcPr>
            <w:tcW w:w="1040" w:type="dxa"/>
            <w:vAlign w:val="bottom"/>
            <w:shd w:val="clear" w:color="auto" w:fill="FDFDFC"/>
          </w:tcPr>
          <w:p>
            <w:pPr>
              <w:spacing w:after="0"/>
              <w:rPr>
                <w:sz w:val="18"/>
                <w:szCs w:val="18"/>
                <w:color w:val="auto"/>
              </w:rPr>
            </w:pPr>
          </w:p>
        </w:tc>
        <w:tc>
          <w:tcPr>
            <w:tcW w:w="180" w:type="dxa"/>
            <w:vAlign w:val="bottom"/>
            <w:shd w:val="clear" w:color="auto" w:fill="FDFDFC"/>
          </w:tcPr>
          <w:p>
            <w:pPr>
              <w:spacing w:after="0"/>
              <w:rPr>
                <w:sz w:val="18"/>
                <w:szCs w:val="18"/>
                <w:color w:val="auto"/>
              </w:rPr>
            </w:pPr>
          </w:p>
        </w:tc>
        <w:tc>
          <w:tcPr>
            <w:tcW w:w="200" w:type="dxa"/>
            <w:vAlign w:val="bottom"/>
            <w:shd w:val="clear" w:color="auto" w:fill="FDFDFC"/>
          </w:tcPr>
          <w:p>
            <w:pPr>
              <w:spacing w:after="0"/>
              <w:rPr>
                <w:sz w:val="18"/>
                <w:szCs w:val="18"/>
                <w:color w:val="auto"/>
              </w:rPr>
            </w:pPr>
          </w:p>
        </w:tc>
        <w:tc>
          <w:tcPr>
            <w:tcW w:w="1040" w:type="dxa"/>
            <w:vAlign w:val="bottom"/>
            <w:shd w:val="clear" w:color="auto" w:fill="FDFDFC"/>
          </w:tcPr>
          <w:p>
            <w:pPr>
              <w:spacing w:after="0"/>
              <w:rPr>
                <w:sz w:val="18"/>
                <w:szCs w:val="18"/>
                <w:color w:val="auto"/>
              </w:rPr>
            </w:pPr>
          </w:p>
        </w:tc>
        <w:tc>
          <w:tcPr>
            <w:tcW w:w="180" w:type="dxa"/>
            <w:vAlign w:val="bottom"/>
            <w:shd w:val="clear" w:color="auto" w:fill="FDFDFC"/>
          </w:tcPr>
          <w:p>
            <w:pPr>
              <w:spacing w:after="0"/>
              <w:rPr>
                <w:sz w:val="18"/>
                <w:szCs w:val="18"/>
                <w:color w:val="auto"/>
              </w:rPr>
            </w:pPr>
          </w:p>
        </w:tc>
      </w:tr>
      <w:tr>
        <w:trPr>
          <w:trHeight w:val="239"/>
        </w:trPr>
        <w:tc>
          <w:tcPr>
            <w:tcW w:w="5080" w:type="dxa"/>
            <w:vAlign w:val="bottom"/>
            <w:shd w:val="clear" w:color="auto" w:fill="FDFDFC"/>
          </w:tcPr>
          <w:p>
            <w:pPr>
              <w:ind w:left="140"/>
              <w:spacing w:after="0"/>
              <w:rPr>
                <w:sz w:val="20"/>
                <w:szCs w:val="20"/>
                <w:color w:val="auto"/>
              </w:rPr>
            </w:pPr>
            <w:r>
              <w:rPr>
                <w:rFonts w:ascii="Times New Roman" w:cs="Times New Roman" w:eastAsia="Times New Roman" w:hAnsi="Times New Roman"/>
                <w:sz w:val="19"/>
                <w:szCs w:val="19"/>
                <w:b w:val="1"/>
                <w:bCs w:val="1"/>
                <w:color w:val="231F20"/>
              </w:rPr>
              <w:t>fully sold or paid down</w:t>
            </w:r>
          </w:p>
        </w:tc>
        <w:tc>
          <w:tcPr>
            <w:tcW w:w="100" w:type="dxa"/>
            <w:vAlign w:val="bottom"/>
            <w:shd w:val="clear" w:color="auto" w:fill="FDFDFC"/>
          </w:tcPr>
          <w:p>
            <w:pPr>
              <w:spacing w:after="0"/>
              <w:rPr>
                <w:sz w:val="20"/>
                <w:szCs w:val="20"/>
                <w:color w:val="auto"/>
              </w:rPr>
            </w:pPr>
          </w:p>
        </w:tc>
        <w:tc>
          <w:tcPr>
            <w:tcW w:w="200" w:type="dxa"/>
            <w:vAlign w:val="bottom"/>
            <w:shd w:val="clear" w:color="auto" w:fill="FDFDFC"/>
          </w:tcPr>
          <w:p>
            <w:pPr>
              <w:spacing w:after="0"/>
              <w:rPr>
                <w:sz w:val="20"/>
                <w:szCs w:val="20"/>
                <w:color w:val="auto"/>
              </w:rPr>
            </w:pPr>
          </w:p>
        </w:tc>
        <w:tc>
          <w:tcPr>
            <w:tcW w:w="960" w:type="dxa"/>
            <w:vAlign w:val="bottom"/>
            <w:gridSpan w:val="2"/>
            <w:shd w:val="clear" w:color="auto" w:fill="FDFDFC"/>
          </w:tcPr>
          <w:p>
            <w:pPr>
              <w:jc w:val="right"/>
              <w:ind w:right="20"/>
              <w:spacing w:after="0"/>
              <w:rPr>
                <w:sz w:val="20"/>
                <w:szCs w:val="20"/>
                <w:color w:val="auto"/>
              </w:rPr>
            </w:pPr>
            <w:r>
              <w:rPr>
                <w:rFonts w:ascii="Times New Roman" w:cs="Times New Roman" w:eastAsia="Times New Roman" w:hAnsi="Times New Roman"/>
                <w:sz w:val="19"/>
                <w:szCs w:val="19"/>
                <w:color w:val="231F20"/>
              </w:rPr>
              <w:t>13.0 %</w:t>
            </w:r>
          </w:p>
        </w:tc>
        <w:tc>
          <w:tcPr>
            <w:tcW w:w="100" w:type="dxa"/>
            <w:vAlign w:val="bottom"/>
            <w:shd w:val="clear" w:color="auto" w:fill="FDFDFC"/>
          </w:tcPr>
          <w:p>
            <w:pPr>
              <w:spacing w:after="0"/>
              <w:rPr>
                <w:sz w:val="20"/>
                <w:szCs w:val="20"/>
                <w:color w:val="auto"/>
              </w:rPr>
            </w:pPr>
          </w:p>
        </w:tc>
        <w:tc>
          <w:tcPr>
            <w:tcW w:w="100" w:type="dxa"/>
            <w:vAlign w:val="bottom"/>
            <w:shd w:val="clear" w:color="auto" w:fill="FDFDFC"/>
          </w:tcPr>
          <w:p>
            <w:pPr>
              <w:spacing w:after="0"/>
              <w:rPr>
                <w:sz w:val="20"/>
                <w:szCs w:val="20"/>
                <w:color w:val="auto"/>
              </w:rPr>
            </w:pPr>
          </w:p>
        </w:tc>
        <w:tc>
          <w:tcPr>
            <w:tcW w:w="1220" w:type="dxa"/>
            <w:vAlign w:val="bottom"/>
            <w:gridSpan w:val="2"/>
            <w:shd w:val="clear" w:color="auto" w:fill="FDFDFC"/>
          </w:tcPr>
          <w:p>
            <w:pPr>
              <w:jc w:val="right"/>
              <w:ind w:right="20"/>
              <w:spacing w:after="0"/>
              <w:rPr>
                <w:sz w:val="20"/>
                <w:szCs w:val="20"/>
                <w:color w:val="auto"/>
              </w:rPr>
            </w:pPr>
            <w:r>
              <w:rPr>
                <w:rFonts w:ascii="Times New Roman" w:cs="Times New Roman" w:eastAsia="Times New Roman" w:hAnsi="Times New Roman"/>
                <w:sz w:val="19"/>
                <w:szCs w:val="19"/>
                <w:color w:val="231F20"/>
              </w:rPr>
              <w:t>13.7 %</w:t>
            </w:r>
          </w:p>
        </w:tc>
        <w:tc>
          <w:tcPr>
            <w:tcW w:w="200" w:type="dxa"/>
            <w:vAlign w:val="bottom"/>
            <w:shd w:val="clear" w:color="auto" w:fill="FDFDFC"/>
          </w:tcPr>
          <w:p>
            <w:pPr>
              <w:spacing w:after="0"/>
              <w:rPr>
                <w:sz w:val="20"/>
                <w:szCs w:val="20"/>
                <w:color w:val="auto"/>
              </w:rPr>
            </w:pPr>
          </w:p>
        </w:tc>
        <w:tc>
          <w:tcPr>
            <w:tcW w:w="1220" w:type="dxa"/>
            <w:vAlign w:val="bottom"/>
            <w:gridSpan w:val="2"/>
            <w:shd w:val="clear" w:color="auto" w:fill="FDFDFC"/>
          </w:tcPr>
          <w:p>
            <w:pPr>
              <w:jc w:val="right"/>
              <w:ind w:right="20"/>
              <w:spacing w:after="0"/>
              <w:rPr>
                <w:sz w:val="20"/>
                <w:szCs w:val="20"/>
                <w:color w:val="auto"/>
              </w:rPr>
            </w:pPr>
            <w:r>
              <w:rPr>
                <w:rFonts w:ascii="Times New Roman" w:cs="Times New Roman" w:eastAsia="Times New Roman" w:hAnsi="Times New Roman"/>
                <w:sz w:val="19"/>
                <w:szCs w:val="19"/>
                <w:color w:val="231F20"/>
              </w:rPr>
              <w:t>9.9 %</w:t>
            </w:r>
          </w:p>
        </w:tc>
      </w:tr>
    </w:tbl>
    <w:p>
      <w:pPr>
        <w:spacing w:after="0" w:line="197"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19"/>
          <w:szCs w:val="19"/>
          <w:color w:val="231F20"/>
        </w:rPr>
        <w:t>(1)</w:t>
        <w:tab/>
        <w:t>Includes affiliates of Sixth Street</w:t>
      </w:r>
    </w:p>
    <w:p>
      <w:pPr>
        <w:spacing w:after="0" w:line="225"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9"/>
          <w:szCs w:val="19"/>
          <w:color w:val="231F20"/>
        </w:rPr>
        <w:t>As of December 31, 2024 and December 31, 2023, our investments consisted of the following:</w:t>
      </w:r>
    </w:p>
    <w:p>
      <w:pPr>
        <w:spacing w:after="0" w:line="279" w:lineRule="exact"/>
        <w:rPr>
          <w:sz w:val="20"/>
          <w:szCs w:val="20"/>
          <w:color w:val="auto"/>
        </w:rPr>
      </w:pPr>
    </w:p>
    <w:tbl>
      <w:tblPr>
        <w:tblLayout w:type="fixed"/>
        <w:tblInd w:w="520" w:type="dxa"/>
        <w:tblCellMar>
          <w:top w:w="0" w:type="dxa"/>
          <w:left w:w="0" w:type="dxa"/>
          <w:bottom w:w="0" w:type="dxa"/>
          <w:right w:w="0" w:type="dxa"/>
        </w:tblCellMar>
      </w:tblPr>
      <w:tr>
        <w:trPr>
          <w:trHeight w:val="187"/>
        </w:trPr>
        <w:tc>
          <w:tcPr>
            <w:tcW w:w="3720" w:type="dxa"/>
            <w:vAlign w:val="bottom"/>
            <w:vMerge w:val="restart"/>
            <w:shd w:val="clear" w:color="auto" w:fill="FDFDFC"/>
          </w:tcPr>
          <w:p>
            <w:pPr>
              <w:spacing w:after="0"/>
              <w:rPr>
                <w:sz w:val="20"/>
                <w:szCs w:val="20"/>
                <w:color w:val="auto"/>
              </w:rPr>
            </w:pPr>
            <w:r>
              <w:rPr>
                <w:rFonts w:ascii="Times New Roman" w:cs="Times New Roman" w:eastAsia="Times New Roman" w:hAnsi="Times New Roman"/>
                <w:sz w:val="15"/>
                <w:szCs w:val="15"/>
                <w:color w:val="231F20"/>
              </w:rPr>
              <w:t>($ in millions)</w:t>
            </w:r>
          </w:p>
        </w:tc>
        <w:tc>
          <w:tcPr>
            <w:tcW w:w="100" w:type="dxa"/>
            <w:vAlign w:val="bottom"/>
            <w:shd w:val="clear" w:color="auto" w:fill="FDFDFC"/>
          </w:tcPr>
          <w:p>
            <w:pPr>
              <w:spacing w:after="0"/>
              <w:rPr>
                <w:sz w:val="16"/>
                <w:szCs w:val="16"/>
                <w:color w:val="auto"/>
              </w:rPr>
            </w:pPr>
          </w:p>
        </w:tc>
        <w:tc>
          <w:tcPr>
            <w:tcW w:w="2460" w:type="dxa"/>
            <w:vAlign w:val="bottom"/>
            <w:gridSpan w:val="4"/>
            <w:shd w:val="clear" w:color="auto" w:fill="FDFDFC"/>
          </w:tcPr>
          <w:p>
            <w:pPr>
              <w:jc w:val="right"/>
              <w:ind w:right="588"/>
              <w:spacing w:after="0"/>
              <w:rPr>
                <w:sz w:val="20"/>
                <w:szCs w:val="20"/>
                <w:color w:val="auto"/>
              </w:rPr>
            </w:pPr>
            <w:r>
              <w:rPr>
                <w:rFonts w:ascii="Times New Roman" w:cs="Times New Roman" w:eastAsia="Times New Roman" w:hAnsi="Times New Roman"/>
                <w:sz w:val="15"/>
                <w:szCs w:val="15"/>
                <w:b w:val="1"/>
                <w:bCs w:val="1"/>
                <w:color w:val="231F20"/>
              </w:rPr>
              <w:t>December 31, 2024</w:t>
            </w:r>
          </w:p>
        </w:tc>
        <w:tc>
          <w:tcPr>
            <w:tcW w:w="220" w:type="dxa"/>
            <w:vAlign w:val="bottom"/>
            <w:shd w:val="clear" w:color="auto" w:fill="FDFDFC"/>
          </w:tcPr>
          <w:p>
            <w:pPr>
              <w:spacing w:after="0"/>
              <w:rPr>
                <w:sz w:val="16"/>
                <w:szCs w:val="16"/>
                <w:color w:val="auto"/>
              </w:rPr>
            </w:pPr>
          </w:p>
        </w:tc>
        <w:tc>
          <w:tcPr>
            <w:tcW w:w="340" w:type="dxa"/>
            <w:vAlign w:val="bottom"/>
            <w:shd w:val="clear" w:color="auto" w:fill="FDFDFC"/>
          </w:tcPr>
          <w:p>
            <w:pPr>
              <w:spacing w:after="0"/>
              <w:rPr>
                <w:sz w:val="16"/>
                <w:szCs w:val="16"/>
                <w:color w:val="auto"/>
              </w:rPr>
            </w:pPr>
          </w:p>
        </w:tc>
        <w:tc>
          <w:tcPr>
            <w:tcW w:w="2340" w:type="dxa"/>
            <w:vAlign w:val="bottom"/>
            <w:gridSpan w:val="5"/>
            <w:shd w:val="clear" w:color="auto" w:fill="FDFDFC"/>
          </w:tcPr>
          <w:p>
            <w:pPr>
              <w:ind w:left="320"/>
              <w:spacing w:after="0"/>
              <w:rPr>
                <w:sz w:val="20"/>
                <w:szCs w:val="20"/>
                <w:color w:val="auto"/>
              </w:rPr>
            </w:pPr>
            <w:r>
              <w:rPr>
                <w:rFonts w:ascii="Times New Roman" w:cs="Times New Roman" w:eastAsia="Times New Roman" w:hAnsi="Times New Roman"/>
                <w:sz w:val="15"/>
                <w:szCs w:val="15"/>
                <w:b w:val="1"/>
                <w:bCs w:val="1"/>
                <w:color w:val="231F20"/>
              </w:rPr>
              <w:t>December 31, 2023</w:t>
            </w:r>
          </w:p>
        </w:tc>
        <w:tc>
          <w:tcPr>
            <w:tcW w:w="0" w:type="dxa"/>
            <w:vAlign w:val="bottom"/>
          </w:tcPr>
          <w:p>
            <w:pPr>
              <w:spacing w:after="0"/>
              <w:rPr>
                <w:sz w:val="1"/>
                <w:szCs w:val="1"/>
                <w:color w:val="auto"/>
              </w:rPr>
            </w:pPr>
          </w:p>
        </w:tc>
      </w:tr>
      <w:tr>
        <w:trPr>
          <w:trHeight w:val="176"/>
        </w:trPr>
        <w:tc>
          <w:tcPr>
            <w:tcW w:w="3720" w:type="dxa"/>
            <w:vAlign w:val="bottom"/>
            <w:tcBorders>
              <w:top w:val="single" w:sz="8" w:color="FDFDFC"/>
              <w:bottom w:val="single" w:sz="8" w:color="D0EBF2"/>
            </w:tcBorders>
            <w:vMerge w:val="continue"/>
            <w:shd w:val="clear" w:color="auto" w:fill="FDFDFC"/>
          </w:tcPr>
          <w:p>
            <w:pPr>
              <w:spacing w:after="0"/>
              <w:rPr>
                <w:sz w:val="15"/>
                <w:szCs w:val="15"/>
                <w:color w:val="auto"/>
              </w:rPr>
            </w:pPr>
          </w:p>
        </w:tc>
        <w:tc>
          <w:tcPr>
            <w:tcW w:w="1180" w:type="dxa"/>
            <w:vAlign w:val="bottom"/>
            <w:tcBorders>
              <w:top w:val="single" w:sz="8" w:color="231F20"/>
              <w:bottom w:val="single" w:sz="8" w:color="231F20"/>
            </w:tcBorders>
            <w:gridSpan w:val="2"/>
            <w:shd w:val="clear" w:color="auto" w:fill="FDFDFC"/>
          </w:tcPr>
          <w:p>
            <w:pPr>
              <w:jc w:val="right"/>
              <w:ind w:right="8"/>
              <w:spacing w:after="0"/>
              <w:rPr>
                <w:sz w:val="20"/>
                <w:szCs w:val="20"/>
                <w:color w:val="auto"/>
              </w:rPr>
            </w:pPr>
            <w:r>
              <w:rPr>
                <w:rFonts w:ascii="Times New Roman" w:cs="Times New Roman" w:eastAsia="Times New Roman" w:hAnsi="Times New Roman"/>
                <w:sz w:val="15"/>
                <w:szCs w:val="15"/>
                <w:b w:val="1"/>
                <w:bCs w:val="1"/>
                <w:color w:val="231F20"/>
              </w:rPr>
              <w:t>Amortized Cost</w:t>
            </w:r>
          </w:p>
        </w:tc>
        <w:tc>
          <w:tcPr>
            <w:tcW w:w="200" w:type="dxa"/>
            <w:vAlign w:val="bottom"/>
            <w:tcBorders>
              <w:top w:val="single" w:sz="8" w:color="231F20"/>
              <w:bottom w:val="single" w:sz="8" w:color="D0EBF2"/>
            </w:tcBorders>
            <w:shd w:val="clear" w:color="auto" w:fill="FDFDFC"/>
          </w:tcPr>
          <w:p>
            <w:pPr>
              <w:spacing w:after="0"/>
              <w:rPr>
                <w:sz w:val="15"/>
                <w:szCs w:val="15"/>
                <w:color w:val="auto"/>
              </w:rPr>
            </w:pPr>
          </w:p>
        </w:tc>
        <w:tc>
          <w:tcPr>
            <w:tcW w:w="180" w:type="dxa"/>
            <w:vAlign w:val="bottom"/>
            <w:tcBorders>
              <w:top w:val="single" w:sz="8" w:color="231F20"/>
              <w:bottom w:val="single" w:sz="8" w:color="231F20"/>
            </w:tcBorders>
            <w:shd w:val="clear" w:color="auto" w:fill="FDFDFC"/>
          </w:tcPr>
          <w:p>
            <w:pPr>
              <w:spacing w:after="0"/>
              <w:rPr>
                <w:sz w:val="15"/>
                <w:szCs w:val="15"/>
                <w:color w:val="auto"/>
              </w:rPr>
            </w:pPr>
          </w:p>
        </w:tc>
        <w:tc>
          <w:tcPr>
            <w:tcW w:w="1000" w:type="dxa"/>
            <w:vAlign w:val="bottom"/>
            <w:tcBorders>
              <w:top w:val="single" w:sz="8" w:color="231F20"/>
              <w:bottom w:val="single" w:sz="8" w:color="231F20"/>
            </w:tcBorders>
            <w:shd w:val="clear" w:color="auto" w:fill="FDFDFC"/>
          </w:tcPr>
          <w:p>
            <w:pPr>
              <w:jc w:val="right"/>
              <w:ind w:right="148"/>
              <w:spacing w:after="0"/>
              <w:rPr>
                <w:sz w:val="20"/>
                <w:szCs w:val="20"/>
                <w:color w:val="auto"/>
              </w:rPr>
            </w:pPr>
            <w:r>
              <w:rPr>
                <w:rFonts w:ascii="Times New Roman" w:cs="Times New Roman" w:eastAsia="Times New Roman" w:hAnsi="Times New Roman"/>
                <w:sz w:val="15"/>
                <w:szCs w:val="15"/>
                <w:b w:val="1"/>
                <w:bCs w:val="1"/>
                <w:color w:val="231F20"/>
              </w:rPr>
              <w:t>Fair Value</w:t>
            </w:r>
          </w:p>
        </w:tc>
        <w:tc>
          <w:tcPr>
            <w:tcW w:w="220" w:type="dxa"/>
            <w:vAlign w:val="bottom"/>
            <w:tcBorders>
              <w:top w:val="single" w:sz="8" w:color="FDFDFC"/>
              <w:bottom w:val="single" w:sz="8" w:color="D0EBF2"/>
            </w:tcBorders>
            <w:shd w:val="clear" w:color="auto" w:fill="FDFDFC"/>
          </w:tcPr>
          <w:p>
            <w:pPr>
              <w:spacing w:after="0"/>
              <w:rPr>
                <w:sz w:val="15"/>
                <w:szCs w:val="15"/>
                <w:color w:val="auto"/>
              </w:rPr>
            </w:pPr>
          </w:p>
        </w:tc>
        <w:tc>
          <w:tcPr>
            <w:tcW w:w="1180" w:type="dxa"/>
            <w:vAlign w:val="bottom"/>
            <w:tcBorders>
              <w:top w:val="single" w:sz="8" w:color="231F20"/>
              <w:bottom w:val="single" w:sz="8" w:color="231F20"/>
            </w:tcBorders>
            <w:gridSpan w:val="2"/>
            <w:shd w:val="clear" w:color="auto" w:fill="FDFDFC"/>
          </w:tcPr>
          <w:p>
            <w:pPr>
              <w:jc w:val="right"/>
              <w:spacing w:after="0"/>
              <w:rPr>
                <w:sz w:val="20"/>
                <w:szCs w:val="20"/>
                <w:color w:val="auto"/>
              </w:rPr>
            </w:pPr>
            <w:r>
              <w:rPr>
                <w:rFonts w:ascii="Times New Roman" w:cs="Times New Roman" w:eastAsia="Times New Roman" w:hAnsi="Times New Roman"/>
                <w:sz w:val="15"/>
                <w:szCs w:val="15"/>
                <w:b w:val="1"/>
                <w:bCs w:val="1"/>
                <w:color w:val="231F20"/>
              </w:rPr>
              <w:t>Amortized Cost</w:t>
            </w:r>
          </w:p>
        </w:tc>
        <w:tc>
          <w:tcPr>
            <w:tcW w:w="220" w:type="dxa"/>
            <w:vAlign w:val="bottom"/>
            <w:tcBorders>
              <w:top w:val="single" w:sz="8" w:color="231F20"/>
              <w:bottom w:val="single" w:sz="8" w:color="D0EBF2"/>
            </w:tcBorders>
            <w:shd w:val="clear" w:color="auto" w:fill="FDFDFC"/>
          </w:tcPr>
          <w:p>
            <w:pPr>
              <w:spacing w:after="0"/>
              <w:rPr>
                <w:sz w:val="15"/>
                <w:szCs w:val="15"/>
                <w:color w:val="auto"/>
              </w:rPr>
            </w:pPr>
          </w:p>
        </w:tc>
        <w:tc>
          <w:tcPr>
            <w:tcW w:w="160" w:type="dxa"/>
            <w:vAlign w:val="bottom"/>
            <w:tcBorders>
              <w:top w:val="single" w:sz="8" w:color="231F20"/>
              <w:bottom w:val="single" w:sz="8" w:color="231F20"/>
            </w:tcBorders>
            <w:shd w:val="clear" w:color="auto" w:fill="FDFDFC"/>
          </w:tcPr>
          <w:p>
            <w:pPr>
              <w:spacing w:after="0"/>
              <w:rPr>
                <w:sz w:val="15"/>
                <w:szCs w:val="15"/>
                <w:color w:val="auto"/>
              </w:rPr>
            </w:pPr>
          </w:p>
        </w:tc>
        <w:tc>
          <w:tcPr>
            <w:tcW w:w="1020" w:type="dxa"/>
            <w:vAlign w:val="bottom"/>
            <w:tcBorders>
              <w:top w:val="single" w:sz="8" w:color="231F20"/>
              <w:bottom w:val="single" w:sz="8" w:color="231F20"/>
            </w:tcBorders>
            <w:shd w:val="clear" w:color="auto" w:fill="FDFDFC"/>
          </w:tcPr>
          <w:p>
            <w:pPr>
              <w:jc w:val="right"/>
              <w:ind w:right="168"/>
              <w:spacing w:after="0"/>
              <w:rPr>
                <w:sz w:val="20"/>
                <w:szCs w:val="20"/>
                <w:color w:val="auto"/>
              </w:rPr>
            </w:pPr>
            <w:r>
              <w:rPr>
                <w:rFonts w:ascii="Times New Roman" w:cs="Times New Roman" w:eastAsia="Times New Roman" w:hAnsi="Times New Roman"/>
                <w:sz w:val="15"/>
                <w:szCs w:val="15"/>
                <w:b w:val="1"/>
                <w:bCs w:val="1"/>
                <w:color w:val="231F20"/>
              </w:rPr>
              <w:t>Fair Value</w:t>
            </w:r>
          </w:p>
        </w:tc>
        <w:tc>
          <w:tcPr>
            <w:tcW w:w="100" w:type="dxa"/>
            <w:vAlign w:val="bottom"/>
            <w:tcBorders>
              <w:top w:val="single" w:sz="8" w:color="FDFDFC"/>
              <w:bottom w:val="single" w:sz="8" w:color="D0EBF2"/>
            </w:tcBorders>
            <w:shd w:val="clear" w:color="auto" w:fill="FDFDFC"/>
          </w:tcPr>
          <w:p>
            <w:pPr>
              <w:spacing w:after="0"/>
              <w:rPr>
                <w:sz w:val="15"/>
                <w:szCs w:val="15"/>
                <w:color w:val="auto"/>
              </w:rPr>
            </w:pPr>
          </w:p>
        </w:tc>
        <w:tc>
          <w:tcPr>
            <w:tcW w:w="0" w:type="dxa"/>
            <w:vAlign w:val="bottom"/>
          </w:tcPr>
          <w:p>
            <w:pPr>
              <w:spacing w:after="0"/>
              <w:rPr>
                <w:sz w:val="1"/>
                <w:szCs w:val="1"/>
                <w:color w:val="auto"/>
              </w:rPr>
            </w:pPr>
          </w:p>
        </w:tc>
      </w:tr>
      <w:tr>
        <w:trPr>
          <w:trHeight w:val="220"/>
        </w:trPr>
        <w:tc>
          <w:tcPr>
            <w:tcW w:w="3720" w:type="dxa"/>
            <w:vAlign w:val="bottom"/>
            <w:shd w:val="clear" w:color="auto" w:fill="D0EBF2"/>
          </w:tcPr>
          <w:p>
            <w:pPr>
              <w:spacing w:after="0"/>
              <w:rPr>
                <w:sz w:val="20"/>
                <w:szCs w:val="20"/>
                <w:color w:val="auto"/>
              </w:rPr>
            </w:pPr>
            <w:r>
              <w:rPr>
                <w:rFonts w:ascii="Times New Roman" w:cs="Times New Roman" w:eastAsia="Times New Roman" w:hAnsi="Times New Roman"/>
                <w:sz w:val="19"/>
                <w:szCs w:val="19"/>
                <w:color w:val="231F20"/>
              </w:rPr>
              <w:t>First-lien debt investments</w:t>
            </w:r>
          </w:p>
        </w:tc>
        <w:tc>
          <w:tcPr>
            <w:tcW w:w="100" w:type="dxa"/>
            <w:vAlign w:val="bottom"/>
            <w:shd w:val="clear" w:color="auto" w:fill="D0EBF2"/>
          </w:tcPr>
          <w:p>
            <w:pPr>
              <w:jc w:val="right"/>
              <w:spacing w:after="0"/>
              <w:rPr>
                <w:sz w:val="20"/>
                <w:szCs w:val="20"/>
                <w:color w:val="auto"/>
              </w:rPr>
            </w:pPr>
            <w:r>
              <w:rPr>
                <w:rFonts w:ascii="Times New Roman" w:cs="Times New Roman" w:eastAsia="Times New Roman" w:hAnsi="Times New Roman"/>
                <w:sz w:val="19"/>
                <w:szCs w:val="19"/>
                <w:color w:val="231F20"/>
                <w:w w:val="83"/>
                <w:shd w:val="clear" w:color="auto" w:fill="D0EBF2"/>
              </w:rPr>
              <w:t>$</w:t>
            </w:r>
          </w:p>
        </w:tc>
        <w:tc>
          <w:tcPr>
            <w:tcW w:w="1080" w:type="dxa"/>
            <w:vAlign w:val="bottom"/>
            <w:shd w:val="clear" w:color="auto" w:fill="D0EBF2"/>
          </w:tcPr>
          <w:p>
            <w:pPr>
              <w:jc w:val="right"/>
              <w:spacing w:after="0"/>
              <w:rPr>
                <w:sz w:val="20"/>
                <w:szCs w:val="20"/>
                <w:color w:val="auto"/>
              </w:rPr>
            </w:pPr>
            <w:r>
              <w:rPr>
                <w:rFonts w:ascii="Times New Roman" w:cs="Times New Roman" w:eastAsia="Times New Roman" w:hAnsi="Times New Roman"/>
                <w:sz w:val="19"/>
                <w:szCs w:val="19"/>
                <w:color w:val="231F20"/>
              </w:rPr>
              <w:t>3,298.0</w:t>
            </w:r>
          </w:p>
        </w:tc>
        <w:tc>
          <w:tcPr>
            <w:tcW w:w="200" w:type="dxa"/>
            <w:vAlign w:val="bottom"/>
            <w:shd w:val="clear" w:color="auto" w:fill="D0EBF2"/>
          </w:tcPr>
          <w:p>
            <w:pPr>
              <w:spacing w:after="0"/>
              <w:rPr>
                <w:sz w:val="19"/>
                <w:szCs w:val="19"/>
                <w:color w:val="auto"/>
              </w:rPr>
            </w:pPr>
          </w:p>
        </w:tc>
        <w:tc>
          <w:tcPr>
            <w:tcW w:w="180" w:type="dxa"/>
            <w:vAlign w:val="bottom"/>
            <w:shd w:val="clear" w:color="auto" w:fill="D0EBF2"/>
          </w:tcPr>
          <w:p>
            <w:pPr>
              <w:jc w:val="right"/>
              <w:spacing w:after="0"/>
              <w:rPr>
                <w:sz w:val="20"/>
                <w:szCs w:val="20"/>
                <w:color w:val="auto"/>
              </w:rPr>
            </w:pPr>
            <w:r>
              <w:rPr>
                <w:rFonts w:ascii="Times New Roman" w:cs="Times New Roman" w:eastAsia="Times New Roman" w:hAnsi="Times New Roman"/>
                <w:sz w:val="19"/>
                <w:szCs w:val="19"/>
                <w:color w:val="231F20"/>
                <w:w w:val="83"/>
              </w:rPr>
              <w:t>$</w:t>
            </w:r>
          </w:p>
        </w:tc>
        <w:tc>
          <w:tcPr>
            <w:tcW w:w="1000" w:type="dxa"/>
            <w:vAlign w:val="bottom"/>
            <w:shd w:val="clear" w:color="auto" w:fill="D0EBF2"/>
          </w:tcPr>
          <w:p>
            <w:pPr>
              <w:jc w:val="right"/>
              <w:spacing w:after="0"/>
              <w:rPr>
                <w:sz w:val="20"/>
                <w:szCs w:val="20"/>
                <w:color w:val="auto"/>
              </w:rPr>
            </w:pPr>
            <w:r>
              <w:rPr>
                <w:rFonts w:ascii="Times New Roman" w:cs="Times New Roman" w:eastAsia="Times New Roman" w:hAnsi="Times New Roman"/>
                <w:sz w:val="19"/>
                <w:szCs w:val="19"/>
                <w:color w:val="231F20"/>
              </w:rPr>
              <w:t>3,302.5</w:t>
            </w:r>
          </w:p>
        </w:tc>
        <w:tc>
          <w:tcPr>
            <w:tcW w:w="220" w:type="dxa"/>
            <w:vAlign w:val="bottom"/>
            <w:shd w:val="clear" w:color="auto" w:fill="D0EBF2"/>
          </w:tcPr>
          <w:p>
            <w:pPr>
              <w:spacing w:after="0"/>
              <w:rPr>
                <w:sz w:val="19"/>
                <w:szCs w:val="19"/>
                <w:color w:val="auto"/>
              </w:rPr>
            </w:pPr>
          </w:p>
        </w:tc>
        <w:tc>
          <w:tcPr>
            <w:tcW w:w="340" w:type="dxa"/>
            <w:vAlign w:val="bottom"/>
            <w:shd w:val="clear" w:color="auto" w:fill="D0EBF2"/>
          </w:tcPr>
          <w:p>
            <w:pPr>
              <w:jc w:val="right"/>
              <w:ind w:right="152"/>
              <w:spacing w:after="0"/>
              <w:rPr>
                <w:sz w:val="20"/>
                <w:szCs w:val="20"/>
                <w:color w:val="auto"/>
              </w:rPr>
            </w:pPr>
            <w:r>
              <w:rPr>
                <w:rFonts w:ascii="Times New Roman" w:cs="Times New Roman" w:eastAsia="Times New Roman" w:hAnsi="Times New Roman"/>
                <w:sz w:val="19"/>
                <w:szCs w:val="19"/>
                <w:color w:val="231F20"/>
                <w:w w:val="83"/>
              </w:rPr>
              <w:t>$</w:t>
            </w:r>
          </w:p>
        </w:tc>
        <w:tc>
          <w:tcPr>
            <w:tcW w:w="840" w:type="dxa"/>
            <w:vAlign w:val="bottom"/>
            <w:shd w:val="clear" w:color="auto" w:fill="D0EBF2"/>
          </w:tcPr>
          <w:p>
            <w:pPr>
              <w:jc w:val="right"/>
              <w:spacing w:after="0"/>
              <w:rPr>
                <w:sz w:val="20"/>
                <w:szCs w:val="20"/>
                <w:color w:val="auto"/>
              </w:rPr>
            </w:pPr>
            <w:r>
              <w:rPr>
                <w:rFonts w:ascii="Times New Roman" w:cs="Times New Roman" w:eastAsia="Times New Roman" w:hAnsi="Times New Roman"/>
                <w:sz w:val="19"/>
                <w:szCs w:val="19"/>
                <w:color w:val="231F20"/>
              </w:rPr>
              <w:t>2,956.1</w:t>
            </w:r>
          </w:p>
        </w:tc>
        <w:tc>
          <w:tcPr>
            <w:tcW w:w="220" w:type="dxa"/>
            <w:vAlign w:val="bottom"/>
            <w:shd w:val="clear" w:color="auto" w:fill="D0EBF2"/>
          </w:tcPr>
          <w:p>
            <w:pPr>
              <w:spacing w:after="0"/>
              <w:rPr>
                <w:sz w:val="19"/>
                <w:szCs w:val="19"/>
                <w:color w:val="auto"/>
              </w:rPr>
            </w:pPr>
          </w:p>
        </w:tc>
        <w:tc>
          <w:tcPr>
            <w:tcW w:w="160" w:type="dxa"/>
            <w:vAlign w:val="bottom"/>
            <w:shd w:val="clear" w:color="auto" w:fill="D0EBF2"/>
          </w:tcPr>
          <w:p>
            <w:pPr>
              <w:jc w:val="right"/>
              <w:spacing w:after="0"/>
              <w:rPr>
                <w:sz w:val="20"/>
                <w:szCs w:val="20"/>
                <w:color w:val="auto"/>
              </w:rPr>
            </w:pPr>
            <w:r>
              <w:rPr>
                <w:rFonts w:ascii="Times New Roman" w:cs="Times New Roman" w:eastAsia="Times New Roman" w:hAnsi="Times New Roman"/>
                <w:sz w:val="19"/>
                <w:szCs w:val="19"/>
                <w:color w:val="231F20"/>
                <w:w w:val="83"/>
              </w:rPr>
              <w:t>$</w:t>
            </w:r>
          </w:p>
        </w:tc>
        <w:tc>
          <w:tcPr>
            <w:tcW w:w="1020" w:type="dxa"/>
            <w:vAlign w:val="bottom"/>
            <w:shd w:val="clear" w:color="auto" w:fill="D0EBF2"/>
          </w:tcPr>
          <w:p>
            <w:pPr>
              <w:jc w:val="right"/>
              <w:spacing w:after="0"/>
              <w:rPr>
                <w:sz w:val="20"/>
                <w:szCs w:val="20"/>
                <w:color w:val="auto"/>
              </w:rPr>
            </w:pPr>
            <w:r>
              <w:rPr>
                <w:rFonts w:ascii="Times New Roman" w:cs="Times New Roman" w:eastAsia="Times New Roman" w:hAnsi="Times New Roman"/>
                <w:sz w:val="19"/>
                <w:szCs w:val="19"/>
                <w:color w:val="231F20"/>
              </w:rPr>
              <w:t>2,996.2</w:t>
            </w:r>
          </w:p>
        </w:tc>
        <w:tc>
          <w:tcPr>
            <w:tcW w:w="100" w:type="dxa"/>
            <w:vAlign w:val="bottom"/>
            <w:shd w:val="clear" w:color="auto" w:fill="D0EBF2"/>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20" w:type="dxa"/>
            <w:vAlign w:val="bottom"/>
            <w:shd w:val="clear" w:color="auto" w:fill="FDFDFC"/>
          </w:tcPr>
          <w:p>
            <w:pPr>
              <w:spacing w:after="0"/>
              <w:rPr>
                <w:sz w:val="20"/>
                <w:szCs w:val="20"/>
                <w:color w:val="auto"/>
              </w:rPr>
            </w:pPr>
            <w:r>
              <w:rPr>
                <w:rFonts w:ascii="Times New Roman" w:cs="Times New Roman" w:eastAsia="Times New Roman" w:hAnsi="Times New Roman"/>
                <w:sz w:val="19"/>
                <w:szCs w:val="19"/>
                <w:color w:val="231F20"/>
              </w:rPr>
              <w:t>Second-lien debt investments</w:t>
            </w:r>
          </w:p>
        </w:tc>
        <w:tc>
          <w:tcPr>
            <w:tcW w:w="100" w:type="dxa"/>
            <w:vAlign w:val="bottom"/>
            <w:shd w:val="clear" w:color="auto" w:fill="FDFDFC"/>
          </w:tcPr>
          <w:p>
            <w:pPr>
              <w:spacing w:after="0"/>
              <w:rPr>
                <w:sz w:val="20"/>
                <w:szCs w:val="20"/>
                <w:color w:val="auto"/>
              </w:rPr>
            </w:pPr>
          </w:p>
        </w:tc>
        <w:tc>
          <w:tcPr>
            <w:tcW w:w="1080" w:type="dxa"/>
            <w:vAlign w:val="bottom"/>
            <w:shd w:val="clear" w:color="auto" w:fill="FDFDFC"/>
          </w:tcPr>
          <w:p>
            <w:pPr>
              <w:jc w:val="right"/>
              <w:spacing w:after="0"/>
              <w:rPr>
                <w:sz w:val="20"/>
                <w:szCs w:val="20"/>
                <w:color w:val="auto"/>
              </w:rPr>
            </w:pPr>
            <w:r>
              <w:rPr>
                <w:rFonts w:ascii="Times New Roman" w:cs="Times New Roman" w:eastAsia="Times New Roman" w:hAnsi="Times New Roman"/>
                <w:sz w:val="19"/>
                <w:szCs w:val="19"/>
                <w:color w:val="231F20"/>
              </w:rPr>
              <w:t>53.2</w:t>
            </w:r>
          </w:p>
        </w:tc>
        <w:tc>
          <w:tcPr>
            <w:tcW w:w="200" w:type="dxa"/>
            <w:vAlign w:val="bottom"/>
            <w:shd w:val="clear" w:color="auto" w:fill="FDFDFC"/>
          </w:tcPr>
          <w:p>
            <w:pPr>
              <w:spacing w:after="0"/>
              <w:rPr>
                <w:sz w:val="20"/>
                <w:szCs w:val="20"/>
                <w:color w:val="auto"/>
              </w:rPr>
            </w:pPr>
          </w:p>
        </w:tc>
        <w:tc>
          <w:tcPr>
            <w:tcW w:w="180" w:type="dxa"/>
            <w:vAlign w:val="bottom"/>
            <w:shd w:val="clear" w:color="auto" w:fill="FDFDFC"/>
          </w:tcPr>
          <w:p>
            <w:pPr>
              <w:spacing w:after="0"/>
              <w:rPr>
                <w:sz w:val="20"/>
                <w:szCs w:val="20"/>
                <w:color w:val="auto"/>
              </w:rPr>
            </w:pPr>
          </w:p>
        </w:tc>
        <w:tc>
          <w:tcPr>
            <w:tcW w:w="1000" w:type="dxa"/>
            <w:vAlign w:val="bottom"/>
            <w:shd w:val="clear" w:color="auto" w:fill="FDFDFC"/>
          </w:tcPr>
          <w:p>
            <w:pPr>
              <w:jc w:val="right"/>
              <w:spacing w:after="0"/>
              <w:rPr>
                <w:sz w:val="20"/>
                <w:szCs w:val="20"/>
                <w:color w:val="auto"/>
              </w:rPr>
            </w:pPr>
            <w:r>
              <w:rPr>
                <w:rFonts w:ascii="Times New Roman" w:cs="Times New Roman" w:eastAsia="Times New Roman" w:hAnsi="Times New Roman"/>
                <w:sz w:val="19"/>
                <w:szCs w:val="19"/>
                <w:color w:val="231F20"/>
              </w:rPr>
              <w:t>19.8</w:t>
            </w:r>
          </w:p>
        </w:tc>
        <w:tc>
          <w:tcPr>
            <w:tcW w:w="220" w:type="dxa"/>
            <w:vAlign w:val="bottom"/>
            <w:shd w:val="clear" w:color="auto" w:fill="FDFDFC"/>
          </w:tcPr>
          <w:p>
            <w:pPr>
              <w:spacing w:after="0"/>
              <w:rPr>
                <w:sz w:val="20"/>
                <w:szCs w:val="20"/>
                <w:color w:val="auto"/>
              </w:rPr>
            </w:pPr>
          </w:p>
        </w:tc>
        <w:tc>
          <w:tcPr>
            <w:tcW w:w="340" w:type="dxa"/>
            <w:vAlign w:val="bottom"/>
            <w:shd w:val="clear" w:color="auto" w:fill="FDFDFC"/>
          </w:tcPr>
          <w:p>
            <w:pPr>
              <w:spacing w:after="0"/>
              <w:rPr>
                <w:sz w:val="20"/>
                <w:szCs w:val="20"/>
                <w:color w:val="auto"/>
              </w:rPr>
            </w:pPr>
          </w:p>
        </w:tc>
        <w:tc>
          <w:tcPr>
            <w:tcW w:w="840" w:type="dxa"/>
            <w:vAlign w:val="bottom"/>
            <w:shd w:val="clear" w:color="auto" w:fill="FDFDFC"/>
          </w:tcPr>
          <w:p>
            <w:pPr>
              <w:jc w:val="right"/>
              <w:spacing w:after="0"/>
              <w:rPr>
                <w:sz w:val="20"/>
                <w:szCs w:val="20"/>
                <w:color w:val="auto"/>
              </w:rPr>
            </w:pPr>
            <w:r>
              <w:rPr>
                <w:rFonts w:ascii="Times New Roman" w:cs="Times New Roman" w:eastAsia="Times New Roman" w:hAnsi="Times New Roman"/>
                <w:sz w:val="19"/>
                <w:szCs w:val="19"/>
                <w:color w:val="231F20"/>
              </w:rPr>
              <w:t>51.4</w:t>
            </w:r>
          </w:p>
        </w:tc>
        <w:tc>
          <w:tcPr>
            <w:tcW w:w="220" w:type="dxa"/>
            <w:vAlign w:val="bottom"/>
            <w:shd w:val="clear" w:color="auto" w:fill="FDFDFC"/>
          </w:tcPr>
          <w:p>
            <w:pPr>
              <w:spacing w:after="0"/>
              <w:rPr>
                <w:sz w:val="20"/>
                <w:szCs w:val="20"/>
                <w:color w:val="auto"/>
              </w:rPr>
            </w:pPr>
          </w:p>
        </w:tc>
        <w:tc>
          <w:tcPr>
            <w:tcW w:w="160" w:type="dxa"/>
            <w:vAlign w:val="bottom"/>
            <w:shd w:val="clear" w:color="auto" w:fill="FDFDFC"/>
          </w:tcPr>
          <w:p>
            <w:pPr>
              <w:spacing w:after="0"/>
              <w:rPr>
                <w:sz w:val="20"/>
                <w:szCs w:val="20"/>
                <w:color w:val="auto"/>
              </w:rPr>
            </w:pPr>
          </w:p>
        </w:tc>
        <w:tc>
          <w:tcPr>
            <w:tcW w:w="1020" w:type="dxa"/>
            <w:vAlign w:val="bottom"/>
            <w:shd w:val="clear" w:color="auto" w:fill="FDFDFC"/>
          </w:tcPr>
          <w:p>
            <w:pPr>
              <w:jc w:val="right"/>
              <w:spacing w:after="0"/>
              <w:rPr>
                <w:sz w:val="20"/>
                <w:szCs w:val="20"/>
                <w:color w:val="auto"/>
              </w:rPr>
            </w:pPr>
            <w:r>
              <w:rPr>
                <w:rFonts w:ascii="Times New Roman" w:cs="Times New Roman" w:eastAsia="Times New Roman" w:hAnsi="Times New Roman"/>
                <w:sz w:val="19"/>
                <w:szCs w:val="19"/>
                <w:color w:val="231F20"/>
              </w:rPr>
              <w:t>36.0</w:t>
            </w:r>
          </w:p>
        </w:tc>
        <w:tc>
          <w:tcPr>
            <w:tcW w:w="100" w:type="dxa"/>
            <w:vAlign w:val="bottom"/>
            <w:shd w:val="clear" w:color="auto" w:fill="FDFD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3720" w:type="dxa"/>
            <w:vAlign w:val="bottom"/>
            <w:shd w:val="clear" w:color="auto" w:fill="D0EBF2"/>
          </w:tcPr>
          <w:p>
            <w:pPr>
              <w:spacing w:after="0"/>
              <w:rPr>
                <w:sz w:val="20"/>
                <w:szCs w:val="20"/>
                <w:color w:val="auto"/>
              </w:rPr>
            </w:pPr>
            <w:r>
              <w:rPr>
                <w:rFonts w:ascii="Times New Roman" w:cs="Times New Roman" w:eastAsia="Times New Roman" w:hAnsi="Times New Roman"/>
                <w:sz w:val="19"/>
                <w:szCs w:val="19"/>
                <w:color w:val="231F20"/>
              </w:rPr>
              <w:t>Mezzanine debt investments</w:t>
            </w:r>
          </w:p>
        </w:tc>
        <w:tc>
          <w:tcPr>
            <w:tcW w:w="100" w:type="dxa"/>
            <w:vAlign w:val="bottom"/>
            <w:shd w:val="clear" w:color="auto" w:fill="D0EBF2"/>
          </w:tcPr>
          <w:p>
            <w:pPr>
              <w:spacing w:after="0"/>
              <w:rPr>
                <w:sz w:val="20"/>
                <w:szCs w:val="20"/>
                <w:color w:val="auto"/>
              </w:rPr>
            </w:pPr>
          </w:p>
        </w:tc>
        <w:tc>
          <w:tcPr>
            <w:tcW w:w="1080" w:type="dxa"/>
            <w:vAlign w:val="bottom"/>
            <w:shd w:val="clear" w:color="auto" w:fill="D0EBF2"/>
          </w:tcPr>
          <w:p>
            <w:pPr>
              <w:jc w:val="right"/>
              <w:spacing w:after="0"/>
              <w:rPr>
                <w:sz w:val="20"/>
                <w:szCs w:val="20"/>
                <w:color w:val="auto"/>
              </w:rPr>
            </w:pPr>
            <w:r>
              <w:rPr>
                <w:rFonts w:ascii="Times New Roman" w:cs="Times New Roman" w:eastAsia="Times New Roman" w:hAnsi="Times New Roman"/>
                <w:sz w:val="19"/>
                <w:szCs w:val="19"/>
                <w:color w:val="231F20"/>
              </w:rPr>
              <w:t>37.1</w:t>
            </w:r>
          </w:p>
        </w:tc>
        <w:tc>
          <w:tcPr>
            <w:tcW w:w="200" w:type="dxa"/>
            <w:vAlign w:val="bottom"/>
            <w:shd w:val="clear" w:color="auto" w:fill="D0EBF2"/>
          </w:tcPr>
          <w:p>
            <w:pPr>
              <w:spacing w:after="0"/>
              <w:rPr>
                <w:sz w:val="20"/>
                <w:szCs w:val="20"/>
                <w:color w:val="auto"/>
              </w:rPr>
            </w:pPr>
          </w:p>
        </w:tc>
        <w:tc>
          <w:tcPr>
            <w:tcW w:w="180" w:type="dxa"/>
            <w:vAlign w:val="bottom"/>
            <w:shd w:val="clear" w:color="auto" w:fill="D0EBF2"/>
          </w:tcPr>
          <w:p>
            <w:pPr>
              <w:spacing w:after="0"/>
              <w:rPr>
                <w:sz w:val="20"/>
                <w:szCs w:val="20"/>
                <w:color w:val="auto"/>
              </w:rPr>
            </w:pPr>
          </w:p>
        </w:tc>
        <w:tc>
          <w:tcPr>
            <w:tcW w:w="1000" w:type="dxa"/>
            <w:vAlign w:val="bottom"/>
            <w:shd w:val="clear" w:color="auto" w:fill="D0EBF2"/>
          </w:tcPr>
          <w:p>
            <w:pPr>
              <w:jc w:val="right"/>
              <w:spacing w:after="0"/>
              <w:rPr>
                <w:sz w:val="20"/>
                <w:szCs w:val="20"/>
                <w:color w:val="auto"/>
              </w:rPr>
            </w:pPr>
            <w:r>
              <w:rPr>
                <w:rFonts w:ascii="Times New Roman" w:cs="Times New Roman" w:eastAsia="Times New Roman" w:hAnsi="Times New Roman"/>
                <w:sz w:val="19"/>
                <w:szCs w:val="19"/>
                <w:color w:val="231F20"/>
              </w:rPr>
              <w:t>39.1</w:t>
            </w:r>
          </w:p>
        </w:tc>
        <w:tc>
          <w:tcPr>
            <w:tcW w:w="220" w:type="dxa"/>
            <w:vAlign w:val="bottom"/>
            <w:shd w:val="clear" w:color="auto" w:fill="D0EBF2"/>
          </w:tcPr>
          <w:p>
            <w:pPr>
              <w:spacing w:after="0"/>
              <w:rPr>
                <w:sz w:val="20"/>
                <w:szCs w:val="20"/>
                <w:color w:val="auto"/>
              </w:rPr>
            </w:pPr>
          </w:p>
        </w:tc>
        <w:tc>
          <w:tcPr>
            <w:tcW w:w="340" w:type="dxa"/>
            <w:vAlign w:val="bottom"/>
            <w:shd w:val="clear" w:color="auto" w:fill="D0EBF2"/>
          </w:tcPr>
          <w:p>
            <w:pPr>
              <w:spacing w:after="0"/>
              <w:rPr>
                <w:sz w:val="20"/>
                <w:szCs w:val="20"/>
                <w:color w:val="auto"/>
              </w:rPr>
            </w:pPr>
          </w:p>
        </w:tc>
        <w:tc>
          <w:tcPr>
            <w:tcW w:w="840" w:type="dxa"/>
            <w:vAlign w:val="bottom"/>
            <w:shd w:val="clear" w:color="auto" w:fill="D0EBF2"/>
          </w:tcPr>
          <w:p>
            <w:pPr>
              <w:jc w:val="right"/>
              <w:spacing w:after="0"/>
              <w:rPr>
                <w:sz w:val="20"/>
                <w:szCs w:val="20"/>
                <w:color w:val="auto"/>
              </w:rPr>
            </w:pPr>
            <w:r>
              <w:rPr>
                <w:rFonts w:ascii="Times New Roman" w:cs="Times New Roman" w:eastAsia="Times New Roman" w:hAnsi="Times New Roman"/>
                <w:sz w:val="19"/>
                <w:szCs w:val="19"/>
                <w:color w:val="231F20"/>
              </w:rPr>
              <w:t>38.0</w:t>
            </w:r>
          </w:p>
        </w:tc>
        <w:tc>
          <w:tcPr>
            <w:tcW w:w="220" w:type="dxa"/>
            <w:vAlign w:val="bottom"/>
            <w:shd w:val="clear" w:color="auto" w:fill="D0EBF2"/>
          </w:tcPr>
          <w:p>
            <w:pPr>
              <w:spacing w:after="0"/>
              <w:rPr>
                <w:sz w:val="20"/>
                <w:szCs w:val="20"/>
                <w:color w:val="auto"/>
              </w:rPr>
            </w:pPr>
          </w:p>
        </w:tc>
        <w:tc>
          <w:tcPr>
            <w:tcW w:w="160" w:type="dxa"/>
            <w:vAlign w:val="bottom"/>
            <w:shd w:val="clear" w:color="auto" w:fill="D0EBF2"/>
          </w:tcPr>
          <w:p>
            <w:pPr>
              <w:spacing w:after="0"/>
              <w:rPr>
                <w:sz w:val="20"/>
                <w:szCs w:val="20"/>
                <w:color w:val="auto"/>
              </w:rPr>
            </w:pPr>
          </w:p>
        </w:tc>
        <w:tc>
          <w:tcPr>
            <w:tcW w:w="1020" w:type="dxa"/>
            <w:vAlign w:val="bottom"/>
            <w:shd w:val="clear" w:color="auto" w:fill="D0EBF2"/>
          </w:tcPr>
          <w:p>
            <w:pPr>
              <w:jc w:val="right"/>
              <w:spacing w:after="0"/>
              <w:rPr>
                <w:sz w:val="20"/>
                <w:szCs w:val="20"/>
                <w:color w:val="auto"/>
              </w:rPr>
            </w:pPr>
            <w:r>
              <w:rPr>
                <w:rFonts w:ascii="Times New Roman" w:cs="Times New Roman" w:eastAsia="Times New Roman" w:hAnsi="Times New Roman"/>
                <w:sz w:val="19"/>
                <w:szCs w:val="19"/>
                <w:color w:val="231F20"/>
              </w:rPr>
              <w:t>39.5</w:t>
            </w:r>
          </w:p>
        </w:tc>
        <w:tc>
          <w:tcPr>
            <w:tcW w:w="100" w:type="dxa"/>
            <w:vAlign w:val="bottom"/>
            <w:shd w:val="clear" w:color="auto" w:fill="D0EBF2"/>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3720" w:type="dxa"/>
            <w:vAlign w:val="bottom"/>
            <w:shd w:val="clear" w:color="auto" w:fill="FDFDFC"/>
          </w:tcPr>
          <w:p>
            <w:pPr>
              <w:spacing w:after="0"/>
              <w:rPr>
                <w:sz w:val="20"/>
                <w:szCs w:val="20"/>
                <w:color w:val="auto"/>
              </w:rPr>
            </w:pPr>
            <w:r>
              <w:rPr>
                <w:rFonts w:ascii="Times New Roman" w:cs="Times New Roman" w:eastAsia="Times New Roman" w:hAnsi="Times New Roman"/>
                <w:sz w:val="19"/>
                <w:szCs w:val="19"/>
                <w:color w:val="231F20"/>
              </w:rPr>
              <w:t>Equity and other investments</w:t>
            </w:r>
          </w:p>
        </w:tc>
        <w:tc>
          <w:tcPr>
            <w:tcW w:w="100" w:type="dxa"/>
            <w:vAlign w:val="bottom"/>
            <w:shd w:val="clear" w:color="auto" w:fill="FDFDFC"/>
          </w:tcPr>
          <w:p>
            <w:pPr>
              <w:spacing w:after="0"/>
              <w:rPr>
                <w:sz w:val="20"/>
                <w:szCs w:val="20"/>
                <w:color w:val="auto"/>
              </w:rPr>
            </w:pPr>
          </w:p>
        </w:tc>
        <w:tc>
          <w:tcPr>
            <w:tcW w:w="1080" w:type="dxa"/>
            <w:vAlign w:val="bottom"/>
            <w:shd w:val="clear" w:color="auto" w:fill="FDFDFC"/>
          </w:tcPr>
          <w:p>
            <w:pPr>
              <w:jc w:val="right"/>
              <w:spacing w:after="0"/>
              <w:rPr>
                <w:sz w:val="20"/>
                <w:szCs w:val="20"/>
                <w:color w:val="auto"/>
              </w:rPr>
            </w:pPr>
            <w:r>
              <w:rPr>
                <w:rFonts w:ascii="Times New Roman" w:cs="Times New Roman" w:eastAsia="Times New Roman" w:hAnsi="Times New Roman"/>
                <w:sz w:val="19"/>
                <w:szCs w:val="19"/>
                <w:color w:val="231F20"/>
              </w:rPr>
              <w:t>149.4</w:t>
            </w:r>
          </w:p>
        </w:tc>
        <w:tc>
          <w:tcPr>
            <w:tcW w:w="200" w:type="dxa"/>
            <w:vAlign w:val="bottom"/>
            <w:shd w:val="clear" w:color="auto" w:fill="FDFDFC"/>
          </w:tcPr>
          <w:p>
            <w:pPr>
              <w:spacing w:after="0"/>
              <w:rPr>
                <w:sz w:val="20"/>
                <w:szCs w:val="20"/>
                <w:color w:val="auto"/>
              </w:rPr>
            </w:pPr>
          </w:p>
        </w:tc>
        <w:tc>
          <w:tcPr>
            <w:tcW w:w="180" w:type="dxa"/>
            <w:vAlign w:val="bottom"/>
            <w:shd w:val="clear" w:color="auto" w:fill="FDFDFC"/>
          </w:tcPr>
          <w:p>
            <w:pPr>
              <w:spacing w:after="0"/>
              <w:rPr>
                <w:sz w:val="20"/>
                <w:szCs w:val="20"/>
                <w:color w:val="auto"/>
              </w:rPr>
            </w:pPr>
          </w:p>
        </w:tc>
        <w:tc>
          <w:tcPr>
            <w:tcW w:w="1000" w:type="dxa"/>
            <w:vAlign w:val="bottom"/>
            <w:shd w:val="clear" w:color="auto" w:fill="FDFDFC"/>
          </w:tcPr>
          <w:p>
            <w:pPr>
              <w:jc w:val="right"/>
              <w:spacing w:after="0"/>
              <w:rPr>
                <w:sz w:val="20"/>
                <w:szCs w:val="20"/>
                <w:color w:val="auto"/>
              </w:rPr>
            </w:pPr>
            <w:r>
              <w:rPr>
                <w:rFonts w:ascii="Times New Roman" w:cs="Times New Roman" w:eastAsia="Times New Roman" w:hAnsi="Times New Roman"/>
                <w:sz w:val="19"/>
                <w:szCs w:val="19"/>
                <w:color w:val="231F20"/>
              </w:rPr>
              <w:t>155.5</w:t>
            </w:r>
          </w:p>
        </w:tc>
        <w:tc>
          <w:tcPr>
            <w:tcW w:w="220" w:type="dxa"/>
            <w:vAlign w:val="bottom"/>
            <w:shd w:val="clear" w:color="auto" w:fill="FDFDFC"/>
          </w:tcPr>
          <w:p>
            <w:pPr>
              <w:spacing w:after="0"/>
              <w:rPr>
                <w:sz w:val="20"/>
                <w:szCs w:val="20"/>
                <w:color w:val="auto"/>
              </w:rPr>
            </w:pPr>
          </w:p>
        </w:tc>
        <w:tc>
          <w:tcPr>
            <w:tcW w:w="340" w:type="dxa"/>
            <w:vAlign w:val="bottom"/>
            <w:shd w:val="clear" w:color="auto" w:fill="FDFDFC"/>
          </w:tcPr>
          <w:p>
            <w:pPr>
              <w:spacing w:after="0"/>
              <w:rPr>
                <w:sz w:val="20"/>
                <w:szCs w:val="20"/>
                <w:color w:val="auto"/>
              </w:rPr>
            </w:pPr>
          </w:p>
        </w:tc>
        <w:tc>
          <w:tcPr>
            <w:tcW w:w="840" w:type="dxa"/>
            <w:vAlign w:val="bottom"/>
            <w:shd w:val="clear" w:color="auto" w:fill="FDFDFC"/>
          </w:tcPr>
          <w:p>
            <w:pPr>
              <w:jc w:val="right"/>
              <w:spacing w:after="0"/>
              <w:rPr>
                <w:sz w:val="20"/>
                <w:szCs w:val="20"/>
                <w:color w:val="auto"/>
              </w:rPr>
            </w:pPr>
            <w:r>
              <w:rPr>
                <w:rFonts w:ascii="Times New Roman" w:cs="Times New Roman" w:eastAsia="Times New Roman" w:hAnsi="Times New Roman"/>
                <w:sz w:val="19"/>
                <w:szCs w:val="19"/>
                <w:color w:val="231F20"/>
              </w:rPr>
              <w:t>152.6</w:t>
            </w:r>
          </w:p>
        </w:tc>
        <w:tc>
          <w:tcPr>
            <w:tcW w:w="220" w:type="dxa"/>
            <w:vAlign w:val="bottom"/>
            <w:shd w:val="clear" w:color="auto" w:fill="FDFDFC"/>
          </w:tcPr>
          <w:p>
            <w:pPr>
              <w:spacing w:after="0"/>
              <w:rPr>
                <w:sz w:val="20"/>
                <w:szCs w:val="20"/>
                <w:color w:val="auto"/>
              </w:rPr>
            </w:pPr>
          </w:p>
        </w:tc>
        <w:tc>
          <w:tcPr>
            <w:tcW w:w="160" w:type="dxa"/>
            <w:vAlign w:val="bottom"/>
            <w:shd w:val="clear" w:color="auto" w:fill="FDFDFC"/>
          </w:tcPr>
          <w:p>
            <w:pPr>
              <w:spacing w:after="0"/>
              <w:rPr>
                <w:sz w:val="20"/>
                <w:szCs w:val="20"/>
                <w:color w:val="auto"/>
              </w:rPr>
            </w:pPr>
          </w:p>
        </w:tc>
        <w:tc>
          <w:tcPr>
            <w:tcW w:w="1020" w:type="dxa"/>
            <w:vAlign w:val="bottom"/>
            <w:shd w:val="clear" w:color="auto" w:fill="FDFDFC"/>
          </w:tcPr>
          <w:p>
            <w:pPr>
              <w:jc w:val="right"/>
              <w:spacing w:after="0"/>
              <w:rPr>
                <w:sz w:val="20"/>
                <w:szCs w:val="20"/>
                <w:color w:val="auto"/>
              </w:rPr>
            </w:pPr>
            <w:r>
              <w:rPr>
                <w:rFonts w:ascii="Times New Roman" w:cs="Times New Roman" w:eastAsia="Times New Roman" w:hAnsi="Times New Roman"/>
                <w:sz w:val="19"/>
                <w:szCs w:val="19"/>
                <w:color w:val="231F20"/>
              </w:rPr>
              <w:t>155.6</w:t>
            </w:r>
          </w:p>
        </w:tc>
        <w:tc>
          <w:tcPr>
            <w:tcW w:w="100" w:type="dxa"/>
            <w:vAlign w:val="bottom"/>
            <w:shd w:val="clear" w:color="auto" w:fill="FDFD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3720" w:type="dxa"/>
            <w:vAlign w:val="bottom"/>
            <w:tcBorders>
              <w:bottom w:val="single" w:sz="8" w:color="FDFDFC"/>
            </w:tcBorders>
            <w:shd w:val="clear" w:color="auto" w:fill="D0EBF2"/>
          </w:tcPr>
          <w:p>
            <w:pPr>
              <w:spacing w:after="0"/>
              <w:rPr>
                <w:sz w:val="20"/>
                <w:szCs w:val="20"/>
                <w:color w:val="auto"/>
              </w:rPr>
            </w:pPr>
            <w:r>
              <w:rPr>
                <w:rFonts w:ascii="Times New Roman" w:cs="Times New Roman" w:eastAsia="Times New Roman" w:hAnsi="Times New Roman"/>
                <w:sz w:val="19"/>
                <w:szCs w:val="19"/>
                <w:color w:val="231F20"/>
              </w:rPr>
              <w:t>Structured credit investments</w:t>
            </w:r>
          </w:p>
        </w:tc>
        <w:tc>
          <w:tcPr>
            <w:tcW w:w="100" w:type="dxa"/>
            <w:vAlign w:val="bottom"/>
            <w:tcBorders>
              <w:bottom w:val="single" w:sz="8" w:color="231F20"/>
            </w:tcBorders>
            <w:shd w:val="clear" w:color="auto" w:fill="D0EBF2"/>
          </w:tcPr>
          <w:p>
            <w:pPr>
              <w:spacing w:after="0"/>
              <w:rPr>
                <w:sz w:val="20"/>
                <w:szCs w:val="20"/>
                <w:color w:val="auto"/>
              </w:rPr>
            </w:pPr>
          </w:p>
        </w:tc>
        <w:tc>
          <w:tcPr>
            <w:tcW w:w="1080" w:type="dxa"/>
            <w:vAlign w:val="bottom"/>
            <w:tcBorders>
              <w:bottom w:val="single" w:sz="8" w:color="231F20"/>
            </w:tcBorders>
            <w:shd w:val="clear" w:color="auto" w:fill="D0EBF2"/>
          </w:tcPr>
          <w:p>
            <w:pPr>
              <w:jc w:val="right"/>
              <w:spacing w:after="0"/>
              <w:rPr>
                <w:sz w:val="20"/>
                <w:szCs w:val="20"/>
                <w:color w:val="auto"/>
              </w:rPr>
            </w:pPr>
            <w:r>
              <w:rPr>
                <w:rFonts w:ascii="Times New Roman" w:cs="Times New Roman" w:eastAsia="Times New Roman" w:hAnsi="Times New Roman"/>
                <w:sz w:val="19"/>
                <w:szCs w:val="19"/>
                <w:color w:val="231F20"/>
              </w:rPr>
              <w:t>1.5</w:t>
            </w:r>
          </w:p>
        </w:tc>
        <w:tc>
          <w:tcPr>
            <w:tcW w:w="200" w:type="dxa"/>
            <w:vAlign w:val="bottom"/>
            <w:tcBorders>
              <w:bottom w:val="single" w:sz="8" w:color="FDFDFC"/>
            </w:tcBorders>
            <w:shd w:val="clear" w:color="auto" w:fill="D0EBF2"/>
          </w:tcPr>
          <w:p>
            <w:pPr>
              <w:spacing w:after="0"/>
              <w:rPr>
                <w:sz w:val="20"/>
                <w:szCs w:val="20"/>
                <w:color w:val="auto"/>
              </w:rPr>
            </w:pPr>
          </w:p>
        </w:tc>
        <w:tc>
          <w:tcPr>
            <w:tcW w:w="180" w:type="dxa"/>
            <w:vAlign w:val="bottom"/>
            <w:tcBorders>
              <w:bottom w:val="single" w:sz="8" w:color="231F20"/>
            </w:tcBorders>
            <w:shd w:val="clear" w:color="auto" w:fill="D0EBF2"/>
          </w:tcPr>
          <w:p>
            <w:pPr>
              <w:spacing w:after="0"/>
              <w:rPr>
                <w:sz w:val="20"/>
                <w:szCs w:val="20"/>
                <w:color w:val="auto"/>
              </w:rPr>
            </w:pPr>
          </w:p>
        </w:tc>
        <w:tc>
          <w:tcPr>
            <w:tcW w:w="1000" w:type="dxa"/>
            <w:vAlign w:val="bottom"/>
            <w:tcBorders>
              <w:bottom w:val="single" w:sz="8" w:color="231F20"/>
            </w:tcBorders>
            <w:shd w:val="clear" w:color="auto" w:fill="D0EBF2"/>
          </w:tcPr>
          <w:p>
            <w:pPr>
              <w:jc w:val="right"/>
              <w:spacing w:after="0"/>
              <w:rPr>
                <w:sz w:val="20"/>
                <w:szCs w:val="20"/>
                <w:color w:val="auto"/>
              </w:rPr>
            </w:pPr>
            <w:r>
              <w:rPr>
                <w:rFonts w:ascii="Times New Roman" w:cs="Times New Roman" w:eastAsia="Times New Roman" w:hAnsi="Times New Roman"/>
                <w:sz w:val="19"/>
                <w:szCs w:val="19"/>
                <w:color w:val="231F20"/>
              </w:rPr>
              <w:t>1.5</w:t>
            </w:r>
          </w:p>
        </w:tc>
        <w:tc>
          <w:tcPr>
            <w:tcW w:w="220" w:type="dxa"/>
            <w:vAlign w:val="bottom"/>
            <w:tcBorders>
              <w:bottom w:val="single" w:sz="8" w:color="FDFDFC"/>
            </w:tcBorders>
            <w:shd w:val="clear" w:color="auto" w:fill="D0EBF2"/>
          </w:tcPr>
          <w:p>
            <w:pPr>
              <w:spacing w:after="0"/>
              <w:rPr>
                <w:sz w:val="20"/>
                <w:szCs w:val="20"/>
                <w:color w:val="auto"/>
              </w:rPr>
            </w:pPr>
          </w:p>
        </w:tc>
        <w:tc>
          <w:tcPr>
            <w:tcW w:w="340" w:type="dxa"/>
            <w:vAlign w:val="bottom"/>
            <w:tcBorders>
              <w:bottom w:val="single" w:sz="8" w:color="231F20"/>
            </w:tcBorders>
            <w:shd w:val="clear" w:color="auto" w:fill="D0EBF2"/>
          </w:tcPr>
          <w:p>
            <w:pPr>
              <w:spacing w:after="0"/>
              <w:rPr>
                <w:sz w:val="20"/>
                <w:szCs w:val="20"/>
                <w:color w:val="auto"/>
              </w:rPr>
            </w:pPr>
          </w:p>
        </w:tc>
        <w:tc>
          <w:tcPr>
            <w:tcW w:w="840" w:type="dxa"/>
            <w:vAlign w:val="bottom"/>
            <w:tcBorders>
              <w:bottom w:val="single" w:sz="8" w:color="231F20"/>
            </w:tcBorders>
            <w:shd w:val="clear" w:color="auto" w:fill="D0EBF2"/>
          </w:tcPr>
          <w:p>
            <w:pPr>
              <w:jc w:val="right"/>
              <w:spacing w:after="0"/>
              <w:rPr>
                <w:sz w:val="20"/>
                <w:szCs w:val="20"/>
                <w:color w:val="auto"/>
              </w:rPr>
            </w:pPr>
            <w:r>
              <w:rPr>
                <w:rFonts w:ascii="Times New Roman" w:cs="Times New Roman" w:eastAsia="Times New Roman" w:hAnsi="Times New Roman"/>
                <w:sz w:val="19"/>
                <w:szCs w:val="19"/>
                <w:color w:val="231F20"/>
              </w:rPr>
              <w:t>52.9</w:t>
            </w:r>
          </w:p>
        </w:tc>
        <w:tc>
          <w:tcPr>
            <w:tcW w:w="220" w:type="dxa"/>
            <w:vAlign w:val="bottom"/>
            <w:tcBorders>
              <w:bottom w:val="single" w:sz="8" w:color="FDFDFC"/>
            </w:tcBorders>
            <w:shd w:val="clear" w:color="auto" w:fill="D0EBF2"/>
          </w:tcPr>
          <w:p>
            <w:pPr>
              <w:spacing w:after="0"/>
              <w:rPr>
                <w:sz w:val="20"/>
                <w:szCs w:val="20"/>
                <w:color w:val="auto"/>
              </w:rPr>
            </w:pPr>
          </w:p>
        </w:tc>
        <w:tc>
          <w:tcPr>
            <w:tcW w:w="160" w:type="dxa"/>
            <w:vAlign w:val="bottom"/>
            <w:tcBorders>
              <w:bottom w:val="single" w:sz="8" w:color="231F20"/>
            </w:tcBorders>
            <w:shd w:val="clear" w:color="auto" w:fill="D0EBF2"/>
          </w:tcPr>
          <w:p>
            <w:pPr>
              <w:spacing w:after="0"/>
              <w:rPr>
                <w:sz w:val="20"/>
                <w:szCs w:val="20"/>
                <w:color w:val="auto"/>
              </w:rPr>
            </w:pPr>
          </w:p>
        </w:tc>
        <w:tc>
          <w:tcPr>
            <w:tcW w:w="1020" w:type="dxa"/>
            <w:vAlign w:val="bottom"/>
            <w:tcBorders>
              <w:bottom w:val="single" w:sz="8" w:color="231F20"/>
            </w:tcBorders>
            <w:shd w:val="clear" w:color="auto" w:fill="D0EBF2"/>
          </w:tcPr>
          <w:p>
            <w:pPr>
              <w:jc w:val="right"/>
              <w:spacing w:after="0"/>
              <w:rPr>
                <w:sz w:val="20"/>
                <w:szCs w:val="20"/>
                <w:color w:val="auto"/>
              </w:rPr>
            </w:pPr>
            <w:r>
              <w:rPr>
                <w:rFonts w:ascii="Times New Roman" w:cs="Times New Roman" w:eastAsia="Times New Roman" w:hAnsi="Times New Roman"/>
                <w:sz w:val="19"/>
                <w:szCs w:val="19"/>
                <w:color w:val="231F20"/>
              </w:rPr>
              <w:t>55.8</w:t>
            </w:r>
          </w:p>
        </w:tc>
        <w:tc>
          <w:tcPr>
            <w:tcW w:w="100" w:type="dxa"/>
            <w:vAlign w:val="bottom"/>
            <w:tcBorders>
              <w:bottom w:val="single" w:sz="8" w:color="FDFDFC"/>
            </w:tcBorders>
            <w:shd w:val="clear" w:color="auto" w:fill="D0EBF2"/>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3720" w:type="dxa"/>
            <w:vAlign w:val="bottom"/>
            <w:shd w:val="clear" w:color="auto" w:fill="FDFDFC"/>
          </w:tcPr>
          <w:p>
            <w:pPr>
              <w:ind w:left="180"/>
              <w:spacing w:after="0"/>
              <w:rPr>
                <w:sz w:val="20"/>
                <w:szCs w:val="20"/>
                <w:color w:val="auto"/>
              </w:rPr>
            </w:pPr>
            <w:r>
              <w:rPr>
                <w:rFonts w:ascii="Times New Roman" w:cs="Times New Roman" w:eastAsia="Times New Roman" w:hAnsi="Times New Roman"/>
                <w:sz w:val="19"/>
                <w:szCs w:val="19"/>
                <w:b w:val="1"/>
                <w:bCs w:val="1"/>
                <w:color w:val="231F20"/>
              </w:rPr>
              <w:t>Total</w:t>
            </w:r>
          </w:p>
        </w:tc>
        <w:tc>
          <w:tcPr>
            <w:tcW w:w="100" w:type="dxa"/>
            <w:vAlign w:val="bottom"/>
            <w:tcBorders>
              <w:bottom w:val="single" w:sz="8" w:color="231F20"/>
            </w:tcBorders>
            <w:shd w:val="clear" w:color="auto" w:fill="FDFDFC"/>
          </w:tcPr>
          <w:p>
            <w:pPr>
              <w:jc w:val="right"/>
              <w:spacing w:after="0"/>
              <w:rPr>
                <w:sz w:val="20"/>
                <w:szCs w:val="20"/>
                <w:color w:val="auto"/>
              </w:rPr>
            </w:pPr>
            <w:r>
              <w:rPr>
                <w:rFonts w:ascii="Times New Roman" w:cs="Times New Roman" w:eastAsia="Times New Roman" w:hAnsi="Times New Roman"/>
                <w:sz w:val="19"/>
                <w:szCs w:val="19"/>
                <w:color w:val="231F20"/>
                <w:highlight w:val="white"/>
                <w:w w:val="83"/>
              </w:rPr>
              <w:t>$</w:t>
            </w:r>
          </w:p>
        </w:tc>
        <w:tc>
          <w:tcPr>
            <w:tcW w:w="1080" w:type="dxa"/>
            <w:vAlign w:val="bottom"/>
            <w:tcBorders>
              <w:bottom w:val="single" w:sz="8" w:color="231F20"/>
            </w:tcBorders>
            <w:shd w:val="clear" w:color="auto" w:fill="FDFDFC"/>
          </w:tcPr>
          <w:p>
            <w:pPr>
              <w:jc w:val="right"/>
              <w:spacing w:after="0"/>
              <w:rPr>
                <w:sz w:val="20"/>
                <w:szCs w:val="20"/>
                <w:color w:val="auto"/>
              </w:rPr>
            </w:pPr>
            <w:r>
              <w:rPr>
                <w:rFonts w:ascii="Times New Roman" w:cs="Times New Roman" w:eastAsia="Times New Roman" w:hAnsi="Times New Roman"/>
                <w:sz w:val="19"/>
                <w:szCs w:val="19"/>
                <w:color w:val="231F20"/>
              </w:rPr>
              <w:t>3,539.2</w:t>
            </w:r>
          </w:p>
        </w:tc>
        <w:tc>
          <w:tcPr>
            <w:tcW w:w="200" w:type="dxa"/>
            <w:vAlign w:val="bottom"/>
            <w:shd w:val="clear" w:color="auto" w:fill="FDFDFC"/>
          </w:tcPr>
          <w:p>
            <w:pPr>
              <w:spacing w:after="0"/>
              <w:rPr>
                <w:sz w:val="19"/>
                <w:szCs w:val="19"/>
                <w:color w:val="auto"/>
              </w:rPr>
            </w:pPr>
          </w:p>
        </w:tc>
        <w:tc>
          <w:tcPr>
            <w:tcW w:w="180" w:type="dxa"/>
            <w:vAlign w:val="bottom"/>
            <w:tcBorders>
              <w:bottom w:val="single" w:sz="8" w:color="231F20"/>
            </w:tcBorders>
            <w:shd w:val="clear" w:color="auto" w:fill="FDFDFC"/>
          </w:tcPr>
          <w:p>
            <w:pPr>
              <w:jc w:val="right"/>
              <w:spacing w:after="0"/>
              <w:rPr>
                <w:sz w:val="20"/>
                <w:szCs w:val="20"/>
                <w:color w:val="auto"/>
              </w:rPr>
            </w:pPr>
            <w:r>
              <w:rPr>
                <w:rFonts w:ascii="Times New Roman" w:cs="Times New Roman" w:eastAsia="Times New Roman" w:hAnsi="Times New Roman"/>
                <w:sz w:val="19"/>
                <w:szCs w:val="19"/>
                <w:color w:val="231F20"/>
                <w:w w:val="83"/>
              </w:rPr>
              <w:t>$</w:t>
            </w:r>
          </w:p>
        </w:tc>
        <w:tc>
          <w:tcPr>
            <w:tcW w:w="1000" w:type="dxa"/>
            <w:vAlign w:val="bottom"/>
            <w:tcBorders>
              <w:bottom w:val="single" w:sz="8" w:color="231F20"/>
            </w:tcBorders>
            <w:shd w:val="clear" w:color="auto" w:fill="FDFDFC"/>
          </w:tcPr>
          <w:p>
            <w:pPr>
              <w:jc w:val="right"/>
              <w:spacing w:after="0"/>
              <w:rPr>
                <w:sz w:val="20"/>
                <w:szCs w:val="20"/>
                <w:color w:val="auto"/>
              </w:rPr>
            </w:pPr>
            <w:r>
              <w:rPr>
                <w:rFonts w:ascii="Times New Roman" w:cs="Times New Roman" w:eastAsia="Times New Roman" w:hAnsi="Times New Roman"/>
                <w:sz w:val="19"/>
                <w:szCs w:val="19"/>
                <w:color w:val="231F20"/>
              </w:rPr>
              <w:t>3,518.4</w:t>
            </w:r>
          </w:p>
        </w:tc>
        <w:tc>
          <w:tcPr>
            <w:tcW w:w="220" w:type="dxa"/>
            <w:vAlign w:val="bottom"/>
            <w:shd w:val="clear" w:color="auto" w:fill="FDFDFC"/>
          </w:tcPr>
          <w:p>
            <w:pPr>
              <w:spacing w:after="0"/>
              <w:rPr>
                <w:sz w:val="19"/>
                <w:szCs w:val="19"/>
                <w:color w:val="auto"/>
              </w:rPr>
            </w:pPr>
          </w:p>
        </w:tc>
        <w:tc>
          <w:tcPr>
            <w:tcW w:w="340" w:type="dxa"/>
            <w:vAlign w:val="bottom"/>
            <w:tcBorders>
              <w:bottom w:val="single" w:sz="8" w:color="231F20"/>
            </w:tcBorders>
            <w:shd w:val="clear" w:color="auto" w:fill="FDFDFC"/>
          </w:tcPr>
          <w:p>
            <w:pPr>
              <w:jc w:val="right"/>
              <w:ind w:right="152"/>
              <w:spacing w:after="0"/>
              <w:rPr>
                <w:sz w:val="20"/>
                <w:szCs w:val="20"/>
                <w:color w:val="auto"/>
              </w:rPr>
            </w:pPr>
            <w:r>
              <w:rPr>
                <w:rFonts w:ascii="Times New Roman" w:cs="Times New Roman" w:eastAsia="Times New Roman" w:hAnsi="Times New Roman"/>
                <w:sz w:val="19"/>
                <w:szCs w:val="19"/>
                <w:color w:val="231F20"/>
                <w:w w:val="83"/>
              </w:rPr>
              <w:t>$</w:t>
            </w:r>
          </w:p>
        </w:tc>
        <w:tc>
          <w:tcPr>
            <w:tcW w:w="840" w:type="dxa"/>
            <w:vAlign w:val="bottom"/>
            <w:tcBorders>
              <w:bottom w:val="single" w:sz="8" w:color="231F20"/>
            </w:tcBorders>
            <w:shd w:val="clear" w:color="auto" w:fill="FDFDFC"/>
          </w:tcPr>
          <w:p>
            <w:pPr>
              <w:jc w:val="right"/>
              <w:spacing w:after="0"/>
              <w:rPr>
                <w:sz w:val="20"/>
                <w:szCs w:val="20"/>
                <w:color w:val="auto"/>
              </w:rPr>
            </w:pPr>
            <w:r>
              <w:rPr>
                <w:rFonts w:ascii="Times New Roman" w:cs="Times New Roman" w:eastAsia="Times New Roman" w:hAnsi="Times New Roman"/>
                <w:sz w:val="19"/>
                <w:szCs w:val="19"/>
                <w:color w:val="231F20"/>
              </w:rPr>
              <w:t>3,251.0</w:t>
            </w:r>
          </w:p>
        </w:tc>
        <w:tc>
          <w:tcPr>
            <w:tcW w:w="220" w:type="dxa"/>
            <w:vAlign w:val="bottom"/>
            <w:shd w:val="clear" w:color="auto" w:fill="FDFDFC"/>
          </w:tcPr>
          <w:p>
            <w:pPr>
              <w:spacing w:after="0"/>
              <w:rPr>
                <w:sz w:val="19"/>
                <w:szCs w:val="19"/>
                <w:color w:val="auto"/>
              </w:rPr>
            </w:pPr>
          </w:p>
        </w:tc>
        <w:tc>
          <w:tcPr>
            <w:tcW w:w="160" w:type="dxa"/>
            <w:vAlign w:val="bottom"/>
            <w:tcBorders>
              <w:bottom w:val="single" w:sz="8" w:color="231F20"/>
            </w:tcBorders>
            <w:shd w:val="clear" w:color="auto" w:fill="FDFDFC"/>
          </w:tcPr>
          <w:p>
            <w:pPr>
              <w:jc w:val="right"/>
              <w:spacing w:after="0"/>
              <w:rPr>
                <w:sz w:val="20"/>
                <w:szCs w:val="20"/>
                <w:color w:val="auto"/>
              </w:rPr>
            </w:pPr>
            <w:r>
              <w:rPr>
                <w:rFonts w:ascii="Times New Roman" w:cs="Times New Roman" w:eastAsia="Times New Roman" w:hAnsi="Times New Roman"/>
                <w:sz w:val="19"/>
                <w:szCs w:val="19"/>
                <w:color w:val="231F20"/>
                <w:w w:val="83"/>
              </w:rPr>
              <w:t>$</w:t>
            </w:r>
          </w:p>
        </w:tc>
        <w:tc>
          <w:tcPr>
            <w:tcW w:w="1020" w:type="dxa"/>
            <w:vAlign w:val="bottom"/>
            <w:tcBorders>
              <w:bottom w:val="single" w:sz="8" w:color="231F20"/>
            </w:tcBorders>
            <w:shd w:val="clear" w:color="auto" w:fill="FDFDFC"/>
          </w:tcPr>
          <w:p>
            <w:pPr>
              <w:jc w:val="right"/>
              <w:spacing w:after="0"/>
              <w:rPr>
                <w:sz w:val="20"/>
                <w:szCs w:val="20"/>
                <w:color w:val="auto"/>
              </w:rPr>
            </w:pPr>
            <w:r>
              <w:rPr>
                <w:rFonts w:ascii="Times New Roman" w:cs="Times New Roman" w:eastAsia="Times New Roman" w:hAnsi="Times New Roman"/>
                <w:sz w:val="19"/>
                <w:szCs w:val="19"/>
                <w:color w:val="231F20"/>
              </w:rPr>
              <w:t>3,283.1</w:t>
            </w:r>
          </w:p>
        </w:tc>
        <w:tc>
          <w:tcPr>
            <w:tcW w:w="100" w:type="dxa"/>
            <w:vAlign w:val="bottom"/>
            <w:shd w:val="clear" w:color="auto" w:fill="FDFD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720" w:type="dxa"/>
            <w:vAlign w:val="bottom"/>
          </w:tcPr>
          <w:p>
            <w:pPr>
              <w:spacing w:after="0" w:line="20" w:lineRule="exact"/>
              <w:rPr>
                <w:sz w:val="1"/>
                <w:szCs w:val="1"/>
                <w:color w:val="auto"/>
              </w:rPr>
            </w:pPr>
          </w:p>
        </w:tc>
        <w:tc>
          <w:tcPr>
            <w:tcW w:w="100" w:type="dxa"/>
            <w:vAlign w:val="bottom"/>
            <w:tcBorders>
              <w:bottom w:val="single" w:sz="8" w:color="231F20"/>
            </w:tcBorders>
          </w:tcPr>
          <w:p>
            <w:pPr>
              <w:spacing w:after="0" w:line="20" w:lineRule="exact"/>
              <w:rPr>
                <w:sz w:val="1"/>
                <w:szCs w:val="1"/>
                <w:color w:val="auto"/>
              </w:rPr>
            </w:pPr>
          </w:p>
        </w:tc>
        <w:tc>
          <w:tcPr>
            <w:tcW w:w="1080" w:type="dxa"/>
            <w:vAlign w:val="bottom"/>
            <w:tcBorders>
              <w:bottom w:val="single" w:sz="8" w:color="231F20"/>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231F20"/>
            </w:tcBorders>
          </w:tcPr>
          <w:p>
            <w:pPr>
              <w:spacing w:after="0" w:line="20" w:lineRule="exact"/>
              <w:rPr>
                <w:sz w:val="1"/>
                <w:szCs w:val="1"/>
                <w:color w:val="auto"/>
              </w:rPr>
            </w:pPr>
          </w:p>
        </w:tc>
        <w:tc>
          <w:tcPr>
            <w:tcW w:w="1000" w:type="dxa"/>
            <w:vAlign w:val="bottom"/>
            <w:tcBorders>
              <w:bottom w:val="single" w:sz="8" w:color="231F20"/>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bottom w:val="single" w:sz="8" w:color="231F20"/>
            </w:tcBorders>
          </w:tcPr>
          <w:p>
            <w:pPr>
              <w:spacing w:after="0" w:line="20" w:lineRule="exact"/>
              <w:rPr>
                <w:sz w:val="1"/>
                <w:szCs w:val="1"/>
                <w:color w:val="auto"/>
              </w:rPr>
            </w:pPr>
          </w:p>
        </w:tc>
        <w:tc>
          <w:tcPr>
            <w:tcW w:w="840" w:type="dxa"/>
            <w:vAlign w:val="bottom"/>
            <w:tcBorders>
              <w:bottom w:val="single" w:sz="8" w:color="231F20"/>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231F20"/>
            </w:tcBorders>
          </w:tcPr>
          <w:p>
            <w:pPr>
              <w:spacing w:after="0" w:line="20" w:lineRule="exact"/>
              <w:rPr>
                <w:sz w:val="1"/>
                <w:szCs w:val="1"/>
                <w:color w:val="auto"/>
              </w:rPr>
            </w:pPr>
          </w:p>
        </w:tc>
        <w:tc>
          <w:tcPr>
            <w:tcW w:w="1020" w:type="dxa"/>
            <w:vAlign w:val="bottom"/>
            <w:tcBorders>
              <w:bottom w:val="single" w:sz="8" w:color="231F20"/>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2240" w:h="15840" w:orient="portrait"/>
          <w:cols w:equalWidth="0" w:num="1">
            <w:col w:w="9920"/>
          </w:cols>
          <w:pgMar w:left="1020" w:top="1317" w:right="1300" w:bottom="57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9"/>
          <w:szCs w:val="19"/>
          <w:color w:val="231F20"/>
        </w:rPr>
        <w:t>68</w:t>
      </w:r>
    </w:p>
    <w:p>
      <w:pPr>
        <w:sectPr>
          <w:pgSz w:w="12240" w:h="15840" w:orient="portrait"/>
          <w:cols w:equalWidth="0" w:num="1">
            <w:col w:w="9920"/>
          </w:cols>
          <w:pgMar w:left="1020" w:top="1317" w:right="1300" w:bottom="574" w:gutter="0" w:footer="0" w:header="0"/>
          <w:type w:val="continuous"/>
        </w:sectPr>
      </w:pPr>
    </w:p>
    <w:bookmarkStart w:id="68" w:name="page69"/>
    <w:bookmarkEnd w:id="68"/>
    <w:p>
      <w:pPr>
        <w:ind w:right="320" w:firstLine="231"/>
        <w:spacing w:after="0" w:line="275" w:lineRule="auto"/>
        <w:rPr>
          <w:sz w:val="20"/>
          <w:szCs w:val="20"/>
          <w:color w:val="auto"/>
        </w:rPr>
      </w:pPr>
      <w:r>
        <w:rPr>
          <w:rFonts w:ascii="Times New Roman" w:cs="Times New Roman" w:eastAsia="Times New Roman" w:hAnsi="Times New Roman"/>
          <w:sz w:val="19"/>
          <w:szCs w:val="19"/>
          <w:color w:val="231F20"/>
        </w:rPr>
        <w:t>The following tables show the fair value and amortized cost of our performing and non-accrual investments as of December 31, 2024 and December 31, 2023:</w:t>
      </w:r>
    </w:p>
    <w:p>
      <w:pPr>
        <w:spacing w:after="0" w:line="214" w:lineRule="exact"/>
        <w:rPr>
          <w:sz w:val="20"/>
          <w:szCs w:val="20"/>
          <w:color w:val="auto"/>
        </w:rPr>
      </w:pPr>
    </w:p>
    <w:tbl>
      <w:tblPr>
        <w:tblLayout w:type="fixed"/>
        <w:tblInd w:w="520" w:type="dxa"/>
        <w:tblCellMar>
          <w:top w:w="0" w:type="dxa"/>
          <w:left w:w="0" w:type="dxa"/>
          <w:bottom w:w="0" w:type="dxa"/>
          <w:right w:w="0" w:type="dxa"/>
        </w:tblCellMar>
      </w:tblPr>
      <w:tr>
        <w:trPr>
          <w:trHeight w:val="187"/>
        </w:trPr>
        <w:tc>
          <w:tcPr>
            <w:tcW w:w="3720" w:type="dxa"/>
            <w:vAlign w:val="bottom"/>
            <w:vMerge w:val="restart"/>
            <w:shd w:val="clear" w:color="auto" w:fill="FDFDFC"/>
          </w:tcPr>
          <w:p>
            <w:pPr>
              <w:spacing w:after="0"/>
              <w:rPr>
                <w:sz w:val="20"/>
                <w:szCs w:val="20"/>
                <w:color w:val="auto"/>
              </w:rPr>
            </w:pPr>
            <w:r>
              <w:rPr>
                <w:rFonts w:ascii="Times New Roman" w:cs="Times New Roman" w:eastAsia="Times New Roman" w:hAnsi="Times New Roman"/>
                <w:sz w:val="15"/>
                <w:szCs w:val="15"/>
                <w:color w:val="231F20"/>
              </w:rPr>
              <w:t>($ in millions)</w:t>
            </w:r>
          </w:p>
        </w:tc>
        <w:tc>
          <w:tcPr>
            <w:tcW w:w="2480" w:type="dxa"/>
            <w:vAlign w:val="bottom"/>
            <w:gridSpan w:val="3"/>
            <w:shd w:val="clear" w:color="auto" w:fill="FDFDFC"/>
          </w:tcPr>
          <w:p>
            <w:pPr>
              <w:ind w:left="620"/>
              <w:spacing w:after="0"/>
              <w:rPr>
                <w:sz w:val="20"/>
                <w:szCs w:val="20"/>
                <w:color w:val="auto"/>
              </w:rPr>
            </w:pPr>
            <w:r>
              <w:rPr>
                <w:rFonts w:ascii="Times New Roman" w:cs="Times New Roman" w:eastAsia="Times New Roman" w:hAnsi="Times New Roman"/>
                <w:sz w:val="15"/>
                <w:szCs w:val="15"/>
                <w:b w:val="1"/>
                <w:bCs w:val="1"/>
                <w:color w:val="231F20"/>
              </w:rPr>
              <w:t>December 31, 2024</w:t>
            </w:r>
          </w:p>
        </w:tc>
        <w:tc>
          <w:tcPr>
            <w:tcW w:w="300" w:type="dxa"/>
            <w:vAlign w:val="bottom"/>
            <w:shd w:val="clear" w:color="auto" w:fill="FDFDFC"/>
          </w:tcPr>
          <w:p>
            <w:pPr>
              <w:spacing w:after="0"/>
              <w:rPr>
                <w:sz w:val="16"/>
                <w:szCs w:val="16"/>
                <w:color w:val="auto"/>
              </w:rPr>
            </w:pPr>
          </w:p>
        </w:tc>
        <w:tc>
          <w:tcPr>
            <w:tcW w:w="2680" w:type="dxa"/>
            <w:vAlign w:val="bottom"/>
            <w:gridSpan w:val="4"/>
            <w:shd w:val="clear" w:color="auto" w:fill="FDFDFC"/>
          </w:tcPr>
          <w:p>
            <w:pPr>
              <w:ind w:left="620"/>
              <w:spacing w:after="0"/>
              <w:rPr>
                <w:sz w:val="20"/>
                <w:szCs w:val="20"/>
                <w:color w:val="auto"/>
              </w:rPr>
            </w:pPr>
            <w:r>
              <w:rPr>
                <w:rFonts w:ascii="Times New Roman" w:cs="Times New Roman" w:eastAsia="Times New Roman" w:hAnsi="Times New Roman"/>
                <w:sz w:val="15"/>
                <w:szCs w:val="15"/>
                <w:b w:val="1"/>
                <w:bCs w:val="1"/>
                <w:color w:val="231F20"/>
              </w:rPr>
              <w:t>December 31, 2023</w:t>
            </w:r>
          </w:p>
        </w:tc>
        <w:tc>
          <w:tcPr>
            <w:tcW w:w="0" w:type="dxa"/>
            <w:vAlign w:val="bottom"/>
          </w:tcPr>
          <w:p>
            <w:pPr>
              <w:spacing w:after="0"/>
              <w:rPr>
                <w:sz w:val="1"/>
                <w:szCs w:val="1"/>
                <w:color w:val="auto"/>
              </w:rPr>
            </w:pPr>
          </w:p>
        </w:tc>
      </w:tr>
      <w:tr>
        <w:trPr>
          <w:trHeight w:val="176"/>
        </w:trPr>
        <w:tc>
          <w:tcPr>
            <w:tcW w:w="3720" w:type="dxa"/>
            <w:vAlign w:val="bottom"/>
            <w:tcBorders>
              <w:top w:val="single" w:sz="8" w:color="FDFDFC"/>
              <w:bottom w:val="single" w:sz="8" w:color="FDFDFC"/>
            </w:tcBorders>
            <w:vMerge w:val="continue"/>
            <w:shd w:val="clear" w:color="auto" w:fill="FDFDFC"/>
          </w:tcPr>
          <w:p>
            <w:pPr>
              <w:spacing w:after="0"/>
              <w:rPr>
                <w:sz w:val="15"/>
                <w:szCs w:val="15"/>
                <w:color w:val="auto"/>
              </w:rPr>
            </w:pPr>
          </w:p>
        </w:tc>
        <w:tc>
          <w:tcPr>
            <w:tcW w:w="1180" w:type="dxa"/>
            <w:vAlign w:val="bottom"/>
            <w:tcBorders>
              <w:top w:val="single" w:sz="8" w:color="231F20"/>
              <w:bottom w:val="single" w:sz="8" w:color="231F20"/>
            </w:tcBorders>
            <w:shd w:val="clear" w:color="auto" w:fill="FDFDFC"/>
          </w:tcPr>
          <w:p>
            <w:pPr>
              <w:ind w:left="220"/>
              <w:spacing w:after="0"/>
              <w:rPr>
                <w:sz w:val="20"/>
                <w:szCs w:val="20"/>
                <w:color w:val="auto"/>
              </w:rPr>
            </w:pPr>
            <w:r>
              <w:rPr>
                <w:rFonts w:ascii="Times New Roman" w:cs="Times New Roman" w:eastAsia="Times New Roman" w:hAnsi="Times New Roman"/>
                <w:sz w:val="15"/>
                <w:szCs w:val="15"/>
                <w:b w:val="1"/>
                <w:bCs w:val="1"/>
                <w:color w:val="231F20"/>
              </w:rPr>
              <w:t>Fair Value</w:t>
            </w:r>
          </w:p>
        </w:tc>
        <w:tc>
          <w:tcPr>
            <w:tcW w:w="160" w:type="dxa"/>
            <w:vAlign w:val="bottom"/>
            <w:tcBorders>
              <w:top w:val="single" w:sz="8" w:color="231F20"/>
              <w:bottom w:val="single" w:sz="8" w:color="FDFDFC"/>
            </w:tcBorders>
            <w:shd w:val="clear" w:color="auto" w:fill="FDFDFC"/>
          </w:tcPr>
          <w:p>
            <w:pPr>
              <w:spacing w:after="0"/>
              <w:rPr>
                <w:sz w:val="15"/>
                <w:szCs w:val="15"/>
                <w:color w:val="auto"/>
              </w:rPr>
            </w:pPr>
          </w:p>
        </w:tc>
        <w:tc>
          <w:tcPr>
            <w:tcW w:w="1140" w:type="dxa"/>
            <w:vAlign w:val="bottom"/>
            <w:tcBorders>
              <w:top w:val="single" w:sz="8" w:color="231F20"/>
              <w:bottom w:val="single" w:sz="8" w:color="231F20"/>
            </w:tcBorders>
            <w:shd w:val="clear" w:color="auto" w:fill="FDFDFC"/>
          </w:tcPr>
          <w:p>
            <w:pPr>
              <w:ind w:left="200"/>
              <w:spacing w:after="0"/>
              <w:rPr>
                <w:sz w:val="20"/>
                <w:szCs w:val="20"/>
                <w:color w:val="auto"/>
              </w:rPr>
            </w:pPr>
            <w:r>
              <w:rPr>
                <w:rFonts w:ascii="Times New Roman" w:cs="Times New Roman" w:eastAsia="Times New Roman" w:hAnsi="Times New Roman"/>
                <w:sz w:val="15"/>
                <w:szCs w:val="15"/>
                <w:b w:val="1"/>
                <w:bCs w:val="1"/>
                <w:color w:val="231F20"/>
              </w:rPr>
              <w:t>Percentage</w:t>
            </w:r>
          </w:p>
        </w:tc>
        <w:tc>
          <w:tcPr>
            <w:tcW w:w="300" w:type="dxa"/>
            <w:vAlign w:val="bottom"/>
            <w:tcBorders>
              <w:top w:val="single" w:sz="8" w:color="FDFDFC"/>
              <w:bottom w:val="single" w:sz="8" w:color="FDFDFC"/>
            </w:tcBorders>
            <w:shd w:val="clear" w:color="auto" w:fill="FDFDFC"/>
          </w:tcPr>
          <w:p>
            <w:pPr>
              <w:spacing w:after="0"/>
              <w:rPr>
                <w:sz w:val="15"/>
                <w:szCs w:val="15"/>
                <w:color w:val="auto"/>
              </w:rPr>
            </w:pPr>
          </w:p>
        </w:tc>
        <w:tc>
          <w:tcPr>
            <w:tcW w:w="1180" w:type="dxa"/>
            <w:vAlign w:val="bottom"/>
            <w:tcBorders>
              <w:top w:val="single" w:sz="8" w:color="231F20"/>
              <w:bottom w:val="single" w:sz="8" w:color="231F20"/>
            </w:tcBorders>
            <w:shd w:val="clear" w:color="auto" w:fill="FDFDFC"/>
          </w:tcPr>
          <w:p>
            <w:pPr>
              <w:ind w:left="240"/>
              <w:spacing w:after="0"/>
              <w:rPr>
                <w:sz w:val="20"/>
                <w:szCs w:val="20"/>
                <w:color w:val="auto"/>
              </w:rPr>
            </w:pPr>
            <w:r>
              <w:rPr>
                <w:rFonts w:ascii="Times New Roman" w:cs="Times New Roman" w:eastAsia="Times New Roman" w:hAnsi="Times New Roman"/>
                <w:sz w:val="15"/>
                <w:szCs w:val="15"/>
                <w:b w:val="1"/>
                <w:bCs w:val="1"/>
                <w:color w:val="231F20"/>
              </w:rPr>
              <w:t>Fair Value</w:t>
            </w:r>
          </w:p>
        </w:tc>
        <w:tc>
          <w:tcPr>
            <w:tcW w:w="180" w:type="dxa"/>
            <w:vAlign w:val="bottom"/>
            <w:tcBorders>
              <w:top w:val="single" w:sz="8" w:color="231F20"/>
              <w:bottom w:val="single" w:sz="8" w:color="FDFDFC"/>
            </w:tcBorders>
            <w:shd w:val="clear" w:color="auto" w:fill="FDFDFC"/>
          </w:tcPr>
          <w:p>
            <w:pPr>
              <w:spacing w:after="0"/>
              <w:rPr>
                <w:sz w:val="15"/>
                <w:szCs w:val="15"/>
                <w:color w:val="auto"/>
              </w:rPr>
            </w:pPr>
          </w:p>
        </w:tc>
        <w:tc>
          <w:tcPr>
            <w:tcW w:w="1140" w:type="dxa"/>
            <w:vAlign w:val="bottom"/>
            <w:tcBorders>
              <w:top w:val="single" w:sz="8" w:color="231F20"/>
              <w:bottom w:val="single" w:sz="8" w:color="231F20"/>
            </w:tcBorders>
            <w:shd w:val="clear" w:color="auto" w:fill="FDFDFC"/>
          </w:tcPr>
          <w:p>
            <w:pPr>
              <w:ind w:left="200"/>
              <w:spacing w:after="0"/>
              <w:rPr>
                <w:sz w:val="20"/>
                <w:szCs w:val="20"/>
                <w:color w:val="auto"/>
              </w:rPr>
            </w:pPr>
            <w:r>
              <w:rPr>
                <w:rFonts w:ascii="Times New Roman" w:cs="Times New Roman" w:eastAsia="Times New Roman" w:hAnsi="Times New Roman"/>
                <w:sz w:val="15"/>
                <w:szCs w:val="15"/>
                <w:b w:val="1"/>
                <w:bCs w:val="1"/>
                <w:color w:val="231F20"/>
              </w:rPr>
              <w:t>Percentage</w:t>
            </w:r>
          </w:p>
        </w:tc>
        <w:tc>
          <w:tcPr>
            <w:tcW w:w="180" w:type="dxa"/>
            <w:vAlign w:val="bottom"/>
            <w:tcBorders>
              <w:top w:val="single" w:sz="8" w:color="FDFDFC"/>
              <w:bottom w:val="single" w:sz="8" w:color="FDFDFC"/>
            </w:tcBorders>
            <w:shd w:val="clear" w:color="auto" w:fill="FDFDFC"/>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323850</wp:posOffset>
                </wp:positionH>
                <wp:positionV relativeFrom="paragraph">
                  <wp:posOffset>-5715</wp:posOffset>
                </wp:positionV>
                <wp:extent cx="2366010" cy="151765"/>
                <wp:wrapNone/>
                <wp:docPr id="19" name="Shape 1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366010" cy="151765"/>
                        </a:xfrm>
                        <a:prstGeom prst="rect">
                          <a:avLst/>
                        </a:prstGeom>
                        <a:solidFill>
                          <a:srgbClr val="D0EBF2"/>
                        </a:solidFill>
                      </wps:spPr>
                      <wps:bodyPr/>
                    </wps:wsp>
                  </a:graphicData>
                </a:graphic>
              </wp:anchor>
            </w:drawing>
          </mc:Choice>
          <mc:Fallback>
            <w:pict>
              <v:rect id="Shape 19" o:spid="_x0000_s1044" style="position:absolute;margin-left:25.5pt;margin-top:-0.4499pt;width:186.3pt;height:11.9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0EBF2" stroked="f"/>
            </w:pict>
          </mc:Fallback>
        </mc:AlternateContent>
        <mc:AlternateContent>
          <mc:Choice Requires="wps">
            <w:drawing>
              <wp:anchor simplePos="0" relativeHeight="251657728" behindDoc="1" locked="0" layoutInCell="0" allowOverlap="1">
                <wp:simplePos x="0" y="0"/>
                <wp:positionH relativeFrom="column">
                  <wp:posOffset>3435350</wp:posOffset>
                </wp:positionH>
                <wp:positionV relativeFrom="paragraph">
                  <wp:posOffset>-5715</wp:posOffset>
                </wp:positionV>
                <wp:extent cx="113030" cy="151765"/>
                <wp:wrapNone/>
                <wp:docPr id="20" name="Shape 2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13030" cy="151765"/>
                        </a:xfrm>
                        <a:prstGeom prst="rect">
                          <a:avLst/>
                        </a:prstGeom>
                        <a:solidFill>
                          <a:srgbClr val="D0EBF2"/>
                        </a:solidFill>
                      </wps:spPr>
                      <wps:bodyPr/>
                    </wps:wsp>
                  </a:graphicData>
                </a:graphic>
              </wp:anchor>
            </w:drawing>
          </mc:Choice>
          <mc:Fallback>
            <w:pict>
              <v:rect id="Shape 20" o:spid="_x0000_s1045" style="position:absolute;margin-left:270.5pt;margin-top:-0.4499pt;width:8.9pt;height:11.9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0EBF2" stroked="f"/>
            </w:pict>
          </mc:Fallback>
        </mc:AlternateContent>
        <mc:AlternateContent>
          <mc:Choice Requires="wps">
            <w:drawing>
              <wp:anchor simplePos="0" relativeHeight="251657728" behindDoc="1" locked="0" layoutInCell="0" allowOverlap="1">
                <wp:simplePos x="0" y="0"/>
                <wp:positionH relativeFrom="column">
                  <wp:posOffset>4272280</wp:posOffset>
                </wp:positionH>
                <wp:positionV relativeFrom="paragraph">
                  <wp:posOffset>-5715</wp:posOffset>
                </wp:positionV>
                <wp:extent cx="189230" cy="151765"/>
                <wp:wrapNone/>
                <wp:docPr id="21" name="Shape 2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89230" cy="151765"/>
                        </a:xfrm>
                        <a:prstGeom prst="rect">
                          <a:avLst/>
                        </a:prstGeom>
                        <a:solidFill>
                          <a:srgbClr val="D0EBF2"/>
                        </a:solidFill>
                      </wps:spPr>
                      <wps:bodyPr/>
                    </wps:wsp>
                  </a:graphicData>
                </a:graphic>
              </wp:anchor>
            </w:drawing>
          </mc:Choice>
          <mc:Fallback>
            <w:pict>
              <v:rect id="Shape 21" o:spid="_x0000_s1046" style="position:absolute;margin-left:336.4pt;margin-top:-0.4499pt;width:14.9pt;height:11.9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0EBF2" stroked="f"/>
            </w:pict>
          </mc:Fallback>
        </mc:AlternateContent>
        <mc:AlternateContent>
          <mc:Choice Requires="wps">
            <w:drawing>
              <wp:anchor simplePos="0" relativeHeight="251657728" behindDoc="1" locked="0" layoutInCell="0" allowOverlap="1">
                <wp:simplePos x="0" y="0"/>
                <wp:positionH relativeFrom="column">
                  <wp:posOffset>5207635</wp:posOffset>
                </wp:positionH>
                <wp:positionV relativeFrom="paragraph">
                  <wp:posOffset>-5715</wp:posOffset>
                </wp:positionV>
                <wp:extent cx="113030" cy="151765"/>
                <wp:wrapNone/>
                <wp:docPr id="22" name="Shape 2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13030" cy="151765"/>
                        </a:xfrm>
                        <a:prstGeom prst="rect">
                          <a:avLst/>
                        </a:prstGeom>
                        <a:solidFill>
                          <a:srgbClr val="D0EBF2"/>
                        </a:solidFill>
                      </wps:spPr>
                      <wps:bodyPr/>
                    </wps:wsp>
                  </a:graphicData>
                </a:graphic>
              </wp:anchor>
            </w:drawing>
          </mc:Choice>
          <mc:Fallback>
            <w:pict>
              <v:rect id="Shape 22" o:spid="_x0000_s1047" style="position:absolute;margin-left:410.05pt;margin-top:-0.4499pt;width:8.9pt;height:11.9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0EBF2" stroked="f"/>
            </w:pict>
          </mc:Fallback>
        </mc:AlternateContent>
      </w:r>
    </w:p>
    <w:tbl>
      <w:tblPr>
        <w:tblLayout w:type="fixed"/>
        <w:tblInd w:w="520" w:type="dxa"/>
        <w:tblCellMar>
          <w:top w:w="0" w:type="dxa"/>
          <w:left w:w="0" w:type="dxa"/>
          <w:bottom w:w="0" w:type="dxa"/>
          <w:right w:w="0" w:type="dxa"/>
        </w:tblCellMar>
      </w:tblPr>
      <w:tr>
        <w:trPr>
          <w:trHeight w:val="218"/>
        </w:trPr>
        <w:tc>
          <w:tcPr>
            <w:tcW w:w="3720" w:type="dxa"/>
            <w:vAlign w:val="bottom"/>
          </w:tcPr>
          <w:p>
            <w:pPr>
              <w:spacing w:after="0"/>
              <w:rPr>
                <w:sz w:val="20"/>
                <w:szCs w:val="20"/>
                <w:color w:val="auto"/>
              </w:rPr>
            </w:pPr>
            <w:r>
              <w:rPr>
                <w:rFonts w:ascii="Times New Roman" w:cs="Times New Roman" w:eastAsia="Times New Roman" w:hAnsi="Times New Roman"/>
                <w:sz w:val="19"/>
                <w:szCs w:val="19"/>
                <w:color w:val="231F20"/>
              </w:rPr>
              <w:t>Performing</w:t>
            </w:r>
          </w:p>
        </w:tc>
        <w:tc>
          <w:tcPr>
            <w:tcW w:w="100" w:type="dxa"/>
            <w:vAlign w:val="bottom"/>
            <w:shd w:val="clear" w:color="auto" w:fill="D0EBF2"/>
          </w:tcPr>
          <w:p>
            <w:pPr>
              <w:spacing w:after="0"/>
              <w:rPr>
                <w:sz w:val="20"/>
                <w:szCs w:val="20"/>
                <w:color w:val="auto"/>
              </w:rPr>
            </w:pPr>
            <w:r>
              <w:rPr>
                <w:rFonts w:ascii="Times New Roman" w:cs="Times New Roman" w:eastAsia="Times New Roman" w:hAnsi="Times New Roman"/>
                <w:sz w:val="19"/>
                <w:szCs w:val="19"/>
                <w:color w:val="231F20"/>
                <w:w w:val="83"/>
                <w:shd w:val="clear" w:color="auto" w:fill="D0EBF2"/>
              </w:rPr>
              <w:t>$</w:t>
            </w:r>
          </w:p>
        </w:tc>
        <w:tc>
          <w:tcPr>
            <w:tcW w:w="1100" w:type="dxa"/>
            <w:vAlign w:val="bottom"/>
            <w:tcBorders>
              <w:right w:val="single" w:sz="8" w:color="D0EBF2"/>
            </w:tcBorders>
            <w:shd w:val="clear" w:color="auto" w:fill="D0EBF2"/>
          </w:tcPr>
          <w:p>
            <w:pPr>
              <w:jc w:val="right"/>
              <w:spacing w:after="0"/>
              <w:rPr>
                <w:sz w:val="20"/>
                <w:szCs w:val="20"/>
                <w:color w:val="auto"/>
              </w:rPr>
            </w:pPr>
            <w:r>
              <w:rPr>
                <w:rFonts w:ascii="Times New Roman" w:cs="Times New Roman" w:eastAsia="Times New Roman" w:hAnsi="Times New Roman"/>
                <w:sz w:val="19"/>
                <w:szCs w:val="19"/>
                <w:color w:val="231F20"/>
              </w:rPr>
              <w:t>3,469.4</w:t>
            </w:r>
          </w:p>
        </w:tc>
        <w:tc>
          <w:tcPr>
            <w:tcW w:w="140" w:type="dxa"/>
            <w:vAlign w:val="bottom"/>
          </w:tcPr>
          <w:p>
            <w:pPr>
              <w:spacing w:after="0"/>
              <w:rPr>
                <w:sz w:val="18"/>
                <w:szCs w:val="18"/>
                <w:color w:val="auto"/>
              </w:rPr>
            </w:pPr>
          </w:p>
        </w:tc>
        <w:tc>
          <w:tcPr>
            <w:tcW w:w="1140" w:type="dxa"/>
            <w:vAlign w:val="bottom"/>
            <w:gridSpan w:val="2"/>
            <w:shd w:val="clear" w:color="auto" w:fill="D0EBF2"/>
          </w:tcPr>
          <w:p>
            <w:pPr>
              <w:jc w:val="right"/>
              <w:spacing w:after="0"/>
              <w:rPr>
                <w:sz w:val="20"/>
                <w:szCs w:val="20"/>
                <w:color w:val="auto"/>
              </w:rPr>
            </w:pPr>
            <w:r>
              <w:rPr>
                <w:rFonts w:ascii="Times New Roman" w:cs="Times New Roman" w:eastAsia="Times New Roman" w:hAnsi="Times New Roman"/>
                <w:sz w:val="19"/>
                <w:szCs w:val="19"/>
                <w:color w:val="231F20"/>
              </w:rPr>
              <w:t>98.6</w:t>
            </w:r>
          </w:p>
        </w:tc>
        <w:tc>
          <w:tcPr>
            <w:tcW w:w="240" w:type="dxa"/>
            <w:vAlign w:val="bottom"/>
            <w:gridSpan w:val="2"/>
          </w:tcPr>
          <w:p>
            <w:pPr>
              <w:jc w:val="right"/>
              <w:ind w:right="80"/>
              <w:spacing w:after="0"/>
              <w:rPr>
                <w:sz w:val="20"/>
                <w:szCs w:val="20"/>
                <w:color w:val="auto"/>
              </w:rPr>
            </w:pPr>
            <w:r>
              <w:rPr>
                <w:rFonts w:ascii="Times New Roman" w:cs="Times New Roman" w:eastAsia="Times New Roman" w:hAnsi="Times New Roman"/>
                <w:sz w:val="19"/>
                <w:szCs w:val="19"/>
                <w:color w:val="231F20"/>
                <w:w w:val="88"/>
              </w:rPr>
              <w:t>%</w:t>
            </w:r>
          </w:p>
        </w:tc>
        <w:tc>
          <w:tcPr>
            <w:tcW w:w="60" w:type="dxa"/>
            <w:vAlign w:val="bottom"/>
          </w:tcPr>
          <w:p>
            <w:pPr>
              <w:spacing w:after="0"/>
              <w:rPr>
                <w:sz w:val="18"/>
                <w:szCs w:val="18"/>
                <w:color w:val="auto"/>
              </w:rPr>
            </w:pPr>
          </w:p>
        </w:tc>
        <w:tc>
          <w:tcPr>
            <w:tcW w:w="340" w:type="dxa"/>
            <w:vAlign w:val="bottom"/>
            <w:gridSpan w:val="2"/>
            <w:shd w:val="clear" w:color="auto" w:fill="D0EBF2"/>
          </w:tcPr>
          <w:p>
            <w:pPr>
              <w:jc w:val="right"/>
              <w:ind w:right="159"/>
              <w:spacing w:after="0"/>
              <w:rPr>
                <w:sz w:val="20"/>
                <w:szCs w:val="20"/>
                <w:color w:val="auto"/>
              </w:rPr>
            </w:pPr>
            <w:r>
              <w:rPr>
                <w:rFonts w:ascii="Times New Roman" w:cs="Times New Roman" w:eastAsia="Times New Roman" w:hAnsi="Times New Roman"/>
                <w:sz w:val="19"/>
                <w:szCs w:val="19"/>
                <w:color w:val="231F20"/>
                <w:w w:val="83"/>
              </w:rPr>
              <w:t>$</w:t>
            </w:r>
          </w:p>
        </w:tc>
        <w:tc>
          <w:tcPr>
            <w:tcW w:w="860" w:type="dxa"/>
            <w:vAlign w:val="bottom"/>
            <w:tcBorders>
              <w:right w:val="single" w:sz="8" w:color="D0EBF2"/>
            </w:tcBorders>
            <w:shd w:val="clear" w:color="auto" w:fill="D0EBF2"/>
          </w:tcPr>
          <w:p>
            <w:pPr>
              <w:jc w:val="right"/>
              <w:spacing w:after="0"/>
              <w:rPr>
                <w:sz w:val="20"/>
                <w:szCs w:val="20"/>
                <w:color w:val="auto"/>
              </w:rPr>
            </w:pPr>
            <w:r>
              <w:rPr>
                <w:rFonts w:ascii="Times New Roman" w:cs="Times New Roman" w:eastAsia="Times New Roman" w:hAnsi="Times New Roman"/>
                <w:sz w:val="19"/>
                <w:szCs w:val="19"/>
                <w:color w:val="231F20"/>
              </w:rPr>
              <w:t>3,262.4</w:t>
            </w:r>
          </w:p>
        </w:tc>
        <w:tc>
          <w:tcPr>
            <w:tcW w:w="160" w:type="dxa"/>
            <w:vAlign w:val="bottom"/>
          </w:tcPr>
          <w:p>
            <w:pPr>
              <w:spacing w:after="0"/>
              <w:rPr>
                <w:sz w:val="18"/>
                <w:szCs w:val="18"/>
                <w:color w:val="auto"/>
              </w:rPr>
            </w:pPr>
          </w:p>
        </w:tc>
        <w:tc>
          <w:tcPr>
            <w:tcW w:w="1140" w:type="dxa"/>
            <w:vAlign w:val="bottom"/>
            <w:gridSpan w:val="2"/>
            <w:shd w:val="clear" w:color="auto" w:fill="D0EBF2"/>
          </w:tcPr>
          <w:p>
            <w:pPr>
              <w:jc w:val="right"/>
              <w:spacing w:after="0"/>
              <w:rPr>
                <w:sz w:val="20"/>
                <w:szCs w:val="20"/>
                <w:color w:val="auto"/>
              </w:rPr>
            </w:pPr>
            <w:r>
              <w:rPr>
                <w:rFonts w:ascii="Times New Roman" w:cs="Times New Roman" w:eastAsia="Times New Roman" w:hAnsi="Times New Roman"/>
                <w:sz w:val="19"/>
                <w:szCs w:val="19"/>
                <w:color w:val="231F20"/>
              </w:rPr>
              <w:t>99.4</w:t>
            </w:r>
          </w:p>
        </w:tc>
        <w:tc>
          <w:tcPr>
            <w:tcW w:w="180" w:type="dxa"/>
            <w:vAlign w:val="bottom"/>
            <w:gridSpan w:val="2"/>
          </w:tcPr>
          <w:p>
            <w:pPr>
              <w:jc w:val="right"/>
              <w:ind w:right="20"/>
              <w:spacing w:after="0"/>
              <w:rPr>
                <w:sz w:val="20"/>
                <w:szCs w:val="20"/>
                <w:color w:val="auto"/>
              </w:rPr>
            </w:pPr>
            <w:r>
              <w:rPr>
                <w:rFonts w:ascii="Times New Roman" w:cs="Times New Roman" w:eastAsia="Times New Roman" w:hAnsi="Times New Roman"/>
                <w:sz w:val="19"/>
                <w:szCs w:val="19"/>
                <w:color w:val="231F20"/>
                <w:w w:val="88"/>
                <w:shd w:val="clear" w:color="auto" w:fill="D0EBF2"/>
              </w:rPr>
              <w:t>%</w:t>
            </w:r>
          </w:p>
        </w:tc>
        <w:tc>
          <w:tcPr>
            <w:tcW w:w="0" w:type="dxa"/>
            <w:vAlign w:val="bottom"/>
          </w:tcPr>
          <w:p>
            <w:pPr>
              <w:spacing w:after="0"/>
              <w:rPr>
                <w:sz w:val="1"/>
                <w:szCs w:val="1"/>
                <w:color w:val="auto"/>
              </w:rPr>
            </w:pPr>
          </w:p>
        </w:tc>
      </w:tr>
      <w:tr>
        <w:trPr>
          <w:trHeight w:val="230"/>
        </w:trPr>
        <w:tc>
          <w:tcPr>
            <w:tcW w:w="3720" w:type="dxa"/>
            <w:vAlign w:val="bottom"/>
            <w:tcBorders>
              <w:bottom w:val="single" w:sz="8" w:color="D0EBF2"/>
            </w:tcBorders>
            <w:shd w:val="clear" w:color="auto" w:fill="FDFDFC"/>
          </w:tcPr>
          <w:p>
            <w:pPr>
              <w:spacing w:after="0" w:line="230" w:lineRule="exact"/>
              <w:rPr>
                <w:sz w:val="20"/>
                <w:szCs w:val="20"/>
                <w:color w:val="auto"/>
              </w:rPr>
            </w:pPr>
            <w:r>
              <w:rPr>
                <w:rFonts w:ascii="Times New Roman" w:cs="Times New Roman" w:eastAsia="Times New Roman" w:hAnsi="Times New Roman"/>
                <w:sz w:val="19"/>
                <w:szCs w:val="19"/>
                <w:color w:val="231F20"/>
              </w:rPr>
              <w:t xml:space="preserve">Non-accrual </w:t>
            </w:r>
            <w:r>
              <w:rPr>
                <w:rFonts w:ascii="Times New Roman" w:cs="Times New Roman" w:eastAsia="Times New Roman" w:hAnsi="Times New Roman"/>
                <w:sz w:val="24"/>
                <w:szCs w:val="24"/>
                <w:color w:val="231F20"/>
                <w:vertAlign w:val="superscript"/>
              </w:rPr>
              <w:t>(1)</w:t>
            </w:r>
          </w:p>
        </w:tc>
        <w:tc>
          <w:tcPr>
            <w:tcW w:w="100" w:type="dxa"/>
            <w:vAlign w:val="bottom"/>
            <w:tcBorders>
              <w:bottom w:val="single" w:sz="8" w:color="231F20"/>
            </w:tcBorders>
            <w:shd w:val="clear" w:color="auto" w:fill="FDFDFC"/>
          </w:tcPr>
          <w:p>
            <w:pPr>
              <w:spacing w:after="0"/>
              <w:rPr>
                <w:sz w:val="20"/>
                <w:szCs w:val="20"/>
                <w:color w:val="auto"/>
              </w:rPr>
            </w:pPr>
          </w:p>
        </w:tc>
        <w:tc>
          <w:tcPr>
            <w:tcW w:w="1100" w:type="dxa"/>
            <w:vAlign w:val="bottom"/>
            <w:tcBorders>
              <w:bottom w:val="single" w:sz="8" w:color="231F20"/>
              <w:right w:val="single" w:sz="8" w:color="FDFDFC"/>
            </w:tcBorders>
            <w:shd w:val="clear" w:color="auto" w:fill="FDFDFC"/>
          </w:tcPr>
          <w:p>
            <w:pPr>
              <w:jc w:val="right"/>
              <w:spacing w:after="0"/>
              <w:rPr>
                <w:sz w:val="20"/>
                <w:szCs w:val="20"/>
                <w:color w:val="auto"/>
              </w:rPr>
            </w:pPr>
            <w:r>
              <w:rPr>
                <w:rFonts w:ascii="Times New Roman" w:cs="Times New Roman" w:eastAsia="Times New Roman" w:hAnsi="Times New Roman"/>
                <w:sz w:val="19"/>
                <w:szCs w:val="19"/>
                <w:color w:val="231F20"/>
              </w:rPr>
              <w:t>49.0</w:t>
            </w:r>
          </w:p>
        </w:tc>
        <w:tc>
          <w:tcPr>
            <w:tcW w:w="140" w:type="dxa"/>
            <w:vAlign w:val="bottom"/>
            <w:tcBorders>
              <w:bottom w:val="single" w:sz="8" w:color="D0EBF2"/>
            </w:tcBorders>
            <w:shd w:val="clear" w:color="auto" w:fill="FDFDFC"/>
          </w:tcPr>
          <w:p>
            <w:pPr>
              <w:spacing w:after="0"/>
              <w:rPr>
                <w:sz w:val="20"/>
                <w:szCs w:val="20"/>
                <w:color w:val="auto"/>
              </w:rPr>
            </w:pPr>
          </w:p>
        </w:tc>
        <w:tc>
          <w:tcPr>
            <w:tcW w:w="1140" w:type="dxa"/>
            <w:vAlign w:val="bottom"/>
            <w:tcBorders>
              <w:bottom w:val="single" w:sz="8" w:color="231F20"/>
            </w:tcBorders>
            <w:gridSpan w:val="2"/>
            <w:shd w:val="clear" w:color="auto" w:fill="FDFDFC"/>
          </w:tcPr>
          <w:p>
            <w:pPr>
              <w:jc w:val="right"/>
              <w:spacing w:after="0"/>
              <w:rPr>
                <w:sz w:val="20"/>
                <w:szCs w:val="20"/>
                <w:color w:val="auto"/>
              </w:rPr>
            </w:pPr>
            <w:r>
              <w:rPr>
                <w:rFonts w:ascii="Times New Roman" w:cs="Times New Roman" w:eastAsia="Times New Roman" w:hAnsi="Times New Roman"/>
                <w:sz w:val="19"/>
                <w:szCs w:val="19"/>
                <w:color w:val="231F20"/>
              </w:rPr>
              <w:t>1.4</w:t>
            </w:r>
          </w:p>
        </w:tc>
        <w:tc>
          <w:tcPr>
            <w:tcW w:w="20" w:type="dxa"/>
            <w:vAlign w:val="bottom"/>
            <w:tcBorders>
              <w:bottom w:val="single" w:sz="8" w:color="D0EBF2"/>
            </w:tcBorders>
            <w:shd w:val="clear" w:color="auto" w:fill="FDFDFC"/>
          </w:tcPr>
          <w:p>
            <w:pPr>
              <w:spacing w:after="0"/>
              <w:rPr>
                <w:sz w:val="20"/>
                <w:szCs w:val="20"/>
                <w:color w:val="auto"/>
              </w:rPr>
            </w:pPr>
          </w:p>
        </w:tc>
        <w:tc>
          <w:tcPr>
            <w:tcW w:w="220" w:type="dxa"/>
            <w:vAlign w:val="bottom"/>
            <w:tcBorders>
              <w:bottom w:val="single" w:sz="8" w:color="D0EBF2"/>
            </w:tcBorders>
            <w:shd w:val="clear" w:color="auto" w:fill="FDFDFC"/>
          </w:tcPr>
          <w:p>
            <w:pPr>
              <w:spacing w:after="0"/>
              <w:rPr>
                <w:sz w:val="20"/>
                <w:szCs w:val="20"/>
                <w:color w:val="auto"/>
              </w:rPr>
            </w:pPr>
          </w:p>
        </w:tc>
        <w:tc>
          <w:tcPr>
            <w:tcW w:w="60" w:type="dxa"/>
            <w:vAlign w:val="bottom"/>
            <w:tcBorders>
              <w:bottom w:val="single" w:sz="8" w:color="D0EBF2"/>
            </w:tcBorders>
            <w:shd w:val="clear" w:color="auto" w:fill="FDFDFC"/>
          </w:tcPr>
          <w:p>
            <w:pPr>
              <w:spacing w:after="0"/>
              <w:rPr>
                <w:sz w:val="20"/>
                <w:szCs w:val="20"/>
                <w:color w:val="auto"/>
              </w:rPr>
            </w:pPr>
          </w:p>
        </w:tc>
        <w:tc>
          <w:tcPr>
            <w:tcW w:w="20" w:type="dxa"/>
            <w:vAlign w:val="bottom"/>
            <w:tcBorders>
              <w:bottom w:val="single" w:sz="8" w:color="231F20"/>
            </w:tcBorders>
            <w:shd w:val="clear" w:color="auto" w:fill="FDFDFC"/>
          </w:tcPr>
          <w:p>
            <w:pPr>
              <w:spacing w:after="0"/>
              <w:rPr>
                <w:sz w:val="20"/>
                <w:szCs w:val="20"/>
                <w:color w:val="auto"/>
              </w:rPr>
            </w:pPr>
          </w:p>
        </w:tc>
        <w:tc>
          <w:tcPr>
            <w:tcW w:w="320" w:type="dxa"/>
            <w:vAlign w:val="bottom"/>
            <w:tcBorders>
              <w:bottom w:val="single" w:sz="8" w:color="231F20"/>
            </w:tcBorders>
            <w:shd w:val="clear" w:color="auto" w:fill="FDFDFC"/>
          </w:tcPr>
          <w:p>
            <w:pPr>
              <w:spacing w:after="0"/>
              <w:rPr>
                <w:sz w:val="20"/>
                <w:szCs w:val="20"/>
                <w:color w:val="auto"/>
              </w:rPr>
            </w:pPr>
          </w:p>
        </w:tc>
        <w:tc>
          <w:tcPr>
            <w:tcW w:w="860" w:type="dxa"/>
            <w:vAlign w:val="bottom"/>
            <w:tcBorders>
              <w:bottom w:val="single" w:sz="8" w:color="231F20"/>
              <w:right w:val="single" w:sz="8" w:color="FDFDFC"/>
            </w:tcBorders>
            <w:shd w:val="clear" w:color="auto" w:fill="FDFDFC"/>
          </w:tcPr>
          <w:p>
            <w:pPr>
              <w:jc w:val="right"/>
              <w:spacing w:after="0"/>
              <w:rPr>
                <w:sz w:val="20"/>
                <w:szCs w:val="20"/>
                <w:color w:val="auto"/>
              </w:rPr>
            </w:pPr>
            <w:r>
              <w:rPr>
                <w:rFonts w:ascii="Times New Roman" w:cs="Times New Roman" w:eastAsia="Times New Roman" w:hAnsi="Times New Roman"/>
                <w:sz w:val="19"/>
                <w:szCs w:val="19"/>
                <w:color w:val="231F20"/>
              </w:rPr>
              <w:t>20.7</w:t>
            </w:r>
          </w:p>
        </w:tc>
        <w:tc>
          <w:tcPr>
            <w:tcW w:w="160" w:type="dxa"/>
            <w:vAlign w:val="bottom"/>
            <w:tcBorders>
              <w:bottom w:val="single" w:sz="8" w:color="D0EBF2"/>
            </w:tcBorders>
            <w:shd w:val="clear" w:color="auto" w:fill="FDFDFC"/>
          </w:tcPr>
          <w:p>
            <w:pPr>
              <w:spacing w:after="0"/>
              <w:rPr>
                <w:sz w:val="20"/>
                <w:szCs w:val="20"/>
                <w:color w:val="auto"/>
              </w:rPr>
            </w:pPr>
          </w:p>
        </w:tc>
        <w:tc>
          <w:tcPr>
            <w:tcW w:w="1140" w:type="dxa"/>
            <w:vAlign w:val="bottom"/>
            <w:tcBorders>
              <w:bottom w:val="single" w:sz="8" w:color="231F20"/>
            </w:tcBorders>
            <w:gridSpan w:val="2"/>
            <w:shd w:val="clear" w:color="auto" w:fill="FDFDFC"/>
          </w:tcPr>
          <w:p>
            <w:pPr>
              <w:jc w:val="right"/>
              <w:spacing w:after="0"/>
              <w:rPr>
                <w:sz w:val="20"/>
                <w:szCs w:val="20"/>
                <w:color w:val="auto"/>
              </w:rPr>
            </w:pPr>
            <w:r>
              <w:rPr>
                <w:rFonts w:ascii="Times New Roman" w:cs="Times New Roman" w:eastAsia="Times New Roman" w:hAnsi="Times New Roman"/>
                <w:sz w:val="19"/>
                <w:szCs w:val="19"/>
                <w:color w:val="231F20"/>
              </w:rPr>
              <w:t>0.6</w:t>
            </w:r>
          </w:p>
        </w:tc>
        <w:tc>
          <w:tcPr>
            <w:tcW w:w="20" w:type="dxa"/>
            <w:vAlign w:val="bottom"/>
            <w:tcBorders>
              <w:bottom w:val="single" w:sz="8" w:color="D0EBF2"/>
            </w:tcBorders>
            <w:shd w:val="clear" w:color="auto" w:fill="FDFDFC"/>
          </w:tcPr>
          <w:p>
            <w:pPr>
              <w:spacing w:after="0"/>
              <w:rPr>
                <w:sz w:val="20"/>
                <w:szCs w:val="20"/>
                <w:color w:val="auto"/>
              </w:rPr>
            </w:pPr>
          </w:p>
        </w:tc>
        <w:tc>
          <w:tcPr>
            <w:tcW w:w="160" w:type="dxa"/>
            <w:vAlign w:val="bottom"/>
            <w:tcBorders>
              <w:bottom w:val="single" w:sz="8" w:color="D0EBF2"/>
            </w:tcBorders>
            <w:shd w:val="clear" w:color="auto" w:fill="FDFDFC"/>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3720" w:type="dxa"/>
            <w:vAlign w:val="bottom"/>
            <w:shd w:val="clear" w:color="auto" w:fill="D0EBF2"/>
          </w:tcPr>
          <w:p>
            <w:pPr>
              <w:ind w:left="180"/>
              <w:spacing w:after="0"/>
              <w:rPr>
                <w:sz w:val="20"/>
                <w:szCs w:val="20"/>
                <w:color w:val="auto"/>
              </w:rPr>
            </w:pPr>
            <w:r>
              <w:rPr>
                <w:rFonts w:ascii="Times New Roman" w:cs="Times New Roman" w:eastAsia="Times New Roman" w:hAnsi="Times New Roman"/>
                <w:sz w:val="19"/>
                <w:szCs w:val="19"/>
                <w:b w:val="1"/>
                <w:bCs w:val="1"/>
                <w:color w:val="231F20"/>
              </w:rPr>
              <w:t>Total</w:t>
            </w:r>
          </w:p>
        </w:tc>
        <w:tc>
          <w:tcPr>
            <w:tcW w:w="100" w:type="dxa"/>
            <w:vAlign w:val="bottom"/>
            <w:tcBorders>
              <w:bottom w:val="single" w:sz="8" w:color="231F20"/>
            </w:tcBorders>
            <w:shd w:val="clear" w:color="auto" w:fill="D0EBF2"/>
          </w:tcPr>
          <w:p>
            <w:pPr>
              <w:spacing w:after="0"/>
              <w:rPr>
                <w:sz w:val="20"/>
                <w:szCs w:val="20"/>
                <w:color w:val="auto"/>
              </w:rPr>
            </w:pPr>
            <w:r>
              <w:rPr>
                <w:rFonts w:ascii="Times New Roman" w:cs="Times New Roman" w:eastAsia="Times New Roman" w:hAnsi="Times New Roman"/>
                <w:sz w:val="19"/>
                <w:szCs w:val="19"/>
                <w:color w:val="231F20"/>
                <w:w w:val="83"/>
                <w:shd w:val="clear" w:color="auto" w:fill="D0EBF2"/>
              </w:rPr>
              <w:t>$</w:t>
            </w:r>
          </w:p>
        </w:tc>
        <w:tc>
          <w:tcPr>
            <w:tcW w:w="1100" w:type="dxa"/>
            <w:vAlign w:val="bottom"/>
            <w:tcBorders>
              <w:bottom w:val="single" w:sz="8" w:color="231F20"/>
              <w:right w:val="single" w:sz="8" w:color="D0EBF2"/>
            </w:tcBorders>
            <w:shd w:val="clear" w:color="auto" w:fill="D0EBF2"/>
          </w:tcPr>
          <w:p>
            <w:pPr>
              <w:jc w:val="right"/>
              <w:spacing w:after="0"/>
              <w:rPr>
                <w:sz w:val="20"/>
                <w:szCs w:val="20"/>
                <w:color w:val="auto"/>
              </w:rPr>
            </w:pPr>
            <w:r>
              <w:rPr>
                <w:rFonts w:ascii="Times New Roman" w:cs="Times New Roman" w:eastAsia="Times New Roman" w:hAnsi="Times New Roman"/>
                <w:sz w:val="19"/>
                <w:szCs w:val="19"/>
                <w:color w:val="231F20"/>
              </w:rPr>
              <w:t>3,518.4</w:t>
            </w:r>
          </w:p>
        </w:tc>
        <w:tc>
          <w:tcPr>
            <w:tcW w:w="140" w:type="dxa"/>
            <w:vAlign w:val="bottom"/>
            <w:shd w:val="clear" w:color="auto" w:fill="D0EBF2"/>
          </w:tcPr>
          <w:p>
            <w:pPr>
              <w:spacing w:after="0"/>
              <w:rPr>
                <w:sz w:val="19"/>
                <w:szCs w:val="19"/>
                <w:color w:val="auto"/>
              </w:rPr>
            </w:pPr>
          </w:p>
        </w:tc>
        <w:tc>
          <w:tcPr>
            <w:tcW w:w="1140" w:type="dxa"/>
            <w:vAlign w:val="bottom"/>
            <w:tcBorders>
              <w:bottom w:val="single" w:sz="8" w:color="231F20"/>
            </w:tcBorders>
            <w:gridSpan w:val="2"/>
            <w:shd w:val="clear" w:color="auto" w:fill="D0EBF2"/>
          </w:tcPr>
          <w:p>
            <w:pPr>
              <w:jc w:val="right"/>
              <w:spacing w:after="0"/>
              <w:rPr>
                <w:sz w:val="20"/>
                <w:szCs w:val="20"/>
                <w:color w:val="auto"/>
              </w:rPr>
            </w:pPr>
            <w:r>
              <w:rPr>
                <w:rFonts w:ascii="Times New Roman" w:cs="Times New Roman" w:eastAsia="Times New Roman" w:hAnsi="Times New Roman"/>
                <w:sz w:val="19"/>
                <w:szCs w:val="19"/>
                <w:color w:val="231F20"/>
              </w:rPr>
              <w:t>100.0</w:t>
            </w:r>
          </w:p>
        </w:tc>
        <w:tc>
          <w:tcPr>
            <w:tcW w:w="240" w:type="dxa"/>
            <w:vAlign w:val="bottom"/>
            <w:gridSpan w:val="2"/>
            <w:shd w:val="clear" w:color="auto" w:fill="D0EBF2"/>
          </w:tcPr>
          <w:p>
            <w:pPr>
              <w:jc w:val="right"/>
              <w:ind w:right="80"/>
              <w:spacing w:after="0"/>
              <w:rPr>
                <w:sz w:val="20"/>
                <w:szCs w:val="20"/>
                <w:color w:val="auto"/>
              </w:rPr>
            </w:pPr>
            <w:r>
              <w:rPr>
                <w:rFonts w:ascii="Times New Roman" w:cs="Times New Roman" w:eastAsia="Times New Roman" w:hAnsi="Times New Roman"/>
                <w:sz w:val="19"/>
                <w:szCs w:val="19"/>
                <w:color w:val="231F20"/>
                <w:w w:val="88"/>
              </w:rPr>
              <w:t>%</w:t>
            </w:r>
          </w:p>
        </w:tc>
        <w:tc>
          <w:tcPr>
            <w:tcW w:w="60" w:type="dxa"/>
            <w:vAlign w:val="bottom"/>
            <w:shd w:val="clear" w:color="auto" w:fill="D0EBF2"/>
          </w:tcPr>
          <w:p>
            <w:pPr>
              <w:spacing w:after="0"/>
              <w:rPr>
                <w:sz w:val="19"/>
                <w:szCs w:val="19"/>
                <w:color w:val="auto"/>
              </w:rPr>
            </w:pPr>
          </w:p>
        </w:tc>
        <w:tc>
          <w:tcPr>
            <w:tcW w:w="340" w:type="dxa"/>
            <w:vAlign w:val="bottom"/>
            <w:tcBorders>
              <w:bottom w:val="single" w:sz="8" w:color="231F20"/>
            </w:tcBorders>
            <w:gridSpan w:val="2"/>
            <w:shd w:val="clear" w:color="auto" w:fill="D0EBF2"/>
          </w:tcPr>
          <w:p>
            <w:pPr>
              <w:jc w:val="right"/>
              <w:ind w:right="159"/>
              <w:spacing w:after="0"/>
              <w:rPr>
                <w:sz w:val="20"/>
                <w:szCs w:val="20"/>
                <w:color w:val="auto"/>
              </w:rPr>
            </w:pPr>
            <w:r>
              <w:rPr>
                <w:rFonts w:ascii="Times New Roman" w:cs="Times New Roman" w:eastAsia="Times New Roman" w:hAnsi="Times New Roman"/>
                <w:sz w:val="19"/>
                <w:szCs w:val="19"/>
                <w:color w:val="231F20"/>
                <w:w w:val="83"/>
              </w:rPr>
              <w:t>$</w:t>
            </w:r>
          </w:p>
        </w:tc>
        <w:tc>
          <w:tcPr>
            <w:tcW w:w="860" w:type="dxa"/>
            <w:vAlign w:val="bottom"/>
            <w:tcBorders>
              <w:bottom w:val="single" w:sz="8" w:color="231F20"/>
              <w:right w:val="single" w:sz="8" w:color="D0EBF2"/>
            </w:tcBorders>
            <w:shd w:val="clear" w:color="auto" w:fill="D0EBF2"/>
          </w:tcPr>
          <w:p>
            <w:pPr>
              <w:jc w:val="right"/>
              <w:spacing w:after="0"/>
              <w:rPr>
                <w:sz w:val="20"/>
                <w:szCs w:val="20"/>
                <w:color w:val="auto"/>
              </w:rPr>
            </w:pPr>
            <w:r>
              <w:rPr>
                <w:rFonts w:ascii="Times New Roman" w:cs="Times New Roman" w:eastAsia="Times New Roman" w:hAnsi="Times New Roman"/>
                <w:sz w:val="19"/>
                <w:szCs w:val="19"/>
                <w:color w:val="231F20"/>
              </w:rPr>
              <w:t>3,283.1</w:t>
            </w:r>
          </w:p>
        </w:tc>
        <w:tc>
          <w:tcPr>
            <w:tcW w:w="160" w:type="dxa"/>
            <w:vAlign w:val="bottom"/>
            <w:shd w:val="clear" w:color="auto" w:fill="D0EBF2"/>
          </w:tcPr>
          <w:p>
            <w:pPr>
              <w:spacing w:after="0"/>
              <w:rPr>
                <w:sz w:val="19"/>
                <w:szCs w:val="19"/>
                <w:color w:val="auto"/>
              </w:rPr>
            </w:pPr>
          </w:p>
        </w:tc>
        <w:tc>
          <w:tcPr>
            <w:tcW w:w="1140" w:type="dxa"/>
            <w:vAlign w:val="bottom"/>
            <w:tcBorders>
              <w:bottom w:val="single" w:sz="8" w:color="231F20"/>
            </w:tcBorders>
            <w:gridSpan w:val="2"/>
            <w:shd w:val="clear" w:color="auto" w:fill="D0EBF2"/>
          </w:tcPr>
          <w:p>
            <w:pPr>
              <w:jc w:val="right"/>
              <w:spacing w:after="0"/>
              <w:rPr>
                <w:sz w:val="20"/>
                <w:szCs w:val="20"/>
                <w:color w:val="auto"/>
              </w:rPr>
            </w:pPr>
            <w:r>
              <w:rPr>
                <w:rFonts w:ascii="Times New Roman" w:cs="Times New Roman" w:eastAsia="Times New Roman" w:hAnsi="Times New Roman"/>
                <w:sz w:val="19"/>
                <w:szCs w:val="19"/>
                <w:color w:val="231F20"/>
              </w:rPr>
              <w:t>100.0</w:t>
            </w:r>
          </w:p>
        </w:tc>
        <w:tc>
          <w:tcPr>
            <w:tcW w:w="180" w:type="dxa"/>
            <w:vAlign w:val="bottom"/>
            <w:gridSpan w:val="2"/>
            <w:shd w:val="clear" w:color="auto" w:fill="D0EBF2"/>
          </w:tcPr>
          <w:p>
            <w:pPr>
              <w:jc w:val="right"/>
              <w:ind w:right="20"/>
              <w:spacing w:after="0"/>
              <w:rPr>
                <w:sz w:val="20"/>
                <w:szCs w:val="20"/>
                <w:color w:val="auto"/>
              </w:rPr>
            </w:pPr>
            <w:r>
              <w:rPr>
                <w:rFonts w:ascii="Times New Roman" w:cs="Times New Roman" w:eastAsia="Times New Roman" w:hAnsi="Times New Roman"/>
                <w:sz w:val="19"/>
                <w:szCs w:val="19"/>
                <w:color w:val="231F20"/>
                <w:w w:val="88"/>
                <w:shd w:val="clear" w:color="auto" w:fill="D0EBF2"/>
              </w:rPr>
              <w:t>%</w:t>
            </w:r>
          </w:p>
        </w:tc>
        <w:tc>
          <w:tcPr>
            <w:tcW w:w="0" w:type="dxa"/>
            <w:vAlign w:val="bottom"/>
          </w:tcPr>
          <w:p>
            <w:pPr>
              <w:spacing w:after="0"/>
              <w:rPr>
                <w:sz w:val="1"/>
                <w:szCs w:val="1"/>
                <w:color w:val="auto"/>
              </w:rPr>
            </w:pPr>
          </w:p>
        </w:tc>
      </w:tr>
      <w:tr>
        <w:trPr>
          <w:trHeight w:val="20"/>
        </w:trPr>
        <w:tc>
          <w:tcPr>
            <w:tcW w:w="3720" w:type="dxa"/>
            <w:vAlign w:val="bottom"/>
          </w:tcPr>
          <w:p>
            <w:pPr>
              <w:spacing w:after="0" w:line="20" w:lineRule="exact"/>
              <w:rPr>
                <w:sz w:val="1"/>
                <w:szCs w:val="1"/>
                <w:color w:val="auto"/>
              </w:rPr>
            </w:pPr>
          </w:p>
        </w:tc>
        <w:tc>
          <w:tcPr>
            <w:tcW w:w="100" w:type="dxa"/>
            <w:vAlign w:val="bottom"/>
            <w:tcBorders>
              <w:bottom w:val="single" w:sz="8" w:color="231F20"/>
            </w:tcBorders>
          </w:tcPr>
          <w:p>
            <w:pPr>
              <w:spacing w:after="0" w:line="20" w:lineRule="exact"/>
              <w:rPr>
                <w:sz w:val="1"/>
                <w:szCs w:val="1"/>
                <w:color w:val="auto"/>
              </w:rPr>
            </w:pPr>
          </w:p>
        </w:tc>
        <w:tc>
          <w:tcPr>
            <w:tcW w:w="1100" w:type="dxa"/>
            <w:vAlign w:val="bottom"/>
            <w:tcBorders>
              <w:bottom w:val="single" w:sz="8" w:color="231F20"/>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Borders>
              <w:bottom w:val="single" w:sz="8" w:color="231F20"/>
            </w:tcBorders>
          </w:tcPr>
          <w:p>
            <w:pPr>
              <w:spacing w:after="0" w:line="20" w:lineRule="exact"/>
              <w:rPr>
                <w:sz w:val="1"/>
                <w:szCs w:val="1"/>
                <w:color w:val="auto"/>
              </w:rPr>
            </w:pPr>
          </w:p>
        </w:tc>
        <w:tc>
          <w:tcPr>
            <w:tcW w:w="1100" w:type="dxa"/>
            <w:vAlign w:val="bottom"/>
            <w:tcBorders>
              <w:bottom w:val="single" w:sz="8" w:color="231F20"/>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bottom w:val="single" w:sz="8" w:color="231F20"/>
            </w:tcBorders>
          </w:tcPr>
          <w:p>
            <w:pPr>
              <w:spacing w:after="0" w:line="20" w:lineRule="exact"/>
              <w:rPr>
                <w:sz w:val="1"/>
                <w:szCs w:val="1"/>
                <w:color w:val="auto"/>
              </w:rPr>
            </w:pPr>
          </w:p>
        </w:tc>
        <w:tc>
          <w:tcPr>
            <w:tcW w:w="320" w:type="dxa"/>
            <w:vAlign w:val="bottom"/>
            <w:tcBorders>
              <w:bottom w:val="single" w:sz="8" w:color="231F20"/>
            </w:tcBorders>
          </w:tcPr>
          <w:p>
            <w:pPr>
              <w:spacing w:after="0" w:line="20" w:lineRule="exact"/>
              <w:rPr>
                <w:sz w:val="1"/>
                <w:szCs w:val="1"/>
                <w:color w:val="auto"/>
              </w:rPr>
            </w:pPr>
          </w:p>
        </w:tc>
        <w:tc>
          <w:tcPr>
            <w:tcW w:w="860" w:type="dxa"/>
            <w:vAlign w:val="bottom"/>
            <w:tcBorders>
              <w:bottom w:val="single" w:sz="8" w:color="231F20"/>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Borders>
              <w:bottom w:val="single" w:sz="8" w:color="231F20"/>
            </w:tcBorders>
          </w:tcPr>
          <w:p>
            <w:pPr>
              <w:spacing w:after="0" w:line="20" w:lineRule="exact"/>
              <w:rPr>
                <w:sz w:val="1"/>
                <w:szCs w:val="1"/>
                <w:color w:val="auto"/>
              </w:rPr>
            </w:pPr>
          </w:p>
        </w:tc>
        <w:tc>
          <w:tcPr>
            <w:tcW w:w="1100" w:type="dxa"/>
            <w:vAlign w:val="bottom"/>
            <w:tcBorders>
              <w:bottom w:val="single" w:sz="8" w:color="231F20"/>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3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80" w:type="dxa"/>
            <w:vAlign w:val="bottom"/>
            <w:gridSpan w:val="2"/>
          </w:tcPr>
          <w:p>
            <w:pPr>
              <w:spacing w:after="0"/>
              <w:rPr>
                <w:sz w:val="17"/>
                <w:szCs w:val="17"/>
                <w:color w:val="auto"/>
              </w:rPr>
            </w:pPr>
          </w:p>
        </w:tc>
        <w:tc>
          <w:tcPr>
            <w:tcW w:w="1120" w:type="dxa"/>
            <w:vAlign w:val="bottom"/>
            <w:gridSpan w:val="2"/>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gridSpan w:val="2"/>
          </w:tcPr>
          <w:p>
            <w:pPr>
              <w:spacing w:after="0"/>
              <w:rPr>
                <w:sz w:val="17"/>
                <w:szCs w:val="17"/>
                <w:color w:val="auto"/>
              </w:rPr>
            </w:pPr>
          </w:p>
        </w:tc>
        <w:tc>
          <w:tcPr>
            <w:tcW w:w="1120" w:type="dxa"/>
            <w:vAlign w:val="bottom"/>
            <w:gridSpan w:val="2"/>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4"/>
        </w:trPr>
        <w:tc>
          <w:tcPr>
            <w:tcW w:w="3720" w:type="dxa"/>
            <w:vAlign w:val="bottom"/>
            <w:vMerge w:val="restart"/>
            <w:shd w:val="clear" w:color="auto" w:fill="FDFDFC"/>
          </w:tcPr>
          <w:p>
            <w:pPr>
              <w:spacing w:after="0"/>
              <w:rPr>
                <w:sz w:val="20"/>
                <w:szCs w:val="20"/>
                <w:color w:val="auto"/>
              </w:rPr>
            </w:pPr>
            <w:r>
              <w:rPr>
                <w:rFonts w:ascii="Times New Roman" w:cs="Times New Roman" w:eastAsia="Times New Roman" w:hAnsi="Times New Roman"/>
                <w:sz w:val="15"/>
                <w:szCs w:val="15"/>
                <w:color w:val="231F20"/>
              </w:rPr>
              <w:t>($ in millions)</w:t>
            </w:r>
          </w:p>
        </w:tc>
        <w:tc>
          <w:tcPr>
            <w:tcW w:w="100" w:type="dxa"/>
            <w:vAlign w:val="bottom"/>
            <w:shd w:val="clear" w:color="auto" w:fill="FDFDFC"/>
          </w:tcPr>
          <w:p>
            <w:pPr>
              <w:spacing w:after="0"/>
              <w:rPr>
                <w:sz w:val="15"/>
                <w:szCs w:val="15"/>
                <w:color w:val="auto"/>
              </w:rPr>
            </w:pPr>
          </w:p>
        </w:tc>
        <w:tc>
          <w:tcPr>
            <w:tcW w:w="2620" w:type="dxa"/>
            <w:vAlign w:val="bottom"/>
            <w:gridSpan w:val="6"/>
            <w:shd w:val="clear" w:color="auto" w:fill="FDFDFC"/>
          </w:tcPr>
          <w:p>
            <w:pPr>
              <w:jc w:val="right"/>
              <w:ind w:right="860"/>
              <w:spacing w:after="0"/>
              <w:rPr>
                <w:sz w:val="20"/>
                <w:szCs w:val="20"/>
                <w:color w:val="auto"/>
              </w:rPr>
            </w:pPr>
            <w:r>
              <w:rPr>
                <w:rFonts w:ascii="Times New Roman" w:cs="Times New Roman" w:eastAsia="Times New Roman" w:hAnsi="Times New Roman"/>
                <w:sz w:val="15"/>
                <w:szCs w:val="15"/>
                <w:b w:val="1"/>
                <w:bCs w:val="1"/>
                <w:color w:val="231F20"/>
              </w:rPr>
              <w:t>December 31, 2024</w:t>
            </w:r>
          </w:p>
        </w:tc>
        <w:tc>
          <w:tcPr>
            <w:tcW w:w="60" w:type="dxa"/>
            <w:vAlign w:val="bottom"/>
            <w:shd w:val="clear" w:color="auto" w:fill="FDFDFC"/>
          </w:tcPr>
          <w:p>
            <w:pPr>
              <w:spacing w:after="0"/>
              <w:rPr>
                <w:sz w:val="15"/>
                <w:szCs w:val="15"/>
                <w:color w:val="auto"/>
              </w:rPr>
            </w:pPr>
          </w:p>
        </w:tc>
        <w:tc>
          <w:tcPr>
            <w:tcW w:w="20" w:type="dxa"/>
            <w:vAlign w:val="bottom"/>
            <w:shd w:val="clear" w:color="auto" w:fill="FDFDFC"/>
          </w:tcPr>
          <w:p>
            <w:pPr>
              <w:spacing w:after="0"/>
              <w:rPr>
                <w:sz w:val="15"/>
                <w:szCs w:val="15"/>
                <w:color w:val="auto"/>
              </w:rPr>
            </w:pPr>
          </w:p>
        </w:tc>
        <w:tc>
          <w:tcPr>
            <w:tcW w:w="320" w:type="dxa"/>
            <w:vAlign w:val="bottom"/>
            <w:shd w:val="clear" w:color="auto" w:fill="FDFDFC"/>
          </w:tcPr>
          <w:p>
            <w:pPr>
              <w:spacing w:after="0"/>
              <w:rPr>
                <w:sz w:val="15"/>
                <w:szCs w:val="15"/>
                <w:color w:val="auto"/>
              </w:rPr>
            </w:pPr>
          </w:p>
        </w:tc>
        <w:tc>
          <w:tcPr>
            <w:tcW w:w="2340" w:type="dxa"/>
            <w:vAlign w:val="bottom"/>
            <w:gridSpan w:val="6"/>
            <w:shd w:val="clear" w:color="auto" w:fill="FDFDFC"/>
          </w:tcPr>
          <w:p>
            <w:pPr>
              <w:jc w:val="right"/>
              <w:ind w:right="820"/>
              <w:spacing w:after="0"/>
              <w:rPr>
                <w:sz w:val="20"/>
                <w:szCs w:val="20"/>
                <w:color w:val="auto"/>
              </w:rPr>
            </w:pPr>
            <w:r>
              <w:rPr>
                <w:rFonts w:ascii="Times New Roman" w:cs="Times New Roman" w:eastAsia="Times New Roman" w:hAnsi="Times New Roman"/>
                <w:sz w:val="15"/>
                <w:szCs w:val="15"/>
                <w:b w:val="1"/>
                <w:bCs w:val="1"/>
                <w:color w:val="231F20"/>
              </w:rPr>
              <w:t>December 31, 2023</w:t>
            </w:r>
          </w:p>
        </w:tc>
        <w:tc>
          <w:tcPr>
            <w:tcW w:w="0" w:type="dxa"/>
            <w:vAlign w:val="bottom"/>
          </w:tcPr>
          <w:p>
            <w:pPr>
              <w:spacing w:after="0"/>
              <w:rPr>
                <w:sz w:val="1"/>
                <w:szCs w:val="1"/>
                <w:color w:val="auto"/>
              </w:rPr>
            </w:pPr>
          </w:p>
        </w:tc>
      </w:tr>
      <w:tr>
        <w:trPr>
          <w:trHeight w:val="163"/>
        </w:trPr>
        <w:tc>
          <w:tcPr>
            <w:tcW w:w="3720" w:type="dxa"/>
            <w:vAlign w:val="bottom"/>
            <w:tcBorders>
              <w:top w:val="single" w:sz="8" w:color="FDFDFC"/>
              <w:bottom w:val="single" w:sz="8" w:color="D0EBF2"/>
            </w:tcBorders>
            <w:vMerge w:val="continue"/>
            <w:shd w:val="clear" w:color="auto" w:fill="FDFDFC"/>
          </w:tcPr>
          <w:p>
            <w:pPr>
              <w:spacing w:after="0"/>
              <w:rPr>
                <w:sz w:val="14"/>
                <w:szCs w:val="14"/>
                <w:color w:val="auto"/>
              </w:rPr>
            </w:pPr>
          </w:p>
        </w:tc>
        <w:tc>
          <w:tcPr>
            <w:tcW w:w="1200" w:type="dxa"/>
            <w:vAlign w:val="bottom"/>
            <w:tcBorders>
              <w:top w:val="single" w:sz="8" w:color="231F20"/>
              <w:bottom w:val="single" w:sz="8" w:color="231F20"/>
              <w:right w:val="single" w:sz="8" w:color="FDFDFC"/>
            </w:tcBorders>
            <w:gridSpan w:val="2"/>
            <w:shd w:val="clear" w:color="auto" w:fill="FDFDFC"/>
          </w:tcPr>
          <w:p>
            <w:pPr>
              <w:jc w:val="right"/>
              <w:ind w:right="8"/>
              <w:spacing w:after="0" w:line="164" w:lineRule="exact"/>
              <w:rPr>
                <w:sz w:val="20"/>
                <w:szCs w:val="20"/>
                <w:color w:val="auto"/>
              </w:rPr>
            </w:pPr>
            <w:r>
              <w:rPr>
                <w:rFonts w:ascii="Times New Roman" w:cs="Times New Roman" w:eastAsia="Times New Roman" w:hAnsi="Times New Roman"/>
                <w:sz w:val="15"/>
                <w:szCs w:val="15"/>
                <w:b w:val="1"/>
                <w:bCs w:val="1"/>
                <w:color w:val="231F20"/>
              </w:rPr>
              <w:t>Amortized Cost</w:t>
            </w:r>
          </w:p>
        </w:tc>
        <w:tc>
          <w:tcPr>
            <w:tcW w:w="140" w:type="dxa"/>
            <w:vAlign w:val="bottom"/>
            <w:tcBorders>
              <w:top w:val="single" w:sz="8" w:color="231F20"/>
              <w:bottom w:val="single" w:sz="8" w:color="D0EBF2"/>
            </w:tcBorders>
            <w:shd w:val="clear" w:color="auto" w:fill="FDFDFC"/>
          </w:tcPr>
          <w:p>
            <w:pPr>
              <w:spacing w:after="0"/>
              <w:rPr>
                <w:sz w:val="14"/>
                <w:szCs w:val="14"/>
                <w:color w:val="auto"/>
              </w:rPr>
            </w:pPr>
          </w:p>
        </w:tc>
        <w:tc>
          <w:tcPr>
            <w:tcW w:w="40" w:type="dxa"/>
            <w:vAlign w:val="bottom"/>
            <w:tcBorders>
              <w:top w:val="single" w:sz="8" w:color="231F20"/>
              <w:bottom w:val="single" w:sz="8" w:color="D0EBF2"/>
              <w:right w:val="single" w:sz="8" w:color="FDFDFC"/>
            </w:tcBorders>
            <w:shd w:val="clear" w:color="auto" w:fill="FDFDFC"/>
          </w:tcPr>
          <w:p>
            <w:pPr>
              <w:spacing w:after="0"/>
              <w:rPr>
                <w:sz w:val="14"/>
                <w:szCs w:val="14"/>
                <w:color w:val="auto"/>
              </w:rPr>
            </w:pPr>
          </w:p>
        </w:tc>
        <w:tc>
          <w:tcPr>
            <w:tcW w:w="1120" w:type="dxa"/>
            <w:vAlign w:val="bottom"/>
            <w:tcBorders>
              <w:top w:val="single" w:sz="8" w:color="231F20"/>
              <w:bottom w:val="single" w:sz="8" w:color="231F20"/>
            </w:tcBorders>
            <w:gridSpan w:val="2"/>
            <w:shd w:val="clear" w:color="auto" w:fill="FDFDFC"/>
          </w:tcPr>
          <w:p>
            <w:pPr>
              <w:jc w:val="right"/>
              <w:ind w:right="126"/>
              <w:spacing w:after="0" w:line="164" w:lineRule="exact"/>
              <w:rPr>
                <w:sz w:val="20"/>
                <w:szCs w:val="20"/>
                <w:color w:val="auto"/>
              </w:rPr>
            </w:pPr>
            <w:r>
              <w:rPr>
                <w:rFonts w:ascii="Times New Roman" w:cs="Times New Roman" w:eastAsia="Times New Roman" w:hAnsi="Times New Roman"/>
                <w:sz w:val="15"/>
                <w:szCs w:val="15"/>
                <w:b w:val="1"/>
                <w:bCs w:val="1"/>
                <w:color w:val="231F20"/>
              </w:rPr>
              <w:t>Percentage</w:t>
            </w:r>
          </w:p>
        </w:tc>
        <w:tc>
          <w:tcPr>
            <w:tcW w:w="220" w:type="dxa"/>
            <w:vAlign w:val="bottom"/>
            <w:tcBorders>
              <w:top w:val="single" w:sz="8" w:color="FDFDFC"/>
              <w:bottom w:val="single" w:sz="8" w:color="FDFDFC"/>
            </w:tcBorders>
            <w:shd w:val="clear" w:color="auto" w:fill="FDFDFC"/>
          </w:tcPr>
          <w:p>
            <w:pPr>
              <w:spacing w:after="0"/>
              <w:rPr>
                <w:sz w:val="14"/>
                <w:szCs w:val="14"/>
                <w:color w:val="auto"/>
              </w:rPr>
            </w:pPr>
          </w:p>
        </w:tc>
        <w:tc>
          <w:tcPr>
            <w:tcW w:w="60" w:type="dxa"/>
            <w:vAlign w:val="bottom"/>
            <w:tcBorders>
              <w:top w:val="single" w:sz="8" w:color="FDFDFC"/>
              <w:bottom w:val="single" w:sz="8" w:color="FDFDFC"/>
            </w:tcBorders>
            <w:shd w:val="clear" w:color="auto" w:fill="FDFDFC"/>
          </w:tcPr>
          <w:p>
            <w:pPr>
              <w:spacing w:after="0"/>
              <w:rPr>
                <w:sz w:val="14"/>
                <w:szCs w:val="14"/>
                <w:color w:val="auto"/>
              </w:rPr>
            </w:pPr>
          </w:p>
        </w:tc>
        <w:tc>
          <w:tcPr>
            <w:tcW w:w="20" w:type="dxa"/>
            <w:vAlign w:val="bottom"/>
            <w:tcBorders>
              <w:top w:val="single" w:sz="8" w:color="FDFDFC"/>
              <w:bottom w:val="single" w:sz="8" w:color="FDFDFC"/>
            </w:tcBorders>
            <w:shd w:val="clear" w:color="auto" w:fill="FDFDFC"/>
          </w:tcPr>
          <w:p>
            <w:pPr>
              <w:spacing w:after="0"/>
              <w:rPr>
                <w:sz w:val="14"/>
                <w:szCs w:val="14"/>
                <w:color w:val="auto"/>
              </w:rPr>
            </w:pPr>
          </w:p>
        </w:tc>
        <w:tc>
          <w:tcPr>
            <w:tcW w:w="1180" w:type="dxa"/>
            <w:vAlign w:val="bottom"/>
            <w:tcBorders>
              <w:top w:val="single" w:sz="8" w:color="231F20"/>
              <w:bottom w:val="single" w:sz="8" w:color="231F20"/>
              <w:right w:val="single" w:sz="8" w:color="FDFDFC"/>
            </w:tcBorders>
            <w:gridSpan w:val="2"/>
            <w:shd w:val="clear" w:color="auto" w:fill="FDFDFC"/>
          </w:tcPr>
          <w:p>
            <w:pPr>
              <w:jc w:val="right"/>
              <w:ind w:right="8"/>
              <w:spacing w:after="0" w:line="164" w:lineRule="exact"/>
              <w:rPr>
                <w:sz w:val="20"/>
                <w:szCs w:val="20"/>
                <w:color w:val="auto"/>
              </w:rPr>
            </w:pPr>
            <w:r>
              <w:rPr>
                <w:rFonts w:ascii="Times New Roman" w:cs="Times New Roman" w:eastAsia="Times New Roman" w:hAnsi="Times New Roman"/>
                <w:sz w:val="15"/>
                <w:szCs w:val="15"/>
                <w:b w:val="1"/>
                <w:bCs w:val="1"/>
                <w:color w:val="231F20"/>
              </w:rPr>
              <w:t>Amortized Cost</w:t>
            </w:r>
          </w:p>
        </w:tc>
        <w:tc>
          <w:tcPr>
            <w:tcW w:w="160" w:type="dxa"/>
            <w:vAlign w:val="bottom"/>
            <w:tcBorders>
              <w:top w:val="single" w:sz="8" w:color="231F20"/>
              <w:bottom w:val="single" w:sz="8" w:color="D0EBF2"/>
            </w:tcBorders>
            <w:shd w:val="clear" w:color="auto" w:fill="FDFDFC"/>
          </w:tcPr>
          <w:p>
            <w:pPr>
              <w:spacing w:after="0"/>
              <w:rPr>
                <w:sz w:val="14"/>
                <w:szCs w:val="14"/>
                <w:color w:val="auto"/>
              </w:rPr>
            </w:pPr>
          </w:p>
        </w:tc>
        <w:tc>
          <w:tcPr>
            <w:tcW w:w="40" w:type="dxa"/>
            <w:vAlign w:val="bottom"/>
            <w:tcBorders>
              <w:top w:val="single" w:sz="8" w:color="231F20"/>
              <w:bottom w:val="single" w:sz="8" w:color="D0EBF2"/>
              <w:right w:val="single" w:sz="8" w:color="FDFDFC"/>
            </w:tcBorders>
            <w:shd w:val="clear" w:color="auto" w:fill="FDFDFC"/>
          </w:tcPr>
          <w:p>
            <w:pPr>
              <w:spacing w:after="0"/>
              <w:rPr>
                <w:sz w:val="14"/>
                <w:szCs w:val="14"/>
                <w:color w:val="auto"/>
              </w:rPr>
            </w:pPr>
          </w:p>
        </w:tc>
        <w:tc>
          <w:tcPr>
            <w:tcW w:w="1120" w:type="dxa"/>
            <w:vAlign w:val="bottom"/>
            <w:tcBorders>
              <w:top w:val="single" w:sz="8" w:color="231F20"/>
              <w:bottom w:val="single" w:sz="8" w:color="231F20"/>
            </w:tcBorders>
            <w:gridSpan w:val="2"/>
            <w:shd w:val="clear" w:color="auto" w:fill="FDFDFC"/>
          </w:tcPr>
          <w:p>
            <w:pPr>
              <w:ind w:left="180"/>
              <w:spacing w:after="0" w:line="164" w:lineRule="exact"/>
              <w:rPr>
                <w:sz w:val="20"/>
                <w:szCs w:val="20"/>
                <w:color w:val="auto"/>
              </w:rPr>
            </w:pPr>
            <w:r>
              <w:rPr>
                <w:rFonts w:ascii="Times New Roman" w:cs="Times New Roman" w:eastAsia="Times New Roman" w:hAnsi="Times New Roman"/>
                <w:sz w:val="15"/>
                <w:szCs w:val="15"/>
                <w:b w:val="1"/>
                <w:bCs w:val="1"/>
                <w:color w:val="231F20"/>
              </w:rPr>
              <w:t>Percentage</w:t>
            </w:r>
          </w:p>
        </w:tc>
        <w:tc>
          <w:tcPr>
            <w:tcW w:w="160" w:type="dxa"/>
            <w:vAlign w:val="bottom"/>
            <w:tcBorders>
              <w:top w:val="single" w:sz="8" w:color="FDFDFC"/>
              <w:bottom w:val="single" w:sz="8" w:color="FDFDFC"/>
            </w:tcBorders>
            <w:shd w:val="clear" w:color="auto" w:fill="FDFDFC"/>
          </w:tcPr>
          <w:p>
            <w:pPr>
              <w:spacing w:after="0"/>
              <w:rPr>
                <w:sz w:val="14"/>
                <w:szCs w:val="14"/>
                <w:color w:val="auto"/>
              </w:rPr>
            </w:pPr>
          </w:p>
        </w:tc>
        <w:tc>
          <w:tcPr>
            <w:tcW w:w="0" w:type="dxa"/>
            <w:vAlign w:val="bottom"/>
          </w:tcPr>
          <w:p>
            <w:pPr>
              <w:spacing w:after="0"/>
              <w:rPr>
                <w:sz w:val="1"/>
                <w:szCs w:val="1"/>
                <w:color w:val="auto"/>
              </w:rPr>
            </w:pPr>
          </w:p>
        </w:tc>
      </w:tr>
      <w:tr>
        <w:trPr>
          <w:trHeight w:val="207"/>
        </w:trPr>
        <w:tc>
          <w:tcPr>
            <w:tcW w:w="3720" w:type="dxa"/>
            <w:vAlign w:val="bottom"/>
            <w:shd w:val="clear" w:color="auto" w:fill="D0EBF2"/>
          </w:tcPr>
          <w:p>
            <w:pPr>
              <w:spacing w:after="0" w:line="206" w:lineRule="exact"/>
              <w:rPr>
                <w:sz w:val="20"/>
                <w:szCs w:val="20"/>
                <w:color w:val="auto"/>
              </w:rPr>
            </w:pPr>
            <w:r>
              <w:rPr>
                <w:rFonts w:ascii="Times New Roman" w:cs="Times New Roman" w:eastAsia="Times New Roman" w:hAnsi="Times New Roman"/>
                <w:sz w:val="19"/>
                <w:szCs w:val="19"/>
                <w:color w:val="231F20"/>
              </w:rPr>
              <w:t>Performing</w:t>
            </w:r>
          </w:p>
        </w:tc>
        <w:tc>
          <w:tcPr>
            <w:tcW w:w="100" w:type="dxa"/>
            <w:vAlign w:val="bottom"/>
            <w:shd w:val="clear" w:color="auto" w:fill="D0EBF2"/>
          </w:tcPr>
          <w:p>
            <w:pPr>
              <w:spacing w:after="0" w:line="206" w:lineRule="exact"/>
              <w:rPr>
                <w:sz w:val="20"/>
                <w:szCs w:val="20"/>
                <w:color w:val="auto"/>
              </w:rPr>
            </w:pPr>
            <w:r>
              <w:rPr>
                <w:rFonts w:ascii="Times New Roman" w:cs="Times New Roman" w:eastAsia="Times New Roman" w:hAnsi="Times New Roman"/>
                <w:sz w:val="19"/>
                <w:szCs w:val="19"/>
                <w:color w:val="231F20"/>
                <w:w w:val="83"/>
                <w:shd w:val="clear" w:color="auto" w:fill="D0EBF2"/>
              </w:rPr>
              <w:t>$</w:t>
            </w:r>
          </w:p>
        </w:tc>
        <w:tc>
          <w:tcPr>
            <w:tcW w:w="1100" w:type="dxa"/>
            <w:vAlign w:val="bottom"/>
            <w:tcBorders>
              <w:right w:val="single" w:sz="8" w:color="D0EBF2"/>
            </w:tcBorders>
            <w:shd w:val="clear" w:color="auto" w:fill="D0EBF2"/>
          </w:tcPr>
          <w:p>
            <w:pPr>
              <w:jc w:val="right"/>
              <w:spacing w:after="0" w:line="206" w:lineRule="exact"/>
              <w:rPr>
                <w:sz w:val="20"/>
                <w:szCs w:val="20"/>
                <w:color w:val="auto"/>
              </w:rPr>
            </w:pPr>
            <w:r>
              <w:rPr>
                <w:rFonts w:ascii="Times New Roman" w:cs="Times New Roman" w:eastAsia="Times New Roman" w:hAnsi="Times New Roman"/>
                <w:sz w:val="19"/>
                <w:szCs w:val="19"/>
                <w:color w:val="231F20"/>
              </w:rPr>
              <w:t>3,410.1</w:t>
            </w:r>
          </w:p>
        </w:tc>
        <w:tc>
          <w:tcPr>
            <w:tcW w:w="140" w:type="dxa"/>
            <w:vAlign w:val="bottom"/>
            <w:shd w:val="clear" w:color="auto" w:fill="D0EBF2"/>
          </w:tcPr>
          <w:p>
            <w:pPr>
              <w:spacing w:after="0"/>
              <w:rPr>
                <w:sz w:val="17"/>
                <w:szCs w:val="17"/>
                <w:color w:val="auto"/>
              </w:rPr>
            </w:pPr>
          </w:p>
        </w:tc>
        <w:tc>
          <w:tcPr>
            <w:tcW w:w="40" w:type="dxa"/>
            <w:vAlign w:val="bottom"/>
            <w:tcBorders>
              <w:right w:val="single" w:sz="8" w:color="D0EBF2"/>
            </w:tcBorders>
            <w:shd w:val="clear" w:color="auto" w:fill="D0EBF2"/>
          </w:tcPr>
          <w:p>
            <w:pPr>
              <w:spacing w:after="0"/>
              <w:rPr>
                <w:sz w:val="17"/>
                <w:szCs w:val="17"/>
                <w:color w:val="auto"/>
              </w:rPr>
            </w:pPr>
          </w:p>
        </w:tc>
        <w:tc>
          <w:tcPr>
            <w:tcW w:w="1340" w:type="dxa"/>
            <w:vAlign w:val="bottom"/>
            <w:gridSpan w:val="3"/>
          </w:tcPr>
          <w:p>
            <w:pPr>
              <w:jc w:val="right"/>
              <w:ind w:right="60"/>
              <w:spacing w:after="0" w:line="206" w:lineRule="exact"/>
              <w:rPr>
                <w:sz w:val="20"/>
                <w:szCs w:val="20"/>
                <w:color w:val="auto"/>
              </w:rPr>
            </w:pPr>
            <w:r>
              <w:rPr>
                <w:rFonts w:ascii="Times New Roman" w:cs="Times New Roman" w:eastAsia="Times New Roman" w:hAnsi="Times New Roman"/>
                <w:sz w:val="19"/>
                <w:szCs w:val="19"/>
                <w:color w:val="231F20"/>
              </w:rPr>
              <w:t>96.4%</w:t>
            </w: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shd w:val="clear" w:color="auto" w:fill="D0EBF2"/>
          </w:tcPr>
          <w:p>
            <w:pPr>
              <w:jc w:val="right"/>
              <w:ind w:right="159"/>
              <w:spacing w:after="0"/>
              <w:rPr>
                <w:sz w:val="20"/>
                <w:szCs w:val="20"/>
                <w:color w:val="auto"/>
              </w:rPr>
            </w:pPr>
            <w:r>
              <w:rPr>
                <w:rFonts w:ascii="Times New Roman" w:cs="Times New Roman" w:eastAsia="Times New Roman" w:hAnsi="Times New Roman"/>
                <w:sz w:val="17"/>
                <w:szCs w:val="17"/>
                <w:color w:val="231F20"/>
                <w:w w:val="70"/>
              </w:rPr>
              <w:t>$</w:t>
            </w:r>
          </w:p>
        </w:tc>
        <w:tc>
          <w:tcPr>
            <w:tcW w:w="860" w:type="dxa"/>
            <w:vAlign w:val="bottom"/>
            <w:tcBorders>
              <w:right w:val="single" w:sz="8" w:color="D0EBF2"/>
            </w:tcBorders>
            <w:shd w:val="clear" w:color="auto" w:fill="D0EBF2"/>
          </w:tcPr>
          <w:p>
            <w:pPr>
              <w:jc w:val="right"/>
              <w:spacing w:after="0" w:line="206" w:lineRule="exact"/>
              <w:rPr>
                <w:sz w:val="20"/>
                <w:szCs w:val="20"/>
                <w:color w:val="auto"/>
              </w:rPr>
            </w:pPr>
            <w:r>
              <w:rPr>
                <w:rFonts w:ascii="Times New Roman" w:cs="Times New Roman" w:eastAsia="Times New Roman" w:hAnsi="Times New Roman"/>
                <w:sz w:val="19"/>
                <w:szCs w:val="19"/>
                <w:color w:val="231F20"/>
              </w:rPr>
              <w:t>3,222.9</w:t>
            </w:r>
          </w:p>
        </w:tc>
        <w:tc>
          <w:tcPr>
            <w:tcW w:w="160" w:type="dxa"/>
            <w:vAlign w:val="bottom"/>
            <w:shd w:val="clear" w:color="auto" w:fill="D0EBF2"/>
          </w:tcPr>
          <w:p>
            <w:pPr>
              <w:spacing w:after="0"/>
              <w:rPr>
                <w:sz w:val="17"/>
                <w:szCs w:val="17"/>
                <w:color w:val="auto"/>
              </w:rPr>
            </w:pPr>
          </w:p>
        </w:tc>
        <w:tc>
          <w:tcPr>
            <w:tcW w:w="40" w:type="dxa"/>
            <w:vAlign w:val="bottom"/>
            <w:tcBorders>
              <w:right w:val="single" w:sz="8" w:color="D0EBF2"/>
            </w:tcBorders>
            <w:shd w:val="clear" w:color="auto" w:fill="D0EBF2"/>
          </w:tcPr>
          <w:p>
            <w:pPr>
              <w:spacing w:after="0"/>
              <w:rPr>
                <w:sz w:val="17"/>
                <w:szCs w:val="17"/>
                <w:color w:val="auto"/>
              </w:rPr>
            </w:pPr>
          </w:p>
        </w:tc>
        <w:tc>
          <w:tcPr>
            <w:tcW w:w="1280" w:type="dxa"/>
            <w:vAlign w:val="bottom"/>
            <w:gridSpan w:val="3"/>
          </w:tcPr>
          <w:p>
            <w:pPr>
              <w:jc w:val="right"/>
              <w:ind w:right="20"/>
              <w:spacing w:after="0" w:line="206" w:lineRule="exact"/>
              <w:rPr>
                <w:sz w:val="20"/>
                <w:szCs w:val="20"/>
                <w:color w:val="auto"/>
              </w:rPr>
            </w:pPr>
            <w:r>
              <w:rPr>
                <w:rFonts w:ascii="Times New Roman" w:cs="Times New Roman" w:eastAsia="Times New Roman" w:hAnsi="Times New Roman"/>
                <w:sz w:val="19"/>
                <w:szCs w:val="19"/>
                <w:color w:val="231F20"/>
              </w:rPr>
              <w:t>99.1%</w:t>
            </w:r>
          </w:p>
        </w:tc>
        <w:tc>
          <w:tcPr>
            <w:tcW w:w="0" w:type="dxa"/>
            <w:vAlign w:val="bottom"/>
          </w:tcPr>
          <w:p>
            <w:pPr>
              <w:spacing w:after="0"/>
              <w:rPr>
                <w:sz w:val="1"/>
                <w:szCs w:val="1"/>
                <w:color w:val="auto"/>
              </w:rPr>
            </w:pPr>
          </w:p>
        </w:tc>
      </w:tr>
      <w:tr>
        <w:trPr>
          <w:trHeight w:val="217"/>
        </w:trPr>
        <w:tc>
          <w:tcPr>
            <w:tcW w:w="3720" w:type="dxa"/>
            <w:vAlign w:val="bottom"/>
            <w:tcBorders>
              <w:bottom w:val="single" w:sz="8" w:color="D0EBF2"/>
            </w:tcBorders>
            <w:shd w:val="clear" w:color="auto" w:fill="FDFDFC"/>
          </w:tcPr>
          <w:p>
            <w:pPr>
              <w:spacing w:after="0" w:line="217" w:lineRule="exact"/>
              <w:rPr>
                <w:sz w:val="20"/>
                <w:szCs w:val="20"/>
                <w:color w:val="auto"/>
              </w:rPr>
            </w:pPr>
            <w:r>
              <w:rPr>
                <w:rFonts w:ascii="Times New Roman" w:cs="Times New Roman" w:eastAsia="Times New Roman" w:hAnsi="Times New Roman"/>
                <w:sz w:val="19"/>
                <w:szCs w:val="19"/>
                <w:color w:val="231F20"/>
              </w:rPr>
              <w:t xml:space="preserve">Non-accrual </w:t>
            </w:r>
            <w:r>
              <w:rPr>
                <w:rFonts w:ascii="Times New Roman" w:cs="Times New Roman" w:eastAsia="Times New Roman" w:hAnsi="Times New Roman"/>
                <w:sz w:val="24"/>
                <w:szCs w:val="24"/>
                <w:color w:val="231F20"/>
                <w:vertAlign w:val="superscript"/>
              </w:rPr>
              <w:t>(1)</w:t>
            </w:r>
          </w:p>
        </w:tc>
        <w:tc>
          <w:tcPr>
            <w:tcW w:w="100" w:type="dxa"/>
            <w:vAlign w:val="bottom"/>
            <w:tcBorders>
              <w:bottom w:val="single" w:sz="8" w:color="231F20"/>
            </w:tcBorders>
            <w:shd w:val="clear" w:color="auto" w:fill="FDFDFC"/>
          </w:tcPr>
          <w:p>
            <w:pPr>
              <w:spacing w:after="0"/>
              <w:rPr>
                <w:sz w:val="18"/>
                <w:szCs w:val="18"/>
                <w:color w:val="auto"/>
              </w:rPr>
            </w:pPr>
          </w:p>
        </w:tc>
        <w:tc>
          <w:tcPr>
            <w:tcW w:w="1100" w:type="dxa"/>
            <w:vAlign w:val="bottom"/>
            <w:tcBorders>
              <w:bottom w:val="single" w:sz="8" w:color="231F20"/>
              <w:right w:val="single" w:sz="8" w:color="FDFDFC"/>
            </w:tcBorders>
            <w:shd w:val="clear" w:color="auto" w:fill="FDFDFC"/>
          </w:tcPr>
          <w:p>
            <w:pPr>
              <w:jc w:val="right"/>
              <w:spacing w:after="0" w:line="217" w:lineRule="exact"/>
              <w:rPr>
                <w:sz w:val="20"/>
                <w:szCs w:val="20"/>
                <w:color w:val="auto"/>
              </w:rPr>
            </w:pPr>
            <w:r>
              <w:rPr>
                <w:rFonts w:ascii="Times New Roman" w:cs="Times New Roman" w:eastAsia="Times New Roman" w:hAnsi="Times New Roman"/>
                <w:sz w:val="19"/>
                <w:szCs w:val="19"/>
                <w:color w:val="231F20"/>
              </w:rPr>
              <w:t>129.1</w:t>
            </w:r>
          </w:p>
        </w:tc>
        <w:tc>
          <w:tcPr>
            <w:tcW w:w="180" w:type="dxa"/>
            <w:vAlign w:val="bottom"/>
            <w:tcBorders>
              <w:bottom w:val="single" w:sz="8" w:color="D0EBF2"/>
              <w:right w:val="single" w:sz="8" w:color="FDFDFC"/>
            </w:tcBorders>
            <w:gridSpan w:val="2"/>
            <w:shd w:val="clear" w:color="auto" w:fill="FDFDFC"/>
          </w:tcPr>
          <w:p>
            <w:pPr>
              <w:spacing w:after="0"/>
              <w:rPr>
                <w:sz w:val="18"/>
                <w:szCs w:val="18"/>
                <w:color w:val="auto"/>
              </w:rPr>
            </w:pPr>
          </w:p>
        </w:tc>
        <w:tc>
          <w:tcPr>
            <w:tcW w:w="1120" w:type="dxa"/>
            <w:vAlign w:val="bottom"/>
            <w:tcBorders>
              <w:bottom w:val="single" w:sz="8" w:color="231F20"/>
            </w:tcBorders>
            <w:gridSpan w:val="2"/>
            <w:shd w:val="clear" w:color="auto" w:fill="FDFDFC"/>
          </w:tcPr>
          <w:p>
            <w:pPr>
              <w:jc w:val="right"/>
              <w:spacing w:after="0" w:line="217" w:lineRule="exact"/>
              <w:rPr>
                <w:sz w:val="20"/>
                <w:szCs w:val="20"/>
                <w:color w:val="auto"/>
              </w:rPr>
            </w:pPr>
            <w:r>
              <w:rPr>
                <w:rFonts w:ascii="Times New Roman" w:cs="Times New Roman" w:eastAsia="Times New Roman" w:hAnsi="Times New Roman"/>
                <w:sz w:val="19"/>
                <w:szCs w:val="19"/>
                <w:color w:val="231F20"/>
              </w:rPr>
              <w:t>3.6</w:t>
            </w:r>
          </w:p>
        </w:tc>
        <w:tc>
          <w:tcPr>
            <w:tcW w:w="220" w:type="dxa"/>
            <w:vAlign w:val="bottom"/>
            <w:tcBorders>
              <w:bottom w:val="single" w:sz="8" w:color="FDFDFC"/>
            </w:tcBorders>
            <w:shd w:val="clear" w:color="auto" w:fill="FDFDFC"/>
          </w:tcPr>
          <w:p>
            <w:pPr>
              <w:spacing w:after="0"/>
              <w:rPr>
                <w:sz w:val="18"/>
                <w:szCs w:val="18"/>
                <w:color w:val="auto"/>
              </w:rPr>
            </w:pPr>
          </w:p>
        </w:tc>
        <w:tc>
          <w:tcPr>
            <w:tcW w:w="60" w:type="dxa"/>
            <w:vAlign w:val="bottom"/>
            <w:tcBorders>
              <w:bottom w:val="single" w:sz="8" w:color="FDFDFC"/>
            </w:tcBorders>
            <w:shd w:val="clear" w:color="auto" w:fill="FDFDFC"/>
          </w:tcPr>
          <w:p>
            <w:pPr>
              <w:spacing w:after="0"/>
              <w:rPr>
                <w:sz w:val="18"/>
                <w:szCs w:val="18"/>
                <w:color w:val="auto"/>
              </w:rPr>
            </w:pPr>
          </w:p>
        </w:tc>
        <w:tc>
          <w:tcPr>
            <w:tcW w:w="20" w:type="dxa"/>
            <w:vAlign w:val="bottom"/>
            <w:tcBorders>
              <w:bottom w:val="single" w:sz="8" w:color="FDFDFC"/>
            </w:tcBorders>
            <w:shd w:val="clear" w:color="auto" w:fill="FDFDFC"/>
          </w:tcPr>
          <w:p>
            <w:pPr>
              <w:spacing w:after="0"/>
              <w:rPr>
                <w:sz w:val="18"/>
                <w:szCs w:val="18"/>
                <w:color w:val="auto"/>
              </w:rPr>
            </w:pPr>
          </w:p>
        </w:tc>
        <w:tc>
          <w:tcPr>
            <w:tcW w:w="320" w:type="dxa"/>
            <w:vAlign w:val="bottom"/>
            <w:tcBorders>
              <w:bottom w:val="single" w:sz="8" w:color="231F20"/>
            </w:tcBorders>
            <w:shd w:val="clear" w:color="auto" w:fill="FDFDFC"/>
          </w:tcPr>
          <w:p>
            <w:pPr>
              <w:spacing w:after="0"/>
              <w:rPr>
                <w:sz w:val="18"/>
                <w:szCs w:val="18"/>
                <w:color w:val="auto"/>
              </w:rPr>
            </w:pPr>
          </w:p>
        </w:tc>
        <w:tc>
          <w:tcPr>
            <w:tcW w:w="860" w:type="dxa"/>
            <w:vAlign w:val="bottom"/>
            <w:tcBorders>
              <w:bottom w:val="single" w:sz="8" w:color="231F20"/>
              <w:right w:val="single" w:sz="8" w:color="FDFDFC"/>
            </w:tcBorders>
            <w:shd w:val="clear" w:color="auto" w:fill="FDFDFC"/>
          </w:tcPr>
          <w:p>
            <w:pPr>
              <w:jc w:val="right"/>
              <w:spacing w:after="0" w:line="217" w:lineRule="exact"/>
              <w:rPr>
                <w:sz w:val="20"/>
                <w:szCs w:val="20"/>
                <w:color w:val="auto"/>
              </w:rPr>
            </w:pPr>
            <w:r>
              <w:rPr>
                <w:rFonts w:ascii="Times New Roman" w:cs="Times New Roman" w:eastAsia="Times New Roman" w:hAnsi="Times New Roman"/>
                <w:sz w:val="19"/>
                <w:szCs w:val="19"/>
                <w:color w:val="231F20"/>
              </w:rPr>
              <w:t>28.1</w:t>
            </w:r>
          </w:p>
        </w:tc>
        <w:tc>
          <w:tcPr>
            <w:tcW w:w="200" w:type="dxa"/>
            <w:vAlign w:val="bottom"/>
            <w:tcBorders>
              <w:bottom w:val="single" w:sz="8" w:color="D0EBF2"/>
              <w:right w:val="single" w:sz="8" w:color="FDFDFC"/>
            </w:tcBorders>
            <w:gridSpan w:val="2"/>
            <w:shd w:val="clear" w:color="auto" w:fill="FDFDFC"/>
          </w:tcPr>
          <w:p>
            <w:pPr>
              <w:spacing w:after="0"/>
              <w:rPr>
                <w:sz w:val="18"/>
                <w:szCs w:val="18"/>
                <w:color w:val="auto"/>
              </w:rPr>
            </w:pPr>
          </w:p>
        </w:tc>
        <w:tc>
          <w:tcPr>
            <w:tcW w:w="1100" w:type="dxa"/>
            <w:vAlign w:val="bottom"/>
            <w:tcBorders>
              <w:bottom w:val="single" w:sz="8" w:color="231F20"/>
            </w:tcBorders>
            <w:shd w:val="clear" w:color="auto" w:fill="FDFDFC"/>
          </w:tcPr>
          <w:p>
            <w:pPr>
              <w:jc w:val="right"/>
              <w:spacing w:after="0" w:line="217" w:lineRule="exact"/>
              <w:rPr>
                <w:sz w:val="20"/>
                <w:szCs w:val="20"/>
                <w:color w:val="auto"/>
              </w:rPr>
            </w:pPr>
            <w:r>
              <w:rPr>
                <w:rFonts w:ascii="Times New Roman" w:cs="Times New Roman" w:eastAsia="Times New Roman" w:hAnsi="Times New Roman"/>
                <w:sz w:val="19"/>
                <w:szCs w:val="19"/>
                <w:color w:val="231F20"/>
              </w:rPr>
              <w:t>0.9</w:t>
            </w:r>
          </w:p>
        </w:tc>
        <w:tc>
          <w:tcPr>
            <w:tcW w:w="20" w:type="dxa"/>
            <w:vAlign w:val="bottom"/>
            <w:tcBorders>
              <w:bottom w:val="single" w:sz="8" w:color="231F20"/>
            </w:tcBorders>
            <w:shd w:val="clear" w:color="auto" w:fill="FDFDFC"/>
          </w:tcPr>
          <w:p>
            <w:pPr>
              <w:spacing w:after="0"/>
              <w:rPr>
                <w:sz w:val="18"/>
                <w:szCs w:val="18"/>
                <w:color w:val="auto"/>
              </w:rPr>
            </w:pPr>
          </w:p>
        </w:tc>
        <w:tc>
          <w:tcPr>
            <w:tcW w:w="160" w:type="dxa"/>
            <w:vAlign w:val="bottom"/>
            <w:tcBorders>
              <w:bottom w:val="single" w:sz="8" w:color="FDFDFC"/>
            </w:tcBorders>
            <w:shd w:val="clear" w:color="auto" w:fill="FDFDFC"/>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3720" w:type="dxa"/>
            <w:vAlign w:val="bottom"/>
            <w:shd w:val="clear" w:color="auto" w:fill="D0EBF2"/>
          </w:tcPr>
          <w:p>
            <w:pPr>
              <w:ind w:left="180"/>
              <w:spacing w:after="0" w:line="207" w:lineRule="exact"/>
              <w:rPr>
                <w:sz w:val="20"/>
                <w:szCs w:val="20"/>
                <w:color w:val="auto"/>
              </w:rPr>
            </w:pPr>
            <w:r>
              <w:rPr>
                <w:rFonts w:ascii="Times New Roman" w:cs="Times New Roman" w:eastAsia="Times New Roman" w:hAnsi="Times New Roman"/>
                <w:sz w:val="19"/>
                <w:szCs w:val="19"/>
                <w:b w:val="1"/>
                <w:bCs w:val="1"/>
                <w:color w:val="231F20"/>
              </w:rPr>
              <w:t>Total</w:t>
            </w:r>
          </w:p>
        </w:tc>
        <w:tc>
          <w:tcPr>
            <w:tcW w:w="100" w:type="dxa"/>
            <w:vAlign w:val="bottom"/>
            <w:shd w:val="clear" w:color="auto" w:fill="D0EBF2"/>
          </w:tcPr>
          <w:p>
            <w:pPr>
              <w:spacing w:after="0" w:line="207" w:lineRule="exact"/>
              <w:rPr>
                <w:sz w:val="20"/>
                <w:szCs w:val="20"/>
                <w:color w:val="auto"/>
              </w:rPr>
            </w:pPr>
            <w:r>
              <w:rPr>
                <w:rFonts w:ascii="Times New Roman" w:cs="Times New Roman" w:eastAsia="Times New Roman" w:hAnsi="Times New Roman"/>
                <w:sz w:val="19"/>
                <w:szCs w:val="19"/>
                <w:color w:val="231F20"/>
                <w:w w:val="83"/>
                <w:shd w:val="clear" w:color="auto" w:fill="D0EBF2"/>
              </w:rPr>
              <w:t>$</w:t>
            </w:r>
          </w:p>
        </w:tc>
        <w:tc>
          <w:tcPr>
            <w:tcW w:w="1100" w:type="dxa"/>
            <w:vAlign w:val="bottom"/>
            <w:tcBorders>
              <w:right w:val="single" w:sz="8" w:color="D0EBF2"/>
            </w:tcBorders>
            <w:shd w:val="clear" w:color="auto" w:fill="D0EBF2"/>
          </w:tcPr>
          <w:p>
            <w:pPr>
              <w:jc w:val="right"/>
              <w:spacing w:after="0" w:line="207" w:lineRule="exact"/>
              <w:rPr>
                <w:sz w:val="20"/>
                <w:szCs w:val="20"/>
                <w:color w:val="auto"/>
              </w:rPr>
            </w:pPr>
            <w:r>
              <w:rPr>
                <w:rFonts w:ascii="Times New Roman" w:cs="Times New Roman" w:eastAsia="Times New Roman" w:hAnsi="Times New Roman"/>
                <w:sz w:val="19"/>
                <w:szCs w:val="19"/>
                <w:color w:val="231F20"/>
              </w:rPr>
              <w:t>3,539.2</w:t>
            </w:r>
          </w:p>
        </w:tc>
        <w:tc>
          <w:tcPr>
            <w:tcW w:w="180" w:type="dxa"/>
            <w:vAlign w:val="bottom"/>
            <w:tcBorders>
              <w:right w:val="single" w:sz="8" w:color="D0EBF2"/>
            </w:tcBorders>
            <w:gridSpan w:val="2"/>
            <w:shd w:val="clear" w:color="auto" w:fill="D0EBF2"/>
          </w:tcPr>
          <w:p>
            <w:pPr>
              <w:spacing w:after="0"/>
              <w:rPr>
                <w:sz w:val="17"/>
                <w:szCs w:val="17"/>
                <w:color w:val="auto"/>
              </w:rPr>
            </w:pPr>
          </w:p>
        </w:tc>
        <w:tc>
          <w:tcPr>
            <w:tcW w:w="1340" w:type="dxa"/>
            <w:vAlign w:val="bottom"/>
            <w:gridSpan w:val="3"/>
          </w:tcPr>
          <w:p>
            <w:pPr>
              <w:jc w:val="right"/>
              <w:ind w:right="60"/>
              <w:spacing w:after="0" w:line="207" w:lineRule="exact"/>
              <w:rPr>
                <w:sz w:val="20"/>
                <w:szCs w:val="20"/>
                <w:color w:val="auto"/>
              </w:rPr>
            </w:pPr>
            <w:r>
              <w:rPr>
                <w:rFonts w:ascii="Times New Roman" w:cs="Times New Roman" w:eastAsia="Times New Roman" w:hAnsi="Times New Roman"/>
                <w:sz w:val="19"/>
                <w:szCs w:val="19"/>
                <w:color w:val="231F20"/>
              </w:rPr>
              <w:t>100.0%</w:t>
            </w:r>
          </w:p>
        </w:tc>
        <w:tc>
          <w:tcPr>
            <w:tcW w:w="80" w:type="dxa"/>
            <w:vAlign w:val="bottom"/>
            <w:gridSpan w:val="2"/>
          </w:tcPr>
          <w:p>
            <w:pPr>
              <w:spacing w:after="0"/>
              <w:rPr>
                <w:sz w:val="17"/>
                <w:szCs w:val="17"/>
                <w:color w:val="auto"/>
              </w:rPr>
            </w:pPr>
          </w:p>
        </w:tc>
        <w:tc>
          <w:tcPr>
            <w:tcW w:w="320" w:type="dxa"/>
            <w:vAlign w:val="bottom"/>
            <w:shd w:val="clear" w:color="auto" w:fill="D0EBF2"/>
          </w:tcPr>
          <w:p>
            <w:pPr>
              <w:jc w:val="right"/>
              <w:ind w:right="159"/>
              <w:spacing w:after="0"/>
              <w:rPr>
                <w:sz w:val="20"/>
                <w:szCs w:val="20"/>
                <w:color w:val="auto"/>
              </w:rPr>
            </w:pPr>
            <w:r>
              <w:rPr>
                <w:rFonts w:ascii="Times New Roman" w:cs="Times New Roman" w:eastAsia="Times New Roman" w:hAnsi="Times New Roman"/>
                <w:sz w:val="17"/>
                <w:szCs w:val="17"/>
                <w:color w:val="231F20"/>
                <w:w w:val="70"/>
              </w:rPr>
              <w:t>$</w:t>
            </w:r>
          </w:p>
        </w:tc>
        <w:tc>
          <w:tcPr>
            <w:tcW w:w="860" w:type="dxa"/>
            <w:vAlign w:val="bottom"/>
            <w:tcBorders>
              <w:right w:val="single" w:sz="8" w:color="D0EBF2"/>
            </w:tcBorders>
            <w:shd w:val="clear" w:color="auto" w:fill="D0EBF2"/>
          </w:tcPr>
          <w:p>
            <w:pPr>
              <w:jc w:val="right"/>
              <w:spacing w:after="0" w:line="207" w:lineRule="exact"/>
              <w:rPr>
                <w:sz w:val="20"/>
                <w:szCs w:val="20"/>
                <w:color w:val="auto"/>
              </w:rPr>
            </w:pPr>
            <w:r>
              <w:rPr>
                <w:rFonts w:ascii="Times New Roman" w:cs="Times New Roman" w:eastAsia="Times New Roman" w:hAnsi="Times New Roman"/>
                <w:sz w:val="19"/>
                <w:szCs w:val="19"/>
                <w:color w:val="231F20"/>
              </w:rPr>
              <w:t>3,251.0</w:t>
            </w:r>
          </w:p>
        </w:tc>
        <w:tc>
          <w:tcPr>
            <w:tcW w:w="200" w:type="dxa"/>
            <w:vAlign w:val="bottom"/>
            <w:tcBorders>
              <w:right w:val="single" w:sz="8" w:color="D0EBF2"/>
            </w:tcBorders>
            <w:gridSpan w:val="2"/>
            <w:shd w:val="clear" w:color="auto" w:fill="D0EBF2"/>
          </w:tcPr>
          <w:p>
            <w:pPr>
              <w:spacing w:after="0"/>
              <w:rPr>
                <w:sz w:val="17"/>
                <w:szCs w:val="17"/>
                <w:color w:val="auto"/>
              </w:rPr>
            </w:pPr>
          </w:p>
        </w:tc>
        <w:tc>
          <w:tcPr>
            <w:tcW w:w="1280" w:type="dxa"/>
            <w:vAlign w:val="bottom"/>
            <w:gridSpan w:val="3"/>
          </w:tcPr>
          <w:p>
            <w:pPr>
              <w:jc w:val="right"/>
              <w:ind w:right="20"/>
              <w:spacing w:after="0" w:line="207" w:lineRule="exact"/>
              <w:rPr>
                <w:sz w:val="20"/>
                <w:szCs w:val="20"/>
                <w:color w:val="auto"/>
              </w:rPr>
            </w:pPr>
            <w:r>
              <w:rPr>
                <w:rFonts w:ascii="Times New Roman" w:cs="Times New Roman" w:eastAsia="Times New Roman" w:hAnsi="Times New Roman"/>
                <w:sz w:val="19"/>
                <w:szCs w:val="19"/>
                <w:color w:val="231F20"/>
              </w:rPr>
              <w:t>100.0%</w:t>
            </w:r>
          </w:p>
        </w:tc>
        <w:tc>
          <w:tcPr>
            <w:tcW w:w="0" w:type="dxa"/>
            <w:vAlign w:val="bottom"/>
          </w:tcPr>
          <w:p>
            <w:pPr>
              <w:spacing w:after="0"/>
              <w:rPr>
                <w:sz w:val="1"/>
                <w:szCs w:val="1"/>
                <w:color w:val="auto"/>
              </w:rPr>
            </w:pPr>
          </w:p>
        </w:tc>
      </w:tr>
      <w:tr>
        <w:trPr>
          <w:trHeight w:val="20"/>
        </w:trPr>
        <w:tc>
          <w:tcPr>
            <w:tcW w:w="3720" w:type="dxa"/>
            <w:vAlign w:val="bottom"/>
          </w:tcPr>
          <w:p>
            <w:pPr>
              <w:spacing w:after="0" w:line="20" w:lineRule="exact"/>
              <w:rPr>
                <w:sz w:val="1"/>
                <w:szCs w:val="1"/>
                <w:color w:val="auto"/>
              </w:rPr>
            </w:pPr>
          </w:p>
        </w:tc>
        <w:tc>
          <w:tcPr>
            <w:tcW w:w="100" w:type="dxa"/>
            <w:vAlign w:val="bottom"/>
            <w:tcBorders>
              <w:top w:val="single" w:sz="8" w:color="231F20"/>
              <w:bottom w:val="single" w:sz="8" w:color="231F20"/>
            </w:tcBorders>
          </w:tcPr>
          <w:p>
            <w:pPr>
              <w:spacing w:after="0" w:line="20" w:lineRule="exact"/>
              <w:rPr>
                <w:sz w:val="1"/>
                <w:szCs w:val="1"/>
                <w:color w:val="auto"/>
              </w:rPr>
            </w:pPr>
          </w:p>
        </w:tc>
        <w:tc>
          <w:tcPr>
            <w:tcW w:w="1100" w:type="dxa"/>
            <w:vAlign w:val="bottom"/>
            <w:tcBorders>
              <w:top w:val="single" w:sz="8" w:color="231F20"/>
              <w:bottom w:val="single" w:sz="8" w:color="231F20"/>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00" w:type="dxa"/>
            <w:vAlign w:val="bottom"/>
            <w:tcBorders>
              <w:top w:val="single" w:sz="8" w:color="231F20"/>
              <w:bottom w:val="single" w:sz="8" w:color="231F20"/>
            </w:tcBorders>
          </w:tcPr>
          <w:p>
            <w:pPr>
              <w:spacing w:after="0" w:line="20" w:lineRule="exact"/>
              <w:rPr>
                <w:sz w:val="1"/>
                <w:szCs w:val="1"/>
                <w:color w:val="auto"/>
              </w:rPr>
            </w:pPr>
          </w:p>
        </w:tc>
        <w:tc>
          <w:tcPr>
            <w:tcW w:w="20" w:type="dxa"/>
            <w:vAlign w:val="bottom"/>
            <w:tcBorders>
              <w:top w:val="single" w:sz="8" w:color="231F20"/>
              <w:bottom w:val="single" w:sz="8" w:color="231F20"/>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Borders>
              <w:top w:val="single" w:sz="8" w:color="231F20"/>
              <w:bottom w:val="single" w:sz="8" w:color="231F20"/>
            </w:tcBorders>
          </w:tcPr>
          <w:p>
            <w:pPr>
              <w:spacing w:after="0" w:line="20" w:lineRule="exact"/>
              <w:rPr>
                <w:sz w:val="1"/>
                <w:szCs w:val="1"/>
                <w:color w:val="auto"/>
              </w:rPr>
            </w:pPr>
          </w:p>
        </w:tc>
        <w:tc>
          <w:tcPr>
            <w:tcW w:w="860" w:type="dxa"/>
            <w:vAlign w:val="bottom"/>
            <w:tcBorders>
              <w:top w:val="single" w:sz="8" w:color="231F20"/>
              <w:bottom w:val="single" w:sz="8" w:color="231F20"/>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00" w:type="dxa"/>
            <w:vAlign w:val="bottom"/>
            <w:tcBorders>
              <w:top w:val="single" w:sz="8" w:color="231F20"/>
              <w:bottom w:val="single" w:sz="8" w:color="231F20"/>
            </w:tcBorders>
          </w:tcPr>
          <w:p>
            <w:pPr>
              <w:spacing w:after="0" w:line="20" w:lineRule="exact"/>
              <w:rPr>
                <w:sz w:val="1"/>
                <w:szCs w:val="1"/>
                <w:color w:val="auto"/>
              </w:rPr>
            </w:pPr>
          </w:p>
        </w:tc>
        <w:tc>
          <w:tcPr>
            <w:tcW w:w="20" w:type="dxa"/>
            <w:vAlign w:val="bottom"/>
            <w:tcBorders>
              <w:top w:val="single" w:sz="8" w:color="231F20"/>
              <w:bottom w:val="single" w:sz="8" w:color="231F20"/>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3553460</wp:posOffset>
                </wp:positionH>
                <wp:positionV relativeFrom="paragraph">
                  <wp:posOffset>-446405</wp:posOffset>
                </wp:positionV>
                <wp:extent cx="727710" cy="137795"/>
                <wp:wrapNone/>
                <wp:docPr id="23" name="Shape 2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27710" cy="137795"/>
                        </a:xfrm>
                        <a:prstGeom prst="rect">
                          <a:avLst/>
                        </a:prstGeom>
                        <a:solidFill>
                          <a:srgbClr val="D0EBF2"/>
                        </a:solidFill>
                      </wps:spPr>
                      <wps:bodyPr/>
                    </wps:wsp>
                  </a:graphicData>
                </a:graphic>
              </wp:anchor>
            </w:drawing>
          </mc:Choice>
          <mc:Fallback>
            <w:pict>
              <v:rect id="Shape 23" o:spid="_x0000_s1048" style="position:absolute;margin-left:279.8pt;margin-top:-35.1499pt;width:57.3pt;height:10.8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0EBF2" stroked="f"/>
            </w:pict>
          </mc:Fallback>
        </mc:AlternateContent>
        <mc:AlternateContent>
          <mc:Choice Requires="wps">
            <w:drawing>
              <wp:anchor simplePos="0" relativeHeight="251657728" behindDoc="1" locked="0" layoutInCell="0" allowOverlap="1">
                <wp:simplePos x="0" y="0"/>
                <wp:positionH relativeFrom="column">
                  <wp:posOffset>4281170</wp:posOffset>
                </wp:positionH>
                <wp:positionV relativeFrom="paragraph">
                  <wp:posOffset>-452755</wp:posOffset>
                </wp:positionV>
                <wp:extent cx="185420" cy="144145"/>
                <wp:wrapNone/>
                <wp:docPr id="24" name="Shape 2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85420" cy="144145"/>
                        </a:xfrm>
                        <a:prstGeom prst="rect">
                          <a:avLst/>
                        </a:prstGeom>
                        <a:solidFill>
                          <a:srgbClr val="D0EBF2"/>
                        </a:solidFill>
                      </wps:spPr>
                      <wps:bodyPr/>
                    </wps:wsp>
                  </a:graphicData>
                </a:graphic>
              </wp:anchor>
            </w:drawing>
          </mc:Choice>
          <mc:Fallback>
            <w:pict>
              <v:rect id="Shape 24" o:spid="_x0000_s1049" style="position:absolute;margin-left:337.1pt;margin-top:-35.6499pt;width:14.6pt;height:11.3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0EBF2" stroked="f"/>
            </w:pict>
          </mc:Fallback>
        </mc:AlternateContent>
        <mc:AlternateContent>
          <mc:Choice Requires="wps">
            <w:drawing>
              <wp:anchor simplePos="0" relativeHeight="251657728" behindDoc="1" locked="0" layoutInCell="0" allowOverlap="1">
                <wp:simplePos x="0" y="0"/>
                <wp:positionH relativeFrom="column">
                  <wp:posOffset>5323840</wp:posOffset>
                </wp:positionH>
                <wp:positionV relativeFrom="paragraph">
                  <wp:posOffset>-446405</wp:posOffset>
                </wp:positionV>
                <wp:extent cx="727710" cy="137795"/>
                <wp:wrapNone/>
                <wp:docPr id="25" name="Shape 2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27710" cy="137795"/>
                        </a:xfrm>
                        <a:prstGeom prst="rect">
                          <a:avLst/>
                        </a:prstGeom>
                        <a:solidFill>
                          <a:srgbClr val="D0EBF2"/>
                        </a:solidFill>
                      </wps:spPr>
                      <wps:bodyPr/>
                    </wps:wsp>
                  </a:graphicData>
                </a:graphic>
              </wp:anchor>
            </w:drawing>
          </mc:Choice>
          <mc:Fallback>
            <w:pict>
              <v:rect id="Shape 25" o:spid="_x0000_s1050" style="position:absolute;margin-left:419.2pt;margin-top:-35.1499pt;width:57.3pt;height:10.8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0EBF2" stroked="f"/>
            </w:pict>
          </mc:Fallback>
        </mc:AlternateContent>
        <mc:AlternateContent>
          <mc:Choice Requires="wps">
            <w:drawing>
              <wp:anchor simplePos="0" relativeHeight="251657728" behindDoc="1" locked="0" layoutInCell="0" allowOverlap="1">
                <wp:simplePos x="0" y="0"/>
                <wp:positionH relativeFrom="column">
                  <wp:posOffset>3553460</wp:posOffset>
                </wp:positionH>
                <wp:positionV relativeFrom="paragraph">
                  <wp:posOffset>-164465</wp:posOffset>
                </wp:positionV>
                <wp:extent cx="727710" cy="137795"/>
                <wp:wrapNone/>
                <wp:docPr id="26" name="Shape 2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27710" cy="137795"/>
                        </a:xfrm>
                        <a:prstGeom prst="rect">
                          <a:avLst/>
                        </a:prstGeom>
                        <a:solidFill>
                          <a:srgbClr val="D0EBF2"/>
                        </a:solidFill>
                      </wps:spPr>
                      <wps:bodyPr/>
                    </wps:wsp>
                  </a:graphicData>
                </a:graphic>
              </wp:anchor>
            </w:drawing>
          </mc:Choice>
          <mc:Fallback>
            <w:pict>
              <v:rect id="Shape 26" o:spid="_x0000_s1051" style="position:absolute;margin-left:279.8pt;margin-top:-12.9499pt;width:57.3pt;height:10.8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0EBF2" stroked="f"/>
            </w:pict>
          </mc:Fallback>
        </mc:AlternateContent>
        <mc:AlternateContent>
          <mc:Choice Requires="wps">
            <w:drawing>
              <wp:anchor simplePos="0" relativeHeight="251657728" behindDoc="1" locked="0" layoutInCell="0" allowOverlap="1">
                <wp:simplePos x="0" y="0"/>
                <wp:positionH relativeFrom="column">
                  <wp:posOffset>4281170</wp:posOffset>
                </wp:positionH>
                <wp:positionV relativeFrom="paragraph">
                  <wp:posOffset>-170815</wp:posOffset>
                </wp:positionV>
                <wp:extent cx="185420" cy="144145"/>
                <wp:wrapNone/>
                <wp:docPr id="27" name="Shape 2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85420" cy="144145"/>
                        </a:xfrm>
                        <a:prstGeom prst="rect">
                          <a:avLst/>
                        </a:prstGeom>
                        <a:solidFill>
                          <a:srgbClr val="D0EBF2"/>
                        </a:solidFill>
                      </wps:spPr>
                      <wps:bodyPr/>
                    </wps:wsp>
                  </a:graphicData>
                </a:graphic>
              </wp:anchor>
            </w:drawing>
          </mc:Choice>
          <mc:Fallback>
            <w:pict>
              <v:rect id="Shape 27" o:spid="_x0000_s1052" style="position:absolute;margin-left:337.1pt;margin-top:-13.4499pt;width:14.6pt;height:11.3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0EBF2" stroked="f"/>
            </w:pict>
          </mc:Fallback>
        </mc:AlternateContent>
        <mc:AlternateContent>
          <mc:Choice Requires="wps">
            <w:drawing>
              <wp:anchor simplePos="0" relativeHeight="251657728" behindDoc="1" locked="0" layoutInCell="0" allowOverlap="1">
                <wp:simplePos x="0" y="0"/>
                <wp:positionH relativeFrom="column">
                  <wp:posOffset>5323840</wp:posOffset>
                </wp:positionH>
                <wp:positionV relativeFrom="paragraph">
                  <wp:posOffset>-164465</wp:posOffset>
                </wp:positionV>
                <wp:extent cx="727710" cy="137795"/>
                <wp:wrapNone/>
                <wp:docPr id="28" name="Shape 2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27710" cy="137795"/>
                        </a:xfrm>
                        <a:prstGeom prst="rect">
                          <a:avLst/>
                        </a:prstGeom>
                        <a:solidFill>
                          <a:srgbClr val="D0EBF2"/>
                        </a:solidFill>
                      </wps:spPr>
                      <wps:bodyPr/>
                    </wps:wsp>
                  </a:graphicData>
                </a:graphic>
              </wp:anchor>
            </w:drawing>
          </mc:Choice>
          <mc:Fallback>
            <w:pict>
              <v:rect id="Shape 28" o:spid="_x0000_s1053" style="position:absolute;margin-left:419.2pt;margin-top:-12.9499pt;width:57.3pt;height:10.8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0EBF2" stroked="f"/>
            </w:pict>
          </mc:Fallback>
        </mc:AlternateContent>
      </w:r>
    </w:p>
    <w:p>
      <w:pPr>
        <w:spacing w:after="0" w:line="177" w:lineRule="exact"/>
        <w:rPr>
          <w:sz w:val="20"/>
          <w:szCs w:val="20"/>
          <w:color w:val="auto"/>
        </w:rPr>
      </w:pPr>
    </w:p>
    <w:p>
      <w:pPr>
        <w:ind w:left="460" w:right="180" w:hanging="460"/>
        <w:spacing w:after="0" w:line="244" w:lineRule="auto"/>
        <w:tabs>
          <w:tab w:leader="none" w:pos="460" w:val="left"/>
        </w:tabs>
        <w:numPr>
          <w:ilvl w:val="0"/>
          <w:numId w:val="54"/>
        </w:numPr>
        <w:rPr>
          <w:rFonts w:ascii="Times New Roman" w:cs="Times New Roman" w:eastAsia="Times New Roman" w:hAnsi="Times New Roman"/>
          <w:sz w:val="19"/>
          <w:szCs w:val="19"/>
          <w:color w:val="231F20"/>
        </w:rPr>
      </w:pPr>
      <w:r>
        <w:rPr>
          <w:rFonts w:ascii="Times New Roman" w:cs="Times New Roman" w:eastAsia="Times New Roman" w:hAnsi="Times New Roman"/>
          <w:sz w:val="19"/>
          <w:szCs w:val="19"/>
          <w:color w:val="231F20"/>
        </w:rPr>
        <w:t xml:space="preserve">Loans are generally placed on non-accrual status when principal or interest payments are past due 30 days or more or when management has reasonable doubt that the borrower will pay principal or interest in full. Accrued and unpaid interest is generally reversed when a loan is placed on non-accrual status. Non-accrual loans are restored to accrual status when past due principal and interest has been paid and, in management’s judgment, the borrower is likely to make principal and interest payments in the future. Management may determine to not place a loan on non-accrual status if, notwithstanding any failure to pay, the loan has sufficient collateral value and is in the process of collection. See </w:t>
      </w:r>
      <w:r>
        <w:rPr>
          <w:rFonts w:ascii="Times New Roman" w:cs="Times New Roman" w:eastAsia="Times New Roman" w:hAnsi="Times New Roman"/>
          <w:sz w:val="19"/>
          <w:szCs w:val="19"/>
          <w:i w:val="1"/>
          <w:iCs w:val="1"/>
          <w:color w:val="231F20"/>
        </w:rPr>
        <w:t>“–Critical Accounting Estimates – Interest</w:t>
      </w:r>
      <w:r>
        <w:rPr>
          <w:rFonts w:ascii="Times New Roman" w:cs="Times New Roman" w:eastAsia="Times New Roman" w:hAnsi="Times New Roman"/>
          <w:sz w:val="19"/>
          <w:szCs w:val="19"/>
          <w:color w:val="231F20"/>
        </w:rPr>
        <w:t xml:space="preserve"> </w:t>
      </w:r>
      <w:r>
        <w:rPr>
          <w:rFonts w:ascii="Times New Roman" w:cs="Times New Roman" w:eastAsia="Times New Roman" w:hAnsi="Times New Roman"/>
          <w:sz w:val="19"/>
          <w:szCs w:val="19"/>
          <w:i w:val="1"/>
          <w:iCs w:val="1"/>
          <w:color w:val="231F20"/>
        </w:rPr>
        <w:t>and Dividend Income Recognition.”</w:t>
      </w:r>
    </w:p>
    <w:p>
      <w:pPr>
        <w:spacing w:after="0" w:line="19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9"/>
          <w:szCs w:val="19"/>
          <w:color w:val="231F20"/>
        </w:rPr>
        <w:t>The weighted average yields and interest rates of our performing debt investments at fair value as of December 31, 2024 and</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231F20"/>
        </w:rPr>
        <w:t>December 31, 2023 were as follows:</w:t>
      </w:r>
    </w:p>
    <w:p>
      <w:pPr>
        <w:spacing w:after="0" w:line="3" w:lineRule="exact"/>
        <w:rPr>
          <w:sz w:val="20"/>
          <w:szCs w:val="20"/>
          <w:color w:val="auto"/>
        </w:rPr>
      </w:pPr>
    </w:p>
    <w:tbl>
      <w:tblPr>
        <w:tblLayout w:type="fixed"/>
        <w:tblInd w:w="1020" w:type="dxa"/>
        <w:tblCellMar>
          <w:top w:w="0" w:type="dxa"/>
          <w:left w:w="0" w:type="dxa"/>
          <w:bottom w:w="0" w:type="dxa"/>
          <w:right w:w="0" w:type="dxa"/>
        </w:tblCellMar>
      </w:tblPr>
      <w:tr>
        <w:trPr>
          <w:trHeight w:val="172"/>
        </w:trPr>
        <w:tc>
          <w:tcPr>
            <w:tcW w:w="4740" w:type="dxa"/>
            <w:vAlign w:val="bottom"/>
            <w:tcBorders>
              <w:bottom w:val="single" w:sz="8" w:color="D0EBF2"/>
            </w:tcBorders>
            <w:shd w:val="clear" w:color="auto" w:fill="FDFDFC"/>
          </w:tcPr>
          <w:p>
            <w:pPr>
              <w:spacing w:after="0"/>
              <w:rPr>
                <w:sz w:val="15"/>
                <w:szCs w:val="15"/>
                <w:color w:val="auto"/>
              </w:rPr>
            </w:pPr>
          </w:p>
        </w:tc>
        <w:tc>
          <w:tcPr>
            <w:tcW w:w="100" w:type="dxa"/>
            <w:vAlign w:val="bottom"/>
            <w:tcBorders>
              <w:bottom w:val="single" w:sz="8" w:color="D0EBF2"/>
            </w:tcBorders>
            <w:shd w:val="clear" w:color="auto" w:fill="FDFDFC"/>
          </w:tcPr>
          <w:p>
            <w:pPr>
              <w:spacing w:after="0"/>
              <w:rPr>
                <w:sz w:val="15"/>
                <w:szCs w:val="15"/>
                <w:color w:val="auto"/>
              </w:rPr>
            </w:pPr>
          </w:p>
        </w:tc>
        <w:tc>
          <w:tcPr>
            <w:tcW w:w="1460" w:type="dxa"/>
            <w:vAlign w:val="bottom"/>
            <w:tcBorders>
              <w:bottom w:val="single" w:sz="8" w:color="231F20"/>
            </w:tcBorders>
            <w:shd w:val="clear" w:color="auto" w:fill="FDFDFC"/>
          </w:tcPr>
          <w:p>
            <w:pPr>
              <w:ind w:left="120"/>
              <w:spacing w:after="0"/>
              <w:rPr>
                <w:sz w:val="20"/>
                <w:szCs w:val="20"/>
                <w:color w:val="auto"/>
              </w:rPr>
            </w:pPr>
            <w:r>
              <w:rPr>
                <w:rFonts w:ascii="Times New Roman" w:cs="Times New Roman" w:eastAsia="Times New Roman" w:hAnsi="Times New Roman"/>
                <w:sz w:val="15"/>
                <w:szCs w:val="15"/>
                <w:b w:val="1"/>
                <w:bCs w:val="1"/>
                <w:color w:val="231F20"/>
              </w:rPr>
              <w:t>December 31, 2024</w:t>
            </w:r>
          </w:p>
        </w:tc>
        <w:tc>
          <w:tcPr>
            <w:tcW w:w="260" w:type="dxa"/>
            <w:vAlign w:val="bottom"/>
            <w:shd w:val="clear" w:color="auto" w:fill="FDFDFC"/>
          </w:tcPr>
          <w:p>
            <w:pPr>
              <w:spacing w:after="0"/>
              <w:rPr>
                <w:sz w:val="15"/>
                <w:szCs w:val="15"/>
                <w:color w:val="auto"/>
              </w:rPr>
            </w:pPr>
          </w:p>
        </w:tc>
        <w:tc>
          <w:tcPr>
            <w:tcW w:w="1440" w:type="dxa"/>
            <w:vAlign w:val="bottom"/>
            <w:tcBorders>
              <w:bottom w:val="single" w:sz="8" w:color="231F20"/>
            </w:tcBorders>
            <w:shd w:val="clear" w:color="auto" w:fill="FDFDFC"/>
          </w:tcPr>
          <w:p>
            <w:pPr>
              <w:ind w:left="100"/>
              <w:spacing w:after="0"/>
              <w:rPr>
                <w:sz w:val="20"/>
                <w:szCs w:val="20"/>
                <w:color w:val="auto"/>
              </w:rPr>
            </w:pPr>
            <w:r>
              <w:rPr>
                <w:rFonts w:ascii="Times New Roman" w:cs="Times New Roman" w:eastAsia="Times New Roman" w:hAnsi="Times New Roman"/>
                <w:sz w:val="15"/>
                <w:szCs w:val="15"/>
                <w:b w:val="1"/>
                <w:bCs w:val="1"/>
                <w:color w:val="231F20"/>
              </w:rPr>
              <w:t>December 31, 2023</w:t>
            </w:r>
          </w:p>
        </w:tc>
        <w:tc>
          <w:tcPr>
            <w:tcW w:w="160" w:type="dxa"/>
            <w:vAlign w:val="bottom"/>
            <w:shd w:val="clear" w:color="auto" w:fill="FDFDFC"/>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4740" w:type="dxa"/>
            <w:vAlign w:val="bottom"/>
            <w:shd w:val="clear" w:color="auto" w:fill="D0EBF2"/>
          </w:tcPr>
          <w:p>
            <w:pPr>
              <w:spacing w:after="0" w:line="187" w:lineRule="exact"/>
              <w:rPr>
                <w:sz w:val="20"/>
                <w:szCs w:val="20"/>
                <w:color w:val="auto"/>
              </w:rPr>
            </w:pPr>
            <w:r>
              <w:rPr>
                <w:rFonts w:ascii="Times New Roman" w:cs="Times New Roman" w:eastAsia="Times New Roman" w:hAnsi="Times New Roman"/>
                <w:sz w:val="19"/>
                <w:szCs w:val="19"/>
                <w:color w:val="231F20"/>
              </w:rPr>
              <w:t>Weighted average total yield of debt and income</w:t>
            </w:r>
          </w:p>
        </w:tc>
        <w:tc>
          <w:tcPr>
            <w:tcW w:w="100" w:type="dxa"/>
            <w:vAlign w:val="bottom"/>
            <w:shd w:val="clear" w:color="auto" w:fill="D0EBF2"/>
          </w:tcPr>
          <w:p>
            <w:pPr>
              <w:spacing w:after="0"/>
              <w:rPr>
                <w:sz w:val="16"/>
                <w:szCs w:val="16"/>
                <w:color w:val="auto"/>
              </w:rPr>
            </w:pPr>
          </w:p>
        </w:tc>
        <w:tc>
          <w:tcPr>
            <w:tcW w:w="172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9"/>
                <w:szCs w:val="19"/>
                <w:color w:val="231F20"/>
              </w:rPr>
              <w:t>12.3%</w:t>
            </w:r>
          </w:p>
        </w:tc>
        <w:tc>
          <w:tcPr>
            <w:tcW w:w="16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9"/>
                <w:szCs w:val="19"/>
                <w:color w:val="231F20"/>
              </w:rPr>
              <w:t>14.1%</w:t>
            </w:r>
          </w:p>
        </w:tc>
        <w:tc>
          <w:tcPr>
            <w:tcW w:w="0" w:type="dxa"/>
            <w:vAlign w:val="bottom"/>
          </w:tcPr>
          <w:p>
            <w:pPr>
              <w:spacing w:after="0"/>
              <w:rPr>
                <w:sz w:val="1"/>
                <w:szCs w:val="1"/>
                <w:color w:val="auto"/>
              </w:rPr>
            </w:pPr>
          </w:p>
        </w:tc>
      </w:tr>
      <w:tr>
        <w:trPr>
          <w:trHeight w:val="237"/>
        </w:trPr>
        <w:tc>
          <w:tcPr>
            <w:tcW w:w="4740" w:type="dxa"/>
            <w:vAlign w:val="bottom"/>
            <w:shd w:val="clear" w:color="auto" w:fill="D0EBF2"/>
          </w:tcPr>
          <w:p>
            <w:pPr>
              <w:ind w:left="140"/>
              <w:spacing w:after="0" w:line="237" w:lineRule="exact"/>
              <w:rPr>
                <w:sz w:val="20"/>
                <w:szCs w:val="20"/>
                <w:color w:val="auto"/>
              </w:rPr>
            </w:pPr>
            <w:r>
              <w:rPr>
                <w:rFonts w:ascii="Times New Roman" w:cs="Times New Roman" w:eastAsia="Times New Roman" w:hAnsi="Times New Roman"/>
                <w:sz w:val="19"/>
                <w:szCs w:val="19"/>
                <w:color w:val="231F20"/>
              </w:rPr>
              <w:t xml:space="preserve">producing securities </w:t>
            </w:r>
            <w:r>
              <w:rPr>
                <w:rFonts w:ascii="Times New Roman" w:cs="Times New Roman" w:eastAsia="Times New Roman" w:hAnsi="Times New Roman"/>
                <w:sz w:val="24"/>
                <w:szCs w:val="24"/>
                <w:color w:val="231F20"/>
                <w:vertAlign w:val="superscript"/>
              </w:rPr>
              <w:t>(1)</w:t>
            </w:r>
          </w:p>
        </w:tc>
        <w:tc>
          <w:tcPr>
            <w:tcW w:w="100" w:type="dxa"/>
            <w:vAlign w:val="bottom"/>
            <w:shd w:val="clear" w:color="auto" w:fill="D0EBF2"/>
          </w:tcPr>
          <w:p>
            <w:pPr>
              <w:spacing w:after="0"/>
              <w:rPr>
                <w:sz w:val="20"/>
                <w:szCs w:val="20"/>
                <w:color w:val="auto"/>
              </w:rPr>
            </w:pPr>
          </w:p>
        </w:tc>
        <w:tc>
          <w:tcPr>
            <w:tcW w:w="1720" w:type="dxa"/>
            <w:vAlign w:val="bottom"/>
            <w:gridSpan w:val="2"/>
            <w:vMerge w:val="continue"/>
          </w:tcPr>
          <w:p>
            <w:pPr>
              <w:spacing w:after="0"/>
              <w:rPr>
                <w:sz w:val="20"/>
                <w:szCs w:val="20"/>
                <w:color w:val="auto"/>
              </w:rPr>
            </w:pPr>
          </w:p>
        </w:tc>
        <w:tc>
          <w:tcPr>
            <w:tcW w:w="160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4740" w:type="dxa"/>
            <w:vAlign w:val="bottom"/>
            <w:shd w:val="clear" w:color="auto" w:fill="FDFDFC"/>
          </w:tcPr>
          <w:p>
            <w:pPr>
              <w:spacing w:after="0" w:line="197" w:lineRule="exact"/>
              <w:rPr>
                <w:sz w:val="20"/>
                <w:szCs w:val="20"/>
                <w:color w:val="auto"/>
              </w:rPr>
            </w:pPr>
            <w:r>
              <w:rPr>
                <w:rFonts w:ascii="Times New Roman" w:cs="Times New Roman" w:eastAsia="Times New Roman" w:hAnsi="Times New Roman"/>
                <w:sz w:val="19"/>
                <w:szCs w:val="19"/>
                <w:color w:val="231F20"/>
              </w:rPr>
              <w:t>Weighted average interest rate of debt and income</w:t>
            </w:r>
          </w:p>
        </w:tc>
        <w:tc>
          <w:tcPr>
            <w:tcW w:w="1820" w:type="dxa"/>
            <w:vAlign w:val="bottom"/>
            <w:gridSpan w:val="3"/>
            <w:vMerge w:val="restart"/>
            <w:shd w:val="clear" w:color="auto" w:fill="FDFDFC"/>
          </w:tcPr>
          <w:p>
            <w:pPr>
              <w:jc w:val="right"/>
              <w:ind w:right="120"/>
              <w:spacing w:after="0"/>
              <w:rPr>
                <w:sz w:val="20"/>
                <w:szCs w:val="20"/>
                <w:color w:val="auto"/>
              </w:rPr>
            </w:pPr>
            <w:r>
              <w:rPr>
                <w:rFonts w:ascii="Times New Roman" w:cs="Times New Roman" w:eastAsia="Times New Roman" w:hAnsi="Times New Roman"/>
                <w:sz w:val="19"/>
                <w:szCs w:val="19"/>
                <w:color w:val="231F20"/>
              </w:rPr>
              <w:t>11.8%</w:t>
            </w:r>
          </w:p>
        </w:tc>
        <w:tc>
          <w:tcPr>
            <w:tcW w:w="1600" w:type="dxa"/>
            <w:vAlign w:val="bottom"/>
            <w:gridSpan w:val="2"/>
            <w:vMerge w:val="restart"/>
            <w:shd w:val="clear" w:color="auto" w:fill="FDFDFC"/>
          </w:tcPr>
          <w:p>
            <w:pPr>
              <w:jc w:val="right"/>
              <w:spacing w:after="0"/>
              <w:rPr>
                <w:sz w:val="20"/>
                <w:szCs w:val="20"/>
                <w:color w:val="auto"/>
              </w:rPr>
            </w:pPr>
            <w:r>
              <w:rPr>
                <w:rFonts w:ascii="Times New Roman" w:cs="Times New Roman" w:eastAsia="Times New Roman" w:hAnsi="Times New Roman"/>
                <w:sz w:val="19"/>
                <w:szCs w:val="19"/>
                <w:color w:val="231F20"/>
              </w:rPr>
              <w:t>13.7%</w:t>
            </w:r>
          </w:p>
        </w:tc>
        <w:tc>
          <w:tcPr>
            <w:tcW w:w="0" w:type="dxa"/>
            <w:vAlign w:val="bottom"/>
          </w:tcPr>
          <w:p>
            <w:pPr>
              <w:spacing w:after="0"/>
              <w:rPr>
                <w:sz w:val="1"/>
                <w:szCs w:val="1"/>
                <w:color w:val="auto"/>
              </w:rPr>
            </w:pPr>
          </w:p>
        </w:tc>
      </w:tr>
      <w:tr>
        <w:trPr>
          <w:trHeight w:val="237"/>
        </w:trPr>
        <w:tc>
          <w:tcPr>
            <w:tcW w:w="4740" w:type="dxa"/>
            <w:vAlign w:val="bottom"/>
            <w:shd w:val="clear" w:color="auto" w:fill="FDFDFC"/>
          </w:tcPr>
          <w:p>
            <w:pPr>
              <w:ind w:left="140"/>
              <w:spacing w:after="0"/>
              <w:rPr>
                <w:sz w:val="20"/>
                <w:szCs w:val="20"/>
                <w:color w:val="auto"/>
              </w:rPr>
            </w:pPr>
            <w:r>
              <w:rPr>
                <w:rFonts w:ascii="Times New Roman" w:cs="Times New Roman" w:eastAsia="Times New Roman" w:hAnsi="Times New Roman"/>
                <w:sz w:val="19"/>
                <w:szCs w:val="19"/>
                <w:color w:val="231F20"/>
              </w:rPr>
              <w:t>producing securities</w:t>
            </w:r>
          </w:p>
        </w:tc>
        <w:tc>
          <w:tcPr>
            <w:tcW w:w="1820" w:type="dxa"/>
            <w:vAlign w:val="bottom"/>
            <w:gridSpan w:val="3"/>
            <w:vMerge w:val="continue"/>
            <w:shd w:val="clear" w:color="auto" w:fill="FDFDFC"/>
          </w:tcPr>
          <w:p>
            <w:pPr>
              <w:spacing w:after="0"/>
              <w:rPr>
                <w:sz w:val="20"/>
                <w:szCs w:val="20"/>
                <w:color w:val="auto"/>
              </w:rPr>
            </w:pPr>
          </w:p>
        </w:tc>
        <w:tc>
          <w:tcPr>
            <w:tcW w:w="1600" w:type="dxa"/>
            <w:vAlign w:val="bottom"/>
            <w:gridSpan w:val="2"/>
            <w:vMerge w:val="continue"/>
            <w:shd w:val="clear" w:color="auto" w:fill="FDFDFC"/>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4740" w:type="dxa"/>
            <w:vAlign w:val="bottom"/>
            <w:shd w:val="clear" w:color="auto" w:fill="D0EBF2"/>
          </w:tcPr>
          <w:p>
            <w:pPr>
              <w:spacing w:after="0" w:line="197" w:lineRule="exact"/>
              <w:rPr>
                <w:sz w:val="20"/>
                <w:szCs w:val="20"/>
                <w:color w:val="auto"/>
              </w:rPr>
            </w:pPr>
            <w:r>
              <w:rPr>
                <w:rFonts w:ascii="Times New Roman" w:cs="Times New Roman" w:eastAsia="Times New Roman" w:hAnsi="Times New Roman"/>
                <w:sz w:val="19"/>
                <w:szCs w:val="19"/>
                <w:color w:val="231F20"/>
              </w:rPr>
              <w:t>Weighted average spread over reference rate of all floating</w:t>
            </w:r>
          </w:p>
        </w:tc>
        <w:tc>
          <w:tcPr>
            <w:tcW w:w="1820" w:type="dxa"/>
            <w:vAlign w:val="bottom"/>
            <w:gridSpan w:val="3"/>
            <w:vMerge w:val="restart"/>
            <w:shd w:val="clear" w:color="auto" w:fill="D0EBF2"/>
          </w:tcPr>
          <w:p>
            <w:pPr>
              <w:jc w:val="right"/>
              <w:ind w:right="120"/>
              <w:spacing w:after="0"/>
              <w:rPr>
                <w:sz w:val="20"/>
                <w:szCs w:val="20"/>
                <w:color w:val="auto"/>
              </w:rPr>
            </w:pPr>
            <w:r>
              <w:rPr>
                <w:rFonts w:ascii="Times New Roman" w:cs="Times New Roman" w:eastAsia="Times New Roman" w:hAnsi="Times New Roman"/>
                <w:sz w:val="19"/>
                <w:szCs w:val="19"/>
                <w:color w:val="231F20"/>
              </w:rPr>
              <w:t>7.7%</w:t>
            </w:r>
          </w:p>
        </w:tc>
        <w:tc>
          <w:tcPr>
            <w:tcW w:w="1600" w:type="dxa"/>
            <w:vAlign w:val="bottom"/>
            <w:gridSpan w:val="2"/>
            <w:vMerge w:val="restart"/>
            <w:shd w:val="clear" w:color="auto" w:fill="D0EBF2"/>
          </w:tcPr>
          <w:p>
            <w:pPr>
              <w:jc w:val="right"/>
              <w:spacing w:after="0"/>
              <w:rPr>
                <w:sz w:val="20"/>
                <w:szCs w:val="20"/>
                <w:color w:val="auto"/>
              </w:rPr>
            </w:pPr>
            <w:r>
              <w:rPr>
                <w:rFonts w:ascii="Times New Roman" w:cs="Times New Roman" w:eastAsia="Times New Roman" w:hAnsi="Times New Roman"/>
                <w:sz w:val="19"/>
                <w:szCs w:val="19"/>
                <w:color w:val="231F20"/>
              </w:rPr>
              <w:t>8.3%</w:t>
            </w:r>
          </w:p>
        </w:tc>
        <w:tc>
          <w:tcPr>
            <w:tcW w:w="0" w:type="dxa"/>
            <w:vAlign w:val="bottom"/>
          </w:tcPr>
          <w:p>
            <w:pPr>
              <w:spacing w:after="0"/>
              <w:rPr>
                <w:sz w:val="1"/>
                <w:szCs w:val="1"/>
                <w:color w:val="auto"/>
              </w:rPr>
            </w:pPr>
          </w:p>
        </w:tc>
      </w:tr>
      <w:tr>
        <w:trPr>
          <w:trHeight w:val="237"/>
        </w:trPr>
        <w:tc>
          <w:tcPr>
            <w:tcW w:w="4740" w:type="dxa"/>
            <w:vAlign w:val="bottom"/>
            <w:shd w:val="clear" w:color="auto" w:fill="D0EBF2"/>
          </w:tcPr>
          <w:p>
            <w:pPr>
              <w:ind w:left="140"/>
              <w:spacing w:after="0"/>
              <w:rPr>
                <w:sz w:val="20"/>
                <w:szCs w:val="20"/>
                <w:color w:val="auto"/>
              </w:rPr>
            </w:pPr>
            <w:r>
              <w:rPr>
                <w:rFonts w:ascii="Times New Roman" w:cs="Times New Roman" w:eastAsia="Times New Roman" w:hAnsi="Times New Roman"/>
                <w:sz w:val="19"/>
                <w:szCs w:val="19"/>
                <w:color w:val="231F20"/>
              </w:rPr>
              <w:t>rate investments</w:t>
            </w:r>
          </w:p>
        </w:tc>
        <w:tc>
          <w:tcPr>
            <w:tcW w:w="1820" w:type="dxa"/>
            <w:vAlign w:val="bottom"/>
            <w:gridSpan w:val="3"/>
            <w:vMerge w:val="continue"/>
            <w:shd w:val="clear" w:color="auto" w:fill="D0EBF2"/>
          </w:tcPr>
          <w:p>
            <w:pPr>
              <w:spacing w:after="0"/>
              <w:rPr>
                <w:sz w:val="20"/>
                <w:szCs w:val="20"/>
                <w:color w:val="auto"/>
              </w:rPr>
            </w:pPr>
          </w:p>
        </w:tc>
        <w:tc>
          <w:tcPr>
            <w:tcW w:w="1600" w:type="dxa"/>
            <w:vAlign w:val="bottom"/>
            <w:gridSpan w:val="2"/>
            <w:vMerge w:val="continue"/>
            <w:shd w:val="clear" w:color="auto" w:fill="D0EBF2"/>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3726815</wp:posOffset>
                </wp:positionH>
                <wp:positionV relativeFrom="paragraph">
                  <wp:posOffset>-826770</wp:posOffset>
                </wp:positionV>
                <wp:extent cx="915035" cy="275590"/>
                <wp:wrapNone/>
                <wp:docPr id="29" name="Shape 2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915035" cy="275590"/>
                        </a:xfrm>
                        <a:prstGeom prst="rect">
                          <a:avLst/>
                        </a:prstGeom>
                        <a:solidFill>
                          <a:srgbClr val="D0EBF2"/>
                        </a:solidFill>
                      </wps:spPr>
                      <wps:bodyPr/>
                    </wps:wsp>
                  </a:graphicData>
                </a:graphic>
              </wp:anchor>
            </w:drawing>
          </mc:Choice>
          <mc:Fallback>
            <w:pict>
              <v:rect id="Shape 29" o:spid="_x0000_s1054" style="position:absolute;margin-left:293.45pt;margin-top:-65.0999pt;width:72.05pt;height:21.7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0EBF2" stroked="f"/>
            </w:pict>
          </mc:Fallback>
        </mc:AlternateContent>
        <mc:AlternateContent>
          <mc:Choice Requires="wps">
            <w:drawing>
              <wp:anchor simplePos="0" relativeHeight="251657728" behindDoc="1" locked="0" layoutInCell="0" allowOverlap="1">
                <wp:simplePos x="0" y="0"/>
                <wp:positionH relativeFrom="column">
                  <wp:posOffset>4641850</wp:posOffset>
                </wp:positionH>
                <wp:positionV relativeFrom="paragraph">
                  <wp:posOffset>-833120</wp:posOffset>
                </wp:positionV>
                <wp:extent cx="172085" cy="281940"/>
                <wp:wrapNone/>
                <wp:docPr id="30" name="Shape 3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72085" cy="281940"/>
                        </a:xfrm>
                        <a:prstGeom prst="rect">
                          <a:avLst/>
                        </a:prstGeom>
                        <a:solidFill>
                          <a:srgbClr val="D0EBF2"/>
                        </a:solidFill>
                      </wps:spPr>
                      <wps:bodyPr/>
                    </wps:wsp>
                  </a:graphicData>
                </a:graphic>
              </wp:anchor>
            </w:drawing>
          </mc:Choice>
          <mc:Fallback>
            <w:pict>
              <v:rect id="Shape 30" o:spid="_x0000_s1055" style="position:absolute;margin-left:365.5pt;margin-top:-65.5999pt;width:13.55pt;height:22.2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0EBF2" stroked="f"/>
            </w:pict>
          </mc:Fallback>
        </mc:AlternateContent>
        <mc:AlternateContent>
          <mc:Choice Requires="wps">
            <w:drawing>
              <wp:anchor simplePos="0" relativeHeight="251657728" behindDoc="1" locked="0" layoutInCell="0" allowOverlap="1">
                <wp:simplePos x="0" y="0"/>
                <wp:positionH relativeFrom="column">
                  <wp:posOffset>4813935</wp:posOffset>
                </wp:positionH>
                <wp:positionV relativeFrom="paragraph">
                  <wp:posOffset>-826770</wp:posOffset>
                </wp:positionV>
                <wp:extent cx="915035" cy="275590"/>
                <wp:wrapNone/>
                <wp:docPr id="31" name="Shape 3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915035" cy="275590"/>
                        </a:xfrm>
                        <a:prstGeom prst="rect">
                          <a:avLst/>
                        </a:prstGeom>
                        <a:solidFill>
                          <a:srgbClr val="D0EBF2"/>
                        </a:solidFill>
                      </wps:spPr>
                      <wps:bodyPr/>
                    </wps:wsp>
                  </a:graphicData>
                </a:graphic>
              </wp:anchor>
            </w:drawing>
          </mc:Choice>
          <mc:Fallback>
            <w:pict>
              <v:rect id="Shape 31" o:spid="_x0000_s1056" style="position:absolute;margin-left:379.05pt;margin-top:-65.0999pt;width:72.05pt;height:21.7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0EBF2" stroked="f"/>
            </w:pict>
          </mc:Fallback>
        </mc:AlternateContent>
        <mc:AlternateContent>
          <mc:Choice Requires="wps">
            <w:drawing>
              <wp:anchor simplePos="0" relativeHeight="251657728" behindDoc="1" locked="0" layoutInCell="0" allowOverlap="1">
                <wp:simplePos x="0" y="0"/>
                <wp:positionH relativeFrom="column">
                  <wp:posOffset>5728970</wp:posOffset>
                </wp:positionH>
                <wp:positionV relativeFrom="paragraph">
                  <wp:posOffset>-833120</wp:posOffset>
                </wp:positionV>
                <wp:extent cx="100330" cy="281940"/>
                <wp:wrapNone/>
                <wp:docPr id="32" name="Shape 3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00330" cy="281940"/>
                        </a:xfrm>
                        <a:prstGeom prst="rect">
                          <a:avLst/>
                        </a:prstGeom>
                        <a:solidFill>
                          <a:srgbClr val="D0EBF2"/>
                        </a:solidFill>
                      </wps:spPr>
                      <wps:bodyPr/>
                    </wps:wsp>
                  </a:graphicData>
                </a:graphic>
              </wp:anchor>
            </w:drawing>
          </mc:Choice>
          <mc:Fallback>
            <w:pict>
              <v:rect id="Shape 32" o:spid="_x0000_s1057" style="position:absolute;margin-left:451.1pt;margin-top:-65.5999pt;width:7.9pt;height:22.2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0EBF2" stroked="f"/>
            </w:pict>
          </mc:Fallback>
        </mc:AlternateContent>
      </w:r>
    </w:p>
    <w:p>
      <w:pPr>
        <w:spacing w:after="0" w:line="177" w:lineRule="exact"/>
        <w:rPr>
          <w:sz w:val="20"/>
          <w:szCs w:val="20"/>
          <w:color w:val="auto"/>
        </w:rPr>
      </w:pPr>
    </w:p>
    <w:p>
      <w:pPr>
        <w:ind w:left="460" w:hanging="460"/>
        <w:spacing w:after="0"/>
        <w:tabs>
          <w:tab w:leader="none" w:pos="460" w:val="left"/>
        </w:tabs>
        <w:numPr>
          <w:ilvl w:val="0"/>
          <w:numId w:val="55"/>
        </w:numPr>
        <w:rPr>
          <w:rFonts w:ascii="Times New Roman" w:cs="Times New Roman" w:eastAsia="Times New Roman" w:hAnsi="Times New Roman"/>
          <w:sz w:val="19"/>
          <w:szCs w:val="19"/>
          <w:color w:val="231F20"/>
        </w:rPr>
      </w:pPr>
      <w:r>
        <w:rPr>
          <w:rFonts w:ascii="Times New Roman" w:cs="Times New Roman" w:eastAsia="Times New Roman" w:hAnsi="Times New Roman"/>
          <w:sz w:val="19"/>
          <w:szCs w:val="19"/>
          <w:color w:val="231F20"/>
        </w:rPr>
        <w:t>Weighted average total portfolio yield at fair value was 11.6% at December 31, 2024 and 13.4% at December 31, 2023.</w:t>
      </w:r>
    </w:p>
    <w:p>
      <w:pPr>
        <w:spacing w:after="0" w:line="297" w:lineRule="exact"/>
        <w:rPr>
          <w:sz w:val="20"/>
          <w:szCs w:val="20"/>
          <w:color w:val="auto"/>
        </w:rPr>
      </w:pPr>
    </w:p>
    <w:p>
      <w:pPr>
        <w:ind w:right="120" w:firstLine="231"/>
        <w:spacing w:after="0" w:line="278" w:lineRule="auto"/>
        <w:rPr>
          <w:sz w:val="20"/>
          <w:szCs w:val="20"/>
          <w:color w:val="auto"/>
        </w:rPr>
      </w:pPr>
      <w:r>
        <w:rPr>
          <w:rFonts w:ascii="Times New Roman" w:cs="Times New Roman" w:eastAsia="Times New Roman" w:hAnsi="Times New Roman"/>
          <w:sz w:val="18"/>
          <w:szCs w:val="18"/>
          <w:color w:val="231F20"/>
        </w:rPr>
        <w:t>The Adviser monitors our portfolio companies on an ongoing basis. The Adviser monitors the financial trends of each portfolio company to determine if it is meeting its business plans and to assess the appropriate course of action for each company. The Adviser has a number of methods of evaluating and monitoring the performance of our investments, which may include the following:</w:t>
      </w:r>
    </w:p>
    <w:p>
      <w:pPr>
        <w:spacing w:after="0" w:line="59" w:lineRule="exact"/>
        <w:rPr>
          <w:sz w:val="20"/>
          <w:szCs w:val="20"/>
          <w:color w:val="auto"/>
        </w:rPr>
      </w:pPr>
    </w:p>
    <w:p>
      <w:pPr>
        <w:ind w:left="460" w:hanging="229"/>
        <w:spacing w:after="0"/>
        <w:tabs>
          <w:tab w:leader="none" w:pos="460" w:val="left"/>
        </w:tabs>
        <w:numPr>
          <w:ilvl w:val="0"/>
          <w:numId w:val="56"/>
        </w:numPr>
        <w:rPr>
          <w:rFonts w:ascii="Arial" w:cs="Arial" w:eastAsia="Arial" w:hAnsi="Arial"/>
          <w:sz w:val="19"/>
          <w:szCs w:val="19"/>
          <w:color w:val="231F20"/>
        </w:rPr>
      </w:pPr>
      <w:r>
        <w:rPr>
          <w:rFonts w:ascii="Times New Roman" w:cs="Times New Roman" w:eastAsia="Times New Roman" w:hAnsi="Times New Roman"/>
          <w:sz w:val="19"/>
          <w:szCs w:val="19"/>
          <w:color w:val="231F20"/>
        </w:rPr>
        <w:t>assessment of success of the portfolio company in adhering to its business plan and compliance with covenants;</w:t>
      </w:r>
    </w:p>
    <w:p>
      <w:pPr>
        <w:spacing w:after="0" w:line="124" w:lineRule="exact"/>
        <w:rPr>
          <w:rFonts w:ascii="Arial" w:cs="Arial" w:eastAsia="Arial" w:hAnsi="Arial"/>
          <w:sz w:val="19"/>
          <w:szCs w:val="19"/>
          <w:color w:val="231F20"/>
        </w:rPr>
      </w:pPr>
    </w:p>
    <w:p>
      <w:pPr>
        <w:ind w:left="460" w:right="540" w:hanging="229"/>
        <w:spacing w:after="0" w:line="274" w:lineRule="auto"/>
        <w:tabs>
          <w:tab w:leader="none" w:pos="460" w:val="left"/>
        </w:tabs>
        <w:numPr>
          <w:ilvl w:val="0"/>
          <w:numId w:val="56"/>
        </w:numPr>
        <w:rPr>
          <w:rFonts w:ascii="Arial" w:cs="Arial" w:eastAsia="Arial" w:hAnsi="Arial"/>
          <w:sz w:val="19"/>
          <w:szCs w:val="19"/>
          <w:color w:val="231F20"/>
        </w:rPr>
      </w:pPr>
      <w:r>
        <w:rPr>
          <w:rFonts w:ascii="Times New Roman" w:cs="Times New Roman" w:eastAsia="Times New Roman" w:hAnsi="Times New Roman"/>
          <w:sz w:val="19"/>
          <w:szCs w:val="19"/>
          <w:color w:val="231F20"/>
        </w:rPr>
        <w:t>periodic and regular contact with portfolio company management and, if appropriate, the financial or strategic sponsor, to discuss financial position, requirements and accomplishments;</w:t>
      </w:r>
    </w:p>
    <w:p>
      <w:pPr>
        <w:spacing w:after="0" w:line="61" w:lineRule="exact"/>
        <w:rPr>
          <w:rFonts w:ascii="Arial" w:cs="Arial" w:eastAsia="Arial" w:hAnsi="Arial"/>
          <w:sz w:val="19"/>
          <w:szCs w:val="19"/>
          <w:color w:val="231F20"/>
        </w:rPr>
      </w:pPr>
    </w:p>
    <w:p>
      <w:pPr>
        <w:ind w:left="460" w:hanging="229"/>
        <w:spacing w:after="0"/>
        <w:tabs>
          <w:tab w:leader="none" w:pos="460" w:val="left"/>
        </w:tabs>
        <w:numPr>
          <w:ilvl w:val="0"/>
          <w:numId w:val="56"/>
        </w:numPr>
        <w:rPr>
          <w:rFonts w:ascii="Arial" w:cs="Arial" w:eastAsia="Arial" w:hAnsi="Arial"/>
          <w:sz w:val="19"/>
          <w:szCs w:val="19"/>
          <w:color w:val="231F20"/>
        </w:rPr>
      </w:pPr>
      <w:r>
        <w:rPr>
          <w:rFonts w:ascii="Times New Roman" w:cs="Times New Roman" w:eastAsia="Times New Roman" w:hAnsi="Times New Roman"/>
          <w:sz w:val="19"/>
          <w:szCs w:val="19"/>
          <w:color w:val="231F20"/>
        </w:rPr>
        <w:t>comparisons to other companies in the industry;</w:t>
      </w:r>
    </w:p>
    <w:p>
      <w:pPr>
        <w:spacing w:after="0" w:line="124" w:lineRule="exact"/>
        <w:rPr>
          <w:rFonts w:ascii="Arial" w:cs="Arial" w:eastAsia="Arial" w:hAnsi="Arial"/>
          <w:sz w:val="19"/>
          <w:szCs w:val="19"/>
          <w:color w:val="231F20"/>
        </w:rPr>
      </w:pPr>
    </w:p>
    <w:p>
      <w:pPr>
        <w:ind w:left="460" w:hanging="229"/>
        <w:spacing w:after="0"/>
        <w:tabs>
          <w:tab w:leader="none" w:pos="460" w:val="left"/>
        </w:tabs>
        <w:numPr>
          <w:ilvl w:val="0"/>
          <w:numId w:val="56"/>
        </w:numPr>
        <w:rPr>
          <w:rFonts w:ascii="Arial" w:cs="Arial" w:eastAsia="Arial" w:hAnsi="Arial"/>
          <w:sz w:val="19"/>
          <w:szCs w:val="19"/>
          <w:color w:val="231F20"/>
        </w:rPr>
      </w:pPr>
      <w:r>
        <w:rPr>
          <w:rFonts w:ascii="Times New Roman" w:cs="Times New Roman" w:eastAsia="Times New Roman" w:hAnsi="Times New Roman"/>
          <w:sz w:val="19"/>
          <w:szCs w:val="19"/>
          <w:color w:val="231F20"/>
        </w:rPr>
        <w:t>attendance at, and participation in, board meetings; and</w:t>
      </w:r>
    </w:p>
    <w:p>
      <w:pPr>
        <w:spacing w:after="0" w:line="124" w:lineRule="exact"/>
        <w:rPr>
          <w:rFonts w:ascii="Arial" w:cs="Arial" w:eastAsia="Arial" w:hAnsi="Arial"/>
          <w:sz w:val="19"/>
          <w:szCs w:val="19"/>
          <w:color w:val="231F20"/>
        </w:rPr>
      </w:pPr>
    </w:p>
    <w:p>
      <w:pPr>
        <w:ind w:left="460" w:hanging="229"/>
        <w:spacing w:after="0"/>
        <w:tabs>
          <w:tab w:leader="none" w:pos="460" w:val="left"/>
        </w:tabs>
        <w:numPr>
          <w:ilvl w:val="0"/>
          <w:numId w:val="56"/>
        </w:numPr>
        <w:rPr>
          <w:rFonts w:ascii="Arial" w:cs="Arial" w:eastAsia="Arial" w:hAnsi="Arial"/>
          <w:sz w:val="19"/>
          <w:szCs w:val="19"/>
          <w:color w:val="231F20"/>
        </w:rPr>
      </w:pPr>
      <w:r>
        <w:rPr>
          <w:rFonts w:ascii="Times New Roman" w:cs="Times New Roman" w:eastAsia="Times New Roman" w:hAnsi="Times New Roman"/>
          <w:sz w:val="19"/>
          <w:szCs w:val="19"/>
          <w:color w:val="231F20"/>
        </w:rPr>
        <w:t>review of monthly and quarterly financial statements and financial projections for portfolio companies.</w:t>
      </w:r>
    </w:p>
    <w:p>
      <w:pPr>
        <w:spacing w:after="0" w:line="225" w:lineRule="exact"/>
        <w:rPr>
          <w:sz w:val="20"/>
          <w:szCs w:val="20"/>
          <w:color w:val="auto"/>
        </w:rPr>
      </w:pPr>
    </w:p>
    <w:p>
      <w:pPr>
        <w:ind w:firstLine="231"/>
        <w:spacing w:after="0" w:line="257" w:lineRule="auto"/>
        <w:rPr>
          <w:sz w:val="20"/>
          <w:szCs w:val="20"/>
          <w:color w:val="auto"/>
        </w:rPr>
      </w:pPr>
      <w:r>
        <w:rPr>
          <w:rFonts w:ascii="Times New Roman" w:cs="Times New Roman" w:eastAsia="Times New Roman" w:hAnsi="Times New Roman"/>
          <w:sz w:val="19"/>
          <w:szCs w:val="19"/>
          <w:color w:val="231F20"/>
        </w:rPr>
        <w:t>As part of the monitoring process, the Adviser regularly assesses the risk profile of each of our investments and, on a quarterly basis, grades each investment on a risk scale of 1 to 5. Risk assessment is not standardized in our industry and our risk assessment may not be comparable to ones used by our competitors. Our assessment is based on the following categories:</w:t>
      </w:r>
    </w:p>
    <w:p>
      <w:pPr>
        <w:spacing w:after="0" w:line="77" w:lineRule="exact"/>
        <w:rPr>
          <w:sz w:val="20"/>
          <w:szCs w:val="20"/>
          <w:color w:val="auto"/>
        </w:rPr>
      </w:pPr>
    </w:p>
    <w:p>
      <w:pPr>
        <w:ind w:left="460" w:hanging="229"/>
        <w:spacing w:after="0" w:line="256" w:lineRule="auto"/>
        <w:tabs>
          <w:tab w:leader="none" w:pos="460" w:val="left"/>
        </w:tabs>
        <w:numPr>
          <w:ilvl w:val="0"/>
          <w:numId w:val="57"/>
        </w:numPr>
        <w:rPr>
          <w:rFonts w:ascii="Arial" w:cs="Arial" w:eastAsia="Arial" w:hAnsi="Arial"/>
          <w:sz w:val="19"/>
          <w:szCs w:val="19"/>
          <w:color w:val="231F20"/>
        </w:rPr>
      </w:pPr>
      <w:r>
        <w:rPr>
          <w:rFonts w:ascii="Times New Roman" w:cs="Times New Roman" w:eastAsia="Times New Roman" w:hAnsi="Times New Roman"/>
          <w:sz w:val="19"/>
          <w:szCs w:val="19"/>
          <w:color w:val="231F20"/>
        </w:rPr>
        <w:t>An investment is rated 1 if, in the opinion of the Adviser, it is performing as agreed and there are no concerns about the portfolio company’s performance or ability to meet covenant requirements. For these investments, the Adviser generally prepares monthly reports on investment performance and intensive quarterly asset reviews.</w:t>
      </w:r>
    </w:p>
    <w:p>
      <w:pPr>
        <w:sectPr>
          <w:pgSz w:w="12240" w:h="15840" w:orient="portrait"/>
          <w:cols w:equalWidth="0" w:num="1">
            <w:col w:w="10200"/>
          </w:cols>
          <w:pgMar w:left="1020" w:top="1317" w:right="1020" w:bottom="57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231F20"/>
        </w:rPr>
        <w:t>69</w:t>
      </w:r>
    </w:p>
    <w:p>
      <w:pPr>
        <w:sectPr>
          <w:pgSz w:w="12240" w:h="15840" w:orient="portrait"/>
          <w:cols w:equalWidth="0" w:num="1">
            <w:col w:w="10200"/>
          </w:cols>
          <w:pgMar w:left="1020" w:top="1317" w:right="1020" w:bottom="574" w:gutter="0" w:footer="0" w:header="0"/>
          <w:type w:val="continuous"/>
        </w:sectPr>
      </w:pPr>
    </w:p>
    <w:bookmarkStart w:id="69" w:name="page70"/>
    <w:bookmarkEnd w:id="69"/>
    <w:p>
      <w:pPr>
        <w:ind w:left="460" w:right="160" w:hanging="229"/>
        <w:spacing w:after="0" w:line="250" w:lineRule="auto"/>
        <w:tabs>
          <w:tab w:leader="none" w:pos="460" w:val="left"/>
        </w:tabs>
        <w:numPr>
          <w:ilvl w:val="0"/>
          <w:numId w:val="58"/>
        </w:numPr>
        <w:rPr>
          <w:rFonts w:ascii="Arial" w:cs="Arial" w:eastAsia="Arial" w:hAnsi="Arial"/>
          <w:sz w:val="19"/>
          <w:szCs w:val="19"/>
          <w:color w:val="231F20"/>
        </w:rPr>
      </w:pPr>
      <w:r>
        <w:rPr>
          <w:rFonts w:ascii="Times New Roman" w:cs="Times New Roman" w:eastAsia="Times New Roman" w:hAnsi="Times New Roman"/>
          <w:sz w:val="19"/>
          <w:szCs w:val="19"/>
          <w:color w:val="231F20"/>
        </w:rPr>
        <w:t>An investment is rated 2 if it is performing as agreed, but, in the opinion of the Adviser, there may be concerns about the company’s operating performance or trends in the industry. For these investments, in addition to monthly reports and quarterly asset reviews, the Adviser also researches any areas of concern with the objective of early intervention with the portfolio company.</w:t>
      </w:r>
    </w:p>
    <w:p>
      <w:pPr>
        <w:spacing w:after="0" w:line="84" w:lineRule="exact"/>
        <w:rPr>
          <w:rFonts w:ascii="Arial" w:cs="Arial" w:eastAsia="Arial" w:hAnsi="Arial"/>
          <w:sz w:val="19"/>
          <w:szCs w:val="19"/>
          <w:color w:val="231F20"/>
        </w:rPr>
      </w:pPr>
    </w:p>
    <w:p>
      <w:pPr>
        <w:ind w:left="460" w:hanging="229"/>
        <w:spacing w:after="0" w:line="277" w:lineRule="auto"/>
        <w:tabs>
          <w:tab w:leader="none" w:pos="460" w:val="left"/>
        </w:tabs>
        <w:numPr>
          <w:ilvl w:val="0"/>
          <w:numId w:val="58"/>
        </w:numPr>
        <w:rPr>
          <w:rFonts w:ascii="Arial" w:cs="Arial" w:eastAsia="Arial" w:hAnsi="Arial"/>
          <w:sz w:val="18"/>
          <w:szCs w:val="18"/>
          <w:color w:val="231F20"/>
        </w:rPr>
      </w:pPr>
      <w:r>
        <w:rPr>
          <w:rFonts w:ascii="Times New Roman" w:cs="Times New Roman" w:eastAsia="Times New Roman" w:hAnsi="Times New Roman"/>
          <w:sz w:val="18"/>
          <w:szCs w:val="18"/>
          <w:color w:val="231F20"/>
        </w:rPr>
        <w:t>An investment will be assigned a rating of 3 if it is paying its obligations to us as agreed but a material covenant violation is expected. For these investments, in addition to monthly reports and quarterly asset reviews, the Adviser also adds the investment to its “watch list” and researches any areas of concern with the objective of early intervention with the portfolio company.</w:t>
      </w:r>
    </w:p>
    <w:p>
      <w:pPr>
        <w:spacing w:after="0" w:line="60" w:lineRule="exact"/>
        <w:rPr>
          <w:rFonts w:ascii="Arial" w:cs="Arial" w:eastAsia="Arial" w:hAnsi="Arial"/>
          <w:sz w:val="18"/>
          <w:szCs w:val="18"/>
          <w:color w:val="231F20"/>
        </w:rPr>
      </w:pPr>
    </w:p>
    <w:p>
      <w:pPr>
        <w:ind w:left="460" w:right="40" w:hanging="229"/>
        <w:spacing w:after="0" w:line="244" w:lineRule="auto"/>
        <w:tabs>
          <w:tab w:leader="none" w:pos="460" w:val="left"/>
        </w:tabs>
        <w:numPr>
          <w:ilvl w:val="0"/>
          <w:numId w:val="58"/>
        </w:numPr>
        <w:rPr>
          <w:rFonts w:ascii="Arial" w:cs="Arial" w:eastAsia="Arial" w:hAnsi="Arial"/>
          <w:sz w:val="19"/>
          <w:szCs w:val="19"/>
          <w:color w:val="231F20"/>
        </w:rPr>
      </w:pPr>
      <w:r>
        <w:rPr>
          <w:rFonts w:ascii="Times New Roman" w:cs="Times New Roman" w:eastAsia="Times New Roman" w:hAnsi="Times New Roman"/>
          <w:sz w:val="19"/>
          <w:szCs w:val="19"/>
          <w:color w:val="231F20"/>
        </w:rPr>
        <w:t>An investment will be assigned a rating of 4 if a material covenant has been violated, but the company is making its scheduled payments on its obligations to us. For these investments, the Adviser generally prepares a bi-monthly asset review email and generally has monthly meetings with the portfolio company’s senior management. For investments where there have been material defaults, including bankruptcy filings, failures to achieve financial performance requirements or failure to maintain liquidity or loan-to-value requirements, the Adviser often will take immediate action to protect its position. These remedies may include negotiating for additional collateral, modifying investment terms or structure, or payment of amendment and waiver fees.</w:t>
      </w:r>
    </w:p>
    <w:p>
      <w:pPr>
        <w:spacing w:after="0" w:line="91" w:lineRule="exact"/>
        <w:rPr>
          <w:rFonts w:ascii="Arial" w:cs="Arial" w:eastAsia="Arial" w:hAnsi="Arial"/>
          <w:sz w:val="19"/>
          <w:szCs w:val="19"/>
          <w:color w:val="231F20"/>
        </w:rPr>
      </w:pPr>
    </w:p>
    <w:p>
      <w:pPr>
        <w:ind w:left="460" w:right="180" w:hanging="229"/>
        <w:spacing w:after="0" w:line="247" w:lineRule="auto"/>
        <w:tabs>
          <w:tab w:leader="none" w:pos="460" w:val="left"/>
        </w:tabs>
        <w:numPr>
          <w:ilvl w:val="0"/>
          <w:numId w:val="58"/>
        </w:numPr>
        <w:rPr>
          <w:rFonts w:ascii="Arial" w:cs="Arial" w:eastAsia="Arial" w:hAnsi="Arial"/>
          <w:sz w:val="19"/>
          <w:szCs w:val="19"/>
          <w:color w:val="231F20"/>
        </w:rPr>
      </w:pPr>
      <w:r>
        <w:rPr>
          <w:rFonts w:ascii="Times New Roman" w:cs="Times New Roman" w:eastAsia="Times New Roman" w:hAnsi="Times New Roman"/>
          <w:sz w:val="19"/>
          <w:szCs w:val="19"/>
          <w:color w:val="231F20"/>
        </w:rPr>
        <w:t>A rating of 5 indicates an investment is in default on its interest and/or principal payments. For these investments, our Adviser reviews the investments on a bi-monthly basis and, where possible, pursues workouts that achieve an early resolution to avoid further deterioration of our investment. The Adviser retains legal counsel and takes actions to preserve our rights, which may include working with the portfolio company to have the default cured, to have the investment restructured or to have the investment repaid through a consensual workout.</w:t>
      </w:r>
    </w:p>
    <w:p>
      <w:pPr>
        <w:spacing w:after="0" w:line="188" w:lineRule="exact"/>
        <w:rPr>
          <w:sz w:val="20"/>
          <w:szCs w:val="20"/>
          <w:color w:val="auto"/>
        </w:rPr>
      </w:pPr>
    </w:p>
    <w:p>
      <w:pPr>
        <w:jc w:val="both"/>
        <w:ind w:right="60" w:firstLine="231"/>
        <w:spacing w:after="0" w:line="250" w:lineRule="auto"/>
        <w:rPr>
          <w:sz w:val="20"/>
          <w:szCs w:val="20"/>
          <w:color w:val="auto"/>
        </w:rPr>
      </w:pPr>
      <w:r>
        <w:rPr>
          <w:rFonts w:ascii="Times New Roman" w:cs="Times New Roman" w:eastAsia="Times New Roman" w:hAnsi="Times New Roman"/>
          <w:sz w:val="19"/>
          <w:szCs w:val="19"/>
          <w:color w:val="231F20"/>
        </w:rPr>
        <w:t>The following table shows the distribution of our investments on the 1 to 5 investment performance rating scale at fair value as of December 31, 2024 and December 31, 2023. Investment performance ratings are accurate only as of those dates and may change due to subsequent developments relating to a portfolio company’s business or financial condition, market conditions or developments, and other factors.</w:t>
      </w:r>
    </w:p>
    <w:p>
      <w:pPr>
        <w:spacing w:after="0" w:line="200" w:lineRule="exact"/>
        <w:rPr>
          <w:sz w:val="20"/>
          <w:szCs w:val="20"/>
          <w:color w:val="auto"/>
        </w:rPr>
      </w:pPr>
    </w:p>
    <w:p>
      <w:pPr>
        <w:spacing w:after="0" w:line="222" w:lineRule="exact"/>
        <w:rPr>
          <w:sz w:val="20"/>
          <w:szCs w:val="20"/>
          <w:color w:val="auto"/>
        </w:rPr>
      </w:pPr>
    </w:p>
    <w:tbl>
      <w:tblPr>
        <w:tblLayout w:type="fixed"/>
        <w:tblInd w:w="500" w:type="dxa"/>
        <w:tblCellMar>
          <w:top w:w="0" w:type="dxa"/>
          <w:left w:w="0" w:type="dxa"/>
          <w:bottom w:w="0" w:type="dxa"/>
          <w:right w:w="0" w:type="dxa"/>
        </w:tblCellMar>
      </w:tblPr>
      <w:tr>
        <w:trPr>
          <w:trHeight w:val="187"/>
        </w:trPr>
        <w:tc>
          <w:tcPr>
            <w:tcW w:w="20" w:type="dxa"/>
            <w:vAlign w:val="bottom"/>
          </w:tcPr>
          <w:p>
            <w:pPr>
              <w:spacing w:after="0"/>
              <w:rPr>
                <w:sz w:val="16"/>
                <w:szCs w:val="16"/>
                <w:color w:val="auto"/>
              </w:rPr>
            </w:pPr>
          </w:p>
        </w:tc>
        <w:tc>
          <w:tcPr>
            <w:tcW w:w="1680" w:type="dxa"/>
            <w:vAlign w:val="bottom"/>
            <w:shd w:val="clear" w:color="auto" w:fill="FDFDFC"/>
          </w:tcPr>
          <w:p>
            <w:pPr>
              <w:spacing w:after="0"/>
              <w:rPr>
                <w:sz w:val="16"/>
                <w:szCs w:val="16"/>
                <w:color w:val="auto"/>
              </w:rPr>
            </w:pPr>
          </w:p>
        </w:tc>
        <w:tc>
          <w:tcPr>
            <w:tcW w:w="180" w:type="dxa"/>
            <w:vAlign w:val="bottom"/>
            <w:shd w:val="clear" w:color="auto" w:fill="FDFDFC"/>
          </w:tcPr>
          <w:p>
            <w:pPr>
              <w:spacing w:after="0"/>
              <w:rPr>
                <w:sz w:val="16"/>
                <w:szCs w:val="16"/>
                <w:color w:val="auto"/>
              </w:rPr>
            </w:pPr>
          </w:p>
        </w:tc>
        <w:tc>
          <w:tcPr>
            <w:tcW w:w="480" w:type="dxa"/>
            <w:vAlign w:val="bottom"/>
            <w:shd w:val="clear" w:color="auto" w:fill="FDFDFC"/>
          </w:tcPr>
          <w:p>
            <w:pPr>
              <w:spacing w:after="0"/>
              <w:rPr>
                <w:sz w:val="16"/>
                <w:szCs w:val="16"/>
                <w:color w:val="auto"/>
              </w:rPr>
            </w:pPr>
          </w:p>
        </w:tc>
        <w:tc>
          <w:tcPr>
            <w:tcW w:w="3280" w:type="dxa"/>
            <w:vAlign w:val="bottom"/>
            <w:gridSpan w:val="5"/>
            <w:shd w:val="clear" w:color="auto" w:fill="FDFDFC"/>
          </w:tcPr>
          <w:p>
            <w:pPr>
              <w:ind w:left="580"/>
              <w:spacing w:after="0"/>
              <w:rPr>
                <w:sz w:val="20"/>
                <w:szCs w:val="20"/>
                <w:color w:val="auto"/>
              </w:rPr>
            </w:pPr>
            <w:r>
              <w:rPr>
                <w:rFonts w:ascii="Times New Roman" w:cs="Times New Roman" w:eastAsia="Times New Roman" w:hAnsi="Times New Roman"/>
                <w:sz w:val="15"/>
                <w:szCs w:val="15"/>
                <w:b w:val="1"/>
                <w:bCs w:val="1"/>
                <w:color w:val="231F20"/>
              </w:rPr>
              <w:t>December 31, 2024</w:t>
            </w:r>
          </w:p>
        </w:tc>
        <w:tc>
          <w:tcPr>
            <w:tcW w:w="180" w:type="dxa"/>
            <w:vAlign w:val="bottom"/>
            <w:shd w:val="clear" w:color="auto" w:fill="FDFDFC"/>
          </w:tcPr>
          <w:p>
            <w:pPr>
              <w:spacing w:after="0"/>
              <w:rPr>
                <w:sz w:val="16"/>
                <w:szCs w:val="16"/>
                <w:color w:val="auto"/>
              </w:rPr>
            </w:pPr>
          </w:p>
        </w:tc>
        <w:tc>
          <w:tcPr>
            <w:tcW w:w="3380" w:type="dxa"/>
            <w:vAlign w:val="bottom"/>
            <w:gridSpan w:val="4"/>
            <w:shd w:val="clear" w:color="auto" w:fill="FDFDFC"/>
          </w:tcPr>
          <w:p>
            <w:pPr>
              <w:jc w:val="right"/>
              <w:ind w:right="1186"/>
              <w:spacing w:after="0"/>
              <w:rPr>
                <w:sz w:val="20"/>
                <w:szCs w:val="20"/>
                <w:color w:val="auto"/>
              </w:rPr>
            </w:pPr>
            <w:r>
              <w:rPr>
                <w:rFonts w:ascii="Times New Roman" w:cs="Times New Roman" w:eastAsia="Times New Roman" w:hAnsi="Times New Roman"/>
                <w:sz w:val="15"/>
                <w:szCs w:val="15"/>
                <w:b w:val="1"/>
                <w:bCs w:val="1"/>
                <w:color w:val="231F20"/>
              </w:rPr>
              <w:t>December 31, 2023</w:t>
            </w:r>
          </w:p>
        </w:tc>
      </w:tr>
      <w:tr>
        <w:trPr>
          <w:trHeight w:val="187"/>
        </w:trPr>
        <w:tc>
          <w:tcPr>
            <w:tcW w:w="20" w:type="dxa"/>
            <w:vAlign w:val="bottom"/>
          </w:tcPr>
          <w:p>
            <w:pPr>
              <w:spacing w:after="0"/>
              <w:rPr>
                <w:sz w:val="16"/>
                <w:szCs w:val="16"/>
                <w:color w:val="auto"/>
              </w:rPr>
            </w:pPr>
          </w:p>
        </w:tc>
        <w:tc>
          <w:tcPr>
            <w:tcW w:w="1680" w:type="dxa"/>
            <w:vAlign w:val="bottom"/>
            <w:tcBorders>
              <w:top w:val="single" w:sz="8" w:color="FDFDFC"/>
            </w:tcBorders>
            <w:shd w:val="clear" w:color="auto" w:fill="FDFDFC"/>
          </w:tcPr>
          <w:p>
            <w:pPr>
              <w:jc w:val="center"/>
              <w:spacing w:after="0"/>
              <w:rPr>
                <w:sz w:val="20"/>
                <w:szCs w:val="20"/>
                <w:color w:val="auto"/>
              </w:rPr>
            </w:pPr>
            <w:r>
              <w:rPr>
                <w:rFonts w:ascii="Times New Roman" w:cs="Times New Roman" w:eastAsia="Times New Roman" w:hAnsi="Times New Roman"/>
                <w:sz w:val="15"/>
                <w:szCs w:val="15"/>
                <w:b w:val="1"/>
                <w:bCs w:val="1"/>
                <w:color w:val="231F20"/>
              </w:rPr>
              <w:t>Investment</w:t>
            </w:r>
          </w:p>
        </w:tc>
        <w:tc>
          <w:tcPr>
            <w:tcW w:w="180" w:type="dxa"/>
            <w:vAlign w:val="bottom"/>
            <w:tcBorders>
              <w:top w:val="single" w:sz="8" w:color="FDFDFC"/>
            </w:tcBorders>
            <w:shd w:val="clear" w:color="auto" w:fill="FDFDFC"/>
          </w:tcPr>
          <w:p>
            <w:pPr>
              <w:spacing w:after="0"/>
              <w:rPr>
                <w:sz w:val="16"/>
                <w:szCs w:val="16"/>
                <w:color w:val="auto"/>
              </w:rPr>
            </w:pPr>
          </w:p>
        </w:tc>
        <w:tc>
          <w:tcPr>
            <w:tcW w:w="1600" w:type="dxa"/>
            <w:vAlign w:val="bottom"/>
            <w:tcBorders>
              <w:top w:val="single" w:sz="8" w:color="231F20"/>
            </w:tcBorders>
            <w:gridSpan w:val="2"/>
            <w:shd w:val="clear" w:color="auto" w:fill="FDFDFC"/>
          </w:tcPr>
          <w:p>
            <w:pPr>
              <w:jc w:val="right"/>
              <w:ind w:right="250"/>
              <w:spacing w:after="0"/>
              <w:rPr>
                <w:sz w:val="20"/>
                <w:szCs w:val="20"/>
                <w:color w:val="auto"/>
              </w:rPr>
            </w:pPr>
            <w:r>
              <w:rPr>
                <w:rFonts w:ascii="Times New Roman" w:cs="Times New Roman" w:eastAsia="Times New Roman" w:hAnsi="Times New Roman"/>
                <w:sz w:val="15"/>
                <w:szCs w:val="15"/>
                <w:b w:val="1"/>
                <w:bCs w:val="1"/>
                <w:color w:val="231F20"/>
              </w:rPr>
              <w:t>Investments at</w:t>
            </w:r>
          </w:p>
        </w:tc>
        <w:tc>
          <w:tcPr>
            <w:tcW w:w="220" w:type="dxa"/>
            <w:vAlign w:val="bottom"/>
            <w:tcBorders>
              <w:top w:val="single" w:sz="8" w:color="231F20"/>
            </w:tcBorders>
            <w:shd w:val="clear" w:color="auto" w:fill="FDFDFC"/>
          </w:tcPr>
          <w:p>
            <w:pPr>
              <w:spacing w:after="0"/>
              <w:rPr>
                <w:sz w:val="16"/>
                <w:szCs w:val="16"/>
                <w:color w:val="auto"/>
              </w:rPr>
            </w:pPr>
          </w:p>
        </w:tc>
        <w:tc>
          <w:tcPr>
            <w:tcW w:w="1580" w:type="dxa"/>
            <w:vAlign w:val="bottom"/>
            <w:tcBorders>
              <w:top w:val="single" w:sz="8" w:color="231F20"/>
            </w:tcBorders>
            <w:shd w:val="clear" w:color="auto" w:fill="FDFDFC"/>
          </w:tcPr>
          <w:p>
            <w:pPr>
              <w:spacing w:after="0"/>
              <w:rPr>
                <w:sz w:val="16"/>
                <w:szCs w:val="16"/>
                <w:color w:val="auto"/>
              </w:rPr>
            </w:pPr>
          </w:p>
        </w:tc>
        <w:tc>
          <w:tcPr>
            <w:tcW w:w="340" w:type="dxa"/>
            <w:vAlign w:val="bottom"/>
            <w:tcBorders>
              <w:top w:val="single" w:sz="8" w:color="FDFDFC"/>
            </w:tcBorders>
            <w:shd w:val="clear" w:color="auto" w:fill="FDFDFC"/>
          </w:tcPr>
          <w:p>
            <w:pPr>
              <w:spacing w:after="0"/>
              <w:rPr>
                <w:sz w:val="16"/>
                <w:szCs w:val="16"/>
                <w:color w:val="auto"/>
              </w:rPr>
            </w:pPr>
          </w:p>
        </w:tc>
        <w:tc>
          <w:tcPr>
            <w:tcW w:w="20" w:type="dxa"/>
            <w:vAlign w:val="bottom"/>
            <w:tcBorders>
              <w:top w:val="single" w:sz="8" w:color="FDFDFC"/>
            </w:tcBorders>
            <w:shd w:val="clear" w:color="auto" w:fill="FDFDFC"/>
          </w:tcPr>
          <w:p>
            <w:pPr>
              <w:spacing w:after="0"/>
              <w:rPr>
                <w:sz w:val="16"/>
                <w:szCs w:val="16"/>
                <w:color w:val="auto"/>
              </w:rPr>
            </w:pPr>
          </w:p>
        </w:tc>
        <w:tc>
          <w:tcPr>
            <w:tcW w:w="180" w:type="dxa"/>
            <w:vAlign w:val="bottom"/>
            <w:tcBorders>
              <w:top w:val="single" w:sz="8" w:color="231F20"/>
            </w:tcBorders>
            <w:shd w:val="clear" w:color="auto" w:fill="FDFDFC"/>
          </w:tcPr>
          <w:p>
            <w:pPr>
              <w:spacing w:after="0"/>
              <w:rPr>
                <w:sz w:val="16"/>
                <w:szCs w:val="16"/>
                <w:color w:val="auto"/>
              </w:rPr>
            </w:pPr>
          </w:p>
        </w:tc>
        <w:tc>
          <w:tcPr>
            <w:tcW w:w="1400" w:type="dxa"/>
            <w:vAlign w:val="bottom"/>
            <w:tcBorders>
              <w:top w:val="single" w:sz="8" w:color="231F20"/>
            </w:tcBorders>
            <w:shd w:val="clear" w:color="auto" w:fill="FDFDFC"/>
          </w:tcPr>
          <w:p>
            <w:pPr>
              <w:jc w:val="center"/>
              <w:ind w:right="133"/>
              <w:spacing w:after="0"/>
              <w:rPr>
                <w:sz w:val="20"/>
                <w:szCs w:val="20"/>
                <w:color w:val="auto"/>
              </w:rPr>
            </w:pPr>
            <w:r>
              <w:rPr>
                <w:rFonts w:ascii="Times New Roman" w:cs="Times New Roman" w:eastAsia="Times New Roman" w:hAnsi="Times New Roman"/>
                <w:sz w:val="15"/>
                <w:szCs w:val="15"/>
                <w:b w:val="1"/>
                <w:bCs w:val="1"/>
                <w:color w:val="231F20"/>
              </w:rPr>
              <w:t>Investments at</w:t>
            </w:r>
          </w:p>
        </w:tc>
        <w:tc>
          <w:tcPr>
            <w:tcW w:w="240" w:type="dxa"/>
            <w:vAlign w:val="bottom"/>
            <w:tcBorders>
              <w:top w:val="single" w:sz="8" w:color="231F20"/>
            </w:tcBorders>
            <w:shd w:val="clear" w:color="auto" w:fill="FDFDFC"/>
          </w:tcPr>
          <w:p>
            <w:pPr>
              <w:spacing w:after="0"/>
              <w:rPr>
                <w:sz w:val="16"/>
                <w:szCs w:val="16"/>
                <w:color w:val="auto"/>
              </w:rPr>
            </w:pPr>
          </w:p>
        </w:tc>
        <w:tc>
          <w:tcPr>
            <w:tcW w:w="1560" w:type="dxa"/>
            <w:vAlign w:val="bottom"/>
            <w:tcBorders>
              <w:top w:val="single" w:sz="8" w:color="231F20"/>
            </w:tcBorders>
            <w:shd w:val="clear" w:color="auto" w:fill="FDFDFC"/>
          </w:tcPr>
          <w:p>
            <w:pPr>
              <w:spacing w:after="0"/>
              <w:rPr>
                <w:sz w:val="16"/>
                <w:szCs w:val="16"/>
                <w:color w:val="auto"/>
              </w:rPr>
            </w:pPr>
          </w:p>
        </w:tc>
        <w:tc>
          <w:tcPr>
            <w:tcW w:w="180" w:type="dxa"/>
            <w:vAlign w:val="bottom"/>
            <w:tcBorders>
              <w:top w:val="single" w:sz="8" w:color="FDFDFC"/>
            </w:tcBorders>
            <w:shd w:val="clear" w:color="auto" w:fill="FDFDFC"/>
          </w:tcPr>
          <w:p>
            <w:pPr>
              <w:spacing w:after="0"/>
              <w:rPr>
                <w:sz w:val="16"/>
                <w:szCs w:val="16"/>
                <w:color w:val="auto"/>
              </w:rPr>
            </w:pPr>
          </w:p>
        </w:tc>
      </w:tr>
      <w:tr>
        <w:trPr>
          <w:trHeight w:val="187"/>
        </w:trPr>
        <w:tc>
          <w:tcPr>
            <w:tcW w:w="20" w:type="dxa"/>
            <w:vAlign w:val="bottom"/>
          </w:tcPr>
          <w:p>
            <w:pPr>
              <w:spacing w:after="0"/>
              <w:rPr>
                <w:sz w:val="16"/>
                <w:szCs w:val="16"/>
                <w:color w:val="auto"/>
              </w:rPr>
            </w:pPr>
          </w:p>
        </w:tc>
        <w:tc>
          <w:tcPr>
            <w:tcW w:w="1680" w:type="dxa"/>
            <w:vAlign w:val="bottom"/>
            <w:shd w:val="clear" w:color="auto" w:fill="FDFDFC"/>
          </w:tcPr>
          <w:p>
            <w:pPr>
              <w:jc w:val="center"/>
              <w:spacing w:after="0"/>
              <w:rPr>
                <w:sz w:val="20"/>
                <w:szCs w:val="20"/>
                <w:color w:val="auto"/>
              </w:rPr>
            </w:pPr>
            <w:r>
              <w:rPr>
                <w:rFonts w:ascii="Times New Roman" w:cs="Times New Roman" w:eastAsia="Times New Roman" w:hAnsi="Times New Roman"/>
                <w:sz w:val="15"/>
                <w:szCs w:val="15"/>
                <w:b w:val="1"/>
                <w:bCs w:val="1"/>
                <w:color w:val="231F20"/>
              </w:rPr>
              <w:t>Performance</w:t>
            </w:r>
          </w:p>
        </w:tc>
        <w:tc>
          <w:tcPr>
            <w:tcW w:w="180" w:type="dxa"/>
            <w:vAlign w:val="bottom"/>
            <w:shd w:val="clear" w:color="auto" w:fill="FDFDFC"/>
          </w:tcPr>
          <w:p>
            <w:pPr>
              <w:spacing w:after="0"/>
              <w:rPr>
                <w:sz w:val="16"/>
                <w:szCs w:val="16"/>
                <w:color w:val="auto"/>
              </w:rPr>
            </w:pPr>
          </w:p>
        </w:tc>
        <w:tc>
          <w:tcPr>
            <w:tcW w:w="1600" w:type="dxa"/>
            <w:vAlign w:val="bottom"/>
            <w:gridSpan w:val="2"/>
            <w:shd w:val="clear" w:color="auto" w:fill="FDFDFC"/>
          </w:tcPr>
          <w:p>
            <w:pPr>
              <w:jc w:val="right"/>
              <w:ind w:right="370"/>
              <w:spacing w:after="0"/>
              <w:rPr>
                <w:sz w:val="20"/>
                <w:szCs w:val="20"/>
                <w:color w:val="auto"/>
              </w:rPr>
            </w:pPr>
            <w:r>
              <w:rPr>
                <w:rFonts w:ascii="Times New Roman" w:cs="Times New Roman" w:eastAsia="Times New Roman" w:hAnsi="Times New Roman"/>
                <w:sz w:val="15"/>
                <w:szCs w:val="15"/>
                <w:b w:val="1"/>
                <w:bCs w:val="1"/>
                <w:color w:val="231F20"/>
              </w:rPr>
              <w:t>Fair Value</w:t>
            </w:r>
          </w:p>
        </w:tc>
        <w:tc>
          <w:tcPr>
            <w:tcW w:w="220" w:type="dxa"/>
            <w:vAlign w:val="bottom"/>
            <w:shd w:val="clear" w:color="auto" w:fill="FDFDFC"/>
          </w:tcPr>
          <w:p>
            <w:pPr>
              <w:spacing w:after="0"/>
              <w:rPr>
                <w:sz w:val="16"/>
                <w:szCs w:val="16"/>
                <w:color w:val="auto"/>
              </w:rPr>
            </w:pPr>
          </w:p>
        </w:tc>
        <w:tc>
          <w:tcPr>
            <w:tcW w:w="1580" w:type="dxa"/>
            <w:vAlign w:val="bottom"/>
            <w:shd w:val="clear" w:color="auto" w:fill="FDFDFC"/>
          </w:tcPr>
          <w:p>
            <w:pPr>
              <w:jc w:val="right"/>
              <w:ind w:right="272"/>
              <w:spacing w:after="0"/>
              <w:rPr>
                <w:sz w:val="20"/>
                <w:szCs w:val="20"/>
                <w:color w:val="auto"/>
              </w:rPr>
            </w:pPr>
            <w:r>
              <w:rPr>
                <w:rFonts w:ascii="Times New Roman" w:cs="Times New Roman" w:eastAsia="Times New Roman" w:hAnsi="Times New Roman"/>
                <w:sz w:val="15"/>
                <w:szCs w:val="15"/>
                <w:b w:val="1"/>
                <w:bCs w:val="1"/>
                <w:color w:val="231F20"/>
              </w:rPr>
              <w:t>Percentage of</w:t>
            </w:r>
          </w:p>
        </w:tc>
        <w:tc>
          <w:tcPr>
            <w:tcW w:w="340" w:type="dxa"/>
            <w:vAlign w:val="bottom"/>
            <w:shd w:val="clear" w:color="auto" w:fill="FDFDFC"/>
          </w:tcPr>
          <w:p>
            <w:pPr>
              <w:spacing w:after="0"/>
              <w:rPr>
                <w:sz w:val="16"/>
                <w:szCs w:val="16"/>
                <w:color w:val="auto"/>
              </w:rPr>
            </w:pPr>
          </w:p>
        </w:tc>
        <w:tc>
          <w:tcPr>
            <w:tcW w:w="20" w:type="dxa"/>
            <w:vAlign w:val="bottom"/>
            <w:shd w:val="clear" w:color="auto" w:fill="FDFDFC"/>
          </w:tcPr>
          <w:p>
            <w:pPr>
              <w:spacing w:after="0"/>
              <w:rPr>
                <w:sz w:val="16"/>
                <w:szCs w:val="16"/>
                <w:color w:val="auto"/>
              </w:rPr>
            </w:pPr>
          </w:p>
        </w:tc>
        <w:tc>
          <w:tcPr>
            <w:tcW w:w="180" w:type="dxa"/>
            <w:vAlign w:val="bottom"/>
            <w:shd w:val="clear" w:color="auto" w:fill="FDFDFC"/>
          </w:tcPr>
          <w:p>
            <w:pPr>
              <w:spacing w:after="0"/>
              <w:rPr>
                <w:sz w:val="16"/>
                <w:szCs w:val="16"/>
                <w:color w:val="auto"/>
              </w:rPr>
            </w:pPr>
          </w:p>
        </w:tc>
        <w:tc>
          <w:tcPr>
            <w:tcW w:w="1400" w:type="dxa"/>
            <w:vAlign w:val="bottom"/>
            <w:shd w:val="clear" w:color="auto" w:fill="FDFDFC"/>
          </w:tcPr>
          <w:p>
            <w:pPr>
              <w:jc w:val="center"/>
              <w:ind w:right="133"/>
              <w:spacing w:after="0"/>
              <w:rPr>
                <w:sz w:val="20"/>
                <w:szCs w:val="20"/>
                <w:color w:val="auto"/>
              </w:rPr>
            </w:pPr>
            <w:r>
              <w:rPr>
                <w:rFonts w:ascii="Times New Roman" w:cs="Times New Roman" w:eastAsia="Times New Roman" w:hAnsi="Times New Roman"/>
                <w:sz w:val="15"/>
                <w:szCs w:val="15"/>
                <w:b w:val="1"/>
                <w:bCs w:val="1"/>
                <w:color w:val="231F20"/>
              </w:rPr>
              <w:t>Fair Value</w:t>
            </w:r>
          </w:p>
        </w:tc>
        <w:tc>
          <w:tcPr>
            <w:tcW w:w="240" w:type="dxa"/>
            <w:vAlign w:val="bottom"/>
            <w:shd w:val="clear" w:color="auto" w:fill="FDFDFC"/>
          </w:tcPr>
          <w:p>
            <w:pPr>
              <w:spacing w:after="0"/>
              <w:rPr>
                <w:sz w:val="16"/>
                <w:szCs w:val="16"/>
                <w:color w:val="auto"/>
              </w:rPr>
            </w:pPr>
          </w:p>
        </w:tc>
        <w:tc>
          <w:tcPr>
            <w:tcW w:w="1560" w:type="dxa"/>
            <w:vAlign w:val="bottom"/>
            <w:shd w:val="clear" w:color="auto" w:fill="FDFDFC"/>
          </w:tcPr>
          <w:p>
            <w:pPr>
              <w:jc w:val="right"/>
              <w:ind w:right="272"/>
              <w:spacing w:after="0"/>
              <w:rPr>
                <w:sz w:val="20"/>
                <w:szCs w:val="20"/>
                <w:color w:val="auto"/>
              </w:rPr>
            </w:pPr>
            <w:r>
              <w:rPr>
                <w:rFonts w:ascii="Times New Roman" w:cs="Times New Roman" w:eastAsia="Times New Roman" w:hAnsi="Times New Roman"/>
                <w:sz w:val="15"/>
                <w:szCs w:val="15"/>
                <w:b w:val="1"/>
                <w:bCs w:val="1"/>
                <w:color w:val="231F20"/>
              </w:rPr>
              <w:t>Percentage of</w:t>
            </w:r>
          </w:p>
        </w:tc>
        <w:tc>
          <w:tcPr>
            <w:tcW w:w="180" w:type="dxa"/>
            <w:vAlign w:val="bottom"/>
            <w:shd w:val="clear" w:color="auto" w:fill="FDFDFC"/>
          </w:tcPr>
          <w:p>
            <w:pPr>
              <w:spacing w:after="0"/>
              <w:rPr>
                <w:sz w:val="16"/>
                <w:szCs w:val="16"/>
                <w:color w:val="auto"/>
              </w:rPr>
            </w:pPr>
          </w:p>
        </w:tc>
      </w:tr>
      <w:tr>
        <w:trPr>
          <w:trHeight w:val="187"/>
        </w:trPr>
        <w:tc>
          <w:tcPr>
            <w:tcW w:w="20" w:type="dxa"/>
            <w:vAlign w:val="bottom"/>
          </w:tcPr>
          <w:p>
            <w:pPr>
              <w:spacing w:after="0"/>
              <w:rPr>
                <w:sz w:val="16"/>
                <w:szCs w:val="16"/>
                <w:color w:val="auto"/>
              </w:rPr>
            </w:pPr>
          </w:p>
        </w:tc>
        <w:tc>
          <w:tcPr>
            <w:tcW w:w="1680" w:type="dxa"/>
            <w:vAlign w:val="bottom"/>
            <w:shd w:val="clear" w:color="auto" w:fill="FDFDFC"/>
          </w:tcPr>
          <w:p>
            <w:pPr>
              <w:jc w:val="center"/>
              <w:spacing w:after="0"/>
              <w:rPr>
                <w:sz w:val="20"/>
                <w:szCs w:val="20"/>
                <w:color w:val="auto"/>
              </w:rPr>
            </w:pPr>
            <w:r>
              <w:rPr>
                <w:rFonts w:ascii="Times New Roman" w:cs="Times New Roman" w:eastAsia="Times New Roman" w:hAnsi="Times New Roman"/>
                <w:sz w:val="15"/>
                <w:szCs w:val="15"/>
                <w:b w:val="1"/>
                <w:bCs w:val="1"/>
                <w:color w:val="231F20"/>
              </w:rPr>
              <w:t>Rating</w:t>
            </w:r>
          </w:p>
        </w:tc>
        <w:tc>
          <w:tcPr>
            <w:tcW w:w="660" w:type="dxa"/>
            <w:vAlign w:val="bottom"/>
            <w:gridSpan w:val="2"/>
            <w:shd w:val="clear" w:color="auto" w:fill="FDFDFC"/>
          </w:tcPr>
          <w:p>
            <w:pPr>
              <w:jc w:val="right"/>
              <w:spacing w:after="0"/>
              <w:rPr>
                <w:sz w:val="20"/>
                <w:szCs w:val="20"/>
                <w:color w:val="auto"/>
              </w:rPr>
            </w:pPr>
            <w:r>
              <w:rPr>
                <w:rFonts w:ascii="Times New Roman" w:cs="Times New Roman" w:eastAsia="Times New Roman" w:hAnsi="Times New Roman"/>
                <w:sz w:val="15"/>
                <w:szCs w:val="15"/>
                <w:b w:val="1"/>
                <w:bCs w:val="1"/>
                <w:color w:val="231F20"/>
              </w:rPr>
              <w:t>($</w:t>
            </w:r>
          </w:p>
        </w:tc>
        <w:tc>
          <w:tcPr>
            <w:tcW w:w="1120" w:type="dxa"/>
            <w:vAlign w:val="bottom"/>
            <w:shd w:val="clear" w:color="auto" w:fill="FDFDFC"/>
          </w:tcPr>
          <w:p>
            <w:pPr>
              <w:jc w:val="right"/>
              <w:ind w:right="270"/>
              <w:spacing w:after="0"/>
              <w:rPr>
                <w:sz w:val="20"/>
                <w:szCs w:val="20"/>
                <w:color w:val="auto"/>
              </w:rPr>
            </w:pPr>
            <w:r>
              <w:rPr>
                <w:rFonts w:ascii="Times New Roman" w:cs="Times New Roman" w:eastAsia="Times New Roman" w:hAnsi="Times New Roman"/>
                <w:sz w:val="15"/>
                <w:szCs w:val="15"/>
                <w:b w:val="1"/>
                <w:bCs w:val="1"/>
                <w:color w:val="231F20"/>
              </w:rPr>
              <w:t>in millions)</w:t>
            </w:r>
          </w:p>
        </w:tc>
        <w:tc>
          <w:tcPr>
            <w:tcW w:w="220" w:type="dxa"/>
            <w:vAlign w:val="bottom"/>
            <w:shd w:val="clear" w:color="auto" w:fill="FDFDFC"/>
          </w:tcPr>
          <w:p>
            <w:pPr>
              <w:spacing w:after="0"/>
              <w:rPr>
                <w:sz w:val="16"/>
                <w:szCs w:val="16"/>
                <w:color w:val="auto"/>
              </w:rPr>
            </w:pPr>
          </w:p>
        </w:tc>
        <w:tc>
          <w:tcPr>
            <w:tcW w:w="1580" w:type="dxa"/>
            <w:vAlign w:val="bottom"/>
            <w:shd w:val="clear" w:color="auto" w:fill="FDFDFC"/>
          </w:tcPr>
          <w:p>
            <w:pPr>
              <w:jc w:val="right"/>
              <w:ind w:right="232"/>
              <w:spacing w:after="0"/>
              <w:rPr>
                <w:sz w:val="20"/>
                <w:szCs w:val="20"/>
                <w:color w:val="auto"/>
              </w:rPr>
            </w:pPr>
            <w:r>
              <w:rPr>
                <w:rFonts w:ascii="Times New Roman" w:cs="Times New Roman" w:eastAsia="Times New Roman" w:hAnsi="Times New Roman"/>
                <w:sz w:val="15"/>
                <w:szCs w:val="15"/>
                <w:b w:val="1"/>
                <w:bCs w:val="1"/>
                <w:color w:val="231F20"/>
              </w:rPr>
              <w:t>Total Portfolio</w:t>
            </w:r>
          </w:p>
        </w:tc>
        <w:tc>
          <w:tcPr>
            <w:tcW w:w="340" w:type="dxa"/>
            <w:vAlign w:val="bottom"/>
            <w:shd w:val="clear" w:color="auto" w:fill="FDFDFC"/>
          </w:tcPr>
          <w:p>
            <w:pPr>
              <w:spacing w:after="0"/>
              <w:rPr>
                <w:sz w:val="16"/>
                <w:szCs w:val="16"/>
                <w:color w:val="auto"/>
              </w:rPr>
            </w:pPr>
          </w:p>
        </w:tc>
        <w:tc>
          <w:tcPr>
            <w:tcW w:w="20" w:type="dxa"/>
            <w:vAlign w:val="bottom"/>
            <w:shd w:val="clear" w:color="auto" w:fill="FDFDFC"/>
          </w:tcPr>
          <w:p>
            <w:pPr>
              <w:spacing w:after="0"/>
              <w:rPr>
                <w:sz w:val="16"/>
                <w:szCs w:val="16"/>
                <w:color w:val="auto"/>
              </w:rPr>
            </w:pPr>
          </w:p>
        </w:tc>
        <w:tc>
          <w:tcPr>
            <w:tcW w:w="180" w:type="dxa"/>
            <w:vAlign w:val="bottom"/>
            <w:shd w:val="clear" w:color="auto" w:fill="FDFDFC"/>
          </w:tcPr>
          <w:p>
            <w:pPr>
              <w:spacing w:after="0"/>
              <w:rPr>
                <w:sz w:val="16"/>
                <w:szCs w:val="16"/>
                <w:color w:val="auto"/>
              </w:rPr>
            </w:pPr>
          </w:p>
        </w:tc>
        <w:tc>
          <w:tcPr>
            <w:tcW w:w="1400" w:type="dxa"/>
            <w:vAlign w:val="bottom"/>
            <w:shd w:val="clear" w:color="auto" w:fill="FDFDFC"/>
          </w:tcPr>
          <w:p>
            <w:pPr>
              <w:jc w:val="center"/>
              <w:ind w:right="133"/>
              <w:spacing w:after="0"/>
              <w:rPr>
                <w:sz w:val="20"/>
                <w:szCs w:val="20"/>
                <w:color w:val="auto"/>
              </w:rPr>
            </w:pPr>
            <w:r>
              <w:rPr>
                <w:rFonts w:ascii="Times New Roman" w:cs="Times New Roman" w:eastAsia="Times New Roman" w:hAnsi="Times New Roman"/>
                <w:sz w:val="15"/>
                <w:szCs w:val="15"/>
                <w:b w:val="1"/>
                <w:bCs w:val="1"/>
                <w:color w:val="231F20"/>
              </w:rPr>
              <w:t>($ in millions)</w:t>
            </w:r>
          </w:p>
        </w:tc>
        <w:tc>
          <w:tcPr>
            <w:tcW w:w="240" w:type="dxa"/>
            <w:vAlign w:val="bottom"/>
            <w:shd w:val="clear" w:color="auto" w:fill="FDFDFC"/>
          </w:tcPr>
          <w:p>
            <w:pPr>
              <w:spacing w:after="0"/>
              <w:rPr>
                <w:sz w:val="16"/>
                <w:szCs w:val="16"/>
                <w:color w:val="auto"/>
              </w:rPr>
            </w:pPr>
          </w:p>
        </w:tc>
        <w:tc>
          <w:tcPr>
            <w:tcW w:w="1560" w:type="dxa"/>
            <w:vAlign w:val="bottom"/>
            <w:shd w:val="clear" w:color="auto" w:fill="FDFDFC"/>
          </w:tcPr>
          <w:p>
            <w:pPr>
              <w:jc w:val="right"/>
              <w:ind w:right="232"/>
              <w:spacing w:after="0"/>
              <w:rPr>
                <w:sz w:val="20"/>
                <w:szCs w:val="20"/>
                <w:color w:val="auto"/>
              </w:rPr>
            </w:pPr>
            <w:r>
              <w:rPr>
                <w:rFonts w:ascii="Times New Roman" w:cs="Times New Roman" w:eastAsia="Times New Roman" w:hAnsi="Times New Roman"/>
                <w:sz w:val="15"/>
                <w:szCs w:val="15"/>
                <w:b w:val="1"/>
                <w:bCs w:val="1"/>
                <w:color w:val="231F20"/>
              </w:rPr>
              <w:t>Total Portfolio</w:t>
            </w:r>
          </w:p>
        </w:tc>
        <w:tc>
          <w:tcPr>
            <w:tcW w:w="180" w:type="dxa"/>
            <w:vAlign w:val="bottom"/>
            <w:shd w:val="clear" w:color="auto" w:fill="FDFDFC"/>
          </w:tcPr>
          <w:p>
            <w:pPr>
              <w:spacing w:after="0"/>
              <w:rPr>
                <w:sz w:val="16"/>
                <w:szCs w:val="16"/>
                <w:color w:val="auto"/>
              </w:rPr>
            </w:pPr>
          </w:p>
        </w:tc>
      </w:tr>
      <w:tr>
        <w:trPr>
          <w:trHeight w:val="220"/>
        </w:trPr>
        <w:tc>
          <w:tcPr>
            <w:tcW w:w="20" w:type="dxa"/>
            <w:vAlign w:val="bottom"/>
            <w:tcBorders>
              <w:top w:val="single" w:sz="8" w:color="231F20"/>
            </w:tcBorders>
          </w:tcPr>
          <w:p>
            <w:pPr>
              <w:spacing w:after="0"/>
              <w:rPr>
                <w:sz w:val="19"/>
                <w:szCs w:val="19"/>
                <w:color w:val="auto"/>
              </w:rPr>
            </w:pPr>
          </w:p>
        </w:tc>
        <w:tc>
          <w:tcPr>
            <w:tcW w:w="1680" w:type="dxa"/>
            <w:vAlign w:val="bottom"/>
            <w:tcBorders>
              <w:top w:val="single" w:sz="8" w:color="231F20"/>
            </w:tcBorders>
            <w:shd w:val="clear" w:color="auto" w:fill="D0EBF2"/>
          </w:tcPr>
          <w:p>
            <w:pPr>
              <w:jc w:val="center"/>
              <w:spacing w:after="0"/>
              <w:rPr>
                <w:sz w:val="20"/>
                <w:szCs w:val="20"/>
                <w:color w:val="auto"/>
              </w:rPr>
            </w:pPr>
            <w:r>
              <w:rPr>
                <w:rFonts w:ascii="Times New Roman" w:cs="Times New Roman" w:eastAsia="Times New Roman" w:hAnsi="Times New Roman"/>
                <w:sz w:val="19"/>
                <w:szCs w:val="19"/>
                <w:color w:val="231F20"/>
                <w:w w:val="83"/>
              </w:rPr>
              <w:t>1</w:t>
            </w:r>
          </w:p>
        </w:tc>
        <w:tc>
          <w:tcPr>
            <w:tcW w:w="180" w:type="dxa"/>
            <w:vAlign w:val="bottom"/>
            <w:tcBorders>
              <w:top w:val="single" w:sz="8" w:color="D0EBF2"/>
            </w:tcBorders>
            <w:shd w:val="clear" w:color="auto" w:fill="D0EBF2"/>
          </w:tcPr>
          <w:p>
            <w:pPr>
              <w:spacing w:after="0"/>
              <w:rPr>
                <w:sz w:val="19"/>
                <w:szCs w:val="19"/>
                <w:color w:val="auto"/>
              </w:rPr>
            </w:pPr>
          </w:p>
        </w:tc>
        <w:tc>
          <w:tcPr>
            <w:tcW w:w="480" w:type="dxa"/>
            <w:vAlign w:val="bottom"/>
            <w:tcBorders>
              <w:top w:val="single" w:sz="8" w:color="231F20"/>
            </w:tcBorders>
            <w:shd w:val="clear" w:color="auto" w:fill="D0EBF2"/>
          </w:tcPr>
          <w:p>
            <w:pPr>
              <w:jc w:val="right"/>
              <w:ind w:right="320"/>
              <w:spacing w:after="0"/>
              <w:rPr>
                <w:sz w:val="20"/>
                <w:szCs w:val="20"/>
                <w:color w:val="auto"/>
              </w:rPr>
            </w:pPr>
            <w:r>
              <w:rPr>
                <w:rFonts w:ascii="Times New Roman" w:cs="Times New Roman" w:eastAsia="Times New Roman" w:hAnsi="Times New Roman"/>
                <w:sz w:val="17"/>
                <w:szCs w:val="17"/>
                <w:color w:val="231F20"/>
                <w:w w:val="70"/>
              </w:rPr>
              <w:t>$</w:t>
            </w:r>
          </w:p>
        </w:tc>
        <w:tc>
          <w:tcPr>
            <w:tcW w:w="1120" w:type="dxa"/>
            <w:vAlign w:val="bottom"/>
            <w:tcBorders>
              <w:top w:val="single" w:sz="8" w:color="231F20"/>
            </w:tcBorders>
            <w:shd w:val="clear" w:color="auto" w:fill="D0EBF2"/>
          </w:tcPr>
          <w:p>
            <w:pPr>
              <w:jc w:val="right"/>
              <w:spacing w:after="0"/>
              <w:rPr>
                <w:sz w:val="20"/>
                <w:szCs w:val="20"/>
                <w:color w:val="auto"/>
              </w:rPr>
            </w:pPr>
            <w:r>
              <w:rPr>
                <w:rFonts w:ascii="Times New Roman" w:cs="Times New Roman" w:eastAsia="Times New Roman" w:hAnsi="Times New Roman"/>
                <w:sz w:val="19"/>
                <w:szCs w:val="19"/>
                <w:color w:val="231F20"/>
              </w:rPr>
              <w:t>3,345.8</w:t>
            </w:r>
          </w:p>
        </w:tc>
        <w:tc>
          <w:tcPr>
            <w:tcW w:w="220" w:type="dxa"/>
            <w:vAlign w:val="bottom"/>
            <w:tcBorders>
              <w:top w:val="single" w:sz="8" w:color="D0EBF2"/>
            </w:tcBorders>
            <w:shd w:val="clear" w:color="auto" w:fill="D0EBF2"/>
          </w:tcPr>
          <w:p>
            <w:pPr>
              <w:spacing w:after="0"/>
              <w:rPr>
                <w:sz w:val="19"/>
                <w:szCs w:val="19"/>
                <w:color w:val="auto"/>
              </w:rPr>
            </w:pPr>
          </w:p>
        </w:tc>
        <w:tc>
          <w:tcPr>
            <w:tcW w:w="1580" w:type="dxa"/>
            <w:vAlign w:val="bottom"/>
            <w:tcBorders>
              <w:top w:val="single" w:sz="8" w:color="231F20"/>
            </w:tcBorders>
            <w:shd w:val="clear" w:color="auto" w:fill="D0EBF2"/>
          </w:tcPr>
          <w:p>
            <w:pPr>
              <w:jc w:val="right"/>
              <w:spacing w:after="0"/>
              <w:rPr>
                <w:sz w:val="20"/>
                <w:szCs w:val="20"/>
                <w:color w:val="auto"/>
              </w:rPr>
            </w:pPr>
            <w:r>
              <w:rPr>
                <w:rFonts w:ascii="Times New Roman" w:cs="Times New Roman" w:eastAsia="Times New Roman" w:hAnsi="Times New Roman"/>
                <w:sz w:val="19"/>
                <w:szCs w:val="19"/>
                <w:color w:val="231F20"/>
              </w:rPr>
              <w:t>95.1</w:t>
            </w:r>
          </w:p>
        </w:tc>
        <w:tc>
          <w:tcPr>
            <w:tcW w:w="340" w:type="dxa"/>
            <w:vAlign w:val="bottom"/>
            <w:tcBorders>
              <w:top w:val="single" w:sz="8" w:color="D0EBF2"/>
            </w:tcBorders>
            <w:shd w:val="clear" w:color="auto" w:fill="D0EBF2"/>
          </w:tcPr>
          <w:p>
            <w:pPr>
              <w:jc w:val="right"/>
              <w:ind w:right="106"/>
              <w:spacing w:after="0"/>
              <w:rPr>
                <w:sz w:val="20"/>
                <w:szCs w:val="20"/>
                <w:color w:val="auto"/>
              </w:rPr>
            </w:pPr>
            <w:r>
              <w:rPr>
                <w:rFonts w:ascii="Times New Roman" w:cs="Times New Roman" w:eastAsia="Times New Roman" w:hAnsi="Times New Roman"/>
                <w:sz w:val="19"/>
                <w:szCs w:val="19"/>
                <w:color w:val="231F20"/>
                <w:w w:val="75"/>
              </w:rPr>
              <w:t>%</w:t>
            </w:r>
          </w:p>
        </w:tc>
        <w:tc>
          <w:tcPr>
            <w:tcW w:w="20" w:type="dxa"/>
            <w:vAlign w:val="bottom"/>
            <w:tcBorders>
              <w:top w:val="single" w:sz="8" w:color="D0EBF2"/>
            </w:tcBorders>
            <w:shd w:val="clear" w:color="auto" w:fill="D0EBF2"/>
          </w:tcPr>
          <w:p>
            <w:pPr>
              <w:spacing w:after="0"/>
              <w:rPr>
                <w:sz w:val="19"/>
                <w:szCs w:val="19"/>
                <w:color w:val="auto"/>
              </w:rPr>
            </w:pPr>
          </w:p>
        </w:tc>
        <w:tc>
          <w:tcPr>
            <w:tcW w:w="180" w:type="dxa"/>
            <w:vAlign w:val="bottom"/>
            <w:tcBorders>
              <w:top w:val="single" w:sz="8" w:color="231F20"/>
            </w:tcBorders>
            <w:shd w:val="clear" w:color="auto" w:fill="D0EBF2"/>
          </w:tcPr>
          <w:p>
            <w:pPr>
              <w:jc w:val="right"/>
              <w:ind w:right="16"/>
              <w:spacing w:after="0"/>
              <w:rPr>
                <w:sz w:val="20"/>
                <w:szCs w:val="20"/>
                <w:color w:val="auto"/>
              </w:rPr>
            </w:pPr>
            <w:r>
              <w:rPr>
                <w:rFonts w:ascii="Times New Roman" w:cs="Times New Roman" w:eastAsia="Times New Roman" w:hAnsi="Times New Roman"/>
                <w:sz w:val="17"/>
                <w:szCs w:val="17"/>
                <w:color w:val="231F20"/>
                <w:w w:val="70"/>
              </w:rPr>
              <w:t>$</w:t>
            </w:r>
          </w:p>
        </w:tc>
        <w:tc>
          <w:tcPr>
            <w:tcW w:w="1400" w:type="dxa"/>
            <w:vAlign w:val="bottom"/>
            <w:tcBorders>
              <w:top w:val="single" w:sz="8" w:color="231F20"/>
            </w:tcBorders>
            <w:shd w:val="clear" w:color="auto" w:fill="D0EBF2"/>
          </w:tcPr>
          <w:p>
            <w:pPr>
              <w:jc w:val="right"/>
              <w:spacing w:after="0"/>
              <w:rPr>
                <w:sz w:val="20"/>
                <w:szCs w:val="20"/>
                <w:color w:val="auto"/>
              </w:rPr>
            </w:pPr>
            <w:r>
              <w:rPr>
                <w:rFonts w:ascii="Times New Roman" w:cs="Times New Roman" w:eastAsia="Times New Roman" w:hAnsi="Times New Roman"/>
                <w:sz w:val="19"/>
                <w:szCs w:val="19"/>
                <w:color w:val="231F20"/>
              </w:rPr>
              <w:t>2,939.1</w:t>
            </w:r>
          </w:p>
        </w:tc>
        <w:tc>
          <w:tcPr>
            <w:tcW w:w="240" w:type="dxa"/>
            <w:vAlign w:val="bottom"/>
            <w:tcBorders>
              <w:top w:val="single" w:sz="8" w:color="D0EBF2"/>
            </w:tcBorders>
            <w:shd w:val="clear" w:color="auto" w:fill="D0EBF2"/>
          </w:tcPr>
          <w:p>
            <w:pPr>
              <w:spacing w:after="0"/>
              <w:rPr>
                <w:sz w:val="19"/>
                <w:szCs w:val="19"/>
                <w:color w:val="auto"/>
              </w:rPr>
            </w:pPr>
          </w:p>
        </w:tc>
        <w:tc>
          <w:tcPr>
            <w:tcW w:w="1560" w:type="dxa"/>
            <w:vAlign w:val="bottom"/>
            <w:tcBorders>
              <w:top w:val="single" w:sz="8" w:color="231F20"/>
            </w:tcBorders>
            <w:shd w:val="clear" w:color="auto" w:fill="D0EBF2"/>
          </w:tcPr>
          <w:p>
            <w:pPr>
              <w:jc w:val="right"/>
              <w:spacing w:after="0"/>
              <w:rPr>
                <w:sz w:val="20"/>
                <w:szCs w:val="20"/>
                <w:color w:val="auto"/>
              </w:rPr>
            </w:pPr>
            <w:r>
              <w:rPr>
                <w:rFonts w:ascii="Times New Roman" w:cs="Times New Roman" w:eastAsia="Times New Roman" w:hAnsi="Times New Roman"/>
                <w:sz w:val="19"/>
                <w:szCs w:val="19"/>
                <w:color w:val="231F20"/>
              </w:rPr>
              <w:t>89.5</w:t>
            </w:r>
          </w:p>
        </w:tc>
        <w:tc>
          <w:tcPr>
            <w:tcW w:w="180" w:type="dxa"/>
            <w:vAlign w:val="bottom"/>
            <w:tcBorders>
              <w:top w:val="single" w:sz="8" w:color="D0EBF2"/>
            </w:tcBorders>
            <w:shd w:val="clear" w:color="auto" w:fill="D0EBF2"/>
          </w:tcPr>
          <w:p>
            <w:pPr>
              <w:jc w:val="right"/>
              <w:spacing w:after="0"/>
              <w:rPr>
                <w:sz w:val="20"/>
                <w:szCs w:val="20"/>
                <w:color w:val="auto"/>
              </w:rPr>
            </w:pPr>
            <w:r>
              <w:rPr>
                <w:rFonts w:ascii="Times New Roman" w:cs="Times New Roman" w:eastAsia="Times New Roman" w:hAnsi="Times New Roman"/>
                <w:sz w:val="19"/>
                <w:szCs w:val="19"/>
                <w:color w:val="231F20"/>
                <w:w w:val="88"/>
                <w:shd w:val="clear" w:color="auto" w:fill="D0EBF2"/>
              </w:rPr>
              <w:t>%</w:t>
            </w:r>
          </w:p>
        </w:tc>
      </w:tr>
      <w:tr>
        <w:trPr>
          <w:trHeight w:val="230"/>
        </w:trPr>
        <w:tc>
          <w:tcPr>
            <w:tcW w:w="20" w:type="dxa"/>
            <w:vAlign w:val="bottom"/>
          </w:tcPr>
          <w:p>
            <w:pPr>
              <w:spacing w:after="0"/>
              <w:rPr>
                <w:sz w:val="20"/>
                <w:szCs w:val="20"/>
                <w:color w:val="auto"/>
              </w:rPr>
            </w:pPr>
          </w:p>
        </w:tc>
        <w:tc>
          <w:tcPr>
            <w:tcW w:w="1680" w:type="dxa"/>
            <w:vAlign w:val="bottom"/>
            <w:shd w:val="clear" w:color="auto" w:fill="FDFDFC"/>
          </w:tcPr>
          <w:p>
            <w:pPr>
              <w:jc w:val="center"/>
              <w:spacing w:after="0"/>
              <w:rPr>
                <w:sz w:val="20"/>
                <w:szCs w:val="20"/>
                <w:color w:val="auto"/>
              </w:rPr>
            </w:pPr>
            <w:r>
              <w:rPr>
                <w:rFonts w:ascii="Times New Roman" w:cs="Times New Roman" w:eastAsia="Times New Roman" w:hAnsi="Times New Roman"/>
                <w:sz w:val="19"/>
                <w:szCs w:val="19"/>
                <w:color w:val="231F20"/>
                <w:w w:val="83"/>
              </w:rPr>
              <w:t>2</w:t>
            </w:r>
          </w:p>
        </w:tc>
        <w:tc>
          <w:tcPr>
            <w:tcW w:w="180" w:type="dxa"/>
            <w:vAlign w:val="bottom"/>
            <w:shd w:val="clear" w:color="auto" w:fill="FDFDFC"/>
          </w:tcPr>
          <w:p>
            <w:pPr>
              <w:spacing w:after="0"/>
              <w:rPr>
                <w:sz w:val="20"/>
                <w:szCs w:val="20"/>
                <w:color w:val="auto"/>
              </w:rPr>
            </w:pPr>
          </w:p>
        </w:tc>
        <w:tc>
          <w:tcPr>
            <w:tcW w:w="480" w:type="dxa"/>
            <w:vAlign w:val="bottom"/>
            <w:shd w:val="clear" w:color="auto" w:fill="FDFDFC"/>
          </w:tcPr>
          <w:p>
            <w:pPr>
              <w:spacing w:after="0"/>
              <w:rPr>
                <w:sz w:val="20"/>
                <w:szCs w:val="20"/>
                <w:color w:val="auto"/>
              </w:rPr>
            </w:pPr>
          </w:p>
        </w:tc>
        <w:tc>
          <w:tcPr>
            <w:tcW w:w="1120" w:type="dxa"/>
            <w:vAlign w:val="bottom"/>
            <w:shd w:val="clear" w:color="auto" w:fill="FDFDFC"/>
          </w:tcPr>
          <w:p>
            <w:pPr>
              <w:jc w:val="right"/>
              <w:spacing w:after="0"/>
              <w:rPr>
                <w:sz w:val="20"/>
                <w:szCs w:val="20"/>
                <w:color w:val="auto"/>
              </w:rPr>
            </w:pPr>
            <w:r>
              <w:rPr>
                <w:rFonts w:ascii="Times New Roman" w:cs="Times New Roman" w:eastAsia="Times New Roman" w:hAnsi="Times New Roman"/>
                <w:sz w:val="19"/>
                <w:szCs w:val="19"/>
                <w:color w:val="231F20"/>
              </w:rPr>
              <w:t>88.9</w:t>
            </w:r>
          </w:p>
        </w:tc>
        <w:tc>
          <w:tcPr>
            <w:tcW w:w="220" w:type="dxa"/>
            <w:vAlign w:val="bottom"/>
            <w:shd w:val="clear" w:color="auto" w:fill="FDFDFC"/>
          </w:tcPr>
          <w:p>
            <w:pPr>
              <w:spacing w:after="0"/>
              <w:rPr>
                <w:sz w:val="20"/>
                <w:szCs w:val="20"/>
                <w:color w:val="auto"/>
              </w:rPr>
            </w:pPr>
          </w:p>
        </w:tc>
        <w:tc>
          <w:tcPr>
            <w:tcW w:w="1580" w:type="dxa"/>
            <w:vAlign w:val="bottom"/>
            <w:shd w:val="clear" w:color="auto" w:fill="FDFDFC"/>
          </w:tcPr>
          <w:p>
            <w:pPr>
              <w:jc w:val="right"/>
              <w:spacing w:after="0"/>
              <w:rPr>
                <w:sz w:val="20"/>
                <w:szCs w:val="20"/>
                <w:color w:val="auto"/>
              </w:rPr>
            </w:pPr>
            <w:r>
              <w:rPr>
                <w:rFonts w:ascii="Times New Roman" w:cs="Times New Roman" w:eastAsia="Times New Roman" w:hAnsi="Times New Roman"/>
                <w:sz w:val="19"/>
                <w:szCs w:val="19"/>
                <w:color w:val="231F20"/>
              </w:rPr>
              <w:t>2.5</w:t>
            </w:r>
          </w:p>
        </w:tc>
        <w:tc>
          <w:tcPr>
            <w:tcW w:w="340" w:type="dxa"/>
            <w:vAlign w:val="bottom"/>
            <w:shd w:val="clear" w:color="auto" w:fill="FDFDFC"/>
          </w:tcPr>
          <w:p>
            <w:pPr>
              <w:spacing w:after="0"/>
              <w:rPr>
                <w:sz w:val="20"/>
                <w:szCs w:val="20"/>
                <w:color w:val="auto"/>
              </w:rPr>
            </w:pPr>
          </w:p>
        </w:tc>
        <w:tc>
          <w:tcPr>
            <w:tcW w:w="20" w:type="dxa"/>
            <w:vAlign w:val="bottom"/>
            <w:shd w:val="clear" w:color="auto" w:fill="FDFDFC"/>
          </w:tcPr>
          <w:p>
            <w:pPr>
              <w:spacing w:after="0"/>
              <w:rPr>
                <w:sz w:val="20"/>
                <w:szCs w:val="20"/>
                <w:color w:val="auto"/>
              </w:rPr>
            </w:pPr>
          </w:p>
        </w:tc>
        <w:tc>
          <w:tcPr>
            <w:tcW w:w="180" w:type="dxa"/>
            <w:vAlign w:val="bottom"/>
            <w:shd w:val="clear" w:color="auto" w:fill="FDFDFC"/>
          </w:tcPr>
          <w:p>
            <w:pPr>
              <w:spacing w:after="0"/>
              <w:rPr>
                <w:sz w:val="20"/>
                <w:szCs w:val="20"/>
                <w:color w:val="auto"/>
              </w:rPr>
            </w:pPr>
          </w:p>
        </w:tc>
        <w:tc>
          <w:tcPr>
            <w:tcW w:w="1400" w:type="dxa"/>
            <w:vAlign w:val="bottom"/>
            <w:shd w:val="clear" w:color="auto" w:fill="FDFDFC"/>
          </w:tcPr>
          <w:p>
            <w:pPr>
              <w:jc w:val="right"/>
              <w:spacing w:after="0"/>
              <w:rPr>
                <w:sz w:val="20"/>
                <w:szCs w:val="20"/>
                <w:color w:val="auto"/>
              </w:rPr>
            </w:pPr>
            <w:r>
              <w:rPr>
                <w:rFonts w:ascii="Times New Roman" w:cs="Times New Roman" w:eastAsia="Times New Roman" w:hAnsi="Times New Roman"/>
                <w:sz w:val="19"/>
                <w:szCs w:val="19"/>
                <w:color w:val="231F20"/>
              </w:rPr>
              <w:t>196.6</w:t>
            </w:r>
          </w:p>
        </w:tc>
        <w:tc>
          <w:tcPr>
            <w:tcW w:w="240" w:type="dxa"/>
            <w:vAlign w:val="bottom"/>
            <w:shd w:val="clear" w:color="auto" w:fill="FDFDFC"/>
          </w:tcPr>
          <w:p>
            <w:pPr>
              <w:spacing w:after="0"/>
              <w:rPr>
                <w:sz w:val="20"/>
                <w:szCs w:val="20"/>
                <w:color w:val="auto"/>
              </w:rPr>
            </w:pPr>
          </w:p>
        </w:tc>
        <w:tc>
          <w:tcPr>
            <w:tcW w:w="1560" w:type="dxa"/>
            <w:vAlign w:val="bottom"/>
            <w:shd w:val="clear" w:color="auto" w:fill="FDFDFC"/>
          </w:tcPr>
          <w:p>
            <w:pPr>
              <w:jc w:val="right"/>
              <w:spacing w:after="0"/>
              <w:rPr>
                <w:sz w:val="20"/>
                <w:szCs w:val="20"/>
                <w:color w:val="auto"/>
              </w:rPr>
            </w:pPr>
            <w:r>
              <w:rPr>
                <w:rFonts w:ascii="Times New Roman" w:cs="Times New Roman" w:eastAsia="Times New Roman" w:hAnsi="Times New Roman"/>
                <w:sz w:val="19"/>
                <w:szCs w:val="19"/>
                <w:color w:val="231F20"/>
              </w:rPr>
              <w:t>6.0</w:t>
            </w:r>
          </w:p>
        </w:tc>
        <w:tc>
          <w:tcPr>
            <w:tcW w:w="180" w:type="dxa"/>
            <w:vAlign w:val="bottom"/>
            <w:shd w:val="clear" w:color="auto" w:fill="FDFDFC"/>
          </w:tcPr>
          <w:p>
            <w:pPr>
              <w:spacing w:after="0"/>
              <w:rPr>
                <w:sz w:val="20"/>
                <w:szCs w:val="20"/>
                <w:color w:val="auto"/>
              </w:rPr>
            </w:pPr>
          </w:p>
        </w:tc>
      </w:tr>
      <w:tr>
        <w:trPr>
          <w:trHeight w:val="230"/>
        </w:trPr>
        <w:tc>
          <w:tcPr>
            <w:tcW w:w="20" w:type="dxa"/>
            <w:vAlign w:val="bottom"/>
          </w:tcPr>
          <w:p>
            <w:pPr>
              <w:spacing w:after="0"/>
              <w:rPr>
                <w:sz w:val="20"/>
                <w:szCs w:val="20"/>
                <w:color w:val="auto"/>
              </w:rPr>
            </w:pPr>
          </w:p>
        </w:tc>
        <w:tc>
          <w:tcPr>
            <w:tcW w:w="1680" w:type="dxa"/>
            <w:vAlign w:val="bottom"/>
            <w:shd w:val="clear" w:color="auto" w:fill="D0EBF2"/>
          </w:tcPr>
          <w:p>
            <w:pPr>
              <w:jc w:val="center"/>
              <w:spacing w:after="0"/>
              <w:rPr>
                <w:sz w:val="20"/>
                <w:szCs w:val="20"/>
                <w:color w:val="auto"/>
              </w:rPr>
            </w:pPr>
            <w:r>
              <w:rPr>
                <w:rFonts w:ascii="Times New Roman" w:cs="Times New Roman" w:eastAsia="Times New Roman" w:hAnsi="Times New Roman"/>
                <w:sz w:val="19"/>
                <w:szCs w:val="19"/>
                <w:color w:val="231F20"/>
                <w:w w:val="83"/>
              </w:rPr>
              <w:t>3</w:t>
            </w:r>
          </w:p>
        </w:tc>
        <w:tc>
          <w:tcPr>
            <w:tcW w:w="180" w:type="dxa"/>
            <w:vAlign w:val="bottom"/>
            <w:shd w:val="clear" w:color="auto" w:fill="D0EBF2"/>
          </w:tcPr>
          <w:p>
            <w:pPr>
              <w:spacing w:after="0"/>
              <w:rPr>
                <w:sz w:val="20"/>
                <w:szCs w:val="20"/>
                <w:color w:val="auto"/>
              </w:rPr>
            </w:pPr>
          </w:p>
        </w:tc>
        <w:tc>
          <w:tcPr>
            <w:tcW w:w="480" w:type="dxa"/>
            <w:vAlign w:val="bottom"/>
            <w:shd w:val="clear" w:color="auto" w:fill="D0EBF2"/>
          </w:tcPr>
          <w:p>
            <w:pPr>
              <w:spacing w:after="0"/>
              <w:rPr>
                <w:sz w:val="20"/>
                <w:szCs w:val="20"/>
                <w:color w:val="auto"/>
              </w:rPr>
            </w:pPr>
          </w:p>
        </w:tc>
        <w:tc>
          <w:tcPr>
            <w:tcW w:w="1120" w:type="dxa"/>
            <w:vAlign w:val="bottom"/>
            <w:shd w:val="clear" w:color="auto" w:fill="D0EBF2"/>
          </w:tcPr>
          <w:p>
            <w:pPr>
              <w:jc w:val="right"/>
              <w:spacing w:after="0"/>
              <w:rPr>
                <w:sz w:val="20"/>
                <w:szCs w:val="20"/>
                <w:color w:val="auto"/>
              </w:rPr>
            </w:pPr>
            <w:r>
              <w:rPr>
                <w:rFonts w:ascii="Times New Roman" w:cs="Times New Roman" w:eastAsia="Times New Roman" w:hAnsi="Times New Roman"/>
                <w:sz w:val="19"/>
                <w:szCs w:val="19"/>
                <w:color w:val="231F20"/>
              </w:rPr>
              <w:t>34.7</w:t>
            </w:r>
          </w:p>
        </w:tc>
        <w:tc>
          <w:tcPr>
            <w:tcW w:w="1800" w:type="dxa"/>
            <w:vAlign w:val="bottom"/>
            <w:gridSpan w:val="2"/>
            <w:shd w:val="clear" w:color="auto" w:fill="D0EBF2"/>
          </w:tcPr>
          <w:p>
            <w:pPr>
              <w:jc w:val="right"/>
              <w:spacing w:after="0"/>
              <w:rPr>
                <w:sz w:val="20"/>
                <w:szCs w:val="20"/>
                <w:color w:val="auto"/>
              </w:rPr>
            </w:pPr>
            <w:r>
              <w:rPr>
                <w:rFonts w:ascii="Times New Roman" w:cs="Times New Roman" w:eastAsia="Times New Roman" w:hAnsi="Times New Roman"/>
                <w:sz w:val="19"/>
                <w:szCs w:val="19"/>
                <w:color w:val="231F20"/>
              </w:rPr>
              <w:t>1.0</w:t>
            </w:r>
          </w:p>
        </w:tc>
        <w:tc>
          <w:tcPr>
            <w:tcW w:w="340" w:type="dxa"/>
            <w:vAlign w:val="bottom"/>
            <w:shd w:val="clear" w:color="auto" w:fill="D0EBF2"/>
          </w:tcPr>
          <w:p>
            <w:pPr>
              <w:spacing w:after="0"/>
              <w:rPr>
                <w:sz w:val="20"/>
                <w:szCs w:val="20"/>
                <w:color w:val="auto"/>
              </w:rPr>
            </w:pPr>
          </w:p>
        </w:tc>
        <w:tc>
          <w:tcPr>
            <w:tcW w:w="20" w:type="dxa"/>
            <w:vAlign w:val="bottom"/>
            <w:shd w:val="clear" w:color="auto" w:fill="D0EBF2"/>
          </w:tcPr>
          <w:p>
            <w:pPr>
              <w:spacing w:after="0"/>
              <w:rPr>
                <w:sz w:val="20"/>
                <w:szCs w:val="20"/>
                <w:color w:val="auto"/>
              </w:rPr>
            </w:pPr>
          </w:p>
        </w:tc>
        <w:tc>
          <w:tcPr>
            <w:tcW w:w="180" w:type="dxa"/>
            <w:vAlign w:val="bottom"/>
            <w:shd w:val="clear" w:color="auto" w:fill="D0EBF2"/>
          </w:tcPr>
          <w:p>
            <w:pPr>
              <w:spacing w:after="0"/>
              <w:rPr>
                <w:sz w:val="20"/>
                <w:szCs w:val="20"/>
                <w:color w:val="auto"/>
              </w:rPr>
            </w:pPr>
          </w:p>
        </w:tc>
        <w:tc>
          <w:tcPr>
            <w:tcW w:w="1400" w:type="dxa"/>
            <w:vAlign w:val="bottom"/>
            <w:shd w:val="clear" w:color="auto" w:fill="D0EBF2"/>
          </w:tcPr>
          <w:p>
            <w:pPr>
              <w:jc w:val="right"/>
              <w:spacing w:after="0"/>
              <w:rPr>
                <w:sz w:val="20"/>
                <w:szCs w:val="20"/>
                <w:color w:val="auto"/>
              </w:rPr>
            </w:pPr>
            <w:r>
              <w:rPr>
                <w:rFonts w:ascii="Times New Roman" w:cs="Times New Roman" w:eastAsia="Times New Roman" w:hAnsi="Times New Roman"/>
                <w:sz w:val="19"/>
                <w:szCs w:val="19"/>
                <w:color w:val="231F20"/>
              </w:rPr>
              <w:t>126.7</w:t>
            </w:r>
          </w:p>
        </w:tc>
        <w:tc>
          <w:tcPr>
            <w:tcW w:w="1800" w:type="dxa"/>
            <w:vAlign w:val="bottom"/>
            <w:gridSpan w:val="2"/>
            <w:shd w:val="clear" w:color="auto" w:fill="D0EBF2"/>
          </w:tcPr>
          <w:p>
            <w:pPr>
              <w:jc w:val="right"/>
              <w:spacing w:after="0"/>
              <w:rPr>
                <w:sz w:val="20"/>
                <w:szCs w:val="20"/>
                <w:color w:val="auto"/>
              </w:rPr>
            </w:pPr>
            <w:r>
              <w:rPr>
                <w:rFonts w:ascii="Times New Roman" w:cs="Times New Roman" w:eastAsia="Times New Roman" w:hAnsi="Times New Roman"/>
                <w:sz w:val="19"/>
                <w:szCs w:val="19"/>
                <w:color w:val="231F20"/>
              </w:rPr>
              <w:t>3.9</w:t>
            </w:r>
          </w:p>
        </w:tc>
        <w:tc>
          <w:tcPr>
            <w:tcW w:w="180" w:type="dxa"/>
            <w:vAlign w:val="bottom"/>
            <w:shd w:val="clear" w:color="auto" w:fill="D0EBF2"/>
          </w:tcPr>
          <w:p>
            <w:pPr>
              <w:spacing w:after="0"/>
              <w:rPr>
                <w:sz w:val="20"/>
                <w:szCs w:val="20"/>
                <w:color w:val="auto"/>
              </w:rPr>
            </w:pPr>
          </w:p>
        </w:tc>
      </w:tr>
      <w:tr>
        <w:trPr>
          <w:trHeight w:val="230"/>
        </w:trPr>
        <w:tc>
          <w:tcPr>
            <w:tcW w:w="20" w:type="dxa"/>
            <w:vAlign w:val="bottom"/>
          </w:tcPr>
          <w:p>
            <w:pPr>
              <w:spacing w:after="0"/>
              <w:rPr>
                <w:sz w:val="20"/>
                <w:szCs w:val="20"/>
                <w:color w:val="auto"/>
              </w:rPr>
            </w:pPr>
          </w:p>
        </w:tc>
        <w:tc>
          <w:tcPr>
            <w:tcW w:w="1680" w:type="dxa"/>
            <w:vAlign w:val="bottom"/>
            <w:shd w:val="clear" w:color="auto" w:fill="FDFDFC"/>
          </w:tcPr>
          <w:p>
            <w:pPr>
              <w:jc w:val="center"/>
              <w:spacing w:after="0"/>
              <w:rPr>
                <w:sz w:val="20"/>
                <w:szCs w:val="20"/>
                <w:color w:val="auto"/>
              </w:rPr>
            </w:pPr>
            <w:r>
              <w:rPr>
                <w:rFonts w:ascii="Times New Roman" w:cs="Times New Roman" w:eastAsia="Times New Roman" w:hAnsi="Times New Roman"/>
                <w:sz w:val="19"/>
                <w:szCs w:val="19"/>
                <w:color w:val="231F20"/>
                <w:w w:val="83"/>
              </w:rPr>
              <w:t>4</w:t>
            </w:r>
          </w:p>
        </w:tc>
        <w:tc>
          <w:tcPr>
            <w:tcW w:w="180" w:type="dxa"/>
            <w:vAlign w:val="bottom"/>
            <w:shd w:val="clear" w:color="auto" w:fill="FDFDFC"/>
          </w:tcPr>
          <w:p>
            <w:pPr>
              <w:spacing w:after="0"/>
              <w:rPr>
                <w:sz w:val="20"/>
                <w:szCs w:val="20"/>
                <w:color w:val="auto"/>
              </w:rPr>
            </w:pPr>
          </w:p>
        </w:tc>
        <w:tc>
          <w:tcPr>
            <w:tcW w:w="480" w:type="dxa"/>
            <w:vAlign w:val="bottom"/>
            <w:shd w:val="clear" w:color="auto" w:fill="FDFDFC"/>
          </w:tcPr>
          <w:p>
            <w:pPr>
              <w:spacing w:after="0"/>
              <w:rPr>
                <w:sz w:val="20"/>
                <w:szCs w:val="20"/>
                <w:color w:val="auto"/>
              </w:rPr>
            </w:pPr>
          </w:p>
        </w:tc>
        <w:tc>
          <w:tcPr>
            <w:tcW w:w="1120" w:type="dxa"/>
            <w:vAlign w:val="bottom"/>
            <w:shd w:val="clear" w:color="auto" w:fill="FDFDFC"/>
          </w:tcPr>
          <w:p>
            <w:pPr>
              <w:jc w:val="right"/>
              <w:spacing w:after="0"/>
              <w:rPr>
                <w:sz w:val="20"/>
                <w:szCs w:val="20"/>
                <w:color w:val="auto"/>
              </w:rPr>
            </w:pPr>
            <w:r>
              <w:rPr>
                <w:rFonts w:ascii="Times New Roman" w:cs="Times New Roman" w:eastAsia="Times New Roman" w:hAnsi="Times New Roman"/>
                <w:sz w:val="19"/>
                <w:szCs w:val="19"/>
                <w:color w:val="231F20"/>
              </w:rPr>
              <w:t>—</w:t>
            </w:r>
          </w:p>
        </w:tc>
        <w:tc>
          <w:tcPr>
            <w:tcW w:w="220" w:type="dxa"/>
            <w:vAlign w:val="bottom"/>
            <w:shd w:val="clear" w:color="auto" w:fill="FDFDFC"/>
          </w:tcPr>
          <w:p>
            <w:pPr>
              <w:spacing w:after="0"/>
              <w:rPr>
                <w:sz w:val="20"/>
                <w:szCs w:val="20"/>
                <w:color w:val="auto"/>
              </w:rPr>
            </w:pPr>
          </w:p>
        </w:tc>
        <w:tc>
          <w:tcPr>
            <w:tcW w:w="1580" w:type="dxa"/>
            <w:vAlign w:val="bottom"/>
            <w:shd w:val="clear" w:color="auto" w:fill="FDFDFC"/>
          </w:tcPr>
          <w:p>
            <w:pPr>
              <w:jc w:val="right"/>
              <w:spacing w:after="0"/>
              <w:rPr>
                <w:sz w:val="20"/>
                <w:szCs w:val="20"/>
                <w:color w:val="auto"/>
              </w:rPr>
            </w:pPr>
            <w:r>
              <w:rPr>
                <w:rFonts w:ascii="Times New Roman" w:cs="Times New Roman" w:eastAsia="Times New Roman" w:hAnsi="Times New Roman"/>
                <w:sz w:val="19"/>
                <w:szCs w:val="19"/>
                <w:color w:val="231F20"/>
              </w:rPr>
              <w:t>—</w:t>
            </w:r>
          </w:p>
        </w:tc>
        <w:tc>
          <w:tcPr>
            <w:tcW w:w="340" w:type="dxa"/>
            <w:vAlign w:val="bottom"/>
            <w:shd w:val="clear" w:color="auto" w:fill="FDFDFC"/>
          </w:tcPr>
          <w:p>
            <w:pPr>
              <w:spacing w:after="0"/>
              <w:rPr>
                <w:sz w:val="20"/>
                <w:szCs w:val="20"/>
                <w:color w:val="auto"/>
              </w:rPr>
            </w:pPr>
          </w:p>
        </w:tc>
        <w:tc>
          <w:tcPr>
            <w:tcW w:w="20" w:type="dxa"/>
            <w:vAlign w:val="bottom"/>
            <w:shd w:val="clear" w:color="auto" w:fill="FDFDFC"/>
          </w:tcPr>
          <w:p>
            <w:pPr>
              <w:spacing w:after="0"/>
              <w:rPr>
                <w:sz w:val="20"/>
                <w:szCs w:val="20"/>
                <w:color w:val="auto"/>
              </w:rPr>
            </w:pPr>
          </w:p>
        </w:tc>
        <w:tc>
          <w:tcPr>
            <w:tcW w:w="180" w:type="dxa"/>
            <w:vAlign w:val="bottom"/>
            <w:shd w:val="clear" w:color="auto" w:fill="FDFDFC"/>
          </w:tcPr>
          <w:p>
            <w:pPr>
              <w:spacing w:after="0"/>
              <w:rPr>
                <w:sz w:val="20"/>
                <w:szCs w:val="20"/>
                <w:color w:val="auto"/>
              </w:rPr>
            </w:pPr>
          </w:p>
        </w:tc>
        <w:tc>
          <w:tcPr>
            <w:tcW w:w="1400" w:type="dxa"/>
            <w:vAlign w:val="bottom"/>
            <w:shd w:val="clear" w:color="auto" w:fill="FDFDFC"/>
          </w:tcPr>
          <w:p>
            <w:pPr>
              <w:jc w:val="right"/>
              <w:spacing w:after="0"/>
              <w:rPr>
                <w:sz w:val="20"/>
                <w:szCs w:val="20"/>
                <w:color w:val="auto"/>
              </w:rPr>
            </w:pPr>
            <w:r>
              <w:rPr>
                <w:rFonts w:ascii="Times New Roman" w:cs="Times New Roman" w:eastAsia="Times New Roman" w:hAnsi="Times New Roman"/>
                <w:sz w:val="19"/>
                <w:szCs w:val="19"/>
                <w:color w:val="231F20"/>
              </w:rPr>
              <w:t>—</w:t>
            </w:r>
          </w:p>
        </w:tc>
        <w:tc>
          <w:tcPr>
            <w:tcW w:w="240" w:type="dxa"/>
            <w:vAlign w:val="bottom"/>
            <w:shd w:val="clear" w:color="auto" w:fill="FDFDFC"/>
          </w:tcPr>
          <w:p>
            <w:pPr>
              <w:spacing w:after="0"/>
              <w:rPr>
                <w:sz w:val="20"/>
                <w:szCs w:val="20"/>
                <w:color w:val="auto"/>
              </w:rPr>
            </w:pPr>
          </w:p>
        </w:tc>
        <w:tc>
          <w:tcPr>
            <w:tcW w:w="1740" w:type="dxa"/>
            <w:vAlign w:val="bottom"/>
            <w:gridSpan w:val="2"/>
            <w:shd w:val="clear" w:color="auto" w:fill="FDFDFC"/>
          </w:tcPr>
          <w:p>
            <w:pPr>
              <w:jc w:val="right"/>
              <w:ind w:right="106"/>
              <w:spacing w:after="0"/>
              <w:rPr>
                <w:sz w:val="20"/>
                <w:szCs w:val="20"/>
                <w:color w:val="auto"/>
              </w:rPr>
            </w:pPr>
            <w:r>
              <w:rPr>
                <w:rFonts w:ascii="Times New Roman" w:cs="Times New Roman" w:eastAsia="Times New Roman" w:hAnsi="Times New Roman"/>
                <w:sz w:val="19"/>
                <w:szCs w:val="19"/>
                <w:color w:val="231F20"/>
              </w:rPr>
              <w:t>—</w:t>
            </w:r>
          </w:p>
        </w:tc>
      </w:tr>
      <w:tr>
        <w:trPr>
          <w:trHeight w:val="230"/>
        </w:trPr>
        <w:tc>
          <w:tcPr>
            <w:tcW w:w="20" w:type="dxa"/>
            <w:vAlign w:val="bottom"/>
          </w:tcPr>
          <w:p>
            <w:pPr>
              <w:spacing w:after="0"/>
              <w:rPr>
                <w:sz w:val="20"/>
                <w:szCs w:val="20"/>
                <w:color w:val="auto"/>
              </w:rPr>
            </w:pPr>
          </w:p>
        </w:tc>
        <w:tc>
          <w:tcPr>
            <w:tcW w:w="1680" w:type="dxa"/>
            <w:vAlign w:val="bottom"/>
            <w:shd w:val="clear" w:color="auto" w:fill="D0EBF2"/>
          </w:tcPr>
          <w:p>
            <w:pPr>
              <w:jc w:val="center"/>
              <w:spacing w:after="0"/>
              <w:rPr>
                <w:sz w:val="20"/>
                <w:szCs w:val="20"/>
                <w:color w:val="auto"/>
              </w:rPr>
            </w:pPr>
            <w:r>
              <w:rPr>
                <w:rFonts w:ascii="Times New Roman" w:cs="Times New Roman" w:eastAsia="Times New Roman" w:hAnsi="Times New Roman"/>
                <w:sz w:val="19"/>
                <w:szCs w:val="19"/>
                <w:color w:val="231F20"/>
                <w:w w:val="83"/>
              </w:rPr>
              <w:t>5</w:t>
            </w:r>
          </w:p>
        </w:tc>
        <w:tc>
          <w:tcPr>
            <w:tcW w:w="180" w:type="dxa"/>
            <w:vAlign w:val="bottom"/>
            <w:shd w:val="clear" w:color="auto" w:fill="D0EBF2"/>
          </w:tcPr>
          <w:p>
            <w:pPr>
              <w:spacing w:after="0"/>
              <w:rPr>
                <w:sz w:val="20"/>
                <w:szCs w:val="20"/>
                <w:color w:val="auto"/>
              </w:rPr>
            </w:pPr>
          </w:p>
        </w:tc>
        <w:tc>
          <w:tcPr>
            <w:tcW w:w="480" w:type="dxa"/>
            <w:vAlign w:val="bottom"/>
            <w:shd w:val="clear" w:color="auto" w:fill="D0EBF2"/>
          </w:tcPr>
          <w:p>
            <w:pPr>
              <w:spacing w:after="0"/>
              <w:rPr>
                <w:sz w:val="20"/>
                <w:szCs w:val="20"/>
                <w:color w:val="auto"/>
              </w:rPr>
            </w:pPr>
          </w:p>
        </w:tc>
        <w:tc>
          <w:tcPr>
            <w:tcW w:w="1120" w:type="dxa"/>
            <w:vAlign w:val="bottom"/>
            <w:shd w:val="clear" w:color="auto" w:fill="D0EBF2"/>
          </w:tcPr>
          <w:p>
            <w:pPr>
              <w:jc w:val="right"/>
              <w:spacing w:after="0"/>
              <w:rPr>
                <w:sz w:val="20"/>
                <w:szCs w:val="20"/>
                <w:color w:val="auto"/>
              </w:rPr>
            </w:pPr>
            <w:r>
              <w:rPr>
                <w:rFonts w:ascii="Times New Roman" w:cs="Times New Roman" w:eastAsia="Times New Roman" w:hAnsi="Times New Roman"/>
                <w:sz w:val="19"/>
                <w:szCs w:val="19"/>
                <w:color w:val="231F20"/>
              </w:rPr>
              <w:t>49.0</w:t>
            </w:r>
          </w:p>
        </w:tc>
        <w:tc>
          <w:tcPr>
            <w:tcW w:w="1800" w:type="dxa"/>
            <w:vAlign w:val="bottom"/>
            <w:gridSpan w:val="2"/>
            <w:shd w:val="clear" w:color="auto" w:fill="D0EBF2"/>
          </w:tcPr>
          <w:p>
            <w:pPr>
              <w:jc w:val="right"/>
              <w:spacing w:after="0"/>
              <w:rPr>
                <w:sz w:val="20"/>
                <w:szCs w:val="20"/>
                <w:color w:val="auto"/>
              </w:rPr>
            </w:pPr>
            <w:r>
              <w:rPr>
                <w:rFonts w:ascii="Times New Roman" w:cs="Times New Roman" w:eastAsia="Times New Roman" w:hAnsi="Times New Roman"/>
                <w:sz w:val="19"/>
                <w:szCs w:val="19"/>
                <w:color w:val="231F20"/>
              </w:rPr>
              <w:t>1.4</w:t>
            </w:r>
          </w:p>
        </w:tc>
        <w:tc>
          <w:tcPr>
            <w:tcW w:w="340" w:type="dxa"/>
            <w:vAlign w:val="bottom"/>
            <w:shd w:val="clear" w:color="auto" w:fill="D0EBF2"/>
          </w:tcPr>
          <w:p>
            <w:pPr>
              <w:spacing w:after="0"/>
              <w:rPr>
                <w:sz w:val="20"/>
                <w:szCs w:val="20"/>
                <w:color w:val="auto"/>
              </w:rPr>
            </w:pPr>
          </w:p>
        </w:tc>
        <w:tc>
          <w:tcPr>
            <w:tcW w:w="20" w:type="dxa"/>
            <w:vAlign w:val="bottom"/>
            <w:shd w:val="clear" w:color="auto" w:fill="D0EBF2"/>
          </w:tcPr>
          <w:p>
            <w:pPr>
              <w:spacing w:after="0"/>
              <w:rPr>
                <w:sz w:val="20"/>
                <w:szCs w:val="20"/>
                <w:color w:val="auto"/>
              </w:rPr>
            </w:pPr>
          </w:p>
        </w:tc>
        <w:tc>
          <w:tcPr>
            <w:tcW w:w="180" w:type="dxa"/>
            <w:vAlign w:val="bottom"/>
            <w:shd w:val="clear" w:color="auto" w:fill="D0EBF2"/>
          </w:tcPr>
          <w:p>
            <w:pPr>
              <w:spacing w:after="0"/>
              <w:rPr>
                <w:sz w:val="20"/>
                <w:szCs w:val="20"/>
                <w:color w:val="auto"/>
              </w:rPr>
            </w:pPr>
          </w:p>
        </w:tc>
        <w:tc>
          <w:tcPr>
            <w:tcW w:w="1400" w:type="dxa"/>
            <w:vAlign w:val="bottom"/>
            <w:shd w:val="clear" w:color="auto" w:fill="D0EBF2"/>
          </w:tcPr>
          <w:p>
            <w:pPr>
              <w:jc w:val="right"/>
              <w:spacing w:after="0"/>
              <w:rPr>
                <w:sz w:val="20"/>
                <w:szCs w:val="20"/>
                <w:color w:val="auto"/>
              </w:rPr>
            </w:pPr>
            <w:r>
              <w:rPr>
                <w:rFonts w:ascii="Times New Roman" w:cs="Times New Roman" w:eastAsia="Times New Roman" w:hAnsi="Times New Roman"/>
                <w:sz w:val="19"/>
                <w:szCs w:val="19"/>
                <w:color w:val="231F20"/>
              </w:rPr>
              <w:t>20.7</w:t>
            </w:r>
          </w:p>
        </w:tc>
        <w:tc>
          <w:tcPr>
            <w:tcW w:w="1800" w:type="dxa"/>
            <w:vAlign w:val="bottom"/>
            <w:gridSpan w:val="2"/>
            <w:shd w:val="clear" w:color="auto" w:fill="D0EBF2"/>
          </w:tcPr>
          <w:p>
            <w:pPr>
              <w:jc w:val="right"/>
              <w:spacing w:after="0"/>
              <w:rPr>
                <w:sz w:val="20"/>
                <w:szCs w:val="20"/>
                <w:color w:val="auto"/>
              </w:rPr>
            </w:pPr>
            <w:r>
              <w:rPr>
                <w:rFonts w:ascii="Times New Roman" w:cs="Times New Roman" w:eastAsia="Times New Roman" w:hAnsi="Times New Roman"/>
                <w:sz w:val="19"/>
                <w:szCs w:val="19"/>
                <w:color w:val="231F20"/>
              </w:rPr>
              <w:t>0.6</w:t>
            </w:r>
          </w:p>
        </w:tc>
        <w:tc>
          <w:tcPr>
            <w:tcW w:w="180" w:type="dxa"/>
            <w:vAlign w:val="bottom"/>
            <w:shd w:val="clear" w:color="auto" w:fill="D0EBF2"/>
          </w:tcPr>
          <w:p>
            <w:pPr>
              <w:spacing w:after="0"/>
              <w:rPr>
                <w:sz w:val="20"/>
                <w:szCs w:val="20"/>
                <w:color w:val="auto"/>
              </w:rPr>
            </w:pPr>
          </w:p>
        </w:tc>
      </w:tr>
      <w:tr>
        <w:trPr>
          <w:trHeight w:val="220"/>
        </w:trPr>
        <w:tc>
          <w:tcPr>
            <w:tcW w:w="20" w:type="dxa"/>
            <w:vAlign w:val="bottom"/>
          </w:tcPr>
          <w:p>
            <w:pPr>
              <w:spacing w:after="0"/>
              <w:rPr>
                <w:sz w:val="19"/>
                <w:szCs w:val="19"/>
                <w:color w:val="auto"/>
              </w:rPr>
            </w:pPr>
          </w:p>
        </w:tc>
        <w:tc>
          <w:tcPr>
            <w:tcW w:w="1680" w:type="dxa"/>
            <w:vAlign w:val="bottom"/>
            <w:tcBorders>
              <w:top w:val="single" w:sz="8" w:color="FDFDFC"/>
            </w:tcBorders>
            <w:shd w:val="clear" w:color="auto" w:fill="FDFDFC"/>
          </w:tcPr>
          <w:p>
            <w:pPr>
              <w:jc w:val="center"/>
              <w:spacing w:after="0"/>
              <w:rPr>
                <w:sz w:val="20"/>
                <w:szCs w:val="20"/>
                <w:color w:val="auto"/>
              </w:rPr>
            </w:pPr>
            <w:r>
              <w:rPr>
                <w:rFonts w:ascii="Times New Roman" w:cs="Times New Roman" w:eastAsia="Times New Roman" w:hAnsi="Times New Roman"/>
                <w:sz w:val="19"/>
                <w:szCs w:val="19"/>
                <w:color w:val="231F20"/>
                <w:w w:val="99"/>
              </w:rPr>
              <w:t>Total</w:t>
            </w:r>
          </w:p>
        </w:tc>
        <w:tc>
          <w:tcPr>
            <w:tcW w:w="180" w:type="dxa"/>
            <w:vAlign w:val="bottom"/>
            <w:tcBorders>
              <w:top w:val="single" w:sz="8" w:color="FDFDFC"/>
            </w:tcBorders>
            <w:shd w:val="clear" w:color="auto" w:fill="FDFDFC"/>
          </w:tcPr>
          <w:p>
            <w:pPr>
              <w:spacing w:after="0"/>
              <w:rPr>
                <w:sz w:val="19"/>
                <w:szCs w:val="19"/>
                <w:color w:val="auto"/>
              </w:rPr>
            </w:pPr>
          </w:p>
        </w:tc>
        <w:tc>
          <w:tcPr>
            <w:tcW w:w="480" w:type="dxa"/>
            <w:vAlign w:val="bottom"/>
            <w:tcBorders>
              <w:top w:val="single" w:sz="8" w:color="231F20"/>
              <w:bottom w:val="single" w:sz="8" w:color="231F20"/>
            </w:tcBorders>
            <w:shd w:val="clear" w:color="auto" w:fill="FDFDFC"/>
          </w:tcPr>
          <w:p>
            <w:pPr>
              <w:jc w:val="right"/>
              <w:ind w:right="320"/>
              <w:spacing w:after="0"/>
              <w:rPr>
                <w:sz w:val="20"/>
                <w:szCs w:val="20"/>
                <w:color w:val="auto"/>
              </w:rPr>
            </w:pPr>
            <w:r>
              <w:rPr>
                <w:rFonts w:ascii="Times New Roman" w:cs="Times New Roman" w:eastAsia="Times New Roman" w:hAnsi="Times New Roman"/>
                <w:sz w:val="17"/>
                <w:szCs w:val="17"/>
                <w:color w:val="231F20"/>
                <w:w w:val="70"/>
              </w:rPr>
              <w:t>$</w:t>
            </w:r>
          </w:p>
        </w:tc>
        <w:tc>
          <w:tcPr>
            <w:tcW w:w="1120" w:type="dxa"/>
            <w:vAlign w:val="bottom"/>
            <w:tcBorders>
              <w:top w:val="single" w:sz="8" w:color="231F20"/>
              <w:bottom w:val="single" w:sz="8" w:color="231F20"/>
            </w:tcBorders>
            <w:shd w:val="clear" w:color="auto" w:fill="FDFDFC"/>
          </w:tcPr>
          <w:p>
            <w:pPr>
              <w:jc w:val="right"/>
              <w:spacing w:after="0"/>
              <w:rPr>
                <w:sz w:val="20"/>
                <w:szCs w:val="20"/>
                <w:color w:val="auto"/>
              </w:rPr>
            </w:pPr>
            <w:r>
              <w:rPr>
                <w:rFonts w:ascii="Times New Roman" w:cs="Times New Roman" w:eastAsia="Times New Roman" w:hAnsi="Times New Roman"/>
                <w:sz w:val="19"/>
                <w:szCs w:val="19"/>
                <w:color w:val="231F20"/>
              </w:rPr>
              <w:t>3,518.4</w:t>
            </w:r>
          </w:p>
        </w:tc>
        <w:tc>
          <w:tcPr>
            <w:tcW w:w="220" w:type="dxa"/>
            <w:vAlign w:val="bottom"/>
            <w:tcBorders>
              <w:top w:val="single" w:sz="8" w:color="FDFDFC"/>
            </w:tcBorders>
            <w:shd w:val="clear" w:color="auto" w:fill="FDFDFC"/>
          </w:tcPr>
          <w:p>
            <w:pPr>
              <w:spacing w:after="0"/>
              <w:rPr>
                <w:sz w:val="19"/>
                <w:szCs w:val="19"/>
                <w:color w:val="auto"/>
              </w:rPr>
            </w:pPr>
          </w:p>
        </w:tc>
        <w:tc>
          <w:tcPr>
            <w:tcW w:w="1580" w:type="dxa"/>
            <w:vAlign w:val="bottom"/>
            <w:tcBorders>
              <w:top w:val="single" w:sz="8" w:color="231F20"/>
              <w:bottom w:val="single" w:sz="8" w:color="231F20"/>
            </w:tcBorders>
            <w:shd w:val="clear" w:color="auto" w:fill="FDFDFC"/>
          </w:tcPr>
          <w:p>
            <w:pPr>
              <w:jc w:val="right"/>
              <w:spacing w:after="0"/>
              <w:rPr>
                <w:sz w:val="20"/>
                <w:szCs w:val="20"/>
                <w:color w:val="auto"/>
              </w:rPr>
            </w:pPr>
            <w:r>
              <w:rPr>
                <w:rFonts w:ascii="Times New Roman" w:cs="Times New Roman" w:eastAsia="Times New Roman" w:hAnsi="Times New Roman"/>
                <w:sz w:val="19"/>
                <w:szCs w:val="19"/>
                <w:color w:val="231F20"/>
              </w:rPr>
              <w:t>100.0</w:t>
            </w:r>
          </w:p>
        </w:tc>
        <w:tc>
          <w:tcPr>
            <w:tcW w:w="340" w:type="dxa"/>
            <w:vAlign w:val="bottom"/>
            <w:tcBorders>
              <w:top w:val="single" w:sz="8" w:color="FDFDFC"/>
            </w:tcBorders>
            <w:shd w:val="clear" w:color="auto" w:fill="FDFDFC"/>
          </w:tcPr>
          <w:p>
            <w:pPr>
              <w:jc w:val="right"/>
              <w:ind w:right="106"/>
              <w:spacing w:after="0"/>
              <w:rPr>
                <w:sz w:val="20"/>
                <w:szCs w:val="20"/>
                <w:color w:val="auto"/>
              </w:rPr>
            </w:pPr>
            <w:r>
              <w:rPr>
                <w:rFonts w:ascii="Times New Roman" w:cs="Times New Roman" w:eastAsia="Times New Roman" w:hAnsi="Times New Roman"/>
                <w:sz w:val="19"/>
                <w:szCs w:val="19"/>
                <w:color w:val="231F20"/>
                <w:w w:val="75"/>
              </w:rPr>
              <w:t>%</w:t>
            </w:r>
          </w:p>
        </w:tc>
        <w:tc>
          <w:tcPr>
            <w:tcW w:w="20" w:type="dxa"/>
            <w:vAlign w:val="bottom"/>
            <w:tcBorders>
              <w:top w:val="single" w:sz="8" w:color="231F20"/>
            </w:tcBorders>
            <w:shd w:val="clear" w:color="auto" w:fill="FDFDFC"/>
          </w:tcPr>
          <w:p>
            <w:pPr>
              <w:spacing w:after="0"/>
              <w:rPr>
                <w:sz w:val="19"/>
                <w:szCs w:val="19"/>
                <w:color w:val="auto"/>
              </w:rPr>
            </w:pPr>
          </w:p>
        </w:tc>
        <w:tc>
          <w:tcPr>
            <w:tcW w:w="180" w:type="dxa"/>
            <w:vAlign w:val="bottom"/>
            <w:tcBorders>
              <w:top w:val="single" w:sz="8" w:color="231F20"/>
              <w:bottom w:val="single" w:sz="8" w:color="231F20"/>
            </w:tcBorders>
            <w:shd w:val="clear" w:color="auto" w:fill="FDFDFC"/>
          </w:tcPr>
          <w:p>
            <w:pPr>
              <w:jc w:val="right"/>
              <w:ind w:right="16"/>
              <w:spacing w:after="0"/>
              <w:rPr>
                <w:sz w:val="20"/>
                <w:szCs w:val="20"/>
                <w:color w:val="auto"/>
              </w:rPr>
            </w:pPr>
            <w:r>
              <w:rPr>
                <w:rFonts w:ascii="Times New Roman" w:cs="Times New Roman" w:eastAsia="Times New Roman" w:hAnsi="Times New Roman"/>
                <w:sz w:val="17"/>
                <w:szCs w:val="17"/>
                <w:color w:val="231F20"/>
                <w:w w:val="70"/>
              </w:rPr>
              <w:t>$</w:t>
            </w:r>
          </w:p>
        </w:tc>
        <w:tc>
          <w:tcPr>
            <w:tcW w:w="1400" w:type="dxa"/>
            <w:vAlign w:val="bottom"/>
            <w:tcBorders>
              <w:top w:val="single" w:sz="8" w:color="231F20"/>
              <w:bottom w:val="single" w:sz="8" w:color="231F20"/>
            </w:tcBorders>
            <w:shd w:val="clear" w:color="auto" w:fill="FDFDFC"/>
          </w:tcPr>
          <w:p>
            <w:pPr>
              <w:jc w:val="right"/>
              <w:spacing w:after="0"/>
              <w:rPr>
                <w:sz w:val="20"/>
                <w:szCs w:val="20"/>
                <w:color w:val="auto"/>
              </w:rPr>
            </w:pPr>
            <w:r>
              <w:rPr>
                <w:rFonts w:ascii="Times New Roman" w:cs="Times New Roman" w:eastAsia="Times New Roman" w:hAnsi="Times New Roman"/>
                <w:sz w:val="19"/>
                <w:szCs w:val="19"/>
                <w:color w:val="231F20"/>
              </w:rPr>
              <w:t>3,283.1</w:t>
            </w:r>
          </w:p>
        </w:tc>
        <w:tc>
          <w:tcPr>
            <w:tcW w:w="240" w:type="dxa"/>
            <w:vAlign w:val="bottom"/>
            <w:tcBorders>
              <w:top w:val="single" w:sz="8" w:color="FDFDFC"/>
            </w:tcBorders>
            <w:shd w:val="clear" w:color="auto" w:fill="FDFDFC"/>
          </w:tcPr>
          <w:p>
            <w:pPr>
              <w:spacing w:after="0"/>
              <w:rPr>
                <w:sz w:val="19"/>
                <w:szCs w:val="19"/>
                <w:color w:val="auto"/>
              </w:rPr>
            </w:pPr>
          </w:p>
        </w:tc>
        <w:tc>
          <w:tcPr>
            <w:tcW w:w="1560" w:type="dxa"/>
            <w:vAlign w:val="bottom"/>
            <w:tcBorders>
              <w:top w:val="single" w:sz="8" w:color="231F20"/>
              <w:bottom w:val="single" w:sz="8" w:color="231F20"/>
            </w:tcBorders>
            <w:shd w:val="clear" w:color="auto" w:fill="FDFDFC"/>
          </w:tcPr>
          <w:p>
            <w:pPr>
              <w:jc w:val="right"/>
              <w:spacing w:after="0"/>
              <w:rPr>
                <w:sz w:val="20"/>
                <w:szCs w:val="20"/>
                <w:color w:val="auto"/>
              </w:rPr>
            </w:pPr>
            <w:r>
              <w:rPr>
                <w:rFonts w:ascii="Times New Roman" w:cs="Times New Roman" w:eastAsia="Times New Roman" w:hAnsi="Times New Roman"/>
                <w:sz w:val="19"/>
                <w:szCs w:val="19"/>
                <w:color w:val="231F20"/>
              </w:rPr>
              <w:t>100.0</w:t>
            </w:r>
          </w:p>
        </w:tc>
        <w:tc>
          <w:tcPr>
            <w:tcW w:w="180" w:type="dxa"/>
            <w:vAlign w:val="bottom"/>
            <w:tcBorders>
              <w:top w:val="single" w:sz="8" w:color="FDFDFC"/>
            </w:tcBorders>
            <w:shd w:val="clear" w:color="auto" w:fill="FDFDFC"/>
          </w:tcPr>
          <w:p>
            <w:pPr>
              <w:jc w:val="right"/>
              <w:spacing w:after="0"/>
              <w:rPr>
                <w:sz w:val="20"/>
                <w:szCs w:val="20"/>
                <w:color w:val="auto"/>
              </w:rPr>
            </w:pPr>
            <w:r>
              <w:rPr>
                <w:rFonts w:ascii="Times New Roman" w:cs="Times New Roman" w:eastAsia="Times New Roman" w:hAnsi="Times New Roman"/>
                <w:sz w:val="19"/>
                <w:szCs w:val="19"/>
                <w:color w:val="231F20"/>
                <w:highlight w:val="white"/>
                <w:w w:val="88"/>
              </w:rPr>
              <w:t>%</w:t>
            </w:r>
          </w:p>
        </w:tc>
      </w:tr>
      <w:tr>
        <w:trPr>
          <w:trHeight w:val="20"/>
        </w:trPr>
        <w:tc>
          <w:tcPr>
            <w:tcW w:w="2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Borders>
              <w:bottom w:val="single" w:sz="8" w:color="231F20"/>
            </w:tcBorders>
          </w:tcPr>
          <w:p>
            <w:pPr>
              <w:spacing w:after="0" w:line="20" w:lineRule="exact"/>
              <w:rPr>
                <w:sz w:val="1"/>
                <w:szCs w:val="1"/>
                <w:color w:val="auto"/>
              </w:rPr>
            </w:pPr>
          </w:p>
        </w:tc>
        <w:tc>
          <w:tcPr>
            <w:tcW w:w="1120" w:type="dxa"/>
            <w:vAlign w:val="bottom"/>
            <w:tcBorders>
              <w:bottom w:val="single" w:sz="8" w:color="231F20"/>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80" w:type="dxa"/>
            <w:vAlign w:val="bottom"/>
            <w:tcBorders>
              <w:bottom w:val="single" w:sz="8" w:color="231F20"/>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231F20"/>
            </w:tcBorders>
          </w:tcPr>
          <w:p>
            <w:pPr>
              <w:spacing w:after="0" w:line="20" w:lineRule="exact"/>
              <w:rPr>
                <w:sz w:val="1"/>
                <w:szCs w:val="1"/>
                <w:color w:val="auto"/>
              </w:rPr>
            </w:pPr>
          </w:p>
        </w:tc>
        <w:tc>
          <w:tcPr>
            <w:tcW w:w="1400" w:type="dxa"/>
            <w:vAlign w:val="bottom"/>
            <w:tcBorders>
              <w:bottom w:val="single" w:sz="8" w:color="231F20"/>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560" w:type="dxa"/>
            <w:vAlign w:val="bottom"/>
            <w:tcBorders>
              <w:bottom w:val="single" w:sz="8" w:color="231F20"/>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39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231F20"/>
        </w:rPr>
        <w:t>Results of Operations</w:t>
      </w:r>
    </w:p>
    <w:p>
      <w:pPr>
        <w:spacing w:after="0" w:line="11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9"/>
          <w:szCs w:val="19"/>
          <w:color w:val="231F20"/>
        </w:rPr>
        <w:t>Operating results for the years ended December 31, 2024, December 31, 2023 and December 31, 2022 were as follows:</w:t>
      </w:r>
    </w:p>
    <w:p>
      <w:pPr>
        <w:spacing w:after="0" w:line="279" w:lineRule="exact"/>
        <w:rPr>
          <w:sz w:val="20"/>
          <w:szCs w:val="20"/>
          <w:color w:val="auto"/>
        </w:rPr>
      </w:pPr>
    </w:p>
    <w:tbl>
      <w:tblPr>
        <w:tblLayout w:type="fixed"/>
        <w:tblInd w:w="520" w:type="dxa"/>
        <w:tblCellMar>
          <w:top w:w="0" w:type="dxa"/>
          <w:left w:w="0" w:type="dxa"/>
          <w:bottom w:w="0" w:type="dxa"/>
          <w:right w:w="0" w:type="dxa"/>
        </w:tblCellMar>
      </w:tblPr>
      <w:tr>
        <w:trPr>
          <w:trHeight w:val="174"/>
        </w:trPr>
        <w:tc>
          <w:tcPr>
            <w:tcW w:w="5240" w:type="dxa"/>
            <w:vAlign w:val="bottom"/>
            <w:tcBorders>
              <w:bottom w:val="single" w:sz="8" w:color="FDFDFC"/>
            </w:tcBorders>
            <w:shd w:val="clear" w:color="auto" w:fill="FDFDFC"/>
          </w:tcPr>
          <w:p>
            <w:pPr>
              <w:spacing w:after="0"/>
              <w:rPr>
                <w:sz w:val="15"/>
                <w:szCs w:val="15"/>
                <w:color w:val="auto"/>
              </w:rPr>
            </w:pPr>
          </w:p>
        </w:tc>
        <w:tc>
          <w:tcPr>
            <w:tcW w:w="80" w:type="dxa"/>
            <w:vAlign w:val="bottom"/>
            <w:tcBorders>
              <w:bottom w:val="single" w:sz="8" w:color="FDFDFC"/>
            </w:tcBorders>
            <w:shd w:val="clear" w:color="auto" w:fill="FDFDFC"/>
          </w:tcPr>
          <w:p>
            <w:pPr>
              <w:spacing w:after="0"/>
              <w:rPr>
                <w:sz w:val="15"/>
                <w:szCs w:val="15"/>
                <w:color w:val="auto"/>
              </w:rPr>
            </w:pPr>
          </w:p>
        </w:tc>
        <w:tc>
          <w:tcPr>
            <w:tcW w:w="100" w:type="dxa"/>
            <w:vAlign w:val="bottom"/>
            <w:tcBorders>
              <w:bottom w:val="single" w:sz="8" w:color="231F20"/>
            </w:tcBorders>
            <w:shd w:val="clear" w:color="auto" w:fill="FDFDFC"/>
          </w:tcPr>
          <w:p>
            <w:pPr>
              <w:spacing w:after="0"/>
              <w:rPr>
                <w:sz w:val="15"/>
                <w:szCs w:val="15"/>
                <w:color w:val="auto"/>
              </w:rPr>
            </w:pPr>
          </w:p>
        </w:tc>
        <w:tc>
          <w:tcPr>
            <w:tcW w:w="1000" w:type="dxa"/>
            <w:vAlign w:val="bottom"/>
            <w:tcBorders>
              <w:bottom w:val="single" w:sz="8" w:color="231F20"/>
            </w:tcBorders>
            <w:shd w:val="clear" w:color="auto" w:fill="FDFDFC"/>
          </w:tcPr>
          <w:p>
            <w:pPr>
              <w:spacing w:after="0"/>
              <w:rPr>
                <w:sz w:val="15"/>
                <w:szCs w:val="15"/>
                <w:color w:val="auto"/>
              </w:rPr>
            </w:pPr>
          </w:p>
        </w:tc>
        <w:tc>
          <w:tcPr>
            <w:tcW w:w="100" w:type="dxa"/>
            <w:vAlign w:val="bottom"/>
            <w:tcBorders>
              <w:bottom w:val="single" w:sz="8" w:color="231F20"/>
            </w:tcBorders>
            <w:shd w:val="clear" w:color="auto" w:fill="FDFDFC"/>
          </w:tcPr>
          <w:p>
            <w:pPr>
              <w:spacing w:after="0"/>
              <w:rPr>
                <w:sz w:val="15"/>
                <w:szCs w:val="15"/>
                <w:color w:val="auto"/>
              </w:rPr>
            </w:pPr>
          </w:p>
        </w:tc>
        <w:tc>
          <w:tcPr>
            <w:tcW w:w="140" w:type="dxa"/>
            <w:vAlign w:val="bottom"/>
            <w:tcBorders>
              <w:bottom w:val="single" w:sz="8" w:color="231F20"/>
            </w:tcBorders>
            <w:shd w:val="clear" w:color="auto" w:fill="FDFDFC"/>
          </w:tcPr>
          <w:p>
            <w:pPr>
              <w:spacing w:after="0"/>
              <w:rPr>
                <w:sz w:val="15"/>
                <w:szCs w:val="15"/>
                <w:color w:val="auto"/>
              </w:rPr>
            </w:pPr>
          </w:p>
        </w:tc>
        <w:tc>
          <w:tcPr>
            <w:tcW w:w="100" w:type="dxa"/>
            <w:vAlign w:val="bottom"/>
            <w:tcBorders>
              <w:bottom w:val="single" w:sz="8" w:color="231F20"/>
            </w:tcBorders>
            <w:shd w:val="clear" w:color="auto" w:fill="FDFDFC"/>
          </w:tcPr>
          <w:p>
            <w:pPr>
              <w:spacing w:after="0"/>
              <w:rPr>
                <w:sz w:val="15"/>
                <w:szCs w:val="15"/>
                <w:color w:val="auto"/>
              </w:rPr>
            </w:pPr>
          </w:p>
        </w:tc>
        <w:tc>
          <w:tcPr>
            <w:tcW w:w="1000" w:type="dxa"/>
            <w:vAlign w:val="bottom"/>
            <w:tcBorders>
              <w:bottom w:val="single" w:sz="8" w:color="231F20"/>
            </w:tcBorders>
            <w:shd w:val="clear" w:color="auto" w:fill="FDFDFC"/>
          </w:tcPr>
          <w:p>
            <w:pPr>
              <w:jc w:val="center"/>
              <w:ind w:right="51"/>
              <w:spacing w:after="0"/>
              <w:rPr>
                <w:sz w:val="20"/>
                <w:szCs w:val="20"/>
                <w:color w:val="auto"/>
              </w:rPr>
            </w:pPr>
            <w:r>
              <w:rPr>
                <w:rFonts w:ascii="Times New Roman" w:cs="Times New Roman" w:eastAsia="Times New Roman" w:hAnsi="Times New Roman"/>
                <w:sz w:val="15"/>
                <w:szCs w:val="15"/>
                <w:b w:val="1"/>
                <w:bCs w:val="1"/>
                <w:color w:val="231F20"/>
              </w:rPr>
              <w:t>Year Ended</w:t>
            </w:r>
          </w:p>
        </w:tc>
        <w:tc>
          <w:tcPr>
            <w:tcW w:w="80" w:type="dxa"/>
            <w:vAlign w:val="bottom"/>
            <w:tcBorders>
              <w:bottom w:val="single" w:sz="8" w:color="231F20"/>
            </w:tcBorders>
            <w:shd w:val="clear" w:color="auto" w:fill="FDFDFC"/>
          </w:tcPr>
          <w:p>
            <w:pPr>
              <w:spacing w:after="0"/>
              <w:rPr>
                <w:sz w:val="15"/>
                <w:szCs w:val="15"/>
                <w:color w:val="auto"/>
              </w:rPr>
            </w:pPr>
          </w:p>
        </w:tc>
        <w:tc>
          <w:tcPr>
            <w:tcW w:w="140" w:type="dxa"/>
            <w:vAlign w:val="bottom"/>
            <w:tcBorders>
              <w:bottom w:val="single" w:sz="8" w:color="231F20"/>
            </w:tcBorders>
            <w:shd w:val="clear" w:color="auto" w:fill="FDFDFC"/>
          </w:tcPr>
          <w:p>
            <w:pPr>
              <w:spacing w:after="0"/>
              <w:rPr>
                <w:sz w:val="15"/>
                <w:szCs w:val="15"/>
                <w:color w:val="auto"/>
              </w:rPr>
            </w:pPr>
          </w:p>
        </w:tc>
        <w:tc>
          <w:tcPr>
            <w:tcW w:w="100" w:type="dxa"/>
            <w:vAlign w:val="bottom"/>
            <w:tcBorders>
              <w:bottom w:val="single" w:sz="8" w:color="231F20"/>
            </w:tcBorders>
            <w:shd w:val="clear" w:color="auto" w:fill="FDFDFC"/>
          </w:tcPr>
          <w:p>
            <w:pPr>
              <w:spacing w:after="0"/>
              <w:rPr>
                <w:sz w:val="15"/>
                <w:szCs w:val="15"/>
                <w:color w:val="auto"/>
              </w:rPr>
            </w:pPr>
          </w:p>
        </w:tc>
        <w:tc>
          <w:tcPr>
            <w:tcW w:w="1000" w:type="dxa"/>
            <w:vAlign w:val="bottom"/>
            <w:tcBorders>
              <w:bottom w:val="single" w:sz="8" w:color="231F20"/>
            </w:tcBorders>
            <w:shd w:val="clear" w:color="auto" w:fill="FDFDFC"/>
          </w:tcPr>
          <w:p>
            <w:pPr>
              <w:spacing w:after="0"/>
              <w:rPr>
                <w:sz w:val="15"/>
                <w:szCs w:val="15"/>
                <w:color w:val="auto"/>
              </w:rPr>
            </w:pPr>
          </w:p>
        </w:tc>
        <w:tc>
          <w:tcPr>
            <w:tcW w:w="100" w:type="dxa"/>
            <w:vAlign w:val="bottom"/>
            <w:tcBorders>
              <w:bottom w:val="single" w:sz="8" w:color="FDFDFC"/>
            </w:tcBorders>
            <w:shd w:val="clear" w:color="auto" w:fill="FDFDFC"/>
          </w:tcPr>
          <w:p>
            <w:pPr>
              <w:spacing w:after="0"/>
              <w:rPr>
                <w:sz w:val="15"/>
                <w:szCs w:val="15"/>
                <w:color w:val="auto"/>
              </w:rPr>
            </w:pPr>
          </w:p>
        </w:tc>
        <w:tc>
          <w:tcPr>
            <w:tcW w:w="0" w:type="dxa"/>
            <w:vAlign w:val="bottom"/>
          </w:tcPr>
          <w:p>
            <w:pPr>
              <w:spacing w:after="0"/>
              <w:rPr>
                <w:sz w:val="1"/>
                <w:szCs w:val="1"/>
                <w:color w:val="auto"/>
              </w:rPr>
            </w:pPr>
          </w:p>
        </w:tc>
      </w:tr>
      <w:tr>
        <w:trPr>
          <w:trHeight w:val="146"/>
        </w:trPr>
        <w:tc>
          <w:tcPr>
            <w:tcW w:w="5240" w:type="dxa"/>
            <w:vAlign w:val="bottom"/>
            <w:vMerge w:val="restart"/>
            <w:shd w:val="clear" w:color="auto" w:fill="FDFDFC"/>
          </w:tcPr>
          <w:p>
            <w:pPr>
              <w:spacing w:after="0"/>
              <w:rPr>
                <w:sz w:val="20"/>
                <w:szCs w:val="20"/>
                <w:color w:val="auto"/>
              </w:rPr>
            </w:pPr>
            <w:r>
              <w:rPr>
                <w:rFonts w:ascii="Times New Roman" w:cs="Times New Roman" w:eastAsia="Times New Roman" w:hAnsi="Times New Roman"/>
                <w:sz w:val="15"/>
                <w:szCs w:val="15"/>
                <w:color w:val="231F20"/>
              </w:rPr>
              <w:t>($ in millions)</w:t>
            </w:r>
          </w:p>
        </w:tc>
        <w:tc>
          <w:tcPr>
            <w:tcW w:w="80" w:type="dxa"/>
            <w:vAlign w:val="bottom"/>
            <w:shd w:val="clear" w:color="auto" w:fill="FDFDFC"/>
          </w:tcPr>
          <w:p>
            <w:pPr>
              <w:spacing w:after="0"/>
              <w:rPr>
                <w:sz w:val="12"/>
                <w:szCs w:val="12"/>
                <w:color w:val="auto"/>
              </w:rPr>
            </w:pPr>
          </w:p>
        </w:tc>
        <w:tc>
          <w:tcPr>
            <w:tcW w:w="100" w:type="dxa"/>
            <w:vAlign w:val="bottom"/>
            <w:shd w:val="clear" w:color="auto" w:fill="FDFDFC"/>
          </w:tcPr>
          <w:p>
            <w:pPr>
              <w:spacing w:after="0"/>
              <w:rPr>
                <w:sz w:val="12"/>
                <w:szCs w:val="12"/>
                <w:color w:val="auto"/>
              </w:rPr>
            </w:pPr>
          </w:p>
        </w:tc>
        <w:tc>
          <w:tcPr>
            <w:tcW w:w="1000" w:type="dxa"/>
            <w:vAlign w:val="bottom"/>
            <w:shd w:val="clear" w:color="auto" w:fill="FDFDFC"/>
          </w:tcPr>
          <w:p>
            <w:pPr>
              <w:jc w:val="right"/>
              <w:ind w:right="9"/>
              <w:spacing w:after="0" w:line="146" w:lineRule="exact"/>
              <w:rPr>
                <w:sz w:val="20"/>
                <w:szCs w:val="20"/>
                <w:color w:val="auto"/>
              </w:rPr>
            </w:pPr>
            <w:r>
              <w:rPr>
                <w:rFonts w:ascii="Times New Roman" w:cs="Times New Roman" w:eastAsia="Times New Roman" w:hAnsi="Times New Roman"/>
                <w:sz w:val="15"/>
                <w:szCs w:val="15"/>
                <w:b w:val="1"/>
                <w:bCs w:val="1"/>
                <w:color w:val="231F20"/>
              </w:rPr>
              <w:t>December 31,</w:t>
            </w:r>
          </w:p>
        </w:tc>
        <w:tc>
          <w:tcPr>
            <w:tcW w:w="100" w:type="dxa"/>
            <w:vAlign w:val="bottom"/>
            <w:shd w:val="clear" w:color="auto" w:fill="FDFDFC"/>
          </w:tcPr>
          <w:p>
            <w:pPr>
              <w:spacing w:after="0"/>
              <w:rPr>
                <w:sz w:val="12"/>
                <w:szCs w:val="12"/>
                <w:color w:val="auto"/>
              </w:rPr>
            </w:pPr>
          </w:p>
        </w:tc>
        <w:tc>
          <w:tcPr>
            <w:tcW w:w="140" w:type="dxa"/>
            <w:vAlign w:val="bottom"/>
            <w:shd w:val="clear" w:color="auto" w:fill="FDFDFC"/>
          </w:tcPr>
          <w:p>
            <w:pPr>
              <w:spacing w:after="0"/>
              <w:rPr>
                <w:sz w:val="12"/>
                <w:szCs w:val="12"/>
                <w:color w:val="auto"/>
              </w:rPr>
            </w:pPr>
          </w:p>
        </w:tc>
        <w:tc>
          <w:tcPr>
            <w:tcW w:w="100" w:type="dxa"/>
            <w:vAlign w:val="bottom"/>
            <w:shd w:val="clear" w:color="auto" w:fill="FDFDFC"/>
          </w:tcPr>
          <w:p>
            <w:pPr>
              <w:spacing w:after="0"/>
              <w:rPr>
                <w:sz w:val="12"/>
                <w:szCs w:val="12"/>
                <w:color w:val="auto"/>
              </w:rPr>
            </w:pPr>
          </w:p>
        </w:tc>
        <w:tc>
          <w:tcPr>
            <w:tcW w:w="1000" w:type="dxa"/>
            <w:vAlign w:val="bottom"/>
            <w:shd w:val="clear" w:color="auto" w:fill="FDFDFC"/>
          </w:tcPr>
          <w:p>
            <w:pPr>
              <w:jc w:val="center"/>
              <w:ind w:right="31"/>
              <w:spacing w:after="0" w:line="146" w:lineRule="exact"/>
              <w:rPr>
                <w:sz w:val="20"/>
                <w:szCs w:val="20"/>
                <w:color w:val="auto"/>
              </w:rPr>
            </w:pPr>
            <w:r>
              <w:rPr>
                <w:rFonts w:ascii="Times New Roman" w:cs="Times New Roman" w:eastAsia="Times New Roman" w:hAnsi="Times New Roman"/>
                <w:sz w:val="15"/>
                <w:szCs w:val="15"/>
                <w:b w:val="1"/>
                <w:bCs w:val="1"/>
                <w:color w:val="231F20"/>
              </w:rPr>
              <w:t>December 31,</w:t>
            </w:r>
          </w:p>
        </w:tc>
        <w:tc>
          <w:tcPr>
            <w:tcW w:w="80" w:type="dxa"/>
            <w:vAlign w:val="bottom"/>
            <w:shd w:val="clear" w:color="auto" w:fill="FDFDFC"/>
          </w:tcPr>
          <w:p>
            <w:pPr>
              <w:spacing w:after="0"/>
              <w:rPr>
                <w:sz w:val="12"/>
                <w:szCs w:val="12"/>
                <w:color w:val="auto"/>
              </w:rPr>
            </w:pPr>
          </w:p>
        </w:tc>
        <w:tc>
          <w:tcPr>
            <w:tcW w:w="140" w:type="dxa"/>
            <w:vAlign w:val="bottom"/>
            <w:shd w:val="clear" w:color="auto" w:fill="FDFDFC"/>
          </w:tcPr>
          <w:p>
            <w:pPr>
              <w:spacing w:after="0"/>
              <w:rPr>
                <w:sz w:val="12"/>
                <w:szCs w:val="12"/>
                <w:color w:val="auto"/>
              </w:rPr>
            </w:pPr>
          </w:p>
        </w:tc>
        <w:tc>
          <w:tcPr>
            <w:tcW w:w="100" w:type="dxa"/>
            <w:vAlign w:val="bottom"/>
            <w:shd w:val="clear" w:color="auto" w:fill="FDFDFC"/>
          </w:tcPr>
          <w:p>
            <w:pPr>
              <w:spacing w:after="0"/>
              <w:rPr>
                <w:sz w:val="12"/>
                <w:szCs w:val="12"/>
                <w:color w:val="auto"/>
              </w:rPr>
            </w:pPr>
          </w:p>
        </w:tc>
        <w:tc>
          <w:tcPr>
            <w:tcW w:w="1000" w:type="dxa"/>
            <w:vAlign w:val="bottom"/>
            <w:shd w:val="clear" w:color="auto" w:fill="FDFDFC"/>
          </w:tcPr>
          <w:p>
            <w:pPr>
              <w:jc w:val="right"/>
              <w:ind w:right="29"/>
              <w:spacing w:after="0" w:line="146" w:lineRule="exact"/>
              <w:rPr>
                <w:sz w:val="20"/>
                <w:szCs w:val="20"/>
                <w:color w:val="auto"/>
              </w:rPr>
            </w:pPr>
            <w:r>
              <w:rPr>
                <w:rFonts w:ascii="Times New Roman" w:cs="Times New Roman" w:eastAsia="Times New Roman" w:hAnsi="Times New Roman"/>
                <w:sz w:val="15"/>
                <w:szCs w:val="15"/>
                <w:b w:val="1"/>
                <w:bCs w:val="1"/>
                <w:color w:val="231F20"/>
                <w:w w:val="98"/>
              </w:rPr>
              <w:t>December 31,</w:t>
            </w:r>
          </w:p>
        </w:tc>
        <w:tc>
          <w:tcPr>
            <w:tcW w:w="100" w:type="dxa"/>
            <w:vAlign w:val="bottom"/>
            <w:shd w:val="clear" w:color="auto" w:fill="FDFDFC"/>
          </w:tcPr>
          <w:p>
            <w:pPr>
              <w:spacing w:after="0"/>
              <w:rPr>
                <w:sz w:val="12"/>
                <w:szCs w:val="12"/>
                <w:color w:val="auto"/>
              </w:rPr>
            </w:pPr>
          </w:p>
        </w:tc>
        <w:tc>
          <w:tcPr>
            <w:tcW w:w="0" w:type="dxa"/>
            <w:vAlign w:val="bottom"/>
          </w:tcPr>
          <w:p>
            <w:pPr>
              <w:spacing w:after="0"/>
              <w:rPr>
                <w:sz w:val="1"/>
                <w:szCs w:val="1"/>
                <w:color w:val="auto"/>
              </w:rPr>
            </w:pPr>
          </w:p>
        </w:tc>
      </w:tr>
      <w:tr>
        <w:trPr>
          <w:trHeight w:val="118"/>
        </w:trPr>
        <w:tc>
          <w:tcPr>
            <w:tcW w:w="5240" w:type="dxa"/>
            <w:vAlign w:val="bottom"/>
            <w:vMerge w:val="continue"/>
            <w:shd w:val="clear" w:color="auto" w:fill="FDFDFC"/>
          </w:tcPr>
          <w:p>
            <w:pPr>
              <w:spacing w:after="0"/>
              <w:rPr>
                <w:sz w:val="10"/>
                <w:szCs w:val="10"/>
                <w:color w:val="auto"/>
              </w:rPr>
            </w:pPr>
          </w:p>
        </w:tc>
        <w:tc>
          <w:tcPr>
            <w:tcW w:w="80" w:type="dxa"/>
            <w:vAlign w:val="bottom"/>
            <w:shd w:val="clear" w:color="auto" w:fill="FDFDFC"/>
          </w:tcPr>
          <w:p>
            <w:pPr>
              <w:spacing w:after="0"/>
              <w:rPr>
                <w:sz w:val="10"/>
                <w:szCs w:val="10"/>
                <w:color w:val="auto"/>
              </w:rPr>
            </w:pPr>
          </w:p>
        </w:tc>
        <w:tc>
          <w:tcPr>
            <w:tcW w:w="100" w:type="dxa"/>
            <w:vAlign w:val="bottom"/>
            <w:shd w:val="clear" w:color="auto" w:fill="FDFDFC"/>
          </w:tcPr>
          <w:p>
            <w:pPr>
              <w:spacing w:after="0"/>
              <w:rPr>
                <w:sz w:val="10"/>
                <w:szCs w:val="10"/>
                <w:color w:val="auto"/>
              </w:rPr>
            </w:pPr>
          </w:p>
        </w:tc>
        <w:tc>
          <w:tcPr>
            <w:tcW w:w="1000" w:type="dxa"/>
            <w:vAlign w:val="bottom"/>
            <w:vMerge w:val="restart"/>
            <w:shd w:val="clear" w:color="auto" w:fill="FDFDFC"/>
          </w:tcPr>
          <w:p>
            <w:pPr>
              <w:jc w:val="right"/>
              <w:ind w:right="309"/>
              <w:spacing w:after="0"/>
              <w:rPr>
                <w:sz w:val="20"/>
                <w:szCs w:val="20"/>
                <w:color w:val="auto"/>
              </w:rPr>
            </w:pPr>
            <w:r>
              <w:rPr>
                <w:rFonts w:ascii="Times New Roman" w:cs="Times New Roman" w:eastAsia="Times New Roman" w:hAnsi="Times New Roman"/>
                <w:sz w:val="15"/>
                <w:szCs w:val="15"/>
                <w:b w:val="1"/>
                <w:bCs w:val="1"/>
                <w:color w:val="231F20"/>
              </w:rPr>
              <w:t>2024</w:t>
            </w:r>
          </w:p>
        </w:tc>
        <w:tc>
          <w:tcPr>
            <w:tcW w:w="100" w:type="dxa"/>
            <w:vAlign w:val="bottom"/>
            <w:shd w:val="clear" w:color="auto" w:fill="FDFDFC"/>
          </w:tcPr>
          <w:p>
            <w:pPr>
              <w:spacing w:after="0"/>
              <w:rPr>
                <w:sz w:val="10"/>
                <w:szCs w:val="10"/>
                <w:color w:val="auto"/>
              </w:rPr>
            </w:pPr>
          </w:p>
        </w:tc>
        <w:tc>
          <w:tcPr>
            <w:tcW w:w="140" w:type="dxa"/>
            <w:vAlign w:val="bottom"/>
            <w:shd w:val="clear" w:color="auto" w:fill="FDFDFC"/>
          </w:tcPr>
          <w:p>
            <w:pPr>
              <w:spacing w:after="0"/>
              <w:rPr>
                <w:sz w:val="10"/>
                <w:szCs w:val="10"/>
                <w:color w:val="auto"/>
              </w:rPr>
            </w:pPr>
          </w:p>
        </w:tc>
        <w:tc>
          <w:tcPr>
            <w:tcW w:w="100" w:type="dxa"/>
            <w:vAlign w:val="bottom"/>
            <w:shd w:val="clear" w:color="auto" w:fill="FDFDFC"/>
          </w:tcPr>
          <w:p>
            <w:pPr>
              <w:spacing w:after="0"/>
              <w:rPr>
                <w:sz w:val="10"/>
                <w:szCs w:val="10"/>
                <w:color w:val="auto"/>
              </w:rPr>
            </w:pPr>
          </w:p>
        </w:tc>
        <w:tc>
          <w:tcPr>
            <w:tcW w:w="1000" w:type="dxa"/>
            <w:vAlign w:val="bottom"/>
            <w:vMerge w:val="restart"/>
            <w:shd w:val="clear" w:color="auto" w:fill="FDFDFC"/>
          </w:tcPr>
          <w:p>
            <w:pPr>
              <w:jc w:val="center"/>
              <w:ind w:right="51"/>
              <w:spacing w:after="0"/>
              <w:rPr>
                <w:sz w:val="20"/>
                <w:szCs w:val="20"/>
                <w:color w:val="auto"/>
              </w:rPr>
            </w:pPr>
            <w:r>
              <w:rPr>
                <w:rFonts w:ascii="Times New Roman" w:cs="Times New Roman" w:eastAsia="Times New Roman" w:hAnsi="Times New Roman"/>
                <w:sz w:val="15"/>
                <w:szCs w:val="15"/>
                <w:b w:val="1"/>
                <w:bCs w:val="1"/>
                <w:color w:val="231F20"/>
                <w:w w:val="99"/>
              </w:rPr>
              <w:t>2023</w:t>
            </w:r>
          </w:p>
        </w:tc>
        <w:tc>
          <w:tcPr>
            <w:tcW w:w="80" w:type="dxa"/>
            <w:vAlign w:val="bottom"/>
            <w:shd w:val="clear" w:color="auto" w:fill="FDFDFC"/>
          </w:tcPr>
          <w:p>
            <w:pPr>
              <w:spacing w:after="0"/>
              <w:rPr>
                <w:sz w:val="10"/>
                <w:szCs w:val="10"/>
                <w:color w:val="auto"/>
              </w:rPr>
            </w:pPr>
          </w:p>
        </w:tc>
        <w:tc>
          <w:tcPr>
            <w:tcW w:w="140" w:type="dxa"/>
            <w:vAlign w:val="bottom"/>
            <w:shd w:val="clear" w:color="auto" w:fill="FDFDFC"/>
          </w:tcPr>
          <w:p>
            <w:pPr>
              <w:spacing w:after="0"/>
              <w:rPr>
                <w:sz w:val="10"/>
                <w:szCs w:val="10"/>
                <w:color w:val="auto"/>
              </w:rPr>
            </w:pPr>
          </w:p>
        </w:tc>
        <w:tc>
          <w:tcPr>
            <w:tcW w:w="100" w:type="dxa"/>
            <w:vAlign w:val="bottom"/>
            <w:shd w:val="clear" w:color="auto" w:fill="FDFDFC"/>
          </w:tcPr>
          <w:p>
            <w:pPr>
              <w:spacing w:after="0"/>
              <w:rPr>
                <w:sz w:val="10"/>
                <w:szCs w:val="10"/>
                <w:color w:val="auto"/>
              </w:rPr>
            </w:pPr>
          </w:p>
        </w:tc>
        <w:tc>
          <w:tcPr>
            <w:tcW w:w="1000" w:type="dxa"/>
            <w:vAlign w:val="bottom"/>
            <w:vMerge w:val="restart"/>
            <w:shd w:val="clear" w:color="auto" w:fill="FDFDFC"/>
          </w:tcPr>
          <w:p>
            <w:pPr>
              <w:jc w:val="right"/>
              <w:ind w:right="309"/>
              <w:spacing w:after="0"/>
              <w:rPr>
                <w:sz w:val="20"/>
                <w:szCs w:val="20"/>
                <w:color w:val="auto"/>
              </w:rPr>
            </w:pPr>
            <w:r>
              <w:rPr>
                <w:rFonts w:ascii="Times New Roman" w:cs="Times New Roman" w:eastAsia="Times New Roman" w:hAnsi="Times New Roman"/>
                <w:sz w:val="15"/>
                <w:szCs w:val="15"/>
                <w:b w:val="1"/>
                <w:bCs w:val="1"/>
                <w:color w:val="231F20"/>
              </w:rPr>
              <w:t>2022</w:t>
            </w:r>
          </w:p>
        </w:tc>
        <w:tc>
          <w:tcPr>
            <w:tcW w:w="100" w:type="dxa"/>
            <w:vAlign w:val="bottom"/>
            <w:shd w:val="clear" w:color="auto" w:fill="FDFDFC"/>
          </w:tcPr>
          <w:p>
            <w:pPr>
              <w:spacing w:after="0"/>
              <w:rPr>
                <w:sz w:val="10"/>
                <w:szCs w:val="10"/>
                <w:color w:val="auto"/>
              </w:rPr>
            </w:pPr>
          </w:p>
        </w:tc>
        <w:tc>
          <w:tcPr>
            <w:tcW w:w="0" w:type="dxa"/>
            <w:vAlign w:val="bottom"/>
          </w:tcPr>
          <w:p>
            <w:pPr>
              <w:spacing w:after="0"/>
              <w:rPr>
                <w:sz w:val="1"/>
                <w:szCs w:val="1"/>
                <w:color w:val="auto"/>
              </w:rPr>
            </w:pPr>
          </w:p>
        </w:tc>
      </w:tr>
      <w:tr>
        <w:trPr>
          <w:trHeight w:val="74"/>
        </w:trPr>
        <w:tc>
          <w:tcPr>
            <w:tcW w:w="5240" w:type="dxa"/>
            <w:vAlign w:val="bottom"/>
            <w:tcBorders>
              <w:bottom w:val="single" w:sz="8" w:color="D0EBF2"/>
            </w:tcBorders>
            <w:shd w:val="clear" w:color="auto" w:fill="FDFDFC"/>
          </w:tcPr>
          <w:p>
            <w:pPr>
              <w:spacing w:after="0"/>
              <w:rPr>
                <w:sz w:val="6"/>
                <w:szCs w:val="6"/>
                <w:color w:val="auto"/>
              </w:rPr>
            </w:pPr>
          </w:p>
        </w:tc>
        <w:tc>
          <w:tcPr>
            <w:tcW w:w="80" w:type="dxa"/>
            <w:vAlign w:val="bottom"/>
            <w:tcBorders>
              <w:bottom w:val="single" w:sz="8" w:color="D0EBF2"/>
            </w:tcBorders>
            <w:shd w:val="clear" w:color="auto" w:fill="FDFDFC"/>
          </w:tcPr>
          <w:p>
            <w:pPr>
              <w:spacing w:after="0"/>
              <w:rPr>
                <w:sz w:val="6"/>
                <w:szCs w:val="6"/>
                <w:color w:val="auto"/>
              </w:rPr>
            </w:pPr>
          </w:p>
        </w:tc>
        <w:tc>
          <w:tcPr>
            <w:tcW w:w="100" w:type="dxa"/>
            <w:vAlign w:val="bottom"/>
            <w:tcBorders>
              <w:bottom w:val="single" w:sz="8" w:color="231F20"/>
            </w:tcBorders>
            <w:shd w:val="clear" w:color="auto" w:fill="FDFDFC"/>
          </w:tcPr>
          <w:p>
            <w:pPr>
              <w:spacing w:after="0"/>
              <w:rPr>
                <w:sz w:val="6"/>
                <w:szCs w:val="6"/>
                <w:color w:val="auto"/>
              </w:rPr>
            </w:pPr>
          </w:p>
        </w:tc>
        <w:tc>
          <w:tcPr>
            <w:tcW w:w="1000" w:type="dxa"/>
            <w:vAlign w:val="bottom"/>
            <w:tcBorders>
              <w:bottom w:val="single" w:sz="8" w:color="231F20"/>
            </w:tcBorders>
            <w:vMerge w:val="continue"/>
            <w:shd w:val="clear" w:color="auto" w:fill="FDFDFC"/>
          </w:tcPr>
          <w:p>
            <w:pPr>
              <w:spacing w:after="0"/>
              <w:rPr>
                <w:sz w:val="6"/>
                <w:szCs w:val="6"/>
                <w:color w:val="auto"/>
              </w:rPr>
            </w:pPr>
          </w:p>
        </w:tc>
        <w:tc>
          <w:tcPr>
            <w:tcW w:w="100" w:type="dxa"/>
            <w:vAlign w:val="bottom"/>
            <w:tcBorders>
              <w:bottom w:val="single" w:sz="8" w:color="D0EBF2"/>
            </w:tcBorders>
            <w:shd w:val="clear" w:color="auto" w:fill="FDFDFC"/>
          </w:tcPr>
          <w:p>
            <w:pPr>
              <w:spacing w:after="0"/>
              <w:rPr>
                <w:sz w:val="6"/>
                <w:szCs w:val="6"/>
                <w:color w:val="auto"/>
              </w:rPr>
            </w:pPr>
          </w:p>
        </w:tc>
        <w:tc>
          <w:tcPr>
            <w:tcW w:w="140" w:type="dxa"/>
            <w:vAlign w:val="bottom"/>
            <w:tcBorders>
              <w:bottom w:val="single" w:sz="8" w:color="D0EBF2"/>
            </w:tcBorders>
            <w:shd w:val="clear" w:color="auto" w:fill="FDFDFC"/>
          </w:tcPr>
          <w:p>
            <w:pPr>
              <w:spacing w:after="0"/>
              <w:rPr>
                <w:sz w:val="6"/>
                <w:szCs w:val="6"/>
                <w:color w:val="auto"/>
              </w:rPr>
            </w:pPr>
          </w:p>
        </w:tc>
        <w:tc>
          <w:tcPr>
            <w:tcW w:w="100" w:type="dxa"/>
            <w:vAlign w:val="bottom"/>
            <w:tcBorders>
              <w:bottom w:val="single" w:sz="8" w:color="231F20"/>
            </w:tcBorders>
            <w:shd w:val="clear" w:color="auto" w:fill="FDFDFC"/>
          </w:tcPr>
          <w:p>
            <w:pPr>
              <w:spacing w:after="0"/>
              <w:rPr>
                <w:sz w:val="6"/>
                <w:szCs w:val="6"/>
                <w:color w:val="auto"/>
              </w:rPr>
            </w:pPr>
          </w:p>
        </w:tc>
        <w:tc>
          <w:tcPr>
            <w:tcW w:w="1000" w:type="dxa"/>
            <w:vAlign w:val="bottom"/>
            <w:tcBorders>
              <w:bottom w:val="single" w:sz="8" w:color="231F20"/>
            </w:tcBorders>
            <w:vMerge w:val="continue"/>
            <w:shd w:val="clear" w:color="auto" w:fill="FDFDFC"/>
          </w:tcPr>
          <w:p>
            <w:pPr>
              <w:spacing w:after="0"/>
              <w:rPr>
                <w:sz w:val="6"/>
                <w:szCs w:val="6"/>
                <w:color w:val="auto"/>
              </w:rPr>
            </w:pPr>
          </w:p>
        </w:tc>
        <w:tc>
          <w:tcPr>
            <w:tcW w:w="80" w:type="dxa"/>
            <w:vAlign w:val="bottom"/>
            <w:tcBorders>
              <w:bottom w:val="single" w:sz="8" w:color="D0EBF2"/>
            </w:tcBorders>
            <w:shd w:val="clear" w:color="auto" w:fill="FDFDFC"/>
          </w:tcPr>
          <w:p>
            <w:pPr>
              <w:spacing w:after="0"/>
              <w:rPr>
                <w:sz w:val="6"/>
                <w:szCs w:val="6"/>
                <w:color w:val="auto"/>
              </w:rPr>
            </w:pPr>
          </w:p>
        </w:tc>
        <w:tc>
          <w:tcPr>
            <w:tcW w:w="140" w:type="dxa"/>
            <w:vAlign w:val="bottom"/>
            <w:tcBorders>
              <w:bottom w:val="single" w:sz="8" w:color="D0EBF2"/>
            </w:tcBorders>
            <w:shd w:val="clear" w:color="auto" w:fill="FDFDFC"/>
          </w:tcPr>
          <w:p>
            <w:pPr>
              <w:spacing w:after="0"/>
              <w:rPr>
                <w:sz w:val="6"/>
                <w:szCs w:val="6"/>
                <w:color w:val="auto"/>
              </w:rPr>
            </w:pPr>
          </w:p>
        </w:tc>
        <w:tc>
          <w:tcPr>
            <w:tcW w:w="100" w:type="dxa"/>
            <w:vAlign w:val="bottom"/>
            <w:tcBorders>
              <w:bottom w:val="single" w:sz="8" w:color="231F20"/>
            </w:tcBorders>
            <w:shd w:val="clear" w:color="auto" w:fill="FDFDFC"/>
          </w:tcPr>
          <w:p>
            <w:pPr>
              <w:spacing w:after="0"/>
              <w:rPr>
                <w:sz w:val="6"/>
                <w:szCs w:val="6"/>
                <w:color w:val="auto"/>
              </w:rPr>
            </w:pPr>
          </w:p>
        </w:tc>
        <w:tc>
          <w:tcPr>
            <w:tcW w:w="1000" w:type="dxa"/>
            <w:vAlign w:val="bottom"/>
            <w:tcBorders>
              <w:bottom w:val="single" w:sz="8" w:color="231F20"/>
            </w:tcBorders>
            <w:vMerge w:val="continue"/>
            <w:shd w:val="clear" w:color="auto" w:fill="FDFDFC"/>
          </w:tcPr>
          <w:p>
            <w:pPr>
              <w:spacing w:after="0"/>
              <w:rPr>
                <w:sz w:val="6"/>
                <w:szCs w:val="6"/>
                <w:color w:val="auto"/>
              </w:rPr>
            </w:pPr>
          </w:p>
        </w:tc>
        <w:tc>
          <w:tcPr>
            <w:tcW w:w="100" w:type="dxa"/>
            <w:vAlign w:val="bottom"/>
            <w:tcBorders>
              <w:bottom w:val="single" w:sz="8" w:color="D0EBF2"/>
            </w:tcBorders>
            <w:shd w:val="clear" w:color="auto" w:fill="FDFDFC"/>
          </w:tcPr>
          <w:p>
            <w:pPr>
              <w:spacing w:after="0"/>
              <w:rPr>
                <w:sz w:val="6"/>
                <w:szCs w:val="6"/>
                <w:color w:val="auto"/>
              </w:rPr>
            </w:pPr>
          </w:p>
        </w:tc>
        <w:tc>
          <w:tcPr>
            <w:tcW w:w="0" w:type="dxa"/>
            <w:vAlign w:val="bottom"/>
          </w:tcPr>
          <w:p>
            <w:pPr>
              <w:spacing w:after="0"/>
              <w:rPr>
                <w:sz w:val="1"/>
                <w:szCs w:val="1"/>
                <w:color w:val="auto"/>
              </w:rPr>
            </w:pPr>
          </w:p>
        </w:tc>
      </w:tr>
      <w:tr>
        <w:trPr>
          <w:trHeight w:val="207"/>
        </w:trPr>
        <w:tc>
          <w:tcPr>
            <w:tcW w:w="5240" w:type="dxa"/>
            <w:vAlign w:val="bottom"/>
            <w:shd w:val="clear" w:color="auto" w:fill="D0EBF2"/>
          </w:tcPr>
          <w:p>
            <w:pPr>
              <w:spacing w:after="0" w:line="206" w:lineRule="exact"/>
              <w:rPr>
                <w:sz w:val="20"/>
                <w:szCs w:val="20"/>
                <w:color w:val="auto"/>
              </w:rPr>
            </w:pPr>
            <w:r>
              <w:rPr>
                <w:rFonts w:ascii="Times New Roman" w:cs="Times New Roman" w:eastAsia="Times New Roman" w:hAnsi="Times New Roman"/>
                <w:sz w:val="19"/>
                <w:szCs w:val="19"/>
                <w:color w:val="231F20"/>
              </w:rPr>
              <w:t>Total investment income</w:t>
            </w:r>
          </w:p>
        </w:tc>
        <w:tc>
          <w:tcPr>
            <w:tcW w:w="80" w:type="dxa"/>
            <w:vAlign w:val="bottom"/>
            <w:shd w:val="clear" w:color="auto" w:fill="D0EBF2"/>
          </w:tcPr>
          <w:p>
            <w:pPr>
              <w:spacing w:after="0"/>
              <w:rPr>
                <w:sz w:val="17"/>
                <w:szCs w:val="17"/>
                <w:color w:val="auto"/>
              </w:rPr>
            </w:pPr>
          </w:p>
        </w:tc>
        <w:tc>
          <w:tcPr>
            <w:tcW w:w="100" w:type="dxa"/>
            <w:vAlign w:val="bottom"/>
            <w:shd w:val="clear" w:color="auto" w:fill="D0EBF2"/>
          </w:tcPr>
          <w:p>
            <w:pPr>
              <w:jc w:val="right"/>
              <w:spacing w:after="0" w:line="206" w:lineRule="exact"/>
              <w:rPr>
                <w:sz w:val="20"/>
                <w:szCs w:val="20"/>
                <w:color w:val="auto"/>
              </w:rPr>
            </w:pPr>
            <w:r>
              <w:rPr>
                <w:rFonts w:ascii="Times New Roman" w:cs="Times New Roman" w:eastAsia="Times New Roman" w:hAnsi="Times New Roman"/>
                <w:sz w:val="19"/>
                <w:szCs w:val="19"/>
                <w:color w:val="231F20"/>
                <w:w w:val="83"/>
              </w:rPr>
              <w:t>$</w:t>
            </w:r>
          </w:p>
        </w:tc>
        <w:tc>
          <w:tcPr>
            <w:tcW w:w="1000" w:type="dxa"/>
            <w:vAlign w:val="bottom"/>
            <w:shd w:val="clear" w:color="auto" w:fill="D0EBF2"/>
          </w:tcPr>
          <w:p>
            <w:pPr>
              <w:jc w:val="right"/>
              <w:spacing w:after="0" w:line="206" w:lineRule="exact"/>
              <w:rPr>
                <w:sz w:val="20"/>
                <w:szCs w:val="20"/>
                <w:color w:val="auto"/>
              </w:rPr>
            </w:pPr>
            <w:r>
              <w:rPr>
                <w:rFonts w:ascii="Times New Roman" w:cs="Times New Roman" w:eastAsia="Times New Roman" w:hAnsi="Times New Roman"/>
                <w:sz w:val="19"/>
                <w:szCs w:val="19"/>
                <w:color w:val="231F20"/>
              </w:rPr>
              <w:t>482.5</w:t>
            </w:r>
          </w:p>
        </w:tc>
        <w:tc>
          <w:tcPr>
            <w:tcW w:w="100" w:type="dxa"/>
            <w:vAlign w:val="bottom"/>
            <w:shd w:val="clear" w:color="auto" w:fill="D0EBF2"/>
          </w:tcPr>
          <w:p>
            <w:pPr>
              <w:spacing w:after="0"/>
              <w:rPr>
                <w:sz w:val="17"/>
                <w:szCs w:val="17"/>
                <w:color w:val="auto"/>
              </w:rPr>
            </w:pPr>
          </w:p>
        </w:tc>
        <w:tc>
          <w:tcPr>
            <w:tcW w:w="140" w:type="dxa"/>
            <w:vAlign w:val="bottom"/>
            <w:shd w:val="clear" w:color="auto" w:fill="D0EBF2"/>
          </w:tcPr>
          <w:p>
            <w:pPr>
              <w:spacing w:after="0"/>
              <w:rPr>
                <w:sz w:val="17"/>
                <w:szCs w:val="17"/>
                <w:color w:val="auto"/>
              </w:rPr>
            </w:pPr>
          </w:p>
        </w:tc>
        <w:tc>
          <w:tcPr>
            <w:tcW w:w="100" w:type="dxa"/>
            <w:vAlign w:val="bottom"/>
            <w:shd w:val="clear" w:color="auto" w:fill="D0EBF2"/>
          </w:tcPr>
          <w:p>
            <w:pPr>
              <w:jc w:val="right"/>
              <w:spacing w:after="0" w:line="206" w:lineRule="exact"/>
              <w:rPr>
                <w:sz w:val="20"/>
                <w:szCs w:val="20"/>
                <w:color w:val="auto"/>
              </w:rPr>
            </w:pPr>
            <w:r>
              <w:rPr>
                <w:rFonts w:ascii="Times New Roman" w:cs="Times New Roman" w:eastAsia="Times New Roman" w:hAnsi="Times New Roman"/>
                <w:sz w:val="19"/>
                <w:szCs w:val="19"/>
                <w:color w:val="231F20"/>
                <w:w w:val="83"/>
              </w:rPr>
              <w:t>$</w:t>
            </w:r>
          </w:p>
        </w:tc>
        <w:tc>
          <w:tcPr>
            <w:tcW w:w="1000" w:type="dxa"/>
            <w:vAlign w:val="bottom"/>
            <w:shd w:val="clear" w:color="auto" w:fill="D0EBF2"/>
          </w:tcPr>
          <w:p>
            <w:pPr>
              <w:jc w:val="right"/>
              <w:spacing w:after="0" w:line="206" w:lineRule="exact"/>
              <w:rPr>
                <w:sz w:val="20"/>
                <w:szCs w:val="20"/>
                <w:color w:val="auto"/>
              </w:rPr>
            </w:pPr>
            <w:r>
              <w:rPr>
                <w:rFonts w:ascii="Times New Roman" w:cs="Times New Roman" w:eastAsia="Times New Roman" w:hAnsi="Times New Roman"/>
                <w:sz w:val="19"/>
                <w:szCs w:val="19"/>
                <w:color w:val="231F20"/>
              </w:rPr>
              <w:t>438.1</w:t>
            </w:r>
          </w:p>
        </w:tc>
        <w:tc>
          <w:tcPr>
            <w:tcW w:w="80" w:type="dxa"/>
            <w:vAlign w:val="bottom"/>
            <w:shd w:val="clear" w:color="auto" w:fill="D0EBF2"/>
          </w:tcPr>
          <w:p>
            <w:pPr>
              <w:spacing w:after="0"/>
              <w:rPr>
                <w:sz w:val="17"/>
                <w:szCs w:val="17"/>
                <w:color w:val="auto"/>
              </w:rPr>
            </w:pPr>
          </w:p>
        </w:tc>
        <w:tc>
          <w:tcPr>
            <w:tcW w:w="140" w:type="dxa"/>
            <w:vAlign w:val="bottom"/>
            <w:shd w:val="clear" w:color="auto" w:fill="D0EBF2"/>
          </w:tcPr>
          <w:p>
            <w:pPr>
              <w:spacing w:after="0"/>
              <w:rPr>
                <w:sz w:val="17"/>
                <w:szCs w:val="17"/>
                <w:color w:val="auto"/>
              </w:rPr>
            </w:pPr>
          </w:p>
        </w:tc>
        <w:tc>
          <w:tcPr>
            <w:tcW w:w="100" w:type="dxa"/>
            <w:vAlign w:val="bottom"/>
            <w:shd w:val="clear" w:color="auto" w:fill="D0EBF2"/>
          </w:tcPr>
          <w:p>
            <w:pPr>
              <w:jc w:val="right"/>
              <w:spacing w:after="0" w:line="206" w:lineRule="exact"/>
              <w:rPr>
                <w:sz w:val="20"/>
                <w:szCs w:val="20"/>
                <w:color w:val="auto"/>
              </w:rPr>
            </w:pPr>
            <w:r>
              <w:rPr>
                <w:rFonts w:ascii="Times New Roman" w:cs="Times New Roman" w:eastAsia="Times New Roman" w:hAnsi="Times New Roman"/>
                <w:sz w:val="19"/>
                <w:szCs w:val="19"/>
                <w:color w:val="231F20"/>
                <w:w w:val="83"/>
              </w:rPr>
              <w:t>$</w:t>
            </w:r>
          </w:p>
        </w:tc>
        <w:tc>
          <w:tcPr>
            <w:tcW w:w="1000" w:type="dxa"/>
            <w:vAlign w:val="bottom"/>
            <w:shd w:val="clear" w:color="auto" w:fill="D0EBF2"/>
          </w:tcPr>
          <w:p>
            <w:pPr>
              <w:jc w:val="right"/>
              <w:spacing w:after="0" w:line="206" w:lineRule="exact"/>
              <w:rPr>
                <w:sz w:val="20"/>
                <w:szCs w:val="20"/>
                <w:color w:val="auto"/>
              </w:rPr>
            </w:pPr>
            <w:r>
              <w:rPr>
                <w:rFonts w:ascii="Times New Roman" w:cs="Times New Roman" w:eastAsia="Times New Roman" w:hAnsi="Times New Roman"/>
                <w:sz w:val="19"/>
                <w:szCs w:val="19"/>
                <w:color w:val="231F20"/>
              </w:rPr>
              <w:t>309.3</w:t>
            </w:r>
          </w:p>
        </w:tc>
        <w:tc>
          <w:tcPr>
            <w:tcW w:w="100" w:type="dxa"/>
            <w:vAlign w:val="bottom"/>
            <w:shd w:val="clear" w:color="auto" w:fill="D0EBF2"/>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5240" w:type="dxa"/>
            <w:vAlign w:val="bottom"/>
            <w:tcBorders>
              <w:bottom w:val="single" w:sz="8" w:color="D0EBF2"/>
            </w:tcBorders>
            <w:shd w:val="clear" w:color="auto" w:fill="FDFDFC"/>
          </w:tcPr>
          <w:p>
            <w:pPr>
              <w:spacing w:after="0" w:line="217" w:lineRule="exact"/>
              <w:rPr>
                <w:sz w:val="20"/>
                <w:szCs w:val="20"/>
                <w:color w:val="auto"/>
              </w:rPr>
            </w:pPr>
            <w:r>
              <w:rPr>
                <w:rFonts w:ascii="Times New Roman" w:cs="Times New Roman" w:eastAsia="Times New Roman" w:hAnsi="Times New Roman"/>
                <w:sz w:val="19"/>
                <w:szCs w:val="19"/>
                <w:color w:val="231F20"/>
              </w:rPr>
              <w:t>Less: Net expenses</w:t>
            </w:r>
          </w:p>
        </w:tc>
        <w:tc>
          <w:tcPr>
            <w:tcW w:w="80" w:type="dxa"/>
            <w:vAlign w:val="bottom"/>
            <w:tcBorders>
              <w:bottom w:val="single" w:sz="8" w:color="D0EBF2"/>
            </w:tcBorders>
            <w:shd w:val="clear" w:color="auto" w:fill="FDFDFC"/>
          </w:tcPr>
          <w:p>
            <w:pPr>
              <w:spacing w:after="0"/>
              <w:rPr>
                <w:sz w:val="18"/>
                <w:szCs w:val="18"/>
                <w:color w:val="auto"/>
              </w:rPr>
            </w:pPr>
          </w:p>
        </w:tc>
        <w:tc>
          <w:tcPr>
            <w:tcW w:w="100" w:type="dxa"/>
            <w:vAlign w:val="bottom"/>
            <w:tcBorders>
              <w:bottom w:val="single" w:sz="8" w:color="231F20"/>
            </w:tcBorders>
            <w:shd w:val="clear" w:color="auto" w:fill="FDFDFC"/>
          </w:tcPr>
          <w:p>
            <w:pPr>
              <w:spacing w:after="0"/>
              <w:rPr>
                <w:sz w:val="18"/>
                <w:szCs w:val="18"/>
                <w:color w:val="auto"/>
              </w:rPr>
            </w:pPr>
          </w:p>
        </w:tc>
        <w:tc>
          <w:tcPr>
            <w:tcW w:w="1000" w:type="dxa"/>
            <w:vAlign w:val="bottom"/>
            <w:tcBorders>
              <w:bottom w:val="single" w:sz="8" w:color="231F20"/>
            </w:tcBorders>
            <w:shd w:val="clear" w:color="auto" w:fill="FDFDFC"/>
          </w:tcPr>
          <w:p>
            <w:pPr>
              <w:jc w:val="right"/>
              <w:spacing w:after="0" w:line="217" w:lineRule="exact"/>
              <w:rPr>
                <w:sz w:val="20"/>
                <w:szCs w:val="20"/>
                <w:color w:val="auto"/>
              </w:rPr>
            </w:pPr>
            <w:r>
              <w:rPr>
                <w:rFonts w:ascii="Times New Roman" w:cs="Times New Roman" w:eastAsia="Times New Roman" w:hAnsi="Times New Roman"/>
                <w:sz w:val="19"/>
                <w:szCs w:val="19"/>
                <w:color w:val="231F20"/>
              </w:rPr>
              <w:t>258.5</w:t>
            </w:r>
          </w:p>
        </w:tc>
        <w:tc>
          <w:tcPr>
            <w:tcW w:w="100" w:type="dxa"/>
            <w:vAlign w:val="bottom"/>
            <w:tcBorders>
              <w:bottom w:val="single" w:sz="8" w:color="D0EBF2"/>
            </w:tcBorders>
            <w:shd w:val="clear" w:color="auto" w:fill="FDFDFC"/>
          </w:tcPr>
          <w:p>
            <w:pPr>
              <w:spacing w:after="0"/>
              <w:rPr>
                <w:sz w:val="18"/>
                <w:szCs w:val="18"/>
                <w:color w:val="auto"/>
              </w:rPr>
            </w:pPr>
          </w:p>
        </w:tc>
        <w:tc>
          <w:tcPr>
            <w:tcW w:w="140" w:type="dxa"/>
            <w:vAlign w:val="bottom"/>
            <w:tcBorders>
              <w:bottom w:val="single" w:sz="8" w:color="D0EBF2"/>
            </w:tcBorders>
            <w:shd w:val="clear" w:color="auto" w:fill="FDFDFC"/>
          </w:tcPr>
          <w:p>
            <w:pPr>
              <w:spacing w:after="0"/>
              <w:rPr>
                <w:sz w:val="18"/>
                <w:szCs w:val="18"/>
                <w:color w:val="auto"/>
              </w:rPr>
            </w:pPr>
          </w:p>
        </w:tc>
        <w:tc>
          <w:tcPr>
            <w:tcW w:w="100" w:type="dxa"/>
            <w:vAlign w:val="bottom"/>
            <w:tcBorders>
              <w:bottom w:val="single" w:sz="8" w:color="231F20"/>
            </w:tcBorders>
            <w:shd w:val="clear" w:color="auto" w:fill="FDFDFC"/>
          </w:tcPr>
          <w:p>
            <w:pPr>
              <w:spacing w:after="0"/>
              <w:rPr>
                <w:sz w:val="18"/>
                <w:szCs w:val="18"/>
                <w:color w:val="auto"/>
              </w:rPr>
            </w:pPr>
          </w:p>
        </w:tc>
        <w:tc>
          <w:tcPr>
            <w:tcW w:w="1000" w:type="dxa"/>
            <w:vAlign w:val="bottom"/>
            <w:tcBorders>
              <w:bottom w:val="single" w:sz="8" w:color="231F20"/>
            </w:tcBorders>
            <w:shd w:val="clear" w:color="auto" w:fill="FDFDFC"/>
          </w:tcPr>
          <w:p>
            <w:pPr>
              <w:jc w:val="right"/>
              <w:spacing w:after="0" w:line="217" w:lineRule="exact"/>
              <w:rPr>
                <w:sz w:val="20"/>
                <w:szCs w:val="20"/>
                <w:color w:val="auto"/>
              </w:rPr>
            </w:pPr>
            <w:r>
              <w:rPr>
                <w:rFonts w:ascii="Times New Roman" w:cs="Times New Roman" w:eastAsia="Times New Roman" w:hAnsi="Times New Roman"/>
                <w:sz w:val="19"/>
                <w:szCs w:val="19"/>
                <w:color w:val="231F20"/>
              </w:rPr>
              <w:t>239.3</w:t>
            </w:r>
          </w:p>
        </w:tc>
        <w:tc>
          <w:tcPr>
            <w:tcW w:w="80" w:type="dxa"/>
            <w:vAlign w:val="bottom"/>
            <w:tcBorders>
              <w:bottom w:val="single" w:sz="8" w:color="D0EBF2"/>
            </w:tcBorders>
            <w:shd w:val="clear" w:color="auto" w:fill="FDFDFC"/>
          </w:tcPr>
          <w:p>
            <w:pPr>
              <w:spacing w:after="0"/>
              <w:rPr>
                <w:sz w:val="18"/>
                <w:szCs w:val="18"/>
                <w:color w:val="auto"/>
              </w:rPr>
            </w:pPr>
          </w:p>
        </w:tc>
        <w:tc>
          <w:tcPr>
            <w:tcW w:w="140" w:type="dxa"/>
            <w:vAlign w:val="bottom"/>
            <w:tcBorders>
              <w:bottom w:val="single" w:sz="8" w:color="D0EBF2"/>
            </w:tcBorders>
            <w:shd w:val="clear" w:color="auto" w:fill="FDFDFC"/>
          </w:tcPr>
          <w:p>
            <w:pPr>
              <w:spacing w:after="0"/>
              <w:rPr>
                <w:sz w:val="18"/>
                <w:szCs w:val="18"/>
                <w:color w:val="auto"/>
              </w:rPr>
            </w:pPr>
          </w:p>
        </w:tc>
        <w:tc>
          <w:tcPr>
            <w:tcW w:w="100" w:type="dxa"/>
            <w:vAlign w:val="bottom"/>
            <w:tcBorders>
              <w:bottom w:val="single" w:sz="8" w:color="231F20"/>
            </w:tcBorders>
            <w:shd w:val="clear" w:color="auto" w:fill="FDFDFC"/>
          </w:tcPr>
          <w:p>
            <w:pPr>
              <w:spacing w:after="0"/>
              <w:rPr>
                <w:sz w:val="18"/>
                <w:szCs w:val="18"/>
                <w:color w:val="auto"/>
              </w:rPr>
            </w:pPr>
          </w:p>
        </w:tc>
        <w:tc>
          <w:tcPr>
            <w:tcW w:w="1000" w:type="dxa"/>
            <w:vAlign w:val="bottom"/>
            <w:tcBorders>
              <w:bottom w:val="single" w:sz="8" w:color="231F20"/>
            </w:tcBorders>
            <w:shd w:val="clear" w:color="auto" w:fill="FDFDFC"/>
          </w:tcPr>
          <w:p>
            <w:pPr>
              <w:jc w:val="right"/>
              <w:spacing w:after="0" w:line="217" w:lineRule="exact"/>
              <w:rPr>
                <w:sz w:val="20"/>
                <w:szCs w:val="20"/>
                <w:color w:val="auto"/>
              </w:rPr>
            </w:pPr>
            <w:r>
              <w:rPr>
                <w:rFonts w:ascii="Times New Roman" w:cs="Times New Roman" w:eastAsia="Times New Roman" w:hAnsi="Times New Roman"/>
                <w:sz w:val="19"/>
                <w:szCs w:val="19"/>
                <w:color w:val="231F20"/>
              </w:rPr>
              <w:t>140.4</w:t>
            </w:r>
          </w:p>
        </w:tc>
        <w:tc>
          <w:tcPr>
            <w:tcW w:w="100" w:type="dxa"/>
            <w:vAlign w:val="bottom"/>
            <w:tcBorders>
              <w:bottom w:val="single" w:sz="8" w:color="D0EBF2"/>
            </w:tcBorders>
            <w:shd w:val="clear" w:color="auto" w:fill="FDFDFC"/>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5240" w:type="dxa"/>
            <w:vAlign w:val="bottom"/>
            <w:shd w:val="clear" w:color="auto" w:fill="D0EBF2"/>
          </w:tcPr>
          <w:p>
            <w:pPr>
              <w:ind w:left="180"/>
              <w:spacing w:after="0" w:line="207" w:lineRule="exact"/>
              <w:rPr>
                <w:sz w:val="20"/>
                <w:szCs w:val="20"/>
                <w:color w:val="auto"/>
              </w:rPr>
            </w:pPr>
            <w:r>
              <w:rPr>
                <w:rFonts w:ascii="Times New Roman" w:cs="Times New Roman" w:eastAsia="Times New Roman" w:hAnsi="Times New Roman"/>
                <w:sz w:val="19"/>
                <w:szCs w:val="19"/>
                <w:color w:val="231F20"/>
              </w:rPr>
              <w:t>Net investment income before income taxes</w:t>
            </w:r>
          </w:p>
        </w:tc>
        <w:tc>
          <w:tcPr>
            <w:tcW w:w="80" w:type="dxa"/>
            <w:vAlign w:val="bottom"/>
            <w:shd w:val="clear" w:color="auto" w:fill="D0EBF2"/>
          </w:tcPr>
          <w:p>
            <w:pPr>
              <w:spacing w:after="0"/>
              <w:rPr>
                <w:sz w:val="17"/>
                <w:szCs w:val="17"/>
                <w:color w:val="auto"/>
              </w:rPr>
            </w:pPr>
          </w:p>
        </w:tc>
        <w:tc>
          <w:tcPr>
            <w:tcW w:w="100" w:type="dxa"/>
            <w:vAlign w:val="bottom"/>
            <w:shd w:val="clear" w:color="auto" w:fill="D0EBF2"/>
          </w:tcPr>
          <w:p>
            <w:pPr>
              <w:spacing w:after="0"/>
              <w:rPr>
                <w:sz w:val="17"/>
                <w:szCs w:val="17"/>
                <w:color w:val="auto"/>
              </w:rPr>
            </w:pPr>
          </w:p>
        </w:tc>
        <w:tc>
          <w:tcPr>
            <w:tcW w:w="1000" w:type="dxa"/>
            <w:vAlign w:val="bottom"/>
            <w:shd w:val="clear" w:color="auto" w:fill="D0EBF2"/>
          </w:tcPr>
          <w:p>
            <w:pPr>
              <w:jc w:val="right"/>
              <w:spacing w:after="0" w:line="207" w:lineRule="exact"/>
              <w:rPr>
                <w:sz w:val="20"/>
                <w:szCs w:val="20"/>
                <w:color w:val="auto"/>
              </w:rPr>
            </w:pPr>
            <w:r>
              <w:rPr>
                <w:rFonts w:ascii="Times New Roman" w:cs="Times New Roman" w:eastAsia="Times New Roman" w:hAnsi="Times New Roman"/>
                <w:sz w:val="19"/>
                <w:szCs w:val="19"/>
                <w:color w:val="231F20"/>
              </w:rPr>
              <w:t>224.0</w:t>
            </w:r>
          </w:p>
        </w:tc>
        <w:tc>
          <w:tcPr>
            <w:tcW w:w="100" w:type="dxa"/>
            <w:vAlign w:val="bottom"/>
            <w:shd w:val="clear" w:color="auto" w:fill="D0EBF2"/>
          </w:tcPr>
          <w:p>
            <w:pPr>
              <w:spacing w:after="0"/>
              <w:rPr>
                <w:sz w:val="17"/>
                <w:szCs w:val="17"/>
                <w:color w:val="auto"/>
              </w:rPr>
            </w:pPr>
          </w:p>
        </w:tc>
        <w:tc>
          <w:tcPr>
            <w:tcW w:w="140" w:type="dxa"/>
            <w:vAlign w:val="bottom"/>
            <w:shd w:val="clear" w:color="auto" w:fill="D0EBF2"/>
          </w:tcPr>
          <w:p>
            <w:pPr>
              <w:spacing w:after="0"/>
              <w:rPr>
                <w:sz w:val="17"/>
                <w:szCs w:val="17"/>
                <w:color w:val="auto"/>
              </w:rPr>
            </w:pPr>
          </w:p>
        </w:tc>
        <w:tc>
          <w:tcPr>
            <w:tcW w:w="100" w:type="dxa"/>
            <w:vAlign w:val="bottom"/>
            <w:shd w:val="clear" w:color="auto" w:fill="D0EBF2"/>
          </w:tcPr>
          <w:p>
            <w:pPr>
              <w:spacing w:after="0"/>
              <w:rPr>
                <w:sz w:val="17"/>
                <w:szCs w:val="17"/>
                <w:color w:val="auto"/>
              </w:rPr>
            </w:pPr>
          </w:p>
        </w:tc>
        <w:tc>
          <w:tcPr>
            <w:tcW w:w="1000" w:type="dxa"/>
            <w:vAlign w:val="bottom"/>
            <w:shd w:val="clear" w:color="auto" w:fill="D0EBF2"/>
          </w:tcPr>
          <w:p>
            <w:pPr>
              <w:jc w:val="right"/>
              <w:spacing w:after="0" w:line="207" w:lineRule="exact"/>
              <w:rPr>
                <w:sz w:val="20"/>
                <w:szCs w:val="20"/>
                <w:color w:val="auto"/>
              </w:rPr>
            </w:pPr>
            <w:r>
              <w:rPr>
                <w:rFonts w:ascii="Times New Roman" w:cs="Times New Roman" w:eastAsia="Times New Roman" w:hAnsi="Times New Roman"/>
                <w:sz w:val="19"/>
                <w:szCs w:val="19"/>
                <w:color w:val="231F20"/>
              </w:rPr>
              <w:t>198.8</w:t>
            </w:r>
          </w:p>
        </w:tc>
        <w:tc>
          <w:tcPr>
            <w:tcW w:w="80" w:type="dxa"/>
            <w:vAlign w:val="bottom"/>
            <w:shd w:val="clear" w:color="auto" w:fill="D0EBF2"/>
          </w:tcPr>
          <w:p>
            <w:pPr>
              <w:spacing w:after="0"/>
              <w:rPr>
                <w:sz w:val="17"/>
                <w:szCs w:val="17"/>
                <w:color w:val="auto"/>
              </w:rPr>
            </w:pPr>
          </w:p>
        </w:tc>
        <w:tc>
          <w:tcPr>
            <w:tcW w:w="140" w:type="dxa"/>
            <w:vAlign w:val="bottom"/>
            <w:shd w:val="clear" w:color="auto" w:fill="D0EBF2"/>
          </w:tcPr>
          <w:p>
            <w:pPr>
              <w:spacing w:after="0"/>
              <w:rPr>
                <w:sz w:val="17"/>
                <w:szCs w:val="17"/>
                <w:color w:val="auto"/>
              </w:rPr>
            </w:pPr>
          </w:p>
        </w:tc>
        <w:tc>
          <w:tcPr>
            <w:tcW w:w="100" w:type="dxa"/>
            <w:vAlign w:val="bottom"/>
            <w:shd w:val="clear" w:color="auto" w:fill="D0EBF2"/>
          </w:tcPr>
          <w:p>
            <w:pPr>
              <w:spacing w:after="0"/>
              <w:rPr>
                <w:sz w:val="17"/>
                <w:szCs w:val="17"/>
                <w:color w:val="auto"/>
              </w:rPr>
            </w:pPr>
          </w:p>
        </w:tc>
        <w:tc>
          <w:tcPr>
            <w:tcW w:w="1000" w:type="dxa"/>
            <w:vAlign w:val="bottom"/>
            <w:shd w:val="clear" w:color="auto" w:fill="D0EBF2"/>
          </w:tcPr>
          <w:p>
            <w:pPr>
              <w:jc w:val="right"/>
              <w:spacing w:after="0" w:line="207" w:lineRule="exact"/>
              <w:rPr>
                <w:sz w:val="20"/>
                <w:szCs w:val="20"/>
                <w:color w:val="auto"/>
              </w:rPr>
            </w:pPr>
            <w:r>
              <w:rPr>
                <w:rFonts w:ascii="Times New Roman" w:cs="Times New Roman" w:eastAsia="Times New Roman" w:hAnsi="Times New Roman"/>
                <w:sz w:val="19"/>
                <w:szCs w:val="19"/>
                <w:color w:val="231F20"/>
              </w:rPr>
              <w:t>168.9</w:t>
            </w:r>
          </w:p>
        </w:tc>
        <w:tc>
          <w:tcPr>
            <w:tcW w:w="100" w:type="dxa"/>
            <w:vAlign w:val="bottom"/>
            <w:shd w:val="clear" w:color="auto" w:fill="D0EBF2"/>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5240" w:type="dxa"/>
            <w:vAlign w:val="bottom"/>
            <w:tcBorders>
              <w:bottom w:val="single" w:sz="8" w:color="D0EBF2"/>
            </w:tcBorders>
            <w:shd w:val="clear" w:color="auto" w:fill="FDFDFC"/>
          </w:tcPr>
          <w:p>
            <w:pPr>
              <w:ind w:left="180"/>
              <w:spacing w:after="0" w:line="217" w:lineRule="exact"/>
              <w:rPr>
                <w:sz w:val="20"/>
                <w:szCs w:val="20"/>
                <w:color w:val="auto"/>
              </w:rPr>
            </w:pPr>
            <w:r>
              <w:rPr>
                <w:rFonts w:ascii="Times New Roman" w:cs="Times New Roman" w:eastAsia="Times New Roman" w:hAnsi="Times New Roman"/>
                <w:sz w:val="19"/>
                <w:szCs w:val="19"/>
                <w:color w:val="231F20"/>
              </w:rPr>
              <w:t>Less: Income taxes, including excise taxes</w:t>
            </w:r>
          </w:p>
        </w:tc>
        <w:tc>
          <w:tcPr>
            <w:tcW w:w="80" w:type="dxa"/>
            <w:vAlign w:val="bottom"/>
            <w:tcBorders>
              <w:bottom w:val="single" w:sz="8" w:color="D0EBF2"/>
            </w:tcBorders>
            <w:shd w:val="clear" w:color="auto" w:fill="FDFDFC"/>
          </w:tcPr>
          <w:p>
            <w:pPr>
              <w:spacing w:after="0"/>
              <w:rPr>
                <w:sz w:val="18"/>
                <w:szCs w:val="18"/>
                <w:color w:val="auto"/>
              </w:rPr>
            </w:pPr>
          </w:p>
        </w:tc>
        <w:tc>
          <w:tcPr>
            <w:tcW w:w="100" w:type="dxa"/>
            <w:vAlign w:val="bottom"/>
            <w:tcBorders>
              <w:bottom w:val="single" w:sz="8" w:color="231F20"/>
            </w:tcBorders>
            <w:shd w:val="clear" w:color="auto" w:fill="FDFDFC"/>
          </w:tcPr>
          <w:p>
            <w:pPr>
              <w:spacing w:after="0"/>
              <w:rPr>
                <w:sz w:val="18"/>
                <w:szCs w:val="18"/>
                <w:color w:val="auto"/>
              </w:rPr>
            </w:pPr>
          </w:p>
        </w:tc>
        <w:tc>
          <w:tcPr>
            <w:tcW w:w="1000" w:type="dxa"/>
            <w:vAlign w:val="bottom"/>
            <w:tcBorders>
              <w:bottom w:val="single" w:sz="8" w:color="231F20"/>
            </w:tcBorders>
            <w:shd w:val="clear" w:color="auto" w:fill="FDFDFC"/>
          </w:tcPr>
          <w:p>
            <w:pPr>
              <w:jc w:val="right"/>
              <w:spacing w:after="0" w:line="217" w:lineRule="exact"/>
              <w:rPr>
                <w:sz w:val="20"/>
                <w:szCs w:val="20"/>
                <w:color w:val="auto"/>
              </w:rPr>
            </w:pPr>
            <w:r>
              <w:rPr>
                <w:rFonts w:ascii="Times New Roman" w:cs="Times New Roman" w:eastAsia="Times New Roman" w:hAnsi="Times New Roman"/>
                <w:sz w:val="19"/>
                <w:szCs w:val="19"/>
                <w:color w:val="231F20"/>
              </w:rPr>
              <w:t>4.0</w:t>
            </w:r>
          </w:p>
        </w:tc>
        <w:tc>
          <w:tcPr>
            <w:tcW w:w="100" w:type="dxa"/>
            <w:vAlign w:val="bottom"/>
            <w:tcBorders>
              <w:bottom w:val="single" w:sz="8" w:color="D0EBF2"/>
            </w:tcBorders>
            <w:shd w:val="clear" w:color="auto" w:fill="FDFDFC"/>
          </w:tcPr>
          <w:p>
            <w:pPr>
              <w:spacing w:after="0"/>
              <w:rPr>
                <w:sz w:val="18"/>
                <w:szCs w:val="18"/>
                <w:color w:val="auto"/>
              </w:rPr>
            </w:pPr>
          </w:p>
        </w:tc>
        <w:tc>
          <w:tcPr>
            <w:tcW w:w="140" w:type="dxa"/>
            <w:vAlign w:val="bottom"/>
            <w:tcBorders>
              <w:bottom w:val="single" w:sz="8" w:color="D0EBF2"/>
            </w:tcBorders>
            <w:shd w:val="clear" w:color="auto" w:fill="FDFDFC"/>
          </w:tcPr>
          <w:p>
            <w:pPr>
              <w:spacing w:after="0"/>
              <w:rPr>
                <w:sz w:val="18"/>
                <w:szCs w:val="18"/>
                <w:color w:val="auto"/>
              </w:rPr>
            </w:pPr>
          </w:p>
        </w:tc>
        <w:tc>
          <w:tcPr>
            <w:tcW w:w="100" w:type="dxa"/>
            <w:vAlign w:val="bottom"/>
            <w:tcBorders>
              <w:bottom w:val="single" w:sz="8" w:color="231F20"/>
            </w:tcBorders>
            <w:shd w:val="clear" w:color="auto" w:fill="FDFDFC"/>
          </w:tcPr>
          <w:p>
            <w:pPr>
              <w:spacing w:after="0"/>
              <w:rPr>
                <w:sz w:val="18"/>
                <w:szCs w:val="18"/>
                <w:color w:val="auto"/>
              </w:rPr>
            </w:pPr>
          </w:p>
        </w:tc>
        <w:tc>
          <w:tcPr>
            <w:tcW w:w="1000" w:type="dxa"/>
            <w:vAlign w:val="bottom"/>
            <w:tcBorders>
              <w:bottom w:val="single" w:sz="8" w:color="231F20"/>
            </w:tcBorders>
            <w:shd w:val="clear" w:color="auto" w:fill="FDFDFC"/>
          </w:tcPr>
          <w:p>
            <w:pPr>
              <w:jc w:val="right"/>
              <w:spacing w:after="0" w:line="217" w:lineRule="exact"/>
              <w:rPr>
                <w:sz w:val="20"/>
                <w:szCs w:val="20"/>
                <w:color w:val="auto"/>
              </w:rPr>
            </w:pPr>
            <w:r>
              <w:rPr>
                <w:rFonts w:ascii="Times New Roman" w:cs="Times New Roman" w:eastAsia="Times New Roman" w:hAnsi="Times New Roman"/>
                <w:sz w:val="19"/>
                <w:szCs w:val="19"/>
                <w:color w:val="231F20"/>
              </w:rPr>
              <w:t>2.4</w:t>
            </w:r>
          </w:p>
        </w:tc>
        <w:tc>
          <w:tcPr>
            <w:tcW w:w="80" w:type="dxa"/>
            <w:vAlign w:val="bottom"/>
            <w:tcBorders>
              <w:bottom w:val="single" w:sz="8" w:color="D0EBF2"/>
            </w:tcBorders>
            <w:shd w:val="clear" w:color="auto" w:fill="FDFDFC"/>
          </w:tcPr>
          <w:p>
            <w:pPr>
              <w:spacing w:after="0"/>
              <w:rPr>
                <w:sz w:val="18"/>
                <w:szCs w:val="18"/>
                <w:color w:val="auto"/>
              </w:rPr>
            </w:pPr>
          </w:p>
        </w:tc>
        <w:tc>
          <w:tcPr>
            <w:tcW w:w="140" w:type="dxa"/>
            <w:vAlign w:val="bottom"/>
            <w:tcBorders>
              <w:bottom w:val="single" w:sz="8" w:color="D0EBF2"/>
            </w:tcBorders>
            <w:shd w:val="clear" w:color="auto" w:fill="FDFDFC"/>
          </w:tcPr>
          <w:p>
            <w:pPr>
              <w:spacing w:after="0"/>
              <w:rPr>
                <w:sz w:val="18"/>
                <w:szCs w:val="18"/>
                <w:color w:val="auto"/>
              </w:rPr>
            </w:pPr>
          </w:p>
        </w:tc>
        <w:tc>
          <w:tcPr>
            <w:tcW w:w="100" w:type="dxa"/>
            <w:vAlign w:val="bottom"/>
            <w:tcBorders>
              <w:bottom w:val="single" w:sz="8" w:color="231F20"/>
            </w:tcBorders>
            <w:shd w:val="clear" w:color="auto" w:fill="FDFDFC"/>
          </w:tcPr>
          <w:p>
            <w:pPr>
              <w:spacing w:after="0"/>
              <w:rPr>
                <w:sz w:val="18"/>
                <w:szCs w:val="18"/>
                <w:color w:val="auto"/>
              </w:rPr>
            </w:pPr>
          </w:p>
        </w:tc>
        <w:tc>
          <w:tcPr>
            <w:tcW w:w="1000" w:type="dxa"/>
            <w:vAlign w:val="bottom"/>
            <w:tcBorders>
              <w:bottom w:val="single" w:sz="8" w:color="231F20"/>
            </w:tcBorders>
            <w:shd w:val="clear" w:color="auto" w:fill="FDFDFC"/>
          </w:tcPr>
          <w:p>
            <w:pPr>
              <w:jc w:val="right"/>
              <w:spacing w:after="0" w:line="217" w:lineRule="exact"/>
              <w:rPr>
                <w:sz w:val="20"/>
                <w:szCs w:val="20"/>
                <w:color w:val="auto"/>
              </w:rPr>
            </w:pPr>
            <w:r>
              <w:rPr>
                <w:rFonts w:ascii="Times New Roman" w:cs="Times New Roman" w:eastAsia="Times New Roman" w:hAnsi="Times New Roman"/>
                <w:sz w:val="19"/>
                <w:szCs w:val="19"/>
                <w:color w:val="231F20"/>
              </w:rPr>
              <w:t>2.6</w:t>
            </w:r>
          </w:p>
        </w:tc>
        <w:tc>
          <w:tcPr>
            <w:tcW w:w="100" w:type="dxa"/>
            <w:vAlign w:val="bottom"/>
            <w:tcBorders>
              <w:bottom w:val="single" w:sz="8" w:color="D0EBF2"/>
            </w:tcBorders>
            <w:shd w:val="clear" w:color="auto" w:fill="FDFDFC"/>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5240" w:type="dxa"/>
            <w:vAlign w:val="bottom"/>
            <w:shd w:val="clear" w:color="auto" w:fill="D0EBF2"/>
          </w:tcPr>
          <w:p>
            <w:pPr>
              <w:ind w:left="180"/>
              <w:spacing w:after="0" w:line="206" w:lineRule="exact"/>
              <w:rPr>
                <w:sz w:val="20"/>
                <w:szCs w:val="20"/>
                <w:color w:val="auto"/>
              </w:rPr>
            </w:pPr>
            <w:r>
              <w:rPr>
                <w:rFonts w:ascii="Times New Roman" w:cs="Times New Roman" w:eastAsia="Times New Roman" w:hAnsi="Times New Roman"/>
                <w:sz w:val="19"/>
                <w:szCs w:val="19"/>
                <w:color w:val="231F20"/>
              </w:rPr>
              <w:t>Net investment income</w:t>
            </w:r>
          </w:p>
        </w:tc>
        <w:tc>
          <w:tcPr>
            <w:tcW w:w="80" w:type="dxa"/>
            <w:vAlign w:val="bottom"/>
            <w:shd w:val="clear" w:color="auto" w:fill="D0EBF2"/>
          </w:tcPr>
          <w:p>
            <w:pPr>
              <w:spacing w:after="0"/>
              <w:rPr>
                <w:sz w:val="17"/>
                <w:szCs w:val="17"/>
                <w:color w:val="auto"/>
              </w:rPr>
            </w:pPr>
          </w:p>
        </w:tc>
        <w:tc>
          <w:tcPr>
            <w:tcW w:w="100" w:type="dxa"/>
            <w:vAlign w:val="bottom"/>
            <w:shd w:val="clear" w:color="auto" w:fill="D0EBF2"/>
          </w:tcPr>
          <w:p>
            <w:pPr>
              <w:spacing w:after="0"/>
              <w:rPr>
                <w:sz w:val="17"/>
                <w:szCs w:val="17"/>
                <w:color w:val="auto"/>
              </w:rPr>
            </w:pPr>
          </w:p>
        </w:tc>
        <w:tc>
          <w:tcPr>
            <w:tcW w:w="1000" w:type="dxa"/>
            <w:vAlign w:val="bottom"/>
            <w:shd w:val="clear" w:color="auto" w:fill="D0EBF2"/>
          </w:tcPr>
          <w:p>
            <w:pPr>
              <w:jc w:val="right"/>
              <w:spacing w:after="0" w:line="206" w:lineRule="exact"/>
              <w:rPr>
                <w:sz w:val="20"/>
                <w:szCs w:val="20"/>
                <w:color w:val="auto"/>
              </w:rPr>
            </w:pPr>
            <w:r>
              <w:rPr>
                <w:rFonts w:ascii="Times New Roman" w:cs="Times New Roman" w:eastAsia="Times New Roman" w:hAnsi="Times New Roman"/>
                <w:sz w:val="19"/>
                <w:szCs w:val="19"/>
                <w:color w:val="231F20"/>
              </w:rPr>
              <w:t>220.0</w:t>
            </w:r>
          </w:p>
        </w:tc>
        <w:tc>
          <w:tcPr>
            <w:tcW w:w="100" w:type="dxa"/>
            <w:vAlign w:val="bottom"/>
            <w:shd w:val="clear" w:color="auto" w:fill="D0EBF2"/>
          </w:tcPr>
          <w:p>
            <w:pPr>
              <w:spacing w:after="0"/>
              <w:rPr>
                <w:sz w:val="17"/>
                <w:szCs w:val="17"/>
                <w:color w:val="auto"/>
              </w:rPr>
            </w:pPr>
          </w:p>
        </w:tc>
        <w:tc>
          <w:tcPr>
            <w:tcW w:w="140" w:type="dxa"/>
            <w:vAlign w:val="bottom"/>
            <w:shd w:val="clear" w:color="auto" w:fill="D0EBF2"/>
          </w:tcPr>
          <w:p>
            <w:pPr>
              <w:spacing w:after="0"/>
              <w:rPr>
                <w:sz w:val="17"/>
                <w:szCs w:val="17"/>
                <w:color w:val="auto"/>
              </w:rPr>
            </w:pPr>
          </w:p>
        </w:tc>
        <w:tc>
          <w:tcPr>
            <w:tcW w:w="100" w:type="dxa"/>
            <w:vAlign w:val="bottom"/>
            <w:shd w:val="clear" w:color="auto" w:fill="D0EBF2"/>
          </w:tcPr>
          <w:p>
            <w:pPr>
              <w:spacing w:after="0"/>
              <w:rPr>
                <w:sz w:val="17"/>
                <w:szCs w:val="17"/>
                <w:color w:val="auto"/>
              </w:rPr>
            </w:pPr>
          </w:p>
        </w:tc>
        <w:tc>
          <w:tcPr>
            <w:tcW w:w="1000" w:type="dxa"/>
            <w:vAlign w:val="bottom"/>
            <w:shd w:val="clear" w:color="auto" w:fill="D0EBF2"/>
          </w:tcPr>
          <w:p>
            <w:pPr>
              <w:jc w:val="right"/>
              <w:spacing w:after="0" w:line="206" w:lineRule="exact"/>
              <w:rPr>
                <w:sz w:val="20"/>
                <w:szCs w:val="20"/>
                <w:color w:val="auto"/>
              </w:rPr>
            </w:pPr>
            <w:r>
              <w:rPr>
                <w:rFonts w:ascii="Times New Roman" w:cs="Times New Roman" w:eastAsia="Times New Roman" w:hAnsi="Times New Roman"/>
                <w:sz w:val="19"/>
                <w:szCs w:val="19"/>
                <w:color w:val="231F20"/>
              </w:rPr>
              <w:t>196.4</w:t>
            </w:r>
          </w:p>
        </w:tc>
        <w:tc>
          <w:tcPr>
            <w:tcW w:w="80" w:type="dxa"/>
            <w:vAlign w:val="bottom"/>
            <w:shd w:val="clear" w:color="auto" w:fill="D0EBF2"/>
          </w:tcPr>
          <w:p>
            <w:pPr>
              <w:spacing w:after="0"/>
              <w:rPr>
                <w:sz w:val="17"/>
                <w:szCs w:val="17"/>
                <w:color w:val="auto"/>
              </w:rPr>
            </w:pPr>
          </w:p>
        </w:tc>
        <w:tc>
          <w:tcPr>
            <w:tcW w:w="140" w:type="dxa"/>
            <w:vAlign w:val="bottom"/>
            <w:shd w:val="clear" w:color="auto" w:fill="D0EBF2"/>
          </w:tcPr>
          <w:p>
            <w:pPr>
              <w:spacing w:after="0"/>
              <w:rPr>
                <w:sz w:val="17"/>
                <w:szCs w:val="17"/>
                <w:color w:val="auto"/>
              </w:rPr>
            </w:pPr>
          </w:p>
        </w:tc>
        <w:tc>
          <w:tcPr>
            <w:tcW w:w="100" w:type="dxa"/>
            <w:vAlign w:val="bottom"/>
            <w:shd w:val="clear" w:color="auto" w:fill="D0EBF2"/>
          </w:tcPr>
          <w:p>
            <w:pPr>
              <w:spacing w:after="0"/>
              <w:rPr>
                <w:sz w:val="17"/>
                <w:szCs w:val="17"/>
                <w:color w:val="auto"/>
              </w:rPr>
            </w:pPr>
          </w:p>
        </w:tc>
        <w:tc>
          <w:tcPr>
            <w:tcW w:w="1000" w:type="dxa"/>
            <w:vAlign w:val="bottom"/>
            <w:shd w:val="clear" w:color="auto" w:fill="D0EBF2"/>
          </w:tcPr>
          <w:p>
            <w:pPr>
              <w:jc w:val="right"/>
              <w:spacing w:after="0" w:line="206" w:lineRule="exact"/>
              <w:rPr>
                <w:sz w:val="20"/>
                <w:szCs w:val="20"/>
                <w:color w:val="auto"/>
              </w:rPr>
            </w:pPr>
            <w:r>
              <w:rPr>
                <w:rFonts w:ascii="Times New Roman" w:cs="Times New Roman" w:eastAsia="Times New Roman" w:hAnsi="Times New Roman"/>
                <w:sz w:val="19"/>
                <w:szCs w:val="19"/>
                <w:color w:val="231F20"/>
              </w:rPr>
              <w:t>166.3</w:t>
            </w:r>
          </w:p>
        </w:tc>
        <w:tc>
          <w:tcPr>
            <w:tcW w:w="100" w:type="dxa"/>
            <w:vAlign w:val="bottom"/>
            <w:shd w:val="clear" w:color="auto" w:fill="D0EBF2"/>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5240" w:type="dxa"/>
            <w:vAlign w:val="bottom"/>
            <w:shd w:val="clear" w:color="auto" w:fill="FDFDFC"/>
          </w:tcPr>
          <w:p>
            <w:pPr>
              <w:spacing w:after="0" w:line="217" w:lineRule="exact"/>
              <w:rPr>
                <w:sz w:val="20"/>
                <w:szCs w:val="20"/>
                <w:color w:val="auto"/>
              </w:rPr>
            </w:pPr>
            <w:r>
              <w:rPr>
                <w:rFonts w:ascii="Times New Roman" w:cs="Times New Roman" w:eastAsia="Times New Roman" w:hAnsi="Times New Roman"/>
                <w:sz w:val="19"/>
                <w:szCs w:val="19"/>
                <w:color w:val="231F20"/>
              </w:rPr>
              <w:t xml:space="preserve">Net realized gains (losses) </w:t>
            </w:r>
            <w:r>
              <w:rPr>
                <w:rFonts w:ascii="Times New Roman" w:cs="Times New Roman" w:eastAsia="Times New Roman" w:hAnsi="Times New Roman"/>
                <w:sz w:val="24"/>
                <w:szCs w:val="24"/>
                <w:color w:val="231F20"/>
                <w:vertAlign w:val="superscript"/>
              </w:rPr>
              <w:t>(1)</w:t>
            </w:r>
          </w:p>
        </w:tc>
        <w:tc>
          <w:tcPr>
            <w:tcW w:w="80" w:type="dxa"/>
            <w:vAlign w:val="bottom"/>
            <w:shd w:val="clear" w:color="auto" w:fill="FDFDFC"/>
          </w:tcPr>
          <w:p>
            <w:pPr>
              <w:spacing w:after="0"/>
              <w:rPr>
                <w:sz w:val="18"/>
                <w:szCs w:val="18"/>
                <w:color w:val="auto"/>
              </w:rPr>
            </w:pPr>
          </w:p>
        </w:tc>
        <w:tc>
          <w:tcPr>
            <w:tcW w:w="100" w:type="dxa"/>
            <w:vAlign w:val="bottom"/>
            <w:shd w:val="clear" w:color="auto" w:fill="FDFDFC"/>
          </w:tcPr>
          <w:p>
            <w:pPr>
              <w:spacing w:after="0"/>
              <w:rPr>
                <w:sz w:val="18"/>
                <w:szCs w:val="18"/>
                <w:color w:val="auto"/>
              </w:rPr>
            </w:pPr>
          </w:p>
        </w:tc>
        <w:tc>
          <w:tcPr>
            <w:tcW w:w="1000" w:type="dxa"/>
            <w:vAlign w:val="bottom"/>
            <w:shd w:val="clear" w:color="auto" w:fill="FDFDFC"/>
          </w:tcPr>
          <w:p>
            <w:pPr>
              <w:jc w:val="right"/>
              <w:spacing w:after="0" w:line="217" w:lineRule="exact"/>
              <w:rPr>
                <w:sz w:val="20"/>
                <w:szCs w:val="20"/>
                <w:color w:val="auto"/>
              </w:rPr>
            </w:pPr>
            <w:r>
              <w:rPr>
                <w:rFonts w:ascii="Times New Roman" w:cs="Times New Roman" w:eastAsia="Times New Roman" w:hAnsi="Times New Roman"/>
                <w:sz w:val="19"/>
                <w:szCs w:val="19"/>
                <w:color w:val="231F20"/>
              </w:rPr>
              <w:t>8.6</w:t>
            </w:r>
          </w:p>
        </w:tc>
        <w:tc>
          <w:tcPr>
            <w:tcW w:w="100" w:type="dxa"/>
            <w:vAlign w:val="bottom"/>
            <w:shd w:val="clear" w:color="auto" w:fill="FDFDFC"/>
          </w:tcPr>
          <w:p>
            <w:pPr>
              <w:spacing w:after="0"/>
              <w:rPr>
                <w:sz w:val="18"/>
                <w:szCs w:val="18"/>
                <w:color w:val="auto"/>
              </w:rPr>
            </w:pPr>
          </w:p>
        </w:tc>
        <w:tc>
          <w:tcPr>
            <w:tcW w:w="140" w:type="dxa"/>
            <w:vAlign w:val="bottom"/>
            <w:shd w:val="clear" w:color="auto" w:fill="FDFDFC"/>
          </w:tcPr>
          <w:p>
            <w:pPr>
              <w:spacing w:after="0"/>
              <w:rPr>
                <w:sz w:val="18"/>
                <w:szCs w:val="18"/>
                <w:color w:val="auto"/>
              </w:rPr>
            </w:pPr>
          </w:p>
        </w:tc>
        <w:tc>
          <w:tcPr>
            <w:tcW w:w="100" w:type="dxa"/>
            <w:vAlign w:val="bottom"/>
            <w:shd w:val="clear" w:color="auto" w:fill="FDFDFC"/>
          </w:tcPr>
          <w:p>
            <w:pPr>
              <w:spacing w:after="0"/>
              <w:rPr>
                <w:sz w:val="18"/>
                <w:szCs w:val="18"/>
                <w:color w:val="auto"/>
              </w:rPr>
            </w:pPr>
          </w:p>
        </w:tc>
        <w:tc>
          <w:tcPr>
            <w:tcW w:w="1000" w:type="dxa"/>
            <w:vAlign w:val="bottom"/>
            <w:shd w:val="clear" w:color="auto" w:fill="FDFDFC"/>
          </w:tcPr>
          <w:p>
            <w:pPr>
              <w:jc w:val="right"/>
              <w:spacing w:after="0" w:line="217" w:lineRule="exact"/>
              <w:rPr>
                <w:sz w:val="20"/>
                <w:szCs w:val="20"/>
                <w:color w:val="auto"/>
              </w:rPr>
            </w:pPr>
            <w:r>
              <w:rPr>
                <w:rFonts w:ascii="Times New Roman" w:cs="Times New Roman" w:eastAsia="Times New Roman" w:hAnsi="Times New Roman"/>
                <w:sz w:val="19"/>
                <w:szCs w:val="19"/>
                <w:color w:val="231F20"/>
              </w:rPr>
              <w:t>12.4</w:t>
            </w:r>
          </w:p>
        </w:tc>
        <w:tc>
          <w:tcPr>
            <w:tcW w:w="80" w:type="dxa"/>
            <w:vAlign w:val="bottom"/>
            <w:shd w:val="clear" w:color="auto" w:fill="FDFDFC"/>
          </w:tcPr>
          <w:p>
            <w:pPr>
              <w:spacing w:after="0"/>
              <w:rPr>
                <w:sz w:val="18"/>
                <w:szCs w:val="18"/>
                <w:color w:val="auto"/>
              </w:rPr>
            </w:pPr>
          </w:p>
        </w:tc>
        <w:tc>
          <w:tcPr>
            <w:tcW w:w="140" w:type="dxa"/>
            <w:vAlign w:val="bottom"/>
            <w:shd w:val="clear" w:color="auto" w:fill="FDFDFC"/>
          </w:tcPr>
          <w:p>
            <w:pPr>
              <w:spacing w:after="0"/>
              <w:rPr>
                <w:sz w:val="18"/>
                <w:szCs w:val="18"/>
                <w:color w:val="auto"/>
              </w:rPr>
            </w:pPr>
          </w:p>
        </w:tc>
        <w:tc>
          <w:tcPr>
            <w:tcW w:w="100" w:type="dxa"/>
            <w:vAlign w:val="bottom"/>
            <w:shd w:val="clear" w:color="auto" w:fill="FDFDFC"/>
          </w:tcPr>
          <w:p>
            <w:pPr>
              <w:spacing w:after="0"/>
              <w:rPr>
                <w:sz w:val="18"/>
                <w:szCs w:val="18"/>
                <w:color w:val="auto"/>
              </w:rPr>
            </w:pPr>
          </w:p>
        </w:tc>
        <w:tc>
          <w:tcPr>
            <w:tcW w:w="1000" w:type="dxa"/>
            <w:vAlign w:val="bottom"/>
            <w:shd w:val="clear" w:color="auto" w:fill="FDFDFC"/>
          </w:tcPr>
          <w:p>
            <w:pPr>
              <w:jc w:val="right"/>
              <w:spacing w:after="0" w:line="217" w:lineRule="exact"/>
              <w:rPr>
                <w:sz w:val="20"/>
                <w:szCs w:val="20"/>
                <w:color w:val="auto"/>
              </w:rPr>
            </w:pPr>
            <w:r>
              <w:rPr>
                <w:rFonts w:ascii="Times New Roman" w:cs="Times New Roman" w:eastAsia="Times New Roman" w:hAnsi="Times New Roman"/>
                <w:sz w:val="19"/>
                <w:szCs w:val="19"/>
                <w:color w:val="231F20"/>
              </w:rPr>
              <w:t>16.7</w:t>
            </w:r>
          </w:p>
        </w:tc>
        <w:tc>
          <w:tcPr>
            <w:tcW w:w="100" w:type="dxa"/>
            <w:vAlign w:val="bottom"/>
            <w:shd w:val="clear" w:color="auto" w:fill="FDFDFC"/>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5240" w:type="dxa"/>
            <w:vAlign w:val="bottom"/>
            <w:shd w:val="clear" w:color="auto" w:fill="D0EBF2"/>
          </w:tcPr>
          <w:p>
            <w:pPr>
              <w:spacing w:after="0" w:line="217" w:lineRule="exact"/>
              <w:rPr>
                <w:sz w:val="20"/>
                <w:szCs w:val="20"/>
                <w:color w:val="auto"/>
              </w:rPr>
            </w:pPr>
            <w:r>
              <w:rPr>
                <w:rFonts w:ascii="Times New Roman" w:cs="Times New Roman" w:eastAsia="Times New Roman" w:hAnsi="Times New Roman"/>
                <w:sz w:val="19"/>
                <w:szCs w:val="19"/>
                <w:color w:val="231F20"/>
              </w:rPr>
              <w:t xml:space="preserve">Net change in unrealized gains (losses) </w:t>
            </w:r>
            <w:r>
              <w:rPr>
                <w:rFonts w:ascii="Times New Roman" w:cs="Times New Roman" w:eastAsia="Times New Roman" w:hAnsi="Times New Roman"/>
                <w:sz w:val="24"/>
                <w:szCs w:val="24"/>
                <w:color w:val="231F20"/>
                <w:vertAlign w:val="superscript"/>
              </w:rPr>
              <w:t>(1)</w:t>
            </w:r>
          </w:p>
        </w:tc>
        <w:tc>
          <w:tcPr>
            <w:tcW w:w="80" w:type="dxa"/>
            <w:vAlign w:val="bottom"/>
            <w:shd w:val="clear" w:color="auto" w:fill="D0EBF2"/>
          </w:tcPr>
          <w:p>
            <w:pPr>
              <w:spacing w:after="0"/>
              <w:rPr>
                <w:sz w:val="18"/>
                <w:szCs w:val="18"/>
                <w:color w:val="auto"/>
              </w:rPr>
            </w:pPr>
          </w:p>
        </w:tc>
        <w:tc>
          <w:tcPr>
            <w:tcW w:w="100" w:type="dxa"/>
            <w:vAlign w:val="bottom"/>
            <w:shd w:val="clear" w:color="auto" w:fill="D0EBF2"/>
          </w:tcPr>
          <w:p>
            <w:pPr>
              <w:spacing w:after="0"/>
              <w:rPr>
                <w:sz w:val="18"/>
                <w:szCs w:val="18"/>
                <w:color w:val="auto"/>
              </w:rPr>
            </w:pPr>
          </w:p>
        </w:tc>
        <w:tc>
          <w:tcPr>
            <w:tcW w:w="1100" w:type="dxa"/>
            <w:vAlign w:val="bottom"/>
            <w:gridSpan w:val="2"/>
            <w:shd w:val="clear" w:color="auto" w:fill="D0EBF2"/>
          </w:tcPr>
          <w:p>
            <w:pPr>
              <w:jc w:val="right"/>
              <w:ind w:right="40"/>
              <w:spacing w:after="0" w:line="217" w:lineRule="exact"/>
              <w:rPr>
                <w:sz w:val="20"/>
                <w:szCs w:val="20"/>
                <w:color w:val="auto"/>
              </w:rPr>
            </w:pPr>
            <w:r>
              <w:rPr>
                <w:rFonts w:ascii="Times New Roman" w:cs="Times New Roman" w:eastAsia="Times New Roman" w:hAnsi="Times New Roman"/>
                <w:sz w:val="19"/>
                <w:szCs w:val="19"/>
                <w:color w:val="231F20"/>
              </w:rPr>
              <w:t>(42.0)</w:t>
            </w:r>
          </w:p>
        </w:tc>
        <w:tc>
          <w:tcPr>
            <w:tcW w:w="140" w:type="dxa"/>
            <w:vAlign w:val="bottom"/>
            <w:shd w:val="clear" w:color="auto" w:fill="D0EBF2"/>
          </w:tcPr>
          <w:p>
            <w:pPr>
              <w:spacing w:after="0"/>
              <w:rPr>
                <w:sz w:val="18"/>
                <w:szCs w:val="18"/>
                <w:color w:val="auto"/>
              </w:rPr>
            </w:pPr>
          </w:p>
        </w:tc>
        <w:tc>
          <w:tcPr>
            <w:tcW w:w="100" w:type="dxa"/>
            <w:vAlign w:val="bottom"/>
            <w:shd w:val="clear" w:color="auto" w:fill="D0EBF2"/>
          </w:tcPr>
          <w:p>
            <w:pPr>
              <w:spacing w:after="0"/>
              <w:rPr>
                <w:sz w:val="18"/>
                <w:szCs w:val="18"/>
                <w:color w:val="auto"/>
              </w:rPr>
            </w:pPr>
          </w:p>
        </w:tc>
        <w:tc>
          <w:tcPr>
            <w:tcW w:w="1000" w:type="dxa"/>
            <w:vAlign w:val="bottom"/>
            <w:shd w:val="clear" w:color="auto" w:fill="D0EBF2"/>
          </w:tcPr>
          <w:p>
            <w:pPr>
              <w:jc w:val="right"/>
              <w:spacing w:after="0" w:line="217" w:lineRule="exact"/>
              <w:rPr>
                <w:sz w:val="20"/>
                <w:szCs w:val="20"/>
                <w:color w:val="auto"/>
              </w:rPr>
            </w:pPr>
            <w:r>
              <w:rPr>
                <w:rFonts w:ascii="Times New Roman" w:cs="Times New Roman" w:eastAsia="Times New Roman" w:hAnsi="Times New Roman"/>
                <w:sz w:val="19"/>
                <w:szCs w:val="19"/>
                <w:color w:val="231F20"/>
              </w:rPr>
              <w:t>13.2</w:t>
            </w:r>
          </w:p>
        </w:tc>
        <w:tc>
          <w:tcPr>
            <w:tcW w:w="80" w:type="dxa"/>
            <w:vAlign w:val="bottom"/>
            <w:shd w:val="clear" w:color="auto" w:fill="D0EBF2"/>
          </w:tcPr>
          <w:p>
            <w:pPr>
              <w:spacing w:after="0"/>
              <w:rPr>
                <w:sz w:val="18"/>
                <w:szCs w:val="18"/>
                <w:color w:val="auto"/>
              </w:rPr>
            </w:pPr>
          </w:p>
        </w:tc>
        <w:tc>
          <w:tcPr>
            <w:tcW w:w="140" w:type="dxa"/>
            <w:vAlign w:val="bottom"/>
            <w:shd w:val="clear" w:color="auto" w:fill="D0EBF2"/>
          </w:tcPr>
          <w:p>
            <w:pPr>
              <w:spacing w:after="0"/>
              <w:rPr>
                <w:sz w:val="18"/>
                <w:szCs w:val="18"/>
                <w:color w:val="auto"/>
              </w:rPr>
            </w:pPr>
          </w:p>
        </w:tc>
        <w:tc>
          <w:tcPr>
            <w:tcW w:w="100" w:type="dxa"/>
            <w:vAlign w:val="bottom"/>
            <w:shd w:val="clear" w:color="auto" w:fill="D0EBF2"/>
          </w:tcPr>
          <w:p>
            <w:pPr>
              <w:spacing w:after="0"/>
              <w:rPr>
                <w:sz w:val="18"/>
                <w:szCs w:val="18"/>
                <w:color w:val="auto"/>
              </w:rPr>
            </w:pPr>
          </w:p>
        </w:tc>
        <w:tc>
          <w:tcPr>
            <w:tcW w:w="1100" w:type="dxa"/>
            <w:vAlign w:val="bottom"/>
            <w:gridSpan w:val="2"/>
            <w:shd w:val="clear" w:color="auto" w:fill="D0EBF2"/>
          </w:tcPr>
          <w:p>
            <w:pPr>
              <w:jc w:val="right"/>
              <w:ind w:right="40"/>
              <w:spacing w:after="0" w:line="217" w:lineRule="exact"/>
              <w:rPr>
                <w:sz w:val="20"/>
                <w:szCs w:val="20"/>
                <w:color w:val="auto"/>
              </w:rPr>
            </w:pPr>
            <w:r>
              <w:rPr>
                <w:rFonts w:ascii="Times New Roman" w:cs="Times New Roman" w:eastAsia="Times New Roman" w:hAnsi="Times New Roman"/>
                <w:sz w:val="19"/>
                <w:szCs w:val="19"/>
                <w:color w:val="231F20"/>
              </w:rPr>
              <w:t>(74.9)</w:t>
            </w:r>
          </w:p>
        </w:tc>
        <w:tc>
          <w:tcPr>
            <w:tcW w:w="0" w:type="dxa"/>
            <w:vAlign w:val="bottom"/>
          </w:tcPr>
          <w:p>
            <w:pPr>
              <w:spacing w:after="0"/>
              <w:rPr>
                <w:sz w:val="1"/>
                <w:szCs w:val="1"/>
                <w:color w:val="auto"/>
              </w:rPr>
            </w:pPr>
          </w:p>
        </w:tc>
      </w:tr>
      <w:tr>
        <w:trPr>
          <w:trHeight w:val="207"/>
        </w:trPr>
        <w:tc>
          <w:tcPr>
            <w:tcW w:w="5240" w:type="dxa"/>
            <w:vAlign w:val="bottom"/>
            <w:tcBorders>
              <w:top w:val="single" w:sz="8" w:color="FDFDFC"/>
            </w:tcBorders>
            <w:shd w:val="clear" w:color="auto" w:fill="FDFDFC"/>
          </w:tcPr>
          <w:p>
            <w:pPr>
              <w:ind w:left="180"/>
              <w:spacing w:after="0" w:line="206" w:lineRule="exact"/>
              <w:rPr>
                <w:sz w:val="20"/>
                <w:szCs w:val="20"/>
                <w:color w:val="auto"/>
              </w:rPr>
            </w:pPr>
            <w:r>
              <w:rPr>
                <w:rFonts w:ascii="Times New Roman" w:cs="Times New Roman" w:eastAsia="Times New Roman" w:hAnsi="Times New Roman"/>
                <w:sz w:val="19"/>
                <w:szCs w:val="19"/>
                <w:b w:val="1"/>
                <w:bCs w:val="1"/>
                <w:color w:val="231F20"/>
              </w:rPr>
              <w:t>Net increase (decrease) in net assets resulting from operations</w:t>
            </w:r>
          </w:p>
        </w:tc>
        <w:tc>
          <w:tcPr>
            <w:tcW w:w="80" w:type="dxa"/>
            <w:vAlign w:val="bottom"/>
            <w:tcBorders>
              <w:top w:val="single" w:sz="8" w:color="FDFDFC"/>
            </w:tcBorders>
            <w:shd w:val="clear" w:color="auto" w:fill="FDFDFC"/>
          </w:tcPr>
          <w:p>
            <w:pPr>
              <w:spacing w:after="0"/>
              <w:rPr>
                <w:sz w:val="17"/>
                <w:szCs w:val="17"/>
                <w:color w:val="auto"/>
              </w:rPr>
            </w:pPr>
          </w:p>
        </w:tc>
        <w:tc>
          <w:tcPr>
            <w:tcW w:w="100" w:type="dxa"/>
            <w:vAlign w:val="bottom"/>
            <w:tcBorders>
              <w:top w:val="single" w:sz="8" w:color="231F20"/>
              <w:bottom w:val="single" w:sz="8" w:color="231F20"/>
            </w:tcBorders>
            <w:shd w:val="clear" w:color="auto" w:fill="FDFDFC"/>
          </w:tcPr>
          <w:p>
            <w:pPr>
              <w:jc w:val="right"/>
              <w:spacing w:after="0" w:line="206" w:lineRule="exact"/>
              <w:rPr>
                <w:sz w:val="20"/>
                <w:szCs w:val="20"/>
                <w:color w:val="auto"/>
              </w:rPr>
            </w:pPr>
            <w:r>
              <w:rPr>
                <w:rFonts w:ascii="Times New Roman" w:cs="Times New Roman" w:eastAsia="Times New Roman" w:hAnsi="Times New Roman"/>
                <w:sz w:val="19"/>
                <w:szCs w:val="19"/>
                <w:color w:val="231F20"/>
                <w:w w:val="83"/>
              </w:rPr>
              <w:t>$</w:t>
            </w:r>
          </w:p>
        </w:tc>
        <w:tc>
          <w:tcPr>
            <w:tcW w:w="1000" w:type="dxa"/>
            <w:vAlign w:val="bottom"/>
            <w:tcBorders>
              <w:top w:val="single" w:sz="8" w:color="231F20"/>
              <w:bottom w:val="single" w:sz="8" w:color="231F20"/>
            </w:tcBorders>
            <w:shd w:val="clear" w:color="auto" w:fill="FDFDFC"/>
          </w:tcPr>
          <w:p>
            <w:pPr>
              <w:jc w:val="right"/>
              <w:spacing w:after="0" w:line="206" w:lineRule="exact"/>
              <w:rPr>
                <w:sz w:val="20"/>
                <w:szCs w:val="20"/>
                <w:color w:val="auto"/>
              </w:rPr>
            </w:pPr>
            <w:r>
              <w:rPr>
                <w:rFonts w:ascii="Times New Roman" w:cs="Times New Roman" w:eastAsia="Times New Roman" w:hAnsi="Times New Roman"/>
                <w:sz w:val="19"/>
                <w:szCs w:val="19"/>
                <w:color w:val="231F20"/>
              </w:rPr>
              <w:t>186.6</w:t>
            </w:r>
          </w:p>
        </w:tc>
        <w:tc>
          <w:tcPr>
            <w:tcW w:w="100" w:type="dxa"/>
            <w:vAlign w:val="bottom"/>
            <w:tcBorders>
              <w:top w:val="single" w:sz="8" w:color="FDFDFC"/>
            </w:tcBorders>
            <w:shd w:val="clear" w:color="auto" w:fill="FDFDFC"/>
          </w:tcPr>
          <w:p>
            <w:pPr>
              <w:spacing w:after="0"/>
              <w:rPr>
                <w:sz w:val="17"/>
                <w:szCs w:val="17"/>
                <w:color w:val="auto"/>
              </w:rPr>
            </w:pPr>
          </w:p>
        </w:tc>
        <w:tc>
          <w:tcPr>
            <w:tcW w:w="140" w:type="dxa"/>
            <w:vAlign w:val="bottom"/>
            <w:tcBorders>
              <w:top w:val="single" w:sz="8" w:color="FDFDFC"/>
            </w:tcBorders>
            <w:shd w:val="clear" w:color="auto" w:fill="FDFDFC"/>
          </w:tcPr>
          <w:p>
            <w:pPr>
              <w:spacing w:after="0"/>
              <w:rPr>
                <w:sz w:val="17"/>
                <w:szCs w:val="17"/>
                <w:color w:val="auto"/>
              </w:rPr>
            </w:pPr>
          </w:p>
        </w:tc>
        <w:tc>
          <w:tcPr>
            <w:tcW w:w="100" w:type="dxa"/>
            <w:vAlign w:val="bottom"/>
            <w:tcBorders>
              <w:top w:val="single" w:sz="8" w:color="231F20"/>
              <w:bottom w:val="single" w:sz="8" w:color="231F20"/>
            </w:tcBorders>
            <w:shd w:val="clear" w:color="auto" w:fill="FDFDFC"/>
          </w:tcPr>
          <w:p>
            <w:pPr>
              <w:jc w:val="right"/>
              <w:spacing w:after="0" w:line="206" w:lineRule="exact"/>
              <w:rPr>
                <w:sz w:val="20"/>
                <w:szCs w:val="20"/>
                <w:color w:val="auto"/>
              </w:rPr>
            </w:pPr>
            <w:r>
              <w:rPr>
                <w:rFonts w:ascii="Times New Roman" w:cs="Times New Roman" w:eastAsia="Times New Roman" w:hAnsi="Times New Roman"/>
                <w:sz w:val="19"/>
                <w:szCs w:val="19"/>
                <w:color w:val="231F20"/>
                <w:w w:val="83"/>
              </w:rPr>
              <w:t>$</w:t>
            </w:r>
          </w:p>
        </w:tc>
        <w:tc>
          <w:tcPr>
            <w:tcW w:w="1000" w:type="dxa"/>
            <w:vAlign w:val="bottom"/>
            <w:tcBorders>
              <w:top w:val="single" w:sz="8" w:color="231F20"/>
              <w:bottom w:val="single" w:sz="8" w:color="231F20"/>
            </w:tcBorders>
            <w:shd w:val="clear" w:color="auto" w:fill="FDFDFC"/>
          </w:tcPr>
          <w:p>
            <w:pPr>
              <w:jc w:val="right"/>
              <w:spacing w:after="0" w:line="206" w:lineRule="exact"/>
              <w:rPr>
                <w:sz w:val="20"/>
                <w:szCs w:val="20"/>
                <w:color w:val="auto"/>
              </w:rPr>
            </w:pPr>
            <w:r>
              <w:rPr>
                <w:rFonts w:ascii="Times New Roman" w:cs="Times New Roman" w:eastAsia="Times New Roman" w:hAnsi="Times New Roman"/>
                <w:sz w:val="19"/>
                <w:szCs w:val="19"/>
                <w:color w:val="231F20"/>
              </w:rPr>
              <w:t>222.0</w:t>
            </w:r>
          </w:p>
        </w:tc>
        <w:tc>
          <w:tcPr>
            <w:tcW w:w="220" w:type="dxa"/>
            <w:vAlign w:val="bottom"/>
            <w:tcBorders>
              <w:top w:val="single" w:sz="8" w:color="FDFDFC"/>
            </w:tcBorders>
            <w:gridSpan w:val="2"/>
            <w:shd w:val="clear" w:color="auto" w:fill="FDFDFC"/>
          </w:tcPr>
          <w:p>
            <w:pPr>
              <w:spacing w:after="0"/>
              <w:rPr>
                <w:sz w:val="17"/>
                <w:szCs w:val="17"/>
                <w:color w:val="auto"/>
              </w:rPr>
            </w:pPr>
          </w:p>
        </w:tc>
        <w:tc>
          <w:tcPr>
            <w:tcW w:w="100" w:type="dxa"/>
            <w:vAlign w:val="bottom"/>
            <w:tcBorders>
              <w:top w:val="single" w:sz="8" w:color="231F20"/>
              <w:bottom w:val="single" w:sz="8" w:color="231F20"/>
            </w:tcBorders>
            <w:shd w:val="clear" w:color="auto" w:fill="FDFDFC"/>
          </w:tcPr>
          <w:p>
            <w:pPr>
              <w:jc w:val="right"/>
              <w:spacing w:after="0" w:line="206" w:lineRule="exact"/>
              <w:rPr>
                <w:sz w:val="20"/>
                <w:szCs w:val="20"/>
                <w:color w:val="auto"/>
              </w:rPr>
            </w:pPr>
            <w:r>
              <w:rPr>
                <w:rFonts w:ascii="Times New Roman" w:cs="Times New Roman" w:eastAsia="Times New Roman" w:hAnsi="Times New Roman"/>
                <w:sz w:val="19"/>
                <w:szCs w:val="19"/>
                <w:color w:val="231F20"/>
                <w:w w:val="83"/>
              </w:rPr>
              <w:t>$</w:t>
            </w:r>
          </w:p>
        </w:tc>
        <w:tc>
          <w:tcPr>
            <w:tcW w:w="1000" w:type="dxa"/>
            <w:vAlign w:val="bottom"/>
            <w:tcBorders>
              <w:top w:val="single" w:sz="8" w:color="231F20"/>
              <w:bottom w:val="single" w:sz="8" w:color="231F20"/>
            </w:tcBorders>
            <w:shd w:val="clear" w:color="auto" w:fill="FDFDFC"/>
          </w:tcPr>
          <w:p>
            <w:pPr>
              <w:jc w:val="right"/>
              <w:spacing w:after="0" w:line="206" w:lineRule="exact"/>
              <w:rPr>
                <w:sz w:val="20"/>
                <w:szCs w:val="20"/>
                <w:color w:val="auto"/>
              </w:rPr>
            </w:pPr>
            <w:r>
              <w:rPr>
                <w:rFonts w:ascii="Times New Roman" w:cs="Times New Roman" w:eastAsia="Times New Roman" w:hAnsi="Times New Roman"/>
                <w:sz w:val="19"/>
                <w:szCs w:val="19"/>
                <w:color w:val="231F20"/>
              </w:rPr>
              <w:t>108.1</w:t>
            </w:r>
          </w:p>
        </w:tc>
        <w:tc>
          <w:tcPr>
            <w:tcW w:w="100" w:type="dxa"/>
            <w:vAlign w:val="bottom"/>
            <w:tcBorders>
              <w:top w:val="single" w:sz="8" w:color="FDFDFC"/>
            </w:tcBorders>
            <w:shd w:val="clear" w:color="auto" w:fill="FDFDFC"/>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231F20"/>
            </w:tcBorders>
          </w:tcPr>
          <w:p>
            <w:pPr>
              <w:spacing w:after="0" w:line="20" w:lineRule="exact"/>
              <w:rPr>
                <w:sz w:val="1"/>
                <w:szCs w:val="1"/>
                <w:color w:val="auto"/>
              </w:rPr>
            </w:pPr>
          </w:p>
        </w:tc>
        <w:tc>
          <w:tcPr>
            <w:tcW w:w="1000" w:type="dxa"/>
            <w:vAlign w:val="bottom"/>
            <w:tcBorders>
              <w:bottom w:val="single" w:sz="8" w:color="231F20"/>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231F20"/>
            </w:tcBorders>
          </w:tcPr>
          <w:p>
            <w:pPr>
              <w:spacing w:after="0" w:line="20" w:lineRule="exact"/>
              <w:rPr>
                <w:sz w:val="1"/>
                <w:szCs w:val="1"/>
                <w:color w:val="auto"/>
              </w:rPr>
            </w:pPr>
          </w:p>
        </w:tc>
        <w:tc>
          <w:tcPr>
            <w:tcW w:w="1000" w:type="dxa"/>
            <w:vAlign w:val="bottom"/>
            <w:tcBorders>
              <w:bottom w:val="single" w:sz="8" w:color="231F20"/>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231F20"/>
            </w:tcBorders>
          </w:tcPr>
          <w:p>
            <w:pPr>
              <w:spacing w:after="0" w:line="20" w:lineRule="exact"/>
              <w:rPr>
                <w:sz w:val="1"/>
                <w:szCs w:val="1"/>
                <w:color w:val="auto"/>
              </w:rPr>
            </w:pPr>
          </w:p>
        </w:tc>
        <w:tc>
          <w:tcPr>
            <w:tcW w:w="1000" w:type="dxa"/>
            <w:vAlign w:val="bottom"/>
            <w:tcBorders>
              <w:bottom w:val="single" w:sz="8" w:color="231F20"/>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1"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19"/>
          <w:szCs w:val="19"/>
          <w:color w:val="231F20"/>
        </w:rPr>
        <w:t>(1)</w:t>
        <w:tab/>
        <w:t>Includes foreign exchange hedging activity.</w:t>
      </w:r>
    </w:p>
    <w:p>
      <w:pPr>
        <w:sectPr>
          <w:pgSz w:w="12240" w:h="15840" w:orient="portrait"/>
          <w:cols w:equalWidth="0" w:num="1">
            <w:col w:w="10200"/>
          </w:cols>
          <w:pgMar w:left="1020" w:top="1330" w:right="1020" w:bottom="57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231F20"/>
        </w:rPr>
        <w:t>70</w:t>
      </w:r>
    </w:p>
    <w:p>
      <w:pPr>
        <w:sectPr>
          <w:pgSz w:w="12240" w:h="15840" w:orient="portrait"/>
          <w:cols w:equalWidth="0" w:num="1">
            <w:col w:w="10200"/>
          </w:cols>
          <w:pgMar w:left="1020" w:top="1330" w:right="1020" w:bottom="574" w:gutter="0" w:footer="0" w:header="0"/>
          <w:type w:val="continuous"/>
        </w:sectPr>
      </w:pPr>
    </w:p>
    <w:bookmarkStart w:id="70" w:name="page71"/>
    <w:bookmarkEnd w:id="70"/>
    <w:p>
      <w:pPr>
        <w:spacing w:after="0"/>
        <w:rPr>
          <w:sz w:val="20"/>
          <w:szCs w:val="20"/>
          <w:color w:val="auto"/>
        </w:rPr>
      </w:pPr>
      <w:r>
        <w:rPr>
          <w:rFonts w:ascii="Times New Roman" w:cs="Times New Roman" w:eastAsia="Times New Roman" w:hAnsi="Times New Roman"/>
          <w:sz w:val="19"/>
          <w:szCs w:val="19"/>
          <w:b w:val="1"/>
          <w:bCs w:val="1"/>
          <w:i w:val="1"/>
          <w:iCs w:val="1"/>
          <w:color w:val="231F20"/>
        </w:rPr>
        <w:t>Investment Income</w:t>
      </w:r>
    </w:p>
    <w:p>
      <w:pPr>
        <w:spacing w:after="0" w:line="234" w:lineRule="exact"/>
        <w:rPr>
          <w:sz w:val="20"/>
          <w:szCs w:val="20"/>
          <w:color w:val="auto"/>
        </w:rPr>
      </w:pPr>
    </w:p>
    <w:tbl>
      <w:tblPr>
        <w:tblLayout w:type="fixed"/>
        <w:tblInd w:w="520" w:type="dxa"/>
        <w:tblCellMar>
          <w:top w:w="0" w:type="dxa"/>
          <w:left w:w="0" w:type="dxa"/>
          <w:bottom w:w="0" w:type="dxa"/>
          <w:right w:w="0" w:type="dxa"/>
        </w:tblCellMar>
      </w:tblPr>
      <w:tr>
        <w:trPr>
          <w:trHeight w:val="174"/>
        </w:trPr>
        <w:tc>
          <w:tcPr>
            <w:tcW w:w="5340" w:type="dxa"/>
            <w:vAlign w:val="bottom"/>
            <w:tcBorders>
              <w:bottom w:val="single" w:sz="8" w:color="FDFDFC"/>
            </w:tcBorders>
            <w:vMerge w:val="restart"/>
            <w:shd w:val="clear" w:color="auto" w:fill="FDFDFC"/>
          </w:tcPr>
          <w:p>
            <w:pPr>
              <w:spacing w:after="0"/>
              <w:rPr>
                <w:sz w:val="20"/>
                <w:szCs w:val="20"/>
                <w:color w:val="auto"/>
              </w:rPr>
            </w:pPr>
            <w:r>
              <w:rPr>
                <w:rFonts w:ascii="Times New Roman" w:cs="Times New Roman" w:eastAsia="Times New Roman" w:hAnsi="Times New Roman"/>
                <w:sz w:val="15"/>
                <w:szCs w:val="15"/>
                <w:color w:val="231F20"/>
              </w:rPr>
              <w:t>($ in millions)</w:t>
            </w:r>
          </w:p>
        </w:tc>
        <w:tc>
          <w:tcPr>
            <w:tcW w:w="240" w:type="dxa"/>
            <w:vAlign w:val="bottom"/>
            <w:tcBorders>
              <w:bottom w:val="single" w:sz="8" w:color="231F20"/>
            </w:tcBorders>
            <w:shd w:val="clear" w:color="auto" w:fill="FDFDFC"/>
          </w:tcPr>
          <w:p>
            <w:pPr>
              <w:spacing w:after="0"/>
              <w:rPr>
                <w:sz w:val="15"/>
                <w:szCs w:val="15"/>
                <w:color w:val="auto"/>
              </w:rPr>
            </w:pPr>
          </w:p>
        </w:tc>
        <w:tc>
          <w:tcPr>
            <w:tcW w:w="2760" w:type="dxa"/>
            <w:vAlign w:val="bottom"/>
            <w:tcBorders>
              <w:bottom w:val="single" w:sz="8" w:color="231F20"/>
            </w:tcBorders>
            <w:gridSpan w:val="8"/>
            <w:shd w:val="clear" w:color="auto" w:fill="FDFDFC"/>
          </w:tcPr>
          <w:p>
            <w:pPr>
              <w:jc w:val="right"/>
              <w:spacing w:after="0"/>
              <w:rPr>
                <w:sz w:val="20"/>
                <w:szCs w:val="20"/>
                <w:color w:val="auto"/>
              </w:rPr>
            </w:pPr>
            <w:r>
              <w:rPr>
                <w:rFonts w:ascii="Times New Roman" w:cs="Times New Roman" w:eastAsia="Times New Roman" w:hAnsi="Times New Roman"/>
                <w:sz w:val="15"/>
                <w:szCs w:val="15"/>
                <w:b w:val="1"/>
                <w:bCs w:val="1"/>
                <w:color w:val="231F20"/>
              </w:rPr>
              <w:t>For the Year Ended December 31,</w:t>
            </w:r>
          </w:p>
        </w:tc>
        <w:tc>
          <w:tcPr>
            <w:tcW w:w="740" w:type="dxa"/>
            <w:vAlign w:val="bottom"/>
            <w:tcBorders>
              <w:bottom w:val="single" w:sz="8" w:color="231F20"/>
            </w:tcBorders>
            <w:shd w:val="clear" w:color="auto" w:fill="FDFDFC"/>
          </w:tcPr>
          <w:p>
            <w:pPr>
              <w:spacing w:after="0"/>
              <w:rPr>
                <w:sz w:val="15"/>
                <w:szCs w:val="15"/>
                <w:color w:val="auto"/>
              </w:rPr>
            </w:pPr>
          </w:p>
        </w:tc>
        <w:tc>
          <w:tcPr>
            <w:tcW w:w="100" w:type="dxa"/>
            <w:vAlign w:val="bottom"/>
            <w:tcBorders>
              <w:bottom w:val="single" w:sz="8" w:color="FDFDFC"/>
            </w:tcBorders>
            <w:shd w:val="clear" w:color="auto" w:fill="FDFDFC"/>
          </w:tcPr>
          <w:p>
            <w:pPr>
              <w:spacing w:after="0"/>
              <w:rPr>
                <w:sz w:val="15"/>
                <w:szCs w:val="15"/>
                <w:color w:val="auto"/>
              </w:rPr>
            </w:pPr>
          </w:p>
        </w:tc>
        <w:tc>
          <w:tcPr>
            <w:tcW w:w="0" w:type="dxa"/>
            <w:vAlign w:val="bottom"/>
          </w:tcPr>
          <w:p>
            <w:pPr>
              <w:spacing w:after="0"/>
              <w:rPr>
                <w:sz w:val="1"/>
                <w:szCs w:val="1"/>
                <w:color w:val="auto"/>
              </w:rPr>
            </w:pPr>
          </w:p>
        </w:tc>
      </w:tr>
      <w:tr>
        <w:trPr>
          <w:trHeight w:val="163"/>
        </w:trPr>
        <w:tc>
          <w:tcPr>
            <w:tcW w:w="5340" w:type="dxa"/>
            <w:vAlign w:val="bottom"/>
            <w:tcBorders>
              <w:bottom w:val="single" w:sz="8" w:color="D0EBF2"/>
            </w:tcBorders>
            <w:vMerge w:val="continue"/>
            <w:shd w:val="clear" w:color="auto" w:fill="FDFDFC"/>
          </w:tcPr>
          <w:p>
            <w:pPr>
              <w:spacing w:after="0"/>
              <w:rPr>
                <w:sz w:val="14"/>
                <w:szCs w:val="14"/>
                <w:color w:val="auto"/>
              </w:rPr>
            </w:pPr>
          </w:p>
        </w:tc>
        <w:tc>
          <w:tcPr>
            <w:tcW w:w="240" w:type="dxa"/>
            <w:vAlign w:val="bottom"/>
            <w:tcBorders>
              <w:bottom w:val="single" w:sz="8" w:color="231F20"/>
            </w:tcBorders>
            <w:shd w:val="clear" w:color="auto" w:fill="FDFDFC"/>
          </w:tcPr>
          <w:p>
            <w:pPr>
              <w:spacing w:after="0"/>
              <w:rPr>
                <w:sz w:val="14"/>
                <w:szCs w:val="14"/>
                <w:color w:val="auto"/>
              </w:rPr>
            </w:pPr>
          </w:p>
        </w:tc>
        <w:tc>
          <w:tcPr>
            <w:tcW w:w="840" w:type="dxa"/>
            <w:vAlign w:val="bottom"/>
            <w:tcBorders>
              <w:bottom w:val="single" w:sz="8" w:color="231F20"/>
            </w:tcBorders>
            <w:shd w:val="clear" w:color="auto" w:fill="FDFDFC"/>
          </w:tcPr>
          <w:p>
            <w:pPr>
              <w:jc w:val="right"/>
              <w:ind w:right="311"/>
              <w:spacing w:after="0" w:line="164" w:lineRule="exact"/>
              <w:rPr>
                <w:sz w:val="20"/>
                <w:szCs w:val="20"/>
                <w:color w:val="auto"/>
              </w:rPr>
            </w:pPr>
            <w:r>
              <w:rPr>
                <w:rFonts w:ascii="Times New Roman" w:cs="Times New Roman" w:eastAsia="Times New Roman" w:hAnsi="Times New Roman"/>
                <w:sz w:val="15"/>
                <w:szCs w:val="15"/>
                <w:b w:val="1"/>
                <w:bCs w:val="1"/>
                <w:color w:val="231F20"/>
              </w:rPr>
              <w:t>2024</w:t>
            </w:r>
          </w:p>
        </w:tc>
        <w:tc>
          <w:tcPr>
            <w:tcW w:w="80" w:type="dxa"/>
            <w:vAlign w:val="bottom"/>
            <w:tcBorders>
              <w:bottom w:val="single" w:sz="8" w:color="D0EBF2"/>
            </w:tcBorders>
            <w:shd w:val="clear" w:color="auto" w:fill="FDFDFC"/>
          </w:tcPr>
          <w:p>
            <w:pPr>
              <w:spacing w:after="0"/>
              <w:rPr>
                <w:sz w:val="14"/>
                <w:szCs w:val="14"/>
                <w:color w:val="auto"/>
              </w:rPr>
            </w:pPr>
          </w:p>
        </w:tc>
        <w:tc>
          <w:tcPr>
            <w:tcW w:w="120" w:type="dxa"/>
            <w:vAlign w:val="bottom"/>
            <w:tcBorders>
              <w:bottom w:val="single" w:sz="8" w:color="D0EBF2"/>
            </w:tcBorders>
            <w:shd w:val="clear" w:color="auto" w:fill="FDFDFC"/>
          </w:tcPr>
          <w:p>
            <w:pPr>
              <w:spacing w:after="0"/>
              <w:rPr>
                <w:sz w:val="14"/>
                <w:szCs w:val="14"/>
                <w:color w:val="auto"/>
              </w:rPr>
            </w:pPr>
          </w:p>
        </w:tc>
        <w:tc>
          <w:tcPr>
            <w:tcW w:w="260" w:type="dxa"/>
            <w:vAlign w:val="bottom"/>
            <w:tcBorders>
              <w:bottom w:val="single" w:sz="8" w:color="231F20"/>
            </w:tcBorders>
            <w:shd w:val="clear" w:color="auto" w:fill="FDFDFC"/>
          </w:tcPr>
          <w:p>
            <w:pPr>
              <w:spacing w:after="0"/>
              <w:rPr>
                <w:sz w:val="14"/>
                <w:szCs w:val="14"/>
                <w:color w:val="auto"/>
              </w:rPr>
            </w:pPr>
          </w:p>
        </w:tc>
        <w:tc>
          <w:tcPr>
            <w:tcW w:w="920" w:type="dxa"/>
            <w:vAlign w:val="bottom"/>
            <w:tcBorders>
              <w:bottom w:val="single" w:sz="8" w:color="231F20"/>
            </w:tcBorders>
            <w:shd w:val="clear" w:color="auto" w:fill="FDFDFC"/>
          </w:tcPr>
          <w:p>
            <w:pPr>
              <w:jc w:val="right"/>
              <w:ind w:right="349"/>
              <w:spacing w:after="0" w:line="164" w:lineRule="exact"/>
              <w:rPr>
                <w:sz w:val="20"/>
                <w:szCs w:val="20"/>
                <w:color w:val="auto"/>
              </w:rPr>
            </w:pPr>
            <w:r>
              <w:rPr>
                <w:rFonts w:ascii="Times New Roman" w:cs="Times New Roman" w:eastAsia="Times New Roman" w:hAnsi="Times New Roman"/>
                <w:sz w:val="15"/>
                <w:szCs w:val="15"/>
                <w:b w:val="1"/>
                <w:bCs w:val="1"/>
                <w:color w:val="231F20"/>
              </w:rPr>
              <w:t>2023</w:t>
            </w:r>
          </w:p>
        </w:tc>
        <w:tc>
          <w:tcPr>
            <w:tcW w:w="80" w:type="dxa"/>
            <w:vAlign w:val="bottom"/>
            <w:tcBorders>
              <w:bottom w:val="single" w:sz="8" w:color="D0EBF2"/>
            </w:tcBorders>
            <w:shd w:val="clear" w:color="auto" w:fill="FDFDFC"/>
          </w:tcPr>
          <w:p>
            <w:pPr>
              <w:spacing w:after="0"/>
              <w:rPr>
                <w:sz w:val="14"/>
                <w:szCs w:val="14"/>
                <w:color w:val="auto"/>
              </w:rPr>
            </w:pPr>
          </w:p>
        </w:tc>
        <w:tc>
          <w:tcPr>
            <w:tcW w:w="120" w:type="dxa"/>
            <w:vAlign w:val="bottom"/>
            <w:tcBorders>
              <w:bottom w:val="single" w:sz="8" w:color="D0EBF2"/>
            </w:tcBorders>
            <w:shd w:val="clear" w:color="auto" w:fill="FDFDFC"/>
          </w:tcPr>
          <w:p>
            <w:pPr>
              <w:spacing w:after="0"/>
              <w:rPr>
                <w:sz w:val="14"/>
                <w:szCs w:val="14"/>
                <w:color w:val="auto"/>
              </w:rPr>
            </w:pPr>
          </w:p>
        </w:tc>
        <w:tc>
          <w:tcPr>
            <w:tcW w:w="340" w:type="dxa"/>
            <w:vAlign w:val="bottom"/>
            <w:tcBorders>
              <w:bottom w:val="single" w:sz="8" w:color="231F20"/>
            </w:tcBorders>
            <w:shd w:val="clear" w:color="auto" w:fill="FDFDFC"/>
          </w:tcPr>
          <w:p>
            <w:pPr>
              <w:spacing w:after="0"/>
              <w:rPr>
                <w:sz w:val="14"/>
                <w:szCs w:val="14"/>
                <w:color w:val="auto"/>
              </w:rPr>
            </w:pPr>
          </w:p>
        </w:tc>
        <w:tc>
          <w:tcPr>
            <w:tcW w:w="740" w:type="dxa"/>
            <w:vAlign w:val="bottom"/>
            <w:tcBorders>
              <w:bottom w:val="single" w:sz="8" w:color="231F20"/>
            </w:tcBorders>
            <w:shd w:val="clear" w:color="auto" w:fill="FDFDFC"/>
          </w:tcPr>
          <w:p>
            <w:pPr>
              <w:jc w:val="right"/>
              <w:ind w:right="309"/>
              <w:spacing w:after="0" w:line="164" w:lineRule="exact"/>
              <w:rPr>
                <w:sz w:val="20"/>
                <w:szCs w:val="20"/>
                <w:color w:val="auto"/>
              </w:rPr>
            </w:pPr>
            <w:r>
              <w:rPr>
                <w:rFonts w:ascii="Times New Roman" w:cs="Times New Roman" w:eastAsia="Times New Roman" w:hAnsi="Times New Roman"/>
                <w:sz w:val="15"/>
                <w:szCs w:val="15"/>
                <w:b w:val="1"/>
                <w:bCs w:val="1"/>
                <w:color w:val="231F20"/>
              </w:rPr>
              <w:t>2022</w:t>
            </w:r>
          </w:p>
        </w:tc>
        <w:tc>
          <w:tcPr>
            <w:tcW w:w="100" w:type="dxa"/>
            <w:vAlign w:val="bottom"/>
            <w:tcBorders>
              <w:bottom w:val="single" w:sz="8" w:color="D0EBF2"/>
            </w:tcBorders>
            <w:shd w:val="clear" w:color="auto" w:fill="FDFDFC"/>
          </w:tcPr>
          <w:p>
            <w:pPr>
              <w:spacing w:after="0"/>
              <w:rPr>
                <w:sz w:val="14"/>
                <w:szCs w:val="14"/>
                <w:color w:val="auto"/>
              </w:rPr>
            </w:pPr>
          </w:p>
        </w:tc>
        <w:tc>
          <w:tcPr>
            <w:tcW w:w="0" w:type="dxa"/>
            <w:vAlign w:val="bottom"/>
          </w:tcPr>
          <w:p>
            <w:pPr>
              <w:spacing w:after="0"/>
              <w:rPr>
                <w:sz w:val="1"/>
                <w:szCs w:val="1"/>
                <w:color w:val="auto"/>
              </w:rPr>
            </w:pPr>
          </w:p>
        </w:tc>
      </w:tr>
      <w:tr>
        <w:trPr>
          <w:trHeight w:val="207"/>
        </w:trPr>
        <w:tc>
          <w:tcPr>
            <w:tcW w:w="5340" w:type="dxa"/>
            <w:vAlign w:val="bottom"/>
            <w:shd w:val="clear" w:color="auto" w:fill="D0EBF2"/>
          </w:tcPr>
          <w:p>
            <w:pPr>
              <w:spacing w:after="0" w:line="206" w:lineRule="exact"/>
              <w:rPr>
                <w:sz w:val="20"/>
                <w:szCs w:val="20"/>
                <w:color w:val="auto"/>
              </w:rPr>
            </w:pPr>
            <w:r>
              <w:rPr>
                <w:rFonts w:ascii="Times New Roman" w:cs="Times New Roman" w:eastAsia="Times New Roman" w:hAnsi="Times New Roman"/>
                <w:sz w:val="19"/>
                <w:szCs w:val="19"/>
                <w:color w:val="231F20"/>
              </w:rPr>
              <w:t>Interest from investments</w:t>
            </w:r>
          </w:p>
        </w:tc>
        <w:tc>
          <w:tcPr>
            <w:tcW w:w="240" w:type="dxa"/>
            <w:vAlign w:val="bottom"/>
            <w:shd w:val="clear" w:color="auto" w:fill="D0EBF2"/>
          </w:tcPr>
          <w:p>
            <w:pPr>
              <w:jc w:val="right"/>
              <w:ind w:right="46"/>
              <w:spacing w:after="0" w:line="206" w:lineRule="exact"/>
              <w:rPr>
                <w:sz w:val="20"/>
                <w:szCs w:val="20"/>
                <w:color w:val="auto"/>
              </w:rPr>
            </w:pPr>
            <w:r>
              <w:rPr>
                <w:rFonts w:ascii="Times New Roman" w:cs="Times New Roman" w:eastAsia="Times New Roman" w:hAnsi="Times New Roman"/>
                <w:sz w:val="19"/>
                <w:szCs w:val="19"/>
                <w:color w:val="231F20"/>
                <w:w w:val="83"/>
              </w:rPr>
              <w:t>$</w:t>
            </w:r>
          </w:p>
        </w:tc>
        <w:tc>
          <w:tcPr>
            <w:tcW w:w="840" w:type="dxa"/>
            <w:vAlign w:val="bottom"/>
            <w:shd w:val="clear" w:color="auto" w:fill="D0EBF2"/>
          </w:tcPr>
          <w:p>
            <w:pPr>
              <w:jc w:val="right"/>
              <w:spacing w:after="0" w:line="206" w:lineRule="exact"/>
              <w:rPr>
                <w:sz w:val="20"/>
                <w:szCs w:val="20"/>
                <w:color w:val="auto"/>
              </w:rPr>
            </w:pPr>
            <w:r>
              <w:rPr>
                <w:rFonts w:ascii="Times New Roman" w:cs="Times New Roman" w:eastAsia="Times New Roman" w:hAnsi="Times New Roman"/>
                <w:sz w:val="19"/>
                <w:szCs w:val="19"/>
                <w:color w:val="231F20"/>
              </w:rPr>
              <w:t>423.0</w:t>
            </w:r>
          </w:p>
        </w:tc>
        <w:tc>
          <w:tcPr>
            <w:tcW w:w="80" w:type="dxa"/>
            <w:vAlign w:val="bottom"/>
            <w:shd w:val="clear" w:color="auto" w:fill="D0EBF2"/>
          </w:tcPr>
          <w:p>
            <w:pPr>
              <w:spacing w:after="0"/>
              <w:rPr>
                <w:sz w:val="17"/>
                <w:szCs w:val="17"/>
                <w:color w:val="auto"/>
              </w:rPr>
            </w:pPr>
          </w:p>
        </w:tc>
        <w:tc>
          <w:tcPr>
            <w:tcW w:w="120" w:type="dxa"/>
            <w:vAlign w:val="bottom"/>
            <w:shd w:val="clear" w:color="auto" w:fill="D0EBF2"/>
          </w:tcPr>
          <w:p>
            <w:pPr>
              <w:spacing w:after="0"/>
              <w:rPr>
                <w:sz w:val="17"/>
                <w:szCs w:val="17"/>
                <w:color w:val="auto"/>
              </w:rPr>
            </w:pPr>
          </w:p>
        </w:tc>
        <w:tc>
          <w:tcPr>
            <w:tcW w:w="260" w:type="dxa"/>
            <w:vAlign w:val="bottom"/>
            <w:shd w:val="clear" w:color="auto" w:fill="D0EBF2"/>
          </w:tcPr>
          <w:p>
            <w:pPr>
              <w:jc w:val="right"/>
              <w:ind w:right="66"/>
              <w:spacing w:after="0" w:line="206" w:lineRule="exact"/>
              <w:rPr>
                <w:sz w:val="20"/>
                <w:szCs w:val="20"/>
                <w:color w:val="auto"/>
              </w:rPr>
            </w:pPr>
            <w:r>
              <w:rPr>
                <w:rFonts w:ascii="Times New Roman" w:cs="Times New Roman" w:eastAsia="Times New Roman" w:hAnsi="Times New Roman"/>
                <w:sz w:val="19"/>
                <w:szCs w:val="19"/>
                <w:color w:val="231F20"/>
                <w:w w:val="83"/>
              </w:rPr>
              <w:t>$</w:t>
            </w:r>
          </w:p>
        </w:tc>
        <w:tc>
          <w:tcPr>
            <w:tcW w:w="920" w:type="dxa"/>
            <w:vAlign w:val="bottom"/>
            <w:shd w:val="clear" w:color="auto" w:fill="D0EBF2"/>
          </w:tcPr>
          <w:p>
            <w:pPr>
              <w:jc w:val="right"/>
              <w:spacing w:after="0" w:line="206" w:lineRule="exact"/>
              <w:rPr>
                <w:sz w:val="20"/>
                <w:szCs w:val="20"/>
                <w:color w:val="auto"/>
              </w:rPr>
            </w:pPr>
            <w:r>
              <w:rPr>
                <w:rFonts w:ascii="Times New Roman" w:cs="Times New Roman" w:eastAsia="Times New Roman" w:hAnsi="Times New Roman"/>
                <w:sz w:val="19"/>
                <w:szCs w:val="19"/>
                <w:color w:val="231F20"/>
              </w:rPr>
              <w:t>399.1</w:t>
            </w:r>
          </w:p>
        </w:tc>
        <w:tc>
          <w:tcPr>
            <w:tcW w:w="80" w:type="dxa"/>
            <w:vAlign w:val="bottom"/>
            <w:shd w:val="clear" w:color="auto" w:fill="D0EBF2"/>
          </w:tcPr>
          <w:p>
            <w:pPr>
              <w:spacing w:after="0"/>
              <w:rPr>
                <w:sz w:val="17"/>
                <w:szCs w:val="17"/>
                <w:color w:val="auto"/>
              </w:rPr>
            </w:pPr>
          </w:p>
        </w:tc>
        <w:tc>
          <w:tcPr>
            <w:tcW w:w="120" w:type="dxa"/>
            <w:vAlign w:val="bottom"/>
            <w:shd w:val="clear" w:color="auto" w:fill="D0EBF2"/>
          </w:tcPr>
          <w:p>
            <w:pPr>
              <w:spacing w:after="0"/>
              <w:rPr>
                <w:sz w:val="17"/>
                <w:szCs w:val="17"/>
                <w:color w:val="auto"/>
              </w:rPr>
            </w:pPr>
          </w:p>
        </w:tc>
        <w:tc>
          <w:tcPr>
            <w:tcW w:w="340" w:type="dxa"/>
            <w:vAlign w:val="bottom"/>
            <w:shd w:val="clear" w:color="auto" w:fill="D0EBF2"/>
          </w:tcPr>
          <w:p>
            <w:pPr>
              <w:jc w:val="right"/>
              <w:ind w:right="146"/>
              <w:spacing w:after="0" w:line="206" w:lineRule="exact"/>
              <w:rPr>
                <w:sz w:val="20"/>
                <w:szCs w:val="20"/>
                <w:color w:val="auto"/>
              </w:rPr>
            </w:pPr>
            <w:r>
              <w:rPr>
                <w:rFonts w:ascii="Times New Roman" w:cs="Times New Roman" w:eastAsia="Times New Roman" w:hAnsi="Times New Roman"/>
                <w:sz w:val="19"/>
                <w:szCs w:val="19"/>
                <w:color w:val="231F20"/>
                <w:w w:val="83"/>
              </w:rPr>
              <w:t>$</w:t>
            </w:r>
          </w:p>
        </w:tc>
        <w:tc>
          <w:tcPr>
            <w:tcW w:w="740" w:type="dxa"/>
            <w:vAlign w:val="bottom"/>
            <w:shd w:val="clear" w:color="auto" w:fill="D0EBF2"/>
          </w:tcPr>
          <w:p>
            <w:pPr>
              <w:jc w:val="right"/>
              <w:spacing w:after="0" w:line="206" w:lineRule="exact"/>
              <w:rPr>
                <w:sz w:val="20"/>
                <w:szCs w:val="20"/>
                <w:color w:val="auto"/>
              </w:rPr>
            </w:pPr>
            <w:r>
              <w:rPr>
                <w:rFonts w:ascii="Times New Roman" w:cs="Times New Roman" w:eastAsia="Times New Roman" w:hAnsi="Times New Roman"/>
                <w:sz w:val="19"/>
                <w:szCs w:val="19"/>
                <w:color w:val="231F20"/>
              </w:rPr>
              <w:t>285.0</w:t>
            </w:r>
          </w:p>
        </w:tc>
        <w:tc>
          <w:tcPr>
            <w:tcW w:w="100" w:type="dxa"/>
            <w:vAlign w:val="bottom"/>
            <w:shd w:val="clear" w:color="auto" w:fill="D0EBF2"/>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5340" w:type="dxa"/>
            <w:vAlign w:val="bottom"/>
            <w:shd w:val="clear" w:color="auto" w:fill="FDFDFC"/>
          </w:tcPr>
          <w:p>
            <w:pPr>
              <w:spacing w:after="0" w:line="217" w:lineRule="exact"/>
              <w:rPr>
                <w:sz w:val="20"/>
                <w:szCs w:val="20"/>
                <w:color w:val="auto"/>
              </w:rPr>
            </w:pPr>
            <w:r>
              <w:rPr>
                <w:rFonts w:ascii="Times New Roman" w:cs="Times New Roman" w:eastAsia="Times New Roman" w:hAnsi="Times New Roman"/>
                <w:sz w:val="19"/>
                <w:szCs w:val="19"/>
                <w:color w:val="231F20"/>
              </w:rPr>
              <w:t>Paid-in-kind interest income</w:t>
            </w:r>
          </w:p>
        </w:tc>
        <w:tc>
          <w:tcPr>
            <w:tcW w:w="240" w:type="dxa"/>
            <w:vAlign w:val="bottom"/>
            <w:shd w:val="clear" w:color="auto" w:fill="FDFDFC"/>
          </w:tcPr>
          <w:p>
            <w:pPr>
              <w:spacing w:after="0"/>
              <w:rPr>
                <w:sz w:val="18"/>
                <w:szCs w:val="18"/>
                <w:color w:val="auto"/>
              </w:rPr>
            </w:pPr>
          </w:p>
        </w:tc>
        <w:tc>
          <w:tcPr>
            <w:tcW w:w="840" w:type="dxa"/>
            <w:vAlign w:val="bottom"/>
            <w:shd w:val="clear" w:color="auto" w:fill="FDFDFC"/>
          </w:tcPr>
          <w:p>
            <w:pPr>
              <w:jc w:val="right"/>
              <w:spacing w:after="0" w:line="217" w:lineRule="exact"/>
              <w:rPr>
                <w:sz w:val="20"/>
                <w:szCs w:val="20"/>
                <w:color w:val="auto"/>
              </w:rPr>
            </w:pPr>
            <w:r>
              <w:rPr>
                <w:rFonts w:ascii="Times New Roman" w:cs="Times New Roman" w:eastAsia="Times New Roman" w:hAnsi="Times New Roman"/>
                <w:sz w:val="19"/>
                <w:szCs w:val="19"/>
                <w:color w:val="231F20"/>
              </w:rPr>
              <w:t>29.3</w:t>
            </w:r>
          </w:p>
        </w:tc>
        <w:tc>
          <w:tcPr>
            <w:tcW w:w="80" w:type="dxa"/>
            <w:vAlign w:val="bottom"/>
            <w:shd w:val="clear" w:color="auto" w:fill="FDFDFC"/>
          </w:tcPr>
          <w:p>
            <w:pPr>
              <w:spacing w:after="0"/>
              <w:rPr>
                <w:sz w:val="18"/>
                <w:szCs w:val="18"/>
                <w:color w:val="auto"/>
              </w:rPr>
            </w:pPr>
          </w:p>
        </w:tc>
        <w:tc>
          <w:tcPr>
            <w:tcW w:w="120" w:type="dxa"/>
            <w:vAlign w:val="bottom"/>
            <w:shd w:val="clear" w:color="auto" w:fill="FDFDFC"/>
          </w:tcPr>
          <w:p>
            <w:pPr>
              <w:spacing w:after="0"/>
              <w:rPr>
                <w:sz w:val="18"/>
                <w:szCs w:val="18"/>
                <w:color w:val="auto"/>
              </w:rPr>
            </w:pPr>
          </w:p>
        </w:tc>
        <w:tc>
          <w:tcPr>
            <w:tcW w:w="260" w:type="dxa"/>
            <w:vAlign w:val="bottom"/>
            <w:shd w:val="clear" w:color="auto" w:fill="FDFDFC"/>
          </w:tcPr>
          <w:p>
            <w:pPr>
              <w:spacing w:after="0"/>
              <w:rPr>
                <w:sz w:val="18"/>
                <w:szCs w:val="18"/>
                <w:color w:val="auto"/>
              </w:rPr>
            </w:pPr>
          </w:p>
        </w:tc>
        <w:tc>
          <w:tcPr>
            <w:tcW w:w="920" w:type="dxa"/>
            <w:vAlign w:val="bottom"/>
            <w:shd w:val="clear" w:color="auto" w:fill="FDFDFC"/>
          </w:tcPr>
          <w:p>
            <w:pPr>
              <w:jc w:val="right"/>
              <w:spacing w:after="0" w:line="217" w:lineRule="exact"/>
              <w:rPr>
                <w:sz w:val="20"/>
                <w:szCs w:val="20"/>
                <w:color w:val="auto"/>
              </w:rPr>
            </w:pPr>
            <w:r>
              <w:rPr>
                <w:rFonts w:ascii="Times New Roman" w:cs="Times New Roman" w:eastAsia="Times New Roman" w:hAnsi="Times New Roman"/>
                <w:sz w:val="19"/>
                <w:szCs w:val="19"/>
                <w:color w:val="231F20"/>
              </w:rPr>
              <w:t>19.7</w:t>
            </w:r>
          </w:p>
        </w:tc>
        <w:tc>
          <w:tcPr>
            <w:tcW w:w="80" w:type="dxa"/>
            <w:vAlign w:val="bottom"/>
            <w:shd w:val="clear" w:color="auto" w:fill="FDFDFC"/>
          </w:tcPr>
          <w:p>
            <w:pPr>
              <w:spacing w:after="0"/>
              <w:rPr>
                <w:sz w:val="18"/>
                <w:szCs w:val="18"/>
                <w:color w:val="auto"/>
              </w:rPr>
            </w:pPr>
          </w:p>
        </w:tc>
        <w:tc>
          <w:tcPr>
            <w:tcW w:w="120" w:type="dxa"/>
            <w:vAlign w:val="bottom"/>
            <w:shd w:val="clear" w:color="auto" w:fill="FDFDFC"/>
          </w:tcPr>
          <w:p>
            <w:pPr>
              <w:spacing w:after="0"/>
              <w:rPr>
                <w:sz w:val="18"/>
                <w:szCs w:val="18"/>
                <w:color w:val="auto"/>
              </w:rPr>
            </w:pPr>
          </w:p>
        </w:tc>
        <w:tc>
          <w:tcPr>
            <w:tcW w:w="340" w:type="dxa"/>
            <w:vAlign w:val="bottom"/>
            <w:shd w:val="clear" w:color="auto" w:fill="FDFDFC"/>
          </w:tcPr>
          <w:p>
            <w:pPr>
              <w:spacing w:after="0"/>
              <w:rPr>
                <w:sz w:val="18"/>
                <w:szCs w:val="18"/>
                <w:color w:val="auto"/>
              </w:rPr>
            </w:pPr>
          </w:p>
        </w:tc>
        <w:tc>
          <w:tcPr>
            <w:tcW w:w="740" w:type="dxa"/>
            <w:vAlign w:val="bottom"/>
            <w:shd w:val="clear" w:color="auto" w:fill="FDFDFC"/>
          </w:tcPr>
          <w:p>
            <w:pPr>
              <w:jc w:val="right"/>
              <w:spacing w:after="0" w:line="217" w:lineRule="exact"/>
              <w:rPr>
                <w:sz w:val="20"/>
                <w:szCs w:val="20"/>
                <w:color w:val="auto"/>
              </w:rPr>
            </w:pPr>
            <w:r>
              <w:rPr>
                <w:rFonts w:ascii="Times New Roman" w:cs="Times New Roman" w:eastAsia="Times New Roman" w:hAnsi="Times New Roman"/>
                <w:sz w:val="19"/>
                <w:szCs w:val="19"/>
                <w:color w:val="231F20"/>
              </w:rPr>
              <w:t>12.6</w:t>
            </w:r>
          </w:p>
        </w:tc>
        <w:tc>
          <w:tcPr>
            <w:tcW w:w="100" w:type="dxa"/>
            <w:vAlign w:val="bottom"/>
            <w:shd w:val="clear" w:color="auto" w:fill="FDFDFC"/>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5340" w:type="dxa"/>
            <w:vAlign w:val="bottom"/>
            <w:shd w:val="clear" w:color="auto" w:fill="D0EBF2"/>
          </w:tcPr>
          <w:p>
            <w:pPr>
              <w:spacing w:after="0" w:line="217" w:lineRule="exact"/>
              <w:rPr>
                <w:sz w:val="20"/>
                <w:szCs w:val="20"/>
                <w:color w:val="auto"/>
              </w:rPr>
            </w:pPr>
            <w:r>
              <w:rPr>
                <w:rFonts w:ascii="Times New Roman" w:cs="Times New Roman" w:eastAsia="Times New Roman" w:hAnsi="Times New Roman"/>
                <w:sz w:val="19"/>
                <w:szCs w:val="19"/>
                <w:color w:val="231F20"/>
              </w:rPr>
              <w:t>Dividend income</w:t>
            </w:r>
          </w:p>
        </w:tc>
        <w:tc>
          <w:tcPr>
            <w:tcW w:w="240" w:type="dxa"/>
            <w:vAlign w:val="bottom"/>
            <w:shd w:val="clear" w:color="auto" w:fill="D0EBF2"/>
          </w:tcPr>
          <w:p>
            <w:pPr>
              <w:spacing w:after="0"/>
              <w:rPr>
                <w:sz w:val="18"/>
                <w:szCs w:val="18"/>
                <w:color w:val="auto"/>
              </w:rPr>
            </w:pPr>
          </w:p>
        </w:tc>
        <w:tc>
          <w:tcPr>
            <w:tcW w:w="840" w:type="dxa"/>
            <w:vAlign w:val="bottom"/>
            <w:shd w:val="clear" w:color="auto" w:fill="D0EBF2"/>
          </w:tcPr>
          <w:p>
            <w:pPr>
              <w:jc w:val="right"/>
              <w:spacing w:after="0" w:line="217" w:lineRule="exact"/>
              <w:rPr>
                <w:sz w:val="20"/>
                <w:szCs w:val="20"/>
                <w:color w:val="auto"/>
              </w:rPr>
            </w:pPr>
            <w:r>
              <w:rPr>
                <w:rFonts w:ascii="Times New Roman" w:cs="Times New Roman" w:eastAsia="Times New Roman" w:hAnsi="Times New Roman"/>
                <w:sz w:val="19"/>
                <w:szCs w:val="19"/>
                <w:color w:val="231F20"/>
              </w:rPr>
              <w:t>11.7</w:t>
            </w:r>
          </w:p>
        </w:tc>
        <w:tc>
          <w:tcPr>
            <w:tcW w:w="80" w:type="dxa"/>
            <w:vAlign w:val="bottom"/>
            <w:shd w:val="clear" w:color="auto" w:fill="D0EBF2"/>
          </w:tcPr>
          <w:p>
            <w:pPr>
              <w:spacing w:after="0"/>
              <w:rPr>
                <w:sz w:val="18"/>
                <w:szCs w:val="18"/>
                <w:color w:val="auto"/>
              </w:rPr>
            </w:pPr>
          </w:p>
        </w:tc>
        <w:tc>
          <w:tcPr>
            <w:tcW w:w="120" w:type="dxa"/>
            <w:vAlign w:val="bottom"/>
            <w:shd w:val="clear" w:color="auto" w:fill="D0EBF2"/>
          </w:tcPr>
          <w:p>
            <w:pPr>
              <w:spacing w:after="0"/>
              <w:rPr>
                <w:sz w:val="18"/>
                <w:szCs w:val="18"/>
                <w:color w:val="auto"/>
              </w:rPr>
            </w:pPr>
          </w:p>
        </w:tc>
        <w:tc>
          <w:tcPr>
            <w:tcW w:w="260" w:type="dxa"/>
            <w:vAlign w:val="bottom"/>
            <w:shd w:val="clear" w:color="auto" w:fill="D0EBF2"/>
          </w:tcPr>
          <w:p>
            <w:pPr>
              <w:spacing w:after="0"/>
              <w:rPr>
                <w:sz w:val="18"/>
                <w:szCs w:val="18"/>
                <w:color w:val="auto"/>
              </w:rPr>
            </w:pPr>
          </w:p>
        </w:tc>
        <w:tc>
          <w:tcPr>
            <w:tcW w:w="920" w:type="dxa"/>
            <w:vAlign w:val="bottom"/>
            <w:shd w:val="clear" w:color="auto" w:fill="D0EBF2"/>
          </w:tcPr>
          <w:p>
            <w:pPr>
              <w:jc w:val="right"/>
              <w:spacing w:after="0" w:line="217" w:lineRule="exact"/>
              <w:rPr>
                <w:sz w:val="20"/>
                <w:szCs w:val="20"/>
                <w:color w:val="auto"/>
              </w:rPr>
            </w:pPr>
            <w:r>
              <w:rPr>
                <w:rFonts w:ascii="Times New Roman" w:cs="Times New Roman" w:eastAsia="Times New Roman" w:hAnsi="Times New Roman"/>
                <w:sz w:val="19"/>
                <w:szCs w:val="19"/>
                <w:color w:val="231F20"/>
              </w:rPr>
              <w:t>4.2</w:t>
            </w:r>
          </w:p>
        </w:tc>
        <w:tc>
          <w:tcPr>
            <w:tcW w:w="80" w:type="dxa"/>
            <w:vAlign w:val="bottom"/>
            <w:shd w:val="clear" w:color="auto" w:fill="D0EBF2"/>
          </w:tcPr>
          <w:p>
            <w:pPr>
              <w:spacing w:after="0"/>
              <w:rPr>
                <w:sz w:val="18"/>
                <w:szCs w:val="18"/>
                <w:color w:val="auto"/>
              </w:rPr>
            </w:pPr>
          </w:p>
        </w:tc>
        <w:tc>
          <w:tcPr>
            <w:tcW w:w="120" w:type="dxa"/>
            <w:vAlign w:val="bottom"/>
            <w:shd w:val="clear" w:color="auto" w:fill="D0EBF2"/>
          </w:tcPr>
          <w:p>
            <w:pPr>
              <w:spacing w:after="0"/>
              <w:rPr>
                <w:sz w:val="18"/>
                <w:szCs w:val="18"/>
                <w:color w:val="auto"/>
              </w:rPr>
            </w:pPr>
          </w:p>
        </w:tc>
        <w:tc>
          <w:tcPr>
            <w:tcW w:w="340" w:type="dxa"/>
            <w:vAlign w:val="bottom"/>
            <w:shd w:val="clear" w:color="auto" w:fill="D0EBF2"/>
          </w:tcPr>
          <w:p>
            <w:pPr>
              <w:spacing w:after="0"/>
              <w:rPr>
                <w:sz w:val="18"/>
                <w:szCs w:val="18"/>
                <w:color w:val="auto"/>
              </w:rPr>
            </w:pPr>
          </w:p>
        </w:tc>
        <w:tc>
          <w:tcPr>
            <w:tcW w:w="740" w:type="dxa"/>
            <w:vAlign w:val="bottom"/>
            <w:shd w:val="clear" w:color="auto" w:fill="D0EBF2"/>
          </w:tcPr>
          <w:p>
            <w:pPr>
              <w:jc w:val="right"/>
              <w:spacing w:after="0" w:line="217" w:lineRule="exact"/>
              <w:rPr>
                <w:sz w:val="20"/>
                <w:szCs w:val="20"/>
                <w:color w:val="auto"/>
              </w:rPr>
            </w:pPr>
            <w:r>
              <w:rPr>
                <w:rFonts w:ascii="Times New Roman" w:cs="Times New Roman" w:eastAsia="Times New Roman" w:hAnsi="Times New Roman"/>
                <w:sz w:val="19"/>
                <w:szCs w:val="19"/>
                <w:color w:val="231F20"/>
              </w:rPr>
              <w:t>2.2</w:t>
            </w:r>
          </w:p>
        </w:tc>
        <w:tc>
          <w:tcPr>
            <w:tcW w:w="100" w:type="dxa"/>
            <w:vAlign w:val="bottom"/>
            <w:shd w:val="clear" w:color="auto" w:fill="D0EBF2"/>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5340" w:type="dxa"/>
            <w:vAlign w:val="bottom"/>
            <w:tcBorders>
              <w:bottom w:val="single" w:sz="8" w:color="D0EBF2"/>
            </w:tcBorders>
            <w:shd w:val="clear" w:color="auto" w:fill="FDFDFC"/>
          </w:tcPr>
          <w:p>
            <w:pPr>
              <w:spacing w:after="0" w:line="217" w:lineRule="exact"/>
              <w:rPr>
                <w:sz w:val="20"/>
                <w:szCs w:val="20"/>
                <w:color w:val="auto"/>
              </w:rPr>
            </w:pPr>
            <w:r>
              <w:rPr>
                <w:rFonts w:ascii="Times New Roman" w:cs="Times New Roman" w:eastAsia="Times New Roman" w:hAnsi="Times New Roman"/>
                <w:sz w:val="19"/>
                <w:szCs w:val="19"/>
                <w:color w:val="231F20"/>
              </w:rPr>
              <w:t>Other income</w:t>
            </w:r>
          </w:p>
        </w:tc>
        <w:tc>
          <w:tcPr>
            <w:tcW w:w="240" w:type="dxa"/>
            <w:vAlign w:val="bottom"/>
            <w:tcBorders>
              <w:bottom w:val="single" w:sz="8" w:color="231F20"/>
            </w:tcBorders>
            <w:shd w:val="clear" w:color="auto" w:fill="FDFDFC"/>
          </w:tcPr>
          <w:p>
            <w:pPr>
              <w:spacing w:after="0"/>
              <w:rPr>
                <w:sz w:val="18"/>
                <w:szCs w:val="18"/>
                <w:color w:val="auto"/>
              </w:rPr>
            </w:pPr>
          </w:p>
        </w:tc>
        <w:tc>
          <w:tcPr>
            <w:tcW w:w="840" w:type="dxa"/>
            <w:vAlign w:val="bottom"/>
            <w:tcBorders>
              <w:bottom w:val="single" w:sz="8" w:color="231F20"/>
            </w:tcBorders>
            <w:shd w:val="clear" w:color="auto" w:fill="FDFDFC"/>
          </w:tcPr>
          <w:p>
            <w:pPr>
              <w:jc w:val="right"/>
              <w:spacing w:after="0" w:line="217" w:lineRule="exact"/>
              <w:rPr>
                <w:sz w:val="20"/>
                <w:szCs w:val="20"/>
                <w:color w:val="auto"/>
              </w:rPr>
            </w:pPr>
            <w:r>
              <w:rPr>
                <w:rFonts w:ascii="Times New Roman" w:cs="Times New Roman" w:eastAsia="Times New Roman" w:hAnsi="Times New Roman"/>
                <w:sz w:val="19"/>
                <w:szCs w:val="19"/>
                <w:color w:val="231F20"/>
              </w:rPr>
              <w:t>18.5</w:t>
            </w:r>
          </w:p>
        </w:tc>
        <w:tc>
          <w:tcPr>
            <w:tcW w:w="80" w:type="dxa"/>
            <w:vAlign w:val="bottom"/>
            <w:tcBorders>
              <w:bottom w:val="single" w:sz="8" w:color="D0EBF2"/>
            </w:tcBorders>
            <w:shd w:val="clear" w:color="auto" w:fill="FDFDFC"/>
          </w:tcPr>
          <w:p>
            <w:pPr>
              <w:spacing w:after="0"/>
              <w:rPr>
                <w:sz w:val="18"/>
                <w:szCs w:val="18"/>
                <w:color w:val="auto"/>
              </w:rPr>
            </w:pPr>
          </w:p>
        </w:tc>
        <w:tc>
          <w:tcPr>
            <w:tcW w:w="120" w:type="dxa"/>
            <w:vAlign w:val="bottom"/>
            <w:tcBorders>
              <w:bottom w:val="single" w:sz="8" w:color="D0EBF2"/>
            </w:tcBorders>
            <w:shd w:val="clear" w:color="auto" w:fill="FDFDFC"/>
          </w:tcPr>
          <w:p>
            <w:pPr>
              <w:spacing w:after="0"/>
              <w:rPr>
                <w:sz w:val="18"/>
                <w:szCs w:val="18"/>
                <w:color w:val="auto"/>
              </w:rPr>
            </w:pPr>
          </w:p>
        </w:tc>
        <w:tc>
          <w:tcPr>
            <w:tcW w:w="260" w:type="dxa"/>
            <w:vAlign w:val="bottom"/>
            <w:tcBorders>
              <w:bottom w:val="single" w:sz="8" w:color="231F20"/>
            </w:tcBorders>
            <w:shd w:val="clear" w:color="auto" w:fill="FDFDFC"/>
          </w:tcPr>
          <w:p>
            <w:pPr>
              <w:spacing w:after="0"/>
              <w:rPr>
                <w:sz w:val="18"/>
                <w:szCs w:val="18"/>
                <w:color w:val="auto"/>
              </w:rPr>
            </w:pPr>
          </w:p>
        </w:tc>
        <w:tc>
          <w:tcPr>
            <w:tcW w:w="920" w:type="dxa"/>
            <w:vAlign w:val="bottom"/>
            <w:tcBorders>
              <w:bottom w:val="single" w:sz="8" w:color="231F20"/>
            </w:tcBorders>
            <w:shd w:val="clear" w:color="auto" w:fill="FDFDFC"/>
          </w:tcPr>
          <w:p>
            <w:pPr>
              <w:jc w:val="right"/>
              <w:spacing w:after="0" w:line="217" w:lineRule="exact"/>
              <w:rPr>
                <w:sz w:val="20"/>
                <w:szCs w:val="20"/>
                <w:color w:val="auto"/>
              </w:rPr>
            </w:pPr>
            <w:r>
              <w:rPr>
                <w:rFonts w:ascii="Times New Roman" w:cs="Times New Roman" w:eastAsia="Times New Roman" w:hAnsi="Times New Roman"/>
                <w:sz w:val="19"/>
                <w:szCs w:val="19"/>
                <w:color w:val="231F20"/>
              </w:rPr>
              <w:t>15.1</w:t>
            </w:r>
          </w:p>
        </w:tc>
        <w:tc>
          <w:tcPr>
            <w:tcW w:w="80" w:type="dxa"/>
            <w:vAlign w:val="bottom"/>
            <w:tcBorders>
              <w:bottom w:val="single" w:sz="8" w:color="D0EBF2"/>
            </w:tcBorders>
            <w:shd w:val="clear" w:color="auto" w:fill="FDFDFC"/>
          </w:tcPr>
          <w:p>
            <w:pPr>
              <w:spacing w:after="0"/>
              <w:rPr>
                <w:sz w:val="18"/>
                <w:szCs w:val="18"/>
                <w:color w:val="auto"/>
              </w:rPr>
            </w:pPr>
          </w:p>
        </w:tc>
        <w:tc>
          <w:tcPr>
            <w:tcW w:w="120" w:type="dxa"/>
            <w:vAlign w:val="bottom"/>
            <w:tcBorders>
              <w:bottom w:val="single" w:sz="8" w:color="D0EBF2"/>
            </w:tcBorders>
            <w:shd w:val="clear" w:color="auto" w:fill="FDFDFC"/>
          </w:tcPr>
          <w:p>
            <w:pPr>
              <w:spacing w:after="0"/>
              <w:rPr>
                <w:sz w:val="18"/>
                <w:szCs w:val="18"/>
                <w:color w:val="auto"/>
              </w:rPr>
            </w:pPr>
          </w:p>
        </w:tc>
        <w:tc>
          <w:tcPr>
            <w:tcW w:w="340" w:type="dxa"/>
            <w:vAlign w:val="bottom"/>
            <w:tcBorders>
              <w:bottom w:val="single" w:sz="8" w:color="231F20"/>
            </w:tcBorders>
            <w:shd w:val="clear" w:color="auto" w:fill="FDFDFC"/>
          </w:tcPr>
          <w:p>
            <w:pPr>
              <w:spacing w:after="0"/>
              <w:rPr>
                <w:sz w:val="18"/>
                <w:szCs w:val="18"/>
                <w:color w:val="auto"/>
              </w:rPr>
            </w:pPr>
          </w:p>
        </w:tc>
        <w:tc>
          <w:tcPr>
            <w:tcW w:w="740" w:type="dxa"/>
            <w:vAlign w:val="bottom"/>
            <w:tcBorders>
              <w:bottom w:val="single" w:sz="8" w:color="231F20"/>
            </w:tcBorders>
            <w:shd w:val="clear" w:color="auto" w:fill="FDFDFC"/>
          </w:tcPr>
          <w:p>
            <w:pPr>
              <w:jc w:val="right"/>
              <w:spacing w:after="0" w:line="217" w:lineRule="exact"/>
              <w:rPr>
                <w:sz w:val="20"/>
                <w:szCs w:val="20"/>
                <w:color w:val="auto"/>
              </w:rPr>
            </w:pPr>
            <w:r>
              <w:rPr>
                <w:rFonts w:ascii="Times New Roman" w:cs="Times New Roman" w:eastAsia="Times New Roman" w:hAnsi="Times New Roman"/>
                <w:sz w:val="19"/>
                <w:szCs w:val="19"/>
                <w:color w:val="231F20"/>
              </w:rPr>
              <w:t>9.5</w:t>
            </w:r>
          </w:p>
        </w:tc>
        <w:tc>
          <w:tcPr>
            <w:tcW w:w="100" w:type="dxa"/>
            <w:vAlign w:val="bottom"/>
            <w:tcBorders>
              <w:bottom w:val="single" w:sz="8" w:color="D0EBF2"/>
            </w:tcBorders>
            <w:shd w:val="clear" w:color="auto" w:fill="FDFDFC"/>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5340" w:type="dxa"/>
            <w:vAlign w:val="bottom"/>
            <w:shd w:val="clear" w:color="auto" w:fill="D0EBF2"/>
          </w:tcPr>
          <w:p>
            <w:pPr>
              <w:ind w:left="180"/>
              <w:spacing w:after="0" w:line="207" w:lineRule="exact"/>
              <w:rPr>
                <w:sz w:val="20"/>
                <w:szCs w:val="20"/>
                <w:color w:val="auto"/>
              </w:rPr>
            </w:pPr>
            <w:r>
              <w:rPr>
                <w:rFonts w:ascii="Times New Roman" w:cs="Times New Roman" w:eastAsia="Times New Roman" w:hAnsi="Times New Roman"/>
                <w:sz w:val="19"/>
                <w:szCs w:val="19"/>
                <w:b w:val="1"/>
                <w:bCs w:val="1"/>
                <w:color w:val="231F20"/>
              </w:rPr>
              <w:t>Total investment income</w:t>
            </w:r>
          </w:p>
        </w:tc>
        <w:tc>
          <w:tcPr>
            <w:tcW w:w="240" w:type="dxa"/>
            <w:vAlign w:val="bottom"/>
            <w:tcBorders>
              <w:bottom w:val="single" w:sz="8" w:color="231F20"/>
            </w:tcBorders>
            <w:shd w:val="clear" w:color="auto" w:fill="D0EBF2"/>
          </w:tcPr>
          <w:p>
            <w:pPr>
              <w:jc w:val="right"/>
              <w:ind w:right="46"/>
              <w:spacing w:after="0" w:line="207" w:lineRule="exact"/>
              <w:rPr>
                <w:sz w:val="20"/>
                <w:szCs w:val="20"/>
                <w:color w:val="auto"/>
              </w:rPr>
            </w:pPr>
            <w:r>
              <w:rPr>
                <w:rFonts w:ascii="Times New Roman" w:cs="Times New Roman" w:eastAsia="Times New Roman" w:hAnsi="Times New Roman"/>
                <w:sz w:val="19"/>
                <w:szCs w:val="19"/>
                <w:color w:val="231F20"/>
                <w:w w:val="83"/>
              </w:rPr>
              <w:t>$</w:t>
            </w:r>
          </w:p>
        </w:tc>
        <w:tc>
          <w:tcPr>
            <w:tcW w:w="840" w:type="dxa"/>
            <w:vAlign w:val="bottom"/>
            <w:tcBorders>
              <w:bottom w:val="single" w:sz="8" w:color="231F20"/>
            </w:tcBorders>
            <w:shd w:val="clear" w:color="auto" w:fill="D0EBF2"/>
          </w:tcPr>
          <w:p>
            <w:pPr>
              <w:jc w:val="right"/>
              <w:spacing w:after="0" w:line="207" w:lineRule="exact"/>
              <w:rPr>
                <w:sz w:val="20"/>
                <w:szCs w:val="20"/>
                <w:color w:val="auto"/>
              </w:rPr>
            </w:pPr>
            <w:r>
              <w:rPr>
                <w:rFonts w:ascii="Times New Roman" w:cs="Times New Roman" w:eastAsia="Times New Roman" w:hAnsi="Times New Roman"/>
                <w:sz w:val="19"/>
                <w:szCs w:val="19"/>
                <w:color w:val="231F20"/>
              </w:rPr>
              <w:t>482.5</w:t>
            </w:r>
          </w:p>
        </w:tc>
        <w:tc>
          <w:tcPr>
            <w:tcW w:w="200" w:type="dxa"/>
            <w:vAlign w:val="bottom"/>
            <w:gridSpan w:val="2"/>
            <w:shd w:val="clear" w:color="auto" w:fill="D0EBF2"/>
          </w:tcPr>
          <w:p>
            <w:pPr>
              <w:spacing w:after="0"/>
              <w:rPr>
                <w:sz w:val="17"/>
                <w:szCs w:val="17"/>
                <w:color w:val="auto"/>
              </w:rPr>
            </w:pPr>
          </w:p>
        </w:tc>
        <w:tc>
          <w:tcPr>
            <w:tcW w:w="260" w:type="dxa"/>
            <w:vAlign w:val="bottom"/>
            <w:tcBorders>
              <w:bottom w:val="single" w:sz="8" w:color="231F20"/>
            </w:tcBorders>
            <w:shd w:val="clear" w:color="auto" w:fill="D0EBF2"/>
          </w:tcPr>
          <w:p>
            <w:pPr>
              <w:jc w:val="right"/>
              <w:ind w:right="66"/>
              <w:spacing w:after="0" w:line="207" w:lineRule="exact"/>
              <w:rPr>
                <w:sz w:val="20"/>
                <w:szCs w:val="20"/>
                <w:color w:val="auto"/>
              </w:rPr>
            </w:pPr>
            <w:r>
              <w:rPr>
                <w:rFonts w:ascii="Times New Roman" w:cs="Times New Roman" w:eastAsia="Times New Roman" w:hAnsi="Times New Roman"/>
                <w:sz w:val="19"/>
                <w:szCs w:val="19"/>
                <w:color w:val="231F20"/>
                <w:w w:val="83"/>
              </w:rPr>
              <w:t>$</w:t>
            </w:r>
          </w:p>
        </w:tc>
        <w:tc>
          <w:tcPr>
            <w:tcW w:w="920" w:type="dxa"/>
            <w:vAlign w:val="bottom"/>
            <w:tcBorders>
              <w:bottom w:val="single" w:sz="8" w:color="231F20"/>
            </w:tcBorders>
            <w:shd w:val="clear" w:color="auto" w:fill="D0EBF2"/>
          </w:tcPr>
          <w:p>
            <w:pPr>
              <w:jc w:val="right"/>
              <w:spacing w:after="0" w:line="207" w:lineRule="exact"/>
              <w:rPr>
                <w:sz w:val="20"/>
                <w:szCs w:val="20"/>
                <w:color w:val="auto"/>
              </w:rPr>
            </w:pPr>
            <w:r>
              <w:rPr>
                <w:rFonts w:ascii="Times New Roman" w:cs="Times New Roman" w:eastAsia="Times New Roman" w:hAnsi="Times New Roman"/>
                <w:sz w:val="19"/>
                <w:szCs w:val="19"/>
                <w:color w:val="231F20"/>
              </w:rPr>
              <w:t>438.1</w:t>
            </w:r>
          </w:p>
        </w:tc>
        <w:tc>
          <w:tcPr>
            <w:tcW w:w="200" w:type="dxa"/>
            <w:vAlign w:val="bottom"/>
            <w:gridSpan w:val="2"/>
            <w:shd w:val="clear" w:color="auto" w:fill="D0EBF2"/>
          </w:tcPr>
          <w:p>
            <w:pPr>
              <w:spacing w:after="0"/>
              <w:rPr>
                <w:sz w:val="17"/>
                <w:szCs w:val="17"/>
                <w:color w:val="auto"/>
              </w:rPr>
            </w:pPr>
          </w:p>
        </w:tc>
        <w:tc>
          <w:tcPr>
            <w:tcW w:w="340" w:type="dxa"/>
            <w:vAlign w:val="bottom"/>
            <w:tcBorders>
              <w:bottom w:val="single" w:sz="8" w:color="231F20"/>
            </w:tcBorders>
            <w:shd w:val="clear" w:color="auto" w:fill="D0EBF2"/>
          </w:tcPr>
          <w:p>
            <w:pPr>
              <w:jc w:val="right"/>
              <w:ind w:right="146"/>
              <w:spacing w:after="0" w:line="207" w:lineRule="exact"/>
              <w:rPr>
                <w:sz w:val="20"/>
                <w:szCs w:val="20"/>
                <w:color w:val="auto"/>
              </w:rPr>
            </w:pPr>
            <w:r>
              <w:rPr>
                <w:rFonts w:ascii="Times New Roman" w:cs="Times New Roman" w:eastAsia="Times New Roman" w:hAnsi="Times New Roman"/>
                <w:sz w:val="19"/>
                <w:szCs w:val="19"/>
                <w:color w:val="231F20"/>
                <w:w w:val="83"/>
              </w:rPr>
              <w:t>$</w:t>
            </w:r>
          </w:p>
        </w:tc>
        <w:tc>
          <w:tcPr>
            <w:tcW w:w="740" w:type="dxa"/>
            <w:vAlign w:val="bottom"/>
            <w:tcBorders>
              <w:bottom w:val="single" w:sz="8" w:color="231F20"/>
            </w:tcBorders>
            <w:shd w:val="clear" w:color="auto" w:fill="D0EBF2"/>
          </w:tcPr>
          <w:p>
            <w:pPr>
              <w:jc w:val="right"/>
              <w:spacing w:after="0" w:line="207" w:lineRule="exact"/>
              <w:rPr>
                <w:sz w:val="20"/>
                <w:szCs w:val="20"/>
                <w:color w:val="auto"/>
              </w:rPr>
            </w:pPr>
            <w:r>
              <w:rPr>
                <w:rFonts w:ascii="Times New Roman" w:cs="Times New Roman" w:eastAsia="Times New Roman" w:hAnsi="Times New Roman"/>
                <w:sz w:val="19"/>
                <w:szCs w:val="19"/>
                <w:color w:val="231F20"/>
              </w:rPr>
              <w:t>309.3</w:t>
            </w:r>
          </w:p>
        </w:tc>
        <w:tc>
          <w:tcPr>
            <w:tcW w:w="100" w:type="dxa"/>
            <w:vAlign w:val="bottom"/>
            <w:shd w:val="clear" w:color="auto" w:fill="D0EBF2"/>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340" w:type="dxa"/>
            <w:vAlign w:val="bottom"/>
          </w:tcPr>
          <w:p>
            <w:pPr>
              <w:spacing w:after="0" w:line="20" w:lineRule="exact"/>
              <w:rPr>
                <w:sz w:val="1"/>
                <w:szCs w:val="1"/>
                <w:color w:val="auto"/>
              </w:rPr>
            </w:pPr>
          </w:p>
        </w:tc>
        <w:tc>
          <w:tcPr>
            <w:tcW w:w="240" w:type="dxa"/>
            <w:vAlign w:val="bottom"/>
            <w:tcBorders>
              <w:bottom w:val="single" w:sz="8" w:color="231F20"/>
            </w:tcBorders>
          </w:tcPr>
          <w:p>
            <w:pPr>
              <w:spacing w:after="0" w:line="20" w:lineRule="exact"/>
              <w:rPr>
                <w:sz w:val="1"/>
                <w:szCs w:val="1"/>
                <w:color w:val="auto"/>
              </w:rPr>
            </w:pPr>
          </w:p>
        </w:tc>
        <w:tc>
          <w:tcPr>
            <w:tcW w:w="840" w:type="dxa"/>
            <w:vAlign w:val="bottom"/>
            <w:tcBorders>
              <w:bottom w:val="single" w:sz="8" w:color="231F20"/>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231F20"/>
            </w:tcBorders>
          </w:tcPr>
          <w:p>
            <w:pPr>
              <w:spacing w:after="0" w:line="20" w:lineRule="exact"/>
              <w:rPr>
                <w:sz w:val="1"/>
                <w:szCs w:val="1"/>
                <w:color w:val="auto"/>
              </w:rPr>
            </w:pPr>
          </w:p>
        </w:tc>
        <w:tc>
          <w:tcPr>
            <w:tcW w:w="920" w:type="dxa"/>
            <w:vAlign w:val="bottom"/>
            <w:tcBorders>
              <w:bottom w:val="single" w:sz="8" w:color="231F20"/>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231F20"/>
            </w:tcBorders>
          </w:tcPr>
          <w:p>
            <w:pPr>
              <w:spacing w:after="0" w:line="20" w:lineRule="exact"/>
              <w:rPr>
                <w:sz w:val="1"/>
                <w:szCs w:val="1"/>
                <w:color w:val="auto"/>
              </w:rPr>
            </w:pPr>
          </w:p>
        </w:tc>
        <w:tc>
          <w:tcPr>
            <w:tcW w:w="740" w:type="dxa"/>
            <w:vAlign w:val="bottom"/>
            <w:tcBorders>
              <w:bottom w:val="single" w:sz="8" w:color="231F20"/>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5" w:lineRule="exact"/>
        <w:rPr>
          <w:sz w:val="20"/>
          <w:szCs w:val="20"/>
          <w:color w:val="auto"/>
        </w:rPr>
      </w:pPr>
    </w:p>
    <w:p>
      <w:pPr>
        <w:ind w:right="20" w:firstLine="231"/>
        <w:spacing w:after="0" w:line="243" w:lineRule="auto"/>
        <w:rPr>
          <w:sz w:val="20"/>
          <w:szCs w:val="20"/>
          <w:color w:val="auto"/>
        </w:rPr>
      </w:pPr>
      <w:r>
        <w:rPr>
          <w:rFonts w:ascii="Times New Roman" w:cs="Times New Roman" w:eastAsia="Times New Roman" w:hAnsi="Times New Roman"/>
          <w:sz w:val="19"/>
          <w:szCs w:val="19"/>
          <w:color w:val="231F20"/>
        </w:rPr>
        <w:t>Interest from investments, which includes amortization of upfront fees and prepayment fees, increased from $399.1 million for the year ended December 31, 2023 to $423.0 million for the year ended December 31, 2024. The increase in interest from investments was primarily the result of a larger average portfolio size for the year ended December 31, 2024 compared to the same period in 2023. Paid-in-kind interest income increased from $19.7 million for the year ended December 31, 2023 to $29.3 million for the year ended December 31, 2024 due to increased PIK election. Dividend income increased from $4.2 million for the year ended December 31, 2023 to $11.7 million for the year ended December 31, 2024 due to increased investments in dividend yielding securities in 2024. Other income increased from $15.1 million for the year ended December 31, 2023 to $18.5 million for the year ended December 31, 2024, primarily due to increased amendment and other miscellaneous fees earned during 2024.</w:t>
      </w:r>
    </w:p>
    <w:p>
      <w:pPr>
        <w:spacing w:after="0" w:line="195" w:lineRule="exact"/>
        <w:rPr>
          <w:sz w:val="20"/>
          <w:szCs w:val="20"/>
          <w:color w:val="auto"/>
        </w:rPr>
      </w:pPr>
    </w:p>
    <w:p>
      <w:pPr>
        <w:ind w:firstLine="231"/>
        <w:spacing w:after="0" w:line="243" w:lineRule="auto"/>
        <w:rPr>
          <w:sz w:val="20"/>
          <w:szCs w:val="20"/>
          <w:color w:val="auto"/>
        </w:rPr>
      </w:pPr>
      <w:r>
        <w:rPr>
          <w:rFonts w:ascii="Times New Roman" w:cs="Times New Roman" w:eastAsia="Times New Roman" w:hAnsi="Times New Roman"/>
          <w:sz w:val="19"/>
          <w:szCs w:val="19"/>
          <w:color w:val="231F20"/>
        </w:rPr>
        <w:t>Interest from investments, which includes amortization of upfront fees and prepayment fees, increased from $285.0 million for the year ended December 31, 2022 to $399.1 million for the year ended December 31, 2023. The increase in interest from investments was primarily the result of an increase in interest earned due to an increase in reference rates for the year ended December 31, 2023 compared to the same period in 2022 and a larger average portfolio size for the year ended December 31, 2023 compared to the same period in 2022. Paid-in-kind interest income increased from $12.6 million for the year ended December 31, 2023 to $19.7 million for the year ended December 31, 2023 due to increased PIK election. Dividend income increased from $2.2 million for the year ended December 31, 2022 to $4.2 million for the year ended December 31, 2023 due to increased investments in dividend yielding securities in 2023. Other income increased from $9.5 million for the year ended December 31, 2022 to $15.1 million for the year ended December 31, 2023, primarily due to increased amendment and other miscellaneous fees earned during 2023.</w:t>
      </w:r>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231F20"/>
        </w:rPr>
        <w:t>Expenses</w:t>
      </w:r>
    </w:p>
    <w:p>
      <w:pPr>
        <w:spacing w:after="0" w:line="110"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9"/>
          <w:szCs w:val="19"/>
          <w:color w:val="231F20"/>
        </w:rPr>
        <w:t>Operating expenses for the years ended December 31, 2024, December 31, 2023 and December 31, 2022 were as follows:</w:t>
      </w:r>
    </w:p>
    <w:p>
      <w:pPr>
        <w:spacing w:after="0" w:line="279" w:lineRule="exact"/>
        <w:rPr>
          <w:sz w:val="20"/>
          <w:szCs w:val="20"/>
          <w:color w:val="auto"/>
        </w:rPr>
      </w:pPr>
    </w:p>
    <w:tbl>
      <w:tblPr>
        <w:tblLayout w:type="fixed"/>
        <w:tblInd w:w="520" w:type="dxa"/>
        <w:tblCellMar>
          <w:top w:w="0" w:type="dxa"/>
          <w:left w:w="0" w:type="dxa"/>
          <w:bottom w:w="0" w:type="dxa"/>
          <w:right w:w="0" w:type="dxa"/>
        </w:tblCellMar>
      </w:tblPr>
      <w:tr>
        <w:trPr>
          <w:trHeight w:val="174"/>
        </w:trPr>
        <w:tc>
          <w:tcPr>
            <w:tcW w:w="4260" w:type="dxa"/>
            <w:vAlign w:val="bottom"/>
            <w:tcBorders>
              <w:bottom w:val="single" w:sz="8" w:color="FDFDFC"/>
            </w:tcBorders>
            <w:vMerge w:val="restart"/>
            <w:shd w:val="clear" w:color="auto" w:fill="FDFDFC"/>
          </w:tcPr>
          <w:p>
            <w:pPr>
              <w:spacing w:after="0"/>
              <w:rPr>
                <w:sz w:val="20"/>
                <w:szCs w:val="20"/>
                <w:color w:val="auto"/>
              </w:rPr>
            </w:pPr>
            <w:r>
              <w:rPr>
                <w:rFonts w:ascii="Times New Roman" w:cs="Times New Roman" w:eastAsia="Times New Roman" w:hAnsi="Times New Roman"/>
                <w:sz w:val="15"/>
                <w:szCs w:val="15"/>
                <w:color w:val="231F20"/>
              </w:rPr>
              <w:t>($ in millions)</w:t>
            </w:r>
          </w:p>
        </w:tc>
        <w:tc>
          <w:tcPr>
            <w:tcW w:w="1200" w:type="dxa"/>
            <w:vAlign w:val="bottom"/>
            <w:tcBorders>
              <w:bottom w:val="single" w:sz="8" w:color="FDFDFC"/>
            </w:tcBorders>
            <w:shd w:val="clear" w:color="auto" w:fill="FDFDFC"/>
          </w:tcPr>
          <w:p>
            <w:pPr>
              <w:spacing w:after="0"/>
              <w:rPr>
                <w:sz w:val="15"/>
                <w:szCs w:val="15"/>
                <w:color w:val="auto"/>
              </w:rPr>
            </w:pPr>
          </w:p>
        </w:tc>
        <w:tc>
          <w:tcPr>
            <w:tcW w:w="260" w:type="dxa"/>
            <w:vAlign w:val="bottom"/>
            <w:tcBorders>
              <w:bottom w:val="single" w:sz="8" w:color="231F20"/>
            </w:tcBorders>
            <w:shd w:val="clear" w:color="auto" w:fill="FDFDFC"/>
          </w:tcPr>
          <w:p>
            <w:pPr>
              <w:spacing w:after="0"/>
              <w:rPr>
                <w:sz w:val="15"/>
                <w:szCs w:val="15"/>
                <w:color w:val="auto"/>
              </w:rPr>
            </w:pPr>
          </w:p>
        </w:tc>
        <w:tc>
          <w:tcPr>
            <w:tcW w:w="2680" w:type="dxa"/>
            <w:vAlign w:val="bottom"/>
            <w:tcBorders>
              <w:bottom w:val="single" w:sz="8" w:color="231F20"/>
            </w:tcBorders>
            <w:gridSpan w:val="7"/>
            <w:shd w:val="clear" w:color="auto" w:fill="FDFDFC"/>
          </w:tcPr>
          <w:p>
            <w:pPr>
              <w:jc w:val="right"/>
              <w:spacing w:after="0"/>
              <w:rPr>
                <w:sz w:val="20"/>
                <w:szCs w:val="20"/>
                <w:color w:val="auto"/>
              </w:rPr>
            </w:pPr>
            <w:r>
              <w:rPr>
                <w:rFonts w:ascii="Times New Roman" w:cs="Times New Roman" w:eastAsia="Times New Roman" w:hAnsi="Times New Roman"/>
                <w:sz w:val="15"/>
                <w:szCs w:val="15"/>
                <w:b w:val="1"/>
                <w:bCs w:val="1"/>
                <w:color w:val="231F20"/>
              </w:rPr>
              <w:t>For the Year Ended December 31,</w:t>
            </w:r>
          </w:p>
        </w:tc>
        <w:tc>
          <w:tcPr>
            <w:tcW w:w="680" w:type="dxa"/>
            <w:vAlign w:val="bottom"/>
            <w:tcBorders>
              <w:bottom w:val="single" w:sz="8" w:color="231F20"/>
            </w:tcBorders>
            <w:shd w:val="clear" w:color="auto" w:fill="FDFDFC"/>
          </w:tcPr>
          <w:p>
            <w:pPr>
              <w:spacing w:after="0"/>
              <w:rPr>
                <w:sz w:val="15"/>
                <w:szCs w:val="15"/>
                <w:color w:val="auto"/>
              </w:rPr>
            </w:pPr>
          </w:p>
        </w:tc>
        <w:tc>
          <w:tcPr>
            <w:tcW w:w="100" w:type="dxa"/>
            <w:vAlign w:val="bottom"/>
            <w:tcBorders>
              <w:bottom w:val="single" w:sz="8" w:color="FDFDFC"/>
            </w:tcBorders>
            <w:shd w:val="clear" w:color="auto" w:fill="FDFDFC"/>
          </w:tcPr>
          <w:p>
            <w:pPr>
              <w:spacing w:after="0"/>
              <w:rPr>
                <w:sz w:val="15"/>
                <w:szCs w:val="15"/>
                <w:color w:val="auto"/>
              </w:rPr>
            </w:pPr>
          </w:p>
        </w:tc>
        <w:tc>
          <w:tcPr>
            <w:tcW w:w="0" w:type="dxa"/>
            <w:vAlign w:val="bottom"/>
          </w:tcPr>
          <w:p>
            <w:pPr>
              <w:spacing w:after="0"/>
              <w:rPr>
                <w:sz w:val="1"/>
                <w:szCs w:val="1"/>
                <w:color w:val="auto"/>
              </w:rPr>
            </w:pPr>
          </w:p>
        </w:tc>
      </w:tr>
      <w:tr>
        <w:trPr>
          <w:trHeight w:val="163"/>
        </w:trPr>
        <w:tc>
          <w:tcPr>
            <w:tcW w:w="4260" w:type="dxa"/>
            <w:vAlign w:val="bottom"/>
            <w:tcBorders>
              <w:bottom w:val="single" w:sz="8" w:color="D0EBF2"/>
            </w:tcBorders>
            <w:vMerge w:val="continue"/>
            <w:shd w:val="clear" w:color="auto" w:fill="FDFDFC"/>
          </w:tcPr>
          <w:p>
            <w:pPr>
              <w:spacing w:after="0"/>
              <w:rPr>
                <w:sz w:val="14"/>
                <w:szCs w:val="14"/>
                <w:color w:val="auto"/>
              </w:rPr>
            </w:pPr>
          </w:p>
        </w:tc>
        <w:tc>
          <w:tcPr>
            <w:tcW w:w="1200" w:type="dxa"/>
            <w:vAlign w:val="bottom"/>
            <w:tcBorders>
              <w:bottom w:val="single" w:sz="8" w:color="D0EBF2"/>
            </w:tcBorders>
            <w:shd w:val="clear" w:color="auto" w:fill="FDFDFC"/>
          </w:tcPr>
          <w:p>
            <w:pPr>
              <w:spacing w:after="0"/>
              <w:rPr>
                <w:sz w:val="14"/>
                <w:szCs w:val="14"/>
                <w:color w:val="auto"/>
              </w:rPr>
            </w:pPr>
          </w:p>
        </w:tc>
        <w:tc>
          <w:tcPr>
            <w:tcW w:w="260" w:type="dxa"/>
            <w:vAlign w:val="bottom"/>
            <w:tcBorders>
              <w:bottom w:val="single" w:sz="8" w:color="231F20"/>
            </w:tcBorders>
            <w:shd w:val="clear" w:color="auto" w:fill="FDFDFC"/>
          </w:tcPr>
          <w:p>
            <w:pPr>
              <w:spacing w:after="0"/>
              <w:rPr>
                <w:sz w:val="14"/>
                <w:szCs w:val="14"/>
                <w:color w:val="auto"/>
              </w:rPr>
            </w:pPr>
          </w:p>
        </w:tc>
        <w:tc>
          <w:tcPr>
            <w:tcW w:w="840" w:type="dxa"/>
            <w:vAlign w:val="bottom"/>
            <w:tcBorders>
              <w:bottom w:val="single" w:sz="8" w:color="231F20"/>
            </w:tcBorders>
            <w:shd w:val="clear" w:color="auto" w:fill="FDFDFC"/>
          </w:tcPr>
          <w:p>
            <w:pPr>
              <w:jc w:val="right"/>
              <w:ind w:right="309"/>
              <w:spacing w:after="0" w:line="164" w:lineRule="exact"/>
              <w:rPr>
                <w:sz w:val="20"/>
                <w:szCs w:val="20"/>
                <w:color w:val="auto"/>
              </w:rPr>
            </w:pPr>
            <w:r>
              <w:rPr>
                <w:rFonts w:ascii="Times New Roman" w:cs="Times New Roman" w:eastAsia="Times New Roman" w:hAnsi="Times New Roman"/>
                <w:sz w:val="15"/>
                <w:szCs w:val="15"/>
                <w:b w:val="1"/>
                <w:bCs w:val="1"/>
                <w:color w:val="231F20"/>
              </w:rPr>
              <w:t>2024</w:t>
            </w:r>
          </w:p>
        </w:tc>
        <w:tc>
          <w:tcPr>
            <w:tcW w:w="100" w:type="dxa"/>
            <w:vAlign w:val="bottom"/>
            <w:tcBorders>
              <w:bottom w:val="single" w:sz="8" w:color="D0EBF2"/>
            </w:tcBorders>
            <w:shd w:val="clear" w:color="auto" w:fill="FDFDFC"/>
          </w:tcPr>
          <w:p>
            <w:pPr>
              <w:spacing w:after="0"/>
              <w:rPr>
                <w:sz w:val="14"/>
                <w:szCs w:val="14"/>
                <w:color w:val="auto"/>
              </w:rPr>
            </w:pPr>
          </w:p>
        </w:tc>
        <w:tc>
          <w:tcPr>
            <w:tcW w:w="120" w:type="dxa"/>
            <w:vAlign w:val="bottom"/>
            <w:tcBorders>
              <w:bottom w:val="single" w:sz="8" w:color="D0EBF2"/>
            </w:tcBorders>
            <w:shd w:val="clear" w:color="auto" w:fill="FDFDFC"/>
          </w:tcPr>
          <w:p>
            <w:pPr>
              <w:spacing w:after="0"/>
              <w:rPr>
                <w:sz w:val="14"/>
                <w:szCs w:val="14"/>
                <w:color w:val="auto"/>
              </w:rPr>
            </w:pPr>
          </w:p>
        </w:tc>
        <w:tc>
          <w:tcPr>
            <w:tcW w:w="260" w:type="dxa"/>
            <w:vAlign w:val="bottom"/>
            <w:tcBorders>
              <w:bottom w:val="single" w:sz="8" w:color="231F20"/>
            </w:tcBorders>
            <w:shd w:val="clear" w:color="auto" w:fill="FDFDFC"/>
          </w:tcPr>
          <w:p>
            <w:pPr>
              <w:spacing w:after="0"/>
              <w:rPr>
                <w:sz w:val="14"/>
                <w:szCs w:val="14"/>
                <w:color w:val="auto"/>
              </w:rPr>
            </w:pPr>
          </w:p>
        </w:tc>
        <w:tc>
          <w:tcPr>
            <w:tcW w:w="840" w:type="dxa"/>
            <w:vAlign w:val="bottom"/>
            <w:tcBorders>
              <w:bottom w:val="single" w:sz="8" w:color="231F20"/>
            </w:tcBorders>
            <w:shd w:val="clear" w:color="auto" w:fill="FDFDFC"/>
          </w:tcPr>
          <w:p>
            <w:pPr>
              <w:jc w:val="right"/>
              <w:ind w:right="308"/>
              <w:spacing w:after="0" w:line="164" w:lineRule="exact"/>
              <w:rPr>
                <w:sz w:val="20"/>
                <w:szCs w:val="20"/>
                <w:color w:val="auto"/>
              </w:rPr>
            </w:pPr>
            <w:r>
              <w:rPr>
                <w:rFonts w:ascii="Times New Roman" w:cs="Times New Roman" w:eastAsia="Times New Roman" w:hAnsi="Times New Roman"/>
                <w:sz w:val="15"/>
                <w:szCs w:val="15"/>
                <w:b w:val="1"/>
                <w:bCs w:val="1"/>
                <w:color w:val="231F20"/>
              </w:rPr>
              <w:t>2023</w:t>
            </w:r>
          </w:p>
        </w:tc>
        <w:tc>
          <w:tcPr>
            <w:tcW w:w="100" w:type="dxa"/>
            <w:vAlign w:val="bottom"/>
            <w:tcBorders>
              <w:bottom w:val="single" w:sz="8" w:color="D0EBF2"/>
            </w:tcBorders>
            <w:shd w:val="clear" w:color="auto" w:fill="FDFDFC"/>
          </w:tcPr>
          <w:p>
            <w:pPr>
              <w:spacing w:after="0"/>
              <w:rPr>
                <w:sz w:val="14"/>
                <w:szCs w:val="14"/>
                <w:color w:val="auto"/>
              </w:rPr>
            </w:pPr>
          </w:p>
        </w:tc>
        <w:tc>
          <w:tcPr>
            <w:tcW w:w="420" w:type="dxa"/>
            <w:vAlign w:val="bottom"/>
            <w:tcBorders>
              <w:bottom w:val="single" w:sz="8" w:color="231F20"/>
            </w:tcBorders>
            <w:shd w:val="clear" w:color="auto" w:fill="FDFDFC"/>
          </w:tcPr>
          <w:p>
            <w:pPr>
              <w:spacing w:after="0"/>
              <w:rPr>
                <w:sz w:val="14"/>
                <w:szCs w:val="14"/>
                <w:color w:val="auto"/>
              </w:rPr>
            </w:pPr>
          </w:p>
        </w:tc>
        <w:tc>
          <w:tcPr>
            <w:tcW w:w="680" w:type="dxa"/>
            <w:vAlign w:val="bottom"/>
            <w:tcBorders>
              <w:bottom w:val="single" w:sz="8" w:color="231F20"/>
            </w:tcBorders>
            <w:shd w:val="clear" w:color="auto" w:fill="FDFDFC"/>
          </w:tcPr>
          <w:p>
            <w:pPr>
              <w:jc w:val="right"/>
              <w:ind w:right="248"/>
              <w:spacing w:after="0" w:line="164" w:lineRule="exact"/>
              <w:rPr>
                <w:sz w:val="20"/>
                <w:szCs w:val="20"/>
                <w:color w:val="auto"/>
              </w:rPr>
            </w:pPr>
            <w:r>
              <w:rPr>
                <w:rFonts w:ascii="Times New Roman" w:cs="Times New Roman" w:eastAsia="Times New Roman" w:hAnsi="Times New Roman"/>
                <w:sz w:val="15"/>
                <w:szCs w:val="15"/>
                <w:b w:val="1"/>
                <w:bCs w:val="1"/>
                <w:color w:val="231F20"/>
              </w:rPr>
              <w:t>2022</w:t>
            </w:r>
          </w:p>
        </w:tc>
        <w:tc>
          <w:tcPr>
            <w:tcW w:w="100" w:type="dxa"/>
            <w:vAlign w:val="bottom"/>
            <w:tcBorders>
              <w:bottom w:val="single" w:sz="8" w:color="D0EBF2"/>
            </w:tcBorders>
            <w:shd w:val="clear" w:color="auto" w:fill="FDFDFC"/>
          </w:tcPr>
          <w:p>
            <w:pPr>
              <w:spacing w:after="0"/>
              <w:rPr>
                <w:sz w:val="14"/>
                <w:szCs w:val="14"/>
                <w:color w:val="auto"/>
              </w:rPr>
            </w:pPr>
          </w:p>
        </w:tc>
        <w:tc>
          <w:tcPr>
            <w:tcW w:w="0" w:type="dxa"/>
            <w:vAlign w:val="bottom"/>
          </w:tcPr>
          <w:p>
            <w:pPr>
              <w:spacing w:after="0"/>
              <w:rPr>
                <w:sz w:val="1"/>
                <w:szCs w:val="1"/>
                <w:color w:val="auto"/>
              </w:rPr>
            </w:pPr>
          </w:p>
        </w:tc>
      </w:tr>
      <w:tr>
        <w:trPr>
          <w:trHeight w:val="207"/>
        </w:trPr>
        <w:tc>
          <w:tcPr>
            <w:tcW w:w="4260" w:type="dxa"/>
            <w:vAlign w:val="bottom"/>
            <w:shd w:val="clear" w:color="auto" w:fill="D0EBF2"/>
          </w:tcPr>
          <w:p>
            <w:pPr>
              <w:spacing w:after="0" w:line="206" w:lineRule="exact"/>
              <w:rPr>
                <w:sz w:val="20"/>
                <w:szCs w:val="20"/>
                <w:color w:val="auto"/>
              </w:rPr>
            </w:pPr>
            <w:r>
              <w:rPr>
                <w:rFonts w:ascii="Times New Roman" w:cs="Times New Roman" w:eastAsia="Times New Roman" w:hAnsi="Times New Roman"/>
                <w:sz w:val="19"/>
                <w:szCs w:val="19"/>
                <w:color w:val="231F20"/>
              </w:rPr>
              <w:t>Interest</w:t>
            </w:r>
          </w:p>
        </w:tc>
        <w:tc>
          <w:tcPr>
            <w:tcW w:w="1200" w:type="dxa"/>
            <w:vAlign w:val="bottom"/>
            <w:shd w:val="clear" w:color="auto" w:fill="D0EBF2"/>
          </w:tcPr>
          <w:p>
            <w:pPr>
              <w:spacing w:after="0"/>
              <w:rPr>
                <w:sz w:val="17"/>
                <w:szCs w:val="17"/>
                <w:color w:val="auto"/>
              </w:rPr>
            </w:pPr>
          </w:p>
        </w:tc>
        <w:tc>
          <w:tcPr>
            <w:tcW w:w="260" w:type="dxa"/>
            <w:vAlign w:val="bottom"/>
            <w:shd w:val="clear" w:color="auto" w:fill="D0EBF2"/>
          </w:tcPr>
          <w:p>
            <w:pPr>
              <w:jc w:val="right"/>
              <w:ind w:right="66"/>
              <w:spacing w:after="0" w:line="206" w:lineRule="exact"/>
              <w:rPr>
                <w:sz w:val="20"/>
                <w:szCs w:val="20"/>
                <w:color w:val="auto"/>
              </w:rPr>
            </w:pPr>
            <w:r>
              <w:rPr>
                <w:rFonts w:ascii="Times New Roman" w:cs="Times New Roman" w:eastAsia="Times New Roman" w:hAnsi="Times New Roman"/>
                <w:sz w:val="19"/>
                <w:szCs w:val="19"/>
                <w:color w:val="231F20"/>
                <w:w w:val="83"/>
              </w:rPr>
              <w:t>$</w:t>
            </w:r>
          </w:p>
        </w:tc>
        <w:tc>
          <w:tcPr>
            <w:tcW w:w="840" w:type="dxa"/>
            <w:vAlign w:val="bottom"/>
            <w:shd w:val="clear" w:color="auto" w:fill="D0EBF2"/>
          </w:tcPr>
          <w:p>
            <w:pPr>
              <w:jc w:val="right"/>
              <w:spacing w:after="0" w:line="206" w:lineRule="exact"/>
              <w:rPr>
                <w:sz w:val="20"/>
                <w:szCs w:val="20"/>
                <w:color w:val="auto"/>
              </w:rPr>
            </w:pPr>
            <w:r>
              <w:rPr>
                <w:rFonts w:ascii="Times New Roman" w:cs="Times New Roman" w:eastAsia="Times New Roman" w:hAnsi="Times New Roman"/>
                <w:sz w:val="19"/>
                <w:szCs w:val="19"/>
                <w:color w:val="231F20"/>
              </w:rPr>
              <w:t>154.2</w:t>
            </w:r>
          </w:p>
        </w:tc>
        <w:tc>
          <w:tcPr>
            <w:tcW w:w="100" w:type="dxa"/>
            <w:vAlign w:val="bottom"/>
            <w:shd w:val="clear" w:color="auto" w:fill="D0EBF2"/>
          </w:tcPr>
          <w:p>
            <w:pPr>
              <w:spacing w:after="0"/>
              <w:rPr>
                <w:sz w:val="17"/>
                <w:szCs w:val="17"/>
                <w:color w:val="auto"/>
              </w:rPr>
            </w:pPr>
          </w:p>
        </w:tc>
        <w:tc>
          <w:tcPr>
            <w:tcW w:w="120" w:type="dxa"/>
            <w:vAlign w:val="bottom"/>
            <w:shd w:val="clear" w:color="auto" w:fill="D0EBF2"/>
          </w:tcPr>
          <w:p>
            <w:pPr>
              <w:spacing w:after="0"/>
              <w:rPr>
                <w:sz w:val="17"/>
                <w:szCs w:val="17"/>
                <w:color w:val="auto"/>
              </w:rPr>
            </w:pPr>
          </w:p>
        </w:tc>
        <w:tc>
          <w:tcPr>
            <w:tcW w:w="260" w:type="dxa"/>
            <w:vAlign w:val="bottom"/>
            <w:shd w:val="clear" w:color="auto" w:fill="D0EBF2"/>
          </w:tcPr>
          <w:p>
            <w:pPr>
              <w:jc w:val="right"/>
              <w:ind w:right="66"/>
              <w:spacing w:after="0" w:line="206" w:lineRule="exact"/>
              <w:rPr>
                <w:sz w:val="20"/>
                <w:szCs w:val="20"/>
                <w:color w:val="auto"/>
              </w:rPr>
            </w:pPr>
            <w:r>
              <w:rPr>
                <w:rFonts w:ascii="Times New Roman" w:cs="Times New Roman" w:eastAsia="Times New Roman" w:hAnsi="Times New Roman"/>
                <w:sz w:val="19"/>
                <w:szCs w:val="19"/>
                <w:color w:val="231F20"/>
                <w:w w:val="83"/>
              </w:rPr>
              <w:t>$</w:t>
            </w:r>
          </w:p>
        </w:tc>
        <w:tc>
          <w:tcPr>
            <w:tcW w:w="840" w:type="dxa"/>
            <w:vAlign w:val="bottom"/>
            <w:shd w:val="clear" w:color="auto" w:fill="D0EBF2"/>
          </w:tcPr>
          <w:p>
            <w:pPr>
              <w:jc w:val="right"/>
              <w:spacing w:after="0" w:line="206" w:lineRule="exact"/>
              <w:rPr>
                <w:sz w:val="20"/>
                <w:szCs w:val="20"/>
                <w:color w:val="auto"/>
              </w:rPr>
            </w:pPr>
            <w:r>
              <w:rPr>
                <w:rFonts w:ascii="Times New Roman" w:cs="Times New Roman" w:eastAsia="Times New Roman" w:hAnsi="Times New Roman"/>
                <w:sz w:val="19"/>
                <w:szCs w:val="19"/>
                <w:color w:val="231F20"/>
              </w:rPr>
              <w:t>133.7</w:t>
            </w:r>
          </w:p>
        </w:tc>
        <w:tc>
          <w:tcPr>
            <w:tcW w:w="100" w:type="dxa"/>
            <w:vAlign w:val="bottom"/>
            <w:shd w:val="clear" w:color="auto" w:fill="D0EBF2"/>
          </w:tcPr>
          <w:p>
            <w:pPr>
              <w:spacing w:after="0"/>
              <w:rPr>
                <w:sz w:val="17"/>
                <w:szCs w:val="17"/>
                <w:color w:val="auto"/>
              </w:rPr>
            </w:pPr>
          </w:p>
        </w:tc>
        <w:tc>
          <w:tcPr>
            <w:tcW w:w="420" w:type="dxa"/>
            <w:vAlign w:val="bottom"/>
            <w:shd w:val="clear" w:color="auto" w:fill="D0EBF2"/>
          </w:tcPr>
          <w:p>
            <w:pPr>
              <w:jc w:val="right"/>
              <w:ind w:right="86"/>
              <w:spacing w:after="0" w:line="206" w:lineRule="exact"/>
              <w:rPr>
                <w:sz w:val="20"/>
                <w:szCs w:val="20"/>
                <w:color w:val="auto"/>
              </w:rPr>
            </w:pPr>
            <w:r>
              <w:rPr>
                <w:rFonts w:ascii="Times New Roman" w:cs="Times New Roman" w:eastAsia="Times New Roman" w:hAnsi="Times New Roman"/>
                <w:sz w:val="19"/>
                <w:szCs w:val="19"/>
                <w:color w:val="231F20"/>
              </w:rPr>
              <w:t>$</w:t>
            </w:r>
          </w:p>
        </w:tc>
        <w:tc>
          <w:tcPr>
            <w:tcW w:w="680" w:type="dxa"/>
            <w:vAlign w:val="bottom"/>
            <w:shd w:val="clear" w:color="auto" w:fill="D0EBF2"/>
          </w:tcPr>
          <w:p>
            <w:pPr>
              <w:jc w:val="right"/>
              <w:spacing w:after="0" w:line="206" w:lineRule="exact"/>
              <w:rPr>
                <w:sz w:val="20"/>
                <w:szCs w:val="20"/>
                <w:color w:val="auto"/>
              </w:rPr>
            </w:pPr>
            <w:r>
              <w:rPr>
                <w:rFonts w:ascii="Times New Roman" w:cs="Times New Roman" w:eastAsia="Times New Roman" w:hAnsi="Times New Roman"/>
                <w:sz w:val="19"/>
                <w:szCs w:val="19"/>
                <w:color w:val="231F20"/>
              </w:rPr>
              <w:t>63.0</w:t>
            </w:r>
          </w:p>
        </w:tc>
        <w:tc>
          <w:tcPr>
            <w:tcW w:w="100" w:type="dxa"/>
            <w:vAlign w:val="bottom"/>
            <w:shd w:val="clear" w:color="auto" w:fill="D0EBF2"/>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4260" w:type="dxa"/>
            <w:vAlign w:val="bottom"/>
            <w:shd w:val="clear" w:color="auto" w:fill="FDFDFC"/>
          </w:tcPr>
          <w:p>
            <w:pPr>
              <w:spacing w:after="0" w:line="217" w:lineRule="exact"/>
              <w:rPr>
                <w:sz w:val="20"/>
                <w:szCs w:val="20"/>
                <w:color w:val="auto"/>
              </w:rPr>
            </w:pPr>
            <w:r>
              <w:rPr>
                <w:rFonts w:ascii="Times New Roman" w:cs="Times New Roman" w:eastAsia="Times New Roman" w:hAnsi="Times New Roman"/>
                <w:sz w:val="19"/>
                <w:szCs w:val="19"/>
                <w:color w:val="231F20"/>
              </w:rPr>
              <w:t>Management fees (net of waivers)</w:t>
            </w:r>
          </w:p>
        </w:tc>
        <w:tc>
          <w:tcPr>
            <w:tcW w:w="1200" w:type="dxa"/>
            <w:vAlign w:val="bottom"/>
            <w:shd w:val="clear" w:color="auto" w:fill="FDFDFC"/>
          </w:tcPr>
          <w:p>
            <w:pPr>
              <w:spacing w:after="0"/>
              <w:rPr>
                <w:sz w:val="18"/>
                <w:szCs w:val="18"/>
                <w:color w:val="auto"/>
              </w:rPr>
            </w:pPr>
          </w:p>
        </w:tc>
        <w:tc>
          <w:tcPr>
            <w:tcW w:w="260" w:type="dxa"/>
            <w:vAlign w:val="bottom"/>
            <w:shd w:val="clear" w:color="auto" w:fill="FDFDFC"/>
          </w:tcPr>
          <w:p>
            <w:pPr>
              <w:spacing w:after="0"/>
              <w:rPr>
                <w:sz w:val="18"/>
                <w:szCs w:val="18"/>
                <w:color w:val="auto"/>
              </w:rPr>
            </w:pPr>
          </w:p>
        </w:tc>
        <w:tc>
          <w:tcPr>
            <w:tcW w:w="840" w:type="dxa"/>
            <w:vAlign w:val="bottom"/>
            <w:shd w:val="clear" w:color="auto" w:fill="FDFDFC"/>
          </w:tcPr>
          <w:p>
            <w:pPr>
              <w:jc w:val="right"/>
              <w:spacing w:after="0" w:line="217" w:lineRule="exact"/>
              <w:rPr>
                <w:sz w:val="20"/>
                <w:szCs w:val="20"/>
                <w:color w:val="auto"/>
              </w:rPr>
            </w:pPr>
            <w:r>
              <w:rPr>
                <w:rFonts w:ascii="Times New Roman" w:cs="Times New Roman" w:eastAsia="Times New Roman" w:hAnsi="Times New Roman"/>
                <w:sz w:val="19"/>
                <w:szCs w:val="19"/>
                <w:color w:val="231F20"/>
              </w:rPr>
              <w:t>50.3</w:t>
            </w:r>
          </w:p>
        </w:tc>
        <w:tc>
          <w:tcPr>
            <w:tcW w:w="100" w:type="dxa"/>
            <w:vAlign w:val="bottom"/>
            <w:shd w:val="clear" w:color="auto" w:fill="FDFDFC"/>
          </w:tcPr>
          <w:p>
            <w:pPr>
              <w:spacing w:after="0"/>
              <w:rPr>
                <w:sz w:val="18"/>
                <w:szCs w:val="18"/>
                <w:color w:val="auto"/>
              </w:rPr>
            </w:pPr>
          </w:p>
        </w:tc>
        <w:tc>
          <w:tcPr>
            <w:tcW w:w="120" w:type="dxa"/>
            <w:vAlign w:val="bottom"/>
            <w:shd w:val="clear" w:color="auto" w:fill="FDFDFC"/>
          </w:tcPr>
          <w:p>
            <w:pPr>
              <w:spacing w:after="0"/>
              <w:rPr>
                <w:sz w:val="18"/>
                <w:szCs w:val="18"/>
                <w:color w:val="auto"/>
              </w:rPr>
            </w:pPr>
          </w:p>
        </w:tc>
        <w:tc>
          <w:tcPr>
            <w:tcW w:w="260" w:type="dxa"/>
            <w:vAlign w:val="bottom"/>
            <w:shd w:val="clear" w:color="auto" w:fill="FDFDFC"/>
          </w:tcPr>
          <w:p>
            <w:pPr>
              <w:spacing w:after="0"/>
              <w:rPr>
                <w:sz w:val="18"/>
                <w:szCs w:val="18"/>
                <w:color w:val="auto"/>
              </w:rPr>
            </w:pPr>
          </w:p>
        </w:tc>
        <w:tc>
          <w:tcPr>
            <w:tcW w:w="840" w:type="dxa"/>
            <w:vAlign w:val="bottom"/>
            <w:shd w:val="clear" w:color="auto" w:fill="FDFDFC"/>
          </w:tcPr>
          <w:p>
            <w:pPr>
              <w:jc w:val="right"/>
              <w:spacing w:after="0" w:line="217" w:lineRule="exact"/>
              <w:rPr>
                <w:sz w:val="20"/>
                <w:szCs w:val="20"/>
                <w:color w:val="auto"/>
              </w:rPr>
            </w:pPr>
            <w:r>
              <w:rPr>
                <w:rFonts w:ascii="Times New Roman" w:cs="Times New Roman" w:eastAsia="Times New Roman" w:hAnsi="Times New Roman"/>
                <w:sz w:val="19"/>
                <w:szCs w:val="19"/>
                <w:color w:val="231F20"/>
              </w:rPr>
              <w:t>45.2</w:t>
            </w:r>
          </w:p>
        </w:tc>
        <w:tc>
          <w:tcPr>
            <w:tcW w:w="100" w:type="dxa"/>
            <w:vAlign w:val="bottom"/>
            <w:shd w:val="clear" w:color="auto" w:fill="FDFDFC"/>
          </w:tcPr>
          <w:p>
            <w:pPr>
              <w:spacing w:after="0"/>
              <w:rPr>
                <w:sz w:val="18"/>
                <w:szCs w:val="18"/>
                <w:color w:val="auto"/>
              </w:rPr>
            </w:pPr>
          </w:p>
        </w:tc>
        <w:tc>
          <w:tcPr>
            <w:tcW w:w="420" w:type="dxa"/>
            <w:vAlign w:val="bottom"/>
            <w:shd w:val="clear" w:color="auto" w:fill="FDFDFC"/>
          </w:tcPr>
          <w:p>
            <w:pPr>
              <w:spacing w:after="0"/>
              <w:rPr>
                <w:sz w:val="18"/>
                <w:szCs w:val="18"/>
                <w:color w:val="auto"/>
              </w:rPr>
            </w:pPr>
          </w:p>
        </w:tc>
        <w:tc>
          <w:tcPr>
            <w:tcW w:w="680" w:type="dxa"/>
            <w:vAlign w:val="bottom"/>
            <w:shd w:val="clear" w:color="auto" w:fill="FDFDFC"/>
          </w:tcPr>
          <w:p>
            <w:pPr>
              <w:jc w:val="right"/>
              <w:spacing w:after="0" w:line="217" w:lineRule="exact"/>
              <w:rPr>
                <w:sz w:val="20"/>
                <w:szCs w:val="20"/>
                <w:color w:val="auto"/>
              </w:rPr>
            </w:pPr>
            <w:r>
              <w:rPr>
                <w:rFonts w:ascii="Times New Roman" w:cs="Times New Roman" w:eastAsia="Times New Roman" w:hAnsi="Times New Roman"/>
                <w:sz w:val="19"/>
                <w:szCs w:val="19"/>
                <w:color w:val="231F20"/>
              </w:rPr>
              <w:t>39.5</w:t>
            </w:r>
          </w:p>
        </w:tc>
        <w:tc>
          <w:tcPr>
            <w:tcW w:w="100" w:type="dxa"/>
            <w:vAlign w:val="bottom"/>
            <w:shd w:val="clear" w:color="auto" w:fill="FDFDFC"/>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4260" w:type="dxa"/>
            <w:vAlign w:val="bottom"/>
            <w:shd w:val="clear" w:color="auto" w:fill="D0EBF2"/>
          </w:tcPr>
          <w:p>
            <w:pPr>
              <w:spacing w:after="0" w:line="217" w:lineRule="exact"/>
              <w:rPr>
                <w:sz w:val="20"/>
                <w:szCs w:val="20"/>
                <w:color w:val="auto"/>
              </w:rPr>
            </w:pPr>
            <w:r>
              <w:rPr>
                <w:rFonts w:ascii="Times New Roman" w:cs="Times New Roman" w:eastAsia="Times New Roman" w:hAnsi="Times New Roman"/>
                <w:sz w:val="19"/>
                <w:szCs w:val="19"/>
                <w:color w:val="231F20"/>
              </w:rPr>
              <w:t>Incentive fees on net investment income</w:t>
            </w:r>
          </w:p>
        </w:tc>
        <w:tc>
          <w:tcPr>
            <w:tcW w:w="1200" w:type="dxa"/>
            <w:vAlign w:val="bottom"/>
            <w:shd w:val="clear" w:color="auto" w:fill="D0EBF2"/>
          </w:tcPr>
          <w:p>
            <w:pPr>
              <w:spacing w:after="0"/>
              <w:rPr>
                <w:sz w:val="18"/>
                <w:szCs w:val="18"/>
                <w:color w:val="auto"/>
              </w:rPr>
            </w:pPr>
          </w:p>
        </w:tc>
        <w:tc>
          <w:tcPr>
            <w:tcW w:w="260" w:type="dxa"/>
            <w:vAlign w:val="bottom"/>
            <w:shd w:val="clear" w:color="auto" w:fill="D0EBF2"/>
          </w:tcPr>
          <w:p>
            <w:pPr>
              <w:spacing w:after="0"/>
              <w:rPr>
                <w:sz w:val="18"/>
                <w:szCs w:val="18"/>
                <w:color w:val="auto"/>
              </w:rPr>
            </w:pPr>
          </w:p>
        </w:tc>
        <w:tc>
          <w:tcPr>
            <w:tcW w:w="840" w:type="dxa"/>
            <w:vAlign w:val="bottom"/>
            <w:shd w:val="clear" w:color="auto" w:fill="D0EBF2"/>
          </w:tcPr>
          <w:p>
            <w:pPr>
              <w:jc w:val="right"/>
              <w:spacing w:after="0" w:line="217" w:lineRule="exact"/>
              <w:rPr>
                <w:sz w:val="20"/>
                <w:szCs w:val="20"/>
                <w:color w:val="auto"/>
              </w:rPr>
            </w:pPr>
            <w:r>
              <w:rPr>
                <w:rFonts w:ascii="Times New Roman" w:cs="Times New Roman" w:eastAsia="Times New Roman" w:hAnsi="Times New Roman"/>
                <w:sz w:val="19"/>
                <w:szCs w:val="19"/>
                <w:color w:val="231F20"/>
              </w:rPr>
              <w:t>45.5</w:t>
            </w:r>
          </w:p>
        </w:tc>
        <w:tc>
          <w:tcPr>
            <w:tcW w:w="100" w:type="dxa"/>
            <w:vAlign w:val="bottom"/>
            <w:shd w:val="clear" w:color="auto" w:fill="D0EBF2"/>
          </w:tcPr>
          <w:p>
            <w:pPr>
              <w:spacing w:after="0"/>
              <w:rPr>
                <w:sz w:val="18"/>
                <w:szCs w:val="18"/>
                <w:color w:val="auto"/>
              </w:rPr>
            </w:pPr>
          </w:p>
        </w:tc>
        <w:tc>
          <w:tcPr>
            <w:tcW w:w="120" w:type="dxa"/>
            <w:vAlign w:val="bottom"/>
            <w:shd w:val="clear" w:color="auto" w:fill="D0EBF2"/>
          </w:tcPr>
          <w:p>
            <w:pPr>
              <w:spacing w:after="0"/>
              <w:rPr>
                <w:sz w:val="18"/>
                <w:szCs w:val="18"/>
                <w:color w:val="auto"/>
              </w:rPr>
            </w:pPr>
          </w:p>
        </w:tc>
        <w:tc>
          <w:tcPr>
            <w:tcW w:w="260" w:type="dxa"/>
            <w:vAlign w:val="bottom"/>
            <w:shd w:val="clear" w:color="auto" w:fill="D0EBF2"/>
          </w:tcPr>
          <w:p>
            <w:pPr>
              <w:spacing w:after="0"/>
              <w:rPr>
                <w:sz w:val="18"/>
                <w:szCs w:val="18"/>
                <w:color w:val="auto"/>
              </w:rPr>
            </w:pPr>
          </w:p>
        </w:tc>
        <w:tc>
          <w:tcPr>
            <w:tcW w:w="840" w:type="dxa"/>
            <w:vAlign w:val="bottom"/>
            <w:shd w:val="clear" w:color="auto" w:fill="D0EBF2"/>
          </w:tcPr>
          <w:p>
            <w:pPr>
              <w:jc w:val="right"/>
              <w:spacing w:after="0" w:line="217" w:lineRule="exact"/>
              <w:rPr>
                <w:sz w:val="20"/>
                <w:szCs w:val="20"/>
                <w:color w:val="auto"/>
              </w:rPr>
            </w:pPr>
            <w:r>
              <w:rPr>
                <w:rFonts w:ascii="Times New Roman" w:cs="Times New Roman" w:eastAsia="Times New Roman" w:hAnsi="Times New Roman"/>
                <w:sz w:val="19"/>
                <w:szCs w:val="19"/>
                <w:color w:val="231F20"/>
              </w:rPr>
              <w:t>42.6</w:t>
            </w:r>
          </w:p>
        </w:tc>
        <w:tc>
          <w:tcPr>
            <w:tcW w:w="100" w:type="dxa"/>
            <w:vAlign w:val="bottom"/>
            <w:shd w:val="clear" w:color="auto" w:fill="D0EBF2"/>
          </w:tcPr>
          <w:p>
            <w:pPr>
              <w:spacing w:after="0"/>
              <w:rPr>
                <w:sz w:val="18"/>
                <w:szCs w:val="18"/>
                <w:color w:val="auto"/>
              </w:rPr>
            </w:pPr>
          </w:p>
        </w:tc>
        <w:tc>
          <w:tcPr>
            <w:tcW w:w="420" w:type="dxa"/>
            <w:vAlign w:val="bottom"/>
            <w:shd w:val="clear" w:color="auto" w:fill="D0EBF2"/>
          </w:tcPr>
          <w:p>
            <w:pPr>
              <w:spacing w:after="0"/>
              <w:rPr>
                <w:sz w:val="18"/>
                <w:szCs w:val="18"/>
                <w:color w:val="auto"/>
              </w:rPr>
            </w:pPr>
          </w:p>
        </w:tc>
        <w:tc>
          <w:tcPr>
            <w:tcW w:w="680" w:type="dxa"/>
            <w:vAlign w:val="bottom"/>
            <w:shd w:val="clear" w:color="auto" w:fill="D0EBF2"/>
          </w:tcPr>
          <w:p>
            <w:pPr>
              <w:jc w:val="right"/>
              <w:spacing w:after="0" w:line="217" w:lineRule="exact"/>
              <w:rPr>
                <w:sz w:val="20"/>
                <w:szCs w:val="20"/>
                <w:color w:val="auto"/>
              </w:rPr>
            </w:pPr>
            <w:r>
              <w:rPr>
                <w:rFonts w:ascii="Times New Roman" w:cs="Times New Roman" w:eastAsia="Times New Roman" w:hAnsi="Times New Roman"/>
                <w:sz w:val="19"/>
                <w:szCs w:val="19"/>
                <w:color w:val="231F20"/>
              </w:rPr>
              <w:t>33.4</w:t>
            </w:r>
          </w:p>
        </w:tc>
        <w:tc>
          <w:tcPr>
            <w:tcW w:w="100" w:type="dxa"/>
            <w:vAlign w:val="bottom"/>
            <w:shd w:val="clear" w:color="auto" w:fill="D0EBF2"/>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4260" w:type="dxa"/>
            <w:vAlign w:val="bottom"/>
            <w:shd w:val="clear" w:color="auto" w:fill="FDFDFC"/>
          </w:tcPr>
          <w:p>
            <w:pPr>
              <w:spacing w:after="0" w:line="217" w:lineRule="exact"/>
              <w:rPr>
                <w:sz w:val="20"/>
                <w:szCs w:val="20"/>
                <w:color w:val="auto"/>
              </w:rPr>
            </w:pPr>
            <w:r>
              <w:rPr>
                <w:rFonts w:ascii="Times New Roman" w:cs="Times New Roman" w:eastAsia="Times New Roman" w:hAnsi="Times New Roman"/>
                <w:sz w:val="19"/>
                <w:szCs w:val="19"/>
                <w:color w:val="231F20"/>
              </w:rPr>
              <w:t>Incentive fees on net capital gains</w:t>
            </w:r>
          </w:p>
        </w:tc>
        <w:tc>
          <w:tcPr>
            <w:tcW w:w="1200" w:type="dxa"/>
            <w:vAlign w:val="bottom"/>
            <w:shd w:val="clear" w:color="auto" w:fill="FDFDFC"/>
          </w:tcPr>
          <w:p>
            <w:pPr>
              <w:spacing w:after="0"/>
              <w:rPr>
                <w:sz w:val="18"/>
                <w:szCs w:val="18"/>
                <w:color w:val="auto"/>
              </w:rPr>
            </w:pPr>
          </w:p>
        </w:tc>
        <w:tc>
          <w:tcPr>
            <w:tcW w:w="260" w:type="dxa"/>
            <w:vAlign w:val="bottom"/>
            <w:shd w:val="clear" w:color="auto" w:fill="FDFDFC"/>
          </w:tcPr>
          <w:p>
            <w:pPr>
              <w:spacing w:after="0"/>
              <w:rPr>
                <w:sz w:val="18"/>
                <w:szCs w:val="18"/>
                <w:color w:val="auto"/>
              </w:rPr>
            </w:pPr>
          </w:p>
        </w:tc>
        <w:tc>
          <w:tcPr>
            <w:tcW w:w="940" w:type="dxa"/>
            <w:vAlign w:val="bottom"/>
            <w:gridSpan w:val="2"/>
            <w:shd w:val="clear" w:color="auto" w:fill="FDFDFC"/>
          </w:tcPr>
          <w:p>
            <w:pPr>
              <w:jc w:val="right"/>
              <w:ind w:right="20"/>
              <w:spacing w:after="0" w:line="217" w:lineRule="exact"/>
              <w:rPr>
                <w:sz w:val="20"/>
                <w:szCs w:val="20"/>
                <w:color w:val="auto"/>
              </w:rPr>
            </w:pPr>
            <w:r>
              <w:rPr>
                <w:rFonts w:ascii="Times New Roman" w:cs="Times New Roman" w:eastAsia="Times New Roman" w:hAnsi="Times New Roman"/>
                <w:sz w:val="19"/>
                <w:szCs w:val="19"/>
                <w:color w:val="231F20"/>
              </w:rPr>
              <w:t>(5.4)</w:t>
            </w:r>
          </w:p>
        </w:tc>
        <w:tc>
          <w:tcPr>
            <w:tcW w:w="120" w:type="dxa"/>
            <w:vAlign w:val="bottom"/>
            <w:shd w:val="clear" w:color="auto" w:fill="FDFDFC"/>
          </w:tcPr>
          <w:p>
            <w:pPr>
              <w:spacing w:after="0"/>
              <w:rPr>
                <w:sz w:val="18"/>
                <w:szCs w:val="18"/>
                <w:color w:val="auto"/>
              </w:rPr>
            </w:pPr>
          </w:p>
        </w:tc>
        <w:tc>
          <w:tcPr>
            <w:tcW w:w="260" w:type="dxa"/>
            <w:vAlign w:val="bottom"/>
            <w:shd w:val="clear" w:color="auto" w:fill="FDFDFC"/>
          </w:tcPr>
          <w:p>
            <w:pPr>
              <w:spacing w:after="0"/>
              <w:rPr>
                <w:sz w:val="18"/>
                <w:szCs w:val="18"/>
                <w:color w:val="auto"/>
              </w:rPr>
            </w:pPr>
          </w:p>
        </w:tc>
        <w:tc>
          <w:tcPr>
            <w:tcW w:w="840" w:type="dxa"/>
            <w:vAlign w:val="bottom"/>
            <w:shd w:val="clear" w:color="auto" w:fill="FDFDFC"/>
          </w:tcPr>
          <w:p>
            <w:pPr>
              <w:jc w:val="right"/>
              <w:spacing w:after="0" w:line="217" w:lineRule="exact"/>
              <w:rPr>
                <w:sz w:val="20"/>
                <w:szCs w:val="20"/>
                <w:color w:val="auto"/>
              </w:rPr>
            </w:pPr>
            <w:r>
              <w:rPr>
                <w:rFonts w:ascii="Times New Roman" w:cs="Times New Roman" w:eastAsia="Times New Roman" w:hAnsi="Times New Roman"/>
                <w:sz w:val="19"/>
                <w:szCs w:val="19"/>
                <w:color w:val="231F20"/>
              </w:rPr>
              <w:t>4.4</w:t>
            </w:r>
          </w:p>
        </w:tc>
        <w:tc>
          <w:tcPr>
            <w:tcW w:w="100" w:type="dxa"/>
            <w:vAlign w:val="bottom"/>
            <w:shd w:val="clear" w:color="auto" w:fill="FDFDFC"/>
          </w:tcPr>
          <w:p>
            <w:pPr>
              <w:spacing w:after="0"/>
              <w:rPr>
                <w:sz w:val="18"/>
                <w:szCs w:val="18"/>
                <w:color w:val="auto"/>
              </w:rPr>
            </w:pPr>
          </w:p>
        </w:tc>
        <w:tc>
          <w:tcPr>
            <w:tcW w:w="420" w:type="dxa"/>
            <w:vAlign w:val="bottom"/>
            <w:shd w:val="clear" w:color="auto" w:fill="FDFDFC"/>
          </w:tcPr>
          <w:p>
            <w:pPr>
              <w:spacing w:after="0"/>
              <w:rPr>
                <w:sz w:val="18"/>
                <w:szCs w:val="18"/>
                <w:color w:val="auto"/>
              </w:rPr>
            </w:pPr>
          </w:p>
        </w:tc>
        <w:tc>
          <w:tcPr>
            <w:tcW w:w="780" w:type="dxa"/>
            <w:vAlign w:val="bottom"/>
            <w:gridSpan w:val="2"/>
            <w:shd w:val="clear" w:color="auto" w:fill="FDFDFC"/>
          </w:tcPr>
          <w:p>
            <w:pPr>
              <w:jc w:val="right"/>
              <w:ind w:right="40"/>
              <w:spacing w:after="0" w:line="217" w:lineRule="exact"/>
              <w:rPr>
                <w:sz w:val="20"/>
                <w:szCs w:val="20"/>
                <w:color w:val="auto"/>
              </w:rPr>
            </w:pPr>
            <w:r>
              <w:rPr>
                <w:rFonts w:ascii="Times New Roman" w:cs="Times New Roman" w:eastAsia="Times New Roman" w:hAnsi="Times New Roman"/>
                <w:sz w:val="19"/>
                <w:szCs w:val="19"/>
                <w:color w:val="231F20"/>
              </w:rPr>
              <w:t>(8.9)</w:t>
            </w:r>
          </w:p>
        </w:tc>
        <w:tc>
          <w:tcPr>
            <w:tcW w:w="0" w:type="dxa"/>
            <w:vAlign w:val="bottom"/>
          </w:tcPr>
          <w:p>
            <w:pPr>
              <w:spacing w:after="0"/>
              <w:rPr>
                <w:sz w:val="1"/>
                <w:szCs w:val="1"/>
                <w:color w:val="auto"/>
              </w:rPr>
            </w:pPr>
          </w:p>
        </w:tc>
      </w:tr>
      <w:tr>
        <w:trPr>
          <w:trHeight w:val="217"/>
        </w:trPr>
        <w:tc>
          <w:tcPr>
            <w:tcW w:w="4260" w:type="dxa"/>
            <w:vAlign w:val="bottom"/>
            <w:shd w:val="clear" w:color="auto" w:fill="D0EBF2"/>
          </w:tcPr>
          <w:p>
            <w:pPr>
              <w:spacing w:after="0" w:line="217" w:lineRule="exact"/>
              <w:rPr>
                <w:sz w:val="20"/>
                <w:szCs w:val="20"/>
                <w:color w:val="auto"/>
              </w:rPr>
            </w:pPr>
            <w:r>
              <w:rPr>
                <w:rFonts w:ascii="Times New Roman" w:cs="Times New Roman" w:eastAsia="Times New Roman" w:hAnsi="Times New Roman"/>
                <w:sz w:val="19"/>
                <w:szCs w:val="19"/>
                <w:color w:val="231F20"/>
              </w:rPr>
              <w:t>Professional fees</w:t>
            </w:r>
          </w:p>
        </w:tc>
        <w:tc>
          <w:tcPr>
            <w:tcW w:w="1200" w:type="dxa"/>
            <w:vAlign w:val="bottom"/>
            <w:shd w:val="clear" w:color="auto" w:fill="D0EBF2"/>
          </w:tcPr>
          <w:p>
            <w:pPr>
              <w:spacing w:after="0"/>
              <w:rPr>
                <w:sz w:val="18"/>
                <w:szCs w:val="18"/>
                <w:color w:val="auto"/>
              </w:rPr>
            </w:pPr>
          </w:p>
        </w:tc>
        <w:tc>
          <w:tcPr>
            <w:tcW w:w="260" w:type="dxa"/>
            <w:vAlign w:val="bottom"/>
            <w:shd w:val="clear" w:color="auto" w:fill="D0EBF2"/>
          </w:tcPr>
          <w:p>
            <w:pPr>
              <w:spacing w:after="0"/>
              <w:rPr>
                <w:sz w:val="18"/>
                <w:szCs w:val="18"/>
                <w:color w:val="auto"/>
              </w:rPr>
            </w:pPr>
          </w:p>
        </w:tc>
        <w:tc>
          <w:tcPr>
            <w:tcW w:w="840" w:type="dxa"/>
            <w:vAlign w:val="bottom"/>
            <w:shd w:val="clear" w:color="auto" w:fill="D0EBF2"/>
          </w:tcPr>
          <w:p>
            <w:pPr>
              <w:jc w:val="right"/>
              <w:spacing w:after="0" w:line="217" w:lineRule="exact"/>
              <w:rPr>
                <w:sz w:val="20"/>
                <w:szCs w:val="20"/>
                <w:color w:val="auto"/>
              </w:rPr>
            </w:pPr>
            <w:r>
              <w:rPr>
                <w:rFonts w:ascii="Times New Roman" w:cs="Times New Roman" w:eastAsia="Times New Roman" w:hAnsi="Times New Roman"/>
                <w:sz w:val="19"/>
                <w:szCs w:val="19"/>
                <w:color w:val="231F20"/>
              </w:rPr>
              <w:t>7.5</w:t>
            </w:r>
          </w:p>
        </w:tc>
        <w:tc>
          <w:tcPr>
            <w:tcW w:w="100" w:type="dxa"/>
            <w:vAlign w:val="bottom"/>
            <w:shd w:val="clear" w:color="auto" w:fill="D0EBF2"/>
          </w:tcPr>
          <w:p>
            <w:pPr>
              <w:spacing w:after="0"/>
              <w:rPr>
                <w:sz w:val="18"/>
                <w:szCs w:val="18"/>
                <w:color w:val="auto"/>
              </w:rPr>
            </w:pPr>
          </w:p>
        </w:tc>
        <w:tc>
          <w:tcPr>
            <w:tcW w:w="120" w:type="dxa"/>
            <w:vAlign w:val="bottom"/>
            <w:shd w:val="clear" w:color="auto" w:fill="D0EBF2"/>
          </w:tcPr>
          <w:p>
            <w:pPr>
              <w:spacing w:after="0"/>
              <w:rPr>
                <w:sz w:val="18"/>
                <w:szCs w:val="18"/>
                <w:color w:val="auto"/>
              </w:rPr>
            </w:pPr>
          </w:p>
        </w:tc>
        <w:tc>
          <w:tcPr>
            <w:tcW w:w="260" w:type="dxa"/>
            <w:vAlign w:val="bottom"/>
            <w:shd w:val="clear" w:color="auto" w:fill="D0EBF2"/>
          </w:tcPr>
          <w:p>
            <w:pPr>
              <w:spacing w:after="0"/>
              <w:rPr>
                <w:sz w:val="18"/>
                <w:szCs w:val="18"/>
                <w:color w:val="auto"/>
              </w:rPr>
            </w:pPr>
          </w:p>
        </w:tc>
        <w:tc>
          <w:tcPr>
            <w:tcW w:w="840" w:type="dxa"/>
            <w:vAlign w:val="bottom"/>
            <w:shd w:val="clear" w:color="auto" w:fill="D0EBF2"/>
          </w:tcPr>
          <w:p>
            <w:pPr>
              <w:jc w:val="right"/>
              <w:spacing w:after="0" w:line="217" w:lineRule="exact"/>
              <w:rPr>
                <w:sz w:val="20"/>
                <w:szCs w:val="20"/>
                <w:color w:val="auto"/>
              </w:rPr>
            </w:pPr>
            <w:r>
              <w:rPr>
                <w:rFonts w:ascii="Times New Roman" w:cs="Times New Roman" w:eastAsia="Times New Roman" w:hAnsi="Times New Roman"/>
                <w:sz w:val="19"/>
                <w:szCs w:val="19"/>
                <w:color w:val="231F20"/>
              </w:rPr>
              <w:t>7.3</w:t>
            </w:r>
          </w:p>
        </w:tc>
        <w:tc>
          <w:tcPr>
            <w:tcW w:w="100" w:type="dxa"/>
            <w:vAlign w:val="bottom"/>
            <w:shd w:val="clear" w:color="auto" w:fill="D0EBF2"/>
          </w:tcPr>
          <w:p>
            <w:pPr>
              <w:spacing w:after="0"/>
              <w:rPr>
                <w:sz w:val="18"/>
                <w:szCs w:val="18"/>
                <w:color w:val="auto"/>
              </w:rPr>
            </w:pPr>
          </w:p>
        </w:tc>
        <w:tc>
          <w:tcPr>
            <w:tcW w:w="420" w:type="dxa"/>
            <w:vAlign w:val="bottom"/>
            <w:shd w:val="clear" w:color="auto" w:fill="D0EBF2"/>
          </w:tcPr>
          <w:p>
            <w:pPr>
              <w:spacing w:after="0"/>
              <w:rPr>
                <w:sz w:val="18"/>
                <w:szCs w:val="18"/>
                <w:color w:val="auto"/>
              </w:rPr>
            </w:pPr>
          </w:p>
        </w:tc>
        <w:tc>
          <w:tcPr>
            <w:tcW w:w="680" w:type="dxa"/>
            <w:vAlign w:val="bottom"/>
            <w:shd w:val="clear" w:color="auto" w:fill="D0EBF2"/>
          </w:tcPr>
          <w:p>
            <w:pPr>
              <w:jc w:val="right"/>
              <w:spacing w:after="0" w:line="217" w:lineRule="exact"/>
              <w:rPr>
                <w:sz w:val="20"/>
                <w:szCs w:val="20"/>
                <w:color w:val="auto"/>
              </w:rPr>
            </w:pPr>
            <w:r>
              <w:rPr>
                <w:rFonts w:ascii="Times New Roman" w:cs="Times New Roman" w:eastAsia="Times New Roman" w:hAnsi="Times New Roman"/>
                <w:sz w:val="19"/>
                <w:szCs w:val="19"/>
                <w:color w:val="231F20"/>
              </w:rPr>
              <w:t>7.2</w:t>
            </w:r>
          </w:p>
        </w:tc>
        <w:tc>
          <w:tcPr>
            <w:tcW w:w="100" w:type="dxa"/>
            <w:vAlign w:val="bottom"/>
            <w:shd w:val="clear" w:color="auto" w:fill="D0EBF2"/>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4260" w:type="dxa"/>
            <w:vAlign w:val="bottom"/>
            <w:shd w:val="clear" w:color="auto" w:fill="FDFDFC"/>
          </w:tcPr>
          <w:p>
            <w:pPr>
              <w:spacing w:after="0" w:line="217" w:lineRule="exact"/>
              <w:rPr>
                <w:sz w:val="20"/>
                <w:szCs w:val="20"/>
                <w:color w:val="auto"/>
              </w:rPr>
            </w:pPr>
            <w:r>
              <w:rPr>
                <w:rFonts w:ascii="Times New Roman" w:cs="Times New Roman" w:eastAsia="Times New Roman" w:hAnsi="Times New Roman"/>
                <w:sz w:val="19"/>
                <w:szCs w:val="19"/>
                <w:color w:val="231F20"/>
              </w:rPr>
              <w:t>Directors’ fees</w:t>
            </w:r>
          </w:p>
        </w:tc>
        <w:tc>
          <w:tcPr>
            <w:tcW w:w="1200" w:type="dxa"/>
            <w:vAlign w:val="bottom"/>
            <w:shd w:val="clear" w:color="auto" w:fill="FDFDFC"/>
          </w:tcPr>
          <w:p>
            <w:pPr>
              <w:spacing w:after="0"/>
              <w:rPr>
                <w:sz w:val="18"/>
                <w:szCs w:val="18"/>
                <w:color w:val="auto"/>
              </w:rPr>
            </w:pPr>
          </w:p>
        </w:tc>
        <w:tc>
          <w:tcPr>
            <w:tcW w:w="260" w:type="dxa"/>
            <w:vAlign w:val="bottom"/>
            <w:shd w:val="clear" w:color="auto" w:fill="FDFDFC"/>
          </w:tcPr>
          <w:p>
            <w:pPr>
              <w:spacing w:after="0"/>
              <w:rPr>
                <w:sz w:val="18"/>
                <w:szCs w:val="18"/>
                <w:color w:val="auto"/>
              </w:rPr>
            </w:pPr>
          </w:p>
        </w:tc>
        <w:tc>
          <w:tcPr>
            <w:tcW w:w="840" w:type="dxa"/>
            <w:vAlign w:val="bottom"/>
            <w:shd w:val="clear" w:color="auto" w:fill="FDFDFC"/>
          </w:tcPr>
          <w:p>
            <w:pPr>
              <w:jc w:val="right"/>
              <w:spacing w:after="0" w:line="217" w:lineRule="exact"/>
              <w:rPr>
                <w:sz w:val="20"/>
                <w:szCs w:val="20"/>
                <w:color w:val="auto"/>
              </w:rPr>
            </w:pPr>
            <w:r>
              <w:rPr>
                <w:rFonts w:ascii="Times New Roman" w:cs="Times New Roman" w:eastAsia="Times New Roman" w:hAnsi="Times New Roman"/>
                <w:sz w:val="19"/>
                <w:szCs w:val="19"/>
                <w:color w:val="231F20"/>
              </w:rPr>
              <w:t>0.9</w:t>
            </w:r>
          </w:p>
        </w:tc>
        <w:tc>
          <w:tcPr>
            <w:tcW w:w="100" w:type="dxa"/>
            <w:vAlign w:val="bottom"/>
            <w:shd w:val="clear" w:color="auto" w:fill="FDFDFC"/>
          </w:tcPr>
          <w:p>
            <w:pPr>
              <w:spacing w:after="0"/>
              <w:rPr>
                <w:sz w:val="18"/>
                <w:szCs w:val="18"/>
                <w:color w:val="auto"/>
              </w:rPr>
            </w:pPr>
          </w:p>
        </w:tc>
        <w:tc>
          <w:tcPr>
            <w:tcW w:w="120" w:type="dxa"/>
            <w:vAlign w:val="bottom"/>
            <w:shd w:val="clear" w:color="auto" w:fill="FDFDFC"/>
          </w:tcPr>
          <w:p>
            <w:pPr>
              <w:spacing w:after="0"/>
              <w:rPr>
                <w:sz w:val="18"/>
                <w:szCs w:val="18"/>
                <w:color w:val="auto"/>
              </w:rPr>
            </w:pPr>
          </w:p>
        </w:tc>
        <w:tc>
          <w:tcPr>
            <w:tcW w:w="260" w:type="dxa"/>
            <w:vAlign w:val="bottom"/>
            <w:shd w:val="clear" w:color="auto" w:fill="FDFDFC"/>
          </w:tcPr>
          <w:p>
            <w:pPr>
              <w:spacing w:after="0"/>
              <w:rPr>
                <w:sz w:val="18"/>
                <w:szCs w:val="18"/>
                <w:color w:val="auto"/>
              </w:rPr>
            </w:pPr>
          </w:p>
        </w:tc>
        <w:tc>
          <w:tcPr>
            <w:tcW w:w="840" w:type="dxa"/>
            <w:vAlign w:val="bottom"/>
            <w:shd w:val="clear" w:color="auto" w:fill="FDFDFC"/>
          </w:tcPr>
          <w:p>
            <w:pPr>
              <w:jc w:val="right"/>
              <w:spacing w:after="0" w:line="217" w:lineRule="exact"/>
              <w:rPr>
                <w:sz w:val="20"/>
                <w:szCs w:val="20"/>
                <w:color w:val="auto"/>
              </w:rPr>
            </w:pPr>
            <w:r>
              <w:rPr>
                <w:rFonts w:ascii="Times New Roman" w:cs="Times New Roman" w:eastAsia="Times New Roman" w:hAnsi="Times New Roman"/>
                <w:sz w:val="19"/>
                <w:szCs w:val="19"/>
                <w:color w:val="231F20"/>
              </w:rPr>
              <w:t>0.8</w:t>
            </w:r>
          </w:p>
        </w:tc>
        <w:tc>
          <w:tcPr>
            <w:tcW w:w="100" w:type="dxa"/>
            <w:vAlign w:val="bottom"/>
            <w:shd w:val="clear" w:color="auto" w:fill="FDFDFC"/>
          </w:tcPr>
          <w:p>
            <w:pPr>
              <w:spacing w:after="0"/>
              <w:rPr>
                <w:sz w:val="18"/>
                <w:szCs w:val="18"/>
                <w:color w:val="auto"/>
              </w:rPr>
            </w:pPr>
          </w:p>
        </w:tc>
        <w:tc>
          <w:tcPr>
            <w:tcW w:w="420" w:type="dxa"/>
            <w:vAlign w:val="bottom"/>
            <w:shd w:val="clear" w:color="auto" w:fill="FDFDFC"/>
          </w:tcPr>
          <w:p>
            <w:pPr>
              <w:spacing w:after="0"/>
              <w:rPr>
                <w:sz w:val="18"/>
                <w:szCs w:val="18"/>
                <w:color w:val="auto"/>
              </w:rPr>
            </w:pPr>
          </w:p>
        </w:tc>
        <w:tc>
          <w:tcPr>
            <w:tcW w:w="680" w:type="dxa"/>
            <w:vAlign w:val="bottom"/>
            <w:shd w:val="clear" w:color="auto" w:fill="FDFDFC"/>
          </w:tcPr>
          <w:p>
            <w:pPr>
              <w:jc w:val="right"/>
              <w:spacing w:after="0" w:line="217" w:lineRule="exact"/>
              <w:rPr>
                <w:sz w:val="20"/>
                <w:szCs w:val="20"/>
                <w:color w:val="auto"/>
              </w:rPr>
            </w:pPr>
            <w:r>
              <w:rPr>
                <w:rFonts w:ascii="Times New Roman" w:cs="Times New Roman" w:eastAsia="Times New Roman" w:hAnsi="Times New Roman"/>
                <w:sz w:val="19"/>
                <w:szCs w:val="19"/>
                <w:color w:val="231F20"/>
              </w:rPr>
              <w:t>0.7</w:t>
            </w:r>
          </w:p>
        </w:tc>
        <w:tc>
          <w:tcPr>
            <w:tcW w:w="100" w:type="dxa"/>
            <w:vAlign w:val="bottom"/>
            <w:shd w:val="clear" w:color="auto" w:fill="FDFDFC"/>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4260" w:type="dxa"/>
            <w:vAlign w:val="bottom"/>
            <w:tcBorders>
              <w:bottom w:val="single" w:sz="8" w:color="FDFDFC"/>
            </w:tcBorders>
            <w:shd w:val="clear" w:color="auto" w:fill="D0EBF2"/>
          </w:tcPr>
          <w:p>
            <w:pPr>
              <w:spacing w:after="0" w:line="217" w:lineRule="exact"/>
              <w:rPr>
                <w:sz w:val="20"/>
                <w:szCs w:val="20"/>
                <w:color w:val="auto"/>
              </w:rPr>
            </w:pPr>
            <w:r>
              <w:rPr>
                <w:rFonts w:ascii="Times New Roman" w:cs="Times New Roman" w:eastAsia="Times New Roman" w:hAnsi="Times New Roman"/>
                <w:sz w:val="19"/>
                <w:szCs w:val="19"/>
                <w:color w:val="231F20"/>
              </w:rPr>
              <w:t>Other general and administrative</w:t>
            </w:r>
          </w:p>
        </w:tc>
        <w:tc>
          <w:tcPr>
            <w:tcW w:w="1200" w:type="dxa"/>
            <w:vAlign w:val="bottom"/>
            <w:tcBorders>
              <w:bottom w:val="single" w:sz="8" w:color="FDFDFC"/>
            </w:tcBorders>
            <w:shd w:val="clear" w:color="auto" w:fill="D0EBF2"/>
          </w:tcPr>
          <w:p>
            <w:pPr>
              <w:spacing w:after="0"/>
              <w:rPr>
                <w:sz w:val="18"/>
                <w:szCs w:val="18"/>
                <w:color w:val="auto"/>
              </w:rPr>
            </w:pPr>
          </w:p>
        </w:tc>
        <w:tc>
          <w:tcPr>
            <w:tcW w:w="260" w:type="dxa"/>
            <w:vAlign w:val="bottom"/>
            <w:tcBorders>
              <w:bottom w:val="single" w:sz="8" w:color="231F20"/>
            </w:tcBorders>
            <w:shd w:val="clear" w:color="auto" w:fill="D0EBF2"/>
          </w:tcPr>
          <w:p>
            <w:pPr>
              <w:spacing w:after="0"/>
              <w:rPr>
                <w:sz w:val="18"/>
                <w:szCs w:val="18"/>
                <w:color w:val="auto"/>
              </w:rPr>
            </w:pPr>
          </w:p>
        </w:tc>
        <w:tc>
          <w:tcPr>
            <w:tcW w:w="840" w:type="dxa"/>
            <w:vAlign w:val="bottom"/>
            <w:tcBorders>
              <w:bottom w:val="single" w:sz="8" w:color="231F20"/>
            </w:tcBorders>
            <w:shd w:val="clear" w:color="auto" w:fill="D0EBF2"/>
          </w:tcPr>
          <w:p>
            <w:pPr>
              <w:jc w:val="right"/>
              <w:spacing w:after="0" w:line="217" w:lineRule="exact"/>
              <w:rPr>
                <w:sz w:val="20"/>
                <w:szCs w:val="20"/>
                <w:color w:val="auto"/>
              </w:rPr>
            </w:pPr>
            <w:r>
              <w:rPr>
                <w:rFonts w:ascii="Times New Roman" w:cs="Times New Roman" w:eastAsia="Times New Roman" w:hAnsi="Times New Roman"/>
                <w:sz w:val="19"/>
                <w:szCs w:val="19"/>
                <w:color w:val="231F20"/>
              </w:rPr>
              <w:t>5.5</w:t>
            </w:r>
          </w:p>
        </w:tc>
        <w:tc>
          <w:tcPr>
            <w:tcW w:w="100" w:type="dxa"/>
            <w:vAlign w:val="bottom"/>
            <w:tcBorders>
              <w:bottom w:val="single" w:sz="8" w:color="FDFDFC"/>
            </w:tcBorders>
            <w:shd w:val="clear" w:color="auto" w:fill="D0EBF2"/>
          </w:tcPr>
          <w:p>
            <w:pPr>
              <w:spacing w:after="0"/>
              <w:rPr>
                <w:sz w:val="18"/>
                <w:szCs w:val="18"/>
                <w:color w:val="auto"/>
              </w:rPr>
            </w:pPr>
          </w:p>
        </w:tc>
        <w:tc>
          <w:tcPr>
            <w:tcW w:w="120" w:type="dxa"/>
            <w:vAlign w:val="bottom"/>
            <w:tcBorders>
              <w:bottom w:val="single" w:sz="8" w:color="FDFDFC"/>
            </w:tcBorders>
            <w:shd w:val="clear" w:color="auto" w:fill="D0EBF2"/>
          </w:tcPr>
          <w:p>
            <w:pPr>
              <w:spacing w:after="0"/>
              <w:rPr>
                <w:sz w:val="18"/>
                <w:szCs w:val="18"/>
                <w:color w:val="auto"/>
              </w:rPr>
            </w:pPr>
          </w:p>
        </w:tc>
        <w:tc>
          <w:tcPr>
            <w:tcW w:w="260" w:type="dxa"/>
            <w:vAlign w:val="bottom"/>
            <w:tcBorders>
              <w:bottom w:val="single" w:sz="8" w:color="231F20"/>
            </w:tcBorders>
            <w:shd w:val="clear" w:color="auto" w:fill="D0EBF2"/>
          </w:tcPr>
          <w:p>
            <w:pPr>
              <w:spacing w:after="0"/>
              <w:rPr>
                <w:sz w:val="18"/>
                <w:szCs w:val="18"/>
                <w:color w:val="auto"/>
              </w:rPr>
            </w:pPr>
          </w:p>
        </w:tc>
        <w:tc>
          <w:tcPr>
            <w:tcW w:w="840" w:type="dxa"/>
            <w:vAlign w:val="bottom"/>
            <w:tcBorders>
              <w:bottom w:val="single" w:sz="8" w:color="231F20"/>
            </w:tcBorders>
            <w:shd w:val="clear" w:color="auto" w:fill="D0EBF2"/>
          </w:tcPr>
          <w:p>
            <w:pPr>
              <w:jc w:val="right"/>
              <w:spacing w:after="0" w:line="217" w:lineRule="exact"/>
              <w:rPr>
                <w:sz w:val="20"/>
                <w:szCs w:val="20"/>
                <w:color w:val="auto"/>
              </w:rPr>
            </w:pPr>
            <w:r>
              <w:rPr>
                <w:rFonts w:ascii="Times New Roman" w:cs="Times New Roman" w:eastAsia="Times New Roman" w:hAnsi="Times New Roman"/>
                <w:sz w:val="19"/>
                <w:szCs w:val="19"/>
                <w:color w:val="231F20"/>
              </w:rPr>
              <w:t>5.3</w:t>
            </w:r>
          </w:p>
        </w:tc>
        <w:tc>
          <w:tcPr>
            <w:tcW w:w="100" w:type="dxa"/>
            <w:vAlign w:val="bottom"/>
            <w:tcBorders>
              <w:bottom w:val="single" w:sz="8" w:color="FDFDFC"/>
            </w:tcBorders>
            <w:shd w:val="clear" w:color="auto" w:fill="D0EBF2"/>
          </w:tcPr>
          <w:p>
            <w:pPr>
              <w:spacing w:after="0"/>
              <w:rPr>
                <w:sz w:val="18"/>
                <w:szCs w:val="18"/>
                <w:color w:val="auto"/>
              </w:rPr>
            </w:pPr>
          </w:p>
        </w:tc>
        <w:tc>
          <w:tcPr>
            <w:tcW w:w="420" w:type="dxa"/>
            <w:vAlign w:val="bottom"/>
            <w:tcBorders>
              <w:bottom w:val="single" w:sz="8" w:color="231F20"/>
            </w:tcBorders>
            <w:shd w:val="clear" w:color="auto" w:fill="D0EBF2"/>
          </w:tcPr>
          <w:p>
            <w:pPr>
              <w:spacing w:after="0"/>
              <w:rPr>
                <w:sz w:val="18"/>
                <w:szCs w:val="18"/>
                <w:color w:val="auto"/>
              </w:rPr>
            </w:pPr>
          </w:p>
        </w:tc>
        <w:tc>
          <w:tcPr>
            <w:tcW w:w="680" w:type="dxa"/>
            <w:vAlign w:val="bottom"/>
            <w:tcBorders>
              <w:bottom w:val="single" w:sz="8" w:color="231F20"/>
            </w:tcBorders>
            <w:shd w:val="clear" w:color="auto" w:fill="D0EBF2"/>
          </w:tcPr>
          <w:p>
            <w:pPr>
              <w:jc w:val="right"/>
              <w:spacing w:after="0" w:line="217" w:lineRule="exact"/>
              <w:rPr>
                <w:sz w:val="20"/>
                <w:szCs w:val="20"/>
                <w:color w:val="auto"/>
              </w:rPr>
            </w:pPr>
            <w:r>
              <w:rPr>
                <w:rFonts w:ascii="Times New Roman" w:cs="Times New Roman" w:eastAsia="Times New Roman" w:hAnsi="Times New Roman"/>
                <w:sz w:val="19"/>
                <w:szCs w:val="19"/>
                <w:color w:val="231F20"/>
              </w:rPr>
              <w:t>5.5</w:t>
            </w:r>
          </w:p>
        </w:tc>
        <w:tc>
          <w:tcPr>
            <w:tcW w:w="100" w:type="dxa"/>
            <w:vAlign w:val="bottom"/>
            <w:tcBorders>
              <w:bottom w:val="single" w:sz="8" w:color="FDFDFC"/>
            </w:tcBorders>
            <w:shd w:val="clear" w:color="auto" w:fill="D0EBF2"/>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4260" w:type="dxa"/>
            <w:vAlign w:val="bottom"/>
            <w:shd w:val="clear" w:color="auto" w:fill="FDFDFC"/>
          </w:tcPr>
          <w:p>
            <w:pPr>
              <w:spacing w:after="0" w:line="206" w:lineRule="exact"/>
              <w:rPr>
                <w:sz w:val="20"/>
                <w:szCs w:val="20"/>
                <w:color w:val="auto"/>
              </w:rPr>
            </w:pPr>
            <w:r>
              <w:rPr>
                <w:rFonts w:ascii="Times New Roman" w:cs="Times New Roman" w:eastAsia="Times New Roman" w:hAnsi="Times New Roman"/>
                <w:sz w:val="19"/>
                <w:szCs w:val="19"/>
                <w:b w:val="1"/>
                <w:bCs w:val="1"/>
                <w:color w:val="231F20"/>
              </w:rPr>
              <w:t>Net Expenses</w:t>
            </w:r>
          </w:p>
        </w:tc>
        <w:tc>
          <w:tcPr>
            <w:tcW w:w="1200" w:type="dxa"/>
            <w:vAlign w:val="bottom"/>
            <w:shd w:val="clear" w:color="auto" w:fill="FDFDFC"/>
          </w:tcPr>
          <w:p>
            <w:pPr>
              <w:spacing w:after="0"/>
              <w:rPr>
                <w:sz w:val="17"/>
                <w:szCs w:val="17"/>
                <w:color w:val="auto"/>
              </w:rPr>
            </w:pPr>
          </w:p>
        </w:tc>
        <w:tc>
          <w:tcPr>
            <w:tcW w:w="260" w:type="dxa"/>
            <w:vAlign w:val="bottom"/>
            <w:tcBorders>
              <w:bottom w:val="single" w:sz="8" w:color="231F20"/>
            </w:tcBorders>
            <w:shd w:val="clear" w:color="auto" w:fill="FDFDFC"/>
          </w:tcPr>
          <w:p>
            <w:pPr>
              <w:jc w:val="right"/>
              <w:ind w:right="66"/>
              <w:spacing w:after="0" w:line="207" w:lineRule="exact"/>
              <w:rPr>
                <w:sz w:val="20"/>
                <w:szCs w:val="20"/>
                <w:color w:val="auto"/>
              </w:rPr>
            </w:pPr>
            <w:r>
              <w:rPr>
                <w:rFonts w:ascii="Times New Roman" w:cs="Times New Roman" w:eastAsia="Times New Roman" w:hAnsi="Times New Roman"/>
                <w:sz w:val="19"/>
                <w:szCs w:val="19"/>
                <w:color w:val="231F20"/>
                <w:w w:val="83"/>
              </w:rPr>
              <w:t>$</w:t>
            </w:r>
          </w:p>
        </w:tc>
        <w:tc>
          <w:tcPr>
            <w:tcW w:w="840" w:type="dxa"/>
            <w:vAlign w:val="bottom"/>
            <w:tcBorders>
              <w:bottom w:val="single" w:sz="8" w:color="231F20"/>
            </w:tcBorders>
            <w:shd w:val="clear" w:color="auto" w:fill="FDFDFC"/>
          </w:tcPr>
          <w:p>
            <w:pPr>
              <w:jc w:val="right"/>
              <w:spacing w:after="0" w:line="207" w:lineRule="exact"/>
              <w:rPr>
                <w:sz w:val="20"/>
                <w:szCs w:val="20"/>
                <w:color w:val="auto"/>
              </w:rPr>
            </w:pPr>
            <w:r>
              <w:rPr>
                <w:rFonts w:ascii="Times New Roman" w:cs="Times New Roman" w:eastAsia="Times New Roman" w:hAnsi="Times New Roman"/>
                <w:sz w:val="19"/>
                <w:szCs w:val="19"/>
                <w:color w:val="231F20"/>
              </w:rPr>
              <w:t>258.5</w:t>
            </w:r>
          </w:p>
        </w:tc>
        <w:tc>
          <w:tcPr>
            <w:tcW w:w="100" w:type="dxa"/>
            <w:vAlign w:val="bottom"/>
            <w:shd w:val="clear" w:color="auto" w:fill="FDFDFC"/>
          </w:tcPr>
          <w:p>
            <w:pPr>
              <w:spacing w:after="0"/>
              <w:rPr>
                <w:sz w:val="17"/>
                <w:szCs w:val="17"/>
                <w:color w:val="auto"/>
              </w:rPr>
            </w:pPr>
          </w:p>
        </w:tc>
        <w:tc>
          <w:tcPr>
            <w:tcW w:w="120" w:type="dxa"/>
            <w:vAlign w:val="bottom"/>
            <w:shd w:val="clear" w:color="auto" w:fill="FDFDFC"/>
          </w:tcPr>
          <w:p>
            <w:pPr>
              <w:spacing w:after="0"/>
              <w:rPr>
                <w:sz w:val="17"/>
                <w:szCs w:val="17"/>
                <w:color w:val="auto"/>
              </w:rPr>
            </w:pPr>
          </w:p>
        </w:tc>
        <w:tc>
          <w:tcPr>
            <w:tcW w:w="260" w:type="dxa"/>
            <w:vAlign w:val="bottom"/>
            <w:tcBorders>
              <w:bottom w:val="single" w:sz="8" w:color="231F20"/>
            </w:tcBorders>
            <w:shd w:val="clear" w:color="auto" w:fill="FDFDFC"/>
          </w:tcPr>
          <w:p>
            <w:pPr>
              <w:jc w:val="right"/>
              <w:ind w:right="66"/>
              <w:spacing w:after="0" w:line="207" w:lineRule="exact"/>
              <w:rPr>
                <w:sz w:val="20"/>
                <w:szCs w:val="20"/>
                <w:color w:val="auto"/>
              </w:rPr>
            </w:pPr>
            <w:r>
              <w:rPr>
                <w:rFonts w:ascii="Times New Roman" w:cs="Times New Roman" w:eastAsia="Times New Roman" w:hAnsi="Times New Roman"/>
                <w:sz w:val="19"/>
                <w:szCs w:val="19"/>
                <w:color w:val="231F20"/>
                <w:w w:val="83"/>
              </w:rPr>
              <w:t>$</w:t>
            </w:r>
          </w:p>
        </w:tc>
        <w:tc>
          <w:tcPr>
            <w:tcW w:w="840" w:type="dxa"/>
            <w:vAlign w:val="bottom"/>
            <w:tcBorders>
              <w:bottom w:val="single" w:sz="8" w:color="231F20"/>
            </w:tcBorders>
            <w:shd w:val="clear" w:color="auto" w:fill="FDFDFC"/>
          </w:tcPr>
          <w:p>
            <w:pPr>
              <w:jc w:val="right"/>
              <w:spacing w:after="0" w:line="207" w:lineRule="exact"/>
              <w:rPr>
                <w:sz w:val="20"/>
                <w:szCs w:val="20"/>
                <w:color w:val="auto"/>
              </w:rPr>
            </w:pPr>
            <w:r>
              <w:rPr>
                <w:rFonts w:ascii="Times New Roman" w:cs="Times New Roman" w:eastAsia="Times New Roman" w:hAnsi="Times New Roman"/>
                <w:sz w:val="19"/>
                <w:szCs w:val="19"/>
                <w:color w:val="231F20"/>
              </w:rPr>
              <w:t>239.3</w:t>
            </w:r>
          </w:p>
        </w:tc>
        <w:tc>
          <w:tcPr>
            <w:tcW w:w="100" w:type="dxa"/>
            <w:vAlign w:val="bottom"/>
            <w:shd w:val="clear" w:color="auto" w:fill="FDFDFC"/>
          </w:tcPr>
          <w:p>
            <w:pPr>
              <w:spacing w:after="0"/>
              <w:rPr>
                <w:sz w:val="17"/>
                <w:szCs w:val="17"/>
                <w:color w:val="auto"/>
              </w:rPr>
            </w:pPr>
          </w:p>
        </w:tc>
        <w:tc>
          <w:tcPr>
            <w:tcW w:w="420" w:type="dxa"/>
            <w:vAlign w:val="bottom"/>
            <w:tcBorders>
              <w:bottom w:val="single" w:sz="8" w:color="231F20"/>
            </w:tcBorders>
            <w:shd w:val="clear" w:color="auto" w:fill="FDFDFC"/>
          </w:tcPr>
          <w:p>
            <w:pPr>
              <w:jc w:val="right"/>
              <w:ind w:right="86"/>
              <w:spacing w:after="0" w:line="207" w:lineRule="exact"/>
              <w:rPr>
                <w:sz w:val="20"/>
                <w:szCs w:val="20"/>
                <w:color w:val="auto"/>
              </w:rPr>
            </w:pPr>
            <w:r>
              <w:rPr>
                <w:rFonts w:ascii="Times New Roman" w:cs="Times New Roman" w:eastAsia="Times New Roman" w:hAnsi="Times New Roman"/>
                <w:sz w:val="19"/>
                <w:szCs w:val="19"/>
                <w:color w:val="231F20"/>
              </w:rPr>
              <w:t>$</w:t>
            </w:r>
          </w:p>
        </w:tc>
        <w:tc>
          <w:tcPr>
            <w:tcW w:w="680" w:type="dxa"/>
            <w:vAlign w:val="bottom"/>
            <w:tcBorders>
              <w:bottom w:val="single" w:sz="8" w:color="231F20"/>
            </w:tcBorders>
            <w:shd w:val="clear" w:color="auto" w:fill="FDFDFC"/>
          </w:tcPr>
          <w:p>
            <w:pPr>
              <w:jc w:val="right"/>
              <w:spacing w:after="0" w:line="207" w:lineRule="exact"/>
              <w:rPr>
                <w:sz w:val="20"/>
                <w:szCs w:val="20"/>
                <w:color w:val="auto"/>
              </w:rPr>
            </w:pPr>
            <w:r>
              <w:rPr>
                <w:rFonts w:ascii="Times New Roman" w:cs="Times New Roman" w:eastAsia="Times New Roman" w:hAnsi="Times New Roman"/>
                <w:sz w:val="19"/>
                <w:szCs w:val="19"/>
                <w:color w:val="231F20"/>
              </w:rPr>
              <w:t>140.4</w:t>
            </w:r>
          </w:p>
        </w:tc>
        <w:tc>
          <w:tcPr>
            <w:tcW w:w="100" w:type="dxa"/>
            <w:vAlign w:val="bottom"/>
            <w:shd w:val="clear" w:color="auto" w:fill="FDFDFC"/>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2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60" w:type="dxa"/>
            <w:vAlign w:val="bottom"/>
            <w:tcBorders>
              <w:bottom w:val="single" w:sz="8" w:color="231F20"/>
            </w:tcBorders>
          </w:tcPr>
          <w:p>
            <w:pPr>
              <w:spacing w:after="0" w:line="20" w:lineRule="exact"/>
              <w:rPr>
                <w:sz w:val="1"/>
                <w:szCs w:val="1"/>
                <w:color w:val="auto"/>
              </w:rPr>
            </w:pPr>
          </w:p>
        </w:tc>
        <w:tc>
          <w:tcPr>
            <w:tcW w:w="840" w:type="dxa"/>
            <w:vAlign w:val="bottom"/>
            <w:tcBorders>
              <w:bottom w:val="single" w:sz="8" w:color="231F20"/>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231F20"/>
            </w:tcBorders>
          </w:tcPr>
          <w:p>
            <w:pPr>
              <w:spacing w:after="0" w:line="20" w:lineRule="exact"/>
              <w:rPr>
                <w:sz w:val="1"/>
                <w:szCs w:val="1"/>
                <w:color w:val="auto"/>
              </w:rPr>
            </w:pPr>
          </w:p>
        </w:tc>
        <w:tc>
          <w:tcPr>
            <w:tcW w:w="840" w:type="dxa"/>
            <w:vAlign w:val="bottom"/>
            <w:tcBorders>
              <w:bottom w:val="single" w:sz="8" w:color="231F20"/>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231F20"/>
            </w:tcBorders>
          </w:tcPr>
          <w:p>
            <w:pPr>
              <w:spacing w:after="0" w:line="20" w:lineRule="exact"/>
              <w:rPr>
                <w:sz w:val="1"/>
                <w:szCs w:val="1"/>
                <w:color w:val="auto"/>
              </w:rPr>
            </w:pPr>
          </w:p>
        </w:tc>
        <w:tc>
          <w:tcPr>
            <w:tcW w:w="680" w:type="dxa"/>
            <w:vAlign w:val="bottom"/>
            <w:tcBorders>
              <w:bottom w:val="single" w:sz="8" w:color="231F20"/>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96"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9"/>
          <w:szCs w:val="19"/>
          <w:i w:val="1"/>
          <w:iCs w:val="1"/>
          <w:color w:val="231F20"/>
        </w:rPr>
        <w:t>Interest</w:t>
      </w:r>
    </w:p>
    <w:p>
      <w:pPr>
        <w:spacing w:after="0" w:line="101" w:lineRule="exact"/>
        <w:rPr>
          <w:sz w:val="20"/>
          <w:szCs w:val="20"/>
          <w:color w:val="auto"/>
        </w:rPr>
      </w:pPr>
    </w:p>
    <w:p>
      <w:pPr>
        <w:ind w:firstLine="231"/>
        <w:spacing w:after="0" w:line="236" w:lineRule="auto"/>
        <w:rPr>
          <w:sz w:val="20"/>
          <w:szCs w:val="20"/>
          <w:color w:val="auto"/>
        </w:rPr>
      </w:pPr>
      <w:r>
        <w:rPr>
          <w:rFonts w:ascii="Times New Roman" w:cs="Times New Roman" w:eastAsia="Times New Roman" w:hAnsi="Times New Roman"/>
          <w:sz w:val="19"/>
          <w:szCs w:val="19"/>
          <w:color w:val="231F20"/>
        </w:rPr>
        <w:t>Interest expense, including other debt financing expenses, increased from $133.7 million for the year ended December 31, 2023 to $154.1 million for the year ended December 31, 2024. This increase was primarily due to an increase in the average interest rate on our debt outstanding and an increase in the average debt outstanding from $1,705.6 million for the year ended December 31, 2023 to $1,882.7 million for the year ended December 31, 2024. The average interest rate on our debt outstanding increased from 7.3% for the year ended December 31, 2023 to 7.5% for the year ended December 31, 2024 due to a change in the mix of our debt financing sources.</w:t>
      </w:r>
    </w:p>
    <w:p>
      <w:pPr>
        <w:spacing w:after="0" w:line="187" w:lineRule="exact"/>
        <w:rPr>
          <w:sz w:val="20"/>
          <w:szCs w:val="20"/>
          <w:color w:val="auto"/>
        </w:rPr>
      </w:pPr>
    </w:p>
    <w:p>
      <w:pPr>
        <w:ind w:firstLine="231"/>
        <w:spacing w:after="0" w:line="236" w:lineRule="auto"/>
        <w:rPr>
          <w:sz w:val="20"/>
          <w:szCs w:val="20"/>
          <w:color w:val="auto"/>
        </w:rPr>
      </w:pPr>
      <w:r>
        <w:rPr>
          <w:rFonts w:ascii="Times New Roman" w:cs="Times New Roman" w:eastAsia="Times New Roman" w:hAnsi="Times New Roman"/>
          <w:sz w:val="19"/>
          <w:szCs w:val="19"/>
          <w:color w:val="231F20"/>
        </w:rPr>
        <w:t>Interest expense, including other debt financing expenses, increased from $63.0 million for the year ended December 31, 2022 to $133.7 million for the year ended December 31, 2023. This increase was primarily due to an increase in the average interest rate on our debt outstanding and an increase in the average debt outstanding from $1,342.0 million for the year ended December 31, 2022 to $1,705.6 million for the year ended December 31, 2023. The average interest rate on our debt outstanding increased from 3.9% for the year ended December 31, 2022 to 7.3% for the year ended December 31, 2023 due to a change in the mix of our debt financing sources and a change in SOFR rates.</w:t>
      </w:r>
    </w:p>
    <w:p>
      <w:pPr>
        <w:sectPr>
          <w:pgSz w:w="12240" w:h="15840" w:orient="portrait"/>
          <w:cols w:equalWidth="0" w:num="1">
            <w:col w:w="10160"/>
          </w:cols>
          <w:pgMar w:left="1020" w:top="1319" w:right="1060" w:bottom="574" w:gutter="0" w:footer="0" w:header="0"/>
        </w:sectPr>
      </w:pPr>
    </w:p>
    <w:p>
      <w:pPr>
        <w:spacing w:after="0" w:line="24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9"/>
          <w:szCs w:val="19"/>
          <w:color w:val="231F20"/>
        </w:rPr>
        <w:t>71</w:t>
      </w:r>
    </w:p>
    <w:p>
      <w:pPr>
        <w:sectPr>
          <w:pgSz w:w="12240" w:h="15840" w:orient="portrait"/>
          <w:cols w:equalWidth="0" w:num="1">
            <w:col w:w="10160"/>
          </w:cols>
          <w:pgMar w:left="1020" w:top="1319" w:right="1060" w:bottom="574" w:gutter="0" w:footer="0" w:header="0"/>
          <w:type w:val="continuous"/>
        </w:sectPr>
      </w:pPr>
    </w:p>
    <w:bookmarkStart w:id="71" w:name="page72"/>
    <w:bookmarkEnd w:id="71"/>
    <w:p>
      <w:pPr>
        <w:ind w:left="240"/>
        <w:spacing w:after="0"/>
        <w:rPr>
          <w:sz w:val="20"/>
          <w:szCs w:val="20"/>
          <w:color w:val="auto"/>
        </w:rPr>
      </w:pPr>
      <w:r>
        <w:rPr>
          <w:rFonts w:ascii="Times New Roman" w:cs="Times New Roman" w:eastAsia="Times New Roman" w:hAnsi="Times New Roman"/>
          <w:sz w:val="19"/>
          <w:szCs w:val="19"/>
          <w:i w:val="1"/>
          <w:iCs w:val="1"/>
          <w:color w:val="231F20"/>
        </w:rPr>
        <w:t>Management Fees</w:t>
      </w:r>
    </w:p>
    <w:p>
      <w:pPr>
        <w:spacing w:after="0" w:line="99" w:lineRule="exact"/>
        <w:rPr>
          <w:sz w:val="20"/>
          <w:szCs w:val="20"/>
          <w:color w:val="auto"/>
        </w:rPr>
      </w:pPr>
    </w:p>
    <w:p>
      <w:pPr>
        <w:jc w:val="both"/>
        <w:ind w:right="120" w:firstLine="231"/>
        <w:spacing w:after="0" w:line="236" w:lineRule="auto"/>
        <w:rPr>
          <w:sz w:val="20"/>
          <w:szCs w:val="20"/>
          <w:color w:val="auto"/>
        </w:rPr>
      </w:pPr>
      <w:r>
        <w:rPr>
          <w:rFonts w:ascii="Times New Roman" w:cs="Times New Roman" w:eastAsia="Times New Roman" w:hAnsi="Times New Roman"/>
          <w:sz w:val="19"/>
          <w:szCs w:val="19"/>
          <w:color w:val="231F20"/>
        </w:rPr>
        <w:t>Management Fees (gross of waivers) increased from $46.4 million for the year ended December 31, 2023 to $51.8 million for the year ended December 31, 2024 due to an increase in average assets. Management Fees (net of waivers) increased from $45.2 million for the year ended December 31, 2023 to $50.3 million for the year ended December 31, 2024. Management Fees waived were $1.5 million for the year ended December 31, 2024, pursuant to the Leverage Waiver. Management Fees waived were $1.2 million for the year ended December 31, 2023 pursuant to the Leverage Waiver. Any waived management fees are not subject to recoupment by the Adviser.</w:t>
      </w:r>
    </w:p>
    <w:p>
      <w:pPr>
        <w:spacing w:after="0" w:line="187" w:lineRule="exact"/>
        <w:rPr>
          <w:sz w:val="20"/>
          <w:szCs w:val="20"/>
          <w:color w:val="auto"/>
        </w:rPr>
      </w:pPr>
    </w:p>
    <w:p>
      <w:pPr>
        <w:jc w:val="both"/>
        <w:ind w:right="120" w:firstLine="231"/>
        <w:spacing w:after="0" w:line="236" w:lineRule="auto"/>
        <w:rPr>
          <w:sz w:val="20"/>
          <w:szCs w:val="20"/>
          <w:color w:val="auto"/>
        </w:rPr>
      </w:pPr>
      <w:r>
        <w:rPr>
          <w:rFonts w:ascii="Times New Roman" w:cs="Times New Roman" w:eastAsia="Times New Roman" w:hAnsi="Times New Roman"/>
          <w:sz w:val="19"/>
          <w:szCs w:val="19"/>
          <w:color w:val="231F20"/>
        </w:rPr>
        <w:t>Management Fees (gross of waivers) increased from $39.9 million for the year ended December 31, 2022 to $46.4 million for the year ended December 31, 2023 due to an increase in average assets. Management Fees (net of waivers) increased from $39.5 million for the year ended December 31, 2022 to $45.2 million for the year ended December 31, 2023. Management Fees waived were $1.2 million for the year ended December 31, 2023, pursuant to the Leverage Waiver. Management Fees waived were $0.4 million for the year ended December 31, 2022 pursuant to the Leverage Waiver. Any waived management fees are not subject to recoupment by the Adviser.</w:t>
      </w:r>
    </w:p>
    <w:p>
      <w:pPr>
        <w:spacing w:after="0" w:line="19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9"/>
          <w:szCs w:val="19"/>
          <w:i w:val="1"/>
          <w:iCs w:val="1"/>
          <w:color w:val="231F20"/>
        </w:rPr>
        <w:t>Incentive Fees</w:t>
      </w:r>
    </w:p>
    <w:p>
      <w:pPr>
        <w:spacing w:after="0" w:line="99" w:lineRule="exact"/>
        <w:rPr>
          <w:sz w:val="20"/>
          <w:szCs w:val="20"/>
          <w:color w:val="auto"/>
        </w:rPr>
      </w:pPr>
    </w:p>
    <w:p>
      <w:pPr>
        <w:ind w:right="180" w:firstLine="231"/>
        <w:spacing w:after="0" w:line="236" w:lineRule="auto"/>
        <w:rPr>
          <w:sz w:val="20"/>
          <w:szCs w:val="20"/>
          <w:color w:val="auto"/>
        </w:rPr>
      </w:pPr>
      <w:r>
        <w:rPr>
          <w:rFonts w:ascii="Times New Roman" w:cs="Times New Roman" w:eastAsia="Times New Roman" w:hAnsi="Times New Roman"/>
          <w:sz w:val="19"/>
          <w:szCs w:val="19"/>
          <w:color w:val="231F20"/>
        </w:rPr>
        <w:t>For the years ended December 31, 2024, December 31, 2023 and December 31, 2022, Incentive Fees were $40.2 million, $47.0 million and $24.5 million, respectively, of which $45.5 million, $42.6 million, and $33.4 million, respectively, were realized and payable to the Adviser. The increase in Incentive Fees from 2023 to 2024 was primarily due to a larger average portfolio size for the year ended December 31, 2024 compared to the same period in 2023. For the years ended December 31, 2024, December 31, 2023 and December 31, 2022, $(5.4) million, $4.4 million, and $(8.9) million, respectively, of Incentive Fees were accrued related to Capital Gains Fees. As of December 31, 2024, these accrued Incentive Fees are not contractually payable to the Adviser.</w:t>
      </w:r>
    </w:p>
    <w:p>
      <w:pPr>
        <w:spacing w:after="0" w:line="19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9"/>
          <w:szCs w:val="19"/>
          <w:i w:val="1"/>
          <w:iCs w:val="1"/>
          <w:color w:val="231F20"/>
        </w:rPr>
        <w:t>Professional Fees and Other General and Administrative Expenses</w:t>
      </w:r>
    </w:p>
    <w:p>
      <w:pPr>
        <w:spacing w:after="0" w:line="99" w:lineRule="exact"/>
        <w:rPr>
          <w:sz w:val="20"/>
          <w:szCs w:val="20"/>
          <w:color w:val="auto"/>
        </w:rPr>
      </w:pPr>
    </w:p>
    <w:p>
      <w:pPr>
        <w:ind w:right="240" w:firstLine="231"/>
        <w:spacing w:after="0" w:line="241" w:lineRule="auto"/>
        <w:rPr>
          <w:sz w:val="20"/>
          <w:szCs w:val="20"/>
          <w:color w:val="auto"/>
        </w:rPr>
      </w:pPr>
      <w:r>
        <w:rPr>
          <w:rFonts w:ascii="Times New Roman" w:cs="Times New Roman" w:eastAsia="Times New Roman" w:hAnsi="Times New Roman"/>
          <w:sz w:val="19"/>
          <w:szCs w:val="19"/>
          <w:color w:val="231F20"/>
        </w:rPr>
        <w:t>Professional fees increased from $7.3 million for the year ended December 31, 2023 to $7.5 million for the year ended December 31, 2024 due to higher legal fees, higher independent third-party valuation firm fees and higher sub-agent administration costs due to a larger portfolio. Other general and administrative fees increased from $5.3 million for the year ended December 31, 2023 to $5.5 million for the year ended December 31, 2024.</w:t>
      </w:r>
    </w:p>
    <w:p>
      <w:pPr>
        <w:spacing w:after="0" w:line="182" w:lineRule="exact"/>
        <w:rPr>
          <w:sz w:val="20"/>
          <w:szCs w:val="20"/>
          <w:color w:val="auto"/>
        </w:rPr>
      </w:pPr>
    </w:p>
    <w:p>
      <w:pPr>
        <w:ind w:firstLine="231"/>
        <w:spacing w:after="0" w:line="238" w:lineRule="auto"/>
        <w:rPr>
          <w:sz w:val="20"/>
          <w:szCs w:val="20"/>
          <w:color w:val="auto"/>
        </w:rPr>
      </w:pPr>
      <w:r>
        <w:rPr>
          <w:rFonts w:ascii="Times New Roman" w:cs="Times New Roman" w:eastAsia="Times New Roman" w:hAnsi="Times New Roman"/>
          <w:sz w:val="19"/>
          <w:szCs w:val="19"/>
          <w:color w:val="231F20"/>
        </w:rPr>
        <w:t>Professional fees increased from $7.2 million for the year ended December 31, 2022 to $7.3 million for the year ended December 31, 2023 due to higher legal fees, higher independent third-party valuation firm fees and higher sub-agent administration costs due to a larger portfolio. Other general and administrative fees decreased from $5.5 million for the year ended December 31, 2022 to $5.3 million for the year ended December 31, 2023 primarily driven by a decrease in administrative services incurred under the Administration Agreement.</w:t>
      </w: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231F20"/>
        </w:rPr>
        <w:t>Income Taxes, Including Excise Taxes</w:t>
      </w:r>
    </w:p>
    <w:p>
      <w:pPr>
        <w:spacing w:after="0" w:line="110" w:lineRule="exact"/>
        <w:rPr>
          <w:sz w:val="20"/>
          <w:szCs w:val="20"/>
          <w:color w:val="auto"/>
        </w:rPr>
      </w:pPr>
    </w:p>
    <w:p>
      <w:pPr>
        <w:ind w:right="100" w:firstLine="231"/>
        <w:spacing w:after="0" w:line="247" w:lineRule="auto"/>
        <w:rPr>
          <w:sz w:val="20"/>
          <w:szCs w:val="20"/>
          <w:color w:val="auto"/>
        </w:rPr>
      </w:pPr>
      <w:r>
        <w:rPr>
          <w:rFonts w:ascii="Times New Roman" w:cs="Times New Roman" w:eastAsia="Times New Roman" w:hAnsi="Times New Roman"/>
          <w:sz w:val="19"/>
          <w:szCs w:val="19"/>
          <w:color w:val="231F20"/>
        </w:rPr>
        <w:t>We have elected to be treated as a RIC under Subchapter M of the Code, and we intend to operate in a manner so as to continue to qualify for the tax treatment applicable to RICs. To qualify as a RIC, we must, among other things, distribute to our stockholders in each taxable year generally at least 90% of our investment company taxable income, as defined by the Code, and net tax-exempt income for that taxable year. To maintain our RIC status, we, among other things, have made and intend to continue to make the requisite distributions to our stockholders, which generally relieve us from corporate-level U.S. federal income taxes.</w:t>
      </w:r>
    </w:p>
    <w:p>
      <w:pPr>
        <w:spacing w:after="0" w:line="188" w:lineRule="exact"/>
        <w:rPr>
          <w:sz w:val="20"/>
          <w:szCs w:val="20"/>
          <w:color w:val="auto"/>
        </w:rPr>
      </w:pPr>
    </w:p>
    <w:p>
      <w:pPr>
        <w:ind w:right="120" w:firstLine="231"/>
        <w:spacing w:after="0" w:line="247" w:lineRule="auto"/>
        <w:rPr>
          <w:sz w:val="20"/>
          <w:szCs w:val="20"/>
          <w:color w:val="auto"/>
        </w:rPr>
      </w:pPr>
      <w:r>
        <w:rPr>
          <w:rFonts w:ascii="Times New Roman" w:cs="Times New Roman" w:eastAsia="Times New Roman" w:hAnsi="Times New Roman"/>
          <w:sz w:val="19"/>
          <w:szCs w:val="19"/>
          <w:color w:val="231F20"/>
        </w:rPr>
        <w:t>Depending on the level of taxable income earned in a tax year, we can be expected to carry forward taxable income (including net capital gains, if any) in excess of current year dividend distributions from the current tax year into the next tax year and pay a nondeductible 4% U.S. federal excise tax on such taxable income, as required. To the extent that we determine that our estimated current year annual taxable income will be in excess of estimated current year dividend distributions from such income, we accrue excise tax on estimated excess taxable income.</w:t>
      </w:r>
    </w:p>
    <w:p>
      <w:pPr>
        <w:spacing w:after="0" w:line="188" w:lineRule="exact"/>
        <w:rPr>
          <w:sz w:val="20"/>
          <w:szCs w:val="20"/>
          <w:color w:val="auto"/>
        </w:rPr>
      </w:pPr>
    </w:p>
    <w:p>
      <w:pPr>
        <w:ind w:right="200" w:firstLine="231"/>
        <w:spacing w:after="0" w:line="275" w:lineRule="auto"/>
        <w:rPr>
          <w:sz w:val="20"/>
          <w:szCs w:val="20"/>
          <w:color w:val="auto"/>
        </w:rPr>
      </w:pPr>
      <w:r>
        <w:rPr>
          <w:rFonts w:ascii="Times New Roman" w:cs="Times New Roman" w:eastAsia="Times New Roman" w:hAnsi="Times New Roman"/>
          <w:sz w:val="19"/>
          <w:szCs w:val="19"/>
          <w:color w:val="231F20"/>
        </w:rPr>
        <w:t>For the calendar years ended December 31, 2024, December 31, 2023 and December 31, 2022 we recorded a net expense of $3.9 million, $2.4 million and $2.6 million, respectively, for U.S. federal excise tax and other taxes.</w:t>
      </w:r>
    </w:p>
    <w:p>
      <w:pPr>
        <w:sectPr>
          <w:pgSz w:w="12240" w:h="15840" w:orient="portrait"/>
          <w:cols w:equalWidth="0" w:num="1">
            <w:col w:w="10180"/>
          </w:cols>
          <w:pgMar w:left="1020" w:top="1313" w:right="1040" w:bottom="57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231F20"/>
        </w:rPr>
        <w:t>72</w:t>
      </w:r>
    </w:p>
    <w:p>
      <w:pPr>
        <w:sectPr>
          <w:pgSz w:w="12240" w:h="15840" w:orient="portrait"/>
          <w:cols w:equalWidth="0" w:num="1">
            <w:col w:w="10180"/>
          </w:cols>
          <w:pgMar w:left="1020" w:top="1313" w:right="1040" w:bottom="574" w:gutter="0" w:footer="0" w:header="0"/>
          <w:type w:val="continuous"/>
        </w:sectPr>
      </w:pPr>
    </w:p>
    <w:bookmarkStart w:id="72" w:name="page73"/>
    <w:bookmarkEnd w:id="72"/>
    <w:p>
      <w:pPr>
        <w:spacing w:after="0"/>
        <w:rPr>
          <w:sz w:val="20"/>
          <w:szCs w:val="20"/>
          <w:color w:val="auto"/>
        </w:rPr>
      </w:pPr>
      <w:r>
        <w:rPr>
          <w:rFonts w:ascii="Times New Roman" w:cs="Times New Roman" w:eastAsia="Times New Roman" w:hAnsi="Times New Roman"/>
          <w:sz w:val="19"/>
          <w:szCs w:val="19"/>
          <w:b w:val="1"/>
          <w:bCs w:val="1"/>
          <w:i w:val="1"/>
          <w:iCs w:val="1"/>
          <w:color w:val="231F20"/>
        </w:rPr>
        <w:t>Net Realized and Unrealized Gains and Losses</w:t>
      </w:r>
    </w:p>
    <w:p>
      <w:pPr>
        <w:spacing w:after="0" w:line="110"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9"/>
          <w:szCs w:val="19"/>
          <w:color w:val="231F20"/>
        </w:rPr>
        <w:t>The following table summarizes our net realized and unrealized gains (losses) for the years ended December 31, 2024,</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231F20"/>
        </w:rPr>
        <w:t>December 31, 2023 and December 31, 2022:</w:t>
      </w:r>
    </w:p>
    <w:p>
      <w:pPr>
        <w:spacing w:after="0" w:line="208" w:lineRule="exact"/>
        <w:rPr>
          <w:sz w:val="20"/>
          <w:szCs w:val="20"/>
          <w:color w:val="auto"/>
        </w:rPr>
      </w:pPr>
    </w:p>
    <w:tbl>
      <w:tblPr>
        <w:tblLayout w:type="fixed"/>
        <w:tblInd w:w="460" w:type="dxa"/>
        <w:tblCellMar>
          <w:top w:w="0" w:type="dxa"/>
          <w:left w:w="0" w:type="dxa"/>
          <w:bottom w:w="0" w:type="dxa"/>
          <w:right w:w="0" w:type="dxa"/>
        </w:tblCellMar>
      </w:tblPr>
      <w:tr>
        <w:trPr>
          <w:trHeight w:val="174"/>
        </w:trPr>
        <w:tc>
          <w:tcPr>
            <w:tcW w:w="60" w:type="dxa"/>
            <w:vAlign w:val="bottom"/>
          </w:tcPr>
          <w:p>
            <w:pPr>
              <w:spacing w:after="0"/>
              <w:rPr>
                <w:sz w:val="15"/>
                <w:szCs w:val="15"/>
                <w:color w:val="auto"/>
              </w:rPr>
            </w:pPr>
          </w:p>
        </w:tc>
        <w:tc>
          <w:tcPr>
            <w:tcW w:w="4940" w:type="dxa"/>
            <w:vAlign w:val="bottom"/>
            <w:tcBorders>
              <w:bottom w:val="single" w:sz="8" w:color="FDFDFC"/>
            </w:tcBorders>
            <w:vMerge w:val="restart"/>
            <w:shd w:val="clear" w:color="auto" w:fill="FDFDFC"/>
          </w:tcPr>
          <w:p>
            <w:pPr>
              <w:spacing w:after="0"/>
              <w:rPr>
                <w:sz w:val="20"/>
                <w:szCs w:val="20"/>
                <w:color w:val="auto"/>
              </w:rPr>
            </w:pPr>
            <w:r>
              <w:rPr>
                <w:rFonts w:ascii="Times New Roman" w:cs="Times New Roman" w:eastAsia="Times New Roman" w:hAnsi="Times New Roman"/>
                <w:sz w:val="15"/>
                <w:szCs w:val="15"/>
                <w:color w:val="231F20"/>
              </w:rPr>
              <w:t>($ in millions)</w:t>
            </w:r>
          </w:p>
        </w:tc>
        <w:tc>
          <w:tcPr>
            <w:tcW w:w="460" w:type="dxa"/>
            <w:vAlign w:val="bottom"/>
            <w:tcBorders>
              <w:bottom w:val="single" w:sz="8" w:color="FDFDFC"/>
            </w:tcBorders>
            <w:shd w:val="clear" w:color="auto" w:fill="FDFDFC"/>
          </w:tcPr>
          <w:p>
            <w:pPr>
              <w:spacing w:after="0"/>
              <w:rPr>
                <w:sz w:val="15"/>
                <w:szCs w:val="15"/>
                <w:color w:val="auto"/>
              </w:rPr>
            </w:pPr>
          </w:p>
        </w:tc>
        <w:tc>
          <w:tcPr>
            <w:tcW w:w="240" w:type="dxa"/>
            <w:vAlign w:val="bottom"/>
            <w:tcBorders>
              <w:bottom w:val="single" w:sz="8" w:color="231F20"/>
            </w:tcBorders>
            <w:shd w:val="clear" w:color="auto" w:fill="FDFDFC"/>
          </w:tcPr>
          <w:p>
            <w:pPr>
              <w:spacing w:after="0"/>
              <w:rPr>
                <w:sz w:val="15"/>
                <w:szCs w:val="15"/>
                <w:color w:val="auto"/>
              </w:rPr>
            </w:pPr>
          </w:p>
        </w:tc>
        <w:tc>
          <w:tcPr>
            <w:tcW w:w="2740" w:type="dxa"/>
            <w:vAlign w:val="bottom"/>
            <w:tcBorders>
              <w:bottom w:val="single" w:sz="8" w:color="231F20"/>
            </w:tcBorders>
            <w:gridSpan w:val="8"/>
            <w:shd w:val="clear" w:color="auto" w:fill="FDFDFC"/>
          </w:tcPr>
          <w:p>
            <w:pPr>
              <w:jc w:val="right"/>
              <w:spacing w:after="0"/>
              <w:rPr>
                <w:sz w:val="20"/>
                <w:szCs w:val="20"/>
                <w:color w:val="auto"/>
              </w:rPr>
            </w:pPr>
            <w:r>
              <w:rPr>
                <w:rFonts w:ascii="Times New Roman" w:cs="Times New Roman" w:eastAsia="Times New Roman" w:hAnsi="Times New Roman"/>
                <w:sz w:val="15"/>
                <w:szCs w:val="15"/>
                <w:b w:val="1"/>
                <w:bCs w:val="1"/>
                <w:color w:val="231F20"/>
              </w:rPr>
              <w:t>For the Years Ended December 31,</w:t>
            </w:r>
          </w:p>
        </w:tc>
        <w:tc>
          <w:tcPr>
            <w:tcW w:w="700" w:type="dxa"/>
            <w:vAlign w:val="bottom"/>
            <w:tcBorders>
              <w:bottom w:val="single" w:sz="8" w:color="231F20"/>
            </w:tcBorders>
            <w:shd w:val="clear" w:color="auto" w:fill="FDFDFC"/>
          </w:tcPr>
          <w:p>
            <w:pPr>
              <w:spacing w:after="0"/>
              <w:rPr>
                <w:sz w:val="15"/>
                <w:szCs w:val="15"/>
                <w:color w:val="auto"/>
              </w:rPr>
            </w:pPr>
          </w:p>
        </w:tc>
        <w:tc>
          <w:tcPr>
            <w:tcW w:w="100" w:type="dxa"/>
            <w:vAlign w:val="bottom"/>
            <w:tcBorders>
              <w:bottom w:val="single" w:sz="8" w:color="FDFDFC"/>
            </w:tcBorders>
            <w:shd w:val="clear" w:color="auto" w:fill="FDFDFC"/>
          </w:tcPr>
          <w:p>
            <w:pPr>
              <w:spacing w:after="0"/>
              <w:rPr>
                <w:sz w:val="15"/>
                <w:szCs w:val="15"/>
                <w:color w:val="auto"/>
              </w:rPr>
            </w:pPr>
          </w:p>
        </w:tc>
        <w:tc>
          <w:tcPr>
            <w:tcW w:w="0" w:type="dxa"/>
            <w:vAlign w:val="bottom"/>
          </w:tcPr>
          <w:p>
            <w:pPr>
              <w:spacing w:after="0"/>
              <w:rPr>
                <w:sz w:val="1"/>
                <w:szCs w:val="1"/>
                <w:color w:val="auto"/>
              </w:rPr>
            </w:pPr>
          </w:p>
        </w:tc>
      </w:tr>
      <w:tr>
        <w:trPr>
          <w:trHeight w:val="163"/>
        </w:trPr>
        <w:tc>
          <w:tcPr>
            <w:tcW w:w="60" w:type="dxa"/>
            <w:vAlign w:val="bottom"/>
          </w:tcPr>
          <w:p>
            <w:pPr>
              <w:spacing w:after="0"/>
              <w:rPr>
                <w:sz w:val="14"/>
                <w:szCs w:val="14"/>
                <w:color w:val="auto"/>
              </w:rPr>
            </w:pPr>
          </w:p>
        </w:tc>
        <w:tc>
          <w:tcPr>
            <w:tcW w:w="4940" w:type="dxa"/>
            <w:vAlign w:val="bottom"/>
            <w:tcBorders>
              <w:bottom w:val="single" w:sz="8" w:color="D0EBF2"/>
            </w:tcBorders>
            <w:vMerge w:val="continue"/>
            <w:shd w:val="clear" w:color="auto" w:fill="FDFDFC"/>
          </w:tcPr>
          <w:p>
            <w:pPr>
              <w:spacing w:after="0"/>
              <w:rPr>
                <w:sz w:val="14"/>
                <w:szCs w:val="14"/>
                <w:color w:val="auto"/>
              </w:rPr>
            </w:pPr>
          </w:p>
        </w:tc>
        <w:tc>
          <w:tcPr>
            <w:tcW w:w="460" w:type="dxa"/>
            <w:vAlign w:val="bottom"/>
            <w:tcBorders>
              <w:bottom w:val="single" w:sz="8" w:color="D0EBF2"/>
            </w:tcBorders>
            <w:shd w:val="clear" w:color="auto" w:fill="FDFDFC"/>
          </w:tcPr>
          <w:p>
            <w:pPr>
              <w:spacing w:after="0"/>
              <w:rPr>
                <w:sz w:val="14"/>
                <w:szCs w:val="14"/>
                <w:color w:val="auto"/>
              </w:rPr>
            </w:pPr>
          </w:p>
        </w:tc>
        <w:tc>
          <w:tcPr>
            <w:tcW w:w="240" w:type="dxa"/>
            <w:vAlign w:val="bottom"/>
            <w:tcBorders>
              <w:bottom w:val="single" w:sz="8" w:color="231F20"/>
            </w:tcBorders>
            <w:shd w:val="clear" w:color="auto" w:fill="FDFDFC"/>
          </w:tcPr>
          <w:p>
            <w:pPr>
              <w:spacing w:after="0"/>
              <w:rPr>
                <w:sz w:val="14"/>
                <w:szCs w:val="14"/>
                <w:color w:val="auto"/>
              </w:rPr>
            </w:pPr>
          </w:p>
        </w:tc>
        <w:tc>
          <w:tcPr>
            <w:tcW w:w="840" w:type="dxa"/>
            <w:vAlign w:val="bottom"/>
            <w:tcBorders>
              <w:bottom w:val="single" w:sz="8" w:color="231F20"/>
            </w:tcBorders>
            <w:shd w:val="clear" w:color="auto" w:fill="FDFDFC"/>
          </w:tcPr>
          <w:p>
            <w:pPr>
              <w:jc w:val="right"/>
              <w:ind w:right="308"/>
              <w:spacing w:after="0" w:line="164" w:lineRule="exact"/>
              <w:rPr>
                <w:sz w:val="20"/>
                <w:szCs w:val="20"/>
                <w:color w:val="auto"/>
              </w:rPr>
            </w:pPr>
            <w:r>
              <w:rPr>
                <w:rFonts w:ascii="Times New Roman" w:cs="Times New Roman" w:eastAsia="Times New Roman" w:hAnsi="Times New Roman"/>
                <w:sz w:val="15"/>
                <w:szCs w:val="15"/>
                <w:b w:val="1"/>
                <w:bCs w:val="1"/>
                <w:color w:val="231F20"/>
              </w:rPr>
              <w:t>2024</w:t>
            </w:r>
          </w:p>
        </w:tc>
        <w:tc>
          <w:tcPr>
            <w:tcW w:w="100" w:type="dxa"/>
            <w:vAlign w:val="bottom"/>
            <w:tcBorders>
              <w:bottom w:val="single" w:sz="8" w:color="D0EBF2"/>
            </w:tcBorders>
            <w:shd w:val="clear" w:color="auto" w:fill="FDFDFC"/>
          </w:tcPr>
          <w:p>
            <w:pPr>
              <w:spacing w:after="0"/>
              <w:rPr>
                <w:sz w:val="14"/>
                <w:szCs w:val="14"/>
                <w:color w:val="auto"/>
              </w:rPr>
            </w:pPr>
          </w:p>
        </w:tc>
        <w:tc>
          <w:tcPr>
            <w:tcW w:w="120" w:type="dxa"/>
            <w:vAlign w:val="bottom"/>
            <w:tcBorders>
              <w:bottom w:val="single" w:sz="8" w:color="D0EBF2"/>
            </w:tcBorders>
            <w:shd w:val="clear" w:color="auto" w:fill="FDFDFC"/>
          </w:tcPr>
          <w:p>
            <w:pPr>
              <w:spacing w:after="0"/>
              <w:rPr>
                <w:sz w:val="14"/>
                <w:szCs w:val="14"/>
                <w:color w:val="auto"/>
              </w:rPr>
            </w:pPr>
          </w:p>
        </w:tc>
        <w:tc>
          <w:tcPr>
            <w:tcW w:w="240" w:type="dxa"/>
            <w:vAlign w:val="bottom"/>
            <w:tcBorders>
              <w:bottom w:val="single" w:sz="8" w:color="231F20"/>
            </w:tcBorders>
            <w:shd w:val="clear" w:color="auto" w:fill="FDFDFC"/>
          </w:tcPr>
          <w:p>
            <w:pPr>
              <w:spacing w:after="0"/>
              <w:rPr>
                <w:sz w:val="14"/>
                <w:szCs w:val="14"/>
                <w:color w:val="auto"/>
              </w:rPr>
            </w:pPr>
          </w:p>
        </w:tc>
        <w:tc>
          <w:tcPr>
            <w:tcW w:w="840" w:type="dxa"/>
            <w:vAlign w:val="bottom"/>
            <w:tcBorders>
              <w:bottom w:val="single" w:sz="8" w:color="231F20"/>
            </w:tcBorders>
            <w:shd w:val="clear" w:color="auto" w:fill="FDFDFC"/>
          </w:tcPr>
          <w:p>
            <w:pPr>
              <w:jc w:val="right"/>
              <w:ind w:right="307"/>
              <w:spacing w:after="0" w:line="164" w:lineRule="exact"/>
              <w:rPr>
                <w:sz w:val="20"/>
                <w:szCs w:val="20"/>
                <w:color w:val="auto"/>
              </w:rPr>
            </w:pPr>
            <w:r>
              <w:rPr>
                <w:rFonts w:ascii="Times New Roman" w:cs="Times New Roman" w:eastAsia="Times New Roman" w:hAnsi="Times New Roman"/>
                <w:sz w:val="15"/>
                <w:szCs w:val="15"/>
                <w:b w:val="1"/>
                <w:bCs w:val="1"/>
                <w:color w:val="231F20"/>
              </w:rPr>
              <w:t>2023</w:t>
            </w:r>
          </w:p>
        </w:tc>
        <w:tc>
          <w:tcPr>
            <w:tcW w:w="100" w:type="dxa"/>
            <w:vAlign w:val="bottom"/>
            <w:tcBorders>
              <w:bottom w:val="single" w:sz="8" w:color="D0EBF2"/>
            </w:tcBorders>
            <w:shd w:val="clear" w:color="auto" w:fill="FDFDFC"/>
          </w:tcPr>
          <w:p>
            <w:pPr>
              <w:spacing w:after="0"/>
              <w:rPr>
                <w:sz w:val="14"/>
                <w:szCs w:val="14"/>
                <w:color w:val="auto"/>
              </w:rPr>
            </w:pPr>
          </w:p>
        </w:tc>
        <w:tc>
          <w:tcPr>
            <w:tcW w:w="120" w:type="dxa"/>
            <w:vAlign w:val="bottom"/>
            <w:tcBorders>
              <w:bottom w:val="single" w:sz="8" w:color="D0EBF2"/>
            </w:tcBorders>
            <w:shd w:val="clear" w:color="auto" w:fill="FDFDFC"/>
          </w:tcPr>
          <w:p>
            <w:pPr>
              <w:spacing w:after="0"/>
              <w:rPr>
                <w:sz w:val="14"/>
                <w:szCs w:val="14"/>
                <w:color w:val="auto"/>
              </w:rPr>
            </w:pPr>
          </w:p>
        </w:tc>
        <w:tc>
          <w:tcPr>
            <w:tcW w:w="380" w:type="dxa"/>
            <w:vAlign w:val="bottom"/>
            <w:tcBorders>
              <w:bottom w:val="single" w:sz="8" w:color="231F20"/>
            </w:tcBorders>
            <w:shd w:val="clear" w:color="auto" w:fill="FDFDFC"/>
          </w:tcPr>
          <w:p>
            <w:pPr>
              <w:spacing w:after="0"/>
              <w:rPr>
                <w:sz w:val="14"/>
                <w:szCs w:val="14"/>
                <w:color w:val="auto"/>
              </w:rPr>
            </w:pPr>
          </w:p>
        </w:tc>
        <w:tc>
          <w:tcPr>
            <w:tcW w:w="700" w:type="dxa"/>
            <w:vAlign w:val="bottom"/>
            <w:tcBorders>
              <w:bottom w:val="single" w:sz="8" w:color="231F20"/>
            </w:tcBorders>
            <w:shd w:val="clear" w:color="auto" w:fill="FDFDFC"/>
          </w:tcPr>
          <w:p>
            <w:pPr>
              <w:jc w:val="right"/>
              <w:ind w:right="307"/>
              <w:spacing w:after="0" w:line="164" w:lineRule="exact"/>
              <w:rPr>
                <w:sz w:val="20"/>
                <w:szCs w:val="20"/>
                <w:color w:val="auto"/>
              </w:rPr>
            </w:pPr>
            <w:r>
              <w:rPr>
                <w:rFonts w:ascii="Times New Roman" w:cs="Times New Roman" w:eastAsia="Times New Roman" w:hAnsi="Times New Roman"/>
                <w:sz w:val="15"/>
                <w:szCs w:val="15"/>
                <w:b w:val="1"/>
                <w:bCs w:val="1"/>
                <w:color w:val="231F20"/>
                <w:w w:val="93"/>
              </w:rPr>
              <w:t>2022</w:t>
            </w:r>
          </w:p>
        </w:tc>
        <w:tc>
          <w:tcPr>
            <w:tcW w:w="100" w:type="dxa"/>
            <w:vAlign w:val="bottom"/>
            <w:tcBorders>
              <w:bottom w:val="single" w:sz="8" w:color="D0EBF2"/>
            </w:tcBorders>
            <w:shd w:val="clear" w:color="auto" w:fill="FDFDFC"/>
          </w:tcPr>
          <w:p>
            <w:pPr>
              <w:spacing w:after="0"/>
              <w:rPr>
                <w:sz w:val="14"/>
                <w:szCs w:val="14"/>
                <w:color w:val="auto"/>
              </w:rPr>
            </w:pPr>
          </w:p>
        </w:tc>
        <w:tc>
          <w:tcPr>
            <w:tcW w:w="0" w:type="dxa"/>
            <w:vAlign w:val="bottom"/>
          </w:tcPr>
          <w:p>
            <w:pPr>
              <w:spacing w:after="0"/>
              <w:rPr>
                <w:sz w:val="1"/>
                <w:szCs w:val="1"/>
                <w:color w:val="auto"/>
              </w:rPr>
            </w:pPr>
          </w:p>
        </w:tc>
      </w:tr>
      <w:tr>
        <w:trPr>
          <w:trHeight w:val="207"/>
        </w:trPr>
        <w:tc>
          <w:tcPr>
            <w:tcW w:w="60" w:type="dxa"/>
            <w:vAlign w:val="bottom"/>
          </w:tcPr>
          <w:p>
            <w:pPr>
              <w:spacing w:after="0"/>
              <w:rPr>
                <w:sz w:val="17"/>
                <w:szCs w:val="17"/>
                <w:color w:val="auto"/>
              </w:rPr>
            </w:pPr>
          </w:p>
        </w:tc>
        <w:tc>
          <w:tcPr>
            <w:tcW w:w="4940" w:type="dxa"/>
            <w:vAlign w:val="bottom"/>
            <w:shd w:val="clear" w:color="auto" w:fill="D0EBF2"/>
          </w:tcPr>
          <w:p>
            <w:pPr>
              <w:spacing w:after="0" w:line="206" w:lineRule="exact"/>
              <w:rPr>
                <w:sz w:val="20"/>
                <w:szCs w:val="20"/>
                <w:color w:val="auto"/>
              </w:rPr>
            </w:pPr>
            <w:r>
              <w:rPr>
                <w:rFonts w:ascii="Times New Roman" w:cs="Times New Roman" w:eastAsia="Times New Roman" w:hAnsi="Times New Roman"/>
                <w:sz w:val="19"/>
                <w:szCs w:val="19"/>
                <w:color w:val="231F20"/>
              </w:rPr>
              <w:t>Net realized gains (losses) on investments</w:t>
            </w:r>
          </w:p>
        </w:tc>
        <w:tc>
          <w:tcPr>
            <w:tcW w:w="460" w:type="dxa"/>
            <w:vAlign w:val="bottom"/>
            <w:shd w:val="clear" w:color="auto" w:fill="D0EBF2"/>
          </w:tcPr>
          <w:p>
            <w:pPr>
              <w:spacing w:after="0"/>
              <w:rPr>
                <w:sz w:val="17"/>
                <w:szCs w:val="17"/>
                <w:color w:val="auto"/>
              </w:rPr>
            </w:pPr>
          </w:p>
        </w:tc>
        <w:tc>
          <w:tcPr>
            <w:tcW w:w="240" w:type="dxa"/>
            <w:vAlign w:val="bottom"/>
            <w:shd w:val="clear" w:color="auto" w:fill="D0EBF2"/>
          </w:tcPr>
          <w:p>
            <w:pPr>
              <w:jc w:val="right"/>
              <w:ind w:right="46"/>
              <w:spacing w:after="0" w:line="206" w:lineRule="exact"/>
              <w:rPr>
                <w:sz w:val="20"/>
                <w:szCs w:val="20"/>
                <w:color w:val="auto"/>
              </w:rPr>
            </w:pPr>
            <w:r>
              <w:rPr>
                <w:rFonts w:ascii="Times New Roman" w:cs="Times New Roman" w:eastAsia="Times New Roman" w:hAnsi="Times New Roman"/>
                <w:sz w:val="19"/>
                <w:szCs w:val="19"/>
                <w:color w:val="231F20"/>
                <w:w w:val="83"/>
              </w:rPr>
              <w:t>$</w:t>
            </w:r>
          </w:p>
        </w:tc>
        <w:tc>
          <w:tcPr>
            <w:tcW w:w="840" w:type="dxa"/>
            <w:vAlign w:val="bottom"/>
            <w:shd w:val="clear" w:color="auto" w:fill="D0EBF2"/>
          </w:tcPr>
          <w:p>
            <w:pPr>
              <w:jc w:val="right"/>
              <w:spacing w:after="0" w:line="206" w:lineRule="exact"/>
              <w:rPr>
                <w:sz w:val="20"/>
                <w:szCs w:val="20"/>
                <w:color w:val="auto"/>
              </w:rPr>
            </w:pPr>
            <w:r>
              <w:rPr>
                <w:rFonts w:ascii="Times New Roman" w:cs="Times New Roman" w:eastAsia="Times New Roman" w:hAnsi="Times New Roman"/>
                <w:sz w:val="19"/>
                <w:szCs w:val="19"/>
                <w:color w:val="231F20"/>
              </w:rPr>
              <w:t>9.0</w:t>
            </w:r>
          </w:p>
        </w:tc>
        <w:tc>
          <w:tcPr>
            <w:tcW w:w="100" w:type="dxa"/>
            <w:vAlign w:val="bottom"/>
            <w:shd w:val="clear" w:color="auto" w:fill="D0EBF2"/>
          </w:tcPr>
          <w:p>
            <w:pPr>
              <w:spacing w:after="0"/>
              <w:rPr>
                <w:sz w:val="17"/>
                <w:szCs w:val="17"/>
                <w:color w:val="auto"/>
              </w:rPr>
            </w:pPr>
          </w:p>
        </w:tc>
        <w:tc>
          <w:tcPr>
            <w:tcW w:w="120" w:type="dxa"/>
            <w:vAlign w:val="bottom"/>
            <w:shd w:val="clear" w:color="auto" w:fill="D0EBF2"/>
          </w:tcPr>
          <w:p>
            <w:pPr>
              <w:spacing w:after="0"/>
              <w:rPr>
                <w:sz w:val="17"/>
                <w:szCs w:val="17"/>
                <w:color w:val="auto"/>
              </w:rPr>
            </w:pPr>
          </w:p>
        </w:tc>
        <w:tc>
          <w:tcPr>
            <w:tcW w:w="240" w:type="dxa"/>
            <w:vAlign w:val="bottom"/>
            <w:shd w:val="clear" w:color="auto" w:fill="D0EBF2"/>
          </w:tcPr>
          <w:p>
            <w:pPr>
              <w:jc w:val="right"/>
              <w:ind w:right="46"/>
              <w:spacing w:after="0" w:line="206" w:lineRule="exact"/>
              <w:rPr>
                <w:sz w:val="20"/>
                <w:szCs w:val="20"/>
                <w:color w:val="auto"/>
              </w:rPr>
            </w:pPr>
            <w:r>
              <w:rPr>
                <w:rFonts w:ascii="Times New Roman" w:cs="Times New Roman" w:eastAsia="Times New Roman" w:hAnsi="Times New Roman"/>
                <w:sz w:val="19"/>
                <w:szCs w:val="19"/>
                <w:color w:val="231F20"/>
                <w:w w:val="83"/>
              </w:rPr>
              <w:t>$</w:t>
            </w:r>
          </w:p>
        </w:tc>
        <w:tc>
          <w:tcPr>
            <w:tcW w:w="840" w:type="dxa"/>
            <w:vAlign w:val="bottom"/>
            <w:shd w:val="clear" w:color="auto" w:fill="D0EBF2"/>
          </w:tcPr>
          <w:p>
            <w:pPr>
              <w:jc w:val="right"/>
              <w:spacing w:after="0" w:line="206" w:lineRule="exact"/>
              <w:rPr>
                <w:sz w:val="20"/>
                <w:szCs w:val="20"/>
                <w:color w:val="auto"/>
              </w:rPr>
            </w:pPr>
            <w:r>
              <w:rPr>
                <w:rFonts w:ascii="Times New Roman" w:cs="Times New Roman" w:eastAsia="Times New Roman" w:hAnsi="Times New Roman"/>
                <w:sz w:val="19"/>
                <w:szCs w:val="19"/>
                <w:color w:val="231F20"/>
              </w:rPr>
              <w:t>12.2</w:t>
            </w:r>
          </w:p>
        </w:tc>
        <w:tc>
          <w:tcPr>
            <w:tcW w:w="100" w:type="dxa"/>
            <w:vAlign w:val="bottom"/>
            <w:shd w:val="clear" w:color="auto" w:fill="D0EBF2"/>
          </w:tcPr>
          <w:p>
            <w:pPr>
              <w:spacing w:after="0"/>
              <w:rPr>
                <w:sz w:val="17"/>
                <w:szCs w:val="17"/>
                <w:color w:val="auto"/>
              </w:rPr>
            </w:pPr>
          </w:p>
        </w:tc>
        <w:tc>
          <w:tcPr>
            <w:tcW w:w="120" w:type="dxa"/>
            <w:vAlign w:val="bottom"/>
            <w:shd w:val="clear" w:color="auto" w:fill="D0EBF2"/>
          </w:tcPr>
          <w:p>
            <w:pPr>
              <w:spacing w:after="0"/>
              <w:rPr>
                <w:sz w:val="17"/>
                <w:szCs w:val="17"/>
                <w:color w:val="auto"/>
              </w:rPr>
            </w:pPr>
          </w:p>
        </w:tc>
        <w:tc>
          <w:tcPr>
            <w:tcW w:w="380" w:type="dxa"/>
            <w:vAlign w:val="bottom"/>
            <w:shd w:val="clear" w:color="auto" w:fill="D0EBF2"/>
          </w:tcPr>
          <w:p>
            <w:pPr>
              <w:jc w:val="right"/>
              <w:ind w:right="216"/>
              <w:spacing w:after="0"/>
              <w:rPr>
                <w:sz w:val="20"/>
                <w:szCs w:val="20"/>
                <w:color w:val="auto"/>
              </w:rPr>
            </w:pPr>
            <w:r>
              <w:rPr>
                <w:rFonts w:ascii="Times New Roman" w:cs="Times New Roman" w:eastAsia="Times New Roman" w:hAnsi="Times New Roman"/>
                <w:sz w:val="17"/>
                <w:szCs w:val="17"/>
                <w:color w:val="231F20"/>
                <w:w w:val="70"/>
              </w:rPr>
              <w:t>$</w:t>
            </w:r>
          </w:p>
        </w:tc>
        <w:tc>
          <w:tcPr>
            <w:tcW w:w="700" w:type="dxa"/>
            <w:vAlign w:val="bottom"/>
            <w:shd w:val="clear" w:color="auto" w:fill="D0EBF2"/>
          </w:tcPr>
          <w:p>
            <w:pPr>
              <w:jc w:val="right"/>
              <w:spacing w:after="0" w:line="206" w:lineRule="exact"/>
              <w:rPr>
                <w:sz w:val="20"/>
                <w:szCs w:val="20"/>
                <w:color w:val="auto"/>
              </w:rPr>
            </w:pPr>
            <w:r>
              <w:rPr>
                <w:rFonts w:ascii="Times New Roman" w:cs="Times New Roman" w:eastAsia="Times New Roman" w:hAnsi="Times New Roman"/>
                <w:sz w:val="19"/>
                <w:szCs w:val="19"/>
                <w:color w:val="231F20"/>
              </w:rPr>
              <w:t>14.7</w:t>
            </w:r>
          </w:p>
        </w:tc>
        <w:tc>
          <w:tcPr>
            <w:tcW w:w="100" w:type="dxa"/>
            <w:vAlign w:val="bottom"/>
            <w:shd w:val="clear" w:color="auto" w:fill="D0EBF2"/>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60" w:type="dxa"/>
            <w:vAlign w:val="bottom"/>
          </w:tcPr>
          <w:p>
            <w:pPr>
              <w:spacing w:after="0"/>
              <w:rPr>
                <w:sz w:val="18"/>
                <w:szCs w:val="18"/>
                <w:color w:val="auto"/>
              </w:rPr>
            </w:pPr>
          </w:p>
        </w:tc>
        <w:tc>
          <w:tcPr>
            <w:tcW w:w="4940" w:type="dxa"/>
            <w:vAlign w:val="bottom"/>
            <w:shd w:val="clear" w:color="auto" w:fill="FDFDFC"/>
          </w:tcPr>
          <w:p>
            <w:pPr>
              <w:spacing w:after="0" w:line="217" w:lineRule="exact"/>
              <w:rPr>
                <w:sz w:val="20"/>
                <w:szCs w:val="20"/>
                <w:color w:val="auto"/>
              </w:rPr>
            </w:pPr>
            <w:r>
              <w:rPr>
                <w:rFonts w:ascii="Times New Roman" w:cs="Times New Roman" w:eastAsia="Times New Roman" w:hAnsi="Times New Roman"/>
                <w:sz w:val="19"/>
                <w:szCs w:val="19"/>
                <w:color w:val="231F20"/>
              </w:rPr>
              <w:t>Net realized gains (losses) on foreign currency transactions</w:t>
            </w:r>
          </w:p>
        </w:tc>
        <w:tc>
          <w:tcPr>
            <w:tcW w:w="460" w:type="dxa"/>
            <w:vAlign w:val="bottom"/>
            <w:shd w:val="clear" w:color="auto" w:fill="FDFDFC"/>
          </w:tcPr>
          <w:p>
            <w:pPr>
              <w:spacing w:after="0"/>
              <w:rPr>
                <w:sz w:val="18"/>
                <w:szCs w:val="18"/>
                <w:color w:val="auto"/>
              </w:rPr>
            </w:pPr>
          </w:p>
        </w:tc>
        <w:tc>
          <w:tcPr>
            <w:tcW w:w="240" w:type="dxa"/>
            <w:vAlign w:val="bottom"/>
            <w:shd w:val="clear" w:color="auto" w:fill="FDFDFC"/>
          </w:tcPr>
          <w:p>
            <w:pPr>
              <w:spacing w:after="0"/>
              <w:rPr>
                <w:sz w:val="18"/>
                <w:szCs w:val="18"/>
                <w:color w:val="auto"/>
              </w:rPr>
            </w:pPr>
          </w:p>
        </w:tc>
        <w:tc>
          <w:tcPr>
            <w:tcW w:w="840" w:type="dxa"/>
            <w:vAlign w:val="bottom"/>
            <w:shd w:val="clear" w:color="auto" w:fill="FDFDFC"/>
          </w:tcPr>
          <w:p>
            <w:pPr>
              <w:jc w:val="right"/>
              <w:spacing w:after="0" w:line="217" w:lineRule="exact"/>
              <w:rPr>
                <w:sz w:val="20"/>
                <w:szCs w:val="20"/>
                <w:color w:val="auto"/>
              </w:rPr>
            </w:pPr>
            <w:r>
              <w:rPr>
                <w:rFonts w:ascii="Times New Roman" w:cs="Times New Roman" w:eastAsia="Times New Roman" w:hAnsi="Times New Roman"/>
                <w:sz w:val="19"/>
                <w:szCs w:val="19"/>
                <w:color w:val="231F20"/>
              </w:rPr>
              <w:t>(1.2)</w:t>
            </w:r>
          </w:p>
        </w:tc>
        <w:tc>
          <w:tcPr>
            <w:tcW w:w="100" w:type="dxa"/>
            <w:vAlign w:val="bottom"/>
            <w:shd w:val="clear" w:color="auto" w:fill="FDFDFC"/>
          </w:tcPr>
          <w:p>
            <w:pPr>
              <w:spacing w:after="0"/>
              <w:rPr>
                <w:sz w:val="18"/>
                <w:szCs w:val="18"/>
                <w:color w:val="auto"/>
              </w:rPr>
            </w:pPr>
          </w:p>
        </w:tc>
        <w:tc>
          <w:tcPr>
            <w:tcW w:w="120" w:type="dxa"/>
            <w:vAlign w:val="bottom"/>
            <w:shd w:val="clear" w:color="auto" w:fill="FDFDFC"/>
          </w:tcPr>
          <w:p>
            <w:pPr>
              <w:spacing w:after="0"/>
              <w:rPr>
                <w:sz w:val="18"/>
                <w:szCs w:val="18"/>
                <w:color w:val="auto"/>
              </w:rPr>
            </w:pPr>
          </w:p>
        </w:tc>
        <w:tc>
          <w:tcPr>
            <w:tcW w:w="240" w:type="dxa"/>
            <w:vAlign w:val="bottom"/>
            <w:shd w:val="clear" w:color="auto" w:fill="FDFDFC"/>
          </w:tcPr>
          <w:p>
            <w:pPr>
              <w:spacing w:after="0"/>
              <w:rPr>
                <w:sz w:val="18"/>
                <w:szCs w:val="18"/>
                <w:color w:val="auto"/>
              </w:rPr>
            </w:pPr>
          </w:p>
        </w:tc>
        <w:tc>
          <w:tcPr>
            <w:tcW w:w="840" w:type="dxa"/>
            <w:vAlign w:val="bottom"/>
            <w:shd w:val="clear" w:color="auto" w:fill="FDFDFC"/>
          </w:tcPr>
          <w:p>
            <w:pPr>
              <w:jc w:val="right"/>
              <w:spacing w:after="0" w:line="217" w:lineRule="exact"/>
              <w:rPr>
                <w:sz w:val="20"/>
                <w:szCs w:val="20"/>
                <w:color w:val="auto"/>
              </w:rPr>
            </w:pPr>
            <w:r>
              <w:rPr>
                <w:rFonts w:ascii="Times New Roman" w:cs="Times New Roman" w:eastAsia="Times New Roman" w:hAnsi="Times New Roman"/>
                <w:sz w:val="19"/>
                <w:szCs w:val="19"/>
                <w:color w:val="231F20"/>
              </w:rPr>
              <w:t>0.2</w:t>
            </w:r>
          </w:p>
        </w:tc>
        <w:tc>
          <w:tcPr>
            <w:tcW w:w="100" w:type="dxa"/>
            <w:vAlign w:val="bottom"/>
            <w:shd w:val="clear" w:color="auto" w:fill="FDFDFC"/>
          </w:tcPr>
          <w:p>
            <w:pPr>
              <w:spacing w:after="0"/>
              <w:rPr>
                <w:sz w:val="18"/>
                <w:szCs w:val="18"/>
                <w:color w:val="auto"/>
              </w:rPr>
            </w:pPr>
          </w:p>
        </w:tc>
        <w:tc>
          <w:tcPr>
            <w:tcW w:w="120" w:type="dxa"/>
            <w:vAlign w:val="bottom"/>
            <w:shd w:val="clear" w:color="auto" w:fill="FDFDFC"/>
          </w:tcPr>
          <w:p>
            <w:pPr>
              <w:spacing w:after="0"/>
              <w:rPr>
                <w:sz w:val="18"/>
                <w:szCs w:val="18"/>
                <w:color w:val="auto"/>
              </w:rPr>
            </w:pPr>
          </w:p>
        </w:tc>
        <w:tc>
          <w:tcPr>
            <w:tcW w:w="380" w:type="dxa"/>
            <w:vAlign w:val="bottom"/>
            <w:shd w:val="clear" w:color="auto" w:fill="FDFDFC"/>
          </w:tcPr>
          <w:p>
            <w:pPr>
              <w:spacing w:after="0"/>
              <w:rPr>
                <w:sz w:val="18"/>
                <w:szCs w:val="18"/>
                <w:color w:val="auto"/>
              </w:rPr>
            </w:pPr>
          </w:p>
        </w:tc>
        <w:tc>
          <w:tcPr>
            <w:tcW w:w="700" w:type="dxa"/>
            <w:vAlign w:val="bottom"/>
            <w:shd w:val="clear" w:color="auto" w:fill="FDFDFC"/>
          </w:tcPr>
          <w:p>
            <w:pPr>
              <w:jc w:val="right"/>
              <w:spacing w:after="0" w:line="217" w:lineRule="exact"/>
              <w:rPr>
                <w:sz w:val="20"/>
                <w:szCs w:val="20"/>
                <w:color w:val="auto"/>
              </w:rPr>
            </w:pPr>
            <w:r>
              <w:rPr>
                <w:rFonts w:ascii="Times New Roman" w:cs="Times New Roman" w:eastAsia="Times New Roman" w:hAnsi="Times New Roman"/>
                <w:sz w:val="19"/>
                <w:szCs w:val="19"/>
                <w:color w:val="231F20"/>
              </w:rPr>
              <w:t>(0.1)</w:t>
            </w:r>
          </w:p>
        </w:tc>
        <w:tc>
          <w:tcPr>
            <w:tcW w:w="100" w:type="dxa"/>
            <w:vAlign w:val="bottom"/>
            <w:shd w:val="clear" w:color="auto" w:fill="FDFDFC"/>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60" w:type="dxa"/>
            <w:vAlign w:val="bottom"/>
          </w:tcPr>
          <w:p>
            <w:pPr>
              <w:spacing w:after="0"/>
              <w:rPr>
                <w:sz w:val="18"/>
                <w:szCs w:val="18"/>
                <w:color w:val="auto"/>
              </w:rPr>
            </w:pPr>
          </w:p>
        </w:tc>
        <w:tc>
          <w:tcPr>
            <w:tcW w:w="4940" w:type="dxa"/>
            <w:vAlign w:val="bottom"/>
            <w:shd w:val="clear" w:color="auto" w:fill="D0EBF2"/>
          </w:tcPr>
          <w:p>
            <w:pPr>
              <w:spacing w:after="0" w:line="217" w:lineRule="exact"/>
              <w:rPr>
                <w:sz w:val="20"/>
                <w:szCs w:val="20"/>
                <w:color w:val="auto"/>
              </w:rPr>
            </w:pPr>
            <w:r>
              <w:rPr>
                <w:rFonts w:ascii="Times New Roman" w:cs="Times New Roman" w:eastAsia="Times New Roman" w:hAnsi="Times New Roman"/>
                <w:sz w:val="19"/>
                <w:szCs w:val="19"/>
                <w:color w:val="231F20"/>
              </w:rPr>
              <w:t>Net realized gains (losses) on foreign currency investments</w:t>
            </w:r>
          </w:p>
        </w:tc>
        <w:tc>
          <w:tcPr>
            <w:tcW w:w="460" w:type="dxa"/>
            <w:vAlign w:val="bottom"/>
            <w:shd w:val="clear" w:color="auto" w:fill="D0EBF2"/>
          </w:tcPr>
          <w:p>
            <w:pPr>
              <w:spacing w:after="0"/>
              <w:rPr>
                <w:sz w:val="18"/>
                <w:szCs w:val="18"/>
                <w:color w:val="auto"/>
              </w:rPr>
            </w:pPr>
          </w:p>
        </w:tc>
        <w:tc>
          <w:tcPr>
            <w:tcW w:w="240" w:type="dxa"/>
            <w:vAlign w:val="bottom"/>
            <w:shd w:val="clear" w:color="auto" w:fill="D0EBF2"/>
          </w:tcPr>
          <w:p>
            <w:pPr>
              <w:spacing w:after="0"/>
              <w:rPr>
                <w:sz w:val="18"/>
                <w:szCs w:val="18"/>
                <w:color w:val="auto"/>
              </w:rPr>
            </w:pPr>
          </w:p>
        </w:tc>
        <w:tc>
          <w:tcPr>
            <w:tcW w:w="940" w:type="dxa"/>
            <w:vAlign w:val="bottom"/>
            <w:gridSpan w:val="2"/>
            <w:shd w:val="clear" w:color="auto" w:fill="D0EBF2"/>
          </w:tcPr>
          <w:p>
            <w:pPr>
              <w:jc w:val="right"/>
              <w:ind w:right="40"/>
              <w:spacing w:after="0" w:line="217" w:lineRule="exact"/>
              <w:rPr>
                <w:sz w:val="20"/>
                <w:szCs w:val="20"/>
                <w:color w:val="auto"/>
              </w:rPr>
            </w:pPr>
            <w:r>
              <w:rPr>
                <w:rFonts w:ascii="Times New Roman" w:cs="Times New Roman" w:eastAsia="Times New Roman" w:hAnsi="Times New Roman"/>
                <w:sz w:val="19"/>
                <w:szCs w:val="19"/>
                <w:color w:val="231F20"/>
              </w:rPr>
              <w:t>(4.3)</w:t>
            </w:r>
          </w:p>
        </w:tc>
        <w:tc>
          <w:tcPr>
            <w:tcW w:w="120" w:type="dxa"/>
            <w:vAlign w:val="bottom"/>
            <w:shd w:val="clear" w:color="auto" w:fill="D0EBF2"/>
          </w:tcPr>
          <w:p>
            <w:pPr>
              <w:spacing w:after="0"/>
              <w:rPr>
                <w:sz w:val="18"/>
                <w:szCs w:val="18"/>
                <w:color w:val="auto"/>
              </w:rPr>
            </w:pPr>
          </w:p>
        </w:tc>
        <w:tc>
          <w:tcPr>
            <w:tcW w:w="240" w:type="dxa"/>
            <w:vAlign w:val="bottom"/>
            <w:shd w:val="clear" w:color="auto" w:fill="D0EBF2"/>
          </w:tcPr>
          <w:p>
            <w:pPr>
              <w:spacing w:after="0"/>
              <w:rPr>
                <w:sz w:val="18"/>
                <w:szCs w:val="18"/>
                <w:color w:val="auto"/>
              </w:rPr>
            </w:pPr>
          </w:p>
        </w:tc>
        <w:tc>
          <w:tcPr>
            <w:tcW w:w="940" w:type="dxa"/>
            <w:vAlign w:val="bottom"/>
            <w:gridSpan w:val="2"/>
            <w:shd w:val="clear" w:color="auto" w:fill="D0EBF2"/>
          </w:tcPr>
          <w:p>
            <w:pPr>
              <w:jc w:val="right"/>
              <w:ind w:right="40"/>
              <w:spacing w:after="0" w:line="217" w:lineRule="exact"/>
              <w:rPr>
                <w:sz w:val="20"/>
                <w:szCs w:val="20"/>
                <w:color w:val="auto"/>
              </w:rPr>
            </w:pPr>
            <w:r>
              <w:rPr>
                <w:rFonts w:ascii="Times New Roman" w:cs="Times New Roman" w:eastAsia="Times New Roman" w:hAnsi="Times New Roman"/>
                <w:sz w:val="19"/>
                <w:szCs w:val="19"/>
                <w:color w:val="231F20"/>
              </w:rPr>
              <w:t>(0.5)</w:t>
            </w:r>
          </w:p>
        </w:tc>
        <w:tc>
          <w:tcPr>
            <w:tcW w:w="120" w:type="dxa"/>
            <w:vAlign w:val="bottom"/>
            <w:shd w:val="clear" w:color="auto" w:fill="D0EBF2"/>
          </w:tcPr>
          <w:p>
            <w:pPr>
              <w:spacing w:after="0"/>
              <w:rPr>
                <w:sz w:val="18"/>
                <w:szCs w:val="18"/>
                <w:color w:val="auto"/>
              </w:rPr>
            </w:pPr>
          </w:p>
        </w:tc>
        <w:tc>
          <w:tcPr>
            <w:tcW w:w="380" w:type="dxa"/>
            <w:vAlign w:val="bottom"/>
            <w:shd w:val="clear" w:color="auto" w:fill="D0EBF2"/>
          </w:tcPr>
          <w:p>
            <w:pPr>
              <w:spacing w:after="0"/>
              <w:rPr>
                <w:sz w:val="18"/>
                <w:szCs w:val="18"/>
                <w:color w:val="auto"/>
              </w:rPr>
            </w:pPr>
          </w:p>
        </w:tc>
        <w:tc>
          <w:tcPr>
            <w:tcW w:w="800" w:type="dxa"/>
            <w:vAlign w:val="bottom"/>
            <w:gridSpan w:val="2"/>
            <w:shd w:val="clear" w:color="auto" w:fill="D0EBF2"/>
          </w:tcPr>
          <w:p>
            <w:pPr>
              <w:jc w:val="right"/>
              <w:ind w:right="40"/>
              <w:spacing w:after="0" w:line="217" w:lineRule="exact"/>
              <w:rPr>
                <w:sz w:val="20"/>
                <w:szCs w:val="20"/>
                <w:color w:val="auto"/>
              </w:rPr>
            </w:pPr>
            <w:r>
              <w:rPr>
                <w:rFonts w:ascii="Times New Roman" w:cs="Times New Roman" w:eastAsia="Times New Roman" w:hAnsi="Times New Roman"/>
                <w:sz w:val="19"/>
                <w:szCs w:val="19"/>
                <w:color w:val="231F20"/>
              </w:rPr>
              <w:t>(0.7)</w:t>
            </w:r>
          </w:p>
        </w:tc>
        <w:tc>
          <w:tcPr>
            <w:tcW w:w="0" w:type="dxa"/>
            <w:vAlign w:val="bottom"/>
          </w:tcPr>
          <w:p>
            <w:pPr>
              <w:spacing w:after="0"/>
              <w:rPr>
                <w:sz w:val="1"/>
                <w:szCs w:val="1"/>
                <w:color w:val="auto"/>
              </w:rPr>
            </w:pPr>
          </w:p>
        </w:tc>
      </w:tr>
      <w:tr>
        <w:trPr>
          <w:trHeight w:val="217"/>
        </w:trPr>
        <w:tc>
          <w:tcPr>
            <w:tcW w:w="60" w:type="dxa"/>
            <w:vAlign w:val="bottom"/>
          </w:tcPr>
          <w:p>
            <w:pPr>
              <w:spacing w:after="0"/>
              <w:rPr>
                <w:sz w:val="18"/>
                <w:szCs w:val="18"/>
                <w:color w:val="auto"/>
              </w:rPr>
            </w:pPr>
          </w:p>
        </w:tc>
        <w:tc>
          <w:tcPr>
            <w:tcW w:w="4940" w:type="dxa"/>
            <w:vAlign w:val="bottom"/>
            <w:shd w:val="clear" w:color="auto" w:fill="FDFDFC"/>
          </w:tcPr>
          <w:p>
            <w:pPr>
              <w:spacing w:after="0" w:line="217" w:lineRule="exact"/>
              <w:rPr>
                <w:sz w:val="20"/>
                <w:szCs w:val="20"/>
                <w:color w:val="auto"/>
              </w:rPr>
            </w:pPr>
            <w:r>
              <w:rPr>
                <w:rFonts w:ascii="Times New Roman" w:cs="Times New Roman" w:eastAsia="Times New Roman" w:hAnsi="Times New Roman"/>
                <w:sz w:val="19"/>
                <w:szCs w:val="19"/>
                <w:color w:val="231F20"/>
              </w:rPr>
              <w:t>Net realized gains (losses) on foreign currency borrowings</w:t>
            </w:r>
          </w:p>
        </w:tc>
        <w:tc>
          <w:tcPr>
            <w:tcW w:w="460" w:type="dxa"/>
            <w:vAlign w:val="bottom"/>
            <w:shd w:val="clear" w:color="auto" w:fill="FDFDFC"/>
          </w:tcPr>
          <w:p>
            <w:pPr>
              <w:spacing w:after="0"/>
              <w:rPr>
                <w:sz w:val="18"/>
                <w:szCs w:val="18"/>
                <w:color w:val="auto"/>
              </w:rPr>
            </w:pPr>
          </w:p>
        </w:tc>
        <w:tc>
          <w:tcPr>
            <w:tcW w:w="240" w:type="dxa"/>
            <w:vAlign w:val="bottom"/>
            <w:shd w:val="clear" w:color="auto" w:fill="FDFDFC"/>
          </w:tcPr>
          <w:p>
            <w:pPr>
              <w:spacing w:after="0"/>
              <w:rPr>
                <w:sz w:val="18"/>
                <w:szCs w:val="18"/>
                <w:color w:val="auto"/>
              </w:rPr>
            </w:pPr>
          </w:p>
        </w:tc>
        <w:tc>
          <w:tcPr>
            <w:tcW w:w="840" w:type="dxa"/>
            <w:vAlign w:val="bottom"/>
            <w:shd w:val="clear" w:color="auto" w:fill="FDFDFC"/>
          </w:tcPr>
          <w:p>
            <w:pPr>
              <w:jc w:val="right"/>
              <w:spacing w:after="0" w:line="217" w:lineRule="exact"/>
              <w:rPr>
                <w:sz w:val="20"/>
                <w:szCs w:val="20"/>
                <w:color w:val="auto"/>
              </w:rPr>
            </w:pPr>
            <w:r>
              <w:rPr>
                <w:rFonts w:ascii="Times New Roman" w:cs="Times New Roman" w:eastAsia="Times New Roman" w:hAnsi="Times New Roman"/>
                <w:sz w:val="19"/>
                <w:szCs w:val="19"/>
                <w:color w:val="231F20"/>
              </w:rPr>
              <w:t>5.1</w:t>
            </w:r>
          </w:p>
        </w:tc>
        <w:tc>
          <w:tcPr>
            <w:tcW w:w="100" w:type="dxa"/>
            <w:vAlign w:val="bottom"/>
            <w:shd w:val="clear" w:color="auto" w:fill="FDFDFC"/>
          </w:tcPr>
          <w:p>
            <w:pPr>
              <w:spacing w:after="0"/>
              <w:rPr>
                <w:sz w:val="18"/>
                <w:szCs w:val="18"/>
                <w:color w:val="auto"/>
              </w:rPr>
            </w:pPr>
          </w:p>
        </w:tc>
        <w:tc>
          <w:tcPr>
            <w:tcW w:w="120" w:type="dxa"/>
            <w:vAlign w:val="bottom"/>
            <w:shd w:val="clear" w:color="auto" w:fill="FDFDFC"/>
          </w:tcPr>
          <w:p>
            <w:pPr>
              <w:spacing w:after="0"/>
              <w:rPr>
                <w:sz w:val="18"/>
                <w:szCs w:val="18"/>
                <w:color w:val="auto"/>
              </w:rPr>
            </w:pPr>
          </w:p>
        </w:tc>
        <w:tc>
          <w:tcPr>
            <w:tcW w:w="240" w:type="dxa"/>
            <w:vAlign w:val="bottom"/>
            <w:shd w:val="clear" w:color="auto" w:fill="FDFDFC"/>
          </w:tcPr>
          <w:p>
            <w:pPr>
              <w:spacing w:after="0"/>
              <w:rPr>
                <w:sz w:val="18"/>
                <w:szCs w:val="18"/>
                <w:color w:val="auto"/>
              </w:rPr>
            </w:pPr>
          </w:p>
        </w:tc>
        <w:tc>
          <w:tcPr>
            <w:tcW w:w="840" w:type="dxa"/>
            <w:vAlign w:val="bottom"/>
            <w:shd w:val="clear" w:color="auto" w:fill="FDFDFC"/>
          </w:tcPr>
          <w:p>
            <w:pPr>
              <w:jc w:val="right"/>
              <w:spacing w:after="0" w:line="217" w:lineRule="exact"/>
              <w:rPr>
                <w:sz w:val="20"/>
                <w:szCs w:val="20"/>
                <w:color w:val="auto"/>
              </w:rPr>
            </w:pPr>
            <w:r>
              <w:rPr>
                <w:rFonts w:ascii="Times New Roman" w:cs="Times New Roman" w:eastAsia="Times New Roman" w:hAnsi="Times New Roman"/>
                <w:sz w:val="19"/>
                <w:szCs w:val="19"/>
                <w:color w:val="231F20"/>
              </w:rPr>
              <w:t>0.5</w:t>
            </w:r>
          </w:p>
        </w:tc>
        <w:tc>
          <w:tcPr>
            <w:tcW w:w="100" w:type="dxa"/>
            <w:vAlign w:val="bottom"/>
            <w:shd w:val="clear" w:color="auto" w:fill="FDFDFC"/>
          </w:tcPr>
          <w:p>
            <w:pPr>
              <w:spacing w:after="0"/>
              <w:rPr>
                <w:sz w:val="18"/>
                <w:szCs w:val="18"/>
                <w:color w:val="auto"/>
              </w:rPr>
            </w:pPr>
          </w:p>
        </w:tc>
        <w:tc>
          <w:tcPr>
            <w:tcW w:w="120" w:type="dxa"/>
            <w:vAlign w:val="bottom"/>
            <w:shd w:val="clear" w:color="auto" w:fill="FDFDFC"/>
          </w:tcPr>
          <w:p>
            <w:pPr>
              <w:spacing w:after="0"/>
              <w:rPr>
                <w:sz w:val="18"/>
                <w:szCs w:val="18"/>
                <w:color w:val="auto"/>
              </w:rPr>
            </w:pPr>
          </w:p>
        </w:tc>
        <w:tc>
          <w:tcPr>
            <w:tcW w:w="380" w:type="dxa"/>
            <w:vAlign w:val="bottom"/>
            <w:shd w:val="clear" w:color="auto" w:fill="FDFDFC"/>
          </w:tcPr>
          <w:p>
            <w:pPr>
              <w:spacing w:after="0"/>
              <w:rPr>
                <w:sz w:val="18"/>
                <w:szCs w:val="18"/>
                <w:color w:val="auto"/>
              </w:rPr>
            </w:pPr>
          </w:p>
        </w:tc>
        <w:tc>
          <w:tcPr>
            <w:tcW w:w="700" w:type="dxa"/>
            <w:vAlign w:val="bottom"/>
            <w:shd w:val="clear" w:color="auto" w:fill="FDFDFC"/>
          </w:tcPr>
          <w:p>
            <w:pPr>
              <w:jc w:val="right"/>
              <w:spacing w:after="0" w:line="217" w:lineRule="exact"/>
              <w:rPr>
                <w:sz w:val="20"/>
                <w:szCs w:val="20"/>
                <w:color w:val="auto"/>
              </w:rPr>
            </w:pPr>
            <w:r>
              <w:rPr>
                <w:rFonts w:ascii="Times New Roman" w:cs="Times New Roman" w:eastAsia="Times New Roman" w:hAnsi="Times New Roman"/>
                <w:sz w:val="19"/>
                <w:szCs w:val="19"/>
                <w:color w:val="231F20"/>
              </w:rPr>
              <w:t>0.5</w:t>
            </w:r>
          </w:p>
        </w:tc>
        <w:tc>
          <w:tcPr>
            <w:tcW w:w="100" w:type="dxa"/>
            <w:vAlign w:val="bottom"/>
            <w:shd w:val="clear" w:color="auto" w:fill="FDFDFC"/>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60" w:type="dxa"/>
            <w:vAlign w:val="bottom"/>
          </w:tcPr>
          <w:p>
            <w:pPr>
              <w:spacing w:after="0"/>
              <w:rPr>
                <w:sz w:val="18"/>
                <w:szCs w:val="18"/>
                <w:color w:val="auto"/>
              </w:rPr>
            </w:pPr>
          </w:p>
        </w:tc>
        <w:tc>
          <w:tcPr>
            <w:tcW w:w="4940" w:type="dxa"/>
            <w:vAlign w:val="bottom"/>
            <w:shd w:val="clear" w:color="auto" w:fill="D0EBF2"/>
          </w:tcPr>
          <w:p>
            <w:pPr>
              <w:spacing w:after="0" w:line="217" w:lineRule="exact"/>
              <w:rPr>
                <w:sz w:val="20"/>
                <w:szCs w:val="20"/>
                <w:color w:val="auto"/>
              </w:rPr>
            </w:pPr>
            <w:r>
              <w:rPr>
                <w:rFonts w:ascii="Times New Roman" w:cs="Times New Roman" w:eastAsia="Times New Roman" w:hAnsi="Times New Roman"/>
                <w:sz w:val="19"/>
                <w:szCs w:val="19"/>
                <w:color w:val="231F20"/>
              </w:rPr>
              <w:t>Net realized gains (losses) on interest rate swaps</w:t>
            </w:r>
          </w:p>
        </w:tc>
        <w:tc>
          <w:tcPr>
            <w:tcW w:w="460" w:type="dxa"/>
            <w:vAlign w:val="bottom"/>
            <w:shd w:val="clear" w:color="auto" w:fill="D0EBF2"/>
          </w:tcPr>
          <w:p>
            <w:pPr>
              <w:spacing w:after="0"/>
              <w:rPr>
                <w:sz w:val="18"/>
                <w:szCs w:val="18"/>
                <w:color w:val="auto"/>
              </w:rPr>
            </w:pPr>
          </w:p>
        </w:tc>
        <w:tc>
          <w:tcPr>
            <w:tcW w:w="240" w:type="dxa"/>
            <w:vAlign w:val="bottom"/>
            <w:shd w:val="clear" w:color="auto" w:fill="D0EBF2"/>
          </w:tcPr>
          <w:p>
            <w:pPr>
              <w:spacing w:after="0"/>
              <w:rPr>
                <w:sz w:val="18"/>
                <w:szCs w:val="18"/>
                <w:color w:val="auto"/>
              </w:rPr>
            </w:pPr>
          </w:p>
        </w:tc>
        <w:tc>
          <w:tcPr>
            <w:tcW w:w="940" w:type="dxa"/>
            <w:vAlign w:val="bottom"/>
            <w:gridSpan w:val="2"/>
            <w:shd w:val="clear" w:color="auto" w:fill="D0EBF2"/>
          </w:tcPr>
          <w:p>
            <w:pPr>
              <w:jc w:val="right"/>
              <w:ind w:right="120"/>
              <w:spacing w:after="0" w:line="217" w:lineRule="exact"/>
              <w:rPr>
                <w:sz w:val="20"/>
                <w:szCs w:val="20"/>
                <w:color w:val="auto"/>
              </w:rPr>
            </w:pPr>
            <w:r>
              <w:rPr>
                <w:rFonts w:ascii="Times New Roman" w:cs="Times New Roman" w:eastAsia="Times New Roman" w:hAnsi="Times New Roman"/>
                <w:sz w:val="19"/>
                <w:szCs w:val="19"/>
                <w:color w:val="231F20"/>
              </w:rPr>
              <w:t>—</w:t>
            </w:r>
          </w:p>
        </w:tc>
        <w:tc>
          <w:tcPr>
            <w:tcW w:w="120" w:type="dxa"/>
            <w:vAlign w:val="bottom"/>
            <w:shd w:val="clear" w:color="auto" w:fill="D0EBF2"/>
          </w:tcPr>
          <w:p>
            <w:pPr>
              <w:spacing w:after="0"/>
              <w:rPr>
                <w:sz w:val="18"/>
                <w:szCs w:val="18"/>
                <w:color w:val="auto"/>
              </w:rPr>
            </w:pPr>
          </w:p>
        </w:tc>
        <w:tc>
          <w:tcPr>
            <w:tcW w:w="240" w:type="dxa"/>
            <w:vAlign w:val="bottom"/>
            <w:shd w:val="clear" w:color="auto" w:fill="D0EBF2"/>
          </w:tcPr>
          <w:p>
            <w:pPr>
              <w:spacing w:after="0"/>
              <w:rPr>
                <w:sz w:val="18"/>
                <w:szCs w:val="18"/>
                <w:color w:val="auto"/>
              </w:rPr>
            </w:pPr>
          </w:p>
        </w:tc>
        <w:tc>
          <w:tcPr>
            <w:tcW w:w="940" w:type="dxa"/>
            <w:vAlign w:val="bottom"/>
            <w:gridSpan w:val="2"/>
            <w:shd w:val="clear" w:color="auto" w:fill="D0EBF2"/>
          </w:tcPr>
          <w:p>
            <w:pPr>
              <w:jc w:val="right"/>
              <w:ind w:right="120"/>
              <w:spacing w:after="0" w:line="217" w:lineRule="exact"/>
              <w:rPr>
                <w:sz w:val="20"/>
                <w:szCs w:val="20"/>
                <w:color w:val="auto"/>
              </w:rPr>
            </w:pPr>
            <w:r>
              <w:rPr>
                <w:rFonts w:ascii="Times New Roman" w:cs="Times New Roman" w:eastAsia="Times New Roman" w:hAnsi="Times New Roman"/>
                <w:sz w:val="19"/>
                <w:szCs w:val="19"/>
                <w:color w:val="231F20"/>
              </w:rPr>
              <w:t>—</w:t>
            </w:r>
          </w:p>
        </w:tc>
        <w:tc>
          <w:tcPr>
            <w:tcW w:w="120" w:type="dxa"/>
            <w:vAlign w:val="bottom"/>
            <w:shd w:val="clear" w:color="auto" w:fill="D0EBF2"/>
          </w:tcPr>
          <w:p>
            <w:pPr>
              <w:spacing w:after="0"/>
              <w:rPr>
                <w:sz w:val="18"/>
                <w:szCs w:val="18"/>
                <w:color w:val="auto"/>
              </w:rPr>
            </w:pPr>
          </w:p>
        </w:tc>
        <w:tc>
          <w:tcPr>
            <w:tcW w:w="380" w:type="dxa"/>
            <w:vAlign w:val="bottom"/>
            <w:shd w:val="clear" w:color="auto" w:fill="D0EBF2"/>
          </w:tcPr>
          <w:p>
            <w:pPr>
              <w:spacing w:after="0"/>
              <w:rPr>
                <w:sz w:val="18"/>
                <w:szCs w:val="18"/>
                <w:color w:val="auto"/>
              </w:rPr>
            </w:pPr>
          </w:p>
        </w:tc>
        <w:tc>
          <w:tcPr>
            <w:tcW w:w="700" w:type="dxa"/>
            <w:vAlign w:val="bottom"/>
            <w:shd w:val="clear" w:color="auto" w:fill="D0EBF2"/>
          </w:tcPr>
          <w:p>
            <w:pPr>
              <w:jc w:val="right"/>
              <w:spacing w:after="0" w:line="217" w:lineRule="exact"/>
              <w:rPr>
                <w:sz w:val="20"/>
                <w:szCs w:val="20"/>
                <w:color w:val="auto"/>
              </w:rPr>
            </w:pPr>
            <w:r>
              <w:rPr>
                <w:rFonts w:ascii="Times New Roman" w:cs="Times New Roman" w:eastAsia="Times New Roman" w:hAnsi="Times New Roman"/>
                <w:sz w:val="19"/>
                <w:szCs w:val="19"/>
                <w:color w:val="231F20"/>
              </w:rPr>
              <w:t>2.3</w:t>
            </w:r>
          </w:p>
        </w:tc>
        <w:tc>
          <w:tcPr>
            <w:tcW w:w="100" w:type="dxa"/>
            <w:vAlign w:val="bottom"/>
            <w:shd w:val="clear" w:color="auto" w:fill="D0EBF2"/>
          </w:tcPr>
          <w:p>
            <w:pPr>
              <w:spacing w:after="0"/>
              <w:rPr>
                <w:sz w:val="18"/>
                <w:szCs w:val="18"/>
                <w:color w:val="auto"/>
              </w:rPr>
            </w:pPr>
          </w:p>
        </w:tc>
        <w:tc>
          <w:tcPr>
            <w:tcW w:w="0" w:type="dxa"/>
            <w:vAlign w:val="bottom"/>
          </w:tcPr>
          <w:p>
            <w:pPr>
              <w:spacing w:after="0"/>
              <w:rPr>
                <w:sz w:val="1"/>
                <w:szCs w:val="1"/>
                <w:color w:val="auto"/>
              </w:rPr>
            </w:pPr>
          </w:p>
        </w:tc>
      </w:tr>
      <w:tr>
        <w:trPr>
          <w:trHeight w:val="247"/>
        </w:trPr>
        <w:tc>
          <w:tcPr>
            <w:tcW w:w="60" w:type="dxa"/>
            <w:vAlign w:val="bottom"/>
          </w:tcPr>
          <w:p>
            <w:pPr>
              <w:spacing w:after="0"/>
              <w:rPr>
                <w:sz w:val="21"/>
                <w:szCs w:val="21"/>
                <w:color w:val="auto"/>
              </w:rPr>
            </w:pPr>
          </w:p>
        </w:tc>
        <w:tc>
          <w:tcPr>
            <w:tcW w:w="4940" w:type="dxa"/>
            <w:vAlign w:val="bottom"/>
            <w:tcBorders>
              <w:top w:val="single" w:sz="8" w:color="FDFDFC"/>
              <w:bottom w:val="single" w:sz="8" w:color="D0EBF2"/>
            </w:tcBorders>
            <w:shd w:val="clear" w:color="auto" w:fill="FDFDFC"/>
          </w:tcPr>
          <w:p>
            <w:pPr>
              <w:spacing w:after="0" w:line="206" w:lineRule="exact"/>
              <w:rPr>
                <w:sz w:val="20"/>
                <w:szCs w:val="20"/>
                <w:color w:val="auto"/>
              </w:rPr>
            </w:pPr>
            <w:r>
              <w:rPr>
                <w:rFonts w:ascii="Times New Roman" w:cs="Times New Roman" w:eastAsia="Times New Roman" w:hAnsi="Times New Roman"/>
                <w:sz w:val="19"/>
                <w:szCs w:val="19"/>
                <w:b w:val="1"/>
                <w:bCs w:val="1"/>
                <w:color w:val="231F20"/>
              </w:rPr>
              <w:t>Net Realized Gains (Losses)</w:t>
            </w:r>
          </w:p>
        </w:tc>
        <w:tc>
          <w:tcPr>
            <w:tcW w:w="460" w:type="dxa"/>
            <w:vAlign w:val="bottom"/>
            <w:tcBorders>
              <w:top w:val="single" w:sz="8" w:color="FDFDFC"/>
              <w:bottom w:val="single" w:sz="8" w:color="D0EBF2"/>
            </w:tcBorders>
            <w:shd w:val="clear" w:color="auto" w:fill="FDFDFC"/>
          </w:tcPr>
          <w:p>
            <w:pPr>
              <w:spacing w:after="0"/>
              <w:rPr>
                <w:sz w:val="21"/>
                <w:szCs w:val="21"/>
                <w:color w:val="auto"/>
              </w:rPr>
            </w:pPr>
          </w:p>
        </w:tc>
        <w:tc>
          <w:tcPr>
            <w:tcW w:w="240" w:type="dxa"/>
            <w:vAlign w:val="bottom"/>
            <w:tcBorders>
              <w:top w:val="single" w:sz="8" w:color="231F20"/>
              <w:bottom w:val="single" w:sz="8" w:color="231F20"/>
            </w:tcBorders>
            <w:shd w:val="clear" w:color="auto" w:fill="FDFDFC"/>
          </w:tcPr>
          <w:p>
            <w:pPr>
              <w:jc w:val="right"/>
              <w:ind w:right="46"/>
              <w:spacing w:after="0" w:line="206" w:lineRule="exact"/>
              <w:rPr>
                <w:sz w:val="20"/>
                <w:szCs w:val="20"/>
                <w:color w:val="auto"/>
              </w:rPr>
            </w:pPr>
            <w:r>
              <w:rPr>
                <w:rFonts w:ascii="Times New Roman" w:cs="Times New Roman" w:eastAsia="Times New Roman" w:hAnsi="Times New Roman"/>
                <w:sz w:val="19"/>
                <w:szCs w:val="19"/>
                <w:color w:val="231F20"/>
                <w:w w:val="83"/>
              </w:rPr>
              <w:t>$</w:t>
            </w:r>
          </w:p>
        </w:tc>
        <w:tc>
          <w:tcPr>
            <w:tcW w:w="840" w:type="dxa"/>
            <w:vAlign w:val="bottom"/>
            <w:tcBorders>
              <w:top w:val="single" w:sz="8" w:color="231F20"/>
              <w:bottom w:val="single" w:sz="8" w:color="231F20"/>
            </w:tcBorders>
            <w:shd w:val="clear" w:color="auto" w:fill="FDFDFC"/>
          </w:tcPr>
          <w:p>
            <w:pPr>
              <w:jc w:val="right"/>
              <w:spacing w:after="0" w:line="206" w:lineRule="exact"/>
              <w:rPr>
                <w:sz w:val="20"/>
                <w:szCs w:val="20"/>
                <w:color w:val="auto"/>
              </w:rPr>
            </w:pPr>
            <w:r>
              <w:rPr>
                <w:rFonts w:ascii="Times New Roman" w:cs="Times New Roman" w:eastAsia="Times New Roman" w:hAnsi="Times New Roman"/>
                <w:sz w:val="19"/>
                <w:szCs w:val="19"/>
                <w:color w:val="231F20"/>
              </w:rPr>
              <w:t>8.6</w:t>
            </w:r>
          </w:p>
        </w:tc>
        <w:tc>
          <w:tcPr>
            <w:tcW w:w="100" w:type="dxa"/>
            <w:vAlign w:val="bottom"/>
            <w:tcBorders>
              <w:top w:val="single" w:sz="8" w:color="FDFDFC"/>
              <w:bottom w:val="single" w:sz="8" w:color="D0EBF2"/>
            </w:tcBorders>
            <w:shd w:val="clear" w:color="auto" w:fill="FDFDFC"/>
          </w:tcPr>
          <w:p>
            <w:pPr>
              <w:spacing w:after="0"/>
              <w:rPr>
                <w:sz w:val="21"/>
                <w:szCs w:val="21"/>
                <w:color w:val="auto"/>
              </w:rPr>
            </w:pPr>
          </w:p>
        </w:tc>
        <w:tc>
          <w:tcPr>
            <w:tcW w:w="120" w:type="dxa"/>
            <w:vAlign w:val="bottom"/>
            <w:tcBorders>
              <w:top w:val="single" w:sz="8" w:color="FDFDFC"/>
              <w:bottom w:val="single" w:sz="8" w:color="D0EBF2"/>
            </w:tcBorders>
            <w:shd w:val="clear" w:color="auto" w:fill="FDFDFC"/>
          </w:tcPr>
          <w:p>
            <w:pPr>
              <w:spacing w:after="0"/>
              <w:rPr>
                <w:sz w:val="21"/>
                <w:szCs w:val="21"/>
                <w:color w:val="auto"/>
              </w:rPr>
            </w:pPr>
          </w:p>
        </w:tc>
        <w:tc>
          <w:tcPr>
            <w:tcW w:w="240" w:type="dxa"/>
            <w:vAlign w:val="bottom"/>
            <w:tcBorders>
              <w:top w:val="single" w:sz="8" w:color="231F20"/>
              <w:bottom w:val="single" w:sz="8" w:color="231F20"/>
            </w:tcBorders>
            <w:shd w:val="clear" w:color="auto" w:fill="FDFDFC"/>
          </w:tcPr>
          <w:p>
            <w:pPr>
              <w:jc w:val="right"/>
              <w:ind w:right="46"/>
              <w:spacing w:after="0" w:line="206" w:lineRule="exact"/>
              <w:rPr>
                <w:sz w:val="20"/>
                <w:szCs w:val="20"/>
                <w:color w:val="auto"/>
              </w:rPr>
            </w:pPr>
            <w:r>
              <w:rPr>
                <w:rFonts w:ascii="Times New Roman" w:cs="Times New Roman" w:eastAsia="Times New Roman" w:hAnsi="Times New Roman"/>
                <w:sz w:val="19"/>
                <w:szCs w:val="19"/>
                <w:color w:val="231F20"/>
                <w:w w:val="83"/>
              </w:rPr>
              <w:t>$</w:t>
            </w:r>
          </w:p>
        </w:tc>
        <w:tc>
          <w:tcPr>
            <w:tcW w:w="840" w:type="dxa"/>
            <w:vAlign w:val="bottom"/>
            <w:tcBorders>
              <w:top w:val="single" w:sz="8" w:color="231F20"/>
              <w:bottom w:val="single" w:sz="8" w:color="231F20"/>
            </w:tcBorders>
            <w:shd w:val="clear" w:color="auto" w:fill="FDFDFC"/>
          </w:tcPr>
          <w:p>
            <w:pPr>
              <w:jc w:val="right"/>
              <w:spacing w:after="0" w:line="206" w:lineRule="exact"/>
              <w:rPr>
                <w:sz w:val="20"/>
                <w:szCs w:val="20"/>
                <w:color w:val="auto"/>
              </w:rPr>
            </w:pPr>
            <w:r>
              <w:rPr>
                <w:rFonts w:ascii="Times New Roman" w:cs="Times New Roman" w:eastAsia="Times New Roman" w:hAnsi="Times New Roman"/>
                <w:sz w:val="19"/>
                <w:szCs w:val="19"/>
                <w:color w:val="231F20"/>
              </w:rPr>
              <w:t>12.4</w:t>
            </w:r>
          </w:p>
        </w:tc>
        <w:tc>
          <w:tcPr>
            <w:tcW w:w="100" w:type="dxa"/>
            <w:vAlign w:val="bottom"/>
            <w:tcBorders>
              <w:top w:val="single" w:sz="8" w:color="FDFDFC"/>
              <w:bottom w:val="single" w:sz="8" w:color="D0EBF2"/>
            </w:tcBorders>
            <w:shd w:val="clear" w:color="auto" w:fill="FDFDFC"/>
          </w:tcPr>
          <w:p>
            <w:pPr>
              <w:spacing w:after="0"/>
              <w:rPr>
                <w:sz w:val="21"/>
                <w:szCs w:val="21"/>
                <w:color w:val="auto"/>
              </w:rPr>
            </w:pPr>
          </w:p>
        </w:tc>
        <w:tc>
          <w:tcPr>
            <w:tcW w:w="120" w:type="dxa"/>
            <w:vAlign w:val="bottom"/>
            <w:tcBorders>
              <w:top w:val="single" w:sz="8" w:color="FDFDFC"/>
              <w:bottom w:val="single" w:sz="8" w:color="D0EBF2"/>
            </w:tcBorders>
            <w:shd w:val="clear" w:color="auto" w:fill="FDFDFC"/>
          </w:tcPr>
          <w:p>
            <w:pPr>
              <w:spacing w:after="0"/>
              <w:rPr>
                <w:sz w:val="21"/>
                <w:szCs w:val="21"/>
                <w:color w:val="auto"/>
              </w:rPr>
            </w:pPr>
          </w:p>
        </w:tc>
        <w:tc>
          <w:tcPr>
            <w:tcW w:w="380" w:type="dxa"/>
            <w:vAlign w:val="bottom"/>
            <w:tcBorders>
              <w:top w:val="single" w:sz="8" w:color="231F20"/>
              <w:bottom w:val="single" w:sz="8" w:color="231F20"/>
            </w:tcBorders>
            <w:shd w:val="clear" w:color="auto" w:fill="FDFDFC"/>
          </w:tcPr>
          <w:p>
            <w:pPr>
              <w:jc w:val="right"/>
              <w:ind w:right="216"/>
              <w:spacing w:after="0"/>
              <w:rPr>
                <w:sz w:val="20"/>
                <w:szCs w:val="20"/>
                <w:color w:val="auto"/>
              </w:rPr>
            </w:pPr>
            <w:r>
              <w:rPr>
                <w:rFonts w:ascii="Times New Roman" w:cs="Times New Roman" w:eastAsia="Times New Roman" w:hAnsi="Times New Roman"/>
                <w:sz w:val="17"/>
                <w:szCs w:val="17"/>
                <w:color w:val="231F20"/>
                <w:w w:val="70"/>
              </w:rPr>
              <w:t>$</w:t>
            </w:r>
          </w:p>
        </w:tc>
        <w:tc>
          <w:tcPr>
            <w:tcW w:w="700" w:type="dxa"/>
            <w:vAlign w:val="bottom"/>
            <w:tcBorders>
              <w:top w:val="single" w:sz="8" w:color="231F20"/>
              <w:bottom w:val="single" w:sz="8" w:color="231F20"/>
            </w:tcBorders>
            <w:shd w:val="clear" w:color="auto" w:fill="FDFDFC"/>
          </w:tcPr>
          <w:p>
            <w:pPr>
              <w:jc w:val="right"/>
              <w:spacing w:after="0" w:line="206" w:lineRule="exact"/>
              <w:rPr>
                <w:sz w:val="20"/>
                <w:szCs w:val="20"/>
                <w:color w:val="auto"/>
              </w:rPr>
            </w:pPr>
            <w:r>
              <w:rPr>
                <w:rFonts w:ascii="Times New Roman" w:cs="Times New Roman" w:eastAsia="Times New Roman" w:hAnsi="Times New Roman"/>
                <w:sz w:val="19"/>
                <w:szCs w:val="19"/>
                <w:color w:val="231F20"/>
              </w:rPr>
              <w:t>16.7</w:t>
            </w:r>
          </w:p>
        </w:tc>
        <w:tc>
          <w:tcPr>
            <w:tcW w:w="100" w:type="dxa"/>
            <w:vAlign w:val="bottom"/>
            <w:tcBorders>
              <w:top w:val="single" w:sz="8" w:color="FDFDFC"/>
              <w:bottom w:val="single" w:sz="8" w:color="D0EBF2"/>
            </w:tcBorders>
            <w:shd w:val="clear" w:color="auto" w:fill="FDFDFC"/>
          </w:tcPr>
          <w:p>
            <w:pPr>
              <w:spacing w:after="0"/>
              <w:rPr>
                <w:sz w:val="21"/>
                <w:szCs w:val="21"/>
                <w:color w:val="auto"/>
              </w:rPr>
            </w:pPr>
          </w:p>
        </w:tc>
        <w:tc>
          <w:tcPr>
            <w:tcW w:w="0" w:type="dxa"/>
            <w:vAlign w:val="bottom"/>
          </w:tcPr>
          <w:p>
            <w:pPr>
              <w:spacing w:after="0"/>
              <w:rPr>
                <w:sz w:val="1"/>
                <w:szCs w:val="1"/>
                <w:color w:val="auto"/>
              </w:rPr>
            </w:pPr>
          </w:p>
        </w:tc>
      </w:tr>
      <w:tr>
        <w:trPr>
          <w:trHeight w:val="200"/>
        </w:trPr>
        <w:tc>
          <w:tcPr>
            <w:tcW w:w="60" w:type="dxa"/>
            <w:vAlign w:val="bottom"/>
          </w:tcPr>
          <w:p>
            <w:pPr>
              <w:spacing w:after="0"/>
              <w:rPr>
                <w:sz w:val="17"/>
                <w:szCs w:val="17"/>
                <w:color w:val="auto"/>
              </w:rPr>
            </w:pPr>
          </w:p>
        </w:tc>
        <w:tc>
          <w:tcPr>
            <w:tcW w:w="4940" w:type="dxa"/>
            <w:vAlign w:val="bottom"/>
            <w:shd w:val="clear" w:color="auto" w:fill="D0EBF2"/>
          </w:tcPr>
          <w:p>
            <w:pPr>
              <w:spacing w:after="0"/>
              <w:rPr>
                <w:sz w:val="17"/>
                <w:szCs w:val="17"/>
                <w:color w:val="auto"/>
              </w:rPr>
            </w:pPr>
          </w:p>
        </w:tc>
        <w:tc>
          <w:tcPr>
            <w:tcW w:w="460" w:type="dxa"/>
            <w:vAlign w:val="bottom"/>
            <w:shd w:val="clear" w:color="auto" w:fill="D0EBF2"/>
          </w:tcPr>
          <w:p>
            <w:pPr>
              <w:spacing w:after="0"/>
              <w:rPr>
                <w:sz w:val="17"/>
                <w:szCs w:val="17"/>
                <w:color w:val="auto"/>
              </w:rPr>
            </w:pPr>
          </w:p>
        </w:tc>
        <w:tc>
          <w:tcPr>
            <w:tcW w:w="240" w:type="dxa"/>
            <w:vAlign w:val="bottom"/>
            <w:shd w:val="clear" w:color="auto" w:fill="D0EBF2"/>
          </w:tcPr>
          <w:p>
            <w:pPr>
              <w:spacing w:after="0"/>
              <w:rPr>
                <w:sz w:val="17"/>
                <w:szCs w:val="17"/>
                <w:color w:val="auto"/>
              </w:rPr>
            </w:pPr>
          </w:p>
        </w:tc>
        <w:tc>
          <w:tcPr>
            <w:tcW w:w="840" w:type="dxa"/>
            <w:vAlign w:val="bottom"/>
            <w:shd w:val="clear" w:color="auto" w:fill="D0EBF2"/>
          </w:tcPr>
          <w:p>
            <w:pPr>
              <w:spacing w:after="0"/>
              <w:rPr>
                <w:sz w:val="17"/>
                <w:szCs w:val="17"/>
                <w:color w:val="auto"/>
              </w:rPr>
            </w:pPr>
          </w:p>
        </w:tc>
        <w:tc>
          <w:tcPr>
            <w:tcW w:w="100" w:type="dxa"/>
            <w:vAlign w:val="bottom"/>
            <w:shd w:val="clear" w:color="auto" w:fill="D0EBF2"/>
          </w:tcPr>
          <w:p>
            <w:pPr>
              <w:spacing w:after="0"/>
              <w:rPr>
                <w:sz w:val="17"/>
                <w:szCs w:val="17"/>
                <w:color w:val="auto"/>
              </w:rPr>
            </w:pPr>
          </w:p>
        </w:tc>
        <w:tc>
          <w:tcPr>
            <w:tcW w:w="120" w:type="dxa"/>
            <w:vAlign w:val="bottom"/>
            <w:shd w:val="clear" w:color="auto" w:fill="D0EBF2"/>
          </w:tcPr>
          <w:p>
            <w:pPr>
              <w:spacing w:after="0"/>
              <w:rPr>
                <w:sz w:val="17"/>
                <w:szCs w:val="17"/>
                <w:color w:val="auto"/>
              </w:rPr>
            </w:pPr>
          </w:p>
        </w:tc>
        <w:tc>
          <w:tcPr>
            <w:tcW w:w="240" w:type="dxa"/>
            <w:vAlign w:val="bottom"/>
            <w:shd w:val="clear" w:color="auto" w:fill="D0EBF2"/>
          </w:tcPr>
          <w:p>
            <w:pPr>
              <w:spacing w:after="0"/>
              <w:rPr>
                <w:sz w:val="17"/>
                <w:szCs w:val="17"/>
                <w:color w:val="auto"/>
              </w:rPr>
            </w:pPr>
          </w:p>
        </w:tc>
        <w:tc>
          <w:tcPr>
            <w:tcW w:w="840" w:type="dxa"/>
            <w:vAlign w:val="bottom"/>
            <w:shd w:val="clear" w:color="auto" w:fill="D0EBF2"/>
          </w:tcPr>
          <w:p>
            <w:pPr>
              <w:spacing w:after="0"/>
              <w:rPr>
                <w:sz w:val="17"/>
                <w:szCs w:val="17"/>
                <w:color w:val="auto"/>
              </w:rPr>
            </w:pPr>
          </w:p>
        </w:tc>
        <w:tc>
          <w:tcPr>
            <w:tcW w:w="100" w:type="dxa"/>
            <w:vAlign w:val="bottom"/>
            <w:shd w:val="clear" w:color="auto" w:fill="D0EBF2"/>
          </w:tcPr>
          <w:p>
            <w:pPr>
              <w:spacing w:after="0"/>
              <w:rPr>
                <w:sz w:val="17"/>
                <w:szCs w:val="17"/>
                <w:color w:val="auto"/>
              </w:rPr>
            </w:pPr>
          </w:p>
        </w:tc>
        <w:tc>
          <w:tcPr>
            <w:tcW w:w="120" w:type="dxa"/>
            <w:vAlign w:val="bottom"/>
            <w:shd w:val="clear" w:color="auto" w:fill="D0EBF2"/>
          </w:tcPr>
          <w:p>
            <w:pPr>
              <w:spacing w:after="0"/>
              <w:rPr>
                <w:sz w:val="17"/>
                <w:szCs w:val="17"/>
                <w:color w:val="auto"/>
              </w:rPr>
            </w:pPr>
          </w:p>
        </w:tc>
        <w:tc>
          <w:tcPr>
            <w:tcW w:w="380" w:type="dxa"/>
            <w:vAlign w:val="bottom"/>
            <w:shd w:val="clear" w:color="auto" w:fill="D0EBF2"/>
          </w:tcPr>
          <w:p>
            <w:pPr>
              <w:spacing w:after="0"/>
              <w:rPr>
                <w:sz w:val="17"/>
                <w:szCs w:val="17"/>
                <w:color w:val="auto"/>
              </w:rPr>
            </w:pPr>
          </w:p>
        </w:tc>
        <w:tc>
          <w:tcPr>
            <w:tcW w:w="700" w:type="dxa"/>
            <w:vAlign w:val="bottom"/>
            <w:shd w:val="clear" w:color="auto" w:fill="D0EBF2"/>
          </w:tcPr>
          <w:p>
            <w:pPr>
              <w:spacing w:after="0"/>
              <w:rPr>
                <w:sz w:val="17"/>
                <w:szCs w:val="17"/>
                <w:color w:val="auto"/>
              </w:rPr>
            </w:pPr>
          </w:p>
        </w:tc>
        <w:tc>
          <w:tcPr>
            <w:tcW w:w="100" w:type="dxa"/>
            <w:vAlign w:val="bottom"/>
            <w:shd w:val="clear" w:color="auto" w:fill="D0EBF2"/>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60" w:type="dxa"/>
            <w:vAlign w:val="bottom"/>
          </w:tcPr>
          <w:p>
            <w:pPr>
              <w:spacing w:after="0"/>
              <w:rPr>
                <w:sz w:val="18"/>
                <w:szCs w:val="18"/>
                <w:color w:val="auto"/>
              </w:rPr>
            </w:pPr>
          </w:p>
        </w:tc>
        <w:tc>
          <w:tcPr>
            <w:tcW w:w="4940" w:type="dxa"/>
            <w:vAlign w:val="bottom"/>
            <w:shd w:val="clear" w:color="auto" w:fill="FDFDFC"/>
          </w:tcPr>
          <w:p>
            <w:pPr>
              <w:spacing w:after="0" w:line="217" w:lineRule="exact"/>
              <w:rPr>
                <w:sz w:val="20"/>
                <w:szCs w:val="20"/>
                <w:color w:val="auto"/>
              </w:rPr>
            </w:pPr>
            <w:r>
              <w:rPr>
                <w:rFonts w:ascii="Times New Roman" w:cs="Times New Roman" w:eastAsia="Times New Roman" w:hAnsi="Times New Roman"/>
                <w:sz w:val="19"/>
                <w:szCs w:val="19"/>
                <w:color w:val="231F20"/>
              </w:rPr>
              <w:t>Change in unrealized gains on investments</w:t>
            </w:r>
          </w:p>
        </w:tc>
        <w:tc>
          <w:tcPr>
            <w:tcW w:w="460" w:type="dxa"/>
            <w:vAlign w:val="bottom"/>
            <w:shd w:val="clear" w:color="auto" w:fill="FDFDFC"/>
          </w:tcPr>
          <w:p>
            <w:pPr>
              <w:spacing w:after="0"/>
              <w:rPr>
                <w:sz w:val="18"/>
                <w:szCs w:val="18"/>
                <w:color w:val="auto"/>
              </w:rPr>
            </w:pPr>
          </w:p>
        </w:tc>
        <w:tc>
          <w:tcPr>
            <w:tcW w:w="240" w:type="dxa"/>
            <w:vAlign w:val="bottom"/>
            <w:shd w:val="clear" w:color="auto" w:fill="FDFDFC"/>
          </w:tcPr>
          <w:p>
            <w:pPr>
              <w:jc w:val="right"/>
              <w:ind w:right="46"/>
              <w:spacing w:after="0" w:line="217" w:lineRule="exact"/>
              <w:rPr>
                <w:sz w:val="20"/>
                <w:szCs w:val="20"/>
                <w:color w:val="auto"/>
              </w:rPr>
            </w:pPr>
            <w:r>
              <w:rPr>
                <w:rFonts w:ascii="Times New Roman" w:cs="Times New Roman" w:eastAsia="Times New Roman" w:hAnsi="Times New Roman"/>
                <w:sz w:val="19"/>
                <w:szCs w:val="19"/>
                <w:color w:val="231F20"/>
                <w:w w:val="83"/>
              </w:rPr>
              <w:t>$</w:t>
            </w:r>
          </w:p>
        </w:tc>
        <w:tc>
          <w:tcPr>
            <w:tcW w:w="840" w:type="dxa"/>
            <w:vAlign w:val="bottom"/>
            <w:shd w:val="clear" w:color="auto" w:fill="FDFDFC"/>
          </w:tcPr>
          <w:p>
            <w:pPr>
              <w:jc w:val="right"/>
              <w:spacing w:after="0" w:line="217" w:lineRule="exact"/>
              <w:rPr>
                <w:sz w:val="20"/>
                <w:szCs w:val="20"/>
                <w:color w:val="auto"/>
              </w:rPr>
            </w:pPr>
            <w:r>
              <w:rPr>
                <w:rFonts w:ascii="Times New Roman" w:cs="Times New Roman" w:eastAsia="Times New Roman" w:hAnsi="Times New Roman"/>
                <w:sz w:val="19"/>
                <w:szCs w:val="19"/>
                <w:color w:val="231F20"/>
              </w:rPr>
              <w:t>48.9</w:t>
            </w:r>
          </w:p>
        </w:tc>
        <w:tc>
          <w:tcPr>
            <w:tcW w:w="100" w:type="dxa"/>
            <w:vAlign w:val="bottom"/>
            <w:shd w:val="clear" w:color="auto" w:fill="FDFDFC"/>
          </w:tcPr>
          <w:p>
            <w:pPr>
              <w:spacing w:after="0"/>
              <w:rPr>
                <w:sz w:val="18"/>
                <w:szCs w:val="18"/>
                <w:color w:val="auto"/>
              </w:rPr>
            </w:pPr>
          </w:p>
        </w:tc>
        <w:tc>
          <w:tcPr>
            <w:tcW w:w="120" w:type="dxa"/>
            <w:vAlign w:val="bottom"/>
            <w:shd w:val="clear" w:color="auto" w:fill="FDFDFC"/>
          </w:tcPr>
          <w:p>
            <w:pPr>
              <w:spacing w:after="0"/>
              <w:rPr>
                <w:sz w:val="18"/>
                <w:szCs w:val="18"/>
                <w:color w:val="auto"/>
              </w:rPr>
            </w:pPr>
          </w:p>
        </w:tc>
        <w:tc>
          <w:tcPr>
            <w:tcW w:w="240" w:type="dxa"/>
            <w:vAlign w:val="bottom"/>
            <w:shd w:val="clear" w:color="auto" w:fill="FDFDFC"/>
          </w:tcPr>
          <w:p>
            <w:pPr>
              <w:jc w:val="right"/>
              <w:ind w:right="46"/>
              <w:spacing w:after="0" w:line="217" w:lineRule="exact"/>
              <w:rPr>
                <w:sz w:val="20"/>
                <w:szCs w:val="20"/>
                <w:color w:val="auto"/>
              </w:rPr>
            </w:pPr>
            <w:r>
              <w:rPr>
                <w:rFonts w:ascii="Times New Roman" w:cs="Times New Roman" w:eastAsia="Times New Roman" w:hAnsi="Times New Roman"/>
                <w:sz w:val="19"/>
                <w:szCs w:val="19"/>
                <w:color w:val="231F20"/>
                <w:w w:val="83"/>
              </w:rPr>
              <w:t>$</w:t>
            </w:r>
          </w:p>
        </w:tc>
        <w:tc>
          <w:tcPr>
            <w:tcW w:w="840" w:type="dxa"/>
            <w:vAlign w:val="bottom"/>
            <w:shd w:val="clear" w:color="auto" w:fill="FDFDFC"/>
          </w:tcPr>
          <w:p>
            <w:pPr>
              <w:jc w:val="right"/>
              <w:spacing w:after="0" w:line="217" w:lineRule="exact"/>
              <w:rPr>
                <w:sz w:val="20"/>
                <w:szCs w:val="20"/>
                <w:color w:val="auto"/>
              </w:rPr>
            </w:pPr>
            <w:r>
              <w:rPr>
                <w:rFonts w:ascii="Times New Roman" w:cs="Times New Roman" w:eastAsia="Times New Roman" w:hAnsi="Times New Roman"/>
                <w:sz w:val="19"/>
                <w:szCs w:val="19"/>
                <w:color w:val="231F20"/>
              </w:rPr>
              <w:t>75.3</w:t>
            </w:r>
          </w:p>
        </w:tc>
        <w:tc>
          <w:tcPr>
            <w:tcW w:w="100" w:type="dxa"/>
            <w:vAlign w:val="bottom"/>
            <w:shd w:val="clear" w:color="auto" w:fill="FDFDFC"/>
          </w:tcPr>
          <w:p>
            <w:pPr>
              <w:spacing w:after="0"/>
              <w:rPr>
                <w:sz w:val="18"/>
                <w:szCs w:val="18"/>
                <w:color w:val="auto"/>
              </w:rPr>
            </w:pPr>
          </w:p>
        </w:tc>
        <w:tc>
          <w:tcPr>
            <w:tcW w:w="120" w:type="dxa"/>
            <w:vAlign w:val="bottom"/>
            <w:shd w:val="clear" w:color="auto" w:fill="FDFDFC"/>
          </w:tcPr>
          <w:p>
            <w:pPr>
              <w:spacing w:after="0"/>
              <w:rPr>
                <w:sz w:val="18"/>
                <w:szCs w:val="18"/>
                <w:color w:val="auto"/>
              </w:rPr>
            </w:pPr>
          </w:p>
        </w:tc>
        <w:tc>
          <w:tcPr>
            <w:tcW w:w="380" w:type="dxa"/>
            <w:vAlign w:val="bottom"/>
            <w:shd w:val="clear" w:color="auto" w:fill="FDFDFC"/>
          </w:tcPr>
          <w:p>
            <w:pPr>
              <w:jc w:val="right"/>
              <w:ind w:right="216"/>
              <w:spacing w:after="0"/>
              <w:rPr>
                <w:sz w:val="20"/>
                <w:szCs w:val="20"/>
                <w:color w:val="auto"/>
              </w:rPr>
            </w:pPr>
            <w:r>
              <w:rPr>
                <w:rFonts w:ascii="Times New Roman" w:cs="Times New Roman" w:eastAsia="Times New Roman" w:hAnsi="Times New Roman"/>
                <w:sz w:val="17"/>
                <w:szCs w:val="17"/>
                <w:color w:val="231F20"/>
                <w:w w:val="70"/>
              </w:rPr>
              <w:t>$</w:t>
            </w:r>
          </w:p>
        </w:tc>
        <w:tc>
          <w:tcPr>
            <w:tcW w:w="700" w:type="dxa"/>
            <w:vAlign w:val="bottom"/>
            <w:shd w:val="clear" w:color="auto" w:fill="FDFDFC"/>
          </w:tcPr>
          <w:p>
            <w:pPr>
              <w:jc w:val="right"/>
              <w:spacing w:after="0" w:line="217" w:lineRule="exact"/>
              <w:rPr>
                <w:sz w:val="20"/>
                <w:szCs w:val="20"/>
                <w:color w:val="auto"/>
              </w:rPr>
            </w:pPr>
            <w:r>
              <w:rPr>
                <w:rFonts w:ascii="Times New Roman" w:cs="Times New Roman" w:eastAsia="Times New Roman" w:hAnsi="Times New Roman"/>
                <w:sz w:val="19"/>
                <w:szCs w:val="19"/>
                <w:color w:val="231F20"/>
              </w:rPr>
              <w:t>22.3</w:t>
            </w:r>
          </w:p>
        </w:tc>
        <w:tc>
          <w:tcPr>
            <w:tcW w:w="100" w:type="dxa"/>
            <w:vAlign w:val="bottom"/>
            <w:shd w:val="clear" w:color="auto" w:fill="FDFDFC"/>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60" w:type="dxa"/>
            <w:vAlign w:val="bottom"/>
          </w:tcPr>
          <w:p>
            <w:pPr>
              <w:spacing w:after="0"/>
              <w:rPr>
                <w:sz w:val="20"/>
                <w:szCs w:val="20"/>
                <w:color w:val="auto"/>
              </w:rPr>
            </w:pPr>
          </w:p>
        </w:tc>
        <w:tc>
          <w:tcPr>
            <w:tcW w:w="4940" w:type="dxa"/>
            <w:vAlign w:val="bottom"/>
            <w:shd w:val="clear" w:color="auto" w:fill="D0EBF2"/>
          </w:tcPr>
          <w:p>
            <w:pPr>
              <w:spacing w:after="0" w:line="217" w:lineRule="exact"/>
              <w:rPr>
                <w:sz w:val="20"/>
                <w:szCs w:val="20"/>
                <w:color w:val="auto"/>
              </w:rPr>
            </w:pPr>
            <w:r>
              <w:rPr>
                <w:rFonts w:ascii="Times New Roman" w:cs="Times New Roman" w:eastAsia="Times New Roman" w:hAnsi="Times New Roman"/>
                <w:sz w:val="19"/>
                <w:szCs w:val="19"/>
                <w:color w:val="231F20"/>
              </w:rPr>
              <w:t>Change in unrealized (losses) on investments</w:t>
            </w:r>
          </w:p>
        </w:tc>
        <w:tc>
          <w:tcPr>
            <w:tcW w:w="460" w:type="dxa"/>
            <w:vAlign w:val="bottom"/>
            <w:shd w:val="clear" w:color="auto" w:fill="D0EBF2"/>
          </w:tcPr>
          <w:p>
            <w:pPr>
              <w:spacing w:after="0"/>
              <w:rPr>
                <w:sz w:val="20"/>
                <w:szCs w:val="20"/>
                <w:color w:val="auto"/>
              </w:rPr>
            </w:pPr>
          </w:p>
        </w:tc>
        <w:tc>
          <w:tcPr>
            <w:tcW w:w="240" w:type="dxa"/>
            <w:vAlign w:val="bottom"/>
            <w:shd w:val="clear" w:color="auto" w:fill="D0EBF2"/>
          </w:tcPr>
          <w:p>
            <w:pPr>
              <w:spacing w:after="0"/>
              <w:rPr>
                <w:sz w:val="20"/>
                <w:szCs w:val="20"/>
                <w:color w:val="auto"/>
              </w:rPr>
            </w:pPr>
          </w:p>
        </w:tc>
        <w:tc>
          <w:tcPr>
            <w:tcW w:w="940" w:type="dxa"/>
            <w:vAlign w:val="bottom"/>
            <w:gridSpan w:val="2"/>
            <w:shd w:val="clear" w:color="auto" w:fill="D0EBF2"/>
          </w:tcPr>
          <w:p>
            <w:pPr>
              <w:jc w:val="right"/>
              <w:ind w:right="40"/>
              <w:spacing w:after="0" w:line="217" w:lineRule="exact"/>
              <w:rPr>
                <w:sz w:val="20"/>
                <w:szCs w:val="20"/>
                <w:color w:val="auto"/>
              </w:rPr>
            </w:pPr>
            <w:r>
              <w:rPr>
                <w:rFonts w:ascii="Times New Roman" w:cs="Times New Roman" w:eastAsia="Times New Roman" w:hAnsi="Times New Roman"/>
                <w:sz w:val="19"/>
                <w:szCs w:val="19"/>
                <w:color w:val="231F20"/>
              </w:rPr>
              <w:t>(101.7)</w:t>
            </w:r>
          </w:p>
        </w:tc>
        <w:tc>
          <w:tcPr>
            <w:tcW w:w="120" w:type="dxa"/>
            <w:vAlign w:val="bottom"/>
            <w:shd w:val="clear" w:color="auto" w:fill="D0EBF2"/>
          </w:tcPr>
          <w:p>
            <w:pPr>
              <w:spacing w:after="0"/>
              <w:rPr>
                <w:sz w:val="20"/>
                <w:szCs w:val="20"/>
                <w:color w:val="auto"/>
              </w:rPr>
            </w:pPr>
          </w:p>
        </w:tc>
        <w:tc>
          <w:tcPr>
            <w:tcW w:w="240" w:type="dxa"/>
            <w:vAlign w:val="bottom"/>
            <w:shd w:val="clear" w:color="auto" w:fill="D0EBF2"/>
          </w:tcPr>
          <w:p>
            <w:pPr>
              <w:spacing w:after="0"/>
              <w:rPr>
                <w:sz w:val="20"/>
                <w:szCs w:val="20"/>
                <w:color w:val="auto"/>
              </w:rPr>
            </w:pPr>
          </w:p>
        </w:tc>
        <w:tc>
          <w:tcPr>
            <w:tcW w:w="940" w:type="dxa"/>
            <w:vAlign w:val="bottom"/>
            <w:gridSpan w:val="2"/>
            <w:shd w:val="clear" w:color="auto" w:fill="D0EBF2"/>
          </w:tcPr>
          <w:p>
            <w:pPr>
              <w:jc w:val="right"/>
              <w:ind w:right="40"/>
              <w:spacing w:after="0" w:line="217" w:lineRule="exact"/>
              <w:rPr>
                <w:sz w:val="20"/>
                <w:szCs w:val="20"/>
                <w:color w:val="auto"/>
              </w:rPr>
            </w:pPr>
            <w:r>
              <w:rPr>
                <w:rFonts w:ascii="Times New Roman" w:cs="Times New Roman" w:eastAsia="Times New Roman" w:hAnsi="Times New Roman"/>
                <w:sz w:val="19"/>
                <w:szCs w:val="19"/>
                <w:color w:val="231F20"/>
              </w:rPr>
              <w:t>(56.4)</w:t>
            </w:r>
          </w:p>
        </w:tc>
        <w:tc>
          <w:tcPr>
            <w:tcW w:w="120" w:type="dxa"/>
            <w:vAlign w:val="bottom"/>
            <w:shd w:val="clear" w:color="auto" w:fill="D0EBF2"/>
          </w:tcPr>
          <w:p>
            <w:pPr>
              <w:spacing w:after="0"/>
              <w:rPr>
                <w:sz w:val="20"/>
                <w:szCs w:val="20"/>
                <w:color w:val="auto"/>
              </w:rPr>
            </w:pPr>
          </w:p>
        </w:tc>
        <w:tc>
          <w:tcPr>
            <w:tcW w:w="380" w:type="dxa"/>
            <w:vAlign w:val="bottom"/>
            <w:shd w:val="clear" w:color="auto" w:fill="D0EBF2"/>
          </w:tcPr>
          <w:p>
            <w:pPr>
              <w:spacing w:after="0"/>
              <w:rPr>
                <w:sz w:val="20"/>
                <w:szCs w:val="20"/>
                <w:color w:val="auto"/>
              </w:rPr>
            </w:pPr>
          </w:p>
        </w:tc>
        <w:tc>
          <w:tcPr>
            <w:tcW w:w="800" w:type="dxa"/>
            <w:vAlign w:val="bottom"/>
            <w:gridSpan w:val="2"/>
            <w:shd w:val="clear" w:color="auto" w:fill="D0EBF2"/>
          </w:tcPr>
          <w:p>
            <w:pPr>
              <w:jc w:val="right"/>
              <w:ind w:right="40"/>
              <w:spacing w:after="0" w:line="217" w:lineRule="exact"/>
              <w:rPr>
                <w:sz w:val="20"/>
                <w:szCs w:val="20"/>
                <w:color w:val="auto"/>
              </w:rPr>
            </w:pPr>
            <w:r>
              <w:rPr>
                <w:rFonts w:ascii="Times New Roman" w:cs="Times New Roman" w:eastAsia="Times New Roman" w:hAnsi="Times New Roman"/>
                <w:sz w:val="19"/>
                <w:szCs w:val="19"/>
                <w:color w:val="231F20"/>
              </w:rPr>
              <w:t>(98.7)</w:t>
            </w:r>
          </w:p>
        </w:tc>
        <w:tc>
          <w:tcPr>
            <w:tcW w:w="0" w:type="dxa"/>
            <w:vAlign w:val="bottom"/>
          </w:tcPr>
          <w:p>
            <w:pPr>
              <w:spacing w:after="0"/>
              <w:rPr>
                <w:sz w:val="1"/>
                <w:szCs w:val="1"/>
                <w:color w:val="auto"/>
              </w:rPr>
            </w:pPr>
          </w:p>
        </w:tc>
      </w:tr>
      <w:tr>
        <w:trPr>
          <w:trHeight w:val="165"/>
        </w:trPr>
        <w:tc>
          <w:tcPr>
            <w:tcW w:w="60" w:type="dxa"/>
            <w:vAlign w:val="bottom"/>
          </w:tcPr>
          <w:p>
            <w:pPr>
              <w:spacing w:after="0"/>
              <w:rPr>
                <w:sz w:val="14"/>
                <w:szCs w:val="14"/>
                <w:color w:val="auto"/>
              </w:rPr>
            </w:pPr>
          </w:p>
        </w:tc>
        <w:tc>
          <w:tcPr>
            <w:tcW w:w="4940" w:type="dxa"/>
            <w:vAlign w:val="bottom"/>
            <w:tcBorders>
              <w:top w:val="single" w:sz="8" w:color="D0EBF2"/>
            </w:tcBorders>
            <w:shd w:val="clear" w:color="auto" w:fill="FDFDFC"/>
          </w:tcPr>
          <w:p>
            <w:pPr>
              <w:spacing w:after="0" w:line="164" w:lineRule="exact"/>
              <w:rPr>
                <w:sz w:val="20"/>
                <w:szCs w:val="20"/>
                <w:color w:val="auto"/>
              </w:rPr>
            </w:pPr>
            <w:r>
              <w:rPr>
                <w:rFonts w:ascii="Times New Roman" w:cs="Times New Roman" w:eastAsia="Times New Roman" w:hAnsi="Times New Roman"/>
                <w:sz w:val="19"/>
                <w:szCs w:val="19"/>
                <w:b w:val="1"/>
                <w:bCs w:val="1"/>
                <w:color w:val="231F20"/>
              </w:rPr>
              <w:t>Net Change in Unrealized Gains (Losses) on</w:t>
            </w:r>
          </w:p>
        </w:tc>
        <w:tc>
          <w:tcPr>
            <w:tcW w:w="460" w:type="dxa"/>
            <w:vAlign w:val="bottom"/>
            <w:tcBorders>
              <w:top w:val="single" w:sz="8" w:color="D0EBF2"/>
            </w:tcBorders>
            <w:shd w:val="clear" w:color="auto" w:fill="FDFDFC"/>
          </w:tcPr>
          <w:p>
            <w:pPr>
              <w:spacing w:after="0"/>
              <w:rPr>
                <w:sz w:val="14"/>
                <w:szCs w:val="14"/>
                <w:color w:val="auto"/>
              </w:rPr>
            </w:pPr>
          </w:p>
        </w:tc>
        <w:tc>
          <w:tcPr>
            <w:tcW w:w="240" w:type="dxa"/>
            <w:vAlign w:val="bottom"/>
            <w:tcBorders>
              <w:top w:val="single" w:sz="8" w:color="231F20"/>
            </w:tcBorders>
            <w:shd w:val="clear" w:color="auto" w:fill="FDFDFC"/>
          </w:tcPr>
          <w:p>
            <w:pPr>
              <w:spacing w:after="0"/>
              <w:rPr>
                <w:sz w:val="14"/>
                <w:szCs w:val="14"/>
                <w:color w:val="auto"/>
              </w:rPr>
            </w:pPr>
          </w:p>
        </w:tc>
        <w:tc>
          <w:tcPr>
            <w:tcW w:w="840" w:type="dxa"/>
            <w:vAlign w:val="bottom"/>
            <w:tcBorders>
              <w:top w:val="single" w:sz="8" w:color="231F20"/>
            </w:tcBorders>
            <w:shd w:val="clear" w:color="auto" w:fill="FDFDFC"/>
          </w:tcPr>
          <w:p>
            <w:pPr>
              <w:spacing w:after="0"/>
              <w:rPr>
                <w:sz w:val="14"/>
                <w:szCs w:val="14"/>
                <w:color w:val="auto"/>
              </w:rPr>
            </w:pPr>
          </w:p>
        </w:tc>
        <w:tc>
          <w:tcPr>
            <w:tcW w:w="100" w:type="dxa"/>
            <w:vAlign w:val="bottom"/>
            <w:tcBorders>
              <w:top w:val="single" w:sz="8" w:color="D0EBF2"/>
            </w:tcBorders>
            <w:shd w:val="clear" w:color="auto" w:fill="FDFDFC"/>
          </w:tcPr>
          <w:p>
            <w:pPr>
              <w:spacing w:after="0"/>
              <w:rPr>
                <w:sz w:val="14"/>
                <w:szCs w:val="14"/>
                <w:color w:val="auto"/>
              </w:rPr>
            </w:pPr>
          </w:p>
        </w:tc>
        <w:tc>
          <w:tcPr>
            <w:tcW w:w="120" w:type="dxa"/>
            <w:vAlign w:val="bottom"/>
            <w:tcBorders>
              <w:top w:val="single" w:sz="8" w:color="D0EBF2"/>
            </w:tcBorders>
            <w:shd w:val="clear" w:color="auto" w:fill="FDFDFC"/>
          </w:tcPr>
          <w:p>
            <w:pPr>
              <w:spacing w:after="0"/>
              <w:rPr>
                <w:sz w:val="14"/>
                <w:szCs w:val="14"/>
                <w:color w:val="auto"/>
              </w:rPr>
            </w:pPr>
          </w:p>
        </w:tc>
        <w:tc>
          <w:tcPr>
            <w:tcW w:w="240" w:type="dxa"/>
            <w:vAlign w:val="bottom"/>
            <w:tcBorders>
              <w:top w:val="single" w:sz="8" w:color="231F20"/>
            </w:tcBorders>
            <w:shd w:val="clear" w:color="auto" w:fill="FDFDFC"/>
          </w:tcPr>
          <w:p>
            <w:pPr>
              <w:spacing w:after="0"/>
              <w:rPr>
                <w:sz w:val="14"/>
                <w:szCs w:val="14"/>
                <w:color w:val="auto"/>
              </w:rPr>
            </w:pPr>
          </w:p>
        </w:tc>
        <w:tc>
          <w:tcPr>
            <w:tcW w:w="840" w:type="dxa"/>
            <w:vAlign w:val="bottom"/>
            <w:tcBorders>
              <w:top w:val="single" w:sz="8" w:color="231F20"/>
            </w:tcBorders>
            <w:shd w:val="clear" w:color="auto" w:fill="FDFDFC"/>
          </w:tcPr>
          <w:p>
            <w:pPr>
              <w:spacing w:after="0"/>
              <w:rPr>
                <w:sz w:val="14"/>
                <w:szCs w:val="14"/>
                <w:color w:val="auto"/>
              </w:rPr>
            </w:pPr>
          </w:p>
        </w:tc>
        <w:tc>
          <w:tcPr>
            <w:tcW w:w="100" w:type="dxa"/>
            <w:vAlign w:val="bottom"/>
            <w:tcBorders>
              <w:top w:val="single" w:sz="8" w:color="D0EBF2"/>
            </w:tcBorders>
            <w:shd w:val="clear" w:color="auto" w:fill="FDFDFC"/>
          </w:tcPr>
          <w:p>
            <w:pPr>
              <w:spacing w:after="0"/>
              <w:rPr>
                <w:sz w:val="14"/>
                <w:szCs w:val="14"/>
                <w:color w:val="auto"/>
              </w:rPr>
            </w:pPr>
          </w:p>
        </w:tc>
        <w:tc>
          <w:tcPr>
            <w:tcW w:w="120" w:type="dxa"/>
            <w:vAlign w:val="bottom"/>
            <w:tcBorders>
              <w:top w:val="single" w:sz="8" w:color="D0EBF2"/>
            </w:tcBorders>
            <w:shd w:val="clear" w:color="auto" w:fill="FDFDFC"/>
          </w:tcPr>
          <w:p>
            <w:pPr>
              <w:spacing w:after="0"/>
              <w:rPr>
                <w:sz w:val="14"/>
                <w:szCs w:val="14"/>
                <w:color w:val="auto"/>
              </w:rPr>
            </w:pPr>
          </w:p>
        </w:tc>
        <w:tc>
          <w:tcPr>
            <w:tcW w:w="380" w:type="dxa"/>
            <w:vAlign w:val="bottom"/>
            <w:tcBorders>
              <w:top w:val="single" w:sz="8" w:color="231F20"/>
            </w:tcBorders>
            <w:shd w:val="clear" w:color="auto" w:fill="FDFDFC"/>
          </w:tcPr>
          <w:p>
            <w:pPr>
              <w:spacing w:after="0"/>
              <w:rPr>
                <w:sz w:val="14"/>
                <w:szCs w:val="14"/>
                <w:color w:val="auto"/>
              </w:rPr>
            </w:pPr>
          </w:p>
        </w:tc>
        <w:tc>
          <w:tcPr>
            <w:tcW w:w="700" w:type="dxa"/>
            <w:vAlign w:val="bottom"/>
            <w:tcBorders>
              <w:top w:val="single" w:sz="8" w:color="231F20"/>
            </w:tcBorders>
            <w:shd w:val="clear" w:color="auto" w:fill="FDFDFC"/>
          </w:tcPr>
          <w:p>
            <w:pPr>
              <w:spacing w:after="0"/>
              <w:rPr>
                <w:sz w:val="14"/>
                <w:szCs w:val="14"/>
                <w:color w:val="auto"/>
              </w:rPr>
            </w:pPr>
          </w:p>
        </w:tc>
        <w:tc>
          <w:tcPr>
            <w:tcW w:w="100" w:type="dxa"/>
            <w:vAlign w:val="bottom"/>
            <w:tcBorders>
              <w:top w:val="single" w:sz="8" w:color="D0EBF2"/>
            </w:tcBorders>
            <w:shd w:val="clear" w:color="auto" w:fill="FDFDFC"/>
          </w:tcPr>
          <w:p>
            <w:pPr>
              <w:spacing w:after="0"/>
              <w:rPr>
                <w:sz w:val="14"/>
                <w:szCs w:val="14"/>
                <w:color w:val="auto"/>
              </w:rPr>
            </w:pPr>
          </w:p>
        </w:tc>
        <w:tc>
          <w:tcPr>
            <w:tcW w:w="0" w:type="dxa"/>
            <w:vAlign w:val="bottom"/>
          </w:tcPr>
          <w:p>
            <w:pPr>
              <w:spacing w:after="0"/>
              <w:rPr>
                <w:sz w:val="1"/>
                <w:szCs w:val="1"/>
                <w:color w:val="auto"/>
              </w:rPr>
            </w:pPr>
          </w:p>
        </w:tc>
      </w:tr>
      <w:tr>
        <w:trPr>
          <w:trHeight w:val="239"/>
        </w:trPr>
        <w:tc>
          <w:tcPr>
            <w:tcW w:w="60" w:type="dxa"/>
            <w:vAlign w:val="bottom"/>
          </w:tcPr>
          <w:p>
            <w:pPr>
              <w:spacing w:after="0"/>
              <w:rPr>
                <w:sz w:val="20"/>
                <w:szCs w:val="20"/>
                <w:color w:val="auto"/>
              </w:rPr>
            </w:pPr>
          </w:p>
        </w:tc>
        <w:tc>
          <w:tcPr>
            <w:tcW w:w="4940" w:type="dxa"/>
            <w:vAlign w:val="bottom"/>
            <w:shd w:val="clear" w:color="auto" w:fill="FDFDFC"/>
          </w:tcPr>
          <w:p>
            <w:pPr>
              <w:ind w:left="140"/>
              <w:spacing w:after="0"/>
              <w:rPr>
                <w:sz w:val="20"/>
                <w:szCs w:val="20"/>
                <w:color w:val="auto"/>
              </w:rPr>
            </w:pPr>
            <w:r>
              <w:rPr>
                <w:rFonts w:ascii="Times New Roman" w:cs="Times New Roman" w:eastAsia="Times New Roman" w:hAnsi="Times New Roman"/>
                <w:sz w:val="19"/>
                <w:szCs w:val="19"/>
                <w:b w:val="1"/>
                <w:bCs w:val="1"/>
                <w:color w:val="231F20"/>
              </w:rPr>
              <w:t>Investments</w:t>
            </w:r>
          </w:p>
        </w:tc>
        <w:tc>
          <w:tcPr>
            <w:tcW w:w="460" w:type="dxa"/>
            <w:vAlign w:val="bottom"/>
            <w:shd w:val="clear" w:color="auto" w:fill="FDFDFC"/>
          </w:tcPr>
          <w:p>
            <w:pPr>
              <w:spacing w:after="0"/>
              <w:rPr>
                <w:sz w:val="20"/>
                <w:szCs w:val="20"/>
                <w:color w:val="auto"/>
              </w:rPr>
            </w:pPr>
          </w:p>
        </w:tc>
        <w:tc>
          <w:tcPr>
            <w:tcW w:w="240" w:type="dxa"/>
            <w:vAlign w:val="bottom"/>
            <w:shd w:val="clear" w:color="auto" w:fill="FDFDFC"/>
          </w:tcPr>
          <w:p>
            <w:pPr>
              <w:jc w:val="right"/>
              <w:ind w:right="46"/>
              <w:spacing w:after="0"/>
              <w:rPr>
                <w:sz w:val="20"/>
                <w:szCs w:val="20"/>
                <w:color w:val="auto"/>
              </w:rPr>
            </w:pPr>
            <w:r>
              <w:rPr>
                <w:rFonts w:ascii="Times New Roman" w:cs="Times New Roman" w:eastAsia="Times New Roman" w:hAnsi="Times New Roman"/>
                <w:sz w:val="19"/>
                <w:szCs w:val="19"/>
                <w:color w:val="231F20"/>
                <w:w w:val="83"/>
              </w:rPr>
              <w:t>$</w:t>
            </w:r>
          </w:p>
        </w:tc>
        <w:tc>
          <w:tcPr>
            <w:tcW w:w="840" w:type="dxa"/>
            <w:vAlign w:val="bottom"/>
            <w:shd w:val="clear" w:color="auto" w:fill="FDFDFC"/>
          </w:tcPr>
          <w:p>
            <w:pPr>
              <w:jc w:val="right"/>
              <w:spacing w:after="0"/>
              <w:rPr>
                <w:sz w:val="20"/>
                <w:szCs w:val="20"/>
                <w:color w:val="auto"/>
              </w:rPr>
            </w:pPr>
            <w:r>
              <w:rPr>
                <w:rFonts w:ascii="Times New Roman" w:cs="Times New Roman" w:eastAsia="Times New Roman" w:hAnsi="Times New Roman"/>
                <w:sz w:val="19"/>
                <w:szCs w:val="19"/>
                <w:color w:val="231F20"/>
              </w:rPr>
              <w:t>(52.8)</w:t>
            </w:r>
          </w:p>
        </w:tc>
        <w:tc>
          <w:tcPr>
            <w:tcW w:w="100" w:type="dxa"/>
            <w:vAlign w:val="bottom"/>
            <w:shd w:val="clear" w:color="auto" w:fill="FDFDFC"/>
          </w:tcPr>
          <w:p>
            <w:pPr>
              <w:spacing w:after="0"/>
              <w:rPr>
                <w:sz w:val="20"/>
                <w:szCs w:val="20"/>
                <w:color w:val="auto"/>
              </w:rPr>
            </w:pPr>
          </w:p>
        </w:tc>
        <w:tc>
          <w:tcPr>
            <w:tcW w:w="120" w:type="dxa"/>
            <w:vAlign w:val="bottom"/>
            <w:shd w:val="clear" w:color="auto" w:fill="FDFDFC"/>
          </w:tcPr>
          <w:p>
            <w:pPr>
              <w:spacing w:after="0"/>
              <w:rPr>
                <w:sz w:val="20"/>
                <w:szCs w:val="20"/>
                <w:color w:val="auto"/>
              </w:rPr>
            </w:pPr>
          </w:p>
        </w:tc>
        <w:tc>
          <w:tcPr>
            <w:tcW w:w="240" w:type="dxa"/>
            <w:vAlign w:val="bottom"/>
            <w:shd w:val="clear" w:color="auto" w:fill="FDFDFC"/>
          </w:tcPr>
          <w:p>
            <w:pPr>
              <w:jc w:val="right"/>
              <w:ind w:right="46"/>
              <w:spacing w:after="0"/>
              <w:rPr>
                <w:sz w:val="20"/>
                <w:szCs w:val="20"/>
                <w:color w:val="auto"/>
              </w:rPr>
            </w:pPr>
            <w:r>
              <w:rPr>
                <w:rFonts w:ascii="Times New Roman" w:cs="Times New Roman" w:eastAsia="Times New Roman" w:hAnsi="Times New Roman"/>
                <w:sz w:val="19"/>
                <w:szCs w:val="19"/>
                <w:color w:val="231F20"/>
                <w:w w:val="83"/>
              </w:rPr>
              <w:t>$</w:t>
            </w:r>
          </w:p>
        </w:tc>
        <w:tc>
          <w:tcPr>
            <w:tcW w:w="840" w:type="dxa"/>
            <w:vAlign w:val="bottom"/>
            <w:shd w:val="clear" w:color="auto" w:fill="FDFDFC"/>
          </w:tcPr>
          <w:p>
            <w:pPr>
              <w:jc w:val="right"/>
              <w:spacing w:after="0"/>
              <w:rPr>
                <w:sz w:val="20"/>
                <w:szCs w:val="20"/>
                <w:color w:val="auto"/>
              </w:rPr>
            </w:pPr>
            <w:r>
              <w:rPr>
                <w:rFonts w:ascii="Times New Roman" w:cs="Times New Roman" w:eastAsia="Times New Roman" w:hAnsi="Times New Roman"/>
                <w:sz w:val="19"/>
                <w:szCs w:val="19"/>
                <w:color w:val="231F20"/>
              </w:rPr>
              <w:t>18.9</w:t>
            </w:r>
          </w:p>
        </w:tc>
        <w:tc>
          <w:tcPr>
            <w:tcW w:w="100" w:type="dxa"/>
            <w:vAlign w:val="bottom"/>
            <w:shd w:val="clear" w:color="auto" w:fill="FDFDFC"/>
          </w:tcPr>
          <w:p>
            <w:pPr>
              <w:spacing w:after="0"/>
              <w:rPr>
                <w:sz w:val="20"/>
                <w:szCs w:val="20"/>
                <w:color w:val="auto"/>
              </w:rPr>
            </w:pPr>
          </w:p>
        </w:tc>
        <w:tc>
          <w:tcPr>
            <w:tcW w:w="120" w:type="dxa"/>
            <w:vAlign w:val="bottom"/>
            <w:shd w:val="clear" w:color="auto" w:fill="FDFDFC"/>
          </w:tcPr>
          <w:p>
            <w:pPr>
              <w:spacing w:after="0"/>
              <w:rPr>
                <w:sz w:val="20"/>
                <w:szCs w:val="20"/>
                <w:color w:val="auto"/>
              </w:rPr>
            </w:pPr>
          </w:p>
        </w:tc>
        <w:tc>
          <w:tcPr>
            <w:tcW w:w="380" w:type="dxa"/>
            <w:vAlign w:val="bottom"/>
            <w:shd w:val="clear" w:color="auto" w:fill="FDFDFC"/>
          </w:tcPr>
          <w:p>
            <w:pPr>
              <w:jc w:val="right"/>
              <w:ind w:right="216"/>
              <w:spacing w:after="0"/>
              <w:rPr>
                <w:sz w:val="20"/>
                <w:szCs w:val="20"/>
                <w:color w:val="auto"/>
              </w:rPr>
            </w:pPr>
            <w:r>
              <w:rPr>
                <w:rFonts w:ascii="Times New Roman" w:cs="Times New Roman" w:eastAsia="Times New Roman" w:hAnsi="Times New Roman"/>
                <w:sz w:val="17"/>
                <w:szCs w:val="17"/>
                <w:color w:val="231F20"/>
                <w:w w:val="70"/>
              </w:rPr>
              <w:t>$</w:t>
            </w:r>
          </w:p>
        </w:tc>
        <w:tc>
          <w:tcPr>
            <w:tcW w:w="700" w:type="dxa"/>
            <w:vAlign w:val="bottom"/>
            <w:shd w:val="clear" w:color="auto" w:fill="FDFDFC"/>
          </w:tcPr>
          <w:p>
            <w:pPr>
              <w:jc w:val="right"/>
              <w:spacing w:after="0"/>
              <w:rPr>
                <w:sz w:val="20"/>
                <w:szCs w:val="20"/>
                <w:color w:val="auto"/>
              </w:rPr>
            </w:pPr>
            <w:r>
              <w:rPr>
                <w:rFonts w:ascii="Times New Roman" w:cs="Times New Roman" w:eastAsia="Times New Roman" w:hAnsi="Times New Roman"/>
                <w:sz w:val="19"/>
                <w:szCs w:val="19"/>
                <w:color w:val="231F20"/>
              </w:rPr>
              <w:t>(76.4)</w:t>
            </w:r>
          </w:p>
        </w:tc>
        <w:tc>
          <w:tcPr>
            <w:tcW w:w="100" w:type="dxa"/>
            <w:vAlign w:val="bottom"/>
            <w:shd w:val="clear" w:color="auto" w:fill="FDFDFC"/>
          </w:tcPr>
          <w:p>
            <w:pPr>
              <w:spacing w:after="0"/>
              <w:rPr>
                <w:sz w:val="20"/>
                <w:szCs w:val="20"/>
                <w:color w:val="auto"/>
              </w:rPr>
            </w:pPr>
          </w:p>
        </w:tc>
        <w:tc>
          <w:tcPr>
            <w:tcW w:w="0" w:type="dxa"/>
            <w:vAlign w:val="bottom"/>
          </w:tcPr>
          <w:p>
            <w:pPr>
              <w:spacing w:after="0"/>
              <w:rPr>
                <w:sz w:val="1"/>
                <w:szCs w:val="1"/>
                <w:color w:val="auto"/>
              </w:rPr>
            </w:pPr>
          </w:p>
        </w:tc>
      </w:tr>
      <w:tr>
        <w:trPr>
          <w:trHeight w:val="217"/>
        </w:trPr>
        <w:tc>
          <w:tcPr>
            <w:tcW w:w="60" w:type="dxa"/>
            <w:vAlign w:val="bottom"/>
          </w:tcPr>
          <w:p>
            <w:pPr>
              <w:spacing w:after="0"/>
              <w:rPr>
                <w:sz w:val="18"/>
                <w:szCs w:val="18"/>
                <w:color w:val="auto"/>
              </w:rPr>
            </w:pPr>
          </w:p>
        </w:tc>
        <w:tc>
          <w:tcPr>
            <w:tcW w:w="4940" w:type="dxa"/>
            <w:vAlign w:val="bottom"/>
            <w:shd w:val="clear" w:color="auto" w:fill="D0EBF2"/>
          </w:tcPr>
          <w:p>
            <w:pPr>
              <w:spacing w:after="0"/>
              <w:rPr>
                <w:sz w:val="18"/>
                <w:szCs w:val="18"/>
                <w:color w:val="auto"/>
              </w:rPr>
            </w:pPr>
          </w:p>
        </w:tc>
        <w:tc>
          <w:tcPr>
            <w:tcW w:w="460" w:type="dxa"/>
            <w:vAlign w:val="bottom"/>
            <w:shd w:val="clear" w:color="auto" w:fill="D0EBF2"/>
          </w:tcPr>
          <w:p>
            <w:pPr>
              <w:spacing w:after="0"/>
              <w:rPr>
                <w:sz w:val="18"/>
                <w:szCs w:val="18"/>
                <w:color w:val="auto"/>
              </w:rPr>
            </w:pPr>
          </w:p>
        </w:tc>
        <w:tc>
          <w:tcPr>
            <w:tcW w:w="240" w:type="dxa"/>
            <w:vAlign w:val="bottom"/>
            <w:shd w:val="clear" w:color="auto" w:fill="D0EBF2"/>
          </w:tcPr>
          <w:p>
            <w:pPr>
              <w:spacing w:after="0"/>
              <w:rPr>
                <w:sz w:val="18"/>
                <w:szCs w:val="18"/>
                <w:color w:val="auto"/>
              </w:rPr>
            </w:pPr>
          </w:p>
        </w:tc>
        <w:tc>
          <w:tcPr>
            <w:tcW w:w="840" w:type="dxa"/>
            <w:vAlign w:val="bottom"/>
            <w:shd w:val="clear" w:color="auto" w:fill="D0EBF2"/>
          </w:tcPr>
          <w:p>
            <w:pPr>
              <w:spacing w:after="0"/>
              <w:rPr>
                <w:sz w:val="18"/>
                <w:szCs w:val="18"/>
                <w:color w:val="auto"/>
              </w:rPr>
            </w:pPr>
          </w:p>
        </w:tc>
        <w:tc>
          <w:tcPr>
            <w:tcW w:w="100" w:type="dxa"/>
            <w:vAlign w:val="bottom"/>
            <w:shd w:val="clear" w:color="auto" w:fill="D0EBF2"/>
          </w:tcPr>
          <w:p>
            <w:pPr>
              <w:spacing w:after="0"/>
              <w:rPr>
                <w:sz w:val="18"/>
                <w:szCs w:val="18"/>
                <w:color w:val="auto"/>
              </w:rPr>
            </w:pPr>
          </w:p>
        </w:tc>
        <w:tc>
          <w:tcPr>
            <w:tcW w:w="120" w:type="dxa"/>
            <w:vAlign w:val="bottom"/>
            <w:shd w:val="clear" w:color="auto" w:fill="D0EBF2"/>
          </w:tcPr>
          <w:p>
            <w:pPr>
              <w:spacing w:after="0"/>
              <w:rPr>
                <w:sz w:val="18"/>
                <w:szCs w:val="18"/>
                <w:color w:val="auto"/>
              </w:rPr>
            </w:pPr>
          </w:p>
        </w:tc>
        <w:tc>
          <w:tcPr>
            <w:tcW w:w="240" w:type="dxa"/>
            <w:vAlign w:val="bottom"/>
            <w:shd w:val="clear" w:color="auto" w:fill="D0EBF2"/>
          </w:tcPr>
          <w:p>
            <w:pPr>
              <w:spacing w:after="0"/>
              <w:rPr>
                <w:sz w:val="18"/>
                <w:szCs w:val="18"/>
                <w:color w:val="auto"/>
              </w:rPr>
            </w:pPr>
          </w:p>
        </w:tc>
        <w:tc>
          <w:tcPr>
            <w:tcW w:w="940" w:type="dxa"/>
            <w:vAlign w:val="bottom"/>
            <w:gridSpan w:val="2"/>
            <w:shd w:val="clear" w:color="auto" w:fill="D0EBF2"/>
          </w:tcPr>
          <w:p>
            <w:pPr>
              <w:spacing w:after="0"/>
              <w:rPr>
                <w:sz w:val="18"/>
                <w:szCs w:val="18"/>
                <w:color w:val="auto"/>
              </w:rPr>
            </w:pPr>
          </w:p>
        </w:tc>
        <w:tc>
          <w:tcPr>
            <w:tcW w:w="120" w:type="dxa"/>
            <w:vAlign w:val="bottom"/>
            <w:shd w:val="clear" w:color="auto" w:fill="D0EBF2"/>
          </w:tcPr>
          <w:p>
            <w:pPr>
              <w:spacing w:after="0"/>
              <w:rPr>
                <w:sz w:val="18"/>
                <w:szCs w:val="18"/>
                <w:color w:val="auto"/>
              </w:rPr>
            </w:pPr>
          </w:p>
        </w:tc>
        <w:tc>
          <w:tcPr>
            <w:tcW w:w="380" w:type="dxa"/>
            <w:vAlign w:val="bottom"/>
            <w:shd w:val="clear" w:color="auto" w:fill="D0EBF2"/>
          </w:tcPr>
          <w:p>
            <w:pPr>
              <w:spacing w:after="0"/>
              <w:rPr>
                <w:sz w:val="18"/>
                <w:szCs w:val="18"/>
                <w:color w:val="auto"/>
              </w:rPr>
            </w:pPr>
          </w:p>
        </w:tc>
        <w:tc>
          <w:tcPr>
            <w:tcW w:w="700" w:type="dxa"/>
            <w:vAlign w:val="bottom"/>
            <w:shd w:val="clear" w:color="auto" w:fill="D0EBF2"/>
          </w:tcPr>
          <w:p>
            <w:pPr>
              <w:spacing w:after="0"/>
              <w:rPr>
                <w:sz w:val="18"/>
                <w:szCs w:val="18"/>
                <w:color w:val="auto"/>
              </w:rPr>
            </w:pPr>
          </w:p>
        </w:tc>
        <w:tc>
          <w:tcPr>
            <w:tcW w:w="100" w:type="dxa"/>
            <w:vAlign w:val="bottom"/>
            <w:shd w:val="clear" w:color="auto" w:fill="D0EBF2"/>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60" w:type="dxa"/>
            <w:vAlign w:val="bottom"/>
          </w:tcPr>
          <w:p>
            <w:pPr>
              <w:spacing w:after="0"/>
              <w:rPr>
                <w:sz w:val="18"/>
                <w:szCs w:val="18"/>
                <w:color w:val="auto"/>
              </w:rPr>
            </w:pPr>
          </w:p>
        </w:tc>
        <w:tc>
          <w:tcPr>
            <w:tcW w:w="4940" w:type="dxa"/>
            <w:vAlign w:val="bottom"/>
            <w:shd w:val="clear" w:color="auto" w:fill="FDFDFC"/>
          </w:tcPr>
          <w:p>
            <w:pPr>
              <w:spacing w:after="0" w:line="217" w:lineRule="exact"/>
              <w:rPr>
                <w:sz w:val="20"/>
                <w:szCs w:val="20"/>
                <w:color w:val="auto"/>
              </w:rPr>
            </w:pPr>
            <w:r>
              <w:rPr>
                <w:rFonts w:ascii="Times New Roman" w:cs="Times New Roman" w:eastAsia="Times New Roman" w:hAnsi="Times New Roman"/>
                <w:sz w:val="19"/>
                <w:szCs w:val="19"/>
                <w:color w:val="231F20"/>
              </w:rPr>
              <w:t>Unrealized gains (losses) on foreign currency borrowings</w:t>
            </w:r>
          </w:p>
        </w:tc>
        <w:tc>
          <w:tcPr>
            <w:tcW w:w="460" w:type="dxa"/>
            <w:vAlign w:val="bottom"/>
            <w:shd w:val="clear" w:color="auto" w:fill="FDFDFC"/>
          </w:tcPr>
          <w:p>
            <w:pPr>
              <w:spacing w:after="0"/>
              <w:rPr>
                <w:sz w:val="18"/>
                <w:szCs w:val="18"/>
                <w:color w:val="auto"/>
              </w:rPr>
            </w:pPr>
          </w:p>
        </w:tc>
        <w:tc>
          <w:tcPr>
            <w:tcW w:w="240" w:type="dxa"/>
            <w:vAlign w:val="bottom"/>
            <w:shd w:val="clear" w:color="auto" w:fill="FDFDFC"/>
          </w:tcPr>
          <w:p>
            <w:pPr>
              <w:spacing w:after="0"/>
              <w:rPr>
                <w:sz w:val="18"/>
                <w:szCs w:val="18"/>
                <w:color w:val="auto"/>
              </w:rPr>
            </w:pPr>
          </w:p>
        </w:tc>
        <w:tc>
          <w:tcPr>
            <w:tcW w:w="840" w:type="dxa"/>
            <w:vAlign w:val="bottom"/>
            <w:shd w:val="clear" w:color="auto" w:fill="FDFDFC"/>
          </w:tcPr>
          <w:p>
            <w:pPr>
              <w:jc w:val="right"/>
              <w:spacing w:after="0" w:line="217" w:lineRule="exact"/>
              <w:rPr>
                <w:sz w:val="20"/>
                <w:szCs w:val="20"/>
                <w:color w:val="auto"/>
              </w:rPr>
            </w:pPr>
            <w:r>
              <w:rPr>
                <w:rFonts w:ascii="Times New Roman" w:cs="Times New Roman" w:eastAsia="Times New Roman" w:hAnsi="Times New Roman"/>
                <w:sz w:val="19"/>
                <w:szCs w:val="19"/>
                <w:color w:val="231F20"/>
              </w:rPr>
              <w:t>13.4</w:t>
            </w:r>
          </w:p>
        </w:tc>
        <w:tc>
          <w:tcPr>
            <w:tcW w:w="100" w:type="dxa"/>
            <w:vAlign w:val="bottom"/>
            <w:shd w:val="clear" w:color="auto" w:fill="FDFDFC"/>
          </w:tcPr>
          <w:p>
            <w:pPr>
              <w:spacing w:after="0"/>
              <w:rPr>
                <w:sz w:val="18"/>
                <w:szCs w:val="18"/>
                <w:color w:val="auto"/>
              </w:rPr>
            </w:pPr>
          </w:p>
        </w:tc>
        <w:tc>
          <w:tcPr>
            <w:tcW w:w="120" w:type="dxa"/>
            <w:vAlign w:val="bottom"/>
            <w:shd w:val="clear" w:color="auto" w:fill="FDFDFC"/>
          </w:tcPr>
          <w:p>
            <w:pPr>
              <w:spacing w:after="0"/>
              <w:rPr>
                <w:sz w:val="18"/>
                <w:szCs w:val="18"/>
                <w:color w:val="auto"/>
              </w:rPr>
            </w:pPr>
          </w:p>
        </w:tc>
        <w:tc>
          <w:tcPr>
            <w:tcW w:w="240" w:type="dxa"/>
            <w:vAlign w:val="bottom"/>
            <w:shd w:val="clear" w:color="auto" w:fill="FDFDFC"/>
          </w:tcPr>
          <w:p>
            <w:pPr>
              <w:spacing w:after="0"/>
              <w:rPr>
                <w:sz w:val="18"/>
                <w:szCs w:val="18"/>
                <w:color w:val="auto"/>
              </w:rPr>
            </w:pPr>
          </w:p>
        </w:tc>
        <w:tc>
          <w:tcPr>
            <w:tcW w:w="940" w:type="dxa"/>
            <w:vAlign w:val="bottom"/>
            <w:gridSpan w:val="2"/>
            <w:shd w:val="clear" w:color="auto" w:fill="FDFDFC"/>
          </w:tcPr>
          <w:p>
            <w:pPr>
              <w:jc w:val="right"/>
              <w:ind w:right="40"/>
              <w:spacing w:after="0" w:line="217" w:lineRule="exact"/>
              <w:rPr>
                <w:sz w:val="20"/>
                <w:szCs w:val="20"/>
                <w:color w:val="auto"/>
              </w:rPr>
            </w:pPr>
            <w:r>
              <w:rPr>
                <w:rFonts w:ascii="Times New Roman" w:cs="Times New Roman" w:eastAsia="Times New Roman" w:hAnsi="Times New Roman"/>
                <w:sz w:val="19"/>
                <w:szCs w:val="19"/>
                <w:color w:val="231F20"/>
              </w:rPr>
              <w:t>(6.0)</w:t>
            </w:r>
          </w:p>
        </w:tc>
        <w:tc>
          <w:tcPr>
            <w:tcW w:w="120" w:type="dxa"/>
            <w:vAlign w:val="bottom"/>
            <w:shd w:val="clear" w:color="auto" w:fill="FDFDFC"/>
          </w:tcPr>
          <w:p>
            <w:pPr>
              <w:spacing w:after="0"/>
              <w:rPr>
                <w:sz w:val="18"/>
                <w:szCs w:val="18"/>
                <w:color w:val="auto"/>
              </w:rPr>
            </w:pPr>
          </w:p>
        </w:tc>
        <w:tc>
          <w:tcPr>
            <w:tcW w:w="380" w:type="dxa"/>
            <w:vAlign w:val="bottom"/>
            <w:shd w:val="clear" w:color="auto" w:fill="FDFDFC"/>
          </w:tcPr>
          <w:p>
            <w:pPr>
              <w:spacing w:after="0"/>
              <w:rPr>
                <w:sz w:val="18"/>
                <w:szCs w:val="18"/>
                <w:color w:val="auto"/>
              </w:rPr>
            </w:pPr>
          </w:p>
        </w:tc>
        <w:tc>
          <w:tcPr>
            <w:tcW w:w="700" w:type="dxa"/>
            <w:vAlign w:val="bottom"/>
            <w:shd w:val="clear" w:color="auto" w:fill="FDFDFC"/>
          </w:tcPr>
          <w:p>
            <w:pPr>
              <w:jc w:val="right"/>
              <w:spacing w:after="0" w:line="217" w:lineRule="exact"/>
              <w:rPr>
                <w:sz w:val="20"/>
                <w:szCs w:val="20"/>
                <w:color w:val="auto"/>
              </w:rPr>
            </w:pPr>
            <w:r>
              <w:rPr>
                <w:rFonts w:ascii="Times New Roman" w:cs="Times New Roman" w:eastAsia="Times New Roman" w:hAnsi="Times New Roman"/>
                <w:sz w:val="19"/>
                <w:szCs w:val="19"/>
                <w:color w:val="231F20"/>
              </w:rPr>
              <w:t>8.4</w:t>
            </w:r>
          </w:p>
        </w:tc>
        <w:tc>
          <w:tcPr>
            <w:tcW w:w="100" w:type="dxa"/>
            <w:vAlign w:val="bottom"/>
            <w:shd w:val="clear" w:color="auto" w:fill="FDFDFC"/>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60" w:type="dxa"/>
            <w:vAlign w:val="bottom"/>
          </w:tcPr>
          <w:p>
            <w:pPr>
              <w:spacing w:after="0"/>
              <w:rPr>
                <w:sz w:val="18"/>
                <w:szCs w:val="18"/>
                <w:color w:val="auto"/>
              </w:rPr>
            </w:pPr>
          </w:p>
        </w:tc>
        <w:tc>
          <w:tcPr>
            <w:tcW w:w="4940" w:type="dxa"/>
            <w:vAlign w:val="bottom"/>
            <w:shd w:val="clear" w:color="auto" w:fill="D0EBF2"/>
          </w:tcPr>
          <w:p>
            <w:pPr>
              <w:spacing w:after="0" w:line="217" w:lineRule="exact"/>
              <w:rPr>
                <w:sz w:val="20"/>
                <w:szCs w:val="20"/>
                <w:color w:val="auto"/>
              </w:rPr>
            </w:pPr>
            <w:r>
              <w:rPr>
                <w:rFonts w:ascii="Times New Roman" w:cs="Times New Roman" w:eastAsia="Times New Roman" w:hAnsi="Times New Roman"/>
                <w:sz w:val="19"/>
                <w:szCs w:val="19"/>
                <w:color w:val="231F20"/>
              </w:rPr>
              <w:t xml:space="preserve">Unrealized gains (losses) on foreign currency cash </w:t>
            </w:r>
            <w:r>
              <w:rPr>
                <w:rFonts w:ascii="Times New Roman" w:cs="Times New Roman" w:eastAsia="Times New Roman" w:hAnsi="Times New Roman"/>
                <w:sz w:val="24"/>
                <w:szCs w:val="24"/>
                <w:color w:val="231F20"/>
                <w:vertAlign w:val="superscript"/>
              </w:rPr>
              <w:t>(1)</w:t>
            </w:r>
          </w:p>
        </w:tc>
        <w:tc>
          <w:tcPr>
            <w:tcW w:w="460" w:type="dxa"/>
            <w:vAlign w:val="bottom"/>
            <w:shd w:val="clear" w:color="auto" w:fill="D0EBF2"/>
          </w:tcPr>
          <w:p>
            <w:pPr>
              <w:spacing w:after="0"/>
              <w:rPr>
                <w:sz w:val="18"/>
                <w:szCs w:val="18"/>
                <w:color w:val="auto"/>
              </w:rPr>
            </w:pPr>
          </w:p>
        </w:tc>
        <w:tc>
          <w:tcPr>
            <w:tcW w:w="240" w:type="dxa"/>
            <w:vAlign w:val="bottom"/>
            <w:shd w:val="clear" w:color="auto" w:fill="D0EBF2"/>
          </w:tcPr>
          <w:p>
            <w:pPr>
              <w:spacing w:after="0"/>
              <w:rPr>
                <w:sz w:val="18"/>
                <w:szCs w:val="18"/>
                <w:color w:val="auto"/>
              </w:rPr>
            </w:pPr>
          </w:p>
        </w:tc>
        <w:tc>
          <w:tcPr>
            <w:tcW w:w="840" w:type="dxa"/>
            <w:vAlign w:val="bottom"/>
            <w:shd w:val="clear" w:color="auto" w:fill="D0EBF2"/>
          </w:tcPr>
          <w:p>
            <w:pPr>
              <w:jc w:val="right"/>
              <w:spacing w:after="0" w:line="217" w:lineRule="exact"/>
              <w:rPr>
                <w:sz w:val="20"/>
                <w:szCs w:val="20"/>
                <w:color w:val="auto"/>
              </w:rPr>
            </w:pPr>
            <w:r>
              <w:rPr>
                <w:rFonts w:ascii="Times New Roman" w:cs="Times New Roman" w:eastAsia="Times New Roman" w:hAnsi="Times New Roman"/>
                <w:sz w:val="19"/>
                <w:szCs w:val="19"/>
                <w:color w:val="231F20"/>
              </w:rPr>
              <w:t>(0.0)</w:t>
            </w:r>
          </w:p>
        </w:tc>
        <w:tc>
          <w:tcPr>
            <w:tcW w:w="100" w:type="dxa"/>
            <w:vAlign w:val="bottom"/>
            <w:shd w:val="clear" w:color="auto" w:fill="D0EBF2"/>
          </w:tcPr>
          <w:p>
            <w:pPr>
              <w:spacing w:after="0"/>
              <w:rPr>
                <w:sz w:val="18"/>
                <w:szCs w:val="18"/>
                <w:color w:val="auto"/>
              </w:rPr>
            </w:pPr>
          </w:p>
        </w:tc>
        <w:tc>
          <w:tcPr>
            <w:tcW w:w="120" w:type="dxa"/>
            <w:vAlign w:val="bottom"/>
            <w:shd w:val="clear" w:color="auto" w:fill="D0EBF2"/>
          </w:tcPr>
          <w:p>
            <w:pPr>
              <w:spacing w:after="0"/>
              <w:rPr>
                <w:sz w:val="18"/>
                <w:szCs w:val="18"/>
                <w:color w:val="auto"/>
              </w:rPr>
            </w:pPr>
          </w:p>
        </w:tc>
        <w:tc>
          <w:tcPr>
            <w:tcW w:w="240" w:type="dxa"/>
            <w:vAlign w:val="bottom"/>
            <w:shd w:val="clear" w:color="auto" w:fill="D0EBF2"/>
          </w:tcPr>
          <w:p>
            <w:pPr>
              <w:spacing w:after="0"/>
              <w:rPr>
                <w:sz w:val="18"/>
                <w:szCs w:val="18"/>
                <w:color w:val="auto"/>
              </w:rPr>
            </w:pPr>
          </w:p>
        </w:tc>
        <w:tc>
          <w:tcPr>
            <w:tcW w:w="940" w:type="dxa"/>
            <w:vAlign w:val="bottom"/>
            <w:gridSpan w:val="2"/>
            <w:shd w:val="clear" w:color="auto" w:fill="D0EBF2"/>
          </w:tcPr>
          <w:p>
            <w:pPr>
              <w:jc w:val="right"/>
              <w:ind w:right="40"/>
              <w:spacing w:after="0" w:line="217" w:lineRule="exact"/>
              <w:rPr>
                <w:sz w:val="20"/>
                <w:szCs w:val="20"/>
                <w:color w:val="auto"/>
              </w:rPr>
            </w:pPr>
            <w:r>
              <w:rPr>
                <w:rFonts w:ascii="Times New Roman" w:cs="Times New Roman" w:eastAsia="Times New Roman" w:hAnsi="Times New Roman"/>
                <w:sz w:val="19"/>
                <w:szCs w:val="19"/>
                <w:color w:val="231F20"/>
              </w:rPr>
              <w:t>(0.3)</w:t>
            </w:r>
          </w:p>
        </w:tc>
        <w:tc>
          <w:tcPr>
            <w:tcW w:w="120" w:type="dxa"/>
            <w:vAlign w:val="bottom"/>
            <w:shd w:val="clear" w:color="auto" w:fill="D0EBF2"/>
          </w:tcPr>
          <w:p>
            <w:pPr>
              <w:spacing w:after="0"/>
              <w:rPr>
                <w:sz w:val="18"/>
                <w:szCs w:val="18"/>
                <w:color w:val="auto"/>
              </w:rPr>
            </w:pPr>
          </w:p>
        </w:tc>
        <w:tc>
          <w:tcPr>
            <w:tcW w:w="380" w:type="dxa"/>
            <w:vAlign w:val="bottom"/>
            <w:shd w:val="clear" w:color="auto" w:fill="D0EBF2"/>
          </w:tcPr>
          <w:p>
            <w:pPr>
              <w:spacing w:after="0"/>
              <w:rPr>
                <w:sz w:val="18"/>
                <w:szCs w:val="18"/>
                <w:color w:val="auto"/>
              </w:rPr>
            </w:pPr>
          </w:p>
        </w:tc>
        <w:tc>
          <w:tcPr>
            <w:tcW w:w="700" w:type="dxa"/>
            <w:vAlign w:val="bottom"/>
            <w:shd w:val="clear" w:color="auto" w:fill="D0EBF2"/>
          </w:tcPr>
          <w:p>
            <w:pPr>
              <w:jc w:val="right"/>
              <w:spacing w:after="0" w:line="217" w:lineRule="exact"/>
              <w:rPr>
                <w:sz w:val="20"/>
                <w:szCs w:val="20"/>
                <w:color w:val="auto"/>
              </w:rPr>
            </w:pPr>
            <w:r>
              <w:rPr>
                <w:rFonts w:ascii="Times New Roman" w:cs="Times New Roman" w:eastAsia="Times New Roman" w:hAnsi="Times New Roman"/>
                <w:sz w:val="19"/>
                <w:szCs w:val="19"/>
                <w:color w:val="231F20"/>
              </w:rPr>
              <w:t>0.3</w:t>
            </w:r>
          </w:p>
        </w:tc>
        <w:tc>
          <w:tcPr>
            <w:tcW w:w="100" w:type="dxa"/>
            <w:vAlign w:val="bottom"/>
            <w:shd w:val="clear" w:color="auto" w:fill="D0EBF2"/>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60" w:type="dxa"/>
            <w:vAlign w:val="bottom"/>
          </w:tcPr>
          <w:p>
            <w:pPr>
              <w:spacing w:after="0"/>
              <w:rPr>
                <w:sz w:val="18"/>
                <w:szCs w:val="18"/>
                <w:color w:val="auto"/>
              </w:rPr>
            </w:pPr>
          </w:p>
        </w:tc>
        <w:tc>
          <w:tcPr>
            <w:tcW w:w="4940" w:type="dxa"/>
            <w:vAlign w:val="bottom"/>
            <w:shd w:val="clear" w:color="auto" w:fill="FDFDFC"/>
          </w:tcPr>
          <w:p>
            <w:pPr>
              <w:spacing w:after="0" w:line="217" w:lineRule="exact"/>
              <w:rPr>
                <w:sz w:val="20"/>
                <w:szCs w:val="20"/>
                <w:color w:val="auto"/>
              </w:rPr>
            </w:pPr>
            <w:r>
              <w:rPr>
                <w:rFonts w:ascii="Times New Roman" w:cs="Times New Roman" w:eastAsia="Times New Roman" w:hAnsi="Times New Roman"/>
                <w:sz w:val="19"/>
                <w:szCs w:val="19"/>
                <w:color w:val="231F20"/>
              </w:rPr>
              <w:t>Unrealized gains (losses) on interest rate swaps</w:t>
            </w:r>
          </w:p>
        </w:tc>
        <w:tc>
          <w:tcPr>
            <w:tcW w:w="460" w:type="dxa"/>
            <w:vAlign w:val="bottom"/>
            <w:shd w:val="clear" w:color="auto" w:fill="FDFDFC"/>
          </w:tcPr>
          <w:p>
            <w:pPr>
              <w:spacing w:after="0"/>
              <w:rPr>
                <w:sz w:val="18"/>
                <w:szCs w:val="18"/>
                <w:color w:val="auto"/>
              </w:rPr>
            </w:pPr>
          </w:p>
        </w:tc>
        <w:tc>
          <w:tcPr>
            <w:tcW w:w="240" w:type="dxa"/>
            <w:vAlign w:val="bottom"/>
            <w:shd w:val="clear" w:color="auto" w:fill="FDFDFC"/>
          </w:tcPr>
          <w:p>
            <w:pPr>
              <w:spacing w:after="0"/>
              <w:rPr>
                <w:sz w:val="18"/>
                <w:szCs w:val="18"/>
                <w:color w:val="auto"/>
              </w:rPr>
            </w:pPr>
          </w:p>
        </w:tc>
        <w:tc>
          <w:tcPr>
            <w:tcW w:w="940" w:type="dxa"/>
            <w:vAlign w:val="bottom"/>
            <w:gridSpan w:val="2"/>
            <w:shd w:val="clear" w:color="auto" w:fill="FDFDFC"/>
          </w:tcPr>
          <w:p>
            <w:pPr>
              <w:jc w:val="right"/>
              <w:ind w:right="120"/>
              <w:spacing w:after="0" w:line="217" w:lineRule="exact"/>
              <w:rPr>
                <w:sz w:val="20"/>
                <w:szCs w:val="20"/>
                <w:color w:val="auto"/>
              </w:rPr>
            </w:pPr>
            <w:r>
              <w:rPr>
                <w:rFonts w:ascii="Times New Roman" w:cs="Times New Roman" w:eastAsia="Times New Roman" w:hAnsi="Times New Roman"/>
                <w:sz w:val="19"/>
                <w:szCs w:val="19"/>
                <w:color w:val="231F20"/>
              </w:rPr>
              <w:t>—</w:t>
            </w:r>
          </w:p>
        </w:tc>
        <w:tc>
          <w:tcPr>
            <w:tcW w:w="120" w:type="dxa"/>
            <w:vAlign w:val="bottom"/>
            <w:shd w:val="clear" w:color="auto" w:fill="FDFDFC"/>
          </w:tcPr>
          <w:p>
            <w:pPr>
              <w:spacing w:after="0"/>
              <w:rPr>
                <w:sz w:val="18"/>
                <w:szCs w:val="18"/>
                <w:color w:val="auto"/>
              </w:rPr>
            </w:pPr>
          </w:p>
        </w:tc>
        <w:tc>
          <w:tcPr>
            <w:tcW w:w="240" w:type="dxa"/>
            <w:vAlign w:val="bottom"/>
            <w:shd w:val="clear" w:color="auto" w:fill="FDFDFC"/>
          </w:tcPr>
          <w:p>
            <w:pPr>
              <w:spacing w:after="0"/>
              <w:rPr>
                <w:sz w:val="18"/>
                <w:szCs w:val="18"/>
                <w:color w:val="auto"/>
              </w:rPr>
            </w:pPr>
          </w:p>
        </w:tc>
        <w:tc>
          <w:tcPr>
            <w:tcW w:w="840" w:type="dxa"/>
            <w:vAlign w:val="bottom"/>
            <w:shd w:val="clear" w:color="auto" w:fill="FDFDFC"/>
          </w:tcPr>
          <w:p>
            <w:pPr>
              <w:jc w:val="right"/>
              <w:spacing w:after="0" w:line="217" w:lineRule="exact"/>
              <w:rPr>
                <w:sz w:val="20"/>
                <w:szCs w:val="20"/>
                <w:color w:val="auto"/>
              </w:rPr>
            </w:pPr>
            <w:r>
              <w:rPr>
                <w:rFonts w:ascii="Times New Roman" w:cs="Times New Roman" w:eastAsia="Times New Roman" w:hAnsi="Times New Roman"/>
                <w:sz w:val="19"/>
                <w:szCs w:val="19"/>
                <w:color w:val="231F20"/>
              </w:rPr>
              <w:t>0.1</w:t>
            </w:r>
          </w:p>
        </w:tc>
        <w:tc>
          <w:tcPr>
            <w:tcW w:w="100" w:type="dxa"/>
            <w:vAlign w:val="bottom"/>
            <w:shd w:val="clear" w:color="auto" w:fill="FDFDFC"/>
          </w:tcPr>
          <w:p>
            <w:pPr>
              <w:spacing w:after="0"/>
              <w:rPr>
                <w:sz w:val="18"/>
                <w:szCs w:val="18"/>
                <w:color w:val="auto"/>
              </w:rPr>
            </w:pPr>
          </w:p>
        </w:tc>
        <w:tc>
          <w:tcPr>
            <w:tcW w:w="120" w:type="dxa"/>
            <w:vAlign w:val="bottom"/>
            <w:shd w:val="clear" w:color="auto" w:fill="FDFDFC"/>
          </w:tcPr>
          <w:p>
            <w:pPr>
              <w:spacing w:after="0"/>
              <w:rPr>
                <w:sz w:val="18"/>
                <w:szCs w:val="18"/>
                <w:color w:val="auto"/>
              </w:rPr>
            </w:pPr>
          </w:p>
        </w:tc>
        <w:tc>
          <w:tcPr>
            <w:tcW w:w="380" w:type="dxa"/>
            <w:vAlign w:val="bottom"/>
            <w:shd w:val="clear" w:color="auto" w:fill="FDFDFC"/>
          </w:tcPr>
          <w:p>
            <w:pPr>
              <w:spacing w:after="0"/>
              <w:rPr>
                <w:sz w:val="18"/>
                <w:szCs w:val="18"/>
                <w:color w:val="auto"/>
              </w:rPr>
            </w:pPr>
          </w:p>
        </w:tc>
        <w:tc>
          <w:tcPr>
            <w:tcW w:w="800" w:type="dxa"/>
            <w:vAlign w:val="bottom"/>
            <w:gridSpan w:val="2"/>
            <w:shd w:val="clear" w:color="auto" w:fill="FDFDFC"/>
          </w:tcPr>
          <w:p>
            <w:pPr>
              <w:jc w:val="right"/>
              <w:ind w:right="40"/>
              <w:spacing w:after="0" w:line="217" w:lineRule="exact"/>
              <w:rPr>
                <w:sz w:val="20"/>
                <w:szCs w:val="20"/>
                <w:color w:val="auto"/>
              </w:rPr>
            </w:pPr>
            <w:r>
              <w:rPr>
                <w:rFonts w:ascii="Times New Roman" w:cs="Times New Roman" w:eastAsia="Times New Roman" w:hAnsi="Times New Roman"/>
                <w:sz w:val="19"/>
                <w:szCs w:val="19"/>
                <w:color w:val="231F20"/>
              </w:rPr>
              <w:t>(6.6)</w:t>
            </w:r>
          </w:p>
        </w:tc>
        <w:tc>
          <w:tcPr>
            <w:tcW w:w="0" w:type="dxa"/>
            <w:vAlign w:val="bottom"/>
          </w:tcPr>
          <w:p>
            <w:pPr>
              <w:spacing w:after="0"/>
              <w:rPr>
                <w:sz w:val="1"/>
                <w:szCs w:val="1"/>
                <w:color w:val="auto"/>
              </w:rPr>
            </w:pPr>
          </w:p>
        </w:tc>
      </w:tr>
      <w:tr>
        <w:trPr>
          <w:trHeight w:val="237"/>
        </w:trPr>
        <w:tc>
          <w:tcPr>
            <w:tcW w:w="60" w:type="dxa"/>
            <w:vAlign w:val="bottom"/>
          </w:tcPr>
          <w:p>
            <w:pPr>
              <w:spacing w:after="0"/>
              <w:rPr>
                <w:sz w:val="20"/>
                <w:szCs w:val="20"/>
                <w:color w:val="auto"/>
              </w:rPr>
            </w:pPr>
          </w:p>
        </w:tc>
        <w:tc>
          <w:tcPr>
            <w:tcW w:w="4940" w:type="dxa"/>
            <w:vAlign w:val="bottom"/>
            <w:shd w:val="clear" w:color="auto" w:fill="D0EBF2"/>
          </w:tcPr>
          <w:p>
            <w:pPr>
              <w:spacing w:after="0" w:line="217" w:lineRule="exact"/>
              <w:rPr>
                <w:sz w:val="20"/>
                <w:szCs w:val="20"/>
                <w:color w:val="auto"/>
              </w:rPr>
            </w:pPr>
            <w:r>
              <w:rPr>
                <w:rFonts w:ascii="Times New Roman" w:cs="Times New Roman" w:eastAsia="Times New Roman" w:hAnsi="Times New Roman"/>
                <w:sz w:val="19"/>
                <w:szCs w:val="19"/>
                <w:color w:val="231F20"/>
              </w:rPr>
              <w:t>Income tax provision on unrealized gains (losses)</w:t>
            </w:r>
          </w:p>
        </w:tc>
        <w:tc>
          <w:tcPr>
            <w:tcW w:w="460" w:type="dxa"/>
            <w:vAlign w:val="bottom"/>
            <w:shd w:val="clear" w:color="auto" w:fill="D0EBF2"/>
          </w:tcPr>
          <w:p>
            <w:pPr>
              <w:spacing w:after="0"/>
              <w:rPr>
                <w:sz w:val="20"/>
                <w:szCs w:val="20"/>
                <w:color w:val="auto"/>
              </w:rPr>
            </w:pPr>
          </w:p>
        </w:tc>
        <w:tc>
          <w:tcPr>
            <w:tcW w:w="240" w:type="dxa"/>
            <w:vAlign w:val="bottom"/>
            <w:shd w:val="clear" w:color="auto" w:fill="D0EBF2"/>
          </w:tcPr>
          <w:p>
            <w:pPr>
              <w:spacing w:after="0"/>
              <w:rPr>
                <w:sz w:val="20"/>
                <w:szCs w:val="20"/>
                <w:color w:val="auto"/>
              </w:rPr>
            </w:pPr>
          </w:p>
        </w:tc>
        <w:tc>
          <w:tcPr>
            <w:tcW w:w="940" w:type="dxa"/>
            <w:vAlign w:val="bottom"/>
            <w:gridSpan w:val="2"/>
            <w:shd w:val="clear" w:color="auto" w:fill="D0EBF2"/>
          </w:tcPr>
          <w:p>
            <w:pPr>
              <w:jc w:val="right"/>
              <w:ind w:right="40"/>
              <w:spacing w:after="0" w:line="217" w:lineRule="exact"/>
              <w:rPr>
                <w:sz w:val="20"/>
                <w:szCs w:val="20"/>
                <w:color w:val="auto"/>
              </w:rPr>
            </w:pPr>
            <w:r>
              <w:rPr>
                <w:rFonts w:ascii="Times New Roman" w:cs="Times New Roman" w:eastAsia="Times New Roman" w:hAnsi="Times New Roman"/>
                <w:sz w:val="19"/>
                <w:szCs w:val="19"/>
                <w:color w:val="231F20"/>
              </w:rPr>
              <w:t>(2.6)</w:t>
            </w:r>
          </w:p>
        </w:tc>
        <w:tc>
          <w:tcPr>
            <w:tcW w:w="120" w:type="dxa"/>
            <w:vAlign w:val="bottom"/>
            <w:shd w:val="clear" w:color="auto" w:fill="D0EBF2"/>
          </w:tcPr>
          <w:p>
            <w:pPr>
              <w:spacing w:after="0"/>
              <w:rPr>
                <w:sz w:val="20"/>
                <w:szCs w:val="20"/>
                <w:color w:val="auto"/>
              </w:rPr>
            </w:pPr>
          </w:p>
        </w:tc>
        <w:tc>
          <w:tcPr>
            <w:tcW w:w="240" w:type="dxa"/>
            <w:vAlign w:val="bottom"/>
            <w:shd w:val="clear" w:color="auto" w:fill="D0EBF2"/>
          </w:tcPr>
          <w:p>
            <w:pPr>
              <w:spacing w:after="0"/>
              <w:rPr>
                <w:sz w:val="20"/>
                <w:szCs w:val="20"/>
                <w:color w:val="auto"/>
              </w:rPr>
            </w:pPr>
          </w:p>
        </w:tc>
        <w:tc>
          <w:tcPr>
            <w:tcW w:w="840" w:type="dxa"/>
            <w:vAlign w:val="bottom"/>
            <w:shd w:val="clear" w:color="auto" w:fill="D0EBF2"/>
          </w:tcPr>
          <w:p>
            <w:pPr>
              <w:jc w:val="right"/>
              <w:spacing w:after="0" w:line="217" w:lineRule="exact"/>
              <w:rPr>
                <w:sz w:val="20"/>
                <w:szCs w:val="20"/>
                <w:color w:val="auto"/>
              </w:rPr>
            </w:pPr>
            <w:r>
              <w:rPr>
                <w:rFonts w:ascii="Times New Roman" w:cs="Times New Roman" w:eastAsia="Times New Roman" w:hAnsi="Times New Roman"/>
                <w:sz w:val="19"/>
                <w:szCs w:val="19"/>
                <w:color w:val="231F20"/>
              </w:rPr>
              <w:t>0.5</w:t>
            </w:r>
          </w:p>
        </w:tc>
        <w:tc>
          <w:tcPr>
            <w:tcW w:w="100" w:type="dxa"/>
            <w:vAlign w:val="bottom"/>
            <w:shd w:val="clear" w:color="auto" w:fill="D0EBF2"/>
          </w:tcPr>
          <w:p>
            <w:pPr>
              <w:spacing w:after="0"/>
              <w:rPr>
                <w:sz w:val="20"/>
                <w:szCs w:val="20"/>
                <w:color w:val="auto"/>
              </w:rPr>
            </w:pPr>
          </w:p>
        </w:tc>
        <w:tc>
          <w:tcPr>
            <w:tcW w:w="120" w:type="dxa"/>
            <w:vAlign w:val="bottom"/>
            <w:shd w:val="clear" w:color="auto" w:fill="D0EBF2"/>
          </w:tcPr>
          <w:p>
            <w:pPr>
              <w:spacing w:after="0"/>
              <w:rPr>
                <w:sz w:val="20"/>
                <w:szCs w:val="20"/>
                <w:color w:val="auto"/>
              </w:rPr>
            </w:pPr>
          </w:p>
        </w:tc>
        <w:tc>
          <w:tcPr>
            <w:tcW w:w="380" w:type="dxa"/>
            <w:vAlign w:val="bottom"/>
            <w:shd w:val="clear" w:color="auto" w:fill="D0EBF2"/>
          </w:tcPr>
          <w:p>
            <w:pPr>
              <w:spacing w:after="0"/>
              <w:rPr>
                <w:sz w:val="20"/>
                <w:szCs w:val="20"/>
                <w:color w:val="auto"/>
              </w:rPr>
            </w:pPr>
          </w:p>
        </w:tc>
        <w:tc>
          <w:tcPr>
            <w:tcW w:w="800" w:type="dxa"/>
            <w:vAlign w:val="bottom"/>
            <w:gridSpan w:val="2"/>
            <w:shd w:val="clear" w:color="auto" w:fill="D0EBF2"/>
          </w:tcPr>
          <w:p>
            <w:pPr>
              <w:jc w:val="right"/>
              <w:ind w:right="40"/>
              <w:spacing w:after="0" w:line="217" w:lineRule="exact"/>
              <w:rPr>
                <w:sz w:val="20"/>
                <w:szCs w:val="20"/>
                <w:color w:val="auto"/>
              </w:rPr>
            </w:pPr>
            <w:r>
              <w:rPr>
                <w:rFonts w:ascii="Times New Roman" w:cs="Times New Roman" w:eastAsia="Times New Roman" w:hAnsi="Times New Roman"/>
                <w:sz w:val="19"/>
                <w:szCs w:val="19"/>
                <w:color w:val="231F20"/>
              </w:rPr>
              <w:t>(0.6)</w:t>
            </w:r>
          </w:p>
        </w:tc>
        <w:tc>
          <w:tcPr>
            <w:tcW w:w="0" w:type="dxa"/>
            <w:vAlign w:val="bottom"/>
          </w:tcPr>
          <w:p>
            <w:pPr>
              <w:spacing w:after="0"/>
              <w:rPr>
                <w:sz w:val="1"/>
                <w:szCs w:val="1"/>
                <w:color w:val="auto"/>
              </w:rPr>
            </w:pPr>
          </w:p>
        </w:tc>
      </w:tr>
      <w:tr>
        <w:trPr>
          <w:trHeight w:val="165"/>
        </w:trPr>
        <w:tc>
          <w:tcPr>
            <w:tcW w:w="60" w:type="dxa"/>
            <w:vAlign w:val="bottom"/>
          </w:tcPr>
          <w:p>
            <w:pPr>
              <w:spacing w:after="0"/>
              <w:rPr>
                <w:sz w:val="14"/>
                <w:szCs w:val="14"/>
                <w:color w:val="auto"/>
              </w:rPr>
            </w:pPr>
          </w:p>
        </w:tc>
        <w:tc>
          <w:tcPr>
            <w:tcW w:w="4940" w:type="dxa"/>
            <w:vAlign w:val="bottom"/>
            <w:tcBorders>
              <w:top w:val="single" w:sz="8" w:color="D0EBF2"/>
            </w:tcBorders>
            <w:shd w:val="clear" w:color="auto" w:fill="FDFDFC"/>
          </w:tcPr>
          <w:p>
            <w:pPr>
              <w:spacing w:after="0" w:line="164" w:lineRule="exact"/>
              <w:rPr>
                <w:sz w:val="20"/>
                <w:szCs w:val="20"/>
                <w:color w:val="auto"/>
              </w:rPr>
            </w:pPr>
            <w:r>
              <w:rPr>
                <w:rFonts w:ascii="Times New Roman" w:cs="Times New Roman" w:eastAsia="Times New Roman" w:hAnsi="Times New Roman"/>
                <w:sz w:val="19"/>
                <w:szCs w:val="19"/>
                <w:b w:val="1"/>
                <w:bCs w:val="1"/>
                <w:color w:val="231F20"/>
              </w:rPr>
              <w:t>Net Change in Unrealized Gains (Losses) on Foreign</w:t>
            </w:r>
          </w:p>
        </w:tc>
        <w:tc>
          <w:tcPr>
            <w:tcW w:w="460" w:type="dxa"/>
            <w:vAlign w:val="bottom"/>
            <w:tcBorders>
              <w:top w:val="single" w:sz="8" w:color="D0EBF2"/>
            </w:tcBorders>
            <w:shd w:val="clear" w:color="auto" w:fill="FDFDFC"/>
          </w:tcPr>
          <w:p>
            <w:pPr>
              <w:spacing w:after="0"/>
              <w:rPr>
                <w:sz w:val="14"/>
                <w:szCs w:val="14"/>
                <w:color w:val="auto"/>
              </w:rPr>
            </w:pPr>
          </w:p>
        </w:tc>
        <w:tc>
          <w:tcPr>
            <w:tcW w:w="240" w:type="dxa"/>
            <w:vAlign w:val="bottom"/>
            <w:tcBorders>
              <w:top w:val="single" w:sz="8" w:color="231F20"/>
            </w:tcBorders>
            <w:shd w:val="clear" w:color="auto" w:fill="FDFDFC"/>
          </w:tcPr>
          <w:p>
            <w:pPr>
              <w:spacing w:after="0"/>
              <w:rPr>
                <w:sz w:val="14"/>
                <w:szCs w:val="14"/>
                <w:color w:val="auto"/>
              </w:rPr>
            </w:pPr>
          </w:p>
        </w:tc>
        <w:tc>
          <w:tcPr>
            <w:tcW w:w="840" w:type="dxa"/>
            <w:vAlign w:val="bottom"/>
            <w:tcBorders>
              <w:top w:val="single" w:sz="8" w:color="231F20"/>
            </w:tcBorders>
            <w:shd w:val="clear" w:color="auto" w:fill="FDFDFC"/>
          </w:tcPr>
          <w:p>
            <w:pPr>
              <w:spacing w:after="0"/>
              <w:rPr>
                <w:sz w:val="14"/>
                <w:szCs w:val="14"/>
                <w:color w:val="auto"/>
              </w:rPr>
            </w:pPr>
          </w:p>
        </w:tc>
        <w:tc>
          <w:tcPr>
            <w:tcW w:w="100" w:type="dxa"/>
            <w:vAlign w:val="bottom"/>
            <w:tcBorders>
              <w:top w:val="single" w:sz="8" w:color="D0EBF2"/>
            </w:tcBorders>
            <w:shd w:val="clear" w:color="auto" w:fill="FDFDFC"/>
          </w:tcPr>
          <w:p>
            <w:pPr>
              <w:spacing w:after="0"/>
              <w:rPr>
                <w:sz w:val="14"/>
                <w:szCs w:val="14"/>
                <w:color w:val="auto"/>
              </w:rPr>
            </w:pPr>
          </w:p>
        </w:tc>
        <w:tc>
          <w:tcPr>
            <w:tcW w:w="120" w:type="dxa"/>
            <w:vAlign w:val="bottom"/>
            <w:tcBorders>
              <w:top w:val="single" w:sz="8" w:color="231F20"/>
            </w:tcBorders>
            <w:shd w:val="clear" w:color="auto" w:fill="FDFDFC"/>
          </w:tcPr>
          <w:p>
            <w:pPr>
              <w:spacing w:after="0"/>
              <w:rPr>
                <w:sz w:val="14"/>
                <w:szCs w:val="14"/>
                <w:color w:val="auto"/>
              </w:rPr>
            </w:pPr>
          </w:p>
        </w:tc>
        <w:tc>
          <w:tcPr>
            <w:tcW w:w="240" w:type="dxa"/>
            <w:vAlign w:val="bottom"/>
            <w:tcBorders>
              <w:top w:val="single" w:sz="8" w:color="231F20"/>
            </w:tcBorders>
            <w:shd w:val="clear" w:color="auto" w:fill="FDFDFC"/>
          </w:tcPr>
          <w:p>
            <w:pPr>
              <w:spacing w:after="0"/>
              <w:rPr>
                <w:sz w:val="14"/>
                <w:szCs w:val="14"/>
                <w:color w:val="auto"/>
              </w:rPr>
            </w:pPr>
          </w:p>
        </w:tc>
        <w:tc>
          <w:tcPr>
            <w:tcW w:w="840" w:type="dxa"/>
            <w:vAlign w:val="bottom"/>
            <w:tcBorders>
              <w:top w:val="single" w:sz="8" w:color="231F20"/>
            </w:tcBorders>
            <w:shd w:val="clear" w:color="auto" w:fill="FDFDFC"/>
          </w:tcPr>
          <w:p>
            <w:pPr>
              <w:spacing w:after="0"/>
              <w:rPr>
                <w:sz w:val="14"/>
                <w:szCs w:val="14"/>
                <w:color w:val="auto"/>
              </w:rPr>
            </w:pPr>
          </w:p>
        </w:tc>
        <w:tc>
          <w:tcPr>
            <w:tcW w:w="100" w:type="dxa"/>
            <w:vAlign w:val="bottom"/>
            <w:tcBorders>
              <w:top w:val="single" w:sz="8" w:color="D0EBF2"/>
            </w:tcBorders>
            <w:shd w:val="clear" w:color="auto" w:fill="FDFDFC"/>
          </w:tcPr>
          <w:p>
            <w:pPr>
              <w:spacing w:after="0"/>
              <w:rPr>
                <w:sz w:val="14"/>
                <w:szCs w:val="14"/>
                <w:color w:val="auto"/>
              </w:rPr>
            </w:pPr>
          </w:p>
        </w:tc>
        <w:tc>
          <w:tcPr>
            <w:tcW w:w="120" w:type="dxa"/>
            <w:vAlign w:val="bottom"/>
            <w:tcBorders>
              <w:top w:val="single" w:sz="8" w:color="231F20"/>
            </w:tcBorders>
            <w:shd w:val="clear" w:color="auto" w:fill="FDFDFC"/>
          </w:tcPr>
          <w:p>
            <w:pPr>
              <w:spacing w:after="0"/>
              <w:rPr>
                <w:sz w:val="14"/>
                <w:szCs w:val="14"/>
                <w:color w:val="auto"/>
              </w:rPr>
            </w:pPr>
          </w:p>
        </w:tc>
        <w:tc>
          <w:tcPr>
            <w:tcW w:w="380" w:type="dxa"/>
            <w:vAlign w:val="bottom"/>
            <w:tcBorders>
              <w:top w:val="single" w:sz="8" w:color="231F20"/>
            </w:tcBorders>
            <w:shd w:val="clear" w:color="auto" w:fill="FDFDFC"/>
          </w:tcPr>
          <w:p>
            <w:pPr>
              <w:spacing w:after="0"/>
              <w:rPr>
                <w:sz w:val="14"/>
                <w:szCs w:val="14"/>
                <w:color w:val="auto"/>
              </w:rPr>
            </w:pPr>
          </w:p>
        </w:tc>
        <w:tc>
          <w:tcPr>
            <w:tcW w:w="700" w:type="dxa"/>
            <w:vAlign w:val="bottom"/>
            <w:tcBorders>
              <w:top w:val="single" w:sz="8" w:color="231F20"/>
            </w:tcBorders>
            <w:shd w:val="clear" w:color="auto" w:fill="FDFDFC"/>
          </w:tcPr>
          <w:p>
            <w:pPr>
              <w:spacing w:after="0"/>
              <w:rPr>
                <w:sz w:val="14"/>
                <w:szCs w:val="14"/>
                <w:color w:val="auto"/>
              </w:rPr>
            </w:pPr>
          </w:p>
        </w:tc>
        <w:tc>
          <w:tcPr>
            <w:tcW w:w="100" w:type="dxa"/>
            <w:vAlign w:val="bottom"/>
            <w:tcBorders>
              <w:top w:val="single" w:sz="8" w:color="D0EBF2"/>
            </w:tcBorders>
            <w:shd w:val="clear" w:color="auto" w:fill="FDFDFC"/>
          </w:tcPr>
          <w:p>
            <w:pPr>
              <w:spacing w:after="0"/>
              <w:rPr>
                <w:sz w:val="14"/>
                <w:szCs w:val="14"/>
                <w:color w:val="auto"/>
              </w:rPr>
            </w:pPr>
          </w:p>
        </w:tc>
        <w:tc>
          <w:tcPr>
            <w:tcW w:w="0" w:type="dxa"/>
            <w:vAlign w:val="bottom"/>
          </w:tcPr>
          <w:p>
            <w:pPr>
              <w:spacing w:after="0"/>
              <w:rPr>
                <w:sz w:val="1"/>
                <w:szCs w:val="1"/>
                <w:color w:val="auto"/>
              </w:rPr>
            </w:pPr>
          </w:p>
        </w:tc>
      </w:tr>
      <w:tr>
        <w:trPr>
          <w:trHeight w:val="239"/>
        </w:trPr>
        <w:tc>
          <w:tcPr>
            <w:tcW w:w="60" w:type="dxa"/>
            <w:vAlign w:val="bottom"/>
          </w:tcPr>
          <w:p>
            <w:pPr>
              <w:spacing w:after="0"/>
              <w:rPr>
                <w:sz w:val="20"/>
                <w:szCs w:val="20"/>
                <w:color w:val="auto"/>
              </w:rPr>
            </w:pPr>
          </w:p>
        </w:tc>
        <w:tc>
          <w:tcPr>
            <w:tcW w:w="4940" w:type="dxa"/>
            <w:vAlign w:val="bottom"/>
            <w:shd w:val="clear" w:color="auto" w:fill="FDFDFC"/>
          </w:tcPr>
          <w:p>
            <w:pPr>
              <w:ind w:left="140"/>
              <w:spacing w:after="0"/>
              <w:rPr>
                <w:sz w:val="20"/>
                <w:szCs w:val="20"/>
                <w:color w:val="auto"/>
              </w:rPr>
            </w:pPr>
            <w:r>
              <w:rPr>
                <w:rFonts w:ascii="Times New Roman" w:cs="Times New Roman" w:eastAsia="Times New Roman" w:hAnsi="Times New Roman"/>
                <w:sz w:val="19"/>
                <w:szCs w:val="19"/>
                <w:b w:val="1"/>
                <w:bCs w:val="1"/>
                <w:color w:val="231F20"/>
              </w:rPr>
              <w:t>Currency Transactions and Interest Rate Swaps</w:t>
            </w:r>
          </w:p>
        </w:tc>
        <w:tc>
          <w:tcPr>
            <w:tcW w:w="460" w:type="dxa"/>
            <w:vAlign w:val="bottom"/>
            <w:shd w:val="clear" w:color="auto" w:fill="FDFDFC"/>
          </w:tcPr>
          <w:p>
            <w:pPr>
              <w:spacing w:after="0"/>
              <w:rPr>
                <w:sz w:val="20"/>
                <w:szCs w:val="20"/>
                <w:color w:val="auto"/>
              </w:rPr>
            </w:pPr>
          </w:p>
        </w:tc>
        <w:tc>
          <w:tcPr>
            <w:tcW w:w="240" w:type="dxa"/>
            <w:vAlign w:val="bottom"/>
            <w:shd w:val="clear" w:color="auto" w:fill="FDFDFC"/>
          </w:tcPr>
          <w:p>
            <w:pPr>
              <w:jc w:val="right"/>
              <w:ind w:right="46"/>
              <w:spacing w:after="0"/>
              <w:rPr>
                <w:sz w:val="20"/>
                <w:szCs w:val="20"/>
                <w:color w:val="auto"/>
              </w:rPr>
            </w:pPr>
            <w:r>
              <w:rPr>
                <w:rFonts w:ascii="Times New Roman" w:cs="Times New Roman" w:eastAsia="Times New Roman" w:hAnsi="Times New Roman"/>
                <w:sz w:val="19"/>
                <w:szCs w:val="19"/>
                <w:color w:val="231F20"/>
                <w:w w:val="83"/>
              </w:rPr>
              <w:t>$</w:t>
            </w:r>
          </w:p>
        </w:tc>
        <w:tc>
          <w:tcPr>
            <w:tcW w:w="840" w:type="dxa"/>
            <w:vAlign w:val="bottom"/>
            <w:shd w:val="clear" w:color="auto" w:fill="FDFDFC"/>
          </w:tcPr>
          <w:p>
            <w:pPr>
              <w:jc w:val="right"/>
              <w:spacing w:after="0"/>
              <w:rPr>
                <w:sz w:val="20"/>
                <w:szCs w:val="20"/>
                <w:color w:val="auto"/>
              </w:rPr>
            </w:pPr>
            <w:r>
              <w:rPr>
                <w:rFonts w:ascii="Times New Roman" w:cs="Times New Roman" w:eastAsia="Times New Roman" w:hAnsi="Times New Roman"/>
                <w:sz w:val="19"/>
                <w:szCs w:val="19"/>
                <w:color w:val="231F20"/>
              </w:rPr>
              <w:t>10.8</w:t>
            </w:r>
          </w:p>
        </w:tc>
        <w:tc>
          <w:tcPr>
            <w:tcW w:w="100" w:type="dxa"/>
            <w:vAlign w:val="bottom"/>
            <w:shd w:val="clear" w:color="auto" w:fill="FDFDFC"/>
          </w:tcPr>
          <w:p>
            <w:pPr>
              <w:spacing w:after="0"/>
              <w:rPr>
                <w:sz w:val="20"/>
                <w:szCs w:val="20"/>
                <w:color w:val="auto"/>
              </w:rPr>
            </w:pPr>
          </w:p>
        </w:tc>
        <w:tc>
          <w:tcPr>
            <w:tcW w:w="360" w:type="dxa"/>
            <w:vAlign w:val="bottom"/>
            <w:gridSpan w:val="2"/>
            <w:shd w:val="clear" w:color="auto" w:fill="FDFDFC"/>
          </w:tcPr>
          <w:p>
            <w:pPr>
              <w:jc w:val="right"/>
              <w:ind w:right="46"/>
              <w:spacing w:after="0"/>
              <w:rPr>
                <w:sz w:val="20"/>
                <w:szCs w:val="20"/>
                <w:color w:val="auto"/>
              </w:rPr>
            </w:pPr>
            <w:r>
              <w:rPr>
                <w:rFonts w:ascii="Times New Roman" w:cs="Times New Roman" w:eastAsia="Times New Roman" w:hAnsi="Times New Roman"/>
                <w:sz w:val="19"/>
                <w:szCs w:val="19"/>
                <w:color w:val="231F20"/>
              </w:rPr>
              <w:t>$</w:t>
            </w:r>
          </w:p>
        </w:tc>
        <w:tc>
          <w:tcPr>
            <w:tcW w:w="840" w:type="dxa"/>
            <w:vAlign w:val="bottom"/>
            <w:shd w:val="clear" w:color="auto" w:fill="FDFDFC"/>
          </w:tcPr>
          <w:p>
            <w:pPr>
              <w:jc w:val="right"/>
              <w:spacing w:after="0"/>
              <w:rPr>
                <w:sz w:val="20"/>
                <w:szCs w:val="20"/>
                <w:color w:val="auto"/>
              </w:rPr>
            </w:pPr>
            <w:r>
              <w:rPr>
                <w:rFonts w:ascii="Times New Roman" w:cs="Times New Roman" w:eastAsia="Times New Roman" w:hAnsi="Times New Roman"/>
                <w:sz w:val="19"/>
                <w:szCs w:val="19"/>
                <w:color w:val="231F20"/>
              </w:rPr>
              <w:t>(5.7)</w:t>
            </w:r>
          </w:p>
        </w:tc>
        <w:tc>
          <w:tcPr>
            <w:tcW w:w="100" w:type="dxa"/>
            <w:vAlign w:val="bottom"/>
            <w:shd w:val="clear" w:color="auto" w:fill="FDFDFC"/>
          </w:tcPr>
          <w:p>
            <w:pPr>
              <w:spacing w:after="0"/>
              <w:rPr>
                <w:sz w:val="20"/>
                <w:szCs w:val="20"/>
                <w:color w:val="auto"/>
              </w:rPr>
            </w:pPr>
          </w:p>
        </w:tc>
        <w:tc>
          <w:tcPr>
            <w:tcW w:w="500" w:type="dxa"/>
            <w:vAlign w:val="bottom"/>
            <w:gridSpan w:val="2"/>
            <w:shd w:val="clear" w:color="auto" w:fill="FDFDFC"/>
          </w:tcPr>
          <w:p>
            <w:pPr>
              <w:jc w:val="right"/>
              <w:ind w:right="216"/>
              <w:spacing w:after="0"/>
              <w:rPr>
                <w:sz w:val="20"/>
                <w:szCs w:val="20"/>
                <w:color w:val="auto"/>
              </w:rPr>
            </w:pPr>
            <w:r>
              <w:rPr>
                <w:rFonts w:ascii="Times New Roman" w:cs="Times New Roman" w:eastAsia="Times New Roman" w:hAnsi="Times New Roman"/>
                <w:sz w:val="19"/>
                <w:szCs w:val="19"/>
                <w:color w:val="231F20"/>
              </w:rPr>
              <w:t>$</w:t>
            </w:r>
          </w:p>
        </w:tc>
        <w:tc>
          <w:tcPr>
            <w:tcW w:w="700" w:type="dxa"/>
            <w:vAlign w:val="bottom"/>
            <w:shd w:val="clear" w:color="auto" w:fill="FDFDFC"/>
          </w:tcPr>
          <w:p>
            <w:pPr>
              <w:jc w:val="right"/>
              <w:spacing w:after="0"/>
              <w:rPr>
                <w:sz w:val="20"/>
                <w:szCs w:val="20"/>
                <w:color w:val="auto"/>
              </w:rPr>
            </w:pPr>
            <w:r>
              <w:rPr>
                <w:rFonts w:ascii="Times New Roman" w:cs="Times New Roman" w:eastAsia="Times New Roman" w:hAnsi="Times New Roman"/>
                <w:sz w:val="19"/>
                <w:szCs w:val="19"/>
                <w:color w:val="231F20"/>
              </w:rPr>
              <w:t>1.5</w:t>
            </w:r>
          </w:p>
        </w:tc>
        <w:tc>
          <w:tcPr>
            <w:tcW w:w="100" w:type="dxa"/>
            <w:vAlign w:val="bottom"/>
            <w:shd w:val="clear" w:color="auto" w:fill="FDFDFC"/>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60" w:type="dxa"/>
            <w:vAlign w:val="bottom"/>
          </w:tcPr>
          <w:p>
            <w:pPr>
              <w:spacing w:after="0"/>
              <w:rPr>
                <w:sz w:val="20"/>
                <w:szCs w:val="20"/>
                <w:color w:val="auto"/>
              </w:rPr>
            </w:pPr>
          </w:p>
        </w:tc>
        <w:tc>
          <w:tcPr>
            <w:tcW w:w="4940" w:type="dxa"/>
            <w:vAlign w:val="bottom"/>
            <w:shd w:val="clear" w:color="auto" w:fill="D0EBF2"/>
          </w:tcPr>
          <w:p>
            <w:pPr>
              <w:spacing w:after="0"/>
              <w:rPr>
                <w:sz w:val="20"/>
                <w:szCs w:val="20"/>
                <w:color w:val="auto"/>
              </w:rPr>
            </w:pPr>
          </w:p>
        </w:tc>
        <w:tc>
          <w:tcPr>
            <w:tcW w:w="700" w:type="dxa"/>
            <w:vAlign w:val="bottom"/>
            <w:gridSpan w:val="2"/>
            <w:shd w:val="clear" w:color="auto" w:fill="D0EBF2"/>
          </w:tcPr>
          <w:p>
            <w:pPr>
              <w:spacing w:after="0"/>
              <w:rPr>
                <w:sz w:val="20"/>
                <w:szCs w:val="20"/>
                <w:color w:val="auto"/>
              </w:rPr>
            </w:pPr>
          </w:p>
        </w:tc>
        <w:tc>
          <w:tcPr>
            <w:tcW w:w="940" w:type="dxa"/>
            <w:vAlign w:val="bottom"/>
            <w:gridSpan w:val="2"/>
            <w:shd w:val="clear" w:color="auto" w:fill="D0EBF2"/>
          </w:tcPr>
          <w:p>
            <w:pPr>
              <w:spacing w:after="0"/>
              <w:rPr>
                <w:sz w:val="20"/>
                <w:szCs w:val="20"/>
                <w:color w:val="auto"/>
              </w:rPr>
            </w:pPr>
          </w:p>
        </w:tc>
        <w:tc>
          <w:tcPr>
            <w:tcW w:w="360" w:type="dxa"/>
            <w:vAlign w:val="bottom"/>
            <w:gridSpan w:val="2"/>
            <w:shd w:val="clear" w:color="auto" w:fill="D0EBF2"/>
          </w:tcPr>
          <w:p>
            <w:pPr>
              <w:spacing w:after="0"/>
              <w:rPr>
                <w:sz w:val="20"/>
                <w:szCs w:val="20"/>
                <w:color w:val="auto"/>
              </w:rPr>
            </w:pPr>
          </w:p>
        </w:tc>
        <w:tc>
          <w:tcPr>
            <w:tcW w:w="840" w:type="dxa"/>
            <w:vAlign w:val="bottom"/>
            <w:shd w:val="clear" w:color="auto" w:fill="D0EBF2"/>
          </w:tcPr>
          <w:p>
            <w:pPr>
              <w:spacing w:after="0"/>
              <w:rPr>
                <w:sz w:val="20"/>
                <w:szCs w:val="20"/>
                <w:color w:val="auto"/>
              </w:rPr>
            </w:pPr>
          </w:p>
        </w:tc>
        <w:tc>
          <w:tcPr>
            <w:tcW w:w="100" w:type="dxa"/>
            <w:vAlign w:val="bottom"/>
            <w:shd w:val="clear" w:color="auto" w:fill="D0EBF2"/>
          </w:tcPr>
          <w:p>
            <w:pPr>
              <w:spacing w:after="0"/>
              <w:rPr>
                <w:sz w:val="20"/>
                <w:szCs w:val="20"/>
                <w:color w:val="auto"/>
              </w:rPr>
            </w:pPr>
          </w:p>
        </w:tc>
        <w:tc>
          <w:tcPr>
            <w:tcW w:w="500" w:type="dxa"/>
            <w:vAlign w:val="bottom"/>
            <w:gridSpan w:val="2"/>
            <w:shd w:val="clear" w:color="auto" w:fill="D0EBF2"/>
          </w:tcPr>
          <w:p>
            <w:pPr>
              <w:spacing w:after="0"/>
              <w:rPr>
                <w:sz w:val="20"/>
                <w:szCs w:val="20"/>
                <w:color w:val="auto"/>
              </w:rPr>
            </w:pPr>
          </w:p>
        </w:tc>
        <w:tc>
          <w:tcPr>
            <w:tcW w:w="800" w:type="dxa"/>
            <w:vAlign w:val="bottom"/>
            <w:gridSpan w:val="2"/>
            <w:shd w:val="clear" w:color="auto" w:fill="D0EBF2"/>
          </w:tcPr>
          <w:p>
            <w:pPr>
              <w:spacing w:after="0"/>
              <w:rPr>
                <w:sz w:val="20"/>
                <w:szCs w:val="20"/>
                <w:color w:val="auto"/>
              </w:rPr>
            </w:pPr>
          </w:p>
        </w:tc>
        <w:tc>
          <w:tcPr>
            <w:tcW w:w="0" w:type="dxa"/>
            <w:vAlign w:val="bottom"/>
          </w:tcPr>
          <w:p>
            <w:pPr>
              <w:spacing w:after="0"/>
              <w:rPr>
                <w:sz w:val="1"/>
                <w:szCs w:val="1"/>
                <w:color w:val="auto"/>
              </w:rPr>
            </w:pPr>
          </w:p>
        </w:tc>
      </w:tr>
      <w:tr>
        <w:trPr>
          <w:trHeight w:val="207"/>
        </w:trPr>
        <w:tc>
          <w:tcPr>
            <w:tcW w:w="60" w:type="dxa"/>
            <w:vAlign w:val="bottom"/>
          </w:tcPr>
          <w:p>
            <w:pPr>
              <w:spacing w:after="0"/>
              <w:rPr>
                <w:sz w:val="17"/>
                <w:szCs w:val="17"/>
                <w:color w:val="auto"/>
              </w:rPr>
            </w:pPr>
          </w:p>
        </w:tc>
        <w:tc>
          <w:tcPr>
            <w:tcW w:w="4940" w:type="dxa"/>
            <w:vAlign w:val="bottom"/>
            <w:tcBorders>
              <w:top w:val="single" w:sz="8" w:color="D0EBF2"/>
              <w:bottom w:val="single" w:sz="8" w:color="FDFDFC"/>
            </w:tcBorders>
            <w:shd w:val="clear" w:color="auto" w:fill="FDFDFC"/>
          </w:tcPr>
          <w:p>
            <w:pPr>
              <w:spacing w:after="0" w:line="187" w:lineRule="exact"/>
              <w:rPr>
                <w:sz w:val="20"/>
                <w:szCs w:val="20"/>
                <w:color w:val="auto"/>
              </w:rPr>
            </w:pPr>
            <w:r>
              <w:rPr>
                <w:rFonts w:ascii="Times New Roman" w:cs="Times New Roman" w:eastAsia="Times New Roman" w:hAnsi="Times New Roman"/>
                <w:sz w:val="19"/>
                <w:szCs w:val="19"/>
                <w:b w:val="1"/>
                <w:bCs w:val="1"/>
                <w:color w:val="231F20"/>
              </w:rPr>
              <w:t>Net Change in Unrealized Gains (Losses)</w:t>
            </w:r>
          </w:p>
        </w:tc>
        <w:tc>
          <w:tcPr>
            <w:tcW w:w="460" w:type="dxa"/>
            <w:vAlign w:val="bottom"/>
            <w:tcBorders>
              <w:top w:val="single" w:sz="8" w:color="D0EBF2"/>
              <w:bottom w:val="single" w:sz="8" w:color="FDFDFC"/>
            </w:tcBorders>
            <w:shd w:val="clear" w:color="auto" w:fill="FDFDFC"/>
          </w:tcPr>
          <w:p>
            <w:pPr>
              <w:spacing w:after="0"/>
              <w:rPr>
                <w:sz w:val="17"/>
                <w:szCs w:val="17"/>
                <w:color w:val="auto"/>
              </w:rPr>
            </w:pPr>
          </w:p>
        </w:tc>
        <w:tc>
          <w:tcPr>
            <w:tcW w:w="240" w:type="dxa"/>
            <w:vAlign w:val="bottom"/>
            <w:tcBorders>
              <w:top w:val="single" w:sz="8" w:color="231F20"/>
              <w:bottom w:val="single" w:sz="8" w:color="231F20"/>
            </w:tcBorders>
            <w:shd w:val="clear" w:color="auto" w:fill="FDFDFC"/>
          </w:tcPr>
          <w:p>
            <w:pPr>
              <w:jc w:val="right"/>
              <w:ind w:right="46"/>
              <w:spacing w:after="0" w:line="187" w:lineRule="exact"/>
              <w:rPr>
                <w:sz w:val="20"/>
                <w:szCs w:val="20"/>
                <w:color w:val="auto"/>
              </w:rPr>
            </w:pPr>
            <w:r>
              <w:rPr>
                <w:rFonts w:ascii="Times New Roman" w:cs="Times New Roman" w:eastAsia="Times New Roman" w:hAnsi="Times New Roman"/>
                <w:sz w:val="19"/>
                <w:szCs w:val="19"/>
                <w:color w:val="231F20"/>
                <w:w w:val="83"/>
              </w:rPr>
              <w:t>$</w:t>
            </w:r>
          </w:p>
        </w:tc>
        <w:tc>
          <w:tcPr>
            <w:tcW w:w="840" w:type="dxa"/>
            <w:vAlign w:val="bottom"/>
            <w:tcBorders>
              <w:top w:val="single" w:sz="8" w:color="231F20"/>
              <w:bottom w:val="single" w:sz="8" w:color="231F20"/>
            </w:tcBorders>
            <w:shd w:val="clear" w:color="auto" w:fill="FDFDFC"/>
          </w:tcPr>
          <w:p>
            <w:pPr>
              <w:jc w:val="right"/>
              <w:spacing w:after="0" w:line="187" w:lineRule="exact"/>
              <w:rPr>
                <w:sz w:val="20"/>
                <w:szCs w:val="20"/>
                <w:color w:val="auto"/>
              </w:rPr>
            </w:pPr>
            <w:r>
              <w:rPr>
                <w:rFonts w:ascii="Times New Roman" w:cs="Times New Roman" w:eastAsia="Times New Roman" w:hAnsi="Times New Roman"/>
                <w:sz w:val="19"/>
                <w:szCs w:val="19"/>
                <w:color w:val="231F20"/>
              </w:rPr>
              <w:t>(42.0)</w:t>
            </w:r>
          </w:p>
        </w:tc>
        <w:tc>
          <w:tcPr>
            <w:tcW w:w="100" w:type="dxa"/>
            <w:vAlign w:val="bottom"/>
            <w:tcBorders>
              <w:top w:val="single" w:sz="8" w:color="D0EBF2"/>
              <w:bottom w:val="single" w:sz="8" w:color="FDFDFC"/>
            </w:tcBorders>
            <w:shd w:val="clear" w:color="auto" w:fill="FDFDFC"/>
          </w:tcPr>
          <w:p>
            <w:pPr>
              <w:spacing w:after="0"/>
              <w:rPr>
                <w:sz w:val="17"/>
                <w:szCs w:val="17"/>
                <w:color w:val="auto"/>
              </w:rPr>
            </w:pPr>
          </w:p>
        </w:tc>
        <w:tc>
          <w:tcPr>
            <w:tcW w:w="120" w:type="dxa"/>
            <w:vAlign w:val="bottom"/>
            <w:tcBorders>
              <w:top w:val="single" w:sz="8" w:color="D0EBF2"/>
              <w:bottom w:val="single" w:sz="8" w:color="FDFDFC"/>
            </w:tcBorders>
            <w:shd w:val="clear" w:color="auto" w:fill="FDFDFC"/>
          </w:tcPr>
          <w:p>
            <w:pPr>
              <w:spacing w:after="0"/>
              <w:rPr>
                <w:sz w:val="17"/>
                <w:szCs w:val="17"/>
                <w:color w:val="auto"/>
              </w:rPr>
            </w:pPr>
          </w:p>
        </w:tc>
        <w:tc>
          <w:tcPr>
            <w:tcW w:w="240" w:type="dxa"/>
            <w:vAlign w:val="bottom"/>
            <w:tcBorders>
              <w:top w:val="single" w:sz="8" w:color="231F20"/>
              <w:bottom w:val="single" w:sz="8" w:color="231F20"/>
            </w:tcBorders>
            <w:shd w:val="clear" w:color="auto" w:fill="FDFDFC"/>
          </w:tcPr>
          <w:p>
            <w:pPr>
              <w:jc w:val="right"/>
              <w:ind w:right="46"/>
              <w:spacing w:after="0" w:line="187" w:lineRule="exact"/>
              <w:rPr>
                <w:sz w:val="20"/>
                <w:szCs w:val="20"/>
                <w:color w:val="auto"/>
              </w:rPr>
            </w:pPr>
            <w:r>
              <w:rPr>
                <w:rFonts w:ascii="Times New Roman" w:cs="Times New Roman" w:eastAsia="Times New Roman" w:hAnsi="Times New Roman"/>
                <w:sz w:val="19"/>
                <w:szCs w:val="19"/>
                <w:color w:val="231F20"/>
                <w:w w:val="83"/>
              </w:rPr>
              <w:t>$</w:t>
            </w:r>
          </w:p>
        </w:tc>
        <w:tc>
          <w:tcPr>
            <w:tcW w:w="840" w:type="dxa"/>
            <w:vAlign w:val="bottom"/>
            <w:tcBorders>
              <w:top w:val="single" w:sz="8" w:color="231F20"/>
              <w:bottom w:val="single" w:sz="8" w:color="231F20"/>
            </w:tcBorders>
            <w:shd w:val="clear" w:color="auto" w:fill="FDFDFC"/>
          </w:tcPr>
          <w:p>
            <w:pPr>
              <w:jc w:val="right"/>
              <w:spacing w:after="0" w:line="187" w:lineRule="exact"/>
              <w:rPr>
                <w:sz w:val="20"/>
                <w:szCs w:val="20"/>
                <w:color w:val="auto"/>
              </w:rPr>
            </w:pPr>
            <w:r>
              <w:rPr>
                <w:rFonts w:ascii="Times New Roman" w:cs="Times New Roman" w:eastAsia="Times New Roman" w:hAnsi="Times New Roman"/>
                <w:sz w:val="19"/>
                <w:szCs w:val="19"/>
                <w:color w:val="231F20"/>
              </w:rPr>
              <w:t>13.2</w:t>
            </w:r>
          </w:p>
        </w:tc>
        <w:tc>
          <w:tcPr>
            <w:tcW w:w="100" w:type="dxa"/>
            <w:vAlign w:val="bottom"/>
            <w:tcBorders>
              <w:top w:val="single" w:sz="8" w:color="D0EBF2"/>
              <w:bottom w:val="single" w:sz="8" w:color="FDFDFC"/>
            </w:tcBorders>
            <w:shd w:val="clear" w:color="auto" w:fill="FDFDFC"/>
          </w:tcPr>
          <w:p>
            <w:pPr>
              <w:spacing w:after="0"/>
              <w:rPr>
                <w:sz w:val="17"/>
                <w:szCs w:val="17"/>
                <w:color w:val="auto"/>
              </w:rPr>
            </w:pPr>
          </w:p>
        </w:tc>
        <w:tc>
          <w:tcPr>
            <w:tcW w:w="120" w:type="dxa"/>
            <w:vAlign w:val="bottom"/>
            <w:tcBorders>
              <w:top w:val="single" w:sz="8" w:color="D0EBF2"/>
              <w:bottom w:val="single" w:sz="8" w:color="FDFDFC"/>
            </w:tcBorders>
            <w:shd w:val="clear" w:color="auto" w:fill="FDFDFC"/>
          </w:tcPr>
          <w:p>
            <w:pPr>
              <w:spacing w:after="0"/>
              <w:rPr>
                <w:sz w:val="17"/>
                <w:szCs w:val="17"/>
                <w:color w:val="auto"/>
              </w:rPr>
            </w:pPr>
          </w:p>
        </w:tc>
        <w:tc>
          <w:tcPr>
            <w:tcW w:w="380" w:type="dxa"/>
            <w:vAlign w:val="bottom"/>
            <w:tcBorders>
              <w:top w:val="single" w:sz="8" w:color="231F20"/>
              <w:bottom w:val="single" w:sz="8" w:color="231F20"/>
            </w:tcBorders>
            <w:shd w:val="clear" w:color="auto" w:fill="FDFDFC"/>
          </w:tcPr>
          <w:p>
            <w:pPr>
              <w:jc w:val="right"/>
              <w:ind w:right="216"/>
              <w:spacing w:after="0" w:line="187" w:lineRule="exact"/>
              <w:rPr>
                <w:sz w:val="20"/>
                <w:szCs w:val="20"/>
                <w:color w:val="auto"/>
              </w:rPr>
            </w:pPr>
            <w:r>
              <w:rPr>
                <w:rFonts w:ascii="Times New Roman" w:cs="Times New Roman" w:eastAsia="Times New Roman" w:hAnsi="Times New Roman"/>
                <w:sz w:val="17"/>
                <w:szCs w:val="17"/>
                <w:color w:val="231F20"/>
                <w:w w:val="70"/>
              </w:rPr>
              <w:t>$</w:t>
            </w:r>
          </w:p>
        </w:tc>
        <w:tc>
          <w:tcPr>
            <w:tcW w:w="700" w:type="dxa"/>
            <w:vAlign w:val="bottom"/>
            <w:tcBorders>
              <w:top w:val="single" w:sz="8" w:color="231F20"/>
              <w:bottom w:val="single" w:sz="8" w:color="231F20"/>
            </w:tcBorders>
            <w:shd w:val="clear" w:color="auto" w:fill="FDFDFC"/>
          </w:tcPr>
          <w:p>
            <w:pPr>
              <w:jc w:val="right"/>
              <w:spacing w:after="0" w:line="187" w:lineRule="exact"/>
              <w:rPr>
                <w:sz w:val="20"/>
                <w:szCs w:val="20"/>
                <w:color w:val="auto"/>
              </w:rPr>
            </w:pPr>
            <w:r>
              <w:rPr>
                <w:rFonts w:ascii="Times New Roman" w:cs="Times New Roman" w:eastAsia="Times New Roman" w:hAnsi="Times New Roman"/>
                <w:sz w:val="19"/>
                <w:szCs w:val="19"/>
                <w:color w:val="231F20"/>
              </w:rPr>
              <w:t>(74.9)</w:t>
            </w:r>
          </w:p>
        </w:tc>
        <w:tc>
          <w:tcPr>
            <w:tcW w:w="100" w:type="dxa"/>
            <w:vAlign w:val="bottom"/>
            <w:tcBorders>
              <w:top w:val="single" w:sz="8" w:color="D0EBF2"/>
              <w:bottom w:val="single" w:sz="8" w:color="FDFDFC"/>
            </w:tcBorders>
            <w:shd w:val="clear" w:color="auto" w:fill="FDFDFC"/>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000" w:type="dxa"/>
            <w:vAlign w:val="bottom"/>
            <w:gridSpan w:val="2"/>
            <w:vMerge w:val="restart"/>
          </w:tcPr>
          <w:p>
            <w:pPr>
              <w:spacing w:after="0"/>
              <w:rPr>
                <w:sz w:val="20"/>
                <w:szCs w:val="20"/>
                <w:color w:val="auto"/>
              </w:rPr>
            </w:pPr>
            <w:r>
              <w:rPr>
                <w:rFonts w:ascii="Times New Roman" w:cs="Times New Roman" w:eastAsia="Times New Roman" w:hAnsi="Times New Roman"/>
                <w:sz w:val="19"/>
                <w:szCs w:val="19"/>
                <w:color w:val="231F20"/>
              </w:rPr>
              <w:t>(1)   Value sums to less than 0.1 million</w:t>
            </w:r>
          </w:p>
        </w:tc>
        <w:tc>
          <w:tcPr>
            <w:tcW w:w="460" w:type="dxa"/>
            <w:vAlign w:val="bottom"/>
          </w:tcPr>
          <w:p>
            <w:pPr>
              <w:spacing w:after="0" w:line="20" w:lineRule="exact"/>
              <w:rPr>
                <w:sz w:val="1"/>
                <w:szCs w:val="1"/>
                <w:color w:val="auto"/>
              </w:rPr>
            </w:pPr>
          </w:p>
        </w:tc>
        <w:tc>
          <w:tcPr>
            <w:tcW w:w="240" w:type="dxa"/>
            <w:vAlign w:val="bottom"/>
            <w:tcBorders>
              <w:bottom w:val="single" w:sz="8" w:color="231F20"/>
            </w:tcBorders>
          </w:tcPr>
          <w:p>
            <w:pPr>
              <w:spacing w:after="0" w:line="20" w:lineRule="exact"/>
              <w:rPr>
                <w:sz w:val="1"/>
                <w:szCs w:val="1"/>
                <w:color w:val="auto"/>
              </w:rPr>
            </w:pPr>
          </w:p>
        </w:tc>
        <w:tc>
          <w:tcPr>
            <w:tcW w:w="840" w:type="dxa"/>
            <w:vAlign w:val="bottom"/>
            <w:tcBorders>
              <w:bottom w:val="single" w:sz="8" w:color="231F20"/>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231F20"/>
            </w:tcBorders>
          </w:tcPr>
          <w:p>
            <w:pPr>
              <w:spacing w:after="0" w:line="20" w:lineRule="exact"/>
              <w:rPr>
                <w:sz w:val="1"/>
                <w:szCs w:val="1"/>
                <w:color w:val="auto"/>
              </w:rPr>
            </w:pPr>
          </w:p>
        </w:tc>
        <w:tc>
          <w:tcPr>
            <w:tcW w:w="840" w:type="dxa"/>
            <w:vAlign w:val="bottom"/>
            <w:tcBorders>
              <w:bottom w:val="single" w:sz="8" w:color="231F20"/>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231F20"/>
            </w:tcBorders>
          </w:tcPr>
          <w:p>
            <w:pPr>
              <w:spacing w:after="0" w:line="20" w:lineRule="exact"/>
              <w:rPr>
                <w:sz w:val="1"/>
                <w:szCs w:val="1"/>
                <w:color w:val="auto"/>
              </w:rPr>
            </w:pPr>
          </w:p>
        </w:tc>
        <w:tc>
          <w:tcPr>
            <w:tcW w:w="700" w:type="dxa"/>
            <w:vAlign w:val="bottom"/>
            <w:tcBorders>
              <w:bottom w:val="single" w:sz="8" w:color="231F20"/>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8"/>
        </w:trPr>
        <w:tc>
          <w:tcPr>
            <w:tcW w:w="5000" w:type="dxa"/>
            <w:vAlign w:val="bottom"/>
            <w:gridSpan w:val="2"/>
            <w:vMerge w:val="continue"/>
          </w:tcPr>
          <w:p>
            <w:pPr>
              <w:spacing w:after="0"/>
              <w:rPr>
                <w:sz w:val="24"/>
                <w:szCs w:val="24"/>
                <w:color w:val="auto"/>
              </w:rPr>
            </w:pPr>
          </w:p>
        </w:tc>
        <w:tc>
          <w:tcPr>
            <w:tcW w:w="4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82" w:lineRule="exact"/>
        <w:rPr>
          <w:sz w:val="20"/>
          <w:szCs w:val="20"/>
          <w:color w:val="auto"/>
        </w:rPr>
      </w:pPr>
    </w:p>
    <w:p>
      <w:pPr>
        <w:ind w:firstLine="231"/>
        <w:spacing w:after="0" w:line="242" w:lineRule="auto"/>
        <w:rPr>
          <w:sz w:val="20"/>
          <w:szCs w:val="20"/>
          <w:color w:val="auto"/>
        </w:rPr>
      </w:pPr>
      <w:r>
        <w:rPr>
          <w:rFonts w:ascii="Times New Roman" w:cs="Times New Roman" w:eastAsia="Times New Roman" w:hAnsi="Times New Roman"/>
          <w:sz w:val="19"/>
          <w:szCs w:val="19"/>
          <w:color w:val="231F20"/>
        </w:rPr>
        <w:t>For the years ended December 31, 2024, December 31, 2023, and December 31, 2022, we had net realized gains on investments of $9.0 million, $12.2 million and $14.7 million, respectively. For the year ended December 31, 2024, we had net realized losses of $1.2 million, for the year ended December 31, 2023, we had net realized gains of $0.2 million and for the year ended December 31, 2022, we had net realized losses of $0.1 million, respectively, on foreign currency transactions, primarily as a result of translating foreign currency related to our non-USD denominated investments. For the years ended December 31, 2024, December 31, 2023 and December 31, 2022, we had net realized losses on foreign currency investments of $4.3 million, $0.5 million and $0.7 million, respectively. For the years ended December 31, 2024, December 31, 2023, and December 31, 2022, we had net realized gains on foreign currency borrowings of $5.1 million, $0.5 million and $0.5 million, respectively. The net realized gains on foreign currency borrowings were a result of payments on our revolving credit facility. For the years ended December 31, 2024 and December 31, 2023 there was no net realized gain or loss on interest rate swaps, respectively, and for the year ended December 31, 2022 there was a net realized gain of $2.3 million on interest rate swaps.</w:t>
      </w:r>
    </w:p>
    <w:p>
      <w:pPr>
        <w:spacing w:after="0" w:line="19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231F20"/>
        </w:rPr>
        <w:t>For the year ended December 31, 2024, we had $48.9 million in unrealized gains on 70 portfolio company investments, which was</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231F20"/>
        </w:rPr>
        <w:t>offset by $101.7 million in unrealized losses on 100 portfolio company investments. Unrealized gains for the year ended</w:t>
      </w:r>
    </w:p>
    <w:p>
      <w:pPr>
        <w:spacing w:after="0" w:line="238" w:lineRule="auto"/>
        <w:rPr>
          <w:sz w:val="20"/>
          <w:szCs w:val="20"/>
          <w:color w:val="auto"/>
        </w:rPr>
      </w:pPr>
      <w:r>
        <w:rPr>
          <w:rFonts w:ascii="Times New Roman" w:cs="Times New Roman" w:eastAsia="Times New Roman" w:hAnsi="Times New Roman"/>
          <w:sz w:val="19"/>
          <w:szCs w:val="19"/>
          <w:color w:val="231F20"/>
        </w:rPr>
        <w:t>December 31, 2024 resulted from tightening credit spreads and positive portfolio company specific developments. Unrealized losses</w:t>
      </w:r>
    </w:p>
    <w:p>
      <w:pPr>
        <w:spacing w:after="0"/>
        <w:rPr>
          <w:sz w:val="20"/>
          <w:szCs w:val="20"/>
          <w:color w:val="auto"/>
        </w:rPr>
      </w:pPr>
      <w:r>
        <w:rPr>
          <w:rFonts w:ascii="Times New Roman" w:cs="Times New Roman" w:eastAsia="Times New Roman" w:hAnsi="Times New Roman"/>
          <w:sz w:val="19"/>
          <w:szCs w:val="19"/>
          <w:color w:val="231F20"/>
        </w:rPr>
        <w:t>for the year ended December 31, 2024 resulted from negative portfolio company specific developments and the reversal of prior</w:t>
      </w:r>
    </w:p>
    <w:p>
      <w:pPr>
        <w:spacing w:after="0"/>
        <w:rPr>
          <w:sz w:val="20"/>
          <w:szCs w:val="20"/>
          <w:color w:val="auto"/>
        </w:rPr>
      </w:pPr>
      <w:r>
        <w:rPr>
          <w:rFonts w:ascii="Times New Roman" w:cs="Times New Roman" w:eastAsia="Times New Roman" w:hAnsi="Times New Roman"/>
          <w:sz w:val="19"/>
          <w:szCs w:val="19"/>
          <w:color w:val="231F20"/>
        </w:rPr>
        <w:t>period unrealized gains due to realizations.</w:t>
      </w:r>
    </w:p>
    <w:p>
      <w:pPr>
        <w:spacing w:after="0" w:line="197" w:lineRule="exact"/>
        <w:rPr>
          <w:sz w:val="20"/>
          <w:szCs w:val="20"/>
          <w:color w:val="auto"/>
        </w:rPr>
      </w:pPr>
    </w:p>
    <w:p>
      <w:pPr>
        <w:ind w:right="100" w:firstLine="231"/>
        <w:spacing w:after="0" w:line="247" w:lineRule="auto"/>
        <w:rPr>
          <w:sz w:val="20"/>
          <w:szCs w:val="20"/>
          <w:color w:val="auto"/>
        </w:rPr>
      </w:pPr>
      <w:r>
        <w:rPr>
          <w:rFonts w:ascii="Times New Roman" w:cs="Times New Roman" w:eastAsia="Times New Roman" w:hAnsi="Times New Roman"/>
          <w:sz w:val="19"/>
          <w:szCs w:val="19"/>
          <w:color w:val="231F20"/>
        </w:rPr>
        <w:t>For the year ended December 31, 2023, we had $75.3 million in unrealized gains on 130 portfolio company investments, which was offset by $56.4 million in unrealized losses on 21 portfolio company investments. Unrealized gains for the year ended December 31, 2023 resulted from an increase in fair value, primarily due to positive valuation adjustments, unwind of prior period unrealized losses, and changes in credit spreads. Unrealized losses for the year ended December 31, 2023 resulted from the reversal of prior period unrealized gains due to realizations and negative credit-related adjustments.</w:t>
      </w:r>
    </w:p>
    <w:p>
      <w:pPr>
        <w:spacing w:after="0" w:line="188" w:lineRule="exact"/>
        <w:rPr>
          <w:sz w:val="20"/>
          <w:szCs w:val="20"/>
          <w:color w:val="auto"/>
        </w:rPr>
      </w:pPr>
    </w:p>
    <w:p>
      <w:pPr>
        <w:ind w:right="40" w:firstLine="231"/>
        <w:spacing w:after="0" w:line="247" w:lineRule="auto"/>
        <w:rPr>
          <w:sz w:val="20"/>
          <w:szCs w:val="20"/>
          <w:color w:val="auto"/>
        </w:rPr>
      </w:pPr>
      <w:r>
        <w:rPr>
          <w:rFonts w:ascii="Times New Roman" w:cs="Times New Roman" w:eastAsia="Times New Roman" w:hAnsi="Times New Roman"/>
          <w:sz w:val="19"/>
          <w:szCs w:val="19"/>
          <w:color w:val="231F20"/>
        </w:rPr>
        <w:t>For the year ended December 31, 2022, we had $22.3 million in unrealized gains on 26 portfolio company investments, which was offset by $98.7 million in unrealized losses on 106 portfolio company investments. Unrealized gains for the year ended December 31, 2022 resulted from an increase in fair value, primarily due to positive valuation adjustments, unwind of prior period unrealized losses, and changes in credit spreads. Unrealized losses for the year ended December 31, 2022 resulted from the reversal of prior period unrealized gains due to realizations, negative credit-related adjustments and changes in credit spreads.</w:t>
      </w:r>
    </w:p>
    <w:p>
      <w:pPr>
        <w:sectPr>
          <w:pgSz w:w="12240" w:h="15840" w:orient="portrait"/>
          <w:cols w:equalWidth="0" w:num="1">
            <w:col w:w="10180"/>
          </w:cols>
          <w:pgMar w:left="1020" w:top="1319" w:right="1040" w:bottom="574" w:gutter="0" w:footer="0" w:header="0"/>
        </w:sectPr>
      </w:pP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231F20"/>
        </w:rPr>
        <w:t>73</w:t>
      </w:r>
    </w:p>
    <w:p>
      <w:pPr>
        <w:sectPr>
          <w:pgSz w:w="12240" w:h="15840" w:orient="portrait"/>
          <w:cols w:equalWidth="0" w:num="1">
            <w:col w:w="10180"/>
          </w:cols>
          <w:pgMar w:left="1020" w:top="1319" w:right="1040" w:bottom="574" w:gutter="0" w:footer="0" w:header="0"/>
          <w:type w:val="continuous"/>
        </w:sectPr>
      </w:pPr>
    </w:p>
    <w:bookmarkStart w:id="73" w:name="page74"/>
    <w:bookmarkEnd w:id="73"/>
    <w:p>
      <w:pPr>
        <w:ind w:firstLine="231"/>
        <w:spacing w:after="0" w:line="259" w:lineRule="auto"/>
        <w:rPr>
          <w:sz w:val="20"/>
          <w:szCs w:val="20"/>
          <w:color w:val="auto"/>
        </w:rPr>
      </w:pPr>
      <w:r>
        <w:rPr>
          <w:rFonts w:ascii="Times New Roman" w:cs="Times New Roman" w:eastAsia="Times New Roman" w:hAnsi="Times New Roman"/>
          <w:sz w:val="18"/>
          <w:szCs w:val="18"/>
          <w:color w:val="231F20"/>
        </w:rPr>
        <w:t>For the year ended December 31, 2024, we had unrealized gains on foreign currency borrowings of $13.4 million, primarily as a result of fluctuations in the AUD, CAD, SEK, GBP and EUR exchange rates. For the years ended December 31, 2023 and 2022, we had an unrealized loss on foreign currency borrowings of $6.0 million and an unrealized gain on foreign currency borrowings of $8.4 million, respectively, primarily as a result of fluctuations in the AUD, CAD, GBP and EUR exchange rates. For the years ended December 31, 2024, December 31, 2023 and December 31, 2022, we had unrealized losses of less than $0.1 million, unrealized loss of $0.3 million, and an unrealized gain of $0.3 million, respectively, on foreign currency cash. For the year ended December 31, 2024, December 31, 2023 and December 31, 2022, we had no unrealized gains or losses on interest rate swaps, an unrealized gain on interest swaps of $0.1 million and an unrealized loss on interest swaps of $6.6 million, respectively, due to fluctuations in interest rates.</w:t>
      </w:r>
    </w:p>
    <w:p>
      <w:pPr>
        <w:spacing w:after="0" w:line="177" w:lineRule="exact"/>
        <w:rPr>
          <w:sz w:val="20"/>
          <w:szCs w:val="20"/>
          <w:color w:val="auto"/>
        </w:rPr>
      </w:pPr>
    </w:p>
    <w:p>
      <w:pPr>
        <w:ind w:right="180" w:firstLine="231"/>
        <w:spacing w:after="0" w:line="250" w:lineRule="auto"/>
        <w:rPr>
          <w:sz w:val="20"/>
          <w:szCs w:val="20"/>
          <w:color w:val="auto"/>
        </w:rPr>
      </w:pPr>
      <w:r>
        <w:rPr>
          <w:rFonts w:ascii="Times New Roman" w:cs="Times New Roman" w:eastAsia="Times New Roman" w:hAnsi="Times New Roman"/>
          <w:sz w:val="19"/>
          <w:szCs w:val="19"/>
          <w:color w:val="231F20"/>
        </w:rPr>
        <w:t>As of December 31, 2024, we had a deferred tax liability of $5.2 million pertaining to net unrealized gains, related to eight of our investments. Given the unrealized gains generated by this entity, the deferred tax liability has been offset by a deferred tax asset of $0.6 million pertaining to operating losses. We recorded a current tax expense of $0.2 million and a deferred tax expense of $2.6 million for the year ended December 31, 2024.</w:t>
      </w:r>
    </w:p>
    <w:p>
      <w:pPr>
        <w:spacing w:after="0" w:line="166" w:lineRule="exact"/>
        <w:rPr>
          <w:sz w:val="20"/>
          <w:szCs w:val="20"/>
          <w:color w:val="auto"/>
        </w:rPr>
      </w:pPr>
    </w:p>
    <w:p>
      <w:pPr>
        <w:ind w:right="120" w:firstLine="231"/>
        <w:spacing w:after="0" w:line="228" w:lineRule="auto"/>
        <w:rPr>
          <w:sz w:val="20"/>
          <w:szCs w:val="20"/>
          <w:color w:val="auto"/>
        </w:rPr>
      </w:pPr>
      <w:r>
        <w:rPr>
          <w:rFonts w:ascii="Times New Roman" w:cs="Times New Roman" w:eastAsia="Times New Roman" w:hAnsi="Times New Roman"/>
          <w:sz w:val="19"/>
          <w:szCs w:val="19"/>
          <w:color w:val="231F20"/>
        </w:rPr>
        <w:t>As of December 31, 2023, we had a deferred tax liability of $2.8 million pertaining to net unrealized gains, related to seven of our investments. Given the unrealized gains generated by this entity, the deferred tax liability has been offset by a deferred tax asset of $0.9 million pertaining to operating losses. We recorded a current tax expense of $0.1 million and a deferred tax benefit of $0.6 million for the year ended December 31, 2023.</w:t>
      </w:r>
    </w:p>
    <w:p>
      <w:pPr>
        <w:spacing w:after="0" w:line="171" w:lineRule="exact"/>
        <w:rPr>
          <w:sz w:val="20"/>
          <w:szCs w:val="20"/>
          <w:color w:val="auto"/>
        </w:rPr>
      </w:pPr>
    </w:p>
    <w:p>
      <w:pPr>
        <w:ind w:right="180" w:firstLine="231"/>
        <w:spacing w:after="0" w:line="234" w:lineRule="auto"/>
        <w:rPr>
          <w:sz w:val="20"/>
          <w:szCs w:val="20"/>
          <w:color w:val="auto"/>
        </w:rPr>
      </w:pPr>
      <w:r>
        <w:rPr>
          <w:rFonts w:ascii="Times New Roman" w:cs="Times New Roman" w:eastAsia="Times New Roman" w:hAnsi="Times New Roman"/>
          <w:sz w:val="19"/>
          <w:szCs w:val="19"/>
          <w:color w:val="231F20"/>
        </w:rPr>
        <w:t>As of December 31, 2022, we had a deferred tax liability of $3.3 million pertaining to net unrealized gains, related to eight of our investments. Given the unrealized gains generated by this entity, the deferred tax liability has been offset by a deferred tax asset of $0.8 million pertaining to operating losses.</w:t>
      </w: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231F20"/>
        </w:rPr>
        <w:t>Realized Gross Internal Rate of Return</w:t>
      </w:r>
    </w:p>
    <w:p>
      <w:pPr>
        <w:spacing w:after="0" w:line="110" w:lineRule="exact"/>
        <w:rPr>
          <w:sz w:val="20"/>
          <w:szCs w:val="20"/>
          <w:color w:val="auto"/>
        </w:rPr>
      </w:pPr>
    </w:p>
    <w:p>
      <w:pPr>
        <w:ind w:firstLine="231"/>
        <w:spacing w:after="0" w:line="250" w:lineRule="auto"/>
        <w:rPr>
          <w:sz w:val="20"/>
          <w:szCs w:val="20"/>
          <w:color w:val="auto"/>
        </w:rPr>
      </w:pPr>
      <w:r>
        <w:rPr>
          <w:rFonts w:ascii="Times New Roman" w:cs="Times New Roman" w:eastAsia="Times New Roman" w:hAnsi="Times New Roman"/>
          <w:sz w:val="19"/>
          <w:szCs w:val="19"/>
          <w:color w:val="231F20"/>
        </w:rPr>
        <w:t>Since we began investing in 2011 through December 31, 2024, weighted by capital invested, our exited investments have generated an average realized gross internal rate of return to us of 17.1% (based on total capital invested of $7.9 billion and total proceeds from these exited investments of $10.0 billion). Ninety-two percent of these exited investments resulted in a realized gross internal rate of return to us of 10% or greater.</w:t>
      </w:r>
    </w:p>
    <w:p>
      <w:pPr>
        <w:spacing w:after="0" w:line="185" w:lineRule="exact"/>
        <w:rPr>
          <w:sz w:val="20"/>
          <w:szCs w:val="20"/>
          <w:color w:val="auto"/>
        </w:rPr>
      </w:pPr>
    </w:p>
    <w:p>
      <w:pPr>
        <w:ind w:right="60" w:firstLine="231"/>
        <w:spacing w:after="0" w:line="257" w:lineRule="auto"/>
        <w:rPr>
          <w:sz w:val="20"/>
          <w:szCs w:val="20"/>
          <w:color w:val="auto"/>
        </w:rPr>
      </w:pPr>
      <w:r>
        <w:rPr>
          <w:rFonts w:ascii="Times New Roman" w:cs="Times New Roman" w:eastAsia="Times New Roman" w:hAnsi="Times New Roman"/>
          <w:sz w:val="19"/>
          <w:szCs w:val="19"/>
          <w:color w:val="231F20"/>
        </w:rPr>
        <w:t>Gross IRR, with respect to an investment, is calculated based on the dates that we invested capital and dates we received distributions, regardless of when we made distributions to our stockholders. Initial investments are assumed to occur at time zero, and all cash flows are deemed to occur on the fifteenth of each month in which they occur.</w:t>
      </w:r>
    </w:p>
    <w:p>
      <w:pPr>
        <w:spacing w:after="0" w:line="176" w:lineRule="exact"/>
        <w:rPr>
          <w:sz w:val="20"/>
          <w:szCs w:val="20"/>
          <w:color w:val="auto"/>
        </w:rPr>
      </w:pPr>
    </w:p>
    <w:p>
      <w:pPr>
        <w:ind w:right="180" w:firstLine="231"/>
        <w:spacing w:after="0" w:line="257" w:lineRule="auto"/>
        <w:rPr>
          <w:sz w:val="20"/>
          <w:szCs w:val="20"/>
          <w:color w:val="auto"/>
        </w:rPr>
      </w:pPr>
      <w:r>
        <w:rPr>
          <w:rFonts w:ascii="Times New Roman" w:cs="Times New Roman" w:eastAsia="Times New Roman" w:hAnsi="Times New Roman"/>
          <w:sz w:val="19"/>
          <w:szCs w:val="19"/>
          <w:color w:val="231F20"/>
        </w:rPr>
        <w:t>Gross IRR reflects historical results relating to our past performance and is not necessarily indicative of our future results. In addition, gross IRR does not reflect the effect of Management Fees, expenses, Incentive Fees or taxes borne, or to be borne, by us or our stockholders, and would be lower if it did.</w:t>
      </w:r>
    </w:p>
    <w:p>
      <w:pPr>
        <w:spacing w:after="0" w:line="176" w:lineRule="exact"/>
        <w:rPr>
          <w:sz w:val="20"/>
          <w:szCs w:val="20"/>
          <w:color w:val="auto"/>
        </w:rPr>
      </w:pPr>
    </w:p>
    <w:p>
      <w:pPr>
        <w:ind w:right="640" w:firstLine="231"/>
        <w:spacing w:after="0" w:line="275" w:lineRule="auto"/>
        <w:rPr>
          <w:sz w:val="20"/>
          <w:szCs w:val="20"/>
          <w:color w:val="auto"/>
        </w:rPr>
      </w:pPr>
      <w:r>
        <w:rPr>
          <w:rFonts w:ascii="Times New Roman" w:cs="Times New Roman" w:eastAsia="Times New Roman" w:hAnsi="Times New Roman"/>
          <w:sz w:val="19"/>
          <w:szCs w:val="19"/>
          <w:color w:val="231F20"/>
        </w:rPr>
        <w:t>Average gross IRR is the average of the gross IRR for each of our exited investments (each calculated as described above), weighted by the total capital invested for each of those investments.</w:t>
      </w:r>
    </w:p>
    <w:p>
      <w:pPr>
        <w:spacing w:after="0" w:line="160" w:lineRule="exact"/>
        <w:rPr>
          <w:sz w:val="20"/>
          <w:szCs w:val="20"/>
          <w:color w:val="auto"/>
        </w:rPr>
      </w:pPr>
    </w:p>
    <w:p>
      <w:pPr>
        <w:ind w:right="280" w:firstLine="231"/>
        <w:spacing w:after="0" w:line="275" w:lineRule="auto"/>
        <w:rPr>
          <w:sz w:val="20"/>
          <w:szCs w:val="20"/>
          <w:color w:val="auto"/>
        </w:rPr>
      </w:pPr>
      <w:r>
        <w:rPr>
          <w:rFonts w:ascii="Times New Roman" w:cs="Times New Roman" w:eastAsia="Times New Roman" w:hAnsi="Times New Roman"/>
          <w:sz w:val="19"/>
          <w:szCs w:val="19"/>
          <w:color w:val="231F20"/>
        </w:rPr>
        <w:t>Average gross IRR on our exited investments reflects only invested and realized cash amounts as described above, and does not reflect any unrealized gains or losses in our portfolio.</w:t>
      </w:r>
    </w:p>
    <w:p>
      <w:pPr>
        <w:spacing w:after="0" w:line="160" w:lineRule="exact"/>
        <w:rPr>
          <w:sz w:val="20"/>
          <w:szCs w:val="20"/>
          <w:color w:val="auto"/>
        </w:rPr>
      </w:pPr>
    </w:p>
    <w:p>
      <w:pPr>
        <w:ind w:right="20" w:firstLine="231"/>
        <w:spacing w:after="0" w:line="250" w:lineRule="auto"/>
        <w:rPr>
          <w:sz w:val="20"/>
          <w:szCs w:val="20"/>
          <w:color w:val="auto"/>
        </w:rPr>
      </w:pPr>
      <w:r>
        <w:rPr>
          <w:rFonts w:ascii="Times New Roman" w:cs="Times New Roman" w:eastAsia="Times New Roman" w:hAnsi="Times New Roman"/>
          <w:sz w:val="19"/>
          <w:szCs w:val="19"/>
          <w:color w:val="231F20"/>
        </w:rPr>
        <w:t>Internal rate of return, or IRR, is a measure of our discounted cash flows (inflows and outflows). Specifically, IRR is the discount rate at which the net present value of all cash flows is equal to zero. That is, IRR is the discount rate at which the present value of total capital invested in each of our investments is equal to the present value of all realized returns from that investment. Our IRR calculations are unaudited.</w:t>
      </w:r>
    </w:p>
    <w:p>
      <w:pPr>
        <w:spacing w:after="0" w:line="185" w:lineRule="exact"/>
        <w:rPr>
          <w:sz w:val="20"/>
          <w:szCs w:val="20"/>
          <w:color w:val="auto"/>
        </w:rPr>
      </w:pPr>
    </w:p>
    <w:p>
      <w:pPr>
        <w:ind w:right="40" w:firstLine="231"/>
        <w:spacing w:after="0" w:line="250" w:lineRule="auto"/>
        <w:rPr>
          <w:sz w:val="20"/>
          <w:szCs w:val="20"/>
          <w:color w:val="auto"/>
        </w:rPr>
      </w:pPr>
      <w:r>
        <w:rPr>
          <w:rFonts w:ascii="Times New Roman" w:cs="Times New Roman" w:eastAsia="Times New Roman" w:hAnsi="Times New Roman"/>
          <w:sz w:val="19"/>
          <w:szCs w:val="19"/>
          <w:color w:val="231F20"/>
        </w:rPr>
        <w:t>Capital invested, with respect to an investment, represents the aggregate cost basis allocable to the realized or unrealized portion of the investment, net of any upfront fees paid at closing for the term loan portion of the investment. Capital invested also includes realized losses on hedging activity, with respect to an investment, which represents any inception-to-date realized losses on foreign currency forward contracts allocable to the investment, if any.</w:t>
      </w:r>
    </w:p>
    <w:p>
      <w:pPr>
        <w:spacing w:after="0" w:line="185" w:lineRule="exact"/>
        <w:rPr>
          <w:sz w:val="20"/>
          <w:szCs w:val="20"/>
          <w:color w:val="auto"/>
        </w:rPr>
      </w:pPr>
    </w:p>
    <w:p>
      <w:pPr>
        <w:ind w:right="200" w:firstLine="231"/>
        <w:spacing w:after="0" w:line="269" w:lineRule="auto"/>
        <w:rPr>
          <w:sz w:val="20"/>
          <w:szCs w:val="20"/>
          <w:color w:val="auto"/>
        </w:rPr>
      </w:pPr>
      <w:r>
        <w:rPr>
          <w:rFonts w:ascii="Times New Roman" w:cs="Times New Roman" w:eastAsia="Times New Roman" w:hAnsi="Times New Roman"/>
          <w:sz w:val="18"/>
          <w:szCs w:val="18"/>
          <w:color w:val="231F20"/>
        </w:rPr>
        <w:t>Realized returns, with respect to an investment, represents the total cash received with respect to each investment, including all amortization payments, interest, dividends, prepayment fees, upfront fees, administrative fees, agent fees, amendment fees, accrued interest, and other fees and proceeds. Realized returns also include realized gains on hedging activity, with respect to an investment, which represents any inception-to-date realized gains on foreign currency forward contracts allocable to the investment, if any.</w:t>
      </w:r>
    </w:p>
    <w:p>
      <w:pPr>
        <w:sectPr>
          <w:pgSz w:w="12240" w:h="15840" w:orient="portrait"/>
          <w:cols w:equalWidth="0" w:num="1">
            <w:col w:w="10180"/>
          </w:cols>
          <w:pgMar w:left="1020" w:top="1317" w:right="1040" w:bottom="574" w:gutter="0" w:footer="0" w:header="0"/>
        </w:sectPr>
      </w:pPr>
    </w:p>
    <w:p>
      <w:pPr>
        <w:spacing w:after="0" w:line="200" w:lineRule="exact"/>
        <w:rPr>
          <w:sz w:val="20"/>
          <w:szCs w:val="20"/>
          <w:color w:val="auto"/>
        </w:rPr>
      </w:pPr>
    </w:p>
    <w:p>
      <w:pPr>
        <w:spacing w:after="0" w:line="3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231F20"/>
        </w:rPr>
        <w:t>74</w:t>
      </w:r>
    </w:p>
    <w:p>
      <w:pPr>
        <w:sectPr>
          <w:pgSz w:w="12240" w:h="15840" w:orient="portrait"/>
          <w:cols w:equalWidth="0" w:num="1">
            <w:col w:w="10180"/>
          </w:cols>
          <w:pgMar w:left="1020" w:top="1317" w:right="1040" w:bottom="574" w:gutter="0" w:footer="0" w:header="0"/>
          <w:type w:val="continuous"/>
        </w:sectPr>
      </w:pPr>
    </w:p>
    <w:bookmarkStart w:id="74" w:name="page75"/>
    <w:bookmarkEnd w:id="74"/>
    <w:p>
      <w:pPr>
        <w:spacing w:after="0"/>
        <w:rPr>
          <w:sz w:val="20"/>
          <w:szCs w:val="20"/>
          <w:color w:val="auto"/>
        </w:rPr>
      </w:pPr>
      <w:r>
        <w:rPr>
          <w:rFonts w:ascii="Times New Roman" w:cs="Times New Roman" w:eastAsia="Times New Roman" w:hAnsi="Times New Roman"/>
          <w:sz w:val="19"/>
          <w:szCs w:val="19"/>
          <w:b w:val="1"/>
          <w:bCs w:val="1"/>
          <w:i w:val="1"/>
          <w:iCs w:val="1"/>
          <w:color w:val="231F20"/>
        </w:rPr>
        <w:t>Interest Rate and Foreign Currency Hedging</w:t>
      </w:r>
    </w:p>
    <w:p>
      <w:pPr>
        <w:spacing w:after="0" w:line="110" w:lineRule="exact"/>
        <w:rPr>
          <w:sz w:val="20"/>
          <w:szCs w:val="20"/>
          <w:color w:val="auto"/>
        </w:rPr>
      </w:pPr>
    </w:p>
    <w:p>
      <w:pPr>
        <w:ind w:right="80" w:firstLine="231"/>
        <w:spacing w:after="0" w:line="269" w:lineRule="auto"/>
        <w:rPr>
          <w:sz w:val="20"/>
          <w:szCs w:val="20"/>
          <w:color w:val="auto"/>
        </w:rPr>
      </w:pPr>
      <w:r>
        <w:rPr>
          <w:rFonts w:ascii="Times New Roman" w:cs="Times New Roman" w:eastAsia="Times New Roman" w:hAnsi="Times New Roman"/>
          <w:sz w:val="18"/>
          <w:szCs w:val="18"/>
          <w:color w:val="231F20"/>
        </w:rPr>
        <w:t>We use interest rate swaps to hedge our fixed rate debt and certain fixed rate investments. We have designated certain interest rate swaps to be in a hedge accounting relationship. See Note 2 for additional disclosure regarding our accounting for derivative instruments designated in a hedge accounting relationship. See Note 5 for additional disclosure regarding these derivative instruments and the interest payments paid and received. See Note 7 for additional disclosure regarding the carrying value of our debt.</w:t>
      </w:r>
    </w:p>
    <w:p>
      <w:pPr>
        <w:spacing w:after="0" w:line="54" w:lineRule="exact"/>
        <w:rPr>
          <w:sz w:val="20"/>
          <w:szCs w:val="20"/>
          <w:color w:val="auto"/>
        </w:rPr>
      </w:pPr>
    </w:p>
    <w:p>
      <w:pPr>
        <w:ind w:right="40" w:firstLine="231"/>
        <w:spacing w:after="0" w:line="242" w:lineRule="auto"/>
        <w:rPr>
          <w:sz w:val="20"/>
          <w:szCs w:val="20"/>
          <w:color w:val="auto"/>
        </w:rPr>
      </w:pPr>
      <w:r>
        <w:rPr>
          <w:rFonts w:ascii="Times New Roman" w:cs="Times New Roman" w:eastAsia="Times New Roman" w:hAnsi="Times New Roman"/>
          <w:sz w:val="19"/>
          <w:szCs w:val="19"/>
          <w:color w:val="231F20"/>
        </w:rPr>
        <w:t>Our current approach to hedging the foreign currency exposure in our non-U.S. dollar denominated investments is primarily to borrow the par amount in local currency under our Revolving Credit Facility to fund these investments. For the years ended December 31, 2024, December 31, 2023 and December 31, 2022, we had $13.4 million of unrealized gains, $6.0 million of unrealized losses and $8.4 million of unrealized gains, respectively, on the translation of our non-U.S. dollar denominated debt into U.S. dollars; such amounts approximate the corresponding unrealized gains and losses on the translation of our non-U.S. dollar denominated investments into U.S. dollars for the years ended December 31, 2024, December 31, 2023 and December 31, 2022. See Note 2 for additional disclosure regarding our accounting for foreign currency. See Note 7 for additional disclosure regarding the amounts of outstanding debt denominated in each foreign currency at December 31, 2024. See our Consolidated Schedule of Investments for additional disclosure regarding the foreign currency amounts (in both par and fair value) of our non-U.S. dollar denominated investments.</w:t>
      </w: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231F20"/>
        </w:rPr>
        <w:t>Financial Condition, Liquidity and Capital Resources</w:t>
      </w:r>
    </w:p>
    <w:p>
      <w:pPr>
        <w:spacing w:after="0" w:line="114" w:lineRule="exact"/>
        <w:rPr>
          <w:sz w:val="20"/>
          <w:szCs w:val="20"/>
          <w:color w:val="auto"/>
        </w:rPr>
      </w:pPr>
    </w:p>
    <w:p>
      <w:pPr>
        <w:ind w:right="160" w:firstLine="231"/>
        <w:spacing w:after="0" w:line="275" w:lineRule="auto"/>
        <w:rPr>
          <w:sz w:val="20"/>
          <w:szCs w:val="20"/>
          <w:color w:val="auto"/>
        </w:rPr>
      </w:pPr>
      <w:r>
        <w:rPr>
          <w:rFonts w:ascii="Times New Roman" w:cs="Times New Roman" w:eastAsia="Times New Roman" w:hAnsi="Times New Roman"/>
          <w:sz w:val="19"/>
          <w:szCs w:val="19"/>
          <w:color w:val="231F20"/>
        </w:rPr>
        <w:t>Our liquidity and capital resources are derived primarily from proceeds from equity issuances, advances from our credit facilities, and cash flows from operations. The primary uses of our cash and cash equivalents are:</w:t>
      </w:r>
    </w:p>
    <w:p>
      <w:pPr>
        <w:spacing w:after="0" w:line="61" w:lineRule="exact"/>
        <w:rPr>
          <w:sz w:val="20"/>
          <w:szCs w:val="20"/>
          <w:color w:val="auto"/>
        </w:rPr>
      </w:pPr>
    </w:p>
    <w:p>
      <w:pPr>
        <w:ind w:left="460" w:hanging="229"/>
        <w:spacing w:after="0"/>
        <w:tabs>
          <w:tab w:leader="none" w:pos="460" w:val="left"/>
        </w:tabs>
        <w:numPr>
          <w:ilvl w:val="0"/>
          <w:numId w:val="59"/>
        </w:numPr>
        <w:rPr>
          <w:rFonts w:ascii="Arial" w:cs="Arial" w:eastAsia="Arial" w:hAnsi="Arial"/>
          <w:sz w:val="19"/>
          <w:szCs w:val="19"/>
          <w:color w:val="231F20"/>
        </w:rPr>
      </w:pPr>
      <w:r>
        <w:rPr>
          <w:rFonts w:ascii="Times New Roman" w:cs="Times New Roman" w:eastAsia="Times New Roman" w:hAnsi="Times New Roman"/>
          <w:sz w:val="19"/>
          <w:szCs w:val="19"/>
          <w:color w:val="231F20"/>
        </w:rPr>
        <w:t>investments in portfolio companies and other investments and to comply with certain portfolio diversification requirements;</w:t>
      </w:r>
    </w:p>
    <w:p>
      <w:pPr>
        <w:spacing w:after="0" w:line="124" w:lineRule="exact"/>
        <w:rPr>
          <w:rFonts w:ascii="Arial" w:cs="Arial" w:eastAsia="Arial" w:hAnsi="Arial"/>
          <w:sz w:val="19"/>
          <w:szCs w:val="19"/>
          <w:color w:val="231F20"/>
        </w:rPr>
      </w:pPr>
    </w:p>
    <w:p>
      <w:pPr>
        <w:ind w:left="460" w:hanging="229"/>
        <w:spacing w:after="0"/>
        <w:tabs>
          <w:tab w:leader="none" w:pos="460" w:val="left"/>
        </w:tabs>
        <w:numPr>
          <w:ilvl w:val="0"/>
          <w:numId w:val="59"/>
        </w:numPr>
        <w:rPr>
          <w:rFonts w:ascii="Arial" w:cs="Arial" w:eastAsia="Arial" w:hAnsi="Arial"/>
          <w:sz w:val="19"/>
          <w:szCs w:val="19"/>
          <w:color w:val="231F20"/>
        </w:rPr>
      </w:pPr>
      <w:r>
        <w:rPr>
          <w:rFonts w:ascii="Times New Roman" w:cs="Times New Roman" w:eastAsia="Times New Roman" w:hAnsi="Times New Roman"/>
          <w:sz w:val="19"/>
          <w:szCs w:val="19"/>
          <w:color w:val="231F20"/>
        </w:rPr>
        <w:t>the cost of operations (including paying our Adviser);</w:t>
      </w:r>
    </w:p>
    <w:p>
      <w:pPr>
        <w:spacing w:after="0" w:line="124" w:lineRule="exact"/>
        <w:rPr>
          <w:rFonts w:ascii="Arial" w:cs="Arial" w:eastAsia="Arial" w:hAnsi="Arial"/>
          <w:sz w:val="19"/>
          <w:szCs w:val="19"/>
          <w:color w:val="231F20"/>
        </w:rPr>
      </w:pPr>
    </w:p>
    <w:p>
      <w:pPr>
        <w:ind w:left="460" w:hanging="229"/>
        <w:spacing w:after="0"/>
        <w:tabs>
          <w:tab w:leader="none" w:pos="460" w:val="left"/>
        </w:tabs>
        <w:numPr>
          <w:ilvl w:val="0"/>
          <w:numId w:val="59"/>
        </w:numPr>
        <w:rPr>
          <w:rFonts w:ascii="Arial" w:cs="Arial" w:eastAsia="Arial" w:hAnsi="Arial"/>
          <w:sz w:val="19"/>
          <w:szCs w:val="19"/>
          <w:color w:val="231F20"/>
        </w:rPr>
      </w:pPr>
      <w:r>
        <w:rPr>
          <w:rFonts w:ascii="Times New Roman" w:cs="Times New Roman" w:eastAsia="Times New Roman" w:hAnsi="Times New Roman"/>
          <w:sz w:val="19"/>
          <w:szCs w:val="19"/>
          <w:color w:val="231F20"/>
        </w:rPr>
        <w:t>debt service, repayment, and other financing costs; and</w:t>
      </w:r>
    </w:p>
    <w:p>
      <w:pPr>
        <w:spacing w:after="0" w:line="124" w:lineRule="exact"/>
        <w:rPr>
          <w:rFonts w:ascii="Arial" w:cs="Arial" w:eastAsia="Arial" w:hAnsi="Arial"/>
          <w:sz w:val="19"/>
          <w:szCs w:val="19"/>
          <w:color w:val="231F20"/>
        </w:rPr>
      </w:pPr>
    </w:p>
    <w:p>
      <w:pPr>
        <w:ind w:left="460" w:hanging="229"/>
        <w:spacing w:after="0"/>
        <w:tabs>
          <w:tab w:leader="none" w:pos="460" w:val="left"/>
        </w:tabs>
        <w:numPr>
          <w:ilvl w:val="0"/>
          <w:numId w:val="59"/>
        </w:numPr>
        <w:rPr>
          <w:rFonts w:ascii="Arial" w:cs="Arial" w:eastAsia="Arial" w:hAnsi="Arial"/>
          <w:sz w:val="19"/>
          <w:szCs w:val="19"/>
          <w:color w:val="231F20"/>
        </w:rPr>
      </w:pPr>
      <w:r>
        <w:rPr>
          <w:rFonts w:ascii="Times New Roman" w:cs="Times New Roman" w:eastAsia="Times New Roman" w:hAnsi="Times New Roman"/>
          <w:sz w:val="19"/>
          <w:szCs w:val="19"/>
          <w:color w:val="231F20"/>
        </w:rPr>
        <w:t>cash dividends to the holders of our shares.</w:t>
      </w:r>
    </w:p>
    <w:p>
      <w:pPr>
        <w:spacing w:after="0" w:line="225"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9"/>
          <w:szCs w:val="19"/>
          <w:color w:val="231F20"/>
        </w:rPr>
        <w:t>We intend to continue to generate cash primarily from cash flows from operations, future borrowings and future offerings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securities. We may from time to time enter into additional debt facilities, increase the size of existing facilities or issue debt securities.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231F20"/>
        </w:rPr>
        <w:t>Any such incurrence or issuance would be subject to prevailing market conditions, our liquidity requirements, contractual and</w:t>
      </w:r>
    </w:p>
    <w:p>
      <w:pPr>
        <w:spacing w:after="0" w:line="238" w:lineRule="auto"/>
        <w:rPr>
          <w:sz w:val="20"/>
          <w:szCs w:val="20"/>
          <w:color w:val="auto"/>
        </w:rPr>
      </w:pPr>
      <w:r>
        <w:rPr>
          <w:rFonts w:ascii="Times New Roman" w:cs="Times New Roman" w:eastAsia="Times New Roman" w:hAnsi="Times New Roman"/>
          <w:sz w:val="19"/>
          <w:szCs w:val="19"/>
          <w:color w:val="231F20"/>
        </w:rPr>
        <w:t>regulatory restrictions and other factors. In accordance with the 1940 Act, with certain limited exceptions, we are only allowed to</w:t>
      </w:r>
    </w:p>
    <w:p>
      <w:pPr>
        <w:spacing w:after="0"/>
        <w:rPr>
          <w:sz w:val="20"/>
          <w:szCs w:val="20"/>
          <w:color w:val="auto"/>
        </w:rPr>
      </w:pPr>
      <w:r>
        <w:rPr>
          <w:rFonts w:ascii="Times New Roman" w:cs="Times New Roman" w:eastAsia="Times New Roman" w:hAnsi="Times New Roman"/>
          <w:sz w:val="19"/>
          <w:szCs w:val="19"/>
          <w:color w:val="231F20"/>
        </w:rPr>
        <w:t>incur borrowings, issue debt securities or issue preferred stock if immediately after the borrowing or issuance our ratio of total assets</w:t>
      </w:r>
    </w:p>
    <w:p>
      <w:pPr>
        <w:spacing w:after="0" w:line="238" w:lineRule="auto"/>
        <w:rPr>
          <w:sz w:val="20"/>
          <w:szCs w:val="20"/>
          <w:color w:val="auto"/>
        </w:rPr>
      </w:pPr>
      <w:r>
        <w:rPr>
          <w:rFonts w:ascii="Times New Roman" w:cs="Times New Roman" w:eastAsia="Times New Roman" w:hAnsi="Times New Roman"/>
          <w:sz w:val="19"/>
          <w:szCs w:val="19"/>
          <w:color w:val="231F20"/>
        </w:rPr>
        <w:t>(less total liabilities other than indebtedness) to total indebtedness plus preferred stock, is at least 150%. For more information, see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w:t>
      </w:r>
      <w:r>
        <w:rPr>
          <w:rFonts w:ascii="Times New Roman" w:cs="Times New Roman" w:eastAsia="Times New Roman" w:hAnsi="Times New Roman"/>
          <w:sz w:val="18"/>
          <w:szCs w:val="18"/>
          <w:i w:val="1"/>
          <w:iCs w:val="1"/>
          <w:color w:val="231F20"/>
        </w:rPr>
        <w:t>Key Components of Our Results of Operations — Leverage</w:t>
      </w:r>
      <w:r>
        <w:rPr>
          <w:rFonts w:ascii="Times New Roman" w:cs="Times New Roman" w:eastAsia="Times New Roman" w:hAnsi="Times New Roman"/>
          <w:sz w:val="18"/>
          <w:szCs w:val="18"/>
          <w:color w:val="231F20"/>
        </w:rPr>
        <w:t>” above. As of December 31, 2024, December 31, 2023 and December 31,</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231F20"/>
        </w:rPr>
        <w:t>2022, our asset coverage ratio was 182.5%, 181.6%, and 188.6%, respectively. We carefully consider our unfunded commitments for</w:t>
      </w:r>
    </w:p>
    <w:p>
      <w:pPr>
        <w:spacing w:after="0" w:line="238" w:lineRule="auto"/>
        <w:rPr>
          <w:sz w:val="20"/>
          <w:szCs w:val="20"/>
          <w:color w:val="auto"/>
        </w:rPr>
      </w:pPr>
      <w:r>
        <w:rPr>
          <w:rFonts w:ascii="Times New Roman" w:cs="Times New Roman" w:eastAsia="Times New Roman" w:hAnsi="Times New Roman"/>
          <w:sz w:val="19"/>
          <w:szCs w:val="19"/>
          <w:color w:val="231F20"/>
        </w:rPr>
        <w:t>the purpose of planning our capital resources and ongoing liquidity, including our financial leverage. Further, we maintain sufficient</w:t>
      </w:r>
    </w:p>
    <w:p>
      <w:pPr>
        <w:spacing w:after="0"/>
        <w:rPr>
          <w:sz w:val="20"/>
          <w:szCs w:val="20"/>
          <w:color w:val="auto"/>
        </w:rPr>
      </w:pPr>
      <w:r>
        <w:rPr>
          <w:rFonts w:ascii="Times New Roman" w:cs="Times New Roman" w:eastAsia="Times New Roman" w:hAnsi="Times New Roman"/>
          <w:sz w:val="19"/>
          <w:szCs w:val="19"/>
          <w:color w:val="231F20"/>
        </w:rPr>
        <w:t>borrowing capacity within the 150% asset coverage limitation under the 1940 Act and the asset coverage limitation under our credit</w:t>
      </w:r>
    </w:p>
    <w:p>
      <w:pPr>
        <w:spacing w:after="0"/>
        <w:rPr>
          <w:sz w:val="20"/>
          <w:szCs w:val="20"/>
          <w:color w:val="auto"/>
        </w:rPr>
      </w:pPr>
      <w:r>
        <w:rPr>
          <w:rFonts w:ascii="Times New Roman" w:cs="Times New Roman" w:eastAsia="Times New Roman" w:hAnsi="Times New Roman"/>
          <w:sz w:val="19"/>
          <w:szCs w:val="19"/>
          <w:color w:val="231F20"/>
        </w:rPr>
        <w:t>facilities to cover any outstanding unfunded commitments we are required to fund.</w:t>
      </w:r>
    </w:p>
    <w:p>
      <w:pPr>
        <w:spacing w:after="0" w:line="197" w:lineRule="exact"/>
        <w:rPr>
          <w:sz w:val="20"/>
          <w:szCs w:val="20"/>
          <w:color w:val="auto"/>
        </w:rPr>
      </w:pPr>
    </w:p>
    <w:p>
      <w:pPr>
        <w:jc w:val="both"/>
        <w:ind w:right="60" w:firstLine="231"/>
        <w:spacing w:after="0" w:line="257" w:lineRule="auto"/>
        <w:rPr>
          <w:sz w:val="20"/>
          <w:szCs w:val="20"/>
          <w:color w:val="auto"/>
        </w:rPr>
      </w:pPr>
      <w:r>
        <w:rPr>
          <w:rFonts w:ascii="Times New Roman" w:cs="Times New Roman" w:eastAsia="Times New Roman" w:hAnsi="Times New Roman"/>
          <w:sz w:val="19"/>
          <w:szCs w:val="19"/>
          <w:color w:val="231F20"/>
        </w:rPr>
        <w:t>Cash and cash equivalents as of December 31, 2024, taken together with cash available under our credit facilities, is expected to be sufficient for our investing activities and to conduct our operations in the near term. As of December 31, 2024, we had approximately $0.7 billion of availability on our Revolving Credit Facility, subject to asset coverage limitations.</w:t>
      </w:r>
    </w:p>
    <w:p>
      <w:pPr>
        <w:spacing w:after="0" w:line="176" w:lineRule="exact"/>
        <w:rPr>
          <w:sz w:val="20"/>
          <w:szCs w:val="20"/>
          <w:color w:val="auto"/>
        </w:rPr>
      </w:pPr>
    </w:p>
    <w:p>
      <w:pPr>
        <w:ind w:right="20" w:firstLine="231"/>
        <w:spacing w:after="0" w:line="244" w:lineRule="auto"/>
        <w:rPr>
          <w:sz w:val="20"/>
          <w:szCs w:val="20"/>
          <w:color w:val="auto"/>
        </w:rPr>
      </w:pPr>
      <w:r>
        <w:rPr>
          <w:rFonts w:ascii="Times New Roman" w:cs="Times New Roman" w:eastAsia="Times New Roman" w:hAnsi="Times New Roman"/>
          <w:sz w:val="19"/>
          <w:szCs w:val="19"/>
          <w:color w:val="231F20"/>
        </w:rPr>
        <w:t>As of December 31, 2024, we had $27.3 million in cash and cash equivalents, including $22.4 million of restricted cash. During the year ended December 31, 2024, cash used in operating activities was $45.5 million, primarily attributable to funding portfolio investments of $1,096.1 million, which was partially offset by repayments and proceeds from investments of $863.4 million, an increase in net assets resulting from operations of $186.6 million and other operating activity of $0.7 million. Cash provided by financing activities was $47.6 million during the period due to borrowings of $1,784.9 million and proceeds from issuance of common stock, net of offering and underwriting costs of $93.3 million, which was partially offset by paydowns on our Revolving Credit Facility of $1,653.1 million, dividends paid of $168.7 million and deferred financing costs of $8.8 million.</w:t>
      </w:r>
    </w:p>
    <w:p>
      <w:pPr>
        <w:spacing w:after="0" w:line="192" w:lineRule="exact"/>
        <w:rPr>
          <w:sz w:val="20"/>
          <w:szCs w:val="20"/>
          <w:color w:val="auto"/>
        </w:rPr>
      </w:pPr>
    </w:p>
    <w:p>
      <w:pPr>
        <w:ind w:right="20" w:firstLine="231"/>
        <w:spacing w:after="0" w:line="244" w:lineRule="auto"/>
        <w:rPr>
          <w:sz w:val="20"/>
          <w:szCs w:val="20"/>
          <w:color w:val="auto"/>
        </w:rPr>
      </w:pPr>
      <w:r>
        <w:rPr>
          <w:rFonts w:ascii="Times New Roman" w:cs="Times New Roman" w:eastAsia="Times New Roman" w:hAnsi="Times New Roman"/>
          <w:sz w:val="19"/>
          <w:szCs w:val="19"/>
          <w:color w:val="231F20"/>
        </w:rPr>
        <w:t>As of December 31, 2023, we had $25.2 million in cash and cash equivalents, including $24.0 million of restricted cash. During the year ended December 31, 2023, cash used in operating activities was $236.8 million, primarily attributable to funding portfolio investments of $943.5 million and other operating activity of $30.0 million, which was partially offset by repayments and proceeds from investments of $514.7 million and an increase in net assets resulting from operations of $222.0 million. Cash provided by financing activities was $236.3 million during the period due to borrowings of $1,546.2 million and proceeds from issuance of common stock, net of offering and underwriting costs of $89.2 million, which was partially offset by paydowns on our Revolving Credit Facility of $1,233.3 million, dividends paid of $156.4 million and deferred financing costs of $9.4 million.</w:t>
      </w:r>
    </w:p>
    <w:p>
      <w:pPr>
        <w:sectPr>
          <w:pgSz w:w="12240" w:h="15840" w:orient="portrait"/>
          <w:cols w:equalWidth="0" w:num="1">
            <w:col w:w="10200"/>
          </w:cols>
          <w:pgMar w:left="1020" w:top="1319" w:right="1020" w:bottom="574" w:gutter="0" w:footer="0" w:header="0"/>
        </w:sectPr>
      </w:pP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231F20"/>
        </w:rPr>
        <w:t>75</w:t>
      </w:r>
    </w:p>
    <w:p>
      <w:pPr>
        <w:sectPr>
          <w:pgSz w:w="12240" w:h="15840" w:orient="portrait"/>
          <w:cols w:equalWidth="0" w:num="1">
            <w:col w:w="10200"/>
          </w:cols>
          <w:pgMar w:left="1020" w:top="1319" w:right="1020" w:bottom="574" w:gutter="0" w:footer="0" w:header="0"/>
          <w:type w:val="continuous"/>
        </w:sectPr>
      </w:pPr>
    </w:p>
    <w:bookmarkStart w:id="75" w:name="page76"/>
    <w:bookmarkEnd w:id="75"/>
    <w:p>
      <w:pPr>
        <w:ind w:right="20" w:firstLine="231"/>
        <w:spacing w:after="0" w:line="243" w:lineRule="auto"/>
        <w:rPr>
          <w:sz w:val="20"/>
          <w:szCs w:val="20"/>
          <w:color w:val="auto"/>
        </w:rPr>
      </w:pPr>
      <w:r>
        <w:rPr>
          <w:rFonts w:ascii="Times New Roman" w:cs="Times New Roman" w:eastAsia="Times New Roman" w:hAnsi="Times New Roman"/>
          <w:sz w:val="19"/>
          <w:szCs w:val="19"/>
          <w:color w:val="231F20"/>
        </w:rPr>
        <w:t>As of December 31, 2022, we had $25.6 million in cash and cash equivalents, including $15.4 million of restricted cash. During the year ended December 31, 2022, cash used in operating activities was $224.5 million, primarily attributable to funding portfolio investments of $995.6 million, and other operating activity of $36.2 million which was partially offset by repayments and proceeds from investments of $699.3 million and an increase in net assets resulting from operations of $108.0 million. Cash provided by financing activities was $234.2 million during the period due to borrowings of $1,329.8 million and proceeds from the issuance of common stock as settlement of a portion of the 2022 Convertible Notes at maturity of $77.6 million, which was partially offset by paydowns on our Revolving Credit Facility of $918.1 million, dividends paid of $144.3 million, settlement of $100.0 million of principal on the 2022 Convertible Notes, repurchases of common stock of $6.2 million, and deferred financing costs of $4.3 million.</w:t>
      </w:r>
    </w:p>
    <w:p>
      <w:pPr>
        <w:spacing w:after="0" w:line="195" w:lineRule="exact"/>
        <w:rPr>
          <w:sz w:val="20"/>
          <w:szCs w:val="20"/>
          <w:color w:val="auto"/>
        </w:rPr>
      </w:pPr>
    </w:p>
    <w:p>
      <w:pPr>
        <w:ind w:right="480" w:firstLine="231"/>
        <w:spacing w:after="0" w:line="275" w:lineRule="auto"/>
        <w:rPr>
          <w:sz w:val="20"/>
          <w:szCs w:val="20"/>
          <w:color w:val="auto"/>
        </w:rPr>
      </w:pPr>
      <w:r>
        <w:rPr>
          <w:rFonts w:ascii="Times New Roman" w:cs="Times New Roman" w:eastAsia="Times New Roman" w:hAnsi="Times New Roman"/>
          <w:sz w:val="19"/>
          <w:szCs w:val="19"/>
          <w:color w:val="231F20"/>
        </w:rPr>
        <w:t>As of December 31, 2024, we had $22.4 million restricted cash pledged as collateral under our interest rate swap agreements, compared to $24.0 million for the year ended December 31, 2023.</w:t>
      </w:r>
    </w:p>
    <w:p>
      <w:pPr>
        <w:spacing w:after="0" w:line="27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231F20"/>
        </w:rPr>
        <w:t>Equity</w:t>
      </w:r>
    </w:p>
    <w:p>
      <w:pPr>
        <w:spacing w:after="0" w:line="223" w:lineRule="exact"/>
        <w:rPr>
          <w:sz w:val="20"/>
          <w:szCs w:val="20"/>
          <w:color w:val="auto"/>
        </w:rPr>
      </w:pPr>
    </w:p>
    <w:p>
      <w:pPr>
        <w:ind w:right="60" w:firstLine="231"/>
        <w:spacing w:after="0" w:line="250" w:lineRule="auto"/>
        <w:rPr>
          <w:sz w:val="20"/>
          <w:szCs w:val="20"/>
          <w:color w:val="auto"/>
        </w:rPr>
      </w:pPr>
      <w:r>
        <w:rPr>
          <w:rFonts w:ascii="Times New Roman" w:cs="Times New Roman" w:eastAsia="Times New Roman" w:hAnsi="Times New Roman"/>
          <w:sz w:val="19"/>
          <w:szCs w:val="19"/>
          <w:color w:val="231F20"/>
        </w:rPr>
        <w:t>In May 2023, we issued a total of 4,500,000 shares of common stock at $17.33 per share. Net of underwriting fees and offering costs, we received total cash proceeds of $77.6 million. Subsequent to the offering we issued an additional 675,000 shares on June 12, 2023 pursuant to the overallotment option granted to underwriters and received, net of underwriting fees, total cash proceeds of $11.7 million.</w:t>
      </w:r>
    </w:p>
    <w:p>
      <w:pPr>
        <w:spacing w:after="0" w:line="185" w:lineRule="exact"/>
        <w:rPr>
          <w:sz w:val="20"/>
          <w:szCs w:val="20"/>
          <w:color w:val="auto"/>
        </w:rPr>
      </w:pPr>
    </w:p>
    <w:p>
      <w:pPr>
        <w:ind w:firstLine="231"/>
        <w:spacing w:after="0" w:line="250" w:lineRule="auto"/>
        <w:rPr>
          <w:sz w:val="20"/>
          <w:szCs w:val="20"/>
          <w:color w:val="auto"/>
        </w:rPr>
      </w:pPr>
      <w:r>
        <w:rPr>
          <w:rFonts w:ascii="Times New Roman" w:cs="Times New Roman" w:eastAsia="Times New Roman" w:hAnsi="Times New Roman"/>
          <w:sz w:val="19"/>
          <w:szCs w:val="19"/>
          <w:color w:val="231F20"/>
        </w:rPr>
        <w:t>On March 5, 2024, we issued a total of 4,000,000 shares of common stock at $20.52 per share. Net of underwriting fees and offering costs, we received total cash proceeds of $81.5 million. Subsequent to the offering, the Company issued an additional 600,000 shares on April 1, 2024 pursuant to the overallotment option granted to underwriters and received, net of offering and underwriting fees, additional total cash proceeds of $11.9 million.</w:t>
      </w:r>
    </w:p>
    <w:p>
      <w:pPr>
        <w:spacing w:after="0" w:line="185" w:lineRule="exact"/>
        <w:rPr>
          <w:sz w:val="20"/>
          <w:szCs w:val="20"/>
          <w:color w:val="auto"/>
        </w:rPr>
      </w:pPr>
    </w:p>
    <w:p>
      <w:pPr>
        <w:jc w:val="both"/>
        <w:ind w:right="340" w:firstLine="231"/>
        <w:spacing w:after="0" w:line="257" w:lineRule="auto"/>
        <w:rPr>
          <w:sz w:val="20"/>
          <w:szCs w:val="20"/>
          <w:color w:val="auto"/>
        </w:rPr>
      </w:pPr>
      <w:r>
        <w:rPr>
          <w:rFonts w:ascii="Times New Roman" w:cs="Times New Roman" w:eastAsia="Times New Roman" w:hAnsi="Times New Roman"/>
          <w:sz w:val="19"/>
          <w:szCs w:val="19"/>
          <w:color w:val="231F20"/>
        </w:rPr>
        <w:t>During the years ended December 31, 2024 and December 31, 2023, we issued 1,231,937 and 1,265,212 shares of our common stock, respectively, to investors who have not opted out of our dividend reinvestment plan for proceeds of $24.7 million and $23.5 million, respectively.</w:t>
      </w:r>
    </w:p>
    <w:p>
      <w:pPr>
        <w:spacing w:after="0" w:line="176" w:lineRule="exact"/>
        <w:rPr>
          <w:sz w:val="20"/>
          <w:szCs w:val="20"/>
          <w:color w:val="auto"/>
        </w:rPr>
      </w:pPr>
    </w:p>
    <w:p>
      <w:pPr>
        <w:ind w:right="80" w:firstLine="231"/>
        <w:spacing w:after="0" w:line="247" w:lineRule="auto"/>
        <w:rPr>
          <w:sz w:val="20"/>
          <w:szCs w:val="20"/>
          <w:color w:val="auto"/>
        </w:rPr>
      </w:pPr>
      <w:r>
        <w:rPr>
          <w:rFonts w:ascii="Times New Roman" w:cs="Times New Roman" w:eastAsia="Times New Roman" w:hAnsi="Times New Roman"/>
          <w:sz w:val="19"/>
          <w:szCs w:val="19"/>
          <w:color w:val="231F20"/>
        </w:rPr>
        <w:t>On August 4, 2015, our Board authorized us to acquire up to $50 million in aggregate of our common stock from time to time over an initial six month period, and has continued to authorize the refreshment of the $50 million amount authorized under and extension of the stock repurchase program prior to its expiration since that time, most recently as of November 4, 2024. The amount and timing of stock repurchases under the program may vary depending on market conditions, and no assurance can be given that any particular amount of common stock will be repurchased.</w:t>
      </w:r>
    </w:p>
    <w:p>
      <w:pPr>
        <w:spacing w:after="0" w:line="18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9"/>
          <w:szCs w:val="19"/>
          <w:color w:val="231F20"/>
        </w:rPr>
        <w:t>For the year ended December 31, 2024 and December 31, 2023, no shares were repurchased.</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231F20"/>
        </w:rPr>
        <w:t>Debt</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231F20"/>
        </w:rPr>
        <w:t>Revolving Credit Facility</w:t>
      </w:r>
    </w:p>
    <w:p>
      <w:pPr>
        <w:spacing w:after="0" w:line="108" w:lineRule="exact"/>
        <w:rPr>
          <w:sz w:val="20"/>
          <w:szCs w:val="20"/>
          <w:color w:val="auto"/>
        </w:rPr>
      </w:pPr>
    </w:p>
    <w:p>
      <w:pPr>
        <w:ind w:right="320" w:firstLine="231"/>
        <w:spacing w:after="0" w:line="257" w:lineRule="auto"/>
        <w:rPr>
          <w:sz w:val="20"/>
          <w:szCs w:val="20"/>
          <w:color w:val="auto"/>
        </w:rPr>
      </w:pPr>
      <w:r>
        <w:rPr>
          <w:rFonts w:ascii="Times New Roman" w:cs="Times New Roman" w:eastAsia="Times New Roman" w:hAnsi="Times New Roman"/>
          <w:sz w:val="19"/>
          <w:szCs w:val="19"/>
          <w:color w:val="231F20"/>
        </w:rPr>
        <w:t>On August 23, 2012, we entered into a senior secured revolving credit agreement with Truist Bank (as a successor by merger to SunTrust Bank), as administrative agent, and J.P. Morgan Chase Bank, N.A., as syndication agent, and certain other lenders (as amended and restated, the “Revolving Credit Facility”).</w:t>
      </w:r>
    </w:p>
    <w:p>
      <w:pPr>
        <w:spacing w:after="0" w:line="176" w:lineRule="exact"/>
        <w:rPr>
          <w:sz w:val="20"/>
          <w:szCs w:val="20"/>
          <w:color w:val="auto"/>
        </w:rPr>
      </w:pPr>
    </w:p>
    <w:p>
      <w:pPr>
        <w:jc w:val="both"/>
        <w:ind w:right="540" w:firstLine="231"/>
        <w:spacing w:after="0" w:line="304" w:lineRule="auto"/>
        <w:rPr>
          <w:sz w:val="20"/>
          <w:szCs w:val="20"/>
          <w:color w:val="auto"/>
        </w:rPr>
      </w:pPr>
      <w:r>
        <w:rPr>
          <w:rFonts w:ascii="Times New Roman" w:cs="Times New Roman" w:eastAsia="Times New Roman" w:hAnsi="Times New Roman"/>
          <w:sz w:val="18"/>
          <w:szCs w:val="18"/>
          <w:color w:val="231F20"/>
        </w:rPr>
        <w:t>As of December 31, 2024, aggregate commitments under the facility were $1.7 billion. The facility includes an uncommitted accordion feature that allows the Company, under certain circumstances, to increase the size of the facility to up to $2.0 billion.</w:t>
      </w:r>
    </w:p>
    <w:p>
      <w:pPr>
        <w:spacing w:after="0" w:line="137" w:lineRule="exact"/>
        <w:rPr>
          <w:sz w:val="20"/>
          <w:szCs w:val="20"/>
          <w:color w:val="auto"/>
        </w:rPr>
      </w:pPr>
    </w:p>
    <w:p>
      <w:pPr>
        <w:ind w:right="160" w:firstLine="231"/>
        <w:spacing w:after="0" w:line="262" w:lineRule="auto"/>
        <w:rPr>
          <w:sz w:val="20"/>
          <w:szCs w:val="20"/>
          <w:color w:val="auto"/>
        </w:rPr>
      </w:pPr>
      <w:r>
        <w:rPr>
          <w:rFonts w:ascii="Times New Roman" w:cs="Times New Roman" w:eastAsia="Times New Roman" w:hAnsi="Times New Roman"/>
          <w:sz w:val="18"/>
          <w:szCs w:val="18"/>
          <w:color w:val="231F20"/>
        </w:rPr>
        <w:t>Pursuant to the Fourteenth Amendment, with respect to $1.465 billion in commitments, the revolving period, during which period the Company, subject to certain conditions, may make borrowings under the facility, was extended to June 11, 2027 and the stated maturity date was extended to June 12, 2028. For the remaining $245.0 million of commitments, (A) with respect to $25.0 million of commitments, the revolving period ends January 31, 2024 and the stated maturity is January 31, 2025, and (B) with respect to $50.0 million of commitments, the revolving period ends on February 4, 2025 and the stated maturity is February 4, 2026 and (C) with respect to $170.0 million of commitments, the revolving period ends April 24, 2026 and the stated maturity is April 23, 2027.</w:t>
      </w:r>
    </w:p>
    <w:p>
      <w:pPr>
        <w:spacing w:after="0" w:line="174" w:lineRule="exact"/>
        <w:rPr>
          <w:sz w:val="20"/>
          <w:szCs w:val="20"/>
          <w:color w:val="auto"/>
        </w:rPr>
      </w:pPr>
    </w:p>
    <w:p>
      <w:pPr>
        <w:jc w:val="both"/>
        <w:ind w:right="40" w:firstLine="231"/>
        <w:spacing w:after="0" w:line="247" w:lineRule="auto"/>
        <w:rPr>
          <w:sz w:val="20"/>
          <w:szCs w:val="20"/>
          <w:color w:val="auto"/>
        </w:rPr>
      </w:pPr>
      <w:r>
        <w:rPr>
          <w:rFonts w:ascii="Times New Roman" w:cs="Times New Roman" w:eastAsia="Times New Roman" w:hAnsi="Times New Roman"/>
          <w:sz w:val="19"/>
          <w:szCs w:val="19"/>
          <w:color w:val="231F20"/>
        </w:rPr>
        <w:t>Pursuant to the Fifteenth Amendment dated April 24, 2024, aggregate commitments were increased to $1.7 billion. With respect to $1.505 billion of commitments, the revolving period was extended to April 24, 2028 and the stated maturity was extended to April 24, 2029. For the remaining $195.0 million of commitments, (A) with respect to $25.0 million of commitments, the revolving period ends on February 4, 2025 and the stated maturity is February 4, 2026 and (B) with respect to $170.0 million of commitments, the revolving period ends April 24, 2026 and the stated maturity is April 23, 2027.</w:t>
      </w:r>
    </w:p>
    <w:p>
      <w:pPr>
        <w:sectPr>
          <w:pgSz w:w="12240" w:h="15840" w:orient="portrait"/>
          <w:cols w:equalWidth="0" w:num="1">
            <w:col w:w="10200"/>
          </w:cols>
          <w:pgMar w:left="1020" w:top="1317" w:right="1020" w:bottom="574" w:gutter="0" w:footer="0" w:header="0"/>
        </w:sectPr>
      </w:pPr>
    </w:p>
    <w:p>
      <w:pPr>
        <w:spacing w:after="0" w:line="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231F20"/>
        </w:rPr>
        <w:t>76</w:t>
      </w:r>
    </w:p>
    <w:p>
      <w:pPr>
        <w:sectPr>
          <w:pgSz w:w="12240" w:h="15840" w:orient="portrait"/>
          <w:cols w:equalWidth="0" w:num="1">
            <w:col w:w="10200"/>
          </w:cols>
          <w:pgMar w:left="1020" w:top="1317" w:right="1020" w:bottom="574" w:gutter="0" w:footer="0" w:header="0"/>
          <w:type w:val="continuous"/>
        </w:sectPr>
      </w:pPr>
    </w:p>
    <w:bookmarkStart w:id="76" w:name="page77"/>
    <w:bookmarkEnd w:id="76"/>
    <w:p>
      <w:pPr>
        <w:ind w:right="140" w:firstLine="231"/>
        <w:spacing w:after="0" w:line="246" w:lineRule="auto"/>
        <w:rPr>
          <w:sz w:val="20"/>
          <w:szCs w:val="20"/>
          <w:color w:val="auto"/>
        </w:rPr>
      </w:pPr>
      <w:r>
        <w:rPr>
          <w:rFonts w:ascii="Times New Roman" w:cs="Times New Roman" w:eastAsia="Times New Roman" w:hAnsi="Times New Roman"/>
          <w:sz w:val="19"/>
          <w:szCs w:val="19"/>
          <w:color w:val="231F20"/>
        </w:rPr>
        <w:t>We may borrow amounts in U.S. dollars or certain other permitted currencies. As of December 31, 2024, we had outstanding debt denominated in Australian dollars (AUD) of 63.0 million, British pounds (GBP) of 62.4 million, Canadian dollars (CAD) of 5.0 million, Swedish Krona (SEK) of 80.2 million and Euro (EUR) of 167.2 million on our Revolving Credit Facility, included in the Outstanding Principal amount in the table below. As of December 31, 2023, we had outstanding debt denominated in Australian dollars (AUD) of 66.4 million, British pounds (GBP) of 32.3 million, Canadian dollars (CAD) of 96.8 million, and Euro (EUR) of 57.2 million on our Revolving Credit Facility, included in the Outstanding Principal amount in the table above.</w:t>
      </w:r>
    </w:p>
    <w:p>
      <w:pPr>
        <w:spacing w:after="0" w:line="186" w:lineRule="exact"/>
        <w:rPr>
          <w:sz w:val="20"/>
          <w:szCs w:val="20"/>
          <w:color w:val="auto"/>
        </w:rPr>
      </w:pPr>
    </w:p>
    <w:p>
      <w:pPr>
        <w:ind w:right="80" w:firstLine="231"/>
        <w:spacing w:after="0" w:line="250" w:lineRule="auto"/>
        <w:rPr>
          <w:sz w:val="20"/>
          <w:szCs w:val="20"/>
          <w:color w:val="auto"/>
        </w:rPr>
      </w:pPr>
      <w:r>
        <w:rPr>
          <w:rFonts w:ascii="Times New Roman" w:cs="Times New Roman" w:eastAsia="Times New Roman" w:hAnsi="Times New Roman"/>
          <w:sz w:val="19"/>
          <w:szCs w:val="19"/>
          <w:color w:val="231F20"/>
        </w:rPr>
        <w:t>The Revolving Credit Facility also provides for the issuance of letters of credit up to an aggregate amount of $75 million. As of December 31, 2024 and December 31, 2023, we had $21.8 million and $0.2 million respectively in outstanding letters of credit issued through the Revolving Credit Facility. The amount available for borrowing under the Revolving Credit Facility is reduced by any letters of credit issued through the Revolving Credit Facility.</w:t>
      </w:r>
    </w:p>
    <w:p>
      <w:pPr>
        <w:spacing w:after="0" w:line="185" w:lineRule="exact"/>
        <w:rPr>
          <w:sz w:val="20"/>
          <w:szCs w:val="20"/>
          <w:color w:val="auto"/>
        </w:rPr>
      </w:pPr>
    </w:p>
    <w:p>
      <w:pPr>
        <w:ind w:right="60" w:firstLine="231"/>
        <w:spacing w:after="0" w:line="244" w:lineRule="auto"/>
        <w:rPr>
          <w:sz w:val="20"/>
          <w:szCs w:val="20"/>
          <w:color w:val="auto"/>
        </w:rPr>
      </w:pPr>
      <w:r>
        <w:rPr>
          <w:rFonts w:ascii="Times New Roman" w:cs="Times New Roman" w:eastAsia="Times New Roman" w:hAnsi="Times New Roman"/>
          <w:sz w:val="19"/>
          <w:szCs w:val="19"/>
          <w:color w:val="231F20"/>
        </w:rPr>
        <w:t>Amounts drawn under the Revolving Credit Facility, including amounts drawn in respect of letters of credit, bear interest at either the applicable reference rate plus an applicable credit spread adjustment, plus a margin of either 1.75% or 1.875%, or the base rate plus a margin of either 0.75% or 0.875%, in each case, based on the total amount of the borrowing base relative to the sum of the total commitments (or, if greater, the total exposure) under the Revolving Credit Facility plus certain other designated secured debt. We may elect either the applicable reference rate or base rate at the time of drawdown, and loans may be converted from one rate to another at any time, subject to certain conditions. We also pay a fee of 0.375% on undrawn amounts and, in respect of each undrawn letter of credit, a fee and interest rate equal to the then applicable margin while the letter of credit is outstanding.</w:t>
      </w:r>
    </w:p>
    <w:p>
      <w:pPr>
        <w:spacing w:after="0" w:line="192" w:lineRule="exact"/>
        <w:rPr>
          <w:sz w:val="20"/>
          <w:szCs w:val="20"/>
          <w:color w:val="auto"/>
        </w:rPr>
      </w:pPr>
    </w:p>
    <w:p>
      <w:pPr>
        <w:ind w:right="40" w:firstLine="231"/>
        <w:spacing w:after="0" w:line="250" w:lineRule="auto"/>
        <w:rPr>
          <w:sz w:val="20"/>
          <w:szCs w:val="20"/>
          <w:color w:val="auto"/>
        </w:rPr>
      </w:pPr>
      <w:r>
        <w:rPr>
          <w:rFonts w:ascii="Times New Roman" w:cs="Times New Roman" w:eastAsia="Times New Roman" w:hAnsi="Times New Roman"/>
          <w:sz w:val="19"/>
          <w:szCs w:val="19"/>
          <w:color w:val="231F20"/>
        </w:rPr>
        <w:t>The Revolving Credit Facility is guaranteed by Sixth Street SL SPV, LLC, TC Lending, LLC and Sixth Street SL Holding, LLC. The Revolving Credit Facility is secured by a perfected first-priority security interest in substantially all the portfolio investments held by us and each guarantor. Proceeds from borrowings may be used for general corporate purposes, including the funding of portfolio investments.</w:t>
      </w:r>
    </w:p>
    <w:p>
      <w:pPr>
        <w:spacing w:after="0" w:line="185" w:lineRule="exact"/>
        <w:rPr>
          <w:sz w:val="20"/>
          <w:szCs w:val="20"/>
          <w:color w:val="auto"/>
        </w:rPr>
      </w:pPr>
    </w:p>
    <w:p>
      <w:pPr>
        <w:jc w:val="both"/>
        <w:ind w:right="420" w:firstLine="231"/>
        <w:spacing w:after="0" w:line="257" w:lineRule="auto"/>
        <w:rPr>
          <w:sz w:val="20"/>
          <w:szCs w:val="20"/>
          <w:color w:val="auto"/>
        </w:rPr>
      </w:pPr>
      <w:r>
        <w:rPr>
          <w:rFonts w:ascii="Times New Roman" w:cs="Times New Roman" w:eastAsia="Times New Roman" w:hAnsi="Times New Roman"/>
          <w:sz w:val="19"/>
          <w:szCs w:val="19"/>
          <w:color w:val="231F20"/>
        </w:rPr>
        <w:t>The Revolving Credit Facility includes customary events of default, as well as customary covenants, including restrictions on certain distributions and financial covenants. In accordance with the terms of the Fourteenth Amendment, the financial covenants require:</w:t>
      </w:r>
    </w:p>
    <w:p>
      <w:pPr>
        <w:spacing w:after="0" w:line="77" w:lineRule="exact"/>
        <w:rPr>
          <w:sz w:val="20"/>
          <w:szCs w:val="20"/>
          <w:color w:val="auto"/>
        </w:rPr>
      </w:pPr>
    </w:p>
    <w:p>
      <w:pPr>
        <w:ind w:left="460" w:hanging="229"/>
        <w:spacing w:after="0"/>
        <w:tabs>
          <w:tab w:leader="none" w:pos="460" w:val="left"/>
        </w:tabs>
        <w:numPr>
          <w:ilvl w:val="0"/>
          <w:numId w:val="60"/>
        </w:numPr>
        <w:rPr>
          <w:rFonts w:ascii="Arial" w:cs="Arial" w:eastAsia="Arial" w:hAnsi="Arial"/>
          <w:sz w:val="19"/>
          <w:szCs w:val="19"/>
          <w:color w:val="231F20"/>
        </w:rPr>
      </w:pPr>
      <w:r>
        <w:rPr>
          <w:rFonts w:ascii="Times New Roman" w:cs="Times New Roman" w:eastAsia="Times New Roman" w:hAnsi="Times New Roman"/>
          <w:sz w:val="19"/>
          <w:szCs w:val="19"/>
          <w:color w:val="231F20"/>
        </w:rPr>
        <w:t>an asset coverage ratio of no less than 1.5 to 1 on the last day of any fiscal quarter;</w:t>
      </w:r>
    </w:p>
    <w:p>
      <w:pPr>
        <w:spacing w:after="0" w:line="124" w:lineRule="exact"/>
        <w:rPr>
          <w:rFonts w:ascii="Arial" w:cs="Arial" w:eastAsia="Arial" w:hAnsi="Arial"/>
          <w:sz w:val="19"/>
          <w:szCs w:val="19"/>
          <w:color w:val="231F20"/>
        </w:rPr>
      </w:pPr>
    </w:p>
    <w:p>
      <w:pPr>
        <w:ind w:left="460" w:right="340" w:hanging="229"/>
        <w:spacing w:after="0" w:line="274" w:lineRule="auto"/>
        <w:tabs>
          <w:tab w:leader="none" w:pos="460" w:val="left"/>
        </w:tabs>
        <w:numPr>
          <w:ilvl w:val="0"/>
          <w:numId w:val="60"/>
        </w:numPr>
        <w:rPr>
          <w:rFonts w:ascii="Arial" w:cs="Arial" w:eastAsia="Arial" w:hAnsi="Arial"/>
          <w:sz w:val="19"/>
          <w:szCs w:val="19"/>
          <w:color w:val="231F20"/>
        </w:rPr>
      </w:pPr>
      <w:r>
        <w:rPr>
          <w:rFonts w:ascii="Times New Roman" w:cs="Times New Roman" w:eastAsia="Times New Roman" w:hAnsi="Times New Roman"/>
          <w:sz w:val="19"/>
          <w:szCs w:val="19"/>
          <w:color w:val="231F20"/>
        </w:rPr>
        <w:t>stockholders’ equity of at least $650 million plus 25% of the net proceeds of the sale of equity interests after April 24, 2024; and</w:t>
      </w:r>
    </w:p>
    <w:p>
      <w:pPr>
        <w:spacing w:after="0" w:line="61" w:lineRule="exact"/>
        <w:rPr>
          <w:rFonts w:ascii="Arial" w:cs="Arial" w:eastAsia="Arial" w:hAnsi="Arial"/>
          <w:sz w:val="19"/>
          <w:szCs w:val="19"/>
          <w:color w:val="231F20"/>
        </w:rPr>
      </w:pPr>
    </w:p>
    <w:p>
      <w:pPr>
        <w:ind w:left="460" w:hanging="229"/>
        <w:spacing w:after="0" w:line="250" w:lineRule="auto"/>
        <w:tabs>
          <w:tab w:leader="none" w:pos="460" w:val="left"/>
        </w:tabs>
        <w:numPr>
          <w:ilvl w:val="0"/>
          <w:numId w:val="60"/>
        </w:numPr>
        <w:rPr>
          <w:rFonts w:ascii="Arial" w:cs="Arial" w:eastAsia="Arial" w:hAnsi="Arial"/>
          <w:sz w:val="19"/>
          <w:szCs w:val="19"/>
          <w:color w:val="231F20"/>
        </w:rPr>
      </w:pPr>
      <w:r>
        <w:rPr>
          <w:rFonts w:ascii="Times New Roman" w:cs="Times New Roman" w:eastAsia="Times New Roman" w:hAnsi="Times New Roman"/>
          <w:sz w:val="19"/>
          <w:szCs w:val="19"/>
          <w:color w:val="231F20"/>
        </w:rPr>
        <w:t>minimum asset coverage ratio of no less than 2 to 1 with respect to (i) the consolidated assets of the Company and the subsidiary guarantors (including certain limitations on the contribution of equity in financing subsidiaries) to (ii) the secured debt of the Company and its subsidiary guarantors plus unsecured senior securities of the Company and its subsidiary guarantors that mature within 90 days of the date of determination (the “Obligor Asset Coverage Ratio”).</w:t>
      </w:r>
    </w:p>
    <w:p>
      <w:pPr>
        <w:spacing w:after="0" w:line="184" w:lineRule="exact"/>
        <w:rPr>
          <w:sz w:val="20"/>
          <w:szCs w:val="20"/>
          <w:color w:val="auto"/>
        </w:rPr>
      </w:pPr>
    </w:p>
    <w:p>
      <w:pPr>
        <w:ind w:right="660" w:firstLine="231"/>
        <w:spacing w:after="0" w:line="275" w:lineRule="auto"/>
        <w:rPr>
          <w:sz w:val="20"/>
          <w:szCs w:val="20"/>
          <w:color w:val="auto"/>
        </w:rPr>
      </w:pPr>
      <w:r>
        <w:rPr>
          <w:rFonts w:ascii="Times New Roman" w:cs="Times New Roman" w:eastAsia="Times New Roman" w:hAnsi="Times New Roman"/>
          <w:sz w:val="19"/>
          <w:szCs w:val="19"/>
          <w:color w:val="231F20"/>
        </w:rPr>
        <w:t>The Revolving Credit Facility also contains certain additional concentration limits in connection with the calculation of the borrowing base, based on the Obligor Asset Coverage Ratio.</w:t>
      </w:r>
    </w:p>
    <w:p>
      <w:pPr>
        <w:spacing w:after="0" w:line="160" w:lineRule="exact"/>
        <w:rPr>
          <w:sz w:val="20"/>
          <w:szCs w:val="20"/>
          <w:color w:val="auto"/>
        </w:rPr>
      </w:pPr>
    </w:p>
    <w:p>
      <w:pPr>
        <w:ind w:right="220" w:firstLine="231"/>
        <w:spacing w:after="0" w:line="275" w:lineRule="auto"/>
        <w:rPr>
          <w:sz w:val="20"/>
          <w:szCs w:val="20"/>
          <w:color w:val="auto"/>
        </w:rPr>
      </w:pPr>
      <w:r>
        <w:rPr>
          <w:rFonts w:ascii="Times New Roman" w:cs="Times New Roman" w:eastAsia="Times New Roman" w:hAnsi="Times New Roman"/>
          <w:sz w:val="19"/>
          <w:szCs w:val="19"/>
          <w:color w:val="231F20"/>
        </w:rPr>
        <w:t>Net proceeds received from the Company’s common stock issuances in February 2024 and April 2024 and net proceeds received from the issuance of the 2029 Notes were used to pay down borrowings on the Revolving Credit Facility.</w:t>
      </w:r>
    </w:p>
    <w:p>
      <w:pPr>
        <w:spacing w:after="0" w:line="160" w:lineRule="exact"/>
        <w:rPr>
          <w:sz w:val="20"/>
          <w:szCs w:val="20"/>
          <w:color w:val="auto"/>
        </w:rPr>
      </w:pPr>
    </w:p>
    <w:p>
      <w:pPr>
        <w:ind w:right="640" w:firstLine="231"/>
        <w:spacing w:after="0" w:line="275" w:lineRule="auto"/>
        <w:rPr>
          <w:sz w:val="20"/>
          <w:szCs w:val="20"/>
          <w:color w:val="auto"/>
        </w:rPr>
      </w:pPr>
      <w:r>
        <w:rPr>
          <w:rFonts w:ascii="Times New Roman" w:cs="Times New Roman" w:eastAsia="Times New Roman" w:hAnsi="Times New Roman"/>
          <w:sz w:val="19"/>
          <w:szCs w:val="19"/>
          <w:color w:val="231F20"/>
        </w:rPr>
        <w:t>As of December 31, 2024 and December 31, 2023, the Company was in compliance with the terms of the Revolving Credit Facility.</w:t>
      </w: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231F20"/>
        </w:rPr>
        <w:t>2022 Convertible Notes</w:t>
      </w:r>
    </w:p>
    <w:p>
      <w:pPr>
        <w:spacing w:after="0" w:line="99" w:lineRule="exact"/>
        <w:rPr>
          <w:sz w:val="20"/>
          <w:szCs w:val="20"/>
          <w:color w:val="auto"/>
        </w:rPr>
      </w:pPr>
    </w:p>
    <w:p>
      <w:pPr>
        <w:ind w:firstLine="231"/>
        <w:spacing w:after="0" w:line="233" w:lineRule="auto"/>
        <w:rPr>
          <w:sz w:val="20"/>
          <w:szCs w:val="20"/>
          <w:color w:val="auto"/>
        </w:rPr>
      </w:pPr>
      <w:r>
        <w:rPr>
          <w:rFonts w:ascii="Times New Roman" w:cs="Times New Roman" w:eastAsia="Times New Roman" w:hAnsi="Times New Roman"/>
          <w:sz w:val="19"/>
          <w:szCs w:val="19"/>
          <w:color w:val="231F20"/>
        </w:rPr>
        <w:t>In February 2017, we issued in a private offering $115.0 million aggregate principal amount convertible notes due August 2022 (the “2022 Convertible Notes”). The 2022 Convertible Notes were issued in a private placement only to qualified institutional buyers pursuant to Rule 144A under the Securities Act. The 2022 Convertible Notes were unsecured, and bore interest at a rate of 4.50% per year, payable semiannually. In June 2018, we issued an additional $57.5 million aggregate principal amount of 2022 Convertible Notes. The additional 2022 Convertible Notes were issued with identical terms, and were fungible with and were part of a single series with the previously outstanding $115.0 million aggregate principal amount of our 2022 Convertible Notes issued in February 2017. In connection with the offering of 2022 Convertible Notes in February 2017 and the reopening in June 2018, we entered into interest rate swaps to align the interest rates of our liabilities with our investment portfolio, which consists of predominately floating rate loans. The notional amount of the interest rate swaps matched the amount of principal outstanding, and matured on August 1, 2022, matching the maturity date of the 2022 Convertible Notes.</w:t>
      </w:r>
    </w:p>
    <w:p>
      <w:pPr>
        <w:sectPr>
          <w:pgSz w:w="12240" w:h="15840" w:orient="portrait"/>
          <w:cols w:equalWidth="0" w:num="1">
            <w:col w:w="10200"/>
          </w:cols>
          <w:pgMar w:left="1020" w:top="1317" w:right="1020" w:bottom="574" w:gutter="0" w:footer="0" w:header="0"/>
        </w:sectPr>
      </w:pP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231F20"/>
        </w:rPr>
        <w:t>77</w:t>
      </w:r>
    </w:p>
    <w:p>
      <w:pPr>
        <w:sectPr>
          <w:pgSz w:w="12240" w:h="15840" w:orient="portrait"/>
          <w:cols w:equalWidth="0" w:num="1">
            <w:col w:w="10200"/>
          </w:cols>
          <w:pgMar w:left="1020" w:top="1317" w:right="1020" w:bottom="574" w:gutter="0" w:footer="0" w:header="0"/>
          <w:type w:val="continuous"/>
        </w:sectPr>
      </w:pPr>
    </w:p>
    <w:bookmarkStart w:id="77" w:name="page78"/>
    <w:bookmarkEnd w:id="77"/>
    <w:p>
      <w:pPr>
        <w:ind w:right="40" w:firstLine="231"/>
        <w:spacing w:after="0" w:line="234" w:lineRule="auto"/>
        <w:rPr>
          <w:sz w:val="20"/>
          <w:szCs w:val="20"/>
          <w:color w:val="auto"/>
        </w:rPr>
      </w:pPr>
      <w:r>
        <w:rPr>
          <w:rFonts w:ascii="Times New Roman" w:cs="Times New Roman" w:eastAsia="Times New Roman" w:hAnsi="Times New Roman"/>
          <w:sz w:val="19"/>
          <w:szCs w:val="19"/>
          <w:color w:val="231F20"/>
        </w:rPr>
        <w:t>On August 1, 2022, the 2022 Convertible Notes matured in accordance with the governing indenture. Holders of $79.2 million aggregate principal amount of notes provided valid notice of conversion and were subject to the combination settlement method previously elected by us, with a specified cash amount (as defined in the indenture governing the 2022 Convertible Notes) of $20.00 per $1,000 principal amount of the 2022 Convertible Notes and any additional amounts in stock based on the applicable conversion rate as described in the indenture. In accordance with the settlement method, we issued a total of 4,360,125 shares of common stock, or $77.6 million at the adjusted conversion price per share of $17.92. The remaining balance of the notes that were not converted into newly issued shares of common stock were settled with existing cash resources, including through utilization of our Revolving Credit Facility. The interest rate swaps associated with the principal amount of the notes outstanding were terminated on the date of maturity of the 2022 Convertible Notes.</w:t>
      </w:r>
    </w:p>
    <w:p>
      <w:pPr>
        <w:spacing w:after="0" w:line="30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231F20"/>
        </w:rPr>
        <w:t>2023 Notes</w:t>
      </w:r>
    </w:p>
    <w:p>
      <w:pPr>
        <w:spacing w:after="0" w:line="108" w:lineRule="exact"/>
        <w:rPr>
          <w:sz w:val="20"/>
          <w:szCs w:val="20"/>
          <w:color w:val="auto"/>
        </w:rPr>
      </w:pPr>
    </w:p>
    <w:p>
      <w:pPr>
        <w:ind w:right="100" w:firstLine="231"/>
        <w:spacing w:after="0" w:line="244" w:lineRule="auto"/>
        <w:rPr>
          <w:sz w:val="20"/>
          <w:szCs w:val="20"/>
          <w:color w:val="auto"/>
        </w:rPr>
      </w:pPr>
      <w:r>
        <w:rPr>
          <w:rFonts w:ascii="Times New Roman" w:cs="Times New Roman" w:eastAsia="Times New Roman" w:hAnsi="Times New Roman"/>
          <w:sz w:val="19"/>
          <w:szCs w:val="19"/>
          <w:color w:val="231F20"/>
        </w:rPr>
        <w:t>In January 2018, we issued $150.0 million aggregate principal amount of unsecured notes that matured on January 22, 2023 (the “2023 Notes”). The principal amount of the 2023 Notes was payable at maturity. The 2023 Notes bore interest at a rate of 4.50% per year, payable semi-annually commencing on July 22, 2018, and were redeemable in whole or in part at our option at any time at par plus a “make whole” premium. Total proceeds from the issuance of the 2023 Notes, net of underwriting discounts and offering costs, were $146.9 million. We used the net proceeds of the 2023 Notes to repay outstanding indebtedness under the Revolving Credit Facility. The 2023 Notes matured on January 22, 2023 and were fully repaid in cash. The swap transaction associated with the issuance of the 2023 Notes also matured on January 22, 2023.</w:t>
      </w: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231F20"/>
        </w:rPr>
        <w:t>2024 Notes</w:t>
      </w:r>
    </w:p>
    <w:p>
      <w:pPr>
        <w:spacing w:after="0" w:line="108" w:lineRule="exact"/>
        <w:rPr>
          <w:sz w:val="20"/>
          <w:szCs w:val="20"/>
          <w:color w:val="auto"/>
        </w:rPr>
      </w:pPr>
    </w:p>
    <w:p>
      <w:pPr>
        <w:ind w:firstLine="231"/>
        <w:spacing w:after="0" w:line="246" w:lineRule="auto"/>
        <w:rPr>
          <w:sz w:val="20"/>
          <w:szCs w:val="20"/>
          <w:color w:val="auto"/>
        </w:rPr>
      </w:pPr>
      <w:r>
        <w:rPr>
          <w:rFonts w:ascii="Times New Roman" w:cs="Times New Roman" w:eastAsia="Times New Roman" w:hAnsi="Times New Roman"/>
          <w:sz w:val="19"/>
          <w:szCs w:val="19"/>
          <w:color w:val="231F20"/>
        </w:rPr>
        <w:t>In November 2019, we issued $300.0 million aggregate principal amount of unsecured notes that matured on November 1, 2024 (the “2024 Notes”). The principal amount of the 2024 Notes was payable at maturity. The 2024 Notes bear interest at a rate of 3.875% per year, payable semi-annually commencing on May 1, 2020, and may be redeemed in whole or in part at our option at any time at par plus a “make whole” premium. Total proceeds from the issuance of the 2024 Notes, net of underwriting discounts, offering costs and original issue discount were $292.9 million. We used the net proceeds of the 2024 Notes to repay outstanding indebtedness under the Revolving Credit Facility.</w:t>
      </w:r>
    </w:p>
    <w:p>
      <w:pPr>
        <w:spacing w:after="0" w:line="186" w:lineRule="exact"/>
        <w:rPr>
          <w:sz w:val="20"/>
          <w:szCs w:val="20"/>
          <w:color w:val="auto"/>
        </w:rPr>
      </w:pPr>
    </w:p>
    <w:p>
      <w:pPr>
        <w:ind w:right="40" w:firstLine="231"/>
        <w:spacing w:after="0" w:line="247" w:lineRule="auto"/>
        <w:rPr>
          <w:sz w:val="20"/>
          <w:szCs w:val="20"/>
          <w:color w:val="auto"/>
        </w:rPr>
      </w:pPr>
      <w:r>
        <w:rPr>
          <w:rFonts w:ascii="Times New Roman" w:cs="Times New Roman" w:eastAsia="Times New Roman" w:hAnsi="Times New Roman"/>
          <w:sz w:val="19"/>
          <w:szCs w:val="19"/>
          <w:color w:val="231F20"/>
        </w:rPr>
        <w:t>On February 5, 2020, we issued an additional $50.0 million aggregate principal amount of unsecured notes that mature on November 1, 2024. The additional 2024 Notes are a further issuance of, fungible with, rank equally in right of payment with and have the same terms (other than the issue date and the public offering price) as the initial issuance of 2024 Notes. Total proceeds from the issuance of the additional 2024 Notes, net of underwriting discounts, offering costs and original issue premium were $50.1 million. We used the net proceeds of the 2024 Notes to repay outstanding indebtedness under the Revolving Credit Facility.</w:t>
      </w:r>
    </w:p>
    <w:p>
      <w:pPr>
        <w:spacing w:after="0" w:line="188" w:lineRule="exact"/>
        <w:rPr>
          <w:sz w:val="20"/>
          <w:szCs w:val="20"/>
          <w:color w:val="auto"/>
        </w:rPr>
      </w:pPr>
    </w:p>
    <w:p>
      <w:pPr>
        <w:ind w:right="100" w:firstLine="231"/>
        <w:spacing w:after="0" w:line="257" w:lineRule="auto"/>
        <w:rPr>
          <w:sz w:val="20"/>
          <w:szCs w:val="20"/>
          <w:color w:val="auto"/>
        </w:rPr>
      </w:pPr>
      <w:r>
        <w:rPr>
          <w:rFonts w:ascii="Times New Roman" w:cs="Times New Roman" w:eastAsia="Times New Roman" w:hAnsi="Times New Roman"/>
          <w:sz w:val="19"/>
          <w:szCs w:val="19"/>
          <w:color w:val="231F20"/>
        </w:rPr>
        <w:t>During the year ended December 31, 2020, we repurchased on the open market and extinguished $2.5 million in aggregate principal amount of the 2024 Notes for $2.4 million. These repurchases resulted in a gain on extinguishment of debt of less than $0.1 million. This gain is included in the extinguishment of debt in the accompanying Consolidated Statements of Operations.</w:t>
      </w:r>
    </w:p>
    <w:p>
      <w:pPr>
        <w:spacing w:after="0" w:line="176" w:lineRule="exact"/>
        <w:rPr>
          <w:sz w:val="20"/>
          <w:szCs w:val="20"/>
          <w:color w:val="auto"/>
        </w:rPr>
      </w:pPr>
    </w:p>
    <w:p>
      <w:pPr>
        <w:ind w:right="160" w:firstLine="231"/>
        <w:spacing w:after="0" w:line="275" w:lineRule="auto"/>
        <w:rPr>
          <w:sz w:val="20"/>
          <w:szCs w:val="20"/>
          <w:color w:val="auto"/>
        </w:rPr>
      </w:pPr>
      <w:r>
        <w:rPr>
          <w:rFonts w:ascii="Times New Roman" w:cs="Times New Roman" w:eastAsia="Times New Roman" w:hAnsi="Times New Roman"/>
          <w:sz w:val="19"/>
          <w:szCs w:val="19"/>
          <w:color w:val="231F20"/>
        </w:rPr>
        <w:t>The Company's 2024 Notes matured on November 1, 2024 and were fully repaid. The corresponding swap transaction associated with the issuance of the 2024 Notes also matured on November 1, 2024.</w:t>
      </w:r>
    </w:p>
    <w:p>
      <w:pPr>
        <w:spacing w:after="0" w:line="27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231F20"/>
        </w:rPr>
        <w:t>2026 Notes</w:t>
      </w:r>
    </w:p>
    <w:p>
      <w:pPr>
        <w:spacing w:after="0" w:line="108" w:lineRule="exact"/>
        <w:rPr>
          <w:sz w:val="20"/>
          <w:szCs w:val="20"/>
          <w:color w:val="auto"/>
        </w:rPr>
      </w:pPr>
    </w:p>
    <w:p>
      <w:pPr>
        <w:ind w:right="20" w:firstLine="231"/>
        <w:spacing w:after="0" w:line="246" w:lineRule="auto"/>
        <w:rPr>
          <w:sz w:val="20"/>
          <w:szCs w:val="20"/>
          <w:color w:val="auto"/>
        </w:rPr>
      </w:pPr>
      <w:r>
        <w:rPr>
          <w:rFonts w:ascii="Times New Roman" w:cs="Times New Roman" w:eastAsia="Times New Roman" w:hAnsi="Times New Roman"/>
          <w:sz w:val="19"/>
          <w:szCs w:val="19"/>
          <w:color w:val="231F20"/>
        </w:rPr>
        <w:t>On February 3, 2021, we issued $300.0 million aggregate principal amount of unsecured notes that mature on August 1, 2026 (the “2026 Notes”). The principal amount of the 2026 Notes is payable at maturity. The 2026 Notes bear interest at a rate of 2.50% per year, payable semi-annually commencing on August 1, 2021, and may be redeemed in whole or in part at our option at any time at par plus a “make whole” premium. Total proceeds from the issuance of the 2026 Notes, net of underwriting discounts, offering costs and original issue discount, were $293.7 million. We used the net proceeds of the 2026 Notes to repay outstanding indebtedness under the Revolving Credit Facility.</w:t>
      </w:r>
    </w:p>
    <w:p>
      <w:pPr>
        <w:spacing w:after="0" w:line="186"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9"/>
          <w:szCs w:val="19"/>
          <w:color w:val="231F20"/>
        </w:rPr>
        <w:t>In connection with the issuance of the 2026 Notes, we entered into an interest rate swap to align the interest rates of our liabilities</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231F20"/>
        </w:rPr>
        <w:t>with our investment portfolio, which consists of predominately floating rate loans. The notional amount of the interest rate swap is</w:t>
      </w:r>
    </w:p>
    <w:p>
      <w:pPr>
        <w:spacing w:after="0"/>
        <w:rPr>
          <w:sz w:val="20"/>
          <w:szCs w:val="20"/>
          <w:color w:val="auto"/>
        </w:rPr>
      </w:pPr>
      <w:r>
        <w:rPr>
          <w:rFonts w:ascii="Times New Roman" w:cs="Times New Roman" w:eastAsia="Times New Roman" w:hAnsi="Times New Roman"/>
          <w:sz w:val="18"/>
          <w:szCs w:val="18"/>
          <w:color w:val="231F20"/>
        </w:rPr>
        <w:t>$300.0 million, which matures on August 1, 2026, matching the maturity date of the 2026 Notes. As a result of the swap, our effective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231F20"/>
        </w:rPr>
        <w:t>interest rate on the 2026 Notes is SOFR plus 2.17%. The interest expense related to the 2026 Notes is offset by proceeds received</w:t>
      </w:r>
    </w:p>
    <w:p>
      <w:pPr>
        <w:spacing w:after="0" w:line="238" w:lineRule="auto"/>
        <w:rPr>
          <w:sz w:val="20"/>
          <w:szCs w:val="20"/>
          <w:color w:val="auto"/>
        </w:rPr>
      </w:pPr>
      <w:r>
        <w:rPr>
          <w:rFonts w:ascii="Times New Roman" w:cs="Times New Roman" w:eastAsia="Times New Roman" w:hAnsi="Times New Roman"/>
          <w:sz w:val="19"/>
          <w:szCs w:val="19"/>
          <w:color w:val="231F20"/>
        </w:rPr>
        <w:t>from the interest rate swaps designated as a hedge. The swap adjusted interest expense is included as a component of interest expense</w:t>
      </w:r>
    </w:p>
    <w:p>
      <w:pPr>
        <w:spacing w:after="0"/>
        <w:rPr>
          <w:sz w:val="20"/>
          <w:szCs w:val="20"/>
          <w:color w:val="auto"/>
        </w:rPr>
      </w:pPr>
      <w:r>
        <w:rPr>
          <w:rFonts w:ascii="Times New Roman" w:cs="Times New Roman" w:eastAsia="Times New Roman" w:hAnsi="Times New Roman"/>
          <w:sz w:val="19"/>
          <w:szCs w:val="19"/>
          <w:color w:val="231F20"/>
        </w:rPr>
        <w:t>on the Company’s Consolidated Statements of Operations. As of December 31, 2024 and December 31, 2023, the effective hedge</w:t>
      </w:r>
    </w:p>
    <w:p>
      <w:pPr>
        <w:spacing w:after="0" w:line="238" w:lineRule="auto"/>
        <w:rPr>
          <w:sz w:val="20"/>
          <w:szCs w:val="20"/>
          <w:color w:val="auto"/>
        </w:rPr>
      </w:pPr>
      <w:r>
        <w:rPr>
          <w:rFonts w:ascii="Times New Roman" w:cs="Times New Roman" w:eastAsia="Times New Roman" w:hAnsi="Times New Roman"/>
          <w:sz w:val="19"/>
          <w:szCs w:val="19"/>
          <w:color w:val="231F20"/>
        </w:rPr>
        <w:t>interest rate swaps had a fair value of $(17.6) million and $(26.1) million, respectively, which is offset within interest expense by an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231F20"/>
        </w:rPr>
        <w:t>equal, but opposite, fair value change for the hedged risk on the 2026 Notes.</w:t>
      </w:r>
    </w:p>
    <w:p>
      <w:pPr>
        <w:sectPr>
          <w:pgSz w:w="12240" w:h="15840" w:orient="portrait"/>
          <w:cols w:equalWidth="0" w:num="1">
            <w:col w:w="10160"/>
          </w:cols>
          <w:pgMar w:left="1020" w:top="1309" w:right="1060" w:bottom="574" w:gutter="0" w:footer="0" w:header="0"/>
        </w:sectPr>
      </w:pPr>
    </w:p>
    <w:p>
      <w:pPr>
        <w:spacing w:after="0" w:line="30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9"/>
          <w:szCs w:val="19"/>
          <w:color w:val="231F20"/>
        </w:rPr>
        <w:t>78</w:t>
      </w:r>
    </w:p>
    <w:p>
      <w:pPr>
        <w:sectPr>
          <w:pgSz w:w="12240" w:h="15840" w:orient="portrait"/>
          <w:cols w:equalWidth="0" w:num="1">
            <w:col w:w="10160"/>
          </w:cols>
          <w:pgMar w:left="1020" w:top="1309" w:right="1060" w:bottom="574" w:gutter="0" w:footer="0" w:header="0"/>
          <w:type w:val="continuous"/>
        </w:sectPr>
      </w:pPr>
    </w:p>
    <w:bookmarkStart w:id="78" w:name="page79"/>
    <w:bookmarkEnd w:id="78"/>
    <w:p>
      <w:pPr>
        <w:spacing w:after="0"/>
        <w:rPr>
          <w:sz w:val="20"/>
          <w:szCs w:val="20"/>
          <w:color w:val="auto"/>
        </w:rPr>
      </w:pPr>
      <w:r>
        <w:rPr>
          <w:rFonts w:ascii="Times New Roman" w:cs="Times New Roman" w:eastAsia="Times New Roman" w:hAnsi="Times New Roman"/>
          <w:sz w:val="19"/>
          <w:szCs w:val="19"/>
          <w:i w:val="1"/>
          <w:iCs w:val="1"/>
          <w:color w:val="231F20"/>
        </w:rPr>
        <w:t>2028 Notes</w:t>
      </w:r>
    </w:p>
    <w:p>
      <w:pPr>
        <w:spacing w:after="0" w:line="108" w:lineRule="exact"/>
        <w:rPr>
          <w:sz w:val="20"/>
          <w:szCs w:val="20"/>
          <w:color w:val="auto"/>
        </w:rPr>
      </w:pPr>
    </w:p>
    <w:p>
      <w:pPr>
        <w:ind w:firstLine="231"/>
        <w:spacing w:after="0" w:line="246" w:lineRule="auto"/>
        <w:rPr>
          <w:sz w:val="20"/>
          <w:szCs w:val="20"/>
          <w:color w:val="auto"/>
        </w:rPr>
      </w:pPr>
      <w:r>
        <w:rPr>
          <w:rFonts w:ascii="Times New Roman" w:cs="Times New Roman" w:eastAsia="Times New Roman" w:hAnsi="Times New Roman"/>
          <w:sz w:val="19"/>
          <w:szCs w:val="19"/>
          <w:color w:val="231F20"/>
        </w:rPr>
        <w:t>On August 14, 2023, we issued $300.0 million aggregate principal amount of unsecured notes that mature on August 14, 2028 (the “2028 Notes”). The principal amount of the 2028 Notes is payable at maturity. The 2028 Notes bear interest at a rate of 6.95% per year, payable semi-annually commencing on February 14, 2024, and may be redeemed in whole or in part at our option at any time at par plus a “make whole” premium. Total proceeds from the issuance of the 2028 Notes, net of underwriting discounts, offering costs and original issue discount, were $293.9 million. We used the net proceeds of the 2028 Notes to repay outstanding indebtedness under the Revolving Credit Facility.</w:t>
      </w:r>
    </w:p>
    <w:p>
      <w:pPr>
        <w:spacing w:after="0" w:line="186" w:lineRule="exact"/>
        <w:rPr>
          <w:sz w:val="20"/>
          <w:szCs w:val="20"/>
          <w:color w:val="auto"/>
        </w:rPr>
      </w:pPr>
    </w:p>
    <w:p>
      <w:pPr>
        <w:ind w:firstLine="231"/>
        <w:spacing w:after="0" w:line="243" w:lineRule="auto"/>
        <w:rPr>
          <w:sz w:val="20"/>
          <w:szCs w:val="20"/>
          <w:color w:val="auto"/>
        </w:rPr>
      </w:pPr>
      <w:r>
        <w:rPr>
          <w:rFonts w:ascii="Times New Roman" w:cs="Times New Roman" w:eastAsia="Times New Roman" w:hAnsi="Times New Roman"/>
          <w:sz w:val="19"/>
          <w:szCs w:val="19"/>
          <w:color w:val="231F20"/>
        </w:rPr>
        <w:t>In connection with the issuance of the 2028 Notes, we entered into an interest rate swap to align the interest rates of our liabilities with our investment portfolio, which consists of predominately floating rate loans. The notional amount of the interest rate swap is $300.0 million, which matures on August 14, 2028, matching the maturity date of the 2028 Notes. As a result of the swap, our effective interest rate on the 2028 Notes is SOFR plus 2.99%. The interest expense related to the 2028 Notes is offset by proceeds received from the interest rate swaps designated as a hedge. The swap adjusted interest expense is included as a component of interest expense on the Company’s Consolidated Statements of Operations. As of December 31, 2024 and December 31, 2023, the effective hedge interest rate swaps had a fair value of $(1.4) million and $4.7 million, respectively, which is offset within interest expense by an equal, but opposite, fair value change for the hedged risk on the 2028 Notes.</w:t>
      </w:r>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231F20"/>
        </w:rPr>
        <w:t>2029 Notes</w:t>
      </w:r>
    </w:p>
    <w:p>
      <w:pPr>
        <w:spacing w:after="0" w:line="108" w:lineRule="exact"/>
        <w:rPr>
          <w:sz w:val="20"/>
          <w:szCs w:val="20"/>
          <w:color w:val="auto"/>
        </w:rPr>
      </w:pPr>
    </w:p>
    <w:p>
      <w:pPr>
        <w:ind w:right="220" w:firstLine="231"/>
        <w:spacing w:after="0" w:line="246" w:lineRule="auto"/>
        <w:rPr>
          <w:sz w:val="20"/>
          <w:szCs w:val="20"/>
          <w:color w:val="auto"/>
        </w:rPr>
      </w:pPr>
      <w:r>
        <w:rPr>
          <w:rFonts w:ascii="Times New Roman" w:cs="Times New Roman" w:eastAsia="Times New Roman" w:hAnsi="Times New Roman"/>
          <w:sz w:val="19"/>
          <w:szCs w:val="19"/>
          <w:color w:val="231F20"/>
        </w:rPr>
        <w:t>On January 8, 2024, the Company issued $350.0 million aggregate principal amount of unsecured notes that mature on March 1, 2029 (the “2029 Notes”). The principal amount of the 2029 Notes is payable at maturity. The 2029 Notes bear interest at a rate of 6.125% per year, payable semi-annually commencing on September 1, 2024, and may be redeemed in whole or in part at the Company’s option at any time at par plus a “make whole” premium. Total proceeds from the issuance of the 2029 Notes, net of underwriting discounts, offering costs and original issue discount, were $341.6 million. The Company used the net proceeds of the 2029 Notes to repay outstanding indebtedness under the Revolving Credit Facility.</w:t>
      </w:r>
    </w:p>
    <w:p>
      <w:pPr>
        <w:spacing w:after="0" w:line="186" w:lineRule="exact"/>
        <w:rPr>
          <w:sz w:val="20"/>
          <w:szCs w:val="20"/>
          <w:color w:val="auto"/>
        </w:rPr>
      </w:pPr>
    </w:p>
    <w:p>
      <w:pPr>
        <w:ind w:firstLine="231"/>
        <w:spacing w:after="0" w:line="243" w:lineRule="auto"/>
        <w:rPr>
          <w:sz w:val="20"/>
          <w:szCs w:val="20"/>
          <w:color w:val="auto"/>
        </w:rPr>
      </w:pPr>
      <w:r>
        <w:rPr>
          <w:rFonts w:ascii="Times New Roman" w:cs="Times New Roman" w:eastAsia="Times New Roman" w:hAnsi="Times New Roman"/>
          <w:sz w:val="19"/>
          <w:szCs w:val="19"/>
          <w:color w:val="231F20"/>
        </w:rPr>
        <w:t>In connection with the issuance of the 2029 Notes, the Company entered into an interest rate swap to align the interest rates of its liabilities with the Company’s investment portfolio, which consists of predominately floating rate loans. The notional amount of the interest rate swap is $350.0 million, which matures on March 1, 2029, matching the maturity date of the 2029 Notes. As a result of the swap, the Company’s effective interest rate on the 2029 Notes is SOFR plus 2.44%. The interest expense related to the 2029 Notes is offset by proceeds received from the interest rate swaps designated as a hedge. The swap adjusted interest expense is included as a component of interest expense on the Company’s Consolidated Statements of Operations. As of December 31, 2024, the effective hedge interest rate swaps had a fair value of $(5.2) million which is offset within interest expense by an equal, but opposite, fair value change for the hedged risk on the 2029 Notes.</w:t>
      </w:r>
    </w:p>
    <w:p>
      <w:pPr>
        <w:spacing w:after="0" w:line="195"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9"/>
          <w:szCs w:val="19"/>
          <w:color w:val="231F20"/>
        </w:rPr>
        <w:t>Debt obligations consisted of the following as of December 31, 2024 and December 31, 2023:</w:t>
      </w:r>
    </w:p>
    <w:p>
      <w:pPr>
        <w:spacing w:after="0" w:line="236" w:lineRule="exact"/>
        <w:rPr>
          <w:sz w:val="20"/>
          <w:szCs w:val="20"/>
          <w:color w:val="auto"/>
        </w:rPr>
      </w:pPr>
    </w:p>
    <w:tbl>
      <w:tblPr>
        <w:tblLayout w:type="fixed"/>
        <w:tblInd w:w="460" w:type="dxa"/>
        <w:tblCellMar>
          <w:top w:w="0" w:type="dxa"/>
          <w:left w:w="0" w:type="dxa"/>
          <w:bottom w:w="0" w:type="dxa"/>
          <w:right w:w="0" w:type="dxa"/>
        </w:tblCellMar>
      </w:tblPr>
      <w:tr>
        <w:trPr>
          <w:trHeight w:val="187"/>
        </w:trPr>
        <w:tc>
          <w:tcPr>
            <w:tcW w:w="3640" w:type="dxa"/>
            <w:vAlign w:val="bottom"/>
            <w:tcBorders>
              <w:bottom w:val="single" w:sz="8" w:color="FDFDFC"/>
            </w:tcBorders>
            <w:shd w:val="clear" w:color="auto" w:fill="FDFDFC"/>
          </w:tcPr>
          <w:p>
            <w:pPr>
              <w:spacing w:after="0"/>
              <w:rPr>
                <w:sz w:val="16"/>
                <w:szCs w:val="16"/>
                <w:color w:val="auto"/>
              </w:rPr>
            </w:pPr>
          </w:p>
        </w:tc>
        <w:tc>
          <w:tcPr>
            <w:tcW w:w="420" w:type="dxa"/>
            <w:vAlign w:val="bottom"/>
            <w:tcBorders>
              <w:bottom w:val="single" w:sz="8" w:color="231F20"/>
            </w:tcBorders>
            <w:shd w:val="clear" w:color="auto" w:fill="FDFDFC"/>
          </w:tcPr>
          <w:p>
            <w:pPr>
              <w:spacing w:after="0"/>
              <w:rPr>
                <w:sz w:val="16"/>
                <w:szCs w:val="16"/>
                <w:color w:val="auto"/>
              </w:rPr>
            </w:pPr>
          </w:p>
        </w:tc>
        <w:tc>
          <w:tcPr>
            <w:tcW w:w="920" w:type="dxa"/>
            <w:vAlign w:val="bottom"/>
            <w:tcBorders>
              <w:bottom w:val="single" w:sz="8" w:color="231F20"/>
            </w:tcBorders>
            <w:shd w:val="clear" w:color="auto" w:fill="FDFDFC"/>
          </w:tcPr>
          <w:p>
            <w:pPr>
              <w:spacing w:after="0"/>
              <w:rPr>
                <w:sz w:val="16"/>
                <w:szCs w:val="16"/>
                <w:color w:val="auto"/>
              </w:rPr>
            </w:pPr>
          </w:p>
        </w:tc>
        <w:tc>
          <w:tcPr>
            <w:tcW w:w="200" w:type="dxa"/>
            <w:vAlign w:val="bottom"/>
            <w:tcBorders>
              <w:bottom w:val="single" w:sz="8" w:color="231F20"/>
            </w:tcBorders>
            <w:shd w:val="clear" w:color="auto" w:fill="FDFDFC"/>
          </w:tcPr>
          <w:p>
            <w:pPr>
              <w:spacing w:after="0"/>
              <w:rPr>
                <w:sz w:val="16"/>
                <w:szCs w:val="16"/>
                <w:color w:val="auto"/>
              </w:rPr>
            </w:pPr>
          </w:p>
        </w:tc>
        <w:tc>
          <w:tcPr>
            <w:tcW w:w="140" w:type="dxa"/>
            <w:vAlign w:val="bottom"/>
            <w:tcBorders>
              <w:bottom w:val="single" w:sz="8" w:color="231F20"/>
            </w:tcBorders>
            <w:shd w:val="clear" w:color="auto" w:fill="FDFDFC"/>
          </w:tcPr>
          <w:p>
            <w:pPr>
              <w:spacing w:after="0"/>
              <w:rPr>
                <w:sz w:val="16"/>
                <w:szCs w:val="16"/>
                <w:color w:val="auto"/>
              </w:rPr>
            </w:pPr>
          </w:p>
        </w:tc>
        <w:tc>
          <w:tcPr>
            <w:tcW w:w="2500" w:type="dxa"/>
            <w:vAlign w:val="bottom"/>
            <w:tcBorders>
              <w:bottom w:val="single" w:sz="8" w:color="231F20"/>
            </w:tcBorders>
            <w:gridSpan w:val="4"/>
            <w:shd w:val="clear" w:color="auto" w:fill="FDFDFC"/>
          </w:tcPr>
          <w:p>
            <w:pPr>
              <w:jc w:val="right"/>
              <w:ind w:right="731"/>
              <w:spacing w:after="0"/>
              <w:rPr>
                <w:sz w:val="20"/>
                <w:szCs w:val="20"/>
                <w:color w:val="auto"/>
              </w:rPr>
            </w:pPr>
            <w:r>
              <w:rPr>
                <w:rFonts w:ascii="Times New Roman" w:cs="Times New Roman" w:eastAsia="Times New Roman" w:hAnsi="Times New Roman"/>
                <w:sz w:val="15"/>
                <w:szCs w:val="15"/>
                <w:b w:val="1"/>
                <w:bCs w:val="1"/>
                <w:color w:val="231F20"/>
              </w:rPr>
              <w:t>December 31, 2024</w:t>
            </w:r>
          </w:p>
        </w:tc>
        <w:tc>
          <w:tcPr>
            <w:tcW w:w="200" w:type="dxa"/>
            <w:vAlign w:val="bottom"/>
            <w:tcBorders>
              <w:bottom w:val="single" w:sz="8" w:color="231F20"/>
            </w:tcBorders>
            <w:shd w:val="clear" w:color="auto" w:fill="FDFDFC"/>
          </w:tcPr>
          <w:p>
            <w:pPr>
              <w:spacing w:after="0"/>
              <w:rPr>
                <w:sz w:val="16"/>
                <w:szCs w:val="16"/>
                <w:color w:val="auto"/>
              </w:rPr>
            </w:pPr>
          </w:p>
        </w:tc>
        <w:tc>
          <w:tcPr>
            <w:tcW w:w="180" w:type="dxa"/>
            <w:vAlign w:val="bottom"/>
            <w:tcBorders>
              <w:bottom w:val="single" w:sz="8" w:color="231F20"/>
            </w:tcBorders>
            <w:shd w:val="clear" w:color="auto" w:fill="FDFDFC"/>
          </w:tcPr>
          <w:p>
            <w:pPr>
              <w:spacing w:after="0"/>
              <w:rPr>
                <w:sz w:val="16"/>
                <w:szCs w:val="16"/>
                <w:color w:val="auto"/>
              </w:rPr>
            </w:pPr>
          </w:p>
        </w:tc>
        <w:tc>
          <w:tcPr>
            <w:tcW w:w="980" w:type="dxa"/>
            <w:vAlign w:val="bottom"/>
            <w:tcBorders>
              <w:bottom w:val="single" w:sz="8" w:color="231F20"/>
            </w:tcBorders>
            <w:shd w:val="clear" w:color="auto" w:fill="FDFDFC"/>
          </w:tcPr>
          <w:p>
            <w:pPr>
              <w:spacing w:after="0"/>
              <w:rPr>
                <w:sz w:val="16"/>
                <w:szCs w:val="16"/>
                <w:color w:val="auto"/>
              </w:rPr>
            </w:pPr>
          </w:p>
        </w:tc>
        <w:tc>
          <w:tcPr>
            <w:tcW w:w="100" w:type="dxa"/>
            <w:vAlign w:val="bottom"/>
            <w:tcBorders>
              <w:bottom w:val="single" w:sz="8" w:color="FDFDFC"/>
            </w:tcBorders>
            <w:shd w:val="clear" w:color="auto" w:fill="FDFDFC"/>
          </w:tcPr>
          <w:p>
            <w:pPr>
              <w:spacing w:after="0"/>
              <w:rPr>
                <w:sz w:val="16"/>
                <w:szCs w:val="16"/>
                <w:color w:val="auto"/>
              </w:rPr>
            </w:pPr>
          </w:p>
        </w:tc>
      </w:tr>
      <w:tr>
        <w:trPr>
          <w:trHeight w:val="176"/>
        </w:trPr>
        <w:tc>
          <w:tcPr>
            <w:tcW w:w="3640" w:type="dxa"/>
            <w:vAlign w:val="bottom"/>
            <w:shd w:val="clear" w:color="auto" w:fill="FDFDFC"/>
          </w:tcPr>
          <w:p>
            <w:pPr>
              <w:spacing w:after="0"/>
              <w:rPr>
                <w:sz w:val="15"/>
                <w:szCs w:val="15"/>
                <w:color w:val="auto"/>
              </w:rPr>
            </w:pPr>
          </w:p>
        </w:tc>
        <w:tc>
          <w:tcPr>
            <w:tcW w:w="1340" w:type="dxa"/>
            <w:vAlign w:val="bottom"/>
            <w:gridSpan w:val="2"/>
            <w:shd w:val="clear" w:color="auto" w:fill="FDFDFC"/>
          </w:tcPr>
          <w:p>
            <w:pPr>
              <w:spacing w:after="0"/>
              <w:rPr>
                <w:sz w:val="20"/>
                <w:szCs w:val="20"/>
                <w:color w:val="auto"/>
              </w:rPr>
            </w:pPr>
            <w:r>
              <w:rPr>
                <w:rFonts w:ascii="Times New Roman" w:cs="Times New Roman" w:eastAsia="Times New Roman" w:hAnsi="Times New Roman"/>
                <w:sz w:val="15"/>
                <w:szCs w:val="15"/>
                <w:b w:val="1"/>
                <w:bCs w:val="1"/>
                <w:color w:val="231F20"/>
                <w:highlight w:val="white"/>
              </w:rPr>
              <w:t>Aggregate Principal</w:t>
            </w:r>
          </w:p>
        </w:tc>
        <w:tc>
          <w:tcPr>
            <w:tcW w:w="200" w:type="dxa"/>
            <w:vAlign w:val="bottom"/>
            <w:shd w:val="clear" w:color="auto" w:fill="FDFDFC"/>
          </w:tcPr>
          <w:p>
            <w:pPr>
              <w:spacing w:after="0"/>
              <w:rPr>
                <w:sz w:val="15"/>
                <w:szCs w:val="15"/>
                <w:color w:val="auto"/>
              </w:rPr>
            </w:pPr>
          </w:p>
        </w:tc>
        <w:tc>
          <w:tcPr>
            <w:tcW w:w="140" w:type="dxa"/>
            <w:vAlign w:val="bottom"/>
            <w:shd w:val="clear" w:color="auto" w:fill="FDFDFC"/>
          </w:tcPr>
          <w:p>
            <w:pPr>
              <w:spacing w:after="0"/>
              <w:rPr>
                <w:sz w:val="15"/>
                <w:szCs w:val="15"/>
                <w:color w:val="auto"/>
              </w:rPr>
            </w:pPr>
          </w:p>
        </w:tc>
        <w:tc>
          <w:tcPr>
            <w:tcW w:w="1080" w:type="dxa"/>
            <w:vAlign w:val="bottom"/>
            <w:shd w:val="clear" w:color="auto" w:fill="FDFDFC"/>
          </w:tcPr>
          <w:p>
            <w:pPr>
              <w:jc w:val="right"/>
              <w:ind w:right="133"/>
              <w:spacing w:after="0"/>
              <w:rPr>
                <w:sz w:val="20"/>
                <w:szCs w:val="20"/>
                <w:color w:val="auto"/>
              </w:rPr>
            </w:pPr>
            <w:r>
              <w:rPr>
                <w:rFonts w:ascii="Times New Roman" w:cs="Times New Roman" w:eastAsia="Times New Roman" w:hAnsi="Times New Roman"/>
                <w:sz w:val="15"/>
                <w:szCs w:val="15"/>
                <w:b w:val="1"/>
                <w:bCs w:val="1"/>
                <w:color w:val="231F20"/>
              </w:rPr>
              <w:t>Outstanding</w:t>
            </w:r>
          </w:p>
        </w:tc>
        <w:tc>
          <w:tcPr>
            <w:tcW w:w="200" w:type="dxa"/>
            <w:vAlign w:val="bottom"/>
            <w:shd w:val="clear" w:color="auto" w:fill="FDFDFC"/>
          </w:tcPr>
          <w:p>
            <w:pPr>
              <w:spacing w:after="0"/>
              <w:rPr>
                <w:sz w:val="15"/>
                <w:szCs w:val="15"/>
                <w:color w:val="auto"/>
              </w:rPr>
            </w:pPr>
          </w:p>
        </w:tc>
        <w:tc>
          <w:tcPr>
            <w:tcW w:w="160" w:type="dxa"/>
            <w:vAlign w:val="bottom"/>
            <w:shd w:val="clear" w:color="auto" w:fill="FDFDFC"/>
          </w:tcPr>
          <w:p>
            <w:pPr>
              <w:spacing w:after="0"/>
              <w:rPr>
                <w:sz w:val="15"/>
                <w:szCs w:val="15"/>
                <w:color w:val="auto"/>
              </w:rPr>
            </w:pPr>
          </w:p>
        </w:tc>
        <w:tc>
          <w:tcPr>
            <w:tcW w:w="1060" w:type="dxa"/>
            <w:vAlign w:val="bottom"/>
            <w:shd w:val="clear" w:color="auto" w:fill="FDFDFC"/>
          </w:tcPr>
          <w:p>
            <w:pPr>
              <w:jc w:val="right"/>
              <w:ind w:right="271"/>
              <w:spacing w:after="0"/>
              <w:rPr>
                <w:sz w:val="20"/>
                <w:szCs w:val="20"/>
                <w:color w:val="auto"/>
              </w:rPr>
            </w:pPr>
            <w:r>
              <w:rPr>
                <w:rFonts w:ascii="Times New Roman" w:cs="Times New Roman" w:eastAsia="Times New Roman" w:hAnsi="Times New Roman"/>
                <w:sz w:val="15"/>
                <w:szCs w:val="15"/>
                <w:b w:val="1"/>
                <w:bCs w:val="1"/>
                <w:color w:val="231F20"/>
              </w:rPr>
              <w:t>Amount</w:t>
            </w:r>
          </w:p>
        </w:tc>
        <w:tc>
          <w:tcPr>
            <w:tcW w:w="200" w:type="dxa"/>
            <w:vAlign w:val="bottom"/>
            <w:shd w:val="clear" w:color="auto" w:fill="FDFDFC"/>
          </w:tcPr>
          <w:p>
            <w:pPr>
              <w:spacing w:after="0"/>
              <w:rPr>
                <w:sz w:val="15"/>
                <w:szCs w:val="15"/>
                <w:color w:val="auto"/>
              </w:rPr>
            </w:pPr>
          </w:p>
        </w:tc>
        <w:tc>
          <w:tcPr>
            <w:tcW w:w="180" w:type="dxa"/>
            <w:vAlign w:val="bottom"/>
            <w:shd w:val="clear" w:color="auto" w:fill="FDFDFC"/>
          </w:tcPr>
          <w:p>
            <w:pPr>
              <w:spacing w:after="0"/>
              <w:rPr>
                <w:sz w:val="15"/>
                <w:szCs w:val="15"/>
                <w:color w:val="auto"/>
              </w:rPr>
            </w:pPr>
          </w:p>
        </w:tc>
        <w:tc>
          <w:tcPr>
            <w:tcW w:w="980" w:type="dxa"/>
            <w:vAlign w:val="bottom"/>
            <w:shd w:val="clear" w:color="auto" w:fill="FDFDFC"/>
          </w:tcPr>
          <w:p>
            <w:pPr>
              <w:jc w:val="right"/>
              <w:ind w:right="216"/>
              <w:spacing w:after="0"/>
              <w:rPr>
                <w:sz w:val="20"/>
                <w:szCs w:val="20"/>
                <w:color w:val="auto"/>
              </w:rPr>
            </w:pPr>
            <w:r>
              <w:rPr>
                <w:rFonts w:ascii="Times New Roman" w:cs="Times New Roman" w:eastAsia="Times New Roman" w:hAnsi="Times New Roman"/>
                <w:sz w:val="15"/>
                <w:szCs w:val="15"/>
                <w:b w:val="1"/>
                <w:bCs w:val="1"/>
                <w:color w:val="231F20"/>
              </w:rPr>
              <w:t>Carrying</w:t>
            </w:r>
          </w:p>
        </w:tc>
        <w:tc>
          <w:tcPr>
            <w:tcW w:w="100" w:type="dxa"/>
            <w:vAlign w:val="bottom"/>
            <w:shd w:val="clear" w:color="auto" w:fill="FDFDFC"/>
          </w:tcPr>
          <w:p>
            <w:pPr>
              <w:spacing w:after="0"/>
              <w:rPr>
                <w:sz w:val="15"/>
                <w:szCs w:val="15"/>
                <w:color w:val="auto"/>
              </w:rPr>
            </w:pPr>
          </w:p>
        </w:tc>
      </w:tr>
      <w:tr>
        <w:trPr>
          <w:trHeight w:val="187"/>
        </w:trPr>
        <w:tc>
          <w:tcPr>
            <w:tcW w:w="3640" w:type="dxa"/>
            <w:vAlign w:val="bottom"/>
            <w:tcBorders>
              <w:bottom w:val="single" w:sz="8" w:color="D0EBF2"/>
            </w:tcBorders>
            <w:shd w:val="clear" w:color="auto" w:fill="FDFDFC"/>
          </w:tcPr>
          <w:p>
            <w:pPr>
              <w:spacing w:after="0"/>
              <w:rPr>
                <w:sz w:val="20"/>
                <w:szCs w:val="20"/>
                <w:color w:val="auto"/>
              </w:rPr>
            </w:pPr>
            <w:r>
              <w:rPr>
                <w:rFonts w:ascii="Times New Roman" w:cs="Times New Roman" w:eastAsia="Times New Roman" w:hAnsi="Times New Roman"/>
                <w:sz w:val="15"/>
                <w:szCs w:val="15"/>
                <w:color w:val="231F20"/>
              </w:rPr>
              <w:t>($ in millions)</w:t>
            </w:r>
          </w:p>
        </w:tc>
        <w:tc>
          <w:tcPr>
            <w:tcW w:w="1340" w:type="dxa"/>
            <w:vAlign w:val="bottom"/>
            <w:tcBorders>
              <w:bottom w:val="single" w:sz="8" w:color="231F20"/>
            </w:tcBorders>
            <w:gridSpan w:val="2"/>
            <w:shd w:val="clear" w:color="auto" w:fill="FDFDFC"/>
          </w:tcPr>
          <w:p>
            <w:pPr>
              <w:spacing w:after="0"/>
              <w:rPr>
                <w:sz w:val="20"/>
                <w:szCs w:val="20"/>
                <w:color w:val="auto"/>
              </w:rPr>
            </w:pPr>
            <w:r>
              <w:rPr>
                <w:rFonts w:ascii="Times New Roman" w:cs="Times New Roman" w:eastAsia="Times New Roman" w:hAnsi="Times New Roman"/>
                <w:sz w:val="15"/>
                <w:szCs w:val="15"/>
                <w:b w:val="1"/>
                <w:bCs w:val="1"/>
                <w:color w:val="231F20"/>
              </w:rPr>
              <w:t>Amount Committed</w:t>
            </w:r>
          </w:p>
        </w:tc>
        <w:tc>
          <w:tcPr>
            <w:tcW w:w="200" w:type="dxa"/>
            <w:vAlign w:val="bottom"/>
            <w:tcBorders>
              <w:bottom w:val="single" w:sz="8" w:color="D0EBF2"/>
            </w:tcBorders>
            <w:shd w:val="clear" w:color="auto" w:fill="FDFDFC"/>
          </w:tcPr>
          <w:p>
            <w:pPr>
              <w:spacing w:after="0"/>
              <w:rPr>
                <w:sz w:val="16"/>
                <w:szCs w:val="16"/>
                <w:color w:val="auto"/>
              </w:rPr>
            </w:pPr>
          </w:p>
        </w:tc>
        <w:tc>
          <w:tcPr>
            <w:tcW w:w="140" w:type="dxa"/>
            <w:vAlign w:val="bottom"/>
            <w:tcBorders>
              <w:bottom w:val="single" w:sz="8" w:color="231F20"/>
            </w:tcBorders>
            <w:shd w:val="clear" w:color="auto" w:fill="FDFDFC"/>
          </w:tcPr>
          <w:p>
            <w:pPr>
              <w:spacing w:after="0"/>
              <w:rPr>
                <w:sz w:val="16"/>
                <w:szCs w:val="16"/>
                <w:color w:val="auto"/>
              </w:rPr>
            </w:pPr>
          </w:p>
        </w:tc>
        <w:tc>
          <w:tcPr>
            <w:tcW w:w="1080" w:type="dxa"/>
            <w:vAlign w:val="bottom"/>
            <w:tcBorders>
              <w:bottom w:val="single" w:sz="8" w:color="231F20"/>
            </w:tcBorders>
            <w:shd w:val="clear" w:color="auto" w:fill="FDFDFC"/>
          </w:tcPr>
          <w:p>
            <w:pPr>
              <w:jc w:val="right"/>
              <w:ind w:right="233"/>
              <w:spacing w:after="0"/>
              <w:rPr>
                <w:sz w:val="20"/>
                <w:szCs w:val="20"/>
                <w:color w:val="auto"/>
              </w:rPr>
            </w:pPr>
            <w:r>
              <w:rPr>
                <w:rFonts w:ascii="Times New Roman" w:cs="Times New Roman" w:eastAsia="Times New Roman" w:hAnsi="Times New Roman"/>
                <w:sz w:val="15"/>
                <w:szCs w:val="15"/>
                <w:b w:val="1"/>
                <w:bCs w:val="1"/>
                <w:color w:val="231F20"/>
              </w:rPr>
              <w:t>Principal</w:t>
            </w:r>
          </w:p>
        </w:tc>
        <w:tc>
          <w:tcPr>
            <w:tcW w:w="200" w:type="dxa"/>
            <w:vAlign w:val="bottom"/>
            <w:tcBorders>
              <w:bottom w:val="single" w:sz="8" w:color="D0EBF2"/>
            </w:tcBorders>
            <w:shd w:val="clear" w:color="auto" w:fill="FDFDFC"/>
          </w:tcPr>
          <w:p>
            <w:pPr>
              <w:spacing w:after="0"/>
              <w:rPr>
                <w:sz w:val="16"/>
                <w:szCs w:val="16"/>
                <w:color w:val="auto"/>
              </w:rPr>
            </w:pPr>
          </w:p>
        </w:tc>
        <w:tc>
          <w:tcPr>
            <w:tcW w:w="160" w:type="dxa"/>
            <w:vAlign w:val="bottom"/>
            <w:tcBorders>
              <w:bottom w:val="single" w:sz="8" w:color="231F20"/>
            </w:tcBorders>
            <w:shd w:val="clear" w:color="auto" w:fill="FDFDFC"/>
          </w:tcPr>
          <w:p>
            <w:pPr>
              <w:spacing w:after="0"/>
              <w:rPr>
                <w:sz w:val="16"/>
                <w:szCs w:val="16"/>
                <w:color w:val="auto"/>
              </w:rPr>
            </w:pPr>
          </w:p>
        </w:tc>
        <w:tc>
          <w:tcPr>
            <w:tcW w:w="1060" w:type="dxa"/>
            <w:vAlign w:val="bottom"/>
            <w:tcBorders>
              <w:bottom w:val="single" w:sz="8" w:color="231F20"/>
            </w:tcBorders>
            <w:shd w:val="clear" w:color="auto" w:fill="FDFDFC"/>
          </w:tcPr>
          <w:p>
            <w:pPr>
              <w:jc w:val="right"/>
              <w:ind w:right="151"/>
              <w:spacing w:after="0"/>
              <w:rPr>
                <w:sz w:val="20"/>
                <w:szCs w:val="20"/>
                <w:color w:val="auto"/>
              </w:rPr>
            </w:pPr>
            <w:r>
              <w:rPr>
                <w:rFonts w:ascii="Times New Roman" w:cs="Times New Roman" w:eastAsia="Times New Roman" w:hAnsi="Times New Roman"/>
                <w:sz w:val="15"/>
                <w:szCs w:val="15"/>
                <w:b w:val="1"/>
                <w:bCs w:val="1"/>
                <w:color w:val="231F20"/>
              </w:rPr>
              <w:t xml:space="preserve">Available </w:t>
            </w:r>
            <w:r>
              <w:rPr>
                <w:rFonts w:ascii="Times New Roman" w:cs="Times New Roman" w:eastAsia="Times New Roman" w:hAnsi="Times New Roman"/>
                <w:sz w:val="9"/>
                <w:szCs w:val="9"/>
                <w:b w:val="1"/>
                <w:bCs w:val="1"/>
                <w:color w:val="231F20"/>
              </w:rPr>
              <w:t>(1)</w:t>
            </w:r>
          </w:p>
        </w:tc>
        <w:tc>
          <w:tcPr>
            <w:tcW w:w="200" w:type="dxa"/>
            <w:vAlign w:val="bottom"/>
            <w:tcBorders>
              <w:bottom w:val="single" w:sz="8" w:color="D0EBF2"/>
            </w:tcBorders>
            <w:shd w:val="clear" w:color="auto" w:fill="FDFDFC"/>
          </w:tcPr>
          <w:p>
            <w:pPr>
              <w:spacing w:after="0"/>
              <w:rPr>
                <w:sz w:val="16"/>
                <w:szCs w:val="16"/>
                <w:color w:val="auto"/>
              </w:rPr>
            </w:pPr>
          </w:p>
        </w:tc>
        <w:tc>
          <w:tcPr>
            <w:tcW w:w="180" w:type="dxa"/>
            <w:vAlign w:val="bottom"/>
            <w:tcBorders>
              <w:bottom w:val="single" w:sz="8" w:color="231F20"/>
            </w:tcBorders>
            <w:shd w:val="clear" w:color="auto" w:fill="FDFDFC"/>
          </w:tcPr>
          <w:p>
            <w:pPr>
              <w:spacing w:after="0"/>
              <w:rPr>
                <w:sz w:val="16"/>
                <w:szCs w:val="16"/>
                <w:color w:val="auto"/>
              </w:rPr>
            </w:pPr>
          </w:p>
        </w:tc>
        <w:tc>
          <w:tcPr>
            <w:tcW w:w="980" w:type="dxa"/>
            <w:vAlign w:val="bottom"/>
            <w:tcBorders>
              <w:bottom w:val="single" w:sz="8" w:color="231F20"/>
            </w:tcBorders>
            <w:shd w:val="clear" w:color="auto" w:fill="FDFDFC"/>
          </w:tcPr>
          <w:p>
            <w:pPr>
              <w:jc w:val="right"/>
              <w:ind w:right="196"/>
              <w:spacing w:after="0" w:line="187" w:lineRule="exact"/>
              <w:rPr>
                <w:sz w:val="20"/>
                <w:szCs w:val="20"/>
                <w:color w:val="auto"/>
              </w:rPr>
            </w:pPr>
            <w:r>
              <w:rPr>
                <w:rFonts w:ascii="Times New Roman" w:cs="Times New Roman" w:eastAsia="Times New Roman" w:hAnsi="Times New Roman"/>
                <w:sz w:val="21"/>
                <w:szCs w:val="21"/>
                <w:b w:val="1"/>
                <w:bCs w:val="1"/>
                <w:color w:val="231F20"/>
                <w:vertAlign w:val="subscript"/>
              </w:rPr>
              <w:t>Value</w:t>
            </w:r>
            <w:r>
              <w:rPr>
                <w:rFonts w:ascii="Times New Roman" w:cs="Times New Roman" w:eastAsia="Times New Roman" w:hAnsi="Times New Roman"/>
                <w:sz w:val="8"/>
                <w:szCs w:val="8"/>
                <w:b w:val="1"/>
                <w:bCs w:val="1"/>
                <w:color w:val="231F20"/>
              </w:rPr>
              <w:t xml:space="preserve"> (2)(3)</w:t>
            </w:r>
          </w:p>
        </w:tc>
        <w:tc>
          <w:tcPr>
            <w:tcW w:w="100" w:type="dxa"/>
            <w:vAlign w:val="bottom"/>
            <w:tcBorders>
              <w:bottom w:val="single" w:sz="8" w:color="D0EBF2"/>
            </w:tcBorders>
            <w:shd w:val="clear" w:color="auto" w:fill="FDFDFC"/>
          </w:tcPr>
          <w:p>
            <w:pPr>
              <w:spacing w:after="0"/>
              <w:rPr>
                <w:sz w:val="16"/>
                <w:szCs w:val="16"/>
                <w:color w:val="auto"/>
              </w:rPr>
            </w:pPr>
          </w:p>
        </w:tc>
      </w:tr>
      <w:tr>
        <w:trPr>
          <w:trHeight w:val="220"/>
        </w:trPr>
        <w:tc>
          <w:tcPr>
            <w:tcW w:w="3640" w:type="dxa"/>
            <w:vAlign w:val="bottom"/>
            <w:shd w:val="clear" w:color="auto" w:fill="D0EBF2"/>
          </w:tcPr>
          <w:p>
            <w:pPr>
              <w:spacing w:after="0"/>
              <w:rPr>
                <w:sz w:val="20"/>
                <w:szCs w:val="20"/>
                <w:color w:val="auto"/>
              </w:rPr>
            </w:pPr>
            <w:r>
              <w:rPr>
                <w:rFonts w:ascii="Times New Roman" w:cs="Times New Roman" w:eastAsia="Times New Roman" w:hAnsi="Times New Roman"/>
                <w:sz w:val="19"/>
                <w:szCs w:val="19"/>
                <w:color w:val="231F20"/>
              </w:rPr>
              <w:t>Revolving Credit Facility</w:t>
            </w:r>
          </w:p>
        </w:tc>
        <w:tc>
          <w:tcPr>
            <w:tcW w:w="420" w:type="dxa"/>
            <w:vAlign w:val="bottom"/>
            <w:shd w:val="clear" w:color="auto" w:fill="D0EBF2"/>
          </w:tcPr>
          <w:p>
            <w:pPr>
              <w:spacing w:after="0"/>
              <w:rPr>
                <w:sz w:val="20"/>
                <w:szCs w:val="20"/>
                <w:color w:val="auto"/>
              </w:rPr>
            </w:pPr>
            <w:r>
              <w:rPr>
                <w:rFonts w:ascii="Times New Roman" w:cs="Times New Roman" w:eastAsia="Times New Roman" w:hAnsi="Times New Roman"/>
                <w:sz w:val="19"/>
                <w:szCs w:val="19"/>
                <w:color w:val="231F20"/>
              </w:rPr>
              <w:t>$</w:t>
            </w:r>
          </w:p>
        </w:tc>
        <w:tc>
          <w:tcPr>
            <w:tcW w:w="920" w:type="dxa"/>
            <w:vAlign w:val="bottom"/>
            <w:shd w:val="clear" w:color="auto" w:fill="D0EBF2"/>
          </w:tcPr>
          <w:p>
            <w:pPr>
              <w:jc w:val="right"/>
              <w:spacing w:after="0"/>
              <w:rPr>
                <w:sz w:val="20"/>
                <w:szCs w:val="20"/>
                <w:color w:val="auto"/>
              </w:rPr>
            </w:pPr>
            <w:r>
              <w:rPr>
                <w:rFonts w:ascii="Times New Roman" w:cs="Times New Roman" w:eastAsia="Times New Roman" w:hAnsi="Times New Roman"/>
                <w:sz w:val="19"/>
                <w:szCs w:val="19"/>
                <w:color w:val="231F20"/>
              </w:rPr>
              <w:t>1,700.0</w:t>
            </w:r>
          </w:p>
        </w:tc>
        <w:tc>
          <w:tcPr>
            <w:tcW w:w="200" w:type="dxa"/>
            <w:vAlign w:val="bottom"/>
            <w:shd w:val="clear" w:color="auto" w:fill="D0EBF2"/>
          </w:tcPr>
          <w:p>
            <w:pPr>
              <w:spacing w:after="0"/>
              <w:rPr>
                <w:sz w:val="19"/>
                <w:szCs w:val="19"/>
                <w:color w:val="auto"/>
              </w:rPr>
            </w:pPr>
          </w:p>
        </w:tc>
        <w:tc>
          <w:tcPr>
            <w:tcW w:w="140" w:type="dxa"/>
            <w:vAlign w:val="bottom"/>
            <w:shd w:val="clear" w:color="auto" w:fill="D0EBF2"/>
          </w:tcPr>
          <w:p>
            <w:pPr>
              <w:jc w:val="right"/>
              <w:spacing w:after="0"/>
              <w:rPr>
                <w:sz w:val="20"/>
                <w:szCs w:val="20"/>
                <w:color w:val="auto"/>
              </w:rPr>
            </w:pPr>
            <w:r>
              <w:rPr>
                <w:rFonts w:ascii="Times New Roman" w:cs="Times New Roman" w:eastAsia="Times New Roman" w:hAnsi="Times New Roman"/>
                <w:sz w:val="19"/>
                <w:szCs w:val="19"/>
                <w:color w:val="231F20"/>
                <w:w w:val="83"/>
              </w:rPr>
              <w:t>$</w:t>
            </w:r>
          </w:p>
        </w:tc>
        <w:tc>
          <w:tcPr>
            <w:tcW w:w="1080" w:type="dxa"/>
            <w:vAlign w:val="bottom"/>
            <w:shd w:val="clear" w:color="auto" w:fill="D0EBF2"/>
          </w:tcPr>
          <w:p>
            <w:pPr>
              <w:jc w:val="right"/>
              <w:spacing w:after="0"/>
              <w:rPr>
                <w:sz w:val="20"/>
                <w:szCs w:val="20"/>
                <w:color w:val="auto"/>
              </w:rPr>
            </w:pPr>
            <w:r>
              <w:rPr>
                <w:rFonts w:ascii="Times New Roman" w:cs="Times New Roman" w:eastAsia="Times New Roman" w:hAnsi="Times New Roman"/>
                <w:sz w:val="19"/>
                <w:szCs w:val="19"/>
                <w:color w:val="231F20"/>
              </w:rPr>
              <w:t>1,004.1</w:t>
            </w:r>
          </w:p>
        </w:tc>
        <w:tc>
          <w:tcPr>
            <w:tcW w:w="200" w:type="dxa"/>
            <w:vAlign w:val="bottom"/>
            <w:shd w:val="clear" w:color="auto" w:fill="D0EBF2"/>
          </w:tcPr>
          <w:p>
            <w:pPr>
              <w:spacing w:after="0"/>
              <w:rPr>
                <w:sz w:val="19"/>
                <w:szCs w:val="19"/>
                <w:color w:val="auto"/>
              </w:rPr>
            </w:pPr>
          </w:p>
        </w:tc>
        <w:tc>
          <w:tcPr>
            <w:tcW w:w="160" w:type="dxa"/>
            <w:vAlign w:val="bottom"/>
            <w:shd w:val="clear" w:color="auto" w:fill="D0EBF2"/>
          </w:tcPr>
          <w:p>
            <w:pPr>
              <w:jc w:val="right"/>
              <w:spacing w:after="0"/>
              <w:rPr>
                <w:sz w:val="20"/>
                <w:szCs w:val="20"/>
                <w:color w:val="auto"/>
              </w:rPr>
            </w:pPr>
            <w:r>
              <w:rPr>
                <w:rFonts w:ascii="Times New Roman" w:cs="Times New Roman" w:eastAsia="Times New Roman" w:hAnsi="Times New Roman"/>
                <w:sz w:val="19"/>
                <w:szCs w:val="19"/>
                <w:color w:val="231F20"/>
                <w:w w:val="83"/>
              </w:rPr>
              <w:t>$</w:t>
            </w:r>
          </w:p>
        </w:tc>
        <w:tc>
          <w:tcPr>
            <w:tcW w:w="1060" w:type="dxa"/>
            <w:vAlign w:val="bottom"/>
            <w:shd w:val="clear" w:color="auto" w:fill="D0EBF2"/>
          </w:tcPr>
          <w:p>
            <w:pPr>
              <w:jc w:val="right"/>
              <w:spacing w:after="0"/>
              <w:rPr>
                <w:sz w:val="20"/>
                <w:szCs w:val="20"/>
                <w:color w:val="auto"/>
              </w:rPr>
            </w:pPr>
            <w:r>
              <w:rPr>
                <w:rFonts w:ascii="Times New Roman" w:cs="Times New Roman" w:eastAsia="Times New Roman" w:hAnsi="Times New Roman"/>
                <w:sz w:val="19"/>
                <w:szCs w:val="19"/>
                <w:color w:val="231F20"/>
              </w:rPr>
              <w:t>674.2</w:t>
            </w:r>
          </w:p>
        </w:tc>
        <w:tc>
          <w:tcPr>
            <w:tcW w:w="200" w:type="dxa"/>
            <w:vAlign w:val="bottom"/>
            <w:shd w:val="clear" w:color="auto" w:fill="D0EBF2"/>
          </w:tcPr>
          <w:p>
            <w:pPr>
              <w:spacing w:after="0"/>
              <w:rPr>
                <w:sz w:val="19"/>
                <w:szCs w:val="19"/>
                <w:color w:val="auto"/>
              </w:rPr>
            </w:pPr>
          </w:p>
        </w:tc>
        <w:tc>
          <w:tcPr>
            <w:tcW w:w="180" w:type="dxa"/>
            <w:vAlign w:val="bottom"/>
            <w:shd w:val="clear" w:color="auto" w:fill="D0EBF2"/>
          </w:tcPr>
          <w:p>
            <w:pPr>
              <w:jc w:val="right"/>
              <w:spacing w:after="0"/>
              <w:rPr>
                <w:sz w:val="20"/>
                <w:szCs w:val="20"/>
                <w:color w:val="auto"/>
              </w:rPr>
            </w:pPr>
            <w:r>
              <w:rPr>
                <w:rFonts w:ascii="Times New Roman" w:cs="Times New Roman" w:eastAsia="Times New Roman" w:hAnsi="Times New Roman"/>
                <w:sz w:val="19"/>
                <w:szCs w:val="19"/>
                <w:color w:val="231F20"/>
                <w:w w:val="83"/>
              </w:rPr>
              <w:t>$</w:t>
            </w:r>
          </w:p>
        </w:tc>
        <w:tc>
          <w:tcPr>
            <w:tcW w:w="980" w:type="dxa"/>
            <w:vAlign w:val="bottom"/>
            <w:shd w:val="clear" w:color="auto" w:fill="D0EBF2"/>
          </w:tcPr>
          <w:p>
            <w:pPr>
              <w:jc w:val="right"/>
              <w:spacing w:after="0"/>
              <w:rPr>
                <w:sz w:val="20"/>
                <w:szCs w:val="20"/>
                <w:color w:val="auto"/>
              </w:rPr>
            </w:pPr>
            <w:r>
              <w:rPr>
                <w:rFonts w:ascii="Times New Roman" w:cs="Times New Roman" w:eastAsia="Times New Roman" w:hAnsi="Times New Roman"/>
                <w:sz w:val="19"/>
                <w:szCs w:val="19"/>
                <w:color w:val="231F20"/>
              </w:rPr>
              <w:t>988.6</w:t>
            </w:r>
          </w:p>
        </w:tc>
        <w:tc>
          <w:tcPr>
            <w:tcW w:w="100" w:type="dxa"/>
            <w:vAlign w:val="bottom"/>
            <w:shd w:val="clear" w:color="auto" w:fill="D0EBF2"/>
          </w:tcPr>
          <w:p>
            <w:pPr>
              <w:spacing w:after="0"/>
              <w:rPr>
                <w:sz w:val="19"/>
                <w:szCs w:val="19"/>
                <w:color w:val="auto"/>
              </w:rPr>
            </w:pPr>
          </w:p>
        </w:tc>
      </w:tr>
      <w:tr>
        <w:trPr>
          <w:trHeight w:val="230"/>
        </w:trPr>
        <w:tc>
          <w:tcPr>
            <w:tcW w:w="3640" w:type="dxa"/>
            <w:vAlign w:val="bottom"/>
            <w:shd w:val="clear" w:color="auto" w:fill="FDFDFC"/>
          </w:tcPr>
          <w:p>
            <w:pPr>
              <w:spacing w:after="0"/>
              <w:rPr>
                <w:sz w:val="20"/>
                <w:szCs w:val="20"/>
                <w:color w:val="auto"/>
              </w:rPr>
            </w:pPr>
            <w:r>
              <w:rPr>
                <w:rFonts w:ascii="Times New Roman" w:cs="Times New Roman" w:eastAsia="Times New Roman" w:hAnsi="Times New Roman"/>
                <w:sz w:val="19"/>
                <w:szCs w:val="19"/>
                <w:color w:val="231F20"/>
              </w:rPr>
              <w:t>2026 Notes</w:t>
            </w:r>
          </w:p>
        </w:tc>
        <w:tc>
          <w:tcPr>
            <w:tcW w:w="420" w:type="dxa"/>
            <w:vAlign w:val="bottom"/>
            <w:shd w:val="clear" w:color="auto" w:fill="FDFDFC"/>
          </w:tcPr>
          <w:p>
            <w:pPr>
              <w:spacing w:after="0"/>
              <w:rPr>
                <w:sz w:val="20"/>
                <w:szCs w:val="20"/>
                <w:color w:val="auto"/>
              </w:rPr>
            </w:pPr>
          </w:p>
        </w:tc>
        <w:tc>
          <w:tcPr>
            <w:tcW w:w="920" w:type="dxa"/>
            <w:vAlign w:val="bottom"/>
            <w:shd w:val="clear" w:color="auto" w:fill="FDFDFC"/>
          </w:tcPr>
          <w:p>
            <w:pPr>
              <w:jc w:val="right"/>
              <w:spacing w:after="0"/>
              <w:rPr>
                <w:sz w:val="20"/>
                <w:szCs w:val="20"/>
                <w:color w:val="auto"/>
              </w:rPr>
            </w:pPr>
            <w:r>
              <w:rPr>
                <w:rFonts w:ascii="Times New Roman" w:cs="Times New Roman" w:eastAsia="Times New Roman" w:hAnsi="Times New Roman"/>
                <w:sz w:val="19"/>
                <w:szCs w:val="19"/>
                <w:color w:val="231F20"/>
              </w:rPr>
              <w:t>300.0</w:t>
            </w:r>
          </w:p>
        </w:tc>
        <w:tc>
          <w:tcPr>
            <w:tcW w:w="200" w:type="dxa"/>
            <w:vAlign w:val="bottom"/>
            <w:shd w:val="clear" w:color="auto" w:fill="FDFDFC"/>
          </w:tcPr>
          <w:p>
            <w:pPr>
              <w:spacing w:after="0"/>
              <w:rPr>
                <w:sz w:val="20"/>
                <w:szCs w:val="20"/>
                <w:color w:val="auto"/>
              </w:rPr>
            </w:pPr>
          </w:p>
        </w:tc>
        <w:tc>
          <w:tcPr>
            <w:tcW w:w="140" w:type="dxa"/>
            <w:vAlign w:val="bottom"/>
            <w:shd w:val="clear" w:color="auto" w:fill="FDFDFC"/>
          </w:tcPr>
          <w:p>
            <w:pPr>
              <w:spacing w:after="0"/>
              <w:rPr>
                <w:sz w:val="20"/>
                <w:szCs w:val="20"/>
                <w:color w:val="auto"/>
              </w:rPr>
            </w:pPr>
          </w:p>
        </w:tc>
        <w:tc>
          <w:tcPr>
            <w:tcW w:w="1080" w:type="dxa"/>
            <w:vAlign w:val="bottom"/>
            <w:shd w:val="clear" w:color="auto" w:fill="FDFDFC"/>
          </w:tcPr>
          <w:p>
            <w:pPr>
              <w:jc w:val="right"/>
              <w:spacing w:after="0"/>
              <w:rPr>
                <w:sz w:val="20"/>
                <w:szCs w:val="20"/>
                <w:color w:val="auto"/>
              </w:rPr>
            </w:pPr>
            <w:r>
              <w:rPr>
                <w:rFonts w:ascii="Times New Roman" w:cs="Times New Roman" w:eastAsia="Times New Roman" w:hAnsi="Times New Roman"/>
                <w:sz w:val="19"/>
                <w:szCs w:val="19"/>
                <w:color w:val="231F20"/>
              </w:rPr>
              <w:t>300.0</w:t>
            </w:r>
          </w:p>
        </w:tc>
        <w:tc>
          <w:tcPr>
            <w:tcW w:w="200" w:type="dxa"/>
            <w:vAlign w:val="bottom"/>
            <w:shd w:val="clear" w:color="auto" w:fill="FDFDFC"/>
          </w:tcPr>
          <w:p>
            <w:pPr>
              <w:spacing w:after="0"/>
              <w:rPr>
                <w:sz w:val="20"/>
                <w:szCs w:val="20"/>
                <w:color w:val="auto"/>
              </w:rPr>
            </w:pPr>
          </w:p>
        </w:tc>
        <w:tc>
          <w:tcPr>
            <w:tcW w:w="160" w:type="dxa"/>
            <w:vAlign w:val="bottom"/>
            <w:shd w:val="clear" w:color="auto" w:fill="FDFDFC"/>
          </w:tcPr>
          <w:p>
            <w:pPr>
              <w:spacing w:after="0"/>
              <w:rPr>
                <w:sz w:val="20"/>
                <w:szCs w:val="20"/>
                <w:color w:val="auto"/>
              </w:rPr>
            </w:pPr>
          </w:p>
        </w:tc>
        <w:tc>
          <w:tcPr>
            <w:tcW w:w="1060" w:type="dxa"/>
            <w:vAlign w:val="bottom"/>
            <w:shd w:val="clear" w:color="auto" w:fill="FDFDFC"/>
          </w:tcPr>
          <w:p>
            <w:pPr>
              <w:jc w:val="right"/>
              <w:spacing w:after="0"/>
              <w:rPr>
                <w:sz w:val="20"/>
                <w:szCs w:val="20"/>
                <w:color w:val="auto"/>
              </w:rPr>
            </w:pPr>
            <w:r>
              <w:rPr>
                <w:rFonts w:ascii="Times New Roman" w:cs="Times New Roman" w:eastAsia="Times New Roman" w:hAnsi="Times New Roman"/>
                <w:sz w:val="19"/>
                <w:szCs w:val="19"/>
                <w:color w:val="231F20"/>
              </w:rPr>
              <w:t>—</w:t>
            </w:r>
          </w:p>
        </w:tc>
        <w:tc>
          <w:tcPr>
            <w:tcW w:w="200" w:type="dxa"/>
            <w:vAlign w:val="bottom"/>
            <w:shd w:val="clear" w:color="auto" w:fill="FDFDFC"/>
          </w:tcPr>
          <w:p>
            <w:pPr>
              <w:spacing w:after="0"/>
              <w:rPr>
                <w:sz w:val="20"/>
                <w:szCs w:val="20"/>
                <w:color w:val="auto"/>
              </w:rPr>
            </w:pPr>
          </w:p>
        </w:tc>
        <w:tc>
          <w:tcPr>
            <w:tcW w:w="180" w:type="dxa"/>
            <w:vAlign w:val="bottom"/>
            <w:shd w:val="clear" w:color="auto" w:fill="FDFDFC"/>
          </w:tcPr>
          <w:p>
            <w:pPr>
              <w:spacing w:after="0"/>
              <w:rPr>
                <w:sz w:val="20"/>
                <w:szCs w:val="20"/>
                <w:color w:val="auto"/>
              </w:rPr>
            </w:pPr>
          </w:p>
        </w:tc>
        <w:tc>
          <w:tcPr>
            <w:tcW w:w="980" w:type="dxa"/>
            <w:vAlign w:val="bottom"/>
            <w:shd w:val="clear" w:color="auto" w:fill="FDFDFC"/>
          </w:tcPr>
          <w:p>
            <w:pPr>
              <w:jc w:val="right"/>
              <w:spacing w:after="0"/>
              <w:rPr>
                <w:sz w:val="20"/>
                <w:szCs w:val="20"/>
                <w:color w:val="auto"/>
              </w:rPr>
            </w:pPr>
            <w:r>
              <w:rPr>
                <w:rFonts w:ascii="Times New Roman" w:cs="Times New Roman" w:eastAsia="Times New Roman" w:hAnsi="Times New Roman"/>
                <w:sz w:val="19"/>
                <w:szCs w:val="19"/>
                <w:color w:val="231F20"/>
              </w:rPr>
              <w:t>280.5</w:t>
            </w:r>
          </w:p>
        </w:tc>
        <w:tc>
          <w:tcPr>
            <w:tcW w:w="100" w:type="dxa"/>
            <w:vAlign w:val="bottom"/>
            <w:shd w:val="clear" w:color="auto" w:fill="FDFDFC"/>
          </w:tcPr>
          <w:p>
            <w:pPr>
              <w:spacing w:after="0"/>
              <w:rPr>
                <w:sz w:val="20"/>
                <w:szCs w:val="20"/>
                <w:color w:val="auto"/>
              </w:rPr>
            </w:pPr>
          </w:p>
        </w:tc>
      </w:tr>
      <w:tr>
        <w:trPr>
          <w:trHeight w:val="230"/>
        </w:trPr>
        <w:tc>
          <w:tcPr>
            <w:tcW w:w="3640" w:type="dxa"/>
            <w:vAlign w:val="bottom"/>
            <w:shd w:val="clear" w:color="auto" w:fill="D0EBF2"/>
          </w:tcPr>
          <w:p>
            <w:pPr>
              <w:spacing w:after="0"/>
              <w:rPr>
                <w:sz w:val="20"/>
                <w:szCs w:val="20"/>
                <w:color w:val="auto"/>
              </w:rPr>
            </w:pPr>
            <w:r>
              <w:rPr>
                <w:rFonts w:ascii="Times New Roman" w:cs="Times New Roman" w:eastAsia="Times New Roman" w:hAnsi="Times New Roman"/>
                <w:sz w:val="19"/>
                <w:szCs w:val="19"/>
                <w:color w:val="231F20"/>
              </w:rPr>
              <w:t>2028 Notes</w:t>
            </w:r>
          </w:p>
        </w:tc>
        <w:tc>
          <w:tcPr>
            <w:tcW w:w="420" w:type="dxa"/>
            <w:vAlign w:val="bottom"/>
            <w:shd w:val="clear" w:color="auto" w:fill="D0EBF2"/>
          </w:tcPr>
          <w:p>
            <w:pPr>
              <w:spacing w:after="0"/>
              <w:rPr>
                <w:sz w:val="20"/>
                <w:szCs w:val="20"/>
                <w:color w:val="auto"/>
              </w:rPr>
            </w:pPr>
          </w:p>
        </w:tc>
        <w:tc>
          <w:tcPr>
            <w:tcW w:w="920" w:type="dxa"/>
            <w:vAlign w:val="bottom"/>
            <w:shd w:val="clear" w:color="auto" w:fill="D0EBF2"/>
          </w:tcPr>
          <w:p>
            <w:pPr>
              <w:jc w:val="right"/>
              <w:spacing w:after="0"/>
              <w:rPr>
                <w:sz w:val="20"/>
                <w:szCs w:val="20"/>
                <w:color w:val="auto"/>
              </w:rPr>
            </w:pPr>
            <w:r>
              <w:rPr>
                <w:rFonts w:ascii="Times New Roman" w:cs="Times New Roman" w:eastAsia="Times New Roman" w:hAnsi="Times New Roman"/>
                <w:sz w:val="19"/>
                <w:szCs w:val="19"/>
                <w:color w:val="231F20"/>
              </w:rPr>
              <w:t>300.0</w:t>
            </w:r>
          </w:p>
        </w:tc>
        <w:tc>
          <w:tcPr>
            <w:tcW w:w="200" w:type="dxa"/>
            <w:vAlign w:val="bottom"/>
            <w:shd w:val="clear" w:color="auto" w:fill="D0EBF2"/>
          </w:tcPr>
          <w:p>
            <w:pPr>
              <w:spacing w:after="0"/>
              <w:rPr>
                <w:sz w:val="20"/>
                <w:szCs w:val="20"/>
                <w:color w:val="auto"/>
              </w:rPr>
            </w:pPr>
          </w:p>
        </w:tc>
        <w:tc>
          <w:tcPr>
            <w:tcW w:w="140" w:type="dxa"/>
            <w:vAlign w:val="bottom"/>
            <w:shd w:val="clear" w:color="auto" w:fill="D0EBF2"/>
          </w:tcPr>
          <w:p>
            <w:pPr>
              <w:spacing w:after="0"/>
              <w:rPr>
                <w:sz w:val="20"/>
                <w:szCs w:val="20"/>
                <w:color w:val="auto"/>
              </w:rPr>
            </w:pPr>
          </w:p>
        </w:tc>
        <w:tc>
          <w:tcPr>
            <w:tcW w:w="1080" w:type="dxa"/>
            <w:vAlign w:val="bottom"/>
            <w:shd w:val="clear" w:color="auto" w:fill="D0EBF2"/>
          </w:tcPr>
          <w:p>
            <w:pPr>
              <w:jc w:val="right"/>
              <w:spacing w:after="0"/>
              <w:rPr>
                <w:sz w:val="20"/>
                <w:szCs w:val="20"/>
                <w:color w:val="auto"/>
              </w:rPr>
            </w:pPr>
            <w:r>
              <w:rPr>
                <w:rFonts w:ascii="Times New Roman" w:cs="Times New Roman" w:eastAsia="Times New Roman" w:hAnsi="Times New Roman"/>
                <w:sz w:val="19"/>
                <w:szCs w:val="19"/>
                <w:color w:val="231F20"/>
              </w:rPr>
              <w:t>300.0</w:t>
            </w:r>
          </w:p>
        </w:tc>
        <w:tc>
          <w:tcPr>
            <w:tcW w:w="200" w:type="dxa"/>
            <w:vAlign w:val="bottom"/>
            <w:shd w:val="clear" w:color="auto" w:fill="D0EBF2"/>
          </w:tcPr>
          <w:p>
            <w:pPr>
              <w:spacing w:after="0"/>
              <w:rPr>
                <w:sz w:val="20"/>
                <w:szCs w:val="20"/>
                <w:color w:val="auto"/>
              </w:rPr>
            </w:pPr>
          </w:p>
        </w:tc>
        <w:tc>
          <w:tcPr>
            <w:tcW w:w="160" w:type="dxa"/>
            <w:vAlign w:val="bottom"/>
            <w:shd w:val="clear" w:color="auto" w:fill="D0EBF2"/>
          </w:tcPr>
          <w:p>
            <w:pPr>
              <w:spacing w:after="0"/>
              <w:rPr>
                <w:sz w:val="20"/>
                <w:szCs w:val="20"/>
                <w:color w:val="auto"/>
              </w:rPr>
            </w:pPr>
          </w:p>
        </w:tc>
        <w:tc>
          <w:tcPr>
            <w:tcW w:w="1060" w:type="dxa"/>
            <w:vAlign w:val="bottom"/>
            <w:shd w:val="clear" w:color="auto" w:fill="D0EBF2"/>
          </w:tcPr>
          <w:p>
            <w:pPr>
              <w:jc w:val="right"/>
              <w:spacing w:after="0"/>
              <w:rPr>
                <w:sz w:val="20"/>
                <w:szCs w:val="20"/>
                <w:color w:val="auto"/>
              </w:rPr>
            </w:pPr>
            <w:r>
              <w:rPr>
                <w:rFonts w:ascii="Times New Roman" w:cs="Times New Roman" w:eastAsia="Times New Roman" w:hAnsi="Times New Roman"/>
                <w:sz w:val="19"/>
                <w:szCs w:val="19"/>
                <w:color w:val="231F20"/>
              </w:rPr>
              <w:t>—</w:t>
            </w:r>
          </w:p>
        </w:tc>
        <w:tc>
          <w:tcPr>
            <w:tcW w:w="200" w:type="dxa"/>
            <w:vAlign w:val="bottom"/>
            <w:shd w:val="clear" w:color="auto" w:fill="D0EBF2"/>
          </w:tcPr>
          <w:p>
            <w:pPr>
              <w:spacing w:after="0"/>
              <w:rPr>
                <w:sz w:val="20"/>
                <w:szCs w:val="20"/>
                <w:color w:val="auto"/>
              </w:rPr>
            </w:pPr>
          </w:p>
        </w:tc>
        <w:tc>
          <w:tcPr>
            <w:tcW w:w="180" w:type="dxa"/>
            <w:vAlign w:val="bottom"/>
            <w:shd w:val="clear" w:color="auto" w:fill="D0EBF2"/>
          </w:tcPr>
          <w:p>
            <w:pPr>
              <w:spacing w:after="0"/>
              <w:rPr>
                <w:sz w:val="20"/>
                <w:szCs w:val="20"/>
                <w:color w:val="auto"/>
              </w:rPr>
            </w:pPr>
          </w:p>
        </w:tc>
        <w:tc>
          <w:tcPr>
            <w:tcW w:w="980" w:type="dxa"/>
            <w:vAlign w:val="bottom"/>
            <w:shd w:val="clear" w:color="auto" w:fill="D0EBF2"/>
          </w:tcPr>
          <w:p>
            <w:pPr>
              <w:jc w:val="right"/>
              <w:spacing w:after="0"/>
              <w:rPr>
                <w:sz w:val="20"/>
                <w:szCs w:val="20"/>
                <w:color w:val="auto"/>
              </w:rPr>
            </w:pPr>
            <w:r>
              <w:rPr>
                <w:rFonts w:ascii="Times New Roman" w:cs="Times New Roman" w:eastAsia="Times New Roman" w:hAnsi="Times New Roman"/>
                <w:sz w:val="19"/>
                <w:szCs w:val="19"/>
                <w:color w:val="231F20"/>
              </w:rPr>
              <w:t>294.1</w:t>
            </w:r>
          </w:p>
        </w:tc>
        <w:tc>
          <w:tcPr>
            <w:tcW w:w="100" w:type="dxa"/>
            <w:vAlign w:val="bottom"/>
            <w:shd w:val="clear" w:color="auto" w:fill="D0EBF2"/>
          </w:tcPr>
          <w:p>
            <w:pPr>
              <w:spacing w:after="0"/>
              <w:rPr>
                <w:sz w:val="20"/>
                <w:szCs w:val="20"/>
                <w:color w:val="auto"/>
              </w:rPr>
            </w:pPr>
          </w:p>
        </w:tc>
      </w:tr>
      <w:tr>
        <w:trPr>
          <w:trHeight w:val="230"/>
        </w:trPr>
        <w:tc>
          <w:tcPr>
            <w:tcW w:w="3640" w:type="dxa"/>
            <w:vAlign w:val="bottom"/>
            <w:tcBorders>
              <w:bottom w:val="single" w:sz="8" w:color="D0EBF2"/>
            </w:tcBorders>
            <w:shd w:val="clear" w:color="auto" w:fill="FDFDFC"/>
          </w:tcPr>
          <w:p>
            <w:pPr>
              <w:spacing w:after="0"/>
              <w:rPr>
                <w:sz w:val="20"/>
                <w:szCs w:val="20"/>
                <w:color w:val="auto"/>
              </w:rPr>
            </w:pPr>
            <w:r>
              <w:rPr>
                <w:rFonts w:ascii="Times New Roman" w:cs="Times New Roman" w:eastAsia="Times New Roman" w:hAnsi="Times New Roman"/>
                <w:sz w:val="19"/>
                <w:szCs w:val="19"/>
                <w:color w:val="231F20"/>
              </w:rPr>
              <w:t>2029 Notes</w:t>
            </w:r>
          </w:p>
        </w:tc>
        <w:tc>
          <w:tcPr>
            <w:tcW w:w="420" w:type="dxa"/>
            <w:vAlign w:val="bottom"/>
            <w:tcBorders>
              <w:bottom w:val="single" w:sz="8" w:color="231F20"/>
            </w:tcBorders>
            <w:shd w:val="clear" w:color="auto" w:fill="FDFDFC"/>
          </w:tcPr>
          <w:p>
            <w:pPr>
              <w:spacing w:after="0"/>
              <w:rPr>
                <w:sz w:val="20"/>
                <w:szCs w:val="20"/>
                <w:color w:val="auto"/>
              </w:rPr>
            </w:pPr>
          </w:p>
        </w:tc>
        <w:tc>
          <w:tcPr>
            <w:tcW w:w="920" w:type="dxa"/>
            <w:vAlign w:val="bottom"/>
            <w:tcBorders>
              <w:bottom w:val="single" w:sz="8" w:color="231F20"/>
            </w:tcBorders>
            <w:shd w:val="clear" w:color="auto" w:fill="FDFDFC"/>
          </w:tcPr>
          <w:p>
            <w:pPr>
              <w:jc w:val="right"/>
              <w:spacing w:after="0"/>
              <w:rPr>
                <w:sz w:val="20"/>
                <w:szCs w:val="20"/>
                <w:color w:val="auto"/>
              </w:rPr>
            </w:pPr>
            <w:r>
              <w:rPr>
                <w:rFonts w:ascii="Times New Roman" w:cs="Times New Roman" w:eastAsia="Times New Roman" w:hAnsi="Times New Roman"/>
                <w:sz w:val="19"/>
                <w:szCs w:val="19"/>
                <w:color w:val="231F20"/>
              </w:rPr>
              <w:t>350.0</w:t>
            </w:r>
          </w:p>
        </w:tc>
        <w:tc>
          <w:tcPr>
            <w:tcW w:w="200" w:type="dxa"/>
            <w:vAlign w:val="bottom"/>
            <w:tcBorders>
              <w:bottom w:val="single" w:sz="8" w:color="D0EBF2"/>
            </w:tcBorders>
            <w:shd w:val="clear" w:color="auto" w:fill="FDFDFC"/>
          </w:tcPr>
          <w:p>
            <w:pPr>
              <w:spacing w:after="0"/>
              <w:rPr>
                <w:sz w:val="20"/>
                <w:szCs w:val="20"/>
                <w:color w:val="auto"/>
              </w:rPr>
            </w:pPr>
          </w:p>
        </w:tc>
        <w:tc>
          <w:tcPr>
            <w:tcW w:w="140" w:type="dxa"/>
            <w:vAlign w:val="bottom"/>
            <w:tcBorders>
              <w:bottom w:val="single" w:sz="8" w:color="231F20"/>
            </w:tcBorders>
            <w:shd w:val="clear" w:color="auto" w:fill="FDFDFC"/>
          </w:tcPr>
          <w:p>
            <w:pPr>
              <w:spacing w:after="0"/>
              <w:rPr>
                <w:sz w:val="20"/>
                <w:szCs w:val="20"/>
                <w:color w:val="auto"/>
              </w:rPr>
            </w:pPr>
          </w:p>
        </w:tc>
        <w:tc>
          <w:tcPr>
            <w:tcW w:w="1080" w:type="dxa"/>
            <w:vAlign w:val="bottom"/>
            <w:tcBorders>
              <w:bottom w:val="single" w:sz="8" w:color="231F20"/>
            </w:tcBorders>
            <w:shd w:val="clear" w:color="auto" w:fill="FDFDFC"/>
          </w:tcPr>
          <w:p>
            <w:pPr>
              <w:jc w:val="right"/>
              <w:spacing w:after="0"/>
              <w:rPr>
                <w:sz w:val="20"/>
                <w:szCs w:val="20"/>
                <w:color w:val="auto"/>
              </w:rPr>
            </w:pPr>
            <w:r>
              <w:rPr>
                <w:rFonts w:ascii="Times New Roman" w:cs="Times New Roman" w:eastAsia="Times New Roman" w:hAnsi="Times New Roman"/>
                <w:sz w:val="19"/>
                <w:szCs w:val="19"/>
                <w:color w:val="231F20"/>
              </w:rPr>
              <w:t>350.0</w:t>
            </w:r>
          </w:p>
        </w:tc>
        <w:tc>
          <w:tcPr>
            <w:tcW w:w="200" w:type="dxa"/>
            <w:vAlign w:val="bottom"/>
            <w:tcBorders>
              <w:bottom w:val="single" w:sz="8" w:color="D0EBF2"/>
            </w:tcBorders>
            <w:shd w:val="clear" w:color="auto" w:fill="FDFDFC"/>
          </w:tcPr>
          <w:p>
            <w:pPr>
              <w:spacing w:after="0"/>
              <w:rPr>
                <w:sz w:val="20"/>
                <w:szCs w:val="20"/>
                <w:color w:val="auto"/>
              </w:rPr>
            </w:pPr>
          </w:p>
        </w:tc>
        <w:tc>
          <w:tcPr>
            <w:tcW w:w="160" w:type="dxa"/>
            <w:vAlign w:val="bottom"/>
            <w:tcBorders>
              <w:bottom w:val="single" w:sz="8" w:color="231F20"/>
            </w:tcBorders>
            <w:shd w:val="clear" w:color="auto" w:fill="FDFDFC"/>
          </w:tcPr>
          <w:p>
            <w:pPr>
              <w:spacing w:after="0"/>
              <w:rPr>
                <w:sz w:val="20"/>
                <w:szCs w:val="20"/>
                <w:color w:val="auto"/>
              </w:rPr>
            </w:pPr>
          </w:p>
        </w:tc>
        <w:tc>
          <w:tcPr>
            <w:tcW w:w="1060" w:type="dxa"/>
            <w:vAlign w:val="bottom"/>
            <w:tcBorders>
              <w:bottom w:val="single" w:sz="8" w:color="231F20"/>
            </w:tcBorders>
            <w:shd w:val="clear" w:color="auto" w:fill="FDFDFC"/>
          </w:tcPr>
          <w:p>
            <w:pPr>
              <w:jc w:val="right"/>
              <w:spacing w:after="0"/>
              <w:rPr>
                <w:sz w:val="20"/>
                <w:szCs w:val="20"/>
                <w:color w:val="auto"/>
              </w:rPr>
            </w:pPr>
            <w:r>
              <w:rPr>
                <w:rFonts w:ascii="Times New Roman" w:cs="Times New Roman" w:eastAsia="Times New Roman" w:hAnsi="Times New Roman"/>
                <w:sz w:val="19"/>
                <w:szCs w:val="19"/>
                <w:color w:val="231F20"/>
              </w:rPr>
              <w:t>—</w:t>
            </w:r>
          </w:p>
        </w:tc>
        <w:tc>
          <w:tcPr>
            <w:tcW w:w="200" w:type="dxa"/>
            <w:vAlign w:val="bottom"/>
            <w:tcBorders>
              <w:bottom w:val="single" w:sz="8" w:color="D0EBF2"/>
            </w:tcBorders>
            <w:shd w:val="clear" w:color="auto" w:fill="FDFDFC"/>
          </w:tcPr>
          <w:p>
            <w:pPr>
              <w:spacing w:after="0"/>
              <w:rPr>
                <w:sz w:val="20"/>
                <w:szCs w:val="20"/>
                <w:color w:val="auto"/>
              </w:rPr>
            </w:pPr>
          </w:p>
        </w:tc>
        <w:tc>
          <w:tcPr>
            <w:tcW w:w="180" w:type="dxa"/>
            <w:vAlign w:val="bottom"/>
            <w:tcBorders>
              <w:bottom w:val="single" w:sz="8" w:color="231F20"/>
            </w:tcBorders>
            <w:shd w:val="clear" w:color="auto" w:fill="FDFDFC"/>
          </w:tcPr>
          <w:p>
            <w:pPr>
              <w:spacing w:after="0"/>
              <w:rPr>
                <w:sz w:val="20"/>
                <w:szCs w:val="20"/>
                <w:color w:val="auto"/>
              </w:rPr>
            </w:pPr>
          </w:p>
        </w:tc>
        <w:tc>
          <w:tcPr>
            <w:tcW w:w="980" w:type="dxa"/>
            <w:vAlign w:val="bottom"/>
            <w:tcBorders>
              <w:bottom w:val="single" w:sz="8" w:color="231F20"/>
            </w:tcBorders>
            <w:shd w:val="clear" w:color="auto" w:fill="FDFDFC"/>
          </w:tcPr>
          <w:p>
            <w:pPr>
              <w:jc w:val="right"/>
              <w:spacing w:after="0"/>
              <w:rPr>
                <w:sz w:val="20"/>
                <w:szCs w:val="20"/>
                <w:color w:val="auto"/>
              </w:rPr>
            </w:pPr>
            <w:r>
              <w:rPr>
                <w:rFonts w:ascii="Times New Roman" w:cs="Times New Roman" w:eastAsia="Times New Roman" w:hAnsi="Times New Roman"/>
                <w:sz w:val="19"/>
                <w:szCs w:val="19"/>
                <w:color w:val="231F20"/>
              </w:rPr>
              <w:t>337.9</w:t>
            </w:r>
          </w:p>
        </w:tc>
        <w:tc>
          <w:tcPr>
            <w:tcW w:w="100" w:type="dxa"/>
            <w:vAlign w:val="bottom"/>
            <w:tcBorders>
              <w:bottom w:val="single" w:sz="8" w:color="D0EBF2"/>
            </w:tcBorders>
            <w:shd w:val="clear" w:color="auto" w:fill="FDFDFC"/>
          </w:tcPr>
          <w:p>
            <w:pPr>
              <w:spacing w:after="0"/>
              <w:rPr>
                <w:sz w:val="20"/>
                <w:szCs w:val="20"/>
                <w:color w:val="auto"/>
              </w:rPr>
            </w:pPr>
          </w:p>
        </w:tc>
      </w:tr>
      <w:tr>
        <w:trPr>
          <w:trHeight w:val="220"/>
        </w:trPr>
        <w:tc>
          <w:tcPr>
            <w:tcW w:w="3640" w:type="dxa"/>
            <w:vAlign w:val="bottom"/>
            <w:shd w:val="clear" w:color="auto" w:fill="D0EBF2"/>
          </w:tcPr>
          <w:p>
            <w:pPr>
              <w:ind w:left="180"/>
              <w:spacing w:after="0"/>
              <w:rPr>
                <w:sz w:val="20"/>
                <w:szCs w:val="20"/>
                <w:color w:val="auto"/>
              </w:rPr>
            </w:pPr>
            <w:r>
              <w:rPr>
                <w:rFonts w:ascii="Times New Roman" w:cs="Times New Roman" w:eastAsia="Times New Roman" w:hAnsi="Times New Roman"/>
                <w:sz w:val="19"/>
                <w:szCs w:val="19"/>
                <w:b w:val="1"/>
                <w:bCs w:val="1"/>
                <w:color w:val="231F20"/>
              </w:rPr>
              <w:t>Total Debt</w:t>
            </w:r>
          </w:p>
        </w:tc>
        <w:tc>
          <w:tcPr>
            <w:tcW w:w="420" w:type="dxa"/>
            <w:vAlign w:val="bottom"/>
            <w:tcBorders>
              <w:bottom w:val="single" w:sz="8" w:color="231F20"/>
            </w:tcBorders>
            <w:shd w:val="clear" w:color="auto" w:fill="D0EBF2"/>
          </w:tcPr>
          <w:p>
            <w:pPr>
              <w:spacing w:after="0"/>
              <w:rPr>
                <w:sz w:val="20"/>
                <w:szCs w:val="20"/>
                <w:color w:val="auto"/>
              </w:rPr>
            </w:pPr>
            <w:r>
              <w:rPr>
                <w:rFonts w:ascii="Times New Roman" w:cs="Times New Roman" w:eastAsia="Times New Roman" w:hAnsi="Times New Roman"/>
                <w:sz w:val="19"/>
                <w:szCs w:val="19"/>
                <w:color w:val="231F20"/>
              </w:rPr>
              <w:t>$</w:t>
            </w:r>
          </w:p>
        </w:tc>
        <w:tc>
          <w:tcPr>
            <w:tcW w:w="920" w:type="dxa"/>
            <w:vAlign w:val="bottom"/>
            <w:tcBorders>
              <w:bottom w:val="single" w:sz="8" w:color="231F20"/>
            </w:tcBorders>
            <w:shd w:val="clear" w:color="auto" w:fill="D0EBF2"/>
          </w:tcPr>
          <w:p>
            <w:pPr>
              <w:jc w:val="right"/>
              <w:spacing w:after="0"/>
              <w:rPr>
                <w:sz w:val="20"/>
                <w:szCs w:val="20"/>
                <w:color w:val="auto"/>
              </w:rPr>
            </w:pPr>
            <w:r>
              <w:rPr>
                <w:rFonts w:ascii="Times New Roman" w:cs="Times New Roman" w:eastAsia="Times New Roman" w:hAnsi="Times New Roman"/>
                <w:sz w:val="19"/>
                <w:szCs w:val="19"/>
                <w:color w:val="231F20"/>
              </w:rPr>
              <w:t>2,650.0</w:t>
            </w:r>
          </w:p>
        </w:tc>
        <w:tc>
          <w:tcPr>
            <w:tcW w:w="200" w:type="dxa"/>
            <w:vAlign w:val="bottom"/>
            <w:shd w:val="clear" w:color="auto" w:fill="D0EBF2"/>
          </w:tcPr>
          <w:p>
            <w:pPr>
              <w:spacing w:after="0"/>
              <w:rPr>
                <w:sz w:val="19"/>
                <w:szCs w:val="19"/>
                <w:color w:val="auto"/>
              </w:rPr>
            </w:pPr>
          </w:p>
        </w:tc>
        <w:tc>
          <w:tcPr>
            <w:tcW w:w="140" w:type="dxa"/>
            <w:vAlign w:val="bottom"/>
            <w:tcBorders>
              <w:bottom w:val="single" w:sz="8" w:color="231F20"/>
            </w:tcBorders>
            <w:shd w:val="clear" w:color="auto" w:fill="D0EBF2"/>
          </w:tcPr>
          <w:p>
            <w:pPr>
              <w:jc w:val="right"/>
              <w:spacing w:after="0"/>
              <w:rPr>
                <w:sz w:val="20"/>
                <w:szCs w:val="20"/>
                <w:color w:val="auto"/>
              </w:rPr>
            </w:pPr>
            <w:r>
              <w:rPr>
                <w:rFonts w:ascii="Times New Roman" w:cs="Times New Roman" w:eastAsia="Times New Roman" w:hAnsi="Times New Roman"/>
                <w:sz w:val="19"/>
                <w:szCs w:val="19"/>
                <w:color w:val="231F20"/>
                <w:w w:val="83"/>
              </w:rPr>
              <w:t>$</w:t>
            </w:r>
          </w:p>
        </w:tc>
        <w:tc>
          <w:tcPr>
            <w:tcW w:w="1080" w:type="dxa"/>
            <w:vAlign w:val="bottom"/>
            <w:tcBorders>
              <w:bottom w:val="single" w:sz="8" w:color="231F20"/>
            </w:tcBorders>
            <w:shd w:val="clear" w:color="auto" w:fill="D0EBF2"/>
          </w:tcPr>
          <w:p>
            <w:pPr>
              <w:jc w:val="right"/>
              <w:spacing w:after="0"/>
              <w:rPr>
                <w:sz w:val="20"/>
                <w:szCs w:val="20"/>
                <w:color w:val="auto"/>
              </w:rPr>
            </w:pPr>
            <w:r>
              <w:rPr>
                <w:rFonts w:ascii="Times New Roman" w:cs="Times New Roman" w:eastAsia="Times New Roman" w:hAnsi="Times New Roman"/>
                <w:sz w:val="19"/>
                <w:szCs w:val="19"/>
                <w:color w:val="231F20"/>
              </w:rPr>
              <w:t>1,954.1</w:t>
            </w:r>
          </w:p>
        </w:tc>
        <w:tc>
          <w:tcPr>
            <w:tcW w:w="200" w:type="dxa"/>
            <w:vAlign w:val="bottom"/>
            <w:shd w:val="clear" w:color="auto" w:fill="D0EBF2"/>
          </w:tcPr>
          <w:p>
            <w:pPr>
              <w:spacing w:after="0"/>
              <w:rPr>
                <w:sz w:val="19"/>
                <w:szCs w:val="19"/>
                <w:color w:val="auto"/>
              </w:rPr>
            </w:pPr>
          </w:p>
        </w:tc>
        <w:tc>
          <w:tcPr>
            <w:tcW w:w="160" w:type="dxa"/>
            <w:vAlign w:val="bottom"/>
            <w:tcBorders>
              <w:bottom w:val="single" w:sz="8" w:color="231F20"/>
            </w:tcBorders>
            <w:shd w:val="clear" w:color="auto" w:fill="D0EBF2"/>
          </w:tcPr>
          <w:p>
            <w:pPr>
              <w:jc w:val="right"/>
              <w:spacing w:after="0"/>
              <w:rPr>
                <w:sz w:val="20"/>
                <w:szCs w:val="20"/>
                <w:color w:val="auto"/>
              </w:rPr>
            </w:pPr>
            <w:r>
              <w:rPr>
                <w:rFonts w:ascii="Times New Roman" w:cs="Times New Roman" w:eastAsia="Times New Roman" w:hAnsi="Times New Roman"/>
                <w:sz w:val="19"/>
                <w:szCs w:val="19"/>
                <w:color w:val="231F20"/>
                <w:w w:val="83"/>
              </w:rPr>
              <w:t>$</w:t>
            </w:r>
          </w:p>
        </w:tc>
        <w:tc>
          <w:tcPr>
            <w:tcW w:w="1060" w:type="dxa"/>
            <w:vAlign w:val="bottom"/>
            <w:tcBorders>
              <w:bottom w:val="single" w:sz="8" w:color="231F20"/>
            </w:tcBorders>
            <w:shd w:val="clear" w:color="auto" w:fill="D0EBF2"/>
          </w:tcPr>
          <w:p>
            <w:pPr>
              <w:jc w:val="right"/>
              <w:spacing w:after="0"/>
              <w:rPr>
                <w:sz w:val="20"/>
                <w:szCs w:val="20"/>
                <w:color w:val="auto"/>
              </w:rPr>
            </w:pPr>
            <w:r>
              <w:rPr>
                <w:rFonts w:ascii="Times New Roman" w:cs="Times New Roman" w:eastAsia="Times New Roman" w:hAnsi="Times New Roman"/>
                <w:sz w:val="19"/>
                <w:szCs w:val="19"/>
                <w:color w:val="231F20"/>
              </w:rPr>
              <w:t>674.2</w:t>
            </w:r>
          </w:p>
        </w:tc>
        <w:tc>
          <w:tcPr>
            <w:tcW w:w="200" w:type="dxa"/>
            <w:vAlign w:val="bottom"/>
            <w:shd w:val="clear" w:color="auto" w:fill="D0EBF2"/>
          </w:tcPr>
          <w:p>
            <w:pPr>
              <w:spacing w:after="0"/>
              <w:rPr>
                <w:sz w:val="19"/>
                <w:szCs w:val="19"/>
                <w:color w:val="auto"/>
              </w:rPr>
            </w:pPr>
          </w:p>
        </w:tc>
        <w:tc>
          <w:tcPr>
            <w:tcW w:w="180" w:type="dxa"/>
            <w:vAlign w:val="bottom"/>
            <w:tcBorders>
              <w:bottom w:val="single" w:sz="8" w:color="231F20"/>
            </w:tcBorders>
            <w:shd w:val="clear" w:color="auto" w:fill="D0EBF2"/>
          </w:tcPr>
          <w:p>
            <w:pPr>
              <w:jc w:val="right"/>
              <w:spacing w:after="0"/>
              <w:rPr>
                <w:sz w:val="20"/>
                <w:szCs w:val="20"/>
                <w:color w:val="auto"/>
              </w:rPr>
            </w:pPr>
            <w:r>
              <w:rPr>
                <w:rFonts w:ascii="Times New Roman" w:cs="Times New Roman" w:eastAsia="Times New Roman" w:hAnsi="Times New Roman"/>
                <w:sz w:val="19"/>
                <w:szCs w:val="19"/>
                <w:color w:val="231F20"/>
                <w:w w:val="83"/>
              </w:rPr>
              <w:t>$</w:t>
            </w:r>
          </w:p>
        </w:tc>
        <w:tc>
          <w:tcPr>
            <w:tcW w:w="980" w:type="dxa"/>
            <w:vAlign w:val="bottom"/>
            <w:tcBorders>
              <w:bottom w:val="single" w:sz="8" w:color="231F20"/>
            </w:tcBorders>
            <w:shd w:val="clear" w:color="auto" w:fill="D0EBF2"/>
          </w:tcPr>
          <w:p>
            <w:pPr>
              <w:jc w:val="right"/>
              <w:spacing w:after="0"/>
              <w:rPr>
                <w:sz w:val="20"/>
                <w:szCs w:val="20"/>
                <w:color w:val="auto"/>
              </w:rPr>
            </w:pPr>
            <w:r>
              <w:rPr>
                <w:rFonts w:ascii="Times New Roman" w:cs="Times New Roman" w:eastAsia="Times New Roman" w:hAnsi="Times New Roman"/>
                <w:sz w:val="19"/>
                <w:szCs w:val="19"/>
                <w:color w:val="231F20"/>
              </w:rPr>
              <w:t>1,901.1</w:t>
            </w:r>
          </w:p>
        </w:tc>
        <w:tc>
          <w:tcPr>
            <w:tcW w:w="100" w:type="dxa"/>
            <w:vAlign w:val="bottom"/>
            <w:shd w:val="clear" w:color="auto" w:fill="D0EBF2"/>
          </w:tcPr>
          <w:p>
            <w:pPr>
              <w:spacing w:after="0"/>
              <w:rPr>
                <w:sz w:val="19"/>
                <w:szCs w:val="19"/>
                <w:color w:val="auto"/>
              </w:rPr>
            </w:pPr>
          </w:p>
        </w:tc>
      </w:tr>
      <w:tr>
        <w:trPr>
          <w:trHeight w:val="20"/>
        </w:trPr>
        <w:tc>
          <w:tcPr>
            <w:tcW w:w="3640" w:type="dxa"/>
            <w:vAlign w:val="bottom"/>
          </w:tcPr>
          <w:p>
            <w:pPr>
              <w:spacing w:after="0" w:line="20" w:lineRule="exact"/>
              <w:rPr>
                <w:sz w:val="1"/>
                <w:szCs w:val="1"/>
                <w:color w:val="auto"/>
              </w:rPr>
            </w:pPr>
          </w:p>
        </w:tc>
        <w:tc>
          <w:tcPr>
            <w:tcW w:w="420" w:type="dxa"/>
            <w:vAlign w:val="bottom"/>
            <w:tcBorders>
              <w:bottom w:val="single" w:sz="8" w:color="231F20"/>
            </w:tcBorders>
          </w:tcPr>
          <w:p>
            <w:pPr>
              <w:spacing w:after="0" w:line="20" w:lineRule="exact"/>
              <w:rPr>
                <w:sz w:val="1"/>
                <w:szCs w:val="1"/>
                <w:color w:val="auto"/>
              </w:rPr>
            </w:pPr>
          </w:p>
        </w:tc>
        <w:tc>
          <w:tcPr>
            <w:tcW w:w="920" w:type="dxa"/>
            <w:vAlign w:val="bottom"/>
            <w:tcBorders>
              <w:bottom w:val="single" w:sz="8" w:color="231F20"/>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231F20"/>
            </w:tcBorders>
          </w:tcPr>
          <w:p>
            <w:pPr>
              <w:spacing w:after="0" w:line="20" w:lineRule="exact"/>
              <w:rPr>
                <w:sz w:val="1"/>
                <w:szCs w:val="1"/>
                <w:color w:val="auto"/>
              </w:rPr>
            </w:pPr>
          </w:p>
        </w:tc>
        <w:tc>
          <w:tcPr>
            <w:tcW w:w="1080" w:type="dxa"/>
            <w:vAlign w:val="bottom"/>
            <w:tcBorders>
              <w:bottom w:val="single" w:sz="8" w:color="231F20"/>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231F20"/>
            </w:tcBorders>
          </w:tcPr>
          <w:p>
            <w:pPr>
              <w:spacing w:after="0" w:line="20" w:lineRule="exact"/>
              <w:rPr>
                <w:sz w:val="1"/>
                <w:szCs w:val="1"/>
                <w:color w:val="auto"/>
              </w:rPr>
            </w:pPr>
          </w:p>
        </w:tc>
        <w:tc>
          <w:tcPr>
            <w:tcW w:w="1060" w:type="dxa"/>
            <w:vAlign w:val="bottom"/>
            <w:tcBorders>
              <w:bottom w:val="single" w:sz="8" w:color="231F20"/>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231F20"/>
            </w:tcBorders>
          </w:tcPr>
          <w:p>
            <w:pPr>
              <w:spacing w:after="0" w:line="20" w:lineRule="exact"/>
              <w:rPr>
                <w:sz w:val="1"/>
                <w:szCs w:val="1"/>
                <w:color w:val="auto"/>
              </w:rPr>
            </w:pPr>
          </w:p>
        </w:tc>
        <w:tc>
          <w:tcPr>
            <w:tcW w:w="980" w:type="dxa"/>
            <w:vAlign w:val="bottom"/>
            <w:tcBorders>
              <w:bottom w:val="single" w:sz="8" w:color="231F20"/>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7" w:lineRule="exact"/>
        <w:rPr>
          <w:sz w:val="20"/>
          <w:szCs w:val="20"/>
          <w:color w:val="auto"/>
        </w:rPr>
      </w:pPr>
    </w:p>
    <w:p>
      <w:pPr>
        <w:ind w:left="460" w:right="800" w:hanging="460"/>
        <w:spacing w:after="0" w:line="253" w:lineRule="auto"/>
        <w:tabs>
          <w:tab w:leader="none" w:pos="460" w:val="left"/>
        </w:tabs>
        <w:numPr>
          <w:ilvl w:val="0"/>
          <w:numId w:val="61"/>
        </w:numPr>
        <w:rPr>
          <w:rFonts w:ascii="Times New Roman" w:cs="Times New Roman" w:eastAsia="Times New Roman" w:hAnsi="Times New Roman"/>
          <w:sz w:val="19"/>
          <w:szCs w:val="19"/>
          <w:color w:val="231F20"/>
        </w:rPr>
      </w:pPr>
      <w:r>
        <w:rPr>
          <w:rFonts w:ascii="Times New Roman" w:cs="Times New Roman" w:eastAsia="Times New Roman" w:hAnsi="Times New Roman"/>
          <w:sz w:val="19"/>
          <w:szCs w:val="19"/>
          <w:color w:val="231F20"/>
        </w:rPr>
        <w:t>The amount available may be subject to limitations related to the borrowing base under the Revolving Credit Facility, outstanding letters of credit issued and asset coverage requirements.</w:t>
      </w:r>
    </w:p>
    <w:p>
      <w:pPr>
        <w:spacing w:after="0" w:line="1" w:lineRule="exact"/>
        <w:rPr>
          <w:rFonts w:ascii="Times New Roman" w:cs="Times New Roman" w:eastAsia="Times New Roman" w:hAnsi="Times New Roman"/>
          <w:sz w:val="19"/>
          <w:szCs w:val="19"/>
          <w:color w:val="231F20"/>
        </w:rPr>
      </w:pPr>
    </w:p>
    <w:p>
      <w:pPr>
        <w:ind w:left="460" w:right="120" w:hanging="460"/>
        <w:spacing w:after="0" w:line="238" w:lineRule="auto"/>
        <w:tabs>
          <w:tab w:leader="none" w:pos="460" w:val="left"/>
        </w:tabs>
        <w:numPr>
          <w:ilvl w:val="0"/>
          <w:numId w:val="61"/>
        </w:numPr>
        <w:rPr>
          <w:rFonts w:ascii="Times New Roman" w:cs="Times New Roman" w:eastAsia="Times New Roman" w:hAnsi="Times New Roman"/>
          <w:sz w:val="19"/>
          <w:szCs w:val="19"/>
          <w:color w:val="231F20"/>
        </w:rPr>
      </w:pPr>
      <w:r>
        <w:rPr>
          <w:rFonts w:ascii="Times New Roman" w:cs="Times New Roman" w:eastAsia="Times New Roman" w:hAnsi="Times New Roman"/>
          <w:sz w:val="19"/>
          <w:szCs w:val="19"/>
          <w:color w:val="231F20"/>
        </w:rPr>
        <w:t>The carrying values of the Revolving Credit Facility, 2026 Notes, 2028 Notes and 2029 Notes are presented net of the combination of deferred financing costs and original issue discounts totaling $15.4 million, $1.8 million, $4.5 million and $6.9 million, respectively.</w:t>
      </w:r>
    </w:p>
    <w:p>
      <w:pPr>
        <w:spacing w:after="0" w:line="1" w:lineRule="exact"/>
        <w:rPr>
          <w:rFonts w:ascii="Times New Roman" w:cs="Times New Roman" w:eastAsia="Times New Roman" w:hAnsi="Times New Roman"/>
          <w:sz w:val="19"/>
          <w:szCs w:val="19"/>
          <w:color w:val="231F20"/>
        </w:rPr>
      </w:pPr>
    </w:p>
    <w:p>
      <w:pPr>
        <w:ind w:left="460" w:right="80" w:hanging="460"/>
        <w:spacing w:after="0" w:line="241" w:lineRule="auto"/>
        <w:tabs>
          <w:tab w:leader="none" w:pos="460" w:val="left"/>
        </w:tabs>
        <w:numPr>
          <w:ilvl w:val="0"/>
          <w:numId w:val="61"/>
        </w:numPr>
        <w:rPr>
          <w:rFonts w:ascii="Times New Roman" w:cs="Times New Roman" w:eastAsia="Times New Roman" w:hAnsi="Times New Roman"/>
          <w:sz w:val="19"/>
          <w:szCs w:val="19"/>
          <w:color w:val="231F20"/>
        </w:rPr>
      </w:pPr>
      <w:r>
        <w:rPr>
          <w:rFonts w:ascii="Times New Roman" w:cs="Times New Roman" w:eastAsia="Times New Roman" w:hAnsi="Times New Roman"/>
          <w:sz w:val="19"/>
          <w:szCs w:val="19"/>
          <w:color w:val="231F20"/>
        </w:rPr>
        <w:t>The carrying values of the 2026 Notes, 2028 Notes and 2029 Notes are presented inclusive of an incremental $(17.6) million and $(1.4) million and $(5.2) million, which represents an adjustment in the carrying values of the 2026 Notes, 2028 Notes and 2029 Notes, each resulting from a hedge accounting relationship.</w:t>
      </w:r>
    </w:p>
    <w:p>
      <w:pPr>
        <w:sectPr>
          <w:pgSz w:w="12240" w:h="15840" w:orient="portrait"/>
          <w:cols w:equalWidth="0" w:num="1">
            <w:col w:w="10160"/>
          </w:cols>
          <w:pgMar w:left="1020" w:top="1321" w:right="1060" w:bottom="57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9"/>
          <w:szCs w:val="19"/>
          <w:color w:val="231F20"/>
        </w:rPr>
        <w:t>79</w:t>
      </w:r>
    </w:p>
    <w:p>
      <w:pPr>
        <w:sectPr>
          <w:pgSz w:w="12240" w:h="15840" w:orient="portrait"/>
          <w:cols w:equalWidth="0" w:num="1">
            <w:col w:w="10160"/>
          </w:cols>
          <w:pgMar w:left="1020" w:top="1321" w:right="1060" w:bottom="574" w:gutter="0" w:footer="0" w:header="0"/>
          <w:type w:val="continuous"/>
        </w:sectPr>
      </w:pPr>
    </w:p>
    <w:bookmarkStart w:id="79" w:name="page80"/>
    <w:bookmarkEnd w:id="79"/>
    <w:tbl>
      <w:tblPr>
        <w:tblLayout w:type="fixed"/>
        <w:tblInd w:w="520" w:type="dxa"/>
        <w:tblCellMar>
          <w:top w:w="0" w:type="dxa"/>
          <w:left w:w="0" w:type="dxa"/>
          <w:bottom w:w="0" w:type="dxa"/>
          <w:right w:w="0" w:type="dxa"/>
        </w:tblCellMar>
      </w:tblPr>
      <w:tr>
        <w:trPr>
          <w:trHeight w:val="174"/>
        </w:trPr>
        <w:tc>
          <w:tcPr>
            <w:tcW w:w="3540" w:type="dxa"/>
            <w:vAlign w:val="bottom"/>
            <w:tcBorders>
              <w:bottom w:val="single" w:sz="8" w:color="FDFDFC"/>
            </w:tcBorders>
            <w:shd w:val="clear" w:color="auto" w:fill="FDFDFC"/>
          </w:tcPr>
          <w:p>
            <w:pPr>
              <w:spacing w:after="0"/>
              <w:rPr>
                <w:sz w:val="15"/>
                <w:szCs w:val="15"/>
                <w:color w:val="auto"/>
              </w:rPr>
            </w:pPr>
          </w:p>
        </w:tc>
        <w:tc>
          <w:tcPr>
            <w:tcW w:w="440" w:type="dxa"/>
            <w:vAlign w:val="bottom"/>
            <w:tcBorders>
              <w:bottom w:val="single" w:sz="8" w:color="231F20"/>
            </w:tcBorders>
            <w:shd w:val="clear" w:color="auto" w:fill="FDFDFC"/>
          </w:tcPr>
          <w:p>
            <w:pPr>
              <w:spacing w:after="0"/>
              <w:rPr>
                <w:sz w:val="15"/>
                <w:szCs w:val="15"/>
                <w:color w:val="auto"/>
              </w:rPr>
            </w:pPr>
          </w:p>
        </w:tc>
        <w:tc>
          <w:tcPr>
            <w:tcW w:w="920" w:type="dxa"/>
            <w:vAlign w:val="bottom"/>
            <w:tcBorders>
              <w:bottom w:val="single" w:sz="8" w:color="231F20"/>
            </w:tcBorders>
            <w:shd w:val="clear" w:color="auto" w:fill="FDFDFC"/>
          </w:tcPr>
          <w:p>
            <w:pPr>
              <w:spacing w:after="0"/>
              <w:rPr>
                <w:sz w:val="15"/>
                <w:szCs w:val="15"/>
                <w:color w:val="auto"/>
              </w:rPr>
            </w:pPr>
          </w:p>
        </w:tc>
        <w:tc>
          <w:tcPr>
            <w:tcW w:w="220" w:type="dxa"/>
            <w:vAlign w:val="bottom"/>
            <w:tcBorders>
              <w:bottom w:val="single" w:sz="8" w:color="231F20"/>
            </w:tcBorders>
            <w:shd w:val="clear" w:color="auto" w:fill="FDFDFC"/>
          </w:tcPr>
          <w:p>
            <w:pPr>
              <w:spacing w:after="0"/>
              <w:rPr>
                <w:sz w:val="15"/>
                <w:szCs w:val="15"/>
                <w:color w:val="auto"/>
              </w:rPr>
            </w:pPr>
          </w:p>
        </w:tc>
        <w:tc>
          <w:tcPr>
            <w:tcW w:w="140" w:type="dxa"/>
            <w:vAlign w:val="bottom"/>
            <w:tcBorders>
              <w:bottom w:val="single" w:sz="8" w:color="231F20"/>
            </w:tcBorders>
            <w:shd w:val="clear" w:color="auto" w:fill="FDFDFC"/>
          </w:tcPr>
          <w:p>
            <w:pPr>
              <w:spacing w:after="0"/>
              <w:rPr>
                <w:sz w:val="15"/>
                <w:szCs w:val="15"/>
                <w:color w:val="auto"/>
              </w:rPr>
            </w:pPr>
          </w:p>
        </w:tc>
        <w:tc>
          <w:tcPr>
            <w:tcW w:w="2460" w:type="dxa"/>
            <w:vAlign w:val="bottom"/>
            <w:tcBorders>
              <w:bottom w:val="single" w:sz="8" w:color="231F20"/>
            </w:tcBorders>
            <w:gridSpan w:val="4"/>
            <w:shd w:val="clear" w:color="auto" w:fill="FDFDFC"/>
          </w:tcPr>
          <w:p>
            <w:pPr>
              <w:jc w:val="right"/>
              <w:ind w:right="731"/>
              <w:spacing w:after="0"/>
              <w:rPr>
                <w:sz w:val="20"/>
                <w:szCs w:val="20"/>
                <w:color w:val="auto"/>
              </w:rPr>
            </w:pPr>
            <w:r>
              <w:rPr>
                <w:rFonts w:ascii="Times New Roman" w:cs="Times New Roman" w:eastAsia="Times New Roman" w:hAnsi="Times New Roman"/>
                <w:sz w:val="15"/>
                <w:szCs w:val="15"/>
                <w:b w:val="1"/>
                <w:bCs w:val="1"/>
                <w:color w:val="231F20"/>
              </w:rPr>
              <w:t>December 31, 2023</w:t>
            </w:r>
          </w:p>
        </w:tc>
        <w:tc>
          <w:tcPr>
            <w:tcW w:w="200" w:type="dxa"/>
            <w:vAlign w:val="bottom"/>
            <w:tcBorders>
              <w:bottom w:val="single" w:sz="8" w:color="231F20"/>
            </w:tcBorders>
            <w:shd w:val="clear" w:color="auto" w:fill="FDFDFC"/>
          </w:tcPr>
          <w:p>
            <w:pPr>
              <w:spacing w:after="0"/>
              <w:rPr>
                <w:sz w:val="15"/>
                <w:szCs w:val="15"/>
                <w:color w:val="auto"/>
              </w:rPr>
            </w:pPr>
          </w:p>
        </w:tc>
        <w:tc>
          <w:tcPr>
            <w:tcW w:w="180" w:type="dxa"/>
            <w:vAlign w:val="bottom"/>
            <w:tcBorders>
              <w:bottom w:val="single" w:sz="8" w:color="231F20"/>
            </w:tcBorders>
            <w:shd w:val="clear" w:color="auto" w:fill="FDFDFC"/>
          </w:tcPr>
          <w:p>
            <w:pPr>
              <w:spacing w:after="0"/>
              <w:rPr>
                <w:sz w:val="15"/>
                <w:szCs w:val="15"/>
                <w:color w:val="auto"/>
              </w:rPr>
            </w:pPr>
          </w:p>
        </w:tc>
        <w:tc>
          <w:tcPr>
            <w:tcW w:w="960" w:type="dxa"/>
            <w:vAlign w:val="bottom"/>
            <w:tcBorders>
              <w:bottom w:val="single" w:sz="8" w:color="231F20"/>
            </w:tcBorders>
            <w:shd w:val="clear" w:color="auto" w:fill="FDFDFC"/>
          </w:tcPr>
          <w:p>
            <w:pPr>
              <w:spacing w:after="0"/>
              <w:rPr>
                <w:sz w:val="15"/>
                <w:szCs w:val="15"/>
                <w:color w:val="auto"/>
              </w:rPr>
            </w:pPr>
          </w:p>
        </w:tc>
        <w:tc>
          <w:tcPr>
            <w:tcW w:w="20" w:type="dxa"/>
            <w:vAlign w:val="bottom"/>
            <w:tcBorders>
              <w:bottom w:val="single" w:sz="8" w:color="231F20"/>
            </w:tcBorders>
            <w:shd w:val="clear" w:color="auto" w:fill="FDFDFC"/>
          </w:tcPr>
          <w:p>
            <w:pPr>
              <w:spacing w:after="0"/>
              <w:rPr>
                <w:sz w:val="15"/>
                <w:szCs w:val="15"/>
                <w:color w:val="auto"/>
              </w:rPr>
            </w:pPr>
          </w:p>
        </w:tc>
        <w:tc>
          <w:tcPr>
            <w:tcW w:w="100" w:type="dxa"/>
            <w:vAlign w:val="bottom"/>
            <w:tcBorders>
              <w:bottom w:val="single" w:sz="8" w:color="FDFDFC"/>
            </w:tcBorders>
            <w:shd w:val="clear" w:color="auto" w:fill="FDFDFC"/>
          </w:tcPr>
          <w:p>
            <w:pPr>
              <w:spacing w:after="0"/>
              <w:rPr>
                <w:sz w:val="15"/>
                <w:szCs w:val="15"/>
                <w:color w:val="auto"/>
              </w:rPr>
            </w:pPr>
          </w:p>
        </w:tc>
      </w:tr>
      <w:tr>
        <w:trPr>
          <w:trHeight w:val="163"/>
        </w:trPr>
        <w:tc>
          <w:tcPr>
            <w:tcW w:w="3540" w:type="dxa"/>
            <w:vAlign w:val="bottom"/>
            <w:shd w:val="clear" w:color="auto" w:fill="FDFDFC"/>
          </w:tcPr>
          <w:p>
            <w:pPr>
              <w:spacing w:after="0"/>
              <w:rPr>
                <w:sz w:val="14"/>
                <w:szCs w:val="14"/>
                <w:color w:val="auto"/>
              </w:rPr>
            </w:pPr>
          </w:p>
        </w:tc>
        <w:tc>
          <w:tcPr>
            <w:tcW w:w="1360" w:type="dxa"/>
            <w:vAlign w:val="bottom"/>
            <w:gridSpan w:val="2"/>
            <w:shd w:val="clear" w:color="auto" w:fill="FDFDFC"/>
          </w:tcPr>
          <w:p>
            <w:pPr>
              <w:jc w:val="right"/>
              <w:spacing w:after="0" w:line="164" w:lineRule="exact"/>
              <w:rPr>
                <w:sz w:val="20"/>
                <w:szCs w:val="20"/>
                <w:color w:val="auto"/>
              </w:rPr>
            </w:pPr>
            <w:r>
              <w:rPr>
                <w:rFonts w:ascii="Times New Roman" w:cs="Times New Roman" w:eastAsia="Times New Roman" w:hAnsi="Times New Roman"/>
                <w:sz w:val="15"/>
                <w:szCs w:val="15"/>
                <w:b w:val="1"/>
                <w:bCs w:val="1"/>
                <w:color w:val="231F20"/>
                <w:highlight w:val="white"/>
              </w:rPr>
              <w:t>Aggregate Principal</w:t>
            </w:r>
          </w:p>
        </w:tc>
        <w:tc>
          <w:tcPr>
            <w:tcW w:w="220" w:type="dxa"/>
            <w:vAlign w:val="bottom"/>
            <w:shd w:val="clear" w:color="auto" w:fill="FDFDFC"/>
          </w:tcPr>
          <w:p>
            <w:pPr>
              <w:spacing w:after="0"/>
              <w:rPr>
                <w:sz w:val="14"/>
                <w:szCs w:val="14"/>
                <w:color w:val="auto"/>
              </w:rPr>
            </w:pPr>
          </w:p>
        </w:tc>
        <w:tc>
          <w:tcPr>
            <w:tcW w:w="140" w:type="dxa"/>
            <w:vAlign w:val="bottom"/>
            <w:shd w:val="clear" w:color="auto" w:fill="FDFDFC"/>
          </w:tcPr>
          <w:p>
            <w:pPr>
              <w:spacing w:after="0"/>
              <w:rPr>
                <w:sz w:val="14"/>
                <w:szCs w:val="14"/>
                <w:color w:val="auto"/>
              </w:rPr>
            </w:pPr>
          </w:p>
        </w:tc>
        <w:tc>
          <w:tcPr>
            <w:tcW w:w="1060" w:type="dxa"/>
            <w:vAlign w:val="bottom"/>
            <w:shd w:val="clear" w:color="auto" w:fill="FDFDFC"/>
          </w:tcPr>
          <w:p>
            <w:pPr>
              <w:jc w:val="right"/>
              <w:ind w:right="133"/>
              <w:spacing w:after="0" w:line="164" w:lineRule="exact"/>
              <w:rPr>
                <w:sz w:val="20"/>
                <w:szCs w:val="20"/>
                <w:color w:val="auto"/>
              </w:rPr>
            </w:pPr>
            <w:r>
              <w:rPr>
                <w:rFonts w:ascii="Times New Roman" w:cs="Times New Roman" w:eastAsia="Times New Roman" w:hAnsi="Times New Roman"/>
                <w:sz w:val="15"/>
                <w:szCs w:val="15"/>
                <w:b w:val="1"/>
                <w:bCs w:val="1"/>
                <w:color w:val="231F20"/>
              </w:rPr>
              <w:t>Outstanding</w:t>
            </w:r>
          </w:p>
        </w:tc>
        <w:tc>
          <w:tcPr>
            <w:tcW w:w="200" w:type="dxa"/>
            <w:vAlign w:val="bottom"/>
            <w:shd w:val="clear" w:color="auto" w:fill="FDFDFC"/>
          </w:tcPr>
          <w:p>
            <w:pPr>
              <w:spacing w:after="0"/>
              <w:rPr>
                <w:sz w:val="14"/>
                <w:szCs w:val="14"/>
                <w:color w:val="auto"/>
              </w:rPr>
            </w:pPr>
          </w:p>
        </w:tc>
        <w:tc>
          <w:tcPr>
            <w:tcW w:w="160" w:type="dxa"/>
            <w:vAlign w:val="bottom"/>
            <w:shd w:val="clear" w:color="auto" w:fill="FDFDFC"/>
          </w:tcPr>
          <w:p>
            <w:pPr>
              <w:spacing w:after="0"/>
              <w:rPr>
                <w:sz w:val="14"/>
                <w:szCs w:val="14"/>
                <w:color w:val="auto"/>
              </w:rPr>
            </w:pPr>
          </w:p>
        </w:tc>
        <w:tc>
          <w:tcPr>
            <w:tcW w:w="1040" w:type="dxa"/>
            <w:vAlign w:val="bottom"/>
            <w:shd w:val="clear" w:color="auto" w:fill="FDFDFC"/>
          </w:tcPr>
          <w:p>
            <w:pPr>
              <w:jc w:val="right"/>
              <w:ind w:right="251"/>
              <w:spacing w:after="0" w:line="164" w:lineRule="exact"/>
              <w:rPr>
                <w:sz w:val="20"/>
                <w:szCs w:val="20"/>
                <w:color w:val="auto"/>
              </w:rPr>
            </w:pPr>
            <w:r>
              <w:rPr>
                <w:rFonts w:ascii="Times New Roman" w:cs="Times New Roman" w:eastAsia="Times New Roman" w:hAnsi="Times New Roman"/>
                <w:sz w:val="15"/>
                <w:szCs w:val="15"/>
                <w:b w:val="1"/>
                <w:bCs w:val="1"/>
                <w:color w:val="231F20"/>
              </w:rPr>
              <w:t>Amount</w:t>
            </w:r>
          </w:p>
        </w:tc>
        <w:tc>
          <w:tcPr>
            <w:tcW w:w="200" w:type="dxa"/>
            <w:vAlign w:val="bottom"/>
            <w:shd w:val="clear" w:color="auto" w:fill="FDFDFC"/>
          </w:tcPr>
          <w:p>
            <w:pPr>
              <w:spacing w:after="0"/>
              <w:rPr>
                <w:sz w:val="14"/>
                <w:szCs w:val="14"/>
                <w:color w:val="auto"/>
              </w:rPr>
            </w:pPr>
          </w:p>
        </w:tc>
        <w:tc>
          <w:tcPr>
            <w:tcW w:w="180" w:type="dxa"/>
            <w:vAlign w:val="bottom"/>
            <w:shd w:val="clear" w:color="auto" w:fill="FDFDFC"/>
          </w:tcPr>
          <w:p>
            <w:pPr>
              <w:spacing w:after="0"/>
              <w:rPr>
                <w:sz w:val="14"/>
                <w:szCs w:val="14"/>
                <w:color w:val="auto"/>
              </w:rPr>
            </w:pPr>
          </w:p>
        </w:tc>
        <w:tc>
          <w:tcPr>
            <w:tcW w:w="980" w:type="dxa"/>
            <w:vAlign w:val="bottom"/>
            <w:gridSpan w:val="2"/>
            <w:shd w:val="clear" w:color="auto" w:fill="FDFDFC"/>
          </w:tcPr>
          <w:p>
            <w:pPr>
              <w:ind w:left="100"/>
              <w:spacing w:after="0" w:line="164" w:lineRule="exact"/>
              <w:rPr>
                <w:sz w:val="20"/>
                <w:szCs w:val="20"/>
                <w:color w:val="auto"/>
              </w:rPr>
            </w:pPr>
            <w:r>
              <w:rPr>
                <w:rFonts w:ascii="Times New Roman" w:cs="Times New Roman" w:eastAsia="Times New Roman" w:hAnsi="Times New Roman"/>
                <w:sz w:val="15"/>
                <w:szCs w:val="15"/>
                <w:b w:val="1"/>
                <w:bCs w:val="1"/>
                <w:color w:val="231F20"/>
              </w:rPr>
              <w:t>Carrying</w:t>
            </w:r>
          </w:p>
        </w:tc>
        <w:tc>
          <w:tcPr>
            <w:tcW w:w="100" w:type="dxa"/>
            <w:vAlign w:val="bottom"/>
            <w:shd w:val="clear" w:color="auto" w:fill="FDFDFC"/>
          </w:tcPr>
          <w:p>
            <w:pPr>
              <w:spacing w:after="0"/>
              <w:rPr>
                <w:sz w:val="14"/>
                <w:szCs w:val="14"/>
                <w:color w:val="auto"/>
              </w:rPr>
            </w:pPr>
          </w:p>
        </w:tc>
      </w:tr>
      <w:tr>
        <w:trPr>
          <w:trHeight w:val="174"/>
        </w:trPr>
        <w:tc>
          <w:tcPr>
            <w:tcW w:w="3540" w:type="dxa"/>
            <w:vAlign w:val="bottom"/>
            <w:shd w:val="clear" w:color="auto" w:fill="FDFDFC"/>
          </w:tcPr>
          <w:p>
            <w:pPr>
              <w:spacing w:after="0"/>
              <w:rPr>
                <w:sz w:val="20"/>
                <w:szCs w:val="20"/>
                <w:color w:val="auto"/>
              </w:rPr>
            </w:pPr>
            <w:r>
              <w:rPr>
                <w:rFonts w:ascii="Times New Roman" w:cs="Times New Roman" w:eastAsia="Times New Roman" w:hAnsi="Times New Roman"/>
                <w:sz w:val="15"/>
                <w:szCs w:val="15"/>
                <w:color w:val="231F20"/>
              </w:rPr>
              <w:t>($ in millions)</w:t>
            </w:r>
          </w:p>
        </w:tc>
        <w:tc>
          <w:tcPr>
            <w:tcW w:w="1360" w:type="dxa"/>
            <w:vAlign w:val="bottom"/>
            <w:gridSpan w:val="2"/>
            <w:shd w:val="clear" w:color="auto" w:fill="FDFDFC"/>
          </w:tcPr>
          <w:p>
            <w:pPr>
              <w:jc w:val="right"/>
              <w:spacing w:after="0"/>
              <w:rPr>
                <w:sz w:val="20"/>
                <w:szCs w:val="20"/>
                <w:color w:val="auto"/>
              </w:rPr>
            </w:pPr>
            <w:r>
              <w:rPr>
                <w:rFonts w:ascii="Times New Roman" w:cs="Times New Roman" w:eastAsia="Times New Roman" w:hAnsi="Times New Roman"/>
                <w:sz w:val="15"/>
                <w:szCs w:val="15"/>
                <w:b w:val="1"/>
                <w:bCs w:val="1"/>
                <w:color w:val="231F20"/>
              </w:rPr>
              <w:t>Amount Committed</w:t>
            </w:r>
          </w:p>
        </w:tc>
        <w:tc>
          <w:tcPr>
            <w:tcW w:w="220" w:type="dxa"/>
            <w:vAlign w:val="bottom"/>
            <w:shd w:val="clear" w:color="auto" w:fill="FDFDFC"/>
          </w:tcPr>
          <w:p>
            <w:pPr>
              <w:spacing w:after="0"/>
              <w:rPr>
                <w:sz w:val="15"/>
                <w:szCs w:val="15"/>
                <w:color w:val="auto"/>
              </w:rPr>
            </w:pPr>
          </w:p>
        </w:tc>
        <w:tc>
          <w:tcPr>
            <w:tcW w:w="140" w:type="dxa"/>
            <w:vAlign w:val="bottom"/>
            <w:shd w:val="clear" w:color="auto" w:fill="FDFDFC"/>
          </w:tcPr>
          <w:p>
            <w:pPr>
              <w:spacing w:after="0"/>
              <w:rPr>
                <w:sz w:val="15"/>
                <w:szCs w:val="15"/>
                <w:color w:val="auto"/>
              </w:rPr>
            </w:pPr>
          </w:p>
        </w:tc>
        <w:tc>
          <w:tcPr>
            <w:tcW w:w="1060" w:type="dxa"/>
            <w:vAlign w:val="bottom"/>
            <w:shd w:val="clear" w:color="auto" w:fill="FDFDFC"/>
          </w:tcPr>
          <w:p>
            <w:pPr>
              <w:jc w:val="right"/>
              <w:ind w:right="233"/>
              <w:spacing w:after="0"/>
              <w:rPr>
                <w:sz w:val="20"/>
                <w:szCs w:val="20"/>
                <w:color w:val="auto"/>
              </w:rPr>
            </w:pPr>
            <w:r>
              <w:rPr>
                <w:rFonts w:ascii="Times New Roman" w:cs="Times New Roman" w:eastAsia="Times New Roman" w:hAnsi="Times New Roman"/>
                <w:sz w:val="15"/>
                <w:szCs w:val="15"/>
                <w:b w:val="1"/>
                <w:bCs w:val="1"/>
                <w:color w:val="231F20"/>
              </w:rPr>
              <w:t>Principal</w:t>
            </w:r>
          </w:p>
        </w:tc>
        <w:tc>
          <w:tcPr>
            <w:tcW w:w="200" w:type="dxa"/>
            <w:vAlign w:val="bottom"/>
            <w:shd w:val="clear" w:color="auto" w:fill="FDFDFC"/>
          </w:tcPr>
          <w:p>
            <w:pPr>
              <w:spacing w:after="0"/>
              <w:rPr>
                <w:sz w:val="15"/>
                <w:szCs w:val="15"/>
                <w:color w:val="auto"/>
              </w:rPr>
            </w:pPr>
          </w:p>
        </w:tc>
        <w:tc>
          <w:tcPr>
            <w:tcW w:w="160" w:type="dxa"/>
            <w:vAlign w:val="bottom"/>
            <w:shd w:val="clear" w:color="auto" w:fill="FDFDFC"/>
          </w:tcPr>
          <w:p>
            <w:pPr>
              <w:spacing w:after="0"/>
              <w:rPr>
                <w:sz w:val="15"/>
                <w:szCs w:val="15"/>
                <w:color w:val="auto"/>
              </w:rPr>
            </w:pPr>
          </w:p>
        </w:tc>
        <w:tc>
          <w:tcPr>
            <w:tcW w:w="1040" w:type="dxa"/>
            <w:vAlign w:val="bottom"/>
            <w:shd w:val="clear" w:color="auto" w:fill="FDFDFC"/>
          </w:tcPr>
          <w:p>
            <w:pPr>
              <w:jc w:val="right"/>
              <w:ind w:right="131"/>
              <w:spacing w:after="0"/>
              <w:rPr>
                <w:sz w:val="20"/>
                <w:szCs w:val="20"/>
                <w:color w:val="auto"/>
              </w:rPr>
            </w:pPr>
            <w:r>
              <w:rPr>
                <w:rFonts w:ascii="Times New Roman" w:cs="Times New Roman" w:eastAsia="Times New Roman" w:hAnsi="Times New Roman"/>
                <w:sz w:val="15"/>
                <w:szCs w:val="15"/>
                <w:b w:val="1"/>
                <w:bCs w:val="1"/>
                <w:color w:val="231F20"/>
              </w:rPr>
              <w:t xml:space="preserve">Available </w:t>
            </w:r>
            <w:r>
              <w:rPr>
                <w:rFonts w:ascii="Times New Roman" w:cs="Times New Roman" w:eastAsia="Times New Roman" w:hAnsi="Times New Roman"/>
                <w:sz w:val="9"/>
                <w:szCs w:val="9"/>
                <w:b w:val="1"/>
                <w:bCs w:val="1"/>
                <w:color w:val="231F20"/>
              </w:rPr>
              <w:t>(1)</w:t>
            </w:r>
          </w:p>
        </w:tc>
        <w:tc>
          <w:tcPr>
            <w:tcW w:w="200" w:type="dxa"/>
            <w:vAlign w:val="bottom"/>
            <w:shd w:val="clear" w:color="auto" w:fill="FDFDFC"/>
          </w:tcPr>
          <w:p>
            <w:pPr>
              <w:spacing w:after="0"/>
              <w:rPr>
                <w:sz w:val="15"/>
                <w:szCs w:val="15"/>
                <w:color w:val="auto"/>
              </w:rPr>
            </w:pPr>
          </w:p>
        </w:tc>
        <w:tc>
          <w:tcPr>
            <w:tcW w:w="180" w:type="dxa"/>
            <w:vAlign w:val="bottom"/>
            <w:shd w:val="clear" w:color="auto" w:fill="FDFDFC"/>
          </w:tcPr>
          <w:p>
            <w:pPr>
              <w:spacing w:after="0"/>
              <w:rPr>
                <w:sz w:val="15"/>
                <w:szCs w:val="15"/>
                <w:color w:val="auto"/>
              </w:rPr>
            </w:pPr>
          </w:p>
        </w:tc>
        <w:tc>
          <w:tcPr>
            <w:tcW w:w="980" w:type="dxa"/>
            <w:vAlign w:val="bottom"/>
            <w:gridSpan w:val="2"/>
            <w:shd w:val="clear" w:color="auto" w:fill="FDFDFC"/>
          </w:tcPr>
          <w:p>
            <w:pPr>
              <w:ind w:left="80"/>
              <w:spacing w:after="0" w:line="174" w:lineRule="exact"/>
              <w:rPr>
                <w:sz w:val="20"/>
                <w:szCs w:val="20"/>
                <w:color w:val="auto"/>
              </w:rPr>
            </w:pPr>
            <w:r>
              <w:rPr>
                <w:rFonts w:ascii="Times New Roman" w:cs="Times New Roman" w:eastAsia="Times New Roman" w:hAnsi="Times New Roman"/>
                <w:sz w:val="20"/>
                <w:szCs w:val="20"/>
                <w:b w:val="1"/>
                <w:bCs w:val="1"/>
                <w:color w:val="231F20"/>
                <w:vertAlign w:val="subscript"/>
              </w:rPr>
              <w:t>Value</w:t>
            </w:r>
            <w:r>
              <w:rPr>
                <w:rFonts w:ascii="Times New Roman" w:cs="Times New Roman" w:eastAsia="Times New Roman" w:hAnsi="Times New Roman"/>
                <w:sz w:val="8"/>
                <w:szCs w:val="8"/>
                <w:b w:val="1"/>
                <w:bCs w:val="1"/>
                <w:color w:val="231F20"/>
              </w:rPr>
              <w:t xml:space="preserve"> (2)(3)</w:t>
            </w:r>
          </w:p>
        </w:tc>
        <w:tc>
          <w:tcPr>
            <w:tcW w:w="100" w:type="dxa"/>
            <w:vAlign w:val="bottom"/>
            <w:shd w:val="clear" w:color="auto" w:fill="FDFDFC"/>
          </w:tcPr>
          <w:p>
            <w:pPr>
              <w:spacing w:after="0"/>
              <w:rPr>
                <w:sz w:val="15"/>
                <w:szCs w:val="15"/>
                <w:color w:val="auto"/>
              </w:rPr>
            </w:pPr>
          </w:p>
        </w:tc>
      </w:tr>
      <w:tr>
        <w:trPr>
          <w:trHeight w:val="207"/>
        </w:trPr>
        <w:tc>
          <w:tcPr>
            <w:tcW w:w="3540" w:type="dxa"/>
            <w:vAlign w:val="bottom"/>
            <w:tcBorders>
              <w:top w:val="single" w:sz="8" w:color="D0EBF2"/>
            </w:tcBorders>
            <w:shd w:val="clear" w:color="auto" w:fill="D0EBF2"/>
          </w:tcPr>
          <w:p>
            <w:pPr>
              <w:spacing w:after="0" w:line="207" w:lineRule="exact"/>
              <w:rPr>
                <w:sz w:val="20"/>
                <w:szCs w:val="20"/>
                <w:color w:val="auto"/>
              </w:rPr>
            </w:pPr>
            <w:r>
              <w:rPr>
                <w:rFonts w:ascii="Times New Roman" w:cs="Times New Roman" w:eastAsia="Times New Roman" w:hAnsi="Times New Roman"/>
                <w:sz w:val="19"/>
                <w:szCs w:val="19"/>
                <w:color w:val="231F20"/>
              </w:rPr>
              <w:t>Revolving Credit Facility</w:t>
            </w:r>
          </w:p>
        </w:tc>
        <w:tc>
          <w:tcPr>
            <w:tcW w:w="440" w:type="dxa"/>
            <w:vAlign w:val="bottom"/>
            <w:tcBorders>
              <w:top w:val="single" w:sz="8" w:color="231F20"/>
            </w:tcBorders>
            <w:shd w:val="clear" w:color="auto" w:fill="D0EBF2"/>
          </w:tcPr>
          <w:p>
            <w:pPr>
              <w:jc w:val="right"/>
              <w:ind w:right="255"/>
              <w:spacing w:after="0" w:line="207" w:lineRule="exact"/>
              <w:rPr>
                <w:sz w:val="20"/>
                <w:szCs w:val="20"/>
                <w:color w:val="auto"/>
              </w:rPr>
            </w:pPr>
            <w:r>
              <w:rPr>
                <w:rFonts w:ascii="Times New Roman" w:cs="Times New Roman" w:eastAsia="Times New Roman" w:hAnsi="Times New Roman"/>
                <w:sz w:val="19"/>
                <w:szCs w:val="19"/>
                <w:color w:val="231F20"/>
                <w:w w:val="83"/>
              </w:rPr>
              <w:t>$</w:t>
            </w:r>
          </w:p>
        </w:tc>
        <w:tc>
          <w:tcPr>
            <w:tcW w:w="920" w:type="dxa"/>
            <w:vAlign w:val="bottom"/>
            <w:tcBorders>
              <w:top w:val="single" w:sz="8" w:color="231F20"/>
            </w:tcBorders>
            <w:shd w:val="clear" w:color="auto" w:fill="D0EBF2"/>
          </w:tcPr>
          <w:p>
            <w:pPr>
              <w:jc w:val="right"/>
              <w:spacing w:after="0" w:line="207" w:lineRule="exact"/>
              <w:rPr>
                <w:sz w:val="20"/>
                <w:szCs w:val="20"/>
                <w:color w:val="auto"/>
              </w:rPr>
            </w:pPr>
            <w:r>
              <w:rPr>
                <w:rFonts w:ascii="Times New Roman" w:cs="Times New Roman" w:eastAsia="Times New Roman" w:hAnsi="Times New Roman"/>
                <w:sz w:val="19"/>
                <w:szCs w:val="19"/>
                <w:color w:val="231F20"/>
              </w:rPr>
              <w:t>1,710.0</w:t>
            </w:r>
          </w:p>
        </w:tc>
        <w:tc>
          <w:tcPr>
            <w:tcW w:w="220" w:type="dxa"/>
            <w:vAlign w:val="bottom"/>
            <w:tcBorders>
              <w:top w:val="single" w:sz="8" w:color="D0EBF2"/>
            </w:tcBorders>
            <w:shd w:val="clear" w:color="auto" w:fill="D0EBF2"/>
          </w:tcPr>
          <w:p>
            <w:pPr>
              <w:spacing w:after="0"/>
              <w:rPr>
                <w:sz w:val="17"/>
                <w:szCs w:val="17"/>
                <w:color w:val="auto"/>
              </w:rPr>
            </w:pPr>
          </w:p>
        </w:tc>
        <w:tc>
          <w:tcPr>
            <w:tcW w:w="140" w:type="dxa"/>
            <w:vAlign w:val="bottom"/>
            <w:tcBorders>
              <w:top w:val="single" w:sz="8" w:color="231F20"/>
            </w:tcBorders>
            <w:shd w:val="clear" w:color="auto" w:fill="D0EBF2"/>
          </w:tcPr>
          <w:p>
            <w:pPr>
              <w:jc w:val="right"/>
              <w:spacing w:after="0" w:line="207" w:lineRule="exact"/>
              <w:rPr>
                <w:sz w:val="20"/>
                <w:szCs w:val="20"/>
                <w:color w:val="auto"/>
              </w:rPr>
            </w:pPr>
            <w:r>
              <w:rPr>
                <w:rFonts w:ascii="Times New Roman" w:cs="Times New Roman" w:eastAsia="Times New Roman" w:hAnsi="Times New Roman"/>
                <w:sz w:val="19"/>
                <w:szCs w:val="19"/>
                <w:color w:val="231F20"/>
                <w:w w:val="83"/>
              </w:rPr>
              <w:t>$</w:t>
            </w:r>
          </w:p>
        </w:tc>
        <w:tc>
          <w:tcPr>
            <w:tcW w:w="1060" w:type="dxa"/>
            <w:vAlign w:val="bottom"/>
            <w:tcBorders>
              <w:top w:val="single" w:sz="8" w:color="231F20"/>
            </w:tcBorders>
            <w:shd w:val="clear" w:color="auto" w:fill="D0EBF2"/>
          </w:tcPr>
          <w:p>
            <w:pPr>
              <w:jc w:val="right"/>
              <w:spacing w:after="0" w:line="207" w:lineRule="exact"/>
              <w:rPr>
                <w:sz w:val="20"/>
                <w:szCs w:val="20"/>
                <w:color w:val="auto"/>
              </w:rPr>
            </w:pPr>
            <w:r>
              <w:rPr>
                <w:rFonts w:ascii="Times New Roman" w:cs="Times New Roman" w:eastAsia="Times New Roman" w:hAnsi="Times New Roman"/>
                <w:sz w:val="19"/>
                <w:szCs w:val="19"/>
                <w:color w:val="231F20"/>
              </w:rPr>
              <w:t>889.7</w:t>
            </w:r>
          </w:p>
        </w:tc>
        <w:tc>
          <w:tcPr>
            <w:tcW w:w="200" w:type="dxa"/>
            <w:vAlign w:val="bottom"/>
            <w:tcBorders>
              <w:top w:val="single" w:sz="8" w:color="D0EBF2"/>
            </w:tcBorders>
            <w:shd w:val="clear" w:color="auto" w:fill="D0EBF2"/>
          </w:tcPr>
          <w:p>
            <w:pPr>
              <w:spacing w:after="0"/>
              <w:rPr>
                <w:sz w:val="17"/>
                <w:szCs w:val="17"/>
                <w:color w:val="auto"/>
              </w:rPr>
            </w:pPr>
          </w:p>
        </w:tc>
        <w:tc>
          <w:tcPr>
            <w:tcW w:w="160" w:type="dxa"/>
            <w:vAlign w:val="bottom"/>
            <w:tcBorders>
              <w:top w:val="single" w:sz="8" w:color="231F20"/>
            </w:tcBorders>
            <w:shd w:val="clear" w:color="auto" w:fill="D0EBF2"/>
          </w:tcPr>
          <w:p>
            <w:pPr>
              <w:jc w:val="right"/>
              <w:spacing w:after="0" w:line="207" w:lineRule="exact"/>
              <w:rPr>
                <w:sz w:val="20"/>
                <w:szCs w:val="20"/>
                <w:color w:val="auto"/>
              </w:rPr>
            </w:pPr>
            <w:r>
              <w:rPr>
                <w:rFonts w:ascii="Times New Roman" w:cs="Times New Roman" w:eastAsia="Times New Roman" w:hAnsi="Times New Roman"/>
                <w:sz w:val="19"/>
                <w:szCs w:val="19"/>
                <w:color w:val="231F20"/>
                <w:w w:val="83"/>
              </w:rPr>
              <w:t>$</w:t>
            </w:r>
          </w:p>
        </w:tc>
        <w:tc>
          <w:tcPr>
            <w:tcW w:w="1040" w:type="dxa"/>
            <w:vAlign w:val="bottom"/>
            <w:tcBorders>
              <w:top w:val="single" w:sz="8" w:color="231F20"/>
            </w:tcBorders>
            <w:shd w:val="clear" w:color="auto" w:fill="D0EBF2"/>
          </w:tcPr>
          <w:p>
            <w:pPr>
              <w:jc w:val="right"/>
              <w:spacing w:after="0" w:line="207" w:lineRule="exact"/>
              <w:rPr>
                <w:sz w:val="20"/>
                <w:szCs w:val="20"/>
                <w:color w:val="auto"/>
              </w:rPr>
            </w:pPr>
            <w:r>
              <w:rPr>
                <w:rFonts w:ascii="Times New Roman" w:cs="Times New Roman" w:eastAsia="Times New Roman" w:hAnsi="Times New Roman"/>
                <w:sz w:val="19"/>
                <w:szCs w:val="19"/>
                <w:color w:val="231F20"/>
              </w:rPr>
              <w:t>820.2</w:t>
            </w:r>
          </w:p>
        </w:tc>
        <w:tc>
          <w:tcPr>
            <w:tcW w:w="200" w:type="dxa"/>
            <w:vAlign w:val="bottom"/>
            <w:tcBorders>
              <w:top w:val="single" w:sz="8" w:color="D0EBF2"/>
            </w:tcBorders>
            <w:shd w:val="clear" w:color="auto" w:fill="D0EBF2"/>
          </w:tcPr>
          <w:p>
            <w:pPr>
              <w:spacing w:after="0"/>
              <w:rPr>
                <w:sz w:val="17"/>
                <w:szCs w:val="17"/>
                <w:color w:val="auto"/>
              </w:rPr>
            </w:pPr>
          </w:p>
        </w:tc>
        <w:tc>
          <w:tcPr>
            <w:tcW w:w="180" w:type="dxa"/>
            <w:vAlign w:val="bottom"/>
            <w:tcBorders>
              <w:top w:val="single" w:sz="8" w:color="231F20"/>
            </w:tcBorders>
            <w:shd w:val="clear" w:color="auto" w:fill="D0EBF2"/>
          </w:tcPr>
          <w:p>
            <w:pPr>
              <w:jc w:val="right"/>
              <w:spacing w:after="0" w:line="207" w:lineRule="exact"/>
              <w:rPr>
                <w:sz w:val="20"/>
                <w:szCs w:val="20"/>
                <w:color w:val="auto"/>
              </w:rPr>
            </w:pPr>
            <w:r>
              <w:rPr>
                <w:rFonts w:ascii="Times New Roman" w:cs="Times New Roman" w:eastAsia="Times New Roman" w:hAnsi="Times New Roman"/>
                <w:sz w:val="19"/>
                <w:szCs w:val="19"/>
                <w:color w:val="231F20"/>
                <w:w w:val="83"/>
              </w:rPr>
              <w:t>$</w:t>
            </w:r>
          </w:p>
        </w:tc>
        <w:tc>
          <w:tcPr>
            <w:tcW w:w="960" w:type="dxa"/>
            <w:vAlign w:val="bottom"/>
            <w:tcBorders>
              <w:top w:val="single" w:sz="8" w:color="231F20"/>
            </w:tcBorders>
            <w:shd w:val="clear" w:color="auto" w:fill="D0EBF2"/>
          </w:tcPr>
          <w:p>
            <w:pPr>
              <w:jc w:val="right"/>
              <w:spacing w:after="0" w:line="207" w:lineRule="exact"/>
              <w:rPr>
                <w:sz w:val="20"/>
                <w:szCs w:val="20"/>
                <w:color w:val="auto"/>
              </w:rPr>
            </w:pPr>
            <w:r>
              <w:rPr>
                <w:rFonts w:ascii="Times New Roman" w:cs="Times New Roman" w:eastAsia="Times New Roman" w:hAnsi="Times New Roman"/>
                <w:sz w:val="19"/>
                <w:szCs w:val="19"/>
                <w:color w:val="231F20"/>
              </w:rPr>
              <w:t>874.5</w:t>
            </w:r>
          </w:p>
        </w:tc>
        <w:tc>
          <w:tcPr>
            <w:tcW w:w="20" w:type="dxa"/>
            <w:vAlign w:val="bottom"/>
            <w:tcBorders>
              <w:top w:val="single" w:sz="8" w:color="D0EBF2"/>
            </w:tcBorders>
            <w:shd w:val="clear" w:color="auto" w:fill="D0EBF2"/>
          </w:tcPr>
          <w:p>
            <w:pPr>
              <w:spacing w:after="0"/>
              <w:rPr>
                <w:sz w:val="17"/>
                <w:szCs w:val="17"/>
                <w:color w:val="auto"/>
              </w:rPr>
            </w:pPr>
          </w:p>
        </w:tc>
        <w:tc>
          <w:tcPr>
            <w:tcW w:w="100" w:type="dxa"/>
            <w:vAlign w:val="bottom"/>
            <w:tcBorders>
              <w:top w:val="single" w:sz="8" w:color="D0EBF2"/>
            </w:tcBorders>
            <w:shd w:val="clear" w:color="auto" w:fill="D0EBF2"/>
          </w:tcPr>
          <w:p>
            <w:pPr>
              <w:spacing w:after="0"/>
              <w:rPr>
                <w:sz w:val="17"/>
                <w:szCs w:val="17"/>
                <w:color w:val="auto"/>
              </w:rPr>
            </w:pPr>
          </w:p>
        </w:tc>
      </w:tr>
      <w:tr>
        <w:trPr>
          <w:trHeight w:val="217"/>
        </w:trPr>
        <w:tc>
          <w:tcPr>
            <w:tcW w:w="3540" w:type="dxa"/>
            <w:vAlign w:val="bottom"/>
            <w:shd w:val="clear" w:color="auto" w:fill="FDFDFC"/>
          </w:tcPr>
          <w:p>
            <w:pPr>
              <w:spacing w:after="0" w:line="217" w:lineRule="exact"/>
              <w:rPr>
                <w:sz w:val="20"/>
                <w:szCs w:val="20"/>
                <w:color w:val="auto"/>
              </w:rPr>
            </w:pPr>
            <w:r>
              <w:rPr>
                <w:rFonts w:ascii="Times New Roman" w:cs="Times New Roman" w:eastAsia="Times New Roman" w:hAnsi="Times New Roman"/>
                <w:sz w:val="19"/>
                <w:szCs w:val="19"/>
                <w:color w:val="231F20"/>
              </w:rPr>
              <w:t>2024 Notes</w:t>
            </w:r>
          </w:p>
        </w:tc>
        <w:tc>
          <w:tcPr>
            <w:tcW w:w="440" w:type="dxa"/>
            <w:vAlign w:val="bottom"/>
            <w:shd w:val="clear" w:color="auto" w:fill="FDFDFC"/>
          </w:tcPr>
          <w:p>
            <w:pPr>
              <w:spacing w:after="0"/>
              <w:rPr>
                <w:sz w:val="18"/>
                <w:szCs w:val="18"/>
                <w:color w:val="auto"/>
              </w:rPr>
            </w:pPr>
          </w:p>
        </w:tc>
        <w:tc>
          <w:tcPr>
            <w:tcW w:w="920" w:type="dxa"/>
            <w:vAlign w:val="bottom"/>
            <w:shd w:val="clear" w:color="auto" w:fill="FDFDFC"/>
          </w:tcPr>
          <w:p>
            <w:pPr>
              <w:jc w:val="right"/>
              <w:spacing w:after="0" w:line="217" w:lineRule="exact"/>
              <w:rPr>
                <w:sz w:val="20"/>
                <w:szCs w:val="20"/>
                <w:color w:val="auto"/>
              </w:rPr>
            </w:pPr>
            <w:r>
              <w:rPr>
                <w:rFonts w:ascii="Times New Roman" w:cs="Times New Roman" w:eastAsia="Times New Roman" w:hAnsi="Times New Roman"/>
                <w:sz w:val="19"/>
                <w:szCs w:val="19"/>
                <w:color w:val="231F20"/>
              </w:rPr>
              <w:t>347.5</w:t>
            </w:r>
          </w:p>
        </w:tc>
        <w:tc>
          <w:tcPr>
            <w:tcW w:w="220" w:type="dxa"/>
            <w:vAlign w:val="bottom"/>
            <w:shd w:val="clear" w:color="auto" w:fill="FDFDFC"/>
          </w:tcPr>
          <w:p>
            <w:pPr>
              <w:spacing w:after="0"/>
              <w:rPr>
                <w:sz w:val="18"/>
                <w:szCs w:val="18"/>
                <w:color w:val="auto"/>
              </w:rPr>
            </w:pPr>
          </w:p>
        </w:tc>
        <w:tc>
          <w:tcPr>
            <w:tcW w:w="140" w:type="dxa"/>
            <w:vAlign w:val="bottom"/>
            <w:shd w:val="clear" w:color="auto" w:fill="FDFDFC"/>
          </w:tcPr>
          <w:p>
            <w:pPr>
              <w:spacing w:after="0"/>
              <w:rPr>
                <w:sz w:val="18"/>
                <w:szCs w:val="18"/>
                <w:color w:val="auto"/>
              </w:rPr>
            </w:pPr>
          </w:p>
        </w:tc>
        <w:tc>
          <w:tcPr>
            <w:tcW w:w="1060" w:type="dxa"/>
            <w:vAlign w:val="bottom"/>
            <w:shd w:val="clear" w:color="auto" w:fill="FDFDFC"/>
          </w:tcPr>
          <w:p>
            <w:pPr>
              <w:jc w:val="right"/>
              <w:spacing w:after="0" w:line="217" w:lineRule="exact"/>
              <w:rPr>
                <w:sz w:val="20"/>
                <w:szCs w:val="20"/>
                <w:color w:val="auto"/>
              </w:rPr>
            </w:pPr>
            <w:r>
              <w:rPr>
                <w:rFonts w:ascii="Times New Roman" w:cs="Times New Roman" w:eastAsia="Times New Roman" w:hAnsi="Times New Roman"/>
                <w:sz w:val="19"/>
                <w:szCs w:val="19"/>
                <w:color w:val="231F20"/>
              </w:rPr>
              <w:t>347.5</w:t>
            </w:r>
          </w:p>
        </w:tc>
        <w:tc>
          <w:tcPr>
            <w:tcW w:w="200" w:type="dxa"/>
            <w:vAlign w:val="bottom"/>
            <w:shd w:val="clear" w:color="auto" w:fill="FDFDFC"/>
          </w:tcPr>
          <w:p>
            <w:pPr>
              <w:spacing w:after="0"/>
              <w:rPr>
                <w:sz w:val="18"/>
                <w:szCs w:val="18"/>
                <w:color w:val="auto"/>
              </w:rPr>
            </w:pPr>
          </w:p>
        </w:tc>
        <w:tc>
          <w:tcPr>
            <w:tcW w:w="160" w:type="dxa"/>
            <w:vAlign w:val="bottom"/>
            <w:shd w:val="clear" w:color="auto" w:fill="FDFDFC"/>
          </w:tcPr>
          <w:p>
            <w:pPr>
              <w:spacing w:after="0"/>
              <w:rPr>
                <w:sz w:val="18"/>
                <w:szCs w:val="18"/>
                <w:color w:val="auto"/>
              </w:rPr>
            </w:pPr>
          </w:p>
        </w:tc>
        <w:tc>
          <w:tcPr>
            <w:tcW w:w="1040" w:type="dxa"/>
            <w:vAlign w:val="bottom"/>
            <w:shd w:val="clear" w:color="auto" w:fill="FDFDFC"/>
          </w:tcPr>
          <w:p>
            <w:pPr>
              <w:jc w:val="right"/>
              <w:spacing w:after="0" w:line="217" w:lineRule="exact"/>
              <w:rPr>
                <w:sz w:val="20"/>
                <w:szCs w:val="20"/>
                <w:color w:val="auto"/>
              </w:rPr>
            </w:pPr>
            <w:r>
              <w:rPr>
                <w:rFonts w:ascii="Times New Roman" w:cs="Times New Roman" w:eastAsia="Times New Roman" w:hAnsi="Times New Roman"/>
                <w:sz w:val="19"/>
                <w:szCs w:val="19"/>
                <w:color w:val="231F20"/>
              </w:rPr>
              <w:t>—</w:t>
            </w:r>
          </w:p>
        </w:tc>
        <w:tc>
          <w:tcPr>
            <w:tcW w:w="200" w:type="dxa"/>
            <w:vAlign w:val="bottom"/>
            <w:shd w:val="clear" w:color="auto" w:fill="FDFDFC"/>
          </w:tcPr>
          <w:p>
            <w:pPr>
              <w:spacing w:after="0"/>
              <w:rPr>
                <w:sz w:val="18"/>
                <w:szCs w:val="18"/>
                <w:color w:val="auto"/>
              </w:rPr>
            </w:pPr>
          </w:p>
        </w:tc>
        <w:tc>
          <w:tcPr>
            <w:tcW w:w="180" w:type="dxa"/>
            <w:vAlign w:val="bottom"/>
            <w:shd w:val="clear" w:color="auto" w:fill="FDFDFC"/>
          </w:tcPr>
          <w:p>
            <w:pPr>
              <w:spacing w:after="0"/>
              <w:rPr>
                <w:sz w:val="18"/>
                <w:szCs w:val="18"/>
                <w:color w:val="auto"/>
              </w:rPr>
            </w:pPr>
          </w:p>
        </w:tc>
        <w:tc>
          <w:tcPr>
            <w:tcW w:w="960" w:type="dxa"/>
            <w:vAlign w:val="bottom"/>
            <w:shd w:val="clear" w:color="auto" w:fill="FDFDFC"/>
          </w:tcPr>
          <w:p>
            <w:pPr>
              <w:jc w:val="right"/>
              <w:spacing w:after="0" w:line="217" w:lineRule="exact"/>
              <w:rPr>
                <w:sz w:val="20"/>
                <w:szCs w:val="20"/>
                <w:color w:val="auto"/>
              </w:rPr>
            </w:pPr>
            <w:r>
              <w:rPr>
                <w:rFonts w:ascii="Times New Roman" w:cs="Times New Roman" w:eastAsia="Times New Roman" w:hAnsi="Times New Roman"/>
                <w:sz w:val="19"/>
                <w:szCs w:val="19"/>
                <w:color w:val="231F20"/>
              </w:rPr>
              <w:t>335.9</w:t>
            </w:r>
          </w:p>
        </w:tc>
        <w:tc>
          <w:tcPr>
            <w:tcW w:w="20" w:type="dxa"/>
            <w:vAlign w:val="bottom"/>
            <w:shd w:val="clear" w:color="auto" w:fill="FDFDFC"/>
          </w:tcPr>
          <w:p>
            <w:pPr>
              <w:spacing w:after="0"/>
              <w:rPr>
                <w:sz w:val="18"/>
                <w:szCs w:val="18"/>
                <w:color w:val="auto"/>
              </w:rPr>
            </w:pPr>
          </w:p>
        </w:tc>
        <w:tc>
          <w:tcPr>
            <w:tcW w:w="100" w:type="dxa"/>
            <w:vAlign w:val="bottom"/>
            <w:shd w:val="clear" w:color="auto" w:fill="FDFDFC"/>
          </w:tcPr>
          <w:p>
            <w:pPr>
              <w:spacing w:after="0"/>
              <w:rPr>
                <w:sz w:val="18"/>
                <w:szCs w:val="18"/>
                <w:color w:val="auto"/>
              </w:rPr>
            </w:pPr>
          </w:p>
        </w:tc>
      </w:tr>
      <w:tr>
        <w:trPr>
          <w:trHeight w:val="217"/>
        </w:trPr>
        <w:tc>
          <w:tcPr>
            <w:tcW w:w="3540" w:type="dxa"/>
            <w:vAlign w:val="bottom"/>
            <w:shd w:val="clear" w:color="auto" w:fill="D0EBF2"/>
          </w:tcPr>
          <w:p>
            <w:pPr>
              <w:spacing w:after="0" w:line="217" w:lineRule="exact"/>
              <w:rPr>
                <w:sz w:val="20"/>
                <w:szCs w:val="20"/>
                <w:color w:val="auto"/>
              </w:rPr>
            </w:pPr>
            <w:r>
              <w:rPr>
                <w:rFonts w:ascii="Times New Roman" w:cs="Times New Roman" w:eastAsia="Times New Roman" w:hAnsi="Times New Roman"/>
                <w:sz w:val="19"/>
                <w:szCs w:val="19"/>
                <w:color w:val="231F20"/>
              </w:rPr>
              <w:t>2026 Notes</w:t>
            </w:r>
          </w:p>
        </w:tc>
        <w:tc>
          <w:tcPr>
            <w:tcW w:w="440" w:type="dxa"/>
            <w:vAlign w:val="bottom"/>
            <w:shd w:val="clear" w:color="auto" w:fill="D0EBF2"/>
          </w:tcPr>
          <w:p>
            <w:pPr>
              <w:spacing w:after="0"/>
              <w:rPr>
                <w:sz w:val="18"/>
                <w:szCs w:val="18"/>
                <w:color w:val="auto"/>
              </w:rPr>
            </w:pPr>
          </w:p>
        </w:tc>
        <w:tc>
          <w:tcPr>
            <w:tcW w:w="920" w:type="dxa"/>
            <w:vAlign w:val="bottom"/>
            <w:shd w:val="clear" w:color="auto" w:fill="D0EBF2"/>
          </w:tcPr>
          <w:p>
            <w:pPr>
              <w:jc w:val="right"/>
              <w:spacing w:after="0" w:line="217" w:lineRule="exact"/>
              <w:rPr>
                <w:sz w:val="20"/>
                <w:szCs w:val="20"/>
                <w:color w:val="auto"/>
              </w:rPr>
            </w:pPr>
            <w:r>
              <w:rPr>
                <w:rFonts w:ascii="Times New Roman" w:cs="Times New Roman" w:eastAsia="Times New Roman" w:hAnsi="Times New Roman"/>
                <w:sz w:val="19"/>
                <w:szCs w:val="19"/>
                <w:color w:val="231F20"/>
              </w:rPr>
              <w:t>300.0</w:t>
            </w:r>
          </w:p>
        </w:tc>
        <w:tc>
          <w:tcPr>
            <w:tcW w:w="220" w:type="dxa"/>
            <w:vAlign w:val="bottom"/>
            <w:shd w:val="clear" w:color="auto" w:fill="D0EBF2"/>
          </w:tcPr>
          <w:p>
            <w:pPr>
              <w:spacing w:after="0"/>
              <w:rPr>
                <w:sz w:val="18"/>
                <w:szCs w:val="18"/>
                <w:color w:val="auto"/>
              </w:rPr>
            </w:pPr>
          </w:p>
        </w:tc>
        <w:tc>
          <w:tcPr>
            <w:tcW w:w="140" w:type="dxa"/>
            <w:vAlign w:val="bottom"/>
            <w:shd w:val="clear" w:color="auto" w:fill="D0EBF2"/>
          </w:tcPr>
          <w:p>
            <w:pPr>
              <w:spacing w:after="0"/>
              <w:rPr>
                <w:sz w:val="18"/>
                <w:szCs w:val="18"/>
                <w:color w:val="auto"/>
              </w:rPr>
            </w:pPr>
          </w:p>
        </w:tc>
        <w:tc>
          <w:tcPr>
            <w:tcW w:w="1060" w:type="dxa"/>
            <w:vAlign w:val="bottom"/>
            <w:shd w:val="clear" w:color="auto" w:fill="D0EBF2"/>
          </w:tcPr>
          <w:p>
            <w:pPr>
              <w:jc w:val="right"/>
              <w:spacing w:after="0" w:line="217" w:lineRule="exact"/>
              <w:rPr>
                <w:sz w:val="20"/>
                <w:szCs w:val="20"/>
                <w:color w:val="auto"/>
              </w:rPr>
            </w:pPr>
            <w:r>
              <w:rPr>
                <w:rFonts w:ascii="Times New Roman" w:cs="Times New Roman" w:eastAsia="Times New Roman" w:hAnsi="Times New Roman"/>
                <w:sz w:val="19"/>
                <w:szCs w:val="19"/>
                <w:color w:val="231F20"/>
              </w:rPr>
              <w:t>300.0</w:t>
            </w:r>
          </w:p>
        </w:tc>
        <w:tc>
          <w:tcPr>
            <w:tcW w:w="200" w:type="dxa"/>
            <w:vAlign w:val="bottom"/>
            <w:shd w:val="clear" w:color="auto" w:fill="D0EBF2"/>
          </w:tcPr>
          <w:p>
            <w:pPr>
              <w:spacing w:after="0"/>
              <w:rPr>
                <w:sz w:val="18"/>
                <w:szCs w:val="18"/>
                <w:color w:val="auto"/>
              </w:rPr>
            </w:pPr>
          </w:p>
        </w:tc>
        <w:tc>
          <w:tcPr>
            <w:tcW w:w="160" w:type="dxa"/>
            <w:vAlign w:val="bottom"/>
            <w:shd w:val="clear" w:color="auto" w:fill="D0EBF2"/>
          </w:tcPr>
          <w:p>
            <w:pPr>
              <w:spacing w:after="0"/>
              <w:rPr>
                <w:sz w:val="18"/>
                <w:szCs w:val="18"/>
                <w:color w:val="auto"/>
              </w:rPr>
            </w:pPr>
          </w:p>
        </w:tc>
        <w:tc>
          <w:tcPr>
            <w:tcW w:w="1040" w:type="dxa"/>
            <w:vAlign w:val="bottom"/>
            <w:shd w:val="clear" w:color="auto" w:fill="D0EBF2"/>
          </w:tcPr>
          <w:p>
            <w:pPr>
              <w:jc w:val="right"/>
              <w:spacing w:after="0" w:line="217" w:lineRule="exact"/>
              <w:rPr>
                <w:sz w:val="20"/>
                <w:szCs w:val="20"/>
                <w:color w:val="auto"/>
              </w:rPr>
            </w:pPr>
            <w:r>
              <w:rPr>
                <w:rFonts w:ascii="Times New Roman" w:cs="Times New Roman" w:eastAsia="Times New Roman" w:hAnsi="Times New Roman"/>
                <w:sz w:val="19"/>
                <w:szCs w:val="19"/>
                <w:color w:val="231F20"/>
              </w:rPr>
              <w:t>—</w:t>
            </w:r>
          </w:p>
        </w:tc>
        <w:tc>
          <w:tcPr>
            <w:tcW w:w="200" w:type="dxa"/>
            <w:vAlign w:val="bottom"/>
            <w:shd w:val="clear" w:color="auto" w:fill="D0EBF2"/>
          </w:tcPr>
          <w:p>
            <w:pPr>
              <w:spacing w:after="0"/>
              <w:rPr>
                <w:sz w:val="18"/>
                <w:szCs w:val="18"/>
                <w:color w:val="auto"/>
              </w:rPr>
            </w:pPr>
          </w:p>
        </w:tc>
        <w:tc>
          <w:tcPr>
            <w:tcW w:w="180" w:type="dxa"/>
            <w:vAlign w:val="bottom"/>
            <w:shd w:val="clear" w:color="auto" w:fill="D0EBF2"/>
          </w:tcPr>
          <w:p>
            <w:pPr>
              <w:spacing w:after="0"/>
              <w:rPr>
                <w:sz w:val="18"/>
                <w:szCs w:val="18"/>
                <w:color w:val="auto"/>
              </w:rPr>
            </w:pPr>
          </w:p>
        </w:tc>
        <w:tc>
          <w:tcPr>
            <w:tcW w:w="960" w:type="dxa"/>
            <w:vAlign w:val="bottom"/>
            <w:shd w:val="clear" w:color="auto" w:fill="D0EBF2"/>
          </w:tcPr>
          <w:p>
            <w:pPr>
              <w:jc w:val="right"/>
              <w:spacing w:after="0" w:line="217" w:lineRule="exact"/>
              <w:rPr>
                <w:sz w:val="20"/>
                <w:szCs w:val="20"/>
                <w:color w:val="auto"/>
              </w:rPr>
            </w:pPr>
            <w:r>
              <w:rPr>
                <w:rFonts w:ascii="Times New Roman" w:cs="Times New Roman" w:eastAsia="Times New Roman" w:hAnsi="Times New Roman"/>
                <w:sz w:val="19"/>
                <w:szCs w:val="19"/>
                <w:color w:val="231F20"/>
              </w:rPr>
              <w:t>270.9</w:t>
            </w:r>
          </w:p>
        </w:tc>
        <w:tc>
          <w:tcPr>
            <w:tcW w:w="20" w:type="dxa"/>
            <w:vAlign w:val="bottom"/>
            <w:shd w:val="clear" w:color="auto" w:fill="D0EBF2"/>
          </w:tcPr>
          <w:p>
            <w:pPr>
              <w:spacing w:after="0"/>
              <w:rPr>
                <w:sz w:val="18"/>
                <w:szCs w:val="18"/>
                <w:color w:val="auto"/>
              </w:rPr>
            </w:pPr>
          </w:p>
        </w:tc>
        <w:tc>
          <w:tcPr>
            <w:tcW w:w="100" w:type="dxa"/>
            <w:vAlign w:val="bottom"/>
            <w:shd w:val="clear" w:color="auto" w:fill="D0EBF2"/>
          </w:tcPr>
          <w:p>
            <w:pPr>
              <w:spacing w:after="0"/>
              <w:rPr>
                <w:sz w:val="18"/>
                <w:szCs w:val="18"/>
                <w:color w:val="auto"/>
              </w:rPr>
            </w:pPr>
          </w:p>
        </w:tc>
      </w:tr>
      <w:tr>
        <w:trPr>
          <w:trHeight w:val="217"/>
        </w:trPr>
        <w:tc>
          <w:tcPr>
            <w:tcW w:w="3540" w:type="dxa"/>
            <w:vAlign w:val="bottom"/>
            <w:tcBorders>
              <w:bottom w:val="single" w:sz="8" w:color="D0EBF2"/>
            </w:tcBorders>
            <w:shd w:val="clear" w:color="auto" w:fill="FDFDFC"/>
          </w:tcPr>
          <w:p>
            <w:pPr>
              <w:spacing w:after="0" w:line="217" w:lineRule="exact"/>
              <w:rPr>
                <w:sz w:val="20"/>
                <w:szCs w:val="20"/>
                <w:color w:val="auto"/>
              </w:rPr>
            </w:pPr>
            <w:r>
              <w:rPr>
                <w:rFonts w:ascii="Times New Roman" w:cs="Times New Roman" w:eastAsia="Times New Roman" w:hAnsi="Times New Roman"/>
                <w:sz w:val="19"/>
                <w:szCs w:val="19"/>
                <w:color w:val="231F20"/>
              </w:rPr>
              <w:t>2028 Notes</w:t>
            </w:r>
          </w:p>
        </w:tc>
        <w:tc>
          <w:tcPr>
            <w:tcW w:w="440" w:type="dxa"/>
            <w:vAlign w:val="bottom"/>
            <w:tcBorders>
              <w:bottom w:val="single" w:sz="8" w:color="231F20"/>
            </w:tcBorders>
            <w:shd w:val="clear" w:color="auto" w:fill="FDFDFC"/>
          </w:tcPr>
          <w:p>
            <w:pPr>
              <w:spacing w:after="0"/>
              <w:rPr>
                <w:sz w:val="18"/>
                <w:szCs w:val="18"/>
                <w:color w:val="auto"/>
              </w:rPr>
            </w:pPr>
          </w:p>
        </w:tc>
        <w:tc>
          <w:tcPr>
            <w:tcW w:w="920" w:type="dxa"/>
            <w:vAlign w:val="bottom"/>
            <w:tcBorders>
              <w:bottom w:val="single" w:sz="8" w:color="231F20"/>
            </w:tcBorders>
            <w:shd w:val="clear" w:color="auto" w:fill="FDFDFC"/>
          </w:tcPr>
          <w:p>
            <w:pPr>
              <w:jc w:val="right"/>
              <w:spacing w:after="0" w:line="217" w:lineRule="exact"/>
              <w:rPr>
                <w:sz w:val="20"/>
                <w:szCs w:val="20"/>
                <w:color w:val="auto"/>
              </w:rPr>
            </w:pPr>
            <w:r>
              <w:rPr>
                <w:rFonts w:ascii="Times New Roman" w:cs="Times New Roman" w:eastAsia="Times New Roman" w:hAnsi="Times New Roman"/>
                <w:sz w:val="19"/>
                <w:szCs w:val="19"/>
                <w:color w:val="231F20"/>
              </w:rPr>
              <w:t>300.0</w:t>
            </w:r>
          </w:p>
        </w:tc>
        <w:tc>
          <w:tcPr>
            <w:tcW w:w="220" w:type="dxa"/>
            <w:vAlign w:val="bottom"/>
            <w:tcBorders>
              <w:bottom w:val="single" w:sz="8" w:color="D0EBF2"/>
            </w:tcBorders>
            <w:shd w:val="clear" w:color="auto" w:fill="FDFDFC"/>
          </w:tcPr>
          <w:p>
            <w:pPr>
              <w:spacing w:after="0"/>
              <w:rPr>
                <w:sz w:val="18"/>
                <w:szCs w:val="18"/>
                <w:color w:val="auto"/>
              </w:rPr>
            </w:pPr>
          </w:p>
        </w:tc>
        <w:tc>
          <w:tcPr>
            <w:tcW w:w="140" w:type="dxa"/>
            <w:vAlign w:val="bottom"/>
            <w:tcBorders>
              <w:bottom w:val="single" w:sz="8" w:color="231F20"/>
            </w:tcBorders>
            <w:shd w:val="clear" w:color="auto" w:fill="FDFDFC"/>
          </w:tcPr>
          <w:p>
            <w:pPr>
              <w:spacing w:after="0"/>
              <w:rPr>
                <w:sz w:val="18"/>
                <w:szCs w:val="18"/>
                <w:color w:val="auto"/>
              </w:rPr>
            </w:pPr>
          </w:p>
        </w:tc>
        <w:tc>
          <w:tcPr>
            <w:tcW w:w="1060" w:type="dxa"/>
            <w:vAlign w:val="bottom"/>
            <w:tcBorders>
              <w:bottom w:val="single" w:sz="8" w:color="231F20"/>
            </w:tcBorders>
            <w:shd w:val="clear" w:color="auto" w:fill="FDFDFC"/>
          </w:tcPr>
          <w:p>
            <w:pPr>
              <w:jc w:val="right"/>
              <w:spacing w:after="0" w:line="217" w:lineRule="exact"/>
              <w:rPr>
                <w:sz w:val="20"/>
                <w:szCs w:val="20"/>
                <w:color w:val="auto"/>
              </w:rPr>
            </w:pPr>
            <w:r>
              <w:rPr>
                <w:rFonts w:ascii="Times New Roman" w:cs="Times New Roman" w:eastAsia="Times New Roman" w:hAnsi="Times New Roman"/>
                <w:sz w:val="19"/>
                <w:szCs w:val="19"/>
                <w:color w:val="231F20"/>
              </w:rPr>
              <w:t>300.0</w:t>
            </w:r>
          </w:p>
        </w:tc>
        <w:tc>
          <w:tcPr>
            <w:tcW w:w="200" w:type="dxa"/>
            <w:vAlign w:val="bottom"/>
            <w:tcBorders>
              <w:bottom w:val="single" w:sz="8" w:color="D0EBF2"/>
            </w:tcBorders>
            <w:shd w:val="clear" w:color="auto" w:fill="FDFDFC"/>
          </w:tcPr>
          <w:p>
            <w:pPr>
              <w:spacing w:after="0"/>
              <w:rPr>
                <w:sz w:val="18"/>
                <w:szCs w:val="18"/>
                <w:color w:val="auto"/>
              </w:rPr>
            </w:pPr>
          </w:p>
        </w:tc>
        <w:tc>
          <w:tcPr>
            <w:tcW w:w="160" w:type="dxa"/>
            <w:vAlign w:val="bottom"/>
            <w:tcBorders>
              <w:bottom w:val="single" w:sz="8" w:color="231F20"/>
            </w:tcBorders>
            <w:shd w:val="clear" w:color="auto" w:fill="FDFDFC"/>
          </w:tcPr>
          <w:p>
            <w:pPr>
              <w:spacing w:after="0"/>
              <w:rPr>
                <w:sz w:val="18"/>
                <w:szCs w:val="18"/>
                <w:color w:val="auto"/>
              </w:rPr>
            </w:pPr>
          </w:p>
        </w:tc>
        <w:tc>
          <w:tcPr>
            <w:tcW w:w="1040" w:type="dxa"/>
            <w:vAlign w:val="bottom"/>
            <w:tcBorders>
              <w:bottom w:val="single" w:sz="8" w:color="231F20"/>
            </w:tcBorders>
            <w:shd w:val="clear" w:color="auto" w:fill="FDFDFC"/>
          </w:tcPr>
          <w:p>
            <w:pPr>
              <w:jc w:val="right"/>
              <w:spacing w:after="0" w:line="217" w:lineRule="exact"/>
              <w:rPr>
                <w:sz w:val="20"/>
                <w:szCs w:val="20"/>
                <w:color w:val="auto"/>
              </w:rPr>
            </w:pPr>
            <w:r>
              <w:rPr>
                <w:rFonts w:ascii="Times New Roman" w:cs="Times New Roman" w:eastAsia="Times New Roman" w:hAnsi="Times New Roman"/>
                <w:sz w:val="19"/>
                <w:szCs w:val="19"/>
                <w:color w:val="231F20"/>
              </w:rPr>
              <w:t>—</w:t>
            </w:r>
          </w:p>
        </w:tc>
        <w:tc>
          <w:tcPr>
            <w:tcW w:w="200" w:type="dxa"/>
            <w:vAlign w:val="bottom"/>
            <w:tcBorders>
              <w:bottom w:val="single" w:sz="8" w:color="D0EBF2"/>
            </w:tcBorders>
            <w:shd w:val="clear" w:color="auto" w:fill="FDFDFC"/>
          </w:tcPr>
          <w:p>
            <w:pPr>
              <w:spacing w:after="0"/>
              <w:rPr>
                <w:sz w:val="18"/>
                <w:szCs w:val="18"/>
                <w:color w:val="auto"/>
              </w:rPr>
            </w:pPr>
          </w:p>
        </w:tc>
        <w:tc>
          <w:tcPr>
            <w:tcW w:w="180" w:type="dxa"/>
            <w:vAlign w:val="bottom"/>
            <w:tcBorders>
              <w:bottom w:val="single" w:sz="8" w:color="231F20"/>
            </w:tcBorders>
            <w:shd w:val="clear" w:color="auto" w:fill="FDFDFC"/>
          </w:tcPr>
          <w:p>
            <w:pPr>
              <w:spacing w:after="0"/>
              <w:rPr>
                <w:sz w:val="18"/>
                <w:szCs w:val="18"/>
                <w:color w:val="auto"/>
              </w:rPr>
            </w:pPr>
          </w:p>
        </w:tc>
        <w:tc>
          <w:tcPr>
            <w:tcW w:w="960" w:type="dxa"/>
            <w:vAlign w:val="bottom"/>
            <w:tcBorders>
              <w:bottom w:val="single" w:sz="8" w:color="231F20"/>
            </w:tcBorders>
            <w:shd w:val="clear" w:color="auto" w:fill="FDFDFC"/>
          </w:tcPr>
          <w:p>
            <w:pPr>
              <w:jc w:val="right"/>
              <w:spacing w:after="0" w:line="217" w:lineRule="exact"/>
              <w:rPr>
                <w:sz w:val="20"/>
                <w:szCs w:val="20"/>
                <w:color w:val="auto"/>
              </w:rPr>
            </w:pPr>
            <w:r>
              <w:rPr>
                <w:rFonts w:ascii="Times New Roman" w:cs="Times New Roman" w:eastAsia="Times New Roman" w:hAnsi="Times New Roman"/>
                <w:sz w:val="19"/>
                <w:szCs w:val="19"/>
                <w:color w:val="231F20"/>
              </w:rPr>
              <w:t>299.0</w:t>
            </w:r>
          </w:p>
        </w:tc>
        <w:tc>
          <w:tcPr>
            <w:tcW w:w="20" w:type="dxa"/>
            <w:vAlign w:val="bottom"/>
            <w:tcBorders>
              <w:bottom w:val="single" w:sz="8" w:color="FDFDFC"/>
            </w:tcBorders>
            <w:shd w:val="clear" w:color="auto" w:fill="FDFDFC"/>
          </w:tcPr>
          <w:p>
            <w:pPr>
              <w:spacing w:after="0"/>
              <w:rPr>
                <w:sz w:val="18"/>
                <w:szCs w:val="18"/>
                <w:color w:val="auto"/>
              </w:rPr>
            </w:pPr>
          </w:p>
        </w:tc>
        <w:tc>
          <w:tcPr>
            <w:tcW w:w="100" w:type="dxa"/>
            <w:vAlign w:val="bottom"/>
            <w:tcBorders>
              <w:bottom w:val="single" w:sz="8" w:color="D0EBF2"/>
            </w:tcBorders>
            <w:shd w:val="clear" w:color="auto" w:fill="FDFDFC"/>
          </w:tcPr>
          <w:p>
            <w:pPr>
              <w:spacing w:after="0"/>
              <w:rPr>
                <w:sz w:val="18"/>
                <w:szCs w:val="18"/>
                <w:color w:val="auto"/>
              </w:rPr>
            </w:pPr>
          </w:p>
        </w:tc>
      </w:tr>
      <w:tr>
        <w:trPr>
          <w:trHeight w:val="227"/>
        </w:trPr>
        <w:tc>
          <w:tcPr>
            <w:tcW w:w="3540" w:type="dxa"/>
            <w:vAlign w:val="bottom"/>
            <w:tcBorders>
              <w:bottom w:val="single" w:sz="8" w:color="D0EBF2"/>
            </w:tcBorders>
            <w:shd w:val="clear" w:color="auto" w:fill="D0EBF2"/>
          </w:tcPr>
          <w:p>
            <w:pPr>
              <w:ind w:left="180"/>
              <w:spacing w:after="0" w:line="207" w:lineRule="exact"/>
              <w:rPr>
                <w:sz w:val="20"/>
                <w:szCs w:val="20"/>
                <w:color w:val="auto"/>
              </w:rPr>
            </w:pPr>
            <w:r>
              <w:rPr>
                <w:rFonts w:ascii="Times New Roman" w:cs="Times New Roman" w:eastAsia="Times New Roman" w:hAnsi="Times New Roman"/>
                <w:sz w:val="19"/>
                <w:szCs w:val="19"/>
                <w:b w:val="1"/>
                <w:bCs w:val="1"/>
                <w:color w:val="231F20"/>
              </w:rPr>
              <w:t>Total Debt</w:t>
            </w:r>
          </w:p>
        </w:tc>
        <w:tc>
          <w:tcPr>
            <w:tcW w:w="440" w:type="dxa"/>
            <w:vAlign w:val="bottom"/>
            <w:tcBorders>
              <w:bottom w:val="single" w:sz="8" w:color="231F20"/>
            </w:tcBorders>
            <w:shd w:val="clear" w:color="auto" w:fill="D0EBF2"/>
          </w:tcPr>
          <w:p>
            <w:pPr>
              <w:jc w:val="right"/>
              <w:ind w:right="255"/>
              <w:spacing w:after="0" w:line="207" w:lineRule="exact"/>
              <w:rPr>
                <w:sz w:val="20"/>
                <w:szCs w:val="20"/>
                <w:color w:val="auto"/>
              </w:rPr>
            </w:pPr>
            <w:r>
              <w:rPr>
                <w:rFonts w:ascii="Times New Roman" w:cs="Times New Roman" w:eastAsia="Times New Roman" w:hAnsi="Times New Roman"/>
                <w:sz w:val="19"/>
                <w:szCs w:val="19"/>
                <w:color w:val="231F20"/>
                <w:w w:val="83"/>
              </w:rPr>
              <w:t>$</w:t>
            </w:r>
          </w:p>
        </w:tc>
        <w:tc>
          <w:tcPr>
            <w:tcW w:w="920" w:type="dxa"/>
            <w:vAlign w:val="bottom"/>
            <w:tcBorders>
              <w:bottom w:val="single" w:sz="8" w:color="231F20"/>
            </w:tcBorders>
            <w:shd w:val="clear" w:color="auto" w:fill="D0EBF2"/>
          </w:tcPr>
          <w:p>
            <w:pPr>
              <w:jc w:val="right"/>
              <w:spacing w:after="0" w:line="207" w:lineRule="exact"/>
              <w:rPr>
                <w:sz w:val="20"/>
                <w:szCs w:val="20"/>
                <w:color w:val="auto"/>
              </w:rPr>
            </w:pPr>
            <w:r>
              <w:rPr>
                <w:rFonts w:ascii="Times New Roman" w:cs="Times New Roman" w:eastAsia="Times New Roman" w:hAnsi="Times New Roman"/>
                <w:sz w:val="19"/>
                <w:szCs w:val="19"/>
                <w:color w:val="231F20"/>
              </w:rPr>
              <w:t>2,657.5</w:t>
            </w:r>
          </w:p>
        </w:tc>
        <w:tc>
          <w:tcPr>
            <w:tcW w:w="220" w:type="dxa"/>
            <w:vAlign w:val="bottom"/>
            <w:tcBorders>
              <w:bottom w:val="single" w:sz="8" w:color="D0EBF2"/>
            </w:tcBorders>
            <w:shd w:val="clear" w:color="auto" w:fill="D0EBF2"/>
          </w:tcPr>
          <w:p>
            <w:pPr>
              <w:spacing w:after="0"/>
              <w:rPr>
                <w:sz w:val="19"/>
                <w:szCs w:val="19"/>
                <w:color w:val="auto"/>
              </w:rPr>
            </w:pPr>
          </w:p>
        </w:tc>
        <w:tc>
          <w:tcPr>
            <w:tcW w:w="140" w:type="dxa"/>
            <w:vAlign w:val="bottom"/>
            <w:tcBorders>
              <w:bottom w:val="single" w:sz="8" w:color="231F20"/>
            </w:tcBorders>
            <w:shd w:val="clear" w:color="auto" w:fill="D0EBF2"/>
          </w:tcPr>
          <w:p>
            <w:pPr>
              <w:jc w:val="right"/>
              <w:spacing w:after="0" w:line="207" w:lineRule="exact"/>
              <w:rPr>
                <w:sz w:val="20"/>
                <w:szCs w:val="20"/>
                <w:color w:val="auto"/>
              </w:rPr>
            </w:pPr>
            <w:r>
              <w:rPr>
                <w:rFonts w:ascii="Times New Roman" w:cs="Times New Roman" w:eastAsia="Times New Roman" w:hAnsi="Times New Roman"/>
                <w:sz w:val="19"/>
                <w:szCs w:val="19"/>
                <w:color w:val="231F20"/>
                <w:w w:val="83"/>
              </w:rPr>
              <w:t>$</w:t>
            </w:r>
          </w:p>
        </w:tc>
        <w:tc>
          <w:tcPr>
            <w:tcW w:w="1060" w:type="dxa"/>
            <w:vAlign w:val="bottom"/>
            <w:tcBorders>
              <w:bottom w:val="single" w:sz="8" w:color="231F20"/>
            </w:tcBorders>
            <w:shd w:val="clear" w:color="auto" w:fill="D0EBF2"/>
          </w:tcPr>
          <w:p>
            <w:pPr>
              <w:jc w:val="right"/>
              <w:spacing w:after="0" w:line="207" w:lineRule="exact"/>
              <w:rPr>
                <w:sz w:val="20"/>
                <w:szCs w:val="20"/>
                <w:color w:val="auto"/>
              </w:rPr>
            </w:pPr>
            <w:r>
              <w:rPr>
                <w:rFonts w:ascii="Times New Roman" w:cs="Times New Roman" w:eastAsia="Times New Roman" w:hAnsi="Times New Roman"/>
                <w:sz w:val="19"/>
                <w:szCs w:val="19"/>
                <w:color w:val="231F20"/>
              </w:rPr>
              <w:t>1,837.2</w:t>
            </w:r>
          </w:p>
        </w:tc>
        <w:tc>
          <w:tcPr>
            <w:tcW w:w="200" w:type="dxa"/>
            <w:vAlign w:val="bottom"/>
            <w:tcBorders>
              <w:bottom w:val="single" w:sz="8" w:color="D0EBF2"/>
            </w:tcBorders>
            <w:shd w:val="clear" w:color="auto" w:fill="D0EBF2"/>
          </w:tcPr>
          <w:p>
            <w:pPr>
              <w:spacing w:after="0"/>
              <w:rPr>
                <w:sz w:val="19"/>
                <w:szCs w:val="19"/>
                <w:color w:val="auto"/>
              </w:rPr>
            </w:pPr>
          </w:p>
        </w:tc>
        <w:tc>
          <w:tcPr>
            <w:tcW w:w="160" w:type="dxa"/>
            <w:vAlign w:val="bottom"/>
            <w:tcBorders>
              <w:bottom w:val="single" w:sz="8" w:color="231F20"/>
            </w:tcBorders>
            <w:shd w:val="clear" w:color="auto" w:fill="D0EBF2"/>
          </w:tcPr>
          <w:p>
            <w:pPr>
              <w:jc w:val="right"/>
              <w:spacing w:after="0" w:line="207" w:lineRule="exact"/>
              <w:rPr>
                <w:sz w:val="20"/>
                <w:szCs w:val="20"/>
                <w:color w:val="auto"/>
              </w:rPr>
            </w:pPr>
            <w:r>
              <w:rPr>
                <w:rFonts w:ascii="Times New Roman" w:cs="Times New Roman" w:eastAsia="Times New Roman" w:hAnsi="Times New Roman"/>
                <w:sz w:val="19"/>
                <w:szCs w:val="19"/>
                <w:color w:val="231F20"/>
                <w:w w:val="83"/>
              </w:rPr>
              <w:t>$</w:t>
            </w:r>
          </w:p>
        </w:tc>
        <w:tc>
          <w:tcPr>
            <w:tcW w:w="1040" w:type="dxa"/>
            <w:vAlign w:val="bottom"/>
            <w:tcBorders>
              <w:bottom w:val="single" w:sz="8" w:color="231F20"/>
            </w:tcBorders>
            <w:shd w:val="clear" w:color="auto" w:fill="D0EBF2"/>
          </w:tcPr>
          <w:p>
            <w:pPr>
              <w:jc w:val="right"/>
              <w:spacing w:after="0" w:line="207" w:lineRule="exact"/>
              <w:rPr>
                <w:sz w:val="20"/>
                <w:szCs w:val="20"/>
                <w:color w:val="auto"/>
              </w:rPr>
            </w:pPr>
            <w:r>
              <w:rPr>
                <w:rFonts w:ascii="Times New Roman" w:cs="Times New Roman" w:eastAsia="Times New Roman" w:hAnsi="Times New Roman"/>
                <w:sz w:val="19"/>
                <w:szCs w:val="19"/>
                <w:color w:val="231F20"/>
              </w:rPr>
              <w:t>820.2</w:t>
            </w:r>
          </w:p>
        </w:tc>
        <w:tc>
          <w:tcPr>
            <w:tcW w:w="200" w:type="dxa"/>
            <w:vAlign w:val="bottom"/>
            <w:tcBorders>
              <w:bottom w:val="single" w:sz="8" w:color="D0EBF2"/>
            </w:tcBorders>
            <w:shd w:val="clear" w:color="auto" w:fill="D0EBF2"/>
          </w:tcPr>
          <w:p>
            <w:pPr>
              <w:spacing w:after="0"/>
              <w:rPr>
                <w:sz w:val="19"/>
                <w:szCs w:val="19"/>
                <w:color w:val="auto"/>
              </w:rPr>
            </w:pPr>
          </w:p>
        </w:tc>
        <w:tc>
          <w:tcPr>
            <w:tcW w:w="180" w:type="dxa"/>
            <w:vAlign w:val="bottom"/>
            <w:tcBorders>
              <w:bottom w:val="single" w:sz="8" w:color="231F20"/>
            </w:tcBorders>
            <w:shd w:val="clear" w:color="auto" w:fill="D0EBF2"/>
          </w:tcPr>
          <w:p>
            <w:pPr>
              <w:jc w:val="right"/>
              <w:spacing w:after="0" w:line="207" w:lineRule="exact"/>
              <w:rPr>
                <w:sz w:val="20"/>
                <w:szCs w:val="20"/>
                <w:color w:val="auto"/>
              </w:rPr>
            </w:pPr>
            <w:r>
              <w:rPr>
                <w:rFonts w:ascii="Times New Roman" w:cs="Times New Roman" w:eastAsia="Times New Roman" w:hAnsi="Times New Roman"/>
                <w:sz w:val="19"/>
                <w:szCs w:val="19"/>
                <w:color w:val="231F20"/>
                <w:w w:val="83"/>
              </w:rPr>
              <w:t>$</w:t>
            </w:r>
          </w:p>
        </w:tc>
        <w:tc>
          <w:tcPr>
            <w:tcW w:w="960" w:type="dxa"/>
            <w:vAlign w:val="bottom"/>
            <w:tcBorders>
              <w:bottom w:val="single" w:sz="8" w:color="231F20"/>
            </w:tcBorders>
            <w:shd w:val="clear" w:color="auto" w:fill="D0EBF2"/>
          </w:tcPr>
          <w:p>
            <w:pPr>
              <w:jc w:val="right"/>
              <w:spacing w:after="0" w:line="207" w:lineRule="exact"/>
              <w:rPr>
                <w:sz w:val="20"/>
                <w:szCs w:val="20"/>
                <w:color w:val="auto"/>
              </w:rPr>
            </w:pPr>
            <w:r>
              <w:rPr>
                <w:rFonts w:ascii="Times New Roman" w:cs="Times New Roman" w:eastAsia="Times New Roman" w:hAnsi="Times New Roman"/>
                <w:sz w:val="19"/>
                <w:szCs w:val="19"/>
                <w:color w:val="231F20"/>
              </w:rPr>
              <w:t>1,780.3</w:t>
            </w:r>
          </w:p>
        </w:tc>
        <w:tc>
          <w:tcPr>
            <w:tcW w:w="20" w:type="dxa"/>
            <w:vAlign w:val="bottom"/>
            <w:tcBorders>
              <w:bottom w:val="single" w:sz="8" w:color="D0EBF2"/>
            </w:tcBorders>
            <w:shd w:val="clear" w:color="auto" w:fill="D0EBF2"/>
          </w:tcPr>
          <w:p>
            <w:pPr>
              <w:spacing w:after="0"/>
              <w:rPr>
                <w:sz w:val="19"/>
                <w:szCs w:val="19"/>
                <w:color w:val="auto"/>
              </w:rPr>
            </w:pPr>
          </w:p>
        </w:tc>
        <w:tc>
          <w:tcPr>
            <w:tcW w:w="100" w:type="dxa"/>
            <w:vAlign w:val="bottom"/>
            <w:tcBorders>
              <w:bottom w:val="single" w:sz="8" w:color="D0EBF2"/>
            </w:tcBorders>
            <w:shd w:val="clear" w:color="auto" w:fill="D0EBF2"/>
          </w:tcPr>
          <w:p>
            <w:pPr>
              <w:spacing w:after="0"/>
              <w:rPr>
                <w:sz w:val="19"/>
                <w:szCs w:val="19"/>
                <w:color w:val="auto"/>
              </w:rPr>
            </w:pPr>
          </w:p>
        </w:tc>
      </w:tr>
      <w:tr>
        <w:trPr>
          <w:trHeight w:val="20"/>
        </w:trPr>
        <w:tc>
          <w:tcPr>
            <w:tcW w:w="3540" w:type="dxa"/>
            <w:vAlign w:val="bottom"/>
          </w:tcPr>
          <w:p>
            <w:pPr>
              <w:spacing w:after="0" w:line="20" w:lineRule="exact"/>
              <w:rPr>
                <w:sz w:val="1"/>
                <w:szCs w:val="1"/>
                <w:color w:val="auto"/>
              </w:rPr>
            </w:pPr>
          </w:p>
        </w:tc>
        <w:tc>
          <w:tcPr>
            <w:tcW w:w="440" w:type="dxa"/>
            <w:vAlign w:val="bottom"/>
            <w:tcBorders>
              <w:bottom w:val="single" w:sz="8" w:color="231F20"/>
            </w:tcBorders>
          </w:tcPr>
          <w:p>
            <w:pPr>
              <w:spacing w:after="0" w:line="20" w:lineRule="exact"/>
              <w:rPr>
                <w:sz w:val="1"/>
                <w:szCs w:val="1"/>
                <w:color w:val="auto"/>
              </w:rPr>
            </w:pPr>
          </w:p>
        </w:tc>
        <w:tc>
          <w:tcPr>
            <w:tcW w:w="920" w:type="dxa"/>
            <w:vAlign w:val="bottom"/>
            <w:tcBorders>
              <w:bottom w:val="single" w:sz="8" w:color="231F20"/>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231F20"/>
            </w:tcBorders>
          </w:tcPr>
          <w:p>
            <w:pPr>
              <w:spacing w:after="0" w:line="20" w:lineRule="exact"/>
              <w:rPr>
                <w:sz w:val="1"/>
                <w:szCs w:val="1"/>
                <w:color w:val="auto"/>
              </w:rPr>
            </w:pPr>
          </w:p>
        </w:tc>
        <w:tc>
          <w:tcPr>
            <w:tcW w:w="1060" w:type="dxa"/>
            <w:vAlign w:val="bottom"/>
            <w:tcBorders>
              <w:bottom w:val="single" w:sz="8" w:color="231F20"/>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231F20"/>
            </w:tcBorders>
          </w:tcPr>
          <w:p>
            <w:pPr>
              <w:spacing w:after="0" w:line="20" w:lineRule="exact"/>
              <w:rPr>
                <w:sz w:val="1"/>
                <w:szCs w:val="1"/>
                <w:color w:val="auto"/>
              </w:rPr>
            </w:pPr>
          </w:p>
        </w:tc>
        <w:tc>
          <w:tcPr>
            <w:tcW w:w="1040" w:type="dxa"/>
            <w:vAlign w:val="bottom"/>
            <w:tcBorders>
              <w:bottom w:val="single" w:sz="8" w:color="231F20"/>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231F20"/>
            </w:tcBorders>
          </w:tcPr>
          <w:p>
            <w:pPr>
              <w:spacing w:after="0" w:line="20" w:lineRule="exact"/>
              <w:rPr>
                <w:sz w:val="1"/>
                <w:szCs w:val="1"/>
                <w:color w:val="auto"/>
              </w:rPr>
            </w:pPr>
          </w:p>
        </w:tc>
        <w:tc>
          <w:tcPr>
            <w:tcW w:w="960" w:type="dxa"/>
            <w:vAlign w:val="bottom"/>
            <w:tcBorders>
              <w:bottom w:val="single" w:sz="8" w:color="231F20"/>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7" w:lineRule="exact"/>
        <w:rPr>
          <w:sz w:val="20"/>
          <w:szCs w:val="20"/>
          <w:color w:val="auto"/>
        </w:rPr>
      </w:pPr>
    </w:p>
    <w:p>
      <w:pPr>
        <w:ind w:left="460" w:right="820" w:hanging="460"/>
        <w:spacing w:after="0" w:line="253" w:lineRule="auto"/>
        <w:tabs>
          <w:tab w:leader="none" w:pos="460" w:val="left"/>
        </w:tabs>
        <w:numPr>
          <w:ilvl w:val="0"/>
          <w:numId w:val="62"/>
        </w:numPr>
        <w:rPr>
          <w:rFonts w:ascii="Times New Roman" w:cs="Times New Roman" w:eastAsia="Times New Roman" w:hAnsi="Times New Roman"/>
          <w:sz w:val="19"/>
          <w:szCs w:val="19"/>
          <w:color w:val="231F20"/>
        </w:rPr>
      </w:pPr>
      <w:r>
        <w:rPr>
          <w:rFonts w:ascii="Times New Roman" w:cs="Times New Roman" w:eastAsia="Times New Roman" w:hAnsi="Times New Roman"/>
          <w:sz w:val="19"/>
          <w:szCs w:val="19"/>
          <w:color w:val="231F20"/>
        </w:rPr>
        <w:t>The amount available may be subject to limitations related to the borrowing base under the Revolving Credit Facility, outstanding letters of credit issued and asset coverage requirements.</w:t>
      </w:r>
    </w:p>
    <w:p>
      <w:pPr>
        <w:spacing w:after="0" w:line="1" w:lineRule="exact"/>
        <w:rPr>
          <w:rFonts w:ascii="Times New Roman" w:cs="Times New Roman" w:eastAsia="Times New Roman" w:hAnsi="Times New Roman"/>
          <w:sz w:val="19"/>
          <w:szCs w:val="19"/>
          <w:color w:val="231F20"/>
        </w:rPr>
      </w:pPr>
    </w:p>
    <w:p>
      <w:pPr>
        <w:ind w:left="460" w:right="140" w:hanging="460"/>
        <w:spacing w:after="0" w:line="238" w:lineRule="auto"/>
        <w:tabs>
          <w:tab w:leader="none" w:pos="460" w:val="left"/>
        </w:tabs>
        <w:numPr>
          <w:ilvl w:val="0"/>
          <w:numId w:val="62"/>
        </w:numPr>
        <w:rPr>
          <w:rFonts w:ascii="Times New Roman" w:cs="Times New Roman" w:eastAsia="Times New Roman" w:hAnsi="Times New Roman"/>
          <w:sz w:val="19"/>
          <w:szCs w:val="19"/>
          <w:color w:val="231F20"/>
        </w:rPr>
      </w:pPr>
      <w:r>
        <w:rPr>
          <w:rFonts w:ascii="Times New Roman" w:cs="Times New Roman" w:eastAsia="Times New Roman" w:hAnsi="Times New Roman"/>
          <w:sz w:val="19"/>
          <w:szCs w:val="19"/>
          <w:color w:val="231F20"/>
        </w:rPr>
        <w:t>The carrying values of the Revolving Credit Facility, 2024 Notes, 2026 Notes and 2028 Notes are presented net of the combination of deferred financing costs and original issue discounts totaling $15.2 million, $1.2 million, $3.0 million and $5.7 million, respectively.</w:t>
      </w:r>
    </w:p>
    <w:p>
      <w:pPr>
        <w:spacing w:after="0" w:line="1" w:lineRule="exact"/>
        <w:rPr>
          <w:rFonts w:ascii="Times New Roman" w:cs="Times New Roman" w:eastAsia="Times New Roman" w:hAnsi="Times New Roman"/>
          <w:sz w:val="19"/>
          <w:szCs w:val="19"/>
          <w:color w:val="231F20"/>
        </w:rPr>
      </w:pPr>
    </w:p>
    <w:p>
      <w:pPr>
        <w:ind w:left="460" w:hanging="460"/>
        <w:spacing w:after="0" w:line="238" w:lineRule="auto"/>
        <w:tabs>
          <w:tab w:leader="none" w:pos="460" w:val="left"/>
        </w:tabs>
        <w:numPr>
          <w:ilvl w:val="0"/>
          <w:numId w:val="62"/>
        </w:numPr>
        <w:rPr>
          <w:rFonts w:ascii="Times New Roman" w:cs="Times New Roman" w:eastAsia="Times New Roman" w:hAnsi="Times New Roman"/>
          <w:sz w:val="19"/>
          <w:szCs w:val="19"/>
          <w:color w:val="231F20"/>
        </w:rPr>
      </w:pPr>
      <w:r>
        <w:rPr>
          <w:rFonts w:ascii="Times New Roman" w:cs="Times New Roman" w:eastAsia="Times New Roman" w:hAnsi="Times New Roman"/>
          <w:sz w:val="19"/>
          <w:szCs w:val="19"/>
          <w:color w:val="231F20"/>
        </w:rPr>
        <w:t>The carrying values of the 2024 Notes, 2026 Notes and 2028 Notes are presented inclusive of an incremental $(10.4) million,</w:t>
      </w:r>
    </w:p>
    <w:p>
      <w:pPr>
        <w:ind w:left="460" w:right="40"/>
        <w:spacing w:after="0" w:line="245" w:lineRule="auto"/>
        <w:rPr>
          <w:rFonts w:ascii="Times New Roman" w:cs="Times New Roman" w:eastAsia="Times New Roman" w:hAnsi="Times New Roman"/>
          <w:sz w:val="19"/>
          <w:szCs w:val="19"/>
          <w:color w:val="231F20"/>
        </w:rPr>
      </w:pPr>
      <w:r>
        <w:rPr>
          <w:rFonts w:ascii="Times New Roman" w:cs="Times New Roman" w:eastAsia="Times New Roman" w:hAnsi="Times New Roman"/>
          <w:sz w:val="19"/>
          <w:szCs w:val="19"/>
          <w:color w:val="231F20"/>
        </w:rPr>
        <w:t>$(26.1) million and $4.7 million, which represents an adjustment in the carrying values of the 2024 Notes, 2026 Notes and 2028 Notes, each resulting from a hedge accounting relationship.</w:t>
      </w:r>
    </w:p>
    <w:p>
      <w:pPr>
        <w:spacing w:after="0" w:line="187" w:lineRule="exact"/>
        <w:rPr>
          <w:sz w:val="20"/>
          <w:szCs w:val="20"/>
          <w:color w:val="auto"/>
        </w:rPr>
      </w:pPr>
    </w:p>
    <w:p>
      <w:pPr>
        <w:ind w:right="120" w:firstLine="283"/>
        <w:spacing w:after="0" w:line="275" w:lineRule="auto"/>
        <w:rPr>
          <w:sz w:val="20"/>
          <w:szCs w:val="20"/>
          <w:color w:val="auto"/>
        </w:rPr>
      </w:pPr>
      <w:r>
        <w:rPr>
          <w:rFonts w:ascii="Times New Roman" w:cs="Times New Roman" w:eastAsia="Times New Roman" w:hAnsi="Times New Roman"/>
          <w:sz w:val="19"/>
          <w:szCs w:val="19"/>
          <w:color w:val="231F20"/>
        </w:rPr>
        <w:t>As of December 31, 2024 and December 31, 2023, we were in compliance with the terms of our debt arrangements. We intend to continue to utilize our credit facilities to fund investments and for other general corporate purposes.</w:t>
      </w:r>
    </w:p>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231F20"/>
        </w:rPr>
        <w:t>Off-Balance Sheet Arrangements</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231F20"/>
        </w:rPr>
        <w:t>Portfolio Company Commitments</w:t>
      </w:r>
    </w:p>
    <w:p>
      <w:pPr>
        <w:spacing w:after="0" w:line="110" w:lineRule="exact"/>
        <w:rPr>
          <w:sz w:val="20"/>
          <w:szCs w:val="20"/>
          <w:color w:val="auto"/>
        </w:rPr>
      </w:pPr>
    </w:p>
    <w:p>
      <w:pPr>
        <w:ind w:firstLine="231"/>
        <w:spacing w:after="0" w:line="244" w:lineRule="auto"/>
        <w:rPr>
          <w:sz w:val="20"/>
          <w:szCs w:val="20"/>
          <w:color w:val="auto"/>
        </w:rPr>
      </w:pPr>
      <w:r>
        <w:rPr>
          <w:rFonts w:ascii="Times New Roman" w:cs="Times New Roman" w:eastAsia="Times New Roman" w:hAnsi="Times New Roman"/>
          <w:sz w:val="19"/>
          <w:szCs w:val="19"/>
          <w:color w:val="231F20"/>
        </w:rPr>
        <w:t>From time to time, we may enter into commitments to fund investments. We incorporate these commitments into our assessment of our liquidity position. Our senior secured revolving loan commitments are generally available on a borrower’s demand and may remain outstanding until the maturity date of the applicable loan. Our senior secured delayed draw term loan commitments are generally available on a borrower’s demand and, once drawn, generally have the same remaining term as the associated loan agreement. Undrawn senior secured delayed draw term loan commitments generally have a shorter availability period than the term of the associated loan agreement. As of December 31, 2024 and December 31, 2023, we had the following commitments to fund investments in current portfolio companies:</w:t>
      </w:r>
    </w:p>
    <w:p>
      <w:pPr>
        <w:sectPr>
          <w:pgSz w:w="12240" w:h="15840" w:orient="portrait"/>
          <w:cols w:equalWidth="0" w:num="1">
            <w:col w:w="10180"/>
          </w:cols>
          <w:pgMar w:left="1020" w:top="1337" w:right="1040" w:bottom="57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231F20"/>
        </w:rPr>
        <w:t>80</w:t>
      </w:r>
    </w:p>
    <w:p>
      <w:pPr>
        <w:sectPr>
          <w:pgSz w:w="12240" w:h="15840" w:orient="portrait"/>
          <w:cols w:equalWidth="0" w:num="1">
            <w:col w:w="10180"/>
          </w:cols>
          <w:pgMar w:left="1020" w:top="1337" w:right="1040" w:bottom="574" w:gutter="0" w:footer="0" w:header="0"/>
          <w:type w:val="continuous"/>
        </w:sectPr>
      </w:pPr>
    </w:p>
    <w:bookmarkStart w:id="80" w:name="page81"/>
    <w:bookmarkEnd w:id="80"/>
    <w:tbl>
      <w:tblPr>
        <w:tblLayout w:type="fixed"/>
        <w:tblInd w:w="600" w:type="dxa"/>
        <w:tblCellMar>
          <w:top w:w="0" w:type="dxa"/>
          <w:left w:w="0" w:type="dxa"/>
          <w:bottom w:w="0" w:type="dxa"/>
          <w:right w:w="0" w:type="dxa"/>
        </w:tblCellMar>
      </w:tblPr>
      <w:tr>
        <w:trPr>
          <w:trHeight w:val="187"/>
        </w:trPr>
        <w:tc>
          <w:tcPr>
            <w:tcW w:w="4460" w:type="dxa"/>
            <w:vAlign w:val="bottom"/>
            <w:shd w:val="clear" w:color="auto" w:fill="FDFDFC"/>
          </w:tcPr>
          <w:p>
            <w:pPr>
              <w:spacing w:after="0"/>
              <w:rPr>
                <w:sz w:val="20"/>
                <w:szCs w:val="20"/>
                <w:color w:val="auto"/>
              </w:rPr>
            </w:pPr>
            <w:r>
              <w:rPr>
                <w:rFonts w:ascii="Times New Roman" w:cs="Times New Roman" w:eastAsia="Times New Roman" w:hAnsi="Times New Roman"/>
                <w:sz w:val="15"/>
                <w:szCs w:val="15"/>
                <w:color w:val="231F20"/>
              </w:rPr>
              <w:t>($ in millions)</w:t>
            </w:r>
          </w:p>
        </w:tc>
        <w:tc>
          <w:tcPr>
            <w:tcW w:w="120" w:type="dxa"/>
            <w:vAlign w:val="bottom"/>
            <w:shd w:val="clear" w:color="auto" w:fill="FDFDFC"/>
          </w:tcPr>
          <w:p>
            <w:pPr>
              <w:spacing w:after="0"/>
              <w:rPr>
                <w:sz w:val="16"/>
                <w:szCs w:val="16"/>
                <w:color w:val="auto"/>
              </w:rPr>
            </w:pPr>
          </w:p>
        </w:tc>
        <w:tc>
          <w:tcPr>
            <w:tcW w:w="140" w:type="dxa"/>
            <w:vAlign w:val="bottom"/>
            <w:shd w:val="clear" w:color="auto" w:fill="FDFDFC"/>
          </w:tcPr>
          <w:p>
            <w:pPr>
              <w:spacing w:after="0"/>
              <w:rPr>
                <w:sz w:val="16"/>
                <w:szCs w:val="16"/>
                <w:color w:val="auto"/>
              </w:rPr>
            </w:pPr>
          </w:p>
        </w:tc>
        <w:tc>
          <w:tcPr>
            <w:tcW w:w="1460" w:type="dxa"/>
            <w:vAlign w:val="bottom"/>
            <w:shd w:val="clear" w:color="auto" w:fill="FDFDFC"/>
          </w:tcPr>
          <w:p>
            <w:pPr>
              <w:jc w:val="right"/>
              <w:ind w:right="106"/>
              <w:spacing w:after="0"/>
              <w:rPr>
                <w:sz w:val="20"/>
                <w:szCs w:val="20"/>
                <w:color w:val="auto"/>
              </w:rPr>
            </w:pPr>
            <w:r>
              <w:rPr>
                <w:rFonts w:ascii="Times New Roman" w:cs="Times New Roman" w:eastAsia="Times New Roman" w:hAnsi="Times New Roman"/>
                <w:sz w:val="15"/>
                <w:szCs w:val="15"/>
                <w:b w:val="1"/>
                <w:bCs w:val="1"/>
                <w:color w:val="231F20"/>
              </w:rPr>
              <w:t>December 31, 2024</w:t>
            </w:r>
          </w:p>
        </w:tc>
        <w:tc>
          <w:tcPr>
            <w:tcW w:w="180" w:type="dxa"/>
            <w:vAlign w:val="bottom"/>
            <w:shd w:val="clear" w:color="auto" w:fill="FDFDFC"/>
          </w:tcPr>
          <w:p>
            <w:pPr>
              <w:spacing w:after="0"/>
              <w:rPr>
                <w:sz w:val="16"/>
                <w:szCs w:val="16"/>
                <w:color w:val="auto"/>
              </w:rPr>
            </w:pPr>
          </w:p>
        </w:tc>
        <w:tc>
          <w:tcPr>
            <w:tcW w:w="180" w:type="dxa"/>
            <w:vAlign w:val="bottom"/>
            <w:shd w:val="clear" w:color="auto" w:fill="FDFDFC"/>
          </w:tcPr>
          <w:p>
            <w:pPr>
              <w:spacing w:after="0"/>
              <w:rPr>
                <w:sz w:val="16"/>
                <w:szCs w:val="16"/>
                <w:color w:val="auto"/>
              </w:rPr>
            </w:pPr>
          </w:p>
        </w:tc>
        <w:tc>
          <w:tcPr>
            <w:tcW w:w="1620" w:type="dxa"/>
            <w:vAlign w:val="bottom"/>
            <w:gridSpan w:val="2"/>
            <w:shd w:val="clear" w:color="auto" w:fill="FDFDFC"/>
          </w:tcPr>
          <w:p>
            <w:pPr>
              <w:ind w:left="60"/>
              <w:spacing w:after="0"/>
              <w:rPr>
                <w:sz w:val="20"/>
                <w:szCs w:val="20"/>
                <w:color w:val="auto"/>
              </w:rPr>
            </w:pPr>
            <w:r>
              <w:rPr>
                <w:rFonts w:ascii="Times New Roman" w:cs="Times New Roman" w:eastAsia="Times New Roman" w:hAnsi="Times New Roman"/>
                <w:sz w:val="15"/>
                <w:szCs w:val="15"/>
                <w:b w:val="1"/>
                <w:bCs w:val="1"/>
                <w:color w:val="231F20"/>
              </w:rPr>
              <w:t>December 31, 2023</w:t>
            </w:r>
          </w:p>
        </w:tc>
        <w:tc>
          <w:tcPr>
            <w:tcW w:w="0" w:type="dxa"/>
            <w:vAlign w:val="bottom"/>
          </w:tcPr>
          <w:p>
            <w:pPr>
              <w:spacing w:after="0"/>
              <w:rPr>
                <w:sz w:val="1"/>
                <w:szCs w:val="1"/>
                <w:color w:val="auto"/>
              </w:rPr>
            </w:pPr>
          </w:p>
        </w:tc>
      </w:tr>
      <w:tr>
        <w:trPr>
          <w:trHeight w:val="220"/>
        </w:trPr>
        <w:tc>
          <w:tcPr>
            <w:tcW w:w="4460" w:type="dxa"/>
            <w:vAlign w:val="bottom"/>
            <w:tcBorders>
              <w:top w:val="single" w:sz="8" w:color="D0EBF2"/>
            </w:tcBorders>
            <w:shd w:val="clear" w:color="auto" w:fill="D0EBF2"/>
          </w:tcPr>
          <w:p>
            <w:pPr>
              <w:spacing w:after="0"/>
              <w:rPr>
                <w:sz w:val="20"/>
                <w:szCs w:val="20"/>
                <w:color w:val="auto"/>
              </w:rPr>
            </w:pPr>
            <w:r>
              <w:rPr>
                <w:rFonts w:ascii="Times New Roman" w:cs="Times New Roman" w:eastAsia="Times New Roman" w:hAnsi="Times New Roman"/>
                <w:sz w:val="19"/>
                <w:szCs w:val="19"/>
                <w:color w:val="231F20"/>
              </w:rPr>
              <w:t>Alaska Bidco Oy - Delayed Draw &amp; Revolver</w:t>
            </w:r>
          </w:p>
        </w:tc>
        <w:tc>
          <w:tcPr>
            <w:tcW w:w="120" w:type="dxa"/>
            <w:vAlign w:val="bottom"/>
            <w:tcBorders>
              <w:top w:val="single" w:sz="8" w:color="D0EBF2"/>
            </w:tcBorders>
            <w:shd w:val="clear" w:color="auto" w:fill="D0EBF2"/>
          </w:tcPr>
          <w:p>
            <w:pPr>
              <w:spacing w:after="0"/>
              <w:rPr>
                <w:sz w:val="19"/>
                <w:szCs w:val="19"/>
                <w:color w:val="auto"/>
              </w:rPr>
            </w:pPr>
          </w:p>
        </w:tc>
        <w:tc>
          <w:tcPr>
            <w:tcW w:w="140" w:type="dxa"/>
            <w:vAlign w:val="bottom"/>
            <w:tcBorders>
              <w:top w:val="single" w:sz="8" w:color="231F20"/>
            </w:tcBorders>
            <w:shd w:val="clear" w:color="auto" w:fill="D0EBF2"/>
          </w:tcPr>
          <w:p>
            <w:pPr>
              <w:jc w:val="right"/>
              <w:spacing w:after="0"/>
              <w:rPr>
                <w:sz w:val="20"/>
                <w:szCs w:val="20"/>
                <w:color w:val="auto"/>
              </w:rPr>
            </w:pPr>
            <w:r>
              <w:rPr>
                <w:rFonts w:ascii="Times New Roman" w:cs="Times New Roman" w:eastAsia="Times New Roman" w:hAnsi="Times New Roman"/>
                <w:sz w:val="17"/>
                <w:szCs w:val="17"/>
                <w:color w:val="231F20"/>
                <w:w w:val="70"/>
              </w:rPr>
              <w:t>$</w:t>
            </w:r>
          </w:p>
        </w:tc>
        <w:tc>
          <w:tcPr>
            <w:tcW w:w="1460" w:type="dxa"/>
            <w:vAlign w:val="bottom"/>
            <w:tcBorders>
              <w:top w:val="single" w:sz="8" w:color="231F20"/>
            </w:tcBorders>
            <w:shd w:val="clear" w:color="auto" w:fill="D0EBF2"/>
          </w:tcPr>
          <w:p>
            <w:pPr>
              <w:jc w:val="right"/>
              <w:spacing w:after="0"/>
              <w:rPr>
                <w:sz w:val="20"/>
                <w:szCs w:val="20"/>
                <w:color w:val="auto"/>
              </w:rPr>
            </w:pPr>
            <w:r>
              <w:rPr>
                <w:rFonts w:ascii="Times New Roman" w:cs="Times New Roman" w:eastAsia="Times New Roman" w:hAnsi="Times New Roman"/>
                <w:sz w:val="19"/>
                <w:szCs w:val="19"/>
                <w:color w:val="231F20"/>
              </w:rPr>
              <w:t>0.2</w:t>
            </w:r>
          </w:p>
        </w:tc>
        <w:tc>
          <w:tcPr>
            <w:tcW w:w="180" w:type="dxa"/>
            <w:vAlign w:val="bottom"/>
            <w:tcBorders>
              <w:top w:val="single" w:sz="8" w:color="D0EBF2"/>
            </w:tcBorders>
            <w:shd w:val="clear" w:color="auto" w:fill="D0EBF2"/>
          </w:tcPr>
          <w:p>
            <w:pPr>
              <w:spacing w:after="0"/>
              <w:rPr>
                <w:sz w:val="19"/>
                <w:szCs w:val="19"/>
                <w:color w:val="auto"/>
              </w:rPr>
            </w:pPr>
          </w:p>
        </w:tc>
        <w:tc>
          <w:tcPr>
            <w:tcW w:w="180" w:type="dxa"/>
            <w:vAlign w:val="bottom"/>
            <w:tcBorders>
              <w:top w:val="single" w:sz="8" w:color="231F20"/>
            </w:tcBorders>
            <w:shd w:val="clear" w:color="auto" w:fill="D0EBF2"/>
          </w:tcPr>
          <w:p>
            <w:pPr>
              <w:jc w:val="right"/>
              <w:spacing w:after="0"/>
              <w:rPr>
                <w:sz w:val="20"/>
                <w:szCs w:val="20"/>
                <w:color w:val="auto"/>
              </w:rPr>
            </w:pPr>
            <w:r>
              <w:rPr>
                <w:rFonts w:ascii="Times New Roman" w:cs="Times New Roman" w:eastAsia="Times New Roman" w:hAnsi="Times New Roman"/>
                <w:sz w:val="19"/>
                <w:szCs w:val="19"/>
                <w:color w:val="231F20"/>
                <w:w w:val="83"/>
              </w:rPr>
              <w:t>$</w:t>
            </w:r>
          </w:p>
        </w:tc>
        <w:tc>
          <w:tcPr>
            <w:tcW w:w="1540" w:type="dxa"/>
            <w:vAlign w:val="bottom"/>
            <w:tcBorders>
              <w:top w:val="single" w:sz="8" w:color="231F20"/>
            </w:tcBorders>
            <w:shd w:val="clear" w:color="auto" w:fill="D0EBF2"/>
          </w:tcPr>
          <w:p>
            <w:pPr>
              <w:jc w:val="right"/>
              <w:spacing w:after="0"/>
              <w:rPr>
                <w:sz w:val="20"/>
                <w:szCs w:val="20"/>
                <w:color w:val="auto"/>
              </w:rPr>
            </w:pPr>
            <w:r>
              <w:rPr>
                <w:rFonts w:ascii="Times New Roman" w:cs="Times New Roman" w:eastAsia="Times New Roman" w:hAnsi="Times New Roman"/>
                <w:sz w:val="19"/>
                <w:szCs w:val="19"/>
                <w:color w:val="231F20"/>
              </w:rPr>
              <w:t>0.2</w:t>
            </w:r>
          </w:p>
        </w:tc>
        <w:tc>
          <w:tcPr>
            <w:tcW w:w="80" w:type="dxa"/>
            <w:vAlign w:val="bottom"/>
            <w:tcBorders>
              <w:top w:val="single" w:sz="8" w:color="D0EBF2"/>
            </w:tcBorders>
            <w:shd w:val="clear" w:color="auto" w:fill="D0EBF2"/>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60" w:type="dxa"/>
            <w:vAlign w:val="bottom"/>
            <w:shd w:val="clear" w:color="auto" w:fill="FDFDFC"/>
          </w:tcPr>
          <w:p>
            <w:pPr>
              <w:spacing w:after="0"/>
              <w:rPr>
                <w:sz w:val="20"/>
                <w:szCs w:val="20"/>
                <w:color w:val="auto"/>
              </w:rPr>
            </w:pPr>
            <w:r>
              <w:rPr>
                <w:rFonts w:ascii="Times New Roman" w:cs="Times New Roman" w:eastAsia="Times New Roman" w:hAnsi="Times New Roman"/>
                <w:sz w:val="19"/>
                <w:szCs w:val="19"/>
                <w:color w:val="231F20"/>
              </w:rPr>
              <w:t>Alpha Midco, Inc. - Delayed Draw &amp; Revolver</w:t>
            </w:r>
          </w:p>
        </w:tc>
        <w:tc>
          <w:tcPr>
            <w:tcW w:w="120" w:type="dxa"/>
            <w:vAlign w:val="bottom"/>
            <w:shd w:val="clear" w:color="auto" w:fill="FDFDFC"/>
          </w:tcPr>
          <w:p>
            <w:pPr>
              <w:spacing w:after="0"/>
              <w:rPr>
                <w:sz w:val="20"/>
                <w:szCs w:val="20"/>
                <w:color w:val="auto"/>
              </w:rPr>
            </w:pPr>
          </w:p>
        </w:tc>
        <w:tc>
          <w:tcPr>
            <w:tcW w:w="140" w:type="dxa"/>
            <w:vAlign w:val="bottom"/>
            <w:shd w:val="clear" w:color="auto" w:fill="FDFDFC"/>
          </w:tcPr>
          <w:p>
            <w:pPr>
              <w:spacing w:after="0"/>
              <w:rPr>
                <w:sz w:val="20"/>
                <w:szCs w:val="20"/>
                <w:color w:val="auto"/>
              </w:rPr>
            </w:pPr>
          </w:p>
        </w:tc>
        <w:tc>
          <w:tcPr>
            <w:tcW w:w="1460" w:type="dxa"/>
            <w:vAlign w:val="bottom"/>
            <w:shd w:val="clear" w:color="auto" w:fill="FDFDFC"/>
          </w:tcPr>
          <w:p>
            <w:pPr>
              <w:jc w:val="right"/>
              <w:spacing w:after="0"/>
              <w:rPr>
                <w:sz w:val="20"/>
                <w:szCs w:val="20"/>
                <w:color w:val="auto"/>
              </w:rPr>
            </w:pPr>
            <w:r>
              <w:rPr>
                <w:rFonts w:ascii="Times New Roman" w:cs="Times New Roman" w:eastAsia="Times New Roman" w:hAnsi="Times New Roman"/>
                <w:sz w:val="19"/>
                <w:szCs w:val="19"/>
                <w:color w:val="231F20"/>
              </w:rPr>
              <w:t>0.5</w:t>
            </w:r>
          </w:p>
        </w:tc>
        <w:tc>
          <w:tcPr>
            <w:tcW w:w="180" w:type="dxa"/>
            <w:vAlign w:val="bottom"/>
            <w:shd w:val="clear" w:color="auto" w:fill="FDFDFC"/>
          </w:tcPr>
          <w:p>
            <w:pPr>
              <w:spacing w:after="0"/>
              <w:rPr>
                <w:sz w:val="20"/>
                <w:szCs w:val="20"/>
                <w:color w:val="auto"/>
              </w:rPr>
            </w:pPr>
          </w:p>
        </w:tc>
        <w:tc>
          <w:tcPr>
            <w:tcW w:w="180" w:type="dxa"/>
            <w:vAlign w:val="bottom"/>
            <w:shd w:val="clear" w:color="auto" w:fill="FDFDFC"/>
          </w:tcPr>
          <w:p>
            <w:pPr>
              <w:spacing w:after="0"/>
              <w:rPr>
                <w:sz w:val="20"/>
                <w:szCs w:val="20"/>
                <w:color w:val="auto"/>
              </w:rPr>
            </w:pPr>
          </w:p>
        </w:tc>
        <w:tc>
          <w:tcPr>
            <w:tcW w:w="1540" w:type="dxa"/>
            <w:vAlign w:val="bottom"/>
            <w:shd w:val="clear" w:color="auto" w:fill="FDFDFC"/>
          </w:tcPr>
          <w:p>
            <w:pPr>
              <w:jc w:val="right"/>
              <w:spacing w:after="0"/>
              <w:rPr>
                <w:sz w:val="20"/>
                <w:szCs w:val="20"/>
                <w:color w:val="auto"/>
              </w:rPr>
            </w:pPr>
            <w:r>
              <w:rPr>
                <w:rFonts w:ascii="Times New Roman" w:cs="Times New Roman" w:eastAsia="Times New Roman" w:hAnsi="Times New Roman"/>
                <w:sz w:val="19"/>
                <w:szCs w:val="19"/>
                <w:color w:val="231F20"/>
              </w:rPr>
              <w:t>0.5</w:t>
            </w:r>
          </w:p>
        </w:tc>
        <w:tc>
          <w:tcPr>
            <w:tcW w:w="80" w:type="dxa"/>
            <w:vAlign w:val="bottom"/>
            <w:shd w:val="clear" w:color="auto" w:fill="FDFD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460" w:type="dxa"/>
            <w:vAlign w:val="bottom"/>
            <w:shd w:val="clear" w:color="auto" w:fill="D0EBF2"/>
          </w:tcPr>
          <w:p>
            <w:pPr>
              <w:spacing w:after="0"/>
              <w:rPr>
                <w:sz w:val="20"/>
                <w:szCs w:val="20"/>
                <w:color w:val="auto"/>
              </w:rPr>
            </w:pPr>
            <w:r>
              <w:rPr>
                <w:rFonts w:ascii="Times New Roman" w:cs="Times New Roman" w:eastAsia="Times New Roman" w:hAnsi="Times New Roman"/>
                <w:sz w:val="19"/>
                <w:szCs w:val="19"/>
                <w:color w:val="231F20"/>
              </w:rPr>
              <w:t>American Achievement, Corp. - Revolver</w:t>
            </w:r>
          </w:p>
        </w:tc>
        <w:tc>
          <w:tcPr>
            <w:tcW w:w="120" w:type="dxa"/>
            <w:vAlign w:val="bottom"/>
            <w:shd w:val="clear" w:color="auto" w:fill="D0EBF2"/>
          </w:tcPr>
          <w:p>
            <w:pPr>
              <w:spacing w:after="0"/>
              <w:rPr>
                <w:sz w:val="20"/>
                <w:szCs w:val="20"/>
                <w:color w:val="auto"/>
              </w:rPr>
            </w:pPr>
          </w:p>
        </w:tc>
        <w:tc>
          <w:tcPr>
            <w:tcW w:w="140" w:type="dxa"/>
            <w:vAlign w:val="bottom"/>
            <w:shd w:val="clear" w:color="auto" w:fill="D0EBF2"/>
          </w:tcPr>
          <w:p>
            <w:pPr>
              <w:spacing w:after="0"/>
              <w:rPr>
                <w:sz w:val="20"/>
                <w:szCs w:val="20"/>
                <w:color w:val="auto"/>
              </w:rPr>
            </w:pPr>
          </w:p>
        </w:tc>
        <w:tc>
          <w:tcPr>
            <w:tcW w:w="1460" w:type="dxa"/>
            <w:vAlign w:val="bottom"/>
            <w:shd w:val="clear" w:color="auto" w:fill="D0EBF2"/>
          </w:tcPr>
          <w:p>
            <w:pPr>
              <w:jc w:val="right"/>
              <w:spacing w:after="0"/>
              <w:rPr>
                <w:sz w:val="20"/>
                <w:szCs w:val="20"/>
                <w:color w:val="auto"/>
              </w:rPr>
            </w:pPr>
            <w:r>
              <w:rPr>
                <w:rFonts w:ascii="Times New Roman" w:cs="Times New Roman" w:eastAsia="Times New Roman" w:hAnsi="Times New Roman"/>
                <w:sz w:val="19"/>
                <w:szCs w:val="19"/>
                <w:color w:val="231F20"/>
              </w:rPr>
              <w:t>2.4</w:t>
            </w:r>
          </w:p>
        </w:tc>
        <w:tc>
          <w:tcPr>
            <w:tcW w:w="180" w:type="dxa"/>
            <w:vAlign w:val="bottom"/>
            <w:shd w:val="clear" w:color="auto" w:fill="D0EBF2"/>
          </w:tcPr>
          <w:p>
            <w:pPr>
              <w:spacing w:after="0"/>
              <w:rPr>
                <w:sz w:val="20"/>
                <w:szCs w:val="20"/>
                <w:color w:val="auto"/>
              </w:rPr>
            </w:pPr>
          </w:p>
        </w:tc>
        <w:tc>
          <w:tcPr>
            <w:tcW w:w="180" w:type="dxa"/>
            <w:vAlign w:val="bottom"/>
            <w:shd w:val="clear" w:color="auto" w:fill="D0EBF2"/>
          </w:tcPr>
          <w:p>
            <w:pPr>
              <w:spacing w:after="0"/>
              <w:rPr>
                <w:sz w:val="20"/>
                <w:szCs w:val="20"/>
                <w:color w:val="auto"/>
              </w:rPr>
            </w:pPr>
          </w:p>
        </w:tc>
        <w:tc>
          <w:tcPr>
            <w:tcW w:w="1540" w:type="dxa"/>
            <w:vAlign w:val="bottom"/>
            <w:shd w:val="clear" w:color="auto" w:fill="D0EBF2"/>
          </w:tcPr>
          <w:p>
            <w:pPr>
              <w:jc w:val="right"/>
              <w:spacing w:after="0"/>
              <w:rPr>
                <w:sz w:val="20"/>
                <w:szCs w:val="20"/>
                <w:color w:val="auto"/>
              </w:rPr>
            </w:pPr>
            <w:r>
              <w:rPr>
                <w:rFonts w:ascii="Times New Roman" w:cs="Times New Roman" w:eastAsia="Times New Roman" w:hAnsi="Times New Roman"/>
                <w:sz w:val="19"/>
                <w:szCs w:val="19"/>
                <w:color w:val="231F20"/>
              </w:rPr>
              <w:t>2.4</w:t>
            </w:r>
          </w:p>
        </w:tc>
        <w:tc>
          <w:tcPr>
            <w:tcW w:w="80" w:type="dxa"/>
            <w:vAlign w:val="bottom"/>
            <w:shd w:val="clear" w:color="auto" w:fill="D0EBF2"/>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460" w:type="dxa"/>
            <w:vAlign w:val="bottom"/>
            <w:shd w:val="clear" w:color="auto" w:fill="FDFDFC"/>
          </w:tcPr>
          <w:p>
            <w:pPr>
              <w:spacing w:after="0"/>
              <w:rPr>
                <w:sz w:val="20"/>
                <w:szCs w:val="20"/>
                <w:color w:val="auto"/>
              </w:rPr>
            </w:pPr>
            <w:r>
              <w:rPr>
                <w:rFonts w:ascii="Times New Roman" w:cs="Times New Roman" w:eastAsia="Times New Roman" w:hAnsi="Times New Roman"/>
                <w:sz w:val="19"/>
                <w:szCs w:val="19"/>
                <w:color w:val="231F20"/>
              </w:rPr>
              <w:t>Apellis Pharmaceuticals, Inc. - Delayed Draw</w:t>
            </w:r>
          </w:p>
        </w:tc>
        <w:tc>
          <w:tcPr>
            <w:tcW w:w="120" w:type="dxa"/>
            <w:vAlign w:val="bottom"/>
            <w:shd w:val="clear" w:color="auto" w:fill="FDFDFC"/>
          </w:tcPr>
          <w:p>
            <w:pPr>
              <w:spacing w:after="0"/>
              <w:rPr>
                <w:sz w:val="20"/>
                <w:szCs w:val="20"/>
                <w:color w:val="auto"/>
              </w:rPr>
            </w:pPr>
          </w:p>
        </w:tc>
        <w:tc>
          <w:tcPr>
            <w:tcW w:w="140" w:type="dxa"/>
            <w:vAlign w:val="bottom"/>
            <w:shd w:val="clear" w:color="auto" w:fill="FDFDFC"/>
          </w:tcPr>
          <w:p>
            <w:pPr>
              <w:spacing w:after="0"/>
              <w:rPr>
                <w:sz w:val="20"/>
                <w:szCs w:val="20"/>
                <w:color w:val="auto"/>
              </w:rPr>
            </w:pPr>
          </w:p>
        </w:tc>
        <w:tc>
          <w:tcPr>
            <w:tcW w:w="1460" w:type="dxa"/>
            <w:vAlign w:val="bottom"/>
            <w:shd w:val="clear" w:color="auto" w:fill="FDFDFC"/>
          </w:tcPr>
          <w:p>
            <w:pPr>
              <w:jc w:val="right"/>
              <w:spacing w:after="0"/>
              <w:rPr>
                <w:sz w:val="20"/>
                <w:szCs w:val="20"/>
                <w:color w:val="auto"/>
              </w:rPr>
            </w:pPr>
            <w:r>
              <w:rPr>
                <w:rFonts w:ascii="Times New Roman" w:cs="Times New Roman" w:eastAsia="Times New Roman" w:hAnsi="Times New Roman"/>
                <w:sz w:val="19"/>
                <w:szCs w:val="19"/>
                <w:color w:val="231F20"/>
              </w:rPr>
              <w:t>5.3</w:t>
            </w:r>
          </w:p>
        </w:tc>
        <w:tc>
          <w:tcPr>
            <w:tcW w:w="180" w:type="dxa"/>
            <w:vAlign w:val="bottom"/>
            <w:shd w:val="clear" w:color="auto" w:fill="FDFDFC"/>
          </w:tcPr>
          <w:p>
            <w:pPr>
              <w:spacing w:after="0"/>
              <w:rPr>
                <w:sz w:val="20"/>
                <w:szCs w:val="20"/>
                <w:color w:val="auto"/>
              </w:rPr>
            </w:pPr>
          </w:p>
        </w:tc>
        <w:tc>
          <w:tcPr>
            <w:tcW w:w="180" w:type="dxa"/>
            <w:vAlign w:val="bottom"/>
            <w:shd w:val="clear" w:color="auto" w:fill="FDFDFC"/>
          </w:tcPr>
          <w:p>
            <w:pPr>
              <w:spacing w:after="0"/>
              <w:rPr>
                <w:sz w:val="20"/>
                <w:szCs w:val="20"/>
                <w:color w:val="auto"/>
              </w:rPr>
            </w:pPr>
          </w:p>
        </w:tc>
        <w:tc>
          <w:tcPr>
            <w:tcW w:w="1620" w:type="dxa"/>
            <w:vAlign w:val="bottom"/>
            <w:gridSpan w:val="2"/>
            <w:shd w:val="clear" w:color="auto" w:fill="FDFDFC"/>
          </w:tcPr>
          <w:p>
            <w:pPr>
              <w:jc w:val="right"/>
              <w:ind w:right="100"/>
              <w:spacing w:after="0"/>
              <w:rPr>
                <w:sz w:val="20"/>
                <w:szCs w:val="20"/>
                <w:color w:val="auto"/>
              </w:rPr>
            </w:pPr>
            <w:r>
              <w:rPr>
                <w:rFonts w:ascii="Times New Roman" w:cs="Times New Roman" w:eastAsia="Times New Roman" w:hAnsi="Times New Roman"/>
                <w:sz w:val="19"/>
                <w:szCs w:val="19"/>
                <w:color w:val="231F20"/>
              </w:rPr>
              <w:t>—</w:t>
            </w:r>
          </w:p>
        </w:tc>
        <w:tc>
          <w:tcPr>
            <w:tcW w:w="0" w:type="dxa"/>
            <w:vAlign w:val="bottom"/>
          </w:tcPr>
          <w:p>
            <w:pPr>
              <w:spacing w:after="0"/>
              <w:rPr>
                <w:sz w:val="1"/>
                <w:szCs w:val="1"/>
                <w:color w:val="auto"/>
              </w:rPr>
            </w:pPr>
          </w:p>
        </w:tc>
      </w:tr>
      <w:tr>
        <w:trPr>
          <w:trHeight w:val="230"/>
        </w:trPr>
        <w:tc>
          <w:tcPr>
            <w:tcW w:w="4460" w:type="dxa"/>
            <w:vAlign w:val="bottom"/>
            <w:shd w:val="clear" w:color="auto" w:fill="D0EBF2"/>
          </w:tcPr>
          <w:p>
            <w:pPr>
              <w:spacing w:after="0"/>
              <w:rPr>
                <w:sz w:val="20"/>
                <w:szCs w:val="20"/>
                <w:color w:val="auto"/>
              </w:rPr>
            </w:pPr>
            <w:r>
              <w:rPr>
                <w:rFonts w:ascii="Times New Roman" w:cs="Times New Roman" w:eastAsia="Times New Roman" w:hAnsi="Times New Roman"/>
                <w:sz w:val="19"/>
                <w:szCs w:val="19"/>
                <w:color w:val="231F20"/>
              </w:rPr>
              <w:t>Aptean, Inc. - Delayed Draw &amp; Revolver</w:t>
            </w:r>
          </w:p>
        </w:tc>
        <w:tc>
          <w:tcPr>
            <w:tcW w:w="120" w:type="dxa"/>
            <w:vAlign w:val="bottom"/>
            <w:shd w:val="clear" w:color="auto" w:fill="D0EBF2"/>
          </w:tcPr>
          <w:p>
            <w:pPr>
              <w:spacing w:after="0"/>
              <w:rPr>
                <w:sz w:val="20"/>
                <w:szCs w:val="20"/>
                <w:color w:val="auto"/>
              </w:rPr>
            </w:pPr>
          </w:p>
        </w:tc>
        <w:tc>
          <w:tcPr>
            <w:tcW w:w="140" w:type="dxa"/>
            <w:vAlign w:val="bottom"/>
            <w:shd w:val="clear" w:color="auto" w:fill="D0EBF2"/>
          </w:tcPr>
          <w:p>
            <w:pPr>
              <w:spacing w:after="0"/>
              <w:rPr>
                <w:sz w:val="20"/>
                <w:szCs w:val="20"/>
                <w:color w:val="auto"/>
              </w:rPr>
            </w:pPr>
          </w:p>
        </w:tc>
        <w:tc>
          <w:tcPr>
            <w:tcW w:w="1460" w:type="dxa"/>
            <w:vAlign w:val="bottom"/>
            <w:shd w:val="clear" w:color="auto" w:fill="D0EBF2"/>
          </w:tcPr>
          <w:p>
            <w:pPr>
              <w:jc w:val="right"/>
              <w:spacing w:after="0"/>
              <w:rPr>
                <w:sz w:val="20"/>
                <w:szCs w:val="20"/>
                <w:color w:val="auto"/>
              </w:rPr>
            </w:pPr>
            <w:r>
              <w:rPr>
                <w:rFonts w:ascii="Times New Roman" w:cs="Times New Roman" w:eastAsia="Times New Roman" w:hAnsi="Times New Roman"/>
                <w:sz w:val="19"/>
                <w:szCs w:val="19"/>
                <w:color w:val="231F20"/>
              </w:rPr>
              <w:t>1.1</w:t>
            </w:r>
          </w:p>
        </w:tc>
        <w:tc>
          <w:tcPr>
            <w:tcW w:w="180" w:type="dxa"/>
            <w:vAlign w:val="bottom"/>
            <w:shd w:val="clear" w:color="auto" w:fill="D0EBF2"/>
          </w:tcPr>
          <w:p>
            <w:pPr>
              <w:spacing w:after="0"/>
              <w:rPr>
                <w:sz w:val="20"/>
                <w:szCs w:val="20"/>
                <w:color w:val="auto"/>
              </w:rPr>
            </w:pPr>
          </w:p>
        </w:tc>
        <w:tc>
          <w:tcPr>
            <w:tcW w:w="180" w:type="dxa"/>
            <w:vAlign w:val="bottom"/>
            <w:shd w:val="clear" w:color="auto" w:fill="D0EBF2"/>
          </w:tcPr>
          <w:p>
            <w:pPr>
              <w:spacing w:after="0"/>
              <w:rPr>
                <w:sz w:val="20"/>
                <w:szCs w:val="20"/>
                <w:color w:val="auto"/>
              </w:rPr>
            </w:pPr>
          </w:p>
        </w:tc>
        <w:tc>
          <w:tcPr>
            <w:tcW w:w="1620" w:type="dxa"/>
            <w:vAlign w:val="bottom"/>
            <w:gridSpan w:val="2"/>
            <w:shd w:val="clear" w:color="auto" w:fill="D0EBF2"/>
          </w:tcPr>
          <w:p>
            <w:pPr>
              <w:jc w:val="right"/>
              <w:ind w:right="100"/>
              <w:spacing w:after="0"/>
              <w:rPr>
                <w:sz w:val="20"/>
                <w:szCs w:val="20"/>
                <w:color w:val="auto"/>
              </w:rPr>
            </w:pPr>
            <w:r>
              <w:rPr>
                <w:rFonts w:ascii="Times New Roman" w:cs="Times New Roman" w:eastAsia="Times New Roman" w:hAnsi="Times New Roman"/>
                <w:sz w:val="19"/>
                <w:szCs w:val="19"/>
                <w:color w:val="231F20"/>
              </w:rPr>
              <w:t>—</w:t>
            </w:r>
          </w:p>
        </w:tc>
        <w:tc>
          <w:tcPr>
            <w:tcW w:w="0" w:type="dxa"/>
            <w:vAlign w:val="bottom"/>
          </w:tcPr>
          <w:p>
            <w:pPr>
              <w:spacing w:after="0"/>
              <w:rPr>
                <w:sz w:val="1"/>
                <w:szCs w:val="1"/>
                <w:color w:val="auto"/>
              </w:rPr>
            </w:pPr>
          </w:p>
        </w:tc>
      </w:tr>
      <w:tr>
        <w:trPr>
          <w:trHeight w:val="230"/>
        </w:trPr>
        <w:tc>
          <w:tcPr>
            <w:tcW w:w="4460" w:type="dxa"/>
            <w:vAlign w:val="bottom"/>
            <w:shd w:val="clear" w:color="auto" w:fill="FDFDFC"/>
          </w:tcPr>
          <w:p>
            <w:pPr>
              <w:spacing w:after="0"/>
              <w:rPr>
                <w:sz w:val="20"/>
                <w:szCs w:val="20"/>
                <w:color w:val="auto"/>
              </w:rPr>
            </w:pPr>
            <w:r>
              <w:rPr>
                <w:rFonts w:ascii="Times New Roman" w:cs="Times New Roman" w:eastAsia="Times New Roman" w:hAnsi="Times New Roman"/>
                <w:sz w:val="19"/>
                <w:szCs w:val="19"/>
                <w:color w:val="231F20"/>
              </w:rPr>
              <w:t>Arrow Buyer, Inc. - Delayed Draw</w:t>
            </w:r>
          </w:p>
        </w:tc>
        <w:tc>
          <w:tcPr>
            <w:tcW w:w="120" w:type="dxa"/>
            <w:vAlign w:val="bottom"/>
            <w:shd w:val="clear" w:color="auto" w:fill="FDFDFC"/>
          </w:tcPr>
          <w:p>
            <w:pPr>
              <w:spacing w:after="0"/>
              <w:rPr>
                <w:sz w:val="20"/>
                <w:szCs w:val="20"/>
                <w:color w:val="auto"/>
              </w:rPr>
            </w:pPr>
          </w:p>
        </w:tc>
        <w:tc>
          <w:tcPr>
            <w:tcW w:w="140" w:type="dxa"/>
            <w:vAlign w:val="bottom"/>
            <w:shd w:val="clear" w:color="auto" w:fill="FDFDFC"/>
          </w:tcPr>
          <w:p>
            <w:pPr>
              <w:spacing w:after="0"/>
              <w:rPr>
                <w:sz w:val="20"/>
                <w:szCs w:val="20"/>
                <w:color w:val="auto"/>
              </w:rPr>
            </w:pPr>
          </w:p>
        </w:tc>
        <w:tc>
          <w:tcPr>
            <w:tcW w:w="1460" w:type="dxa"/>
            <w:vAlign w:val="bottom"/>
            <w:shd w:val="clear" w:color="auto" w:fill="FDFDFC"/>
          </w:tcPr>
          <w:p>
            <w:pPr>
              <w:jc w:val="right"/>
              <w:spacing w:after="0"/>
              <w:rPr>
                <w:sz w:val="20"/>
                <w:szCs w:val="20"/>
                <w:color w:val="auto"/>
              </w:rPr>
            </w:pPr>
            <w:r>
              <w:rPr>
                <w:rFonts w:ascii="Times New Roman" w:cs="Times New Roman" w:eastAsia="Times New Roman" w:hAnsi="Times New Roman"/>
                <w:sz w:val="19"/>
                <w:szCs w:val="19"/>
                <w:color w:val="231F20"/>
              </w:rPr>
              <w:t>5.5</w:t>
            </w:r>
          </w:p>
        </w:tc>
        <w:tc>
          <w:tcPr>
            <w:tcW w:w="180" w:type="dxa"/>
            <w:vAlign w:val="bottom"/>
            <w:shd w:val="clear" w:color="auto" w:fill="FDFDFC"/>
          </w:tcPr>
          <w:p>
            <w:pPr>
              <w:spacing w:after="0"/>
              <w:rPr>
                <w:sz w:val="20"/>
                <w:szCs w:val="20"/>
                <w:color w:val="auto"/>
              </w:rPr>
            </w:pPr>
          </w:p>
        </w:tc>
        <w:tc>
          <w:tcPr>
            <w:tcW w:w="180" w:type="dxa"/>
            <w:vAlign w:val="bottom"/>
            <w:shd w:val="clear" w:color="auto" w:fill="FDFDFC"/>
          </w:tcPr>
          <w:p>
            <w:pPr>
              <w:spacing w:after="0"/>
              <w:rPr>
                <w:sz w:val="20"/>
                <w:szCs w:val="20"/>
                <w:color w:val="auto"/>
              </w:rPr>
            </w:pPr>
          </w:p>
        </w:tc>
        <w:tc>
          <w:tcPr>
            <w:tcW w:w="1540" w:type="dxa"/>
            <w:vAlign w:val="bottom"/>
            <w:shd w:val="clear" w:color="auto" w:fill="FDFDFC"/>
          </w:tcPr>
          <w:p>
            <w:pPr>
              <w:jc w:val="right"/>
              <w:spacing w:after="0"/>
              <w:rPr>
                <w:sz w:val="20"/>
                <w:szCs w:val="20"/>
                <w:color w:val="auto"/>
              </w:rPr>
            </w:pPr>
            <w:r>
              <w:rPr>
                <w:rFonts w:ascii="Times New Roman" w:cs="Times New Roman" w:eastAsia="Times New Roman" w:hAnsi="Times New Roman"/>
                <w:sz w:val="19"/>
                <w:szCs w:val="19"/>
                <w:color w:val="231F20"/>
              </w:rPr>
              <w:t>7.6</w:t>
            </w:r>
          </w:p>
        </w:tc>
        <w:tc>
          <w:tcPr>
            <w:tcW w:w="80" w:type="dxa"/>
            <w:vAlign w:val="bottom"/>
            <w:shd w:val="clear" w:color="auto" w:fill="FDFD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460" w:type="dxa"/>
            <w:vAlign w:val="bottom"/>
            <w:shd w:val="clear" w:color="auto" w:fill="D0EBF2"/>
          </w:tcPr>
          <w:p>
            <w:pPr>
              <w:spacing w:after="0"/>
              <w:rPr>
                <w:sz w:val="20"/>
                <w:szCs w:val="20"/>
                <w:color w:val="auto"/>
              </w:rPr>
            </w:pPr>
            <w:r>
              <w:rPr>
                <w:rFonts w:ascii="Times New Roman" w:cs="Times New Roman" w:eastAsia="Times New Roman" w:hAnsi="Times New Roman"/>
                <w:sz w:val="19"/>
                <w:szCs w:val="19"/>
                <w:color w:val="231F20"/>
              </w:rPr>
              <w:t>Arrowhead Pharmaceuticals, Inc. - Delayed Draw</w:t>
            </w:r>
          </w:p>
        </w:tc>
        <w:tc>
          <w:tcPr>
            <w:tcW w:w="120" w:type="dxa"/>
            <w:vAlign w:val="bottom"/>
            <w:shd w:val="clear" w:color="auto" w:fill="D0EBF2"/>
          </w:tcPr>
          <w:p>
            <w:pPr>
              <w:spacing w:after="0"/>
              <w:rPr>
                <w:sz w:val="20"/>
                <w:szCs w:val="20"/>
                <w:color w:val="auto"/>
              </w:rPr>
            </w:pPr>
          </w:p>
        </w:tc>
        <w:tc>
          <w:tcPr>
            <w:tcW w:w="140" w:type="dxa"/>
            <w:vAlign w:val="bottom"/>
            <w:shd w:val="clear" w:color="auto" w:fill="D0EBF2"/>
          </w:tcPr>
          <w:p>
            <w:pPr>
              <w:spacing w:after="0"/>
              <w:rPr>
                <w:sz w:val="20"/>
                <w:szCs w:val="20"/>
                <w:color w:val="auto"/>
              </w:rPr>
            </w:pPr>
          </w:p>
        </w:tc>
        <w:tc>
          <w:tcPr>
            <w:tcW w:w="1460" w:type="dxa"/>
            <w:vAlign w:val="bottom"/>
            <w:shd w:val="clear" w:color="auto" w:fill="D0EBF2"/>
          </w:tcPr>
          <w:p>
            <w:pPr>
              <w:jc w:val="right"/>
              <w:spacing w:after="0"/>
              <w:rPr>
                <w:sz w:val="20"/>
                <w:szCs w:val="20"/>
                <w:color w:val="auto"/>
              </w:rPr>
            </w:pPr>
            <w:r>
              <w:rPr>
                <w:rFonts w:ascii="Times New Roman" w:cs="Times New Roman" w:eastAsia="Times New Roman" w:hAnsi="Times New Roman"/>
                <w:sz w:val="19"/>
                <w:szCs w:val="19"/>
                <w:color w:val="231F20"/>
              </w:rPr>
              <w:t>32.0</w:t>
            </w:r>
          </w:p>
        </w:tc>
        <w:tc>
          <w:tcPr>
            <w:tcW w:w="180" w:type="dxa"/>
            <w:vAlign w:val="bottom"/>
            <w:shd w:val="clear" w:color="auto" w:fill="D0EBF2"/>
          </w:tcPr>
          <w:p>
            <w:pPr>
              <w:spacing w:after="0"/>
              <w:rPr>
                <w:sz w:val="20"/>
                <w:szCs w:val="20"/>
                <w:color w:val="auto"/>
              </w:rPr>
            </w:pPr>
          </w:p>
        </w:tc>
        <w:tc>
          <w:tcPr>
            <w:tcW w:w="180" w:type="dxa"/>
            <w:vAlign w:val="bottom"/>
            <w:shd w:val="clear" w:color="auto" w:fill="D0EBF2"/>
          </w:tcPr>
          <w:p>
            <w:pPr>
              <w:spacing w:after="0"/>
              <w:rPr>
                <w:sz w:val="20"/>
                <w:szCs w:val="20"/>
                <w:color w:val="auto"/>
              </w:rPr>
            </w:pPr>
          </w:p>
        </w:tc>
        <w:tc>
          <w:tcPr>
            <w:tcW w:w="1620" w:type="dxa"/>
            <w:vAlign w:val="bottom"/>
            <w:gridSpan w:val="2"/>
            <w:shd w:val="clear" w:color="auto" w:fill="D0EBF2"/>
          </w:tcPr>
          <w:p>
            <w:pPr>
              <w:jc w:val="right"/>
              <w:ind w:right="100"/>
              <w:spacing w:after="0"/>
              <w:rPr>
                <w:sz w:val="20"/>
                <w:szCs w:val="20"/>
                <w:color w:val="auto"/>
              </w:rPr>
            </w:pPr>
            <w:r>
              <w:rPr>
                <w:rFonts w:ascii="Times New Roman" w:cs="Times New Roman" w:eastAsia="Times New Roman" w:hAnsi="Times New Roman"/>
                <w:sz w:val="19"/>
                <w:szCs w:val="19"/>
                <w:color w:val="231F20"/>
              </w:rPr>
              <w:t>—</w:t>
            </w:r>
          </w:p>
        </w:tc>
        <w:tc>
          <w:tcPr>
            <w:tcW w:w="0" w:type="dxa"/>
            <w:vAlign w:val="bottom"/>
          </w:tcPr>
          <w:p>
            <w:pPr>
              <w:spacing w:after="0"/>
              <w:rPr>
                <w:sz w:val="1"/>
                <w:szCs w:val="1"/>
                <w:color w:val="auto"/>
              </w:rPr>
            </w:pPr>
          </w:p>
        </w:tc>
      </w:tr>
      <w:tr>
        <w:trPr>
          <w:trHeight w:val="230"/>
        </w:trPr>
        <w:tc>
          <w:tcPr>
            <w:tcW w:w="4460" w:type="dxa"/>
            <w:vAlign w:val="bottom"/>
            <w:shd w:val="clear" w:color="auto" w:fill="FDFDFC"/>
          </w:tcPr>
          <w:p>
            <w:pPr>
              <w:spacing w:after="0"/>
              <w:rPr>
                <w:sz w:val="20"/>
                <w:szCs w:val="20"/>
                <w:color w:val="auto"/>
              </w:rPr>
            </w:pPr>
            <w:r>
              <w:rPr>
                <w:rFonts w:ascii="Times New Roman" w:cs="Times New Roman" w:eastAsia="Times New Roman" w:hAnsi="Times New Roman"/>
                <w:sz w:val="19"/>
                <w:szCs w:val="19"/>
                <w:color w:val="231F20"/>
              </w:rPr>
              <w:t>Artisan Bidco, Inc. - Revolver</w:t>
            </w:r>
          </w:p>
        </w:tc>
        <w:tc>
          <w:tcPr>
            <w:tcW w:w="120" w:type="dxa"/>
            <w:vAlign w:val="bottom"/>
            <w:shd w:val="clear" w:color="auto" w:fill="FDFDFC"/>
          </w:tcPr>
          <w:p>
            <w:pPr>
              <w:spacing w:after="0"/>
              <w:rPr>
                <w:sz w:val="20"/>
                <w:szCs w:val="20"/>
                <w:color w:val="auto"/>
              </w:rPr>
            </w:pPr>
          </w:p>
        </w:tc>
        <w:tc>
          <w:tcPr>
            <w:tcW w:w="140" w:type="dxa"/>
            <w:vAlign w:val="bottom"/>
            <w:shd w:val="clear" w:color="auto" w:fill="FDFDFC"/>
          </w:tcPr>
          <w:p>
            <w:pPr>
              <w:spacing w:after="0"/>
              <w:rPr>
                <w:sz w:val="20"/>
                <w:szCs w:val="20"/>
                <w:color w:val="auto"/>
              </w:rPr>
            </w:pPr>
          </w:p>
        </w:tc>
        <w:tc>
          <w:tcPr>
            <w:tcW w:w="1460" w:type="dxa"/>
            <w:vAlign w:val="bottom"/>
            <w:shd w:val="clear" w:color="auto" w:fill="FDFDFC"/>
          </w:tcPr>
          <w:p>
            <w:pPr>
              <w:jc w:val="right"/>
              <w:spacing w:after="0"/>
              <w:rPr>
                <w:sz w:val="20"/>
                <w:szCs w:val="20"/>
                <w:color w:val="auto"/>
              </w:rPr>
            </w:pPr>
            <w:r>
              <w:rPr>
                <w:rFonts w:ascii="Times New Roman" w:cs="Times New Roman" w:eastAsia="Times New Roman" w:hAnsi="Times New Roman"/>
                <w:sz w:val="19"/>
                <w:szCs w:val="19"/>
                <w:color w:val="231F20"/>
              </w:rPr>
              <w:t>5.7</w:t>
            </w:r>
          </w:p>
        </w:tc>
        <w:tc>
          <w:tcPr>
            <w:tcW w:w="180" w:type="dxa"/>
            <w:vAlign w:val="bottom"/>
            <w:shd w:val="clear" w:color="auto" w:fill="FDFDFC"/>
          </w:tcPr>
          <w:p>
            <w:pPr>
              <w:spacing w:after="0"/>
              <w:rPr>
                <w:sz w:val="20"/>
                <w:szCs w:val="20"/>
                <w:color w:val="auto"/>
              </w:rPr>
            </w:pPr>
          </w:p>
        </w:tc>
        <w:tc>
          <w:tcPr>
            <w:tcW w:w="180" w:type="dxa"/>
            <w:vAlign w:val="bottom"/>
            <w:shd w:val="clear" w:color="auto" w:fill="FDFDFC"/>
          </w:tcPr>
          <w:p>
            <w:pPr>
              <w:spacing w:after="0"/>
              <w:rPr>
                <w:sz w:val="20"/>
                <w:szCs w:val="20"/>
                <w:color w:val="auto"/>
              </w:rPr>
            </w:pPr>
          </w:p>
        </w:tc>
        <w:tc>
          <w:tcPr>
            <w:tcW w:w="1540" w:type="dxa"/>
            <w:vAlign w:val="bottom"/>
            <w:shd w:val="clear" w:color="auto" w:fill="FDFDFC"/>
          </w:tcPr>
          <w:p>
            <w:pPr>
              <w:jc w:val="right"/>
              <w:spacing w:after="0"/>
              <w:rPr>
                <w:sz w:val="20"/>
                <w:szCs w:val="20"/>
                <w:color w:val="auto"/>
              </w:rPr>
            </w:pPr>
            <w:r>
              <w:rPr>
                <w:rFonts w:ascii="Times New Roman" w:cs="Times New Roman" w:eastAsia="Times New Roman" w:hAnsi="Times New Roman"/>
                <w:sz w:val="19"/>
                <w:szCs w:val="19"/>
                <w:color w:val="231F20"/>
              </w:rPr>
              <w:t>5.7</w:t>
            </w:r>
          </w:p>
        </w:tc>
        <w:tc>
          <w:tcPr>
            <w:tcW w:w="80" w:type="dxa"/>
            <w:vAlign w:val="bottom"/>
            <w:shd w:val="clear" w:color="auto" w:fill="FDFD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460" w:type="dxa"/>
            <w:vAlign w:val="bottom"/>
            <w:shd w:val="clear" w:color="auto" w:fill="D0EBF2"/>
          </w:tcPr>
          <w:p>
            <w:pPr>
              <w:spacing w:after="0"/>
              <w:rPr>
                <w:sz w:val="20"/>
                <w:szCs w:val="20"/>
                <w:color w:val="auto"/>
              </w:rPr>
            </w:pPr>
            <w:r>
              <w:rPr>
                <w:rFonts w:ascii="Times New Roman" w:cs="Times New Roman" w:eastAsia="Times New Roman" w:hAnsi="Times New Roman"/>
                <w:sz w:val="19"/>
                <w:szCs w:val="19"/>
                <w:color w:val="231F20"/>
              </w:rPr>
              <w:t>ASG II, LLC - Delayed Draw</w:t>
            </w:r>
          </w:p>
        </w:tc>
        <w:tc>
          <w:tcPr>
            <w:tcW w:w="120" w:type="dxa"/>
            <w:vAlign w:val="bottom"/>
            <w:shd w:val="clear" w:color="auto" w:fill="D0EBF2"/>
          </w:tcPr>
          <w:p>
            <w:pPr>
              <w:spacing w:after="0"/>
              <w:rPr>
                <w:sz w:val="20"/>
                <w:szCs w:val="20"/>
                <w:color w:val="auto"/>
              </w:rPr>
            </w:pPr>
          </w:p>
        </w:tc>
        <w:tc>
          <w:tcPr>
            <w:tcW w:w="140" w:type="dxa"/>
            <w:vAlign w:val="bottom"/>
            <w:shd w:val="clear" w:color="auto" w:fill="D0EBF2"/>
          </w:tcPr>
          <w:p>
            <w:pPr>
              <w:spacing w:after="0"/>
              <w:rPr>
                <w:sz w:val="20"/>
                <w:szCs w:val="20"/>
                <w:color w:val="auto"/>
              </w:rPr>
            </w:pPr>
          </w:p>
        </w:tc>
        <w:tc>
          <w:tcPr>
            <w:tcW w:w="1460" w:type="dxa"/>
            <w:vAlign w:val="bottom"/>
            <w:shd w:val="clear" w:color="auto" w:fill="D0EBF2"/>
          </w:tcPr>
          <w:p>
            <w:pPr>
              <w:jc w:val="right"/>
              <w:spacing w:after="0"/>
              <w:rPr>
                <w:sz w:val="20"/>
                <w:szCs w:val="20"/>
                <w:color w:val="auto"/>
              </w:rPr>
            </w:pPr>
            <w:r>
              <w:rPr>
                <w:rFonts w:ascii="Times New Roman" w:cs="Times New Roman" w:eastAsia="Times New Roman" w:hAnsi="Times New Roman"/>
                <w:sz w:val="19"/>
                <w:szCs w:val="19"/>
                <w:color w:val="231F20"/>
              </w:rPr>
              <w:t>—</w:t>
            </w:r>
          </w:p>
        </w:tc>
        <w:tc>
          <w:tcPr>
            <w:tcW w:w="180" w:type="dxa"/>
            <w:vAlign w:val="bottom"/>
            <w:shd w:val="clear" w:color="auto" w:fill="D0EBF2"/>
          </w:tcPr>
          <w:p>
            <w:pPr>
              <w:spacing w:after="0"/>
              <w:rPr>
                <w:sz w:val="20"/>
                <w:szCs w:val="20"/>
                <w:color w:val="auto"/>
              </w:rPr>
            </w:pPr>
          </w:p>
        </w:tc>
        <w:tc>
          <w:tcPr>
            <w:tcW w:w="180" w:type="dxa"/>
            <w:vAlign w:val="bottom"/>
            <w:shd w:val="clear" w:color="auto" w:fill="D0EBF2"/>
          </w:tcPr>
          <w:p>
            <w:pPr>
              <w:spacing w:after="0"/>
              <w:rPr>
                <w:sz w:val="20"/>
                <w:szCs w:val="20"/>
                <w:color w:val="auto"/>
              </w:rPr>
            </w:pPr>
          </w:p>
        </w:tc>
        <w:tc>
          <w:tcPr>
            <w:tcW w:w="1540" w:type="dxa"/>
            <w:vAlign w:val="bottom"/>
            <w:shd w:val="clear" w:color="auto" w:fill="D0EBF2"/>
          </w:tcPr>
          <w:p>
            <w:pPr>
              <w:jc w:val="right"/>
              <w:spacing w:after="0"/>
              <w:rPr>
                <w:sz w:val="20"/>
                <w:szCs w:val="20"/>
                <w:color w:val="auto"/>
              </w:rPr>
            </w:pPr>
            <w:r>
              <w:rPr>
                <w:rFonts w:ascii="Times New Roman" w:cs="Times New Roman" w:eastAsia="Times New Roman" w:hAnsi="Times New Roman"/>
                <w:sz w:val="19"/>
                <w:szCs w:val="19"/>
                <w:color w:val="231F20"/>
              </w:rPr>
              <w:t>3.4</w:t>
            </w:r>
          </w:p>
        </w:tc>
        <w:tc>
          <w:tcPr>
            <w:tcW w:w="80" w:type="dxa"/>
            <w:vAlign w:val="bottom"/>
            <w:shd w:val="clear" w:color="auto" w:fill="D0EBF2"/>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460" w:type="dxa"/>
            <w:vAlign w:val="bottom"/>
            <w:shd w:val="clear" w:color="auto" w:fill="FDFDFC"/>
          </w:tcPr>
          <w:p>
            <w:pPr>
              <w:spacing w:after="0"/>
              <w:rPr>
                <w:sz w:val="20"/>
                <w:szCs w:val="20"/>
                <w:color w:val="auto"/>
              </w:rPr>
            </w:pPr>
            <w:r>
              <w:rPr>
                <w:rFonts w:ascii="Times New Roman" w:cs="Times New Roman" w:eastAsia="Times New Roman" w:hAnsi="Times New Roman"/>
                <w:sz w:val="19"/>
                <w:szCs w:val="19"/>
                <w:color w:val="231F20"/>
              </w:rPr>
              <w:t>Avalara, Inc. - Revolver</w:t>
            </w:r>
          </w:p>
        </w:tc>
        <w:tc>
          <w:tcPr>
            <w:tcW w:w="120" w:type="dxa"/>
            <w:vAlign w:val="bottom"/>
            <w:shd w:val="clear" w:color="auto" w:fill="FDFDFC"/>
          </w:tcPr>
          <w:p>
            <w:pPr>
              <w:spacing w:after="0"/>
              <w:rPr>
                <w:sz w:val="20"/>
                <w:szCs w:val="20"/>
                <w:color w:val="auto"/>
              </w:rPr>
            </w:pPr>
          </w:p>
        </w:tc>
        <w:tc>
          <w:tcPr>
            <w:tcW w:w="140" w:type="dxa"/>
            <w:vAlign w:val="bottom"/>
            <w:shd w:val="clear" w:color="auto" w:fill="FDFDFC"/>
          </w:tcPr>
          <w:p>
            <w:pPr>
              <w:spacing w:after="0"/>
              <w:rPr>
                <w:sz w:val="20"/>
                <w:szCs w:val="20"/>
                <w:color w:val="auto"/>
              </w:rPr>
            </w:pPr>
          </w:p>
        </w:tc>
        <w:tc>
          <w:tcPr>
            <w:tcW w:w="1460" w:type="dxa"/>
            <w:vAlign w:val="bottom"/>
            <w:shd w:val="clear" w:color="auto" w:fill="FDFDFC"/>
          </w:tcPr>
          <w:p>
            <w:pPr>
              <w:jc w:val="right"/>
              <w:spacing w:after="0"/>
              <w:rPr>
                <w:sz w:val="20"/>
                <w:szCs w:val="20"/>
                <w:color w:val="auto"/>
              </w:rPr>
            </w:pPr>
            <w:r>
              <w:rPr>
                <w:rFonts w:ascii="Times New Roman" w:cs="Times New Roman" w:eastAsia="Times New Roman" w:hAnsi="Times New Roman"/>
                <w:sz w:val="19"/>
                <w:szCs w:val="19"/>
                <w:color w:val="231F20"/>
              </w:rPr>
              <w:t>3.9</w:t>
            </w:r>
          </w:p>
        </w:tc>
        <w:tc>
          <w:tcPr>
            <w:tcW w:w="180" w:type="dxa"/>
            <w:vAlign w:val="bottom"/>
            <w:shd w:val="clear" w:color="auto" w:fill="FDFDFC"/>
          </w:tcPr>
          <w:p>
            <w:pPr>
              <w:spacing w:after="0"/>
              <w:rPr>
                <w:sz w:val="20"/>
                <w:szCs w:val="20"/>
                <w:color w:val="auto"/>
              </w:rPr>
            </w:pPr>
          </w:p>
        </w:tc>
        <w:tc>
          <w:tcPr>
            <w:tcW w:w="180" w:type="dxa"/>
            <w:vAlign w:val="bottom"/>
            <w:shd w:val="clear" w:color="auto" w:fill="FDFDFC"/>
          </w:tcPr>
          <w:p>
            <w:pPr>
              <w:spacing w:after="0"/>
              <w:rPr>
                <w:sz w:val="20"/>
                <w:szCs w:val="20"/>
                <w:color w:val="auto"/>
              </w:rPr>
            </w:pPr>
          </w:p>
        </w:tc>
        <w:tc>
          <w:tcPr>
            <w:tcW w:w="1540" w:type="dxa"/>
            <w:vAlign w:val="bottom"/>
            <w:shd w:val="clear" w:color="auto" w:fill="FDFDFC"/>
          </w:tcPr>
          <w:p>
            <w:pPr>
              <w:jc w:val="right"/>
              <w:spacing w:after="0"/>
              <w:rPr>
                <w:sz w:val="20"/>
                <w:szCs w:val="20"/>
                <w:color w:val="auto"/>
              </w:rPr>
            </w:pPr>
            <w:r>
              <w:rPr>
                <w:rFonts w:ascii="Times New Roman" w:cs="Times New Roman" w:eastAsia="Times New Roman" w:hAnsi="Times New Roman"/>
                <w:sz w:val="19"/>
                <w:szCs w:val="19"/>
                <w:color w:val="231F20"/>
              </w:rPr>
              <w:t>3.9</w:t>
            </w:r>
          </w:p>
        </w:tc>
        <w:tc>
          <w:tcPr>
            <w:tcW w:w="80" w:type="dxa"/>
            <w:vAlign w:val="bottom"/>
            <w:shd w:val="clear" w:color="auto" w:fill="FDFD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460" w:type="dxa"/>
            <w:vAlign w:val="bottom"/>
            <w:shd w:val="clear" w:color="auto" w:fill="D0EBF2"/>
          </w:tcPr>
          <w:p>
            <w:pPr>
              <w:spacing w:after="0"/>
              <w:rPr>
                <w:sz w:val="20"/>
                <w:szCs w:val="20"/>
                <w:color w:val="auto"/>
              </w:rPr>
            </w:pPr>
            <w:r>
              <w:rPr>
                <w:rFonts w:ascii="Times New Roman" w:cs="Times New Roman" w:eastAsia="Times New Roman" w:hAnsi="Times New Roman"/>
                <w:sz w:val="19"/>
                <w:szCs w:val="19"/>
                <w:color w:val="231F20"/>
              </w:rPr>
              <w:t>AVSC Holding Corp. - Revolver</w:t>
            </w:r>
          </w:p>
        </w:tc>
        <w:tc>
          <w:tcPr>
            <w:tcW w:w="120" w:type="dxa"/>
            <w:vAlign w:val="bottom"/>
            <w:shd w:val="clear" w:color="auto" w:fill="D0EBF2"/>
          </w:tcPr>
          <w:p>
            <w:pPr>
              <w:spacing w:after="0"/>
              <w:rPr>
                <w:sz w:val="20"/>
                <w:szCs w:val="20"/>
                <w:color w:val="auto"/>
              </w:rPr>
            </w:pPr>
          </w:p>
        </w:tc>
        <w:tc>
          <w:tcPr>
            <w:tcW w:w="140" w:type="dxa"/>
            <w:vAlign w:val="bottom"/>
            <w:shd w:val="clear" w:color="auto" w:fill="D0EBF2"/>
          </w:tcPr>
          <w:p>
            <w:pPr>
              <w:spacing w:after="0"/>
              <w:rPr>
                <w:sz w:val="20"/>
                <w:szCs w:val="20"/>
                <w:color w:val="auto"/>
              </w:rPr>
            </w:pPr>
          </w:p>
        </w:tc>
        <w:tc>
          <w:tcPr>
            <w:tcW w:w="1460" w:type="dxa"/>
            <w:vAlign w:val="bottom"/>
            <w:shd w:val="clear" w:color="auto" w:fill="D0EBF2"/>
          </w:tcPr>
          <w:p>
            <w:pPr>
              <w:jc w:val="right"/>
              <w:spacing w:after="0"/>
              <w:rPr>
                <w:sz w:val="20"/>
                <w:szCs w:val="20"/>
                <w:color w:val="auto"/>
              </w:rPr>
            </w:pPr>
            <w:r>
              <w:rPr>
                <w:rFonts w:ascii="Times New Roman" w:cs="Times New Roman" w:eastAsia="Times New Roman" w:hAnsi="Times New Roman"/>
                <w:sz w:val="19"/>
                <w:szCs w:val="19"/>
                <w:color w:val="231F20"/>
              </w:rPr>
              <w:t>4.8</w:t>
            </w:r>
          </w:p>
        </w:tc>
        <w:tc>
          <w:tcPr>
            <w:tcW w:w="180" w:type="dxa"/>
            <w:vAlign w:val="bottom"/>
            <w:shd w:val="clear" w:color="auto" w:fill="D0EBF2"/>
          </w:tcPr>
          <w:p>
            <w:pPr>
              <w:spacing w:after="0"/>
              <w:rPr>
                <w:sz w:val="20"/>
                <w:szCs w:val="20"/>
                <w:color w:val="auto"/>
              </w:rPr>
            </w:pPr>
          </w:p>
        </w:tc>
        <w:tc>
          <w:tcPr>
            <w:tcW w:w="180" w:type="dxa"/>
            <w:vAlign w:val="bottom"/>
            <w:shd w:val="clear" w:color="auto" w:fill="D0EBF2"/>
          </w:tcPr>
          <w:p>
            <w:pPr>
              <w:spacing w:after="0"/>
              <w:rPr>
                <w:sz w:val="20"/>
                <w:szCs w:val="20"/>
                <w:color w:val="auto"/>
              </w:rPr>
            </w:pPr>
          </w:p>
        </w:tc>
        <w:tc>
          <w:tcPr>
            <w:tcW w:w="1620" w:type="dxa"/>
            <w:vAlign w:val="bottom"/>
            <w:gridSpan w:val="2"/>
            <w:shd w:val="clear" w:color="auto" w:fill="D0EBF2"/>
          </w:tcPr>
          <w:p>
            <w:pPr>
              <w:jc w:val="right"/>
              <w:ind w:right="100"/>
              <w:spacing w:after="0"/>
              <w:rPr>
                <w:sz w:val="20"/>
                <w:szCs w:val="20"/>
                <w:color w:val="auto"/>
              </w:rPr>
            </w:pPr>
            <w:r>
              <w:rPr>
                <w:rFonts w:ascii="Times New Roman" w:cs="Times New Roman" w:eastAsia="Times New Roman" w:hAnsi="Times New Roman"/>
                <w:sz w:val="19"/>
                <w:szCs w:val="19"/>
                <w:color w:val="231F20"/>
              </w:rPr>
              <w:t>—</w:t>
            </w:r>
          </w:p>
        </w:tc>
        <w:tc>
          <w:tcPr>
            <w:tcW w:w="0" w:type="dxa"/>
            <w:vAlign w:val="bottom"/>
          </w:tcPr>
          <w:p>
            <w:pPr>
              <w:spacing w:after="0"/>
              <w:rPr>
                <w:sz w:val="1"/>
                <w:szCs w:val="1"/>
                <w:color w:val="auto"/>
              </w:rPr>
            </w:pPr>
          </w:p>
        </w:tc>
      </w:tr>
      <w:tr>
        <w:trPr>
          <w:trHeight w:val="230"/>
        </w:trPr>
        <w:tc>
          <w:tcPr>
            <w:tcW w:w="4460" w:type="dxa"/>
            <w:vAlign w:val="bottom"/>
            <w:shd w:val="clear" w:color="auto" w:fill="FDFDFC"/>
          </w:tcPr>
          <w:p>
            <w:pPr>
              <w:spacing w:after="0"/>
              <w:rPr>
                <w:sz w:val="20"/>
                <w:szCs w:val="20"/>
                <w:color w:val="auto"/>
              </w:rPr>
            </w:pPr>
            <w:r>
              <w:rPr>
                <w:rFonts w:ascii="Times New Roman" w:cs="Times New Roman" w:eastAsia="Times New Roman" w:hAnsi="Times New Roman"/>
                <w:sz w:val="19"/>
                <w:szCs w:val="19"/>
                <w:color w:val="231F20"/>
              </w:rPr>
              <w:t>Axonify, Inc. - Delayed Draw</w:t>
            </w:r>
          </w:p>
        </w:tc>
        <w:tc>
          <w:tcPr>
            <w:tcW w:w="120" w:type="dxa"/>
            <w:vAlign w:val="bottom"/>
            <w:shd w:val="clear" w:color="auto" w:fill="FDFDFC"/>
          </w:tcPr>
          <w:p>
            <w:pPr>
              <w:spacing w:after="0"/>
              <w:rPr>
                <w:sz w:val="20"/>
                <w:szCs w:val="20"/>
                <w:color w:val="auto"/>
              </w:rPr>
            </w:pPr>
          </w:p>
        </w:tc>
        <w:tc>
          <w:tcPr>
            <w:tcW w:w="140" w:type="dxa"/>
            <w:vAlign w:val="bottom"/>
            <w:shd w:val="clear" w:color="auto" w:fill="FDFDFC"/>
          </w:tcPr>
          <w:p>
            <w:pPr>
              <w:spacing w:after="0"/>
              <w:rPr>
                <w:sz w:val="20"/>
                <w:szCs w:val="20"/>
                <w:color w:val="auto"/>
              </w:rPr>
            </w:pPr>
          </w:p>
        </w:tc>
        <w:tc>
          <w:tcPr>
            <w:tcW w:w="1460" w:type="dxa"/>
            <w:vAlign w:val="bottom"/>
            <w:shd w:val="clear" w:color="auto" w:fill="FDFDFC"/>
          </w:tcPr>
          <w:p>
            <w:pPr>
              <w:jc w:val="right"/>
              <w:spacing w:after="0"/>
              <w:rPr>
                <w:sz w:val="20"/>
                <w:szCs w:val="20"/>
                <w:color w:val="auto"/>
              </w:rPr>
            </w:pPr>
            <w:r>
              <w:rPr>
                <w:rFonts w:ascii="Times New Roman" w:cs="Times New Roman" w:eastAsia="Times New Roman" w:hAnsi="Times New Roman"/>
                <w:sz w:val="19"/>
                <w:szCs w:val="19"/>
                <w:color w:val="231F20"/>
              </w:rPr>
              <w:t>0.7</w:t>
            </w:r>
          </w:p>
        </w:tc>
        <w:tc>
          <w:tcPr>
            <w:tcW w:w="180" w:type="dxa"/>
            <w:vAlign w:val="bottom"/>
            <w:shd w:val="clear" w:color="auto" w:fill="FDFDFC"/>
          </w:tcPr>
          <w:p>
            <w:pPr>
              <w:spacing w:after="0"/>
              <w:rPr>
                <w:sz w:val="20"/>
                <w:szCs w:val="20"/>
                <w:color w:val="auto"/>
              </w:rPr>
            </w:pPr>
          </w:p>
        </w:tc>
        <w:tc>
          <w:tcPr>
            <w:tcW w:w="180" w:type="dxa"/>
            <w:vAlign w:val="bottom"/>
            <w:shd w:val="clear" w:color="auto" w:fill="FDFDFC"/>
          </w:tcPr>
          <w:p>
            <w:pPr>
              <w:spacing w:after="0"/>
              <w:rPr>
                <w:sz w:val="20"/>
                <w:szCs w:val="20"/>
                <w:color w:val="auto"/>
              </w:rPr>
            </w:pPr>
          </w:p>
        </w:tc>
        <w:tc>
          <w:tcPr>
            <w:tcW w:w="1540" w:type="dxa"/>
            <w:vAlign w:val="bottom"/>
            <w:shd w:val="clear" w:color="auto" w:fill="FDFDFC"/>
          </w:tcPr>
          <w:p>
            <w:pPr>
              <w:jc w:val="right"/>
              <w:spacing w:after="0"/>
              <w:rPr>
                <w:sz w:val="20"/>
                <w:szCs w:val="20"/>
                <w:color w:val="auto"/>
              </w:rPr>
            </w:pPr>
            <w:r>
              <w:rPr>
                <w:rFonts w:ascii="Times New Roman" w:cs="Times New Roman" w:eastAsia="Times New Roman" w:hAnsi="Times New Roman"/>
                <w:sz w:val="19"/>
                <w:szCs w:val="19"/>
                <w:color w:val="231F20"/>
              </w:rPr>
              <w:t>3.4</w:t>
            </w:r>
          </w:p>
        </w:tc>
        <w:tc>
          <w:tcPr>
            <w:tcW w:w="80" w:type="dxa"/>
            <w:vAlign w:val="bottom"/>
            <w:shd w:val="clear" w:color="auto" w:fill="FDFD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460" w:type="dxa"/>
            <w:vAlign w:val="bottom"/>
            <w:shd w:val="clear" w:color="auto" w:fill="D0EBF2"/>
          </w:tcPr>
          <w:p>
            <w:pPr>
              <w:spacing w:after="0"/>
              <w:rPr>
                <w:sz w:val="20"/>
                <w:szCs w:val="20"/>
                <w:color w:val="auto"/>
              </w:rPr>
            </w:pPr>
            <w:r>
              <w:rPr>
                <w:rFonts w:ascii="Times New Roman" w:cs="Times New Roman" w:eastAsia="Times New Roman" w:hAnsi="Times New Roman"/>
                <w:sz w:val="19"/>
                <w:szCs w:val="19"/>
                <w:color w:val="231F20"/>
              </w:rPr>
              <w:t>Azurite Intermediate Holdings, Inc. - Revolver &amp; Equity</w:t>
            </w:r>
          </w:p>
        </w:tc>
        <w:tc>
          <w:tcPr>
            <w:tcW w:w="120" w:type="dxa"/>
            <w:vAlign w:val="bottom"/>
            <w:shd w:val="clear" w:color="auto" w:fill="D0EBF2"/>
          </w:tcPr>
          <w:p>
            <w:pPr>
              <w:spacing w:after="0"/>
              <w:rPr>
                <w:sz w:val="20"/>
                <w:szCs w:val="20"/>
                <w:color w:val="auto"/>
              </w:rPr>
            </w:pPr>
          </w:p>
        </w:tc>
        <w:tc>
          <w:tcPr>
            <w:tcW w:w="140" w:type="dxa"/>
            <w:vAlign w:val="bottom"/>
            <w:shd w:val="clear" w:color="auto" w:fill="D0EBF2"/>
          </w:tcPr>
          <w:p>
            <w:pPr>
              <w:spacing w:after="0"/>
              <w:rPr>
                <w:sz w:val="20"/>
                <w:szCs w:val="20"/>
                <w:color w:val="auto"/>
              </w:rPr>
            </w:pPr>
          </w:p>
        </w:tc>
        <w:tc>
          <w:tcPr>
            <w:tcW w:w="1460" w:type="dxa"/>
            <w:vAlign w:val="bottom"/>
            <w:shd w:val="clear" w:color="auto" w:fill="D0EBF2"/>
          </w:tcPr>
          <w:p>
            <w:pPr>
              <w:jc w:val="right"/>
              <w:spacing w:after="0"/>
              <w:rPr>
                <w:sz w:val="20"/>
                <w:szCs w:val="20"/>
                <w:color w:val="auto"/>
              </w:rPr>
            </w:pPr>
            <w:r>
              <w:rPr>
                <w:rFonts w:ascii="Times New Roman" w:cs="Times New Roman" w:eastAsia="Times New Roman" w:hAnsi="Times New Roman"/>
                <w:sz w:val="19"/>
                <w:szCs w:val="19"/>
                <w:color w:val="231F20"/>
              </w:rPr>
              <w:t>5.6</w:t>
            </w:r>
          </w:p>
        </w:tc>
        <w:tc>
          <w:tcPr>
            <w:tcW w:w="180" w:type="dxa"/>
            <w:vAlign w:val="bottom"/>
            <w:shd w:val="clear" w:color="auto" w:fill="D0EBF2"/>
          </w:tcPr>
          <w:p>
            <w:pPr>
              <w:spacing w:after="0"/>
              <w:rPr>
                <w:sz w:val="20"/>
                <w:szCs w:val="20"/>
                <w:color w:val="auto"/>
              </w:rPr>
            </w:pPr>
          </w:p>
        </w:tc>
        <w:tc>
          <w:tcPr>
            <w:tcW w:w="180" w:type="dxa"/>
            <w:vAlign w:val="bottom"/>
            <w:shd w:val="clear" w:color="auto" w:fill="D0EBF2"/>
          </w:tcPr>
          <w:p>
            <w:pPr>
              <w:spacing w:after="0"/>
              <w:rPr>
                <w:sz w:val="20"/>
                <w:szCs w:val="20"/>
                <w:color w:val="auto"/>
              </w:rPr>
            </w:pPr>
          </w:p>
        </w:tc>
        <w:tc>
          <w:tcPr>
            <w:tcW w:w="1620" w:type="dxa"/>
            <w:vAlign w:val="bottom"/>
            <w:gridSpan w:val="2"/>
            <w:shd w:val="clear" w:color="auto" w:fill="D0EBF2"/>
          </w:tcPr>
          <w:p>
            <w:pPr>
              <w:jc w:val="right"/>
              <w:ind w:right="100"/>
              <w:spacing w:after="0"/>
              <w:rPr>
                <w:sz w:val="20"/>
                <w:szCs w:val="20"/>
                <w:color w:val="auto"/>
              </w:rPr>
            </w:pPr>
            <w:r>
              <w:rPr>
                <w:rFonts w:ascii="Times New Roman" w:cs="Times New Roman" w:eastAsia="Times New Roman" w:hAnsi="Times New Roman"/>
                <w:sz w:val="19"/>
                <w:szCs w:val="19"/>
                <w:color w:val="231F20"/>
              </w:rPr>
              <w:t>—</w:t>
            </w:r>
          </w:p>
        </w:tc>
        <w:tc>
          <w:tcPr>
            <w:tcW w:w="0" w:type="dxa"/>
            <w:vAlign w:val="bottom"/>
          </w:tcPr>
          <w:p>
            <w:pPr>
              <w:spacing w:after="0"/>
              <w:rPr>
                <w:sz w:val="1"/>
                <w:szCs w:val="1"/>
                <w:color w:val="auto"/>
              </w:rPr>
            </w:pPr>
          </w:p>
        </w:tc>
      </w:tr>
      <w:tr>
        <w:trPr>
          <w:trHeight w:val="230"/>
        </w:trPr>
        <w:tc>
          <w:tcPr>
            <w:tcW w:w="4460" w:type="dxa"/>
            <w:vAlign w:val="bottom"/>
            <w:shd w:val="clear" w:color="auto" w:fill="FDFDFC"/>
          </w:tcPr>
          <w:p>
            <w:pPr>
              <w:spacing w:after="0"/>
              <w:rPr>
                <w:sz w:val="20"/>
                <w:szCs w:val="20"/>
                <w:color w:val="auto"/>
              </w:rPr>
            </w:pPr>
            <w:r>
              <w:rPr>
                <w:rFonts w:ascii="Times New Roman" w:cs="Times New Roman" w:eastAsia="Times New Roman" w:hAnsi="Times New Roman"/>
                <w:sz w:val="19"/>
                <w:szCs w:val="19"/>
                <w:color w:val="231F20"/>
              </w:rPr>
              <w:t>Babylon Finco Limited - Delayed Draw</w:t>
            </w:r>
          </w:p>
        </w:tc>
        <w:tc>
          <w:tcPr>
            <w:tcW w:w="120" w:type="dxa"/>
            <w:vAlign w:val="bottom"/>
            <w:shd w:val="clear" w:color="auto" w:fill="FDFDFC"/>
          </w:tcPr>
          <w:p>
            <w:pPr>
              <w:spacing w:after="0"/>
              <w:rPr>
                <w:sz w:val="20"/>
                <w:szCs w:val="20"/>
                <w:color w:val="auto"/>
              </w:rPr>
            </w:pPr>
          </w:p>
        </w:tc>
        <w:tc>
          <w:tcPr>
            <w:tcW w:w="140" w:type="dxa"/>
            <w:vAlign w:val="bottom"/>
            <w:shd w:val="clear" w:color="auto" w:fill="FDFDFC"/>
          </w:tcPr>
          <w:p>
            <w:pPr>
              <w:spacing w:after="0"/>
              <w:rPr>
                <w:sz w:val="20"/>
                <w:szCs w:val="20"/>
                <w:color w:val="auto"/>
              </w:rPr>
            </w:pPr>
          </w:p>
        </w:tc>
        <w:tc>
          <w:tcPr>
            <w:tcW w:w="1460" w:type="dxa"/>
            <w:vAlign w:val="bottom"/>
            <w:shd w:val="clear" w:color="auto" w:fill="FDFDFC"/>
          </w:tcPr>
          <w:p>
            <w:pPr>
              <w:jc w:val="right"/>
              <w:spacing w:after="0"/>
              <w:rPr>
                <w:sz w:val="20"/>
                <w:szCs w:val="20"/>
                <w:color w:val="auto"/>
              </w:rPr>
            </w:pPr>
            <w:r>
              <w:rPr>
                <w:rFonts w:ascii="Times New Roman" w:cs="Times New Roman" w:eastAsia="Times New Roman" w:hAnsi="Times New Roman"/>
                <w:sz w:val="19"/>
                <w:szCs w:val="19"/>
                <w:color w:val="231F20"/>
              </w:rPr>
              <w:t>0.3</w:t>
            </w:r>
          </w:p>
        </w:tc>
        <w:tc>
          <w:tcPr>
            <w:tcW w:w="180" w:type="dxa"/>
            <w:vAlign w:val="bottom"/>
            <w:shd w:val="clear" w:color="auto" w:fill="FDFDFC"/>
          </w:tcPr>
          <w:p>
            <w:pPr>
              <w:spacing w:after="0"/>
              <w:rPr>
                <w:sz w:val="20"/>
                <w:szCs w:val="20"/>
                <w:color w:val="auto"/>
              </w:rPr>
            </w:pPr>
          </w:p>
        </w:tc>
        <w:tc>
          <w:tcPr>
            <w:tcW w:w="180" w:type="dxa"/>
            <w:vAlign w:val="bottom"/>
            <w:shd w:val="clear" w:color="auto" w:fill="FDFDFC"/>
          </w:tcPr>
          <w:p>
            <w:pPr>
              <w:spacing w:after="0"/>
              <w:rPr>
                <w:sz w:val="20"/>
                <w:szCs w:val="20"/>
                <w:color w:val="auto"/>
              </w:rPr>
            </w:pPr>
          </w:p>
        </w:tc>
        <w:tc>
          <w:tcPr>
            <w:tcW w:w="1620" w:type="dxa"/>
            <w:vAlign w:val="bottom"/>
            <w:gridSpan w:val="2"/>
            <w:shd w:val="clear" w:color="auto" w:fill="FDFDFC"/>
          </w:tcPr>
          <w:p>
            <w:pPr>
              <w:jc w:val="right"/>
              <w:ind w:right="100"/>
              <w:spacing w:after="0"/>
              <w:rPr>
                <w:sz w:val="20"/>
                <w:szCs w:val="20"/>
                <w:color w:val="auto"/>
              </w:rPr>
            </w:pPr>
            <w:r>
              <w:rPr>
                <w:rFonts w:ascii="Times New Roman" w:cs="Times New Roman" w:eastAsia="Times New Roman" w:hAnsi="Times New Roman"/>
                <w:sz w:val="19"/>
                <w:szCs w:val="19"/>
                <w:color w:val="231F20"/>
              </w:rPr>
              <w:t>—</w:t>
            </w:r>
          </w:p>
        </w:tc>
        <w:tc>
          <w:tcPr>
            <w:tcW w:w="0" w:type="dxa"/>
            <w:vAlign w:val="bottom"/>
          </w:tcPr>
          <w:p>
            <w:pPr>
              <w:spacing w:after="0"/>
              <w:rPr>
                <w:sz w:val="1"/>
                <w:szCs w:val="1"/>
                <w:color w:val="auto"/>
              </w:rPr>
            </w:pPr>
          </w:p>
        </w:tc>
      </w:tr>
      <w:tr>
        <w:trPr>
          <w:trHeight w:val="230"/>
        </w:trPr>
        <w:tc>
          <w:tcPr>
            <w:tcW w:w="4460" w:type="dxa"/>
            <w:vAlign w:val="bottom"/>
            <w:shd w:val="clear" w:color="auto" w:fill="D0EBF2"/>
          </w:tcPr>
          <w:p>
            <w:pPr>
              <w:spacing w:after="0"/>
              <w:rPr>
                <w:sz w:val="20"/>
                <w:szCs w:val="20"/>
                <w:color w:val="auto"/>
              </w:rPr>
            </w:pPr>
            <w:r>
              <w:rPr>
                <w:rFonts w:ascii="Times New Roman" w:cs="Times New Roman" w:eastAsia="Times New Roman" w:hAnsi="Times New Roman"/>
                <w:sz w:val="19"/>
                <w:szCs w:val="19"/>
                <w:color w:val="231F20"/>
              </w:rPr>
              <w:t>Banyan Software Holdings, LLC - Delayed Draw</w:t>
            </w:r>
          </w:p>
        </w:tc>
        <w:tc>
          <w:tcPr>
            <w:tcW w:w="120" w:type="dxa"/>
            <w:vAlign w:val="bottom"/>
            <w:shd w:val="clear" w:color="auto" w:fill="D0EBF2"/>
          </w:tcPr>
          <w:p>
            <w:pPr>
              <w:spacing w:after="0"/>
              <w:rPr>
                <w:sz w:val="20"/>
                <w:szCs w:val="20"/>
                <w:color w:val="auto"/>
              </w:rPr>
            </w:pPr>
          </w:p>
        </w:tc>
        <w:tc>
          <w:tcPr>
            <w:tcW w:w="140" w:type="dxa"/>
            <w:vAlign w:val="bottom"/>
            <w:shd w:val="clear" w:color="auto" w:fill="D0EBF2"/>
          </w:tcPr>
          <w:p>
            <w:pPr>
              <w:spacing w:after="0"/>
              <w:rPr>
                <w:sz w:val="20"/>
                <w:szCs w:val="20"/>
                <w:color w:val="auto"/>
              </w:rPr>
            </w:pPr>
          </w:p>
        </w:tc>
        <w:tc>
          <w:tcPr>
            <w:tcW w:w="1460" w:type="dxa"/>
            <w:vAlign w:val="bottom"/>
            <w:shd w:val="clear" w:color="auto" w:fill="D0EBF2"/>
          </w:tcPr>
          <w:p>
            <w:pPr>
              <w:jc w:val="right"/>
              <w:spacing w:after="0"/>
              <w:rPr>
                <w:sz w:val="20"/>
                <w:szCs w:val="20"/>
                <w:color w:val="auto"/>
              </w:rPr>
            </w:pPr>
            <w:r>
              <w:rPr>
                <w:rFonts w:ascii="Times New Roman" w:cs="Times New Roman" w:eastAsia="Times New Roman" w:hAnsi="Times New Roman"/>
                <w:sz w:val="19"/>
                <w:szCs w:val="19"/>
                <w:color w:val="231F20"/>
              </w:rPr>
              <w:t>3.9</w:t>
            </w:r>
          </w:p>
        </w:tc>
        <w:tc>
          <w:tcPr>
            <w:tcW w:w="180" w:type="dxa"/>
            <w:vAlign w:val="bottom"/>
            <w:shd w:val="clear" w:color="auto" w:fill="D0EBF2"/>
          </w:tcPr>
          <w:p>
            <w:pPr>
              <w:spacing w:after="0"/>
              <w:rPr>
                <w:sz w:val="20"/>
                <w:szCs w:val="20"/>
                <w:color w:val="auto"/>
              </w:rPr>
            </w:pPr>
          </w:p>
        </w:tc>
        <w:tc>
          <w:tcPr>
            <w:tcW w:w="180" w:type="dxa"/>
            <w:vAlign w:val="bottom"/>
            <w:shd w:val="clear" w:color="auto" w:fill="D0EBF2"/>
          </w:tcPr>
          <w:p>
            <w:pPr>
              <w:spacing w:after="0"/>
              <w:rPr>
                <w:sz w:val="20"/>
                <w:szCs w:val="20"/>
                <w:color w:val="auto"/>
              </w:rPr>
            </w:pPr>
          </w:p>
        </w:tc>
        <w:tc>
          <w:tcPr>
            <w:tcW w:w="1540" w:type="dxa"/>
            <w:vAlign w:val="bottom"/>
            <w:shd w:val="clear" w:color="auto" w:fill="D0EBF2"/>
          </w:tcPr>
          <w:p>
            <w:pPr>
              <w:jc w:val="right"/>
              <w:spacing w:after="0"/>
              <w:rPr>
                <w:sz w:val="20"/>
                <w:szCs w:val="20"/>
                <w:color w:val="auto"/>
              </w:rPr>
            </w:pPr>
            <w:r>
              <w:rPr>
                <w:rFonts w:ascii="Times New Roman" w:cs="Times New Roman" w:eastAsia="Times New Roman" w:hAnsi="Times New Roman"/>
                <w:sz w:val="19"/>
                <w:szCs w:val="19"/>
                <w:color w:val="231F20"/>
              </w:rPr>
              <w:t>10.0</w:t>
            </w:r>
          </w:p>
        </w:tc>
        <w:tc>
          <w:tcPr>
            <w:tcW w:w="80" w:type="dxa"/>
            <w:vAlign w:val="bottom"/>
            <w:shd w:val="clear" w:color="auto" w:fill="D0EBF2"/>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460" w:type="dxa"/>
            <w:vAlign w:val="bottom"/>
            <w:shd w:val="clear" w:color="auto" w:fill="FDFDFC"/>
          </w:tcPr>
          <w:p>
            <w:pPr>
              <w:spacing w:after="0"/>
              <w:rPr>
                <w:sz w:val="20"/>
                <w:szCs w:val="20"/>
                <w:color w:val="auto"/>
              </w:rPr>
            </w:pPr>
            <w:r>
              <w:rPr>
                <w:rFonts w:ascii="Times New Roman" w:cs="Times New Roman" w:eastAsia="Times New Roman" w:hAnsi="Times New Roman"/>
                <w:sz w:val="19"/>
                <w:szCs w:val="19"/>
                <w:color w:val="231F20"/>
              </w:rPr>
              <w:t>Bayshore Intermediate #2, L.P. - Revolver</w:t>
            </w:r>
          </w:p>
        </w:tc>
        <w:tc>
          <w:tcPr>
            <w:tcW w:w="120" w:type="dxa"/>
            <w:vAlign w:val="bottom"/>
            <w:shd w:val="clear" w:color="auto" w:fill="FDFDFC"/>
          </w:tcPr>
          <w:p>
            <w:pPr>
              <w:spacing w:after="0"/>
              <w:rPr>
                <w:sz w:val="20"/>
                <w:szCs w:val="20"/>
                <w:color w:val="auto"/>
              </w:rPr>
            </w:pPr>
          </w:p>
        </w:tc>
        <w:tc>
          <w:tcPr>
            <w:tcW w:w="140" w:type="dxa"/>
            <w:vAlign w:val="bottom"/>
            <w:shd w:val="clear" w:color="auto" w:fill="FDFDFC"/>
          </w:tcPr>
          <w:p>
            <w:pPr>
              <w:spacing w:after="0"/>
              <w:rPr>
                <w:sz w:val="20"/>
                <w:szCs w:val="20"/>
                <w:color w:val="auto"/>
              </w:rPr>
            </w:pPr>
          </w:p>
        </w:tc>
        <w:tc>
          <w:tcPr>
            <w:tcW w:w="1460" w:type="dxa"/>
            <w:vAlign w:val="bottom"/>
            <w:shd w:val="clear" w:color="auto" w:fill="FDFDFC"/>
          </w:tcPr>
          <w:p>
            <w:pPr>
              <w:jc w:val="right"/>
              <w:spacing w:after="0"/>
              <w:rPr>
                <w:sz w:val="20"/>
                <w:szCs w:val="20"/>
                <w:color w:val="auto"/>
              </w:rPr>
            </w:pPr>
            <w:r>
              <w:rPr>
                <w:rFonts w:ascii="Times New Roman" w:cs="Times New Roman" w:eastAsia="Times New Roman" w:hAnsi="Times New Roman"/>
                <w:sz w:val="19"/>
                <w:szCs w:val="19"/>
                <w:color w:val="231F20"/>
              </w:rPr>
              <w:t>3.6</w:t>
            </w:r>
          </w:p>
        </w:tc>
        <w:tc>
          <w:tcPr>
            <w:tcW w:w="180" w:type="dxa"/>
            <w:vAlign w:val="bottom"/>
            <w:shd w:val="clear" w:color="auto" w:fill="FDFDFC"/>
          </w:tcPr>
          <w:p>
            <w:pPr>
              <w:spacing w:after="0"/>
              <w:rPr>
                <w:sz w:val="20"/>
                <w:szCs w:val="20"/>
                <w:color w:val="auto"/>
              </w:rPr>
            </w:pPr>
          </w:p>
        </w:tc>
        <w:tc>
          <w:tcPr>
            <w:tcW w:w="180" w:type="dxa"/>
            <w:vAlign w:val="bottom"/>
            <w:shd w:val="clear" w:color="auto" w:fill="FDFDFC"/>
          </w:tcPr>
          <w:p>
            <w:pPr>
              <w:spacing w:after="0"/>
              <w:rPr>
                <w:sz w:val="20"/>
                <w:szCs w:val="20"/>
                <w:color w:val="auto"/>
              </w:rPr>
            </w:pPr>
          </w:p>
        </w:tc>
        <w:tc>
          <w:tcPr>
            <w:tcW w:w="1540" w:type="dxa"/>
            <w:vAlign w:val="bottom"/>
            <w:shd w:val="clear" w:color="auto" w:fill="FDFDFC"/>
          </w:tcPr>
          <w:p>
            <w:pPr>
              <w:jc w:val="right"/>
              <w:spacing w:after="0"/>
              <w:rPr>
                <w:sz w:val="20"/>
                <w:szCs w:val="20"/>
                <w:color w:val="auto"/>
              </w:rPr>
            </w:pPr>
            <w:r>
              <w:rPr>
                <w:rFonts w:ascii="Times New Roman" w:cs="Times New Roman" w:eastAsia="Times New Roman" w:hAnsi="Times New Roman"/>
                <w:sz w:val="19"/>
                <w:szCs w:val="19"/>
                <w:color w:val="231F20"/>
              </w:rPr>
              <w:t>1.9</w:t>
            </w:r>
          </w:p>
        </w:tc>
        <w:tc>
          <w:tcPr>
            <w:tcW w:w="80" w:type="dxa"/>
            <w:vAlign w:val="bottom"/>
            <w:shd w:val="clear" w:color="auto" w:fill="FDFD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460" w:type="dxa"/>
            <w:vAlign w:val="bottom"/>
            <w:shd w:val="clear" w:color="auto" w:fill="D0EBF2"/>
          </w:tcPr>
          <w:p>
            <w:pPr>
              <w:spacing w:after="0"/>
              <w:rPr>
                <w:sz w:val="20"/>
                <w:szCs w:val="20"/>
                <w:color w:val="auto"/>
              </w:rPr>
            </w:pPr>
            <w:r>
              <w:rPr>
                <w:rFonts w:ascii="Times New Roman" w:cs="Times New Roman" w:eastAsia="Times New Roman" w:hAnsi="Times New Roman"/>
                <w:sz w:val="19"/>
                <w:szCs w:val="19"/>
                <w:color w:val="231F20"/>
              </w:rPr>
              <w:t>BCTO Ace Purchaser, Inc. - Delayed Draw &amp; Revolver</w:t>
            </w:r>
          </w:p>
        </w:tc>
        <w:tc>
          <w:tcPr>
            <w:tcW w:w="120" w:type="dxa"/>
            <w:vAlign w:val="bottom"/>
            <w:shd w:val="clear" w:color="auto" w:fill="D0EBF2"/>
          </w:tcPr>
          <w:p>
            <w:pPr>
              <w:spacing w:after="0"/>
              <w:rPr>
                <w:sz w:val="20"/>
                <w:szCs w:val="20"/>
                <w:color w:val="auto"/>
              </w:rPr>
            </w:pPr>
          </w:p>
        </w:tc>
        <w:tc>
          <w:tcPr>
            <w:tcW w:w="140" w:type="dxa"/>
            <w:vAlign w:val="bottom"/>
            <w:shd w:val="clear" w:color="auto" w:fill="D0EBF2"/>
          </w:tcPr>
          <w:p>
            <w:pPr>
              <w:spacing w:after="0"/>
              <w:rPr>
                <w:sz w:val="20"/>
                <w:szCs w:val="20"/>
                <w:color w:val="auto"/>
              </w:rPr>
            </w:pPr>
          </w:p>
        </w:tc>
        <w:tc>
          <w:tcPr>
            <w:tcW w:w="1460" w:type="dxa"/>
            <w:vAlign w:val="bottom"/>
            <w:shd w:val="clear" w:color="auto" w:fill="D0EBF2"/>
          </w:tcPr>
          <w:p>
            <w:pPr>
              <w:jc w:val="right"/>
              <w:spacing w:after="0"/>
              <w:rPr>
                <w:sz w:val="20"/>
                <w:szCs w:val="20"/>
                <w:color w:val="auto"/>
              </w:rPr>
            </w:pPr>
            <w:r>
              <w:rPr>
                <w:rFonts w:ascii="Times New Roman" w:cs="Times New Roman" w:eastAsia="Times New Roman" w:hAnsi="Times New Roman"/>
                <w:sz w:val="19"/>
                <w:szCs w:val="19"/>
                <w:color w:val="231F20"/>
              </w:rPr>
              <w:t>0.3</w:t>
            </w:r>
          </w:p>
        </w:tc>
        <w:tc>
          <w:tcPr>
            <w:tcW w:w="180" w:type="dxa"/>
            <w:vAlign w:val="bottom"/>
            <w:shd w:val="clear" w:color="auto" w:fill="D0EBF2"/>
          </w:tcPr>
          <w:p>
            <w:pPr>
              <w:spacing w:after="0"/>
              <w:rPr>
                <w:sz w:val="20"/>
                <w:szCs w:val="20"/>
                <w:color w:val="auto"/>
              </w:rPr>
            </w:pPr>
          </w:p>
        </w:tc>
        <w:tc>
          <w:tcPr>
            <w:tcW w:w="180" w:type="dxa"/>
            <w:vAlign w:val="bottom"/>
            <w:shd w:val="clear" w:color="auto" w:fill="D0EBF2"/>
          </w:tcPr>
          <w:p>
            <w:pPr>
              <w:spacing w:after="0"/>
              <w:rPr>
                <w:sz w:val="20"/>
                <w:szCs w:val="20"/>
                <w:color w:val="auto"/>
              </w:rPr>
            </w:pPr>
          </w:p>
        </w:tc>
        <w:tc>
          <w:tcPr>
            <w:tcW w:w="1540" w:type="dxa"/>
            <w:vAlign w:val="bottom"/>
            <w:shd w:val="clear" w:color="auto" w:fill="D0EBF2"/>
          </w:tcPr>
          <w:p>
            <w:pPr>
              <w:jc w:val="right"/>
              <w:spacing w:after="0"/>
              <w:rPr>
                <w:sz w:val="20"/>
                <w:szCs w:val="20"/>
                <w:color w:val="auto"/>
              </w:rPr>
            </w:pPr>
            <w:r>
              <w:rPr>
                <w:rFonts w:ascii="Times New Roman" w:cs="Times New Roman" w:eastAsia="Times New Roman" w:hAnsi="Times New Roman"/>
                <w:sz w:val="19"/>
                <w:szCs w:val="19"/>
                <w:color w:val="231F20"/>
              </w:rPr>
              <w:t>0.5</w:t>
            </w:r>
          </w:p>
        </w:tc>
        <w:tc>
          <w:tcPr>
            <w:tcW w:w="80" w:type="dxa"/>
            <w:vAlign w:val="bottom"/>
            <w:shd w:val="clear" w:color="auto" w:fill="D0EBF2"/>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460" w:type="dxa"/>
            <w:vAlign w:val="bottom"/>
            <w:shd w:val="clear" w:color="auto" w:fill="FDFDFC"/>
          </w:tcPr>
          <w:p>
            <w:pPr>
              <w:spacing w:after="0"/>
              <w:rPr>
                <w:sz w:val="20"/>
                <w:szCs w:val="20"/>
                <w:color w:val="auto"/>
              </w:rPr>
            </w:pPr>
            <w:r>
              <w:rPr>
                <w:rFonts w:ascii="Times New Roman" w:cs="Times New Roman" w:eastAsia="Times New Roman" w:hAnsi="Times New Roman"/>
                <w:sz w:val="19"/>
                <w:szCs w:val="19"/>
                <w:color w:val="231F20"/>
              </w:rPr>
              <w:t>BCTO Bluebill Buyer, Inc. - Delayed Draw</w:t>
            </w:r>
          </w:p>
        </w:tc>
        <w:tc>
          <w:tcPr>
            <w:tcW w:w="120" w:type="dxa"/>
            <w:vAlign w:val="bottom"/>
            <w:shd w:val="clear" w:color="auto" w:fill="FDFDFC"/>
          </w:tcPr>
          <w:p>
            <w:pPr>
              <w:spacing w:after="0"/>
              <w:rPr>
                <w:sz w:val="20"/>
                <w:szCs w:val="20"/>
                <w:color w:val="auto"/>
              </w:rPr>
            </w:pPr>
          </w:p>
        </w:tc>
        <w:tc>
          <w:tcPr>
            <w:tcW w:w="140" w:type="dxa"/>
            <w:vAlign w:val="bottom"/>
            <w:shd w:val="clear" w:color="auto" w:fill="FDFDFC"/>
          </w:tcPr>
          <w:p>
            <w:pPr>
              <w:spacing w:after="0"/>
              <w:rPr>
                <w:sz w:val="20"/>
                <w:szCs w:val="20"/>
                <w:color w:val="auto"/>
              </w:rPr>
            </w:pPr>
          </w:p>
        </w:tc>
        <w:tc>
          <w:tcPr>
            <w:tcW w:w="1460" w:type="dxa"/>
            <w:vAlign w:val="bottom"/>
            <w:shd w:val="clear" w:color="auto" w:fill="FDFDFC"/>
          </w:tcPr>
          <w:p>
            <w:pPr>
              <w:jc w:val="right"/>
              <w:spacing w:after="0"/>
              <w:rPr>
                <w:sz w:val="20"/>
                <w:szCs w:val="20"/>
                <w:color w:val="auto"/>
              </w:rPr>
            </w:pPr>
            <w:r>
              <w:rPr>
                <w:rFonts w:ascii="Times New Roman" w:cs="Times New Roman" w:eastAsia="Times New Roman" w:hAnsi="Times New Roman"/>
                <w:sz w:val="19"/>
                <w:szCs w:val="19"/>
                <w:color w:val="231F20"/>
              </w:rPr>
              <w:t>4.1</w:t>
            </w:r>
          </w:p>
        </w:tc>
        <w:tc>
          <w:tcPr>
            <w:tcW w:w="180" w:type="dxa"/>
            <w:vAlign w:val="bottom"/>
            <w:shd w:val="clear" w:color="auto" w:fill="FDFDFC"/>
          </w:tcPr>
          <w:p>
            <w:pPr>
              <w:spacing w:after="0"/>
              <w:rPr>
                <w:sz w:val="20"/>
                <w:szCs w:val="20"/>
                <w:color w:val="auto"/>
              </w:rPr>
            </w:pPr>
          </w:p>
        </w:tc>
        <w:tc>
          <w:tcPr>
            <w:tcW w:w="180" w:type="dxa"/>
            <w:vAlign w:val="bottom"/>
            <w:shd w:val="clear" w:color="auto" w:fill="FDFDFC"/>
          </w:tcPr>
          <w:p>
            <w:pPr>
              <w:spacing w:after="0"/>
              <w:rPr>
                <w:sz w:val="20"/>
                <w:szCs w:val="20"/>
                <w:color w:val="auto"/>
              </w:rPr>
            </w:pPr>
          </w:p>
        </w:tc>
        <w:tc>
          <w:tcPr>
            <w:tcW w:w="1540" w:type="dxa"/>
            <w:vAlign w:val="bottom"/>
            <w:shd w:val="clear" w:color="auto" w:fill="FDFDFC"/>
          </w:tcPr>
          <w:p>
            <w:pPr>
              <w:jc w:val="right"/>
              <w:spacing w:after="0"/>
              <w:rPr>
                <w:sz w:val="20"/>
                <w:szCs w:val="20"/>
                <w:color w:val="auto"/>
              </w:rPr>
            </w:pPr>
            <w:r>
              <w:rPr>
                <w:rFonts w:ascii="Times New Roman" w:cs="Times New Roman" w:eastAsia="Times New Roman" w:hAnsi="Times New Roman"/>
                <w:sz w:val="19"/>
                <w:szCs w:val="19"/>
                <w:color w:val="231F20"/>
              </w:rPr>
              <w:t>5.1</w:t>
            </w:r>
          </w:p>
        </w:tc>
        <w:tc>
          <w:tcPr>
            <w:tcW w:w="80" w:type="dxa"/>
            <w:vAlign w:val="bottom"/>
            <w:shd w:val="clear" w:color="auto" w:fill="FDFD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460" w:type="dxa"/>
            <w:vAlign w:val="bottom"/>
            <w:shd w:val="clear" w:color="auto" w:fill="D0EBF2"/>
          </w:tcPr>
          <w:p>
            <w:pPr>
              <w:spacing w:after="0"/>
              <w:rPr>
                <w:sz w:val="20"/>
                <w:szCs w:val="20"/>
                <w:color w:val="auto"/>
              </w:rPr>
            </w:pPr>
            <w:r>
              <w:rPr>
                <w:rFonts w:ascii="Times New Roman" w:cs="Times New Roman" w:eastAsia="Times New Roman" w:hAnsi="Times New Roman"/>
                <w:sz w:val="19"/>
                <w:szCs w:val="19"/>
                <w:color w:val="231F20"/>
              </w:rPr>
              <w:t>Bear OpCo, LLC - Delayed Draw</w:t>
            </w:r>
          </w:p>
        </w:tc>
        <w:tc>
          <w:tcPr>
            <w:tcW w:w="120" w:type="dxa"/>
            <w:vAlign w:val="bottom"/>
            <w:shd w:val="clear" w:color="auto" w:fill="D0EBF2"/>
          </w:tcPr>
          <w:p>
            <w:pPr>
              <w:spacing w:after="0"/>
              <w:rPr>
                <w:sz w:val="20"/>
                <w:szCs w:val="20"/>
                <w:color w:val="auto"/>
              </w:rPr>
            </w:pPr>
          </w:p>
        </w:tc>
        <w:tc>
          <w:tcPr>
            <w:tcW w:w="140" w:type="dxa"/>
            <w:vAlign w:val="bottom"/>
            <w:shd w:val="clear" w:color="auto" w:fill="D0EBF2"/>
          </w:tcPr>
          <w:p>
            <w:pPr>
              <w:spacing w:after="0"/>
              <w:rPr>
                <w:sz w:val="20"/>
                <w:szCs w:val="20"/>
                <w:color w:val="auto"/>
              </w:rPr>
            </w:pPr>
          </w:p>
        </w:tc>
        <w:tc>
          <w:tcPr>
            <w:tcW w:w="1460" w:type="dxa"/>
            <w:vAlign w:val="bottom"/>
            <w:shd w:val="clear" w:color="auto" w:fill="D0EBF2"/>
          </w:tcPr>
          <w:p>
            <w:pPr>
              <w:jc w:val="right"/>
              <w:spacing w:after="0"/>
              <w:rPr>
                <w:sz w:val="20"/>
                <w:szCs w:val="20"/>
                <w:color w:val="auto"/>
              </w:rPr>
            </w:pPr>
            <w:r>
              <w:rPr>
                <w:rFonts w:ascii="Times New Roman" w:cs="Times New Roman" w:eastAsia="Times New Roman" w:hAnsi="Times New Roman"/>
                <w:sz w:val="19"/>
                <w:szCs w:val="19"/>
                <w:color w:val="231F20"/>
              </w:rPr>
              <w:t>—</w:t>
            </w:r>
          </w:p>
        </w:tc>
        <w:tc>
          <w:tcPr>
            <w:tcW w:w="180" w:type="dxa"/>
            <w:vAlign w:val="bottom"/>
            <w:shd w:val="clear" w:color="auto" w:fill="D0EBF2"/>
          </w:tcPr>
          <w:p>
            <w:pPr>
              <w:spacing w:after="0"/>
              <w:rPr>
                <w:sz w:val="20"/>
                <w:szCs w:val="20"/>
                <w:color w:val="auto"/>
              </w:rPr>
            </w:pPr>
          </w:p>
        </w:tc>
        <w:tc>
          <w:tcPr>
            <w:tcW w:w="180" w:type="dxa"/>
            <w:vAlign w:val="bottom"/>
            <w:shd w:val="clear" w:color="auto" w:fill="D0EBF2"/>
          </w:tcPr>
          <w:p>
            <w:pPr>
              <w:spacing w:after="0"/>
              <w:rPr>
                <w:sz w:val="20"/>
                <w:szCs w:val="20"/>
                <w:color w:val="auto"/>
              </w:rPr>
            </w:pPr>
          </w:p>
        </w:tc>
        <w:tc>
          <w:tcPr>
            <w:tcW w:w="1540" w:type="dxa"/>
            <w:vAlign w:val="bottom"/>
            <w:shd w:val="clear" w:color="auto" w:fill="D0EBF2"/>
          </w:tcPr>
          <w:p>
            <w:pPr>
              <w:jc w:val="right"/>
              <w:spacing w:after="0"/>
              <w:rPr>
                <w:sz w:val="20"/>
                <w:szCs w:val="20"/>
                <w:color w:val="auto"/>
              </w:rPr>
            </w:pPr>
            <w:r>
              <w:rPr>
                <w:rFonts w:ascii="Times New Roman" w:cs="Times New Roman" w:eastAsia="Times New Roman" w:hAnsi="Times New Roman"/>
                <w:sz w:val="19"/>
                <w:szCs w:val="19"/>
                <w:color w:val="231F20"/>
              </w:rPr>
              <w:t>1.2</w:t>
            </w:r>
          </w:p>
        </w:tc>
        <w:tc>
          <w:tcPr>
            <w:tcW w:w="80" w:type="dxa"/>
            <w:vAlign w:val="bottom"/>
            <w:shd w:val="clear" w:color="auto" w:fill="D0EBF2"/>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460" w:type="dxa"/>
            <w:vAlign w:val="bottom"/>
            <w:shd w:val="clear" w:color="auto" w:fill="FDFDFC"/>
          </w:tcPr>
          <w:p>
            <w:pPr>
              <w:spacing w:after="0"/>
              <w:rPr>
                <w:sz w:val="20"/>
                <w:szCs w:val="20"/>
                <w:color w:val="auto"/>
              </w:rPr>
            </w:pPr>
            <w:r>
              <w:rPr>
                <w:rFonts w:ascii="Times New Roman" w:cs="Times New Roman" w:eastAsia="Times New Roman" w:hAnsi="Times New Roman"/>
                <w:sz w:val="19"/>
                <w:szCs w:val="19"/>
                <w:color w:val="231F20"/>
              </w:rPr>
              <w:t>Ben Nevis Midco Limited - Delayed Draw</w:t>
            </w:r>
          </w:p>
        </w:tc>
        <w:tc>
          <w:tcPr>
            <w:tcW w:w="120" w:type="dxa"/>
            <w:vAlign w:val="bottom"/>
            <w:shd w:val="clear" w:color="auto" w:fill="FDFDFC"/>
          </w:tcPr>
          <w:p>
            <w:pPr>
              <w:spacing w:after="0"/>
              <w:rPr>
                <w:sz w:val="20"/>
                <w:szCs w:val="20"/>
                <w:color w:val="auto"/>
              </w:rPr>
            </w:pPr>
          </w:p>
        </w:tc>
        <w:tc>
          <w:tcPr>
            <w:tcW w:w="140" w:type="dxa"/>
            <w:vAlign w:val="bottom"/>
            <w:shd w:val="clear" w:color="auto" w:fill="FDFDFC"/>
          </w:tcPr>
          <w:p>
            <w:pPr>
              <w:spacing w:after="0"/>
              <w:rPr>
                <w:sz w:val="20"/>
                <w:szCs w:val="20"/>
                <w:color w:val="auto"/>
              </w:rPr>
            </w:pPr>
          </w:p>
        </w:tc>
        <w:tc>
          <w:tcPr>
            <w:tcW w:w="1460" w:type="dxa"/>
            <w:vAlign w:val="bottom"/>
            <w:shd w:val="clear" w:color="auto" w:fill="FDFDFC"/>
          </w:tcPr>
          <w:p>
            <w:pPr>
              <w:jc w:val="right"/>
              <w:spacing w:after="0"/>
              <w:rPr>
                <w:sz w:val="20"/>
                <w:szCs w:val="20"/>
                <w:color w:val="auto"/>
              </w:rPr>
            </w:pPr>
            <w:r>
              <w:rPr>
                <w:rFonts w:ascii="Times New Roman" w:cs="Times New Roman" w:eastAsia="Times New Roman" w:hAnsi="Times New Roman"/>
                <w:sz w:val="19"/>
                <w:szCs w:val="19"/>
                <w:color w:val="231F20"/>
              </w:rPr>
              <w:t>1.4</w:t>
            </w:r>
          </w:p>
        </w:tc>
        <w:tc>
          <w:tcPr>
            <w:tcW w:w="180" w:type="dxa"/>
            <w:vAlign w:val="bottom"/>
            <w:shd w:val="clear" w:color="auto" w:fill="FDFDFC"/>
          </w:tcPr>
          <w:p>
            <w:pPr>
              <w:spacing w:after="0"/>
              <w:rPr>
                <w:sz w:val="20"/>
                <w:szCs w:val="20"/>
                <w:color w:val="auto"/>
              </w:rPr>
            </w:pPr>
          </w:p>
        </w:tc>
        <w:tc>
          <w:tcPr>
            <w:tcW w:w="180" w:type="dxa"/>
            <w:vAlign w:val="bottom"/>
            <w:shd w:val="clear" w:color="auto" w:fill="FDFDFC"/>
          </w:tcPr>
          <w:p>
            <w:pPr>
              <w:spacing w:after="0"/>
              <w:rPr>
                <w:sz w:val="20"/>
                <w:szCs w:val="20"/>
                <w:color w:val="auto"/>
              </w:rPr>
            </w:pPr>
          </w:p>
        </w:tc>
        <w:tc>
          <w:tcPr>
            <w:tcW w:w="1620" w:type="dxa"/>
            <w:vAlign w:val="bottom"/>
            <w:gridSpan w:val="2"/>
            <w:shd w:val="clear" w:color="auto" w:fill="FDFDFC"/>
          </w:tcPr>
          <w:p>
            <w:pPr>
              <w:jc w:val="right"/>
              <w:ind w:right="100"/>
              <w:spacing w:after="0"/>
              <w:rPr>
                <w:sz w:val="20"/>
                <w:szCs w:val="20"/>
                <w:color w:val="auto"/>
              </w:rPr>
            </w:pPr>
            <w:r>
              <w:rPr>
                <w:rFonts w:ascii="Times New Roman" w:cs="Times New Roman" w:eastAsia="Times New Roman" w:hAnsi="Times New Roman"/>
                <w:sz w:val="19"/>
                <w:szCs w:val="19"/>
                <w:color w:val="231F20"/>
              </w:rPr>
              <w:t>—</w:t>
            </w:r>
          </w:p>
        </w:tc>
        <w:tc>
          <w:tcPr>
            <w:tcW w:w="0" w:type="dxa"/>
            <w:vAlign w:val="bottom"/>
          </w:tcPr>
          <w:p>
            <w:pPr>
              <w:spacing w:after="0"/>
              <w:rPr>
                <w:sz w:val="1"/>
                <w:szCs w:val="1"/>
                <w:color w:val="auto"/>
              </w:rPr>
            </w:pPr>
          </w:p>
        </w:tc>
      </w:tr>
      <w:tr>
        <w:trPr>
          <w:trHeight w:val="230"/>
        </w:trPr>
        <w:tc>
          <w:tcPr>
            <w:tcW w:w="4460" w:type="dxa"/>
            <w:vAlign w:val="bottom"/>
            <w:shd w:val="clear" w:color="auto" w:fill="D0EBF2"/>
          </w:tcPr>
          <w:p>
            <w:pPr>
              <w:spacing w:after="0"/>
              <w:rPr>
                <w:sz w:val="20"/>
                <w:szCs w:val="20"/>
                <w:color w:val="auto"/>
              </w:rPr>
            </w:pPr>
            <w:r>
              <w:rPr>
                <w:rFonts w:ascii="Times New Roman" w:cs="Times New Roman" w:eastAsia="Times New Roman" w:hAnsi="Times New Roman"/>
                <w:sz w:val="19"/>
                <w:szCs w:val="19"/>
                <w:color w:val="231F20"/>
              </w:rPr>
              <w:t>BlueSnap, Inc. - Delayed Draw &amp; Revolver</w:t>
            </w:r>
          </w:p>
        </w:tc>
        <w:tc>
          <w:tcPr>
            <w:tcW w:w="120" w:type="dxa"/>
            <w:vAlign w:val="bottom"/>
            <w:shd w:val="clear" w:color="auto" w:fill="D0EBF2"/>
          </w:tcPr>
          <w:p>
            <w:pPr>
              <w:spacing w:after="0"/>
              <w:rPr>
                <w:sz w:val="20"/>
                <w:szCs w:val="20"/>
                <w:color w:val="auto"/>
              </w:rPr>
            </w:pPr>
          </w:p>
        </w:tc>
        <w:tc>
          <w:tcPr>
            <w:tcW w:w="140" w:type="dxa"/>
            <w:vAlign w:val="bottom"/>
            <w:shd w:val="clear" w:color="auto" w:fill="D0EBF2"/>
          </w:tcPr>
          <w:p>
            <w:pPr>
              <w:spacing w:after="0"/>
              <w:rPr>
                <w:sz w:val="20"/>
                <w:szCs w:val="20"/>
                <w:color w:val="auto"/>
              </w:rPr>
            </w:pPr>
          </w:p>
        </w:tc>
        <w:tc>
          <w:tcPr>
            <w:tcW w:w="1460" w:type="dxa"/>
            <w:vAlign w:val="bottom"/>
            <w:shd w:val="clear" w:color="auto" w:fill="D0EBF2"/>
          </w:tcPr>
          <w:p>
            <w:pPr>
              <w:jc w:val="right"/>
              <w:spacing w:after="0"/>
              <w:rPr>
                <w:sz w:val="20"/>
                <w:szCs w:val="20"/>
                <w:color w:val="auto"/>
              </w:rPr>
            </w:pPr>
            <w:r>
              <w:rPr>
                <w:rFonts w:ascii="Times New Roman" w:cs="Times New Roman" w:eastAsia="Times New Roman" w:hAnsi="Times New Roman"/>
                <w:sz w:val="19"/>
                <w:szCs w:val="19"/>
                <w:color w:val="231F20"/>
              </w:rPr>
              <w:t>5.1</w:t>
            </w:r>
          </w:p>
        </w:tc>
        <w:tc>
          <w:tcPr>
            <w:tcW w:w="180" w:type="dxa"/>
            <w:vAlign w:val="bottom"/>
            <w:shd w:val="clear" w:color="auto" w:fill="D0EBF2"/>
          </w:tcPr>
          <w:p>
            <w:pPr>
              <w:spacing w:after="0"/>
              <w:rPr>
                <w:sz w:val="20"/>
                <w:szCs w:val="20"/>
                <w:color w:val="auto"/>
              </w:rPr>
            </w:pPr>
          </w:p>
        </w:tc>
        <w:tc>
          <w:tcPr>
            <w:tcW w:w="180" w:type="dxa"/>
            <w:vAlign w:val="bottom"/>
            <w:shd w:val="clear" w:color="auto" w:fill="D0EBF2"/>
          </w:tcPr>
          <w:p>
            <w:pPr>
              <w:spacing w:after="0"/>
              <w:rPr>
                <w:sz w:val="20"/>
                <w:szCs w:val="20"/>
                <w:color w:val="auto"/>
              </w:rPr>
            </w:pPr>
          </w:p>
        </w:tc>
        <w:tc>
          <w:tcPr>
            <w:tcW w:w="1540" w:type="dxa"/>
            <w:vAlign w:val="bottom"/>
            <w:shd w:val="clear" w:color="auto" w:fill="D0EBF2"/>
          </w:tcPr>
          <w:p>
            <w:pPr>
              <w:jc w:val="right"/>
              <w:spacing w:after="0"/>
              <w:rPr>
                <w:sz w:val="20"/>
                <w:szCs w:val="20"/>
                <w:color w:val="auto"/>
              </w:rPr>
            </w:pPr>
            <w:r>
              <w:rPr>
                <w:rFonts w:ascii="Times New Roman" w:cs="Times New Roman" w:eastAsia="Times New Roman" w:hAnsi="Times New Roman"/>
                <w:sz w:val="19"/>
                <w:szCs w:val="19"/>
                <w:color w:val="231F20"/>
              </w:rPr>
              <w:t>2.5</w:t>
            </w:r>
          </w:p>
        </w:tc>
        <w:tc>
          <w:tcPr>
            <w:tcW w:w="80" w:type="dxa"/>
            <w:vAlign w:val="bottom"/>
            <w:shd w:val="clear" w:color="auto" w:fill="D0EBF2"/>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460" w:type="dxa"/>
            <w:vAlign w:val="bottom"/>
            <w:shd w:val="clear" w:color="auto" w:fill="FDFDFC"/>
          </w:tcPr>
          <w:p>
            <w:pPr>
              <w:spacing w:after="0"/>
              <w:rPr>
                <w:sz w:val="20"/>
                <w:szCs w:val="20"/>
                <w:color w:val="auto"/>
              </w:rPr>
            </w:pPr>
            <w:r>
              <w:rPr>
                <w:rFonts w:ascii="Times New Roman" w:cs="Times New Roman" w:eastAsia="Times New Roman" w:hAnsi="Times New Roman"/>
                <w:sz w:val="19"/>
                <w:szCs w:val="19"/>
                <w:color w:val="231F20"/>
              </w:rPr>
              <w:t>BTRS Holdings, Inc. - Delayed Draw &amp; Revolver</w:t>
            </w:r>
          </w:p>
        </w:tc>
        <w:tc>
          <w:tcPr>
            <w:tcW w:w="120" w:type="dxa"/>
            <w:vAlign w:val="bottom"/>
            <w:shd w:val="clear" w:color="auto" w:fill="FDFDFC"/>
          </w:tcPr>
          <w:p>
            <w:pPr>
              <w:spacing w:after="0"/>
              <w:rPr>
                <w:sz w:val="20"/>
                <w:szCs w:val="20"/>
                <w:color w:val="auto"/>
              </w:rPr>
            </w:pPr>
          </w:p>
        </w:tc>
        <w:tc>
          <w:tcPr>
            <w:tcW w:w="140" w:type="dxa"/>
            <w:vAlign w:val="bottom"/>
            <w:shd w:val="clear" w:color="auto" w:fill="FDFDFC"/>
          </w:tcPr>
          <w:p>
            <w:pPr>
              <w:spacing w:after="0"/>
              <w:rPr>
                <w:sz w:val="20"/>
                <w:szCs w:val="20"/>
                <w:color w:val="auto"/>
              </w:rPr>
            </w:pPr>
          </w:p>
        </w:tc>
        <w:tc>
          <w:tcPr>
            <w:tcW w:w="1460" w:type="dxa"/>
            <w:vAlign w:val="bottom"/>
            <w:shd w:val="clear" w:color="auto" w:fill="FDFDFC"/>
          </w:tcPr>
          <w:p>
            <w:pPr>
              <w:jc w:val="right"/>
              <w:spacing w:after="0"/>
              <w:rPr>
                <w:sz w:val="20"/>
                <w:szCs w:val="20"/>
                <w:color w:val="auto"/>
              </w:rPr>
            </w:pPr>
            <w:r>
              <w:rPr>
                <w:rFonts w:ascii="Times New Roman" w:cs="Times New Roman" w:eastAsia="Times New Roman" w:hAnsi="Times New Roman"/>
                <w:sz w:val="19"/>
                <w:szCs w:val="19"/>
                <w:color w:val="231F20"/>
              </w:rPr>
              <w:t>3.0</w:t>
            </w:r>
          </w:p>
        </w:tc>
        <w:tc>
          <w:tcPr>
            <w:tcW w:w="180" w:type="dxa"/>
            <w:vAlign w:val="bottom"/>
            <w:shd w:val="clear" w:color="auto" w:fill="FDFDFC"/>
          </w:tcPr>
          <w:p>
            <w:pPr>
              <w:spacing w:after="0"/>
              <w:rPr>
                <w:sz w:val="20"/>
                <w:szCs w:val="20"/>
                <w:color w:val="auto"/>
              </w:rPr>
            </w:pPr>
          </w:p>
        </w:tc>
        <w:tc>
          <w:tcPr>
            <w:tcW w:w="180" w:type="dxa"/>
            <w:vAlign w:val="bottom"/>
            <w:shd w:val="clear" w:color="auto" w:fill="FDFDFC"/>
          </w:tcPr>
          <w:p>
            <w:pPr>
              <w:spacing w:after="0"/>
              <w:rPr>
                <w:sz w:val="20"/>
                <w:szCs w:val="20"/>
                <w:color w:val="auto"/>
              </w:rPr>
            </w:pPr>
          </w:p>
        </w:tc>
        <w:tc>
          <w:tcPr>
            <w:tcW w:w="1540" w:type="dxa"/>
            <w:vAlign w:val="bottom"/>
            <w:shd w:val="clear" w:color="auto" w:fill="FDFDFC"/>
          </w:tcPr>
          <w:p>
            <w:pPr>
              <w:jc w:val="right"/>
              <w:spacing w:after="0"/>
              <w:rPr>
                <w:sz w:val="20"/>
                <w:szCs w:val="20"/>
                <w:color w:val="auto"/>
              </w:rPr>
            </w:pPr>
            <w:r>
              <w:rPr>
                <w:rFonts w:ascii="Times New Roman" w:cs="Times New Roman" w:eastAsia="Times New Roman" w:hAnsi="Times New Roman"/>
                <w:sz w:val="19"/>
                <w:szCs w:val="19"/>
                <w:color w:val="231F20"/>
              </w:rPr>
              <w:t>5.6</w:t>
            </w:r>
          </w:p>
        </w:tc>
        <w:tc>
          <w:tcPr>
            <w:tcW w:w="80" w:type="dxa"/>
            <w:vAlign w:val="bottom"/>
            <w:shd w:val="clear" w:color="auto" w:fill="FDFD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460" w:type="dxa"/>
            <w:vAlign w:val="bottom"/>
            <w:shd w:val="clear" w:color="auto" w:fill="D0EBF2"/>
          </w:tcPr>
          <w:p>
            <w:pPr>
              <w:spacing w:after="0"/>
              <w:rPr>
                <w:sz w:val="20"/>
                <w:szCs w:val="20"/>
                <w:color w:val="auto"/>
              </w:rPr>
            </w:pPr>
            <w:r>
              <w:rPr>
                <w:rFonts w:ascii="Times New Roman" w:cs="Times New Roman" w:eastAsia="Times New Roman" w:hAnsi="Times New Roman"/>
                <w:sz w:val="19"/>
                <w:szCs w:val="19"/>
                <w:color w:val="231F20"/>
              </w:rPr>
              <w:t>Cirrus (Bidco) Ltd - Delayed Draw</w:t>
            </w:r>
          </w:p>
        </w:tc>
        <w:tc>
          <w:tcPr>
            <w:tcW w:w="120" w:type="dxa"/>
            <w:vAlign w:val="bottom"/>
            <w:shd w:val="clear" w:color="auto" w:fill="D0EBF2"/>
          </w:tcPr>
          <w:p>
            <w:pPr>
              <w:spacing w:after="0"/>
              <w:rPr>
                <w:sz w:val="20"/>
                <w:szCs w:val="20"/>
                <w:color w:val="auto"/>
              </w:rPr>
            </w:pPr>
          </w:p>
        </w:tc>
        <w:tc>
          <w:tcPr>
            <w:tcW w:w="140" w:type="dxa"/>
            <w:vAlign w:val="bottom"/>
            <w:shd w:val="clear" w:color="auto" w:fill="D0EBF2"/>
          </w:tcPr>
          <w:p>
            <w:pPr>
              <w:spacing w:after="0"/>
              <w:rPr>
                <w:sz w:val="20"/>
                <w:szCs w:val="20"/>
                <w:color w:val="auto"/>
              </w:rPr>
            </w:pPr>
          </w:p>
        </w:tc>
        <w:tc>
          <w:tcPr>
            <w:tcW w:w="1460" w:type="dxa"/>
            <w:vAlign w:val="bottom"/>
            <w:shd w:val="clear" w:color="auto" w:fill="D0EBF2"/>
          </w:tcPr>
          <w:p>
            <w:pPr>
              <w:jc w:val="right"/>
              <w:spacing w:after="0"/>
              <w:rPr>
                <w:sz w:val="20"/>
                <w:szCs w:val="20"/>
                <w:color w:val="auto"/>
              </w:rPr>
            </w:pPr>
            <w:r>
              <w:rPr>
                <w:rFonts w:ascii="Times New Roman" w:cs="Times New Roman" w:eastAsia="Times New Roman" w:hAnsi="Times New Roman"/>
                <w:sz w:val="19"/>
                <w:szCs w:val="19"/>
                <w:color w:val="231F20"/>
              </w:rPr>
              <w:t>0.4</w:t>
            </w:r>
          </w:p>
        </w:tc>
        <w:tc>
          <w:tcPr>
            <w:tcW w:w="180" w:type="dxa"/>
            <w:vAlign w:val="bottom"/>
            <w:shd w:val="clear" w:color="auto" w:fill="D0EBF2"/>
          </w:tcPr>
          <w:p>
            <w:pPr>
              <w:spacing w:after="0"/>
              <w:rPr>
                <w:sz w:val="20"/>
                <w:szCs w:val="20"/>
                <w:color w:val="auto"/>
              </w:rPr>
            </w:pPr>
          </w:p>
        </w:tc>
        <w:tc>
          <w:tcPr>
            <w:tcW w:w="180" w:type="dxa"/>
            <w:vAlign w:val="bottom"/>
            <w:shd w:val="clear" w:color="auto" w:fill="D0EBF2"/>
          </w:tcPr>
          <w:p>
            <w:pPr>
              <w:spacing w:after="0"/>
              <w:rPr>
                <w:sz w:val="20"/>
                <w:szCs w:val="20"/>
                <w:color w:val="auto"/>
              </w:rPr>
            </w:pPr>
          </w:p>
        </w:tc>
        <w:tc>
          <w:tcPr>
            <w:tcW w:w="1620" w:type="dxa"/>
            <w:vAlign w:val="bottom"/>
            <w:gridSpan w:val="2"/>
            <w:shd w:val="clear" w:color="auto" w:fill="D0EBF2"/>
          </w:tcPr>
          <w:p>
            <w:pPr>
              <w:jc w:val="right"/>
              <w:ind w:right="100"/>
              <w:spacing w:after="0"/>
              <w:rPr>
                <w:sz w:val="20"/>
                <w:szCs w:val="20"/>
                <w:color w:val="auto"/>
              </w:rPr>
            </w:pPr>
            <w:r>
              <w:rPr>
                <w:rFonts w:ascii="Times New Roman" w:cs="Times New Roman" w:eastAsia="Times New Roman" w:hAnsi="Times New Roman"/>
                <w:sz w:val="19"/>
                <w:szCs w:val="19"/>
                <w:color w:val="231F20"/>
              </w:rPr>
              <w:t>—</w:t>
            </w:r>
          </w:p>
        </w:tc>
        <w:tc>
          <w:tcPr>
            <w:tcW w:w="0" w:type="dxa"/>
            <w:vAlign w:val="bottom"/>
          </w:tcPr>
          <w:p>
            <w:pPr>
              <w:spacing w:after="0"/>
              <w:rPr>
                <w:sz w:val="1"/>
                <w:szCs w:val="1"/>
                <w:color w:val="auto"/>
              </w:rPr>
            </w:pPr>
          </w:p>
        </w:tc>
      </w:tr>
      <w:tr>
        <w:trPr>
          <w:trHeight w:val="230"/>
        </w:trPr>
        <w:tc>
          <w:tcPr>
            <w:tcW w:w="4460" w:type="dxa"/>
            <w:vAlign w:val="bottom"/>
            <w:shd w:val="clear" w:color="auto" w:fill="FDFDFC"/>
          </w:tcPr>
          <w:p>
            <w:pPr>
              <w:spacing w:after="0"/>
              <w:rPr>
                <w:sz w:val="20"/>
                <w:szCs w:val="20"/>
                <w:color w:val="auto"/>
              </w:rPr>
            </w:pPr>
            <w:r>
              <w:rPr>
                <w:rFonts w:ascii="Times New Roman" w:cs="Times New Roman" w:eastAsia="Times New Roman" w:hAnsi="Times New Roman"/>
                <w:sz w:val="19"/>
                <w:szCs w:val="19"/>
                <w:color w:val="231F20"/>
              </w:rPr>
              <w:t>Cordance Operations, LLC - Delayed Draw &amp; Revolver</w:t>
            </w:r>
          </w:p>
        </w:tc>
        <w:tc>
          <w:tcPr>
            <w:tcW w:w="120" w:type="dxa"/>
            <w:vAlign w:val="bottom"/>
            <w:shd w:val="clear" w:color="auto" w:fill="FDFDFC"/>
          </w:tcPr>
          <w:p>
            <w:pPr>
              <w:spacing w:after="0"/>
              <w:rPr>
                <w:sz w:val="20"/>
                <w:szCs w:val="20"/>
                <w:color w:val="auto"/>
              </w:rPr>
            </w:pPr>
          </w:p>
        </w:tc>
        <w:tc>
          <w:tcPr>
            <w:tcW w:w="140" w:type="dxa"/>
            <w:vAlign w:val="bottom"/>
            <w:shd w:val="clear" w:color="auto" w:fill="FDFDFC"/>
          </w:tcPr>
          <w:p>
            <w:pPr>
              <w:spacing w:after="0"/>
              <w:rPr>
                <w:sz w:val="20"/>
                <w:szCs w:val="20"/>
                <w:color w:val="auto"/>
              </w:rPr>
            </w:pPr>
          </w:p>
        </w:tc>
        <w:tc>
          <w:tcPr>
            <w:tcW w:w="1460" w:type="dxa"/>
            <w:vAlign w:val="bottom"/>
            <w:shd w:val="clear" w:color="auto" w:fill="FDFDFC"/>
          </w:tcPr>
          <w:p>
            <w:pPr>
              <w:jc w:val="right"/>
              <w:spacing w:after="0"/>
              <w:rPr>
                <w:sz w:val="20"/>
                <w:szCs w:val="20"/>
                <w:color w:val="auto"/>
              </w:rPr>
            </w:pPr>
            <w:r>
              <w:rPr>
                <w:rFonts w:ascii="Times New Roman" w:cs="Times New Roman" w:eastAsia="Times New Roman" w:hAnsi="Times New Roman"/>
                <w:sz w:val="19"/>
                <w:szCs w:val="19"/>
                <w:color w:val="231F20"/>
              </w:rPr>
              <w:t>6.7</w:t>
            </w:r>
          </w:p>
        </w:tc>
        <w:tc>
          <w:tcPr>
            <w:tcW w:w="180" w:type="dxa"/>
            <w:vAlign w:val="bottom"/>
            <w:shd w:val="clear" w:color="auto" w:fill="FDFDFC"/>
          </w:tcPr>
          <w:p>
            <w:pPr>
              <w:spacing w:after="0"/>
              <w:rPr>
                <w:sz w:val="20"/>
                <w:szCs w:val="20"/>
                <w:color w:val="auto"/>
              </w:rPr>
            </w:pPr>
          </w:p>
        </w:tc>
        <w:tc>
          <w:tcPr>
            <w:tcW w:w="180" w:type="dxa"/>
            <w:vAlign w:val="bottom"/>
            <w:shd w:val="clear" w:color="auto" w:fill="FDFDFC"/>
          </w:tcPr>
          <w:p>
            <w:pPr>
              <w:spacing w:after="0"/>
              <w:rPr>
                <w:sz w:val="20"/>
                <w:szCs w:val="20"/>
                <w:color w:val="auto"/>
              </w:rPr>
            </w:pPr>
          </w:p>
        </w:tc>
        <w:tc>
          <w:tcPr>
            <w:tcW w:w="1540" w:type="dxa"/>
            <w:vAlign w:val="bottom"/>
            <w:shd w:val="clear" w:color="auto" w:fill="FDFDFC"/>
          </w:tcPr>
          <w:p>
            <w:pPr>
              <w:jc w:val="right"/>
              <w:spacing w:after="0"/>
              <w:rPr>
                <w:sz w:val="20"/>
                <w:szCs w:val="20"/>
                <w:color w:val="auto"/>
              </w:rPr>
            </w:pPr>
            <w:r>
              <w:rPr>
                <w:rFonts w:ascii="Times New Roman" w:cs="Times New Roman" w:eastAsia="Times New Roman" w:hAnsi="Times New Roman"/>
                <w:sz w:val="19"/>
                <w:szCs w:val="19"/>
                <w:color w:val="231F20"/>
              </w:rPr>
              <w:t>2.0</w:t>
            </w:r>
          </w:p>
        </w:tc>
        <w:tc>
          <w:tcPr>
            <w:tcW w:w="80" w:type="dxa"/>
            <w:vAlign w:val="bottom"/>
            <w:shd w:val="clear" w:color="auto" w:fill="FDFD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460" w:type="dxa"/>
            <w:vAlign w:val="bottom"/>
            <w:shd w:val="clear" w:color="auto" w:fill="D0EBF2"/>
          </w:tcPr>
          <w:p>
            <w:pPr>
              <w:spacing w:after="0"/>
              <w:rPr>
                <w:sz w:val="20"/>
                <w:szCs w:val="20"/>
                <w:color w:val="auto"/>
              </w:rPr>
            </w:pPr>
            <w:r>
              <w:rPr>
                <w:rFonts w:ascii="Times New Roman" w:cs="Times New Roman" w:eastAsia="Times New Roman" w:hAnsi="Times New Roman"/>
                <w:sz w:val="19"/>
                <w:szCs w:val="19"/>
                <w:color w:val="231F20"/>
              </w:rPr>
              <w:t>Coupa Holdings, LLC - Delayed Draw &amp; Revolver</w:t>
            </w:r>
          </w:p>
        </w:tc>
        <w:tc>
          <w:tcPr>
            <w:tcW w:w="120" w:type="dxa"/>
            <w:vAlign w:val="bottom"/>
            <w:shd w:val="clear" w:color="auto" w:fill="D0EBF2"/>
          </w:tcPr>
          <w:p>
            <w:pPr>
              <w:spacing w:after="0"/>
              <w:rPr>
                <w:sz w:val="20"/>
                <w:szCs w:val="20"/>
                <w:color w:val="auto"/>
              </w:rPr>
            </w:pPr>
          </w:p>
        </w:tc>
        <w:tc>
          <w:tcPr>
            <w:tcW w:w="140" w:type="dxa"/>
            <w:vAlign w:val="bottom"/>
            <w:shd w:val="clear" w:color="auto" w:fill="D0EBF2"/>
          </w:tcPr>
          <w:p>
            <w:pPr>
              <w:spacing w:after="0"/>
              <w:rPr>
                <w:sz w:val="20"/>
                <w:szCs w:val="20"/>
                <w:color w:val="auto"/>
              </w:rPr>
            </w:pPr>
          </w:p>
        </w:tc>
        <w:tc>
          <w:tcPr>
            <w:tcW w:w="1460" w:type="dxa"/>
            <w:vAlign w:val="bottom"/>
            <w:shd w:val="clear" w:color="auto" w:fill="D0EBF2"/>
          </w:tcPr>
          <w:p>
            <w:pPr>
              <w:jc w:val="right"/>
              <w:spacing w:after="0"/>
              <w:rPr>
                <w:sz w:val="20"/>
                <w:szCs w:val="20"/>
                <w:color w:val="auto"/>
              </w:rPr>
            </w:pPr>
            <w:r>
              <w:rPr>
                <w:rFonts w:ascii="Times New Roman" w:cs="Times New Roman" w:eastAsia="Times New Roman" w:hAnsi="Times New Roman"/>
                <w:sz w:val="19"/>
                <w:szCs w:val="19"/>
                <w:color w:val="231F20"/>
              </w:rPr>
              <w:t>6.8</w:t>
            </w:r>
          </w:p>
        </w:tc>
        <w:tc>
          <w:tcPr>
            <w:tcW w:w="180" w:type="dxa"/>
            <w:vAlign w:val="bottom"/>
            <w:shd w:val="clear" w:color="auto" w:fill="D0EBF2"/>
          </w:tcPr>
          <w:p>
            <w:pPr>
              <w:spacing w:after="0"/>
              <w:rPr>
                <w:sz w:val="20"/>
                <w:szCs w:val="20"/>
                <w:color w:val="auto"/>
              </w:rPr>
            </w:pPr>
          </w:p>
        </w:tc>
        <w:tc>
          <w:tcPr>
            <w:tcW w:w="180" w:type="dxa"/>
            <w:vAlign w:val="bottom"/>
            <w:shd w:val="clear" w:color="auto" w:fill="D0EBF2"/>
          </w:tcPr>
          <w:p>
            <w:pPr>
              <w:spacing w:after="0"/>
              <w:rPr>
                <w:sz w:val="20"/>
                <w:szCs w:val="20"/>
                <w:color w:val="auto"/>
              </w:rPr>
            </w:pPr>
          </w:p>
        </w:tc>
        <w:tc>
          <w:tcPr>
            <w:tcW w:w="1540" w:type="dxa"/>
            <w:vAlign w:val="bottom"/>
            <w:shd w:val="clear" w:color="auto" w:fill="D0EBF2"/>
          </w:tcPr>
          <w:p>
            <w:pPr>
              <w:jc w:val="right"/>
              <w:spacing w:after="0"/>
              <w:rPr>
                <w:sz w:val="20"/>
                <w:szCs w:val="20"/>
                <w:color w:val="auto"/>
              </w:rPr>
            </w:pPr>
            <w:r>
              <w:rPr>
                <w:rFonts w:ascii="Times New Roman" w:cs="Times New Roman" w:eastAsia="Times New Roman" w:hAnsi="Times New Roman"/>
                <w:sz w:val="19"/>
                <w:szCs w:val="19"/>
                <w:color w:val="231F20"/>
              </w:rPr>
              <w:t>6.8</w:t>
            </w:r>
          </w:p>
        </w:tc>
        <w:tc>
          <w:tcPr>
            <w:tcW w:w="80" w:type="dxa"/>
            <w:vAlign w:val="bottom"/>
            <w:shd w:val="clear" w:color="auto" w:fill="D0EBF2"/>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460" w:type="dxa"/>
            <w:vAlign w:val="bottom"/>
            <w:shd w:val="clear" w:color="auto" w:fill="FDFDFC"/>
          </w:tcPr>
          <w:p>
            <w:pPr>
              <w:spacing w:after="0"/>
              <w:rPr>
                <w:sz w:val="20"/>
                <w:szCs w:val="20"/>
                <w:color w:val="auto"/>
              </w:rPr>
            </w:pPr>
            <w:r>
              <w:rPr>
                <w:rFonts w:ascii="Times New Roman" w:cs="Times New Roman" w:eastAsia="Times New Roman" w:hAnsi="Times New Roman"/>
                <w:sz w:val="19"/>
                <w:szCs w:val="19"/>
                <w:color w:val="231F20"/>
              </w:rPr>
              <w:t>Crewline Buyer, Inc. - Revolver &amp; Equity</w:t>
            </w:r>
          </w:p>
        </w:tc>
        <w:tc>
          <w:tcPr>
            <w:tcW w:w="120" w:type="dxa"/>
            <w:vAlign w:val="bottom"/>
            <w:shd w:val="clear" w:color="auto" w:fill="FDFDFC"/>
          </w:tcPr>
          <w:p>
            <w:pPr>
              <w:spacing w:after="0"/>
              <w:rPr>
                <w:sz w:val="20"/>
                <w:szCs w:val="20"/>
                <w:color w:val="auto"/>
              </w:rPr>
            </w:pPr>
          </w:p>
        </w:tc>
        <w:tc>
          <w:tcPr>
            <w:tcW w:w="140" w:type="dxa"/>
            <w:vAlign w:val="bottom"/>
            <w:shd w:val="clear" w:color="auto" w:fill="FDFDFC"/>
          </w:tcPr>
          <w:p>
            <w:pPr>
              <w:spacing w:after="0"/>
              <w:rPr>
                <w:sz w:val="20"/>
                <w:szCs w:val="20"/>
                <w:color w:val="auto"/>
              </w:rPr>
            </w:pPr>
          </w:p>
        </w:tc>
        <w:tc>
          <w:tcPr>
            <w:tcW w:w="1460" w:type="dxa"/>
            <w:vAlign w:val="bottom"/>
            <w:shd w:val="clear" w:color="auto" w:fill="FDFDFC"/>
          </w:tcPr>
          <w:p>
            <w:pPr>
              <w:jc w:val="right"/>
              <w:spacing w:after="0"/>
              <w:rPr>
                <w:sz w:val="20"/>
                <w:szCs w:val="20"/>
                <w:color w:val="auto"/>
              </w:rPr>
            </w:pPr>
            <w:r>
              <w:rPr>
                <w:rFonts w:ascii="Times New Roman" w:cs="Times New Roman" w:eastAsia="Times New Roman" w:hAnsi="Times New Roman"/>
                <w:sz w:val="19"/>
                <w:szCs w:val="19"/>
                <w:color w:val="231F20"/>
              </w:rPr>
              <w:t>6.1</w:t>
            </w:r>
          </w:p>
        </w:tc>
        <w:tc>
          <w:tcPr>
            <w:tcW w:w="180" w:type="dxa"/>
            <w:vAlign w:val="bottom"/>
            <w:shd w:val="clear" w:color="auto" w:fill="FDFDFC"/>
          </w:tcPr>
          <w:p>
            <w:pPr>
              <w:spacing w:after="0"/>
              <w:rPr>
                <w:sz w:val="20"/>
                <w:szCs w:val="20"/>
                <w:color w:val="auto"/>
              </w:rPr>
            </w:pPr>
          </w:p>
        </w:tc>
        <w:tc>
          <w:tcPr>
            <w:tcW w:w="180" w:type="dxa"/>
            <w:vAlign w:val="bottom"/>
            <w:shd w:val="clear" w:color="auto" w:fill="FDFDFC"/>
          </w:tcPr>
          <w:p>
            <w:pPr>
              <w:spacing w:after="0"/>
              <w:rPr>
                <w:sz w:val="20"/>
                <w:szCs w:val="20"/>
                <w:color w:val="auto"/>
              </w:rPr>
            </w:pPr>
          </w:p>
        </w:tc>
        <w:tc>
          <w:tcPr>
            <w:tcW w:w="1540" w:type="dxa"/>
            <w:vAlign w:val="bottom"/>
            <w:shd w:val="clear" w:color="auto" w:fill="FDFDFC"/>
          </w:tcPr>
          <w:p>
            <w:pPr>
              <w:jc w:val="right"/>
              <w:spacing w:after="0"/>
              <w:rPr>
                <w:sz w:val="20"/>
                <w:szCs w:val="20"/>
                <w:color w:val="auto"/>
              </w:rPr>
            </w:pPr>
            <w:r>
              <w:rPr>
                <w:rFonts w:ascii="Times New Roman" w:cs="Times New Roman" w:eastAsia="Times New Roman" w:hAnsi="Times New Roman"/>
                <w:sz w:val="19"/>
                <w:szCs w:val="19"/>
                <w:color w:val="231F20"/>
              </w:rPr>
              <w:t>6.1</w:t>
            </w:r>
          </w:p>
        </w:tc>
        <w:tc>
          <w:tcPr>
            <w:tcW w:w="80" w:type="dxa"/>
            <w:vAlign w:val="bottom"/>
            <w:shd w:val="clear" w:color="auto" w:fill="FDFD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460" w:type="dxa"/>
            <w:vAlign w:val="bottom"/>
            <w:shd w:val="clear" w:color="auto" w:fill="D0EBF2"/>
          </w:tcPr>
          <w:p>
            <w:pPr>
              <w:spacing w:after="0"/>
              <w:rPr>
                <w:sz w:val="20"/>
                <w:szCs w:val="20"/>
                <w:color w:val="auto"/>
              </w:rPr>
            </w:pPr>
            <w:r>
              <w:rPr>
                <w:rFonts w:ascii="Times New Roman" w:cs="Times New Roman" w:eastAsia="Times New Roman" w:hAnsi="Times New Roman"/>
                <w:sz w:val="19"/>
                <w:szCs w:val="19"/>
                <w:color w:val="231F20"/>
              </w:rPr>
              <w:t>Disco Parent, Inc. - Revolver</w:t>
            </w:r>
          </w:p>
        </w:tc>
        <w:tc>
          <w:tcPr>
            <w:tcW w:w="120" w:type="dxa"/>
            <w:vAlign w:val="bottom"/>
            <w:shd w:val="clear" w:color="auto" w:fill="D0EBF2"/>
          </w:tcPr>
          <w:p>
            <w:pPr>
              <w:spacing w:after="0"/>
              <w:rPr>
                <w:sz w:val="20"/>
                <w:szCs w:val="20"/>
                <w:color w:val="auto"/>
              </w:rPr>
            </w:pPr>
          </w:p>
        </w:tc>
        <w:tc>
          <w:tcPr>
            <w:tcW w:w="140" w:type="dxa"/>
            <w:vAlign w:val="bottom"/>
            <w:shd w:val="clear" w:color="auto" w:fill="D0EBF2"/>
          </w:tcPr>
          <w:p>
            <w:pPr>
              <w:spacing w:after="0"/>
              <w:rPr>
                <w:sz w:val="20"/>
                <w:szCs w:val="20"/>
                <w:color w:val="auto"/>
              </w:rPr>
            </w:pPr>
          </w:p>
        </w:tc>
        <w:tc>
          <w:tcPr>
            <w:tcW w:w="1460" w:type="dxa"/>
            <w:vAlign w:val="bottom"/>
            <w:shd w:val="clear" w:color="auto" w:fill="D0EBF2"/>
          </w:tcPr>
          <w:p>
            <w:pPr>
              <w:jc w:val="right"/>
              <w:spacing w:after="0"/>
              <w:rPr>
                <w:sz w:val="20"/>
                <w:szCs w:val="20"/>
                <w:color w:val="auto"/>
              </w:rPr>
            </w:pPr>
            <w:r>
              <w:rPr>
                <w:rFonts w:ascii="Times New Roman" w:cs="Times New Roman" w:eastAsia="Times New Roman" w:hAnsi="Times New Roman"/>
                <w:sz w:val="19"/>
                <w:szCs w:val="19"/>
                <w:color w:val="231F20"/>
              </w:rPr>
              <w:t>0.5</w:t>
            </w:r>
          </w:p>
        </w:tc>
        <w:tc>
          <w:tcPr>
            <w:tcW w:w="180" w:type="dxa"/>
            <w:vAlign w:val="bottom"/>
            <w:shd w:val="clear" w:color="auto" w:fill="D0EBF2"/>
          </w:tcPr>
          <w:p>
            <w:pPr>
              <w:spacing w:after="0"/>
              <w:rPr>
                <w:sz w:val="20"/>
                <w:szCs w:val="20"/>
                <w:color w:val="auto"/>
              </w:rPr>
            </w:pPr>
          </w:p>
        </w:tc>
        <w:tc>
          <w:tcPr>
            <w:tcW w:w="180" w:type="dxa"/>
            <w:vAlign w:val="bottom"/>
            <w:shd w:val="clear" w:color="auto" w:fill="D0EBF2"/>
          </w:tcPr>
          <w:p>
            <w:pPr>
              <w:spacing w:after="0"/>
              <w:rPr>
                <w:sz w:val="20"/>
                <w:szCs w:val="20"/>
                <w:color w:val="auto"/>
              </w:rPr>
            </w:pPr>
          </w:p>
        </w:tc>
        <w:tc>
          <w:tcPr>
            <w:tcW w:w="1540" w:type="dxa"/>
            <w:vAlign w:val="bottom"/>
            <w:shd w:val="clear" w:color="auto" w:fill="D0EBF2"/>
          </w:tcPr>
          <w:p>
            <w:pPr>
              <w:jc w:val="right"/>
              <w:spacing w:after="0"/>
              <w:rPr>
                <w:sz w:val="20"/>
                <w:szCs w:val="20"/>
                <w:color w:val="auto"/>
              </w:rPr>
            </w:pPr>
            <w:r>
              <w:rPr>
                <w:rFonts w:ascii="Times New Roman" w:cs="Times New Roman" w:eastAsia="Times New Roman" w:hAnsi="Times New Roman"/>
                <w:sz w:val="19"/>
                <w:szCs w:val="19"/>
                <w:color w:val="231F20"/>
              </w:rPr>
              <w:t>0.5</w:t>
            </w:r>
          </w:p>
        </w:tc>
        <w:tc>
          <w:tcPr>
            <w:tcW w:w="80" w:type="dxa"/>
            <w:vAlign w:val="bottom"/>
            <w:shd w:val="clear" w:color="auto" w:fill="D0EBF2"/>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460" w:type="dxa"/>
            <w:vAlign w:val="bottom"/>
            <w:shd w:val="clear" w:color="auto" w:fill="FDFDFC"/>
          </w:tcPr>
          <w:p>
            <w:pPr>
              <w:spacing w:after="0"/>
              <w:rPr>
                <w:sz w:val="20"/>
                <w:szCs w:val="20"/>
                <w:color w:val="auto"/>
              </w:rPr>
            </w:pPr>
            <w:r>
              <w:rPr>
                <w:rFonts w:ascii="Times New Roman" w:cs="Times New Roman" w:eastAsia="Times New Roman" w:hAnsi="Times New Roman"/>
                <w:sz w:val="19"/>
                <w:szCs w:val="19"/>
                <w:color w:val="231F20"/>
              </w:rPr>
              <w:t>Dye &amp; Durham Corp. - Revolver</w:t>
            </w:r>
          </w:p>
        </w:tc>
        <w:tc>
          <w:tcPr>
            <w:tcW w:w="120" w:type="dxa"/>
            <w:vAlign w:val="bottom"/>
            <w:shd w:val="clear" w:color="auto" w:fill="FDFDFC"/>
          </w:tcPr>
          <w:p>
            <w:pPr>
              <w:spacing w:after="0"/>
              <w:rPr>
                <w:sz w:val="20"/>
                <w:szCs w:val="20"/>
                <w:color w:val="auto"/>
              </w:rPr>
            </w:pPr>
          </w:p>
        </w:tc>
        <w:tc>
          <w:tcPr>
            <w:tcW w:w="140" w:type="dxa"/>
            <w:vAlign w:val="bottom"/>
            <w:shd w:val="clear" w:color="auto" w:fill="FDFDFC"/>
          </w:tcPr>
          <w:p>
            <w:pPr>
              <w:spacing w:after="0"/>
              <w:rPr>
                <w:sz w:val="20"/>
                <w:szCs w:val="20"/>
                <w:color w:val="auto"/>
              </w:rPr>
            </w:pPr>
          </w:p>
        </w:tc>
        <w:tc>
          <w:tcPr>
            <w:tcW w:w="1460" w:type="dxa"/>
            <w:vAlign w:val="bottom"/>
            <w:shd w:val="clear" w:color="auto" w:fill="FDFDFC"/>
          </w:tcPr>
          <w:p>
            <w:pPr>
              <w:jc w:val="right"/>
              <w:spacing w:after="0"/>
              <w:rPr>
                <w:sz w:val="20"/>
                <w:szCs w:val="20"/>
                <w:color w:val="auto"/>
              </w:rPr>
            </w:pPr>
            <w:r>
              <w:rPr>
                <w:rFonts w:ascii="Times New Roman" w:cs="Times New Roman" w:eastAsia="Times New Roman" w:hAnsi="Times New Roman"/>
                <w:sz w:val="19"/>
                <w:szCs w:val="19"/>
                <w:color w:val="231F20"/>
              </w:rPr>
              <w:t>—</w:t>
            </w:r>
          </w:p>
        </w:tc>
        <w:tc>
          <w:tcPr>
            <w:tcW w:w="180" w:type="dxa"/>
            <w:vAlign w:val="bottom"/>
            <w:shd w:val="clear" w:color="auto" w:fill="FDFDFC"/>
          </w:tcPr>
          <w:p>
            <w:pPr>
              <w:spacing w:after="0"/>
              <w:rPr>
                <w:sz w:val="20"/>
                <w:szCs w:val="20"/>
                <w:color w:val="auto"/>
              </w:rPr>
            </w:pPr>
          </w:p>
        </w:tc>
        <w:tc>
          <w:tcPr>
            <w:tcW w:w="180" w:type="dxa"/>
            <w:vAlign w:val="bottom"/>
            <w:shd w:val="clear" w:color="auto" w:fill="FDFDFC"/>
          </w:tcPr>
          <w:p>
            <w:pPr>
              <w:spacing w:after="0"/>
              <w:rPr>
                <w:sz w:val="20"/>
                <w:szCs w:val="20"/>
                <w:color w:val="auto"/>
              </w:rPr>
            </w:pPr>
          </w:p>
        </w:tc>
        <w:tc>
          <w:tcPr>
            <w:tcW w:w="1540" w:type="dxa"/>
            <w:vAlign w:val="bottom"/>
            <w:shd w:val="clear" w:color="auto" w:fill="FDFDFC"/>
          </w:tcPr>
          <w:p>
            <w:pPr>
              <w:jc w:val="right"/>
              <w:spacing w:after="0"/>
              <w:rPr>
                <w:sz w:val="20"/>
                <w:szCs w:val="20"/>
                <w:color w:val="auto"/>
              </w:rPr>
            </w:pPr>
            <w:r>
              <w:rPr>
                <w:rFonts w:ascii="Times New Roman" w:cs="Times New Roman" w:eastAsia="Times New Roman" w:hAnsi="Times New Roman"/>
                <w:sz w:val="19"/>
                <w:szCs w:val="19"/>
                <w:color w:val="231F20"/>
              </w:rPr>
              <w:t>1.2</w:t>
            </w:r>
          </w:p>
        </w:tc>
        <w:tc>
          <w:tcPr>
            <w:tcW w:w="80" w:type="dxa"/>
            <w:vAlign w:val="bottom"/>
            <w:shd w:val="clear" w:color="auto" w:fill="FDFD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460" w:type="dxa"/>
            <w:vAlign w:val="bottom"/>
            <w:shd w:val="clear" w:color="auto" w:fill="D0EBF2"/>
          </w:tcPr>
          <w:p>
            <w:pPr>
              <w:spacing w:after="0"/>
              <w:rPr>
                <w:sz w:val="20"/>
                <w:szCs w:val="20"/>
                <w:color w:val="auto"/>
              </w:rPr>
            </w:pPr>
            <w:r>
              <w:rPr>
                <w:rFonts w:ascii="Times New Roman" w:cs="Times New Roman" w:eastAsia="Times New Roman" w:hAnsi="Times New Roman"/>
                <w:sz w:val="19"/>
                <w:szCs w:val="19"/>
                <w:color w:val="231F20"/>
              </w:rPr>
              <w:t>EDB Parent, LLC - Delayed Draw</w:t>
            </w:r>
          </w:p>
        </w:tc>
        <w:tc>
          <w:tcPr>
            <w:tcW w:w="120" w:type="dxa"/>
            <w:vAlign w:val="bottom"/>
            <w:shd w:val="clear" w:color="auto" w:fill="D0EBF2"/>
          </w:tcPr>
          <w:p>
            <w:pPr>
              <w:spacing w:after="0"/>
              <w:rPr>
                <w:sz w:val="20"/>
                <w:szCs w:val="20"/>
                <w:color w:val="auto"/>
              </w:rPr>
            </w:pPr>
          </w:p>
        </w:tc>
        <w:tc>
          <w:tcPr>
            <w:tcW w:w="140" w:type="dxa"/>
            <w:vAlign w:val="bottom"/>
            <w:shd w:val="clear" w:color="auto" w:fill="D0EBF2"/>
          </w:tcPr>
          <w:p>
            <w:pPr>
              <w:spacing w:after="0"/>
              <w:rPr>
                <w:sz w:val="20"/>
                <w:szCs w:val="20"/>
                <w:color w:val="auto"/>
              </w:rPr>
            </w:pPr>
          </w:p>
        </w:tc>
        <w:tc>
          <w:tcPr>
            <w:tcW w:w="1460" w:type="dxa"/>
            <w:vAlign w:val="bottom"/>
            <w:shd w:val="clear" w:color="auto" w:fill="D0EBF2"/>
          </w:tcPr>
          <w:p>
            <w:pPr>
              <w:jc w:val="right"/>
              <w:spacing w:after="0"/>
              <w:rPr>
                <w:sz w:val="20"/>
                <w:szCs w:val="20"/>
                <w:color w:val="auto"/>
              </w:rPr>
            </w:pPr>
            <w:r>
              <w:rPr>
                <w:rFonts w:ascii="Times New Roman" w:cs="Times New Roman" w:eastAsia="Times New Roman" w:hAnsi="Times New Roman"/>
                <w:sz w:val="19"/>
                <w:szCs w:val="19"/>
                <w:color w:val="231F20"/>
              </w:rPr>
              <w:t>5.1</w:t>
            </w:r>
          </w:p>
        </w:tc>
        <w:tc>
          <w:tcPr>
            <w:tcW w:w="180" w:type="dxa"/>
            <w:vAlign w:val="bottom"/>
            <w:shd w:val="clear" w:color="auto" w:fill="D0EBF2"/>
          </w:tcPr>
          <w:p>
            <w:pPr>
              <w:spacing w:after="0"/>
              <w:rPr>
                <w:sz w:val="20"/>
                <w:szCs w:val="20"/>
                <w:color w:val="auto"/>
              </w:rPr>
            </w:pPr>
          </w:p>
        </w:tc>
        <w:tc>
          <w:tcPr>
            <w:tcW w:w="180" w:type="dxa"/>
            <w:vAlign w:val="bottom"/>
            <w:shd w:val="clear" w:color="auto" w:fill="D0EBF2"/>
          </w:tcPr>
          <w:p>
            <w:pPr>
              <w:spacing w:after="0"/>
              <w:rPr>
                <w:sz w:val="20"/>
                <w:szCs w:val="20"/>
                <w:color w:val="auto"/>
              </w:rPr>
            </w:pPr>
          </w:p>
        </w:tc>
        <w:tc>
          <w:tcPr>
            <w:tcW w:w="1540" w:type="dxa"/>
            <w:vAlign w:val="bottom"/>
            <w:shd w:val="clear" w:color="auto" w:fill="D0EBF2"/>
          </w:tcPr>
          <w:p>
            <w:pPr>
              <w:jc w:val="right"/>
              <w:spacing w:after="0"/>
              <w:rPr>
                <w:sz w:val="20"/>
                <w:szCs w:val="20"/>
                <w:color w:val="auto"/>
              </w:rPr>
            </w:pPr>
            <w:r>
              <w:rPr>
                <w:rFonts w:ascii="Times New Roman" w:cs="Times New Roman" w:eastAsia="Times New Roman" w:hAnsi="Times New Roman"/>
                <w:sz w:val="19"/>
                <w:szCs w:val="19"/>
                <w:color w:val="231F20"/>
              </w:rPr>
              <w:t>11.4</w:t>
            </w:r>
          </w:p>
        </w:tc>
        <w:tc>
          <w:tcPr>
            <w:tcW w:w="80" w:type="dxa"/>
            <w:vAlign w:val="bottom"/>
            <w:shd w:val="clear" w:color="auto" w:fill="D0EBF2"/>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460" w:type="dxa"/>
            <w:vAlign w:val="bottom"/>
            <w:shd w:val="clear" w:color="auto" w:fill="FDFDFC"/>
          </w:tcPr>
          <w:p>
            <w:pPr>
              <w:spacing w:after="0"/>
              <w:rPr>
                <w:sz w:val="20"/>
                <w:szCs w:val="20"/>
                <w:color w:val="auto"/>
              </w:rPr>
            </w:pPr>
            <w:r>
              <w:rPr>
                <w:rFonts w:ascii="Times New Roman" w:cs="Times New Roman" w:eastAsia="Times New Roman" w:hAnsi="Times New Roman"/>
                <w:sz w:val="19"/>
                <w:szCs w:val="19"/>
                <w:color w:val="231F20"/>
              </w:rPr>
              <w:t>Edge Bidco B.V. - Delayed Draw &amp; Revolver</w:t>
            </w:r>
          </w:p>
        </w:tc>
        <w:tc>
          <w:tcPr>
            <w:tcW w:w="120" w:type="dxa"/>
            <w:vAlign w:val="bottom"/>
            <w:shd w:val="clear" w:color="auto" w:fill="FDFDFC"/>
          </w:tcPr>
          <w:p>
            <w:pPr>
              <w:spacing w:after="0"/>
              <w:rPr>
                <w:sz w:val="20"/>
                <w:szCs w:val="20"/>
                <w:color w:val="auto"/>
              </w:rPr>
            </w:pPr>
          </w:p>
        </w:tc>
        <w:tc>
          <w:tcPr>
            <w:tcW w:w="140" w:type="dxa"/>
            <w:vAlign w:val="bottom"/>
            <w:shd w:val="clear" w:color="auto" w:fill="FDFDFC"/>
          </w:tcPr>
          <w:p>
            <w:pPr>
              <w:spacing w:after="0"/>
              <w:rPr>
                <w:sz w:val="20"/>
                <w:szCs w:val="20"/>
                <w:color w:val="auto"/>
              </w:rPr>
            </w:pPr>
          </w:p>
        </w:tc>
        <w:tc>
          <w:tcPr>
            <w:tcW w:w="1460" w:type="dxa"/>
            <w:vAlign w:val="bottom"/>
            <w:shd w:val="clear" w:color="auto" w:fill="FDFDFC"/>
          </w:tcPr>
          <w:p>
            <w:pPr>
              <w:jc w:val="right"/>
              <w:spacing w:after="0"/>
              <w:rPr>
                <w:sz w:val="20"/>
                <w:szCs w:val="20"/>
                <w:color w:val="auto"/>
              </w:rPr>
            </w:pPr>
            <w:r>
              <w:rPr>
                <w:rFonts w:ascii="Times New Roman" w:cs="Times New Roman" w:eastAsia="Times New Roman" w:hAnsi="Times New Roman"/>
                <w:sz w:val="19"/>
                <w:szCs w:val="19"/>
                <w:color w:val="231F20"/>
              </w:rPr>
              <w:t>1.0</w:t>
            </w:r>
          </w:p>
        </w:tc>
        <w:tc>
          <w:tcPr>
            <w:tcW w:w="180" w:type="dxa"/>
            <w:vAlign w:val="bottom"/>
            <w:shd w:val="clear" w:color="auto" w:fill="FDFDFC"/>
          </w:tcPr>
          <w:p>
            <w:pPr>
              <w:spacing w:after="0"/>
              <w:rPr>
                <w:sz w:val="20"/>
                <w:szCs w:val="20"/>
                <w:color w:val="auto"/>
              </w:rPr>
            </w:pPr>
          </w:p>
        </w:tc>
        <w:tc>
          <w:tcPr>
            <w:tcW w:w="180" w:type="dxa"/>
            <w:vAlign w:val="bottom"/>
            <w:shd w:val="clear" w:color="auto" w:fill="FDFDFC"/>
          </w:tcPr>
          <w:p>
            <w:pPr>
              <w:spacing w:after="0"/>
              <w:rPr>
                <w:sz w:val="20"/>
                <w:szCs w:val="20"/>
                <w:color w:val="auto"/>
              </w:rPr>
            </w:pPr>
          </w:p>
        </w:tc>
        <w:tc>
          <w:tcPr>
            <w:tcW w:w="1540" w:type="dxa"/>
            <w:vAlign w:val="bottom"/>
            <w:shd w:val="clear" w:color="auto" w:fill="FDFDFC"/>
          </w:tcPr>
          <w:p>
            <w:pPr>
              <w:jc w:val="right"/>
              <w:spacing w:after="0"/>
              <w:rPr>
                <w:sz w:val="20"/>
                <w:szCs w:val="20"/>
                <w:color w:val="auto"/>
              </w:rPr>
            </w:pPr>
            <w:r>
              <w:rPr>
                <w:rFonts w:ascii="Times New Roman" w:cs="Times New Roman" w:eastAsia="Times New Roman" w:hAnsi="Times New Roman"/>
                <w:sz w:val="19"/>
                <w:szCs w:val="19"/>
                <w:color w:val="231F20"/>
              </w:rPr>
              <w:t>1.1</w:t>
            </w:r>
          </w:p>
        </w:tc>
        <w:tc>
          <w:tcPr>
            <w:tcW w:w="80" w:type="dxa"/>
            <w:vAlign w:val="bottom"/>
            <w:shd w:val="clear" w:color="auto" w:fill="FDFD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460" w:type="dxa"/>
            <w:vAlign w:val="bottom"/>
            <w:shd w:val="clear" w:color="auto" w:fill="D0EBF2"/>
          </w:tcPr>
          <w:p>
            <w:pPr>
              <w:spacing w:after="0"/>
              <w:rPr>
                <w:sz w:val="20"/>
                <w:szCs w:val="20"/>
                <w:color w:val="auto"/>
              </w:rPr>
            </w:pPr>
            <w:r>
              <w:rPr>
                <w:rFonts w:ascii="Times New Roman" w:cs="Times New Roman" w:eastAsia="Times New Roman" w:hAnsi="Times New Roman"/>
                <w:sz w:val="19"/>
                <w:szCs w:val="19"/>
                <w:color w:val="231F20"/>
              </w:rPr>
              <w:t>Elysian Finco Ltd. - Delayed Draw &amp; Revolver</w:t>
            </w:r>
          </w:p>
        </w:tc>
        <w:tc>
          <w:tcPr>
            <w:tcW w:w="120" w:type="dxa"/>
            <w:vAlign w:val="bottom"/>
            <w:shd w:val="clear" w:color="auto" w:fill="D0EBF2"/>
          </w:tcPr>
          <w:p>
            <w:pPr>
              <w:spacing w:after="0"/>
              <w:rPr>
                <w:sz w:val="20"/>
                <w:szCs w:val="20"/>
                <w:color w:val="auto"/>
              </w:rPr>
            </w:pPr>
          </w:p>
        </w:tc>
        <w:tc>
          <w:tcPr>
            <w:tcW w:w="140" w:type="dxa"/>
            <w:vAlign w:val="bottom"/>
            <w:shd w:val="clear" w:color="auto" w:fill="D0EBF2"/>
          </w:tcPr>
          <w:p>
            <w:pPr>
              <w:spacing w:after="0"/>
              <w:rPr>
                <w:sz w:val="20"/>
                <w:szCs w:val="20"/>
                <w:color w:val="auto"/>
              </w:rPr>
            </w:pPr>
          </w:p>
        </w:tc>
        <w:tc>
          <w:tcPr>
            <w:tcW w:w="1460" w:type="dxa"/>
            <w:vAlign w:val="bottom"/>
            <w:shd w:val="clear" w:color="auto" w:fill="D0EBF2"/>
          </w:tcPr>
          <w:p>
            <w:pPr>
              <w:jc w:val="right"/>
              <w:spacing w:after="0"/>
              <w:rPr>
                <w:sz w:val="20"/>
                <w:szCs w:val="20"/>
                <w:color w:val="auto"/>
              </w:rPr>
            </w:pPr>
            <w:r>
              <w:rPr>
                <w:rFonts w:ascii="Times New Roman" w:cs="Times New Roman" w:eastAsia="Times New Roman" w:hAnsi="Times New Roman"/>
                <w:sz w:val="19"/>
                <w:szCs w:val="19"/>
                <w:color w:val="231F20"/>
              </w:rPr>
              <w:t>1.9</w:t>
            </w:r>
          </w:p>
        </w:tc>
        <w:tc>
          <w:tcPr>
            <w:tcW w:w="180" w:type="dxa"/>
            <w:vAlign w:val="bottom"/>
            <w:shd w:val="clear" w:color="auto" w:fill="D0EBF2"/>
          </w:tcPr>
          <w:p>
            <w:pPr>
              <w:spacing w:after="0"/>
              <w:rPr>
                <w:sz w:val="20"/>
                <w:szCs w:val="20"/>
                <w:color w:val="auto"/>
              </w:rPr>
            </w:pPr>
          </w:p>
        </w:tc>
        <w:tc>
          <w:tcPr>
            <w:tcW w:w="180" w:type="dxa"/>
            <w:vAlign w:val="bottom"/>
            <w:shd w:val="clear" w:color="auto" w:fill="D0EBF2"/>
          </w:tcPr>
          <w:p>
            <w:pPr>
              <w:spacing w:after="0"/>
              <w:rPr>
                <w:sz w:val="20"/>
                <w:szCs w:val="20"/>
                <w:color w:val="auto"/>
              </w:rPr>
            </w:pPr>
          </w:p>
        </w:tc>
        <w:tc>
          <w:tcPr>
            <w:tcW w:w="1540" w:type="dxa"/>
            <w:vAlign w:val="bottom"/>
            <w:shd w:val="clear" w:color="auto" w:fill="D0EBF2"/>
          </w:tcPr>
          <w:p>
            <w:pPr>
              <w:jc w:val="right"/>
              <w:spacing w:after="0"/>
              <w:rPr>
                <w:sz w:val="20"/>
                <w:szCs w:val="20"/>
                <w:color w:val="auto"/>
              </w:rPr>
            </w:pPr>
            <w:r>
              <w:rPr>
                <w:rFonts w:ascii="Times New Roman" w:cs="Times New Roman" w:eastAsia="Times New Roman" w:hAnsi="Times New Roman"/>
                <w:sz w:val="19"/>
                <w:szCs w:val="19"/>
                <w:color w:val="231F20"/>
              </w:rPr>
              <w:t>4.7</w:t>
            </w:r>
          </w:p>
        </w:tc>
        <w:tc>
          <w:tcPr>
            <w:tcW w:w="80" w:type="dxa"/>
            <w:vAlign w:val="bottom"/>
            <w:shd w:val="clear" w:color="auto" w:fill="D0EBF2"/>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460" w:type="dxa"/>
            <w:vAlign w:val="bottom"/>
            <w:shd w:val="clear" w:color="auto" w:fill="FDFDFC"/>
          </w:tcPr>
          <w:p>
            <w:pPr>
              <w:spacing w:after="0"/>
              <w:rPr>
                <w:sz w:val="20"/>
                <w:szCs w:val="20"/>
                <w:color w:val="auto"/>
              </w:rPr>
            </w:pPr>
            <w:r>
              <w:rPr>
                <w:rFonts w:ascii="Times New Roman" w:cs="Times New Roman" w:eastAsia="Times New Roman" w:hAnsi="Times New Roman"/>
                <w:sz w:val="19"/>
                <w:szCs w:val="19"/>
                <w:color w:val="231F20"/>
              </w:rPr>
              <w:t>Elysium BidCo Limited - Revolver</w:t>
            </w:r>
          </w:p>
        </w:tc>
        <w:tc>
          <w:tcPr>
            <w:tcW w:w="120" w:type="dxa"/>
            <w:vAlign w:val="bottom"/>
            <w:shd w:val="clear" w:color="auto" w:fill="FDFDFC"/>
          </w:tcPr>
          <w:p>
            <w:pPr>
              <w:spacing w:after="0"/>
              <w:rPr>
                <w:sz w:val="20"/>
                <w:szCs w:val="20"/>
                <w:color w:val="auto"/>
              </w:rPr>
            </w:pPr>
          </w:p>
        </w:tc>
        <w:tc>
          <w:tcPr>
            <w:tcW w:w="140" w:type="dxa"/>
            <w:vAlign w:val="bottom"/>
            <w:shd w:val="clear" w:color="auto" w:fill="FDFDFC"/>
          </w:tcPr>
          <w:p>
            <w:pPr>
              <w:spacing w:after="0"/>
              <w:rPr>
                <w:sz w:val="20"/>
                <w:szCs w:val="20"/>
                <w:color w:val="auto"/>
              </w:rPr>
            </w:pPr>
          </w:p>
        </w:tc>
        <w:tc>
          <w:tcPr>
            <w:tcW w:w="1460" w:type="dxa"/>
            <w:vAlign w:val="bottom"/>
            <w:shd w:val="clear" w:color="auto" w:fill="FDFDFC"/>
          </w:tcPr>
          <w:p>
            <w:pPr>
              <w:jc w:val="right"/>
              <w:spacing w:after="0"/>
              <w:rPr>
                <w:sz w:val="20"/>
                <w:szCs w:val="20"/>
                <w:color w:val="auto"/>
              </w:rPr>
            </w:pPr>
            <w:r>
              <w:rPr>
                <w:rFonts w:ascii="Times New Roman" w:cs="Times New Roman" w:eastAsia="Times New Roman" w:hAnsi="Times New Roman"/>
                <w:sz w:val="19"/>
                <w:szCs w:val="19"/>
                <w:color w:val="231F20"/>
              </w:rPr>
              <w:t>2.5</w:t>
            </w:r>
          </w:p>
        </w:tc>
        <w:tc>
          <w:tcPr>
            <w:tcW w:w="180" w:type="dxa"/>
            <w:vAlign w:val="bottom"/>
            <w:shd w:val="clear" w:color="auto" w:fill="FDFDFC"/>
          </w:tcPr>
          <w:p>
            <w:pPr>
              <w:spacing w:after="0"/>
              <w:rPr>
                <w:sz w:val="20"/>
                <w:szCs w:val="20"/>
                <w:color w:val="auto"/>
              </w:rPr>
            </w:pPr>
          </w:p>
        </w:tc>
        <w:tc>
          <w:tcPr>
            <w:tcW w:w="180" w:type="dxa"/>
            <w:vAlign w:val="bottom"/>
            <w:shd w:val="clear" w:color="auto" w:fill="FDFDFC"/>
          </w:tcPr>
          <w:p>
            <w:pPr>
              <w:spacing w:after="0"/>
              <w:rPr>
                <w:sz w:val="20"/>
                <w:szCs w:val="20"/>
                <w:color w:val="auto"/>
              </w:rPr>
            </w:pPr>
          </w:p>
        </w:tc>
        <w:tc>
          <w:tcPr>
            <w:tcW w:w="1620" w:type="dxa"/>
            <w:vAlign w:val="bottom"/>
            <w:gridSpan w:val="2"/>
            <w:shd w:val="clear" w:color="auto" w:fill="FDFDFC"/>
          </w:tcPr>
          <w:p>
            <w:pPr>
              <w:jc w:val="right"/>
              <w:ind w:right="100"/>
              <w:spacing w:after="0"/>
              <w:rPr>
                <w:sz w:val="20"/>
                <w:szCs w:val="20"/>
                <w:color w:val="auto"/>
              </w:rPr>
            </w:pPr>
            <w:r>
              <w:rPr>
                <w:rFonts w:ascii="Times New Roman" w:cs="Times New Roman" w:eastAsia="Times New Roman" w:hAnsi="Times New Roman"/>
                <w:sz w:val="19"/>
                <w:szCs w:val="19"/>
                <w:color w:val="231F20"/>
              </w:rPr>
              <w:t>—</w:t>
            </w:r>
          </w:p>
        </w:tc>
        <w:tc>
          <w:tcPr>
            <w:tcW w:w="0" w:type="dxa"/>
            <w:vAlign w:val="bottom"/>
          </w:tcPr>
          <w:p>
            <w:pPr>
              <w:spacing w:after="0"/>
              <w:rPr>
                <w:sz w:val="1"/>
                <w:szCs w:val="1"/>
                <w:color w:val="auto"/>
              </w:rPr>
            </w:pPr>
          </w:p>
        </w:tc>
      </w:tr>
      <w:tr>
        <w:trPr>
          <w:trHeight w:val="210"/>
        </w:trPr>
        <w:tc>
          <w:tcPr>
            <w:tcW w:w="4460" w:type="dxa"/>
            <w:vAlign w:val="bottom"/>
            <w:shd w:val="clear" w:color="auto" w:fill="D0EBF2"/>
          </w:tcPr>
          <w:p>
            <w:pPr>
              <w:spacing w:after="0" w:line="211" w:lineRule="exact"/>
              <w:rPr>
                <w:sz w:val="20"/>
                <w:szCs w:val="20"/>
                <w:color w:val="auto"/>
              </w:rPr>
            </w:pPr>
            <w:r>
              <w:rPr>
                <w:rFonts w:ascii="Times New Roman" w:cs="Times New Roman" w:eastAsia="Times New Roman" w:hAnsi="Times New Roman"/>
                <w:sz w:val="19"/>
                <w:szCs w:val="19"/>
                <w:color w:val="231F20"/>
              </w:rPr>
              <w:t>Employment Hero Holdings Pty Ltd. - Delayed Draw &amp;</w:t>
            </w:r>
          </w:p>
        </w:tc>
        <w:tc>
          <w:tcPr>
            <w:tcW w:w="120" w:type="dxa"/>
            <w:vAlign w:val="bottom"/>
            <w:shd w:val="clear" w:color="auto" w:fill="D0EBF2"/>
          </w:tcPr>
          <w:p>
            <w:pPr>
              <w:spacing w:after="0"/>
              <w:rPr>
                <w:sz w:val="18"/>
                <w:szCs w:val="18"/>
                <w:color w:val="auto"/>
              </w:rPr>
            </w:pPr>
          </w:p>
        </w:tc>
        <w:tc>
          <w:tcPr>
            <w:tcW w:w="140" w:type="dxa"/>
            <w:vAlign w:val="bottom"/>
            <w:shd w:val="clear" w:color="auto" w:fill="D0EBF2"/>
          </w:tcPr>
          <w:p>
            <w:pPr>
              <w:spacing w:after="0"/>
              <w:rPr>
                <w:sz w:val="18"/>
                <w:szCs w:val="18"/>
                <w:color w:val="auto"/>
              </w:rPr>
            </w:pPr>
          </w:p>
        </w:tc>
        <w:tc>
          <w:tcPr>
            <w:tcW w:w="1460" w:type="dxa"/>
            <w:vAlign w:val="bottom"/>
            <w:vMerge w:val="restart"/>
            <w:shd w:val="clear" w:color="auto" w:fill="D0EBF2"/>
          </w:tcPr>
          <w:p>
            <w:pPr>
              <w:jc w:val="right"/>
              <w:spacing w:after="0"/>
              <w:rPr>
                <w:sz w:val="20"/>
                <w:szCs w:val="20"/>
                <w:color w:val="auto"/>
              </w:rPr>
            </w:pPr>
            <w:r>
              <w:rPr>
                <w:rFonts w:ascii="Times New Roman" w:cs="Times New Roman" w:eastAsia="Times New Roman" w:hAnsi="Times New Roman"/>
                <w:sz w:val="19"/>
                <w:szCs w:val="19"/>
                <w:color w:val="231F20"/>
              </w:rPr>
              <w:t>1.9</w:t>
            </w:r>
          </w:p>
        </w:tc>
        <w:tc>
          <w:tcPr>
            <w:tcW w:w="180" w:type="dxa"/>
            <w:vAlign w:val="bottom"/>
            <w:shd w:val="clear" w:color="auto" w:fill="D0EBF2"/>
          </w:tcPr>
          <w:p>
            <w:pPr>
              <w:spacing w:after="0"/>
              <w:rPr>
                <w:sz w:val="18"/>
                <w:szCs w:val="18"/>
                <w:color w:val="auto"/>
              </w:rPr>
            </w:pPr>
          </w:p>
        </w:tc>
        <w:tc>
          <w:tcPr>
            <w:tcW w:w="180" w:type="dxa"/>
            <w:vAlign w:val="bottom"/>
            <w:shd w:val="clear" w:color="auto" w:fill="D0EBF2"/>
          </w:tcPr>
          <w:p>
            <w:pPr>
              <w:spacing w:after="0"/>
              <w:rPr>
                <w:sz w:val="18"/>
                <w:szCs w:val="18"/>
                <w:color w:val="auto"/>
              </w:rPr>
            </w:pPr>
          </w:p>
        </w:tc>
        <w:tc>
          <w:tcPr>
            <w:tcW w:w="1540" w:type="dxa"/>
            <w:vAlign w:val="bottom"/>
            <w:vMerge w:val="restart"/>
            <w:shd w:val="clear" w:color="auto" w:fill="D0EBF2"/>
          </w:tcPr>
          <w:p>
            <w:pPr>
              <w:jc w:val="right"/>
              <w:spacing w:after="0"/>
              <w:rPr>
                <w:sz w:val="20"/>
                <w:szCs w:val="20"/>
                <w:color w:val="auto"/>
              </w:rPr>
            </w:pPr>
            <w:r>
              <w:rPr>
                <w:rFonts w:ascii="Times New Roman" w:cs="Times New Roman" w:eastAsia="Times New Roman" w:hAnsi="Times New Roman"/>
                <w:sz w:val="19"/>
                <w:szCs w:val="19"/>
                <w:color w:val="231F20"/>
              </w:rPr>
              <w:t>8.9</w:t>
            </w:r>
          </w:p>
        </w:tc>
        <w:tc>
          <w:tcPr>
            <w:tcW w:w="80" w:type="dxa"/>
            <w:vAlign w:val="bottom"/>
            <w:shd w:val="clear" w:color="auto" w:fill="D0EBF2"/>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4460" w:type="dxa"/>
            <w:vAlign w:val="bottom"/>
            <w:shd w:val="clear" w:color="auto" w:fill="D0EBF2"/>
          </w:tcPr>
          <w:p>
            <w:pPr>
              <w:spacing w:after="0"/>
              <w:rPr>
                <w:sz w:val="20"/>
                <w:szCs w:val="20"/>
                <w:color w:val="auto"/>
              </w:rPr>
            </w:pPr>
            <w:r>
              <w:rPr>
                <w:rFonts w:ascii="Times New Roman" w:cs="Times New Roman" w:eastAsia="Times New Roman" w:hAnsi="Times New Roman"/>
                <w:sz w:val="19"/>
                <w:szCs w:val="19"/>
                <w:color w:val="231F20"/>
              </w:rPr>
              <w:t>Revolver</w:t>
            </w:r>
          </w:p>
        </w:tc>
        <w:tc>
          <w:tcPr>
            <w:tcW w:w="120" w:type="dxa"/>
            <w:vAlign w:val="bottom"/>
            <w:shd w:val="clear" w:color="auto" w:fill="D0EBF2"/>
          </w:tcPr>
          <w:p>
            <w:pPr>
              <w:spacing w:after="0"/>
              <w:rPr>
                <w:sz w:val="20"/>
                <w:szCs w:val="20"/>
                <w:color w:val="auto"/>
              </w:rPr>
            </w:pPr>
          </w:p>
        </w:tc>
        <w:tc>
          <w:tcPr>
            <w:tcW w:w="140" w:type="dxa"/>
            <w:vAlign w:val="bottom"/>
            <w:shd w:val="clear" w:color="auto" w:fill="D0EBF2"/>
          </w:tcPr>
          <w:p>
            <w:pPr>
              <w:spacing w:after="0"/>
              <w:rPr>
                <w:sz w:val="20"/>
                <w:szCs w:val="20"/>
                <w:color w:val="auto"/>
              </w:rPr>
            </w:pPr>
          </w:p>
        </w:tc>
        <w:tc>
          <w:tcPr>
            <w:tcW w:w="1460" w:type="dxa"/>
            <w:vAlign w:val="bottom"/>
            <w:vMerge w:val="continue"/>
            <w:shd w:val="clear" w:color="auto" w:fill="D0EBF2"/>
          </w:tcPr>
          <w:p>
            <w:pPr>
              <w:spacing w:after="0"/>
              <w:rPr>
                <w:sz w:val="20"/>
                <w:szCs w:val="20"/>
                <w:color w:val="auto"/>
              </w:rPr>
            </w:pPr>
          </w:p>
        </w:tc>
        <w:tc>
          <w:tcPr>
            <w:tcW w:w="180" w:type="dxa"/>
            <w:vAlign w:val="bottom"/>
            <w:shd w:val="clear" w:color="auto" w:fill="D0EBF2"/>
          </w:tcPr>
          <w:p>
            <w:pPr>
              <w:spacing w:after="0"/>
              <w:rPr>
                <w:sz w:val="20"/>
                <w:szCs w:val="20"/>
                <w:color w:val="auto"/>
              </w:rPr>
            </w:pPr>
          </w:p>
        </w:tc>
        <w:tc>
          <w:tcPr>
            <w:tcW w:w="180" w:type="dxa"/>
            <w:vAlign w:val="bottom"/>
            <w:shd w:val="clear" w:color="auto" w:fill="D0EBF2"/>
          </w:tcPr>
          <w:p>
            <w:pPr>
              <w:spacing w:after="0"/>
              <w:rPr>
                <w:sz w:val="20"/>
                <w:szCs w:val="20"/>
                <w:color w:val="auto"/>
              </w:rPr>
            </w:pPr>
          </w:p>
        </w:tc>
        <w:tc>
          <w:tcPr>
            <w:tcW w:w="1540" w:type="dxa"/>
            <w:vAlign w:val="bottom"/>
            <w:vMerge w:val="continue"/>
            <w:shd w:val="clear" w:color="auto" w:fill="D0EBF2"/>
          </w:tcPr>
          <w:p>
            <w:pPr>
              <w:spacing w:after="0"/>
              <w:rPr>
                <w:sz w:val="20"/>
                <w:szCs w:val="20"/>
                <w:color w:val="auto"/>
              </w:rPr>
            </w:pPr>
          </w:p>
        </w:tc>
        <w:tc>
          <w:tcPr>
            <w:tcW w:w="80" w:type="dxa"/>
            <w:vAlign w:val="bottom"/>
            <w:shd w:val="clear" w:color="auto" w:fill="D0EBF2"/>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460" w:type="dxa"/>
            <w:vAlign w:val="bottom"/>
            <w:shd w:val="clear" w:color="auto" w:fill="FDFDFC"/>
          </w:tcPr>
          <w:p>
            <w:pPr>
              <w:spacing w:after="0"/>
              <w:rPr>
                <w:sz w:val="20"/>
                <w:szCs w:val="20"/>
                <w:color w:val="auto"/>
              </w:rPr>
            </w:pPr>
            <w:r>
              <w:rPr>
                <w:rFonts w:ascii="Times New Roman" w:cs="Times New Roman" w:eastAsia="Times New Roman" w:hAnsi="Times New Roman"/>
                <w:sz w:val="19"/>
                <w:szCs w:val="19"/>
                <w:color w:val="231F20"/>
              </w:rPr>
              <w:t>EMS Linq, Inc. - Revolver</w:t>
            </w:r>
          </w:p>
        </w:tc>
        <w:tc>
          <w:tcPr>
            <w:tcW w:w="120" w:type="dxa"/>
            <w:vAlign w:val="bottom"/>
            <w:shd w:val="clear" w:color="auto" w:fill="FDFDFC"/>
          </w:tcPr>
          <w:p>
            <w:pPr>
              <w:spacing w:after="0"/>
              <w:rPr>
                <w:sz w:val="20"/>
                <w:szCs w:val="20"/>
                <w:color w:val="auto"/>
              </w:rPr>
            </w:pPr>
          </w:p>
        </w:tc>
        <w:tc>
          <w:tcPr>
            <w:tcW w:w="140" w:type="dxa"/>
            <w:vAlign w:val="bottom"/>
            <w:shd w:val="clear" w:color="auto" w:fill="FDFDFC"/>
          </w:tcPr>
          <w:p>
            <w:pPr>
              <w:spacing w:after="0"/>
              <w:rPr>
                <w:sz w:val="20"/>
                <w:szCs w:val="20"/>
                <w:color w:val="auto"/>
              </w:rPr>
            </w:pPr>
          </w:p>
        </w:tc>
        <w:tc>
          <w:tcPr>
            <w:tcW w:w="1460" w:type="dxa"/>
            <w:vAlign w:val="bottom"/>
            <w:shd w:val="clear" w:color="auto" w:fill="FDFDFC"/>
          </w:tcPr>
          <w:p>
            <w:pPr>
              <w:jc w:val="right"/>
              <w:spacing w:after="0"/>
              <w:rPr>
                <w:sz w:val="20"/>
                <w:szCs w:val="20"/>
                <w:color w:val="auto"/>
              </w:rPr>
            </w:pPr>
            <w:r>
              <w:rPr>
                <w:rFonts w:ascii="Times New Roman" w:cs="Times New Roman" w:eastAsia="Times New Roman" w:hAnsi="Times New Roman"/>
                <w:sz w:val="19"/>
                <w:szCs w:val="19"/>
                <w:color w:val="231F20"/>
              </w:rPr>
              <w:t>4.6</w:t>
            </w:r>
          </w:p>
        </w:tc>
        <w:tc>
          <w:tcPr>
            <w:tcW w:w="180" w:type="dxa"/>
            <w:vAlign w:val="bottom"/>
            <w:shd w:val="clear" w:color="auto" w:fill="FDFDFC"/>
          </w:tcPr>
          <w:p>
            <w:pPr>
              <w:spacing w:after="0"/>
              <w:rPr>
                <w:sz w:val="20"/>
                <w:szCs w:val="20"/>
                <w:color w:val="auto"/>
              </w:rPr>
            </w:pPr>
          </w:p>
        </w:tc>
        <w:tc>
          <w:tcPr>
            <w:tcW w:w="180" w:type="dxa"/>
            <w:vAlign w:val="bottom"/>
            <w:shd w:val="clear" w:color="auto" w:fill="FDFDFC"/>
          </w:tcPr>
          <w:p>
            <w:pPr>
              <w:spacing w:after="0"/>
              <w:rPr>
                <w:sz w:val="20"/>
                <w:szCs w:val="20"/>
                <w:color w:val="auto"/>
              </w:rPr>
            </w:pPr>
          </w:p>
        </w:tc>
        <w:tc>
          <w:tcPr>
            <w:tcW w:w="1540" w:type="dxa"/>
            <w:vAlign w:val="bottom"/>
            <w:shd w:val="clear" w:color="auto" w:fill="FDFDFC"/>
          </w:tcPr>
          <w:p>
            <w:pPr>
              <w:jc w:val="right"/>
              <w:spacing w:after="0"/>
              <w:rPr>
                <w:sz w:val="20"/>
                <w:szCs w:val="20"/>
                <w:color w:val="auto"/>
              </w:rPr>
            </w:pPr>
            <w:r>
              <w:rPr>
                <w:rFonts w:ascii="Times New Roman" w:cs="Times New Roman" w:eastAsia="Times New Roman" w:hAnsi="Times New Roman"/>
                <w:sz w:val="19"/>
                <w:szCs w:val="19"/>
                <w:color w:val="231F20"/>
              </w:rPr>
              <w:t>8.8</w:t>
            </w:r>
          </w:p>
        </w:tc>
        <w:tc>
          <w:tcPr>
            <w:tcW w:w="80" w:type="dxa"/>
            <w:vAlign w:val="bottom"/>
            <w:shd w:val="clear" w:color="auto" w:fill="FDFD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460" w:type="dxa"/>
            <w:vAlign w:val="bottom"/>
            <w:shd w:val="clear" w:color="auto" w:fill="D0EBF2"/>
          </w:tcPr>
          <w:p>
            <w:pPr>
              <w:spacing w:after="0"/>
              <w:rPr>
                <w:sz w:val="20"/>
                <w:szCs w:val="20"/>
                <w:color w:val="auto"/>
              </w:rPr>
            </w:pPr>
            <w:r>
              <w:rPr>
                <w:rFonts w:ascii="Times New Roman" w:cs="Times New Roman" w:eastAsia="Times New Roman" w:hAnsi="Times New Roman"/>
                <w:sz w:val="19"/>
                <w:szCs w:val="19"/>
                <w:color w:val="231F20"/>
              </w:rPr>
              <w:t>Erling Lux Bidco SARL - Delayed Draw &amp; Revolver</w:t>
            </w:r>
          </w:p>
        </w:tc>
        <w:tc>
          <w:tcPr>
            <w:tcW w:w="120" w:type="dxa"/>
            <w:vAlign w:val="bottom"/>
            <w:shd w:val="clear" w:color="auto" w:fill="D0EBF2"/>
          </w:tcPr>
          <w:p>
            <w:pPr>
              <w:spacing w:after="0"/>
              <w:rPr>
                <w:sz w:val="20"/>
                <w:szCs w:val="20"/>
                <w:color w:val="auto"/>
              </w:rPr>
            </w:pPr>
          </w:p>
        </w:tc>
        <w:tc>
          <w:tcPr>
            <w:tcW w:w="140" w:type="dxa"/>
            <w:vAlign w:val="bottom"/>
            <w:shd w:val="clear" w:color="auto" w:fill="D0EBF2"/>
          </w:tcPr>
          <w:p>
            <w:pPr>
              <w:spacing w:after="0"/>
              <w:rPr>
                <w:sz w:val="20"/>
                <w:szCs w:val="20"/>
                <w:color w:val="auto"/>
              </w:rPr>
            </w:pPr>
          </w:p>
        </w:tc>
        <w:tc>
          <w:tcPr>
            <w:tcW w:w="1460" w:type="dxa"/>
            <w:vAlign w:val="bottom"/>
            <w:shd w:val="clear" w:color="auto" w:fill="D0EBF2"/>
          </w:tcPr>
          <w:p>
            <w:pPr>
              <w:jc w:val="right"/>
              <w:spacing w:after="0"/>
              <w:rPr>
                <w:sz w:val="20"/>
                <w:szCs w:val="20"/>
                <w:color w:val="auto"/>
              </w:rPr>
            </w:pPr>
            <w:r>
              <w:rPr>
                <w:rFonts w:ascii="Times New Roman" w:cs="Times New Roman" w:eastAsia="Times New Roman" w:hAnsi="Times New Roman"/>
                <w:sz w:val="19"/>
                <w:szCs w:val="19"/>
                <w:color w:val="231F20"/>
              </w:rPr>
              <w:t>2.8</w:t>
            </w:r>
          </w:p>
        </w:tc>
        <w:tc>
          <w:tcPr>
            <w:tcW w:w="180" w:type="dxa"/>
            <w:vAlign w:val="bottom"/>
            <w:shd w:val="clear" w:color="auto" w:fill="D0EBF2"/>
          </w:tcPr>
          <w:p>
            <w:pPr>
              <w:spacing w:after="0"/>
              <w:rPr>
                <w:sz w:val="20"/>
                <w:szCs w:val="20"/>
                <w:color w:val="auto"/>
              </w:rPr>
            </w:pPr>
          </w:p>
        </w:tc>
        <w:tc>
          <w:tcPr>
            <w:tcW w:w="180" w:type="dxa"/>
            <w:vAlign w:val="bottom"/>
            <w:shd w:val="clear" w:color="auto" w:fill="D0EBF2"/>
          </w:tcPr>
          <w:p>
            <w:pPr>
              <w:spacing w:after="0"/>
              <w:rPr>
                <w:sz w:val="20"/>
                <w:szCs w:val="20"/>
                <w:color w:val="auto"/>
              </w:rPr>
            </w:pPr>
          </w:p>
        </w:tc>
        <w:tc>
          <w:tcPr>
            <w:tcW w:w="1540" w:type="dxa"/>
            <w:vAlign w:val="bottom"/>
            <w:shd w:val="clear" w:color="auto" w:fill="D0EBF2"/>
          </w:tcPr>
          <w:p>
            <w:pPr>
              <w:jc w:val="right"/>
              <w:spacing w:after="0"/>
              <w:rPr>
                <w:sz w:val="20"/>
                <w:szCs w:val="20"/>
                <w:color w:val="auto"/>
              </w:rPr>
            </w:pPr>
            <w:r>
              <w:rPr>
                <w:rFonts w:ascii="Times New Roman" w:cs="Times New Roman" w:eastAsia="Times New Roman" w:hAnsi="Times New Roman"/>
                <w:sz w:val="19"/>
                <w:szCs w:val="19"/>
                <w:color w:val="231F20"/>
              </w:rPr>
              <w:t>3.2</w:t>
            </w:r>
          </w:p>
        </w:tc>
        <w:tc>
          <w:tcPr>
            <w:tcW w:w="80" w:type="dxa"/>
            <w:vAlign w:val="bottom"/>
            <w:shd w:val="clear" w:color="auto" w:fill="D0EBF2"/>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460" w:type="dxa"/>
            <w:vAlign w:val="bottom"/>
            <w:shd w:val="clear" w:color="auto" w:fill="FDFDFC"/>
          </w:tcPr>
          <w:p>
            <w:pPr>
              <w:spacing w:after="0"/>
              <w:rPr>
                <w:sz w:val="20"/>
                <w:szCs w:val="20"/>
                <w:color w:val="auto"/>
              </w:rPr>
            </w:pPr>
            <w:r>
              <w:rPr>
                <w:rFonts w:ascii="Times New Roman" w:cs="Times New Roman" w:eastAsia="Times New Roman" w:hAnsi="Times New Roman"/>
                <w:sz w:val="19"/>
                <w:szCs w:val="19"/>
                <w:color w:val="231F20"/>
              </w:rPr>
              <w:t>Eventus Buyer, LLC - Delayed Draw &amp; Revolver</w:t>
            </w:r>
          </w:p>
        </w:tc>
        <w:tc>
          <w:tcPr>
            <w:tcW w:w="120" w:type="dxa"/>
            <w:vAlign w:val="bottom"/>
            <w:shd w:val="clear" w:color="auto" w:fill="FDFDFC"/>
          </w:tcPr>
          <w:p>
            <w:pPr>
              <w:spacing w:after="0"/>
              <w:rPr>
                <w:sz w:val="20"/>
                <w:szCs w:val="20"/>
                <w:color w:val="auto"/>
              </w:rPr>
            </w:pPr>
          </w:p>
        </w:tc>
        <w:tc>
          <w:tcPr>
            <w:tcW w:w="140" w:type="dxa"/>
            <w:vAlign w:val="bottom"/>
            <w:shd w:val="clear" w:color="auto" w:fill="FDFDFC"/>
          </w:tcPr>
          <w:p>
            <w:pPr>
              <w:spacing w:after="0"/>
              <w:rPr>
                <w:sz w:val="20"/>
                <w:szCs w:val="20"/>
                <w:color w:val="auto"/>
              </w:rPr>
            </w:pPr>
          </w:p>
        </w:tc>
        <w:tc>
          <w:tcPr>
            <w:tcW w:w="1460" w:type="dxa"/>
            <w:vAlign w:val="bottom"/>
            <w:shd w:val="clear" w:color="auto" w:fill="FDFDFC"/>
          </w:tcPr>
          <w:p>
            <w:pPr>
              <w:jc w:val="right"/>
              <w:spacing w:after="0"/>
              <w:rPr>
                <w:sz w:val="20"/>
                <w:szCs w:val="20"/>
                <w:color w:val="auto"/>
              </w:rPr>
            </w:pPr>
            <w:r>
              <w:rPr>
                <w:rFonts w:ascii="Times New Roman" w:cs="Times New Roman" w:eastAsia="Times New Roman" w:hAnsi="Times New Roman"/>
                <w:sz w:val="19"/>
                <w:szCs w:val="19"/>
                <w:color w:val="231F20"/>
              </w:rPr>
              <w:t>10.0</w:t>
            </w:r>
          </w:p>
        </w:tc>
        <w:tc>
          <w:tcPr>
            <w:tcW w:w="180" w:type="dxa"/>
            <w:vAlign w:val="bottom"/>
            <w:shd w:val="clear" w:color="auto" w:fill="FDFDFC"/>
          </w:tcPr>
          <w:p>
            <w:pPr>
              <w:spacing w:after="0"/>
              <w:rPr>
                <w:sz w:val="20"/>
                <w:szCs w:val="20"/>
                <w:color w:val="auto"/>
              </w:rPr>
            </w:pPr>
          </w:p>
        </w:tc>
        <w:tc>
          <w:tcPr>
            <w:tcW w:w="180" w:type="dxa"/>
            <w:vAlign w:val="bottom"/>
            <w:shd w:val="clear" w:color="auto" w:fill="FDFDFC"/>
          </w:tcPr>
          <w:p>
            <w:pPr>
              <w:spacing w:after="0"/>
              <w:rPr>
                <w:sz w:val="20"/>
                <w:szCs w:val="20"/>
                <w:color w:val="auto"/>
              </w:rPr>
            </w:pPr>
          </w:p>
        </w:tc>
        <w:tc>
          <w:tcPr>
            <w:tcW w:w="1620" w:type="dxa"/>
            <w:vAlign w:val="bottom"/>
            <w:gridSpan w:val="2"/>
            <w:shd w:val="clear" w:color="auto" w:fill="FDFDFC"/>
          </w:tcPr>
          <w:p>
            <w:pPr>
              <w:jc w:val="right"/>
              <w:ind w:right="100"/>
              <w:spacing w:after="0"/>
              <w:rPr>
                <w:sz w:val="20"/>
                <w:szCs w:val="20"/>
                <w:color w:val="auto"/>
              </w:rPr>
            </w:pPr>
            <w:r>
              <w:rPr>
                <w:rFonts w:ascii="Times New Roman" w:cs="Times New Roman" w:eastAsia="Times New Roman" w:hAnsi="Times New Roman"/>
                <w:sz w:val="19"/>
                <w:szCs w:val="19"/>
                <w:color w:val="231F20"/>
              </w:rPr>
              <w:t>—</w:t>
            </w:r>
          </w:p>
        </w:tc>
        <w:tc>
          <w:tcPr>
            <w:tcW w:w="0" w:type="dxa"/>
            <w:vAlign w:val="bottom"/>
          </w:tcPr>
          <w:p>
            <w:pPr>
              <w:spacing w:after="0"/>
              <w:rPr>
                <w:sz w:val="1"/>
                <w:szCs w:val="1"/>
                <w:color w:val="auto"/>
              </w:rPr>
            </w:pPr>
          </w:p>
        </w:tc>
      </w:tr>
      <w:tr>
        <w:trPr>
          <w:trHeight w:val="230"/>
        </w:trPr>
        <w:tc>
          <w:tcPr>
            <w:tcW w:w="4460" w:type="dxa"/>
            <w:vAlign w:val="bottom"/>
            <w:shd w:val="clear" w:color="auto" w:fill="D0EBF2"/>
          </w:tcPr>
          <w:p>
            <w:pPr>
              <w:spacing w:after="0"/>
              <w:rPr>
                <w:sz w:val="20"/>
                <w:szCs w:val="20"/>
                <w:color w:val="auto"/>
              </w:rPr>
            </w:pPr>
            <w:r>
              <w:rPr>
                <w:rFonts w:ascii="Times New Roman" w:cs="Times New Roman" w:eastAsia="Times New Roman" w:hAnsi="Times New Roman"/>
                <w:sz w:val="19"/>
                <w:szCs w:val="19"/>
                <w:color w:val="231F20"/>
              </w:rPr>
              <w:t>ExtraHop Networks, Inc. - Delayed Draw &amp; Revolver</w:t>
            </w:r>
          </w:p>
        </w:tc>
        <w:tc>
          <w:tcPr>
            <w:tcW w:w="120" w:type="dxa"/>
            <w:vAlign w:val="bottom"/>
            <w:shd w:val="clear" w:color="auto" w:fill="D0EBF2"/>
          </w:tcPr>
          <w:p>
            <w:pPr>
              <w:spacing w:after="0"/>
              <w:rPr>
                <w:sz w:val="20"/>
                <w:szCs w:val="20"/>
                <w:color w:val="auto"/>
              </w:rPr>
            </w:pPr>
          </w:p>
        </w:tc>
        <w:tc>
          <w:tcPr>
            <w:tcW w:w="140" w:type="dxa"/>
            <w:vAlign w:val="bottom"/>
            <w:shd w:val="clear" w:color="auto" w:fill="D0EBF2"/>
          </w:tcPr>
          <w:p>
            <w:pPr>
              <w:spacing w:after="0"/>
              <w:rPr>
                <w:sz w:val="20"/>
                <w:szCs w:val="20"/>
                <w:color w:val="auto"/>
              </w:rPr>
            </w:pPr>
          </w:p>
        </w:tc>
        <w:tc>
          <w:tcPr>
            <w:tcW w:w="1460" w:type="dxa"/>
            <w:vAlign w:val="bottom"/>
            <w:shd w:val="clear" w:color="auto" w:fill="D0EBF2"/>
          </w:tcPr>
          <w:p>
            <w:pPr>
              <w:jc w:val="right"/>
              <w:spacing w:after="0"/>
              <w:rPr>
                <w:sz w:val="20"/>
                <w:szCs w:val="20"/>
                <w:color w:val="auto"/>
              </w:rPr>
            </w:pPr>
            <w:r>
              <w:rPr>
                <w:rFonts w:ascii="Times New Roman" w:cs="Times New Roman" w:eastAsia="Times New Roman" w:hAnsi="Times New Roman"/>
                <w:sz w:val="19"/>
                <w:szCs w:val="19"/>
                <w:color w:val="231F20"/>
              </w:rPr>
              <w:t>3.4</w:t>
            </w:r>
          </w:p>
        </w:tc>
        <w:tc>
          <w:tcPr>
            <w:tcW w:w="180" w:type="dxa"/>
            <w:vAlign w:val="bottom"/>
            <w:shd w:val="clear" w:color="auto" w:fill="D0EBF2"/>
          </w:tcPr>
          <w:p>
            <w:pPr>
              <w:spacing w:after="0"/>
              <w:rPr>
                <w:sz w:val="20"/>
                <w:szCs w:val="20"/>
                <w:color w:val="auto"/>
              </w:rPr>
            </w:pPr>
          </w:p>
        </w:tc>
        <w:tc>
          <w:tcPr>
            <w:tcW w:w="180" w:type="dxa"/>
            <w:vAlign w:val="bottom"/>
            <w:shd w:val="clear" w:color="auto" w:fill="D0EBF2"/>
          </w:tcPr>
          <w:p>
            <w:pPr>
              <w:spacing w:after="0"/>
              <w:rPr>
                <w:sz w:val="20"/>
                <w:szCs w:val="20"/>
                <w:color w:val="auto"/>
              </w:rPr>
            </w:pPr>
          </w:p>
        </w:tc>
        <w:tc>
          <w:tcPr>
            <w:tcW w:w="1540" w:type="dxa"/>
            <w:vAlign w:val="bottom"/>
            <w:shd w:val="clear" w:color="auto" w:fill="D0EBF2"/>
          </w:tcPr>
          <w:p>
            <w:pPr>
              <w:jc w:val="right"/>
              <w:spacing w:after="0"/>
              <w:rPr>
                <w:sz w:val="20"/>
                <w:szCs w:val="20"/>
                <w:color w:val="auto"/>
              </w:rPr>
            </w:pPr>
            <w:r>
              <w:rPr>
                <w:rFonts w:ascii="Times New Roman" w:cs="Times New Roman" w:eastAsia="Times New Roman" w:hAnsi="Times New Roman"/>
                <w:sz w:val="19"/>
                <w:szCs w:val="19"/>
                <w:color w:val="231F20"/>
              </w:rPr>
              <w:t>9.8</w:t>
            </w:r>
          </w:p>
        </w:tc>
        <w:tc>
          <w:tcPr>
            <w:tcW w:w="80" w:type="dxa"/>
            <w:vAlign w:val="bottom"/>
            <w:shd w:val="clear" w:color="auto" w:fill="D0EBF2"/>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460" w:type="dxa"/>
            <w:vAlign w:val="bottom"/>
            <w:shd w:val="clear" w:color="auto" w:fill="FDFDFC"/>
          </w:tcPr>
          <w:p>
            <w:pPr>
              <w:spacing w:after="0"/>
              <w:rPr>
                <w:sz w:val="20"/>
                <w:szCs w:val="20"/>
                <w:color w:val="auto"/>
              </w:rPr>
            </w:pPr>
            <w:r>
              <w:rPr>
                <w:rFonts w:ascii="Times New Roman" w:cs="Times New Roman" w:eastAsia="Times New Roman" w:hAnsi="Times New Roman"/>
                <w:sz w:val="19"/>
                <w:szCs w:val="19"/>
                <w:color w:val="231F20"/>
              </w:rPr>
              <w:t>Flight Intermediate HoldCo, Inc. - Delayed Draw</w:t>
            </w:r>
          </w:p>
        </w:tc>
        <w:tc>
          <w:tcPr>
            <w:tcW w:w="120" w:type="dxa"/>
            <w:vAlign w:val="bottom"/>
            <w:shd w:val="clear" w:color="auto" w:fill="FDFDFC"/>
          </w:tcPr>
          <w:p>
            <w:pPr>
              <w:spacing w:after="0"/>
              <w:rPr>
                <w:sz w:val="20"/>
                <w:szCs w:val="20"/>
                <w:color w:val="auto"/>
              </w:rPr>
            </w:pPr>
          </w:p>
        </w:tc>
        <w:tc>
          <w:tcPr>
            <w:tcW w:w="140" w:type="dxa"/>
            <w:vAlign w:val="bottom"/>
            <w:shd w:val="clear" w:color="auto" w:fill="FDFDFC"/>
          </w:tcPr>
          <w:p>
            <w:pPr>
              <w:spacing w:after="0"/>
              <w:rPr>
                <w:sz w:val="20"/>
                <w:szCs w:val="20"/>
                <w:color w:val="auto"/>
              </w:rPr>
            </w:pPr>
          </w:p>
        </w:tc>
        <w:tc>
          <w:tcPr>
            <w:tcW w:w="1460" w:type="dxa"/>
            <w:vAlign w:val="bottom"/>
            <w:shd w:val="clear" w:color="auto" w:fill="FDFDFC"/>
          </w:tcPr>
          <w:p>
            <w:pPr>
              <w:jc w:val="right"/>
              <w:spacing w:after="0"/>
              <w:rPr>
                <w:sz w:val="20"/>
                <w:szCs w:val="20"/>
                <w:color w:val="auto"/>
              </w:rPr>
            </w:pPr>
            <w:r>
              <w:rPr>
                <w:rFonts w:ascii="Times New Roman" w:cs="Times New Roman" w:eastAsia="Times New Roman" w:hAnsi="Times New Roman"/>
                <w:sz w:val="19"/>
                <w:szCs w:val="19"/>
                <w:color w:val="231F20"/>
              </w:rPr>
              <w:t>37.9</w:t>
            </w:r>
          </w:p>
        </w:tc>
        <w:tc>
          <w:tcPr>
            <w:tcW w:w="180" w:type="dxa"/>
            <w:vAlign w:val="bottom"/>
            <w:shd w:val="clear" w:color="auto" w:fill="FDFDFC"/>
          </w:tcPr>
          <w:p>
            <w:pPr>
              <w:spacing w:after="0"/>
              <w:rPr>
                <w:sz w:val="20"/>
                <w:szCs w:val="20"/>
                <w:color w:val="auto"/>
              </w:rPr>
            </w:pPr>
          </w:p>
        </w:tc>
        <w:tc>
          <w:tcPr>
            <w:tcW w:w="180" w:type="dxa"/>
            <w:vAlign w:val="bottom"/>
            <w:shd w:val="clear" w:color="auto" w:fill="FDFDFC"/>
          </w:tcPr>
          <w:p>
            <w:pPr>
              <w:spacing w:after="0"/>
              <w:rPr>
                <w:sz w:val="20"/>
                <w:szCs w:val="20"/>
                <w:color w:val="auto"/>
              </w:rPr>
            </w:pPr>
          </w:p>
        </w:tc>
        <w:tc>
          <w:tcPr>
            <w:tcW w:w="1620" w:type="dxa"/>
            <w:vAlign w:val="bottom"/>
            <w:gridSpan w:val="2"/>
            <w:shd w:val="clear" w:color="auto" w:fill="FDFDFC"/>
          </w:tcPr>
          <w:p>
            <w:pPr>
              <w:jc w:val="right"/>
              <w:ind w:right="100"/>
              <w:spacing w:after="0"/>
              <w:rPr>
                <w:sz w:val="20"/>
                <w:szCs w:val="20"/>
                <w:color w:val="auto"/>
              </w:rPr>
            </w:pPr>
            <w:r>
              <w:rPr>
                <w:rFonts w:ascii="Times New Roman" w:cs="Times New Roman" w:eastAsia="Times New Roman" w:hAnsi="Times New Roman"/>
                <w:sz w:val="19"/>
                <w:szCs w:val="19"/>
                <w:color w:val="231F20"/>
              </w:rPr>
              <w:t>—</w:t>
            </w:r>
          </w:p>
        </w:tc>
        <w:tc>
          <w:tcPr>
            <w:tcW w:w="0" w:type="dxa"/>
            <w:vAlign w:val="bottom"/>
          </w:tcPr>
          <w:p>
            <w:pPr>
              <w:spacing w:after="0"/>
              <w:rPr>
                <w:sz w:val="1"/>
                <w:szCs w:val="1"/>
                <w:color w:val="auto"/>
              </w:rPr>
            </w:pPr>
          </w:p>
        </w:tc>
      </w:tr>
      <w:tr>
        <w:trPr>
          <w:trHeight w:val="230"/>
        </w:trPr>
        <w:tc>
          <w:tcPr>
            <w:tcW w:w="4460" w:type="dxa"/>
            <w:vAlign w:val="bottom"/>
            <w:shd w:val="clear" w:color="auto" w:fill="D0EBF2"/>
          </w:tcPr>
          <w:p>
            <w:pPr>
              <w:spacing w:after="0"/>
              <w:rPr>
                <w:sz w:val="20"/>
                <w:szCs w:val="20"/>
                <w:color w:val="auto"/>
              </w:rPr>
            </w:pPr>
            <w:r>
              <w:rPr>
                <w:rFonts w:ascii="Times New Roman" w:cs="Times New Roman" w:eastAsia="Times New Roman" w:hAnsi="Times New Roman"/>
                <w:sz w:val="19"/>
                <w:szCs w:val="19"/>
                <w:color w:val="231F20"/>
                <w:shd w:val="clear" w:color="auto" w:fill="D0EBF2"/>
              </w:rPr>
              <w:t>ForeScout Technologies, Inc. - Delayed Draw &amp; Revolver</w:t>
            </w:r>
          </w:p>
        </w:tc>
        <w:tc>
          <w:tcPr>
            <w:tcW w:w="120" w:type="dxa"/>
            <w:vAlign w:val="bottom"/>
            <w:shd w:val="clear" w:color="auto" w:fill="D0EBF2"/>
          </w:tcPr>
          <w:p>
            <w:pPr>
              <w:spacing w:after="0"/>
              <w:rPr>
                <w:sz w:val="20"/>
                <w:szCs w:val="20"/>
                <w:color w:val="auto"/>
              </w:rPr>
            </w:pPr>
          </w:p>
        </w:tc>
        <w:tc>
          <w:tcPr>
            <w:tcW w:w="140" w:type="dxa"/>
            <w:vAlign w:val="bottom"/>
            <w:shd w:val="clear" w:color="auto" w:fill="D0EBF2"/>
          </w:tcPr>
          <w:p>
            <w:pPr>
              <w:spacing w:after="0"/>
              <w:rPr>
                <w:sz w:val="20"/>
                <w:szCs w:val="20"/>
                <w:color w:val="auto"/>
              </w:rPr>
            </w:pPr>
          </w:p>
        </w:tc>
        <w:tc>
          <w:tcPr>
            <w:tcW w:w="1460" w:type="dxa"/>
            <w:vAlign w:val="bottom"/>
            <w:shd w:val="clear" w:color="auto" w:fill="D0EBF2"/>
          </w:tcPr>
          <w:p>
            <w:pPr>
              <w:jc w:val="right"/>
              <w:spacing w:after="0"/>
              <w:rPr>
                <w:sz w:val="20"/>
                <w:szCs w:val="20"/>
                <w:color w:val="auto"/>
              </w:rPr>
            </w:pPr>
            <w:r>
              <w:rPr>
                <w:rFonts w:ascii="Times New Roman" w:cs="Times New Roman" w:eastAsia="Times New Roman" w:hAnsi="Times New Roman"/>
                <w:sz w:val="19"/>
                <w:szCs w:val="19"/>
                <w:color w:val="231F20"/>
              </w:rPr>
              <w:t>0.8</w:t>
            </w:r>
          </w:p>
        </w:tc>
        <w:tc>
          <w:tcPr>
            <w:tcW w:w="180" w:type="dxa"/>
            <w:vAlign w:val="bottom"/>
            <w:shd w:val="clear" w:color="auto" w:fill="D0EBF2"/>
          </w:tcPr>
          <w:p>
            <w:pPr>
              <w:spacing w:after="0"/>
              <w:rPr>
                <w:sz w:val="20"/>
                <w:szCs w:val="20"/>
                <w:color w:val="auto"/>
              </w:rPr>
            </w:pPr>
          </w:p>
        </w:tc>
        <w:tc>
          <w:tcPr>
            <w:tcW w:w="180" w:type="dxa"/>
            <w:vAlign w:val="bottom"/>
            <w:shd w:val="clear" w:color="auto" w:fill="D0EBF2"/>
          </w:tcPr>
          <w:p>
            <w:pPr>
              <w:spacing w:after="0"/>
              <w:rPr>
                <w:sz w:val="20"/>
                <w:szCs w:val="20"/>
                <w:color w:val="auto"/>
              </w:rPr>
            </w:pPr>
          </w:p>
        </w:tc>
        <w:tc>
          <w:tcPr>
            <w:tcW w:w="1540" w:type="dxa"/>
            <w:vAlign w:val="bottom"/>
            <w:shd w:val="clear" w:color="auto" w:fill="D0EBF2"/>
          </w:tcPr>
          <w:p>
            <w:pPr>
              <w:jc w:val="right"/>
              <w:spacing w:after="0"/>
              <w:rPr>
                <w:sz w:val="20"/>
                <w:szCs w:val="20"/>
                <w:color w:val="auto"/>
              </w:rPr>
            </w:pPr>
            <w:r>
              <w:rPr>
                <w:rFonts w:ascii="Times New Roman" w:cs="Times New Roman" w:eastAsia="Times New Roman" w:hAnsi="Times New Roman"/>
                <w:sz w:val="19"/>
                <w:szCs w:val="19"/>
                <w:color w:val="231F20"/>
              </w:rPr>
              <w:t>3.4</w:t>
            </w:r>
          </w:p>
        </w:tc>
        <w:tc>
          <w:tcPr>
            <w:tcW w:w="80" w:type="dxa"/>
            <w:vAlign w:val="bottom"/>
            <w:shd w:val="clear" w:color="auto" w:fill="D0EBF2"/>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460" w:type="dxa"/>
            <w:vAlign w:val="bottom"/>
            <w:shd w:val="clear" w:color="auto" w:fill="FDFDFC"/>
          </w:tcPr>
          <w:p>
            <w:pPr>
              <w:spacing w:after="0"/>
              <w:rPr>
                <w:sz w:val="20"/>
                <w:szCs w:val="20"/>
                <w:color w:val="auto"/>
              </w:rPr>
            </w:pPr>
            <w:r>
              <w:rPr>
                <w:rFonts w:ascii="Times New Roman" w:cs="Times New Roman" w:eastAsia="Times New Roman" w:hAnsi="Times New Roman"/>
                <w:sz w:val="19"/>
                <w:szCs w:val="19"/>
                <w:color w:val="231F20"/>
              </w:rPr>
              <w:t>Fullsteam Operations, LLC - Delayed Draw &amp; Revolver</w:t>
            </w:r>
          </w:p>
        </w:tc>
        <w:tc>
          <w:tcPr>
            <w:tcW w:w="120" w:type="dxa"/>
            <w:vAlign w:val="bottom"/>
            <w:shd w:val="clear" w:color="auto" w:fill="FDFDFC"/>
          </w:tcPr>
          <w:p>
            <w:pPr>
              <w:spacing w:after="0"/>
              <w:rPr>
                <w:sz w:val="20"/>
                <w:szCs w:val="20"/>
                <w:color w:val="auto"/>
              </w:rPr>
            </w:pPr>
          </w:p>
        </w:tc>
        <w:tc>
          <w:tcPr>
            <w:tcW w:w="140" w:type="dxa"/>
            <w:vAlign w:val="bottom"/>
            <w:shd w:val="clear" w:color="auto" w:fill="FDFDFC"/>
          </w:tcPr>
          <w:p>
            <w:pPr>
              <w:spacing w:after="0"/>
              <w:rPr>
                <w:sz w:val="20"/>
                <w:szCs w:val="20"/>
                <w:color w:val="auto"/>
              </w:rPr>
            </w:pPr>
          </w:p>
        </w:tc>
        <w:tc>
          <w:tcPr>
            <w:tcW w:w="1460" w:type="dxa"/>
            <w:vAlign w:val="bottom"/>
            <w:shd w:val="clear" w:color="auto" w:fill="FDFDFC"/>
          </w:tcPr>
          <w:p>
            <w:pPr>
              <w:jc w:val="right"/>
              <w:spacing w:after="0"/>
              <w:rPr>
                <w:sz w:val="20"/>
                <w:szCs w:val="20"/>
                <w:color w:val="auto"/>
              </w:rPr>
            </w:pPr>
            <w:r>
              <w:rPr>
                <w:rFonts w:ascii="Times New Roman" w:cs="Times New Roman" w:eastAsia="Times New Roman" w:hAnsi="Times New Roman"/>
                <w:sz w:val="19"/>
                <w:szCs w:val="19"/>
                <w:color w:val="231F20"/>
              </w:rPr>
              <w:t>8.9</w:t>
            </w:r>
          </w:p>
        </w:tc>
        <w:tc>
          <w:tcPr>
            <w:tcW w:w="180" w:type="dxa"/>
            <w:vAlign w:val="bottom"/>
            <w:shd w:val="clear" w:color="auto" w:fill="FDFDFC"/>
          </w:tcPr>
          <w:p>
            <w:pPr>
              <w:spacing w:after="0"/>
              <w:rPr>
                <w:sz w:val="20"/>
                <w:szCs w:val="20"/>
                <w:color w:val="auto"/>
              </w:rPr>
            </w:pPr>
          </w:p>
        </w:tc>
        <w:tc>
          <w:tcPr>
            <w:tcW w:w="180" w:type="dxa"/>
            <w:vAlign w:val="bottom"/>
            <w:shd w:val="clear" w:color="auto" w:fill="FDFDFC"/>
          </w:tcPr>
          <w:p>
            <w:pPr>
              <w:spacing w:after="0"/>
              <w:rPr>
                <w:sz w:val="20"/>
                <w:szCs w:val="20"/>
                <w:color w:val="auto"/>
              </w:rPr>
            </w:pPr>
          </w:p>
        </w:tc>
        <w:tc>
          <w:tcPr>
            <w:tcW w:w="1540" w:type="dxa"/>
            <w:vAlign w:val="bottom"/>
            <w:shd w:val="clear" w:color="auto" w:fill="FDFDFC"/>
          </w:tcPr>
          <w:p>
            <w:pPr>
              <w:jc w:val="right"/>
              <w:spacing w:after="0"/>
              <w:rPr>
                <w:sz w:val="20"/>
                <w:szCs w:val="20"/>
                <w:color w:val="auto"/>
              </w:rPr>
            </w:pPr>
            <w:r>
              <w:rPr>
                <w:rFonts w:ascii="Times New Roman" w:cs="Times New Roman" w:eastAsia="Times New Roman" w:hAnsi="Times New Roman"/>
                <w:sz w:val="19"/>
                <w:szCs w:val="19"/>
                <w:color w:val="231F20"/>
              </w:rPr>
              <w:t>11.2</w:t>
            </w:r>
          </w:p>
        </w:tc>
        <w:tc>
          <w:tcPr>
            <w:tcW w:w="80" w:type="dxa"/>
            <w:vAlign w:val="bottom"/>
            <w:shd w:val="clear" w:color="auto" w:fill="FDFD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460" w:type="dxa"/>
            <w:vAlign w:val="bottom"/>
            <w:shd w:val="clear" w:color="auto" w:fill="D0EBF2"/>
          </w:tcPr>
          <w:p>
            <w:pPr>
              <w:spacing w:after="0"/>
              <w:rPr>
                <w:sz w:val="20"/>
                <w:szCs w:val="20"/>
                <w:color w:val="auto"/>
              </w:rPr>
            </w:pPr>
            <w:r>
              <w:rPr>
                <w:rFonts w:ascii="Times New Roman" w:cs="Times New Roman" w:eastAsia="Times New Roman" w:hAnsi="Times New Roman"/>
                <w:sz w:val="19"/>
                <w:szCs w:val="19"/>
                <w:color w:val="231F20"/>
              </w:rPr>
              <w:t>Galileo Parent, Inc. - Revolver</w:t>
            </w:r>
          </w:p>
        </w:tc>
        <w:tc>
          <w:tcPr>
            <w:tcW w:w="120" w:type="dxa"/>
            <w:vAlign w:val="bottom"/>
            <w:shd w:val="clear" w:color="auto" w:fill="D0EBF2"/>
          </w:tcPr>
          <w:p>
            <w:pPr>
              <w:spacing w:after="0"/>
              <w:rPr>
                <w:sz w:val="20"/>
                <w:szCs w:val="20"/>
                <w:color w:val="auto"/>
              </w:rPr>
            </w:pPr>
          </w:p>
        </w:tc>
        <w:tc>
          <w:tcPr>
            <w:tcW w:w="140" w:type="dxa"/>
            <w:vAlign w:val="bottom"/>
            <w:shd w:val="clear" w:color="auto" w:fill="D0EBF2"/>
          </w:tcPr>
          <w:p>
            <w:pPr>
              <w:spacing w:after="0"/>
              <w:rPr>
                <w:sz w:val="20"/>
                <w:szCs w:val="20"/>
                <w:color w:val="auto"/>
              </w:rPr>
            </w:pPr>
          </w:p>
        </w:tc>
        <w:tc>
          <w:tcPr>
            <w:tcW w:w="1460" w:type="dxa"/>
            <w:vAlign w:val="bottom"/>
            <w:shd w:val="clear" w:color="auto" w:fill="D0EBF2"/>
          </w:tcPr>
          <w:p>
            <w:pPr>
              <w:jc w:val="right"/>
              <w:spacing w:after="0"/>
              <w:rPr>
                <w:sz w:val="20"/>
                <w:szCs w:val="20"/>
                <w:color w:val="auto"/>
              </w:rPr>
            </w:pPr>
            <w:r>
              <w:rPr>
                <w:rFonts w:ascii="Times New Roman" w:cs="Times New Roman" w:eastAsia="Times New Roman" w:hAnsi="Times New Roman"/>
                <w:sz w:val="19"/>
                <w:szCs w:val="19"/>
                <w:color w:val="231F20"/>
              </w:rPr>
              <w:t>5.5</w:t>
            </w:r>
          </w:p>
        </w:tc>
        <w:tc>
          <w:tcPr>
            <w:tcW w:w="180" w:type="dxa"/>
            <w:vAlign w:val="bottom"/>
            <w:shd w:val="clear" w:color="auto" w:fill="D0EBF2"/>
          </w:tcPr>
          <w:p>
            <w:pPr>
              <w:spacing w:after="0"/>
              <w:rPr>
                <w:sz w:val="20"/>
                <w:szCs w:val="20"/>
                <w:color w:val="auto"/>
              </w:rPr>
            </w:pPr>
          </w:p>
        </w:tc>
        <w:tc>
          <w:tcPr>
            <w:tcW w:w="180" w:type="dxa"/>
            <w:vAlign w:val="bottom"/>
            <w:shd w:val="clear" w:color="auto" w:fill="D0EBF2"/>
          </w:tcPr>
          <w:p>
            <w:pPr>
              <w:spacing w:after="0"/>
              <w:rPr>
                <w:sz w:val="20"/>
                <w:szCs w:val="20"/>
                <w:color w:val="auto"/>
              </w:rPr>
            </w:pPr>
          </w:p>
        </w:tc>
        <w:tc>
          <w:tcPr>
            <w:tcW w:w="1540" w:type="dxa"/>
            <w:vAlign w:val="bottom"/>
            <w:shd w:val="clear" w:color="auto" w:fill="D0EBF2"/>
          </w:tcPr>
          <w:p>
            <w:pPr>
              <w:jc w:val="right"/>
              <w:spacing w:after="0"/>
              <w:rPr>
                <w:sz w:val="20"/>
                <w:szCs w:val="20"/>
                <w:color w:val="auto"/>
              </w:rPr>
            </w:pPr>
            <w:r>
              <w:rPr>
                <w:rFonts w:ascii="Times New Roman" w:cs="Times New Roman" w:eastAsia="Times New Roman" w:hAnsi="Times New Roman"/>
                <w:sz w:val="19"/>
                <w:szCs w:val="19"/>
                <w:color w:val="231F20"/>
              </w:rPr>
              <w:t>6.8</w:t>
            </w:r>
          </w:p>
        </w:tc>
        <w:tc>
          <w:tcPr>
            <w:tcW w:w="80" w:type="dxa"/>
            <w:vAlign w:val="bottom"/>
            <w:shd w:val="clear" w:color="auto" w:fill="D0EBF2"/>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460" w:type="dxa"/>
            <w:vAlign w:val="bottom"/>
            <w:shd w:val="clear" w:color="auto" w:fill="FDFDFC"/>
          </w:tcPr>
          <w:p>
            <w:pPr>
              <w:spacing w:after="0"/>
              <w:rPr>
                <w:sz w:val="20"/>
                <w:szCs w:val="20"/>
                <w:color w:val="auto"/>
              </w:rPr>
            </w:pPr>
            <w:r>
              <w:rPr>
                <w:rFonts w:ascii="Times New Roman" w:cs="Times New Roman" w:eastAsia="Times New Roman" w:hAnsi="Times New Roman"/>
                <w:sz w:val="19"/>
                <w:szCs w:val="19"/>
                <w:color w:val="231F20"/>
              </w:rPr>
              <w:t>Greenshoot Bidco B.V. - Revolver</w:t>
            </w:r>
          </w:p>
        </w:tc>
        <w:tc>
          <w:tcPr>
            <w:tcW w:w="120" w:type="dxa"/>
            <w:vAlign w:val="bottom"/>
            <w:shd w:val="clear" w:color="auto" w:fill="FDFDFC"/>
          </w:tcPr>
          <w:p>
            <w:pPr>
              <w:spacing w:after="0"/>
              <w:rPr>
                <w:sz w:val="20"/>
                <w:szCs w:val="20"/>
                <w:color w:val="auto"/>
              </w:rPr>
            </w:pPr>
          </w:p>
        </w:tc>
        <w:tc>
          <w:tcPr>
            <w:tcW w:w="140" w:type="dxa"/>
            <w:vAlign w:val="bottom"/>
            <w:shd w:val="clear" w:color="auto" w:fill="FDFDFC"/>
          </w:tcPr>
          <w:p>
            <w:pPr>
              <w:spacing w:after="0"/>
              <w:rPr>
                <w:sz w:val="20"/>
                <w:szCs w:val="20"/>
                <w:color w:val="auto"/>
              </w:rPr>
            </w:pPr>
          </w:p>
        </w:tc>
        <w:tc>
          <w:tcPr>
            <w:tcW w:w="1460" w:type="dxa"/>
            <w:vAlign w:val="bottom"/>
            <w:shd w:val="clear" w:color="auto" w:fill="FDFDFC"/>
          </w:tcPr>
          <w:p>
            <w:pPr>
              <w:jc w:val="right"/>
              <w:spacing w:after="0"/>
              <w:rPr>
                <w:sz w:val="20"/>
                <w:szCs w:val="20"/>
                <w:color w:val="auto"/>
              </w:rPr>
            </w:pPr>
            <w:r>
              <w:rPr>
                <w:rFonts w:ascii="Times New Roman" w:cs="Times New Roman" w:eastAsia="Times New Roman" w:hAnsi="Times New Roman"/>
                <w:sz w:val="19"/>
                <w:szCs w:val="19"/>
                <w:color w:val="231F20"/>
              </w:rPr>
              <w:t>0.4</w:t>
            </w:r>
          </w:p>
        </w:tc>
        <w:tc>
          <w:tcPr>
            <w:tcW w:w="180" w:type="dxa"/>
            <w:vAlign w:val="bottom"/>
            <w:shd w:val="clear" w:color="auto" w:fill="FDFDFC"/>
          </w:tcPr>
          <w:p>
            <w:pPr>
              <w:spacing w:after="0"/>
              <w:rPr>
                <w:sz w:val="20"/>
                <w:szCs w:val="20"/>
                <w:color w:val="auto"/>
              </w:rPr>
            </w:pPr>
          </w:p>
        </w:tc>
        <w:tc>
          <w:tcPr>
            <w:tcW w:w="180" w:type="dxa"/>
            <w:vAlign w:val="bottom"/>
            <w:shd w:val="clear" w:color="auto" w:fill="FDFDFC"/>
          </w:tcPr>
          <w:p>
            <w:pPr>
              <w:spacing w:after="0"/>
              <w:rPr>
                <w:sz w:val="20"/>
                <w:szCs w:val="20"/>
                <w:color w:val="auto"/>
              </w:rPr>
            </w:pPr>
          </w:p>
        </w:tc>
        <w:tc>
          <w:tcPr>
            <w:tcW w:w="1620" w:type="dxa"/>
            <w:vAlign w:val="bottom"/>
            <w:gridSpan w:val="2"/>
            <w:shd w:val="clear" w:color="auto" w:fill="FDFDFC"/>
          </w:tcPr>
          <w:p>
            <w:pPr>
              <w:jc w:val="right"/>
              <w:ind w:right="100"/>
              <w:spacing w:after="0"/>
              <w:rPr>
                <w:sz w:val="20"/>
                <w:szCs w:val="20"/>
                <w:color w:val="auto"/>
              </w:rPr>
            </w:pPr>
            <w:r>
              <w:rPr>
                <w:rFonts w:ascii="Times New Roman" w:cs="Times New Roman" w:eastAsia="Times New Roman" w:hAnsi="Times New Roman"/>
                <w:sz w:val="19"/>
                <w:szCs w:val="19"/>
                <w:color w:val="231F20"/>
              </w:rPr>
              <w:t>—</w:t>
            </w:r>
          </w:p>
        </w:tc>
        <w:tc>
          <w:tcPr>
            <w:tcW w:w="0" w:type="dxa"/>
            <w:vAlign w:val="bottom"/>
          </w:tcPr>
          <w:p>
            <w:pPr>
              <w:spacing w:after="0"/>
              <w:rPr>
                <w:sz w:val="1"/>
                <w:szCs w:val="1"/>
                <w:color w:val="auto"/>
              </w:rPr>
            </w:pPr>
          </w:p>
        </w:tc>
      </w:tr>
      <w:tr>
        <w:trPr>
          <w:trHeight w:val="210"/>
        </w:trPr>
        <w:tc>
          <w:tcPr>
            <w:tcW w:w="4460" w:type="dxa"/>
            <w:vAlign w:val="bottom"/>
            <w:shd w:val="clear" w:color="auto" w:fill="D0EBF2"/>
          </w:tcPr>
          <w:p>
            <w:pPr>
              <w:spacing w:after="0" w:line="211" w:lineRule="exact"/>
              <w:rPr>
                <w:sz w:val="20"/>
                <w:szCs w:val="20"/>
                <w:color w:val="auto"/>
              </w:rPr>
            </w:pPr>
            <w:r>
              <w:rPr>
                <w:rFonts w:ascii="Times New Roman" w:cs="Times New Roman" w:eastAsia="Times New Roman" w:hAnsi="Times New Roman"/>
                <w:sz w:val="19"/>
                <w:szCs w:val="19"/>
                <w:color w:val="231F20"/>
              </w:rPr>
              <w:t>Heritage Environmental Services, Inc. - Delayed Draw &amp;</w:t>
            </w:r>
          </w:p>
        </w:tc>
        <w:tc>
          <w:tcPr>
            <w:tcW w:w="120" w:type="dxa"/>
            <w:vAlign w:val="bottom"/>
            <w:shd w:val="clear" w:color="auto" w:fill="D0EBF2"/>
          </w:tcPr>
          <w:p>
            <w:pPr>
              <w:spacing w:after="0"/>
              <w:rPr>
                <w:sz w:val="18"/>
                <w:szCs w:val="18"/>
                <w:color w:val="auto"/>
              </w:rPr>
            </w:pPr>
          </w:p>
        </w:tc>
        <w:tc>
          <w:tcPr>
            <w:tcW w:w="140" w:type="dxa"/>
            <w:vAlign w:val="bottom"/>
            <w:shd w:val="clear" w:color="auto" w:fill="D0EBF2"/>
          </w:tcPr>
          <w:p>
            <w:pPr>
              <w:spacing w:after="0"/>
              <w:rPr>
                <w:sz w:val="18"/>
                <w:szCs w:val="18"/>
                <w:color w:val="auto"/>
              </w:rPr>
            </w:pPr>
          </w:p>
        </w:tc>
        <w:tc>
          <w:tcPr>
            <w:tcW w:w="1460" w:type="dxa"/>
            <w:vAlign w:val="bottom"/>
            <w:vMerge w:val="restart"/>
            <w:shd w:val="clear" w:color="auto" w:fill="D0EBF2"/>
          </w:tcPr>
          <w:p>
            <w:pPr>
              <w:jc w:val="right"/>
              <w:spacing w:after="0"/>
              <w:rPr>
                <w:sz w:val="20"/>
                <w:szCs w:val="20"/>
                <w:color w:val="auto"/>
              </w:rPr>
            </w:pPr>
            <w:r>
              <w:rPr>
                <w:rFonts w:ascii="Times New Roman" w:cs="Times New Roman" w:eastAsia="Times New Roman" w:hAnsi="Times New Roman"/>
                <w:sz w:val="19"/>
                <w:szCs w:val="19"/>
                <w:color w:val="231F20"/>
              </w:rPr>
              <w:t>2.5</w:t>
            </w:r>
          </w:p>
        </w:tc>
        <w:tc>
          <w:tcPr>
            <w:tcW w:w="180" w:type="dxa"/>
            <w:vAlign w:val="bottom"/>
            <w:shd w:val="clear" w:color="auto" w:fill="D0EBF2"/>
          </w:tcPr>
          <w:p>
            <w:pPr>
              <w:spacing w:after="0"/>
              <w:rPr>
                <w:sz w:val="18"/>
                <w:szCs w:val="18"/>
                <w:color w:val="auto"/>
              </w:rPr>
            </w:pPr>
          </w:p>
        </w:tc>
        <w:tc>
          <w:tcPr>
            <w:tcW w:w="180" w:type="dxa"/>
            <w:vAlign w:val="bottom"/>
            <w:shd w:val="clear" w:color="auto" w:fill="D0EBF2"/>
          </w:tcPr>
          <w:p>
            <w:pPr>
              <w:spacing w:after="0"/>
              <w:rPr>
                <w:sz w:val="18"/>
                <w:szCs w:val="18"/>
                <w:color w:val="auto"/>
              </w:rPr>
            </w:pPr>
          </w:p>
        </w:tc>
        <w:tc>
          <w:tcPr>
            <w:tcW w:w="1620" w:type="dxa"/>
            <w:vAlign w:val="bottom"/>
            <w:gridSpan w:val="2"/>
            <w:vMerge w:val="restart"/>
            <w:shd w:val="clear" w:color="auto" w:fill="D0EBF2"/>
          </w:tcPr>
          <w:p>
            <w:pPr>
              <w:jc w:val="right"/>
              <w:ind w:right="100"/>
              <w:spacing w:after="0"/>
              <w:rPr>
                <w:sz w:val="20"/>
                <w:szCs w:val="20"/>
                <w:color w:val="auto"/>
              </w:rPr>
            </w:pPr>
            <w:r>
              <w:rPr>
                <w:rFonts w:ascii="Times New Roman" w:cs="Times New Roman" w:eastAsia="Times New Roman" w:hAnsi="Times New Roman"/>
                <w:sz w:val="19"/>
                <w:szCs w:val="19"/>
                <w:color w:val="231F20"/>
              </w:rPr>
              <w:t>—</w:t>
            </w:r>
          </w:p>
        </w:tc>
        <w:tc>
          <w:tcPr>
            <w:tcW w:w="0" w:type="dxa"/>
            <w:vAlign w:val="bottom"/>
          </w:tcPr>
          <w:p>
            <w:pPr>
              <w:spacing w:after="0"/>
              <w:rPr>
                <w:sz w:val="1"/>
                <w:szCs w:val="1"/>
                <w:color w:val="auto"/>
              </w:rPr>
            </w:pPr>
          </w:p>
        </w:tc>
      </w:tr>
      <w:tr>
        <w:trPr>
          <w:trHeight w:val="237"/>
        </w:trPr>
        <w:tc>
          <w:tcPr>
            <w:tcW w:w="4460" w:type="dxa"/>
            <w:vAlign w:val="bottom"/>
            <w:shd w:val="clear" w:color="auto" w:fill="D0EBF2"/>
          </w:tcPr>
          <w:p>
            <w:pPr>
              <w:spacing w:after="0"/>
              <w:rPr>
                <w:sz w:val="20"/>
                <w:szCs w:val="20"/>
                <w:color w:val="auto"/>
              </w:rPr>
            </w:pPr>
            <w:r>
              <w:rPr>
                <w:rFonts w:ascii="Times New Roman" w:cs="Times New Roman" w:eastAsia="Times New Roman" w:hAnsi="Times New Roman"/>
                <w:sz w:val="19"/>
                <w:szCs w:val="19"/>
                <w:color w:val="231F20"/>
              </w:rPr>
              <w:t>Revolver</w:t>
            </w:r>
          </w:p>
        </w:tc>
        <w:tc>
          <w:tcPr>
            <w:tcW w:w="120" w:type="dxa"/>
            <w:vAlign w:val="bottom"/>
            <w:shd w:val="clear" w:color="auto" w:fill="D0EBF2"/>
          </w:tcPr>
          <w:p>
            <w:pPr>
              <w:spacing w:after="0"/>
              <w:rPr>
                <w:sz w:val="20"/>
                <w:szCs w:val="20"/>
                <w:color w:val="auto"/>
              </w:rPr>
            </w:pPr>
          </w:p>
        </w:tc>
        <w:tc>
          <w:tcPr>
            <w:tcW w:w="140" w:type="dxa"/>
            <w:vAlign w:val="bottom"/>
            <w:shd w:val="clear" w:color="auto" w:fill="D0EBF2"/>
          </w:tcPr>
          <w:p>
            <w:pPr>
              <w:spacing w:after="0"/>
              <w:rPr>
                <w:sz w:val="20"/>
                <w:szCs w:val="20"/>
                <w:color w:val="auto"/>
              </w:rPr>
            </w:pPr>
          </w:p>
        </w:tc>
        <w:tc>
          <w:tcPr>
            <w:tcW w:w="1460" w:type="dxa"/>
            <w:vAlign w:val="bottom"/>
            <w:vMerge w:val="continue"/>
            <w:shd w:val="clear" w:color="auto" w:fill="D0EBF2"/>
          </w:tcPr>
          <w:p>
            <w:pPr>
              <w:spacing w:after="0"/>
              <w:rPr>
                <w:sz w:val="20"/>
                <w:szCs w:val="20"/>
                <w:color w:val="auto"/>
              </w:rPr>
            </w:pPr>
          </w:p>
        </w:tc>
        <w:tc>
          <w:tcPr>
            <w:tcW w:w="180" w:type="dxa"/>
            <w:vAlign w:val="bottom"/>
            <w:shd w:val="clear" w:color="auto" w:fill="D0EBF2"/>
          </w:tcPr>
          <w:p>
            <w:pPr>
              <w:spacing w:after="0"/>
              <w:rPr>
                <w:sz w:val="20"/>
                <w:szCs w:val="20"/>
                <w:color w:val="auto"/>
              </w:rPr>
            </w:pPr>
          </w:p>
        </w:tc>
        <w:tc>
          <w:tcPr>
            <w:tcW w:w="180" w:type="dxa"/>
            <w:vAlign w:val="bottom"/>
            <w:shd w:val="clear" w:color="auto" w:fill="D0EBF2"/>
          </w:tcPr>
          <w:p>
            <w:pPr>
              <w:spacing w:after="0"/>
              <w:rPr>
                <w:sz w:val="20"/>
                <w:szCs w:val="20"/>
                <w:color w:val="auto"/>
              </w:rPr>
            </w:pPr>
          </w:p>
        </w:tc>
        <w:tc>
          <w:tcPr>
            <w:tcW w:w="1620" w:type="dxa"/>
            <w:vAlign w:val="bottom"/>
            <w:gridSpan w:val="2"/>
            <w:vMerge w:val="continue"/>
            <w:shd w:val="clear" w:color="auto" w:fill="D0EBF2"/>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460" w:type="dxa"/>
            <w:vAlign w:val="bottom"/>
            <w:shd w:val="clear" w:color="auto" w:fill="FDFDFC"/>
          </w:tcPr>
          <w:p>
            <w:pPr>
              <w:spacing w:after="0"/>
              <w:rPr>
                <w:sz w:val="20"/>
                <w:szCs w:val="20"/>
                <w:color w:val="auto"/>
              </w:rPr>
            </w:pPr>
            <w:r>
              <w:rPr>
                <w:rFonts w:ascii="Times New Roman" w:cs="Times New Roman" w:eastAsia="Times New Roman" w:hAnsi="Times New Roman"/>
                <w:sz w:val="19"/>
                <w:szCs w:val="19"/>
                <w:color w:val="231F20"/>
              </w:rPr>
              <w:t>Hippo XPA Bidco AB - Delayed Draw &amp; Revolver</w:t>
            </w:r>
          </w:p>
        </w:tc>
        <w:tc>
          <w:tcPr>
            <w:tcW w:w="120" w:type="dxa"/>
            <w:vAlign w:val="bottom"/>
            <w:shd w:val="clear" w:color="auto" w:fill="FDFDFC"/>
          </w:tcPr>
          <w:p>
            <w:pPr>
              <w:spacing w:after="0"/>
              <w:rPr>
                <w:sz w:val="20"/>
                <w:szCs w:val="20"/>
                <w:color w:val="auto"/>
              </w:rPr>
            </w:pPr>
          </w:p>
        </w:tc>
        <w:tc>
          <w:tcPr>
            <w:tcW w:w="140" w:type="dxa"/>
            <w:vAlign w:val="bottom"/>
            <w:shd w:val="clear" w:color="auto" w:fill="FDFDFC"/>
          </w:tcPr>
          <w:p>
            <w:pPr>
              <w:spacing w:after="0"/>
              <w:rPr>
                <w:sz w:val="20"/>
                <w:szCs w:val="20"/>
                <w:color w:val="auto"/>
              </w:rPr>
            </w:pPr>
          </w:p>
        </w:tc>
        <w:tc>
          <w:tcPr>
            <w:tcW w:w="1460" w:type="dxa"/>
            <w:vAlign w:val="bottom"/>
            <w:shd w:val="clear" w:color="auto" w:fill="FDFDFC"/>
          </w:tcPr>
          <w:p>
            <w:pPr>
              <w:jc w:val="right"/>
              <w:spacing w:after="0"/>
              <w:rPr>
                <w:sz w:val="20"/>
                <w:szCs w:val="20"/>
                <w:color w:val="auto"/>
              </w:rPr>
            </w:pPr>
            <w:r>
              <w:rPr>
                <w:rFonts w:ascii="Times New Roman" w:cs="Times New Roman" w:eastAsia="Times New Roman" w:hAnsi="Times New Roman"/>
                <w:sz w:val="19"/>
                <w:szCs w:val="19"/>
                <w:color w:val="231F20"/>
              </w:rPr>
              <w:t>1.7</w:t>
            </w:r>
          </w:p>
        </w:tc>
        <w:tc>
          <w:tcPr>
            <w:tcW w:w="180" w:type="dxa"/>
            <w:vAlign w:val="bottom"/>
            <w:shd w:val="clear" w:color="auto" w:fill="FDFDFC"/>
          </w:tcPr>
          <w:p>
            <w:pPr>
              <w:spacing w:after="0"/>
              <w:rPr>
                <w:sz w:val="20"/>
                <w:szCs w:val="20"/>
                <w:color w:val="auto"/>
              </w:rPr>
            </w:pPr>
          </w:p>
        </w:tc>
        <w:tc>
          <w:tcPr>
            <w:tcW w:w="180" w:type="dxa"/>
            <w:vAlign w:val="bottom"/>
            <w:shd w:val="clear" w:color="auto" w:fill="FDFDFC"/>
          </w:tcPr>
          <w:p>
            <w:pPr>
              <w:spacing w:after="0"/>
              <w:rPr>
                <w:sz w:val="20"/>
                <w:szCs w:val="20"/>
                <w:color w:val="auto"/>
              </w:rPr>
            </w:pPr>
          </w:p>
        </w:tc>
        <w:tc>
          <w:tcPr>
            <w:tcW w:w="1620" w:type="dxa"/>
            <w:vAlign w:val="bottom"/>
            <w:gridSpan w:val="2"/>
            <w:shd w:val="clear" w:color="auto" w:fill="FDFDFC"/>
          </w:tcPr>
          <w:p>
            <w:pPr>
              <w:jc w:val="right"/>
              <w:ind w:right="100"/>
              <w:spacing w:after="0"/>
              <w:rPr>
                <w:sz w:val="20"/>
                <w:szCs w:val="20"/>
                <w:color w:val="auto"/>
              </w:rPr>
            </w:pPr>
            <w:r>
              <w:rPr>
                <w:rFonts w:ascii="Times New Roman" w:cs="Times New Roman" w:eastAsia="Times New Roman" w:hAnsi="Times New Roman"/>
                <w:sz w:val="19"/>
                <w:szCs w:val="19"/>
                <w:color w:val="231F20"/>
              </w:rPr>
              <w:t>—</w:t>
            </w:r>
          </w:p>
        </w:tc>
        <w:tc>
          <w:tcPr>
            <w:tcW w:w="0" w:type="dxa"/>
            <w:vAlign w:val="bottom"/>
          </w:tcPr>
          <w:p>
            <w:pPr>
              <w:spacing w:after="0"/>
              <w:rPr>
                <w:sz w:val="1"/>
                <w:szCs w:val="1"/>
                <w:color w:val="auto"/>
              </w:rPr>
            </w:pPr>
          </w:p>
        </w:tc>
      </w:tr>
      <w:tr>
        <w:trPr>
          <w:trHeight w:val="230"/>
        </w:trPr>
        <w:tc>
          <w:tcPr>
            <w:tcW w:w="4460" w:type="dxa"/>
            <w:vAlign w:val="bottom"/>
            <w:shd w:val="clear" w:color="auto" w:fill="D0EBF2"/>
          </w:tcPr>
          <w:p>
            <w:pPr>
              <w:spacing w:after="0"/>
              <w:rPr>
                <w:sz w:val="20"/>
                <w:szCs w:val="20"/>
                <w:color w:val="auto"/>
              </w:rPr>
            </w:pPr>
            <w:r>
              <w:rPr>
                <w:rFonts w:ascii="Times New Roman" w:cs="Times New Roman" w:eastAsia="Times New Roman" w:hAnsi="Times New Roman"/>
                <w:sz w:val="19"/>
                <w:szCs w:val="19"/>
                <w:color w:val="231F20"/>
              </w:rPr>
              <w:t>HireVue, Inc. - Revolver</w:t>
            </w:r>
          </w:p>
        </w:tc>
        <w:tc>
          <w:tcPr>
            <w:tcW w:w="120" w:type="dxa"/>
            <w:vAlign w:val="bottom"/>
            <w:shd w:val="clear" w:color="auto" w:fill="D0EBF2"/>
          </w:tcPr>
          <w:p>
            <w:pPr>
              <w:spacing w:after="0"/>
              <w:rPr>
                <w:sz w:val="20"/>
                <w:szCs w:val="20"/>
                <w:color w:val="auto"/>
              </w:rPr>
            </w:pPr>
          </w:p>
        </w:tc>
        <w:tc>
          <w:tcPr>
            <w:tcW w:w="140" w:type="dxa"/>
            <w:vAlign w:val="bottom"/>
            <w:shd w:val="clear" w:color="auto" w:fill="D0EBF2"/>
          </w:tcPr>
          <w:p>
            <w:pPr>
              <w:spacing w:after="0"/>
              <w:rPr>
                <w:sz w:val="20"/>
                <w:szCs w:val="20"/>
                <w:color w:val="auto"/>
              </w:rPr>
            </w:pPr>
          </w:p>
        </w:tc>
        <w:tc>
          <w:tcPr>
            <w:tcW w:w="1460" w:type="dxa"/>
            <w:vAlign w:val="bottom"/>
            <w:shd w:val="clear" w:color="auto" w:fill="D0EBF2"/>
          </w:tcPr>
          <w:p>
            <w:pPr>
              <w:jc w:val="right"/>
              <w:spacing w:after="0"/>
              <w:rPr>
                <w:sz w:val="20"/>
                <w:szCs w:val="20"/>
                <w:color w:val="auto"/>
              </w:rPr>
            </w:pPr>
            <w:r>
              <w:rPr>
                <w:rFonts w:ascii="Times New Roman" w:cs="Times New Roman" w:eastAsia="Times New Roman" w:hAnsi="Times New Roman"/>
                <w:sz w:val="19"/>
                <w:szCs w:val="19"/>
                <w:color w:val="231F20"/>
              </w:rPr>
              <w:t>2.5</w:t>
            </w:r>
          </w:p>
        </w:tc>
        <w:tc>
          <w:tcPr>
            <w:tcW w:w="180" w:type="dxa"/>
            <w:vAlign w:val="bottom"/>
            <w:shd w:val="clear" w:color="auto" w:fill="D0EBF2"/>
          </w:tcPr>
          <w:p>
            <w:pPr>
              <w:spacing w:after="0"/>
              <w:rPr>
                <w:sz w:val="20"/>
                <w:szCs w:val="20"/>
                <w:color w:val="auto"/>
              </w:rPr>
            </w:pPr>
          </w:p>
        </w:tc>
        <w:tc>
          <w:tcPr>
            <w:tcW w:w="180" w:type="dxa"/>
            <w:vAlign w:val="bottom"/>
            <w:shd w:val="clear" w:color="auto" w:fill="D0EBF2"/>
          </w:tcPr>
          <w:p>
            <w:pPr>
              <w:spacing w:after="0"/>
              <w:rPr>
                <w:sz w:val="20"/>
                <w:szCs w:val="20"/>
                <w:color w:val="auto"/>
              </w:rPr>
            </w:pPr>
          </w:p>
        </w:tc>
        <w:tc>
          <w:tcPr>
            <w:tcW w:w="1540" w:type="dxa"/>
            <w:vAlign w:val="bottom"/>
            <w:shd w:val="clear" w:color="auto" w:fill="D0EBF2"/>
          </w:tcPr>
          <w:p>
            <w:pPr>
              <w:jc w:val="right"/>
              <w:spacing w:after="0"/>
              <w:rPr>
                <w:sz w:val="20"/>
                <w:szCs w:val="20"/>
                <w:color w:val="auto"/>
              </w:rPr>
            </w:pPr>
            <w:r>
              <w:rPr>
                <w:rFonts w:ascii="Times New Roman" w:cs="Times New Roman" w:eastAsia="Times New Roman" w:hAnsi="Times New Roman"/>
                <w:sz w:val="19"/>
                <w:szCs w:val="19"/>
                <w:color w:val="231F20"/>
              </w:rPr>
              <w:t>6.9</w:t>
            </w:r>
          </w:p>
        </w:tc>
        <w:tc>
          <w:tcPr>
            <w:tcW w:w="80" w:type="dxa"/>
            <w:vAlign w:val="bottom"/>
            <w:shd w:val="clear" w:color="auto" w:fill="D0EBF2"/>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4460" w:type="dxa"/>
            <w:vAlign w:val="bottom"/>
            <w:shd w:val="clear" w:color="auto" w:fill="FDFDFC"/>
          </w:tcPr>
          <w:p>
            <w:pPr>
              <w:spacing w:after="0" w:line="211" w:lineRule="exact"/>
              <w:rPr>
                <w:sz w:val="20"/>
                <w:szCs w:val="20"/>
                <w:color w:val="auto"/>
              </w:rPr>
            </w:pPr>
            <w:r>
              <w:rPr>
                <w:rFonts w:ascii="Times New Roman" w:cs="Times New Roman" w:eastAsia="Times New Roman" w:hAnsi="Times New Roman"/>
                <w:sz w:val="19"/>
                <w:szCs w:val="19"/>
                <w:color w:val="231F20"/>
              </w:rPr>
              <w:t>Hornetsecurity Holding GmbH - Delayed Draw &amp;</w:t>
            </w:r>
          </w:p>
        </w:tc>
        <w:tc>
          <w:tcPr>
            <w:tcW w:w="120" w:type="dxa"/>
            <w:vAlign w:val="bottom"/>
            <w:shd w:val="clear" w:color="auto" w:fill="FDFDFC"/>
          </w:tcPr>
          <w:p>
            <w:pPr>
              <w:spacing w:after="0"/>
              <w:rPr>
                <w:sz w:val="18"/>
                <w:szCs w:val="18"/>
                <w:color w:val="auto"/>
              </w:rPr>
            </w:pPr>
          </w:p>
        </w:tc>
        <w:tc>
          <w:tcPr>
            <w:tcW w:w="140" w:type="dxa"/>
            <w:vAlign w:val="bottom"/>
            <w:shd w:val="clear" w:color="auto" w:fill="FDFDFC"/>
          </w:tcPr>
          <w:p>
            <w:pPr>
              <w:spacing w:after="0"/>
              <w:rPr>
                <w:sz w:val="18"/>
                <w:szCs w:val="18"/>
                <w:color w:val="auto"/>
              </w:rPr>
            </w:pPr>
          </w:p>
        </w:tc>
        <w:tc>
          <w:tcPr>
            <w:tcW w:w="1460" w:type="dxa"/>
            <w:vAlign w:val="bottom"/>
            <w:vMerge w:val="restart"/>
            <w:shd w:val="clear" w:color="auto" w:fill="FDFDFC"/>
          </w:tcPr>
          <w:p>
            <w:pPr>
              <w:jc w:val="right"/>
              <w:spacing w:after="0"/>
              <w:rPr>
                <w:sz w:val="20"/>
                <w:szCs w:val="20"/>
                <w:color w:val="auto"/>
              </w:rPr>
            </w:pPr>
            <w:r>
              <w:rPr>
                <w:rFonts w:ascii="Times New Roman" w:cs="Times New Roman" w:eastAsia="Times New Roman" w:hAnsi="Times New Roman"/>
                <w:sz w:val="19"/>
                <w:szCs w:val="19"/>
                <w:color w:val="231F20"/>
              </w:rPr>
              <w:t>—</w:t>
            </w:r>
          </w:p>
        </w:tc>
        <w:tc>
          <w:tcPr>
            <w:tcW w:w="180" w:type="dxa"/>
            <w:vAlign w:val="bottom"/>
            <w:shd w:val="clear" w:color="auto" w:fill="FDFDFC"/>
          </w:tcPr>
          <w:p>
            <w:pPr>
              <w:spacing w:after="0"/>
              <w:rPr>
                <w:sz w:val="18"/>
                <w:szCs w:val="18"/>
                <w:color w:val="auto"/>
              </w:rPr>
            </w:pPr>
          </w:p>
        </w:tc>
        <w:tc>
          <w:tcPr>
            <w:tcW w:w="180" w:type="dxa"/>
            <w:vAlign w:val="bottom"/>
            <w:shd w:val="clear" w:color="auto" w:fill="FDFDFC"/>
          </w:tcPr>
          <w:p>
            <w:pPr>
              <w:spacing w:after="0"/>
              <w:rPr>
                <w:sz w:val="18"/>
                <w:szCs w:val="18"/>
                <w:color w:val="auto"/>
              </w:rPr>
            </w:pPr>
          </w:p>
        </w:tc>
        <w:tc>
          <w:tcPr>
            <w:tcW w:w="1540" w:type="dxa"/>
            <w:vAlign w:val="bottom"/>
            <w:vMerge w:val="restart"/>
            <w:shd w:val="clear" w:color="auto" w:fill="FDFDFC"/>
          </w:tcPr>
          <w:p>
            <w:pPr>
              <w:jc w:val="right"/>
              <w:spacing w:after="0"/>
              <w:rPr>
                <w:sz w:val="20"/>
                <w:szCs w:val="20"/>
                <w:color w:val="auto"/>
              </w:rPr>
            </w:pPr>
            <w:r>
              <w:rPr>
                <w:rFonts w:ascii="Times New Roman" w:cs="Times New Roman" w:eastAsia="Times New Roman" w:hAnsi="Times New Roman"/>
                <w:sz w:val="19"/>
                <w:szCs w:val="19"/>
                <w:color w:val="231F20"/>
              </w:rPr>
              <w:t>2.1</w:t>
            </w:r>
          </w:p>
        </w:tc>
        <w:tc>
          <w:tcPr>
            <w:tcW w:w="80" w:type="dxa"/>
            <w:vAlign w:val="bottom"/>
            <w:shd w:val="clear" w:color="auto" w:fill="FDFDFC"/>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4460" w:type="dxa"/>
            <w:vAlign w:val="bottom"/>
            <w:shd w:val="clear" w:color="auto" w:fill="FDFDFC"/>
          </w:tcPr>
          <w:p>
            <w:pPr>
              <w:spacing w:after="0"/>
              <w:rPr>
                <w:sz w:val="20"/>
                <w:szCs w:val="20"/>
                <w:color w:val="auto"/>
              </w:rPr>
            </w:pPr>
            <w:r>
              <w:rPr>
                <w:rFonts w:ascii="Times New Roman" w:cs="Times New Roman" w:eastAsia="Times New Roman" w:hAnsi="Times New Roman"/>
                <w:sz w:val="19"/>
                <w:szCs w:val="19"/>
                <w:color w:val="231F20"/>
              </w:rPr>
              <w:t>Revolver</w:t>
            </w:r>
          </w:p>
        </w:tc>
        <w:tc>
          <w:tcPr>
            <w:tcW w:w="120" w:type="dxa"/>
            <w:vAlign w:val="bottom"/>
            <w:shd w:val="clear" w:color="auto" w:fill="FDFDFC"/>
          </w:tcPr>
          <w:p>
            <w:pPr>
              <w:spacing w:after="0"/>
              <w:rPr>
                <w:sz w:val="20"/>
                <w:szCs w:val="20"/>
                <w:color w:val="auto"/>
              </w:rPr>
            </w:pPr>
          </w:p>
        </w:tc>
        <w:tc>
          <w:tcPr>
            <w:tcW w:w="140" w:type="dxa"/>
            <w:vAlign w:val="bottom"/>
            <w:shd w:val="clear" w:color="auto" w:fill="FDFDFC"/>
          </w:tcPr>
          <w:p>
            <w:pPr>
              <w:spacing w:after="0"/>
              <w:rPr>
                <w:sz w:val="20"/>
                <w:szCs w:val="20"/>
                <w:color w:val="auto"/>
              </w:rPr>
            </w:pPr>
          </w:p>
        </w:tc>
        <w:tc>
          <w:tcPr>
            <w:tcW w:w="1460" w:type="dxa"/>
            <w:vAlign w:val="bottom"/>
            <w:vMerge w:val="continue"/>
            <w:shd w:val="clear" w:color="auto" w:fill="FDFDFC"/>
          </w:tcPr>
          <w:p>
            <w:pPr>
              <w:spacing w:after="0"/>
              <w:rPr>
                <w:sz w:val="20"/>
                <w:szCs w:val="20"/>
                <w:color w:val="auto"/>
              </w:rPr>
            </w:pPr>
          </w:p>
        </w:tc>
        <w:tc>
          <w:tcPr>
            <w:tcW w:w="180" w:type="dxa"/>
            <w:vAlign w:val="bottom"/>
            <w:shd w:val="clear" w:color="auto" w:fill="FDFDFC"/>
          </w:tcPr>
          <w:p>
            <w:pPr>
              <w:spacing w:after="0"/>
              <w:rPr>
                <w:sz w:val="20"/>
                <w:szCs w:val="20"/>
                <w:color w:val="auto"/>
              </w:rPr>
            </w:pPr>
          </w:p>
        </w:tc>
        <w:tc>
          <w:tcPr>
            <w:tcW w:w="180" w:type="dxa"/>
            <w:vAlign w:val="bottom"/>
            <w:shd w:val="clear" w:color="auto" w:fill="FDFDFC"/>
          </w:tcPr>
          <w:p>
            <w:pPr>
              <w:spacing w:after="0"/>
              <w:rPr>
                <w:sz w:val="20"/>
                <w:szCs w:val="20"/>
                <w:color w:val="auto"/>
              </w:rPr>
            </w:pPr>
          </w:p>
        </w:tc>
        <w:tc>
          <w:tcPr>
            <w:tcW w:w="1540" w:type="dxa"/>
            <w:vAlign w:val="bottom"/>
            <w:vMerge w:val="continue"/>
            <w:shd w:val="clear" w:color="auto" w:fill="FDFDFC"/>
          </w:tcPr>
          <w:p>
            <w:pPr>
              <w:spacing w:after="0"/>
              <w:rPr>
                <w:sz w:val="20"/>
                <w:szCs w:val="20"/>
                <w:color w:val="auto"/>
              </w:rPr>
            </w:pPr>
          </w:p>
        </w:tc>
        <w:tc>
          <w:tcPr>
            <w:tcW w:w="80" w:type="dxa"/>
            <w:vAlign w:val="bottom"/>
            <w:shd w:val="clear" w:color="auto" w:fill="FDFD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460" w:type="dxa"/>
            <w:vAlign w:val="bottom"/>
            <w:shd w:val="clear" w:color="auto" w:fill="D0EBF2"/>
          </w:tcPr>
          <w:p>
            <w:pPr>
              <w:spacing w:after="0"/>
              <w:rPr>
                <w:sz w:val="20"/>
                <w:szCs w:val="20"/>
                <w:color w:val="auto"/>
              </w:rPr>
            </w:pPr>
            <w:r>
              <w:rPr>
                <w:rFonts w:ascii="Times New Roman" w:cs="Times New Roman" w:eastAsia="Times New Roman" w:hAnsi="Times New Roman"/>
                <w:sz w:val="19"/>
                <w:szCs w:val="19"/>
                <w:color w:val="231F20"/>
              </w:rPr>
              <w:t>Ibis Intermediate Co. - Delayed Draw</w:t>
            </w:r>
          </w:p>
        </w:tc>
        <w:tc>
          <w:tcPr>
            <w:tcW w:w="120" w:type="dxa"/>
            <w:vAlign w:val="bottom"/>
            <w:shd w:val="clear" w:color="auto" w:fill="D0EBF2"/>
          </w:tcPr>
          <w:p>
            <w:pPr>
              <w:spacing w:after="0"/>
              <w:rPr>
                <w:sz w:val="20"/>
                <w:szCs w:val="20"/>
                <w:color w:val="auto"/>
              </w:rPr>
            </w:pPr>
          </w:p>
        </w:tc>
        <w:tc>
          <w:tcPr>
            <w:tcW w:w="140" w:type="dxa"/>
            <w:vAlign w:val="bottom"/>
            <w:shd w:val="clear" w:color="auto" w:fill="D0EBF2"/>
          </w:tcPr>
          <w:p>
            <w:pPr>
              <w:spacing w:after="0"/>
              <w:rPr>
                <w:sz w:val="20"/>
                <w:szCs w:val="20"/>
                <w:color w:val="auto"/>
              </w:rPr>
            </w:pPr>
          </w:p>
        </w:tc>
        <w:tc>
          <w:tcPr>
            <w:tcW w:w="1460" w:type="dxa"/>
            <w:vAlign w:val="bottom"/>
            <w:shd w:val="clear" w:color="auto" w:fill="D0EBF2"/>
          </w:tcPr>
          <w:p>
            <w:pPr>
              <w:jc w:val="right"/>
              <w:spacing w:after="0"/>
              <w:rPr>
                <w:sz w:val="20"/>
                <w:szCs w:val="20"/>
                <w:color w:val="auto"/>
              </w:rPr>
            </w:pPr>
            <w:r>
              <w:rPr>
                <w:rFonts w:ascii="Times New Roman" w:cs="Times New Roman" w:eastAsia="Times New Roman" w:hAnsi="Times New Roman"/>
                <w:sz w:val="19"/>
                <w:szCs w:val="19"/>
                <w:color w:val="231F20"/>
              </w:rPr>
              <w:t>—</w:t>
            </w:r>
          </w:p>
        </w:tc>
        <w:tc>
          <w:tcPr>
            <w:tcW w:w="180" w:type="dxa"/>
            <w:vAlign w:val="bottom"/>
            <w:shd w:val="clear" w:color="auto" w:fill="D0EBF2"/>
          </w:tcPr>
          <w:p>
            <w:pPr>
              <w:spacing w:after="0"/>
              <w:rPr>
                <w:sz w:val="20"/>
                <w:szCs w:val="20"/>
                <w:color w:val="auto"/>
              </w:rPr>
            </w:pPr>
          </w:p>
        </w:tc>
        <w:tc>
          <w:tcPr>
            <w:tcW w:w="180" w:type="dxa"/>
            <w:vAlign w:val="bottom"/>
            <w:shd w:val="clear" w:color="auto" w:fill="D0EBF2"/>
          </w:tcPr>
          <w:p>
            <w:pPr>
              <w:spacing w:after="0"/>
              <w:rPr>
                <w:sz w:val="20"/>
                <w:szCs w:val="20"/>
                <w:color w:val="auto"/>
              </w:rPr>
            </w:pPr>
          </w:p>
        </w:tc>
        <w:tc>
          <w:tcPr>
            <w:tcW w:w="1540" w:type="dxa"/>
            <w:vAlign w:val="bottom"/>
            <w:shd w:val="clear" w:color="auto" w:fill="D0EBF2"/>
          </w:tcPr>
          <w:p>
            <w:pPr>
              <w:jc w:val="right"/>
              <w:spacing w:after="0"/>
              <w:rPr>
                <w:sz w:val="20"/>
                <w:szCs w:val="20"/>
                <w:color w:val="auto"/>
              </w:rPr>
            </w:pPr>
            <w:r>
              <w:rPr>
                <w:rFonts w:ascii="Times New Roman" w:cs="Times New Roman" w:eastAsia="Times New Roman" w:hAnsi="Times New Roman"/>
                <w:sz w:val="19"/>
                <w:szCs w:val="19"/>
                <w:color w:val="231F20"/>
              </w:rPr>
              <w:t>6.3</w:t>
            </w:r>
          </w:p>
        </w:tc>
        <w:tc>
          <w:tcPr>
            <w:tcW w:w="80" w:type="dxa"/>
            <w:vAlign w:val="bottom"/>
            <w:shd w:val="clear" w:color="auto" w:fill="D0EBF2"/>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460" w:type="dxa"/>
            <w:vAlign w:val="bottom"/>
            <w:shd w:val="clear" w:color="auto" w:fill="FDFDFC"/>
          </w:tcPr>
          <w:p>
            <w:pPr>
              <w:spacing w:after="0"/>
              <w:rPr>
                <w:sz w:val="20"/>
                <w:szCs w:val="20"/>
                <w:color w:val="auto"/>
              </w:rPr>
            </w:pPr>
            <w:r>
              <w:rPr>
                <w:rFonts w:ascii="Times New Roman" w:cs="Times New Roman" w:eastAsia="Times New Roman" w:hAnsi="Times New Roman"/>
                <w:sz w:val="19"/>
                <w:szCs w:val="19"/>
                <w:color w:val="231F20"/>
              </w:rPr>
              <w:t>IRGSE Holding Corp. - Revolver</w:t>
            </w:r>
          </w:p>
        </w:tc>
        <w:tc>
          <w:tcPr>
            <w:tcW w:w="120" w:type="dxa"/>
            <w:vAlign w:val="bottom"/>
            <w:shd w:val="clear" w:color="auto" w:fill="FDFDFC"/>
          </w:tcPr>
          <w:p>
            <w:pPr>
              <w:spacing w:after="0"/>
              <w:rPr>
                <w:sz w:val="20"/>
                <w:szCs w:val="20"/>
                <w:color w:val="auto"/>
              </w:rPr>
            </w:pPr>
          </w:p>
        </w:tc>
        <w:tc>
          <w:tcPr>
            <w:tcW w:w="140" w:type="dxa"/>
            <w:vAlign w:val="bottom"/>
            <w:shd w:val="clear" w:color="auto" w:fill="FDFDFC"/>
          </w:tcPr>
          <w:p>
            <w:pPr>
              <w:spacing w:after="0"/>
              <w:rPr>
                <w:sz w:val="20"/>
                <w:szCs w:val="20"/>
                <w:color w:val="auto"/>
              </w:rPr>
            </w:pPr>
          </w:p>
        </w:tc>
        <w:tc>
          <w:tcPr>
            <w:tcW w:w="1460" w:type="dxa"/>
            <w:vAlign w:val="bottom"/>
            <w:shd w:val="clear" w:color="auto" w:fill="FDFDFC"/>
          </w:tcPr>
          <w:p>
            <w:pPr>
              <w:jc w:val="right"/>
              <w:spacing w:after="0"/>
              <w:rPr>
                <w:sz w:val="20"/>
                <w:szCs w:val="20"/>
                <w:color w:val="auto"/>
              </w:rPr>
            </w:pPr>
            <w:r>
              <w:rPr>
                <w:rFonts w:ascii="Times New Roman" w:cs="Times New Roman" w:eastAsia="Times New Roman" w:hAnsi="Times New Roman"/>
                <w:sz w:val="19"/>
                <w:szCs w:val="19"/>
                <w:color w:val="231F20"/>
              </w:rPr>
              <w:t>0.5</w:t>
            </w:r>
          </w:p>
        </w:tc>
        <w:tc>
          <w:tcPr>
            <w:tcW w:w="180" w:type="dxa"/>
            <w:vAlign w:val="bottom"/>
            <w:shd w:val="clear" w:color="auto" w:fill="FDFDFC"/>
          </w:tcPr>
          <w:p>
            <w:pPr>
              <w:spacing w:after="0"/>
              <w:rPr>
                <w:sz w:val="20"/>
                <w:szCs w:val="20"/>
                <w:color w:val="auto"/>
              </w:rPr>
            </w:pPr>
          </w:p>
        </w:tc>
        <w:tc>
          <w:tcPr>
            <w:tcW w:w="180" w:type="dxa"/>
            <w:vAlign w:val="bottom"/>
            <w:shd w:val="clear" w:color="auto" w:fill="FDFDFC"/>
          </w:tcPr>
          <w:p>
            <w:pPr>
              <w:spacing w:after="0"/>
              <w:rPr>
                <w:sz w:val="20"/>
                <w:szCs w:val="20"/>
                <w:color w:val="auto"/>
              </w:rPr>
            </w:pPr>
          </w:p>
        </w:tc>
        <w:tc>
          <w:tcPr>
            <w:tcW w:w="1540" w:type="dxa"/>
            <w:vAlign w:val="bottom"/>
            <w:shd w:val="clear" w:color="auto" w:fill="FDFDFC"/>
          </w:tcPr>
          <w:p>
            <w:pPr>
              <w:jc w:val="right"/>
              <w:spacing w:after="0"/>
              <w:rPr>
                <w:sz w:val="20"/>
                <w:szCs w:val="20"/>
                <w:color w:val="auto"/>
              </w:rPr>
            </w:pPr>
            <w:r>
              <w:rPr>
                <w:rFonts w:ascii="Times New Roman" w:cs="Times New Roman" w:eastAsia="Times New Roman" w:hAnsi="Times New Roman"/>
                <w:sz w:val="19"/>
                <w:szCs w:val="19"/>
                <w:color w:val="231F20"/>
              </w:rPr>
              <w:t>0.9</w:t>
            </w:r>
          </w:p>
        </w:tc>
        <w:tc>
          <w:tcPr>
            <w:tcW w:w="80" w:type="dxa"/>
            <w:vAlign w:val="bottom"/>
            <w:shd w:val="clear" w:color="auto" w:fill="FDFD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460" w:type="dxa"/>
            <w:vAlign w:val="bottom"/>
            <w:shd w:val="clear" w:color="auto" w:fill="D0EBF2"/>
          </w:tcPr>
          <w:p>
            <w:pPr>
              <w:spacing w:after="0"/>
              <w:rPr>
                <w:sz w:val="20"/>
                <w:szCs w:val="20"/>
                <w:color w:val="auto"/>
              </w:rPr>
            </w:pPr>
            <w:r>
              <w:rPr>
                <w:rFonts w:ascii="Times New Roman" w:cs="Times New Roman" w:eastAsia="Times New Roman" w:hAnsi="Times New Roman"/>
                <w:sz w:val="19"/>
                <w:szCs w:val="19"/>
                <w:color w:val="231F20"/>
              </w:rPr>
              <w:t>Kangaroo Bidco AS - Delayed Draw</w:t>
            </w:r>
          </w:p>
        </w:tc>
        <w:tc>
          <w:tcPr>
            <w:tcW w:w="120" w:type="dxa"/>
            <w:vAlign w:val="bottom"/>
            <w:shd w:val="clear" w:color="auto" w:fill="D0EBF2"/>
          </w:tcPr>
          <w:p>
            <w:pPr>
              <w:spacing w:after="0"/>
              <w:rPr>
                <w:sz w:val="20"/>
                <w:szCs w:val="20"/>
                <w:color w:val="auto"/>
              </w:rPr>
            </w:pPr>
          </w:p>
        </w:tc>
        <w:tc>
          <w:tcPr>
            <w:tcW w:w="140" w:type="dxa"/>
            <w:vAlign w:val="bottom"/>
            <w:shd w:val="clear" w:color="auto" w:fill="D0EBF2"/>
          </w:tcPr>
          <w:p>
            <w:pPr>
              <w:spacing w:after="0"/>
              <w:rPr>
                <w:sz w:val="20"/>
                <w:szCs w:val="20"/>
                <w:color w:val="auto"/>
              </w:rPr>
            </w:pPr>
          </w:p>
        </w:tc>
        <w:tc>
          <w:tcPr>
            <w:tcW w:w="1460" w:type="dxa"/>
            <w:vAlign w:val="bottom"/>
            <w:shd w:val="clear" w:color="auto" w:fill="D0EBF2"/>
          </w:tcPr>
          <w:p>
            <w:pPr>
              <w:jc w:val="right"/>
              <w:spacing w:after="0"/>
              <w:rPr>
                <w:sz w:val="20"/>
                <w:szCs w:val="20"/>
                <w:color w:val="auto"/>
              </w:rPr>
            </w:pPr>
            <w:r>
              <w:rPr>
                <w:rFonts w:ascii="Times New Roman" w:cs="Times New Roman" w:eastAsia="Times New Roman" w:hAnsi="Times New Roman"/>
                <w:sz w:val="19"/>
                <w:szCs w:val="19"/>
                <w:color w:val="231F20"/>
              </w:rPr>
              <w:t>4.4</w:t>
            </w:r>
          </w:p>
        </w:tc>
        <w:tc>
          <w:tcPr>
            <w:tcW w:w="180" w:type="dxa"/>
            <w:vAlign w:val="bottom"/>
            <w:shd w:val="clear" w:color="auto" w:fill="D0EBF2"/>
          </w:tcPr>
          <w:p>
            <w:pPr>
              <w:spacing w:after="0"/>
              <w:rPr>
                <w:sz w:val="20"/>
                <w:szCs w:val="20"/>
                <w:color w:val="auto"/>
              </w:rPr>
            </w:pPr>
          </w:p>
        </w:tc>
        <w:tc>
          <w:tcPr>
            <w:tcW w:w="180" w:type="dxa"/>
            <w:vAlign w:val="bottom"/>
            <w:shd w:val="clear" w:color="auto" w:fill="D0EBF2"/>
          </w:tcPr>
          <w:p>
            <w:pPr>
              <w:spacing w:after="0"/>
              <w:rPr>
                <w:sz w:val="20"/>
                <w:szCs w:val="20"/>
                <w:color w:val="auto"/>
              </w:rPr>
            </w:pPr>
          </w:p>
        </w:tc>
        <w:tc>
          <w:tcPr>
            <w:tcW w:w="1540" w:type="dxa"/>
            <w:vAlign w:val="bottom"/>
            <w:shd w:val="clear" w:color="auto" w:fill="D0EBF2"/>
          </w:tcPr>
          <w:p>
            <w:pPr>
              <w:jc w:val="right"/>
              <w:spacing w:after="0"/>
              <w:rPr>
                <w:sz w:val="20"/>
                <w:szCs w:val="20"/>
                <w:color w:val="auto"/>
              </w:rPr>
            </w:pPr>
            <w:r>
              <w:rPr>
                <w:rFonts w:ascii="Times New Roman" w:cs="Times New Roman" w:eastAsia="Times New Roman" w:hAnsi="Times New Roman"/>
                <w:sz w:val="19"/>
                <w:szCs w:val="19"/>
                <w:color w:val="231F20"/>
              </w:rPr>
              <w:t>9.4</w:t>
            </w:r>
          </w:p>
        </w:tc>
        <w:tc>
          <w:tcPr>
            <w:tcW w:w="80" w:type="dxa"/>
            <w:vAlign w:val="bottom"/>
            <w:shd w:val="clear" w:color="auto" w:fill="D0EBF2"/>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460" w:type="dxa"/>
            <w:vAlign w:val="bottom"/>
            <w:shd w:val="clear" w:color="auto" w:fill="FDFDFC"/>
          </w:tcPr>
          <w:p>
            <w:pPr>
              <w:spacing w:after="0"/>
              <w:rPr>
                <w:sz w:val="20"/>
                <w:szCs w:val="20"/>
                <w:color w:val="auto"/>
              </w:rPr>
            </w:pPr>
            <w:r>
              <w:rPr>
                <w:rFonts w:ascii="Times New Roman" w:cs="Times New Roman" w:eastAsia="Times New Roman" w:hAnsi="Times New Roman"/>
                <w:sz w:val="19"/>
                <w:szCs w:val="19"/>
                <w:color w:val="231F20"/>
              </w:rPr>
              <w:t>Kryptona BidCo US, LLC - Revolver</w:t>
            </w:r>
          </w:p>
        </w:tc>
        <w:tc>
          <w:tcPr>
            <w:tcW w:w="120" w:type="dxa"/>
            <w:vAlign w:val="bottom"/>
            <w:shd w:val="clear" w:color="auto" w:fill="FDFDFC"/>
          </w:tcPr>
          <w:p>
            <w:pPr>
              <w:spacing w:after="0"/>
              <w:rPr>
                <w:sz w:val="20"/>
                <w:szCs w:val="20"/>
                <w:color w:val="auto"/>
              </w:rPr>
            </w:pPr>
          </w:p>
        </w:tc>
        <w:tc>
          <w:tcPr>
            <w:tcW w:w="140" w:type="dxa"/>
            <w:vAlign w:val="bottom"/>
            <w:shd w:val="clear" w:color="auto" w:fill="FDFDFC"/>
          </w:tcPr>
          <w:p>
            <w:pPr>
              <w:spacing w:after="0"/>
              <w:rPr>
                <w:sz w:val="20"/>
                <w:szCs w:val="20"/>
                <w:color w:val="auto"/>
              </w:rPr>
            </w:pPr>
          </w:p>
        </w:tc>
        <w:tc>
          <w:tcPr>
            <w:tcW w:w="1460" w:type="dxa"/>
            <w:vAlign w:val="bottom"/>
            <w:shd w:val="clear" w:color="auto" w:fill="FDFDFC"/>
          </w:tcPr>
          <w:p>
            <w:pPr>
              <w:jc w:val="right"/>
              <w:spacing w:after="0"/>
              <w:rPr>
                <w:sz w:val="20"/>
                <w:szCs w:val="20"/>
                <w:color w:val="auto"/>
              </w:rPr>
            </w:pPr>
            <w:r>
              <w:rPr>
                <w:rFonts w:ascii="Times New Roman" w:cs="Times New Roman" w:eastAsia="Times New Roman" w:hAnsi="Times New Roman"/>
                <w:sz w:val="19"/>
                <w:szCs w:val="19"/>
                <w:color w:val="231F20"/>
              </w:rPr>
              <w:t>2.2</w:t>
            </w:r>
          </w:p>
        </w:tc>
        <w:tc>
          <w:tcPr>
            <w:tcW w:w="180" w:type="dxa"/>
            <w:vAlign w:val="bottom"/>
            <w:shd w:val="clear" w:color="auto" w:fill="FDFDFC"/>
          </w:tcPr>
          <w:p>
            <w:pPr>
              <w:spacing w:after="0"/>
              <w:rPr>
                <w:sz w:val="20"/>
                <w:szCs w:val="20"/>
                <w:color w:val="auto"/>
              </w:rPr>
            </w:pPr>
          </w:p>
        </w:tc>
        <w:tc>
          <w:tcPr>
            <w:tcW w:w="180" w:type="dxa"/>
            <w:vAlign w:val="bottom"/>
            <w:shd w:val="clear" w:color="auto" w:fill="FDFDFC"/>
          </w:tcPr>
          <w:p>
            <w:pPr>
              <w:spacing w:after="0"/>
              <w:rPr>
                <w:sz w:val="20"/>
                <w:szCs w:val="20"/>
                <w:color w:val="auto"/>
              </w:rPr>
            </w:pPr>
          </w:p>
        </w:tc>
        <w:tc>
          <w:tcPr>
            <w:tcW w:w="1620" w:type="dxa"/>
            <w:vAlign w:val="bottom"/>
            <w:gridSpan w:val="2"/>
            <w:shd w:val="clear" w:color="auto" w:fill="FDFDFC"/>
          </w:tcPr>
          <w:p>
            <w:pPr>
              <w:jc w:val="right"/>
              <w:ind w:right="100"/>
              <w:spacing w:after="0"/>
              <w:rPr>
                <w:sz w:val="20"/>
                <w:szCs w:val="20"/>
                <w:color w:val="auto"/>
              </w:rPr>
            </w:pPr>
            <w:r>
              <w:rPr>
                <w:rFonts w:ascii="Times New Roman" w:cs="Times New Roman" w:eastAsia="Times New Roman" w:hAnsi="Times New Roman"/>
                <w:sz w:val="19"/>
                <w:szCs w:val="19"/>
                <w:color w:val="231F20"/>
              </w:rPr>
              <w:t>—</w:t>
            </w:r>
          </w:p>
        </w:tc>
        <w:tc>
          <w:tcPr>
            <w:tcW w:w="0" w:type="dxa"/>
            <w:vAlign w:val="bottom"/>
          </w:tcPr>
          <w:p>
            <w:pPr>
              <w:spacing w:after="0"/>
              <w:rPr>
                <w:sz w:val="1"/>
                <w:szCs w:val="1"/>
                <w:color w:val="auto"/>
              </w:rPr>
            </w:pPr>
          </w:p>
        </w:tc>
      </w:tr>
      <w:tr>
        <w:trPr>
          <w:trHeight w:val="230"/>
        </w:trPr>
        <w:tc>
          <w:tcPr>
            <w:tcW w:w="4460" w:type="dxa"/>
            <w:vAlign w:val="bottom"/>
            <w:shd w:val="clear" w:color="auto" w:fill="D0EBF2"/>
          </w:tcPr>
          <w:p>
            <w:pPr>
              <w:spacing w:after="0"/>
              <w:rPr>
                <w:sz w:val="20"/>
                <w:szCs w:val="20"/>
                <w:color w:val="auto"/>
              </w:rPr>
            </w:pPr>
            <w:r>
              <w:rPr>
                <w:rFonts w:ascii="Times New Roman" w:cs="Times New Roman" w:eastAsia="Times New Roman" w:hAnsi="Times New Roman"/>
                <w:sz w:val="19"/>
                <w:szCs w:val="19"/>
                <w:color w:val="231F20"/>
              </w:rPr>
              <w:t>Kyriba Corp. - Revolver</w:t>
            </w:r>
          </w:p>
        </w:tc>
        <w:tc>
          <w:tcPr>
            <w:tcW w:w="120" w:type="dxa"/>
            <w:vAlign w:val="bottom"/>
            <w:shd w:val="clear" w:color="auto" w:fill="D0EBF2"/>
          </w:tcPr>
          <w:p>
            <w:pPr>
              <w:spacing w:after="0"/>
              <w:rPr>
                <w:sz w:val="20"/>
                <w:szCs w:val="20"/>
                <w:color w:val="auto"/>
              </w:rPr>
            </w:pPr>
          </w:p>
        </w:tc>
        <w:tc>
          <w:tcPr>
            <w:tcW w:w="140" w:type="dxa"/>
            <w:vAlign w:val="bottom"/>
            <w:shd w:val="clear" w:color="auto" w:fill="D0EBF2"/>
          </w:tcPr>
          <w:p>
            <w:pPr>
              <w:spacing w:after="0"/>
              <w:rPr>
                <w:sz w:val="20"/>
                <w:szCs w:val="20"/>
                <w:color w:val="auto"/>
              </w:rPr>
            </w:pPr>
          </w:p>
        </w:tc>
        <w:tc>
          <w:tcPr>
            <w:tcW w:w="1460" w:type="dxa"/>
            <w:vAlign w:val="bottom"/>
            <w:shd w:val="clear" w:color="auto" w:fill="D0EBF2"/>
          </w:tcPr>
          <w:p>
            <w:pPr>
              <w:jc w:val="right"/>
              <w:spacing w:after="0"/>
              <w:rPr>
                <w:sz w:val="20"/>
                <w:szCs w:val="20"/>
                <w:color w:val="auto"/>
              </w:rPr>
            </w:pPr>
            <w:r>
              <w:rPr>
                <w:rFonts w:ascii="Times New Roman" w:cs="Times New Roman" w:eastAsia="Times New Roman" w:hAnsi="Times New Roman"/>
                <w:sz w:val="19"/>
                <w:szCs w:val="19"/>
                <w:color w:val="231F20"/>
              </w:rPr>
              <w:t>—</w:t>
            </w:r>
          </w:p>
        </w:tc>
        <w:tc>
          <w:tcPr>
            <w:tcW w:w="180" w:type="dxa"/>
            <w:vAlign w:val="bottom"/>
            <w:shd w:val="clear" w:color="auto" w:fill="D0EBF2"/>
          </w:tcPr>
          <w:p>
            <w:pPr>
              <w:spacing w:after="0"/>
              <w:rPr>
                <w:sz w:val="20"/>
                <w:szCs w:val="20"/>
                <w:color w:val="auto"/>
              </w:rPr>
            </w:pPr>
          </w:p>
        </w:tc>
        <w:tc>
          <w:tcPr>
            <w:tcW w:w="180" w:type="dxa"/>
            <w:vAlign w:val="bottom"/>
            <w:shd w:val="clear" w:color="auto" w:fill="D0EBF2"/>
          </w:tcPr>
          <w:p>
            <w:pPr>
              <w:spacing w:after="0"/>
              <w:rPr>
                <w:sz w:val="20"/>
                <w:szCs w:val="20"/>
                <w:color w:val="auto"/>
              </w:rPr>
            </w:pPr>
          </w:p>
        </w:tc>
        <w:tc>
          <w:tcPr>
            <w:tcW w:w="1540" w:type="dxa"/>
            <w:vAlign w:val="bottom"/>
            <w:shd w:val="clear" w:color="auto" w:fill="D0EBF2"/>
          </w:tcPr>
          <w:p>
            <w:pPr>
              <w:jc w:val="right"/>
              <w:spacing w:after="0"/>
              <w:rPr>
                <w:sz w:val="20"/>
                <w:szCs w:val="20"/>
                <w:color w:val="auto"/>
              </w:rPr>
            </w:pPr>
            <w:r>
              <w:rPr>
                <w:rFonts w:ascii="Times New Roman" w:cs="Times New Roman" w:eastAsia="Times New Roman" w:hAnsi="Times New Roman"/>
                <w:sz w:val="19"/>
                <w:szCs w:val="19"/>
                <w:color w:val="231F20"/>
              </w:rPr>
              <w:t>2.5</w:t>
            </w:r>
          </w:p>
        </w:tc>
        <w:tc>
          <w:tcPr>
            <w:tcW w:w="80" w:type="dxa"/>
            <w:vAlign w:val="bottom"/>
            <w:shd w:val="clear" w:color="auto" w:fill="D0EBF2"/>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460" w:type="dxa"/>
            <w:vAlign w:val="bottom"/>
            <w:shd w:val="clear" w:color="auto" w:fill="FDFDFC"/>
          </w:tcPr>
          <w:p>
            <w:pPr>
              <w:spacing w:after="0"/>
              <w:rPr>
                <w:sz w:val="20"/>
                <w:szCs w:val="20"/>
                <w:color w:val="auto"/>
              </w:rPr>
            </w:pPr>
            <w:r>
              <w:rPr>
                <w:rFonts w:ascii="Times New Roman" w:cs="Times New Roman" w:eastAsia="Times New Roman" w:hAnsi="Times New Roman"/>
                <w:sz w:val="19"/>
                <w:szCs w:val="19"/>
                <w:color w:val="231F20"/>
              </w:rPr>
              <w:t>Laramie Energy, LLC - Delayed Draw</w:t>
            </w:r>
          </w:p>
        </w:tc>
        <w:tc>
          <w:tcPr>
            <w:tcW w:w="120" w:type="dxa"/>
            <w:vAlign w:val="bottom"/>
            <w:shd w:val="clear" w:color="auto" w:fill="FDFDFC"/>
          </w:tcPr>
          <w:p>
            <w:pPr>
              <w:spacing w:after="0"/>
              <w:rPr>
                <w:sz w:val="20"/>
                <w:szCs w:val="20"/>
                <w:color w:val="auto"/>
              </w:rPr>
            </w:pPr>
          </w:p>
        </w:tc>
        <w:tc>
          <w:tcPr>
            <w:tcW w:w="140" w:type="dxa"/>
            <w:vAlign w:val="bottom"/>
            <w:shd w:val="clear" w:color="auto" w:fill="FDFDFC"/>
          </w:tcPr>
          <w:p>
            <w:pPr>
              <w:spacing w:after="0"/>
              <w:rPr>
                <w:sz w:val="20"/>
                <w:szCs w:val="20"/>
                <w:color w:val="auto"/>
              </w:rPr>
            </w:pPr>
          </w:p>
        </w:tc>
        <w:tc>
          <w:tcPr>
            <w:tcW w:w="1460" w:type="dxa"/>
            <w:vAlign w:val="bottom"/>
            <w:shd w:val="clear" w:color="auto" w:fill="FDFDFC"/>
          </w:tcPr>
          <w:p>
            <w:pPr>
              <w:jc w:val="right"/>
              <w:spacing w:after="0"/>
              <w:rPr>
                <w:sz w:val="20"/>
                <w:szCs w:val="20"/>
                <w:color w:val="auto"/>
              </w:rPr>
            </w:pPr>
            <w:r>
              <w:rPr>
                <w:rFonts w:ascii="Times New Roman" w:cs="Times New Roman" w:eastAsia="Times New Roman" w:hAnsi="Times New Roman"/>
                <w:sz w:val="19"/>
                <w:szCs w:val="19"/>
                <w:color w:val="231F20"/>
              </w:rPr>
              <w:t>—</w:t>
            </w:r>
          </w:p>
        </w:tc>
        <w:tc>
          <w:tcPr>
            <w:tcW w:w="180" w:type="dxa"/>
            <w:vAlign w:val="bottom"/>
            <w:shd w:val="clear" w:color="auto" w:fill="FDFDFC"/>
          </w:tcPr>
          <w:p>
            <w:pPr>
              <w:spacing w:after="0"/>
              <w:rPr>
                <w:sz w:val="20"/>
                <w:szCs w:val="20"/>
                <w:color w:val="auto"/>
              </w:rPr>
            </w:pPr>
          </w:p>
        </w:tc>
        <w:tc>
          <w:tcPr>
            <w:tcW w:w="180" w:type="dxa"/>
            <w:vAlign w:val="bottom"/>
            <w:shd w:val="clear" w:color="auto" w:fill="FDFDFC"/>
          </w:tcPr>
          <w:p>
            <w:pPr>
              <w:spacing w:after="0"/>
              <w:rPr>
                <w:sz w:val="20"/>
                <w:szCs w:val="20"/>
                <w:color w:val="auto"/>
              </w:rPr>
            </w:pPr>
          </w:p>
        </w:tc>
        <w:tc>
          <w:tcPr>
            <w:tcW w:w="1540" w:type="dxa"/>
            <w:vAlign w:val="bottom"/>
            <w:shd w:val="clear" w:color="auto" w:fill="FDFDFC"/>
          </w:tcPr>
          <w:p>
            <w:pPr>
              <w:jc w:val="right"/>
              <w:spacing w:after="0"/>
              <w:rPr>
                <w:sz w:val="20"/>
                <w:szCs w:val="20"/>
                <w:color w:val="auto"/>
              </w:rPr>
            </w:pPr>
            <w:r>
              <w:rPr>
                <w:rFonts w:ascii="Times New Roman" w:cs="Times New Roman" w:eastAsia="Times New Roman" w:hAnsi="Times New Roman"/>
                <w:sz w:val="19"/>
                <w:szCs w:val="19"/>
                <w:color w:val="231F20"/>
              </w:rPr>
              <w:t>7.7</w:t>
            </w:r>
          </w:p>
        </w:tc>
        <w:tc>
          <w:tcPr>
            <w:tcW w:w="80" w:type="dxa"/>
            <w:vAlign w:val="bottom"/>
            <w:shd w:val="clear" w:color="auto" w:fill="FDFDFC"/>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2240" w:h="15840" w:orient="portrait"/>
          <w:cols w:equalWidth="0" w:num="1">
            <w:col w:w="9360"/>
          </w:cols>
          <w:pgMar w:left="1440" w:top="1337" w:right="1440" w:bottom="574" w:gutter="0" w:footer="0" w:header="0"/>
        </w:sectPr>
      </w:pPr>
    </w:p>
    <w:p>
      <w:pPr>
        <w:spacing w:after="0" w:line="1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231F20"/>
        </w:rPr>
        <w:t>81</w:t>
      </w:r>
    </w:p>
    <w:p>
      <w:pPr>
        <w:sectPr>
          <w:pgSz w:w="12240" w:h="15840" w:orient="portrait"/>
          <w:cols w:equalWidth="0" w:num="1">
            <w:col w:w="9360"/>
          </w:cols>
          <w:pgMar w:left="1440" w:top="1337" w:right="1440" w:bottom="574" w:gutter="0" w:footer="0" w:header="0"/>
          <w:type w:val="continuous"/>
        </w:sectPr>
      </w:pPr>
    </w:p>
    <w:bookmarkStart w:id="81" w:name="page82"/>
    <w:bookmarkEnd w:id="81"/>
    <w:tbl>
      <w:tblPr>
        <w:tblLayout w:type="fixed"/>
        <w:tblInd w:w="1020" w:type="dxa"/>
        <w:tblCellMar>
          <w:top w:w="0" w:type="dxa"/>
          <w:left w:w="0" w:type="dxa"/>
          <w:bottom w:w="0" w:type="dxa"/>
          <w:right w:w="0" w:type="dxa"/>
        </w:tblCellMar>
      </w:tblPr>
      <w:tr>
        <w:trPr>
          <w:trHeight w:val="230"/>
        </w:trPr>
        <w:tc>
          <w:tcPr>
            <w:tcW w:w="4460" w:type="dxa"/>
            <w:vAlign w:val="bottom"/>
            <w:shd w:val="clear" w:color="auto" w:fill="D0EBF2"/>
          </w:tcPr>
          <w:p>
            <w:pPr>
              <w:spacing w:after="0"/>
              <w:rPr>
                <w:sz w:val="20"/>
                <w:szCs w:val="20"/>
                <w:color w:val="auto"/>
              </w:rPr>
            </w:pPr>
            <w:r>
              <w:rPr>
                <w:rFonts w:ascii="Times New Roman" w:cs="Times New Roman" w:eastAsia="Times New Roman" w:hAnsi="Times New Roman"/>
                <w:sz w:val="19"/>
                <w:szCs w:val="19"/>
                <w:color w:val="231F20"/>
              </w:rPr>
              <w:t>LeanTaaS Holdings, Inc. - Delayed Draw</w:t>
            </w:r>
          </w:p>
        </w:tc>
        <w:tc>
          <w:tcPr>
            <w:tcW w:w="120" w:type="dxa"/>
            <w:vAlign w:val="bottom"/>
            <w:shd w:val="clear" w:color="auto" w:fill="D0EBF2"/>
          </w:tcPr>
          <w:p>
            <w:pPr>
              <w:spacing w:after="0"/>
              <w:rPr>
                <w:sz w:val="20"/>
                <w:szCs w:val="20"/>
                <w:color w:val="auto"/>
              </w:rPr>
            </w:pPr>
          </w:p>
        </w:tc>
        <w:tc>
          <w:tcPr>
            <w:tcW w:w="620" w:type="dxa"/>
            <w:vAlign w:val="bottom"/>
            <w:shd w:val="clear" w:color="auto" w:fill="D0EBF2"/>
          </w:tcPr>
          <w:p>
            <w:pPr>
              <w:spacing w:after="0"/>
              <w:rPr>
                <w:sz w:val="20"/>
                <w:szCs w:val="20"/>
                <w:color w:val="auto"/>
              </w:rPr>
            </w:pPr>
          </w:p>
        </w:tc>
        <w:tc>
          <w:tcPr>
            <w:tcW w:w="980" w:type="dxa"/>
            <w:vAlign w:val="bottom"/>
            <w:shd w:val="clear" w:color="auto" w:fill="D0EBF2"/>
          </w:tcPr>
          <w:p>
            <w:pPr>
              <w:jc w:val="right"/>
              <w:spacing w:after="0"/>
              <w:rPr>
                <w:sz w:val="20"/>
                <w:szCs w:val="20"/>
                <w:color w:val="auto"/>
              </w:rPr>
            </w:pPr>
            <w:r>
              <w:rPr>
                <w:rFonts w:ascii="Times New Roman" w:cs="Times New Roman" w:eastAsia="Times New Roman" w:hAnsi="Times New Roman"/>
                <w:sz w:val="19"/>
                <w:szCs w:val="19"/>
                <w:color w:val="231F20"/>
              </w:rPr>
              <w:t>18.8</w:t>
            </w:r>
          </w:p>
        </w:tc>
        <w:tc>
          <w:tcPr>
            <w:tcW w:w="180" w:type="dxa"/>
            <w:vAlign w:val="bottom"/>
            <w:shd w:val="clear" w:color="auto" w:fill="D0EBF2"/>
          </w:tcPr>
          <w:p>
            <w:pPr>
              <w:spacing w:after="0"/>
              <w:rPr>
                <w:sz w:val="20"/>
                <w:szCs w:val="20"/>
                <w:color w:val="auto"/>
              </w:rPr>
            </w:pPr>
          </w:p>
        </w:tc>
        <w:tc>
          <w:tcPr>
            <w:tcW w:w="680" w:type="dxa"/>
            <w:vAlign w:val="bottom"/>
            <w:shd w:val="clear" w:color="auto" w:fill="D0EBF2"/>
          </w:tcPr>
          <w:p>
            <w:pPr>
              <w:spacing w:after="0"/>
              <w:rPr>
                <w:sz w:val="20"/>
                <w:szCs w:val="20"/>
                <w:color w:val="auto"/>
              </w:rPr>
            </w:pPr>
          </w:p>
        </w:tc>
        <w:tc>
          <w:tcPr>
            <w:tcW w:w="1040" w:type="dxa"/>
            <w:vAlign w:val="bottom"/>
            <w:shd w:val="clear" w:color="auto" w:fill="D0EBF2"/>
          </w:tcPr>
          <w:p>
            <w:pPr>
              <w:jc w:val="right"/>
              <w:spacing w:after="0"/>
              <w:rPr>
                <w:sz w:val="20"/>
                <w:szCs w:val="20"/>
                <w:color w:val="auto"/>
              </w:rPr>
            </w:pPr>
            <w:r>
              <w:rPr>
                <w:rFonts w:ascii="Times New Roman" w:cs="Times New Roman" w:eastAsia="Times New Roman" w:hAnsi="Times New Roman"/>
                <w:sz w:val="19"/>
                <w:szCs w:val="19"/>
                <w:color w:val="231F20"/>
              </w:rPr>
              <w:t>38.0</w:t>
            </w:r>
          </w:p>
        </w:tc>
        <w:tc>
          <w:tcPr>
            <w:tcW w:w="80" w:type="dxa"/>
            <w:vAlign w:val="bottom"/>
            <w:shd w:val="clear" w:color="auto" w:fill="D0EBF2"/>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460" w:type="dxa"/>
            <w:vAlign w:val="bottom"/>
            <w:shd w:val="clear" w:color="auto" w:fill="FDFDFC"/>
          </w:tcPr>
          <w:p>
            <w:pPr>
              <w:spacing w:after="0"/>
              <w:rPr>
                <w:sz w:val="20"/>
                <w:szCs w:val="20"/>
                <w:color w:val="auto"/>
              </w:rPr>
            </w:pPr>
            <w:r>
              <w:rPr>
                <w:rFonts w:ascii="Times New Roman" w:cs="Times New Roman" w:eastAsia="Times New Roman" w:hAnsi="Times New Roman"/>
                <w:sz w:val="19"/>
                <w:szCs w:val="19"/>
                <w:color w:val="231F20"/>
              </w:rPr>
              <w:t>Lucidworks, Inc. - Delayed Draw</w:t>
            </w:r>
          </w:p>
        </w:tc>
        <w:tc>
          <w:tcPr>
            <w:tcW w:w="120" w:type="dxa"/>
            <w:vAlign w:val="bottom"/>
            <w:shd w:val="clear" w:color="auto" w:fill="FDFDFC"/>
          </w:tcPr>
          <w:p>
            <w:pPr>
              <w:spacing w:after="0"/>
              <w:rPr>
                <w:sz w:val="20"/>
                <w:szCs w:val="20"/>
                <w:color w:val="auto"/>
              </w:rPr>
            </w:pPr>
          </w:p>
        </w:tc>
        <w:tc>
          <w:tcPr>
            <w:tcW w:w="620" w:type="dxa"/>
            <w:vAlign w:val="bottom"/>
            <w:shd w:val="clear" w:color="auto" w:fill="FDFDFC"/>
          </w:tcPr>
          <w:p>
            <w:pPr>
              <w:spacing w:after="0"/>
              <w:rPr>
                <w:sz w:val="20"/>
                <w:szCs w:val="20"/>
                <w:color w:val="auto"/>
              </w:rPr>
            </w:pPr>
          </w:p>
        </w:tc>
        <w:tc>
          <w:tcPr>
            <w:tcW w:w="980" w:type="dxa"/>
            <w:vAlign w:val="bottom"/>
            <w:shd w:val="clear" w:color="auto" w:fill="FDFDFC"/>
          </w:tcPr>
          <w:p>
            <w:pPr>
              <w:jc w:val="right"/>
              <w:spacing w:after="0"/>
              <w:rPr>
                <w:sz w:val="20"/>
                <w:szCs w:val="20"/>
                <w:color w:val="auto"/>
              </w:rPr>
            </w:pPr>
            <w:r>
              <w:rPr>
                <w:rFonts w:ascii="Times New Roman" w:cs="Times New Roman" w:eastAsia="Times New Roman" w:hAnsi="Times New Roman"/>
                <w:sz w:val="19"/>
                <w:szCs w:val="19"/>
                <w:color w:val="231F20"/>
              </w:rPr>
              <w:t>—</w:t>
            </w:r>
          </w:p>
        </w:tc>
        <w:tc>
          <w:tcPr>
            <w:tcW w:w="180" w:type="dxa"/>
            <w:vAlign w:val="bottom"/>
            <w:shd w:val="clear" w:color="auto" w:fill="FDFDFC"/>
          </w:tcPr>
          <w:p>
            <w:pPr>
              <w:spacing w:after="0"/>
              <w:rPr>
                <w:sz w:val="20"/>
                <w:szCs w:val="20"/>
                <w:color w:val="auto"/>
              </w:rPr>
            </w:pPr>
          </w:p>
        </w:tc>
        <w:tc>
          <w:tcPr>
            <w:tcW w:w="680" w:type="dxa"/>
            <w:vAlign w:val="bottom"/>
            <w:shd w:val="clear" w:color="auto" w:fill="FDFDFC"/>
          </w:tcPr>
          <w:p>
            <w:pPr>
              <w:spacing w:after="0"/>
              <w:rPr>
                <w:sz w:val="20"/>
                <w:szCs w:val="20"/>
                <w:color w:val="auto"/>
              </w:rPr>
            </w:pPr>
          </w:p>
        </w:tc>
        <w:tc>
          <w:tcPr>
            <w:tcW w:w="1040" w:type="dxa"/>
            <w:vAlign w:val="bottom"/>
            <w:shd w:val="clear" w:color="auto" w:fill="FDFDFC"/>
          </w:tcPr>
          <w:p>
            <w:pPr>
              <w:jc w:val="right"/>
              <w:spacing w:after="0"/>
              <w:rPr>
                <w:sz w:val="20"/>
                <w:szCs w:val="20"/>
                <w:color w:val="auto"/>
              </w:rPr>
            </w:pPr>
            <w:r>
              <w:rPr>
                <w:rFonts w:ascii="Times New Roman" w:cs="Times New Roman" w:eastAsia="Times New Roman" w:hAnsi="Times New Roman"/>
                <w:sz w:val="19"/>
                <w:szCs w:val="19"/>
                <w:color w:val="231F20"/>
              </w:rPr>
              <w:t>0.8</w:t>
            </w:r>
          </w:p>
        </w:tc>
        <w:tc>
          <w:tcPr>
            <w:tcW w:w="80" w:type="dxa"/>
            <w:vAlign w:val="bottom"/>
            <w:shd w:val="clear" w:color="auto" w:fill="FDFD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460" w:type="dxa"/>
            <w:vAlign w:val="bottom"/>
            <w:shd w:val="clear" w:color="auto" w:fill="D0EBF2"/>
          </w:tcPr>
          <w:p>
            <w:pPr>
              <w:spacing w:after="0"/>
              <w:rPr>
                <w:sz w:val="20"/>
                <w:szCs w:val="20"/>
                <w:color w:val="auto"/>
              </w:rPr>
            </w:pPr>
            <w:r>
              <w:rPr>
                <w:rFonts w:ascii="Times New Roman" w:cs="Times New Roman" w:eastAsia="Times New Roman" w:hAnsi="Times New Roman"/>
                <w:sz w:val="19"/>
                <w:szCs w:val="19"/>
                <w:color w:val="231F20"/>
              </w:rPr>
              <w:t>Lynx BidCo - Delayed Draw &amp; Revolver</w:t>
            </w:r>
          </w:p>
        </w:tc>
        <w:tc>
          <w:tcPr>
            <w:tcW w:w="120" w:type="dxa"/>
            <w:vAlign w:val="bottom"/>
            <w:shd w:val="clear" w:color="auto" w:fill="D0EBF2"/>
          </w:tcPr>
          <w:p>
            <w:pPr>
              <w:spacing w:after="0"/>
              <w:rPr>
                <w:sz w:val="20"/>
                <w:szCs w:val="20"/>
                <w:color w:val="auto"/>
              </w:rPr>
            </w:pPr>
          </w:p>
        </w:tc>
        <w:tc>
          <w:tcPr>
            <w:tcW w:w="620" w:type="dxa"/>
            <w:vAlign w:val="bottom"/>
            <w:shd w:val="clear" w:color="auto" w:fill="D0EBF2"/>
          </w:tcPr>
          <w:p>
            <w:pPr>
              <w:spacing w:after="0"/>
              <w:rPr>
                <w:sz w:val="20"/>
                <w:szCs w:val="20"/>
                <w:color w:val="auto"/>
              </w:rPr>
            </w:pPr>
          </w:p>
        </w:tc>
        <w:tc>
          <w:tcPr>
            <w:tcW w:w="980" w:type="dxa"/>
            <w:vAlign w:val="bottom"/>
            <w:shd w:val="clear" w:color="auto" w:fill="D0EBF2"/>
          </w:tcPr>
          <w:p>
            <w:pPr>
              <w:jc w:val="right"/>
              <w:spacing w:after="0"/>
              <w:rPr>
                <w:sz w:val="20"/>
                <w:szCs w:val="20"/>
                <w:color w:val="auto"/>
              </w:rPr>
            </w:pPr>
            <w:r>
              <w:rPr>
                <w:rFonts w:ascii="Times New Roman" w:cs="Times New Roman" w:eastAsia="Times New Roman" w:hAnsi="Times New Roman"/>
                <w:sz w:val="19"/>
                <w:szCs w:val="19"/>
                <w:color w:val="231F20"/>
              </w:rPr>
              <w:t>0.9</w:t>
            </w:r>
          </w:p>
        </w:tc>
        <w:tc>
          <w:tcPr>
            <w:tcW w:w="180" w:type="dxa"/>
            <w:vAlign w:val="bottom"/>
            <w:shd w:val="clear" w:color="auto" w:fill="D0EBF2"/>
          </w:tcPr>
          <w:p>
            <w:pPr>
              <w:spacing w:after="0"/>
              <w:rPr>
                <w:sz w:val="20"/>
                <w:szCs w:val="20"/>
                <w:color w:val="auto"/>
              </w:rPr>
            </w:pPr>
          </w:p>
        </w:tc>
        <w:tc>
          <w:tcPr>
            <w:tcW w:w="680" w:type="dxa"/>
            <w:vAlign w:val="bottom"/>
            <w:shd w:val="clear" w:color="auto" w:fill="D0EBF2"/>
          </w:tcPr>
          <w:p>
            <w:pPr>
              <w:spacing w:after="0"/>
              <w:rPr>
                <w:sz w:val="20"/>
                <w:szCs w:val="20"/>
                <w:color w:val="auto"/>
              </w:rPr>
            </w:pPr>
          </w:p>
        </w:tc>
        <w:tc>
          <w:tcPr>
            <w:tcW w:w="1120" w:type="dxa"/>
            <w:vAlign w:val="bottom"/>
            <w:gridSpan w:val="2"/>
            <w:shd w:val="clear" w:color="auto" w:fill="D0EBF2"/>
          </w:tcPr>
          <w:p>
            <w:pPr>
              <w:jc w:val="right"/>
              <w:ind w:right="100"/>
              <w:spacing w:after="0"/>
              <w:rPr>
                <w:sz w:val="20"/>
                <w:szCs w:val="20"/>
                <w:color w:val="auto"/>
              </w:rPr>
            </w:pPr>
            <w:r>
              <w:rPr>
                <w:rFonts w:ascii="Times New Roman" w:cs="Times New Roman" w:eastAsia="Times New Roman" w:hAnsi="Times New Roman"/>
                <w:sz w:val="19"/>
                <w:szCs w:val="19"/>
                <w:color w:val="231F20"/>
              </w:rPr>
              <w:t>—</w:t>
            </w:r>
          </w:p>
        </w:tc>
        <w:tc>
          <w:tcPr>
            <w:tcW w:w="0" w:type="dxa"/>
            <w:vAlign w:val="bottom"/>
          </w:tcPr>
          <w:p>
            <w:pPr>
              <w:spacing w:after="0"/>
              <w:rPr>
                <w:sz w:val="1"/>
                <w:szCs w:val="1"/>
                <w:color w:val="auto"/>
              </w:rPr>
            </w:pPr>
          </w:p>
        </w:tc>
      </w:tr>
      <w:tr>
        <w:trPr>
          <w:trHeight w:val="230"/>
        </w:trPr>
        <w:tc>
          <w:tcPr>
            <w:tcW w:w="4460" w:type="dxa"/>
            <w:vAlign w:val="bottom"/>
            <w:shd w:val="clear" w:color="auto" w:fill="FDFDFC"/>
          </w:tcPr>
          <w:p>
            <w:pPr>
              <w:spacing w:after="0"/>
              <w:rPr>
                <w:sz w:val="20"/>
                <w:szCs w:val="20"/>
                <w:color w:val="auto"/>
              </w:rPr>
            </w:pPr>
            <w:r>
              <w:rPr>
                <w:rFonts w:ascii="Times New Roman" w:cs="Times New Roman" w:eastAsia="Times New Roman" w:hAnsi="Times New Roman"/>
                <w:sz w:val="19"/>
                <w:szCs w:val="19"/>
                <w:color w:val="231F20"/>
              </w:rPr>
              <w:t>Marcura Equities LTD - Delayed Draw &amp; Revolver</w:t>
            </w:r>
          </w:p>
        </w:tc>
        <w:tc>
          <w:tcPr>
            <w:tcW w:w="120" w:type="dxa"/>
            <w:vAlign w:val="bottom"/>
            <w:shd w:val="clear" w:color="auto" w:fill="FDFDFC"/>
          </w:tcPr>
          <w:p>
            <w:pPr>
              <w:spacing w:after="0"/>
              <w:rPr>
                <w:sz w:val="20"/>
                <w:szCs w:val="20"/>
                <w:color w:val="auto"/>
              </w:rPr>
            </w:pPr>
          </w:p>
        </w:tc>
        <w:tc>
          <w:tcPr>
            <w:tcW w:w="620" w:type="dxa"/>
            <w:vAlign w:val="bottom"/>
            <w:shd w:val="clear" w:color="auto" w:fill="FDFDFC"/>
          </w:tcPr>
          <w:p>
            <w:pPr>
              <w:spacing w:after="0"/>
              <w:rPr>
                <w:sz w:val="20"/>
                <w:szCs w:val="20"/>
                <w:color w:val="auto"/>
              </w:rPr>
            </w:pPr>
          </w:p>
        </w:tc>
        <w:tc>
          <w:tcPr>
            <w:tcW w:w="980" w:type="dxa"/>
            <w:vAlign w:val="bottom"/>
            <w:shd w:val="clear" w:color="auto" w:fill="FDFDFC"/>
          </w:tcPr>
          <w:p>
            <w:pPr>
              <w:jc w:val="right"/>
              <w:spacing w:after="0"/>
              <w:rPr>
                <w:sz w:val="20"/>
                <w:szCs w:val="20"/>
                <w:color w:val="auto"/>
              </w:rPr>
            </w:pPr>
            <w:r>
              <w:rPr>
                <w:rFonts w:ascii="Times New Roman" w:cs="Times New Roman" w:eastAsia="Times New Roman" w:hAnsi="Times New Roman"/>
                <w:sz w:val="19"/>
                <w:szCs w:val="19"/>
                <w:color w:val="231F20"/>
              </w:rPr>
              <w:t>9.1</w:t>
            </w:r>
          </w:p>
        </w:tc>
        <w:tc>
          <w:tcPr>
            <w:tcW w:w="180" w:type="dxa"/>
            <w:vAlign w:val="bottom"/>
            <w:shd w:val="clear" w:color="auto" w:fill="FDFDFC"/>
          </w:tcPr>
          <w:p>
            <w:pPr>
              <w:spacing w:after="0"/>
              <w:rPr>
                <w:sz w:val="20"/>
                <w:szCs w:val="20"/>
                <w:color w:val="auto"/>
              </w:rPr>
            </w:pPr>
          </w:p>
        </w:tc>
        <w:tc>
          <w:tcPr>
            <w:tcW w:w="680" w:type="dxa"/>
            <w:vAlign w:val="bottom"/>
            <w:shd w:val="clear" w:color="auto" w:fill="FDFDFC"/>
          </w:tcPr>
          <w:p>
            <w:pPr>
              <w:spacing w:after="0"/>
              <w:rPr>
                <w:sz w:val="20"/>
                <w:szCs w:val="20"/>
                <w:color w:val="auto"/>
              </w:rPr>
            </w:pPr>
          </w:p>
        </w:tc>
        <w:tc>
          <w:tcPr>
            <w:tcW w:w="1040" w:type="dxa"/>
            <w:vAlign w:val="bottom"/>
            <w:shd w:val="clear" w:color="auto" w:fill="FDFDFC"/>
          </w:tcPr>
          <w:p>
            <w:pPr>
              <w:jc w:val="right"/>
              <w:spacing w:after="0"/>
              <w:rPr>
                <w:sz w:val="20"/>
                <w:szCs w:val="20"/>
                <w:color w:val="auto"/>
              </w:rPr>
            </w:pPr>
            <w:r>
              <w:rPr>
                <w:rFonts w:ascii="Times New Roman" w:cs="Times New Roman" w:eastAsia="Times New Roman" w:hAnsi="Times New Roman"/>
                <w:sz w:val="19"/>
                <w:szCs w:val="19"/>
                <w:color w:val="231F20"/>
              </w:rPr>
              <w:t>11.7</w:t>
            </w:r>
          </w:p>
        </w:tc>
        <w:tc>
          <w:tcPr>
            <w:tcW w:w="80" w:type="dxa"/>
            <w:vAlign w:val="bottom"/>
            <w:shd w:val="clear" w:color="auto" w:fill="FDFDFC"/>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4460" w:type="dxa"/>
            <w:vAlign w:val="bottom"/>
            <w:shd w:val="clear" w:color="auto" w:fill="D0EBF2"/>
          </w:tcPr>
          <w:p>
            <w:pPr>
              <w:spacing w:after="0" w:line="211" w:lineRule="exact"/>
              <w:rPr>
                <w:sz w:val="20"/>
                <w:szCs w:val="20"/>
                <w:color w:val="auto"/>
              </w:rPr>
            </w:pPr>
            <w:r>
              <w:rPr>
                <w:rFonts w:ascii="Times New Roman" w:cs="Times New Roman" w:eastAsia="Times New Roman" w:hAnsi="Times New Roman"/>
                <w:sz w:val="19"/>
                <w:szCs w:val="19"/>
                <w:color w:val="231F20"/>
              </w:rPr>
              <w:t>Merit Software Finance Holdings, LLC - Delayed Draw</w:t>
            </w:r>
          </w:p>
        </w:tc>
        <w:tc>
          <w:tcPr>
            <w:tcW w:w="120" w:type="dxa"/>
            <w:vAlign w:val="bottom"/>
            <w:shd w:val="clear" w:color="auto" w:fill="D0EBF2"/>
          </w:tcPr>
          <w:p>
            <w:pPr>
              <w:spacing w:after="0"/>
              <w:rPr>
                <w:sz w:val="18"/>
                <w:szCs w:val="18"/>
                <w:color w:val="auto"/>
              </w:rPr>
            </w:pPr>
          </w:p>
        </w:tc>
        <w:tc>
          <w:tcPr>
            <w:tcW w:w="620" w:type="dxa"/>
            <w:vAlign w:val="bottom"/>
            <w:shd w:val="clear" w:color="auto" w:fill="D0EBF2"/>
          </w:tcPr>
          <w:p>
            <w:pPr>
              <w:spacing w:after="0"/>
              <w:rPr>
                <w:sz w:val="18"/>
                <w:szCs w:val="18"/>
                <w:color w:val="auto"/>
              </w:rPr>
            </w:pPr>
          </w:p>
        </w:tc>
        <w:tc>
          <w:tcPr>
            <w:tcW w:w="980" w:type="dxa"/>
            <w:vAlign w:val="bottom"/>
            <w:vMerge w:val="restart"/>
            <w:shd w:val="clear" w:color="auto" w:fill="D0EBF2"/>
          </w:tcPr>
          <w:p>
            <w:pPr>
              <w:jc w:val="right"/>
              <w:spacing w:after="0"/>
              <w:rPr>
                <w:sz w:val="20"/>
                <w:szCs w:val="20"/>
                <w:color w:val="auto"/>
              </w:rPr>
            </w:pPr>
            <w:r>
              <w:rPr>
                <w:rFonts w:ascii="Times New Roman" w:cs="Times New Roman" w:eastAsia="Times New Roman" w:hAnsi="Times New Roman"/>
                <w:sz w:val="19"/>
                <w:szCs w:val="19"/>
                <w:color w:val="231F20"/>
              </w:rPr>
              <w:t>11.8</w:t>
            </w:r>
          </w:p>
        </w:tc>
        <w:tc>
          <w:tcPr>
            <w:tcW w:w="180" w:type="dxa"/>
            <w:vAlign w:val="bottom"/>
            <w:shd w:val="clear" w:color="auto" w:fill="D0EBF2"/>
          </w:tcPr>
          <w:p>
            <w:pPr>
              <w:spacing w:after="0"/>
              <w:rPr>
                <w:sz w:val="18"/>
                <w:szCs w:val="18"/>
                <w:color w:val="auto"/>
              </w:rPr>
            </w:pPr>
          </w:p>
        </w:tc>
        <w:tc>
          <w:tcPr>
            <w:tcW w:w="680" w:type="dxa"/>
            <w:vAlign w:val="bottom"/>
            <w:shd w:val="clear" w:color="auto" w:fill="D0EBF2"/>
          </w:tcPr>
          <w:p>
            <w:pPr>
              <w:spacing w:after="0"/>
              <w:rPr>
                <w:sz w:val="18"/>
                <w:szCs w:val="18"/>
                <w:color w:val="auto"/>
              </w:rPr>
            </w:pPr>
          </w:p>
        </w:tc>
        <w:tc>
          <w:tcPr>
            <w:tcW w:w="1120" w:type="dxa"/>
            <w:vAlign w:val="bottom"/>
            <w:gridSpan w:val="2"/>
            <w:vMerge w:val="restart"/>
            <w:shd w:val="clear" w:color="auto" w:fill="D0EBF2"/>
          </w:tcPr>
          <w:p>
            <w:pPr>
              <w:jc w:val="right"/>
              <w:ind w:right="100"/>
              <w:spacing w:after="0"/>
              <w:rPr>
                <w:sz w:val="20"/>
                <w:szCs w:val="20"/>
                <w:color w:val="auto"/>
              </w:rPr>
            </w:pPr>
            <w:r>
              <w:rPr>
                <w:rFonts w:ascii="Times New Roman" w:cs="Times New Roman" w:eastAsia="Times New Roman" w:hAnsi="Times New Roman"/>
                <w:sz w:val="19"/>
                <w:szCs w:val="19"/>
                <w:color w:val="231F20"/>
              </w:rPr>
              <w:t>—</w:t>
            </w:r>
          </w:p>
        </w:tc>
        <w:tc>
          <w:tcPr>
            <w:tcW w:w="0" w:type="dxa"/>
            <w:vAlign w:val="bottom"/>
          </w:tcPr>
          <w:p>
            <w:pPr>
              <w:spacing w:after="0"/>
              <w:rPr>
                <w:sz w:val="1"/>
                <w:szCs w:val="1"/>
                <w:color w:val="auto"/>
              </w:rPr>
            </w:pPr>
          </w:p>
        </w:tc>
      </w:tr>
      <w:tr>
        <w:trPr>
          <w:trHeight w:val="237"/>
        </w:trPr>
        <w:tc>
          <w:tcPr>
            <w:tcW w:w="4460" w:type="dxa"/>
            <w:vAlign w:val="bottom"/>
            <w:shd w:val="clear" w:color="auto" w:fill="D0EBF2"/>
          </w:tcPr>
          <w:p>
            <w:pPr>
              <w:spacing w:after="0"/>
              <w:rPr>
                <w:sz w:val="20"/>
                <w:szCs w:val="20"/>
                <w:color w:val="auto"/>
              </w:rPr>
            </w:pPr>
            <w:r>
              <w:rPr>
                <w:rFonts w:ascii="Times New Roman" w:cs="Times New Roman" w:eastAsia="Times New Roman" w:hAnsi="Times New Roman"/>
                <w:sz w:val="19"/>
                <w:szCs w:val="19"/>
                <w:color w:val="231F20"/>
              </w:rPr>
              <w:t>&amp; Revolver</w:t>
            </w:r>
          </w:p>
        </w:tc>
        <w:tc>
          <w:tcPr>
            <w:tcW w:w="120" w:type="dxa"/>
            <w:vAlign w:val="bottom"/>
            <w:shd w:val="clear" w:color="auto" w:fill="D0EBF2"/>
          </w:tcPr>
          <w:p>
            <w:pPr>
              <w:spacing w:after="0"/>
              <w:rPr>
                <w:sz w:val="20"/>
                <w:szCs w:val="20"/>
                <w:color w:val="auto"/>
              </w:rPr>
            </w:pPr>
          </w:p>
        </w:tc>
        <w:tc>
          <w:tcPr>
            <w:tcW w:w="620" w:type="dxa"/>
            <w:vAlign w:val="bottom"/>
            <w:shd w:val="clear" w:color="auto" w:fill="D0EBF2"/>
          </w:tcPr>
          <w:p>
            <w:pPr>
              <w:spacing w:after="0"/>
              <w:rPr>
                <w:sz w:val="20"/>
                <w:szCs w:val="20"/>
                <w:color w:val="auto"/>
              </w:rPr>
            </w:pPr>
          </w:p>
        </w:tc>
        <w:tc>
          <w:tcPr>
            <w:tcW w:w="980" w:type="dxa"/>
            <w:vAlign w:val="bottom"/>
            <w:vMerge w:val="continue"/>
            <w:shd w:val="clear" w:color="auto" w:fill="D0EBF2"/>
          </w:tcPr>
          <w:p>
            <w:pPr>
              <w:spacing w:after="0"/>
              <w:rPr>
                <w:sz w:val="20"/>
                <w:szCs w:val="20"/>
                <w:color w:val="auto"/>
              </w:rPr>
            </w:pPr>
          </w:p>
        </w:tc>
        <w:tc>
          <w:tcPr>
            <w:tcW w:w="180" w:type="dxa"/>
            <w:vAlign w:val="bottom"/>
            <w:shd w:val="clear" w:color="auto" w:fill="D0EBF2"/>
          </w:tcPr>
          <w:p>
            <w:pPr>
              <w:spacing w:after="0"/>
              <w:rPr>
                <w:sz w:val="20"/>
                <w:szCs w:val="20"/>
                <w:color w:val="auto"/>
              </w:rPr>
            </w:pPr>
          </w:p>
        </w:tc>
        <w:tc>
          <w:tcPr>
            <w:tcW w:w="680" w:type="dxa"/>
            <w:vAlign w:val="bottom"/>
            <w:shd w:val="clear" w:color="auto" w:fill="D0EBF2"/>
          </w:tcPr>
          <w:p>
            <w:pPr>
              <w:spacing w:after="0"/>
              <w:rPr>
                <w:sz w:val="20"/>
                <w:szCs w:val="20"/>
                <w:color w:val="auto"/>
              </w:rPr>
            </w:pPr>
          </w:p>
        </w:tc>
        <w:tc>
          <w:tcPr>
            <w:tcW w:w="1120" w:type="dxa"/>
            <w:vAlign w:val="bottom"/>
            <w:gridSpan w:val="2"/>
            <w:vMerge w:val="continue"/>
            <w:shd w:val="clear" w:color="auto" w:fill="D0EBF2"/>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460" w:type="dxa"/>
            <w:vAlign w:val="bottom"/>
            <w:shd w:val="clear" w:color="auto" w:fill="FDFDFC"/>
          </w:tcPr>
          <w:p>
            <w:pPr>
              <w:spacing w:after="0"/>
              <w:rPr>
                <w:sz w:val="20"/>
                <w:szCs w:val="20"/>
                <w:color w:val="auto"/>
              </w:rPr>
            </w:pPr>
            <w:r>
              <w:rPr>
                <w:rFonts w:ascii="Times New Roman" w:cs="Times New Roman" w:eastAsia="Times New Roman" w:hAnsi="Times New Roman"/>
                <w:sz w:val="19"/>
                <w:szCs w:val="19"/>
                <w:color w:val="231F20"/>
              </w:rPr>
              <w:t>Netwrix Corp. - Delayed Draw &amp; Revolver</w:t>
            </w:r>
          </w:p>
        </w:tc>
        <w:tc>
          <w:tcPr>
            <w:tcW w:w="120" w:type="dxa"/>
            <w:vAlign w:val="bottom"/>
            <w:shd w:val="clear" w:color="auto" w:fill="FDFDFC"/>
          </w:tcPr>
          <w:p>
            <w:pPr>
              <w:spacing w:after="0"/>
              <w:rPr>
                <w:sz w:val="20"/>
                <w:szCs w:val="20"/>
                <w:color w:val="auto"/>
              </w:rPr>
            </w:pPr>
          </w:p>
        </w:tc>
        <w:tc>
          <w:tcPr>
            <w:tcW w:w="620" w:type="dxa"/>
            <w:vAlign w:val="bottom"/>
            <w:shd w:val="clear" w:color="auto" w:fill="FDFDFC"/>
          </w:tcPr>
          <w:p>
            <w:pPr>
              <w:spacing w:after="0"/>
              <w:rPr>
                <w:sz w:val="20"/>
                <w:szCs w:val="20"/>
                <w:color w:val="auto"/>
              </w:rPr>
            </w:pPr>
          </w:p>
        </w:tc>
        <w:tc>
          <w:tcPr>
            <w:tcW w:w="980" w:type="dxa"/>
            <w:vAlign w:val="bottom"/>
            <w:shd w:val="clear" w:color="auto" w:fill="FDFDFC"/>
          </w:tcPr>
          <w:p>
            <w:pPr>
              <w:jc w:val="right"/>
              <w:spacing w:after="0"/>
              <w:rPr>
                <w:sz w:val="20"/>
                <w:szCs w:val="20"/>
                <w:color w:val="auto"/>
              </w:rPr>
            </w:pPr>
            <w:r>
              <w:rPr>
                <w:rFonts w:ascii="Times New Roman" w:cs="Times New Roman" w:eastAsia="Times New Roman" w:hAnsi="Times New Roman"/>
                <w:sz w:val="19"/>
                <w:szCs w:val="19"/>
                <w:color w:val="231F20"/>
              </w:rPr>
              <w:t>—</w:t>
            </w:r>
          </w:p>
        </w:tc>
        <w:tc>
          <w:tcPr>
            <w:tcW w:w="180" w:type="dxa"/>
            <w:vAlign w:val="bottom"/>
            <w:shd w:val="clear" w:color="auto" w:fill="FDFDFC"/>
          </w:tcPr>
          <w:p>
            <w:pPr>
              <w:spacing w:after="0"/>
              <w:rPr>
                <w:sz w:val="20"/>
                <w:szCs w:val="20"/>
                <w:color w:val="auto"/>
              </w:rPr>
            </w:pPr>
          </w:p>
        </w:tc>
        <w:tc>
          <w:tcPr>
            <w:tcW w:w="680" w:type="dxa"/>
            <w:vAlign w:val="bottom"/>
            <w:shd w:val="clear" w:color="auto" w:fill="FDFDFC"/>
          </w:tcPr>
          <w:p>
            <w:pPr>
              <w:spacing w:after="0"/>
              <w:rPr>
                <w:sz w:val="20"/>
                <w:szCs w:val="20"/>
                <w:color w:val="auto"/>
              </w:rPr>
            </w:pPr>
          </w:p>
        </w:tc>
        <w:tc>
          <w:tcPr>
            <w:tcW w:w="1040" w:type="dxa"/>
            <w:vAlign w:val="bottom"/>
            <w:shd w:val="clear" w:color="auto" w:fill="FDFDFC"/>
          </w:tcPr>
          <w:p>
            <w:pPr>
              <w:jc w:val="right"/>
              <w:spacing w:after="0"/>
              <w:rPr>
                <w:sz w:val="20"/>
                <w:szCs w:val="20"/>
                <w:color w:val="auto"/>
              </w:rPr>
            </w:pPr>
            <w:r>
              <w:rPr>
                <w:rFonts w:ascii="Times New Roman" w:cs="Times New Roman" w:eastAsia="Times New Roman" w:hAnsi="Times New Roman"/>
                <w:sz w:val="19"/>
                <w:szCs w:val="19"/>
                <w:color w:val="231F20"/>
              </w:rPr>
              <w:t>13.1</w:t>
            </w:r>
          </w:p>
        </w:tc>
        <w:tc>
          <w:tcPr>
            <w:tcW w:w="80" w:type="dxa"/>
            <w:vAlign w:val="bottom"/>
            <w:shd w:val="clear" w:color="auto" w:fill="FDFD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460" w:type="dxa"/>
            <w:vAlign w:val="bottom"/>
            <w:shd w:val="clear" w:color="auto" w:fill="D0EBF2"/>
          </w:tcPr>
          <w:p>
            <w:pPr>
              <w:spacing w:after="0"/>
              <w:rPr>
                <w:sz w:val="20"/>
                <w:szCs w:val="20"/>
                <w:color w:val="auto"/>
              </w:rPr>
            </w:pPr>
            <w:r>
              <w:rPr>
                <w:rFonts w:ascii="Times New Roman" w:cs="Times New Roman" w:eastAsia="Times New Roman" w:hAnsi="Times New Roman"/>
                <w:sz w:val="19"/>
                <w:szCs w:val="19"/>
                <w:color w:val="231F20"/>
              </w:rPr>
              <w:t>OutSystems Luxco SARL - Delayed Draw</w:t>
            </w:r>
          </w:p>
        </w:tc>
        <w:tc>
          <w:tcPr>
            <w:tcW w:w="120" w:type="dxa"/>
            <w:vAlign w:val="bottom"/>
            <w:shd w:val="clear" w:color="auto" w:fill="D0EBF2"/>
          </w:tcPr>
          <w:p>
            <w:pPr>
              <w:spacing w:after="0"/>
              <w:rPr>
                <w:sz w:val="20"/>
                <w:szCs w:val="20"/>
                <w:color w:val="auto"/>
              </w:rPr>
            </w:pPr>
          </w:p>
        </w:tc>
        <w:tc>
          <w:tcPr>
            <w:tcW w:w="620" w:type="dxa"/>
            <w:vAlign w:val="bottom"/>
            <w:shd w:val="clear" w:color="auto" w:fill="D0EBF2"/>
          </w:tcPr>
          <w:p>
            <w:pPr>
              <w:spacing w:after="0"/>
              <w:rPr>
                <w:sz w:val="20"/>
                <w:szCs w:val="20"/>
                <w:color w:val="auto"/>
              </w:rPr>
            </w:pPr>
          </w:p>
        </w:tc>
        <w:tc>
          <w:tcPr>
            <w:tcW w:w="980" w:type="dxa"/>
            <w:vAlign w:val="bottom"/>
            <w:shd w:val="clear" w:color="auto" w:fill="D0EBF2"/>
          </w:tcPr>
          <w:p>
            <w:pPr>
              <w:jc w:val="right"/>
              <w:spacing w:after="0"/>
              <w:rPr>
                <w:sz w:val="20"/>
                <w:szCs w:val="20"/>
                <w:color w:val="auto"/>
              </w:rPr>
            </w:pPr>
            <w:r>
              <w:rPr>
                <w:rFonts w:ascii="Times New Roman" w:cs="Times New Roman" w:eastAsia="Times New Roman" w:hAnsi="Times New Roman"/>
                <w:sz w:val="19"/>
                <w:szCs w:val="19"/>
                <w:color w:val="231F20"/>
              </w:rPr>
              <w:t>—</w:t>
            </w:r>
          </w:p>
        </w:tc>
        <w:tc>
          <w:tcPr>
            <w:tcW w:w="180" w:type="dxa"/>
            <w:vAlign w:val="bottom"/>
            <w:shd w:val="clear" w:color="auto" w:fill="D0EBF2"/>
          </w:tcPr>
          <w:p>
            <w:pPr>
              <w:spacing w:after="0"/>
              <w:rPr>
                <w:sz w:val="20"/>
                <w:szCs w:val="20"/>
                <w:color w:val="auto"/>
              </w:rPr>
            </w:pPr>
          </w:p>
        </w:tc>
        <w:tc>
          <w:tcPr>
            <w:tcW w:w="680" w:type="dxa"/>
            <w:vAlign w:val="bottom"/>
            <w:shd w:val="clear" w:color="auto" w:fill="D0EBF2"/>
          </w:tcPr>
          <w:p>
            <w:pPr>
              <w:spacing w:after="0"/>
              <w:rPr>
                <w:sz w:val="20"/>
                <w:szCs w:val="20"/>
                <w:color w:val="auto"/>
              </w:rPr>
            </w:pPr>
          </w:p>
        </w:tc>
        <w:tc>
          <w:tcPr>
            <w:tcW w:w="1040" w:type="dxa"/>
            <w:vAlign w:val="bottom"/>
            <w:shd w:val="clear" w:color="auto" w:fill="D0EBF2"/>
          </w:tcPr>
          <w:p>
            <w:pPr>
              <w:jc w:val="right"/>
              <w:spacing w:after="0"/>
              <w:rPr>
                <w:sz w:val="20"/>
                <w:szCs w:val="20"/>
                <w:color w:val="auto"/>
              </w:rPr>
            </w:pPr>
            <w:r>
              <w:rPr>
                <w:rFonts w:ascii="Times New Roman" w:cs="Times New Roman" w:eastAsia="Times New Roman" w:hAnsi="Times New Roman"/>
                <w:sz w:val="19"/>
                <w:szCs w:val="19"/>
                <w:color w:val="231F20"/>
              </w:rPr>
              <w:t>2.2</w:t>
            </w:r>
          </w:p>
        </w:tc>
        <w:tc>
          <w:tcPr>
            <w:tcW w:w="80" w:type="dxa"/>
            <w:vAlign w:val="bottom"/>
            <w:shd w:val="clear" w:color="auto" w:fill="D0EBF2"/>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460" w:type="dxa"/>
            <w:vAlign w:val="bottom"/>
            <w:shd w:val="clear" w:color="auto" w:fill="FDFDFC"/>
          </w:tcPr>
          <w:p>
            <w:pPr>
              <w:spacing w:after="0"/>
              <w:rPr>
                <w:sz w:val="20"/>
                <w:szCs w:val="20"/>
                <w:color w:val="auto"/>
              </w:rPr>
            </w:pPr>
            <w:r>
              <w:rPr>
                <w:rFonts w:ascii="Times New Roman" w:cs="Times New Roman" w:eastAsia="Times New Roman" w:hAnsi="Times New Roman"/>
                <w:sz w:val="19"/>
                <w:szCs w:val="19"/>
                <w:color w:val="231F20"/>
              </w:rPr>
              <w:t>Passport Labs, Inc. - Revolver</w:t>
            </w:r>
          </w:p>
        </w:tc>
        <w:tc>
          <w:tcPr>
            <w:tcW w:w="120" w:type="dxa"/>
            <w:vAlign w:val="bottom"/>
            <w:shd w:val="clear" w:color="auto" w:fill="FDFDFC"/>
          </w:tcPr>
          <w:p>
            <w:pPr>
              <w:spacing w:after="0"/>
              <w:rPr>
                <w:sz w:val="20"/>
                <w:szCs w:val="20"/>
                <w:color w:val="auto"/>
              </w:rPr>
            </w:pPr>
          </w:p>
        </w:tc>
        <w:tc>
          <w:tcPr>
            <w:tcW w:w="620" w:type="dxa"/>
            <w:vAlign w:val="bottom"/>
            <w:shd w:val="clear" w:color="auto" w:fill="FDFDFC"/>
          </w:tcPr>
          <w:p>
            <w:pPr>
              <w:spacing w:after="0"/>
              <w:rPr>
                <w:sz w:val="20"/>
                <w:szCs w:val="20"/>
                <w:color w:val="auto"/>
              </w:rPr>
            </w:pPr>
          </w:p>
        </w:tc>
        <w:tc>
          <w:tcPr>
            <w:tcW w:w="980" w:type="dxa"/>
            <w:vAlign w:val="bottom"/>
            <w:shd w:val="clear" w:color="auto" w:fill="FDFDFC"/>
          </w:tcPr>
          <w:p>
            <w:pPr>
              <w:jc w:val="right"/>
              <w:spacing w:after="0"/>
              <w:rPr>
                <w:sz w:val="20"/>
                <w:szCs w:val="20"/>
                <w:color w:val="auto"/>
              </w:rPr>
            </w:pPr>
            <w:r>
              <w:rPr>
                <w:rFonts w:ascii="Times New Roman" w:cs="Times New Roman" w:eastAsia="Times New Roman" w:hAnsi="Times New Roman"/>
                <w:sz w:val="19"/>
                <w:szCs w:val="19"/>
                <w:color w:val="231F20"/>
              </w:rPr>
              <w:t>—</w:t>
            </w:r>
          </w:p>
        </w:tc>
        <w:tc>
          <w:tcPr>
            <w:tcW w:w="180" w:type="dxa"/>
            <w:vAlign w:val="bottom"/>
            <w:shd w:val="clear" w:color="auto" w:fill="FDFDFC"/>
          </w:tcPr>
          <w:p>
            <w:pPr>
              <w:spacing w:after="0"/>
              <w:rPr>
                <w:sz w:val="20"/>
                <w:szCs w:val="20"/>
                <w:color w:val="auto"/>
              </w:rPr>
            </w:pPr>
          </w:p>
        </w:tc>
        <w:tc>
          <w:tcPr>
            <w:tcW w:w="680" w:type="dxa"/>
            <w:vAlign w:val="bottom"/>
            <w:shd w:val="clear" w:color="auto" w:fill="FDFDFC"/>
          </w:tcPr>
          <w:p>
            <w:pPr>
              <w:spacing w:after="0"/>
              <w:rPr>
                <w:sz w:val="20"/>
                <w:szCs w:val="20"/>
                <w:color w:val="auto"/>
              </w:rPr>
            </w:pPr>
          </w:p>
        </w:tc>
        <w:tc>
          <w:tcPr>
            <w:tcW w:w="1040" w:type="dxa"/>
            <w:vAlign w:val="bottom"/>
            <w:shd w:val="clear" w:color="auto" w:fill="FDFDFC"/>
          </w:tcPr>
          <w:p>
            <w:pPr>
              <w:jc w:val="right"/>
              <w:spacing w:after="0"/>
              <w:rPr>
                <w:sz w:val="20"/>
                <w:szCs w:val="20"/>
                <w:color w:val="auto"/>
              </w:rPr>
            </w:pPr>
            <w:r>
              <w:rPr>
                <w:rFonts w:ascii="Times New Roman" w:cs="Times New Roman" w:eastAsia="Times New Roman" w:hAnsi="Times New Roman"/>
                <w:sz w:val="19"/>
                <w:szCs w:val="19"/>
                <w:color w:val="231F20"/>
              </w:rPr>
              <w:t>2.8</w:t>
            </w:r>
          </w:p>
        </w:tc>
        <w:tc>
          <w:tcPr>
            <w:tcW w:w="80" w:type="dxa"/>
            <w:vAlign w:val="bottom"/>
            <w:shd w:val="clear" w:color="auto" w:fill="FDFD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460" w:type="dxa"/>
            <w:vAlign w:val="bottom"/>
            <w:shd w:val="clear" w:color="auto" w:fill="D0EBF2"/>
          </w:tcPr>
          <w:p>
            <w:pPr>
              <w:spacing w:after="0"/>
              <w:rPr>
                <w:sz w:val="20"/>
                <w:szCs w:val="20"/>
                <w:color w:val="auto"/>
              </w:rPr>
            </w:pPr>
            <w:r>
              <w:rPr>
                <w:rFonts w:ascii="Times New Roman" w:cs="Times New Roman" w:eastAsia="Times New Roman" w:hAnsi="Times New Roman"/>
                <w:sz w:val="19"/>
                <w:szCs w:val="19"/>
                <w:color w:val="231F20"/>
              </w:rPr>
              <w:t>PDI TA Holdings, Inc. - Delayed Draw &amp; Revolver</w:t>
            </w:r>
          </w:p>
        </w:tc>
        <w:tc>
          <w:tcPr>
            <w:tcW w:w="120" w:type="dxa"/>
            <w:vAlign w:val="bottom"/>
            <w:shd w:val="clear" w:color="auto" w:fill="D0EBF2"/>
          </w:tcPr>
          <w:p>
            <w:pPr>
              <w:spacing w:after="0"/>
              <w:rPr>
                <w:sz w:val="20"/>
                <w:szCs w:val="20"/>
                <w:color w:val="auto"/>
              </w:rPr>
            </w:pPr>
          </w:p>
        </w:tc>
        <w:tc>
          <w:tcPr>
            <w:tcW w:w="620" w:type="dxa"/>
            <w:vAlign w:val="bottom"/>
            <w:shd w:val="clear" w:color="auto" w:fill="D0EBF2"/>
          </w:tcPr>
          <w:p>
            <w:pPr>
              <w:spacing w:after="0"/>
              <w:rPr>
                <w:sz w:val="20"/>
                <w:szCs w:val="20"/>
                <w:color w:val="auto"/>
              </w:rPr>
            </w:pPr>
          </w:p>
        </w:tc>
        <w:tc>
          <w:tcPr>
            <w:tcW w:w="980" w:type="dxa"/>
            <w:vAlign w:val="bottom"/>
            <w:shd w:val="clear" w:color="auto" w:fill="D0EBF2"/>
          </w:tcPr>
          <w:p>
            <w:pPr>
              <w:jc w:val="right"/>
              <w:spacing w:after="0"/>
              <w:rPr>
                <w:sz w:val="20"/>
                <w:szCs w:val="20"/>
                <w:color w:val="auto"/>
              </w:rPr>
            </w:pPr>
            <w:r>
              <w:rPr>
                <w:rFonts w:ascii="Times New Roman" w:cs="Times New Roman" w:eastAsia="Times New Roman" w:hAnsi="Times New Roman"/>
                <w:sz w:val="19"/>
                <w:szCs w:val="19"/>
                <w:color w:val="231F20"/>
              </w:rPr>
              <w:t>3.3</w:t>
            </w:r>
          </w:p>
        </w:tc>
        <w:tc>
          <w:tcPr>
            <w:tcW w:w="180" w:type="dxa"/>
            <w:vAlign w:val="bottom"/>
            <w:shd w:val="clear" w:color="auto" w:fill="D0EBF2"/>
          </w:tcPr>
          <w:p>
            <w:pPr>
              <w:spacing w:after="0"/>
              <w:rPr>
                <w:sz w:val="20"/>
                <w:szCs w:val="20"/>
                <w:color w:val="auto"/>
              </w:rPr>
            </w:pPr>
          </w:p>
        </w:tc>
        <w:tc>
          <w:tcPr>
            <w:tcW w:w="680" w:type="dxa"/>
            <w:vAlign w:val="bottom"/>
            <w:shd w:val="clear" w:color="auto" w:fill="D0EBF2"/>
          </w:tcPr>
          <w:p>
            <w:pPr>
              <w:spacing w:after="0"/>
              <w:rPr>
                <w:sz w:val="20"/>
                <w:szCs w:val="20"/>
                <w:color w:val="auto"/>
              </w:rPr>
            </w:pPr>
          </w:p>
        </w:tc>
        <w:tc>
          <w:tcPr>
            <w:tcW w:w="1120" w:type="dxa"/>
            <w:vAlign w:val="bottom"/>
            <w:gridSpan w:val="2"/>
            <w:shd w:val="clear" w:color="auto" w:fill="D0EBF2"/>
          </w:tcPr>
          <w:p>
            <w:pPr>
              <w:jc w:val="right"/>
              <w:ind w:right="100"/>
              <w:spacing w:after="0"/>
              <w:rPr>
                <w:sz w:val="20"/>
                <w:szCs w:val="20"/>
                <w:color w:val="auto"/>
              </w:rPr>
            </w:pPr>
            <w:r>
              <w:rPr>
                <w:rFonts w:ascii="Times New Roman" w:cs="Times New Roman" w:eastAsia="Times New Roman" w:hAnsi="Times New Roman"/>
                <w:sz w:val="19"/>
                <w:szCs w:val="19"/>
                <w:color w:val="231F20"/>
              </w:rPr>
              <w:t>—</w:t>
            </w:r>
          </w:p>
        </w:tc>
        <w:tc>
          <w:tcPr>
            <w:tcW w:w="0" w:type="dxa"/>
            <w:vAlign w:val="bottom"/>
          </w:tcPr>
          <w:p>
            <w:pPr>
              <w:spacing w:after="0"/>
              <w:rPr>
                <w:sz w:val="1"/>
                <w:szCs w:val="1"/>
                <w:color w:val="auto"/>
              </w:rPr>
            </w:pPr>
          </w:p>
        </w:tc>
      </w:tr>
      <w:tr>
        <w:trPr>
          <w:trHeight w:val="230"/>
        </w:trPr>
        <w:tc>
          <w:tcPr>
            <w:tcW w:w="4460" w:type="dxa"/>
            <w:vAlign w:val="bottom"/>
            <w:shd w:val="clear" w:color="auto" w:fill="FDFDFC"/>
          </w:tcPr>
          <w:p>
            <w:pPr>
              <w:spacing w:after="0"/>
              <w:rPr>
                <w:sz w:val="20"/>
                <w:szCs w:val="20"/>
                <w:color w:val="auto"/>
              </w:rPr>
            </w:pPr>
            <w:r>
              <w:rPr>
                <w:rFonts w:ascii="Times New Roman" w:cs="Times New Roman" w:eastAsia="Times New Roman" w:hAnsi="Times New Roman"/>
                <w:sz w:val="19"/>
                <w:szCs w:val="19"/>
                <w:color w:val="231F20"/>
              </w:rPr>
              <w:t>Ping Identity Holding Corp. - Revolver</w:t>
            </w:r>
          </w:p>
        </w:tc>
        <w:tc>
          <w:tcPr>
            <w:tcW w:w="120" w:type="dxa"/>
            <w:vAlign w:val="bottom"/>
            <w:shd w:val="clear" w:color="auto" w:fill="FDFDFC"/>
          </w:tcPr>
          <w:p>
            <w:pPr>
              <w:spacing w:after="0"/>
              <w:rPr>
                <w:sz w:val="20"/>
                <w:szCs w:val="20"/>
                <w:color w:val="auto"/>
              </w:rPr>
            </w:pPr>
          </w:p>
        </w:tc>
        <w:tc>
          <w:tcPr>
            <w:tcW w:w="620" w:type="dxa"/>
            <w:vAlign w:val="bottom"/>
            <w:shd w:val="clear" w:color="auto" w:fill="FDFDFC"/>
          </w:tcPr>
          <w:p>
            <w:pPr>
              <w:spacing w:after="0"/>
              <w:rPr>
                <w:sz w:val="20"/>
                <w:szCs w:val="20"/>
                <w:color w:val="auto"/>
              </w:rPr>
            </w:pPr>
          </w:p>
        </w:tc>
        <w:tc>
          <w:tcPr>
            <w:tcW w:w="980" w:type="dxa"/>
            <w:vAlign w:val="bottom"/>
            <w:shd w:val="clear" w:color="auto" w:fill="FDFDFC"/>
          </w:tcPr>
          <w:p>
            <w:pPr>
              <w:jc w:val="right"/>
              <w:spacing w:after="0"/>
              <w:rPr>
                <w:sz w:val="20"/>
                <w:szCs w:val="20"/>
                <w:color w:val="auto"/>
              </w:rPr>
            </w:pPr>
            <w:r>
              <w:rPr>
                <w:rFonts w:ascii="Times New Roman" w:cs="Times New Roman" w:eastAsia="Times New Roman" w:hAnsi="Times New Roman"/>
                <w:sz w:val="19"/>
                <w:szCs w:val="19"/>
                <w:color w:val="231F20"/>
              </w:rPr>
              <w:t>—</w:t>
            </w:r>
          </w:p>
        </w:tc>
        <w:tc>
          <w:tcPr>
            <w:tcW w:w="180" w:type="dxa"/>
            <w:vAlign w:val="bottom"/>
            <w:shd w:val="clear" w:color="auto" w:fill="FDFDFC"/>
          </w:tcPr>
          <w:p>
            <w:pPr>
              <w:spacing w:after="0"/>
              <w:rPr>
                <w:sz w:val="20"/>
                <w:szCs w:val="20"/>
                <w:color w:val="auto"/>
              </w:rPr>
            </w:pPr>
          </w:p>
        </w:tc>
        <w:tc>
          <w:tcPr>
            <w:tcW w:w="680" w:type="dxa"/>
            <w:vAlign w:val="bottom"/>
            <w:shd w:val="clear" w:color="auto" w:fill="FDFDFC"/>
          </w:tcPr>
          <w:p>
            <w:pPr>
              <w:spacing w:after="0"/>
              <w:rPr>
                <w:sz w:val="20"/>
                <w:szCs w:val="20"/>
                <w:color w:val="auto"/>
              </w:rPr>
            </w:pPr>
          </w:p>
        </w:tc>
        <w:tc>
          <w:tcPr>
            <w:tcW w:w="1040" w:type="dxa"/>
            <w:vAlign w:val="bottom"/>
            <w:shd w:val="clear" w:color="auto" w:fill="FDFDFC"/>
          </w:tcPr>
          <w:p>
            <w:pPr>
              <w:jc w:val="right"/>
              <w:spacing w:after="0"/>
              <w:rPr>
                <w:sz w:val="20"/>
                <w:szCs w:val="20"/>
                <w:color w:val="auto"/>
              </w:rPr>
            </w:pPr>
            <w:r>
              <w:rPr>
                <w:rFonts w:ascii="Times New Roman" w:cs="Times New Roman" w:eastAsia="Times New Roman" w:hAnsi="Times New Roman"/>
                <w:sz w:val="19"/>
                <w:szCs w:val="19"/>
                <w:color w:val="231F20"/>
              </w:rPr>
              <w:t>2.3</w:t>
            </w:r>
          </w:p>
        </w:tc>
        <w:tc>
          <w:tcPr>
            <w:tcW w:w="80" w:type="dxa"/>
            <w:vAlign w:val="bottom"/>
            <w:shd w:val="clear" w:color="auto" w:fill="FDFD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460" w:type="dxa"/>
            <w:vAlign w:val="bottom"/>
            <w:shd w:val="clear" w:color="auto" w:fill="D0EBF2"/>
          </w:tcPr>
          <w:p>
            <w:pPr>
              <w:spacing w:after="0"/>
              <w:rPr>
                <w:sz w:val="20"/>
                <w:szCs w:val="20"/>
                <w:color w:val="auto"/>
              </w:rPr>
            </w:pPr>
            <w:r>
              <w:rPr>
                <w:rFonts w:ascii="Times New Roman" w:cs="Times New Roman" w:eastAsia="Times New Roman" w:hAnsi="Times New Roman"/>
                <w:sz w:val="19"/>
                <w:szCs w:val="19"/>
                <w:color w:val="231F20"/>
              </w:rPr>
              <w:t>PrimePay Intermediate, LLC - Delayed Draw</w:t>
            </w:r>
          </w:p>
        </w:tc>
        <w:tc>
          <w:tcPr>
            <w:tcW w:w="120" w:type="dxa"/>
            <w:vAlign w:val="bottom"/>
            <w:shd w:val="clear" w:color="auto" w:fill="D0EBF2"/>
          </w:tcPr>
          <w:p>
            <w:pPr>
              <w:spacing w:after="0"/>
              <w:rPr>
                <w:sz w:val="20"/>
                <w:szCs w:val="20"/>
                <w:color w:val="auto"/>
              </w:rPr>
            </w:pPr>
          </w:p>
        </w:tc>
        <w:tc>
          <w:tcPr>
            <w:tcW w:w="620" w:type="dxa"/>
            <w:vAlign w:val="bottom"/>
            <w:shd w:val="clear" w:color="auto" w:fill="D0EBF2"/>
          </w:tcPr>
          <w:p>
            <w:pPr>
              <w:spacing w:after="0"/>
              <w:rPr>
                <w:sz w:val="20"/>
                <w:szCs w:val="20"/>
                <w:color w:val="auto"/>
              </w:rPr>
            </w:pPr>
          </w:p>
        </w:tc>
        <w:tc>
          <w:tcPr>
            <w:tcW w:w="980" w:type="dxa"/>
            <w:vAlign w:val="bottom"/>
            <w:shd w:val="clear" w:color="auto" w:fill="D0EBF2"/>
          </w:tcPr>
          <w:p>
            <w:pPr>
              <w:jc w:val="right"/>
              <w:spacing w:after="0"/>
              <w:rPr>
                <w:sz w:val="20"/>
                <w:szCs w:val="20"/>
                <w:color w:val="auto"/>
              </w:rPr>
            </w:pPr>
            <w:r>
              <w:rPr>
                <w:rFonts w:ascii="Times New Roman" w:cs="Times New Roman" w:eastAsia="Times New Roman" w:hAnsi="Times New Roman"/>
                <w:sz w:val="19"/>
                <w:szCs w:val="19"/>
                <w:color w:val="231F20"/>
              </w:rPr>
              <w:t>4.0</w:t>
            </w:r>
          </w:p>
        </w:tc>
        <w:tc>
          <w:tcPr>
            <w:tcW w:w="180" w:type="dxa"/>
            <w:vAlign w:val="bottom"/>
            <w:shd w:val="clear" w:color="auto" w:fill="D0EBF2"/>
          </w:tcPr>
          <w:p>
            <w:pPr>
              <w:spacing w:after="0"/>
              <w:rPr>
                <w:sz w:val="20"/>
                <w:szCs w:val="20"/>
                <w:color w:val="auto"/>
              </w:rPr>
            </w:pPr>
          </w:p>
        </w:tc>
        <w:tc>
          <w:tcPr>
            <w:tcW w:w="680" w:type="dxa"/>
            <w:vAlign w:val="bottom"/>
            <w:shd w:val="clear" w:color="auto" w:fill="D0EBF2"/>
          </w:tcPr>
          <w:p>
            <w:pPr>
              <w:spacing w:after="0"/>
              <w:rPr>
                <w:sz w:val="20"/>
                <w:szCs w:val="20"/>
                <w:color w:val="auto"/>
              </w:rPr>
            </w:pPr>
          </w:p>
        </w:tc>
        <w:tc>
          <w:tcPr>
            <w:tcW w:w="1120" w:type="dxa"/>
            <w:vAlign w:val="bottom"/>
            <w:gridSpan w:val="2"/>
            <w:shd w:val="clear" w:color="auto" w:fill="D0EBF2"/>
          </w:tcPr>
          <w:p>
            <w:pPr>
              <w:jc w:val="right"/>
              <w:ind w:right="100"/>
              <w:spacing w:after="0"/>
              <w:rPr>
                <w:sz w:val="20"/>
                <w:szCs w:val="20"/>
                <w:color w:val="auto"/>
              </w:rPr>
            </w:pPr>
            <w:r>
              <w:rPr>
                <w:rFonts w:ascii="Times New Roman" w:cs="Times New Roman" w:eastAsia="Times New Roman" w:hAnsi="Times New Roman"/>
                <w:sz w:val="19"/>
                <w:szCs w:val="19"/>
                <w:color w:val="231F20"/>
              </w:rPr>
              <w:t>—</w:t>
            </w:r>
          </w:p>
        </w:tc>
        <w:tc>
          <w:tcPr>
            <w:tcW w:w="0" w:type="dxa"/>
            <w:vAlign w:val="bottom"/>
          </w:tcPr>
          <w:p>
            <w:pPr>
              <w:spacing w:after="0"/>
              <w:rPr>
                <w:sz w:val="1"/>
                <w:szCs w:val="1"/>
                <w:color w:val="auto"/>
              </w:rPr>
            </w:pPr>
          </w:p>
        </w:tc>
      </w:tr>
      <w:tr>
        <w:trPr>
          <w:trHeight w:val="230"/>
        </w:trPr>
        <w:tc>
          <w:tcPr>
            <w:tcW w:w="4460" w:type="dxa"/>
            <w:vAlign w:val="bottom"/>
            <w:shd w:val="clear" w:color="auto" w:fill="FDFDFC"/>
          </w:tcPr>
          <w:p>
            <w:pPr>
              <w:spacing w:after="0"/>
              <w:rPr>
                <w:sz w:val="20"/>
                <w:szCs w:val="20"/>
                <w:color w:val="auto"/>
              </w:rPr>
            </w:pPr>
            <w:r>
              <w:rPr>
                <w:rFonts w:ascii="Times New Roman" w:cs="Times New Roman" w:eastAsia="Times New Roman" w:hAnsi="Times New Roman"/>
                <w:sz w:val="19"/>
                <w:szCs w:val="19"/>
                <w:color w:val="231F20"/>
              </w:rPr>
              <w:t>PrimeRevenue, Inc. - Revolver</w:t>
            </w:r>
          </w:p>
        </w:tc>
        <w:tc>
          <w:tcPr>
            <w:tcW w:w="120" w:type="dxa"/>
            <w:vAlign w:val="bottom"/>
            <w:shd w:val="clear" w:color="auto" w:fill="FDFDFC"/>
          </w:tcPr>
          <w:p>
            <w:pPr>
              <w:spacing w:after="0"/>
              <w:rPr>
                <w:sz w:val="20"/>
                <w:szCs w:val="20"/>
                <w:color w:val="auto"/>
              </w:rPr>
            </w:pPr>
          </w:p>
        </w:tc>
        <w:tc>
          <w:tcPr>
            <w:tcW w:w="620" w:type="dxa"/>
            <w:vAlign w:val="bottom"/>
            <w:shd w:val="clear" w:color="auto" w:fill="FDFDFC"/>
          </w:tcPr>
          <w:p>
            <w:pPr>
              <w:spacing w:after="0"/>
              <w:rPr>
                <w:sz w:val="20"/>
                <w:szCs w:val="20"/>
                <w:color w:val="auto"/>
              </w:rPr>
            </w:pPr>
          </w:p>
        </w:tc>
        <w:tc>
          <w:tcPr>
            <w:tcW w:w="980" w:type="dxa"/>
            <w:vAlign w:val="bottom"/>
            <w:shd w:val="clear" w:color="auto" w:fill="FDFDFC"/>
          </w:tcPr>
          <w:p>
            <w:pPr>
              <w:jc w:val="right"/>
              <w:spacing w:after="0"/>
              <w:rPr>
                <w:sz w:val="20"/>
                <w:szCs w:val="20"/>
                <w:color w:val="auto"/>
              </w:rPr>
            </w:pPr>
            <w:r>
              <w:rPr>
                <w:rFonts w:ascii="Times New Roman" w:cs="Times New Roman" w:eastAsia="Times New Roman" w:hAnsi="Times New Roman"/>
                <w:sz w:val="19"/>
                <w:szCs w:val="19"/>
                <w:color w:val="231F20"/>
              </w:rPr>
              <w:t>6.3</w:t>
            </w:r>
          </w:p>
        </w:tc>
        <w:tc>
          <w:tcPr>
            <w:tcW w:w="180" w:type="dxa"/>
            <w:vAlign w:val="bottom"/>
            <w:shd w:val="clear" w:color="auto" w:fill="FDFDFC"/>
          </w:tcPr>
          <w:p>
            <w:pPr>
              <w:spacing w:after="0"/>
              <w:rPr>
                <w:sz w:val="20"/>
                <w:szCs w:val="20"/>
                <w:color w:val="auto"/>
              </w:rPr>
            </w:pPr>
          </w:p>
        </w:tc>
        <w:tc>
          <w:tcPr>
            <w:tcW w:w="680" w:type="dxa"/>
            <w:vAlign w:val="bottom"/>
            <w:shd w:val="clear" w:color="auto" w:fill="FDFDFC"/>
          </w:tcPr>
          <w:p>
            <w:pPr>
              <w:spacing w:after="0"/>
              <w:rPr>
                <w:sz w:val="20"/>
                <w:szCs w:val="20"/>
                <w:color w:val="auto"/>
              </w:rPr>
            </w:pPr>
          </w:p>
        </w:tc>
        <w:tc>
          <w:tcPr>
            <w:tcW w:w="1040" w:type="dxa"/>
            <w:vAlign w:val="bottom"/>
            <w:shd w:val="clear" w:color="auto" w:fill="FDFDFC"/>
          </w:tcPr>
          <w:p>
            <w:pPr>
              <w:jc w:val="right"/>
              <w:spacing w:after="0"/>
              <w:rPr>
                <w:sz w:val="20"/>
                <w:szCs w:val="20"/>
                <w:color w:val="auto"/>
              </w:rPr>
            </w:pPr>
            <w:r>
              <w:rPr>
                <w:rFonts w:ascii="Times New Roman" w:cs="Times New Roman" w:eastAsia="Times New Roman" w:hAnsi="Times New Roman"/>
                <w:sz w:val="19"/>
                <w:szCs w:val="19"/>
                <w:color w:val="231F20"/>
              </w:rPr>
              <w:t>6.3</w:t>
            </w:r>
          </w:p>
        </w:tc>
        <w:tc>
          <w:tcPr>
            <w:tcW w:w="80" w:type="dxa"/>
            <w:vAlign w:val="bottom"/>
            <w:shd w:val="clear" w:color="auto" w:fill="FDFD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460" w:type="dxa"/>
            <w:vAlign w:val="bottom"/>
            <w:shd w:val="clear" w:color="auto" w:fill="D0EBF2"/>
          </w:tcPr>
          <w:p>
            <w:pPr>
              <w:spacing w:after="0"/>
              <w:rPr>
                <w:sz w:val="20"/>
                <w:szCs w:val="20"/>
                <w:color w:val="auto"/>
              </w:rPr>
            </w:pPr>
            <w:r>
              <w:rPr>
                <w:rFonts w:ascii="Times New Roman" w:cs="Times New Roman" w:eastAsia="Times New Roman" w:hAnsi="Times New Roman"/>
                <w:sz w:val="19"/>
                <w:szCs w:val="19"/>
                <w:color w:val="231F20"/>
              </w:rPr>
              <w:t>Project44, Inc. - Delayed Draw</w:t>
            </w:r>
          </w:p>
        </w:tc>
        <w:tc>
          <w:tcPr>
            <w:tcW w:w="120" w:type="dxa"/>
            <w:vAlign w:val="bottom"/>
            <w:shd w:val="clear" w:color="auto" w:fill="D0EBF2"/>
          </w:tcPr>
          <w:p>
            <w:pPr>
              <w:spacing w:after="0"/>
              <w:rPr>
                <w:sz w:val="20"/>
                <w:szCs w:val="20"/>
                <w:color w:val="auto"/>
              </w:rPr>
            </w:pPr>
          </w:p>
        </w:tc>
        <w:tc>
          <w:tcPr>
            <w:tcW w:w="620" w:type="dxa"/>
            <w:vAlign w:val="bottom"/>
            <w:shd w:val="clear" w:color="auto" w:fill="D0EBF2"/>
          </w:tcPr>
          <w:p>
            <w:pPr>
              <w:spacing w:after="0"/>
              <w:rPr>
                <w:sz w:val="20"/>
                <w:szCs w:val="20"/>
                <w:color w:val="auto"/>
              </w:rPr>
            </w:pPr>
          </w:p>
        </w:tc>
        <w:tc>
          <w:tcPr>
            <w:tcW w:w="980" w:type="dxa"/>
            <w:vAlign w:val="bottom"/>
            <w:shd w:val="clear" w:color="auto" w:fill="D0EBF2"/>
          </w:tcPr>
          <w:p>
            <w:pPr>
              <w:jc w:val="right"/>
              <w:spacing w:after="0"/>
              <w:rPr>
                <w:sz w:val="20"/>
                <w:szCs w:val="20"/>
                <w:color w:val="auto"/>
              </w:rPr>
            </w:pPr>
            <w:r>
              <w:rPr>
                <w:rFonts w:ascii="Times New Roman" w:cs="Times New Roman" w:eastAsia="Times New Roman" w:hAnsi="Times New Roman"/>
                <w:sz w:val="19"/>
                <w:szCs w:val="19"/>
                <w:color w:val="231F20"/>
              </w:rPr>
              <w:t>—</w:t>
            </w:r>
          </w:p>
        </w:tc>
        <w:tc>
          <w:tcPr>
            <w:tcW w:w="180" w:type="dxa"/>
            <w:vAlign w:val="bottom"/>
            <w:shd w:val="clear" w:color="auto" w:fill="D0EBF2"/>
          </w:tcPr>
          <w:p>
            <w:pPr>
              <w:spacing w:after="0"/>
              <w:rPr>
                <w:sz w:val="20"/>
                <w:szCs w:val="20"/>
                <w:color w:val="auto"/>
              </w:rPr>
            </w:pPr>
          </w:p>
        </w:tc>
        <w:tc>
          <w:tcPr>
            <w:tcW w:w="680" w:type="dxa"/>
            <w:vAlign w:val="bottom"/>
            <w:shd w:val="clear" w:color="auto" w:fill="D0EBF2"/>
          </w:tcPr>
          <w:p>
            <w:pPr>
              <w:spacing w:after="0"/>
              <w:rPr>
                <w:sz w:val="20"/>
                <w:szCs w:val="20"/>
                <w:color w:val="auto"/>
              </w:rPr>
            </w:pPr>
          </w:p>
        </w:tc>
        <w:tc>
          <w:tcPr>
            <w:tcW w:w="1040" w:type="dxa"/>
            <w:vAlign w:val="bottom"/>
            <w:shd w:val="clear" w:color="auto" w:fill="D0EBF2"/>
          </w:tcPr>
          <w:p>
            <w:pPr>
              <w:jc w:val="right"/>
              <w:spacing w:after="0"/>
              <w:rPr>
                <w:sz w:val="20"/>
                <w:szCs w:val="20"/>
                <w:color w:val="auto"/>
              </w:rPr>
            </w:pPr>
            <w:r>
              <w:rPr>
                <w:rFonts w:ascii="Times New Roman" w:cs="Times New Roman" w:eastAsia="Times New Roman" w:hAnsi="Times New Roman"/>
                <w:sz w:val="19"/>
                <w:szCs w:val="19"/>
                <w:color w:val="231F20"/>
              </w:rPr>
              <w:t>19.9</w:t>
            </w:r>
          </w:p>
        </w:tc>
        <w:tc>
          <w:tcPr>
            <w:tcW w:w="80" w:type="dxa"/>
            <w:vAlign w:val="bottom"/>
            <w:shd w:val="clear" w:color="auto" w:fill="D0EBF2"/>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460" w:type="dxa"/>
            <w:vAlign w:val="bottom"/>
            <w:shd w:val="clear" w:color="auto" w:fill="FDFDFC"/>
          </w:tcPr>
          <w:p>
            <w:pPr>
              <w:spacing w:after="0"/>
              <w:rPr>
                <w:sz w:val="20"/>
                <w:szCs w:val="20"/>
                <w:color w:val="auto"/>
              </w:rPr>
            </w:pPr>
            <w:r>
              <w:rPr>
                <w:rFonts w:ascii="Times New Roman" w:cs="Times New Roman" w:eastAsia="Times New Roman" w:hAnsi="Times New Roman"/>
                <w:sz w:val="19"/>
                <w:szCs w:val="19"/>
                <w:color w:val="231F20"/>
              </w:rPr>
              <w:t>QSR Acquisition Co. - Delayed Draw</w:t>
            </w:r>
          </w:p>
        </w:tc>
        <w:tc>
          <w:tcPr>
            <w:tcW w:w="120" w:type="dxa"/>
            <w:vAlign w:val="bottom"/>
            <w:shd w:val="clear" w:color="auto" w:fill="FDFDFC"/>
          </w:tcPr>
          <w:p>
            <w:pPr>
              <w:spacing w:after="0"/>
              <w:rPr>
                <w:sz w:val="20"/>
                <w:szCs w:val="20"/>
                <w:color w:val="auto"/>
              </w:rPr>
            </w:pPr>
          </w:p>
        </w:tc>
        <w:tc>
          <w:tcPr>
            <w:tcW w:w="620" w:type="dxa"/>
            <w:vAlign w:val="bottom"/>
            <w:shd w:val="clear" w:color="auto" w:fill="FDFDFC"/>
          </w:tcPr>
          <w:p>
            <w:pPr>
              <w:spacing w:after="0"/>
              <w:rPr>
                <w:sz w:val="20"/>
                <w:szCs w:val="20"/>
                <w:color w:val="auto"/>
              </w:rPr>
            </w:pPr>
          </w:p>
        </w:tc>
        <w:tc>
          <w:tcPr>
            <w:tcW w:w="980" w:type="dxa"/>
            <w:vAlign w:val="bottom"/>
            <w:shd w:val="clear" w:color="auto" w:fill="FDFDFC"/>
          </w:tcPr>
          <w:p>
            <w:pPr>
              <w:jc w:val="right"/>
              <w:spacing w:after="0"/>
              <w:rPr>
                <w:sz w:val="20"/>
                <w:szCs w:val="20"/>
                <w:color w:val="auto"/>
              </w:rPr>
            </w:pPr>
            <w:r>
              <w:rPr>
                <w:rFonts w:ascii="Times New Roman" w:cs="Times New Roman" w:eastAsia="Times New Roman" w:hAnsi="Times New Roman"/>
                <w:sz w:val="19"/>
                <w:szCs w:val="19"/>
                <w:color w:val="231F20"/>
              </w:rPr>
              <w:t>15.0</w:t>
            </w:r>
          </w:p>
        </w:tc>
        <w:tc>
          <w:tcPr>
            <w:tcW w:w="180" w:type="dxa"/>
            <w:vAlign w:val="bottom"/>
            <w:shd w:val="clear" w:color="auto" w:fill="FDFDFC"/>
          </w:tcPr>
          <w:p>
            <w:pPr>
              <w:spacing w:after="0"/>
              <w:rPr>
                <w:sz w:val="20"/>
                <w:szCs w:val="20"/>
                <w:color w:val="auto"/>
              </w:rPr>
            </w:pPr>
          </w:p>
        </w:tc>
        <w:tc>
          <w:tcPr>
            <w:tcW w:w="680" w:type="dxa"/>
            <w:vAlign w:val="bottom"/>
            <w:shd w:val="clear" w:color="auto" w:fill="FDFDFC"/>
          </w:tcPr>
          <w:p>
            <w:pPr>
              <w:spacing w:after="0"/>
              <w:rPr>
                <w:sz w:val="20"/>
                <w:szCs w:val="20"/>
                <w:color w:val="auto"/>
              </w:rPr>
            </w:pPr>
          </w:p>
        </w:tc>
        <w:tc>
          <w:tcPr>
            <w:tcW w:w="1120" w:type="dxa"/>
            <w:vAlign w:val="bottom"/>
            <w:gridSpan w:val="2"/>
            <w:shd w:val="clear" w:color="auto" w:fill="FDFDFC"/>
          </w:tcPr>
          <w:p>
            <w:pPr>
              <w:jc w:val="right"/>
              <w:ind w:right="100"/>
              <w:spacing w:after="0"/>
              <w:rPr>
                <w:sz w:val="20"/>
                <w:szCs w:val="20"/>
                <w:color w:val="auto"/>
              </w:rPr>
            </w:pPr>
            <w:r>
              <w:rPr>
                <w:rFonts w:ascii="Times New Roman" w:cs="Times New Roman" w:eastAsia="Times New Roman" w:hAnsi="Times New Roman"/>
                <w:sz w:val="19"/>
                <w:szCs w:val="19"/>
                <w:color w:val="231F20"/>
              </w:rPr>
              <w:t>—</w:t>
            </w:r>
          </w:p>
        </w:tc>
        <w:tc>
          <w:tcPr>
            <w:tcW w:w="0" w:type="dxa"/>
            <w:vAlign w:val="bottom"/>
          </w:tcPr>
          <w:p>
            <w:pPr>
              <w:spacing w:after="0"/>
              <w:rPr>
                <w:sz w:val="1"/>
                <w:szCs w:val="1"/>
                <w:color w:val="auto"/>
              </w:rPr>
            </w:pPr>
          </w:p>
        </w:tc>
      </w:tr>
      <w:tr>
        <w:trPr>
          <w:trHeight w:val="210"/>
        </w:trPr>
        <w:tc>
          <w:tcPr>
            <w:tcW w:w="4460" w:type="dxa"/>
            <w:vAlign w:val="bottom"/>
            <w:shd w:val="clear" w:color="auto" w:fill="D0EBF2"/>
          </w:tcPr>
          <w:p>
            <w:pPr>
              <w:spacing w:after="0" w:line="211" w:lineRule="exact"/>
              <w:rPr>
                <w:sz w:val="20"/>
                <w:szCs w:val="20"/>
                <w:color w:val="auto"/>
              </w:rPr>
            </w:pPr>
            <w:r>
              <w:rPr>
                <w:rFonts w:ascii="Times New Roman" w:cs="Times New Roman" w:eastAsia="Times New Roman" w:hAnsi="Times New Roman"/>
                <w:sz w:val="19"/>
                <w:szCs w:val="19"/>
                <w:color w:val="231F20"/>
              </w:rPr>
              <w:t>Rapid Data GmbH Unternehmensberatung - Delayed</w:t>
            </w:r>
          </w:p>
        </w:tc>
        <w:tc>
          <w:tcPr>
            <w:tcW w:w="120" w:type="dxa"/>
            <w:vAlign w:val="bottom"/>
            <w:shd w:val="clear" w:color="auto" w:fill="D0EBF2"/>
          </w:tcPr>
          <w:p>
            <w:pPr>
              <w:spacing w:after="0"/>
              <w:rPr>
                <w:sz w:val="18"/>
                <w:szCs w:val="18"/>
                <w:color w:val="auto"/>
              </w:rPr>
            </w:pPr>
          </w:p>
        </w:tc>
        <w:tc>
          <w:tcPr>
            <w:tcW w:w="620" w:type="dxa"/>
            <w:vAlign w:val="bottom"/>
            <w:shd w:val="clear" w:color="auto" w:fill="D0EBF2"/>
          </w:tcPr>
          <w:p>
            <w:pPr>
              <w:spacing w:after="0"/>
              <w:rPr>
                <w:sz w:val="18"/>
                <w:szCs w:val="18"/>
                <w:color w:val="auto"/>
              </w:rPr>
            </w:pPr>
          </w:p>
        </w:tc>
        <w:tc>
          <w:tcPr>
            <w:tcW w:w="980" w:type="dxa"/>
            <w:vAlign w:val="bottom"/>
            <w:vMerge w:val="restart"/>
            <w:shd w:val="clear" w:color="auto" w:fill="D0EBF2"/>
          </w:tcPr>
          <w:p>
            <w:pPr>
              <w:jc w:val="right"/>
              <w:spacing w:after="0"/>
              <w:rPr>
                <w:sz w:val="20"/>
                <w:szCs w:val="20"/>
                <w:color w:val="auto"/>
              </w:rPr>
            </w:pPr>
            <w:r>
              <w:rPr>
                <w:rFonts w:ascii="Times New Roman" w:cs="Times New Roman" w:eastAsia="Times New Roman" w:hAnsi="Times New Roman"/>
                <w:sz w:val="19"/>
                <w:szCs w:val="19"/>
                <w:color w:val="231F20"/>
              </w:rPr>
              <w:t>1.4</w:t>
            </w:r>
          </w:p>
        </w:tc>
        <w:tc>
          <w:tcPr>
            <w:tcW w:w="180" w:type="dxa"/>
            <w:vAlign w:val="bottom"/>
            <w:shd w:val="clear" w:color="auto" w:fill="D0EBF2"/>
          </w:tcPr>
          <w:p>
            <w:pPr>
              <w:spacing w:after="0"/>
              <w:rPr>
                <w:sz w:val="18"/>
                <w:szCs w:val="18"/>
                <w:color w:val="auto"/>
              </w:rPr>
            </w:pPr>
          </w:p>
        </w:tc>
        <w:tc>
          <w:tcPr>
            <w:tcW w:w="680" w:type="dxa"/>
            <w:vAlign w:val="bottom"/>
            <w:shd w:val="clear" w:color="auto" w:fill="D0EBF2"/>
          </w:tcPr>
          <w:p>
            <w:pPr>
              <w:spacing w:after="0"/>
              <w:rPr>
                <w:sz w:val="18"/>
                <w:szCs w:val="18"/>
                <w:color w:val="auto"/>
              </w:rPr>
            </w:pPr>
          </w:p>
        </w:tc>
        <w:tc>
          <w:tcPr>
            <w:tcW w:w="1040" w:type="dxa"/>
            <w:vAlign w:val="bottom"/>
            <w:vMerge w:val="restart"/>
            <w:shd w:val="clear" w:color="auto" w:fill="D0EBF2"/>
          </w:tcPr>
          <w:p>
            <w:pPr>
              <w:jc w:val="right"/>
              <w:spacing w:after="0"/>
              <w:rPr>
                <w:sz w:val="20"/>
                <w:szCs w:val="20"/>
                <w:color w:val="auto"/>
              </w:rPr>
            </w:pPr>
            <w:r>
              <w:rPr>
                <w:rFonts w:ascii="Times New Roman" w:cs="Times New Roman" w:eastAsia="Times New Roman" w:hAnsi="Times New Roman"/>
                <w:sz w:val="19"/>
                <w:szCs w:val="19"/>
                <w:color w:val="231F20"/>
              </w:rPr>
              <w:t>6.3</w:t>
            </w:r>
          </w:p>
        </w:tc>
        <w:tc>
          <w:tcPr>
            <w:tcW w:w="80" w:type="dxa"/>
            <w:vAlign w:val="bottom"/>
            <w:shd w:val="clear" w:color="auto" w:fill="D0EBF2"/>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4460" w:type="dxa"/>
            <w:vAlign w:val="bottom"/>
            <w:shd w:val="clear" w:color="auto" w:fill="D0EBF2"/>
          </w:tcPr>
          <w:p>
            <w:pPr>
              <w:spacing w:after="0"/>
              <w:rPr>
                <w:sz w:val="20"/>
                <w:szCs w:val="20"/>
                <w:color w:val="auto"/>
              </w:rPr>
            </w:pPr>
            <w:r>
              <w:rPr>
                <w:rFonts w:ascii="Times New Roman" w:cs="Times New Roman" w:eastAsia="Times New Roman" w:hAnsi="Times New Roman"/>
                <w:sz w:val="19"/>
                <w:szCs w:val="19"/>
                <w:color w:val="231F20"/>
              </w:rPr>
              <w:t>Draw &amp; Revolver</w:t>
            </w:r>
          </w:p>
        </w:tc>
        <w:tc>
          <w:tcPr>
            <w:tcW w:w="120" w:type="dxa"/>
            <w:vAlign w:val="bottom"/>
            <w:shd w:val="clear" w:color="auto" w:fill="D0EBF2"/>
          </w:tcPr>
          <w:p>
            <w:pPr>
              <w:spacing w:after="0"/>
              <w:rPr>
                <w:sz w:val="20"/>
                <w:szCs w:val="20"/>
                <w:color w:val="auto"/>
              </w:rPr>
            </w:pPr>
          </w:p>
        </w:tc>
        <w:tc>
          <w:tcPr>
            <w:tcW w:w="620" w:type="dxa"/>
            <w:vAlign w:val="bottom"/>
            <w:shd w:val="clear" w:color="auto" w:fill="D0EBF2"/>
          </w:tcPr>
          <w:p>
            <w:pPr>
              <w:spacing w:after="0"/>
              <w:rPr>
                <w:sz w:val="20"/>
                <w:szCs w:val="20"/>
                <w:color w:val="auto"/>
              </w:rPr>
            </w:pPr>
          </w:p>
        </w:tc>
        <w:tc>
          <w:tcPr>
            <w:tcW w:w="980" w:type="dxa"/>
            <w:vAlign w:val="bottom"/>
            <w:vMerge w:val="continue"/>
            <w:shd w:val="clear" w:color="auto" w:fill="D0EBF2"/>
          </w:tcPr>
          <w:p>
            <w:pPr>
              <w:spacing w:after="0"/>
              <w:rPr>
                <w:sz w:val="20"/>
                <w:szCs w:val="20"/>
                <w:color w:val="auto"/>
              </w:rPr>
            </w:pPr>
          </w:p>
        </w:tc>
        <w:tc>
          <w:tcPr>
            <w:tcW w:w="180" w:type="dxa"/>
            <w:vAlign w:val="bottom"/>
            <w:shd w:val="clear" w:color="auto" w:fill="D0EBF2"/>
          </w:tcPr>
          <w:p>
            <w:pPr>
              <w:spacing w:after="0"/>
              <w:rPr>
                <w:sz w:val="20"/>
                <w:szCs w:val="20"/>
                <w:color w:val="auto"/>
              </w:rPr>
            </w:pPr>
          </w:p>
        </w:tc>
        <w:tc>
          <w:tcPr>
            <w:tcW w:w="680" w:type="dxa"/>
            <w:vAlign w:val="bottom"/>
            <w:shd w:val="clear" w:color="auto" w:fill="D0EBF2"/>
          </w:tcPr>
          <w:p>
            <w:pPr>
              <w:spacing w:after="0"/>
              <w:rPr>
                <w:sz w:val="20"/>
                <w:szCs w:val="20"/>
                <w:color w:val="auto"/>
              </w:rPr>
            </w:pPr>
          </w:p>
        </w:tc>
        <w:tc>
          <w:tcPr>
            <w:tcW w:w="1040" w:type="dxa"/>
            <w:vAlign w:val="bottom"/>
            <w:vMerge w:val="continue"/>
            <w:shd w:val="clear" w:color="auto" w:fill="D0EBF2"/>
          </w:tcPr>
          <w:p>
            <w:pPr>
              <w:spacing w:after="0"/>
              <w:rPr>
                <w:sz w:val="20"/>
                <w:szCs w:val="20"/>
                <w:color w:val="auto"/>
              </w:rPr>
            </w:pPr>
          </w:p>
        </w:tc>
        <w:tc>
          <w:tcPr>
            <w:tcW w:w="80" w:type="dxa"/>
            <w:vAlign w:val="bottom"/>
            <w:shd w:val="clear" w:color="auto" w:fill="D0EBF2"/>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460" w:type="dxa"/>
            <w:vAlign w:val="bottom"/>
            <w:shd w:val="clear" w:color="auto" w:fill="FDFDFC"/>
          </w:tcPr>
          <w:p>
            <w:pPr>
              <w:spacing w:after="0"/>
              <w:rPr>
                <w:sz w:val="20"/>
                <w:szCs w:val="20"/>
                <w:color w:val="auto"/>
              </w:rPr>
            </w:pPr>
            <w:r>
              <w:rPr>
                <w:rFonts w:ascii="Times New Roman" w:cs="Times New Roman" w:eastAsia="Times New Roman" w:hAnsi="Times New Roman"/>
                <w:sz w:val="19"/>
                <w:szCs w:val="19"/>
                <w:color w:val="231F20"/>
              </w:rPr>
              <w:t>Raptor US Buyer II Corp. - Revolver</w:t>
            </w:r>
          </w:p>
        </w:tc>
        <w:tc>
          <w:tcPr>
            <w:tcW w:w="120" w:type="dxa"/>
            <w:vAlign w:val="bottom"/>
            <w:shd w:val="clear" w:color="auto" w:fill="FDFDFC"/>
          </w:tcPr>
          <w:p>
            <w:pPr>
              <w:spacing w:after="0"/>
              <w:rPr>
                <w:sz w:val="20"/>
                <w:szCs w:val="20"/>
                <w:color w:val="auto"/>
              </w:rPr>
            </w:pPr>
          </w:p>
        </w:tc>
        <w:tc>
          <w:tcPr>
            <w:tcW w:w="620" w:type="dxa"/>
            <w:vAlign w:val="bottom"/>
            <w:shd w:val="clear" w:color="auto" w:fill="FDFDFC"/>
          </w:tcPr>
          <w:p>
            <w:pPr>
              <w:spacing w:after="0"/>
              <w:rPr>
                <w:sz w:val="20"/>
                <w:szCs w:val="20"/>
                <w:color w:val="auto"/>
              </w:rPr>
            </w:pPr>
          </w:p>
        </w:tc>
        <w:tc>
          <w:tcPr>
            <w:tcW w:w="980" w:type="dxa"/>
            <w:vAlign w:val="bottom"/>
            <w:shd w:val="clear" w:color="auto" w:fill="FDFDFC"/>
          </w:tcPr>
          <w:p>
            <w:pPr>
              <w:jc w:val="right"/>
              <w:spacing w:after="0"/>
              <w:rPr>
                <w:sz w:val="20"/>
                <w:szCs w:val="20"/>
                <w:color w:val="auto"/>
              </w:rPr>
            </w:pPr>
            <w:r>
              <w:rPr>
                <w:rFonts w:ascii="Times New Roman" w:cs="Times New Roman" w:eastAsia="Times New Roman" w:hAnsi="Times New Roman"/>
                <w:sz w:val="19"/>
                <w:szCs w:val="19"/>
                <w:color w:val="231F20"/>
              </w:rPr>
              <w:t>0.7</w:t>
            </w:r>
          </w:p>
        </w:tc>
        <w:tc>
          <w:tcPr>
            <w:tcW w:w="180" w:type="dxa"/>
            <w:vAlign w:val="bottom"/>
            <w:shd w:val="clear" w:color="auto" w:fill="FDFDFC"/>
          </w:tcPr>
          <w:p>
            <w:pPr>
              <w:spacing w:after="0"/>
              <w:rPr>
                <w:sz w:val="20"/>
                <w:szCs w:val="20"/>
                <w:color w:val="auto"/>
              </w:rPr>
            </w:pPr>
          </w:p>
        </w:tc>
        <w:tc>
          <w:tcPr>
            <w:tcW w:w="680" w:type="dxa"/>
            <w:vAlign w:val="bottom"/>
            <w:shd w:val="clear" w:color="auto" w:fill="FDFDFC"/>
          </w:tcPr>
          <w:p>
            <w:pPr>
              <w:spacing w:after="0"/>
              <w:rPr>
                <w:sz w:val="20"/>
                <w:szCs w:val="20"/>
                <w:color w:val="auto"/>
              </w:rPr>
            </w:pPr>
          </w:p>
        </w:tc>
        <w:tc>
          <w:tcPr>
            <w:tcW w:w="1120" w:type="dxa"/>
            <w:vAlign w:val="bottom"/>
            <w:gridSpan w:val="2"/>
            <w:shd w:val="clear" w:color="auto" w:fill="FDFDFC"/>
          </w:tcPr>
          <w:p>
            <w:pPr>
              <w:jc w:val="right"/>
              <w:ind w:right="100"/>
              <w:spacing w:after="0"/>
              <w:rPr>
                <w:sz w:val="20"/>
                <w:szCs w:val="20"/>
                <w:color w:val="auto"/>
              </w:rPr>
            </w:pPr>
            <w:r>
              <w:rPr>
                <w:rFonts w:ascii="Times New Roman" w:cs="Times New Roman" w:eastAsia="Times New Roman" w:hAnsi="Times New Roman"/>
                <w:sz w:val="19"/>
                <w:szCs w:val="19"/>
                <w:color w:val="231F20"/>
              </w:rPr>
              <w:t>—</w:t>
            </w:r>
          </w:p>
        </w:tc>
        <w:tc>
          <w:tcPr>
            <w:tcW w:w="0" w:type="dxa"/>
            <w:vAlign w:val="bottom"/>
          </w:tcPr>
          <w:p>
            <w:pPr>
              <w:spacing w:after="0"/>
              <w:rPr>
                <w:sz w:val="1"/>
                <w:szCs w:val="1"/>
                <w:color w:val="auto"/>
              </w:rPr>
            </w:pPr>
          </w:p>
        </w:tc>
      </w:tr>
      <w:tr>
        <w:trPr>
          <w:trHeight w:val="230"/>
        </w:trPr>
        <w:tc>
          <w:tcPr>
            <w:tcW w:w="4460" w:type="dxa"/>
            <w:vAlign w:val="bottom"/>
            <w:shd w:val="clear" w:color="auto" w:fill="D0EBF2"/>
          </w:tcPr>
          <w:p>
            <w:pPr>
              <w:spacing w:after="0"/>
              <w:rPr>
                <w:sz w:val="20"/>
                <w:szCs w:val="20"/>
                <w:color w:val="auto"/>
              </w:rPr>
            </w:pPr>
            <w:r>
              <w:rPr>
                <w:rFonts w:ascii="Times New Roman" w:cs="Times New Roman" w:eastAsia="Times New Roman" w:hAnsi="Times New Roman"/>
                <w:sz w:val="19"/>
                <w:szCs w:val="19"/>
                <w:color w:val="231F20"/>
              </w:rPr>
              <w:t>ReliaQuest Holdings, LLC - Delayed Draw &amp; Equity</w:t>
            </w:r>
          </w:p>
        </w:tc>
        <w:tc>
          <w:tcPr>
            <w:tcW w:w="120" w:type="dxa"/>
            <w:vAlign w:val="bottom"/>
            <w:shd w:val="clear" w:color="auto" w:fill="D0EBF2"/>
          </w:tcPr>
          <w:p>
            <w:pPr>
              <w:spacing w:after="0"/>
              <w:rPr>
                <w:sz w:val="20"/>
                <w:szCs w:val="20"/>
                <w:color w:val="auto"/>
              </w:rPr>
            </w:pPr>
          </w:p>
        </w:tc>
        <w:tc>
          <w:tcPr>
            <w:tcW w:w="620" w:type="dxa"/>
            <w:vAlign w:val="bottom"/>
            <w:shd w:val="clear" w:color="auto" w:fill="D0EBF2"/>
          </w:tcPr>
          <w:p>
            <w:pPr>
              <w:spacing w:after="0"/>
              <w:rPr>
                <w:sz w:val="20"/>
                <w:szCs w:val="20"/>
                <w:color w:val="auto"/>
              </w:rPr>
            </w:pPr>
          </w:p>
        </w:tc>
        <w:tc>
          <w:tcPr>
            <w:tcW w:w="980" w:type="dxa"/>
            <w:vAlign w:val="bottom"/>
            <w:shd w:val="clear" w:color="auto" w:fill="D0EBF2"/>
          </w:tcPr>
          <w:p>
            <w:pPr>
              <w:jc w:val="right"/>
              <w:spacing w:after="0"/>
              <w:rPr>
                <w:sz w:val="20"/>
                <w:szCs w:val="20"/>
                <w:color w:val="auto"/>
              </w:rPr>
            </w:pPr>
            <w:r>
              <w:rPr>
                <w:rFonts w:ascii="Times New Roman" w:cs="Times New Roman" w:eastAsia="Times New Roman" w:hAnsi="Times New Roman"/>
                <w:sz w:val="19"/>
                <w:szCs w:val="19"/>
                <w:color w:val="231F20"/>
              </w:rPr>
              <w:t>—</w:t>
            </w:r>
          </w:p>
        </w:tc>
        <w:tc>
          <w:tcPr>
            <w:tcW w:w="180" w:type="dxa"/>
            <w:vAlign w:val="bottom"/>
            <w:shd w:val="clear" w:color="auto" w:fill="D0EBF2"/>
          </w:tcPr>
          <w:p>
            <w:pPr>
              <w:spacing w:after="0"/>
              <w:rPr>
                <w:sz w:val="20"/>
                <w:szCs w:val="20"/>
                <w:color w:val="auto"/>
              </w:rPr>
            </w:pPr>
          </w:p>
        </w:tc>
        <w:tc>
          <w:tcPr>
            <w:tcW w:w="680" w:type="dxa"/>
            <w:vAlign w:val="bottom"/>
            <w:shd w:val="clear" w:color="auto" w:fill="D0EBF2"/>
          </w:tcPr>
          <w:p>
            <w:pPr>
              <w:spacing w:after="0"/>
              <w:rPr>
                <w:sz w:val="20"/>
                <w:szCs w:val="20"/>
                <w:color w:val="auto"/>
              </w:rPr>
            </w:pPr>
          </w:p>
        </w:tc>
        <w:tc>
          <w:tcPr>
            <w:tcW w:w="1040" w:type="dxa"/>
            <w:vAlign w:val="bottom"/>
            <w:shd w:val="clear" w:color="auto" w:fill="D0EBF2"/>
          </w:tcPr>
          <w:p>
            <w:pPr>
              <w:jc w:val="right"/>
              <w:spacing w:after="0"/>
              <w:rPr>
                <w:sz w:val="20"/>
                <w:szCs w:val="20"/>
                <w:color w:val="auto"/>
              </w:rPr>
            </w:pPr>
            <w:r>
              <w:rPr>
                <w:rFonts w:ascii="Times New Roman" w:cs="Times New Roman" w:eastAsia="Times New Roman" w:hAnsi="Times New Roman"/>
                <w:sz w:val="19"/>
                <w:szCs w:val="19"/>
                <w:color w:val="231F20"/>
              </w:rPr>
              <w:t>4.4</w:t>
            </w:r>
          </w:p>
        </w:tc>
        <w:tc>
          <w:tcPr>
            <w:tcW w:w="80" w:type="dxa"/>
            <w:vAlign w:val="bottom"/>
            <w:shd w:val="clear" w:color="auto" w:fill="D0EBF2"/>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460" w:type="dxa"/>
            <w:vAlign w:val="bottom"/>
            <w:shd w:val="clear" w:color="auto" w:fill="FDFDFC"/>
          </w:tcPr>
          <w:p>
            <w:pPr>
              <w:spacing w:after="0"/>
              <w:rPr>
                <w:sz w:val="20"/>
                <w:szCs w:val="20"/>
                <w:color w:val="auto"/>
              </w:rPr>
            </w:pPr>
            <w:r>
              <w:rPr>
                <w:rFonts w:ascii="Times New Roman" w:cs="Times New Roman" w:eastAsia="Times New Roman" w:hAnsi="Times New Roman"/>
                <w:sz w:val="19"/>
                <w:szCs w:val="19"/>
                <w:color w:val="231F20"/>
              </w:rPr>
              <w:t>Sapphire Software Buyer, Inc. - Revolver</w:t>
            </w:r>
          </w:p>
        </w:tc>
        <w:tc>
          <w:tcPr>
            <w:tcW w:w="120" w:type="dxa"/>
            <w:vAlign w:val="bottom"/>
            <w:shd w:val="clear" w:color="auto" w:fill="FDFDFC"/>
          </w:tcPr>
          <w:p>
            <w:pPr>
              <w:spacing w:after="0"/>
              <w:rPr>
                <w:sz w:val="20"/>
                <w:szCs w:val="20"/>
                <w:color w:val="auto"/>
              </w:rPr>
            </w:pPr>
          </w:p>
        </w:tc>
        <w:tc>
          <w:tcPr>
            <w:tcW w:w="620" w:type="dxa"/>
            <w:vAlign w:val="bottom"/>
            <w:shd w:val="clear" w:color="auto" w:fill="FDFDFC"/>
          </w:tcPr>
          <w:p>
            <w:pPr>
              <w:spacing w:after="0"/>
              <w:rPr>
                <w:sz w:val="20"/>
                <w:szCs w:val="20"/>
                <w:color w:val="auto"/>
              </w:rPr>
            </w:pPr>
          </w:p>
        </w:tc>
        <w:tc>
          <w:tcPr>
            <w:tcW w:w="980" w:type="dxa"/>
            <w:vAlign w:val="bottom"/>
            <w:shd w:val="clear" w:color="auto" w:fill="FDFDFC"/>
          </w:tcPr>
          <w:p>
            <w:pPr>
              <w:jc w:val="right"/>
              <w:spacing w:after="0"/>
              <w:rPr>
                <w:sz w:val="20"/>
                <w:szCs w:val="20"/>
                <w:color w:val="auto"/>
              </w:rPr>
            </w:pPr>
            <w:r>
              <w:rPr>
                <w:rFonts w:ascii="Times New Roman" w:cs="Times New Roman" w:eastAsia="Times New Roman" w:hAnsi="Times New Roman"/>
                <w:sz w:val="19"/>
                <w:szCs w:val="19"/>
                <w:color w:val="231F20"/>
              </w:rPr>
              <w:t>3.2</w:t>
            </w:r>
          </w:p>
        </w:tc>
        <w:tc>
          <w:tcPr>
            <w:tcW w:w="180" w:type="dxa"/>
            <w:vAlign w:val="bottom"/>
            <w:shd w:val="clear" w:color="auto" w:fill="FDFDFC"/>
          </w:tcPr>
          <w:p>
            <w:pPr>
              <w:spacing w:after="0"/>
              <w:rPr>
                <w:sz w:val="20"/>
                <w:szCs w:val="20"/>
                <w:color w:val="auto"/>
              </w:rPr>
            </w:pPr>
          </w:p>
        </w:tc>
        <w:tc>
          <w:tcPr>
            <w:tcW w:w="680" w:type="dxa"/>
            <w:vAlign w:val="bottom"/>
            <w:shd w:val="clear" w:color="auto" w:fill="FDFDFC"/>
          </w:tcPr>
          <w:p>
            <w:pPr>
              <w:spacing w:after="0"/>
              <w:rPr>
                <w:sz w:val="20"/>
                <w:szCs w:val="20"/>
                <w:color w:val="auto"/>
              </w:rPr>
            </w:pPr>
          </w:p>
        </w:tc>
        <w:tc>
          <w:tcPr>
            <w:tcW w:w="1120" w:type="dxa"/>
            <w:vAlign w:val="bottom"/>
            <w:gridSpan w:val="2"/>
            <w:shd w:val="clear" w:color="auto" w:fill="FDFDFC"/>
          </w:tcPr>
          <w:p>
            <w:pPr>
              <w:jc w:val="right"/>
              <w:ind w:right="100"/>
              <w:spacing w:after="0"/>
              <w:rPr>
                <w:sz w:val="20"/>
                <w:szCs w:val="20"/>
                <w:color w:val="auto"/>
              </w:rPr>
            </w:pPr>
            <w:r>
              <w:rPr>
                <w:rFonts w:ascii="Times New Roman" w:cs="Times New Roman" w:eastAsia="Times New Roman" w:hAnsi="Times New Roman"/>
                <w:sz w:val="19"/>
                <w:szCs w:val="19"/>
                <w:color w:val="231F20"/>
              </w:rPr>
              <w:t>—</w:t>
            </w:r>
          </w:p>
        </w:tc>
        <w:tc>
          <w:tcPr>
            <w:tcW w:w="0" w:type="dxa"/>
            <w:vAlign w:val="bottom"/>
          </w:tcPr>
          <w:p>
            <w:pPr>
              <w:spacing w:after="0"/>
              <w:rPr>
                <w:sz w:val="1"/>
                <w:szCs w:val="1"/>
                <w:color w:val="auto"/>
              </w:rPr>
            </w:pPr>
          </w:p>
        </w:tc>
      </w:tr>
      <w:tr>
        <w:trPr>
          <w:trHeight w:val="230"/>
        </w:trPr>
        <w:tc>
          <w:tcPr>
            <w:tcW w:w="4460" w:type="dxa"/>
            <w:vAlign w:val="bottom"/>
            <w:shd w:val="clear" w:color="auto" w:fill="D0EBF2"/>
          </w:tcPr>
          <w:p>
            <w:pPr>
              <w:spacing w:after="0"/>
              <w:rPr>
                <w:sz w:val="20"/>
                <w:szCs w:val="20"/>
                <w:color w:val="auto"/>
              </w:rPr>
            </w:pPr>
            <w:r>
              <w:rPr>
                <w:rFonts w:ascii="Times New Roman" w:cs="Times New Roman" w:eastAsia="Times New Roman" w:hAnsi="Times New Roman"/>
                <w:sz w:val="19"/>
                <w:szCs w:val="19"/>
                <w:color w:val="231F20"/>
              </w:rPr>
              <w:t>Scorpio Bidco - Delayed Draw</w:t>
            </w:r>
          </w:p>
        </w:tc>
        <w:tc>
          <w:tcPr>
            <w:tcW w:w="120" w:type="dxa"/>
            <w:vAlign w:val="bottom"/>
            <w:shd w:val="clear" w:color="auto" w:fill="D0EBF2"/>
          </w:tcPr>
          <w:p>
            <w:pPr>
              <w:spacing w:after="0"/>
              <w:rPr>
                <w:sz w:val="20"/>
                <w:szCs w:val="20"/>
                <w:color w:val="auto"/>
              </w:rPr>
            </w:pPr>
          </w:p>
        </w:tc>
        <w:tc>
          <w:tcPr>
            <w:tcW w:w="620" w:type="dxa"/>
            <w:vAlign w:val="bottom"/>
            <w:shd w:val="clear" w:color="auto" w:fill="D0EBF2"/>
          </w:tcPr>
          <w:p>
            <w:pPr>
              <w:spacing w:after="0"/>
              <w:rPr>
                <w:sz w:val="20"/>
                <w:szCs w:val="20"/>
                <w:color w:val="auto"/>
              </w:rPr>
            </w:pPr>
          </w:p>
        </w:tc>
        <w:tc>
          <w:tcPr>
            <w:tcW w:w="980" w:type="dxa"/>
            <w:vAlign w:val="bottom"/>
            <w:shd w:val="clear" w:color="auto" w:fill="D0EBF2"/>
          </w:tcPr>
          <w:p>
            <w:pPr>
              <w:jc w:val="right"/>
              <w:spacing w:after="0"/>
              <w:rPr>
                <w:sz w:val="20"/>
                <w:szCs w:val="20"/>
                <w:color w:val="auto"/>
              </w:rPr>
            </w:pPr>
            <w:r>
              <w:rPr>
                <w:rFonts w:ascii="Times New Roman" w:cs="Times New Roman" w:eastAsia="Times New Roman" w:hAnsi="Times New Roman"/>
                <w:sz w:val="19"/>
                <w:szCs w:val="19"/>
                <w:color w:val="231F20"/>
              </w:rPr>
              <w:t>0.5</w:t>
            </w:r>
          </w:p>
        </w:tc>
        <w:tc>
          <w:tcPr>
            <w:tcW w:w="180" w:type="dxa"/>
            <w:vAlign w:val="bottom"/>
            <w:shd w:val="clear" w:color="auto" w:fill="D0EBF2"/>
          </w:tcPr>
          <w:p>
            <w:pPr>
              <w:spacing w:after="0"/>
              <w:rPr>
                <w:sz w:val="20"/>
                <w:szCs w:val="20"/>
                <w:color w:val="auto"/>
              </w:rPr>
            </w:pPr>
          </w:p>
        </w:tc>
        <w:tc>
          <w:tcPr>
            <w:tcW w:w="680" w:type="dxa"/>
            <w:vAlign w:val="bottom"/>
            <w:shd w:val="clear" w:color="auto" w:fill="D0EBF2"/>
          </w:tcPr>
          <w:p>
            <w:pPr>
              <w:spacing w:after="0"/>
              <w:rPr>
                <w:sz w:val="20"/>
                <w:szCs w:val="20"/>
                <w:color w:val="auto"/>
              </w:rPr>
            </w:pPr>
          </w:p>
        </w:tc>
        <w:tc>
          <w:tcPr>
            <w:tcW w:w="1120" w:type="dxa"/>
            <w:vAlign w:val="bottom"/>
            <w:gridSpan w:val="2"/>
            <w:shd w:val="clear" w:color="auto" w:fill="D0EBF2"/>
          </w:tcPr>
          <w:p>
            <w:pPr>
              <w:jc w:val="right"/>
              <w:ind w:right="100"/>
              <w:spacing w:after="0"/>
              <w:rPr>
                <w:sz w:val="20"/>
                <w:szCs w:val="20"/>
                <w:color w:val="auto"/>
              </w:rPr>
            </w:pPr>
            <w:r>
              <w:rPr>
                <w:rFonts w:ascii="Times New Roman" w:cs="Times New Roman" w:eastAsia="Times New Roman" w:hAnsi="Times New Roman"/>
                <w:sz w:val="19"/>
                <w:szCs w:val="19"/>
                <w:color w:val="231F20"/>
              </w:rPr>
              <w:t>—</w:t>
            </w:r>
          </w:p>
        </w:tc>
        <w:tc>
          <w:tcPr>
            <w:tcW w:w="0" w:type="dxa"/>
            <w:vAlign w:val="bottom"/>
          </w:tcPr>
          <w:p>
            <w:pPr>
              <w:spacing w:after="0"/>
              <w:rPr>
                <w:sz w:val="1"/>
                <w:szCs w:val="1"/>
                <w:color w:val="auto"/>
              </w:rPr>
            </w:pPr>
          </w:p>
        </w:tc>
      </w:tr>
      <w:tr>
        <w:trPr>
          <w:trHeight w:val="230"/>
        </w:trPr>
        <w:tc>
          <w:tcPr>
            <w:tcW w:w="4460" w:type="dxa"/>
            <w:vAlign w:val="bottom"/>
            <w:shd w:val="clear" w:color="auto" w:fill="FDFDFC"/>
          </w:tcPr>
          <w:p>
            <w:pPr>
              <w:spacing w:after="0"/>
              <w:rPr>
                <w:sz w:val="20"/>
                <w:szCs w:val="20"/>
                <w:color w:val="auto"/>
              </w:rPr>
            </w:pPr>
            <w:r>
              <w:rPr>
                <w:rFonts w:ascii="Times New Roman" w:cs="Times New Roman" w:eastAsia="Times New Roman" w:hAnsi="Times New Roman"/>
                <w:sz w:val="19"/>
                <w:szCs w:val="19"/>
                <w:color w:val="231F20"/>
              </w:rPr>
              <w:t>Severin Acquisition, LLC - Delayed Draw &amp; Revolver</w:t>
            </w:r>
          </w:p>
        </w:tc>
        <w:tc>
          <w:tcPr>
            <w:tcW w:w="120" w:type="dxa"/>
            <w:vAlign w:val="bottom"/>
            <w:shd w:val="clear" w:color="auto" w:fill="FDFDFC"/>
          </w:tcPr>
          <w:p>
            <w:pPr>
              <w:spacing w:after="0"/>
              <w:rPr>
                <w:sz w:val="20"/>
                <w:szCs w:val="20"/>
                <w:color w:val="auto"/>
              </w:rPr>
            </w:pPr>
          </w:p>
        </w:tc>
        <w:tc>
          <w:tcPr>
            <w:tcW w:w="620" w:type="dxa"/>
            <w:vAlign w:val="bottom"/>
            <w:shd w:val="clear" w:color="auto" w:fill="FDFDFC"/>
          </w:tcPr>
          <w:p>
            <w:pPr>
              <w:spacing w:after="0"/>
              <w:rPr>
                <w:sz w:val="20"/>
                <w:szCs w:val="20"/>
                <w:color w:val="auto"/>
              </w:rPr>
            </w:pPr>
          </w:p>
        </w:tc>
        <w:tc>
          <w:tcPr>
            <w:tcW w:w="980" w:type="dxa"/>
            <w:vAlign w:val="bottom"/>
            <w:shd w:val="clear" w:color="auto" w:fill="FDFDFC"/>
          </w:tcPr>
          <w:p>
            <w:pPr>
              <w:jc w:val="right"/>
              <w:spacing w:after="0"/>
              <w:rPr>
                <w:sz w:val="20"/>
                <w:szCs w:val="20"/>
                <w:color w:val="auto"/>
              </w:rPr>
            </w:pPr>
            <w:r>
              <w:rPr>
                <w:rFonts w:ascii="Times New Roman" w:cs="Times New Roman" w:eastAsia="Times New Roman" w:hAnsi="Times New Roman"/>
                <w:sz w:val="19"/>
                <w:szCs w:val="19"/>
                <w:color w:val="231F20"/>
              </w:rPr>
              <w:t>5.0</w:t>
            </w:r>
          </w:p>
        </w:tc>
        <w:tc>
          <w:tcPr>
            <w:tcW w:w="180" w:type="dxa"/>
            <w:vAlign w:val="bottom"/>
            <w:shd w:val="clear" w:color="auto" w:fill="FDFDFC"/>
          </w:tcPr>
          <w:p>
            <w:pPr>
              <w:spacing w:after="0"/>
              <w:rPr>
                <w:sz w:val="20"/>
                <w:szCs w:val="20"/>
                <w:color w:val="auto"/>
              </w:rPr>
            </w:pPr>
          </w:p>
        </w:tc>
        <w:tc>
          <w:tcPr>
            <w:tcW w:w="680" w:type="dxa"/>
            <w:vAlign w:val="bottom"/>
            <w:shd w:val="clear" w:color="auto" w:fill="FDFDFC"/>
          </w:tcPr>
          <w:p>
            <w:pPr>
              <w:spacing w:after="0"/>
              <w:rPr>
                <w:sz w:val="20"/>
                <w:szCs w:val="20"/>
                <w:color w:val="auto"/>
              </w:rPr>
            </w:pPr>
          </w:p>
        </w:tc>
        <w:tc>
          <w:tcPr>
            <w:tcW w:w="1120" w:type="dxa"/>
            <w:vAlign w:val="bottom"/>
            <w:gridSpan w:val="2"/>
            <w:shd w:val="clear" w:color="auto" w:fill="FDFDFC"/>
          </w:tcPr>
          <w:p>
            <w:pPr>
              <w:jc w:val="right"/>
              <w:ind w:right="100"/>
              <w:spacing w:after="0"/>
              <w:rPr>
                <w:sz w:val="20"/>
                <w:szCs w:val="20"/>
                <w:color w:val="auto"/>
              </w:rPr>
            </w:pPr>
            <w:r>
              <w:rPr>
                <w:rFonts w:ascii="Times New Roman" w:cs="Times New Roman" w:eastAsia="Times New Roman" w:hAnsi="Times New Roman"/>
                <w:sz w:val="19"/>
                <w:szCs w:val="19"/>
                <w:color w:val="231F20"/>
              </w:rPr>
              <w:t>—</w:t>
            </w:r>
          </w:p>
        </w:tc>
        <w:tc>
          <w:tcPr>
            <w:tcW w:w="0" w:type="dxa"/>
            <w:vAlign w:val="bottom"/>
          </w:tcPr>
          <w:p>
            <w:pPr>
              <w:spacing w:after="0"/>
              <w:rPr>
                <w:sz w:val="1"/>
                <w:szCs w:val="1"/>
                <w:color w:val="auto"/>
              </w:rPr>
            </w:pPr>
          </w:p>
        </w:tc>
      </w:tr>
      <w:tr>
        <w:trPr>
          <w:trHeight w:val="230"/>
        </w:trPr>
        <w:tc>
          <w:tcPr>
            <w:tcW w:w="4460" w:type="dxa"/>
            <w:vAlign w:val="bottom"/>
            <w:shd w:val="clear" w:color="auto" w:fill="D0EBF2"/>
          </w:tcPr>
          <w:p>
            <w:pPr>
              <w:spacing w:after="0"/>
              <w:rPr>
                <w:sz w:val="20"/>
                <w:szCs w:val="20"/>
                <w:color w:val="auto"/>
              </w:rPr>
            </w:pPr>
            <w:r>
              <w:rPr>
                <w:rFonts w:ascii="Times New Roman" w:cs="Times New Roman" w:eastAsia="Times New Roman" w:hAnsi="Times New Roman"/>
                <w:sz w:val="19"/>
                <w:szCs w:val="19"/>
                <w:color w:val="231F20"/>
              </w:rPr>
              <w:t>Shiftmove GmbH - Delayed Draw</w:t>
            </w:r>
          </w:p>
        </w:tc>
        <w:tc>
          <w:tcPr>
            <w:tcW w:w="120" w:type="dxa"/>
            <w:vAlign w:val="bottom"/>
            <w:shd w:val="clear" w:color="auto" w:fill="D0EBF2"/>
          </w:tcPr>
          <w:p>
            <w:pPr>
              <w:spacing w:after="0"/>
              <w:rPr>
                <w:sz w:val="20"/>
                <w:szCs w:val="20"/>
                <w:color w:val="auto"/>
              </w:rPr>
            </w:pPr>
          </w:p>
        </w:tc>
        <w:tc>
          <w:tcPr>
            <w:tcW w:w="620" w:type="dxa"/>
            <w:vAlign w:val="bottom"/>
            <w:shd w:val="clear" w:color="auto" w:fill="D0EBF2"/>
          </w:tcPr>
          <w:p>
            <w:pPr>
              <w:spacing w:after="0"/>
              <w:rPr>
                <w:sz w:val="20"/>
                <w:szCs w:val="20"/>
                <w:color w:val="auto"/>
              </w:rPr>
            </w:pPr>
          </w:p>
        </w:tc>
        <w:tc>
          <w:tcPr>
            <w:tcW w:w="980" w:type="dxa"/>
            <w:vAlign w:val="bottom"/>
            <w:shd w:val="clear" w:color="auto" w:fill="D0EBF2"/>
          </w:tcPr>
          <w:p>
            <w:pPr>
              <w:jc w:val="right"/>
              <w:spacing w:after="0"/>
              <w:rPr>
                <w:sz w:val="20"/>
                <w:szCs w:val="20"/>
                <w:color w:val="auto"/>
              </w:rPr>
            </w:pPr>
            <w:r>
              <w:rPr>
                <w:rFonts w:ascii="Times New Roman" w:cs="Times New Roman" w:eastAsia="Times New Roman" w:hAnsi="Times New Roman"/>
                <w:sz w:val="19"/>
                <w:szCs w:val="19"/>
                <w:color w:val="231F20"/>
              </w:rPr>
              <w:t>13.6</w:t>
            </w:r>
          </w:p>
        </w:tc>
        <w:tc>
          <w:tcPr>
            <w:tcW w:w="180" w:type="dxa"/>
            <w:vAlign w:val="bottom"/>
            <w:shd w:val="clear" w:color="auto" w:fill="D0EBF2"/>
          </w:tcPr>
          <w:p>
            <w:pPr>
              <w:spacing w:after="0"/>
              <w:rPr>
                <w:sz w:val="20"/>
                <w:szCs w:val="20"/>
                <w:color w:val="auto"/>
              </w:rPr>
            </w:pPr>
          </w:p>
        </w:tc>
        <w:tc>
          <w:tcPr>
            <w:tcW w:w="680" w:type="dxa"/>
            <w:vAlign w:val="bottom"/>
            <w:shd w:val="clear" w:color="auto" w:fill="D0EBF2"/>
          </w:tcPr>
          <w:p>
            <w:pPr>
              <w:spacing w:after="0"/>
              <w:rPr>
                <w:sz w:val="20"/>
                <w:szCs w:val="20"/>
                <w:color w:val="auto"/>
              </w:rPr>
            </w:pPr>
          </w:p>
        </w:tc>
        <w:tc>
          <w:tcPr>
            <w:tcW w:w="1120" w:type="dxa"/>
            <w:vAlign w:val="bottom"/>
            <w:gridSpan w:val="2"/>
            <w:shd w:val="clear" w:color="auto" w:fill="D0EBF2"/>
          </w:tcPr>
          <w:p>
            <w:pPr>
              <w:jc w:val="right"/>
              <w:ind w:right="100"/>
              <w:spacing w:after="0"/>
              <w:rPr>
                <w:sz w:val="20"/>
                <w:szCs w:val="20"/>
                <w:color w:val="auto"/>
              </w:rPr>
            </w:pPr>
            <w:r>
              <w:rPr>
                <w:rFonts w:ascii="Times New Roman" w:cs="Times New Roman" w:eastAsia="Times New Roman" w:hAnsi="Times New Roman"/>
                <w:sz w:val="19"/>
                <w:szCs w:val="19"/>
                <w:color w:val="231F20"/>
              </w:rPr>
              <w:t>—</w:t>
            </w:r>
          </w:p>
        </w:tc>
        <w:tc>
          <w:tcPr>
            <w:tcW w:w="0" w:type="dxa"/>
            <w:vAlign w:val="bottom"/>
          </w:tcPr>
          <w:p>
            <w:pPr>
              <w:spacing w:after="0"/>
              <w:rPr>
                <w:sz w:val="1"/>
                <w:szCs w:val="1"/>
                <w:color w:val="auto"/>
              </w:rPr>
            </w:pPr>
          </w:p>
        </w:tc>
      </w:tr>
      <w:tr>
        <w:trPr>
          <w:trHeight w:val="230"/>
        </w:trPr>
        <w:tc>
          <w:tcPr>
            <w:tcW w:w="4460" w:type="dxa"/>
            <w:vAlign w:val="bottom"/>
            <w:shd w:val="clear" w:color="auto" w:fill="FDFDFC"/>
          </w:tcPr>
          <w:p>
            <w:pPr>
              <w:spacing w:after="0"/>
              <w:rPr>
                <w:sz w:val="20"/>
                <w:szCs w:val="20"/>
                <w:color w:val="auto"/>
              </w:rPr>
            </w:pPr>
            <w:r>
              <w:rPr>
                <w:rFonts w:ascii="Times New Roman" w:cs="Times New Roman" w:eastAsia="Times New Roman" w:hAnsi="Times New Roman"/>
                <w:sz w:val="19"/>
                <w:szCs w:val="19"/>
                <w:color w:val="231F20"/>
              </w:rPr>
              <w:t>Sky Bidco S.p.A. - Delayed Draw</w:t>
            </w:r>
          </w:p>
        </w:tc>
        <w:tc>
          <w:tcPr>
            <w:tcW w:w="120" w:type="dxa"/>
            <w:vAlign w:val="bottom"/>
            <w:shd w:val="clear" w:color="auto" w:fill="FDFDFC"/>
          </w:tcPr>
          <w:p>
            <w:pPr>
              <w:spacing w:after="0"/>
              <w:rPr>
                <w:sz w:val="20"/>
                <w:szCs w:val="20"/>
                <w:color w:val="auto"/>
              </w:rPr>
            </w:pPr>
          </w:p>
        </w:tc>
        <w:tc>
          <w:tcPr>
            <w:tcW w:w="620" w:type="dxa"/>
            <w:vAlign w:val="bottom"/>
            <w:shd w:val="clear" w:color="auto" w:fill="FDFDFC"/>
          </w:tcPr>
          <w:p>
            <w:pPr>
              <w:spacing w:after="0"/>
              <w:rPr>
                <w:sz w:val="20"/>
                <w:szCs w:val="20"/>
                <w:color w:val="auto"/>
              </w:rPr>
            </w:pPr>
          </w:p>
        </w:tc>
        <w:tc>
          <w:tcPr>
            <w:tcW w:w="980" w:type="dxa"/>
            <w:vAlign w:val="bottom"/>
            <w:shd w:val="clear" w:color="auto" w:fill="FDFDFC"/>
          </w:tcPr>
          <w:p>
            <w:pPr>
              <w:jc w:val="right"/>
              <w:spacing w:after="0"/>
              <w:rPr>
                <w:sz w:val="20"/>
                <w:szCs w:val="20"/>
                <w:color w:val="auto"/>
              </w:rPr>
            </w:pPr>
            <w:r>
              <w:rPr>
                <w:rFonts w:ascii="Times New Roman" w:cs="Times New Roman" w:eastAsia="Times New Roman" w:hAnsi="Times New Roman"/>
                <w:sz w:val="19"/>
                <w:szCs w:val="19"/>
                <w:color w:val="231F20"/>
              </w:rPr>
              <w:t>3.6</w:t>
            </w:r>
          </w:p>
        </w:tc>
        <w:tc>
          <w:tcPr>
            <w:tcW w:w="180" w:type="dxa"/>
            <w:vAlign w:val="bottom"/>
            <w:shd w:val="clear" w:color="auto" w:fill="FDFDFC"/>
          </w:tcPr>
          <w:p>
            <w:pPr>
              <w:spacing w:after="0"/>
              <w:rPr>
                <w:sz w:val="20"/>
                <w:szCs w:val="20"/>
                <w:color w:val="auto"/>
              </w:rPr>
            </w:pPr>
          </w:p>
        </w:tc>
        <w:tc>
          <w:tcPr>
            <w:tcW w:w="680" w:type="dxa"/>
            <w:vAlign w:val="bottom"/>
            <w:shd w:val="clear" w:color="auto" w:fill="FDFDFC"/>
          </w:tcPr>
          <w:p>
            <w:pPr>
              <w:spacing w:after="0"/>
              <w:rPr>
                <w:sz w:val="20"/>
                <w:szCs w:val="20"/>
                <w:color w:val="auto"/>
              </w:rPr>
            </w:pPr>
          </w:p>
        </w:tc>
        <w:tc>
          <w:tcPr>
            <w:tcW w:w="1120" w:type="dxa"/>
            <w:vAlign w:val="bottom"/>
            <w:gridSpan w:val="2"/>
            <w:shd w:val="clear" w:color="auto" w:fill="FDFDFC"/>
          </w:tcPr>
          <w:p>
            <w:pPr>
              <w:jc w:val="right"/>
              <w:ind w:right="100"/>
              <w:spacing w:after="0"/>
              <w:rPr>
                <w:sz w:val="20"/>
                <w:szCs w:val="20"/>
                <w:color w:val="auto"/>
              </w:rPr>
            </w:pPr>
            <w:r>
              <w:rPr>
                <w:rFonts w:ascii="Times New Roman" w:cs="Times New Roman" w:eastAsia="Times New Roman" w:hAnsi="Times New Roman"/>
                <w:sz w:val="19"/>
                <w:szCs w:val="19"/>
                <w:color w:val="231F20"/>
              </w:rPr>
              <w:t>—</w:t>
            </w:r>
          </w:p>
        </w:tc>
        <w:tc>
          <w:tcPr>
            <w:tcW w:w="0" w:type="dxa"/>
            <w:vAlign w:val="bottom"/>
          </w:tcPr>
          <w:p>
            <w:pPr>
              <w:spacing w:after="0"/>
              <w:rPr>
                <w:sz w:val="1"/>
                <w:szCs w:val="1"/>
                <w:color w:val="auto"/>
              </w:rPr>
            </w:pPr>
          </w:p>
        </w:tc>
      </w:tr>
      <w:tr>
        <w:trPr>
          <w:trHeight w:val="230"/>
        </w:trPr>
        <w:tc>
          <w:tcPr>
            <w:tcW w:w="4460" w:type="dxa"/>
            <w:vAlign w:val="bottom"/>
            <w:shd w:val="clear" w:color="auto" w:fill="D0EBF2"/>
          </w:tcPr>
          <w:p>
            <w:pPr>
              <w:spacing w:after="0"/>
              <w:rPr>
                <w:sz w:val="20"/>
                <w:szCs w:val="20"/>
                <w:color w:val="auto"/>
              </w:rPr>
            </w:pPr>
            <w:r>
              <w:rPr>
                <w:rFonts w:ascii="Times New Roman" w:cs="Times New Roman" w:eastAsia="Times New Roman" w:hAnsi="Times New Roman"/>
                <w:sz w:val="19"/>
                <w:szCs w:val="19"/>
                <w:color w:val="231F20"/>
              </w:rPr>
              <w:t>SkyLark UK DebtCo Limited - Delayed Draw</w:t>
            </w:r>
          </w:p>
        </w:tc>
        <w:tc>
          <w:tcPr>
            <w:tcW w:w="120" w:type="dxa"/>
            <w:vAlign w:val="bottom"/>
            <w:shd w:val="clear" w:color="auto" w:fill="D0EBF2"/>
          </w:tcPr>
          <w:p>
            <w:pPr>
              <w:spacing w:after="0"/>
              <w:rPr>
                <w:sz w:val="20"/>
                <w:szCs w:val="20"/>
                <w:color w:val="auto"/>
              </w:rPr>
            </w:pPr>
          </w:p>
        </w:tc>
        <w:tc>
          <w:tcPr>
            <w:tcW w:w="620" w:type="dxa"/>
            <w:vAlign w:val="bottom"/>
            <w:shd w:val="clear" w:color="auto" w:fill="D0EBF2"/>
          </w:tcPr>
          <w:p>
            <w:pPr>
              <w:spacing w:after="0"/>
              <w:rPr>
                <w:sz w:val="20"/>
                <w:szCs w:val="20"/>
                <w:color w:val="auto"/>
              </w:rPr>
            </w:pPr>
          </w:p>
        </w:tc>
        <w:tc>
          <w:tcPr>
            <w:tcW w:w="980" w:type="dxa"/>
            <w:vAlign w:val="bottom"/>
            <w:shd w:val="clear" w:color="auto" w:fill="D0EBF2"/>
          </w:tcPr>
          <w:p>
            <w:pPr>
              <w:jc w:val="right"/>
              <w:spacing w:after="0"/>
              <w:rPr>
                <w:sz w:val="20"/>
                <w:szCs w:val="20"/>
                <w:color w:val="auto"/>
              </w:rPr>
            </w:pPr>
            <w:r>
              <w:rPr>
                <w:rFonts w:ascii="Times New Roman" w:cs="Times New Roman" w:eastAsia="Times New Roman" w:hAnsi="Times New Roman"/>
                <w:sz w:val="19"/>
                <w:szCs w:val="19"/>
                <w:color w:val="231F20"/>
              </w:rPr>
              <w:t>6.9</w:t>
            </w:r>
          </w:p>
        </w:tc>
        <w:tc>
          <w:tcPr>
            <w:tcW w:w="180" w:type="dxa"/>
            <w:vAlign w:val="bottom"/>
            <w:shd w:val="clear" w:color="auto" w:fill="D0EBF2"/>
          </w:tcPr>
          <w:p>
            <w:pPr>
              <w:spacing w:after="0"/>
              <w:rPr>
                <w:sz w:val="20"/>
                <w:szCs w:val="20"/>
                <w:color w:val="auto"/>
              </w:rPr>
            </w:pPr>
          </w:p>
        </w:tc>
        <w:tc>
          <w:tcPr>
            <w:tcW w:w="680" w:type="dxa"/>
            <w:vAlign w:val="bottom"/>
            <w:shd w:val="clear" w:color="auto" w:fill="D0EBF2"/>
          </w:tcPr>
          <w:p>
            <w:pPr>
              <w:spacing w:after="0"/>
              <w:rPr>
                <w:sz w:val="20"/>
                <w:szCs w:val="20"/>
                <w:color w:val="auto"/>
              </w:rPr>
            </w:pPr>
          </w:p>
        </w:tc>
        <w:tc>
          <w:tcPr>
            <w:tcW w:w="1040" w:type="dxa"/>
            <w:vAlign w:val="bottom"/>
            <w:shd w:val="clear" w:color="auto" w:fill="D0EBF2"/>
          </w:tcPr>
          <w:p>
            <w:pPr>
              <w:jc w:val="right"/>
              <w:spacing w:after="0"/>
              <w:rPr>
                <w:sz w:val="20"/>
                <w:szCs w:val="20"/>
                <w:color w:val="auto"/>
              </w:rPr>
            </w:pPr>
            <w:r>
              <w:rPr>
                <w:rFonts w:ascii="Times New Roman" w:cs="Times New Roman" w:eastAsia="Times New Roman" w:hAnsi="Times New Roman"/>
                <w:sz w:val="19"/>
                <w:szCs w:val="19"/>
                <w:color w:val="231F20"/>
              </w:rPr>
              <w:t>7.1</w:t>
            </w:r>
          </w:p>
        </w:tc>
        <w:tc>
          <w:tcPr>
            <w:tcW w:w="80" w:type="dxa"/>
            <w:vAlign w:val="bottom"/>
            <w:shd w:val="clear" w:color="auto" w:fill="D0EBF2"/>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460" w:type="dxa"/>
            <w:vAlign w:val="bottom"/>
            <w:shd w:val="clear" w:color="auto" w:fill="FDFDFC"/>
          </w:tcPr>
          <w:p>
            <w:pPr>
              <w:spacing w:after="0"/>
              <w:rPr>
                <w:sz w:val="20"/>
                <w:szCs w:val="20"/>
                <w:color w:val="auto"/>
              </w:rPr>
            </w:pPr>
            <w:r>
              <w:rPr>
                <w:rFonts w:ascii="Times New Roman" w:cs="Times New Roman" w:eastAsia="Times New Roman" w:hAnsi="Times New Roman"/>
                <w:sz w:val="19"/>
                <w:szCs w:val="19"/>
                <w:color w:val="231F20"/>
              </w:rPr>
              <w:t>SL Buyer Corp. - Delayed Draw</w:t>
            </w:r>
          </w:p>
        </w:tc>
        <w:tc>
          <w:tcPr>
            <w:tcW w:w="120" w:type="dxa"/>
            <w:vAlign w:val="bottom"/>
            <w:shd w:val="clear" w:color="auto" w:fill="FDFDFC"/>
          </w:tcPr>
          <w:p>
            <w:pPr>
              <w:spacing w:after="0"/>
              <w:rPr>
                <w:sz w:val="20"/>
                <w:szCs w:val="20"/>
                <w:color w:val="auto"/>
              </w:rPr>
            </w:pPr>
          </w:p>
        </w:tc>
        <w:tc>
          <w:tcPr>
            <w:tcW w:w="620" w:type="dxa"/>
            <w:vAlign w:val="bottom"/>
            <w:shd w:val="clear" w:color="auto" w:fill="FDFDFC"/>
          </w:tcPr>
          <w:p>
            <w:pPr>
              <w:spacing w:after="0"/>
              <w:rPr>
                <w:sz w:val="20"/>
                <w:szCs w:val="20"/>
                <w:color w:val="auto"/>
              </w:rPr>
            </w:pPr>
          </w:p>
        </w:tc>
        <w:tc>
          <w:tcPr>
            <w:tcW w:w="980" w:type="dxa"/>
            <w:vAlign w:val="bottom"/>
            <w:shd w:val="clear" w:color="auto" w:fill="FDFDFC"/>
          </w:tcPr>
          <w:p>
            <w:pPr>
              <w:jc w:val="right"/>
              <w:spacing w:after="0"/>
              <w:rPr>
                <w:sz w:val="20"/>
                <w:szCs w:val="20"/>
                <w:color w:val="auto"/>
              </w:rPr>
            </w:pPr>
            <w:r>
              <w:rPr>
                <w:rFonts w:ascii="Times New Roman" w:cs="Times New Roman" w:eastAsia="Times New Roman" w:hAnsi="Times New Roman"/>
                <w:sz w:val="19"/>
                <w:szCs w:val="19"/>
                <w:color w:val="231F20"/>
              </w:rPr>
              <w:t>11.2</w:t>
            </w:r>
          </w:p>
        </w:tc>
        <w:tc>
          <w:tcPr>
            <w:tcW w:w="180" w:type="dxa"/>
            <w:vAlign w:val="bottom"/>
            <w:shd w:val="clear" w:color="auto" w:fill="FDFDFC"/>
          </w:tcPr>
          <w:p>
            <w:pPr>
              <w:spacing w:after="0"/>
              <w:rPr>
                <w:sz w:val="20"/>
                <w:szCs w:val="20"/>
                <w:color w:val="auto"/>
              </w:rPr>
            </w:pPr>
          </w:p>
        </w:tc>
        <w:tc>
          <w:tcPr>
            <w:tcW w:w="680" w:type="dxa"/>
            <w:vAlign w:val="bottom"/>
            <w:shd w:val="clear" w:color="auto" w:fill="FDFDFC"/>
          </w:tcPr>
          <w:p>
            <w:pPr>
              <w:spacing w:after="0"/>
              <w:rPr>
                <w:sz w:val="20"/>
                <w:szCs w:val="20"/>
                <w:color w:val="auto"/>
              </w:rPr>
            </w:pPr>
          </w:p>
        </w:tc>
        <w:tc>
          <w:tcPr>
            <w:tcW w:w="1040" w:type="dxa"/>
            <w:vAlign w:val="bottom"/>
            <w:shd w:val="clear" w:color="auto" w:fill="FDFDFC"/>
          </w:tcPr>
          <w:p>
            <w:pPr>
              <w:jc w:val="right"/>
              <w:spacing w:after="0"/>
              <w:rPr>
                <w:sz w:val="20"/>
                <w:szCs w:val="20"/>
                <w:color w:val="auto"/>
              </w:rPr>
            </w:pPr>
            <w:r>
              <w:rPr>
                <w:rFonts w:ascii="Times New Roman" w:cs="Times New Roman" w:eastAsia="Times New Roman" w:hAnsi="Times New Roman"/>
                <w:sz w:val="19"/>
                <w:szCs w:val="19"/>
                <w:color w:val="231F20"/>
              </w:rPr>
              <w:t>13.2</w:t>
            </w:r>
          </w:p>
        </w:tc>
        <w:tc>
          <w:tcPr>
            <w:tcW w:w="80" w:type="dxa"/>
            <w:vAlign w:val="bottom"/>
            <w:shd w:val="clear" w:color="auto" w:fill="FDFD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460" w:type="dxa"/>
            <w:vAlign w:val="bottom"/>
            <w:shd w:val="clear" w:color="auto" w:fill="D0EBF2"/>
          </w:tcPr>
          <w:p>
            <w:pPr>
              <w:spacing w:after="0"/>
              <w:rPr>
                <w:sz w:val="20"/>
                <w:szCs w:val="20"/>
                <w:color w:val="auto"/>
              </w:rPr>
            </w:pPr>
            <w:r>
              <w:rPr>
                <w:rFonts w:ascii="Times New Roman" w:cs="Times New Roman" w:eastAsia="Times New Roman" w:hAnsi="Times New Roman"/>
                <w:sz w:val="19"/>
                <w:szCs w:val="19"/>
                <w:color w:val="231F20"/>
              </w:rPr>
              <w:t>SMA Technologies Holdings, LLC - Revolver</w:t>
            </w:r>
          </w:p>
        </w:tc>
        <w:tc>
          <w:tcPr>
            <w:tcW w:w="120" w:type="dxa"/>
            <w:vAlign w:val="bottom"/>
            <w:shd w:val="clear" w:color="auto" w:fill="D0EBF2"/>
          </w:tcPr>
          <w:p>
            <w:pPr>
              <w:spacing w:after="0"/>
              <w:rPr>
                <w:sz w:val="20"/>
                <w:szCs w:val="20"/>
                <w:color w:val="auto"/>
              </w:rPr>
            </w:pPr>
          </w:p>
        </w:tc>
        <w:tc>
          <w:tcPr>
            <w:tcW w:w="620" w:type="dxa"/>
            <w:vAlign w:val="bottom"/>
            <w:shd w:val="clear" w:color="auto" w:fill="D0EBF2"/>
          </w:tcPr>
          <w:p>
            <w:pPr>
              <w:spacing w:after="0"/>
              <w:rPr>
                <w:sz w:val="20"/>
                <w:szCs w:val="20"/>
                <w:color w:val="auto"/>
              </w:rPr>
            </w:pPr>
          </w:p>
        </w:tc>
        <w:tc>
          <w:tcPr>
            <w:tcW w:w="980" w:type="dxa"/>
            <w:vAlign w:val="bottom"/>
            <w:shd w:val="clear" w:color="auto" w:fill="D0EBF2"/>
          </w:tcPr>
          <w:p>
            <w:pPr>
              <w:jc w:val="right"/>
              <w:spacing w:after="0"/>
              <w:rPr>
                <w:sz w:val="20"/>
                <w:szCs w:val="20"/>
                <w:color w:val="auto"/>
              </w:rPr>
            </w:pPr>
            <w:r>
              <w:rPr>
                <w:rFonts w:ascii="Times New Roman" w:cs="Times New Roman" w:eastAsia="Times New Roman" w:hAnsi="Times New Roman"/>
                <w:sz w:val="19"/>
                <w:szCs w:val="19"/>
                <w:color w:val="231F20"/>
              </w:rPr>
              <w:t>1.0</w:t>
            </w:r>
          </w:p>
        </w:tc>
        <w:tc>
          <w:tcPr>
            <w:tcW w:w="180" w:type="dxa"/>
            <w:vAlign w:val="bottom"/>
            <w:shd w:val="clear" w:color="auto" w:fill="D0EBF2"/>
          </w:tcPr>
          <w:p>
            <w:pPr>
              <w:spacing w:after="0"/>
              <w:rPr>
                <w:sz w:val="20"/>
                <w:szCs w:val="20"/>
                <w:color w:val="auto"/>
              </w:rPr>
            </w:pPr>
          </w:p>
        </w:tc>
        <w:tc>
          <w:tcPr>
            <w:tcW w:w="680" w:type="dxa"/>
            <w:vAlign w:val="bottom"/>
            <w:shd w:val="clear" w:color="auto" w:fill="D0EBF2"/>
          </w:tcPr>
          <w:p>
            <w:pPr>
              <w:spacing w:after="0"/>
              <w:rPr>
                <w:sz w:val="20"/>
                <w:szCs w:val="20"/>
                <w:color w:val="auto"/>
              </w:rPr>
            </w:pPr>
          </w:p>
        </w:tc>
        <w:tc>
          <w:tcPr>
            <w:tcW w:w="1120" w:type="dxa"/>
            <w:vAlign w:val="bottom"/>
            <w:gridSpan w:val="2"/>
            <w:shd w:val="clear" w:color="auto" w:fill="D0EBF2"/>
          </w:tcPr>
          <w:p>
            <w:pPr>
              <w:jc w:val="right"/>
              <w:ind w:right="100"/>
              <w:spacing w:after="0"/>
              <w:rPr>
                <w:sz w:val="20"/>
                <w:szCs w:val="20"/>
                <w:color w:val="auto"/>
              </w:rPr>
            </w:pPr>
            <w:r>
              <w:rPr>
                <w:rFonts w:ascii="Times New Roman" w:cs="Times New Roman" w:eastAsia="Times New Roman" w:hAnsi="Times New Roman"/>
                <w:sz w:val="19"/>
                <w:szCs w:val="19"/>
                <w:color w:val="231F20"/>
              </w:rPr>
              <w:t>—</w:t>
            </w:r>
          </w:p>
        </w:tc>
        <w:tc>
          <w:tcPr>
            <w:tcW w:w="0" w:type="dxa"/>
            <w:vAlign w:val="bottom"/>
          </w:tcPr>
          <w:p>
            <w:pPr>
              <w:spacing w:after="0"/>
              <w:rPr>
                <w:sz w:val="1"/>
                <w:szCs w:val="1"/>
                <w:color w:val="auto"/>
              </w:rPr>
            </w:pPr>
          </w:p>
        </w:tc>
      </w:tr>
      <w:tr>
        <w:trPr>
          <w:trHeight w:val="230"/>
        </w:trPr>
        <w:tc>
          <w:tcPr>
            <w:tcW w:w="4460" w:type="dxa"/>
            <w:vAlign w:val="bottom"/>
            <w:shd w:val="clear" w:color="auto" w:fill="FDFDFC"/>
          </w:tcPr>
          <w:p>
            <w:pPr>
              <w:spacing w:after="0"/>
              <w:rPr>
                <w:sz w:val="20"/>
                <w:szCs w:val="20"/>
                <w:color w:val="auto"/>
              </w:rPr>
            </w:pPr>
            <w:r>
              <w:rPr>
                <w:rFonts w:ascii="Times New Roman" w:cs="Times New Roman" w:eastAsia="Times New Roman" w:hAnsi="Times New Roman"/>
                <w:sz w:val="19"/>
                <w:szCs w:val="19"/>
                <w:color w:val="231F20"/>
              </w:rPr>
              <w:t>Sport Alliance GmbH - Revolver</w:t>
            </w:r>
          </w:p>
        </w:tc>
        <w:tc>
          <w:tcPr>
            <w:tcW w:w="120" w:type="dxa"/>
            <w:vAlign w:val="bottom"/>
            <w:shd w:val="clear" w:color="auto" w:fill="FDFDFC"/>
          </w:tcPr>
          <w:p>
            <w:pPr>
              <w:spacing w:after="0"/>
              <w:rPr>
                <w:sz w:val="20"/>
                <w:szCs w:val="20"/>
                <w:color w:val="auto"/>
              </w:rPr>
            </w:pPr>
          </w:p>
        </w:tc>
        <w:tc>
          <w:tcPr>
            <w:tcW w:w="620" w:type="dxa"/>
            <w:vAlign w:val="bottom"/>
            <w:shd w:val="clear" w:color="auto" w:fill="FDFDFC"/>
          </w:tcPr>
          <w:p>
            <w:pPr>
              <w:spacing w:after="0"/>
              <w:rPr>
                <w:sz w:val="20"/>
                <w:szCs w:val="20"/>
                <w:color w:val="auto"/>
              </w:rPr>
            </w:pPr>
          </w:p>
        </w:tc>
        <w:tc>
          <w:tcPr>
            <w:tcW w:w="980" w:type="dxa"/>
            <w:vAlign w:val="bottom"/>
            <w:shd w:val="clear" w:color="auto" w:fill="FDFDFC"/>
          </w:tcPr>
          <w:p>
            <w:pPr>
              <w:jc w:val="right"/>
              <w:spacing w:after="0"/>
              <w:rPr>
                <w:sz w:val="20"/>
                <w:szCs w:val="20"/>
                <w:color w:val="auto"/>
              </w:rPr>
            </w:pPr>
            <w:r>
              <w:rPr>
                <w:rFonts w:ascii="Times New Roman" w:cs="Times New Roman" w:eastAsia="Times New Roman" w:hAnsi="Times New Roman"/>
                <w:sz w:val="19"/>
                <w:szCs w:val="19"/>
                <w:color w:val="231F20"/>
              </w:rPr>
              <w:t>0.6</w:t>
            </w:r>
          </w:p>
        </w:tc>
        <w:tc>
          <w:tcPr>
            <w:tcW w:w="180" w:type="dxa"/>
            <w:vAlign w:val="bottom"/>
            <w:shd w:val="clear" w:color="auto" w:fill="FDFDFC"/>
          </w:tcPr>
          <w:p>
            <w:pPr>
              <w:spacing w:after="0"/>
              <w:rPr>
                <w:sz w:val="20"/>
                <w:szCs w:val="20"/>
                <w:color w:val="auto"/>
              </w:rPr>
            </w:pPr>
          </w:p>
        </w:tc>
        <w:tc>
          <w:tcPr>
            <w:tcW w:w="680" w:type="dxa"/>
            <w:vAlign w:val="bottom"/>
            <w:shd w:val="clear" w:color="auto" w:fill="FDFDFC"/>
          </w:tcPr>
          <w:p>
            <w:pPr>
              <w:spacing w:after="0"/>
              <w:rPr>
                <w:sz w:val="20"/>
                <w:szCs w:val="20"/>
                <w:color w:val="auto"/>
              </w:rPr>
            </w:pPr>
          </w:p>
        </w:tc>
        <w:tc>
          <w:tcPr>
            <w:tcW w:w="1120" w:type="dxa"/>
            <w:vAlign w:val="bottom"/>
            <w:gridSpan w:val="2"/>
            <w:shd w:val="clear" w:color="auto" w:fill="FDFDFC"/>
          </w:tcPr>
          <w:p>
            <w:pPr>
              <w:jc w:val="right"/>
              <w:ind w:right="100"/>
              <w:spacing w:after="0"/>
              <w:rPr>
                <w:sz w:val="20"/>
                <w:szCs w:val="20"/>
                <w:color w:val="auto"/>
              </w:rPr>
            </w:pPr>
            <w:r>
              <w:rPr>
                <w:rFonts w:ascii="Times New Roman" w:cs="Times New Roman" w:eastAsia="Times New Roman" w:hAnsi="Times New Roman"/>
                <w:sz w:val="19"/>
                <w:szCs w:val="19"/>
                <w:color w:val="231F20"/>
              </w:rPr>
              <w:t>—</w:t>
            </w:r>
          </w:p>
        </w:tc>
        <w:tc>
          <w:tcPr>
            <w:tcW w:w="0" w:type="dxa"/>
            <w:vAlign w:val="bottom"/>
          </w:tcPr>
          <w:p>
            <w:pPr>
              <w:spacing w:after="0"/>
              <w:rPr>
                <w:sz w:val="1"/>
                <w:szCs w:val="1"/>
                <w:color w:val="auto"/>
              </w:rPr>
            </w:pPr>
          </w:p>
        </w:tc>
      </w:tr>
      <w:tr>
        <w:trPr>
          <w:trHeight w:val="210"/>
        </w:trPr>
        <w:tc>
          <w:tcPr>
            <w:tcW w:w="4460" w:type="dxa"/>
            <w:vAlign w:val="bottom"/>
            <w:shd w:val="clear" w:color="auto" w:fill="D0EBF2"/>
          </w:tcPr>
          <w:p>
            <w:pPr>
              <w:spacing w:after="0" w:line="211" w:lineRule="exact"/>
              <w:rPr>
                <w:sz w:val="20"/>
                <w:szCs w:val="20"/>
                <w:color w:val="auto"/>
              </w:rPr>
            </w:pPr>
            <w:r>
              <w:rPr>
                <w:rFonts w:ascii="Times New Roman" w:cs="Times New Roman" w:eastAsia="Times New Roman" w:hAnsi="Times New Roman"/>
                <w:sz w:val="19"/>
                <w:szCs w:val="19"/>
                <w:color w:val="231F20"/>
              </w:rPr>
              <w:t>Tango Management Consulting, LLC - Delayed Draw &amp;</w:t>
            </w:r>
          </w:p>
        </w:tc>
        <w:tc>
          <w:tcPr>
            <w:tcW w:w="120" w:type="dxa"/>
            <w:vAlign w:val="bottom"/>
            <w:shd w:val="clear" w:color="auto" w:fill="D0EBF2"/>
          </w:tcPr>
          <w:p>
            <w:pPr>
              <w:spacing w:after="0"/>
              <w:rPr>
                <w:sz w:val="18"/>
                <w:szCs w:val="18"/>
                <w:color w:val="auto"/>
              </w:rPr>
            </w:pPr>
          </w:p>
        </w:tc>
        <w:tc>
          <w:tcPr>
            <w:tcW w:w="620" w:type="dxa"/>
            <w:vAlign w:val="bottom"/>
            <w:shd w:val="clear" w:color="auto" w:fill="D0EBF2"/>
          </w:tcPr>
          <w:p>
            <w:pPr>
              <w:spacing w:after="0"/>
              <w:rPr>
                <w:sz w:val="18"/>
                <w:szCs w:val="18"/>
                <w:color w:val="auto"/>
              </w:rPr>
            </w:pPr>
          </w:p>
        </w:tc>
        <w:tc>
          <w:tcPr>
            <w:tcW w:w="980" w:type="dxa"/>
            <w:vAlign w:val="bottom"/>
            <w:vMerge w:val="restart"/>
            <w:shd w:val="clear" w:color="auto" w:fill="D0EBF2"/>
          </w:tcPr>
          <w:p>
            <w:pPr>
              <w:jc w:val="right"/>
              <w:spacing w:after="0"/>
              <w:rPr>
                <w:sz w:val="20"/>
                <w:szCs w:val="20"/>
                <w:color w:val="auto"/>
              </w:rPr>
            </w:pPr>
            <w:r>
              <w:rPr>
                <w:rFonts w:ascii="Times New Roman" w:cs="Times New Roman" w:eastAsia="Times New Roman" w:hAnsi="Times New Roman"/>
                <w:sz w:val="19"/>
                <w:szCs w:val="19"/>
                <w:color w:val="231F20"/>
              </w:rPr>
              <w:t>1.5</w:t>
            </w:r>
          </w:p>
        </w:tc>
        <w:tc>
          <w:tcPr>
            <w:tcW w:w="180" w:type="dxa"/>
            <w:vAlign w:val="bottom"/>
            <w:shd w:val="clear" w:color="auto" w:fill="D0EBF2"/>
          </w:tcPr>
          <w:p>
            <w:pPr>
              <w:spacing w:after="0"/>
              <w:rPr>
                <w:sz w:val="18"/>
                <w:szCs w:val="18"/>
                <w:color w:val="auto"/>
              </w:rPr>
            </w:pPr>
          </w:p>
        </w:tc>
        <w:tc>
          <w:tcPr>
            <w:tcW w:w="680" w:type="dxa"/>
            <w:vAlign w:val="bottom"/>
            <w:shd w:val="clear" w:color="auto" w:fill="D0EBF2"/>
          </w:tcPr>
          <w:p>
            <w:pPr>
              <w:spacing w:after="0"/>
              <w:rPr>
                <w:sz w:val="18"/>
                <w:szCs w:val="18"/>
                <w:color w:val="auto"/>
              </w:rPr>
            </w:pPr>
          </w:p>
        </w:tc>
        <w:tc>
          <w:tcPr>
            <w:tcW w:w="1040" w:type="dxa"/>
            <w:vAlign w:val="bottom"/>
            <w:vMerge w:val="restart"/>
            <w:shd w:val="clear" w:color="auto" w:fill="D0EBF2"/>
          </w:tcPr>
          <w:p>
            <w:pPr>
              <w:jc w:val="right"/>
              <w:spacing w:after="0"/>
              <w:rPr>
                <w:sz w:val="20"/>
                <w:szCs w:val="20"/>
                <w:color w:val="auto"/>
              </w:rPr>
            </w:pPr>
            <w:r>
              <w:rPr>
                <w:rFonts w:ascii="Times New Roman" w:cs="Times New Roman" w:eastAsia="Times New Roman" w:hAnsi="Times New Roman"/>
                <w:sz w:val="19"/>
                <w:szCs w:val="19"/>
                <w:color w:val="231F20"/>
              </w:rPr>
              <w:t>11.0</w:t>
            </w:r>
          </w:p>
        </w:tc>
        <w:tc>
          <w:tcPr>
            <w:tcW w:w="80" w:type="dxa"/>
            <w:vAlign w:val="bottom"/>
            <w:shd w:val="clear" w:color="auto" w:fill="D0EBF2"/>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4460" w:type="dxa"/>
            <w:vAlign w:val="bottom"/>
            <w:shd w:val="clear" w:color="auto" w:fill="D0EBF2"/>
          </w:tcPr>
          <w:p>
            <w:pPr>
              <w:spacing w:after="0"/>
              <w:rPr>
                <w:sz w:val="20"/>
                <w:szCs w:val="20"/>
                <w:color w:val="auto"/>
              </w:rPr>
            </w:pPr>
            <w:r>
              <w:rPr>
                <w:rFonts w:ascii="Times New Roman" w:cs="Times New Roman" w:eastAsia="Times New Roman" w:hAnsi="Times New Roman"/>
                <w:sz w:val="19"/>
                <w:szCs w:val="19"/>
                <w:color w:val="231F20"/>
              </w:rPr>
              <w:t>Revolver</w:t>
            </w:r>
          </w:p>
        </w:tc>
        <w:tc>
          <w:tcPr>
            <w:tcW w:w="120" w:type="dxa"/>
            <w:vAlign w:val="bottom"/>
            <w:shd w:val="clear" w:color="auto" w:fill="D0EBF2"/>
          </w:tcPr>
          <w:p>
            <w:pPr>
              <w:spacing w:after="0"/>
              <w:rPr>
                <w:sz w:val="20"/>
                <w:szCs w:val="20"/>
                <w:color w:val="auto"/>
              </w:rPr>
            </w:pPr>
          </w:p>
        </w:tc>
        <w:tc>
          <w:tcPr>
            <w:tcW w:w="620" w:type="dxa"/>
            <w:vAlign w:val="bottom"/>
            <w:shd w:val="clear" w:color="auto" w:fill="D0EBF2"/>
          </w:tcPr>
          <w:p>
            <w:pPr>
              <w:spacing w:after="0"/>
              <w:rPr>
                <w:sz w:val="20"/>
                <w:szCs w:val="20"/>
                <w:color w:val="auto"/>
              </w:rPr>
            </w:pPr>
          </w:p>
        </w:tc>
        <w:tc>
          <w:tcPr>
            <w:tcW w:w="980" w:type="dxa"/>
            <w:vAlign w:val="bottom"/>
            <w:vMerge w:val="continue"/>
            <w:shd w:val="clear" w:color="auto" w:fill="D0EBF2"/>
          </w:tcPr>
          <w:p>
            <w:pPr>
              <w:spacing w:after="0"/>
              <w:rPr>
                <w:sz w:val="20"/>
                <w:szCs w:val="20"/>
                <w:color w:val="auto"/>
              </w:rPr>
            </w:pPr>
          </w:p>
        </w:tc>
        <w:tc>
          <w:tcPr>
            <w:tcW w:w="180" w:type="dxa"/>
            <w:vAlign w:val="bottom"/>
            <w:shd w:val="clear" w:color="auto" w:fill="D0EBF2"/>
          </w:tcPr>
          <w:p>
            <w:pPr>
              <w:spacing w:after="0"/>
              <w:rPr>
                <w:sz w:val="20"/>
                <w:szCs w:val="20"/>
                <w:color w:val="auto"/>
              </w:rPr>
            </w:pPr>
          </w:p>
        </w:tc>
        <w:tc>
          <w:tcPr>
            <w:tcW w:w="680" w:type="dxa"/>
            <w:vAlign w:val="bottom"/>
            <w:shd w:val="clear" w:color="auto" w:fill="D0EBF2"/>
          </w:tcPr>
          <w:p>
            <w:pPr>
              <w:spacing w:after="0"/>
              <w:rPr>
                <w:sz w:val="20"/>
                <w:szCs w:val="20"/>
                <w:color w:val="auto"/>
              </w:rPr>
            </w:pPr>
          </w:p>
        </w:tc>
        <w:tc>
          <w:tcPr>
            <w:tcW w:w="1040" w:type="dxa"/>
            <w:vAlign w:val="bottom"/>
            <w:vMerge w:val="continue"/>
            <w:shd w:val="clear" w:color="auto" w:fill="D0EBF2"/>
          </w:tcPr>
          <w:p>
            <w:pPr>
              <w:spacing w:after="0"/>
              <w:rPr>
                <w:sz w:val="20"/>
                <w:szCs w:val="20"/>
                <w:color w:val="auto"/>
              </w:rPr>
            </w:pPr>
          </w:p>
        </w:tc>
        <w:tc>
          <w:tcPr>
            <w:tcW w:w="80" w:type="dxa"/>
            <w:vAlign w:val="bottom"/>
            <w:shd w:val="clear" w:color="auto" w:fill="D0EBF2"/>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460" w:type="dxa"/>
            <w:vAlign w:val="bottom"/>
            <w:shd w:val="clear" w:color="auto" w:fill="FDFDFC"/>
          </w:tcPr>
          <w:p>
            <w:pPr>
              <w:spacing w:after="0"/>
              <w:rPr>
                <w:sz w:val="20"/>
                <w:szCs w:val="20"/>
                <w:color w:val="auto"/>
              </w:rPr>
            </w:pPr>
            <w:r>
              <w:rPr>
                <w:rFonts w:ascii="Times New Roman" w:cs="Times New Roman" w:eastAsia="Times New Roman" w:hAnsi="Times New Roman"/>
                <w:sz w:val="19"/>
                <w:szCs w:val="19"/>
                <w:color w:val="231F20"/>
              </w:rPr>
              <w:t>TradingScreen, Inc. - Revolver</w:t>
            </w:r>
          </w:p>
        </w:tc>
        <w:tc>
          <w:tcPr>
            <w:tcW w:w="120" w:type="dxa"/>
            <w:vAlign w:val="bottom"/>
            <w:shd w:val="clear" w:color="auto" w:fill="FDFDFC"/>
          </w:tcPr>
          <w:p>
            <w:pPr>
              <w:spacing w:after="0"/>
              <w:rPr>
                <w:sz w:val="20"/>
                <w:szCs w:val="20"/>
                <w:color w:val="auto"/>
              </w:rPr>
            </w:pPr>
          </w:p>
        </w:tc>
        <w:tc>
          <w:tcPr>
            <w:tcW w:w="620" w:type="dxa"/>
            <w:vAlign w:val="bottom"/>
            <w:shd w:val="clear" w:color="auto" w:fill="FDFDFC"/>
          </w:tcPr>
          <w:p>
            <w:pPr>
              <w:spacing w:after="0"/>
              <w:rPr>
                <w:sz w:val="20"/>
                <w:szCs w:val="20"/>
                <w:color w:val="auto"/>
              </w:rPr>
            </w:pPr>
          </w:p>
        </w:tc>
        <w:tc>
          <w:tcPr>
            <w:tcW w:w="980" w:type="dxa"/>
            <w:vAlign w:val="bottom"/>
            <w:shd w:val="clear" w:color="auto" w:fill="FDFDFC"/>
          </w:tcPr>
          <w:p>
            <w:pPr>
              <w:jc w:val="right"/>
              <w:spacing w:after="0"/>
              <w:rPr>
                <w:sz w:val="20"/>
                <w:szCs w:val="20"/>
                <w:color w:val="auto"/>
              </w:rPr>
            </w:pPr>
            <w:r>
              <w:rPr>
                <w:rFonts w:ascii="Times New Roman" w:cs="Times New Roman" w:eastAsia="Times New Roman" w:hAnsi="Times New Roman"/>
                <w:sz w:val="19"/>
                <w:szCs w:val="19"/>
                <w:color w:val="231F20"/>
              </w:rPr>
              <w:t>0.8</w:t>
            </w:r>
          </w:p>
        </w:tc>
        <w:tc>
          <w:tcPr>
            <w:tcW w:w="180" w:type="dxa"/>
            <w:vAlign w:val="bottom"/>
            <w:shd w:val="clear" w:color="auto" w:fill="FDFDFC"/>
          </w:tcPr>
          <w:p>
            <w:pPr>
              <w:spacing w:after="0"/>
              <w:rPr>
                <w:sz w:val="20"/>
                <w:szCs w:val="20"/>
                <w:color w:val="auto"/>
              </w:rPr>
            </w:pPr>
          </w:p>
        </w:tc>
        <w:tc>
          <w:tcPr>
            <w:tcW w:w="680" w:type="dxa"/>
            <w:vAlign w:val="bottom"/>
            <w:shd w:val="clear" w:color="auto" w:fill="FDFDFC"/>
          </w:tcPr>
          <w:p>
            <w:pPr>
              <w:spacing w:after="0"/>
              <w:rPr>
                <w:sz w:val="20"/>
                <w:szCs w:val="20"/>
                <w:color w:val="auto"/>
              </w:rPr>
            </w:pPr>
          </w:p>
        </w:tc>
        <w:tc>
          <w:tcPr>
            <w:tcW w:w="1120" w:type="dxa"/>
            <w:vAlign w:val="bottom"/>
            <w:gridSpan w:val="2"/>
            <w:shd w:val="clear" w:color="auto" w:fill="FDFDFC"/>
          </w:tcPr>
          <w:p>
            <w:pPr>
              <w:jc w:val="right"/>
              <w:ind w:right="100"/>
              <w:spacing w:after="0"/>
              <w:rPr>
                <w:sz w:val="20"/>
                <w:szCs w:val="20"/>
                <w:color w:val="auto"/>
              </w:rPr>
            </w:pPr>
            <w:r>
              <w:rPr>
                <w:rFonts w:ascii="Times New Roman" w:cs="Times New Roman" w:eastAsia="Times New Roman" w:hAnsi="Times New Roman"/>
                <w:sz w:val="19"/>
                <w:szCs w:val="19"/>
                <w:color w:val="231F20"/>
              </w:rPr>
              <w:t>—</w:t>
            </w:r>
          </w:p>
        </w:tc>
        <w:tc>
          <w:tcPr>
            <w:tcW w:w="0" w:type="dxa"/>
            <w:vAlign w:val="bottom"/>
          </w:tcPr>
          <w:p>
            <w:pPr>
              <w:spacing w:after="0"/>
              <w:rPr>
                <w:sz w:val="1"/>
                <w:szCs w:val="1"/>
                <w:color w:val="auto"/>
              </w:rPr>
            </w:pPr>
          </w:p>
        </w:tc>
      </w:tr>
      <w:tr>
        <w:trPr>
          <w:trHeight w:val="230"/>
        </w:trPr>
        <w:tc>
          <w:tcPr>
            <w:tcW w:w="4460" w:type="dxa"/>
            <w:vAlign w:val="bottom"/>
            <w:shd w:val="clear" w:color="auto" w:fill="D0EBF2"/>
          </w:tcPr>
          <w:p>
            <w:pPr>
              <w:spacing w:after="0"/>
              <w:rPr>
                <w:sz w:val="20"/>
                <w:szCs w:val="20"/>
                <w:color w:val="auto"/>
              </w:rPr>
            </w:pPr>
            <w:r>
              <w:rPr>
                <w:rFonts w:ascii="Times New Roman" w:cs="Times New Roman" w:eastAsia="Times New Roman" w:hAnsi="Times New Roman"/>
                <w:sz w:val="19"/>
                <w:szCs w:val="19"/>
                <w:color w:val="231F20"/>
              </w:rPr>
              <w:t>TRP Assets, LLC - Delayed Draw</w:t>
            </w:r>
          </w:p>
        </w:tc>
        <w:tc>
          <w:tcPr>
            <w:tcW w:w="120" w:type="dxa"/>
            <w:vAlign w:val="bottom"/>
            <w:shd w:val="clear" w:color="auto" w:fill="D0EBF2"/>
          </w:tcPr>
          <w:p>
            <w:pPr>
              <w:spacing w:after="0"/>
              <w:rPr>
                <w:sz w:val="20"/>
                <w:szCs w:val="20"/>
                <w:color w:val="auto"/>
              </w:rPr>
            </w:pPr>
          </w:p>
        </w:tc>
        <w:tc>
          <w:tcPr>
            <w:tcW w:w="620" w:type="dxa"/>
            <w:vAlign w:val="bottom"/>
            <w:shd w:val="clear" w:color="auto" w:fill="D0EBF2"/>
          </w:tcPr>
          <w:p>
            <w:pPr>
              <w:spacing w:after="0"/>
              <w:rPr>
                <w:sz w:val="20"/>
                <w:szCs w:val="20"/>
                <w:color w:val="auto"/>
              </w:rPr>
            </w:pPr>
          </w:p>
        </w:tc>
        <w:tc>
          <w:tcPr>
            <w:tcW w:w="980" w:type="dxa"/>
            <w:vAlign w:val="bottom"/>
            <w:shd w:val="clear" w:color="auto" w:fill="D0EBF2"/>
          </w:tcPr>
          <w:p>
            <w:pPr>
              <w:jc w:val="right"/>
              <w:spacing w:after="0"/>
              <w:rPr>
                <w:sz w:val="20"/>
                <w:szCs w:val="20"/>
                <w:color w:val="auto"/>
              </w:rPr>
            </w:pPr>
            <w:r>
              <w:rPr>
                <w:rFonts w:ascii="Times New Roman" w:cs="Times New Roman" w:eastAsia="Times New Roman" w:hAnsi="Times New Roman"/>
                <w:sz w:val="19"/>
                <w:szCs w:val="19"/>
                <w:color w:val="231F20"/>
              </w:rPr>
              <w:t>10.2</w:t>
            </w:r>
          </w:p>
        </w:tc>
        <w:tc>
          <w:tcPr>
            <w:tcW w:w="180" w:type="dxa"/>
            <w:vAlign w:val="bottom"/>
            <w:shd w:val="clear" w:color="auto" w:fill="D0EBF2"/>
          </w:tcPr>
          <w:p>
            <w:pPr>
              <w:spacing w:after="0"/>
              <w:rPr>
                <w:sz w:val="20"/>
                <w:szCs w:val="20"/>
                <w:color w:val="auto"/>
              </w:rPr>
            </w:pPr>
          </w:p>
        </w:tc>
        <w:tc>
          <w:tcPr>
            <w:tcW w:w="680" w:type="dxa"/>
            <w:vAlign w:val="bottom"/>
            <w:shd w:val="clear" w:color="auto" w:fill="D0EBF2"/>
          </w:tcPr>
          <w:p>
            <w:pPr>
              <w:spacing w:after="0"/>
              <w:rPr>
                <w:sz w:val="20"/>
                <w:szCs w:val="20"/>
                <w:color w:val="auto"/>
              </w:rPr>
            </w:pPr>
          </w:p>
        </w:tc>
        <w:tc>
          <w:tcPr>
            <w:tcW w:w="1040" w:type="dxa"/>
            <w:vAlign w:val="bottom"/>
            <w:shd w:val="clear" w:color="auto" w:fill="D0EBF2"/>
          </w:tcPr>
          <w:p>
            <w:pPr>
              <w:jc w:val="right"/>
              <w:spacing w:after="0"/>
              <w:rPr>
                <w:sz w:val="20"/>
                <w:szCs w:val="20"/>
                <w:color w:val="auto"/>
              </w:rPr>
            </w:pPr>
            <w:r>
              <w:rPr>
                <w:rFonts w:ascii="Times New Roman" w:cs="Times New Roman" w:eastAsia="Times New Roman" w:hAnsi="Times New Roman"/>
                <w:sz w:val="19"/>
                <w:szCs w:val="19"/>
                <w:color w:val="231F20"/>
              </w:rPr>
              <w:t>1.0</w:t>
            </w:r>
          </w:p>
        </w:tc>
        <w:tc>
          <w:tcPr>
            <w:tcW w:w="80" w:type="dxa"/>
            <w:vAlign w:val="bottom"/>
            <w:shd w:val="clear" w:color="auto" w:fill="D0EBF2"/>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460" w:type="dxa"/>
            <w:vAlign w:val="bottom"/>
            <w:shd w:val="clear" w:color="auto" w:fill="FDFDFC"/>
          </w:tcPr>
          <w:p>
            <w:pPr>
              <w:spacing w:after="0"/>
              <w:rPr>
                <w:sz w:val="20"/>
                <w:szCs w:val="20"/>
                <w:color w:val="auto"/>
              </w:rPr>
            </w:pPr>
            <w:r>
              <w:rPr>
                <w:rFonts w:ascii="Times New Roman" w:cs="Times New Roman" w:eastAsia="Times New Roman" w:hAnsi="Times New Roman"/>
                <w:sz w:val="19"/>
                <w:szCs w:val="19"/>
                <w:color w:val="231F20"/>
              </w:rPr>
              <w:t>Truck-Lite Co., LLC - Delayed Draw &amp; Revolver</w:t>
            </w:r>
          </w:p>
        </w:tc>
        <w:tc>
          <w:tcPr>
            <w:tcW w:w="120" w:type="dxa"/>
            <w:vAlign w:val="bottom"/>
            <w:shd w:val="clear" w:color="auto" w:fill="FDFDFC"/>
          </w:tcPr>
          <w:p>
            <w:pPr>
              <w:spacing w:after="0"/>
              <w:rPr>
                <w:sz w:val="20"/>
                <w:szCs w:val="20"/>
                <w:color w:val="auto"/>
              </w:rPr>
            </w:pPr>
          </w:p>
        </w:tc>
        <w:tc>
          <w:tcPr>
            <w:tcW w:w="620" w:type="dxa"/>
            <w:vAlign w:val="bottom"/>
            <w:shd w:val="clear" w:color="auto" w:fill="FDFDFC"/>
          </w:tcPr>
          <w:p>
            <w:pPr>
              <w:spacing w:after="0"/>
              <w:rPr>
                <w:sz w:val="20"/>
                <w:szCs w:val="20"/>
                <w:color w:val="auto"/>
              </w:rPr>
            </w:pPr>
          </w:p>
        </w:tc>
        <w:tc>
          <w:tcPr>
            <w:tcW w:w="980" w:type="dxa"/>
            <w:vAlign w:val="bottom"/>
            <w:shd w:val="clear" w:color="auto" w:fill="FDFDFC"/>
          </w:tcPr>
          <w:p>
            <w:pPr>
              <w:jc w:val="right"/>
              <w:spacing w:after="0"/>
              <w:rPr>
                <w:sz w:val="20"/>
                <w:szCs w:val="20"/>
                <w:color w:val="auto"/>
              </w:rPr>
            </w:pPr>
            <w:r>
              <w:rPr>
                <w:rFonts w:ascii="Times New Roman" w:cs="Times New Roman" w:eastAsia="Times New Roman" w:hAnsi="Times New Roman"/>
                <w:sz w:val="19"/>
                <w:szCs w:val="19"/>
                <w:color w:val="231F20"/>
              </w:rPr>
              <w:t>8.7</w:t>
            </w:r>
          </w:p>
        </w:tc>
        <w:tc>
          <w:tcPr>
            <w:tcW w:w="180" w:type="dxa"/>
            <w:vAlign w:val="bottom"/>
            <w:shd w:val="clear" w:color="auto" w:fill="FDFDFC"/>
          </w:tcPr>
          <w:p>
            <w:pPr>
              <w:spacing w:after="0"/>
              <w:rPr>
                <w:sz w:val="20"/>
                <w:szCs w:val="20"/>
                <w:color w:val="auto"/>
              </w:rPr>
            </w:pPr>
          </w:p>
        </w:tc>
        <w:tc>
          <w:tcPr>
            <w:tcW w:w="680" w:type="dxa"/>
            <w:vAlign w:val="bottom"/>
            <w:shd w:val="clear" w:color="auto" w:fill="FDFDFC"/>
          </w:tcPr>
          <w:p>
            <w:pPr>
              <w:spacing w:after="0"/>
              <w:rPr>
                <w:sz w:val="20"/>
                <w:szCs w:val="20"/>
                <w:color w:val="auto"/>
              </w:rPr>
            </w:pPr>
          </w:p>
        </w:tc>
        <w:tc>
          <w:tcPr>
            <w:tcW w:w="1120" w:type="dxa"/>
            <w:vAlign w:val="bottom"/>
            <w:gridSpan w:val="2"/>
            <w:shd w:val="clear" w:color="auto" w:fill="FDFDFC"/>
          </w:tcPr>
          <w:p>
            <w:pPr>
              <w:jc w:val="right"/>
              <w:ind w:right="100"/>
              <w:spacing w:after="0"/>
              <w:rPr>
                <w:sz w:val="20"/>
                <w:szCs w:val="20"/>
                <w:color w:val="auto"/>
              </w:rPr>
            </w:pPr>
            <w:r>
              <w:rPr>
                <w:rFonts w:ascii="Times New Roman" w:cs="Times New Roman" w:eastAsia="Times New Roman" w:hAnsi="Times New Roman"/>
                <w:sz w:val="19"/>
                <w:szCs w:val="19"/>
                <w:color w:val="231F20"/>
              </w:rPr>
              <w:t>—</w:t>
            </w:r>
          </w:p>
        </w:tc>
        <w:tc>
          <w:tcPr>
            <w:tcW w:w="0" w:type="dxa"/>
            <w:vAlign w:val="bottom"/>
          </w:tcPr>
          <w:p>
            <w:pPr>
              <w:spacing w:after="0"/>
              <w:rPr>
                <w:sz w:val="1"/>
                <w:szCs w:val="1"/>
                <w:color w:val="auto"/>
              </w:rPr>
            </w:pPr>
          </w:p>
        </w:tc>
      </w:tr>
      <w:tr>
        <w:trPr>
          <w:trHeight w:val="230"/>
        </w:trPr>
        <w:tc>
          <w:tcPr>
            <w:tcW w:w="4460" w:type="dxa"/>
            <w:vAlign w:val="bottom"/>
            <w:shd w:val="clear" w:color="auto" w:fill="D0EBF2"/>
          </w:tcPr>
          <w:p>
            <w:pPr>
              <w:spacing w:after="0"/>
              <w:rPr>
                <w:sz w:val="20"/>
                <w:szCs w:val="20"/>
                <w:color w:val="auto"/>
              </w:rPr>
            </w:pPr>
            <w:r>
              <w:rPr>
                <w:rFonts w:ascii="Times New Roman" w:cs="Times New Roman" w:eastAsia="Times New Roman" w:hAnsi="Times New Roman"/>
                <w:sz w:val="19"/>
                <w:szCs w:val="19"/>
                <w:color w:val="231F20"/>
              </w:rPr>
              <w:t>USA Debusk LLC - Delayed Draw &amp; Revolver</w:t>
            </w:r>
          </w:p>
        </w:tc>
        <w:tc>
          <w:tcPr>
            <w:tcW w:w="120" w:type="dxa"/>
            <w:vAlign w:val="bottom"/>
            <w:shd w:val="clear" w:color="auto" w:fill="D0EBF2"/>
          </w:tcPr>
          <w:p>
            <w:pPr>
              <w:spacing w:after="0"/>
              <w:rPr>
                <w:sz w:val="20"/>
                <w:szCs w:val="20"/>
                <w:color w:val="auto"/>
              </w:rPr>
            </w:pPr>
          </w:p>
        </w:tc>
        <w:tc>
          <w:tcPr>
            <w:tcW w:w="620" w:type="dxa"/>
            <w:vAlign w:val="bottom"/>
            <w:shd w:val="clear" w:color="auto" w:fill="D0EBF2"/>
          </w:tcPr>
          <w:p>
            <w:pPr>
              <w:spacing w:after="0"/>
              <w:rPr>
                <w:sz w:val="20"/>
                <w:szCs w:val="20"/>
                <w:color w:val="auto"/>
              </w:rPr>
            </w:pPr>
          </w:p>
        </w:tc>
        <w:tc>
          <w:tcPr>
            <w:tcW w:w="980" w:type="dxa"/>
            <w:vAlign w:val="bottom"/>
            <w:shd w:val="clear" w:color="auto" w:fill="D0EBF2"/>
          </w:tcPr>
          <w:p>
            <w:pPr>
              <w:jc w:val="right"/>
              <w:spacing w:after="0"/>
              <w:rPr>
                <w:sz w:val="20"/>
                <w:szCs w:val="20"/>
                <w:color w:val="auto"/>
              </w:rPr>
            </w:pPr>
            <w:r>
              <w:rPr>
                <w:rFonts w:ascii="Times New Roman" w:cs="Times New Roman" w:eastAsia="Times New Roman" w:hAnsi="Times New Roman"/>
                <w:sz w:val="19"/>
                <w:szCs w:val="19"/>
                <w:color w:val="231F20"/>
              </w:rPr>
              <w:t>2.8</w:t>
            </w:r>
          </w:p>
        </w:tc>
        <w:tc>
          <w:tcPr>
            <w:tcW w:w="180" w:type="dxa"/>
            <w:vAlign w:val="bottom"/>
            <w:shd w:val="clear" w:color="auto" w:fill="D0EBF2"/>
          </w:tcPr>
          <w:p>
            <w:pPr>
              <w:spacing w:after="0"/>
              <w:rPr>
                <w:sz w:val="20"/>
                <w:szCs w:val="20"/>
                <w:color w:val="auto"/>
              </w:rPr>
            </w:pPr>
          </w:p>
        </w:tc>
        <w:tc>
          <w:tcPr>
            <w:tcW w:w="680" w:type="dxa"/>
            <w:vAlign w:val="bottom"/>
            <w:shd w:val="clear" w:color="auto" w:fill="D0EBF2"/>
          </w:tcPr>
          <w:p>
            <w:pPr>
              <w:spacing w:after="0"/>
              <w:rPr>
                <w:sz w:val="20"/>
                <w:szCs w:val="20"/>
                <w:color w:val="auto"/>
              </w:rPr>
            </w:pPr>
          </w:p>
        </w:tc>
        <w:tc>
          <w:tcPr>
            <w:tcW w:w="1120" w:type="dxa"/>
            <w:vAlign w:val="bottom"/>
            <w:gridSpan w:val="2"/>
            <w:shd w:val="clear" w:color="auto" w:fill="D0EBF2"/>
          </w:tcPr>
          <w:p>
            <w:pPr>
              <w:jc w:val="right"/>
              <w:ind w:right="100"/>
              <w:spacing w:after="0"/>
              <w:rPr>
                <w:sz w:val="20"/>
                <w:szCs w:val="20"/>
                <w:color w:val="auto"/>
              </w:rPr>
            </w:pPr>
            <w:r>
              <w:rPr>
                <w:rFonts w:ascii="Times New Roman" w:cs="Times New Roman" w:eastAsia="Times New Roman" w:hAnsi="Times New Roman"/>
                <w:sz w:val="19"/>
                <w:szCs w:val="19"/>
                <w:color w:val="231F20"/>
              </w:rPr>
              <w:t>—</w:t>
            </w:r>
          </w:p>
        </w:tc>
        <w:tc>
          <w:tcPr>
            <w:tcW w:w="0" w:type="dxa"/>
            <w:vAlign w:val="bottom"/>
          </w:tcPr>
          <w:p>
            <w:pPr>
              <w:spacing w:after="0"/>
              <w:rPr>
                <w:sz w:val="1"/>
                <w:szCs w:val="1"/>
                <w:color w:val="auto"/>
              </w:rPr>
            </w:pPr>
          </w:p>
        </w:tc>
      </w:tr>
      <w:tr>
        <w:trPr>
          <w:trHeight w:val="230"/>
        </w:trPr>
        <w:tc>
          <w:tcPr>
            <w:tcW w:w="4460" w:type="dxa"/>
            <w:vAlign w:val="bottom"/>
            <w:shd w:val="clear" w:color="auto" w:fill="FDFDFC"/>
          </w:tcPr>
          <w:p>
            <w:pPr>
              <w:spacing w:after="0"/>
              <w:rPr>
                <w:sz w:val="20"/>
                <w:szCs w:val="20"/>
                <w:color w:val="auto"/>
              </w:rPr>
            </w:pPr>
            <w:r>
              <w:rPr>
                <w:rFonts w:ascii="Times New Roman" w:cs="Times New Roman" w:eastAsia="Times New Roman" w:hAnsi="Times New Roman"/>
                <w:sz w:val="19"/>
                <w:szCs w:val="19"/>
                <w:color w:val="231F20"/>
              </w:rPr>
              <w:t>Varinem German Bidco GmbH - Delayed Draw</w:t>
            </w:r>
          </w:p>
        </w:tc>
        <w:tc>
          <w:tcPr>
            <w:tcW w:w="120" w:type="dxa"/>
            <w:vAlign w:val="bottom"/>
            <w:shd w:val="clear" w:color="auto" w:fill="FDFDFC"/>
          </w:tcPr>
          <w:p>
            <w:pPr>
              <w:spacing w:after="0"/>
              <w:rPr>
                <w:sz w:val="20"/>
                <w:szCs w:val="20"/>
                <w:color w:val="auto"/>
              </w:rPr>
            </w:pPr>
          </w:p>
        </w:tc>
        <w:tc>
          <w:tcPr>
            <w:tcW w:w="620" w:type="dxa"/>
            <w:vAlign w:val="bottom"/>
            <w:shd w:val="clear" w:color="auto" w:fill="FDFDFC"/>
          </w:tcPr>
          <w:p>
            <w:pPr>
              <w:spacing w:after="0"/>
              <w:rPr>
                <w:sz w:val="20"/>
                <w:szCs w:val="20"/>
                <w:color w:val="auto"/>
              </w:rPr>
            </w:pPr>
          </w:p>
        </w:tc>
        <w:tc>
          <w:tcPr>
            <w:tcW w:w="980" w:type="dxa"/>
            <w:vAlign w:val="bottom"/>
            <w:shd w:val="clear" w:color="auto" w:fill="FDFDFC"/>
          </w:tcPr>
          <w:p>
            <w:pPr>
              <w:jc w:val="right"/>
              <w:spacing w:after="0"/>
              <w:rPr>
                <w:sz w:val="20"/>
                <w:szCs w:val="20"/>
                <w:color w:val="auto"/>
              </w:rPr>
            </w:pPr>
            <w:r>
              <w:rPr>
                <w:rFonts w:ascii="Times New Roman" w:cs="Times New Roman" w:eastAsia="Times New Roman" w:hAnsi="Times New Roman"/>
                <w:sz w:val="19"/>
                <w:szCs w:val="19"/>
                <w:color w:val="231F20"/>
              </w:rPr>
              <w:t>3.6</w:t>
            </w:r>
          </w:p>
        </w:tc>
        <w:tc>
          <w:tcPr>
            <w:tcW w:w="180" w:type="dxa"/>
            <w:vAlign w:val="bottom"/>
            <w:shd w:val="clear" w:color="auto" w:fill="FDFDFC"/>
          </w:tcPr>
          <w:p>
            <w:pPr>
              <w:spacing w:after="0"/>
              <w:rPr>
                <w:sz w:val="20"/>
                <w:szCs w:val="20"/>
                <w:color w:val="auto"/>
              </w:rPr>
            </w:pPr>
          </w:p>
        </w:tc>
        <w:tc>
          <w:tcPr>
            <w:tcW w:w="680" w:type="dxa"/>
            <w:vAlign w:val="bottom"/>
            <w:shd w:val="clear" w:color="auto" w:fill="FDFDFC"/>
          </w:tcPr>
          <w:p>
            <w:pPr>
              <w:spacing w:after="0"/>
              <w:rPr>
                <w:sz w:val="20"/>
                <w:szCs w:val="20"/>
                <w:color w:val="auto"/>
              </w:rPr>
            </w:pPr>
          </w:p>
        </w:tc>
        <w:tc>
          <w:tcPr>
            <w:tcW w:w="1120" w:type="dxa"/>
            <w:vAlign w:val="bottom"/>
            <w:gridSpan w:val="2"/>
            <w:shd w:val="clear" w:color="auto" w:fill="FDFDFC"/>
          </w:tcPr>
          <w:p>
            <w:pPr>
              <w:jc w:val="right"/>
              <w:ind w:right="100"/>
              <w:spacing w:after="0"/>
              <w:rPr>
                <w:sz w:val="20"/>
                <w:szCs w:val="20"/>
                <w:color w:val="auto"/>
              </w:rPr>
            </w:pPr>
            <w:r>
              <w:rPr>
                <w:rFonts w:ascii="Times New Roman" w:cs="Times New Roman" w:eastAsia="Times New Roman" w:hAnsi="Times New Roman"/>
                <w:sz w:val="19"/>
                <w:szCs w:val="19"/>
                <w:color w:val="231F20"/>
              </w:rPr>
              <w:t>—</w:t>
            </w:r>
          </w:p>
        </w:tc>
        <w:tc>
          <w:tcPr>
            <w:tcW w:w="0" w:type="dxa"/>
            <w:vAlign w:val="bottom"/>
          </w:tcPr>
          <w:p>
            <w:pPr>
              <w:spacing w:after="0"/>
              <w:rPr>
                <w:sz w:val="1"/>
                <w:szCs w:val="1"/>
                <w:color w:val="auto"/>
              </w:rPr>
            </w:pPr>
          </w:p>
        </w:tc>
      </w:tr>
      <w:tr>
        <w:trPr>
          <w:trHeight w:val="230"/>
        </w:trPr>
        <w:tc>
          <w:tcPr>
            <w:tcW w:w="4460" w:type="dxa"/>
            <w:vAlign w:val="bottom"/>
            <w:tcBorders>
              <w:bottom w:val="single" w:sz="8" w:color="FDFDFC"/>
            </w:tcBorders>
            <w:shd w:val="clear" w:color="auto" w:fill="D0EBF2"/>
          </w:tcPr>
          <w:p>
            <w:pPr>
              <w:spacing w:after="0"/>
              <w:rPr>
                <w:sz w:val="20"/>
                <w:szCs w:val="20"/>
                <w:color w:val="auto"/>
              </w:rPr>
            </w:pPr>
            <w:r>
              <w:rPr>
                <w:rFonts w:ascii="Times New Roman" w:cs="Times New Roman" w:eastAsia="Times New Roman" w:hAnsi="Times New Roman"/>
                <w:sz w:val="19"/>
                <w:szCs w:val="19"/>
                <w:color w:val="231F20"/>
              </w:rPr>
              <w:t>Wrangler Topco, LLC - Delayed Draw &amp; Revolver</w:t>
            </w:r>
          </w:p>
        </w:tc>
        <w:tc>
          <w:tcPr>
            <w:tcW w:w="120" w:type="dxa"/>
            <w:vAlign w:val="bottom"/>
            <w:tcBorders>
              <w:bottom w:val="single" w:sz="8" w:color="FDFDFC"/>
            </w:tcBorders>
            <w:shd w:val="clear" w:color="auto" w:fill="D0EBF2"/>
          </w:tcPr>
          <w:p>
            <w:pPr>
              <w:spacing w:after="0"/>
              <w:rPr>
                <w:sz w:val="20"/>
                <w:szCs w:val="20"/>
                <w:color w:val="auto"/>
              </w:rPr>
            </w:pPr>
          </w:p>
        </w:tc>
        <w:tc>
          <w:tcPr>
            <w:tcW w:w="620" w:type="dxa"/>
            <w:vAlign w:val="bottom"/>
            <w:tcBorders>
              <w:bottom w:val="single" w:sz="8" w:color="231F20"/>
            </w:tcBorders>
            <w:shd w:val="clear" w:color="auto" w:fill="D0EBF2"/>
          </w:tcPr>
          <w:p>
            <w:pPr>
              <w:spacing w:after="0"/>
              <w:rPr>
                <w:sz w:val="20"/>
                <w:szCs w:val="20"/>
                <w:color w:val="auto"/>
              </w:rPr>
            </w:pPr>
          </w:p>
        </w:tc>
        <w:tc>
          <w:tcPr>
            <w:tcW w:w="980" w:type="dxa"/>
            <w:vAlign w:val="bottom"/>
            <w:tcBorders>
              <w:bottom w:val="single" w:sz="8" w:color="231F20"/>
            </w:tcBorders>
            <w:shd w:val="clear" w:color="auto" w:fill="D0EBF2"/>
          </w:tcPr>
          <w:p>
            <w:pPr>
              <w:jc w:val="right"/>
              <w:spacing w:after="0"/>
              <w:rPr>
                <w:sz w:val="20"/>
                <w:szCs w:val="20"/>
                <w:color w:val="auto"/>
              </w:rPr>
            </w:pPr>
            <w:r>
              <w:rPr>
                <w:rFonts w:ascii="Times New Roman" w:cs="Times New Roman" w:eastAsia="Times New Roman" w:hAnsi="Times New Roman"/>
                <w:sz w:val="19"/>
                <w:szCs w:val="19"/>
                <w:color w:val="231F20"/>
              </w:rPr>
              <w:t>1.4</w:t>
            </w:r>
          </w:p>
        </w:tc>
        <w:tc>
          <w:tcPr>
            <w:tcW w:w="180" w:type="dxa"/>
            <w:vAlign w:val="bottom"/>
            <w:tcBorders>
              <w:bottom w:val="single" w:sz="8" w:color="FDFDFC"/>
            </w:tcBorders>
            <w:shd w:val="clear" w:color="auto" w:fill="D0EBF2"/>
          </w:tcPr>
          <w:p>
            <w:pPr>
              <w:spacing w:after="0"/>
              <w:rPr>
                <w:sz w:val="20"/>
                <w:szCs w:val="20"/>
                <w:color w:val="auto"/>
              </w:rPr>
            </w:pPr>
          </w:p>
        </w:tc>
        <w:tc>
          <w:tcPr>
            <w:tcW w:w="680" w:type="dxa"/>
            <w:vAlign w:val="bottom"/>
            <w:tcBorders>
              <w:bottom w:val="single" w:sz="8" w:color="231F20"/>
            </w:tcBorders>
            <w:shd w:val="clear" w:color="auto" w:fill="D0EBF2"/>
          </w:tcPr>
          <w:p>
            <w:pPr>
              <w:spacing w:after="0"/>
              <w:rPr>
                <w:sz w:val="20"/>
                <w:szCs w:val="20"/>
                <w:color w:val="auto"/>
              </w:rPr>
            </w:pPr>
          </w:p>
        </w:tc>
        <w:tc>
          <w:tcPr>
            <w:tcW w:w="1040" w:type="dxa"/>
            <w:vAlign w:val="bottom"/>
            <w:tcBorders>
              <w:bottom w:val="single" w:sz="8" w:color="231F20"/>
            </w:tcBorders>
            <w:shd w:val="clear" w:color="auto" w:fill="D0EBF2"/>
          </w:tcPr>
          <w:p>
            <w:pPr>
              <w:jc w:val="right"/>
              <w:spacing w:after="0"/>
              <w:rPr>
                <w:sz w:val="20"/>
                <w:szCs w:val="20"/>
                <w:color w:val="auto"/>
              </w:rPr>
            </w:pPr>
            <w:r>
              <w:rPr>
                <w:rFonts w:ascii="Times New Roman" w:cs="Times New Roman" w:eastAsia="Times New Roman" w:hAnsi="Times New Roman"/>
                <w:sz w:val="19"/>
                <w:szCs w:val="19"/>
                <w:color w:val="231F20"/>
              </w:rPr>
              <w:t>0.4</w:t>
            </w:r>
          </w:p>
        </w:tc>
        <w:tc>
          <w:tcPr>
            <w:tcW w:w="80" w:type="dxa"/>
            <w:vAlign w:val="bottom"/>
            <w:tcBorders>
              <w:bottom w:val="single" w:sz="8" w:color="FDFDFC"/>
            </w:tcBorders>
            <w:shd w:val="clear" w:color="auto" w:fill="D0EBF2"/>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4460" w:type="dxa"/>
            <w:vAlign w:val="bottom"/>
            <w:shd w:val="clear" w:color="auto" w:fill="FDFDFC"/>
          </w:tcPr>
          <w:p>
            <w:pPr>
              <w:ind w:left="100"/>
              <w:spacing w:after="0" w:line="220" w:lineRule="exact"/>
              <w:rPr>
                <w:sz w:val="20"/>
                <w:szCs w:val="20"/>
                <w:color w:val="auto"/>
              </w:rPr>
            </w:pPr>
            <w:r>
              <w:rPr>
                <w:rFonts w:ascii="Times New Roman" w:cs="Times New Roman" w:eastAsia="Times New Roman" w:hAnsi="Times New Roman"/>
                <w:sz w:val="19"/>
                <w:szCs w:val="19"/>
                <w:b w:val="1"/>
                <w:bCs w:val="1"/>
                <w:color w:val="231F20"/>
              </w:rPr>
              <w:t xml:space="preserve">Total Portfolio Company Commitments </w:t>
            </w:r>
            <w:r>
              <w:rPr>
                <w:rFonts w:ascii="Times New Roman" w:cs="Times New Roman" w:eastAsia="Times New Roman" w:hAnsi="Times New Roman"/>
                <w:sz w:val="24"/>
                <w:szCs w:val="24"/>
                <w:b w:val="1"/>
                <w:bCs w:val="1"/>
                <w:color w:val="231F20"/>
                <w:vertAlign w:val="superscript"/>
              </w:rPr>
              <w:t>(1)(2)</w:t>
            </w:r>
          </w:p>
        </w:tc>
        <w:tc>
          <w:tcPr>
            <w:tcW w:w="120" w:type="dxa"/>
            <w:vAlign w:val="bottom"/>
            <w:shd w:val="clear" w:color="auto" w:fill="FDFDFC"/>
          </w:tcPr>
          <w:p>
            <w:pPr>
              <w:spacing w:after="0"/>
              <w:rPr>
                <w:sz w:val="19"/>
                <w:szCs w:val="19"/>
                <w:color w:val="auto"/>
              </w:rPr>
            </w:pPr>
          </w:p>
        </w:tc>
        <w:tc>
          <w:tcPr>
            <w:tcW w:w="620" w:type="dxa"/>
            <w:vAlign w:val="bottom"/>
            <w:tcBorders>
              <w:bottom w:val="single" w:sz="8" w:color="231F20"/>
            </w:tcBorders>
            <w:shd w:val="clear" w:color="auto" w:fill="FDFDFC"/>
          </w:tcPr>
          <w:p>
            <w:pPr>
              <w:jc w:val="right"/>
              <w:ind w:right="456"/>
              <w:spacing w:after="0"/>
              <w:rPr>
                <w:sz w:val="20"/>
                <w:szCs w:val="20"/>
                <w:color w:val="auto"/>
              </w:rPr>
            </w:pPr>
            <w:r>
              <w:rPr>
                <w:rFonts w:ascii="Times New Roman" w:cs="Times New Roman" w:eastAsia="Times New Roman" w:hAnsi="Times New Roman"/>
                <w:sz w:val="17"/>
                <w:szCs w:val="17"/>
                <w:color w:val="231F20"/>
                <w:w w:val="70"/>
              </w:rPr>
              <w:t>$</w:t>
            </w:r>
          </w:p>
        </w:tc>
        <w:tc>
          <w:tcPr>
            <w:tcW w:w="980" w:type="dxa"/>
            <w:vAlign w:val="bottom"/>
            <w:tcBorders>
              <w:bottom w:val="single" w:sz="8" w:color="231F20"/>
            </w:tcBorders>
            <w:shd w:val="clear" w:color="auto" w:fill="FDFDFC"/>
          </w:tcPr>
          <w:p>
            <w:pPr>
              <w:jc w:val="right"/>
              <w:spacing w:after="0"/>
              <w:rPr>
                <w:sz w:val="20"/>
                <w:szCs w:val="20"/>
                <w:color w:val="auto"/>
              </w:rPr>
            </w:pPr>
            <w:r>
              <w:rPr>
                <w:rFonts w:ascii="Times New Roman" w:cs="Times New Roman" w:eastAsia="Times New Roman" w:hAnsi="Times New Roman"/>
                <w:sz w:val="19"/>
                <w:szCs w:val="19"/>
                <w:color w:val="231F20"/>
              </w:rPr>
              <w:t>356.3</w:t>
            </w:r>
          </w:p>
        </w:tc>
        <w:tc>
          <w:tcPr>
            <w:tcW w:w="180" w:type="dxa"/>
            <w:vAlign w:val="bottom"/>
            <w:shd w:val="clear" w:color="auto" w:fill="FDFDFC"/>
          </w:tcPr>
          <w:p>
            <w:pPr>
              <w:spacing w:after="0"/>
              <w:rPr>
                <w:sz w:val="19"/>
                <w:szCs w:val="19"/>
                <w:color w:val="auto"/>
              </w:rPr>
            </w:pPr>
          </w:p>
        </w:tc>
        <w:tc>
          <w:tcPr>
            <w:tcW w:w="680" w:type="dxa"/>
            <w:vAlign w:val="bottom"/>
            <w:tcBorders>
              <w:bottom w:val="single" w:sz="8" w:color="231F20"/>
            </w:tcBorders>
            <w:shd w:val="clear" w:color="auto" w:fill="FDFDFC"/>
          </w:tcPr>
          <w:p>
            <w:pPr>
              <w:jc w:val="right"/>
              <w:ind w:right="486"/>
              <w:spacing w:after="0"/>
              <w:rPr>
                <w:sz w:val="20"/>
                <w:szCs w:val="20"/>
                <w:color w:val="auto"/>
              </w:rPr>
            </w:pPr>
            <w:r>
              <w:rPr>
                <w:rFonts w:ascii="Times New Roman" w:cs="Times New Roman" w:eastAsia="Times New Roman" w:hAnsi="Times New Roman"/>
                <w:sz w:val="19"/>
                <w:szCs w:val="19"/>
                <w:color w:val="231F20"/>
                <w:w w:val="83"/>
              </w:rPr>
              <w:t>$</w:t>
            </w:r>
          </w:p>
        </w:tc>
        <w:tc>
          <w:tcPr>
            <w:tcW w:w="1040" w:type="dxa"/>
            <w:vAlign w:val="bottom"/>
            <w:tcBorders>
              <w:bottom w:val="single" w:sz="8" w:color="231F20"/>
            </w:tcBorders>
            <w:shd w:val="clear" w:color="auto" w:fill="FDFDFC"/>
          </w:tcPr>
          <w:p>
            <w:pPr>
              <w:jc w:val="right"/>
              <w:spacing w:after="0"/>
              <w:rPr>
                <w:sz w:val="20"/>
                <w:szCs w:val="20"/>
                <w:color w:val="auto"/>
              </w:rPr>
            </w:pPr>
            <w:r>
              <w:rPr>
                <w:rFonts w:ascii="Times New Roman" w:cs="Times New Roman" w:eastAsia="Times New Roman" w:hAnsi="Times New Roman"/>
                <w:sz w:val="19"/>
                <w:szCs w:val="19"/>
                <w:color w:val="231F20"/>
              </w:rPr>
              <w:t>316.1</w:t>
            </w:r>
          </w:p>
        </w:tc>
        <w:tc>
          <w:tcPr>
            <w:tcW w:w="80" w:type="dxa"/>
            <w:vAlign w:val="bottom"/>
            <w:shd w:val="clear" w:color="auto" w:fill="FDFD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Borders>
              <w:bottom w:val="single" w:sz="8" w:color="231F20"/>
            </w:tcBorders>
          </w:tcPr>
          <w:p>
            <w:pPr>
              <w:spacing w:after="0" w:line="20" w:lineRule="exact"/>
              <w:rPr>
                <w:sz w:val="1"/>
                <w:szCs w:val="1"/>
                <w:color w:val="auto"/>
              </w:rPr>
            </w:pPr>
          </w:p>
        </w:tc>
        <w:tc>
          <w:tcPr>
            <w:tcW w:w="980" w:type="dxa"/>
            <w:vAlign w:val="bottom"/>
            <w:tcBorders>
              <w:bottom w:val="single" w:sz="8" w:color="231F20"/>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Borders>
              <w:bottom w:val="single" w:sz="8" w:color="231F20"/>
            </w:tcBorders>
          </w:tcPr>
          <w:p>
            <w:pPr>
              <w:spacing w:after="0" w:line="20" w:lineRule="exact"/>
              <w:rPr>
                <w:sz w:val="1"/>
                <w:szCs w:val="1"/>
                <w:color w:val="auto"/>
              </w:rPr>
            </w:pPr>
          </w:p>
        </w:tc>
        <w:tc>
          <w:tcPr>
            <w:tcW w:w="1040" w:type="dxa"/>
            <w:vAlign w:val="bottom"/>
            <w:tcBorders>
              <w:bottom w:val="single" w:sz="8" w:color="231F20"/>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5" w:lineRule="exact"/>
        <w:rPr>
          <w:sz w:val="20"/>
          <w:szCs w:val="20"/>
          <w:color w:val="auto"/>
        </w:rPr>
      </w:pPr>
    </w:p>
    <w:p>
      <w:pPr>
        <w:ind w:left="460" w:hanging="460"/>
        <w:spacing w:after="0" w:line="252" w:lineRule="auto"/>
        <w:tabs>
          <w:tab w:leader="none" w:pos="460" w:val="left"/>
        </w:tabs>
        <w:numPr>
          <w:ilvl w:val="0"/>
          <w:numId w:val="63"/>
        </w:numPr>
        <w:rPr>
          <w:rFonts w:ascii="Times New Roman" w:cs="Times New Roman" w:eastAsia="Times New Roman" w:hAnsi="Times New Roman"/>
          <w:sz w:val="19"/>
          <w:szCs w:val="19"/>
          <w:color w:val="231F20"/>
        </w:rPr>
      </w:pPr>
      <w:r>
        <w:rPr>
          <w:rFonts w:ascii="Times New Roman" w:cs="Times New Roman" w:eastAsia="Times New Roman" w:hAnsi="Times New Roman"/>
          <w:sz w:val="19"/>
          <w:szCs w:val="19"/>
          <w:color w:val="231F20"/>
        </w:rPr>
        <w:t>Represents the full amount of our commitments to fund investments on such date. Commitments may be subject to limitations on borrowings set forth in the agreements between us and the applicable portfolio company. As a result, portfolio companies may not be eligible to borrow the full commitment amount on such date.</w:t>
      </w:r>
    </w:p>
    <w:p>
      <w:pPr>
        <w:spacing w:after="0" w:line="1" w:lineRule="exact"/>
        <w:rPr>
          <w:rFonts w:ascii="Times New Roman" w:cs="Times New Roman" w:eastAsia="Times New Roman" w:hAnsi="Times New Roman"/>
          <w:sz w:val="19"/>
          <w:szCs w:val="19"/>
          <w:color w:val="231F20"/>
        </w:rPr>
      </w:pPr>
    </w:p>
    <w:p>
      <w:pPr>
        <w:ind w:left="460" w:right="100" w:hanging="460"/>
        <w:spacing w:after="0" w:line="275" w:lineRule="auto"/>
        <w:tabs>
          <w:tab w:leader="none" w:pos="460" w:val="left"/>
        </w:tabs>
        <w:numPr>
          <w:ilvl w:val="0"/>
          <w:numId w:val="63"/>
        </w:numPr>
        <w:rPr>
          <w:rFonts w:ascii="Times New Roman" w:cs="Times New Roman" w:eastAsia="Times New Roman" w:hAnsi="Times New Roman"/>
          <w:sz w:val="19"/>
          <w:szCs w:val="19"/>
          <w:color w:val="231F20"/>
        </w:rPr>
      </w:pPr>
      <w:r>
        <w:rPr>
          <w:rFonts w:ascii="Times New Roman" w:cs="Times New Roman" w:eastAsia="Times New Roman" w:hAnsi="Times New Roman"/>
          <w:sz w:val="19"/>
          <w:szCs w:val="19"/>
          <w:color w:val="231F20"/>
        </w:rPr>
        <w:t>Our estimate of the fair value of the current investments in these portfolio companies includes an analysis of the fair value of any unfunded commitments.</w:t>
      </w:r>
    </w:p>
    <w:p>
      <w:pPr>
        <w:sectPr>
          <w:pgSz w:w="12240" w:h="15840" w:orient="portrait"/>
          <w:cols w:equalWidth="0" w:num="1">
            <w:col w:w="10000"/>
          </w:cols>
          <w:pgMar w:left="1020" w:top="1337" w:right="1220" w:bottom="57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9"/>
          <w:szCs w:val="19"/>
          <w:color w:val="231F20"/>
        </w:rPr>
        <w:t>82</w:t>
      </w:r>
    </w:p>
    <w:p>
      <w:pPr>
        <w:sectPr>
          <w:pgSz w:w="12240" w:h="15840" w:orient="portrait"/>
          <w:cols w:equalWidth="0" w:num="1">
            <w:col w:w="10000"/>
          </w:cols>
          <w:pgMar w:left="1020" w:top="1337" w:right="1220" w:bottom="574" w:gutter="0" w:footer="0" w:header="0"/>
          <w:type w:val="continuous"/>
        </w:sectPr>
      </w:pPr>
    </w:p>
    <w:bookmarkStart w:id="82" w:name="page83"/>
    <w:bookmarkEnd w:id="82"/>
    <w:p>
      <w:pPr>
        <w:spacing w:after="0"/>
        <w:rPr>
          <w:sz w:val="20"/>
          <w:szCs w:val="20"/>
          <w:color w:val="auto"/>
        </w:rPr>
      </w:pPr>
      <w:r>
        <w:rPr>
          <w:rFonts w:ascii="Times New Roman" w:cs="Times New Roman" w:eastAsia="Times New Roman" w:hAnsi="Times New Roman"/>
          <w:sz w:val="19"/>
          <w:szCs w:val="19"/>
          <w:b w:val="1"/>
          <w:bCs w:val="1"/>
          <w:i w:val="1"/>
          <w:iCs w:val="1"/>
          <w:color w:val="231F20"/>
        </w:rPr>
        <w:t>Other Commitments and Contingencies</w:t>
      </w:r>
    </w:p>
    <w:p>
      <w:pPr>
        <w:spacing w:after="0" w:line="110" w:lineRule="exact"/>
        <w:rPr>
          <w:sz w:val="20"/>
          <w:szCs w:val="20"/>
          <w:color w:val="auto"/>
        </w:rPr>
      </w:pPr>
    </w:p>
    <w:p>
      <w:pPr>
        <w:ind w:right="620" w:firstLine="231"/>
        <w:spacing w:after="0" w:line="275" w:lineRule="auto"/>
        <w:rPr>
          <w:sz w:val="20"/>
          <w:szCs w:val="20"/>
          <w:color w:val="auto"/>
        </w:rPr>
      </w:pPr>
      <w:r>
        <w:rPr>
          <w:rFonts w:ascii="Times New Roman" w:cs="Times New Roman" w:eastAsia="Times New Roman" w:hAnsi="Times New Roman"/>
          <w:sz w:val="19"/>
          <w:szCs w:val="19"/>
          <w:color w:val="231F20"/>
        </w:rPr>
        <w:t>As of December 31, 2024 and December 31, 2023, we did not have any unfunded commitments to fund investments to new borrowers that were not current portfolio companies as of such date.</w:t>
      </w:r>
    </w:p>
    <w:p>
      <w:pPr>
        <w:spacing w:after="0" w:line="47" w:lineRule="exact"/>
        <w:rPr>
          <w:sz w:val="20"/>
          <w:szCs w:val="20"/>
          <w:color w:val="auto"/>
        </w:rPr>
      </w:pPr>
    </w:p>
    <w:p>
      <w:pPr>
        <w:ind w:right="380" w:firstLine="231"/>
        <w:spacing w:after="0" w:line="257" w:lineRule="auto"/>
        <w:rPr>
          <w:sz w:val="20"/>
          <w:szCs w:val="20"/>
          <w:color w:val="auto"/>
        </w:rPr>
      </w:pPr>
      <w:r>
        <w:rPr>
          <w:rFonts w:ascii="Times New Roman" w:cs="Times New Roman" w:eastAsia="Times New Roman" w:hAnsi="Times New Roman"/>
          <w:sz w:val="19"/>
          <w:szCs w:val="19"/>
          <w:color w:val="231F20"/>
        </w:rPr>
        <w:t>From time to time, we may become a party to certain legal proceedings incidental to the normal course of our business. As of December 31, 2024 and December 31, 2023, management is not aware of any material pending or threatened litigation that would require accounting recognition or financial statement disclosure.</w:t>
      </w:r>
    </w:p>
    <w:p>
      <w:pPr>
        <w:spacing w:after="0" w:line="176" w:lineRule="exact"/>
        <w:rPr>
          <w:sz w:val="20"/>
          <w:szCs w:val="20"/>
          <w:color w:val="auto"/>
        </w:rPr>
      </w:pPr>
    </w:p>
    <w:p>
      <w:pPr>
        <w:jc w:val="both"/>
        <w:ind w:right="400" w:firstLine="231"/>
        <w:spacing w:after="0" w:line="257" w:lineRule="auto"/>
        <w:rPr>
          <w:sz w:val="20"/>
          <w:szCs w:val="20"/>
          <w:color w:val="auto"/>
        </w:rPr>
      </w:pPr>
      <w:r>
        <w:rPr>
          <w:rFonts w:ascii="Times New Roman" w:cs="Times New Roman" w:eastAsia="Times New Roman" w:hAnsi="Times New Roman"/>
          <w:sz w:val="19"/>
          <w:szCs w:val="19"/>
          <w:color w:val="231F20"/>
        </w:rPr>
        <w:t>We have certain contracts under which we have material future commitments. Under the Investment Advisory Agreement, our Adviser provides us with investment advisory and management services. For these services, we pay the Management Fee and the Incentive Fee.</w:t>
      </w:r>
    </w:p>
    <w:p>
      <w:pPr>
        <w:spacing w:after="0" w:line="176" w:lineRule="exact"/>
        <w:rPr>
          <w:sz w:val="20"/>
          <w:szCs w:val="20"/>
          <w:color w:val="auto"/>
        </w:rPr>
      </w:pPr>
    </w:p>
    <w:p>
      <w:pPr>
        <w:ind w:right="40" w:firstLine="231"/>
        <w:spacing w:after="0" w:line="243" w:lineRule="auto"/>
        <w:rPr>
          <w:sz w:val="20"/>
          <w:szCs w:val="20"/>
          <w:color w:val="auto"/>
        </w:rPr>
      </w:pPr>
      <w:r>
        <w:rPr>
          <w:rFonts w:ascii="Times New Roman" w:cs="Times New Roman" w:eastAsia="Times New Roman" w:hAnsi="Times New Roman"/>
          <w:sz w:val="19"/>
          <w:szCs w:val="19"/>
          <w:color w:val="231F20"/>
        </w:rPr>
        <w:t>Under the Administration Agreement, our Adviser furnishes us with office facilities and equipment, provides us clerical, bookkeeping and record keeping services at such facilities and provides us with other administrative services necessary to conduct our day-to-day operations. We reimburse our Adviser for the allocable portion (subject to the review and approval of our Board) of expenses incurred by it in performing its obligations under the Administration Agreement, the fees and expenses associated with performing compliance functions and our allocable portion of the compensation of our Chief Compliance Officer, Chief Financial Officer and other professionals who spend time on those related activities (based on a percentage of time those individuals devote, on an estimated basis, to our business and affairs). Our Adviser also offers on our behalf significant managerial assistance to those portfolio companies to which we are required to offer to provide such assistance.</w:t>
      </w:r>
    </w:p>
    <w:p>
      <w:pPr>
        <w:spacing w:after="0" w:line="306"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9"/>
          <w:szCs w:val="19"/>
          <w:b w:val="1"/>
          <w:bCs w:val="1"/>
          <w:color w:val="231F20"/>
        </w:rPr>
        <w:t>Contractual Obligations</w:t>
      </w:r>
    </w:p>
    <w:p>
      <w:pPr>
        <w:spacing w:after="0" w:line="11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9"/>
          <w:szCs w:val="19"/>
          <w:color w:val="231F20"/>
        </w:rPr>
        <w:t>A summary of our contractual payment obligations as of December 31, 2024 is as follows:</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560" w:type="dxa"/>
            <w:vAlign w:val="bottom"/>
            <w:tcBorders>
              <w:bottom w:val="single" w:sz="8" w:color="FDFDFC"/>
            </w:tcBorders>
            <w:shd w:val="clear" w:color="auto" w:fill="FDFDFC"/>
          </w:tcPr>
          <w:p>
            <w:pPr>
              <w:spacing w:after="0"/>
              <w:rPr>
                <w:sz w:val="16"/>
                <w:szCs w:val="16"/>
                <w:color w:val="auto"/>
              </w:rPr>
            </w:pPr>
          </w:p>
        </w:tc>
        <w:tc>
          <w:tcPr>
            <w:tcW w:w="100" w:type="dxa"/>
            <w:vAlign w:val="bottom"/>
            <w:tcBorders>
              <w:bottom w:val="single" w:sz="8" w:color="FDFDFC"/>
            </w:tcBorders>
            <w:shd w:val="clear" w:color="auto" w:fill="FDFDFC"/>
          </w:tcPr>
          <w:p>
            <w:pPr>
              <w:spacing w:after="0"/>
              <w:rPr>
                <w:sz w:val="16"/>
                <w:szCs w:val="16"/>
                <w:color w:val="auto"/>
              </w:rPr>
            </w:pPr>
          </w:p>
        </w:tc>
        <w:tc>
          <w:tcPr>
            <w:tcW w:w="180" w:type="dxa"/>
            <w:vAlign w:val="bottom"/>
            <w:tcBorders>
              <w:bottom w:val="single" w:sz="8" w:color="231F20"/>
            </w:tcBorders>
            <w:shd w:val="clear" w:color="auto" w:fill="FDFDFC"/>
          </w:tcPr>
          <w:p>
            <w:pPr>
              <w:spacing w:after="0"/>
              <w:rPr>
                <w:sz w:val="16"/>
                <w:szCs w:val="16"/>
                <w:color w:val="auto"/>
              </w:rPr>
            </w:pPr>
          </w:p>
        </w:tc>
        <w:tc>
          <w:tcPr>
            <w:tcW w:w="740" w:type="dxa"/>
            <w:vAlign w:val="bottom"/>
            <w:tcBorders>
              <w:bottom w:val="single" w:sz="8" w:color="231F20"/>
            </w:tcBorders>
            <w:shd w:val="clear" w:color="auto" w:fill="FDFDFC"/>
          </w:tcPr>
          <w:p>
            <w:pPr>
              <w:spacing w:after="0"/>
              <w:rPr>
                <w:sz w:val="16"/>
                <w:szCs w:val="16"/>
                <w:color w:val="auto"/>
              </w:rPr>
            </w:pPr>
          </w:p>
        </w:tc>
        <w:tc>
          <w:tcPr>
            <w:tcW w:w="220" w:type="dxa"/>
            <w:vAlign w:val="bottom"/>
            <w:tcBorders>
              <w:bottom w:val="single" w:sz="8" w:color="231F20"/>
            </w:tcBorders>
            <w:shd w:val="clear" w:color="auto" w:fill="FDFDFC"/>
          </w:tcPr>
          <w:p>
            <w:pPr>
              <w:spacing w:after="0"/>
              <w:rPr>
                <w:sz w:val="16"/>
                <w:szCs w:val="16"/>
                <w:color w:val="auto"/>
              </w:rPr>
            </w:pPr>
          </w:p>
        </w:tc>
        <w:tc>
          <w:tcPr>
            <w:tcW w:w="120" w:type="dxa"/>
            <w:vAlign w:val="bottom"/>
            <w:tcBorders>
              <w:bottom w:val="single" w:sz="8" w:color="231F20"/>
            </w:tcBorders>
            <w:shd w:val="clear" w:color="auto" w:fill="FDFDFC"/>
          </w:tcPr>
          <w:p>
            <w:pPr>
              <w:spacing w:after="0"/>
              <w:rPr>
                <w:sz w:val="16"/>
                <w:szCs w:val="16"/>
                <w:color w:val="auto"/>
              </w:rPr>
            </w:pPr>
          </w:p>
        </w:tc>
        <w:tc>
          <w:tcPr>
            <w:tcW w:w="2260" w:type="dxa"/>
            <w:vAlign w:val="bottom"/>
            <w:tcBorders>
              <w:bottom w:val="single" w:sz="8" w:color="231F20"/>
            </w:tcBorders>
            <w:gridSpan w:val="6"/>
            <w:shd w:val="clear" w:color="auto" w:fill="FDFDFC"/>
          </w:tcPr>
          <w:p>
            <w:pPr>
              <w:ind w:left="660"/>
              <w:spacing w:after="0"/>
              <w:rPr>
                <w:sz w:val="20"/>
                <w:szCs w:val="20"/>
                <w:color w:val="auto"/>
              </w:rPr>
            </w:pPr>
            <w:r>
              <w:rPr>
                <w:rFonts w:ascii="Times New Roman" w:cs="Times New Roman" w:eastAsia="Times New Roman" w:hAnsi="Times New Roman"/>
                <w:sz w:val="15"/>
                <w:szCs w:val="15"/>
                <w:b w:val="1"/>
                <w:bCs w:val="1"/>
                <w:color w:val="231F20"/>
              </w:rPr>
              <w:t>Payments Due by Period</w:t>
            </w:r>
          </w:p>
        </w:tc>
        <w:tc>
          <w:tcPr>
            <w:tcW w:w="780" w:type="dxa"/>
            <w:vAlign w:val="bottom"/>
            <w:tcBorders>
              <w:bottom w:val="single" w:sz="8" w:color="231F20"/>
            </w:tcBorders>
            <w:shd w:val="clear" w:color="auto" w:fill="FDFDFC"/>
          </w:tcPr>
          <w:p>
            <w:pPr>
              <w:spacing w:after="0"/>
              <w:rPr>
                <w:sz w:val="16"/>
                <w:szCs w:val="16"/>
                <w:color w:val="auto"/>
              </w:rPr>
            </w:pPr>
          </w:p>
        </w:tc>
        <w:tc>
          <w:tcPr>
            <w:tcW w:w="220" w:type="dxa"/>
            <w:vAlign w:val="bottom"/>
            <w:tcBorders>
              <w:bottom w:val="single" w:sz="8" w:color="231F20"/>
            </w:tcBorders>
            <w:shd w:val="clear" w:color="auto" w:fill="FDFDFC"/>
          </w:tcPr>
          <w:p>
            <w:pPr>
              <w:spacing w:after="0"/>
              <w:rPr>
                <w:sz w:val="16"/>
                <w:szCs w:val="16"/>
                <w:color w:val="auto"/>
              </w:rPr>
            </w:pPr>
          </w:p>
        </w:tc>
        <w:tc>
          <w:tcPr>
            <w:tcW w:w="400" w:type="dxa"/>
            <w:vAlign w:val="bottom"/>
            <w:tcBorders>
              <w:bottom w:val="single" w:sz="8" w:color="231F20"/>
            </w:tcBorders>
            <w:shd w:val="clear" w:color="auto" w:fill="FDFDFC"/>
          </w:tcPr>
          <w:p>
            <w:pPr>
              <w:spacing w:after="0"/>
              <w:rPr>
                <w:sz w:val="16"/>
                <w:szCs w:val="16"/>
                <w:color w:val="auto"/>
              </w:rPr>
            </w:pPr>
          </w:p>
        </w:tc>
        <w:tc>
          <w:tcPr>
            <w:tcW w:w="520" w:type="dxa"/>
            <w:vAlign w:val="bottom"/>
            <w:tcBorders>
              <w:bottom w:val="single" w:sz="8" w:color="231F20"/>
            </w:tcBorders>
            <w:shd w:val="clear" w:color="auto" w:fill="FDFDFC"/>
          </w:tcPr>
          <w:p>
            <w:pPr>
              <w:spacing w:after="0"/>
              <w:rPr>
                <w:sz w:val="16"/>
                <w:szCs w:val="16"/>
                <w:color w:val="auto"/>
              </w:rPr>
            </w:pPr>
          </w:p>
        </w:tc>
        <w:tc>
          <w:tcPr>
            <w:tcW w:w="20" w:type="dxa"/>
            <w:vAlign w:val="bottom"/>
            <w:tcBorders>
              <w:bottom w:val="single" w:sz="8" w:color="231F20"/>
            </w:tcBorders>
            <w:shd w:val="clear" w:color="auto" w:fill="FDFDFC"/>
          </w:tcPr>
          <w:p>
            <w:pPr>
              <w:spacing w:after="0"/>
              <w:rPr>
                <w:sz w:val="16"/>
                <w:szCs w:val="16"/>
                <w:color w:val="auto"/>
              </w:rPr>
            </w:pPr>
          </w:p>
        </w:tc>
        <w:tc>
          <w:tcPr>
            <w:tcW w:w="80" w:type="dxa"/>
            <w:vAlign w:val="bottom"/>
            <w:tcBorders>
              <w:bottom w:val="single" w:sz="8" w:color="FDFDFC"/>
            </w:tcBorders>
            <w:shd w:val="clear" w:color="auto" w:fill="FDFDFC"/>
          </w:tcPr>
          <w:p>
            <w:pPr>
              <w:spacing w:after="0"/>
              <w:rPr>
                <w:sz w:val="16"/>
                <w:szCs w:val="16"/>
                <w:color w:val="auto"/>
              </w:rPr>
            </w:pPr>
          </w:p>
        </w:tc>
      </w:tr>
      <w:tr>
        <w:trPr>
          <w:trHeight w:val="176"/>
        </w:trPr>
        <w:tc>
          <w:tcPr>
            <w:tcW w:w="4560" w:type="dxa"/>
            <w:vAlign w:val="bottom"/>
            <w:shd w:val="clear" w:color="auto" w:fill="FDFDFC"/>
          </w:tcPr>
          <w:p>
            <w:pPr>
              <w:spacing w:after="0"/>
              <w:rPr>
                <w:sz w:val="15"/>
                <w:szCs w:val="15"/>
                <w:color w:val="auto"/>
              </w:rPr>
            </w:pPr>
          </w:p>
        </w:tc>
        <w:tc>
          <w:tcPr>
            <w:tcW w:w="100" w:type="dxa"/>
            <w:vAlign w:val="bottom"/>
            <w:shd w:val="clear" w:color="auto" w:fill="FDFDFC"/>
          </w:tcPr>
          <w:p>
            <w:pPr>
              <w:spacing w:after="0"/>
              <w:rPr>
                <w:sz w:val="15"/>
                <w:szCs w:val="15"/>
                <w:color w:val="auto"/>
              </w:rPr>
            </w:pPr>
          </w:p>
        </w:tc>
        <w:tc>
          <w:tcPr>
            <w:tcW w:w="180" w:type="dxa"/>
            <w:vAlign w:val="bottom"/>
            <w:shd w:val="clear" w:color="auto" w:fill="FDFDFC"/>
          </w:tcPr>
          <w:p>
            <w:pPr>
              <w:spacing w:after="0"/>
              <w:rPr>
                <w:sz w:val="15"/>
                <w:szCs w:val="15"/>
                <w:color w:val="auto"/>
              </w:rPr>
            </w:pPr>
          </w:p>
        </w:tc>
        <w:tc>
          <w:tcPr>
            <w:tcW w:w="740" w:type="dxa"/>
            <w:vAlign w:val="bottom"/>
            <w:shd w:val="clear" w:color="auto" w:fill="FDFDFC"/>
          </w:tcPr>
          <w:p>
            <w:pPr>
              <w:spacing w:after="0"/>
              <w:rPr>
                <w:sz w:val="15"/>
                <w:szCs w:val="15"/>
                <w:color w:val="auto"/>
              </w:rPr>
            </w:pPr>
          </w:p>
        </w:tc>
        <w:tc>
          <w:tcPr>
            <w:tcW w:w="220" w:type="dxa"/>
            <w:vAlign w:val="bottom"/>
            <w:shd w:val="clear" w:color="auto" w:fill="FDFDFC"/>
          </w:tcPr>
          <w:p>
            <w:pPr>
              <w:spacing w:after="0"/>
              <w:rPr>
                <w:sz w:val="15"/>
                <w:szCs w:val="15"/>
                <w:color w:val="auto"/>
              </w:rPr>
            </w:pPr>
          </w:p>
        </w:tc>
        <w:tc>
          <w:tcPr>
            <w:tcW w:w="120" w:type="dxa"/>
            <w:vAlign w:val="bottom"/>
            <w:shd w:val="clear" w:color="auto" w:fill="FDFDFC"/>
          </w:tcPr>
          <w:p>
            <w:pPr>
              <w:spacing w:after="0"/>
              <w:rPr>
                <w:sz w:val="15"/>
                <w:szCs w:val="15"/>
                <w:color w:val="auto"/>
              </w:rPr>
            </w:pPr>
          </w:p>
        </w:tc>
        <w:tc>
          <w:tcPr>
            <w:tcW w:w="780" w:type="dxa"/>
            <w:vAlign w:val="bottom"/>
            <w:shd w:val="clear" w:color="auto" w:fill="FDFDFC"/>
          </w:tcPr>
          <w:p>
            <w:pPr>
              <w:ind w:left="20"/>
              <w:spacing w:after="0"/>
              <w:rPr>
                <w:sz w:val="20"/>
                <w:szCs w:val="20"/>
                <w:color w:val="auto"/>
              </w:rPr>
            </w:pPr>
            <w:r>
              <w:rPr>
                <w:rFonts w:ascii="Times New Roman" w:cs="Times New Roman" w:eastAsia="Times New Roman" w:hAnsi="Times New Roman"/>
                <w:sz w:val="15"/>
                <w:szCs w:val="15"/>
                <w:b w:val="1"/>
                <w:bCs w:val="1"/>
                <w:color w:val="231F20"/>
              </w:rPr>
              <w:t>Less than</w:t>
            </w:r>
          </w:p>
        </w:tc>
        <w:tc>
          <w:tcPr>
            <w:tcW w:w="220" w:type="dxa"/>
            <w:vAlign w:val="bottom"/>
            <w:shd w:val="clear" w:color="auto" w:fill="FDFDFC"/>
          </w:tcPr>
          <w:p>
            <w:pPr>
              <w:spacing w:after="0"/>
              <w:rPr>
                <w:sz w:val="15"/>
                <w:szCs w:val="15"/>
                <w:color w:val="auto"/>
              </w:rPr>
            </w:pPr>
          </w:p>
        </w:tc>
        <w:tc>
          <w:tcPr>
            <w:tcW w:w="120" w:type="dxa"/>
            <w:vAlign w:val="bottom"/>
            <w:shd w:val="clear" w:color="auto" w:fill="FDFDFC"/>
          </w:tcPr>
          <w:p>
            <w:pPr>
              <w:spacing w:after="0"/>
              <w:rPr>
                <w:sz w:val="15"/>
                <w:szCs w:val="15"/>
                <w:color w:val="auto"/>
              </w:rPr>
            </w:pPr>
          </w:p>
        </w:tc>
        <w:tc>
          <w:tcPr>
            <w:tcW w:w="800" w:type="dxa"/>
            <w:vAlign w:val="bottom"/>
            <w:shd w:val="clear" w:color="auto" w:fill="FDFDFC"/>
          </w:tcPr>
          <w:p>
            <w:pPr>
              <w:spacing w:after="0"/>
              <w:rPr>
                <w:sz w:val="15"/>
                <w:szCs w:val="15"/>
                <w:color w:val="auto"/>
              </w:rPr>
            </w:pPr>
          </w:p>
        </w:tc>
        <w:tc>
          <w:tcPr>
            <w:tcW w:w="220" w:type="dxa"/>
            <w:vAlign w:val="bottom"/>
            <w:shd w:val="clear" w:color="auto" w:fill="FDFDFC"/>
          </w:tcPr>
          <w:p>
            <w:pPr>
              <w:spacing w:after="0"/>
              <w:rPr>
                <w:sz w:val="15"/>
                <w:szCs w:val="15"/>
                <w:color w:val="auto"/>
              </w:rPr>
            </w:pPr>
          </w:p>
        </w:tc>
        <w:tc>
          <w:tcPr>
            <w:tcW w:w="120" w:type="dxa"/>
            <w:vAlign w:val="bottom"/>
            <w:shd w:val="clear" w:color="auto" w:fill="FDFDFC"/>
          </w:tcPr>
          <w:p>
            <w:pPr>
              <w:spacing w:after="0"/>
              <w:rPr>
                <w:sz w:val="15"/>
                <w:szCs w:val="15"/>
                <w:color w:val="auto"/>
              </w:rPr>
            </w:pPr>
          </w:p>
        </w:tc>
        <w:tc>
          <w:tcPr>
            <w:tcW w:w="780" w:type="dxa"/>
            <w:vAlign w:val="bottom"/>
            <w:shd w:val="clear" w:color="auto" w:fill="FDFDFC"/>
          </w:tcPr>
          <w:p>
            <w:pPr>
              <w:spacing w:after="0"/>
              <w:rPr>
                <w:sz w:val="15"/>
                <w:szCs w:val="15"/>
                <w:color w:val="auto"/>
              </w:rPr>
            </w:pPr>
          </w:p>
        </w:tc>
        <w:tc>
          <w:tcPr>
            <w:tcW w:w="220" w:type="dxa"/>
            <w:vAlign w:val="bottom"/>
            <w:shd w:val="clear" w:color="auto" w:fill="FDFDFC"/>
          </w:tcPr>
          <w:p>
            <w:pPr>
              <w:spacing w:after="0"/>
              <w:rPr>
                <w:sz w:val="15"/>
                <w:szCs w:val="15"/>
                <w:color w:val="auto"/>
              </w:rPr>
            </w:pPr>
          </w:p>
        </w:tc>
        <w:tc>
          <w:tcPr>
            <w:tcW w:w="400" w:type="dxa"/>
            <w:vAlign w:val="bottom"/>
            <w:shd w:val="clear" w:color="auto" w:fill="FDFDFC"/>
          </w:tcPr>
          <w:p>
            <w:pPr>
              <w:spacing w:after="0"/>
              <w:rPr>
                <w:sz w:val="15"/>
                <w:szCs w:val="15"/>
                <w:color w:val="auto"/>
              </w:rPr>
            </w:pPr>
          </w:p>
        </w:tc>
        <w:tc>
          <w:tcPr>
            <w:tcW w:w="520" w:type="dxa"/>
            <w:vAlign w:val="bottom"/>
            <w:shd w:val="clear" w:color="auto" w:fill="FDFDFC"/>
          </w:tcPr>
          <w:p>
            <w:pPr>
              <w:spacing w:after="0"/>
              <w:rPr>
                <w:sz w:val="15"/>
                <w:szCs w:val="15"/>
                <w:color w:val="auto"/>
              </w:rPr>
            </w:pPr>
          </w:p>
        </w:tc>
        <w:tc>
          <w:tcPr>
            <w:tcW w:w="20" w:type="dxa"/>
            <w:vAlign w:val="bottom"/>
            <w:shd w:val="clear" w:color="auto" w:fill="FDFDFC"/>
          </w:tcPr>
          <w:p>
            <w:pPr>
              <w:spacing w:after="0"/>
              <w:rPr>
                <w:sz w:val="15"/>
                <w:szCs w:val="15"/>
                <w:color w:val="auto"/>
              </w:rPr>
            </w:pPr>
          </w:p>
        </w:tc>
        <w:tc>
          <w:tcPr>
            <w:tcW w:w="80" w:type="dxa"/>
            <w:vAlign w:val="bottom"/>
            <w:shd w:val="clear" w:color="auto" w:fill="FDFDFC"/>
          </w:tcPr>
          <w:p>
            <w:pPr>
              <w:spacing w:after="0"/>
              <w:rPr>
                <w:sz w:val="15"/>
                <w:szCs w:val="15"/>
                <w:color w:val="auto"/>
              </w:rPr>
            </w:pPr>
          </w:p>
        </w:tc>
      </w:tr>
      <w:tr>
        <w:trPr>
          <w:trHeight w:val="187"/>
        </w:trPr>
        <w:tc>
          <w:tcPr>
            <w:tcW w:w="4560" w:type="dxa"/>
            <w:vAlign w:val="bottom"/>
            <w:tcBorders>
              <w:bottom w:val="single" w:sz="8" w:color="D0EBF2"/>
            </w:tcBorders>
            <w:shd w:val="clear" w:color="auto" w:fill="FDFDFC"/>
          </w:tcPr>
          <w:p>
            <w:pPr>
              <w:spacing w:after="0"/>
              <w:rPr>
                <w:sz w:val="20"/>
                <w:szCs w:val="20"/>
                <w:color w:val="auto"/>
              </w:rPr>
            </w:pPr>
            <w:r>
              <w:rPr>
                <w:rFonts w:ascii="Times New Roman" w:cs="Times New Roman" w:eastAsia="Times New Roman" w:hAnsi="Times New Roman"/>
                <w:sz w:val="15"/>
                <w:szCs w:val="15"/>
                <w:color w:val="231F20"/>
              </w:rPr>
              <w:t>($ in millions)</w:t>
            </w:r>
          </w:p>
        </w:tc>
        <w:tc>
          <w:tcPr>
            <w:tcW w:w="100" w:type="dxa"/>
            <w:vAlign w:val="bottom"/>
            <w:tcBorders>
              <w:bottom w:val="single" w:sz="8" w:color="D0EBF2"/>
            </w:tcBorders>
            <w:shd w:val="clear" w:color="auto" w:fill="FDFDFC"/>
          </w:tcPr>
          <w:p>
            <w:pPr>
              <w:spacing w:after="0"/>
              <w:rPr>
                <w:sz w:val="16"/>
                <w:szCs w:val="16"/>
                <w:color w:val="auto"/>
              </w:rPr>
            </w:pPr>
          </w:p>
        </w:tc>
        <w:tc>
          <w:tcPr>
            <w:tcW w:w="180" w:type="dxa"/>
            <w:vAlign w:val="bottom"/>
            <w:tcBorders>
              <w:bottom w:val="single" w:sz="8" w:color="231F20"/>
            </w:tcBorders>
            <w:shd w:val="clear" w:color="auto" w:fill="FDFDFC"/>
          </w:tcPr>
          <w:p>
            <w:pPr>
              <w:spacing w:after="0"/>
              <w:rPr>
                <w:sz w:val="16"/>
                <w:szCs w:val="16"/>
                <w:color w:val="auto"/>
              </w:rPr>
            </w:pPr>
          </w:p>
        </w:tc>
        <w:tc>
          <w:tcPr>
            <w:tcW w:w="740" w:type="dxa"/>
            <w:vAlign w:val="bottom"/>
            <w:tcBorders>
              <w:bottom w:val="single" w:sz="8" w:color="231F20"/>
            </w:tcBorders>
            <w:shd w:val="clear" w:color="auto" w:fill="FDFDFC"/>
          </w:tcPr>
          <w:p>
            <w:pPr>
              <w:jc w:val="right"/>
              <w:ind w:right="209"/>
              <w:spacing w:after="0"/>
              <w:rPr>
                <w:sz w:val="20"/>
                <w:szCs w:val="20"/>
                <w:color w:val="auto"/>
              </w:rPr>
            </w:pPr>
            <w:r>
              <w:rPr>
                <w:rFonts w:ascii="Times New Roman" w:cs="Times New Roman" w:eastAsia="Times New Roman" w:hAnsi="Times New Roman"/>
                <w:sz w:val="15"/>
                <w:szCs w:val="15"/>
                <w:b w:val="1"/>
                <w:bCs w:val="1"/>
                <w:color w:val="231F20"/>
              </w:rPr>
              <w:t>Total</w:t>
            </w:r>
          </w:p>
        </w:tc>
        <w:tc>
          <w:tcPr>
            <w:tcW w:w="220" w:type="dxa"/>
            <w:vAlign w:val="bottom"/>
            <w:tcBorders>
              <w:bottom w:val="single" w:sz="8" w:color="D0EBF2"/>
            </w:tcBorders>
            <w:shd w:val="clear" w:color="auto" w:fill="FDFDFC"/>
          </w:tcPr>
          <w:p>
            <w:pPr>
              <w:spacing w:after="0"/>
              <w:rPr>
                <w:sz w:val="16"/>
                <w:szCs w:val="16"/>
                <w:color w:val="auto"/>
              </w:rPr>
            </w:pPr>
          </w:p>
        </w:tc>
        <w:tc>
          <w:tcPr>
            <w:tcW w:w="120" w:type="dxa"/>
            <w:vAlign w:val="bottom"/>
            <w:tcBorders>
              <w:bottom w:val="single" w:sz="8" w:color="231F20"/>
            </w:tcBorders>
            <w:shd w:val="clear" w:color="auto" w:fill="FDFDFC"/>
          </w:tcPr>
          <w:p>
            <w:pPr>
              <w:spacing w:after="0"/>
              <w:rPr>
                <w:sz w:val="16"/>
                <w:szCs w:val="16"/>
                <w:color w:val="auto"/>
              </w:rPr>
            </w:pPr>
          </w:p>
        </w:tc>
        <w:tc>
          <w:tcPr>
            <w:tcW w:w="780" w:type="dxa"/>
            <w:vAlign w:val="bottom"/>
            <w:tcBorders>
              <w:bottom w:val="single" w:sz="8" w:color="231F20"/>
            </w:tcBorders>
            <w:shd w:val="clear" w:color="auto" w:fill="FDFDFC"/>
          </w:tcPr>
          <w:p>
            <w:pPr>
              <w:ind w:left="120"/>
              <w:spacing w:after="0"/>
              <w:rPr>
                <w:sz w:val="20"/>
                <w:szCs w:val="20"/>
                <w:color w:val="auto"/>
              </w:rPr>
            </w:pPr>
            <w:r>
              <w:rPr>
                <w:rFonts w:ascii="Times New Roman" w:cs="Times New Roman" w:eastAsia="Times New Roman" w:hAnsi="Times New Roman"/>
                <w:sz w:val="15"/>
                <w:szCs w:val="15"/>
                <w:b w:val="1"/>
                <w:bCs w:val="1"/>
                <w:color w:val="231F20"/>
              </w:rPr>
              <w:t>1 year</w:t>
            </w:r>
          </w:p>
        </w:tc>
        <w:tc>
          <w:tcPr>
            <w:tcW w:w="220" w:type="dxa"/>
            <w:vAlign w:val="bottom"/>
            <w:tcBorders>
              <w:bottom w:val="single" w:sz="8" w:color="D0EBF2"/>
            </w:tcBorders>
            <w:shd w:val="clear" w:color="auto" w:fill="FDFDFC"/>
          </w:tcPr>
          <w:p>
            <w:pPr>
              <w:spacing w:after="0"/>
              <w:rPr>
                <w:sz w:val="16"/>
                <w:szCs w:val="16"/>
                <w:color w:val="auto"/>
              </w:rPr>
            </w:pPr>
          </w:p>
        </w:tc>
        <w:tc>
          <w:tcPr>
            <w:tcW w:w="120" w:type="dxa"/>
            <w:vAlign w:val="bottom"/>
            <w:tcBorders>
              <w:bottom w:val="single" w:sz="8" w:color="231F20"/>
            </w:tcBorders>
            <w:shd w:val="clear" w:color="auto" w:fill="FDFDFC"/>
          </w:tcPr>
          <w:p>
            <w:pPr>
              <w:spacing w:after="0"/>
              <w:rPr>
                <w:sz w:val="16"/>
                <w:szCs w:val="16"/>
                <w:color w:val="auto"/>
              </w:rPr>
            </w:pPr>
          </w:p>
        </w:tc>
        <w:tc>
          <w:tcPr>
            <w:tcW w:w="800" w:type="dxa"/>
            <w:vAlign w:val="bottom"/>
            <w:tcBorders>
              <w:bottom w:val="single" w:sz="8" w:color="231F20"/>
            </w:tcBorders>
            <w:shd w:val="clear" w:color="auto" w:fill="FDFDFC"/>
          </w:tcPr>
          <w:p>
            <w:pPr>
              <w:jc w:val="right"/>
              <w:ind w:right="89"/>
              <w:spacing w:after="0"/>
              <w:rPr>
                <w:sz w:val="20"/>
                <w:szCs w:val="20"/>
                <w:color w:val="auto"/>
              </w:rPr>
            </w:pPr>
            <w:r>
              <w:rPr>
                <w:rFonts w:ascii="Times New Roman" w:cs="Times New Roman" w:eastAsia="Times New Roman" w:hAnsi="Times New Roman"/>
                <w:sz w:val="15"/>
                <w:szCs w:val="15"/>
                <w:b w:val="1"/>
                <w:bCs w:val="1"/>
                <w:color w:val="231F20"/>
              </w:rPr>
              <w:t>1-3 years</w:t>
            </w:r>
          </w:p>
        </w:tc>
        <w:tc>
          <w:tcPr>
            <w:tcW w:w="220" w:type="dxa"/>
            <w:vAlign w:val="bottom"/>
            <w:tcBorders>
              <w:bottom w:val="single" w:sz="8" w:color="D0EBF2"/>
            </w:tcBorders>
            <w:shd w:val="clear" w:color="auto" w:fill="FDFDFC"/>
          </w:tcPr>
          <w:p>
            <w:pPr>
              <w:spacing w:after="0"/>
              <w:rPr>
                <w:sz w:val="16"/>
                <w:szCs w:val="16"/>
                <w:color w:val="auto"/>
              </w:rPr>
            </w:pPr>
          </w:p>
        </w:tc>
        <w:tc>
          <w:tcPr>
            <w:tcW w:w="120" w:type="dxa"/>
            <w:vAlign w:val="bottom"/>
            <w:tcBorders>
              <w:bottom w:val="single" w:sz="8" w:color="231F20"/>
            </w:tcBorders>
            <w:shd w:val="clear" w:color="auto" w:fill="FDFDFC"/>
          </w:tcPr>
          <w:p>
            <w:pPr>
              <w:spacing w:after="0"/>
              <w:rPr>
                <w:sz w:val="16"/>
                <w:szCs w:val="16"/>
                <w:color w:val="auto"/>
              </w:rPr>
            </w:pPr>
          </w:p>
        </w:tc>
        <w:tc>
          <w:tcPr>
            <w:tcW w:w="780" w:type="dxa"/>
            <w:vAlign w:val="bottom"/>
            <w:tcBorders>
              <w:bottom w:val="single" w:sz="8" w:color="231F20"/>
            </w:tcBorders>
            <w:shd w:val="clear" w:color="auto" w:fill="FDFDFC"/>
          </w:tcPr>
          <w:p>
            <w:pPr>
              <w:jc w:val="right"/>
              <w:ind w:right="69"/>
              <w:spacing w:after="0"/>
              <w:rPr>
                <w:sz w:val="20"/>
                <w:szCs w:val="20"/>
                <w:color w:val="auto"/>
              </w:rPr>
            </w:pPr>
            <w:r>
              <w:rPr>
                <w:rFonts w:ascii="Times New Roman" w:cs="Times New Roman" w:eastAsia="Times New Roman" w:hAnsi="Times New Roman"/>
                <w:sz w:val="15"/>
                <w:szCs w:val="15"/>
                <w:b w:val="1"/>
                <w:bCs w:val="1"/>
                <w:color w:val="231F20"/>
              </w:rPr>
              <w:t>3-5 years</w:t>
            </w:r>
          </w:p>
        </w:tc>
        <w:tc>
          <w:tcPr>
            <w:tcW w:w="220" w:type="dxa"/>
            <w:vAlign w:val="bottom"/>
            <w:tcBorders>
              <w:bottom w:val="single" w:sz="8" w:color="D0EBF2"/>
            </w:tcBorders>
            <w:shd w:val="clear" w:color="auto" w:fill="FDFDFC"/>
          </w:tcPr>
          <w:p>
            <w:pPr>
              <w:spacing w:after="0"/>
              <w:rPr>
                <w:sz w:val="16"/>
                <w:szCs w:val="16"/>
                <w:color w:val="auto"/>
              </w:rPr>
            </w:pPr>
          </w:p>
        </w:tc>
        <w:tc>
          <w:tcPr>
            <w:tcW w:w="920" w:type="dxa"/>
            <w:vAlign w:val="bottom"/>
            <w:tcBorders>
              <w:bottom w:val="single" w:sz="8" w:color="231F20"/>
            </w:tcBorders>
            <w:gridSpan w:val="2"/>
            <w:shd w:val="clear" w:color="auto" w:fill="FDFDFC"/>
          </w:tcPr>
          <w:p>
            <w:pPr>
              <w:ind w:left="20"/>
              <w:spacing w:after="0"/>
              <w:rPr>
                <w:sz w:val="20"/>
                <w:szCs w:val="20"/>
                <w:color w:val="auto"/>
              </w:rPr>
            </w:pPr>
            <w:r>
              <w:rPr>
                <w:rFonts w:ascii="Times New Roman" w:cs="Times New Roman" w:eastAsia="Times New Roman" w:hAnsi="Times New Roman"/>
                <w:sz w:val="15"/>
                <w:szCs w:val="15"/>
                <w:b w:val="1"/>
                <w:bCs w:val="1"/>
                <w:color w:val="231F20"/>
              </w:rPr>
              <w:t>After 5 years</w:t>
            </w:r>
          </w:p>
        </w:tc>
        <w:tc>
          <w:tcPr>
            <w:tcW w:w="20" w:type="dxa"/>
            <w:vAlign w:val="bottom"/>
            <w:tcBorders>
              <w:bottom w:val="single" w:sz="8" w:color="D0EBF2"/>
            </w:tcBorders>
            <w:shd w:val="clear" w:color="auto" w:fill="FDFDFC"/>
          </w:tcPr>
          <w:p>
            <w:pPr>
              <w:spacing w:after="0"/>
              <w:rPr>
                <w:sz w:val="16"/>
                <w:szCs w:val="16"/>
                <w:color w:val="auto"/>
              </w:rPr>
            </w:pPr>
          </w:p>
        </w:tc>
        <w:tc>
          <w:tcPr>
            <w:tcW w:w="80" w:type="dxa"/>
            <w:vAlign w:val="bottom"/>
            <w:tcBorders>
              <w:bottom w:val="single" w:sz="8" w:color="D0EBF2"/>
            </w:tcBorders>
            <w:shd w:val="clear" w:color="auto" w:fill="FDFDFC"/>
          </w:tcPr>
          <w:p>
            <w:pPr>
              <w:spacing w:after="0"/>
              <w:rPr>
                <w:sz w:val="16"/>
                <w:szCs w:val="16"/>
                <w:color w:val="auto"/>
              </w:rPr>
            </w:pPr>
          </w:p>
        </w:tc>
      </w:tr>
      <w:tr>
        <w:trPr>
          <w:trHeight w:val="220"/>
        </w:trPr>
        <w:tc>
          <w:tcPr>
            <w:tcW w:w="4560" w:type="dxa"/>
            <w:vAlign w:val="bottom"/>
            <w:shd w:val="clear" w:color="auto" w:fill="D0EBF2"/>
          </w:tcPr>
          <w:p>
            <w:pPr>
              <w:spacing w:after="0"/>
              <w:rPr>
                <w:sz w:val="20"/>
                <w:szCs w:val="20"/>
                <w:color w:val="auto"/>
              </w:rPr>
            </w:pPr>
            <w:r>
              <w:rPr>
                <w:rFonts w:ascii="Times New Roman" w:cs="Times New Roman" w:eastAsia="Times New Roman" w:hAnsi="Times New Roman"/>
                <w:sz w:val="19"/>
                <w:szCs w:val="19"/>
                <w:color w:val="231F20"/>
              </w:rPr>
              <w:t>Revolving Credit Facility</w:t>
            </w:r>
          </w:p>
        </w:tc>
        <w:tc>
          <w:tcPr>
            <w:tcW w:w="100" w:type="dxa"/>
            <w:vAlign w:val="bottom"/>
            <w:shd w:val="clear" w:color="auto" w:fill="D0EBF2"/>
          </w:tcPr>
          <w:p>
            <w:pPr>
              <w:spacing w:after="0"/>
              <w:rPr>
                <w:sz w:val="19"/>
                <w:szCs w:val="19"/>
                <w:color w:val="auto"/>
              </w:rPr>
            </w:pPr>
          </w:p>
        </w:tc>
        <w:tc>
          <w:tcPr>
            <w:tcW w:w="180" w:type="dxa"/>
            <w:vAlign w:val="bottom"/>
            <w:shd w:val="clear" w:color="auto" w:fill="D0EBF2"/>
          </w:tcPr>
          <w:p>
            <w:pPr>
              <w:jc w:val="right"/>
              <w:spacing w:after="0"/>
              <w:rPr>
                <w:sz w:val="20"/>
                <w:szCs w:val="20"/>
                <w:color w:val="auto"/>
              </w:rPr>
            </w:pPr>
            <w:r>
              <w:rPr>
                <w:rFonts w:ascii="Times New Roman" w:cs="Times New Roman" w:eastAsia="Times New Roman" w:hAnsi="Times New Roman"/>
                <w:sz w:val="19"/>
                <w:szCs w:val="19"/>
                <w:color w:val="231F20"/>
                <w:w w:val="83"/>
                <w:shd w:val="clear" w:color="auto" w:fill="D0EBF2"/>
              </w:rPr>
              <w:t>$</w:t>
            </w:r>
          </w:p>
        </w:tc>
        <w:tc>
          <w:tcPr>
            <w:tcW w:w="740" w:type="dxa"/>
            <w:vAlign w:val="bottom"/>
            <w:shd w:val="clear" w:color="auto" w:fill="D0EBF2"/>
          </w:tcPr>
          <w:p>
            <w:pPr>
              <w:jc w:val="right"/>
              <w:spacing w:after="0"/>
              <w:rPr>
                <w:sz w:val="20"/>
                <w:szCs w:val="20"/>
                <w:color w:val="auto"/>
              </w:rPr>
            </w:pPr>
            <w:r>
              <w:rPr>
                <w:rFonts w:ascii="Times New Roman" w:cs="Times New Roman" w:eastAsia="Times New Roman" w:hAnsi="Times New Roman"/>
                <w:sz w:val="19"/>
                <w:szCs w:val="19"/>
                <w:color w:val="231F20"/>
                <w:shd w:val="clear" w:color="auto" w:fill="D0EBF2"/>
              </w:rPr>
              <w:t>1,004.1</w:t>
            </w:r>
          </w:p>
        </w:tc>
        <w:tc>
          <w:tcPr>
            <w:tcW w:w="220" w:type="dxa"/>
            <w:vAlign w:val="bottom"/>
            <w:shd w:val="clear" w:color="auto" w:fill="D0EBF2"/>
          </w:tcPr>
          <w:p>
            <w:pPr>
              <w:spacing w:after="0"/>
              <w:rPr>
                <w:sz w:val="19"/>
                <w:szCs w:val="19"/>
                <w:color w:val="auto"/>
              </w:rPr>
            </w:pPr>
          </w:p>
        </w:tc>
        <w:tc>
          <w:tcPr>
            <w:tcW w:w="120" w:type="dxa"/>
            <w:vAlign w:val="bottom"/>
            <w:shd w:val="clear" w:color="auto" w:fill="D0EBF2"/>
          </w:tcPr>
          <w:p>
            <w:pPr>
              <w:jc w:val="right"/>
              <w:spacing w:after="0"/>
              <w:rPr>
                <w:sz w:val="20"/>
                <w:szCs w:val="20"/>
                <w:color w:val="auto"/>
              </w:rPr>
            </w:pPr>
            <w:r>
              <w:rPr>
                <w:rFonts w:ascii="Times New Roman" w:cs="Times New Roman" w:eastAsia="Times New Roman" w:hAnsi="Times New Roman"/>
                <w:sz w:val="19"/>
                <w:szCs w:val="19"/>
                <w:color w:val="231F20"/>
                <w:w w:val="83"/>
              </w:rPr>
              <w:t>$</w:t>
            </w:r>
          </w:p>
        </w:tc>
        <w:tc>
          <w:tcPr>
            <w:tcW w:w="780" w:type="dxa"/>
            <w:vAlign w:val="bottom"/>
            <w:shd w:val="clear" w:color="auto" w:fill="D0EBF2"/>
          </w:tcPr>
          <w:p>
            <w:pPr>
              <w:ind w:left="580"/>
              <w:spacing w:after="0"/>
              <w:rPr>
                <w:sz w:val="20"/>
                <w:szCs w:val="20"/>
                <w:color w:val="auto"/>
              </w:rPr>
            </w:pPr>
            <w:r>
              <w:rPr>
                <w:rFonts w:ascii="Times New Roman" w:cs="Times New Roman" w:eastAsia="Times New Roman" w:hAnsi="Times New Roman"/>
                <w:sz w:val="19"/>
                <w:szCs w:val="19"/>
                <w:color w:val="231F20"/>
                <w:w w:val="94"/>
              </w:rPr>
              <w:t>—</w:t>
            </w:r>
          </w:p>
        </w:tc>
        <w:tc>
          <w:tcPr>
            <w:tcW w:w="220" w:type="dxa"/>
            <w:vAlign w:val="bottom"/>
            <w:shd w:val="clear" w:color="auto" w:fill="D0EBF2"/>
          </w:tcPr>
          <w:p>
            <w:pPr>
              <w:spacing w:after="0"/>
              <w:rPr>
                <w:sz w:val="19"/>
                <w:szCs w:val="19"/>
                <w:color w:val="auto"/>
              </w:rPr>
            </w:pPr>
          </w:p>
        </w:tc>
        <w:tc>
          <w:tcPr>
            <w:tcW w:w="120" w:type="dxa"/>
            <w:vAlign w:val="bottom"/>
            <w:shd w:val="clear" w:color="auto" w:fill="D0EBF2"/>
          </w:tcPr>
          <w:p>
            <w:pPr>
              <w:jc w:val="right"/>
              <w:spacing w:after="0"/>
              <w:rPr>
                <w:sz w:val="20"/>
                <w:szCs w:val="20"/>
                <w:color w:val="auto"/>
              </w:rPr>
            </w:pPr>
            <w:r>
              <w:rPr>
                <w:rFonts w:ascii="Times New Roman" w:cs="Times New Roman" w:eastAsia="Times New Roman" w:hAnsi="Times New Roman"/>
                <w:sz w:val="19"/>
                <w:szCs w:val="19"/>
                <w:color w:val="231F20"/>
                <w:w w:val="83"/>
              </w:rPr>
              <w:t>$</w:t>
            </w:r>
          </w:p>
        </w:tc>
        <w:tc>
          <w:tcPr>
            <w:tcW w:w="800" w:type="dxa"/>
            <w:vAlign w:val="bottom"/>
            <w:shd w:val="clear" w:color="auto" w:fill="D0EBF2"/>
          </w:tcPr>
          <w:p>
            <w:pPr>
              <w:jc w:val="right"/>
              <w:spacing w:after="0"/>
              <w:rPr>
                <w:sz w:val="20"/>
                <w:szCs w:val="20"/>
                <w:color w:val="auto"/>
              </w:rPr>
            </w:pPr>
            <w:r>
              <w:rPr>
                <w:rFonts w:ascii="Times New Roman" w:cs="Times New Roman" w:eastAsia="Times New Roman" w:hAnsi="Times New Roman"/>
                <w:sz w:val="19"/>
                <w:szCs w:val="19"/>
                <w:color w:val="231F20"/>
              </w:rPr>
              <w:t>—</w:t>
            </w:r>
          </w:p>
        </w:tc>
        <w:tc>
          <w:tcPr>
            <w:tcW w:w="220" w:type="dxa"/>
            <w:vAlign w:val="bottom"/>
            <w:shd w:val="clear" w:color="auto" w:fill="D0EBF2"/>
          </w:tcPr>
          <w:p>
            <w:pPr>
              <w:spacing w:after="0"/>
              <w:rPr>
                <w:sz w:val="19"/>
                <w:szCs w:val="19"/>
                <w:color w:val="auto"/>
              </w:rPr>
            </w:pPr>
          </w:p>
        </w:tc>
        <w:tc>
          <w:tcPr>
            <w:tcW w:w="120" w:type="dxa"/>
            <w:vAlign w:val="bottom"/>
            <w:shd w:val="clear" w:color="auto" w:fill="D0EBF2"/>
          </w:tcPr>
          <w:p>
            <w:pPr>
              <w:jc w:val="right"/>
              <w:spacing w:after="0"/>
              <w:rPr>
                <w:sz w:val="20"/>
                <w:szCs w:val="20"/>
                <w:color w:val="auto"/>
              </w:rPr>
            </w:pPr>
            <w:r>
              <w:rPr>
                <w:rFonts w:ascii="Times New Roman" w:cs="Times New Roman" w:eastAsia="Times New Roman" w:hAnsi="Times New Roman"/>
                <w:sz w:val="19"/>
                <w:szCs w:val="19"/>
                <w:color w:val="231F20"/>
                <w:w w:val="83"/>
                <w:shd w:val="clear" w:color="auto" w:fill="D0EBF2"/>
              </w:rPr>
              <w:t>$</w:t>
            </w:r>
          </w:p>
        </w:tc>
        <w:tc>
          <w:tcPr>
            <w:tcW w:w="780" w:type="dxa"/>
            <w:vAlign w:val="bottom"/>
            <w:shd w:val="clear" w:color="auto" w:fill="D0EBF2"/>
          </w:tcPr>
          <w:p>
            <w:pPr>
              <w:jc w:val="right"/>
              <w:spacing w:after="0"/>
              <w:rPr>
                <w:sz w:val="20"/>
                <w:szCs w:val="20"/>
                <w:color w:val="auto"/>
              </w:rPr>
            </w:pPr>
            <w:r>
              <w:rPr>
                <w:rFonts w:ascii="Times New Roman" w:cs="Times New Roman" w:eastAsia="Times New Roman" w:hAnsi="Times New Roman"/>
                <w:sz w:val="19"/>
                <w:szCs w:val="19"/>
                <w:color w:val="231F20"/>
                <w:shd w:val="clear" w:color="auto" w:fill="D0EBF2"/>
              </w:rPr>
              <w:t>1,004.1</w:t>
            </w:r>
          </w:p>
        </w:tc>
        <w:tc>
          <w:tcPr>
            <w:tcW w:w="220" w:type="dxa"/>
            <w:vAlign w:val="bottom"/>
            <w:shd w:val="clear" w:color="auto" w:fill="D0EBF2"/>
          </w:tcPr>
          <w:p>
            <w:pPr>
              <w:spacing w:after="0"/>
              <w:rPr>
                <w:sz w:val="19"/>
                <w:szCs w:val="19"/>
                <w:color w:val="auto"/>
              </w:rPr>
            </w:pPr>
          </w:p>
        </w:tc>
        <w:tc>
          <w:tcPr>
            <w:tcW w:w="400" w:type="dxa"/>
            <w:vAlign w:val="bottom"/>
            <w:shd w:val="clear" w:color="auto" w:fill="D0EBF2"/>
          </w:tcPr>
          <w:p>
            <w:pPr>
              <w:spacing w:after="0"/>
              <w:rPr>
                <w:sz w:val="20"/>
                <w:szCs w:val="20"/>
                <w:color w:val="auto"/>
              </w:rPr>
            </w:pPr>
            <w:r>
              <w:rPr>
                <w:rFonts w:ascii="Times New Roman" w:cs="Times New Roman" w:eastAsia="Times New Roman" w:hAnsi="Times New Roman"/>
                <w:sz w:val="19"/>
                <w:szCs w:val="19"/>
                <w:color w:val="231F20"/>
              </w:rPr>
              <w:t>$</w:t>
            </w:r>
          </w:p>
        </w:tc>
        <w:tc>
          <w:tcPr>
            <w:tcW w:w="520" w:type="dxa"/>
            <w:vAlign w:val="bottom"/>
            <w:shd w:val="clear" w:color="auto" w:fill="D0EBF2"/>
          </w:tcPr>
          <w:p>
            <w:pPr>
              <w:ind w:left="300"/>
              <w:spacing w:after="0"/>
              <w:rPr>
                <w:sz w:val="20"/>
                <w:szCs w:val="20"/>
                <w:color w:val="auto"/>
              </w:rPr>
            </w:pPr>
            <w:r>
              <w:rPr>
                <w:rFonts w:ascii="Times New Roman" w:cs="Times New Roman" w:eastAsia="Times New Roman" w:hAnsi="Times New Roman"/>
                <w:sz w:val="19"/>
                <w:szCs w:val="19"/>
                <w:color w:val="231F20"/>
              </w:rPr>
              <w:t>—</w:t>
            </w:r>
          </w:p>
        </w:tc>
        <w:tc>
          <w:tcPr>
            <w:tcW w:w="20" w:type="dxa"/>
            <w:vAlign w:val="bottom"/>
            <w:shd w:val="clear" w:color="auto" w:fill="D0EBF2"/>
          </w:tcPr>
          <w:p>
            <w:pPr>
              <w:spacing w:after="0"/>
              <w:rPr>
                <w:sz w:val="19"/>
                <w:szCs w:val="19"/>
                <w:color w:val="auto"/>
              </w:rPr>
            </w:pPr>
          </w:p>
        </w:tc>
        <w:tc>
          <w:tcPr>
            <w:tcW w:w="80" w:type="dxa"/>
            <w:vAlign w:val="bottom"/>
            <w:shd w:val="clear" w:color="auto" w:fill="D0EBF2"/>
          </w:tcPr>
          <w:p>
            <w:pPr>
              <w:spacing w:after="0"/>
              <w:rPr>
                <w:sz w:val="19"/>
                <w:szCs w:val="19"/>
                <w:color w:val="auto"/>
              </w:rPr>
            </w:pPr>
          </w:p>
        </w:tc>
      </w:tr>
      <w:tr>
        <w:trPr>
          <w:trHeight w:val="230"/>
        </w:trPr>
        <w:tc>
          <w:tcPr>
            <w:tcW w:w="4560" w:type="dxa"/>
            <w:vAlign w:val="bottom"/>
            <w:shd w:val="clear" w:color="auto" w:fill="FDFDFC"/>
          </w:tcPr>
          <w:p>
            <w:pPr>
              <w:spacing w:after="0"/>
              <w:rPr>
                <w:sz w:val="20"/>
                <w:szCs w:val="20"/>
                <w:color w:val="auto"/>
              </w:rPr>
            </w:pPr>
            <w:r>
              <w:rPr>
                <w:rFonts w:ascii="Times New Roman" w:cs="Times New Roman" w:eastAsia="Times New Roman" w:hAnsi="Times New Roman"/>
                <w:sz w:val="19"/>
                <w:szCs w:val="19"/>
                <w:color w:val="231F20"/>
              </w:rPr>
              <w:t>2026 Notes</w:t>
            </w:r>
          </w:p>
        </w:tc>
        <w:tc>
          <w:tcPr>
            <w:tcW w:w="100" w:type="dxa"/>
            <w:vAlign w:val="bottom"/>
            <w:shd w:val="clear" w:color="auto" w:fill="FDFDFC"/>
          </w:tcPr>
          <w:p>
            <w:pPr>
              <w:spacing w:after="0"/>
              <w:rPr>
                <w:sz w:val="20"/>
                <w:szCs w:val="20"/>
                <w:color w:val="auto"/>
              </w:rPr>
            </w:pPr>
          </w:p>
        </w:tc>
        <w:tc>
          <w:tcPr>
            <w:tcW w:w="180" w:type="dxa"/>
            <w:vAlign w:val="bottom"/>
            <w:shd w:val="clear" w:color="auto" w:fill="FDFDFC"/>
          </w:tcPr>
          <w:p>
            <w:pPr>
              <w:spacing w:after="0"/>
              <w:rPr>
                <w:sz w:val="20"/>
                <w:szCs w:val="20"/>
                <w:color w:val="auto"/>
              </w:rPr>
            </w:pPr>
          </w:p>
        </w:tc>
        <w:tc>
          <w:tcPr>
            <w:tcW w:w="740" w:type="dxa"/>
            <w:vAlign w:val="bottom"/>
            <w:shd w:val="clear" w:color="auto" w:fill="FDFDFC"/>
          </w:tcPr>
          <w:p>
            <w:pPr>
              <w:jc w:val="right"/>
              <w:spacing w:after="0"/>
              <w:rPr>
                <w:sz w:val="20"/>
                <w:szCs w:val="20"/>
                <w:color w:val="auto"/>
              </w:rPr>
            </w:pPr>
            <w:r>
              <w:rPr>
                <w:rFonts w:ascii="Times New Roman" w:cs="Times New Roman" w:eastAsia="Times New Roman" w:hAnsi="Times New Roman"/>
                <w:sz w:val="19"/>
                <w:szCs w:val="19"/>
                <w:color w:val="231F20"/>
              </w:rPr>
              <w:t>300.0</w:t>
            </w:r>
          </w:p>
        </w:tc>
        <w:tc>
          <w:tcPr>
            <w:tcW w:w="220" w:type="dxa"/>
            <w:vAlign w:val="bottom"/>
            <w:shd w:val="clear" w:color="auto" w:fill="FDFDFC"/>
          </w:tcPr>
          <w:p>
            <w:pPr>
              <w:spacing w:after="0"/>
              <w:rPr>
                <w:sz w:val="20"/>
                <w:szCs w:val="20"/>
                <w:color w:val="auto"/>
              </w:rPr>
            </w:pPr>
          </w:p>
        </w:tc>
        <w:tc>
          <w:tcPr>
            <w:tcW w:w="120" w:type="dxa"/>
            <w:vAlign w:val="bottom"/>
            <w:shd w:val="clear" w:color="auto" w:fill="FDFDFC"/>
          </w:tcPr>
          <w:p>
            <w:pPr>
              <w:spacing w:after="0"/>
              <w:rPr>
                <w:sz w:val="20"/>
                <w:szCs w:val="20"/>
                <w:color w:val="auto"/>
              </w:rPr>
            </w:pPr>
          </w:p>
        </w:tc>
        <w:tc>
          <w:tcPr>
            <w:tcW w:w="780" w:type="dxa"/>
            <w:vAlign w:val="bottom"/>
            <w:shd w:val="clear" w:color="auto" w:fill="FDFDFC"/>
          </w:tcPr>
          <w:p>
            <w:pPr>
              <w:ind w:left="580"/>
              <w:spacing w:after="0"/>
              <w:rPr>
                <w:sz w:val="20"/>
                <w:szCs w:val="20"/>
                <w:color w:val="auto"/>
              </w:rPr>
            </w:pPr>
            <w:r>
              <w:rPr>
                <w:rFonts w:ascii="Times New Roman" w:cs="Times New Roman" w:eastAsia="Times New Roman" w:hAnsi="Times New Roman"/>
                <w:sz w:val="19"/>
                <w:szCs w:val="19"/>
                <w:color w:val="231F20"/>
                <w:w w:val="94"/>
              </w:rPr>
              <w:t>—</w:t>
            </w:r>
          </w:p>
        </w:tc>
        <w:tc>
          <w:tcPr>
            <w:tcW w:w="220" w:type="dxa"/>
            <w:vAlign w:val="bottom"/>
            <w:shd w:val="clear" w:color="auto" w:fill="FDFDFC"/>
          </w:tcPr>
          <w:p>
            <w:pPr>
              <w:spacing w:after="0"/>
              <w:rPr>
                <w:sz w:val="20"/>
                <w:szCs w:val="20"/>
                <w:color w:val="auto"/>
              </w:rPr>
            </w:pPr>
          </w:p>
        </w:tc>
        <w:tc>
          <w:tcPr>
            <w:tcW w:w="120" w:type="dxa"/>
            <w:vAlign w:val="bottom"/>
            <w:shd w:val="clear" w:color="auto" w:fill="FDFDFC"/>
          </w:tcPr>
          <w:p>
            <w:pPr>
              <w:spacing w:after="0"/>
              <w:rPr>
                <w:sz w:val="20"/>
                <w:szCs w:val="20"/>
                <w:color w:val="auto"/>
              </w:rPr>
            </w:pPr>
          </w:p>
        </w:tc>
        <w:tc>
          <w:tcPr>
            <w:tcW w:w="800" w:type="dxa"/>
            <w:vAlign w:val="bottom"/>
            <w:shd w:val="clear" w:color="auto" w:fill="FDFDFC"/>
          </w:tcPr>
          <w:p>
            <w:pPr>
              <w:jc w:val="right"/>
              <w:spacing w:after="0"/>
              <w:rPr>
                <w:sz w:val="20"/>
                <w:szCs w:val="20"/>
                <w:color w:val="auto"/>
              </w:rPr>
            </w:pPr>
            <w:r>
              <w:rPr>
                <w:rFonts w:ascii="Times New Roman" w:cs="Times New Roman" w:eastAsia="Times New Roman" w:hAnsi="Times New Roman"/>
                <w:sz w:val="19"/>
                <w:szCs w:val="19"/>
                <w:color w:val="231F20"/>
              </w:rPr>
              <w:t>300.0</w:t>
            </w:r>
          </w:p>
        </w:tc>
        <w:tc>
          <w:tcPr>
            <w:tcW w:w="220" w:type="dxa"/>
            <w:vAlign w:val="bottom"/>
            <w:shd w:val="clear" w:color="auto" w:fill="FDFDFC"/>
          </w:tcPr>
          <w:p>
            <w:pPr>
              <w:spacing w:after="0"/>
              <w:rPr>
                <w:sz w:val="20"/>
                <w:szCs w:val="20"/>
                <w:color w:val="auto"/>
              </w:rPr>
            </w:pPr>
          </w:p>
        </w:tc>
        <w:tc>
          <w:tcPr>
            <w:tcW w:w="120" w:type="dxa"/>
            <w:vAlign w:val="bottom"/>
            <w:shd w:val="clear" w:color="auto" w:fill="FDFDFC"/>
          </w:tcPr>
          <w:p>
            <w:pPr>
              <w:spacing w:after="0"/>
              <w:rPr>
                <w:sz w:val="20"/>
                <w:szCs w:val="20"/>
                <w:color w:val="auto"/>
              </w:rPr>
            </w:pPr>
          </w:p>
        </w:tc>
        <w:tc>
          <w:tcPr>
            <w:tcW w:w="780" w:type="dxa"/>
            <w:vAlign w:val="bottom"/>
            <w:shd w:val="clear" w:color="auto" w:fill="FDFDFC"/>
          </w:tcPr>
          <w:p>
            <w:pPr>
              <w:jc w:val="right"/>
              <w:spacing w:after="0"/>
              <w:rPr>
                <w:sz w:val="20"/>
                <w:szCs w:val="20"/>
                <w:color w:val="auto"/>
              </w:rPr>
            </w:pPr>
            <w:r>
              <w:rPr>
                <w:rFonts w:ascii="Times New Roman" w:cs="Times New Roman" w:eastAsia="Times New Roman" w:hAnsi="Times New Roman"/>
                <w:sz w:val="19"/>
                <w:szCs w:val="19"/>
                <w:color w:val="231F20"/>
              </w:rPr>
              <w:t>—</w:t>
            </w:r>
          </w:p>
        </w:tc>
        <w:tc>
          <w:tcPr>
            <w:tcW w:w="220" w:type="dxa"/>
            <w:vAlign w:val="bottom"/>
            <w:shd w:val="clear" w:color="auto" w:fill="FDFDFC"/>
          </w:tcPr>
          <w:p>
            <w:pPr>
              <w:spacing w:after="0"/>
              <w:rPr>
                <w:sz w:val="20"/>
                <w:szCs w:val="20"/>
                <w:color w:val="auto"/>
              </w:rPr>
            </w:pPr>
          </w:p>
        </w:tc>
        <w:tc>
          <w:tcPr>
            <w:tcW w:w="400" w:type="dxa"/>
            <w:vAlign w:val="bottom"/>
            <w:shd w:val="clear" w:color="auto" w:fill="FDFDFC"/>
          </w:tcPr>
          <w:p>
            <w:pPr>
              <w:spacing w:after="0"/>
              <w:rPr>
                <w:sz w:val="20"/>
                <w:szCs w:val="20"/>
                <w:color w:val="auto"/>
              </w:rPr>
            </w:pPr>
          </w:p>
        </w:tc>
        <w:tc>
          <w:tcPr>
            <w:tcW w:w="520" w:type="dxa"/>
            <w:vAlign w:val="bottom"/>
            <w:shd w:val="clear" w:color="auto" w:fill="FDFDFC"/>
          </w:tcPr>
          <w:p>
            <w:pPr>
              <w:ind w:left="300"/>
              <w:spacing w:after="0"/>
              <w:rPr>
                <w:sz w:val="20"/>
                <w:szCs w:val="20"/>
                <w:color w:val="auto"/>
              </w:rPr>
            </w:pPr>
            <w:r>
              <w:rPr>
                <w:rFonts w:ascii="Times New Roman" w:cs="Times New Roman" w:eastAsia="Times New Roman" w:hAnsi="Times New Roman"/>
                <w:sz w:val="19"/>
                <w:szCs w:val="19"/>
                <w:color w:val="231F20"/>
              </w:rPr>
              <w:t>—</w:t>
            </w:r>
          </w:p>
        </w:tc>
        <w:tc>
          <w:tcPr>
            <w:tcW w:w="20" w:type="dxa"/>
            <w:vAlign w:val="bottom"/>
            <w:shd w:val="clear" w:color="auto" w:fill="FDFDFC"/>
          </w:tcPr>
          <w:p>
            <w:pPr>
              <w:spacing w:after="0"/>
              <w:rPr>
                <w:sz w:val="20"/>
                <w:szCs w:val="20"/>
                <w:color w:val="auto"/>
              </w:rPr>
            </w:pPr>
          </w:p>
        </w:tc>
        <w:tc>
          <w:tcPr>
            <w:tcW w:w="80" w:type="dxa"/>
            <w:vAlign w:val="bottom"/>
            <w:shd w:val="clear" w:color="auto" w:fill="FDFDFC"/>
          </w:tcPr>
          <w:p>
            <w:pPr>
              <w:spacing w:after="0"/>
              <w:rPr>
                <w:sz w:val="20"/>
                <w:szCs w:val="20"/>
                <w:color w:val="auto"/>
              </w:rPr>
            </w:pPr>
          </w:p>
        </w:tc>
      </w:tr>
      <w:tr>
        <w:trPr>
          <w:trHeight w:val="230"/>
        </w:trPr>
        <w:tc>
          <w:tcPr>
            <w:tcW w:w="4560" w:type="dxa"/>
            <w:vAlign w:val="bottom"/>
            <w:shd w:val="clear" w:color="auto" w:fill="D0EBF2"/>
          </w:tcPr>
          <w:p>
            <w:pPr>
              <w:spacing w:after="0"/>
              <w:rPr>
                <w:sz w:val="20"/>
                <w:szCs w:val="20"/>
                <w:color w:val="auto"/>
              </w:rPr>
            </w:pPr>
            <w:r>
              <w:rPr>
                <w:rFonts w:ascii="Times New Roman" w:cs="Times New Roman" w:eastAsia="Times New Roman" w:hAnsi="Times New Roman"/>
                <w:sz w:val="19"/>
                <w:szCs w:val="19"/>
                <w:color w:val="231F20"/>
              </w:rPr>
              <w:t>2028 Notes</w:t>
            </w:r>
          </w:p>
        </w:tc>
        <w:tc>
          <w:tcPr>
            <w:tcW w:w="100" w:type="dxa"/>
            <w:vAlign w:val="bottom"/>
            <w:shd w:val="clear" w:color="auto" w:fill="D0EBF2"/>
          </w:tcPr>
          <w:p>
            <w:pPr>
              <w:spacing w:after="0"/>
              <w:rPr>
                <w:sz w:val="20"/>
                <w:szCs w:val="20"/>
                <w:color w:val="auto"/>
              </w:rPr>
            </w:pPr>
          </w:p>
        </w:tc>
        <w:tc>
          <w:tcPr>
            <w:tcW w:w="180" w:type="dxa"/>
            <w:vAlign w:val="bottom"/>
            <w:shd w:val="clear" w:color="auto" w:fill="D0EBF2"/>
          </w:tcPr>
          <w:p>
            <w:pPr>
              <w:spacing w:after="0"/>
              <w:rPr>
                <w:sz w:val="20"/>
                <w:szCs w:val="20"/>
                <w:color w:val="auto"/>
              </w:rPr>
            </w:pPr>
          </w:p>
        </w:tc>
        <w:tc>
          <w:tcPr>
            <w:tcW w:w="740" w:type="dxa"/>
            <w:vAlign w:val="bottom"/>
            <w:shd w:val="clear" w:color="auto" w:fill="D0EBF2"/>
          </w:tcPr>
          <w:p>
            <w:pPr>
              <w:jc w:val="right"/>
              <w:spacing w:after="0"/>
              <w:rPr>
                <w:sz w:val="20"/>
                <w:szCs w:val="20"/>
                <w:color w:val="auto"/>
              </w:rPr>
            </w:pPr>
            <w:r>
              <w:rPr>
                <w:rFonts w:ascii="Times New Roman" w:cs="Times New Roman" w:eastAsia="Times New Roman" w:hAnsi="Times New Roman"/>
                <w:sz w:val="19"/>
                <w:szCs w:val="19"/>
                <w:color w:val="231F20"/>
              </w:rPr>
              <w:t>300.0</w:t>
            </w:r>
          </w:p>
        </w:tc>
        <w:tc>
          <w:tcPr>
            <w:tcW w:w="220" w:type="dxa"/>
            <w:vAlign w:val="bottom"/>
            <w:shd w:val="clear" w:color="auto" w:fill="D0EBF2"/>
          </w:tcPr>
          <w:p>
            <w:pPr>
              <w:spacing w:after="0"/>
              <w:rPr>
                <w:sz w:val="20"/>
                <w:szCs w:val="20"/>
                <w:color w:val="auto"/>
              </w:rPr>
            </w:pPr>
          </w:p>
        </w:tc>
        <w:tc>
          <w:tcPr>
            <w:tcW w:w="120" w:type="dxa"/>
            <w:vAlign w:val="bottom"/>
            <w:shd w:val="clear" w:color="auto" w:fill="D0EBF2"/>
          </w:tcPr>
          <w:p>
            <w:pPr>
              <w:spacing w:after="0"/>
              <w:rPr>
                <w:sz w:val="20"/>
                <w:szCs w:val="20"/>
                <w:color w:val="auto"/>
              </w:rPr>
            </w:pPr>
          </w:p>
        </w:tc>
        <w:tc>
          <w:tcPr>
            <w:tcW w:w="780" w:type="dxa"/>
            <w:vAlign w:val="bottom"/>
            <w:shd w:val="clear" w:color="auto" w:fill="D0EBF2"/>
          </w:tcPr>
          <w:p>
            <w:pPr>
              <w:ind w:left="580"/>
              <w:spacing w:after="0"/>
              <w:rPr>
                <w:sz w:val="20"/>
                <w:szCs w:val="20"/>
                <w:color w:val="auto"/>
              </w:rPr>
            </w:pPr>
            <w:r>
              <w:rPr>
                <w:rFonts w:ascii="Times New Roman" w:cs="Times New Roman" w:eastAsia="Times New Roman" w:hAnsi="Times New Roman"/>
                <w:sz w:val="19"/>
                <w:szCs w:val="19"/>
                <w:color w:val="231F20"/>
                <w:w w:val="94"/>
              </w:rPr>
              <w:t>—</w:t>
            </w:r>
          </w:p>
        </w:tc>
        <w:tc>
          <w:tcPr>
            <w:tcW w:w="220" w:type="dxa"/>
            <w:vAlign w:val="bottom"/>
            <w:shd w:val="clear" w:color="auto" w:fill="D0EBF2"/>
          </w:tcPr>
          <w:p>
            <w:pPr>
              <w:spacing w:after="0"/>
              <w:rPr>
                <w:sz w:val="20"/>
                <w:szCs w:val="20"/>
                <w:color w:val="auto"/>
              </w:rPr>
            </w:pPr>
          </w:p>
        </w:tc>
        <w:tc>
          <w:tcPr>
            <w:tcW w:w="120" w:type="dxa"/>
            <w:vAlign w:val="bottom"/>
            <w:shd w:val="clear" w:color="auto" w:fill="D0EBF2"/>
          </w:tcPr>
          <w:p>
            <w:pPr>
              <w:spacing w:after="0"/>
              <w:rPr>
                <w:sz w:val="20"/>
                <w:szCs w:val="20"/>
                <w:color w:val="auto"/>
              </w:rPr>
            </w:pPr>
          </w:p>
        </w:tc>
        <w:tc>
          <w:tcPr>
            <w:tcW w:w="800" w:type="dxa"/>
            <w:vAlign w:val="bottom"/>
            <w:shd w:val="clear" w:color="auto" w:fill="D0EBF2"/>
          </w:tcPr>
          <w:p>
            <w:pPr>
              <w:jc w:val="right"/>
              <w:spacing w:after="0"/>
              <w:rPr>
                <w:sz w:val="20"/>
                <w:szCs w:val="20"/>
                <w:color w:val="auto"/>
              </w:rPr>
            </w:pPr>
            <w:r>
              <w:rPr>
                <w:rFonts w:ascii="Times New Roman" w:cs="Times New Roman" w:eastAsia="Times New Roman" w:hAnsi="Times New Roman"/>
                <w:sz w:val="19"/>
                <w:szCs w:val="19"/>
                <w:color w:val="231F20"/>
              </w:rPr>
              <w:t>—</w:t>
            </w:r>
          </w:p>
        </w:tc>
        <w:tc>
          <w:tcPr>
            <w:tcW w:w="220" w:type="dxa"/>
            <w:vAlign w:val="bottom"/>
            <w:shd w:val="clear" w:color="auto" w:fill="D0EBF2"/>
          </w:tcPr>
          <w:p>
            <w:pPr>
              <w:spacing w:after="0"/>
              <w:rPr>
                <w:sz w:val="20"/>
                <w:szCs w:val="20"/>
                <w:color w:val="auto"/>
              </w:rPr>
            </w:pPr>
          </w:p>
        </w:tc>
        <w:tc>
          <w:tcPr>
            <w:tcW w:w="120" w:type="dxa"/>
            <w:vAlign w:val="bottom"/>
            <w:shd w:val="clear" w:color="auto" w:fill="D0EBF2"/>
          </w:tcPr>
          <w:p>
            <w:pPr>
              <w:spacing w:after="0"/>
              <w:rPr>
                <w:sz w:val="20"/>
                <w:szCs w:val="20"/>
                <w:color w:val="auto"/>
              </w:rPr>
            </w:pPr>
          </w:p>
        </w:tc>
        <w:tc>
          <w:tcPr>
            <w:tcW w:w="780" w:type="dxa"/>
            <w:vAlign w:val="bottom"/>
            <w:shd w:val="clear" w:color="auto" w:fill="D0EBF2"/>
          </w:tcPr>
          <w:p>
            <w:pPr>
              <w:jc w:val="right"/>
              <w:spacing w:after="0"/>
              <w:rPr>
                <w:sz w:val="20"/>
                <w:szCs w:val="20"/>
                <w:color w:val="auto"/>
              </w:rPr>
            </w:pPr>
            <w:r>
              <w:rPr>
                <w:rFonts w:ascii="Times New Roman" w:cs="Times New Roman" w:eastAsia="Times New Roman" w:hAnsi="Times New Roman"/>
                <w:sz w:val="19"/>
                <w:szCs w:val="19"/>
                <w:color w:val="231F20"/>
              </w:rPr>
              <w:t>300.0</w:t>
            </w:r>
          </w:p>
        </w:tc>
        <w:tc>
          <w:tcPr>
            <w:tcW w:w="220" w:type="dxa"/>
            <w:vAlign w:val="bottom"/>
            <w:shd w:val="clear" w:color="auto" w:fill="D0EBF2"/>
          </w:tcPr>
          <w:p>
            <w:pPr>
              <w:spacing w:after="0"/>
              <w:rPr>
                <w:sz w:val="20"/>
                <w:szCs w:val="20"/>
                <w:color w:val="auto"/>
              </w:rPr>
            </w:pPr>
          </w:p>
        </w:tc>
        <w:tc>
          <w:tcPr>
            <w:tcW w:w="400" w:type="dxa"/>
            <w:vAlign w:val="bottom"/>
            <w:shd w:val="clear" w:color="auto" w:fill="D0EBF2"/>
          </w:tcPr>
          <w:p>
            <w:pPr>
              <w:spacing w:after="0"/>
              <w:rPr>
                <w:sz w:val="20"/>
                <w:szCs w:val="20"/>
                <w:color w:val="auto"/>
              </w:rPr>
            </w:pPr>
          </w:p>
        </w:tc>
        <w:tc>
          <w:tcPr>
            <w:tcW w:w="620" w:type="dxa"/>
            <w:vAlign w:val="bottom"/>
            <w:gridSpan w:val="3"/>
            <w:shd w:val="clear" w:color="auto" w:fill="D0EBF2"/>
          </w:tcPr>
          <w:p>
            <w:pPr>
              <w:ind w:left="300"/>
              <w:spacing w:after="0"/>
              <w:rPr>
                <w:sz w:val="20"/>
                <w:szCs w:val="20"/>
                <w:color w:val="auto"/>
              </w:rPr>
            </w:pPr>
            <w:r>
              <w:rPr>
                <w:rFonts w:ascii="Times New Roman" w:cs="Times New Roman" w:eastAsia="Times New Roman" w:hAnsi="Times New Roman"/>
                <w:sz w:val="19"/>
                <w:szCs w:val="19"/>
                <w:color w:val="231F20"/>
              </w:rPr>
              <w:t>—</w:t>
            </w:r>
          </w:p>
        </w:tc>
      </w:tr>
      <w:tr>
        <w:trPr>
          <w:trHeight w:val="230"/>
        </w:trPr>
        <w:tc>
          <w:tcPr>
            <w:tcW w:w="4560" w:type="dxa"/>
            <w:vAlign w:val="bottom"/>
            <w:shd w:val="clear" w:color="auto" w:fill="FDFDFC"/>
          </w:tcPr>
          <w:p>
            <w:pPr>
              <w:spacing w:after="0"/>
              <w:rPr>
                <w:sz w:val="20"/>
                <w:szCs w:val="20"/>
                <w:color w:val="auto"/>
              </w:rPr>
            </w:pPr>
            <w:r>
              <w:rPr>
                <w:rFonts w:ascii="Times New Roman" w:cs="Times New Roman" w:eastAsia="Times New Roman" w:hAnsi="Times New Roman"/>
                <w:sz w:val="19"/>
                <w:szCs w:val="19"/>
                <w:color w:val="231F20"/>
              </w:rPr>
              <w:t>2029 Notes</w:t>
            </w:r>
          </w:p>
        </w:tc>
        <w:tc>
          <w:tcPr>
            <w:tcW w:w="100" w:type="dxa"/>
            <w:vAlign w:val="bottom"/>
            <w:shd w:val="clear" w:color="auto" w:fill="FDFDFC"/>
          </w:tcPr>
          <w:p>
            <w:pPr>
              <w:spacing w:after="0"/>
              <w:rPr>
                <w:sz w:val="20"/>
                <w:szCs w:val="20"/>
                <w:color w:val="auto"/>
              </w:rPr>
            </w:pPr>
          </w:p>
        </w:tc>
        <w:tc>
          <w:tcPr>
            <w:tcW w:w="180" w:type="dxa"/>
            <w:vAlign w:val="bottom"/>
            <w:shd w:val="clear" w:color="auto" w:fill="FDFDFC"/>
          </w:tcPr>
          <w:p>
            <w:pPr>
              <w:spacing w:after="0"/>
              <w:rPr>
                <w:sz w:val="20"/>
                <w:szCs w:val="20"/>
                <w:color w:val="auto"/>
              </w:rPr>
            </w:pPr>
          </w:p>
        </w:tc>
        <w:tc>
          <w:tcPr>
            <w:tcW w:w="740" w:type="dxa"/>
            <w:vAlign w:val="bottom"/>
            <w:shd w:val="clear" w:color="auto" w:fill="FDFDFC"/>
          </w:tcPr>
          <w:p>
            <w:pPr>
              <w:jc w:val="right"/>
              <w:spacing w:after="0"/>
              <w:rPr>
                <w:sz w:val="20"/>
                <w:szCs w:val="20"/>
                <w:color w:val="auto"/>
              </w:rPr>
            </w:pPr>
            <w:r>
              <w:rPr>
                <w:rFonts w:ascii="Times New Roman" w:cs="Times New Roman" w:eastAsia="Times New Roman" w:hAnsi="Times New Roman"/>
                <w:sz w:val="19"/>
                <w:szCs w:val="19"/>
                <w:color w:val="231F20"/>
              </w:rPr>
              <w:t>350.0</w:t>
            </w:r>
          </w:p>
        </w:tc>
        <w:tc>
          <w:tcPr>
            <w:tcW w:w="220" w:type="dxa"/>
            <w:vAlign w:val="bottom"/>
            <w:shd w:val="clear" w:color="auto" w:fill="FDFDFC"/>
          </w:tcPr>
          <w:p>
            <w:pPr>
              <w:spacing w:after="0"/>
              <w:rPr>
                <w:sz w:val="20"/>
                <w:szCs w:val="20"/>
                <w:color w:val="auto"/>
              </w:rPr>
            </w:pPr>
          </w:p>
        </w:tc>
        <w:tc>
          <w:tcPr>
            <w:tcW w:w="120" w:type="dxa"/>
            <w:vAlign w:val="bottom"/>
            <w:shd w:val="clear" w:color="auto" w:fill="FDFDFC"/>
          </w:tcPr>
          <w:p>
            <w:pPr>
              <w:spacing w:after="0"/>
              <w:rPr>
                <w:sz w:val="20"/>
                <w:szCs w:val="20"/>
                <w:color w:val="auto"/>
              </w:rPr>
            </w:pPr>
          </w:p>
        </w:tc>
        <w:tc>
          <w:tcPr>
            <w:tcW w:w="780" w:type="dxa"/>
            <w:vAlign w:val="bottom"/>
            <w:shd w:val="clear" w:color="auto" w:fill="FDFDFC"/>
          </w:tcPr>
          <w:p>
            <w:pPr>
              <w:ind w:left="580"/>
              <w:spacing w:after="0"/>
              <w:rPr>
                <w:sz w:val="20"/>
                <w:szCs w:val="20"/>
                <w:color w:val="auto"/>
              </w:rPr>
            </w:pPr>
            <w:r>
              <w:rPr>
                <w:rFonts w:ascii="Times New Roman" w:cs="Times New Roman" w:eastAsia="Times New Roman" w:hAnsi="Times New Roman"/>
                <w:sz w:val="19"/>
                <w:szCs w:val="19"/>
                <w:color w:val="231F20"/>
                <w:w w:val="94"/>
              </w:rPr>
              <w:t>—</w:t>
            </w:r>
          </w:p>
        </w:tc>
        <w:tc>
          <w:tcPr>
            <w:tcW w:w="220" w:type="dxa"/>
            <w:vAlign w:val="bottom"/>
            <w:shd w:val="clear" w:color="auto" w:fill="FDFDFC"/>
          </w:tcPr>
          <w:p>
            <w:pPr>
              <w:spacing w:after="0"/>
              <w:rPr>
                <w:sz w:val="20"/>
                <w:szCs w:val="20"/>
                <w:color w:val="auto"/>
              </w:rPr>
            </w:pPr>
          </w:p>
        </w:tc>
        <w:tc>
          <w:tcPr>
            <w:tcW w:w="120" w:type="dxa"/>
            <w:vAlign w:val="bottom"/>
            <w:shd w:val="clear" w:color="auto" w:fill="FDFDFC"/>
          </w:tcPr>
          <w:p>
            <w:pPr>
              <w:spacing w:after="0"/>
              <w:rPr>
                <w:sz w:val="20"/>
                <w:szCs w:val="20"/>
                <w:color w:val="auto"/>
              </w:rPr>
            </w:pPr>
          </w:p>
        </w:tc>
        <w:tc>
          <w:tcPr>
            <w:tcW w:w="800" w:type="dxa"/>
            <w:vAlign w:val="bottom"/>
            <w:shd w:val="clear" w:color="auto" w:fill="FDFDFC"/>
          </w:tcPr>
          <w:p>
            <w:pPr>
              <w:jc w:val="right"/>
              <w:spacing w:after="0"/>
              <w:rPr>
                <w:sz w:val="20"/>
                <w:szCs w:val="20"/>
                <w:color w:val="auto"/>
              </w:rPr>
            </w:pPr>
            <w:r>
              <w:rPr>
                <w:rFonts w:ascii="Times New Roman" w:cs="Times New Roman" w:eastAsia="Times New Roman" w:hAnsi="Times New Roman"/>
                <w:sz w:val="19"/>
                <w:szCs w:val="19"/>
                <w:color w:val="231F20"/>
              </w:rPr>
              <w:t>—</w:t>
            </w:r>
          </w:p>
        </w:tc>
        <w:tc>
          <w:tcPr>
            <w:tcW w:w="220" w:type="dxa"/>
            <w:vAlign w:val="bottom"/>
            <w:shd w:val="clear" w:color="auto" w:fill="FDFDFC"/>
          </w:tcPr>
          <w:p>
            <w:pPr>
              <w:spacing w:after="0"/>
              <w:rPr>
                <w:sz w:val="20"/>
                <w:szCs w:val="20"/>
                <w:color w:val="auto"/>
              </w:rPr>
            </w:pPr>
          </w:p>
        </w:tc>
        <w:tc>
          <w:tcPr>
            <w:tcW w:w="120" w:type="dxa"/>
            <w:vAlign w:val="bottom"/>
            <w:shd w:val="clear" w:color="auto" w:fill="FDFDFC"/>
          </w:tcPr>
          <w:p>
            <w:pPr>
              <w:spacing w:after="0"/>
              <w:rPr>
                <w:sz w:val="20"/>
                <w:szCs w:val="20"/>
                <w:color w:val="auto"/>
              </w:rPr>
            </w:pPr>
          </w:p>
        </w:tc>
        <w:tc>
          <w:tcPr>
            <w:tcW w:w="780" w:type="dxa"/>
            <w:vAlign w:val="bottom"/>
            <w:shd w:val="clear" w:color="auto" w:fill="FDFDFC"/>
          </w:tcPr>
          <w:p>
            <w:pPr>
              <w:jc w:val="right"/>
              <w:spacing w:after="0"/>
              <w:rPr>
                <w:sz w:val="20"/>
                <w:szCs w:val="20"/>
                <w:color w:val="auto"/>
              </w:rPr>
            </w:pPr>
            <w:r>
              <w:rPr>
                <w:rFonts w:ascii="Times New Roman" w:cs="Times New Roman" w:eastAsia="Times New Roman" w:hAnsi="Times New Roman"/>
                <w:sz w:val="19"/>
                <w:szCs w:val="19"/>
                <w:color w:val="231F20"/>
              </w:rPr>
              <w:t>350.0</w:t>
            </w:r>
          </w:p>
        </w:tc>
        <w:tc>
          <w:tcPr>
            <w:tcW w:w="220" w:type="dxa"/>
            <w:vAlign w:val="bottom"/>
            <w:shd w:val="clear" w:color="auto" w:fill="FDFDFC"/>
          </w:tcPr>
          <w:p>
            <w:pPr>
              <w:spacing w:after="0"/>
              <w:rPr>
                <w:sz w:val="20"/>
                <w:szCs w:val="20"/>
                <w:color w:val="auto"/>
              </w:rPr>
            </w:pPr>
          </w:p>
        </w:tc>
        <w:tc>
          <w:tcPr>
            <w:tcW w:w="400" w:type="dxa"/>
            <w:vAlign w:val="bottom"/>
            <w:shd w:val="clear" w:color="auto" w:fill="FDFDFC"/>
          </w:tcPr>
          <w:p>
            <w:pPr>
              <w:spacing w:after="0"/>
              <w:rPr>
                <w:sz w:val="20"/>
                <w:szCs w:val="20"/>
                <w:color w:val="auto"/>
              </w:rPr>
            </w:pPr>
          </w:p>
        </w:tc>
        <w:tc>
          <w:tcPr>
            <w:tcW w:w="620" w:type="dxa"/>
            <w:vAlign w:val="bottom"/>
            <w:gridSpan w:val="3"/>
            <w:shd w:val="clear" w:color="auto" w:fill="FDFDFC"/>
          </w:tcPr>
          <w:p>
            <w:pPr>
              <w:ind w:left="300"/>
              <w:spacing w:after="0"/>
              <w:rPr>
                <w:sz w:val="20"/>
                <w:szCs w:val="20"/>
                <w:color w:val="auto"/>
              </w:rPr>
            </w:pPr>
            <w:r>
              <w:rPr>
                <w:rFonts w:ascii="Times New Roman" w:cs="Times New Roman" w:eastAsia="Times New Roman" w:hAnsi="Times New Roman"/>
                <w:sz w:val="19"/>
                <w:szCs w:val="19"/>
                <w:color w:val="231F20"/>
              </w:rPr>
              <w:t>—</w:t>
            </w:r>
          </w:p>
        </w:tc>
      </w:tr>
      <w:tr>
        <w:trPr>
          <w:trHeight w:val="220"/>
        </w:trPr>
        <w:tc>
          <w:tcPr>
            <w:tcW w:w="4560" w:type="dxa"/>
            <w:vAlign w:val="bottom"/>
            <w:tcBorders>
              <w:top w:val="single" w:sz="8" w:color="D0EBF2"/>
            </w:tcBorders>
            <w:shd w:val="clear" w:color="auto" w:fill="D0EBF2"/>
          </w:tcPr>
          <w:p>
            <w:pPr>
              <w:ind w:left="180"/>
              <w:spacing w:after="0"/>
              <w:rPr>
                <w:sz w:val="20"/>
                <w:szCs w:val="20"/>
                <w:color w:val="auto"/>
              </w:rPr>
            </w:pPr>
            <w:r>
              <w:rPr>
                <w:rFonts w:ascii="Times New Roman" w:cs="Times New Roman" w:eastAsia="Times New Roman" w:hAnsi="Times New Roman"/>
                <w:sz w:val="19"/>
                <w:szCs w:val="19"/>
                <w:b w:val="1"/>
                <w:bCs w:val="1"/>
                <w:color w:val="231F20"/>
              </w:rPr>
              <w:t>Total Contractual Obligations</w:t>
            </w:r>
          </w:p>
        </w:tc>
        <w:tc>
          <w:tcPr>
            <w:tcW w:w="100" w:type="dxa"/>
            <w:vAlign w:val="bottom"/>
            <w:tcBorders>
              <w:top w:val="single" w:sz="8" w:color="D0EBF2"/>
            </w:tcBorders>
            <w:shd w:val="clear" w:color="auto" w:fill="D0EBF2"/>
          </w:tcPr>
          <w:p>
            <w:pPr>
              <w:spacing w:after="0"/>
              <w:rPr>
                <w:sz w:val="19"/>
                <w:szCs w:val="19"/>
                <w:color w:val="auto"/>
              </w:rPr>
            </w:pPr>
          </w:p>
        </w:tc>
        <w:tc>
          <w:tcPr>
            <w:tcW w:w="180" w:type="dxa"/>
            <w:vAlign w:val="bottom"/>
            <w:tcBorders>
              <w:top w:val="single" w:sz="8" w:color="231F20"/>
              <w:bottom w:val="single" w:sz="8" w:color="231F20"/>
            </w:tcBorders>
            <w:shd w:val="clear" w:color="auto" w:fill="D0EBF2"/>
          </w:tcPr>
          <w:p>
            <w:pPr>
              <w:jc w:val="right"/>
              <w:spacing w:after="0"/>
              <w:rPr>
                <w:sz w:val="20"/>
                <w:szCs w:val="20"/>
                <w:color w:val="auto"/>
              </w:rPr>
            </w:pPr>
            <w:r>
              <w:rPr>
                <w:rFonts w:ascii="Times New Roman" w:cs="Times New Roman" w:eastAsia="Times New Roman" w:hAnsi="Times New Roman"/>
                <w:sz w:val="19"/>
                <w:szCs w:val="19"/>
                <w:color w:val="231F20"/>
                <w:w w:val="83"/>
                <w:shd w:val="clear" w:color="auto" w:fill="D0EBF2"/>
              </w:rPr>
              <w:t>$</w:t>
            </w:r>
          </w:p>
        </w:tc>
        <w:tc>
          <w:tcPr>
            <w:tcW w:w="740" w:type="dxa"/>
            <w:vAlign w:val="bottom"/>
            <w:tcBorders>
              <w:top w:val="single" w:sz="8" w:color="231F20"/>
              <w:bottom w:val="single" w:sz="8" w:color="231F20"/>
            </w:tcBorders>
            <w:shd w:val="clear" w:color="auto" w:fill="D0EBF2"/>
          </w:tcPr>
          <w:p>
            <w:pPr>
              <w:jc w:val="right"/>
              <w:spacing w:after="0"/>
              <w:rPr>
                <w:sz w:val="20"/>
                <w:szCs w:val="20"/>
                <w:color w:val="auto"/>
              </w:rPr>
            </w:pPr>
            <w:r>
              <w:rPr>
                <w:rFonts w:ascii="Times New Roman" w:cs="Times New Roman" w:eastAsia="Times New Roman" w:hAnsi="Times New Roman"/>
                <w:sz w:val="19"/>
                <w:szCs w:val="19"/>
                <w:color w:val="231F20"/>
                <w:shd w:val="clear" w:color="auto" w:fill="D0EBF2"/>
              </w:rPr>
              <w:t>1,954.1</w:t>
            </w:r>
          </w:p>
        </w:tc>
        <w:tc>
          <w:tcPr>
            <w:tcW w:w="220" w:type="dxa"/>
            <w:vAlign w:val="bottom"/>
            <w:tcBorders>
              <w:top w:val="single" w:sz="8" w:color="D0EBF2"/>
            </w:tcBorders>
            <w:shd w:val="clear" w:color="auto" w:fill="D0EBF2"/>
          </w:tcPr>
          <w:p>
            <w:pPr>
              <w:spacing w:after="0"/>
              <w:rPr>
                <w:sz w:val="19"/>
                <w:szCs w:val="19"/>
                <w:color w:val="auto"/>
              </w:rPr>
            </w:pPr>
          </w:p>
        </w:tc>
        <w:tc>
          <w:tcPr>
            <w:tcW w:w="120" w:type="dxa"/>
            <w:vAlign w:val="bottom"/>
            <w:tcBorders>
              <w:top w:val="single" w:sz="8" w:color="231F20"/>
              <w:bottom w:val="single" w:sz="8" w:color="231F20"/>
            </w:tcBorders>
            <w:shd w:val="clear" w:color="auto" w:fill="D0EBF2"/>
          </w:tcPr>
          <w:p>
            <w:pPr>
              <w:jc w:val="right"/>
              <w:spacing w:after="0"/>
              <w:rPr>
                <w:sz w:val="20"/>
                <w:szCs w:val="20"/>
                <w:color w:val="auto"/>
              </w:rPr>
            </w:pPr>
            <w:r>
              <w:rPr>
                <w:rFonts w:ascii="Times New Roman" w:cs="Times New Roman" w:eastAsia="Times New Roman" w:hAnsi="Times New Roman"/>
                <w:sz w:val="19"/>
                <w:szCs w:val="19"/>
                <w:color w:val="231F20"/>
                <w:w w:val="83"/>
              </w:rPr>
              <w:t>$</w:t>
            </w:r>
          </w:p>
        </w:tc>
        <w:tc>
          <w:tcPr>
            <w:tcW w:w="780" w:type="dxa"/>
            <w:vAlign w:val="bottom"/>
            <w:tcBorders>
              <w:top w:val="single" w:sz="8" w:color="231F20"/>
              <w:bottom w:val="single" w:sz="8" w:color="231F20"/>
            </w:tcBorders>
            <w:shd w:val="clear" w:color="auto" w:fill="D0EBF2"/>
          </w:tcPr>
          <w:p>
            <w:pPr>
              <w:ind w:left="580"/>
              <w:spacing w:after="0"/>
              <w:rPr>
                <w:sz w:val="20"/>
                <w:szCs w:val="20"/>
                <w:color w:val="auto"/>
              </w:rPr>
            </w:pPr>
            <w:r>
              <w:rPr>
                <w:rFonts w:ascii="Times New Roman" w:cs="Times New Roman" w:eastAsia="Times New Roman" w:hAnsi="Times New Roman"/>
                <w:sz w:val="19"/>
                <w:szCs w:val="19"/>
                <w:color w:val="231F20"/>
                <w:w w:val="94"/>
              </w:rPr>
              <w:t>—</w:t>
            </w:r>
          </w:p>
        </w:tc>
        <w:tc>
          <w:tcPr>
            <w:tcW w:w="220" w:type="dxa"/>
            <w:vAlign w:val="bottom"/>
            <w:tcBorders>
              <w:top w:val="single" w:sz="8" w:color="D0EBF2"/>
            </w:tcBorders>
            <w:shd w:val="clear" w:color="auto" w:fill="D0EBF2"/>
          </w:tcPr>
          <w:p>
            <w:pPr>
              <w:spacing w:after="0"/>
              <w:rPr>
                <w:sz w:val="19"/>
                <w:szCs w:val="19"/>
                <w:color w:val="auto"/>
              </w:rPr>
            </w:pPr>
          </w:p>
        </w:tc>
        <w:tc>
          <w:tcPr>
            <w:tcW w:w="120" w:type="dxa"/>
            <w:vAlign w:val="bottom"/>
            <w:tcBorders>
              <w:top w:val="single" w:sz="8" w:color="231F20"/>
              <w:bottom w:val="single" w:sz="8" w:color="231F20"/>
            </w:tcBorders>
            <w:shd w:val="clear" w:color="auto" w:fill="D0EBF2"/>
          </w:tcPr>
          <w:p>
            <w:pPr>
              <w:jc w:val="right"/>
              <w:spacing w:after="0"/>
              <w:rPr>
                <w:sz w:val="20"/>
                <w:szCs w:val="20"/>
                <w:color w:val="auto"/>
              </w:rPr>
            </w:pPr>
            <w:r>
              <w:rPr>
                <w:rFonts w:ascii="Times New Roman" w:cs="Times New Roman" w:eastAsia="Times New Roman" w:hAnsi="Times New Roman"/>
                <w:sz w:val="19"/>
                <w:szCs w:val="19"/>
                <w:color w:val="231F20"/>
                <w:w w:val="83"/>
              </w:rPr>
              <w:t>$</w:t>
            </w:r>
          </w:p>
        </w:tc>
        <w:tc>
          <w:tcPr>
            <w:tcW w:w="800" w:type="dxa"/>
            <w:vAlign w:val="bottom"/>
            <w:tcBorders>
              <w:top w:val="single" w:sz="8" w:color="231F20"/>
              <w:bottom w:val="single" w:sz="8" w:color="231F20"/>
            </w:tcBorders>
            <w:shd w:val="clear" w:color="auto" w:fill="D0EBF2"/>
          </w:tcPr>
          <w:p>
            <w:pPr>
              <w:jc w:val="right"/>
              <w:spacing w:after="0"/>
              <w:rPr>
                <w:sz w:val="20"/>
                <w:szCs w:val="20"/>
                <w:color w:val="auto"/>
              </w:rPr>
            </w:pPr>
            <w:r>
              <w:rPr>
                <w:rFonts w:ascii="Times New Roman" w:cs="Times New Roman" w:eastAsia="Times New Roman" w:hAnsi="Times New Roman"/>
                <w:sz w:val="19"/>
                <w:szCs w:val="19"/>
                <w:color w:val="231F20"/>
              </w:rPr>
              <w:t>300.0</w:t>
            </w:r>
          </w:p>
        </w:tc>
        <w:tc>
          <w:tcPr>
            <w:tcW w:w="220" w:type="dxa"/>
            <w:vAlign w:val="bottom"/>
            <w:tcBorders>
              <w:top w:val="single" w:sz="8" w:color="D0EBF2"/>
            </w:tcBorders>
            <w:shd w:val="clear" w:color="auto" w:fill="D0EBF2"/>
          </w:tcPr>
          <w:p>
            <w:pPr>
              <w:spacing w:after="0"/>
              <w:rPr>
                <w:sz w:val="19"/>
                <w:szCs w:val="19"/>
                <w:color w:val="auto"/>
              </w:rPr>
            </w:pPr>
          </w:p>
        </w:tc>
        <w:tc>
          <w:tcPr>
            <w:tcW w:w="120" w:type="dxa"/>
            <w:vAlign w:val="bottom"/>
            <w:tcBorders>
              <w:top w:val="single" w:sz="8" w:color="231F20"/>
              <w:bottom w:val="single" w:sz="8" w:color="231F20"/>
            </w:tcBorders>
            <w:shd w:val="clear" w:color="auto" w:fill="D0EBF2"/>
          </w:tcPr>
          <w:p>
            <w:pPr>
              <w:jc w:val="right"/>
              <w:spacing w:after="0"/>
              <w:rPr>
                <w:sz w:val="20"/>
                <w:szCs w:val="20"/>
                <w:color w:val="auto"/>
              </w:rPr>
            </w:pPr>
            <w:r>
              <w:rPr>
                <w:rFonts w:ascii="Times New Roman" w:cs="Times New Roman" w:eastAsia="Times New Roman" w:hAnsi="Times New Roman"/>
                <w:sz w:val="19"/>
                <w:szCs w:val="19"/>
                <w:color w:val="231F20"/>
                <w:w w:val="83"/>
                <w:shd w:val="clear" w:color="auto" w:fill="D0EBF2"/>
              </w:rPr>
              <w:t>$</w:t>
            </w:r>
          </w:p>
        </w:tc>
        <w:tc>
          <w:tcPr>
            <w:tcW w:w="780" w:type="dxa"/>
            <w:vAlign w:val="bottom"/>
            <w:tcBorders>
              <w:top w:val="single" w:sz="8" w:color="231F20"/>
              <w:bottom w:val="single" w:sz="8" w:color="231F20"/>
            </w:tcBorders>
            <w:shd w:val="clear" w:color="auto" w:fill="D0EBF2"/>
          </w:tcPr>
          <w:p>
            <w:pPr>
              <w:jc w:val="right"/>
              <w:spacing w:after="0"/>
              <w:rPr>
                <w:sz w:val="20"/>
                <w:szCs w:val="20"/>
                <w:color w:val="auto"/>
              </w:rPr>
            </w:pPr>
            <w:r>
              <w:rPr>
                <w:rFonts w:ascii="Times New Roman" w:cs="Times New Roman" w:eastAsia="Times New Roman" w:hAnsi="Times New Roman"/>
                <w:sz w:val="19"/>
                <w:szCs w:val="19"/>
                <w:color w:val="231F20"/>
                <w:shd w:val="clear" w:color="auto" w:fill="D0EBF2"/>
              </w:rPr>
              <w:t>1,654.1</w:t>
            </w:r>
          </w:p>
        </w:tc>
        <w:tc>
          <w:tcPr>
            <w:tcW w:w="220" w:type="dxa"/>
            <w:vAlign w:val="bottom"/>
            <w:tcBorders>
              <w:top w:val="single" w:sz="8" w:color="D0EBF2"/>
            </w:tcBorders>
            <w:shd w:val="clear" w:color="auto" w:fill="D0EBF2"/>
          </w:tcPr>
          <w:p>
            <w:pPr>
              <w:spacing w:after="0"/>
              <w:rPr>
                <w:sz w:val="19"/>
                <w:szCs w:val="19"/>
                <w:color w:val="auto"/>
              </w:rPr>
            </w:pPr>
          </w:p>
        </w:tc>
        <w:tc>
          <w:tcPr>
            <w:tcW w:w="400" w:type="dxa"/>
            <w:vAlign w:val="bottom"/>
            <w:tcBorders>
              <w:top w:val="single" w:sz="8" w:color="231F20"/>
              <w:bottom w:val="single" w:sz="8" w:color="231F20"/>
            </w:tcBorders>
            <w:shd w:val="clear" w:color="auto" w:fill="D0EBF2"/>
          </w:tcPr>
          <w:p>
            <w:pPr>
              <w:spacing w:after="0"/>
              <w:rPr>
                <w:sz w:val="20"/>
                <w:szCs w:val="20"/>
                <w:color w:val="auto"/>
              </w:rPr>
            </w:pPr>
            <w:r>
              <w:rPr>
                <w:rFonts w:ascii="Times New Roman" w:cs="Times New Roman" w:eastAsia="Times New Roman" w:hAnsi="Times New Roman"/>
                <w:sz w:val="19"/>
                <w:szCs w:val="19"/>
                <w:color w:val="231F20"/>
              </w:rPr>
              <w:t>$</w:t>
            </w:r>
          </w:p>
        </w:tc>
        <w:tc>
          <w:tcPr>
            <w:tcW w:w="520" w:type="dxa"/>
            <w:vAlign w:val="bottom"/>
            <w:tcBorders>
              <w:top w:val="single" w:sz="8" w:color="231F20"/>
              <w:bottom w:val="single" w:sz="8" w:color="231F20"/>
            </w:tcBorders>
            <w:shd w:val="clear" w:color="auto" w:fill="D0EBF2"/>
          </w:tcPr>
          <w:p>
            <w:pPr>
              <w:ind w:left="300"/>
              <w:spacing w:after="0"/>
              <w:rPr>
                <w:sz w:val="20"/>
                <w:szCs w:val="20"/>
                <w:color w:val="auto"/>
              </w:rPr>
            </w:pPr>
            <w:r>
              <w:rPr>
                <w:rFonts w:ascii="Times New Roman" w:cs="Times New Roman" w:eastAsia="Times New Roman" w:hAnsi="Times New Roman"/>
                <w:sz w:val="19"/>
                <w:szCs w:val="19"/>
                <w:color w:val="231F20"/>
              </w:rPr>
              <w:t>—</w:t>
            </w:r>
          </w:p>
        </w:tc>
        <w:tc>
          <w:tcPr>
            <w:tcW w:w="20" w:type="dxa"/>
            <w:vAlign w:val="bottom"/>
            <w:tcBorders>
              <w:top w:val="single" w:sz="8" w:color="D0EBF2"/>
            </w:tcBorders>
            <w:shd w:val="clear" w:color="auto" w:fill="D0EBF2"/>
          </w:tcPr>
          <w:p>
            <w:pPr>
              <w:spacing w:after="0"/>
              <w:rPr>
                <w:sz w:val="19"/>
                <w:szCs w:val="19"/>
                <w:color w:val="auto"/>
              </w:rPr>
            </w:pPr>
          </w:p>
        </w:tc>
        <w:tc>
          <w:tcPr>
            <w:tcW w:w="80" w:type="dxa"/>
            <w:vAlign w:val="bottom"/>
            <w:tcBorders>
              <w:top w:val="single" w:sz="8" w:color="D0EBF2"/>
            </w:tcBorders>
            <w:shd w:val="clear" w:color="auto" w:fill="D0EBF2"/>
          </w:tcPr>
          <w:p>
            <w:pPr>
              <w:spacing w:after="0"/>
              <w:rPr>
                <w:sz w:val="19"/>
                <w:szCs w:val="19"/>
                <w:color w:val="auto"/>
              </w:rPr>
            </w:pPr>
          </w:p>
        </w:tc>
      </w:tr>
      <w:tr>
        <w:trPr>
          <w:trHeight w:val="20"/>
        </w:trPr>
        <w:tc>
          <w:tcPr>
            <w:tcW w:w="4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231F20"/>
            </w:tcBorders>
          </w:tcPr>
          <w:p>
            <w:pPr>
              <w:spacing w:after="0" w:line="20" w:lineRule="exact"/>
              <w:rPr>
                <w:sz w:val="1"/>
                <w:szCs w:val="1"/>
                <w:color w:val="auto"/>
              </w:rPr>
            </w:pPr>
          </w:p>
        </w:tc>
        <w:tc>
          <w:tcPr>
            <w:tcW w:w="740" w:type="dxa"/>
            <w:vAlign w:val="bottom"/>
            <w:tcBorders>
              <w:bottom w:val="single" w:sz="8" w:color="231F20"/>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231F20"/>
            </w:tcBorders>
          </w:tcPr>
          <w:p>
            <w:pPr>
              <w:spacing w:after="0" w:line="20" w:lineRule="exact"/>
              <w:rPr>
                <w:sz w:val="1"/>
                <w:szCs w:val="1"/>
                <w:color w:val="auto"/>
              </w:rPr>
            </w:pPr>
          </w:p>
        </w:tc>
        <w:tc>
          <w:tcPr>
            <w:tcW w:w="780" w:type="dxa"/>
            <w:vAlign w:val="bottom"/>
            <w:tcBorders>
              <w:bottom w:val="single" w:sz="8" w:color="231F20"/>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231F20"/>
            </w:tcBorders>
          </w:tcPr>
          <w:p>
            <w:pPr>
              <w:spacing w:after="0" w:line="20" w:lineRule="exact"/>
              <w:rPr>
                <w:sz w:val="1"/>
                <w:szCs w:val="1"/>
                <w:color w:val="auto"/>
              </w:rPr>
            </w:pPr>
          </w:p>
        </w:tc>
        <w:tc>
          <w:tcPr>
            <w:tcW w:w="800" w:type="dxa"/>
            <w:vAlign w:val="bottom"/>
            <w:tcBorders>
              <w:bottom w:val="single" w:sz="8" w:color="231F20"/>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231F20"/>
            </w:tcBorders>
          </w:tcPr>
          <w:p>
            <w:pPr>
              <w:spacing w:after="0" w:line="20" w:lineRule="exact"/>
              <w:rPr>
                <w:sz w:val="1"/>
                <w:szCs w:val="1"/>
                <w:color w:val="auto"/>
              </w:rPr>
            </w:pPr>
          </w:p>
        </w:tc>
        <w:tc>
          <w:tcPr>
            <w:tcW w:w="780" w:type="dxa"/>
            <w:vAlign w:val="bottom"/>
            <w:tcBorders>
              <w:bottom w:val="single" w:sz="8" w:color="231F20"/>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Borders>
              <w:bottom w:val="single" w:sz="8" w:color="231F20"/>
            </w:tcBorders>
          </w:tcPr>
          <w:p>
            <w:pPr>
              <w:spacing w:after="0" w:line="20" w:lineRule="exact"/>
              <w:rPr>
                <w:sz w:val="1"/>
                <w:szCs w:val="1"/>
                <w:color w:val="auto"/>
              </w:rPr>
            </w:pPr>
          </w:p>
        </w:tc>
        <w:tc>
          <w:tcPr>
            <w:tcW w:w="520" w:type="dxa"/>
            <w:vAlign w:val="bottom"/>
            <w:tcBorders>
              <w:bottom w:val="single" w:sz="8" w:color="231F20"/>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78" w:lineRule="exact"/>
        <w:rPr>
          <w:sz w:val="20"/>
          <w:szCs w:val="20"/>
          <w:color w:val="auto"/>
        </w:rPr>
      </w:pPr>
    </w:p>
    <w:p>
      <w:pPr>
        <w:ind w:right="540" w:firstLine="231"/>
        <w:spacing w:after="0" w:line="275" w:lineRule="auto"/>
        <w:rPr>
          <w:sz w:val="20"/>
          <w:szCs w:val="20"/>
          <w:color w:val="auto"/>
        </w:rPr>
      </w:pPr>
      <w:r>
        <w:rPr>
          <w:rFonts w:ascii="Times New Roman" w:cs="Times New Roman" w:eastAsia="Times New Roman" w:hAnsi="Times New Roman"/>
          <w:sz w:val="19"/>
          <w:szCs w:val="19"/>
          <w:color w:val="231F20"/>
        </w:rPr>
        <w:t>In addition to the contractual payment obligations in the tables above, we also have commitments to fund investments and to pledge assets as collateral under the terms of our derivatives agreements.</w:t>
      </w:r>
    </w:p>
    <w:p>
      <w:pPr>
        <w:spacing w:after="0" w:line="27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231F20"/>
        </w:rPr>
        <w:t>Distributions</w:t>
      </w:r>
    </w:p>
    <w:p>
      <w:pPr>
        <w:spacing w:after="0" w:line="108" w:lineRule="exact"/>
        <w:rPr>
          <w:sz w:val="20"/>
          <w:szCs w:val="20"/>
          <w:color w:val="auto"/>
        </w:rPr>
      </w:pPr>
    </w:p>
    <w:p>
      <w:pPr>
        <w:ind w:right="240" w:firstLine="231"/>
        <w:spacing w:after="0" w:line="257" w:lineRule="auto"/>
        <w:rPr>
          <w:sz w:val="20"/>
          <w:szCs w:val="20"/>
          <w:color w:val="auto"/>
        </w:rPr>
      </w:pPr>
      <w:r>
        <w:rPr>
          <w:rFonts w:ascii="Times New Roman" w:cs="Times New Roman" w:eastAsia="Times New Roman" w:hAnsi="Times New Roman"/>
          <w:sz w:val="19"/>
          <w:szCs w:val="19"/>
          <w:color w:val="231F20"/>
        </w:rPr>
        <w:t>We have elected and qualified to be treated for U.S. federal income tax purposes as a RIC under subchapter M of the Code. To maintain our RIC status, we must distribute (or be treated as distributing) in each taxable year dividends for tax purposes equal to at least 90 percent of the sum of our:</w:t>
      </w:r>
    </w:p>
    <w:p>
      <w:pPr>
        <w:spacing w:after="0" w:line="77" w:lineRule="exact"/>
        <w:rPr>
          <w:sz w:val="20"/>
          <w:szCs w:val="20"/>
          <w:color w:val="auto"/>
        </w:rPr>
      </w:pPr>
    </w:p>
    <w:p>
      <w:pPr>
        <w:ind w:left="460" w:right="40" w:hanging="229"/>
        <w:spacing w:after="0" w:line="256" w:lineRule="auto"/>
        <w:tabs>
          <w:tab w:leader="none" w:pos="460" w:val="left"/>
        </w:tabs>
        <w:numPr>
          <w:ilvl w:val="0"/>
          <w:numId w:val="64"/>
        </w:numPr>
        <w:rPr>
          <w:rFonts w:ascii="Arial" w:cs="Arial" w:eastAsia="Arial" w:hAnsi="Arial"/>
          <w:sz w:val="19"/>
          <w:szCs w:val="19"/>
          <w:color w:val="231F20"/>
        </w:rPr>
      </w:pPr>
      <w:r>
        <w:rPr>
          <w:rFonts w:ascii="Times New Roman" w:cs="Times New Roman" w:eastAsia="Times New Roman" w:hAnsi="Times New Roman"/>
          <w:sz w:val="19"/>
          <w:szCs w:val="19"/>
          <w:color w:val="231F20"/>
        </w:rPr>
        <w:t>investment company taxable income (which is generally our ordinary income plus the excess of realized net short-term capital gains over realized net long-term capital losses), determined without regard to the deduction for dividends paid, for such taxable year; and</w:t>
      </w:r>
    </w:p>
    <w:p>
      <w:pPr>
        <w:spacing w:after="0" w:line="78" w:lineRule="exact"/>
        <w:rPr>
          <w:rFonts w:ascii="Arial" w:cs="Arial" w:eastAsia="Arial" w:hAnsi="Arial"/>
          <w:sz w:val="19"/>
          <w:szCs w:val="19"/>
          <w:color w:val="231F20"/>
        </w:rPr>
      </w:pPr>
    </w:p>
    <w:p>
      <w:pPr>
        <w:ind w:left="460" w:right="60" w:hanging="229"/>
        <w:spacing w:after="0" w:line="274" w:lineRule="auto"/>
        <w:tabs>
          <w:tab w:leader="none" w:pos="460" w:val="left"/>
        </w:tabs>
        <w:numPr>
          <w:ilvl w:val="0"/>
          <w:numId w:val="64"/>
        </w:numPr>
        <w:rPr>
          <w:rFonts w:ascii="Arial" w:cs="Arial" w:eastAsia="Arial" w:hAnsi="Arial"/>
          <w:sz w:val="19"/>
          <w:szCs w:val="19"/>
          <w:color w:val="231F20"/>
        </w:rPr>
      </w:pPr>
      <w:r>
        <w:rPr>
          <w:rFonts w:ascii="Times New Roman" w:cs="Times New Roman" w:eastAsia="Times New Roman" w:hAnsi="Times New Roman"/>
          <w:sz w:val="19"/>
          <w:szCs w:val="19"/>
          <w:color w:val="231F20"/>
        </w:rPr>
        <w:t>net tax-exempt interest income (which is the excess of our gross tax exempt interest income over certain disallowed deductions) for such taxable year.</w:t>
      </w:r>
    </w:p>
    <w:p>
      <w:pPr>
        <w:spacing w:after="0" w:line="161" w:lineRule="exact"/>
        <w:rPr>
          <w:sz w:val="20"/>
          <w:szCs w:val="20"/>
          <w:color w:val="auto"/>
        </w:rPr>
      </w:pPr>
    </w:p>
    <w:p>
      <w:pPr>
        <w:ind w:right="280" w:firstLine="231"/>
        <w:spacing w:after="0" w:line="275" w:lineRule="auto"/>
        <w:rPr>
          <w:sz w:val="20"/>
          <w:szCs w:val="20"/>
          <w:color w:val="auto"/>
        </w:rPr>
      </w:pPr>
      <w:r>
        <w:rPr>
          <w:rFonts w:ascii="Times New Roman" w:cs="Times New Roman" w:eastAsia="Times New Roman" w:hAnsi="Times New Roman"/>
          <w:sz w:val="19"/>
          <w:szCs w:val="19"/>
          <w:color w:val="231F20"/>
        </w:rPr>
        <w:t>As a RIC, we (but not our stockholders) generally will not be subject to U.S. federal income tax on investment company taxable income and net capital gains that we distribute to our stockholders.</w:t>
      </w:r>
    </w:p>
    <w:p>
      <w:pPr>
        <w:spacing w:after="0" w:line="160" w:lineRule="exact"/>
        <w:rPr>
          <w:sz w:val="20"/>
          <w:szCs w:val="20"/>
          <w:color w:val="auto"/>
        </w:rPr>
      </w:pPr>
    </w:p>
    <w:p>
      <w:pPr>
        <w:ind w:right="20" w:firstLine="231"/>
        <w:spacing w:after="0" w:line="257" w:lineRule="auto"/>
        <w:rPr>
          <w:sz w:val="20"/>
          <w:szCs w:val="20"/>
          <w:color w:val="auto"/>
        </w:rPr>
      </w:pPr>
      <w:r>
        <w:rPr>
          <w:rFonts w:ascii="Times New Roman" w:cs="Times New Roman" w:eastAsia="Times New Roman" w:hAnsi="Times New Roman"/>
          <w:sz w:val="19"/>
          <w:szCs w:val="19"/>
          <w:color w:val="231F20"/>
        </w:rPr>
        <w:t>We intend to distribute annually all or substantially all of such income. To the extent that we retain our net capital gains or any investment company taxable income, we generally will be subject to corporate-level U.S. federal income tax. We may choose to retain our net capital gains or any investment company taxable income, and pay the U.S. federal excise tax described below.</w:t>
      </w:r>
    </w:p>
    <w:p>
      <w:pPr>
        <w:sectPr>
          <w:pgSz w:w="12240" w:h="15840" w:orient="portrait"/>
          <w:cols w:equalWidth="0" w:num="1">
            <w:col w:w="10200"/>
          </w:cols>
          <w:pgMar w:left="1020" w:top="1319" w:right="1020" w:bottom="57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231F20"/>
        </w:rPr>
        <w:t>83</w:t>
      </w:r>
    </w:p>
    <w:p>
      <w:pPr>
        <w:sectPr>
          <w:pgSz w:w="12240" w:h="15840" w:orient="portrait"/>
          <w:cols w:equalWidth="0" w:num="1">
            <w:col w:w="10200"/>
          </w:cols>
          <w:pgMar w:left="1020" w:top="1319" w:right="1020" w:bottom="574" w:gutter="0" w:footer="0" w:header="0"/>
          <w:type w:val="continuous"/>
        </w:sectPr>
      </w:pPr>
    </w:p>
    <w:bookmarkStart w:id="83" w:name="page84"/>
    <w:bookmarkEnd w:id="83"/>
    <w:p>
      <w:pPr>
        <w:ind w:right="340" w:firstLine="231"/>
        <w:spacing w:after="0" w:line="257" w:lineRule="auto"/>
        <w:rPr>
          <w:sz w:val="20"/>
          <w:szCs w:val="20"/>
          <w:color w:val="auto"/>
        </w:rPr>
      </w:pPr>
      <w:r>
        <w:rPr>
          <w:rFonts w:ascii="Times New Roman" w:cs="Times New Roman" w:eastAsia="Times New Roman" w:hAnsi="Times New Roman"/>
          <w:sz w:val="19"/>
          <w:szCs w:val="19"/>
          <w:color w:val="231F20"/>
        </w:rPr>
        <w:t>Amounts not distributed on a timely basis in accordance with a calendar year distribution requirement are subject to a nondeductible 4% U.S. federal excise tax payable by us. To avoid this tax, we must distribute (or be treated as distributing) during each calendar year an amount at least equal to the sum of:</w:t>
      </w:r>
    </w:p>
    <w:p>
      <w:pPr>
        <w:spacing w:after="0" w:line="77" w:lineRule="exact"/>
        <w:rPr>
          <w:sz w:val="20"/>
          <w:szCs w:val="20"/>
          <w:color w:val="auto"/>
        </w:rPr>
      </w:pPr>
    </w:p>
    <w:p>
      <w:pPr>
        <w:ind w:left="460" w:hanging="229"/>
        <w:spacing w:after="0"/>
        <w:tabs>
          <w:tab w:leader="none" w:pos="460" w:val="left"/>
        </w:tabs>
        <w:numPr>
          <w:ilvl w:val="0"/>
          <w:numId w:val="65"/>
        </w:numPr>
        <w:rPr>
          <w:rFonts w:ascii="Arial" w:cs="Arial" w:eastAsia="Arial" w:hAnsi="Arial"/>
          <w:sz w:val="19"/>
          <w:szCs w:val="19"/>
          <w:color w:val="231F20"/>
        </w:rPr>
      </w:pPr>
      <w:r>
        <w:rPr>
          <w:rFonts w:ascii="Times New Roman" w:cs="Times New Roman" w:eastAsia="Times New Roman" w:hAnsi="Times New Roman"/>
          <w:sz w:val="19"/>
          <w:szCs w:val="19"/>
          <w:color w:val="231F20"/>
        </w:rPr>
        <w:t>98% of our net ordinary income excluding certain ordinary gains or losses for that calendar year;</w:t>
      </w:r>
    </w:p>
    <w:p>
      <w:pPr>
        <w:spacing w:after="0" w:line="124" w:lineRule="exact"/>
        <w:rPr>
          <w:rFonts w:ascii="Arial" w:cs="Arial" w:eastAsia="Arial" w:hAnsi="Arial"/>
          <w:sz w:val="19"/>
          <w:szCs w:val="19"/>
          <w:color w:val="231F20"/>
        </w:rPr>
      </w:pPr>
    </w:p>
    <w:p>
      <w:pPr>
        <w:ind w:left="460" w:right="320" w:hanging="229"/>
        <w:spacing w:after="0" w:line="274" w:lineRule="auto"/>
        <w:tabs>
          <w:tab w:leader="none" w:pos="460" w:val="left"/>
        </w:tabs>
        <w:numPr>
          <w:ilvl w:val="0"/>
          <w:numId w:val="65"/>
        </w:numPr>
        <w:rPr>
          <w:rFonts w:ascii="Arial" w:cs="Arial" w:eastAsia="Arial" w:hAnsi="Arial"/>
          <w:sz w:val="19"/>
          <w:szCs w:val="19"/>
          <w:color w:val="231F20"/>
        </w:rPr>
      </w:pPr>
      <w:r>
        <w:rPr>
          <w:rFonts w:ascii="Times New Roman" w:cs="Times New Roman" w:eastAsia="Times New Roman" w:hAnsi="Times New Roman"/>
          <w:sz w:val="19"/>
          <w:szCs w:val="19"/>
          <w:color w:val="231F20"/>
        </w:rPr>
        <w:t>98.2% of our capital gain net income, adjusted for certain ordinary gains and losses, recognized for the twelve-month period ending on October 31 of that calendar year; and</w:t>
      </w:r>
    </w:p>
    <w:p>
      <w:pPr>
        <w:spacing w:after="0" w:line="61" w:lineRule="exact"/>
        <w:rPr>
          <w:rFonts w:ascii="Arial" w:cs="Arial" w:eastAsia="Arial" w:hAnsi="Arial"/>
          <w:sz w:val="19"/>
          <w:szCs w:val="19"/>
          <w:color w:val="231F20"/>
        </w:rPr>
      </w:pPr>
    </w:p>
    <w:p>
      <w:pPr>
        <w:ind w:left="460" w:hanging="229"/>
        <w:spacing w:after="0"/>
        <w:tabs>
          <w:tab w:leader="none" w:pos="460" w:val="left"/>
        </w:tabs>
        <w:numPr>
          <w:ilvl w:val="0"/>
          <w:numId w:val="65"/>
        </w:numPr>
        <w:rPr>
          <w:rFonts w:ascii="Arial" w:cs="Arial" w:eastAsia="Arial" w:hAnsi="Arial"/>
          <w:sz w:val="19"/>
          <w:szCs w:val="19"/>
          <w:color w:val="231F20"/>
        </w:rPr>
      </w:pPr>
      <w:r>
        <w:rPr>
          <w:rFonts w:ascii="Times New Roman" w:cs="Times New Roman" w:eastAsia="Times New Roman" w:hAnsi="Times New Roman"/>
          <w:sz w:val="19"/>
          <w:szCs w:val="19"/>
          <w:color w:val="231F20"/>
        </w:rPr>
        <w:t>100% of any income or gains recognized, but not distributed, in preceding years.</w:t>
      </w:r>
    </w:p>
    <w:p>
      <w:pPr>
        <w:spacing w:after="0" w:line="225" w:lineRule="exact"/>
        <w:rPr>
          <w:sz w:val="20"/>
          <w:szCs w:val="20"/>
          <w:color w:val="auto"/>
        </w:rPr>
      </w:pPr>
    </w:p>
    <w:p>
      <w:pPr>
        <w:ind w:right="100" w:firstLine="231"/>
        <w:spacing w:after="0" w:line="278" w:lineRule="auto"/>
        <w:rPr>
          <w:sz w:val="20"/>
          <w:szCs w:val="20"/>
          <w:color w:val="auto"/>
        </w:rPr>
      </w:pPr>
      <w:r>
        <w:rPr>
          <w:rFonts w:ascii="Times New Roman" w:cs="Times New Roman" w:eastAsia="Times New Roman" w:hAnsi="Times New Roman"/>
          <w:sz w:val="18"/>
          <w:szCs w:val="18"/>
          <w:color w:val="231F20"/>
        </w:rPr>
        <w:t>While we intend to distribute any income and capital gains in the manner necessary to minimize imposition of the 4% U.S. federal excise tax, sufficient amounts of our taxable income and capital gains may not be distributed to avoid entirely the imposition of this tax. In that event, we will be liable for this tax only on the amount by which we do not meet the foregoing distribution requirement.</w:t>
      </w:r>
    </w:p>
    <w:p>
      <w:pPr>
        <w:spacing w:after="0" w:line="159" w:lineRule="exact"/>
        <w:rPr>
          <w:sz w:val="20"/>
          <w:szCs w:val="20"/>
          <w:color w:val="auto"/>
        </w:rPr>
      </w:pPr>
    </w:p>
    <w:p>
      <w:pPr>
        <w:jc w:val="both"/>
        <w:ind w:right="140" w:firstLine="231"/>
        <w:spacing w:after="0" w:line="257" w:lineRule="auto"/>
        <w:rPr>
          <w:sz w:val="20"/>
          <w:szCs w:val="20"/>
          <w:color w:val="auto"/>
        </w:rPr>
      </w:pPr>
      <w:r>
        <w:rPr>
          <w:rFonts w:ascii="Times New Roman" w:cs="Times New Roman" w:eastAsia="Times New Roman" w:hAnsi="Times New Roman"/>
          <w:sz w:val="19"/>
          <w:szCs w:val="19"/>
          <w:color w:val="231F20"/>
        </w:rPr>
        <w:t>We intend to pay quarterly dividends to our stockholders out of assets legally available for distribution. All dividends will be paid at the discretion of our Board and will depend on our earnings, financial condition, maintenance of our RIC status, compliance with applicable BDC regulations and such other factors as our Board may deem relevant from time to time.</w:t>
      </w:r>
    </w:p>
    <w:p>
      <w:pPr>
        <w:spacing w:after="0" w:line="176" w:lineRule="exact"/>
        <w:rPr>
          <w:sz w:val="20"/>
          <w:szCs w:val="20"/>
          <w:color w:val="auto"/>
        </w:rPr>
      </w:pPr>
    </w:p>
    <w:p>
      <w:pPr>
        <w:ind w:right="60" w:firstLine="231"/>
        <w:spacing w:after="0" w:line="269" w:lineRule="auto"/>
        <w:rPr>
          <w:sz w:val="20"/>
          <w:szCs w:val="20"/>
          <w:color w:val="auto"/>
        </w:rPr>
      </w:pPr>
      <w:r>
        <w:rPr>
          <w:rFonts w:ascii="Times New Roman" w:cs="Times New Roman" w:eastAsia="Times New Roman" w:hAnsi="Times New Roman"/>
          <w:sz w:val="18"/>
          <w:szCs w:val="18"/>
          <w:color w:val="231F20"/>
        </w:rPr>
        <w:t>To the extent our current taxable earnings for a year fall below the total amount of our distributions for that year, a portion of those distributions may be deemed a return of capital to our stockholders for U.S. federal income tax purposes. Thus, the source of a distribution to our stockholders may be the original capital invested by the stockholder rather than our income or gains. Stockholders should read any written disclosure carefully and should not assume that the source of any distribution is our ordinary income or gains.</w:t>
      </w:r>
    </w:p>
    <w:p>
      <w:pPr>
        <w:spacing w:after="0" w:line="168" w:lineRule="exact"/>
        <w:rPr>
          <w:sz w:val="20"/>
          <w:szCs w:val="20"/>
          <w:color w:val="auto"/>
        </w:rPr>
      </w:pPr>
    </w:p>
    <w:p>
      <w:pPr>
        <w:ind w:right="100" w:firstLine="231"/>
        <w:spacing w:after="0" w:line="247" w:lineRule="auto"/>
        <w:rPr>
          <w:sz w:val="20"/>
          <w:szCs w:val="20"/>
          <w:color w:val="auto"/>
        </w:rPr>
      </w:pPr>
      <w:r>
        <w:rPr>
          <w:rFonts w:ascii="Times New Roman" w:cs="Times New Roman" w:eastAsia="Times New Roman" w:hAnsi="Times New Roman"/>
          <w:sz w:val="19"/>
          <w:szCs w:val="19"/>
          <w:color w:val="231F20"/>
        </w:rPr>
        <w:t>We have adopted an “opt out” dividend reinvestment plan for our common stockholders. As a result, if we declare a cash dividend or other distribution, each stockholder that has not “opted out” of our dividend reinvestment plan will have their dividends or distributions automatically reinvested in additional shares of our common stock rather than receiving cash dividends. Stockholders who receive distributions in the form of shares of common stock will be subject to the same U.S. federal, state and local tax consequences as if they received cash distributions.</w:t>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231F20"/>
        </w:rPr>
        <w:t>Related-Party Transactions</w:t>
      </w:r>
    </w:p>
    <w:p>
      <w:pPr>
        <w:spacing w:after="0" w:line="110"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9"/>
          <w:szCs w:val="19"/>
          <w:color w:val="231F20"/>
        </w:rPr>
        <w:t>We have entered into a number of business relationships with affiliated or related parties, including the following:</w:t>
      </w:r>
    </w:p>
    <w:p>
      <w:pPr>
        <w:spacing w:after="0" w:line="126" w:lineRule="exact"/>
        <w:rPr>
          <w:sz w:val="20"/>
          <w:szCs w:val="20"/>
          <w:color w:val="auto"/>
        </w:rPr>
      </w:pPr>
    </w:p>
    <w:p>
      <w:pPr>
        <w:ind w:left="460" w:hanging="229"/>
        <w:spacing w:after="0"/>
        <w:tabs>
          <w:tab w:leader="none" w:pos="460" w:val="left"/>
        </w:tabs>
        <w:numPr>
          <w:ilvl w:val="0"/>
          <w:numId w:val="66"/>
        </w:numPr>
        <w:rPr>
          <w:rFonts w:ascii="Arial" w:cs="Arial" w:eastAsia="Arial" w:hAnsi="Arial"/>
          <w:sz w:val="19"/>
          <w:szCs w:val="19"/>
          <w:color w:val="231F20"/>
        </w:rPr>
      </w:pPr>
      <w:r>
        <w:rPr>
          <w:rFonts w:ascii="Times New Roman" w:cs="Times New Roman" w:eastAsia="Times New Roman" w:hAnsi="Times New Roman"/>
          <w:sz w:val="19"/>
          <w:szCs w:val="19"/>
          <w:color w:val="231F20"/>
        </w:rPr>
        <w:t>the Investment Advisory Agreement;</w:t>
      </w:r>
    </w:p>
    <w:p>
      <w:pPr>
        <w:spacing w:after="0" w:line="124" w:lineRule="exact"/>
        <w:rPr>
          <w:rFonts w:ascii="Arial" w:cs="Arial" w:eastAsia="Arial" w:hAnsi="Arial"/>
          <w:sz w:val="19"/>
          <w:szCs w:val="19"/>
          <w:color w:val="231F20"/>
        </w:rPr>
      </w:pPr>
    </w:p>
    <w:p>
      <w:pPr>
        <w:ind w:left="460" w:hanging="229"/>
        <w:spacing w:after="0"/>
        <w:tabs>
          <w:tab w:leader="none" w:pos="460" w:val="left"/>
        </w:tabs>
        <w:numPr>
          <w:ilvl w:val="0"/>
          <w:numId w:val="66"/>
        </w:numPr>
        <w:rPr>
          <w:rFonts w:ascii="Arial" w:cs="Arial" w:eastAsia="Arial" w:hAnsi="Arial"/>
          <w:sz w:val="19"/>
          <w:szCs w:val="19"/>
          <w:color w:val="231F20"/>
        </w:rPr>
      </w:pPr>
      <w:r>
        <w:rPr>
          <w:rFonts w:ascii="Times New Roman" w:cs="Times New Roman" w:eastAsia="Times New Roman" w:hAnsi="Times New Roman"/>
          <w:sz w:val="19"/>
          <w:szCs w:val="19"/>
          <w:color w:val="231F20"/>
        </w:rPr>
        <w:t>the Administration Agreement; and</w:t>
      </w:r>
    </w:p>
    <w:p>
      <w:pPr>
        <w:spacing w:after="0" w:line="124" w:lineRule="exact"/>
        <w:rPr>
          <w:rFonts w:ascii="Arial" w:cs="Arial" w:eastAsia="Arial" w:hAnsi="Arial"/>
          <w:sz w:val="19"/>
          <w:szCs w:val="19"/>
          <w:color w:val="231F20"/>
        </w:rPr>
      </w:pPr>
    </w:p>
    <w:p>
      <w:pPr>
        <w:ind w:left="460" w:right="20" w:hanging="229"/>
        <w:spacing w:after="0" w:line="274" w:lineRule="auto"/>
        <w:tabs>
          <w:tab w:leader="none" w:pos="460" w:val="left"/>
        </w:tabs>
        <w:numPr>
          <w:ilvl w:val="0"/>
          <w:numId w:val="66"/>
        </w:numPr>
        <w:rPr>
          <w:rFonts w:ascii="Arial" w:cs="Arial" w:eastAsia="Arial" w:hAnsi="Arial"/>
          <w:sz w:val="19"/>
          <w:szCs w:val="19"/>
          <w:color w:val="231F20"/>
        </w:rPr>
      </w:pPr>
      <w:r>
        <w:rPr>
          <w:rFonts w:ascii="Times New Roman" w:cs="Times New Roman" w:eastAsia="Times New Roman" w:hAnsi="Times New Roman"/>
          <w:sz w:val="19"/>
          <w:szCs w:val="19"/>
          <w:color w:val="231F20"/>
        </w:rPr>
        <w:t>an ongoing agreement with an affiliate of TPG Global, LLC governing, inter alia, the parties’ respective ownership of and rights to use the “Sixth Street” and “TPG” trademarks and certain variations thereof.</w:t>
      </w: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231F20"/>
        </w:rPr>
        <w:t>Critical Accounting Estimates</w:t>
      </w:r>
    </w:p>
    <w:p>
      <w:pPr>
        <w:spacing w:after="0" w:line="114" w:lineRule="exact"/>
        <w:rPr>
          <w:sz w:val="20"/>
          <w:szCs w:val="20"/>
          <w:color w:val="auto"/>
        </w:rPr>
      </w:pPr>
    </w:p>
    <w:p>
      <w:pPr>
        <w:ind w:firstLine="231"/>
        <w:spacing w:after="0" w:line="247" w:lineRule="auto"/>
        <w:rPr>
          <w:sz w:val="20"/>
          <w:szCs w:val="20"/>
          <w:color w:val="auto"/>
        </w:rPr>
      </w:pPr>
      <w:r>
        <w:rPr>
          <w:rFonts w:ascii="Times New Roman" w:cs="Times New Roman" w:eastAsia="Times New Roman" w:hAnsi="Times New Roman"/>
          <w:sz w:val="19"/>
          <w:szCs w:val="19"/>
          <w:color w:val="231F20"/>
        </w:rPr>
        <w:t xml:space="preserve">The preparation of our consolidated financial statements requires us to make estimates and assumptions that affect the reported amounts of assets, liabilities, revenues, and expenses. Changes in the economic environment, financial markets, and any other parameters used in determining such estimates could cause actual results to differ. Our critical accounting policies, including those relating to the valuation of our investment portfolio, are described below. The critical accounting policies should be read in connection with our risk factors as disclosed in </w:t>
      </w:r>
      <w:r>
        <w:rPr>
          <w:rFonts w:ascii="Times New Roman" w:cs="Times New Roman" w:eastAsia="Times New Roman" w:hAnsi="Times New Roman"/>
          <w:sz w:val="19"/>
          <w:szCs w:val="19"/>
          <w:i w:val="1"/>
          <w:iCs w:val="1"/>
          <w:color w:val="231F20"/>
        </w:rPr>
        <w:t>“ITEM 1A. RISK FACTORS.”</w:t>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231F20"/>
        </w:rPr>
        <w:t>Investments at Fair Value</w:t>
      </w:r>
    </w:p>
    <w:p>
      <w:pPr>
        <w:spacing w:after="0" w:line="110" w:lineRule="exact"/>
        <w:rPr>
          <w:sz w:val="20"/>
          <w:szCs w:val="20"/>
          <w:color w:val="auto"/>
        </w:rPr>
      </w:pPr>
    </w:p>
    <w:p>
      <w:pPr>
        <w:ind w:firstLine="231"/>
        <w:spacing w:after="0" w:line="246" w:lineRule="auto"/>
        <w:rPr>
          <w:sz w:val="20"/>
          <w:szCs w:val="20"/>
          <w:color w:val="auto"/>
        </w:rPr>
      </w:pPr>
      <w:r>
        <w:rPr>
          <w:rFonts w:ascii="Times New Roman" w:cs="Times New Roman" w:eastAsia="Times New Roman" w:hAnsi="Times New Roman"/>
          <w:sz w:val="19"/>
          <w:szCs w:val="19"/>
          <w:color w:val="231F20"/>
        </w:rPr>
        <w:t>Loan originations are recorded on the date of the binding commitment, which is generally the funding date. Investment transactions purchased through the secondary markets are recorded on the trade date. Realized gains or losses are measured by the difference between the net proceeds received (excluding prepayment fees, if any) and the amortized cost basis of the investment without regard to unrealized gains or losses previously recognized, and include investments charged off during the period, net of recoveries. The net change in unrealized gains or losses primarily reflects the change in investment values and also includes the reversal of previously recorded unrealized gains or losses with respect to investments realized during the period.</w:t>
      </w:r>
    </w:p>
    <w:p>
      <w:pPr>
        <w:spacing w:after="0" w:line="186" w:lineRule="exact"/>
        <w:rPr>
          <w:sz w:val="20"/>
          <w:szCs w:val="20"/>
          <w:color w:val="auto"/>
        </w:rPr>
      </w:pPr>
    </w:p>
    <w:p>
      <w:pPr>
        <w:ind w:right="40" w:firstLine="231"/>
        <w:spacing w:after="0" w:line="269" w:lineRule="auto"/>
        <w:rPr>
          <w:sz w:val="20"/>
          <w:szCs w:val="20"/>
          <w:color w:val="auto"/>
        </w:rPr>
      </w:pPr>
      <w:r>
        <w:rPr>
          <w:rFonts w:ascii="Times New Roman" w:cs="Times New Roman" w:eastAsia="Times New Roman" w:hAnsi="Times New Roman"/>
          <w:sz w:val="18"/>
          <w:szCs w:val="18"/>
          <w:color w:val="231F20"/>
        </w:rPr>
        <w:t>Investments for which market quotations are readily available are typically valued at those market quotations. To validate market quotations, we utilize a number of factors to determine if the quotations are representative of fair value, including the source and number of the quotations. Debt and equity securities that are not publicly traded or whose market prices are not readily available, as is the case for substantially all of our investments, are valued at fair value as determined in good faith by our Board, based on, among</w:t>
      </w:r>
    </w:p>
    <w:p>
      <w:pPr>
        <w:sectPr>
          <w:pgSz w:w="12240" w:h="15840" w:orient="portrait"/>
          <w:cols w:equalWidth="0" w:num="1">
            <w:col w:w="10180"/>
          </w:cols>
          <w:pgMar w:left="1020" w:top="1317" w:right="1040" w:bottom="574" w:gutter="0" w:footer="0" w:header="0"/>
        </w:sectPr>
      </w:pPr>
    </w:p>
    <w:p>
      <w:pPr>
        <w:spacing w:after="0" w:line="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231F20"/>
        </w:rPr>
        <w:t>84</w:t>
      </w:r>
    </w:p>
    <w:p>
      <w:pPr>
        <w:sectPr>
          <w:pgSz w:w="12240" w:h="15840" w:orient="portrait"/>
          <w:cols w:equalWidth="0" w:num="1">
            <w:col w:w="10180"/>
          </w:cols>
          <w:pgMar w:left="1020" w:top="1317" w:right="1040" w:bottom="574" w:gutter="0" w:footer="0" w:header="0"/>
          <w:type w:val="continuous"/>
        </w:sectPr>
      </w:pPr>
    </w:p>
    <w:bookmarkStart w:id="84" w:name="page85"/>
    <w:bookmarkEnd w:id="84"/>
    <w:p>
      <w:pPr>
        <w:spacing w:after="0" w:line="275" w:lineRule="auto"/>
        <w:rPr>
          <w:sz w:val="20"/>
          <w:szCs w:val="20"/>
          <w:color w:val="auto"/>
        </w:rPr>
      </w:pPr>
      <w:r>
        <w:rPr>
          <w:rFonts w:ascii="Times New Roman" w:cs="Times New Roman" w:eastAsia="Times New Roman" w:hAnsi="Times New Roman"/>
          <w:sz w:val="19"/>
          <w:szCs w:val="19"/>
          <w:color w:val="231F20"/>
        </w:rPr>
        <w:t>other things, the input of the Adviser, our Audit Committee and independent third-party valuation firms engaged at the direction of the Board.</w:t>
      </w:r>
    </w:p>
    <w:p>
      <w:pPr>
        <w:spacing w:after="0" w:line="160" w:lineRule="exact"/>
        <w:rPr>
          <w:sz w:val="20"/>
          <w:szCs w:val="20"/>
          <w:color w:val="auto"/>
        </w:rPr>
      </w:pPr>
    </w:p>
    <w:p>
      <w:pPr>
        <w:ind w:right="400" w:firstLine="231"/>
        <w:spacing w:after="0" w:line="275" w:lineRule="auto"/>
        <w:rPr>
          <w:sz w:val="20"/>
          <w:szCs w:val="20"/>
          <w:color w:val="auto"/>
        </w:rPr>
      </w:pPr>
      <w:r>
        <w:rPr>
          <w:rFonts w:ascii="Times New Roman" w:cs="Times New Roman" w:eastAsia="Times New Roman" w:hAnsi="Times New Roman"/>
          <w:sz w:val="19"/>
          <w:szCs w:val="19"/>
          <w:color w:val="231F20"/>
        </w:rPr>
        <w:t>As part of the valuation process, the Board takes into account relevant factors in determining the fair value of our investments, including and in combination of:</w:t>
      </w:r>
    </w:p>
    <w:p>
      <w:pPr>
        <w:spacing w:after="0" w:line="61" w:lineRule="exact"/>
        <w:rPr>
          <w:sz w:val="20"/>
          <w:szCs w:val="20"/>
          <w:color w:val="auto"/>
        </w:rPr>
      </w:pPr>
    </w:p>
    <w:p>
      <w:pPr>
        <w:ind w:left="460" w:hanging="229"/>
        <w:spacing w:after="0"/>
        <w:tabs>
          <w:tab w:leader="none" w:pos="460" w:val="left"/>
        </w:tabs>
        <w:numPr>
          <w:ilvl w:val="0"/>
          <w:numId w:val="67"/>
        </w:numPr>
        <w:rPr>
          <w:rFonts w:ascii="Arial" w:cs="Arial" w:eastAsia="Arial" w:hAnsi="Arial"/>
          <w:sz w:val="19"/>
          <w:szCs w:val="19"/>
          <w:color w:val="231F20"/>
        </w:rPr>
      </w:pPr>
      <w:r>
        <w:rPr>
          <w:rFonts w:ascii="Times New Roman" w:cs="Times New Roman" w:eastAsia="Times New Roman" w:hAnsi="Times New Roman"/>
          <w:sz w:val="19"/>
          <w:szCs w:val="19"/>
          <w:color w:val="231F20"/>
        </w:rPr>
        <w:t>the estimated enterprise value of a portfolio company (that is, the total value of the portfolio company’s net debt and equity);</w:t>
      </w:r>
    </w:p>
    <w:p>
      <w:pPr>
        <w:spacing w:after="0" w:line="124" w:lineRule="exact"/>
        <w:rPr>
          <w:rFonts w:ascii="Arial" w:cs="Arial" w:eastAsia="Arial" w:hAnsi="Arial"/>
          <w:sz w:val="19"/>
          <w:szCs w:val="19"/>
          <w:color w:val="231F20"/>
        </w:rPr>
      </w:pPr>
    </w:p>
    <w:p>
      <w:pPr>
        <w:ind w:left="460" w:hanging="229"/>
        <w:spacing w:after="0"/>
        <w:tabs>
          <w:tab w:leader="none" w:pos="460" w:val="left"/>
        </w:tabs>
        <w:numPr>
          <w:ilvl w:val="0"/>
          <w:numId w:val="67"/>
        </w:numPr>
        <w:rPr>
          <w:rFonts w:ascii="Arial" w:cs="Arial" w:eastAsia="Arial" w:hAnsi="Arial"/>
          <w:sz w:val="19"/>
          <w:szCs w:val="19"/>
          <w:color w:val="231F20"/>
        </w:rPr>
      </w:pPr>
      <w:r>
        <w:rPr>
          <w:rFonts w:ascii="Times New Roman" w:cs="Times New Roman" w:eastAsia="Times New Roman" w:hAnsi="Times New Roman"/>
          <w:sz w:val="19"/>
          <w:szCs w:val="19"/>
          <w:color w:val="231F20"/>
        </w:rPr>
        <w:t>the nature and realizable value of any collateral;</w:t>
      </w:r>
    </w:p>
    <w:p>
      <w:pPr>
        <w:spacing w:after="0" w:line="124" w:lineRule="exact"/>
        <w:rPr>
          <w:rFonts w:ascii="Arial" w:cs="Arial" w:eastAsia="Arial" w:hAnsi="Arial"/>
          <w:sz w:val="19"/>
          <w:szCs w:val="19"/>
          <w:color w:val="231F20"/>
        </w:rPr>
      </w:pPr>
    </w:p>
    <w:p>
      <w:pPr>
        <w:ind w:left="460" w:hanging="229"/>
        <w:spacing w:after="0"/>
        <w:tabs>
          <w:tab w:leader="none" w:pos="460" w:val="left"/>
        </w:tabs>
        <w:numPr>
          <w:ilvl w:val="0"/>
          <w:numId w:val="67"/>
        </w:numPr>
        <w:rPr>
          <w:rFonts w:ascii="Arial" w:cs="Arial" w:eastAsia="Arial" w:hAnsi="Arial"/>
          <w:sz w:val="19"/>
          <w:szCs w:val="19"/>
          <w:color w:val="231F20"/>
        </w:rPr>
      </w:pPr>
      <w:r>
        <w:rPr>
          <w:rFonts w:ascii="Times New Roman" w:cs="Times New Roman" w:eastAsia="Times New Roman" w:hAnsi="Times New Roman"/>
          <w:sz w:val="19"/>
          <w:szCs w:val="19"/>
          <w:color w:val="231F20"/>
        </w:rPr>
        <w:t>the portfolio company’s ability to make payments based on its earnings and cash flow;</w:t>
      </w:r>
    </w:p>
    <w:p>
      <w:pPr>
        <w:spacing w:after="0" w:line="124" w:lineRule="exact"/>
        <w:rPr>
          <w:rFonts w:ascii="Arial" w:cs="Arial" w:eastAsia="Arial" w:hAnsi="Arial"/>
          <w:sz w:val="19"/>
          <w:szCs w:val="19"/>
          <w:color w:val="231F20"/>
        </w:rPr>
      </w:pPr>
    </w:p>
    <w:p>
      <w:pPr>
        <w:ind w:left="460" w:hanging="229"/>
        <w:spacing w:after="0"/>
        <w:tabs>
          <w:tab w:leader="none" w:pos="460" w:val="left"/>
        </w:tabs>
        <w:numPr>
          <w:ilvl w:val="0"/>
          <w:numId w:val="67"/>
        </w:numPr>
        <w:rPr>
          <w:rFonts w:ascii="Arial" w:cs="Arial" w:eastAsia="Arial" w:hAnsi="Arial"/>
          <w:sz w:val="19"/>
          <w:szCs w:val="19"/>
          <w:color w:val="231F20"/>
        </w:rPr>
      </w:pPr>
      <w:r>
        <w:rPr>
          <w:rFonts w:ascii="Times New Roman" w:cs="Times New Roman" w:eastAsia="Times New Roman" w:hAnsi="Times New Roman"/>
          <w:sz w:val="19"/>
          <w:szCs w:val="19"/>
          <w:color w:val="231F20"/>
        </w:rPr>
        <w:t>the markets in which the portfolio company does business;</w:t>
      </w:r>
    </w:p>
    <w:p>
      <w:pPr>
        <w:spacing w:after="0" w:line="124" w:lineRule="exact"/>
        <w:rPr>
          <w:rFonts w:ascii="Arial" w:cs="Arial" w:eastAsia="Arial" w:hAnsi="Arial"/>
          <w:sz w:val="19"/>
          <w:szCs w:val="19"/>
          <w:color w:val="231F20"/>
        </w:rPr>
      </w:pPr>
    </w:p>
    <w:p>
      <w:pPr>
        <w:ind w:left="460" w:hanging="229"/>
        <w:spacing w:after="0"/>
        <w:tabs>
          <w:tab w:leader="none" w:pos="460" w:val="left"/>
        </w:tabs>
        <w:numPr>
          <w:ilvl w:val="0"/>
          <w:numId w:val="67"/>
        </w:numPr>
        <w:rPr>
          <w:rFonts w:ascii="Arial" w:cs="Arial" w:eastAsia="Arial" w:hAnsi="Arial"/>
          <w:sz w:val="19"/>
          <w:szCs w:val="19"/>
          <w:color w:val="231F20"/>
        </w:rPr>
      </w:pPr>
      <w:r>
        <w:rPr>
          <w:rFonts w:ascii="Times New Roman" w:cs="Times New Roman" w:eastAsia="Times New Roman" w:hAnsi="Times New Roman"/>
          <w:sz w:val="19"/>
          <w:szCs w:val="19"/>
          <w:color w:val="231F20"/>
        </w:rPr>
        <w:t>a comparison of the portfolio company’s securities to any similar publicly traded securities; and</w:t>
      </w:r>
    </w:p>
    <w:p>
      <w:pPr>
        <w:spacing w:after="0" w:line="124" w:lineRule="exact"/>
        <w:rPr>
          <w:rFonts w:ascii="Arial" w:cs="Arial" w:eastAsia="Arial" w:hAnsi="Arial"/>
          <w:sz w:val="19"/>
          <w:szCs w:val="19"/>
          <w:color w:val="231F20"/>
        </w:rPr>
      </w:pPr>
    </w:p>
    <w:p>
      <w:pPr>
        <w:ind w:left="460" w:right="320" w:hanging="229"/>
        <w:spacing w:after="0" w:line="274" w:lineRule="auto"/>
        <w:tabs>
          <w:tab w:leader="none" w:pos="460" w:val="left"/>
        </w:tabs>
        <w:numPr>
          <w:ilvl w:val="0"/>
          <w:numId w:val="67"/>
        </w:numPr>
        <w:rPr>
          <w:rFonts w:ascii="Arial" w:cs="Arial" w:eastAsia="Arial" w:hAnsi="Arial"/>
          <w:sz w:val="19"/>
          <w:szCs w:val="19"/>
          <w:color w:val="231F20"/>
        </w:rPr>
      </w:pPr>
      <w:r>
        <w:rPr>
          <w:rFonts w:ascii="Times New Roman" w:cs="Times New Roman" w:eastAsia="Times New Roman" w:hAnsi="Times New Roman"/>
          <w:sz w:val="19"/>
          <w:szCs w:val="19"/>
          <w:color w:val="231F20"/>
        </w:rPr>
        <w:t>overall changes in the interest rate environment and the credit markets that may affect the price at which similar investments may be made in the future.</w:t>
      </w:r>
    </w:p>
    <w:p>
      <w:pPr>
        <w:spacing w:after="0" w:line="161" w:lineRule="exact"/>
        <w:rPr>
          <w:sz w:val="20"/>
          <w:szCs w:val="20"/>
          <w:color w:val="auto"/>
        </w:rPr>
      </w:pPr>
    </w:p>
    <w:p>
      <w:pPr>
        <w:ind w:right="480" w:firstLine="231"/>
        <w:spacing w:after="0" w:line="275" w:lineRule="auto"/>
        <w:rPr>
          <w:sz w:val="20"/>
          <w:szCs w:val="20"/>
          <w:color w:val="auto"/>
        </w:rPr>
      </w:pPr>
      <w:r>
        <w:rPr>
          <w:rFonts w:ascii="Times New Roman" w:cs="Times New Roman" w:eastAsia="Times New Roman" w:hAnsi="Times New Roman"/>
          <w:sz w:val="19"/>
          <w:szCs w:val="19"/>
          <w:color w:val="231F20"/>
        </w:rPr>
        <w:t>When an external event, such as a purchase transaction, public offering or subsequent equity sale occurs, the Board considers whether the pricing indicated by the external event corroborates our valuation.</w:t>
      </w:r>
    </w:p>
    <w:p>
      <w:pPr>
        <w:spacing w:after="0" w:line="160"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9"/>
          <w:szCs w:val="19"/>
          <w:color w:val="231F20"/>
        </w:rPr>
        <w:t>The Board undertakes a multi-step valuation process, which includes, among other procedures, the following:</w:t>
      </w:r>
    </w:p>
    <w:p>
      <w:pPr>
        <w:spacing w:after="0" w:line="118" w:lineRule="exact"/>
        <w:rPr>
          <w:sz w:val="20"/>
          <w:szCs w:val="20"/>
          <w:color w:val="auto"/>
        </w:rPr>
      </w:pPr>
    </w:p>
    <w:p>
      <w:pPr>
        <w:ind w:left="460" w:right="320" w:hanging="229"/>
        <w:spacing w:after="0" w:line="264" w:lineRule="auto"/>
        <w:tabs>
          <w:tab w:leader="none" w:pos="460" w:val="left"/>
        </w:tabs>
        <w:numPr>
          <w:ilvl w:val="0"/>
          <w:numId w:val="68"/>
        </w:numPr>
        <w:rPr>
          <w:rFonts w:ascii="Arial" w:cs="Arial" w:eastAsia="Arial" w:hAnsi="Arial"/>
          <w:sz w:val="19"/>
          <w:szCs w:val="19"/>
          <w:color w:val="231F20"/>
        </w:rPr>
      </w:pPr>
      <w:r>
        <w:rPr>
          <w:rFonts w:ascii="Times New Roman" w:cs="Times New Roman" w:eastAsia="Times New Roman" w:hAnsi="Times New Roman"/>
          <w:sz w:val="19"/>
          <w:szCs w:val="19"/>
          <w:color w:val="231F20"/>
        </w:rPr>
        <w:t>The valuation process begins with each investment being initially valued by the investment professionals responsible for the portfolio investment in conjunction with the portfolio management team.</w:t>
      </w:r>
    </w:p>
    <w:p>
      <w:pPr>
        <w:spacing w:after="0" w:line="61" w:lineRule="exact"/>
        <w:rPr>
          <w:rFonts w:ascii="Arial" w:cs="Arial" w:eastAsia="Arial" w:hAnsi="Arial"/>
          <w:sz w:val="19"/>
          <w:szCs w:val="19"/>
          <w:color w:val="231F20"/>
        </w:rPr>
      </w:pPr>
    </w:p>
    <w:p>
      <w:pPr>
        <w:ind w:left="460" w:right="540" w:hanging="229"/>
        <w:spacing w:after="0" w:line="264" w:lineRule="auto"/>
        <w:tabs>
          <w:tab w:leader="none" w:pos="460" w:val="left"/>
        </w:tabs>
        <w:numPr>
          <w:ilvl w:val="0"/>
          <w:numId w:val="68"/>
        </w:numPr>
        <w:rPr>
          <w:rFonts w:ascii="Arial" w:cs="Arial" w:eastAsia="Arial" w:hAnsi="Arial"/>
          <w:sz w:val="19"/>
          <w:szCs w:val="19"/>
          <w:color w:val="231F20"/>
        </w:rPr>
      </w:pPr>
      <w:r>
        <w:rPr>
          <w:rFonts w:ascii="Times New Roman" w:cs="Times New Roman" w:eastAsia="Times New Roman" w:hAnsi="Times New Roman"/>
          <w:sz w:val="19"/>
          <w:szCs w:val="19"/>
          <w:color w:val="231F20"/>
        </w:rPr>
        <w:t>The Adviser’s management reviews the preliminary valuations with the investment professionals. Agreed-upon valuation recommendations are presented to the Audit Committee.</w:t>
      </w:r>
    </w:p>
    <w:p>
      <w:pPr>
        <w:spacing w:after="0" w:line="61" w:lineRule="exact"/>
        <w:rPr>
          <w:rFonts w:ascii="Arial" w:cs="Arial" w:eastAsia="Arial" w:hAnsi="Arial"/>
          <w:sz w:val="19"/>
          <w:szCs w:val="19"/>
          <w:color w:val="231F20"/>
        </w:rPr>
      </w:pPr>
    </w:p>
    <w:p>
      <w:pPr>
        <w:ind w:left="460" w:hanging="229"/>
        <w:spacing w:after="0"/>
        <w:tabs>
          <w:tab w:leader="none" w:pos="460" w:val="left"/>
        </w:tabs>
        <w:numPr>
          <w:ilvl w:val="0"/>
          <w:numId w:val="68"/>
        </w:numPr>
        <w:rPr>
          <w:rFonts w:ascii="Arial" w:cs="Arial" w:eastAsia="Arial" w:hAnsi="Arial"/>
          <w:sz w:val="19"/>
          <w:szCs w:val="19"/>
          <w:color w:val="231F20"/>
        </w:rPr>
      </w:pPr>
      <w:r>
        <w:rPr>
          <w:rFonts w:ascii="Times New Roman" w:cs="Times New Roman" w:eastAsia="Times New Roman" w:hAnsi="Times New Roman"/>
          <w:sz w:val="19"/>
          <w:szCs w:val="19"/>
          <w:color w:val="231F20"/>
        </w:rPr>
        <w:t>The Audit Committee reviews the valuations presented and recommends values for each investment to the Board.</w:t>
      </w:r>
    </w:p>
    <w:p>
      <w:pPr>
        <w:spacing w:after="0" w:line="115" w:lineRule="exact"/>
        <w:rPr>
          <w:rFonts w:ascii="Arial" w:cs="Arial" w:eastAsia="Arial" w:hAnsi="Arial"/>
          <w:sz w:val="19"/>
          <w:szCs w:val="19"/>
          <w:color w:val="231F20"/>
        </w:rPr>
      </w:pPr>
    </w:p>
    <w:p>
      <w:pPr>
        <w:ind w:left="460" w:right="80" w:hanging="229"/>
        <w:spacing w:after="0"/>
        <w:tabs>
          <w:tab w:leader="none" w:pos="460" w:val="left"/>
        </w:tabs>
        <w:numPr>
          <w:ilvl w:val="0"/>
          <w:numId w:val="68"/>
        </w:numPr>
        <w:rPr>
          <w:rFonts w:ascii="Arial" w:cs="Arial" w:eastAsia="Arial" w:hAnsi="Arial"/>
          <w:sz w:val="19"/>
          <w:szCs w:val="19"/>
          <w:color w:val="231F20"/>
        </w:rPr>
      </w:pPr>
      <w:r>
        <w:rPr>
          <w:rFonts w:ascii="Times New Roman" w:cs="Times New Roman" w:eastAsia="Times New Roman" w:hAnsi="Times New Roman"/>
          <w:sz w:val="19"/>
          <w:szCs w:val="19"/>
          <w:color w:val="231F20"/>
        </w:rPr>
        <w:t>The Board reviews the recommended valuations and determines the fair value of each investment; valuations that are not based on readily available market quotations are valued in good faith based on, among other things, the input of the Adviser, Audit Committee and, where applicable, other third parties, including independent third party valuation firms engaged at the direction of the Board.</w:t>
      </w:r>
    </w:p>
    <w:p>
      <w:pPr>
        <w:spacing w:after="0" w:line="185"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9"/>
          <w:szCs w:val="19"/>
          <w:color w:val="231F20"/>
        </w:rPr>
        <w:t>We conduct this valuation process on a quarterly basis.</w:t>
      </w:r>
    </w:p>
    <w:p>
      <w:pPr>
        <w:spacing w:after="0" w:line="216" w:lineRule="exact"/>
        <w:rPr>
          <w:sz w:val="20"/>
          <w:szCs w:val="20"/>
          <w:color w:val="auto"/>
        </w:rPr>
      </w:pPr>
    </w:p>
    <w:p>
      <w:pPr>
        <w:ind w:right="20" w:firstLine="231"/>
        <w:spacing w:after="0" w:line="238" w:lineRule="auto"/>
        <w:rPr>
          <w:sz w:val="20"/>
          <w:szCs w:val="20"/>
          <w:color w:val="auto"/>
        </w:rPr>
      </w:pPr>
      <w:r>
        <w:rPr>
          <w:rFonts w:ascii="Times New Roman" w:cs="Times New Roman" w:eastAsia="Times New Roman" w:hAnsi="Times New Roman"/>
          <w:sz w:val="19"/>
          <w:szCs w:val="19"/>
          <w:color w:val="231F20"/>
        </w:rPr>
        <w:t>The Board has engaged independent third-party valuation firms to perform certain limited procedures that the Board has identified and requested them to perform in connection with the valuation process of investments for which no market quotations are readily available. At December 31, 2024, the independent third-party valuation firms performed their procedures over substantially all of our investments. Upon completion of such limited procedures, the third-party valuation firms determined that the fair value, as determined by the Board, of those investments subjected to their limited procedures, appeared reasonable.</w:t>
      </w:r>
    </w:p>
    <w:p>
      <w:pPr>
        <w:spacing w:after="0" w:line="184" w:lineRule="exact"/>
        <w:rPr>
          <w:sz w:val="20"/>
          <w:szCs w:val="20"/>
          <w:color w:val="auto"/>
        </w:rPr>
      </w:pPr>
    </w:p>
    <w:p>
      <w:pPr>
        <w:ind w:firstLine="231"/>
        <w:spacing w:after="0" w:line="234" w:lineRule="auto"/>
        <w:rPr>
          <w:sz w:val="20"/>
          <w:szCs w:val="20"/>
          <w:color w:val="auto"/>
        </w:rPr>
      </w:pPr>
      <w:r>
        <w:rPr>
          <w:rFonts w:ascii="Times New Roman" w:cs="Times New Roman" w:eastAsia="Times New Roman" w:hAnsi="Times New Roman"/>
          <w:sz w:val="19"/>
          <w:szCs w:val="19"/>
          <w:color w:val="231F20"/>
        </w:rPr>
        <w:t xml:space="preserve">We apply Financial Accounting Standards Board Accounting Standards Codification Topic 820, </w:t>
      </w:r>
      <w:r>
        <w:rPr>
          <w:rFonts w:ascii="Times New Roman" w:cs="Times New Roman" w:eastAsia="Times New Roman" w:hAnsi="Times New Roman"/>
          <w:sz w:val="19"/>
          <w:szCs w:val="19"/>
          <w:i w:val="1"/>
          <w:iCs w:val="1"/>
          <w:color w:val="231F20"/>
        </w:rPr>
        <w:t>Fair Value Measurement</w:t>
      </w:r>
      <w:r>
        <w:rPr>
          <w:rFonts w:ascii="Times New Roman" w:cs="Times New Roman" w:eastAsia="Times New Roman" w:hAnsi="Times New Roman"/>
          <w:sz w:val="19"/>
          <w:szCs w:val="19"/>
          <w:color w:val="231F20"/>
        </w:rPr>
        <w:t xml:space="preserve"> (“ASC Topic 820”), as amended, which establishes a framework for measuring fair value in accordance with U.S. GAAP and required disclosures of fair value measurements. ASC Topic 820 determines fair value to be the price that would be received for an investment in a current sale, which assumes an orderly transaction between market participants on the measurement date. Market participants are defined as buyers and sellers in the principal or most advantageous market (which may be a hypothetical market) that are independent, knowledgeable, and willing and able to transact. In accordance with ASC Topic 820, we consider our principal market to be the market that has the greatest volume and level of activity. ASC Topic 820 specifies a fair value hierarchy that prioritizes and ranks the level of observability of inputs used in determination of fair value. In accordance with ASC Topic 820, these levels are summarized below:</w:t>
      </w:r>
    </w:p>
    <w:p>
      <w:pPr>
        <w:spacing w:after="0" w:line="83" w:lineRule="exact"/>
        <w:rPr>
          <w:sz w:val="20"/>
          <w:szCs w:val="20"/>
          <w:color w:val="auto"/>
        </w:rPr>
      </w:pPr>
    </w:p>
    <w:p>
      <w:pPr>
        <w:ind w:left="460" w:hanging="229"/>
        <w:spacing w:after="0"/>
        <w:tabs>
          <w:tab w:leader="none" w:pos="460" w:val="left"/>
        </w:tabs>
        <w:numPr>
          <w:ilvl w:val="0"/>
          <w:numId w:val="69"/>
        </w:numPr>
        <w:rPr>
          <w:rFonts w:ascii="Arial" w:cs="Arial" w:eastAsia="Arial" w:hAnsi="Arial"/>
          <w:sz w:val="18"/>
          <w:szCs w:val="18"/>
          <w:color w:val="231F20"/>
        </w:rPr>
      </w:pPr>
      <w:r>
        <w:rPr>
          <w:rFonts w:ascii="Times New Roman" w:cs="Times New Roman" w:eastAsia="Times New Roman" w:hAnsi="Times New Roman"/>
          <w:sz w:val="18"/>
          <w:szCs w:val="18"/>
          <w:color w:val="231F20"/>
        </w:rPr>
        <w:t>Level 1—Valuations based on quoted prices in active markets for identical assets or liabilities that we have the ability to access.</w:t>
      </w:r>
    </w:p>
    <w:p>
      <w:pPr>
        <w:spacing w:after="0" w:line="127" w:lineRule="exact"/>
        <w:rPr>
          <w:rFonts w:ascii="Arial" w:cs="Arial" w:eastAsia="Arial" w:hAnsi="Arial"/>
          <w:sz w:val="18"/>
          <w:szCs w:val="18"/>
          <w:color w:val="231F20"/>
        </w:rPr>
      </w:pPr>
    </w:p>
    <w:p>
      <w:pPr>
        <w:ind w:left="460" w:right="360" w:hanging="229"/>
        <w:spacing w:after="0" w:line="264" w:lineRule="auto"/>
        <w:tabs>
          <w:tab w:leader="none" w:pos="460" w:val="left"/>
        </w:tabs>
        <w:numPr>
          <w:ilvl w:val="0"/>
          <w:numId w:val="69"/>
        </w:numPr>
        <w:rPr>
          <w:rFonts w:ascii="Arial" w:cs="Arial" w:eastAsia="Arial" w:hAnsi="Arial"/>
          <w:sz w:val="19"/>
          <w:szCs w:val="19"/>
          <w:color w:val="231F20"/>
        </w:rPr>
      </w:pPr>
      <w:r>
        <w:rPr>
          <w:rFonts w:ascii="Times New Roman" w:cs="Times New Roman" w:eastAsia="Times New Roman" w:hAnsi="Times New Roman"/>
          <w:sz w:val="19"/>
          <w:szCs w:val="19"/>
          <w:color w:val="231F20"/>
        </w:rPr>
        <w:t>Level 2—Valuations based on quoted prices in markets that are not active or for which all significant inputs are observable, either directly or indirectly.</w:t>
      </w:r>
    </w:p>
    <w:p>
      <w:pPr>
        <w:spacing w:after="0" w:line="61" w:lineRule="exact"/>
        <w:rPr>
          <w:rFonts w:ascii="Arial" w:cs="Arial" w:eastAsia="Arial" w:hAnsi="Arial"/>
          <w:sz w:val="19"/>
          <w:szCs w:val="19"/>
          <w:color w:val="231F20"/>
        </w:rPr>
      </w:pPr>
    </w:p>
    <w:p>
      <w:pPr>
        <w:ind w:left="460" w:hanging="229"/>
        <w:spacing w:after="0"/>
        <w:tabs>
          <w:tab w:leader="none" w:pos="460" w:val="left"/>
        </w:tabs>
        <w:numPr>
          <w:ilvl w:val="0"/>
          <w:numId w:val="69"/>
        </w:numPr>
        <w:rPr>
          <w:rFonts w:ascii="Arial" w:cs="Arial" w:eastAsia="Arial" w:hAnsi="Arial"/>
          <w:sz w:val="19"/>
          <w:szCs w:val="19"/>
          <w:color w:val="231F20"/>
        </w:rPr>
      </w:pPr>
      <w:r>
        <w:rPr>
          <w:rFonts w:ascii="Times New Roman" w:cs="Times New Roman" w:eastAsia="Times New Roman" w:hAnsi="Times New Roman"/>
          <w:sz w:val="19"/>
          <w:szCs w:val="19"/>
          <w:color w:val="231F20"/>
        </w:rPr>
        <w:t>Level 3—Valuations based on inputs that are unobservable and significant to the overall fair value measurement.</w:t>
      </w:r>
    </w:p>
    <w:p>
      <w:pPr>
        <w:sectPr>
          <w:pgSz w:w="12240" w:h="15840" w:orient="portrait"/>
          <w:cols w:equalWidth="0" w:num="1">
            <w:col w:w="10180"/>
          </w:cols>
          <w:pgMar w:left="1020" w:top="1317" w:right="1040" w:bottom="57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231F20"/>
        </w:rPr>
        <w:t>85</w:t>
      </w:r>
    </w:p>
    <w:p>
      <w:pPr>
        <w:sectPr>
          <w:pgSz w:w="12240" w:h="15840" w:orient="portrait"/>
          <w:cols w:equalWidth="0" w:num="1">
            <w:col w:w="10180"/>
          </w:cols>
          <w:pgMar w:left="1020" w:top="1317" w:right="1040" w:bottom="574" w:gutter="0" w:footer="0" w:header="0"/>
          <w:type w:val="continuous"/>
        </w:sectPr>
      </w:pPr>
    </w:p>
    <w:bookmarkStart w:id="85" w:name="page86"/>
    <w:bookmarkEnd w:id="85"/>
    <w:p>
      <w:pPr>
        <w:ind w:right="40" w:firstLine="231"/>
        <w:spacing w:after="0" w:line="243" w:lineRule="auto"/>
        <w:rPr>
          <w:sz w:val="20"/>
          <w:szCs w:val="20"/>
          <w:color w:val="auto"/>
        </w:rPr>
      </w:pPr>
      <w:r>
        <w:rPr>
          <w:rFonts w:ascii="Times New Roman" w:cs="Times New Roman" w:eastAsia="Times New Roman" w:hAnsi="Times New Roman"/>
          <w:sz w:val="18"/>
          <w:szCs w:val="18"/>
          <w:color w:val="231F20"/>
        </w:rPr>
        <w:t>Transfers between levels, if any, are recognized at the beginning of the quarter in which the transfers occur. In addition to using the above inputs in investment valuations, we apply the valuation policy approved by our Board that is consistent with ASC Topic 820. Consistent with the valuation policy, we evaluate the source of inputs, including any markets in which our investments are trading (or any markets in which securities with similar attributes are trading), in determining fair value. When a security is valued based on prices provided by reputable dealers or pricing services (that is, broker quotes), we subject those prices to various additional criteria in making the determination as to whether a particular investment would qualify for treatment as a Level 2 or Level 3 investment. For example, we review pricing and methodologies provided by dealers or pricing services in order to determine if observable market information is being used, versus unobservable inputs. Some additional factors considered include the number of prices obtained, as well as an assessment as to their quality, such as the depth of the relevant market relative to the size of the Company’s position.</w:t>
      </w:r>
    </w:p>
    <w:p>
      <w:pPr>
        <w:spacing w:after="0" w:line="182" w:lineRule="exact"/>
        <w:rPr>
          <w:sz w:val="20"/>
          <w:szCs w:val="20"/>
          <w:color w:val="auto"/>
        </w:rPr>
      </w:pPr>
    </w:p>
    <w:p>
      <w:pPr>
        <w:jc w:val="both"/>
        <w:ind w:right="260" w:firstLine="231"/>
        <w:spacing w:after="0" w:line="243" w:lineRule="auto"/>
        <w:rPr>
          <w:sz w:val="20"/>
          <w:szCs w:val="20"/>
          <w:color w:val="auto"/>
        </w:rPr>
      </w:pPr>
      <w:r>
        <w:rPr>
          <w:rFonts w:ascii="Times New Roman" w:cs="Times New Roman" w:eastAsia="Times New Roman" w:hAnsi="Times New Roman"/>
          <w:sz w:val="19"/>
          <w:szCs w:val="19"/>
          <w:color w:val="231F20"/>
        </w:rPr>
        <w:t>Our accounting policy on the fair value of our investments is critical because the determination of fair value involves subjective judgments and estimates. Accordingly, the notes to our consolidated financial statements express the uncertainty with respect to the possible effect of these valuations, and any change in these valuations, on the consolidated financial statements.</w:t>
      </w:r>
    </w:p>
    <w:p>
      <w:pPr>
        <w:spacing w:after="0" w:line="177" w:lineRule="exact"/>
        <w:rPr>
          <w:sz w:val="20"/>
          <w:szCs w:val="20"/>
          <w:color w:val="auto"/>
        </w:rPr>
      </w:pPr>
    </w:p>
    <w:p>
      <w:pPr>
        <w:ind w:right="560" w:firstLine="231"/>
        <w:spacing w:after="0" w:line="261" w:lineRule="auto"/>
        <w:rPr>
          <w:sz w:val="20"/>
          <w:szCs w:val="20"/>
          <w:color w:val="auto"/>
        </w:rPr>
      </w:pPr>
      <w:r>
        <w:rPr>
          <w:rFonts w:ascii="Times New Roman" w:cs="Times New Roman" w:eastAsia="Times New Roman" w:hAnsi="Times New Roman"/>
          <w:sz w:val="19"/>
          <w:szCs w:val="19"/>
          <w:color w:val="231F20"/>
        </w:rPr>
        <w:t>See Note 6 to our consolidated financial statements included in this Form 10-K for more information on the fair value of our investments.</w:t>
      </w:r>
    </w:p>
    <w:p>
      <w:pPr>
        <w:spacing w:after="0" w:line="27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231F20"/>
        </w:rPr>
        <w:t>Interest and Dividend Income Recognition</w:t>
      </w:r>
    </w:p>
    <w:p>
      <w:pPr>
        <w:spacing w:after="0" w:line="97" w:lineRule="exact"/>
        <w:rPr>
          <w:sz w:val="20"/>
          <w:szCs w:val="20"/>
          <w:color w:val="auto"/>
        </w:rPr>
      </w:pPr>
    </w:p>
    <w:p>
      <w:pPr>
        <w:ind w:right="60" w:firstLine="231"/>
        <w:spacing w:after="0" w:line="237" w:lineRule="auto"/>
        <w:rPr>
          <w:sz w:val="20"/>
          <w:szCs w:val="20"/>
          <w:color w:val="auto"/>
        </w:rPr>
      </w:pPr>
      <w:r>
        <w:rPr>
          <w:rFonts w:ascii="Times New Roman" w:cs="Times New Roman" w:eastAsia="Times New Roman" w:hAnsi="Times New Roman"/>
          <w:sz w:val="19"/>
          <w:szCs w:val="19"/>
          <w:color w:val="231F20"/>
        </w:rPr>
        <w:t>Interest income is recorded on an accrual basis and includes the amortization of discounts and premiums. Discounts and premiums to par value on securities purchased or originated are amortized into interest income over the contractual life of the respective security using the effective interest method. The amortized cost of investments represents the original cost adjusted for the amortization of discounts and premiums, if any.</w:t>
      </w:r>
    </w:p>
    <w:p>
      <w:pPr>
        <w:spacing w:after="0" w:line="182" w:lineRule="exact"/>
        <w:rPr>
          <w:sz w:val="20"/>
          <w:szCs w:val="20"/>
          <w:color w:val="auto"/>
        </w:rPr>
      </w:pPr>
    </w:p>
    <w:p>
      <w:pPr>
        <w:ind w:right="300" w:firstLine="231"/>
        <w:spacing w:after="0" w:line="261" w:lineRule="auto"/>
        <w:rPr>
          <w:sz w:val="20"/>
          <w:szCs w:val="20"/>
          <w:color w:val="auto"/>
        </w:rPr>
      </w:pPr>
      <w:r>
        <w:rPr>
          <w:rFonts w:ascii="Times New Roman" w:cs="Times New Roman" w:eastAsia="Times New Roman" w:hAnsi="Times New Roman"/>
          <w:sz w:val="19"/>
          <w:szCs w:val="19"/>
          <w:color w:val="231F20"/>
        </w:rPr>
        <w:t>Unless providing services in connection with an investment, such as syndication, structuring or diligence, all or a portion of any loan fees received by us will be deferred and amortized over the investment’s life using the effective interest method.</w:t>
      </w:r>
    </w:p>
    <w:p>
      <w:pPr>
        <w:spacing w:after="0" w:line="161" w:lineRule="exact"/>
        <w:rPr>
          <w:sz w:val="20"/>
          <w:szCs w:val="20"/>
          <w:color w:val="auto"/>
        </w:rPr>
      </w:pPr>
    </w:p>
    <w:p>
      <w:pPr>
        <w:ind w:firstLine="231"/>
        <w:spacing w:after="0" w:line="232" w:lineRule="auto"/>
        <w:rPr>
          <w:sz w:val="20"/>
          <w:szCs w:val="20"/>
          <w:color w:val="auto"/>
        </w:rPr>
      </w:pPr>
      <w:r>
        <w:rPr>
          <w:rFonts w:ascii="Times New Roman" w:cs="Times New Roman" w:eastAsia="Times New Roman" w:hAnsi="Times New Roman"/>
          <w:sz w:val="19"/>
          <w:szCs w:val="19"/>
          <w:color w:val="231F20"/>
        </w:rPr>
        <w:t>Loans are generally placed on non-accrual status when principal or interest payments are past due 30 days or more or when management has reasonable doubt that the borrower will pay principal or interest in full. Accrued and unpaid interest is generally reversed when a loan is placed on non-accrual status. Interest payments received on non-accrual loans may be recognized as income or applied to principal depending upon management’s judgment regarding collectability. Non-accrual loans are restored to accrual status when past due principal and interest has been paid and, in management’s judgment, the borrower is likely to make principal and interest payments in the future. Management may determine to not place a loan on non-accrual status if, notwithstanding any failure to pay, the loan has sufficient collateral value and is in the process of collection.</w:t>
      </w:r>
    </w:p>
    <w:p>
      <w:pPr>
        <w:spacing w:after="0" w:line="180" w:lineRule="exact"/>
        <w:rPr>
          <w:sz w:val="20"/>
          <w:szCs w:val="20"/>
          <w:color w:val="auto"/>
        </w:rPr>
      </w:pPr>
    </w:p>
    <w:p>
      <w:pPr>
        <w:jc w:val="both"/>
        <w:ind w:right="160" w:firstLine="231"/>
        <w:spacing w:after="0" w:line="243" w:lineRule="auto"/>
        <w:rPr>
          <w:sz w:val="20"/>
          <w:szCs w:val="20"/>
          <w:color w:val="auto"/>
        </w:rPr>
      </w:pPr>
      <w:r>
        <w:rPr>
          <w:rFonts w:ascii="Times New Roman" w:cs="Times New Roman" w:eastAsia="Times New Roman" w:hAnsi="Times New Roman"/>
          <w:sz w:val="19"/>
          <w:szCs w:val="19"/>
          <w:color w:val="231F20"/>
        </w:rPr>
        <w:t>Dividend income on preferred equity securities is recorded on an accrual basis to the extent that such amounts are payable by the portfolio company and are expected to be collected. Dividend income on common equity securities is recorded on the record date for private portfolio companies or on the ex-dividend date for publicly traded portfolio companies.</w:t>
      </w:r>
    </w:p>
    <w:p>
      <w:pPr>
        <w:spacing w:after="0" w:line="177" w:lineRule="exact"/>
        <w:rPr>
          <w:sz w:val="20"/>
          <w:szCs w:val="20"/>
          <w:color w:val="auto"/>
        </w:rPr>
      </w:pPr>
    </w:p>
    <w:p>
      <w:pPr>
        <w:ind w:right="60" w:firstLine="231"/>
        <w:spacing w:after="0" w:line="261" w:lineRule="auto"/>
        <w:rPr>
          <w:sz w:val="20"/>
          <w:szCs w:val="20"/>
          <w:color w:val="auto"/>
        </w:rPr>
      </w:pPr>
      <w:r>
        <w:rPr>
          <w:rFonts w:ascii="Times New Roman" w:cs="Times New Roman" w:eastAsia="Times New Roman" w:hAnsi="Times New Roman"/>
          <w:sz w:val="19"/>
          <w:szCs w:val="19"/>
          <w:color w:val="231F20"/>
        </w:rPr>
        <w:t>Our accounting policy on interest and dividend income recognition is critical because it involves the primary source of our revenue and accordingly is significant to the financial results as disclosed in our consolidated financial statements.</w:t>
      </w:r>
    </w:p>
    <w:p>
      <w:pPr>
        <w:spacing w:after="0" w:line="27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231F20"/>
        </w:rPr>
        <w:t>U.S. Federal Income Taxes</w:t>
      </w:r>
    </w:p>
    <w:p>
      <w:pPr>
        <w:spacing w:after="0" w:line="97" w:lineRule="exact"/>
        <w:rPr>
          <w:sz w:val="20"/>
          <w:szCs w:val="20"/>
          <w:color w:val="auto"/>
        </w:rPr>
      </w:pPr>
    </w:p>
    <w:p>
      <w:pPr>
        <w:ind w:right="20" w:firstLine="231"/>
        <w:spacing w:after="0" w:line="235" w:lineRule="auto"/>
        <w:rPr>
          <w:sz w:val="20"/>
          <w:szCs w:val="20"/>
          <w:color w:val="auto"/>
        </w:rPr>
      </w:pPr>
      <w:r>
        <w:rPr>
          <w:rFonts w:ascii="Times New Roman" w:cs="Times New Roman" w:eastAsia="Times New Roman" w:hAnsi="Times New Roman"/>
          <w:sz w:val="19"/>
          <w:szCs w:val="19"/>
          <w:color w:val="231F20"/>
        </w:rPr>
        <w:t>We have elected to be treated as a BDC under the 1940 Act. We also have elected to be treated as a RIC under the Code. So long as we maintain our status as a RIC, we will generally not pay corporate-level U.S. federal income or excise taxes on any ordinary income or capital gains that we distribute at least annually to our stockholders as dividends. As a result, any tax liability related to income earned and distributed by us represents obligations of our stockholders and will not be reflected in our consolidated financial statements.</w:t>
      </w:r>
    </w:p>
    <w:p>
      <w:pPr>
        <w:spacing w:after="0" w:line="180" w:lineRule="exact"/>
        <w:rPr>
          <w:sz w:val="20"/>
          <w:szCs w:val="20"/>
          <w:color w:val="auto"/>
        </w:rPr>
      </w:pPr>
    </w:p>
    <w:p>
      <w:pPr>
        <w:ind w:right="120" w:firstLine="231"/>
        <w:spacing w:after="0" w:line="231" w:lineRule="auto"/>
        <w:rPr>
          <w:sz w:val="20"/>
          <w:szCs w:val="20"/>
          <w:color w:val="auto"/>
        </w:rPr>
      </w:pPr>
      <w:r>
        <w:rPr>
          <w:rFonts w:ascii="Times New Roman" w:cs="Times New Roman" w:eastAsia="Times New Roman" w:hAnsi="Times New Roman"/>
          <w:sz w:val="19"/>
          <w:szCs w:val="19"/>
          <w:color w:val="231F20"/>
        </w:rPr>
        <w:t>We evaluate tax positions taken or expected to be taken in the course of preparing our financial statements to determine whether the tax positions are “more-likely-than-not” to be sustained by the applicable tax authority. Tax positions not deemed to meet the “more-likely-than-not” threshold are reversed and recorded as a tax benefit or expense in the current year. All penalties and interest associated with income taxes are included in income tax expense. Conclusions regarding tax positions are subject to review and may be adjusted at a later date based on factors including, but not limited to, on-going analyses of tax laws, regulations and interpretations thereof. As of December 31, 2024, we did not have any uncertain tax positions that met the recognition or measurement criteria, nor did we have any unrecognized tax benefits. Our 2023, 2022 and 2021 tax year returns remain subject to examination by the relevant federal, state, and local tax authorities.</w:t>
      </w:r>
    </w:p>
    <w:p>
      <w:pPr>
        <w:spacing w:after="0" w:line="181" w:lineRule="exact"/>
        <w:rPr>
          <w:sz w:val="20"/>
          <w:szCs w:val="20"/>
          <w:color w:val="auto"/>
        </w:rPr>
      </w:pPr>
    </w:p>
    <w:p>
      <w:pPr>
        <w:ind w:right="40" w:firstLine="231"/>
        <w:spacing w:after="0" w:line="261" w:lineRule="auto"/>
        <w:rPr>
          <w:sz w:val="20"/>
          <w:szCs w:val="20"/>
          <w:color w:val="auto"/>
        </w:rPr>
      </w:pPr>
      <w:r>
        <w:rPr>
          <w:rFonts w:ascii="Times New Roman" w:cs="Times New Roman" w:eastAsia="Times New Roman" w:hAnsi="Times New Roman"/>
          <w:sz w:val="19"/>
          <w:szCs w:val="19"/>
          <w:color w:val="231F20"/>
        </w:rPr>
        <w:t>Our accounting policy on income taxes is critical because if we are unable to maintain our status as a RIC, we would be required to record a provision for corporate-level U.S. federal income taxes which may be significant to our financial results.</w:t>
      </w:r>
    </w:p>
    <w:p>
      <w:pPr>
        <w:sectPr>
          <w:pgSz w:w="12240" w:h="15840" w:orient="portrait"/>
          <w:cols w:equalWidth="0" w:num="1">
            <w:col w:w="10200"/>
          </w:cols>
          <w:pgMar w:left="1020" w:top="1306" w:right="1020" w:bottom="574" w:gutter="0" w:footer="0" w:header="0"/>
        </w:sect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231F20"/>
        </w:rPr>
        <w:t>86</w:t>
      </w:r>
    </w:p>
    <w:p>
      <w:pPr>
        <w:sectPr>
          <w:pgSz w:w="12240" w:h="15840" w:orient="portrait"/>
          <w:cols w:equalWidth="0" w:num="1">
            <w:col w:w="10200"/>
          </w:cols>
          <w:pgMar w:left="1020" w:top="1306" w:right="1020" w:bottom="574" w:gutter="0" w:footer="0" w:header="0"/>
          <w:type w:val="continuous"/>
        </w:sectPr>
      </w:pPr>
    </w:p>
    <w:bookmarkStart w:id="86" w:name="page87"/>
    <w:bookmarkEnd w:id="86"/>
    <w:p>
      <w:pPr>
        <w:spacing w:after="0"/>
        <w:rPr>
          <w:sz w:val="20"/>
          <w:szCs w:val="20"/>
          <w:color w:val="auto"/>
        </w:rPr>
      </w:pPr>
      <w:r>
        <w:rPr>
          <w:rFonts w:ascii="Times New Roman" w:cs="Times New Roman" w:eastAsia="Times New Roman" w:hAnsi="Times New Roman"/>
          <w:sz w:val="19"/>
          <w:szCs w:val="19"/>
          <w:b w:val="1"/>
          <w:bCs w:val="1"/>
          <w:color w:val="231F20"/>
        </w:rPr>
        <w:t>ITEM 7A. QUANTITATIVE AND QUALITATIVE DISCLOSURES ABOUT MARKET RISK</w:t>
      </w:r>
    </w:p>
    <w:p>
      <w:pPr>
        <w:spacing w:after="0" w:line="105"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9"/>
          <w:szCs w:val="19"/>
          <w:color w:val="231F20"/>
        </w:rPr>
        <w:t>We are subject to financial market risks, including valuation risk, interest rate risk and currency risk.</w:t>
      </w:r>
    </w:p>
    <w:p>
      <w:pPr>
        <w:spacing w:after="0" w:line="33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231F20"/>
        </w:rPr>
        <w:t>Valuation Risk</w:t>
      </w:r>
    </w:p>
    <w:p>
      <w:pPr>
        <w:spacing w:after="0" w:line="101" w:lineRule="exact"/>
        <w:rPr>
          <w:sz w:val="20"/>
          <w:szCs w:val="20"/>
          <w:color w:val="auto"/>
        </w:rPr>
      </w:pPr>
    </w:p>
    <w:p>
      <w:pPr>
        <w:ind w:firstLine="231"/>
        <w:spacing w:after="0" w:line="235" w:lineRule="auto"/>
        <w:rPr>
          <w:sz w:val="20"/>
          <w:szCs w:val="20"/>
          <w:color w:val="auto"/>
        </w:rPr>
      </w:pPr>
      <w:r>
        <w:rPr>
          <w:rFonts w:ascii="Times New Roman" w:cs="Times New Roman" w:eastAsia="Times New Roman" w:hAnsi="Times New Roman"/>
          <w:sz w:val="19"/>
          <w:szCs w:val="19"/>
          <w:color w:val="231F20"/>
        </w:rPr>
        <w:t>We have invested, and plan to continue to invest, primarily in illiquid debt and equity securities of private companies. Most of our investments will not have a readily available market price, and we value these investments at fair value as determined in good faith by our Board in accordance with our valuation policy. There is no single standard for determining fair value. As a result, determining fair value requires that judgment be applied to the specific facts and circumstances of each portfolio investment while employing a consistently applied valuation process for the types of investments we make. If we were required to liquidate a portfolio investment in a forced or liquidation sale, we may realize amounts that are different from the amounts presented and such differences could be material.</w:t>
      </w:r>
    </w:p>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231F20"/>
        </w:rPr>
        <w:t>Interest Rate Risk</w:t>
      </w:r>
    </w:p>
    <w:p>
      <w:pPr>
        <w:spacing w:after="0" w:line="101" w:lineRule="exact"/>
        <w:rPr>
          <w:sz w:val="20"/>
          <w:szCs w:val="20"/>
          <w:color w:val="auto"/>
        </w:rPr>
      </w:pPr>
    </w:p>
    <w:p>
      <w:pPr>
        <w:ind w:right="160" w:firstLine="231"/>
        <w:spacing w:after="0" w:line="241" w:lineRule="auto"/>
        <w:rPr>
          <w:sz w:val="20"/>
          <w:szCs w:val="20"/>
          <w:color w:val="auto"/>
        </w:rPr>
      </w:pPr>
      <w:r>
        <w:rPr>
          <w:rFonts w:ascii="Times New Roman" w:cs="Times New Roman" w:eastAsia="Times New Roman" w:hAnsi="Times New Roman"/>
          <w:sz w:val="19"/>
          <w:szCs w:val="19"/>
          <w:color w:val="231F20"/>
        </w:rPr>
        <w:t>Interest rate sensitivity refers to the change in earnings that may result from changes in the level of interest rates. We also fund portions of our investments with borrowings. Our net investment income is affected by the difference between the rate at which we invest and the rate at which we borrow. Accordingly, we cannot assure you that a significant change in market interest rates will not have a material adverse effect on our net investment income.</w:t>
      </w:r>
    </w:p>
    <w:p>
      <w:pPr>
        <w:spacing w:after="0" w:line="182" w:lineRule="exact"/>
        <w:rPr>
          <w:sz w:val="20"/>
          <w:szCs w:val="20"/>
          <w:color w:val="auto"/>
        </w:rPr>
      </w:pPr>
    </w:p>
    <w:p>
      <w:pPr>
        <w:ind w:right="240" w:firstLine="231"/>
        <w:spacing w:after="0" w:line="247" w:lineRule="auto"/>
        <w:rPr>
          <w:sz w:val="20"/>
          <w:szCs w:val="20"/>
          <w:color w:val="auto"/>
        </w:rPr>
      </w:pPr>
      <w:r>
        <w:rPr>
          <w:rFonts w:ascii="Times New Roman" w:cs="Times New Roman" w:eastAsia="Times New Roman" w:hAnsi="Times New Roman"/>
          <w:sz w:val="19"/>
          <w:szCs w:val="19"/>
          <w:color w:val="231F20"/>
        </w:rPr>
        <w:t>We regularly measure our exposure to interest rate risk. We assess interest rate risk and manage our interest rate exposure on an ongoing basis by comparing our interest rate-sensitive assets to our interest rate-sensitive liabilities. Based on that review, we determine whether or not any hedging transactions are necessary to mitigate exposure to changes in interest rates.</w:t>
      </w:r>
    </w:p>
    <w:p>
      <w:pPr>
        <w:spacing w:after="0" w:line="177" w:lineRule="exact"/>
        <w:rPr>
          <w:sz w:val="20"/>
          <w:szCs w:val="20"/>
          <w:color w:val="auto"/>
        </w:rPr>
      </w:pPr>
    </w:p>
    <w:p>
      <w:pPr>
        <w:ind w:right="60" w:firstLine="231"/>
        <w:spacing w:after="0" w:line="241" w:lineRule="auto"/>
        <w:rPr>
          <w:sz w:val="20"/>
          <w:szCs w:val="20"/>
          <w:color w:val="auto"/>
        </w:rPr>
      </w:pPr>
      <w:r>
        <w:rPr>
          <w:rFonts w:ascii="Times New Roman" w:cs="Times New Roman" w:eastAsia="Times New Roman" w:hAnsi="Times New Roman"/>
          <w:sz w:val="19"/>
          <w:szCs w:val="19"/>
          <w:color w:val="231F20"/>
        </w:rPr>
        <w:t>As of December 31, 2024, 97.2% of our debt investments based on fair value in our portfolio bore interest at floating rates, with 100.0% of these subject to interest rate floors. Our credit facilities also bear interest at floating rates, and in connection with our 2026 Notes, 2028 Notes and 2029 Notes, which bear interest at fixed rates, we entered into fixed-to-floating interest rate swaps in order to align the interest rates of our liabilities with our investment portfolio.</w:t>
      </w:r>
    </w:p>
    <w:p>
      <w:pPr>
        <w:spacing w:after="0" w:line="182" w:lineRule="exact"/>
        <w:rPr>
          <w:sz w:val="20"/>
          <w:szCs w:val="20"/>
          <w:color w:val="auto"/>
        </w:rPr>
      </w:pPr>
    </w:p>
    <w:p>
      <w:pPr>
        <w:ind w:firstLine="231"/>
        <w:spacing w:after="0" w:line="247" w:lineRule="auto"/>
        <w:rPr>
          <w:sz w:val="20"/>
          <w:szCs w:val="20"/>
          <w:color w:val="auto"/>
        </w:rPr>
      </w:pPr>
      <w:r>
        <w:rPr>
          <w:rFonts w:ascii="Times New Roman" w:cs="Times New Roman" w:eastAsia="Times New Roman" w:hAnsi="Times New Roman"/>
          <w:sz w:val="19"/>
          <w:szCs w:val="19"/>
          <w:color w:val="231F20"/>
        </w:rPr>
        <w:t>Assuming that our Consolidated Balance Sheet as of December 31, 2024 were to remain constant and that we took no actions to alter our existing interest rate sensitivity, the following table shows the annualized impact of hypothetical base rate changes in interest rates (considering interest rate floors for floating rate instruments):</w:t>
      </w:r>
    </w:p>
    <w:p>
      <w:pPr>
        <w:spacing w:after="0" w:line="227" w:lineRule="exact"/>
        <w:rPr>
          <w:sz w:val="20"/>
          <w:szCs w:val="20"/>
          <w:color w:val="auto"/>
        </w:rPr>
      </w:pPr>
    </w:p>
    <w:tbl>
      <w:tblPr>
        <w:tblLayout w:type="fixed"/>
        <w:tblInd w:w="520" w:type="dxa"/>
        <w:tblCellMar>
          <w:top w:w="0" w:type="dxa"/>
          <w:left w:w="0" w:type="dxa"/>
          <w:bottom w:w="0" w:type="dxa"/>
          <w:right w:w="0" w:type="dxa"/>
        </w:tblCellMar>
      </w:tblPr>
      <w:tr>
        <w:trPr>
          <w:trHeight w:val="174"/>
        </w:trPr>
        <w:tc>
          <w:tcPr>
            <w:tcW w:w="4280" w:type="dxa"/>
            <w:vAlign w:val="bottom"/>
            <w:shd w:val="clear" w:color="auto" w:fill="FDFDFC"/>
          </w:tcPr>
          <w:p>
            <w:pPr>
              <w:spacing w:after="0"/>
              <w:rPr>
                <w:sz w:val="20"/>
                <w:szCs w:val="20"/>
                <w:color w:val="auto"/>
              </w:rPr>
            </w:pPr>
            <w:r>
              <w:rPr>
                <w:rFonts w:ascii="Times New Roman" w:cs="Times New Roman" w:eastAsia="Times New Roman" w:hAnsi="Times New Roman"/>
                <w:sz w:val="15"/>
                <w:szCs w:val="15"/>
                <w:color w:val="231F20"/>
              </w:rPr>
              <w:t>($ in millions)</w:t>
            </w:r>
          </w:p>
        </w:tc>
        <w:tc>
          <w:tcPr>
            <w:tcW w:w="560" w:type="dxa"/>
            <w:vAlign w:val="bottom"/>
            <w:shd w:val="clear" w:color="auto" w:fill="FDFDFC"/>
          </w:tcPr>
          <w:p>
            <w:pPr>
              <w:spacing w:after="0"/>
              <w:rPr>
                <w:sz w:val="15"/>
                <w:szCs w:val="15"/>
                <w:color w:val="auto"/>
              </w:rPr>
            </w:pPr>
          </w:p>
        </w:tc>
        <w:tc>
          <w:tcPr>
            <w:tcW w:w="720" w:type="dxa"/>
            <w:vAlign w:val="bottom"/>
            <w:shd w:val="clear" w:color="auto" w:fill="FDFDFC"/>
          </w:tcPr>
          <w:p>
            <w:pPr>
              <w:spacing w:after="0"/>
              <w:rPr>
                <w:sz w:val="15"/>
                <w:szCs w:val="15"/>
                <w:color w:val="auto"/>
              </w:rPr>
            </w:pPr>
          </w:p>
        </w:tc>
        <w:tc>
          <w:tcPr>
            <w:tcW w:w="100" w:type="dxa"/>
            <w:vAlign w:val="bottom"/>
            <w:shd w:val="clear" w:color="auto" w:fill="FDFDFC"/>
          </w:tcPr>
          <w:p>
            <w:pPr>
              <w:spacing w:after="0"/>
              <w:rPr>
                <w:sz w:val="15"/>
                <w:szCs w:val="15"/>
                <w:color w:val="auto"/>
              </w:rPr>
            </w:pPr>
          </w:p>
        </w:tc>
        <w:tc>
          <w:tcPr>
            <w:tcW w:w="580" w:type="dxa"/>
            <w:vAlign w:val="bottom"/>
            <w:shd w:val="clear" w:color="auto" w:fill="FDFDFC"/>
          </w:tcPr>
          <w:p>
            <w:pPr>
              <w:spacing w:after="0"/>
              <w:rPr>
                <w:sz w:val="15"/>
                <w:szCs w:val="15"/>
                <w:color w:val="auto"/>
              </w:rPr>
            </w:pPr>
          </w:p>
        </w:tc>
        <w:tc>
          <w:tcPr>
            <w:tcW w:w="700" w:type="dxa"/>
            <w:vAlign w:val="bottom"/>
            <w:shd w:val="clear" w:color="auto" w:fill="FDFDFC"/>
          </w:tcPr>
          <w:p>
            <w:pPr>
              <w:spacing w:after="0"/>
              <w:rPr>
                <w:sz w:val="15"/>
                <w:szCs w:val="15"/>
                <w:color w:val="auto"/>
              </w:rPr>
            </w:pPr>
          </w:p>
        </w:tc>
        <w:tc>
          <w:tcPr>
            <w:tcW w:w="80" w:type="dxa"/>
            <w:vAlign w:val="bottom"/>
            <w:shd w:val="clear" w:color="auto" w:fill="FDFDFC"/>
          </w:tcPr>
          <w:p>
            <w:pPr>
              <w:spacing w:after="0"/>
              <w:rPr>
                <w:sz w:val="15"/>
                <w:szCs w:val="15"/>
                <w:color w:val="auto"/>
              </w:rPr>
            </w:pPr>
          </w:p>
        </w:tc>
        <w:tc>
          <w:tcPr>
            <w:tcW w:w="340" w:type="dxa"/>
            <w:vAlign w:val="bottom"/>
            <w:shd w:val="clear" w:color="auto" w:fill="FDFDFC"/>
          </w:tcPr>
          <w:p>
            <w:pPr>
              <w:spacing w:after="0"/>
              <w:rPr>
                <w:sz w:val="15"/>
                <w:szCs w:val="15"/>
                <w:color w:val="auto"/>
              </w:rPr>
            </w:pPr>
          </w:p>
        </w:tc>
        <w:tc>
          <w:tcPr>
            <w:tcW w:w="1720" w:type="dxa"/>
            <w:vAlign w:val="bottom"/>
            <w:shd w:val="clear" w:color="auto" w:fill="FDFDFC"/>
          </w:tcPr>
          <w:p>
            <w:pPr>
              <w:spacing w:after="0"/>
              <w:rPr>
                <w:sz w:val="15"/>
                <w:szCs w:val="15"/>
                <w:color w:val="auto"/>
              </w:rPr>
            </w:pPr>
          </w:p>
        </w:tc>
        <w:tc>
          <w:tcPr>
            <w:tcW w:w="100" w:type="dxa"/>
            <w:vAlign w:val="bottom"/>
            <w:shd w:val="clear" w:color="auto" w:fill="FDFDFC"/>
          </w:tcPr>
          <w:p>
            <w:pPr>
              <w:spacing w:after="0"/>
              <w:rPr>
                <w:sz w:val="15"/>
                <w:szCs w:val="15"/>
                <w:color w:val="auto"/>
              </w:rPr>
            </w:pPr>
          </w:p>
        </w:tc>
      </w:tr>
      <w:tr>
        <w:trPr>
          <w:trHeight w:val="174"/>
        </w:trPr>
        <w:tc>
          <w:tcPr>
            <w:tcW w:w="4280" w:type="dxa"/>
            <w:vAlign w:val="bottom"/>
            <w:shd w:val="clear" w:color="auto" w:fill="FDFDFC"/>
          </w:tcPr>
          <w:p>
            <w:pPr>
              <w:ind w:left="1500"/>
              <w:spacing w:after="0"/>
              <w:rPr>
                <w:sz w:val="20"/>
                <w:szCs w:val="20"/>
                <w:color w:val="auto"/>
              </w:rPr>
            </w:pPr>
            <w:r>
              <w:rPr>
                <w:rFonts w:ascii="Times New Roman" w:cs="Times New Roman" w:eastAsia="Times New Roman" w:hAnsi="Times New Roman"/>
                <w:sz w:val="15"/>
                <w:szCs w:val="15"/>
                <w:b w:val="1"/>
                <w:bCs w:val="1"/>
                <w:color w:val="231F20"/>
              </w:rPr>
              <w:t>Basis Point Change</w:t>
            </w:r>
          </w:p>
        </w:tc>
        <w:tc>
          <w:tcPr>
            <w:tcW w:w="1380" w:type="dxa"/>
            <w:vAlign w:val="bottom"/>
            <w:gridSpan w:val="3"/>
            <w:shd w:val="clear" w:color="auto" w:fill="FDFDFC"/>
          </w:tcPr>
          <w:p>
            <w:pPr>
              <w:jc w:val="right"/>
              <w:ind w:right="160"/>
              <w:spacing w:after="0"/>
              <w:rPr>
                <w:sz w:val="20"/>
                <w:szCs w:val="20"/>
                <w:color w:val="auto"/>
              </w:rPr>
            </w:pPr>
            <w:r>
              <w:rPr>
                <w:rFonts w:ascii="Times New Roman" w:cs="Times New Roman" w:eastAsia="Times New Roman" w:hAnsi="Times New Roman"/>
                <w:sz w:val="15"/>
                <w:szCs w:val="15"/>
                <w:b w:val="1"/>
                <w:bCs w:val="1"/>
                <w:color w:val="231F20"/>
              </w:rPr>
              <w:t>Interest Income</w:t>
            </w:r>
          </w:p>
        </w:tc>
        <w:tc>
          <w:tcPr>
            <w:tcW w:w="1360" w:type="dxa"/>
            <w:vAlign w:val="bottom"/>
            <w:gridSpan w:val="3"/>
            <w:shd w:val="clear" w:color="auto" w:fill="FDFDFC"/>
          </w:tcPr>
          <w:p>
            <w:pPr>
              <w:ind w:left="160"/>
              <w:spacing w:after="0"/>
              <w:rPr>
                <w:sz w:val="20"/>
                <w:szCs w:val="20"/>
                <w:color w:val="auto"/>
              </w:rPr>
            </w:pPr>
            <w:r>
              <w:rPr>
                <w:rFonts w:ascii="Times New Roman" w:cs="Times New Roman" w:eastAsia="Times New Roman" w:hAnsi="Times New Roman"/>
                <w:sz w:val="15"/>
                <w:szCs w:val="15"/>
                <w:b w:val="1"/>
                <w:bCs w:val="1"/>
                <w:color w:val="231F20"/>
              </w:rPr>
              <w:t>Interest Expense</w:t>
            </w:r>
          </w:p>
        </w:tc>
        <w:tc>
          <w:tcPr>
            <w:tcW w:w="340" w:type="dxa"/>
            <w:vAlign w:val="bottom"/>
            <w:shd w:val="clear" w:color="auto" w:fill="FDFDFC"/>
          </w:tcPr>
          <w:p>
            <w:pPr>
              <w:spacing w:after="0"/>
              <w:rPr>
                <w:sz w:val="15"/>
                <w:szCs w:val="15"/>
                <w:color w:val="auto"/>
              </w:rPr>
            </w:pPr>
          </w:p>
        </w:tc>
        <w:tc>
          <w:tcPr>
            <w:tcW w:w="1820" w:type="dxa"/>
            <w:vAlign w:val="bottom"/>
            <w:gridSpan w:val="2"/>
            <w:shd w:val="clear" w:color="auto" w:fill="FDFDFC"/>
          </w:tcPr>
          <w:p>
            <w:pPr>
              <w:jc w:val="right"/>
              <w:ind w:right="420"/>
              <w:spacing w:after="0"/>
              <w:rPr>
                <w:sz w:val="20"/>
                <w:szCs w:val="20"/>
                <w:color w:val="auto"/>
              </w:rPr>
            </w:pPr>
            <w:r>
              <w:rPr>
                <w:rFonts w:ascii="Times New Roman" w:cs="Times New Roman" w:eastAsia="Times New Roman" w:hAnsi="Times New Roman"/>
                <w:sz w:val="15"/>
                <w:szCs w:val="15"/>
                <w:b w:val="1"/>
                <w:bCs w:val="1"/>
                <w:color w:val="231F20"/>
              </w:rPr>
              <w:t>Net Interest Income</w:t>
            </w:r>
          </w:p>
        </w:tc>
      </w:tr>
      <w:tr>
        <w:trPr>
          <w:trHeight w:val="207"/>
        </w:trPr>
        <w:tc>
          <w:tcPr>
            <w:tcW w:w="4280" w:type="dxa"/>
            <w:vAlign w:val="bottom"/>
            <w:tcBorders>
              <w:top w:val="single" w:sz="8" w:color="231F20"/>
            </w:tcBorders>
            <w:shd w:val="clear" w:color="auto" w:fill="D0EBF2"/>
          </w:tcPr>
          <w:p>
            <w:pPr>
              <w:spacing w:after="0" w:line="206" w:lineRule="exact"/>
              <w:rPr>
                <w:sz w:val="20"/>
                <w:szCs w:val="20"/>
                <w:color w:val="auto"/>
              </w:rPr>
            </w:pPr>
            <w:r>
              <w:rPr>
                <w:rFonts w:ascii="Times New Roman" w:cs="Times New Roman" w:eastAsia="Times New Roman" w:hAnsi="Times New Roman"/>
                <w:sz w:val="19"/>
                <w:szCs w:val="19"/>
                <w:color w:val="231F20"/>
              </w:rPr>
              <w:t>Up 300 basis points</w:t>
            </w:r>
          </w:p>
        </w:tc>
        <w:tc>
          <w:tcPr>
            <w:tcW w:w="560" w:type="dxa"/>
            <w:vAlign w:val="bottom"/>
            <w:tcBorders>
              <w:top w:val="single" w:sz="8" w:color="231F20"/>
            </w:tcBorders>
            <w:shd w:val="clear" w:color="auto" w:fill="D0EBF2"/>
          </w:tcPr>
          <w:p>
            <w:pPr>
              <w:jc w:val="right"/>
              <w:ind w:right="229"/>
              <w:spacing w:after="0" w:line="206" w:lineRule="exact"/>
              <w:rPr>
                <w:sz w:val="20"/>
                <w:szCs w:val="20"/>
                <w:color w:val="auto"/>
              </w:rPr>
            </w:pPr>
            <w:r>
              <w:rPr>
                <w:rFonts w:ascii="Times New Roman" w:cs="Times New Roman" w:eastAsia="Times New Roman" w:hAnsi="Times New Roman"/>
                <w:sz w:val="19"/>
                <w:szCs w:val="19"/>
                <w:color w:val="231F20"/>
              </w:rPr>
              <w:t>$</w:t>
            </w:r>
          </w:p>
        </w:tc>
        <w:tc>
          <w:tcPr>
            <w:tcW w:w="720" w:type="dxa"/>
            <w:vAlign w:val="bottom"/>
            <w:tcBorders>
              <w:top w:val="single" w:sz="8" w:color="231F20"/>
            </w:tcBorders>
            <w:shd w:val="clear" w:color="auto" w:fill="D0EBF2"/>
          </w:tcPr>
          <w:p>
            <w:pPr>
              <w:jc w:val="right"/>
              <w:spacing w:after="0" w:line="206" w:lineRule="exact"/>
              <w:rPr>
                <w:sz w:val="20"/>
                <w:szCs w:val="20"/>
                <w:color w:val="auto"/>
              </w:rPr>
            </w:pPr>
            <w:r>
              <w:rPr>
                <w:rFonts w:ascii="Times New Roman" w:cs="Times New Roman" w:eastAsia="Times New Roman" w:hAnsi="Times New Roman"/>
                <w:sz w:val="19"/>
                <w:szCs w:val="19"/>
                <w:color w:val="231F20"/>
              </w:rPr>
              <w:t>96.7</w:t>
            </w:r>
          </w:p>
        </w:tc>
        <w:tc>
          <w:tcPr>
            <w:tcW w:w="100" w:type="dxa"/>
            <w:vAlign w:val="bottom"/>
            <w:tcBorders>
              <w:top w:val="single" w:sz="8" w:color="D0EBF2"/>
            </w:tcBorders>
            <w:shd w:val="clear" w:color="auto" w:fill="D0EBF2"/>
          </w:tcPr>
          <w:p>
            <w:pPr>
              <w:spacing w:after="0"/>
              <w:rPr>
                <w:sz w:val="17"/>
                <w:szCs w:val="17"/>
                <w:color w:val="auto"/>
              </w:rPr>
            </w:pPr>
          </w:p>
        </w:tc>
        <w:tc>
          <w:tcPr>
            <w:tcW w:w="580" w:type="dxa"/>
            <w:vAlign w:val="bottom"/>
            <w:tcBorders>
              <w:top w:val="single" w:sz="8" w:color="231F20"/>
            </w:tcBorders>
            <w:shd w:val="clear" w:color="auto" w:fill="D0EBF2"/>
          </w:tcPr>
          <w:p>
            <w:pPr>
              <w:ind w:left="140"/>
              <w:spacing w:after="0" w:line="206" w:lineRule="exact"/>
              <w:rPr>
                <w:sz w:val="20"/>
                <w:szCs w:val="20"/>
                <w:color w:val="auto"/>
              </w:rPr>
            </w:pPr>
            <w:r>
              <w:rPr>
                <w:rFonts w:ascii="Times New Roman" w:cs="Times New Roman" w:eastAsia="Times New Roman" w:hAnsi="Times New Roman"/>
                <w:sz w:val="19"/>
                <w:szCs w:val="19"/>
                <w:color w:val="231F20"/>
              </w:rPr>
              <w:t>$</w:t>
            </w:r>
          </w:p>
        </w:tc>
        <w:tc>
          <w:tcPr>
            <w:tcW w:w="700" w:type="dxa"/>
            <w:vAlign w:val="bottom"/>
            <w:tcBorders>
              <w:top w:val="single" w:sz="8" w:color="231F20"/>
            </w:tcBorders>
            <w:shd w:val="clear" w:color="auto" w:fill="D0EBF2"/>
          </w:tcPr>
          <w:p>
            <w:pPr>
              <w:jc w:val="right"/>
              <w:spacing w:after="0" w:line="206" w:lineRule="exact"/>
              <w:rPr>
                <w:sz w:val="20"/>
                <w:szCs w:val="20"/>
                <w:color w:val="auto"/>
              </w:rPr>
            </w:pPr>
            <w:r>
              <w:rPr>
                <w:rFonts w:ascii="Times New Roman" w:cs="Times New Roman" w:eastAsia="Times New Roman" w:hAnsi="Times New Roman"/>
                <w:sz w:val="19"/>
                <w:szCs w:val="19"/>
                <w:color w:val="231F20"/>
              </w:rPr>
              <w:t>58.6</w:t>
            </w:r>
          </w:p>
        </w:tc>
        <w:tc>
          <w:tcPr>
            <w:tcW w:w="80" w:type="dxa"/>
            <w:vAlign w:val="bottom"/>
            <w:tcBorders>
              <w:top w:val="single" w:sz="8" w:color="D0EBF2"/>
            </w:tcBorders>
            <w:shd w:val="clear" w:color="auto" w:fill="D0EBF2"/>
          </w:tcPr>
          <w:p>
            <w:pPr>
              <w:spacing w:after="0"/>
              <w:rPr>
                <w:sz w:val="17"/>
                <w:szCs w:val="17"/>
                <w:color w:val="auto"/>
              </w:rPr>
            </w:pPr>
          </w:p>
        </w:tc>
        <w:tc>
          <w:tcPr>
            <w:tcW w:w="340" w:type="dxa"/>
            <w:vAlign w:val="bottom"/>
            <w:tcBorders>
              <w:top w:val="single" w:sz="8" w:color="231F20"/>
            </w:tcBorders>
            <w:shd w:val="clear" w:color="auto" w:fill="D0EBF2"/>
          </w:tcPr>
          <w:p>
            <w:pPr>
              <w:jc w:val="right"/>
              <w:ind w:right="6"/>
              <w:spacing w:after="0" w:line="206" w:lineRule="exact"/>
              <w:rPr>
                <w:sz w:val="20"/>
                <w:szCs w:val="20"/>
                <w:color w:val="auto"/>
              </w:rPr>
            </w:pPr>
            <w:r>
              <w:rPr>
                <w:rFonts w:ascii="Times New Roman" w:cs="Times New Roman" w:eastAsia="Times New Roman" w:hAnsi="Times New Roman"/>
                <w:sz w:val="19"/>
                <w:szCs w:val="19"/>
                <w:color w:val="231F20"/>
              </w:rPr>
              <w:t>$</w:t>
            </w:r>
          </w:p>
        </w:tc>
        <w:tc>
          <w:tcPr>
            <w:tcW w:w="1720" w:type="dxa"/>
            <w:vAlign w:val="bottom"/>
            <w:tcBorders>
              <w:top w:val="single" w:sz="8" w:color="231F20"/>
            </w:tcBorders>
            <w:shd w:val="clear" w:color="auto" w:fill="D0EBF2"/>
          </w:tcPr>
          <w:p>
            <w:pPr>
              <w:jc w:val="right"/>
              <w:spacing w:after="0" w:line="206" w:lineRule="exact"/>
              <w:rPr>
                <w:sz w:val="20"/>
                <w:szCs w:val="20"/>
                <w:color w:val="auto"/>
              </w:rPr>
            </w:pPr>
            <w:r>
              <w:rPr>
                <w:rFonts w:ascii="Times New Roman" w:cs="Times New Roman" w:eastAsia="Times New Roman" w:hAnsi="Times New Roman"/>
                <w:sz w:val="19"/>
                <w:szCs w:val="19"/>
                <w:color w:val="231F20"/>
              </w:rPr>
              <w:t>38.1</w:t>
            </w:r>
          </w:p>
        </w:tc>
        <w:tc>
          <w:tcPr>
            <w:tcW w:w="100" w:type="dxa"/>
            <w:vAlign w:val="bottom"/>
            <w:tcBorders>
              <w:top w:val="single" w:sz="8" w:color="D0EBF2"/>
            </w:tcBorders>
            <w:shd w:val="clear" w:color="auto" w:fill="D0EBF2"/>
          </w:tcPr>
          <w:p>
            <w:pPr>
              <w:spacing w:after="0"/>
              <w:rPr>
                <w:sz w:val="17"/>
                <w:szCs w:val="17"/>
                <w:color w:val="auto"/>
              </w:rPr>
            </w:pPr>
          </w:p>
        </w:tc>
      </w:tr>
      <w:tr>
        <w:trPr>
          <w:trHeight w:val="217"/>
        </w:trPr>
        <w:tc>
          <w:tcPr>
            <w:tcW w:w="4280" w:type="dxa"/>
            <w:vAlign w:val="bottom"/>
            <w:shd w:val="clear" w:color="auto" w:fill="FDFDFC"/>
          </w:tcPr>
          <w:p>
            <w:pPr>
              <w:spacing w:after="0" w:line="217" w:lineRule="exact"/>
              <w:rPr>
                <w:sz w:val="20"/>
                <w:szCs w:val="20"/>
                <w:color w:val="auto"/>
              </w:rPr>
            </w:pPr>
            <w:r>
              <w:rPr>
                <w:rFonts w:ascii="Times New Roman" w:cs="Times New Roman" w:eastAsia="Times New Roman" w:hAnsi="Times New Roman"/>
                <w:sz w:val="19"/>
                <w:szCs w:val="19"/>
                <w:color w:val="231F20"/>
              </w:rPr>
              <w:t>Up 200 basis points</w:t>
            </w:r>
          </w:p>
        </w:tc>
        <w:tc>
          <w:tcPr>
            <w:tcW w:w="560" w:type="dxa"/>
            <w:vAlign w:val="bottom"/>
            <w:shd w:val="clear" w:color="auto" w:fill="FDFDFC"/>
          </w:tcPr>
          <w:p>
            <w:pPr>
              <w:jc w:val="right"/>
              <w:ind w:right="229"/>
              <w:spacing w:after="0" w:line="217" w:lineRule="exact"/>
              <w:rPr>
                <w:sz w:val="20"/>
                <w:szCs w:val="20"/>
                <w:color w:val="auto"/>
              </w:rPr>
            </w:pPr>
            <w:r>
              <w:rPr>
                <w:rFonts w:ascii="Times New Roman" w:cs="Times New Roman" w:eastAsia="Times New Roman" w:hAnsi="Times New Roman"/>
                <w:sz w:val="19"/>
                <w:szCs w:val="19"/>
                <w:color w:val="231F20"/>
              </w:rPr>
              <w:t>$</w:t>
            </w:r>
          </w:p>
        </w:tc>
        <w:tc>
          <w:tcPr>
            <w:tcW w:w="720" w:type="dxa"/>
            <w:vAlign w:val="bottom"/>
            <w:shd w:val="clear" w:color="auto" w:fill="FDFDFC"/>
          </w:tcPr>
          <w:p>
            <w:pPr>
              <w:jc w:val="right"/>
              <w:spacing w:after="0" w:line="217" w:lineRule="exact"/>
              <w:rPr>
                <w:sz w:val="20"/>
                <w:szCs w:val="20"/>
                <w:color w:val="auto"/>
              </w:rPr>
            </w:pPr>
            <w:r>
              <w:rPr>
                <w:rFonts w:ascii="Times New Roman" w:cs="Times New Roman" w:eastAsia="Times New Roman" w:hAnsi="Times New Roman"/>
                <w:sz w:val="19"/>
                <w:szCs w:val="19"/>
                <w:color w:val="231F20"/>
              </w:rPr>
              <w:t>64.5</w:t>
            </w:r>
          </w:p>
        </w:tc>
        <w:tc>
          <w:tcPr>
            <w:tcW w:w="100" w:type="dxa"/>
            <w:vAlign w:val="bottom"/>
            <w:shd w:val="clear" w:color="auto" w:fill="FDFDFC"/>
          </w:tcPr>
          <w:p>
            <w:pPr>
              <w:spacing w:after="0"/>
              <w:rPr>
                <w:sz w:val="18"/>
                <w:szCs w:val="18"/>
                <w:color w:val="auto"/>
              </w:rPr>
            </w:pPr>
          </w:p>
        </w:tc>
        <w:tc>
          <w:tcPr>
            <w:tcW w:w="580" w:type="dxa"/>
            <w:vAlign w:val="bottom"/>
            <w:shd w:val="clear" w:color="auto" w:fill="FDFDFC"/>
          </w:tcPr>
          <w:p>
            <w:pPr>
              <w:ind w:left="140"/>
              <w:spacing w:after="0" w:line="217" w:lineRule="exact"/>
              <w:rPr>
                <w:sz w:val="20"/>
                <w:szCs w:val="20"/>
                <w:color w:val="auto"/>
              </w:rPr>
            </w:pPr>
            <w:r>
              <w:rPr>
                <w:rFonts w:ascii="Times New Roman" w:cs="Times New Roman" w:eastAsia="Times New Roman" w:hAnsi="Times New Roman"/>
                <w:sz w:val="19"/>
                <w:szCs w:val="19"/>
                <w:color w:val="231F20"/>
              </w:rPr>
              <w:t>$</w:t>
            </w:r>
          </w:p>
        </w:tc>
        <w:tc>
          <w:tcPr>
            <w:tcW w:w="700" w:type="dxa"/>
            <w:vAlign w:val="bottom"/>
            <w:shd w:val="clear" w:color="auto" w:fill="FDFDFC"/>
          </w:tcPr>
          <w:p>
            <w:pPr>
              <w:jc w:val="right"/>
              <w:spacing w:after="0" w:line="217" w:lineRule="exact"/>
              <w:rPr>
                <w:sz w:val="20"/>
                <w:szCs w:val="20"/>
                <w:color w:val="auto"/>
              </w:rPr>
            </w:pPr>
            <w:r>
              <w:rPr>
                <w:rFonts w:ascii="Times New Roman" w:cs="Times New Roman" w:eastAsia="Times New Roman" w:hAnsi="Times New Roman"/>
                <w:sz w:val="19"/>
                <w:szCs w:val="19"/>
                <w:color w:val="231F20"/>
              </w:rPr>
              <w:t>39.1</w:t>
            </w:r>
          </w:p>
        </w:tc>
        <w:tc>
          <w:tcPr>
            <w:tcW w:w="80" w:type="dxa"/>
            <w:vAlign w:val="bottom"/>
            <w:shd w:val="clear" w:color="auto" w:fill="FDFDFC"/>
          </w:tcPr>
          <w:p>
            <w:pPr>
              <w:spacing w:after="0"/>
              <w:rPr>
                <w:sz w:val="18"/>
                <w:szCs w:val="18"/>
                <w:color w:val="auto"/>
              </w:rPr>
            </w:pPr>
          </w:p>
        </w:tc>
        <w:tc>
          <w:tcPr>
            <w:tcW w:w="340" w:type="dxa"/>
            <w:vAlign w:val="bottom"/>
            <w:shd w:val="clear" w:color="auto" w:fill="FDFDFC"/>
          </w:tcPr>
          <w:p>
            <w:pPr>
              <w:jc w:val="right"/>
              <w:ind w:right="6"/>
              <w:spacing w:after="0" w:line="217" w:lineRule="exact"/>
              <w:rPr>
                <w:sz w:val="20"/>
                <w:szCs w:val="20"/>
                <w:color w:val="auto"/>
              </w:rPr>
            </w:pPr>
            <w:r>
              <w:rPr>
                <w:rFonts w:ascii="Times New Roman" w:cs="Times New Roman" w:eastAsia="Times New Roman" w:hAnsi="Times New Roman"/>
                <w:sz w:val="19"/>
                <w:szCs w:val="19"/>
                <w:color w:val="231F20"/>
              </w:rPr>
              <w:t>$</w:t>
            </w:r>
          </w:p>
        </w:tc>
        <w:tc>
          <w:tcPr>
            <w:tcW w:w="1720" w:type="dxa"/>
            <w:vAlign w:val="bottom"/>
            <w:shd w:val="clear" w:color="auto" w:fill="FDFDFC"/>
          </w:tcPr>
          <w:p>
            <w:pPr>
              <w:jc w:val="right"/>
              <w:spacing w:after="0" w:line="217" w:lineRule="exact"/>
              <w:rPr>
                <w:sz w:val="20"/>
                <w:szCs w:val="20"/>
                <w:color w:val="auto"/>
              </w:rPr>
            </w:pPr>
            <w:r>
              <w:rPr>
                <w:rFonts w:ascii="Times New Roman" w:cs="Times New Roman" w:eastAsia="Times New Roman" w:hAnsi="Times New Roman"/>
                <w:sz w:val="19"/>
                <w:szCs w:val="19"/>
                <w:color w:val="231F20"/>
              </w:rPr>
              <w:t>25.4</w:t>
            </w:r>
          </w:p>
        </w:tc>
        <w:tc>
          <w:tcPr>
            <w:tcW w:w="100" w:type="dxa"/>
            <w:vAlign w:val="bottom"/>
            <w:shd w:val="clear" w:color="auto" w:fill="FDFDFC"/>
          </w:tcPr>
          <w:p>
            <w:pPr>
              <w:spacing w:after="0"/>
              <w:rPr>
                <w:sz w:val="18"/>
                <w:szCs w:val="18"/>
                <w:color w:val="auto"/>
              </w:rPr>
            </w:pPr>
          </w:p>
        </w:tc>
      </w:tr>
      <w:tr>
        <w:trPr>
          <w:trHeight w:val="217"/>
        </w:trPr>
        <w:tc>
          <w:tcPr>
            <w:tcW w:w="4280" w:type="dxa"/>
            <w:vAlign w:val="bottom"/>
            <w:shd w:val="clear" w:color="auto" w:fill="D0EBF2"/>
          </w:tcPr>
          <w:p>
            <w:pPr>
              <w:spacing w:after="0" w:line="217" w:lineRule="exact"/>
              <w:rPr>
                <w:sz w:val="20"/>
                <w:szCs w:val="20"/>
                <w:color w:val="auto"/>
              </w:rPr>
            </w:pPr>
            <w:r>
              <w:rPr>
                <w:rFonts w:ascii="Times New Roman" w:cs="Times New Roman" w:eastAsia="Times New Roman" w:hAnsi="Times New Roman"/>
                <w:sz w:val="19"/>
                <w:szCs w:val="19"/>
                <w:color w:val="231F20"/>
              </w:rPr>
              <w:t>Up 100 basis points</w:t>
            </w:r>
          </w:p>
        </w:tc>
        <w:tc>
          <w:tcPr>
            <w:tcW w:w="560" w:type="dxa"/>
            <w:vAlign w:val="bottom"/>
            <w:shd w:val="clear" w:color="auto" w:fill="D0EBF2"/>
          </w:tcPr>
          <w:p>
            <w:pPr>
              <w:jc w:val="right"/>
              <w:ind w:right="229"/>
              <w:spacing w:after="0" w:line="217" w:lineRule="exact"/>
              <w:rPr>
                <w:sz w:val="20"/>
                <w:szCs w:val="20"/>
                <w:color w:val="auto"/>
              </w:rPr>
            </w:pPr>
            <w:r>
              <w:rPr>
                <w:rFonts w:ascii="Times New Roman" w:cs="Times New Roman" w:eastAsia="Times New Roman" w:hAnsi="Times New Roman"/>
                <w:sz w:val="19"/>
                <w:szCs w:val="19"/>
                <w:color w:val="231F20"/>
              </w:rPr>
              <w:t>$</w:t>
            </w:r>
          </w:p>
        </w:tc>
        <w:tc>
          <w:tcPr>
            <w:tcW w:w="720" w:type="dxa"/>
            <w:vAlign w:val="bottom"/>
            <w:shd w:val="clear" w:color="auto" w:fill="D0EBF2"/>
          </w:tcPr>
          <w:p>
            <w:pPr>
              <w:jc w:val="right"/>
              <w:spacing w:after="0" w:line="217" w:lineRule="exact"/>
              <w:rPr>
                <w:sz w:val="20"/>
                <w:szCs w:val="20"/>
                <w:color w:val="auto"/>
              </w:rPr>
            </w:pPr>
            <w:r>
              <w:rPr>
                <w:rFonts w:ascii="Times New Roman" w:cs="Times New Roman" w:eastAsia="Times New Roman" w:hAnsi="Times New Roman"/>
                <w:sz w:val="19"/>
                <w:szCs w:val="19"/>
                <w:color w:val="231F20"/>
              </w:rPr>
              <w:t>32.2</w:t>
            </w:r>
          </w:p>
        </w:tc>
        <w:tc>
          <w:tcPr>
            <w:tcW w:w="100" w:type="dxa"/>
            <w:vAlign w:val="bottom"/>
            <w:shd w:val="clear" w:color="auto" w:fill="D0EBF2"/>
          </w:tcPr>
          <w:p>
            <w:pPr>
              <w:spacing w:after="0"/>
              <w:rPr>
                <w:sz w:val="18"/>
                <w:szCs w:val="18"/>
                <w:color w:val="auto"/>
              </w:rPr>
            </w:pPr>
          </w:p>
        </w:tc>
        <w:tc>
          <w:tcPr>
            <w:tcW w:w="580" w:type="dxa"/>
            <w:vAlign w:val="bottom"/>
            <w:shd w:val="clear" w:color="auto" w:fill="D0EBF2"/>
          </w:tcPr>
          <w:p>
            <w:pPr>
              <w:ind w:left="140"/>
              <w:spacing w:after="0" w:line="217" w:lineRule="exact"/>
              <w:rPr>
                <w:sz w:val="20"/>
                <w:szCs w:val="20"/>
                <w:color w:val="auto"/>
              </w:rPr>
            </w:pPr>
            <w:r>
              <w:rPr>
                <w:rFonts w:ascii="Times New Roman" w:cs="Times New Roman" w:eastAsia="Times New Roman" w:hAnsi="Times New Roman"/>
                <w:sz w:val="19"/>
                <w:szCs w:val="19"/>
                <w:color w:val="231F20"/>
              </w:rPr>
              <w:t>$</w:t>
            </w:r>
          </w:p>
        </w:tc>
        <w:tc>
          <w:tcPr>
            <w:tcW w:w="700" w:type="dxa"/>
            <w:vAlign w:val="bottom"/>
            <w:shd w:val="clear" w:color="auto" w:fill="D0EBF2"/>
          </w:tcPr>
          <w:p>
            <w:pPr>
              <w:jc w:val="right"/>
              <w:spacing w:after="0" w:line="217" w:lineRule="exact"/>
              <w:rPr>
                <w:sz w:val="20"/>
                <w:szCs w:val="20"/>
                <w:color w:val="auto"/>
              </w:rPr>
            </w:pPr>
            <w:r>
              <w:rPr>
                <w:rFonts w:ascii="Times New Roman" w:cs="Times New Roman" w:eastAsia="Times New Roman" w:hAnsi="Times New Roman"/>
                <w:sz w:val="19"/>
                <w:szCs w:val="19"/>
                <w:color w:val="231F20"/>
              </w:rPr>
              <w:t>19.5</w:t>
            </w:r>
          </w:p>
        </w:tc>
        <w:tc>
          <w:tcPr>
            <w:tcW w:w="80" w:type="dxa"/>
            <w:vAlign w:val="bottom"/>
            <w:shd w:val="clear" w:color="auto" w:fill="D0EBF2"/>
          </w:tcPr>
          <w:p>
            <w:pPr>
              <w:spacing w:after="0"/>
              <w:rPr>
                <w:sz w:val="18"/>
                <w:szCs w:val="18"/>
                <w:color w:val="auto"/>
              </w:rPr>
            </w:pPr>
          </w:p>
        </w:tc>
        <w:tc>
          <w:tcPr>
            <w:tcW w:w="340" w:type="dxa"/>
            <w:vAlign w:val="bottom"/>
            <w:shd w:val="clear" w:color="auto" w:fill="D0EBF2"/>
          </w:tcPr>
          <w:p>
            <w:pPr>
              <w:jc w:val="right"/>
              <w:ind w:right="6"/>
              <w:spacing w:after="0" w:line="217" w:lineRule="exact"/>
              <w:rPr>
                <w:sz w:val="20"/>
                <w:szCs w:val="20"/>
                <w:color w:val="auto"/>
              </w:rPr>
            </w:pPr>
            <w:r>
              <w:rPr>
                <w:rFonts w:ascii="Times New Roman" w:cs="Times New Roman" w:eastAsia="Times New Roman" w:hAnsi="Times New Roman"/>
                <w:sz w:val="19"/>
                <w:szCs w:val="19"/>
                <w:color w:val="231F20"/>
              </w:rPr>
              <w:t>$</w:t>
            </w:r>
          </w:p>
        </w:tc>
        <w:tc>
          <w:tcPr>
            <w:tcW w:w="1720" w:type="dxa"/>
            <w:vAlign w:val="bottom"/>
            <w:shd w:val="clear" w:color="auto" w:fill="D0EBF2"/>
          </w:tcPr>
          <w:p>
            <w:pPr>
              <w:jc w:val="right"/>
              <w:spacing w:after="0" w:line="217" w:lineRule="exact"/>
              <w:rPr>
                <w:sz w:val="20"/>
                <w:szCs w:val="20"/>
                <w:color w:val="auto"/>
              </w:rPr>
            </w:pPr>
            <w:r>
              <w:rPr>
                <w:rFonts w:ascii="Times New Roman" w:cs="Times New Roman" w:eastAsia="Times New Roman" w:hAnsi="Times New Roman"/>
                <w:sz w:val="19"/>
                <w:szCs w:val="19"/>
                <w:color w:val="231F20"/>
              </w:rPr>
              <w:t>12.7</w:t>
            </w:r>
          </w:p>
        </w:tc>
        <w:tc>
          <w:tcPr>
            <w:tcW w:w="100" w:type="dxa"/>
            <w:vAlign w:val="bottom"/>
            <w:shd w:val="clear" w:color="auto" w:fill="D0EBF2"/>
          </w:tcPr>
          <w:p>
            <w:pPr>
              <w:spacing w:after="0"/>
              <w:rPr>
                <w:sz w:val="18"/>
                <w:szCs w:val="18"/>
                <w:color w:val="auto"/>
              </w:rPr>
            </w:pPr>
          </w:p>
        </w:tc>
      </w:tr>
      <w:tr>
        <w:trPr>
          <w:trHeight w:val="217"/>
        </w:trPr>
        <w:tc>
          <w:tcPr>
            <w:tcW w:w="4280" w:type="dxa"/>
            <w:vAlign w:val="bottom"/>
            <w:shd w:val="clear" w:color="auto" w:fill="FDFDFC"/>
          </w:tcPr>
          <w:p>
            <w:pPr>
              <w:spacing w:after="0" w:line="217" w:lineRule="exact"/>
              <w:rPr>
                <w:sz w:val="20"/>
                <w:szCs w:val="20"/>
                <w:color w:val="auto"/>
              </w:rPr>
            </w:pPr>
            <w:r>
              <w:rPr>
                <w:rFonts w:ascii="Times New Roman" w:cs="Times New Roman" w:eastAsia="Times New Roman" w:hAnsi="Times New Roman"/>
                <w:sz w:val="19"/>
                <w:szCs w:val="19"/>
                <w:color w:val="231F20"/>
              </w:rPr>
              <w:t>Down 25 basis points</w:t>
            </w:r>
          </w:p>
        </w:tc>
        <w:tc>
          <w:tcPr>
            <w:tcW w:w="560" w:type="dxa"/>
            <w:vAlign w:val="bottom"/>
            <w:shd w:val="clear" w:color="auto" w:fill="FDFDFC"/>
          </w:tcPr>
          <w:p>
            <w:pPr>
              <w:jc w:val="right"/>
              <w:ind w:right="229"/>
              <w:spacing w:after="0" w:line="217" w:lineRule="exact"/>
              <w:rPr>
                <w:sz w:val="20"/>
                <w:szCs w:val="20"/>
                <w:color w:val="auto"/>
              </w:rPr>
            </w:pPr>
            <w:r>
              <w:rPr>
                <w:rFonts w:ascii="Times New Roman" w:cs="Times New Roman" w:eastAsia="Times New Roman" w:hAnsi="Times New Roman"/>
                <w:sz w:val="19"/>
                <w:szCs w:val="19"/>
                <w:color w:val="231F20"/>
              </w:rPr>
              <w:t>$</w:t>
            </w:r>
          </w:p>
        </w:tc>
        <w:tc>
          <w:tcPr>
            <w:tcW w:w="820" w:type="dxa"/>
            <w:vAlign w:val="bottom"/>
            <w:gridSpan w:val="2"/>
            <w:shd w:val="clear" w:color="auto" w:fill="FDFDFC"/>
          </w:tcPr>
          <w:p>
            <w:pPr>
              <w:jc w:val="right"/>
              <w:ind w:right="40"/>
              <w:spacing w:after="0" w:line="217" w:lineRule="exact"/>
              <w:rPr>
                <w:sz w:val="20"/>
                <w:szCs w:val="20"/>
                <w:color w:val="auto"/>
              </w:rPr>
            </w:pPr>
            <w:r>
              <w:rPr>
                <w:rFonts w:ascii="Times New Roman" w:cs="Times New Roman" w:eastAsia="Times New Roman" w:hAnsi="Times New Roman"/>
                <w:sz w:val="19"/>
                <w:szCs w:val="19"/>
                <w:color w:val="231F20"/>
              </w:rPr>
              <w:t>(8.1)</w:t>
            </w:r>
          </w:p>
        </w:tc>
        <w:tc>
          <w:tcPr>
            <w:tcW w:w="580" w:type="dxa"/>
            <w:vAlign w:val="bottom"/>
            <w:shd w:val="clear" w:color="auto" w:fill="FDFDFC"/>
          </w:tcPr>
          <w:p>
            <w:pPr>
              <w:ind w:left="140"/>
              <w:spacing w:after="0" w:line="217" w:lineRule="exact"/>
              <w:rPr>
                <w:sz w:val="20"/>
                <w:szCs w:val="20"/>
                <w:color w:val="auto"/>
              </w:rPr>
            </w:pPr>
            <w:r>
              <w:rPr>
                <w:rFonts w:ascii="Times New Roman" w:cs="Times New Roman" w:eastAsia="Times New Roman" w:hAnsi="Times New Roman"/>
                <w:sz w:val="19"/>
                <w:szCs w:val="19"/>
                <w:color w:val="231F20"/>
              </w:rPr>
              <w:t>$</w:t>
            </w:r>
          </w:p>
        </w:tc>
        <w:tc>
          <w:tcPr>
            <w:tcW w:w="780" w:type="dxa"/>
            <w:vAlign w:val="bottom"/>
            <w:gridSpan w:val="2"/>
            <w:shd w:val="clear" w:color="auto" w:fill="FDFDFC"/>
          </w:tcPr>
          <w:p>
            <w:pPr>
              <w:jc w:val="right"/>
              <w:ind w:right="20"/>
              <w:spacing w:after="0" w:line="217" w:lineRule="exact"/>
              <w:rPr>
                <w:sz w:val="20"/>
                <w:szCs w:val="20"/>
                <w:color w:val="auto"/>
              </w:rPr>
            </w:pPr>
            <w:r>
              <w:rPr>
                <w:rFonts w:ascii="Times New Roman" w:cs="Times New Roman" w:eastAsia="Times New Roman" w:hAnsi="Times New Roman"/>
                <w:sz w:val="19"/>
                <w:szCs w:val="19"/>
                <w:color w:val="231F20"/>
              </w:rPr>
              <w:t>(4.9)</w:t>
            </w:r>
          </w:p>
        </w:tc>
        <w:tc>
          <w:tcPr>
            <w:tcW w:w="340" w:type="dxa"/>
            <w:vAlign w:val="bottom"/>
            <w:shd w:val="clear" w:color="auto" w:fill="FDFDFC"/>
          </w:tcPr>
          <w:p>
            <w:pPr>
              <w:jc w:val="right"/>
              <w:ind w:right="6"/>
              <w:spacing w:after="0" w:line="217" w:lineRule="exact"/>
              <w:rPr>
                <w:sz w:val="20"/>
                <w:szCs w:val="20"/>
                <w:color w:val="auto"/>
              </w:rPr>
            </w:pPr>
            <w:r>
              <w:rPr>
                <w:rFonts w:ascii="Times New Roman" w:cs="Times New Roman" w:eastAsia="Times New Roman" w:hAnsi="Times New Roman"/>
                <w:sz w:val="19"/>
                <w:szCs w:val="19"/>
                <w:color w:val="231F20"/>
              </w:rPr>
              <w:t>$</w:t>
            </w:r>
          </w:p>
        </w:tc>
        <w:tc>
          <w:tcPr>
            <w:tcW w:w="1820" w:type="dxa"/>
            <w:vAlign w:val="bottom"/>
            <w:gridSpan w:val="2"/>
            <w:shd w:val="clear" w:color="auto" w:fill="FDFDFC"/>
          </w:tcPr>
          <w:p>
            <w:pPr>
              <w:jc w:val="right"/>
              <w:ind w:right="40"/>
              <w:spacing w:after="0" w:line="217" w:lineRule="exact"/>
              <w:rPr>
                <w:sz w:val="20"/>
                <w:szCs w:val="20"/>
                <w:color w:val="auto"/>
              </w:rPr>
            </w:pPr>
            <w:r>
              <w:rPr>
                <w:rFonts w:ascii="Times New Roman" w:cs="Times New Roman" w:eastAsia="Times New Roman" w:hAnsi="Times New Roman"/>
                <w:sz w:val="19"/>
                <w:szCs w:val="19"/>
                <w:color w:val="231F20"/>
              </w:rPr>
              <w:t>(3.2)</w:t>
            </w:r>
          </w:p>
        </w:tc>
      </w:tr>
      <w:tr>
        <w:trPr>
          <w:trHeight w:val="217"/>
        </w:trPr>
        <w:tc>
          <w:tcPr>
            <w:tcW w:w="4280" w:type="dxa"/>
            <w:vAlign w:val="bottom"/>
            <w:shd w:val="clear" w:color="auto" w:fill="D0EBF2"/>
          </w:tcPr>
          <w:p>
            <w:pPr>
              <w:spacing w:after="0" w:line="217" w:lineRule="exact"/>
              <w:rPr>
                <w:sz w:val="20"/>
                <w:szCs w:val="20"/>
                <w:color w:val="auto"/>
              </w:rPr>
            </w:pPr>
            <w:r>
              <w:rPr>
                <w:rFonts w:ascii="Times New Roman" w:cs="Times New Roman" w:eastAsia="Times New Roman" w:hAnsi="Times New Roman"/>
                <w:sz w:val="19"/>
                <w:szCs w:val="19"/>
                <w:color w:val="231F20"/>
              </w:rPr>
              <w:t>Down 50 basis points</w:t>
            </w:r>
          </w:p>
        </w:tc>
        <w:tc>
          <w:tcPr>
            <w:tcW w:w="560" w:type="dxa"/>
            <w:vAlign w:val="bottom"/>
            <w:shd w:val="clear" w:color="auto" w:fill="D0EBF2"/>
          </w:tcPr>
          <w:p>
            <w:pPr>
              <w:jc w:val="right"/>
              <w:ind w:right="229"/>
              <w:spacing w:after="0" w:line="217" w:lineRule="exact"/>
              <w:rPr>
                <w:sz w:val="20"/>
                <w:szCs w:val="20"/>
                <w:color w:val="auto"/>
              </w:rPr>
            </w:pPr>
            <w:r>
              <w:rPr>
                <w:rFonts w:ascii="Times New Roman" w:cs="Times New Roman" w:eastAsia="Times New Roman" w:hAnsi="Times New Roman"/>
                <w:sz w:val="19"/>
                <w:szCs w:val="19"/>
                <w:color w:val="231F20"/>
              </w:rPr>
              <w:t>$</w:t>
            </w:r>
          </w:p>
        </w:tc>
        <w:tc>
          <w:tcPr>
            <w:tcW w:w="820" w:type="dxa"/>
            <w:vAlign w:val="bottom"/>
            <w:gridSpan w:val="2"/>
            <w:shd w:val="clear" w:color="auto" w:fill="D0EBF2"/>
          </w:tcPr>
          <w:p>
            <w:pPr>
              <w:jc w:val="right"/>
              <w:ind w:right="40"/>
              <w:spacing w:after="0" w:line="217" w:lineRule="exact"/>
              <w:rPr>
                <w:sz w:val="20"/>
                <w:szCs w:val="20"/>
                <w:color w:val="auto"/>
              </w:rPr>
            </w:pPr>
            <w:r>
              <w:rPr>
                <w:rFonts w:ascii="Times New Roman" w:cs="Times New Roman" w:eastAsia="Times New Roman" w:hAnsi="Times New Roman"/>
                <w:sz w:val="19"/>
                <w:szCs w:val="19"/>
                <w:color w:val="231F20"/>
              </w:rPr>
              <w:t>(16.1)</w:t>
            </w:r>
          </w:p>
        </w:tc>
        <w:tc>
          <w:tcPr>
            <w:tcW w:w="580" w:type="dxa"/>
            <w:vAlign w:val="bottom"/>
            <w:shd w:val="clear" w:color="auto" w:fill="D0EBF2"/>
          </w:tcPr>
          <w:p>
            <w:pPr>
              <w:ind w:left="140"/>
              <w:spacing w:after="0" w:line="217" w:lineRule="exact"/>
              <w:rPr>
                <w:sz w:val="20"/>
                <w:szCs w:val="20"/>
                <w:color w:val="auto"/>
              </w:rPr>
            </w:pPr>
            <w:r>
              <w:rPr>
                <w:rFonts w:ascii="Times New Roman" w:cs="Times New Roman" w:eastAsia="Times New Roman" w:hAnsi="Times New Roman"/>
                <w:sz w:val="19"/>
                <w:szCs w:val="19"/>
                <w:color w:val="231F20"/>
              </w:rPr>
              <w:t>$</w:t>
            </w:r>
          </w:p>
        </w:tc>
        <w:tc>
          <w:tcPr>
            <w:tcW w:w="780" w:type="dxa"/>
            <w:vAlign w:val="bottom"/>
            <w:gridSpan w:val="2"/>
            <w:shd w:val="clear" w:color="auto" w:fill="D0EBF2"/>
          </w:tcPr>
          <w:p>
            <w:pPr>
              <w:jc w:val="right"/>
              <w:ind w:right="20"/>
              <w:spacing w:after="0" w:line="217" w:lineRule="exact"/>
              <w:rPr>
                <w:sz w:val="20"/>
                <w:szCs w:val="20"/>
                <w:color w:val="auto"/>
              </w:rPr>
            </w:pPr>
            <w:r>
              <w:rPr>
                <w:rFonts w:ascii="Times New Roman" w:cs="Times New Roman" w:eastAsia="Times New Roman" w:hAnsi="Times New Roman"/>
                <w:sz w:val="19"/>
                <w:szCs w:val="19"/>
                <w:color w:val="231F20"/>
              </w:rPr>
              <w:t>(9.8)</w:t>
            </w:r>
          </w:p>
        </w:tc>
        <w:tc>
          <w:tcPr>
            <w:tcW w:w="340" w:type="dxa"/>
            <w:vAlign w:val="bottom"/>
            <w:shd w:val="clear" w:color="auto" w:fill="D0EBF2"/>
          </w:tcPr>
          <w:p>
            <w:pPr>
              <w:jc w:val="right"/>
              <w:ind w:right="6"/>
              <w:spacing w:after="0" w:line="217" w:lineRule="exact"/>
              <w:rPr>
                <w:sz w:val="20"/>
                <w:szCs w:val="20"/>
                <w:color w:val="auto"/>
              </w:rPr>
            </w:pPr>
            <w:r>
              <w:rPr>
                <w:rFonts w:ascii="Times New Roman" w:cs="Times New Roman" w:eastAsia="Times New Roman" w:hAnsi="Times New Roman"/>
                <w:sz w:val="19"/>
                <w:szCs w:val="19"/>
                <w:color w:val="231F20"/>
              </w:rPr>
              <w:t>$</w:t>
            </w:r>
          </w:p>
        </w:tc>
        <w:tc>
          <w:tcPr>
            <w:tcW w:w="1820" w:type="dxa"/>
            <w:vAlign w:val="bottom"/>
            <w:gridSpan w:val="2"/>
            <w:shd w:val="clear" w:color="auto" w:fill="D0EBF2"/>
          </w:tcPr>
          <w:p>
            <w:pPr>
              <w:jc w:val="right"/>
              <w:ind w:right="40"/>
              <w:spacing w:after="0" w:line="217" w:lineRule="exact"/>
              <w:rPr>
                <w:sz w:val="20"/>
                <w:szCs w:val="20"/>
                <w:color w:val="auto"/>
              </w:rPr>
            </w:pPr>
            <w:r>
              <w:rPr>
                <w:rFonts w:ascii="Times New Roman" w:cs="Times New Roman" w:eastAsia="Times New Roman" w:hAnsi="Times New Roman"/>
                <w:sz w:val="19"/>
                <w:szCs w:val="19"/>
                <w:color w:val="231F20"/>
              </w:rPr>
              <w:t>(6.3)</w:t>
            </w:r>
          </w:p>
        </w:tc>
      </w:tr>
    </w:tbl>
    <w:p>
      <w:pPr>
        <w:spacing w:after="0" w:line="196" w:lineRule="exact"/>
        <w:rPr>
          <w:sz w:val="20"/>
          <w:szCs w:val="20"/>
          <w:color w:val="auto"/>
        </w:rPr>
      </w:pPr>
    </w:p>
    <w:p>
      <w:pPr>
        <w:jc w:val="both"/>
        <w:ind w:firstLine="231"/>
        <w:spacing w:after="0" w:line="263" w:lineRule="auto"/>
        <w:rPr>
          <w:sz w:val="20"/>
          <w:szCs w:val="20"/>
          <w:color w:val="auto"/>
        </w:rPr>
      </w:pPr>
      <w:r>
        <w:rPr>
          <w:rFonts w:ascii="Times New Roman" w:cs="Times New Roman" w:eastAsia="Times New Roman" w:hAnsi="Times New Roman"/>
          <w:sz w:val="18"/>
          <w:szCs w:val="18"/>
          <w:color w:val="231F20"/>
        </w:rPr>
        <w:t>Although we believe that this analysis is indicative of our existing sensitivity to interest rate changes, it does not adjust for changes in the credit market, credit quality, the size and composition of the assets in our portfolio and other business developments that could affect our net income. Accordingly, we cannot assure you that actual results would not differ materially from the analysis above.</w:t>
      </w:r>
    </w:p>
    <w:p>
      <w:pPr>
        <w:spacing w:after="0" w:line="160" w:lineRule="exact"/>
        <w:rPr>
          <w:sz w:val="20"/>
          <w:szCs w:val="20"/>
          <w:color w:val="auto"/>
        </w:rPr>
      </w:pPr>
    </w:p>
    <w:p>
      <w:pPr>
        <w:jc w:val="both"/>
        <w:ind w:right="180" w:firstLine="231"/>
        <w:spacing w:after="0" w:line="237" w:lineRule="auto"/>
        <w:rPr>
          <w:sz w:val="20"/>
          <w:szCs w:val="20"/>
          <w:color w:val="auto"/>
        </w:rPr>
      </w:pPr>
      <w:r>
        <w:rPr>
          <w:rFonts w:ascii="Times New Roman" w:cs="Times New Roman" w:eastAsia="Times New Roman" w:hAnsi="Times New Roman"/>
          <w:sz w:val="19"/>
          <w:szCs w:val="19"/>
          <w:color w:val="231F20"/>
        </w:rPr>
        <w:t>We may in the future hedge against interest rate fluctuations by using hedging instruments such as additional interest rate swaps, futures, options and forward contracts. While hedging activities may mitigate our exposure to adverse fluctuations in interest rates, certain hedging transactions that we may enter into in the future, such as interest rate swap agreements, may also limit our ability to participate in the benefits of changes in interest rates with respect to our portfolio investments.</w:t>
      </w:r>
    </w:p>
    <w:p>
      <w:pPr>
        <w:sectPr>
          <w:pgSz w:w="12240" w:h="15840" w:orient="portrait"/>
          <w:cols w:equalWidth="0" w:num="1">
            <w:col w:w="10140"/>
          </w:cols>
          <w:pgMar w:left="1020" w:top="1307" w:right="1080" w:bottom="57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9"/>
          <w:szCs w:val="19"/>
          <w:color w:val="231F20"/>
        </w:rPr>
        <w:t>87</w:t>
      </w:r>
    </w:p>
    <w:p>
      <w:pPr>
        <w:sectPr>
          <w:pgSz w:w="12240" w:h="15840" w:orient="portrait"/>
          <w:cols w:equalWidth="0" w:num="1">
            <w:col w:w="10140"/>
          </w:cols>
          <w:pgMar w:left="1020" w:top="1307" w:right="1080" w:bottom="574" w:gutter="0" w:footer="0" w:header="0"/>
          <w:type w:val="continuous"/>
        </w:sectPr>
      </w:pPr>
    </w:p>
    <w:bookmarkStart w:id="87" w:name="page88"/>
    <w:bookmarkEnd w:id="87"/>
    <w:p>
      <w:pPr>
        <w:spacing w:after="0"/>
        <w:rPr>
          <w:sz w:val="20"/>
          <w:szCs w:val="20"/>
          <w:color w:val="auto"/>
        </w:rPr>
      </w:pPr>
      <w:r>
        <w:rPr>
          <w:rFonts w:ascii="Times New Roman" w:cs="Times New Roman" w:eastAsia="Times New Roman" w:hAnsi="Times New Roman"/>
          <w:sz w:val="19"/>
          <w:szCs w:val="19"/>
          <w:b w:val="1"/>
          <w:bCs w:val="1"/>
          <w:i w:val="1"/>
          <w:iCs w:val="1"/>
          <w:color w:val="231F20"/>
        </w:rPr>
        <w:t>Currency Risk</w:t>
      </w:r>
    </w:p>
    <w:p>
      <w:pPr>
        <w:spacing w:after="0" w:line="108" w:lineRule="exact"/>
        <w:rPr>
          <w:sz w:val="20"/>
          <w:szCs w:val="20"/>
          <w:color w:val="auto"/>
        </w:rPr>
      </w:pPr>
    </w:p>
    <w:p>
      <w:pPr>
        <w:ind w:firstLine="231"/>
        <w:spacing w:after="0" w:line="255" w:lineRule="auto"/>
        <w:rPr>
          <w:sz w:val="20"/>
          <w:szCs w:val="20"/>
          <w:color w:val="auto"/>
        </w:rPr>
      </w:pPr>
      <w:r>
        <w:rPr>
          <w:rFonts w:ascii="Times New Roman" w:cs="Times New Roman" w:eastAsia="Times New Roman" w:hAnsi="Times New Roman"/>
          <w:sz w:val="18"/>
          <w:szCs w:val="18"/>
          <w:color w:val="231F20"/>
        </w:rPr>
        <w:t>From time to time, we may make investments that are denominated in a foreign currency. These investments are translated into U.S. dollars at each balance sheet date, exposing us to movements in foreign exchange rates. We may employ hedging techniques to minimize these risks, but we cannot assure you that such strategies will be effective or without risk to us. We may seek to utilize instruments such as, but not limited to, forward contracts to seek to hedge against fluctuations in the relative values of our portfolio positions from changes in currency exchange rates. We also have the ability to borrow in certain foreign currencies under our Revolving Credit Facility. Instead of entering into a foreign exchange forward contract in connection with loans or other investments we have made that are denominated in a foreign currency, we may borrow in that currency to establish a natural hedge against our loan or investment. To the extent the loan or investment is based on a floating rate other than a rate under which we can borrow under our Revolving Credit Facility, we may seek to utilize interest rate derivatives to hedge our exposure to changes in the associated rate.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231F20"/>
        </w:rPr>
        <w:t> </w:t>
      </w:r>
    </w:p>
    <w:p>
      <w:pPr>
        <w:sectPr>
          <w:pgSz w:w="12240" w:h="15840" w:orient="portrait"/>
          <w:cols w:equalWidth="0" w:num="1">
            <w:col w:w="10120"/>
          </w:cols>
          <w:pgMar w:left="1020" w:top="1308" w:right="1100" w:bottom="57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9"/>
          <w:szCs w:val="19"/>
          <w:color w:val="231F20"/>
        </w:rPr>
        <w:t>88</w:t>
      </w:r>
    </w:p>
    <w:p>
      <w:pPr>
        <w:sectPr>
          <w:pgSz w:w="12240" w:h="15840" w:orient="portrait"/>
          <w:cols w:equalWidth="0" w:num="1">
            <w:col w:w="10120"/>
          </w:cols>
          <w:pgMar w:left="1020" w:top="1308" w:right="1100" w:bottom="574" w:gutter="0" w:footer="0" w:header="0"/>
          <w:type w:val="continuous"/>
        </w:sectPr>
      </w:pPr>
    </w:p>
    <w:bookmarkStart w:id="88" w:name="page89"/>
    <w:bookmarkEnd w:id="88"/>
    <w:p>
      <w:pPr>
        <w:spacing w:after="0"/>
        <w:rPr>
          <w:sz w:val="20"/>
          <w:szCs w:val="20"/>
          <w:color w:val="auto"/>
        </w:rPr>
      </w:pPr>
      <w:r>
        <w:rPr>
          <w:rFonts w:ascii="Times New Roman" w:cs="Times New Roman" w:eastAsia="Times New Roman" w:hAnsi="Times New Roman"/>
          <w:sz w:val="19"/>
          <w:szCs w:val="19"/>
          <w:b w:val="1"/>
          <w:bCs w:val="1"/>
          <w:color w:val="231F20"/>
        </w:rPr>
        <w:t>ITEM 8. CONSOLIDATED FINANCIAL STATEMENTS AND SUPPLEMENTARY DATA</w:t>
      </w: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231F20"/>
        </w:rPr>
        <w:t>SIXTH STREET SPECIALTY LENDING,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231F20"/>
        </w:rPr>
        <w:t>INDEX TO CONSOLIDATED FINANCIAL STATEMENTS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79"/>
        </w:trPr>
        <w:tc>
          <w:tcPr>
            <w:tcW w:w="9180" w:type="dxa"/>
            <w:vAlign w:val="bottom"/>
            <w:vMerge w:val="restart"/>
          </w:tcPr>
          <w:p>
            <w:pPr>
              <w:jc w:val="right"/>
              <w:ind w:right="4666"/>
              <w:spacing w:after="0"/>
              <w:rPr>
                <w:sz w:val="20"/>
                <w:szCs w:val="20"/>
                <w:color w:val="auto"/>
              </w:rPr>
            </w:pPr>
            <w:r>
              <w:rPr>
                <w:rFonts w:ascii="Times New Roman" w:cs="Times New Roman" w:eastAsia="Times New Roman" w:hAnsi="Times New Roman"/>
                <w:sz w:val="19"/>
                <w:szCs w:val="19"/>
                <w:color w:val="231F20"/>
                <w:w w:val="98"/>
              </w:rPr>
              <w:t>Report of Independent Registered Public Accounting Firm</w:t>
            </w:r>
          </w:p>
        </w:tc>
        <w:tc>
          <w:tcPr>
            <w:tcW w:w="1040" w:type="dxa"/>
            <w:vAlign w:val="bottom"/>
            <w:gridSpan w:val="2"/>
          </w:tcPr>
          <w:p>
            <w:pPr>
              <w:jc w:val="right"/>
              <w:ind w:right="380"/>
              <w:spacing w:after="0"/>
              <w:rPr>
                <w:sz w:val="20"/>
                <w:szCs w:val="20"/>
                <w:color w:val="auto"/>
              </w:rPr>
            </w:pPr>
            <w:r>
              <w:rPr>
                <w:rFonts w:ascii="Times New Roman" w:cs="Times New Roman" w:eastAsia="Times New Roman" w:hAnsi="Times New Roman"/>
                <w:sz w:val="14"/>
                <w:szCs w:val="14"/>
                <w:b w:val="1"/>
                <w:bCs w:val="1"/>
                <w:color w:val="231F20"/>
              </w:rPr>
              <w:t>Page</w:t>
            </w:r>
          </w:p>
        </w:tc>
        <w:tc>
          <w:tcPr>
            <w:tcW w:w="0" w:type="dxa"/>
            <w:vAlign w:val="bottom"/>
          </w:tcPr>
          <w:p>
            <w:pPr>
              <w:spacing w:after="0"/>
              <w:rPr>
                <w:sz w:val="1"/>
                <w:szCs w:val="1"/>
                <w:color w:val="auto"/>
              </w:rPr>
            </w:pPr>
          </w:p>
        </w:tc>
      </w:tr>
      <w:tr>
        <w:trPr>
          <w:trHeight w:val="242"/>
        </w:trPr>
        <w:tc>
          <w:tcPr>
            <w:tcW w:w="9180" w:type="dxa"/>
            <w:vAlign w:val="bottom"/>
            <w:vMerge w:val="continue"/>
          </w:tcPr>
          <w:p>
            <w:pPr>
              <w:jc w:val="right"/>
              <w:spacing w:after="0" w:line="166" w:lineRule="exact"/>
              <w:rPr>
                <w:sz w:val="20"/>
                <w:szCs w:val="20"/>
                <w:color w:val="auto"/>
              </w:rPr>
            </w:pPr>
            <w:r>
              <w:rPr>
                <w:rFonts w:ascii="Times New Roman" w:cs="Times New Roman" w:eastAsia="Times New Roman" w:hAnsi="Times New Roman"/>
                <w:sz w:val="19"/>
                <w:szCs w:val="19"/>
                <w:color w:val="231F20"/>
              </w:rPr>
              <w:t>....................................................................................................</w:t>
            </w:r>
          </w:p>
        </w:tc>
        <w:tc>
          <w:tcPr>
            <w:tcW w:w="1020" w:type="dxa"/>
            <w:vAlign w:val="bottom"/>
            <w:tcBorders>
              <w:top w:val="single" w:sz="8" w:color="231F20"/>
            </w:tcBorders>
          </w:tcPr>
          <w:p>
            <w:pPr>
              <w:jc w:val="right"/>
              <w:spacing w:after="0"/>
              <w:rPr>
                <w:sz w:val="20"/>
                <w:szCs w:val="20"/>
                <w:color w:val="auto"/>
              </w:rPr>
            </w:pPr>
            <w:r>
              <w:rPr>
                <w:rFonts w:ascii="Times New Roman" w:cs="Times New Roman" w:eastAsia="Times New Roman" w:hAnsi="Times New Roman"/>
                <w:sz w:val="19"/>
                <w:szCs w:val="19"/>
                <w:color w:val="231F20"/>
              </w:rPr>
              <w:t>F-2</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28"/>
        </w:trPr>
        <w:tc>
          <w:tcPr>
            <w:tcW w:w="9180" w:type="dxa"/>
            <w:vAlign w:val="bottom"/>
          </w:tcPr>
          <w:p>
            <w:pPr>
              <w:jc w:val="right"/>
              <w:spacing w:after="0"/>
              <w:rPr>
                <w:sz w:val="20"/>
                <w:szCs w:val="20"/>
                <w:color w:val="auto"/>
              </w:rPr>
            </w:pPr>
            <w:r>
              <w:rPr>
                <w:rFonts w:ascii="Times New Roman" w:cs="Times New Roman" w:eastAsia="Times New Roman" w:hAnsi="Times New Roman"/>
                <w:sz w:val="19"/>
                <w:szCs w:val="19"/>
                <w:color w:val="231F20"/>
                <w:w w:val="99"/>
              </w:rPr>
              <w:t>Consolidated Balance Sheets as of December 31, 2024 and 2023...........................................................................................</w:t>
            </w: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9"/>
                <w:szCs w:val="19"/>
                <w:color w:val="231F20"/>
              </w:rPr>
              <w:t>F-4</w:t>
            </w:r>
          </w:p>
        </w:tc>
        <w:tc>
          <w:tcPr>
            <w:tcW w:w="0" w:type="dxa"/>
            <w:vAlign w:val="bottom"/>
          </w:tcPr>
          <w:p>
            <w:pPr>
              <w:spacing w:after="0"/>
              <w:rPr>
                <w:sz w:val="1"/>
                <w:szCs w:val="1"/>
                <w:color w:val="auto"/>
              </w:rPr>
            </w:pPr>
          </w:p>
        </w:tc>
      </w:tr>
      <w:tr>
        <w:trPr>
          <w:trHeight w:val="348"/>
        </w:trPr>
        <w:tc>
          <w:tcPr>
            <w:tcW w:w="9180" w:type="dxa"/>
            <w:vAlign w:val="bottom"/>
          </w:tcPr>
          <w:p>
            <w:pPr>
              <w:jc w:val="right"/>
              <w:spacing w:after="0"/>
              <w:rPr>
                <w:sz w:val="20"/>
                <w:szCs w:val="20"/>
                <w:color w:val="auto"/>
              </w:rPr>
            </w:pPr>
            <w:r>
              <w:rPr>
                <w:rFonts w:ascii="Times New Roman" w:cs="Times New Roman" w:eastAsia="Times New Roman" w:hAnsi="Times New Roman"/>
                <w:sz w:val="19"/>
                <w:szCs w:val="19"/>
                <w:color w:val="231F20"/>
                <w:w w:val="98"/>
              </w:rPr>
              <w:t>Consolidated Statements of Operations for the Years Ended December 31, 2024, 2023 and 2022 ........................................</w:t>
            </w: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9"/>
                <w:szCs w:val="19"/>
                <w:color w:val="231F20"/>
              </w:rPr>
              <w:t>F-5</w:t>
            </w:r>
          </w:p>
        </w:tc>
        <w:tc>
          <w:tcPr>
            <w:tcW w:w="0" w:type="dxa"/>
            <w:vAlign w:val="bottom"/>
          </w:tcPr>
          <w:p>
            <w:pPr>
              <w:spacing w:after="0"/>
              <w:rPr>
                <w:sz w:val="1"/>
                <w:szCs w:val="1"/>
                <w:color w:val="auto"/>
              </w:rPr>
            </w:pPr>
          </w:p>
        </w:tc>
      </w:tr>
      <w:tr>
        <w:trPr>
          <w:trHeight w:val="348"/>
        </w:trPr>
        <w:tc>
          <w:tcPr>
            <w:tcW w:w="9180" w:type="dxa"/>
            <w:vAlign w:val="bottom"/>
          </w:tcPr>
          <w:p>
            <w:pPr>
              <w:jc w:val="right"/>
              <w:spacing w:after="0"/>
              <w:rPr>
                <w:sz w:val="20"/>
                <w:szCs w:val="20"/>
                <w:color w:val="auto"/>
              </w:rPr>
            </w:pPr>
            <w:r>
              <w:rPr>
                <w:rFonts w:ascii="Times New Roman" w:cs="Times New Roman" w:eastAsia="Times New Roman" w:hAnsi="Times New Roman"/>
                <w:sz w:val="19"/>
                <w:szCs w:val="19"/>
                <w:color w:val="231F20"/>
                <w:w w:val="98"/>
              </w:rPr>
              <w:t>Consolidated Schedules of Investments as of December 31, 2024 and 2023 ..........................................................................</w:t>
            </w: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9"/>
                <w:szCs w:val="19"/>
                <w:color w:val="231F20"/>
              </w:rPr>
              <w:t>F-6</w:t>
            </w:r>
          </w:p>
        </w:tc>
        <w:tc>
          <w:tcPr>
            <w:tcW w:w="0" w:type="dxa"/>
            <w:vAlign w:val="bottom"/>
          </w:tcPr>
          <w:p>
            <w:pPr>
              <w:spacing w:after="0"/>
              <w:rPr>
                <w:sz w:val="1"/>
                <w:szCs w:val="1"/>
                <w:color w:val="auto"/>
              </w:rPr>
            </w:pPr>
          </w:p>
        </w:tc>
      </w:tr>
      <w:tr>
        <w:trPr>
          <w:trHeight w:val="348"/>
        </w:trPr>
        <w:tc>
          <w:tcPr>
            <w:tcW w:w="9180" w:type="dxa"/>
            <w:vAlign w:val="bottom"/>
          </w:tcPr>
          <w:p>
            <w:pPr>
              <w:jc w:val="right"/>
              <w:spacing w:after="0"/>
              <w:rPr>
                <w:sz w:val="20"/>
                <w:szCs w:val="20"/>
                <w:color w:val="auto"/>
              </w:rPr>
            </w:pPr>
            <w:r>
              <w:rPr>
                <w:rFonts w:ascii="Times New Roman" w:cs="Times New Roman" w:eastAsia="Times New Roman" w:hAnsi="Times New Roman"/>
                <w:sz w:val="19"/>
                <w:szCs w:val="19"/>
                <w:color w:val="231F20"/>
                <w:w w:val="99"/>
              </w:rPr>
              <w:t>Consolidated Statements of Changes in Net Assets for the Years Ended December 31, 2024, 2023 and 2022 .....................</w:t>
            </w: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9"/>
                <w:szCs w:val="19"/>
                <w:color w:val="231F20"/>
              </w:rPr>
              <w:t>F-25</w:t>
            </w:r>
          </w:p>
        </w:tc>
        <w:tc>
          <w:tcPr>
            <w:tcW w:w="0" w:type="dxa"/>
            <w:vAlign w:val="bottom"/>
          </w:tcPr>
          <w:p>
            <w:pPr>
              <w:spacing w:after="0"/>
              <w:rPr>
                <w:sz w:val="1"/>
                <w:szCs w:val="1"/>
                <w:color w:val="auto"/>
              </w:rPr>
            </w:pPr>
          </w:p>
        </w:tc>
      </w:tr>
      <w:tr>
        <w:trPr>
          <w:trHeight w:val="348"/>
        </w:trPr>
        <w:tc>
          <w:tcPr>
            <w:tcW w:w="9180" w:type="dxa"/>
            <w:vAlign w:val="bottom"/>
          </w:tcPr>
          <w:p>
            <w:pPr>
              <w:jc w:val="right"/>
              <w:spacing w:after="0"/>
              <w:rPr>
                <w:sz w:val="20"/>
                <w:szCs w:val="20"/>
                <w:color w:val="auto"/>
              </w:rPr>
            </w:pPr>
            <w:r>
              <w:rPr>
                <w:rFonts w:ascii="Times New Roman" w:cs="Times New Roman" w:eastAsia="Times New Roman" w:hAnsi="Times New Roman"/>
                <w:sz w:val="19"/>
                <w:szCs w:val="19"/>
                <w:color w:val="231F20"/>
                <w:w w:val="99"/>
              </w:rPr>
              <w:t>Consolidated Statements of Cash Flows for the Years Ended December 31, 2024, 2023 and 2022.......................................</w:t>
            </w: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9"/>
                <w:szCs w:val="19"/>
                <w:color w:val="231F20"/>
              </w:rPr>
              <w:t>F-27</w:t>
            </w:r>
          </w:p>
        </w:tc>
        <w:tc>
          <w:tcPr>
            <w:tcW w:w="0" w:type="dxa"/>
            <w:vAlign w:val="bottom"/>
          </w:tcPr>
          <w:p>
            <w:pPr>
              <w:spacing w:after="0"/>
              <w:rPr>
                <w:sz w:val="1"/>
                <w:szCs w:val="1"/>
                <w:color w:val="auto"/>
              </w:rPr>
            </w:pPr>
          </w:p>
        </w:tc>
      </w:tr>
      <w:tr>
        <w:trPr>
          <w:trHeight w:val="348"/>
        </w:trPr>
        <w:tc>
          <w:tcPr>
            <w:tcW w:w="9180" w:type="dxa"/>
            <w:vAlign w:val="bottom"/>
          </w:tcPr>
          <w:p>
            <w:pPr>
              <w:jc w:val="right"/>
              <w:spacing w:after="0"/>
              <w:rPr>
                <w:sz w:val="20"/>
                <w:szCs w:val="20"/>
                <w:color w:val="auto"/>
              </w:rPr>
            </w:pPr>
            <w:r>
              <w:rPr>
                <w:rFonts w:ascii="Times New Roman" w:cs="Times New Roman" w:eastAsia="Times New Roman" w:hAnsi="Times New Roman"/>
                <w:sz w:val="19"/>
                <w:szCs w:val="19"/>
                <w:color w:val="231F20"/>
                <w:w w:val="99"/>
              </w:rPr>
              <w:t>Notes to Consolidated Financial Statements............................................................................................................................</w:t>
            </w: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9"/>
                <w:szCs w:val="19"/>
                <w:color w:val="231F20"/>
              </w:rPr>
              <w:t>F-28</w:t>
            </w:r>
          </w:p>
        </w:tc>
        <w:tc>
          <w:tcPr>
            <w:tcW w:w="0" w:type="dxa"/>
            <w:vAlign w:val="bottom"/>
          </w:tcPr>
          <w:p>
            <w:pPr>
              <w:spacing w:after="0"/>
              <w:rPr>
                <w:sz w:val="1"/>
                <w:szCs w:val="1"/>
                <w:color w:val="auto"/>
              </w:rPr>
            </w:pPr>
          </w:p>
        </w:tc>
      </w:tr>
    </w:tbl>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231F20"/>
        </w:rPr>
        <w:t> </w:t>
      </w:r>
    </w:p>
    <w:p>
      <w:pPr>
        <w:sectPr>
          <w:pgSz w:w="12240" w:h="15840" w:orient="portrait"/>
          <w:cols w:equalWidth="0" w:num="1">
            <w:col w:w="10200"/>
          </w:cols>
          <w:pgMar w:left="1020" w:top="1315" w:right="1020" w:bottom="57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231F20"/>
        </w:rPr>
        <w:t>F-1</w:t>
      </w:r>
    </w:p>
    <w:p>
      <w:pPr>
        <w:sectPr>
          <w:pgSz w:w="12240" w:h="15840" w:orient="portrait"/>
          <w:cols w:equalWidth="0" w:num="1">
            <w:col w:w="10200"/>
          </w:cols>
          <w:pgMar w:left="1020" w:top="1315" w:right="1020" w:bottom="574" w:gutter="0" w:footer="0" w:header="0"/>
          <w:type w:val="continuous"/>
        </w:sectPr>
      </w:pPr>
    </w:p>
    <w:bookmarkStart w:id="89" w:name="page90"/>
    <w:bookmarkEnd w:id="89"/>
    <w:p>
      <w:pPr>
        <w:ind w:left="2500"/>
        <w:spacing w:after="0"/>
        <w:rPr>
          <w:sz w:val="20"/>
          <w:szCs w:val="20"/>
          <w:color w:val="auto"/>
        </w:rPr>
      </w:pPr>
      <w:r>
        <w:rPr>
          <w:rFonts w:ascii="Arial" w:cs="Arial" w:eastAsia="Arial" w:hAnsi="Arial"/>
          <w:sz w:val="19"/>
          <w:szCs w:val="19"/>
          <w:b w:val="1"/>
          <w:bCs w:val="1"/>
          <w:color w:val="231F20"/>
        </w:rPr>
        <w:t>Report of Independent Registered Public Accounting Firm</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231F20"/>
        </w:rPr>
        <w:t>To the Stockholders and Board of Directors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231F20"/>
        </w:rPr>
        <w:t>Sixth Street Specialty Lending, Inc.:</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231F20"/>
        </w:rPr>
        <w:t>Opinions on the Consolidated Financial Statements and Internal Control Over Financial Reporting</w:t>
      </w:r>
    </w:p>
    <w:p>
      <w:pPr>
        <w:spacing w:after="0" w:line="212" w:lineRule="exact"/>
        <w:rPr>
          <w:sz w:val="20"/>
          <w:szCs w:val="20"/>
          <w:color w:val="auto"/>
        </w:rPr>
      </w:pPr>
    </w:p>
    <w:p>
      <w:pPr>
        <w:spacing w:after="0" w:line="246" w:lineRule="auto"/>
        <w:rPr>
          <w:sz w:val="20"/>
          <w:szCs w:val="20"/>
          <w:color w:val="auto"/>
        </w:rPr>
      </w:pPr>
      <w:r>
        <w:rPr>
          <w:rFonts w:ascii="Times New Roman" w:cs="Times New Roman" w:eastAsia="Times New Roman" w:hAnsi="Times New Roman"/>
          <w:sz w:val="19"/>
          <w:szCs w:val="19"/>
          <w:color w:val="231F20"/>
        </w:rPr>
        <w:t>We have audited the accompanying consolidated balance sheets of Sixth Street Specialty Lending, Inc. and subsidiaries (the Company), including the consolidated schedules of investments, as of December 31, 2024 and 2023, the related consolidated statements of operations, changes in net assets, and cash flows for each of the years in the three-year period ended December 31, 2024, and the related notes (collectively, the consolidated financial statements). We also have audited the Company’s internal control over financial reporting as of December 31, 2024, based on criteria established in the Internal Control – Integrated Framework (2013), issued by the Committee of Sponsoring Organizations of the Treadway Commission.</w:t>
      </w:r>
    </w:p>
    <w:p>
      <w:pPr>
        <w:spacing w:after="0" w:line="177" w:lineRule="exact"/>
        <w:rPr>
          <w:sz w:val="20"/>
          <w:szCs w:val="20"/>
          <w:color w:val="auto"/>
        </w:rPr>
      </w:pPr>
    </w:p>
    <w:p>
      <w:pPr>
        <w:ind w:right="100"/>
        <w:spacing w:after="0" w:line="246" w:lineRule="auto"/>
        <w:rPr>
          <w:sz w:val="20"/>
          <w:szCs w:val="20"/>
          <w:color w:val="auto"/>
        </w:rPr>
      </w:pPr>
      <w:r>
        <w:rPr>
          <w:rFonts w:ascii="Times New Roman" w:cs="Times New Roman" w:eastAsia="Times New Roman" w:hAnsi="Times New Roman"/>
          <w:sz w:val="19"/>
          <w:szCs w:val="19"/>
          <w:color w:val="231F20"/>
        </w:rPr>
        <w:t>In our opinion, the consolidated financial statements referred to above present fairly, in all material respects, the financial position of the Company as of December 31, 2024 and 2023, and the results of its operations and its cash flows for each of the years in the three-year period ended December 31, 2024, in conformity with U.S. generally accepted accounting principles. Also in our opinion, the Company maintained, in all material respects, effective internal control over financial reporting as of December 31, 2024, based on criteria established in Internal Control – Integrated Framework (2013) issued by the Committee of Sponsoring Organizations of the Treadway Commission.</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231F20"/>
        </w:rPr>
        <w:t>Basis for Opinions</w:t>
      </w:r>
    </w:p>
    <w:p>
      <w:pPr>
        <w:spacing w:after="0" w:line="221"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9"/>
          <w:szCs w:val="19"/>
          <w:color w:val="231F20"/>
        </w:rPr>
        <w:t>The Company’s management is responsible for these consolidated financial statements,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consolidated financial statements and an opinion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79" w:lineRule="exact"/>
        <w:rPr>
          <w:sz w:val="20"/>
          <w:szCs w:val="20"/>
          <w:color w:val="auto"/>
        </w:rPr>
      </w:pPr>
    </w:p>
    <w:p>
      <w:pPr>
        <w:ind w:right="20"/>
        <w:spacing w:after="0" w:line="267" w:lineRule="auto"/>
        <w:rPr>
          <w:sz w:val="20"/>
          <w:szCs w:val="20"/>
          <w:color w:val="auto"/>
        </w:rPr>
      </w:pPr>
      <w:r>
        <w:rPr>
          <w:rFonts w:ascii="Times New Roman" w:cs="Times New Roman" w:eastAsia="Times New Roman" w:hAnsi="Times New Roman"/>
          <w:sz w:val="19"/>
          <w:szCs w:val="19"/>
          <w:color w:val="231F20"/>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and whether effective internal control over financial reporting was maintained in all material respects.</w:t>
      </w:r>
    </w:p>
    <w:p>
      <w:pPr>
        <w:spacing w:after="0" w:line="168"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9"/>
          <w:szCs w:val="19"/>
          <w:color w:val="231F20"/>
        </w:rPr>
        <w:t>Our audits of the consolidated financial statements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Such procedures also included confirmation of securities owned as of December 31, 2024 and 2023, by correspondence with custodians, agents, the underlying investee or by other appropriate auditing procedures. Our audits also included evaluating the accounting principles used and significant estimates made by management, as well as evaluating the overall presentation of the consolidated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231F20"/>
        </w:rPr>
        <w:t>Definition and Limitations of Internal Control Over Financial Reporting</w:t>
      </w:r>
    </w:p>
    <w:p>
      <w:pPr>
        <w:spacing w:after="0" w:line="22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9"/>
          <w:szCs w:val="19"/>
          <w:color w:val="231F20"/>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ectPr>
          <w:pgSz w:w="12240" w:h="15840" w:orient="portrait"/>
          <w:cols w:equalWidth="0" w:num="1">
            <w:col w:w="10200"/>
          </w:cols>
          <w:pgMar w:left="1020" w:top="1324" w:right="1020" w:bottom="574" w:gutter="0" w:footer="0" w:header="0"/>
        </w:sect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231F20"/>
        </w:rPr>
        <w:t>F-2</w:t>
      </w:r>
    </w:p>
    <w:p>
      <w:pPr>
        <w:sectPr>
          <w:pgSz w:w="12240" w:h="15840" w:orient="portrait"/>
          <w:cols w:equalWidth="0" w:num="1">
            <w:col w:w="10200"/>
          </w:cols>
          <w:pgMar w:left="1020" w:top="1324" w:right="1020" w:bottom="574" w:gutter="0" w:footer="0" w:header="0"/>
          <w:type w:val="continuous"/>
        </w:sectPr>
      </w:pPr>
    </w:p>
    <w:bookmarkStart w:id="90" w:name="page91"/>
    <w:bookmarkEnd w:id="90"/>
    <w:p>
      <w:pPr>
        <w:jc w:val="both"/>
        <w:spacing w:after="0" w:line="267" w:lineRule="auto"/>
        <w:rPr>
          <w:sz w:val="20"/>
          <w:szCs w:val="20"/>
          <w:color w:val="auto"/>
        </w:rPr>
      </w:pPr>
      <w:r>
        <w:rPr>
          <w:rFonts w:ascii="Times New Roman" w:cs="Times New Roman" w:eastAsia="Times New Roman" w:hAnsi="Times New Roman"/>
          <w:sz w:val="19"/>
          <w:szCs w:val="19"/>
          <w:color w:val="231F20"/>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231F20"/>
        </w:rPr>
        <w:t>Critical Audit Matter</w:t>
      </w:r>
    </w:p>
    <w:p>
      <w:pPr>
        <w:spacing w:after="0" w:line="221"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9"/>
          <w:szCs w:val="19"/>
          <w:color w:val="231F20"/>
        </w:rPr>
        <w:t>The critical audit matter communicated below is a matter arising from the current period audit of the consolidated financial statements that was communicated or required to be communicated to the audit committee and that: (1) relates to accounts or disclosures that are material to the consolidated financial statements and (2) involved our especially challenging, subjective, or complex judgments. The communication of a critical audit matter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231F20"/>
        </w:rPr>
        <w:t>Assessment of the fair value of investments</w:t>
      </w:r>
    </w:p>
    <w:p>
      <w:pPr>
        <w:spacing w:after="0" w:line="221"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9"/>
          <w:szCs w:val="19"/>
          <w:color w:val="231F20"/>
        </w:rPr>
        <w:t>As discussed in Notes 2, 4, and 6 to the consolidated financial statements, the Company classified $3.49 billion of its debt and equity investments as Level 3 in the fair value hierarchy as of December 31, 2024 as the fair value of such investments was measured using unobservable inputs. The Company typically determines the fair value of performing debt investments utilizing a yield analysis where a price is ascribed for each investment based upon an assessment of market yields for similar investments and, for its equity investments, multiples of similar companies’ revenues, earnings before income taxes, depreciation and amortization or some combination thereof and comparable market transactions.</w:t>
      </w:r>
    </w:p>
    <w:p>
      <w:pPr>
        <w:spacing w:after="0" w:line="179"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9"/>
          <w:szCs w:val="19"/>
          <w:color w:val="231F20"/>
        </w:rPr>
        <w:t>We identified the assessment of the fair value of certain Level 3 debt and equity investments as a critical audit matter because evaluating the assumptions used to measure fair value involved subjective auditor judgment and changes in these assumptions could have had a significant impact on the investments’ estimated fair value. Specifically, the assumptions related to market yields for investments with similar terms and risks used in yield analyses, comparable financial performance multiples, and expected lives used in discounted cash flow analyses required subjective auditor judgment.</w:t>
      </w:r>
    </w:p>
    <w:p>
      <w:pPr>
        <w:spacing w:after="0" w:line="176"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9"/>
          <w:szCs w:val="19"/>
          <w:color w:val="231F20"/>
        </w:rPr>
        <w:t>The following are the primary procedures we performed to address this critical audit matter. We evaluated the design and tested the operating effectiveness of certain internal controls related to the Company’s investment valuation process, including controls related to the determination of the market yields, financial performance multiples, and expected lives used to estimate the fair value of investments. We assessed the Company’s market yield assumptions used to measure the fair value of its Level 3 investments by comparing such yields to third-party market and industry data for a selection of investments. We involved valuation professionals with specialized skills and knowledge who, for a selection of the Company’s investments, evaluated the Company’s estimate of fair value by developing an independent estimate of fair value through the use of relevant market information to develop a range of comparable financial performance multiples and market yield assumptions. We evaluated the Company’s ability to estimate fair value by comparing prior period values to prices of transactions occurring subsequent to the prior period valuation date.</w:t>
      </w:r>
    </w:p>
    <w:p>
      <w:pPr>
        <w:spacing w:after="0" w:line="17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9"/>
          <w:szCs w:val="19"/>
          <w:color w:val="231F20"/>
        </w:rPr>
        <w:t>/s/ KPMG LLP</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231F20"/>
        </w:rPr>
        <w:t>We have served as the Company’s auditor since 2010.</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231F20"/>
        </w:rPr>
        <w:t>New York, New York</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231F20"/>
        </w:rPr>
        <w:t>February 13, 2025</w:t>
      </w:r>
    </w:p>
    <w:p>
      <w:pPr>
        <w:sectPr>
          <w:pgSz w:w="12240" w:h="15840" w:orient="portrait"/>
          <w:cols w:equalWidth="0" w:num="1">
            <w:col w:w="10140"/>
          </w:cols>
          <w:pgMar w:left="1020" w:top="1326" w:right="1080" w:bottom="57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9"/>
          <w:szCs w:val="19"/>
          <w:color w:val="231F20"/>
        </w:rPr>
        <w:t>F-3</w:t>
      </w:r>
    </w:p>
    <w:p>
      <w:pPr>
        <w:sectPr>
          <w:pgSz w:w="12240" w:h="15840" w:orient="portrait"/>
          <w:cols w:equalWidth="0" w:num="1">
            <w:col w:w="10140"/>
          </w:cols>
          <w:pgMar w:left="1020" w:top="1326" w:right="1080" w:bottom="574" w:gutter="0" w:footer="0" w:header="0"/>
          <w:type w:val="continuous"/>
        </w:sectPr>
      </w:pPr>
    </w:p>
    <w:bookmarkStart w:id="91" w:name="page92"/>
    <w:bookmarkEnd w:id="91"/>
    <w:p>
      <w:pPr>
        <w:jc w:val="center"/>
        <w:spacing w:after="0"/>
        <w:rPr>
          <w:sz w:val="20"/>
          <w:szCs w:val="20"/>
          <w:color w:val="auto"/>
        </w:rPr>
      </w:pPr>
      <w:r>
        <w:rPr>
          <w:rFonts w:ascii="Times New Roman" w:cs="Times New Roman" w:eastAsia="Times New Roman" w:hAnsi="Times New Roman"/>
          <w:sz w:val="19"/>
          <w:szCs w:val="19"/>
          <w:b w:val="1"/>
          <w:bCs w:val="1"/>
          <w:color w:val="231F20"/>
        </w:rPr>
        <w:t>Sixth Street Specialty Lending, Inc.</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231F20"/>
        </w:rPr>
        <w:t>Consolidated Balance Sheets</w:t>
      </w:r>
    </w:p>
    <w:p>
      <w:pPr>
        <w:jc w:val="center"/>
        <w:spacing w:after="0"/>
        <w:rPr>
          <w:sz w:val="20"/>
          <w:szCs w:val="20"/>
          <w:color w:val="auto"/>
        </w:rPr>
      </w:pPr>
      <w:r>
        <w:rPr>
          <w:rFonts w:ascii="Times New Roman" w:cs="Times New Roman" w:eastAsia="Times New Roman" w:hAnsi="Times New Roman"/>
          <w:sz w:val="19"/>
          <w:szCs w:val="19"/>
          <w:b w:val="1"/>
          <w:bCs w:val="1"/>
          <w:color w:val="231F20"/>
        </w:rPr>
        <w:t>(Amounts in thousands, except share and per share amounts)</w:t>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6620" w:type="dxa"/>
            <w:vAlign w:val="bottom"/>
            <w:shd w:val="clear" w:color="auto" w:fill="FDFDFC"/>
          </w:tcPr>
          <w:p>
            <w:pPr>
              <w:spacing w:after="0"/>
              <w:rPr>
                <w:sz w:val="15"/>
                <w:szCs w:val="15"/>
                <w:color w:val="auto"/>
              </w:rPr>
            </w:pPr>
          </w:p>
        </w:tc>
        <w:tc>
          <w:tcPr>
            <w:tcW w:w="200" w:type="dxa"/>
            <w:vAlign w:val="bottom"/>
            <w:shd w:val="clear" w:color="auto" w:fill="FDFDFC"/>
          </w:tcPr>
          <w:p>
            <w:pPr>
              <w:spacing w:after="0"/>
              <w:rPr>
                <w:sz w:val="15"/>
                <w:szCs w:val="15"/>
                <w:color w:val="auto"/>
              </w:rPr>
            </w:pPr>
          </w:p>
        </w:tc>
        <w:tc>
          <w:tcPr>
            <w:tcW w:w="1400" w:type="dxa"/>
            <w:vAlign w:val="bottom"/>
            <w:shd w:val="clear" w:color="auto" w:fill="FDFDFC"/>
          </w:tcPr>
          <w:p>
            <w:pPr>
              <w:jc w:val="right"/>
              <w:ind w:right="304"/>
              <w:spacing w:after="0"/>
              <w:rPr>
                <w:sz w:val="20"/>
                <w:szCs w:val="20"/>
                <w:color w:val="auto"/>
              </w:rPr>
            </w:pPr>
            <w:r>
              <w:rPr>
                <w:rFonts w:ascii="Times New Roman" w:cs="Times New Roman" w:eastAsia="Times New Roman" w:hAnsi="Times New Roman"/>
                <w:sz w:val="15"/>
                <w:szCs w:val="15"/>
                <w:b w:val="1"/>
                <w:bCs w:val="1"/>
                <w:color w:val="231F20"/>
              </w:rPr>
              <w:t>December 31,</w:t>
            </w:r>
          </w:p>
        </w:tc>
        <w:tc>
          <w:tcPr>
            <w:tcW w:w="160" w:type="dxa"/>
            <w:vAlign w:val="bottom"/>
            <w:shd w:val="clear" w:color="auto" w:fill="FDFDFC"/>
          </w:tcPr>
          <w:p>
            <w:pPr>
              <w:spacing w:after="0"/>
              <w:rPr>
                <w:sz w:val="15"/>
                <w:szCs w:val="15"/>
                <w:color w:val="auto"/>
              </w:rPr>
            </w:pPr>
          </w:p>
        </w:tc>
        <w:tc>
          <w:tcPr>
            <w:tcW w:w="100" w:type="dxa"/>
            <w:vAlign w:val="bottom"/>
            <w:shd w:val="clear" w:color="auto" w:fill="FDFDFC"/>
          </w:tcPr>
          <w:p>
            <w:pPr>
              <w:spacing w:after="0"/>
              <w:rPr>
                <w:sz w:val="15"/>
                <w:szCs w:val="15"/>
                <w:color w:val="auto"/>
              </w:rPr>
            </w:pPr>
          </w:p>
        </w:tc>
        <w:tc>
          <w:tcPr>
            <w:tcW w:w="220" w:type="dxa"/>
            <w:vAlign w:val="bottom"/>
            <w:shd w:val="clear" w:color="auto" w:fill="FDFDFC"/>
          </w:tcPr>
          <w:p>
            <w:pPr>
              <w:spacing w:after="0"/>
              <w:rPr>
                <w:sz w:val="15"/>
                <w:szCs w:val="15"/>
                <w:color w:val="auto"/>
              </w:rPr>
            </w:pPr>
          </w:p>
        </w:tc>
        <w:tc>
          <w:tcPr>
            <w:tcW w:w="1500" w:type="dxa"/>
            <w:vAlign w:val="bottom"/>
            <w:gridSpan w:val="2"/>
            <w:shd w:val="clear" w:color="auto" w:fill="FDFDFC"/>
          </w:tcPr>
          <w:p>
            <w:pPr>
              <w:jc w:val="right"/>
              <w:ind w:right="480"/>
              <w:spacing w:after="0"/>
              <w:rPr>
                <w:sz w:val="20"/>
                <w:szCs w:val="20"/>
                <w:color w:val="auto"/>
              </w:rPr>
            </w:pPr>
            <w:r>
              <w:rPr>
                <w:rFonts w:ascii="Times New Roman" w:cs="Times New Roman" w:eastAsia="Times New Roman" w:hAnsi="Times New Roman"/>
                <w:sz w:val="15"/>
                <w:szCs w:val="15"/>
                <w:b w:val="1"/>
                <w:bCs w:val="1"/>
                <w:color w:val="231F20"/>
              </w:rPr>
              <w:t>December 31,</w:t>
            </w:r>
          </w:p>
        </w:tc>
        <w:tc>
          <w:tcPr>
            <w:tcW w:w="0" w:type="dxa"/>
            <w:vAlign w:val="bottom"/>
          </w:tcPr>
          <w:p>
            <w:pPr>
              <w:spacing w:after="0"/>
              <w:rPr>
                <w:sz w:val="1"/>
                <w:szCs w:val="1"/>
                <w:color w:val="auto"/>
              </w:rPr>
            </w:pPr>
          </w:p>
        </w:tc>
      </w:tr>
      <w:tr>
        <w:trPr>
          <w:trHeight w:val="174"/>
        </w:trPr>
        <w:tc>
          <w:tcPr>
            <w:tcW w:w="6620" w:type="dxa"/>
            <w:vAlign w:val="bottom"/>
            <w:tcBorders>
              <w:bottom w:val="single" w:sz="8" w:color="D0EBF2"/>
            </w:tcBorders>
            <w:shd w:val="clear" w:color="auto" w:fill="FDFDFC"/>
          </w:tcPr>
          <w:p>
            <w:pPr>
              <w:spacing w:after="0"/>
              <w:rPr>
                <w:sz w:val="15"/>
                <w:szCs w:val="15"/>
                <w:color w:val="auto"/>
              </w:rPr>
            </w:pPr>
          </w:p>
        </w:tc>
        <w:tc>
          <w:tcPr>
            <w:tcW w:w="200" w:type="dxa"/>
            <w:vAlign w:val="bottom"/>
            <w:tcBorders>
              <w:bottom w:val="single" w:sz="8" w:color="231F20"/>
            </w:tcBorders>
            <w:shd w:val="clear" w:color="auto" w:fill="FDFDFC"/>
          </w:tcPr>
          <w:p>
            <w:pPr>
              <w:spacing w:after="0"/>
              <w:rPr>
                <w:sz w:val="15"/>
                <w:szCs w:val="15"/>
                <w:color w:val="auto"/>
              </w:rPr>
            </w:pPr>
          </w:p>
        </w:tc>
        <w:tc>
          <w:tcPr>
            <w:tcW w:w="1400" w:type="dxa"/>
            <w:vAlign w:val="bottom"/>
            <w:tcBorders>
              <w:bottom w:val="single" w:sz="8" w:color="231F20"/>
            </w:tcBorders>
            <w:shd w:val="clear" w:color="auto" w:fill="FDFDFC"/>
          </w:tcPr>
          <w:p>
            <w:pPr>
              <w:jc w:val="right"/>
              <w:ind w:right="584"/>
              <w:spacing w:after="0"/>
              <w:rPr>
                <w:sz w:val="20"/>
                <w:szCs w:val="20"/>
                <w:color w:val="auto"/>
              </w:rPr>
            </w:pPr>
            <w:r>
              <w:rPr>
                <w:rFonts w:ascii="Times New Roman" w:cs="Times New Roman" w:eastAsia="Times New Roman" w:hAnsi="Times New Roman"/>
                <w:sz w:val="15"/>
                <w:szCs w:val="15"/>
                <w:b w:val="1"/>
                <w:bCs w:val="1"/>
                <w:color w:val="231F20"/>
              </w:rPr>
              <w:t>2024</w:t>
            </w:r>
          </w:p>
        </w:tc>
        <w:tc>
          <w:tcPr>
            <w:tcW w:w="160" w:type="dxa"/>
            <w:vAlign w:val="bottom"/>
            <w:tcBorders>
              <w:bottom w:val="single" w:sz="8" w:color="D0EBF2"/>
            </w:tcBorders>
            <w:shd w:val="clear" w:color="auto" w:fill="FDFDFC"/>
          </w:tcPr>
          <w:p>
            <w:pPr>
              <w:spacing w:after="0"/>
              <w:rPr>
                <w:sz w:val="15"/>
                <w:szCs w:val="15"/>
                <w:color w:val="auto"/>
              </w:rPr>
            </w:pPr>
          </w:p>
        </w:tc>
        <w:tc>
          <w:tcPr>
            <w:tcW w:w="100" w:type="dxa"/>
            <w:vAlign w:val="bottom"/>
            <w:tcBorders>
              <w:bottom w:val="single" w:sz="8" w:color="D0EBF2"/>
            </w:tcBorders>
            <w:shd w:val="clear" w:color="auto" w:fill="FDFDFC"/>
          </w:tcPr>
          <w:p>
            <w:pPr>
              <w:spacing w:after="0"/>
              <w:rPr>
                <w:sz w:val="15"/>
                <w:szCs w:val="15"/>
                <w:color w:val="auto"/>
              </w:rPr>
            </w:pPr>
          </w:p>
        </w:tc>
        <w:tc>
          <w:tcPr>
            <w:tcW w:w="220" w:type="dxa"/>
            <w:vAlign w:val="bottom"/>
            <w:tcBorders>
              <w:bottom w:val="single" w:sz="8" w:color="231F20"/>
            </w:tcBorders>
            <w:shd w:val="clear" w:color="auto" w:fill="FDFDFC"/>
          </w:tcPr>
          <w:p>
            <w:pPr>
              <w:spacing w:after="0"/>
              <w:rPr>
                <w:sz w:val="15"/>
                <w:szCs w:val="15"/>
                <w:color w:val="auto"/>
              </w:rPr>
            </w:pPr>
          </w:p>
        </w:tc>
        <w:tc>
          <w:tcPr>
            <w:tcW w:w="1400" w:type="dxa"/>
            <w:vAlign w:val="bottom"/>
            <w:tcBorders>
              <w:bottom w:val="single" w:sz="8" w:color="231F20"/>
            </w:tcBorders>
            <w:shd w:val="clear" w:color="auto" w:fill="FDFDFC"/>
          </w:tcPr>
          <w:p>
            <w:pPr>
              <w:jc w:val="right"/>
              <w:ind w:right="584"/>
              <w:spacing w:after="0"/>
              <w:rPr>
                <w:sz w:val="20"/>
                <w:szCs w:val="20"/>
                <w:color w:val="auto"/>
              </w:rPr>
            </w:pPr>
            <w:r>
              <w:rPr>
                <w:rFonts w:ascii="Times New Roman" w:cs="Times New Roman" w:eastAsia="Times New Roman" w:hAnsi="Times New Roman"/>
                <w:sz w:val="15"/>
                <w:szCs w:val="15"/>
                <w:b w:val="1"/>
                <w:bCs w:val="1"/>
                <w:color w:val="231F20"/>
              </w:rPr>
              <w:t>2023</w:t>
            </w:r>
          </w:p>
        </w:tc>
        <w:tc>
          <w:tcPr>
            <w:tcW w:w="100" w:type="dxa"/>
            <w:vAlign w:val="bottom"/>
            <w:tcBorders>
              <w:bottom w:val="single" w:sz="8" w:color="D0EBF2"/>
            </w:tcBorders>
            <w:shd w:val="clear" w:color="auto" w:fill="FDFDFC"/>
          </w:tcPr>
          <w:p>
            <w:pPr>
              <w:spacing w:after="0"/>
              <w:rPr>
                <w:sz w:val="15"/>
                <w:szCs w:val="15"/>
                <w:color w:val="auto"/>
              </w:rPr>
            </w:pPr>
          </w:p>
        </w:tc>
        <w:tc>
          <w:tcPr>
            <w:tcW w:w="0" w:type="dxa"/>
            <w:vAlign w:val="bottom"/>
          </w:tcPr>
          <w:p>
            <w:pPr>
              <w:spacing w:after="0"/>
              <w:rPr>
                <w:sz w:val="1"/>
                <w:szCs w:val="1"/>
                <w:color w:val="auto"/>
              </w:rPr>
            </w:pPr>
          </w:p>
        </w:tc>
      </w:tr>
      <w:tr>
        <w:trPr>
          <w:trHeight w:val="163"/>
        </w:trPr>
        <w:tc>
          <w:tcPr>
            <w:tcW w:w="6620" w:type="dxa"/>
            <w:vAlign w:val="bottom"/>
            <w:shd w:val="clear" w:color="auto" w:fill="D0EBF2"/>
          </w:tcPr>
          <w:p>
            <w:pPr>
              <w:spacing w:after="0" w:line="164" w:lineRule="exact"/>
              <w:rPr>
                <w:sz w:val="20"/>
                <w:szCs w:val="20"/>
                <w:color w:val="auto"/>
              </w:rPr>
            </w:pPr>
            <w:r>
              <w:rPr>
                <w:rFonts w:ascii="Times New Roman" w:cs="Times New Roman" w:eastAsia="Times New Roman" w:hAnsi="Times New Roman"/>
                <w:sz w:val="15"/>
                <w:szCs w:val="15"/>
                <w:b w:val="1"/>
                <w:bCs w:val="1"/>
                <w:color w:val="231F20"/>
              </w:rPr>
              <w:t>Assets</w:t>
            </w:r>
          </w:p>
        </w:tc>
        <w:tc>
          <w:tcPr>
            <w:tcW w:w="200" w:type="dxa"/>
            <w:vAlign w:val="bottom"/>
            <w:shd w:val="clear" w:color="auto" w:fill="D0EBF2"/>
          </w:tcPr>
          <w:p>
            <w:pPr>
              <w:spacing w:after="0"/>
              <w:rPr>
                <w:sz w:val="14"/>
                <w:szCs w:val="14"/>
                <w:color w:val="auto"/>
              </w:rPr>
            </w:pPr>
          </w:p>
        </w:tc>
        <w:tc>
          <w:tcPr>
            <w:tcW w:w="1400" w:type="dxa"/>
            <w:vAlign w:val="bottom"/>
            <w:shd w:val="clear" w:color="auto" w:fill="D0EBF2"/>
          </w:tcPr>
          <w:p>
            <w:pPr>
              <w:spacing w:after="0"/>
              <w:rPr>
                <w:sz w:val="14"/>
                <w:szCs w:val="14"/>
                <w:color w:val="auto"/>
              </w:rPr>
            </w:pPr>
          </w:p>
        </w:tc>
        <w:tc>
          <w:tcPr>
            <w:tcW w:w="160" w:type="dxa"/>
            <w:vAlign w:val="bottom"/>
            <w:shd w:val="clear" w:color="auto" w:fill="D0EBF2"/>
          </w:tcPr>
          <w:p>
            <w:pPr>
              <w:spacing w:after="0"/>
              <w:rPr>
                <w:sz w:val="14"/>
                <w:szCs w:val="14"/>
                <w:color w:val="auto"/>
              </w:rPr>
            </w:pPr>
          </w:p>
        </w:tc>
        <w:tc>
          <w:tcPr>
            <w:tcW w:w="100" w:type="dxa"/>
            <w:vAlign w:val="bottom"/>
            <w:shd w:val="clear" w:color="auto" w:fill="D0EBF2"/>
          </w:tcPr>
          <w:p>
            <w:pPr>
              <w:spacing w:after="0"/>
              <w:rPr>
                <w:sz w:val="14"/>
                <w:szCs w:val="14"/>
                <w:color w:val="auto"/>
              </w:rPr>
            </w:pPr>
          </w:p>
        </w:tc>
        <w:tc>
          <w:tcPr>
            <w:tcW w:w="220" w:type="dxa"/>
            <w:vAlign w:val="bottom"/>
            <w:shd w:val="clear" w:color="auto" w:fill="D0EBF2"/>
          </w:tcPr>
          <w:p>
            <w:pPr>
              <w:spacing w:after="0"/>
              <w:rPr>
                <w:sz w:val="14"/>
                <w:szCs w:val="14"/>
                <w:color w:val="auto"/>
              </w:rPr>
            </w:pPr>
          </w:p>
        </w:tc>
        <w:tc>
          <w:tcPr>
            <w:tcW w:w="1400" w:type="dxa"/>
            <w:vAlign w:val="bottom"/>
            <w:shd w:val="clear" w:color="auto" w:fill="D0EBF2"/>
          </w:tcPr>
          <w:p>
            <w:pPr>
              <w:spacing w:after="0"/>
              <w:rPr>
                <w:sz w:val="14"/>
                <w:szCs w:val="14"/>
                <w:color w:val="auto"/>
              </w:rPr>
            </w:pPr>
          </w:p>
        </w:tc>
        <w:tc>
          <w:tcPr>
            <w:tcW w:w="100" w:type="dxa"/>
            <w:vAlign w:val="bottom"/>
            <w:shd w:val="clear" w:color="auto" w:fill="D0EBF2"/>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6620" w:type="dxa"/>
            <w:vAlign w:val="bottom"/>
            <w:shd w:val="clear" w:color="auto" w:fill="FDFDFC"/>
          </w:tcPr>
          <w:p>
            <w:pPr>
              <w:spacing w:after="0"/>
              <w:rPr>
                <w:sz w:val="20"/>
                <w:szCs w:val="20"/>
                <w:color w:val="auto"/>
              </w:rPr>
            </w:pPr>
            <w:r>
              <w:rPr>
                <w:rFonts w:ascii="Times New Roman" w:cs="Times New Roman" w:eastAsia="Times New Roman" w:hAnsi="Times New Roman"/>
                <w:sz w:val="15"/>
                <w:szCs w:val="15"/>
                <w:color w:val="231F20"/>
              </w:rPr>
              <w:t>Investments at fair value</w:t>
            </w:r>
          </w:p>
        </w:tc>
        <w:tc>
          <w:tcPr>
            <w:tcW w:w="200" w:type="dxa"/>
            <w:vAlign w:val="bottom"/>
            <w:shd w:val="clear" w:color="auto" w:fill="FDFDFC"/>
          </w:tcPr>
          <w:p>
            <w:pPr>
              <w:spacing w:after="0"/>
              <w:rPr>
                <w:sz w:val="15"/>
                <w:szCs w:val="15"/>
                <w:color w:val="auto"/>
              </w:rPr>
            </w:pPr>
          </w:p>
        </w:tc>
        <w:tc>
          <w:tcPr>
            <w:tcW w:w="1400" w:type="dxa"/>
            <w:vAlign w:val="bottom"/>
            <w:shd w:val="clear" w:color="auto" w:fill="FDFDFC"/>
          </w:tcPr>
          <w:p>
            <w:pPr>
              <w:spacing w:after="0"/>
              <w:rPr>
                <w:sz w:val="15"/>
                <w:szCs w:val="15"/>
                <w:color w:val="auto"/>
              </w:rPr>
            </w:pPr>
          </w:p>
        </w:tc>
        <w:tc>
          <w:tcPr>
            <w:tcW w:w="160" w:type="dxa"/>
            <w:vAlign w:val="bottom"/>
            <w:shd w:val="clear" w:color="auto" w:fill="FDFDFC"/>
          </w:tcPr>
          <w:p>
            <w:pPr>
              <w:spacing w:after="0"/>
              <w:rPr>
                <w:sz w:val="15"/>
                <w:szCs w:val="15"/>
                <w:color w:val="auto"/>
              </w:rPr>
            </w:pPr>
          </w:p>
        </w:tc>
        <w:tc>
          <w:tcPr>
            <w:tcW w:w="100" w:type="dxa"/>
            <w:vAlign w:val="bottom"/>
            <w:shd w:val="clear" w:color="auto" w:fill="FDFDFC"/>
          </w:tcPr>
          <w:p>
            <w:pPr>
              <w:spacing w:after="0"/>
              <w:rPr>
                <w:sz w:val="15"/>
                <w:szCs w:val="15"/>
                <w:color w:val="auto"/>
              </w:rPr>
            </w:pPr>
          </w:p>
        </w:tc>
        <w:tc>
          <w:tcPr>
            <w:tcW w:w="220" w:type="dxa"/>
            <w:vAlign w:val="bottom"/>
            <w:shd w:val="clear" w:color="auto" w:fill="FDFDFC"/>
          </w:tcPr>
          <w:p>
            <w:pPr>
              <w:spacing w:after="0"/>
              <w:rPr>
                <w:sz w:val="15"/>
                <w:szCs w:val="15"/>
                <w:color w:val="auto"/>
              </w:rPr>
            </w:pPr>
          </w:p>
        </w:tc>
        <w:tc>
          <w:tcPr>
            <w:tcW w:w="1400" w:type="dxa"/>
            <w:vAlign w:val="bottom"/>
            <w:shd w:val="clear" w:color="auto" w:fill="FDFDFC"/>
          </w:tcPr>
          <w:p>
            <w:pPr>
              <w:spacing w:after="0"/>
              <w:rPr>
                <w:sz w:val="15"/>
                <w:szCs w:val="15"/>
                <w:color w:val="auto"/>
              </w:rPr>
            </w:pPr>
          </w:p>
        </w:tc>
        <w:tc>
          <w:tcPr>
            <w:tcW w:w="100" w:type="dxa"/>
            <w:vAlign w:val="bottom"/>
            <w:shd w:val="clear" w:color="auto" w:fill="FDFDFC"/>
          </w:tcPr>
          <w:p>
            <w:pPr>
              <w:spacing w:after="0"/>
              <w:rPr>
                <w:sz w:val="15"/>
                <w:szCs w:val="15"/>
                <w:color w:val="auto"/>
              </w:rPr>
            </w:pPr>
          </w:p>
        </w:tc>
        <w:tc>
          <w:tcPr>
            <w:tcW w:w="0" w:type="dxa"/>
            <w:vAlign w:val="bottom"/>
          </w:tcPr>
          <w:p>
            <w:pPr>
              <w:spacing w:after="0"/>
              <w:rPr>
                <w:sz w:val="1"/>
                <w:szCs w:val="1"/>
                <w:color w:val="auto"/>
              </w:rPr>
            </w:pPr>
          </w:p>
        </w:tc>
      </w:tr>
      <w:tr>
        <w:trPr>
          <w:trHeight w:val="158"/>
        </w:trPr>
        <w:tc>
          <w:tcPr>
            <w:tcW w:w="6620" w:type="dxa"/>
            <w:vAlign w:val="bottom"/>
            <w:shd w:val="clear" w:color="auto" w:fill="D0EBF2"/>
          </w:tcPr>
          <w:p>
            <w:pPr>
              <w:ind w:left="180"/>
              <w:spacing w:after="0" w:line="159" w:lineRule="exact"/>
              <w:rPr>
                <w:sz w:val="20"/>
                <w:szCs w:val="20"/>
                <w:color w:val="auto"/>
              </w:rPr>
            </w:pPr>
            <w:r>
              <w:rPr>
                <w:rFonts w:ascii="Times New Roman" w:cs="Times New Roman" w:eastAsia="Times New Roman" w:hAnsi="Times New Roman"/>
                <w:sz w:val="15"/>
                <w:szCs w:val="15"/>
                <w:color w:val="231F20"/>
              </w:rPr>
              <w:t>Non-controlled, non-affiliated investments (amortized cost of $3,450,644 and $3,172,853,</w:t>
            </w:r>
          </w:p>
        </w:tc>
        <w:tc>
          <w:tcPr>
            <w:tcW w:w="200" w:type="dxa"/>
            <w:vAlign w:val="bottom"/>
            <w:vMerge w:val="restart"/>
            <w:shd w:val="clear" w:color="auto" w:fill="D0EBF2"/>
          </w:tcPr>
          <w:p>
            <w:pPr>
              <w:jc w:val="right"/>
              <w:ind w:right="86"/>
              <w:spacing w:after="0"/>
              <w:rPr>
                <w:sz w:val="20"/>
                <w:szCs w:val="20"/>
                <w:color w:val="auto"/>
              </w:rPr>
            </w:pPr>
            <w:r>
              <w:rPr>
                <w:rFonts w:ascii="Times New Roman" w:cs="Times New Roman" w:eastAsia="Times New Roman" w:hAnsi="Times New Roman"/>
                <w:sz w:val="11"/>
                <w:szCs w:val="11"/>
                <w:color w:val="231F20"/>
                <w:w w:val="71"/>
              </w:rPr>
              <w:t>$</w:t>
            </w:r>
          </w:p>
        </w:tc>
        <w:tc>
          <w:tcPr>
            <w:tcW w:w="1400" w:type="dxa"/>
            <w:vAlign w:val="bottom"/>
            <w:vMerge w:val="restart"/>
            <w:shd w:val="clear" w:color="auto" w:fill="D0EBF2"/>
          </w:tcPr>
          <w:p>
            <w:pPr>
              <w:jc w:val="right"/>
              <w:spacing w:after="0"/>
              <w:rPr>
                <w:sz w:val="20"/>
                <w:szCs w:val="20"/>
                <w:color w:val="auto"/>
              </w:rPr>
            </w:pPr>
            <w:r>
              <w:rPr>
                <w:rFonts w:ascii="Times New Roman" w:cs="Times New Roman" w:eastAsia="Times New Roman" w:hAnsi="Times New Roman"/>
                <w:sz w:val="15"/>
                <w:szCs w:val="15"/>
                <w:color w:val="231F20"/>
              </w:rPr>
              <w:t>3,453,317</w:t>
            </w:r>
          </w:p>
        </w:tc>
        <w:tc>
          <w:tcPr>
            <w:tcW w:w="160" w:type="dxa"/>
            <w:vAlign w:val="bottom"/>
            <w:shd w:val="clear" w:color="auto" w:fill="D0EBF2"/>
          </w:tcPr>
          <w:p>
            <w:pPr>
              <w:spacing w:after="0"/>
              <w:rPr>
                <w:sz w:val="13"/>
                <w:szCs w:val="13"/>
                <w:color w:val="auto"/>
              </w:rPr>
            </w:pPr>
          </w:p>
        </w:tc>
        <w:tc>
          <w:tcPr>
            <w:tcW w:w="320" w:type="dxa"/>
            <w:vAlign w:val="bottom"/>
            <w:gridSpan w:val="2"/>
            <w:vMerge w:val="restart"/>
            <w:shd w:val="clear" w:color="auto" w:fill="D0EBF2"/>
          </w:tcPr>
          <w:p>
            <w:pPr>
              <w:jc w:val="right"/>
              <w:ind w:right="64"/>
              <w:spacing w:after="0"/>
              <w:rPr>
                <w:sz w:val="20"/>
                <w:szCs w:val="20"/>
                <w:color w:val="auto"/>
              </w:rPr>
            </w:pPr>
            <w:r>
              <w:rPr>
                <w:rFonts w:ascii="Times New Roman" w:cs="Times New Roman" w:eastAsia="Times New Roman" w:hAnsi="Times New Roman"/>
                <w:sz w:val="15"/>
                <w:szCs w:val="15"/>
                <w:color w:val="231F20"/>
              </w:rPr>
              <w:t>$</w:t>
            </w:r>
          </w:p>
        </w:tc>
        <w:tc>
          <w:tcPr>
            <w:tcW w:w="1400" w:type="dxa"/>
            <w:vAlign w:val="bottom"/>
            <w:vMerge w:val="restart"/>
            <w:shd w:val="clear" w:color="auto" w:fill="D0EBF2"/>
          </w:tcPr>
          <w:p>
            <w:pPr>
              <w:jc w:val="right"/>
              <w:spacing w:after="0"/>
              <w:rPr>
                <w:sz w:val="20"/>
                <w:szCs w:val="20"/>
                <w:color w:val="auto"/>
              </w:rPr>
            </w:pPr>
            <w:r>
              <w:rPr>
                <w:rFonts w:ascii="Times New Roman" w:cs="Times New Roman" w:eastAsia="Times New Roman" w:hAnsi="Times New Roman"/>
                <w:sz w:val="15"/>
                <w:szCs w:val="15"/>
                <w:color w:val="231F20"/>
              </w:rPr>
              <w:t>3,223,152</w:t>
            </w:r>
          </w:p>
        </w:tc>
        <w:tc>
          <w:tcPr>
            <w:tcW w:w="100" w:type="dxa"/>
            <w:vAlign w:val="bottom"/>
            <w:shd w:val="clear" w:color="auto" w:fill="D0EBF2"/>
          </w:tcPr>
          <w:p>
            <w:pPr>
              <w:spacing w:after="0"/>
              <w:rPr>
                <w:sz w:val="13"/>
                <w:szCs w:val="13"/>
                <w:color w:val="auto"/>
              </w:rPr>
            </w:pPr>
          </w:p>
        </w:tc>
        <w:tc>
          <w:tcPr>
            <w:tcW w:w="0" w:type="dxa"/>
            <w:vAlign w:val="bottom"/>
          </w:tcPr>
          <w:p>
            <w:pPr>
              <w:spacing w:after="0"/>
              <w:rPr>
                <w:sz w:val="1"/>
                <w:szCs w:val="1"/>
                <w:color w:val="auto"/>
              </w:rPr>
            </w:pPr>
          </w:p>
        </w:tc>
      </w:tr>
      <w:tr>
        <w:trPr>
          <w:trHeight w:val="189"/>
        </w:trPr>
        <w:tc>
          <w:tcPr>
            <w:tcW w:w="6620" w:type="dxa"/>
            <w:vAlign w:val="bottom"/>
            <w:shd w:val="clear" w:color="auto" w:fill="D0EBF2"/>
          </w:tcPr>
          <w:p>
            <w:pPr>
              <w:ind w:left="180"/>
              <w:spacing w:after="0"/>
              <w:rPr>
                <w:sz w:val="20"/>
                <w:szCs w:val="20"/>
                <w:color w:val="auto"/>
              </w:rPr>
            </w:pPr>
            <w:r>
              <w:rPr>
                <w:rFonts w:ascii="Times New Roman" w:cs="Times New Roman" w:eastAsia="Times New Roman" w:hAnsi="Times New Roman"/>
                <w:sz w:val="15"/>
                <w:szCs w:val="15"/>
                <w:color w:val="231F20"/>
              </w:rPr>
              <w:t>respectively)</w:t>
            </w:r>
          </w:p>
        </w:tc>
        <w:tc>
          <w:tcPr>
            <w:tcW w:w="200" w:type="dxa"/>
            <w:vAlign w:val="bottom"/>
            <w:vMerge w:val="continue"/>
            <w:shd w:val="clear" w:color="auto" w:fill="D0EBF2"/>
          </w:tcPr>
          <w:p>
            <w:pPr>
              <w:spacing w:after="0"/>
              <w:rPr>
                <w:sz w:val="16"/>
                <w:szCs w:val="16"/>
                <w:color w:val="auto"/>
              </w:rPr>
            </w:pPr>
          </w:p>
        </w:tc>
        <w:tc>
          <w:tcPr>
            <w:tcW w:w="1400" w:type="dxa"/>
            <w:vAlign w:val="bottom"/>
            <w:vMerge w:val="continue"/>
            <w:shd w:val="clear" w:color="auto" w:fill="D0EBF2"/>
          </w:tcPr>
          <w:p>
            <w:pPr>
              <w:spacing w:after="0"/>
              <w:rPr>
                <w:sz w:val="16"/>
                <w:szCs w:val="16"/>
                <w:color w:val="auto"/>
              </w:rPr>
            </w:pPr>
          </w:p>
        </w:tc>
        <w:tc>
          <w:tcPr>
            <w:tcW w:w="160" w:type="dxa"/>
            <w:vAlign w:val="bottom"/>
            <w:shd w:val="clear" w:color="auto" w:fill="D0EBF2"/>
          </w:tcPr>
          <w:p>
            <w:pPr>
              <w:spacing w:after="0"/>
              <w:rPr>
                <w:sz w:val="16"/>
                <w:szCs w:val="16"/>
                <w:color w:val="auto"/>
              </w:rPr>
            </w:pPr>
          </w:p>
        </w:tc>
        <w:tc>
          <w:tcPr>
            <w:tcW w:w="320" w:type="dxa"/>
            <w:vAlign w:val="bottom"/>
            <w:gridSpan w:val="2"/>
            <w:vMerge w:val="continue"/>
            <w:shd w:val="clear" w:color="auto" w:fill="D0EBF2"/>
          </w:tcPr>
          <w:p>
            <w:pPr>
              <w:spacing w:after="0"/>
              <w:rPr>
                <w:sz w:val="16"/>
                <w:szCs w:val="16"/>
                <w:color w:val="auto"/>
              </w:rPr>
            </w:pPr>
          </w:p>
        </w:tc>
        <w:tc>
          <w:tcPr>
            <w:tcW w:w="1400" w:type="dxa"/>
            <w:vAlign w:val="bottom"/>
            <w:vMerge w:val="continue"/>
            <w:shd w:val="clear" w:color="auto" w:fill="D0EBF2"/>
          </w:tcPr>
          <w:p>
            <w:pPr>
              <w:spacing w:after="0"/>
              <w:rPr>
                <w:sz w:val="16"/>
                <w:szCs w:val="16"/>
                <w:color w:val="auto"/>
              </w:rPr>
            </w:pPr>
          </w:p>
        </w:tc>
        <w:tc>
          <w:tcPr>
            <w:tcW w:w="100" w:type="dxa"/>
            <w:vAlign w:val="bottom"/>
            <w:shd w:val="clear" w:color="auto" w:fill="D0EBF2"/>
          </w:tcPr>
          <w:p>
            <w:pPr>
              <w:spacing w:after="0"/>
              <w:rPr>
                <w:sz w:val="16"/>
                <w:szCs w:val="16"/>
                <w:color w:val="auto"/>
              </w:rPr>
            </w:pPr>
          </w:p>
        </w:tc>
        <w:tc>
          <w:tcPr>
            <w:tcW w:w="0" w:type="dxa"/>
            <w:vAlign w:val="bottom"/>
          </w:tcPr>
          <w:p>
            <w:pPr>
              <w:spacing w:after="0"/>
              <w:rPr>
                <w:sz w:val="1"/>
                <w:szCs w:val="1"/>
                <w:color w:val="auto"/>
              </w:rPr>
            </w:pPr>
          </w:p>
        </w:tc>
      </w:tr>
      <w:tr>
        <w:trPr>
          <w:trHeight w:val="174"/>
        </w:trPr>
        <w:tc>
          <w:tcPr>
            <w:tcW w:w="6620" w:type="dxa"/>
            <w:vAlign w:val="bottom"/>
            <w:tcBorders>
              <w:bottom w:val="single" w:sz="8" w:color="D0EBF2"/>
            </w:tcBorders>
            <w:shd w:val="clear" w:color="auto" w:fill="FDFDFC"/>
          </w:tcPr>
          <w:p>
            <w:pPr>
              <w:ind w:left="180"/>
              <w:spacing w:after="0"/>
              <w:rPr>
                <w:sz w:val="20"/>
                <w:szCs w:val="20"/>
                <w:color w:val="auto"/>
              </w:rPr>
            </w:pPr>
            <w:r>
              <w:rPr>
                <w:rFonts w:ascii="Times New Roman" w:cs="Times New Roman" w:eastAsia="Times New Roman" w:hAnsi="Times New Roman"/>
                <w:sz w:val="15"/>
                <w:szCs w:val="15"/>
                <w:color w:val="231F20"/>
              </w:rPr>
              <w:t>Controlled, affiliated investments (amortized cost of $88,509 and $78,159, respectively)</w:t>
            </w:r>
          </w:p>
        </w:tc>
        <w:tc>
          <w:tcPr>
            <w:tcW w:w="200" w:type="dxa"/>
            <w:vAlign w:val="bottom"/>
            <w:tcBorders>
              <w:bottom w:val="single" w:sz="8" w:color="231F20"/>
            </w:tcBorders>
            <w:shd w:val="clear" w:color="auto" w:fill="FDFDFC"/>
          </w:tcPr>
          <w:p>
            <w:pPr>
              <w:spacing w:after="0"/>
              <w:rPr>
                <w:sz w:val="15"/>
                <w:szCs w:val="15"/>
                <w:color w:val="auto"/>
              </w:rPr>
            </w:pPr>
          </w:p>
        </w:tc>
        <w:tc>
          <w:tcPr>
            <w:tcW w:w="1400" w:type="dxa"/>
            <w:vAlign w:val="bottom"/>
            <w:tcBorders>
              <w:bottom w:val="single" w:sz="8" w:color="231F20"/>
            </w:tcBorders>
            <w:shd w:val="clear" w:color="auto" w:fill="FDFDFC"/>
          </w:tcPr>
          <w:p>
            <w:pPr>
              <w:jc w:val="right"/>
              <w:spacing w:after="0"/>
              <w:rPr>
                <w:sz w:val="20"/>
                <w:szCs w:val="20"/>
                <w:color w:val="auto"/>
              </w:rPr>
            </w:pPr>
            <w:r>
              <w:rPr>
                <w:rFonts w:ascii="Times New Roman" w:cs="Times New Roman" w:eastAsia="Times New Roman" w:hAnsi="Times New Roman"/>
                <w:sz w:val="15"/>
                <w:szCs w:val="15"/>
                <w:color w:val="231F20"/>
              </w:rPr>
              <w:t>65,095</w:t>
            </w:r>
          </w:p>
        </w:tc>
        <w:tc>
          <w:tcPr>
            <w:tcW w:w="160" w:type="dxa"/>
            <w:vAlign w:val="bottom"/>
            <w:tcBorders>
              <w:bottom w:val="single" w:sz="8" w:color="D0EBF2"/>
            </w:tcBorders>
            <w:shd w:val="clear" w:color="auto" w:fill="FDFDFC"/>
          </w:tcPr>
          <w:p>
            <w:pPr>
              <w:spacing w:after="0"/>
              <w:rPr>
                <w:sz w:val="15"/>
                <w:szCs w:val="15"/>
                <w:color w:val="auto"/>
              </w:rPr>
            </w:pPr>
          </w:p>
        </w:tc>
        <w:tc>
          <w:tcPr>
            <w:tcW w:w="100" w:type="dxa"/>
            <w:vAlign w:val="bottom"/>
            <w:tcBorders>
              <w:bottom w:val="single" w:sz="8" w:color="D0EBF2"/>
            </w:tcBorders>
            <w:shd w:val="clear" w:color="auto" w:fill="FDFDFC"/>
          </w:tcPr>
          <w:p>
            <w:pPr>
              <w:spacing w:after="0"/>
              <w:rPr>
                <w:sz w:val="15"/>
                <w:szCs w:val="15"/>
                <w:color w:val="auto"/>
              </w:rPr>
            </w:pPr>
          </w:p>
        </w:tc>
        <w:tc>
          <w:tcPr>
            <w:tcW w:w="220" w:type="dxa"/>
            <w:vAlign w:val="bottom"/>
            <w:tcBorders>
              <w:bottom w:val="single" w:sz="8" w:color="231F20"/>
            </w:tcBorders>
            <w:shd w:val="clear" w:color="auto" w:fill="FDFDFC"/>
          </w:tcPr>
          <w:p>
            <w:pPr>
              <w:spacing w:after="0"/>
              <w:rPr>
                <w:sz w:val="15"/>
                <w:szCs w:val="15"/>
                <w:color w:val="auto"/>
              </w:rPr>
            </w:pPr>
          </w:p>
        </w:tc>
        <w:tc>
          <w:tcPr>
            <w:tcW w:w="1400" w:type="dxa"/>
            <w:vAlign w:val="bottom"/>
            <w:tcBorders>
              <w:bottom w:val="single" w:sz="8" w:color="231F20"/>
            </w:tcBorders>
            <w:shd w:val="clear" w:color="auto" w:fill="FDFDFC"/>
          </w:tcPr>
          <w:p>
            <w:pPr>
              <w:jc w:val="right"/>
              <w:spacing w:after="0"/>
              <w:rPr>
                <w:sz w:val="20"/>
                <w:szCs w:val="20"/>
                <w:color w:val="auto"/>
              </w:rPr>
            </w:pPr>
            <w:r>
              <w:rPr>
                <w:rFonts w:ascii="Times New Roman" w:cs="Times New Roman" w:eastAsia="Times New Roman" w:hAnsi="Times New Roman"/>
                <w:sz w:val="15"/>
                <w:szCs w:val="15"/>
                <w:color w:val="231F20"/>
              </w:rPr>
              <w:t>59,913</w:t>
            </w:r>
          </w:p>
        </w:tc>
        <w:tc>
          <w:tcPr>
            <w:tcW w:w="100" w:type="dxa"/>
            <w:vAlign w:val="bottom"/>
            <w:tcBorders>
              <w:bottom w:val="single" w:sz="8" w:color="D0EBF2"/>
            </w:tcBorders>
            <w:shd w:val="clear" w:color="auto" w:fill="FDFDFC"/>
          </w:tcPr>
          <w:p>
            <w:pPr>
              <w:spacing w:after="0"/>
              <w:rPr>
                <w:sz w:val="15"/>
                <w:szCs w:val="15"/>
                <w:color w:val="auto"/>
              </w:rPr>
            </w:pPr>
          </w:p>
        </w:tc>
        <w:tc>
          <w:tcPr>
            <w:tcW w:w="0" w:type="dxa"/>
            <w:vAlign w:val="bottom"/>
          </w:tcPr>
          <w:p>
            <w:pPr>
              <w:spacing w:after="0"/>
              <w:rPr>
                <w:sz w:val="1"/>
                <w:szCs w:val="1"/>
                <w:color w:val="auto"/>
              </w:rPr>
            </w:pPr>
          </w:p>
        </w:tc>
      </w:tr>
      <w:tr>
        <w:trPr>
          <w:trHeight w:val="163"/>
        </w:trPr>
        <w:tc>
          <w:tcPr>
            <w:tcW w:w="6620" w:type="dxa"/>
            <w:vAlign w:val="bottom"/>
            <w:shd w:val="clear" w:color="auto" w:fill="D0EBF2"/>
          </w:tcPr>
          <w:p>
            <w:pPr>
              <w:spacing w:after="0" w:line="164" w:lineRule="exact"/>
              <w:rPr>
                <w:sz w:val="20"/>
                <w:szCs w:val="20"/>
                <w:color w:val="auto"/>
              </w:rPr>
            </w:pPr>
            <w:r>
              <w:rPr>
                <w:rFonts w:ascii="Times New Roman" w:cs="Times New Roman" w:eastAsia="Times New Roman" w:hAnsi="Times New Roman"/>
                <w:sz w:val="15"/>
                <w:szCs w:val="15"/>
                <w:color w:val="231F20"/>
              </w:rPr>
              <w:t>Total investments at fair value (amortized cost of $3,539,153 and $3,251,012, respectively)</w:t>
            </w:r>
          </w:p>
        </w:tc>
        <w:tc>
          <w:tcPr>
            <w:tcW w:w="200" w:type="dxa"/>
            <w:vAlign w:val="bottom"/>
            <w:shd w:val="clear" w:color="auto" w:fill="D0EBF2"/>
          </w:tcPr>
          <w:p>
            <w:pPr>
              <w:spacing w:after="0"/>
              <w:rPr>
                <w:sz w:val="14"/>
                <w:szCs w:val="14"/>
                <w:color w:val="auto"/>
              </w:rPr>
            </w:pPr>
          </w:p>
        </w:tc>
        <w:tc>
          <w:tcPr>
            <w:tcW w:w="1400" w:type="dxa"/>
            <w:vAlign w:val="bottom"/>
            <w:shd w:val="clear" w:color="auto" w:fill="D0EBF2"/>
          </w:tcPr>
          <w:p>
            <w:pPr>
              <w:jc w:val="right"/>
              <w:spacing w:after="0" w:line="164" w:lineRule="exact"/>
              <w:rPr>
                <w:sz w:val="20"/>
                <w:szCs w:val="20"/>
                <w:color w:val="auto"/>
              </w:rPr>
            </w:pPr>
            <w:r>
              <w:rPr>
                <w:rFonts w:ascii="Times New Roman" w:cs="Times New Roman" w:eastAsia="Times New Roman" w:hAnsi="Times New Roman"/>
                <w:sz w:val="15"/>
                <w:szCs w:val="15"/>
                <w:color w:val="231F20"/>
              </w:rPr>
              <w:t>3,518,412</w:t>
            </w:r>
          </w:p>
        </w:tc>
        <w:tc>
          <w:tcPr>
            <w:tcW w:w="160" w:type="dxa"/>
            <w:vAlign w:val="bottom"/>
            <w:shd w:val="clear" w:color="auto" w:fill="D0EBF2"/>
          </w:tcPr>
          <w:p>
            <w:pPr>
              <w:spacing w:after="0"/>
              <w:rPr>
                <w:sz w:val="14"/>
                <w:szCs w:val="14"/>
                <w:color w:val="auto"/>
              </w:rPr>
            </w:pPr>
          </w:p>
        </w:tc>
        <w:tc>
          <w:tcPr>
            <w:tcW w:w="100" w:type="dxa"/>
            <w:vAlign w:val="bottom"/>
            <w:shd w:val="clear" w:color="auto" w:fill="D0EBF2"/>
          </w:tcPr>
          <w:p>
            <w:pPr>
              <w:spacing w:after="0"/>
              <w:rPr>
                <w:sz w:val="14"/>
                <w:szCs w:val="14"/>
                <w:color w:val="auto"/>
              </w:rPr>
            </w:pPr>
          </w:p>
        </w:tc>
        <w:tc>
          <w:tcPr>
            <w:tcW w:w="220" w:type="dxa"/>
            <w:vAlign w:val="bottom"/>
            <w:shd w:val="clear" w:color="auto" w:fill="D0EBF2"/>
          </w:tcPr>
          <w:p>
            <w:pPr>
              <w:spacing w:after="0"/>
              <w:rPr>
                <w:sz w:val="14"/>
                <w:szCs w:val="14"/>
                <w:color w:val="auto"/>
              </w:rPr>
            </w:pPr>
          </w:p>
        </w:tc>
        <w:tc>
          <w:tcPr>
            <w:tcW w:w="1400" w:type="dxa"/>
            <w:vAlign w:val="bottom"/>
            <w:shd w:val="clear" w:color="auto" w:fill="D0EBF2"/>
          </w:tcPr>
          <w:p>
            <w:pPr>
              <w:jc w:val="right"/>
              <w:spacing w:after="0" w:line="164" w:lineRule="exact"/>
              <w:rPr>
                <w:sz w:val="20"/>
                <w:szCs w:val="20"/>
                <w:color w:val="auto"/>
              </w:rPr>
            </w:pPr>
            <w:r>
              <w:rPr>
                <w:rFonts w:ascii="Times New Roman" w:cs="Times New Roman" w:eastAsia="Times New Roman" w:hAnsi="Times New Roman"/>
                <w:sz w:val="15"/>
                <w:szCs w:val="15"/>
                <w:color w:val="231F20"/>
              </w:rPr>
              <w:t>3,283,065</w:t>
            </w:r>
          </w:p>
        </w:tc>
        <w:tc>
          <w:tcPr>
            <w:tcW w:w="100" w:type="dxa"/>
            <w:vAlign w:val="bottom"/>
            <w:shd w:val="clear" w:color="auto" w:fill="D0EBF2"/>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6620" w:type="dxa"/>
            <w:vAlign w:val="bottom"/>
            <w:shd w:val="clear" w:color="auto" w:fill="FDFDFC"/>
          </w:tcPr>
          <w:p>
            <w:pPr>
              <w:spacing w:after="0"/>
              <w:rPr>
                <w:sz w:val="20"/>
                <w:szCs w:val="20"/>
                <w:color w:val="auto"/>
              </w:rPr>
            </w:pPr>
            <w:r>
              <w:rPr>
                <w:rFonts w:ascii="Times New Roman" w:cs="Times New Roman" w:eastAsia="Times New Roman" w:hAnsi="Times New Roman"/>
                <w:sz w:val="15"/>
                <w:szCs w:val="15"/>
                <w:color w:val="231F20"/>
              </w:rPr>
              <w:t>Cash and cash equivalents (restricted cash of $22,362 and $23,979, respectively)</w:t>
            </w:r>
          </w:p>
        </w:tc>
        <w:tc>
          <w:tcPr>
            <w:tcW w:w="200" w:type="dxa"/>
            <w:vAlign w:val="bottom"/>
            <w:shd w:val="clear" w:color="auto" w:fill="FDFDFC"/>
          </w:tcPr>
          <w:p>
            <w:pPr>
              <w:spacing w:after="0"/>
              <w:rPr>
                <w:sz w:val="15"/>
                <w:szCs w:val="15"/>
                <w:color w:val="auto"/>
              </w:rPr>
            </w:pPr>
          </w:p>
        </w:tc>
        <w:tc>
          <w:tcPr>
            <w:tcW w:w="1400" w:type="dxa"/>
            <w:vAlign w:val="bottom"/>
            <w:shd w:val="clear" w:color="auto" w:fill="FDFDFC"/>
          </w:tcPr>
          <w:p>
            <w:pPr>
              <w:jc w:val="right"/>
              <w:spacing w:after="0"/>
              <w:rPr>
                <w:sz w:val="20"/>
                <w:szCs w:val="20"/>
                <w:color w:val="auto"/>
              </w:rPr>
            </w:pPr>
            <w:r>
              <w:rPr>
                <w:rFonts w:ascii="Times New Roman" w:cs="Times New Roman" w:eastAsia="Times New Roman" w:hAnsi="Times New Roman"/>
                <w:sz w:val="15"/>
                <w:szCs w:val="15"/>
                <w:color w:val="231F20"/>
              </w:rPr>
              <w:t>27,328</w:t>
            </w:r>
          </w:p>
        </w:tc>
        <w:tc>
          <w:tcPr>
            <w:tcW w:w="160" w:type="dxa"/>
            <w:vAlign w:val="bottom"/>
            <w:shd w:val="clear" w:color="auto" w:fill="FDFDFC"/>
          </w:tcPr>
          <w:p>
            <w:pPr>
              <w:spacing w:after="0"/>
              <w:rPr>
                <w:sz w:val="15"/>
                <w:szCs w:val="15"/>
                <w:color w:val="auto"/>
              </w:rPr>
            </w:pPr>
          </w:p>
        </w:tc>
        <w:tc>
          <w:tcPr>
            <w:tcW w:w="100" w:type="dxa"/>
            <w:vAlign w:val="bottom"/>
            <w:shd w:val="clear" w:color="auto" w:fill="FDFDFC"/>
          </w:tcPr>
          <w:p>
            <w:pPr>
              <w:spacing w:after="0"/>
              <w:rPr>
                <w:sz w:val="15"/>
                <w:szCs w:val="15"/>
                <w:color w:val="auto"/>
              </w:rPr>
            </w:pPr>
          </w:p>
        </w:tc>
        <w:tc>
          <w:tcPr>
            <w:tcW w:w="220" w:type="dxa"/>
            <w:vAlign w:val="bottom"/>
            <w:shd w:val="clear" w:color="auto" w:fill="FDFDFC"/>
          </w:tcPr>
          <w:p>
            <w:pPr>
              <w:spacing w:after="0"/>
              <w:rPr>
                <w:sz w:val="15"/>
                <w:szCs w:val="15"/>
                <w:color w:val="auto"/>
              </w:rPr>
            </w:pPr>
          </w:p>
        </w:tc>
        <w:tc>
          <w:tcPr>
            <w:tcW w:w="1400" w:type="dxa"/>
            <w:vAlign w:val="bottom"/>
            <w:shd w:val="clear" w:color="auto" w:fill="FDFDFC"/>
          </w:tcPr>
          <w:p>
            <w:pPr>
              <w:jc w:val="right"/>
              <w:spacing w:after="0"/>
              <w:rPr>
                <w:sz w:val="20"/>
                <w:szCs w:val="20"/>
                <w:color w:val="auto"/>
              </w:rPr>
            </w:pPr>
            <w:r>
              <w:rPr>
                <w:rFonts w:ascii="Times New Roman" w:cs="Times New Roman" w:eastAsia="Times New Roman" w:hAnsi="Times New Roman"/>
                <w:sz w:val="15"/>
                <w:szCs w:val="15"/>
                <w:color w:val="231F20"/>
              </w:rPr>
              <w:t>25,196</w:t>
            </w:r>
          </w:p>
        </w:tc>
        <w:tc>
          <w:tcPr>
            <w:tcW w:w="100" w:type="dxa"/>
            <w:vAlign w:val="bottom"/>
            <w:shd w:val="clear" w:color="auto" w:fill="FDFDFC"/>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6620" w:type="dxa"/>
            <w:vAlign w:val="bottom"/>
            <w:shd w:val="clear" w:color="auto" w:fill="D0EBF2"/>
          </w:tcPr>
          <w:p>
            <w:pPr>
              <w:spacing w:after="0"/>
              <w:rPr>
                <w:sz w:val="20"/>
                <w:szCs w:val="20"/>
                <w:color w:val="auto"/>
              </w:rPr>
            </w:pPr>
            <w:r>
              <w:rPr>
                <w:rFonts w:ascii="Times New Roman" w:cs="Times New Roman" w:eastAsia="Times New Roman" w:hAnsi="Times New Roman"/>
                <w:sz w:val="15"/>
                <w:szCs w:val="15"/>
                <w:color w:val="231F20"/>
              </w:rPr>
              <w:t>Interest receivable</w:t>
            </w:r>
          </w:p>
        </w:tc>
        <w:tc>
          <w:tcPr>
            <w:tcW w:w="200" w:type="dxa"/>
            <w:vAlign w:val="bottom"/>
            <w:shd w:val="clear" w:color="auto" w:fill="D0EBF2"/>
          </w:tcPr>
          <w:p>
            <w:pPr>
              <w:spacing w:after="0"/>
              <w:rPr>
                <w:sz w:val="15"/>
                <w:szCs w:val="15"/>
                <w:color w:val="auto"/>
              </w:rPr>
            </w:pPr>
          </w:p>
        </w:tc>
        <w:tc>
          <w:tcPr>
            <w:tcW w:w="1400" w:type="dxa"/>
            <w:vAlign w:val="bottom"/>
            <w:shd w:val="clear" w:color="auto" w:fill="D0EBF2"/>
          </w:tcPr>
          <w:p>
            <w:pPr>
              <w:jc w:val="right"/>
              <w:spacing w:after="0"/>
              <w:rPr>
                <w:sz w:val="20"/>
                <w:szCs w:val="20"/>
                <w:color w:val="auto"/>
              </w:rPr>
            </w:pPr>
            <w:r>
              <w:rPr>
                <w:rFonts w:ascii="Times New Roman" w:cs="Times New Roman" w:eastAsia="Times New Roman" w:hAnsi="Times New Roman"/>
                <w:sz w:val="15"/>
                <w:szCs w:val="15"/>
                <w:color w:val="231F20"/>
              </w:rPr>
              <w:t>30,518</w:t>
            </w:r>
          </w:p>
        </w:tc>
        <w:tc>
          <w:tcPr>
            <w:tcW w:w="160" w:type="dxa"/>
            <w:vAlign w:val="bottom"/>
            <w:shd w:val="clear" w:color="auto" w:fill="D0EBF2"/>
          </w:tcPr>
          <w:p>
            <w:pPr>
              <w:spacing w:after="0"/>
              <w:rPr>
                <w:sz w:val="15"/>
                <w:szCs w:val="15"/>
                <w:color w:val="auto"/>
              </w:rPr>
            </w:pPr>
          </w:p>
        </w:tc>
        <w:tc>
          <w:tcPr>
            <w:tcW w:w="100" w:type="dxa"/>
            <w:vAlign w:val="bottom"/>
            <w:shd w:val="clear" w:color="auto" w:fill="D0EBF2"/>
          </w:tcPr>
          <w:p>
            <w:pPr>
              <w:spacing w:after="0"/>
              <w:rPr>
                <w:sz w:val="15"/>
                <w:szCs w:val="15"/>
                <w:color w:val="auto"/>
              </w:rPr>
            </w:pPr>
          </w:p>
        </w:tc>
        <w:tc>
          <w:tcPr>
            <w:tcW w:w="220" w:type="dxa"/>
            <w:vAlign w:val="bottom"/>
            <w:shd w:val="clear" w:color="auto" w:fill="D0EBF2"/>
          </w:tcPr>
          <w:p>
            <w:pPr>
              <w:spacing w:after="0"/>
              <w:rPr>
                <w:sz w:val="15"/>
                <w:szCs w:val="15"/>
                <w:color w:val="auto"/>
              </w:rPr>
            </w:pPr>
          </w:p>
        </w:tc>
        <w:tc>
          <w:tcPr>
            <w:tcW w:w="1400" w:type="dxa"/>
            <w:vAlign w:val="bottom"/>
            <w:shd w:val="clear" w:color="auto" w:fill="D0EBF2"/>
          </w:tcPr>
          <w:p>
            <w:pPr>
              <w:jc w:val="right"/>
              <w:spacing w:after="0"/>
              <w:rPr>
                <w:sz w:val="20"/>
                <w:szCs w:val="20"/>
                <w:color w:val="auto"/>
              </w:rPr>
            </w:pPr>
            <w:r>
              <w:rPr>
                <w:rFonts w:ascii="Times New Roman" w:cs="Times New Roman" w:eastAsia="Times New Roman" w:hAnsi="Times New Roman"/>
                <w:sz w:val="15"/>
                <w:szCs w:val="15"/>
                <w:color w:val="231F20"/>
              </w:rPr>
              <w:t>27,969</w:t>
            </w:r>
          </w:p>
        </w:tc>
        <w:tc>
          <w:tcPr>
            <w:tcW w:w="100" w:type="dxa"/>
            <w:vAlign w:val="bottom"/>
            <w:shd w:val="clear" w:color="auto" w:fill="D0EBF2"/>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6620" w:type="dxa"/>
            <w:vAlign w:val="bottom"/>
            <w:tcBorders>
              <w:bottom w:val="single" w:sz="8" w:color="D0EBF2"/>
            </w:tcBorders>
            <w:shd w:val="clear" w:color="auto" w:fill="FDFDFC"/>
          </w:tcPr>
          <w:p>
            <w:pPr>
              <w:spacing w:after="0"/>
              <w:rPr>
                <w:sz w:val="20"/>
                <w:szCs w:val="20"/>
                <w:color w:val="auto"/>
              </w:rPr>
            </w:pPr>
            <w:r>
              <w:rPr>
                <w:rFonts w:ascii="Times New Roman" w:cs="Times New Roman" w:eastAsia="Times New Roman" w:hAnsi="Times New Roman"/>
                <w:sz w:val="15"/>
                <w:szCs w:val="15"/>
                <w:color w:val="231F20"/>
              </w:rPr>
              <w:t>Prepaid expenses and other assets</w:t>
            </w:r>
          </w:p>
        </w:tc>
        <w:tc>
          <w:tcPr>
            <w:tcW w:w="200" w:type="dxa"/>
            <w:vAlign w:val="bottom"/>
            <w:tcBorders>
              <w:bottom w:val="single" w:sz="8" w:color="231F20"/>
            </w:tcBorders>
            <w:shd w:val="clear" w:color="auto" w:fill="FDFDFC"/>
          </w:tcPr>
          <w:p>
            <w:pPr>
              <w:spacing w:after="0"/>
              <w:rPr>
                <w:sz w:val="15"/>
                <w:szCs w:val="15"/>
                <w:color w:val="auto"/>
              </w:rPr>
            </w:pPr>
          </w:p>
        </w:tc>
        <w:tc>
          <w:tcPr>
            <w:tcW w:w="1400" w:type="dxa"/>
            <w:vAlign w:val="bottom"/>
            <w:tcBorders>
              <w:bottom w:val="single" w:sz="8" w:color="231F20"/>
            </w:tcBorders>
            <w:shd w:val="clear" w:color="auto" w:fill="FDFDFC"/>
          </w:tcPr>
          <w:p>
            <w:pPr>
              <w:jc w:val="right"/>
              <w:spacing w:after="0"/>
              <w:rPr>
                <w:sz w:val="20"/>
                <w:szCs w:val="20"/>
                <w:color w:val="auto"/>
              </w:rPr>
            </w:pPr>
            <w:r>
              <w:rPr>
                <w:rFonts w:ascii="Times New Roman" w:cs="Times New Roman" w:eastAsia="Times New Roman" w:hAnsi="Times New Roman"/>
                <w:sz w:val="15"/>
                <w:szCs w:val="15"/>
                <w:color w:val="231F20"/>
              </w:rPr>
              <w:t>5,967</w:t>
            </w:r>
          </w:p>
        </w:tc>
        <w:tc>
          <w:tcPr>
            <w:tcW w:w="160" w:type="dxa"/>
            <w:vAlign w:val="bottom"/>
            <w:tcBorders>
              <w:bottom w:val="single" w:sz="8" w:color="D0EBF2"/>
            </w:tcBorders>
            <w:shd w:val="clear" w:color="auto" w:fill="FDFDFC"/>
          </w:tcPr>
          <w:p>
            <w:pPr>
              <w:spacing w:after="0"/>
              <w:rPr>
                <w:sz w:val="15"/>
                <w:szCs w:val="15"/>
                <w:color w:val="auto"/>
              </w:rPr>
            </w:pPr>
          </w:p>
        </w:tc>
        <w:tc>
          <w:tcPr>
            <w:tcW w:w="100" w:type="dxa"/>
            <w:vAlign w:val="bottom"/>
            <w:tcBorders>
              <w:bottom w:val="single" w:sz="8" w:color="D0EBF2"/>
            </w:tcBorders>
            <w:shd w:val="clear" w:color="auto" w:fill="FDFDFC"/>
          </w:tcPr>
          <w:p>
            <w:pPr>
              <w:spacing w:after="0"/>
              <w:rPr>
                <w:sz w:val="15"/>
                <w:szCs w:val="15"/>
                <w:color w:val="auto"/>
              </w:rPr>
            </w:pPr>
          </w:p>
        </w:tc>
        <w:tc>
          <w:tcPr>
            <w:tcW w:w="220" w:type="dxa"/>
            <w:vAlign w:val="bottom"/>
            <w:tcBorders>
              <w:bottom w:val="single" w:sz="8" w:color="231F20"/>
            </w:tcBorders>
            <w:shd w:val="clear" w:color="auto" w:fill="FDFDFC"/>
          </w:tcPr>
          <w:p>
            <w:pPr>
              <w:spacing w:after="0"/>
              <w:rPr>
                <w:sz w:val="15"/>
                <w:szCs w:val="15"/>
                <w:color w:val="auto"/>
              </w:rPr>
            </w:pPr>
          </w:p>
        </w:tc>
        <w:tc>
          <w:tcPr>
            <w:tcW w:w="1400" w:type="dxa"/>
            <w:vAlign w:val="bottom"/>
            <w:tcBorders>
              <w:bottom w:val="single" w:sz="8" w:color="231F20"/>
            </w:tcBorders>
            <w:shd w:val="clear" w:color="auto" w:fill="FDFDFC"/>
          </w:tcPr>
          <w:p>
            <w:pPr>
              <w:jc w:val="right"/>
              <w:spacing w:after="0"/>
              <w:rPr>
                <w:sz w:val="20"/>
                <w:szCs w:val="20"/>
                <w:color w:val="auto"/>
              </w:rPr>
            </w:pPr>
            <w:r>
              <w:rPr>
                <w:rFonts w:ascii="Times New Roman" w:cs="Times New Roman" w:eastAsia="Times New Roman" w:hAnsi="Times New Roman"/>
                <w:sz w:val="15"/>
                <w:szCs w:val="15"/>
                <w:color w:val="231F20"/>
              </w:rPr>
              <w:t>7,578</w:t>
            </w:r>
          </w:p>
        </w:tc>
        <w:tc>
          <w:tcPr>
            <w:tcW w:w="100" w:type="dxa"/>
            <w:vAlign w:val="bottom"/>
            <w:tcBorders>
              <w:bottom w:val="single" w:sz="8" w:color="D0EBF2"/>
            </w:tcBorders>
            <w:shd w:val="clear" w:color="auto" w:fill="FDFDFC"/>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6620" w:type="dxa"/>
            <w:vAlign w:val="bottom"/>
            <w:tcBorders>
              <w:bottom w:val="single" w:sz="8" w:color="FDFDFC"/>
            </w:tcBorders>
            <w:shd w:val="clear" w:color="auto" w:fill="D0EBF2"/>
          </w:tcPr>
          <w:p>
            <w:pPr>
              <w:ind w:left="380"/>
              <w:spacing w:after="0" w:line="164" w:lineRule="exact"/>
              <w:rPr>
                <w:sz w:val="20"/>
                <w:szCs w:val="20"/>
                <w:color w:val="auto"/>
              </w:rPr>
            </w:pPr>
            <w:r>
              <w:rPr>
                <w:rFonts w:ascii="Times New Roman" w:cs="Times New Roman" w:eastAsia="Times New Roman" w:hAnsi="Times New Roman"/>
                <w:sz w:val="15"/>
                <w:szCs w:val="15"/>
                <w:b w:val="1"/>
                <w:bCs w:val="1"/>
                <w:color w:val="231F20"/>
              </w:rPr>
              <w:t>Total Assets</w:t>
            </w:r>
          </w:p>
        </w:tc>
        <w:tc>
          <w:tcPr>
            <w:tcW w:w="200" w:type="dxa"/>
            <w:vAlign w:val="bottom"/>
            <w:tcBorders>
              <w:bottom w:val="single" w:sz="8" w:color="231F20"/>
            </w:tcBorders>
            <w:shd w:val="clear" w:color="auto" w:fill="D0EBF2"/>
          </w:tcPr>
          <w:p>
            <w:pPr>
              <w:jc w:val="right"/>
              <w:ind w:right="86"/>
              <w:spacing w:after="0"/>
              <w:rPr>
                <w:sz w:val="20"/>
                <w:szCs w:val="20"/>
                <w:color w:val="auto"/>
              </w:rPr>
            </w:pPr>
            <w:r>
              <w:rPr>
                <w:rFonts w:ascii="Times New Roman" w:cs="Times New Roman" w:eastAsia="Times New Roman" w:hAnsi="Times New Roman"/>
                <w:sz w:val="11"/>
                <w:szCs w:val="11"/>
                <w:color w:val="231F20"/>
                <w:w w:val="71"/>
              </w:rPr>
              <w:t>$</w:t>
            </w:r>
          </w:p>
        </w:tc>
        <w:tc>
          <w:tcPr>
            <w:tcW w:w="1400" w:type="dxa"/>
            <w:vAlign w:val="bottom"/>
            <w:tcBorders>
              <w:bottom w:val="single" w:sz="8" w:color="231F20"/>
            </w:tcBorders>
            <w:shd w:val="clear" w:color="auto" w:fill="D0EBF2"/>
          </w:tcPr>
          <w:p>
            <w:pPr>
              <w:jc w:val="right"/>
              <w:spacing w:after="0" w:line="164" w:lineRule="exact"/>
              <w:rPr>
                <w:sz w:val="20"/>
                <w:szCs w:val="20"/>
                <w:color w:val="auto"/>
              </w:rPr>
            </w:pPr>
            <w:r>
              <w:rPr>
                <w:rFonts w:ascii="Times New Roman" w:cs="Times New Roman" w:eastAsia="Times New Roman" w:hAnsi="Times New Roman"/>
                <w:sz w:val="15"/>
                <w:szCs w:val="15"/>
                <w:color w:val="231F20"/>
              </w:rPr>
              <w:t>3,582,225</w:t>
            </w:r>
          </w:p>
        </w:tc>
        <w:tc>
          <w:tcPr>
            <w:tcW w:w="160" w:type="dxa"/>
            <w:vAlign w:val="bottom"/>
            <w:tcBorders>
              <w:bottom w:val="single" w:sz="8" w:color="FDFDFC"/>
            </w:tcBorders>
            <w:shd w:val="clear" w:color="auto" w:fill="D0EBF2"/>
          </w:tcPr>
          <w:p>
            <w:pPr>
              <w:spacing w:after="0"/>
              <w:rPr>
                <w:sz w:val="17"/>
                <w:szCs w:val="17"/>
                <w:color w:val="auto"/>
              </w:rPr>
            </w:pPr>
          </w:p>
        </w:tc>
        <w:tc>
          <w:tcPr>
            <w:tcW w:w="100" w:type="dxa"/>
            <w:vAlign w:val="bottom"/>
            <w:tcBorders>
              <w:bottom w:val="single" w:sz="8" w:color="FDFDFC"/>
            </w:tcBorders>
            <w:shd w:val="clear" w:color="auto" w:fill="D0EBF2"/>
          </w:tcPr>
          <w:p>
            <w:pPr>
              <w:spacing w:after="0"/>
              <w:rPr>
                <w:sz w:val="17"/>
                <w:szCs w:val="17"/>
                <w:color w:val="auto"/>
              </w:rPr>
            </w:pPr>
          </w:p>
        </w:tc>
        <w:tc>
          <w:tcPr>
            <w:tcW w:w="220" w:type="dxa"/>
            <w:vAlign w:val="bottom"/>
            <w:tcBorders>
              <w:bottom w:val="single" w:sz="8" w:color="231F20"/>
            </w:tcBorders>
            <w:shd w:val="clear" w:color="auto" w:fill="D0EBF2"/>
          </w:tcPr>
          <w:p>
            <w:pPr>
              <w:jc w:val="right"/>
              <w:ind w:right="64"/>
              <w:spacing w:after="0" w:line="164" w:lineRule="exact"/>
              <w:rPr>
                <w:sz w:val="20"/>
                <w:szCs w:val="20"/>
                <w:color w:val="auto"/>
              </w:rPr>
            </w:pPr>
            <w:r>
              <w:rPr>
                <w:rFonts w:ascii="Times New Roman" w:cs="Times New Roman" w:eastAsia="Times New Roman" w:hAnsi="Times New Roman"/>
                <w:sz w:val="15"/>
                <w:szCs w:val="15"/>
                <w:color w:val="231F20"/>
                <w:w w:val="79"/>
              </w:rPr>
              <w:t>$</w:t>
            </w:r>
          </w:p>
        </w:tc>
        <w:tc>
          <w:tcPr>
            <w:tcW w:w="1400" w:type="dxa"/>
            <w:vAlign w:val="bottom"/>
            <w:tcBorders>
              <w:bottom w:val="single" w:sz="8" w:color="231F20"/>
            </w:tcBorders>
            <w:shd w:val="clear" w:color="auto" w:fill="D0EBF2"/>
          </w:tcPr>
          <w:p>
            <w:pPr>
              <w:jc w:val="right"/>
              <w:spacing w:after="0" w:line="164" w:lineRule="exact"/>
              <w:rPr>
                <w:sz w:val="20"/>
                <w:szCs w:val="20"/>
                <w:color w:val="auto"/>
              </w:rPr>
            </w:pPr>
            <w:r>
              <w:rPr>
                <w:rFonts w:ascii="Times New Roman" w:cs="Times New Roman" w:eastAsia="Times New Roman" w:hAnsi="Times New Roman"/>
                <w:sz w:val="15"/>
                <w:szCs w:val="15"/>
                <w:color w:val="231F20"/>
              </w:rPr>
              <w:t>3,343,808</w:t>
            </w:r>
          </w:p>
        </w:tc>
        <w:tc>
          <w:tcPr>
            <w:tcW w:w="100" w:type="dxa"/>
            <w:vAlign w:val="bottom"/>
            <w:tcBorders>
              <w:bottom w:val="single" w:sz="8" w:color="FDFDFC"/>
            </w:tcBorders>
            <w:shd w:val="clear" w:color="auto" w:fill="D0EBF2"/>
          </w:tcPr>
          <w:p>
            <w:pPr>
              <w:spacing w:after="0"/>
              <w:rPr>
                <w:sz w:val="17"/>
                <w:szCs w:val="17"/>
                <w:color w:val="auto"/>
              </w:rPr>
            </w:pPr>
          </w:p>
        </w:tc>
        <w:tc>
          <w:tcPr>
            <w:tcW w:w="0" w:type="dxa"/>
            <w:vAlign w:val="bottom"/>
          </w:tcPr>
          <w:p>
            <w:pPr>
              <w:spacing w:after="0"/>
              <w:rPr>
                <w:sz w:val="1"/>
                <w:szCs w:val="1"/>
                <w:color w:val="auto"/>
              </w:rPr>
            </w:pPr>
          </w:p>
        </w:tc>
      </w:tr>
      <w:tr>
        <w:trPr>
          <w:trHeight w:val="156"/>
        </w:trPr>
        <w:tc>
          <w:tcPr>
            <w:tcW w:w="6620" w:type="dxa"/>
            <w:vAlign w:val="bottom"/>
            <w:shd w:val="clear" w:color="auto" w:fill="FDFDFC"/>
          </w:tcPr>
          <w:p>
            <w:pPr>
              <w:spacing w:after="0" w:line="156" w:lineRule="exact"/>
              <w:rPr>
                <w:sz w:val="20"/>
                <w:szCs w:val="20"/>
                <w:color w:val="auto"/>
              </w:rPr>
            </w:pPr>
            <w:r>
              <w:rPr>
                <w:rFonts w:ascii="Times New Roman" w:cs="Times New Roman" w:eastAsia="Times New Roman" w:hAnsi="Times New Roman"/>
                <w:sz w:val="15"/>
                <w:szCs w:val="15"/>
                <w:b w:val="1"/>
                <w:bCs w:val="1"/>
                <w:color w:val="231F20"/>
              </w:rPr>
              <w:t>Liabilities</w:t>
            </w:r>
          </w:p>
        </w:tc>
        <w:tc>
          <w:tcPr>
            <w:tcW w:w="200" w:type="dxa"/>
            <w:vAlign w:val="bottom"/>
            <w:shd w:val="clear" w:color="auto" w:fill="FDFDFC"/>
          </w:tcPr>
          <w:p>
            <w:pPr>
              <w:spacing w:after="0"/>
              <w:rPr>
                <w:sz w:val="13"/>
                <w:szCs w:val="13"/>
                <w:color w:val="auto"/>
              </w:rPr>
            </w:pPr>
          </w:p>
        </w:tc>
        <w:tc>
          <w:tcPr>
            <w:tcW w:w="1400" w:type="dxa"/>
            <w:vAlign w:val="bottom"/>
            <w:shd w:val="clear" w:color="auto" w:fill="FDFDFC"/>
          </w:tcPr>
          <w:p>
            <w:pPr>
              <w:spacing w:after="0"/>
              <w:rPr>
                <w:sz w:val="13"/>
                <w:szCs w:val="13"/>
                <w:color w:val="auto"/>
              </w:rPr>
            </w:pPr>
          </w:p>
        </w:tc>
        <w:tc>
          <w:tcPr>
            <w:tcW w:w="160" w:type="dxa"/>
            <w:vAlign w:val="bottom"/>
            <w:shd w:val="clear" w:color="auto" w:fill="FDFDFC"/>
          </w:tcPr>
          <w:p>
            <w:pPr>
              <w:spacing w:after="0"/>
              <w:rPr>
                <w:sz w:val="13"/>
                <w:szCs w:val="13"/>
                <w:color w:val="auto"/>
              </w:rPr>
            </w:pPr>
          </w:p>
        </w:tc>
        <w:tc>
          <w:tcPr>
            <w:tcW w:w="100" w:type="dxa"/>
            <w:vAlign w:val="bottom"/>
            <w:shd w:val="clear" w:color="auto" w:fill="FDFDFC"/>
          </w:tcPr>
          <w:p>
            <w:pPr>
              <w:spacing w:after="0"/>
              <w:rPr>
                <w:sz w:val="13"/>
                <w:szCs w:val="13"/>
                <w:color w:val="auto"/>
              </w:rPr>
            </w:pPr>
          </w:p>
        </w:tc>
        <w:tc>
          <w:tcPr>
            <w:tcW w:w="220" w:type="dxa"/>
            <w:vAlign w:val="bottom"/>
            <w:shd w:val="clear" w:color="auto" w:fill="FDFDFC"/>
          </w:tcPr>
          <w:p>
            <w:pPr>
              <w:spacing w:after="0"/>
              <w:rPr>
                <w:sz w:val="13"/>
                <w:szCs w:val="13"/>
                <w:color w:val="auto"/>
              </w:rPr>
            </w:pPr>
          </w:p>
        </w:tc>
        <w:tc>
          <w:tcPr>
            <w:tcW w:w="1400" w:type="dxa"/>
            <w:vAlign w:val="bottom"/>
            <w:shd w:val="clear" w:color="auto" w:fill="FDFDFC"/>
          </w:tcPr>
          <w:p>
            <w:pPr>
              <w:spacing w:after="0"/>
              <w:rPr>
                <w:sz w:val="13"/>
                <w:szCs w:val="13"/>
                <w:color w:val="auto"/>
              </w:rPr>
            </w:pPr>
          </w:p>
        </w:tc>
        <w:tc>
          <w:tcPr>
            <w:tcW w:w="100" w:type="dxa"/>
            <w:vAlign w:val="bottom"/>
            <w:shd w:val="clear" w:color="auto" w:fill="FDFDFC"/>
          </w:tcPr>
          <w:p>
            <w:pPr>
              <w:spacing w:after="0"/>
              <w:rPr>
                <w:sz w:val="13"/>
                <w:szCs w:val="13"/>
                <w:color w:val="auto"/>
              </w:rPr>
            </w:pPr>
          </w:p>
        </w:tc>
        <w:tc>
          <w:tcPr>
            <w:tcW w:w="0" w:type="dxa"/>
            <w:vAlign w:val="bottom"/>
          </w:tcPr>
          <w:p>
            <w:pPr>
              <w:spacing w:after="0"/>
              <w:rPr>
                <w:sz w:val="1"/>
                <w:szCs w:val="1"/>
                <w:color w:val="auto"/>
              </w:rPr>
            </w:pPr>
          </w:p>
        </w:tc>
      </w:tr>
      <w:tr>
        <w:trPr>
          <w:trHeight w:val="174"/>
        </w:trPr>
        <w:tc>
          <w:tcPr>
            <w:tcW w:w="6620" w:type="dxa"/>
            <w:vAlign w:val="bottom"/>
            <w:shd w:val="clear" w:color="auto" w:fill="D0EBF2"/>
          </w:tcPr>
          <w:p>
            <w:pPr>
              <w:spacing w:after="0"/>
              <w:rPr>
                <w:sz w:val="20"/>
                <w:szCs w:val="20"/>
                <w:color w:val="auto"/>
              </w:rPr>
            </w:pPr>
            <w:r>
              <w:rPr>
                <w:rFonts w:ascii="Times New Roman" w:cs="Times New Roman" w:eastAsia="Times New Roman" w:hAnsi="Times New Roman"/>
                <w:sz w:val="15"/>
                <w:szCs w:val="15"/>
                <w:color w:val="231F20"/>
              </w:rPr>
              <w:t>Debt (net of deferred financing costs of $23,837 and $21,930, respectively)</w:t>
            </w:r>
          </w:p>
        </w:tc>
        <w:tc>
          <w:tcPr>
            <w:tcW w:w="200" w:type="dxa"/>
            <w:vAlign w:val="bottom"/>
            <w:shd w:val="clear" w:color="auto" w:fill="D0EBF2"/>
          </w:tcPr>
          <w:p>
            <w:pPr>
              <w:jc w:val="right"/>
              <w:ind w:right="86"/>
              <w:spacing w:after="0"/>
              <w:rPr>
                <w:sz w:val="20"/>
                <w:szCs w:val="20"/>
                <w:color w:val="auto"/>
              </w:rPr>
            </w:pPr>
            <w:r>
              <w:rPr>
                <w:rFonts w:ascii="Times New Roman" w:cs="Times New Roman" w:eastAsia="Times New Roman" w:hAnsi="Times New Roman"/>
                <w:sz w:val="11"/>
                <w:szCs w:val="11"/>
                <w:color w:val="231F20"/>
                <w:w w:val="71"/>
              </w:rPr>
              <w:t>$</w:t>
            </w:r>
          </w:p>
        </w:tc>
        <w:tc>
          <w:tcPr>
            <w:tcW w:w="1400" w:type="dxa"/>
            <w:vAlign w:val="bottom"/>
            <w:shd w:val="clear" w:color="auto" w:fill="D0EBF2"/>
          </w:tcPr>
          <w:p>
            <w:pPr>
              <w:jc w:val="right"/>
              <w:spacing w:after="0"/>
              <w:rPr>
                <w:sz w:val="20"/>
                <w:szCs w:val="20"/>
                <w:color w:val="auto"/>
              </w:rPr>
            </w:pPr>
            <w:r>
              <w:rPr>
                <w:rFonts w:ascii="Times New Roman" w:cs="Times New Roman" w:eastAsia="Times New Roman" w:hAnsi="Times New Roman"/>
                <w:sz w:val="15"/>
                <w:szCs w:val="15"/>
                <w:color w:val="231F20"/>
              </w:rPr>
              <w:t>1,901,142</w:t>
            </w:r>
          </w:p>
        </w:tc>
        <w:tc>
          <w:tcPr>
            <w:tcW w:w="160" w:type="dxa"/>
            <w:vAlign w:val="bottom"/>
            <w:shd w:val="clear" w:color="auto" w:fill="D0EBF2"/>
          </w:tcPr>
          <w:p>
            <w:pPr>
              <w:spacing w:after="0"/>
              <w:rPr>
                <w:sz w:val="15"/>
                <w:szCs w:val="15"/>
                <w:color w:val="auto"/>
              </w:rPr>
            </w:pPr>
          </w:p>
        </w:tc>
        <w:tc>
          <w:tcPr>
            <w:tcW w:w="100" w:type="dxa"/>
            <w:vAlign w:val="bottom"/>
            <w:shd w:val="clear" w:color="auto" w:fill="D0EBF2"/>
          </w:tcPr>
          <w:p>
            <w:pPr>
              <w:spacing w:after="0"/>
              <w:rPr>
                <w:sz w:val="15"/>
                <w:szCs w:val="15"/>
                <w:color w:val="auto"/>
              </w:rPr>
            </w:pPr>
          </w:p>
        </w:tc>
        <w:tc>
          <w:tcPr>
            <w:tcW w:w="220" w:type="dxa"/>
            <w:vAlign w:val="bottom"/>
            <w:shd w:val="clear" w:color="auto" w:fill="D0EBF2"/>
          </w:tcPr>
          <w:p>
            <w:pPr>
              <w:jc w:val="right"/>
              <w:ind w:right="64"/>
              <w:spacing w:after="0"/>
              <w:rPr>
                <w:sz w:val="20"/>
                <w:szCs w:val="20"/>
                <w:color w:val="auto"/>
              </w:rPr>
            </w:pPr>
            <w:r>
              <w:rPr>
                <w:rFonts w:ascii="Times New Roman" w:cs="Times New Roman" w:eastAsia="Times New Roman" w:hAnsi="Times New Roman"/>
                <w:sz w:val="15"/>
                <w:szCs w:val="15"/>
                <w:color w:val="231F20"/>
                <w:w w:val="79"/>
              </w:rPr>
              <w:t>$</w:t>
            </w:r>
          </w:p>
        </w:tc>
        <w:tc>
          <w:tcPr>
            <w:tcW w:w="1400" w:type="dxa"/>
            <w:vAlign w:val="bottom"/>
            <w:shd w:val="clear" w:color="auto" w:fill="D0EBF2"/>
          </w:tcPr>
          <w:p>
            <w:pPr>
              <w:jc w:val="right"/>
              <w:spacing w:after="0"/>
              <w:rPr>
                <w:sz w:val="20"/>
                <w:szCs w:val="20"/>
                <w:color w:val="auto"/>
              </w:rPr>
            </w:pPr>
            <w:r>
              <w:rPr>
                <w:rFonts w:ascii="Times New Roman" w:cs="Times New Roman" w:eastAsia="Times New Roman" w:hAnsi="Times New Roman"/>
                <w:sz w:val="15"/>
                <w:szCs w:val="15"/>
                <w:color w:val="231F20"/>
              </w:rPr>
              <w:t>1,780,307</w:t>
            </w:r>
          </w:p>
        </w:tc>
        <w:tc>
          <w:tcPr>
            <w:tcW w:w="100" w:type="dxa"/>
            <w:vAlign w:val="bottom"/>
            <w:shd w:val="clear" w:color="auto" w:fill="D0EBF2"/>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6620" w:type="dxa"/>
            <w:vAlign w:val="bottom"/>
            <w:shd w:val="clear" w:color="auto" w:fill="FDFDFC"/>
          </w:tcPr>
          <w:p>
            <w:pPr>
              <w:spacing w:after="0"/>
              <w:rPr>
                <w:sz w:val="20"/>
                <w:szCs w:val="20"/>
                <w:color w:val="auto"/>
              </w:rPr>
            </w:pPr>
            <w:r>
              <w:rPr>
                <w:rFonts w:ascii="Times New Roman" w:cs="Times New Roman" w:eastAsia="Times New Roman" w:hAnsi="Times New Roman"/>
                <w:sz w:val="15"/>
                <w:szCs w:val="15"/>
                <w:color w:val="231F20"/>
              </w:rPr>
              <w:t>Management fees payable to affiliate</w:t>
            </w:r>
          </w:p>
        </w:tc>
        <w:tc>
          <w:tcPr>
            <w:tcW w:w="200" w:type="dxa"/>
            <w:vAlign w:val="bottom"/>
            <w:shd w:val="clear" w:color="auto" w:fill="FDFDFC"/>
          </w:tcPr>
          <w:p>
            <w:pPr>
              <w:spacing w:after="0"/>
              <w:rPr>
                <w:sz w:val="15"/>
                <w:szCs w:val="15"/>
                <w:color w:val="auto"/>
              </w:rPr>
            </w:pPr>
          </w:p>
        </w:tc>
        <w:tc>
          <w:tcPr>
            <w:tcW w:w="1400" w:type="dxa"/>
            <w:vAlign w:val="bottom"/>
            <w:shd w:val="clear" w:color="auto" w:fill="FDFDFC"/>
          </w:tcPr>
          <w:p>
            <w:pPr>
              <w:jc w:val="right"/>
              <w:spacing w:after="0"/>
              <w:rPr>
                <w:sz w:val="20"/>
                <w:szCs w:val="20"/>
                <w:color w:val="auto"/>
              </w:rPr>
            </w:pPr>
            <w:r>
              <w:rPr>
                <w:rFonts w:ascii="Times New Roman" w:cs="Times New Roman" w:eastAsia="Times New Roman" w:hAnsi="Times New Roman"/>
                <w:sz w:val="15"/>
                <w:szCs w:val="15"/>
                <w:color w:val="231F20"/>
              </w:rPr>
              <w:t>12,953</w:t>
            </w:r>
          </w:p>
        </w:tc>
        <w:tc>
          <w:tcPr>
            <w:tcW w:w="160" w:type="dxa"/>
            <w:vAlign w:val="bottom"/>
            <w:shd w:val="clear" w:color="auto" w:fill="FDFDFC"/>
          </w:tcPr>
          <w:p>
            <w:pPr>
              <w:spacing w:after="0"/>
              <w:rPr>
                <w:sz w:val="15"/>
                <w:szCs w:val="15"/>
                <w:color w:val="auto"/>
              </w:rPr>
            </w:pPr>
          </w:p>
        </w:tc>
        <w:tc>
          <w:tcPr>
            <w:tcW w:w="100" w:type="dxa"/>
            <w:vAlign w:val="bottom"/>
            <w:shd w:val="clear" w:color="auto" w:fill="FDFDFC"/>
          </w:tcPr>
          <w:p>
            <w:pPr>
              <w:spacing w:after="0"/>
              <w:rPr>
                <w:sz w:val="15"/>
                <w:szCs w:val="15"/>
                <w:color w:val="auto"/>
              </w:rPr>
            </w:pPr>
          </w:p>
        </w:tc>
        <w:tc>
          <w:tcPr>
            <w:tcW w:w="220" w:type="dxa"/>
            <w:vAlign w:val="bottom"/>
            <w:shd w:val="clear" w:color="auto" w:fill="FDFDFC"/>
          </w:tcPr>
          <w:p>
            <w:pPr>
              <w:spacing w:after="0"/>
              <w:rPr>
                <w:sz w:val="15"/>
                <w:szCs w:val="15"/>
                <w:color w:val="auto"/>
              </w:rPr>
            </w:pPr>
          </w:p>
        </w:tc>
        <w:tc>
          <w:tcPr>
            <w:tcW w:w="1400" w:type="dxa"/>
            <w:vAlign w:val="bottom"/>
            <w:shd w:val="clear" w:color="auto" w:fill="FDFDFC"/>
          </w:tcPr>
          <w:p>
            <w:pPr>
              <w:jc w:val="right"/>
              <w:spacing w:after="0"/>
              <w:rPr>
                <w:sz w:val="20"/>
                <w:szCs w:val="20"/>
                <w:color w:val="auto"/>
              </w:rPr>
            </w:pPr>
            <w:r>
              <w:rPr>
                <w:rFonts w:ascii="Times New Roman" w:cs="Times New Roman" w:eastAsia="Times New Roman" w:hAnsi="Times New Roman"/>
                <w:sz w:val="15"/>
                <w:szCs w:val="15"/>
                <w:color w:val="231F20"/>
              </w:rPr>
              <w:t>11,962</w:t>
            </w:r>
          </w:p>
        </w:tc>
        <w:tc>
          <w:tcPr>
            <w:tcW w:w="100" w:type="dxa"/>
            <w:vAlign w:val="bottom"/>
            <w:shd w:val="clear" w:color="auto" w:fill="FDFDFC"/>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6620" w:type="dxa"/>
            <w:vAlign w:val="bottom"/>
            <w:shd w:val="clear" w:color="auto" w:fill="D0EBF2"/>
          </w:tcPr>
          <w:p>
            <w:pPr>
              <w:spacing w:after="0"/>
              <w:rPr>
                <w:sz w:val="20"/>
                <w:szCs w:val="20"/>
                <w:color w:val="auto"/>
              </w:rPr>
            </w:pPr>
            <w:r>
              <w:rPr>
                <w:rFonts w:ascii="Times New Roman" w:cs="Times New Roman" w:eastAsia="Times New Roman" w:hAnsi="Times New Roman"/>
                <w:sz w:val="15"/>
                <w:szCs w:val="15"/>
                <w:color w:val="231F20"/>
              </w:rPr>
              <w:t>Incentive fees on net investment income payable to affiliate</w:t>
            </w:r>
          </w:p>
        </w:tc>
        <w:tc>
          <w:tcPr>
            <w:tcW w:w="200" w:type="dxa"/>
            <w:vAlign w:val="bottom"/>
            <w:shd w:val="clear" w:color="auto" w:fill="D0EBF2"/>
          </w:tcPr>
          <w:p>
            <w:pPr>
              <w:spacing w:after="0"/>
              <w:rPr>
                <w:sz w:val="15"/>
                <w:szCs w:val="15"/>
                <w:color w:val="auto"/>
              </w:rPr>
            </w:pPr>
          </w:p>
        </w:tc>
        <w:tc>
          <w:tcPr>
            <w:tcW w:w="1400" w:type="dxa"/>
            <w:vAlign w:val="bottom"/>
            <w:shd w:val="clear" w:color="auto" w:fill="D0EBF2"/>
          </w:tcPr>
          <w:p>
            <w:pPr>
              <w:jc w:val="right"/>
              <w:spacing w:after="0"/>
              <w:rPr>
                <w:sz w:val="20"/>
                <w:szCs w:val="20"/>
                <w:color w:val="auto"/>
              </w:rPr>
            </w:pPr>
            <w:r>
              <w:rPr>
                <w:rFonts w:ascii="Times New Roman" w:cs="Times New Roman" w:eastAsia="Times New Roman" w:hAnsi="Times New Roman"/>
                <w:sz w:val="15"/>
                <w:szCs w:val="15"/>
                <w:color w:val="231F20"/>
              </w:rPr>
              <w:t>12,013</w:t>
            </w:r>
          </w:p>
        </w:tc>
        <w:tc>
          <w:tcPr>
            <w:tcW w:w="160" w:type="dxa"/>
            <w:vAlign w:val="bottom"/>
            <w:shd w:val="clear" w:color="auto" w:fill="D0EBF2"/>
          </w:tcPr>
          <w:p>
            <w:pPr>
              <w:spacing w:after="0"/>
              <w:rPr>
                <w:sz w:val="15"/>
                <w:szCs w:val="15"/>
                <w:color w:val="auto"/>
              </w:rPr>
            </w:pPr>
          </w:p>
        </w:tc>
        <w:tc>
          <w:tcPr>
            <w:tcW w:w="100" w:type="dxa"/>
            <w:vAlign w:val="bottom"/>
            <w:shd w:val="clear" w:color="auto" w:fill="D0EBF2"/>
          </w:tcPr>
          <w:p>
            <w:pPr>
              <w:spacing w:after="0"/>
              <w:rPr>
                <w:sz w:val="15"/>
                <w:szCs w:val="15"/>
                <w:color w:val="auto"/>
              </w:rPr>
            </w:pPr>
          </w:p>
        </w:tc>
        <w:tc>
          <w:tcPr>
            <w:tcW w:w="220" w:type="dxa"/>
            <w:vAlign w:val="bottom"/>
            <w:shd w:val="clear" w:color="auto" w:fill="D0EBF2"/>
          </w:tcPr>
          <w:p>
            <w:pPr>
              <w:spacing w:after="0"/>
              <w:rPr>
                <w:sz w:val="15"/>
                <w:szCs w:val="15"/>
                <w:color w:val="auto"/>
              </w:rPr>
            </w:pPr>
          </w:p>
        </w:tc>
        <w:tc>
          <w:tcPr>
            <w:tcW w:w="1400" w:type="dxa"/>
            <w:vAlign w:val="bottom"/>
            <w:shd w:val="clear" w:color="auto" w:fill="D0EBF2"/>
          </w:tcPr>
          <w:p>
            <w:pPr>
              <w:jc w:val="right"/>
              <w:spacing w:after="0"/>
              <w:rPr>
                <w:sz w:val="20"/>
                <w:szCs w:val="20"/>
                <w:color w:val="auto"/>
              </w:rPr>
            </w:pPr>
            <w:r>
              <w:rPr>
                <w:rFonts w:ascii="Times New Roman" w:cs="Times New Roman" w:eastAsia="Times New Roman" w:hAnsi="Times New Roman"/>
                <w:sz w:val="15"/>
                <w:szCs w:val="15"/>
                <w:color w:val="231F20"/>
              </w:rPr>
              <w:t>11,451</w:t>
            </w:r>
          </w:p>
        </w:tc>
        <w:tc>
          <w:tcPr>
            <w:tcW w:w="100" w:type="dxa"/>
            <w:vAlign w:val="bottom"/>
            <w:shd w:val="clear" w:color="auto" w:fill="D0EBF2"/>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6620" w:type="dxa"/>
            <w:vAlign w:val="bottom"/>
            <w:shd w:val="clear" w:color="auto" w:fill="FDFDFC"/>
          </w:tcPr>
          <w:p>
            <w:pPr>
              <w:spacing w:after="0"/>
              <w:rPr>
                <w:sz w:val="20"/>
                <w:szCs w:val="20"/>
                <w:color w:val="auto"/>
              </w:rPr>
            </w:pPr>
            <w:r>
              <w:rPr>
                <w:rFonts w:ascii="Times New Roman" w:cs="Times New Roman" w:eastAsia="Times New Roman" w:hAnsi="Times New Roman"/>
                <w:sz w:val="15"/>
                <w:szCs w:val="15"/>
                <w:color w:val="231F20"/>
              </w:rPr>
              <w:t>Incentive fees on net capital gains accrued to affiliate</w:t>
            </w:r>
          </w:p>
        </w:tc>
        <w:tc>
          <w:tcPr>
            <w:tcW w:w="200" w:type="dxa"/>
            <w:vAlign w:val="bottom"/>
            <w:shd w:val="clear" w:color="auto" w:fill="FDFDFC"/>
          </w:tcPr>
          <w:p>
            <w:pPr>
              <w:spacing w:after="0"/>
              <w:rPr>
                <w:sz w:val="15"/>
                <w:szCs w:val="15"/>
                <w:color w:val="auto"/>
              </w:rPr>
            </w:pPr>
          </w:p>
        </w:tc>
        <w:tc>
          <w:tcPr>
            <w:tcW w:w="1400" w:type="dxa"/>
            <w:vAlign w:val="bottom"/>
            <w:shd w:val="clear" w:color="auto" w:fill="FDFDFC"/>
          </w:tcPr>
          <w:p>
            <w:pPr>
              <w:jc w:val="right"/>
              <w:spacing w:after="0"/>
              <w:rPr>
                <w:sz w:val="20"/>
                <w:szCs w:val="20"/>
                <w:color w:val="auto"/>
              </w:rPr>
            </w:pPr>
            <w:r>
              <w:rPr>
                <w:rFonts w:ascii="Times New Roman" w:cs="Times New Roman" w:eastAsia="Times New Roman" w:hAnsi="Times New Roman"/>
                <w:sz w:val="15"/>
                <w:szCs w:val="15"/>
                <w:color w:val="231F20"/>
              </w:rPr>
              <w:t>5,071</w:t>
            </w:r>
          </w:p>
        </w:tc>
        <w:tc>
          <w:tcPr>
            <w:tcW w:w="160" w:type="dxa"/>
            <w:vAlign w:val="bottom"/>
            <w:shd w:val="clear" w:color="auto" w:fill="FDFDFC"/>
          </w:tcPr>
          <w:p>
            <w:pPr>
              <w:spacing w:after="0"/>
              <w:rPr>
                <w:sz w:val="15"/>
                <w:szCs w:val="15"/>
                <w:color w:val="auto"/>
              </w:rPr>
            </w:pPr>
          </w:p>
        </w:tc>
        <w:tc>
          <w:tcPr>
            <w:tcW w:w="100" w:type="dxa"/>
            <w:vAlign w:val="bottom"/>
            <w:shd w:val="clear" w:color="auto" w:fill="FDFDFC"/>
          </w:tcPr>
          <w:p>
            <w:pPr>
              <w:spacing w:after="0"/>
              <w:rPr>
                <w:sz w:val="15"/>
                <w:szCs w:val="15"/>
                <w:color w:val="auto"/>
              </w:rPr>
            </w:pPr>
          </w:p>
        </w:tc>
        <w:tc>
          <w:tcPr>
            <w:tcW w:w="220" w:type="dxa"/>
            <w:vAlign w:val="bottom"/>
            <w:shd w:val="clear" w:color="auto" w:fill="FDFDFC"/>
          </w:tcPr>
          <w:p>
            <w:pPr>
              <w:spacing w:after="0"/>
              <w:rPr>
                <w:sz w:val="15"/>
                <w:szCs w:val="15"/>
                <w:color w:val="auto"/>
              </w:rPr>
            </w:pPr>
          </w:p>
        </w:tc>
        <w:tc>
          <w:tcPr>
            <w:tcW w:w="1400" w:type="dxa"/>
            <w:vAlign w:val="bottom"/>
            <w:shd w:val="clear" w:color="auto" w:fill="FDFDFC"/>
          </w:tcPr>
          <w:p>
            <w:pPr>
              <w:jc w:val="right"/>
              <w:spacing w:after="0"/>
              <w:rPr>
                <w:sz w:val="20"/>
                <w:szCs w:val="20"/>
                <w:color w:val="auto"/>
              </w:rPr>
            </w:pPr>
            <w:r>
              <w:rPr>
                <w:rFonts w:ascii="Times New Roman" w:cs="Times New Roman" w:eastAsia="Times New Roman" w:hAnsi="Times New Roman"/>
                <w:sz w:val="15"/>
                <w:szCs w:val="15"/>
                <w:color w:val="231F20"/>
              </w:rPr>
              <w:t>10,446</w:t>
            </w:r>
          </w:p>
        </w:tc>
        <w:tc>
          <w:tcPr>
            <w:tcW w:w="100" w:type="dxa"/>
            <w:vAlign w:val="bottom"/>
            <w:shd w:val="clear" w:color="auto" w:fill="FDFDFC"/>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6620" w:type="dxa"/>
            <w:vAlign w:val="bottom"/>
            <w:shd w:val="clear" w:color="auto" w:fill="D0EBF2"/>
          </w:tcPr>
          <w:p>
            <w:pPr>
              <w:spacing w:after="0"/>
              <w:rPr>
                <w:sz w:val="20"/>
                <w:szCs w:val="20"/>
                <w:color w:val="auto"/>
              </w:rPr>
            </w:pPr>
            <w:r>
              <w:rPr>
                <w:rFonts w:ascii="Times New Roman" w:cs="Times New Roman" w:eastAsia="Times New Roman" w:hAnsi="Times New Roman"/>
                <w:sz w:val="15"/>
                <w:szCs w:val="15"/>
                <w:color w:val="231F20"/>
              </w:rPr>
              <w:t>Other payables to affiliate</w:t>
            </w:r>
          </w:p>
        </w:tc>
        <w:tc>
          <w:tcPr>
            <w:tcW w:w="200" w:type="dxa"/>
            <w:vAlign w:val="bottom"/>
            <w:shd w:val="clear" w:color="auto" w:fill="D0EBF2"/>
          </w:tcPr>
          <w:p>
            <w:pPr>
              <w:spacing w:after="0"/>
              <w:rPr>
                <w:sz w:val="15"/>
                <w:szCs w:val="15"/>
                <w:color w:val="auto"/>
              </w:rPr>
            </w:pPr>
          </w:p>
        </w:tc>
        <w:tc>
          <w:tcPr>
            <w:tcW w:w="1400" w:type="dxa"/>
            <w:vAlign w:val="bottom"/>
            <w:shd w:val="clear" w:color="auto" w:fill="D0EBF2"/>
          </w:tcPr>
          <w:p>
            <w:pPr>
              <w:jc w:val="right"/>
              <w:spacing w:after="0"/>
              <w:rPr>
                <w:sz w:val="20"/>
                <w:szCs w:val="20"/>
                <w:color w:val="auto"/>
              </w:rPr>
            </w:pPr>
            <w:r>
              <w:rPr>
                <w:rFonts w:ascii="Times New Roman" w:cs="Times New Roman" w:eastAsia="Times New Roman" w:hAnsi="Times New Roman"/>
                <w:sz w:val="15"/>
                <w:szCs w:val="15"/>
                <w:color w:val="231F20"/>
              </w:rPr>
              <w:t>3,635</w:t>
            </w:r>
          </w:p>
        </w:tc>
        <w:tc>
          <w:tcPr>
            <w:tcW w:w="160" w:type="dxa"/>
            <w:vAlign w:val="bottom"/>
            <w:shd w:val="clear" w:color="auto" w:fill="D0EBF2"/>
          </w:tcPr>
          <w:p>
            <w:pPr>
              <w:spacing w:after="0"/>
              <w:rPr>
                <w:sz w:val="15"/>
                <w:szCs w:val="15"/>
                <w:color w:val="auto"/>
              </w:rPr>
            </w:pPr>
          </w:p>
        </w:tc>
        <w:tc>
          <w:tcPr>
            <w:tcW w:w="100" w:type="dxa"/>
            <w:vAlign w:val="bottom"/>
            <w:shd w:val="clear" w:color="auto" w:fill="D0EBF2"/>
          </w:tcPr>
          <w:p>
            <w:pPr>
              <w:spacing w:after="0"/>
              <w:rPr>
                <w:sz w:val="15"/>
                <w:szCs w:val="15"/>
                <w:color w:val="auto"/>
              </w:rPr>
            </w:pPr>
          </w:p>
        </w:tc>
        <w:tc>
          <w:tcPr>
            <w:tcW w:w="220" w:type="dxa"/>
            <w:vAlign w:val="bottom"/>
            <w:shd w:val="clear" w:color="auto" w:fill="D0EBF2"/>
          </w:tcPr>
          <w:p>
            <w:pPr>
              <w:spacing w:after="0"/>
              <w:rPr>
                <w:sz w:val="15"/>
                <w:szCs w:val="15"/>
                <w:color w:val="auto"/>
              </w:rPr>
            </w:pPr>
          </w:p>
        </w:tc>
        <w:tc>
          <w:tcPr>
            <w:tcW w:w="1400" w:type="dxa"/>
            <w:vAlign w:val="bottom"/>
            <w:shd w:val="clear" w:color="auto" w:fill="D0EBF2"/>
          </w:tcPr>
          <w:p>
            <w:pPr>
              <w:jc w:val="right"/>
              <w:spacing w:after="0"/>
              <w:rPr>
                <w:sz w:val="20"/>
                <w:szCs w:val="20"/>
                <w:color w:val="auto"/>
              </w:rPr>
            </w:pPr>
            <w:r>
              <w:rPr>
                <w:rFonts w:ascii="Times New Roman" w:cs="Times New Roman" w:eastAsia="Times New Roman" w:hAnsi="Times New Roman"/>
                <w:sz w:val="15"/>
                <w:szCs w:val="15"/>
                <w:color w:val="231F20"/>
              </w:rPr>
              <w:t>2,802</w:t>
            </w:r>
          </w:p>
        </w:tc>
        <w:tc>
          <w:tcPr>
            <w:tcW w:w="100" w:type="dxa"/>
            <w:vAlign w:val="bottom"/>
            <w:shd w:val="clear" w:color="auto" w:fill="D0EBF2"/>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6620" w:type="dxa"/>
            <w:vAlign w:val="bottom"/>
            <w:tcBorders>
              <w:bottom w:val="single" w:sz="8" w:color="D0EBF2"/>
            </w:tcBorders>
            <w:shd w:val="clear" w:color="auto" w:fill="FDFDFC"/>
          </w:tcPr>
          <w:p>
            <w:pPr>
              <w:spacing w:after="0"/>
              <w:rPr>
                <w:sz w:val="20"/>
                <w:szCs w:val="20"/>
                <w:color w:val="auto"/>
              </w:rPr>
            </w:pPr>
            <w:r>
              <w:rPr>
                <w:rFonts w:ascii="Times New Roman" w:cs="Times New Roman" w:eastAsia="Times New Roman" w:hAnsi="Times New Roman"/>
                <w:sz w:val="15"/>
                <w:szCs w:val="15"/>
                <w:color w:val="231F20"/>
              </w:rPr>
              <w:t>Other liabilities</w:t>
            </w:r>
          </w:p>
        </w:tc>
        <w:tc>
          <w:tcPr>
            <w:tcW w:w="200" w:type="dxa"/>
            <w:vAlign w:val="bottom"/>
            <w:tcBorders>
              <w:bottom w:val="single" w:sz="8" w:color="231F20"/>
            </w:tcBorders>
            <w:shd w:val="clear" w:color="auto" w:fill="FDFDFC"/>
          </w:tcPr>
          <w:p>
            <w:pPr>
              <w:spacing w:after="0"/>
              <w:rPr>
                <w:sz w:val="15"/>
                <w:szCs w:val="15"/>
                <w:color w:val="auto"/>
              </w:rPr>
            </w:pPr>
          </w:p>
        </w:tc>
        <w:tc>
          <w:tcPr>
            <w:tcW w:w="1400" w:type="dxa"/>
            <w:vAlign w:val="bottom"/>
            <w:tcBorders>
              <w:bottom w:val="single" w:sz="8" w:color="231F20"/>
            </w:tcBorders>
            <w:shd w:val="clear" w:color="auto" w:fill="FDFDFC"/>
          </w:tcPr>
          <w:p>
            <w:pPr>
              <w:jc w:val="right"/>
              <w:spacing w:after="0"/>
              <w:rPr>
                <w:sz w:val="20"/>
                <w:szCs w:val="20"/>
                <w:color w:val="auto"/>
              </w:rPr>
            </w:pPr>
            <w:r>
              <w:rPr>
                <w:rFonts w:ascii="Times New Roman" w:cs="Times New Roman" w:eastAsia="Times New Roman" w:hAnsi="Times New Roman"/>
                <w:sz w:val="15"/>
                <w:szCs w:val="15"/>
                <w:color w:val="231F20"/>
              </w:rPr>
              <w:t>39,882</w:t>
            </w:r>
          </w:p>
        </w:tc>
        <w:tc>
          <w:tcPr>
            <w:tcW w:w="160" w:type="dxa"/>
            <w:vAlign w:val="bottom"/>
            <w:tcBorders>
              <w:bottom w:val="single" w:sz="8" w:color="D0EBF2"/>
            </w:tcBorders>
            <w:shd w:val="clear" w:color="auto" w:fill="FDFDFC"/>
          </w:tcPr>
          <w:p>
            <w:pPr>
              <w:spacing w:after="0"/>
              <w:rPr>
                <w:sz w:val="15"/>
                <w:szCs w:val="15"/>
                <w:color w:val="auto"/>
              </w:rPr>
            </w:pPr>
          </w:p>
        </w:tc>
        <w:tc>
          <w:tcPr>
            <w:tcW w:w="100" w:type="dxa"/>
            <w:vAlign w:val="bottom"/>
            <w:tcBorders>
              <w:bottom w:val="single" w:sz="8" w:color="D0EBF2"/>
            </w:tcBorders>
            <w:shd w:val="clear" w:color="auto" w:fill="FDFDFC"/>
          </w:tcPr>
          <w:p>
            <w:pPr>
              <w:spacing w:after="0"/>
              <w:rPr>
                <w:sz w:val="15"/>
                <w:szCs w:val="15"/>
                <w:color w:val="auto"/>
              </w:rPr>
            </w:pPr>
          </w:p>
        </w:tc>
        <w:tc>
          <w:tcPr>
            <w:tcW w:w="220" w:type="dxa"/>
            <w:vAlign w:val="bottom"/>
            <w:tcBorders>
              <w:bottom w:val="single" w:sz="8" w:color="231F20"/>
            </w:tcBorders>
            <w:shd w:val="clear" w:color="auto" w:fill="FDFDFC"/>
          </w:tcPr>
          <w:p>
            <w:pPr>
              <w:spacing w:after="0"/>
              <w:rPr>
                <w:sz w:val="15"/>
                <w:szCs w:val="15"/>
                <w:color w:val="auto"/>
              </w:rPr>
            </w:pPr>
          </w:p>
        </w:tc>
        <w:tc>
          <w:tcPr>
            <w:tcW w:w="1400" w:type="dxa"/>
            <w:vAlign w:val="bottom"/>
            <w:tcBorders>
              <w:bottom w:val="single" w:sz="8" w:color="231F20"/>
            </w:tcBorders>
            <w:shd w:val="clear" w:color="auto" w:fill="FDFDFC"/>
          </w:tcPr>
          <w:p>
            <w:pPr>
              <w:jc w:val="right"/>
              <w:spacing w:after="0"/>
              <w:rPr>
                <w:sz w:val="20"/>
                <w:szCs w:val="20"/>
                <w:color w:val="auto"/>
              </w:rPr>
            </w:pPr>
            <w:r>
              <w:rPr>
                <w:rFonts w:ascii="Times New Roman" w:cs="Times New Roman" w:eastAsia="Times New Roman" w:hAnsi="Times New Roman"/>
                <w:sz w:val="15"/>
                <w:szCs w:val="15"/>
                <w:color w:val="231F20"/>
              </w:rPr>
              <w:t>30,465</w:t>
            </w:r>
          </w:p>
        </w:tc>
        <w:tc>
          <w:tcPr>
            <w:tcW w:w="100" w:type="dxa"/>
            <w:vAlign w:val="bottom"/>
            <w:tcBorders>
              <w:bottom w:val="single" w:sz="8" w:color="D0EBF2"/>
            </w:tcBorders>
            <w:shd w:val="clear" w:color="auto" w:fill="FDFDFC"/>
          </w:tcPr>
          <w:p>
            <w:pPr>
              <w:spacing w:after="0"/>
              <w:rPr>
                <w:sz w:val="15"/>
                <w:szCs w:val="15"/>
                <w:color w:val="auto"/>
              </w:rPr>
            </w:pPr>
          </w:p>
        </w:tc>
        <w:tc>
          <w:tcPr>
            <w:tcW w:w="0" w:type="dxa"/>
            <w:vAlign w:val="bottom"/>
          </w:tcPr>
          <w:p>
            <w:pPr>
              <w:spacing w:after="0"/>
              <w:rPr>
                <w:sz w:val="1"/>
                <w:szCs w:val="1"/>
                <w:color w:val="auto"/>
              </w:rPr>
            </w:pPr>
          </w:p>
        </w:tc>
      </w:tr>
      <w:tr>
        <w:trPr>
          <w:trHeight w:val="163"/>
        </w:trPr>
        <w:tc>
          <w:tcPr>
            <w:tcW w:w="6620" w:type="dxa"/>
            <w:vAlign w:val="bottom"/>
            <w:tcBorders>
              <w:bottom w:val="single" w:sz="8" w:color="FDFDFC"/>
            </w:tcBorders>
            <w:shd w:val="clear" w:color="auto" w:fill="D0EBF2"/>
          </w:tcPr>
          <w:p>
            <w:pPr>
              <w:ind w:left="380"/>
              <w:spacing w:after="0" w:line="164" w:lineRule="exact"/>
              <w:rPr>
                <w:sz w:val="20"/>
                <w:szCs w:val="20"/>
                <w:color w:val="auto"/>
              </w:rPr>
            </w:pPr>
            <w:r>
              <w:rPr>
                <w:rFonts w:ascii="Times New Roman" w:cs="Times New Roman" w:eastAsia="Times New Roman" w:hAnsi="Times New Roman"/>
                <w:sz w:val="15"/>
                <w:szCs w:val="15"/>
                <w:b w:val="1"/>
                <w:bCs w:val="1"/>
                <w:color w:val="231F20"/>
              </w:rPr>
              <w:t>Total Liabilities</w:t>
            </w:r>
          </w:p>
        </w:tc>
        <w:tc>
          <w:tcPr>
            <w:tcW w:w="200" w:type="dxa"/>
            <w:vAlign w:val="bottom"/>
            <w:tcBorders>
              <w:bottom w:val="single" w:sz="8" w:color="231F20"/>
            </w:tcBorders>
            <w:shd w:val="clear" w:color="auto" w:fill="D0EBF2"/>
          </w:tcPr>
          <w:p>
            <w:pPr>
              <w:spacing w:after="0"/>
              <w:rPr>
                <w:sz w:val="14"/>
                <w:szCs w:val="14"/>
                <w:color w:val="auto"/>
              </w:rPr>
            </w:pPr>
          </w:p>
        </w:tc>
        <w:tc>
          <w:tcPr>
            <w:tcW w:w="1400" w:type="dxa"/>
            <w:vAlign w:val="bottom"/>
            <w:tcBorders>
              <w:bottom w:val="single" w:sz="8" w:color="231F20"/>
            </w:tcBorders>
            <w:shd w:val="clear" w:color="auto" w:fill="D0EBF2"/>
          </w:tcPr>
          <w:p>
            <w:pPr>
              <w:jc w:val="right"/>
              <w:spacing w:after="0" w:line="164" w:lineRule="exact"/>
              <w:rPr>
                <w:sz w:val="20"/>
                <w:szCs w:val="20"/>
                <w:color w:val="auto"/>
              </w:rPr>
            </w:pPr>
            <w:r>
              <w:rPr>
                <w:rFonts w:ascii="Times New Roman" w:cs="Times New Roman" w:eastAsia="Times New Roman" w:hAnsi="Times New Roman"/>
                <w:sz w:val="15"/>
                <w:szCs w:val="15"/>
                <w:color w:val="231F20"/>
              </w:rPr>
              <w:t>1,974,696</w:t>
            </w:r>
          </w:p>
        </w:tc>
        <w:tc>
          <w:tcPr>
            <w:tcW w:w="160" w:type="dxa"/>
            <w:vAlign w:val="bottom"/>
            <w:tcBorders>
              <w:bottom w:val="single" w:sz="8" w:color="FDFDFC"/>
            </w:tcBorders>
            <w:shd w:val="clear" w:color="auto" w:fill="D0EBF2"/>
          </w:tcPr>
          <w:p>
            <w:pPr>
              <w:spacing w:after="0"/>
              <w:rPr>
                <w:sz w:val="14"/>
                <w:szCs w:val="14"/>
                <w:color w:val="auto"/>
              </w:rPr>
            </w:pPr>
          </w:p>
        </w:tc>
        <w:tc>
          <w:tcPr>
            <w:tcW w:w="100" w:type="dxa"/>
            <w:vAlign w:val="bottom"/>
            <w:tcBorders>
              <w:bottom w:val="single" w:sz="8" w:color="FDFDFC"/>
            </w:tcBorders>
            <w:shd w:val="clear" w:color="auto" w:fill="D0EBF2"/>
          </w:tcPr>
          <w:p>
            <w:pPr>
              <w:spacing w:after="0"/>
              <w:rPr>
                <w:sz w:val="14"/>
                <w:szCs w:val="14"/>
                <w:color w:val="auto"/>
              </w:rPr>
            </w:pPr>
          </w:p>
        </w:tc>
        <w:tc>
          <w:tcPr>
            <w:tcW w:w="220" w:type="dxa"/>
            <w:vAlign w:val="bottom"/>
            <w:tcBorders>
              <w:bottom w:val="single" w:sz="8" w:color="231F20"/>
            </w:tcBorders>
            <w:shd w:val="clear" w:color="auto" w:fill="D0EBF2"/>
          </w:tcPr>
          <w:p>
            <w:pPr>
              <w:spacing w:after="0"/>
              <w:rPr>
                <w:sz w:val="14"/>
                <w:szCs w:val="14"/>
                <w:color w:val="auto"/>
              </w:rPr>
            </w:pPr>
          </w:p>
        </w:tc>
        <w:tc>
          <w:tcPr>
            <w:tcW w:w="1400" w:type="dxa"/>
            <w:vAlign w:val="bottom"/>
            <w:tcBorders>
              <w:bottom w:val="single" w:sz="8" w:color="231F20"/>
            </w:tcBorders>
            <w:shd w:val="clear" w:color="auto" w:fill="D0EBF2"/>
          </w:tcPr>
          <w:p>
            <w:pPr>
              <w:jc w:val="right"/>
              <w:spacing w:after="0" w:line="164" w:lineRule="exact"/>
              <w:rPr>
                <w:sz w:val="20"/>
                <w:szCs w:val="20"/>
                <w:color w:val="auto"/>
              </w:rPr>
            </w:pPr>
            <w:r>
              <w:rPr>
                <w:rFonts w:ascii="Times New Roman" w:cs="Times New Roman" w:eastAsia="Times New Roman" w:hAnsi="Times New Roman"/>
                <w:sz w:val="15"/>
                <w:szCs w:val="15"/>
                <w:color w:val="231F20"/>
              </w:rPr>
              <w:t>1,847,433</w:t>
            </w:r>
          </w:p>
        </w:tc>
        <w:tc>
          <w:tcPr>
            <w:tcW w:w="100" w:type="dxa"/>
            <w:vAlign w:val="bottom"/>
            <w:tcBorders>
              <w:bottom w:val="single" w:sz="8" w:color="FDFDFC"/>
            </w:tcBorders>
            <w:shd w:val="clear" w:color="auto" w:fill="D0EBF2"/>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6620" w:type="dxa"/>
            <w:vAlign w:val="bottom"/>
            <w:shd w:val="clear" w:color="auto" w:fill="FDFDFC"/>
          </w:tcPr>
          <w:p>
            <w:pPr>
              <w:spacing w:after="0" w:line="164" w:lineRule="exact"/>
              <w:rPr>
                <w:sz w:val="20"/>
                <w:szCs w:val="20"/>
                <w:color w:val="auto"/>
              </w:rPr>
            </w:pPr>
            <w:r>
              <w:rPr>
                <w:rFonts w:ascii="Times New Roman" w:cs="Times New Roman" w:eastAsia="Times New Roman" w:hAnsi="Times New Roman"/>
                <w:sz w:val="15"/>
                <w:szCs w:val="15"/>
                <w:color w:val="231F20"/>
              </w:rPr>
              <w:t>Commitments and contingencies (Note 8)</w:t>
            </w:r>
          </w:p>
        </w:tc>
        <w:tc>
          <w:tcPr>
            <w:tcW w:w="200" w:type="dxa"/>
            <w:vAlign w:val="bottom"/>
            <w:shd w:val="clear" w:color="auto" w:fill="FDFDFC"/>
          </w:tcPr>
          <w:p>
            <w:pPr>
              <w:spacing w:after="0"/>
              <w:rPr>
                <w:sz w:val="14"/>
                <w:szCs w:val="14"/>
                <w:color w:val="auto"/>
              </w:rPr>
            </w:pPr>
          </w:p>
        </w:tc>
        <w:tc>
          <w:tcPr>
            <w:tcW w:w="1400" w:type="dxa"/>
            <w:vAlign w:val="bottom"/>
            <w:shd w:val="clear" w:color="auto" w:fill="FDFDFC"/>
          </w:tcPr>
          <w:p>
            <w:pPr>
              <w:spacing w:after="0"/>
              <w:rPr>
                <w:sz w:val="14"/>
                <w:szCs w:val="14"/>
                <w:color w:val="auto"/>
              </w:rPr>
            </w:pPr>
          </w:p>
        </w:tc>
        <w:tc>
          <w:tcPr>
            <w:tcW w:w="160" w:type="dxa"/>
            <w:vAlign w:val="bottom"/>
            <w:shd w:val="clear" w:color="auto" w:fill="FDFDFC"/>
          </w:tcPr>
          <w:p>
            <w:pPr>
              <w:spacing w:after="0"/>
              <w:rPr>
                <w:sz w:val="14"/>
                <w:szCs w:val="14"/>
                <w:color w:val="auto"/>
              </w:rPr>
            </w:pPr>
          </w:p>
        </w:tc>
        <w:tc>
          <w:tcPr>
            <w:tcW w:w="100" w:type="dxa"/>
            <w:vAlign w:val="bottom"/>
            <w:shd w:val="clear" w:color="auto" w:fill="FDFDFC"/>
          </w:tcPr>
          <w:p>
            <w:pPr>
              <w:spacing w:after="0"/>
              <w:rPr>
                <w:sz w:val="14"/>
                <w:szCs w:val="14"/>
                <w:color w:val="auto"/>
              </w:rPr>
            </w:pPr>
          </w:p>
        </w:tc>
        <w:tc>
          <w:tcPr>
            <w:tcW w:w="220" w:type="dxa"/>
            <w:vAlign w:val="bottom"/>
            <w:shd w:val="clear" w:color="auto" w:fill="FDFDFC"/>
          </w:tcPr>
          <w:p>
            <w:pPr>
              <w:spacing w:after="0"/>
              <w:rPr>
                <w:sz w:val="14"/>
                <w:szCs w:val="14"/>
                <w:color w:val="auto"/>
              </w:rPr>
            </w:pPr>
          </w:p>
        </w:tc>
        <w:tc>
          <w:tcPr>
            <w:tcW w:w="1400" w:type="dxa"/>
            <w:vAlign w:val="bottom"/>
            <w:shd w:val="clear" w:color="auto" w:fill="FDFDFC"/>
          </w:tcPr>
          <w:p>
            <w:pPr>
              <w:spacing w:after="0"/>
              <w:rPr>
                <w:sz w:val="14"/>
                <w:szCs w:val="14"/>
                <w:color w:val="auto"/>
              </w:rPr>
            </w:pPr>
          </w:p>
        </w:tc>
        <w:tc>
          <w:tcPr>
            <w:tcW w:w="100" w:type="dxa"/>
            <w:vAlign w:val="bottom"/>
            <w:shd w:val="clear" w:color="auto" w:fill="FDFDFC"/>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6620" w:type="dxa"/>
            <w:vAlign w:val="bottom"/>
            <w:shd w:val="clear" w:color="auto" w:fill="D0EBF2"/>
          </w:tcPr>
          <w:p>
            <w:pPr>
              <w:spacing w:after="0"/>
              <w:rPr>
                <w:sz w:val="20"/>
                <w:szCs w:val="20"/>
                <w:color w:val="auto"/>
              </w:rPr>
            </w:pPr>
            <w:r>
              <w:rPr>
                <w:rFonts w:ascii="Times New Roman" w:cs="Times New Roman" w:eastAsia="Times New Roman" w:hAnsi="Times New Roman"/>
                <w:sz w:val="15"/>
                <w:szCs w:val="15"/>
                <w:b w:val="1"/>
                <w:bCs w:val="1"/>
                <w:color w:val="231F20"/>
              </w:rPr>
              <w:t>Net Assets</w:t>
            </w:r>
          </w:p>
        </w:tc>
        <w:tc>
          <w:tcPr>
            <w:tcW w:w="200" w:type="dxa"/>
            <w:vAlign w:val="bottom"/>
            <w:shd w:val="clear" w:color="auto" w:fill="D0EBF2"/>
          </w:tcPr>
          <w:p>
            <w:pPr>
              <w:spacing w:after="0"/>
              <w:rPr>
                <w:sz w:val="15"/>
                <w:szCs w:val="15"/>
                <w:color w:val="auto"/>
              </w:rPr>
            </w:pPr>
          </w:p>
        </w:tc>
        <w:tc>
          <w:tcPr>
            <w:tcW w:w="1400" w:type="dxa"/>
            <w:vAlign w:val="bottom"/>
            <w:shd w:val="clear" w:color="auto" w:fill="D0EBF2"/>
          </w:tcPr>
          <w:p>
            <w:pPr>
              <w:spacing w:after="0"/>
              <w:rPr>
                <w:sz w:val="15"/>
                <w:szCs w:val="15"/>
                <w:color w:val="auto"/>
              </w:rPr>
            </w:pPr>
          </w:p>
        </w:tc>
        <w:tc>
          <w:tcPr>
            <w:tcW w:w="160" w:type="dxa"/>
            <w:vAlign w:val="bottom"/>
            <w:shd w:val="clear" w:color="auto" w:fill="D0EBF2"/>
          </w:tcPr>
          <w:p>
            <w:pPr>
              <w:spacing w:after="0"/>
              <w:rPr>
                <w:sz w:val="15"/>
                <w:szCs w:val="15"/>
                <w:color w:val="auto"/>
              </w:rPr>
            </w:pPr>
          </w:p>
        </w:tc>
        <w:tc>
          <w:tcPr>
            <w:tcW w:w="100" w:type="dxa"/>
            <w:vAlign w:val="bottom"/>
            <w:shd w:val="clear" w:color="auto" w:fill="D0EBF2"/>
          </w:tcPr>
          <w:p>
            <w:pPr>
              <w:spacing w:after="0"/>
              <w:rPr>
                <w:sz w:val="15"/>
                <w:szCs w:val="15"/>
                <w:color w:val="auto"/>
              </w:rPr>
            </w:pPr>
          </w:p>
        </w:tc>
        <w:tc>
          <w:tcPr>
            <w:tcW w:w="220" w:type="dxa"/>
            <w:vAlign w:val="bottom"/>
            <w:shd w:val="clear" w:color="auto" w:fill="D0EBF2"/>
          </w:tcPr>
          <w:p>
            <w:pPr>
              <w:spacing w:after="0"/>
              <w:rPr>
                <w:sz w:val="15"/>
                <w:szCs w:val="15"/>
                <w:color w:val="auto"/>
              </w:rPr>
            </w:pPr>
          </w:p>
        </w:tc>
        <w:tc>
          <w:tcPr>
            <w:tcW w:w="1400" w:type="dxa"/>
            <w:vAlign w:val="bottom"/>
            <w:shd w:val="clear" w:color="auto" w:fill="D0EBF2"/>
          </w:tcPr>
          <w:p>
            <w:pPr>
              <w:spacing w:after="0"/>
              <w:rPr>
                <w:sz w:val="15"/>
                <w:szCs w:val="15"/>
                <w:color w:val="auto"/>
              </w:rPr>
            </w:pPr>
          </w:p>
        </w:tc>
        <w:tc>
          <w:tcPr>
            <w:tcW w:w="100" w:type="dxa"/>
            <w:vAlign w:val="bottom"/>
            <w:shd w:val="clear" w:color="auto" w:fill="D0EBF2"/>
          </w:tcPr>
          <w:p>
            <w:pPr>
              <w:spacing w:after="0"/>
              <w:rPr>
                <w:sz w:val="15"/>
                <w:szCs w:val="15"/>
                <w:color w:val="auto"/>
              </w:rPr>
            </w:pPr>
          </w:p>
        </w:tc>
        <w:tc>
          <w:tcPr>
            <w:tcW w:w="0" w:type="dxa"/>
            <w:vAlign w:val="bottom"/>
          </w:tcPr>
          <w:p>
            <w:pPr>
              <w:spacing w:after="0"/>
              <w:rPr>
                <w:sz w:val="1"/>
                <w:szCs w:val="1"/>
                <w:color w:val="auto"/>
              </w:rPr>
            </w:pPr>
          </w:p>
        </w:tc>
      </w:tr>
      <w:tr>
        <w:trPr>
          <w:trHeight w:val="158"/>
        </w:trPr>
        <w:tc>
          <w:tcPr>
            <w:tcW w:w="6620" w:type="dxa"/>
            <w:vAlign w:val="bottom"/>
            <w:shd w:val="clear" w:color="auto" w:fill="FDFDFC"/>
          </w:tcPr>
          <w:p>
            <w:pPr>
              <w:spacing w:after="0" w:line="159" w:lineRule="exact"/>
              <w:rPr>
                <w:sz w:val="20"/>
                <w:szCs w:val="20"/>
                <w:color w:val="auto"/>
              </w:rPr>
            </w:pPr>
            <w:r>
              <w:rPr>
                <w:rFonts w:ascii="Times New Roman" w:cs="Times New Roman" w:eastAsia="Times New Roman" w:hAnsi="Times New Roman"/>
                <w:sz w:val="15"/>
                <w:szCs w:val="15"/>
                <w:color w:val="231F20"/>
              </w:rPr>
              <w:t>Preferred stock, $0.01 par value; 100,000,000 shares authorized; no shares</w:t>
            </w:r>
          </w:p>
        </w:tc>
        <w:tc>
          <w:tcPr>
            <w:tcW w:w="200" w:type="dxa"/>
            <w:vAlign w:val="bottom"/>
            <w:shd w:val="clear" w:color="auto" w:fill="FDFDFC"/>
          </w:tcPr>
          <w:p>
            <w:pPr>
              <w:spacing w:after="0"/>
              <w:rPr>
                <w:sz w:val="13"/>
                <w:szCs w:val="13"/>
                <w:color w:val="auto"/>
              </w:rPr>
            </w:pPr>
          </w:p>
        </w:tc>
        <w:tc>
          <w:tcPr>
            <w:tcW w:w="1560" w:type="dxa"/>
            <w:vAlign w:val="bottom"/>
            <w:gridSpan w:val="2"/>
            <w:vMerge w:val="restart"/>
            <w:shd w:val="clear" w:color="auto" w:fill="FDFDFC"/>
          </w:tcPr>
          <w:p>
            <w:pPr>
              <w:jc w:val="right"/>
              <w:ind w:right="180"/>
              <w:spacing w:after="0"/>
              <w:rPr>
                <w:sz w:val="20"/>
                <w:szCs w:val="20"/>
                <w:color w:val="auto"/>
              </w:rPr>
            </w:pPr>
            <w:r>
              <w:rPr>
                <w:rFonts w:ascii="Times New Roman" w:cs="Times New Roman" w:eastAsia="Times New Roman" w:hAnsi="Times New Roman"/>
                <w:sz w:val="15"/>
                <w:szCs w:val="15"/>
                <w:color w:val="231F20"/>
              </w:rPr>
              <w:t>—</w:t>
            </w:r>
          </w:p>
        </w:tc>
        <w:tc>
          <w:tcPr>
            <w:tcW w:w="100" w:type="dxa"/>
            <w:vAlign w:val="bottom"/>
            <w:shd w:val="clear" w:color="auto" w:fill="FDFDFC"/>
          </w:tcPr>
          <w:p>
            <w:pPr>
              <w:spacing w:after="0"/>
              <w:rPr>
                <w:sz w:val="13"/>
                <w:szCs w:val="13"/>
                <w:color w:val="auto"/>
              </w:rPr>
            </w:pPr>
          </w:p>
        </w:tc>
        <w:tc>
          <w:tcPr>
            <w:tcW w:w="220" w:type="dxa"/>
            <w:vAlign w:val="bottom"/>
            <w:shd w:val="clear" w:color="auto" w:fill="FDFDFC"/>
          </w:tcPr>
          <w:p>
            <w:pPr>
              <w:spacing w:after="0"/>
              <w:rPr>
                <w:sz w:val="13"/>
                <w:szCs w:val="13"/>
                <w:color w:val="auto"/>
              </w:rPr>
            </w:pPr>
          </w:p>
        </w:tc>
        <w:tc>
          <w:tcPr>
            <w:tcW w:w="1500" w:type="dxa"/>
            <w:vAlign w:val="bottom"/>
            <w:gridSpan w:val="2"/>
            <w:vMerge w:val="restart"/>
            <w:shd w:val="clear" w:color="auto" w:fill="FDFDFC"/>
          </w:tcPr>
          <w:p>
            <w:pPr>
              <w:jc w:val="right"/>
              <w:ind w:right="120"/>
              <w:spacing w:after="0"/>
              <w:rPr>
                <w:sz w:val="20"/>
                <w:szCs w:val="20"/>
                <w:color w:val="auto"/>
              </w:rPr>
            </w:pPr>
            <w:r>
              <w:rPr>
                <w:rFonts w:ascii="Times New Roman" w:cs="Times New Roman" w:eastAsia="Times New Roman" w:hAnsi="Times New Roman"/>
                <w:sz w:val="15"/>
                <w:szCs w:val="15"/>
                <w:color w:val="231F20"/>
              </w:rPr>
              <w:t>—</w:t>
            </w:r>
          </w:p>
        </w:tc>
        <w:tc>
          <w:tcPr>
            <w:tcW w:w="0" w:type="dxa"/>
            <w:vAlign w:val="bottom"/>
          </w:tcPr>
          <w:p>
            <w:pPr>
              <w:spacing w:after="0"/>
              <w:rPr>
                <w:sz w:val="1"/>
                <w:szCs w:val="1"/>
                <w:color w:val="auto"/>
              </w:rPr>
            </w:pPr>
          </w:p>
        </w:tc>
      </w:tr>
      <w:tr>
        <w:trPr>
          <w:trHeight w:val="189"/>
        </w:trPr>
        <w:tc>
          <w:tcPr>
            <w:tcW w:w="6620" w:type="dxa"/>
            <w:vAlign w:val="bottom"/>
            <w:shd w:val="clear" w:color="auto" w:fill="FDFDFC"/>
          </w:tcPr>
          <w:p>
            <w:pPr>
              <w:ind w:left="120"/>
              <w:spacing w:after="0"/>
              <w:rPr>
                <w:sz w:val="20"/>
                <w:szCs w:val="20"/>
                <w:color w:val="auto"/>
              </w:rPr>
            </w:pPr>
            <w:r>
              <w:rPr>
                <w:rFonts w:ascii="Times New Roman" w:cs="Times New Roman" w:eastAsia="Times New Roman" w:hAnsi="Times New Roman"/>
                <w:sz w:val="15"/>
                <w:szCs w:val="15"/>
                <w:color w:val="231F20"/>
              </w:rPr>
              <w:t>issued and outstanding</w:t>
            </w:r>
          </w:p>
        </w:tc>
        <w:tc>
          <w:tcPr>
            <w:tcW w:w="200" w:type="dxa"/>
            <w:vAlign w:val="bottom"/>
            <w:shd w:val="clear" w:color="auto" w:fill="FDFDFC"/>
          </w:tcPr>
          <w:p>
            <w:pPr>
              <w:spacing w:after="0"/>
              <w:rPr>
                <w:sz w:val="16"/>
                <w:szCs w:val="16"/>
                <w:color w:val="auto"/>
              </w:rPr>
            </w:pPr>
          </w:p>
        </w:tc>
        <w:tc>
          <w:tcPr>
            <w:tcW w:w="1560" w:type="dxa"/>
            <w:vAlign w:val="bottom"/>
            <w:gridSpan w:val="2"/>
            <w:vMerge w:val="continue"/>
            <w:shd w:val="clear" w:color="auto" w:fill="FDFDFC"/>
          </w:tcPr>
          <w:p>
            <w:pPr>
              <w:spacing w:after="0"/>
              <w:rPr>
                <w:sz w:val="16"/>
                <w:szCs w:val="16"/>
                <w:color w:val="auto"/>
              </w:rPr>
            </w:pPr>
          </w:p>
        </w:tc>
        <w:tc>
          <w:tcPr>
            <w:tcW w:w="100" w:type="dxa"/>
            <w:vAlign w:val="bottom"/>
            <w:shd w:val="clear" w:color="auto" w:fill="FDFDFC"/>
          </w:tcPr>
          <w:p>
            <w:pPr>
              <w:spacing w:after="0"/>
              <w:rPr>
                <w:sz w:val="16"/>
                <w:szCs w:val="16"/>
                <w:color w:val="auto"/>
              </w:rPr>
            </w:pPr>
          </w:p>
        </w:tc>
        <w:tc>
          <w:tcPr>
            <w:tcW w:w="220" w:type="dxa"/>
            <w:vAlign w:val="bottom"/>
            <w:shd w:val="clear" w:color="auto" w:fill="FDFDFC"/>
          </w:tcPr>
          <w:p>
            <w:pPr>
              <w:spacing w:after="0"/>
              <w:rPr>
                <w:sz w:val="16"/>
                <w:szCs w:val="16"/>
                <w:color w:val="auto"/>
              </w:rPr>
            </w:pPr>
          </w:p>
        </w:tc>
        <w:tc>
          <w:tcPr>
            <w:tcW w:w="1500" w:type="dxa"/>
            <w:vAlign w:val="bottom"/>
            <w:gridSpan w:val="2"/>
            <w:vMerge w:val="continue"/>
            <w:shd w:val="clear" w:color="auto" w:fill="FDFDFC"/>
          </w:tcPr>
          <w:p>
            <w:pPr>
              <w:spacing w:after="0"/>
              <w:rPr>
                <w:sz w:val="16"/>
                <w:szCs w:val="16"/>
                <w:color w:val="auto"/>
              </w:rPr>
            </w:pPr>
          </w:p>
        </w:tc>
        <w:tc>
          <w:tcPr>
            <w:tcW w:w="0" w:type="dxa"/>
            <w:vAlign w:val="bottom"/>
          </w:tcPr>
          <w:p>
            <w:pPr>
              <w:spacing w:after="0"/>
              <w:rPr>
                <w:sz w:val="1"/>
                <w:szCs w:val="1"/>
                <w:color w:val="auto"/>
              </w:rPr>
            </w:pPr>
          </w:p>
        </w:tc>
      </w:tr>
      <w:tr>
        <w:trPr>
          <w:trHeight w:val="158"/>
        </w:trPr>
        <w:tc>
          <w:tcPr>
            <w:tcW w:w="6620" w:type="dxa"/>
            <w:vAlign w:val="bottom"/>
            <w:shd w:val="clear" w:color="auto" w:fill="D0EBF2"/>
          </w:tcPr>
          <w:p>
            <w:pPr>
              <w:spacing w:after="0" w:line="159" w:lineRule="exact"/>
              <w:rPr>
                <w:sz w:val="20"/>
                <w:szCs w:val="20"/>
                <w:color w:val="auto"/>
              </w:rPr>
            </w:pPr>
            <w:r>
              <w:rPr>
                <w:rFonts w:ascii="Times New Roman" w:cs="Times New Roman" w:eastAsia="Times New Roman" w:hAnsi="Times New Roman"/>
                <w:sz w:val="15"/>
                <w:szCs w:val="15"/>
                <w:color w:val="231F20"/>
              </w:rPr>
              <w:t>Common stock, $0.01 par value; 400,000,000 shares authorized, 94,325,686</w:t>
            </w:r>
          </w:p>
        </w:tc>
        <w:tc>
          <w:tcPr>
            <w:tcW w:w="200" w:type="dxa"/>
            <w:vAlign w:val="bottom"/>
            <w:shd w:val="clear" w:color="auto" w:fill="D0EBF2"/>
          </w:tcPr>
          <w:p>
            <w:pPr>
              <w:spacing w:after="0"/>
              <w:rPr>
                <w:sz w:val="13"/>
                <w:szCs w:val="13"/>
                <w:color w:val="auto"/>
              </w:rPr>
            </w:pPr>
          </w:p>
        </w:tc>
        <w:tc>
          <w:tcPr>
            <w:tcW w:w="1400" w:type="dxa"/>
            <w:vAlign w:val="bottom"/>
            <w:shd w:val="clear" w:color="auto" w:fill="D0EBF2"/>
          </w:tcPr>
          <w:p>
            <w:pPr>
              <w:spacing w:after="0"/>
              <w:rPr>
                <w:sz w:val="13"/>
                <w:szCs w:val="13"/>
                <w:color w:val="auto"/>
              </w:rPr>
            </w:pPr>
          </w:p>
        </w:tc>
        <w:tc>
          <w:tcPr>
            <w:tcW w:w="160" w:type="dxa"/>
            <w:vAlign w:val="bottom"/>
            <w:shd w:val="clear" w:color="auto" w:fill="D0EBF2"/>
          </w:tcPr>
          <w:p>
            <w:pPr>
              <w:spacing w:after="0"/>
              <w:rPr>
                <w:sz w:val="13"/>
                <w:szCs w:val="13"/>
                <w:color w:val="auto"/>
              </w:rPr>
            </w:pPr>
          </w:p>
        </w:tc>
        <w:tc>
          <w:tcPr>
            <w:tcW w:w="100" w:type="dxa"/>
            <w:vAlign w:val="bottom"/>
            <w:shd w:val="clear" w:color="auto" w:fill="D0EBF2"/>
          </w:tcPr>
          <w:p>
            <w:pPr>
              <w:spacing w:after="0"/>
              <w:rPr>
                <w:sz w:val="13"/>
                <w:szCs w:val="13"/>
                <w:color w:val="auto"/>
              </w:rPr>
            </w:pPr>
          </w:p>
        </w:tc>
        <w:tc>
          <w:tcPr>
            <w:tcW w:w="220" w:type="dxa"/>
            <w:vAlign w:val="bottom"/>
            <w:shd w:val="clear" w:color="auto" w:fill="D0EBF2"/>
          </w:tcPr>
          <w:p>
            <w:pPr>
              <w:spacing w:after="0"/>
              <w:rPr>
                <w:sz w:val="13"/>
                <w:szCs w:val="13"/>
                <w:color w:val="auto"/>
              </w:rPr>
            </w:pPr>
          </w:p>
        </w:tc>
        <w:tc>
          <w:tcPr>
            <w:tcW w:w="1400" w:type="dxa"/>
            <w:vAlign w:val="bottom"/>
            <w:shd w:val="clear" w:color="auto" w:fill="D0EBF2"/>
          </w:tcPr>
          <w:p>
            <w:pPr>
              <w:spacing w:after="0"/>
              <w:rPr>
                <w:sz w:val="13"/>
                <w:szCs w:val="13"/>
                <w:color w:val="auto"/>
              </w:rPr>
            </w:pPr>
          </w:p>
        </w:tc>
        <w:tc>
          <w:tcPr>
            <w:tcW w:w="100" w:type="dxa"/>
            <w:vAlign w:val="bottom"/>
            <w:shd w:val="clear" w:color="auto" w:fill="D0EBF2"/>
          </w:tcPr>
          <w:p>
            <w:pPr>
              <w:spacing w:after="0"/>
              <w:rPr>
                <w:sz w:val="13"/>
                <w:szCs w:val="13"/>
                <w:color w:val="auto"/>
              </w:rPr>
            </w:pPr>
          </w:p>
        </w:tc>
        <w:tc>
          <w:tcPr>
            <w:tcW w:w="0" w:type="dxa"/>
            <w:vAlign w:val="bottom"/>
          </w:tcPr>
          <w:p>
            <w:pPr>
              <w:spacing w:after="0"/>
              <w:rPr>
                <w:sz w:val="1"/>
                <w:szCs w:val="1"/>
                <w:color w:val="auto"/>
              </w:rPr>
            </w:pPr>
          </w:p>
        </w:tc>
      </w:tr>
      <w:tr>
        <w:trPr>
          <w:trHeight w:val="174"/>
        </w:trPr>
        <w:tc>
          <w:tcPr>
            <w:tcW w:w="6620" w:type="dxa"/>
            <w:vAlign w:val="bottom"/>
            <w:shd w:val="clear" w:color="auto" w:fill="D0EBF2"/>
          </w:tcPr>
          <w:p>
            <w:pPr>
              <w:ind w:left="120"/>
              <w:spacing w:after="0"/>
              <w:rPr>
                <w:sz w:val="20"/>
                <w:szCs w:val="20"/>
                <w:color w:val="auto"/>
              </w:rPr>
            </w:pPr>
            <w:r>
              <w:rPr>
                <w:rFonts w:ascii="Times New Roman" w:cs="Times New Roman" w:eastAsia="Times New Roman" w:hAnsi="Times New Roman"/>
                <w:sz w:val="15"/>
                <w:szCs w:val="15"/>
                <w:color w:val="231F20"/>
              </w:rPr>
              <w:t>and 88,493,749 shares issued, respectively; and 93,661,436 and 87,829,499</w:t>
            </w:r>
          </w:p>
        </w:tc>
        <w:tc>
          <w:tcPr>
            <w:tcW w:w="200" w:type="dxa"/>
            <w:vAlign w:val="bottom"/>
            <w:shd w:val="clear" w:color="auto" w:fill="D0EBF2"/>
          </w:tcPr>
          <w:p>
            <w:pPr>
              <w:spacing w:after="0"/>
              <w:rPr>
                <w:sz w:val="15"/>
                <w:szCs w:val="15"/>
                <w:color w:val="auto"/>
              </w:rPr>
            </w:pPr>
          </w:p>
        </w:tc>
        <w:tc>
          <w:tcPr>
            <w:tcW w:w="1400" w:type="dxa"/>
            <w:vAlign w:val="bottom"/>
            <w:vMerge w:val="restart"/>
            <w:shd w:val="clear" w:color="auto" w:fill="D0EBF2"/>
          </w:tcPr>
          <w:p>
            <w:pPr>
              <w:jc w:val="right"/>
              <w:spacing w:after="0"/>
              <w:rPr>
                <w:sz w:val="20"/>
                <w:szCs w:val="20"/>
                <w:color w:val="auto"/>
              </w:rPr>
            </w:pPr>
            <w:r>
              <w:rPr>
                <w:rFonts w:ascii="Times New Roman" w:cs="Times New Roman" w:eastAsia="Times New Roman" w:hAnsi="Times New Roman"/>
                <w:sz w:val="15"/>
                <w:szCs w:val="15"/>
                <w:color w:val="231F20"/>
              </w:rPr>
              <w:t>943</w:t>
            </w:r>
          </w:p>
        </w:tc>
        <w:tc>
          <w:tcPr>
            <w:tcW w:w="160" w:type="dxa"/>
            <w:vAlign w:val="bottom"/>
            <w:shd w:val="clear" w:color="auto" w:fill="D0EBF2"/>
          </w:tcPr>
          <w:p>
            <w:pPr>
              <w:spacing w:after="0"/>
              <w:rPr>
                <w:sz w:val="15"/>
                <w:szCs w:val="15"/>
                <w:color w:val="auto"/>
              </w:rPr>
            </w:pPr>
          </w:p>
        </w:tc>
        <w:tc>
          <w:tcPr>
            <w:tcW w:w="100" w:type="dxa"/>
            <w:vAlign w:val="bottom"/>
            <w:shd w:val="clear" w:color="auto" w:fill="D0EBF2"/>
          </w:tcPr>
          <w:p>
            <w:pPr>
              <w:spacing w:after="0"/>
              <w:rPr>
                <w:sz w:val="15"/>
                <w:szCs w:val="15"/>
                <w:color w:val="auto"/>
              </w:rPr>
            </w:pPr>
          </w:p>
        </w:tc>
        <w:tc>
          <w:tcPr>
            <w:tcW w:w="220" w:type="dxa"/>
            <w:vAlign w:val="bottom"/>
            <w:shd w:val="clear" w:color="auto" w:fill="D0EBF2"/>
          </w:tcPr>
          <w:p>
            <w:pPr>
              <w:spacing w:after="0"/>
              <w:rPr>
                <w:sz w:val="15"/>
                <w:szCs w:val="15"/>
                <w:color w:val="auto"/>
              </w:rPr>
            </w:pPr>
          </w:p>
        </w:tc>
        <w:tc>
          <w:tcPr>
            <w:tcW w:w="1400" w:type="dxa"/>
            <w:vAlign w:val="bottom"/>
            <w:vMerge w:val="restart"/>
            <w:shd w:val="clear" w:color="auto" w:fill="D0EBF2"/>
          </w:tcPr>
          <w:p>
            <w:pPr>
              <w:jc w:val="right"/>
              <w:spacing w:after="0"/>
              <w:rPr>
                <w:sz w:val="20"/>
                <w:szCs w:val="20"/>
                <w:color w:val="auto"/>
              </w:rPr>
            </w:pPr>
            <w:r>
              <w:rPr>
                <w:rFonts w:ascii="Times New Roman" w:cs="Times New Roman" w:eastAsia="Times New Roman" w:hAnsi="Times New Roman"/>
                <w:sz w:val="15"/>
                <w:szCs w:val="15"/>
                <w:color w:val="231F20"/>
              </w:rPr>
              <w:t>885</w:t>
            </w:r>
          </w:p>
        </w:tc>
        <w:tc>
          <w:tcPr>
            <w:tcW w:w="100" w:type="dxa"/>
            <w:vAlign w:val="bottom"/>
            <w:shd w:val="clear" w:color="auto" w:fill="D0EBF2"/>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6620" w:type="dxa"/>
            <w:vAlign w:val="bottom"/>
            <w:shd w:val="clear" w:color="auto" w:fill="D0EBF2"/>
          </w:tcPr>
          <w:p>
            <w:pPr>
              <w:ind w:left="120"/>
              <w:spacing w:after="0"/>
              <w:rPr>
                <w:sz w:val="20"/>
                <w:szCs w:val="20"/>
                <w:color w:val="auto"/>
              </w:rPr>
            </w:pPr>
            <w:r>
              <w:rPr>
                <w:rFonts w:ascii="Times New Roman" w:cs="Times New Roman" w:eastAsia="Times New Roman" w:hAnsi="Times New Roman"/>
                <w:sz w:val="15"/>
                <w:szCs w:val="15"/>
                <w:color w:val="231F20"/>
              </w:rPr>
              <w:t>shares outstanding, respectively</w:t>
            </w:r>
          </w:p>
        </w:tc>
        <w:tc>
          <w:tcPr>
            <w:tcW w:w="200" w:type="dxa"/>
            <w:vAlign w:val="bottom"/>
            <w:shd w:val="clear" w:color="auto" w:fill="D0EBF2"/>
          </w:tcPr>
          <w:p>
            <w:pPr>
              <w:spacing w:after="0"/>
              <w:rPr>
                <w:sz w:val="16"/>
                <w:szCs w:val="16"/>
                <w:color w:val="auto"/>
              </w:rPr>
            </w:pPr>
          </w:p>
        </w:tc>
        <w:tc>
          <w:tcPr>
            <w:tcW w:w="1400" w:type="dxa"/>
            <w:vAlign w:val="bottom"/>
            <w:vMerge w:val="continue"/>
            <w:shd w:val="clear" w:color="auto" w:fill="D0EBF2"/>
          </w:tcPr>
          <w:p>
            <w:pPr>
              <w:spacing w:after="0"/>
              <w:rPr>
                <w:sz w:val="16"/>
                <w:szCs w:val="16"/>
                <w:color w:val="auto"/>
              </w:rPr>
            </w:pPr>
          </w:p>
        </w:tc>
        <w:tc>
          <w:tcPr>
            <w:tcW w:w="160" w:type="dxa"/>
            <w:vAlign w:val="bottom"/>
            <w:shd w:val="clear" w:color="auto" w:fill="D0EBF2"/>
          </w:tcPr>
          <w:p>
            <w:pPr>
              <w:spacing w:after="0"/>
              <w:rPr>
                <w:sz w:val="16"/>
                <w:szCs w:val="16"/>
                <w:color w:val="auto"/>
              </w:rPr>
            </w:pPr>
          </w:p>
        </w:tc>
        <w:tc>
          <w:tcPr>
            <w:tcW w:w="100" w:type="dxa"/>
            <w:vAlign w:val="bottom"/>
            <w:shd w:val="clear" w:color="auto" w:fill="D0EBF2"/>
          </w:tcPr>
          <w:p>
            <w:pPr>
              <w:spacing w:after="0"/>
              <w:rPr>
                <w:sz w:val="16"/>
                <w:szCs w:val="16"/>
                <w:color w:val="auto"/>
              </w:rPr>
            </w:pPr>
          </w:p>
        </w:tc>
        <w:tc>
          <w:tcPr>
            <w:tcW w:w="220" w:type="dxa"/>
            <w:vAlign w:val="bottom"/>
            <w:shd w:val="clear" w:color="auto" w:fill="D0EBF2"/>
          </w:tcPr>
          <w:p>
            <w:pPr>
              <w:spacing w:after="0"/>
              <w:rPr>
                <w:sz w:val="16"/>
                <w:szCs w:val="16"/>
                <w:color w:val="auto"/>
              </w:rPr>
            </w:pPr>
          </w:p>
        </w:tc>
        <w:tc>
          <w:tcPr>
            <w:tcW w:w="1400" w:type="dxa"/>
            <w:vAlign w:val="bottom"/>
            <w:vMerge w:val="continue"/>
            <w:shd w:val="clear" w:color="auto" w:fill="D0EBF2"/>
          </w:tcPr>
          <w:p>
            <w:pPr>
              <w:spacing w:after="0"/>
              <w:rPr>
                <w:sz w:val="16"/>
                <w:szCs w:val="16"/>
                <w:color w:val="auto"/>
              </w:rPr>
            </w:pPr>
          </w:p>
        </w:tc>
        <w:tc>
          <w:tcPr>
            <w:tcW w:w="100" w:type="dxa"/>
            <w:vAlign w:val="bottom"/>
            <w:shd w:val="clear" w:color="auto" w:fill="D0EBF2"/>
          </w:tcPr>
          <w:p>
            <w:pPr>
              <w:spacing w:after="0"/>
              <w:rPr>
                <w:sz w:val="16"/>
                <w:szCs w:val="16"/>
                <w:color w:val="auto"/>
              </w:rPr>
            </w:pPr>
          </w:p>
        </w:tc>
        <w:tc>
          <w:tcPr>
            <w:tcW w:w="0" w:type="dxa"/>
            <w:vAlign w:val="bottom"/>
          </w:tcPr>
          <w:p>
            <w:pPr>
              <w:spacing w:after="0"/>
              <w:rPr>
                <w:sz w:val="1"/>
                <w:szCs w:val="1"/>
                <w:color w:val="auto"/>
              </w:rPr>
            </w:pPr>
          </w:p>
        </w:tc>
      </w:tr>
      <w:tr>
        <w:trPr>
          <w:trHeight w:val="174"/>
        </w:trPr>
        <w:tc>
          <w:tcPr>
            <w:tcW w:w="6620" w:type="dxa"/>
            <w:vAlign w:val="bottom"/>
            <w:shd w:val="clear" w:color="auto" w:fill="FDFDFC"/>
          </w:tcPr>
          <w:p>
            <w:pPr>
              <w:spacing w:after="0"/>
              <w:rPr>
                <w:sz w:val="20"/>
                <w:szCs w:val="20"/>
                <w:color w:val="auto"/>
              </w:rPr>
            </w:pPr>
            <w:r>
              <w:rPr>
                <w:rFonts w:ascii="Times New Roman" w:cs="Times New Roman" w:eastAsia="Times New Roman" w:hAnsi="Times New Roman"/>
                <w:sz w:val="15"/>
                <w:szCs w:val="15"/>
                <w:color w:val="231F20"/>
              </w:rPr>
              <w:t>Additional paid-in capital</w:t>
            </w:r>
          </w:p>
        </w:tc>
        <w:tc>
          <w:tcPr>
            <w:tcW w:w="200" w:type="dxa"/>
            <w:vAlign w:val="bottom"/>
            <w:shd w:val="clear" w:color="auto" w:fill="FDFDFC"/>
          </w:tcPr>
          <w:p>
            <w:pPr>
              <w:spacing w:after="0"/>
              <w:rPr>
                <w:sz w:val="15"/>
                <w:szCs w:val="15"/>
                <w:color w:val="auto"/>
              </w:rPr>
            </w:pPr>
          </w:p>
        </w:tc>
        <w:tc>
          <w:tcPr>
            <w:tcW w:w="1400" w:type="dxa"/>
            <w:vAlign w:val="bottom"/>
            <w:shd w:val="clear" w:color="auto" w:fill="FDFDFC"/>
          </w:tcPr>
          <w:p>
            <w:pPr>
              <w:jc w:val="right"/>
              <w:spacing w:after="0"/>
              <w:rPr>
                <w:sz w:val="20"/>
                <w:szCs w:val="20"/>
                <w:color w:val="auto"/>
              </w:rPr>
            </w:pPr>
            <w:r>
              <w:rPr>
                <w:rFonts w:ascii="Times New Roman" w:cs="Times New Roman" w:eastAsia="Times New Roman" w:hAnsi="Times New Roman"/>
                <w:sz w:val="15"/>
                <w:szCs w:val="15"/>
                <w:color w:val="231F20"/>
              </w:rPr>
              <w:t>1,519,337</w:t>
            </w:r>
          </w:p>
        </w:tc>
        <w:tc>
          <w:tcPr>
            <w:tcW w:w="160" w:type="dxa"/>
            <w:vAlign w:val="bottom"/>
            <w:shd w:val="clear" w:color="auto" w:fill="FDFDFC"/>
          </w:tcPr>
          <w:p>
            <w:pPr>
              <w:spacing w:after="0"/>
              <w:rPr>
                <w:sz w:val="15"/>
                <w:szCs w:val="15"/>
                <w:color w:val="auto"/>
              </w:rPr>
            </w:pPr>
          </w:p>
        </w:tc>
        <w:tc>
          <w:tcPr>
            <w:tcW w:w="100" w:type="dxa"/>
            <w:vAlign w:val="bottom"/>
            <w:shd w:val="clear" w:color="auto" w:fill="FDFDFC"/>
          </w:tcPr>
          <w:p>
            <w:pPr>
              <w:spacing w:after="0"/>
              <w:rPr>
                <w:sz w:val="15"/>
                <w:szCs w:val="15"/>
                <w:color w:val="auto"/>
              </w:rPr>
            </w:pPr>
          </w:p>
        </w:tc>
        <w:tc>
          <w:tcPr>
            <w:tcW w:w="220" w:type="dxa"/>
            <w:vAlign w:val="bottom"/>
            <w:shd w:val="clear" w:color="auto" w:fill="FDFDFC"/>
          </w:tcPr>
          <w:p>
            <w:pPr>
              <w:spacing w:after="0"/>
              <w:rPr>
                <w:sz w:val="15"/>
                <w:szCs w:val="15"/>
                <w:color w:val="auto"/>
              </w:rPr>
            </w:pPr>
          </w:p>
        </w:tc>
        <w:tc>
          <w:tcPr>
            <w:tcW w:w="1400" w:type="dxa"/>
            <w:vAlign w:val="bottom"/>
            <w:shd w:val="clear" w:color="auto" w:fill="FDFDFC"/>
          </w:tcPr>
          <w:p>
            <w:pPr>
              <w:jc w:val="right"/>
              <w:spacing w:after="0"/>
              <w:rPr>
                <w:sz w:val="20"/>
                <w:szCs w:val="20"/>
                <w:color w:val="auto"/>
              </w:rPr>
            </w:pPr>
            <w:r>
              <w:rPr>
                <w:rFonts w:ascii="Times New Roman" w:cs="Times New Roman" w:eastAsia="Times New Roman" w:hAnsi="Times New Roman"/>
                <w:sz w:val="15"/>
                <w:szCs w:val="15"/>
                <w:color w:val="231F20"/>
              </w:rPr>
              <w:t>1,405,173</w:t>
            </w:r>
          </w:p>
        </w:tc>
        <w:tc>
          <w:tcPr>
            <w:tcW w:w="100" w:type="dxa"/>
            <w:vAlign w:val="bottom"/>
            <w:shd w:val="clear" w:color="auto" w:fill="FDFDFC"/>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6620" w:type="dxa"/>
            <w:vAlign w:val="bottom"/>
            <w:shd w:val="clear" w:color="auto" w:fill="D0EBF2"/>
          </w:tcPr>
          <w:p>
            <w:pPr>
              <w:spacing w:after="0"/>
              <w:rPr>
                <w:sz w:val="20"/>
                <w:szCs w:val="20"/>
                <w:color w:val="auto"/>
              </w:rPr>
            </w:pPr>
            <w:r>
              <w:rPr>
                <w:rFonts w:ascii="Times New Roman" w:cs="Times New Roman" w:eastAsia="Times New Roman" w:hAnsi="Times New Roman"/>
                <w:sz w:val="15"/>
                <w:szCs w:val="15"/>
                <w:color w:val="231F20"/>
              </w:rPr>
              <w:t>Treasury stock at cost; 664,250 and 664,250 shares held, respectively</w:t>
            </w:r>
          </w:p>
        </w:tc>
        <w:tc>
          <w:tcPr>
            <w:tcW w:w="200" w:type="dxa"/>
            <w:vAlign w:val="bottom"/>
            <w:shd w:val="clear" w:color="auto" w:fill="D0EBF2"/>
          </w:tcPr>
          <w:p>
            <w:pPr>
              <w:spacing w:after="0"/>
              <w:rPr>
                <w:sz w:val="15"/>
                <w:szCs w:val="15"/>
                <w:color w:val="auto"/>
              </w:rPr>
            </w:pPr>
          </w:p>
        </w:tc>
        <w:tc>
          <w:tcPr>
            <w:tcW w:w="1560" w:type="dxa"/>
            <w:vAlign w:val="bottom"/>
            <w:gridSpan w:val="2"/>
            <w:shd w:val="clear" w:color="auto" w:fill="D0EBF2"/>
          </w:tcPr>
          <w:p>
            <w:pPr>
              <w:jc w:val="right"/>
              <w:ind w:right="120"/>
              <w:spacing w:after="0"/>
              <w:rPr>
                <w:sz w:val="20"/>
                <w:szCs w:val="20"/>
                <w:color w:val="auto"/>
              </w:rPr>
            </w:pPr>
            <w:r>
              <w:rPr>
                <w:rFonts w:ascii="Times New Roman" w:cs="Times New Roman" w:eastAsia="Times New Roman" w:hAnsi="Times New Roman"/>
                <w:sz w:val="15"/>
                <w:szCs w:val="15"/>
                <w:color w:val="231F20"/>
              </w:rPr>
              <w:t>(10,459)</w:t>
            </w:r>
          </w:p>
        </w:tc>
        <w:tc>
          <w:tcPr>
            <w:tcW w:w="100" w:type="dxa"/>
            <w:vAlign w:val="bottom"/>
            <w:shd w:val="clear" w:color="auto" w:fill="D0EBF2"/>
          </w:tcPr>
          <w:p>
            <w:pPr>
              <w:spacing w:after="0"/>
              <w:rPr>
                <w:sz w:val="15"/>
                <w:szCs w:val="15"/>
                <w:color w:val="auto"/>
              </w:rPr>
            </w:pPr>
          </w:p>
        </w:tc>
        <w:tc>
          <w:tcPr>
            <w:tcW w:w="220" w:type="dxa"/>
            <w:vAlign w:val="bottom"/>
            <w:shd w:val="clear" w:color="auto" w:fill="D0EBF2"/>
          </w:tcPr>
          <w:p>
            <w:pPr>
              <w:spacing w:after="0"/>
              <w:rPr>
                <w:sz w:val="15"/>
                <w:szCs w:val="15"/>
                <w:color w:val="auto"/>
              </w:rPr>
            </w:pPr>
          </w:p>
        </w:tc>
        <w:tc>
          <w:tcPr>
            <w:tcW w:w="1500" w:type="dxa"/>
            <w:vAlign w:val="bottom"/>
            <w:gridSpan w:val="2"/>
            <w:shd w:val="clear" w:color="auto" w:fill="D0EBF2"/>
          </w:tcPr>
          <w:p>
            <w:pPr>
              <w:jc w:val="right"/>
              <w:ind w:right="60"/>
              <w:spacing w:after="0"/>
              <w:rPr>
                <w:sz w:val="20"/>
                <w:szCs w:val="20"/>
                <w:color w:val="auto"/>
              </w:rPr>
            </w:pPr>
            <w:r>
              <w:rPr>
                <w:rFonts w:ascii="Times New Roman" w:cs="Times New Roman" w:eastAsia="Times New Roman" w:hAnsi="Times New Roman"/>
                <w:sz w:val="15"/>
                <w:szCs w:val="15"/>
                <w:color w:val="231F20"/>
              </w:rPr>
              <w:t>(10,459)</w:t>
            </w:r>
          </w:p>
        </w:tc>
        <w:tc>
          <w:tcPr>
            <w:tcW w:w="0" w:type="dxa"/>
            <w:vAlign w:val="bottom"/>
          </w:tcPr>
          <w:p>
            <w:pPr>
              <w:spacing w:after="0"/>
              <w:rPr>
                <w:sz w:val="1"/>
                <w:szCs w:val="1"/>
                <w:color w:val="auto"/>
              </w:rPr>
            </w:pPr>
          </w:p>
        </w:tc>
      </w:tr>
      <w:tr>
        <w:trPr>
          <w:trHeight w:val="174"/>
        </w:trPr>
        <w:tc>
          <w:tcPr>
            <w:tcW w:w="6620" w:type="dxa"/>
            <w:vAlign w:val="bottom"/>
            <w:tcBorders>
              <w:bottom w:val="single" w:sz="8" w:color="D0EBF2"/>
            </w:tcBorders>
            <w:shd w:val="clear" w:color="auto" w:fill="FDFDFC"/>
          </w:tcPr>
          <w:p>
            <w:pPr>
              <w:spacing w:after="0"/>
              <w:rPr>
                <w:sz w:val="20"/>
                <w:szCs w:val="20"/>
                <w:color w:val="auto"/>
              </w:rPr>
            </w:pPr>
            <w:r>
              <w:rPr>
                <w:rFonts w:ascii="Times New Roman" w:cs="Times New Roman" w:eastAsia="Times New Roman" w:hAnsi="Times New Roman"/>
                <w:sz w:val="15"/>
                <w:szCs w:val="15"/>
                <w:color w:val="231F20"/>
              </w:rPr>
              <w:t>Distributable earnings</w:t>
            </w:r>
          </w:p>
        </w:tc>
        <w:tc>
          <w:tcPr>
            <w:tcW w:w="200" w:type="dxa"/>
            <w:vAlign w:val="bottom"/>
            <w:tcBorders>
              <w:bottom w:val="single" w:sz="8" w:color="231F20"/>
            </w:tcBorders>
            <w:shd w:val="clear" w:color="auto" w:fill="FDFDFC"/>
          </w:tcPr>
          <w:p>
            <w:pPr>
              <w:spacing w:after="0"/>
              <w:rPr>
                <w:sz w:val="15"/>
                <w:szCs w:val="15"/>
                <w:color w:val="auto"/>
              </w:rPr>
            </w:pPr>
          </w:p>
        </w:tc>
        <w:tc>
          <w:tcPr>
            <w:tcW w:w="1400" w:type="dxa"/>
            <w:vAlign w:val="bottom"/>
            <w:tcBorders>
              <w:bottom w:val="single" w:sz="8" w:color="231F20"/>
            </w:tcBorders>
            <w:shd w:val="clear" w:color="auto" w:fill="FDFDFC"/>
          </w:tcPr>
          <w:p>
            <w:pPr>
              <w:jc w:val="right"/>
              <w:spacing w:after="0"/>
              <w:rPr>
                <w:sz w:val="20"/>
                <w:szCs w:val="20"/>
                <w:color w:val="auto"/>
              </w:rPr>
            </w:pPr>
            <w:r>
              <w:rPr>
                <w:rFonts w:ascii="Times New Roman" w:cs="Times New Roman" w:eastAsia="Times New Roman" w:hAnsi="Times New Roman"/>
                <w:sz w:val="15"/>
                <w:szCs w:val="15"/>
                <w:color w:val="231F20"/>
              </w:rPr>
              <w:t>97,708</w:t>
            </w:r>
          </w:p>
        </w:tc>
        <w:tc>
          <w:tcPr>
            <w:tcW w:w="160" w:type="dxa"/>
            <w:vAlign w:val="bottom"/>
            <w:tcBorders>
              <w:bottom w:val="single" w:sz="8" w:color="D0EBF2"/>
            </w:tcBorders>
            <w:shd w:val="clear" w:color="auto" w:fill="FDFDFC"/>
          </w:tcPr>
          <w:p>
            <w:pPr>
              <w:spacing w:after="0"/>
              <w:rPr>
                <w:sz w:val="15"/>
                <w:szCs w:val="15"/>
                <w:color w:val="auto"/>
              </w:rPr>
            </w:pPr>
          </w:p>
        </w:tc>
        <w:tc>
          <w:tcPr>
            <w:tcW w:w="100" w:type="dxa"/>
            <w:vAlign w:val="bottom"/>
            <w:tcBorders>
              <w:bottom w:val="single" w:sz="8" w:color="D0EBF2"/>
            </w:tcBorders>
            <w:shd w:val="clear" w:color="auto" w:fill="FDFDFC"/>
          </w:tcPr>
          <w:p>
            <w:pPr>
              <w:spacing w:after="0"/>
              <w:rPr>
                <w:sz w:val="15"/>
                <w:szCs w:val="15"/>
                <w:color w:val="auto"/>
              </w:rPr>
            </w:pPr>
          </w:p>
        </w:tc>
        <w:tc>
          <w:tcPr>
            <w:tcW w:w="220" w:type="dxa"/>
            <w:vAlign w:val="bottom"/>
            <w:tcBorders>
              <w:bottom w:val="single" w:sz="8" w:color="231F20"/>
            </w:tcBorders>
            <w:shd w:val="clear" w:color="auto" w:fill="FDFDFC"/>
          </w:tcPr>
          <w:p>
            <w:pPr>
              <w:spacing w:after="0"/>
              <w:rPr>
                <w:sz w:val="15"/>
                <w:szCs w:val="15"/>
                <w:color w:val="auto"/>
              </w:rPr>
            </w:pPr>
          </w:p>
        </w:tc>
        <w:tc>
          <w:tcPr>
            <w:tcW w:w="1400" w:type="dxa"/>
            <w:vAlign w:val="bottom"/>
            <w:tcBorders>
              <w:bottom w:val="single" w:sz="8" w:color="231F20"/>
            </w:tcBorders>
            <w:shd w:val="clear" w:color="auto" w:fill="FDFDFC"/>
          </w:tcPr>
          <w:p>
            <w:pPr>
              <w:jc w:val="right"/>
              <w:spacing w:after="0"/>
              <w:rPr>
                <w:sz w:val="20"/>
                <w:szCs w:val="20"/>
                <w:color w:val="auto"/>
              </w:rPr>
            </w:pPr>
            <w:r>
              <w:rPr>
                <w:rFonts w:ascii="Times New Roman" w:cs="Times New Roman" w:eastAsia="Times New Roman" w:hAnsi="Times New Roman"/>
                <w:sz w:val="15"/>
                <w:szCs w:val="15"/>
                <w:color w:val="231F20"/>
              </w:rPr>
              <w:t>100,776</w:t>
            </w:r>
          </w:p>
        </w:tc>
        <w:tc>
          <w:tcPr>
            <w:tcW w:w="100" w:type="dxa"/>
            <w:vAlign w:val="bottom"/>
            <w:tcBorders>
              <w:bottom w:val="single" w:sz="8" w:color="D0EBF2"/>
            </w:tcBorders>
            <w:shd w:val="clear" w:color="auto" w:fill="FDFDFC"/>
          </w:tcPr>
          <w:p>
            <w:pPr>
              <w:spacing w:after="0"/>
              <w:rPr>
                <w:sz w:val="15"/>
                <w:szCs w:val="15"/>
                <w:color w:val="auto"/>
              </w:rPr>
            </w:pPr>
          </w:p>
        </w:tc>
        <w:tc>
          <w:tcPr>
            <w:tcW w:w="0" w:type="dxa"/>
            <w:vAlign w:val="bottom"/>
          </w:tcPr>
          <w:p>
            <w:pPr>
              <w:spacing w:after="0"/>
              <w:rPr>
                <w:sz w:val="1"/>
                <w:szCs w:val="1"/>
                <w:color w:val="auto"/>
              </w:rPr>
            </w:pPr>
          </w:p>
        </w:tc>
      </w:tr>
      <w:tr>
        <w:trPr>
          <w:trHeight w:val="163"/>
        </w:trPr>
        <w:tc>
          <w:tcPr>
            <w:tcW w:w="6620" w:type="dxa"/>
            <w:vAlign w:val="bottom"/>
            <w:tcBorders>
              <w:bottom w:val="single" w:sz="8" w:color="FDFDFC"/>
            </w:tcBorders>
            <w:shd w:val="clear" w:color="auto" w:fill="D0EBF2"/>
          </w:tcPr>
          <w:p>
            <w:pPr>
              <w:ind w:left="380"/>
              <w:spacing w:after="0" w:line="164" w:lineRule="exact"/>
              <w:rPr>
                <w:sz w:val="20"/>
                <w:szCs w:val="20"/>
                <w:color w:val="auto"/>
              </w:rPr>
            </w:pPr>
            <w:r>
              <w:rPr>
                <w:rFonts w:ascii="Times New Roman" w:cs="Times New Roman" w:eastAsia="Times New Roman" w:hAnsi="Times New Roman"/>
                <w:sz w:val="15"/>
                <w:szCs w:val="15"/>
                <w:b w:val="1"/>
                <w:bCs w:val="1"/>
                <w:color w:val="231F20"/>
              </w:rPr>
              <w:t>Total Net Assets</w:t>
            </w:r>
          </w:p>
        </w:tc>
        <w:tc>
          <w:tcPr>
            <w:tcW w:w="200" w:type="dxa"/>
            <w:vAlign w:val="bottom"/>
            <w:tcBorders>
              <w:bottom w:val="single" w:sz="8" w:color="231F20"/>
            </w:tcBorders>
            <w:shd w:val="clear" w:color="auto" w:fill="D0EBF2"/>
          </w:tcPr>
          <w:p>
            <w:pPr>
              <w:spacing w:after="0"/>
              <w:rPr>
                <w:sz w:val="14"/>
                <w:szCs w:val="14"/>
                <w:color w:val="auto"/>
              </w:rPr>
            </w:pPr>
          </w:p>
        </w:tc>
        <w:tc>
          <w:tcPr>
            <w:tcW w:w="1400" w:type="dxa"/>
            <w:vAlign w:val="bottom"/>
            <w:tcBorders>
              <w:bottom w:val="single" w:sz="8" w:color="231F20"/>
            </w:tcBorders>
            <w:shd w:val="clear" w:color="auto" w:fill="D0EBF2"/>
          </w:tcPr>
          <w:p>
            <w:pPr>
              <w:jc w:val="right"/>
              <w:spacing w:after="0" w:line="164" w:lineRule="exact"/>
              <w:rPr>
                <w:sz w:val="20"/>
                <w:szCs w:val="20"/>
                <w:color w:val="auto"/>
              </w:rPr>
            </w:pPr>
            <w:r>
              <w:rPr>
                <w:rFonts w:ascii="Times New Roman" w:cs="Times New Roman" w:eastAsia="Times New Roman" w:hAnsi="Times New Roman"/>
                <w:sz w:val="15"/>
                <w:szCs w:val="15"/>
                <w:color w:val="231F20"/>
              </w:rPr>
              <w:t>1,607,529</w:t>
            </w:r>
          </w:p>
        </w:tc>
        <w:tc>
          <w:tcPr>
            <w:tcW w:w="160" w:type="dxa"/>
            <w:vAlign w:val="bottom"/>
            <w:tcBorders>
              <w:bottom w:val="single" w:sz="8" w:color="FDFDFC"/>
            </w:tcBorders>
            <w:shd w:val="clear" w:color="auto" w:fill="D0EBF2"/>
          </w:tcPr>
          <w:p>
            <w:pPr>
              <w:spacing w:after="0"/>
              <w:rPr>
                <w:sz w:val="14"/>
                <w:szCs w:val="14"/>
                <w:color w:val="auto"/>
              </w:rPr>
            </w:pPr>
          </w:p>
        </w:tc>
        <w:tc>
          <w:tcPr>
            <w:tcW w:w="100" w:type="dxa"/>
            <w:vAlign w:val="bottom"/>
            <w:tcBorders>
              <w:bottom w:val="single" w:sz="8" w:color="FDFDFC"/>
            </w:tcBorders>
            <w:shd w:val="clear" w:color="auto" w:fill="D0EBF2"/>
          </w:tcPr>
          <w:p>
            <w:pPr>
              <w:spacing w:after="0"/>
              <w:rPr>
                <w:sz w:val="14"/>
                <w:szCs w:val="14"/>
                <w:color w:val="auto"/>
              </w:rPr>
            </w:pPr>
          </w:p>
        </w:tc>
        <w:tc>
          <w:tcPr>
            <w:tcW w:w="220" w:type="dxa"/>
            <w:vAlign w:val="bottom"/>
            <w:tcBorders>
              <w:bottom w:val="single" w:sz="8" w:color="231F20"/>
            </w:tcBorders>
            <w:shd w:val="clear" w:color="auto" w:fill="D0EBF2"/>
          </w:tcPr>
          <w:p>
            <w:pPr>
              <w:spacing w:after="0"/>
              <w:rPr>
                <w:sz w:val="14"/>
                <w:szCs w:val="14"/>
                <w:color w:val="auto"/>
              </w:rPr>
            </w:pPr>
          </w:p>
        </w:tc>
        <w:tc>
          <w:tcPr>
            <w:tcW w:w="1400" w:type="dxa"/>
            <w:vAlign w:val="bottom"/>
            <w:tcBorders>
              <w:bottom w:val="single" w:sz="8" w:color="231F20"/>
            </w:tcBorders>
            <w:shd w:val="clear" w:color="auto" w:fill="D0EBF2"/>
          </w:tcPr>
          <w:p>
            <w:pPr>
              <w:jc w:val="right"/>
              <w:spacing w:after="0" w:line="164" w:lineRule="exact"/>
              <w:rPr>
                <w:sz w:val="20"/>
                <w:szCs w:val="20"/>
                <w:color w:val="auto"/>
              </w:rPr>
            </w:pPr>
            <w:r>
              <w:rPr>
                <w:rFonts w:ascii="Times New Roman" w:cs="Times New Roman" w:eastAsia="Times New Roman" w:hAnsi="Times New Roman"/>
                <w:sz w:val="15"/>
                <w:szCs w:val="15"/>
                <w:color w:val="231F20"/>
              </w:rPr>
              <w:t>1,496,375</w:t>
            </w:r>
          </w:p>
        </w:tc>
        <w:tc>
          <w:tcPr>
            <w:tcW w:w="100" w:type="dxa"/>
            <w:vAlign w:val="bottom"/>
            <w:tcBorders>
              <w:bottom w:val="single" w:sz="8" w:color="FDFDFC"/>
            </w:tcBorders>
            <w:shd w:val="clear" w:color="auto" w:fill="D0EBF2"/>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6620" w:type="dxa"/>
            <w:vAlign w:val="bottom"/>
            <w:tcBorders>
              <w:bottom w:val="single" w:sz="8" w:color="D0EBF2"/>
            </w:tcBorders>
            <w:shd w:val="clear" w:color="auto" w:fill="FDFDFC"/>
          </w:tcPr>
          <w:p>
            <w:pPr>
              <w:ind w:left="380"/>
              <w:spacing w:after="0" w:line="164" w:lineRule="exact"/>
              <w:rPr>
                <w:sz w:val="20"/>
                <w:szCs w:val="20"/>
                <w:color w:val="auto"/>
              </w:rPr>
            </w:pPr>
            <w:r>
              <w:rPr>
                <w:rFonts w:ascii="Times New Roman" w:cs="Times New Roman" w:eastAsia="Times New Roman" w:hAnsi="Times New Roman"/>
                <w:sz w:val="15"/>
                <w:szCs w:val="15"/>
                <w:b w:val="1"/>
                <w:bCs w:val="1"/>
                <w:color w:val="231F20"/>
              </w:rPr>
              <w:t>Total Liabilities and Net Assets</w:t>
            </w:r>
          </w:p>
        </w:tc>
        <w:tc>
          <w:tcPr>
            <w:tcW w:w="200" w:type="dxa"/>
            <w:vAlign w:val="bottom"/>
            <w:tcBorders>
              <w:bottom w:val="single" w:sz="8" w:color="231F20"/>
            </w:tcBorders>
            <w:shd w:val="clear" w:color="auto" w:fill="FDFDFC"/>
          </w:tcPr>
          <w:p>
            <w:pPr>
              <w:jc w:val="right"/>
              <w:ind w:right="86"/>
              <w:spacing w:after="0"/>
              <w:rPr>
                <w:sz w:val="20"/>
                <w:szCs w:val="20"/>
                <w:color w:val="auto"/>
              </w:rPr>
            </w:pPr>
            <w:r>
              <w:rPr>
                <w:rFonts w:ascii="Times New Roman" w:cs="Times New Roman" w:eastAsia="Times New Roman" w:hAnsi="Times New Roman"/>
                <w:sz w:val="11"/>
                <w:szCs w:val="11"/>
                <w:color w:val="231F20"/>
                <w:w w:val="71"/>
              </w:rPr>
              <w:t>$</w:t>
            </w:r>
          </w:p>
        </w:tc>
        <w:tc>
          <w:tcPr>
            <w:tcW w:w="1400" w:type="dxa"/>
            <w:vAlign w:val="bottom"/>
            <w:tcBorders>
              <w:bottom w:val="single" w:sz="8" w:color="231F20"/>
            </w:tcBorders>
            <w:shd w:val="clear" w:color="auto" w:fill="FDFDFC"/>
          </w:tcPr>
          <w:p>
            <w:pPr>
              <w:jc w:val="right"/>
              <w:spacing w:after="0" w:line="164" w:lineRule="exact"/>
              <w:rPr>
                <w:sz w:val="20"/>
                <w:szCs w:val="20"/>
                <w:color w:val="auto"/>
              </w:rPr>
            </w:pPr>
            <w:r>
              <w:rPr>
                <w:rFonts w:ascii="Times New Roman" w:cs="Times New Roman" w:eastAsia="Times New Roman" w:hAnsi="Times New Roman"/>
                <w:sz w:val="15"/>
                <w:szCs w:val="15"/>
                <w:color w:val="231F20"/>
              </w:rPr>
              <w:t>3,582,225</w:t>
            </w:r>
          </w:p>
        </w:tc>
        <w:tc>
          <w:tcPr>
            <w:tcW w:w="160" w:type="dxa"/>
            <w:vAlign w:val="bottom"/>
            <w:tcBorders>
              <w:bottom w:val="single" w:sz="8" w:color="D0EBF2"/>
            </w:tcBorders>
            <w:shd w:val="clear" w:color="auto" w:fill="FDFDFC"/>
          </w:tcPr>
          <w:p>
            <w:pPr>
              <w:spacing w:after="0"/>
              <w:rPr>
                <w:sz w:val="17"/>
                <w:szCs w:val="17"/>
                <w:color w:val="auto"/>
              </w:rPr>
            </w:pPr>
          </w:p>
        </w:tc>
        <w:tc>
          <w:tcPr>
            <w:tcW w:w="100" w:type="dxa"/>
            <w:vAlign w:val="bottom"/>
            <w:tcBorders>
              <w:bottom w:val="single" w:sz="8" w:color="D0EBF2"/>
            </w:tcBorders>
            <w:shd w:val="clear" w:color="auto" w:fill="FDFDFC"/>
          </w:tcPr>
          <w:p>
            <w:pPr>
              <w:spacing w:after="0"/>
              <w:rPr>
                <w:sz w:val="17"/>
                <w:szCs w:val="17"/>
                <w:color w:val="auto"/>
              </w:rPr>
            </w:pPr>
          </w:p>
        </w:tc>
        <w:tc>
          <w:tcPr>
            <w:tcW w:w="220" w:type="dxa"/>
            <w:vAlign w:val="bottom"/>
            <w:tcBorders>
              <w:bottom w:val="single" w:sz="8" w:color="231F20"/>
            </w:tcBorders>
            <w:shd w:val="clear" w:color="auto" w:fill="FDFDFC"/>
          </w:tcPr>
          <w:p>
            <w:pPr>
              <w:jc w:val="right"/>
              <w:ind w:right="64"/>
              <w:spacing w:after="0" w:line="164" w:lineRule="exact"/>
              <w:rPr>
                <w:sz w:val="20"/>
                <w:szCs w:val="20"/>
                <w:color w:val="auto"/>
              </w:rPr>
            </w:pPr>
            <w:r>
              <w:rPr>
                <w:rFonts w:ascii="Times New Roman" w:cs="Times New Roman" w:eastAsia="Times New Roman" w:hAnsi="Times New Roman"/>
                <w:sz w:val="15"/>
                <w:szCs w:val="15"/>
                <w:color w:val="231F20"/>
                <w:w w:val="79"/>
              </w:rPr>
              <w:t>$</w:t>
            </w:r>
          </w:p>
        </w:tc>
        <w:tc>
          <w:tcPr>
            <w:tcW w:w="1400" w:type="dxa"/>
            <w:vAlign w:val="bottom"/>
            <w:tcBorders>
              <w:bottom w:val="single" w:sz="8" w:color="231F20"/>
            </w:tcBorders>
            <w:shd w:val="clear" w:color="auto" w:fill="FDFDFC"/>
          </w:tcPr>
          <w:p>
            <w:pPr>
              <w:jc w:val="right"/>
              <w:spacing w:after="0" w:line="164" w:lineRule="exact"/>
              <w:rPr>
                <w:sz w:val="20"/>
                <w:szCs w:val="20"/>
                <w:color w:val="auto"/>
              </w:rPr>
            </w:pPr>
            <w:r>
              <w:rPr>
                <w:rFonts w:ascii="Times New Roman" w:cs="Times New Roman" w:eastAsia="Times New Roman" w:hAnsi="Times New Roman"/>
                <w:sz w:val="15"/>
                <w:szCs w:val="15"/>
                <w:color w:val="231F20"/>
              </w:rPr>
              <w:t>3,343,808</w:t>
            </w:r>
          </w:p>
        </w:tc>
        <w:tc>
          <w:tcPr>
            <w:tcW w:w="100" w:type="dxa"/>
            <w:vAlign w:val="bottom"/>
            <w:tcBorders>
              <w:bottom w:val="single" w:sz="8" w:color="D0EBF2"/>
            </w:tcBorders>
            <w:shd w:val="clear" w:color="auto" w:fill="FDFDFC"/>
          </w:tcPr>
          <w:p>
            <w:pPr>
              <w:spacing w:after="0"/>
              <w:rPr>
                <w:sz w:val="17"/>
                <w:szCs w:val="17"/>
                <w:color w:val="auto"/>
              </w:rPr>
            </w:pPr>
          </w:p>
        </w:tc>
        <w:tc>
          <w:tcPr>
            <w:tcW w:w="0" w:type="dxa"/>
            <w:vAlign w:val="bottom"/>
          </w:tcPr>
          <w:p>
            <w:pPr>
              <w:spacing w:after="0"/>
              <w:rPr>
                <w:sz w:val="1"/>
                <w:szCs w:val="1"/>
                <w:color w:val="auto"/>
              </w:rPr>
            </w:pPr>
          </w:p>
        </w:tc>
      </w:tr>
      <w:tr>
        <w:trPr>
          <w:trHeight w:val="156"/>
        </w:trPr>
        <w:tc>
          <w:tcPr>
            <w:tcW w:w="6620" w:type="dxa"/>
            <w:vAlign w:val="bottom"/>
            <w:shd w:val="clear" w:color="auto" w:fill="D0EBF2"/>
          </w:tcPr>
          <w:p>
            <w:pPr>
              <w:ind w:left="380"/>
              <w:spacing w:after="0" w:line="156" w:lineRule="exact"/>
              <w:rPr>
                <w:sz w:val="20"/>
                <w:szCs w:val="20"/>
                <w:color w:val="auto"/>
              </w:rPr>
            </w:pPr>
            <w:r>
              <w:rPr>
                <w:rFonts w:ascii="Times New Roman" w:cs="Times New Roman" w:eastAsia="Times New Roman" w:hAnsi="Times New Roman"/>
                <w:sz w:val="15"/>
                <w:szCs w:val="15"/>
                <w:b w:val="1"/>
                <w:bCs w:val="1"/>
                <w:color w:val="231F20"/>
              </w:rPr>
              <w:t>Net Asset Value Per Share</w:t>
            </w:r>
          </w:p>
        </w:tc>
        <w:tc>
          <w:tcPr>
            <w:tcW w:w="200" w:type="dxa"/>
            <w:vAlign w:val="bottom"/>
            <w:tcBorders>
              <w:bottom w:val="single" w:sz="8" w:color="231F20"/>
            </w:tcBorders>
            <w:shd w:val="clear" w:color="auto" w:fill="D0EBF2"/>
          </w:tcPr>
          <w:p>
            <w:pPr>
              <w:jc w:val="right"/>
              <w:ind w:right="86"/>
              <w:spacing w:after="0"/>
              <w:rPr>
                <w:sz w:val="20"/>
                <w:szCs w:val="20"/>
                <w:color w:val="auto"/>
              </w:rPr>
            </w:pPr>
            <w:r>
              <w:rPr>
                <w:rFonts w:ascii="Times New Roman" w:cs="Times New Roman" w:eastAsia="Times New Roman" w:hAnsi="Times New Roman"/>
                <w:sz w:val="11"/>
                <w:szCs w:val="11"/>
                <w:color w:val="231F20"/>
                <w:w w:val="71"/>
              </w:rPr>
              <w:t>$</w:t>
            </w:r>
          </w:p>
        </w:tc>
        <w:tc>
          <w:tcPr>
            <w:tcW w:w="1400" w:type="dxa"/>
            <w:vAlign w:val="bottom"/>
            <w:tcBorders>
              <w:bottom w:val="single" w:sz="8" w:color="231F20"/>
            </w:tcBorders>
            <w:shd w:val="clear" w:color="auto" w:fill="D0EBF2"/>
          </w:tcPr>
          <w:p>
            <w:pPr>
              <w:jc w:val="right"/>
              <w:spacing w:after="0" w:line="156" w:lineRule="exact"/>
              <w:rPr>
                <w:sz w:val="20"/>
                <w:szCs w:val="20"/>
                <w:color w:val="auto"/>
              </w:rPr>
            </w:pPr>
            <w:r>
              <w:rPr>
                <w:rFonts w:ascii="Times New Roman" w:cs="Times New Roman" w:eastAsia="Times New Roman" w:hAnsi="Times New Roman"/>
                <w:sz w:val="15"/>
                <w:szCs w:val="15"/>
                <w:color w:val="231F20"/>
              </w:rPr>
              <w:t>17.16</w:t>
            </w:r>
          </w:p>
        </w:tc>
        <w:tc>
          <w:tcPr>
            <w:tcW w:w="160" w:type="dxa"/>
            <w:vAlign w:val="bottom"/>
            <w:shd w:val="clear" w:color="auto" w:fill="D0EBF2"/>
          </w:tcPr>
          <w:p>
            <w:pPr>
              <w:spacing w:after="0"/>
              <w:rPr>
                <w:sz w:val="13"/>
                <w:szCs w:val="13"/>
                <w:color w:val="auto"/>
              </w:rPr>
            </w:pPr>
          </w:p>
        </w:tc>
        <w:tc>
          <w:tcPr>
            <w:tcW w:w="100" w:type="dxa"/>
            <w:vAlign w:val="bottom"/>
            <w:shd w:val="clear" w:color="auto" w:fill="D0EBF2"/>
          </w:tcPr>
          <w:p>
            <w:pPr>
              <w:spacing w:after="0"/>
              <w:rPr>
                <w:sz w:val="13"/>
                <w:szCs w:val="13"/>
                <w:color w:val="auto"/>
              </w:rPr>
            </w:pPr>
          </w:p>
        </w:tc>
        <w:tc>
          <w:tcPr>
            <w:tcW w:w="220" w:type="dxa"/>
            <w:vAlign w:val="bottom"/>
            <w:tcBorders>
              <w:bottom w:val="single" w:sz="8" w:color="231F20"/>
            </w:tcBorders>
            <w:shd w:val="clear" w:color="auto" w:fill="D0EBF2"/>
          </w:tcPr>
          <w:p>
            <w:pPr>
              <w:jc w:val="right"/>
              <w:ind w:right="64"/>
              <w:spacing w:after="0" w:line="156" w:lineRule="exact"/>
              <w:rPr>
                <w:sz w:val="20"/>
                <w:szCs w:val="20"/>
                <w:color w:val="auto"/>
              </w:rPr>
            </w:pPr>
            <w:r>
              <w:rPr>
                <w:rFonts w:ascii="Times New Roman" w:cs="Times New Roman" w:eastAsia="Times New Roman" w:hAnsi="Times New Roman"/>
                <w:sz w:val="15"/>
                <w:szCs w:val="15"/>
                <w:color w:val="231F20"/>
                <w:w w:val="79"/>
              </w:rPr>
              <w:t>$</w:t>
            </w:r>
          </w:p>
        </w:tc>
        <w:tc>
          <w:tcPr>
            <w:tcW w:w="1400" w:type="dxa"/>
            <w:vAlign w:val="bottom"/>
            <w:tcBorders>
              <w:bottom w:val="single" w:sz="8" w:color="231F20"/>
            </w:tcBorders>
            <w:shd w:val="clear" w:color="auto" w:fill="D0EBF2"/>
          </w:tcPr>
          <w:p>
            <w:pPr>
              <w:jc w:val="right"/>
              <w:spacing w:after="0" w:line="156" w:lineRule="exact"/>
              <w:rPr>
                <w:sz w:val="20"/>
                <w:szCs w:val="20"/>
                <w:color w:val="auto"/>
              </w:rPr>
            </w:pPr>
            <w:r>
              <w:rPr>
                <w:rFonts w:ascii="Times New Roman" w:cs="Times New Roman" w:eastAsia="Times New Roman" w:hAnsi="Times New Roman"/>
                <w:sz w:val="15"/>
                <w:szCs w:val="15"/>
                <w:color w:val="231F20"/>
              </w:rPr>
              <w:t>17.04</w:t>
            </w:r>
          </w:p>
        </w:tc>
        <w:tc>
          <w:tcPr>
            <w:tcW w:w="100" w:type="dxa"/>
            <w:vAlign w:val="bottom"/>
            <w:shd w:val="clear" w:color="auto" w:fill="D0EBF2"/>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620" w:type="dxa"/>
            <w:vAlign w:val="bottom"/>
          </w:tcPr>
          <w:p>
            <w:pPr>
              <w:spacing w:after="0" w:line="20" w:lineRule="exact"/>
              <w:rPr>
                <w:sz w:val="1"/>
                <w:szCs w:val="1"/>
                <w:color w:val="auto"/>
              </w:rPr>
            </w:pPr>
          </w:p>
        </w:tc>
        <w:tc>
          <w:tcPr>
            <w:tcW w:w="200" w:type="dxa"/>
            <w:vAlign w:val="bottom"/>
            <w:tcBorders>
              <w:bottom w:val="single" w:sz="8" w:color="231F20"/>
            </w:tcBorders>
          </w:tcPr>
          <w:p>
            <w:pPr>
              <w:spacing w:after="0" w:line="20" w:lineRule="exact"/>
              <w:rPr>
                <w:sz w:val="1"/>
                <w:szCs w:val="1"/>
                <w:color w:val="auto"/>
              </w:rPr>
            </w:pPr>
          </w:p>
        </w:tc>
        <w:tc>
          <w:tcPr>
            <w:tcW w:w="1400" w:type="dxa"/>
            <w:vAlign w:val="bottom"/>
            <w:tcBorders>
              <w:bottom w:val="single" w:sz="8" w:color="231F20"/>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231F20"/>
            </w:tcBorders>
          </w:tcPr>
          <w:p>
            <w:pPr>
              <w:spacing w:after="0" w:line="20" w:lineRule="exact"/>
              <w:rPr>
                <w:sz w:val="1"/>
                <w:szCs w:val="1"/>
                <w:color w:val="auto"/>
              </w:rPr>
            </w:pPr>
          </w:p>
        </w:tc>
        <w:tc>
          <w:tcPr>
            <w:tcW w:w="1400" w:type="dxa"/>
            <w:vAlign w:val="bottom"/>
            <w:tcBorders>
              <w:bottom w:val="single" w:sz="8" w:color="231F20"/>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231F20"/>
        </w:rPr>
        <w:t>The accompanying notes are an integral part of these consolidated financial statements.</w:t>
      </w:r>
    </w:p>
    <w:p>
      <w:pPr>
        <w:sectPr>
          <w:pgSz w:w="12240" w:h="15840" w:orient="portrait"/>
          <w:cols w:equalWidth="0" w:num="1">
            <w:col w:w="10200"/>
          </w:cols>
          <w:pgMar w:left="1020" w:top="1315" w:right="1020" w:bottom="57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231F20"/>
        </w:rPr>
        <w:t>F-4</w:t>
      </w:r>
    </w:p>
    <w:p>
      <w:pPr>
        <w:sectPr>
          <w:pgSz w:w="12240" w:h="15840" w:orient="portrait"/>
          <w:cols w:equalWidth="0" w:num="1">
            <w:col w:w="10200"/>
          </w:cols>
          <w:pgMar w:left="1020" w:top="1315" w:right="1020" w:bottom="574" w:gutter="0" w:footer="0" w:header="0"/>
          <w:type w:val="continuous"/>
        </w:sectPr>
      </w:pPr>
    </w:p>
    <w:bookmarkStart w:id="92" w:name="page93"/>
    <w:bookmarkEnd w:id="92"/>
    <w:p>
      <w:pPr>
        <w:jc w:val="center"/>
        <w:spacing w:after="0"/>
        <w:rPr>
          <w:sz w:val="20"/>
          <w:szCs w:val="20"/>
          <w:color w:val="auto"/>
        </w:rPr>
      </w:pPr>
      <w:r>
        <w:rPr>
          <w:rFonts w:ascii="Times New Roman" w:cs="Times New Roman" w:eastAsia="Times New Roman" w:hAnsi="Times New Roman"/>
          <w:sz w:val="19"/>
          <w:szCs w:val="19"/>
          <w:b w:val="1"/>
          <w:bCs w:val="1"/>
          <w:color w:val="231F20"/>
        </w:rPr>
        <w:t>Sixth Street Specialty Lending, Inc.</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231F20"/>
        </w:rPr>
        <w:t>Consolidated Statements of Operations</w:t>
      </w:r>
    </w:p>
    <w:p>
      <w:pPr>
        <w:jc w:val="center"/>
        <w:spacing w:after="0"/>
        <w:rPr>
          <w:sz w:val="20"/>
          <w:szCs w:val="20"/>
          <w:color w:val="auto"/>
        </w:rPr>
      </w:pPr>
      <w:r>
        <w:rPr>
          <w:rFonts w:ascii="Times New Roman" w:cs="Times New Roman" w:eastAsia="Times New Roman" w:hAnsi="Times New Roman"/>
          <w:sz w:val="19"/>
          <w:szCs w:val="19"/>
          <w:b w:val="1"/>
          <w:bCs w:val="1"/>
          <w:color w:val="231F20"/>
        </w:rPr>
        <w:t>(Amounts in thousands, except share and per share amounts)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520" w:type="dxa"/>
            <w:vAlign w:val="bottom"/>
            <w:shd w:val="clear" w:color="auto" w:fill="FDFDFC"/>
          </w:tcPr>
          <w:p>
            <w:pPr>
              <w:spacing w:after="0"/>
              <w:rPr>
                <w:sz w:val="16"/>
                <w:szCs w:val="16"/>
                <w:color w:val="auto"/>
              </w:rPr>
            </w:pPr>
          </w:p>
        </w:tc>
        <w:tc>
          <w:tcPr>
            <w:tcW w:w="80" w:type="dxa"/>
            <w:vAlign w:val="bottom"/>
            <w:shd w:val="clear" w:color="auto" w:fill="FDFDFC"/>
          </w:tcPr>
          <w:p>
            <w:pPr>
              <w:spacing w:after="0"/>
              <w:rPr>
                <w:sz w:val="16"/>
                <w:szCs w:val="16"/>
                <w:color w:val="auto"/>
              </w:rPr>
            </w:pPr>
          </w:p>
        </w:tc>
        <w:tc>
          <w:tcPr>
            <w:tcW w:w="1320" w:type="dxa"/>
            <w:vAlign w:val="bottom"/>
            <w:shd w:val="clear" w:color="auto" w:fill="FDFDFC"/>
          </w:tcPr>
          <w:p>
            <w:pPr>
              <w:jc w:val="right"/>
              <w:ind w:right="244"/>
              <w:spacing w:after="0"/>
              <w:rPr>
                <w:sz w:val="20"/>
                <w:szCs w:val="20"/>
                <w:color w:val="auto"/>
              </w:rPr>
            </w:pPr>
            <w:r>
              <w:rPr>
                <w:rFonts w:ascii="Times New Roman" w:cs="Times New Roman" w:eastAsia="Times New Roman" w:hAnsi="Times New Roman"/>
                <w:sz w:val="15"/>
                <w:szCs w:val="15"/>
                <w:b w:val="1"/>
                <w:bCs w:val="1"/>
                <w:color w:val="231F20"/>
              </w:rPr>
              <w:t>Year Ended</w:t>
            </w:r>
          </w:p>
        </w:tc>
        <w:tc>
          <w:tcPr>
            <w:tcW w:w="100" w:type="dxa"/>
            <w:vAlign w:val="bottom"/>
            <w:shd w:val="clear" w:color="auto" w:fill="FDFDFC"/>
          </w:tcPr>
          <w:p>
            <w:pPr>
              <w:spacing w:after="0"/>
              <w:rPr>
                <w:sz w:val="16"/>
                <w:szCs w:val="16"/>
                <w:color w:val="auto"/>
              </w:rPr>
            </w:pPr>
          </w:p>
        </w:tc>
        <w:tc>
          <w:tcPr>
            <w:tcW w:w="140" w:type="dxa"/>
            <w:vAlign w:val="bottom"/>
            <w:shd w:val="clear" w:color="auto" w:fill="FDFDFC"/>
          </w:tcPr>
          <w:p>
            <w:pPr>
              <w:spacing w:after="0"/>
              <w:rPr>
                <w:sz w:val="16"/>
                <w:szCs w:val="16"/>
                <w:color w:val="auto"/>
              </w:rPr>
            </w:pPr>
          </w:p>
        </w:tc>
        <w:tc>
          <w:tcPr>
            <w:tcW w:w="180" w:type="dxa"/>
            <w:vAlign w:val="bottom"/>
            <w:shd w:val="clear" w:color="auto" w:fill="FDFDFC"/>
          </w:tcPr>
          <w:p>
            <w:pPr>
              <w:spacing w:after="0"/>
              <w:rPr>
                <w:sz w:val="16"/>
                <w:szCs w:val="16"/>
                <w:color w:val="auto"/>
              </w:rPr>
            </w:pPr>
          </w:p>
        </w:tc>
        <w:tc>
          <w:tcPr>
            <w:tcW w:w="1300" w:type="dxa"/>
            <w:vAlign w:val="bottom"/>
            <w:gridSpan w:val="2"/>
            <w:shd w:val="clear" w:color="auto" w:fill="FDFDFC"/>
          </w:tcPr>
          <w:p>
            <w:pPr>
              <w:jc w:val="right"/>
              <w:ind w:right="382"/>
              <w:spacing w:after="0"/>
              <w:rPr>
                <w:sz w:val="20"/>
                <w:szCs w:val="20"/>
                <w:color w:val="auto"/>
              </w:rPr>
            </w:pPr>
            <w:r>
              <w:rPr>
                <w:rFonts w:ascii="Times New Roman" w:cs="Times New Roman" w:eastAsia="Times New Roman" w:hAnsi="Times New Roman"/>
                <w:sz w:val="15"/>
                <w:szCs w:val="15"/>
                <w:b w:val="1"/>
                <w:bCs w:val="1"/>
                <w:color w:val="231F20"/>
              </w:rPr>
              <w:t>Year Ended</w:t>
            </w:r>
          </w:p>
        </w:tc>
        <w:tc>
          <w:tcPr>
            <w:tcW w:w="100" w:type="dxa"/>
            <w:vAlign w:val="bottom"/>
            <w:shd w:val="clear" w:color="auto" w:fill="FDFDFC"/>
          </w:tcPr>
          <w:p>
            <w:pPr>
              <w:spacing w:after="0"/>
              <w:rPr>
                <w:sz w:val="16"/>
                <w:szCs w:val="16"/>
                <w:color w:val="auto"/>
              </w:rPr>
            </w:pPr>
          </w:p>
        </w:tc>
        <w:tc>
          <w:tcPr>
            <w:tcW w:w="180" w:type="dxa"/>
            <w:vAlign w:val="bottom"/>
            <w:shd w:val="clear" w:color="auto" w:fill="FDFDFC"/>
          </w:tcPr>
          <w:p>
            <w:pPr>
              <w:spacing w:after="0"/>
              <w:rPr>
                <w:sz w:val="16"/>
                <w:szCs w:val="16"/>
                <w:color w:val="auto"/>
              </w:rPr>
            </w:pPr>
          </w:p>
        </w:tc>
        <w:tc>
          <w:tcPr>
            <w:tcW w:w="1280" w:type="dxa"/>
            <w:vAlign w:val="bottom"/>
            <w:gridSpan w:val="2"/>
            <w:shd w:val="clear" w:color="auto" w:fill="FDFDFC"/>
          </w:tcPr>
          <w:p>
            <w:pPr>
              <w:jc w:val="right"/>
              <w:ind w:right="362"/>
              <w:spacing w:after="0"/>
              <w:rPr>
                <w:sz w:val="20"/>
                <w:szCs w:val="20"/>
                <w:color w:val="auto"/>
              </w:rPr>
            </w:pPr>
            <w:r>
              <w:rPr>
                <w:rFonts w:ascii="Times New Roman" w:cs="Times New Roman" w:eastAsia="Times New Roman" w:hAnsi="Times New Roman"/>
                <w:sz w:val="15"/>
                <w:szCs w:val="15"/>
                <w:b w:val="1"/>
                <w:bCs w:val="1"/>
                <w:color w:val="231F20"/>
              </w:rPr>
              <w:t>Year Ended</w:t>
            </w:r>
          </w:p>
        </w:tc>
      </w:tr>
      <w:tr>
        <w:trPr>
          <w:trHeight w:val="187"/>
        </w:trPr>
        <w:tc>
          <w:tcPr>
            <w:tcW w:w="5520" w:type="dxa"/>
            <w:vAlign w:val="bottom"/>
            <w:shd w:val="clear" w:color="auto" w:fill="FDFDFC"/>
          </w:tcPr>
          <w:p>
            <w:pPr>
              <w:spacing w:after="0"/>
              <w:rPr>
                <w:sz w:val="16"/>
                <w:szCs w:val="16"/>
                <w:color w:val="auto"/>
              </w:rPr>
            </w:pPr>
          </w:p>
        </w:tc>
        <w:tc>
          <w:tcPr>
            <w:tcW w:w="80" w:type="dxa"/>
            <w:vAlign w:val="bottom"/>
            <w:shd w:val="clear" w:color="auto" w:fill="FDFDFC"/>
          </w:tcPr>
          <w:p>
            <w:pPr>
              <w:spacing w:after="0"/>
              <w:rPr>
                <w:sz w:val="16"/>
                <w:szCs w:val="16"/>
                <w:color w:val="auto"/>
              </w:rPr>
            </w:pPr>
          </w:p>
        </w:tc>
        <w:tc>
          <w:tcPr>
            <w:tcW w:w="1320" w:type="dxa"/>
            <w:vAlign w:val="bottom"/>
            <w:shd w:val="clear" w:color="auto" w:fill="FDFDFC"/>
          </w:tcPr>
          <w:p>
            <w:pPr>
              <w:jc w:val="right"/>
              <w:ind w:right="24"/>
              <w:spacing w:after="0"/>
              <w:rPr>
                <w:sz w:val="20"/>
                <w:szCs w:val="20"/>
                <w:color w:val="auto"/>
              </w:rPr>
            </w:pPr>
            <w:r>
              <w:rPr>
                <w:rFonts w:ascii="Times New Roman" w:cs="Times New Roman" w:eastAsia="Times New Roman" w:hAnsi="Times New Roman"/>
                <w:sz w:val="15"/>
                <w:szCs w:val="15"/>
                <w:b w:val="1"/>
                <w:bCs w:val="1"/>
                <w:color w:val="231F20"/>
                <w:w w:val="98"/>
              </w:rPr>
              <w:t>December 31, 2024</w:t>
            </w:r>
          </w:p>
        </w:tc>
        <w:tc>
          <w:tcPr>
            <w:tcW w:w="100" w:type="dxa"/>
            <w:vAlign w:val="bottom"/>
            <w:shd w:val="clear" w:color="auto" w:fill="FDFDFC"/>
          </w:tcPr>
          <w:p>
            <w:pPr>
              <w:spacing w:after="0"/>
              <w:rPr>
                <w:sz w:val="16"/>
                <w:szCs w:val="16"/>
                <w:color w:val="auto"/>
              </w:rPr>
            </w:pPr>
          </w:p>
        </w:tc>
        <w:tc>
          <w:tcPr>
            <w:tcW w:w="140" w:type="dxa"/>
            <w:vAlign w:val="bottom"/>
            <w:shd w:val="clear" w:color="auto" w:fill="FDFDFC"/>
          </w:tcPr>
          <w:p>
            <w:pPr>
              <w:spacing w:after="0"/>
              <w:rPr>
                <w:sz w:val="16"/>
                <w:szCs w:val="16"/>
                <w:color w:val="auto"/>
              </w:rPr>
            </w:pPr>
          </w:p>
        </w:tc>
        <w:tc>
          <w:tcPr>
            <w:tcW w:w="1480" w:type="dxa"/>
            <w:vAlign w:val="bottom"/>
            <w:gridSpan w:val="3"/>
            <w:shd w:val="clear" w:color="auto" w:fill="FDFDFC"/>
          </w:tcPr>
          <w:p>
            <w:pPr>
              <w:jc w:val="right"/>
              <w:ind w:right="162"/>
              <w:spacing w:after="0"/>
              <w:rPr>
                <w:sz w:val="20"/>
                <w:szCs w:val="20"/>
                <w:color w:val="auto"/>
              </w:rPr>
            </w:pPr>
            <w:r>
              <w:rPr>
                <w:rFonts w:ascii="Times New Roman" w:cs="Times New Roman" w:eastAsia="Times New Roman" w:hAnsi="Times New Roman"/>
                <w:sz w:val="15"/>
                <w:szCs w:val="15"/>
                <w:b w:val="1"/>
                <w:bCs w:val="1"/>
                <w:color w:val="231F20"/>
              </w:rPr>
              <w:t>December 31, 2023</w:t>
            </w:r>
          </w:p>
        </w:tc>
        <w:tc>
          <w:tcPr>
            <w:tcW w:w="100" w:type="dxa"/>
            <w:vAlign w:val="bottom"/>
            <w:shd w:val="clear" w:color="auto" w:fill="FDFDFC"/>
          </w:tcPr>
          <w:p>
            <w:pPr>
              <w:spacing w:after="0"/>
              <w:rPr>
                <w:sz w:val="16"/>
                <w:szCs w:val="16"/>
                <w:color w:val="auto"/>
              </w:rPr>
            </w:pPr>
          </w:p>
        </w:tc>
        <w:tc>
          <w:tcPr>
            <w:tcW w:w="1460" w:type="dxa"/>
            <w:vAlign w:val="bottom"/>
            <w:gridSpan w:val="3"/>
            <w:shd w:val="clear" w:color="auto" w:fill="FDFDFC"/>
          </w:tcPr>
          <w:p>
            <w:pPr>
              <w:jc w:val="right"/>
              <w:ind w:right="142"/>
              <w:spacing w:after="0"/>
              <w:rPr>
                <w:sz w:val="20"/>
                <w:szCs w:val="20"/>
                <w:color w:val="auto"/>
              </w:rPr>
            </w:pPr>
            <w:r>
              <w:rPr>
                <w:rFonts w:ascii="Times New Roman" w:cs="Times New Roman" w:eastAsia="Times New Roman" w:hAnsi="Times New Roman"/>
                <w:sz w:val="15"/>
                <w:szCs w:val="15"/>
                <w:b w:val="1"/>
                <w:bCs w:val="1"/>
                <w:color w:val="231F20"/>
              </w:rPr>
              <w:t>December 31, 2022</w:t>
            </w:r>
          </w:p>
        </w:tc>
      </w:tr>
      <w:tr>
        <w:trPr>
          <w:trHeight w:val="176"/>
        </w:trPr>
        <w:tc>
          <w:tcPr>
            <w:tcW w:w="5520" w:type="dxa"/>
            <w:vAlign w:val="bottom"/>
            <w:tcBorders>
              <w:top w:val="single" w:sz="8" w:color="D0EBF2"/>
            </w:tcBorders>
            <w:shd w:val="clear" w:color="auto" w:fill="D0EBF2"/>
          </w:tcPr>
          <w:p>
            <w:pPr>
              <w:spacing w:after="0"/>
              <w:rPr>
                <w:sz w:val="20"/>
                <w:szCs w:val="20"/>
                <w:color w:val="auto"/>
              </w:rPr>
            </w:pPr>
            <w:r>
              <w:rPr>
                <w:rFonts w:ascii="Times New Roman" w:cs="Times New Roman" w:eastAsia="Times New Roman" w:hAnsi="Times New Roman"/>
                <w:sz w:val="15"/>
                <w:szCs w:val="15"/>
                <w:b w:val="1"/>
                <w:bCs w:val="1"/>
                <w:color w:val="231F20"/>
              </w:rPr>
              <w:t>Income</w:t>
            </w:r>
          </w:p>
        </w:tc>
        <w:tc>
          <w:tcPr>
            <w:tcW w:w="80" w:type="dxa"/>
            <w:vAlign w:val="bottom"/>
            <w:tcBorders>
              <w:top w:val="single" w:sz="8" w:color="231F20"/>
            </w:tcBorders>
            <w:shd w:val="clear" w:color="auto" w:fill="D0EBF2"/>
          </w:tcPr>
          <w:p>
            <w:pPr>
              <w:spacing w:after="0"/>
              <w:rPr>
                <w:sz w:val="15"/>
                <w:szCs w:val="15"/>
                <w:color w:val="auto"/>
              </w:rPr>
            </w:pPr>
          </w:p>
        </w:tc>
        <w:tc>
          <w:tcPr>
            <w:tcW w:w="1320" w:type="dxa"/>
            <w:vAlign w:val="bottom"/>
            <w:tcBorders>
              <w:top w:val="single" w:sz="8" w:color="231F20"/>
            </w:tcBorders>
            <w:shd w:val="clear" w:color="auto" w:fill="D0EBF2"/>
          </w:tcPr>
          <w:p>
            <w:pPr>
              <w:spacing w:after="0"/>
              <w:rPr>
                <w:sz w:val="15"/>
                <w:szCs w:val="15"/>
                <w:color w:val="auto"/>
              </w:rPr>
            </w:pPr>
          </w:p>
        </w:tc>
        <w:tc>
          <w:tcPr>
            <w:tcW w:w="100" w:type="dxa"/>
            <w:vAlign w:val="bottom"/>
            <w:tcBorders>
              <w:top w:val="single" w:sz="8" w:color="D0EBF2"/>
            </w:tcBorders>
            <w:shd w:val="clear" w:color="auto" w:fill="D0EBF2"/>
          </w:tcPr>
          <w:p>
            <w:pPr>
              <w:spacing w:after="0"/>
              <w:rPr>
                <w:sz w:val="15"/>
                <w:szCs w:val="15"/>
                <w:color w:val="auto"/>
              </w:rPr>
            </w:pPr>
          </w:p>
        </w:tc>
        <w:tc>
          <w:tcPr>
            <w:tcW w:w="140" w:type="dxa"/>
            <w:vAlign w:val="bottom"/>
            <w:tcBorders>
              <w:top w:val="single" w:sz="8" w:color="231F20"/>
            </w:tcBorders>
            <w:shd w:val="clear" w:color="auto" w:fill="D0EBF2"/>
          </w:tcPr>
          <w:p>
            <w:pPr>
              <w:spacing w:after="0"/>
              <w:rPr>
                <w:sz w:val="15"/>
                <w:szCs w:val="15"/>
                <w:color w:val="auto"/>
              </w:rPr>
            </w:pPr>
          </w:p>
        </w:tc>
        <w:tc>
          <w:tcPr>
            <w:tcW w:w="180" w:type="dxa"/>
            <w:vAlign w:val="bottom"/>
            <w:tcBorders>
              <w:top w:val="single" w:sz="8" w:color="231F20"/>
            </w:tcBorders>
            <w:shd w:val="clear" w:color="auto" w:fill="D0EBF2"/>
          </w:tcPr>
          <w:p>
            <w:pPr>
              <w:spacing w:after="0"/>
              <w:rPr>
                <w:sz w:val="15"/>
                <w:szCs w:val="15"/>
                <w:color w:val="auto"/>
              </w:rPr>
            </w:pPr>
          </w:p>
        </w:tc>
        <w:tc>
          <w:tcPr>
            <w:tcW w:w="1200" w:type="dxa"/>
            <w:vAlign w:val="bottom"/>
            <w:tcBorders>
              <w:top w:val="single" w:sz="8" w:color="231F20"/>
            </w:tcBorders>
            <w:shd w:val="clear" w:color="auto" w:fill="D0EBF2"/>
          </w:tcPr>
          <w:p>
            <w:pPr>
              <w:spacing w:after="0"/>
              <w:rPr>
                <w:sz w:val="15"/>
                <w:szCs w:val="15"/>
                <w:color w:val="auto"/>
              </w:rPr>
            </w:pPr>
          </w:p>
        </w:tc>
        <w:tc>
          <w:tcPr>
            <w:tcW w:w="100" w:type="dxa"/>
            <w:vAlign w:val="bottom"/>
            <w:tcBorders>
              <w:top w:val="single" w:sz="8" w:color="D0EBF2"/>
            </w:tcBorders>
            <w:shd w:val="clear" w:color="auto" w:fill="D0EBF2"/>
          </w:tcPr>
          <w:p>
            <w:pPr>
              <w:spacing w:after="0"/>
              <w:rPr>
                <w:sz w:val="15"/>
                <w:szCs w:val="15"/>
                <w:color w:val="auto"/>
              </w:rPr>
            </w:pPr>
          </w:p>
        </w:tc>
        <w:tc>
          <w:tcPr>
            <w:tcW w:w="100" w:type="dxa"/>
            <w:vAlign w:val="bottom"/>
            <w:tcBorders>
              <w:top w:val="single" w:sz="8" w:color="D0EBF2"/>
            </w:tcBorders>
            <w:shd w:val="clear" w:color="auto" w:fill="D0EBF2"/>
          </w:tcPr>
          <w:p>
            <w:pPr>
              <w:spacing w:after="0"/>
              <w:rPr>
                <w:sz w:val="15"/>
                <w:szCs w:val="15"/>
                <w:color w:val="auto"/>
              </w:rPr>
            </w:pPr>
          </w:p>
        </w:tc>
        <w:tc>
          <w:tcPr>
            <w:tcW w:w="180" w:type="dxa"/>
            <w:vAlign w:val="bottom"/>
            <w:tcBorders>
              <w:top w:val="single" w:sz="8" w:color="231F20"/>
            </w:tcBorders>
            <w:shd w:val="clear" w:color="auto" w:fill="D0EBF2"/>
          </w:tcPr>
          <w:p>
            <w:pPr>
              <w:spacing w:after="0"/>
              <w:rPr>
                <w:sz w:val="15"/>
                <w:szCs w:val="15"/>
                <w:color w:val="auto"/>
              </w:rPr>
            </w:pPr>
          </w:p>
        </w:tc>
        <w:tc>
          <w:tcPr>
            <w:tcW w:w="1180" w:type="dxa"/>
            <w:vAlign w:val="bottom"/>
            <w:tcBorders>
              <w:top w:val="single" w:sz="8" w:color="231F20"/>
            </w:tcBorders>
            <w:shd w:val="clear" w:color="auto" w:fill="D0EBF2"/>
          </w:tcPr>
          <w:p>
            <w:pPr>
              <w:spacing w:after="0"/>
              <w:rPr>
                <w:sz w:val="15"/>
                <w:szCs w:val="15"/>
                <w:color w:val="auto"/>
              </w:rPr>
            </w:pPr>
          </w:p>
        </w:tc>
        <w:tc>
          <w:tcPr>
            <w:tcW w:w="100" w:type="dxa"/>
            <w:vAlign w:val="bottom"/>
            <w:tcBorders>
              <w:top w:val="single" w:sz="8" w:color="D0EBF2"/>
            </w:tcBorders>
            <w:shd w:val="clear" w:color="auto" w:fill="D0EBF2"/>
          </w:tcPr>
          <w:p>
            <w:pPr>
              <w:spacing w:after="0"/>
              <w:rPr>
                <w:sz w:val="15"/>
                <w:szCs w:val="15"/>
                <w:color w:val="auto"/>
              </w:rPr>
            </w:pPr>
          </w:p>
        </w:tc>
      </w:tr>
      <w:tr>
        <w:trPr>
          <w:trHeight w:val="187"/>
        </w:trPr>
        <w:tc>
          <w:tcPr>
            <w:tcW w:w="5520" w:type="dxa"/>
            <w:vAlign w:val="bottom"/>
            <w:shd w:val="clear" w:color="auto" w:fill="FDFDFC"/>
          </w:tcPr>
          <w:p>
            <w:pPr>
              <w:spacing w:after="0"/>
              <w:rPr>
                <w:sz w:val="20"/>
                <w:szCs w:val="20"/>
                <w:color w:val="auto"/>
              </w:rPr>
            </w:pPr>
            <w:r>
              <w:rPr>
                <w:rFonts w:ascii="Times New Roman" w:cs="Times New Roman" w:eastAsia="Times New Roman" w:hAnsi="Times New Roman"/>
                <w:sz w:val="15"/>
                <w:szCs w:val="15"/>
                <w:color w:val="231F20"/>
              </w:rPr>
              <w:t>Investment income from non-controlled, non-affiliated investments:</w:t>
            </w:r>
          </w:p>
        </w:tc>
        <w:tc>
          <w:tcPr>
            <w:tcW w:w="80" w:type="dxa"/>
            <w:vAlign w:val="bottom"/>
            <w:shd w:val="clear" w:color="auto" w:fill="FDFDFC"/>
          </w:tcPr>
          <w:p>
            <w:pPr>
              <w:spacing w:after="0"/>
              <w:rPr>
                <w:sz w:val="16"/>
                <w:szCs w:val="16"/>
                <w:color w:val="auto"/>
              </w:rPr>
            </w:pPr>
          </w:p>
        </w:tc>
        <w:tc>
          <w:tcPr>
            <w:tcW w:w="1320" w:type="dxa"/>
            <w:vAlign w:val="bottom"/>
            <w:shd w:val="clear" w:color="auto" w:fill="FDFDFC"/>
          </w:tcPr>
          <w:p>
            <w:pPr>
              <w:spacing w:after="0"/>
              <w:rPr>
                <w:sz w:val="16"/>
                <w:szCs w:val="16"/>
                <w:color w:val="auto"/>
              </w:rPr>
            </w:pPr>
          </w:p>
        </w:tc>
        <w:tc>
          <w:tcPr>
            <w:tcW w:w="100" w:type="dxa"/>
            <w:vAlign w:val="bottom"/>
            <w:shd w:val="clear" w:color="auto" w:fill="FDFDFC"/>
          </w:tcPr>
          <w:p>
            <w:pPr>
              <w:spacing w:after="0"/>
              <w:rPr>
                <w:sz w:val="16"/>
                <w:szCs w:val="16"/>
                <w:color w:val="auto"/>
              </w:rPr>
            </w:pPr>
          </w:p>
        </w:tc>
        <w:tc>
          <w:tcPr>
            <w:tcW w:w="140" w:type="dxa"/>
            <w:vAlign w:val="bottom"/>
            <w:shd w:val="clear" w:color="auto" w:fill="FDFDFC"/>
          </w:tcPr>
          <w:p>
            <w:pPr>
              <w:spacing w:after="0"/>
              <w:rPr>
                <w:sz w:val="16"/>
                <w:szCs w:val="16"/>
                <w:color w:val="auto"/>
              </w:rPr>
            </w:pPr>
          </w:p>
        </w:tc>
        <w:tc>
          <w:tcPr>
            <w:tcW w:w="180" w:type="dxa"/>
            <w:vAlign w:val="bottom"/>
            <w:shd w:val="clear" w:color="auto" w:fill="FDFDFC"/>
          </w:tcPr>
          <w:p>
            <w:pPr>
              <w:spacing w:after="0"/>
              <w:rPr>
                <w:sz w:val="16"/>
                <w:szCs w:val="16"/>
                <w:color w:val="auto"/>
              </w:rPr>
            </w:pPr>
          </w:p>
        </w:tc>
        <w:tc>
          <w:tcPr>
            <w:tcW w:w="1200" w:type="dxa"/>
            <w:vAlign w:val="bottom"/>
            <w:shd w:val="clear" w:color="auto" w:fill="FDFDFC"/>
          </w:tcPr>
          <w:p>
            <w:pPr>
              <w:spacing w:after="0"/>
              <w:rPr>
                <w:sz w:val="16"/>
                <w:szCs w:val="16"/>
                <w:color w:val="auto"/>
              </w:rPr>
            </w:pPr>
          </w:p>
        </w:tc>
        <w:tc>
          <w:tcPr>
            <w:tcW w:w="100" w:type="dxa"/>
            <w:vAlign w:val="bottom"/>
            <w:shd w:val="clear" w:color="auto" w:fill="FDFDFC"/>
          </w:tcPr>
          <w:p>
            <w:pPr>
              <w:spacing w:after="0"/>
              <w:rPr>
                <w:sz w:val="16"/>
                <w:szCs w:val="16"/>
                <w:color w:val="auto"/>
              </w:rPr>
            </w:pPr>
          </w:p>
        </w:tc>
        <w:tc>
          <w:tcPr>
            <w:tcW w:w="100" w:type="dxa"/>
            <w:vAlign w:val="bottom"/>
            <w:shd w:val="clear" w:color="auto" w:fill="FDFDFC"/>
          </w:tcPr>
          <w:p>
            <w:pPr>
              <w:spacing w:after="0"/>
              <w:rPr>
                <w:sz w:val="16"/>
                <w:szCs w:val="16"/>
                <w:color w:val="auto"/>
              </w:rPr>
            </w:pPr>
          </w:p>
        </w:tc>
        <w:tc>
          <w:tcPr>
            <w:tcW w:w="180" w:type="dxa"/>
            <w:vAlign w:val="bottom"/>
            <w:shd w:val="clear" w:color="auto" w:fill="FDFDFC"/>
          </w:tcPr>
          <w:p>
            <w:pPr>
              <w:spacing w:after="0"/>
              <w:rPr>
                <w:sz w:val="16"/>
                <w:szCs w:val="16"/>
                <w:color w:val="auto"/>
              </w:rPr>
            </w:pPr>
          </w:p>
        </w:tc>
        <w:tc>
          <w:tcPr>
            <w:tcW w:w="1180" w:type="dxa"/>
            <w:vAlign w:val="bottom"/>
            <w:shd w:val="clear" w:color="auto" w:fill="FDFDFC"/>
          </w:tcPr>
          <w:p>
            <w:pPr>
              <w:spacing w:after="0"/>
              <w:rPr>
                <w:sz w:val="16"/>
                <w:szCs w:val="16"/>
                <w:color w:val="auto"/>
              </w:rPr>
            </w:pPr>
          </w:p>
        </w:tc>
        <w:tc>
          <w:tcPr>
            <w:tcW w:w="100" w:type="dxa"/>
            <w:vAlign w:val="bottom"/>
            <w:shd w:val="clear" w:color="auto" w:fill="FDFDFC"/>
          </w:tcPr>
          <w:p>
            <w:pPr>
              <w:spacing w:after="0"/>
              <w:rPr>
                <w:sz w:val="16"/>
                <w:szCs w:val="16"/>
                <w:color w:val="auto"/>
              </w:rPr>
            </w:pPr>
          </w:p>
        </w:tc>
      </w:tr>
      <w:tr>
        <w:trPr>
          <w:trHeight w:val="187"/>
        </w:trPr>
        <w:tc>
          <w:tcPr>
            <w:tcW w:w="5520" w:type="dxa"/>
            <w:vAlign w:val="bottom"/>
            <w:shd w:val="clear" w:color="auto" w:fill="D0EBF2"/>
          </w:tcPr>
          <w:p>
            <w:pPr>
              <w:ind w:left="180"/>
              <w:spacing w:after="0"/>
              <w:rPr>
                <w:sz w:val="20"/>
                <w:szCs w:val="20"/>
                <w:color w:val="auto"/>
              </w:rPr>
            </w:pPr>
            <w:r>
              <w:rPr>
                <w:rFonts w:ascii="Times New Roman" w:cs="Times New Roman" w:eastAsia="Times New Roman" w:hAnsi="Times New Roman"/>
                <w:sz w:val="15"/>
                <w:szCs w:val="15"/>
                <w:color w:val="231F20"/>
              </w:rPr>
              <w:t>Interest from investments</w:t>
            </w:r>
          </w:p>
        </w:tc>
        <w:tc>
          <w:tcPr>
            <w:tcW w:w="80" w:type="dxa"/>
            <w:vAlign w:val="bottom"/>
            <w:shd w:val="clear" w:color="auto" w:fill="D0EBF2"/>
          </w:tcPr>
          <w:p>
            <w:pPr>
              <w:jc w:val="right"/>
              <w:spacing w:after="0"/>
              <w:rPr>
                <w:sz w:val="20"/>
                <w:szCs w:val="20"/>
                <w:color w:val="auto"/>
              </w:rPr>
            </w:pPr>
            <w:r>
              <w:rPr>
                <w:rFonts w:ascii="Times New Roman" w:cs="Times New Roman" w:eastAsia="Times New Roman" w:hAnsi="Times New Roman"/>
                <w:sz w:val="15"/>
                <w:szCs w:val="15"/>
                <w:color w:val="231F20"/>
                <w:w w:val="79"/>
              </w:rPr>
              <w:t>$</w:t>
            </w:r>
          </w:p>
        </w:tc>
        <w:tc>
          <w:tcPr>
            <w:tcW w:w="1320" w:type="dxa"/>
            <w:vAlign w:val="bottom"/>
            <w:shd w:val="clear" w:color="auto" w:fill="D0EBF2"/>
          </w:tcPr>
          <w:p>
            <w:pPr>
              <w:jc w:val="right"/>
              <w:spacing w:after="0"/>
              <w:rPr>
                <w:sz w:val="20"/>
                <w:szCs w:val="20"/>
                <w:color w:val="auto"/>
              </w:rPr>
            </w:pPr>
            <w:r>
              <w:rPr>
                <w:rFonts w:ascii="Times New Roman" w:cs="Times New Roman" w:eastAsia="Times New Roman" w:hAnsi="Times New Roman"/>
                <w:sz w:val="15"/>
                <w:szCs w:val="15"/>
                <w:color w:val="231F20"/>
              </w:rPr>
              <w:t>413,547</w:t>
            </w:r>
          </w:p>
        </w:tc>
        <w:tc>
          <w:tcPr>
            <w:tcW w:w="100" w:type="dxa"/>
            <w:vAlign w:val="bottom"/>
            <w:shd w:val="clear" w:color="auto" w:fill="D0EBF2"/>
          </w:tcPr>
          <w:p>
            <w:pPr>
              <w:spacing w:after="0"/>
              <w:rPr>
                <w:sz w:val="16"/>
                <w:szCs w:val="16"/>
                <w:color w:val="auto"/>
              </w:rPr>
            </w:pPr>
          </w:p>
        </w:tc>
        <w:tc>
          <w:tcPr>
            <w:tcW w:w="320" w:type="dxa"/>
            <w:vAlign w:val="bottom"/>
            <w:gridSpan w:val="2"/>
            <w:shd w:val="clear" w:color="auto" w:fill="D0EBF2"/>
          </w:tcPr>
          <w:p>
            <w:pPr>
              <w:jc w:val="right"/>
              <w:ind w:right="24"/>
              <w:spacing w:after="0"/>
              <w:rPr>
                <w:sz w:val="20"/>
                <w:szCs w:val="20"/>
                <w:color w:val="auto"/>
              </w:rPr>
            </w:pPr>
            <w:r>
              <w:rPr>
                <w:rFonts w:ascii="Times New Roman" w:cs="Times New Roman" w:eastAsia="Times New Roman" w:hAnsi="Times New Roman"/>
                <w:sz w:val="15"/>
                <w:szCs w:val="15"/>
                <w:color w:val="231F20"/>
              </w:rPr>
              <w:t>$</w:t>
            </w:r>
          </w:p>
        </w:tc>
        <w:tc>
          <w:tcPr>
            <w:tcW w:w="1200" w:type="dxa"/>
            <w:vAlign w:val="bottom"/>
            <w:shd w:val="clear" w:color="auto" w:fill="D0EBF2"/>
          </w:tcPr>
          <w:p>
            <w:pPr>
              <w:jc w:val="right"/>
              <w:spacing w:after="0"/>
              <w:rPr>
                <w:sz w:val="20"/>
                <w:szCs w:val="20"/>
                <w:color w:val="auto"/>
              </w:rPr>
            </w:pPr>
            <w:r>
              <w:rPr>
                <w:rFonts w:ascii="Times New Roman" w:cs="Times New Roman" w:eastAsia="Times New Roman" w:hAnsi="Times New Roman"/>
                <w:sz w:val="15"/>
                <w:szCs w:val="15"/>
                <w:color w:val="231F20"/>
              </w:rPr>
              <w:t>391,343</w:t>
            </w:r>
          </w:p>
        </w:tc>
        <w:tc>
          <w:tcPr>
            <w:tcW w:w="100" w:type="dxa"/>
            <w:vAlign w:val="bottom"/>
            <w:shd w:val="clear" w:color="auto" w:fill="D0EBF2"/>
          </w:tcPr>
          <w:p>
            <w:pPr>
              <w:spacing w:after="0"/>
              <w:rPr>
                <w:sz w:val="16"/>
                <w:szCs w:val="16"/>
                <w:color w:val="auto"/>
              </w:rPr>
            </w:pPr>
          </w:p>
        </w:tc>
        <w:tc>
          <w:tcPr>
            <w:tcW w:w="280" w:type="dxa"/>
            <w:vAlign w:val="bottom"/>
            <w:gridSpan w:val="2"/>
            <w:shd w:val="clear" w:color="auto" w:fill="D0EBF2"/>
          </w:tcPr>
          <w:p>
            <w:pPr>
              <w:jc w:val="right"/>
              <w:ind w:right="24"/>
              <w:spacing w:after="0"/>
              <w:rPr>
                <w:sz w:val="20"/>
                <w:szCs w:val="20"/>
                <w:color w:val="auto"/>
              </w:rPr>
            </w:pPr>
            <w:r>
              <w:rPr>
                <w:rFonts w:ascii="Times New Roman" w:cs="Times New Roman" w:eastAsia="Times New Roman" w:hAnsi="Times New Roman"/>
                <w:sz w:val="15"/>
                <w:szCs w:val="15"/>
                <w:color w:val="231F20"/>
              </w:rPr>
              <w:t>$</w:t>
            </w:r>
          </w:p>
        </w:tc>
        <w:tc>
          <w:tcPr>
            <w:tcW w:w="1180" w:type="dxa"/>
            <w:vAlign w:val="bottom"/>
            <w:shd w:val="clear" w:color="auto" w:fill="D0EBF2"/>
          </w:tcPr>
          <w:p>
            <w:pPr>
              <w:jc w:val="right"/>
              <w:spacing w:after="0"/>
              <w:rPr>
                <w:sz w:val="20"/>
                <w:szCs w:val="20"/>
                <w:color w:val="auto"/>
              </w:rPr>
            </w:pPr>
            <w:r>
              <w:rPr>
                <w:rFonts w:ascii="Times New Roman" w:cs="Times New Roman" w:eastAsia="Times New Roman" w:hAnsi="Times New Roman"/>
                <w:sz w:val="15"/>
                <w:szCs w:val="15"/>
                <w:color w:val="231F20"/>
              </w:rPr>
              <w:t>279,857</w:t>
            </w:r>
          </w:p>
        </w:tc>
        <w:tc>
          <w:tcPr>
            <w:tcW w:w="100" w:type="dxa"/>
            <w:vAlign w:val="bottom"/>
            <w:shd w:val="clear" w:color="auto" w:fill="D0EBF2"/>
          </w:tcPr>
          <w:p>
            <w:pPr>
              <w:spacing w:after="0"/>
              <w:rPr>
                <w:sz w:val="16"/>
                <w:szCs w:val="16"/>
                <w:color w:val="auto"/>
              </w:rPr>
            </w:pPr>
          </w:p>
        </w:tc>
      </w:tr>
      <w:tr>
        <w:trPr>
          <w:trHeight w:val="187"/>
        </w:trPr>
        <w:tc>
          <w:tcPr>
            <w:tcW w:w="5520" w:type="dxa"/>
            <w:vAlign w:val="bottom"/>
            <w:shd w:val="clear" w:color="auto" w:fill="FDFDFC"/>
          </w:tcPr>
          <w:p>
            <w:pPr>
              <w:ind w:left="180"/>
              <w:spacing w:after="0"/>
              <w:rPr>
                <w:sz w:val="20"/>
                <w:szCs w:val="20"/>
                <w:color w:val="auto"/>
              </w:rPr>
            </w:pPr>
            <w:r>
              <w:rPr>
                <w:rFonts w:ascii="Times New Roman" w:cs="Times New Roman" w:eastAsia="Times New Roman" w:hAnsi="Times New Roman"/>
                <w:sz w:val="15"/>
                <w:szCs w:val="15"/>
                <w:color w:val="231F20"/>
              </w:rPr>
              <w:t>Paid-in-kind interest income</w:t>
            </w:r>
          </w:p>
        </w:tc>
        <w:tc>
          <w:tcPr>
            <w:tcW w:w="80" w:type="dxa"/>
            <w:vAlign w:val="bottom"/>
            <w:shd w:val="clear" w:color="auto" w:fill="FDFDFC"/>
          </w:tcPr>
          <w:p>
            <w:pPr>
              <w:spacing w:after="0"/>
              <w:rPr>
                <w:sz w:val="16"/>
                <w:szCs w:val="16"/>
                <w:color w:val="auto"/>
              </w:rPr>
            </w:pPr>
          </w:p>
        </w:tc>
        <w:tc>
          <w:tcPr>
            <w:tcW w:w="1320" w:type="dxa"/>
            <w:vAlign w:val="bottom"/>
            <w:shd w:val="clear" w:color="auto" w:fill="FDFDFC"/>
          </w:tcPr>
          <w:p>
            <w:pPr>
              <w:jc w:val="right"/>
              <w:spacing w:after="0"/>
              <w:rPr>
                <w:sz w:val="20"/>
                <w:szCs w:val="20"/>
                <w:color w:val="auto"/>
              </w:rPr>
            </w:pPr>
            <w:r>
              <w:rPr>
                <w:rFonts w:ascii="Times New Roman" w:cs="Times New Roman" w:eastAsia="Times New Roman" w:hAnsi="Times New Roman"/>
                <w:sz w:val="15"/>
                <w:szCs w:val="15"/>
                <w:color w:val="231F20"/>
              </w:rPr>
              <w:t>29,335</w:t>
            </w:r>
          </w:p>
        </w:tc>
        <w:tc>
          <w:tcPr>
            <w:tcW w:w="100" w:type="dxa"/>
            <w:vAlign w:val="bottom"/>
            <w:shd w:val="clear" w:color="auto" w:fill="FDFDFC"/>
          </w:tcPr>
          <w:p>
            <w:pPr>
              <w:spacing w:after="0"/>
              <w:rPr>
                <w:sz w:val="16"/>
                <w:szCs w:val="16"/>
                <w:color w:val="auto"/>
              </w:rPr>
            </w:pPr>
          </w:p>
        </w:tc>
        <w:tc>
          <w:tcPr>
            <w:tcW w:w="140" w:type="dxa"/>
            <w:vAlign w:val="bottom"/>
            <w:shd w:val="clear" w:color="auto" w:fill="FDFDFC"/>
          </w:tcPr>
          <w:p>
            <w:pPr>
              <w:spacing w:after="0"/>
              <w:rPr>
                <w:sz w:val="16"/>
                <w:szCs w:val="16"/>
                <w:color w:val="auto"/>
              </w:rPr>
            </w:pPr>
          </w:p>
        </w:tc>
        <w:tc>
          <w:tcPr>
            <w:tcW w:w="180" w:type="dxa"/>
            <w:vAlign w:val="bottom"/>
            <w:shd w:val="clear" w:color="auto" w:fill="FDFDFC"/>
          </w:tcPr>
          <w:p>
            <w:pPr>
              <w:spacing w:after="0"/>
              <w:rPr>
                <w:sz w:val="16"/>
                <w:szCs w:val="16"/>
                <w:color w:val="auto"/>
              </w:rPr>
            </w:pPr>
          </w:p>
        </w:tc>
        <w:tc>
          <w:tcPr>
            <w:tcW w:w="1200" w:type="dxa"/>
            <w:vAlign w:val="bottom"/>
            <w:shd w:val="clear" w:color="auto" w:fill="FDFDFC"/>
          </w:tcPr>
          <w:p>
            <w:pPr>
              <w:jc w:val="right"/>
              <w:spacing w:after="0"/>
              <w:rPr>
                <w:sz w:val="20"/>
                <w:szCs w:val="20"/>
                <w:color w:val="auto"/>
              </w:rPr>
            </w:pPr>
            <w:r>
              <w:rPr>
                <w:rFonts w:ascii="Times New Roman" w:cs="Times New Roman" w:eastAsia="Times New Roman" w:hAnsi="Times New Roman"/>
                <w:sz w:val="15"/>
                <w:szCs w:val="15"/>
                <w:color w:val="231F20"/>
              </w:rPr>
              <w:t>19,679</w:t>
            </w:r>
          </w:p>
        </w:tc>
        <w:tc>
          <w:tcPr>
            <w:tcW w:w="100" w:type="dxa"/>
            <w:vAlign w:val="bottom"/>
            <w:shd w:val="clear" w:color="auto" w:fill="FDFDFC"/>
          </w:tcPr>
          <w:p>
            <w:pPr>
              <w:spacing w:after="0"/>
              <w:rPr>
                <w:sz w:val="16"/>
                <w:szCs w:val="16"/>
                <w:color w:val="auto"/>
              </w:rPr>
            </w:pPr>
          </w:p>
        </w:tc>
        <w:tc>
          <w:tcPr>
            <w:tcW w:w="100" w:type="dxa"/>
            <w:vAlign w:val="bottom"/>
            <w:shd w:val="clear" w:color="auto" w:fill="FDFDFC"/>
          </w:tcPr>
          <w:p>
            <w:pPr>
              <w:spacing w:after="0"/>
              <w:rPr>
                <w:sz w:val="16"/>
                <w:szCs w:val="16"/>
                <w:color w:val="auto"/>
              </w:rPr>
            </w:pPr>
          </w:p>
        </w:tc>
        <w:tc>
          <w:tcPr>
            <w:tcW w:w="180" w:type="dxa"/>
            <w:vAlign w:val="bottom"/>
            <w:shd w:val="clear" w:color="auto" w:fill="FDFDFC"/>
          </w:tcPr>
          <w:p>
            <w:pPr>
              <w:spacing w:after="0"/>
              <w:rPr>
                <w:sz w:val="16"/>
                <w:szCs w:val="16"/>
                <w:color w:val="auto"/>
              </w:rPr>
            </w:pPr>
          </w:p>
        </w:tc>
        <w:tc>
          <w:tcPr>
            <w:tcW w:w="1180" w:type="dxa"/>
            <w:vAlign w:val="bottom"/>
            <w:shd w:val="clear" w:color="auto" w:fill="FDFDFC"/>
          </w:tcPr>
          <w:p>
            <w:pPr>
              <w:jc w:val="right"/>
              <w:spacing w:after="0"/>
              <w:rPr>
                <w:sz w:val="20"/>
                <w:szCs w:val="20"/>
                <w:color w:val="auto"/>
              </w:rPr>
            </w:pPr>
            <w:r>
              <w:rPr>
                <w:rFonts w:ascii="Times New Roman" w:cs="Times New Roman" w:eastAsia="Times New Roman" w:hAnsi="Times New Roman"/>
                <w:sz w:val="15"/>
                <w:szCs w:val="15"/>
                <w:color w:val="231F20"/>
              </w:rPr>
              <w:t>12,585</w:t>
            </w:r>
          </w:p>
        </w:tc>
        <w:tc>
          <w:tcPr>
            <w:tcW w:w="100" w:type="dxa"/>
            <w:vAlign w:val="bottom"/>
            <w:shd w:val="clear" w:color="auto" w:fill="FDFDFC"/>
          </w:tcPr>
          <w:p>
            <w:pPr>
              <w:spacing w:after="0"/>
              <w:rPr>
                <w:sz w:val="16"/>
                <w:szCs w:val="16"/>
                <w:color w:val="auto"/>
              </w:rPr>
            </w:pPr>
          </w:p>
        </w:tc>
      </w:tr>
      <w:tr>
        <w:trPr>
          <w:trHeight w:val="187"/>
        </w:trPr>
        <w:tc>
          <w:tcPr>
            <w:tcW w:w="5520" w:type="dxa"/>
            <w:vAlign w:val="bottom"/>
            <w:shd w:val="clear" w:color="auto" w:fill="D0EBF2"/>
          </w:tcPr>
          <w:p>
            <w:pPr>
              <w:ind w:left="180"/>
              <w:spacing w:after="0"/>
              <w:rPr>
                <w:sz w:val="20"/>
                <w:szCs w:val="20"/>
                <w:color w:val="auto"/>
              </w:rPr>
            </w:pPr>
            <w:r>
              <w:rPr>
                <w:rFonts w:ascii="Times New Roman" w:cs="Times New Roman" w:eastAsia="Times New Roman" w:hAnsi="Times New Roman"/>
                <w:sz w:val="15"/>
                <w:szCs w:val="15"/>
                <w:color w:val="231F20"/>
              </w:rPr>
              <w:t>Dividend income</w:t>
            </w:r>
          </w:p>
        </w:tc>
        <w:tc>
          <w:tcPr>
            <w:tcW w:w="80" w:type="dxa"/>
            <w:vAlign w:val="bottom"/>
            <w:shd w:val="clear" w:color="auto" w:fill="D0EBF2"/>
          </w:tcPr>
          <w:p>
            <w:pPr>
              <w:spacing w:after="0"/>
              <w:rPr>
                <w:sz w:val="16"/>
                <w:szCs w:val="16"/>
                <w:color w:val="auto"/>
              </w:rPr>
            </w:pPr>
          </w:p>
        </w:tc>
        <w:tc>
          <w:tcPr>
            <w:tcW w:w="1320" w:type="dxa"/>
            <w:vAlign w:val="bottom"/>
            <w:shd w:val="clear" w:color="auto" w:fill="D0EBF2"/>
          </w:tcPr>
          <w:p>
            <w:pPr>
              <w:jc w:val="right"/>
              <w:spacing w:after="0"/>
              <w:rPr>
                <w:sz w:val="20"/>
                <w:szCs w:val="20"/>
                <w:color w:val="auto"/>
              </w:rPr>
            </w:pPr>
            <w:r>
              <w:rPr>
                <w:rFonts w:ascii="Times New Roman" w:cs="Times New Roman" w:eastAsia="Times New Roman" w:hAnsi="Times New Roman"/>
                <w:sz w:val="15"/>
                <w:szCs w:val="15"/>
                <w:color w:val="231F20"/>
              </w:rPr>
              <w:t>11,678</w:t>
            </w:r>
          </w:p>
        </w:tc>
        <w:tc>
          <w:tcPr>
            <w:tcW w:w="100" w:type="dxa"/>
            <w:vAlign w:val="bottom"/>
            <w:shd w:val="clear" w:color="auto" w:fill="D0EBF2"/>
          </w:tcPr>
          <w:p>
            <w:pPr>
              <w:spacing w:after="0"/>
              <w:rPr>
                <w:sz w:val="16"/>
                <w:szCs w:val="16"/>
                <w:color w:val="auto"/>
              </w:rPr>
            </w:pPr>
          </w:p>
        </w:tc>
        <w:tc>
          <w:tcPr>
            <w:tcW w:w="140" w:type="dxa"/>
            <w:vAlign w:val="bottom"/>
            <w:shd w:val="clear" w:color="auto" w:fill="D0EBF2"/>
          </w:tcPr>
          <w:p>
            <w:pPr>
              <w:spacing w:after="0"/>
              <w:rPr>
                <w:sz w:val="16"/>
                <w:szCs w:val="16"/>
                <w:color w:val="auto"/>
              </w:rPr>
            </w:pPr>
          </w:p>
        </w:tc>
        <w:tc>
          <w:tcPr>
            <w:tcW w:w="180" w:type="dxa"/>
            <w:vAlign w:val="bottom"/>
            <w:shd w:val="clear" w:color="auto" w:fill="D0EBF2"/>
          </w:tcPr>
          <w:p>
            <w:pPr>
              <w:spacing w:after="0"/>
              <w:rPr>
                <w:sz w:val="16"/>
                <w:szCs w:val="16"/>
                <w:color w:val="auto"/>
              </w:rPr>
            </w:pPr>
          </w:p>
        </w:tc>
        <w:tc>
          <w:tcPr>
            <w:tcW w:w="1200" w:type="dxa"/>
            <w:vAlign w:val="bottom"/>
            <w:shd w:val="clear" w:color="auto" w:fill="D0EBF2"/>
          </w:tcPr>
          <w:p>
            <w:pPr>
              <w:jc w:val="right"/>
              <w:spacing w:after="0"/>
              <w:rPr>
                <w:sz w:val="20"/>
                <w:szCs w:val="20"/>
                <w:color w:val="auto"/>
              </w:rPr>
            </w:pPr>
            <w:r>
              <w:rPr>
                <w:rFonts w:ascii="Times New Roman" w:cs="Times New Roman" w:eastAsia="Times New Roman" w:hAnsi="Times New Roman"/>
                <w:sz w:val="15"/>
                <w:szCs w:val="15"/>
                <w:color w:val="231F20"/>
              </w:rPr>
              <w:t>4,181</w:t>
            </w:r>
          </w:p>
        </w:tc>
        <w:tc>
          <w:tcPr>
            <w:tcW w:w="100" w:type="dxa"/>
            <w:vAlign w:val="bottom"/>
            <w:shd w:val="clear" w:color="auto" w:fill="D0EBF2"/>
          </w:tcPr>
          <w:p>
            <w:pPr>
              <w:spacing w:after="0"/>
              <w:rPr>
                <w:sz w:val="16"/>
                <w:szCs w:val="16"/>
                <w:color w:val="auto"/>
              </w:rPr>
            </w:pPr>
          </w:p>
        </w:tc>
        <w:tc>
          <w:tcPr>
            <w:tcW w:w="100" w:type="dxa"/>
            <w:vAlign w:val="bottom"/>
            <w:shd w:val="clear" w:color="auto" w:fill="D0EBF2"/>
          </w:tcPr>
          <w:p>
            <w:pPr>
              <w:spacing w:after="0"/>
              <w:rPr>
                <w:sz w:val="16"/>
                <w:szCs w:val="16"/>
                <w:color w:val="auto"/>
              </w:rPr>
            </w:pPr>
          </w:p>
        </w:tc>
        <w:tc>
          <w:tcPr>
            <w:tcW w:w="180" w:type="dxa"/>
            <w:vAlign w:val="bottom"/>
            <w:shd w:val="clear" w:color="auto" w:fill="D0EBF2"/>
          </w:tcPr>
          <w:p>
            <w:pPr>
              <w:spacing w:after="0"/>
              <w:rPr>
                <w:sz w:val="16"/>
                <w:szCs w:val="16"/>
                <w:color w:val="auto"/>
              </w:rPr>
            </w:pPr>
          </w:p>
        </w:tc>
        <w:tc>
          <w:tcPr>
            <w:tcW w:w="1180" w:type="dxa"/>
            <w:vAlign w:val="bottom"/>
            <w:shd w:val="clear" w:color="auto" w:fill="D0EBF2"/>
          </w:tcPr>
          <w:p>
            <w:pPr>
              <w:jc w:val="right"/>
              <w:spacing w:after="0"/>
              <w:rPr>
                <w:sz w:val="20"/>
                <w:szCs w:val="20"/>
                <w:color w:val="auto"/>
              </w:rPr>
            </w:pPr>
            <w:r>
              <w:rPr>
                <w:rFonts w:ascii="Times New Roman" w:cs="Times New Roman" w:eastAsia="Times New Roman" w:hAnsi="Times New Roman"/>
                <w:sz w:val="15"/>
                <w:szCs w:val="15"/>
                <w:color w:val="231F20"/>
              </w:rPr>
              <w:t>2,159</w:t>
            </w:r>
          </w:p>
        </w:tc>
        <w:tc>
          <w:tcPr>
            <w:tcW w:w="100" w:type="dxa"/>
            <w:vAlign w:val="bottom"/>
            <w:shd w:val="clear" w:color="auto" w:fill="D0EBF2"/>
          </w:tcPr>
          <w:p>
            <w:pPr>
              <w:spacing w:after="0"/>
              <w:rPr>
                <w:sz w:val="16"/>
                <w:szCs w:val="16"/>
                <w:color w:val="auto"/>
              </w:rPr>
            </w:pPr>
          </w:p>
        </w:tc>
      </w:tr>
      <w:tr>
        <w:trPr>
          <w:trHeight w:val="187"/>
        </w:trPr>
        <w:tc>
          <w:tcPr>
            <w:tcW w:w="5520" w:type="dxa"/>
            <w:vAlign w:val="bottom"/>
            <w:tcBorders>
              <w:bottom w:val="single" w:sz="8" w:color="D0EBF2"/>
            </w:tcBorders>
            <w:shd w:val="clear" w:color="auto" w:fill="FDFDFC"/>
          </w:tcPr>
          <w:p>
            <w:pPr>
              <w:ind w:left="180"/>
              <w:spacing w:after="0"/>
              <w:rPr>
                <w:sz w:val="20"/>
                <w:szCs w:val="20"/>
                <w:color w:val="auto"/>
              </w:rPr>
            </w:pPr>
            <w:r>
              <w:rPr>
                <w:rFonts w:ascii="Times New Roman" w:cs="Times New Roman" w:eastAsia="Times New Roman" w:hAnsi="Times New Roman"/>
                <w:sz w:val="15"/>
                <w:szCs w:val="15"/>
                <w:color w:val="231F20"/>
              </w:rPr>
              <w:t>Other income</w:t>
            </w:r>
          </w:p>
        </w:tc>
        <w:tc>
          <w:tcPr>
            <w:tcW w:w="80" w:type="dxa"/>
            <w:vAlign w:val="bottom"/>
            <w:tcBorders>
              <w:bottom w:val="single" w:sz="8" w:color="231F20"/>
            </w:tcBorders>
            <w:shd w:val="clear" w:color="auto" w:fill="FDFDFC"/>
          </w:tcPr>
          <w:p>
            <w:pPr>
              <w:spacing w:after="0"/>
              <w:rPr>
                <w:sz w:val="16"/>
                <w:szCs w:val="16"/>
                <w:color w:val="auto"/>
              </w:rPr>
            </w:pPr>
          </w:p>
        </w:tc>
        <w:tc>
          <w:tcPr>
            <w:tcW w:w="1320" w:type="dxa"/>
            <w:vAlign w:val="bottom"/>
            <w:tcBorders>
              <w:bottom w:val="single" w:sz="8" w:color="231F20"/>
            </w:tcBorders>
            <w:shd w:val="clear" w:color="auto" w:fill="FDFDFC"/>
          </w:tcPr>
          <w:p>
            <w:pPr>
              <w:jc w:val="right"/>
              <w:spacing w:after="0"/>
              <w:rPr>
                <w:sz w:val="20"/>
                <w:szCs w:val="20"/>
                <w:color w:val="auto"/>
              </w:rPr>
            </w:pPr>
            <w:r>
              <w:rPr>
                <w:rFonts w:ascii="Times New Roman" w:cs="Times New Roman" w:eastAsia="Times New Roman" w:hAnsi="Times New Roman"/>
                <w:sz w:val="15"/>
                <w:szCs w:val="15"/>
                <w:color w:val="231F20"/>
              </w:rPr>
              <w:t>18,525</w:t>
            </w:r>
          </w:p>
        </w:tc>
        <w:tc>
          <w:tcPr>
            <w:tcW w:w="100" w:type="dxa"/>
            <w:vAlign w:val="bottom"/>
            <w:tcBorders>
              <w:bottom w:val="single" w:sz="8" w:color="D0EBF2"/>
            </w:tcBorders>
            <w:shd w:val="clear" w:color="auto" w:fill="FDFDFC"/>
          </w:tcPr>
          <w:p>
            <w:pPr>
              <w:spacing w:after="0"/>
              <w:rPr>
                <w:sz w:val="16"/>
                <w:szCs w:val="16"/>
                <w:color w:val="auto"/>
              </w:rPr>
            </w:pPr>
          </w:p>
        </w:tc>
        <w:tc>
          <w:tcPr>
            <w:tcW w:w="140" w:type="dxa"/>
            <w:vAlign w:val="bottom"/>
            <w:tcBorders>
              <w:bottom w:val="single" w:sz="8" w:color="231F20"/>
            </w:tcBorders>
            <w:shd w:val="clear" w:color="auto" w:fill="FDFDFC"/>
          </w:tcPr>
          <w:p>
            <w:pPr>
              <w:spacing w:after="0"/>
              <w:rPr>
                <w:sz w:val="16"/>
                <w:szCs w:val="16"/>
                <w:color w:val="auto"/>
              </w:rPr>
            </w:pPr>
          </w:p>
        </w:tc>
        <w:tc>
          <w:tcPr>
            <w:tcW w:w="180" w:type="dxa"/>
            <w:vAlign w:val="bottom"/>
            <w:tcBorders>
              <w:bottom w:val="single" w:sz="8" w:color="231F20"/>
            </w:tcBorders>
            <w:shd w:val="clear" w:color="auto" w:fill="FDFDFC"/>
          </w:tcPr>
          <w:p>
            <w:pPr>
              <w:spacing w:after="0"/>
              <w:rPr>
                <w:sz w:val="16"/>
                <w:szCs w:val="16"/>
                <w:color w:val="auto"/>
              </w:rPr>
            </w:pPr>
          </w:p>
        </w:tc>
        <w:tc>
          <w:tcPr>
            <w:tcW w:w="1200" w:type="dxa"/>
            <w:vAlign w:val="bottom"/>
            <w:tcBorders>
              <w:bottom w:val="single" w:sz="8" w:color="231F20"/>
            </w:tcBorders>
            <w:shd w:val="clear" w:color="auto" w:fill="FDFDFC"/>
          </w:tcPr>
          <w:p>
            <w:pPr>
              <w:jc w:val="right"/>
              <w:spacing w:after="0"/>
              <w:rPr>
                <w:sz w:val="20"/>
                <w:szCs w:val="20"/>
                <w:color w:val="auto"/>
              </w:rPr>
            </w:pPr>
            <w:r>
              <w:rPr>
                <w:rFonts w:ascii="Times New Roman" w:cs="Times New Roman" w:eastAsia="Times New Roman" w:hAnsi="Times New Roman"/>
                <w:sz w:val="15"/>
                <w:szCs w:val="15"/>
                <w:color w:val="231F20"/>
              </w:rPr>
              <w:t>15,122</w:t>
            </w:r>
          </w:p>
        </w:tc>
        <w:tc>
          <w:tcPr>
            <w:tcW w:w="100" w:type="dxa"/>
            <w:vAlign w:val="bottom"/>
            <w:tcBorders>
              <w:bottom w:val="single" w:sz="8" w:color="D0EBF2"/>
            </w:tcBorders>
            <w:shd w:val="clear" w:color="auto" w:fill="FDFDFC"/>
          </w:tcPr>
          <w:p>
            <w:pPr>
              <w:spacing w:after="0"/>
              <w:rPr>
                <w:sz w:val="16"/>
                <w:szCs w:val="16"/>
                <w:color w:val="auto"/>
              </w:rPr>
            </w:pPr>
          </w:p>
        </w:tc>
        <w:tc>
          <w:tcPr>
            <w:tcW w:w="100" w:type="dxa"/>
            <w:vAlign w:val="bottom"/>
            <w:tcBorders>
              <w:bottom w:val="single" w:sz="8" w:color="D0EBF2"/>
            </w:tcBorders>
            <w:shd w:val="clear" w:color="auto" w:fill="FDFDFC"/>
          </w:tcPr>
          <w:p>
            <w:pPr>
              <w:spacing w:after="0"/>
              <w:rPr>
                <w:sz w:val="16"/>
                <w:szCs w:val="16"/>
                <w:color w:val="auto"/>
              </w:rPr>
            </w:pPr>
          </w:p>
        </w:tc>
        <w:tc>
          <w:tcPr>
            <w:tcW w:w="180" w:type="dxa"/>
            <w:vAlign w:val="bottom"/>
            <w:tcBorders>
              <w:bottom w:val="single" w:sz="8" w:color="231F20"/>
            </w:tcBorders>
            <w:shd w:val="clear" w:color="auto" w:fill="FDFDFC"/>
          </w:tcPr>
          <w:p>
            <w:pPr>
              <w:spacing w:after="0"/>
              <w:rPr>
                <w:sz w:val="16"/>
                <w:szCs w:val="16"/>
                <w:color w:val="auto"/>
              </w:rPr>
            </w:pPr>
          </w:p>
        </w:tc>
        <w:tc>
          <w:tcPr>
            <w:tcW w:w="1180" w:type="dxa"/>
            <w:vAlign w:val="bottom"/>
            <w:tcBorders>
              <w:bottom w:val="single" w:sz="8" w:color="231F20"/>
            </w:tcBorders>
            <w:shd w:val="clear" w:color="auto" w:fill="FDFDFC"/>
          </w:tcPr>
          <w:p>
            <w:pPr>
              <w:jc w:val="right"/>
              <w:spacing w:after="0"/>
              <w:rPr>
                <w:sz w:val="20"/>
                <w:szCs w:val="20"/>
                <w:color w:val="auto"/>
              </w:rPr>
            </w:pPr>
            <w:r>
              <w:rPr>
                <w:rFonts w:ascii="Times New Roman" w:cs="Times New Roman" w:eastAsia="Times New Roman" w:hAnsi="Times New Roman"/>
                <w:sz w:val="15"/>
                <w:szCs w:val="15"/>
                <w:color w:val="231F20"/>
              </w:rPr>
              <w:t>9,502</w:t>
            </w:r>
          </w:p>
        </w:tc>
        <w:tc>
          <w:tcPr>
            <w:tcW w:w="100" w:type="dxa"/>
            <w:vAlign w:val="bottom"/>
            <w:tcBorders>
              <w:bottom w:val="single" w:sz="8" w:color="D0EBF2"/>
            </w:tcBorders>
            <w:shd w:val="clear" w:color="auto" w:fill="FDFDFC"/>
          </w:tcPr>
          <w:p>
            <w:pPr>
              <w:spacing w:after="0"/>
              <w:rPr>
                <w:sz w:val="16"/>
                <w:szCs w:val="16"/>
                <w:color w:val="auto"/>
              </w:rPr>
            </w:pPr>
          </w:p>
        </w:tc>
      </w:tr>
      <w:tr>
        <w:trPr>
          <w:trHeight w:val="176"/>
        </w:trPr>
        <w:tc>
          <w:tcPr>
            <w:tcW w:w="5520" w:type="dxa"/>
            <w:vAlign w:val="bottom"/>
            <w:shd w:val="clear" w:color="auto" w:fill="D0EBF2"/>
          </w:tcPr>
          <w:p>
            <w:pPr>
              <w:ind w:left="380"/>
              <w:spacing w:after="0"/>
              <w:rPr>
                <w:sz w:val="20"/>
                <w:szCs w:val="20"/>
                <w:color w:val="auto"/>
              </w:rPr>
            </w:pPr>
            <w:r>
              <w:rPr>
                <w:rFonts w:ascii="Times New Roman" w:cs="Times New Roman" w:eastAsia="Times New Roman" w:hAnsi="Times New Roman"/>
                <w:sz w:val="15"/>
                <w:szCs w:val="15"/>
                <w:color w:val="231F20"/>
              </w:rPr>
              <w:t>Total investment income from non-controlled, non-affiliated investments</w:t>
            </w:r>
          </w:p>
        </w:tc>
        <w:tc>
          <w:tcPr>
            <w:tcW w:w="80" w:type="dxa"/>
            <w:vAlign w:val="bottom"/>
            <w:shd w:val="clear" w:color="auto" w:fill="D0EBF2"/>
          </w:tcPr>
          <w:p>
            <w:pPr>
              <w:spacing w:after="0"/>
              <w:rPr>
                <w:sz w:val="15"/>
                <w:szCs w:val="15"/>
                <w:color w:val="auto"/>
              </w:rPr>
            </w:pPr>
          </w:p>
        </w:tc>
        <w:tc>
          <w:tcPr>
            <w:tcW w:w="1320" w:type="dxa"/>
            <w:vAlign w:val="bottom"/>
            <w:shd w:val="clear" w:color="auto" w:fill="D0EBF2"/>
          </w:tcPr>
          <w:p>
            <w:pPr>
              <w:jc w:val="right"/>
              <w:spacing w:after="0"/>
              <w:rPr>
                <w:sz w:val="20"/>
                <w:szCs w:val="20"/>
                <w:color w:val="auto"/>
              </w:rPr>
            </w:pPr>
            <w:r>
              <w:rPr>
                <w:rFonts w:ascii="Times New Roman" w:cs="Times New Roman" w:eastAsia="Times New Roman" w:hAnsi="Times New Roman"/>
                <w:sz w:val="15"/>
                <w:szCs w:val="15"/>
                <w:color w:val="231F20"/>
              </w:rPr>
              <w:t>473,085</w:t>
            </w:r>
          </w:p>
        </w:tc>
        <w:tc>
          <w:tcPr>
            <w:tcW w:w="100" w:type="dxa"/>
            <w:vAlign w:val="bottom"/>
            <w:shd w:val="clear" w:color="auto" w:fill="D0EBF2"/>
          </w:tcPr>
          <w:p>
            <w:pPr>
              <w:spacing w:after="0"/>
              <w:rPr>
                <w:sz w:val="15"/>
                <w:szCs w:val="15"/>
                <w:color w:val="auto"/>
              </w:rPr>
            </w:pPr>
          </w:p>
        </w:tc>
        <w:tc>
          <w:tcPr>
            <w:tcW w:w="140" w:type="dxa"/>
            <w:vAlign w:val="bottom"/>
            <w:shd w:val="clear" w:color="auto" w:fill="D0EBF2"/>
          </w:tcPr>
          <w:p>
            <w:pPr>
              <w:spacing w:after="0"/>
              <w:rPr>
                <w:sz w:val="15"/>
                <w:szCs w:val="15"/>
                <w:color w:val="auto"/>
              </w:rPr>
            </w:pPr>
          </w:p>
        </w:tc>
        <w:tc>
          <w:tcPr>
            <w:tcW w:w="180" w:type="dxa"/>
            <w:vAlign w:val="bottom"/>
            <w:shd w:val="clear" w:color="auto" w:fill="D0EBF2"/>
          </w:tcPr>
          <w:p>
            <w:pPr>
              <w:spacing w:after="0"/>
              <w:rPr>
                <w:sz w:val="15"/>
                <w:szCs w:val="15"/>
                <w:color w:val="auto"/>
              </w:rPr>
            </w:pPr>
          </w:p>
        </w:tc>
        <w:tc>
          <w:tcPr>
            <w:tcW w:w="1200" w:type="dxa"/>
            <w:vAlign w:val="bottom"/>
            <w:shd w:val="clear" w:color="auto" w:fill="D0EBF2"/>
          </w:tcPr>
          <w:p>
            <w:pPr>
              <w:jc w:val="right"/>
              <w:spacing w:after="0"/>
              <w:rPr>
                <w:sz w:val="20"/>
                <w:szCs w:val="20"/>
                <w:color w:val="auto"/>
              </w:rPr>
            </w:pPr>
            <w:r>
              <w:rPr>
                <w:rFonts w:ascii="Times New Roman" w:cs="Times New Roman" w:eastAsia="Times New Roman" w:hAnsi="Times New Roman"/>
                <w:sz w:val="15"/>
                <w:szCs w:val="15"/>
                <w:color w:val="231F20"/>
              </w:rPr>
              <w:t>430,325</w:t>
            </w:r>
          </w:p>
        </w:tc>
        <w:tc>
          <w:tcPr>
            <w:tcW w:w="100" w:type="dxa"/>
            <w:vAlign w:val="bottom"/>
            <w:shd w:val="clear" w:color="auto" w:fill="D0EBF2"/>
          </w:tcPr>
          <w:p>
            <w:pPr>
              <w:spacing w:after="0"/>
              <w:rPr>
                <w:sz w:val="15"/>
                <w:szCs w:val="15"/>
                <w:color w:val="auto"/>
              </w:rPr>
            </w:pPr>
          </w:p>
        </w:tc>
        <w:tc>
          <w:tcPr>
            <w:tcW w:w="100" w:type="dxa"/>
            <w:vAlign w:val="bottom"/>
            <w:shd w:val="clear" w:color="auto" w:fill="D0EBF2"/>
          </w:tcPr>
          <w:p>
            <w:pPr>
              <w:spacing w:after="0"/>
              <w:rPr>
                <w:sz w:val="15"/>
                <w:szCs w:val="15"/>
                <w:color w:val="auto"/>
              </w:rPr>
            </w:pPr>
          </w:p>
        </w:tc>
        <w:tc>
          <w:tcPr>
            <w:tcW w:w="180" w:type="dxa"/>
            <w:vAlign w:val="bottom"/>
            <w:shd w:val="clear" w:color="auto" w:fill="D0EBF2"/>
          </w:tcPr>
          <w:p>
            <w:pPr>
              <w:spacing w:after="0"/>
              <w:rPr>
                <w:sz w:val="15"/>
                <w:szCs w:val="15"/>
                <w:color w:val="auto"/>
              </w:rPr>
            </w:pPr>
          </w:p>
        </w:tc>
        <w:tc>
          <w:tcPr>
            <w:tcW w:w="1180" w:type="dxa"/>
            <w:vAlign w:val="bottom"/>
            <w:shd w:val="clear" w:color="auto" w:fill="D0EBF2"/>
          </w:tcPr>
          <w:p>
            <w:pPr>
              <w:jc w:val="right"/>
              <w:spacing w:after="0"/>
              <w:rPr>
                <w:sz w:val="20"/>
                <w:szCs w:val="20"/>
                <w:color w:val="auto"/>
              </w:rPr>
            </w:pPr>
            <w:r>
              <w:rPr>
                <w:rFonts w:ascii="Times New Roman" w:cs="Times New Roman" w:eastAsia="Times New Roman" w:hAnsi="Times New Roman"/>
                <w:sz w:val="15"/>
                <w:szCs w:val="15"/>
                <w:color w:val="231F20"/>
              </w:rPr>
              <w:t>304,103</w:t>
            </w:r>
          </w:p>
        </w:tc>
        <w:tc>
          <w:tcPr>
            <w:tcW w:w="100" w:type="dxa"/>
            <w:vAlign w:val="bottom"/>
            <w:shd w:val="clear" w:color="auto" w:fill="D0EBF2"/>
          </w:tcPr>
          <w:p>
            <w:pPr>
              <w:spacing w:after="0"/>
              <w:rPr>
                <w:sz w:val="15"/>
                <w:szCs w:val="15"/>
                <w:color w:val="auto"/>
              </w:rPr>
            </w:pPr>
          </w:p>
        </w:tc>
      </w:tr>
      <w:tr>
        <w:trPr>
          <w:trHeight w:val="187"/>
        </w:trPr>
        <w:tc>
          <w:tcPr>
            <w:tcW w:w="5520" w:type="dxa"/>
            <w:vAlign w:val="bottom"/>
            <w:shd w:val="clear" w:color="auto" w:fill="FDFDFC"/>
          </w:tcPr>
          <w:p>
            <w:pPr>
              <w:spacing w:after="0"/>
              <w:rPr>
                <w:sz w:val="20"/>
                <w:szCs w:val="20"/>
                <w:color w:val="auto"/>
              </w:rPr>
            </w:pPr>
            <w:r>
              <w:rPr>
                <w:rFonts w:ascii="Times New Roman" w:cs="Times New Roman" w:eastAsia="Times New Roman" w:hAnsi="Times New Roman"/>
                <w:sz w:val="15"/>
                <w:szCs w:val="15"/>
                <w:color w:val="231F20"/>
              </w:rPr>
              <w:t>Investment income from non-controlled, affiliated investments:</w:t>
            </w:r>
          </w:p>
        </w:tc>
        <w:tc>
          <w:tcPr>
            <w:tcW w:w="80" w:type="dxa"/>
            <w:vAlign w:val="bottom"/>
            <w:shd w:val="clear" w:color="auto" w:fill="FDFDFC"/>
          </w:tcPr>
          <w:p>
            <w:pPr>
              <w:spacing w:after="0"/>
              <w:rPr>
                <w:sz w:val="16"/>
                <w:szCs w:val="16"/>
                <w:color w:val="auto"/>
              </w:rPr>
            </w:pPr>
          </w:p>
        </w:tc>
        <w:tc>
          <w:tcPr>
            <w:tcW w:w="1320" w:type="dxa"/>
            <w:vAlign w:val="bottom"/>
            <w:shd w:val="clear" w:color="auto" w:fill="FDFDFC"/>
          </w:tcPr>
          <w:p>
            <w:pPr>
              <w:spacing w:after="0"/>
              <w:rPr>
                <w:sz w:val="16"/>
                <w:szCs w:val="16"/>
                <w:color w:val="auto"/>
              </w:rPr>
            </w:pPr>
          </w:p>
        </w:tc>
        <w:tc>
          <w:tcPr>
            <w:tcW w:w="100" w:type="dxa"/>
            <w:vAlign w:val="bottom"/>
            <w:shd w:val="clear" w:color="auto" w:fill="FDFDFC"/>
          </w:tcPr>
          <w:p>
            <w:pPr>
              <w:spacing w:after="0"/>
              <w:rPr>
                <w:sz w:val="16"/>
                <w:szCs w:val="16"/>
                <w:color w:val="auto"/>
              </w:rPr>
            </w:pPr>
          </w:p>
        </w:tc>
        <w:tc>
          <w:tcPr>
            <w:tcW w:w="140" w:type="dxa"/>
            <w:vAlign w:val="bottom"/>
            <w:shd w:val="clear" w:color="auto" w:fill="FDFDFC"/>
          </w:tcPr>
          <w:p>
            <w:pPr>
              <w:spacing w:after="0"/>
              <w:rPr>
                <w:sz w:val="16"/>
                <w:szCs w:val="16"/>
                <w:color w:val="auto"/>
              </w:rPr>
            </w:pPr>
          </w:p>
        </w:tc>
        <w:tc>
          <w:tcPr>
            <w:tcW w:w="180" w:type="dxa"/>
            <w:vAlign w:val="bottom"/>
            <w:shd w:val="clear" w:color="auto" w:fill="FDFDFC"/>
          </w:tcPr>
          <w:p>
            <w:pPr>
              <w:spacing w:after="0"/>
              <w:rPr>
                <w:sz w:val="16"/>
                <w:szCs w:val="16"/>
                <w:color w:val="auto"/>
              </w:rPr>
            </w:pPr>
          </w:p>
        </w:tc>
        <w:tc>
          <w:tcPr>
            <w:tcW w:w="1200" w:type="dxa"/>
            <w:vAlign w:val="bottom"/>
            <w:shd w:val="clear" w:color="auto" w:fill="FDFDFC"/>
          </w:tcPr>
          <w:p>
            <w:pPr>
              <w:spacing w:after="0"/>
              <w:rPr>
                <w:sz w:val="16"/>
                <w:szCs w:val="16"/>
                <w:color w:val="auto"/>
              </w:rPr>
            </w:pPr>
          </w:p>
        </w:tc>
        <w:tc>
          <w:tcPr>
            <w:tcW w:w="100" w:type="dxa"/>
            <w:vAlign w:val="bottom"/>
            <w:shd w:val="clear" w:color="auto" w:fill="FDFDFC"/>
          </w:tcPr>
          <w:p>
            <w:pPr>
              <w:spacing w:after="0"/>
              <w:rPr>
                <w:sz w:val="16"/>
                <w:szCs w:val="16"/>
                <w:color w:val="auto"/>
              </w:rPr>
            </w:pPr>
          </w:p>
        </w:tc>
        <w:tc>
          <w:tcPr>
            <w:tcW w:w="100" w:type="dxa"/>
            <w:vAlign w:val="bottom"/>
            <w:shd w:val="clear" w:color="auto" w:fill="FDFDFC"/>
          </w:tcPr>
          <w:p>
            <w:pPr>
              <w:spacing w:after="0"/>
              <w:rPr>
                <w:sz w:val="16"/>
                <w:szCs w:val="16"/>
                <w:color w:val="auto"/>
              </w:rPr>
            </w:pPr>
          </w:p>
        </w:tc>
        <w:tc>
          <w:tcPr>
            <w:tcW w:w="180" w:type="dxa"/>
            <w:vAlign w:val="bottom"/>
            <w:shd w:val="clear" w:color="auto" w:fill="FDFDFC"/>
          </w:tcPr>
          <w:p>
            <w:pPr>
              <w:spacing w:after="0"/>
              <w:rPr>
                <w:sz w:val="16"/>
                <w:szCs w:val="16"/>
                <w:color w:val="auto"/>
              </w:rPr>
            </w:pPr>
          </w:p>
        </w:tc>
        <w:tc>
          <w:tcPr>
            <w:tcW w:w="1180" w:type="dxa"/>
            <w:vAlign w:val="bottom"/>
            <w:shd w:val="clear" w:color="auto" w:fill="FDFDFC"/>
          </w:tcPr>
          <w:p>
            <w:pPr>
              <w:spacing w:after="0"/>
              <w:rPr>
                <w:sz w:val="16"/>
                <w:szCs w:val="16"/>
                <w:color w:val="auto"/>
              </w:rPr>
            </w:pPr>
          </w:p>
        </w:tc>
        <w:tc>
          <w:tcPr>
            <w:tcW w:w="100" w:type="dxa"/>
            <w:vAlign w:val="bottom"/>
            <w:shd w:val="clear" w:color="auto" w:fill="FDFDFC"/>
          </w:tcPr>
          <w:p>
            <w:pPr>
              <w:spacing w:after="0"/>
              <w:rPr>
                <w:sz w:val="16"/>
                <w:szCs w:val="16"/>
                <w:color w:val="auto"/>
              </w:rPr>
            </w:pPr>
          </w:p>
        </w:tc>
      </w:tr>
      <w:tr>
        <w:trPr>
          <w:trHeight w:val="207"/>
        </w:trPr>
        <w:tc>
          <w:tcPr>
            <w:tcW w:w="5520" w:type="dxa"/>
            <w:vAlign w:val="bottom"/>
            <w:shd w:val="clear" w:color="auto" w:fill="D0EBF2"/>
          </w:tcPr>
          <w:p>
            <w:pPr>
              <w:ind w:left="180"/>
              <w:spacing w:after="0"/>
              <w:rPr>
                <w:sz w:val="20"/>
                <w:szCs w:val="20"/>
                <w:color w:val="auto"/>
              </w:rPr>
            </w:pPr>
            <w:r>
              <w:rPr>
                <w:rFonts w:ascii="Times New Roman" w:cs="Times New Roman" w:eastAsia="Times New Roman" w:hAnsi="Times New Roman"/>
                <w:sz w:val="15"/>
                <w:szCs w:val="15"/>
                <w:color w:val="231F20"/>
              </w:rPr>
              <w:t>Interest from investments</w:t>
            </w:r>
          </w:p>
        </w:tc>
        <w:tc>
          <w:tcPr>
            <w:tcW w:w="80" w:type="dxa"/>
            <w:vAlign w:val="bottom"/>
            <w:shd w:val="clear" w:color="auto" w:fill="D0EBF2"/>
          </w:tcPr>
          <w:p>
            <w:pPr>
              <w:spacing w:after="0"/>
              <w:rPr>
                <w:sz w:val="17"/>
                <w:szCs w:val="17"/>
                <w:color w:val="auto"/>
              </w:rPr>
            </w:pPr>
          </w:p>
        </w:tc>
        <w:tc>
          <w:tcPr>
            <w:tcW w:w="1420" w:type="dxa"/>
            <w:vAlign w:val="bottom"/>
            <w:gridSpan w:val="2"/>
            <w:shd w:val="clear" w:color="auto" w:fill="D0EBF2"/>
          </w:tcPr>
          <w:p>
            <w:pPr>
              <w:jc w:val="right"/>
              <w:ind w:right="44"/>
              <w:spacing w:after="0"/>
              <w:rPr>
                <w:sz w:val="20"/>
                <w:szCs w:val="20"/>
                <w:color w:val="auto"/>
              </w:rPr>
            </w:pPr>
            <w:r>
              <w:rPr>
                <w:rFonts w:ascii="Times New Roman" w:cs="Times New Roman" w:eastAsia="Times New Roman" w:hAnsi="Times New Roman"/>
                <w:sz w:val="15"/>
                <w:szCs w:val="15"/>
                <w:color w:val="231F20"/>
              </w:rPr>
              <w:t>—</w:t>
            </w:r>
          </w:p>
        </w:tc>
        <w:tc>
          <w:tcPr>
            <w:tcW w:w="140" w:type="dxa"/>
            <w:vAlign w:val="bottom"/>
            <w:shd w:val="clear" w:color="auto" w:fill="D0EBF2"/>
          </w:tcPr>
          <w:p>
            <w:pPr>
              <w:spacing w:after="0"/>
              <w:rPr>
                <w:sz w:val="17"/>
                <w:szCs w:val="17"/>
                <w:color w:val="auto"/>
              </w:rPr>
            </w:pPr>
          </w:p>
        </w:tc>
        <w:tc>
          <w:tcPr>
            <w:tcW w:w="180" w:type="dxa"/>
            <w:vAlign w:val="bottom"/>
            <w:shd w:val="clear" w:color="auto" w:fill="D0EBF2"/>
          </w:tcPr>
          <w:p>
            <w:pPr>
              <w:spacing w:after="0"/>
              <w:rPr>
                <w:sz w:val="17"/>
                <w:szCs w:val="17"/>
                <w:color w:val="auto"/>
              </w:rPr>
            </w:pPr>
          </w:p>
        </w:tc>
        <w:tc>
          <w:tcPr>
            <w:tcW w:w="1300" w:type="dxa"/>
            <w:vAlign w:val="bottom"/>
            <w:gridSpan w:val="2"/>
            <w:shd w:val="clear" w:color="auto" w:fill="D0EBF2"/>
          </w:tcPr>
          <w:p>
            <w:pPr>
              <w:jc w:val="right"/>
              <w:ind w:right="102"/>
              <w:spacing w:after="0"/>
              <w:rPr>
                <w:sz w:val="20"/>
                <w:szCs w:val="20"/>
                <w:color w:val="auto"/>
              </w:rPr>
            </w:pPr>
            <w:r>
              <w:rPr>
                <w:rFonts w:ascii="Times New Roman" w:cs="Times New Roman" w:eastAsia="Times New Roman" w:hAnsi="Times New Roman"/>
                <w:sz w:val="15"/>
                <w:szCs w:val="15"/>
                <w:color w:val="231F20"/>
              </w:rPr>
              <w:t>—</w:t>
            </w:r>
          </w:p>
        </w:tc>
        <w:tc>
          <w:tcPr>
            <w:tcW w:w="100" w:type="dxa"/>
            <w:vAlign w:val="bottom"/>
            <w:shd w:val="clear" w:color="auto" w:fill="D0EBF2"/>
          </w:tcPr>
          <w:p>
            <w:pPr>
              <w:spacing w:after="0"/>
              <w:rPr>
                <w:sz w:val="17"/>
                <w:szCs w:val="17"/>
                <w:color w:val="auto"/>
              </w:rPr>
            </w:pPr>
          </w:p>
        </w:tc>
        <w:tc>
          <w:tcPr>
            <w:tcW w:w="180" w:type="dxa"/>
            <w:vAlign w:val="bottom"/>
            <w:shd w:val="clear" w:color="auto" w:fill="D0EBF2"/>
          </w:tcPr>
          <w:p>
            <w:pPr>
              <w:spacing w:after="0"/>
              <w:rPr>
                <w:sz w:val="17"/>
                <w:szCs w:val="17"/>
                <w:color w:val="auto"/>
              </w:rPr>
            </w:pPr>
          </w:p>
        </w:tc>
        <w:tc>
          <w:tcPr>
            <w:tcW w:w="1180" w:type="dxa"/>
            <w:vAlign w:val="bottom"/>
            <w:shd w:val="clear" w:color="auto" w:fill="D0EBF2"/>
          </w:tcPr>
          <w:p>
            <w:pPr>
              <w:jc w:val="right"/>
              <w:spacing w:after="0"/>
              <w:rPr>
                <w:sz w:val="20"/>
                <w:szCs w:val="20"/>
                <w:color w:val="auto"/>
              </w:rPr>
            </w:pPr>
            <w:r>
              <w:rPr>
                <w:rFonts w:ascii="Times New Roman" w:cs="Times New Roman" w:eastAsia="Times New Roman" w:hAnsi="Times New Roman"/>
                <w:sz w:val="15"/>
                <w:szCs w:val="15"/>
                <w:color w:val="231F20"/>
              </w:rPr>
              <w:t>133</w:t>
            </w:r>
          </w:p>
        </w:tc>
        <w:tc>
          <w:tcPr>
            <w:tcW w:w="100" w:type="dxa"/>
            <w:vAlign w:val="bottom"/>
            <w:shd w:val="clear" w:color="auto" w:fill="D0EBF2"/>
          </w:tcPr>
          <w:p>
            <w:pPr>
              <w:spacing w:after="0"/>
              <w:rPr>
                <w:sz w:val="17"/>
                <w:szCs w:val="17"/>
                <w:color w:val="auto"/>
              </w:rPr>
            </w:pPr>
          </w:p>
        </w:tc>
      </w:tr>
      <w:tr>
        <w:trPr>
          <w:trHeight w:val="147"/>
        </w:trPr>
        <w:tc>
          <w:tcPr>
            <w:tcW w:w="5520" w:type="dxa"/>
            <w:vAlign w:val="bottom"/>
            <w:tcBorders>
              <w:top w:val="single" w:sz="8" w:color="D0EBF2"/>
            </w:tcBorders>
            <w:shd w:val="clear" w:color="auto" w:fill="FDFDFC"/>
          </w:tcPr>
          <w:p>
            <w:pPr>
              <w:ind w:left="380"/>
              <w:spacing w:after="0" w:line="147" w:lineRule="exact"/>
              <w:rPr>
                <w:sz w:val="20"/>
                <w:szCs w:val="20"/>
                <w:color w:val="auto"/>
              </w:rPr>
            </w:pPr>
            <w:r>
              <w:rPr>
                <w:rFonts w:ascii="Times New Roman" w:cs="Times New Roman" w:eastAsia="Times New Roman" w:hAnsi="Times New Roman"/>
                <w:sz w:val="15"/>
                <w:szCs w:val="15"/>
                <w:color w:val="231F20"/>
              </w:rPr>
              <w:t>Total investment income from non-controlled, affiliated investments</w:t>
            </w:r>
          </w:p>
        </w:tc>
        <w:tc>
          <w:tcPr>
            <w:tcW w:w="80" w:type="dxa"/>
            <w:vAlign w:val="bottom"/>
            <w:tcBorders>
              <w:top w:val="single" w:sz="8" w:color="231F20"/>
            </w:tcBorders>
            <w:shd w:val="clear" w:color="auto" w:fill="FDFDFC"/>
          </w:tcPr>
          <w:p>
            <w:pPr>
              <w:spacing w:after="0"/>
              <w:rPr>
                <w:sz w:val="12"/>
                <w:szCs w:val="12"/>
                <w:color w:val="auto"/>
              </w:rPr>
            </w:pPr>
          </w:p>
        </w:tc>
        <w:tc>
          <w:tcPr>
            <w:tcW w:w="1320" w:type="dxa"/>
            <w:vAlign w:val="bottom"/>
            <w:tcBorders>
              <w:top w:val="single" w:sz="8" w:color="231F20"/>
            </w:tcBorders>
            <w:shd w:val="clear" w:color="auto" w:fill="FDFDFC"/>
          </w:tcPr>
          <w:p>
            <w:pPr>
              <w:jc w:val="right"/>
              <w:spacing w:after="0" w:line="147" w:lineRule="exact"/>
              <w:rPr>
                <w:sz w:val="20"/>
                <w:szCs w:val="20"/>
                <w:color w:val="auto"/>
              </w:rPr>
            </w:pPr>
            <w:r>
              <w:rPr>
                <w:rFonts w:ascii="Times New Roman" w:cs="Times New Roman" w:eastAsia="Times New Roman" w:hAnsi="Times New Roman"/>
                <w:sz w:val="15"/>
                <w:szCs w:val="15"/>
                <w:color w:val="231F20"/>
              </w:rPr>
              <w:t>—</w:t>
            </w:r>
          </w:p>
        </w:tc>
        <w:tc>
          <w:tcPr>
            <w:tcW w:w="100" w:type="dxa"/>
            <w:vAlign w:val="bottom"/>
            <w:tcBorders>
              <w:top w:val="single" w:sz="8" w:color="D0EBF2"/>
            </w:tcBorders>
            <w:shd w:val="clear" w:color="auto" w:fill="FDFDFC"/>
          </w:tcPr>
          <w:p>
            <w:pPr>
              <w:spacing w:after="0"/>
              <w:rPr>
                <w:sz w:val="12"/>
                <w:szCs w:val="12"/>
                <w:color w:val="auto"/>
              </w:rPr>
            </w:pPr>
          </w:p>
        </w:tc>
        <w:tc>
          <w:tcPr>
            <w:tcW w:w="140" w:type="dxa"/>
            <w:vAlign w:val="bottom"/>
            <w:tcBorders>
              <w:top w:val="single" w:sz="8" w:color="231F20"/>
            </w:tcBorders>
            <w:shd w:val="clear" w:color="auto" w:fill="FDFDFC"/>
          </w:tcPr>
          <w:p>
            <w:pPr>
              <w:spacing w:after="0"/>
              <w:rPr>
                <w:sz w:val="12"/>
                <w:szCs w:val="12"/>
                <w:color w:val="auto"/>
              </w:rPr>
            </w:pPr>
          </w:p>
        </w:tc>
        <w:tc>
          <w:tcPr>
            <w:tcW w:w="180" w:type="dxa"/>
            <w:vAlign w:val="bottom"/>
            <w:tcBorders>
              <w:top w:val="single" w:sz="8" w:color="231F20"/>
            </w:tcBorders>
            <w:shd w:val="clear" w:color="auto" w:fill="FDFDFC"/>
          </w:tcPr>
          <w:p>
            <w:pPr>
              <w:spacing w:after="0"/>
              <w:rPr>
                <w:sz w:val="12"/>
                <w:szCs w:val="12"/>
                <w:color w:val="auto"/>
              </w:rPr>
            </w:pPr>
          </w:p>
        </w:tc>
        <w:tc>
          <w:tcPr>
            <w:tcW w:w="1200" w:type="dxa"/>
            <w:vAlign w:val="bottom"/>
            <w:tcBorders>
              <w:top w:val="single" w:sz="8" w:color="231F20"/>
            </w:tcBorders>
            <w:shd w:val="clear" w:color="auto" w:fill="FDFDFC"/>
          </w:tcPr>
          <w:p>
            <w:pPr>
              <w:jc w:val="right"/>
              <w:spacing w:after="0" w:line="147" w:lineRule="exact"/>
              <w:rPr>
                <w:sz w:val="20"/>
                <w:szCs w:val="20"/>
                <w:color w:val="auto"/>
              </w:rPr>
            </w:pPr>
            <w:r>
              <w:rPr>
                <w:rFonts w:ascii="Times New Roman" w:cs="Times New Roman" w:eastAsia="Times New Roman" w:hAnsi="Times New Roman"/>
                <w:sz w:val="15"/>
                <w:szCs w:val="15"/>
                <w:color w:val="231F20"/>
              </w:rPr>
              <w:t>—</w:t>
            </w:r>
          </w:p>
        </w:tc>
        <w:tc>
          <w:tcPr>
            <w:tcW w:w="100" w:type="dxa"/>
            <w:vAlign w:val="bottom"/>
            <w:tcBorders>
              <w:top w:val="single" w:sz="8" w:color="D0EBF2"/>
            </w:tcBorders>
            <w:shd w:val="clear" w:color="auto" w:fill="FDFDFC"/>
          </w:tcPr>
          <w:p>
            <w:pPr>
              <w:spacing w:after="0"/>
              <w:rPr>
                <w:sz w:val="12"/>
                <w:szCs w:val="12"/>
                <w:color w:val="auto"/>
              </w:rPr>
            </w:pPr>
          </w:p>
        </w:tc>
        <w:tc>
          <w:tcPr>
            <w:tcW w:w="100" w:type="dxa"/>
            <w:vAlign w:val="bottom"/>
            <w:tcBorders>
              <w:top w:val="single" w:sz="8" w:color="231F20"/>
            </w:tcBorders>
            <w:shd w:val="clear" w:color="auto" w:fill="FDFDFC"/>
          </w:tcPr>
          <w:p>
            <w:pPr>
              <w:spacing w:after="0"/>
              <w:rPr>
                <w:sz w:val="12"/>
                <w:szCs w:val="12"/>
                <w:color w:val="auto"/>
              </w:rPr>
            </w:pPr>
          </w:p>
        </w:tc>
        <w:tc>
          <w:tcPr>
            <w:tcW w:w="180" w:type="dxa"/>
            <w:vAlign w:val="bottom"/>
            <w:tcBorders>
              <w:top w:val="single" w:sz="8" w:color="231F20"/>
            </w:tcBorders>
            <w:shd w:val="clear" w:color="auto" w:fill="FDFDFC"/>
          </w:tcPr>
          <w:p>
            <w:pPr>
              <w:spacing w:after="0"/>
              <w:rPr>
                <w:sz w:val="12"/>
                <w:szCs w:val="12"/>
                <w:color w:val="auto"/>
              </w:rPr>
            </w:pPr>
          </w:p>
        </w:tc>
        <w:tc>
          <w:tcPr>
            <w:tcW w:w="1180" w:type="dxa"/>
            <w:vAlign w:val="bottom"/>
            <w:tcBorders>
              <w:top w:val="single" w:sz="8" w:color="231F20"/>
            </w:tcBorders>
            <w:shd w:val="clear" w:color="auto" w:fill="FDFDFC"/>
          </w:tcPr>
          <w:p>
            <w:pPr>
              <w:jc w:val="right"/>
              <w:spacing w:after="0" w:line="147" w:lineRule="exact"/>
              <w:rPr>
                <w:sz w:val="20"/>
                <w:szCs w:val="20"/>
                <w:color w:val="auto"/>
              </w:rPr>
            </w:pPr>
            <w:r>
              <w:rPr>
                <w:rFonts w:ascii="Times New Roman" w:cs="Times New Roman" w:eastAsia="Times New Roman" w:hAnsi="Times New Roman"/>
                <w:sz w:val="15"/>
                <w:szCs w:val="15"/>
                <w:color w:val="231F20"/>
              </w:rPr>
              <w:t>133</w:t>
            </w:r>
          </w:p>
        </w:tc>
        <w:tc>
          <w:tcPr>
            <w:tcW w:w="100" w:type="dxa"/>
            <w:vAlign w:val="bottom"/>
            <w:tcBorders>
              <w:top w:val="single" w:sz="8" w:color="D0EBF2"/>
            </w:tcBorders>
            <w:shd w:val="clear" w:color="auto" w:fill="FDFDFC"/>
          </w:tcPr>
          <w:p>
            <w:pPr>
              <w:spacing w:after="0"/>
              <w:rPr>
                <w:sz w:val="12"/>
                <w:szCs w:val="12"/>
                <w:color w:val="auto"/>
              </w:rPr>
            </w:pPr>
          </w:p>
        </w:tc>
      </w:tr>
      <w:tr>
        <w:trPr>
          <w:trHeight w:val="187"/>
        </w:trPr>
        <w:tc>
          <w:tcPr>
            <w:tcW w:w="5520" w:type="dxa"/>
            <w:vAlign w:val="bottom"/>
            <w:shd w:val="clear" w:color="auto" w:fill="D0EBF2"/>
          </w:tcPr>
          <w:p>
            <w:pPr>
              <w:spacing w:after="0"/>
              <w:rPr>
                <w:sz w:val="20"/>
                <w:szCs w:val="20"/>
                <w:color w:val="auto"/>
              </w:rPr>
            </w:pPr>
            <w:r>
              <w:rPr>
                <w:rFonts w:ascii="Times New Roman" w:cs="Times New Roman" w:eastAsia="Times New Roman" w:hAnsi="Times New Roman"/>
                <w:sz w:val="15"/>
                <w:szCs w:val="15"/>
                <w:color w:val="231F20"/>
              </w:rPr>
              <w:t>Investment income from controlled, affiliated investments:</w:t>
            </w:r>
          </w:p>
        </w:tc>
        <w:tc>
          <w:tcPr>
            <w:tcW w:w="80" w:type="dxa"/>
            <w:vAlign w:val="bottom"/>
            <w:shd w:val="clear" w:color="auto" w:fill="D0EBF2"/>
          </w:tcPr>
          <w:p>
            <w:pPr>
              <w:spacing w:after="0"/>
              <w:rPr>
                <w:sz w:val="16"/>
                <w:szCs w:val="16"/>
                <w:color w:val="auto"/>
              </w:rPr>
            </w:pPr>
          </w:p>
        </w:tc>
        <w:tc>
          <w:tcPr>
            <w:tcW w:w="1320" w:type="dxa"/>
            <w:vAlign w:val="bottom"/>
            <w:shd w:val="clear" w:color="auto" w:fill="D0EBF2"/>
          </w:tcPr>
          <w:p>
            <w:pPr>
              <w:spacing w:after="0"/>
              <w:rPr>
                <w:sz w:val="16"/>
                <w:szCs w:val="16"/>
                <w:color w:val="auto"/>
              </w:rPr>
            </w:pPr>
          </w:p>
        </w:tc>
        <w:tc>
          <w:tcPr>
            <w:tcW w:w="100" w:type="dxa"/>
            <w:vAlign w:val="bottom"/>
            <w:shd w:val="clear" w:color="auto" w:fill="D0EBF2"/>
          </w:tcPr>
          <w:p>
            <w:pPr>
              <w:spacing w:after="0"/>
              <w:rPr>
                <w:sz w:val="16"/>
                <w:szCs w:val="16"/>
                <w:color w:val="auto"/>
              </w:rPr>
            </w:pPr>
          </w:p>
        </w:tc>
        <w:tc>
          <w:tcPr>
            <w:tcW w:w="140" w:type="dxa"/>
            <w:vAlign w:val="bottom"/>
            <w:shd w:val="clear" w:color="auto" w:fill="D0EBF2"/>
          </w:tcPr>
          <w:p>
            <w:pPr>
              <w:spacing w:after="0"/>
              <w:rPr>
                <w:sz w:val="16"/>
                <w:szCs w:val="16"/>
                <w:color w:val="auto"/>
              </w:rPr>
            </w:pPr>
          </w:p>
        </w:tc>
        <w:tc>
          <w:tcPr>
            <w:tcW w:w="180" w:type="dxa"/>
            <w:vAlign w:val="bottom"/>
            <w:shd w:val="clear" w:color="auto" w:fill="D0EBF2"/>
          </w:tcPr>
          <w:p>
            <w:pPr>
              <w:spacing w:after="0"/>
              <w:rPr>
                <w:sz w:val="16"/>
                <w:szCs w:val="16"/>
                <w:color w:val="auto"/>
              </w:rPr>
            </w:pPr>
          </w:p>
        </w:tc>
        <w:tc>
          <w:tcPr>
            <w:tcW w:w="1200" w:type="dxa"/>
            <w:vAlign w:val="bottom"/>
            <w:shd w:val="clear" w:color="auto" w:fill="D0EBF2"/>
          </w:tcPr>
          <w:p>
            <w:pPr>
              <w:spacing w:after="0"/>
              <w:rPr>
                <w:sz w:val="16"/>
                <w:szCs w:val="16"/>
                <w:color w:val="auto"/>
              </w:rPr>
            </w:pPr>
          </w:p>
        </w:tc>
        <w:tc>
          <w:tcPr>
            <w:tcW w:w="100" w:type="dxa"/>
            <w:vAlign w:val="bottom"/>
            <w:shd w:val="clear" w:color="auto" w:fill="D0EBF2"/>
          </w:tcPr>
          <w:p>
            <w:pPr>
              <w:spacing w:after="0"/>
              <w:rPr>
                <w:sz w:val="16"/>
                <w:szCs w:val="16"/>
                <w:color w:val="auto"/>
              </w:rPr>
            </w:pPr>
          </w:p>
        </w:tc>
        <w:tc>
          <w:tcPr>
            <w:tcW w:w="100" w:type="dxa"/>
            <w:vAlign w:val="bottom"/>
            <w:shd w:val="clear" w:color="auto" w:fill="D0EBF2"/>
          </w:tcPr>
          <w:p>
            <w:pPr>
              <w:spacing w:after="0"/>
              <w:rPr>
                <w:sz w:val="16"/>
                <w:szCs w:val="16"/>
                <w:color w:val="auto"/>
              </w:rPr>
            </w:pPr>
          </w:p>
        </w:tc>
        <w:tc>
          <w:tcPr>
            <w:tcW w:w="180" w:type="dxa"/>
            <w:vAlign w:val="bottom"/>
            <w:shd w:val="clear" w:color="auto" w:fill="D0EBF2"/>
          </w:tcPr>
          <w:p>
            <w:pPr>
              <w:spacing w:after="0"/>
              <w:rPr>
                <w:sz w:val="16"/>
                <w:szCs w:val="16"/>
                <w:color w:val="auto"/>
              </w:rPr>
            </w:pPr>
          </w:p>
        </w:tc>
        <w:tc>
          <w:tcPr>
            <w:tcW w:w="1180" w:type="dxa"/>
            <w:vAlign w:val="bottom"/>
            <w:shd w:val="clear" w:color="auto" w:fill="D0EBF2"/>
          </w:tcPr>
          <w:p>
            <w:pPr>
              <w:spacing w:after="0"/>
              <w:rPr>
                <w:sz w:val="16"/>
                <w:szCs w:val="16"/>
                <w:color w:val="auto"/>
              </w:rPr>
            </w:pPr>
          </w:p>
        </w:tc>
        <w:tc>
          <w:tcPr>
            <w:tcW w:w="100" w:type="dxa"/>
            <w:vAlign w:val="bottom"/>
            <w:shd w:val="clear" w:color="auto" w:fill="D0EBF2"/>
          </w:tcPr>
          <w:p>
            <w:pPr>
              <w:spacing w:after="0"/>
              <w:rPr>
                <w:sz w:val="16"/>
                <w:szCs w:val="16"/>
                <w:color w:val="auto"/>
              </w:rPr>
            </w:pPr>
          </w:p>
        </w:tc>
      </w:tr>
      <w:tr>
        <w:trPr>
          <w:trHeight w:val="187"/>
        </w:trPr>
        <w:tc>
          <w:tcPr>
            <w:tcW w:w="5520" w:type="dxa"/>
            <w:vAlign w:val="bottom"/>
            <w:shd w:val="clear" w:color="auto" w:fill="FDFDFC"/>
          </w:tcPr>
          <w:p>
            <w:pPr>
              <w:ind w:left="180"/>
              <w:spacing w:after="0"/>
              <w:rPr>
                <w:sz w:val="20"/>
                <w:szCs w:val="20"/>
                <w:color w:val="auto"/>
              </w:rPr>
            </w:pPr>
            <w:r>
              <w:rPr>
                <w:rFonts w:ascii="Times New Roman" w:cs="Times New Roman" w:eastAsia="Times New Roman" w:hAnsi="Times New Roman"/>
                <w:sz w:val="15"/>
                <w:szCs w:val="15"/>
                <w:color w:val="231F20"/>
              </w:rPr>
              <w:t>Interest from investments</w:t>
            </w:r>
          </w:p>
        </w:tc>
        <w:tc>
          <w:tcPr>
            <w:tcW w:w="80" w:type="dxa"/>
            <w:vAlign w:val="bottom"/>
            <w:shd w:val="clear" w:color="auto" w:fill="FDFDFC"/>
          </w:tcPr>
          <w:p>
            <w:pPr>
              <w:spacing w:after="0"/>
              <w:rPr>
                <w:sz w:val="16"/>
                <w:szCs w:val="16"/>
                <w:color w:val="auto"/>
              </w:rPr>
            </w:pPr>
          </w:p>
        </w:tc>
        <w:tc>
          <w:tcPr>
            <w:tcW w:w="1320" w:type="dxa"/>
            <w:vAlign w:val="bottom"/>
            <w:shd w:val="clear" w:color="auto" w:fill="FDFDFC"/>
          </w:tcPr>
          <w:p>
            <w:pPr>
              <w:jc w:val="right"/>
              <w:spacing w:after="0"/>
              <w:rPr>
                <w:sz w:val="20"/>
                <w:szCs w:val="20"/>
                <w:color w:val="auto"/>
              </w:rPr>
            </w:pPr>
            <w:r>
              <w:rPr>
                <w:rFonts w:ascii="Times New Roman" w:cs="Times New Roman" w:eastAsia="Times New Roman" w:hAnsi="Times New Roman"/>
                <w:sz w:val="15"/>
                <w:szCs w:val="15"/>
                <w:color w:val="231F20"/>
              </w:rPr>
              <w:t>9,428</w:t>
            </w:r>
          </w:p>
        </w:tc>
        <w:tc>
          <w:tcPr>
            <w:tcW w:w="100" w:type="dxa"/>
            <w:vAlign w:val="bottom"/>
            <w:shd w:val="clear" w:color="auto" w:fill="FDFDFC"/>
          </w:tcPr>
          <w:p>
            <w:pPr>
              <w:spacing w:after="0"/>
              <w:rPr>
                <w:sz w:val="16"/>
                <w:szCs w:val="16"/>
                <w:color w:val="auto"/>
              </w:rPr>
            </w:pPr>
          </w:p>
        </w:tc>
        <w:tc>
          <w:tcPr>
            <w:tcW w:w="140" w:type="dxa"/>
            <w:vAlign w:val="bottom"/>
            <w:shd w:val="clear" w:color="auto" w:fill="FDFDFC"/>
          </w:tcPr>
          <w:p>
            <w:pPr>
              <w:spacing w:after="0"/>
              <w:rPr>
                <w:sz w:val="16"/>
                <w:szCs w:val="16"/>
                <w:color w:val="auto"/>
              </w:rPr>
            </w:pPr>
          </w:p>
        </w:tc>
        <w:tc>
          <w:tcPr>
            <w:tcW w:w="180" w:type="dxa"/>
            <w:vAlign w:val="bottom"/>
            <w:shd w:val="clear" w:color="auto" w:fill="FDFDFC"/>
          </w:tcPr>
          <w:p>
            <w:pPr>
              <w:spacing w:after="0"/>
              <w:rPr>
                <w:sz w:val="16"/>
                <w:szCs w:val="16"/>
                <w:color w:val="auto"/>
              </w:rPr>
            </w:pPr>
          </w:p>
        </w:tc>
        <w:tc>
          <w:tcPr>
            <w:tcW w:w="1200" w:type="dxa"/>
            <w:vAlign w:val="bottom"/>
            <w:shd w:val="clear" w:color="auto" w:fill="FDFDFC"/>
          </w:tcPr>
          <w:p>
            <w:pPr>
              <w:jc w:val="right"/>
              <w:spacing w:after="0"/>
              <w:rPr>
                <w:sz w:val="20"/>
                <w:szCs w:val="20"/>
                <w:color w:val="auto"/>
              </w:rPr>
            </w:pPr>
            <w:r>
              <w:rPr>
                <w:rFonts w:ascii="Times New Roman" w:cs="Times New Roman" w:eastAsia="Times New Roman" w:hAnsi="Times New Roman"/>
                <w:sz w:val="15"/>
                <w:szCs w:val="15"/>
                <w:color w:val="231F20"/>
              </w:rPr>
              <w:t>7,756</w:t>
            </w:r>
          </w:p>
        </w:tc>
        <w:tc>
          <w:tcPr>
            <w:tcW w:w="100" w:type="dxa"/>
            <w:vAlign w:val="bottom"/>
            <w:shd w:val="clear" w:color="auto" w:fill="FDFDFC"/>
          </w:tcPr>
          <w:p>
            <w:pPr>
              <w:spacing w:after="0"/>
              <w:rPr>
                <w:sz w:val="16"/>
                <w:szCs w:val="16"/>
                <w:color w:val="auto"/>
              </w:rPr>
            </w:pPr>
          </w:p>
        </w:tc>
        <w:tc>
          <w:tcPr>
            <w:tcW w:w="100" w:type="dxa"/>
            <w:vAlign w:val="bottom"/>
            <w:shd w:val="clear" w:color="auto" w:fill="FDFDFC"/>
          </w:tcPr>
          <w:p>
            <w:pPr>
              <w:spacing w:after="0"/>
              <w:rPr>
                <w:sz w:val="16"/>
                <w:szCs w:val="16"/>
                <w:color w:val="auto"/>
              </w:rPr>
            </w:pPr>
          </w:p>
        </w:tc>
        <w:tc>
          <w:tcPr>
            <w:tcW w:w="180" w:type="dxa"/>
            <w:vAlign w:val="bottom"/>
            <w:shd w:val="clear" w:color="auto" w:fill="FDFDFC"/>
          </w:tcPr>
          <w:p>
            <w:pPr>
              <w:spacing w:after="0"/>
              <w:rPr>
                <w:sz w:val="16"/>
                <w:szCs w:val="16"/>
                <w:color w:val="auto"/>
              </w:rPr>
            </w:pPr>
          </w:p>
        </w:tc>
        <w:tc>
          <w:tcPr>
            <w:tcW w:w="1180" w:type="dxa"/>
            <w:vAlign w:val="bottom"/>
            <w:shd w:val="clear" w:color="auto" w:fill="FDFDFC"/>
          </w:tcPr>
          <w:p>
            <w:pPr>
              <w:jc w:val="right"/>
              <w:spacing w:after="0"/>
              <w:rPr>
                <w:sz w:val="20"/>
                <w:szCs w:val="20"/>
                <w:color w:val="auto"/>
              </w:rPr>
            </w:pPr>
            <w:r>
              <w:rPr>
                <w:rFonts w:ascii="Times New Roman" w:cs="Times New Roman" w:eastAsia="Times New Roman" w:hAnsi="Times New Roman"/>
                <w:sz w:val="15"/>
                <w:szCs w:val="15"/>
                <w:color w:val="231F20"/>
              </w:rPr>
              <w:t>5,064</w:t>
            </w:r>
          </w:p>
        </w:tc>
        <w:tc>
          <w:tcPr>
            <w:tcW w:w="100" w:type="dxa"/>
            <w:vAlign w:val="bottom"/>
            <w:shd w:val="clear" w:color="auto" w:fill="FDFDFC"/>
          </w:tcPr>
          <w:p>
            <w:pPr>
              <w:spacing w:after="0"/>
              <w:rPr>
                <w:sz w:val="16"/>
                <w:szCs w:val="16"/>
                <w:color w:val="auto"/>
              </w:rPr>
            </w:pPr>
          </w:p>
        </w:tc>
      </w:tr>
      <w:tr>
        <w:trPr>
          <w:trHeight w:val="212"/>
        </w:trPr>
        <w:tc>
          <w:tcPr>
            <w:tcW w:w="5520" w:type="dxa"/>
            <w:vAlign w:val="bottom"/>
            <w:tcBorders>
              <w:bottom w:val="single" w:sz="8" w:color="D0EBF2"/>
            </w:tcBorders>
            <w:shd w:val="clear" w:color="auto" w:fill="D0EBF2"/>
          </w:tcPr>
          <w:p>
            <w:pPr>
              <w:ind w:left="180"/>
              <w:spacing w:after="0"/>
              <w:rPr>
                <w:sz w:val="20"/>
                <w:szCs w:val="20"/>
                <w:color w:val="auto"/>
              </w:rPr>
            </w:pPr>
            <w:r>
              <w:rPr>
                <w:rFonts w:ascii="Times New Roman" w:cs="Times New Roman" w:eastAsia="Times New Roman" w:hAnsi="Times New Roman"/>
                <w:sz w:val="15"/>
                <w:szCs w:val="15"/>
                <w:color w:val="231F20"/>
              </w:rPr>
              <w:t>Other income</w:t>
            </w:r>
          </w:p>
        </w:tc>
        <w:tc>
          <w:tcPr>
            <w:tcW w:w="80" w:type="dxa"/>
            <w:vAlign w:val="bottom"/>
            <w:tcBorders>
              <w:bottom w:val="single" w:sz="8" w:color="231F20"/>
            </w:tcBorders>
            <w:shd w:val="clear" w:color="auto" w:fill="D0EBF2"/>
          </w:tcPr>
          <w:p>
            <w:pPr>
              <w:spacing w:after="0"/>
              <w:rPr>
                <w:sz w:val="17"/>
                <w:szCs w:val="17"/>
                <w:color w:val="auto"/>
              </w:rPr>
            </w:pPr>
          </w:p>
        </w:tc>
        <w:tc>
          <w:tcPr>
            <w:tcW w:w="1320" w:type="dxa"/>
            <w:vAlign w:val="bottom"/>
            <w:tcBorders>
              <w:bottom w:val="single" w:sz="8" w:color="231F20"/>
            </w:tcBorders>
            <w:shd w:val="clear" w:color="auto" w:fill="D0EBF2"/>
          </w:tcPr>
          <w:p>
            <w:pPr>
              <w:jc w:val="right"/>
              <w:spacing w:after="0"/>
              <w:rPr>
                <w:sz w:val="20"/>
                <w:szCs w:val="20"/>
                <w:color w:val="auto"/>
              </w:rPr>
            </w:pPr>
            <w:r>
              <w:rPr>
                <w:rFonts w:ascii="Times New Roman" w:cs="Times New Roman" w:eastAsia="Times New Roman" w:hAnsi="Times New Roman"/>
                <w:sz w:val="15"/>
                <w:szCs w:val="15"/>
                <w:color w:val="231F20"/>
              </w:rPr>
              <w:t>13</w:t>
            </w:r>
          </w:p>
        </w:tc>
        <w:tc>
          <w:tcPr>
            <w:tcW w:w="100" w:type="dxa"/>
            <w:vAlign w:val="bottom"/>
            <w:tcBorders>
              <w:bottom w:val="single" w:sz="8" w:color="D0EBF2"/>
            </w:tcBorders>
            <w:shd w:val="clear" w:color="auto" w:fill="D0EBF2"/>
          </w:tcPr>
          <w:p>
            <w:pPr>
              <w:spacing w:after="0"/>
              <w:rPr>
                <w:sz w:val="17"/>
                <w:szCs w:val="17"/>
                <w:color w:val="auto"/>
              </w:rPr>
            </w:pPr>
          </w:p>
        </w:tc>
        <w:tc>
          <w:tcPr>
            <w:tcW w:w="140" w:type="dxa"/>
            <w:vAlign w:val="bottom"/>
            <w:tcBorders>
              <w:bottom w:val="single" w:sz="8" w:color="D0EBF2"/>
            </w:tcBorders>
            <w:shd w:val="clear" w:color="auto" w:fill="D0EBF2"/>
          </w:tcPr>
          <w:p>
            <w:pPr>
              <w:spacing w:after="0"/>
              <w:rPr>
                <w:sz w:val="17"/>
                <w:szCs w:val="17"/>
                <w:color w:val="auto"/>
              </w:rPr>
            </w:pPr>
          </w:p>
        </w:tc>
        <w:tc>
          <w:tcPr>
            <w:tcW w:w="180" w:type="dxa"/>
            <w:vAlign w:val="bottom"/>
            <w:tcBorders>
              <w:bottom w:val="single" w:sz="8" w:color="231F20"/>
            </w:tcBorders>
            <w:shd w:val="clear" w:color="auto" w:fill="D0EBF2"/>
          </w:tcPr>
          <w:p>
            <w:pPr>
              <w:spacing w:after="0"/>
              <w:rPr>
                <w:sz w:val="17"/>
                <w:szCs w:val="17"/>
                <w:color w:val="auto"/>
              </w:rPr>
            </w:pPr>
          </w:p>
        </w:tc>
        <w:tc>
          <w:tcPr>
            <w:tcW w:w="1200" w:type="dxa"/>
            <w:vAlign w:val="bottom"/>
            <w:tcBorders>
              <w:bottom w:val="single" w:sz="8" w:color="231F20"/>
            </w:tcBorders>
            <w:shd w:val="clear" w:color="auto" w:fill="D0EBF2"/>
          </w:tcPr>
          <w:p>
            <w:pPr>
              <w:jc w:val="right"/>
              <w:spacing w:after="0"/>
              <w:rPr>
                <w:sz w:val="20"/>
                <w:szCs w:val="20"/>
                <w:color w:val="auto"/>
              </w:rPr>
            </w:pPr>
            <w:r>
              <w:rPr>
                <w:rFonts w:ascii="Times New Roman" w:cs="Times New Roman" w:eastAsia="Times New Roman" w:hAnsi="Times New Roman"/>
                <w:sz w:val="15"/>
                <w:szCs w:val="15"/>
                <w:color w:val="231F20"/>
              </w:rPr>
              <w:t>6</w:t>
            </w:r>
          </w:p>
        </w:tc>
        <w:tc>
          <w:tcPr>
            <w:tcW w:w="100" w:type="dxa"/>
            <w:vAlign w:val="bottom"/>
            <w:tcBorders>
              <w:bottom w:val="single" w:sz="8" w:color="D0EBF2"/>
            </w:tcBorders>
            <w:shd w:val="clear" w:color="auto" w:fill="D0EBF2"/>
          </w:tcPr>
          <w:p>
            <w:pPr>
              <w:spacing w:after="0"/>
              <w:rPr>
                <w:sz w:val="17"/>
                <w:szCs w:val="17"/>
                <w:color w:val="auto"/>
              </w:rPr>
            </w:pPr>
          </w:p>
        </w:tc>
        <w:tc>
          <w:tcPr>
            <w:tcW w:w="100" w:type="dxa"/>
            <w:vAlign w:val="bottom"/>
            <w:tcBorders>
              <w:bottom w:val="single" w:sz="8" w:color="D0EBF2"/>
            </w:tcBorders>
            <w:shd w:val="clear" w:color="auto" w:fill="D0EBF2"/>
          </w:tcPr>
          <w:p>
            <w:pPr>
              <w:spacing w:after="0"/>
              <w:rPr>
                <w:sz w:val="17"/>
                <w:szCs w:val="17"/>
                <w:color w:val="auto"/>
              </w:rPr>
            </w:pPr>
          </w:p>
        </w:tc>
        <w:tc>
          <w:tcPr>
            <w:tcW w:w="180" w:type="dxa"/>
            <w:vAlign w:val="bottom"/>
            <w:tcBorders>
              <w:bottom w:val="single" w:sz="8" w:color="231F20"/>
            </w:tcBorders>
            <w:shd w:val="clear" w:color="auto" w:fill="D0EBF2"/>
          </w:tcPr>
          <w:p>
            <w:pPr>
              <w:spacing w:after="0"/>
              <w:rPr>
                <w:sz w:val="17"/>
                <w:szCs w:val="17"/>
                <w:color w:val="auto"/>
              </w:rPr>
            </w:pPr>
          </w:p>
        </w:tc>
        <w:tc>
          <w:tcPr>
            <w:tcW w:w="1180" w:type="dxa"/>
            <w:vAlign w:val="bottom"/>
            <w:tcBorders>
              <w:bottom w:val="single" w:sz="8" w:color="231F20"/>
            </w:tcBorders>
            <w:shd w:val="clear" w:color="auto" w:fill="D0EBF2"/>
          </w:tcPr>
          <w:p>
            <w:pPr>
              <w:jc w:val="right"/>
              <w:spacing w:after="0"/>
              <w:rPr>
                <w:sz w:val="20"/>
                <w:szCs w:val="20"/>
                <w:color w:val="auto"/>
              </w:rPr>
            </w:pPr>
            <w:r>
              <w:rPr>
                <w:rFonts w:ascii="Times New Roman" w:cs="Times New Roman" w:eastAsia="Times New Roman" w:hAnsi="Times New Roman"/>
                <w:sz w:val="15"/>
                <w:szCs w:val="15"/>
                <w:color w:val="231F20"/>
              </w:rPr>
              <w:t>5</w:t>
            </w:r>
          </w:p>
        </w:tc>
        <w:tc>
          <w:tcPr>
            <w:tcW w:w="100" w:type="dxa"/>
            <w:vAlign w:val="bottom"/>
            <w:tcBorders>
              <w:bottom w:val="single" w:sz="8" w:color="D0EBF2"/>
            </w:tcBorders>
            <w:shd w:val="clear" w:color="auto" w:fill="D0EBF2"/>
          </w:tcPr>
          <w:p>
            <w:pPr>
              <w:spacing w:after="0"/>
              <w:rPr>
                <w:sz w:val="17"/>
                <w:szCs w:val="17"/>
                <w:color w:val="auto"/>
              </w:rPr>
            </w:pPr>
          </w:p>
        </w:tc>
      </w:tr>
      <w:tr>
        <w:trPr>
          <w:trHeight w:val="156"/>
        </w:trPr>
        <w:tc>
          <w:tcPr>
            <w:tcW w:w="5520" w:type="dxa"/>
            <w:vAlign w:val="bottom"/>
            <w:tcBorders>
              <w:top w:val="single" w:sz="8" w:color="FDFDFC"/>
              <w:bottom w:val="single" w:sz="8" w:color="D0EBF2"/>
            </w:tcBorders>
            <w:shd w:val="clear" w:color="auto" w:fill="FDFDFC"/>
          </w:tcPr>
          <w:p>
            <w:pPr>
              <w:ind w:left="380"/>
              <w:spacing w:after="0" w:line="156" w:lineRule="exact"/>
              <w:rPr>
                <w:sz w:val="20"/>
                <w:szCs w:val="20"/>
                <w:color w:val="auto"/>
              </w:rPr>
            </w:pPr>
            <w:r>
              <w:rPr>
                <w:rFonts w:ascii="Times New Roman" w:cs="Times New Roman" w:eastAsia="Times New Roman" w:hAnsi="Times New Roman"/>
                <w:sz w:val="15"/>
                <w:szCs w:val="15"/>
                <w:color w:val="231F20"/>
              </w:rPr>
              <w:t>Total investment income from controlled, affiliated investments</w:t>
            </w:r>
          </w:p>
        </w:tc>
        <w:tc>
          <w:tcPr>
            <w:tcW w:w="80" w:type="dxa"/>
            <w:vAlign w:val="bottom"/>
            <w:tcBorders>
              <w:top w:val="single" w:sz="8" w:color="231F20"/>
              <w:bottom w:val="single" w:sz="8" w:color="231F20"/>
            </w:tcBorders>
            <w:shd w:val="clear" w:color="auto" w:fill="FDFDFC"/>
          </w:tcPr>
          <w:p>
            <w:pPr>
              <w:spacing w:after="0"/>
              <w:rPr>
                <w:sz w:val="13"/>
                <w:szCs w:val="13"/>
                <w:color w:val="auto"/>
              </w:rPr>
            </w:pPr>
          </w:p>
        </w:tc>
        <w:tc>
          <w:tcPr>
            <w:tcW w:w="1320" w:type="dxa"/>
            <w:vAlign w:val="bottom"/>
            <w:tcBorders>
              <w:top w:val="single" w:sz="8" w:color="231F20"/>
              <w:bottom w:val="single" w:sz="8" w:color="231F20"/>
            </w:tcBorders>
            <w:shd w:val="clear" w:color="auto" w:fill="FDFDFC"/>
          </w:tcPr>
          <w:p>
            <w:pPr>
              <w:jc w:val="right"/>
              <w:spacing w:after="0" w:line="156" w:lineRule="exact"/>
              <w:rPr>
                <w:sz w:val="20"/>
                <w:szCs w:val="20"/>
                <w:color w:val="auto"/>
              </w:rPr>
            </w:pPr>
            <w:r>
              <w:rPr>
                <w:rFonts w:ascii="Times New Roman" w:cs="Times New Roman" w:eastAsia="Times New Roman" w:hAnsi="Times New Roman"/>
                <w:sz w:val="15"/>
                <w:szCs w:val="15"/>
                <w:color w:val="231F20"/>
              </w:rPr>
              <w:t>9,441</w:t>
            </w:r>
          </w:p>
        </w:tc>
        <w:tc>
          <w:tcPr>
            <w:tcW w:w="100" w:type="dxa"/>
            <w:vAlign w:val="bottom"/>
            <w:tcBorders>
              <w:top w:val="single" w:sz="8" w:color="FDFDFC"/>
              <w:bottom w:val="single" w:sz="8" w:color="D0EBF2"/>
            </w:tcBorders>
            <w:shd w:val="clear" w:color="auto" w:fill="FDFDFC"/>
          </w:tcPr>
          <w:p>
            <w:pPr>
              <w:spacing w:after="0"/>
              <w:rPr>
                <w:sz w:val="13"/>
                <w:szCs w:val="13"/>
                <w:color w:val="auto"/>
              </w:rPr>
            </w:pPr>
          </w:p>
        </w:tc>
        <w:tc>
          <w:tcPr>
            <w:tcW w:w="140" w:type="dxa"/>
            <w:vAlign w:val="bottom"/>
            <w:tcBorders>
              <w:top w:val="single" w:sz="8" w:color="FDFDFC"/>
              <w:bottom w:val="single" w:sz="8" w:color="D0EBF2"/>
            </w:tcBorders>
            <w:shd w:val="clear" w:color="auto" w:fill="FDFDFC"/>
          </w:tcPr>
          <w:p>
            <w:pPr>
              <w:spacing w:after="0"/>
              <w:rPr>
                <w:sz w:val="13"/>
                <w:szCs w:val="13"/>
                <w:color w:val="auto"/>
              </w:rPr>
            </w:pPr>
          </w:p>
        </w:tc>
        <w:tc>
          <w:tcPr>
            <w:tcW w:w="180" w:type="dxa"/>
            <w:vAlign w:val="bottom"/>
            <w:tcBorders>
              <w:top w:val="single" w:sz="8" w:color="231F20"/>
              <w:bottom w:val="single" w:sz="8" w:color="231F20"/>
            </w:tcBorders>
            <w:shd w:val="clear" w:color="auto" w:fill="FDFDFC"/>
          </w:tcPr>
          <w:p>
            <w:pPr>
              <w:spacing w:after="0"/>
              <w:rPr>
                <w:sz w:val="13"/>
                <w:szCs w:val="13"/>
                <w:color w:val="auto"/>
              </w:rPr>
            </w:pPr>
          </w:p>
        </w:tc>
        <w:tc>
          <w:tcPr>
            <w:tcW w:w="1200" w:type="dxa"/>
            <w:vAlign w:val="bottom"/>
            <w:tcBorders>
              <w:top w:val="single" w:sz="8" w:color="231F20"/>
              <w:bottom w:val="single" w:sz="8" w:color="231F20"/>
            </w:tcBorders>
            <w:shd w:val="clear" w:color="auto" w:fill="FDFDFC"/>
          </w:tcPr>
          <w:p>
            <w:pPr>
              <w:jc w:val="right"/>
              <w:spacing w:after="0" w:line="156" w:lineRule="exact"/>
              <w:rPr>
                <w:sz w:val="20"/>
                <w:szCs w:val="20"/>
                <w:color w:val="auto"/>
              </w:rPr>
            </w:pPr>
            <w:r>
              <w:rPr>
                <w:rFonts w:ascii="Times New Roman" w:cs="Times New Roman" w:eastAsia="Times New Roman" w:hAnsi="Times New Roman"/>
                <w:sz w:val="15"/>
                <w:szCs w:val="15"/>
                <w:color w:val="231F20"/>
              </w:rPr>
              <w:t>7,762</w:t>
            </w:r>
          </w:p>
        </w:tc>
        <w:tc>
          <w:tcPr>
            <w:tcW w:w="100" w:type="dxa"/>
            <w:vAlign w:val="bottom"/>
            <w:tcBorders>
              <w:top w:val="single" w:sz="8" w:color="FDFDFC"/>
              <w:bottom w:val="single" w:sz="8" w:color="D0EBF2"/>
            </w:tcBorders>
            <w:shd w:val="clear" w:color="auto" w:fill="FDFDFC"/>
          </w:tcPr>
          <w:p>
            <w:pPr>
              <w:spacing w:after="0"/>
              <w:rPr>
                <w:sz w:val="13"/>
                <w:szCs w:val="13"/>
                <w:color w:val="auto"/>
              </w:rPr>
            </w:pPr>
          </w:p>
        </w:tc>
        <w:tc>
          <w:tcPr>
            <w:tcW w:w="100" w:type="dxa"/>
            <w:vAlign w:val="bottom"/>
            <w:tcBorders>
              <w:top w:val="single" w:sz="8" w:color="FDFDFC"/>
              <w:bottom w:val="single" w:sz="8" w:color="D0EBF2"/>
            </w:tcBorders>
            <w:shd w:val="clear" w:color="auto" w:fill="FDFDFC"/>
          </w:tcPr>
          <w:p>
            <w:pPr>
              <w:spacing w:after="0"/>
              <w:rPr>
                <w:sz w:val="13"/>
                <w:szCs w:val="13"/>
                <w:color w:val="auto"/>
              </w:rPr>
            </w:pPr>
          </w:p>
        </w:tc>
        <w:tc>
          <w:tcPr>
            <w:tcW w:w="180" w:type="dxa"/>
            <w:vAlign w:val="bottom"/>
            <w:tcBorders>
              <w:top w:val="single" w:sz="8" w:color="231F20"/>
              <w:bottom w:val="single" w:sz="8" w:color="231F20"/>
            </w:tcBorders>
            <w:shd w:val="clear" w:color="auto" w:fill="FDFDFC"/>
          </w:tcPr>
          <w:p>
            <w:pPr>
              <w:spacing w:after="0"/>
              <w:rPr>
                <w:sz w:val="13"/>
                <w:szCs w:val="13"/>
                <w:color w:val="auto"/>
              </w:rPr>
            </w:pPr>
          </w:p>
        </w:tc>
        <w:tc>
          <w:tcPr>
            <w:tcW w:w="1180" w:type="dxa"/>
            <w:vAlign w:val="bottom"/>
            <w:tcBorders>
              <w:top w:val="single" w:sz="8" w:color="231F20"/>
              <w:bottom w:val="single" w:sz="8" w:color="231F20"/>
            </w:tcBorders>
            <w:shd w:val="clear" w:color="auto" w:fill="FDFDFC"/>
          </w:tcPr>
          <w:p>
            <w:pPr>
              <w:jc w:val="right"/>
              <w:spacing w:after="0" w:line="156" w:lineRule="exact"/>
              <w:rPr>
                <w:sz w:val="20"/>
                <w:szCs w:val="20"/>
                <w:color w:val="auto"/>
              </w:rPr>
            </w:pPr>
            <w:r>
              <w:rPr>
                <w:rFonts w:ascii="Times New Roman" w:cs="Times New Roman" w:eastAsia="Times New Roman" w:hAnsi="Times New Roman"/>
                <w:sz w:val="15"/>
                <w:szCs w:val="15"/>
                <w:color w:val="231F20"/>
              </w:rPr>
              <w:t>5,069</w:t>
            </w:r>
          </w:p>
        </w:tc>
        <w:tc>
          <w:tcPr>
            <w:tcW w:w="100" w:type="dxa"/>
            <w:vAlign w:val="bottom"/>
            <w:tcBorders>
              <w:top w:val="single" w:sz="8" w:color="FDFDFC"/>
              <w:bottom w:val="single" w:sz="8" w:color="D0EBF2"/>
            </w:tcBorders>
            <w:shd w:val="clear" w:color="auto" w:fill="FDFDFC"/>
          </w:tcPr>
          <w:p>
            <w:pPr>
              <w:spacing w:after="0"/>
              <w:rPr>
                <w:sz w:val="13"/>
                <w:szCs w:val="13"/>
                <w:color w:val="auto"/>
              </w:rPr>
            </w:pPr>
          </w:p>
        </w:tc>
      </w:tr>
      <w:tr>
        <w:trPr>
          <w:trHeight w:val="201"/>
        </w:trPr>
        <w:tc>
          <w:tcPr>
            <w:tcW w:w="5520" w:type="dxa"/>
            <w:vAlign w:val="bottom"/>
            <w:tcBorders>
              <w:bottom w:val="single" w:sz="8" w:color="D0EBF2"/>
            </w:tcBorders>
            <w:shd w:val="clear" w:color="auto" w:fill="D0EBF2"/>
          </w:tcPr>
          <w:p>
            <w:pPr>
              <w:ind w:left="560"/>
              <w:spacing w:after="0"/>
              <w:rPr>
                <w:sz w:val="20"/>
                <w:szCs w:val="20"/>
                <w:color w:val="auto"/>
              </w:rPr>
            </w:pPr>
            <w:r>
              <w:rPr>
                <w:rFonts w:ascii="Times New Roman" w:cs="Times New Roman" w:eastAsia="Times New Roman" w:hAnsi="Times New Roman"/>
                <w:sz w:val="15"/>
                <w:szCs w:val="15"/>
                <w:b w:val="1"/>
                <w:bCs w:val="1"/>
                <w:color w:val="231F20"/>
              </w:rPr>
              <w:t>Total Investment Income</w:t>
            </w:r>
          </w:p>
        </w:tc>
        <w:tc>
          <w:tcPr>
            <w:tcW w:w="80" w:type="dxa"/>
            <w:vAlign w:val="bottom"/>
            <w:tcBorders>
              <w:bottom w:val="single" w:sz="8" w:color="231F20"/>
            </w:tcBorders>
            <w:shd w:val="clear" w:color="auto" w:fill="D0EBF2"/>
          </w:tcPr>
          <w:p>
            <w:pPr>
              <w:spacing w:after="0"/>
              <w:rPr>
                <w:sz w:val="17"/>
                <w:szCs w:val="17"/>
                <w:color w:val="auto"/>
              </w:rPr>
            </w:pPr>
          </w:p>
        </w:tc>
        <w:tc>
          <w:tcPr>
            <w:tcW w:w="1320" w:type="dxa"/>
            <w:vAlign w:val="bottom"/>
            <w:tcBorders>
              <w:bottom w:val="single" w:sz="8" w:color="231F20"/>
            </w:tcBorders>
            <w:shd w:val="clear" w:color="auto" w:fill="D0EBF2"/>
          </w:tcPr>
          <w:p>
            <w:pPr>
              <w:jc w:val="right"/>
              <w:spacing w:after="0"/>
              <w:rPr>
                <w:sz w:val="20"/>
                <w:szCs w:val="20"/>
                <w:color w:val="auto"/>
              </w:rPr>
            </w:pPr>
            <w:r>
              <w:rPr>
                <w:rFonts w:ascii="Times New Roman" w:cs="Times New Roman" w:eastAsia="Times New Roman" w:hAnsi="Times New Roman"/>
                <w:sz w:val="15"/>
                <w:szCs w:val="15"/>
                <w:color w:val="231F20"/>
              </w:rPr>
              <w:t>482,526</w:t>
            </w:r>
          </w:p>
        </w:tc>
        <w:tc>
          <w:tcPr>
            <w:tcW w:w="100" w:type="dxa"/>
            <w:vAlign w:val="bottom"/>
            <w:tcBorders>
              <w:bottom w:val="single" w:sz="8" w:color="D0EBF2"/>
            </w:tcBorders>
            <w:shd w:val="clear" w:color="auto" w:fill="D0EBF2"/>
          </w:tcPr>
          <w:p>
            <w:pPr>
              <w:spacing w:after="0"/>
              <w:rPr>
                <w:sz w:val="17"/>
                <w:szCs w:val="17"/>
                <w:color w:val="auto"/>
              </w:rPr>
            </w:pPr>
          </w:p>
        </w:tc>
        <w:tc>
          <w:tcPr>
            <w:tcW w:w="140" w:type="dxa"/>
            <w:vAlign w:val="bottom"/>
            <w:tcBorders>
              <w:bottom w:val="single" w:sz="8" w:color="D0EBF2"/>
            </w:tcBorders>
            <w:shd w:val="clear" w:color="auto" w:fill="D0EBF2"/>
          </w:tcPr>
          <w:p>
            <w:pPr>
              <w:spacing w:after="0"/>
              <w:rPr>
                <w:sz w:val="17"/>
                <w:szCs w:val="17"/>
                <w:color w:val="auto"/>
              </w:rPr>
            </w:pPr>
          </w:p>
        </w:tc>
        <w:tc>
          <w:tcPr>
            <w:tcW w:w="180" w:type="dxa"/>
            <w:vAlign w:val="bottom"/>
            <w:tcBorders>
              <w:bottom w:val="single" w:sz="8" w:color="231F20"/>
            </w:tcBorders>
            <w:shd w:val="clear" w:color="auto" w:fill="D0EBF2"/>
          </w:tcPr>
          <w:p>
            <w:pPr>
              <w:spacing w:after="0"/>
              <w:rPr>
                <w:sz w:val="17"/>
                <w:szCs w:val="17"/>
                <w:color w:val="auto"/>
              </w:rPr>
            </w:pPr>
          </w:p>
        </w:tc>
        <w:tc>
          <w:tcPr>
            <w:tcW w:w="1200" w:type="dxa"/>
            <w:vAlign w:val="bottom"/>
            <w:tcBorders>
              <w:bottom w:val="single" w:sz="8" w:color="231F20"/>
            </w:tcBorders>
            <w:shd w:val="clear" w:color="auto" w:fill="D0EBF2"/>
          </w:tcPr>
          <w:p>
            <w:pPr>
              <w:jc w:val="right"/>
              <w:spacing w:after="0"/>
              <w:rPr>
                <w:sz w:val="20"/>
                <w:szCs w:val="20"/>
                <w:color w:val="auto"/>
              </w:rPr>
            </w:pPr>
            <w:r>
              <w:rPr>
                <w:rFonts w:ascii="Times New Roman" w:cs="Times New Roman" w:eastAsia="Times New Roman" w:hAnsi="Times New Roman"/>
                <w:sz w:val="15"/>
                <w:szCs w:val="15"/>
                <w:color w:val="231F20"/>
              </w:rPr>
              <w:t>438,087</w:t>
            </w:r>
          </w:p>
        </w:tc>
        <w:tc>
          <w:tcPr>
            <w:tcW w:w="100" w:type="dxa"/>
            <w:vAlign w:val="bottom"/>
            <w:tcBorders>
              <w:bottom w:val="single" w:sz="8" w:color="D0EBF2"/>
            </w:tcBorders>
            <w:shd w:val="clear" w:color="auto" w:fill="D0EBF2"/>
          </w:tcPr>
          <w:p>
            <w:pPr>
              <w:spacing w:after="0"/>
              <w:rPr>
                <w:sz w:val="17"/>
                <w:szCs w:val="17"/>
                <w:color w:val="auto"/>
              </w:rPr>
            </w:pPr>
          </w:p>
        </w:tc>
        <w:tc>
          <w:tcPr>
            <w:tcW w:w="100" w:type="dxa"/>
            <w:vAlign w:val="bottom"/>
            <w:tcBorders>
              <w:bottom w:val="single" w:sz="8" w:color="D0EBF2"/>
            </w:tcBorders>
            <w:shd w:val="clear" w:color="auto" w:fill="D0EBF2"/>
          </w:tcPr>
          <w:p>
            <w:pPr>
              <w:spacing w:after="0"/>
              <w:rPr>
                <w:sz w:val="17"/>
                <w:szCs w:val="17"/>
                <w:color w:val="auto"/>
              </w:rPr>
            </w:pPr>
          </w:p>
        </w:tc>
        <w:tc>
          <w:tcPr>
            <w:tcW w:w="180" w:type="dxa"/>
            <w:vAlign w:val="bottom"/>
            <w:tcBorders>
              <w:bottom w:val="single" w:sz="8" w:color="231F20"/>
            </w:tcBorders>
            <w:shd w:val="clear" w:color="auto" w:fill="D0EBF2"/>
          </w:tcPr>
          <w:p>
            <w:pPr>
              <w:spacing w:after="0"/>
              <w:rPr>
                <w:sz w:val="17"/>
                <w:szCs w:val="17"/>
                <w:color w:val="auto"/>
              </w:rPr>
            </w:pPr>
          </w:p>
        </w:tc>
        <w:tc>
          <w:tcPr>
            <w:tcW w:w="1180" w:type="dxa"/>
            <w:vAlign w:val="bottom"/>
            <w:tcBorders>
              <w:bottom w:val="single" w:sz="8" w:color="231F20"/>
            </w:tcBorders>
            <w:shd w:val="clear" w:color="auto" w:fill="D0EBF2"/>
          </w:tcPr>
          <w:p>
            <w:pPr>
              <w:jc w:val="right"/>
              <w:spacing w:after="0"/>
              <w:rPr>
                <w:sz w:val="20"/>
                <w:szCs w:val="20"/>
                <w:color w:val="auto"/>
              </w:rPr>
            </w:pPr>
            <w:r>
              <w:rPr>
                <w:rFonts w:ascii="Times New Roman" w:cs="Times New Roman" w:eastAsia="Times New Roman" w:hAnsi="Times New Roman"/>
                <w:sz w:val="15"/>
                <w:szCs w:val="15"/>
                <w:color w:val="231F20"/>
              </w:rPr>
              <w:t>309,305</w:t>
            </w:r>
          </w:p>
        </w:tc>
        <w:tc>
          <w:tcPr>
            <w:tcW w:w="100" w:type="dxa"/>
            <w:vAlign w:val="bottom"/>
            <w:tcBorders>
              <w:bottom w:val="single" w:sz="8" w:color="D0EBF2"/>
            </w:tcBorders>
            <w:shd w:val="clear" w:color="auto" w:fill="D0EBF2"/>
          </w:tcPr>
          <w:p>
            <w:pPr>
              <w:spacing w:after="0"/>
              <w:rPr>
                <w:sz w:val="17"/>
                <w:szCs w:val="17"/>
                <w:color w:val="auto"/>
              </w:rPr>
            </w:pPr>
          </w:p>
        </w:tc>
      </w:tr>
      <w:tr>
        <w:trPr>
          <w:trHeight w:val="156"/>
        </w:trPr>
        <w:tc>
          <w:tcPr>
            <w:tcW w:w="5520" w:type="dxa"/>
            <w:vAlign w:val="bottom"/>
            <w:tcBorders>
              <w:top w:val="single" w:sz="8" w:color="FDFDFC"/>
            </w:tcBorders>
            <w:shd w:val="clear" w:color="auto" w:fill="FDFDFC"/>
          </w:tcPr>
          <w:p>
            <w:pPr>
              <w:spacing w:after="0" w:line="156" w:lineRule="exact"/>
              <w:rPr>
                <w:sz w:val="20"/>
                <w:szCs w:val="20"/>
                <w:color w:val="auto"/>
              </w:rPr>
            </w:pPr>
            <w:r>
              <w:rPr>
                <w:rFonts w:ascii="Times New Roman" w:cs="Times New Roman" w:eastAsia="Times New Roman" w:hAnsi="Times New Roman"/>
                <w:sz w:val="15"/>
                <w:szCs w:val="15"/>
                <w:b w:val="1"/>
                <w:bCs w:val="1"/>
                <w:color w:val="231F20"/>
              </w:rPr>
              <w:t>Expenses</w:t>
            </w:r>
          </w:p>
        </w:tc>
        <w:tc>
          <w:tcPr>
            <w:tcW w:w="80" w:type="dxa"/>
            <w:vAlign w:val="bottom"/>
            <w:tcBorders>
              <w:top w:val="single" w:sz="8" w:color="231F20"/>
            </w:tcBorders>
            <w:shd w:val="clear" w:color="auto" w:fill="FDFDFC"/>
          </w:tcPr>
          <w:p>
            <w:pPr>
              <w:spacing w:after="0"/>
              <w:rPr>
                <w:sz w:val="13"/>
                <w:szCs w:val="13"/>
                <w:color w:val="auto"/>
              </w:rPr>
            </w:pPr>
          </w:p>
        </w:tc>
        <w:tc>
          <w:tcPr>
            <w:tcW w:w="1320" w:type="dxa"/>
            <w:vAlign w:val="bottom"/>
            <w:tcBorders>
              <w:top w:val="single" w:sz="8" w:color="231F20"/>
            </w:tcBorders>
            <w:shd w:val="clear" w:color="auto" w:fill="FDFDFC"/>
          </w:tcPr>
          <w:p>
            <w:pPr>
              <w:spacing w:after="0"/>
              <w:rPr>
                <w:sz w:val="13"/>
                <w:szCs w:val="13"/>
                <w:color w:val="auto"/>
              </w:rPr>
            </w:pPr>
          </w:p>
        </w:tc>
        <w:tc>
          <w:tcPr>
            <w:tcW w:w="100" w:type="dxa"/>
            <w:vAlign w:val="bottom"/>
            <w:tcBorders>
              <w:top w:val="single" w:sz="8" w:color="FDFDFC"/>
            </w:tcBorders>
            <w:shd w:val="clear" w:color="auto" w:fill="FDFDFC"/>
          </w:tcPr>
          <w:p>
            <w:pPr>
              <w:spacing w:after="0"/>
              <w:rPr>
                <w:sz w:val="13"/>
                <w:szCs w:val="13"/>
                <w:color w:val="auto"/>
              </w:rPr>
            </w:pPr>
          </w:p>
        </w:tc>
        <w:tc>
          <w:tcPr>
            <w:tcW w:w="140" w:type="dxa"/>
            <w:vAlign w:val="bottom"/>
            <w:tcBorders>
              <w:top w:val="single" w:sz="8" w:color="FDFDFC"/>
            </w:tcBorders>
            <w:shd w:val="clear" w:color="auto" w:fill="FDFDFC"/>
          </w:tcPr>
          <w:p>
            <w:pPr>
              <w:spacing w:after="0"/>
              <w:rPr>
                <w:sz w:val="13"/>
                <w:szCs w:val="13"/>
                <w:color w:val="auto"/>
              </w:rPr>
            </w:pPr>
          </w:p>
        </w:tc>
        <w:tc>
          <w:tcPr>
            <w:tcW w:w="180" w:type="dxa"/>
            <w:vAlign w:val="bottom"/>
            <w:tcBorders>
              <w:top w:val="single" w:sz="8" w:color="231F20"/>
            </w:tcBorders>
            <w:shd w:val="clear" w:color="auto" w:fill="FDFDFC"/>
          </w:tcPr>
          <w:p>
            <w:pPr>
              <w:spacing w:after="0"/>
              <w:rPr>
                <w:sz w:val="13"/>
                <w:szCs w:val="13"/>
                <w:color w:val="auto"/>
              </w:rPr>
            </w:pPr>
          </w:p>
        </w:tc>
        <w:tc>
          <w:tcPr>
            <w:tcW w:w="1200" w:type="dxa"/>
            <w:vAlign w:val="bottom"/>
            <w:tcBorders>
              <w:top w:val="single" w:sz="8" w:color="231F20"/>
            </w:tcBorders>
            <w:shd w:val="clear" w:color="auto" w:fill="FDFDFC"/>
          </w:tcPr>
          <w:p>
            <w:pPr>
              <w:spacing w:after="0"/>
              <w:rPr>
                <w:sz w:val="13"/>
                <w:szCs w:val="13"/>
                <w:color w:val="auto"/>
              </w:rPr>
            </w:pPr>
          </w:p>
        </w:tc>
        <w:tc>
          <w:tcPr>
            <w:tcW w:w="100" w:type="dxa"/>
            <w:vAlign w:val="bottom"/>
            <w:tcBorders>
              <w:top w:val="single" w:sz="8" w:color="FDFDFC"/>
            </w:tcBorders>
            <w:shd w:val="clear" w:color="auto" w:fill="FDFDFC"/>
          </w:tcPr>
          <w:p>
            <w:pPr>
              <w:spacing w:after="0"/>
              <w:rPr>
                <w:sz w:val="13"/>
                <w:szCs w:val="13"/>
                <w:color w:val="auto"/>
              </w:rPr>
            </w:pPr>
          </w:p>
        </w:tc>
        <w:tc>
          <w:tcPr>
            <w:tcW w:w="100" w:type="dxa"/>
            <w:vAlign w:val="bottom"/>
            <w:tcBorders>
              <w:top w:val="single" w:sz="8" w:color="FDFDFC"/>
            </w:tcBorders>
            <w:shd w:val="clear" w:color="auto" w:fill="FDFDFC"/>
          </w:tcPr>
          <w:p>
            <w:pPr>
              <w:spacing w:after="0"/>
              <w:rPr>
                <w:sz w:val="13"/>
                <w:szCs w:val="13"/>
                <w:color w:val="auto"/>
              </w:rPr>
            </w:pPr>
          </w:p>
        </w:tc>
        <w:tc>
          <w:tcPr>
            <w:tcW w:w="180" w:type="dxa"/>
            <w:vAlign w:val="bottom"/>
            <w:tcBorders>
              <w:top w:val="single" w:sz="8" w:color="231F20"/>
            </w:tcBorders>
            <w:shd w:val="clear" w:color="auto" w:fill="FDFDFC"/>
          </w:tcPr>
          <w:p>
            <w:pPr>
              <w:spacing w:after="0"/>
              <w:rPr>
                <w:sz w:val="13"/>
                <w:szCs w:val="13"/>
                <w:color w:val="auto"/>
              </w:rPr>
            </w:pPr>
          </w:p>
        </w:tc>
        <w:tc>
          <w:tcPr>
            <w:tcW w:w="1180" w:type="dxa"/>
            <w:vAlign w:val="bottom"/>
            <w:tcBorders>
              <w:top w:val="single" w:sz="8" w:color="231F20"/>
            </w:tcBorders>
            <w:shd w:val="clear" w:color="auto" w:fill="FDFDFC"/>
          </w:tcPr>
          <w:p>
            <w:pPr>
              <w:spacing w:after="0"/>
              <w:rPr>
                <w:sz w:val="13"/>
                <w:szCs w:val="13"/>
                <w:color w:val="auto"/>
              </w:rPr>
            </w:pPr>
          </w:p>
        </w:tc>
        <w:tc>
          <w:tcPr>
            <w:tcW w:w="100" w:type="dxa"/>
            <w:vAlign w:val="bottom"/>
            <w:tcBorders>
              <w:top w:val="single" w:sz="8" w:color="FDFDFC"/>
            </w:tcBorders>
            <w:shd w:val="clear" w:color="auto" w:fill="FDFDFC"/>
          </w:tcPr>
          <w:p>
            <w:pPr>
              <w:spacing w:after="0"/>
              <w:rPr>
                <w:sz w:val="13"/>
                <w:szCs w:val="13"/>
                <w:color w:val="auto"/>
              </w:rPr>
            </w:pPr>
          </w:p>
        </w:tc>
      </w:tr>
      <w:tr>
        <w:trPr>
          <w:trHeight w:val="187"/>
        </w:trPr>
        <w:tc>
          <w:tcPr>
            <w:tcW w:w="5520" w:type="dxa"/>
            <w:vAlign w:val="bottom"/>
            <w:shd w:val="clear" w:color="auto" w:fill="D0EBF2"/>
          </w:tcPr>
          <w:p>
            <w:pPr>
              <w:spacing w:after="0"/>
              <w:rPr>
                <w:sz w:val="20"/>
                <w:szCs w:val="20"/>
                <w:color w:val="auto"/>
              </w:rPr>
            </w:pPr>
            <w:r>
              <w:rPr>
                <w:rFonts w:ascii="Times New Roman" w:cs="Times New Roman" w:eastAsia="Times New Roman" w:hAnsi="Times New Roman"/>
                <w:sz w:val="15"/>
                <w:szCs w:val="15"/>
                <w:color w:val="231F20"/>
              </w:rPr>
              <w:t>Interest</w:t>
            </w:r>
          </w:p>
        </w:tc>
        <w:tc>
          <w:tcPr>
            <w:tcW w:w="80" w:type="dxa"/>
            <w:vAlign w:val="bottom"/>
            <w:shd w:val="clear" w:color="auto" w:fill="D0EBF2"/>
          </w:tcPr>
          <w:p>
            <w:pPr>
              <w:spacing w:after="0"/>
              <w:rPr>
                <w:sz w:val="16"/>
                <w:szCs w:val="16"/>
                <w:color w:val="auto"/>
              </w:rPr>
            </w:pPr>
          </w:p>
        </w:tc>
        <w:tc>
          <w:tcPr>
            <w:tcW w:w="1320" w:type="dxa"/>
            <w:vAlign w:val="bottom"/>
            <w:shd w:val="clear" w:color="auto" w:fill="D0EBF2"/>
          </w:tcPr>
          <w:p>
            <w:pPr>
              <w:jc w:val="right"/>
              <w:spacing w:after="0"/>
              <w:rPr>
                <w:sz w:val="20"/>
                <w:szCs w:val="20"/>
                <w:color w:val="auto"/>
              </w:rPr>
            </w:pPr>
            <w:r>
              <w:rPr>
                <w:rFonts w:ascii="Times New Roman" w:cs="Times New Roman" w:eastAsia="Times New Roman" w:hAnsi="Times New Roman"/>
                <w:sz w:val="15"/>
                <w:szCs w:val="15"/>
                <w:color w:val="231F20"/>
              </w:rPr>
              <w:t>154,145</w:t>
            </w:r>
          </w:p>
        </w:tc>
        <w:tc>
          <w:tcPr>
            <w:tcW w:w="100" w:type="dxa"/>
            <w:vAlign w:val="bottom"/>
            <w:shd w:val="clear" w:color="auto" w:fill="D0EBF2"/>
          </w:tcPr>
          <w:p>
            <w:pPr>
              <w:spacing w:after="0"/>
              <w:rPr>
                <w:sz w:val="16"/>
                <w:szCs w:val="16"/>
                <w:color w:val="auto"/>
              </w:rPr>
            </w:pPr>
          </w:p>
        </w:tc>
        <w:tc>
          <w:tcPr>
            <w:tcW w:w="140" w:type="dxa"/>
            <w:vAlign w:val="bottom"/>
            <w:shd w:val="clear" w:color="auto" w:fill="D0EBF2"/>
          </w:tcPr>
          <w:p>
            <w:pPr>
              <w:spacing w:after="0"/>
              <w:rPr>
                <w:sz w:val="16"/>
                <w:szCs w:val="16"/>
                <w:color w:val="auto"/>
              </w:rPr>
            </w:pPr>
          </w:p>
        </w:tc>
        <w:tc>
          <w:tcPr>
            <w:tcW w:w="180" w:type="dxa"/>
            <w:vAlign w:val="bottom"/>
            <w:shd w:val="clear" w:color="auto" w:fill="D0EBF2"/>
          </w:tcPr>
          <w:p>
            <w:pPr>
              <w:spacing w:after="0"/>
              <w:rPr>
                <w:sz w:val="16"/>
                <w:szCs w:val="16"/>
                <w:color w:val="auto"/>
              </w:rPr>
            </w:pPr>
          </w:p>
        </w:tc>
        <w:tc>
          <w:tcPr>
            <w:tcW w:w="1200" w:type="dxa"/>
            <w:vAlign w:val="bottom"/>
            <w:shd w:val="clear" w:color="auto" w:fill="D0EBF2"/>
          </w:tcPr>
          <w:p>
            <w:pPr>
              <w:jc w:val="right"/>
              <w:spacing w:after="0"/>
              <w:rPr>
                <w:sz w:val="20"/>
                <w:szCs w:val="20"/>
                <w:color w:val="auto"/>
              </w:rPr>
            </w:pPr>
            <w:r>
              <w:rPr>
                <w:rFonts w:ascii="Times New Roman" w:cs="Times New Roman" w:eastAsia="Times New Roman" w:hAnsi="Times New Roman"/>
                <w:sz w:val="15"/>
                <w:szCs w:val="15"/>
                <w:color w:val="231F20"/>
              </w:rPr>
              <w:t>133,731</w:t>
            </w:r>
          </w:p>
        </w:tc>
        <w:tc>
          <w:tcPr>
            <w:tcW w:w="100" w:type="dxa"/>
            <w:vAlign w:val="bottom"/>
            <w:shd w:val="clear" w:color="auto" w:fill="D0EBF2"/>
          </w:tcPr>
          <w:p>
            <w:pPr>
              <w:spacing w:after="0"/>
              <w:rPr>
                <w:sz w:val="16"/>
                <w:szCs w:val="16"/>
                <w:color w:val="auto"/>
              </w:rPr>
            </w:pPr>
          </w:p>
        </w:tc>
        <w:tc>
          <w:tcPr>
            <w:tcW w:w="100" w:type="dxa"/>
            <w:vAlign w:val="bottom"/>
            <w:shd w:val="clear" w:color="auto" w:fill="D0EBF2"/>
          </w:tcPr>
          <w:p>
            <w:pPr>
              <w:spacing w:after="0"/>
              <w:rPr>
                <w:sz w:val="16"/>
                <w:szCs w:val="16"/>
                <w:color w:val="auto"/>
              </w:rPr>
            </w:pPr>
          </w:p>
        </w:tc>
        <w:tc>
          <w:tcPr>
            <w:tcW w:w="180" w:type="dxa"/>
            <w:vAlign w:val="bottom"/>
            <w:shd w:val="clear" w:color="auto" w:fill="D0EBF2"/>
          </w:tcPr>
          <w:p>
            <w:pPr>
              <w:spacing w:after="0"/>
              <w:rPr>
                <w:sz w:val="16"/>
                <w:szCs w:val="16"/>
                <w:color w:val="auto"/>
              </w:rPr>
            </w:pPr>
          </w:p>
        </w:tc>
        <w:tc>
          <w:tcPr>
            <w:tcW w:w="1180" w:type="dxa"/>
            <w:vAlign w:val="bottom"/>
            <w:shd w:val="clear" w:color="auto" w:fill="D0EBF2"/>
          </w:tcPr>
          <w:p>
            <w:pPr>
              <w:jc w:val="right"/>
              <w:spacing w:after="0"/>
              <w:rPr>
                <w:sz w:val="20"/>
                <w:szCs w:val="20"/>
                <w:color w:val="auto"/>
              </w:rPr>
            </w:pPr>
            <w:r>
              <w:rPr>
                <w:rFonts w:ascii="Times New Roman" w:cs="Times New Roman" w:eastAsia="Times New Roman" w:hAnsi="Times New Roman"/>
                <w:sz w:val="15"/>
                <w:szCs w:val="15"/>
                <w:color w:val="231F20"/>
              </w:rPr>
              <w:t>62,991</w:t>
            </w:r>
          </w:p>
        </w:tc>
        <w:tc>
          <w:tcPr>
            <w:tcW w:w="100" w:type="dxa"/>
            <w:vAlign w:val="bottom"/>
            <w:shd w:val="clear" w:color="auto" w:fill="D0EBF2"/>
          </w:tcPr>
          <w:p>
            <w:pPr>
              <w:spacing w:after="0"/>
              <w:rPr>
                <w:sz w:val="16"/>
                <w:szCs w:val="16"/>
                <w:color w:val="auto"/>
              </w:rPr>
            </w:pPr>
          </w:p>
        </w:tc>
      </w:tr>
      <w:tr>
        <w:trPr>
          <w:trHeight w:val="187"/>
        </w:trPr>
        <w:tc>
          <w:tcPr>
            <w:tcW w:w="5520" w:type="dxa"/>
            <w:vAlign w:val="bottom"/>
            <w:shd w:val="clear" w:color="auto" w:fill="FDFDFC"/>
          </w:tcPr>
          <w:p>
            <w:pPr>
              <w:spacing w:after="0"/>
              <w:rPr>
                <w:sz w:val="20"/>
                <w:szCs w:val="20"/>
                <w:color w:val="auto"/>
              </w:rPr>
            </w:pPr>
            <w:r>
              <w:rPr>
                <w:rFonts w:ascii="Times New Roman" w:cs="Times New Roman" w:eastAsia="Times New Roman" w:hAnsi="Times New Roman"/>
                <w:sz w:val="15"/>
                <w:szCs w:val="15"/>
                <w:color w:val="231F20"/>
              </w:rPr>
              <w:t>Management fees</w:t>
            </w:r>
          </w:p>
        </w:tc>
        <w:tc>
          <w:tcPr>
            <w:tcW w:w="80" w:type="dxa"/>
            <w:vAlign w:val="bottom"/>
            <w:shd w:val="clear" w:color="auto" w:fill="FDFDFC"/>
          </w:tcPr>
          <w:p>
            <w:pPr>
              <w:spacing w:after="0"/>
              <w:rPr>
                <w:sz w:val="16"/>
                <w:szCs w:val="16"/>
                <w:color w:val="auto"/>
              </w:rPr>
            </w:pPr>
          </w:p>
        </w:tc>
        <w:tc>
          <w:tcPr>
            <w:tcW w:w="1320" w:type="dxa"/>
            <w:vAlign w:val="bottom"/>
            <w:shd w:val="clear" w:color="auto" w:fill="FDFDFC"/>
          </w:tcPr>
          <w:p>
            <w:pPr>
              <w:jc w:val="right"/>
              <w:spacing w:after="0"/>
              <w:rPr>
                <w:sz w:val="20"/>
                <w:szCs w:val="20"/>
                <w:color w:val="auto"/>
              </w:rPr>
            </w:pPr>
            <w:r>
              <w:rPr>
                <w:rFonts w:ascii="Times New Roman" w:cs="Times New Roman" w:eastAsia="Times New Roman" w:hAnsi="Times New Roman"/>
                <w:sz w:val="15"/>
                <w:szCs w:val="15"/>
                <w:color w:val="231F20"/>
              </w:rPr>
              <w:t>51,786</w:t>
            </w:r>
          </w:p>
        </w:tc>
        <w:tc>
          <w:tcPr>
            <w:tcW w:w="100" w:type="dxa"/>
            <w:vAlign w:val="bottom"/>
            <w:shd w:val="clear" w:color="auto" w:fill="FDFDFC"/>
          </w:tcPr>
          <w:p>
            <w:pPr>
              <w:spacing w:after="0"/>
              <w:rPr>
                <w:sz w:val="16"/>
                <w:szCs w:val="16"/>
                <w:color w:val="auto"/>
              </w:rPr>
            </w:pPr>
          </w:p>
        </w:tc>
        <w:tc>
          <w:tcPr>
            <w:tcW w:w="140" w:type="dxa"/>
            <w:vAlign w:val="bottom"/>
            <w:shd w:val="clear" w:color="auto" w:fill="FDFDFC"/>
          </w:tcPr>
          <w:p>
            <w:pPr>
              <w:spacing w:after="0"/>
              <w:rPr>
                <w:sz w:val="16"/>
                <w:szCs w:val="16"/>
                <w:color w:val="auto"/>
              </w:rPr>
            </w:pPr>
          </w:p>
        </w:tc>
        <w:tc>
          <w:tcPr>
            <w:tcW w:w="180" w:type="dxa"/>
            <w:vAlign w:val="bottom"/>
            <w:shd w:val="clear" w:color="auto" w:fill="FDFDFC"/>
          </w:tcPr>
          <w:p>
            <w:pPr>
              <w:spacing w:after="0"/>
              <w:rPr>
                <w:sz w:val="16"/>
                <w:szCs w:val="16"/>
                <w:color w:val="auto"/>
              </w:rPr>
            </w:pPr>
          </w:p>
        </w:tc>
        <w:tc>
          <w:tcPr>
            <w:tcW w:w="1200" w:type="dxa"/>
            <w:vAlign w:val="bottom"/>
            <w:shd w:val="clear" w:color="auto" w:fill="FDFDFC"/>
          </w:tcPr>
          <w:p>
            <w:pPr>
              <w:jc w:val="right"/>
              <w:spacing w:after="0"/>
              <w:rPr>
                <w:sz w:val="20"/>
                <w:szCs w:val="20"/>
                <w:color w:val="auto"/>
              </w:rPr>
            </w:pPr>
            <w:r>
              <w:rPr>
                <w:rFonts w:ascii="Times New Roman" w:cs="Times New Roman" w:eastAsia="Times New Roman" w:hAnsi="Times New Roman"/>
                <w:sz w:val="15"/>
                <w:szCs w:val="15"/>
                <w:color w:val="231F20"/>
              </w:rPr>
              <w:t>46,382</w:t>
            </w:r>
          </w:p>
        </w:tc>
        <w:tc>
          <w:tcPr>
            <w:tcW w:w="100" w:type="dxa"/>
            <w:vAlign w:val="bottom"/>
            <w:shd w:val="clear" w:color="auto" w:fill="FDFDFC"/>
          </w:tcPr>
          <w:p>
            <w:pPr>
              <w:spacing w:after="0"/>
              <w:rPr>
                <w:sz w:val="16"/>
                <w:szCs w:val="16"/>
                <w:color w:val="auto"/>
              </w:rPr>
            </w:pPr>
          </w:p>
        </w:tc>
        <w:tc>
          <w:tcPr>
            <w:tcW w:w="100" w:type="dxa"/>
            <w:vAlign w:val="bottom"/>
            <w:shd w:val="clear" w:color="auto" w:fill="FDFDFC"/>
          </w:tcPr>
          <w:p>
            <w:pPr>
              <w:spacing w:after="0"/>
              <w:rPr>
                <w:sz w:val="16"/>
                <w:szCs w:val="16"/>
                <w:color w:val="auto"/>
              </w:rPr>
            </w:pPr>
          </w:p>
        </w:tc>
        <w:tc>
          <w:tcPr>
            <w:tcW w:w="180" w:type="dxa"/>
            <w:vAlign w:val="bottom"/>
            <w:shd w:val="clear" w:color="auto" w:fill="FDFDFC"/>
          </w:tcPr>
          <w:p>
            <w:pPr>
              <w:spacing w:after="0"/>
              <w:rPr>
                <w:sz w:val="16"/>
                <w:szCs w:val="16"/>
                <w:color w:val="auto"/>
              </w:rPr>
            </w:pPr>
          </w:p>
        </w:tc>
        <w:tc>
          <w:tcPr>
            <w:tcW w:w="1180" w:type="dxa"/>
            <w:vAlign w:val="bottom"/>
            <w:shd w:val="clear" w:color="auto" w:fill="FDFDFC"/>
          </w:tcPr>
          <w:p>
            <w:pPr>
              <w:jc w:val="right"/>
              <w:spacing w:after="0"/>
              <w:rPr>
                <w:sz w:val="20"/>
                <w:szCs w:val="20"/>
                <w:color w:val="auto"/>
              </w:rPr>
            </w:pPr>
            <w:r>
              <w:rPr>
                <w:rFonts w:ascii="Times New Roman" w:cs="Times New Roman" w:eastAsia="Times New Roman" w:hAnsi="Times New Roman"/>
                <w:sz w:val="15"/>
                <w:szCs w:val="15"/>
                <w:color w:val="231F20"/>
              </w:rPr>
              <w:t>39,900</w:t>
            </w:r>
          </w:p>
        </w:tc>
        <w:tc>
          <w:tcPr>
            <w:tcW w:w="100" w:type="dxa"/>
            <w:vAlign w:val="bottom"/>
            <w:shd w:val="clear" w:color="auto" w:fill="FDFDFC"/>
          </w:tcPr>
          <w:p>
            <w:pPr>
              <w:spacing w:after="0"/>
              <w:rPr>
                <w:sz w:val="16"/>
                <w:szCs w:val="16"/>
                <w:color w:val="auto"/>
              </w:rPr>
            </w:pPr>
          </w:p>
        </w:tc>
      </w:tr>
      <w:tr>
        <w:trPr>
          <w:trHeight w:val="187"/>
        </w:trPr>
        <w:tc>
          <w:tcPr>
            <w:tcW w:w="5520" w:type="dxa"/>
            <w:vAlign w:val="bottom"/>
            <w:shd w:val="clear" w:color="auto" w:fill="D0EBF2"/>
          </w:tcPr>
          <w:p>
            <w:pPr>
              <w:spacing w:after="0"/>
              <w:rPr>
                <w:sz w:val="20"/>
                <w:szCs w:val="20"/>
                <w:color w:val="auto"/>
              </w:rPr>
            </w:pPr>
            <w:r>
              <w:rPr>
                <w:rFonts w:ascii="Times New Roman" w:cs="Times New Roman" w:eastAsia="Times New Roman" w:hAnsi="Times New Roman"/>
                <w:sz w:val="15"/>
                <w:szCs w:val="15"/>
                <w:color w:val="231F20"/>
              </w:rPr>
              <w:t>Incentive fees on net investment income</w:t>
            </w:r>
          </w:p>
        </w:tc>
        <w:tc>
          <w:tcPr>
            <w:tcW w:w="80" w:type="dxa"/>
            <w:vAlign w:val="bottom"/>
            <w:shd w:val="clear" w:color="auto" w:fill="D0EBF2"/>
          </w:tcPr>
          <w:p>
            <w:pPr>
              <w:spacing w:after="0"/>
              <w:rPr>
                <w:sz w:val="16"/>
                <w:szCs w:val="16"/>
                <w:color w:val="auto"/>
              </w:rPr>
            </w:pPr>
          </w:p>
        </w:tc>
        <w:tc>
          <w:tcPr>
            <w:tcW w:w="1320" w:type="dxa"/>
            <w:vAlign w:val="bottom"/>
            <w:shd w:val="clear" w:color="auto" w:fill="D0EBF2"/>
          </w:tcPr>
          <w:p>
            <w:pPr>
              <w:jc w:val="right"/>
              <w:spacing w:after="0"/>
              <w:rPr>
                <w:sz w:val="20"/>
                <w:szCs w:val="20"/>
                <w:color w:val="auto"/>
              </w:rPr>
            </w:pPr>
            <w:r>
              <w:rPr>
                <w:rFonts w:ascii="Times New Roman" w:cs="Times New Roman" w:eastAsia="Times New Roman" w:hAnsi="Times New Roman"/>
                <w:sz w:val="15"/>
                <w:szCs w:val="15"/>
                <w:color w:val="231F20"/>
              </w:rPr>
              <w:t>45,530</w:t>
            </w:r>
          </w:p>
        </w:tc>
        <w:tc>
          <w:tcPr>
            <w:tcW w:w="100" w:type="dxa"/>
            <w:vAlign w:val="bottom"/>
            <w:shd w:val="clear" w:color="auto" w:fill="D0EBF2"/>
          </w:tcPr>
          <w:p>
            <w:pPr>
              <w:spacing w:after="0"/>
              <w:rPr>
                <w:sz w:val="16"/>
                <w:szCs w:val="16"/>
                <w:color w:val="auto"/>
              </w:rPr>
            </w:pPr>
          </w:p>
        </w:tc>
        <w:tc>
          <w:tcPr>
            <w:tcW w:w="140" w:type="dxa"/>
            <w:vAlign w:val="bottom"/>
            <w:shd w:val="clear" w:color="auto" w:fill="D0EBF2"/>
          </w:tcPr>
          <w:p>
            <w:pPr>
              <w:spacing w:after="0"/>
              <w:rPr>
                <w:sz w:val="16"/>
                <w:szCs w:val="16"/>
                <w:color w:val="auto"/>
              </w:rPr>
            </w:pPr>
          </w:p>
        </w:tc>
        <w:tc>
          <w:tcPr>
            <w:tcW w:w="180" w:type="dxa"/>
            <w:vAlign w:val="bottom"/>
            <w:shd w:val="clear" w:color="auto" w:fill="D0EBF2"/>
          </w:tcPr>
          <w:p>
            <w:pPr>
              <w:spacing w:after="0"/>
              <w:rPr>
                <w:sz w:val="16"/>
                <w:szCs w:val="16"/>
                <w:color w:val="auto"/>
              </w:rPr>
            </w:pPr>
          </w:p>
        </w:tc>
        <w:tc>
          <w:tcPr>
            <w:tcW w:w="1200" w:type="dxa"/>
            <w:vAlign w:val="bottom"/>
            <w:shd w:val="clear" w:color="auto" w:fill="D0EBF2"/>
          </w:tcPr>
          <w:p>
            <w:pPr>
              <w:jc w:val="right"/>
              <w:spacing w:after="0"/>
              <w:rPr>
                <w:sz w:val="20"/>
                <w:szCs w:val="20"/>
                <w:color w:val="auto"/>
              </w:rPr>
            </w:pPr>
            <w:r>
              <w:rPr>
                <w:rFonts w:ascii="Times New Roman" w:cs="Times New Roman" w:eastAsia="Times New Roman" w:hAnsi="Times New Roman"/>
                <w:sz w:val="15"/>
                <w:szCs w:val="15"/>
                <w:color w:val="231F20"/>
              </w:rPr>
              <w:t>42,590</w:t>
            </w:r>
          </w:p>
        </w:tc>
        <w:tc>
          <w:tcPr>
            <w:tcW w:w="100" w:type="dxa"/>
            <w:vAlign w:val="bottom"/>
            <w:shd w:val="clear" w:color="auto" w:fill="D0EBF2"/>
          </w:tcPr>
          <w:p>
            <w:pPr>
              <w:spacing w:after="0"/>
              <w:rPr>
                <w:sz w:val="16"/>
                <w:szCs w:val="16"/>
                <w:color w:val="auto"/>
              </w:rPr>
            </w:pPr>
          </w:p>
        </w:tc>
        <w:tc>
          <w:tcPr>
            <w:tcW w:w="100" w:type="dxa"/>
            <w:vAlign w:val="bottom"/>
            <w:shd w:val="clear" w:color="auto" w:fill="D0EBF2"/>
          </w:tcPr>
          <w:p>
            <w:pPr>
              <w:spacing w:after="0"/>
              <w:rPr>
                <w:sz w:val="16"/>
                <w:szCs w:val="16"/>
                <w:color w:val="auto"/>
              </w:rPr>
            </w:pPr>
          </w:p>
        </w:tc>
        <w:tc>
          <w:tcPr>
            <w:tcW w:w="180" w:type="dxa"/>
            <w:vAlign w:val="bottom"/>
            <w:shd w:val="clear" w:color="auto" w:fill="D0EBF2"/>
          </w:tcPr>
          <w:p>
            <w:pPr>
              <w:spacing w:after="0"/>
              <w:rPr>
                <w:sz w:val="16"/>
                <w:szCs w:val="16"/>
                <w:color w:val="auto"/>
              </w:rPr>
            </w:pPr>
          </w:p>
        </w:tc>
        <w:tc>
          <w:tcPr>
            <w:tcW w:w="1180" w:type="dxa"/>
            <w:vAlign w:val="bottom"/>
            <w:shd w:val="clear" w:color="auto" w:fill="D0EBF2"/>
          </w:tcPr>
          <w:p>
            <w:pPr>
              <w:jc w:val="right"/>
              <w:spacing w:after="0"/>
              <w:rPr>
                <w:sz w:val="20"/>
                <w:szCs w:val="20"/>
                <w:color w:val="auto"/>
              </w:rPr>
            </w:pPr>
            <w:r>
              <w:rPr>
                <w:rFonts w:ascii="Times New Roman" w:cs="Times New Roman" w:eastAsia="Times New Roman" w:hAnsi="Times New Roman"/>
                <w:sz w:val="15"/>
                <w:szCs w:val="15"/>
                <w:color w:val="231F20"/>
              </w:rPr>
              <w:t>33,401</w:t>
            </w:r>
          </w:p>
        </w:tc>
        <w:tc>
          <w:tcPr>
            <w:tcW w:w="100" w:type="dxa"/>
            <w:vAlign w:val="bottom"/>
            <w:shd w:val="clear" w:color="auto" w:fill="D0EBF2"/>
          </w:tcPr>
          <w:p>
            <w:pPr>
              <w:spacing w:after="0"/>
              <w:rPr>
                <w:sz w:val="16"/>
                <w:szCs w:val="16"/>
                <w:color w:val="auto"/>
              </w:rPr>
            </w:pPr>
          </w:p>
        </w:tc>
      </w:tr>
      <w:tr>
        <w:trPr>
          <w:trHeight w:val="187"/>
        </w:trPr>
        <w:tc>
          <w:tcPr>
            <w:tcW w:w="5520" w:type="dxa"/>
            <w:vAlign w:val="bottom"/>
            <w:shd w:val="clear" w:color="auto" w:fill="FDFDFC"/>
          </w:tcPr>
          <w:p>
            <w:pPr>
              <w:spacing w:after="0"/>
              <w:rPr>
                <w:sz w:val="20"/>
                <w:szCs w:val="20"/>
                <w:color w:val="auto"/>
              </w:rPr>
            </w:pPr>
            <w:r>
              <w:rPr>
                <w:rFonts w:ascii="Times New Roman" w:cs="Times New Roman" w:eastAsia="Times New Roman" w:hAnsi="Times New Roman"/>
                <w:sz w:val="15"/>
                <w:szCs w:val="15"/>
                <w:color w:val="231F20"/>
              </w:rPr>
              <w:t>Incentive fees on net capital gains</w:t>
            </w:r>
          </w:p>
        </w:tc>
        <w:tc>
          <w:tcPr>
            <w:tcW w:w="80" w:type="dxa"/>
            <w:vAlign w:val="bottom"/>
            <w:shd w:val="clear" w:color="auto" w:fill="FDFDFC"/>
          </w:tcPr>
          <w:p>
            <w:pPr>
              <w:spacing w:after="0"/>
              <w:rPr>
                <w:sz w:val="16"/>
                <w:szCs w:val="16"/>
                <w:color w:val="auto"/>
              </w:rPr>
            </w:pPr>
          </w:p>
        </w:tc>
        <w:tc>
          <w:tcPr>
            <w:tcW w:w="1420" w:type="dxa"/>
            <w:vAlign w:val="bottom"/>
            <w:gridSpan w:val="2"/>
            <w:shd w:val="clear" w:color="auto" w:fill="FDFDFC"/>
          </w:tcPr>
          <w:p>
            <w:pPr>
              <w:jc w:val="right"/>
              <w:spacing w:after="0"/>
              <w:rPr>
                <w:sz w:val="20"/>
                <w:szCs w:val="20"/>
                <w:color w:val="auto"/>
              </w:rPr>
            </w:pPr>
            <w:r>
              <w:rPr>
                <w:rFonts w:ascii="Times New Roman" w:cs="Times New Roman" w:eastAsia="Times New Roman" w:hAnsi="Times New Roman"/>
                <w:sz w:val="15"/>
                <w:szCs w:val="15"/>
                <w:color w:val="231F20"/>
              </w:rPr>
              <w:t>(5,375 )</w:t>
            </w:r>
          </w:p>
        </w:tc>
        <w:tc>
          <w:tcPr>
            <w:tcW w:w="140" w:type="dxa"/>
            <w:vAlign w:val="bottom"/>
            <w:shd w:val="clear" w:color="auto" w:fill="FDFDFC"/>
          </w:tcPr>
          <w:p>
            <w:pPr>
              <w:spacing w:after="0"/>
              <w:rPr>
                <w:sz w:val="16"/>
                <w:szCs w:val="16"/>
                <w:color w:val="auto"/>
              </w:rPr>
            </w:pPr>
          </w:p>
        </w:tc>
        <w:tc>
          <w:tcPr>
            <w:tcW w:w="180" w:type="dxa"/>
            <w:vAlign w:val="bottom"/>
            <w:shd w:val="clear" w:color="auto" w:fill="FDFDFC"/>
          </w:tcPr>
          <w:p>
            <w:pPr>
              <w:spacing w:after="0"/>
              <w:rPr>
                <w:sz w:val="16"/>
                <w:szCs w:val="16"/>
                <w:color w:val="auto"/>
              </w:rPr>
            </w:pPr>
          </w:p>
        </w:tc>
        <w:tc>
          <w:tcPr>
            <w:tcW w:w="1200" w:type="dxa"/>
            <w:vAlign w:val="bottom"/>
            <w:shd w:val="clear" w:color="auto" w:fill="FDFDFC"/>
          </w:tcPr>
          <w:p>
            <w:pPr>
              <w:jc w:val="right"/>
              <w:spacing w:after="0"/>
              <w:rPr>
                <w:sz w:val="20"/>
                <w:szCs w:val="20"/>
                <w:color w:val="auto"/>
              </w:rPr>
            </w:pPr>
            <w:r>
              <w:rPr>
                <w:rFonts w:ascii="Times New Roman" w:cs="Times New Roman" w:eastAsia="Times New Roman" w:hAnsi="Times New Roman"/>
                <w:sz w:val="15"/>
                <w:szCs w:val="15"/>
                <w:color w:val="231F20"/>
              </w:rPr>
              <w:t>4,382</w:t>
            </w:r>
          </w:p>
        </w:tc>
        <w:tc>
          <w:tcPr>
            <w:tcW w:w="100" w:type="dxa"/>
            <w:vAlign w:val="bottom"/>
            <w:shd w:val="clear" w:color="auto" w:fill="FDFDFC"/>
          </w:tcPr>
          <w:p>
            <w:pPr>
              <w:spacing w:after="0"/>
              <w:rPr>
                <w:sz w:val="16"/>
                <w:szCs w:val="16"/>
                <w:color w:val="auto"/>
              </w:rPr>
            </w:pPr>
          </w:p>
        </w:tc>
        <w:tc>
          <w:tcPr>
            <w:tcW w:w="100" w:type="dxa"/>
            <w:vAlign w:val="bottom"/>
            <w:shd w:val="clear" w:color="auto" w:fill="FDFDFC"/>
          </w:tcPr>
          <w:p>
            <w:pPr>
              <w:spacing w:after="0"/>
              <w:rPr>
                <w:sz w:val="16"/>
                <w:szCs w:val="16"/>
                <w:color w:val="auto"/>
              </w:rPr>
            </w:pPr>
          </w:p>
        </w:tc>
        <w:tc>
          <w:tcPr>
            <w:tcW w:w="180" w:type="dxa"/>
            <w:vAlign w:val="bottom"/>
            <w:shd w:val="clear" w:color="auto" w:fill="FDFDFC"/>
          </w:tcPr>
          <w:p>
            <w:pPr>
              <w:spacing w:after="0"/>
              <w:rPr>
                <w:sz w:val="16"/>
                <w:szCs w:val="16"/>
                <w:color w:val="auto"/>
              </w:rPr>
            </w:pPr>
          </w:p>
        </w:tc>
        <w:tc>
          <w:tcPr>
            <w:tcW w:w="1280" w:type="dxa"/>
            <w:vAlign w:val="bottom"/>
            <w:gridSpan w:val="2"/>
            <w:shd w:val="clear" w:color="auto" w:fill="FDFDFC"/>
          </w:tcPr>
          <w:p>
            <w:pPr>
              <w:jc w:val="right"/>
              <w:ind w:right="22"/>
              <w:spacing w:after="0"/>
              <w:rPr>
                <w:sz w:val="20"/>
                <w:szCs w:val="20"/>
                <w:color w:val="auto"/>
              </w:rPr>
            </w:pPr>
            <w:r>
              <w:rPr>
                <w:rFonts w:ascii="Times New Roman" w:cs="Times New Roman" w:eastAsia="Times New Roman" w:hAnsi="Times New Roman"/>
                <w:sz w:val="15"/>
                <w:szCs w:val="15"/>
                <w:color w:val="231F20"/>
              </w:rPr>
              <w:t>(8,864 )</w:t>
            </w:r>
          </w:p>
        </w:tc>
      </w:tr>
      <w:tr>
        <w:trPr>
          <w:trHeight w:val="187"/>
        </w:trPr>
        <w:tc>
          <w:tcPr>
            <w:tcW w:w="5520" w:type="dxa"/>
            <w:vAlign w:val="bottom"/>
            <w:shd w:val="clear" w:color="auto" w:fill="D0EBF2"/>
          </w:tcPr>
          <w:p>
            <w:pPr>
              <w:spacing w:after="0"/>
              <w:rPr>
                <w:sz w:val="20"/>
                <w:szCs w:val="20"/>
                <w:color w:val="auto"/>
              </w:rPr>
            </w:pPr>
            <w:r>
              <w:rPr>
                <w:rFonts w:ascii="Times New Roman" w:cs="Times New Roman" w:eastAsia="Times New Roman" w:hAnsi="Times New Roman"/>
                <w:sz w:val="15"/>
                <w:szCs w:val="15"/>
                <w:color w:val="231F20"/>
              </w:rPr>
              <w:t>Professional fees</w:t>
            </w:r>
          </w:p>
        </w:tc>
        <w:tc>
          <w:tcPr>
            <w:tcW w:w="80" w:type="dxa"/>
            <w:vAlign w:val="bottom"/>
            <w:shd w:val="clear" w:color="auto" w:fill="D0EBF2"/>
          </w:tcPr>
          <w:p>
            <w:pPr>
              <w:spacing w:after="0"/>
              <w:rPr>
                <w:sz w:val="16"/>
                <w:szCs w:val="16"/>
                <w:color w:val="auto"/>
              </w:rPr>
            </w:pPr>
          </w:p>
        </w:tc>
        <w:tc>
          <w:tcPr>
            <w:tcW w:w="1320" w:type="dxa"/>
            <w:vAlign w:val="bottom"/>
            <w:shd w:val="clear" w:color="auto" w:fill="D0EBF2"/>
          </w:tcPr>
          <w:p>
            <w:pPr>
              <w:jc w:val="right"/>
              <w:spacing w:after="0"/>
              <w:rPr>
                <w:sz w:val="20"/>
                <w:szCs w:val="20"/>
                <w:color w:val="auto"/>
              </w:rPr>
            </w:pPr>
            <w:r>
              <w:rPr>
                <w:rFonts w:ascii="Times New Roman" w:cs="Times New Roman" w:eastAsia="Times New Roman" w:hAnsi="Times New Roman"/>
                <w:sz w:val="15"/>
                <w:szCs w:val="15"/>
                <w:color w:val="231F20"/>
              </w:rPr>
              <w:t>7,546</w:t>
            </w:r>
          </w:p>
        </w:tc>
        <w:tc>
          <w:tcPr>
            <w:tcW w:w="100" w:type="dxa"/>
            <w:vAlign w:val="bottom"/>
            <w:shd w:val="clear" w:color="auto" w:fill="D0EBF2"/>
          </w:tcPr>
          <w:p>
            <w:pPr>
              <w:spacing w:after="0"/>
              <w:rPr>
                <w:sz w:val="16"/>
                <w:szCs w:val="16"/>
                <w:color w:val="auto"/>
              </w:rPr>
            </w:pPr>
          </w:p>
        </w:tc>
        <w:tc>
          <w:tcPr>
            <w:tcW w:w="140" w:type="dxa"/>
            <w:vAlign w:val="bottom"/>
            <w:shd w:val="clear" w:color="auto" w:fill="D0EBF2"/>
          </w:tcPr>
          <w:p>
            <w:pPr>
              <w:spacing w:after="0"/>
              <w:rPr>
                <w:sz w:val="16"/>
                <w:szCs w:val="16"/>
                <w:color w:val="auto"/>
              </w:rPr>
            </w:pPr>
          </w:p>
        </w:tc>
        <w:tc>
          <w:tcPr>
            <w:tcW w:w="180" w:type="dxa"/>
            <w:vAlign w:val="bottom"/>
            <w:shd w:val="clear" w:color="auto" w:fill="D0EBF2"/>
          </w:tcPr>
          <w:p>
            <w:pPr>
              <w:spacing w:after="0"/>
              <w:rPr>
                <w:sz w:val="16"/>
                <w:szCs w:val="16"/>
                <w:color w:val="auto"/>
              </w:rPr>
            </w:pPr>
          </w:p>
        </w:tc>
        <w:tc>
          <w:tcPr>
            <w:tcW w:w="1200" w:type="dxa"/>
            <w:vAlign w:val="bottom"/>
            <w:shd w:val="clear" w:color="auto" w:fill="D0EBF2"/>
          </w:tcPr>
          <w:p>
            <w:pPr>
              <w:jc w:val="right"/>
              <w:spacing w:after="0"/>
              <w:rPr>
                <w:sz w:val="20"/>
                <w:szCs w:val="20"/>
                <w:color w:val="auto"/>
              </w:rPr>
            </w:pPr>
            <w:r>
              <w:rPr>
                <w:rFonts w:ascii="Times New Roman" w:cs="Times New Roman" w:eastAsia="Times New Roman" w:hAnsi="Times New Roman"/>
                <w:sz w:val="15"/>
                <w:szCs w:val="15"/>
                <w:color w:val="231F20"/>
              </w:rPr>
              <w:t>7,323</w:t>
            </w:r>
          </w:p>
        </w:tc>
        <w:tc>
          <w:tcPr>
            <w:tcW w:w="100" w:type="dxa"/>
            <w:vAlign w:val="bottom"/>
            <w:shd w:val="clear" w:color="auto" w:fill="D0EBF2"/>
          </w:tcPr>
          <w:p>
            <w:pPr>
              <w:spacing w:after="0"/>
              <w:rPr>
                <w:sz w:val="16"/>
                <w:szCs w:val="16"/>
                <w:color w:val="auto"/>
              </w:rPr>
            </w:pPr>
          </w:p>
        </w:tc>
        <w:tc>
          <w:tcPr>
            <w:tcW w:w="100" w:type="dxa"/>
            <w:vAlign w:val="bottom"/>
            <w:shd w:val="clear" w:color="auto" w:fill="D0EBF2"/>
          </w:tcPr>
          <w:p>
            <w:pPr>
              <w:spacing w:after="0"/>
              <w:rPr>
                <w:sz w:val="16"/>
                <w:szCs w:val="16"/>
                <w:color w:val="auto"/>
              </w:rPr>
            </w:pPr>
          </w:p>
        </w:tc>
        <w:tc>
          <w:tcPr>
            <w:tcW w:w="180" w:type="dxa"/>
            <w:vAlign w:val="bottom"/>
            <w:shd w:val="clear" w:color="auto" w:fill="D0EBF2"/>
          </w:tcPr>
          <w:p>
            <w:pPr>
              <w:spacing w:after="0"/>
              <w:rPr>
                <w:sz w:val="16"/>
                <w:szCs w:val="16"/>
                <w:color w:val="auto"/>
              </w:rPr>
            </w:pPr>
          </w:p>
        </w:tc>
        <w:tc>
          <w:tcPr>
            <w:tcW w:w="1180" w:type="dxa"/>
            <w:vAlign w:val="bottom"/>
            <w:shd w:val="clear" w:color="auto" w:fill="D0EBF2"/>
          </w:tcPr>
          <w:p>
            <w:pPr>
              <w:jc w:val="right"/>
              <w:spacing w:after="0"/>
              <w:rPr>
                <w:sz w:val="20"/>
                <w:szCs w:val="20"/>
                <w:color w:val="auto"/>
              </w:rPr>
            </w:pPr>
            <w:r>
              <w:rPr>
                <w:rFonts w:ascii="Times New Roman" w:cs="Times New Roman" w:eastAsia="Times New Roman" w:hAnsi="Times New Roman"/>
                <w:sz w:val="15"/>
                <w:szCs w:val="15"/>
                <w:color w:val="231F20"/>
              </w:rPr>
              <w:t>7,192</w:t>
            </w:r>
          </w:p>
        </w:tc>
        <w:tc>
          <w:tcPr>
            <w:tcW w:w="100" w:type="dxa"/>
            <w:vAlign w:val="bottom"/>
            <w:shd w:val="clear" w:color="auto" w:fill="D0EBF2"/>
          </w:tcPr>
          <w:p>
            <w:pPr>
              <w:spacing w:after="0"/>
              <w:rPr>
                <w:sz w:val="16"/>
                <w:szCs w:val="16"/>
                <w:color w:val="auto"/>
              </w:rPr>
            </w:pPr>
          </w:p>
        </w:tc>
      </w:tr>
      <w:tr>
        <w:trPr>
          <w:trHeight w:val="187"/>
        </w:trPr>
        <w:tc>
          <w:tcPr>
            <w:tcW w:w="5520" w:type="dxa"/>
            <w:vAlign w:val="bottom"/>
            <w:shd w:val="clear" w:color="auto" w:fill="FDFDFC"/>
          </w:tcPr>
          <w:p>
            <w:pPr>
              <w:spacing w:after="0"/>
              <w:rPr>
                <w:sz w:val="20"/>
                <w:szCs w:val="20"/>
                <w:color w:val="auto"/>
              </w:rPr>
            </w:pPr>
            <w:r>
              <w:rPr>
                <w:rFonts w:ascii="Times New Roman" w:cs="Times New Roman" w:eastAsia="Times New Roman" w:hAnsi="Times New Roman"/>
                <w:sz w:val="15"/>
                <w:szCs w:val="15"/>
                <w:color w:val="231F20"/>
              </w:rPr>
              <w:t>Directors’ fees</w:t>
            </w:r>
          </w:p>
        </w:tc>
        <w:tc>
          <w:tcPr>
            <w:tcW w:w="80" w:type="dxa"/>
            <w:vAlign w:val="bottom"/>
            <w:shd w:val="clear" w:color="auto" w:fill="FDFDFC"/>
          </w:tcPr>
          <w:p>
            <w:pPr>
              <w:spacing w:after="0"/>
              <w:rPr>
                <w:sz w:val="16"/>
                <w:szCs w:val="16"/>
                <w:color w:val="auto"/>
              </w:rPr>
            </w:pPr>
          </w:p>
        </w:tc>
        <w:tc>
          <w:tcPr>
            <w:tcW w:w="1320" w:type="dxa"/>
            <w:vAlign w:val="bottom"/>
            <w:shd w:val="clear" w:color="auto" w:fill="FDFDFC"/>
          </w:tcPr>
          <w:p>
            <w:pPr>
              <w:jc w:val="right"/>
              <w:spacing w:after="0"/>
              <w:rPr>
                <w:sz w:val="20"/>
                <w:szCs w:val="20"/>
                <w:color w:val="auto"/>
              </w:rPr>
            </w:pPr>
            <w:r>
              <w:rPr>
                <w:rFonts w:ascii="Times New Roman" w:cs="Times New Roman" w:eastAsia="Times New Roman" w:hAnsi="Times New Roman"/>
                <w:sz w:val="15"/>
                <w:szCs w:val="15"/>
                <w:color w:val="231F20"/>
              </w:rPr>
              <w:t>877</w:t>
            </w:r>
          </w:p>
        </w:tc>
        <w:tc>
          <w:tcPr>
            <w:tcW w:w="100" w:type="dxa"/>
            <w:vAlign w:val="bottom"/>
            <w:shd w:val="clear" w:color="auto" w:fill="FDFDFC"/>
          </w:tcPr>
          <w:p>
            <w:pPr>
              <w:spacing w:after="0"/>
              <w:rPr>
                <w:sz w:val="16"/>
                <w:szCs w:val="16"/>
                <w:color w:val="auto"/>
              </w:rPr>
            </w:pPr>
          </w:p>
        </w:tc>
        <w:tc>
          <w:tcPr>
            <w:tcW w:w="140" w:type="dxa"/>
            <w:vAlign w:val="bottom"/>
            <w:shd w:val="clear" w:color="auto" w:fill="FDFDFC"/>
          </w:tcPr>
          <w:p>
            <w:pPr>
              <w:spacing w:after="0"/>
              <w:rPr>
                <w:sz w:val="16"/>
                <w:szCs w:val="16"/>
                <w:color w:val="auto"/>
              </w:rPr>
            </w:pPr>
          </w:p>
        </w:tc>
        <w:tc>
          <w:tcPr>
            <w:tcW w:w="180" w:type="dxa"/>
            <w:vAlign w:val="bottom"/>
            <w:shd w:val="clear" w:color="auto" w:fill="FDFDFC"/>
          </w:tcPr>
          <w:p>
            <w:pPr>
              <w:spacing w:after="0"/>
              <w:rPr>
                <w:sz w:val="16"/>
                <w:szCs w:val="16"/>
                <w:color w:val="auto"/>
              </w:rPr>
            </w:pPr>
          </w:p>
        </w:tc>
        <w:tc>
          <w:tcPr>
            <w:tcW w:w="1200" w:type="dxa"/>
            <w:vAlign w:val="bottom"/>
            <w:shd w:val="clear" w:color="auto" w:fill="FDFDFC"/>
          </w:tcPr>
          <w:p>
            <w:pPr>
              <w:jc w:val="right"/>
              <w:spacing w:after="0"/>
              <w:rPr>
                <w:sz w:val="20"/>
                <w:szCs w:val="20"/>
                <w:color w:val="auto"/>
              </w:rPr>
            </w:pPr>
            <w:r>
              <w:rPr>
                <w:rFonts w:ascii="Times New Roman" w:cs="Times New Roman" w:eastAsia="Times New Roman" w:hAnsi="Times New Roman"/>
                <w:sz w:val="15"/>
                <w:szCs w:val="15"/>
                <w:color w:val="231F20"/>
              </w:rPr>
              <w:t>806</w:t>
            </w:r>
          </w:p>
        </w:tc>
        <w:tc>
          <w:tcPr>
            <w:tcW w:w="100" w:type="dxa"/>
            <w:vAlign w:val="bottom"/>
            <w:shd w:val="clear" w:color="auto" w:fill="FDFDFC"/>
          </w:tcPr>
          <w:p>
            <w:pPr>
              <w:spacing w:after="0"/>
              <w:rPr>
                <w:sz w:val="16"/>
                <w:szCs w:val="16"/>
                <w:color w:val="auto"/>
              </w:rPr>
            </w:pPr>
          </w:p>
        </w:tc>
        <w:tc>
          <w:tcPr>
            <w:tcW w:w="100" w:type="dxa"/>
            <w:vAlign w:val="bottom"/>
            <w:shd w:val="clear" w:color="auto" w:fill="FDFDFC"/>
          </w:tcPr>
          <w:p>
            <w:pPr>
              <w:spacing w:after="0"/>
              <w:rPr>
                <w:sz w:val="16"/>
                <w:szCs w:val="16"/>
                <w:color w:val="auto"/>
              </w:rPr>
            </w:pPr>
          </w:p>
        </w:tc>
        <w:tc>
          <w:tcPr>
            <w:tcW w:w="180" w:type="dxa"/>
            <w:vAlign w:val="bottom"/>
            <w:shd w:val="clear" w:color="auto" w:fill="FDFDFC"/>
          </w:tcPr>
          <w:p>
            <w:pPr>
              <w:spacing w:after="0"/>
              <w:rPr>
                <w:sz w:val="16"/>
                <w:szCs w:val="16"/>
                <w:color w:val="auto"/>
              </w:rPr>
            </w:pPr>
          </w:p>
        </w:tc>
        <w:tc>
          <w:tcPr>
            <w:tcW w:w="1180" w:type="dxa"/>
            <w:vAlign w:val="bottom"/>
            <w:shd w:val="clear" w:color="auto" w:fill="FDFDFC"/>
          </w:tcPr>
          <w:p>
            <w:pPr>
              <w:jc w:val="right"/>
              <w:spacing w:after="0"/>
              <w:rPr>
                <w:sz w:val="20"/>
                <w:szCs w:val="20"/>
                <w:color w:val="auto"/>
              </w:rPr>
            </w:pPr>
            <w:r>
              <w:rPr>
                <w:rFonts w:ascii="Times New Roman" w:cs="Times New Roman" w:eastAsia="Times New Roman" w:hAnsi="Times New Roman"/>
                <w:sz w:val="15"/>
                <w:szCs w:val="15"/>
                <w:color w:val="231F20"/>
              </w:rPr>
              <w:t>736</w:t>
            </w:r>
          </w:p>
        </w:tc>
        <w:tc>
          <w:tcPr>
            <w:tcW w:w="100" w:type="dxa"/>
            <w:vAlign w:val="bottom"/>
            <w:shd w:val="clear" w:color="auto" w:fill="FDFDFC"/>
          </w:tcPr>
          <w:p>
            <w:pPr>
              <w:spacing w:after="0"/>
              <w:rPr>
                <w:sz w:val="16"/>
                <w:szCs w:val="16"/>
                <w:color w:val="auto"/>
              </w:rPr>
            </w:pPr>
          </w:p>
        </w:tc>
      </w:tr>
      <w:tr>
        <w:trPr>
          <w:trHeight w:val="212"/>
        </w:trPr>
        <w:tc>
          <w:tcPr>
            <w:tcW w:w="5520" w:type="dxa"/>
            <w:vAlign w:val="bottom"/>
            <w:tcBorders>
              <w:bottom w:val="single" w:sz="8" w:color="D0EBF2"/>
            </w:tcBorders>
            <w:shd w:val="clear" w:color="auto" w:fill="D0EBF2"/>
          </w:tcPr>
          <w:p>
            <w:pPr>
              <w:spacing w:after="0"/>
              <w:rPr>
                <w:sz w:val="20"/>
                <w:szCs w:val="20"/>
                <w:color w:val="auto"/>
              </w:rPr>
            </w:pPr>
            <w:r>
              <w:rPr>
                <w:rFonts w:ascii="Times New Roman" w:cs="Times New Roman" w:eastAsia="Times New Roman" w:hAnsi="Times New Roman"/>
                <w:sz w:val="15"/>
                <w:szCs w:val="15"/>
                <w:color w:val="231F20"/>
              </w:rPr>
              <w:t>Other general and administrative</w:t>
            </w:r>
          </w:p>
        </w:tc>
        <w:tc>
          <w:tcPr>
            <w:tcW w:w="80" w:type="dxa"/>
            <w:vAlign w:val="bottom"/>
            <w:tcBorders>
              <w:bottom w:val="single" w:sz="8" w:color="231F20"/>
            </w:tcBorders>
            <w:shd w:val="clear" w:color="auto" w:fill="D0EBF2"/>
          </w:tcPr>
          <w:p>
            <w:pPr>
              <w:spacing w:after="0"/>
              <w:rPr>
                <w:sz w:val="17"/>
                <w:szCs w:val="17"/>
                <w:color w:val="auto"/>
              </w:rPr>
            </w:pPr>
          </w:p>
        </w:tc>
        <w:tc>
          <w:tcPr>
            <w:tcW w:w="1320" w:type="dxa"/>
            <w:vAlign w:val="bottom"/>
            <w:tcBorders>
              <w:bottom w:val="single" w:sz="8" w:color="231F20"/>
            </w:tcBorders>
            <w:shd w:val="clear" w:color="auto" w:fill="D0EBF2"/>
          </w:tcPr>
          <w:p>
            <w:pPr>
              <w:jc w:val="right"/>
              <w:spacing w:after="0"/>
              <w:rPr>
                <w:sz w:val="20"/>
                <w:szCs w:val="20"/>
                <w:color w:val="auto"/>
              </w:rPr>
            </w:pPr>
            <w:r>
              <w:rPr>
                <w:rFonts w:ascii="Times New Roman" w:cs="Times New Roman" w:eastAsia="Times New Roman" w:hAnsi="Times New Roman"/>
                <w:sz w:val="15"/>
                <w:szCs w:val="15"/>
                <w:color w:val="231F20"/>
              </w:rPr>
              <w:t>5,522</w:t>
            </w:r>
          </w:p>
        </w:tc>
        <w:tc>
          <w:tcPr>
            <w:tcW w:w="100" w:type="dxa"/>
            <w:vAlign w:val="bottom"/>
            <w:tcBorders>
              <w:bottom w:val="single" w:sz="8" w:color="D0EBF2"/>
            </w:tcBorders>
            <w:shd w:val="clear" w:color="auto" w:fill="D0EBF2"/>
          </w:tcPr>
          <w:p>
            <w:pPr>
              <w:spacing w:after="0"/>
              <w:rPr>
                <w:sz w:val="17"/>
                <w:szCs w:val="17"/>
                <w:color w:val="auto"/>
              </w:rPr>
            </w:pPr>
          </w:p>
        </w:tc>
        <w:tc>
          <w:tcPr>
            <w:tcW w:w="140" w:type="dxa"/>
            <w:vAlign w:val="bottom"/>
            <w:tcBorders>
              <w:bottom w:val="single" w:sz="8" w:color="231F20"/>
            </w:tcBorders>
            <w:shd w:val="clear" w:color="auto" w:fill="D0EBF2"/>
          </w:tcPr>
          <w:p>
            <w:pPr>
              <w:spacing w:after="0"/>
              <w:rPr>
                <w:sz w:val="17"/>
                <w:szCs w:val="17"/>
                <w:color w:val="auto"/>
              </w:rPr>
            </w:pPr>
          </w:p>
        </w:tc>
        <w:tc>
          <w:tcPr>
            <w:tcW w:w="180" w:type="dxa"/>
            <w:vAlign w:val="bottom"/>
            <w:tcBorders>
              <w:bottom w:val="single" w:sz="8" w:color="231F20"/>
            </w:tcBorders>
            <w:shd w:val="clear" w:color="auto" w:fill="D0EBF2"/>
          </w:tcPr>
          <w:p>
            <w:pPr>
              <w:spacing w:after="0"/>
              <w:rPr>
                <w:sz w:val="17"/>
                <w:szCs w:val="17"/>
                <w:color w:val="auto"/>
              </w:rPr>
            </w:pPr>
          </w:p>
        </w:tc>
        <w:tc>
          <w:tcPr>
            <w:tcW w:w="1200" w:type="dxa"/>
            <w:vAlign w:val="bottom"/>
            <w:tcBorders>
              <w:bottom w:val="single" w:sz="8" w:color="231F20"/>
            </w:tcBorders>
            <w:shd w:val="clear" w:color="auto" w:fill="D0EBF2"/>
          </w:tcPr>
          <w:p>
            <w:pPr>
              <w:jc w:val="right"/>
              <w:spacing w:after="0"/>
              <w:rPr>
                <w:sz w:val="20"/>
                <w:szCs w:val="20"/>
                <w:color w:val="auto"/>
              </w:rPr>
            </w:pPr>
            <w:r>
              <w:rPr>
                <w:rFonts w:ascii="Times New Roman" w:cs="Times New Roman" w:eastAsia="Times New Roman" w:hAnsi="Times New Roman"/>
                <w:sz w:val="15"/>
                <w:szCs w:val="15"/>
                <w:color w:val="231F20"/>
              </w:rPr>
              <w:t>5,280</w:t>
            </w:r>
          </w:p>
        </w:tc>
        <w:tc>
          <w:tcPr>
            <w:tcW w:w="100" w:type="dxa"/>
            <w:vAlign w:val="bottom"/>
            <w:tcBorders>
              <w:bottom w:val="single" w:sz="8" w:color="D0EBF2"/>
            </w:tcBorders>
            <w:shd w:val="clear" w:color="auto" w:fill="D0EBF2"/>
          </w:tcPr>
          <w:p>
            <w:pPr>
              <w:spacing w:after="0"/>
              <w:rPr>
                <w:sz w:val="17"/>
                <w:szCs w:val="17"/>
                <w:color w:val="auto"/>
              </w:rPr>
            </w:pPr>
          </w:p>
        </w:tc>
        <w:tc>
          <w:tcPr>
            <w:tcW w:w="100" w:type="dxa"/>
            <w:vAlign w:val="bottom"/>
            <w:tcBorders>
              <w:bottom w:val="single" w:sz="8" w:color="D0EBF2"/>
            </w:tcBorders>
            <w:shd w:val="clear" w:color="auto" w:fill="D0EBF2"/>
          </w:tcPr>
          <w:p>
            <w:pPr>
              <w:spacing w:after="0"/>
              <w:rPr>
                <w:sz w:val="17"/>
                <w:szCs w:val="17"/>
                <w:color w:val="auto"/>
              </w:rPr>
            </w:pPr>
          </w:p>
        </w:tc>
        <w:tc>
          <w:tcPr>
            <w:tcW w:w="180" w:type="dxa"/>
            <w:vAlign w:val="bottom"/>
            <w:tcBorders>
              <w:bottom w:val="single" w:sz="8" w:color="231F20"/>
            </w:tcBorders>
            <w:shd w:val="clear" w:color="auto" w:fill="D0EBF2"/>
          </w:tcPr>
          <w:p>
            <w:pPr>
              <w:spacing w:after="0"/>
              <w:rPr>
                <w:sz w:val="17"/>
                <w:szCs w:val="17"/>
                <w:color w:val="auto"/>
              </w:rPr>
            </w:pPr>
          </w:p>
        </w:tc>
        <w:tc>
          <w:tcPr>
            <w:tcW w:w="1180" w:type="dxa"/>
            <w:vAlign w:val="bottom"/>
            <w:tcBorders>
              <w:bottom w:val="single" w:sz="8" w:color="231F20"/>
            </w:tcBorders>
            <w:shd w:val="clear" w:color="auto" w:fill="D0EBF2"/>
          </w:tcPr>
          <w:p>
            <w:pPr>
              <w:jc w:val="right"/>
              <w:spacing w:after="0"/>
              <w:rPr>
                <w:sz w:val="20"/>
                <w:szCs w:val="20"/>
                <w:color w:val="auto"/>
              </w:rPr>
            </w:pPr>
            <w:r>
              <w:rPr>
                <w:rFonts w:ascii="Times New Roman" w:cs="Times New Roman" w:eastAsia="Times New Roman" w:hAnsi="Times New Roman"/>
                <w:sz w:val="15"/>
                <w:szCs w:val="15"/>
                <w:color w:val="231F20"/>
              </w:rPr>
              <w:t>5,427</w:t>
            </w:r>
          </w:p>
        </w:tc>
        <w:tc>
          <w:tcPr>
            <w:tcW w:w="100" w:type="dxa"/>
            <w:vAlign w:val="bottom"/>
            <w:tcBorders>
              <w:bottom w:val="single" w:sz="8" w:color="D0EBF2"/>
            </w:tcBorders>
            <w:shd w:val="clear" w:color="auto" w:fill="D0EBF2"/>
          </w:tcPr>
          <w:p>
            <w:pPr>
              <w:spacing w:after="0"/>
              <w:rPr>
                <w:sz w:val="17"/>
                <w:szCs w:val="17"/>
                <w:color w:val="auto"/>
              </w:rPr>
            </w:pPr>
          </w:p>
        </w:tc>
      </w:tr>
      <w:tr>
        <w:trPr>
          <w:trHeight w:val="156"/>
        </w:trPr>
        <w:tc>
          <w:tcPr>
            <w:tcW w:w="5520" w:type="dxa"/>
            <w:vAlign w:val="bottom"/>
            <w:tcBorders>
              <w:top w:val="single" w:sz="8" w:color="FDFDFC"/>
              <w:bottom w:val="single" w:sz="8" w:color="D0EBF2"/>
            </w:tcBorders>
            <w:shd w:val="clear" w:color="auto" w:fill="FDFDFC"/>
          </w:tcPr>
          <w:p>
            <w:pPr>
              <w:ind w:left="380"/>
              <w:spacing w:after="0" w:line="156" w:lineRule="exact"/>
              <w:rPr>
                <w:sz w:val="20"/>
                <w:szCs w:val="20"/>
                <w:color w:val="auto"/>
              </w:rPr>
            </w:pPr>
            <w:r>
              <w:rPr>
                <w:rFonts w:ascii="Times New Roman" w:cs="Times New Roman" w:eastAsia="Times New Roman" w:hAnsi="Times New Roman"/>
                <w:sz w:val="15"/>
                <w:szCs w:val="15"/>
                <w:color w:val="231F20"/>
              </w:rPr>
              <w:t>Total expenses</w:t>
            </w:r>
          </w:p>
        </w:tc>
        <w:tc>
          <w:tcPr>
            <w:tcW w:w="80" w:type="dxa"/>
            <w:vAlign w:val="bottom"/>
            <w:tcBorders>
              <w:top w:val="single" w:sz="8" w:color="231F20"/>
              <w:bottom w:val="single" w:sz="8" w:color="231F20"/>
            </w:tcBorders>
            <w:shd w:val="clear" w:color="auto" w:fill="FDFDFC"/>
          </w:tcPr>
          <w:p>
            <w:pPr>
              <w:spacing w:after="0"/>
              <w:rPr>
                <w:sz w:val="13"/>
                <w:szCs w:val="13"/>
                <w:color w:val="auto"/>
              </w:rPr>
            </w:pPr>
          </w:p>
        </w:tc>
        <w:tc>
          <w:tcPr>
            <w:tcW w:w="1320" w:type="dxa"/>
            <w:vAlign w:val="bottom"/>
            <w:tcBorders>
              <w:top w:val="single" w:sz="8" w:color="231F20"/>
              <w:bottom w:val="single" w:sz="8" w:color="231F20"/>
            </w:tcBorders>
            <w:shd w:val="clear" w:color="auto" w:fill="FDFDFC"/>
          </w:tcPr>
          <w:p>
            <w:pPr>
              <w:jc w:val="right"/>
              <w:spacing w:after="0" w:line="156" w:lineRule="exact"/>
              <w:rPr>
                <w:sz w:val="20"/>
                <w:szCs w:val="20"/>
                <w:color w:val="auto"/>
              </w:rPr>
            </w:pPr>
            <w:r>
              <w:rPr>
                <w:rFonts w:ascii="Times New Roman" w:cs="Times New Roman" w:eastAsia="Times New Roman" w:hAnsi="Times New Roman"/>
                <w:sz w:val="15"/>
                <w:szCs w:val="15"/>
                <w:color w:val="231F20"/>
              </w:rPr>
              <w:t>260,031</w:t>
            </w:r>
          </w:p>
        </w:tc>
        <w:tc>
          <w:tcPr>
            <w:tcW w:w="100" w:type="dxa"/>
            <w:vAlign w:val="bottom"/>
            <w:tcBorders>
              <w:top w:val="single" w:sz="8" w:color="FDFDFC"/>
              <w:bottom w:val="single" w:sz="8" w:color="D0EBF2"/>
            </w:tcBorders>
            <w:shd w:val="clear" w:color="auto" w:fill="FDFDFC"/>
          </w:tcPr>
          <w:p>
            <w:pPr>
              <w:spacing w:after="0"/>
              <w:rPr>
                <w:sz w:val="13"/>
                <w:szCs w:val="13"/>
                <w:color w:val="auto"/>
              </w:rPr>
            </w:pPr>
          </w:p>
        </w:tc>
        <w:tc>
          <w:tcPr>
            <w:tcW w:w="140" w:type="dxa"/>
            <w:vAlign w:val="bottom"/>
            <w:tcBorders>
              <w:top w:val="single" w:sz="8" w:color="231F20"/>
              <w:bottom w:val="single" w:sz="8" w:color="231F20"/>
            </w:tcBorders>
            <w:shd w:val="clear" w:color="auto" w:fill="FDFDFC"/>
          </w:tcPr>
          <w:p>
            <w:pPr>
              <w:spacing w:after="0"/>
              <w:rPr>
                <w:sz w:val="13"/>
                <w:szCs w:val="13"/>
                <w:color w:val="auto"/>
              </w:rPr>
            </w:pPr>
          </w:p>
        </w:tc>
        <w:tc>
          <w:tcPr>
            <w:tcW w:w="180" w:type="dxa"/>
            <w:vAlign w:val="bottom"/>
            <w:tcBorders>
              <w:top w:val="single" w:sz="8" w:color="231F20"/>
              <w:bottom w:val="single" w:sz="8" w:color="231F20"/>
            </w:tcBorders>
            <w:shd w:val="clear" w:color="auto" w:fill="FDFDFC"/>
          </w:tcPr>
          <w:p>
            <w:pPr>
              <w:spacing w:after="0"/>
              <w:rPr>
                <w:sz w:val="13"/>
                <w:szCs w:val="13"/>
                <w:color w:val="auto"/>
              </w:rPr>
            </w:pPr>
          </w:p>
        </w:tc>
        <w:tc>
          <w:tcPr>
            <w:tcW w:w="1200" w:type="dxa"/>
            <w:vAlign w:val="bottom"/>
            <w:tcBorders>
              <w:top w:val="single" w:sz="8" w:color="231F20"/>
              <w:bottom w:val="single" w:sz="8" w:color="231F20"/>
            </w:tcBorders>
            <w:shd w:val="clear" w:color="auto" w:fill="FDFDFC"/>
          </w:tcPr>
          <w:p>
            <w:pPr>
              <w:jc w:val="right"/>
              <w:spacing w:after="0" w:line="156" w:lineRule="exact"/>
              <w:rPr>
                <w:sz w:val="20"/>
                <w:szCs w:val="20"/>
                <w:color w:val="auto"/>
              </w:rPr>
            </w:pPr>
            <w:r>
              <w:rPr>
                <w:rFonts w:ascii="Times New Roman" w:cs="Times New Roman" w:eastAsia="Times New Roman" w:hAnsi="Times New Roman"/>
                <w:sz w:val="15"/>
                <w:szCs w:val="15"/>
                <w:color w:val="231F20"/>
              </w:rPr>
              <w:t>240,494</w:t>
            </w:r>
          </w:p>
        </w:tc>
        <w:tc>
          <w:tcPr>
            <w:tcW w:w="100" w:type="dxa"/>
            <w:vAlign w:val="bottom"/>
            <w:tcBorders>
              <w:top w:val="single" w:sz="8" w:color="FDFDFC"/>
              <w:bottom w:val="single" w:sz="8" w:color="D0EBF2"/>
            </w:tcBorders>
            <w:shd w:val="clear" w:color="auto" w:fill="FDFDFC"/>
          </w:tcPr>
          <w:p>
            <w:pPr>
              <w:spacing w:after="0"/>
              <w:rPr>
                <w:sz w:val="13"/>
                <w:szCs w:val="13"/>
                <w:color w:val="auto"/>
              </w:rPr>
            </w:pPr>
          </w:p>
        </w:tc>
        <w:tc>
          <w:tcPr>
            <w:tcW w:w="100" w:type="dxa"/>
            <w:vAlign w:val="bottom"/>
            <w:tcBorders>
              <w:top w:val="single" w:sz="8" w:color="FDFDFC"/>
              <w:bottom w:val="single" w:sz="8" w:color="D0EBF2"/>
            </w:tcBorders>
            <w:shd w:val="clear" w:color="auto" w:fill="FDFDFC"/>
          </w:tcPr>
          <w:p>
            <w:pPr>
              <w:spacing w:after="0"/>
              <w:rPr>
                <w:sz w:val="13"/>
                <w:szCs w:val="13"/>
                <w:color w:val="auto"/>
              </w:rPr>
            </w:pPr>
          </w:p>
        </w:tc>
        <w:tc>
          <w:tcPr>
            <w:tcW w:w="180" w:type="dxa"/>
            <w:vAlign w:val="bottom"/>
            <w:tcBorders>
              <w:top w:val="single" w:sz="8" w:color="231F20"/>
              <w:bottom w:val="single" w:sz="8" w:color="231F20"/>
            </w:tcBorders>
            <w:shd w:val="clear" w:color="auto" w:fill="FDFDFC"/>
          </w:tcPr>
          <w:p>
            <w:pPr>
              <w:spacing w:after="0"/>
              <w:rPr>
                <w:sz w:val="13"/>
                <w:szCs w:val="13"/>
                <w:color w:val="auto"/>
              </w:rPr>
            </w:pPr>
          </w:p>
        </w:tc>
        <w:tc>
          <w:tcPr>
            <w:tcW w:w="1180" w:type="dxa"/>
            <w:vAlign w:val="bottom"/>
            <w:tcBorders>
              <w:top w:val="single" w:sz="8" w:color="231F20"/>
              <w:bottom w:val="single" w:sz="8" w:color="231F20"/>
            </w:tcBorders>
            <w:shd w:val="clear" w:color="auto" w:fill="FDFDFC"/>
          </w:tcPr>
          <w:p>
            <w:pPr>
              <w:jc w:val="right"/>
              <w:spacing w:after="0" w:line="156" w:lineRule="exact"/>
              <w:rPr>
                <w:sz w:val="20"/>
                <w:szCs w:val="20"/>
                <w:color w:val="auto"/>
              </w:rPr>
            </w:pPr>
            <w:r>
              <w:rPr>
                <w:rFonts w:ascii="Times New Roman" w:cs="Times New Roman" w:eastAsia="Times New Roman" w:hAnsi="Times New Roman"/>
                <w:sz w:val="15"/>
                <w:szCs w:val="15"/>
                <w:color w:val="231F20"/>
              </w:rPr>
              <w:t>140,783</w:t>
            </w:r>
          </w:p>
        </w:tc>
        <w:tc>
          <w:tcPr>
            <w:tcW w:w="100" w:type="dxa"/>
            <w:vAlign w:val="bottom"/>
            <w:tcBorders>
              <w:top w:val="single" w:sz="8" w:color="FDFDFC"/>
              <w:bottom w:val="single" w:sz="8" w:color="D0EBF2"/>
            </w:tcBorders>
            <w:shd w:val="clear" w:color="auto" w:fill="FDFDFC"/>
          </w:tcPr>
          <w:p>
            <w:pPr>
              <w:spacing w:after="0"/>
              <w:rPr>
                <w:sz w:val="13"/>
                <w:szCs w:val="13"/>
                <w:color w:val="auto"/>
              </w:rPr>
            </w:pPr>
          </w:p>
        </w:tc>
      </w:tr>
      <w:tr>
        <w:trPr>
          <w:trHeight w:val="201"/>
        </w:trPr>
        <w:tc>
          <w:tcPr>
            <w:tcW w:w="5520" w:type="dxa"/>
            <w:vAlign w:val="bottom"/>
            <w:tcBorders>
              <w:bottom w:val="single" w:sz="8" w:color="D0EBF2"/>
            </w:tcBorders>
            <w:shd w:val="clear" w:color="auto" w:fill="D0EBF2"/>
          </w:tcPr>
          <w:p>
            <w:pPr>
              <w:spacing w:after="0"/>
              <w:rPr>
                <w:sz w:val="20"/>
                <w:szCs w:val="20"/>
                <w:color w:val="auto"/>
              </w:rPr>
            </w:pPr>
            <w:r>
              <w:rPr>
                <w:rFonts w:ascii="Times New Roman" w:cs="Times New Roman" w:eastAsia="Times New Roman" w:hAnsi="Times New Roman"/>
                <w:sz w:val="15"/>
                <w:szCs w:val="15"/>
                <w:color w:val="231F20"/>
              </w:rPr>
              <w:t>Management and incentive fees waived (Note 3)</w:t>
            </w:r>
          </w:p>
        </w:tc>
        <w:tc>
          <w:tcPr>
            <w:tcW w:w="80" w:type="dxa"/>
            <w:vAlign w:val="bottom"/>
            <w:tcBorders>
              <w:bottom w:val="single" w:sz="8" w:color="231F20"/>
            </w:tcBorders>
            <w:shd w:val="clear" w:color="auto" w:fill="D0EBF2"/>
          </w:tcPr>
          <w:p>
            <w:pPr>
              <w:spacing w:after="0"/>
              <w:rPr>
                <w:sz w:val="17"/>
                <w:szCs w:val="17"/>
                <w:color w:val="auto"/>
              </w:rPr>
            </w:pPr>
          </w:p>
        </w:tc>
        <w:tc>
          <w:tcPr>
            <w:tcW w:w="1320" w:type="dxa"/>
            <w:vAlign w:val="bottom"/>
            <w:tcBorders>
              <w:bottom w:val="single" w:sz="8" w:color="231F20"/>
            </w:tcBorders>
            <w:shd w:val="clear" w:color="auto" w:fill="D0EBF2"/>
          </w:tcPr>
          <w:p>
            <w:pPr>
              <w:jc w:val="right"/>
              <w:spacing w:after="0"/>
              <w:rPr>
                <w:sz w:val="20"/>
                <w:szCs w:val="20"/>
                <w:color w:val="auto"/>
              </w:rPr>
            </w:pPr>
            <w:r>
              <w:rPr>
                <w:rFonts w:ascii="Times New Roman" w:cs="Times New Roman" w:eastAsia="Times New Roman" w:hAnsi="Times New Roman"/>
                <w:sz w:val="15"/>
                <w:szCs w:val="15"/>
                <w:color w:val="231F20"/>
              </w:rPr>
              <w:t>(1,466</w:t>
            </w:r>
          </w:p>
        </w:tc>
        <w:tc>
          <w:tcPr>
            <w:tcW w:w="100" w:type="dxa"/>
            <w:vAlign w:val="bottom"/>
            <w:tcBorders>
              <w:bottom w:val="single" w:sz="8" w:color="D0EBF2"/>
            </w:tcBorders>
            <w:shd w:val="clear" w:color="auto" w:fill="D0EBF2"/>
          </w:tcPr>
          <w:p>
            <w:pPr>
              <w:jc w:val="right"/>
              <w:spacing w:after="0"/>
              <w:rPr>
                <w:sz w:val="20"/>
                <w:szCs w:val="20"/>
                <w:color w:val="auto"/>
              </w:rPr>
            </w:pPr>
            <w:r>
              <w:rPr>
                <w:rFonts w:ascii="Times New Roman" w:cs="Times New Roman" w:eastAsia="Times New Roman" w:hAnsi="Times New Roman"/>
                <w:sz w:val="15"/>
                <w:szCs w:val="15"/>
                <w:color w:val="231F20"/>
                <w:w w:val="79"/>
                <w:shd w:val="clear" w:color="auto" w:fill="D0EBF2"/>
              </w:rPr>
              <w:t>)</w:t>
            </w:r>
          </w:p>
        </w:tc>
        <w:tc>
          <w:tcPr>
            <w:tcW w:w="140" w:type="dxa"/>
            <w:vAlign w:val="bottom"/>
            <w:tcBorders>
              <w:bottom w:val="single" w:sz="8" w:color="231F20"/>
            </w:tcBorders>
            <w:shd w:val="clear" w:color="auto" w:fill="D0EBF2"/>
          </w:tcPr>
          <w:p>
            <w:pPr>
              <w:spacing w:after="0"/>
              <w:rPr>
                <w:sz w:val="17"/>
                <w:szCs w:val="17"/>
                <w:color w:val="auto"/>
              </w:rPr>
            </w:pPr>
          </w:p>
        </w:tc>
        <w:tc>
          <w:tcPr>
            <w:tcW w:w="180" w:type="dxa"/>
            <w:vAlign w:val="bottom"/>
            <w:tcBorders>
              <w:bottom w:val="single" w:sz="8" w:color="231F20"/>
            </w:tcBorders>
            <w:shd w:val="clear" w:color="auto" w:fill="D0EBF2"/>
          </w:tcPr>
          <w:p>
            <w:pPr>
              <w:spacing w:after="0"/>
              <w:rPr>
                <w:sz w:val="17"/>
                <w:szCs w:val="17"/>
                <w:color w:val="auto"/>
              </w:rPr>
            </w:pPr>
          </w:p>
        </w:tc>
        <w:tc>
          <w:tcPr>
            <w:tcW w:w="1200" w:type="dxa"/>
            <w:vAlign w:val="bottom"/>
            <w:tcBorders>
              <w:bottom w:val="single" w:sz="8" w:color="231F20"/>
            </w:tcBorders>
            <w:shd w:val="clear" w:color="auto" w:fill="D0EBF2"/>
          </w:tcPr>
          <w:p>
            <w:pPr>
              <w:jc w:val="right"/>
              <w:spacing w:after="0"/>
              <w:rPr>
                <w:sz w:val="20"/>
                <w:szCs w:val="20"/>
                <w:color w:val="auto"/>
              </w:rPr>
            </w:pPr>
            <w:r>
              <w:rPr>
                <w:rFonts w:ascii="Times New Roman" w:cs="Times New Roman" w:eastAsia="Times New Roman" w:hAnsi="Times New Roman"/>
                <w:sz w:val="15"/>
                <w:szCs w:val="15"/>
                <w:color w:val="231F20"/>
              </w:rPr>
              <w:t>(1,171</w:t>
            </w:r>
          </w:p>
        </w:tc>
        <w:tc>
          <w:tcPr>
            <w:tcW w:w="100" w:type="dxa"/>
            <w:vAlign w:val="bottom"/>
            <w:tcBorders>
              <w:bottom w:val="single" w:sz="8" w:color="D0EBF2"/>
            </w:tcBorders>
            <w:shd w:val="clear" w:color="auto" w:fill="D0EBF2"/>
          </w:tcPr>
          <w:p>
            <w:pPr>
              <w:jc w:val="right"/>
              <w:ind w:right="22"/>
              <w:spacing w:after="0"/>
              <w:rPr>
                <w:sz w:val="20"/>
                <w:szCs w:val="20"/>
                <w:color w:val="auto"/>
              </w:rPr>
            </w:pPr>
            <w:r>
              <w:rPr>
                <w:rFonts w:ascii="Times New Roman" w:cs="Times New Roman" w:eastAsia="Times New Roman" w:hAnsi="Times New Roman"/>
                <w:sz w:val="8"/>
                <w:szCs w:val="8"/>
                <w:color w:val="231F20"/>
                <w:w w:val="73"/>
              </w:rPr>
              <w:t>)</w:t>
            </w:r>
          </w:p>
        </w:tc>
        <w:tc>
          <w:tcPr>
            <w:tcW w:w="100" w:type="dxa"/>
            <w:vAlign w:val="bottom"/>
            <w:tcBorders>
              <w:bottom w:val="single" w:sz="8" w:color="D0EBF2"/>
            </w:tcBorders>
            <w:shd w:val="clear" w:color="auto" w:fill="D0EBF2"/>
          </w:tcPr>
          <w:p>
            <w:pPr>
              <w:spacing w:after="0"/>
              <w:rPr>
                <w:sz w:val="17"/>
                <w:szCs w:val="17"/>
                <w:color w:val="auto"/>
              </w:rPr>
            </w:pPr>
          </w:p>
        </w:tc>
        <w:tc>
          <w:tcPr>
            <w:tcW w:w="180" w:type="dxa"/>
            <w:vAlign w:val="bottom"/>
            <w:tcBorders>
              <w:bottom w:val="single" w:sz="8" w:color="231F20"/>
            </w:tcBorders>
            <w:shd w:val="clear" w:color="auto" w:fill="D0EBF2"/>
          </w:tcPr>
          <w:p>
            <w:pPr>
              <w:spacing w:after="0"/>
              <w:rPr>
                <w:sz w:val="17"/>
                <w:szCs w:val="17"/>
                <w:color w:val="auto"/>
              </w:rPr>
            </w:pPr>
          </w:p>
        </w:tc>
        <w:tc>
          <w:tcPr>
            <w:tcW w:w="1180" w:type="dxa"/>
            <w:vAlign w:val="bottom"/>
            <w:tcBorders>
              <w:bottom w:val="single" w:sz="8" w:color="231F20"/>
            </w:tcBorders>
            <w:shd w:val="clear" w:color="auto" w:fill="D0EBF2"/>
          </w:tcPr>
          <w:p>
            <w:pPr>
              <w:jc w:val="right"/>
              <w:spacing w:after="0"/>
              <w:rPr>
                <w:sz w:val="20"/>
                <w:szCs w:val="20"/>
                <w:color w:val="auto"/>
              </w:rPr>
            </w:pPr>
            <w:r>
              <w:rPr>
                <w:rFonts w:ascii="Times New Roman" w:cs="Times New Roman" w:eastAsia="Times New Roman" w:hAnsi="Times New Roman"/>
                <w:sz w:val="15"/>
                <w:szCs w:val="15"/>
                <w:color w:val="231F20"/>
              </w:rPr>
              <w:t>(427</w:t>
            </w:r>
          </w:p>
        </w:tc>
        <w:tc>
          <w:tcPr>
            <w:tcW w:w="100" w:type="dxa"/>
            <w:vAlign w:val="bottom"/>
            <w:tcBorders>
              <w:bottom w:val="single" w:sz="8" w:color="D0EBF2"/>
            </w:tcBorders>
            <w:shd w:val="clear" w:color="auto" w:fill="D0EBF2"/>
          </w:tcPr>
          <w:p>
            <w:pPr>
              <w:jc w:val="right"/>
              <w:ind w:right="22"/>
              <w:spacing w:after="0"/>
              <w:rPr>
                <w:sz w:val="20"/>
                <w:szCs w:val="20"/>
                <w:color w:val="auto"/>
              </w:rPr>
            </w:pPr>
            <w:r>
              <w:rPr>
                <w:rFonts w:ascii="Times New Roman" w:cs="Times New Roman" w:eastAsia="Times New Roman" w:hAnsi="Times New Roman"/>
                <w:sz w:val="8"/>
                <w:szCs w:val="8"/>
                <w:color w:val="231F20"/>
                <w:w w:val="73"/>
                <w:shd w:val="clear" w:color="auto" w:fill="D0EBF2"/>
              </w:rPr>
              <w:t>)</w:t>
            </w:r>
          </w:p>
        </w:tc>
      </w:tr>
      <w:tr>
        <w:trPr>
          <w:trHeight w:val="156"/>
        </w:trPr>
        <w:tc>
          <w:tcPr>
            <w:tcW w:w="5520" w:type="dxa"/>
            <w:vAlign w:val="bottom"/>
            <w:tcBorders>
              <w:top w:val="single" w:sz="8" w:color="FDFDFC"/>
              <w:bottom w:val="single" w:sz="8" w:color="D0EBF2"/>
            </w:tcBorders>
            <w:shd w:val="clear" w:color="auto" w:fill="FDFDFC"/>
          </w:tcPr>
          <w:p>
            <w:pPr>
              <w:ind w:left="560"/>
              <w:spacing w:after="0" w:line="156" w:lineRule="exact"/>
              <w:rPr>
                <w:sz w:val="20"/>
                <w:szCs w:val="20"/>
                <w:color w:val="auto"/>
              </w:rPr>
            </w:pPr>
            <w:r>
              <w:rPr>
                <w:rFonts w:ascii="Times New Roman" w:cs="Times New Roman" w:eastAsia="Times New Roman" w:hAnsi="Times New Roman"/>
                <w:sz w:val="15"/>
                <w:szCs w:val="15"/>
                <w:b w:val="1"/>
                <w:bCs w:val="1"/>
                <w:color w:val="231F20"/>
              </w:rPr>
              <w:t>Net Expenses</w:t>
            </w:r>
          </w:p>
        </w:tc>
        <w:tc>
          <w:tcPr>
            <w:tcW w:w="80" w:type="dxa"/>
            <w:vAlign w:val="bottom"/>
            <w:tcBorders>
              <w:top w:val="single" w:sz="8" w:color="231F20"/>
              <w:bottom w:val="single" w:sz="8" w:color="231F20"/>
            </w:tcBorders>
            <w:shd w:val="clear" w:color="auto" w:fill="FDFDFC"/>
          </w:tcPr>
          <w:p>
            <w:pPr>
              <w:spacing w:after="0"/>
              <w:rPr>
                <w:sz w:val="13"/>
                <w:szCs w:val="13"/>
                <w:color w:val="auto"/>
              </w:rPr>
            </w:pPr>
          </w:p>
        </w:tc>
        <w:tc>
          <w:tcPr>
            <w:tcW w:w="1320" w:type="dxa"/>
            <w:vAlign w:val="bottom"/>
            <w:tcBorders>
              <w:top w:val="single" w:sz="8" w:color="231F20"/>
              <w:bottom w:val="single" w:sz="8" w:color="231F20"/>
            </w:tcBorders>
            <w:shd w:val="clear" w:color="auto" w:fill="FDFDFC"/>
          </w:tcPr>
          <w:p>
            <w:pPr>
              <w:jc w:val="right"/>
              <w:spacing w:after="0" w:line="156" w:lineRule="exact"/>
              <w:rPr>
                <w:sz w:val="20"/>
                <w:szCs w:val="20"/>
                <w:color w:val="auto"/>
              </w:rPr>
            </w:pPr>
            <w:r>
              <w:rPr>
                <w:rFonts w:ascii="Times New Roman" w:cs="Times New Roman" w:eastAsia="Times New Roman" w:hAnsi="Times New Roman"/>
                <w:sz w:val="15"/>
                <w:szCs w:val="15"/>
                <w:color w:val="231F20"/>
              </w:rPr>
              <w:t>258,565</w:t>
            </w:r>
          </w:p>
        </w:tc>
        <w:tc>
          <w:tcPr>
            <w:tcW w:w="100" w:type="dxa"/>
            <w:vAlign w:val="bottom"/>
            <w:tcBorders>
              <w:top w:val="single" w:sz="8" w:color="FDFDFC"/>
              <w:bottom w:val="single" w:sz="8" w:color="D0EBF2"/>
            </w:tcBorders>
            <w:shd w:val="clear" w:color="auto" w:fill="FDFDFC"/>
          </w:tcPr>
          <w:p>
            <w:pPr>
              <w:spacing w:after="0"/>
              <w:rPr>
                <w:sz w:val="13"/>
                <w:szCs w:val="13"/>
                <w:color w:val="auto"/>
              </w:rPr>
            </w:pPr>
          </w:p>
        </w:tc>
        <w:tc>
          <w:tcPr>
            <w:tcW w:w="140" w:type="dxa"/>
            <w:vAlign w:val="bottom"/>
            <w:tcBorders>
              <w:top w:val="single" w:sz="8" w:color="231F20"/>
              <w:bottom w:val="single" w:sz="8" w:color="231F20"/>
            </w:tcBorders>
            <w:shd w:val="clear" w:color="auto" w:fill="FDFDFC"/>
          </w:tcPr>
          <w:p>
            <w:pPr>
              <w:spacing w:after="0"/>
              <w:rPr>
                <w:sz w:val="13"/>
                <w:szCs w:val="13"/>
                <w:color w:val="auto"/>
              </w:rPr>
            </w:pPr>
          </w:p>
        </w:tc>
        <w:tc>
          <w:tcPr>
            <w:tcW w:w="180" w:type="dxa"/>
            <w:vAlign w:val="bottom"/>
            <w:tcBorders>
              <w:top w:val="single" w:sz="8" w:color="231F20"/>
              <w:bottom w:val="single" w:sz="8" w:color="231F20"/>
            </w:tcBorders>
            <w:shd w:val="clear" w:color="auto" w:fill="FDFDFC"/>
          </w:tcPr>
          <w:p>
            <w:pPr>
              <w:spacing w:after="0"/>
              <w:rPr>
                <w:sz w:val="13"/>
                <w:szCs w:val="13"/>
                <w:color w:val="auto"/>
              </w:rPr>
            </w:pPr>
          </w:p>
        </w:tc>
        <w:tc>
          <w:tcPr>
            <w:tcW w:w="1200" w:type="dxa"/>
            <w:vAlign w:val="bottom"/>
            <w:tcBorders>
              <w:top w:val="single" w:sz="8" w:color="231F20"/>
              <w:bottom w:val="single" w:sz="8" w:color="231F20"/>
            </w:tcBorders>
            <w:shd w:val="clear" w:color="auto" w:fill="FDFDFC"/>
          </w:tcPr>
          <w:p>
            <w:pPr>
              <w:jc w:val="right"/>
              <w:spacing w:after="0" w:line="156" w:lineRule="exact"/>
              <w:rPr>
                <w:sz w:val="20"/>
                <w:szCs w:val="20"/>
                <w:color w:val="auto"/>
              </w:rPr>
            </w:pPr>
            <w:r>
              <w:rPr>
                <w:rFonts w:ascii="Times New Roman" w:cs="Times New Roman" w:eastAsia="Times New Roman" w:hAnsi="Times New Roman"/>
                <w:sz w:val="15"/>
                <w:szCs w:val="15"/>
                <w:color w:val="231F20"/>
              </w:rPr>
              <w:t>239,323</w:t>
            </w:r>
          </w:p>
        </w:tc>
        <w:tc>
          <w:tcPr>
            <w:tcW w:w="100" w:type="dxa"/>
            <w:vAlign w:val="bottom"/>
            <w:tcBorders>
              <w:top w:val="single" w:sz="8" w:color="FDFDFC"/>
              <w:bottom w:val="single" w:sz="8" w:color="D0EBF2"/>
            </w:tcBorders>
            <w:shd w:val="clear" w:color="auto" w:fill="FDFDFC"/>
          </w:tcPr>
          <w:p>
            <w:pPr>
              <w:spacing w:after="0"/>
              <w:rPr>
                <w:sz w:val="13"/>
                <w:szCs w:val="13"/>
                <w:color w:val="auto"/>
              </w:rPr>
            </w:pPr>
          </w:p>
        </w:tc>
        <w:tc>
          <w:tcPr>
            <w:tcW w:w="100" w:type="dxa"/>
            <w:vAlign w:val="bottom"/>
            <w:tcBorders>
              <w:top w:val="single" w:sz="8" w:color="FDFDFC"/>
              <w:bottom w:val="single" w:sz="8" w:color="D0EBF2"/>
            </w:tcBorders>
            <w:shd w:val="clear" w:color="auto" w:fill="FDFDFC"/>
          </w:tcPr>
          <w:p>
            <w:pPr>
              <w:spacing w:after="0"/>
              <w:rPr>
                <w:sz w:val="13"/>
                <w:szCs w:val="13"/>
                <w:color w:val="auto"/>
              </w:rPr>
            </w:pPr>
          </w:p>
        </w:tc>
        <w:tc>
          <w:tcPr>
            <w:tcW w:w="180" w:type="dxa"/>
            <w:vAlign w:val="bottom"/>
            <w:tcBorders>
              <w:top w:val="single" w:sz="8" w:color="231F20"/>
              <w:bottom w:val="single" w:sz="8" w:color="231F20"/>
            </w:tcBorders>
            <w:shd w:val="clear" w:color="auto" w:fill="FDFDFC"/>
          </w:tcPr>
          <w:p>
            <w:pPr>
              <w:spacing w:after="0"/>
              <w:rPr>
                <w:sz w:val="13"/>
                <w:szCs w:val="13"/>
                <w:color w:val="auto"/>
              </w:rPr>
            </w:pPr>
          </w:p>
        </w:tc>
        <w:tc>
          <w:tcPr>
            <w:tcW w:w="1180" w:type="dxa"/>
            <w:vAlign w:val="bottom"/>
            <w:tcBorders>
              <w:top w:val="single" w:sz="8" w:color="231F20"/>
              <w:bottom w:val="single" w:sz="8" w:color="231F20"/>
            </w:tcBorders>
            <w:shd w:val="clear" w:color="auto" w:fill="FDFDFC"/>
          </w:tcPr>
          <w:p>
            <w:pPr>
              <w:jc w:val="right"/>
              <w:spacing w:after="0" w:line="156" w:lineRule="exact"/>
              <w:rPr>
                <w:sz w:val="20"/>
                <w:szCs w:val="20"/>
                <w:color w:val="auto"/>
              </w:rPr>
            </w:pPr>
            <w:r>
              <w:rPr>
                <w:rFonts w:ascii="Times New Roman" w:cs="Times New Roman" w:eastAsia="Times New Roman" w:hAnsi="Times New Roman"/>
                <w:sz w:val="15"/>
                <w:szCs w:val="15"/>
                <w:color w:val="231F20"/>
              </w:rPr>
              <w:t>140,356</w:t>
            </w:r>
          </w:p>
        </w:tc>
        <w:tc>
          <w:tcPr>
            <w:tcW w:w="100" w:type="dxa"/>
            <w:vAlign w:val="bottom"/>
            <w:tcBorders>
              <w:top w:val="single" w:sz="8" w:color="FDFDFC"/>
              <w:bottom w:val="single" w:sz="8" w:color="D0EBF2"/>
            </w:tcBorders>
            <w:shd w:val="clear" w:color="auto" w:fill="FDFDFC"/>
          </w:tcPr>
          <w:p>
            <w:pPr>
              <w:spacing w:after="0"/>
              <w:rPr>
                <w:sz w:val="13"/>
                <w:szCs w:val="13"/>
                <w:color w:val="auto"/>
              </w:rPr>
            </w:pPr>
          </w:p>
        </w:tc>
      </w:tr>
      <w:tr>
        <w:trPr>
          <w:trHeight w:val="176"/>
        </w:trPr>
        <w:tc>
          <w:tcPr>
            <w:tcW w:w="5520" w:type="dxa"/>
            <w:vAlign w:val="bottom"/>
            <w:shd w:val="clear" w:color="auto" w:fill="D0EBF2"/>
          </w:tcPr>
          <w:p>
            <w:pPr>
              <w:spacing w:after="0"/>
              <w:rPr>
                <w:sz w:val="20"/>
                <w:szCs w:val="20"/>
                <w:color w:val="auto"/>
              </w:rPr>
            </w:pPr>
            <w:r>
              <w:rPr>
                <w:rFonts w:ascii="Times New Roman" w:cs="Times New Roman" w:eastAsia="Times New Roman" w:hAnsi="Times New Roman"/>
                <w:sz w:val="15"/>
                <w:szCs w:val="15"/>
                <w:b w:val="1"/>
                <w:bCs w:val="1"/>
                <w:color w:val="231F20"/>
              </w:rPr>
              <w:t>Net Investment Income Before Income Taxes</w:t>
            </w:r>
          </w:p>
        </w:tc>
        <w:tc>
          <w:tcPr>
            <w:tcW w:w="80" w:type="dxa"/>
            <w:vAlign w:val="bottom"/>
            <w:shd w:val="clear" w:color="auto" w:fill="D0EBF2"/>
          </w:tcPr>
          <w:p>
            <w:pPr>
              <w:spacing w:after="0"/>
              <w:rPr>
                <w:sz w:val="15"/>
                <w:szCs w:val="15"/>
                <w:color w:val="auto"/>
              </w:rPr>
            </w:pPr>
          </w:p>
        </w:tc>
        <w:tc>
          <w:tcPr>
            <w:tcW w:w="1320" w:type="dxa"/>
            <w:vAlign w:val="bottom"/>
            <w:shd w:val="clear" w:color="auto" w:fill="D0EBF2"/>
          </w:tcPr>
          <w:p>
            <w:pPr>
              <w:jc w:val="right"/>
              <w:spacing w:after="0"/>
              <w:rPr>
                <w:sz w:val="20"/>
                <w:szCs w:val="20"/>
                <w:color w:val="auto"/>
              </w:rPr>
            </w:pPr>
            <w:r>
              <w:rPr>
                <w:rFonts w:ascii="Times New Roman" w:cs="Times New Roman" w:eastAsia="Times New Roman" w:hAnsi="Times New Roman"/>
                <w:sz w:val="15"/>
                <w:szCs w:val="15"/>
                <w:color w:val="231F20"/>
              </w:rPr>
              <w:t>223,961</w:t>
            </w:r>
          </w:p>
        </w:tc>
        <w:tc>
          <w:tcPr>
            <w:tcW w:w="100" w:type="dxa"/>
            <w:vAlign w:val="bottom"/>
            <w:shd w:val="clear" w:color="auto" w:fill="D0EBF2"/>
          </w:tcPr>
          <w:p>
            <w:pPr>
              <w:spacing w:after="0"/>
              <w:rPr>
                <w:sz w:val="15"/>
                <w:szCs w:val="15"/>
                <w:color w:val="auto"/>
              </w:rPr>
            </w:pPr>
          </w:p>
        </w:tc>
        <w:tc>
          <w:tcPr>
            <w:tcW w:w="140" w:type="dxa"/>
            <w:vAlign w:val="bottom"/>
            <w:shd w:val="clear" w:color="auto" w:fill="D0EBF2"/>
          </w:tcPr>
          <w:p>
            <w:pPr>
              <w:spacing w:after="0"/>
              <w:rPr>
                <w:sz w:val="15"/>
                <w:szCs w:val="15"/>
                <w:color w:val="auto"/>
              </w:rPr>
            </w:pPr>
          </w:p>
        </w:tc>
        <w:tc>
          <w:tcPr>
            <w:tcW w:w="180" w:type="dxa"/>
            <w:vAlign w:val="bottom"/>
            <w:shd w:val="clear" w:color="auto" w:fill="D0EBF2"/>
          </w:tcPr>
          <w:p>
            <w:pPr>
              <w:spacing w:after="0"/>
              <w:rPr>
                <w:sz w:val="15"/>
                <w:szCs w:val="15"/>
                <w:color w:val="auto"/>
              </w:rPr>
            </w:pPr>
          </w:p>
        </w:tc>
        <w:tc>
          <w:tcPr>
            <w:tcW w:w="1200" w:type="dxa"/>
            <w:vAlign w:val="bottom"/>
            <w:shd w:val="clear" w:color="auto" w:fill="D0EBF2"/>
          </w:tcPr>
          <w:p>
            <w:pPr>
              <w:jc w:val="right"/>
              <w:spacing w:after="0"/>
              <w:rPr>
                <w:sz w:val="20"/>
                <w:szCs w:val="20"/>
                <w:color w:val="auto"/>
              </w:rPr>
            </w:pPr>
            <w:r>
              <w:rPr>
                <w:rFonts w:ascii="Times New Roman" w:cs="Times New Roman" w:eastAsia="Times New Roman" w:hAnsi="Times New Roman"/>
                <w:sz w:val="15"/>
                <w:szCs w:val="15"/>
                <w:color w:val="231F20"/>
              </w:rPr>
              <w:t>198,764</w:t>
            </w:r>
          </w:p>
        </w:tc>
        <w:tc>
          <w:tcPr>
            <w:tcW w:w="100" w:type="dxa"/>
            <w:vAlign w:val="bottom"/>
            <w:shd w:val="clear" w:color="auto" w:fill="D0EBF2"/>
          </w:tcPr>
          <w:p>
            <w:pPr>
              <w:spacing w:after="0"/>
              <w:rPr>
                <w:sz w:val="15"/>
                <w:szCs w:val="15"/>
                <w:color w:val="auto"/>
              </w:rPr>
            </w:pPr>
          </w:p>
        </w:tc>
        <w:tc>
          <w:tcPr>
            <w:tcW w:w="100" w:type="dxa"/>
            <w:vAlign w:val="bottom"/>
            <w:shd w:val="clear" w:color="auto" w:fill="D0EBF2"/>
          </w:tcPr>
          <w:p>
            <w:pPr>
              <w:spacing w:after="0"/>
              <w:rPr>
                <w:sz w:val="15"/>
                <w:szCs w:val="15"/>
                <w:color w:val="auto"/>
              </w:rPr>
            </w:pPr>
          </w:p>
        </w:tc>
        <w:tc>
          <w:tcPr>
            <w:tcW w:w="180" w:type="dxa"/>
            <w:vAlign w:val="bottom"/>
            <w:shd w:val="clear" w:color="auto" w:fill="D0EBF2"/>
          </w:tcPr>
          <w:p>
            <w:pPr>
              <w:spacing w:after="0"/>
              <w:rPr>
                <w:sz w:val="15"/>
                <w:szCs w:val="15"/>
                <w:color w:val="auto"/>
              </w:rPr>
            </w:pPr>
          </w:p>
        </w:tc>
        <w:tc>
          <w:tcPr>
            <w:tcW w:w="1180" w:type="dxa"/>
            <w:vAlign w:val="bottom"/>
            <w:shd w:val="clear" w:color="auto" w:fill="D0EBF2"/>
          </w:tcPr>
          <w:p>
            <w:pPr>
              <w:jc w:val="right"/>
              <w:spacing w:after="0"/>
              <w:rPr>
                <w:sz w:val="20"/>
                <w:szCs w:val="20"/>
                <w:color w:val="auto"/>
              </w:rPr>
            </w:pPr>
            <w:r>
              <w:rPr>
                <w:rFonts w:ascii="Times New Roman" w:cs="Times New Roman" w:eastAsia="Times New Roman" w:hAnsi="Times New Roman"/>
                <w:sz w:val="15"/>
                <w:szCs w:val="15"/>
                <w:color w:val="231F20"/>
              </w:rPr>
              <w:t>168,949</w:t>
            </w:r>
          </w:p>
        </w:tc>
        <w:tc>
          <w:tcPr>
            <w:tcW w:w="100" w:type="dxa"/>
            <w:vAlign w:val="bottom"/>
            <w:shd w:val="clear" w:color="auto" w:fill="D0EBF2"/>
          </w:tcPr>
          <w:p>
            <w:pPr>
              <w:spacing w:after="0"/>
              <w:rPr>
                <w:sz w:val="15"/>
                <w:szCs w:val="15"/>
                <w:color w:val="auto"/>
              </w:rPr>
            </w:pPr>
          </w:p>
        </w:tc>
      </w:tr>
      <w:tr>
        <w:trPr>
          <w:trHeight w:val="187"/>
        </w:trPr>
        <w:tc>
          <w:tcPr>
            <w:tcW w:w="5520" w:type="dxa"/>
            <w:vAlign w:val="bottom"/>
            <w:tcBorders>
              <w:bottom w:val="single" w:sz="8" w:color="D0EBF2"/>
            </w:tcBorders>
            <w:shd w:val="clear" w:color="auto" w:fill="FDFDFC"/>
          </w:tcPr>
          <w:p>
            <w:pPr>
              <w:spacing w:after="0"/>
              <w:rPr>
                <w:sz w:val="20"/>
                <w:szCs w:val="20"/>
                <w:color w:val="auto"/>
              </w:rPr>
            </w:pPr>
            <w:r>
              <w:rPr>
                <w:rFonts w:ascii="Times New Roman" w:cs="Times New Roman" w:eastAsia="Times New Roman" w:hAnsi="Times New Roman"/>
                <w:sz w:val="15"/>
                <w:szCs w:val="15"/>
                <w:color w:val="231F20"/>
              </w:rPr>
              <w:t>Income taxes, including excise taxes</w:t>
            </w:r>
          </w:p>
        </w:tc>
        <w:tc>
          <w:tcPr>
            <w:tcW w:w="80" w:type="dxa"/>
            <w:vAlign w:val="bottom"/>
            <w:tcBorders>
              <w:bottom w:val="single" w:sz="8" w:color="231F20"/>
            </w:tcBorders>
            <w:shd w:val="clear" w:color="auto" w:fill="FDFDFC"/>
          </w:tcPr>
          <w:p>
            <w:pPr>
              <w:spacing w:after="0"/>
              <w:rPr>
                <w:sz w:val="16"/>
                <w:szCs w:val="16"/>
                <w:color w:val="auto"/>
              </w:rPr>
            </w:pPr>
          </w:p>
        </w:tc>
        <w:tc>
          <w:tcPr>
            <w:tcW w:w="1320" w:type="dxa"/>
            <w:vAlign w:val="bottom"/>
            <w:tcBorders>
              <w:bottom w:val="single" w:sz="8" w:color="231F20"/>
            </w:tcBorders>
            <w:shd w:val="clear" w:color="auto" w:fill="FDFDFC"/>
          </w:tcPr>
          <w:p>
            <w:pPr>
              <w:jc w:val="right"/>
              <w:spacing w:after="0"/>
              <w:rPr>
                <w:sz w:val="20"/>
                <w:szCs w:val="20"/>
                <w:color w:val="auto"/>
              </w:rPr>
            </w:pPr>
            <w:r>
              <w:rPr>
                <w:rFonts w:ascii="Times New Roman" w:cs="Times New Roman" w:eastAsia="Times New Roman" w:hAnsi="Times New Roman"/>
                <w:sz w:val="15"/>
                <w:szCs w:val="15"/>
                <w:color w:val="231F20"/>
              </w:rPr>
              <w:t>3,944</w:t>
            </w:r>
          </w:p>
        </w:tc>
        <w:tc>
          <w:tcPr>
            <w:tcW w:w="100" w:type="dxa"/>
            <w:vAlign w:val="bottom"/>
            <w:tcBorders>
              <w:bottom w:val="single" w:sz="8" w:color="D0EBF2"/>
            </w:tcBorders>
            <w:shd w:val="clear" w:color="auto" w:fill="FDFDFC"/>
          </w:tcPr>
          <w:p>
            <w:pPr>
              <w:spacing w:after="0"/>
              <w:rPr>
                <w:sz w:val="16"/>
                <w:szCs w:val="16"/>
                <w:color w:val="auto"/>
              </w:rPr>
            </w:pPr>
          </w:p>
        </w:tc>
        <w:tc>
          <w:tcPr>
            <w:tcW w:w="140" w:type="dxa"/>
            <w:vAlign w:val="bottom"/>
            <w:tcBorders>
              <w:bottom w:val="single" w:sz="8" w:color="231F20"/>
            </w:tcBorders>
            <w:shd w:val="clear" w:color="auto" w:fill="FDFDFC"/>
          </w:tcPr>
          <w:p>
            <w:pPr>
              <w:spacing w:after="0"/>
              <w:rPr>
                <w:sz w:val="16"/>
                <w:szCs w:val="16"/>
                <w:color w:val="auto"/>
              </w:rPr>
            </w:pPr>
          </w:p>
        </w:tc>
        <w:tc>
          <w:tcPr>
            <w:tcW w:w="180" w:type="dxa"/>
            <w:vAlign w:val="bottom"/>
            <w:tcBorders>
              <w:bottom w:val="single" w:sz="8" w:color="231F20"/>
            </w:tcBorders>
            <w:shd w:val="clear" w:color="auto" w:fill="FDFDFC"/>
          </w:tcPr>
          <w:p>
            <w:pPr>
              <w:spacing w:after="0"/>
              <w:rPr>
                <w:sz w:val="16"/>
                <w:szCs w:val="16"/>
                <w:color w:val="auto"/>
              </w:rPr>
            </w:pPr>
          </w:p>
        </w:tc>
        <w:tc>
          <w:tcPr>
            <w:tcW w:w="1200" w:type="dxa"/>
            <w:vAlign w:val="bottom"/>
            <w:tcBorders>
              <w:bottom w:val="single" w:sz="8" w:color="231F20"/>
            </w:tcBorders>
            <w:shd w:val="clear" w:color="auto" w:fill="FDFDFC"/>
          </w:tcPr>
          <w:p>
            <w:pPr>
              <w:jc w:val="right"/>
              <w:spacing w:after="0"/>
              <w:rPr>
                <w:sz w:val="20"/>
                <w:szCs w:val="20"/>
                <w:color w:val="auto"/>
              </w:rPr>
            </w:pPr>
            <w:r>
              <w:rPr>
                <w:rFonts w:ascii="Times New Roman" w:cs="Times New Roman" w:eastAsia="Times New Roman" w:hAnsi="Times New Roman"/>
                <w:sz w:val="15"/>
                <w:szCs w:val="15"/>
                <w:color w:val="231F20"/>
              </w:rPr>
              <w:t>2,365</w:t>
            </w:r>
          </w:p>
        </w:tc>
        <w:tc>
          <w:tcPr>
            <w:tcW w:w="100" w:type="dxa"/>
            <w:vAlign w:val="bottom"/>
            <w:tcBorders>
              <w:bottom w:val="single" w:sz="8" w:color="D0EBF2"/>
            </w:tcBorders>
            <w:shd w:val="clear" w:color="auto" w:fill="FDFDFC"/>
          </w:tcPr>
          <w:p>
            <w:pPr>
              <w:spacing w:after="0"/>
              <w:rPr>
                <w:sz w:val="16"/>
                <w:szCs w:val="16"/>
                <w:color w:val="auto"/>
              </w:rPr>
            </w:pPr>
          </w:p>
        </w:tc>
        <w:tc>
          <w:tcPr>
            <w:tcW w:w="100" w:type="dxa"/>
            <w:vAlign w:val="bottom"/>
            <w:tcBorders>
              <w:bottom w:val="single" w:sz="8" w:color="D0EBF2"/>
            </w:tcBorders>
            <w:shd w:val="clear" w:color="auto" w:fill="FDFDFC"/>
          </w:tcPr>
          <w:p>
            <w:pPr>
              <w:spacing w:after="0"/>
              <w:rPr>
                <w:sz w:val="16"/>
                <w:szCs w:val="16"/>
                <w:color w:val="auto"/>
              </w:rPr>
            </w:pPr>
          </w:p>
        </w:tc>
        <w:tc>
          <w:tcPr>
            <w:tcW w:w="180" w:type="dxa"/>
            <w:vAlign w:val="bottom"/>
            <w:tcBorders>
              <w:bottom w:val="single" w:sz="8" w:color="231F20"/>
            </w:tcBorders>
            <w:shd w:val="clear" w:color="auto" w:fill="FDFDFC"/>
          </w:tcPr>
          <w:p>
            <w:pPr>
              <w:spacing w:after="0"/>
              <w:rPr>
                <w:sz w:val="16"/>
                <w:szCs w:val="16"/>
                <w:color w:val="auto"/>
              </w:rPr>
            </w:pPr>
          </w:p>
        </w:tc>
        <w:tc>
          <w:tcPr>
            <w:tcW w:w="1180" w:type="dxa"/>
            <w:vAlign w:val="bottom"/>
            <w:tcBorders>
              <w:bottom w:val="single" w:sz="8" w:color="231F20"/>
            </w:tcBorders>
            <w:shd w:val="clear" w:color="auto" w:fill="FDFDFC"/>
          </w:tcPr>
          <w:p>
            <w:pPr>
              <w:jc w:val="right"/>
              <w:spacing w:after="0"/>
              <w:rPr>
                <w:sz w:val="20"/>
                <w:szCs w:val="20"/>
                <w:color w:val="auto"/>
              </w:rPr>
            </w:pPr>
            <w:r>
              <w:rPr>
                <w:rFonts w:ascii="Times New Roman" w:cs="Times New Roman" w:eastAsia="Times New Roman" w:hAnsi="Times New Roman"/>
                <w:sz w:val="15"/>
                <w:szCs w:val="15"/>
                <w:color w:val="231F20"/>
              </w:rPr>
              <w:t>2,622</w:t>
            </w:r>
          </w:p>
        </w:tc>
        <w:tc>
          <w:tcPr>
            <w:tcW w:w="100" w:type="dxa"/>
            <w:vAlign w:val="bottom"/>
            <w:tcBorders>
              <w:bottom w:val="single" w:sz="8" w:color="D0EBF2"/>
            </w:tcBorders>
            <w:shd w:val="clear" w:color="auto" w:fill="FDFDFC"/>
          </w:tcPr>
          <w:p>
            <w:pPr>
              <w:spacing w:after="0"/>
              <w:rPr>
                <w:sz w:val="16"/>
                <w:szCs w:val="16"/>
                <w:color w:val="auto"/>
              </w:rPr>
            </w:pPr>
          </w:p>
        </w:tc>
      </w:tr>
      <w:tr>
        <w:trPr>
          <w:trHeight w:val="176"/>
        </w:trPr>
        <w:tc>
          <w:tcPr>
            <w:tcW w:w="5520" w:type="dxa"/>
            <w:vAlign w:val="bottom"/>
            <w:shd w:val="clear" w:color="auto" w:fill="D0EBF2"/>
          </w:tcPr>
          <w:p>
            <w:pPr>
              <w:spacing w:after="0"/>
              <w:rPr>
                <w:sz w:val="20"/>
                <w:szCs w:val="20"/>
                <w:color w:val="auto"/>
              </w:rPr>
            </w:pPr>
            <w:r>
              <w:rPr>
                <w:rFonts w:ascii="Times New Roman" w:cs="Times New Roman" w:eastAsia="Times New Roman" w:hAnsi="Times New Roman"/>
                <w:sz w:val="15"/>
                <w:szCs w:val="15"/>
                <w:b w:val="1"/>
                <w:bCs w:val="1"/>
                <w:color w:val="231F20"/>
              </w:rPr>
              <w:t>Net Investment Income</w:t>
            </w:r>
          </w:p>
        </w:tc>
        <w:tc>
          <w:tcPr>
            <w:tcW w:w="80" w:type="dxa"/>
            <w:vAlign w:val="bottom"/>
            <w:shd w:val="clear" w:color="auto" w:fill="D0EBF2"/>
          </w:tcPr>
          <w:p>
            <w:pPr>
              <w:spacing w:after="0"/>
              <w:rPr>
                <w:sz w:val="15"/>
                <w:szCs w:val="15"/>
                <w:color w:val="auto"/>
              </w:rPr>
            </w:pPr>
          </w:p>
        </w:tc>
        <w:tc>
          <w:tcPr>
            <w:tcW w:w="1320" w:type="dxa"/>
            <w:vAlign w:val="bottom"/>
            <w:shd w:val="clear" w:color="auto" w:fill="D0EBF2"/>
          </w:tcPr>
          <w:p>
            <w:pPr>
              <w:jc w:val="right"/>
              <w:spacing w:after="0"/>
              <w:rPr>
                <w:sz w:val="20"/>
                <w:szCs w:val="20"/>
                <w:color w:val="auto"/>
              </w:rPr>
            </w:pPr>
            <w:r>
              <w:rPr>
                <w:rFonts w:ascii="Times New Roman" w:cs="Times New Roman" w:eastAsia="Times New Roman" w:hAnsi="Times New Roman"/>
                <w:sz w:val="15"/>
                <w:szCs w:val="15"/>
                <w:color w:val="231F20"/>
              </w:rPr>
              <w:t>220,017</w:t>
            </w:r>
          </w:p>
        </w:tc>
        <w:tc>
          <w:tcPr>
            <w:tcW w:w="100" w:type="dxa"/>
            <w:vAlign w:val="bottom"/>
            <w:shd w:val="clear" w:color="auto" w:fill="D0EBF2"/>
          </w:tcPr>
          <w:p>
            <w:pPr>
              <w:spacing w:after="0"/>
              <w:rPr>
                <w:sz w:val="15"/>
                <w:szCs w:val="15"/>
                <w:color w:val="auto"/>
              </w:rPr>
            </w:pPr>
          </w:p>
        </w:tc>
        <w:tc>
          <w:tcPr>
            <w:tcW w:w="140" w:type="dxa"/>
            <w:vAlign w:val="bottom"/>
            <w:shd w:val="clear" w:color="auto" w:fill="D0EBF2"/>
          </w:tcPr>
          <w:p>
            <w:pPr>
              <w:spacing w:after="0"/>
              <w:rPr>
                <w:sz w:val="15"/>
                <w:szCs w:val="15"/>
                <w:color w:val="auto"/>
              </w:rPr>
            </w:pPr>
          </w:p>
        </w:tc>
        <w:tc>
          <w:tcPr>
            <w:tcW w:w="180" w:type="dxa"/>
            <w:vAlign w:val="bottom"/>
            <w:shd w:val="clear" w:color="auto" w:fill="D0EBF2"/>
          </w:tcPr>
          <w:p>
            <w:pPr>
              <w:spacing w:after="0"/>
              <w:rPr>
                <w:sz w:val="15"/>
                <w:szCs w:val="15"/>
                <w:color w:val="auto"/>
              </w:rPr>
            </w:pPr>
          </w:p>
        </w:tc>
        <w:tc>
          <w:tcPr>
            <w:tcW w:w="1200" w:type="dxa"/>
            <w:vAlign w:val="bottom"/>
            <w:shd w:val="clear" w:color="auto" w:fill="D0EBF2"/>
          </w:tcPr>
          <w:p>
            <w:pPr>
              <w:jc w:val="right"/>
              <w:spacing w:after="0"/>
              <w:rPr>
                <w:sz w:val="20"/>
                <w:szCs w:val="20"/>
                <w:color w:val="auto"/>
              </w:rPr>
            </w:pPr>
            <w:r>
              <w:rPr>
                <w:rFonts w:ascii="Times New Roman" w:cs="Times New Roman" w:eastAsia="Times New Roman" w:hAnsi="Times New Roman"/>
                <w:sz w:val="15"/>
                <w:szCs w:val="15"/>
                <w:color w:val="231F20"/>
              </w:rPr>
              <w:t>196,399</w:t>
            </w:r>
          </w:p>
        </w:tc>
        <w:tc>
          <w:tcPr>
            <w:tcW w:w="100" w:type="dxa"/>
            <w:vAlign w:val="bottom"/>
            <w:shd w:val="clear" w:color="auto" w:fill="D0EBF2"/>
          </w:tcPr>
          <w:p>
            <w:pPr>
              <w:spacing w:after="0"/>
              <w:rPr>
                <w:sz w:val="15"/>
                <w:szCs w:val="15"/>
                <w:color w:val="auto"/>
              </w:rPr>
            </w:pPr>
          </w:p>
        </w:tc>
        <w:tc>
          <w:tcPr>
            <w:tcW w:w="100" w:type="dxa"/>
            <w:vAlign w:val="bottom"/>
            <w:shd w:val="clear" w:color="auto" w:fill="D0EBF2"/>
          </w:tcPr>
          <w:p>
            <w:pPr>
              <w:spacing w:after="0"/>
              <w:rPr>
                <w:sz w:val="15"/>
                <w:szCs w:val="15"/>
                <w:color w:val="auto"/>
              </w:rPr>
            </w:pPr>
          </w:p>
        </w:tc>
        <w:tc>
          <w:tcPr>
            <w:tcW w:w="180" w:type="dxa"/>
            <w:vAlign w:val="bottom"/>
            <w:shd w:val="clear" w:color="auto" w:fill="D0EBF2"/>
          </w:tcPr>
          <w:p>
            <w:pPr>
              <w:spacing w:after="0"/>
              <w:rPr>
                <w:sz w:val="15"/>
                <w:szCs w:val="15"/>
                <w:color w:val="auto"/>
              </w:rPr>
            </w:pPr>
          </w:p>
        </w:tc>
        <w:tc>
          <w:tcPr>
            <w:tcW w:w="1180" w:type="dxa"/>
            <w:vAlign w:val="bottom"/>
            <w:shd w:val="clear" w:color="auto" w:fill="D0EBF2"/>
          </w:tcPr>
          <w:p>
            <w:pPr>
              <w:jc w:val="right"/>
              <w:spacing w:after="0"/>
              <w:rPr>
                <w:sz w:val="20"/>
                <w:szCs w:val="20"/>
                <w:color w:val="auto"/>
              </w:rPr>
            </w:pPr>
            <w:r>
              <w:rPr>
                <w:rFonts w:ascii="Times New Roman" w:cs="Times New Roman" w:eastAsia="Times New Roman" w:hAnsi="Times New Roman"/>
                <w:sz w:val="15"/>
                <w:szCs w:val="15"/>
                <w:color w:val="231F20"/>
              </w:rPr>
              <w:t>166,327</w:t>
            </w:r>
          </w:p>
        </w:tc>
        <w:tc>
          <w:tcPr>
            <w:tcW w:w="100" w:type="dxa"/>
            <w:vAlign w:val="bottom"/>
            <w:shd w:val="clear" w:color="auto" w:fill="D0EBF2"/>
          </w:tcPr>
          <w:p>
            <w:pPr>
              <w:spacing w:after="0"/>
              <w:rPr>
                <w:sz w:val="15"/>
                <w:szCs w:val="15"/>
                <w:color w:val="auto"/>
              </w:rPr>
            </w:pPr>
          </w:p>
        </w:tc>
      </w:tr>
      <w:tr>
        <w:trPr>
          <w:trHeight w:val="187"/>
        </w:trPr>
        <w:tc>
          <w:tcPr>
            <w:tcW w:w="5520" w:type="dxa"/>
            <w:vAlign w:val="bottom"/>
            <w:shd w:val="clear" w:color="auto" w:fill="FDFDFC"/>
          </w:tcPr>
          <w:p>
            <w:pPr>
              <w:spacing w:after="0"/>
              <w:rPr>
                <w:sz w:val="20"/>
                <w:szCs w:val="20"/>
                <w:color w:val="auto"/>
              </w:rPr>
            </w:pPr>
            <w:r>
              <w:rPr>
                <w:rFonts w:ascii="Times New Roman" w:cs="Times New Roman" w:eastAsia="Times New Roman" w:hAnsi="Times New Roman"/>
                <w:sz w:val="15"/>
                <w:szCs w:val="15"/>
                <w:b w:val="1"/>
                <w:bCs w:val="1"/>
                <w:color w:val="231F20"/>
              </w:rPr>
              <w:t>Unrealized and Realized Gains (Losses)</w:t>
            </w:r>
          </w:p>
        </w:tc>
        <w:tc>
          <w:tcPr>
            <w:tcW w:w="80" w:type="dxa"/>
            <w:vAlign w:val="bottom"/>
            <w:shd w:val="clear" w:color="auto" w:fill="FDFDFC"/>
          </w:tcPr>
          <w:p>
            <w:pPr>
              <w:spacing w:after="0"/>
              <w:rPr>
                <w:sz w:val="16"/>
                <w:szCs w:val="16"/>
                <w:color w:val="auto"/>
              </w:rPr>
            </w:pPr>
          </w:p>
        </w:tc>
        <w:tc>
          <w:tcPr>
            <w:tcW w:w="1320" w:type="dxa"/>
            <w:vAlign w:val="bottom"/>
            <w:shd w:val="clear" w:color="auto" w:fill="FDFDFC"/>
          </w:tcPr>
          <w:p>
            <w:pPr>
              <w:spacing w:after="0"/>
              <w:rPr>
                <w:sz w:val="16"/>
                <w:szCs w:val="16"/>
                <w:color w:val="auto"/>
              </w:rPr>
            </w:pPr>
          </w:p>
        </w:tc>
        <w:tc>
          <w:tcPr>
            <w:tcW w:w="100" w:type="dxa"/>
            <w:vAlign w:val="bottom"/>
            <w:shd w:val="clear" w:color="auto" w:fill="FDFDFC"/>
          </w:tcPr>
          <w:p>
            <w:pPr>
              <w:spacing w:after="0"/>
              <w:rPr>
                <w:sz w:val="16"/>
                <w:szCs w:val="16"/>
                <w:color w:val="auto"/>
              </w:rPr>
            </w:pPr>
          </w:p>
        </w:tc>
        <w:tc>
          <w:tcPr>
            <w:tcW w:w="140" w:type="dxa"/>
            <w:vAlign w:val="bottom"/>
            <w:shd w:val="clear" w:color="auto" w:fill="FDFDFC"/>
          </w:tcPr>
          <w:p>
            <w:pPr>
              <w:spacing w:after="0"/>
              <w:rPr>
                <w:sz w:val="16"/>
                <w:szCs w:val="16"/>
                <w:color w:val="auto"/>
              </w:rPr>
            </w:pPr>
          </w:p>
        </w:tc>
        <w:tc>
          <w:tcPr>
            <w:tcW w:w="180" w:type="dxa"/>
            <w:vAlign w:val="bottom"/>
            <w:shd w:val="clear" w:color="auto" w:fill="FDFDFC"/>
          </w:tcPr>
          <w:p>
            <w:pPr>
              <w:spacing w:after="0"/>
              <w:rPr>
                <w:sz w:val="16"/>
                <w:szCs w:val="16"/>
                <w:color w:val="auto"/>
              </w:rPr>
            </w:pPr>
          </w:p>
        </w:tc>
        <w:tc>
          <w:tcPr>
            <w:tcW w:w="1200" w:type="dxa"/>
            <w:vAlign w:val="bottom"/>
            <w:shd w:val="clear" w:color="auto" w:fill="FDFDFC"/>
          </w:tcPr>
          <w:p>
            <w:pPr>
              <w:spacing w:after="0"/>
              <w:rPr>
                <w:sz w:val="16"/>
                <w:szCs w:val="16"/>
                <w:color w:val="auto"/>
              </w:rPr>
            </w:pPr>
          </w:p>
        </w:tc>
        <w:tc>
          <w:tcPr>
            <w:tcW w:w="100" w:type="dxa"/>
            <w:vAlign w:val="bottom"/>
            <w:shd w:val="clear" w:color="auto" w:fill="FDFDFC"/>
          </w:tcPr>
          <w:p>
            <w:pPr>
              <w:spacing w:after="0"/>
              <w:rPr>
                <w:sz w:val="16"/>
                <w:szCs w:val="16"/>
                <w:color w:val="auto"/>
              </w:rPr>
            </w:pPr>
          </w:p>
        </w:tc>
        <w:tc>
          <w:tcPr>
            <w:tcW w:w="100" w:type="dxa"/>
            <w:vAlign w:val="bottom"/>
            <w:shd w:val="clear" w:color="auto" w:fill="FDFDFC"/>
          </w:tcPr>
          <w:p>
            <w:pPr>
              <w:spacing w:after="0"/>
              <w:rPr>
                <w:sz w:val="16"/>
                <w:szCs w:val="16"/>
                <w:color w:val="auto"/>
              </w:rPr>
            </w:pPr>
          </w:p>
        </w:tc>
        <w:tc>
          <w:tcPr>
            <w:tcW w:w="180" w:type="dxa"/>
            <w:vAlign w:val="bottom"/>
            <w:shd w:val="clear" w:color="auto" w:fill="FDFDFC"/>
          </w:tcPr>
          <w:p>
            <w:pPr>
              <w:spacing w:after="0"/>
              <w:rPr>
                <w:sz w:val="16"/>
                <w:szCs w:val="16"/>
                <w:color w:val="auto"/>
              </w:rPr>
            </w:pPr>
          </w:p>
        </w:tc>
        <w:tc>
          <w:tcPr>
            <w:tcW w:w="1180" w:type="dxa"/>
            <w:vAlign w:val="bottom"/>
            <w:shd w:val="clear" w:color="auto" w:fill="FDFDFC"/>
          </w:tcPr>
          <w:p>
            <w:pPr>
              <w:spacing w:after="0"/>
              <w:rPr>
                <w:sz w:val="16"/>
                <w:szCs w:val="16"/>
                <w:color w:val="auto"/>
              </w:rPr>
            </w:pPr>
          </w:p>
        </w:tc>
        <w:tc>
          <w:tcPr>
            <w:tcW w:w="100" w:type="dxa"/>
            <w:vAlign w:val="bottom"/>
            <w:shd w:val="clear" w:color="auto" w:fill="FDFDFC"/>
          </w:tcPr>
          <w:p>
            <w:pPr>
              <w:spacing w:after="0"/>
              <w:rPr>
                <w:sz w:val="16"/>
                <w:szCs w:val="16"/>
                <w:color w:val="auto"/>
              </w:rPr>
            </w:pPr>
          </w:p>
        </w:tc>
      </w:tr>
      <w:tr>
        <w:trPr>
          <w:trHeight w:val="187"/>
        </w:trPr>
        <w:tc>
          <w:tcPr>
            <w:tcW w:w="5520" w:type="dxa"/>
            <w:vAlign w:val="bottom"/>
            <w:shd w:val="clear" w:color="auto" w:fill="D0EBF2"/>
          </w:tcPr>
          <w:p>
            <w:pPr>
              <w:spacing w:after="0"/>
              <w:rPr>
                <w:sz w:val="20"/>
                <w:szCs w:val="20"/>
                <w:color w:val="auto"/>
              </w:rPr>
            </w:pPr>
            <w:r>
              <w:rPr>
                <w:rFonts w:ascii="Times New Roman" w:cs="Times New Roman" w:eastAsia="Times New Roman" w:hAnsi="Times New Roman"/>
                <w:sz w:val="15"/>
                <w:szCs w:val="15"/>
                <w:color w:val="231F20"/>
              </w:rPr>
              <w:t>Net change in unrealized gains (losses):</w:t>
            </w:r>
          </w:p>
        </w:tc>
        <w:tc>
          <w:tcPr>
            <w:tcW w:w="80" w:type="dxa"/>
            <w:vAlign w:val="bottom"/>
            <w:shd w:val="clear" w:color="auto" w:fill="D0EBF2"/>
          </w:tcPr>
          <w:p>
            <w:pPr>
              <w:spacing w:after="0"/>
              <w:rPr>
                <w:sz w:val="16"/>
                <w:szCs w:val="16"/>
                <w:color w:val="auto"/>
              </w:rPr>
            </w:pPr>
          </w:p>
        </w:tc>
        <w:tc>
          <w:tcPr>
            <w:tcW w:w="1320" w:type="dxa"/>
            <w:vAlign w:val="bottom"/>
            <w:shd w:val="clear" w:color="auto" w:fill="D0EBF2"/>
          </w:tcPr>
          <w:p>
            <w:pPr>
              <w:spacing w:after="0"/>
              <w:rPr>
                <w:sz w:val="16"/>
                <w:szCs w:val="16"/>
                <w:color w:val="auto"/>
              </w:rPr>
            </w:pPr>
          </w:p>
        </w:tc>
        <w:tc>
          <w:tcPr>
            <w:tcW w:w="100" w:type="dxa"/>
            <w:vAlign w:val="bottom"/>
            <w:shd w:val="clear" w:color="auto" w:fill="D0EBF2"/>
          </w:tcPr>
          <w:p>
            <w:pPr>
              <w:spacing w:after="0"/>
              <w:rPr>
                <w:sz w:val="16"/>
                <w:szCs w:val="16"/>
                <w:color w:val="auto"/>
              </w:rPr>
            </w:pPr>
          </w:p>
        </w:tc>
        <w:tc>
          <w:tcPr>
            <w:tcW w:w="140" w:type="dxa"/>
            <w:vAlign w:val="bottom"/>
            <w:shd w:val="clear" w:color="auto" w:fill="D0EBF2"/>
          </w:tcPr>
          <w:p>
            <w:pPr>
              <w:spacing w:after="0"/>
              <w:rPr>
                <w:sz w:val="16"/>
                <w:szCs w:val="16"/>
                <w:color w:val="auto"/>
              </w:rPr>
            </w:pPr>
          </w:p>
        </w:tc>
        <w:tc>
          <w:tcPr>
            <w:tcW w:w="180" w:type="dxa"/>
            <w:vAlign w:val="bottom"/>
            <w:shd w:val="clear" w:color="auto" w:fill="D0EBF2"/>
          </w:tcPr>
          <w:p>
            <w:pPr>
              <w:spacing w:after="0"/>
              <w:rPr>
                <w:sz w:val="16"/>
                <w:szCs w:val="16"/>
                <w:color w:val="auto"/>
              </w:rPr>
            </w:pPr>
          </w:p>
        </w:tc>
        <w:tc>
          <w:tcPr>
            <w:tcW w:w="1200" w:type="dxa"/>
            <w:vAlign w:val="bottom"/>
            <w:shd w:val="clear" w:color="auto" w:fill="D0EBF2"/>
          </w:tcPr>
          <w:p>
            <w:pPr>
              <w:spacing w:after="0"/>
              <w:rPr>
                <w:sz w:val="16"/>
                <w:szCs w:val="16"/>
                <w:color w:val="auto"/>
              </w:rPr>
            </w:pPr>
          </w:p>
        </w:tc>
        <w:tc>
          <w:tcPr>
            <w:tcW w:w="100" w:type="dxa"/>
            <w:vAlign w:val="bottom"/>
            <w:shd w:val="clear" w:color="auto" w:fill="D0EBF2"/>
          </w:tcPr>
          <w:p>
            <w:pPr>
              <w:spacing w:after="0"/>
              <w:rPr>
                <w:sz w:val="16"/>
                <w:szCs w:val="16"/>
                <w:color w:val="auto"/>
              </w:rPr>
            </w:pPr>
          </w:p>
        </w:tc>
        <w:tc>
          <w:tcPr>
            <w:tcW w:w="100" w:type="dxa"/>
            <w:vAlign w:val="bottom"/>
            <w:shd w:val="clear" w:color="auto" w:fill="D0EBF2"/>
          </w:tcPr>
          <w:p>
            <w:pPr>
              <w:spacing w:after="0"/>
              <w:rPr>
                <w:sz w:val="16"/>
                <w:szCs w:val="16"/>
                <w:color w:val="auto"/>
              </w:rPr>
            </w:pPr>
          </w:p>
        </w:tc>
        <w:tc>
          <w:tcPr>
            <w:tcW w:w="180" w:type="dxa"/>
            <w:vAlign w:val="bottom"/>
            <w:shd w:val="clear" w:color="auto" w:fill="D0EBF2"/>
          </w:tcPr>
          <w:p>
            <w:pPr>
              <w:spacing w:after="0"/>
              <w:rPr>
                <w:sz w:val="16"/>
                <w:szCs w:val="16"/>
                <w:color w:val="auto"/>
              </w:rPr>
            </w:pPr>
          </w:p>
        </w:tc>
        <w:tc>
          <w:tcPr>
            <w:tcW w:w="1180" w:type="dxa"/>
            <w:vAlign w:val="bottom"/>
            <w:shd w:val="clear" w:color="auto" w:fill="D0EBF2"/>
          </w:tcPr>
          <w:p>
            <w:pPr>
              <w:spacing w:after="0"/>
              <w:rPr>
                <w:sz w:val="16"/>
                <w:szCs w:val="16"/>
                <w:color w:val="auto"/>
              </w:rPr>
            </w:pPr>
          </w:p>
        </w:tc>
        <w:tc>
          <w:tcPr>
            <w:tcW w:w="100" w:type="dxa"/>
            <w:vAlign w:val="bottom"/>
            <w:shd w:val="clear" w:color="auto" w:fill="D0EBF2"/>
          </w:tcPr>
          <w:p>
            <w:pPr>
              <w:spacing w:after="0"/>
              <w:rPr>
                <w:sz w:val="16"/>
                <w:szCs w:val="16"/>
                <w:color w:val="auto"/>
              </w:rPr>
            </w:pPr>
          </w:p>
        </w:tc>
      </w:tr>
      <w:tr>
        <w:trPr>
          <w:trHeight w:val="187"/>
        </w:trPr>
        <w:tc>
          <w:tcPr>
            <w:tcW w:w="5520" w:type="dxa"/>
            <w:vAlign w:val="bottom"/>
            <w:shd w:val="clear" w:color="auto" w:fill="FDFDFC"/>
          </w:tcPr>
          <w:p>
            <w:pPr>
              <w:ind w:left="180"/>
              <w:spacing w:after="0"/>
              <w:rPr>
                <w:sz w:val="20"/>
                <w:szCs w:val="20"/>
                <w:color w:val="auto"/>
              </w:rPr>
            </w:pPr>
            <w:r>
              <w:rPr>
                <w:rFonts w:ascii="Times New Roman" w:cs="Times New Roman" w:eastAsia="Times New Roman" w:hAnsi="Times New Roman"/>
                <w:sz w:val="15"/>
                <w:szCs w:val="15"/>
                <w:color w:val="231F20"/>
              </w:rPr>
              <w:t>Non-controlled, non-affiliated investments</w:t>
            </w:r>
          </w:p>
        </w:tc>
        <w:tc>
          <w:tcPr>
            <w:tcW w:w="80" w:type="dxa"/>
            <w:vAlign w:val="bottom"/>
            <w:shd w:val="clear" w:color="auto" w:fill="FDFDFC"/>
          </w:tcPr>
          <w:p>
            <w:pPr>
              <w:spacing w:after="0"/>
              <w:rPr>
                <w:sz w:val="16"/>
                <w:szCs w:val="16"/>
                <w:color w:val="auto"/>
              </w:rPr>
            </w:pPr>
          </w:p>
        </w:tc>
        <w:tc>
          <w:tcPr>
            <w:tcW w:w="1420" w:type="dxa"/>
            <w:vAlign w:val="bottom"/>
            <w:gridSpan w:val="2"/>
            <w:shd w:val="clear" w:color="auto" w:fill="FDFDFC"/>
          </w:tcPr>
          <w:p>
            <w:pPr>
              <w:jc w:val="right"/>
              <w:spacing w:after="0"/>
              <w:rPr>
                <w:sz w:val="20"/>
                <w:szCs w:val="20"/>
                <w:color w:val="auto"/>
              </w:rPr>
            </w:pPr>
            <w:r>
              <w:rPr>
                <w:rFonts w:ascii="Times New Roman" w:cs="Times New Roman" w:eastAsia="Times New Roman" w:hAnsi="Times New Roman"/>
                <w:sz w:val="15"/>
                <w:szCs w:val="15"/>
                <w:color w:val="231F20"/>
              </w:rPr>
              <w:t>(47,625 )</w:t>
            </w:r>
          </w:p>
        </w:tc>
        <w:tc>
          <w:tcPr>
            <w:tcW w:w="140" w:type="dxa"/>
            <w:vAlign w:val="bottom"/>
            <w:shd w:val="clear" w:color="auto" w:fill="FDFDFC"/>
          </w:tcPr>
          <w:p>
            <w:pPr>
              <w:spacing w:after="0"/>
              <w:rPr>
                <w:sz w:val="16"/>
                <w:szCs w:val="16"/>
                <w:color w:val="auto"/>
              </w:rPr>
            </w:pPr>
          </w:p>
        </w:tc>
        <w:tc>
          <w:tcPr>
            <w:tcW w:w="180" w:type="dxa"/>
            <w:vAlign w:val="bottom"/>
            <w:shd w:val="clear" w:color="auto" w:fill="FDFDFC"/>
          </w:tcPr>
          <w:p>
            <w:pPr>
              <w:spacing w:after="0"/>
              <w:rPr>
                <w:sz w:val="16"/>
                <w:szCs w:val="16"/>
                <w:color w:val="auto"/>
              </w:rPr>
            </w:pPr>
          </w:p>
        </w:tc>
        <w:tc>
          <w:tcPr>
            <w:tcW w:w="1200" w:type="dxa"/>
            <w:vAlign w:val="bottom"/>
            <w:shd w:val="clear" w:color="auto" w:fill="FDFDFC"/>
          </w:tcPr>
          <w:p>
            <w:pPr>
              <w:jc w:val="right"/>
              <w:spacing w:after="0"/>
              <w:rPr>
                <w:sz w:val="20"/>
                <w:szCs w:val="20"/>
                <w:color w:val="auto"/>
              </w:rPr>
            </w:pPr>
            <w:r>
              <w:rPr>
                <w:rFonts w:ascii="Times New Roman" w:cs="Times New Roman" w:eastAsia="Times New Roman" w:hAnsi="Times New Roman"/>
                <w:sz w:val="15"/>
                <w:szCs w:val="15"/>
                <w:color w:val="231F20"/>
              </w:rPr>
              <w:t>40,571</w:t>
            </w:r>
          </w:p>
        </w:tc>
        <w:tc>
          <w:tcPr>
            <w:tcW w:w="100" w:type="dxa"/>
            <w:vAlign w:val="bottom"/>
            <w:shd w:val="clear" w:color="auto" w:fill="FDFDFC"/>
          </w:tcPr>
          <w:p>
            <w:pPr>
              <w:spacing w:after="0"/>
              <w:rPr>
                <w:sz w:val="16"/>
                <w:szCs w:val="16"/>
                <w:color w:val="auto"/>
              </w:rPr>
            </w:pPr>
          </w:p>
        </w:tc>
        <w:tc>
          <w:tcPr>
            <w:tcW w:w="100" w:type="dxa"/>
            <w:vAlign w:val="bottom"/>
            <w:shd w:val="clear" w:color="auto" w:fill="FDFDFC"/>
          </w:tcPr>
          <w:p>
            <w:pPr>
              <w:spacing w:after="0"/>
              <w:rPr>
                <w:sz w:val="16"/>
                <w:szCs w:val="16"/>
                <w:color w:val="auto"/>
              </w:rPr>
            </w:pPr>
          </w:p>
        </w:tc>
        <w:tc>
          <w:tcPr>
            <w:tcW w:w="180" w:type="dxa"/>
            <w:vAlign w:val="bottom"/>
            <w:shd w:val="clear" w:color="auto" w:fill="FDFDFC"/>
          </w:tcPr>
          <w:p>
            <w:pPr>
              <w:spacing w:after="0"/>
              <w:rPr>
                <w:sz w:val="16"/>
                <w:szCs w:val="16"/>
                <w:color w:val="auto"/>
              </w:rPr>
            </w:pPr>
          </w:p>
        </w:tc>
        <w:tc>
          <w:tcPr>
            <w:tcW w:w="1280" w:type="dxa"/>
            <w:vAlign w:val="bottom"/>
            <w:gridSpan w:val="2"/>
            <w:shd w:val="clear" w:color="auto" w:fill="FDFDFC"/>
          </w:tcPr>
          <w:p>
            <w:pPr>
              <w:jc w:val="right"/>
              <w:ind w:right="22"/>
              <w:spacing w:after="0"/>
              <w:rPr>
                <w:sz w:val="20"/>
                <w:szCs w:val="20"/>
                <w:color w:val="auto"/>
              </w:rPr>
            </w:pPr>
            <w:r>
              <w:rPr>
                <w:rFonts w:ascii="Times New Roman" w:cs="Times New Roman" w:eastAsia="Times New Roman" w:hAnsi="Times New Roman"/>
                <w:sz w:val="15"/>
                <w:szCs w:val="15"/>
                <w:color w:val="231F20"/>
              </w:rPr>
              <w:t>(70,085 )</w:t>
            </w:r>
          </w:p>
        </w:tc>
      </w:tr>
      <w:tr>
        <w:trPr>
          <w:trHeight w:val="187"/>
        </w:trPr>
        <w:tc>
          <w:tcPr>
            <w:tcW w:w="5520" w:type="dxa"/>
            <w:vAlign w:val="bottom"/>
            <w:shd w:val="clear" w:color="auto" w:fill="D0EBF2"/>
          </w:tcPr>
          <w:p>
            <w:pPr>
              <w:ind w:left="180"/>
              <w:spacing w:after="0"/>
              <w:rPr>
                <w:sz w:val="20"/>
                <w:szCs w:val="20"/>
                <w:color w:val="auto"/>
              </w:rPr>
            </w:pPr>
            <w:r>
              <w:rPr>
                <w:rFonts w:ascii="Times New Roman" w:cs="Times New Roman" w:eastAsia="Times New Roman" w:hAnsi="Times New Roman"/>
                <w:sz w:val="15"/>
                <w:szCs w:val="15"/>
                <w:color w:val="231F20"/>
              </w:rPr>
              <w:t>Non-controlled, affiliated investments</w:t>
            </w:r>
          </w:p>
        </w:tc>
        <w:tc>
          <w:tcPr>
            <w:tcW w:w="80" w:type="dxa"/>
            <w:vAlign w:val="bottom"/>
            <w:shd w:val="clear" w:color="auto" w:fill="D0EBF2"/>
          </w:tcPr>
          <w:p>
            <w:pPr>
              <w:spacing w:after="0"/>
              <w:rPr>
                <w:sz w:val="16"/>
                <w:szCs w:val="16"/>
                <w:color w:val="auto"/>
              </w:rPr>
            </w:pPr>
          </w:p>
        </w:tc>
        <w:tc>
          <w:tcPr>
            <w:tcW w:w="1420" w:type="dxa"/>
            <w:vAlign w:val="bottom"/>
            <w:gridSpan w:val="2"/>
            <w:shd w:val="clear" w:color="auto" w:fill="D0EBF2"/>
          </w:tcPr>
          <w:p>
            <w:pPr>
              <w:jc w:val="right"/>
              <w:ind w:right="44"/>
              <w:spacing w:after="0"/>
              <w:rPr>
                <w:sz w:val="20"/>
                <w:szCs w:val="20"/>
                <w:color w:val="auto"/>
              </w:rPr>
            </w:pPr>
            <w:r>
              <w:rPr>
                <w:rFonts w:ascii="Times New Roman" w:cs="Times New Roman" w:eastAsia="Times New Roman" w:hAnsi="Times New Roman"/>
                <w:sz w:val="15"/>
                <w:szCs w:val="15"/>
                <w:color w:val="231F20"/>
              </w:rPr>
              <w:t>—</w:t>
            </w:r>
          </w:p>
        </w:tc>
        <w:tc>
          <w:tcPr>
            <w:tcW w:w="140" w:type="dxa"/>
            <w:vAlign w:val="bottom"/>
            <w:shd w:val="clear" w:color="auto" w:fill="D0EBF2"/>
          </w:tcPr>
          <w:p>
            <w:pPr>
              <w:spacing w:after="0"/>
              <w:rPr>
                <w:sz w:val="16"/>
                <w:szCs w:val="16"/>
                <w:color w:val="auto"/>
              </w:rPr>
            </w:pPr>
          </w:p>
        </w:tc>
        <w:tc>
          <w:tcPr>
            <w:tcW w:w="180" w:type="dxa"/>
            <w:vAlign w:val="bottom"/>
            <w:shd w:val="clear" w:color="auto" w:fill="D0EBF2"/>
          </w:tcPr>
          <w:p>
            <w:pPr>
              <w:spacing w:after="0"/>
              <w:rPr>
                <w:sz w:val="16"/>
                <w:szCs w:val="16"/>
                <w:color w:val="auto"/>
              </w:rPr>
            </w:pPr>
          </w:p>
        </w:tc>
        <w:tc>
          <w:tcPr>
            <w:tcW w:w="1300" w:type="dxa"/>
            <w:vAlign w:val="bottom"/>
            <w:gridSpan w:val="2"/>
            <w:shd w:val="clear" w:color="auto" w:fill="D0EBF2"/>
          </w:tcPr>
          <w:p>
            <w:pPr>
              <w:jc w:val="right"/>
              <w:ind w:right="102"/>
              <w:spacing w:after="0"/>
              <w:rPr>
                <w:sz w:val="20"/>
                <w:szCs w:val="20"/>
                <w:color w:val="auto"/>
              </w:rPr>
            </w:pPr>
            <w:r>
              <w:rPr>
                <w:rFonts w:ascii="Times New Roman" w:cs="Times New Roman" w:eastAsia="Times New Roman" w:hAnsi="Times New Roman"/>
                <w:sz w:val="15"/>
                <w:szCs w:val="15"/>
                <w:color w:val="231F20"/>
              </w:rPr>
              <w:t>—</w:t>
            </w:r>
          </w:p>
        </w:tc>
        <w:tc>
          <w:tcPr>
            <w:tcW w:w="100" w:type="dxa"/>
            <w:vAlign w:val="bottom"/>
            <w:shd w:val="clear" w:color="auto" w:fill="D0EBF2"/>
          </w:tcPr>
          <w:p>
            <w:pPr>
              <w:spacing w:after="0"/>
              <w:rPr>
                <w:sz w:val="16"/>
                <w:szCs w:val="16"/>
                <w:color w:val="auto"/>
              </w:rPr>
            </w:pPr>
          </w:p>
        </w:tc>
        <w:tc>
          <w:tcPr>
            <w:tcW w:w="180" w:type="dxa"/>
            <w:vAlign w:val="bottom"/>
            <w:shd w:val="clear" w:color="auto" w:fill="D0EBF2"/>
          </w:tcPr>
          <w:p>
            <w:pPr>
              <w:spacing w:after="0"/>
              <w:rPr>
                <w:sz w:val="16"/>
                <w:szCs w:val="16"/>
                <w:color w:val="auto"/>
              </w:rPr>
            </w:pPr>
          </w:p>
        </w:tc>
        <w:tc>
          <w:tcPr>
            <w:tcW w:w="1280" w:type="dxa"/>
            <w:vAlign w:val="bottom"/>
            <w:gridSpan w:val="2"/>
            <w:shd w:val="clear" w:color="auto" w:fill="D0EBF2"/>
          </w:tcPr>
          <w:p>
            <w:pPr>
              <w:jc w:val="right"/>
              <w:ind w:right="22"/>
              <w:spacing w:after="0"/>
              <w:rPr>
                <w:sz w:val="20"/>
                <w:szCs w:val="20"/>
                <w:color w:val="auto"/>
              </w:rPr>
            </w:pPr>
            <w:r>
              <w:rPr>
                <w:rFonts w:ascii="Times New Roman" w:cs="Times New Roman" w:eastAsia="Times New Roman" w:hAnsi="Times New Roman"/>
                <w:sz w:val="15"/>
                <w:szCs w:val="15"/>
                <w:color w:val="231F20"/>
              </w:rPr>
              <w:t>(14,350 )</w:t>
            </w:r>
          </w:p>
        </w:tc>
      </w:tr>
      <w:tr>
        <w:trPr>
          <w:trHeight w:val="187"/>
        </w:trPr>
        <w:tc>
          <w:tcPr>
            <w:tcW w:w="5520" w:type="dxa"/>
            <w:vAlign w:val="bottom"/>
            <w:shd w:val="clear" w:color="auto" w:fill="FDFDFC"/>
          </w:tcPr>
          <w:p>
            <w:pPr>
              <w:ind w:left="180"/>
              <w:spacing w:after="0"/>
              <w:rPr>
                <w:sz w:val="20"/>
                <w:szCs w:val="20"/>
                <w:color w:val="auto"/>
              </w:rPr>
            </w:pPr>
            <w:r>
              <w:rPr>
                <w:rFonts w:ascii="Times New Roman" w:cs="Times New Roman" w:eastAsia="Times New Roman" w:hAnsi="Times New Roman"/>
                <w:sz w:val="15"/>
                <w:szCs w:val="15"/>
                <w:color w:val="231F20"/>
              </w:rPr>
              <w:t>Controlled, affiliated investments</w:t>
            </w:r>
          </w:p>
        </w:tc>
        <w:tc>
          <w:tcPr>
            <w:tcW w:w="80" w:type="dxa"/>
            <w:vAlign w:val="bottom"/>
            <w:shd w:val="clear" w:color="auto" w:fill="FDFDFC"/>
          </w:tcPr>
          <w:p>
            <w:pPr>
              <w:spacing w:after="0"/>
              <w:rPr>
                <w:sz w:val="16"/>
                <w:szCs w:val="16"/>
                <w:color w:val="auto"/>
              </w:rPr>
            </w:pPr>
          </w:p>
        </w:tc>
        <w:tc>
          <w:tcPr>
            <w:tcW w:w="1420" w:type="dxa"/>
            <w:vAlign w:val="bottom"/>
            <w:gridSpan w:val="2"/>
            <w:shd w:val="clear" w:color="auto" w:fill="FDFDFC"/>
          </w:tcPr>
          <w:p>
            <w:pPr>
              <w:jc w:val="right"/>
              <w:spacing w:after="0"/>
              <w:rPr>
                <w:sz w:val="20"/>
                <w:szCs w:val="20"/>
                <w:color w:val="auto"/>
              </w:rPr>
            </w:pPr>
            <w:r>
              <w:rPr>
                <w:rFonts w:ascii="Times New Roman" w:cs="Times New Roman" w:eastAsia="Times New Roman" w:hAnsi="Times New Roman"/>
                <w:sz w:val="15"/>
                <w:szCs w:val="15"/>
                <w:color w:val="231F20"/>
              </w:rPr>
              <w:t>(5,169 )</w:t>
            </w:r>
          </w:p>
        </w:tc>
        <w:tc>
          <w:tcPr>
            <w:tcW w:w="140" w:type="dxa"/>
            <w:vAlign w:val="bottom"/>
            <w:shd w:val="clear" w:color="auto" w:fill="FDFDFC"/>
          </w:tcPr>
          <w:p>
            <w:pPr>
              <w:spacing w:after="0"/>
              <w:rPr>
                <w:sz w:val="16"/>
                <w:szCs w:val="16"/>
                <w:color w:val="auto"/>
              </w:rPr>
            </w:pPr>
          </w:p>
        </w:tc>
        <w:tc>
          <w:tcPr>
            <w:tcW w:w="180" w:type="dxa"/>
            <w:vAlign w:val="bottom"/>
            <w:shd w:val="clear" w:color="auto" w:fill="FDFDFC"/>
          </w:tcPr>
          <w:p>
            <w:pPr>
              <w:spacing w:after="0"/>
              <w:rPr>
                <w:sz w:val="16"/>
                <w:szCs w:val="16"/>
                <w:color w:val="auto"/>
              </w:rPr>
            </w:pPr>
          </w:p>
        </w:tc>
        <w:tc>
          <w:tcPr>
            <w:tcW w:w="1300" w:type="dxa"/>
            <w:vAlign w:val="bottom"/>
            <w:gridSpan w:val="2"/>
            <w:shd w:val="clear" w:color="auto" w:fill="FDFDFC"/>
          </w:tcPr>
          <w:p>
            <w:pPr>
              <w:jc w:val="right"/>
              <w:ind w:right="22"/>
              <w:spacing w:after="0"/>
              <w:rPr>
                <w:sz w:val="20"/>
                <w:szCs w:val="20"/>
                <w:color w:val="auto"/>
              </w:rPr>
            </w:pPr>
            <w:r>
              <w:rPr>
                <w:rFonts w:ascii="Times New Roman" w:cs="Times New Roman" w:eastAsia="Times New Roman" w:hAnsi="Times New Roman"/>
                <w:sz w:val="15"/>
                <w:szCs w:val="15"/>
                <w:color w:val="231F20"/>
              </w:rPr>
              <w:t>(21,717 )</w:t>
            </w:r>
          </w:p>
        </w:tc>
        <w:tc>
          <w:tcPr>
            <w:tcW w:w="100" w:type="dxa"/>
            <w:vAlign w:val="bottom"/>
            <w:shd w:val="clear" w:color="auto" w:fill="FDFDFC"/>
          </w:tcPr>
          <w:p>
            <w:pPr>
              <w:spacing w:after="0"/>
              <w:rPr>
                <w:sz w:val="16"/>
                <w:szCs w:val="16"/>
                <w:color w:val="auto"/>
              </w:rPr>
            </w:pPr>
          </w:p>
        </w:tc>
        <w:tc>
          <w:tcPr>
            <w:tcW w:w="180" w:type="dxa"/>
            <w:vAlign w:val="bottom"/>
            <w:shd w:val="clear" w:color="auto" w:fill="FDFDFC"/>
          </w:tcPr>
          <w:p>
            <w:pPr>
              <w:spacing w:after="0"/>
              <w:rPr>
                <w:sz w:val="16"/>
                <w:szCs w:val="16"/>
                <w:color w:val="auto"/>
              </w:rPr>
            </w:pPr>
          </w:p>
        </w:tc>
        <w:tc>
          <w:tcPr>
            <w:tcW w:w="1180" w:type="dxa"/>
            <w:vAlign w:val="bottom"/>
            <w:shd w:val="clear" w:color="auto" w:fill="FDFDFC"/>
          </w:tcPr>
          <w:p>
            <w:pPr>
              <w:jc w:val="right"/>
              <w:spacing w:after="0"/>
              <w:rPr>
                <w:sz w:val="20"/>
                <w:szCs w:val="20"/>
                <w:color w:val="auto"/>
              </w:rPr>
            </w:pPr>
            <w:r>
              <w:rPr>
                <w:rFonts w:ascii="Times New Roman" w:cs="Times New Roman" w:eastAsia="Times New Roman" w:hAnsi="Times New Roman"/>
                <w:sz w:val="15"/>
                <w:szCs w:val="15"/>
                <w:color w:val="231F20"/>
              </w:rPr>
              <w:t>8,054</w:t>
            </w:r>
          </w:p>
        </w:tc>
        <w:tc>
          <w:tcPr>
            <w:tcW w:w="100" w:type="dxa"/>
            <w:vAlign w:val="bottom"/>
            <w:shd w:val="clear" w:color="auto" w:fill="FDFDFC"/>
          </w:tcPr>
          <w:p>
            <w:pPr>
              <w:spacing w:after="0"/>
              <w:rPr>
                <w:sz w:val="16"/>
                <w:szCs w:val="16"/>
                <w:color w:val="auto"/>
              </w:rPr>
            </w:pPr>
          </w:p>
        </w:tc>
      </w:tr>
      <w:tr>
        <w:trPr>
          <w:trHeight w:val="187"/>
        </w:trPr>
        <w:tc>
          <w:tcPr>
            <w:tcW w:w="5520" w:type="dxa"/>
            <w:vAlign w:val="bottom"/>
            <w:shd w:val="clear" w:color="auto" w:fill="D0EBF2"/>
          </w:tcPr>
          <w:p>
            <w:pPr>
              <w:ind w:left="180"/>
              <w:spacing w:after="0"/>
              <w:rPr>
                <w:sz w:val="20"/>
                <w:szCs w:val="20"/>
                <w:color w:val="auto"/>
              </w:rPr>
            </w:pPr>
            <w:r>
              <w:rPr>
                <w:rFonts w:ascii="Times New Roman" w:cs="Times New Roman" w:eastAsia="Times New Roman" w:hAnsi="Times New Roman"/>
                <w:sz w:val="15"/>
                <w:szCs w:val="15"/>
                <w:color w:val="231F20"/>
              </w:rPr>
              <w:t>Translation of other assets and liabilities in foreign currencies</w:t>
            </w:r>
          </w:p>
        </w:tc>
        <w:tc>
          <w:tcPr>
            <w:tcW w:w="80" w:type="dxa"/>
            <w:vAlign w:val="bottom"/>
            <w:shd w:val="clear" w:color="auto" w:fill="D0EBF2"/>
          </w:tcPr>
          <w:p>
            <w:pPr>
              <w:spacing w:after="0"/>
              <w:rPr>
                <w:sz w:val="16"/>
                <w:szCs w:val="16"/>
                <w:color w:val="auto"/>
              </w:rPr>
            </w:pPr>
          </w:p>
        </w:tc>
        <w:tc>
          <w:tcPr>
            <w:tcW w:w="1320" w:type="dxa"/>
            <w:vAlign w:val="bottom"/>
            <w:shd w:val="clear" w:color="auto" w:fill="D0EBF2"/>
          </w:tcPr>
          <w:p>
            <w:pPr>
              <w:jc w:val="right"/>
              <w:spacing w:after="0"/>
              <w:rPr>
                <w:sz w:val="20"/>
                <w:szCs w:val="20"/>
                <w:color w:val="auto"/>
              </w:rPr>
            </w:pPr>
            <w:r>
              <w:rPr>
                <w:rFonts w:ascii="Times New Roman" w:cs="Times New Roman" w:eastAsia="Times New Roman" w:hAnsi="Times New Roman"/>
                <w:sz w:val="15"/>
                <w:szCs w:val="15"/>
                <w:color w:val="231F20"/>
              </w:rPr>
              <w:t>13,379</w:t>
            </w:r>
          </w:p>
        </w:tc>
        <w:tc>
          <w:tcPr>
            <w:tcW w:w="100" w:type="dxa"/>
            <w:vAlign w:val="bottom"/>
            <w:shd w:val="clear" w:color="auto" w:fill="D0EBF2"/>
          </w:tcPr>
          <w:p>
            <w:pPr>
              <w:spacing w:after="0"/>
              <w:rPr>
                <w:sz w:val="16"/>
                <w:szCs w:val="16"/>
                <w:color w:val="auto"/>
              </w:rPr>
            </w:pPr>
          </w:p>
        </w:tc>
        <w:tc>
          <w:tcPr>
            <w:tcW w:w="140" w:type="dxa"/>
            <w:vAlign w:val="bottom"/>
            <w:shd w:val="clear" w:color="auto" w:fill="D0EBF2"/>
          </w:tcPr>
          <w:p>
            <w:pPr>
              <w:spacing w:after="0"/>
              <w:rPr>
                <w:sz w:val="16"/>
                <w:szCs w:val="16"/>
                <w:color w:val="auto"/>
              </w:rPr>
            </w:pPr>
          </w:p>
        </w:tc>
        <w:tc>
          <w:tcPr>
            <w:tcW w:w="180" w:type="dxa"/>
            <w:vAlign w:val="bottom"/>
            <w:shd w:val="clear" w:color="auto" w:fill="D0EBF2"/>
          </w:tcPr>
          <w:p>
            <w:pPr>
              <w:spacing w:after="0"/>
              <w:rPr>
                <w:sz w:val="16"/>
                <w:szCs w:val="16"/>
                <w:color w:val="auto"/>
              </w:rPr>
            </w:pPr>
          </w:p>
        </w:tc>
        <w:tc>
          <w:tcPr>
            <w:tcW w:w="1300" w:type="dxa"/>
            <w:vAlign w:val="bottom"/>
            <w:gridSpan w:val="2"/>
            <w:shd w:val="clear" w:color="auto" w:fill="D0EBF2"/>
          </w:tcPr>
          <w:p>
            <w:pPr>
              <w:jc w:val="right"/>
              <w:ind w:right="22"/>
              <w:spacing w:after="0"/>
              <w:rPr>
                <w:sz w:val="20"/>
                <w:szCs w:val="20"/>
                <w:color w:val="auto"/>
              </w:rPr>
            </w:pPr>
            <w:r>
              <w:rPr>
                <w:rFonts w:ascii="Times New Roman" w:cs="Times New Roman" w:eastAsia="Times New Roman" w:hAnsi="Times New Roman"/>
                <w:sz w:val="15"/>
                <w:szCs w:val="15"/>
                <w:color w:val="231F20"/>
              </w:rPr>
              <w:t>(6,393 )</w:t>
            </w:r>
          </w:p>
        </w:tc>
        <w:tc>
          <w:tcPr>
            <w:tcW w:w="100" w:type="dxa"/>
            <w:vAlign w:val="bottom"/>
            <w:shd w:val="clear" w:color="auto" w:fill="D0EBF2"/>
          </w:tcPr>
          <w:p>
            <w:pPr>
              <w:spacing w:after="0"/>
              <w:rPr>
                <w:sz w:val="16"/>
                <w:szCs w:val="16"/>
                <w:color w:val="auto"/>
              </w:rPr>
            </w:pPr>
          </w:p>
        </w:tc>
        <w:tc>
          <w:tcPr>
            <w:tcW w:w="180" w:type="dxa"/>
            <w:vAlign w:val="bottom"/>
            <w:shd w:val="clear" w:color="auto" w:fill="D0EBF2"/>
          </w:tcPr>
          <w:p>
            <w:pPr>
              <w:spacing w:after="0"/>
              <w:rPr>
                <w:sz w:val="16"/>
                <w:szCs w:val="16"/>
                <w:color w:val="auto"/>
              </w:rPr>
            </w:pPr>
          </w:p>
        </w:tc>
        <w:tc>
          <w:tcPr>
            <w:tcW w:w="1180" w:type="dxa"/>
            <w:vAlign w:val="bottom"/>
            <w:shd w:val="clear" w:color="auto" w:fill="D0EBF2"/>
          </w:tcPr>
          <w:p>
            <w:pPr>
              <w:jc w:val="right"/>
              <w:spacing w:after="0"/>
              <w:rPr>
                <w:sz w:val="20"/>
                <w:szCs w:val="20"/>
                <w:color w:val="auto"/>
              </w:rPr>
            </w:pPr>
            <w:r>
              <w:rPr>
                <w:rFonts w:ascii="Times New Roman" w:cs="Times New Roman" w:eastAsia="Times New Roman" w:hAnsi="Times New Roman"/>
                <w:sz w:val="15"/>
                <w:szCs w:val="15"/>
                <w:color w:val="231F20"/>
              </w:rPr>
              <w:t>8,721</w:t>
            </w:r>
          </w:p>
        </w:tc>
        <w:tc>
          <w:tcPr>
            <w:tcW w:w="100" w:type="dxa"/>
            <w:vAlign w:val="bottom"/>
            <w:shd w:val="clear" w:color="auto" w:fill="D0EBF2"/>
          </w:tcPr>
          <w:p>
            <w:pPr>
              <w:spacing w:after="0"/>
              <w:rPr>
                <w:sz w:val="16"/>
                <w:szCs w:val="16"/>
                <w:color w:val="auto"/>
              </w:rPr>
            </w:pPr>
          </w:p>
        </w:tc>
      </w:tr>
      <w:tr>
        <w:trPr>
          <w:trHeight w:val="187"/>
        </w:trPr>
        <w:tc>
          <w:tcPr>
            <w:tcW w:w="5520" w:type="dxa"/>
            <w:vAlign w:val="bottom"/>
            <w:shd w:val="clear" w:color="auto" w:fill="FDFDFC"/>
          </w:tcPr>
          <w:p>
            <w:pPr>
              <w:ind w:left="180"/>
              <w:spacing w:after="0"/>
              <w:rPr>
                <w:sz w:val="20"/>
                <w:szCs w:val="20"/>
                <w:color w:val="auto"/>
              </w:rPr>
            </w:pPr>
            <w:r>
              <w:rPr>
                <w:rFonts w:ascii="Times New Roman" w:cs="Times New Roman" w:eastAsia="Times New Roman" w:hAnsi="Times New Roman"/>
                <w:sz w:val="15"/>
                <w:szCs w:val="15"/>
                <w:color w:val="231F20"/>
              </w:rPr>
              <w:t>Interest rate swaps</w:t>
            </w:r>
          </w:p>
        </w:tc>
        <w:tc>
          <w:tcPr>
            <w:tcW w:w="80" w:type="dxa"/>
            <w:vAlign w:val="bottom"/>
            <w:shd w:val="clear" w:color="auto" w:fill="FDFDFC"/>
          </w:tcPr>
          <w:p>
            <w:pPr>
              <w:spacing w:after="0"/>
              <w:rPr>
                <w:sz w:val="16"/>
                <w:szCs w:val="16"/>
                <w:color w:val="auto"/>
              </w:rPr>
            </w:pPr>
          </w:p>
        </w:tc>
        <w:tc>
          <w:tcPr>
            <w:tcW w:w="1420" w:type="dxa"/>
            <w:vAlign w:val="bottom"/>
            <w:gridSpan w:val="2"/>
            <w:shd w:val="clear" w:color="auto" w:fill="FDFDFC"/>
          </w:tcPr>
          <w:p>
            <w:pPr>
              <w:jc w:val="right"/>
              <w:ind w:right="44"/>
              <w:spacing w:after="0"/>
              <w:rPr>
                <w:sz w:val="20"/>
                <w:szCs w:val="20"/>
                <w:color w:val="auto"/>
              </w:rPr>
            </w:pPr>
            <w:r>
              <w:rPr>
                <w:rFonts w:ascii="Times New Roman" w:cs="Times New Roman" w:eastAsia="Times New Roman" w:hAnsi="Times New Roman"/>
                <w:sz w:val="15"/>
                <w:szCs w:val="15"/>
                <w:color w:val="231F20"/>
              </w:rPr>
              <w:t>—</w:t>
            </w:r>
          </w:p>
        </w:tc>
        <w:tc>
          <w:tcPr>
            <w:tcW w:w="140" w:type="dxa"/>
            <w:vAlign w:val="bottom"/>
            <w:shd w:val="clear" w:color="auto" w:fill="FDFDFC"/>
          </w:tcPr>
          <w:p>
            <w:pPr>
              <w:spacing w:after="0"/>
              <w:rPr>
                <w:sz w:val="16"/>
                <w:szCs w:val="16"/>
                <w:color w:val="auto"/>
              </w:rPr>
            </w:pPr>
          </w:p>
        </w:tc>
        <w:tc>
          <w:tcPr>
            <w:tcW w:w="180" w:type="dxa"/>
            <w:vAlign w:val="bottom"/>
            <w:shd w:val="clear" w:color="auto" w:fill="FDFDFC"/>
          </w:tcPr>
          <w:p>
            <w:pPr>
              <w:spacing w:after="0"/>
              <w:rPr>
                <w:sz w:val="16"/>
                <w:szCs w:val="16"/>
                <w:color w:val="auto"/>
              </w:rPr>
            </w:pPr>
          </w:p>
        </w:tc>
        <w:tc>
          <w:tcPr>
            <w:tcW w:w="1200" w:type="dxa"/>
            <w:vAlign w:val="bottom"/>
            <w:shd w:val="clear" w:color="auto" w:fill="FDFDFC"/>
          </w:tcPr>
          <w:p>
            <w:pPr>
              <w:jc w:val="right"/>
              <w:spacing w:after="0"/>
              <w:rPr>
                <w:sz w:val="20"/>
                <w:szCs w:val="20"/>
                <w:color w:val="auto"/>
              </w:rPr>
            </w:pPr>
            <w:r>
              <w:rPr>
                <w:rFonts w:ascii="Times New Roman" w:cs="Times New Roman" w:eastAsia="Times New Roman" w:hAnsi="Times New Roman"/>
                <w:sz w:val="15"/>
                <w:szCs w:val="15"/>
                <w:color w:val="231F20"/>
              </w:rPr>
              <w:t>174</w:t>
            </w:r>
          </w:p>
        </w:tc>
        <w:tc>
          <w:tcPr>
            <w:tcW w:w="100" w:type="dxa"/>
            <w:vAlign w:val="bottom"/>
            <w:shd w:val="clear" w:color="auto" w:fill="FDFDFC"/>
          </w:tcPr>
          <w:p>
            <w:pPr>
              <w:spacing w:after="0"/>
              <w:rPr>
                <w:sz w:val="16"/>
                <w:szCs w:val="16"/>
                <w:color w:val="auto"/>
              </w:rPr>
            </w:pPr>
          </w:p>
        </w:tc>
        <w:tc>
          <w:tcPr>
            <w:tcW w:w="100" w:type="dxa"/>
            <w:vAlign w:val="bottom"/>
            <w:shd w:val="clear" w:color="auto" w:fill="FDFDFC"/>
          </w:tcPr>
          <w:p>
            <w:pPr>
              <w:spacing w:after="0"/>
              <w:rPr>
                <w:sz w:val="16"/>
                <w:szCs w:val="16"/>
                <w:color w:val="auto"/>
              </w:rPr>
            </w:pPr>
          </w:p>
        </w:tc>
        <w:tc>
          <w:tcPr>
            <w:tcW w:w="180" w:type="dxa"/>
            <w:vAlign w:val="bottom"/>
            <w:shd w:val="clear" w:color="auto" w:fill="FDFDFC"/>
          </w:tcPr>
          <w:p>
            <w:pPr>
              <w:spacing w:after="0"/>
              <w:rPr>
                <w:sz w:val="16"/>
                <w:szCs w:val="16"/>
                <w:color w:val="auto"/>
              </w:rPr>
            </w:pPr>
          </w:p>
        </w:tc>
        <w:tc>
          <w:tcPr>
            <w:tcW w:w="1280" w:type="dxa"/>
            <w:vAlign w:val="bottom"/>
            <w:gridSpan w:val="2"/>
            <w:shd w:val="clear" w:color="auto" w:fill="FDFDFC"/>
          </w:tcPr>
          <w:p>
            <w:pPr>
              <w:jc w:val="right"/>
              <w:ind w:right="22"/>
              <w:spacing w:after="0"/>
              <w:rPr>
                <w:sz w:val="20"/>
                <w:szCs w:val="20"/>
                <w:color w:val="auto"/>
              </w:rPr>
            </w:pPr>
            <w:r>
              <w:rPr>
                <w:rFonts w:ascii="Times New Roman" w:cs="Times New Roman" w:eastAsia="Times New Roman" w:hAnsi="Times New Roman"/>
                <w:sz w:val="15"/>
                <w:szCs w:val="15"/>
                <w:color w:val="231F20"/>
              </w:rPr>
              <w:t>(6,748 )</w:t>
            </w:r>
          </w:p>
        </w:tc>
      </w:tr>
      <w:tr>
        <w:trPr>
          <w:trHeight w:val="207"/>
        </w:trPr>
        <w:tc>
          <w:tcPr>
            <w:tcW w:w="5520" w:type="dxa"/>
            <w:vAlign w:val="bottom"/>
            <w:shd w:val="clear" w:color="auto" w:fill="D0EBF2"/>
          </w:tcPr>
          <w:p>
            <w:pPr>
              <w:ind w:left="180"/>
              <w:spacing w:after="0"/>
              <w:rPr>
                <w:sz w:val="20"/>
                <w:szCs w:val="20"/>
                <w:color w:val="auto"/>
              </w:rPr>
            </w:pPr>
            <w:r>
              <w:rPr>
                <w:rFonts w:ascii="Times New Roman" w:cs="Times New Roman" w:eastAsia="Times New Roman" w:hAnsi="Times New Roman"/>
                <w:sz w:val="15"/>
                <w:szCs w:val="15"/>
                <w:color w:val="231F20"/>
              </w:rPr>
              <w:t>Income tax provision</w:t>
            </w:r>
          </w:p>
        </w:tc>
        <w:tc>
          <w:tcPr>
            <w:tcW w:w="80" w:type="dxa"/>
            <w:vAlign w:val="bottom"/>
            <w:shd w:val="clear" w:color="auto" w:fill="D0EBF2"/>
          </w:tcPr>
          <w:p>
            <w:pPr>
              <w:spacing w:after="0"/>
              <w:rPr>
                <w:sz w:val="17"/>
                <w:szCs w:val="17"/>
                <w:color w:val="auto"/>
              </w:rPr>
            </w:pPr>
          </w:p>
        </w:tc>
        <w:tc>
          <w:tcPr>
            <w:tcW w:w="1420" w:type="dxa"/>
            <w:vAlign w:val="bottom"/>
            <w:gridSpan w:val="2"/>
            <w:shd w:val="clear" w:color="auto" w:fill="D0EBF2"/>
          </w:tcPr>
          <w:p>
            <w:pPr>
              <w:jc w:val="right"/>
              <w:spacing w:after="0"/>
              <w:rPr>
                <w:sz w:val="20"/>
                <w:szCs w:val="20"/>
                <w:color w:val="auto"/>
              </w:rPr>
            </w:pPr>
            <w:r>
              <w:rPr>
                <w:rFonts w:ascii="Times New Roman" w:cs="Times New Roman" w:eastAsia="Times New Roman" w:hAnsi="Times New Roman"/>
                <w:sz w:val="15"/>
                <w:szCs w:val="15"/>
                <w:color w:val="231F20"/>
              </w:rPr>
              <w:t>(2,609 )</w:t>
            </w:r>
          </w:p>
        </w:tc>
        <w:tc>
          <w:tcPr>
            <w:tcW w:w="140" w:type="dxa"/>
            <w:vAlign w:val="bottom"/>
            <w:shd w:val="clear" w:color="auto" w:fill="D0EBF2"/>
          </w:tcPr>
          <w:p>
            <w:pPr>
              <w:spacing w:after="0"/>
              <w:rPr>
                <w:sz w:val="17"/>
                <w:szCs w:val="17"/>
                <w:color w:val="auto"/>
              </w:rPr>
            </w:pPr>
          </w:p>
        </w:tc>
        <w:tc>
          <w:tcPr>
            <w:tcW w:w="180" w:type="dxa"/>
            <w:vAlign w:val="bottom"/>
            <w:shd w:val="clear" w:color="auto" w:fill="D0EBF2"/>
          </w:tcPr>
          <w:p>
            <w:pPr>
              <w:spacing w:after="0"/>
              <w:rPr>
                <w:sz w:val="17"/>
                <w:szCs w:val="17"/>
                <w:color w:val="auto"/>
              </w:rPr>
            </w:pPr>
          </w:p>
        </w:tc>
        <w:tc>
          <w:tcPr>
            <w:tcW w:w="1200" w:type="dxa"/>
            <w:vAlign w:val="bottom"/>
            <w:shd w:val="clear" w:color="auto" w:fill="D0EBF2"/>
          </w:tcPr>
          <w:p>
            <w:pPr>
              <w:jc w:val="right"/>
              <w:spacing w:after="0"/>
              <w:rPr>
                <w:sz w:val="20"/>
                <w:szCs w:val="20"/>
                <w:color w:val="auto"/>
              </w:rPr>
            </w:pPr>
            <w:r>
              <w:rPr>
                <w:rFonts w:ascii="Times New Roman" w:cs="Times New Roman" w:eastAsia="Times New Roman" w:hAnsi="Times New Roman"/>
                <w:sz w:val="15"/>
                <w:szCs w:val="15"/>
                <w:color w:val="231F20"/>
              </w:rPr>
              <w:t>556</w:t>
            </w:r>
          </w:p>
        </w:tc>
        <w:tc>
          <w:tcPr>
            <w:tcW w:w="100" w:type="dxa"/>
            <w:vAlign w:val="bottom"/>
            <w:shd w:val="clear" w:color="auto" w:fill="D0EBF2"/>
          </w:tcPr>
          <w:p>
            <w:pPr>
              <w:spacing w:after="0"/>
              <w:rPr>
                <w:sz w:val="17"/>
                <w:szCs w:val="17"/>
                <w:color w:val="auto"/>
              </w:rPr>
            </w:pPr>
          </w:p>
        </w:tc>
        <w:tc>
          <w:tcPr>
            <w:tcW w:w="100" w:type="dxa"/>
            <w:vAlign w:val="bottom"/>
            <w:shd w:val="clear" w:color="auto" w:fill="D0EBF2"/>
          </w:tcPr>
          <w:p>
            <w:pPr>
              <w:spacing w:after="0"/>
              <w:rPr>
                <w:sz w:val="17"/>
                <w:szCs w:val="17"/>
                <w:color w:val="auto"/>
              </w:rPr>
            </w:pPr>
          </w:p>
        </w:tc>
        <w:tc>
          <w:tcPr>
            <w:tcW w:w="180" w:type="dxa"/>
            <w:vAlign w:val="bottom"/>
            <w:shd w:val="clear" w:color="auto" w:fill="D0EBF2"/>
          </w:tcPr>
          <w:p>
            <w:pPr>
              <w:spacing w:after="0"/>
              <w:rPr>
                <w:sz w:val="17"/>
                <w:szCs w:val="17"/>
                <w:color w:val="auto"/>
              </w:rPr>
            </w:pPr>
          </w:p>
        </w:tc>
        <w:tc>
          <w:tcPr>
            <w:tcW w:w="1280" w:type="dxa"/>
            <w:vAlign w:val="bottom"/>
            <w:gridSpan w:val="2"/>
            <w:shd w:val="clear" w:color="auto" w:fill="D0EBF2"/>
          </w:tcPr>
          <w:p>
            <w:pPr>
              <w:jc w:val="right"/>
              <w:ind w:right="22"/>
              <w:spacing w:after="0"/>
              <w:rPr>
                <w:sz w:val="20"/>
                <w:szCs w:val="20"/>
                <w:color w:val="auto"/>
              </w:rPr>
            </w:pPr>
            <w:r>
              <w:rPr>
                <w:rFonts w:ascii="Times New Roman" w:cs="Times New Roman" w:eastAsia="Times New Roman" w:hAnsi="Times New Roman"/>
                <w:sz w:val="15"/>
                <w:szCs w:val="15"/>
                <w:color w:val="231F20"/>
              </w:rPr>
              <w:t>(561 )</w:t>
            </w:r>
          </w:p>
        </w:tc>
      </w:tr>
      <w:tr>
        <w:trPr>
          <w:trHeight w:val="156"/>
        </w:trPr>
        <w:tc>
          <w:tcPr>
            <w:tcW w:w="5520" w:type="dxa"/>
            <w:vAlign w:val="bottom"/>
            <w:tcBorders>
              <w:top w:val="single" w:sz="8" w:color="D0EBF2"/>
              <w:bottom w:val="single" w:sz="8" w:color="D0EBF2"/>
            </w:tcBorders>
            <w:shd w:val="clear" w:color="auto" w:fill="FDFDFC"/>
          </w:tcPr>
          <w:p>
            <w:pPr>
              <w:ind w:left="560"/>
              <w:spacing w:after="0" w:line="156" w:lineRule="exact"/>
              <w:rPr>
                <w:sz w:val="20"/>
                <w:szCs w:val="20"/>
                <w:color w:val="auto"/>
              </w:rPr>
            </w:pPr>
            <w:r>
              <w:rPr>
                <w:rFonts w:ascii="Times New Roman" w:cs="Times New Roman" w:eastAsia="Times New Roman" w:hAnsi="Times New Roman"/>
                <w:sz w:val="15"/>
                <w:szCs w:val="15"/>
                <w:color w:val="231F20"/>
              </w:rPr>
              <w:t>Total net change in unrealized gains (losses)</w:t>
            </w:r>
          </w:p>
        </w:tc>
        <w:tc>
          <w:tcPr>
            <w:tcW w:w="80" w:type="dxa"/>
            <w:vAlign w:val="bottom"/>
            <w:tcBorders>
              <w:top w:val="single" w:sz="8" w:color="231F20"/>
              <w:bottom w:val="single" w:sz="8" w:color="231F20"/>
            </w:tcBorders>
            <w:shd w:val="clear" w:color="auto" w:fill="FDFDFC"/>
          </w:tcPr>
          <w:p>
            <w:pPr>
              <w:spacing w:after="0"/>
              <w:rPr>
                <w:sz w:val="13"/>
                <w:szCs w:val="13"/>
                <w:color w:val="auto"/>
              </w:rPr>
            </w:pPr>
          </w:p>
        </w:tc>
        <w:tc>
          <w:tcPr>
            <w:tcW w:w="1320" w:type="dxa"/>
            <w:vAlign w:val="bottom"/>
            <w:tcBorders>
              <w:top w:val="single" w:sz="8" w:color="231F20"/>
              <w:bottom w:val="single" w:sz="8" w:color="231F20"/>
            </w:tcBorders>
            <w:shd w:val="clear" w:color="auto" w:fill="FDFDFC"/>
          </w:tcPr>
          <w:p>
            <w:pPr>
              <w:jc w:val="right"/>
              <w:spacing w:after="0" w:line="156" w:lineRule="exact"/>
              <w:rPr>
                <w:sz w:val="20"/>
                <w:szCs w:val="20"/>
                <w:color w:val="auto"/>
              </w:rPr>
            </w:pPr>
            <w:r>
              <w:rPr>
                <w:rFonts w:ascii="Times New Roman" w:cs="Times New Roman" w:eastAsia="Times New Roman" w:hAnsi="Times New Roman"/>
                <w:sz w:val="15"/>
                <w:szCs w:val="15"/>
                <w:color w:val="231F20"/>
              </w:rPr>
              <w:t>(42,024</w:t>
            </w:r>
          </w:p>
        </w:tc>
        <w:tc>
          <w:tcPr>
            <w:tcW w:w="100" w:type="dxa"/>
            <w:vAlign w:val="bottom"/>
            <w:tcBorders>
              <w:top w:val="single" w:sz="8" w:color="D0EBF2"/>
              <w:bottom w:val="single" w:sz="8" w:color="D0EBF2"/>
            </w:tcBorders>
            <w:shd w:val="clear" w:color="auto" w:fill="FDFDFC"/>
          </w:tcPr>
          <w:p>
            <w:pPr>
              <w:jc w:val="right"/>
              <w:spacing w:after="0" w:line="156" w:lineRule="exact"/>
              <w:rPr>
                <w:sz w:val="20"/>
                <w:szCs w:val="20"/>
                <w:color w:val="auto"/>
              </w:rPr>
            </w:pPr>
            <w:r>
              <w:rPr>
                <w:rFonts w:ascii="Times New Roman" w:cs="Times New Roman" w:eastAsia="Times New Roman" w:hAnsi="Times New Roman"/>
                <w:sz w:val="15"/>
                <w:szCs w:val="15"/>
                <w:color w:val="231F20"/>
                <w:highlight w:val="white"/>
                <w:w w:val="79"/>
              </w:rPr>
              <w:t>)</w:t>
            </w:r>
          </w:p>
        </w:tc>
        <w:tc>
          <w:tcPr>
            <w:tcW w:w="140" w:type="dxa"/>
            <w:vAlign w:val="bottom"/>
            <w:tcBorders>
              <w:top w:val="single" w:sz="8" w:color="231F20"/>
              <w:bottom w:val="single" w:sz="8" w:color="231F20"/>
            </w:tcBorders>
            <w:shd w:val="clear" w:color="auto" w:fill="FDFDFC"/>
          </w:tcPr>
          <w:p>
            <w:pPr>
              <w:spacing w:after="0"/>
              <w:rPr>
                <w:sz w:val="13"/>
                <w:szCs w:val="13"/>
                <w:color w:val="auto"/>
              </w:rPr>
            </w:pPr>
          </w:p>
        </w:tc>
        <w:tc>
          <w:tcPr>
            <w:tcW w:w="180" w:type="dxa"/>
            <w:vAlign w:val="bottom"/>
            <w:tcBorders>
              <w:top w:val="single" w:sz="8" w:color="231F20"/>
              <w:bottom w:val="single" w:sz="8" w:color="231F20"/>
            </w:tcBorders>
            <w:shd w:val="clear" w:color="auto" w:fill="FDFDFC"/>
          </w:tcPr>
          <w:p>
            <w:pPr>
              <w:spacing w:after="0"/>
              <w:rPr>
                <w:sz w:val="13"/>
                <w:szCs w:val="13"/>
                <w:color w:val="auto"/>
              </w:rPr>
            </w:pPr>
          </w:p>
        </w:tc>
        <w:tc>
          <w:tcPr>
            <w:tcW w:w="1200" w:type="dxa"/>
            <w:vAlign w:val="bottom"/>
            <w:tcBorders>
              <w:top w:val="single" w:sz="8" w:color="231F20"/>
              <w:bottom w:val="single" w:sz="8" w:color="231F20"/>
            </w:tcBorders>
            <w:shd w:val="clear" w:color="auto" w:fill="FDFDFC"/>
          </w:tcPr>
          <w:p>
            <w:pPr>
              <w:jc w:val="right"/>
              <w:spacing w:after="0" w:line="156" w:lineRule="exact"/>
              <w:rPr>
                <w:sz w:val="20"/>
                <w:szCs w:val="20"/>
                <w:color w:val="auto"/>
              </w:rPr>
            </w:pPr>
            <w:r>
              <w:rPr>
                <w:rFonts w:ascii="Times New Roman" w:cs="Times New Roman" w:eastAsia="Times New Roman" w:hAnsi="Times New Roman"/>
                <w:sz w:val="15"/>
                <w:szCs w:val="15"/>
                <w:color w:val="231F20"/>
              </w:rPr>
              <w:t>13,191</w:t>
            </w:r>
          </w:p>
        </w:tc>
        <w:tc>
          <w:tcPr>
            <w:tcW w:w="100" w:type="dxa"/>
            <w:vAlign w:val="bottom"/>
            <w:tcBorders>
              <w:top w:val="single" w:sz="8" w:color="D0EBF2"/>
              <w:bottom w:val="single" w:sz="8" w:color="D0EBF2"/>
            </w:tcBorders>
            <w:shd w:val="clear" w:color="auto" w:fill="FDFDFC"/>
          </w:tcPr>
          <w:p>
            <w:pPr>
              <w:spacing w:after="0"/>
              <w:rPr>
                <w:sz w:val="13"/>
                <w:szCs w:val="13"/>
                <w:color w:val="auto"/>
              </w:rPr>
            </w:pPr>
          </w:p>
        </w:tc>
        <w:tc>
          <w:tcPr>
            <w:tcW w:w="100" w:type="dxa"/>
            <w:vAlign w:val="bottom"/>
            <w:tcBorders>
              <w:top w:val="single" w:sz="8" w:color="D0EBF2"/>
              <w:bottom w:val="single" w:sz="8" w:color="D0EBF2"/>
            </w:tcBorders>
            <w:shd w:val="clear" w:color="auto" w:fill="FDFDFC"/>
          </w:tcPr>
          <w:p>
            <w:pPr>
              <w:spacing w:after="0"/>
              <w:rPr>
                <w:sz w:val="13"/>
                <w:szCs w:val="13"/>
                <w:color w:val="auto"/>
              </w:rPr>
            </w:pPr>
          </w:p>
        </w:tc>
        <w:tc>
          <w:tcPr>
            <w:tcW w:w="180" w:type="dxa"/>
            <w:vAlign w:val="bottom"/>
            <w:tcBorders>
              <w:top w:val="single" w:sz="8" w:color="231F20"/>
              <w:bottom w:val="single" w:sz="8" w:color="231F20"/>
            </w:tcBorders>
            <w:shd w:val="clear" w:color="auto" w:fill="FDFDFC"/>
          </w:tcPr>
          <w:p>
            <w:pPr>
              <w:spacing w:after="0"/>
              <w:rPr>
                <w:sz w:val="13"/>
                <w:szCs w:val="13"/>
                <w:color w:val="auto"/>
              </w:rPr>
            </w:pPr>
          </w:p>
        </w:tc>
        <w:tc>
          <w:tcPr>
            <w:tcW w:w="1180" w:type="dxa"/>
            <w:vAlign w:val="bottom"/>
            <w:tcBorders>
              <w:top w:val="single" w:sz="8" w:color="231F20"/>
              <w:bottom w:val="single" w:sz="8" w:color="231F20"/>
            </w:tcBorders>
            <w:shd w:val="clear" w:color="auto" w:fill="FDFDFC"/>
          </w:tcPr>
          <w:p>
            <w:pPr>
              <w:jc w:val="right"/>
              <w:spacing w:after="0" w:line="156" w:lineRule="exact"/>
              <w:rPr>
                <w:sz w:val="20"/>
                <w:szCs w:val="20"/>
                <w:color w:val="auto"/>
              </w:rPr>
            </w:pPr>
            <w:r>
              <w:rPr>
                <w:rFonts w:ascii="Times New Roman" w:cs="Times New Roman" w:eastAsia="Times New Roman" w:hAnsi="Times New Roman"/>
                <w:sz w:val="15"/>
                <w:szCs w:val="15"/>
                <w:color w:val="231F20"/>
              </w:rPr>
              <w:t>(74,969</w:t>
            </w:r>
          </w:p>
        </w:tc>
        <w:tc>
          <w:tcPr>
            <w:tcW w:w="100" w:type="dxa"/>
            <w:vAlign w:val="bottom"/>
            <w:tcBorders>
              <w:top w:val="single" w:sz="8" w:color="D0EBF2"/>
              <w:bottom w:val="single" w:sz="8" w:color="D0EBF2"/>
            </w:tcBorders>
            <w:shd w:val="clear" w:color="auto" w:fill="FDFDFC"/>
          </w:tcPr>
          <w:p>
            <w:pPr>
              <w:jc w:val="right"/>
              <w:ind w:right="22"/>
              <w:spacing w:after="0"/>
              <w:rPr>
                <w:sz w:val="20"/>
                <w:szCs w:val="20"/>
                <w:color w:val="auto"/>
              </w:rPr>
            </w:pPr>
            <w:r>
              <w:rPr>
                <w:rFonts w:ascii="Times New Roman" w:cs="Times New Roman" w:eastAsia="Times New Roman" w:hAnsi="Times New Roman"/>
                <w:sz w:val="8"/>
                <w:szCs w:val="8"/>
                <w:color w:val="231F20"/>
                <w:highlight w:val="white"/>
                <w:w w:val="73"/>
              </w:rPr>
              <w:t>)</w:t>
            </w:r>
          </w:p>
        </w:tc>
      </w:tr>
      <w:tr>
        <w:trPr>
          <w:trHeight w:val="176"/>
        </w:trPr>
        <w:tc>
          <w:tcPr>
            <w:tcW w:w="5520" w:type="dxa"/>
            <w:vAlign w:val="bottom"/>
            <w:shd w:val="clear" w:color="auto" w:fill="D0EBF2"/>
          </w:tcPr>
          <w:p>
            <w:pPr>
              <w:spacing w:after="0"/>
              <w:rPr>
                <w:sz w:val="20"/>
                <w:szCs w:val="20"/>
                <w:color w:val="auto"/>
              </w:rPr>
            </w:pPr>
            <w:r>
              <w:rPr>
                <w:rFonts w:ascii="Times New Roman" w:cs="Times New Roman" w:eastAsia="Times New Roman" w:hAnsi="Times New Roman"/>
                <w:sz w:val="15"/>
                <w:szCs w:val="15"/>
                <w:color w:val="231F20"/>
              </w:rPr>
              <w:t>Realized gains (losses):</w:t>
            </w:r>
          </w:p>
        </w:tc>
        <w:tc>
          <w:tcPr>
            <w:tcW w:w="80" w:type="dxa"/>
            <w:vAlign w:val="bottom"/>
            <w:shd w:val="clear" w:color="auto" w:fill="D0EBF2"/>
          </w:tcPr>
          <w:p>
            <w:pPr>
              <w:spacing w:after="0"/>
              <w:rPr>
                <w:sz w:val="15"/>
                <w:szCs w:val="15"/>
                <w:color w:val="auto"/>
              </w:rPr>
            </w:pPr>
          </w:p>
        </w:tc>
        <w:tc>
          <w:tcPr>
            <w:tcW w:w="1320" w:type="dxa"/>
            <w:vAlign w:val="bottom"/>
            <w:shd w:val="clear" w:color="auto" w:fill="D0EBF2"/>
          </w:tcPr>
          <w:p>
            <w:pPr>
              <w:spacing w:after="0"/>
              <w:rPr>
                <w:sz w:val="15"/>
                <w:szCs w:val="15"/>
                <w:color w:val="auto"/>
              </w:rPr>
            </w:pPr>
          </w:p>
        </w:tc>
        <w:tc>
          <w:tcPr>
            <w:tcW w:w="100" w:type="dxa"/>
            <w:vAlign w:val="bottom"/>
            <w:shd w:val="clear" w:color="auto" w:fill="D0EBF2"/>
          </w:tcPr>
          <w:p>
            <w:pPr>
              <w:spacing w:after="0"/>
              <w:rPr>
                <w:sz w:val="15"/>
                <w:szCs w:val="15"/>
                <w:color w:val="auto"/>
              </w:rPr>
            </w:pPr>
          </w:p>
        </w:tc>
        <w:tc>
          <w:tcPr>
            <w:tcW w:w="140" w:type="dxa"/>
            <w:vAlign w:val="bottom"/>
            <w:shd w:val="clear" w:color="auto" w:fill="D0EBF2"/>
          </w:tcPr>
          <w:p>
            <w:pPr>
              <w:spacing w:after="0"/>
              <w:rPr>
                <w:sz w:val="15"/>
                <w:szCs w:val="15"/>
                <w:color w:val="auto"/>
              </w:rPr>
            </w:pPr>
          </w:p>
        </w:tc>
        <w:tc>
          <w:tcPr>
            <w:tcW w:w="180" w:type="dxa"/>
            <w:vAlign w:val="bottom"/>
            <w:shd w:val="clear" w:color="auto" w:fill="D0EBF2"/>
          </w:tcPr>
          <w:p>
            <w:pPr>
              <w:spacing w:after="0"/>
              <w:rPr>
                <w:sz w:val="15"/>
                <w:szCs w:val="15"/>
                <w:color w:val="auto"/>
              </w:rPr>
            </w:pPr>
          </w:p>
        </w:tc>
        <w:tc>
          <w:tcPr>
            <w:tcW w:w="1200" w:type="dxa"/>
            <w:vAlign w:val="bottom"/>
            <w:shd w:val="clear" w:color="auto" w:fill="D0EBF2"/>
          </w:tcPr>
          <w:p>
            <w:pPr>
              <w:spacing w:after="0"/>
              <w:rPr>
                <w:sz w:val="15"/>
                <w:szCs w:val="15"/>
                <w:color w:val="auto"/>
              </w:rPr>
            </w:pPr>
          </w:p>
        </w:tc>
        <w:tc>
          <w:tcPr>
            <w:tcW w:w="100" w:type="dxa"/>
            <w:vAlign w:val="bottom"/>
            <w:shd w:val="clear" w:color="auto" w:fill="D0EBF2"/>
          </w:tcPr>
          <w:p>
            <w:pPr>
              <w:spacing w:after="0"/>
              <w:rPr>
                <w:sz w:val="15"/>
                <w:szCs w:val="15"/>
                <w:color w:val="auto"/>
              </w:rPr>
            </w:pPr>
          </w:p>
        </w:tc>
        <w:tc>
          <w:tcPr>
            <w:tcW w:w="100" w:type="dxa"/>
            <w:vAlign w:val="bottom"/>
            <w:shd w:val="clear" w:color="auto" w:fill="D0EBF2"/>
          </w:tcPr>
          <w:p>
            <w:pPr>
              <w:spacing w:after="0"/>
              <w:rPr>
                <w:sz w:val="15"/>
                <w:szCs w:val="15"/>
                <w:color w:val="auto"/>
              </w:rPr>
            </w:pPr>
          </w:p>
        </w:tc>
        <w:tc>
          <w:tcPr>
            <w:tcW w:w="180" w:type="dxa"/>
            <w:vAlign w:val="bottom"/>
            <w:shd w:val="clear" w:color="auto" w:fill="D0EBF2"/>
          </w:tcPr>
          <w:p>
            <w:pPr>
              <w:spacing w:after="0"/>
              <w:rPr>
                <w:sz w:val="15"/>
                <w:szCs w:val="15"/>
                <w:color w:val="auto"/>
              </w:rPr>
            </w:pPr>
          </w:p>
        </w:tc>
        <w:tc>
          <w:tcPr>
            <w:tcW w:w="1180" w:type="dxa"/>
            <w:vAlign w:val="bottom"/>
            <w:shd w:val="clear" w:color="auto" w:fill="D0EBF2"/>
          </w:tcPr>
          <w:p>
            <w:pPr>
              <w:spacing w:after="0"/>
              <w:rPr>
                <w:sz w:val="15"/>
                <w:szCs w:val="15"/>
                <w:color w:val="auto"/>
              </w:rPr>
            </w:pPr>
          </w:p>
        </w:tc>
        <w:tc>
          <w:tcPr>
            <w:tcW w:w="100" w:type="dxa"/>
            <w:vAlign w:val="bottom"/>
            <w:shd w:val="clear" w:color="auto" w:fill="D0EBF2"/>
          </w:tcPr>
          <w:p>
            <w:pPr>
              <w:spacing w:after="0"/>
              <w:rPr>
                <w:sz w:val="15"/>
                <w:szCs w:val="15"/>
                <w:color w:val="auto"/>
              </w:rPr>
            </w:pPr>
          </w:p>
        </w:tc>
      </w:tr>
      <w:tr>
        <w:trPr>
          <w:trHeight w:val="187"/>
        </w:trPr>
        <w:tc>
          <w:tcPr>
            <w:tcW w:w="5520" w:type="dxa"/>
            <w:vAlign w:val="bottom"/>
            <w:shd w:val="clear" w:color="auto" w:fill="FDFDFC"/>
          </w:tcPr>
          <w:p>
            <w:pPr>
              <w:ind w:left="180"/>
              <w:spacing w:after="0"/>
              <w:rPr>
                <w:sz w:val="20"/>
                <w:szCs w:val="20"/>
                <w:color w:val="auto"/>
              </w:rPr>
            </w:pPr>
            <w:r>
              <w:rPr>
                <w:rFonts w:ascii="Times New Roman" w:cs="Times New Roman" w:eastAsia="Times New Roman" w:hAnsi="Times New Roman"/>
                <w:sz w:val="15"/>
                <w:szCs w:val="15"/>
                <w:color w:val="231F20"/>
              </w:rPr>
              <w:t>Non-controlled, non-affiliated investments</w:t>
            </w:r>
          </w:p>
        </w:tc>
        <w:tc>
          <w:tcPr>
            <w:tcW w:w="80" w:type="dxa"/>
            <w:vAlign w:val="bottom"/>
            <w:shd w:val="clear" w:color="auto" w:fill="FDFDFC"/>
          </w:tcPr>
          <w:p>
            <w:pPr>
              <w:spacing w:after="0"/>
              <w:rPr>
                <w:sz w:val="16"/>
                <w:szCs w:val="16"/>
                <w:color w:val="auto"/>
              </w:rPr>
            </w:pPr>
          </w:p>
        </w:tc>
        <w:tc>
          <w:tcPr>
            <w:tcW w:w="1320" w:type="dxa"/>
            <w:vAlign w:val="bottom"/>
            <w:shd w:val="clear" w:color="auto" w:fill="FDFDFC"/>
          </w:tcPr>
          <w:p>
            <w:pPr>
              <w:jc w:val="right"/>
              <w:spacing w:after="0"/>
              <w:rPr>
                <w:sz w:val="20"/>
                <w:szCs w:val="20"/>
                <w:color w:val="auto"/>
              </w:rPr>
            </w:pPr>
            <w:r>
              <w:rPr>
                <w:rFonts w:ascii="Times New Roman" w:cs="Times New Roman" w:eastAsia="Times New Roman" w:hAnsi="Times New Roman"/>
                <w:sz w:val="15"/>
                <w:szCs w:val="15"/>
                <w:color w:val="231F20"/>
              </w:rPr>
              <w:t>9,037</w:t>
            </w:r>
          </w:p>
        </w:tc>
        <w:tc>
          <w:tcPr>
            <w:tcW w:w="100" w:type="dxa"/>
            <w:vAlign w:val="bottom"/>
            <w:shd w:val="clear" w:color="auto" w:fill="FDFDFC"/>
          </w:tcPr>
          <w:p>
            <w:pPr>
              <w:spacing w:after="0"/>
              <w:rPr>
                <w:sz w:val="16"/>
                <w:szCs w:val="16"/>
                <w:color w:val="auto"/>
              </w:rPr>
            </w:pPr>
          </w:p>
        </w:tc>
        <w:tc>
          <w:tcPr>
            <w:tcW w:w="140" w:type="dxa"/>
            <w:vAlign w:val="bottom"/>
            <w:shd w:val="clear" w:color="auto" w:fill="FDFDFC"/>
          </w:tcPr>
          <w:p>
            <w:pPr>
              <w:spacing w:after="0"/>
              <w:rPr>
                <w:sz w:val="16"/>
                <w:szCs w:val="16"/>
                <w:color w:val="auto"/>
              </w:rPr>
            </w:pPr>
          </w:p>
        </w:tc>
        <w:tc>
          <w:tcPr>
            <w:tcW w:w="180" w:type="dxa"/>
            <w:vAlign w:val="bottom"/>
            <w:shd w:val="clear" w:color="auto" w:fill="FDFDFC"/>
          </w:tcPr>
          <w:p>
            <w:pPr>
              <w:spacing w:after="0"/>
              <w:rPr>
                <w:sz w:val="16"/>
                <w:szCs w:val="16"/>
                <w:color w:val="auto"/>
              </w:rPr>
            </w:pPr>
          </w:p>
        </w:tc>
        <w:tc>
          <w:tcPr>
            <w:tcW w:w="1200" w:type="dxa"/>
            <w:vAlign w:val="bottom"/>
            <w:shd w:val="clear" w:color="auto" w:fill="FDFDFC"/>
          </w:tcPr>
          <w:p>
            <w:pPr>
              <w:jc w:val="right"/>
              <w:spacing w:after="0"/>
              <w:rPr>
                <w:sz w:val="20"/>
                <w:szCs w:val="20"/>
                <w:color w:val="auto"/>
              </w:rPr>
            </w:pPr>
            <w:r>
              <w:rPr>
                <w:rFonts w:ascii="Times New Roman" w:cs="Times New Roman" w:eastAsia="Times New Roman" w:hAnsi="Times New Roman"/>
                <w:sz w:val="15"/>
                <w:szCs w:val="15"/>
                <w:color w:val="231F20"/>
              </w:rPr>
              <w:t>12,095</w:t>
            </w:r>
          </w:p>
        </w:tc>
        <w:tc>
          <w:tcPr>
            <w:tcW w:w="100" w:type="dxa"/>
            <w:vAlign w:val="bottom"/>
            <w:shd w:val="clear" w:color="auto" w:fill="FDFDFC"/>
          </w:tcPr>
          <w:p>
            <w:pPr>
              <w:spacing w:after="0"/>
              <w:rPr>
                <w:sz w:val="16"/>
                <w:szCs w:val="16"/>
                <w:color w:val="auto"/>
              </w:rPr>
            </w:pPr>
          </w:p>
        </w:tc>
        <w:tc>
          <w:tcPr>
            <w:tcW w:w="100" w:type="dxa"/>
            <w:vAlign w:val="bottom"/>
            <w:shd w:val="clear" w:color="auto" w:fill="FDFDFC"/>
          </w:tcPr>
          <w:p>
            <w:pPr>
              <w:spacing w:after="0"/>
              <w:rPr>
                <w:sz w:val="16"/>
                <w:szCs w:val="16"/>
                <w:color w:val="auto"/>
              </w:rPr>
            </w:pPr>
          </w:p>
        </w:tc>
        <w:tc>
          <w:tcPr>
            <w:tcW w:w="180" w:type="dxa"/>
            <w:vAlign w:val="bottom"/>
            <w:shd w:val="clear" w:color="auto" w:fill="FDFDFC"/>
          </w:tcPr>
          <w:p>
            <w:pPr>
              <w:spacing w:after="0"/>
              <w:rPr>
                <w:sz w:val="16"/>
                <w:szCs w:val="16"/>
                <w:color w:val="auto"/>
              </w:rPr>
            </w:pPr>
          </w:p>
        </w:tc>
        <w:tc>
          <w:tcPr>
            <w:tcW w:w="1180" w:type="dxa"/>
            <w:vAlign w:val="bottom"/>
            <w:shd w:val="clear" w:color="auto" w:fill="FDFDFC"/>
          </w:tcPr>
          <w:p>
            <w:pPr>
              <w:jc w:val="right"/>
              <w:spacing w:after="0"/>
              <w:rPr>
                <w:sz w:val="20"/>
                <w:szCs w:val="20"/>
                <w:color w:val="auto"/>
              </w:rPr>
            </w:pPr>
            <w:r>
              <w:rPr>
                <w:rFonts w:ascii="Times New Roman" w:cs="Times New Roman" w:eastAsia="Times New Roman" w:hAnsi="Times New Roman"/>
                <w:sz w:val="15"/>
                <w:szCs w:val="15"/>
                <w:color w:val="231F20"/>
              </w:rPr>
              <w:t>1,072</w:t>
            </w:r>
          </w:p>
        </w:tc>
        <w:tc>
          <w:tcPr>
            <w:tcW w:w="100" w:type="dxa"/>
            <w:vAlign w:val="bottom"/>
            <w:shd w:val="clear" w:color="auto" w:fill="FDFDFC"/>
          </w:tcPr>
          <w:p>
            <w:pPr>
              <w:spacing w:after="0"/>
              <w:rPr>
                <w:sz w:val="16"/>
                <w:szCs w:val="16"/>
                <w:color w:val="auto"/>
              </w:rPr>
            </w:pPr>
          </w:p>
        </w:tc>
      </w:tr>
      <w:tr>
        <w:trPr>
          <w:trHeight w:val="187"/>
        </w:trPr>
        <w:tc>
          <w:tcPr>
            <w:tcW w:w="5520" w:type="dxa"/>
            <w:vAlign w:val="bottom"/>
            <w:shd w:val="clear" w:color="auto" w:fill="D0EBF2"/>
          </w:tcPr>
          <w:p>
            <w:pPr>
              <w:ind w:left="180"/>
              <w:spacing w:after="0"/>
              <w:rPr>
                <w:sz w:val="20"/>
                <w:szCs w:val="20"/>
                <w:color w:val="auto"/>
              </w:rPr>
            </w:pPr>
            <w:r>
              <w:rPr>
                <w:rFonts w:ascii="Times New Roman" w:cs="Times New Roman" w:eastAsia="Times New Roman" w:hAnsi="Times New Roman"/>
                <w:sz w:val="15"/>
                <w:szCs w:val="15"/>
                <w:color w:val="231F20"/>
              </w:rPr>
              <w:t>Non-controlled, affiliated investments</w:t>
            </w:r>
          </w:p>
        </w:tc>
        <w:tc>
          <w:tcPr>
            <w:tcW w:w="80" w:type="dxa"/>
            <w:vAlign w:val="bottom"/>
            <w:shd w:val="clear" w:color="auto" w:fill="D0EBF2"/>
          </w:tcPr>
          <w:p>
            <w:pPr>
              <w:spacing w:after="0"/>
              <w:rPr>
                <w:sz w:val="16"/>
                <w:szCs w:val="16"/>
                <w:color w:val="auto"/>
              </w:rPr>
            </w:pPr>
          </w:p>
        </w:tc>
        <w:tc>
          <w:tcPr>
            <w:tcW w:w="1420" w:type="dxa"/>
            <w:vAlign w:val="bottom"/>
            <w:gridSpan w:val="2"/>
            <w:shd w:val="clear" w:color="auto" w:fill="D0EBF2"/>
          </w:tcPr>
          <w:p>
            <w:pPr>
              <w:jc w:val="right"/>
              <w:ind w:right="44"/>
              <w:spacing w:after="0"/>
              <w:rPr>
                <w:sz w:val="20"/>
                <w:szCs w:val="20"/>
                <w:color w:val="auto"/>
              </w:rPr>
            </w:pPr>
            <w:r>
              <w:rPr>
                <w:rFonts w:ascii="Times New Roman" w:cs="Times New Roman" w:eastAsia="Times New Roman" w:hAnsi="Times New Roman"/>
                <w:sz w:val="15"/>
                <w:szCs w:val="15"/>
                <w:color w:val="231F20"/>
              </w:rPr>
              <w:t>—</w:t>
            </w:r>
          </w:p>
        </w:tc>
        <w:tc>
          <w:tcPr>
            <w:tcW w:w="140" w:type="dxa"/>
            <w:vAlign w:val="bottom"/>
            <w:shd w:val="clear" w:color="auto" w:fill="D0EBF2"/>
          </w:tcPr>
          <w:p>
            <w:pPr>
              <w:spacing w:after="0"/>
              <w:rPr>
                <w:sz w:val="16"/>
                <w:szCs w:val="16"/>
                <w:color w:val="auto"/>
              </w:rPr>
            </w:pPr>
          </w:p>
        </w:tc>
        <w:tc>
          <w:tcPr>
            <w:tcW w:w="180" w:type="dxa"/>
            <w:vAlign w:val="bottom"/>
            <w:shd w:val="clear" w:color="auto" w:fill="D0EBF2"/>
          </w:tcPr>
          <w:p>
            <w:pPr>
              <w:spacing w:after="0"/>
              <w:rPr>
                <w:sz w:val="16"/>
                <w:szCs w:val="16"/>
                <w:color w:val="auto"/>
              </w:rPr>
            </w:pPr>
          </w:p>
        </w:tc>
        <w:tc>
          <w:tcPr>
            <w:tcW w:w="1200" w:type="dxa"/>
            <w:vAlign w:val="bottom"/>
            <w:shd w:val="clear" w:color="auto" w:fill="D0EBF2"/>
          </w:tcPr>
          <w:p>
            <w:pPr>
              <w:jc w:val="right"/>
              <w:spacing w:after="0"/>
              <w:rPr>
                <w:sz w:val="20"/>
                <w:szCs w:val="20"/>
                <w:color w:val="auto"/>
              </w:rPr>
            </w:pPr>
            <w:r>
              <w:rPr>
                <w:rFonts w:ascii="Times New Roman" w:cs="Times New Roman" w:eastAsia="Times New Roman" w:hAnsi="Times New Roman"/>
                <w:sz w:val="15"/>
                <w:szCs w:val="15"/>
                <w:color w:val="231F20"/>
              </w:rPr>
              <w:t>158</w:t>
            </w:r>
          </w:p>
        </w:tc>
        <w:tc>
          <w:tcPr>
            <w:tcW w:w="100" w:type="dxa"/>
            <w:vAlign w:val="bottom"/>
            <w:shd w:val="clear" w:color="auto" w:fill="D0EBF2"/>
          </w:tcPr>
          <w:p>
            <w:pPr>
              <w:spacing w:after="0"/>
              <w:rPr>
                <w:sz w:val="16"/>
                <w:szCs w:val="16"/>
                <w:color w:val="auto"/>
              </w:rPr>
            </w:pPr>
          </w:p>
        </w:tc>
        <w:tc>
          <w:tcPr>
            <w:tcW w:w="100" w:type="dxa"/>
            <w:vAlign w:val="bottom"/>
            <w:shd w:val="clear" w:color="auto" w:fill="D0EBF2"/>
          </w:tcPr>
          <w:p>
            <w:pPr>
              <w:spacing w:after="0"/>
              <w:rPr>
                <w:sz w:val="16"/>
                <w:szCs w:val="16"/>
                <w:color w:val="auto"/>
              </w:rPr>
            </w:pPr>
          </w:p>
        </w:tc>
        <w:tc>
          <w:tcPr>
            <w:tcW w:w="180" w:type="dxa"/>
            <w:vAlign w:val="bottom"/>
            <w:shd w:val="clear" w:color="auto" w:fill="D0EBF2"/>
          </w:tcPr>
          <w:p>
            <w:pPr>
              <w:spacing w:after="0"/>
              <w:rPr>
                <w:sz w:val="16"/>
                <w:szCs w:val="16"/>
                <w:color w:val="auto"/>
              </w:rPr>
            </w:pPr>
          </w:p>
        </w:tc>
        <w:tc>
          <w:tcPr>
            <w:tcW w:w="1180" w:type="dxa"/>
            <w:vAlign w:val="bottom"/>
            <w:shd w:val="clear" w:color="auto" w:fill="D0EBF2"/>
          </w:tcPr>
          <w:p>
            <w:pPr>
              <w:jc w:val="right"/>
              <w:spacing w:after="0"/>
              <w:rPr>
                <w:sz w:val="20"/>
                <w:szCs w:val="20"/>
                <w:color w:val="auto"/>
              </w:rPr>
            </w:pPr>
            <w:r>
              <w:rPr>
                <w:rFonts w:ascii="Times New Roman" w:cs="Times New Roman" w:eastAsia="Times New Roman" w:hAnsi="Times New Roman"/>
                <w:sz w:val="15"/>
                <w:szCs w:val="15"/>
                <w:color w:val="231F20"/>
              </w:rPr>
              <w:t>13,608</w:t>
            </w:r>
          </w:p>
        </w:tc>
        <w:tc>
          <w:tcPr>
            <w:tcW w:w="100" w:type="dxa"/>
            <w:vAlign w:val="bottom"/>
            <w:shd w:val="clear" w:color="auto" w:fill="D0EBF2"/>
          </w:tcPr>
          <w:p>
            <w:pPr>
              <w:spacing w:after="0"/>
              <w:rPr>
                <w:sz w:val="16"/>
                <w:szCs w:val="16"/>
                <w:color w:val="auto"/>
              </w:rPr>
            </w:pPr>
          </w:p>
        </w:tc>
      </w:tr>
      <w:tr>
        <w:trPr>
          <w:trHeight w:val="187"/>
        </w:trPr>
        <w:tc>
          <w:tcPr>
            <w:tcW w:w="5520" w:type="dxa"/>
            <w:vAlign w:val="bottom"/>
            <w:shd w:val="clear" w:color="auto" w:fill="FDFDFC"/>
          </w:tcPr>
          <w:p>
            <w:pPr>
              <w:ind w:left="180"/>
              <w:spacing w:after="0"/>
              <w:rPr>
                <w:sz w:val="20"/>
                <w:szCs w:val="20"/>
                <w:color w:val="auto"/>
              </w:rPr>
            </w:pPr>
            <w:r>
              <w:rPr>
                <w:rFonts w:ascii="Times New Roman" w:cs="Times New Roman" w:eastAsia="Times New Roman" w:hAnsi="Times New Roman"/>
                <w:sz w:val="15"/>
                <w:szCs w:val="15"/>
                <w:color w:val="231F20"/>
              </w:rPr>
              <w:t>Controlled, affiliated investments</w:t>
            </w:r>
          </w:p>
        </w:tc>
        <w:tc>
          <w:tcPr>
            <w:tcW w:w="80" w:type="dxa"/>
            <w:vAlign w:val="bottom"/>
            <w:shd w:val="clear" w:color="auto" w:fill="FDFDFC"/>
          </w:tcPr>
          <w:p>
            <w:pPr>
              <w:spacing w:after="0"/>
              <w:rPr>
                <w:sz w:val="16"/>
                <w:szCs w:val="16"/>
                <w:color w:val="auto"/>
              </w:rPr>
            </w:pPr>
          </w:p>
        </w:tc>
        <w:tc>
          <w:tcPr>
            <w:tcW w:w="1420" w:type="dxa"/>
            <w:vAlign w:val="bottom"/>
            <w:gridSpan w:val="2"/>
            <w:shd w:val="clear" w:color="auto" w:fill="FDFDFC"/>
          </w:tcPr>
          <w:p>
            <w:pPr>
              <w:jc w:val="right"/>
              <w:ind w:right="44"/>
              <w:spacing w:after="0"/>
              <w:rPr>
                <w:sz w:val="20"/>
                <w:szCs w:val="20"/>
                <w:color w:val="auto"/>
              </w:rPr>
            </w:pPr>
            <w:r>
              <w:rPr>
                <w:rFonts w:ascii="Times New Roman" w:cs="Times New Roman" w:eastAsia="Times New Roman" w:hAnsi="Times New Roman"/>
                <w:sz w:val="15"/>
                <w:szCs w:val="15"/>
                <w:color w:val="231F20"/>
              </w:rPr>
              <w:t>—</w:t>
            </w:r>
          </w:p>
        </w:tc>
        <w:tc>
          <w:tcPr>
            <w:tcW w:w="140" w:type="dxa"/>
            <w:vAlign w:val="bottom"/>
            <w:shd w:val="clear" w:color="auto" w:fill="FDFDFC"/>
          </w:tcPr>
          <w:p>
            <w:pPr>
              <w:spacing w:after="0"/>
              <w:rPr>
                <w:sz w:val="16"/>
                <w:szCs w:val="16"/>
                <w:color w:val="auto"/>
              </w:rPr>
            </w:pPr>
          </w:p>
        </w:tc>
        <w:tc>
          <w:tcPr>
            <w:tcW w:w="180" w:type="dxa"/>
            <w:vAlign w:val="bottom"/>
            <w:shd w:val="clear" w:color="auto" w:fill="FDFDFC"/>
          </w:tcPr>
          <w:p>
            <w:pPr>
              <w:spacing w:after="0"/>
              <w:rPr>
                <w:sz w:val="16"/>
                <w:szCs w:val="16"/>
                <w:color w:val="auto"/>
              </w:rPr>
            </w:pPr>
          </w:p>
        </w:tc>
        <w:tc>
          <w:tcPr>
            <w:tcW w:w="1300" w:type="dxa"/>
            <w:vAlign w:val="bottom"/>
            <w:gridSpan w:val="2"/>
            <w:shd w:val="clear" w:color="auto" w:fill="FDFDFC"/>
          </w:tcPr>
          <w:p>
            <w:pPr>
              <w:jc w:val="right"/>
              <w:ind w:right="102"/>
              <w:spacing w:after="0"/>
              <w:rPr>
                <w:sz w:val="20"/>
                <w:szCs w:val="20"/>
                <w:color w:val="auto"/>
              </w:rPr>
            </w:pPr>
            <w:r>
              <w:rPr>
                <w:rFonts w:ascii="Times New Roman" w:cs="Times New Roman" w:eastAsia="Times New Roman" w:hAnsi="Times New Roman"/>
                <w:sz w:val="15"/>
                <w:szCs w:val="15"/>
                <w:color w:val="231F20"/>
              </w:rPr>
              <w:t>—</w:t>
            </w:r>
          </w:p>
        </w:tc>
        <w:tc>
          <w:tcPr>
            <w:tcW w:w="100" w:type="dxa"/>
            <w:vAlign w:val="bottom"/>
            <w:shd w:val="clear" w:color="auto" w:fill="FDFDFC"/>
          </w:tcPr>
          <w:p>
            <w:pPr>
              <w:spacing w:after="0"/>
              <w:rPr>
                <w:sz w:val="16"/>
                <w:szCs w:val="16"/>
                <w:color w:val="auto"/>
              </w:rPr>
            </w:pPr>
          </w:p>
        </w:tc>
        <w:tc>
          <w:tcPr>
            <w:tcW w:w="180" w:type="dxa"/>
            <w:vAlign w:val="bottom"/>
            <w:shd w:val="clear" w:color="auto" w:fill="FDFDFC"/>
          </w:tcPr>
          <w:p>
            <w:pPr>
              <w:spacing w:after="0"/>
              <w:rPr>
                <w:sz w:val="16"/>
                <w:szCs w:val="16"/>
                <w:color w:val="auto"/>
              </w:rPr>
            </w:pPr>
          </w:p>
        </w:tc>
        <w:tc>
          <w:tcPr>
            <w:tcW w:w="1180" w:type="dxa"/>
            <w:vAlign w:val="bottom"/>
            <w:shd w:val="clear" w:color="auto" w:fill="FDFDFC"/>
          </w:tcPr>
          <w:p>
            <w:pPr>
              <w:jc w:val="right"/>
              <w:spacing w:after="0"/>
              <w:rPr>
                <w:sz w:val="20"/>
                <w:szCs w:val="20"/>
                <w:color w:val="auto"/>
              </w:rPr>
            </w:pPr>
            <w:r>
              <w:rPr>
                <w:rFonts w:ascii="Times New Roman" w:cs="Times New Roman" w:eastAsia="Times New Roman" w:hAnsi="Times New Roman"/>
                <w:sz w:val="15"/>
                <w:szCs w:val="15"/>
                <w:color w:val="231F20"/>
              </w:rPr>
              <w:t>55</w:t>
            </w:r>
          </w:p>
        </w:tc>
        <w:tc>
          <w:tcPr>
            <w:tcW w:w="100" w:type="dxa"/>
            <w:vAlign w:val="bottom"/>
            <w:shd w:val="clear" w:color="auto" w:fill="FDFDFC"/>
          </w:tcPr>
          <w:p>
            <w:pPr>
              <w:spacing w:after="0"/>
              <w:rPr>
                <w:sz w:val="16"/>
                <w:szCs w:val="16"/>
                <w:color w:val="auto"/>
              </w:rPr>
            </w:pPr>
          </w:p>
        </w:tc>
      </w:tr>
      <w:tr>
        <w:trPr>
          <w:trHeight w:val="187"/>
        </w:trPr>
        <w:tc>
          <w:tcPr>
            <w:tcW w:w="5520" w:type="dxa"/>
            <w:vAlign w:val="bottom"/>
            <w:shd w:val="clear" w:color="auto" w:fill="D0EBF2"/>
          </w:tcPr>
          <w:p>
            <w:pPr>
              <w:ind w:left="180"/>
              <w:spacing w:after="0"/>
              <w:rPr>
                <w:sz w:val="20"/>
                <w:szCs w:val="20"/>
                <w:color w:val="auto"/>
              </w:rPr>
            </w:pPr>
            <w:r>
              <w:rPr>
                <w:rFonts w:ascii="Times New Roman" w:cs="Times New Roman" w:eastAsia="Times New Roman" w:hAnsi="Times New Roman"/>
                <w:sz w:val="15"/>
                <w:szCs w:val="15"/>
                <w:color w:val="231F20"/>
              </w:rPr>
              <w:t>Interest rate swaps</w:t>
            </w:r>
          </w:p>
        </w:tc>
        <w:tc>
          <w:tcPr>
            <w:tcW w:w="80" w:type="dxa"/>
            <w:vAlign w:val="bottom"/>
            <w:shd w:val="clear" w:color="auto" w:fill="D0EBF2"/>
          </w:tcPr>
          <w:p>
            <w:pPr>
              <w:spacing w:after="0"/>
              <w:rPr>
                <w:sz w:val="16"/>
                <w:szCs w:val="16"/>
                <w:color w:val="auto"/>
              </w:rPr>
            </w:pPr>
          </w:p>
        </w:tc>
        <w:tc>
          <w:tcPr>
            <w:tcW w:w="1420" w:type="dxa"/>
            <w:vAlign w:val="bottom"/>
            <w:gridSpan w:val="2"/>
            <w:shd w:val="clear" w:color="auto" w:fill="D0EBF2"/>
          </w:tcPr>
          <w:p>
            <w:pPr>
              <w:jc w:val="right"/>
              <w:ind w:right="44"/>
              <w:spacing w:after="0"/>
              <w:rPr>
                <w:sz w:val="20"/>
                <w:szCs w:val="20"/>
                <w:color w:val="auto"/>
              </w:rPr>
            </w:pPr>
            <w:r>
              <w:rPr>
                <w:rFonts w:ascii="Times New Roman" w:cs="Times New Roman" w:eastAsia="Times New Roman" w:hAnsi="Times New Roman"/>
                <w:sz w:val="15"/>
                <w:szCs w:val="15"/>
                <w:color w:val="231F20"/>
              </w:rPr>
              <w:t>—</w:t>
            </w:r>
          </w:p>
        </w:tc>
        <w:tc>
          <w:tcPr>
            <w:tcW w:w="140" w:type="dxa"/>
            <w:vAlign w:val="bottom"/>
            <w:shd w:val="clear" w:color="auto" w:fill="D0EBF2"/>
          </w:tcPr>
          <w:p>
            <w:pPr>
              <w:spacing w:after="0"/>
              <w:rPr>
                <w:sz w:val="16"/>
                <w:szCs w:val="16"/>
                <w:color w:val="auto"/>
              </w:rPr>
            </w:pPr>
          </w:p>
        </w:tc>
        <w:tc>
          <w:tcPr>
            <w:tcW w:w="180" w:type="dxa"/>
            <w:vAlign w:val="bottom"/>
            <w:shd w:val="clear" w:color="auto" w:fill="D0EBF2"/>
          </w:tcPr>
          <w:p>
            <w:pPr>
              <w:spacing w:after="0"/>
              <w:rPr>
                <w:sz w:val="16"/>
                <w:szCs w:val="16"/>
                <w:color w:val="auto"/>
              </w:rPr>
            </w:pPr>
          </w:p>
        </w:tc>
        <w:tc>
          <w:tcPr>
            <w:tcW w:w="1300" w:type="dxa"/>
            <w:vAlign w:val="bottom"/>
            <w:gridSpan w:val="2"/>
            <w:shd w:val="clear" w:color="auto" w:fill="D0EBF2"/>
          </w:tcPr>
          <w:p>
            <w:pPr>
              <w:jc w:val="right"/>
              <w:ind w:right="102"/>
              <w:spacing w:after="0"/>
              <w:rPr>
                <w:sz w:val="20"/>
                <w:szCs w:val="20"/>
                <w:color w:val="auto"/>
              </w:rPr>
            </w:pPr>
            <w:r>
              <w:rPr>
                <w:rFonts w:ascii="Times New Roman" w:cs="Times New Roman" w:eastAsia="Times New Roman" w:hAnsi="Times New Roman"/>
                <w:sz w:val="15"/>
                <w:szCs w:val="15"/>
                <w:color w:val="231F20"/>
              </w:rPr>
              <w:t>—</w:t>
            </w:r>
          </w:p>
        </w:tc>
        <w:tc>
          <w:tcPr>
            <w:tcW w:w="100" w:type="dxa"/>
            <w:vAlign w:val="bottom"/>
            <w:shd w:val="clear" w:color="auto" w:fill="D0EBF2"/>
          </w:tcPr>
          <w:p>
            <w:pPr>
              <w:spacing w:after="0"/>
              <w:rPr>
                <w:sz w:val="16"/>
                <w:szCs w:val="16"/>
                <w:color w:val="auto"/>
              </w:rPr>
            </w:pPr>
          </w:p>
        </w:tc>
        <w:tc>
          <w:tcPr>
            <w:tcW w:w="180" w:type="dxa"/>
            <w:vAlign w:val="bottom"/>
            <w:shd w:val="clear" w:color="auto" w:fill="D0EBF2"/>
          </w:tcPr>
          <w:p>
            <w:pPr>
              <w:spacing w:after="0"/>
              <w:rPr>
                <w:sz w:val="16"/>
                <w:szCs w:val="16"/>
                <w:color w:val="auto"/>
              </w:rPr>
            </w:pPr>
          </w:p>
        </w:tc>
        <w:tc>
          <w:tcPr>
            <w:tcW w:w="1180" w:type="dxa"/>
            <w:vAlign w:val="bottom"/>
            <w:shd w:val="clear" w:color="auto" w:fill="D0EBF2"/>
          </w:tcPr>
          <w:p>
            <w:pPr>
              <w:jc w:val="right"/>
              <w:spacing w:after="0"/>
              <w:rPr>
                <w:sz w:val="20"/>
                <w:szCs w:val="20"/>
                <w:color w:val="auto"/>
              </w:rPr>
            </w:pPr>
            <w:r>
              <w:rPr>
                <w:rFonts w:ascii="Times New Roman" w:cs="Times New Roman" w:eastAsia="Times New Roman" w:hAnsi="Times New Roman"/>
                <w:sz w:val="15"/>
                <w:szCs w:val="15"/>
                <w:color w:val="231F20"/>
              </w:rPr>
              <w:t>2,251</w:t>
            </w:r>
          </w:p>
        </w:tc>
        <w:tc>
          <w:tcPr>
            <w:tcW w:w="100" w:type="dxa"/>
            <w:vAlign w:val="bottom"/>
            <w:shd w:val="clear" w:color="auto" w:fill="D0EBF2"/>
          </w:tcPr>
          <w:p>
            <w:pPr>
              <w:spacing w:after="0"/>
              <w:rPr>
                <w:sz w:val="16"/>
                <w:szCs w:val="16"/>
                <w:color w:val="auto"/>
              </w:rPr>
            </w:pPr>
          </w:p>
        </w:tc>
      </w:tr>
      <w:tr>
        <w:trPr>
          <w:trHeight w:val="187"/>
        </w:trPr>
        <w:tc>
          <w:tcPr>
            <w:tcW w:w="5520" w:type="dxa"/>
            <w:vAlign w:val="bottom"/>
            <w:shd w:val="clear" w:color="auto" w:fill="FDFDFC"/>
          </w:tcPr>
          <w:p>
            <w:pPr>
              <w:ind w:left="180"/>
              <w:spacing w:after="0"/>
              <w:rPr>
                <w:sz w:val="20"/>
                <w:szCs w:val="20"/>
                <w:color w:val="auto"/>
              </w:rPr>
            </w:pPr>
            <w:r>
              <w:rPr>
                <w:rFonts w:ascii="Times New Roman" w:cs="Times New Roman" w:eastAsia="Times New Roman" w:hAnsi="Times New Roman"/>
                <w:sz w:val="15"/>
                <w:szCs w:val="15"/>
                <w:color w:val="231F20"/>
              </w:rPr>
              <w:t>Foreign currency transactions</w:t>
            </w:r>
          </w:p>
        </w:tc>
        <w:tc>
          <w:tcPr>
            <w:tcW w:w="80" w:type="dxa"/>
            <w:vAlign w:val="bottom"/>
            <w:shd w:val="clear" w:color="auto" w:fill="FDFDFC"/>
          </w:tcPr>
          <w:p>
            <w:pPr>
              <w:spacing w:after="0"/>
              <w:rPr>
                <w:sz w:val="16"/>
                <w:szCs w:val="16"/>
                <w:color w:val="auto"/>
              </w:rPr>
            </w:pPr>
          </w:p>
        </w:tc>
        <w:tc>
          <w:tcPr>
            <w:tcW w:w="1420" w:type="dxa"/>
            <w:vAlign w:val="bottom"/>
            <w:gridSpan w:val="2"/>
            <w:shd w:val="clear" w:color="auto" w:fill="FDFDFC"/>
          </w:tcPr>
          <w:p>
            <w:pPr>
              <w:jc w:val="right"/>
              <w:spacing w:after="0"/>
              <w:rPr>
                <w:sz w:val="20"/>
                <w:szCs w:val="20"/>
                <w:color w:val="auto"/>
              </w:rPr>
            </w:pPr>
            <w:r>
              <w:rPr>
                <w:rFonts w:ascii="Times New Roman" w:cs="Times New Roman" w:eastAsia="Times New Roman" w:hAnsi="Times New Roman"/>
                <w:sz w:val="15"/>
                <w:szCs w:val="15"/>
                <w:color w:val="231F20"/>
              </w:rPr>
              <w:t>(464 )</w:t>
            </w:r>
          </w:p>
        </w:tc>
        <w:tc>
          <w:tcPr>
            <w:tcW w:w="140" w:type="dxa"/>
            <w:vAlign w:val="bottom"/>
            <w:shd w:val="clear" w:color="auto" w:fill="FDFDFC"/>
          </w:tcPr>
          <w:p>
            <w:pPr>
              <w:spacing w:after="0"/>
              <w:rPr>
                <w:sz w:val="16"/>
                <w:szCs w:val="16"/>
                <w:color w:val="auto"/>
              </w:rPr>
            </w:pPr>
          </w:p>
        </w:tc>
        <w:tc>
          <w:tcPr>
            <w:tcW w:w="180" w:type="dxa"/>
            <w:vAlign w:val="bottom"/>
            <w:shd w:val="clear" w:color="auto" w:fill="FDFDFC"/>
          </w:tcPr>
          <w:p>
            <w:pPr>
              <w:spacing w:after="0"/>
              <w:rPr>
                <w:sz w:val="16"/>
                <w:szCs w:val="16"/>
                <w:color w:val="auto"/>
              </w:rPr>
            </w:pPr>
          </w:p>
        </w:tc>
        <w:tc>
          <w:tcPr>
            <w:tcW w:w="1200" w:type="dxa"/>
            <w:vAlign w:val="bottom"/>
            <w:shd w:val="clear" w:color="auto" w:fill="FDFDFC"/>
          </w:tcPr>
          <w:p>
            <w:pPr>
              <w:jc w:val="right"/>
              <w:spacing w:after="0"/>
              <w:rPr>
                <w:sz w:val="20"/>
                <w:szCs w:val="20"/>
                <w:color w:val="auto"/>
              </w:rPr>
            </w:pPr>
            <w:r>
              <w:rPr>
                <w:rFonts w:ascii="Times New Roman" w:cs="Times New Roman" w:eastAsia="Times New Roman" w:hAnsi="Times New Roman"/>
                <w:sz w:val="15"/>
                <w:szCs w:val="15"/>
                <w:color w:val="231F20"/>
              </w:rPr>
              <w:t>180</w:t>
            </w:r>
          </w:p>
        </w:tc>
        <w:tc>
          <w:tcPr>
            <w:tcW w:w="100" w:type="dxa"/>
            <w:vAlign w:val="bottom"/>
            <w:shd w:val="clear" w:color="auto" w:fill="FDFDFC"/>
          </w:tcPr>
          <w:p>
            <w:pPr>
              <w:spacing w:after="0"/>
              <w:rPr>
                <w:sz w:val="16"/>
                <w:szCs w:val="16"/>
                <w:color w:val="auto"/>
              </w:rPr>
            </w:pPr>
          </w:p>
        </w:tc>
        <w:tc>
          <w:tcPr>
            <w:tcW w:w="100" w:type="dxa"/>
            <w:vAlign w:val="bottom"/>
            <w:shd w:val="clear" w:color="auto" w:fill="FDFDFC"/>
          </w:tcPr>
          <w:p>
            <w:pPr>
              <w:spacing w:after="0"/>
              <w:rPr>
                <w:sz w:val="16"/>
                <w:szCs w:val="16"/>
                <w:color w:val="auto"/>
              </w:rPr>
            </w:pPr>
          </w:p>
        </w:tc>
        <w:tc>
          <w:tcPr>
            <w:tcW w:w="180" w:type="dxa"/>
            <w:vAlign w:val="bottom"/>
            <w:shd w:val="clear" w:color="auto" w:fill="FDFDFC"/>
          </w:tcPr>
          <w:p>
            <w:pPr>
              <w:spacing w:after="0"/>
              <w:rPr>
                <w:sz w:val="16"/>
                <w:szCs w:val="16"/>
                <w:color w:val="auto"/>
              </w:rPr>
            </w:pPr>
          </w:p>
        </w:tc>
        <w:tc>
          <w:tcPr>
            <w:tcW w:w="1280" w:type="dxa"/>
            <w:vAlign w:val="bottom"/>
            <w:gridSpan w:val="2"/>
            <w:shd w:val="clear" w:color="auto" w:fill="FDFDFC"/>
          </w:tcPr>
          <w:p>
            <w:pPr>
              <w:jc w:val="right"/>
              <w:ind w:right="22"/>
              <w:spacing w:after="0"/>
              <w:rPr>
                <w:sz w:val="20"/>
                <w:szCs w:val="20"/>
                <w:color w:val="auto"/>
              </w:rPr>
            </w:pPr>
            <w:r>
              <w:rPr>
                <w:rFonts w:ascii="Times New Roman" w:cs="Times New Roman" w:eastAsia="Times New Roman" w:hAnsi="Times New Roman"/>
                <w:sz w:val="15"/>
                <w:szCs w:val="15"/>
                <w:color w:val="231F20"/>
              </w:rPr>
              <w:t>(291 )</w:t>
            </w:r>
          </w:p>
        </w:tc>
      </w:tr>
      <w:tr>
        <w:trPr>
          <w:trHeight w:val="201"/>
        </w:trPr>
        <w:tc>
          <w:tcPr>
            <w:tcW w:w="5520" w:type="dxa"/>
            <w:vAlign w:val="bottom"/>
            <w:tcBorders>
              <w:top w:val="single" w:sz="8" w:color="D0EBF2"/>
              <w:bottom w:val="single" w:sz="8" w:color="D0EBF2"/>
            </w:tcBorders>
            <w:shd w:val="clear" w:color="auto" w:fill="D0EBF2"/>
          </w:tcPr>
          <w:p>
            <w:pPr>
              <w:ind w:left="560"/>
              <w:spacing w:after="0"/>
              <w:rPr>
                <w:sz w:val="20"/>
                <w:szCs w:val="20"/>
                <w:color w:val="auto"/>
              </w:rPr>
            </w:pPr>
            <w:r>
              <w:rPr>
                <w:rFonts w:ascii="Times New Roman" w:cs="Times New Roman" w:eastAsia="Times New Roman" w:hAnsi="Times New Roman"/>
                <w:sz w:val="15"/>
                <w:szCs w:val="15"/>
                <w:color w:val="231F20"/>
              </w:rPr>
              <w:t>Total net realized gains (losses)</w:t>
            </w:r>
          </w:p>
        </w:tc>
        <w:tc>
          <w:tcPr>
            <w:tcW w:w="80" w:type="dxa"/>
            <w:vAlign w:val="bottom"/>
            <w:tcBorders>
              <w:top w:val="single" w:sz="8" w:color="231F20"/>
              <w:bottom w:val="single" w:sz="8" w:color="231F20"/>
            </w:tcBorders>
            <w:shd w:val="clear" w:color="auto" w:fill="D0EBF2"/>
          </w:tcPr>
          <w:p>
            <w:pPr>
              <w:spacing w:after="0"/>
              <w:rPr>
                <w:sz w:val="17"/>
                <w:szCs w:val="17"/>
                <w:color w:val="auto"/>
              </w:rPr>
            </w:pPr>
          </w:p>
        </w:tc>
        <w:tc>
          <w:tcPr>
            <w:tcW w:w="1320" w:type="dxa"/>
            <w:vAlign w:val="bottom"/>
            <w:tcBorders>
              <w:top w:val="single" w:sz="8" w:color="231F20"/>
              <w:bottom w:val="single" w:sz="8" w:color="231F20"/>
            </w:tcBorders>
            <w:shd w:val="clear" w:color="auto" w:fill="D0EBF2"/>
          </w:tcPr>
          <w:p>
            <w:pPr>
              <w:jc w:val="right"/>
              <w:spacing w:after="0"/>
              <w:rPr>
                <w:sz w:val="20"/>
                <w:szCs w:val="20"/>
                <w:color w:val="auto"/>
              </w:rPr>
            </w:pPr>
            <w:r>
              <w:rPr>
                <w:rFonts w:ascii="Times New Roman" w:cs="Times New Roman" w:eastAsia="Times New Roman" w:hAnsi="Times New Roman"/>
                <w:sz w:val="15"/>
                <w:szCs w:val="15"/>
                <w:color w:val="231F20"/>
              </w:rPr>
              <w:t>8,573</w:t>
            </w:r>
          </w:p>
        </w:tc>
        <w:tc>
          <w:tcPr>
            <w:tcW w:w="100" w:type="dxa"/>
            <w:vAlign w:val="bottom"/>
            <w:tcBorders>
              <w:top w:val="single" w:sz="8" w:color="D0EBF2"/>
              <w:bottom w:val="single" w:sz="8" w:color="D0EBF2"/>
            </w:tcBorders>
            <w:shd w:val="clear" w:color="auto" w:fill="D0EBF2"/>
          </w:tcPr>
          <w:p>
            <w:pPr>
              <w:spacing w:after="0"/>
              <w:rPr>
                <w:sz w:val="17"/>
                <w:szCs w:val="17"/>
                <w:color w:val="auto"/>
              </w:rPr>
            </w:pPr>
          </w:p>
        </w:tc>
        <w:tc>
          <w:tcPr>
            <w:tcW w:w="140" w:type="dxa"/>
            <w:vAlign w:val="bottom"/>
            <w:tcBorders>
              <w:top w:val="single" w:sz="8" w:color="D0EBF2"/>
              <w:bottom w:val="single" w:sz="8" w:color="231F20"/>
            </w:tcBorders>
            <w:shd w:val="clear" w:color="auto" w:fill="D0EBF2"/>
          </w:tcPr>
          <w:p>
            <w:pPr>
              <w:spacing w:after="0"/>
              <w:rPr>
                <w:sz w:val="17"/>
                <w:szCs w:val="17"/>
                <w:color w:val="auto"/>
              </w:rPr>
            </w:pPr>
          </w:p>
        </w:tc>
        <w:tc>
          <w:tcPr>
            <w:tcW w:w="180" w:type="dxa"/>
            <w:vAlign w:val="bottom"/>
            <w:tcBorders>
              <w:top w:val="single" w:sz="8" w:color="231F20"/>
              <w:bottom w:val="single" w:sz="8" w:color="231F20"/>
            </w:tcBorders>
            <w:shd w:val="clear" w:color="auto" w:fill="D0EBF2"/>
          </w:tcPr>
          <w:p>
            <w:pPr>
              <w:spacing w:after="0"/>
              <w:rPr>
                <w:sz w:val="17"/>
                <w:szCs w:val="17"/>
                <w:color w:val="auto"/>
              </w:rPr>
            </w:pPr>
          </w:p>
        </w:tc>
        <w:tc>
          <w:tcPr>
            <w:tcW w:w="1200" w:type="dxa"/>
            <w:vAlign w:val="bottom"/>
            <w:tcBorders>
              <w:top w:val="single" w:sz="8" w:color="231F20"/>
              <w:bottom w:val="single" w:sz="8" w:color="231F20"/>
            </w:tcBorders>
            <w:shd w:val="clear" w:color="auto" w:fill="D0EBF2"/>
          </w:tcPr>
          <w:p>
            <w:pPr>
              <w:jc w:val="right"/>
              <w:spacing w:after="0"/>
              <w:rPr>
                <w:sz w:val="20"/>
                <w:szCs w:val="20"/>
                <w:color w:val="auto"/>
              </w:rPr>
            </w:pPr>
            <w:r>
              <w:rPr>
                <w:rFonts w:ascii="Times New Roman" w:cs="Times New Roman" w:eastAsia="Times New Roman" w:hAnsi="Times New Roman"/>
                <w:sz w:val="15"/>
                <w:szCs w:val="15"/>
                <w:color w:val="231F20"/>
              </w:rPr>
              <w:t>12,433</w:t>
            </w:r>
          </w:p>
        </w:tc>
        <w:tc>
          <w:tcPr>
            <w:tcW w:w="100" w:type="dxa"/>
            <w:vAlign w:val="bottom"/>
            <w:tcBorders>
              <w:top w:val="single" w:sz="8" w:color="D0EBF2"/>
              <w:bottom w:val="single" w:sz="8" w:color="D0EBF2"/>
            </w:tcBorders>
            <w:shd w:val="clear" w:color="auto" w:fill="D0EBF2"/>
          </w:tcPr>
          <w:p>
            <w:pPr>
              <w:spacing w:after="0"/>
              <w:rPr>
                <w:sz w:val="17"/>
                <w:szCs w:val="17"/>
                <w:color w:val="auto"/>
              </w:rPr>
            </w:pPr>
          </w:p>
        </w:tc>
        <w:tc>
          <w:tcPr>
            <w:tcW w:w="100" w:type="dxa"/>
            <w:vAlign w:val="bottom"/>
            <w:tcBorders>
              <w:top w:val="single" w:sz="8" w:color="D0EBF2"/>
              <w:bottom w:val="single" w:sz="8" w:color="D0EBF2"/>
            </w:tcBorders>
            <w:shd w:val="clear" w:color="auto" w:fill="D0EBF2"/>
          </w:tcPr>
          <w:p>
            <w:pPr>
              <w:spacing w:after="0"/>
              <w:rPr>
                <w:sz w:val="17"/>
                <w:szCs w:val="17"/>
                <w:color w:val="auto"/>
              </w:rPr>
            </w:pPr>
          </w:p>
        </w:tc>
        <w:tc>
          <w:tcPr>
            <w:tcW w:w="180" w:type="dxa"/>
            <w:vAlign w:val="bottom"/>
            <w:tcBorders>
              <w:top w:val="single" w:sz="8" w:color="231F20"/>
              <w:bottom w:val="single" w:sz="8" w:color="231F20"/>
            </w:tcBorders>
            <w:shd w:val="clear" w:color="auto" w:fill="D0EBF2"/>
          </w:tcPr>
          <w:p>
            <w:pPr>
              <w:spacing w:after="0"/>
              <w:rPr>
                <w:sz w:val="17"/>
                <w:szCs w:val="17"/>
                <w:color w:val="auto"/>
              </w:rPr>
            </w:pPr>
          </w:p>
        </w:tc>
        <w:tc>
          <w:tcPr>
            <w:tcW w:w="1180" w:type="dxa"/>
            <w:vAlign w:val="bottom"/>
            <w:tcBorders>
              <w:top w:val="single" w:sz="8" w:color="231F20"/>
              <w:bottom w:val="single" w:sz="8" w:color="231F20"/>
            </w:tcBorders>
            <w:shd w:val="clear" w:color="auto" w:fill="D0EBF2"/>
          </w:tcPr>
          <w:p>
            <w:pPr>
              <w:jc w:val="right"/>
              <w:spacing w:after="0"/>
              <w:rPr>
                <w:sz w:val="20"/>
                <w:szCs w:val="20"/>
                <w:color w:val="auto"/>
              </w:rPr>
            </w:pPr>
            <w:r>
              <w:rPr>
                <w:rFonts w:ascii="Times New Roman" w:cs="Times New Roman" w:eastAsia="Times New Roman" w:hAnsi="Times New Roman"/>
                <w:sz w:val="15"/>
                <w:szCs w:val="15"/>
                <w:color w:val="231F20"/>
              </w:rPr>
              <w:t>16,695</w:t>
            </w:r>
          </w:p>
        </w:tc>
        <w:tc>
          <w:tcPr>
            <w:tcW w:w="100" w:type="dxa"/>
            <w:vAlign w:val="bottom"/>
            <w:tcBorders>
              <w:top w:val="single" w:sz="8" w:color="D0EBF2"/>
              <w:bottom w:val="single" w:sz="8" w:color="D0EBF2"/>
            </w:tcBorders>
            <w:shd w:val="clear" w:color="auto" w:fill="D0EBF2"/>
          </w:tcPr>
          <w:p>
            <w:pPr>
              <w:spacing w:after="0"/>
              <w:rPr>
                <w:sz w:val="17"/>
                <w:szCs w:val="17"/>
                <w:color w:val="auto"/>
              </w:rPr>
            </w:pPr>
          </w:p>
        </w:tc>
      </w:tr>
      <w:tr>
        <w:trPr>
          <w:trHeight w:val="156"/>
        </w:trPr>
        <w:tc>
          <w:tcPr>
            <w:tcW w:w="5520" w:type="dxa"/>
            <w:vAlign w:val="bottom"/>
            <w:tcBorders>
              <w:top w:val="single" w:sz="8" w:color="FDFDFC"/>
              <w:bottom w:val="single" w:sz="8" w:color="D0EBF2"/>
            </w:tcBorders>
            <w:shd w:val="clear" w:color="auto" w:fill="FDFDFC"/>
          </w:tcPr>
          <w:p>
            <w:pPr>
              <w:ind w:left="760"/>
              <w:spacing w:after="0" w:line="156" w:lineRule="exact"/>
              <w:rPr>
                <w:sz w:val="20"/>
                <w:szCs w:val="20"/>
                <w:color w:val="auto"/>
              </w:rPr>
            </w:pPr>
            <w:r>
              <w:rPr>
                <w:rFonts w:ascii="Times New Roman" w:cs="Times New Roman" w:eastAsia="Times New Roman" w:hAnsi="Times New Roman"/>
                <w:sz w:val="15"/>
                <w:szCs w:val="15"/>
                <w:b w:val="1"/>
                <w:bCs w:val="1"/>
                <w:color w:val="231F20"/>
              </w:rPr>
              <w:t>Total Net Unrealized and Realized Gains (Losses)</w:t>
            </w:r>
          </w:p>
        </w:tc>
        <w:tc>
          <w:tcPr>
            <w:tcW w:w="80" w:type="dxa"/>
            <w:vAlign w:val="bottom"/>
            <w:tcBorders>
              <w:top w:val="single" w:sz="8" w:color="231F20"/>
              <w:bottom w:val="single" w:sz="8" w:color="231F20"/>
            </w:tcBorders>
            <w:shd w:val="clear" w:color="auto" w:fill="FDFDFC"/>
          </w:tcPr>
          <w:p>
            <w:pPr>
              <w:spacing w:after="0"/>
              <w:rPr>
                <w:sz w:val="13"/>
                <w:szCs w:val="13"/>
                <w:color w:val="auto"/>
              </w:rPr>
            </w:pPr>
          </w:p>
        </w:tc>
        <w:tc>
          <w:tcPr>
            <w:tcW w:w="1320" w:type="dxa"/>
            <w:vAlign w:val="bottom"/>
            <w:tcBorders>
              <w:top w:val="single" w:sz="8" w:color="231F20"/>
              <w:bottom w:val="single" w:sz="8" w:color="231F20"/>
            </w:tcBorders>
            <w:shd w:val="clear" w:color="auto" w:fill="FDFDFC"/>
          </w:tcPr>
          <w:p>
            <w:pPr>
              <w:jc w:val="right"/>
              <w:spacing w:after="0" w:line="156" w:lineRule="exact"/>
              <w:rPr>
                <w:sz w:val="20"/>
                <w:szCs w:val="20"/>
                <w:color w:val="auto"/>
              </w:rPr>
            </w:pPr>
            <w:r>
              <w:rPr>
                <w:rFonts w:ascii="Times New Roman" w:cs="Times New Roman" w:eastAsia="Times New Roman" w:hAnsi="Times New Roman"/>
                <w:sz w:val="15"/>
                <w:szCs w:val="15"/>
                <w:color w:val="231F20"/>
              </w:rPr>
              <w:t>(33,451</w:t>
            </w:r>
          </w:p>
        </w:tc>
        <w:tc>
          <w:tcPr>
            <w:tcW w:w="100" w:type="dxa"/>
            <w:vAlign w:val="bottom"/>
            <w:tcBorders>
              <w:top w:val="single" w:sz="8" w:color="FDFDFC"/>
              <w:bottom w:val="single" w:sz="8" w:color="D0EBF2"/>
            </w:tcBorders>
            <w:shd w:val="clear" w:color="auto" w:fill="FDFDFC"/>
          </w:tcPr>
          <w:p>
            <w:pPr>
              <w:jc w:val="right"/>
              <w:spacing w:after="0" w:line="156" w:lineRule="exact"/>
              <w:rPr>
                <w:sz w:val="20"/>
                <w:szCs w:val="20"/>
                <w:color w:val="auto"/>
              </w:rPr>
            </w:pPr>
            <w:r>
              <w:rPr>
                <w:rFonts w:ascii="Times New Roman" w:cs="Times New Roman" w:eastAsia="Times New Roman" w:hAnsi="Times New Roman"/>
                <w:sz w:val="15"/>
                <w:szCs w:val="15"/>
                <w:color w:val="231F20"/>
                <w:highlight w:val="white"/>
                <w:w w:val="79"/>
              </w:rPr>
              <w:t>)</w:t>
            </w:r>
          </w:p>
        </w:tc>
        <w:tc>
          <w:tcPr>
            <w:tcW w:w="140" w:type="dxa"/>
            <w:vAlign w:val="bottom"/>
            <w:tcBorders>
              <w:top w:val="single" w:sz="8" w:color="231F20"/>
              <w:bottom w:val="single" w:sz="8" w:color="231F20"/>
            </w:tcBorders>
            <w:shd w:val="clear" w:color="auto" w:fill="FDFDFC"/>
          </w:tcPr>
          <w:p>
            <w:pPr>
              <w:spacing w:after="0"/>
              <w:rPr>
                <w:sz w:val="13"/>
                <w:szCs w:val="13"/>
                <w:color w:val="auto"/>
              </w:rPr>
            </w:pPr>
          </w:p>
        </w:tc>
        <w:tc>
          <w:tcPr>
            <w:tcW w:w="180" w:type="dxa"/>
            <w:vAlign w:val="bottom"/>
            <w:tcBorders>
              <w:top w:val="single" w:sz="8" w:color="231F20"/>
              <w:bottom w:val="single" w:sz="8" w:color="231F20"/>
            </w:tcBorders>
            <w:shd w:val="clear" w:color="auto" w:fill="FDFDFC"/>
          </w:tcPr>
          <w:p>
            <w:pPr>
              <w:spacing w:after="0"/>
              <w:rPr>
                <w:sz w:val="13"/>
                <w:szCs w:val="13"/>
                <w:color w:val="auto"/>
              </w:rPr>
            </w:pPr>
          </w:p>
        </w:tc>
        <w:tc>
          <w:tcPr>
            <w:tcW w:w="1200" w:type="dxa"/>
            <w:vAlign w:val="bottom"/>
            <w:tcBorders>
              <w:top w:val="single" w:sz="8" w:color="231F20"/>
              <w:bottom w:val="single" w:sz="8" w:color="231F20"/>
            </w:tcBorders>
            <w:shd w:val="clear" w:color="auto" w:fill="FDFDFC"/>
          </w:tcPr>
          <w:p>
            <w:pPr>
              <w:jc w:val="right"/>
              <w:spacing w:after="0" w:line="156" w:lineRule="exact"/>
              <w:rPr>
                <w:sz w:val="20"/>
                <w:szCs w:val="20"/>
                <w:color w:val="auto"/>
              </w:rPr>
            </w:pPr>
            <w:r>
              <w:rPr>
                <w:rFonts w:ascii="Times New Roman" w:cs="Times New Roman" w:eastAsia="Times New Roman" w:hAnsi="Times New Roman"/>
                <w:sz w:val="15"/>
                <w:szCs w:val="15"/>
                <w:color w:val="231F20"/>
              </w:rPr>
              <w:t>25,624</w:t>
            </w:r>
          </w:p>
        </w:tc>
        <w:tc>
          <w:tcPr>
            <w:tcW w:w="100" w:type="dxa"/>
            <w:vAlign w:val="bottom"/>
            <w:tcBorders>
              <w:top w:val="single" w:sz="8" w:color="FDFDFC"/>
              <w:bottom w:val="single" w:sz="8" w:color="D0EBF2"/>
            </w:tcBorders>
            <w:shd w:val="clear" w:color="auto" w:fill="FDFDFC"/>
          </w:tcPr>
          <w:p>
            <w:pPr>
              <w:spacing w:after="0"/>
              <w:rPr>
                <w:sz w:val="13"/>
                <w:szCs w:val="13"/>
                <w:color w:val="auto"/>
              </w:rPr>
            </w:pPr>
          </w:p>
        </w:tc>
        <w:tc>
          <w:tcPr>
            <w:tcW w:w="100" w:type="dxa"/>
            <w:vAlign w:val="bottom"/>
            <w:tcBorders>
              <w:top w:val="single" w:sz="8" w:color="FDFDFC"/>
              <w:bottom w:val="single" w:sz="8" w:color="D0EBF2"/>
            </w:tcBorders>
            <w:shd w:val="clear" w:color="auto" w:fill="FDFDFC"/>
          </w:tcPr>
          <w:p>
            <w:pPr>
              <w:spacing w:after="0"/>
              <w:rPr>
                <w:sz w:val="13"/>
                <w:szCs w:val="13"/>
                <w:color w:val="auto"/>
              </w:rPr>
            </w:pPr>
          </w:p>
        </w:tc>
        <w:tc>
          <w:tcPr>
            <w:tcW w:w="180" w:type="dxa"/>
            <w:vAlign w:val="bottom"/>
            <w:tcBorders>
              <w:top w:val="single" w:sz="8" w:color="231F20"/>
              <w:bottom w:val="single" w:sz="8" w:color="231F20"/>
            </w:tcBorders>
            <w:shd w:val="clear" w:color="auto" w:fill="FDFDFC"/>
          </w:tcPr>
          <w:p>
            <w:pPr>
              <w:spacing w:after="0"/>
              <w:rPr>
                <w:sz w:val="13"/>
                <w:szCs w:val="13"/>
                <w:color w:val="auto"/>
              </w:rPr>
            </w:pPr>
          </w:p>
        </w:tc>
        <w:tc>
          <w:tcPr>
            <w:tcW w:w="1180" w:type="dxa"/>
            <w:vAlign w:val="bottom"/>
            <w:tcBorders>
              <w:top w:val="single" w:sz="8" w:color="231F20"/>
              <w:bottom w:val="single" w:sz="8" w:color="231F20"/>
            </w:tcBorders>
            <w:shd w:val="clear" w:color="auto" w:fill="FDFDFC"/>
          </w:tcPr>
          <w:p>
            <w:pPr>
              <w:jc w:val="right"/>
              <w:spacing w:after="0" w:line="156" w:lineRule="exact"/>
              <w:rPr>
                <w:sz w:val="20"/>
                <w:szCs w:val="20"/>
                <w:color w:val="auto"/>
              </w:rPr>
            </w:pPr>
            <w:r>
              <w:rPr>
                <w:rFonts w:ascii="Times New Roman" w:cs="Times New Roman" w:eastAsia="Times New Roman" w:hAnsi="Times New Roman"/>
                <w:sz w:val="15"/>
                <w:szCs w:val="15"/>
                <w:color w:val="231F20"/>
              </w:rPr>
              <w:t>(58,274</w:t>
            </w:r>
          </w:p>
        </w:tc>
        <w:tc>
          <w:tcPr>
            <w:tcW w:w="100" w:type="dxa"/>
            <w:vAlign w:val="bottom"/>
            <w:tcBorders>
              <w:top w:val="single" w:sz="8" w:color="FDFDFC"/>
              <w:bottom w:val="single" w:sz="8" w:color="D0EBF2"/>
            </w:tcBorders>
            <w:shd w:val="clear" w:color="auto" w:fill="FDFDFC"/>
          </w:tcPr>
          <w:p>
            <w:pPr>
              <w:jc w:val="right"/>
              <w:ind w:right="22"/>
              <w:spacing w:after="0"/>
              <w:rPr>
                <w:sz w:val="20"/>
                <w:szCs w:val="20"/>
                <w:color w:val="auto"/>
              </w:rPr>
            </w:pPr>
            <w:r>
              <w:rPr>
                <w:rFonts w:ascii="Times New Roman" w:cs="Times New Roman" w:eastAsia="Times New Roman" w:hAnsi="Times New Roman"/>
                <w:sz w:val="8"/>
                <w:szCs w:val="8"/>
                <w:color w:val="231F20"/>
                <w:highlight w:val="white"/>
                <w:w w:val="73"/>
              </w:rPr>
              <w:t>)</w:t>
            </w:r>
          </w:p>
        </w:tc>
      </w:tr>
      <w:tr>
        <w:trPr>
          <w:trHeight w:val="216"/>
        </w:trPr>
        <w:tc>
          <w:tcPr>
            <w:tcW w:w="5520" w:type="dxa"/>
            <w:vAlign w:val="bottom"/>
            <w:tcBorders>
              <w:bottom w:val="single" w:sz="8" w:color="FDFDFC"/>
            </w:tcBorders>
            <w:shd w:val="clear" w:color="auto" w:fill="D0EBF2"/>
          </w:tcPr>
          <w:p>
            <w:pPr>
              <w:ind w:left="760"/>
              <w:spacing w:after="0"/>
              <w:rPr>
                <w:sz w:val="20"/>
                <w:szCs w:val="20"/>
                <w:color w:val="auto"/>
              </w:rPr>
            </w:pPr>
            <w:r>
              <w:rPr>
                <w:rFonts w:ascii="Times New Roman" w:cs="Times New Roman" w:eastAsia="Times New Roman" w:hAnsi="Times New Roman"/>
                <w:sz w:val="15"/>
                <w:szCs w:val="15"/>
                <w:b w:val="1"/>
                <w:bCs w:val="1"/>
                <w:color w:val="231F20"/>
              </w:rPr>
              <w:t>Increase (Decrease) in Net Assets Resulting from Operations</w:t>
            </w:r>
          </w:p>
        </w:tc>
        <w:tc>
          <w:tcPr>
            <w:tcW w:w="80" w:type="dxa"/>
            <w:vAlign w:val="bottom"/>
            <w:tcBorders>
              <w:bottom w:val="single" w:sz="8" w:color="231F20"/>
            </w:tcBorders>
            <w:shd w:val="clear" w:color="auto" w:fill="D0EBF2"/>
          </w:tcPr>
          <w:p>
            <w:pPr>
              <w:jc w:val="right"/>
              <w:spacing w:after="0"/>
              <w:rPr>
                <w:sz w:val="20"/>
                <w:szCs w:val="20"/>
                <w:color w:val="auto"/>
              </w:rPr>
            </w:pPr>
            <w:r>
              <w:rPr>
                <w:rFonts w:ascii="Times New Roman" w:cs="Times New Roman" w:eastAsia="Times New Roman" w:hAnsi="Times New Roman"/>
                <w:sz w:val="15"/>
                <w:szCs w:val="15"/>
                <w:color w:val="231F20"/>
                <w:w w:val="79"/>
              </w:rPr>
              <w:t>$</w:t>
            </w:r>
          </w:p>
        </w:tc>
        <w:tc>
          <w:tcPr>
            <w:tcW w:w="1320" w:type="dxa"/>
            <w:vAlign w:val="bottom"/>
            <w:tcBorders>
              <w:bottom w:val="single" w:sz="8" w:color="231F20"/>
            </w:tcBorders>
            <w:shd w:val="clear" w:color="auto" w:fill="D0EBF2"/>
          </w:tcPr>
          <w:p>
            <w:pPr>
              <w:jc w:val="right"/>
              <w:spacing w:after="0"/>
              <w:rPr>
                <w:sz w:val="20"/>
                <w:szCs w:val="20"/>
                <w:color w:val="auto"/>
              </w:rPr>
            </w:pPr>
            <w:r>
              <w:rPr>
                <w:rFonts w:ascii="Times New Roman" w:cs="Times New Roman" w:eastAsia="Times New Roman" w:hAnsi="Times New Roman"/>
                <w:sz w:val="15"/>
                <w:szCs w:val="15"/>
                <w:color w:val="231F20"/>
              </w:rPr>
              <w:t>186,566</w:t>
            </w:r>
          </w:p>
        </w:tc>
        <w:tc>
          <w:tcPr>
            <w:tcW w:w="100" w:type="dxa"/>
            <w:vAlign w:val="bottom"/>
            <w:tcBorders>
              <w:bottom w:val="single" w:sz="8" w:color="FDFDFC"/>
            </w:tcBorders>
            <w:shd w:val="clear" w:color="auto" w:fill="D0EBF2"/>
          </w:tcPr>
          <w:p>
            <w:pPr>
              <w:spacing w:after="0"/>
              <w:rPr>
                <w:sz w:val="18"/>
                <w:szCs w:val="18"/>
                <w:color w:val="auto"/>
              </w:rPr>
            </w:pPr>
          </w:p>
        </w:tc>
        <w:tc>
          <w:tcPr>
            <w:tcW w:w="320" w:type="dxa"/>
            <w:vAlign w:val="bottom"/>
            <w:tcBorders>
              <w:bottom w:val="single" w:sz="8" w:color="231F20"/>
            </w:tcBorders>
            <w:gridSpan w:val="2"/>
            <w:shd w:val="clear" w:color="auto" w:fill="D0EBF2"/>
          </w:tcPr>
          <w:p>
            <w:pPr>
              <w:jc w:val="right"/>
              <w:ind w:right="24"/>
              <w:spacing w:after="0"/>
              <w:rPr>
                <w:sz w:val="20"/>
                <w:szCs w:val="20"/>
                <w:color w:val="auto"/>
              </w:rPr>
            </w:pPr>
            <w:r>
              <w:rPr>
                <w:rFonts w:ascii="Times New Roman" w:cs="Times New Roman" w:eastAsia="Times New Roman" w:hAnsi="Times New Roman"/>
                <w:sz w:val="15"/>
                <w:szCs w:val="15"/>
                <w:color w:val="231F20"/>
              </w:rPr>
              <w:t>$</w:t>
            </w:r>
          </w:p>
        </w:tc>
        <w:tc>
          <w:tcPr>
            <w:tcW w:w="1200" w:type="dxa"/>
            <w:vAlign w:val="bottom"/>
            <w:tcBorders>
              <w:bottom w:val="single" w:sz="8" w:color="231F20"/>
            </w:tcBorders>
            <w:shd w:val="clear" w:color="auto" w:fill="D0EBF2"/>
          </w:tcPr>
          <w:p>
            <w:pPr>
              <w:jc w:val="right"/>
              <w:spacing w:after="0"/>
              <w:rPr>
                <w:sz w:val="20"/>
                <w:szCs w:val="20"/>
                <w:color w:val="auto"/>
              </w:rPr>
            </w:pPr>
            <w:r>
              <w:rPr>
                <w:rFonts w:ascii="Times New Roman" w:cs="Times New Roman" w:eastAsia="Times New Roman" w:hAnsi="Times New Roman"/>
                <w:sz w:val="15"/>
                <w:szCs w:val="15"/>
                <w:color w:val="231F20"/>
              </w:rPr>
              <w:t>222,023</w:t>
            </w:r>
          </w:p>
        </w:tc>
        <w:tc>
          <w:tcPr>
            <w:tcW w:w="100" w:type="dxa"/>
            <w:vAlign w:val="bottom"/>
            <w:tcBorders>
              <w:bottom w:val="single" w:sz="8" w:color="FDFDFC"/>
            </w:tcBorders>
            <w:shd w:val="clear" w:color="auto" w:fill="D0EBF2"/>
          </w:tcPr>
          <w:p>
            <w:pPr>
              <w:spacing w:after="0"/>
              <w:rPr>
                <w:sz w:val="18"/>
                <w:szCs w:val="18"/>
                <w:color w:val="auto"/>
              </w:rPr>
            </w:pPr>
          </w:p>
        </w:tc>
        <w:tc>
          <w:tcPr>
            <w:tcW w:w="100" w:type="dxa"/>
            <w:vAlign w:val="bottom"/>
            <w:tcBorders>
              <w:bottom w:val="single" w:sz="8" w:color="FDFDFC"/>
            </w:tcBorders>
            <w:shd w:val="clear" w:color="auto" w:fill="D0EBF2"/>
          </w:tcPr>
          <w:p>
            <w:pPr>
              <w:spacing w:after="0"/>
              <w:rPr>
                <w:sz w:val="18"/>
                <w:szCs w:val="18"/>
                <w:color w:val="auto"/>
              </w:rPr>
            </w:pPr>
          </w:p>
        </w:tc>
        <w:tc>
          <w:tcPr>
            <w:tcW w:w="180" w:type="dxa"/>
            <w:vAlign w:val="bottom"/>
            <w:tcBorders>
              <w:bottom w:val="single" w:sz="8" w:color="231F20"/>
            </w:tcBorders>
            <w:shd w:val="clear" w:color="auto" w:fill="D0EBF2"/>
          </w:tcPr>
          <w:p>
            <w:pPr>
              <w:jc w:val="right"/>
              <w:ind w:right="24"/>
              <w:spacing w:after="0"/>
              <w:rPr>
                <w:sz w:val="20"/>
                <w:szCs w:val="20"/>
                <w:color w:val="auto"/>
              </w:rPr>
            </w:pPr>
            <w:r>
              <w:rPr>
                <w:rFonts w:ascii="Times New Roman" w:cs="Times New Roman" w:eastAsia="Times New Roman" w:hAnsi="Times New Roman"/>
                <w:sz w:val="15"/>
                <w:szCs w:val="15"/>
                <w:color w:val="231F20"/>
                <w:w w:val="79"/>
              </w:rPr>
              <w:t>$</w:t>
            </w:r>
          </w:p>
        </w:tc>
        <w:tc>
          <w:tcPr>
            <w:tcW w:w="1180" w:type="dxa"/>
            <w:vAlign w:val="bottom"/>
            <w:tcBorders>
              <w:bottom w:val="single" w:sz="8" w:color="231F20"/>
            </w:tcBorders>
            <w:shd w:val="clear" w:color="auto" w:fill="D0EBF2"/>
          </w:tcPr>
          <w:p>
            <w:pPr>
              <w:jc w:val="right"/>
              <w:spacing w:after="0"/>
              <w:rPr>
                <w:sz w:val="20"/>
                <w:szCs w:val="20"/>
                <w:color w:val="auto"/>
              </w:rPr>
            </w:pPr>
            <w:r>
              <w:rPr>
                <w:rFonts w:ascii="Times New Roman" w:cs="Times New Roman" w:eastAsia="Times New Roman" w:hAnsi="Times New Roman"/>
                <w:sz w:val="15"/>
                <w:szCs w:val="15"/>
                <w:color w:val="231F20"/>
              </w:rPr>
              <w:t>108,053</w:t>
            </w:r>
          </w:p>
        </w:tc>
        <w:tc>
          <w:tcPr>
            <w:tcW w:w="100" w:type="dxa"/>
            <w:vAlign w:val="bottom"/>
            <w:tcBorders>
              <w:bottom w:val="single" w:sz="8" w:color="FDFDFC"/>
            </w:tcBorders>
            <w:shd w:val="clear" w:color="auto" w:fill="D0EBF2"/>
          </w:tcPr>
          <w:p>
            <w:pPr>
              <w:spacing w:after="0"/>
              <w:rPr>
                <w:sz w:val="18"/>
                <w:szCs w:val="18"/>
                <w:color w:val="auto"/>
              </w:rPr>
            </w:pPr>
          </w:p>
        </w:tc>
      </w:tr>
      <w:tr>
        <w:trPr>
          <w:trHeight w:val="169"/>
        </w:trPr>
        <w:tc>
          <w:tcPr>
            <w:tcW w:w="5520" w:type="dxa"/>
            <w:vAlign w:val="bottom"/>
            <w:tcBorders>
              <w:bottom w:val="single" w:sz="8" w:color="D0EBF2"/>
            </w:tcBorders>
            <w:shd w:val="clear" w:color="auto" w:fill="FDFDFC"/>
          </w:tcPr>
          <w:p>
            <w:pPr>
              <w:spacing w:after="0" w:line="169" w:lineRule="exact"/>
              <w:rPr>
                <w:sz w:val="20"/>
                <w:szCs w:val="20"/>
                <w:color w:val="auto"/>
              </w:rPr>
            </w:pPr>
            <w:r>
              <w:rPr>
                <w:rFonts w:ascii="Times New Roman" w:cs="Times New Roman" w:eastAsia="Times New Roman" w:hAnsi="Times New Roman"/>
                <w:sz w:val="15"/>
                <w:szCs w:val="15"/>
                <w:color w:val="231F20"/>
              </w:rPr>
              <w:t>Earnings per common share—basic and diluted</w:t>
            </w:r>
          </w:p>
        </w:tc>
        <w:tc>
          <w:tcPr>
            <w:tcW w:w="80" w:type="dxa"/>
            <w:vAlign w:val="bottom"/>
            <w:tcBorders>
              <w:bottom w:val="single" w:sz="8" w:color="231F20"/>
            </w:tcBorders>
            <w:shd w:val="clear" w:color="auto" w:fill="FDFDFC"/>
          </w:tcPr>
          <w:p>
            <w:pPr>
              <w:jc w:val="right"/>
              <w:spacing w:after="0" w:line="169" w:lineRule="exact"/>
              <w:rPr>
                <w:sz w:val="20"/>
                <w:szCs w:val="20"/>
                <w:color w:val="auto"/>
              </w:rPr>
            </w:pPr>
            <w:r>
              <w:rPr>
                <w:rFonts w:ascii="Times New Roman" w:cs="Times New Roman" w:eastAsia="Times New Roman" w:hAnsi="Times New Roman"/>
                <w:sz w:val="15"/>
                <w:szCs w:val="15"/>
                <w:color w:val="231F20"/>
                <w:w w:val="79"/>
              </w:rPr>
              <w:t>$</w:t>
            </w:r>
          </w:p>
        </w:tc>
        <w:tc>
          <w:tcPr>
            <w:tcW w:w="1320" w:type="dxa"/>
            <w:vAlign w:val="bottom"/>
            <w:tcBorders>
              <w:bottom w:val="single" w:sz="8" w:color="231F20"/>
            </w:tcBorders>
            <w:shd w:val="clear" w:color="auto" w:fill="FDFDFC"/>
          </w:tcPr>
          <w:p>
            <w:pPr>
              <w:jc w:val="right"/>
              <w:spacing w:after="0" w:line="169" w:lineRule="exact"/>
              <w:rPr>
                <w:sz w:val="20"/>
                <w:szCs w:val="20"/>
                <w:color w:val="auto"/>
              </w:rPr>
            </w:pPr>
            <w:r>
              <w:rPr>
                <w:rFonts w:ascii="Times New Roman" w:cs="Times New Roman" w:eastAsia="Times New Roman" w:hAnsi="Times New Roman"/>
                <w:sz w:val="15"/>
                <w:szCs w:val="15"/>
                <w:color w:val="231F20"/>
              </w:rPr>
              <w:t>2.03</w:t>
            </w:r>
          </w:p>
        </w:tc>
        <w:tc>
          <w:tcPr>
            <w:tcW w:w="100" w:type="dxa"/>
            <w:vAlign w:val="bottom"/>
            <w:tcBorders>
              <w:bottom w:val="single" w:sz="8" w:color="D0EBF2"/>
            </w:tcBorders>
            <w:shd w:val="clear" w:color="auto" w:fill="FDFDFC"/>
          </w:tcPr>
          <w:p>
            <w:pPr>
              <w:spacing w:after="0"/>
              <w:rPr>
                <w:sz w:val="14"/>
                <w:szCs w:val="14"/>
                <w:color w:val="auto"/>
              </w:rPr>
            </w:pPr>
          </w:p>
        </w:tc>
        <w:tc>
          <w:tcPr>
            <w:tcW w:w="320" w:type="dxa"/>
            <w:vAlign w:val="bottom"/>
            <w:tcBorders>
              <w:bottom w:val="single" w:sz="8" w:color="231F20"/>
            </w:tcBorders>
            <w:gridSpan w:val="2"/>
            <w:shd w:val="clear" w:color="auto" w:fill="FDFDFC"/>
          </w:tcPr>
          <w:p>
            <w:pPr>
              <w:jc w:val="right"/>
              <w:ind w:right="24"/>
              <w:spacing w:after="0" w:line="169" w:lineRule="exact"/>
              <w:rPr>
                <w:sz w:val="20"/>
                <w:szCs w:val="20"/>
                <w:color w:val="auto"/>
              </w:rPr>
            </w:pPr>
            <w:r>
              <w:rPr>
                <w:rFonts w:ascii="Times New Roman" w:cs="Times New Roman" w:eastAsia="Times New Roman" w:hAnsi="Times New Roman"/>
                <w:sz w:val="15"/>
                <w:szCs w:val="15"/>
                <w:color w:val="231F20"/>
              </w:rPr>
              <w:t>$</w:t>
            </w:r>
          </w:p>
        </w:tc>
        <w:tc>
          <w:tcPr>
            <w:tcW w:w="1200" w:type="dxa"/>
            <w:vAlign w:val="bottom"/>
            <w:tcBorders>
              <w:bottom w:val="single" w:sz="8" w:color="231F20"/>
            </w:tcBorders>
            <w:shd w:val="clear" w:color="auto" w:fill="FDFDFC"/>
          </w:tcPr>
          <w:p>
            <w:pPr>
              <w:jc w:val="right"/>
              <w:spacing w:after="0" w:line="169" w:lineRule="exact"/>
              <w:rPr>
                <w:sz w:val="20"/>
                <w:szCs w:val="20"/>
                <w:color w:val="auto"/>
              </w:rPr>
            </w:pPr>
            <w:r>
              <w:rPr>
                <w:rFonts w:ascii="Times New Roman" w:cs="Times New Roman" w:eastAsia="Times New Roman" w:hAnsi="Times New Roman"/>
                <w:sz w:val="15"/>
                <w:szCs w:val="15"/>
                <w:color w:val="231F20"/>
              </w:rPr>
              <w:t>2.61</w:t>
            </w:r>
          </w:p>
        </w:tc>
        <w:tc>
          <w:tcPr>
            <w:tcW w:w="100" w:type="dxa"/>
            <w:vAlign w:val="bottom"/>
            <w:tcBorders>
              <w:bottom w:val="single" w:sz="8" w:color="D0EBF2"/>
            </w:tcBorders>
            <w:shd w:val="clear" w:color="auto" w:fill="FDFDFC"/>
          </w:tcPr>
          <w:p>
            <w:pPr>
              <w:spacing w:after="0"/>
              <w:rPr>
                <w:sz w:val="14"/>
                <w:szCs w:val="14"/>
                <w:color w:val="auto"/>
              </w:rPr>
            </w:pPr>
          </w:p>
        </w:tc>
        <w:tc>
          <w:tcPr>
            <w:tcW w:w="100" w:type="dxa"/>
            <w:vAlign w:val="bottom"/>
            <w:tcBorders>
              <w:bottom w:val="single" w:sz="8" w:color="D0EBF2"/>
            </w:tcBorders>
            <w:shd w:val="clear" w:color="auto" w:fill="FDFDFC"/>
          </w:tcPr>
          <w:p>
            <w:pPr>
              <w:spacing w:after="0"/>
              <w:rPr>
                <w:sz w:val="14"/>
                <w:szCs w:val="14"/>
                <w:color w:val="auto"/>
              </w:rPr>
            </w:pPr>
          </w:p>
        </w:tc>
        <w:tc>
          <w:tcPr>
            <w:tcW w:w="180" w:type="dxa"/>
            <w:vAlign w:val="bottom"/>
            <w:tcBorders>
              <w:bottom w:val="single" w:sz="8" w:color="231F20"/>
            </w:tcBorders>
            <w:shd w:val="clear" w:color="auto" w:fill="FDFDFC"/>
          </w:tcPr>
          <w:p>
            <w:pPr>
              <w:jc w:val="right"/>
              <w:ind w:right="24"/>
              <w:spacing w:after="0" w:line="169" w:lineRule="exact"/>
              <w:rPr>
                <w:sz w:val="20"/>
                <w:szCs w:val="20"/>
                <w:color w:val="auto"/>
              </w:rPr>
            </w:pPr>
            <w:r>
              <w:rPr>
                <w:rFonts w:ascii="Times New Roman" w:cs="Times New Roman" w:eastAsia="Times New Roman" w:hAnsi="Times New Roman"/>
                <w:sz w:val="15"/>
                <w:szCs w:val="15"/>
                <w:color w:val="231F20"/>
                <w:w w:val="79"/>
              </w:rPr>
              <w:t>$</w:t>
            </w:r>
          </w:p>
        </w:tc>
        <w:tc>
          <w:tcPr>
            <w:tcW w:w="1180" w:type="dxa"/>
            <w:vAlign w:val="bottom"/>
            <w:tcBorders>
              <w:bottom w:val="single" w:sz="8" w:color="231F20"/>
            </w:tcBorders>
            <w:shd w:val="clear" w:color="auto" w:fill="FDFDFC"/>
          </w:tcPr>
          <w:p>
            <w:pPr>
              <w:jc w:val="right"/>
              <w:spacing w:after="0" w:line="169" w:lineRule="exact"/>
              <w:rPr>
                <w:sz w:val="20"/>
                <w:szCs w:val="20"/>
                <w:color w:val="auto"/>
              </w:rPr>
            </w:pPr>
            <w:r>
              <w:rPr>
                <w:rFonts w:ascii="Times New Roman" w:cs="Times New Roman" w:eastAsia="Times New Roman" w:hAnsi="Times New Roman"/>
                <w:sz w:val="15"/>
                <w:szCs w:val="15"/>
                <w:color w:val="231F20"/>
              </w:rPr>
              <w:t>1.38</w:t>
            </w:r>
          </w:p>
        </w:tc>
        <w:tc>
          <w:tcPr>
            <w:tcW w:w="100" w:type="dxa"/>
            <w:vAlign w:val="bottom"/>
            <w:tcBorders>
              <w:bottom w:val="single" w:sz="8" w:color="D0EBF2"/>
            </w:tcBorders>
            <w:shd w:val="clear" w:color="auto" w:fill="FDFDFC"/>
          </w:tcPr>
          <w:p>
            <w:pPr>
              <w:spacing w:after="0"/>
              <w:rPr>
                <w:sz w:val="14"/>
                <w:szCs w:val="14"/>
                <w:color w:val="auto"/>
              </w:rPr>
            </w:pPr>
          </w:p>
        </w:tc>
      </w:tr>
      <w:tr>
        <w:trPr>
          <w:trHeight w:val="176"/>
        </w:trPr>
        <w:tc>
          <w:tcPr>
            <w:tcW w:w="5520" w:type="dxa"/>
            <w:vAlign w:val="bottom"/>
            <w:shd w:val="clear" w:color="auto" w:fill="D0EBF2"/>
          </w:tcPr>
          <w:p>
            <w:pPr>
              <w:spacing w:after="0"/>
              <w:rPr>
                <w:sz w:val="20"/>
                <w:szCs w:val="20"/>
                <w:color w:val="auto"/>
              </w:rPr>
            </w:pPr>
            <w:r>
              <w:rPr>
                <w:rFonts w:ascii="Times New Roman" w:cs="Times New Roman" w:eastAsia="Times New Roman" w:hAnsi="Times New Roman"/>
                <w:sz w:val="15"/>
                <w:szCs w:val="15"/>
                <w:color w:val="231F20"/>
              </w:rPr>
              <w:t>Weighted average shares of common stock outstanding—basic and diluted</w:t>
            </w:r>
          </w:p>
        </w:tc>
        <w:tc>
          <w:tcPr>
            <w:tcW w:w="80" w:type="dxa"/>
            <w:vAlign w:val="bottom"/>
            <w:tcBorders>
              <w:bottom w:val="single" w:sz="8" w:color="231F20"/>
            </w:tcBorders>
            <w:shd w:val="clear" w:color="auto" w:fill="D0EBF2"/>
          </w:tcPr>
          <w:p>
            <w:pPr>
              <w:spacing w:after="0"/>
              <w:rPr>
                <w:sz w:val="15"/>
                <w:szCs w:val="15"/>
                <w:color w:val="auto"/>
              </w:rPr>
            </w:pPr>
          </w:p>
        </w:tc>
        <w:tc>
          <w:tcPr>
            <w:tcW w:w="1320" w:type="dxa"/>
            <w:vAlign w:val="bottom"/>
            <w:tcBorders>
              <w:bottom w:val="single" w:sz="8" w:color="231F20"/>
            </w:tcBorders>
            <w:shd w:val="clear" w:color="auto" w:fill="D0EBF2"/>
          </w:tcPr>
          <w:p>
            <w:pPr>
              <w:jc w:val="right"/>
              <w:spacing w:after="0"/>
              <w:rPr>
                <w:sz w:val="20"/>
                <w:szCs w:val="20"/>
                <w:color w:val="auto"/>
              </w:rPr>
            </w:pPr>
            <w:r>
              <w:rPr>
                <w:rFonts w:ascii="Times New Roman" w:cs="Times New Roman" w:eastAsia="Times New Roman" w:hAnsi="Times New Roman"/>
                <w:sz w:val="15"/>
                <w:szCs w:val="15"/>
                <w:color w:val="231F20"/>
              </w:rPr>
              <w:t>92,035,165</w:t>
            </w:r>
          </w:p>
        </w:tc>
        <w:tc>
          <w:tcPr>
            <w:tcW w:w="100" w:type="dxa"/>
            <w:vAlign w:val="bottom"/>
            <w:shd w:val="clear" w:color="auto" w:fill="D0EBF2"/>
          </w:tcPr>
          <w:p>
            <w:pPr>
              <w:spacing w:after="0"/>
              <w:rPr>
                <w:sz w:val="15"/>
                <w:szCs w:val="15"/>
                <w:color w:val="auto"/>
              </w:rPr>
            </w:pPr>
          </w:p>
        </w:tc>
        <w:tc>
          <w:tcPr>
            <w:tcW w:w="140" w:type="dxa"/>
            <w:vAlign w:val="bottom"/>
            <w:tcBorders>
              <w:bottom w:val="single" w:sz="8" w:color="231F20"/>
            </w:tcBorders>
            <w:shd w:val="clear" w:color="auto" w:fill="D0EBF2"/>
          </w:tcPr>
          <w:p>
            <w:pPr>
              <w:spacing w:after="0"/>
              <w:rPr>
                <w:sz w:val="15"/>
                <w:szCs w:val="15"/>
                <w:color w:val="auto"/>
              </w:rPr>
            </w:pPr>
          </w:p>
        </w:tc>
        <w:tc>
          <w:tcPr>
            <w:tcW w:w="180" w:type="dxa"/>
            <w:vAlign w:val="bottom"/>
            <w:tcBorders>
              <w:bottom w:val="single" w:sz="8" w:color="231F20"/>
            </w:tcBorders>
            <w:shd w:val="clear" w:color="auto" w:fill="D0EBF2"/>
          </w:tcPr>
          <w:p>
            <w:pPr>
              <w:spacing w:after="0"/>
              <w:rPr>
                <w:sz w:val="15"/>
                <w:szCs w:val="15"/>
                <w:color w:val="auto"/>
              </w:rPr>
            </w:pPr>
          </w:p>
        </w:tc>
        <w:tc>
          <w:tcPr>
            <w:tcW w:w="1200" w:type="dxa"/>
            <w:vAlign w:val="bottom"/>
            <w:tcBorders>
              <w:bottom w:val="single" w:sz="8" w:color="231F20"/>
            </w:tcBorders>
            <w:shd w:val="clear" w:color="auto" w:fill="D0EBF2"/>
          </w:tcPr>
          <w:p>
            <w:pPr>
              <w:jc w:val="right"/>
              <w:spacing w:after="0"/>
              <w:rPr>
                <w:sz w:val="20"/>
                <w:szCs w:val="20"/>
                <w:color w:val="auto"/>
              </w:rPr>
            </w:pPr>
            <w:r>
              <w:rPr>
                <w:rFonts w:ascii="Times New Roman" w:cs="Times New Roman" w:eastAsia="Times New Roman" w:hAnsi="Times New Roman"/>
                <w:sz w:val="15"/>
                <w:szCs w:val="15"/>
                <w:color w:val="231F20"/>
              </w:rPr>
              <w:t>85,131,264</w:t>
            </w:r>
          </w:p>
        </w:tc>
        <w:tc>
          <w:tcPr>
            <w:tcW w:w="100" w:type="dxa"/>
            <w:vAlign w:val="bottom"/>
            <w:shd w:val="clear" w:color="auto" w:fill="D0EBF2"/>
          </w:tcPr>
          <w:p>
            <w:pPr>
              <w:spacing w:after="0"/>
              <w:rPr>
                <w:sz w:val="15"/>
                <w:szCs w:val="15"/>
                <w:color w:val="auto"/>
              </w:rPr>
            </w:pPr>
          </w:p>
        </w:tc>
        <w:tc>
          <w:tcPr>
            <w:tcW w:w="100" w:type="dxa"/>
            <w:vAlign w:val="bottom"/>
            <w:shd w:val="clear" w:color="auto" w:fill="D0EBF2"/>
          </w:tcPr>
          <w:p>
            <w:pPr>
              <w:spacing w:after="0"/>
              <w:rPr>
                <w:sz w:val="15"/>
                <w:szCs w:val="15"/>
                <w:color w:val="auto"/>
              </w:rPr>
            </w:pPr>
          </w:p>
        </w:tc>
        <w:tc>
          <w:tcPr>
            <w:tcW w:w="180" w:type="dxa"/>
            <w:vAlign w:val="bottom"/>
            <w:tcBorders>
              <w:bottom w:val="single" w:sz="8" w:color="231F20"/>
            </w:tcBorders>
            <w:shd w:val="clear" w:color="auto" w:fill="D0EBF2"/>
          </w:tcPr>
          <w:p>
            <w:pPr>
              <w:spacing w:after="0"/>
              <w:rPr>
                <w:sz w:val="15"/>
                <w:szCs w:val="15"/>
                <w:color w:val="auto"/>
              </w:rPr>
            </w:pPr>
          </w:p>
        </w:tc>
        <w:tc>
          <w:tcPr>
            <w:tcW w:w="1180" w:type="dxa"/>
            <w:vAlign w:val="bottom"/>
            <w:tcBorders>
              <w:bottom w:val="single" w:sz="8" w:color="231F20"/>
            </w:tcBorders>
            <w:shd w:val="clear" w:color="auto" w:fill="D0EBF2"/>
          </w:tcPr>
          <w:p>
            <w:pPr>
              <w:jc w:val="right"/>
              <w:spacing w:after="0"/>
              <w:rPr>
                <w:sz w:val="20"/>
                <w:szCs w:val="20"/>
                <w:color w:val="auto"/>
              </w:rPr>
            </w:pPr>
            <w:r>
              <w:rPr>
                <w:rFonts w:ascii="Times New Roman" w:cs="Times New Roman" w:eastAsia="Times New Roman" w:hAnsi="Times New Roman"/>
                <w:sz w:val="15"/>
                <w:szCs w:val="15"/>
                <w:color w:val="231F20"/>
              </w:rPr>
              <w:t>78,197,826</w:t>
            </w:r>
          </w:p>
        </w:tc>
        <w:tc>
          <w:tcPr>
            <w:tcW w:w="100" w:type="dxa"/>
            <w:vAlign w:val="bottom"/>
            <w:shd w:val="clear" w:color="auto" w:fill="D0EBF2"/>
          </w:tcPr>
          <w:p>
            <w:pPr>
              <w:spacing w:after="0"/>
              <w:rPr>
                <w:sz w:val="15"/>
                <w:szCs w:val="15"/>
                <w:color w:val="auto"/>
              </w:rPr>
            </w:pPr>
          </w:p>
        </w:tc>
      </w:tr>
    </w:tbl>
    <w:p>
      <w:pPr>
        <w:spacing w:after="0" w:line="1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231F20"/>
        </w:rPr>
        <w:t>The accompanying notes are an integral part of these consolidated financial statements.</w:t>
      </w:r>
    </w:p>
    <w:p>
      <w:pPr>
        <w:sectPr>
          <w:pgSz w:w="12240" w:h="15840" w:orient="portrait"/>
          <w:cols w:equalWidth="0" w:num="1">
            <w:col w:w="10200"/>
          </w:cols>
          <w:pgMar w:left="1020" w:top="1315" w:right="1020" w:bottom="57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231F20"/>
        </w:rPr>
        <w:t>F-5</w:t>
      </w:r>
    </w:p>
    <w:p>
      <w:pPr>
        <w:sectPr>
          <w:pgSz w:w="12240" w:h="15840" w:orient="portrait"/>
          <w:cols w:equalWidth="0" w:num="1">
            <w:col w:w="10200"/>
          </w:cols>
          <w:pgMar w:left="1020" w:top="1315" w:right="1020" w:bottom="574" w:gutter="0" w:footer="0" w:header="0"/>
          <w:type w:val="continuous"/>
        </w:sectPr>
      </w:pPr>
    </w:p>
    <w:bookmarkStart w:id="93" w:name="page94"/>
    <w:bookmarkEnd w:id="93"/>
    <w:p>
      <w:pPr>
        <w:jc w:val="center"/>
        <w:ind w:left="2160" w:right="2160"/>
        <w:spacing w:after="0" w:line="260" w:lineRule="auto"/>
        <w:rPr>
          <w:sz w:val="20"/>
          <w:szCs w:val="20"/>
          <w:color w:val="auto"/>
        </w:rPr>
      </w:pPr>
      <w:r>
        <w:rPr>
          <w:rFonts w:ascii="Times New Roman" w:cs="Times New Roman" w:eastAsia="Times New Roman" w:hAnsi="Times New Roman"/>
          <w:sz w:val="19"/>
          <w:szCs w:val="19"/>
          <w:b w:val="1"/>
          <w:bCs w:val="1"/>
          <w:color w:val="231F20"/>
        </w:rPr>
        <w:t>Sixth Street Specialty Lending, Inc. Consolidated Schedule of Investments as of December 31, 2024 (Amounts in thousands, except share amounts)</w:t>
      </w:r>
    </w:p>
    <w:p>
      <w:pPr>
        <w:sectPr>
          <w:pgSz w:w="12240" w:h="15840" w:orient="portrait"/>
          <w:cols w:equalWidth="0" w:num="1">
            <w:col w:w="9360"/>
          </w:cols>
          <w:pgMar w:left="1440" w:top="1315" w:right="1440" w:bottom="57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231F20"/>
        </w:rPr>
        <w:t>F-6</w:t>
      </w:r>
    </w:p>
    <w:p>
      <w:pPr>
        <w:sectPr>
          <w:pgSz w:w="12240" w:h="15840" w:orient="portrait"/>
          <w:cols w:equalWidth="0" w:num="1">
            <w:col w:w="9360"/>
          </w:cols>
          <w:pgMar w:left="1440" w:top="1315" w:right="1440" w:bottom="574" w:gutter="0" w:footer="0" w:header="0"/>
          <w:type w:val="continuous"/>
        </w:sectPr>
      </w:pPr>
    </w:p>
    <w:bookmarkStart w:id="94" w:name="page95"/>
    <w:bookmarkEnd w:id="94"/>
    <w:tbl>
      <w:tblPr>
        <w:tblLayout w:type="fixed"/>
        <w:tblInd w:w="0" w:type="dxa"/>
        <w:tblCellMar>
          <w:top w:w="0" w:type="dxa"/>
          <w:left w:w="0" w:type="dxa"/>
          <w:bottom w:w="0" w:type="dxa"/>
          <w:right w:w="0" w:type="dxa"/>
        </w:tblCellMar>
      </w:tblPr>
      <w:tr>
        <w:trPr>
          <w:trHeight w:val="172"/>
        </w:trPr>
        <w:tc>
          <w:tcPr>
            <w:tcW w:w="1540" w:type="dxa"/>
            <w:vAlign w:val="bottom"/>
            <w:shd w:val="clear" w:color="auto" w:fill="FDFDFC"/>
          </w:tcPr>
          <w:p>
            <w:pPr>
              <w:spacing w:after="0"/>
              <w:rPr>
                <w:sz w:val="15"/>
                <w:szCs w:val="15"/>
                <w:color w:val="auto"/>
              </w:rPr>
            </w:pPr>
          </w:p>
        </w:tc>
        <w:tc>
          <w:tcPr>
            <w:tcW w:w="100" w:type="dxa"/>
            <w:vAlign w:val="bottom"/>
            <w:shd w:val="clear" w:color="auto" w:fill="FDFDFC"/>
          </w:tcPr>
          <w:p>
            <w:pPr>
              <w:spacing w:after="0"/>
              <w:rPr>
                <w:sz w:val="15"/>
                <w:szCs w:val="15"/>
                <w:color w:val="auto"/>
              </w:rPr>
            </w:pPr>
          </w:p>
        </w:tc>
        <w:tc>
          <w:tcPr>
            <w:tcW w:w="2080" w:type="dxa"/>
            <w:vAlign w:val="bottom"/>
            <w:shd w:val="clear" w:color="auto" w:fill="FDFDFC"/>
          </w:tcPr>
          <w:p>
            <w:pPr>
              <w:spacing w:after="0"/>
              <w:rPr>
                <w:sz w:val="15"/>
                <w:szCs w:val="15"/>
                <w:color w:val="auto"/>
              </w:rPr>
            </w:pPr>
          </w:p>
        </w:tc>
        <w:tc>
          <w:tcPr>
            <w:tcW w:w="100" w:type="dxa"/>
            <w:vAlign w:val="bottom"/>
            <w:shd w:val="clear" w:color="auto" w:fill="FDFDFC"/>
          </w:tcPr>
          <w:p>
            <w:pPr>
              <w:spacing w:after="0"/>
              <w:rPr>
                <w:sz w:val="15"/>
                <w:szCs w:val="15"/>
                <w:color w:val="auto"/>
              </w:rPr>
            </w:pPr>
          </w:p>
        </w:tc>
        <w:tc>
          <w:tcPr>
            <w:tcW w:w="760" w:type="dxa"/>
            <w:vAlign w:val="bottom"/>
            <w:shd w:val="clear" w:color="auto" w:fill="FDFDFC"/>
          </w:tcPr>
          <w:p>
            <w:pPr>
              <w:jc w:val="center"/>
              <w:spacing w:after="0"/>
              <w:rPr>
                <w:sz w:val="20"/>
                <w:szCs w:val="20"/>
                <w:color w:val="auto"/>
              </w:rPr>
            </w:pPr>
            <w:r>
              <w:rPr>
                <w:rFonts w:ascii="Times New Roman" w:cs="Times New Roman" w:eastAsia="Times New Roman" w:hAnsi="Times New Roman"/>
                <w:sz w:val="15"/>
                <w:szCs w:val="15"/>
                <w:b w:val="1"/>
                <w:bCs w:val="1"/>
                <w:color w:val="231F20"/>
              </w:rPr>
              <w:t>Initial</w:t>
            </w:r>
          </w:p>
        </w:tc>
        <w:tc>
          <w:tcPr>
            <w:tcW w:w="20" w:type="dxa"/>
            <w:vAlign w:val="bottom"/>
          </w:tcPr>
          <w:p>
            <w:pPr>
              <w:spacing w:after="0"/>
              <w:rPr>
                <w:sz w:val="15"/>
                <w:szCs w:val="15"/>
                <w:color w:val="auto"/>
              </w:rPr>
            </w:pPr>
          </w:p>
        </w:tc>
        <w:tc>
          <w:tcPr>
            <w:tcW w:w="80" w:type="dxa"/>
            <w:vAlign w:val="bottom"/>
            <w:shd w:val="clear" w:color="auto" w:fill="FDFDFC"/>
          </w:tcPr>
          <w:p>
            <w:pPr>
              <w:spacing w:after="0"/>
              <w:rPr>
                <w:sz w:val="15"/>
                <w:szCs w:val="15"/>
                <w:color w:val="auto"/>
              </w:rPr>
            </w:pPr>
          </w:p>
        </w:tc>
        <w:tc>
          <w:tcPr>
            <w:tcW w:w="820" w:type="dxa"/>
            <w:vAlign w:val="bottom"/>
            <w:shd w:val="clear" w:color="auto" w:fill="FDFDFC"/>
          </w:tcPr>
          <w:p>
            <w:pPr>
              <w:jc w:val="center"/>
              <w:spacing w:after="0"/>
              <w:rPr>
                <w:sz w:val="20"/>
                <w:szCs w:val="20"/>
                <w:color w:val="auto"/>
              </w:rPr>
            </w:pPr>
            <w:r>
              <w:rPr>
                <w:rFonts w:ascii="Times New Roman" w:cs="Times New Roman" w:eastAsia="Times New Roman" w:hAnsi="Times New Roman"/>
                <w:sz w:val="15"/>
                <w:szCs w:val="15"/>
                <w:b w:val="1"/>
                <w:bCs w:val="1"/>
                <w:color w:val="231F20"/>
                <w:w w:val="99"/>
              </w:rPr>
              <w:t>Reference</w:t>
            </w:r>
          </w:p>
        </w:tc>
        <w:tc>
          <w:tcPr>
            <w:tcW w:w="100" w:type="dxa"/>
            <w:vAlign w:val="bottom"/>
            <w:shd w:val="clear" w:color="auto" w:fill="FDFDFC"/>
          </w:tcPr>
          <w:p>
            <w:pPr>
              <w:spacing w:after="0"/>
              <w:rPr>
                <w:sz w:val="15"/>
                <w:szCs w:val="15"/>
                <w:color w:val="auto"/>
              </w:rPr>
            </w:pPr>
          </w:p>
        </w:tc>
        <w:tc>
          <w:tcPr>
            <w:tcW w:w="920" w:type="dxa"/>
            <w:vAlign w:val="bottom"/>
            <w:shd w:val="clear" w:color="auto" w:fill="FDFDFC"/>
          </w:tcPr>
          <w:p>
            <w:pPr>
              <w:spacing w:after="0"/>
              <w:rPr>
                <w:sz w:val="15"/>
                <w:szCs w:val="15"/>
                <w:color w:val="auto"/>
              </w:rPr>
            </w:pPr>
          </w:p>
        </w:tc>
        <w:tc>
          <w:tcPr>
            <w:tcW w:w="120" w:type="dxa"/>
            <w:vAlign w:val="bottom"/>
            <w:shd w:val="clear" w:color="auto" w:fill="FDFDFC"/>
          </w:tcPr>
          <w:p>
            <w:pPr>
              <w:spacing w:after="0"/>
              <w:rPr>
                <w:sz w:val="15"/>
                <w:szCs w:val="15"/>
                <w:color w:val="auto"/>
              </w:rPr>
            </w:pPr>
          </w:p>
        </w:tc>
        <w:tc>
          <w:tcPr>
            <w:tcW w:w="1000" w:type="dxa"/>
            <w:vAlign w:val="bottom"/>
            <w:vMerge w:val="restart"/>
            <w:shd w:val="clear" w:color="auto" w:fill="FDFDFC"/>
          </w:tcPr>
          <w:p>
            <w:pPr>
              <w:jc w:val="right"/>
              <w:ind w:right="50"/>
              <w:spacing w:after="0"/>
              <w:rPr>
                <w:sz w:val="20"/>
                <w:szCs w:val="20"/>
                <w:color w:val="auto"/>
              </w:rPr>
            </w:pPr>
            <w:r>
              <w:rPr>
                <w:rFonts w:ascii="Times New Roman" w:cs="Times New Roman" w:eastAsia="Times New Roman" w:hAnsi="Times New Roman"/>
                <w:sz w:val="15"/>
                <w:szCs w:val="15"/>
                <w:b w:val="1"/>
                <w:bCs w:val="1"/>
                <w:color w:val="231F20"/>
              </w:rPr>
              <w:t>Amortized</w:t>
            </w:r>
          </w:p>
        </w:tc>
        <w:tc>
          <w:tcPr>
            <w:tcW w:w="80" w:type="dxa"/>
            <w:vAlign w:val="bottom"/>
            <w:shd w:val="clear" w:color="auto" w:fill="FDFDFC"/>
          </w:tcPr>
          <w:p>
            <w:pPr>
              <w:spacing w:after="0"/>
              <w:rPr>
                <w:sz w:val="15"/>
                <w:szCs w:val="15"/>
                <w:color w:val="auto"/>
              </w:rPr>
            </w:pPr>
          </w:p>
        </w:tc>
        <w:tc>
          <w:tcPr>
            <w:tcW w:w="1600" w:type="dxa"/>
            <w:vAlign w:val="bottom"/>
            <w:shd w:val="clear" w:color="auto" w:fill="FDFDFC"/>
          </w:tcPr>
          <w:p>
            <w:pPr>
              <w:spacing w:after="0"/>
              <w:rPr>
                <w:sz w:val="15"/>
                <w:szCs w:val="15"/>
                <w:color w:val="auto"/>
              </w:rPr>
            </w:pPr>
          </w:p>
        </w:tc>
        <w:tc>
          <w:tcPr>
            <w:tcW w:w="100" w:type="dxa"/>
            <w:vAlign w:val="bottom"/>
            <w:shd w:val="clear" w:color="auto" w:fill="FDFDFC"/>
          </w:tcPr>
          <w:p>
            <w:pPr>
              <w:spacing w:after="0"/>
              <w:rPr>
                <w:sz w:val="15"/>
                <w:szCs w:val="15"/>
                <w:color w:val="auto"/>
              </w:rPr>
            </w:pPr>
          </w:p>
        </w:tc>
        <w:tc>
          <w:tcPr>
            <w:tcW w:w="860" w:type="dxa"/>
            <w:vAlign w:val="bottom"/>
            <w:vMerge w:val="restart"/>
            <w:shd w:val="clear" w:color="auto" w:fill="FDFDFC"/>
          </w:tcPr>
          <w:p>
            <w:pPr>
              <w:jc w:val="right"/>
              <w:ind w:right="4"/>
              <w:spacing w:after="0"/>
              <w:rPr>
                <w:sz w:val="20"/>
                <w:szCs w:val="20"/>
                <w:color w:val="auto"/>
              </w:rPr>
            </w:pPr>
            <w:r>
              <w:rPr>
                <w:rFonts w:ascii="Times New Roman" w:cs="Times New Roman" w:eastAsia="Times New Roman" w:hAnsi="Times New Roman"/>
                <w:sz w:val="15"/>
                <w:szCs w:val="15"/>
                <w:b w:val="1"/>
                <w:bCs w:val="1"/>
                <w:color w:val="231F20"/>
              </w:rPr>
              <w:t>Percentage</w:t>
            </w:r>
          </w:p>
        </w:tc>
        <w:tc>
          <w:tcPr>
            <w:tcW w:w="0" w:type="dxa"/>
            <w:vAlign w:val="bottom"/>
          </w:tcPr>
          <w:p>
            <w:pPr>
              <w:spacing w:after="0"/>
              <w:rPr>
                <w:sz w:val="1"/>
                <w:szCs w:val="1"/>
                <w:color w:val="auto"/>
              </w:rPr>
            </w:pPr>
          </w:p>
        </w:tc>
      </w:tr>
      <w:tr>
        <w:trPr>
          <w:trHeight w:val="174"/>
        </w:trPr>
        <w:tc>
          <w:tcPr>
            <w:tcW w:w="1540" w:type="dxa"/>
            <w:vAlign w:val="bottom"/>
            <w:vMerge w:val="restart"/>
            <w:shd w:val="clear" w:color="auto" w:fill="FDFDFC"/>
          </w:tcPr>
          <w:p>
            <w:pPr>
              <w:spacing w:after="0"/>
              <w:rPr>
                <w:sz w:val="20"/>
                <w:szCs w:val="20"/>
                <w:color w:val="auto"/>
              </w:rPr>
            </w:pPr>
            <w:r>
              <w:rPr>
                <w:rFonts w:ascii="Times New Roman" w:cs="Times New Roman" w:eastAsia="Times New Roman" w:hAnsi="Times New Roman"/>
                <w:sz w:val="15"/>
                <w:szCs w:val="15"/>
                <w:b w:val="1"/>
                <w:bCs w:val="1"/>
                <w:color w:val="231F20"/>
              </w:rPr>
              <w:t xml:space="preserve">Company </w:t>
            </w:r>
            <w:r>
              <w:rPr>
                <w:rFonts w:ascii="Times New Roman" w:cs="Times New Roman" w:eastAsia="Times New Roman" w:hAnsi="Times New Roman"/>
                <w:sz w:val="9"/>
                <w:szCs w:val="9"/>
                <w:b w:val="1"/>
                <w:bCs w:val="1"/>
                <w:color w:val="231F20"/>
              </w:rPr>
              <w:t>(1)</w:t>
            </w:r>
          </w:p>
        </w:tc>
        <w:tc>
          <w:tcPr>
            <w:tcW w:w="100" w:type="dxa"/>
            <w:vAlign w:val="bottom"/>
            <w:shd w:val="clear" w:color="auto" w:fill="FDFDFC"/>
          </w:tcPr>
          <w:p>
            <w:pPr>
              <w:spacing w:after="0"/>
              <w:rPr>
                <w:sz w:val="15"/>
                <w:szCs w:val="15"/>
                <w:color w:val="auto"/>
              </w:rPr>
            </w:pPr>
          </w:p>
        </w:tc>
        <w:tc>
          <w:tcPr>
            <w:tcW w:w="2080" w:type="dxa"/>
            <w:vAlign w:val="bottom"/>
            <w:vMerge w:val="restart"/>
            <w:shd w:val="clear" w:color="auto" w:fill="FDFDFC"/>
          </w:tcPr>
          <w:p>
            <w:pPr>
              <w:ind w:left="660"/>
              <w:spacing w:after="0"/>
              <w:rPr>
                <w:sz w:val="20"/>
                <w:szCs w:val="20"/>
                <w:color w:val="auto"/>
              </w:rPr>
            </w:pPr>
            <w:r>
              <w:rPr>
                <w:rFonts w:ascii="Times New Roman" w:cs="Times New Roman" w:eastAsia="Times New Roman" w:hAnsi="Times New Roman"/>
                <w:sz w:val="15"/>
                <w:szCs w:val="15"/>
                <w:b w:val="1"/>
                <w:bCs w:val="1"/>
                <w:color w:val="231F20"/>
              </w:rPr>
              <w:t>Investment</w:t>
            </w:r>
          </w:p>
        </w:tc>
        <w:tc>
          <w:tcPr>
            <w:tcW w:w="100" w:type="dxa"/>
            <w:vAlign w:val="bottom"/>
            <w:shd w:val="clear" w:color="auto" w:fill="FDFDFC"/>
          </w:tcPr>
          <w:p>
            <w:pPr>
              <w:spacing w:after="0"/>
              <w:rPr>
                <w:sz w:val="15"/>
                <w:szCs w:val="15"/>
                <w:color w:val="auto"/>
              </w:rPr>
            </w:pPr>
          </w:p>
        </w:tc>
        <w:tc>
          <w:tcPr>
            <w:tcW w:w="760" w:type="dxa"/>
            <w:vAlign w:val="bottom"/>
            <w:shd w:val="clear" w:color="auto" w:fill="FDFDFC"/>
          </w:tcPr>
          <w:p>
            <w:pPr>
              <w:jc w:val="center"/>
              <w:spacing w:after="0"/>
              <w:rPr>
                <w:sz w:val="20"/>
                <w:szCs w:val="20"/>
                <w:color w:val="auto"/>
              </w:rPr>
            </w:pPr>
            <w:r>
              <w:rPr>
                <w:rFonts w:ascii="Times New Roman" w:cs="Times New Roman" w:eastAsia="Times New Roman" w:hAnsi="Times New Roman"/>
                <w:sz w:val="15"/>
                <w:szCs w:val="15"/>
                <w:b w:val="1"/>
                <w:bCs w:val="1"/>
                <w:color w:val="231F20"/>
              </w:rPr>
              <w:t>Acquisition</w:t>
            </w:r>
          </w:p>
        </w:tc>
        <w:tc>
          <w:tcPr>
            <w:tcW w:w="20" w:type="dxa"/>
            <w:vAlign w:val="bottom"/>
          </w:tcPr>
          <w:p>
            <w:pPr>
              <w:spacing w:after="0"/>
              <w:rPr>
                <w:sz w:val="15"/>
                <w:szCs w:val="15"/>
                <w:color w:val="auto"/>
              </w:rPr>
            </w:pPr>
          </w:p>
        </w:tc>
        <w:tc>
          <w:tcPr>
            <w:tcW w:w="80" w:type="dxa"/>
            <w:vAlign w:val="bottom"/>
            <w:shd w:val="clear" w:color="auto" w:fill="FDFDFC"/>
          </w:tcPr>
          <w:p>
            <w:pPr>
              <w:spacing w:after="0"/>
              <w:rPr>
                <w:sz w:val="15"/>
                <w:szCs w:val="15"/>
                <w:color w:val="auto"/>
              </w:rPr>
            </w:pPr>
          </w:p>
        </w:tc>
        <w:tc>
          <w:tcPr>
            <w:tcW w:w="820" w:type="dxa"/>
            <w:vAlign w:val="bottom"/>
            <w:shd w:val="clear" w:color="auto" w:fill="FDFDFC"/>
          </w:tcPr>
          <w:p>
            <w:pPr>
              <w:jc w:val="center"/>
              <w:spacing w:after="0"/>
              <w:rPr>
                <w:sz w:val="20"/>
                <w:szCs w:val="20"/>
                <w:color w:val="auto"/>
              </w:rPr>
            </w:pPr>
            <w:r>
              <w:rPr>
                <w:rFonts w:ascii="Times New Roman" w:cs="Times New Roman" w:eastAsia="Times New Roman" w:hAnsi="Times New Roman"/>
                <w:sz w:val="15"/>
                <w:szCs w:val="15"/>
                <w:b w:val="1"/>
                <w:bCs w:val="1"/>
                <w:color w:val="231F20"/>
              </w:rPr>
              <w:t>Rate and</w:t>
            </w:r>
          </w:p>
        </w:tc>
        <w:tc>
          <w:tcPr>
            <w:tcW w:w="100" w:type="dxa"/>
            <w:vAlign w:val="bottom"/>
            <w:shd w:val="clear" w:color="auto" w:fill="FDFDFC"/>
          </w:tcPr>
          <w:p>
            <w:pPr>
              <w:spacing w:after="0"/>
              <w:rPr>
                <w:sz w:val="15"/>
                <w:szCs w:val="15"/>
                <w:color w:val="auto"/>
              </w:rPr>
            </w:pPr>
          </w:p>
        </w:tc>
        <w:tc>
          <w:tcPr>
            <w:tcW w:w="920" w:type="dxa"/>
            <w:vAlign w:val="bottom"/>
            <w:vMerge w:val="restart"/>
            <w:shd w:val="clear" w:color="auto" w:fill="FDFDFC"/>
          </w:tcPr>
          <w:p>
            <w:pPr>
              <w:jc w:val="right"/>
              <w:spacing w:after="0"/>
              <w:rPr>
                <w:sz w:val="20"/>
                <w:szCs w:val="20"/>
                <w:color w:val="auto"/>
              </w:rPr>
            </w:pPr>
            <w:r>
              <w:rPr>
                <w:rFonts w:ascii="Times New Roman" w:cs="Times New Roman" w:eastAsia="Times New Roman" w:hAnsi="Times New Roman"/>
                <w:sz w:val="15"/>
                <w:szCs w:val="15"/>
                <w:b w:val="1"/>
                <w:bCs w:val="1"/>
                <w:color w:val="231F20"/>
              </w:rPr>
              <w:t>Interest Rate</w:t>
            </w:r>
          </w:p>
        </w:tc>
        <w:tc>
          <w:tcPr>
            <w:tcW w:w="120" w:type="dxa"/>
            <w:vAlign w:val="bottom"/>
            <w:shd w:val="clear" w:color="auto" w:fill="FDFDFC"/>
          </w:tcPr>
          <w:p>
            <w:pPr>
              <w:spacing w:after="0"/>
              <w:rPr>
                <w:sz w:val="15"/>
                <w:szCs w:val="15"/>
                <w:color w:val="auto"/>
              </w:rPr>
            </w:pPr>
          </w:p>
        </w:tc>
        <w:tc>
          <w:tcPr>
            <w:tcW w:w="1000" w:type="dxa"/>
            <w:vAlign w:val="bottom"/>
            <w:vMerge w:val="continue"/>
            <w:shd w:val="clear" w:color="auto" w:fill="FDFDFC"/>
          </w:tcPr>
          <w:p>
            <w:pPr>
              <w:spacing w:after="0"/>
              <w:rPr>
                <w:sz w:val="15"/>
                <w:szCs w:val="15"/>
                <w:color w:val="auto"/>
              </w:rPr>
            </w:pPr>
          </w:p>
        </w:tc>
        <w:tc>
          <w:tcPr>
            <w:tcW w:w="80" w:type="dxa"/>
            <w:vAlign w:val="bottom"/>
            <w:shd w:val="clear" w:color="auto" w:fill="FDFDFC"/>
          </w:tcPr>
          <w:p>
            <w:pPr>
              <w:spacing w:after="0"/>
              <w:rPr>
                <w:sz w:val="15"/>
                <w:szCs w:val="15"/>
                <w:color w:val="auto"/>
              </w:rPr>
            </w:pPr>
          </w:p>
        </w:tc>
        <w:tc>
          <w:tcPr>
            <w:tcW w:w="1600" w:type="dxa"/>
            <w:vAlign w:val="bottom"/>
            <w:vMerge w:val="restart"/>
            <w:shd w:val="clear" w:color="auto" w:fill="FDFDFC"/>
          </w:tcPr>
          <w:p>
            <w:pPr>
              <w:jc w:val="right"/>
              <w:ind w:right="264"/>
              <w:spacing w:after="0"/>
              <w:rPr>
                <w:sz w:val="20"/>
                <w:szCs w:val="20"/>
                <w:color w:val="auto"/>
              </w:rPr>
            </w:pPr>
            <w:r>
              <w:rPr>
                <w:rFonts w:ascii="Times New Roman" w:cs="Times New Roman" w:eastAsia="Times New Roman" w:hAnsi="Times New Roman"/>
                <w:sz w:val="15"/>
                <w:szCs w:val="15"/>
                <w:b w:val="1"/>
                <w:bCs w:val="1"/>
                <w:color w:val="231F20"/>
              </w:rPr>
              <w:t xml:space="preserve">Fair Value </w:t>
            </w:r>
            <w:r>
              <w:rPr>
                <w:rFonts w:ascii="Times New Roman" w:cs="Times New Roman" w:eastAsia="Times New Roman" w:hAnsi="Times New Roman"/>
                <w:sz w:val="9"/>
                <w:szCs w:val="9"/>
                <w:b w:val="1"/>
                <w:bCs w:val="1"/>
                <w:color w:val="231F20"/>
              </w:rPr>
              <w:t>(8)</w:t>
            </w:r>
          </w:p>
        </w:tc>
        <w:tc>
          <w:tcPr>
            <w:tcW w:w="100" w:type="dxa"/>
            <w:vAlign w:val="bottom"/>
            <w:shd w:val="clear" w:color="auto" w:fill="FDFDFC"/>
          </w:tcPr>
          <w:p>
            <w:pPr>
              <w:spacing w:after="0"/>
              <w:rPr>
                <w:sz w:val="15"/>
                <w:szCs w:val="15"/>
                <w:color w:val="auto"/>
              </w:rPr>
            </w:pPr>
          </w:p>
        </w:tc>
        <w:tc>
          <w:tcPr>
            <w:tcW w:w="860" w:type="dxa"/>
            <w:vAlign w:val="bottom"/>
            <w:vMerge w:val="continue"/>
            <w:shd w:val="clear" w:color="auto" w:fill="FDFDFC"/>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1540" w:type="dxa"/>
            <w:vAlign w:val="bottom"/>
            <w:tcBorders>
              <w:bottom w:val="single" w:sz="8" w:color="231F20"/>
            </w:tcBorders>
            <w:vMerge w:val="continue"/>
            <w:shd w:val="clear" w:color="auto" w:fill="FDFDFC"/>
          </w:tcPr>
          <w:p>
            <w:pPr>
              <w:spacing w:after="0"/>
              <w:rPr>
                <w:sz w:val="16"/>
                <w:szCs w:val="16"/>
                <w:color w:val="auto"/>
              </w:rPr>
            </w:pPr>
          </w:p>
        </w:tc>
        <w:tc>
          <w:tcPr>
            <w:tcW w:w="100" w:type="dxa"/>
            <w:vAlign w:val="bottom"/>
            <w:tcBorders>
              <w:bottom w:val="single" w:sz="8" w:color="FDFDFC"/>
            </w:tcBorders>
            <w:shd w:val="clear" w:color="auto" w:fill="FDFDFC"/>
          </w:tcPr>
          <w:p>
            <w:pPr>
              <w:spacing w:after="0"/>
              <w:rPr>
                <w:sz w:val="16"/>
                <w:szCs w:val="16"/>
                <w:color w:val="auto"/>
              </w:rPr>
            </w:pPr>
          </w:p>
        </w:tc>
        <w:tc>
          <w:tcPr>
            <w:tcW w:w="2080" w:type="dxa"/>
            <w:vAlign w:val="bottom"/>
            <w:tcBorders>
              <w:bottom w:val="single" w:sz="8" w:color="231F20"/>
            </w:tcBorders>
            <w:vMerge w:val="continue"/>
            <w:shd w:val="clear" w:color="auto" w:fill="FDFDFC"/>
          </w:tcPr>
          <w:p>
            <w:pPr>
              <w:spacing w:after="0"/>
              <w:rPr>
                <w:sz w:val="16"/>
                <w:szCs w:val="16"/>
                <w:color w:val="auto"/>
              </w:rPr>
            </w:pPr>
          </w:p>
        </w:tc>
        <w:tc>
          <w:tcPr>
            <w:tcW w:w="100" w:type="dxa"/>
            <w:vAlign w:val="bottom"/>
            <w:tcBorders>
              <w:bottom w:val="single" w:sz="8" w:color="FDFDFC"/>
            </w:tcBorders>
            <w:shd w:val="clear" w:color="auto" w:fill="FDFDFC"/>
          </w:tcPr>
          <w:p>
            <w:pPr>
              <w:spacing w:after="0"/>
              <w:rPr>
                <w:sz w:val="16"/>
                <w:szCs w:val="16"/>
                <w:color w:val="auto"/>
              </w:rPr>
            </w:pPr>
          </w:p>
        </w:tc>
        <w:tc>
          <w:tcPr>
            <w:tcW w:w="760" w:type="dxa"/>
            <w:vAlign w:val="bottom"/>
            <w:tcBorders>
              <w:bottom w:val="single" w:sz="8" w:color="231F20"/>
            </w:tcBorders>
            <w:shd w:val="clear" w:color="auto" w:fill="FDFDFC"/>
          </w:tcPr>
          <w:p>
            <w:pPr>
              <w:jc w:val="center"/>
              <w:spacing w:after="0"/>
              <w:rPr>
                <w:sz w:val="20"/>
                <w:szCs w:val="20"/>
                <w:color w:val="auto"/>
              </w:rPr>
            </w:pPr>
            <w:r>
              <w:rPr>
                <w:rFonts w:ascii="Times New Roman" w:cs="Times New Roman" w:eastAsia="Times New Roman" w:hAnsi="Times New Roman"/>
                <w:sz w:val="15"/>
                <w:szCs w:val="15"/>
                <w:b w:val="1"/>
                <w:bCs w:val="1"/>
                <w:color w:val="231F20"/>
                <w:w w:val="99"/>
              </w:rPr>
              <w:t>Date</w:t>
            </w:r>
          </w:p>
        </w:tc>
        <w:tc>
          <w:tcPr>
            <w:tcW w:w="20" w:type="dxa"/>
            <w:vAlign w:val="bottom"/>
          </w:tcPr>
          <w:p>
            <w:pPr>
              <w:spacing w:after="0"/>
              <w:rPr>
                <w:sz w:val="16"/>
                <w:szCs w:val="16"/>
                <w:color w:val="auto"/>
              </w:rPr>
            </w:pPr>
          </w:p>
        </w:tc>
        <w:tc>
          <w:tcPr>
            <w:tcW w:w="80" w:type="dxa"/>
            <w:vAlign w:val="bottom"/>
            <w:tcBorders>
              <w:bottom w:val="single" w:sz="8" w:color="FDFDFC"/>
            </w:tcBorders>
            <w:shd w:val="clear" w:color="auto" w:fill="FDFDFC"/>
          </w:tcPr>
          <w:p>
            <w:pPr>
              <w:spacing w:after="0"/>
              <w:rPr>
                <w:sz w:val="16"/>
                <w:szCs w:val="16"/>
                <w:color w:val="auto"/>
              </w:rPr>
            </w:pPr>
          </w:p>
        </w:tc>
        <w:tc>
          <w:tcPr>
            <w:tcW w:w="820" w:type="dxa"/>
            <w:vAlign w:val="bottom"/>
            <w:tcBorders>
              <w:bottom w:val="single" w:sz="8" w:color="231F20"/>
            </w:tcBorders>
            <w:shd w:val="clear" w:color="auto" w:fill="FDFDFC"/>
          </w:tcPr>
          <w:p>
            <w:pPr>
              <w:jc w:val="center"/>
              <w:spacing w:after="0"/>
              <w:rPr>
                <w:sz w:val="20"/>
                <w:szCs w:val="20"/>
                <w:color w:val="auto"/>
              </w:rPr>
            </w:pPr>
            <w:r>
              <w:rPr>
                <w:rFonts w:ascii="Times New Roman" w:cs="Times New Roman" w:eastAsia="Times New Roman" w:hAnsi="Times New Roman"/>
                <w:sz w:val="15"/>
                <w:szCs w:val="15"/>
                <w:b w:val="1"/>
                <w:bCs w:val="1"/>
                <w:color w:val="231F20"/>
              </w:rPr>
              <w:t>Spread</w:t>
            </w:r>
          </w:p>
        </w:tc>
        <w:tc>
          <w:tcPr>
            <w:tcW w:w="100" w:type="dxa"/>
            <w:vAlign w:val="bottom"/>
            <w:tcBorders>
              <w:bottom w:val="single" w:sz="8" w:color="FDFDFC"/>
            </w:tcBorders>
            <w:shd w:val="clear" w:color="auto" w:fill="FDFDFC"/>
          </w:tcPr>
          <w:p>
            <w:pPr>
              <w:spacing w:after="0"/>
              <w:rPr>
                <w:sz w:val="16"/>
                <w:szCs w:val="16"/>
                <w:color w:val="auto"/>
              </w:rPr>
            </w:pPr>
          </w:p>
        </w:tc>
        <w:tc>
          <w:tcPr>
            <w:tcW w:w="920" w:type="dxa"/>
            <w:vAlign w:val="bottom"/>
            <w:tcBorders>
              <w:bottom w:val="single" w:sz="8" w:color="231F20"/>
            </w:tcBorders>
            <w:vMerge w:val="continue"/>
            <w:shd w:val="clear" w:color="auto" w:fill="FDFDFC"/>
          </w:tcPr>
          <w:p>
            <w:pPr>
              <w:spacing w:after="0"/>
              <w:rPr>
                <w:sz w:val="16"/>
                <w:szCs w:val="16"/>
                <w:color w:val="auto"/>
              </w:rPr>
            </w:pPr>
          </w:p>
        </w:tc>
        <w:tc>
          <w:tcPr>
            <w:tcW w:w="120" w:type="dxa"/>
            <w:vAlign w:val="bottom"/>
            <w:tcBorders>
              <w:bottom w:val="single" w:sz="8" w:color="FDFDFC"/>
            </w:tcBorders>
            <w:shd w:val="clear" w:color="auto" w:fill="FDFDFC"/>
          </w:tcPr>
          <w:p>
            <w:pPr>
              <w:spacing w:after="0"/>
              <w:rPr>
                <w:sz w:val="16"/>
                <w:szCs w:val="16"/>
                <w:color w:val="auto"/>
              </w:rPr>
            </w:pPr>
          </w:p>
        </w:tc>
        <w:tc>
          <w:tcPr>
            <w:tcW w:w="1000" w:type="dxa"/>
            <w:vAlign w:val="bottom"/>
            <w:tcBorders>
              <w:bottom w:val="single" w:sz="8" w:color="231F20"/>
            </w:tcBorders>
            <w:shd w:val="clear" w:color="auto" w:fill="FDFDFC"/>
          </w:tcPr>
          <w:p>
            <w:pPr>
              <w:jc w:val="right"/>
              <w:ind w:right="130"/>
              <w:spacing w:after="0" w:line="191" w:lineRule="exact"/>
              <w:rPr>
                <w:sz w:val="20"/>
                <w:szCs w:val="20"/>
                <w:color w:val="auto"/>
              </w:rPr>
            </w:pPr>
            <w:r>
              <w:rPr>
                <w:rFonts w:ascii="Times New Roman" w:cs="Times New Roman" w:eastAsia="Times New Roman" w:hAnsi="Times New Roman"/>
                <w:sz w:val="22"/>
                <w:szCs w:val="22"/>
                <w:b w:val="1"/>
                <w:bCs w:val="1"/>
                <w:color w:val="231F20"/>
                <w:vertAlign w:val="subscript"/>
              </w:rPr>
              <w:t>Cost</w:t>
            </w:r>
            <w:r>
              <w:rPr>
                <w:rFonts w:ascii="Times New Roman" w:cs="Times New Roman" w:eastAsia="Times New Roman" w:hAnsi="Times New Roman"/>
                <w:sz w:val="8"/>
                <w:szCs w:val="8"/>
                <w:b w:val="1"/>
                <w:bCs w:val="1"/>
                <w:color w:val="231F20"/>
              </w:rPr>
              <w:t xml:space="preserve"> (2)(7)</w:t>
            </w:r>
          </w:p>
        </w:tc>
        <w:tc>
          <w:tcPr>
            <w:tcW w:w="80" w:type="dxa"/>
            <w:vAlign w:val="bottom"/>
            <w:tcBorders>
              <w:bottom w:val="single" w:sz="8" w:color="FDFDFC"/>
            </w:tcBorders>
            <w:shd w:val="clear" w:color="auto" w:fill="FDFDFC"/>
          </w:tcPr>
          <w:p>
            <w:pPr>
              <w:spacing w:after="0"/>
              <w:rPr>
                <w:sz w:val="16"/>
                <w:szCs w:val="16"/>
                <w:color w:val="auto"/>
              </w:rPr>
            </w:pPr>
          </w:p>
        </w:tc>
        <w:tc>
          <w:tcPr>
            <w:tcW w:w="1600" w:type="dxa"/>
            <w:vAlign w:val="bottom"/>
            <w:tcBorders>
              <w:bottom w:val="single" w:sz="8" w:color="231F20"/>
            </w:tcBorders>
            <w:vMerge w:val="continue"/>
            <w:shd w:val="clear" w:color="auto" w:fill="FDFDFC"/>
          </w:tcPr>
          <w:p>
            <w:pPr>
              <w:spacing w:after="0"/>
              <w:rPr>
                <w:sz w:val="16"/>
                <w:szCs w:val="16"/>
                <w:color w:val="auto"/>
              </w:rPr>
            </w:pPr>
          </w:p>
        </w:tc>
        <w:tc>
          <w:tcPr>
            <w:tcW w:w="100" w:type="dxa"/>
            <w:vAlign w:val="bottom"/>
            <w:tcBorders>
              <w:bottom w:val="single" w:sz="8" w:color="FDFDFC"/>
            </w:tcBorders>
            <w:shd w:val="clear" w:color="auto" w:fill="FDFDFC"/>
          </w:tcPr>
          <w:p>
            <w:pPr>
              <w:spacing w:after="0"/>
              <w:rPr>
                <w:sz w:val="16"/>
                <w:szCs w:val="16"/>
                <w:color w:val="auto"/>
              </w:rPr>
            </w:pPr>
          </w:p>
        </w:tc>
        <w:tc>
          <w:tcPr>
            <w:tcW w:w="860" w:type="dxa"/>
            <w:vAlign w:val="bottom"/>
            <w:tcBorders>
              <w:bottom w:val="single" w:sz="8" w:color="231F20"/>
            </w:tcBorders>
            <w:shd w:val="clear" w:color="auto" w:fill="FDFDFC"/>
          </w:tcPr>
          <w:p>
            <w:pPr>
              <w:jc w:val="right"/>
              <w:spacing w:after="0"/>
              <w:rPr>
                <w:sz w:val="20"/>
                <w:szCs w:val="20"/>
                <w:color w:val="auto"/>
              </w:rPr>
            </w:pPr>
            <w:r>
              <w:rPr>
                <w:rFonts w:ascii="Times New Roman" w:cs="Times New Roman" w:eastAsia="Times New Roman" w:hAnsi="Times New Roman"/>
                <w:sz w:val="15"/>
                <w:szCs w:val="15"/>
                <w:b w:val="1"/>
                <w:bCs w:val="1"/>
                <w:color w:val="231F20"/>
                <w:w w:val="99"/>
              </w:rPr>
              <w:t>of Net Assets</w:t>
            </w:r>
          </w:p>
        </w:tc>
        <w:tc>
          <w:tcPr>
            <w:tcW w:w="0" w:type="dxa"/>
            <w:vAlign w:val="bottom"/>
          </w:tcPr>
          <w:p>
            <w:pPr>
              <w:spacing w:after="0"/>
              <w:rPr>
                <w:sz w:val="1"/>
                <w:szCs w:val="1"/>
                <w:color w:val="auto"/>
              </w:rPr>
            </w:pPr>
          </w:p>
        </w:tc>
      </w:tr>
      <w:tr>
        <w:trPr>
          <w:trHeight w:val="176"/>
        </w:trPr>
        <w:tc>
          <w:tcPr>
            <w:tcW w:w="1540" w:type="dxa"/>
            <w:vAlign w:val="bottom"/>
            <w:shd w:val="clear" w:color="auto" w:fill="FDFDFC"/>
          </w:tcPr>
          <w:p>
            <w:pPr>
              <w:spacing w:after="0"/>
              <w:rPr>
                <w:sz w:val="20"/>
                <w:szCs w:val="20"/>
                <w:color w:val="auto"/>
              </w:rPr>
            </w:pPr>
            <w:r>
              <w:rPr>
                <w:rFonts w:ascii="Times New Roman" w:cs="Times New Roman" w:eastAsia="Times New Roman" w:hAnsi="Times New Roman"/>
                <w:sz w:val="15"/>
                <w:szCs w:val="15"/>
                <w:b w:val="1"/>
                <w:bCs w:val="1"/>
                <w:color w:val="231F20"/>
              </w:rPr>
              <w:t>Debt Investments</w:t>
            </w:r>
          </w:p>
        </w:tc>
        <w:tc>
          <w:tcPr>
            <w:tcW w:w="100" w:type="dxa"/>
            <w:vAlign w:val="bottom"/>
            <w:shd w:val="clear" w:color="auto" w:fill="FDFDFC"/>
          </w:tcPr>
          <w:p>
            <w:pPr>
              <w:spacing w:after="0"/>
              <w:rPr>
                <w:sz w:val="15"/>
                <w:szCs w:val="15"/>
                <w:color w:val="auto"/>
              </w:rPr>
            </w:pPr>
          </w:p>
        </w:tc>
        <w:tc>
          <w:tcPr>
            <w:tcW w:w="2080" w:type="dxa"/>
            <w:vAlign w:val="bottom"/>
            <w:shd w:val="clear" w:color="auto" w:fill="FDFDFC"/>
          </w:tcPr>
          <w:p>
            <w:pPr>
              <w:spacing w:after="0"/>
              <w:rPr>
                <w:sz w:val="15"/>
                <w:szCs w:val="15"/>
                <w:color w:val="auto"/>
              </w:rPr>
            </w:pPr>
          </w:p>
        </w:tc>
        <w:tc>
          <w:tcPr>
            <w:tcW w:w="100" w:type="dxa"/>
            <w:vAlign w:val="bottom"/>
            <w:shd w:val="clear" w:color="auto" w:fill="FDFDFC"/>
          </w:tcPr>
          <w:p>
            <w:pPr>
              <w:spacing w:after="0"/>
              <w:rPr>
                <w:sz w:val="15"/>
                <w:szCs w:val="15"/>
                <w:color w:val="auto"/>
              </w:rPr>
            </w:pPr>
          </w:p>
        </w:tc>
        <w:tc>
          <w:tcPr>
            <w:tcW w:w="760" w:type="dxa"/>
            <w:vAlign w:val="bottom"/>
            <w:shd w:val="clear" w:color="auto" w:fill="FDFDFC"/>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shd w:val="clear" w:color="auto" w:fill="FDFDFC"/>
          </w:tcPr>
          <w:p>
            <w:pPr>
              <w:spacing w:after="0"/>
              <w:rPr>
                <w:sz w:val="15"/>
                <w:szCs w:val="15"/>
                <w:color w:val="auto"/>
              </w:rPr>
            </w:pPr>
          </w:p>
        </w:tc>
        <w:tc>
          <w:tcPr>
            <w:tcW w:w="820" w:type="dxa"/>
            <w:vAlign w:val="bottom"/>
            <w:shd w:val="clear" w:color="auto" w:fill="FDFDFC"/>
          </w:tcPr>
          <w:p>
            <w:pPr>
              <w:spacing w:after="0"/>
              <w:rPr>
                <w:sz w:val="15"/>
                <w:szCs w:val="15"/>
                <w:color w:val="auto"/>
              </w:rPr>
            </w:pPr>
          </w:p>
        </w:tc>
        <w:tc>
          <w:tcPr>
            <w:tcW w:w="100" w:type="dxa"/>
            <w:vAlign w:val="bottom"/>
            <w:shd w:val="clear" w:color="auto" w:fill="FDFDFC"/>
          </w:tcPr>
          <w:p>
            <w:pPr>
              <w:spacing w:after="0"/>
              <w:rPr>
                <w:sz w:val="15"/>
                <w:szCs w:val="15"/>
                <w:color w:val="auto"/>
              </w:rPr>
            </w:pPr>
          </w:p>
        </w:tc>
        <w:tc>
          <w:tcPr>
            <w:tcW w:w="920" w:type="dxa"/>
            <w:vAlign w:val="bottom"/>
            <w:shd w:val="clear" w:color="auto" w:fill="FDFDFC"/>
          </w:tcPr>
          <w:p>
            <w:pPr>
              <w:spacing w:after="0"/>
              <w:rPr>
                <w:sz w:val="15"/>
                <w:szCs w:val="15"/>
                <w:color w:val="auto"/>
              </w:rPr>
            </w:pPr>
          </w:p>
        </w:tc>
        <w:tc>
          <w:tcPr>
            <w:tcW w:w="120" w:type="dxa"/>
            <w:vAlign w:val="bottom"/>
            <w:shd w:val="clear" w:color="auto" w:fill="FDFDFC"/>
          </w:tcPr>
          <w:p>
            <w:pPr>
              <w:spacing w:after="0"/>
              <w:rPr>
                <w:sz w:val="15"/>
                <w:szCs w:val="15"/>
                <w:color w:val="auto"/>
              </w:rPr>
            </w:pPr>
          </w:p>
        </w:tc>
        <w:tc>
          <w:tcPr>
            <w:tcW w:w="1000" w:type="dxa"/>
            <w:vAlign w:val="bottom"/>
            <w:shd w:val="clear" w:color="auto" w:fill="FDFDFC"/>
          </w:tcPr>
          <w:p>
            <w:pPr>
              <w:spacing w:after="0"/>
              <w:rPr>
                <w:sz w:val="15"/>
                <w:szCs w:val="15"/>
                <w:color w:val="auto"/>
              </w:rPr>
            </w:pPr>
          </w:p>
        </w:tc>
        <w:tc>
          <w:tcPr>
            <w:tcW w:w="80" w:type="dxa"/>
            <w:vAlign w:val="bottom"/>
            <w:shd w:val="clear" w:color="auto" w:fill="FDFDFC"/>
          </w:tcPr>
          <w:p>
            <w:pPr>
              <w:spacing w:after="0"/>
              <w:rPr>
                <w:sz w:val="15"/>
                <w:szCs w:val="15"/>
                <w:color w:val="auto"/>
              </w:rPr>
            </w:pPr>
          </w:p>
        </w:tc>
        <w:tc>
          <w:tcPr>
            <w:tcW w:w="1600" w:type="dxa"/>
            <w:vAlign w:val="bottom"/>
            <w:shd w:val="clear" w:color="auto" w:fill="FDFDFC"/>
          </w:tcPr>
          <w:p>
            <w:pPr>
              <w:spacing w:after="0"/>
              <w:rPr>
                <w:sz w:val="15"/>
                <w:szCs w:val="15"/>
                <w:color w:val="auto"/>
              </w:rPr>
            </w:pPr>
          </w:p>
        </w:tc>
        <w:tc>
          <w:tcPr>
            <w:tcW w:w="100" w:type="dxa"/>
            <w:vAlign w:val="bottom"/>
            <w:shd w:val="clear" w:color="auto" w:fill="FDFDFC"/>
          </w:tcPr>
          <w:p>
            <w:pPr>
              <w:spacing w:after="0"/>
              <w:rPr>
                <w:sz w:val="15"/>
                <w:szCs w:val="15"/>
                <w:color w:val="auto"/>
              </w:rPr>
            </w:pPr>
          </w:p>
        </w:tc>
        <w:tc>
          <w:tcPr>
            <w:tcW w:w="860" w:type="dxa"/>
            <w:vAlign w:val="bottom"/>
            <w:shd w:val="clear" w:color="auto" w:fill="FDFDFC"/>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1540" w:type="dxa"/>
            <w:vAlign w:val="bottom"/>
            <w:shd w:val="clear" w:color="auto" w:fill="D0EBF2"/>
          </w:tcPr>
          <w:p>
            <w:pPr>
              <w:spacing w:after="0"/>
              <w:rPr>
                <w:sz w:val="20"/>
                <w:szCs w:val="20"/>
                <w:color w:val="auto"/>
              </w:rPr>
            </w:pPr>
            <w:r>
              <w:rPr>
                <w:rFonts w:ascii="Times New Roman" w:cs="Times New Roman" w:eastAsia="Times New Roman" w:hAnsi="Times New Roman"/>
                <w:sz w:val="15"/>
                <w:szCs w:val="15"/>
                <w:b w:val="1"/>
                <w:bCs w:val="1"/>
                <w:color w:val="231F20"/>
              </w:rPr>
              <w:t>Automotive</w:t>
            </w:r>
          </w:p>
        </w:tc>
        <w:tc>
          <w:tcPr>
            <w:tcW w:w="100" w:type="dxa"/>
            <w:vAlign w:val="bottom"/>
            <w:shd w:val="clear" w:color="auto" w:fill="D0EBF2"/>
          </w:tcPr>
          <w:p>
            <w:pPr>
              <w:spacing w:after="0"/>
              <w:rPr>
                <w:sz w:val="16"/>
                <w:szCs w:val="16"/>
                <w:color w:val="auto"/>
              </w:rPr>
            </w:pPr>
          </w:p>
        </w:tc>
        <w:tc>
          <w:tcPr>
            <w:tcW w:w="2080" w:type="dxa"/>
            <w:vAlign w:val="bottom"/>
            <w:shd w:val="clear" w:color="auto" w:fill="D0EBF2"/>
          </w:tcPr>
          <w:p>
            <w:pPr>
              <w:spacing w:after="0"/>
              <w:rPr>
                <w:sz w:val="16"/>
                <w:szCs w:val="16"/>
                <w:color w:val="auto"/>
              </w:rPr>
            </w:pPr>
          </w:p>
        </w:tc>
        <w:tc>
          <w:tcPr>
            <w:tcW w:w="100" w:type="dxa"/>
            <w:vAlign w:val="bottom"/>
            <w:shd w:val="clear" w:color="auto" w:fill="D0EBF2"/>
          </w:tcPr>
          <w:p>
            <w:pPr>
              <w:spacing w:after="0"/>
              <w:rPr>
                <w:sz w:val="16"/>
                <w:szCs w:val="16"/>
                <w:color w:val="auto"/>
              </w:rPr>
            </w:pPr>
          </w:p>
        </w:tc>
        <w:tc>
          <w:tcPr>
            <w:tcW w:w="760" w:type="dxa"/>
            <w:vAlign w:val="bottom"/>
            <w:shd w:val="clear" w:color="auto" w:fill="D0EBF2"/>
          </w:tcPr>
          <w:p>
            <w:pPr>
              <w:spacing w:after="0"/>
              <w:rPr>
                <w:sz w:val="16"/>
                <w:szCs w:val="16"/>
                <w:color w:val="auto"/>
              </w:rPr>
            </w:pPr>
          </w:p>
        </w:tc>
        <w:tc>
          <w:tcPr>
            <w:tcW w:w="20" w:type="dxa"/>
            <w:vAlign w:val="bottom"/>
            <w:shd w:val="clear" w:color="auto" w:fill="D0EBF2"/>
          </w:tcPr>
          <w:p>
            <w:pPr>
              <w:spacing w:after="0"/>
              <w:rPr>
                <w:sz w:val="16"/>
                <w:szCs w:val="16"/>
                <w:color w:val="auto"/>
              </w:rPr>
            </w:pPr>
          </w:p>
        </w:tc>
        <w:tc>
          <w:tcPr>
            <w:tcW w:w="80" w:type="dxa"/>
            <w:vAlign w:val="bottom"/>
            <w:shd w:val="clear" w:color="auto" w:fill="D0EBF2"/>
          </w:tcPr>
          <w:p>
            <w:pPr>
              <w:spacing w:after="0"/>
              <w:rPr>
                <w:sz w:val="16"/>
                <w:szCs w:val="16"/>
                <w:color w:val="auto"/>
              </w:rPr>
            </w:pPr>
          </w:p>
        </w:tc>
        <w:tc>
          <w:tcPr>
            <w:tcW w:w="820" w:type="dxa"/>
            <w:vAlign w:val="bottom"/>
            <w:shd w:val="clear" w:color="auto" w:fill="D0EBF2"/>
          </w:tcPr>
          <w:p>
            <w:pPr>
              <w:spacing w:after="0"/>
              <w:rPr>
                <w:sz w:val="16"/>
                <w:szCs w:val="16"/>
                <w:color w:val="auto"/>
              </w:rPr>
            </w:pPr>
          </w:p>
        </w:tc>
        <w:tc>
          <w:tcPr>
            <w:tcW w:w="100" w:type="dxa"/>
            <w:vAlign w:val="bottom"/>
            <w:shd w:val="clear" w:color="auto" w:fill="D0EBF2"/>
          </w:tcPr>
          <w:p>
            <w:pPr>
              <w:spacing w:after="0"/>
              <w:rPr>
                <w:sz w:val="16"/>
                <w:szCs w:val="16"/>
                <w:color w:val="auto"/>
              </w:rPr>
            </w:pPr>
          </w:p>
        </w:tc>
        <w:tc>
          <w:tcPr>
            <w:tcW w:w="920" w:type="dxa"/>
            <w:vAlign w:val="bottom"/>
            <w:shd w:val="clear" w:color="auto" w:fill="D0EBF2"/>
          </w:tcPr>
          <w:p>
            <w:pPr>
              <w:spacing w:after="0"/>
              <w:rPr>
                <w:sz w:val="16"/>
                <w:szCs w:val="16"/>
                <w:color w:val="auto"/>
              </w:rPr>
            </w:pPr>
          </w:p>
        </w:tc>
        <w:tc>
          <w:tcPr>
            <w:tcW w:w="120" w:type="dxa"/>
            <w:vAlign w:val="bottom"/>
            <w:shd w:val="clear" w:color="auto" w:fill="D0EBF2"/>
          </w:tcPr>
          <w:p>
            <w:pPr>
              <w:spacing w:after="0"/>
              <w:rPr>
                <w:sz w:val="16"/>
                <w:szCs w:val="16"/>
                <w:color w:val="auto"/>
              </w:rPr>
            </w:pPr>
          </w:p>
        </w:tc>
        <w:tc>
          <w:tcPr>
            <w:tcW w:w="1000" w:type="dxa"/>
            <w:vAlign w:val="bottom"/>
            <w:shd w:val="clear" w:color="auto" w:fill="D0EBF2"/>
          </w:tcPr>
          <w:p>
            <w:pPr>
              <w:spacing w:after="0"/>
              <w:rPr>
                <w:sz w:val="16"/>
                <w:szCs w:val="16"/>
                <w:color w:val="auto"/>
              </w:rPr>
            </w:pPr>
          </w:p>
        </w:tc>
        <w:tc>
          <w:tcPr>
            <w:tcW w:w="80" w:type="dxa"/>
            <w:vAlign w:val="bottom"/>
            <w:shd w:val="clear" w:color="auto" w:fill="D0EBF2"/>
          </w:tcPr>
          <w:p>
            <w:pPr>
              <w:spacing w:after="0"/>
              <w:rPr>
                <w:sz w:val="16"/>
                <w:szCs w:val="16"/>
                <w:color w:val="auto"/>
              </w:rPr>
            </w:pPr>
          </w:p>
        </w:tc>
        <w:tc>
          <w:tcPr>
            <w:tcW w:w="1600" w:type="dxa"/>
            <w:vAlign w:val="bottom"/>
            <w:shd w:val="clear" w:color="auto" w:fill="D0EBF2"/>
          </w:tcPr>
          <w:p>
            <w:pPr>
              <w:spacing w:after="0"/>
              <w:rPr>
                <w:sz w:val="16"/>
                <w:szCs w:val="16"/>
                <w:color w:val="auto"/>
              </w:rPr>
            </w:pPr>
          </w:p>
        </w:tc>
        <w:tc>
          <w:tcPr>
            <w:tcW w:w="100" w:type="dxa"/>
            <w:vAlign w:val="bottom"/>
            <w:shd w:val="clear" w:color="auto" w:fill="D0EBF2"/>
          </w:tcPr>
          <w:p>
            <w:pPr>
              <w:spacing w:after="0"/>
              <w:rPr>
                <w:sz w:val="16"/>
                <w:szCs w:val="16"/>
                <w:color w:val="auto"/>
              </w:rPr>
            </w:pPr>
          </w:p>
        </w:tc>
        <w:tc>
          <w:tcPr>
            <w:tcW w:w="860" w:type="dxa"/>
            <w:vAlign w:val="bottom"/>
            <w:shd w:val="clear" w:color="auto" w:fill="D0EBF2"/>
          </w:tcPr>
          <w:p>
            <w:pPr>
              <w:spacing w:after="0"/>
              <w:rPr>
                <w:sz w:val="16"/>
                <w:szCs w:val="16"/>
                <w:color w:val="auto"/>
              </w:rPr>
            </w:pPr>
          </w:p>
        </w:tc>
        <w:tc>
          <w:tcPr>
            <w:tcW w:w="0" w:type="dxa"/>
            <w:vAlign w:val="bottom"/>
          </w:tcPr>
          <w:p>
            <w:pPr>
              <w:spacing w:after="0"/>
              <w:rPr>
                <w:sz w:val="1"/>
                <w:szCs w:val="1"/>
                <w:color w:val="auto"/>
              </w:rPr>
            </w:pPr>
          </w:p>
        </w:tc>
      </w:tr>
      <w:tr>
        <w:trPr>
          <w:trHeight w:val="171"/>
        </w:trPr>
        <w:tc>
          <w:tcPr>
            <w:tcW w:w="1540" w:type="dxa"/>
            <w:vAlign w:val="bottom"/>
            <w:shd w:val="clear" w:color="auto" w:fill="FDFDFC"/>
          </w:tcPr>
          <w:p>
            <w:pPr>
              <w:spacing w:after="0" w:line="172" w:lineRule="exact"/>
              <w:rPr>
                <w:sz w:val="20"/>
                <w:szCs w:val="20"/>
                <w:color w:val="auto"/>
              </w:rPr>
            </w:pPr>
            <w:r>
              <w:rPr>
                <w:rFonts w:ascii="Times New Roman" w:cs="Times New Roman" w:eastAsia="Times New Roman" w:hAnsi="Times New Roman"/>
                <w:sz w:val="15"/>
                <w:szCs w:val="15"/>
                <w:color w:val="231F20"/>
              </w:rPr>
              <w:t xml:space="preserve">Truck-Lite Co., LLC </w:t>
            </w:r>
            <w:r>
              <w:rPr>
                <w:rFonts w:ascii="Times New Roman" w:cs="Times New Roman" w:eastAsia="Times New Roman" w:hAnsi="Times New Roman"/>
                <w:sz w:val="9"/>
                <w:szCs w:val="9"/>
                <w:color w:val="231F20"/>
              </w:rPr>
              <w:t>(3)</w:t>
            </w:r>
          </w:p>
        </w:tc>
        <w:tc>
          <w:tcPr>
            <w:tcW w:w="2180" w:type="dxa"/>
            <w:vAlign w:val="bottom"/>
            <w:gridSpan w:val="2"/>
            <w:shd w:val="clear" w:color="auto" w:fill="FDFDFC"/>
          </w:tcPr>
          <w:p>
            <w:pPr>
              <w:ind w:left="100"/>
              <w:spacing w:after="0" w:line="172" w:lineRule="exact"/>
              <w:rPr>
                <w:sz w:val="20"/>
                <w:szCs w:val="20"/>
                <w:color w:val="auto"/>
              </w:rPr>
            </w:pPr>
            <w:r>
              <w:rPr>
                <w:rFonts w:ascii="Times New Roman" w:cs="Times New Roman" w:eastAsia="Times New Roman" w:hAnsi="Times New Roman"/>
                <w:sz w:val="15"/>
                <w:szCs w:val="15"/>
                <w:color w:val="231F20"/>
              </w:rPr>
              <w:t>First-lien loan ($40,134 par, due</w:t>
            </w:r>
          </w:p>
        </w:tc>
        <w:tc>
          <w:tcPr>
            <w:tcW w:w="860" w:type="dxa"/>
            <w:vAlign w:val="bottom"/>
            <w:gridSpan w:val="2"/>
            <w:shd w:val="clear" w:color="auto" w:fill="FDFDFC"/>
          </w:tcPr>
          <w:p>
            <w:pPr>
              <w:jc w:val="right"/>
              <w:spacing w:after="0" w:line="172" w:lineRule="exact"/>
              <w:rPr>
                <w:sz w:val="20"/>
                <w:szCs w:val="20"/>
                <w:color w:val="auto"/>
              </w:rPr>
            </w:pPr>
            <w:r>
              <w:rPr>
                <w:rFonts w:ascii="Times New Roman" w:cs="Times New Roman" w:eastAsia="Times New Roman" w:hAnsi="Times New Roman"/>
                <w:sz w:val="15"/>
                <w:szCs w:val="15"/>
                <w:color w:val="231F20"/>
              </w:rPr>
              <w:t>2/13/2024</w:t>
            </w:r>
          </w:p>
        </w:tc>
        <w:tc>
          <w:tcPr>
            <w:tcW w:w="20" w:type="dxa"/>
            <w:vAlign w:val="bottom"/>
          </w:tcPr>
          <w:p>
            <w:pPr>
              <w:spacing w:after="0"/>
              <w:rPr>
                <w:sz w:val="14"/>
                <w:szCs w:val="14"/>
                <w:color w:val="auto"/>
              </w:rPr>
            </w:pPr>
          </w:p>
        </w:tc>
        <w:tc>
          <w:tcPr>
            <w:tcW w:w="80" w:type="dxa"/>
            <w:vAlign w:val="bottom"/>
            <w:shd w:val="clear" w:color="auto" w:fill="FDFDFC"/>
          </w:tcPr>
          <w:p>
            <w:pPr>
              <w:spacing w:after="0"/>
              <w:rPr>
                <w:sz w:val="14"/>
                <w:szCs w:val="14"/>
                <w:color w:val="auto"/>
              </w:rPr>
            </w:pPr>
          </w:p>
        </w:tc>
        <w:tc>
          <w:tcPr>
            <w:tcW w:w="820" w:type="dxa"/>
            <w:vAlign w:val="bottom"/>
            <w:shd w:val="clear" w:color="auto" w:fill="FDFDFC"/>
          </w:tcPr>
          <w:p>
            <w:pPr>
              <w:jc w:val="right"/>
              <w:spacing w:after="0" w:line="172" w:lineRule="exact"/>
              <w:rPr>
                <w:sz w:val="20"/>
                <w:szCs w:val="20"/>
                <w:color w:val="auto"/>
              </w:rPr>
            </w:pPr>
            <w:r>
              <w:rPr>
                <w:rFonts w:ascii="Times New Roman" w:cs="Times New Roman" w:eastAsia="Times New Roman" w:hAnsi="Times New Roman"/>
                <w:sz w:val="15"/>
                <w:szCs w:val="15"/>
                <w:color w:val="231F20"/>
              </w:rPr>
              <w:t>SOFR +</w:t>
            </w:r>
          </w:p>
        </w:tc>
        <w:tc>
          <w:tcPr>
            <w:tcW w:w="1020" w:type="dxa"/>
            <w:vAlign w:val="bottom"/>
            <w:gridSpan w:val="2"/>
            <w:shd w:val="clear" w:color="auto" w:fill="FDFDFC"/>
          </w:tcPr>
          <w:p>
            <w:pPr>
              <w:jc w:val="right"/>
              <w:spacing w:after="0" w:line="172" w:lineRule="exact"/>
              <w:rPr>
                <w:sz w:val="20"/>
                <w:szCs w:val="20"/>
                <w:color w:val="auto"/>
              </w:rPr>
            </w:pPr>
            <w:r>
              <w:rPr>
                <w:rFonts w:ascii="Times New Roman" w:cs="Times New Roman" w:eastAsia="Times New Roman" w:hAnsi="Times New Roman"/>
                <w:sz w:val="15"/>
                <w:szCs w:val="15"/>
                <w:color w:val="231F20"/>
              </w:rPr>
              <w:t>10.27%</w:t>
            </w:r>
          </w:p>
        </w:tc>
        <w:tc>
          <w:tcPr>
            <w:tcW w:w="1120" w:type="dxa"/>
            <w:vAlign w:val="bottom"/>
            <w:gridSpan w:val="2"/>
            <w:shd w:val="clear" w:color="auto" w:fill="FDFDFC"/>
          </w:tcPr>
          <w:p>
            <w:pPr>
              <w:jc w:val="right"/>
              <w:spacing w:after="0" w:line="172" w:lineRule="exact"/>
              <w:rPr>
                <w:sz w:val="20"/>
                <w:szCs w:val="20"/>
                <w:color w:val="auto"/>
              </w:rPr>
            </w:pPr>
            <w:r>
              <w:rPr>
                <w:rFonts w:ascii="Times New Roman" w:cs="Times New Roman" w:eastAsia="Times New Roman" w:hAnsi="Times New Roman"/>
                <w:sz w:val="15"/>
                <w:szCs w:val="15"/>
                <w:color w:val="231F20"/>
              </w:rPr>
              <w:t>$39,707</w:t>
            </w:r>
          </w:p>
        </w:tc>
        <w:tc>
          <w:tcPr>
            <w:tcW w:w="1680" w:type="dxa"/>
            <w:vAlign w:val="bottom"/>
            <w:gridSpan w:val="2"/>
            <w:shd w:val="clear" w:color="auto" w:fill="FDFDFC"/>
          </w:tcPr>
          <w:p>
            <w:pPr>
              <w:jc w:val="right"/>
              <w:spacing w:after="0" w:line="172" w:lineRule="exact"/>
              <w:rPr>
                <w:sz w:val="20"/>
                <w:szCs w:val="20"/>
                <w:color w:val="auto"/>
              </w:rPr>
            </w:pPr>
            <w:r>
              <w:rPr>
                <w:rFonts w:ascii="Times New Roman" w:cs="Times New Roman" w:eastAsia="Times New Roman" w:hAnsi="Times New Roman"/>
                <w:sz w:val="15"/>
                <w:szCs w:val="15"/>
                <w:color w:val="231F20"/>
              </w:rPr>
              <w:t>$40,256</w:t>
            </w:r>
          </w:p>
        </w:tc>
        <w:tc>
          <w:tcPr>
            <w:tcW w:w="960" w:type="dxa"/>
            <w:vAlign w:val="bottom"/>
            <w:gridSpan w:val="2"/>
            <w:shd w:val="clear" w:color="auto" w:fill="FDFDFC"/>
          </w:tcPr>
          <w:p>
            <w:pPr>
              <w:jc w:val="right"/>
              <w:spacing w:after="0" w:line="172" w:lineRule="exact"/>
              <w:rPr>
                <w:sz w:val="20"/>
                <w:szCs w:val="20"/>
                <w:color w:val="auto"/>
              </w:rPr>
            </w:pPr>
            <w:r>
              <w:rPr>
                <w:rFonts w:ascii="Times New Roman" w:cs="Times New Roman" w:eastAsia="Times New Roman" w:hAnsi="Times New Roman"/>
                <w:sz w:val="15"/>
                <w:szCs w:val="15"/>
                <w:color w:val="231F20"/>
              </w:rPr>
              <w:t>2.5%</w:t>
            </w:r>
          </w:p>
        </w:tc>
        <w:tc>
          <w:tcPr>
            <w:tcW w:w="0" w:type="dxa"/>
            <w:vAlign w:val="bottom"/>
          </w:tcPr>
          <w:p>
            <w:pPr>
              <w:spacing w:after="0"/>
              <w:rPr>
                <w:sz w:val="1"/>
                <w:szCs w:val="1"/>
                <w:color w:val="auto"/>
              </w:rPr>
            </w:pPr>
          </w:p>
        </w:tc>
      </w:tr>
      <w:tr>
        <w:trPr>
          <w:trHeight w:val="189"/>
        </w:trPr>
        <w:tc>
          <w:tcPr>
            <w:tcW w:w="1540" w:type="dxa"/>
            <w:vAlign w:val="bottom"/>
            <w:shd w:val="clear" w:color="auto" w:fill="FDFDFC"/>
          </w:tcPr>
          <w:p>
            <w:pPr>
              <w:spacing w:after="0"/>
              <w:rPr>
                <w:sz w:val="16"/>
                <w:szCs w:val="16"/>
                <w:color w:val="auto"/>
              </w:rPr>
            </w:pPr>
          </w:p>
        </w:tc>
        <w:tc>
          <w:tcPr>
            <w:tcW w:w="2180" w:type="dxa"/>
            <w:vAlign w:val="bottom"/>
            <w:gridSpan w:val="2"/>
            <w:shd w:val="clear" w:color="auto" w:fill="FDFDFC"/>
          </w:tcPr>
          <w:p>
            <w:pPr>
              <w:ind w:left="100"/>
              <w:spacing w:after="0"/>
              <w:rPr>
                <w:sz w:val="20"/>
                <w:szCs w:val="20"/>
                <w:color w:val="auto"/>
              </w:rPr>
            </w:pPr>
            <w:r>
              <w:rPr>
                <w:rFonts w:ascii="Times New Roman" w:cs="Times New Roman" w:eastAsia="Times New Roman" w:hAnsi="Times New Roman"/>
                <w:sz w:val="15"/>
                <w:szCs w:val="15"/>
                <w:color w:val="231F20"/>
              </w:rPr>
              <w:t>2/2031)</w:t>
            </w:r>
          </w:p>
        </w:tc>
        <w:tc>
          <w:tcPr>
            <w:tcW w:w="100" w:type="dxa"/>
            <w:vAlign w:val="bottom"/>
            <w:shd w:val="clear" w:color="auto" w:fill="FDFDFC"/>
          </w:tcPr>
          <w:p>
            <w:pPr>
              <w:spacing w:after="0"/>
              <w:rPr>
                <w:sz w:val="16"/>
                <w:szCs w:val="16"/>
                <w:color w:val="auto"/>
              </w:rPr>
            </w:pPr>
          </w:p>
        </w:tc>
        <w:tc>
          <w:tcPr>
            <w:tcW w:w="760" w:type="dxa"/>
            <w:vAlign w:val="bottom"/>
            <w:shd w:val="clear" w:color="auto" w:fill="FDFDFC"/>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gridSpan w:val="2"/>
            <w:shd w:val="clear" w:color="auto" w:fill="FDFDFC"/>
          </w:tcPr>
          <w:p>
            <w:pPr>
              <w:jc w:val="right"/>
              <w:spacing w:after="0"/>
              <w:rPr>
                <w:sz w:val="20"/>
                <w:szCs w:val="20"/>
                <w:color w:val="auto"/>
              </w:rPr>
            </w:pPr>
            <w:r>
              <w:rPr>
                <w:rFonts w:ascii="Times New Roman" w:cs="Times New Roman" w:eastAsia="Times New Roman" w:hAnsi="Times New Roman"/>
                <w:sz w:val="15"/>
                <w:szCs w:val="15"/>
                <w:color w:val="231F20"/>
              </w:rPr>
              <w:t>5.75%</w:t>
            </w:r>
          </w:p>
        </w:tc>
        <w:tc>
          <w:tcPr>
            <w:tcW w:w="100" w:type="dxa"/>
            <w:vAlign w:val="bottom"/>
            <w:shd w:val="clear" w:color="auto" w:fill="FDFDFC"/>
          </w:tcPr>
          <w:p>
            <w:pPr>
              <w:spacing w:after="0"/>
              <w:rPr>
                <w:sz w:val="16"/>
                <w:szCs w:val="16"/>
                <w:color w:val="auto"/>
              </w:rPr>
            </w:pPr>
          </w:p>
        </w:tc>
        <w:tc>
          <w:tcPr>
            <w:tcW w:w="920" w:type="dxa"/>
            <w:vAlign w:val="bottom"/>
            <w:shd w:val="clear" w:color="auto" w:fill="FDFDFC"/>
          </w:tcPr>
          <w:p>
            <w:pPr>
              <w:spacing w:after="0"/>
              <w:rPr>
                <w:sz w:val="16"/>
                <w:szCs w:val="16"/>
                <w:color w:val="auto"/>
              </w:rPr>
            </w:pPr>
          </w:p>
        </w:tc>
        <w:tc>
          <w:tcPr>
            <w:tcW w:w="120" w:type="dxa"/>
            <w:vAlign w:val="bottom"/>
            <w:shd w:val="clear" w:color="auto" w:fill="FDFDFC"/>
          </w:tcPr>
          <w:p>
            <w:pPr>
              <w:spacing w:after="0"/>
              <w:rPr>
                <w:sz w:val="16"/>
                <w:szCs w:val="16"/>
                <w:color w:val="auto"/>
              </w:rPr>
            </w:pPr>
          </w:p>
        </w:tc>
        <w:tc>
          <w:tcPr>
            <w:tcW w:w="1000" w:type="dxa"/>
            <w:vAlign w:val="bottom"/>
            <w:shd w:val="clear" w:color="auto" w:fill="FDFDFC"/>
          </w:tcPr>
          <w:p>
            <w:pPr>
              <w:spacing w:after="0"/>
              <w:rPr>
                <w:sz w:val="16"/>
                <w:szCs w:val="16"/>
                <w:color w:val="auto"/>
              </w:rPr>
            </w:pPr>
          </w:p>
        </w:tc>
        <w:tc>
          <w:tcPr>
            <w:tcW w:w="80" w:type="dxa"/>
            <w:vAlign w:val="bottom"/>
            <w:shd w:val="clear" w:color="auto" w:fill="FDFDFC"/>
          </w:tcPr>
          <w:p>
            <w:pPr>
              <w:spacing w:after="0"/>
              <w:rPr>
                <w:sz w:val="16"/>
                <w:szCs w:val="16"/>
                <w:color w:val="auto"/>
              </w:rPr>
            </w:pPr>
          </w:p>
        </w:tc>
        <w:tc>
          <w:tcPr>
            <w:tcW w:w="1600" w:type="dxa"/>
            <w:vAlign w:val="bottom"/>
            <w:shd w:val="clear" w:color="auto" w:fill="FDFDFC"/>
          </w:tcPr>
          <w:p>
            <w:pPr>
              <w:spacing w:after="0"/>
              <w:rPr>
                <w:sz w:val="16"/>
                <w:szCs w:val="16"/>
                <w:color w:val="auto"/>
              </w:rPr>
            </w:pPr>
          </w:p>
        </w:tc>
        <w:tc>
          <w:tcPr>
            <w:tcW w:w="100" w:type="dxa"/>
            <w:vAlign w:val="bottom"/>
            <w:shd w:val="clear" w:color="auto" w:fill="FDFDFC"/>
          </w:tcPr>
          <w:p>
            <w:pPr>
              <w:spacing w:after="0"/>
              <w:rPr>
                <w:sz w:val="16"/>
                <w:szCs w:val="16"/>
                <w:color w:val="auto"/>
              </w:rPr>
            </w:pPr>
          </w:p>
        </w:tc>
        <w:tc>
          <w:tcPr>
            <w:tcW w:w="860" w:type="dxa"/>
            <w:vAlign w:val="bottom"/>
            <w:shd w:val="clear" w:color="auto" w:fill="FDFDFC"/>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1540" w:type="dxa"/>
            <w:vAlign w:val="bottom"/>
            <w:tcBorders>
              <w:bottom w:val="single" w:sz="8" w:color="FDFDFC"/>
            </w:tcBorders>
            <w:shd w:val="clear" w:color="auto" w:fill="D0EBF2"/>
          </w:tcPr>
          <w:p>
            <w:pPr>
              <w:spacing w:after="0"/>
              <w:rPr>
                <w:sz w:val="20"/>
                <w:szCs w:val="20"/>
                <w:color w:val="auto"/>
              </w:rPr>
            </w:pPr>
            <w:r>
              <w:rPr>
                <w:rFonts w:ascii="Times New Roman" w:cs="Times New Roman" w:eastAsia="Times New Roman" w:hAnsi="Times New Roman"/>
                <w:sz w:val="15"/>
                <w:szCs w:val="15"/>
                <w:b w:val="1"/>
                <w:bCs w:val="1"/>
                <w:color w:val="231F20"/>
              </w:rPr>
              <w:t>Business Services</w:t>
            </w:r>
          </w:p>
        </w:tc>
        <w:tc>
          <w:tcPr>
            <w:tcW w:w="100" w:type="dxa"/>
            <w:vAlign w:val="bottom"/>
            <w:tcBorders>
              <w:bottom w:val="single" w:sz="8" w:color="FDFDFC"/>
            </w:tcBorders>
            <w:shd w:val="clear" w:color="auto" w:fill="D0EBF2"/>
          </w:tcPr>
          <w:p>
            <w:pPr>
              <w:spacing w:after="0"/>
              <w:rPr>
                <w:sz w:val="16"/>
                <w:szCs w:val="16"/>
                <w:color w:val="auto"/>
              </w:rPr>
            </w:pPr>
          </w:p>
        </w:tc>
        <w:tc>
          <w:tcPr>
            <w:tcW w:w="2080" w:type="dxa"/>
            <w:vAlign w:val="bottom"/>
            <w:tcBorders>
              <w:bottom w:val="single" w:sz="8" w:color="FDFDFC"/>
            </w:tcBorders>
            <w:shd w:val="clear" w:color="auto" w:fill="D0EBF2"/>
          </w:tcPr>
          <w:p>
            <w:pPr>
              <w:spacing w:after="0"/>
              <w:rPr>
                <w:sz w:val="16"/>
                <w:szCs w:val="16"/>
                <w:color w:val="auto"/>
              </w:rPr>
            </w:pPr>
          </w:p>
        </w:tc>
        <w:tc>
          <w:tcPr>
            <w:tcW w:w="100" w:type="dxa"/>
            <w:vAlign w:val="bottom"/>
            <w:tcBorders>
              <w:bottom w:val="single" w:sz="8" w:color="FDFDFC"/>
            </w:tcBorders>
            <w:shd w:val="clear" w:color="auto" w:fill="D0EBF2"/>
          </w:tcPr>
          <w:p>
            <w:pPr>
              <w:spacing w:after="0"/>
              <w:rPr>
                <w:sz w:val="16"/>
                <w:szCs w:val="16"/>
                <w:color w:val="auto"/>
              </w:rPr>
            </w:pPr>
          </w:p>
        </w:tc>
        <w:tc>
          <w:tcPr>
            <w:tcW w:w="760" w:type="dxa"/>
            <w:vAlign w:val="bottom"/>
            <w:tcBorders>
              <w:bottom w:val="single" w:sz="8" w:color="FDFDFC"/>
            </w:tcBorders>
            <w:shd w:val="clear" w:color="auto" w:fill="D0EBF2"/>
          </w:tcPr>
          <w:p>
            <w:pPr>
              <w:spacing w:after="0"/>
              <w:rPr>
                <w:sz w:val="16"/>
                <w:szCs w:val="16"/>
                <w:color w:val="auto"/>
              </w:rPr>
            </w:pPr>
          </w:p>
        </w:tc>
        <w:tc>
          <w:tcPr>
            <w:tcW w:w="20" w:type="dxa"/>
            <w:vAlign w:val="bottom"/>
            <w:tcBorders>
              <w:bottom w:val="single" w:sz="8" w:color="D0EBF2"/>
            </w:tcBorders>
            <w:shd w:val="clear" w:color="auto" w:fill="D0EBF2"/>
          </w:tcPr>
          <w:p>
            <w:pPr>
              <w:spacing w:after="0"/>
              <w:rPr>
                <w:sz w:val="16"/>
                <w:szCs w:val="16"/>
                <w:color w:val="auto"/>
              </w:rPr>
            </w:pPr>
          </w:p>
        </w:tc>
        <w:tc>
          <w:tcPr>
            <w:tcW w:w="80" w:type="dxa"/>
            <w:vAlign w:val="bottom"/>
            <w:tcBorders>
              <w:bottom w:val="single" w:sz="8" w:color="FDFDFC"/>
            </w:tcBorders>
            <w:shd w:val="clear" w:color="auto" w:fill="D0EBF2"/>
          </w:tcPr>
          <w:p>
            <w:pPr>
              <w:spacing w:after="0"/>
              <w:rPr>
                <w:sz w:val="16"/>
                <w:szCs w:val="16"/>
                <w:color w:val="auto"/>
              </w:rPr>
            </w:pPr>
          </w:p>
        </w:tc>
        <w:tc>
          <w:tcPr>
            <w:tcW w:w="820" w:type="dxa"/>
            <w:vAlign w:val="bottom"/>
            <w:tcBorders>
              <w:bottom w:val="single" w:sz="8" w:color="FDFDFC"/>
            </w:tcBorders>
            <w:shd w:val="clear" w:color="auto" w:fill="D0EBF2"/>
          </w:tcPr>
          <w:p>
            <w:pPr>
              <w:spacing w:after="0"/>
              <w:rPr>
                <w:sz w:val="16"/>
                <w:szCs w:val="16"/>
                <w:color w:val="auto"/>
              </w:rPr>
            </w:pPr>
          </w:p>
        </w:tc>
        <w:tc>
          <w:tcPr>
            <w:tcW w:w="100" w:type="dxa"/>
            <w:vAlign w:val="bottom"/>
            <w:tcBorders>
              <w:bottom w:val="single" w:sz="8" w:color="FDFDFC"/>
            </w:tcBorders>
            <w:shd w:val="clear" w:color="auto" w:fill="D0EBF2"/>
          </w:tcPr>
          <w:p>
            <w:pPr>
              <w:spacing w:after="0"/>
              <w:rPr>
                <w:sz w:val="16"/>
                <w:szCs w:val="16"/>
                <w:color w:val="auto"/>
              </w:rPr>
            </w:pPr>
          </w:p>
        </w:tc>
        <w:tc>
          <w:tcPr>
            <w:tcW w:w="920" w:type="dxa"/>
            <w:vAlign w:val="bottom"/>
            <w:tcBorders>
              <w:bottom w:val="single" w:sz="8" w:color="FDFDFC"/>
            </w:tcBorders>
            <w:shd w:val="clear" w:color="auto" w:fill="D0EBF2"/>
          </w:tcPr>
          <w:p>
            <w:pPr>
              <w:spacing w:after="0"/>
              <w:rPr>
                <w:sz w:val="16"/>
                <w:szCs w:val="16"/>
                <w:color w:val="auto"/>
              </w:rPr>
            </w:pPr>
          </w:p>
        </w:tc>
        <w:tc>
          <w:tcPr>
            <w:tcW w:w="120" w:type="dxa"/>
            <w:vAlign w:val="bottom"/>
            <w:tcBorders>
              <w:bottom w:val="single" w:sz="8" w:color="FDFDFC"/>
            </w:tcBorders>
            <w:shd w:val="clear" w:color="auto" w:fill="D0EBF2"/>
          </w:tcPr>
          <w:p>
            <w:pPr>
              <w:spacing w:after="0"/>
              <w:rPr>
                <w:sz w:val="16"/>
                <w:szCs w:val="16"/>
                <w:color w:val="auto"/>
              </w:rPr>
            </w:pPr>
          </w:p>
        </w:tc>
        <w:tc>
          <w:tcPr>
            <w:tcW w:w="1000" w:type="dxa"/>
            <w:vAlign w:val="bottom"/>
            <w:tcBorders>
              <w:bottom w:val="single" w:sz="8" w:color="FDFDFC"/>
            </w:tcBorders>
            <w:shd w:val="clear" w:color="auto" w:fill="D0EBF2"/>
          </w:tcPr>
          <w:p>
            <w:pPr>
              <w:spacing w:after="0"/>
              <w:rPr>
                <w:sz w:val="16"/>
                <w:szCs w:val="16"/>
                <w:color w:val="auto"/>
              </w:rPr>
            </w:pPr>
          </w:p>
        </w:tc>
        <w:tc>
          <w:tcPr>
            <w:tcW w:w="80" w:type="dxa"/>
            <w:vAlign w:val="bottom"/>
            <w:tcBorders>
              <w:bottom w:val="single" w:sz="8" w:color="FDFDFC"/>
            </w:tcBorders>
            <w:shd w:val="clear" w:color="auto" w:fill="D0EBF2"/>
          </w:tcPr>
          <w:p>
            <w:pPr>
              <w:spacing w:after="0"/>
              <w:rPr>
                <w:sz w:val="16"/>
                <w:szCs w:val="16"/>
                <w:color w:val="auto"/>
              </w:rPr>
            </w:pPr>
          </w:p>
        </w:tc>
        <w:tc>
          <w:tcPr>
            <w:tcW w:w="1600" w:type="dxa"/>
            <w:vAlign w:val="bottom"/>
            <w:tcBorders>
              <w:bottom w:val="single" w:sz="8" w:color="FDFDFC"/>
            </w:tcBorders>
            <w:shd w:val="clear" w:color="auto" w:fill="D0EBF2"/>
          </w:tcPr>
          <w:p>
            <w:pPr>
              <w:spacing w:after="0"/>
              <w:rPr>
                <w:sz w:val="16"/>
                <w:szCs w:val="16"/>
                <w:color w:val="auto"/>
              </w:rPr>
            </w:pPr>
          </w:p>
        </w:tc>
        <w:tc>
          <w:tcPr>
            <w:tcW w:w="100" w:type="dxa"/>
            <w:vAlign w:val="bottom"/>
            <w:tcBorders>
              <w:bottom w:val="single" w:sz="8" w:color="FDFDFC"/>
            </w:tcBorders>
            <w:shd w:val="clear" w:color="auto" w:fill="D0EBF2"/>
          </w:tcPr>
          <w:p>
            <w:pPr>
              <w:spacing w:after="0"/>
              <w:rPr>
                <w:sz w:val="16"/>
                <w:szCs w:val="16"/>
                <w:color w:val="auto"/>
              </w:rPr>
            </w:pPr>
          </w:p>
        </w:tc>
        <w:tc>
          <w:tcPr>
            <w:tcW w:w="860" w:type="dxa"/>
            <w:vAlign w:val="bottom"/>
            <w:tcBorders>
              <w:bottom w:val="single" w:sz="8" w:color="FDFDFC"/>
            </w:tcBorders>
            <w:shd w:val="clear" w:color="auto" w:fill="D0EBF2"/>
          </w:tcPr>
          <w:p>
            <w:pPr>
              <w:spacing w:after="0"/>
              <w:rPr>
                <w:sz w:val="16"/>
                <w:szCs w:val="16"/>
                <w:color w:val="auto"/>
              </w:rPr>
            </w:pPr>
          </w:p>
        </w:tc>
        <w:tc>
          <w:tcPr>
            <w:tcW w:w="0" w:type="dxa"/>
            <w:vAlign w:val="bottom"/>
          </w:tcPr>
          <w:p>
            <w:pPr>
              <w:spacing w:after="0"/>
              <w:rPr>
                <w:sz w:val="1"/>
                <w:szCs w:val="1"/>
                <w:color w:val="auto"/>
              </w:rPr>
            </w:pPr>
          </w:p>
        </w:tc>
      </w:tr>
      <w:tr>
        <w:trPr>
          <w:trHeight w:val="151"/>
        </w:trPr>
        <w:tc>
          <w:tcPr>
            <w:tcW w:w="1540" w:type="dxa"/>
            <w:vAlign w:val="bottom"/>
            <w:shd w:val="clear" w:color="auto" w:fill="FDFDFC"/>
          </w:tcPr>
          <w:p>
            <w:pPr>
              <w:spacing w:after="0" w:line="151" w:lineRule="exact"/>
              <w:rPr>
                <w:sz w:val="20"/>
                <w:szCs w:val="20"/>
                <w:color w:val="auto"/>
              </w:rPr>
            </w:pPr>
            <w:r>
              <w:rPr>
                <w:rFonts w:ascii="Times New Roman" w:cs="Times New Roman" w:eastAsia="Times New Roman" w:hAnsi="Times New Roman"/>
                <w:sz w:val="15"/>
                <w:szCs w:val="15"/>
                <w:color w:val="231F20"/>
              </w:rPr>
              <w:t xml:space="preserve">Alpha Midco, Inc. </w:t>
            </w:r>
            <w:r>
              <w:rPr>
                <w:rFonts w:ascii="Times New Roman" w:cs="Times New Roman" w:eastAsia="Times New Roman" w:hAnsi="Times New Roman"/>
                <w:sz w:val="9"/>
                <w:szCs w:val="9"/>
                <w:color w:val="231F20"/>
              </w:rPr>
              <w:t>(3)(5)</w:t>
            </w:r>
          </w:p>
        </w:tc>
        <w:tc>
          <w:tcPr>
            <w:tcW w:w="2180" w:type="dxa"/>
            <w:vAlign w:val="bottom"/>
            <w:gridSpan w:val="2"/>
            <w:shd w:val="clear" w:color="auto" w:fill="FDFDFC"/>
          </w:tcPr>
          <w:p>
            <w:pPr>
              <w:ind w:left="100"/>
              <w:spacing w:after="0" w:line="151" w:lineRule="exact"/>
              <w:rPr>
                <w:sz w:val="20"/>
                <w:szCs w:val="20"/>
                <w:color w:val="auto"/>
              </w:rPr>
            </w:pPr>
            <w:r>
              <w:rPr>
                <w:rFonts w:ascii="Times New Roman" w:cs="Times New Roman" w:eastAsia="Times New Roman" w:hAnsi="Times New Roman"/>
                <w:sz w:val="15"/>
                <w:szCs w:val="15"/>
                <w:color w:val="231F20"/>
              </w:rPr>
              <w:t>First-lien loan ($69,624 par, due</w:t>
            </w:r>
          </w:p>
        </w:tc>
        <w:tc>
          <w:tcPr>
            <w:tcW w:w="860" w:type="dxa"/>
            <w:vAlign w:val="bottom"/>
            <w:gridSpan w:val="2"/>
            <w:shd w:val="clear" w:color="auto" w:fill="FDFDFC"/>
          </w:tcPr>
          <w:p>
            <w:pPr>
              <w:jc w:val="right"/>
              <w:spacing w:after="0" w:line="151" w:lineRule="exact"/>
              <w:rPr>
                <w:sz w:val="20"/>
                <w:szCs w:val="20"/>
                <w:color w:val="auto"/>
              </w:rPr>
            </w:pPr>
            <w:r>
              <w:rPr>
                <w:rFonts w:ascii="Times New Roman" w:cs="Times New Roman" w:eastAsia="Times New Roman" w:hAnsi="Times New Roman"/>
                <w:sz w:val="15"/>
                <w:szCs w:val="15"/>
                <w:color w:val="231F20"/>
              </w:rPr>
              <w:t>8/15/2019</w:t>
            </w:r>
          </w:p>
        </w:tc>
        <w:tc>
          <w:tcPr>
            <w:tcW w:w="20" w:type="dxa"/>
            <w:vAlign w:val="bottom"/>
          </w:tcPr>
          <w:p>
            <w:pPr>
              <w:spacing w:after="0"/>
              <w:rPr>
                <w:sz w:val="13"/>
                <w:szCs w:val="13"/>
                <w:color w:val="auto"/>
              </w:rPr>
            </w:pPr>
          </w:p>
        </w:tc>
        <w:tc>
          <w:tcPr>
            <w:tcW w:w="80" w:type="dxa"/>
            <w:vAlign w:val="bottom"/>
            <w:shd w:val="clear" w:color="auto" w:fill="FDFDFC"/>
          </w:tcPr>
          <w:p>
            <w:pPr>
              <w:spacing w:after="0"/>
              <w:rPr>
                <w:sz w:val="13"/>
                <w:szCs w:val="13"/>
                <w:color w:val="auto"/>
              </w:rPr>
            </w:pPr>
          </w:p>
        </w:tc>
        <w:tc>
          <w:tcPr>
            <w:tcW w:w="820" w:type="dxa"/>
            <w:vAlign w:val="bottom"/>
            <w:shd w:val="clear" w:color="auto" w:fill="FDFDFC"/>
          </w:tcPr>
          <w:p>
            <w:pPr>
              <w:jc w:val="right"/>
              <w:spacing w:after="0" w:line="151" w:lineRule="exact"/>
              <w:rPr>
                <w:sz w:val="20"/>
                <w:szCs w:val="20"/>
                <w:color w:val="auto"/>
              </w:rPr>
            </w:pPr>
            <w:r>
              <w:rPr>
                <w:rFonts w:ascii="Times New Roman" w:cs="Times New Roman" w:eastAsia="Times New Roman" w:hAnsi="Times New Roman"/>
                <w:sz w:val="15"/>
                <w:szCs w:val="15"/>
                <w:color w:val="231F20"/>
              </w:rPr>
              <w:t>SOFR +</w:t>
            </w:r>
          </w:p>
        </w:tc>
        <w:tc>
          <w:tcPr>
            <w:tcW w:w="1020" w:type="dxa"/>
            <w:vAlign w:val="bottom"/>
            <w:gridSpan w:val="2"/>
            <w:shd w:val="clear" w:color="auto" w:fill="FDFDFC"/>
          </w:tcPr>
          <w:p>
            <w:pPr>
              <w:jc w:val="right"/>
              <w:spacing w:after="0" w:line="151" w:lineRule="exact"/>
              <w:rPr>
                <w:sz w:val="20"/>
                <w:szCs w:val="20"/>
                <w:color w:val="auto"/>
              </w:rPr>
            </w:pPr>
            <w:r>
              <w:rPr>
                <w:rFonts w:ascii="Times New Roman" w:cs="Times New Roman" w:eastAsia="Times New Roman" w:hAnsi="Times New Roman"/>
                <w:sz w:val="15"/>
                <w:szCs w:val="15"/>
                <w:color w:val="231F20"/>
              </w:rPr>
              <w:t>11.20%</w:t>
            </w:r>
          </w:p>
        </w:tc>
        <w:tc>
          <w:tcPr>
            <w:tcW w:w="1120" w:type="dxa"/>
            <w:vAlign w:val="bottom"/>
            <w:gridSpan w:val="2"/>
            <w:shd w:val="clear" w:color="auto" w:fill="FDFDFC"/>
          </w:tcPr>
          <w:p>
            <w:pPr>
              <w:jc w:val="right"/>
              <w:spacing w:after="0" w:line="151" w:lineRule="exact"/>
              <w:rPr>
                <w:sz w:val="20"/>
                <w:szCs w:val="20"/>
                <w:color w:val="auto"/>
              </w:rPr>
            </w:pPr>
            <w:r>
              <w:rPr>
                <w:rFonts w:ascii="Times New Roman" w:cs="Times New Roman" w:eastAsia="Times New Roman" w:hAnsi="Times New Roman"/>
                <w:sz w:val="15"/>
                <w:szCs w:val="15"/>
                <w:color w:val="231F20"/>
              </w:rPr>
              <w:t>69,361</w:t>
            </w:r>
          </w:p>
        </w:tc>
        <w:tc>
          <w:tcPr>
            <w:tcW w:w="1680" w:type="dxa"/>
            <w:vAlign w:val="bottom"/>
            <w:gridSpan w:val="2"/>
            <w:shd w:val="clear" w:color="auto" w:fill="FDFDFC"/>
          </w:tcPr>
          <w:p>
            <w:pPr>
              <w:jc w:val="right"/>
              <w:spacing w:after="0" w:line="151" w:lineRule="exact"/>
              <w:rPr>
                <w:sz w:val="20"/>
                <w:szCs w:val="20"/>
                <w:color w:val="auto"/>
              </w:rPr>
            </w:pPr>
            <w:r>
              <w:rPr>
                <w:rFonts w:ascii="Times New Roman" w:cs="Times New Roman" w:eastAsia="Times New Roman" w:hAnsi="Times New Roman"/>
                <w:sz w:val="15"/>
                <w:szCs w:val="15"/>
                <w:color w:val="231F20"/>
              </w:rPr>
              <w:t>69,975</w:t>
            </w:r>
          </w:p>
        </w:tc>
        <w:tc>
          <w:tcPr>
            <w:tcW w:w="960" w:type="dxa"/>
            <w:vAlign w:val="bottom"/>
            <w:gridSpan w:val="2"/>
            <w:shd w:val="clear" w:color="auto" w:fill="FDFDFC"/>
          </w:tcPr>
          <w:p>
            <w:pPr>
              <w:jc w:val="right"/>
              <w:spacing w:after="0" w:line="151" w:lineRule="exact"/>
              <w:rPr>
                <w:sz w:val="20"/>
                <w:szCs w:val="20"/>
                <w:color w:val="auto"/>
              </w:rPr>
            </w:pPr>
            <w:r>
              <w:rPr>
                <w:rFonts w:ascii="Times New Roman" w:cs="Times New Roman" w:eastAsia="Times New Roman" w:hAnsi="Times New Roman"/>
                <w:sz w:val="15"/>
                <w:szCs w:val="15"/>
                <w:color w:val="231F20"/>
              </w:rPr>
              <w:t>4.4%</w:t>
            </w:r>
          </w:p>
        </w:tc>
        <w:tc>
          <w:tcPr>
            <w:tcW w:w="0" w:type="dxa"/>
            <w:vAlign w:val="bottom"/>
          </w:tcPr>
          <w:p>
            <w:pPr>
              <w:spacing w:after="0"/>
              <w:rPr>
                <w:sz w:val="1"/>
                <w:szCs w:val="1"/>
                <w:color w:val="auto"/>
              </w:rPr>
            </w:pPr>
          </w:p>
        </w:tc>
      </w:tr>
      <w:tr>
        <w:trPr>
          <w:trHeight w:val="189"/>
        </w:trPr>
        <w:tc>
          <w:tcPr>
            <w:tcW w:w="1540" w:type="dxa"/>
            <w:vAlign w:val="bottom"/>
            <w:shd w:val="clear" w:color="auto" w:fill="FDFDFC"/>
          </w:tcPr>
          <w:p>
            <w:pPr>
              <w:spacing w:after="0"/>
              <w:rPr>
                <w:sz w:val="16"/>
                <w:szCs w:val="16"/>
                <w:color w:val="auto"/>
              </w:rPr>
            </w:pPr>
          </w:p>
        </w:tc>
        <w:tc>
          <w:tcPr>
            <w:tcW w:w="2180" w:type="dxa"/>
            <w:vAlign w:val="bottom"/>
            <w:gridSpan w:val="2"/>
            <w:shd w:val="clear" w:color="auto" w:fill="FDFDFC"/>
          </w:tcPr>
          <w:p>
            <w:pPr>
              <w:ind w:left="100"/>
              <w:spacing w:after="0"/>
              <w:rPr>
                <w:sz w:val="20"/>
                <w:szCs w:val="20"/>
                <w:color w:val="auto"/>
              </w:rPr>
            </w:pPr>
            <w:r>
              <w:rPr>
                <w:rFonts w:ascii="Times New Roman" w:cs="Times New Roman" w:eastAsia="Times New Roman" w:hAnsi="Times New Roman"/>
                <w:sz w:val="15"/>
                <w:szCs w:val="15"/>
                <w:color w:val="231F20"/>
              </w:rPr>
              <w:t>8/2028)</w:t>
            </w:r>
          </w:p>
        </w:tc>
        <w:tc>
          <w:tcPr>
            <w:tcW w:w="100" w:type="dxa"/>
            <w:vAlign w:val="bottom"/>
            <w:shd w:val="clear" w:color="auto" w:fill="FDFDFC"/>
          </w:tcPr>
          <w:p>
            <w:pPr>
              <w:spacing w:after="0"/>
              <w:rPr>
                <w:sz w:val="16"/>
                <w:szCs w:val="16"/>
                <w:color w:val="auto"/>
              </w:rPr>
            </w:pPr>
          </w:p>
        </w:tc>
        <w:tc>
          <w:tcPr>
            <w:tcW w:w="760" w:type="dxa"/>
            <w:vAlign w:val="bottom"/>
            <w:shd w:val="clear" w:color="auto" w:fill="FDFDFC"/>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gridSpan w:val="2"/>
            <w:shd w:val="clear" w:color="auto" w:fill="FDFDFC"/>
          </w:tcPr>
          <w:p>
            <w:pPr>
              <w:jc w:val="right"/>
              <w:spacing w:after="0"/>
              <w:rPr>
                <w:sz w:val="20"/>
                <w:szCs w:val="20"/>
                <w:color w:val="auto"/>
              </w:rPr>
            </w:pPr>
            <w:r>
              <w:rPr>
                <w:rFonts w:ascii="Times New Roman" w:cs="Times New Roman" w:eastAsia="Times New Roman" w:hAnsi="Times New Roman"/>
                <w:sz w:val="15"/>
                <w:szCs w:val="15"/>
                <w:color w:val="231F20"/>
              </w:rPr>
              <w:t>6.88%</w:t>
            </w:r>
          </w:p>
        </w:tc>
        <w:tc>
          <w:tcPr>
            <w:tcW w:w="100" w:type="dxa"/>
            <w:vAlign w:val="bottom"/>
            <w:shd w:val="clear" w:color="auto" w:fill="FDFDFC"/>
          </w:tcPr>
          <w:p>
            <w:pPr>
              <w:spacing w:after="0"/>
              <w:rPr>
                <w:sz w:val="16"/>
                <w:szCs w:val="16"/>
                <w:color w:val="auto"/>
              </w:rPr>
            </w:pPr>
          </w:p>
        </w:tc>
        <w:tc>
          <w:tcPr>
            <w:tcW w:w="920" w:type="dxa"/>
            <w:vAlign w:val="bottom"/>
            <w:shd w:val="clear" w:color="auto" w:fill="FDFDFC"/>
          </w:tcPr>
          <w:p>
            <w:pPr>
              <w:spacing w:after="0"/>
              <w:rPr>
                <w:sz w:val="16"/>
                <w:szCs w:val="16"/>
                <w:color w:val="auto"/>
              </w:rPr>
            </w:pPr>
          </w:p>
        </w:tc>
        <w:tc>
          <w:tcPr>
            <w:tcW w:w="120" w:type="dxa"/>
            <w:vAlign w:val="bottom"/>
            <w:shd w:val="clear" w:color="auto" w:fill="FDFDFC"/>
          </w:tcPr>
          <w:p>
            <w:pPr>
              <w:spacing w:after="0"/>
              <w:rPr>
                <w:sz w:val="16"/>
                <w:szCs w:val="16"/>
                <w:color w:val="auto"/>
              </w:rPr>
            </w:pPr>
          </w:p>
        </w:tc>
        <w:tc>
          <w:tcPr>
            <w:tcW w:w="1000" w:type="dxa"/>
            <w:vAlign w:val="bottom"/>
            <w:shd w:val="clear" w:color="auto" w:fill="FDFDFC"/>
          </w:tcPr>
          <w:p>
            <w:pPr>
              <w:spacing w:after="0"/>
              <w:rPr>
                <w:sz w:val="16"/>
                <w:szCs w:val="16"/>
                <w:color w:val="auto"/>
              </w:rPr>
            </w:pPr>
          </w:p>
        </w:tc>
        <w:tc>
          <w:tcPr>
            <w:tcW w:w="80" w:type="dxa"/>
            <w:vAlign w:val="bottom"/>
            <w:shd w:val="clear" w:color="auto" w:fill="FDFDFC"/>
          </w:tcPr>
          <w:p>
            <w:pPr>
              <w:spacing w:after="0"/>
              <w:rPr>
                <w:sz w:val="16"/>
                <w:szCs w:val="16"/>
                <w:color w:val="auto"/>
              </w:rPr>
            </w:pPr>
          </w:p>
        </w:tc>
        <w:tc>
          <w:tcPr>
            <w:tcW w:w="1600" w:type="dxa"/>
            <w:vAlign w:val="bottom"/>
            <w:shd w:val="clear" w:color="auto" w:fill="FDFDFC"/>
          </w:tcPr>
          <w:p>
            <w:pPr>
              <w:spacing w:after="0"/>
              <w:rPr>
                <w:sz w:val="16"/>
                <w:szCs w:val="16"/>
                <w:color w:val="auto"/>
              </w:rPr>
            </w:pPr>
          </w:p>
        </w:tc>
        <w:tc>
          <w:tcPr>
            <w:tcW w:w="100" w:type="dxa"/>
            <w:vAlign w:val="bottom"/>
            <w:shd w:val="clear" w:color="auto" w:fill="FDFDFC"/>
          </w:tcPr>
          <w:p>
            <w:pPr>
              <w:spacing w:after="0"/>
              <w:rPr>
                <w:sz w:val="16"/>
                <w:szCs w:val="16"/>
                <w:color w:val="auto"/>
              </w:rPr>
            </w:pPr>
          </w:p>
        </w:tc>
        <w:tc>
          <w:tcPr>
            <w:tcW w:w="860" w:type="dxa"/>
            <w:vAlign w:val="bottom"/>
            <w:shd w:val="clear" w:color="auto" w:fill="FDFDFC"/>
          </w:tcPr>
          <w:p>
            <w:pPr>
              <w:spacing w:after="0"/>
              <w:rPr>
                <w:sz w:val="16"/>
                <w:szCs w:val="16"/>
                <w:color w:val="auto"/>
              </w:rPr>
            </w:pPr>
          </w:p>
        </w:tc>
        <w:tc>
          <w:tcPr>
            <w:tcW w:w="0" w:type="dxa"/>
            <w:vAlign w:val="bottom"/>
          </w:tcPr>
          <w:p>
            <w:pPr>
              <w:spacing w:after="0"/>
              <w:rPr>
                <w:sz w:val="1"/>
                <w:szCs w:val="1"/>
                <w:color w:val="auto"/>
              </w:rPr>
            </w:pPr>
          </w:p>
        </w:tc>
      </w:tr>
      <w:tr>
        <w:trPr>
          <w:trHeight w:val="171"/>
        </w:trPr>
        <w:tc>
          <w:tcPr>
            <w:tcW w:w="1540" w:type="dxa"/>
            <w:vAlign w:val="bottom"/>
            <w:shd w:val="clear" w:color="auto" w:fill="D0EBF2"/>
          </w:tcPr>
          <w:p>
            <w:pPr>
              <w:spacing w:after="0" w:line="172" w:lineRule="exact"/>
              <w:rPr>
                <w:sz w:val="20"/>
                <w:szCs w:val="20"/>
                <w:color w:val="auto"/>
              </w:rPr>
            </w:pPr>
            <w:r>
              <w:rPr>
                <w:rFonts w:ascii="Times New Roman" w:cs="Times New Roman" w:eastAsia="Times New Roman" w:hAnsi="Times New Roman"/>
                <w:sz w:val="15"/>
                <w:szCs w:val="15"/>
                <w:color w:val="231F20"/>
              </w:rPr>
              <w:t>Artisan Bidco, Inc.</w:t>
            </w:r>
            <w:r>
              <w:rPr>
                <w:rFonts w:ascii="Times New Roman" w:cs="Times New Roman" w:eastAsia="Times New Roman" w:hAnsi="Times New Roman"/>
                <w:sz w:val="9"/>
                <w:szCs w:val="9"/>
                <w:color w:val="231F20"/>
              </w:rPr>
              <w:t>(3)</w:t>
            </w:r>
          </w:p>
        </w:tc>
        <w:tc>
          <w:tcPr>
            <w:tcW w:w="2180" w:type="dxa"/>
            <w:vAlign w:val="bottom"/>
            <w:gridSpan w:val="2"/>
            <w:shd w:val="clear" w:color="auto" w:fill="D0EBF2"/>
          </w:tcPr>
          <w:p>
            <w:pPr>
              <w:ind w:left="100"/>
              <w:spacing w:after="0" w:line="172" w:lineRule="exact"/>
              <w:rPr>
                <w:sz w:val="20"/>
                <w:szCs w:val="20"/>
                <w:color w:val="auto"/>
              </w:rPr>
            </w:pPr>
            <w:r>
              <w:rPr>
                <w:rFonts w:ascii="Times New Roman" w:cs="Times New Roman" w:eastAsia="Times New Roman" w:hAnsi="Times New Roman"/>
                <w:sz w:val="15"/>
                <w:szCs w:val="15"/>
                <w:color w:val="231F20"/>
              </w:rPr>
              <w:t>First-lien loan ($38,830 par, due</w:t>
            </w:r>
          </w:p>
        </w:tc>
        <w:tc>
          <w:tcPr>
            <w:tcW w:w="860" w:type="dxa"/>
            <w:vAlign w:val="bottom"/>
            <w:gridSpan w:val="2"/>
            <w:shd w:val="clear" w:color="auto" w:fill="D0EBF2"/>
          </w:tcPr>
          <w:p>
            <w:pPr>
              <w:jc w:val="right"/>
              <w:spacing w:after="0" w:line="172" w:lineRule="exact"/>
              <w:rPr>
                <w:sz w:val="20"/>
                <w:szCs w:val="20"/>
                <w:color w:val="auto"/>
              </w:rPr>
            </w:pPr>
            <w:r>
              <w:rPr>
                <w:rFonts w:ascii="Times New Roman" w:cs="Times New Roman" w:eastAsia="Times New Roman" w:hAnsi="Times New Roman"/>
                <w:sz w:val="15"/>
                <w:szCs w:val="15"/>
                <w:color w:val="231F20"/>
              </w:rPr>
              <w:t>11/7/2023</w:t>
            </w:r>
          </w:p>
        </w:tc>
        <w:tc>
          <w:tcPr>
            <w:tcW w:w="20" w:type="dxa"/>
            <w:vAlign w:val="bottom"/>
          </w:tcPr>
          <w:p>
            <w:pPr>
              <w:spacing w:after="0"/>
              <w:rPr>
                <w:sz w:val="14"/>
                <w:szCs w:val="14"/>
                <w:color w:val="auto"/>
              </w:rPr>
            </w:pPr>
          </w:p>
        </w:tc>
        <w:tc>
          <w:tcPr>
            <w:tcW w:w="80" w:type="dxa"/>
            <w:vAlign w:val="bottom"/>
            <w:shd w:val="clear" w:color="auto" w:fill="D0EBF2"/>
          </w:tcPr>
          <w:p>
            <w:pPr>
              <w:spacing w:after="0"/>
              <w:rPr>
                <w:sz w:val="14"/>
                <w:szCs w:val="14"/>
                <w:color w:val="auto"/>
              </w:rPr>
            </w:pPr>
          </w:p>
        </w:tc>
        <w:tc>
          <w:tcPr>
            <w:tcW w:w="820" w:type="dxa"/>
            <w:vAlign w:val="bottom"/>
            <w:shd w:val="clear" w:color="auto" w:fill="D0EBF2"/>
          </w:tcPr>
          <w:p>
            <w:pPr>
              <w:jc w:val="right"/>
              <w:spacing w:after="0" w:line="172" w:lineRule="exact"/>
              <w:rPr>
                <w:sz w:val="20"/>
                <w:szCs w:val="20"/>
                <w:color w:val="auto"/>
              </w:rPr>
            </w:pPr>
            <w:r>
              <w:rPr>
                <w:rFonts w:ascii="Times New Roman" w:cs="Times New Roman" w:eastAsia="Times New Roman" w:hAnsi="Times New Roman"/>
                <w:sz w:val="15"/>
                <w:szCs w:val="15"/>
                <w:color w:val="231F20"/>
              </w:rPr>
              <w:t>SOFR +</w:t>
            </w:r>
          </w:p>
        </w:tc>
        <w:tc>
          <w:tcPr>
            <w:tcW w:w="1020" w:type="dxa"/>
            <w:vAlign w:val="bottom"/>
            <w:gridSpan w:val="2"/>
            <w:shd w:val="clear" w:color="auto" w:fill="D0EBF2"/>
          </w:tcPr>
          <w:p>
            <w:pPr>
              <w:jc w:val="right"/>
              <w:spacing w:after="0" w:line="172" w:lineRule="exact"/>
              <w:rPr>
                <w:sz w:val="20"/>
                <w:szCs w:val="20"/>
                <w:color w:val="auto"/>
              </w:rPr>
            </w:pPr>
            <w:r>
              <w:rPr>
                <w:rFonts w:ascii="Times New Roman" w:cs="Times New Roman" w:eastAsia="Times New Roman" w:hAnsi="Times New Roman"/>
                <w:sz w:val="15"/>
                <w:szCs w:val="15"/>
                <w:color w:val="231F20"/>
              </w:rPr>
              <w:t>11.39%</w:t>
            </w:r>
          </w:p>
        </w:tc>
        <w:tc>
          <w:tcPr>
            <w:tcW w:w="1120" w:type="dxa"/>
            <w:vAlign w:val="bottom"/>
            <w:gridSpan w:val="2"/>
            <w:shd w:val="clear" w:color="auto" w:fill="D0EBF2"/>
          </w:tcPr>
          <w:p>
            <w:pPr>
              <w:jc w:val="right"/>
              <w:spacing w:after="0" w:line="172" w:lineRule="exact"/>
              <w:rPr>
                <w:sz w:val="20"/>
                <w:szCs w:val="20"/>
                <w:color w:val="auto"/>
              </w:rPr>
            </w:pPr>
            <w:r>
              <w:rPr>
                <w:rFonts w:ascii="Times New Roman" w:cs="Times New Roman" w:eastAsia="Times New Roman" w:hAnsi="Times New Roman"/>
                <w:sz w:val="15"/>
                <w:szCs w:val="15"/>
                <w:color w:val="231F20"/>
              </w:rPr>
              <w:t>38,090</w:t>
            </w:r>
          </w:p>
        </w:tc>
        <w:tc>
          <w:tcPr>
            <w:tcW w:w="1680" w:type="dxa"/>
            <w:vAlign w:val="bottom"/>
            <w:gridSpan w:val="2"/>
            <w:shd w:val="clear" w:color="auto" w:fill="D0EBF2"/>
          </w:tcPr>
          <w:p>
            <w:pPr>
              <w:jc w:val="right"/>
              <w:spacing w:after="0" w:line="172" w:lineRule="exact"/>
              <w:rPr>
                <w:sz w:val="20"/>
                <w:szCs w:val="20"/>
                <w:color w:val="auto"/>
              </w:rPr>
            </w:pPr>
            <w:r>
              <w:rPr>
                <w:rFonts w:ascii="Times New Roman" w:cs="Times New Roman" w:eastAsia="Times New Roman" w:hAnsi="Times New Roman"/>
                <w:sz w:val="15"/>
                <w:szCs w:val="15"/>
                <w:color w:val="231F20"/>
              </w:rPr>
              <w:t>38,830</w:t>
            </w:r>
          </w:p>
        </w:tc>
        <w:tc>
          <w:tcPr>
            <w:tcW w:w="960" w:type="dxa"/>
            <w:vAlign w:val="bottom"/>
            <w:gridSpan w:val="2"/>
            <w:shd w:val="clear" w:color="auto" w:fill="D0EBF2"/>
          </w:tcPr>
          <w:p>
            <w:pPr>
              <w:jc w:val="right"/>
              <w:spacing w:after="0" w:line="172" w:lineRule="exact"/>
              <w:rPr>
                <w:sz w:val="20"/>
                <w:szCs w:val="20"/>
                <w:color w:val="auto"/>
              </w:rPr>
            </w:pPr>
            <w:r>
              <w:rPr>
                <w:rFonts w:ascii="Times New Roman" w:cs="Times New Roman" w:eastAsia="Times New Roman" w:hAnsi="Times New Roman"/>
                <w:sz w:val="15"/>
                <w:szCs w:val="15"/>
                <w:color w:val="231F20"/>
              </w:rPr>
              <w:t>2.5%</w:t>
            </w:r>
          </w:p>
        </w:tc>
        <w:tc>
          <w:tcPr>
            <w:tcW w:w="0" w:type="dxa"/>
            <w:vAlign w:val="bottom"/>
          </w:tcPr>
          <w:p>
            <w:pPr>
              <w:spacing w:after="0"/>
              <w:rPr>
                <w:sz w:val="1"/>
                <w:szCs w:val="1"/>
                <w:color w:val="auto"/>
              </w:rPr>
            </w:pPr>
          </w:p>
        </w:tc>
      </w:tr>
      <w:tr>
        <w:trPr>
          <w:trHeight w:val="189"/>
        </w:trPr>
        <w:tc>
          <w:tcPr>
            <w:tcW w:w="1540" w:type="dxa"/>
            <w:vAlign w:val="bottom"/>
            <w:shd w:val="clear" w:color="auto" w:fill="D0EBF2"/>
          </w:tcPr>
          <w:p>
            <w:pPr>
              <w:spacing w:after="0"/>
              <w:rPr>
                <w:sz w:val="16"/>
                <w:szCs w:val="16"/>
                <w:color w:val="auto"/>
              </w:rPr>
            </w:pPr>
          </w:p>
        </w:tc>
        <w:tc>
          <w:tcPr>
            <w:tcW w:w="2180" w:type="dxa"/>
            <w:vAlign w:val="bottom"/>
            <w:gridSpan w:val="2"/>
            <w:shd w:val="clear" w:color="auto" w:fill="D0EBF2"/>
          </w:tcPr>
          <w:p>
            <w:pPr>
              <w:ind w:left="100"/>
              <w:spacing w:after="0"/>
              <w:rPr>
                <w:sz w:val="20"/>
                <w:szCs w:val="20"/>
                <w:color w:val="auto"/>
              </w:rPr>
            </w:pPr>
            <w:r>
              <w:rPr>
                <w:rFonts w:ascii="Times New Roman" w:cs="Times New Roman" w:eastAsia="Times New Roman" w:hAnsi="Times New Roman"/>
                <w:sz w:val="15"/>
                <w:szCs w:val="15"/>
                <w:color w:val="231F20"/>
              </w:rPr>
              <w:t>11/2029)</w:t>
            </w:r>
          </w:p>
        </w:tc>
        <w:tc>
          <w:tcPr>
            <w:tcW w:w="100" w:type="dxa"/>
            <w:vAlign w:val="bottom"/>
            <w:shd w:val="clear" w:color="auto" w:fill="D0EBF2"/>
          </w:tcPr>
          <w:p>
            <w:pPr>
              <w:spacing w:after="0"/>
              <w:rPr>
                <w:sz w:val="16"/>
                <w:szCs w:val="16"/>
                <w:color w:val="auto"/>
              </w:rPr>
            </w:pPr>
          </w:p>
        </w:tc>
        <w:tc>
          <w:tcPr>
            <w:tcW w:w="760" w:type="dxa"/>
            <w:vAlign w:val="bottom"/>
            <w:shd w:val="clear" w:color="auto" w:fill="D0EBF2"/>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gridSpan w:val="2"/>
            <w:shd w:val="clear" w:color="auto" w:fill="D0EBF2"/>
          </w:tcPr>
          <w:p>
            <w:pPr>
              <w:jc w:val="right"/>
              <w:spacing w:after="0"/>
              <w:rPr>
                <w:sz w:val="20"/>
                <w:szCs w:val="20"/>
                <w:color w:val="auto"/>
              </w:rPr>
            </w:pPr>
            <w:r>
              <w:rPr>
                <w:rFonts w:ascii="Times New Roman" w:cs="Times New Roman" w:eastAsia="Times New Roman" w:hAnsi="Times New Roman"/>
                <w:sz w:val="15"/>
                <w:szCs w:val="15"/>
                <w:color w:val="231F20"/>
              </w:rPr>
              <w:t>7.00%</w:t>
            </w:r>
          </w:p>
        </w:tc>
        <w:tc>
          <w:tcPr>
            <w:tcW w:w="100" w:type="dxa"/>
            <w:vAlign w:val="bottom"/>
            <w:shd w:val="clear" w:color="auto" w:fill="D0EBF2"/>
          </w:tcPr>
          <w:p>
            <w:pPr>
              <w:spacing w:after="0"/>
              <w:rPr>
                <w:sz w:val="16"/>
                <w:szCs w:val="16"/>
                <w:color w:val="auto"/>
              </w:rPr>
            </w:pPr>
          </w:p>
        </w:tc>
        <w:tc>
          <w:tcPr>
            <w:tcW w:w="920" w:type="dxa"/>
            <w:vAlign w:val="bottom"/>
            <w:shd w:val="clear" w:color="auto" w:fill="D0EBF2"/>
          </w:tcPr>
          <w:p>
            <w:pPr>
              <w:spacing w:after="0"/>
              <w:rPr>
                <w:sz w:val="16"/>
                <w:szCs w:val="16"/>
                <w:color w:val="auto"/>
              </w:rPr>
            </w:pPr>
          </w:p>
        </w:tc>
        <w:tc>
          <w:tcPr>
            <w:tcW w:w="120" w:type="dxa"/>
            <w:vAlign w:val="bottom"/>
            <w:shd w:val="clear" w:color="auto" w:fill="D0EBF2"/>
          </w:tcPr>
          <w:p>
            <w:pPr>
              <w:spacing w:after="0"/>
              <w:rPr>
                <w:sz w:val="16"/>
                <w:szCs w:val="16"/>
                <w:color w:val="auto"/>
              </w:rPr>
            </w:pPr>
          </w:p>
        </w:tc>
        <w:tc>
          <w:tcPr>
            <w:tcW w:w="1000" w:type="dxa"/>
            <w:vAlign w:val="bottom"/>
            <w:shd w:val="clear" w:color="auto" w:fill="D0EBF2"/>
          </w:tcPr>
          <w:p>
            <w:pPr>
              <w:spacing w:after="0"/>
              <w:rPr>
                <w:sz w:val="16"/>
                <w:szCs w:val="16"/>
                <w:color w:val="auto"/>
              </w:rPr>
            </w:pPr>
          </w:p>
        </w:tc>
        <w:tc>
          <w:tcPr>
            <w:tcW w:w="80" w:type="dxa"/>
            <w:vAlign w:val="bottom"/>
            <w:shd w:val="clear" w:color="auto" w:fill="D0EBF2"/>
          </w:tcPr>
          <w:p>
            <w:pPr>
              <w:spacing w:after="0"/>
              <w:rPr>
                <w:sz w:val="16"/>
                <w:szCs w:val="16"/>
                <w:color w:val="auto"/>
              </w:rPr>
            </w:pPr>
          </w:p>
        </w:tc>
        <w:tc>
          <w:tcPr>
            <w:tcW w:w="1600" w:type="dxa"/>
            <w:vAlign w:val="bottom"/>
            <w:shd w:val="clear" w:color="auto" w:fill="D0EBF2"/>
          </w:tcPr>
          <w:p>
            <w:pPr>
              <w:spacing w:after="0"/>
              <w:rPr>
                <w:sz w:val="16"/>
                <w:szCs w:val="16"/>
                <w:color w:val="auto"/>
              </w:rPr>
            </w:pPr>
          </w:p>
        </w:tc>
        <w:tc>
          <w:tcPr>
            <w:tcW w:w="100" w:type="dxa"/>
            <w:vAlign w:val="bottom"/>
            <w:shd w:val="clear" w:color="auto" w:fill="D0EBF2"/>
          </w:tcPr>
          <w:p>
            <w:pPr>
              <w:spacing w:after="0"/>
              <w:rPr>
                <w:sz w:val="16"/>
                <w:szCs w:val="16"/>
                <w:color w:val="auto"/>
              </w:rPr>
            </w:pPr>
          </w:p>
        </w:tc>
        <w:tc>
          <w:tcPr>
            <w:tcW w:w="860" w:type="dxa"/>
            <w:vAlign w:val="bottom"/>
            <w:shd w:val="clear" w:color="auto" w:fill="D0EBF2"/>
          </w:tcPr>
          <w:p>
            <w:pPr>
              <w:spacing w:after="0"/>
              <w:rPr>
                <w:sz w:val="16"/>
                <w:szCs w:val="16"/>
                <w:color w:val="auto"/>
              </w:rPr>
            </w:pPr>
          </w:p>
        </w:tc>
        <w:tc>
          <w:tcPr>
            <w:tcW w:w="0" w:type="dxa"/>
            <w:vAlign w:val="bottom"/>
          </w:tcPr>
          <w:p>
            <w:pPr>
              <w:spacing w:after="0"/>
              <w:rPr>
                <w:sz w:val="1"/>
                <w:szCs w:val="1"/>
                <w:color w:val="auto"/>
              </w:rPr>
            </w:pPr>
          </w:p>
        </w:tc>
      </w:tr>
      <w:tr>
        <w:trPr>
          <w:trHeight w:val="171"/>
        </w:trPr>
        <w:tc>
          <w:tcPr>
            <w:tcW w:w="1540" w:type="dxa"/>
            <w:vAlign w:val="bottom"/>
            <w:shd w:val="clear" w:color="auto" w:fill="FDFDFC"/>
          </w:tcPr>
          <w:p>
            <w:pPr>
              <w:spacing w:after="0"/>
              <w:rPr>
                <w:sz w:val="14"/>
                <w:szCs w:val="14"/>
                <w:color w:val="auto"/>
              </w:rPr>
            </w:pPr>
          </w:p>
        </w:tc>
        <w:tc>
          <w:tcPr>
            <w:tcW w:w="2180" w:type="dxa"/>
            <w:vAlign w:val="bottom"/>
            <w:gridSpan w:val="2"/>
            <w:shd w:val="clear" w:color="auto" w:fill="FDFDFC"/>
          </w:tcPr>
          <w:p>
            <w:pPr>
              <w:ind w:left="100"/>
              <w:spacing w:after="0" w:line="172" w:lineRule="exact"/>
              <w:rPr>
                <w:sz w:val="20"/>
                <w:szCs w:val="20"/>
                <w:color w:val="auto"/>
              </w:rPr>
            </w:pPr>
            <w:r>
              <w:rPr>
                <w:rFonts w:ascii="Times New Roman" w:cs="Times New Roman" w:eastAsia="Times New Roman" w:hAnsi="Times New Roman"/>
                <w:sz w:val="15"/>
                <w:szCs w:val="15"/>
                <w:color w:val="231F20"/>
              </w:rPr>
              <w:t>First-lien loan (EUR 17,558 par,</w:t>
            </w:r>
          </w:p>
        </w:tc>
        <w:tc>
          <w:tcPr>
            <w:tcW w:w="860" w:type="dxa"/>
            <w:vAlign w:val="bottom"/>
            <w:gridSpan w:val="2"/>
            <w:shd w:val="clear" w:color="auto" w:fill="FDFDFC"/>
          </w:tcPr>
          <w:p>
            <w:pPr>
              <w:jc w:val="right"/>
              <w:spacing w:after="0" w:line="172" w:lineRule="exact"/>
              <w:rPr>
                <w:sz w:val="20"/>
                <w:szCs w:val="20"/>
                <w:color w:val="auto"/>
              </w:rPr>
            </w:pPr>
            <w:r>
              <w:rPr>
                <w:rFonts w:ascii="Times New Roman" w:cs="Times New Roman" w:eastAsia="Times New Roman" w:hAnsi="Times New Roman"/>
                <w:sz w:val="15"/>
                <w:szCs w:val="15"/>
                <w:color w:val="231F20"/>
              </w:rPr>
              <w:t>11/7/2023</w:t>
            </w:r>
          </w:p>
        </w:tc>
        <w:tc>
          <w:tcPr>
            <w:tcW w:w="20" w:type="dxa"/>
            <w:vAlign w:val="bottom"/>
          </w:tcPr>
          <w:p>
            <w:pPr>
              <w:spacing w:after="0"/>
              <w:rPr>
                <w:sz w:val="14"/>
                <w:szCs w:val="14"/>
                <w:color w:val="auto"/>
              </w:rPr>
            </w:pPr>
          </w:p>
        </w:tc>
        <w:tc>
          <w:tcPr>
            <w:tcW w:w="80" w:type="dxa"/>
            <w:vAlign w:val="bottom"/>
            <w:shd w:val="clear" w:color="auto" w:fill="FDFDFC"/>
          </w:tcPr>
          <w:p>
            <w:pPr>
              <w:spacing w:after="0"/>
              <w:rPr>
                <w:sz w:val="14"/>
                <w:szCs w:val="14"/>
                <w:color w:val="auto"/>
              </w:rPr>
            </w:pPr>
          </w:p>
        </w:tc>
        <w:tc>
          <w:tcPr>
            <w:tcW w:w="820" w:type="dxa"/>
            <w:vAlign w:val="bottom"/>
            <w:shd w:val="clear" w:color="auto" w:fill="FDFDFC"/>
          </w:tcPr>
          <w:p>
            <w:pPr>
              <w:jc w:val="right"/>
              <w:spacing w:after="0" w:line="172" w:lineRule="exact"/>
              <w:rPr>
                <w:sz w:val="20"/>
                <w:szCs w:val="20"/>
                <w:color w:val="auto"/>
              </w:rPr>
            </w:pPr>
            <w:r>
              <w:rPr>
                <w:rFonts w:ascii="Times New Roman" w:cs="Times New Roman" w:eastAsia="Times New Roman" w:hAnsi="Times New Roman"/>
                <w:sz w:val="15"/>
                <w:szCs w:val="15"/>
                <w:color w:val="231F20"/>
              </w:rPr>
              <w:t>E + 7.00%</w:t>
            </w:r>
          </w:p>
        </w:tc>
        <w:tc>
          <w:tcPr>
            <w:tcW w:w="1020" w:type="dxa"/>
            <w:vAlign w:val="bottom"/>
            <w:gridSpan w:val="2"/>
            <w:shd w:val="clear" w:color="auto" w:fill="FDFDFC"/>
          </w:tcPr>
          <w:p>
            <w:pPr>
              <w:jc w:val="right"/>
              <w:spacing w:after="0" w:line="172" w:lineRule="exact"/>
              <w:rPr>
                <w:sz w:val="20"/>
                <w:szCs w:val="20"/>
                <w:color w:val="auto"/>
              </w:rPr>
            </w:pPr>
            <w:r>
              <w:rPr>
                <w:rFonts w:ascii="Times New Roman" w:cs="Times New Roman" w:eastAsia="Times New Roman" w:hAnsi="Times New Roman"/>
                <w:sz w:val="15"/>
                <w:szCs w:val="15"/>
                <w:color w:val="231F20"/>
              </w:rPr>
              <w:t>10.05%</w:t>
            </w:r>
          </w:p>
        </w:tc>
        <w:tc>
          <w:tcPr>
            <w:tcW w:w="1120" w:type="dxa"/>
            <w:vAlign w:val="bottom"/>
            <w:gridSpan w:val="2"/>
            <w:shd w:val="clear" w:color="auto" w:fill="FDFDFC"/>
          </w:tcPr>
          <w:p>
            <w:pPr>
              <w:jc w:val="right"/>
              <w:spacing w:after="0" w:line="172" w:lineRule="exact"/>
              <w:rPr>
                <w:sz w:val="20"/>
                <w:szCs w:val="20"/>
                <w:color w:val="auto"/>
              </w:rPr>
            </w:pPr>
            <w:r>
              <w:rPr>
                <w:rFonts w:ascii="Times New Roman" w:cs="Times New Roman" w:eastAsia="Times New Roman" w:hAnsi="Times New Roman"/>
                <w:sz w:val="15"/>
                <w:szCs w:val="15"/>
                <w:color w:val="231F20"/>
              </w:rPr>
              <w:t>18,544</w:t>
            </w:r>
          </w:p>
        </w:tc>
        <w:tc>
          <w:tcPr>
            <w:tcW w:w="1680" w:type="dxa"/>
            <w:vAlign w:val="bottom"/>
            <w:gridSpan w:val="2"/>
            <w:shd w:val="clear" w:color="auto" w:fill="FDFDFC"/>
          </w:tcPr>
          <w:p>
            <w:pPr>
              <w:jc w:val="right"/>
              <w:spacing w:after="0" w:line="172" w:lineRule="exact"/>
              <w:rPr>
                <w:sz w:val="20"/>
                <w:szCs w:val="20"/>
                <w:color w:val="auto"/>
              </w:rPr>
            </w:pPr>
            <w:r>
              <w:rPr>
                <w:rFonts w:ascii="Times New Roman" w:cs="Times New Roman" w:eastAsia="Times New Roman" w:hAnsi="Times New Roman"/>
                <w:sz w:val="15"/>
                <w:szCs w:val="15"/>
                <w:color w:val="231F20"/>
              </w:rPr>
              <w:t>18,181</w:t>
            </w:r>
          </w:p>
        </w:tc>
        <w:tc>
          <w:tcPr>
            <w:tcW w:w="960" w:type="dxa"/>
            <w:vAlign w:val="bottom"/>
            <w:gridSpan w:val="2"/>
            <w:shd w:val="clear" w:color="auto" w:fill="FDFDFC"/>
          </w:tcPr>
          <w:p>
            <w:pPr>
              <w:jc w:val="right"/>
              <w:spacing w:after="0" w:line="172" w:lineRule="exact"/>
              <w:rPr>
                <w:sz w:val="20"/>
                <w:szCs w:val="20"/>
                <w:color w:val="auto"/>
              </w:rPr>
            </w:pPr>
            <w:r>
              <w:rPr>
                <w:rFonts w:ascii="Times New Roman" w:cs="Times New Roman" w:eastAsia="Times New Roman" w:hAnsi="Times New Roman"/>
                <w:sz w:val="15"/>
                <w:szCs w:val="15"/>
                <w:color w:val="231F20"/>
              </w:rPr>
              <w:t>1.1%</w:t>
            </w:r>
          </w:p>
        </w:tc>
        <w:tc>
          <w:tcPr>
            <w:tcW w:w="0" w:type="dxa"/>
            <w:vAlign w:val="bottom"/>
          </w:tcPr>
          <w:p>
            <w:pPr>
              <w:spacing w:after="0"/>
              <w:rPr>
                <w:sz w:val="1"/>
                <w:szCs w:val="1"/>
                <w:color w:val="auto"/>
              </w:rPr>
            </w:pPr>
          </w:p>
        </w:tc>
      </w:tr>
      <w:tr>
        <w:trPr>
          <w:trHeight w:val="189"/>
        </w:trPr>
        <w:tc>
          <w:tcPr>
            <w:tcW w:w="1540" w:type="dxa"/>
            <w:vAlign w:val="bottom"/>
            <w:shd w:val="clear" w:color="auto" w:fill="FDFDFC"/>
          </w:tcPr>
          <w:p>
            <w:pPr>
              <w:spacing w:after="0"/>
              <w:rPr>
                <w:sz w:val="16"/>
                <w:szCs w:val="16"/>
                <w:color w:val="auto"/>
              </w:rPr>
            </w:pPr>
          </w:p>
        </w:tc>
        <w:tc>
          <w:tcPr>
            <w:tcW w:w="2180" w:type="dxa"/>
            <w:vAlign w:val="bottom"/>
            <w:gridSpan w:val="2"/>
            <w:shd w:val="clear" w:color="auto" w:fill="FDFDFC"/>
          </w:tcPr>
          <w:p>
            <w:pPr>
              <w:ind w:left="100"/>
              <w:spacing w:after="0"/>
              <w:rPr>
                <w:sz w:val="20"/>
                <w:szCs w:val="20"/>
                <w:color w:val="auto"/>
              </w:rPr>
            </w:pPr>
            <w:r>
              <w:rPr>
                <w:rFonts w:ascii="Times New Roman" w:cs="Times New Roman" w:eastAsia="Times New Roman" w:hAnsi="Times New Roman"/>
                <w:sz w:val="15"/>
                <w:szCs w:val="15"/>
                <w:color w:val="231F20"/>
              </w:rPr>
              <w:t>due 11/2029)</w:t>
            </w:r>
          </w:p>
        </w:tc>
        <w:tc>
          <w:tcPr>
            <w:tcW w:w="100" w:type="dxa"/>
            <w:vAlign w:val="bottom"/>
            <w:shd w:val="clear" w:color="auto" w:fill="FDFDFC"/>
          </w:tcPr>
          <w:p>
            <w:pPr>
              <w:spacing w:after="0"/>
              <w:rPr>
                <w:sz w:val="16"/>
                <w:szCs w:val="16"/>
                <w:color w:val="auto"/>
              </w:rPr>
            </w:pPr>
          </w:p>
        </w:tc>
        <w:tc>
          <w:tcPr>
            <w:tcW w:w="760" w:type="dxa"/>
            <w:vAlign w:val="bottom"/>
            <w:shd w:val="clear" w:color="auto" w:fill="FDFDFC"/>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shd w:val="clear" w:color="auto" w:fill="FDFDFC"/>
          </w:tcPr>
          <w:p>
            <w:pPr>
              <w:spacing w:after="0"/>
              <w:rPr>
                <w:sz w:val="16"/>
                <w:szCs w:val="16"/>
                <w:color w:val="auto"/>
              </w:rPr>
            </w:pPr>
          </w:p>
        </w:tc>
        <w:tc>
          <w:tcPr>
            <w:tcW w:w="820" w:type="dxa"/>
            <w:vAlign w:val="bottom"/>
            <w:shd w:val="clear" w:color="auto" w:fill="FDFDFC"/>
          </w:tcPr>
          <w:p>
            <w:pPr>
              <w:spacing w:after="0"/>
              <w:rPr>
                <w:sz w:val="16"/>
                <w:szCs w:val="16"/>
                <w:color w:val="auto"/>
              </w:rPr>
            </w:pPr>
          </w:p>
        </w:tc>
        <w:tc>
          <w:tcPr>
            <w:tcW w:w="100" w:type="dxa"/>
            <w:vAlign w:val="bottom"/>
            <w:shd w:val="clear" w:color="auto" w:fill="FDFDFC"/>
          </w:tcPr>
          <w:p>
            <w:pPr>
              <w:spacing w:after="0"/>
              <w:rPr>
                <w:sz w:val="16"/>
                <w:szCs w:val="16"/>
                <w:color w:val="auto"/>
              </w:rPr>
            </w:pPr>
          </w:p>
        </w:tc>
        <w:tc>
          <w:tcPr>
            <w:tcW w:w="920" w:type="dxa"/>
            <w:vAlign w:val="bottom"/>
            <w:shd w:val="clear" w:color="auto" w:fill="FDFDFC"/>
          </w:tcPr>
          <w:p>
            <w:pPr>
              <w:spacing w:after="0"/>
              <w:rPr>
                <w:sz w:val="16"/>
                <w:szCs w:val="16"/>
                <w:color w:val="auto"/>
              </w:rPr>
            </w:pPr>
          </w:p>
        </w:tc>
        <w:tc>
          <w:tcPr>
            <w:tcW w:w="120" w:type="dxa"/>
            <w:vAlign w:val="bottom"/>
            <w:shd w:val="clear" w:color="auto" w:fill="FDFDFC"/>
          </w:tcPr>
          <w:p>
            <w:pPr>
              <w:spacing w:after="0"/>
              <w:rPr>
                <w:sz w:val="16"/>
                <w:szCs w:val="16"/>
                <w:color w:val="auto"/>
              </w:rPr>
            </w:pPr>
          </w:p>
        </w:tc>
        <w:tc>
          <w:tcPr>
            <w:tcW w:w="1000" w:type="dxa"/>
            <w:vAlign w:val="bottom"/>
            <w:shd w:val="clear" w:color="auto" w:fill="FDFDFC"/>
          </w:tcPr>
          <w:p>
            <w:pPr>
              <w:spacing w:after="0"/>
              <w:rPr>
                <w:sz w:val="16"/>
                <w:szCs w:val="16"/>
                <w:color w:val="auto"/>
              </w:rPr>
            </w:pPr>
          </w:p>
        </w:tc>
        <w:tc>
          <w:tcPr>
            <w:tcW w:w="80" w:type="dxa"/>
            <w:vAlign w:val="bottom"/>
            <w:shd w:val="clear" w:color="auto" w:fill="FDFDFC"/>
          </w:tcPr>
          <w:p>
            <w:pPr>
              <w:spacing w:after="0"/>
              <w:rPr>
                <w:sz w:val="16"/>
                <w:szCs w:val="16"/>
                <w:color w:val="auto"/>
              </w:rPr>
            </w:pPr>
          </w:p>
        </w:tc>
        <w:tc>
          <w:tcPr>
            <w:tcW w:w="1600" w:type="dxa"/>
            <w:vAlign w:val="bottom"/>
            <w:shd w:val="clear" w:color="auto" w:fill="FDFDFC"/>
          </w:tcPr>
          <w:p>
            <w:pPr>
              <w:jc w:val="right"/>
              <w:spacing w:after="0"/>
              <w:rPr>
                <w:sz w:val="20"/>
                <w:szCs w:val="20"/>
                <w:color w:val="auto"/>
              </w:rPr>
            </w:pPr>
            <w:r>
              <w:rPr>
                <w:rFonts w:ascii="Times New Roman" w:cs="Times New Roman" w:eastAsia="Times New Roman" w:hAnsi="Times New Roman"/>
                <w:sz w:val="15"/>
                <w:szCs w:val="15"/>
                <w:color w:val="231F20"/>
              </w:rPr>
              <w:t>(EUR 17,558)</w:t>
            </w:r>
          </w:p>
        </w:tc>
        <w:tc>
          <w:tcPr>
            <w:tcW w:w="100" w:type="dxa"/>
            <w:vAlign w:val="bottom"/>
            <w:shd w:val="clear" w:color="auto" w:fill="FDFDFC"/>
          </w:tcPr>
          <w:p>
            <w:pPr>
              <w:spacing w:after="0"/>
              <w:rPr>
                <w:sz w:val="16"/>
                <w:szCs w:val="16"/>
                <w:color w:val="auto"/>
              </w:rPr>
            </w:pPr>
          </w:p>
        </w:tc>
        <w:tc>
          <w:tcPr>
            <w:tcW w:w="860" w:type="dxa"/>
            <w:vAlign w:val="bottom"/>
            <w:shd w:val="clear" w:color="auto" w:fill="FDFDFC"/>
          </w:tcPr>
          <w:p>
            <w:pPr>
              <w:spacing w:after="0"/>
              <w:rPr>
                <w:sz w:val="16"/>
                <w:szCs w:val="16"/>
                <w:color w:val="auto"/>
              </w:rPr>
            </w:pPr>
          </w:p>
        </w:tc>
        <w:tc>
          <w:tcPr>
            <w:tcW w:w="0" w:type="dxa"/>
            <w:vAlign w:val="bottom"/>
          </w:tcPr>
          <w:p>
            <w:pPr>
              <w:spacing w:after="0"/>
              <w:rPr>
                <w:sz w:val="1"/>
                <w:szCs w:val="1"/>
                <w:color w:val="auto"/>
              </w:rPr>
            </w:pPr>
          </w:p>
        </w:tc>
      </w:tr>
      <w:tr>
        <w:trPr>
          <w:trHeight w:val="171"/>
        </w:trPr>
        <w:tc>
          <w:tcPr>
            <w:tcW w:w="1540" w:type="dxa"/>
            <w:vAlign w:val="bottom"/>
            <w:shd w:val="clear" w:color="auto" w:fill="D0EBF2"/>
          </w:tcPr>
          <w:p>
            <w:pPr>
              <w:spacing w:after="0" w:line="172" w:lineRule="exact"/>
              <w:rPr>
                <w:sz w:val="20"/>
                <w:szCs w:val="20"/>
                <w:color w:val="auto"/>
              </w:rPr>
            </w:pPr>
            <w:r>
              <w:rPr>
                <w:rFonts w:ascii="Times New Roman" w:cs="Times New Roman" w:eastAsia="Times New Roman" w:hAnsi="Times New Roman"/>
                <w:sz w:val="15"/>
                <w:szCs w:val="15"/>
                <w:color w:val="231F20"/>
              </w:rPr>
              <w:t>Azurite Intermediate</w:t>
            </w:r>
          </w:p>
        </w:tc>
        <w:tc>
          <w:tcPr>
            <w:tcW w:w="2180" w:type="dxa"/>
            <w:vAlign w:val="bottom"/>
            <w:gridSpan w:val="2"/>
            <w:shd w:val="clear" w:color="auto" w:fill="D0EBF2"/>
          </w:tcPr>
          <w:p>
            <w:pPr>
              <w:ind w:left="100"/>
              <w:spacing w:after="0" w:line="172" w:lineRule="exact"/>
              <w:rPr>
                <w:sz w:val="20"/>
                <w:szCs w:val="20"/>
                <w:color w:val="auto"/>
              </w:rPr>
            </w:pPr>
            <w:r>
              <w:rPr>
                <w:rFonts w:ascii="Times New Roman" w:cs="Times New Roman" w:eastAsia="Times New Roman" w:hAnsi="Times New Roman"/>
                <w:sz w:val="15"/>
                <w:szCs w:val="15"/>
                <w:color w:val="231F20"/>
              </w:rPr>
              <w:t>First-lien loan ($42,750 par, due</w:t>
            </w:r>
          </w:p>
        </w:tc>
        <w:tc>
          <w:tcPr>
            <w:tcW w:w="860" w:type="dxa"/>
            <w:vAlign w:val="bottom"/>
            <w:gridSpan w:val="2"/>
            <w:shd w:val="clear" w:color="auto" w:fill="D0EBF2"/>
          </w:tcPr>
          <w:p>
            <w:pPr>
              <w:jc w:val="right"/>
              <w:spacing w:after="0" w:line="172" w:lineRule="exact"/>
              <w:rPr>
                <w:sz w:val="20"/>
                <w:szCs w:val="20"/>
                <w:color w:val="auto"/>
              </w:rPr>
            </w:pPr>
            <w:r>
              <w:rPr>
                <w:rFonts w:ascii="Times New Roman" w:cs="Times New Roman" w:eastAsia="Times New Roman" w:hAnsi="Times New Roman"/>
                <w:sz w:val="15"/>
                <w:szCs w:val="15"/>
                <w:color w:val="231F20"/>
              </w:rPr>
              <w:t>3/19/2024</w:t>
            </w:r>
          </w:p>
        </w:tc>
        <w:tc>
          <w:tcPr>
            <w:tcW w:w="20" w:type="dxa"/>
            <w:vAlign w:val="bottom"/>
          </w:tcPr>
          <w:p>
            <w:pPr>
              <w:spacing w:after="0"/>
              <w:rPr>
                <w:sz w:val="14"/>
                <w:szCs w:val="14"/>
                <w:color w:val="auto"/>
              </w:rPr>
            </w:pPr>
          </w:p>
        </w:tc>
        <w:tc>
          <w:tcPr>
            <w:tcW w:w="80" w:type="dxa"/>
            <w:vAlign w:val="bottom"/>
            <w:shd w:val="clear" w:color="auto" w:fill="D0EBF2"/>
          </w:tcPr>
          <w:p>
            <w:pPr>
              <w:spacing w:after="0"/>
              <w:rPr>
                <w:sz w:val="14"/>
                <w:szCs w:val="14"/>
                <w:color w:val="auto"/>
              </w:rPr>
            </w:pPr>
          </w:p>
        </w:tc>
        <w:tc>
          <w:tcPr>
            <w:tcW w:w="820" w:type="dxa"/>
            <w:vAlign w:val="bottom"/>
            <w:shd w:val="clear" w:color="auto" w:fill="D0EBF2"/>
          </w:tcPr>
          <w:p>
            <w:pPr>
              <w:jc w:val="right"/>
              <w:spacing w:after="0" w:line="172" w:lineRule="exact"/>
              <w:rPr>
                <w:sz w:val="20"/>
                <w:szCs w:val="20"/>
                <w:color w:val="auto"/>
              </w:rPr>
            </w:pPr>
            <w:r>
              <w:rPr>
                <w:rFonts w:ascii="Times New Roman" w:cs="Times New Roman" w:eastAsia="Times New Roman" w:hAnsi="Times New Roman"/>
                <w:sz w:val="15"/>
                <w:szCs w:val="15"/>
                <w:color w:val="231F20"/>
              </w:rPr>
              <w:t>SOFR +</w:t>
            </w:r>
          </w:p>
        </w:tc>
        <w:tc>
          <w:tcPr>
            <w:tcW w:w="1020" w:type="dxa"/>
            <w:vAlign w:val="bottom"/>
            <w:gridSpan w:val="2"/>
            <w:shd w:val="clear" w:color="auto" w:fill="D0EBF2"/>
          </w:tcPr>
          <w:p>
            <w:pPr>
              <w:jc w:val="right"/>
              <w:spacing w:after="0" w:line="172" w:lineRule="exact"/>
              <w:rPr>
                <w:sz w:val="20"/>
                <w:szCs w:val="20"/>
                <w:color w:val="auto"/>
              </w:rPr>
            </w:pPr>
            <w:r>
              <w:rPr>
                <w:rFonts w:ascii="Times New Roman" w:cs="Times New Roman" w:eastAsia="Times New Roman" w:hAnsi="Times New Roman"/>
                <w:sz w:val="15"/>
                <w:szCs w:val="15"/>
                <w:color w:val="231F20"/>
              </w:rPr>
              <w:t>10.86%</w:t>
            </w:r>
          </w:p>
        </w:tc>
        <w:tc>
          <w:tcPr>
            <w:tcW w:w="1120" w:type="dxa"/>
            <w:vAlign w:val="bottom"/>
            <w:gridSpan w:val="2"/>
            <w:shd w:val="clear" w:color="auto" w:fill="D0EBF2"/>
          </w:tcPr>
          <w:p>
            <w:pPr>
              <w:jc w:val="right"/>
              <w:spacing w:after="0" w:line="172" w:lineRule="exact"/>
              <w:rPr>
                <w:sz w:val="20"/>
                <w:szCs w:val="20"/>
                <w:color w:val="auto"/>
              </w:rPr>
            </w:pPr>
            <w:r>
              <w:rPr>
                <w:rFonts w:ascii="Times New Roman" w:cs="Times New Roman" w:eastAsia="Times New Roman" w:hAnsi="Times New Roman"/>
                <w:sz w:val="15"/>
                <w:szCs w:val="15"/>
                <w:color w:val="231F20"/>
              </w:rPr>
              <w:t>42,029</w:t>
            </w:r>
          </w:p>
        </w:tc>
        <w:tc>
          <w:tcPr>
            <w:tcW w:w="1680" w:type="dxa"/>
            <w:vAlign w:val="bottom"/>
            <w:gridSpan w:val="2"/>
            <w:shd w:val="clear" w:color="auto" w:fill="D0EBF2"/>
          </w:tcPr>
          <w:p>
            <w:pPr>
              <w:jc w:val="right"/>
              <w:spacing w:after="0" w:line="172" w:lineRule="exact"/>
              <w:rPr>
                <w:sz w:val="20"/>
                <w:szCs w:val="20"/>
                <w:color w:val="auto"/>
              </w:rPr>
            </w:pPr>
            <w:r>
              <w:rPr>
                <w:rFonts w:ascii="Times New Roman" w:cs="Times New Roman" w:eastAsia="Times New Roman" w:hAnsi="Times New Roman"/>
                <w:sz w:val="15"/>
                <w:szCs w:val="15"/>
                <w:color w:val="231F20"/>
              </w:rPr>
              <w:t>42,513</w:t>
            </w:r>
          </w:p>
        </w:tc>
        <w:tc>
          <w:tcPr>
            <w:tcW w:w="960" w:type="dxa"/>
            <w:vAlign w:val="bottom"/>
            <w:gridSpan w:val="2"/>
            <w:shd w:val="clear" w:color="auto" w:fill="D0EBF2"/>
          </w:tcPr>
          <w:p>
            <w:pPr>
              <w:jc w:val="right"/>
              <w:spacing w:after="0" w:line="172" w:lineRule="exact"/>
              <w:rPr>
                <w:sz w:val="20"/>
                <w:szCs w:val="20"/>
                <w:color w:val="auto"/>
              </w:rPr>
            </w:pPr>
            <w:r>
              <w:rPr>
                <w:rFonts w:ascii="Times New Roman" w:cs="Times New Roman" w:eastAsia="Times New Roman" w:hAnsi="Times New Roman"/>
                <w:sz w:val="15"/>
                <w:szCs w:val="15"/>
                <w:color w:val="231F20"/>
              </w:rPr>
              <w:t>2.6%</w:t>
            </w:r>
          </w:p>
        </w:tc>
        <w:tc>
          <w:tcPr>
            <w:tcW w:w="0" w:type="dxa"/>
            <w:vAlign w:val="bottom"/>
          </w:tcPr>
          <w:p>
            <w:pPr>
              <w:spacing w:after="0"/>
              <w:rPr>
                <w:sz w:val="1"/>
                <w:szCs w:val="1"/>
                <w:color w:val="auto"/>
              </w:rPr>
            </w:pPr>
          </w:p>
        </w:tc>
      </w:tr>
      <w:tr>
        <w:trPr>
          <w:trHeight w:val="189"/>
        </w:trPr>
        <w:tc>
          <w:tcPr>
            <w:tcW w:w="1540" w:type="dxa"/>
            <w:vAlign w:val="bottom"/>
            <w:shd w:val="clear" w:color="auto" w:fill="D0EBF2"/>
          </w:tcPr>
          <w:p>
            <w:pPr>
              <w:spacing w:after="0"/>
              <w:rPr>
                <w:sz w:val="20"/>
                <w:szCs w:val="20"/>
                <w:color w:val="auto"/>
              </w:rPr>
            </w:pPr>
            <w:r>
              <w:rPr>
                <w:rFonts w:ascii="Times New Roman" w:cs="Times New Roman" w:eastAsia="Times New Roman" w:hAnsi="Times New Roman"/>
                <w:sz w:val="15"/>
                <w:szCs w:val="15"/>
                <w:color w:val="231F20"/>
              </w:rPr>
              <w:t xml:space="preserve">Holdings, Inc. </w:t>
            </w:r>
            <w:r>
              <w:rPr>
                <w:rFonts w:ascii="Times New Roman" w:cs="Times New Roman" w:eastAsia="Times New Roman" w:hAnsi="Times New Roman"/>
                <w:sz w:val="9"/>
                <w:szCs w:val="9"/>
                <w:color w:val="231F20"/>
              </w:rPr>
              <w:t>(3)</w:t>
            </w:r>
          </w:p>
        </w:tc>
        <w:tc>
          <w:tcPr>
            <w:tcW w:w="2180" w:type="dxa"/>
            <w:vAlign w:val="bottom"/>
            <w:gridSpan w:val="2"/>
            <w:shd w:val="clear" w:color="auto" w:fill="D0EBF2"/>
          </w:tcPr>
          <w:p>
            <w:pPr>
              <w:ind w:left="100"/>
              <w:spacing w:after="0"/>
              <w:rPr>
                <w:sz w:val="20"/>
                <w:szCs w:val="20"/>
                <w:color w:val="auto"/>
              </w:rPr>
            </w:pPr>
            <w:r>
              <w:rPr>
                <w:rFonts w:ascii="Times New Roman" w:cs="Times New Roman" w:eastAsia="Times New Roman" w:hAnsi="Times New Roman"/>
                <w:sz w:val="15"/>
                <w:szCs w:val="15"/>
                <w:color w:val="231F20"/>
              </w:rPr>
              <w:t>3/2031)</w:t>
            </w:r>
          </w:p>
        </w:tc>
        <w:tc>
          <w:tcPr>
            <w:tcW w:w="100" w:type="dxa"/>
            <w:vAlign w:val="bottom"/>
            <w:shd w:val="clear" w:color="auto" w:fill="D0EBF2"/>
          </w:tcPr>
          <w:p>
            <w:pPr>
              <w:spacing w:after="0"/>
              <w:rPr>
                <w:sz w:val="16"/>
                <w:szCs w:val="16"/>
                <w:color w:val="auto"/>
              </w:rPr>
            </w:pPr>
          </w:p>
        </w:tc>
        <w:tc>
          <w:tcPr>
            <w:tcW w:w="760" w:type="dxa"/>
            <w:vAlign w:val="bottom"/>
            <w:shd w:val="clear" w:color="auto" w:fill="D0EBF2"/>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gridSpan w:val="2"/>
            <w:shd w:val="clear" w:color="auto" w:fill="D0EBF2"/>
          </w:tcPr>
          <w:p>
            <w:pPr>
              <w:jc w:val="right"/>
              <w:spacing w:after="0"/>
              <w:rPr>
                <w:sz w:val="20"/>
                <w:szCs w:val="20"/>
                <w:color w:val="auto"/>
              </w:rPr>
            </w:pPr>
            <w:r>
              <w:rPr>
                <w:rFonts w:ascii="Times New Roman" w:cs="Times New Roman" w:eastAsia="Times New Roman" w:hAnsi="Times New Roman"/>
                <w:sz w:val="15"/>
                <w:szCs w:val="15"/>
                <w:color w:val="231F20"/>
              </w:rPr>
              <w:t>6.50%</w:t>
            </w:r>
          </w:p>
        </w:tc>
        <w:tc>
          <w:tcPr>
            <w:tcW w:w="100" w:type="dxa"/>
            <w:vAlign w:val="bottom"/>
            <w:shd w:val="clear" w:color="auto" w:fill="D0EBF2"/>
          </w:tcPr>
          <w:p>
            <w:pPr>
              <w:spacing w:after="0"/>
              <w:rPr>
                <w:sz w:val="16"/>
                <w:szCs w:val="16"/>
                <w:color w:val="auto"/>
              </w:rPr>
            </w:pPr>
          </w:p>
        </w:tc>
        <w:tc>
          <w:tcPr>
            <w:tcW w:w="920" w:type="dxa"/>
            <w:vAlign w:val="bottom"/>
            <w:shd w:val="clear" w:color="auto" w:fill="D0EBF2"/>
          </w:tcPr>
          <w:p>
            <w:pPr>
              <w:spacing w:after="0"/>
              <w:rPr>
                <w:sz w:val="16"/>
                <w:szCs w:val="16"/>
                <w:color w:val="auto"/>
              </w:rPr>
            </w:pPr>
          </w:p>
        </w:tc>
        <w:tc>
          <w:tcPr>
            <w:tcW w:w="120" w:type="dxa"/>
            <w:vAlign w:val="bottom"/>
            <w:shd w:val="clear" w:color="auto" w:fill="D0EBF2"/>
          </w:tcPr>
          <w:p>
            <w:pPr>
              <w:spacing w:after="0"/>
              <w:rPr>
                <w:sz w:val="16"/>
                <w:szCs w:val="16"/>
                <w:color w:val="auto"/>
              </w:rPr>
            </w:pPr>
          </w:p>
        </w:tc>
        <w:tc>
          <w:tcPr>
            <w:tcW w:w="1000" w:type="dxa"/>
            <w:vAlign w:val="bottom"/>
            <w:shd w:val="clear" w:color="auto" w:fill="D0EBF2"/>
          </w:tcPr>
          <w:p>
            <w:pPr>
              <w:spacing w:after="0"/>
              <w:rPr>
                <w:sz w:val="16"/>
                <w:szCs w:val="16"/>
                <w:color w:val="auto"/>
              </w:rPr>
            </w:pPr>
          </w:p>
        </w:tc>
        <w:tc>
          <w:tcPr>
            <w:tcW w:w="80" w:type="dxa"/>
            <w:vAlign w:val="bottom"/>
            <w:shd w:val="clear" w:color="auto" w:fill="D0EBF2"/>
          </w:tcPr>
          <w:p>
            <w:pPr>
              <w:spacing w:after="0"/>
              <w:rPr>
                <w:sz w:val="16"/>
                <w:szCs w:val="16"/>
                <w:color w:val="auto"/>
              </w:rPr>
            </w:pPr>
          </w:p>
        </w:tc>
        <w:tc>
          <w:tcPr>
            <w:tcW w:w="1600" w:type="dxa"/>
            <w:vAlign w:val="bottom"/>
            <w:shd w:val="clear" w:color="auto" w:fill="D0EBF2"/>
          </w:tcPr>
          <w:p>
            <w:pPr>
              <w:spacing w:after="0"/>
              <w:rPr>
                <w:sz w:val="16"/>
                <w:szCs w:val="16"/>
                <w:color w:val="auto"/>
              </w:rPr>
            </w:pPr>
          </w:p>
        </w:tc>
        <w:tc>
          <w:tcPr>
            <w:tcW w:w="100" w:type="dxa"/>
            <w:vAlign w:val="bottom"/>
            <w:shd w:val="clear" w:color="auto" w:fill="D0EBF2"/>
          </w:tcPr>
          <w:p>
            <w:pPr>
              <w:spacing w:after="0"/>
              <w:rPr>
                <w:sz w:val="16"/>
                <w:szCs w:val="16"/>
                <w:color w:val="auto"/>
              </w:rPr>
            </w:pPr>
          </w:p>
        </w:tc>
        <w:tc>
          <w:tcPr>
            <w:tcW w:w="860" w:type="dxa"/>
            <w:vAlign w:val="bottom"/>
            <w:shd w:val="clear" w:color="auto" w:fill="D0EBF2"/>
          </w:tcPr>
          <w:p>
            <w:pPr>
              <w:spacing w:after="0"/>
              <w:rPr>
                <w:sz w:val="16"/>
                <w:szCs w:val="16"/>
                <w:color w:val="auto"/>
              </w:rPr>
            </w:pPr>
          </w:p>
        </w:tc>
        <w:tc>
          <w:tcPr>
            <w:tcW w:w="0" w:type="dxa"/>
            <w:vAlign w:val="bottom"/>
          </w:tcPr>
          <w:p>
            <w:pPr>
              <w:spacing w:after="0"/>
              <w:rPr>
                <w:sz w:val="1"/>
                <w:szCs w:val="1"/>
                <w:color w:val="auto"/>
              </w:rPr>
            </w:pPr>
          </w:p>
        </w:tc>
      </w:tr>
      <w:tr>
        <w:trPr>
          <w:trHeight w:val="171"/>
        </w:trPr>
        <w:tc>
          <w:tcPr>
            <w:tcW w:w="1540" w:type="dxa"/>
            <w:vAlign w:val="bottom"/>
            <w:shd w:val="clear" w:color="auto" w:fill="FDFDFC"/>
          </w:tcPr>
          <w:p>
            <w:pPr>
              <w:spacing w:after="0" w:line="172" w:lineRule="exact"/>
              <w:rPr>
                <w:sz w:val="20"/>
                <w:szCs w:val="20"/>
                <w:color w:val="auto"/>
              </w:rPr>
            </w:pPr>
            <w:r>
              <w:rPr>
                <w:rFonts w:ascii="Times New Roman" w:cs="Times New Roman" w:eastAsia="Times New Roman" w:hAnsi="Times New Roman"/>
                <w:sz w:val="15"/>
                <w:szCs w:val="15"/>
                <w:color w:val="231F20"/>
              </w:rPr>
              <w:t>BCTO Ignition</w:t>
            </w:r>
          </w:p>
        </w:tc>
        <w:tc>
          <w:tcPr>
            <w:tcW w:w="2180" w:type="dxa"/>
            <w:vAlign w:val="bottom"/>
            <w:gridSpan w:val="2"/>
            <w:shd w:val="clear" w:color="auto" w:fill="FDFDFC"/>
          </w:tcPr>
          <w:p>
            <w:pPr>
              <w:ind w:left="100"/>
              <w:spacing w:after="0" w:line="172" w:lineRule="exact"/>
              <w:rPr>
                <w:sz w:val="20"/>
                <w:szCs w:val="20"/>
                <w:color w:val="auto"/>
              </w:rPr>
            </w:pPr>
            <w:r>
              <w:rPr>
                <w:rFonts w:ascii="Times New Roman" w:cs="Times New Roman" w:eastAsia="Times New Roman" w:hAnsi="Times New Roman"/>
                <w:sz w:val="15"/>
                <w:szCs w:val="15"/>
                <w:color w:val="231F20"/>
              </w:rPr>
              <w:t>First-lien holdco loan ($36,231</w:t>
            </w:r>
          </w:p>
        </w:tc>
        <w:tc>
          <w:tcPr>
            <w:tcW w:w="860" w:type="dxa"/>
            <w:vAlign w:val="bottom"/>
            <w:gridSpan w:val="2"/>
            <w:shd w:val="clear" w:color="auto" w:fill="FDFDFC"/>
          </w:tcPr>
          <w:p>
            <w:pPr>
              <w:jc w:val="right"/>
              <w:spacing w:after="0" w:line="172" w:lineRule="exact"/>
              <w:rPr>
                <w:sz w:val="20"/>
                <w:szCs w:val="20"/>
                <w:color w:val="auto"/>
              </w:rPr>
            </w:pPr>
            <w:r>
              <w:rPr>
                <w:rFonts w:ascii="Times New Roman" w:cs="Times New Roman" w:eastAsia="Times New Roman" w:hAnsi="Times New Roman"/>
                <w:sz w:val="15"/>
                <w:szCs w:val="15"/>
                <w:color w:val="231F20"/>
              </w:rPr>
              <w:t>4/18/2023</w:t>
            </w:r>
          </w:p>
        </w:tc>
        <w:tc>
          <w:tcPr>
            <w:tcW w:w="20" w:type="dxa"/>
            <w:vAlign w:val="bottom"/>
          </w:tcPr>
          <w:p>
            <w:pPr>
              <w:spacing w:after="0"/>
              <w:rPr>
                <w:sz w:val="14"/>
                <w:szCs w:val="14"/>
                <w:color w:val="auto"/>
              </w:rPr>
            </w:pPr>
          </w:p>
        </w:tc>
        <w:tc>
          <w:tcPr>
            <w:tcW w:w="80" w:type="dxa"/>
            <w:vAlign w:val="bottom"/>
            <w:shd w:val="clear" w:color="auto" w:fill="FDFDFC"/>
          </w:tcPr>
          <w:p>
            <w:pPr>
              <w:spacing w:after="0"/>
              <w:rPr>
                <w:sz w:val="14"/>
                <w:szCs w:val="14"/>
                <w:color w:val="auto"/>
              </w:rPr>
            </w:pPr>
          </w:p>
        </w:tc>
        <w:tc>
          <w:tcPr>
            <w:tcW w:w="820" w:type="dxa"/>
            <w:vAlign w:val="bottom"/>
            <w:shd w:val="clear" w:color="auto" w:fill="FDFDFC"/>
          </w:tcPr>
          <w:p>
            <w:pPr>
              <w:jc w:val="right"/>
              <w:spacing w:after="0" w:line="172" w:lineRule="exact"/>
              <w:rPr>
                <w:sz w:val="20"/>
                <w:szCs w:val="20"/>
                <w:color w:val="auto"/>
              </w:rPr>
            </w:pPr>
            <w:r>
              <w:rPr>
                <w:rFonts w:ascii="Times New Roman" w:cs="Times New Roman" w:eastAsia="Times New Roman" w:hAnsi="Times New Roman"/>
                <w:sz w:val="15"/>
                <w:szCs w:val="15"/>
                <w:color w:val="231F20"/>
              </w:rPr>
              <w:t>SOFR +</w:t>
            </w:r>
          </w:p>
        </w:tc>
        <w:tc>
          <w:tcPr>
            <w:tcW w:w="100" w:type="dxa"/>
            <w:vAlign w:val="bottom"/>
            <w:shd w:val="clear" w:color="auto" w:fill="FDFDFC"/>
          </w:tcPr>
          <w:p>
            <w:pPr>
              <w:spacing w:after="0"/>
              <w:rPr>
                <w:sz w:val="14"/>
                <w:szCs w:val="14"/>
                <w:color w:val="auto"/>
              </w:rPr>
            </w:pPr>
          </w:p>
        </w:tc>
        <w:tc>
          <w:tcPr>
            <w:tcW w:w="920" w:type="dxa"/>
            <w:vAlign w:val="bottom"/>
            <w:shd w:val="clear" w:color="auto" w:fill="FDFDFC"/>
          </w:tcPr>
          <w:p>
            <w:pPr>
              <w:jc w:val="right"/>
              <w:spacing w:after="0" w:line="172" w:lineRule="exact"/>
              <w:rPr>
                <w:sz w:val="20"/>
                <w:szCs w:val="20"/>
                <w:color w:val="auto"/>
              </w:rPr>
            </w:pPr>
            <w:r>
              <w:rPr>
                <w:rFonts w:ascii="Times New Roman" w:cs="Times New Roman" w:eastAsia="Times New Roman" w:hAnsi="Times New Roman"/>
                <w:sz w:val="15"/>
                <w:szCs w:val="15"/>
                <w:color w:val="231F20"/>
              </w:rPr>
              <w:t>13.13% PIK</w:t>
            </w:r>
          </w:p>
        </w:tc>
        <w:tc>
          <w:tcPr>
            <w:tcW w:w="1120" w:type="dxa"/>
            <w:vAlign w:val="bottom"/>
            <w:gridSpan w:val="2"/>
            <w:shd w:val="clear" w:color="auto" w:fill="FDFDFC"/>
          </w:tcPr>
          <w:p>
            <w:pPr>
              <w:jc w:val="right"/>
              <w:spacing w:after="0" w:line="172" w:lineRule="exact"/>
              <w:rPr>
                <w:sz w:val="20"/>
                <w:szCs w:val="20"/>
                <w:color w:val="auto"/>
              </w:rPr>
            </w:pPr>
            <w:r>
              <w:rPr>
                <w:rFonts w:ascii="Times New Roman" w:cs="Times New Roman" w:eastAsia="Times New Roman" w:hAnsi="Times New Roman"/>
                <w:sz w:val="15"/>
                <w:szCs w:val="15"/>
                <w:color w:val="231F20"/>
              </w:rPr>
              <w:t>35,456</w:t>
            </w:r>
          </w:p>
        </w:tc>
        <w:tc>
          <w:tcPr>
            <w:tcW w:w="1680" w:type="dxa"/>
            <w:vAlign w:val="bottom"/>
            <w:gridSpan w:val="2"/>
            <w:shd w:val="clear" w:color="auto" w:fill="FDFDFC"/>
          </w:tcPr>
          <w:p>
            <w:pPr>
              <w:jc w:val="right"/>
              <w:spacing w:after="0" w:line="172" w:lineRule="exact"/>
              <w:rPr>
                <w:sz w:val="20"/>
                <w:szCs w:val="20"/>
                <w:color w:val="auto"/>
              </w:rPr>
            </w:pPr>
            <w:r>
              <w:rPr>
                <w:rFonts w:ascii="Times New Roman" w:cs="Times New Roman" w:eastAsia="Times New Roman" w:hAnsi="Times New Roman"/>
                <w:sz w:val="15"/>
                <w:szCs w:val="15"/>
                <w:color w:val="231F20"/>
              </w:rPr>
              <w:t>36,955</w:t>
            </w:r>
          </w:p>
        </w:tc>
        <w:tc>
          <w:tcPr>
            <w:tcW w:w="960" w:type="dxa"/>
            <w:vAlign w:val="bottom"/>
            <w:gridSpan w:val="2"/>
            <w:shd w:val="clear" w:color="auto" w:fill="FDFDFC"/>
          </w:tcPr>
          <w:p>
            <w:pPr>
              <w:jc w:val="right"/>
              <w:spacing w:after="0" w:line="172" w:lineRule="exact"/>
              <w:rPr>
                <w:sz w:val="20"/>
                <w:szCs w:val="20"/>
                <w:color w:val="auto"/>
              </w:rPr>
            </w:pPr>
            <w:r>
              <w:rPr>
                <w:rFonts w:ascii="Times New Roman" w:cs="Times New Roman" w:eastAsia="Times New Roman" w:hAnsi="Times New Roman"/>
                <w:sz w:val="15"/>
                <w:szCs w:val="15"/>
                <w:color w:val="231F20"/>
              </w:rPr>
              <w:t>2.3%</w:t>
            </w:r>
          </w:p>
        </w:tc>
        <w:tc>
          <w:tcPr>
            <w:tcW w:w="0" w:type="dxa"/>
            <w:vAlign w:val="bottom"/>
          </w:tcPr>
          <w:p>
            <w:pPr>
              <w:spacing w:after="0"/>
              <w:rPr>
                <w:sz w:val="1"/>
                <w:szCs w:val="1"/>
                <w:color w:val="auto"/>
              </w:rPr>
            </w:pPr>
          </w:p>
        </w:tc>
      </w:tr>
      <w:tr>
        <w:trPr>
          <w:trHeight w:val="189"/>
        </w:trPr>
        <w:tc>
          <w:tcPr>
            <w:tcW w:w="1540" w:type="dxa"/>
            <w:vAlign w:val="bottom"/>
            <w:shd w:val="clear" w:color="auto" w:fill="FDFDFC"/>
          </w:tcPr>
          <w:p>
            <w:pPr>
              <w:spacing w:after="0"/>
              <w:rPr>
                <w:sz w:val="20"/>
                <w:szCs w:val="20"/>
                <w:color w:val="auto"/>
              </w:rPr>
            </w:pPr>
            <w:r>
              <w:rPr>
                <w:rFonts w:ascii="Times New Roman" w:cs="Times New Roman" w:eastAsia="Times New Roman" w:hAnsi="Times New Roman"/>
                <w:sz w:val="15"/>
                <w:szCs w:val="15"/>
                <w:color w:val="231F20"/>
              </w:rPr>
              <w:t xml:space="preserve">Purchaser, Inc. </w:t>
            </w:r>
            <w:r>
              <w:rPr>
                <w:rFonts w:ascii="Times New Roman" w:cs="Times New Roman" w:eastAsia="Times New Roman" w:hAnsi="Times New Roman"/>
                <w:sz w:val="9"/>
                <w:szCs w:val="9"/>
                <w:color w:val="231F20"/>
              </w:rPr>
              <w:t>(3)</w:t>
            </w:r>
          </w:p>
        </w:tc>
        <w:tc>
          <w:tcPr>
            <w:tcW w:w="2180" w:type="dxa"/>
            <w:vAlign w:val="bottom"/>
            <w:gridSpan w:val="2"/>
            <w:shd w:val="clear" w:color="auto" w:fill="FDFDFC"/>
          </w:tcPr>
          <w:p>
            <w:pPr>
              <w:ind w:left="100"/>
              <w:spacing w:after="0"/>
              <w:rPr>
                <w:sz w:val="20"/>
                <w:szCs w:val="20"/>
                <w:color w:val="auto"/>
              </w:rPr>
            </w:pPr>
            <w:r>
              <w:rPr>
                <w:rFonts w:ascii="Times New Roman" w:cs="Times New Roman" w:eastAsia="Times New Roman" w:hAnsi="Times New Roman"/>
                <w:sz w:val="15"/>
                <w:szCs w:val="15"/>
                <w:color w:val="231F20"/>
              </w:rPr>
              <w:t>par, due 10/2030)</w:t>
            </w:r>
          </w:p>
        </w:tc>
        <w:tc>
          <w:tcPr>
            <w:tcW w:w="100" w:type="dxa"/>
            <w:vAlign w:val="bottom"/>
            <w:shd w:val="clear" w:color="auto" w:fill="FDFDFC"/>
          </w:tcPr>
          <w:p>
            <w:pPr>
              <w:spacing w:after="0"/>
              <w:rPr>
                <w:sz w:val="16"/>
                <w:szCs w:val="16"/>
                <w:color w:val="auto"/>
              </w:rPr>
            </w:pPr>
          </w:p>
        </w:tc>
        <w:tc>
          <w:tcPr>
            <w:tcW w:w="760" w:type="dxa"/>
            <w:vAlign w:val="bottom"/>
            <w:shd w:val="clear" w:color="auto" w:fill="FDFDFC"/>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gridSpan w:val="2"/>
            <w:shd w:val="clear" w:color="auto" w:fill="FDFDFC"/>
          </w:tcPr>
          <w:p>
            <w:pPr>
              <w:jc w:val="right"/>
              <w:spacing w:after="0"/>
              <w:rPr>
                <w:sz w:val="20"/>
                <w:szCs w:val="20"/>
                <w:color w:val="auto"/>
              </w:rPr>
            </w:pPr>
            <w:r>
              <w:rPr>
                <w:rFonts w:ascii="Times New Roman" w:cs="Times New Roman" w:eastAsia="Times New Roman" w:hAnsi="Times New Roman"/>
                <w:sz w:val="15"/>
                <w:szCs w:val="15"/>
                <w:color w:val="231F20"/>
              </w:rPr>
              <w:t>8.50%</w:t>
            </w:r>
          </w:p>
        </w:tc>
        <w:tc>
          <w:tcPr>
            <w:tcW w:w="100" w:type="dxa"/>
            <w:vAlign w:val="bottom"/>
            <w:shd w:val="clear" w:color="auto" w:fill="FDFDFC"/>
          </w:tcPr>
          <w:p>
            <w:pPr>
              <w:spacing w:after="0"/>
              <w:rPr>
                <w:sz w:val="16"/>
                <w:szCs w:val="16"/>
                <w:color w:val="auto"/>
              </w:rPr>
            </w:pPr>
          </w:p>
        </w:tc>
        <w:tc>
          <w:tcPr>
            <w:tcW w:w="920" w:type="dxa"/>
            <w:vAlign w:val="bottom"/>
            <w:shd w:val="clear" w:color="auto" w:fill="FDFDFC"/>
          </w:tcPr>
          <w:p>
            <w:pPr>
              <w:spacing w:after="0"/>
              <w:rPr>
                <w:sz w:val="16"/>
                <w:szCs w:val="16"/>
                <w:color w:val="auto"/>
              </w:rPr>
            </w:pPr>
          </w:p>
        </w:tc>
        <w:tc>
          <w:tcPr>
            <w:tcW w:w="120" w:type="dxa"/>
            <w:vAlign w:val="bottom"/>
            <w:shd w:val="clear" w:color="auto" w:fill="FDFDFC"/>
          </w:tcPr>
          <w:p>
            <w:pPr>
              <w:spacing w:after="0"/>
              <w:rPr>
                <w:sz w:val="16"/>
                <w:szCs w:val="16"/>
                <w:color w:val="auto"/>
              </w:rPr>
            </w:pPr>
          </w:p>
        </w:tc>
        <w:tc>
          <w:tcPr>
            <w:tcW w:w="1000" w:type="dxa"/>
            <w:vAlign w:val="bottom"/>
            <w:shd w:val="clear" w:color="auto" w:fill="FDFDFC"/>
          </w:tcPr>
          <w:p>
            <w:pPr>
              <w:spacing w:after="0"/>
              <w:rPr>
                <w:sz w:val="16"/>
                <w:szCs w:val="16"/>
                <w:color w:val="auto"/>
              </w:rPr>
            </w:pPr>
          </w:p>
        </w:tc>
        <w:tc>
          <w:tcPr>
            <w:tcW w:w="80" w:type="dxa"/>
            <w:vAlign w:val="bottom"/>
            <w:shd w:val="clear" w:color="auto" w:fill="FDFDFC"/>
          </w:tcPr>
          <w:p>
            <w:pPr>
              <w:spacing w:after="0"/>
              <w:rPr>
                <w:sz w:val="16"/>
                <w:szCs w:val="16"/>
                <w:color w:val="auto"/>
              </w:rPr>
            </w:pPr>
          </w:p>
        </w:tc>
        <w:tc>
          <w:tcPr>
            <w:tcW w:w="1600" w:type="dxa"/>
            <w:vAlign w:val="bottom"/>
            <w:shd w:val="clear" w:color="auto" w:fill="FDFDFC"/>
          </w:tcPr>
          <w:p>
            <w:pPr>
              <w:spacing w:after="0"/>
              <w:rPr>
                <w:sz w:val="16"/>
                <w:szCs w:val="16"/>
                <w:color w:val="auto"/>
              </w:rPr>
            </w:pPr>
          </w:p>
        </w:tc>
        <w:tc>
          <w:tcPr>
            <w:tcW w:w="100" w:type="dxa"/>
            <w:vAlign w:val="bottom"/>
            <w:shd w:val="clear" w:color="auto" w:fill="FDFDFC"/>
          </w:tcPr>
          <w:p>
            <w:pPr>
              <w:spacing w:after="0"/>
              <w:rPr>
                <w:sz w:val="16"/>
                <w:szCs w:val="16"/>
                <w:color w:val="auto"/>
              </w:rPr>
            </w:pPr>
          </w:p>
        </w:tc>
        <w:tc>
          <w:tcPr>
            <w:tcW w:w="860" w:type="dxa"/>
            <w:vAlign w:val="bottom"/>
            <w:shd w:val="clear" w:color="auto" w:fill="FDFDFC"/>
          </w:tcPr>
          <w:p>
            <w:pPr>
              <w:spacing w:after="0"/>
              <w:rPr>
                <w:sz w:val="16"/>
                <w:szCs w:val="16"/>
                <w:color w:val="auto"/>
              </w:rPr>
            </w:pPr>
          </w:p>
        </w:tc>
        <w:tc>
          <w:tcPr>
            <w:tcW w:w="0" w:type="dxa"/>
            <w:vAlign w:val="bottom"/>
          </w:tcPr>
          <w:p>
            <w:pPr>
              <w:spacing w:after="0"/>
              <w:rPr>
                <w:sz w:val="1"/>
                <w:szCs w:val="1"/>
                <w:color w:val="auto"/>
              </w:rPr>
            </w:pPr>
          </w:p>
        </w:tc>
      </w:tr>
      <w:tr>
        <w:trPr>
          <w:trHeight w:val="171"/>
        </w:trPr>
        <w:tc>
          <w:tcPr>
            <w:tcW w:w="1540" w:type="dxa"/>
            <w:vAlign w:val="bottom"/>
            <w:shd w:val="clear" w:color="auto" w:fill="D0EBF2"/>
          </w:tcPr>
          <w:p>
            <w:pPr>
              <w:spacing w:after="0" w:line="172" w:lineRule="exact"/>
              <w:rPr>
                <w:sz w:val="20"/>
                <w:szCs w:val="20"/>
                <w:color w:val="auto"/>
              </w:rPr>
            </w:pPr>
            <w:r>
              <w:rPr>
                <w:rFonts w:ascii="Times New Roman" w:cs="Times New Roman" w:eastAsia="Times New Roman" w:hAnsi="Times New Roman"/>
                <w:sz w:val="15"/>
                <w:szCs w:val="15"/>
                <w:color w:val="231F20"/>
              </w:rPr>
              <w:t>Crewline Buyer, Inc.</w:t>
            </w:r>
            <w:r>
              <w:rPr>
                <w:rFonts w:ascii="Times New Roman" w:cs="Times New Roman" w:eastAsia="Times New Roman" w:hAnsi="Times New Roman"/>
                <w:sz w:val="9"/>
                <w:szCs w:val="9"/>
                <w:color w:val="231F20"/>
              </w:rPr>
              <w:t>(3)</w:t>
            </w:r>
          </w:p>
        </w:tc>
        <w:tc>
          <w:tcPr>
            <w:tcW w:w="2180" w:type="dxa"/>
            <w:vAlign w:val="bottom"/>
            <w:gridSpan w:val="2"/>
            <w:shd w:val="clear" w:color="auto" w:fill="D0EBF2"/>
          </w:tcPr>
          <w:p>
            <w:pPr>
              <w:ind w:left="100"/>
              <w:spacing w:after="0" w:line="172" w:lineRule="exact"/>
              <w:rPr>
                <w:sz w:val="20"/>
                <w:szCs w:val="20"/>
                <w:color w:val="auto"/>
              </w:rPr>
            </w:pPr>
            <w:r>
              <w:rPr>
                <w:rFonts w:ascii="Times New Roman" w:cs="Times New Roman" w:eastAsia="Times New Roman" w:hAnsi="Times New Roman"/>
                <w:sz w:val="15"/>
                <w:szCs w:val="15"/>
                <w:color w:val="231F20"/>
              </w:rPr>
              <w:t>First-lien loan ($58,384 par, due</w:t>
            </w:r>
          </w:p>
        </w:tc>
        <w:tc>
          <w:tcPr>
            <w:tcW w:w="860" w:type="dxa"/>
            <w:vAlign w:val="bottom"/>
            <w:gridSpan w:val="2"/>
            <w:shd w:val="clear" w:color="auto" w:fill="D0EBF2"/>
          </w:tcPr>
          <w:p>
            <w:pPr>
              <w:jc w:val="right"/>
              <w:spacing w:after="0" w:line="172" w:lineRule="exact"/>
              <w:rPr>
                <w:sz w:val="20"/>
                <w:szCs w:val="20"/>
                <w:color w:val="auto"/>
              </w:rPr>
            </w:pPr>
            <w:r>
              <w:rPr>
                <w:rFonts w:ascii="Times New Roman" w:cs="Times New Roman" w:eastAsia="Times New Roman" w:hAnsi="Times New Roman"/>
                <w:sz w:val="15"/>
                <w:szCs w:val="15"/>
                <w:color w:val="231F20"/>
              </w:rPr>
              <w:t>11/8/2023</w:t>
            </w:r>
          </w:p>
        </w:tc>
        <w:tc>
          <w:tcPr>
            <w:tcW w:w="20" w:type="dxa"/>
            <w:vAlign w:val="bottom"/>
          </w:tcPr>
          <w:p>
            <w:pPr>
              <w:spacing w:after="0"/>
              <w:rPr>
                <w:sz w:val="14"/>
                <w:szCs w:val="14"/>
                <w:color w:val="auto"/>
              </w:rPr>
            </w:pPr>
          </w:p>
        </w:tc>
        <w:tc>
          <w:tcPr>
            <w:tcW w:w="80" w:type="dxa"/>
            <w:vAlign w:val="bottom"/>
            <w:shd w:val="clear" w:color="auto" w:fill="D0EBF2"/>
          </w:tcPr>
          <w:p>
            <w:pPr>
              <w:spacing w:after="0"/>
              <w:rPr>
                <w:sz w:val="14"/>
                <w:szCs w:val="14"/>
                <w:color w:val="auto"/>
              </w:rPr>
            </w:pPr>
          </w:p>
        </w:tc>
        <w:tc>
          <w:tcPr>
            <w:tcW w:w="820" w:type="dxa"/>
            <w:vAlign w:val="bottom"/>
            <w:shd w:val="clear" w:color="auto" w:fill="D0EBF2"/>
          </w:tcPr>
          <w:p>
            <w:pPr>
              <w:jc w:val="right"/>
              <w:spacing w:after="0" w:line="172" w:lineRule="exact"/>
              <w:rPr>
                <w:sz w:val="20"/>
                <w:szCs w:val="20"/>
                <w:color w:val="auto"/>
              </w:rPr>
            </w:pPr>
            <w:r>
              <w:rPr>
                <w:rFonts w:ascii="Times New Roman" w:cs="Times New Roman" w:eastAsia="Times New Roman" w:hAnsi="Times New Roman"/>
                <w:sz w:val="15"/>
                <w:szCs w:val="15"/>
                <w:color w:val="231F20"/>
              </w:rPr>
              <w:t>SOFR +</w:t>
            </w:r>
          </w:p>
        </w:tc>
        <w:tc>
          <w:tcPr>
            <w:tcW w:w="1020" w:type="dxa"/>
            <w:vAlign w:val="bottom"/>
            <w:gridSpan w:val="2"/>
            <w:shd w:val="clear" w:color="auto" w:fill="D0EBF2"/>
          </w:tcPr>
          <w:p>
            <w:pPr>
              <w:jc w:val="right"/>
              <w:spacing w:after="0" w:line="172" w:lineRule="exact"/>
              <w:rPr>
                <w:sz w:val="20"/>
                <w:szCs w:val="20"/>
                <w:color w:val="auto"/>
              </w:rPr>
            </w:pPr>
            <w:r>
              <w:rPr>
                <w:rFonts w:ascii="Times New Roman" w:cs="Times New Roman" w:eastAsia="Times New Roman" w:hAnsi="Times New Roman"/>
                <w:sz w:val="15"/>
                <w:szCs w:val="15"/>
                <w:color w:val="231F20"/>
              </w:rPr>
              <w:t>11.11%</w:t>
            </w:r>
          </w:p>
        </w:tc>
        <w:tc>
          <w:tcPr>
            <w:tcW w:w="1120" w:type="dxa"/>
            <w:vAlign w:val="bottom"/>
            <w:gridSpan w:val="2"/>
            <w:shd w:val="clear" w:color="auto" w:fill="D0EBF2"/>
          </w:tcPr>
          <w:p>
            <w:pPr>
              <w:jc w:val="right"/>
              <w:spacing w:after="0" w:line="172" w:lineRule="exact"/>
              <w:rPr>
                <w:sz w:val="20"/>
                <w:szCs w:val="20"/>
                <w:color w:val="auto"/>
              </w:rPr>
            </w:pPr>
            <w:r>
              <w:rPr>
                <w:rFonts w:ascii="Times New Roman" w:cs="Times New Roman" w:eastAsia="Times New Roman" w:hAnsi="Times New Roman"/>
                <w:sz w:val="15"/>
                <w:szCs w:val="15"/>
                <w:color w:val="231F20"/>
              </w:rPr>
              <w:t>56,953</w:t>
            </w:r>
          </w:p>
        </w:tc>
        <w:tc>
          <w:tcPr>
            <w:tcW w:w="1680" w:type="dxa"/>
            <w:vAlign w:val="bottom"/>
            <w:gridSpan w:val="2"/>
            <w:shd w:val="clear" w:color="auto" w:fill="D0EBF2"/>
          </w:tcPr>
          <w:p>
            <w:pPr>
              <w:jc w:val="right"/>
              <w:spacing w:after="0" w:line="172" w:lineRule="exact"/>
              <w:rPr>
                <w:sz w:val="20"/>
                <w:szCs w:val="20"/>
                <w:color w:val="auto"/>
              </w:rPr>
            </w:pPr>
            <w:r>
              <w:rPr>
                <w:rFonts w:ascii="Times New Roman" w:cs="Times New Roman" w:eastAsia="Times New Roman" w:hAnsi="Times New Roman"/>
                <w:sz w:val="15"/>
                <w:szCs w:val="15"/>
                <w:color w:val="231F20"/>
              </w:rPr>
              <w:t>58,866</w:t>
            </w:r>
          </w:p>
        </w:tc>
        <w:tc>
          <w:tcPr>
            <w:tcW w:w="960" w:type="dxa"/>
            <w:vAlign w:val="bottom"/>
            <w:gridSpan w:val="2"/>
            <w:shd w:val="clear" w:color="auto" w:fill="D0EBF2"/>
          </w:tcPr>
          <w:p>
            <w:pPr>
              <w:jc w:val="right"/>
              <w:spacing w:after="0" w:line="172" w:lineRule="exact"/>
              <w:rPr>
                <w:sz w:val="20"/>
                <w:szCs w:val="20"/>
                <w:color w:val="auto"/>
              </w:rPr>
            </w:pPr>
            <w:r>
              <w:rPr>
                <w:rFonts w:ascii="Times New Roman" w:cs="Times New Roman" w:eastAsia="Times New Roman" w:hAnsi="Times New Roman"/>
                <w:sz w:val="15"/>
                <w:szCs w:val="15"/>
                <w:color w:val="231F20"/>
              </w:rPr>
              <w:t>3.7%</w:t>
            </w:r>
          </w:p>
        </w:tc>
        <w:tc>
          <w:tcPr>
            <w:tcW w:w="0" w:type="dxa"/>
            <w:vAlign w:val="bottom"/>
          </w:tcPr>
          <w:p>
            <w:pPr>
              <w:spacing w:after="0"/>
              <w:rPr>
                <w:sz w:val="1"/>
                <w:szCs w:val="1"/>
                <w:color w:val="auto"/>
              </w:rPr>
            </w:pPr>
          </w:p>
        </w:tc>
      </w:tr>
      <w:tr>
        <w:trPr>
          <w:trHeight w:val="189"/>
        </w:trPr>
        <w:tc>
          <w:tcPr>
            <w:tcW w:w="1540" w:type="dxa"/>
            <w:vAlign w:val="bottom"/>
            <w:shd w:val="clear" w:color="auto" w:fill="D0EBF2"/>
          </w:tcPr>
          <w:p>
            <w:pPr>
              <w:spacing w:after="0"/>
              <w:rPr>
                <w:sz w:val="16"/>
                <w:szCs w:val="16"/>
                <w:color w:val="auto"/>
              </w:rPr>
            </w:pPr>
          </w:p>
        </w:tc>
        <w:tc>
          <w:tcPr>
            <w:tcW w:w="2180" w:type="dxa"/>
            <w:vAlign w:val="bottom"/>
            <w:gridSpan w:val="2"/>
            <w:shd w:val="clear" w:color="auto" w:fill="D0EBF2"/>
          </w:tcPr>
          <w:p>
            <w:pPr>
              <w:ind w:left="100"/>
              <w:spacing w:after="0"/>
              <w:rPr>
                <w:sz w:val="20"/>
                <w:szCs w:val="20"/>
                <w:color w:val="auto"/>
              </w:rPr>
            </w:pPr>
            <w:r>
              <w:rPr>
                <w:rFonts w:ascii="Times New Roman" w:cs="Times New Roman" w:eastAsia="Times New Roman" w:hAnsi="Times New Roman"/>
                <w:sz w:val="15"/>
                <w:szCs w:val="15"/>
                <w:color w:val="231F20"/>
              </w:rPr>
              <w:t>11/2030)</w:t>
            </w:r>
          </w:p>
        </w:tc>
        <w:tc>
          <w:tcPr>
            <w:tcW w:w="100" w:type="dxa"/>
            <w:vAlign w:val="bottom"/>
            <w:shd w:val="clear" w:color="auto" w:fill="D0EBF2"/>
          </w:tcPr>
          <w:p>
            <w:pPr>
              <w:spacing w:after="0"/>
              <w:rPr>
                <w:sz w:val="16"/>
                <w:szCs w:val="16"/>
                <w:color w:val="auto"/>
              </w:rPr>
            </w:pPr>
          </w:p>
        </w:tc>
        <w:tc>
          <w:tcPr>
            <w:tcW w:w="760" w:type="dxa"/>
            <w:vAlign w:val="bottom"/>
            <w:shd w:val="clear" w:color="auto" w:fill="D0EBF2"/>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gridSpan w:val="2"/>
            <w:shd w:val="clear" w:color="auto" w:fill="D0EBF2"/>
          </w:tcPr>
          <w:p>
            <w:pPr>
              <w:jc w:val="right"/>
              <w:spacing w:after="0"/>
              <w:rPr>
                <w:sz w:val="20"/>
                <w:szCs w:val="20"/>
                <w:color w:val="auto"/>
              </w:rPr>
            </w:pPr>
            <w:r>
              <w:rPr>
                <w:rFonts w:ascii="Times New Roman" w:cs="Times New Roman" w:eastAsia="Times New Roman" w:hAnsi="Times New Roman"/>
                <w:sz w:val="15"/>
                <w:szCs w:val="15"/>
                <w:color w:val="231F20"/>
              </w:rPr>
              <w:t>6.75%</w:t>
            </w:r>
          </w:p>
        </w:tc>
        <w:tc>
          <w:tcPr>
            <w:tcW w:w="100" w:type="dxa"/>
            <w:vAlign w:val="bottom"/>
            <w:shd w:val="clear" w:color="auto" w:fill="D0EBF2"/>
          </w:tcPr>
          <w:p>
            <w:pPr>
              <w:spacing w:after="0"/>
              <w:rPr>
                <w:sz w:val="16"/>
                <w:szCs w:val="16"/>
                <w:color w:val="auto"/>
              </w:rPr>
            </w:pPr>
          </w:p>
        </w:tc>
        <w:tc>
          <w:tcPr>
            <w:tcW w:w="920" w:type="dxa"/>
            <w:vAlign w:val="bottom"/>
            <w:shd w:val="clear" w:color="auto" w:fill="D0EBF2"/>
          </w:tcPr>
          <w:p>
            <w:pPr>
              <w:spacing w:after="0"/>
              <w:rPr>
                <w:sz w:val="16"/>
                <w:szCs w:val="16"/>
                <w:color w:val="auto"/>
              </w:rPr>
            </w:pPr>
          </w:p>
        </w:tc>
        <w:tc>
          <w:tcPr>
            <w:tcW w:w="120" w:type="dxa"/>
            <w:vAlign w:val="bottom"/>
            <w:shd w:val="clear" w:color="auto" w:fill="D0EBF2"/>
          </w:tcPr>
          <w:p>
            <w:pPr>
              <w:spacing w:after="0"/>
              <w:rPr>
                <w:sz w:val="16"/>
                <w:szCs w:val="16"/>
                <w:color w:val="auto"/>
              </w:rPr>
            </w:pPr>
          </w:p>
        </w:tc>
        <w:tc>
          <w:tcPr>
            <w:tcW w:w="1000" w:type="dxa"/>
            <w:vAlign w:val="bottom"/>
            <w:shd w:val="clear" w:color="auto" w:fill="D0EBF2"/>
          </w:tcPr>
          <w:p>
            <w:pPr>
              <w:spacing w:after="0"/>
              <w:rPr>
                <w:sz w:val="16"/>
                <w:szCs w:val="16"/>
                <w:color w:val="auto"/>
              </w:rPr>
            </w:pPr>
          </w:p>
        </w:tc>
        <w:tc>
          <w:tcPr>
            <w:tcW w:w="80" w:type="dxa"/>
            <w:vAlign w:val="bottom"/>
            <w:shd w:val="clear" w:color="auto" w:fill="D0EBF2"/>
          </w:tcPr>
          <w:p>
            <w:pPr>
              <w:spacing w:after="0"/>
              <w:rPr>
                <w:sz w:val="16"/>
                <w:szCs w:val="16"/>
                <w:color w:val="auto"/>
              </w:rPr>
            </w:pPr>
          </w:p>
        </w:tc>
        <w:tc>
          <w:tcPr>
            <w:tcW w:w="1600" w:type="dxa"/>
            <w:vAlign w:val="bottom"/>
            <w:shd w:val="clear" w:color="auto" w:fill="D0EBF2"/>
          </w:tcPr>
          <w:p>
            <w:pPr>
              <w:spacing w:after="0"/>
              <w:rPr>
                <w:sz w:val="16"/>
                <w:szCs w:val="16"/>
                <w:color w:val="auto"/>
              </w:rPr>
            </w:pPr>
          </w:p>
        </w:tc>
        <w:tc>
          <w:tcPr>
            <w:tcW w:w="100" w:type="dxa"/>
            <w:vAlign w:val="bottom"/>
            <w:shd w:val="clear" w:color="auto" w:fill="D0EBF2"/>
          </w:tcPr>
          <w:p>
            <w:pPr>
              <w:spacing w:after="0"/>
              <w:rPr>
                <w:sz w:val="16"/>
                <w:szCs w:val="16"/>
                <w:color w:val="auto"/>
              </w:rPr>
            </w:pPr>
          </w:p>
        </w:tc>
        <w:tc>
          <w:tcPr>
            <w:tcW w:w="860" w:type="dxa"/>
            <w:vAlign w:val="bottom"/>
            <w:shd w:val="clear" w:color="auto" w:fill="D0EBF2"/>
          </w:tcPr>
          <w:p>
            <w:pPr>
              <w:spacing w:after="0"/>
              <w:rPr>
                <w:sz w:val="16"/>
                <w:szCs w:val="16"/>
                <w:color w:val="auto"/>
              </w:rPr>
            </w:pPr>
          </w:p>
        </w:tc>
        <w:tc>
          <w:tcPr>
            <w:tcW w:w="0" w:type="dxa"/>
            <w:vAlign w:val="bottom"/>
          </w:tcPr>
          <w:p>
            <w:pPr>
              <w:spacing w:after="0"/>
              <w:rPr>
                <w:sz w:val="1"/>
                <w:szCs w:val="1"/>
                <w:color w:val="auto"/>
              </w:rPr>
            </w:pPr>
          </w:p>
        </w:tc>
      </w:tr>
      <w:tr>
        <w:trPr>
          <w:trHeight w:val="171"/>
        </w:trPr>
        <w:tc>
          <w:tcPr>
            <w:tcW w:w="1540" w:type="dxa"/>
            <w:vAlign w:val="bottom"/>
            <w:shd w:val="clear" w:color="auto" w:fill="FDFDFC"/>
          </w:tcPr>
          <w:p>
            <w:pPr>
              <w:spacing w:after="0" w:line="172" w:lineRule="exact"/>
              <w:rPr>
                <w:sz w:val="20"/>
                <w:szCs w:val="20"/>
                <w:color w:val="auto"/>
              </w:rPr>
            </w:pPr>
            <w:r>
              <w:rPr>
                <w:rFonts w:ascii="Times New Roman" w:cs="Times New Roman" w:eastAsia="Times New Roman" w:hAnsi="Times New Roman"/>
                <w:sz w:val="15"/>
                <w:szCs w:val="15"/>
                <w:color w:val="231F20"/>
              </w:rPr>
              <w:t>Dye &amp; Durham Corp.</w:t>
            </w:r>
          </w:p>
        </w:tc>
        <w:tc>
          <w:tcPr>
            <w:tcW w:w="2180" w:type="dxa"/>
            <w:vAlign w:val="bottom"/>
            <w:gridSpan w:val="2"/>
            <w:shd w:val="clear" w:color="auto" w:fill="FDFDFC"/>
          </w:tcPr>
          <w:p>
            <w:pPr>
              <w:ind w:left="100"/>
              <w:spacing w:after="0" w:line="172" w:lineRule="exact"/>
              <w:rPr>
                <w:sz w:val="20"/>
                <w:szCs w:val="20"/>
                <w:color w:val="auto"/>
              </w:rPr>
            </w:pPr>
            <w:r>
              <w:rPr>
                <w:rFonts w:ascii="Times New Roman" w:cs="Times New Roman" w:eastAsia="Times New Roman" w:hAnsi="Times New Roman"/>
                <w:sz w:val="15"/>
                <w:szCs w:val="15"/>
                <w:color w:val="231F20"/>
              </w:rPr>
              <w:t>First-lien loan ($955 par, due</w:t>
            </w:r>
          </w:p>
        </w:tc>
        <w:tc>
          <w:tcPr>
            <w:tcW w:w="860" w:type="dxa"/>
            <w:vAlign w:val="bottom"/>
            <w:gridSpan w:val="2"/>
            <w:shd w:val="clear" w:color="auto" w:fill="FDFDFC"/>
          </w:tcPr>
          <w:p>
            <w:pPr>
              <w:jc w:val="right"/>
              <w:spacing w:after="0" w:line="172" w:lineRule="exact"/>
              <w:rPr>
                <w:sz w:val="20"/>
                <w:szCs w:val="20"/>
                <w:color w:val="auto"/>
              </w:rPr>
            </w:pPr>
            <w:r>
              <w:rPr>
                <w:rFonts w:ascii="Times New Roman" w:cs="Times New Roman" w:eastAsia="Times New Roman" w:hAnsi="Times New Roman"/>
                <w:sz w:val="15"/>
                <w:szCs w:val="15"/>
                <w:color w:val="231F20"/>
              </w:rPr>
              <w:t>4/4/2024</w:t>
            </w:r>
          </w:p>
        </w:tc>
        <w:tc>
          <w:tcPr>
            <w:tcW w:w="20" w:type="dxa"/>
            <w:vAlign w:val="bottom"/>
          </w:tcPr>
          <w:p>
            <w:pPr>
              <w:spacing w:after="0"/>
              <w:rPr>
                <w:sz w:val="14"/>
                <w:szCs w:val="14"/>
                <w:color w:val="auto"/>
              </w:rPr>
            </w:pPr>
          </w:p>
        </w:tc>
        <w:tc>
          <w:tcPr>
            <w:tcW w:w="80" w:type="dxa"/>
            <w:vAlign w:val="bottom"/>
            <w:shd w:val="clear" w:color="auto" w:fill="FDFDFC"/>
          </w:tcPr>
          <w:p>
            <w:pPr>
              <w:spacing w:after="0"/>
              <w:rPr>
                <w:sz w:val="14"/>
                <w:szCs w:val="14"/>
                <w:color w:val="auto"/>
              </w:rPr>
            </w:pPr>
          </w:p>
        </w:tc>
        <w:tc>
          <w:tcPr>
            <w:tcW w:w="820" w:type="dxa"/>
            <w:vAlign w:val="bottom"/>
            <w:shd w:val="clear" w:color="auto" w:fill="FDFDFC"/>
          </w:tcPr>
          <w:p>
            <w:pPr>
              <w:jc w:val="right"/>
              <w:spacing w:after="0" w:line="172" w:lineRule="exact"/>
              <w:rPr>
                <w:sz w:val="20"/>
                <w:szCs w:val="20"/>
                <w:color w:val="auto"/>
              </w:rPr>
            </w:pPr>
            <w:r>
              <w:rPr>
                <w:rFonts w:ascii="Times New Roman" w:cs="Times New Roman" w:eastAsia="Times New Roman" w:hAnsi="Times New Roman"/>
                <w:sz w:val="15"/>
                <w:szCs w:val="15"/>
                <w:color w:val="231F20"/>
              </w:rPr>
              <w:t>SOFR +</w:t>
            </w:r>
          </w:p>
        </w:tc>
        <w:tc>
          <w:tcPr>
            <w:tcW w:w="1020" w:type="dxa"/>
            <w:vAlign w:val="bottom"/>
            <w:gridSpan w:val="2"/>
            <w:shd w:val="clear" w:color="auto" w:fill="FDFDFC"/>
          </w:tcPr>
          <w:p>
            <w:pPr>
              <w:jc w:val="right"/>
              <w:spacing w:after="0" w:line="172" w:lineRule="exact"/>
              <w:rPr>
                <w:sz w:val="20"/>
                <w:szCs w:val="20"/>
                <w:color w:val="auto"/>
              </w:rPr>
            </w:pPr>
            <w:r>
              <w:rPr>
                <w:rFonts w:ascii="Times New Roman" w:cs="Times New Roman" w:eastAsia="Times New Roman" w:hAnsi="Times New Roman"/>
                <w:sz w:val="15"/>
                <w:szCs w:val="15"/>
                <w:color w:val="231F20"/>
              </w:rPr>
              <w:t>8.43%</w:t>
            </w:r>
          </w:p>
        </w:tc>
        <w:tc>
          <w:tcPr>
            <w:tcW w:w="1120" w:type="dxa"/>
            <w:vAlign w:val="bottom"/>
            <w:gridSpan w:val="2"/>
            <w:shd w:val="clear" w:color="auto" w:fill="FDFDFC"/>
          </w:tcPr>
          <w:p>
            <w:pPr>
              <w:jc w:val="right"/>
              <w:spacing w:after="0" w:line="172" w:lineRule="exact"/>
              <w:rPr>
                <w:sz w:val="20"/>
                <w:szCs w:val="20"/>
                <w:color w:val="auto"/>
              </w:rPr>
            </w:pPr>
            <w:r>
              <w:rPr>
                <w:rFonts w:ascii="Times New Roman" w:cs="Times New Roman" w:eastAsia="Times New Roman" w:hAnsi="Times New Roman"/>
                <w:sz w:val="15"/>
                <w:szCs w:val="15"/>
                <w:color w:val="231F20"/>
              </w:rPr>
              <w:t>941</w:t>
            </w:r>
          </w:p>
        </w:tc>
        <w:tc>
          <w:tcPr>
            <w:tcW w:w="1680" w:type="dxa"/>
            <w:vAlign w:val="bottom"/>
            <w:gridSpan w:val="2"/>
            <w:shd w:val="clear" w:color="auto" w:fill="FDFDFC"/>
          </w:tcPr>
          <w:p>
            <w:pPr>
              <w:jc w:val="right"/>
              <w:spacing w:after="0" w:line="172" w:lineRule="exact"/>
              <w:rPr>
                <w:sz w:val="20"/>
                <w:szCs w:val="20"/>
                <w:color w:val="auto"/>
              </w:rPr>
            </w:pPr>
            <w:r>
              <w:rPr>
                <w:rFonts w:ascii="Times New Roman" w:cs="Times New Roman" w:eastAsia="Times New Roman" w:hAnsi="Times New Roman"/>
                <w:sz w:val="15"/>
                <w:szCs w:val="15"/>
                <w:color w:val="231F20"/>
              </w:rPr>
              <w:t>964</w:t>
            </w:r>
          </w:p>
        </w:tc>
        <w:tc>
          <w:tcPr>
            <w:tcW w:w="960" w:type="dxa"/>
            <w:vAlign w:val="bottom"/>
            <w:gridSpan w:val="2"/>
            <w:shd w:val="clear" w:color="auto" w:fill="FDFDFC"/>
          </w:tcPr>
          <w:p>
            <w:pPr>
              <w:jc w:val="right"/>
              <w:spacing w:after="0" w:line="172" w:lineRule="exact"/>
              <w:rPr>
                <w:sz w:val="20"/>
                <w:szCs w:val="20"/>
                <w:color w:val="auto"/>
              </w:rPr>
            </w:pPr>
            <w:r>
              <w:rPr>
                <w:rFonts w:ascii="Times New Roman" w:cs="Times New Roman" w:eastAsia="Times New Roman" w:hAnsi="Times New Roman"/>
                <w:sz w:val="15"/>
                <w:szCs w:val="15"/>
                <w:color w:val="231F20"/>
              </w:rPr>
              <w:t>0.1%</w:t>
            </w:r>
          </w:p>
        </w:tc>
        <w:tc>
          <w:tcPr>
            <w:tcW w:w="0" w:type="dxa"/>
            <w:vAlign w:val="bottom"/>
          </w:tcPr>
          <w:p>
            <w:pPr>
              <w:spacing w:after="0"/>
              <w:rPr>
                <w:sz w:val="1"/>
                <w:szCs w:val="1"/>
                <w:color w:val="auto"/>
              </w:rPr>
            </w:pPr>
          </w:p>
        </w:tc>
      </w:tr>
      <w:tr>
        <w:trPr>
          <w:trHeight w:val="189"/>
        </w:trPr>
        <w:tc>
          <w:tcPr>
            <w:tcW w:w="1540" w:type="dxa"/>
            <w:vAlign w:val="bottom"/>
            <w:shd w:val="clear" w:color="auto" w:fill="FDFDFC"/>
          </w:tcPr>
          <w:p>
            <w:pPr>
              <w:spacing w:after="0"/>
              <w:rPr>
                <w:sz w:val="20"/>
                <w:szCs w:val="20"/>
                <w:color w:val="auto"/>
              </w:rPr>
            </w:pPr>
            <w:r>
              <w:rPr>
                <w:rFonts w:ascii="Times New Roman" w:cs="Times New Roman" w:eastAsia="Times New Roman" w:hAnsi="Times New Roman"/>
                <w:sz w:val="9"/>
                <w:szCs w:val="9"/>
                <w:color w:val="231F20"/>
              </w:rPr>
              <w:t>(3)(4)(9)</w:t>
            </w:r>
          </w:p>
        </w:tc>
        <w:tc>
          <w:tcPr>
            <w:tcW w:w="2180" w:type="dxa"/>
            <w:vAlign w:val="bottom"/>
            <w:gridSpan w:val="2"/>
            <w:shd w:val="clear" w:color="auto" w:fill="FDFDFC"/>
          </w:tcPr>
          <w:p>
            <w:pPr>
              <w:ind w:left="100"/>
              <w:spacing w:after="0"/>
              <w:rPr>
                <w:sz w:val="20"/>
                <w:szCs w:val="20"/>
                <w:color w:val="auto"/>
              </w:rPr>
            </w:pPr>
            <w:r>
              <w:rPr>
                <w:rFonts w:ascii="Times New Roman" w:cs="Times New Roman" w:eastAsia="Times New Roman" w:hAnsi="Times New Roman"/>
                <w:sz w:val="15"/>
                <w:szCs w:val="15"/>
                <w:color w:val="231F20"/>
              </w:rPr>
              <w:t>4/2031)</w:t>
            </w:r>
          </w:p>
        </w:tc>
        <w:tc>
          <w:tcPr>
            <w:tcW w:w="100" w:type="dxa"/>
            <w:vAlign w:val="bottom"/>
            <w:shd w:val="clear" w:color="auto" w:fill="FDFDFC"/>
          </w:tcPr>
          <w:p>
            <w:pPr>
              <w:spacing w:after="0"/>
              <w:rPr>
                <w:sz w:val="16"/>
                <w:szCs w:val="16"/>
                <w:color w:val="auto"/>
              </w:rPr>
            </w:pPr>
          </w:p>
        </w:tc>
        <w:tc>
          <w:tcPr>
            <w:tcW w:w="760" w:type="dxa"/>
            <w:vAlign w:val="bottom"/>
            <w:shd w:val="clear" w:color="auto" w:fill="FDFDFC"/>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gridSpan w:val="2"/>
            <w:shd w:val="clear" w:color="auto" w:fill="FDFDFC"/>
          </w:tcPr>
          <w:p>
            <w:pPr>
              <w:jc w:val="right"/>
              <w:spacing w:after="0"/>
              <w:rPr>
                <w:sz w:val="20"/>
                <w:szCs w:val="20"/>
                <w:color w:val="auto"/>
              </w:rPr>
            </w:pPr>
            <w:r>
              <w:rPr>
                <w:rFonts w:ascii="Times New Roman" w:cs="Times New Roman" w:eastAsia="Times New Roman" w:hAnsi="Times New Roman"/>
                <w:sz w:val="15"/>
                <w:szCs w:val="15"/>
                <w:color w:val="231F20"/>
              </w:rPr>
              <w:t>4.10%</w:t>
            </w:r>
          </w:p>
        </w:tc>
        <w:tc>
          <w:tcPr>
            <w:tcW w:w="100" w:type="dxa"/>
            <w:vAlign w:val="bottom"/>
            <w:shd w:val="clear" w:color="auto" w:fill="FDFDFC"/>
          </w:tcPr>
          <w:p>
            <w:pPr>
              <w:spacing w:after="0"/>
              <w:rPr>
                <w:sz w:val="16"/>
                <w:szCs w:val="16"/>
                <w:color w:val="auto"/>
              </w:rPr>
            </w:pPr>
          </w:p>
        </w:tc>
        <w:tc>
          <w:tcPr>
            <w:tcW w:w="920" w:type="dxa"/>
            <w:vAlign w:val="bottom"/>
            <w:shd w:val="clear" w:color="auto" w:fill="FDFDFC"/>
          </w:tcPr>
          <w:p>
            <w:pPr>
              <w:spacing w:after="0"/>
              <w:rPr>
                <w:sz w:val="16"/>
                <w:szCs w:val="16"/>
                <w:color w:val="auto"/>
              </w:rPr>
            </w:pPr>
          </w:p>
        </w:tc>
        <w:tc>
          <w:tcPr>
            <w:tcW w:w="120" w:type="dxa"/>
            <w:vAlign w:val="bottom"/>
            <w:shd w:val="clear" w:color="auto" w:fill="FDFDFC"/>
          </w:tcPr>
          <w:p>
            <w:pPr>
              <w:spacing w:after="0"/>
              <w:rPr>
                <w:sz w:val="16"/>
                <w:szCs w:val="16"/>
                <w:color w:val="auto"/>
              </w:rPr>
            </w:pPr>
          </w:p>
        </w:tc>
        <w:tc>
          <w:tcPr>
            <w:tcW w:w="1000" w:type="dxa"/>
            <w:vAlign w:val="bottom"/>
            <w:shd w:val="clear" w:color="auto" w:fill="FDFDFC"/>
          </w:tcPr>
          <w:p>
            <w:pPr>
              <w:spacing w:after="0"/>
              <w:rPr>
                <w:sz w:val="16"/>
                <w:szCs w:val="16"/>
                <w:color w:val="auto"/>
              </w:rPr>
            </w:pPr>
          </w:p>
        </w:tc>
        <w:tc>
          <w:tcPr>
            <w:tcW w:w="80" w:type="dxa"/>
            <w:vAlign w:val="bottom"/>
            <w:shd w:val="clear" w:color="auto" w:fill="FDFDFC"/>
          </w:tcPr>
          <w:p>
            <w:pPr>
              <w:spacing w:after="0"/>
              <w:rPr>
                <w:sz w:val="16"/>
                <w:szCs w:val="16"/>
                <w:color w:val="auto"/>
              </w:rPr>
            </w:pPr>
          </w:p>
        </w:tc>
        <w:tc>
          <w:tcPr>
            <w:tcW w:w="1600" w:type="dxa"/>
            <w:vAlign w:val="bottom"/>
            <w:shd w:val="clear" w:color="auto" w:fill="FDFDFC"/>
          </w:tcPr>
          <w:p>
            <w:pPr>
              <w:spacing w:after="0"/>
              <w:rPr>
                <w:sz w:val="16"/>
                <w:szCs w:val="16"/>
                <w:color w:val="auto"/>
              </w:rPr>
            </w:pPr>
          </w:p>
        </w:tc>
        <w:tc>
          <w:tcPr>
            <w:tcW w:w="100" w:type="dxa"/>
            <w:vAlign w:val="bottom"/>
            <w:shd w:val="clear" w:color="auto" w:fill="FDFDFC"/>
          </w:tcPr>
          <w:p>
            <w:pPr>
              <w:spacing w:after="0"/>
              <w:rPr>
                <w:sz w:val="16"/>
                <w:szCs w:val="16"/>
                <w:color w:val="auto"/>
              </w:rPr>
            </w:pPr>
          </w:p>
        </w:tc>
        <w:tc>
          <w:tcPr>
            <w:tcW w:w="860" w:type="dxa"/>
            <w:vAlign w:val="bottom"/>
            <w:shd w:val="clear" w:color="auto" w:fill="FDFDFC"/>
          </w:tcPr>
          <w:p>
            <w:pPr>
              <w:spacing w:after="0"/>
              <w:rPr>
                <w:sz w:val="16"/>
                <w:szCs w:val="16"/>
                <w:color w:val="auto"/>
              </w:rPr>
            </w:pPr>
          </w:p>
        </w:tc>
        <w:tc>
          <w:tcPr>
            <w:tcW w:w="0" w:type="dxa"/>
            <w:vAlign w:val="bottom"/>
          </w:tcPr>
          <w:p>
            <w:pPr>
              <w:spacing w:after="0"/>
              <w:rPr>
                <w:sz w:val="1"/>
                <w:szCs w:val="1"/>
                <w:color w:val="auto"/>
              </w:rPr>
            </w:pPr>
          </w:p>
        </w:tc>
      </w:tr>
      <w:tr>
        <w:trPr>
          <w:trHeight w:val="171"/>
        </w:trPr>
        <w:tc>
          <w:tcPr>
            <w:tcW w:w="1540" w:type="dxa"/>
            <w:vAlign w:val="bottom"/>
            <w:shd w:val="clear" w:color="auto" w:fill="D0EBF2"/>
          </w:tcPr>
          <w:p>
            <w:pPr>
              <w:spacing w:after="0" w:line="172" w:lineRule="exact"/>
              <w:rPr>
                <w:sz w:val="20"/>
                <w:szCs w:val="20"/>
                <w:color w:val="auto"/>
              </w:rPr>
            </w:pPr>
            <w:r>
              <w:rPr>
                <w:rFonts w:ascii="Times New Roman" w:cs="Times New Roman" w:eastAsia="Times New Roman" w:hAnsi="Times New Roman"/>
                <w:sz w:val="15"/>
                <w:szCs w:val="15"/>
                <w:color w:val="231F20"/>
              </w:rPr>
              <w:t>Elements Finco Limited</w:t>
            </w:r>
          </w:p>
        </w:tc>
        <w:tc>
          <w:tcPr>
            <w:tcW w:w="2180" w:type="dxa"/>
            <w:vAlign w:val="bottom"/>
            <w:gridSpan w:val="2"/>
            <w:shd w:val="clear" w:color="auto" w:fill="D0EBF2"/>
          </w:tcPr>
          <w:p>
            <w:pPr>
              <w:ind w:left="100"/>
              <w:spacing w:after="0" w:line="172" w:lineRule="exact"/>
              <w:rPr>
                <w:sz w:val="20"/>
                <w:szCs w:val="20"/>
                <w:color w:val="auto"/>
              </w:rPr>
            </w:pPr>
            <w:r>
              <w:rPr>
                <w:rFonts w:ascii="Times New Roman" w:cs="Times New Roman" w:eastAsia="Times New Roman" w:hAnsi="Times New Roman"/>
                <w:sz w:val="15"/>
                <w:szCs w:val="15"/>
                <w:color w:val="231F20"/>
              </w:rPr>
              <w:t>First-lien loan ($4,069 par, due</w:t>
            </w:r>
          </w:p>
        </w:tc>
        <w:tc>
          <w:tcPr>
            <w:tcW w:w="860" w:type="dxa"/>
            <w:vAlign w:val="bottom"/>
            <w:gridSpan w:val="2"/>
            <w:shd w:val="clear" w:color="auto" w:fill="D0EBF2"/>
          </w:tcPr>
          <w:p>
            <w:pPr>
              <w:jc w:val="right"/>
              <w:spacing w:after="0" w:line="172" w:lineRule="exact"/>
              <w:rPr>
                <w:sz w:val="20"/>
                <w:szCs w:val="20"/>
                <w:color w:val="auto"/>
              </w:rPr>
            </w:pPr>
            <w:r>
              <w:rPr>
                <w:rFonts w:ascii="Times New Roman" w:cs="Times New Roman" w:eastAsia="Times New Roman" w:hAnsi="Times New Roman"/>
                <w:sz w:val="15"/>
                <w:szCs w:val="15"/>
                <w:color w:val="231F20"/>
              </w:rPr>
              <w:t>4/29/2024</w:t>
            </w:r>
          </w:p>
        </w:tc>
        <w:tc>
          <w:tcPr>
            <w:tcW w:w="20" w:type="dxa"/>
            <w:vAlign w:val="bottom"/>
          </w:tcPr>
          <w:p>
            <w:pPr>
              <w:spacing w:after="0"/>
              <w:rPr>
                <w:sz w:val="14"/>
                <w:szCs w:val="14"/>
                <w:color w:val="auto"/>
              </w:rPr>
            </w:pPr>
          </w:p>
        </w:tc>
        <w:tc>
          <w:tcPr>
            <w:tcW w:w="80" w:type="dxa"/>
            <w:vAlign w:val="bottom"/>
            <w:shd w:val="clear" w:color="auto" w:fill="D0EBF2"/>
          </w:tcPr>
          <w:p>
            <w:pPr>
              <w:spacing w:after="0"/>
              <w:rPr>
                <w:sz w:val="14"/>
                <w:szCs w:val="14"/>
                <w:color w:val="auto"/>
              </w:rPr>
            </w:pPr>
          </w:p>
        </w:tc>
        <w:tc>
          <w:tcPr>
            <w:tcW w:w="820" w:type="dxa"/>
            <w:vAlign w:val="bottom"/>
            <w:shd w:val="clear" w:color="auto" w:fill="D0EBF2"/>
          </w:tcPr>
          <w:p>
            <w:pPr>
              <w:jc w:val="right"/>
              <w:spacing w:after="0" w:line="172" w:lineRule="exact"/>
              <w:rPr>
                <w:sz w:val="20"/>
                <w:szCs w:val="20"/>
                <w:color w:val="auto"/>
              </w:rPr>
            </w:pPr>
            <w:r>
              <w:rPr>
                <w:rFonts w:ascii="Times New Roman" w:cs="Times New Roman" w:eastAsia="Times New Roman" w:hAnsi="Times New Roman"/>
                <w:sz w:val="15"/>
                <w:szCs w:val="15"/>
                <w:color w:val="231F20"/>
              </w:rPr>
              <w:t>SOFR +</w:t>
            </w:r>
          </w:p>
        </w:tc>
        <w:tc>
          <w:tcPr>
            <w:tcW w:w="100" w:type="dxa"/>
            <w:vAlign w:val="bottom"/>
            <w:shd w:val="clear" w:color="auto" w:fill="D0EBF2"/>
          </w:tcPr>
          <w:p>
            <w:pPr>
              <w:spacing w:after="0"/>
              <w:rPr>
                <w:sz w:val="14"/>
                <w:szCs w:val="14"/>
                <w:color w:val="auto"/>
              </w:rPr>
            </w:pPr>
          </w:p>
        </w:tc>
        <w:tc>
          <w:tcPr>
            <w:tcW w:w="920" w:type="dxa"/>
            <w:vAlign w:val="bottom"/>
            <w:shd w:val="clear" w:color="auto" w:fill="D0EBF2"/>
          </w:tcPr>
          <w:p>
            <w:pPr>
              <w:jc w:val="right"/>
              <w:spacing w:after="0" w:line="172" w:lineRule="exact"/>
              <w:rPr>
                <w:sz w:val="20"/>
                <w:szCs w:val="20"/>
                <w:color w:val="auto"/>
              </w:rPr>
            </w:pPr>
            <w:r>
              <w:rPr>
                <w:rFonts w:ascii="Times New Roman" w:cs="Times New Roman" w:eastAsia="Times New Roman" w:hAnsi="Times New Roman"/>
                <w:sz w:val="15"/>
                <w:szCs w:val="15"/>
                <w:color w:val="231F20"/>
              </w:rPr>
              <w:t>9.33% (incl.</w:t>
            </w:r>
          </w:p>
        </w:tc>
        <w:tc>
          <w:tcPr>
            <w:tcW w:w="1120" w:type="dxa"/>
            <w:vAlign w:val="bottom"/>
            <w:gridSpan w:val="2"/>
            <w:shd w:val="clear" w:color="auto" w:fill="D0EBF2"/>
          </w:tcPr>
          <w:p>
            <w:pPr>
              <w:jc w:val="right"/>
              <w:spacing w:after="0" w:line="172" w:lineRule="exact"/>
              <w:rPr>
                <w:sz w:val="20"/>
                <w:szCs w:val="20"/>
                <w:color w:val="auto"/>
              </w:rPr>
            </w:pPr>
            <w:r>
              <w:rPr>
                <w:rFonts w:ascii="Times New Roman" w:cs="Times New Roman" w:eastAsia="Times New Roman" w:hAnsi="Times New Roman"/>
                <w:sz w:val="15"/>
                <w:szCs w:val="15"/>
                <w:color w:val="231F20"/>
              </w:rPr>
              <w:t>4,045</w:t>
            </w:r>
          </w:p>
        </w:tc>
        <w:tc>
          <w:tcPr>
            <w:tcW w:w="1680" w:type="dxa"/>
            <w:vAlign w:val="bottom"/>
            <w:gridSpan w:val="2"/>
            <w:shd w:val="clear" w:color="auto" w:fill="D0EBF2"/>
          </w:tcPr>
          <w:p>
            <w:pPr>
              <w:jc w:val="right"/>
              <w:spacing w:after="0" w:line="172" w:lineRule="exact"/>
              <w:rPr>
                <w:sz w:val="20"/>
                <w:szCs w:val="20"/>
                <w:color w:val="auto"/>
              </w:rPr>
            </w:pPr>
            <w:r>
              <w:rPr>
                <w:rFonts w:ascii="Times New Roman" w:cs="Times New Roman" w:eastAsia="Times New Roman" w:hAnsi="Times New Roman"/>
                <w:sz w:val="15"/>
                <w:szCs w:val="15"/>
                <w:color w:val="231F20"/>
              </w:rPr>
              <w:t>4,069</w:t>
            </w:r>
          </w:p>
        </w:tc>
        <w:tc>
          <w:tcPr>
            <w:tcW w:w="960" w:type="dxa"/>
            <w:vAlign w:val="bottom"/>
            <w:gridSpan w:val="2"/>
            <w:shd w:val="clear" w:color="auto" w:fill="D0EBF2"/>
          </w:tcPr>
          <w:p>
            <w:pPr>
              <w:jc w:val="right"/>
              <w:spacing w:after="0" w:line="172" w:lineRule="exact"/>
              <w:rPr>
                <w:sz w:val="20"/>
                <w:szCs w:val="20"/>
                <w:color w:val="auto"/>
              </w:rPr>
            </w:pPr>
            <w:r>
              <w:rPr>
                <w:rFonts w:ascii="Times New Roman" w:cs="Times New Roman" w:eastAsia="Times New Roman" w:hAnsi="Times New Roman"/>
                <w:sz w:val="15"/>
                <w:szCs w:val="15"/>
                <w:color w:val="231F20"/>
              </w:rPr>
              <w:t>0.3%</w:t>
            </w:r>
          </w:p>
        </w:tc>
        <w:tc>
          <w:tcPr>
            <w:tcW w:w="0" w:type="dxa"/>
            <w:vAlign w:val="bottom"/>
          </w:tcPr>
          <w:p>
            <w:pPr>
              <w:spacing w:after="0"/>
              <w:rPr>
                <w:sz w:val="1"/>
                <w:szCs w:val="1"/>
                <w:color w:val="auto"/>
              </w:rPr>
            </w:pPr>
          </w:p>
        </w:tc>
      </w:tr>
      <w:tr>
        <w:trPr>
          <w:trHeight w:val="189"/>
        </w:trPr>
        <w:tc>
          <w:tcPr>
            <w:tcW w:w="1540" w:type="dxa"/>
            <w:vAlign w:val="bottom"/>
            <w:shd w:val="clear" w:color="auto" w:fill="D0EBF2"/>
          </w:tcPr>
          <w:p>
            <w:pPr>
              <w:spacing w:after="0"/>
              <w:rPr>
                <w:sz w:val="20"/>
                <w:szCs w:val="20"/>
                <w:color w:val="auto"/>
              </w:rPr>
            </w:pPr>
            <w:r>
              <w:rPr>
                <w:rFonts w:ascii="Times New Roman" w:cs="Times New Roman" w:eastAsia="Times New Roman" w:hAnsi="Times New Roman"/>
                <w:sz w:val="9"/>
                <w:szCs w:val="9"/>
                <w:color w:val="231F20"/>
              </w:rPr>
              <w:t>(3)(4)</w:t>
            </w:r>
          </w:p>
        </w:tc>
        <w:tc>
          <w:tcPr>
            <w:tcW w:w="2180" w:type="dxa"/>
            <w:vAlign w:val="bottom"/>
            <w:gridSpan w:val="2"/>
            <w:shd w:val="clear" w:color="auto" w:fill="D0EBF2"/>
          </w:tcPr>
          <w:p>
            <w:pPr>
              <w:ind w:left="100"/>
              <w:spacing w:after="0"/>
              <w:rPr>
                <w:sz w:val="20"/>
                <w:szCs w:val="20"/>
                <w:color w:val="auto"/>
              </w:rPr>
            </w:pPr>
            <w:r>
              <w:rPr>
                <w:rFonts w:ascii="Times New Roman" w:cs="Times New Roman" w:eastAsia="Times New Roman" w:hAnsi="Times New Roman"/>
                <w:sz w:val="15"/>
                <w:szCs w:val="15"/>
                <w:color w:val="231F20"/>
              </w:rPr>
              <w:t>4/2031)</w:t>
            </w:r>
          </w:p>
        </w:tc>
        <w:tc>
          <w:tcPr>
            <w:tcW w:w="100" w:type="dxa"/>
            <w:vAlign w:val="bottom"/>
            <w:shd w:val="clear" w:color="auto" w:fill="D0EBF2"/>
          </w:tcPr>
          <w:p>
            <w:pPr>
              <w:spacing w:after="0"/>
              <w:rPr>
                <w:sz w:val="16"/>
                <w:szCs w:val="16"/>
                <w:color w:val="auto"/>
              </w:rPr>
            </w:pPr>
          </w:p>
        </w:tc>
        <w:tc>
          <w:tcPr>
            <w:tcW w:w="760" w:type="dxa"/>
            <w:vAlign w:val="bottom"/>
            <w:shd w:val="clear" w:color="auto" w:fill="D0EBF2"/>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gridSpan w:val="2"/>
            <w:shd w:val="clear" w:color="auto" w:fill="D0EBF2"/>
          </w:tcPr>
          <w:p>
            <w:pPr>
              <w:jc w:val="right"/>
              <w:spacing w:after="0"/>
              <w:rPr>
                <w:sz w:val="20"/>
                <w:szCs w:val="20"/>
                <w:color w:val="auto"/>
              </w:rPr>
            </w:pPr>
            <w:r>
              <w:rPr>
                <w:rFonts w:ascii="Times New Roman" w:cs="Times New Roman" w:eastAsia="Times New Roman" w:hAnsi="Times New Roman"/>
                <w:sz w:val="15"/>
                <w:szCs w:val="15"/>
                <w:color w:val="231F20"/>
              </w:rPr>
              <w:t>4.97%</w:t>
            </w:r>
          </w:p>
        </w:tc>
        <w:tc>
          <w:tcPr>
            <w:tcW w:w="100" w:type="dxa"/>
            <w:vAlign w:val="bottom"/>
            <w:shd w:val="clear" w:color="auto" w:fill="D0EBF2"/>
          </w:tcPr>
          <w:p>
            <w:pPr>
              <w:spacing w:after="0"/>
              <w:rPr>
                <w:sz w:val="16"/>
                <w:szCs w:val="16"/>
                <w:color w:val="auto"/>
              </w:rPr>
            </w:pPr>
          </w:p>
        </w:tc>
        <w:tc>
          <w:tcPr>
            <w:tcW w:w="920" w:type="dxa"/>
            <w:vAlign w:val="bottom"/>
            <w:shd w:val="clear" w:color="auto" w:fill="D0EBF2"/>
          </w:tcPr>
          <w:p>
            <w:pPr>
              <w:jc w:val="right"/>
              <w:spacing w:after="0"/>
              <w:rPr>
                <w:sz w:val="20"/>
                <w:szCs w:val="20"/>
                <w:color w:val="auto"/>
              </w:rPr>
            </w:pPr>
            <w:r>
              <w:rPr>
                <w:rFonts w:ascii="Times New Roman" w:cs="Times New Roman" w:eastAsia="Times New Roman" w:hAnsi="Times New Roman"/>
                <w:sz w:val="15"/>
                <w:szCs w:val="15"/>
                <w:color w:val="231F20"/>
              </w:rPr>
              <w:t>1.97% PIK)</w:t>
            </w:r>
          </w:p>
        </w:tc>
        <w:tc>
          <w:tcPr>
            <w:tcW w:w="120" w:type="dxa"/>
            <w:vAlign w:val="bottom"/>
            <w:shd w:val="clear" w:color="auto" w:fill="D0EBF2"/>
          </w:tcPr>
          <w:p>
            <w:pPr>
              <w:spacing w:after="0"/>
              <w:rPr>
                <w:sz w:val="16"/>
                <w:szCs w:val="16"/>
                <w:color w:val="auto"/>
              </w:rPr>
            </w:pPr>
          </w:p>
        </w:tc>
        <w:tc>
          <w:tcPr>
            <w:tcW w:w="1000" w:type="dxa"/>
            <w:vAlign w:val="bottom"/>
            <w:shd w:val="clear" w:color="auto" w:fill="D0EBF2"/>
          </w:tcPr>
          <w:p>
            <w:pPr>
              <w:spacing w:after="0"/>
              <w:rPr>
                <w:sz w:val="16"/>
                <w:szCs w:val="16"/>
                <w:color w:val="auto"/>
              </w:rPr>
            </w:pPr>
          </w:p>
        </w:tc>
        <w:tc>
          <w:tcPr>
            <w:tcW w:w="80" w:type="dxa"/>
            <w:vAlign w:val="bottom"/>
            <w:shd w:val="clear" w:color="auto" w:fill="D0EBF2"/>
          </w:tcPr>
          <w:p>
            <w:pPr>
              <w:spacing w:after="0"/>
              <w:rPr>
                <w:sz w:val="16"/>
                <w:szCs w:val="16"/>
                <w:color w:val="auto"/>
              </w:rPr>
            </w:pPr>
          </w:p>
        </w:tc>
        <w:tc>
          <w:tcPr>
            <w:tcW w:w="1600" w:type="dxa"/>
            <w:vAlign w:val="bottom"/>
            <w:shd w:val="clear" w:color="auto" w:fill="D0EBF2"/>
          </w:tcPr>
          <w:p>
            <w:pPr>
              <w:spacing w:after="0"/>
              <w:rPr>
                <w:sz w:val="16"/>
                <w:szCs w:val="16"/>
                <w:color w:val="auto"/>
              </w:rPr>
            </w:pPr>
          </w:p>
        </w:tc>
        <w:tc>
          <w:tcPr>
            <w:tcW w:w="100" w:type="dxa"/>
            <w:vAlign w:val="bottom"/>
            <w:shd w:val="clear" w:color="auto" w:fill="D0EBF2"/>
          </w:tcPr>
          <w:p>
            <w:pPr>
              <w:spacing w:after="0"/>
              <w:rPr>
                <w:sz w:val="16"/>
                <w:szCs w:val="16"/>
                <w:color w:val="auto"/>
              </w:rPr>
            </w:pPr>
          </w:p>
        </w:tc>
        <w:tc>
          <w:tcPr>
            <w:tcW w:w="860" w:type="dxa"/>
            <w:vAlign w:val="bottom"/>
            <w:shd w:val="clear" w:color="auto" w:fill="D0EBF2"/>
          </w:tcPr>
          <w:p>
            <w:pPr>
              <w:spacing w:after="0"/>
              <w:rPr>
                <w:sz w:val="16"/>
                <w:szCs w:val="16"/>
                <w:color w:val="auto"/>
              </w:rPr>
            </w:pPr>
          </w:p>
        </w:tc>
        <w:tc>
          <w:tcPr>
            <w:tcW w:w="0" w:type="dxa"/>
            <w:vAlign w:val="bottom"/>
          </w:tcPr>
          <w:p>
            <w:pPr>
              <w:spacing w:after="0"/>
              <w:rPr>
                <w:sz w:val="1"/>
                <w:szCs w:val="1"/>
                <w:color w:val="auto"/>
              </w:rPr>
            </w:pPr>
          </w:p>
        </w:tc>
      </w:tr>
      <w:tr>
        <w:trPr>
          <w:trHeight w:val="171"/>
        </w:trPr>
        <w:tc>
          <w:tcPr>
            <w:tcW w:w="1540" w:type="dxa"/>
            <w:vAlign w:val="bottom"/>
            <w:shd w:val="clear" w:color="auto" w:fill="FDFDFC"/>
          </w:tcPr>
          <w:p>
            <w:pPr>
              <w:spacing w:after="0"/>
              <w:rPr>
                <w:sz w:val="14"/>
                <w:szCs w:val="14"/>
                <w:color w:val="auto"/>
              </w:rPr>
            </w:pPr>
          </w:p>
        </w:tc>
        <w:tc>
          <w:tcPr>
            <w:tcW w:w="2180" w:type="dxa"/>
            <w:vAlign w:val="bottom"/>
            <w:gridSpan w:val="2"/>
            <w:shd w:val="clear" w:color="auto" w:fill="FDFDFC"/>
          </w:tcPr>
          <w:p>
            <w:pPr>
              <w:ind w:left="100"/>
              <w:spacing w:after="0" w:line="172" w:lineRule="exact"/>
              <w:rPr>
                <w:sz w:val="20"/>
                <w:szCs w:val="20"/>
                <w:color w:val="auto"/>
              </w:rPr>
            </w:pPr>
            <w:r>
              <w:rPr>
                <w:rFonts w:ascii="Times New Roman" w:cs="Times New Roman" w:eastAsia="Times New Roman" w:hAnsi="Times New Roman"/>
                <w:sz w:val="15"/>
                <w:szCs w:val="15"/>
                <w:color w:val="231F20"/>
              </w:rPr>
              <w:t>First-lien loan (GBP 10,275 par,</w:t>
            </w:r>
          </w:p>
        </w:tc>
        <w:tc>
          <w:tcPr>
            <w:tcW w:w="860" w:type="dxa"/>
            <w:vAlign w:val="bottom"/>
            <w:gridSpan w:val="2"/>
            <w:shd w:val="clear" w:color="auto" w:fill="FDFDFC"/>
          </w:tcPr>
          <w:p>
            <w:pPr>
              <w:jc w:val="right"/>
              <w:spacing w:after="0" w:line="172" w:lineRule="exact"/>
              <w:rPr>
                <w:sz w:val="20"/>
                <w:szCs w:val="20"/>
                <w:color w:val="auto"/>
              </w:rPr>
            </w:pPr>
            <w:r>
              <w:rPr>
                <w:rFonts w:ascii="Times New Roman" w:cs="Times New Roman" w:eastAsia="Times New Roman" w:hAnsi="Times New Roman"/>
                <w:sz w:val="15"/>
                <w:szCs w:val="15"/>
                <w:color w:val="231F20"/>
              </w:rPr>
              <w:t>4/29/2024</w:t>
            </w:r>
          </w:p>
        </w:tc>
        <w:tc>
          <w:tcPr>
            <w:tcW w:w="20" w:type="dxa"/>
            <w:vAlign w:val="bottom"/>
          </w:tcPr>
          <w:p>
            <w:pPr>
              <w:spacing w:after="0"/>
              <w:rPr>
                <w:sz w:val="14"/>
                <w:szCs w:val="14"/>
                <w:color w:val="auto"/>
              </w:rPr>
            </w:pPr>
          </w:p>
        </w:tc>
        <w:tc>
          <w:tcPr>
            <w:tcW w:w="80" w:type="dxa"/>
            <w:vAlign w:val="bottom"/>
            <w:shd w:val="clear" w:color="auto" w:fill="FDFDFC"/>
          </w:tcPr>
          <w:p>
            <w:pPr>
              <w:spacing w:after="0"/>
              <w:rPr>
                <w:sz w:val="14"/>
                <w:szCs w:val="14"/>
                <w:color w:val="auto"/>
              </w:rPr>
            </w:pPr>
          </w:p>
        </w:tc>
        <w:tc>
          <w:tcPr>
            <w:tcW w:w="820" w:type="dxa"/>
            <w:vAlign w:val="bottom"/>
            <w:shd w:val="clear" w:color="auto" w:fill="FDFDFC"/>
          </w:tcPr>
          <w:p>
            <w:pPr>
              <w:jc w:val="right"/>
              <w:spacing w:after="0" w:line="172" w:lineRule="exact"/>
              <w:rPr>
                <w:sz w:val="20"/>
                <w:szCs w:val="20"/>
                <w:color w:val="auto"/>
              </w:rPr>
            </w:pPr>
            <w:r>
              <w:rPr>
                <w:rFonts w:ascii="Times New Roman" w:cs="Times New Roman" w:eastAsia="Times New Roman" w:hAnsi="Times New Roman"/>
                <w:sz w:val="15"/>
                <w:szCs w:val="15"/>
                <w:color w:val="231F20"/>
              </w:rPr>
              <w:t>S + 5.25%</w:t>
            </w:r>
          </w:p>
        </w:tc>
        <w:tc>
          <w:tcPr>
            <w:tcW w:w="100" w:type="dxa"/>
            <w:vAlign w:val="bottom"/>
            <w:shd w:val="clear" w:color="auto" w:fill="FDFDFC"/>
          </w:tcPr>
          <w:p>
            <w:pPr>
              <w:spacing w:after="0"/>
              <w:rPr>
                <w:sz w:val="14"/>
                <w:szCs w:val="14"/>
                <w:color w:val="auto"/>
              </w:rPr>
            </w:pPr>
          </w:p>
        </w:tc>
        <w:tc>
          <w:tcPr>
            <w:tcW w:w="920" w:type="dxa"/>
            <w:vAlign w:val="bottom"/>
            <w:shd w:val="clear" w:color="auto" w:fill="FDFDFC"/>
          </w:tcPr>
          <w:p>
            <w:pPr>
              <w:jc w:val="right"/>
              <w:spacing w:after="0" w:line="172" w:lineRule="exact"/>
              <w:rPr>
                <w:sz w:val="20"/>
                <w:szCs w:val="20"/>
                <w:color w:val="auto"/>
              </w:rPr>
            </w:pPr>
            <w:r>
              <w:rPr>
                <w:rFonts w:ascii="Times New Roman" w:cs="Times New Roman" w:eastAsia="Times New Roman" w:hAnsi="Times New Roman"/>
                <w:sz w:val="15"/>
                <w:szCs w:val="15"/>
                <w:color w:val="231F20"/>
              </w:rPr>
              <w:t>9.95% (incl.</w:t>
            </w:r>
          </w:p>
        </w:tc>
        <w:tc>
          <w:tcPr>
            <w:tcW w:w="1120" w:type="dxa"/>
            <w:vAlign w:val="bottom"/>
            <w:gridSpan w:val="2"/>
            <w:shd w:val="clear" w:color="auto" w:fill="FDFDFC"/>
          </w:tcPr>
          <w:p>
            <w:pPr>
              <w:jc w:val="right"/>
              <w:spacing w:after="0" w:line="172" w:lineRule="exact"/>
              <w:rPr>
                <w:sz w:val="20"/>
                <w:szCs w:val="20"/>
                <w:color w:val="auto"/>
              </w:rPr>
            </w:pPr>
            <w:r>
              <w:rPr>
                <w:rFonts w:ascii="Times New Roman" w:cs="Times New Roman" w:eastAsia="Times New Roman" w:hAnsi="Times New Roman"/>
                <w:sz w:val="15"/>
                <w:szCs w:val="15"/>
                <w:color w:val="231F20"/>
              </w:rPr>
              <w:t>12,748</w:t>
            </w:r>
          </w:p>
        </w:tc>
        <w:tc>
          <w:tcPr>
            <w:tcW w:w="1680" w:type="dxa"/>
            <w:vAlign w:val="bottom"/>
            <w:gridSpan w:val="2"/>
            <w:shd w:val="clear" w:color="auto" w:fill="FDFDFC"/>
          </w:tcPr>
          <w:p>
            <w:pPr>
              <w:jc w:val="right"/>
              <w:spacing w:after="0" w:line="172" w:lineRule="exact"/>
              <w:rPr>
                <w:sz w:val="20"/>
                <w:szCs w:val="20"/>
                <w:color w:val="auto"/>
              </w:rPr>
            </w:pPr>
            <w:r>
              <w:rPr>
                <w:rFonts w:ascii="Times New Roman" w:cs="Times New Roman" w:eastAsia="Times New Roman" w:hAnsi="Times New Roman"/>
                <w:sz w:val="15"/>
                <w:szCs w:val="15"/>
                <w:color w:val="231F20"/>
              </w:rPr>
              <w:t>12,869</w:t>
            </w:r>
          </w:p>
        </w:tc>
        <w:tc>
          <w:tcPr>
            <w:tcW w:w="960" w:type="dxa"/>
            <w:vAlign w:val="bottom"/>
            <w:gridSpan w:val="2"/>
            <w:shd w:val="clear" w:color="auto" w:fill="FDFDFC"/>
          </w:tcPr>
          <w:p>
            <w:pPr>
              <w:jc w:val="right"/>
              <w:spacing w:after="0" w:line="172" w:lineRule="exact"/>
              <w:rPr>
                <w:sz w:val="20"/>
                <w:szCs w:val="20"/>
                <w:color w:val="auto"/>
              </w:rPr>
            </w:pPr>
            <w:r>
              <w:rPr>
                <w:rFonts w:ascii="Times New Roman" w:cs="Times New Roman" w:eastAsia="Times New Roman" w:hAnsi="Times New Roman"/>
                <w:sz w:val="15"/>
                <w:szCs w:val="15"/>
                <w:color w:val="231F20"/>
              </w:rPr>
              <w:t>0.8%</w:t>
            </w:r>
          </w:p>
        </w:tc>
        <w:tc>
          <w:tcPr>
            <w:tcW w:w="0" w:type="dxa"/>
            <w:vAlign w:val="bottom"/>
          </w:tcPr>
          <w:p>
            <w:pPr>
              <w:spacing w:after="0"/>
              <w:rPr>
                <w:sz w:val="1"/>
                <w:szCs w:val="1"/>
                <w:color w:val="auto"/>
              </w:rPr>
            </w:pPr>
          </w:p>
        </w:tc>
      </w:tr>
      <w:tr>
        <w:trPr>
          <w:trHeight w:val="189"/>
        </w:trPr>
        <w:tc>
          <w:tcPr>
            <w:tcW w:w="1540" w:type="dxa"/>
            <w:vAlign w:val="bottom"/>
            <w:shd w:val="clear" w:color="auto" w:fill="FDFDFC"/>
          </w:tcPr>
          <w:p>
            <w:pPr>
              <w:spacing w:after="0"/>
              <w:rPr>
                <w:sz w:val="16"/>
                <w:szCs w:val="16"/>
                <w:color w:val="auto"/>
              </w:rPr>
            </w:pPr>
          </w:p>
        </w:tc>
        <w:tc>
          <w:tcPr>
            <w:tcW w:w="2180" w:type="dxa"/>
            <w:vAlign w:val="bottom"/>
            <w:gridSpan w:val="2"/>
            <w:shd w:val="clear" w:color="auto" w:fill="FDFDFC"/>
          </w:tcPr>
          <w:p>
            <w:pPr>
              <w:ind w:left="100"/>
              <w:spacing w:after="0"/>
              <w:rPr>
                <w:sz w:val="20"/>
                <w:szCs w:val="20"/>
                <w:color w:val="auto"/>
              </w:rPr>
            </w:pPr>
            <w:r>
              <w:rPr>
                <w:rFonts w:ascii="Times New Roman" w:cs="Times New Roman" w:eastAsia="Times New Roman" w:hAnsi="Times New Roman"/>
                <w:sz w:val="15"/>
                <w:szCs w:val="15"/>
                <w:color w:val="231F20"/>
              </w:rPr>
              <w:t>due 4/2031)</w:t>
            </w:r>
          </w:p>
        </w:tc>
        <w:tc>
          <w:tcPr>
            <w:tcW w:w="100" w:type="dxa"/>
            <w:vAlign w:val="bottom"/>
            <w:shd w:val="clear" w:color="auto" w:fill="FDFDFC"/>
          </w:tcPr>
          <w:p>
            <w:pPr>
              <w:spacing w:after="0"/>
              <w:rPr>
                <w:sz w:val="16"/>
                <w:szCs w:val="16"/>
                <w:color w:val="auto"/>
              </w:rPr>
            </w:pPr>
          </w:p>
        </w:tc>
        <w:tc>
          <w:tcPr>
            <w:tcW w:w="760" w:type="dxa"/>
            <w:vAlign w:val="bottom"/>
            <w:shd w:val="clear" w:color="auto" w:fill="FDFDFC"/>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shd w:val="clear" w:color="auto" w:fill="FDFDFC"/>
          </w:tcPr>
          <w:p>
            <w:pPr>
              <w:spacing w:after="0"/>
              <w:rPr>
                <w:sz w:val="16"/>
                <w:szCs w:val="16"/>
                <w:color w:val="auto"/>
              </w:rPr>
            </w:pPr>
          </w:p>
        </w:tc>
        <w:tc>
          <w:tcPr>
            <w:tcW w:w="820" w:type="dxa"/>
            <w:vAlign w:val="bottom"/>
            <w:shd w:val="clear" w:color="auto" w:fill="FDFDFC"/>
          </w:tcPr>
          <w:p>
            <w:pPr>
              <w:spacing w:after="0"/>
              <w:rPr>
                <w:sz w:val="16"/>
                <w:szCs w:val="16"/>
                <w:color w:val="auto"/>
              </w:rPr>
            </w:pPr>
          </w:p>
        </w:tc>
        <w:tc>
          <w:tcPr>
            <w:tcW w:w="100" w:type="dxa"/>
            <w:vAlign w:val="bottom"/>
            <w:shd w:val="clear" w:color="auto" w:fill="FDFDFC"/>
          </w:tcPr>
          <w:p>
            <w:pPr>
              <w:spacing w:after="0"/>
              <w:rPr>
                <w:sz w:val="16"/>
                <w:szCs w:val="16"/>
                <w:color w:val="auto"/>
              </w:rPr>
            </w:pPr>
          </w:p>
        </w:tc>
        <w:tc>
          <w:tcPr>
            <w:tcW w:w="920" w:type="dxa"/>
            <w:vAlign w:val="bottom"/>
            <w:shd w:val="clear" w:color="auto" w:fill="FDFDFC"/>
          </w:tcPr>
          <w:p>
            <w:pPr>
              <w:jc w:val="right"/>
              <w:spacing w:after="0"/>
              <w:rPr>
                <w:sz w:val="20"/>
                <w:szCs w:val="20"/>
                <w:color w:val="auto"/>
              </w:rPr>
            </w:pPr>
            <w:r>
              <w:rPr>
                <w:rFonts w:ascii="Times New Roman" w:cs="Times New Roman" w:eastAsia="Times New Roman" w:hAnsi="Times New Roman"/>
                <w:sz w:val="15"/>
                <w:szCs w:val="15"/>
                <w:color w:val="231F20"/>
              </w:rPr>
              <w:t>2.25% PIK)</w:t>
            </w:r>
          </w:p>
        </w:tc>
        <w:tc>
          <w:tcPr>
            <w:tcW w:w="120" w:type="dxa"/>
            <w:vAlign w:val="bottom"/>
            <w:shd w:val="clear" w:color="auto" w:fill="FDFDFC"/>
          </w:tcPr>
          <w:p>
            <w:pPr>
              <w:spacing w:after="0"/>
              <w:rPr>
                <w:sz w:val="16"/>
                <w:szCs w:val="16"/>
                <w:color w:val="auto"/>
              </w:rPr>
            </w:pPr>
          </w:p>
        </w:tc>
        <w:tc>
          <w:tcPr>
            <w:tcW w:w="1000" w:type="dxa"/>
            <w:vAlign w:val="bottom"/>
            <w:shd w:val="clear" w:color="auto" w:fill="FDFDFC"/>
          </w:tcPr>
          <w:p>
            <w:pPr>
              <w:spacing w:after="0"/>
              <w:rPr>
                <w:sz w:val="16"/>
                <w:szCs w:val="16"/>
                <w:color w:val="auto"/>
              </w:rPr>
            </w:pPr>
          </w:p>
        </w:tc>
        <w:tc>
          <w:tcPr>
            <w:tcW w:w="80" w:type="dxa"/>
            <w:vAlign w:val="bottom"/>
            <w:shd w:val="clear" w:color="auto" w:fill="FDFDFC"/>
          </w:tcPr>
          <w:p>
            <w:pPr>
              <w:spacing w:after="0"/>
              <w:rPr>
                <w:sz w:val="16"/>
                <w:szCs w:val="16"/>
                <w:color w:val="auto"/>
              </w:rPr>
            </w:pPr>
          </w:p>
        </w:tc>
        <w:tc>
          <w:tcPr>
            <w:tcW w:w="1600" w:type="dxa"/>
            <w:vAlign w:val="bottom"/>
            <w:shd w:val="clear" w:color="auto" w:fill="FDFDFC"/>
          </w:tcPr>
          <w:p>
            <w:pPr>
              <w:jc w:val="right"/>
              <w:spacing w:after="0"/>
              <w:rPr>
                <w:sz w:val="20"/>
                <w:szCs w:val="20"/>
                <w:color w:val="auto"/>
              </w:rPr>
            </w:pPr>
            <w:r>
              <w:rPr>
                <w:rFonts w:ascii="Times New Roman" w:cs="Times New Roman" w:eastAsia="Times New Roman" w:hAnsi="Times New Roman"/>
                <w:sz w:val="15"/>
                <w:szCs w:val="15"/>
                <w:color w:val="231F20"/>
              </w:rPr>
              <w:t>(GBP 10,275)</w:t>
            </w:r>
          </w:p>
        </w:tc>
        <w:tc>
          <w:tcPr>
            <w:tcW w:w="100" w:type="dxa"/>
            <w:vAlign w:val="bottom"/>
            <w:shd w:val="clear" w:color="auto" w:fill="FDFDFC"/>
          </w:tcPr>
          <w:p>
            <w:pPr>
              <w:spacing w:after="0"/>
              <w:rPr>
                <w:sz w:val="16"/>
                <w:szCs w:val="16"/>
                <w:color w:val="auto"/>
              </w:rPr>
            </w:pPr>
          </w:p>
        </w:tc>
        <w:tc>
          <w:tcPr>
            <w:tcW w:w="860" w:type="dxa"/>
            <w:vAlign w:val="bottom"/>
            <w:shd w:val="clear" w:color="auto" w:fill="FDFDFC"/>
          </w:tcPr>
          <w:p>
            <w:pPr>
              <w:spacing w:after="0"/>
              <w:rPr>
                <w:sz w:val="16"/>
                <w:szCs w:val="16"/>
                <w:color w:val="auto"/>
              </w:rPr>
            </w:pPr>
          </w:p>
        </w:tc>
        <w:tc>
          <w:tcPr>
            <w:tcW w:w="0" w:type="dxa"/>
            <w:vAlign w:val="bottom"/>
          </w:tcPr>
          <w:p>
            <w:pPr>
              <w:spacing w:after="0"/>
              <w:rPr>
                <w:sz w:val="1"/>
                <w:szCs w:val="1"/>
                <w:color w:val="auto"/>
              </w:rPr>
            </w:pPr>
          </w:p>
        </w:tc>
      </w:tr>
      <w:tr>
        <w:trPr>
          <w:trHeight w:val="171"/>
        </w:trPr>
        <w:tc>
          <w:tcPr>
            <w:tcW w:w="1540" w:type="dxa"/>
            <w:vAlign w:val="bottom"/>
            <w:shd w:val="clear" w:color="auto" w:fill="D0EBF2"/>
          </w:tcPr>
          <w:p>
            <w:pPr>
              <w:spacing w:after="0" w:line="172" w:lineRule="exact"/>
              <w:rPr>
                <w:sz w:val="20"/>
                <w:szCs w:val="20"/>
                <w:color w:val="auto"/>
              </w:rPr>
            </w:pPr>
            <w:r>
              <w:rPr>
                <w:rFonts w:ascii="Times New Roman" w:cs="Times New Roman" w:eastAsia="Times New Roman" w:hAnsi="Times New Roman"/>
                <w:sz w:val="15"/>
                <w:szCs w:val="15"/>
                <w:color w:val="231F20"/>
              </w:rPr>
              <w:t>ExtraHop Networks, Inc.</w:t>
            </w:r>
          </w:p>
        </w:tc>
        <w:tc>
          <w:tcPr>
            <w:tcW w:w="2180" w:type="dxa"/>
            <w:vAlign w:val="bottom"/>
            <w:gridSpan w:val="2"/>
            <w:shd w:val="clear" w:color="auto" w:fill="D0EBF2"/>
          </w:tcPr>
          <w:p>
            <w:pPr>
              <w:ind w:left="100"/>
              <w:spacing w:after="0" w:line="172" w:lineRule="exact"/>
              <w:rPr>
                <w:sz w:val="20"/>
                <w:szCs w:val="20"/>
                <w:color w:val="auto"/>
              </w:rPr>
            </w:pPr>
            <w:r>
              <w:rPr>
                <w:rFonts w:ascii="Times New Roman" w:cs="Times New Roman" w:eastAsia="Times New Roman" w:hAnsi="Times New Roman"/>
                <w:sz w:val="15"/>
                <w:szCs w:val="15"/>
                <w:color w:val="231F20"/>
              </w:rPr>
              <w:t>First-lien loan ($74,616 par, due</w:t>
            </w:r>
          </w:p>
        </w:tc>
        <w:tc>
          <w:tcPr>
            <w:tcW w:w="860" w:type="dxa"/>
            <w:vAlign w:val="bottom"/>
            <w:gridSpan w:val="2"/>
            <w:shd w:val="clear" w:color="auto" w:fill="D0EBF2"/>
          </w:tcPr>
          <w:p>
            <w:pPr>
              <w:jc w:val="right"/>
              <w:spacing w:after="0" w:line="172" w:lineRule="exact"/>
              <w:rPr>
                <w:sz w:val="20"/>
                <w:szCs w:val="20"/>
                <w:color w:val="auto"/>
              </w:rPr>
            </w:pPr>
            <w:r>
              <w:rPr>
                <w:rFonts w:ascii="Times New Roman" w:cs="Times New Roman" w:eastAsia="Times New Roman" w:hAnsi="Times New Roman"/>
                <w:sz w:val="15"/>
                <w:szCs w:val="15"/>
                <w:color w:val="231F20"/>
              </w:rPr>
              <w:t>7/22/2021</w:t>
            </w:r>
          </w:p>
        </w:tc>
        <w:tc>
          <w:tcPr>
            <w:tcW w:w="20" w:type="dxa"/>
            <w:vAlign w:val="bottom"/>
          </w:tcPr>
          <w:p>
            <w:pPr>
              <w:spacing w:after="0"/>
              <w:rPr>
                <w:sz w:val="14"/>
                <w:szCs w:val="14"/>
                <w:color w:val="auto"/>
              </w:rPr>
            </w:pPr>
          </w:p>
        </w:tc>
        <w:tc>
          <w:tcPr>
            <w:tcW w:w="80" w:type="dxa"/>
            <w:vAlign w:val="bottom"/>
            <w:shd w:val="clear" w:color="auto" w:fill="D0EBF2"/>
          </w:tcPr>
          <w:p>
            <w:pPr>
              <w:spacing w:after="0"/>
              <w:rPr>
                <w:sz w:val="14"/>
                <w:szCs w:val="14"/>
                <w:color w:val="auto"/>
              </w:rPr>
            </w:pPr>
          </w:p>
        </w:tc>
        <w:tc>
          <w:tcPr>
            <w:tcW w:w="820" w:type="dxa"/>
            <w:vAlign w:val="bottom"/>
            <w:shd w:val="clear" w:color="auto" w:fill="D0EBF2"/>
          </w:tcPr>
          <w:p>
            <w:pPr>
              <w:jc w:val="right"/>
              <w:spacing w:after="0" w:line="172" w:lineRule="exact"/>
              <w:rPr>
                <w:sz w:val="20"/>
                <w:szCs w:val="20"/>
                <w:color w:val="auto"/>
              </w:rPr>
            </w:pPr>
            <w:r>
              <w:rPr>
                <w:rFonts w:ascii="Times New Roman" w:cs="Times New Roman" w:eastAsia="Times New Roman" w:hAnsi="Times New Roman"/>
                <w:sz w:val="15"/>
                <w:szCs w:val="15"/>
                <w:color w:val="231F20"/>
              </w:rPr>
              <w:t>SOFR +</w:t>
            </w:r>
          </w:p>
        </w:tc>
        <w:tc>
          <w:tcPr>
            <w:tcW w:w="1020" w:type="dxa"/>
            <w:vAlign w:val="bottom"/>
            <w:gridSpan w:val="2"/>
            <w:shd w:val="clear" w:color="auto" w:fill="D0EBF2"/>
          </w:tcPr>
          <w:p>
            <w:pPr>
              <w:jc w:val="right"/>
              <w:spacing w:after="0" w:line="172" w:lineRule="exact"/>
              <w:rPr>
                <w:sz w:val="20"/>
                <w:szCs w:val="20"/>
                <w:color w:val="auto"/>
              </w:rPr>
            </w:pPr>
            <w:r>
              <w:rPr>
                <w:rFonts w:ascii="Times New Roman" w:cs="Times New Roman" w:eastAsia="Times New Roman" w:hAnsi="Times New Roman"/>
                <w:sz w:val="15"/>
                <w:szCs w:val="15"/>
                <w:color w:val="231F20"/>
              </w:rPr>
              <w:t>11.96%</w:t>
            </w:r>
          </w:p>
        </w:tc>
        <w:tc>
          <w:tcPr>
            <w:tcW w:w="1120" w:type="dxa"/>
            <w:vAlign w:val="bottom"/>
            <w:gridSpan w:val="2"/>
            <w:shd w:val="clear" w:color="auto" w:fill="D0EBF2"/>
          </w:tcPr>
          <w:p>
            <w:pPr>
              <w:jc w:val="right"/>
              <w:spacing w:after="0" w:line="172" w:lineRule="exact"/>
              <w:rPr>
                <w:sz w:val="20"/>
                <w:szCs w:val="20"/>
                <w:color w:val="auto"/>
              </w:rPr>
            </w:pPr>
            <w:r>
              <w:rPr>
                <w:rFonts w:ascii="Times New Roman" w:cs="Times New Roman" w:eastAsia="Times New Roman" w:hAnsi="Times New Roman"/>
                <w:sz w:val="15"/>
                <w:szCs w:val="15"/>
                <w:color w:val="231F20"/>
              </w:rPr>
              <w:t>73,874</w:t>
            </w:r>
          </w:p>
        </w:tc>
        <w:tc>
          <w:tcPr>
            <w:tcW w:w="1680" w:type="dxa"/>
            <w:vAlign w:val="bottom"/>
            <w:gridSpan w:val="2"/>
            <w:shd w:val="clear" w:color="auto" w:fill="D0EBF2"/>
          </w:tcPr>
          <w:p>
            <w:pPr>
              <w:jc w:val="right"/>
              <w:spacing w:after="0" w:line="172" w:lineRule="exact"/>
              <w:rPr>
                <w:sz w:val="20"/>
                <w:szCs w:val="20"/>
                <w:color w:val="auto"/>
              </w:rPr>
            </w:pPr>
            <w:r>
              <w:rPr>
                <w:rFonts w:ascii="Times New Roman" w:cs="Times New Roman" w:eastAsia="Times New Roman" w:hAnsi="Times New Roman"/>
                <w:sz w:val="15"/>
                <w:szCs w:val="15"/>
                <w:color w:val="231F20"/>
              </w:rPr>
              <w:t>74,616</w:t>
            </w:r>
          </w:p>
        </w:tc>
        <w:tc>
          <w:tcPr>
            <w:tcW w:w="960" w:type="dxa"/>
            <w:vAlign w:val="bottom"/>
            <w:gridSpan w:val="2"/>
            <w:shd w:val="clear" w:color="auto" w:fill="D0EBF2"/>
          </w:tcPr>
          <w:p>
            <w:pPr>
              <w:jc w:val="right"/>
              <w:spacing w:after="0" w:line="172" w:lineRule="exact"/>
              <w:rPr>
                <w:sz w:val="20"/>
                <w:szCs w:val="20"/>
                <w:color w:val="auto"/>
              </w:rPr>
            </w:pPr>
            <w:r>
              <w:rPr>
                <w:rFonts w:ascii="Times New Roman" w:cs="Times New Roman" w:eastAsia="Times New Roman" w:hAnsi="Times New Roman"/>
                <w:sz w:val="15"/>
                <w:szCs w:val="15"/>
                <w:color w:val="231F20"/>
              </w:rPr>
              <w:t>4.6%</w:t>
            </w:r>
          </w:p>
        </w:tc>
        <w:tc>
          <w:tcPr>
            <w:tcW w:w="0" w:type="dxa"/>
            <w:vAlign w:val="bottom"/>
          </w:tcPr>
          <w:p>
            <w:pPr>
              <w:spacing w:after="0"/>
              <w:rPr>
                <w:sz w:val="1"/>
                <w:szCs w:val="1"/>
                <w:color w:val="auto"/>
              </w:rPr>
            </w:pPr>
          </w:p>
        </w:tc>
      </w:tr>
      <w:tr>
        <w:trPr>
          <w:trHeight w:val="189"/>
        </w:trPr>
        <w:tc>
          <w:tcPr>
            <w:tcW w:w="1540" w:type="dxa"/>
            <w:vAlign w:val="bottom"/>
            <w:shd w:val="clear" w:color="auto" w:fill="D0EBF2"/>
          </w:tcPr>
          <w:p>
            <w:pPr>
              <w:spacing w:after="0"/>
              <w:rPr>
                <w:sz w:val="20"/>
                <w:szCs w:val="20"/>
                <w:color w:val="auto"/>
              </w:rPr>
            </w:pPr>
            <w:r>
              <w:rPr>
                <w:rFonts w:ascii="Times New Roman" w:cs="Times New Roman" w:eastAsia="Times New Roman" w:hAnsi="Times New Roman"/>
                <w:sz w:val="9"/>
                <w:szCs w:val="9"/>
                <w:color w:val="231F20"/>
              </w:rPr>
              <w:t>(3)(5)</w:t>
            </w:r>
          </w:p>
        </w:tc>
        <w:tc>
          <w:tcPr>
            <w:tcW w:w="2180" w:type="dxa"/>
            <w:vAlign w:val="bottom"/>
            <w:gridSpan w:val="2"/>
            <w:shd w:val="clear" w:color="auto" w:fill="D0EBF2"/>
          </w:tcPr>
          <w:p>
            <w:pPr>
              <w:ind w:left="100"/>
              <w:spacing w:after="0"/>
              <w:rPr>
                <w:sz w:val="20"/>
                <w:szCs w:val="20"/>
                <w:color w:val="auto"/>
              </w:rPr>
            </w:pPr>
            <w:r>
              <w:rPr>
                <w:rFonts w:ascii="Times New Roman" w:cs="Times New Roman" w:eastAsia="Times New Roman" w:hAnsi="Times New Roman"/>
                <w:sz w:val="15"/>
                <w:szCs w:val="15"/>
                <w:color w:val="231F20"/>
              </w:rPr>
              <w:t>7/2027)</w:t>
            </w:r>
          </w:p>
        </w:tc>
        <w:tc>
          <w:tcPr>
            <w:tcW w:w="100" w:type="dxa"/>
            <w:vAlign w:val="bottom"/>
            <w:shd w:val="clear" w:color="auto" w:fill="D0EBF2"/>
          </w:tcPr>
          <w:p>
            <w:pPr>
              <w:spacing w:after="0"/>
              <w:rPr>
                <w:sz w:val="16"/>
                <w:szCs w:val="16"/>
                <w:color w:val="auto"/>
              </w:rPr>
            </w:pPr>
          </w:p>
        </w:tc>
        <w:tc>
          <w:tcPr>
            <w:tcW w:w="760" w:type="dxa"/>
            <w:vAlign w:val="bottom"/>
            <w:shd w:val="clear" w:color="auto" w:fill="D0EBF2"/>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gridSpan w:val="2"/>
            <w:shd w:val="clear" w:color="auto" w:fill="D0EBF2"/>
          </w:tcPr>
          <w:p>
            <w:pPr>
              <w:jc w:val="right"/>
              <w:spacing w:after="0"/>
              <w:rPr>
                <w:sz w:val="20"/>
                <w:szCs w:val="20"/>
                <w:color w:val="auto"/>
              </w:rPr>
            </w:pPr>
            <w:r>
              <w:rPr>
                <w:rFonts w:ascii="Times New Roman" w:cs="Times New Roman" w:eastAsia="Times New Roman" w:hAnsi="Times New Roman"/>
                <w:sz w:val="15"/>
                <w:szCs w:val="15"/>
                <w:color w:val="231F20"/>
              </w:rPr>
              <w:t>7.60%</w:t>
            </w:r>
          </w:p>
        </w:tc>
        <w:tc>
          <w:tcPr>
            <w:tcW w:w="100" w:type="dxa"/>
            <w:vAlign w:val="bottom"/>
            <w:shd w:val="clear" w:color="auto" w:fill="D0EBF2"/>
          </w:tcPr>
          <w:p>
            <w:pPr>
              <w:spacing w:after="0"/>
              <w:rPr>
                <w:sz w:val="16"/>
                <w:szCs w:val="16"/>
                <w:color w:val="auto"/>
              </w:rPr>
            </w:pPr>
          </w:p>
        </w:tc>
        <w:tc>
          <w:tcPr>
            <w:tcW w:w="920" w:type="dxa"/>
            <w:vAlign w:val="bottom"/>
            <w:shd w:val="clear" w:color="auto" w:fill="D0EBF2"/>
          </w:tcPr>
          <w:p>
            <w:pPr>
              <w:spacing w:after="0"/>
              <w:rPr>
                <w:sz w:val="16"/>
                <w:szCs w:val="16"/>
                <w:color w:val="auto"/>
              </w:rPr>
            </w:pPr>
          </w:p>
        </w:tc>
        <w:tc>
          <w:tcPr>
            <w:tcW w:w="120" w:type="dxa"/>
            <w:vAlign w:val="bottom"/>
            <w:shd w:val="clear" w:color="auto" w:fill="D0EBF2"/>
          </w:tcPr>
          <w:p>
            <w:pPr>
              <w:spacing w:after="0"/>
              <w:rPr>
                <w:sz w:val="16"/>
                <w:szCs w:val="16"/>
                <w:color w:val="auto"/>
              </w:rPr>
            </w:pPr>
          </w:p>
        </w:tc>
        <w:tc>
          <w:tcPr>
            <w:tcW w:w="1000" w:type="dxa"/>
            <w:vAlign w:val="bottom"/>
            <w:shd w:val="clear" w:color="auto" w:fill="D0EBF2"/>
          </w:tcPr>
          <w:p>
            <w:pPr>
              <w:spacing w:after="0"/>
              <w:rPr>
                <w:sz w:val="16"/>
                <w:szCs w:val="16"/>
                <w:color w:val="auto"/>
              </w:rPr>
            </w:pPr>
          </w:p>
        </w:tc>
        <w:tc>
          <w:tcPr>
            <w:tcW w:w="80" w:type="dxa"/>
            <w:vAlign w:val="bottom"/>
            <w:shd w:val="clear" w:color="auto" w:fill="D0EBF2"/>
          </w:tcPr>
          <w:p>
            <w:pPr>
              <w:spacing w:after="0"/>
              <w:rPr>
                <w:sz w:val="16"/>
                <w:szCs w:val="16"/>
                <w:color w:val="auto"/>
              </w:rPr>
            </w:pPr>
          </w:p>
        </w:tc>
        <w:tc>
          <w:tcPr>
            <w:tcW w:w="1600" w:type="dxa"/>
            <w:vAlign w:val="bottom"/>
            <w:shd w:val="clear" w:color="auto" w:fill="D0EBF2"/>
          </w:tcPr>
          <w:p>
            <w:pPr>
              <w:spacing w:after="0"/>
              <w:rPr>
                <w:sz w:val="16"/>
                <w:szCs w:val="16"/>
                <w:color w:val="auto"/>
              </w:rPr>
            </w:pPr>
          </w:p>
        </w:tc>
        <w:tc>
          <w:tcPr>
            <w:tcW w:w="100" w:type="dxa"/>
            <w:vAlign w:val="bottom"/>
            <w:shd w:val="clear" w:color="auto" w:fill="D0EBF2"/>
          </w:tcPr>
          <w:p>
            <w:pPr>
              <w:spacing w:after="0"/>
              <w:rPr>
                <w:sz w:val="16"/>
                <w:szCs w:val="16"/>
                <w:color w:val="auto"/>
              </w:rPr>
            </w:pPr>
          </w:p>
        </w:tc>
        <w:tc>
          <w:tcPr>
            <w:tcW w:w="860" w:type="dxa"/>
            <w:vAlign w:val="bottom"/>
            <w:shd w:val="clear" w:color="auto" w:fill="D0EBF2"/>
          </w:tcPr>
          <w:p>
            <w:pPr>
              <w:spacing w:after="0"/>
              <w:rPr>
                <w:sz w:val="16"/>
                <w:szCs w:val="16"/>
                <w:color w:val="auto"/>
              </w:rPr>
            </w:pPr>
          </w:p>
        </w:tc>
        <w:tc>
          <w:tcPr>
            <w:tcW w:w="0" w:type="dxa"/>
            <w:vAlign w:val="bottom"/>
          </w:tcPr>
          <w:p>
            <w:pPr>
              <w:spacing w:after="0"/>
              <w:rPr>
                <w:sz w:val="1"/>
                <w:szCs w:val="1"/>
                <w:color w:val="auto"/>
              </w:rPr>
            </w:pPr>
          </w:p>
        </w:tc>
      </w:tr>
      <w:tr>
        <w:trPr>
          <w:trHeight w:val="171"/>
        </w:trPr>
        <w:tc>
          <w:tcPr>
            <w:tcW w:w="1540" w:type="dxa"/>
            <w:vAlign w:val="bottom"/>
            <w:shd w:val="clear" w:color="auto" w:fill="FDFDFC"/>
          </w:tcPr>
          <w:p>
            <w:pPr>
              <w:spacing w:after="0" w:line="172" w:lineRule="exact"/>
              <w:rPr>
                <w:sz w:val="20"/>
                <w:szCs w:val="20"/>
                <w:color w:val="auto"/>
              </w:rPr>
            </w:pPr>
            <w:r>
              <w:rPr>
                <w:rFonts w:ascii="Times New Roman" w:cs="Times New Roman" w:eastAsia="Times New Roman" w:hAnsi="Times New Roman"/>
                <w:sz w:val="15"/>
                <w:szCs w:val="15"/>
                <w:color w:val="231F20"/>
              </w:rPr>
              <w:t>ForeScout Technologies,</w:t>
            </w:r>
          </w:p>
        </w:tc>
        <w:tc>
          <w:tcPr>
            <w:tcW w:w="2180" w:type="dxa"/>
            <w:vAlign w:val="bottom"/>
            <w:gridSpan w:val="2"/>
            <w:shd w:val="clear" w:color="auto" w:fill="FDFDFC"/>
          </w:tcPr>
          <w:p>
            <w:pPr>
              <w:ind w:left="100"/>
              <w:spacing w:after="0" w:line="172" w:lineRule="exact"/>
              <w:rPr>
                <w:sz w:val="20"/>
                <w:szCs w:val="20"/>
                <w:color w:val="auto"/>
              </w:rPr>
            </w:pPr>
            <w:r>
              <w:rPr>
                <w:rFonts w:ascii="Times New Roman" w:cs="Times New Roman" w:eastAsia="Times New Roman" w:hAnsi="Times New Roman"/>
                <w:sz w:val="15"/>
                <w:szCs w:val="15"/>
                <w:color w:val="231F20"/>
              </w:rPr>
              <w:t>First-lien loan ($5,597 par, due</w:t>
            </w:r>
          </w:p>
        </w:tc>
        <w:tc>
          <w:tcPr>
            <w:tcW w:w="860" w:type="dxa"/>
            <w:vAlign w:val="bottom"/>
            <w:gridSpan w:val="2"/>
            <w:shd w:val="clear" w:color="auto" w:fill="FDFDFC"/>
          </w:tcPr>
          <w:p>
            <w:pPr>
              <w:jc w:val="right"/>
              <w:spacing w:after="0" w:line="172" w:lineRule="exact"/>
              <w:rPr>
                <w:sz w:val="20"/>
                <w:szCs w:val="20"/>
                <w:color w:val="auto"/>
              </w:rPr>
            </w:pPr>
            <w:r>
              <w:rPr>
                <w:rFonts w:ascii="Times New Roman" w:cs="Times New Roman" w:eastAsia="Times New Roman" w:hAnsi="Times New Roman"/>
                <w:sz w:val="15"/>
                <w:szCs w:val="15"/>
                <w:color w:val="231F20"/>
              </w:rPr>
              <w:t>5/24/2024</w:t>
            </w:r>
          </w:p>
        </w:tc>
        <w:tc>
          <w:tcPr>
            <w:tcW w:w="20" w:type="dxa"/>
            <w:vAlign w:val="bottom"/>
          </w:tcPr>
          <w:p>
            <w:pPr>
              <w:spacing w:after="0"/>
              <w:rPr>
                <w:sz w:val="14"/>
                <w:szCs w:val="14"/>
                <w:color w:val="auto"/>
              </w:rPr>
            </w:pPr>
          </w:p>
        </w:tc>
        <w:tc>
          <w:tcPr>
            <w:tcW w:w="80" w:type="dxa"/>
            <w:vAlign w:val="bottom"/>
            <w:shd w:val="clear" w:color="auto" w:fill="FDFDFC"/>
          </w:tcPr>
          <w:p>
            <w:pPr>
              <w:spacing w:after="0"/>
              <w:rPr>
                <w:sz w:val="14"/>
                <w:szCs w:val="14"/>
                <w:color w:val="auto"/>
              </w:rPr>
            </w:pPr>
          </w:p>
        </w:tc>
        <w:tc>
          <w:tcPr>
            <w:tcW w:w="820" w:type="dxa"/>
            <w:vAlign w:val="bottom"/>
            <w:shd w:val="clear" w:color="auto" w:fill="FDFDFC"/>
          </w:tcPr>
          <w:p>
            <w:pPr>
              <w:jc w:val="right"/>
              <w:spacing w:after="0" w:line="172" w:lineRule="exact"/>
              <w:rPr>
                <w:sz w:val="20"/>
                <w:szCs w:val="20"/>
                <w:color w:val="auto"/>
              </w:rPr>
            </w:pPr>
            <w:r>
              <w:rPr>
                <w:rFonts w:ascii="Times New Roman" w:cs="Times New Roman" w:eastAsia="Times New Roman" w:hAnsi="Times New Roman"/>
                <w:sz w:val="15"/>
                <w:szCs w:val="15"/>
                <w:color w:val="231F20"/>
              </w:rPr>
              <w:t>SOFR +</w:t>
            </w:r>
          </w:p>
        </w:tc>
        <w:tc>
          <w:tcPr>
            <w:tcW w:w="1020" w:type="dxa"/>
            <w:vAlign w:val="bottom"/>
            <w:gridSpan w:val="2"/>
            <w:shd w:val="clear" w:color="auto" w:fill="FDFDFC"/>
          </w:tcPr>
          <w:p>
            <w:pPr>
              <w:jc w:val="right"/>
              <w:spacing w:after="0" w:line="172" w:lineRule="exact"/>
              <w:rPr>
                <w:sz w:val="20"/>
                <w:szCs w:val="20"/>
                <w:color w:val="auto"/>
              </w:rPr>
            </w:pPr>
            <w:r>
              <w:rPr>
                <w:rFonts w:ascii="Times New Roman" w:cs="Times New Roman" w:eastAsia="Times New Roman" w:hAnsi="Times New Roman"/>
                <w:sz w:val="15"/>
                <w:szCs w:val="15"/>
                <w:color w:val="231F20"/>
              </w:rPr>
              <w:t>9.52%</w:t>
            </w:r>
          </w:p>
        </w:tc>
        <w:tc>
          <w:tcPr>
            <w:tcW w:w="1120" w:type="dxa"/>
            <w:vAlign w:val="bottom"/>
            <w:gridSpan w:val="2"/>
            <w:shd w:val="clear" w:color="auto" w:fill="FDFDFC"/>
          </w:tcPr>
          <w:p>
            <w:pPr>
              <w:jc w:val="right"/>
              <w:spacing w:after="0" w:line="172" w:lineRule="exact"/>
              <w:rPr>
                <w:sz w:val="20"/>
                <w:szCs w:val="20"/>
                <w:color w:val="auto"/>
              </w:rPr>
            </w:pPr>
            <w:r>
              <w:rPr>
                <w:rFonts w:ascii="Times New Roman" w:cs="Times New Roman" w:eastAsia="Times New Roman" w:hAnsi="Times New Roman"/>
                <w:sz w:val="15"/>
                <w:szCs w:val="15"/>
                <w:color w:val="231F20"/>
              </w:rPr>
              <w:t>5,541</w:t>
            </w:r>
          </w:p>
        </w:tc>
        <w:tc>
          <w:tcPr>
            <w:tcW w:w="1680" w:type="dxa"/>
            <w:vAlign w:val="bottom"/>
            <w:gridSpan w:val="2"/>
            <w:shd w:val="clear" w:color="auto" w:fill="FDFDFC"/>
          </w:tcPr>
          <w:p>
            <w:pPr>
              <w:jc w:val="right"/>
              <w:spacing w:after="0" w:line="172" w:lineRule="exact"/>
              <w:rPr>
                <w:sz w:val="20"/>
                <w:szCs w:val="20"/>
                <w:color w:val="auto"/>
              </w:rPr>
            </w:pPr>
            <w:r>
              <w:rPr>
                <w:rFonts w:ascii="Times New Roman" w:cs="Times New Roman" w:eastAsia="Times New Roman" w:hAnsi="Times New Roman"/>
                <w:sz w:val="15"/>
                <w:szCs w:val="15"/>
                <w:color w:val="231F20"/>
              </w:rPr>
              <w:t>5,565</w:t>
            </w:r>
          </w:p>
        </w:tc>
        <w:tc>
          <w:tcPr>
            <w:tcW w:w="960" w:type="dxa"/>
            <w:vAlign w:val="bottom"/>
            <w:gridSpan w:val="2"/>
            <w:shd w:val="clear" w:color="auto" w:fill="FDFDFC"/>
          </w:tcPr>
          <w:p>
            <w:pPr>
              <w:jc w:val="right"/>
              <w:spacing w:after="0" w:line="172" w:lineRule="exact"/>
              <w:rPr>
                <w:sz w:val="20"/>
                <w:szCs w:val="20"/>
                <w:color w:val="auto"/>
              </w:rPr>
            </w:pPr>
            <w:r>
              <w:rPr>
                <w:rFonts w:ascii="Times New Roman" w:cs="Times New Roman" w:eastAsia="Times New Roman" w:hAnsi="Times New Roman"/>
                <w:sz w:val="15"/>
                <w:szCs w:val="15"/>
                <w:color w:val="231F20"/>
              </w:rPr>
              <w:t>0.3%</w:t>
            </w:r>
          </w:p>
        </w:tc>
        <w:tc>
          <w:tcPr>
            <w:tcW w:w="0" w:type="dxa"/>
            <w:vAlign w:val="bottom"/>
          </w:tcPr>
          <w:p>
            <w:pPr>
              <w:spacing w:after="0"/>
              <w:rPr>
                <w:sz w:val="1"/>
                <w:szCs w:val="1"/>
                <w:color w:val="auto"/>
              </w:rPr>
            </w:pPr>
          </w:p>
        </w:tc>
      </w:tr>
      <w:tr>
        <w:trPr>
          <w:trHeight w:val="189"/>
        </w:trPr>
        <w:tc>
          <w:tcPr>
            <w:tcW w:w="1540" w:type="dxa"/>
            <w:vAlign w:val="bottom"/>
            <w:shd w:val="clear" w:color="auto" w:fill="FDFDFC"/>
          </w:tcPr>
          <w:p>
            <w:pPr>
              <w:spacing w:after="0"/>
              <w:rPr>
                <w:sz w:val="20"/>
                <w:szCs w:val="20"/>
                <w:color w:val="auto"/>
              </w:rPr>
            </w:pPr>
            <w:r>
              <w:rPr>
                <w:rFonts w:ascii="Times New Roman" w:cs="Times New Roman" w:eastAsia="Times New Roman" w:hAnsi="Times New Roman"/>
                <w:sz w:val="15"/>
                <w:szCs w:val="15"/>
                <w:color w:val="231F20"/>
              </w:rPr>
              <w:t xml:space="preserve">Inc. </w:t>
            </w:r>
            <w:r>
              <w:rPr>
                <w:rFonts w:ascii="Times New Roman" w:cs="Times New Roman" w:eastAsia="Times New Roman" w:hAnsi="Times New Roman"/>
                <w:sz w:val="9"/>
                <w:szCs w:val="9"/>
                <w:color w:val="231F20"/>
              </w:rPr>
              <w:t>(3)</w:t>
            </w:r>
          </w:p>
        </w:tc>
        <w:tc>
          <w:tcPr>
            <w:tcW w:w="2180" w:type="dxa"/>
            <w:vAlign w:val="bottom"/>
            <w:gridSpan w:val="2"/>
            <w:shd w:val="clear" w:color="auto" w:fill="FDFDFC"/>
          </w:tcPr>
          <w:p>
            <w:pPr>
              <w:ind w:left="100"/>
              <w:spacing w:after="0"/>
              <w:rPr>
                <w:sz w:val="20"/>
                <w:szCs w:val="20"/>
                <w:color w:val="auto"/>
              </w:rPr>
            </w:pPr>
            <w:r>
              <w:rPr>
                <w:rFonts w:ascii="Times New Roman" w:cs="Times New Roman" w:eastAsia="Times New Roman" w:hAnsi="Times New Roman"/>
                <w:sz w:val="15"/>
                <w:szCs w:val="15"/>
                <w:color w:val="231F20"/>
              </w:rPr>
              <w:t>5/2031)</w:t>
            </w:r>
          </w:p>
        </w:tc>
        <w:tc>
          <w:tcPr>
            <w:tcW w:w="100" w:type="dxa"/>
            <w:vAlign w:val="bottom"/>
            <w:shd w:val="clear" w:color="auto" w:fill="FDFDFC"/>
          </w:tcPr>
          <w:p>
            <w:pPr>
              <w:spacing w:after="0"/>
              <w:rPr>
                <w:sz w:val="16"/>
                <w:szCs w:val="16"/>
                <w:color w:val="auto"/>
              </w:rPr>
            </w:pPr>
          </w:p>
        </w:tc>
        <w:tc>
          <w:tcPr>
            <w:tcW w:w="760" w:type="dxa"/>
            <w:vAlign w:val="bottom"/>
            <w:shd w:val="clear" w:color="auto" w:fill="FDFDFC"/>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gridSpan w:val="2"/>
            <w:shd w:val="clear" w:color="auto" w:fill="FDFDFC"/>
          </w:tcPr>
          <w:p>
            <w:pPr>
              <w:jc w:val="right"/>
              <w:spacing w:after="0"/>
              <w:rPr>
                <w:sz w:val="20"/>
                <w:szCs w:val="20"/>
                <w:color w:val="auto"/>
              </w:rPr>
            </w:pPr>
            <w:r>
              <w:rPr>
                <w:rFonts w:ascii="Times New Roman" w:cs="Times New Roman" w:eastAsia="Times New Roman" w:hAnsi="Times New Roman"/>
                <w:sz w:val="15"/>
                <w:szCs w:val="15"/>
                <w:color w:val="231F20"/>
              </w:rPr>
              <w:t>5.00%</w:t>
            </w:r>
          </w:p>
        </w:tc>
        <w:tc>
          <w:tcPr>
            <w:tcW w:w="100" w:type="dxa"/>
            <w:vAlign w:val="bottom"/>
            <w:shd w:val="clear" w:color="auto" w:fill="FDFDFC"/>
          </w:tcPr>
          <w:p>
            <w:pPr>
              <w:spacing w:after="0"/>
              <w:rPr>
                <w:sz w:val="16"/>
                <w:szCs w:val="16"/>
                <w:color w:val="auto"/>
              </w:rPr>
            </w:pPr>
          </w:p>
        </w:tc>
        <w:tc>
          <w:tcPr>
            <w:tcW w:w="920" w:type="dxa"/>
            <w:vAlign w:val="bottom"/>
            <w:shd w:val="clear" w:color="auto" w:fill="FDFDFC"/>
          </w:tcPr>
          <w:p>
            <w:pPr>
              <w:spacing w:after="0"/>
              <w:rPr>
                <w:sz w:val="16"/>
                <w:szCs w:val="16"/>
                <w:color w:val="auto"/>
              </w:rPr>
            </w:pPr>
          </w:p>
        </w:tc>
        <w:tc>
          <w:tcPr>
            <w:tcW w:w="120" w:type="dxa"/>
            <w:vAlign w:val="bottom"/>
            <w:shd w:val="clear" w:color="auto" w:fill="FDFDFC"/>
          </w:tcPr>
          <w:p>
            <w:pPr>
              <w:spacing w:after="0"/>
              <w:rPr>
                <w:sz w:val="16"/>
                <w:szCs w:val="16"/>
                <w:color w:val="auto"/>
              </w:rPr>
            </w:pPr>
          </w:p>
        </w:tc>
        <w:tc>
          <w:tcPr>
            <w:tcW w:w="1000" w:type="dxa"/>
            <w:vAlign w:val="bottom"/>
            <w:shd w:val="clear" w:color="auto" w:fill="FDFDFC"/>
          </w:tcPr>
          <w:p>
            <w:pPr>
              <w:spacing w:after="0"/>
              <w:rPr>
                <w:sz w:val="16"/>
                <w:szCs w:val="16"/>
                <w:color w:val="auto"/>
              </w:rPr>
            </w:pPr>
          </w:p>
        </w:tc>
        <w:tc>
          <w:tcPr>
            <w:tcW w:w="80" w:type="dxa"/>
            <w:vAlign w:val="bottom"/>
            <w:shd w:val="clear" w:color="auto" w:fill="FDFDFC"/>
          </w:tcPr>
          <w:p>
            <w:pPr>
              <w:spacing w:after="0"/>
              <w:rPr>
                <w:sz w:val="16"/>
                <w:szCs w:val="16"/>
                <w:color w:val="auto"/>
              </w:rPr>
            </w:pPr>
          </w:p>
        </w:tc>
        <w:tc>
          <w:tcPr>
            <w:tcW w:w="1600" w:type="dxa"/>
            <w:vAlign w:val="bottom"/>
            <w:shd w:val="clear" w:color="auto" w:fill="FDFDFC"/>
          </w:tcPr>
          <w:p>
            <w:pPr>
              <w:spacing w:after="0"/>
              <w:rPr>
                <w:sz w:val="16"/>
                <w:szCs w:val="16"/>
                <w:color w:val="auto"/>
              </w:rPr>
            </w:pPr>
          </w:p>
        </w:tc>
        <w:tc>
          <w:tcPr>
            <w:tcW w:w="100" w:type="dxa"/>
            <w:vAlign w:val="bottom"/>
            <w:shd w:val="clear" w:color="auto" w:fill="FDFDFC"/>
          </w:tcPr>
          <w:p>
            <w:pPr>
              <w:spacing w:after="0"/>
              <w:rPr>
                <w:sz w:val="16"/>
                <w:szCs w:val="16"/>
                <w:color w:val="auto"/>
              </w:rPr>
            </w:pPr>
          </w:p>
        </w:tc>
        <w:tc>
          <w:tcPr>
            <w:tcW w:w="860" w:type="dxa"/>
            <w:vAlign w:val="bottom"/>
            <w:shd w:val="clear" w:color="auto" w:fill="FDFDFC"/>
          </w:tcPr>
          <w:p>
            <w:pPr>
              <w:spacing w:after="0"/>
              <w:rPr>
                <w:sz w:val="16"/>
                <w:szCs w:val="16"/>
                <w:color w:val="auto"/>
              </w:rPr>
            </w:pPr>
          </w:p>
        </w:tc>
        <w:tc>
          <w:tcPr>
            <w:tcW w:w="0" w:type="dxa"/>
            <w:vAlign w:val="bottom"/>
          </w:tcPr>
          <w:p>
            <w:pPr>
              <w:spacing w:after="0"/>
              <w:rPr>
                <w:sz w:val="1"/>
                <w:szCs w:val="1"/>
                <w:color w:val="auto"/>
              </w:rPr>
            </w:pPr>
          </w:p>
        </w:tc>
      </w:tr>
      <w:tr>
        <w:trPr>
          <w:trHeight w:val="171"/>
        </w:trPr>
        <w:tc>
          <w:tcPr>
            <w:tcW w:w="1540" w:type="dxa"/>
            <w:vAlign w:val="bottom"/>
            <w:shd w:val="clear" w:color="auto" w:fill="D0EBF2"/>
          </w:tcPr>
          <w:p>
            <w:pPr>
              <w:spacing w:after="0" w:line="172" w:lineRule="exact"/>
              <w:rPr>
                <w:sz w:val="20"/>
                <w:szCs w:val="20"/>
                <w:color w:val="auto"/>
              </w:rPr>
            </w:pPr>
            <w:r>
              <w:rPr>
                <w:rFonts w:ascii="Times New Roman" w:cs="Times New Roman" w:eastAsia="Times New Roman" w:hAnsi="Times New Roman"/>
                <w:sz w:val="15"/>
                <w:szCs w:val="15"/>
                <w:color w:val="231F20"/>
              </w:rPr>
              <w:t xml:space="preserve">Galileo Parent, Inc. </w:t>
            </w:r>
            <w:r>
              <w:rPr>
                <w:rFonts w:ascii="Times New Roman" w:cs="Times New Roman" w:eastAsia="Times New Roman" w:hAnsi="Times New Roman"/>
                <w:sz w:val="9"/>
                <w:szCs w:val="9"/>
                <w:color w:val="231F20"/>
              </w:rPr>
              <w:t>(3)</w:t>
            </w:r>
          </w:p>
        </w:tc>
        <w:tc>
          <w:tcPr>
            <w:tcW w:w="2180" w:type="dxa"/>
            <w:vAlign w:val="bottom"/>
            <w:gridSpan w:val="2"/>
            <w:shd w:val="clear" w:color="auto" w:fill="D0EBF2"/>
          </w:tcPr>
          <w:p>
            <w:pPr>
              <w:ind w:left="100"/>
              <w:spacing w:after="0" w:line="172" w:lineRule="exact"/>
              <w:rPr>
                <w:sz w:val="20"/>
                <w:szCs w:val="20"/>
                <w:color w:val="auto"/>
              </w:rPr>
            </w:pPr>
            <w:r>
              <w:rPr>
                <w:rFonts w:ascii="Times New Roman" w:cs="Times New Roman" w:eastAsia="Times New Roman" w:hAnsi="Times New Roman"/>
                <w:sz w:val="15"/>
                <w:szCs w:val="15"/>
                <w:color w:val="231F20"/>
              </w:rPr>
              <w:t>First-lien loan ($64,093 par, due</w:t>
            </w:r>
          </w:p>
        </w:tc>
        <w:tc>
          <w:tcPr>
            <w:tcW w:w="860" w:type="dxa"/>
            <w:vAlign w:val="bottom"/>
            <w:gridSpan w:val="2"/>
            <w:shd w:val="clear" w:color="auto" w:fill="D0EBF2"/>
          </w:tcPr>
          <w:p>
            <w:pPr>
              <w:jc w:val="right"/>
              <w:spacing w:after="0" w:line="172" w:lineRule="exact"/>
              <w:rPr>
                <w:sz w:val="20"/>
                <w:szCs w:val="20"/>
                <w:color w:val="auto"/>
              </w:rPr>
            </w:pPr>
            <w:r>
              <w:rPr>
                <w:rFonts w:ascii="Times New Roman" w:cs="Times New Roman" w:eastAsia="Times New Roman" w:hAnsi="Times New Roman"/>
                <w:sz w:val="15"/>
                <w:szCs w:val="15"/>
                <w:color w:val="231F20"/>
              </w:rPr>
              <w:t>5/3/2023</w:t>
            </w:r>
          </w:p>
        </w:tc>
        <w:tc>
          <w:tcPr>
            <w:tcW w:w="20" w:type="dxa"/>
            <w:vAlign w:val="bottom"/>
          </w:tcPr>
          <w:p>
            <w:pPr>
              <w:spacing w:after="0"/>
              <w:rPr>
                <w:sz w:val="14"/>
                <w:szCs w:val="14"/>
                <w:color w:val="auto"/>
              </w:rPr>
            </w:pPr>
          </w:p>
        </w:tc>
        <w:tc>
          <w:tcPr>
            <w:tcW w:w="80" w:type="dxa"/>
            <w:vAlign w:val="bottom"/>
            <w:shd w:val="clear" w:color="auto" w:fill="D0EBF2"/>
          </w:tcPr>
          <w:p>
            <w:pPr>
              <w:spacing w:after="0"/>
              <w:rPr>
                <w:sz w:val="14"/>
                <w:szCs w:val="14"/>
                <w:color w:val="auto"/>
              </w:rPr>
            </w:pPr>
          </w:p>
        </w:tc>
        <w:tc>
          <w:tcPr>
            <w:tcW w:w="820" w:type="dxa"/>
            <w:vAlign w:val="bottom"/>
            <w:shd w:val="clear" w:color="auto" w:fill="D0EBF2"/>
          </w:tcPr>
          <w:p>
            <w:pPr>
              <w:jc w:val="right"/>
              <w:spacing w:after="0" w:line="172" w:lineRule="exact"/>
              <w:rPr>
                <w:sz w:val="20"/>
                <w:szCs w:val="20"/>
                <w:color w:val="auto"/>
              </w:rPr>
            </w:pPr>
            <w:r>
              <w:rPr>
                <w:rFonts w:ascii="Times New Roman" w:cs="Times New Roman" w:eastAsia="Times New Roman" w:hAnsi="Times New Roman"/>
                <w:sz w:val="15"/>
                <w:szCs w:val="15"/>
                <w:color w:val="231F20"/>
              </w:rPr>
              <w:t>SOFR +</w:t>
            </w:r>
          </w:p>
        </w:tc>
        <w:tc>
          <w:tcPr>
            <w:tcW w:w="1020" w:type="dxa"/>
            <w:vAlign w:val="bottom"/>
            <w:gridSpan w:val="2"/>
            <w:shd w:val="clear" w:color="auto" w:fill="D0EBF2"/>
          </w:tcPr>
          <w:p>
            <w:pPr>
              <w:jc w:val="right"/>
              <w:spacing w:after="0" w:line="172" w:lineRule="exact"/>
              <w:rPr>
                <w:sz w:val="20"/>
                <w:szCs w:val="20"/>
                <w:color w:val="auto"/>
              </w:rPr>
            </w:pPr>
            <w:r>
              <w:rPr>
                <w:rFonts w:ascii="Times New Roman" w:cs="Times New Roman" w:eastAsia="Times New Roman" w:hAnsi="Times New Roman"/>
                <w:sz w:val="15"/>
                <w:szCs w:val="15"/>
                <w:color w:val="231F20"/>
              </w:rPr>
              <w:t>10.08%</w:t>
            </w:r>
          </w:p>
        </w:tc>
        <w:tc>
          <w:tcPr>
            <w:tcW w:w="1120" w:type="dxa"/>
            <w:vAlign w:val="bottom"/>
            <w:gridSpan w:val="2"/>
            <w:shd w:val="clear" w:color="auto" w:fill="D0EBF2"/>
          </w:tcPr>
          <w:p>
            <w:pPr>
              <w:jc w:val="right"/>
              <w:spacing w:after="0" w:line="172" w:lineRule="exact"/>
              <w:rPr>
                <w:sz w:val="20"/>
                <w:szCs w:val="20"/>
                <w:color w:val="auto"/>
              </w:rPr>
            </w:pPr>
            <w:r>
              <w:rPr>
                <w:rFonts w:ascii="Times New Roman" w:cs="Times New Roman" w:eastAsia="Times New Roman" w:hAnsi="Times New Roman"/>
                <w:sz w:val="15"/>
                <w:szCs w:val="15"/>
                <w:color w:val="231F20"/>
              </w:rPr>
              <w:t>62,493</w:t>
            </w:r>
          </w:p>
        </w:tc>
        <w:tc>
          <w:tcPr>
            <w:tcW w:w="1680" w:type="dxa"/>
            <w:vAlign w:val="bottom"/>
            <w:gridSpan w:val="2"/>
            <w:shd w:val="clear" w:color="auto" w:fill="D0EBF2"/>
          </w:tcPr>
          <w:p>
            <w:pPr>
              <w:jc w:val="right"/>
              <w:spacing w:after="0" w:line="172" w:lineRule="exact"/>
              <w:rPr>
                <w:sz w:val="20"/>
                <w:szCs w:val="20"/>
                <w:color w:val="auto"/>
              </w:rPr>
            </w:pPr>
            <w:r>
              <w:rPr>
                <w:rFonts w:ascii="Times New Roman" w:cs="Times New Roman" w:eastAsia="Times New Roman" w:hAnsi="Times New Roman"/>
                <w:sz w:val="15"/>
                <w:szCs w:val="15"/>
                <w:color w:val="231F20"/>
              </w:rPr>
              <w:t>64,093</w:t>
            </w:r>
          </w:p>
        </w:tc>
        <w:tc>
          <w:tcPr>
            <w:tcW w:w="960" w:type="dxa"/>
            <w:vAlign w:val="bottom"/>
            <w:gridSpan w:val="2"/>
            <w:shd w:val="clear" w:color="auto" w:fill="D0EBF2"/>
          </w:tcPr>
          <w:p>
            <w:pPr>
              <w:jc w:val="right"/>
              <w:spacing w:after="0" w:line="172" w:lineRule="exact"/>
              <w:rPr>
                <w:sz w:val="20"/>
                <w:szCs w:val="20"/>
                <w:color w:val="auto"/>
              </w:rPr>
            </w:pPr>
            <w:r>
              <w:rPr>
                <w:rFonts w:ascii="Times New Roman" w:cs="Times New Roman" w:eastAsia="Times New Roman" w:hAnsi="Times New Roman"/>
                <w:sz w:val="15"/>
                <w:szCs w:val="15"/>
                <w:color w:val="231F20"/>
              </w:rPr>
              <w:t>4.0%</w:t>
            </w:r>
          </w:p>
        </w:tc>
        <w:tc>
          <w:tcPr>
            <w:tcW w:w="0" w:type="dxa"/>
            <w:vAlign w:val="bottom"/>
          </w:tcPr>
          <w:p>
            <w:pPr>
              <w:spacing w:after="0"/>
              <w:rPr>
                <w:sz w:val="1"/>
                <w:szCs w:val="1"/>
                <w:color w:val="auto"/>
              </w:rPr>
            </w:pPr>
          </w:p>
        </w:tc>
      </w:tr>
      <w:tr>
        <w:trPr>
          <w:trHeight w:val="189"/>
        </w:trPr>
        <w:tc>
          <w:tcPr>
            <w:tcW w:w="1540" w:type="dxa"/>
            <w:vAlign w:val="bottom"/>
            <w:shd w:val="clear" w:color="auto" w:fill="D0EBF2"/>
          </w:tcPr>
          <w:p>
            <w:pPr>
              <w:spacing w:after="0"/>
              <w:rPr>
                <w:sz w:val="16"/>
                <w:szCs w:val="16"/>
                <w:color w:val="auto"/>
              </w:rPr>
            </w:pPr>
          </w:p>
        </w:tc>
        <w:tc>
          <w:tcPr>
            <w:tcW w:w="2180" w:type="dxa"/>
            <w:vAlign w:val="bottom"/>
            <w:gridSpan w:val="2"/>
            <w:shd w:val="clear" w:color="auto" w:fill="D0EBF2"/>
          </w:tcPr>
          <w:p>
            <w:pPr>
              <w:ind w:left="100"/>
              <w:spacing w:after="0"/>
              <w:rPr>
                <w:sz w:val="20"/>
                <w:szCs w:val="20"/>
                <w:color w:val="auto"/>
              </w:rPr>
            </w:pPr>
            <w:r>
              <w:rPr>
                <w:rFonts w:ascii="Times New Roman" w:cs="Times New Roman" w:eastAsia="Times New Roman" w:hAnsi="Times New Roman"/>
                <w:sz w:val="15"/>
                <w:szCs w:val="15"/>
                <w:color w:val="231F20"/>
              </w:rPr>
              <w:t>5/2030)</w:t>
            </w:r>
          </w:p>
        </w:tc>
        <w:tc>
          <w:tcPr>
            <w:tcW w:w="100" w:type="dxa"/>
            <w:vAlign w:val="bottom"/>
            <w:shd w:val="clear" w:color="auto" w:fill="D0EBF2"/>
          </w:tcPr>
          <w:p>
            <w:pPr>
              <w:spacing w:after="0"/>
              <w:rPr>
                <w:sz w:val="16"/>
                <w:szCs w:val="16"/>
                <w:color w:val="auto"/>
              </w:rPr>
            </w:pPr>
          </w:p>
        </w:tc>
        <w:tc>
          <w:tcPr>
            <w:tcW w:w="760" w:type="dxa"/>
            <w:vAlign w:val="bottom"/>
            <w:shd w:val="clear" w:color="auto" w:fill="D0EBF2"/>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gridSpan w:val="2"/>
            <w:shd w:val="clear" w:color="auto" w:fill="D0EBF2"/>
          </w:tcPr>
          <w:p>
            <w:pPr>
              <w:jc w:val="right"/>
              <w:spacing w:after="0"/>
              <w:rPr>
                <w:sz w:val="20"/>
                <w:szCs w:val="20"/>
                <w:color w:val="auto"/>
              </w:rPr>
            </w:pPr>
            <w:r>
              <w:rPr>
                <w:rFonts w:ascii="Times New Roman" w:cs="Times New Roman" w:eastAsia="Times New Roman" w:hAnsi="Times New Roman"/>
                <w:sz w:val="15"/>
                <w:szCs w:val="15"/>
                <w:color w:val="231F20"/>
              </w:rPr>
              <w:t>5.75%</w:t>
            </w:r>
          </w:p>
        </w:tc>
        <w:tc>
          <w:tcPr>
            <w:tcW w:w="100" w:type="dxa"/>
            <w:vAlign w:val="bottom"/>
            <w:shd w:val="clear" w:color="auto" w:fill="D0EBF2"/>
          </w:tcPr>
          <w:p>
            <w:pPr>
              <w:spacing w:after="0"/>
              <w:rPr>
                <w:sz w:val="16"/>
                <w:szCs w:val="16"/>
                <w:color w:val="auto"/>
              </w:rPr>
            </w:pPr>
          </w:p>
        </w:tc>
        <w:tc>
          <w:tcPr>
            <w:tcW w:w="920" w:type="dxa"/>
            <w:vAlign w:val="bottom"/>
            <w:shd w:val="clear" w:color="auto" w:fill="D0EBF2"/>
          </w:tcPr>
          <w:p>
            <w:pPr>
              <w:spacing w:after="0"/>
              <w:rPr>
                <w:sz w:val="16"/>
                <w:szCs w:val="16"/>
                <w:color w:val="auto"/>
              </w:rPr>
            </w:pPr>
          </w:p>
        </w:tc>
        <w:tc>
          <w:tcPr>
            <w:tcW w:w="120" w:type="dxa"/>
            <w:vAlign w:val="bottom"/>
            <w:shd w:val="clear" w:color="auto" w:fill="D0EBF2"/>
          </w:tcPr>
          <w:p>
            <w:pPr>
              <w:spacing w:after="0"/>
              <w:rPr>
                <w:sz w:val="16"/>
                <w:szCs w:val="16"/>
                <w:color w:val="auto"/>
              </w:rPr>
            </w:pPr>
          </w:p>
        </w:tc>
        <w:tc>
          <w:tcPr>
            <w:tcW w:w="1000" w:type="dxa"/>
            <w:vAlign w:val="bottom"/>
            <w:shd w:val="clear" w:color="auto" w:fill="D0EBF2"/>
          </w:tcPr>
          <w:p>
            <w:pPr>
              <w:spacing w:after="0"/>
              <w:rPr>
                <w:sz w:val="16"/>
                <w:szCs w:val="16"/>
                <w:color w:val="auto"/>
              </w:rPr>
            </w:pPr>
          </w:p>
        </w:tc>
        <w:tc>
          <w:tcPr>
            <w:tcW w:w="80" w:type="dxa"/>
            <w:vAlign w:val="bottom"/>
            <w:shd w:val="clear" w:color="auto" w:fill="D0EBF2"/>
          </w:tcPr>
          <w:p>
            <w:pPr>
              <w:spacing w:after="0"/>
              <w:rPr>
                <w:sz w:val="16"/>
                <w:szCs w:val="16"/>
                <w:color w:val="auto"/>
              </w:rPr>
            </w:pPr>
          </w:p>
        </w:tc>
        <w:tc>
          <w:tcPr>
            <w:tcW w:w="1600" w:type="dxa"/>
            <w:vAlign w:val="bottom"/>
            <w:shd w:val="clear" w:color="auto" w:fill="D0EBF2"/>
          </w:tcPr>
          <w:p>
            <w:pPr>
              <w:spacing w:after="0"/>
              <w:rPr>
                <w:sz w:val="16"/>
                <w:szCs w:val="16"/>
                <w:color w:val="auto"/>
              </w:rPr>
            </w:pPr>
          </w:p>
        </w:tc>
        <w:tc>
          <w:tcPr>
            <w:tcW w:w="100" w:type="dxa"/>
            <w:vAlign w:val="bottom"/>
            <w:shd w:val="clear" w:color="auto" w:fill="D0EBF2"/>
          </w:tcPr>
          <w:p>
            <w:pPr>
              <w:spacing w:after="0"/>
              <w:rPr>
                <w:sz w:val="16"/>
                <w:szCs w:val="16"/>
                <w:color w:val="auto"/>
              </w:rPr>
            </w:pPr>
          </w:p>
        </w:tc>
        <w:tc>
          <w:tcPr>
            <w:tcW w:w="860" w:type="dxa"/>
            <w:vAlign w:val="bottom"/>
            <w:shd w:val="clear" w:color="auto" w:fill="D0EBF2"/>
          </w:tcPr>
          <w:p>
            <w:pPr>
              <w:spacing w:after="0"/>
              <w:rPr>
                <w:sz w:val="16"/>
                <w:szCs w:val="16"/>
                <w:color w:val="auto"/>
              </w:rPr>
            </w:pPr>
          </w:p>
        </w:tc>
        <w:tc>
          <w:tcPr>
            <w:tcW w:w="0" w:type="dxa"/>
            <w:vAlign w:val="bottom"/>
          </w:tcPr>
          <w:p>
            <w:pPr>
              <w:spacing w:after="0"/>
              <w:rPr>
                <w:sz w:val="1"/>
                <w:szCs w:val="1"/>
                <w:color w:val="auto"/>
              </w:rPr>
            </w:pPr>
          </w:p>
        </w:tc>
      </w:tr>
      <w:tr>
        <w:trPr>
          <w:trHeight w:val="171"/>
        </w:trPr>
        <w:tc>
          <w:tcPr>
            <w:tcW w:w="1540" w:type="dxa"/>
            <w:vAlign w:val="bottom"/>
            <w:shd w:val="clear" w:color="auto" w:fill="FDFDFC"/>
          </w:tcPr>
          <w:p>
            <w:pPr>
              <w:spacing w:after="0"/>
              <w:rPr>
                <w:sz w:val="14"/>
                <w:szCs w:val="14"/>
                <w:color w:val="auto"/>
              </w:rPr>
            </w:pPr>
          </w:p>
        </w:tc>
        <w:tc>
          <w:tcPr>
            <w:tcW w:w="2180" w:type="dxa"/>
            <w:vAlign w:val="bottom"/>
            <w:gridSpan w:val="2"/>
            <w:shd w:val="clear" w:color="auto" w:fill="FDFDFC"/>
          </w:tcPr>
          <w:p>
            <w:pPr>
              <w:ind w:left="100"/>
              <w:spacing w:after="0" w:line="172" w:lineRule="exact"/>
              <w:rPr>
                <w:sz w:val="20"/>
                <w:szCs w:val="20"/>
                <w:color w:val="auto"/>
              </w:rPr>
            </w:pPr>
            <w:r>
              <w:rPr>
                <w:rFonts w:ascii="Times New Roman" w:cs="Times New Roman" w:eastAsia="Times New Roman" w:hAnsi="Times New Roman"/>
                <w:sz w:val="15"/>
                <w:szCs w:val="15"/>
                <w:color w:val="231F20"/>
              </w:rPr>
              <w:t>First-lien revolving loan ($4,615</w:t>
            </w:r>
          </w:p>
        </w:tc>
        <w:tc>
          <w:tcPr>
            <w:tcW w:w="860" w:type="dxa"/>
            <w:vAlign w:val="bottom"/>
            <w:gridSpan w:val="2"/>
            <w:shd w:val="clear" w:color="auto" w:fill="FDFDFC"/>
          </w:tcPr>
          <w:p>
            <w:pPr>
              <w:jc w:val="right"/>
              <w:spacing w:after="0" w:line="172" w:lineRule="exact"/>
              <w:rPr>
                <w:sz w:val="20"/>
                <w:szCs w:val="20"/>
                <w:color w:val="auto"/>
              </w:rPr>
            </w:pPr>
            <w:r>
              <w:rPr>
                <w:rFonts w:ascii="Times New Roman" w:cs="Times New Roman" w:eastAsia="Times New Roman" w:hAnsi="Times New Roman"/>
                <w:sz w:val="15"/>
                <w:szCs w:val="15"/>
                <w:color w:val="231F20"/>
              </w:rPr>
              <w:t>5/3/2023</w:t>
            </w:r>
          </w:p>
        </w:tc>
        <w:tc>
          <w:tcPr>
            <w:tcW w:w="20" w:type="dxa"/>
            <w:vAlign w:val="bottom"/>
          </w:tcPr>
          <w:p>
            <w:pPr>
              <w:spacing w:after="0"/>
              <w:rPr>
                <w:sz w:val="14"/>
                <w:szCs w:val="14"/>
                <w:color w:val="auto"/>
              </w:rPr>
            </w:pPr>
          </w:p>
        </w:tc>
        <w:tc>
          <w:tcPr>
            <w:tcW w:w="80" w:type="dxa"/>
            <w:vAlign w:val="bottom"/>
            <w:shd w:val="clear" w:color="auto" w:fill="FDFDFC"/>
          </w:tcPr>
          <w:p>
            <w:pPr>
              <w:spacing w:after="0"/>
              <w:rPr>
                <w:sz w:val="14"/>
                <w:szCs w:val="14"/>
                <w:color w:val="auto"/>
              </w:rPr>
            </w:pPr>
          </w:p>
        </w:tc>
        <w:tc>
          <w:tcPr>
            <w:tcW w:w="820" w:type="dxa"/>
            <w:vAlign w:val="bottom"/>
            <w:shd w:val="clear" w:color="auto" w:fill="FDFDFC"/>
          </w:tcPr>
          <w:p>
            <w:pPr>
              <w:jc w:val="right"/>
              <w:spacing w:after="0" w:line="172" w:lineRule="exact"/>
              <w:rPr>
                <w:sz w:val="20"/>
                <w:szCs w:val="20"/>
                <w:color w:val="auto"/>
              </w:rPr>
            </w:pPr>
            <w:r>
              <w:rPr>
                <w:rFonts w:ascii="Times New Roman" w:cs="Times New Roman" w:eastAsia="Times New Roman" w:hAnsi="Times New Roman"/>
                <w:sz w:val="15"/>
                <w:szCs w:val="15"/>
                <w:color w:val="231F20"/>
              </w:rPr>
              <w:t>SOFR +</w:t>
            </w:r>
          </w:p>
        </w:tc>
        <w:tc>
          <w:tcPr>
            <w:tcW w:w="1020" w:type="dxa"/>
            <w:vAlign w:val="bottom"/>
            <w:gridSpan w:val="2"/>
            <w:shd w:val="clear" w:color="auto" w:fill="FDFDFC"/>
          </w:tcPr>
          <w:p>
            <w:pPr>
              <w:jc w:val="right"/>
              <w:spacing w:after="0" w:line="172" w:lineRule="exact"/>
              <w:rPr>
                <w:sz w:val="20"/>
                <w:szCs w:val="20"/>
                <w:color w:val="auto"/>
              </w:rPr>
            </w:pPr>
            <w:r>
              <w:rPr>
                <w:rFonts w:ascii="Times New Roman" w:cs="Times New Roman" w:eastAsia="Times New Roman" w:hAnsi="Times New Roman"/>
                <w:sz w:val="15"/>
                <w:szCs w:val="15"/>
                <w:color w:val="231F20"/>
              </w:rPr>
              <w:t>10.08%</w:t>
            </w:r>
          </w:p>
        </w:tc>
        <w:tc>
          <w:tcPr>
            <w:tcW w:w="1120" w:type="dxa"/>
            <w:vAlign w:val="bottom"/>
            <w:gridSpan w:val="2"/>
            <w:shd w:val="clear" w:color="auto" w:fill="FDFDFC"/>
          </w:tcPr>
          <w:p>
            <w:pPr>
              <w:jc w:val="right"/>
              <w:spacing w:after="0" w:line="172" w:lineRule="exact"/>
              <w:rPr>
                <w:sz w:val="20"/>
                <w:szCs w:val="20"/>
                <w:color w:val="auto"/>
              </w:rPr>
            </w:pPr>
            <w:r>
              <w:rPr>
                <w:rFonts w:ascii="Times New Roman" w:cs="Times New Roman" w:eastAsia="Times New Roman" w:hAnsi="Times New Roman"/>
                <w:sz w:val="15"/>
                <w:szCs w:val="15"/>
                <w:color w:val="231F20"/>
              </w:rPr>
              <w:t>4,397</w:t>
            </w:r>
          </w:p>
        </w:tc>
        <w:tc>
          <w:tcPr>
            <w:tcW w:w="1680" w:type="dxa"/>
            <w:vAlign w:val="bottom"/>
            <w:gridSpan w:val="2"/>
            <w:shd w:val="clear" w:color="auto" w:fill="FDFDFC"/>
          </w:tcPr>
          <w:p>
            <w:pPr>
              <w:jc w:val="right"/>
              <w:spacing w:after="0" w:line="172" w:lineRule="exact"/>
              <w:rPr>
                <w:sz w:val="20"/>
                <w:szCs w:val="20"/>
                <w:color w:val="auto"/>
              </w:rPr>
            </w:pPr>
            <w:r>
              <w:rPr>
                <w:rFonts w:ascii="Times New Roman" w:cs="Times New Roman" w:eastAsia="Times New Roman" w:hAnsi="Times New Roman"/>
                <w:sz w:val="15"/>
                <w:szCs w:val="15"/>
                <w:color w:val="231F20"/>
              </w:rPr>
              <w:t>4,615</w:t>
            </w:r>
          </w:p>
        </w:tc>
        <w:tc>
          <w:tcPr>
            <w:tcW w:w="960" w:type="dxa"/>
            <w:vAlign w:val="bottom"/>
            <w:gridSpan w:val="2"/>
            <w:shd w:val="clear" w:color="auto" w:fill="FDFDFC"/>
          </w:tcPr>
          <w:p>
            <w:pPr>
              <w:jc w:val="right"/>
              <w:spacing w:after="0" w:line="172" w:lineRule="exact"/>
              <w:rPr>
                <w:sz w:val="20"/>
                <w:szCs w:val="20"/>
                <w:color w:val="auto"/>
              </w:rPr>
            </w:pPr>
            <w:r>
              <w:rPr>
                <w:rFonts w:ascii="Times New Roman" w:cs="Times New Roman" w:eastAsia="Times New Roman" w:hAnsi="Times New Roman"/>
                <w:sz w:val="15"/>
                <w:szCs w:val="15"/>
                <w:color w:val="231F20"/>
              </w:rPr>
              <w:t>0.3%</w:t>
            </w:r>
          </w:p>
        </w:tc>
        <w:tc>
          <w:tcPr>
            <w:tcW w:w="0" w:type="dxa"/>
            <w:vAlign w:val="bottom"/>
          </w:tcPr>
          <w:p>
            <w:pPr>
              <w:spacing w:after="0"/>
              <w:rPr>
                <w:sz w:val="1"/>
                <w:szCs w:val="1"/>
                <w:color w:val="auto"/>
              </w:rPr>
            </w:pPr>
          </w:p>
        </w:tc>
      </w:tr>
      <w:tr>
        <w:trPr>
          <w:trHeight w:val="189"/>
        </w:trPr>
        <w:tc>
          <w:tcPr>
            <w:tcW w:w="1540" w:type="dxa"/>
            <w:vAlign w:val="bottom"/>
            <w:shd w:val="clear" w:color="auto" w:fill="FDFDFC"/>
          </w:tcPr>
          <w:p>
            <w:pPr>
              <w:spacing w:after="0"/>
              <w:rPr>
                <w:sz w:val="16"/>
                <w:szCs w:val="16"/>
                <w:color w:val="auto"/>
              </w:rPr>
            </w:pPr>
          </w:p>
        </w:tc>
        <w:tc>
          <w:tcPr>
            <w:tcW w:w="2180" w:type="dxa"/>
            <w:vAlign w:val="bottom"/>
            <w:gridSpan w:val="2"/>
            <w:shd w:val="clear" w:color="auto" w:fill="FDFDFC"/>
          </w:tcPr>
          <w:p>
            <w:pPr>
              <w:ind w:left="100"/>
              <w:spacing w:after="0"/>
              <w:rPr>
                <w:sz w:val="20"/>
                <w:szCs w:val="20"/>
                <w:color w:val="auto"/>
              </w:rPr>
            </w:pPr>
            <w:r>
              <w:rPr>
                <w:rFonts w:ascii="Times New Roman" w:cs="Times New Roman" w:eastAsia="Times New Roman" w:hAnsi="Times New Roman"/>
                <w:sz w:val="15"/>
                <w:szCs w:val="15"/>
                <w:color w:val="231F20"/>
              </w:rPr>
              <w:t>par, due 5/2030)</w:t>
            </w:r>
          </w:p>
        </w:tc>
        <w:tc>
          <w:tcPr>
            <w:tcW w:w="100" w:type="dxa"/>
            <w:vAlign w:val="bottom"/>
            <w:shd w:val="clear" w:color="auto" w:fill="FDFDFC"/>
          </w:tcPr>
          <w:p>
            <w:pPr>
              <w:spacing w:after="0"/>
              <w:rPr>
                <w:sz w:val="16"/>
                <w:szCs w:val="16"/>
                <w:color w:val="auto"/>
              </w:rPr>
            </w:pPr>
          </w:p>
        </w:tc>
        <w:tc>
          <w:tcPr>
            <w:tcW w:w="760" w:type="dxa"/>
            <w:vAlign w:val="bottom"/>
            <w:shd w:val="clear" w:color="auto" w:fill="FDFDFC"/>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gridSpan w:val="2"/>
            <w:shd w:val="clear" w:color="auto" w:fill="FDFDFC"/>
          </w:tcPr>
          <w:p>
            <w:pPr>
              <w:jc w:val="right"/>
              <w:spacing w:after="0"/>
              <w:rPr>
                <w:sz w:val="20"/>
                <w:szCs w:val="20"/>
                <w:color w:val="auto"/>
              </w:rPr>
            </w:pPr>
            <w:r>
              <w:rPr>
                <w:rFonts w:ascii="Times New Roman" w:cs="Times New Roman" w:eastAsia="Times New Roman" w:hAnsi="Times New Roman"/>
                <w:sz w:val="15"/>
                <w:szCs w:val="15"/>
                <w:color w:val="231F20"/>
              </w:rPr>
              <w:t>5.75%</w:t>
            </w:r>
          </w:p>
        </w:tc>
        <w:tc>
          <w:tcPr>
            <w:tcW w:w="100" w:type="dxa"/>
            <w:vAlign w:val="bottom"/>
            <w:shd w:val="clear" w:color="auto" w:fill="FDFDFC"/>
          </w:tcPr>
          <w:p>
            <w:pPr>
              <w:spacing w:after="0"/>
              <w:rPr>
                <w:sz w:val="16"/>
                <w:szCs w:val="16"/>
                <w:color w:val="auto"/>
              </w:rPr>
            </w:pPr>
          </w:p>
        </w:tc>
        <w:tc>
          <w:tcPr>
            <w:tcW w:w="920" w:type="dxa"/>
            <w:vAlign w:val="bottom"/>
            <w:shd w:val="clear" w:color="auto" w:fill="FDFDFC"/>
          </w:tcPr>
          <w:p>
            <w:pPr>
              <w:spacing w:after="0"/>
              <w:rPr>
                <w:sz w:val="16"/>
                <w:szCs w:val="16"/>
                <w:color w:val="auto"/>
              </w:rPr>
            </w:pPr>
          </w:p>
        </w:tc>
        <w:tc>
          <w:tcPr>
            <w:tcW w:w="120" w:type="dxa"/>
            <w:vAlign w:val="bottom"/>
            <w:shd w:val="clear" w:color="auto" w:fill="FDFDFC"/>
          </w:tcPr>
          <w:p>
            <w:pPr>
              <w:spacing w:after="0"/>
              <w:rPr>
                <w:sz w:val="16"/>
                <w:szCs w:val="16"/>
                <w:color w:val="auto"/>
              </w:rPr>
            </w:pPr>
          </w:p>
        </w:tc>
        <w:tc>
          <w:tcPr>
            <w:tcW w:w="1000" w:type="dxa"/>
            <w:vAlign w:val="bottom"/>
            <w:shd w:val="clear" w:color="auto" w:fill="FDFDFC"/>
          </w:tcPr>
          <w:p>
            <w:pPr>
              <w:spacing w:after="0"/>
              <w:rPr>
                <w:sz w:val="16"/>
                <w:szCs w:val="16"/>
                <w:color w:val="auto"/>
              </w:rPr>
            </w:pPr>
          </w:p>
        </w:tc>
        <w:tc>
          <w:tcPr>
            <w:tcW w:w="80" w:type="dxa"/>
            <w:vAlign w:val="bottom"/>
            <w:shd w:val="clear" w:color="auto" w:fill="FDFDFC"/>
          </w:tcPr>
          <w:p>
            <w:pPr>
              <w:spacing w:after="0"/>
              <w:rPr>
                <w:sz w:val="16"/>
                <w:szCs w:val="16"/>
                <w:color w:val="auto"/>
              </w:rPr>
            </w:pPr>
          </w:p>
        </w:tc>
        <w:tc>
          <w:tcPr>
            <w:tcW w:w="1600" w:type="dxa"/>
            <w:vAlign w:val="bottom"/>
            <w:shd w:val="clear" w:color="auto" w:fill="FDFDFC"/>
          </w:tcPr>
          <w:p>
            <w:pPr>
              <w:spacing w:after="0"/>
              <w:rPr>
                <w:sz w:val="16"/>
                <w:szCs w:val="16"/>
                <w:color w:val="auto"/>
              </w:rPr>
            </w:pPr>
          </w:p>
        </w:tc>
        <w:tc>
          <w:tcPr>
            <w:tcW w:w="100" w:type="dxa"/>
            <w:vAlign w:val="bottom"/>
            <w:shd w:val="clear" w:color="auto" w:fill="FDFDFC"/>
          </w:tcPr>
          <w:p>
            <w:pPr>
              <w:spacing w:after="0"/>
              <w:rPr>
                <w:sz w:val="16"/>
                <w:szCs w:val="16"/>
                <w:color w:val="auto"/>
              </w:rPr>
            </w:pPr>
          </w:p>
        </w:tc>
        <w:tc>
          <w:tcPr>
            <w:tcW w:w="860" w:type="dxa"/>
            <w:vAlign w:val="bottom"/>
            <w:shd w:val="clear" w:color="auto" w:fill="FDFDFC"/>
          </w:tcPr>
          <w:p>
            <w:pPr>
              <w:spacing w:after="0"/>
              <w:rPr>
                <w:sz w:val="16"/>
                <w:szCs w:val="16"/>
                <w:color w:val="auto"/>
              </w:rPr>
            </w:pPr>
          </w:p>
        </w:tc>
        <w:tc>
          <w:tcPr>
            <w:tcW w:w="0" w:type="dxa"/>
            <w:vAlign w:val="bottom"/>
          </w:tcPr>
          <w:p>
            <w:pPr>
              <w:spacing w:after="0"/>
              <w:rPr>
                <w:sz w:val="1"/>
                <w:szCs w:val="1"/>
                <w:color w:val="auto"/>
              </w:rPr>
            </w:pPr>
          </w:p>
        </w:tc>
      </w:tr>
      <w:tr>
        <w:trPr>
          <w:trHeight w:val="171"/>
        </w:trPr>
        <w:tc>
          <w:tcPr>
            <w:tcW w:w="1540" w:type="dxa"/>
            <w:vAlign w:val="bottom"/>
            <w:shd w:val="clear" w:color="auto" w:fill="D0EBF2"/>
          </w:tcPr>
          <w:p>
            <w:pPr>
              <w:spacing w:after="0" w:line="172" w:lineRule="exact"/>
              <w:rPr>
                <w:sz w:val="20"/>
                <w:szCs w:val="20"/>
                <w:color w:val="auto"/>
              </w:rPr>
            </w:pPr>
            <w:r>
              <w:rPr>
                <w:rFonts w:ascii="Times New Roman" w:cs="Times New Roman" w:eastAsia="Times New Roman" w:hAnsi="Times New Roman"/>
                <w:sz w:val="15"/>
                <w:szCs w:val="15"/>
                <w:color w:val="231F20"/>
              </w:rPr>
              <w:t xml:space="preserve">Lynx BidCo </w:t>
            </w:r>
            <w:r>
              <w:rPr>
                <w:rFonts w:ascii="Times New Roman" w:cs="Times New Roman" w:eastAsia="Times New Roman" w:hAnsi="Times New Roman"/>
                <w:sz w:val="9"/>
                <w:szCs w:val="9"/>
                <w:color w:val="231F20"/>
              </w:rPr>
              <w:t>(3)(4)</w:t>
            </w:r>
          </w:p>
        </w:tc>
        <w:tc>
          <w:tcPr>
            <w:tcW w:w="2180" w:type="dxa"/>
            <w:vAlign w:val="bottom"/>
            <w:gridSpan w:val="2"/>
            <w:shd w:val="clear" w:color="auto" w:fill="D0EBF2"/>
          </w:tcPr>
          <w:p>
            <w:pPr>
              <w:ind w:left="100"/>
              <w:spacing w:after="0" w:line="172" w:lineRule="exact"/>
              <w:rPr>
                <w:sz w:val="20"/>
                <w:szCs w:val="20"/>
                <w:color w:val="auto"/>
              </w:rPr>
            </w:pPr>
            <w:r>
              <w:rPr>
                <w:rFonts w:ascii="Times New Roman" w:cs="Times New Roman" w:eastAsia="Times New Roman" w:hAnsi="Times New Roman"/>
                <w:sz w:val="15"/>
                <w:szCs w:val="15"/>
                <w:color w:val="231F20"/>
              </w:rPr>
              <w:t>First-lien loan ($1,421 par, due</w:t>
            </w:r>
          </w:p>
        </w:tc>
        <w:tc>
          <w:tcPr>
            <w:tcW w:w="860" w:type="dxa"/>
            <w:vAlign w:val="bottom"/>
            <w:gridSpan w:val="2"/>
            <w:shd w:val="clear" w:color="auto" w:fill="D0EBF2"/>
          </w:tcPr>
          <w:p>
            <w:pPr>
              <w:jc w:val="right"/>
              <w:spacing w:after="0" w:line="172" w:lineRule="exact"/>
              <w:rPr>
                <w:sz w:val="20"/>
                <w:szCs w:val="20"/>
                <w:color w:val="auto"/>
              </w:rPr>
            </w:pPr>
            <w:r>
              <w:rPr>
                <w:rFonts w:ascii="Times New Roman" w:cs="Times New Roman" w:eastAsia="Times New Roman" w:hAnsi="Times New Roman"/>
                <w:sz w:val="15"/>
                <w:szCs w:val="15"/>
                <w:color w:val="231F20"/>
              </w:rPr>
              <w:t>7/5/2024</w:t>
            </w:r>
          </w:p>
        </w:tc>
        <w:tc>
          <w:tcPr>
            <w:tcW w:w="20" w:type="dxa"/>
            <w:vAlign w:val="bottom"/>
          </w:tcPr>
          <w:p>
            <w:pPr>
              <w:spacing w:after="0"/>
              <w:rPr>
                <w:sz w:val="14"/>
                <w:szCs w:val="14"/>
                <w:color w:val="auto"/>
              </w:rPr>
            </w:pPr>
          </w:p>
        </w:tc>
        <w:tc>
          <w:tcPr>
            <w:tcW w:w="80" w:type="dxa"/>
            <w:vAlign w:val="bottom"/>
            <w:shd w:val="clear" w:color="auto" w:fill="D0EBF2"/>
          </w:tcPr>
          <w:p>
            <w:pPr>
              <w:spacing w:after="0"/>
              <w:rPr>
                <w:sz w:val="14"/>
                <w:szCs w:val="14"/>
                <w:color w:val="auto"/>
              </w:rPr>
            </w:pPr>
          </w:p>
        </w:tc>
        <w:tc>
          <w:tcPr>
            <w:tcW w:w="820" w:type="dxa"/>
            <w:vAlign w:val="bottom"/>
            <w:shd w:val="clear" w:color="auto" w:fill="D0EBF2"/>
          </w:tcPr>
          <w:p>
            <w:pPr>
              <w:jc w:val="right"/>
              <w:spacing w:after="0" w:line="172" w:lineRule="exact"/>
              <w:rPr>
                <w:sz w:val="20"/>
                <w:szCs w:val="20"/>
                <w:color w:val="auto"/>
              </w:rPr>
            </w:pPr>
            <w:r>
              <w:rPr>
                <w:rFonts w:ascii="Times New Roman" w:cs="Times New Roman" w:eastAsia="Times New Roman" w:hAnsi="Times New Roman"/>
                <w:sz w:val="15"/>
                <w:szCs w:val="15"/>
                <w:color w:val="231F20"/>
              </w:rPr>
              <w:t>SOFR +</w:t>
            </w:r>
          </w:p>
        </w:tc>
        <w:tc>
          <w:tcPr>
            <w:tcW w:w="100" w:type="dxa"/>
            <w:vAlign w:val="bottom"/>
            <w:shd w:val="clear" w:color="auto" w:fill="D0EBF2"/>
          </w:tcPr>
          <w:p>
            <w:pPr>
              <w:spacing w:after="0"/>
              <w:rPr>
                <w:sz w:val="14"/>
                <w:szCs w:val="14"/>
                <w:color w:val="auto"/>
              </w:rPr>
            </w:pPr>
          </w:p>
        </w:tc>
        <w:tc>
          <w:tcPr>
            <w:tcW w:w="920" w:type="dxa"/>
            <w:vAlign w:val="bottom"/>
            <w:shd w:val="clear" w:color="auto" w:fill="D0EBF2"/>
          </w:tcPr>
          <w:p>
            <w:pPr>
              <w:jc w:val="right"/>
              <w:spacing w:after="0" w:line="172" w:lineRule="exact"/>
              <w:rPr>
                <w:sz w:val="20"/>
                <w:szCs w:val="20"/>
                <w:color w:val="auto"/>
              </w:rPr>
            </w:pPr>
            <w:r>
              <w:rPr>
                <w:rFonts w:ascii="Times New Roman" w:cs="Times New Roman" w:eastAsia="Times New Roman" w:hAnsi="Times New Roman"/>
                <w:sz w:val="15"/>
                <w:szCs w:val="15"/>
                <w:color w:val="231F20"/>
              </w:rPr>
              <w:t>11.75% (incl.</w:t>
            </w:r>
          </w:p>
        </w:tc>
        <w:tc>
          <w:tcPr>
            <w:tcW w:w="1120" w:type="dxa"/>
            <w:vAlign w:val="bottom"/>
            <w:gridSpan w:val="2"/>
            <w:shd w:val="clear" w:color="auto" w:fill="D0EBF2"/>
          </w:tcPr>
          <w:p>
            <w:pPr>
              <w:jc w:val="right"/>
              <w:spacing w:after="0" w:line="172" w:lineRule="exact"/>
              <w:rPr>
                <w:sz w:val="20"/>
                <w:szCs w:val="20"/>
                <w:color w:val="auto"/>
              </w:rPr>
            </w:pPr>
            <w:r>
              <w:rPr>
                <w:rFonts w:ascii="Times New Roman" w:cs="Times New Roman" w:eastAsia="Times New Roman" w:hAnsi="Times New Roman"/>
                <w:sz w:val="15"/>
                <w:szCs w:val="15"/>
                <w:color w:val="231F20"/>
              </w:rPr>
              <w:t>1,385</w:t>
            </w:r>
          </w:p>
        </w:tc>
        <w:tc>
          <w:tcPr>
            <w:tcW w:w="1680" w:type="dxa"/>
            <w:vAlign w:val="bottom"/>
            <w:gridSpan w:val="2"/>
            <w:shd w:val="clear" w:color="auto" w:fill="D0EBF2"/>
          </w:tcPr>
          <w:p>
            <w:pPr>
              <w:jc w:val="right"/>
              <w:spacing w:after="0" w:line="172" w:lineRule="exact"/>
              <w:rPr>
                <w:sz w:val="20"/>
                <w:szCs w:val="20"/>
                <w:color w:val="auto"/>
              </w:rPr>
            </w:pPr>
            <w:r>
              <w:rPr>
                <w:rFonts w:ascii="Times New Roman" w:cs="Times New Roman" w:eastAsia="Times New Roman" w:hAnsi="Times New Roman"/>
                <w:sz w:val="15"/>
                <w:szCs w:val="15"/>
                <w:color w:val="231F20"/>
              </w:rPr>
              <w:t>1,392</w:t>
            </w:r>
          </w:p>
        </w:tc>
        <w:tc>
          <w:tcPr>
            <w:tcW w:w="960" w:type="dxa"/>
            <w:vAlign w:val="bottom"/>
            <w:gridSpan w:val="2"/>
            <w:shd w:val="clear" w:color="auto" w:fill="D0EBF2"/>
          </w:tcPr>
          <w:p>
            <w:pPr>
              <w:jc w:val="right"/>
              <w:spacing w:after="0" w:line="172" w:lineRule="exact"/>
              <w:rPr>
                <w:sz w:val="20"/>
                <w:szCs w:val="20"/>
                <w:color w:val="auto"/>
              </w:rPr>
            </w:pPr>
            <w:r>
              <w:rPr>
                <w:rFonts w:ascii="Times New Roman" w:cs="Times New Roman" w:eastAsia="Times New Roman" w:hAnsi="Times New Roman"/>
                <w:sz w:val="15"/>
                <w:szCs w:val="15"/>
                <w:color w:val="231F20"/>
              </w:rPr>
              <w:t>0.1%</w:t>
            </w:r>
          </w:p>
        </w:tc>
        <w:tc>
          <w:tcPr>
            <w:tcW w:w="0" w:type="dxa"/>
            <w:vAlign w:val="bottom"/>
          </w:tcPr>
          <w:p>
            <w:pPr>
              <w:spacing w:after="0"/>
              <w:rPr>
                <w:sz w:val="1"/>
                <w:szCs w:val="1"/>
                <w:color w:val="auto"/>
              </w:rPr>
            </w:pPr>
          </w:p>
        </w:tc>
      </w:tr>
      <w:tr>
        <w:trPr>
          <w:trHeight w:val="189"/>
        </w:trPr>
        <w:tc>
          <w:tcPr>
            <w:tcW w:w="1540" w:type="dxa"/>
            <w:vAlign w:val="bottom"/>
            <w:shd w:val="clear" w:color="auto" w:fill="D0EBF2"/>
          </w:tcPr>
          <w:p>
            <w:pPr>
              <w:spacing w:after="0"/>
              <w:rPr>
                <w:sz w:val="16"/>
                <w:szCs w:val="16"/>
                <w:color w:val="auto"/>
              </w:rPr>
            </w:pPr>
          </w:p>
        </w:tc>
        <w:tc>
          <w:tcPr>
            <w:tcW w:w="2180" w:type="dxa"/>
            <w:vAlign w:val="bottom"/>
            <w:gridSpan w:val="2"/>
            <w:shd w:val="clear" w:color="auto" w:fill="D0EBF2"/>
          </w:tcPr>
          <w:p>
            <w:pPr>
              <w:ind w:left="100"/>
              <w:spacing w:after="0"/>
              <w:rPr>
                <w:sz w:val="20"/>
                <w:szCs w:val="20"/>
                <w:color w:val="auto"/>
              </w:rPr>
            </w:pPr>
            <w:r>
              <w:rPr>
                <w:rFonts w:ascii="Times New Roman" w:cs="Times New Roman" w:eastAsia="Times New Roman" w:hAnsi="Times New Roman"/>
                <w:sz w:val="15"/>
                <w:szCs w:val="15"/>
                <w:color w:val="231F20"/>
              </w:rPr>
              <w:t>7/2031)</w:t>
            </w:r>
          </w:p>
        </w:tc>
        <w:tc>
          <w:tcPr>
            <w:tcW w:w="100" w:type="dxa"/>
            <w:vAlign w:val="bottom"/>
            <w:shd w:val="clear" w:color="auto" w:fill="D0EBF2"/>
          </w:tcPr>
          <w:p>
            <w:pPr>
              <w:spacing w:after="0"/>
              <w:rPr>
                <w:sz w:val="16"/>
                <w:szCs w:val="16"/>
                <w:color w:val="auto"/>
              </w:rPr>
            </w:pPr>
          </w:p>
        </w:tc>
        <w:tc>
          <w:tcPr>
            <w:tcW w:w="760" w:type="dxa"/>
            <w:vAlign w:val="bottom"/>
            <w:shd w:val="clear" w:color="auto" w:fill="D0EBF2"/>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gridSpan w:val="2"/>
            <w:shd w:val="clear" w:color="auto" w:fill="D0EBF2"/>
          </w:tcPr>
          <w:p>
            <w:pPr>
              <w:jc w:val="right"/>
              <w:spacing w:after="0"/>
              <w:rPr>
                <w:sz w:val="20"/>
                <w:szCs w:val="20"/>
                <w:color w:val="auto"/>
              </w:rPr>
            </w:pPr>
            <w:r>
              <w:rPr>
                <w:rFonts w:ascii="Times New Roman" w:cs="Times New Roman" w:eastAsia="Times New Roman" w:hAnsi="Times New Roman"/>
                <w:sz w:val="15"/>
                <w:szCs w:val="15"/>
                <w:color w:val="231F20"/>
              </w:rPr>
              <w:t>7.11%</w:t>
            </w:r>
          </w:p>
        </w:tc>
        <w:tc>
          <w:tcPr>
            <w:tcW w:w="100" w:type="dxa"/>
            <w:vAlign w:val="bottom"/>
            <w:shd w:val="clear" w:color="auto" w:fill="D0EBF2"/>
          </w:tcPr>
          <w:p>
            <w:pPr>
              <w:spacing w:after="0"/>
              <w:rPr>
                <w:sz w:val="16"/>
                <w:szCs w:val="16"/>
                <w:color w:val="auto"/>
              </w:rPr>
            </w:pPr>
          </w:p>
        </w:tc>
        <w:tc>
          <w:tcPr>
            <w:tcW w:w="920" w:type="dxa"/>
            <w:vAlign w:val="bottom"/>
            <w:shd w:val="clear" w:color="auto" w:fill="D0EBF2"/>
          </w:tcPr>
          <w:p>
            <w:pPr>
              <w:jc w:val="right"/>
              <w:spacing w:after="0"/>
              <w:rPr>
                <w:sz w:val="20"/>
                <w:szCs w:val="20"/>
                <w:color w:val="auto"/>
              </w:rPr>
            </w:pPr>
            <w:r>
              <w:rPr>
                <w:rFonts w:ascii="Times New Roman" w:cs="Times New Roman" w:eastAsia="Times New Roman" w:hAnsi="Times New Roman"/>
                <w:sz w:val="15"/>
                <w:szCs w:val="15"/>
                <w:color w:val="231F20"/>
              </w:rPr>
              <w:t>5.61% PIK)</w:t>
            </w:r>
          </w:p>
        </w:tc>
        <w:tc>
          <w:tcPr>
            <w:tcW w:w="120" w:type="dxa"/>
            <w:vAlign w:val="bottom"/>
            <w:shd w:val="clear" w:color="auto" w:fill="D0EBF2"/>
          </w:tcPr>
          <w:p>
            <w:pPr>
              <w:spacing w:after="0"/>
              <w:rPr>
                <w:sz w:val="16"/>
                <w:szCs w:val="16"/>
                <w:color w:val="auto"/>
              </w:rPr>
            </w:pPr>
          </w:p>
        </w:tc>
        <w:tc>
          <w:tcPr>
            <w:tcW w:w="1000" w:type="dxa"/>
            <w:vAlign w:val="bottom"/>
            <w:shd w:val="clear" w:color="auto" w:fill="D0EBF2"/>
          </w:tcPr>
          <w:p>
            <w:pPr>
              <w:spacing w:after="0"/>
              <w:rPr>
                <w:sz w:val="16"/>
                <w:szCs w:val="16"/>
                <w:color w:val="auto"/>
              </w:rPr>
            </w:pPr>
          </w:p>
        </w:tc>
        <w:tc>
          <w:tcPr>
            <w:tcW w:w="80" w:type="dxa"/>
            <w:vAlign w:val="bottom"/>
            <w:shd w:val="clear" w:color="auto" w:fill="D0EBF2"/>
          </w:tcPr>
          <w:p>
            <w:pPr>
              <w:spacing w:after="0"/>
              <w:rPr>
                <w:sz w:val="16"/>
                <w:szCs w:val="16"/>
                <w:color w:val="auto"/>
              </w:rPr>
            </w:pPr>
          </w:p>
        </w:tc>
        <w:tc>
          <w:tcPr>
            <w:tcW w:w="1600" w:type="dxa"/>
            <w:vAlign w:val="bottom"/>
            <w:shd w:val="clear" w:color="auto" w:fill="D0EBF2"/>
          </w:tcPr>
          <w:p>
            <w:pPr>
              <w:spacing w:after="0"/>
              <w:rPr>
                <w:sz w:val="16"/>
                <w:szCs w:val="16"/>
                <w:color w:val="auto"/>
              </w:rPr>
            </w:pPr>
          </w:p>
        </w:tc>
        <w:tc>
          <w:tcPr>
            <w:tcW w:w="100" w:type="dxa"/>
            <w:vAlign w:val="bottom"/>
            <w:shd w:val="clear" w:color="auto" w:fill="D0EBF2"/>
          </w:tcPr>
          <w:p>
            <w:pPr>
              <w:spacing w:after="0"/>
              <w:rPr>
                <w:sz w:val="16"/>
                <w:szCs w:val="16"/>
                <w:color w:val="auto"/>
              </w:rPr>
            </w:pPr>
          </w:p>
        </w:tc>
        <w:tc>
          <w:tcPr>
            <w:tcW w:w="860" w:type="dxa"/>
            <w:vAlign w:val="bottom"/>
            <w:shd w:val="clear" w:color="auto" w:fill="D0EBF2"/>
          </w:tcPr>
          <w:p>
            <w:pPr>
              <w:spacing w:after="0"/>
              <w:rPr>
                <w:sz w:val="16"/>
                <w:szCs w:val="16"/>
                <w:color w:val="auto"/>
              </w:rPr>
            </w:pPr>
          </w:p>
        </w:tc>
        <w:tc>
          <w:tcPr>
            <w:tcW w:w="0" w:type="dxa"/>
            <w:vAlign w:val="bottom"/>
          </w:tcPr>
          <w:p>
            <w:pPr>
              <w:spacing w:after="0"/>
              <w:rPr>
                <w:sz w:val="1"/>
                <w:szCs w:val="1"/>
                <w:color w:val="auto"/>
              </w:rPr>
            </w:pPr>
          </w:p>
        </w:tc>
      </w:tr>
      <w:tr>
        <w:trPr>
          <w:trHeight w:val="171"/>
        </w:trPr>
        <w:tc>
          <w:tcPr>
            <w:tcW w:w="1540" w:type="dxa"/>
            <w:vAlign w:val="bottom"/>
            <w:shd w:val="clear" w:color="auto" w:fill="FDFDFC"/>
          </w:tcPr>
          <w:p>
            <w:pPr>
              <w:spacing w:after="0"/>
              <w:rPr>
                <w:sz w:val="14"/>
                <w:szCs w:val="14"/>
                <w:color w:val="auto"/>
              </w:rPr>
            </w:pPr>
          </w:p>
        </w:tc>
        <w:tc>
          <w:tcPr>
            <w:tcW w:w="2180" w:type="dxa"/>
            <w:vAlign w:val="bottom"/>
            <w:gridSpan w:val="2"/>
            <w:shd w:val="clear" w:color="auto" w:fill="FDFDFC"/>
          </w:tcPr>
          <w:p>
            <w:pPr>
              <w:ind w:left="100"/>
              <w:spacing w:after="0" w:line="172" w:lineRule="exact"/>
              <w:rPr>
                <w:sz w:val="20"/>
                <w:szCs w:val="20"/>
                <w:color w:val="auto"/>
              </w:rPr>
            </w:pPr>
            <w:r>
              <w:rPr>
                <w:rFonts w:ascii="Times New Roman" w:cs="Times New Roman" w:eastAsia="Times New Roman" w:hAnsi="Times New Roman"/>
                <w:sz w:val="15"/>
                <w:szCs w:val="15"/>
                <w:color w:val="231F20"/>
              </w:rPr>
              <w:t>First-lien loan (EUR 597 par, due</w:t>
            </w:r>
          </w:p>
        </w:tc>
        <w:tc>
          <w:tcPr>
            <w:tcW w:w="860" w:type="dxa"/>
            <w:vAlign w:val="bottom"/>
            <w:gridSpan w:val="2"/>
            <w:shd w:val="clear" w:color="auto" w:fill="FDFDFC"/>
          </w:tcPr>
          <w:p>
            <w:pPr>
              <w:jc w:val="right"/>
              <w:spacing w:after="0" w:line="172" w:lineRule="exact"/>
              <w:rPr>
                <w:sz w:val="20"/>
                <w:szCs w:val="20"/>
                <w:color w:val="auto"/>
              </w:rPr>
            </w:pPr>
            <w:r>
              <w:rPr>
                <w:rFonts w:ascii="Times New Roman" w:cs="Times New Roman" w:eastAsia="Times New Roman" w:hAnsi="Times New Roman"/>
                <w:sz w:val="15"/>
                <w:szCs w:val="15"/>
                <w:color w:val="231F20"/>
              </w:rPr>
              <w:t>7/5/2024</w:t>
            </w:r>
          </w:p>
        </w:tc>
        <w:tc>
          <w:tcPr>
            <w:tcW w:w="20" w:type="dxa"/>
            <w:vAlign w:val="bottom"/>
          </w:tcPr>
          <w:p>
            <w:pPr>
              <w:spacing w:after="0"/>
              <w:rPr>
                <w:sz w:val="14"/>
                <w:szCs w:val="14"/>
                <w:color w:val="auto"/>
              </w:rPr>
            </w:pPr>
          </w:p>
        </w:tc>
        <w:tc>
          <w:tcPr>
            <w:tcW w:w="80" w:type="dxa"/>
            <w:vAlign w:val="bottom"/>
            <w:shd w:val="clear" w:color="auto" w:fill="FDFDFC"/>
          </w:tcPr>
          <w:p>
            <w:pPr>
              <w:spacing w:after="0"/>
              <w:rPr>
                <w:sz w:val="14"/>
                <w:szCs w:val="14"/>
                <w:color w:val="auto"/>
              </w:rPr>
            </w:pPr>
          </w:p>
        </w:tc>
        <w:tc>
          <w:tcPr>
            <w:tcW w:w="820" w:type="dxa"/>
            <w:vAlign w:val="bottom"/>
            <w:shd w:val="clear" w:color="auto" w:fill="FDFDFC"/>
          </w:tcPr>
          <w:p>
            <w:pPr>
              <w:jc w:val="right"/>
              <w:spacing w:after="0" w:line="172" w:lineRule="exact"/>
              <w:rPr>
                <w:sz w:val="20"/>
                <w:szCs w:val="20"/>
                <w:color w:val="auto"/>
              </w:rPr>
            </w:pPr>
            <w:r>
              <w:rPr>
                <w:rFonts w:ascii="Times New Roman" w:cs="Times New Roman" w:eastAsia="Times New Roman" w:hAnsi="Times New Roman"/>
                <w:sz w:val="15"/>
                <w:szCs w:val="15"/>
                <w:color w:val="231F20"/>
              </w:rPr>
              <w:t>E + 7.11%</w:t>
            </w:r>
          </w:p>
        </w:tc>
        <w:tc>
          <w:tcPr>
            <w:tcW w:w="100" w:type="dxa"/>
            <w:vAlign w:val="bottom"/>
            <w:shd w:val="clear" w:color="auto" w:fill="FDFDFC"/>
          </w:tcPr>
          <w:p>
            <w:pPr>
              <w:spacing w:after="0"/>
              <w:rPr>
                <w:sz w:val="14"/>
                <w:szCs w:val="14"/>
                <w:color w:val="auto"/>
              </w:rPr>
            </w:pPr>
          </w:p>
        </w:tc>
        <w:tc>
          <w:tcPr>
            <w:tcW w:w="920" w:type="dxa"/>
            <w:vAlign w:val="bottom"/>
            <w:shd w:val="clear" w:color="auto" w:fill="FDFDFC"/>
          </w:tcPr>
          <w:p>
            <w:pPr>
              <w:jc w:val="right"/>
              <w:spacing w:after="0" w:line="172" w:lineRule="exact"/>
              <w:rPr>
                <w:sz w:val="20"/>
                <w:szCs w:val="20"/>
                <w:color w:val="auto"/>
              </w:rPr>
            </w:pPr>
            <w:r>
              <w:rPr>
                <w:rFonts w:ascii="Times New Roman" w:cs="Times New Roman" w:eastAsia="Times New Roman" w:hAnsi="Times New Roman"/>
                <w:sz w:val="15"/>
                <w:szCs w:val="15"/>
                <w:color w:val="231F20"/>
              </w:rPr>
              <w:t>10.38% (incl.</w:t>
            </w:r>
          </w:p>
        </w:tc>
        <w:tc>
          <w:tcPr>
            <w:tcW w:w="1120" w:type="dxa"/>
            <w:vAlign w:val="bottom"/>
            <w:gridSpan w:val="2"/>
            <w:shd w:val="clear" w:color="auto" w:fill="FDFDFC"/>
          </w:tcPr>
          <w:p>
            <w:pPr>
              <w:jc w:val="right"/>
              <w:spacing w:after="0" w:line="172" w:lineRule="exact"/>
              <w:rPr>
                <w:sz w:val="20"/>
                <w:szCs w:val="20"/>
                <w:color w:val="auto"/>
              </w:rPr>
            </w:pPr>
            <w:r>
              <w:rPr>
                <w:rFonts w:ascii="Times New Roman" w:cs="Times New Roman" w:eastAsia="Times New Roman" w:hAnsi="Times New Roman"/>
                <w:sz w:val="15"/>
                <w:szCs w:val="15"/>
                <w:color w:val="231F20"/>
              </w:rPr>
              <w:t>633</w:t>
            </w:r>
          </w:p>
        </w:tc>
        <w:tc>
          <w:tcPr>
            <w:tcW w:w="1680" w:type="dxa"/>
            <w:vAlign w:val="bottom"/>
            <w:gridSpan w:val="2"/>
            <w:shd w:val="clear" w:color="auto" w:fill="FDFDFC"/>
          </w:tcPr>
          <w:p>
            <w:pPr>
              <w:jc w:val="right"/>
              <w:spacing w:after="0" w:line="172" w:lineRule="exact"/>
              <w:rPr>
                <w:sz w:val="20"/>
                <w:szCs w:val="20"/>
                <w:color w:val="auto"/>
              </w:rPr>
            </w:pPr>
            <w:r>
              <w:rPr>
                <w:rFonts w:ascii="Times New Roman" w:cs="Times New Roman" w:eastAsia="Times New Roman" w:hAnsi="Times New Roman"/>
                <w:sz w:val="15"/>
                <w:szCs w:val="15"/>
                <w:color w:val="231F20"/>
              </w:rPr>
              <w:t>611</w:t>
            </w:r>
          </w:p>
        </w:tc>
        <w:tc>
          <w:tcPr>
            <w:tcW w:w="960" w:type="dxa"/>
            <w:vAlign w:val="bottom"/>
            <w:gridSpan w:val="2"/>
            <w:shd w:val="clear" w:color="auto" w:fill="FDFDFC"/>
          </w:tcPr>
          <w:p>
            <w:pPr>
              <w:jc w:val="right"/>
              <w:spacing w:after="0" w:line="172" w:lineRule="exact"/>
              <w:rPr>
                <w:sz w:val="20"/>
                <w:szCs w:val="20"/>
                <w:color w:val="auto"/>
              </w:rPr>
            </w:pPr>
            <w:r>
              <w:rPr>
                <w:rFonts w:ascii="Times New Roman" w:cs="Times New Roman" w:eastAsia="Times New Roman" w:hAnsi="Times New Roman"/>
                <w:sz w:val="15"/>
                <w:szCs w:val="15"/>
                <w:color w:val="231F20"/>
              </w:rPr>
              <w:t>0.0%</w:t>
            </w:r>
          </w:p>
        </w:tc>
        <w:tc>
          <w:tcPr>
            <w:tcW w:w="0" w:type="dxa"/>
            <w:vAlign w:val="bottom"/>
          </w:tcPr>
          <w:p>
            <w:pPr>
              <w:spacing w:after="0"/>
              <w:rPr>
                <w:sz w:val="1"/>
                <w:szCs w:val="1"/>
                <w:color w:val="auto"/>
              </w:rPr>
            </w:pPr>
          </w:p>
        </w:tc>
      </w:tr>
      <w:tr>
        <w:trPr>
          <w:trHeight w:val="189"/>
        </w:trPr>
        <w:tc>
          <w:tcPr>
            <w:tcW w:w="1540" w:type="dxa"/>
            <w:vAlign w:val="bottom"/>
            <w:shd w:val="clear" w:color="auto" w:fill="FDFDFC"/>
          </w:tcPr>
          <w:p>
            <w:pPr>
              <w:spacing w:after="0"/>
              <w:rPr>
                <w:sz w:val="16"/>
                <w:szCs w:val="16"/>
                <w:color w:val="auto"/>
              </w:rPr>
            </w:pPr>
          </w:p>
        </w:tc>
        <w:tc>
          <w:tcPr>
            <w:tcW w:w="2180" w:type="dxa"/>
            <w:vAlign w:val="bottom"/>
            <w:gridSpan w:val="2"/>
            <w:shd w:val="clear" w:color="auto" w:fill="FDFDFC"/>
          </w:tcPr>
          <w:p>
            <w:pPr>
              <w:ind w:left="100"/>
              <w:spacing w:after="0"/>
              <w:rPr>
                <w:sz w:val="20"/>
                <w:szCs w:val="20"/>
                <w:color w:val="auto"/>
              </w:rPr>
            </w:pPr>
            <w:r>
              <w:rPr>
                <w:rFonts w:ascii="Times New Roman" w:cs="Times New Roman" w:eastAsia="Times New Roman" w:hAnsi="Times New Roman"/>
                <w:sz w:val="15"/>
                <w:szCs w:val="15"/>
                <w:color w:val="231F20"/>
              </w:rPr>
              <w:t>7/2031)</w:t>
            </w:r>
          </w:p>
        </w:tc>
        <w:tc>
          <w:tcPr>
            <w:tcW w:w="100" w:type="dxa"/>
            <w:vAlign w:val="bottom"/>
            <w:shd w:val="clear" w:color="auto" w:fill="FDFDFC"/>
          </w:tcPr>
          <w:p>
            <w:pPr>
              <w:spacing w:after="0"/>
              <w:rPr>
                <w:sz w:val="16"/>
                <w:szCs w:val="16"/>
                <w:color w:val="auto"/>
              </w:rPr>
            </w:pPr>
          </w:p>
        </w:tc>
        <w:tc>
          <w:tcPr>
            <w:tcW w:w="760" w:type="dxa"/>
            <w:vAlign w:val="bottom"/>
            <w:shd w:val="clear" w:color="auto" w:fill="FDFDFC"/>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shd w:val="clear" w:color="auto" w:fill="FDFDFC"/>
          </w:tcPr>
          <w:p>
            <w:pPr>
              <w:spacing w:after="0"/>
              <w:rPr>
                <w:sz w:val="16"/>
                <w:szCs w:val="16"/>
                <w:color w:val="auto"/>
              </w:rPr>
            </w:pPr>
          </w:p>
        </w:tc>
        <w:tc>
          <w:tcPr>
            <w:tcW w:w="820" w:type="dxa"/>
            <w:vAlign w:val="bottom"/>
            <w:shd w:val="clear" w:color="auto" w:fill="FDFDFC"/>
          </w:tcPr>
          <w:p>
            <w:pPr>
              <w:spacing w:after="0"/>
              <w:rPr>
                <w:sz w:val="16"/>
                <w:szCs w:val="16"/>
                <w:color w:val="auto"/>
              </w:rPr>
            </w:pPr>
          </w:p>
        </w:tc>
        <w:tc>
          <w:tcPr>
            <w:tcW w:w="100" w:type="dxa"/>
            <w:vAlign w:val="bottom"/>
            <w:shd w:val="clear" w:color="auto" w:fill="FDFDFC"/>
          </w:tcPr>
          <w:p>
            <w:pPr>
              <w:spacing w:after="0"/>
              <w:rPr>
                <w:sz w:val="16"/>
                <w:szCs w:val="16"/>
                <w:color w:val="auto"/>
              </w:rPr>
            </w:pPr>
          </w:p>
        </w:tc>
        <w:tc>
          <w:tcPr>
            <w:tcW w:w="920" w:type="dxa"/>
            <w:vAlign w:val="bottom"/>
            <w:shd w:val="clear" w:color="auto" w:fill="FDFDFC"/>
          </w:tcPr>
          <w:p>
            <w:pPr>
              <w:jc w:val="right"/>
              <w:spacing w:after="0"/>
              <w:rPr>
                <w:sz w:val="20"/>
                <w:szCs w:val="20"/>
                <w:color w:val="auto"/>
              </w:rPr>
            </w:pPr>
            <w:r>
              <w:rPr>
                <w:rFonts w:ascii="Times New Roman" w:cs="Times New Roman" w:eastAsia="Times New Roman" w:hAnsi="Times New Roman"/>
                <w:sz w:val="15"/>
                <w:szCs w:val="15"/>
                <w:color w:val="231F20"/>
              </w:rPr>
              <w:t>5.61% PIK)</w:t>
            </w:r>
          </w:p>
        </w:tc>
        <w:tc>
          <w:tcPr>
            <w:tcW w:w="120" w:type="dxa"/>
            <w:vAlign w:val="bottom"/>
            <w:shd w:val="clear" w:color="auto" w:fill="FDFDFC"/>
          </w:tcPr>
          <w:p>
            <w:pPr>
              <w:spacing w:after="0"/>
              <w:rPr>
                <w:sz w:val="16"/>
                <w:szCs w:val="16"/>
                <w:color w:val="auto"/>
              </w:rPr>
            </w:pPr>
          </w:p>
        </w:tc>
        <w:tc>
          <w:tcPr>
            <w:tcW w:w="1000" w:type="dxa"/>
            <w:vAlign w:val="bottom"/>
            <w:shd w:val="clear" w:color="auto" w:fill="FDFDFC"/>
          </w:tcPr>
          <w:p>
            <w:pPr>
              <w:spacing w:after="0"/>
              <w:rPr>
                <w:sz w:val="16"/>
                <w:szCs w:val="16"/>
                <w:color w:val="auto"/>
              </w:rPr>
            </w:pPr>
          </w:p>
        </w:tc>
        <w:tc>
          <w:tcPr>
            <w:tcW w:w="80" w:type="dxa"/>
            <w:vAlign w:val="bottom"/>
            <w:shd w:val="clear" w:color="auto" w:fill="FDFDFC"/>
          </w:tcPr>
          <w:p>
            <w:pPr>
              <w:spacing w:after="0"/>
              <w:rPr>
                <w:sz w:val="16"/>
                <w:szCs w:val="16"/>
                <w:color w:val="auto"/>
              </w:rPr>
            </w:pPr>
          </w:p>
        </w:tc>
        <w:tc>
          <w:tcPr>
            <w:tcW w:w="1600" w:type="dxa"/>
            <w:vAlign w:val="bottom"/>
            <w:shd w:val="clear" w:color="auto" w:fill="FDFDFC"/>
          </w:tcPr>
          <w:p>
            <w:pPr>
              <w:jc w:val="right"/>
              <w:spacing w:after="0"/>
              <w:rPr>
                <w:sz w:val="20"/>
                <w:szCs w:val="20"/>
                <w:color w:val="auto"/>
              </w:rPr>
            </w:pPr>
            <w:r>
              <w:rPr>
                <w:rFonts w:ascii="Times New Roman" w:cs="Times New Roman" w:eastAsia="Times New Roman" w:hAnsi="Times New Roman"/>
                <w:sz w:val="15"/>
                <w:szCs w:val="15"/>
                <w:color w:val="231F20"/>
              </w:rPr>
              <w:t>(EUR 590)</w:t>
            </w:r>
          </w:p>
        </w:tc>
        <w:tc>
          <w:tcPr>
            <w:tcW w:w="100" w:type="dxa"/>
            <w:vAlign w:val="bottom"/>
            <w:shd w:val="clear" w:color="auto" w:fill="FDFDFC"/>
          </w:tcPr>
          <w:p>
            <w:pPr>
              <w:spacing w:after="0"/>
              <w:rPr>
                <w:sz w:val="16"/>
                <w:szCs w:val="16"/>
                <w:color w:val="auto"/>
              </w:rPr>
            </w:pPr>
          </w:p>
        </w:tc>
        <w:tc>
          <w:tcPr>
            <w:tcW w:w="860" w:type="dxa"/>
            <w:vAlign w:val="bottom"/>
            <w:shd w:val="clear" w:color="auto" w:fill="FDFDFC"/>
          </w:tcPr>
          <w:p>
            <w:pPr>
              <w:spacing w:after="0"/>
              <w:rPr>
                <w:sz w:val="16"/>
                <w:szCs w:val="16"/>
                <w:color w:val="auto"/>
              </w:rPr>
            </w:pPr>
          </w:p>
        </w:tc>
        <w:tc>
          <w:tcPr>
            <w:tcW w:w="0" w:type="dxa"/>
            <w:vAlign w:val="bottom"/>
          </w:tcPr>
          <w:p>
            <w:pPr>
              <w:spacing w:after="0"/>
              <w:rPr>
                <w:sz w:val="1"/>
                <w:szCs w:val="1"/>
                <w:color w:val="auto"/>
              </w:rPr>
            </w:pPr>
          </w:p>
        </w:tc>
      </w:tr>
      <w:tr>
        <w:trPr>
          <w:trHeight w:val="171"/>
        </w:trPr>
        <w:tc>
          <w:tcPr>
            <w:tcW w:w="1540" w:type="dxa"/>
            <w:vAlign w:val="bottom"/>
            <w:shd w:val="clear" w:color="auto" w:fill="D0EBF2"/>
          </w:tcPr>
          <w:p>
            <w:pPr>
              <w:spacing w:after="0" w:line="172" w:lineRule="exact"/>
              <w:rPr>
                <w:sz w:val="20"/>
                <w:szCs w:val="20"/>
                <w:color w:val="auto"/>
              </w:rPr>
            </w:pPr>
            <w:r>
              <w:rPr>
                <w:rFonts w:ascii="Times New Roman" w:cs="Times New Roman" w:eastAsia="Times New Roman" w:hAnsi="Times New Roman"/>
                <w:sz w:val="15"/>
                <w:szCs w:val="15"/>
                <w:color w:val="231F20"/>
              </w:rPr>
              <w:t>Mitnick Corporate</w:t>
            </w:r>
          </w:p>
        </w:tc>
        <w:tc>
          <w:tcPr>
            <w:tcW w:w="2180" w:type="dxa"/>
            <w:vAlign w:val="bottom"/>
            <w:gridSpan w:val="2"/>
            <w:shd w:val="clear" w:color="auto" w:fill="D0EBF2"/>
          </w:tcPr>
          <w:p>
            <w:pPr>
              <w:ind w:left="100"/>
              <w:spacing w:after="0" w:line="172" w:lineRule="exact"/>
              <w:rPr>
                <w:sz w:val="20"/>
                <w:szCs w:val="20"/>
                <w:color w:val="auto"/>
              </w:rPr>
            </w:pPr>
            <w:r>
              <w:rPr>
                <w:rFonts w:ascii="Times New Roman" w:cs="Times New Roman" w:eastAsia="Times New Roman" w:hAnsi="Times New Roman"/>
                <w:sz w:val="15"/>
                <w:szCs w:val="15"/>
                <w:color w:val="231F20"/>
              </w:rPr>
              <w:t>First-lien loan ($326 par, due</w:t>
            </w:r>
          </w:p>
        </w:tc>
        <w:tc>
          <w:tcPr>
            <w:tcW w:w="860" w:type="dxa"/>
            <w:vAlign w:val="bottom"/>
            <w:gridSpan w:val="2"/>
            <w:shd w:val="clear" w:color="auto" w:fill="D0EBF2"/>
          </w:tcPr>
          <w:p>
            <w:pPr>
              <w:jc w:val="right"/>
              <w:spacing w:after="0" w:line="172" w:lineRule="exact"/>
              <w:rPr>
                <w:sz w:val="20"/>
                <w:szCs w:val="20"/>
                <w:color w:val="auto"/>
              </w:rPr>
            </w:pPr>
            <w:r>
              <w:rPr>
                <w:rFonts w:ascii="Times New Roman" w:cs="Times New Roman" w:eastAsia="Times New Roman" w:hAnsi="Times New Roman"/>
                <w:sz w:val="15"/>
                <w:szCs w:val="15"/>
                <w:color w:val="231F20"/>
              </w:rPr>
              <w:t>5/2/2022</w:t>
            </w:r>
          </w:p>
        </w:tc>
        <w:tc>
          <w:tcPr>
            <w:tcW w:w="20" w:type="dxa"/>
            <w:vAlign w:val="bottom"/>
          </w:tcPr>
          <w:p>
            <w:pPr>
              <w:spacing w:after="0"/>
              <w:rPr>
                <w:sz w:val="14"/>
                <w:szCs w:val="14"/>
                <w:color w:val="auto"/>
              </w:rPr>
            </w:pPr>
          </w:p>
        </w:tc>
        <w:tc>
          <w:tcPr>
            <w:tcW w:w="80" w:type="dxa"/>
            <w:vAlign w:val="bottom"/>
            <w:shd w:val="clear" w:color="auto" w:fill="D0EBF2"/>
          </w:tcPr>
          <w:p>
            <w:pPr>
              <w:spacing w:after="0"/>
              <w:rPr>
                <w:sz w:val="14"/>
                <w:szCs w:val="14"/>
                <w:color w:val="auto"/>
              </w:rPr>
            </w:pPr>
          </w:p>
        </w:tc>
        <w:tc>
          <w:tcPr>
            <w:tcW w:w="820" w:type="dxa"/>
            <w:vAlign w:val="bottom"/>
            <w:shd w:val="clear" w:color="auto" w:fill="D0EBF2"/>
          </w:tcPr>
          <w:p>
            <w:pPr>
              <w:jc w:val="right"/>
              <w:spacing w:after="0" w:line="172" w:lineRule="exact"/>
              <w:rPr>
                <w:sz w:val="20"/>
                <w:szCs w:val="20"/>
                <w:color w:val="auto"/>
              </w:rPr>
            </w:pPr>
            <w:r>
              <w:rPr>
                <w:rFonts w:ascii="Times New Roman" w:cs="Times New Roman" w:eastAsia="Times New Roman" w:hAnsi="Times New Roman"/>
                <w:sz w:val="15"/>
                <w:szCs w:val="15"/>
                <w:color w:val="231F20"/>
              </w:rPr>
              <w:t>SOFR +</w:t>
            </w:r>
          </w:p>
        </w:tc>
        <w:tc>
          <w:tcPr>
            <w:tcW w:w="1020" w:type="dxa"/>
            <w:vAlign w:val="bottom"/>
            <w:gridSpan w:val="2"/>
            <w:shd w:val="clear" w:color="auto" w:fill="D0EBF2"/>
          </w:tcPr>
          <w:p>
            <w:pPr>
              <w:jc w:val="right"/>
              <w:spacing w:after="0" w:line="172" w:lineRule="exact"/>
              <w:rPr>
                <w:sz w:val="20"/>
                <w:szCs w:val="20"/>
                <w:color w:val="auto"/>
              </w:rPr>
            </w:pPr>
            <w:r>
              <w:rPr>
                <w:rFonts w:ascii="Times New Roman" w:cs="Times New Roman" w:eastAsia="Times New Roman" w:hAnsi="Times New Roman"/>
                <w:sz w:val="15"/>
                <w:szCs w:val="15"/>
                <w:color w:val="231F20"/>
              </w:rPr>
              <w:t>9.19%</w:t>
            </w:r>
          </w:p>
        </w:tc>
        <w:tc>
          <w:tcPr>
            <w:tcW w:w="1120" w:type="dxa"/>
            <w:vAlign w:val="bottom"/>
            <w:gridSpan w:val="2"/>
            <w:shd w:val="clear" w:color="auto" w:fill="D0EBF2"/>
          </w:tcPr>
          <w:p>
            <w:pPr>
              <w:jc w:val="right"/>
              <w:spacing w:after="0" w:line="172" w:lineRule="exact"/>
              <w:rPr>
                <w:sz w:val="20"/>
                <w:szCs w:val="20"/>
                <w:color w:val="auto"/>
              </w:rPr>
            </w:pPr>
            <w:r>
              <w:rPr>
                <w:rFonts w:ascii="Times New Roman" w:cs="Times New Roman" w:eastAsia="Times New Roman" w:hAnsi="Times New Roman"/>
                <w:sz w:val="15"/>
                <w:szCs w:val="15"/>
                <w:color w:val="231F20"/>
              </w:rPr>
              <w:t>326</w:t>
            </w:r>
          </w:p>
        </w:tc>
        <w:tc>
          <w:tcPr>
            <w:tcW w:w="1680" w:type="dxa"/>
            <w:vAlign w:val="bottom"/>
            <w:gridSpan w:val="2"/>
            <w:shd w:val="clear" w:color="auto" w:fill="D0EBF2"/>
          </w:tcPr>
          <w:p>
            <w:pPr>
              <w:jc w:val="right"/>
              <w:spacing w:after="0" w:line="172" w:lineRule="exact"/>
              <w:rPr>
                <w:sz w:val="20"/>
                <w:szCs w:val="20"/>
                <w:color w:val="auto"/>
              </w:rPr>
            </w:pPr>
            <w:r>
              <w:rPr>
                <w:rFonts w:ascii="Times New Roman" w:cs="Times New Roman" w:eastAsia="Times New Roman" w:hAnsi="Times New Roman"/>
                <w:sz w:val="15"/>
                <w:szCs w:val="15"/>
                <w:color w:val="231F20"/>
              </w:rPr>
              <w:t>302</w:t>
            </w:r>
          </w:p>
        </w:tc>
        <w:tc>
          <w:tcPr>
            <w:tcW w:w="960" w:type="dxa"/>
            <w:vAlign w:val="bottom"/>
            <w:gridSpan w:val="2"/>
            <w:shd w:val="clear" w:color="auto" w:fill="D0EBF2"/>
          </w:tcPr>
          <w:p>
            <w:pPr>
              <w:jc w:val="right"/>
              <w:spacing w:after="0" w:line="172" w:lineRule="exact"/>
              <w:rPr>
                <w:sz w:val="20"/>
                <w:szCs w:val="20"/>
                <w:color w:val="auto"/>
              </w:rPr>
            </w:pPr>
            <w:r>
              <w:rPr>
                <w:rFonts w:ascii="Times New Roman" w:cs="Times New Roman" w:eastAsia="Times New Roman" w:hAnsi="Times New Roman"/>
                <w:sz w:val="15"/>
                <w:szCs w:val="15"/>
                <w:color w:val="231F20"/>
              </w:rPr>
              <w:t>0.0%</w:t>
            </w:r>
          </w:p>
        </w:tc>
        <w:tc>
          <w:tcPr>
            <w:tcW w:w="0" w:type="dxa"/>
            <w:vAlign w:val="bottom"/>
          </w:tcPr>
          <w:p>
            <w:pPr>
              <w:spacing w:after="0"/>
              <w:rPr>
                <w:sz w:val="1"/>
                <w:szCs w:val="1"/>
                <w:color w:val="auto"/>
              </w:rPr>
            </w:pPr>
          </w:p>
        </w:tc>
      </w:tr>
      <w:tr>
        <w:trPr>
          <w:trHeight w:val="189"/>
        </w:trPr>
        <w:tc>
          <w:tcPr>
            <w:tcW w:w="1540" w:type="dxa"/>
            <w:vAlign w:val="bottom"/>
            <w:shd w:val="clear" w:color="auto" w:fill="D0EBF2"/>
          </w:tcPr>
          <w:p>
            <w:pPr>
              <w:spacing w:after="0"/>
              <w:rPr>
                <w:sz w:val="20"/>
                <w:szCs w:val="20"/>
                <w:color w:val="auto"/>
              </w:rPr>
            </w:pPr>
            <w:r>
              <w:rPr>
                <w:rFonts w:ascii="Times New Roman" w:cs="Times New Roman" w:eastAsia="Times New Roman" w:hAnsi="Times New Roman"/>
                <w:sz w:val="15"/>
                <w:szCs w:val="15"/>
                <w:color w:val="231F20"/>
              </w:rPr>
              <w:t xml:space="preserve">Purchaser, Inc. </w:t>
            </w:r>
            <w:r>
              <w:rPr>
                <w:rFonts w:ascii="Times New Roman" w:cs="Times New Roman" w:eastAsia="Times New Roman" w:hAnsi="Times New Roman"/>
                <w:sz w:val="9"/>
                <w:szCs w:val="9"/>
                <w:color w:val="231F20"/>
              </w:rPr>
              <w:t>(3)(9)</w:t>
            </w:r>
          </w:p>
        </w:tc>
        <w:tc>
          <w:tcPr>
            <w:tcW w:w="2180" w:type="dxa"/>
            <w:vAlign w:val="bottom"/>
            <w:gridSpan w:val="2"/>
            <w:shd w:val="clear" w:color="auto" w:fill="D0EBF2"/>
          </w:tcPr>
          <w:p>
            <w:pPr>
              <w:ind w:left="100"/>
              <w:spacing w:after="0"/>
              <w:rPr>
                <w:sz w:val="20"/>
                <w:szCs w:val="20"/>
                <w:color w:val="auto"/>
              </w:rPr>
            </w:pPr>
            <w:r>
              <w:rPr>
                <w:rFonts w:ascii="Times New Roman" w:cs="Times New Roman" w:eastAsia="Times New Roman" w:hAnsi="Times New Roman"/>
                <w:sz w:val="15"/>
                <w:szCs w:val="15"/>
                <w:color w:val="231F20"/>
              </w:rPr>
              <w:t>5/2029)</w:t>
            </w:r>
          </w:p>
        </w:tc>
        <w:tc>
          <w:tcPr>
            <w:tcW w:w="100" w:type="dxa"/>
            <w:vAlign w:val="bottom"/>
            <w:shd w:val="clear" w:color="auto" w:fill="D0EBF2"/>
          </w:tcPr>
          <w:p>
            <w:pPr>
              <w:spacing w:after="0"/>
              <w:rPr>
                <w:sz w:val="16"/>
                <w:szCs w:val="16"/>
                <w:color w:val="auto"/>
              </w:rPr>
            </w:pPr>
          </w:p>
        </w:tc>
        <w:tc>
          <w:tcPr>
            <w:tcW w:w="760" w:type="dxa"/>
            <w:vAlign w:val="bottom"/>
            <w:shd w:val="clear" w:color="auto" w:fill="D0EBF2"/>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gridSpan w:val="2"/>
            <w:shd w:val="clear" w:color="auto" w:fill="D0EBF2"/>
          </w:tcPr>
          <w:p>
            <w:pPr>
              <w:jc w:val="right"/>
              <w:spacing w:after="0"/>
              <w:rPr>
                <w:sz w:val="20"/>
                <w:szCs w:val="20"/>
                <w:color w:val="auto"/>
              </w:rPr>
            </w:pPr>
            <w:r>
              <w:rPr>
                <w:rFonts w:ascii="Times New Roman" w:cs="Times New Roman" w:eastAsia="Times New Roman" w:hAnsi="Times New Roman"/>
                <w:sz w:val="15"/>
                <w:szCs w:val="15"/>
                <w:color w:val="231F20"/>
              </w:rPr>
              <w:t>4.50%</w:t>
            </w:r>
          </w:p>
        </w:tc>
        <w:tc>
          <w:tcPr>
            <w:tcW w:w="100" w:type="dxa"/>
            <w:vAlign w:val="bottom"/>
            <w:shd w:val="clear" w:color="auto" w:fill="D0EBF2"/>
          </w:tcPr>
          <w:p>
            <w:pPr>
              <w:spacing w:after="0"/>
              <w:rPr>
                <w:sz w:val="16"/>
                <w:szCs w:val="16"/>
                <w:color w:val="auto"/>
              </w:rPr>
            </w:pPr>
          </w:p>
        </w:tc>
        <w:tc>
          <w:tcPr>
            <w:tcW w:w="920" w:type="dxa"/>
            <w:vAlign w:val="bottom"/>
            <w:shd w:val="clear" w:color="auto" w:fill="D0EBF2"/>
          </w:tcPr>
          <w:p>
            <w:pPr>
              <w:spacing w:after="0"/>
              <w:rPr>
                <w:sz w:val="16"/>
                <w:szCs w:val="16"/>
                <w:color w:val="auto"/>
              </w:rPr>
            </w:pPr>
          </w:p>
        </w:tc>
        <w:tc>
          <w:tcPr>
            <w:tcW w:w="120" w:type="dxa"/>
            <w:vAlign w:val="bottom"/>
            <w:shd w:val="clear" w:color="auto" w:fill="D0EBF2"/>
          </w:tcPr>
          <w:p>
            <w:pPr>
              <w:spacing w:after="0"/>
              <w:rPr>
                <w:sz w:val="16"/>
                <w:szCs w:val="16"/>
                <w:color w:val="auto"/>
              </w:rPr>
            </w:pPr>
          </w:p>
        </w:tc>
        <w:tc>
          <w:tcPr>
            <w:tcW w:w="1000" w:type="dxa"/>
            <w:vAlign w:val="bottom"/>
            <w:shd w:val="clear" w:color="auto" w:fill="D0EBF2"/>
          </w:tcPr>
          <w:p>
            <w:pPr>
              <w:spacing w:after="0"/>
              <w:rPr>
                <w:sz w:val="16"/>
                <w:szCs w:val="16"/>
                <w:color w:val="auto"/>
              </w:rPr>
            </w:pPr>
          </w:p>
        </w:tc>
        <w:tc>
          <w:tcPr>
            <w:tcW w:w="80" w:type="dxa"/>
            <w:vAlign w:val="bottom"/>
            <w:shd w:val="clear" w:color="auto" w:fill="D0EBF2"/>
          </w:tcPr>
          <w:p>
            <w:pPr>
              <w:spacing w:after="0"/>
              <w:rPr>
                <w:sz w:val="16"/>
                <w:szCs w:val="16"/>
                <w:color w:val="auto"/>
              </w:rPr>
            </w:pPr>
          </w:p>
        </w:tc>
        <w:tc>
          <w:tcPr>
            <w:tcW w:w="1600" w:type="dxa"/>
            <w:vAlign w:val="bottom"/>
            <w:shd w:val="clear" w:color="auto" w:fill="D0EBF2"/>
          </w:tcPr>
          <w:p>
            <w:pPr>
              <w:spacing w:after="0"/>
              <w:rPr>
                <w:sz w:val="16"/>
                <w:szCs w:val="16"/>
                <w:color w:val="auto"/>
              </w:rPr>
            </w:pPr>
          </w:p>
        </w:tc>
        <w:tc>
          <w:tcPr>
            <w:tcW w:w="100" w:type="dxa"/>
            <w:vAlign w:val="bottom"/>
            <w:shd w:val="clear" w:color="auto" w:fill="D0EBF2"/>
          </w:tcPr>
          <w:p>
            <w:pPr>
              <w:spacing w:after="0"/>
              <w:rPr>
                <w:sz w:val="16"/>
                <w:szCs w:val="16"/>
                <w:color w:val="auto"/>
              </w:rPr>
            </w:pPr>
          </w:p>
        </w:tc>
        <w:tc>
          <w:tcPr>
            <w:tcW w:w="860" w:type="dxa"/>
            <w:vAlign w:val="bottom"/>
            <w:shd w:val="clear" w:color="auto" w:fill="D0EBF2"/>
          </w:tcPr>
          <w:p>
            <w:pPr>
              <w:spacing w:after="0"/>
              <w:rPr>
                <w:sz w:val="16"/>
                <w:szCs w:val="16"/>
                <w:color w:val="auto"/>
              </w:rPr>
            </w:pPr>
          </w:p>
        </w:tc>
        <w:tc>
          <w:tcPr>
            <w:tcW w:w="0" w:type="dxa"/>
            <w:vAlign w:val="bottom"/>
          </w:tcPr>
          <w:p>
            <w:pPr>
              <w:spacing w:after="0"/>
              <w:rPr>
                <w:sz w:val="1"/>
                <w:szCs w:val="1"/>
                <w:color w:val="auto"/>
              </w:rPr>
            </w:pPr>
          </w:p>
        </w:tc>
      </w:tr>
      <w:tr>
        <w:trPr>
          <w:trHeight w:val="171"/>
        </w:trPr>
        <w:tc>
          <w:tcPr>
            <w:tcW w:w="1540" w:type="dxa"/>
            <w:vAlign w:val="bottom"/>
            <w:shd w:val="clear" w:color="auto" w:fill="FDFDFC"/>
          </w:tcPr>
          <w:p>
            <w:pPr>
              <w:spacing w:after="0" w:line="172" w:lineRule="exact"/>
              <w:rPr>
                <w:sz w:val="20"/>
                <w:szCs w:val="20"/>
                <w:color w:val="auto"/>
              </w:rPr>
            </w:pPr>
            <w:r>
              <w:rPr>
                <w:rFonts w:ascii="Times New Roman" w:cs="Times New Roman" w:eastAsia="Times New Roman" w:hAnsi="Times New Roman"/>
                <w:sz w:val="15"/>
                <w:szCs w:val="15"/>
                <w:color w:val="231F20"/>
              </w:rPr>
              <w:t xml:space="preserve">Price Fx Inc. </w:t>
            </w:r>
            <w:r>
              <w:rPr>
                <w:rFonts w:ascii="Times New Roman" w:cs="Times New Roman" w:eastAsia="Times New Roman" w:hAnsi="Times New Roman"/>
                <w:sz w:val="9"/>
                <w:szCs w:val="9"/>
                <w:color w:val="231F20"/>
              </w:rPr>
              <w:t>(3)(4)</w:t>
            </w:r>
          </w:p>
        </w:tc>
        <w:tc>
          <w:tcPr>
            <w:tcW w:w="2180" w:type="dxa"/>
            <w:vAlign w:val="bottom"/>
            <w:gridSpan w:val="2"/>
            <w:shd w:val="clear" w:color="auto" w:fill="FDFDFC"/>
          </w:tcPr>
          <w:p>
            <w:pPr>
              <w:ind w:left="100"/>
              <w:spacing w:after="0" w:line="172" w:lineRule="exact"/>
              <w:rPr>
                <w:sz w:val="20"/>
                <w:szCs w:val="20"/>
                <w:color w:val="auto"/>
              </w:rPr>
            </w:pPr>
            <w:r>
              <w:rPr>
                <w:rFonts w:ascii="Times New Roman" w:cs="Times New Roman" w:eastAsia="Times New Roman" w:hAnsi="Times New Roman"/>
                <w:sz w:val="15"/>
                <w:szCs w:val="15"/>
                <w:color w:val="231F20"/>
              </w:rPr>
              <w:t>First-lien loan (EUR 910 par, due</w:t>
            </w:r>
          </w:p>
        </w:tc>
        <w:tc>
          <w:tcPr>
            <w:tcW w:w="860" w:type="dxa"/>
            <w:vAlign w:val="bottom"/>
            <w:gridSpan w:val="2"/>
            <w:shd w:val="clear" w:color="auto" w:fill="FDFDFC"/>
          </w:tcPr>
          <w:p>
            <w:pPr>
              <w:jc w:val="right"/>
              <w:spacing w:after="0" w:line="172" w:lineRule="exact"/>
              <w:rPr>
                <w:sz w:val="20"/>
                <w:szCs w:val="20"/>
                <w:color w:val="auto"/>
              </w:rPr>
            </w:pPr>
            <w:r>
              <w:rPr>
                <w:rFonts w:ascii="Times New Roman" w:cs="Times New Roman" w:eastAsia="Times New Roman" w:hAnsi="Times New Roman"/>
                <w:sz w:val="15"/>
                <w:szCs w:val="15"/>
                <w:color w:val="231F20"/>
              </w:rPr>
              <w:t>10/27/2023</w:t>
            </w:r>
          </w:p>
        </w:tc>
        <w:tc>
          <w:tcPr>
            <w:tcW w:w="20" w:type="dxa"/>
            <w:vAlign w:val="bottom"/>
          </w:tcPr>
          <w:p>
            <w:pPr>
              <w:spacing w:after="0"/>
              <w:rPr>
                <w:sz w:val="14"/>
                <w:szCs w:val="14"/>
                <w:color w:val="auto"/>
              </w:rPr>
            </w:pPr>
          </w:p>
        </w:tc>
        <w:tc>
          <w:tcPr>
            <w:tcW w:w="80" w:type="dxa"/>
            <w:vAlign w:val="bottom"/>
            <w:shd w:val="clear" w:color="auto" w:fill="FDFDFC"/>
          </w:tcPr>
          <w:p>
            <w:pPr>
              <w:spacing w:after="0"/>
              <w:rPr>
                <w:sz w:val="14"/>
                <w:szCs w:val="14"/>
                <w:color w:val="auto"/>
              </w:rPr>
            </w:pPr>
          </w:p>
        </w:tc>
        <w:tc>
          <w:tcPr>
            <w:tcW w:w="820" w:type="dxa"/>
            <w:vAlign w:val="bottom"/>
            <w:shd w:val="clear" w:color="auto" w:fill="FDFDFC"/>
          </w:tcPr>
          <w:p>
            <w:pPr>
              <w:jc w:val="right"/>
              <w:spacing w:after="0" w:line="172" w:lineRule="exact"/>
              <w:rPr>
                <w:sz w:val="20"/>
                <w:szCs w:val="20"/>
                <w:color w:val="auto"/>
              </w:rPr>
            </w:pPr>
            <w:r>
              <w:rPr>
                <w:rFonts w:ascii="Times New Roman" w:cs="Times New Roman" w:eastAsia="Times New Roman" w:hAnsi="Times New Roman"/>
                <w:sz w:val="15"/>
                <w:szCs w:val="15"/>
                <w:color w:val="231F20"/>
              </w:rPr>
              <w:t>E + 7.00%</w:t>
            </w:r>
          </w:p>
        </w:tc>
        <w:tc>
          <w:tcPr>
            <w:tcW w:w="1020" w:type="dxa"/>
            <w:vAlign w:val="bottom"/>
            <w:gridSpan w:val="2"/>
            <w:shd w:val="clear" w:color="auto" w:fill="FDFDFC"/>
          </w:tcPr>
          <w:p>
            <w:pPr>
              <w:jc w:val="right"/>
              <w:spacing w:after="0" w:line="172" w:lineRule="exact"/>
              <w:rPr>
                <w:sz w:val="20"/>
                <w:szCs w:val="20"/>
                <w:color w:val="auto"/>
              </w:rPr>
            </w:pPr>
            <w:r>
              <w:rPr>
                <w:rFonts w:ascii="Times New Roman" w:cs="Times New Roman" w:eastAsia="Times New Roman" w:hAnsi="Times New Roman"/>
                <w:sz w:val="15"/>
                <w:szCs w:val="15"/>
                <w:color w:val="231F20"/>
              </w:rPr>
              <w:t>10.06%</w:t>
            </w:r>
          </w:p>
        </w:tc>
        <w:tc>
          <w:tcPr>
            <w:tcW w:w="1120" w:type="dxa"/>
            <w:vAlign w:val="bottom"/>
            <w:gridSpan w:val="2"/>
            <w:shd w:val="clear" w:color="auto" w:fill="FDFDFC"/>
          </w:tcPr>
          <w:p>
            <w:pPr>
              <w:jc w:val="right"/>
              <w:spacing w:after="0" w:line="172" w:lineRule="exact"/>
              <w:rPr>
                <w:sz w:val="20"/>
                <w:szCs w:val="20"/>
                <w:color w:val="auto"/>
              </w:rPr>
            </w:pPr>
            <w:r>
              <w:rPr>
                <w:rFonts w:ascii="Times New Roman" w:cs="Times New Roman" w:eastAsia="Times New Roman" w:hAnsi="Times New Roman"/>
                <w:sz w:val="15"/>
                <w:szCs w:val="15"/>
                <w:color w:val="231F20"/>
              </w:rPr>
              <w:t>966</w:t>
            </w:r>
          </w:p>
        </w:tc>
        <w:tc>
          <w:tcPr>
            <w:tcW w:w="1680" w:type="dxa"/>
            <w:vAlign w:val="bottom"/>
            <w:gridSpan w:val="2"/>
            <w:shd w:val="clear" w:color="auto" w:fill="FDFDFC"/>
          </w:tcPr>
          <w:p>
            <w:pPr>
              <w:jc w:val="right"/>
              <w:spacing w:after="0" w:line="172" w:lineRule="exact"/>
              <w:rPr>
                <w:sz w:val="20"/>
                <w:szCs w:val="20"/>
                <w:color w:val="auto"/>
              </w:rPr>
            </w:pPr>
            <w:r>
              <w:rPr>
                <w:rFonts w:ascii="Times New Roman" w:cs="Times New Roman" w:eastAsia="Times New Roman" w:hAnsi="Times New Roman"/>
                <w:sz w:val="15"/>
                <w:szCs w:val="15"/>
                <w:color w:val="231F20"/>
              </w:rPr>
              <w:t>947</w:t>
            </w:r>
          </w:p>
        </w:tc>
        <w:tc>
          <w:tcPr>
            <w:tcW w:w="960" w:type="dxa"/>
            <w:vAlign w:val="bottom"/>
            <w:gridSpan w:val="2"/>
            <w:shd w:val="clear" w:color="auto" w:fill="FDFDFC"/>
          </w:tcPr>
          <w:p>
            <w:pPr>
              <w:jc w:val="right"/>
              <w:spacing w:after="0" w:line="172" w:lineRule="exact"/>
              <w:rPr>
                <w:sz w:val="20"/>
                <w:szCs w:val="20"/>
                <w:color w:val="auto"/>
              </w:rPr>
            </w:pPr>
            <w:r>
              <w:rPr>
                <w:rFonts w:ascii="Times New Roman" w:cs="Times New Roman" w:eastAsia="Times New Roman" w:hAnsi="Times New Roman"/>
                <w:sz w:val="15"/>
                <w:szCs w:val="15"/>
                <w:color w:val="231F20"/>
              </w:rPr>
              <w:t>0.1%</w:t>
            </w:r>
          </w:p>
        </w:tc>
        <w:tc>
          <w:tcPr>
            <w:tcW w:w="0" w:type="dxa"/>
            <w:vAlign w:val="bottom"/>
          </w:tcPr>
          <w:p>
            <w:pPr>
              <w:spacing w:after="0"/>
              <w:rPr>
                <w:sz w:val="1"/>
                <w:szCs w:val="1"/>
                <w:color w:val="auto"/>
              </w:rPr>
            </w:pPr>
          </w:p>
        </w:tc>
      </w:tr>
      <w:tr>
        <w:trPr>
          <w:trHeight w:val="189"/>
        </w:trPr>
        <w:tc>
          <w:tcPr>
            <w:tcW w:w="1540" w:type="dxa"/>
            <w:vAlign w:val="bottom"/>
            <w:shd w:val="clear" w:color="auto" w:fill="FDFDFC"/>
          </w:tcPr>
          <w:p>
            <w:pPr>
              <w:spacing w:after="0"/>
              <w:rPr>
                <w:sz w:val="16"/>
                <w:szCs w:val="16"/>
                <w:color w:val="auto"/>
              </w:rPr>
            </w:pPr>
          </w:p>
        </w:tc>
        <w:tc>
          <w:tcPr>
            <w:tcW w:w="2180" w:type="dxa"/>
            <w:vAlign w:val="bottom"/>
            <w:gridSpan w:val="2"/>
            <w:shd w:val="clear" w:color="auto" w:fill="FDFDFC"/>
          </w:tcPr>
          <w:p>
            <w:pPr>
              <w:ind w:left="100"/>
              <w:spacing w:after="0"/>
              <w:rPr>
                <w:sz w:val="20"/>
                <w:szCs w:val="20"/>
                <w:color w:val="auto"/>
              </w:rPr>
            </w:pPr>
            <w:r>
              <w:rPr>
                <w:rFonts w:ascii="Times New Roman" w:cs="Times New Roman" w:eastAsia="Times New Roman" w:hAnsi="Times New Roman"/>
                <w:sz w:val="15"/>
                <w:szCs w:val="15"/>
                <w:color w:val="231F20"/>
              </w:rPr>
              <w:t>10/2029)</w:t>
            </w:r>
          </w:p>
        </w:tc>
        <w:tc>
          <w:tcPr>
            <w:tcW w:w="100" w:type="dxa"/>
            <w:vAlign w:val="bottom"/>
            <w:shd w:val="clear" w:color="auto" w:fill="FDFDFC"/>
          </w:tcPr>
          <w:p>
            <w:pPr>
              <w:spacing w:after="0"/>
              <w:rPr>
                <w:sz w:val="16"/>
                <w:szCs w:val="16"/>
                <w:color w:val="auto"/>
              </w:rPr>
            </w:pPr>
          </w:p>
        </w:tc>
        <w:tc>
          <w:tcPr>
            <w:tcW w:w="760" w:type="dxa"/>
            <w:vAlign w:val="bottom"/>
            <w:shd w:val="clear" w:color="auto" w:fill="FDFDFC"/>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shd w:val="clear" w:color="auto" w:fill="FDFDFC"/>
          </w:tcPr>
          <w:p>
            <w:pPr>
              <w:spacing w:after="0"/>
              <w:rPr>
                <w:sz w:val="16"/>
                <w:szCs w:val="16"/>
                <w:color w:val="auto"/>
              </w:rPr>
            </w:pPr>
          </w:p>
        </w:tc>
        <w:tc>
          <w:tcPr>
            <w:tcW w:w="820" w:type="dxa"/>
            <w:vAlign w:val="bottom"/>
            <w:shd w:val="clear" w:color="auto" w:fill="FDFDFC"/>
          </w:tcPr>
          <w:p>
            <w:pPr>
              <w:spacing w:after="0"/>
              <w:rPr>
                <w:sz w:val="16"/>
                <w:szCs w:val="16"/>
                <w:color w:val="auto"/>
              </w:rPr>
            </w:pPr>
          </w:p>
        </w:tc>
        <w:tc>
          <w:tcPr>
            <w:tcW w:w="100" w:type="dxa"/>
            <w:vAlign w:val="bottom"/>
            <w:shd w:val="clear" w:color="auto" w:fill="FDFDFC"/>
          </w:tcPr>
          <w:p>
            <w:pPr>
              <w:spacing w:after="0"/>
              <w:rPr>
                <w:sz w:val="16"/>
                <w:szCs w:val="16"/>
                <w:color w:val="auto"/>
              </w:rPr>
            </w:pPr>
          </w:p>
        </w:tc>
        <w:tc>
          <w:tcPr>
            <w:tcW w:w="920" w:type="dxa"/>
            <w:vAlign w:val="bottom"/>
            <w:shd w:val="clear" w:color="auto" w:fill="FDFDFC"/>
          </w:tcPr>
          <w:p>
            <w:pPr>
              <w:spacing w:after="0"/>
              <w:rPr>
                <w:sz w:val="16"/>
                <w:szCs w:val="16"/>
                <w:color w:val="auto"/>
              </w:rPr>
            </w:pPr>
          </w:p>
        </w:tc>
        <w:tc>
          <w:tcPr>
            <w:tcW w:w="120" w:type="dxa"/>
            <w:vAlign w:val="bottom"/>
            <w:shd w:val="clear" w:color="auto" w:fill="FDFDFC"/>
          </w:tcPr>
          <w:p>
            <w:pPr>
              <w:spacing w:after="0"/>
              <w:rPr>
                <w:sz w:val="16"/>
                <w:szCs w:val="16"/>
                <w:color w:val="auto"/>
              </w:rPr>
            </w:pPr>
          </w:p>
        </w:tc>
        <w:tc>
          <w:tcPr>
            <w:tcW w:w="1000" w:type="dxa"/>
            <w:vAlign w:val="bottom"/>
            <w:shd w:val="clear" w:color="auto" w:fill="FDFDFC"/>
          </w:tcPr>
          <w:p>
            <w:pPr>
              <w:spacing w:after="0"/>
              <w:rPr>
                <w:sz w:val="16"/>
                <w:szCs w:val="16"/>
                <w:color w:val="auto"/>
              </w:rPr>
            </w:pPr>
          </w:p>
        </w:tc>
        <w:tc>
          <w:tcPr>
            <w:tcW w:w="80" w:type="dxa"/>
            <w:vAlign w:val="bottom"/>
            <w:shd w:val="clear" w:color="auto" w:fill="FDFDFC"/>
          </w:tcPr>
          <w:p>
            <w:pPr>
              <w:spacing w:after="0"/>
              <w:rPr>
                <w:sz w:val="16"/>
                <w:szCs w:val="16"/>
                <w:color w:val="auto"/>
              </w:rPr>
            </w:pPr>
          </w:p>
        </w:tc>
        <w:tc>
          <w:tcPr>
            <w:tcW w:w="1600" w:type="dxa"/>
            <w:vAlign w:val="bottom"/>
            <w:shd w:val="clear" w:color="auto" w:fill="FDFDFC"/>
          </w:tcPr>
          <w:p>
            <w:pPr>
              <w:jc w:val="right"/>
              <w:spacing w:after="0"/>
              <w:rPr>
                <w:sz w:val="20"/>
                <w:szCs w:val="20"/>
                <w:color w:val="auto"/>
              </w:rPr>
            </w:pPr>
            <w:r>
              <w:rPr>
                <w:rFonts w:ascii="Times New Roman" w:cs="Times New Roman" w:eastAsia="Times New Roman" w:hAnsi="Times New Roman"/>
                <w:sz w:val="15"/>
                <w:szCs w:val="15"/>
                <w:color w:val="231F20"/>
              </w:rPr>
              <w:t>(EUR 915)</w:t>
            </w:r>
          </w:p>
        </w:tc>
        <w:tc>
          <w:tcPr>
            <w:tcW w:w="100" w:type="dxa"/>
            <w:vAlign w:val="bottom"/>
            <w:shd w:val="clear" w:color="auto" w:fill="FDFDFC"/>
          </w:tcPr>
          <w:p>
            <w:pPr>
              <w:spacing w:after="0"/>
              <w:rPr>
                <w:sz w:val="16"/>
                <w:szCs w:val="16"/>
                <w:color w:val="auto"/>
              </w:rPr>
            </w:pPr>
          </w:p>
        </w:tc>
        <w:tc>
          <w:tcPr>
            <w:tcW w:w="860" w:type="dxa"/>
            <w:vAlign w:val="bottom"/>
            <w:shd w:val="clear" w:color="auto" w:fill="FDFDFC"/>
          </w:tcPr>
          <w:p>
            <w:pPr>
              <w:spacing w:after="0"/>
              <w:rPr>
                <w:sz w:val="16"/>
                <w:szCs w:val="16"/>
                <w:color w:val="auto"/>
              </w:rPr>
            </w:pPr>
          </w:p>
        </w:tc>
        <w:tc>
          <w:tcPr>
            <w:tcW w:w="0" w:type="dxa"/>
            <w:vAlign w:val="bottom"/>
          </w:tcPr>
          <w:p>
            <w:pPr>
              <w:spacing w:after="0"/>
              <w:rPr>
                <w:sz w:val="1"/>
                <w:szCs w:val="1"/>
                <w:color w:val="auto"/>
              </w:rPr>
            </w:pPr>
          </w:p>
        </w:tc>
      </w:tr>
      <w:tr>
        <w:trPr>
          <w:trHeight w:val="171"/>
        </w:trPr>
        <w:tc>
          <w:tcPr>
            <w:tcW w:w="1540" w:type="dxa"/>
            <w:vAlign w:val="bottom"/>
            <w:shd w:val="clear" w:color="auto" w:fill="D0EBF2"/>
          </w:tcPr>
          <w:p>
            <w:pPr>
              <w:spacing w:after="0"/>
              <w:rPr>
                <w:sz w:val="14"/>
                <w:szCs w:val="14"/>
                <w:color w:val="auto"/>
              </w:rPr>
            </w:pPr>
          </w:p>
        </w:tc>
        <w:tc>
          <w:tcPr>
            <w:tcW w:w="2180" w:type="dxa"/>
            <w:vAlign w:val="bottom"/>
            <w:gridSpan w:val="2"/>
            <w:shd w:val="clear" w:color="auto" w:fill="D0EBF2"/>
          </w:tcPr>
          <w:p>
            <w:pPr>
              <w:ind w:left="100"/>
              <w:spacing w:after="0" w:line="172" w:lineRule="exact"/>
              <w:rPr>
                <w:sz w:val="20"/>
                <w:szCs w:val="20"/>
                <w:color w:val="auto"/>
              </w:rPr>
            </w:pPr>
            <w:r>
              <w:rPr>
                <w:rFonts w:ascii="Times New Roman" w:cs="Times New Roman" w:eastAsia="Times New Roman" w:hAnsi="Times New Roman"/>
                <w:sz w:val="15"/>
                <w:szCs w:val="15"/>
                <w:color w:val="231F20"/>
              </w:rPr>
              <w:t>First-lien loan (EUR 910 par, due</w:t>
            </w:r>
          </w:p>
        </w:tc>
        <w:tc>
          <w:tcPr>
            <w:tcW w:w="860" w:type="dxa"/>
            <w:vAlign w:val="bottom"/>
            <w:gridSpan w:val="2"/>
            <w:shd w:val="clear" w:color="auto" w:fill="D0EBF2"/>
          </w:tcPr>
          <w:p>
            <w:pPr>
              <w:jc w:val="right"/>
              <w:spacing w:after="0" w:line="172" w:lineRule="exact"/>
              <w:rPr>
                <w:sz w:val="20"/>
                <w:szCs w:val="20"/>
                <w:color w:val="auto"/>
              </w:rPr>
            </w:pPr>
            <w:r>
              <w:rPr>
                <w:rFonts w:ascii="Times New Roman" w:cs="Times New Roman" w:eastAsia="Times New Roman" w:hAnsi="Times New Roman"/>
                <w:sz w:val="15"/>
                <w:szCs w:val="15"/>
                <w:color w:val="231F20"/>
              </w:rPr>
              <w:t>12/19/2024</w:t>
            </w:r>
          </w:p>
        </w:tc>
        <w:tc>
          <w:tcPr>
            <w:tcW w:w="20" w:type="dxa"/>
            <w:vAlign w:val="bottom"/>
          </w:tcPr>
          <w:p>
            <w:pPr>
              <w:spacing w:after="0"/>
              <w:rPr>
                <w:sz w:val="14"/>
                <w:szCs w:val="14"/>
                <w:color w:val="auto"/>
              </w:rPr>
            </w:pPr>
          </w:p>
        </w:tc>
        <w:tc>
          <w:tcPr>
            <w:tcW w:w="80" w:type="dxa"/>
            <w:vAlign w:val="bottom"/>
            <w:shd w:val="clear" w:color="auto" w:fill="D0EBF2"/>
          </w:tcPr>
          <w:p>
            <w:pPr>
              <w:spacing w:after="0"/>
              <w:rPr>
                <w:sz w:val="14"/>
                <w:szCs w:val="14"/>
                <w:color w:val="auto"/>
              </w:rPr>
            </w:pPr>
          </w:p>
        </w:tc>
        <w:tc>
          <w:tcPr>
            <w:tcW w:w="820" w:type="dxa"/>
            <w:vAlign w:val="bottom"/>
            <w:shd w:val="clear" w:color="auto" w:fill="D0EBF2"/>
          </w:tcPr>
          <w:p>
            <w:pPr>
              <w:jc w:val="right"/>
              <w:spacing w:after="0" w:line="172" w:lineRule="exact"/>
              <w:rPr>
                <w:sz w:val="20"/>
                <w:szCs w:val="20"/>
                <w:color w:val="auto"/>
              </w:rPr>
            </w:pPr>
            <w:r>
              <w:rPr>
                <w:rFonts w:ascii="Times New Roman" w:cs="Times New Roman" w:eastAsia="Times New Roman" w:hAnsi="Times New Roman"/>
                <w:sz w:val="15"/>
                <w:szCs w:val="15"/>
                <w:color w:val="231F20"/>
              </w:rPr>
              <w:t>E + 6.25%</w:t>
            </w:r>
          </w:p>
        </w:tc>
        <w:tc>
          <w:tcPr>
            <w:tcW w:w="1020" w:type="dxa"/>
            <w:vAlign w:val="bottom"/>
            <w:gridSpan w:val="2"/>
            <w:shd w:val="clear" w:color="auto" w:fill="D0EBF2"/>
          </w:tcPr>
          <w:p>
            <w:pPr>
              <w:jc w:val="right"/>
              <w:spacing w:after="0" w:line="172" w:lineRule="exact"/>
              <w:rPr>
                <w:sz w:val="20"/>
                <w:szCs w:val="20"/>
                <w:color w:val="auto"/>
              </w:rPr>
            </w:pPr>
            <w:r>
              <w:rPr>
                <w:rFonts w:ascii="Times New Roman" w:cs="Times New Roman" w:eastAsia="Times New Roman" w:hAnsi="Times New Roman"/>
                <w:sz w:val="15"/>
                <w:szCs w:val="15"/>
                <w:color w:val="231F20"/>
              </w:rPr>
              <w:t>9.12%</w:t>
            </w:r>
          </w:p>
        </w:tc>
        <w:tc>
          <w:tcPr>
            <w:tcW w:w="1120" w:type="dxa"/>
            <w:vAlign w:val="bottom"/>
            <w:gridSpan w:val="2"/>
            <w:shd w:val="clear" w:color="auto" w:fill="D0EBF2"/>
          </w:tcPr>
          <w:p>
            <w:pPr>
              <w:jc w:val="right"/>
              <w:spacing w:after="0" w:line="172" w:lineRule="exact"/>
              <w:rPr>
                <w:sz w:val="20"/>
                <w:szCs w:val="20"/>
                <w:color w:val="auto"/>
              </w:rPr>
            </w:pPr>
            <w:r>
              <w:rPr>
                <w:rFonts w:ascii="Times New Roman" w:cs="Times New Roman" w:eastAsia="Times New Roman" w:hAnsi="Times New Roman"/>
                <w:sz w:val="15"/>
                <w:szCs w:val="15"/>
                <w:color w:val="231F20"/>
              </w:rPr>
              <w:t>921</w:t>
            </w:r>
          </w:p>
        </w:tc>
        <w:tc>
          <w:tcPr>
            <w:tcW w:w="1680" w:type="dxa"/>
            <w:vAlign w:val="bottom"/>
            <w:gridSpan w:val="2"/>
            <w:shd w:val="clear" w:color="auto" w:fill="D0EBF2"/>
          </w:tcPr>
          <w:p>
            <w:pPr>
              <w:jc w:val="right"/>
              <w:spacing w:after="0" w:line="172" w:lineRule="exact"/>
              <w:rPr>
                <w:sz w:val="20"/>
                <w:szCs w:val="20"/>
                <w:color w:val="auto"/>
              </w:rPr>
            </w:pPr>
            <w:r>
              <w:rPr>
                <w:rFonts w:ascii="Times New Roman" w:cs="Times New Roman" w:eastAsia="Times New Roman" w:hAnsi="Times New Roman"/>
                <w:sz w:val="15"/>
                <w:szCs w:val="15"/>
                <w:color w:val="231F20"/>
              </w:rPr>
              <w:t>919</w:t>
            </w:r>
          </w:p>
        </w:tc>
        <w:tc>
          <w:tcPr>
            <w:tcW w:w="960" w:type="dxa"/>
            <w:vAlign w:val="bottom"/>
            <w:gridSpan w:val="2"/>
            <w:shd w:val="clear" w:color="auto" w:fill="D0EBF2"/>
          </w:tcPr>
          <w:p>
            <w:pPr>
              <w:jc w:val="right"/>
              <w:spacing w:after="0" w:line="172" w:lineRule="exact"/>
              <w:rPr>
                <w:sz w:val="20"/>
                <w:szCs w:val="20"/>
                <w:color w:val="auto"/>
              </w:rPr>
            </w:pPr>
            <w:r>
              <w:rPr>
                <w:rFonts w:ascii="Times New Roman" w:cs="Times New Roman" w:eastAsia="Times New Roman" w:hAnsi="Times New Roman"/>
                <w:sz w:val="15"/>
                <w:szCs w:val="15"/>
                <w:color w:val="231F20"/>
              </w:rPr>
              <w:t>0.1%</w:t>
            </w:r>
          </w:p>
        </w:tc>
        <w:tc>
          <w:tcPr>
            <w:tcW w:w="0" w:type="dxa"/>
            <w:vAlign w:val="bottom"/>
          </w:tcPr>
          <w:p>
            <w:pPr>
              <w:spacing w:after="0"/>
              <w:rPr>
                <w:sz w:val="1"/>
                <w:szCs w:val="1"/>
                <w:color w:val="auto"/>
              </w:rPr>
            </w:pPr>
          </w:p>
        </w:tc>
      </w:tr>
      <w:tr>
        <w:trPr>
          <w:trHeight w:val="189"/>
        </w:trPr>
        <w:tc>
          <w:tcPr>
            <w:tcW w:w="1540" w:type="dxa"/>
            <w:vAlign w:val="bottom"/>
            <w:shd w:val="clear" w:color="auto" w:fill="D0EBF2"/>
          </w:tcPr>
          <w:p>
            <w:pPr>
              <w:spacing w:after="0"/>
              <w:rPr>
                <w:sz w:val="16"/>
                <w:szCs w:val="16"/>
                <w:color w:val="auto"/>
              </w:rPr>
            </w:pPr>
          </w:p>
        </w:tc>
        <w:tc>
          <w:tcPr>
            <w:tcW w:w="2180" w:type="dxa"/>
            <w:vAlign w:val="bottom"/>
            <w:gridSpan w:val="2"/>
            <w:shd w:val="clear" w:color="auto" w:fill="D0EBF2"/>
          </w:tcPr>
          <w:p>
            <w:pPr>
              <w:ind w:left="100"/>
              <w:spacing w:after="0"/>
              <w:rPr>
                <w:sz w:val="20"/>
                <w:szCs w:val="20"/>
                <w:color w:val="auto"/>
              </w:rPr>
            </w:pPr>
            <w:r>
              <w:rPr>
                <w:rFonts w:ascii="Times New Roman" w:cs="Times New Roman" w:eastAsia="Times New Roman" w:hAnsi="Times New Roman"/>
                <w:sz w:val="15"/>
                <w:szCs w:val="15"/>
                <w:color w:val="231F20"/>
              </w:rPr>
              <w:t>10/2029)</w:t>
            </w:r>
          </w:p>
        </w:tc>
        <w:tc>
          <w:tcPr>
            <w:tcW w:w="100" w:type="dxa"/>
            <w:vAlign w:val="bottom"/>
            <w:shd w:val="clear" w:color="auto" w:fill="D0EBF2"/>
          </w:tcPr>
          <w:p>
            <w:pPr>
              <w:spacing w:after="0"/>
              <w:rPr>
                <w:sz w:val="16"/>
                <w:szCs w:val="16"/>
                <w:color w:val="auto"/>
              </w:rPr>
            </w:pPr>
          </w:p>
        </w:tc>
        <w:tc>
          <w:tcPr>
            <w:tcW w:w="760" w:type="dxa"/>
            <w:vAlign w:val="bottom"/>
            <w:shd w:val="clear" w:color="auto" w:fill="D0EBF2"/>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shd w:val="clear" w:color="auto" w:fill="D0EBF2"/>
          </w:tcPr>
          <w:p>
            <w:pPr>
              <w:spacing w:after="0"/>
              <w:rPr>
                <w:sz w:val="16"/>
                <w:szCs w:val="16"/>
                <w:color w:val="auto"/>
              </w:rPr>
            </w:pPr>
          </w:p>
        </w:tc>
        <w:tc>
          <w:tcPr>
            <w:tcW w:w="820" w:type="dxa"/>
            <w:vAlign w:val="bottom"/>
            <w:shd w:val="clear" w:color="auto" w:fill="D0EBF2"/>
          </w:tcPr>
          <w:p>
            <w:pPr>
              <w:spacing w:after="0"/>
              <w:rPr>
                <w:sz w:val="16"/>
                <w:szCs w:val="16"/>
                <w:color w:val="auto"/>
              </w:rPr>
            </w:pPr>
          </w:p>
        </w:tc>
        <w:tc>
          <w:tcPr>
            <w:tcW w:w="100" w:type="dxa"/>
            <w:vAlign w:val="bottom"/>
            <w:shd w:val="clear" w:color="auto" w:fill="D0EBF2"/>
          </w:tcPr>
          <w:p>
            <w:pPr>
              <w:spacing w:after="0"/>
              <w:rPr>
                <w:sz w:val="16"/>
                <w:szCs w:val="16"/>
                <w:color w:val="auto"/>
              </w:rPr>
            </w:pPr>
          </w:p>
        </w:tc>
        <w:tc>
          <w:tcPr>
            <w:tcW w:w="920" w:type="dxa"/>
            <w:vAlign w:val="bottom"/>
            <w:shd w:val="clear" w:color="auto" w:fill="D0EBF2"/>
          </w:tcPr>
          <w:p>
            <w:pPr>
              <w:spacing w:after="0"/>
              <w:rPr>
                <w:sz w:val="16"/>
                <w:szCs w:val="16"/>
                <w:color w:val="auto"/>
              </w:rPr>
            </w:pPr>
          </w:p>
        </w:tc>
        <w:tc>
          <w:tcPr>
            <w:tcW w:w="120" w:type="dxa"/>
            <w:vAlign w:val="bottom"/>
            <w:shd w:val="clear" w:color="auto" w:fill="D0EBF2"/>
          </w:tcPr>
          <w:p>
            <w:pPr>
              <w:spacing w:after="0"/>
              <w:rPr>
                <w:sz w:val="16"/>
                <w:szCs w:val="16"/>
                <w:color w:val="auto"/>
              </w:rPr>
            </w:pPr>
          </w:p>
        </w:tc>
        <w:tc>
          <w:tcPr>
            <w:tcW w:w="1000" w:type="dxa"/>
            <w:vAlign w:val="bottom"/>
            <w:shd w:val="clear" w:color="auto" w:fill="D0EBF2"/>
          </w:tcPr>
          <w:p>
            <w:pPr>
              <w:spacing w:after="0"/>
              <w:rPr>
                <w:sz w:val="16"/>
                <w:szCs w:val="16"/>
                <w:color w:val="auto"/>
              </w:rPr>
            </w:pPr>
          </w:p>
        </w:tc>
        <w:tc>
          <w:tcPr>
            <w:tcW w:w="80" w:type="dxa"/>
            <w:vAlign w:val="bottom"/>
            <w:shd w:val="clear" w:color="auto" w:fill="D0EBF2"/>
          </w:tcPr>
          <w:p>
            <w:pPr>
              <w:spacing w:after="0"/>
              <w:rPr>
                <w:sz w:val="16"/>
                <w:szCs w:val="16"/>
                <w:color w:val="auto"/>
              </w:rPr>
            </w:pPr>
          </w:p>
        </w:tc>
        <w:tc>
          <w:tcPr>
            <w:tcW w:w="1600" w:type="dxa"/>
            <w:vAlign w:val="bottom"/>
            <w:shd w:val="clear" w:color="auto" w:fill="D0EBF2"/>
          </w:tcPr>
          <w:p>
            <w:pPr>
              <w:jc w:val="right"/>
              <w:spacing w:after="0"/>
              <w:rPr>
                <w:sz w:val="20"/>
                <w:szCs w:val="20"/>
                <w:color w:val="auto"/>
              </w:rPr>
            </w:pPr>
            <w:r>
              <w:rPr>
                <w:rFonts w:ascii="Times New Roman" w:cs="Times New Roman" w:eastAsia="Times New Roman" w:hAnsi="Times New Roman"/>
                <w:sz w:val="15"/>
                <w:szCs w:val="15"/>
                <w:color w:val="231F20"/>
              </w:rPr>
              <w:t>(EUR 887)</w:t>
            </w:r>
          </w:p>
        </w:tc>
        <w:tc>
          <w:tcPr>
            <w:tcW w:w="100" w:type="dxa"/>
            <w:vAlign w:val="bottom"/>
            <w:shd w:val="clear" w:color="auto" w:fill="D0EBF2"/>
          </w:tcPr>
          <w:p>
            <w:pPr>
              <w:spacing w:after="0"/>
              <w:rPr>
                <w:sz w:val="16"/>
                <w:szCs w:val="16"/>
                <w:color w:val="auto"/>
              </w:rPr>
            </w:pPr>
          </w:p>
        </w:tc>
        <w:tc>
          <w:tcPr>
            <w:tcW w:w="860" w:type="dxa"/>
            <w:vAlign w:val="bottom"/>
            <w:shd w:val="clear" w:color="auto" w:fill="D0EBF2"/>
          </w:tcPr>
          <w:p>
            <w:pPr>
              <w:spacing w:after="0"/>
              <w:rPr>
                <w:sz w:val="16"/>
                <w:szCs w:val="16"/>
                <w:color w:val="auto"/>
              </w:rPr>
            </w:pPr>
          </w:p>
        </w:tc>
        <w:tc>
          <w:tcPr>
            <w:tcW w:w="0" w:type="dxa"/>
            <w:vAlign w:val="bottom"/>
          </w:tcPr>
          <w:p>
            <w:pPr>
              <w:spacing w:after="0"/>
              <w:rPr>
                <w:sz w:val="1"/>
                <w:szCs w:val="1"/>
                <w:color w:val="auto"/>
              </w:rPr>
            </w:pPr>
          </w:p>
        </w:tc>
      </w:tr>
      <w:tr>
        <w:trPr>
          <w:trHeight w:val="171"/>
        </w:trPr>
        <w:tc>
          <w:tcPr>
            <w:tcW w:w="1540" w:type="dxa"/>
            <w:vAlign w:val="bottom"/>
            <w:shd w:val="clear" w:color="auto" w:fill="FDFDFC"/>
          </w:tcPr>
          <w:p>
            <w:pPr>
              <w:spacing w:after="0" w:line="172" w:lineRule="exact"/>
              <w:rPr>
                <w:sz w:val="20"/>
                <w:szCs w:val="20"/>
                <w:color w:val="auto"/>
              </w:rPr>
            </w:pPr>
            <w:r>
              <w:rPr>
                <w:rFonts w:ascii="Times New Roman" w:cs="Times New Roman" w:eastAsia="Times New Roman" w:hAnsi="Times New Roman"/>
                <w:sz w:val="15"/>
                <w:szCs w:val="15"/>
                <w:color w:val="231F20"/>
              </w:rPr>
              <w:t xml:space="preserve">USA DeBusk, LLC </w:t>
            </w:r>
            <w:r>
              <w:rPr>
                <w:rFonts w:ascii="Times New Roman" w:cs="Times New Roman" w:eastAsia="Times New Roman" w:hAnsi="Times New Roman"/>
                <w:sz w:val="9"/>
                <w:szCs w:val="9"/>
                <w:color w:val="231F20"/>
              </w:rPr>
              <w:t>(3)</w:t>
            </w:r>
          </w:p>
        </w:tc>
        <w:tc>
          <w:tcPr>
            <w:tcW w:w="2180" w:type="dxa"/>
            <w:vAlign w:val="bottom"/>
            <w:gridSpan w:val="2"/>
            <w:shd w:val="clear" w:color="auto" w:fill="FDFDFC"/>
          </w:tcPr>
          <w:p>
            <w:pPr>
              <w:ind w:left="100"/>
              <w:spacing w:after="0" w:line="172" w:lineRule="exact"/>
              <w:rPr>
                <w:sz w:val="20"/>
                <w:szCs w:val="20"/>
                <w:color w:val="auto"/>
              </w:rPr>
            </w:pPr>
            <w:r>
              <w:rPr>
                <w:rFonts w:ascii="Times New Roman" w:cs="Times New Roman" w:eastAsia="Times New Roman" w:hAnsi="Times New Roman"/>
                <w:sz w:val="15"/>
                <w:szCs w:val="15"/>
                <w:color w:val="231F20"/>
              </w:rPr>
              <w:t>First-lien loan ($6,899 par, due</w:t>
            </w:r>
          </w:p>
        </w:tc>
        <w:tc>
          <w:tcPr>
            <w:tcW w:w="860" w:type="dxa"/>
            <w:vAlign w:val="bottom"/>
            <w:gridSpan w:val="2"/>
            <w:shd w:val="clear" w:color="auto" w:fill="FDFDFC"/>
          </w:tcPr>
          <w:p>
            <w:pPr>
              <w:jc w:val="right"/>
              <w:spacing w:after="0" w:line="172" w:lineRule="exact"/>
              <w:rPr>
                <w:sz w:val="20"/>
                <w:szCs w:val="20"/>
                <w:color w:val="auto"/>
              </w:rPr>
            </w:pPr>
            <w:r>
              <w:rPr>
                <w:rFonts w:ascii="Times New Roman" w:cs="Times New Roman" w:eastAsia="Times New Roman" w:hAnsi="Times New Roman"/>
                <w:sz w:val="15"/>
                <w:szCs w:val="15"/>
                <w:color w:val="231F20"/>
              </w:rPr>
              <w:t>4/30/2024</w:t>
            </w:r>
          </w:p>
        </w:tc>
        <w:tc>
          <w:tcPr>
            <w:tcW w:w="20" w:type="dxa"/>
            <w:vAlign w:val="bottom"/>
          </w:tcPr>
          <w:p>
            <w:pPr>
              <w:spacing w:after="0"/>
              <w:rPr>
                <w:sz w:val="14"/>
                <w:szCs w:val="14"/>
                <w:color w:val="auto"/>
              </w:rPr>
            </w:pPr>
          </w:p>
        </w:tc>
        <w:tc>
          <w:tcPr>
            <w:tcW w:w="80" w:type="dxa"/>
            <w:vAlign w:val="bottom"/>
            <w:shd w:val="clear" w:color="auto" w:fill="FDFDFC"/>
          </w:tcPr>
          <w:p>
            <w:pPr>
              <w:spacing w:after="0"/>
              <w:rPr>
                <w:sz w:val="14"/>
                <w:szCs w:val="14"/>
                <w:color w:val="auto"/>
              </w:rPr>
            </w:pPr>
          </w:p>
        </w:tc>
        <w:tc>
          <w:tcPr>
            <w:tcW w:w="820" w:type="dxa"/>
            <w:vAlign w:val="bottom"/>
            <w:shd w:val="clear" w:color="auto" w:fill="FDFDFC"/>
          </w:tcPr>
          <w:p>
            <w:pPr>
              <w:jc w:val="right"/>
              <w:spacing w:after="0" w:line="172" w:lineRule="exact"/>
              <w:rPr>
                <w:sz w:val="20"/>
                <w:szCs w:val="20"/>
                <w:color w:val="auto"/>
              </w:rPr>
            </w:pPr>
            <w:r>
              <w:rPr>
                <w:rFonts w:ascii="Times New Roman" w:cs="Times New Roman" w:eastAsia="Times New Roman" w:hAnsi="Times New Roman"/>
                <w:sz w:val="15"/>
                <w:szCs w:val="15"/>
                <w:color w:val="231F20"/>
              </w:rPr>
              <w:t>SOFR +</w:t>
            </w:r>
          </w:p>
        </w:tc>
        <w:tc>
          <w:tcPr>
            <w:tcW w:w="1020" w:type="dxa"/>
            <w:vAlign w:val="bottom"/>
            <w:gridSpan w:val="2"/>
            <w:shd w:val="clear" w:color="auto" w:fill="FDFDFC"/>
          </w:tcPr>
          <w:p>
            <w:pPr>
              <w:jc w:val="right"/>
              <w:spacing w:after="0" w:line="172" w:lineRule="exact"/>
              <w:rPr>
                <w:sz w:val="20"/>
                <w:szCs w:val="20"/>
                <w:color w:val="auto"/>
              </w:rPr>
            </w:pPr>
            <w:r>
              <w:rPr>
                <w:rFonts w:ascii="Times New Roman" w:cs="Times New Roman" w:eastAsia="Times New Roman" w:hAnsi="Times New Roman"/>
                <w:sz w:val="15"/>
                <w:szCs w:val="15"/>
                <w:color w:val="231F20"/>
              </w:rPr>
              <w:t>9.62%</w:t>
            </w:r>
          </w:p>
        </w:tc>
        <w:tc>
          <w:tcPr>
            <w:tcW w:w="1120" w:type="dxa"/>
            <w:vAlign w:val="bottom"/>
            <w:gridSpan w:val="2"/>
            <w:shd w:val="clear" w:color="auto" w:fill="FDFDFC"/>
          </w:tcPr>
          <w:p>
            <w:pPr>
              <w:jc w:val="right"/>
              <w:spacing w:after="0" w:line="172" w:lineRule="exact"/>
              <w:rPr>
                <w:sz w:val="20"/>
                <w:szCs w:val="20"/>
                <w:color w:val="auto"/>
              </w:rPr>
            </w:pPr>
            <w:r>
              <w:rPr>
                <w:rFonts w:ascii="Times New Roman" w:cs="Times New Roman" w:eastAsia="Times New Roman" w:hAnsi="Times New Roman"/>
                <w:sz w:val="15"/>
                <w:szCs w:val="15"/>
                <w:color w:val="231F20"/>
              </w:rPr>
              <w:t>6,789</w:t>
            </w:r>
          </w:p>
        </w:tc>
        <w:tc>
          <w:tcPr>
            <w:tcW w:w="1680" w:type="dxa"/>
            <w:vAlign w:val="bottom"/>
            <w:gridSpan w:val="2"/>
            <w:shd w:val="clear" w:color="auto" w:fill="FDFDFC"/>
          </w:tcPr>
          <w:p>
            <w:pPr>
              <w:jc w:val="right"/>
              <w:spacing w:after="0" w:line="172" w:lineRule="exact"/>
              <w:rPr>
                <w:sz w:val="20"/>
                <w:szCs w:val="20"/>
                <w:color w:val="auto"/>
              </w:rPr>
            </w:pPr>
            <w:r>
              <w:rPr>
                <w:rFonts w:ascii="Times New Roman" w:cs="Times New Roman" w:eastAsia="Times New Roman" w:hAnsi="Times New Roman"/>
                <w:sz w:val="15"/>
                <w:szCs w:val="15"/>
                <w:color w:val="231F20"/>
              </w:rPr>
              <w:t>6,899</w:t>
            </w:r>
          </w:p>
        </w:tc>
        <w:tc>
          <w:tcPr>
            <w:tcW w:w="960" w:type="dxa"/>
            <w:vAlign w:val="bottom"/>
            <w:gridSpan w:val="2"/>
            <w:shd w:val="clear" w:color="auto" w:fill="FDFDFC"/>
          </w:tcPr>
          <w:p>
            <w:pPr>
              <w:jc w:val="right"/>
              <w:spacing w:after="0" w:line="172" w:lineRule="exact"/>
              <w:rPr>
                <w:sz w:val="20"/>
                <w:szCs w:val="20"/>
                <w:color w:val="auto"/>
              </w:rPr>
            </w:pPr>
            <w:r>
              <w:rPr>
                <w:rFonts w:ascii="Times New Roman" w:cs="Times New Roman" w:eastAsia="Times New Roman" w:hAnsi="Times New Roman"/>
                <w:sz w:val="15"/>
                <w:szCs w:val="15"/>
                <w:color w:val="231F20"/>
              </w:rPr>
              <w:t>0.4%</w:t>
            </w:r>
          </w:p>
        </w:tc>
        <w:tc>
          <w:tcPr>
            <w:tcW w:w="0" w:type="dxa"/>
            <w:vAlign w:val="bottom"/>
          </w:tcPr>
          <w:p>
            <w:pPr>
              <w:spacing w:after="0"/>
              <w:rPr>
                <w:sz w:val="1"/>
                <w:szCs w:val="1"/>
                <w:color w:val="auto"/>
              </w:rPr>
            </w:pPr>
          </w:p>
        </w:tc>
      </w:tr>
      <w:tr>
        <w:trPr>
          <w:trHeight w:val="189"/>
        </w:trPr>
        <w:tc>
          <w:tcPr>
            <w:tcW w:w="1540" w:type="dxa"/>
            <w:vAlign w:val="bottom"/>
            <w:shd w:val="clear" w:color="auto" w:fill="FDFDFC"/>
          </w:tcPr>
          <w:p>
            <w:pPr>
              <w:spacing w:after="0"/>
              <w:rPr>
                <w:sz w:val="16"/>
                <w:szCs w:val="16"/>
                <w:color w:val="auto"/>
              </w:rPr>
            </w:pPr>
          </w:p>
        </w:tc>
        <w:tc>
          <w:tcPr>
            <w:tcW w:w="2180" w:type="dxa"/>
            <w:vAlign w:val="bottom"/>
            <w:gridSpan w:val="2"/>
            <w:shd w:val="clear" w:color="auto" w:fill="FDFDFC"/>
          </w:tcPr>
          <w:p>
            <w:pPr>
              <w:ind w:left="100"/>
              <w:spacing w:after="0"/>
              <w:rPr>
                <w:sz w:val="20"/>
                <w:szCs w:val="20"/>
                <w:color w:val="auto"/>
              </w:rPr>
            </w:pPr>
            <w:r>
              <w:rPr>
                <w:rFonts w:ascii="Times New Roman" w:cs="Times New Roman" w:eastAsia="Times New Roman" w:hAnsi="Times New Roman"/>
                <w:sz w:val="15"/>
                <w:szCs w:val="15"/>
                <w:color w:val="231F20"/>
              </w:rPr>
              <w:t>4/2031)</w:t>
            </w:r>
          </w:p>
        </w:tc>
        <w:tc>
          <w:tcPr>
            <w:tcW w:w="100" w:type="dxa"/>
            <w:vAlign w:val="bottom"/>
            <w:shd w:val="clear" w:color="auto" w:fill="FDFDFC"/>
          </w:tcPr>
          <w:p>
            <w:pPr>
              <w:spacing w:after="0"/>
              <w:rPr>
                <w:sz w:val="16"/>
                <w:szCs w:val="16"/>
                <w:color w:val="auto"/>
              </w:rPr>
            </w:pPr>
          </w:p>
        </w:tc>
        <w:tc>
          <w:tcPr>
            <w:tcW w:w="760" w:type="dxa"/>
            <w:vAlign w:val="bottom"/>
            <w:shd w:val="clear" w:color="auto" w:fill="FDFDFC"/>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gridSpan w:val="2"/>
            <w:shd w:val="clear" w:color="auto" w:fill="FDFDFC"/>
          </w:tcPr>
          <w:p>
            <w:pPr>
              <w:jc w:val="right"/>
              <w:spacing w:after="0"/>
              <w:rPr>
                <w:sz w:val="20"/>
                <w:szCs w:val="20"/>
                <w:color w:val="auto"/>
              </w:rPr>
            </w:pPr>
            <w:r>
              <w:rPr>
                <w:rFonts w:ascii="Times New Roman" w:cs="Times New Roman" w:eastAsia="Times New Roman" w:hAnsi="Times New Roman"/>
                <w:sz w:val="15"/>
                <w:szCs w:val="15"/>
                <w:color w:val="231F20"/>
              </w:rPr>
              <w:t>5.25%</w:t>
            </w:r>
          </w:p>
        </w:tc>
        <w:tc>
          <w:tcPr>
            <w:tcW w:w="100" w:type="dxa"/>
            <w:vAlign w:val="bottom"/>
            <w:shd w:val="clear" w:color="auto" w:fill="FDFDFC"/>
          </w:tcPr>
          <w:p>
            <w:pPr>
              <w:spacing w:after="0"/>
              <w:rPr>
                <w:sz w:val="16"/>
                <w:szCs w:val="16"/>
                <w:color w:val="auto"/>
              </w:rPr>
            </w:pPr>
          </w:p>
        </w:tc>
        <w:tc>
          <w:tcPr>
            <w:tcW w:w="920" w:type="dxa"/>
            <w:vAlign w:val="bottom"/>
            <w:shd w:val="clear" w:color="auto" w:fill="FDFDFC"/>
          </w:tcPr>
          <w:p>
            <w:pPr>
              <w:spacing w:after="0"/>
              <w:rPr>
                <w:sz w:val="16"/>
                <w:szCs w:val="16"/>
                <w:color w:val="auto"/>
              </w:rPr>
            </w:pPr>
          </w:p>
        </w:tc>
        <w:tc>
          <w:tcPr>
            <w:tcW w:w="120" w:type="dxa"/>
            <w:vAlign w:val="bottom"/>
            <w:shd w:val="clear" w:color="auto" w:fill="FDFDFC"/>
          </w:tcPr>
          <w:p>
            <w:pPr>
              <w:spacing w:after="0"/>
              <w:rPr>
                <w:sz w:val="16"/>
                <w:szCs w:val="16"/>
                <w:color w:val="auto"/>
              </w:rPr>
            </w:pPr>
          </w:p>
        </w:tc>
        <w:tc>
          <w:tcPr>
            <w:tcW w:w="1000" w:type="dxa"/>
            <w:vAlign w:val="bottom"/>
            <w:shd w:val="clear" w:color="auto" w:fill="FDFDFC"/>
          </w:tcPr>
          <w:p>
            <w:pPr>
              <w:spacing w:after="0"/>
              <w:rPr>
                <w:sz w:val="16"/>
                <w:szCs w:val="16"/>
                <w:color w:val="auto"/>
              </w:rPr>
            </w:pPr>
          </w:p>
        </w:tc>
        <w:tc>
          <w:tcPr>
            <w:tcW w:w="80" w:type="dxa"/>
            <w:vAlign w:val="bottom"/>
            <w:shd w:val="clear" w:color="auto" w:fill="FDFDFC"/>
          </w:tcPr>
          <w:p>
            <w:pPr>
              <w:spacing w:after="0"/>
              <w:rPr>
                <w:sz w:val="16"/>
                <w:szCs w:val="16"/>
                <w:color w:val="auto"/>
              </w:rPr>
            </w:pPr>
          </w:p>
        </w:tc>
        <w:tc>
          <w:tcPr>
            <w:tcW w:w="1600" w:type="dxa"/>
            <w:vAlign w:val="bottom"/>
            <w:shd w:val="clear" w:color="auto" w:fill="FDFDFC"/>
          </w:tcPr>
          <w:p>
            <w:pPr>
              <w:spacing w:after="0"/>
              <w:rPr>
                <w:sz w:val="16"/>
                <w:szCs w:val="16"/>
                <w:color w:val="auto"/>
              </w:rPr>
            </w:pPr>
          </w:p>
        </w:tc>
        <w:tc>
          <w:tcPr>
            <w:tcW w:w="100" w:type="dxa"/>
            <w:vAlign w:val="bottom"/>
            <w:shd w:val="clear" w:color="auto" w:fill="FDFDFC"/>
          </w:tcPr>
          <w:p>
            <w:pPr>
              <w:spacing w:after="0"/>
              <w:rPr>
                <w:sz w:val="16"/>
                <w:szCs w:val="16"/>
                <w:color w:val="auto"/>
              </w:rPr>
            </w:pPr>
          </w:p>
        </w:tc>
        <w:tc>
          <w:tcPr>
            <w:tcW w:w="860" w:type="dxa"/>
            <w:vAlign w:val="bottom"/>
            <w:shd w:val="clear" w:color="auto" w:fill="FDFDFC"/>
          </w:tcPr>
          <w:p>
            <w:pPr>
              <w:spacing w:after="0"/>
              <w:rPr>
                <w:sz w:val="16"/>
                <w:szCs w:val="16"/>
                <w:color w:val="auto"/>
              </w:rPr>
            </w:pPr>
          </w:p>
        </w:tc>
        <w:tc>
          <w:tcPr>
            <w:tcW w:w="0" w:type="dxa"/>
            <w:vAlign w:val="bottom"/>
          </w:tcPr>
          <w:p>
            <w:pPr>
              <w:spacing w:after="0"/>
              <w:rPr>
                <w:sz w:val="1"/>
                <w:szCs w:val="1"/>
                <w:color w:val="auto"/>
              </w:rPr>
            </w:pPr>
          </w:p>
        </w:tc>
      </w:tr>
      <w:tr>
        <w:trPr>
          <w:trHeight w:val="171"/>
        </w:trPr>
        <w:tc>
          <w:tcPr>
            <w:tcW w:w="1540" w:type="dxa"/>
            <w:vAlign w:val="bottom"/>
            <w:shd w:val="clear" w:color="auto" w:fill="D0EBF2"/>
          </w:tcPr>
          <w:p>
            <w:pPr>
              <w:spacing w:after="0"/>
              <w:rPr>
                <w:sz w:val="14"/>
                <w:szCs w:val="14"/>
                <w:color w:val="auto"/>
              </w:rPr>
            </w:pPr>
          </w:p>
        </w:tc>
        <w:tc>
          <w:tcPr>
            <w:tcW w:w="2180" w:type="dxa"/>
            <w:vAlign w:val="bottom"/>
            <w:gridSpan w:val="2"/>
            <w:shd w:val="clear" w:color="auto" w:fill="D0EBF2"/>
          </w:tcPr>
          <w:p>
            <w:pPr>
              <w:ind w:left="100"/>
              <w:spacing w:after="0" w:line="172" w:lineRule="exact"/>
              <w:rPr>
                <w:sz w:val="20"/>
                <w:szCs w:val="20"/>
                <w:color w:val="auto"/>
              </w:rPr>
            </w:pPr>
            <w:r>
              <w:rPr>
                <w:rFonts w:ascii="Times New Roman" w:cs="Times New Roman" w:eastAsia="Times New Roman" w:hAnsi="Times New Roman"/>
                <w:sz w:val="15"/>
                <w:szCs w:val="15"/>
                <w:color w:val="231F20"/>
              </w:rPr>
              <w:t>First-lien revolving loan ($275</w:t>
            </w:r>
          </w:p>
        </w:tc>
        <w:tc>
          <w:tcPr>
            <w:tcW w:w="860" w:type="dxa"/>
            <w:vAlign w:val="bottom"/>
            <w:gridSpan w:val="2"/>
            <w:shd w:val="clear" w:color="auto" w:fill="D0EBF2"/>
          </w:tcPr>
          <w:p>
            <w:pPr>
              <w:jc w:val="right"/>
              <w:spacing w:after="0" w:line="172" w:lineRule="exact"/>
              <w:rPr>
                <w:sz w:val="20"/>
                <w:szCs w:val="20"/>
                <w:color w:val="auto"/>
              </w:rPr>
            </w:pPr>
            <w:r>
              <w:rPr>
                <w:rFonts w:ascii="Times New Roman" w:cs="Times New Roman" w:eastAsia="Times New Roman" w:hAnsi="Times New Roman"/>
                <w:sz w:val="15"/>
                <w:szCs w:val="15"/>
                <w:color w:val="231F20"/>
              </w:rPr>
              <w:t>4/30/2024</w:t>
            </w:r>
          </w:p>
        </w:tc>
        <w:tc>
          <w:tcPr>
            <w:tcW w:w="20" w:type="dxa"/>
            <w:vAlign w:val="bottom"/>
          </w:tcPr>
          <w:p>
            <w:pPr>
              <w:spacing w:after="0"/>
              <w:rPr>
                <w:sz w:val="14"/>
                <w:szCs w:val="14"/>
                <w:color w:val="auto"/>
              </w:rPr>
            </w:pPr>
          </w:p>
        </w:tc>
        <w:tc>
          <w:tcPr>
            <w:tcW w:w="80" w:type="dxa"/>
            <w:vAlign w:val="bottom"/>
            <w:shd w:val="clear" w:color="auto" w:fill="D0EBF2"/>
          </w:tcPr>
          <w:p>
            <w:pPr>
              <w:spacing w:after="0"/>
              <w:rPr>
                <w:sz w:val="14"/>
                <w:szCs w:val="14"/>
                <w:color w:val="auto"/>
              </w:rPr>
            </w:pPr>
          </w:p>
        </w:tc>
        <w:tc>
          <w:tcPr>
            <w:tcW w:w="820" w:type="dxa"/>
            <w:vAlign w:val="bottom"/>
            <w:shd w:val="clear" w:color="auto" w:fill="D0EBF2"/>
          </w:tcPr>
          <w:p>
            <w:pPr>
              <w:jc w:val="right"/>
              <w:spacing w:after="0" w:line="172" w:lineRule="exact"/>
              <w:rPr>
                <w:sz w:val="20"/>
                <w:szCs w:val="20"/>
                <w:color w:val="auto"/>
              </w:rPr>
            </w:pPr>
            <w:r>
              <w:rPr>
                <w:rFonts w:ascii="Times New Roman" w:cs="Times New Roman" w:eastAsia="Times New Roman" w:hAnsi="Times New Roman"/>
                <w:sz w:val="15"/>
                <w:szCs w:val="15"/>
                <w:color w:val="231F20"/>
              </w:rPr>
              <w:t>SOFR +</w:t>
            </w:r>
          </w:p>
        </w:tc>
        <w:tc>
          <w:tcPr>
            <w:tcW w:w="1020" w:type="dxa"/>
            <w:vAlign w:val="bottom"/>
            <w:gridSpan w:val="2"/>
            <w:shd w:val="clear" w:color="auto" w:fill="D0EBF2"/>
          </w:tcPr>
          <w:p>
            <w:pPr>
              <w:jc w:val="right"/>
              <w:spacing w:after="0" w:line="172" w:lineRule="exact"/>
              <w:rPr>
                <w:sz w:val="20"/>
                <w:szCs w:val="20"/>
                <w:color w:val="auto"/>
              </w:rPr>
            </w:pPr>
            <w:r>
              <w:rPr>
                <w:rFonts w:ascii="Times New Roman" w:cs="Times New Roman" w:eastAsia="Times New Roman" w:hAnsi="Times New Roman"/>
                <w:sz w:val="15"/>
                <w:szCs w:val="15"/>
                <w:color w:val="231F20"/>
              </w:rPr>
              <w:t>9.59%</w:t>
            </w:r>
          </w:p>
        </w:tc>
        <w:tc>
          <w:tcPr>
            <w:tcW w:w="1120" w:type="dxa"/>
            <w:vAlign w:val="bottom"/>
            <w:gridSpan w:val="2"/>
            <w:shd w:val="clear" w:color="auto" w:fill="D0EBF2"/>
          </w:tcPr>
          <w:p>
            <w:pPr>
              <w:jc w:val="right"/>
              <w:spacing w:after="0" w:line="172" w:lineRule="exact"/>
              <w:rPr>
                <w:sz w:val="20"/>
                <w:szCs w:val="20"/>
                <w:color w:val="auto"/>
              </w:rPr>
            </w:pPr>
            <w:r>
              <w:rPr>
                <w:rFonts w:ascii="Times New Roman" w:cs="Times New Roman" w:eastAsia="Times New Roman" w:hAnsi="Times New Roman"/>
                <w:sz w:val="15"/>
                <w:szCs w:val="15"/>
                <w:color w:val="231F20"/>
              </w:rPr>
              <w:t>263</w:t>
            </w:r>
          </w:p>
        </w:tc>
        <w:tc>
          <w:tcPr>
            <w:tcW w:w="1680" w:type="dxa"/>
            <w:vAlign w:val="bottom"/>
            <w:gridSpan w:val="2"/>
            <w:shd w:val="clear" w:color="auto" w:fill="D0EBF2"/>
          </w:tcPr>
          <w:p>
            <w:pPr>
              <w:jc w:val="right"/>
              <w:spacing w:after="0" w:line="172" w:lineRule="exact"/>
              <w:rPr>
                <w:sz w:val="20"/>
                <w:szCs w:val="20"/>
                <w:color w:val="auto"/>
              </w:rPr>
            </w:pPr>
            <w:r>
              <w:rPr>
                <w:rFonts w:ascii="Times New Roman" w:cs="Times New Roman" w:eastAsia="Times New Roman" w:hAnsi="Times New Roman"/>
                <w:sz w:val="15"/>
                <w:szCs w:val="15"/>
                <w:color w:val="231F20"/>
              </w:rPr>
              <w:t>275</w:t>
            </w:r>
          </w:p>
        </w:tc>
        <w:tc>
          <w:tcPr>
            <w:tcW w:w="960" w:type="dxa"/>
            <w:vAlign w:val="bottom"/>
            <w:gridSpan w:val="2"/>
            <w:shd w:val="clear" w:color="auto" w:fill="D0EBF2"/>
          </w:tcPr>
          <w:p>
            <w:pPr>
              <w:jc w:val="right"/>
              <w:spacing w:after="0" w:line="172" w:lineRule="exact"/>
              <w:rPr>
                <w:sz w:val="20"/>
                <w:szCs w:val="20"/>
                <w:color w:val="auto"/>
              </w:rPr>
            </w:pPr>
            <w:r>
              <w:rPr>
                <w:rFonts w:ascii="Times New Roman" w:cs="Times New Roman" w:eastAsia="Times New Roman" w:hAnsi="Times New Roman"/>
                <w:sz w:val="15"/>
                <w:szCs w:val="15"/>
                <w:color w:val="231F20"/>
              </w:rPr>
              <w:t>0.0%</w:t>
            </w:r>
          </w:p>
        </w:tc>
        <w:tc>
          <w:tcPr>
            <w:tcW w:w="0" w:type="dxa"/>
            <w:vAlign w:val="bottom"/>
          </w:tcPr>
          <w:p>
            <w:pPr>
              <w:spacing w:after="0"/>
              <w:rPr>
                <w:sz w:val="1"/>
                <w:szCs w:val="1"/>
                <w:color w:val="auto"/>
              </w:rPr>
            </w:pPr>
          </w:p>
        </w:tc>
      </w:tr>
      <w:tr>
        <w:trPr>
          <w:trHeight w:val="189"/>
        </w:trPr>
        <w:tc>
          <w:tcPr>
            <w:tcW w:w="1540" w:type="dxa"/>
            <w:vAlign w:val="bottom"/>
            <w:shd w:val="clear" w:color="auto" w:fill="D0EBF2"/>
          </w:tcPr>
          <w:p>
            <w:pPr>
              <w:spacing w:after="0"/>
              <w:rPr>
                <w:sz w:val="16"/>
                <w:szCs w:val="16"/>
                <w:color w:val="auto"/>
              </w:rPr>
            </w:pPr>
          </w:p>
        </w:tc>
        <w:tc>
          <w:tcPr>
            <w:tcW w:w="2180" w:type="dxa"/>
            <w:vAlign w:val="bottom"/>
            <w:gridSpan w:val="2"/>
            <w:shd w:val="clear" w:color="auto" w:fill="D0EBF2"/>
          </w:tcPr>
          <w:p>
            <w:pPr>
              <w:ind w:left="100"/>
              <w:spacing w:after="0"/>
              <w:rPr>
                <w:sz w:val="20"/>
                <w:szCs w:val="20"/>
                <w:color w:val="auto"/>
              </w:rPr>
            </w:pPr>
            <w:r>
              <w:rPr>
                <w:rFonts w:ascii="Times New Roman" w:cs="Times New Roman" w:eastAsia="Times New Roman" w:hAnsi="Times New Roman"/>
                <w:sz w:val="15"/>
                <w:szCs w:val="15"/>
                <w:color w:val="231F20"/>
              </w:rPr>
              <w:t>par, due 4/2030)</w:t>
            </w:r>
          </w:p>
        </w:tc>
        <w:tc>
          <w:tcPr>
            <w:tcW w:w="100" w:type="dxa"/>
            <w:vAlign w:val="bottom"/>
            <w:shd w:val="clear" w:color="auto" w:fill="D0EBF2"/>
          </w:tcPr>
          <w:p>
            <w:pPr>
              <w:spacing w:after="0"/>
              <w:rPr>
                <w:sz w:val="16"/>
                <w:szCs w:val="16"/>
                <w:color w:val="auto"/>
              </w:rPr>
            </w:pPr>
          </w:p>
        </w:tc>
        <w:tc>
          <w:tcPr>
            <w:tcW w:w="760" w:type="dxa"/>
            <w:vAlign w:val="bottom"/>
            <w:shd w:val="clear" w:color="auto" w:fill="D0EBF2"/>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gridSpan w:val="2"/>
            <w:shd w:val="clear" w:color="auto" w:fill="D0EBF2"/>
          </w:tcPr>
          <w:p>
            <w:pPr>
              <w:jc w:val="right"/>
              <w:spacing w:after="0"/>
              <w:rPr>
                <w:sz w:val="20"/>
                <w:szCs w:val="20"/>
                <w:color w:val="auto"/>
              </w:rPr>
            </w:pPr>
            <w:r>
              <w:rPr>
                <w:rFonts w:ascii="Times New Roman" w:cs="Times New Roman" w:eastAsia="Times New Roman" w:hAnsi="Times New Roman"/>
                <w:sz w:val="15"/>
                <w:szCs w:val="15"/>
                <w:color w:val="231F20"/>
              </w:rPr>
              <w:t>5.25%</w:t>
            </w:r>
          </w:p>
        </w:tc>
        <w:tc>
          <w:tcPr>
            <w:tcW w:w="100" w:type="dxa"/>
            <w:vAlign w:val="bottom"/>
            <w:shd w:val="clear" w:color="auto" w:fill="D0EBF2"/>
          </w:tcPr>
          <w:p>
            <w:pPr>
              <w:spacing w:after="0"/>
              <w:rPr>
                <w:sz w:val="16"/>
                <w:szCs w:val="16"/>
                <w:color w:val="auto"/>
              </w:rPr>
            </w:pPr>
          </w:p>
        </w:tc>
        <w:tc>
          <w:tcPr>
            <w:tcW w:w="920" w:type="dxa"/>
            <w:vAlign w:val="bottom"/>
            <w:shd w:val="clear" w:color="auto" w:fill="D0EBF2"/>
          </w:tcPr>
          <w:p>
            <w:pPr>
              <w:spacing w:after="0"/>
              <w:rPr>
                <w:sz w:val="16"/>
                <w:szCs w:val="16"/>
                <w:color w:val="auto"/>
              </w:rPr>
            </w:pPr>
          </w:p>
        </w:tc>
        <w:tc>
          <w:tcPr>
            <w:tcW w:w="120" w:type="dxa"/>
            <w:vAlign w:val="bottom"/>
            <w:shd w:val="clear" w:color="auto" w:fill="D0EBF2"/>
          </w:tcPr>
          <w:p>
            <w:pPr>
              <w:spacing w:after="0"/>
              <w:rPr>
                <w:sz w:val="16"/>
                <w:szCs w:val="16"/>
                <w:color w:val="auto"/>
              </w:rPr>
            </w:pPr>
          </w:p>
        </w:tc>
        <w:tc>
          <w:tcPr>
            <w:tcW w:w="1000" w:type="dxa"/>
            <w:vAlign w:val="bottom"/>
            <w:shd w:val="clear" w:color="auto" w:fill="D0EBF2"/>
          </w:tcPr>
          <w:p>
            <w:pPr>
              <w:spacing w:after="0"/>
              <w:rPr>
                <w:sz w:val="16"/>
                <w:szCs w:val="16"/>
                <w:color w:val="auto"/>
              </w:rPr>
            </w:pPr>
          </w:p>
        </w:tc>
        <w:tc>
          <w:tcPr>
            <w:tcW w:w="80" w:type="dxa"/>
            <w:vAlign w:val="bottom"/>
            <w:shd w:val="clear" w:color="auto" w:fill="D0EBF2"/>
          </w:tcPr>
          <w:p>
            <w:pPr>
              <w:spacing w:after="0"/>
              <w:rPr>
                <w:sz w:val="16"/>
                <w:szCs w:val="16"/>
                <w:color w:val="auto"/>
              </w:rPr>
            </w:pPr>
          </w:p>
        </w:tc>
        <w:tc>
          <w:tcPr>
            <w:tcW w:w="1600" w:type="dxa"/>
            <w:vAlign w:val="bottom"/>
            <w:shd w:val="clear" w:color="auto" w:fill="D0EBF2"/>
          </w:tcPr>
          <w:p>
            <w:pPr>
              <w:spacing w:after="0"/>
              <w:rPr>
                <w:sz w:val="16"/>
                <w:szCs w:val="16"/>
                <w:color w:val="auto"/>
              </w:rPr>
            </w:pPr>
          </w:p>
        </w:tc>
        <w:tc>
          <w:tcPr>
            <w:tcW w:w="100" w:type="dxa"/>
            <w:vAlign w:val="bottom"/>
            <w:shd w:val="clear" w:color="auto" w:fill="D0EBF2"/>
          </w:tcPr>
          <w:p>
            <w:pPr>
              <w:spacing w:after="0"/>
              <w:rPr>
                <w:sz w:val="16"/>
                <w:szCs w:val="16"/>
                <w:color w:val="auto"/>
              </w:rPr>
            </w:pPr>
          </w:p>
        </w:tc>
        <w:tc>
          <w:tcPr>
            <w:tcW w:w="860" w:type="dxa"/>
            <w:vAlign w:val="bottom"/>
            <w:shd w:val="clear" w:color="auto" w:fill="D0EBF2"/>
          </w:tcPr>
          <w:p>
            <w:pPr>
              <w:spacing w:after="0"/>
              <w:rPr>
                <w:sz w:val="16"/>
                <w:szCs w:val="16"/>
                <w:color w:val="auto"/>
              </w:rPr>
            </w:pPr>
          </w:p>
        </w:tc>
        <w:tc>
          <w:tcPr>
            <w:tcW w:w="0" w:type="dxa"/>
            <w:vAlign w:val="bottom"/>
          </w:tcPr>
          <w:p>
            <w:pPr>
              <w:spacing w:after="0"/>
              <w:rPr>
                <w:sz w:val="1"/>
                <w:szCs w:val="1"/>
                <w:color w:val="auto"/>
              </w:rPr>
            </w:pPr>
          </w:p>
        </w:tc>
      </w:tr>
      <w:tr>
        <w:trPr>
          <w:trHeight w:val="171"/>
        </w:trPr>
        <w:tc>
          <w:tcPr>
            <w:tcW w:w="1540" w:type="dxa"/>
            <w:vAlign w:val="bottom"/>
            <w:shd w:val="clear" w:color="auto" w:fill="FDFDFC"/>
          </w:tcPr>
          <w:p>
            <w:pPr>
              <w:spacing w:after="0" w:line="172" w:lineRule="exact"/>
              <w:rPr>
                <w:sz w:val="20"/>
                <w:szCs w:val="20"/>
                <w:color w:val="auto"/>
              </w:rPr>
            </w:pPr>
            <w:r>
              <w:rPr>
                <w:rFonts w:ascii="Times New Roman" w:cs="Times New Roman" w:eastAsia="Times New Roman" w:hAnsi="Times New Roman"/>
                <w:sz w:val="15"/>
                <w:szCs w:val="15"/>
                <w:color w:val="231F20"/>
              </w:rPr>
              <w:t>Wrangler TopCo, LLC</w:t>
            </w:r>
          </w:p>
        </w:tc>
        <w:tc>
          <w:tcPr>
            <w:tcW w:w="2180" w:type="dxa"/>
            <w:vAlign w:val="bottom"/>
            <w:gridSpan w:val="2"/>
            <w:shd w:val="clear" w:color="auto" w:fill="FDFDFC"/>
          </w:tcPr>
          <w:p>
            <w:pPr>
              <w:ind w:left="100"/>
              <w:spacing w:after="0" w:line="172" w:lineRule="exact"/>
              <w:rPr>
                <w:sz w:val="20"/>
                <w:szCs w:val="20"/>
                <w:color w:val="auto"/>
              </w:rPr>
            </w:pPr>
            <w:r>
              <w:rPr>
                <w:rFonts w:ascii="Times New Roman" w:cs="Times New Roman" w:eastAsia="Times New Roman" w:hAnsi="Times New Roman"/>
                <w:sz w:val="15"/>
                <w:szCs w:val="15"/>
                <w:color w:val="231F20"/>
              </w:rPr>
              <w:t>First-lien loan ($5,484 par, due</w:t>
            </w:r>
          </w:p>
        </w:tc>
        <w:tc>
          <w:tcPr>
            <w:tcW w:w="860" w:type="dxa"/>
            <w:vAlign w:val="bottom"/>
            <w:gridSpan w:val="2"/>
            <w:shd w:val="clear" w:color="auto" w:fill="FDFDFC"/>
          </w:tcPr>
          <w:p>
            <w:pPr>
              <w:jc w:val="right"/>
              <w:spacing w:after="0" w:line="172" w:lineRule="exact"/>
              <w:rPr>
                <w:sz w:val="20"/>
                <w:szCs w:val="20"/>
                <w:color w:val="auto"/>
              </w:rPr>
            </w:pPr>
            <w:r>
              <w:rPr>
                <w:rFonts w:ascii="Times New Roman" w:cs="Times New Roman" w:eastAsia="Times New Roman" w:hAnsi="Times New Roman"/>
                <w:sz w:val="15"/>
                <w:szCs w:val="15"/>
                <w:color w:val="231F20"/>
              </w:rPr>
              <w:t>7/7/2023</w:t>
            </w:r>
          </w:p>
        </w:tc>
        <w:tc>
          <w:tcPr>
            <w:tcW w:w="20" w:type="dxa"/>
            <w:vAlign w:val="bottom"/>
          </w:tcPr>
          <w:p>
            <w:pPr>
              <w:spacing w:after="0"/>
              <w:rPr>
                <w:sz w:val="14"/>
                <w:szCs w:val="14"/>
                <w:color w:val="auto"/>
              </w:rPr>
            </w:pPr>
          </w:p>
        </w:tc>
        <w:tc>
          <w:tcPr>
            <w:tcW w:w="80" w:type="dxa"/>
            <w:vAlign w:val="bottom"/>
            <w:shd w:val="clear" w:color="auto" w:fill="FDFDFC"/>
          </w:tcPr>
          <w:p>
            <w:pPr>
              <w:spacing w:after="0"/>
              <w:rPr>
                <w:sz w:val="14"/>
                <w:szCs w:val="14"/>
                <w:color w:val="auto"/>
              </w:rPr>
            </w:pPr>
          </w:p>
        </w:tc>
        <w:tc>
          <w:tcPr>
            <w:tcW w:w="820" w:type="dxa"/>
            <w:vAlign w:val="bottom"/>
            <w:shd w:val="clear" w:color="auto" w:fill="FDFDFC"/>
          </w:tcPr>
          <w:p>
            <w:pPr>
              <w:jc w:val="right"/>
              <w:spacing w:after="0" w:line="172" w:lineRule="exact"/>
              <w:rPr>
                <w:sz w:val="20"/>
                <w:szCs w:val="20"/>
                <w:color w:val="auto"/>
              </w:rPr>
            </w:pPr>
            <w:r>
              <w:rPr>
                <w:rFonts w:ascii="Times New Roman" w:cs="Times New Roman" w:eastAsia="Times New Roman" w:hAnsi="Times New Roman"/>
                <w:sz w:val="15"/>
                <w:szCs w:val="15"/>
                <w:color w:val="231F20"/>
              </w:rPr>
              <w:t>SOFR +</w:t>
            </w:r>
          </w:p>
        </w:tc>
        <w:tc>
          <w:tcPr>
            <w:tcW w:w="1020" w:type="dxa"/>
            <w:vAlign w:val="bottom"/>
            <w:gridSpan w:val="2"/>
            <w:shd w:val="clear" w:color="auto" w:fill="FDFDFC"/>
          </w:tcPr>
          <w:p>
            <w:pPr>
              <w:jc w:val="right"/>
              <w:spacing w:after="0" w:line="172" w:lineRule="exact"/>
              <w:rPr>
                <w:sz w:val="20"/>
                <w:szCs w:val="20"/>
                <w:color w:val="auto"/>
              </w:rPr>
            </w:pPr>
            <w:r>
              <w:rPr>
                <w:rFonts w:ascii="Times New Roman" w:cs="Times New Roman" w:eastAsia="Times New Roman" w:hAnsi="Times New Roman"/>
                <w:sz w:val="15"/>
                <w:szCs w:val="15"/>
                <w:color w:val="231F20"/>
              </w:rPr>
              <w:t>10.38%</w:t>
            </w:r>
          </w:p>
        </w:tc>
        <w:tc>
          <w:tcPr>
            <w:tcW w:w="1120" w:type="dxa"/>
            <w:vAlign w:val="bottom"/>
            <w:gridSpan w:val="2"/>
            <w:shd w:val="clear" w:color="auto" w:fill="FDFDFC"/>
          </w:tcPr>
          <w:p>
            <w:pPr>
              <w:jc w:val="right"/>
              <w:spacing w:after="0" w:line="172" w:lineRule="exact"/>
              <w:rPr>
                <w:sz w:val="20"/>
                <w:szCs w:val="20"/>
                <w:color w:val="auto"/>
              </w:rPr>
            </w:pPr>
            <w:r>
              <w:rPr>
                <w:rFonts w:ascii="Times New Roman" w:cs="Times New Roman" w:eastAsia="Times New Roman" w:hAnsi="Times New Roman"/>
                <w:sz w:val="15"/>
                <w:szCs w:val="15"/>
                <w:color w:val="231F20"/>
              </w:rPr>
              <w:t>5,369</w:t>
            </w:r>
          </w:p>
        </w:tc>
        <w:tc>
          <w:tcPr>
            <w:tcW w:w="1680" w:type="dxa"/>
            <w:vAlign w:val="bottom"/>
            <w:gridSpan w:val="2"/>
            <w:shd w:val="clear" w:color="auto" w:fill="FDFDFC"/>
          </w:tcPr>
          <w:p>
            <w:pPr>
              <w:jc w:val="right"/>
              <w:spacing w:after="0" w:line="172" w:lineRule="exact"/>
              <w:rPr>
                <w:sz w:val="20"/>
                <w:szCs w:val="20"/>
                <w:color w:val="auto"/>
              </w:rPr>
            </w:pPr>
            <w:r>
              <w:rPr>
                <w:rFonts w:ascii="Times New Roman" w:cs="Times New Roman" w:eastAsia="Times New Roman" w:hAnsi="Times New Roman"/>
                <w:sz w:val="15"/>
                <w:szCs w:val="15"/>
                <w:color w:val="231F20"/>
              </w:rPr>
              <w:t>5,553</w:t>
            </w:r>
          </w:p>
        </w:tc>
        <w:tc>
          <w:tcPr>
            <w:tcW w:w="960" w:type="dxa"/>
            <w:vAlign w:val="bottom"/>
            <w:gridSpan w:val="2"/>
            <w:shd w:val="clear" w:color="auto" w:fill="FDFDFC"/>
          </w:tcPr>
          <w:p>
            <w:pPr>
              <w:jc w:val="right"/>
              <w:spacing w:after="0" w:line="172" w:lineRule="exact"/>
              <w:rPr>
                <w:sz w:val="20"/>
                <w:szCs w:val="20"/>
                <w:color w:val="auto"/>
              </w:rPr>
            </w:pPr>
            <w:r>
              <w:rPr>
                <w:rFonts w:ascii="Times New Roman" w:cs="Times New Roman" w:eastAsia="Times New Roman" w:hAnsi="Times New Roman"/>
                <w:sz w:val="15"/>
                <w:szCs w:val="15"/>
                <w:color w:val="231F20"/>
              </w:rPr>
              <w:t>0.3%</w:t>
            </w:r>
          </w:p>
        </w:tc>
        <w:tc>
          <w:tcPr>
            <w:tcW w:w="0" w:type="dxa"/>
            <w:vAlign w:val="bottom"/>
          </w:tcPr>
          <w:p>
            <w:pPr>
              <w:spacing w:after="0"/>
              <w:rPr>
                <w:sz w:val="1"/>
                <w:szCs w:val="1"/>
                <w:color w:val="auto"/>
              </w:rPr>
            </w:pPr>
          </w:p>
        </w:tc>
      </w:tr>
      <w:tr>
        <w:trPr>
          <w:trHeight w:val="111"/>
        </w:trPr>
        <w:tc>
          <w:tcPr>
            <w:tcW w:w="1540" w:type="dxa"/>
            <w:vAlign w:val="bottom"/>
            <w:vMerge w:val="restart"/>
            <w:shd w:val="clear" w:color="auto" w:fill="FDFDFC"/>
          </w:tcPr>
          <w:p>
            <w:pPr>
              <w:spacing w:after="0"/>
              <w:rPr>
                <w:sz w:val="20"/>
                <w:szCs w:val="20"/>
                <w:color w:val="auto"/>
              </w:rPr>
            </w:pPr>
            <w:r>
              <w:rPr>
                <w:rFonts w:ascii="Times New Roman" w:cs="Times New Roman" w:eastAsia="Times New Roman" w:hAnsi="Times New Roman"/>
                <w:sz w:val="9"/>
                <w:szCs w:val="9"/>
                <w:color w:val="231F20"/>
              </w:rPr>
              <w:t>(3)</w:t>
            </w:r>
          </w:p>
        </w:tc>
        <w:tc>
          <w:tcPr>
            <w:tcW w:w="2180" w:type="dxa"/>
            <w:vAlign w:val="bottom"/>
            <w:gridSpan w:val="2"/>
            <w:shd w:val="clear" w:color="auto" w:fill="FDFDFC"/>
          </w:tcPr>
          <w:p>
            <w:pPr>
              <w:ind w:left="100"/>
              <w:spacing w:after="0" w:line="111" w:lineRule="exact"/>
              <w:rPr>
                <w:sz w:val="20"/>
                <w:szCs w:val="20"/>
                <w:color w:val="auto"/>
              </w:rPr>
            </w:pPr>
            <w:r>
              <w:rPr>
                <w:rFonts w:ascii="Times New Roman" w:cs="Times New Roman" w:eastAsia="Times New Roman" w:hAnsi="Times New Roman"/>
                <w:sz w:val="12"/>
                <w:szCs w:val="12"/>
                <w:color w:val="231F20"/>
              </w:rPr>
              <w:t>9/2029)</w:t>
            </w:r>
          </w:p>
        </w:tc>
        <w:tc>
          <w:tcPr>
            <w:tcW w:w="100" w:type="dxa"/>
            <w:vAlign w:val="bottom"/>
            <w:shd w:val="clear" w:color="auto" w:fill="FDFDFC"/>
          </w:tcPr>
          <w:p>
            <w:pPr>
              <w:spacing w:after="0"/>
              <w:rPr>
                <w:sz w:val="9"/>
                <w:szCs w:val="9"/>
                <w:color w:val="auto"/>
              </w:rPr>
            </w:pPr>
          </w:p>
        </w:tc>
        <w:tc>
          <w:tcPr>
            <w:tcW w:w="760" w:type="dxa"/>
            <w:vAlign w:val="bottom"/>
            <w:shd w:val="clear" w:color="auto" w:fill="FDFDFC"/>
          </w:tcPr>
          <w:p>
            <w:pPr>
              <w:spacing w:after="0"/>
              <w:rPr>
                <w:sz w:val="9"/>
                <w:szCs w:val="9"/>
                <w:color w:val="auto"/>
              </w:rPr>
            </w:pPr>
          </w:p>
        </w:tc>
        <w:tc>
          <w:tcPr>
            <w:tcW w:w="20" w:type="dxa"/>
            <w:vAlign w:val="bottom"/>
          </w:tcPr>
          <w:p>
            <w:pPr>
              <w:spacing w:after="0"/>
              <w:rPr>
                <w:sz w:val="9"/>
                <w:szCs w:val="9"/>
                <w:color w:val="auto"/>
              </w:rPr>
            </w:pPr>
          </w:p>
        </w:tc>
        <w:tc>
          <w:tcPr>
            <w:tcW w:w="900" w:type="dxa"/>
            <w:vAlign w:val="bottom"/>
            <w:gridSpan w:val="2"/>
            <w:shd w:val="clear" w:color="auto" w:fill="FDFDFC"/>
          </w:tcPr>
          <w:p>
            <w:pPr>
              <w:jc w:val="right"/>
              <w:spacing w:after="0" w:line="111" w:lineRule="exact"/>
              <w:rPr>
                <w:sz w:val="20"/>
                <w:szCs w:val="20"/>
                <w:color w:val="auto"/>
              </w:rPr>
            </w:pPr>
            <w:r>
              <w:rPr>
                <w:rFonts w:ascii="Times New Roman" w:cs="Times New Roman" w:eastAsia="Times New Roman" w:hAnsi="Times New Roman"/>
                <w:sz w:val="12"/>
                <w:szCs w:val="12"/>
                <w:color w:val="231F20"/>
              </w:rPr>
              <w:t>6.00%</w:t>
            </w:r>
          </w:p>
        </w:tc>
        <w:tc>
          <w:tcPr>
            <w:tcW w:w="100" w:type="dxa"/>
            <w:vAlign w:val="bottom"/>
            <w:shd w:val="clear" w:color="auto" w:fill="FDFDFC"/>
          </w:tcPr>
          <w:p>
            <w:pPr>
              <w:spacing w:after="0"/>
              <w:rPr>
                <w:sz w:val="9"/>
                <w:szCs w:val="9"/>
                <w:color w:val="auto"/>
              </w:rPr>
            </w:pPr>
          </w:p>
        </w:tc>
        <w:tc>
          <w:tcPr>
            <w:tcW w:w="920" w:type="dxa"/>
            <w:vAlign w:val="bottom"/>
            <w:shd w:val="clear" w:color="auto" w:fill="FDFDFC"/>
          </w:tcPr>
          <w:p>
            <w:pPr>
              <w:spacing w:after="0"/>
              <w:rPr>
                <w:sz w:val="9"/>
                <w:szCs w:val="9"/>
                <w:color w:val="auto"/>
              </w:rPr>
            </w:pPr>
          </w:p>
        </w:tc>
        <w:tc>
          <w:tcPr>
            <w:tcW w:w="120" w:type="dxa"/>
            <w:vAlign w:val="bottom"/>
            <w:shd w:val="clear" w:color="auto" w:fill="FDFDFC"/>
          </w:tcPr>
          <w:p>
            <w:pPr>
              <w:spacing w:after="0"/>
              <w:rPr>
                <w:sz w:val="9"/>
                <w:szCs w:val="9"/>
                <w:color w:val="auto"/>
              </w:rPr>
            </w:pPr>
          </w:p>
        </w:tc>
        <w:tc>
          <w:tcPr>
            <w:tcW w:w="1000" w:type="dxa"/>
            <w:vAlign w:val="bottom"/>
            <w:shd w:val="clear" w:color="auto" w:fill="FDFDFC"/>
          </w:tcPr>
          <w:p>
            <w:pPr>
              <w:spacing w:after="0"/>
              <w:rPr>
                <w:sz w:val="9"/>
                <w:szCs w:val="9"/>
                <w:color w:val="auto"/>
              </w:rPr>
            </w:pPr>
          </w:p>
        </w:tc>
        <w:tc>
          <w:tcPr>
            <w:tcW w:w="80" w:type="dxa"/>
            <w:vAlign w:val="bottom"/>
            <w:shd w:val="clear" w:color="auto" w:fill="FDFDFC"/>
          </w:tcPr>
          <w:p>
            <w:pPr>
              <w:spacing w:after="0"/>
              <w:rPr>
                <w:sz w:val="9"/>
                <w:szCs w:val="9"/>
                <w:color w:val="auto"/>
              </w:rPr>
            </w:pPr>
          </w:p>
        </w:tc>
        <w:tc>
          <w:tcPr>
            <w:tcW w:w="1600" w:type="dxa"/>
            <w:vAlign w:val="bottom"/>
            <w:shd w:val="clear" w:color="auto" w:fill="FDFDFC"/>
          </w:tcPr>
          <w:p>
            <w:pPr>
              <w:spacing w:after="0"/>
              <w:rPr>
                <w:sz w:val="9"/>
                <w:szCs w:val="9"/>
                <w:color w:val="auto"/>
              </w:rPr>
            </w:pPr>
          </w:p>
        </w:tc>
        <w:tc>
          <w:tcPr>
            <w:tcW w:w="100" w:type="dxa"/>
            <w:vAlign w:val="bottom"/>
            <w:shd w:val="clear" w:color="auto" w:fill="FDFDFC"/>
          </w:tcPr>
          <w:p>
            <w:pPr>
              <w:spacing w:after="0"/>
              <w:rPr>
                <w:sz w:val="9"/>
                <w:szCs w:val="9"/>
                <w:color w:val="auto"/>
              </w:rPr>
            </w:pPr>
          </w:p>
        </w:tc>
        <w:tc>
          <w:tcPr>
            <w:tcW w:w="860" w:type="dxa"/>
            <w:vAlign w:val="bottom"/>
            <w:shd w:val="clear" w:color="auto" w:fill="FDFDFC"/>
          </w:tcPr>
          <w:p>
            <w:pPr>
              <w:spacing w:after="0"/>
              <w:rPr>
                <w:sz w:val="9"/>
                <w:szCs w:val="9"/>
                <w:color w:val="auto"/>
              </w:rPr>
            </w:pPr>
          </w:p>
        </w:tc>
        <w:tc>
          <w:tcPr>
            <w:tcW w:w="0" w:type="dxa"/>
            <w:vAlign w:val="bottom"/>
          </w:tcPr>
          <w:p>
            <w:pPr>
              <w:spacing w:after="0"/>
              <w:rPr>
                <w:sz w:val="1"/>
                <w:szCs w:val="1"/>
                <w:color w:val="auto"/>
              </w:rPr>
            </w:pPr>
          </w:p>
        </w:tc>
      </w:tr>
      <w:tr>
        <w:trPr>
          <w:trHeight w:val="78"/>
        </w:trPr>
        <w:tc>
          <w:tcPr>
            <w:tcW w:w="1540" w:type="dxa"/>
            <w:vAlign w:val="bottom"/>
            <w:tcBorders>
              <w:bottom w:val="single" w:sz="8" w:color="FDFDFC"/>
            </w:tcBorders>
            <w:vMerge w:val="continue"/>
            <w:shd w:val="clear" w:color="auto" w:fill="FDFDFC"/>
          </w:tcPr>
          <w:p>
            <w:pPr>
              <w:spacing w:after="0"/>
              <w:rPr>
                <w:sz w:val="6"/>
                <w:szCs w:val="6"/>
                <w:color w:val="auto"/>
              </w:rPr>
            </w:pPr>
          </w:p>
        </w:tc>
        <w:tc>
          <w:tcPr>
            <w:tcW w:w="100" w:type="dxa"/>
            <w:vAlign w:val="bottom"/>
            <w:tcBorders>
              <w:bottom w:val="single" w:sz="8" w:color="FDFDFC"/>
            </w:tcBorders>
            <w:shd w:val="clear" w:color="auto" w:fill="FDFDFC"/>
          </w:tcPr>
          <w:p>
            <w:pPr>
              <w:spacing w:after="0"/>
              <w:rPr>
                <w:sz w:val="6"/>
                <w:szCs w:val="6"/>
                <w:color w:val="auto"/>
              </w:rPr>
            </w:pPr>
          </w:p>
        </w:tc>
        <w:tc>
          <w:tcPr>
            <w:tcW w:w="2080" w:type="dxa"/>
            <w:vAlign w:val="bottom"/>
            <w:tcBorders>
              <w:bottom w:val="single" w:sz="8" w:color="FDFDFC"/>
            </w:tcBorders>
            <w:shd w:val="clear" w:color="auto" w:fill="FDFDFC"/>
          </w:tcPr>
          <w:p>
            <w:pPr>
              <w:spacing w:after="0"/>
              <w:rPr>
                <w:sz w:val="6"/>
                <w:szCs w:val="6"/>
                <w:color w:val="auto"/>
              </w:rPr>
            </w:pPr>
          </w:p>
        </w:tc>
        <w:tc>
          <w:tcPr>
            <w:tcW w:w="100" w:type="dxa"/>
            <w:vAlign w:val="bottom"/>
            <w:tcBorders>
              <w:bottom w:val="single" w:sz="8" w:color="FDFDFC"/>
            </w:tcBorders>
            <w:shd w:val="clear" w:color="auto" w:fill="FDFDFC"/>
          </w:tcPr>
          <w:p>
            <w:pPr>
              <w:spacing w:after="0"/>
              <w:rPr>
                <w:sz w:val="6"/>
                <w:szCs w:val="6"/>
                <w:color w:val="auto"/>
              </w:rPr>
            </w:pPr>
          </w:p>
        </w:tc>
        <w:tc>
          <w:tcPr>
            <w:tcW w:w="760" w:type="dxa"/>
            <w:vAlign w:val="bottom"/>
            <w:tcBorders>
              <w:bottom w:val="single" w:sz="8" w:color="FDFDFC"/>
            </w:tcBorders>
            <w:shd w:val="clear" w:color="auto" w:fill="FDFDFC"/>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Borders>
              <w:bottom w:val="single" w:sz="8" w:color="FDFDFC"/>
            </w:tcBorders>
            <w:shd w:val="clear" w:color="auto" w:fill="FDFDFC"/>
          </w:tcPr>
          <w:p>
            <w:pPr>
              <w:spacing w:after="0"/>
              <w:rPr>
                <w:sz w:val="6"/>
                <w:szCs w:val="6"/>
                <w:color w:val="auto"/>
              </w:rPr>
            </w:pPr>
          </w:p>
        </w:tc>
        <w:tc>
          <w:tcPr>
            <w:tcW w:w="820" w:type="dxa"/>
            <w:vAlign w:val="bottom"/>
            <w:tcBorders>
              <w:bottom w:val="single" w:sz="8" w:color="FDFDFC"/>
            </w:tcBorders>
            <w:shd w:val="clear" w:color="auto" w:fill="FDFDFC"/>
          </w:tcPr>
          <w:p>
            <w:pPr>
              <w:spacing w:after="0"/>
              <w:rPr>
                <w:sz w:val="6"/>
                <w:szCs w:val="6"/>
                <w:color w:val="auto"/>
              </w:rPr>
            </w:pPr>
          </w:p>
        </w:tc>
        <w:tc>
          <w:tcPr>
            <w:tcW w:w="100" w:type="dxa"/>
            <w:vAlign w:val="bottom"/>
            <w:tcBorders>
              <w:bottom w:val="single" w:sz="8" w:color="FDFDFC"/>
            </w:tcBorders>
            <w:shd w:val="clear" w:color="auto" w:fill="FDFDFC"/>
          </w:tcPr>
          <w:p>
            <w:pPr>
              <w:spacing w:after="0"/>
              <w:rPr>
                <w:sz w:val="6"/>
                <w:szCs w:val="6"/>
                <w:color w:val="auto"/>
              </w:rPr>
            </w:pPr>
          </w:p>
        </w:tc>
        <w:tc>
          <w:tcPr>
            <w:tcW w:w="920" w:type="dxa"/>
            <w:vAlign w:val="bottom"/>
            <w:tcBorders>
              <w:bottom w:val="single" w:sz="8" w:color="FDFDFC"/>
            </w:tcBorders>
            <w:shd w:val="clear" w:color="auto" w:fill="FDFDFC"/>
          </w:tcPr>
          <w:p>
            <w:pPr>
              <w:spacing w:after="0"/>
              <w:rPr>
                <w:sz w:val="6"/>
                <w:szCs w:val="6"/>
                <w:color w:val="auto"/>
              </w:rPr>
            </w:pPr>
          </w:p>
        </w:tc>
        <w:tc>
          <w:tcPr>
            <w:tcW w:w="120" w:type="dxa"/>
            <w:vAlign w:val="bottom"/>
            <w:tcBorders>
              <w:bottom w:val="single" w:sz="8" w:color="FDFDFC"/>
            </w:tcBorders>
            <w:shd w:val="clear" w:color="auto" w:fill="FDFDFC"/>
          </w:tcPr>
          <w:p>
            <w:pPr>
              <w:spacing w:after="0"/>
              <w:rPr>
                <w:sz w:val="6"/>
                <w:szCs w:val="6"/>
                <w:color w:val="auto"/>
              </w:rPr>
            </w:pPr>
          </w:p>
        </w:tc>
        <w:tc>
          <w:tcPr>
            <w:tcW w:w="1000" w:type="dxa"/>
            <w:vAlign w:val="bottom"/>
            <w:tcBorders>
              <w:bottom w:val="single" w:sz="8" w:color="FDFDFC"/>
            </w:tcBorders>
            <w:shd w:val="clear" w:color="auto" w:fill="FDFDFC"/>
          </w:tcPr>
          <w:p>
            <w:pPr>
              <w:spacing w:after="0"/>
              <w:rPr>
                <w:sz w:val="6"/>
                <w:szCs w:val="6"/>
                <w:color w:val="auto"/>
              </w:rPr>
            </w:pPr>
          </w:p>
        </w:tc>
        <w:tc>
          <w:tcPr>
            <w:tcW w:w="80" w:type="dxa"/>
            <w:vAlign w:val="bottom"/>
            <w:tcBorders>
              <w:bottom w:val="single" w:sz="8" w:color="FDFDFC"/>
            </w:tcBorders>
            <w:shd w:val="clear" w:color="auto" w:fill="FDFDFC"/>
          </w:tcPr>
          <w:p>
            <w:pPr>
              <w:spacing w:after="0"/>
              <w:rPr>
                <w:sz w:val="6"/>
                <w:szCs w:val="6"/>
                <w:color w:val="auto"/>
              </w:rPr>
            </w:pPr>
          </w:p>
        </w:tc>
        <w:tc>
          <w:tcPr>
            <w:tcW w:w="1600" w:type="dxa"/>
            <w:vAlign w:val="bottom"/>
            <w:tcBorders>
              <w:bottom w:val="single" w:sz="8" w:color="FDFDFC"/>
            </w:tcBorders>
            <w:shd w:val="clear" w:color="auto" w:fill="FDFDFC"/>
          </w:tcPr>
          <w:p>
            <w:pPr>
              <w:spacing w:after="0"/>
              <w:rPr>
                <w:sz w:val="6"/>
                <w:szCs w:val="6"/>
                <w:color w:val="auto"/>
              </w:rPr>
            </w:pPr>
          </w:p>
        </w:tc>
        <w:tc>
          <w:tcPr>
            <w:tcW w:w="100" w:type="dxa"/>
            <w:vAlign w:val="bottom"/>
            <w:tcBorders>
              <w:bottom w:val="single" w:sz="8" w:color="FDFDFC"/>
            </w:tcBorders>
            <w:shd w:val="clear" w:color="auto" w:fill="FDFDFC"/>
          </w:tcPr>
          <w:p>
            <w:pPr>
              <w:spacing w:after="0"/>
              <w:rPr>
                <w:sz w:val="6"/>
                <w:szCs w:val="6"/>
                <w:color w:val="auto"/>
              </w:rPr>
            </w:pPr>
          </w:p>
        </w:tc>
        <w:tc>
          <w:tcPr>
            <w:tcW w:w="860" w:type="dxa"/>
            <w:vAlign w:val="bottom"/>
            <w:tcBorders>
              <w:bottom w:val="single" w:sz="8" w:color="FDFDFC"/>
            </w:tcBorders>
            <w:shd w:val="clear" w:color="auto" w:fill="FDFDFC"/>
          </w:tcPr>
          <w:p>
            <w:pPr>
              <w:spacing w:after="0"/>
              <w:rPr>
                <w:sz w:val="6"/>
                <w:szCs w:val="6"/>
                <w:color w:val="auto"/>
              </w:rPr>
            </w:pPr>
          </w:p>
        </w:tc>
        <w:tc>
          <w:tcPr>
            <w:tcW w:w="0" w:type="dxa"/>
            <w:vAlign w:val="bottom"/>
          </w:tcPr>
          <w:p>
            <w:pPr>
              <w:spacing w:after="0"/>
              <w:rPr>
                <w:sz w:val="1"/>
                <w:szCs w:val="1"/>
                <w:color w:val="auto"/>
              </w:rPr>
            </w:pPr>
          </w:p>
        </w:tc>
      </w:tr>
      <w:tr>
        <w:trPr>
          <w:trHeight w:val="201"/>
        </w:trPr>
        <w:tc>
          <w:tcPr>
            <w:tcW w:w="1540" w:type="dxa"/>
            <w:vAlign w:val="bottom"/>
            <w:tcBorders>
              <w:top w:val="single" w:sz="8" w:color="D0EBF2"/>
              <w:bottom w:val="single" w:sz="8" w:color="D0EBF2"/>
            </w:tcBorders>
            <w:shd w:val="clear" w:color="auto" w:fill="D0EBF2"/>
          </w:tcPr>
          <w:p>
            <w:pPr>
              <w:spacing w:after="0"/>
              <w:rPr>
                <w:sz w:val="17"/>
                <w:szCs w:val="17"/>
                <w:color w:val="auto"/>
              </w:rPr>
            </w:pPr>
          </w:p>
        </w:tc>
        <w:tc>
          <w:tcPr>
            <w:tcW w:w="100" w:type="dxa"/>
            <w:vAlign w:val="bottom"/>
            <w:tcBorders>
              <w:top w:val="single" w:sz="8" w:color="D0EBF2"/>
              <w:bottom w:val="single" w:sz="8" w:color="D0EBF2"/>
            </w:tcBorders>
            <w:shd w:val="clear" w:color="auto" w:fill="D0EBF2"/>
          </w:tcPr>
          <w:p>
            <w:pPr>
              <w:spacing w:after="0"/>
              <w:rPr>
                <w:sz w:val="17"/>
                <w:szCs w:val="17"/>
                <w:color w:val="auto"/>
              </w:rPr>
            </w:pPr>
          </w:p>
        </w:tc>
        <w:tc>
          <w:tcPr>
            <w:tcW w:w="2080" w:type="dxa"/>
            <w:vAlign w:val="bottom"/>
            <w:tcBorders>
              <w:top w:val="single" w:sz="8" w:color="D0EBF2"/>
              <w:bottom w:val="single" w:sz="8" w:color="D0EBF2"/>
            </w:tcBorders>
            <w:shd w:val="clear" w:color="auto" w:fill="D0EBF2"/>
          </w:tcPr>
          <w:p>
            <w:pPr>
              <w:spacing w:after="0"/>
              <w:rPr>
                <w:sz w:val="17"/>
                <w:szCs w:val="17"/>
                <w:color w:val="auto"/>
              </w:rPr>
            </w:pPr>
          </w:p>
        </w:tc>
        <w:tc>
          <w:tcPr>
            <w:tcW w:w="100" w:type="dxa"/>
            <w:vAlign w:val="bottom"/>
            <w:tcBorders>
              <w:top w:val="single" w:sz="8" w:color="D0EBF2"/>
              <w:bottom w:val="single" w:sz="8" w:color="D0EBF2"/>
            </w:tcBorders>
            <w:shd w:val="clear" w:color="auto" w:fill="D0EBF2"/>
          </w:tcPr>
          <w:p>
            <w:pPr>
              <w:spacing w:after="0"/>
              <w:rPr>
                <w:sz w:val="17"/>
                <w:szCs w:val="17"/>
                <w:color w:val="auto"/>
              </w:rPr>
            </w:pPr>
          </w:p>
        </w:tc>
        <w:tc>
          <w:tcPr>
            <w:tcW w:w="760" w:type="dxa"/>
            <w:vAlign w:val="bottom"/>
            <w:tcBorders>
              <w:top w:val="single" w:sz="8" w:color="D0EBF2"/>
              <w:bottom w:val="single" w:sz="8" w:color="D0EBF2"/>
            </w:tcBorders>
            <w:shd w:val="clear" w:color="auto" w:fill="D0EBF2"/>
          </w:tcPr>
          <w:p>
            <w:pPr>
              <w:spacing w:after="0"/>
              <w:rPr>
                <w:sz w:val="17"/>
                <w:szCs w:val="17"/>
                <w:color w:val="auto"/>
              </w:rPr>
            </w:pPr>
          </w:p>
        </w:tc>
        <w:tc>
          <w:tcPr>
            <w:tcW w:w="20" w:type="dxa"/>
            <w:vAlign w:val="bottom"/>
            <w:tcBorders>
              <w:top w:val="single" w:sz="8" w:color="D0EBF2"/>
              <w:bottom w:val="single" w:sz="8" w:color="D0EBF2"/>
            </w:tcBorders>
            <w:shd w:val="clear" w:color="auto" w:fill="D0EBF2"/>
          </w:tcPr>
          <w:p>
            <w:pPr>
              <w:spacing w:after="0"/>
              <w:rPr>
                <w:sz w:val="17"/>
                <w:szCs w:val="17"/>
                <w:color w:val="auto"/>
              </w:rPr>
            </w:pPr>
          </w:p>
        </w:tc>
        <w:tc>
          <w:tcPr>
            <w:tcW w:w="80" w:type="dxa"/>
            <w:vAlign w:val="bottom"/>
            <w:tcBorders>
              <w:top w:val="single" w:sz="8" w:color="D0EBF2"/>
              <w:bottom w:val="single" w:sz="8" w:color="D0EBF2"/>
            </w:tcBorders>
            <w:shd w:val="clear" w:color="auto" w:fill="D0EBF2"/>
          </w:tcPr>
          <w:p>
            <w:pPr>
              <w:spacing w:after="0"/>
              <w:rPr>
                <w:sz w:val="17"/>
                <w:szCs w:val="17"/>
                <w:color w:val="auto"/>
              </w:rPr>
            </w:pPr>
          </w:p>
        </w:tc>
        <w:tc>
          <w:tcPr>
            <w:tcW w:w="820" w:type="dxa"/>
            <w:vAlign w:val="bottom"/>
            <w:tcBorders>
              <w:top w:val="single" w:sz="8" w:color="D0EBF2"/>
              <w:bottom w:val="single" w:sz="8" w:color="D0EBF2"/>
            </w:tcBorders>
            <w:shd w:val="clear" w:color="auto" w:fill="D0EBF2"/>
          </w:tcPr>
          <w:p>
            <w:pPr>
              <w:spacing w:after="0"/>
              <w:rPr>
                <w:sz w:val="17"/>
                <w:szCs w:val="17"/>
                <w:color w:val="auto"/>
              </w:rPr>
            </w:pPr>
          </w:p>
        </w:tc>
        <w:tc>
          <w:tcPr>
            <w:tcW w:w="100" w:type="dxa"/>
            <w:vAlign w:val="bottom"/>
            <w:tcBorders>
              <w:top w:val="single" w:sz="8" w:color="D0EBF2"/>
              <w:bottom w:val="single" w:sz="8" w:color="D0EBF2"/>
            </w:tcBorders>
            <w:shd w:val="clear" w:color="auto" w:fill="D0EBF2"/>
          </w:tcPr>
          <w:p>
            <w:pPr>
              <w:spacing w:after="0"/>
              <w:rPr>
                <w:sz w:val="17"/>
                <w:szCs w:val="17"/>
                <w:color w:val="auto"/>
              </w:rPr>
            </w:pPr>
          </w:p>
        </w:tc>
        <w:tc>
          <w:tcPr>
            <w:tcW w:w="920" w:type="dxa"/>
            <w:vAlign w:val="bottom"/>
            <w:tcBorders>
              <w:top w:val="single" w:sz="8" w:color="D0EBF2"/>
              <w:bottom w:val="single" w:sz="8" w:color="D0EBF2"/>
            </w:tcBorders>
            <w:shd w:val="clear" w:color="auto" w:fill="D0EBF2"/>
          </w:tcPr>
          <w:p>
            <w:pPr>
              <w:spacing w:after="0"/>
              <w:rPr>
                <w:sz w:val="17"/>
                <w:szCs w:val="17"/>
                <w:color w:val="auto"/>
              </w:rPr>
            </w:pPr>
          </w:p>
        </w:tc>
        <w:tc>
          <w:tcPr>
            <w:tcW w:w="120" w:type="dxa"/>
            <w:vAlign w:val="bottom"/>
            <w:tcBorders>
              <w:top w:val="single" w:sz="8" w:color="D0EBF2"/>
              <w:bottom w:val="single" w:sz="8" w:color="D0EBF2"/>
            </w:tcBorders>
            <w:shd w:val="clear" w:color="auto" w:fill="D0EBF2"/>
          </w:tcPr>
          <w:p>
            <w:pPr>
              <w:spacing w:after="0"/>
              <w:rPr>
                <w:sz w:val="17"/>
                <w:szCs w:val="17"/>
                <w:color w:val="auto"/>
              </w:rPr>
            </w:pPr>
          </w:p>
        </w:tc>
        <w:tc>
          <w:tcPr>
            <w:tcW w:w="1000" w:type="dxa"/>
            <w:vAlign w:val="bottom"/>
            <w:tcBorders>
              <w:top w:val="single" w:sz="8" w:color="231F20"/>
              <w:bottom w:val="single" w:sz="8" w:color="231F20"/>
            </w:tcBorders>
            <w:shd w:val="clear" w:color="auto" w:fill="D0EBF2"/>
          </w:tcPr>
          <w:p>
            <w:pPr>
              <w:jc w:val="right"/>
              <w:spacing w:after="0"/>
              <w:rPr>
                <w:sz w:val="20"/>
                <w:szCs w:val="20"/>
                <w:color w:val="auto"/>
              </w:rPr>
            </w:pPr>
            <w:r>
              <w:rPr>
                <w:rFonts w:ascii="Times New Roman" w:cs="Times New Roman" w:eastAsia="Times New Roman" w:hAnsi="Times New Roman"/>
                <w:sz w:val="15"/>
                <w:szCs w:val="15"/>
                <w:color w:val="231F20"/>
              </w:rPr>
              <w:t>441,124</w:t>
            </w:r>
          </w:p>
        </w:tc>
        <w:tc>
          <w:tcPr>
            <w:tcW w:w="80" w:type="dxa"/>
            <w:vAlign w:val="bottom"/>
            <w:tcBorders>
              <w:top w:val="single" w:sz="8" w:color="D0EBF2"/>
              <w:bottom w:val="single" w:sz="8" w:color="D0EBF2"/>
            </w:tcBorders>
            <w:shd w:val="clear" w:color="auto" w:fill="D0EBF2"/>
          </w:tcPr>
          <w:p>
            <w:pPr>
              <w:spacing w:after="0"/>
              <w:rPr>
                <w:sz w:val="17"/>
                <w:szCs w:val="17"/>
                <w:color w:val="auto"/>
              </w:rPr>
            </w:pPr>
          </w:p>
        </w:tc>
        <w:tc>
          <w:tcPr>
            <w:tcW w:w="1600" w:type="dxa"/>
            <w:vAlign w:val="bottom"/>
            <w:tcBorders>
              <w:top w:val="single" w:sz="8" w:color="231F20"/>
              <w:bottom w:val="single" w:sz="8" w:color="231F20"/>
            </w:tcBorders>
            <w:shd w:val="clear" w:color="auto" w:fill="D0EBF2"/>
          </w:tcPr>
          <w:p>
            <w:pPr>
              <w:jc w:val="right"/>
              <w:spacing w:after="0"/>
              <w:rPr>
                <w:sz w:val="20"/>
                <w:szCs w:val="20"/>
                <w:color w:val="auto"/>
              </w:rPr>
            </w:pPr>
            <w:r>
              <w:rPr>
                <w:rFonts w:ascii="Times New Roman" w:cs="Times New Roman" w:eastAsia="Times New Roman" w:hAnsi="Times New Roman"/>
                <w:sz w:val="15"/>
                <w:szCs w:val="15"/>
                <w:color w:val="231F20"/>
              </w:rPr>
              <w:t>449,009</w:t>
            </w:r>
          </w:p>
        </w:tc>
        <w:tc>
          <w:tcPr>
            <w:tcW w:w="100" w:type="dxa"/>
            <w:vAlign w:val="bottom"/>
            <w:tcBorders>
              <w:top w:val="single" w:sz="8" w:color="D0EBF2"/>
              <w:bottom w:val="single" w:sz="8" w:color="D0EBF2"/>
            </w:tcBorders>
            <w:shd w:val="clear" w:color="auto" w:fill="D0EBF2"/>
          </w:tcPr>
          <w:p>
            <w:pPr>
              <w:spacing w:after="0"/>
              <w:rPr>
                <w:sz w:val="17"/>
                <w:szCs w:val="17"/>
                <w:color w:val="auto"/>
              </w:rPr>
            </w:pPr>
          </w:p>
        </w:tc>
        <w:tc>
          <w:tcPr>
            <w:tcW w:w="860" w:type="dxa"/>
            <w:vAlign w:val="bottom"/>
            <w:tcBorders>
              <w:top w:val="single" w:sz="8" w:color="231F20"/>
              <w:bottom w:val="single" w:sz="8" w:color="231F20"/>
            </w:tcBorders>
            <w:shd w:val="clear" w:color="auto" w:fill="D0EBF2"/>
          </w:tcPr>
          <w:p>
            <w:pPr>
              <w:jc w:val="right"/>
              <w:spacing w:after="0"/>
              <w:rPr>
                <w:sz w:val="20"/>
                <w:szCs w:val="20"/>
                <w:color w:val="auto"/>
              </w:rPr>
            </w:pPr>
            <w:r>
              <w:rPr>
                <w:rFonts w:ascii="Times New Roman" w:cs="Times New Roman" w:eastAsia="Times New Roman" w:hAnsi="Times New Roman"/>
                <w:sz w:val="15"/>
                <w:szCs w:val="15"/>
                <w:color w:val="231F20"/>
              </w:rPr>
              <w:t>28.0%</w:t>
            </w:r>
          </w:p>
        </w:tc>
        <w:tc>
          <w:tcPr>
            <w:tcW w:w="0" w:type="dxa"/>
            <w:vAlign w:val="bottom"/>
          </w:tcPr>
          <w:p>
            <w:pPr>
              <w:spacing w:after="0"/>
              <w:rPr>
                <w:sz w:val="1"/>
                <w:szCs w:val="1"/>
                <w:color w:val="auto"/>
              </w:rPr>
            </w:pPr>
          </w:p>
        </w:tc>
      </w:tr>
      <w:tr>
        <w:trPr>
          <w:trHeight w:val="156"/>
        </w:trPr>
        <w:tc>
          <w:tcPr>
            <w:tcW w:w="1540" w:type="dxa"/>
            <w:vAlign w:val="bottom"/>
            <w:tcBorders>
              <w:top w:val="single" w:sz="8" w:color="FDFDFC"/>
            </w:tcBorders>
            <w:shd w:val="clear" w:color="auto" w:fill="FDFDFC"/>
          </w:tcPr>
          <w:p>
            <w:pPr>
              <w:spacing w:after="0" w:line="156" w:lineRule="exact"/>
              <w:rPr>
                <w:sz w:val="20"/>
                <w:szCs w:val="20"/>
                <w:color w:val="auto"/>
              </w:rPr>
            </w:pPr>
            <w:r>
              <w:rPr>
                <w:rFonts w:ascii="Times New Roman" w:cs="Times New Roman" w:eastAsia="Times New Roman" w:hAnsi="Times New Roman"/>
                <w:sz w:val="15"/>
                <w:szCs w:val="15"/>
                <w:b w:val="1"/>
                <w:bCs w:val="1"/>
                <w:color w:val="231F20"/>
              </w:rPr>
              <w:t>Chemicals</w:t>
            </w:r>
          </w:p>
        </w:tc>
        <w:tc>
          <w:tcPr>
            <w:tcW w:w="100" w:type="dxa"/>
            <w:vAlign w:val="bottom"/>
            <w:tcBorders>
              <w:top w:val="single" w:sz="8" w:color="FDFDFC"/>
            </w:tcBorders>
            <w:shd w:val="clear" w:color="auto" w:fill="FDFDFC"/>
          </w:tcPr>
          <w:p>
            <w:pPr>
              <w:spacing w:after="0"/>
              <w:rPr>
                <w:sz w:val="13"/>
                <w:szCs w:val="13"/>
                <w:color w:val="auto"/>
              </w:rPr>
            </w:pPr>
          </w:p>
        </w:tc>
        <w:tc>
          <w:tcPr>
            <w:tcW w:w="2080" w:type="dxa"/>
            <w:vAlign w:val="bottom"/>
            <w:tcBorders>
              <w:top w:val="single" w:sz="8" w:color="FDFDFC"/>
            </w:tcBorders>
            <w:shd w:val="clear" w:color="auto" w:fill="FDFDFC"/>
          </w:tcPr>
          <w:p>
            <w:pPr>
              <w:spacing w:after="0"/>
              <w:rPr>
                <w:sz w:val="13"/>
                <w:szCs w:val="13"/>
                <w:color w:val="auto"/>
              </w:rPr>
            </w:pPr>
          </w:p>
        </w:tc>
        <w:tc>
          <w:tcPr>
            <w:tcW w:w="100" w:type="dxa"/>
            <w:vAlign w:val="bottom"/>
            <w:tcBorders>
              <w:top w:val="single" w:sz="8" w:color="FDFDFC"/>
            </w:tcBorders>
            <w:shd w:val="clear" w:color="auto" w:fill="FDFDFC"/>
          </w:tcPr>
          <w:p>
            <w:pPr>
              <w:spacing w:after="0"/>
              <w:rPr>
                <w:sz w:val="13"/>
                <w:szCs w:val="13"/>
                <w:color w:val="auto"/>
              </w:rPr>
            </w:pPr>
          </w:p>
        </w:tc>
        <w:tc>
          <w:tcPr>
            <w:tcW w:w="760" w:type="dxa"/>
            <w:vAlign w:val="bottom"/>
            <w:tcBorders>
              <w:top w:val="single" w:sz="8" w:color="FDFDFC"/>
            </w:tcBorders>
            <w:shd w:val="clear" w:color="auto" w:fill="FDFDFC"/>
          </w:tcPr>
          <w:p>
            <w:pPr>
              <w:spacing w:after="0"/>
              <w:rPr>
                <w:sz w:val="13"/>
                <w:szCs w:val="13"/>
                <w:color w:val="auto"/>
              </w:rPr>
            </w:pPr>
          </w:p>
        </w:tc>
        <w:tc>
          <w:tcPr>
            <w:tcW w:w="20" w:type="dxa"/>
            <w:vAlign w:val="bottom"/>
            <w:tcBorders>
              <w:top w:val="single" w:sz="8" w:color="FDFDFC"/>
            </w:tcBorders>
            <w:shd w:val="clear" w:color="auto" w:fill="FDFDFC"/>
          </w:tcPr>
          <w:p>
            <w:pPr>
              <w:spacing w:after="0"/>
              <w:rPr>
                <w:sz w:val="13"/>
                <w:szCs w:val="13"/>
                <w:color w:val="auto"/>
              </w:rPr>
            </w:pPr>
          </w:p>
        </w:tc>
        <w:tc>
          <w:tcPr>
            <w:tcW w:w="80" w:type="dxa"/>
            <w:vAlign w:val="bottom"/>
            <w:tcBorders>
              <w:top w:val="single" w:sz="8" w:color="FDFDFC"/>
            </w:tcBorders>
            <w:shd w:val="clear" w:color="auto" w:fill="FDFDFC"/>
          </w:tcPr>
          <w:p>
            <w:pPr>
              <w:spacing w:after="0"/>
              <w:rPr>
                <w:sz w:val="13"/>
                <w:szCs w:val="13"/>
                <w:color w:val="auto"/>
              </w:rPr>
            </w:pPr>
          </w:p>
        </w:tc>
        <w:tc>
          <w:tcPr>
            <w:tcW w:w="820" w:type="dxa"/>
            <w:vAlign w:val="bottom"/>
            <w:tcBorders>
              <w:top w:val="single" w:sz="8" w:color="FDFDFC"/>
            </w:tcBorders>
            <w:shd w:val="clear" w:color="auto" w:fill="FDFDFC"/>
          </w:tcPr>
          <w:p>
            <w:pPr>
              <w:spacing w:after="0"/>
              <w:rPr>
                <w:sz w:val="13"/>
                <w:szCs w:val="13"/>
                <w:color w:val="auto"/>
              </w:rPr>
            </w:pPr>
          </w:p>
        </w:tc>
        <w:tc>
          <w:tcPr>
            <w:tcW w:w="100" w:type="dxa"/>
            <w:vAlign w:val="bottom"/>
            <w:tcBorders>
              <w:top w:val="single" w:sz="8" w:color="FDFDFC"/>
            </w:tcBorders>
            <w:shd w:val="clear" w:color="auto" w:fill="FDFDFC"/>
          </w:tcPr>
          <w:p>
            <w:pPr>
              <w:spacing w:after="0"/>
              <w:rPr>
                <w:sz w:val="13"/>
                <w:szCs w:val="13"/>
                <w:color w:val="auto"/>
              </w:rPr>
            </w:pPr>
          </w:p>
        </w:tc>
        <w:tc>
          <w:tcPr>
            <w:tcW w:w="920" w:type="dxa"/>
            <w:vAlign w:val="bottom"/>
            <w:tcBorders>
              <w:top w:val="single" w:sz="8" w:color="FDFDFC"/>
            </w:tcBorders>
            <w:shd w:val="clear" w:color="auto" w:fill="FDFDFC"/>
          </w:tcPr>
          <w:p>
            <w:pPr>
              <w:spacing w:after="0"/>
              <w:rPr>
                <w:sz w:val="13"/>
                <w:szCs w:val="13"/>
                <w:color w:val="auto"/>
              </w:rPr>
            </w:pPr>
          </w:p>
        </w:tc>
        <w:tc>
          <w:tcPr>
            <w:tcW w:w="120" w:type="dxa"/>
            <w:vAlign w:val="bottom"/>
            <w:tcBorders>
              <w:top w:val="single" w:sz="8" w:color="FDFDFC"/>
            </w:tcBorders>
            <w:shd w:val="clear" w:color="auto" w:fill="FDFDFC"/>
          </w:tcPr>
          <w:p>
            <w:pPr>
              <w:spacing w:after="0"/>
              <w:rPr>
                <w:sz w:val="13"/>
                <w:szCs w:val="13"/>
                <w:color w:val="auto"/>
              </w:rPr>
            </w:pPr>
          </w:p>
        </w:tc>
        <w:tc>
          <w:tcPr>
            <w:tcW w:w="1000" w:type="dxa"/>
            <w:vAlign w:val="bottom"/>
            <w:tcBorders>
              <w:top w:val="single" w:sz="8" w:color="231F20"/>
            </w:tcBorders>
            <w:shd w:val="clear" w:color="auto" w:fill="FDFDFC"/>
          </w:tcPr>
          <w:p>
            <w:pPr>
              <w:spacing w:after="0"/>
              <w:rPr>
                <w:sz w:val="13"/>
                <w:szCs w:val="13"/>
                <w:color w:val="auto"/>
              </w:rPr>
            </w:pPr>
          </w:p>
        </w:tc>
        <w:tc>
          <w:tcPr>
            <w:tcW w:w="80" w:type="dxa"/>
            <w:vAlign w:val="bottom"/>
            <w:tcBorders>
              <w:top w:val="single" w:sz="8" w:color="FDFDFC"/>
            </w:tcBorders>
            <w:shd w:val="clear" w:color="auto" w:fill="FDFDFC"/>
          </w:tcPr>
          <w:p>
            <w:pPr>
              <w:spacing w:after="0"/>
              <w:rPr>
                <w:sz w:val="13"/>
                <w:szCs w:val="13"/>
                <w:color w:val="auto"/>
              </w:rPr>
            </w:pPr>
          </w:p>
        </w:tc>
        <w:tc>
          <w:tcPr>
            <w:tcW w:w="1600" w:type="dxa"/>
            <w:vAlign w:val="bottom"/>
            <w:tcBorders>
              <w:top w:val="single" w:sz="8" w:color="231F20"/>
            </w:tcBorders>
            <w:shd w:val="clear" w:color="auto" w:fill="FDFDFC"/>
          </w:tcPr>
          <w:p>
            <w:pPr>
              <w:spacing w:after="0"/>
              <w:rPr>
                <w:sz w:val="13"/>
                <w:szCs w:val="13"/>
                <w:color w:val="auto"/>
              </w:rPr>
            </w:pPr>
          </w:p>
        </w:tc>
        <w:tc>
          <w:tcPr>
            <w:tcW w:w="100" w:type="dxa"/>
            <w:vAlign w:val="bottom"/>
            <w:tcBorders>
              <w:top w:val="single" w:sz="8" w:color="FDFDFC"/>
            </w:tcBorders>
            <w:shd w:val="clear" w:color="auto" w:fill="FDFDFC"/>
          </w:tcPr>
          <w:p>
            <w:pPr>
              <w:spacing w:after="0"/>
              <w:rPr>
                <w:sz w:val="13"/>
                <w:szCs w:val="13"/>
                <w:color w:val="auto"/>
              </w:rPr>
            </w:pPr>
          </w:p>
        </w:tc>
        <w:tc>
          <w:tcPr>
            <w:tcW w:w="860" w:type="dxa"/>
            <w:vAlign w:val="bottom"/>
            <w:tcBorders>
              <w:top w:val="single" w:sz="8" w:color="231F20"/>
            </w:tcBorders>
            <w:shd w:val="clear" w:color="auto" w:fill="FDFDFC"/>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1540" w:type="dxa"/>
            <w:vAlign w:val="bottom"/>
            <w:shd w:val="clear" w:color="auto" w:fill="D0EBF2"/>
          </w:tcPr>
          <w:p>
            <w:pPr>
              <w:spacing w:after="0" w:line="172" w:lineRule="exact"/>
              <w:rPr>
                <w:sz w:val="20"/>
                <w:szCs w:val="20"/>
                <w:color w:val="auto"/>
              </w:rPr>
            </w:pPr>
            <w:r>
              <w:rPr>
                <w:rFonts w:ascii="Times New Roman" w:cs="Times New Roman" w:eastAsia="Times New Roman" w:hAnsi="Times New Roman"/>
                <w:sz w:val="15"/>
                <w:szCs w:val="15"/>
                <w:color w:val="231F20"/>
              </w:rPr>
              <w:t>Erling Lux Bidco</w:t>
            </w:r>
          </w:p>
        </w:tc>
        <w:tc>
          <w:tcPr>
            <w:tcW w:w="2180" w:type="dxa"/>
            <w:vAlign w:val="bottom"/>
            <w:gridSpan w:val="2"/>
            <w:shd w:val="clear" w:color="auto" w:fill="D0EBF2"/>
          </w:tcPr>
          <w:p>
            <w:pPr>
              <w:ind w:left="100"/>
              <w:spacing w:after="0" w:line="172" w:lineRule="exact"/>
              <w:rPr>
                <w:sz w:val="20"/>
                <w:szCs w:val="20"/>
                <w:color w:val="auto"/>
              </w:rPr>
            </w:pPr>
            <w:r>
              <w:rPr>
                <w:rFonts w:ascii="Times New Roman" w:cs="Times New Roman" w:eastAsia="Times New Roman" w:hAnsi="Times New Roman"/>
                <w:sz w:val="15"/>
                <w:szCs w:val="15"/>
                <w:color w:val="231F20"/>
              </w:rPr>
              <w:t>First-lien loan (EUR 7,239 par,</w:t>
            </w:r>
          </w:p>
        </w:tc>
        <w:tc>
          <w:tcPr>
            <w:tcW w:w="860" w:type="dxa"/>
            <w:vAlign w:val="bottom"/>
            <w:gridSpan w:val="2"/>
            <w:shd w:val="clear" w:color="auto" w:fill="D0EBF2"/>
          </w:tcPr>
          <w:p>
            <w:pPr>
              <w:jc w:val="right"/>
              <w:spacing w:after="0" w:line="172" w:lineRule="exact"/>
              <w:rPr>
                <w:sz w:val="20"/>
                <w:szCs w:val="20"/>
                <w:color w:val="auto"/>
              </w:rPr>
            </w:pPr>
            <w:r>
              <w:rPr>
                <w:rFonts w:ascii="Times New Roman" w:cs="Times New Roman" w:eastAsia="Times New Roman" w:hAnsi="Times New Roman"/>
                <w:sz w:val="15"/>
                <w:szCs w:val="15"/>
                <w:color w:val="231F20"/>
              </w:rPr>
              <w:t>9/6/2022</w:t>
            </w:r>
          </w:p>
        </w:tc>
        <w:tc>
          <w:tcPr>
            <w:tcW w:w="20" w:type="dxa"/>
            <w:vAlign w:val="bottom"/>
          </w:tcPr>
          <w:p>
            <w:pPr>
              <w:spacing w:after="0"/>
              <w:rPr>
                <w:sz w:val="14"/>
                <w:szCs w:val="14"/>
                <w:color w:val="auto"/>
              </w:rPr>
            </w:pPr>
          </w:p>
        </w:tc>
        <w:tc>
          <w:tcPr>
            <w:tcW w:w="80" w:type="dxa"/>
            <w:vAlign w:val="bottom"/>
            <w:shd w:val="clear" w:color="auto" w:fill="D0EBF2"/>
          </w:tcPr>
          <w:p>
            <w:pPr>
              <w:spacing w:after="0"/>
              <w:rPr>
                <w:sz w:val="14"/>
                <w:szCs w:val="14"/>
                <w:color w:val="auto"/>
              </w:rPr>
            </w:pPr>
          </w:p>
        </w:tc>
        <w:tc>
          <w:tcPr>
            <w:tcW w:w="820" w:type="dxa"/>
            <w:vAlign w:val="bottom"/>
            <w:shd w:val="clear" w:color="auto" w:fill="D0EBF2"/>
          </w:tcPr>
          <w:p>
            <w:pPr>
              <w:jc w:val="right"/>
              <w:spacing w:after="0" w:line="172" w:lineRule="exact"/>
              <w:rPr>
                <w:sz w:val="20"/>
                <w:szCs w:val="20"/>
                <w:color w:val="auto"/>
              </w:rPr>
            </w:pPr>
            <w:r>
              <w:rPr>
                <w:rFonts w:ascii="Times New Roman" w:cs="Times New Roman" w:eastAsia="Times New Roman" w:hAnsi="Times New Roman"/>
                <w:sz w:val="15"/>
                <w:szCs w:val="15"/>
                <w:color w:val="231F20"/>
              </w:rPr>
              <w:t>E + 7.00%</w:t>
            </w:r>
          </w:p>
        </w:tc>
        <w:tc>
          <w:tcPr>
            <w:tcW w:w="1020" w:type="dxa"/>
            <w:vAlign w:val="bottom"/>
            <w:gridSpan w:val="2"/>
            <w:shd w:val="clear" w:color="auto" w:fill="D0EBF2"/>
          </w:tcPr>
          <w:p>
            <w:pPr>
              <w:jc w:val="right"/>
              <w:spacing w:after="0" w:line="172" w:lineRule="exact"/>
              <w:rPr>
                <w:sz w:val="20"/>
                <w:szCs w:val="20"/>
                <w:color w:val="auto"/>
              </w:rPr>
            </w:pPr>
            <w:r>
              <w:rPr>
                <w:rFonts w:ascii="Times New Roman" w:cs="Times New Roman" w:eastAsia="Times New Roman" w:hAnsi="Times New Roman"/>
                <w:sz w:val="15"/>
                <w:szCs w:val="15"/>
                <w:color w:val="231F20"/>
              </w:rPr>
              <w:t>10.06%</w:t>
            </w:r>
          </w:p>
        </w:tc>
        <w:tc>
          <w:tcPr>
            <w:tcW w:w="120" w:type="dxa"/>
            <w:vAlign w:val="bottom"/>
            <w:shd w:val="clear" w:color="auto" w:fill="D0EBF2"/>
          </w:tcPr>
          <w:p>
            <w:pPr>
              <w:spacing w:after="0"/>
              <w:rPr>
                <w:sz w:val="14"/>
                <w:szCs w:val="14"/>
                <w:color w:val="auto"/>
              </w:rPr>
            </w:pPr>
          </w:p>
        </w:tc>
        <w:tc>
          <w:tcPr>
            <w:tcW w:w="1000" w:type="dxa"/>
            <w:vAlign w:val="bottom"/>
            <w:shd w:val="clear" w:color="auto" w:fill="D0EBF2"/>
          </w:tcPr>
          <w:p>
            <w:pPr>
              <w:jc w:val="right"/>
              <w:spacing w:after="0" w:line="172" w:lineRule="exact"/>
              <w:rPr>
                <w:sz w:val="20"/>
                <w:szCs w:val="20"/>
                <w:color w:val="auto"/>
              </w:rPr>
            </w:pPr>
            <w:r>
              <w:rPr>
                <w:rFonts w:ascii="Times New Roman" w:cs="Times New Roman" w:eastAsia="Times New Roman" w:hAnsi="Times New Roman"/>
                <w:sz w:val="15"/>
                <w:szCs w:val="15"/>
                <w:color w:val="231F20"/>
              </w:rPr>
              <w:t>6,928</w:t>
            </w:r>
          </w:p>
        </w:tc>
        <w:tc>
          <w:tcPr>
            <w:tcW w:w="80" w:type="dxa"/>
            <w:vAlign w:val="bottom"/>
            <w:shd w:val="clear" w:color="auto" w:fill="D0EBF2"/>
          </w:tcPr>
          <w:p>
            <w:pPr>
              <w:spacing w:after="0"/>
              <w:rPr>
                <w:sz w:val="14"/>
                <w:szCs w:val="14"/>
                <w:color w:val="auto"/>
              </w:rPr>
            </w:pPr>
          </w:p>
        </w:tc>
        <w:tc>
          <w:tcPr>
            <w:tcW w:w="1600" w:type="dxa"/>
            <w:vAlign w:val="bottom"/>
            <w:shd w:val="clear" w:color="auto" w:fill="D0EBF2"/>
          </w:tcPr>
          <w:p>
            <w:pPr>
              <w:jc w:val="right"/>
              <w:spacing w:after="0" w:line="172" w:lineRule="exact"/>
              <w:rPr>
                <w:sz w:val="20"/>
                <w:szCs w:val="20"/>
                <w:color w:val="auto"/>
              </w:rPr>
            </w:pPr>
            <w:r>
              <w:rPr>
                <w:rFonts w:ascii="Times New Roman" w:cs="Times New Roman" w:eastAsia="Times New Roman" w:hAnsi="Times New Roman"/>
                <w:sz w:val="15"/>
                <w:szCs w:val="15"/>
                <w:color w:val="231F20"/>
              </w:rPr>
              <w:t>7,650</w:t>
            </w:r>
          </w:p>
        </w:tc>
        <w:tc>
          <w:tcPr>
            <w:tcW w:w="100" w:type="dxa"/>
            <w:vAlign w:val="bottom"/>
            <w:shd w:val="clear" w:color="auto" w:fill="D0EBF2"/>
          </w:tcPr>
          <w:p>
            <w:pPr>
              <w:spacing w:after="0"/>
              <w:rPr>
                <w:sz w:val="14"/>
                <w:szCs w:val="14"/>
                <w:color w:val="auto"/>
              </w:rPr>
            </w:pPr>
          </w:p>
        </w:tc>
        <w:tc>
          <w:tcPr>
            <w:tcW w:w="860" w:type="dxa"/>
            <w:vAlign w:val="bottom"/>
            <w:shd w:val="clear" w:color="auto" w:fill="D0EBF2"/>
          </w:tcPr>
          <w:p>
            <w:pPr>
              <w:jc w:val="right"/>
              <w:spacing w:after="0" w:line="172" w:lineRule="exact"/>
              <w:rPr>
                <w:sz w:val="20"/>
                <w:szCs w:val="20"/>
                <w:color w:val="auto"/>
              </w:rPr>
            </w:pPr>
            <w:r>
              <w:rPr>
                <w:rFonts w:ascii="Times New Roman" w:cs="Times New Roman" w:eastAsia="Times New Roman" w:hAnsi="Times New Roman"/>
                <w:sz w:val="15"/>
                <w:szCs w:val="15"/>
                <w:color w:val="231F20"/>
              </w:rPr>
              <w:t>0.6%</w:t>
            </w:r>
          </w:p>
        </w:tc>
        <w:tc>
          <w:tcPr>
            <w:tcW w:w="0" w:type="dxa"/>
            <w:vAlign w:val="bottom"/>
          </w:tcPr>
          <w:p>
            <w:pPr>
              <w:spacing w:after="0"/>
              <w:rPr>
                <w:sz w:val="1"/>
                <w:szCs w:val="1"/>
                <w:color w:val="auto"/>
              </w:rPr>
            </w:pPr>
          </w:p>
        </w:tc>
      </w:tr>
      <w:tr>
        <w:trPr>
          <w:trHeight w:val="189"/>
        </w:trPr>
        <w:tc>
          <w:tcPr>
            <w:tcW w:w="1540" w:type="dxa"/>
            <w:vAlign w:val="bottom"/>
            <w:shd w:val="clear" w:color="auto" w:fill="D0EBF2"/>
          </w:tcPr>
          <w:p>
            <w:pPr>
              <w:spacing w:after="0" w:line="190" w:lineRule="exact"/>
              <w:rPr>
                <w:sz w:val="20"/>
                <w:szCs w:val="20"/>
                <w:color w:val="auto"/>
              </w:rPr>
            </w:pPr>
            <w:r>
              <w:rPr>
                <w:rFonts w:ascii="Times New Roman" w:cs="Times New Roman" w:eastAsia="Times New Roman" w:hAnsi="Times New Roman"/>
                <w:sz w:val="21"/>
                <w:szCs w:val="21"/>
                <w:color w:val="231F20"/>
                <w:vertAlign w:val="subscript"/>
              </w:rPr>
              <w:t>SARL</w:t>
            </w:r>
            <w:r>
              <w:rPr>
                <w:rFonts w:ascii="Times New Roman" w:cs="Times New Roman" w:eastAsia="Times New Roman" w:hAnsi="Times New Roman"/>
                <w:sz w:val="8"/>
                <w:szCs w:val="8"/>
                <w:color w:val="231F20"/>
              </w:rPr>
              <w:t>(3)(4)</w:t>
            </w:r>
          </w:p>
        </w:tc>
        <w:tc>
          <w:tcPr>
            <w:tcW w:w="2180" w:type="dxa"/>
            <w:vAlign w:val="bottom"/>
            <w:gridSpan w:val="2"/>
            <w:shd w:val="clear" w:color="auto" w:fill="D0EBF2"/>
          </w:tcPr>
          <w:p>
            <w:pPr>
              <w:ind w:left="100"/>
              <w:spacing w:after="0"/>
              <w:rPr>
                <w:sz w:val="20"/>
                <w:szCs w:val="20"/>
                <w:color w:val="auto"/>
              </w:rPr>
            </w:pPr>
            <w:r>
              <w:rPr>
                <w:rFonts w:ascii="Times New Roman" w:cs="Times New Roman" w:eastAsia="Times New Roman" w:hAnsi="Times New Roman"/>
                <w:sz w:val="15"/>
                <w:szCs w:val="15"/>
                <w:color w:val="231F20"/>
              </w:rPr>
              <w:t>due 9/2028)</w:t>
            </w:r>
          </w:p>
        </w:tc>
        <w:tc>
          <w:tcPr>
            <w:tcW w:w="100" w:type="dxa"/>
            <w:vAlign w:val="bottom"/>
            <w:shd w:val="clear" w:color="auto" w:fill="D0EBF2"/>
          </w:tcPr>
          <w:p>
            <w:pPr>
              <w:spacing w:after="0"/>
              <w:rPr>
                <w:sz w:val="16"/>
                <w:szCs w:val="16"/>
                <w:color w:val="auto"/>
              </w:rPr>
            </w:pPr>
          </w:p>
        </w:tc>
        <w:tc>
          <w:tcPr>
            <w:tcW w:w="760" w:type="dxa"/>
            <w:vAlign w:val="bottom"/>
            <w:shd w:val="clear" w:color="auto" w:fill="D0EBF2"/>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shd w:val="clear" w:color="auto" w:fill="D0EBF2"/>
          </w:tcPr>
          <w:p>
            <w:pPr>
              <w:spacing w:after="0"/>
              <w:rPr>
                <w:sz w:val="16"/>
                <w:szCs w:val="16"/>
                <w:color w:val="auto"/>
              </w:rPr>
            </w:pPr>
          </w:p>
        </w:tc>
        <w:tc>
          <w:tcPr>
            <w:tcW w:w="820" w:type="dxa"/>
            <w:vAlign w:val="bottom"/>
            <w:shd w:val="clear" w:color="auto" w:fill="D0EBF2"/>
          </w:tcPr>
          <w:p>
            <w:pPr>
              <w:spacing w:after="0"/>
              <w:rPr>
                <w:sz w:val="16"/>
                <w:szCs w:val="16"/>
                <w:color w:val="auto"/>
              </w:rPr>
            </w:pPr>
          </w:p>
        </w:tc>
        <w:tc>
          <w:tcPr>
            <w:tcW w:w="100" w:type="dxa"/>
            <w:vAlign w:val="bottom"/>
            <w:shd w:val="clear" w:color="auto" w:fill="D0EBF2"/>
          </w:tcPr>
          <w:p>
            <w:pPr>
              <w:spacing w:after="0"/>
              <w:rPr>
                <w:sz w:val="16"/>
                <w:szCs w:val="16"/>
                <w:color w:val="auto"/>
              </w:rPr>
            </w:pPr>
          </w:p>
        </w:tc>
        <w:tc>
          <w:tcPr>
            <w:tcW w:w="920" w:type="dxa"/>
            <w:vAlign w:val="bottom"/>
            <w:shd w:val="clear" w:color="auto" w:fill="D0EBF2"/>
          </w:tcPr>
          <w:p>
            <w:pPr>
              <w:spacing w:after="0"/>
              <w:rPr>
                <w:sz w:val="16"/>
                <w:szCs w:val="16"/>
                <w:color w:val="auto"/>
              </w:rPr>
            </w:pPr>
          </w:p>
        </w:tc>
        <w:tc>
          <w:tcPr>
            <w:tcW w:w="120" w:type="dxa"/>
            <w:vAlign w:val="bottom"/>
            <w:shd w:val="clear" w:color="auto" w:fill="D0EBF2"/>
          </w:tcPr>
          <w:p>
            <w:pPr>
              <w:spacing w:after="0"/>
              <w:rPr>
                <w:sz w:val="16"/>
                <w:szCs w:val="16"/>
                <w:color w:val="auto"/>
              </w:rPr>
            </w:pPr>
          </w:p>
        </w:tc>
        <w:tc>
          <w:tcPr>
            <w:tcW w:w="1000" w:type="dxa"/>
            <w:vAlign w:val="bottom"/>
            <w:shd w:val="clear" w:color="auto" w:fill="D0EBF2"/>
          </w:tcPr>
          <w:p>
            <w:pPr>
              <w:spacing w:after="0"/>
              <w:rPr>
                <w:sz w:val="16"/>
                <w:szCs w:val="16"/>
                <w:color w:val="auto"/>
              </w:rPr>
            </w:pPr>
          </w:p>
        </w:tc>
        <w:tc>
          <w:tcPr>
            <w:tcW w:w="80" w:type="dxa"/>
            <w:vAlign w:val="bottom"/>
            <w:shd w:val="clear" w:color="auto" w:fill="D0EBF2"/>
          </w:tcPr>
          <w:p>
            <w:pPr>
              <w:spacing w:after="0"/>
              <w:rPr>
                <w:sz w:val="16"/>
                <w:szCs w:val="16"/>
                <w:color w:val="auto"/>
              </w:rPr>
            </w:pPr>
          </w:p>
        </w:tc>
        <w:tc>
          <w:tcPr>
            <w:tcW w:w="1600" w:type="dxa"/>
            <w:vAlign w:val="bottom"/>
            <w:shd w:val="clear" w:color="auto" w:fill="D0EBF2"/>
          </w:tcPr>
          <w:p>
            <w:pPr>
              <w:jc w:val="right"/>
              <w:spacing w:after="0"/>
              <w:rPr>
                <w:sz w:val="20"/>
                <w:szCs w:val="20"/>
                <w:color w:val="auto"/>
              </w:rPr>
            </w:pPr>
            <w:r>
              <w:rPr>
                <w:rFonts w:ascii="Times New Roman" w:cs="Times New Roman" w:eastAsia="Times New Roman" w:hAnsi="Times New Roman"/>
                <w:sz w:val="15"/>
                <w:szCs w:val="15"/>
                <w:color w:val="231F20"/>
              </w:rPr>
              <w:t>(EUR 7,388)</w:t>
            </w:r>
          </w:p>
        </w:tc>
        <w:tc>
          <w:tcPr>
            <w:tcW w:w="100" w:type="dxa"/>
            <w:vAlign w:val="bottom"/>
            <w:shd w:val="clear" w:color="auto" w:fill="D0EBF2"/>
          </w:tcPr>
          <w:p>
            <w:pPr>
              <w:spacing w:after="0"/>
              <w:rPr>
                <w:sz w:val="16"/>
                <w:szCs w:val="16"/>
                <w:color w:val="auto"/>
              </w:rPr>
            </w:pPr>
          </w:p>
        </w:tc>
        <w:tc>
          <w:tcPr>
            <w:tcW w:w="860" w:type="dxa"/>
            <w:vAlign w:val="bottom"/>
            <w:shd w:val="clear" w:color="auto" w:fill="D0EBF2"/>
          </w:tcPr>
          <w:p>
            <w:pPr>
              <w:spacing w:after="0"/>
              <w:rPr>
                <w:sz w:val="16"/>
                <w:szCs w:val="16"/>
                <w:color w:val="auto"/>
              </w:rPr>
            </w:pPr>
          </w:p>
        </w:tc>
        <w:tc>
          <w:tcPr>
            <w:tcW w:w="0" w:type="dxa"/>
            <w:vAlign w:val="bottom"/>
          </w:tcPr>
          <w:p>
            <w:pPr>
              <w:spacing w:after="0"/>
              <w:rPr>
                <w:sz w:val="1"/>
                <w:szCs w:val="1"/>
                <w:color w:val="auto"/>
              </w:rPr>
            </w:pPr>
          </w:p>
        </w:tc>
      </w:tr>
      <w:tr>
        <w:trPr>
          <w:trHeight w:val="171"/>
        </w:trPr>
        <w:tc>
          <w:tcPr>
            <w:tcW w:w="1540" w:type="dxa"/>
            <w:vAlign w:val="bottom"/>
            <w:shd w:val="clear" w:color="auto" w:fill="FDFDFC"/>
          </w:tcPr>
          <w:p>
            <w:pPr>
              <w:spacing w:after="0"/>
              <w:rPr>
                <w:sz w:val="14"/>
                <w:szCs w:val="14"/>
                <w:color w:val="auto"/>
              </w:rPr>
            </w:pPr>
          </w:p>
        </w:tc>
        <w:tc>
          <w:tcPr>
            <w:tcW w:w="2180" w:type="dxa"/>
            <w:vAlign w:val="bottom"/>
            <w:gridSpan w:val="2"/>
            <w:shd w:val="clear" w:color="auto" w:fill="FDFDFC"/>
          </w:tcPr>
          <w:p>
            <w:pPr>
              <w:ind w:left="100"/>
              <w:spacing w:after="0" w:line="172" w:lineRule="exact"/>
              <w:rPr>
                <w:sz w:val="20"/>
                <w:szCs w:val="20"/>
                <w:color w:val="auto"/>
              </w:rPr>
            </w:pPr>
            <w:r>
              <w:rPr>
                <w:rFonts w:ascii="Times New Roman" w:cs="Times New Roman" w:eastAsia="Times New Roman" w:hAnsi="Times New Roman"/>
                <w:sz w:val="15"/>
                <w:szCs w:val="15"/>
                <w:color w:val="231F20"/>
              </w:rPr>
              <w:t>First-lien loan (GBP 19,591 par,</w:t>
            </w:r>
          </w:p>
        </w:tc>
        <w:tc>
          <w:tcPr>
            <w:tcW w:w="860" w:type="dxa"/>
            <w:vAlign w:val="bottom"/>
            <w:gridSpan w:val="2"/>
            <w:shd w:val="clear" w:color="auto" w:fill="FDFDFC"/>
          </w:tcPr>
          <w:p>
            <w:pPr>
              <w:jc w:val="right"/>
              <w:spacing w:after="0" w:line="172" w:lineRule="exact"/>
              <w:rPr>
                <w:sz w:val="20"/>
                <w:szCs w:val="20"/>
                <w:color w:val="auto"/>
              </w:rPr>
            </w:pPr>
            <w:r>
              <w:rPr>
                <w:rFonts w:ascii="Times New Roman" w:cs="Times New Roman" w:eastAsia="Times New Roman" w:hAnsi="Times New Roman"/>
                <w:sz w:val="15"/>
                <w:szCs w:val="15"/>
                <w:color w:val="231F20"/>
              </w:rPr>
              <w:t>9/6/2022</w:t>
            </w:r>
          </w:p>
        </w:tc>
        <w:tc>
          <w:tcPr>
            <w:tcW w:w="20" w:type="dxa"/>
            <w:vAlign w:val="bottom"/>
          </w:tcPr>
          <w:p>
            <w:pPr>
              <w:spacing w:after="0"/>
              <w:rPr>
                <w:sz w:val="14"/>
                <w:szCs w:val="14"/>
                <w:color w:val="auto"/>
              </w:rPr>
            </w:pPr>
          </w:p>
        </w:tc>
        <w:tc>
          <w:tcPr>
            <w:tcW w:w="80" w:type="dxa"/>
            <w:vAlign w:val="bottom"/>
            <w:shd w:val="clear" w:color="auto" w:fill="FDFDFC"/>
          </w:tcPr>
          <w:p>
            <w:pPr>
              <w:spacing w:after="0"/>
              <w:rPr>
                <w:sz w:val="14"/>
                <w:szCs w:val="14"/>
                <w:color w:val="auto"/>
              </w:rPr>
            </w:pPr>
          </w:p>
        </w:tc>
        <w:tc>
          <w:tcPr>
            <w:tcW w:w="820" w:type="dxa"/>
            <w:vAlign w:val="bottom"/>
            <w:shd w:val="clear" w:color="auto" w:fill="FDFDFC"/>
          </w:tcPr>
          <w:p>
            <w:pPr>
              <w:jc w:val="right"/>
              <w:spacing w:after="0" w:line="172" w:lineRule="exact"/>
              <w:rPr>
                <w:sz w:val="20"/>
                <w:szCs w:val="20"/>
                <w:color w:val="auto"/>
              </w:rPr>
            </w:pPr>
            <w:r>
              <w:rPr>
                <w:rFonts w:ascii="Times New Roman" w:cs="Times New Roman" w:eastAsia="Times New Roman" w:hAnsi="Times New Roman"/>
                <w:sz w:val="15"/>
                <w:szCs w:val="15"/>
                <w:color w:val="231F20"/>
              </w:rPr>
              <w:t>S + 7.00%</w:t>
            </w:r>
          </w:p>
        </w:tc>
        <w:tc>
          <w:tcPr>
            <w:tcW w:w="1020" w:type="dxa"/>
            <w:vAlign w:val="bottom"/>
            <w:gridSpan w:val="2"/>
            <w:shd w:val="clear" w:color="auto" w:fill="FDFDFC"/>
          </w:tcPr>
          <w:p>
            <w:pPr>
              <w:jc w:val="right"/>
              <w:spacing w:after="0" w:line="172" w:lineRule="exact"/>
              <w:rPr>
                <w:sz w:val="20"/>
                <w:szCs w:val="20"/>
                <w:color w:val="auto"/>
              </w:rPr>
            </w:pPr>
            <w:r>
              <w:rPr>
                <w:rFonts w:ascii="Times New Roman" w:cs="Times New Roman" w:eastAsia="Times New Roman" w:hAnsi="Times New Roman"/>
                <w:sz w:val="15"/>
                <w:szCs w:val="15"/>
                <w:color w:val="231F20"/>
              </w:rPr>
              <w:t>11.70%</w:t>
            </w:r>
          </w:p>
        </w:tc>
        <w:tc>
          <w:tcPr>
            <w:tcW w:w="1120" w:type="dxa"/>
            <w:vAlign w:val="bottom"/>
            <w:gridSpan w:val="2"/>
            <w:shd w:val="clear" w:color="auto" w:fill="FDFDFC"/>
          </w:tcPr>
          <w:p>
            <w:pPr>
              <w:jc w:val="right"/>
              <w:spacing w:after="0" w:line="172" w:lineRule="exact"/>
              <w:rPr>
                <w:sz w:val="20"/>
                <w:szCs w:val="20"/>
                <w:color w:val="auto"/>
              </w:rPr>
            </w:pPr>
            <w:r>
              <w:rPr>
                <w:rFonts w:ascii="Times New Roman" w:cs="Times New Roman" w:eastAsia="Times New Roman" w:hAnsi="Times New Roman"/>
                <w:sz w:val="15"/>
                <w:szCs w:val="15"/>
                <w:color w:val="231F20"/>
              </w:rPr>
              <w:t>23,020</w:t>
            </w:r>
          </w:p>
        </w:tc>
        <w:tc>
          <w:tcPr>
            <w:tcW w:w="1680" w:type="dxa"/>
            <w:vAlign w:val="bottom"/>
            <w:gridSpan w:val="2"/>
            <w:shd w:val="clear" w:color="auto" w:fill="FDFDFC"/>
          </w:tcPr>
          <w:p>
            <w:pPr>
              <w:jc w:val="right"/>
              <w:spacing w:after="0" w:line="172" w:lineRule="exact"/>
              <w:rPr>
                <w:sz w:val="20"/>
                <w:szCs w:val="20"/>
                <w:color w:val="auto"/>
              </w:rPr>
            </w:pPr>
            <w:r>
              <w:rPr>
                <w:rFonts w:ascii="Times New Roman" w:cs="Times New Roman" w:eastAsia="Times New Roman" w:hAnsi="Times New Roman"/>
                <w:sz w:val="15"/>
                <w:szCs w:val="15"/>
                <w:color w:val="231F20"/>
              </w:rPr>
              <w:t>24,904</w:t>
            </w:r>
          </w:p>
        </w:tc>
        <w:tc>
          <w:tcPr>
            <w:tcW w:w="960" w:type="dxa"/>
            <w:vAlign w:val="bottom"/>
            <w:gridSpan w:val="2"/>
            <w:shd w:val="clear" w:color="auto" w:fill="FDFDFC"/>
          </w:tcPr>
          <w:p>
            <w:pPr>
              <w:jc w:val="right"/>
              <w:spacing w:after="0" w:line="172" w:lineRule="exact"/>
              <w:rPr>
                <w:sz w:val="20"/>
                <w:szCs w:val="20"/>
                <w:color w:val="auto"/>
              </w:rPr>
            </w:pPr>
            <w:r>
              <w:rPr>
                <w:rFonts w:ascii="Times New Roman" w:cs="Times New Roman" w:eastAsia="Times New Roman" w:hAnsi="Times New Roman"/>
                <w:sz w:val="15"/>
                <w:szCs w:val="15"/>
                <w:color w:val="231F20"/>
              </w:rPr>
              <w:t>1.5%</w:t>
            </w:r>
          </w:p>
        </w:tc>
        <w:tc>
          <w:tcPr>
            <w:tcW w:w="0" w:type="dxa"/>
            <w:vAlign w:val="bottom"/>
          </w:tcPr>
          <w:p>
            <w:pPr>
              <w:spacing w:after="0"/>
              <w:rPr>
                <w:sz w:val="1"/>
                <w:szCs w:val="1"/>
                <w:color w:val="auto"/>
              </w:rPr>
            </w:pPr>
          </w:p>
        </w:tc>
      </w:tr>
      <w:tr>
        <w:trPr>
          <w:trHeight w:val="189"/>
        </w:trPr>
        <w:tc>
          <w:tcPr>
            <w:tcW w:w="1540" w:type="dxa"/>
            <w:vAlign w:val="bottom"/>
            <w:shd w:val="clear" w:color="auto" w:fill="FDFDFC"/>
          </w:tcPr>
          <w:p>
            <w:pPr>
              <w:spacing w:after="0"/>
              <w:rPr>
                <w:sz w:val="16"/>
                <w:szCs w:val="16"/>
                <w:color w:val="auto"/>
              </w:rPr>
            </w:pPr>
          </w:p>
        </w:tc>
        <w:tc>
          <w:tcPr>
            <w:tcW w:w="2180" w:type="dxa"/>
            <w:vAlign w:val="bottom"/>
            <w:gridSpan w:val="2"/>
            <w:shd w:val="clear" w:color="auto" w:fill="FDFDFC"/>
          </w:tcPr>
          <w:p>
            <w:pPr>
              <w:ind w:left="100"/>
              <w:spacing w:after="0"/>
              <w:rPr>
                <w:sz w:val="20"/>
                <w:szCs w:val="20"/>
                <w:color w:val="auto"/>
              </w:rPr>
            </w:pPr>
            <w:r>
              <w:rPr>
                <w:rFonts w:ascii="Times New Roman" w:cs="Times New Roman" w:eastAsia="Times New Roman" w:hAnsi="Times New Roman"/>
                <w:sz w:val="15"/>
                <w:szCs w:val="15"/>
                <w:color w:val="231F20"/>
              </w:rPr>
              <w:t>due 9/2028)</w:t>
            </w:r>
          </w:p>
        </w:tc>
        <w:tc>
          <w:tcPr>
            <w:tcW w:w="100" w:type="dxa"/>
            <w:vAlign w:val="bottom"/>
            <w:shd w:val="clear" w:color="auto" w:fill="FDFDFC"/>
          </w:tcPr>
          <w:p>
            <w:pPr>
              <w:spacing w:after="0"/>
              <w:rPr>
                <w:sz w:val="16"/>
                <w:szCs w:val="16"/>
                <w:color w:val="auto"/>
              </w:rPr>
            </w:pPr>
          </w:p>
        </w:tc>
        <w:tc>
          <w:tcPr>
            <w:tcW w:w="760" w:type="dxa"/>
            <w:vAlign w:val="bottom"/>
            <w:shd w:val="clear" w:color="auto" w:fill="FDFDFC"/>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shd w:val="clear" w:color="auto" w:fill="FDFDFC"/>
          </w:tcPr>
          <w:p>
            <w:pPr>
              <w:spacing w:after="0"/>
              <w:rPr>
                <w:sz w:val="16"/>
                <w:szCs w:val="16"/>
                <w:color w:val="auto"/>
              </w:rPr>
            </w:pPr>
          </w:p>
        </w:tc>
        <w:tc>
          <w:tcPr>
            <w:tcW w:w="820" w:type="dxa"/>
            <w:vAlign w:val="bottom"/>
            <w:shd w:val="clear" w:color="auto" w:fill="FDFDFC"/>
          </w:tcPr>
          <w:p>
            <w:pPr>
              <w:spacing w:after="0"/>
              <w:rPr>
                <w:sz w:val="16"/>
                <w:szCs w:val="16"/>
                <w:color w:val="auto"/>
              </w:rPr>
            </w:pPr>
          </w:p>
        </w:tc>
        <w:tc>
          <w:tcPr>
            <w:tcW w:w="100" w:type="dxa"/>
            <w:vAlign w:val="bottom"/>
            <w:shd w:val="clear" w:color="auto" w:fill="FDFDFC"/>
          </w:tcPr>
          <w:p>
            <w:pPr>
              <w:spacing w:after="0"/>
              <w:rPr>
                <w:sz w:val="16"/>
                <w:szCs w:val="16"/>
                <w:color w:val="auto"/>
              </w:rPr>
            </w:pPr>
          </w:p>
        </w:tc>
        <w:tc>
          <w:tcPr>
            <w:tcW w:w="920" w:type="dxa"/>
            <w:vAlign w:val="bottom"/>
            <w:shd w:val="clear" w:color="auto" w:fill="FDFDFC"/>
          </w:tcPr>
          <w:p>
            <w:pPr>
              <w:spacing w:after="0"/>
              <w:rPr>
                <w:sz w:val="16"/>
                <w:szCs w:val="16"/>
                <w:color w:val="auto"/>
              </w:rPr>
            </w:pPr>
          </w:p>
        </w:tc>
        <w:tc>
          <w:tcPr>
            <w:tcW w:w="120" w:type="dxa"/>
            <w:vAlign w:val="bottom"/>
            <w:shd w:val="clear" w:color="auto" w:fill="FDFDFC"/>
          </w:tcPr>
          <w:p>
            <w:pPr>
              <w:spacing w:after="0"/>
              <w:rPr>
                <w:sz w:val="16"/>
                <w:szCs w:val="16"/>
                <w:color w:val="auto"/>
              </w:rPr>
            </w:pPr>
          </w:p>
        </w:tc>
        <w:tc>
          <w:tcPr>
            <w:tcW w:w="1000" w:type="dxa"/>
            <w:vAlign w:val="bottom"/>
            <w:shd w:val="clear" w:color="auto" w:fill="FDFDFC"/>
          </w:tcPr>
          <w:p>
            <w:pPr>
              <w:spacing w:after="0"/>
              <w:rPr>
                <w:sz w:val="16"/>
                <w:szCs w:val="16"/>
                <w:color w:val="auto"/>
              </w:rPr>
            </w:pPr>
          </w:p>
        </w:tc>
        <w:tc>
          <w:tcPr>
            <w:tcW w:w="80" w:type="dxa"/>
            <w:vAlign w:val="bottom"/>
            <w:shd w:val="clear" w:color="auto" w:fill="FDFDFC"/>
          </w:tcPr>
          <w:p>
            <w:pPr>
              <w:spacing w:after="0"/>
              <w:rPr>
                <w:sz w:val="16"/>
                <w:szCs w:val="16"/>
                <w:color w:val="auto"/>
              </w:rPr>
            </w:pPr>
          </w:p>
        </w:tc>
        <w:tc>
          <w:tcPr>
            <w:tcW w:w="1600" w:type="dxa"/>
            <w:vAlign w:val="bottom"/>
            <w:shd w:val="clear" w:color="auto" w:fill="FDFDFC"/>
          </w:tcPr>
          <w:p>
            <w:pPr>
              <w:jc w:val="right"/>
              <w:spacing w:after="0"/>
              <w:rPr>
                <w:sz w:val="20"/>
                <w:szCs w:val="20"/>
                <w:color w:val="auto"/>
              </w:rPr>
            </w:pPr>
            <w:r>
              <w:rPr>
                <w:rFonts w:ascii="Times New Roman" w:cs="Times New Roman" w:eastAsia="Times New Roman" w:hAnsi="Times New Roman"/>
                <w:sz w:val="15"/>
                <w:szCs w:val="15"/>
                <w:color w:val="231F20"/>
              </w:rPr>
              <w:t>(GBP 19,885)</w:t>
            </w:r>
          </w:p>
        </w:tc>
        <w:tc>
          <w:tcPr>
            <w:tcW w:w="100" w:type="dxa"/>
            <w:vAlign w:val="bottom"/>
            <w:shd w:val="clear" w:color="auto" w:fill="FDFDFC"/>
          </w:tcPr>
          <w:p>
            <w:pPr>
              <w:spacing w:after="0"/>
              <w:rPr>
                <w:sz w:val="16"/>
                <w:szCs w:val="16"/>
                <w:color w:val="auto"/>
              </w:rPr>
            </w:pPr>
          </w:p>
        </w:tc>
        <w:tc>
          <w:tcPr>
            <w:tcW w:w="860" w:type="dxa"/>
            <w:vAlign w:val="bottom"/>
            <w:shd w:val="clear" w:color="auto" w:fill="FDFDFC"/>
          </w:tcPr>
          <w:p>
            <w:pPr>
              <w:spacing w:after="0"/>
              <w:rPr>
                <w:sz w:val="16"/>
                <w:szCs w:val="16"/>
                <w:color w:val="auto"/>
              </w:rPr>
            </w:pPr>
          </w:p>
        </w:tc>
        <w:tc>
          <w:tcPr>
            <w:tcW w:w="0" w:type="dxa"/>
            <w:vAlign w:val="bottom"/>
          </w:tcPr>
          <w:p>
            <w:pPr>
              <w:spacing w:after="0"/>
              <w:rPr>
                <w:sz w:val="1"/>
                <w:szCs w:val="1"/>
                <w:color w:val="auto"/>
              </w:rPr>
            </w:pPr>
          </w:p>
        </w:tc>
      </w:tr>
      <w:tr>
        <w:trPr>
          <w:trHeight w:val="171"/>
        </w:trPr>
        <w:tc>
          <w:tcPr>
            <w:tcW w:w="1540" w:type="dxa"/>
            <w:vAlign w:val="bottom"/>
            <w:shd w:val="clear" w:color="auto" w:fill="D0EBF2"/>
          </w:tcPr>
          <w:p>
            <w:pPr>
              <w:spacing w:after="0"/>
              <w:rPr>
                <w:sz w:val="14"/>
                <w:szCs w:val="14"/>
                <w:color w:val="auto"/>
              </w:rPr>
            </w:pPr>
          </w:p>
        </w:tc>
        <w:tc>
          <w:tcPr>
            <w:tcW w:w="2180" w:type="dxa"/>
            <w:vAlign w:val="bottom"/>
            <w:gridSpan w:val="2"/>
            <w:shd w:val="clear" w:color="auto" w:fill="D0EBF2"/>
          </w:tcPr>
          <w:p>
            <w:pPr>
              <w:ind w:left="100"/>
              <w:spacing w:after="0" w:line="172" w:lineRule="exact"/>
              <w:rPr>
                <w:sz w:val="20"/>
                <w:szCs w:val="20"/>
                <w:color w:val="auto"/>
              </w:rPr>
            </w:pPr>
            <w:r>
              <w:rPr>
                <w:rFonts w:ascii="Times New Roman" w:cs="Times New Roman" w:eastAsia="Times New Roman" w:hAnsi="Times New Roman"/>
                <w:sz w:val="15"/>
                <w:szCs w:val="15"/>
                <w:color w:val="231F20"/>
              </w:rPr>
              <w:t>First-lien loan (NOK 7,428 par,</w:t>
            </w:r>
          </w:p>
        </w:tc>
        <w:tc>
          <w:tcPr>
            <w:tcW w:w="860" w:type="dxa"/>
            <w:vAlign w:val="bottom"/>
            <w:gridSpan w:val="2"/>
            <w:shd w:val="clear" w:color="auto" w:fill="D0EBF2"/>
          </w:tcPr>
          <w:p>
            <w:pPr>
              <w:jc w:val="right"/>
              <w:spacing w:after="0" w:line="172" w:lineRule="exact"/>
              <w:rPr>
                <w:sz w:val="20"/>
                <w:szCs w:val="20"/>
                <w:color w:val="auto"/>
              </w:rPr>
            </w:pPr>
            <w:r>
              <w:rPr>
                <w:rFonts w:ascii="Times New Roman" w:cs="Times New Roman" w:eastAsia="Times New Roman" w:hAnsi="Times New Roman"/>
                <w:sz w:val="15"/>
                <w:szCs w:val="15"/>
                <w:color w:val="231F20"/>
              </w:rPr>
              <w:t>9/6/2022</w:t>
            </w:r>
          </w:p>
        </w:tc>
        <w:tc>
          <w:tcPr>
            <w:tcW w:w="20" w:type="dxa"/>
            <w:vAlign w:val="bottom"/>
          </w:tcPr>
          <w:p>
            <w:pPr>
              <w:spacing w:after="0"/>
              <w:rPr>
                <w:sz w:val="14"/>
                <w:szCs w:val="14"/>
                <w:color w:val="auto"/>
              </w:rPr>
            </w:pPr>
          </w:p>
        </w:tc>
        <w:tc>
          <w:tcPr>
            <w:tcW w:w="80" w:type="dxa"/>
            <w:vAlign w:val="bottom"/>
            <w:shd w:val="clear" w:color="auto" w:fill="D0EBF2"/>
          </w:tcPr>
          <w:p>
            <w:pPr>
              <w:spacing w:after="0"/>
              <w:rPr>
                <w:sz w:val="14"/>
                <w:szCs w:val="14"/>
                <w:color w:val="auto"/>
              </w:rPr>
            </w:pPr>
          </w:p>
        </w:tc>
        <w:tc>
          <w:tcPr>
            <w:tcW w:w="820" w:type="dxa"/>
            <w:vAlign w:val="bottom"/>
            <w:shd w:val="clear" w:color="auto" w:fill="D0EBF2"/>
          </w:tcPr>
          <w:p>
            <w:pPr>
              <w:jc w:val="right"/>
              <w:spacing w:after="0" w:line="172" w:lineRule="exact"/>
              <w:rPr>
                <w:sz w:val="20"/>
                <w:szCs w:val="20"/>
                <w:color w:val="auto"/>
              </w:rPr>
            </w:pPr>
            <w:r>
              <w:rPr>
                <w:rFonts w:ascii="Times New Roman" w:cs="Times New Roman" w:eastAsia="Times New Roman" w:hAnsi="Times New Roman"/>
                <w:sz w:val="15"/>
                <w:szCs w:val="15"/>
                <w:color w:val="231F20"/>
              </w:rPr>
              <w:t>N + 7.00%</w:t>
            </w:r>
          </w:p>
        </w:tc>
        <w:tc>
          <w:tcPr>
            <w:tcW w:w="1020" w:type="dxa"/>
            <w:vAlign w:val="bottom"/>
            <w:gridSpan w:val="2"/>
            <w:shd w:val="clear" w:color="auto" w:fill="D0EBF2"/>
          </w:tcPr>
          <w:p>
            <w:pPr>
              <w:jc w:val="right"/>
              <w:spacing w:after="0" w:line="172" w:lineRule="exact"/>
              <w:rPr>
                <w:sz w:val="20"/>
                <w:szCs w:val="20"/>
                <w:color w:val="auto"/>
              </w:rPr>
            </w:pPr>
            <w:r>
              <w:rPr>
                <w:rFonts w:ascii="Times New Roman" w:cs="Times New Roman" w:eastAsia="Times New Roman" w:hAnsi="Times New Roman"/>
                <w:sz w:val="15"/>
                <w:szCs w:val="15"/>
                <w:color w:val="231F20"/>
              </w:rPr>
              <w:t>11.69%</w:t>
            </w:r>
          </w:p>
        </w:tc>
        <w:tc>
          <w:tcPr>
            <w:tcW w:w="1120" w:type="dxa"/>
            <w:vAlign w:val="bottom"/>
            <w:gridSpan w:val="2"/>
            <w:shd w:val="clear" w:color="auto" w:fill="D0EBF2"/>
          </w:tcPr>
          <w:p>
            <w:pPr>
              <w:jc w:val="right"/>
              <w:spacing w:after="0" w:line="172" w:lineRule="exact"/>
              <w:rPr>
                <w:sz w:val="20"/>
                <w:szCs w:val="20"/>
                <w:color w:val="auto"/>
              </w:rPr>
            </w:pPr>
            <w:r>
              <w:rPr>
                <w:rFonts w:ascii="Times New Roman" w:cs="Times New Roman" w:eastAsia="Times New Roman" w:hAnsi="Times New Roman"/>
                <w:sz w:val="15"/>
                <w:szCs w:val="15"/>
                <w:color w:val="231F20"/>
              </w:rPr>
              <w:t>711</w:t>
            </w:r>
          </w:p>
        </w:tc>
        <w:tc>
          <w:tcPr>
            <w:tcW w:w="1680" w:type="dxa"/>
            <w:vAlign w:val="bottom"/>
            <w:gridSpan w:val="2"/>
            <w:shd w:val="clear" w:color="auto" w:fill="D0EBF2"/>
          </w:tcPr>
          <w:p>
            <w:pPr>
              <w:jc w:val="right"/>
              <w:spacing w:after="0" w:line="172" w:lineRule="exact"/>
              <w:rPr>
                <w:sz w:val="20"/>
                <w:szCs w:val="20"/>
                <w:color w:val="auto"/>
              </w:rPr>
            </w:pPr>
            <w:r>
              <w:rPr>
                <w:rFonts w:ascii="Times New Roman" w:cs="Times New Roman" w:eastAsia="Times New Roman" w:hAnsi="Times New Roman"/>
                <w:sz w:val="15"/>
                <w:szCs w:val="15"/>
                <w:color w:val="231F20"/>
              </w:rPr>
              <w:t>664</w:t>
            </w:r>
          </w:p>
        </w:tc>
        <w:tc>
          <w:tcPr>
            <w:tcW w:w="960" w:type="dxa"/>
            <w:vAlign w:val="bottom"/>
            <w:gridSpan w:val="2"/>
            <w:shd w:val="clear" w:color="auto" w:fill="D0EBF2"/>
          </w:tcPr>
          <w:p>
            <w:pPr>
              <w:jc w:val="right"/>
              <w:spacing w:after="0" w:line="172" w:lineRule="exact"/>
              <w:rPr>
                <w:sz w:val="20"/>
                <w:szCs w:val="20"/>
                <w:color w:val="auto"/>
              </w:rPr>
            </w:pPr>
            <w:r>
              <w:rPr>
                <w:rFonts w:ascii="Times New Roman" w:cs="Times New Roman" w:eastAsia="Times New Roman" w:hAnsi="Times New Roman"/>
                <w:sz w:val="15"/>
                <w:szCs w:val="15"/>
                <w:color w:val="231F20"/>
              </w:rPr>
              <w:t>0.0%</w:t>
            </w:r>
          </w:p>
        </w:tc>
        <w:tc>
          <w:tcPr>
            <w:tcW w:w="0" w:type="dxa"/>
            <w:vAlign w:val="bottom"/>
          </w:tcPr>
          <w:p>
            <w:pPr>
              <w:spacing w:after="0"/>
              <w:rPr>
                <w:sz w:val="1"/>
                <w:szCs w:val="1"/>
                <w:color w:val="auto"/>
              </w:rPr>
            </w:pPr>
          </w:p>
        </w:tc>
      </w:tr>
      <w:tr>
        <w:trPr>
          <w:trHeight w:val="189"/>
        </w:trPr>
        <w:tc>
          <w:tcPr>
            <w:tcW w:w="1540" w:type="dxa"/>
            <w:vAlign w:val="bottom"/>
            <w:tcBorders>
              <w:bottom w:val="single" w:sz="8" w:color="D0EBF2"/>
            </w:tcBorders>
            <w:shd w:val="clear" w:color="auto" w:fill="D0EBF2"/>
          </w:tcPr>
          <w:p>
            <w:pPr>
              <w:spacing w:after="0"/>
              <w:rPr>
                <w:sz w:val="16"/>
                <w:szCs w:val="16"/>
                <w:color w:val="auto"/>
              </w:rPr>
            </w:pPr>
          </w:p>
        </w:tc>
        <w:tc>
          <w:tcPr>
            <w:tcW w:w="2180" w:type="dxa"/>
            <w:vAlign w:val="bottom"/>
            <w:tcBorders>
              <w:bottom w:val="single" w:sz="8" w:color="D0EBF2"/>
            </w:tcBorders>
            <w:gridSpan w:val="2"/>
            <w:shd w:val="clear" w:color="auto" w:fill="D0EBF2"/>
          </w:tcPr>
          <w:p>
            <w:pPr>
              <w:ind w:left="100"/>
              <w:spacing w:after="0"/>
              <w:rPr>
                <w:sz w:val="20"/>
                <w:szCs w:val="20"/>
                <w:color w:val="auto"/>
              </w:rPr>
            </w:pPr>
            <w:r>
              <w:rPr>
                <w:rFonts w:ascii="Times New Roman" w:cs="Times New Roman" w:eastAsia="Times New Roman" w:hAnsi="Times New Roman"/>
                <w:sz w:val="15"/>
                <w:szCs w:val="15"/>
                <w:color w:val="231F20"/>
              </w:rPr>
              <w:t>due 9/2028)</w:t>
            </w:r>
          </w:p>
        </w:tc>
        <w:tc>
          <w:tcPr>
            <w:tcW w:w="100" w:type="dxa"/>
            <w:vAlign w:val="bottom"/>
            <w:tcBorders>
              <w:bottom w:val="single" w:sz="8" w:color="D0EBF2"/>
            </w:tcBorders>
            <w:shd w:val="clear" w:color="auto" w:fill="D0EBF2"/>
          </w:tcPr>
          <w:p>
            <w:pPr>
              <w:spacing w:after="0"/>
              <w:rPr>
                <w:sz w:val="16"/>
                <w:szCs w:val="16"/>
                <w:color w:val="auto"/>
              </w:rPr>
            </w:pPr>
          </w:p>
        </w:tc>
        <w:tc>
          <w:tcPr>
            <w:tcW w:w="760" w:type="dxa"/>
            <w:vAlign w:val="bottom"/>
            <w:tcBorders>
              <w:bottom w:val="single" w:sz="8" w:color="D0EBF2"/>
            </w:tcBorders>
            <w:shd w:val="clear" w:color="auto" w:fill="D0EBF2"/>
          </w:tcPr>
          <w:p>
            <w:pPr>
              <w:spacing w:after="0"/>
              <w:rPr>
                <w:sz w:val="16"/>
                <w:szCs w:val="16"/>
                <w:color w:val="auto"/>
              </w:rPr>
            </w:pPr>
          </w:p>
        </w:tc>
        <w:tc>
          <w:tcPr>
            <w:tcW w:w="20" w:type="dxa"/>
            <w:vAlign w:val="bottom"/>
            <w:tcBorders>
              <w:bottom w:val="single" w:sz="8" w:color="FDFDFC"/>
            </w:tcBorders>
          </w:tcPr>
          <w:p>
            <w:pPr>
              <w:spacing w:after="0"/>
              <w:rPr>
                <w:sz w:val="16"/>
                <w:szCs w:val="16"/>
                <w:color w:val="auto"/>
              </w:rPr>
            </w:pPr>
          </w:p>
        </w:tc>
        <w:tc>
          <w:tcPr>
            <w:tcW w:w="80" w:type="dxa"/>
            <w:vAlign w:val="bottom"/>
            <w:tcBorders>
              <w:bottom w:val="single" w:sz="8" w:color="D0EBF2"/>
            </w:tcBorders>
            <w:shd w:val="clear" w:color="auto" w:fill="D0EBF2"/>
          </w:tcPr>
          <w:p>
            <w:pPr>
              <w:spacing w:after="0"/>
              <w:rPr>
                <w:sz w:val="16"/>
                <w:szCs w:val="16"/>
                <w:color w:val="auto"/>
              </w:rPr>
            </w:pPr>
          </w:p>
        </w:tc>
        <w:tc>
          <w:tcPr>
            <w:tcW w:w="820" w:type="dxa"/>
            <w:vAlign w:val="bottom"/>
            <w:tcBorders>
              <w:bottom w:val="single" w:sz="8" w:color="D0EBF2"/>
            </w:tcBorders>
            <w:shd w:val="clear" w:color="auto" w:fill="D0EBF2"/>
          </w:tcPr>
          <w:p>
            <w:pPr>
              <w:spacing w:after="0"/>
              <w:rPr>
                <w:sz w:val="16"/>
                <w:szCs w:val="16"/>
                <w:color w:val="auto"/>
              </w:rPr>
            </w:pPr>
          </w:p>
        </w:tc>
        <w:tc>
          <w:tcPr>
            <w:tcW w:w="100" w:type="dxa"/>
            <w:vAlign w:val="bottom"/>
            <w:tcBorders>
              <w:bottom w:val="single" w:sz="8" w:color="D0EBF2"/>
            </w:tcBorders>
            <w:shd w:val="clear" w:color="auto" w:fill="D0EBF2"/>
          </w:tcPr>
          <w:p>
            <w:pPr>
              <w:spacing w:after="0"/>
              <w:rPr>
                <w:sz w:val="16"/>
                <w:szCs w:val="16"/>
                <w:color w:val="auto"/>
              </w:rPr>
            </w:pPr>
          </w:p>
        </w:tc>
        <w:tc>
          <w:tcPr>
            <w:tcW w:w="920" w:type="dxa"/>
            <w:vAlign w:val="bottom"/>
            <w:tcBorders>
              <w:bottom w:val="single" w:sz="8" w:color="D0EBF2"/>
            </w:tcBorders>
            <w:shd w:val="clear" w:color="auto" w:fill="D0EBF2"/>
          </w:tcPr>
          <w:p>
            <w:pPr>
              <w:spacing w:after="0"/>
              <w:rPr>
                <w:sz w:val="16"/>
                <w:szCs w:val="16"/>
                <w:color w:val="auto"/>
              </w:rPr>
            </w:pPr>
          </w:p>
        </w:tc>
        <w:tc>
          <w:tcPr>
            <w:tcW w:w="120" w:type="dxa"/>
            <w:vAlign w:val="bottom"/>
            <w:tcBorders>
              <w:bottom w:val="single" w:sz="8" w:color="D0EBF2"/>
            </w:tcBorders>
            <w:shd w:val="clear" w:color="auto" w:fill="D0EBF2"/>
          </w:tcPr>
          <w:p>
            <w:pPr>
              <w:spacing w:after="0"/>
              <w:rPr>
                <w:sz w:val="16"/>
                <w:szCs w:val="16"/>
                <w:color w:val="auto"/>
              </w:rPr>
            </w:pPr>
          </w:p>
        </w:tc>
        <w:tc>
          <w:tcPr>
            <w:tcW w:w="1000" w:type="dxa"/>
            <w:vAlign w:val="bottom"/>
            <w:tcBorders>
              <w:bottom w:val="single" w:sz="8" w:color="231F20"/>
            </w:tcBorders>
            <w:shd w:val="clear" w:color="auto" w:fill="D0EBF2"/>
          </w:tcPr>
          <w:p>
            <w:pPr>
              <w:spacing w:after="0"/>
              <w:rPr>
                <w:sz w:val="16"/>
                <w:szCs w:val="16"/>
                <w:color w:val="auto"/>
              </w:rPr>
            </w:pPr>
          </w:p>
        </w:tc>
        <w:tc>
          <w:tcPr>
            <w:tcW w:w="80" w:type="dxa"/>
            <w:vAlign w:val="bottom"/>
            <w:tcBorders>
              <w:bottom w:val="single" w:sz="8" w:color="D0EBF2"/>
            </w:tcBorders>
            <w:shd w:val="clear" w:color="auto" w:fill="D0EBF2"/>
          </w:tcPr>
          <w:p>
            <w:pPr>
              <w:spacing w:after="0"/>
              <w:rPr>
                <w:sz w:val="16"/>
                <w:szCs w:val="16"/>
                <w:color w:val="auto"/>
              </w:rPr>
            </w:pPr>
          </w:p>
        </w:tc>
        <w:tc>
          <w:tcPr>
            <w:tcW w:w="1600" w:type="dxa"/>
            <w:vAlign w:val="bottom"/>
            <w:tcBorders>
              <w:bottom w:val="single" w:sz="8" w:color="231F20"/>
            </w:tcBorders>
            <w:shd w:val="clear" w:color="auto" w:fill="D0EBF2"/>
          </w:tcPr>
          <w:p>
            <w:pPr>
              <w:jc w:val="right"/>
              <w:spacing w:after="0"/>
              <w:rPr>
                <w:sz w:val="20"/>
                <w:szCs w:val="20"/>
                <w:color w:val="auto"/>
              </w:rPr>
            </w:pPr>
            <w:r>
              <w:rPr>
                <w:rFonts w:ascii="Times New Roman" w:cs="Times New Roman" w:eastAsia="Times New Roman" w:hAnsi="Times New Roman"/>
                <w:sz w:val="15"/>
                <w:szCs w:val="15"/>
                <w:color w:val="231F20"/>
              </w:rPr>
              <w:t>(NOK 7,538)</w:t>
            </w:r>
          </w:p>
        </w:tc>
        <w:tc>
          <w:tcPr>
            <w:tcW w:w="100" w:type="dxa"/>
            <w:vAlign w:val="bottom"/>
            <w:tcBorders>
              <w:bottom w:val="single" w:sz="8" w:color="D0EBF2"/>
            </w:tcBorders>
            <w:shd w:val="clear" w:color="auto" w:fill="D0EBF2"/>
          </w:tcPr>
          <w:p>
            <w:pPr>
              <w:spacing w:after="0"/>
              <w:rPr>
                <w:sz w:val="16"/>
                <w:szCs w:val="16"/>
                <w:color w:val="auto"/>
              </w:rPr>
            </w:pPr>
          </w:p>
        </w:tc>
        <w:tc>
          <w:tcPr>
            <w:tcW w:w="860" w:type="dxa"/>
            <w:vAlign w:val="bottom"/>
            <w:tcBorders>
              <w:bottom w:val="single" w:sz="8" w:color="231F20"/>
            </w:tcBorders>
            <w:shd w:val="clear" w:color="auto" w:fill="D0EBF2"/>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1540" w:type="dxa"/>
            <w:vAlign w:val="bottom"/>
            <w:tcBorders>
              <w:bottom w:val="single" w:sz="8" w:color="D0EBF2"/>
            </w:tcBorders>
            <w:shd w:val="clear" w:color="auto" w:fill="FDFDFC"/>
          </w:tcPr>
          <w:p>
            <w:pPr>
              <w:spacing w:after="0"/>
              <w:rPr>
                <w:sz w:val="15"/>
                <w:szCs w:val="15"/>
                <w:color w:val="auto"/>
              </w:rPr>
            </w:pPr>
          </w:p>
        </w:tc>
        <w:tc>
          <w:tcPr>
            <w:tcW w:w="100" w:type="dxa"/>
            <w:vAlign w:val="bottom"/>
            <w:tcBorders>
              <w:bottom w:val="single" w:sz="8" w:color="D0EBF2"/>
            </w:tcBorders>
            <w:shd w:val="clear" w:color="auto" w:fill="FDFDFC"/>
          </w:tcPr>
          <w:p>
            <w:pPr>
              <w:spacing w:after="0"/>
              <w:rPr>
                <w:sz w:val="15"/>
                <w:szCs w:val="15"/>
                <w:color w:val="auto"/>
              </w:rPr>
            </w:pPr>
          </w:p>
        </w:tc>
        <w:tc>
          <w:tcPr>
            <w:tcW w:w="2080" w:type="dxa"/>
            <w:vAlign w:val="bottom"/>
            <w:tcBorders>
              <w:bottom w:val="single" w:sz="8" w:color="D0EBF2"/>
            </w:tcBorders>
            <w:shd w:val="clear" w:color="auto" w:fill="FDFDFC"/>
          </w:tcPr>
          <w:p>
            <w:pPr>
              <w:spacing w:after="0"/>
              <w:rPr>
                <w:sz w:val="15"/>
                <w:szCs w:val="15"/>
                <w:color w:val="auto"/>
              </w:rPr>
            </w:pPr>
          </w:p>
        </w:tc>
        <w:tc>
          <w:tcPr>
            <w:tcW w:w="100" w:type="dxa"/>
            <w:vAlign w:val="bottom"/>
            <w:tcBorders>
              <w:bottom w:val="single" w:sz="8" w:color="D0EBF2"/>
            </w:tcBorders>
            <w:shd w:val="clear" w:color="auto" w:fill="FDFDFC"/>
          </w:tcPr>
          <w:p>
            <w:pPr>
              <w:spacing w:after="0"/>
              <w:rPr>
                <w:sz w:val="15"/>
                <w:szCs w:val="15"/>
                <w:color w:val="auto"/>
              </w:rPr>
            </w:pPr>
          </w:p>
        </w:tc>
        <w:tc>
          <w:tcPr>
            <w:tcW w:w="760" w:type="dxa"/>
            <w:vAlign w:val="bottom"/>
            <w:tcBorders>
              <w:bottom w:val="single" w:sz="8" w:color="D0EBF2"/>
            </w:tcBorders>
            <w:shd w:val="clear" w:color="auto" w:fill="FDFDFC"/>
          </w:tcPr>
          <w:p>
            <w:pPr>
              <w:spacing w:after="0"/>
              <w:rPr>
                <w:sz w:val="15"/>
                <w:szCs w:val="15"/>
                <w:color w:val="auto"/>
              </w:rPr>
            </w:pPr>
          </w:p>
        </w:tc>
        <w:tc>
          <w:tcPr>
            <w:tcW w:w="20" w:type="dxa"/>
            <w:vAlign w:val="bottom"/>
            <w:tcBorders>
              <w:bottom w:val="single" w:sz="8" w:color="D0EBF2"/>
            </w:tcBorders>
            <w:shd w:val="clear" w:color="auto" w:fill="FDFDFC"/>
          </w:tcPr>
          <w:p>
            <w:pPr>
              <w:spacing w:after="0"/>
              <w:rPr>
                <w:sz w:val="15"/>
                <w:szCs w:val="15"/>
                <w:color w:val="auto"/>
              </w:rPr>
            </w:pPr>
          </w:p>
        </w:tc>
        <w:tc>
          <w:tcPr>
            <w:tcW w:w="80" w:type="dxa"/>
            <w:vAlign w:val="bottom"/>
            <w:tcBorders>
              <w:bottom w:val="single" w:sz="8" w:color="D0EBF2"/>
            </w:tcBorders>
            <w:shd w:val="clear" w:color="auto" w:fill="FDFDFC"/>
          </w:tcPr>
          <w:p>
            <w:pPr>
              <w:spacing w:after="0"/>
              <w:rPr>
                <w:sz w:val="15"/>
                <w:szCs w:val="15"/>
                <w:color w:val="auto"/>
              </w:rPr>
            </w:pPr>
          </w:p>
        </w:tc>
        <w:tc>
          <w:tcPr>
            <w:tcW w:w="820" w:type="dxa"/>
            <w:vAlign w:val="bottom"/>
            <w:tcBorders>
              <w:bottom w:val="single" w:sz="8" w:color="D0EBF2"/>
            </w:tcBorders>
            <w:shd w:val="clear" w:color="auto" w:fill="FDFDFC"/>
          </w:tcPr>
          <w:p>
            <w:pPr>
              <w:spacing w:after="0"/>
              <w:rPr>
                <w:sz w:val="15"/>
                <w:szCs w:val="15"/>
                <w:color w:val="auto"/>
              </w:rPr>
            </w:pPr>
          </w:p>
        </w:tc>
        <w:tc>
          <w:tcPr>
            <w:tcW w:w="100" w:type="dxa"/>
            <w:vAlign w:val="bottom"/>
            <w:tcBorders>
              <w:bottom w:val="single" w:sz="8" w:color="D0EBF2"/>
            </w:tcBorders>
            <w:shd w:val="clear" w:color="auto" w:fill="FDFDFC"/>
          </w:tcPr>
          <w:p>
            <w:pPr>
              <w:spacing w:after="0"/>
              <w:rPr>
                <w:sz w:val="15"/>
                <w:szCs w:val="15"/>
                <w:color w:val="auto"/>
              </w:rPr>
            </w:pPr>
          </w:p>
        </w:tc>
        <w:tc>
          <w:tcPr>
            <w:tcW w:w="920" w:type="dxa"/>
            <w:vAlign w:val="bottom"/>
            <w:tcBorders>
              <w:bottom w:val="single" w:sz="8" w:color="D0EBF2"/>
            </w:tcBorders>
            <w:shd w:val="clear" w:color="auto" w:fill="FDFDFC"/>
          </w:tcPr>
          <w:p>
            <w:pPr>
              <w:spacing w:after="0"/>
              <w:rPr>
                <w:sz w:val="15"/>
                <w:szCs w:val="15"/>
                <w:color w:val="auto"/>
              </w:rPr>
            </w:pPr>
          </w:p>
        </w:tc>
        <w:tc>
          <w:tcPr>
            <w:tcW w:w="120" w:type="dxa"/>
            <w:vAlign w:val="bottom"/>
            <w:tcBorders>
              <w:bottom w:val="single" w:sz="8" w:color="D0EBF2"/>
            </w:tcBorders>
            <w:shd w:val="clear" w:color="auto" w:fill="FDFDFC"/>
          </w:tcPr>
          <w:p>
            <w:pPr>
              <w:spacing w:after="0"/>
              <w:rPr>
                <w:sz w:val="15"/>
                <w:szCs w:val="15"/>
                <w:color w:val="auto"/>
              </w:rPr>
            </w:pPr>
          </w:p>
        </w:tc>
        <w:tc>
          <w:tcPr>
            <w:tcW w:w="1000" w:type="dxa"/>
            <w:vAlign w:val="bottom"/>
            <w:tcBorders>
              <w:bottom w:val="single" w:sz="8" w:color="231F20"/>
            </w:tcBorders>
            <w:shd w:val="clear" w:color="auto" w:fill="FDFDFC"/>
          </w:tcPr>
          <w:p>
            <w:pPr>
              <w:jc w:val="right"/>
              <w:spacing w:after="0"/>
              <w:rPr>
                <w:sz w:val="20"/>
                <w:szCs w:val="20"/>
                <w:color w:val="auto"/>
              </w:rPr>
            </w:pPr>
            <w:r>
              <w:rPr>
                <w:rFonts w:ascii="Times New Roman" w:cs="Times New Roman" w:eastAsia="Times New Roman" w:hAnsi="Times New Roman"/>
                <w:sz w:val="15"/>
                <w:szCs w:val="15"/>
                <w:color w:val="231F20"/>
              </w:rPr>
              <w:t>30,659</w:t>
            </w:r>
          </w:p>
        </w:tc>
        <w:tc>
          <w:tcPr>
            <w:tcW w:w="80" w:type="dxa"/>
            <w:vAlign w:val="bottom"/>
            <w:tcBorders>
              <w:bottom w:val="single" w:sz="8" w:color="D0EBF2"/>
            </w:tcBorders>
            <w:shd w:val="clear" w:color="auto" w:fill="FDFDFC"/>
          </w:tcPr>
          <w:p>
            <w:pPr>
              <w:spacing w:after="0"/>
              <w:rPr>
                <w:sz w:val="15"/>
                <w:szCs w:val="15"/>
                <w:color w:val="auto"/>
              </w:rPr>
            </w:pPr>
          </w:p>
        </w:tc>
        <w:tc>
          <w:tcPr>
            <w:tcW w:w="1600" w:type="dxa"/>
            <w:vAlign w:val="bottom"/>
            <w:tcBorders>
              <w:bottom w:val="single" w:sz="8" w:color="231F20"/>
            </w:tcBorders>
            <w:shd w:val="clear" w:color="auto" w:fill="FDFDFC"/>
          </w:tcPr>
          <w:p>
            <w:pPr>
              <w:jc w:val="right"/>
              <w:spacing w:after="0"/>
              <w:rPr>
                <w:sz w:val="20"/>
                <w:szCs w:val="20"/>
                <w:color w:val="auto"/>
              </w:rPr>
            </w:pPr>
            <w:r>
              <w:rPr>
                <w:rFonts w:ascii="Times New Roman" w:cs="Times New Roman" w:eastAsia="Times New Roman" w:hAnsi="Times New Roman"/>
                <w:sz w:val="15"/>
                <w:szCs w:val="15"/>
                <w:color w:val="231F20"/>
              </w:rPr>
              <w:t>33,218</w:t>
            </w:r>
          </w:p>
        </w:tc>
        <w:tc>
          <w:tcPr>
            <w:tcW w:w="100" w:type="dxa"/>
            <w:vAlign w:val="bottom"/>
            <w:tcBorders>
              <w:bottom w:val="single" w:sz="8" w:color="D0EBF2"/>
            </w:tcBorders>
            <w:shd w:val="clear" w:color="auto" w:fill="FDFDFC"/>
          </w:tcPr>
          <w:p>
            <w:pPr>
              <w:spacing w:after="0"/>
              <w:rPr>
                <w:sz w:val="15"/>
                <w:szCs w:val="15"/>
                <w:color w:val="auto"/>
              </w:rPr>
            </w:pPr>
          </w:p>
        </w:tc>
        <w:tc>
          <w:tcPr>
            <w:tcW w:w="860" w:type="dxa"/>
            <w:vAlign w:val="bottom"/>
            <w:tcBorders>
              <w:bottom w:val="single" w:sz="8" w:color="231F20"/>
            </w:tcBorders>
            <w:shd w:val="clear" w:color="auto" w:fill="FDFDFC"/>
          </w:tcPr>
          <w:p>
            <w:pPr>
              <w:jc w:val="right"/>
              <w:spacing w:after="0"/>
              <w:rPr>
                <w:sz w:val="20"/>
                <w:szCs w:val="20"/>
                <w:color w:val="auto"/>
              </w:rPr>
            </w:pPr>
            <w:r>
              <w:rPr>
                <w:rFonts w:ascii="Times New Roman" w:cs="Times New Roman" w:eastAsia="Times New Roman" w:hAnsi="Times New Roman"/>
                <w:sz w:val="15"/>
                <w:szCs w:val="15"/>
                <w:color w:val="231F20"/>
              </w:rPr>
              <w:t>2.1%</w:t>
            </w:r>
          </w:p>
        </w:tc>
        <w:tc>
          <w:tcPr>
            <w:tcW w:w="0" w:type="dxa"/>
            <w:vAlign w:val="bottom"/>
          </w:tcPr>
          <w:p>
            <w:pPr>
              <w:spacing w:after="0"/>
              <w:rPr>
                <w:sz w:val="1"/>
                <w:szCs w:val="1"/>
                <w:color w:val="auto"/>
              </w:rPr>
            </w:pPr>
          </w:p>
        </w:tc>
      </w:tr>
      <w:tr>
        <w:trPr>
          <w:trHeight w:val="176"/>
        </w:trPr>
        <w:tc>
          <w:tcPr>
            <w:tcW w:w="1540" w:type="dxa"/>
            <w:vAlign w:val="bottom"/>
            <w:shd w:val="clear" w:color="auto" w:fill="D0EBF2"/>
          </w:tcPr>
          <w:p>
            <w:pPr>
              <w:spacing w:after="0"/>
              <w:rPr>
                <w:sz w:val="20"/>
                <w:szCs w:val="20"/>
                <w:color w:val="auto"/>
              </w:rPr>
            </w:pPr>
            <w:r>
              <w:rPr>
                <w:rFonts w:ascii="Times New Roman" w:cs="Times New Roman" w:eastAsia="Times New Roman" w:hAnsi="Times New Roman"/>
                <w:sz w:val="15"/>
                <w:szCs w:val="15"/>
                <w:b w:val="1"/>
                <w:bCs w:val="1"/>
                <w:color w:val="231F20"/>
              </w:rPr>
              <w:t>Communications</w:t>
            </w:r>
          </w:p>
        </w:tc>
        <w:tc>
          <w:tcPr>
            <w:tcW w:w="100" w:type="dxa"/>
            <w:vAlign w:val="bottom"/>
            <w:shd w:val="clear" w:color="auto" w:fill="D0EBF2"/>
          </w:tcPr>
          <w:p>
            <w:pPr>
              <w:spacing w:after="0"/>
              <w:rPr>
                <w:sz w:val="15"/>
                <w:szCs w:val="15"/>
                <w:color w:val="auto"/>
              </w:rPr>
            </w:pPr>
          </w:p>
        </w:tc>
        <w:tc>
          <w:tcPr>
            <w:tcW w:w="2080" w:type="dxa"/>
            <w:vAlign w:val="bottom"/>
            <w:shd w:val="clear" w:color="auto" w:fill="D0EBF2"/>
          </w:tcPr>
          <w:p>
            <w:pPr>
              <w:spacing w:after="0"/>
              <w:rPr>
                <w:sz w:val="15"/>
                <w:szCs w:val="15"/>
                <w:color w:val="auto"/>
              </w:rPr>
            </w:pPr>
          </w:p>
        </w:tc>
        <w:tc>
          <w:tcPr>
            <w:tcW w:w="100" w:type="dxa"/>
            <w:vAlign w:val="bottom"/>
            <w:shd w:val="clear" w:color="auto" w:fill="D0EBF2"/>
          </w:tcPr>
          <w:p>
            <w:pPr>
              <w:spacing w:after="0"/>
              <w:rPr>
                <w:sz w:val="15"/>
                <w:szCs w:val="15"/>
                <w:color w:val="auto"/>
              </w:rPr>
            </w:pPr>
          </w:p>
        </w:tc>
        <w:tc>
          <w:tcPr>
            <w:tcW w:w="760" w:type="dxa"/>
            <w:vAlign w:val="bottom"/>
            <w:shd w:val="clear" w:color="auto" w:fill="D0EBF2"/>
          </w:tcPr>
          <w:p>
            <w:pPr>
              <w:spacing w:after="0"/>
              <w:rPr>
                <w:sz w:val="15"/>
                <w:szCs w:val="15"/>
                <w:color w:val="auto"/>
              </w:rPr>
            </w:pPr>
          </w:p>
        </w:tc>
        <w:tc>
          <w:tcPr>
            <w:tcW w:w="20" w:type="dxa"/>
            <w:vAlign w:val="bottom"/>
            <w:shd w:val="clear" w:color="auto" w:fill="D0EBF2"/>
          </w:tcPr>
          <w:p>
            <w:pPr>
              <w:spacing w:after="0"/>
              <w:rPr>
                <w:sz w:val="15"/>
                <w:szCs w:val="15"/>
                <w:color w:val="auto"/>
              </w:rPr>
            </w:pPr>
          </w:p>
        </w:tc>
        <w:tc>
          <w:tcPr>
            <w:tcW w:w="80" w:type="dxa"/>
            <w:vAlign w:val="bottom"/>
            <w:shd w:val="clear" w:color="auto" w:fill="D0EBF2"/>
          </w:tcPr>
          <w:p>
            <w:pPr>
              <w:spacing w:after="0"/>
              <w:rPr>
                <w:sz w:val="15"/>
                <w:szCs w:val="15"/>
                <w:color w:val="auto"/>
              </w:rPr>
            </w:pPr>
          </w:p>
        </w:tc>
        <w:tc>
          <w:tcPr>
            <w:tcW w:w="820" w:type="dxa"/>
            <w:vAlign w:val="bottom"/>
            <w:shd w:val="clear" w:color="auto" w:fill="D0EBF2"/>
          </w:tcPr>
          <w:p>
            <w:pPr>
              <w:spacing w:after="0"/>
              <w:rPr>
                <w:sz w:val="15"/>
                <w:szCs w:val="15"/>
                <w:color w:val="auto"/>
              </w:rPr>
            </w:pPr>
          </w:p>
        </w:tc>
        <w:tc>
          <w:tcPr>
            <w:tcW w:w="100" w:type="dxa"/>
            <w:vAlign w:val="bottom"/>
            <w:shd w:val="clear" w:color="auto" w:fill="D0EBF2"/>
          </w:tcPr>
          <w:p>
            <w:pPr>
              <w:spacing w:after="0"/>
              <w:rPr>
                <w:sz w:val="15"/>
                <w:szCs w:val="15"/>
                <w:color w:val="auto"/>
              </w:rPr>
            </w:pPr>
          </w:p>
        </w:tc>
        <w:tc>
          <w:tcPr>
            <w:tcW w:w="920" w:type="dxa"/>
            <w:vAlign w:val="bottom"/>
            <w:shd w:val="clear" w:color="auto" w:fill="D0EBF2"/>
          </w:tcPr>
          <w:p>
            <w:pPr>
              <w:spacing w:after="0"/>
              <w:rPr>
                <w:sz w:val="15"/>
                <w:szCs w:val="15"/>
                <w:color w:val="auto"/>
              </w:rPr>
            </w:pPr>
          </w:p>
        </w:tc>
        <w:tc>
          <w:tcPr>
            <w:tcW w:w="120" w:type="dxa"/>
            <w:vAlign w:val="bottom"/>
            <w:shd w:val="clear" w:color="auto" w:fill="D0EBF2"/>
          </w:tcPr>
          <w:p>
            <w:pPr>
              <w:spacing w:after="0"/>
              <w:rPr>
                <w:sz w:val="15"/>
                <w:szCs w:val="15"/>
                <w:color w:val="auto"/>
              </w:rPr>
            </w:pPr>
          </w:p>
        </w:tc>
        <w:tc>
          <w:tcPr>
            <w:tcW w:w="1000" w:type="dxa"/>
            <w:vAlign w:val="bottom"/>
            <w:shd w:val="clear" w:color="auto" w:fill="D0EBF2"/>
          </w:tcPr>
          <w:p>
            <w:pPr>
              <w:spacing w:after="0"/>
              <w:rPr>
                <w:sz w:val="15"/>
                <w:szCs w:val="15"/>
                <w:color w:val="auto"/>
              </w:rPr>
            </w:pPr>
          </w:p>
        </w:tc>
        <w:tc>
          <w:tcPr>
            <w:tcW w:w="80" w:type="dxa"/>
            <w:vAlign w:val="bottom"/>
            <w:shd w:val="clear" w:color="auto" w:fill="D0EBF2"/>
          </w:tcPr>
          <w:p>
            <w:pPr>
              <w:spacing w:after="0"/>
              <w:rPr>
                <w:sz w:val="15"/>
                <w:szCs w:val="15"/>
                <w:color w:val="auto"/>
              </w:rPr>
            </w:pPr>
          </w:p>
        </w:tc>
        <w:tc>
          <w:tcPr>
            <w:tcW w:w="1600" w:type="dxa"/>
            <w:vAlign w:val="bottom"/>
            <w:shd w:val="clear" w:color="auto" w:fill="D0EBF2"/>
          </w:tcPr>
          <w:p>
            <w:pPr>
              <w:spacing w:after="0"/>
              <w:rPr>
                <w:sz w:val="15"/>
                <w:szCs w:val="15"/>
                <w:color w:val="auto"/>
              </w:rPr>
            </w:pPr>
          </w:p>
        </w:tc>
        <w:tc>
          <w:tcPr>
            <w:tcW w:w="100" w:type="dxa"/>
            <w:vAlign w:val="bottom"/>
            <w:shd w:val="clear" w:color="auto" w:fill="D0EBF2"/>
          </w:tcPr>
          <w:p>
            <w:pPr>
              <w:spacing w:after="0"/>
              <w:rPr>
                <w:sz w:val="15"/>
                <w:szCs w:val="15"/>
                <w:color w:val="auto"/>
              </w:rPr>
            </w:pPr>
          </w:p>
        </w:tc>
        <w:tc>
          <w:tcPr>
            <w:tcW w:w="860" w:type="dxa"/>
            <w:vAlign w:val="bottom"/>
            <w:shd w:val="clear" w:color="auto" w:fill="D0EBF2"/>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1540" w:type="dxa"/>
            <w:vAlign w:val="bottom"/>
            <w:shd w:val="clear" w:color="auto" w:fill="FDFDFC"/>
          </w:tcPr>
          <w:p>
            <w:pPr>
              <w:spacing w:after="0" w:line="172" w:lineRule="exact"/>
              <w:rPr>
                <w:sz w:val="20"/>
                <w:szCs w:val="20"/>
                <w:color w:val="auto"/>
              </w:rPr>
            </w:pPr>
            <w:r>
              <w:rPr>
                <w:rFonts w:ascii="Times New Roman" w:cs="Times New Roman" w:eastAsia="Times New Roman" w:hAnsi="Times New Roman"/>
                <w:sz w:val="15"/>
                <w:szCs w:val="15"/>
                <w:color w:val="231F20"/>
              </w:rPr>
              <w:t>Aurelia Netherlands</w:t>
            </w:r>
          </w:p>
        </w:tc>
        <w:tc>
          <w:tcPr>
            <w:tcW w:w="2180" w:type="dxa"/>
            <w:vAlign w:val="bottom"/>
            <w:gridSpan w:val="2"/>
            <w:shd w:val="clear" w:color="auto" w:fill="FDFDFC"/>
          </w:tcPr>
          <w:p>
            <w:pPr>
              <w:ind w:left="100"/>
              <w:spacing w:after="0" w:line="172" w:lineRule="exact"/>
              <w:rPr>
                <w:sz w:val="20"/>
                <w:szCs w:val="20"/>
                <w:color w:val="auto"/>
              </w:rPr>
            </w:pPr>
            <w:r>
              <w:rPr>
                <w:rFonts w:ascii="Times New Roman" w:cs="Times New Roman" w:eastAsia="Times New Roman" w:hAnsi="Times New Roman"/>
                <w:sz w:val="15"/>
                <w:szCs w:val="15"/>
                <w:color w:val="231F20"/>
              </w:rPr>
              <w:t>First-lien loan (EUR 32,904 par,</w:t>
            </w:r>
          </w:p>
        </w:tc>
        <w:tc>
          <w:tcPr>
            <w:tcW w:w="860" w:type="dxa"/>
            <w:vAlign w:val="bottom"/>
            <w:gridSpan w:val="2"/>
            <w:shd w:val="clear" w:color="auto" w:fill="FDFDFC"/>
          </w:tcPr>
          <w:p>
            <w:pPr>
              <w:jc w:val="right"/>
              <w:spacing w:after="0" w:line="172" w:lineRule="exact"/>
              <w:rPr>
                <w:sz w:val="20"/>
                <w:szCs w:val="20"/>
                <w:color w:val="auto"/>
              </w:rPr>
            </w:pPr>
            <w:r>
              <w:rPr>
                <w:rFonts w:ascii="Times New Roman" w:cs="Times New Roman" w:eastAsia="Times New Roman" w:hAnsi="Times New Roman"/>
                <w:sz w:val="15"/>
                <w:szCs w:val="15"/>
                <w:color w:val="231F20"/>
              </w:rPr>
              <w:t>5/22/2024</w:t>
            </w:r>
          </w:p>
        </w:tc>
        <w:tc>
          <w:tcPr>
            <w:tcW w:w="20" w:type="dxa"/>
            <w:vAlign w:val="bottom"/>
          </w:tcPr>
          <w:p>
            <w:pPr>
              <w:spacing w:after="0"/>
              <w:rPr>
                <w:sz w:val="14"/>
                <w:szCs w:val="14"/>
                <w:color w:val="auto"/>
              </w:rPr>
            </w:pPr>
          </w:p>
        </w:tc>
        <w:tc>
          <w:tcPr>
            <w:tcW w:w="80" w:type="dxa"/>
            <w:vAlign w:val="bottom"/>
            <w:shd w:val="clear" w:color="auto" w:fill="FDFDFC"/>
          </w:tcPr>
          <w:p>
            <w:pPr>
              <w:spacing w:after="0"/>
              <w:rPr>
                <w:sz w:val="14"/>
                <w:szCs w:val="14"/>
                <w:color w:val="auto"/>
              </w:rPr>
            </w:pPr>
          </w:p>
        </w:tc>
        <w:tc>
          <w:tcPr>
            <w:tcW w:w="820" w:type="dxa"/>
            <w:vAlign w:val="bottom"/>
            <w:shd w:val="clear" w:color="auto" w:fill="FDFDFC"/>
          </w:tcPr>
          <w:p>
            <w:pPr>
              <w:jc w:val="right"/>
              <w:spacing w:after="0" w:line="172" w:lineRule="exact"/>
              <w:rPr>
                <w:sz w:val="20"/>
                <w:szCs w:val="20"/>
                <w:color w:val="auto"/>
              </w:rPr>
            </w:pPr>
            <w:r>
              <w:rPr>
                <w:rFonts w:ascii="Times New Roman" w:cs="Times New Roman" w:eastAsia="Times New Roman" w:hAnsi="Times New Roman"/>
                <w:sz w:val="15"/>
                <w:szCs w:val="15"/>
                <w:color w:val="231F20"/>
              </w:rPr>
              <w:t>E + 5.75%</w:t>
            </w:r>
          </w:p>
        </w:tc>
        <w:tc>
          <w:tcPr>
            <w:tcW w:w="1020" w:type="dxa"/>
            <w:vAlign w:val="bottom"/>
            <w:gridSpan w:val="2"/>
            <w:shd w:val="clear" w:color="auto" w:fill="FDFDFC"/>
          </w:tcPr>
          <w:p>
            <w:pPr>
              <w:jc w:val="right"/>
              <w:spacing w:after="0" w:line="172" w:lineRule="exact"/>
              <w:rPr>
                <w:sz w:val="20"/>
                <w:szCs w:val="20"/>
                <w:color w:val="auto"/>
              </w:rPr>
            </w:pPr>
            <w:r>
              <w:rPr>
                <w:rFonts w:ascii="Times New Roman" w:cs="Times New Roman" w:eastAsia="Times New Roman" w:hAnsi="Times New Roman"/>
                <w:sz w:val="15"/>
                <w:szCs w:val="15"/>
                <w:color w:val="231F20"/>
              </w:rPr>
              <w:t>8.93%</w:t>
            </w:r>
          </w:p>
        </w:tc>
        <w:tc>
          <w:tcPr>
            <w:tcW w:w="120" w:type="dxa"/>
            <w:vAlign w:val="bottom"/>
            <w:shd w:val="clear" w:color="auto" w:fill="FDFDFC"/>
          </w:tcPr>
          <w:p>
            <w:pPr>
              <w:spacing w:after="0"/>
              <w:rPr>
                <w:sz w:val="14"/>
                <w:szCs w:val="14"/>
                <w:color w:val="auto"/>
              </w:rPr>
            </w:pPr>
          </w:p>
        </w:tc>
        <w:tc>
          <w:tcPr>
            <w:tcW w:w="1000" w:type="dxa"/>
            <w:vAlign w:val="bottom"/>
            <w:shd w:val="clear" w:color="auto" w:fill="FDFDFC"/>
          </w:tcPr>
          <w:p>
            <w:pPr>
              <w:jc w:val="right"/>
              <w:spacing w:after="0" w:line="172" w:lineRule="exact"/>
              <w:rPr>
                <w:sz w:val="20"/>
                <w:szCs w:val="20"/>
                <w:color w:val="auto"/>
              </w:rPr>
            </w:pPr>
            <w:r>
              <w:rPr>
                <w:rFonts w:ascii="Times New Roman" w:cs="Times New Roman" w:eastAsia="Times New Roman" w:hAnsi="Times New Roman"/>
                <w:sz w:val="15"/>
                <w:szCs w:val="15"/>
                <w:color w:val="231F20"/>
              </w:rPr>
              <w:t>34,915</w:t>
            </w:r>
          </w:p>
        </w:tc>
        <w:tc>
          <w:tcPr>
            <w:tcW w:w="80" w:type="dxa"/>
            <w:vAlign w:val="bottom"/>
            <w:shd w:val="clear" w:color="auto" w:fill="FDFDFC"/>
          </w:tcPr>
          <w:p>
            <w:pPr>
              <w:spacing w:after="0"/>
              <w:rPr>
                <w:sz w:val="14"/>
                <w:szCs w:val="14"/>
                <w:color w:val="auto"/>
              </w:rPr>
            </w:pPr>
          </w:p>
        </w:tc>
        <w:tc>
          <w:tcPr>
            <w:tcW w:w="1600" w:type="dxa"/>
            <w:vAlign w:val="bottom"/>
            <w:shd w:val="clear" w:color="auto" w:fill="FDFDFC"/>
          </w:tcPr>
          <w:p>
            <w:pPr>
              <w:jc w:val="right"/>
              <w:spacing w:after="0" w:line="172" w:lineRule="exact"/>
              <w:rPr>
                <w:sz w:val="20"/>
                <w:szCs w:val="20"/>
                <w:color w:val="auto"/>
              </w:rPr>
            </w:pPr>
            <w:r>
              <w:rPr>
                <w:rFonts w:ascii="Times New Roman" w:cs="Times New Roman" w:eastAsia="Times New Roman" w:hAnsi="Times New Roman"/>
                <w:sz w:val="15"/>
                <w:szCs w:val="15"/>
                <w:color w:val="231F20"/>
              </w:rPr>
              <w:t>34,157</w:t>
            </w:r>
          </w:p>
        </w:tc>
        <w:tc>
          <w:tcPr>
            <w:tcW w:w="100" w:type="dxa"/>
            <w:vAlign w:val="bottom"/>
            <w:shd w:val="clear" w:color="auto" w:fill="FDFDFC"/>
          </w:tcPr>
          <w:p>
            <w:pPr>
              <w:spacing w:after="0"/>
              <w:rPr>
                <w:sz w:val="14"/>
                <w:szCs w:val="14"/>
                <w:color w:val="auto"/>
              </w:rPr>
            </w:pPr>
          </w:p>
        </w:tc>
        <w:tc>
          <w:tcPr>
            <w:tcW w:w="860" w:type="dxa"/>
            <w:vAlign w:val="bottom"/>
            <w:shd w:val="clear" w:color="auto" w:fill="FDFDFC"/>
          </w:tcPr>
          <w:p>
            <w:pPr>
              <w:jc w:val="right"/>
              <w:spacing w:after="0" w:line="172" w:lineRule="exact"/>
              <w:rPr>
                <w:sz w:val="20"/>
                <w:szCs w:val="20"/>
                <w:color w:val="auto"/>
              </w:rPr>
            </w:pPr>
            <w:r>
              <w:rPr>
                <w:rFonts w:ascii="Times New Roman" w:cs="Times New Roman" w:eastAsia="Times New Roman" w:hAnsi="Times New Roman"/>
                <w:sz w:val="15"/>
                <w:szCs w:val="15"/>
                <w:color w:val="231F20"/>
              </w:rPr>
              <w:t>2.1%</w:t>
            </w:r>
          </w:p>
        </w:tc>
        <w:tc>
          <w:tcPr>
            <w:tcW w:w="0" w:type="dxa"/>
            <w:vAlign w:val="bottom"/>
          </w:tcPr>
          <w:p>
            <w:pPr>
              <w:spacing w:after="0"/>
              <w:rPr>
                <w:sz w:val="1"/>
                <w:szCs w:val="1"/>
                <w:color w:val="auto"/>
              </w:rPr>
            </w:pPr>
          </w:p>
        </w:tc>
      </w:tr>
      <w:tr>
        <w:trPr>
          <w:trHeight w:val="189"/>
        </w:trPr>
        <w:tc>
          <w:tcPr>
            <w:tcW w:w="1540" w:type="dxa"/>
            <w:vAlign w:val="bottom"/>
            <w:shd w:val="clear" w:color="auto" w:fill="FDFDFC"/>
          </w:tcPr>
          <w:p>
            <w:pPr>
              <w:spacing w:after="0"/>
              <w:rPr>
                <w:sz w:val="20"/>
                <w:szCs w:val="20"/>
                <w:color w:val="auto"/>
              </w:rPr>
            </w:pPr>
            <w:r>
              <w:rPr>
                <w:rFonts w:ascii="Times New Roman" w:cs="Times New Roman" w:eastAsia="Times New Roman" w:hAnsi="Times New Roman"/>
                <w:sz w:val="15"/>
                <w:szCs w:val="15"/>
                <w:color w:val="231F20"/>
              </w:rPr>
              <w:t xml:space="preserve">MidCo 2 B.V. </w:t>
            </w:r>
            <w:r>
              <w:rPr>
                <w:rFonts w:ascii="Times New Roman" w:cs="Times New Roman" w:eastAsia="Times New Roman" w:hAnsi="Times New Roman"/>
                <w:sz w:val="9"/>
                <w:szCs w:val="9"/>
                <w:color w:val="231F20"/>
              </w:rPr>
              <w:t>(3)(4)</w:t>
            </w:r>
          </w:p>
        </w:tc>
        <w:tc>
          <w:tcPr>
            <w:tcW w:w="2180" w:type="dxa"/>
            <w:vAlign w:val="bottom"/>
            <w:gridSpan w:val="2"/>
            <w:shd w:val="clear" w:color="auto" w:fill="FDFDFC"/>
          </w:tcPr>
          <w:p>
            <w:pPr>
              <w:ind w:left="100"/>
              <w:spacing w:after="0"/>
              <w:rPr>
                <w:sz w:val="20"/>
                <w:szCs w:val="20"/>
                <w:color w:val="auto"/>
              </w:rPr>
            </w:pPr>
            <w:r>
              <w:rPr>
                <w:rFonts w:ascii="Times New Roman" w:cs="Times New Roman" w:eastAsia="Times New Roman" w:hAnsi="Times New Roman"/>
                <w:sz w:val="15"/>
                <w:szCs w:val="15"/>
                <w:color w:val="231F20"/>
              </w:rPr>
              <w:t>due 5/2031)</w:t>
            </w:r>
          </w:p>
        </w:tc>
        <w:tc>
          <w:tcPr>
            <w:tcW w:w="100" w:type="dxa"/>
            <w:vAlign w:val="bottom"/>
            <w:shd w:val="clear" w:color="auto" w:fill="FDFDFC"/>
          </w:tcPr>
          <w:p>
            <w:pPr>
              <w:spacing w:after="0"/>
              <w:rPr>
                <w:sz w:val="16"/>
                <w:szCs w:val="16"/>
                <w:color w:val="auto"/>
              </w:rPr>
            </w:pPr>
          </w:p>
        </w:tc>
        <w:tc>
          <w:tcPr>
            <w:tcW w:w="760" w:type="dxa"/>
            <w:vAlign w:val="bottom"/>
            <w:shd w:val="clear" w:color="auto" w:fill="FDFDFC"/>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shd w:val="clear" w:color="auto" w:fill="FDFDFC"/>
          </w:tcPr>
          <w:p>
            <w:pPr>
              <w:spacing w:after="0"/>
              <w:rPr>
                <w:sz w:val="16"/>
                <w:szCs w:val="16"/>
                <w:color w:val="auto"/>
              </w:rPr>
            </w:pPr>
          </w:p>
        </w:tc>
        <w:tc>
          <w:tcPr>
            <w:tcW w:w="820" w:type="dxa"/>
            <w:vAlign w:val="bottom"/>
            <w:shd w:val="clear" w:color="auto" w:fill="FDFDFC"/>
          </w:tcPr>
          <w:p>
            <w:pPr>
              <w:spacing w:after="0"/>
              <w:rPr>
                <w:sz w:val="16"/>
                <w:szCs w:val="16"/>
                <w:color w:val="auto"/>
              </w:rPr>
            </w:pPr>
          </w:p>
        </w:tc>
        <w:tc>
          <w:tcPr>
            <w:tcW w:w="100" w:type="dxa"/>
            <w:vAlign w:val="bottom"/>
            <w:shd w:val="clear" w:color="auto" w:fill="FDFDFC"/>
          </w:tcPr>
          <w:p>
            <w:pPr>
              <w:spacing w:after="0"/>
              <w:rPr>
                <w:sz w:val="16"/>
                <w:szCs w:val="16"/>
                <w:color w:val="auto"/>
              </w:rPr>
            </w:pPr>
          </w:p>
        </w:tc>
        <w:tc>
          <w:tcPr>
            <w:tcW w:w="920" w:type="dxa"/>
            <w:vAlign w:val="bottom"/>
            <w:shd w:val="clear" w:color="auto" w:fill="FDFDFC"/>
          </w:tcPr>
          <w:p>
            <w:pPr>
              <w:spacing w:after="0"/>
              <w:rPr>
                <w:sz w:val="16"/>
                <w:szCs w:val="16"/>
                <w:color w:val="auto"/>
              </w:rPr>
            </w:pPr>
          </w:p>
        </w:tc>
        <w:tc>
          <w:tcPr>
            <w:tcW w:w="120" w:type="dxa"/>
            <w:vAlign w:val="bottom"/>
            <w:shd w:val="clear" w:color="auto" w:fill="FDFDFC"/>
          </w:tcPr>
          <w:p>
            <w:pPr>
              <w:spacing w:after="0"/>
              <w:rPr>
                <w:sz w:val="16"/>
                <w:szCs w:val="16"/>
                <w:color w:val="auto"/>
              </w:rPr>
            </w:pPr>
          </w:p>
        </w:tc>
        <w:tc>
          <w:tcPr>
            <w:tcW w:w="1000" w:type="dxa"/>
            <w:vAlign w:val="bottom"/>
            <w:shd w:val="clear" w:color="auto" w:fill="FDFDFC"/>
          </w:tcPr>
          <w:p>
            <w:pPr>
              <w:spacing w:after="0"/>
              <w:rPr>
                <w:sz w:val="16"/>
                <w:szCs w:val="16"/>
                <w:color w:val="auto"/>
              </w:rPr>
            </w:pPr>
          </w:p>
        </w:tc>
        <w:tc>
          <w:tcPr>
            <w:tcW w:w="80" w:type="dxa"/>
            <w:vAlign w:val="bottom"/>
            <w:shd w:val="clear" w:color="auto" w:fill="FDFDFC"/>
          </w:tcPr>
          <w:p>
            <w:pPr>
              <w:spacing w:after="0"/>
              <w:rPr>
                <w:sz w:val="16"/>
                <w:szCs w:val="16"/>
                <w:color w:val="auto"/>
              </w:rPr>
            </w:pPr>
          </w:p>
        </w:tc>
        <w:tc>
          <w:tcPr>
            <w:tcW w:w="1600" w:type="dxa"/>
            <w:vAlign w:val="bottom"/>
            <w:shd w:val="clear" w:color="auto" w:fill="FDFDFC"/>
          </w:tcPr>
          <w:p>
            <w:pPr>
              <w:jc w:val="right"/>
              <w:spacing w:after="0"/>
              <w:rPr>
                <w:sz w:val="20"/>
                <w:szCs w:val="20"/>
                <w:color w:val="auto"/>
              </w:rPr>
            </w:pPr>
            <w:r>
              <w:rPr>
                <w:rFonts w:ascii="Times New Roman" w:cs="Times New Roman" w:eastAsia="Times New Roman" w:hAnsi="Times New Roman"/>
                <w:sz w:val="15"/>
                <w:szCs w:val="15"/>
                <w:color w:val="231F20"/>
              </w:rPr>
              <w:t>(EUR 32,986)</w:t>
            </w:r>
          </w:p>
        </w:tc>
        <w:tc>
          <w:tcPr>
            <w:tcW w:w="100" w:type="dxa"/>
            <w:vAlign w:val="bottom"/>
            <w:shd w:val="clear" w:color="auto" w:fill="FDFDFC"/>
          </w:tcPr>
          <w:p>
            <w:pPr>
              <w:spacing w:after="0"/>
              <w:rPr>
                <w:sz w:val="16"/>
                <w:szCs w:val="16"/>
                <w:color w:val="auto"/>
              </w:rPr>
            </w:pPr>
          </w:p>
        </w:tc>
        <w:tc>
          <w:tcPr>
            <w:tcW w:w="860" w:type="dxa"/>
            <w:vAlign w:val="bottom"/>
            <w:shd w:val="clear" w:color="auto" w:fill="FDFDFC"/>
          </w:tcPr>
          <w:p>
            <w:pPr>
              <w:spacing w:after="0"/>
              <w:rPr>
                <w:sz w:val="16"/>
                <w:szCs w:val="16"/>
                <w:color w:val="auto"/>
              </w:rPr>
            </w:pPr>
          </w:p>
        </w:tc>
        <w:tc>
          <w:tcPr>
            <w:tcW w:w="0" w:type="dxa"/>
            <w:vAlign w:val="bottom"/>
          </w:tcPr>
          <w:p>
            <w:pPr>
              <w:spacing w:after="0"/>
              <w:rPr>
                <w:sz w:val="1"/>
                <w:szCs w:val="1"/>
                <w:color w:val="auto"/>
              </w:rPr>
            </w:pPr>
          </w:p>
        </w:tc>
      </w:tr>
      <w:tr>
        <w:trPr>
          <w:trHeight w:val="171"/>
        </w:trPr>
        <w:tc>
          <w:tcPr>
            <w:tcW w:w="1540" w:type="dxa"/>
            <w:vAlign w:val="bottom"/>
            <w:shd w:val="clear" w:color="auto" w:fill="D0EBF2"/>
          </w:tcPr>
          <w:p>
            <w:pPr>
              <w:spacing w:after="0" w:line="172" w:lineRule="exact"/>
              <w:rPr>
                <w:sz w:val="20"/>
                <w:szCs w:val="20"/>
                <w:color w:val="auto"/>
              </w:rPr>
            </w:pPr>
            <w:r>
              <w:rPr>
                <w:rFonts w:ascii="Times New Roman" w:cs="Times New Roman" w:eastAsia="Times New Roman" w:hAnsi="Times New Roman"/>
                <w:sz w:val="15"/>
                <w:szCs w:val="15"/>
                <w:color w:val="231F20"/>
              </w:rPr>
              <w:t>Babylon Finco Limited</w:t>
            </w:r>
          </w:p>
        </w:tc>
        <w:tc>
          <w:tcPr>
            <w:tcW w:w="2180" w:type="dxa"/>
            <w:vAlign w:val="bottom"/>
            <w:gridSpan w:val="2"/>
            <w:shd w:val="clear" w:color="auto" w:fill="D0EBF2"/>
          </w:tcPr>
          <w:p>
            <w:pPr>
              <w:ind w:left="100"/>
              <w:spacing w:after="0" w:line="172" w:lineRule="exact"/>
              <w:rPr>
                <w:sz w:val="20"/>
                <w:szCs w:val="20"/>
                <w:color w:val="auto"/>
              </w:rPr>
            </w:pPr>
            <w:r>
              <w:rPr>
                <w:rFonts w:ascii="Times New Roman" w:cs="Times New Roman" w:eastAsia="Times New Roman" w:hAnsi="Times New Roman"/>
                <w:sz w:val="15"/>
                <w:szCs w:val="15"/>
                <w:color w:val="231F20"/>
              </w:rPr>
              <w:t>First-lien loan ($1,557 par, due</w:t>
            </w:r>
          </w:p>
        </w:tc>
        <w:tc>
          <w:tcPr>
            <w:tcW w:w="860" w:type="dxa"/>
            <w:vAlign w:val="bottom"/>
            <w:gridSpan w:val="2"/>
            <w:shd w:val="clear" w:color="auto" w:fill="D0EBF2"/>
          </w:tcPr>
          <w:p>
            <w:pPr>
              <w:jc w:val="right"/>
              <w:spacing w:after="0" w:line="172" w:lineRule="exact"/>
              <w:rPr>
                <w:sz w:val="20"/>
                <w:szCs w:val="20"/>
                <w:color w:val="auto"/>
              </w:rPr>
            </w:pPr>
            <w:r>
              <w:rPr>
                <w:rFonts w:ascii="Times New Roman" w:cs="Times New Roman" w:eastAsia="Times New Roman" w:hAnsi="Times New Roman"/>
                <w:sz w:val="15"/>
                <w:szCs w:val="15"/>
                <w:color w:val="231F20"/>
              </w:rPr>
              <w:t>1/26/2024</w:t>
            </w:r>
          </w:p>
        </w:tc>
        <w:tc>
          <w:tcPr>
            <w:tcW w:w="20" w:type="dxa"/>
            <w:vAlign w:val="bottom"/>
          </w:tcPr>
          <w:p>
            <w:pPr>
              <w:spacing w:after="0"/>
              <w:rPr>
                <w:sz w:val="14"/>
                <w:szCs w:val="14"/>
                <w:color w:val="auto"/>
              </w:rPr>
            </w:pPr>
          </w:p>
        </w:tc>
        <w:tc>
          <w:tcPr>
            <w:tcW w:w="80" w:type="dxa"/>
            <w:vAlign w:val="bottom"/>
            <w:shd w:val="clear" w:color="auto" w:fill="D0EBF2"/>
          </w:tcPr>
          <w:p>
            <w:pPr>
              <w:spacing w:after="0"/>
              <w:rPr>
                <w:sz w:val="14"/>
                <w:szCs w:val="14"/>
                <w:color w:val="auto"/>
              </w:rPr>
            </w:pPr>
          </w:p>
        </w:tc>
        <w:tc>
          <w:tcPr>
            <w:tcW w:w="820" w:type="dxa"/>
            <w:vAlign w:val="bottom"/>
            <w:shd w:val="clear" w:color="auto" w:fill="D0EBF2"/>
          </w:tcPr>
          <w:p>
            <w:pPr>
              <w:jc w:val="right"/>
              <w:spacing w:after="0" w:line="172" w:lineRule="exact"/>
              <w:rPr>
                <w:sz w:val="20"/>
                <w:szCs w:val="20"/>
                <w:color w:val="auto"/>
              </w:rPr>
            </w:pPr>
            <w:r>
              <w:rPr>
                <w:rFonts w:ascii="Times New Roman" w:cs="Times New Roman" w:eastAsia="Times New Roman" w:hAnsi="Times New Roman"/>
                <w:sz w:val="15"/>
                <w:szCs w:val="15"/>
                <w:color w:val="231F20"/>
              </w:rPr>
              <w:t>SOFR +</w:t>
            </w:r>
          </w:p>
        </w:tc>
        <w:tc>
          <w:tcPr>
            <w:tcW w:w="1020" w:type="dxa"/>
            <w:vAlign w:val="bottom"/>
            <w:gridSpan w:val="2"/>
            <w:shd w:val="clear" w:color="auto" w:fill="D0EBF2"/>
          </w:tcPr>
          <w:p>
            <w:pPr>
              <w:jc w:val="right"/>
              <w:spacing w:after="0" w:line="172" w:lineRule="exact"/>
              <w:rPr>
                <w:sz w:val="20"/>
                <w:szCs w:val="20"/>
                <w:color w:val="auto"/>
              </w:rPr>
            </w:pPr>
            <w:r>
              <w:rPr>
                <w:rFonts w:ascii="Times New Roman" w:cs="Times New Roman" w:eastAsia="Times New Roman" w:hAnsi="Times New Roman"/>
                <w:sz w:val="15"/>
                <w:szCs w:val="15"/>
                <w:color w:val="231F20"/>
              </w:rPr>
              <w:t>10.37%</w:t>
            </w:r>
          </w:p>
        </w:tc>
        <w:tc>
          <w:tcPr>
            <w:tcW w:w="1120" w:type="dxa"/>
            <w:vAlign w:val="bottom"/>
            <w:gridSpan w:val="2"/>
            <w:shd w:val="clear" w:color="auto" w:fill="D0EBF2"/>
          </w:tcPr>
          <w:p>
            <w:pPr>
              <w:jc w:val="right"/>
              <w:spacing w:after="0" w:line="172" w:lineRule="exact"/>
              <w:rPr>
                <w:sz w:val="20"/>
                <w:szCs w:val="20"/>
                <w:color w:val="auto"/>
              </w:rPr>
            </w:pPr>
            <w:r>
              <w:rPr>
                <w:rFonts w:ascii="Times New Roman" w:cs="Times New Roman" w:eastAsia="Times New Roman" w:hAnsi="Times New Roman"/>
                <w:sz w:val="15"/>
                <w:szCs w:val="15"/>
                <w:color w:val="231F20"/>
              </w:rPr>
              <w:t>1,511</w:t>
            </w:r>
          </w:p>
        </w:tc>
        <w:tc>
          <w:tcPr>
            <w:tcW w:w="1680" w:type="dxa"/>
            <w:vAlign w:val="bottom"/>
            <w:gridSpan w:val="2"/>
            <w:shd w:val="clear" w:color="auto" w:fill="D0EBF2"/>
          </w:tcPr>
          <w:p>
            <w:pPr>
              <w:jc w:val="right"/>
              <w:spacing w:after="0" w:line="172" w:lineRule="exact"/>
              <w:rPr>
                <w:sz w:val="20"/>
                <w:szCs w:val="20"/>
                <w:color w:val="auto"/>
              </w:rPr>
            </w:pPr>
            <w:r>
              <w:rPr>
                <w:rFonts w:ascii="Times New Roman" w:cs="Times New Roman" w:eastAsia="Times New Roman" w:hAnsi="Times New Roman"/>
                <w:sz w:val="15"/>
                <w:szCs w:val="15"/>
                <w:color w:val="231F20"/>
              </w:rPr>
              <w:t>1,557</w:t>
            </w:r>
          </w:p>
        </w:tc>
        <w:tc>
          <w:tcPr>
            <w:tcW w:w="960" w:type="dxa"/>
            <w:vAlign w:val="bottom"/>
            <w:gridSpan w:val="2"/>
            <w:shd w:val="clear" w:color="auto" w:fill="D0EBF2"/>
          </w:tcPr>
          <w:p>
            <w:pPr>
              <w:jc w:val="right"/>
              <w:spacing w:after="0" w:line="172" w:lineRule="exact"/>
              <w:rPr>
                <w:sz w:val="20"/>
                <w:szCs w:val="20"/>
                <w:color w:val="auto"/>
              </w:rPr>
            </w:pPr>
            <w:r>
              <w:rPr>
                <w:rFonts w:ascii="Times New Roman" w:cs="Times New Roman" w:eastAsia="Times New Roman" w:hAnsi="Times New Roman"/>
                <w:sz w:val="15"/>
                <w:szCs w:val="15"/>
                <w:color w:val="231F20"/>
              </w:rPr>
              <w:t>0.1%</w:t>
            </w:r>
          </w:p>
        </w:tc>
        <w:tc>
          <w:tcPr>
            <w:tcW w:w="0" w:type="dxa"/>
            <w:vAlign w:val="bottom"/>
          </w:tcPr>
          <w:p>
            <w:pPr>
              <w:spacing w:after="0"/>
              <w:rPr>
                <w:sz w:val="1"/>
                <w:szCs w:val="1"/>
                <w:color w:val="auto"/>
              </w:rPr>
            </w:pPr>
          </w:p>
        </w:tc>
      </w:tr>
      <w:tr>
        <w:trPr>
          <w:trHeight w:val="189"/>
        </w:trPr>
        <w:tc>
          <w:tcPr>
            <w:tcW w:w="1540" w:type="dxa"/>
            <w:vAlign w:val="bottom"/>
            <w:shd w:val="clear" w:color="auto" w:fill="D0EBF2"/>
          </w:tcPr>
          <w:p>
            <w:pPr>
              <w:spacing w:after="0"/>
              <w:rPr>
                <w:sz w:val="20"/>
                <w:szCs w:val="20"/>
                <w:color w:val="auto"/>
              </w:rPr>
            </w:pPr>
            <w:r>
              <w:rPr>
                <w:rFonts w:ascii="Times New Roman" w:cs="Times New Roman" w:eastAsia="Times New Roman" w:hAnsi="Times New Roman"/>
                <w:sz w:val="9"/>
                <w:szCs w:val="9"/>
                <w:color w:val="231F20"/>
              </w:rPr>
              <w:t>(3)(4)</w:t>
            </w:r>
          </w:p>
        </w:tc>
        <w:tc>
          <w:tcPr>
            <w:tcW w:w="2180" w:type="dxa"/>
            <w:vAlign w:val="bottom"/>
            <w:gridSpan w:val="2"/>
            <w:shd w:val="clear" w:color="auto" w:fill="D0EBF2"/>
          </w:tcPr>
          <w:p>
            <w:pPr>
              <w:ind w:left="100"/>
              <w:spacing w:after="0"/>
              <w:rPr>
                <w:sz w:val="20"/>
                <w:szCs w:val="20"/>
                <w:color w:val="auto"/>
              </w:rPr>
            </w:pPr>
            <w:r>
              <w:rPr>
                <w:rFonts w:ascii="Times New Roman" w:cs="Times New Roman" w:eastAsia="Times New Roman" w:hAnsi="Times New Roman"/>
                <w:sz w:val="15"/>
                <w:szCs w:val="15"/>
                <w:color w:val="231F20"/>
              </w:rPr>
              <w:t>1/2031)</w:t>
            </w:r>
          </w:p>
        </w:tc>
        <w:tc>
          <w:tcPr>
            <w:tcW w:w="100" w:type="dxa"/>
            <w:vAlign w:val="bottom"/>
            <w:shd w:val="clear" w:color="auto" w:fill="D0EBF2"/>
          </w:tcPr>
          <w:p>
            <w:pPr>
              <w:spacing w:after="0"/>
              <w:rPr>
                <w:sz w:val="16"/>
                <w:szCs w:val="16"/>
                <w:color w:val="auto"/>
              </w:rPr>
            </w:pPr>
          </w:p>
        </w:tc>
        <w:tc>
          <w:tcPr>
            <w:tcW w:w="760" w:type="dxa"/>
            <w:vAlign w:val="bottom"/>
            <w:shd w:val="clear" w:color="auto" w:fill="D0EBF2"/>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gridSpan w:val="2"/>
            <w:shd w:val="clear" w:color="auto" w:fill="D0EBF2"/>
          </w:tcPr>
          <w:p>
            <w:pPr>
              <w:jc w:val="right"/>
              <w:spacing w:after="0"/>
              <w:rPr>
                <w:sz w:val="20"/>
                <w:szCs w:val="20"/>
                <w:color w:val="auto"/>
              </w:rPr>
            </w:pPr>
            <w:r>
              <w:rPr>
                <w:rFonts w:ascii="Times New Roman" w:cs="Times New Roman" w:eastAsia="Times New Roman" w:hAnsi="Times New Roman"/>
                <w:sz w:val="15"/>
                <w:szCs w:val="15"/>
                <w:color w:val="231F20"/>
              </w:rPr>
              <w:t>5.75%</w:t>
            </w:r>
          </w:p>
        </w:tc>
        <w:tc>
          <w:tcPr>
            <w:tcW w:w="100" w:type="dxa"/>
            <w:vAlign w:val="bottom"/>
            <w:shd w:val="clear" w:color="auto" w:fill="D0EBF2"/>
          </w:tcPr>
          <w:p>
            <w:pPr>
              <w:spacing w:after="0"/>
              <w:rPr>
                <w:sz w:val="16"/>
                <w:szCs w:val="16"/>
                <w:color w:val="auto"/>
              </w:rPr>
            </w:pPr>
          </w:p>
        </w:tc>
        <w:tc>
          <w:tcPr>
            <w:tcW w:w="920" w:type="dxa"/>
            <w:vAlign w:val="bottom"/>
            <w:shd w:val="clear" w:color="auto" w:fill="D0EBF2"/>
          </w:tcPr>
          <w:p>
            <w:pPr>
              <w:spacing w:after="0"/>
              <w:rPr>
                <w:sz w:val="16"/>
                <w:szCs w:val="16"/>
                <w:color w:val="auto"/>
              </w:rPr>
            </w:pPr>
          </w:p>
        </w:tc>
        <w:tc>
          <w:tcPr>
            <w:tcW w:w="120" w:type="dxa"/>
            <w:vAlign w:val="bottom"/>
            <w:shd w:val="clear" w:color="auto" w:fill="D0EBF2"/>
          </w:tcPr>
          <w:p>
            <w:pPr>
              <w:spacing w:after="0"/>
              <w:rPr>
                <w:sz w:val="16"/>
                <w:szCs w:val="16"/>
                <w:color w:val="auto"/>
              </w:rPr>
            </w:pPr>
          </w:p>
        </w:tc>
        <w:tc>
          <w:tcPr>
            <w:tcW w:w="1000" w:type="dxa"/>
            <w:vAlign w:val="bottom"/>
            <w:shd w:val="clear" w:color="auto" w:fill="D0EBF2"/>
          </w:tcPr>
          <w:p>
            <w:pPr>
              <w:spacing w:after="0"/>
              <w:rPr>
                <w:sz w:val="16"/>
                <w:szCs w:val="16"/>
                <w:color w:val="auto"/>
              </w:rPr>
            </w:pPr>
          </w:p>
        </w:tc>
        <w:tc>
          <w:tcPr>
            <w:tcW w:w="80" w:type="dxa"/>
            <w:vAlign w:val="bottom"/>
            <w:shd w:val="clear" w:color="auto" w:fill="D0EBF2"/>
          </w:tcPr>
          <w:p>
            <w:pPr>
              <w:spacing w:after="0"/>
              <w:rPr>
                <w:sz w:val="16"/>
                <w:szCs w:val="16"/>
                <w:color w:val="auto"/>
              </w:rPr>
            </w:pPr>
          </w:p>
        </w:tc>
        <w:tc>
          <w:tcPr>
            <w:tcW w:w="1600" w:type="dxa"/>
            <w:vAlign w:val="bottom"/>
            <w:shd w:val="clear" w:color="auto" w:fill="D0EBF2"/>
          </w:tcPr>
          <w:p>
            <w:pPr>
              <w:spacing w:after="0"/>
              <w:rPr>
                <w:sz w:val="16"/>
                <w:szCs w:val="16"/>
                <w:color w:val="auto"/>
              </w:rPr>
            </w:pPr>
          </w:p>
        </w:tc>
        <w:tc>
          <w:tcPr>
            <w:tcW w:w="100" w:type="dxa"/>
            <w:vAlign w:val="bottom"/>
            <w:shd w:val="clear" w:color="auto" w:fill="D0EBF2"/>
          </w:tcPr>
          <w:p>
            <w:pPr>
              <w:spacing w:after="0"/>
              <w:rPr>
                <w:sz w:val="16"/>
                <w:szCs w:val="16"/>
                <w:color w:val="auto"/>
              </w:rPr>
            </w:pPr>
          </w:p>
        </w:tc>
        <w:tc>
          <w:tcPr>
            <w:tcW w:w="860" w:type="dxa"/>
            <w:vAlign w:val="bottom"/>
            <w:shd w:val="clear" w:color="auto" w:fill="D0EBF2"/>
          </w:tcPr>
          <w:p>
            <w:pPr>
              <w:spacing w:after="0"/>
              <w:rPr>
                <w:sz w:val="16"/>
                <w:szCs w:val="16"/>
                <w:color w:val="auto"/>
              </w:rPr>
            </w:pPr>
          </w:p>
        </w:tc>
        <w:tc>
          <w:tcPr>
            <w:tcW w:w="0" w:type="dxa"/>
            <w:vAlign w:val="bottom"/>
          </w:tcPr>
          <w:p>
            <w:pPr>
              <w:spacing w:after="0"/>
              <w:rPr>
                <w:sz w:val="1"/>
                <w:szCs w:val="1"/>
                <w:color w:val="auto"/>
              </w:rPr>
            </w:pPr>
          </w:p>
        </w:tc>
      </w:tr>
      <w:tr>
        <w:trPr>
          <w:trHeight w:val="171"/>
        </w:trPr>
        <w:tc>
          <w:tcPr>
            <w:tcW w:w="1540" w:type="dxa"/>
            <w:vAlign w:val="bottom"/>
            <w:shd w:val="clear" w:color="auto" w:fill="FDFDFC"/>
          </w:tcPr>
          <w:p>
            <w:pPr>
              <w:spacing w:after="0" w:line="172" w:lineRule="exact"/>
              <w:rPr>
                <w:sz w:val="20"/>
                <w:szCs w:val="20"/>
                <w:color w:val="auto"/>
              </w:rPr>
            </w:pPr>
            <w:r>
              <w:rPr>
                <w:rFonts w:ascii="Times New Roman" w:cs="Times New Roman" w:eastAsia="Times New Roman" w:hAnsi="Times New Roman"/>
                <w:sz w:val="15"/>
                <w:szCs w:val="15"/>
                <w:color w:val="231F20"/>
              </w:rPr>
              <w:t>Banyan Software</w:t>
            </w:r>
          </w:p>
        </w:tc>
        <w:tc>
          <w:tcPr>
            <w:tcW w:w="2180" w:type="dxa"/>
            <w:vAlign w:val="bottom"/>
            <w:gridSpan w:val="2"/>
            <w:shd w:val="clear" w:color="auto" w:fill="FDFDFC"/>
          </w:tcPr>
          <w:p>
            <w:pPr>
              <w:ind w:left="100"/>
              <w:spacing w:after="0" w:line="172" w:lineRule="exact"/>
              <w:rPr>
                <w:sz w:val="20"/>
                <w:szCs w:val="20"/>
                <w:color w:val="auto"/>
              </w:rPr>
            </w:pPr>
            <w:r>
              <w:rPr>
                <w:rFonts w:ascii="Times New Roman" w:cs="Times New Roman" w:eastAsia="Times New Roman" w:hAnsi="Times New Roman"/>
                <w:sz w:val="15"/>
                <w:szCs w:val="15"/>
                <w:color w:val="231F20"/>
              </w:rPr>
              <w:t>First-lien loan ($39,386 par, due</w:t>
            </w:r>
          </w:p>
        </w:tc>
        <w:tc>
          <w:tcPr>
            <w:tcW w:w="860" w:type="dxa"/>
            <w:vAlign w:val="bottom"/>
            <w:gridSpan w:val="2"/>
            <w:shd w:val="clear" w:color="auto" w:fill="FDFDFC"/>
          </w:tcPr>
          <w:p>
            <w:pPr>
              <w:jc w:val="right"/>
              <w:spacing w:after="0" w:line="172" w:lineRule="exact"/>
              <w:rPr>
                <w:sz w:val="20"/>
                <w:szCs w:val="20"/>
                <w:color w:val="auto"/>
              </w:rPr>
            </w:pPr>
            <w:r>
              <w:rPr>
                <w:rFonts w:ascii="Times New Roman" w:cs="Times New Roman" w:eastAsia="Times New Roman" w:hAnsi="Times New Roman"/>
                <w:sz w:val="15"/>
                <w:szCs w:val="15"/>
                <w:color w:val="231F20"/>
              </w:rPr>
              <w:t>1/27/2023</w:t>
            </w:r>
          </w:p>
        </w:tc>
        <w:tc>
          <w:tcPr>
            <w:tcW w:w="20" w:type="dxa"/>
            <w:vAlign w:val="bottom"/>
          </w:tcPr>
          <w:p>
            <w:pPr>
              <w:spacing w:after="0"/>
              <w:rPr>
                <w:sz w:val="14"/>
                <w:szCs w:val="14"/>
                <w:color w:val="auto"/>
              </w:rPr>
            </w:pPr>
          </w:p>
        </w:tc>
        <w:tc>
          <w:tcPr>
            <w:tcW w:w="80" w:type="dxa"/>
            <w:vAlign w:val="bottom"/>
            <w:shd w:val="clear" w:color="auto" w:fill="FDFDFC"/>
          </w:tcPr>
          <w:p>
            <w:pPr>
              <w:spacing w:after="0"/>
              <w:rPr>
                <w:sz w:val="14"/>
                <w:szCs w:val="14"/>
                <w:color w:val="auto"/>
              </w:rPr>
            </w:pPr>
          </w:p>
        </w:tc>
        <w:tc>
          <w:tcPr>
            <w:tcW w:w="820" w:type="dxa"/>
            <w:vAlign w:val="bottom"/>
            <w:shd w:val="clear" w:color="auto" w:fill="FDFDFC"/>
          </w:tcPr>
          <w:p>
            <w:pPr>
              <w:jc w:val="right"/>
              <w:spacing w:after="0" w:line="172" w:lineRule="exact"/>
              <w:rPr>
                <w:sz w:val="20"/>
                <w:szCs w:val="20"/>
                <w:color w:val="auto"/>
              </w:rPr>
            </w:pPr>
            <w:r>
              <w:rPr>
                <w:rFonts w:ascii="Times New Roman" w:cs="Times New Roman" w:eastAsia="Times New Roman" w:hAnsi="Times New Roman"/>
                <w:sz w:val="15"/>
                <w:szCs w:val="15"/>
                <w:color w:val="231F20"/>
              </w:rPr>
              <w:t>SOFR +</w:t>
            </w:r>
          </w:p>
        </w:tc>
        <w:tc>
          <w:tcPr>
            <w:tcW w:w="1020" w:type="dxa"/>
            <w:vAlign w:val="bottom"/>
            <w:gridSpan w:val="2"/>
            <w:shd w:val="clear" w:color="auto" w:fill="FDFDFC"/>
          </w:tcPr>
          <w:p>
            <w:pPr>
              <w:jc w:val="right"/>
              <w:spacing w:after="0" w:line="172" w:lineRule="exact"/>
              <w:rPr>
                <w:sz w:val="20"/>
                <w:szCs w:val="20"/>
                <w:color w:val="auto"/>
              </w:rPr>
            </w:pPr>
            <w:r>
              <w:rPr>
                <w:rFonts w:ascii="Times New Roman" w:cs="Times New Roman" w:eastAsia="Times New Roman" w:hAnsi="Times New Roman"/>
                <w:sz w:val="15"/>
                <w:szCs w:val="15"/>
                <w:color w:val="231F20"/>
              </w:rPr>
              <w:t>11.71%</w:t>
            </w:r>
          </w:p>
        </w:tc>
        <w:tc>
          <w:tcPr>
            <w:tcW w:w="1120" w:type="dxa"/>
            <w:vAlign w:val="bottom"/>
            <w:gridSpan w:val="2"/>
            <w:shd w:val="clear" w:color="auto" w:fill="FDFDFC"/>
          </w:tcPr>
          <w:p>
            <w:pPr>
              <w:jc w:val="right"/>
              <w:spacing w:after="0" w:line="172" w:lineRule="exact"/>
              <w:rPr>
                <w:sz w:val="20"/>
                <w:szCs w:val="20"/>
                <w:color w:val="auto"/>
              </w:rPr>
            </w:pPr>
            <w:r>
              <w:rPr>
                <w:rFonts w:ascii="Times New Roman" w:cs="Times New Roman" w:eastAsia="Times New Roman" w:hAnsi="Times New Roman"/>
                <w:sz w:val="15"/>
                <w:szCs w:val="15"/>
                <w:color w:val="231F20"/>
              </w:rPr>
              <w:t>38,748</w:t>
            </w:r>
          </w:p>
        </w:tc>
        <w:tc>
          <w:tcPr>
            <w:tcW w:w="1680" w:type="dxa"/>
            <w:vAlign w:val="bottom"/>
            <w:gridSpan w:val="2"/>
            <w:shd w:val="clear" w:color="auto" w:fill="FDFDFC"/>
          </w:tcPr>
          <w:p>
            <w:pPr>
              <w:jc w:val="right"/>
              <w:spacing w:after="0" w:line="172" w:lineRule="exact"/>
              <w:rPr>
                <w:sz w:val="20"/>
                <w:szCs w:val="20"/>
                <w:color w:val="auto"/>
              </w:rPr>
            </w:pPr>
            <w:r>
              <w:rPr>
                <w:rFonts w:ascii="Times New Roman" w:cs="Times New Roman" w:eastAsia="Times New Roman" w:hAnsi="Times New Roman"/>
                <w:sz w:val="15"/>
                <w:szCs w:val="15"/>
                <w:color w:val="231F20"/>
              </w:rPr>
              <w:t>40,173</w:t>
            </w:r>
          </w:p>
        </w:tc>
        <w:tc>
          <w:tcPr>
            <w:tcW w:w="960" w:type="dxa"/>
            <w:vAlign w:val="bottom"/>
            <w:gridSpan w:val="2"/>
            <w:shd w:val="clear" w:color="auto" w:fill="FDFDFC"/>
          </w:tcPr>
          <w:p>
            <w:pPr>
              <w:jc w:val="right"/>
              <w:spacing w:after="0" w:line="172" w:lineRule="exact"/>
              <w:rPr>
                <w:sz w:val="20"/>
                <w:szCs w:val="20"/>
                <w:color w:val="auto"/>
              </w:rPr>
            </w:pPr>
            <w:r>
              <w:rPr>
                <w:rFonts w:ascii="Times New Roman" w:cs="Times New Roman" w:eastAsia="Times New Roman" w:hAnsi="Times New Roman"/>
                <w:sz w:val="15"/>
                <w:szCs w:val="15"/>
                <w:color w:val="231F20"/>
              </w:rPr>
              <w:t>2.5%</w:t>
            </w:r>
          </w:p>
        </w:tc>
        <w:tc>
          <w:tcPr>
            <w:tcW w:w="0" w:type="dxa"/>
            <w:vAlign w:val="bottom"/>
          </w:tcPr>
          <w:p>
            <w:pPr>
              <w:spacing w:after="0"/>
              <w:rPr>
                <w:sz w:val="1"/>
                <w:szCs w:val="1"/>
                <w:color w:val="auto"/>
              </w:rPr>
            </w:pPr>
          </w:p>
        </w:tc>
      </w:tr>
      <w:tr>
        <w:trPr>
          <w:trHeight w:val="189"/>
        </w:trPr>
        <w:tc>
          <w:tcPr>
            <w:tcW w:w="1540" w:type="dxa"/>
            <w:vAlign w:val="bottom"/>
            <w:shd w:val="clear" w:color="auto" w:fill="FDFDFC"/>
          </w:tcPr>
          <w:p>
            <w:pPr>
              <w:spacing w:after="0"/>
              <w:rPr>
                <w:sz w:val="20"/>
                <w:szCs w:val="20"/>
                <w:color w:val="auto"/>
              </w:rPr>
            </w:pPr>
            <w:r>
              <w:rPr>
                <w:rFonts w:ascii="Times New Roman" w:cs="Times New Roman" w:eastAsia="Times New Roman" w:hAnsi="Times New Roman"/>
                <w:sz w:val="15"/>
                <w:szCs w:val="15"/>
                <w:color w:val="231F20"/>
              </w:rPr>
              <w:t xml:space="preserve">Holdings, LLC </w:t>
            </w:r>
            <w:r>
              <w:rPr>
                <w:rFonts w:ascii="Times New Roman" w:cs="Times New Roman" w:eastAsia="Times New Roman" w:hAnsi="Times New Roman"/>
                <w:sz w:val="9"/>
                <w:szCs w:val="9"/>
                <w:color w:val="231F20"/>
              </w:rPr>
              <w:t>(3)(4)</w:t>
            </w:r>
          </w:p>
        </w:tc>
        <w:tc>
          <w:tcPr>
            <w:tcW w:w="2180" w:type="dxa"/>
            <w:vAlign w:val="bottom"/>
            <w:gridSpan w:val="2"/>
            <w:shd w:val="clear" w:color="auto" w:fill="FDFDFC"/>
          </w:tcPr>
          <w:p>
            <w:pPr>
              <w:ind w:left="100"/>
              <w:spacing w:after="0"/>
              <w:rPr>
                <w:sz w:val="20"/>
                <w:szCs w:val="20"/>
                <w:color w:val="auto"/>
              </w:rPr>
            </w:pPr>
            <w:r>
              <w:rPr>
                <w:rFonts w:ascii="Times New Roman" w:cs="Times New Roman" w:eastAsia="Times New Roman" w:hAnsi="Times New Roman"/>
                <w:sz w:val="15"/>
                <w:szCs w:val="15"/>
                <w:color w:val="231F20"/>
              </w:rPr>
              <w:t>10/2026)</w:t>
            </w:r>
          </w:p>
        </w:tc>
        <w:tc>
          <w:tcPr>
            <w:tcW w:w="100" w:type="dxa"/>
            <w:vAlign w:val="bottom"/>
            <w:shd w:val="clear" w:color="auto" w:fill="FDFDFC"/>
          </w:tcPr>
          <w:p>
            <w:pPr>
              <w:spacing w:after="0"/>
              <w:rPr>
                <w:sz w:val="16"/>
                <w:szCs w:val="16"/>
                <w:color w:val="auto"/>
              </w:rPr>
            </w:pPr>
          </w:p>
        </w:tc>
        <w:tc>
          <w:tcPr>
            <w:tcW w:w="760" w:type="dxa"/>
            <w:vAlign w:val="bottom"/>
            <w:shd w:val="clear" w:color="auto" w:fill="FDFDFC"/>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gridSpan w:val="2"/>
            <w:shd w:val="clear" w:color="auto" w:fill="FDFDFC"/>
          </w:tcPr>
          <w:p>
            <w:pPr>
              <w:jc w:val="right"/>
              <w:spacing w:after="0"/>
              <w:rPr>
                <w:sz w:val="20"/>
                <w:szCs w:val="20"/>
                <w:color w:val="auto"/>
              </w:rPr>
            </w:pPr>
            <w:r>
              <w:rPr>
                <w:rFonts w:ascii="Times New Roman" w:cs="Times New Roman" w:eastAsia="Times New Roman" w:hAnsi="Times New Roman"/>
                <w:sz w:val="15"/>
                <w:szCs w:val="15"/>
                <w:color w:val="231F20"/>
              </w:rPr>
              <w:t>7.35%</w:t>
            </w:r>
          </w:p>
        </w:tc>
        <w:tc>
          <w:tcPr>
            <w:tcW w:w="100" w:type="dxa"/>
            <w:vAlign w:val="bottom"/>
            <w:shd w:val="clear" w:color="auto" w:fill="FDFDFC"/>
          </w:tcPr>
          <w:p>
            <w:pPr>
              <w:spacing w:after="0"/>
              <w:rPr>
                <w:sz w:val="16"/>
                <w:szCs w:val="16"/>
                <w:color w:val="auto"/>
              </w:rPr>
            </w:pPr>
          </w:p>
        </w:tc>
        <w:tc>
          <w:tcPr>
            <w:tcW w:w="920" w:type="dxa"/>
            <w:vAlign w:val="bottom"/>
            <w:shd w:val="clear" w:color="auto" w:fill="FDFDFC"/>
          </w:tcPr>
          <w:p>
            <w:pPr>
              <w:spacing w:after="0"/>
              <w:rPr>
                <w:sz w:val="16"/>
                <w:szCs w:val="16"/>
                <w:color w:val="auto"/>
              </w:rPr>
            </w:pPr>
          </w:p>
        </w:tc>
        <w:tc>
          <w:tcPr>
            <w:tcW w:w="120" w:type="dxa"/>
            <w:vAlign w:val="bottom"/>
            <w:shd w:val="clear" w:color="auto" w:fill="FDFDFC"/>
          </w:tcPr>
          <w:p>
            <w:pPr>
              <w:spacing w:after="0"/>
              <w:rPr>
                <w:sz w:val="16"/>
                <w:szCs w:val="16"/>
                <w:color w:val="auto"/>
              </w:rPr>
            </w:pPr>
          </w:p>
        </w:tc>
        <w:tc>
          <w:tcPr>
            <w:tcW w:w="1000" w:type="dxa"/>
            <w:vAlign w:val="bottom"/>
            <w:shd w:val="clear" w:color="auto" w:fill="FDFDFC"/>
          </w:tcPr>
          <w:p>
            <w:pPr>
              <w:spacing w:after="0"/>
              <w:rPr>
                <w:sz w:val="16"/>
                <w:szCs w:val="16"/>
                <w:color w:val="auto"/>
              </w:rPr>
            </w:pPr>
          </w:p>
        </w:tc>
        <w:tc>
          <w:tcPr>
            <w:tcW w:w="80" w:type="dxa"/>
            <w:vAlign w:val="bottom"/>
            <w:shd w:val="clear" w:color="auto" w:fill="FDFDFC"/>
          </w:tcPr>
          <w:p>
            <w:pPr>
              <w:spacing w:after="0"/>
              <w:rPr>
                <w:sz w:val="16"/>
                <w:szCs w:val="16"/>
                <w:color w:val="auto"/>
              </w:rPr>
            </w:pPr>
          </w:p>
        </w:tc>
        <w:tc>
          <w:tcPr>
            <w:tcW w:w="1600" w:type="dxa"/>
            <w:vAlign w:val="bottom"/>
            <w:shd w:val="clear" w:color="auto" w:fill="FDFDFC"/>
          </w:tcPr>
          <w:p>
            <w:pPr>
              <w:spacing w:after="0"/>
              <w:rPr>
                <w:sz w:val="16"/>
                <w:szCs w:val="16"/>
                <w:color w:val="auto"/>
              </w:rPr>
            </w:pPr>
          </w:p>
        </w:tc>
        <w:tc>
          <w:tcPr>
            <w:tcW w:w="100" w:type="dxa"/>
            <w:vAlign w:val="bottom"/>
            <w:shd w:val="clear" w:color="auto" w:fill="FDFDFC"/>
          </w:tcPr>
          <w:p>
            <w:pPr>
              <w:spacing w:after="0"/>
              <w:rPr>
                <w:sz w:val="16"/>
                <w:szCs w:val="16"/>
                <w:color w:val="auto"/>
              </w:rPr>
            </w:pPr>
          </w:p>
        </w:tc>
        <w:tc>
          <w:tcPr>
            <w:tcW w:w="860" w:type="dxa"/>
            <w:vAlign w:val="bottom"/>
            <w:shd w:val="clear" w:color="auto" w:fill="FDFDFC"/>
          </w:tcPr>
          <w:p>
            <w:pPr>
              <w:spacing w:after="0"/>
              <w:rPr>
                <w:sz w:val="16"/>
                <w:szCs w:val="16"/>
                <w:color w:val="auto"/>
              </w:rPr>
            </w:pPr>
          </w:p>
        </w:tc>
        <w:tc>
          <w:tcPr>
            <w:tcW w:w="0" w:type="dxa"/>
            <w:vAlign w:val="bottom"/>
          </w:tcPr>
          <w:p>
            <w:pPr>
              <w:spacing w:after="0"/>
              <w:rPr>
                <w:sz w:val="1"/>
                <w:szCs w:val="1"/>
                <w:color w:val="auto"/>
              </w:rPr>
            </w:pPr>
          </w:p>
        </w:tc>
      </w:tr>
      <w:tr>
        <w:trPr>
          <w:trHeight w:val="171"/>
        </w:trPr>
        <w:tc>
          <w:tcPr>
            <w:tcW w:w="1540" w:type="dxa"/>
            <w:vAlign w:val="bottom"/>
            <w:shd w:val="clear" w:color="auto" w:fill="D0EBF2"/>
          </w:tcPr>
          <w:p>
            <w:pPr>
              <w:spacing w:after="0"/>
              <w:rPr>
                <w:sz w:val="14"/>
                <w:szCs w:val="14"/>
                <w:color w:val="auto"/>
              </w:rPr>
            </w:pPr>
          </w:p>
        </w:tc>
        <w:tc>
          <w:tcPr>
            <w:tcW w:w="2180" w:type="dxa"/>
            <w:vAlign w:val="bottom"/>
            <w:gridSpan w:val="2"/>
            <w:shd w:val="clear" w:color="auto" w:fill="D0EBF2"/>
          </w:tcPr>
          <w:p>
            <w:pPr>
              <w:ind w:left="100"/>
              <w:spacing w:after="0" w:line="172" w:lineRule="exact"/>
              <w:rPr>
                <w:sz w:val="20"/>
                <w:szCs w:val="20"/>
                <w:color w:val="auto"/>
              </w:rPr>
            </w:pPr>
            <w:r>
              <w:rPr>
                <w:rFonts w:ascii="Times New Roman" w:cs="Times New Roman" w:eastAsia="Times New Roman" w:hAnsi="Times New Roman"/>
                <w:sz w:val="15"/>
                <w:szCs w:val="15"/>
                <w:color w:val="231F20"/>
              </w:rPr>
              <w:t>First-lien loan ($16,045 par, due</w:t>
            </w:r>
          </w:p>
        </w:tc>
        <w:tc>
          <w:tcPr>
            <w:tcW w:w="860" w:type="dxa"/>
            <w:vAlign w:val="bottom"/>
            <w:gridSpan w:val="2"/>
            <w:shd w:val="clear" w:color="auto" w:fill="D0EBF2"/>
          </w:tcPr>
          <w:p>
            <w:pPr>
              <w:jc w:val="right"/>
              <w:spacing w:after="0" w:line="172" w:lineRule="exact"/>
              <w:rPr>
                <w:sz w:val="20"/>
                <w:szCs w:val="20"/>
                <w:color w:val="auto"/>
              </w:rPr>
            </w:pPr>
            <w:r>
              <w:rPr>
                <w:rFonts w:ascii="Times New Roman" w:cs="Times New Roman" w:eastAsia="Times New Roman" w:hAnsi="Times New Roman"/>
                <w:sz w:val="15"/>
                <w:szCs w:val="15"/>
                <w:color w:val="231F20"/>
              </w:rPr>
              <w:t>1/26/2024</w:t>
            </w:r>
          </w:p>
        </w:tc>
        <w:tc>
          <w:tcPr>
            <w:tcW w:w="20" w:type="dxa"/>
            <w:vAlign w:val="bottom"/>
          </w:tcPr>
          <w:p>
            <w:pPr>
              <w:spacing w:after="0"/>
              <w:rPr>
                <w:sz w:val="14"/>
                <w:szCs w:val="14"/>
                <w:color w:val="auto"/>
              </w:rPr>
            </w:pPr>
          </w:p>
        </w:tc>
        <w:tc>
          <w:tcPr>
            <w:tcW w:w="80" w:type="dxa"/>
            <w:vAlign w:val="bottom"/>
            <w:shd w:val="clear" w:color="auto" w:fill="D0EBF2"/>
          </w:tcPr>
          <w:p>
            <w:pPr>
              <w:spacing w:after="0"/>
              <w:rPr>
                <w:sz w:val="14"/>
                <w:szCs w:val="14"/>
                <w:color w:val="auto"/>
              </w:rPr>
            </w:pPr>
          </w:p>
        </w:tc>
        <w:tc>
          <w:tcPr>
            <w:tcW w:w="820" w:type="dxa"/>
            <w:vAlign w:val="bottom"/>
            <w:shd w:val="clear" w:color="auto" w:fill="D0EBF2"/>
          </w:tcPr>
          <w:p>
            <w:pPr>
              <w:jc w:val="right"/>
              <w:spacing w:after="0" w:line="172" w:lineRule="exact"/>
              <w:rPr>
                <w:sz w:val="20"/>
                <w:szCs w:val="20"/>
                <w:color w:val="auto"/>
              </w:rPr>
            </w:pPr>
            <w:r>
              <w:rPr>
                <w:rFonts w:ascii="Times New Roman" w:cs="Times New Roman" w:eastAsia="Times New Roman" w:hAnsi="Times New Roman"/>
                <w:sz w:val="15"/>
                <w:szCs w:val="15"/>
                <w:color w:val="231F20"/>
              </w:rPr>
              <w:t>SOFR +</w:t>
            </w:r>
          </w:p>
        </w:tc>
        <w:tc>
          <w:tcPr>
            <w:tcW w:w="1020" w:type="dxa"/>
            <w:vAlign w:val="bottom"/>
            <w:gridSpan w:val="2"/>
            <w:shd w:val="clear" w:color="auto" w:fill="D0EBF2"/>
          </w:tcPr>
          <w:p>
            <w:pPr>
              <w:jc w:val="right"/>
              <w:spacing w:after="0" w:line="172" w:lineRule="exact"/>
              <w:rPr>
                <w:sz w:val="20"/>
                <w:szCs w:val="20"/>
                <w:color w:val="auto"/>
              </w:rPr>
            </w:pPr>
            <w:r>
              <w:rPr>
                <w:rFonts w:ascii="Times New Roman" w:cs="Times New Roman" w:eastAsia="Times New Roman" w:hAnsi="Times New Roman"/>
                <w:sz w:val="15"/>
                <w:szCs w:val="15"/>
                <w:color w:val="231F20"/>
              </w:rPr>
              <w:t>10.61%</w:t>
            </w:r>
          </w:p>
        </w:tc>
        <w:tc>
          <w:tcPr>
            <w:tcW w:w="1120" w:type="dxa"/>
            <w:vAlign w:val="bottom"/>
            <w:gridSpan w:val="2"/>
            <w:shd w:val="clear" w:color="auto" w:fill="D0EBF2"/>
          </w:tcPr>
          <w:p>
            <w:pPr>
              <w:jc w:val="right"/>
              <w:spacing w:after="0" w:line="172" w:lineRule="exact"/>
              <w:rPr>
                <w:sz w:val="20"/>
                <w:szCs w:val="20"/>
                <w:color w:val="auto"/>
              </w:rPr>
            </w:pPr>
            <w:r>
              <w:rPr>
                <w:rFonts w:ascii="Times New Roman" w:cs="Times New Roman" w:eastAsia="Times New Roman" w:hAnsi="Times New Roman"/>
                <w:sz w:val="15"/>
                <w:szCs w:val="15"/>
                <w:color w:val="231F20"/>
              </w:rPr>
              <w:t>15,768</w:t>
            </w:r>
          </w:p>
        </w:tc>
        <w:tc>
          <w:tcPr>
            <w:tcW w:w="1680" w:type="dxa"/>
            <w:vAlign w:val="bottom"/>
            <w:gridSpan w:val="2"/>
            <w:shd w:val="clear" w:color="auto" w:fill="D0EBF2"/>
          </w:tcPr>
          <w:p>
            <w:pPr>
              <w:jc w:val="right"/>
              <w:spacing w:after="0" w:line="172" w:lineRule="exact"/>
              <w:rPr>
                <w:sz w:val="20"/>
                <w:szCs w:val="20"/>
                <w:color w:val="auto"/>
              </w:rPr>
            </w:pPr>
            <w:r>
              <w:rPr>
                <w:rFonts w:ascii="Times New Roman" w:cs="Times New Roman" w:eastAsia="Times New Roman" w:hAnsi="Times New Roman"/>
                <w:sz w:val="15"/>
                <w:szCs w:val="15"/>
                <w:color w:val="231F20"/>
              </w:rPr>
              <w:t>16,594</w:t>
            </w:r>
          </w:p>
        </w:tc>
        <w:tc>
          <w:tcPr>
            <w:tcW w:w="960" w:type="dxa"/>
            <w:vAlign w:val="bottom"/>
            <w:gridSpan w:val="2"/>
            <w:shd w:val="clear" w:color="auto" w:fill="D0EBF2"/>
          </w:tcPr>
          <w:p>
            <w:pPr>
              <w:jc w:val="right"/>
              <w:spacing w:after="0" w:line="172" w:lineRule="exact"/>
              <w:rPr>
                <w:sz w:val="20"/>
                <w:szCs w:val="20"/>
                <w:color w:val="auto"/>
              </w:rPr>
            </w:pPr>
            <w:r>
              <w:rPr>
                <w:rFonts w:ascii="Times New Roman" w:cs="Times New Roman" w:eastAsia="Times New Roman" w:hAnsi="Times New Roman"/>
                <w:sz w:val="15"/>
                <w:szCs w:val="15"/>
                <w:color w:val="231F20"/>
              </w:rPr>
              <w:t>1.0%</w:t>
            </w:r>
          </w:p>
        </w:tc>
        <w:tc>
          <w:tcPr>
            <w:tcW w:w="0" w:type="dxa"/>
            <w:vAlign w:val="bottom"/>
          </w:tcPr>
          <w:p>
            <w:pPr>
              <w:spacing w:after="0"/>
              <w:rPr>
                <w:sz w:val="1"/>
                <w:szCs w:val="1"/>
                <w:color w:val="auto"/>
              </w:rPr>
            </w:pPr>
          </w:p>
        </w:tc>
      </w:tr>
      <w:tr>
        <w:trPr>
          <w:trHeight w:val="189"/>
        </w:trPr>
        <w:tc>
          <w:tcPr>
            <w:tcW w:w="1540" w:type="dxa"/>
            <w:vAlign w:val="bottom"/>
            <w:shd w:val="clear" w:color="auto" w:fill="D0EBF2"/>
          </w:tcPr>
          <w:p>
            <w:pPr>
              <w:spacing w:after="0"/>
              <w:rPr>
                <w:sz w:val="16"/>
                <w:szCs w:val="16"/>
                <w:color w:val="auto"/>
              </w:rPr>
            </w:pPr>
          </w:p>
        </w:tc>
        <w:tc>
          <w:tcPr>
            <w:tcW w:w="2180" w:type="dxa"/>
            <w:vAlign w:val="bottom"/>
            <w:gridSpan w:val="2"/>
            <w:shd w:val="clear" w:color="auto" w:fill="D0EBF2"/>
          </w:tcPr>
          <w:p>
            <w:pPr>
              <w:ind w:left="100"/>
              <w:spacing w:after="0"/>
              <w:rPr>
                <w:sz w:val="20"/>
                <w:szCs w:val="20"/>
                <w:color w:val="auto"/>
              </w:rPr>
            </w:pPr>
            <w:r>
              <w:rPr>
                <w:rFonts w:ascii="Times New Roman" w:cs="Times New Roman" w:eastAsia="Times New Roman" w:hAnsi="Times New Roman"/>
                <w:sz w:val="15"/>
                <w:szCs w:val="15"/>
                <w:color w:val="231F20"/>
              </w:rPr>
              <w:t>10/2026)</w:t>
            </w:r>
          </w:p>
        </w:tc>
        <w:tc>
          <w:tcPr>
            <w:tcW w:w="100" w:type="dxa"/>
            <w:vAlign w:val="bottom"/>
            <w:shd w:val="clear" w:color="auto" w:fill="D0EBF2"/>
          </w:tcPr>
          <w:p>
            <w:pPr>
              <w:spacing w:after="0"/>
              <w:rPr>
                <w:sz w:val="16"/>
                <w:szCs w:val="16"/>
                <w:color w:val="auto"/>
              </w:rPr>
            </w:pPr>
          </w:p>
        </w:tc>
        <w:tc>
          <w:tcPr>
            <w:tcW w:w="760" w:type="dxa"/>
            <w:vAlign w:val="bottom"/>
            <w:shd w:val="clear" w:color="auto" w:fill="D0EBF2"/>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gridSpan w:val="2"/>
            <w:shd w:val="clear" w:color="auto" w:fill="D0EBF2"/>
          </w:tcPr>
          <w:p>
            <w:pPr>
              <w:jc w:val="right"/>
              <w:spacing w:after="0"/>
              <w:rPr>
                <w:sz w:val="20"/>
                <w:szCs w:val="20"/>
                <w:color w:val="auto"/>
              </w:rPr>
            </w:pPr>
            <w:r>
              <w:rPr>
                <w:rFonts w:ascii="Times New Roman" w:cs="Times New Roman" w:eastAsia="Times New Roman" w:hAnsi="Times New Roman"/>
                <w:sz w:val="15"/>
                <w:szCs w:val="15"/>
                <w:color w:val="231F20"/>
              </w:rPr>
              <w:t>6.25%</w:t>
            </w:r>
          </w:p>
        </w:tc>
        <w:tc>
          <w:tcPr>
            <w:tcW w:w="100" w:type="dxa"/>
            <w:vAlign w:val="bottom"/>
            <w:shd w:val="clear" w:color="auto" w:fill="D0EBF2"/>
          </w:tcPr>
          <w:p>
            <w:pPr>
              <w:spacing w:after="0"/>
              <w:rPr>
                <w:sz w:val="16"/>
                <w:szCs w:val="16"/>
                <w:color w:val="auto"/>
              </w:rPr>
            </w:pPr>
          </w:p>
        </w:tc>
        <w:tc>
          <w:tcPr>
            <w:tcW w:w="920" w:type="dxa"/>
            <w:vAlign w:val="bottom"/>
            <w:shd w:val="clear" w:color="auto" w:fill="D0EBF2"/>
          </w:tcPr>
          <w:p>
            <w:pPr>
              <w:spacing w:after="0"/>
              <w:rPr>
                <w:sz w:val="16"/>
                <w:szCs w:val="16"/>
                <w:color w:val="auto"/>
              </w:rPr>
            </w:pPr>
          </w:p>
        </w:tc>
        <w:tc>
          <w:tcPr>
            <w:tcW w:w="120" w:type="dxa"/>
            <w:vAlign w:val="bottom"/>
            <w:shd w:val="clear" w:color="auto" w:fill="D0EBF2"/>
          </w:tcPr>
          <w:p>
            <w:pPr>
              <w:spacing w:after="0"/>
              <w:rPr>
                <w:sz w:val="16"/>
                <w:szCs w:val="16"/>
                <w:color w:val="auto"/>
              </w:rPr>
            </w:pPr>
          </w:p>
        </w:tc>
        <w:tc>
          <w:tcPr>
            <w:tcW w:w="1000" w:type="dxa"/>
            <w:vAlign w:val="bottom"/>
            <w:shd w:val="clear" w:color="auto" w:fill="D0EBF2"/>
          </w:tcPr>
          <w:p>
            <w:pPr>
              <w:spacing w:after="0"/>
              <w:rPr>
                <w:sz w:val="16"/>
                <w:szCs w:val="16"/>
                <w:color w:val="auto"/>
              </w:rPr>
            </w:pPr>
          </w:p>
        </w:tc>
        <w:tc>
          <w:tcPr>
            <w:tcW w:w="80" w:type="dxa"/>
            <w:vAlign w:val="bottom"/>
            <w:shd w:val="clear" w:color="auto" w:fill="D0EBF2"/>
          </w:tcPr>
          <w:p>
            <w:pPr>
              <w:spacing w:after="0"/>
              <w:rPr>
                <w:sz w:val="16"/>
                <w:szCs w:val="16"/>
                <w:color w:val="auto"/>
              </w:rPr>
            </w:pPr>
          </w:p>
        </w:tc>
        <w:tc>
          <w:tcPr>
            <w:tcW w:w="1600" w:type="dxa"/>
            <w:vAlign w:val="bottom"/>
            <w:shd w:val="clear" w:color="auto" w:fill="D0EBF2"/>
          </w:tcPr>
          <w:p>
            <w:pPr>
              <w:spacing w:after="0"/>
              <w:rPr>
                <w:sz w:val="16"/>
                <w:szCs w:val="16"/>
                <w:color w:val="auto"/>
              </w:rPr>
            </w:pPr>
          </w:p>
        </w:tc>
        <w:tc>
          <w:tcPr>
            <w:tcW w:w="100" w:type="dxa"/>
            <w:vAlign w:val="bottom"/>
            <w:shd w:val="clear" w:color="auto" w:fill="D0EBF2"/>
          </w:tcPr>
          <w:p>
            <w:pPr>
              <w:spacing w:after="0"/>
              <w:rPr>
                <w:sz w:val="16"/>
                <w:szCs w:val="16"/>
                <w:color w:val="auto"/>
              </w:rPr>
            </w:pPr>
          </w:p>
        </w:tc>
        <w:tc>
          <w:tcPr>
            <w:tcW w:w="860" w:type="dxa"/>
            <w:vAlign w:val="bottom"/>
            <w:shd w:val="clear" w:color="auto" w:fill="D0EBF2"/>
          </w:tcPr>
          <w:p>
            <w:pPr>
              <w:spacing w:after="0"/>
              <w:rPr>
                <w:sz w:val="16"/>
                <w:szCs w:val="16"/>
                <w:color w:val="auto"/>
              </w:rPr>
            </w:pPr>
          </w:p>
        </w:tc>
        <w:tc>
          <w:tcPr>
            <w:tcW w:w="0" w:type="dxa"/>
            <w:vAlign w:val="bottom"/>
          </w:tcPr>
          <w:p>
            <w:pPr>
              <w:spacing w:after="0"/>
              <w:rPr>
                <w:sz w:val="1"/>
                <w:szCs w:val="1"/>
                <w:color w:val="auto"/>
              </w:rPr>
            </w:pPr>
          </w:p>
        </w:tc>
      </w:tr>
      <w:tr>
        <w:trPr>
          <w:trHeight w:val="171"/>
        </w:trPr>
        <w:tc>
          <w:tcPr>
            <w:tcW w:w="1540" w:type="dxa"/>
            <w:vAlign w:val="bottom"/>
            <w:shd w:val="clear" w:color="auto" w:fill="FDFDFC"/>
          </w:tcPr>
          <w:p>
            <w:pPr>
              <w:spacing w:after="0" w:line="172" w:lineRule="exact"/>
              <w:rPr>
                <w:sz w:val="20"/>
                <w:szCs w:val="20"/>
                <w:color w:val="auto"/>
              </w:rPr>
            </w:pPr>
            <w:r>
              <w:rPr>
                <w:rFonts w:ascii="Times New Roman" w:cs="Times New Roman" w:eastAsia="Times New Roman" w:hAnsi="Times New Roman"/>
                <w:sz w:val="15"/>
                <w:szCs w:val="15"/>
                <w:color w:val="231F20"/>
              </w:rPr>
              <w:t>Celtra Technologies,</w:t>
            </w:r>
          </w:p>
        </w:tc>
        <w:tc>
          <w:tcPr>
            <w:tcW w:w="2180" w:type="dxa"/>
            <w:vAlign w:val="bottom"/>
            <w:gridSpan w:val="2"/>
            <w:shd w:val="clear" w:color="auto" w:fill="FDFDFC"/>
          </w:tcPr>
          <w:p>
            <w:pPr>
              <w:ind w:left="100"/>
              <w:spacing w:after="0" w:line="172" w:lineRule="exact"/>
              <w:rPr>
                <w:sz w:val="20"/>
                <w:szCs w:val="20"/>
                <w:color w:val="auto"/>
              </w:rPr>
            </w:pPr>
            <w:r>
              <w:rPr>
                <w:rFonts w:ascii="Times New Roman" w:cs="Times New Roman" w:eastAsia="Times New Roman" w:hAnsi="Times New Roman"/>
                <w:sz w:val="15"/>
                <w:szCs w:val="15"/>
                <w:color w:val="231F20"/>
              </w:rPr>
              <w:t>First-lien loan ($26,437 par, due</w:t>
            </w:r>
          </w:p>
        </w:tc>
        <w:tc>
          <w:tcPr>
            <w:tcW w:w="860" w:type="dxa"/>
            <w:vAlign w:val="bottom"/>
            <w:gridSpan w:val="2"/>
            <w:shd w:val="clear" w:color="auto" w:fill="FDFDFC"/>
          </w:tcPr>
          <w:p>
            <w:pPr>
              <w:jc w:val="right"/>
              <w:spacing w:after="0" w:line="172" w:lineRule="exact"/>
              <w:rPr>
                <w:sz w:val="20"/>
                <w:szCs w:val="20"/>
                <w:color w:val="auto"/>
              </w:rPr>
            </w:pPr>
            <w:r>
              <w:rPr>
                <w:rFonts w:ascii="Times New Roman" w:cs="Times New Roman" w:eastAsia="Times New Roman" w:hAnsi="Times New Roman"/>
                <w:sz w:val="15"/>
                <w:szCs w:val="15"/>
                <w:color w:val="231F20"/>
              </w:rPr>
              <w:t>11/19/2021</w:t>
            </w:r>
          </w:p>
        </w:tc>
        <w:tc>
          <w:tcPr>
            <w:tcW w:w="20" w:type="dxa"/>
            <w:vAlign w:val="bottom"/>
          </w:tcPr>
          <w:p>
            <w:pPr>
              <w:spacing w:after="0"/>
              <w:rPr>
                <w:sz w:val="14"/>
                <w:szCs w:val="14"/>
                <w:color w:val="auto"/>
              </w:rPr>
            </w:pPr>
          </w:p>
        </w:tc>
        <w:tc>
          <w:tcPr>
            <w:tcW w:w="80" w:type="dxa"/>
            <w:vAlign w:val="bottom"/>
            <w:shd w:val="clear" w:color="auto" w:fill="FDFDFC"/>
          </w:tcPr>
          <w:p>
            <w:pPr>
              <w:spacing w:after="0"/>
              <w:rPr>
                <w:sz w:val="14"/>
                <w:szCs w:val="14"/>
                <w:color w:val="auto"/>
              </w:rPr>
            </w:pPr>
          </w:p>
        </w:tc>
        <w:tc>
          <w:tcPr>
            <w:tcW w:w="820" w:type="dxa"/>
            <w:vAlign w:val="bottom"/>
            <w:shd w:val="clear" w:color="auto" w:fill="FDFDFC"/>
          </w:tcPr>
          <w:p>
            <w:pPr>
              <w:jc w:val="right"/>
              <w:spacing w:after="0" w:line="172" w:lineRule="exact"/>
              <w:rPr>
                <w:sz w:val="20"/>
                <w:szCs w:val="20"/>
                <w:color w:val="auto"/>
              </w:rPr>
            </w:pPr>
            <w:r>
              <w:rPr>
                <w:rFonts w:ascii="Times New Roman" w:cs="Times New Roman" w:eastAsia="Times New Roman" w:hAnsi="Times New Roman"/>
                <w:sz w:val="15"/>
                <w:szCs w:val="15"/>
                <w:color w:val="231F20"/>
              </w:rPr>
              <w:t>SOFR +</w:t>
            </w:r>
          </w:p>
        </w:tc>
        <w:tc>
          <w:tcPr>
            <w:tcW w:w="1020" w:type="dxa"/>
            <w:vAlign w:val="bottom"/>
            <w:gridSpan w:val="2"/>
            <w:shd w:val="clear" w:color="auto" w:fill="FDFDFC"/>
          </w:tcPr>
          <w:p>
            <w:pPr>
              <w:jc w:val="right"/>
              <w:spacing w:after="0" w:line="172" w:lineRule="exact"/>
              <w:rPr>
                <w:sz w:val="20"/>
                <w:szCs w:val="20"/>
                <w:color w:val="auto"/>
              </w:rPr>
            </w:pPr>
            <w:r>
              <w:rPr>
                <w:rFonts w:ascii="Times New Roman" w:cs="Times New Roman" w:eastAsia="Times New Roman" w:hAnsi="Times New Roman"/>
                <w:sz w:val="15"/>
                <w:szCs w:val="15"/>
                <w:color w:val="231F20"/>
              </w:rPr>
              <w:t>10.34%</w:t>
            </w:r>
          </w:p>
        </w:tc>
        <w:tc>
          <w:tcPr>
            <w:tcW w:w="1120" w:type="dxa"/>
            <w:vAlign w:val="bottom"/>
            <w:gridSpan w:val="2"/>
            <w:shd w:val="clear" w:color="auto" w:fill="FDFDFC"/>
          </w:tcPr>
          <w:p>
            <w:pPr>
              <w:jc w:val="right"/>
              <w:spacing w:after="0" w:line="172" w:lineRule="exact"/>
              <w:rPr>
                <w:sz w:val="20"/>
                <w:szCs w:val="20"/>
                <w:color w:val="auto"/>
              </w:rPr>
            </w:pPr>
            <w:r>
              <w:rPr>
                <w:rFonts w:ascii="Times New Roman" w:cs="Times New Roman" w:eastAsia="Times New Roman" w:hAnsi="Times New Roman"/>
                <w:sz w:val="15"/>
                <w:szCs w:val="15"/>
                <w:color w:val="231F20"/>
              </w:rPr>
              <w:t>26,075</w:t>
            </w:r>
          </w:p>
        </w:tc>
        <w:tc>
          <w:tcPr>
            <w:tcW w:w="1680" w:type="dxa"/>
            <w:vAlign w:val="bottom"/>
            <w:gridSpan w:val="2"/>
            <w:shd w:val="clear" w:color="auto" w:fill="FDFDFC"/>
          </w:tcPr>
          <w:p>
            <w:pPr>
              <w:jc w:val="right"/>
              <w:spacing w:after="0" w:line="172" w:lineRule="exact"/>
              <w:rPr>
                <w:sz w:val="20"/>
                <w:szCs w:val="20"/>
                <w:color w:val="auto"/>
              </w:rPr>
            </w:pPr>
            <w:r>
              <w:rPr>
                <w:rFonts w:ascii="Times New Roman" w:cs="Times New Roman" w:eastAsia="Times New Roman" w:hAnsi="Times New Roman"/>
                <w:sz w:val="15"/>
                <w:szCs w:val="15"/>
                <w:color w:val="231F20"/>
              </w:rPr>
              <w:t>26,503</w:t>
            </w:r>
          </w:p>
        </w:tc>
        <w:tc>
          <w:tcPr>
            <w:tcW w:w="960" w:type="dxa"/>
            <w:vAlign w:val="bottom"/>
            <w:gridSpan w:val="2"/>
            <w:shd w:val="clear" w:color="auto" w:fill="FDFDFC"/>
          </w:tcPr>
          <w:p>
            <w:pPr>
              <w:jc w:val="right"/>
              <w:spacing w:after="0" w:line="172" w:lineRule="exact"/>
              <w:rPr>
                <w:sz w:val="20"/>
                <w:szCs w:val="20"/>
                <w:color w:val="auto"/>
              </w:rPr>
            </w:pPr>
            <w:r>
              <w:rPr>
                <w:rFonts w:ascii="Times New Roman" w:cs="Times New Roman" w:eastAsia="Times New Roman" w:hAnsi="Times New Roman"/>
                <w:sz w:val="15"/>
                <w:szCs w:val="15"/>
                <w:color w:val="231F20"/>
              </w:rPr>
              <w:t>1.7%</w:t>
            </w:r>
          </w:p>
        </w:tc>
        <w:tc>
          <w:tcPr>
            <w:tcW w:w="0" w:type="dxa"/>
            <w:vAlign w:val="bottom"/>
          </w:tcPr>
          <w:p>
            <w:pPr>
              <w:spacing w:after="0"/>
              <w:rPr>
                <w:sz w:val="1"/>
                <w:szCs w:val="1"/>
                <w:color w:val="auto"/>
              </w:rPr>
            </w:pPr>
          </w:p>
        </w:tc>
      </w:tr>
      <w:tr>
        <w:trPr>
          <w:trHeight w:val="189"/>
        </w:trPr>
        <w:tc>
          <w:tcPr>
            <w:tcW w:w="1540" w:type="dxa"/>
            <w:vAlign w:val="bottom"/>
            <w:tcBorders>
              <w:bottom w:val="single" w:sz="8" w:color="D0EBF2"/>
            </w:tcBorders>
            <w:shd w:val="clear" w:color="auto" w:fill="FDFDFC"/>
          </w:tcPr>
          <w:p>
            <w:pPr>
              <w:spacing w:after="0" w:line="190" w:lineRule="exact"/>
              <w:rPr>
                <w:sz w:val="20"/>
                <w:szCs w:val="20"/>
                <w:color w:val="auto"/>
              </w:rPr>
            </w:pPr>
            <w:r>
              <w:rPr>
                <w:rFonts w:ascii="Times New Roman" w:cs="Times New Roman" w:eastAsia="Times New Roman" w:hAnsi="Times New Roman"/>
                <w:sz w:val="21"/>
                <w:szCs w:val="21"/>
                <w:color w:val="231F20"/>
                <w:vertAlign w:val="subscript"/>
              </w:rPr>
              <w:t>Inc.</w:t>
            </w:r>
            <w:r>
              <w:rPr>
                <w:rFonts w:ascii="Times New Roman" w:cs="Times New Roman" w:eastAsia="Times New Roman" w:hAnsi="Times New Roman"/>
                <w:sz w:val="8"/>
                <w:szCs w:val="8"/>
                <w:color w:val="231F20"/>
              </w:rPr>
              <w:t xml:space="preserve"> (3)(5)</w:t>
            </w:r>
          </w:p>
        </w:tc>
        <w:tc>
          <w:tcPr>
            <w:tcW w:w="2180" w:type="dxa"/>
            <w:vAlign w:val="bottom"/>
            <w:tcBorders>
              <w:bottom w:val="single" w:sz="8" w:color="D0EBF2"/>
            </w:tcBorders>
            <w:gridSpan w:val="2"/>
            <w:shd w:val="clear" w:color="auto" w:fill="FDFDFC"/>
          </w:tcPr>
          <w:p>
            <w:pPr>
              <w:ind w:left="100"/>
              <w:spacing w:after="0"/>
              <w:rPr>
                <w:sz w:val="20"/>
                <w:szCs w:val="20"/>
                <w:color w:val="auto"/>
              </w:rPr>
            </w:pPr>
            <w:r>
              <w:rPr>
                <w:rFonts w:ascii="Times New Roman" w:cs="Times New Roman" w:eastAsia="Times New Roman" w:hAnsi="Times New Roman"/>
                <w:sz w:val="15"/>
                <w:szCs w:val="15"/>
                <w:color w:val="231F20"/>
              </w:rPr>
              <w:t>11/2026)</w:t>
            </w:r>
          </w:p>
        </w:tc>
        <w:tc>
          <w:tcPr>
            <w:tcW w:w="100" w:type="dxa"/>
            <w:vAlign w:val="bottom"/>
            <w:tcBorders>
              <w:bottom w:val="single" w:sz="8" w:color="D0EBF2"/>
            </w:tcBorders>
            <w:shd w:val="clear" w:color="auto" w:fill="FDFDFC"/>
          </w:tcPr>
          <w:p>
            <w:pPr>
              <w:spacing w:after="0"/>
              <w:rPr>
                <w:sz w:val="16"/>
                <w:szCs w:val="16"/>
                <w:color w:val="auto"/>
              </w:rPr>
            </w:pPr>
          </w:p>
        </w:tc>
        <w:tc>
          <w:tcPr>
            <w:tcW w:w="760" w:type="dxa"/>
            <w:vAlign w:val="bottom"/>
            <w:tcBorders>
              <w:bottom w:val="single" w:sz="8" w:color="D0EBF2"/>
            </w:tcBorders>
            <w:shd w:val="clear" w:color="auto" w:fill="FDFDFC"/>
          </w:tcPr>
          <w:p>
            <w:pPr>
              <w:spacing w:after="0"/>
              <w:rPr>
                <w:sz w:val="16"/>
                <w:szCs w:val="16"/>
                <w:color w:val="auto"/>
              </w:rPr>
            </w:pPr>
          </w:p>
        </w:tc>
        <w:tc>
          <w:tcPr>
            <w:tcW w:w="20" w:type="dxa"/>
            <w:vAlign w:val="bottom"/>
            <w:tcBorders>
              <w:bottom w:val="single" w:sz="8" w:color="D0EBF2"/>
            </w:tcBorders>
          </w:tcPr>
          <w:p>
            <w:pPr>
              <w:spacing w:after="0"/>
              <w:rPr>
                <w:sz w:val="16"/>
                <w:szCs w:val="16"/>
                <w:color w:val="auto"/>
              </w:rPr>
            </w:pPr>
          </w:p>
        </w:tc>
        <w:tc>
          <w:tcPr>
            <w:tcW w:w="900" w:type="dxa"/>
            <w:vAlign w:val="bottom"/>
            <w:tcBorders>
              <w:bottom w:val="single" w:sz="8" w:color="D0EBF2"/>
            </w:tcBorders>
            <w:gridSpan w:val="2"/>
            <w:shd w:val="clear" w:color="auto" w:fill="FDFDFC"/>
          </w:tcPr>
          <w:p>
            <w:pPr>
              <w:jc w:val="right"/>
              <w:spacing w:after="0"/>
              <w:rPr>
                <w:sz w:val="20"/>
                <w:szCs w:val="20"/>
                <w:color w:val="auto"/>
              </w:rPr>
            </w:pPr>
            <w:r>
              <w:rPr>
                <w:rFonts w:ascii="Times New Roman" w:cs="Times New Roman" w:eastAsia="Times New Roman" w:hAnsi="Times New Roman"/>
                <w:sz w:val="15"/>
                <w:szCs w:val="15"/>
                <w:color w:val="231F20"/>
              </w:rPr>
              <w:t>5.75%</w:t>
            </w:r>
          </w:p>
        </w:tc>
        <w:tc>
          <w:tcPr>
            <w:tcW w:w="100" w:type="dxa"/>
            <w:vAlign w:val="bottom"/>
            <w:tcBorders>
              <w:bottom w:val="single" w:sz="8" w:color="D0EBF2"/>
            </w:tcBorders>
            <w:shd w:val="clear" w:color="auto" w:fill="FDFDFC"/>
          </w:tcPr>
          <w:p>
            <w:pPr>
              <w:spacing w:after="0"/>
              <w:rPr>
                <w:sz w:val="16"/>
                <w:szCs w:val="16"/>
                <w:color w:val="auto"/>
              </w:rPr>
            </w:pPr>
          </w:p>
        </w:tc>
        <w:tc>
          <w:tcPr>
            <w:tcW w:w="920" w:type="dxa"/>
            <w:vAlign w:val="bottom"/>
            <w:tcBorders>
              <w:bottom w:val="single" w:sz="8" w:color="D0EBF2"/>
            </w:tcBorders>
            <w:shd w:val="clear" w:color="auto" w:fill="FDFDFC"/>
          </w:tcPr>
          <w:p>
            <w:pPr>
              <w:spacing w:after="0"/>
              <w:rPr>
                <w:sz w:val="16"/>
                <w:szCs w:val="16"/>
                <w:color w:val="auto"/>
              </w:rPr>
            </w:pPr>
          </w:p>
        </w:tc>
        <w:tc>
          <w:tcPr>
            <w:tcW w:w="120" w:type="dxa"/>
            <w:vAlign w:val="bottom"/>
            <w:tcBorders>
              <w:bottom w:val="single" w:sz="8" w:color="D0EBF2"/>
            </w:tcBorders>
            <w:shd w:val="clear" w:color="auto" w:fill="FDFDFC"/>
          </w:tcPr>
          <w:p>
            <w:pPr>
              <w:spacing w:after="0"/>
              <w:rPr>
                <w:sz w:val="16"/>
                <w:szCs w:val="16"/>
                <w:color w:val="auto"/>
              </w:rPr>
            </w:pPr>
          </w:p>
        </w:tc>
        <w:tc>
          <w:tcPr>
            <w:tcW w:w="1000" w:type="dxa"/>
            <w:vAlign w:val="bottom"/>
            <w:tcBorders>
              <w:bottom w:val="single" w:sz="8" w:color="231F20"/>
            </w:tcBorders>
            <w:shd w:val="clear" w:color="auto" w:fill="FDFDFC"/>
          </w:tcPr>
          <w:p>
            <w:pPr>
              <w:spacing w:after="0"/>
              <w:rPr>
                <w:sz w:val="16"/>
                <w:szCs w:val="16"/>
                <w:color w:val="auto"/>
              </w:rPr>
            </w:pPr>
          </w:p>
        </w:tc>
        <w:tc>
          <w:tcPr>
            <w:tcW w:w="80" w:type="dxa"/>
            <w:vAlign w:val="bottom"/>
            <w:tcBorders>
              <w:bottom w:val="single" w:sz="8" w:color="D0EBF2"/>
            </w:tcBorders>
            <w:shd w:val="clear" w:color="auto" w:fill="FDFDFC"/>
          </w:tcPr>
          <w:p>
            <w:pPr>
              <w:spacing w:after="0"/>
              <w:rPr>
                <w:sz w:val="16"/>
                <w:szCs w:val="16"/>
                <w:color w:val="auto"/>
              </w:rPr>
            </w:pPr>
          </w:p>
        </w:tc>
        <w:tc>
          <w:tcPr>
            <w:tcW w:w="1600" w:type="dxa"/>
            <w:vAlign w:val="bottom"/>
            <w:tcBorders>
              <w:bottom w:val="single" w:sz="8" w:color="231F20"/>
            </w:tcBorders>
            <w:shd w:val="clear" w:color="auto" w:fill="FDFDFC"/>
          </w:tcPr>
          <w:p>
            <w:pPr>
              <w:spacing w:after="0"/>
              <w:rPr>
                <w:sz w:val="16"/>
                <w:szCs w:val="16"/>
                <w:color w:val="auto"/>
              </w:rPr>
            </w:pPr>
          </w:p>
        </w:tc>
        <w:tc>
          <w:tcPr>
            <w:tcW w:w="100" w:type="dxa"/>
            <w:vAlign w:val="bottom"/>
            <w:tcBorders>
              <w:bottom w:val="single" w:sz="8" w:color="D0EBF2"/>
            </w:tcBorders>
            <w:shd w:val="clear" w:color="auto" w:fill="FDFDFC"/>
          </w:tcPr>
          <w:p>
            <w:pPr>
              <w:spacing w:after="0"/>
              <w:rPr>
                <w:sz w:val="16"/>
                <w:szCs w:val="16"/>
                <w:color w:val="auto"/>
              </w:rPr>
            </w:pPr>
          </w:p>
        </w:tc>
        <w:tc>
          <w:tcPr>
            <w:tcW w:w="860" w:type="dxa"/>
            <w:vAlign w:val="bottom"/>
            <w:tcBorders>
              <w:bottom w:val="single" w:sz="8" w:color="231F20"/>
            </w:tcBorders>
            <w:shd w:val="clear" w:color="auto" w:fill="FDFDFC"/>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1540" w:type="dxa"/>
            <w:vAlign w:val="bottom"/>
            <w:tcBorders>
              <w:bottom w:val="single" w:sz="8" w:color="D0EBF2"/>
            </w:tcBorders>
            <w:shd w:val="clear" w:color="auto" w:fill="D0EBF2"/>
          </w:tcPr>
          <w:p>
            <w:pPr>
              <w:spacing w:after="0"/>
              <w:rPr>
                <w:sz w:val="15"/>
                <w:szCs w:val="15"/>
                <w:color w:val="auto"/>
              </w:rPr>
            </w:pPr>
          </w:p>
        </w:tc>
        <w:tc>
          <w:tcPr>
            <w:tcW w:w="100" w:type="dxa"/>
            <w:vAlign w:val="bottom"/>
            <w:tcBorders>
              <w:bottom w:val="single" w:sz="8" w:color="D0EBF2"/>
            </w:tcBorders>
            <w:shd w:val="clear" w:color="auto" w:fill="D0EBF2"/>
          </w:tcPr>
          <w:p>
            <w:pPr>
              <w:spacing w:after="0"/>
              <w:rPr>
                <w:sz w:val="15"/>
                <w:szCs w:val="15"/>
                <w:color w:val="auto"/>
              </w:rPr>
            </w:pPr>
          </w:p>
        </w:tc>
        <w:tc>
          <w:tcPr>
            <w:tcW w:w="2080" w:type="dxa"/>
            <w:vAlign w:val="bottom"/>
            <w:tcBorders>
              <w:bottom w:val="single" w:sz="8" w:color="D0EBF2"/>
            </w:tcBorders>
            <w:shd w:val="clear" w:color="auto" w:fill="D0EBF2"/>
          </w:tcPr>
          <w:p>
            <w:pPr>
              <w:spacing w:after="0"/>
              <w:rPr>
                <w:sz w:val="15"/>
                <w:szCs w:val="15"/>
                <w:color w:val="auto"/>
              </w:rPr>
            </w:pPr>
          </w:p>
        </w:tc>
        <w:tc>
          <w:tcPr>
            <w:tcW w:w="100" w:type="dxa"/>
            <w:vAlign w:val="bottom"/>
            <w:tcBorders>
              <w:bottom w:val="single" w:sz="8" w:color="D0EBF2"/>
            </w:tcBorders>
            <w:shd w:val="clear" w:color="auto" w:fill="D0EBF2"/>
          </w:tcPr>
          <w:p>
            <w:pPr>
              <w:spacing w:after="0"/>
              <w:rPr>
                <w:sz w:val="15"/>
                <w:szCs w:val="15"/>
                <w:color w:val="auto"/>
              </w:rPr>
            </w:pPr>
          </w:p>
        </w:tc>
        <w:tc>
          <w:tcPr>
            <w:tcW w:w="760" w:type="dxa"/>
            <w:vAlign w:val="bottom"/>
            <w:tcBorders>
              <w:bottom w:val="single" w:sz="8" w:color="D0EBF2"/>
            </w:tcBorders>
            <w:shd w:val="clear" w:color="auto" w:fill="D0EBF2"/>
          </w:tcPr>
          <w:p>
            <w:pPr>
              <w:spacing w:after="0"/>
              <w:rPr>
                <w:sz w:val="15"/>
                <w:szCs w:val="15"/>
                <w:color w:val="auto"/>
              </w:rPr>
            </w:pPr>
          </w:p>
        </w:tc>
        <w:tc>
          <w:tcPr>
            <w:tcW w:w="20" w:type="dxa"/>
            <w:vAlign w:val="bottom"/>
            <w:tcBorders>
              <w:bottom w:val="single" w:sz="8" w:color="D0EBF2"/>
            </w:tcBorders>
            <w:shd w:val="clear" w:color="auto" w:fill="D0EBF2"/>
          </w:tcPr>
          <w:p>
            <w:pPr>
              <w:spacing w:after="0"/>
              <w:rPr>
                <w:sz w:val="15"/>
                <w:szCs w:val="15"/>
                <w:color w:val="auto"/>
              </w:rPr>
            </w:pPr>
          </w:p>
        </w:tc>
        <w:tc>
          <w:tcPr>
            <w:tcW w:w="80" w:type="dxa"/>
            <w:vAlign w:val="bottom"/>
            <w:tcBorders>
              <w:bottom w:val="single" w:sz="8" w:color="D0EBF2"/>
            </w:tcBorders>
            <w:shd w:val="clear" w:color="auto" w:fill="D0EBF2"/>
          </w:tcPr>
          <w:p>
            <w:pPr>
              <w:spacing w:after="0"/>
              <w:rPr>
                <w:sz w:val="15"/>
                <w:szCs w:val="15"/>
                <w:color w:val="auto"/>
              </w:rPr>
            </w:pPr>
          </w:p>
        </w:tc>
        <w:tc>
          <w:tcPr>
            <w:tcW w:w="820" w:type="dxa"/>
            <w:vAlign w:val="bottom"/>
            <w:tcBorders>
              <w:bottom w:val="single" w:sz="8" w:color="D0EBF2"/>
            </w:tcBorders>
            <w:shd w:val="clear" w:color="auto" w:fill="D0EBF2"/>
          </w:tcPr>
          <w:p>
            <w:pPr>
              <w:spacing w:after="0"/>
              <w:rPr>
                <w:sz w:val="15"/>
                <w:szCs w:val="15"/>
                <w:color w:val="auto"/>
              </w:rPr>
            </w:pPr>
          </w:p>
        </w:tc>
        <w:tc>
          <w:tcPr>
            <w:tcW w:w="100" w:type="dxa"/>
            <w:vAlign w:val="bottom"/>
            <w:tcBorders>
              <w:bottom w:val="single" w:sz="8" w:color="D0EBF2"/>
            </w:tcBorders>
            <w:shd w:val="clear" w:color="auto" w:fill="D0EBF2"/>
          </w:tcPr>
          <w:p>
            <w:pPr>
              <w:spacing w:after="0"/>
              <w:rPr>
                <w:sz w:val="15"/>
                <w:szCs w:val="15"/>
                <w:color w:val="auto"/>
              </w:rPr>
            </w:pPr>
          </w:p>
        </w:tc>
        <w:tc>
          <w:tcPr>
            <w:tcW w:w="920" w:type="dxa"/>
            <w:vAlign w:val="bottom"/>
            <w:tcBorders>
              <w:bottom w:val="single" w:sz="8" w:color="D0EBF2"/>
            </w:tcBorders>
            <w:shd w:val="clear" w:color="auto" w:fill="D0EBF2"/>
          </w:tcPr>
          <w:p>
            <w:pPr>
              <w:spacing w:after="0"/>
              <w:rPr>
                <w:sz w:val="15"/>
                <w:szCs w:val="15"/>
                <w:color w:val="auto"/>
              </w:rPr>
            </w:pPr>
          </w:p>
        </w:tc>
        <w:tc>
          <w:tcPr>
            <w:tcW w:w="120" w:type="dxa"/>
            <w:vAlign w:val="bottom"/>
            <w:tcBorders>
              <w:bottom w:val="single" w:sz="8" w:color="D0EBF2"/>
            </w:tcBorders>
            <w:shd w:val="clear" w:color="auto" w:fill="D0EBF2"/>
          </w:tcPr>
          <w:p>
            <w:pPr>
              <w:spacing w:after="0"/>
              <w:rPr>
                <w:sz w:val="15"/>
                <w:szCs w:val="15"/>
                <w:color w:val="auto"/>
              </w:rPr>
            </w:pPr>
          </w:p>
        </w:tc>
        <w:tc>
          <w:tcPr>
            <w:tcW w:w="1000" w:type="dxa"/>
            <w:vAlign w:val="bottom"/>
            <w:tcBorders>
              <w:bottom w:val="single" w:sz="8" w:color="231F20"/>
            </w:tcBorders>
            <w:shd w:val="clear" w:color="auto" w:fill="D0EBF2"/>
          </w:tcPr>
          <w:p>
            <w:pPr>
              <w:jc w:val="right"/>
              <w:spacing w:after="0"/>
              <w:rPr>
                <w:sz w:val="20"/>
                <w:szCs w:val="20"/>
                <w:color w:val="auto"/>
              </w:rPr>
            </w:pPr>
            <w:r>
              <w:rPr>
                <w:rFonts w:ascii="Times New Roman" w:cs="Times New Roman" w:eastAsia="Times New Roman" w:hAnsi="Times New Roman"/>
                <w:sz w:val="15"/>
                <w:szCs w:val="15"/>
                <w:color w:val="231F20"/>
              </w:rPr>
              <w:t>117,017</w:t>
            </w:r>
          </w:p>
        </w:tc>
        <w:tc>
          <w:tcPr>
            <w:tcW w:w="80" w:type="dxa"/>
            <w:vAlign w:val="bottom"/>
            <w:tcBorders>
              <w:bottom w:val="single" w:sz="8" w:color="D0EBF2"/>
            </w:tcBorders>
            <w:shd w:val="clear" w:color="auto" w:fill="D0EBF2"/>
          </w:tcPr>
          <w:p>
            <w:pPr>
              <w:spacing w:after="0"/>
              <w:rPr>
                <w:sz w:val="15"/>
                <w:szCs w:val="15"/>
                <w:color w:val="auto"/>
              </w:rPr>
            </w:pPr>
          </w:p>
        </w:tc>
        <w:tc>
          <w:tcPr>
            <w:tcW w:w="1600" w:type="dxa"/>
            <w:vAlign w:val="bottom"/>
            <w:tcBorders>
              <w:bottom w:val="single" w:sz="8" w:color="231F20"/>
            </w:tcBorders>
            <w:shd w:val="clear" w:color="auto" w:fill="D0EBF2"/>
          </w:tcPr>
          <w:p>
            <w:pPr>
              <w:jc w:val="right"/>
              <w:spacing w:after="0"/>
              <w:rPr>
                <w:sz w:val="20"/>
                <w:szCs w:val="20"/>
                <w:color w:val="auto"/>
              </w:rPr>
            </w:pPr>
            <w:r>
              <w:rPr>
                <w:rFonts w:ascii="Times New Roman" w:cs="Times New Roman" w:eastAsia="Times New Roman" w:hAnsi="Times New Roman"/>
                <w:sz w:val="15"/>
                <w:szCs w:val="15"/>
                <w:color w:val="231F20"/>
              </w:rPr>
              <w:t>118,984</w:t>
            </w:r>
          </w:p>
        </w:tc>
        <w:tc>
          <w:tcPr>
            <w:tcW w:w="100" w:type="dxa"/>
            <w:vAlign w:val="bottom"/>
            <w:tcBorders>
              <w:bottom w:val="single" w:sz="8" w:color="D0EBF2"/>
            </w:tcBorders>
            <w:shd w:val="clear" w:color="auto" w:fill="D0EBF2"/>
          </w:tcPr>
          <w:p>
            <w:pPr>
              <w:spacing w:after="0"/>
              <w:rPr>
                <w:sz w:val="15"/>
                <w:szCs w:val="15"/>
                <w:color w:val="auto"/>
              </w:rPr>
            </w:pPr>
          </w:p>
        </w:tc>
        <w:tc>
          <w:tcPr>
            <w:tcW w:w="860" w:type="dxa"/>
            <w:vAlign w:val="bottom"/>
            <w:tcBorders>
              <w:bottom w:val="single" w:sz="8" w:color="231F20"/>
            </w:tcBorders>
            <w:shd w:val="clear" w:color="auto" w:fill="D0EBF2"/>
          </w:tcPr>
          <w:p>
            <w:pPr>
              <w:jc w:val="right"/>
              <w:spacing w:after="0"/>
              <w:rPr>
                <w:sz w:val="20"/>
                <w:szCs w:val="20"/>
                <w:color w:val="auto"/>
              </w:rPr>
            </w:pPr>
            <w:r>
              <w:rPr>
                <w:rFonts w:ascii="Times New Roman" w:cs="Times New Roman" w:eastAsia="Times New Roman" w:hAnsi="Times New Roman"/>
                <w:sz w:val="15"/>
                <w:szCs w:val="15"/>
                <w:color w:val="231F20"/>
              </w:rPr>
              <w:t>7.4%</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2240" w:h="15840" w:orient="portrait"/>
          <w:cols w:equalWidth="0" w:num="1">
            <w:col w:w="10280"/>
          </w:cols>
          <w:pgMar w:left="980" w:top="1334" w:right="980" w:bottom="574" w:gutter="0" w:footer="0" w:header="0"/>
        </w:sectPr>
      </w:pP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231F20"/>
        </w:rPr>
        <w:t>F-7</w:t>
      </w:r>
    </w:p>
    <w:p>
      <w:pPr>
        <w:sectPr>
          <w:pgSz w:w="12240" w:h="15840" w:orient="portrait"/>
          <w:cols w:equalWidth="0" w:num="1">
            <w:col w:w="10280"/>
          </w:cols>
          <w:pgMar w:left="980" w:top="1334" w:right="980" w:bottom="574" w:gutter="0" w:footer="0" w:header="0"/>
          <w:type w:val="continuous"/>
        </w:sectPr>
      </w:pPr>
    </w:p>
    <w:bookmarkStart w:id="95" w:name="page96"/>
    <w:bookmarkEnd w:id="95"/>
    <w:tbl>
      <w:tblPr>
        <w:tblLayout w:type="fixed"/>
        <w:tblInd w:w="0" w:type="dxa"/>
        <w:tblCellMar>
          <w:top w:w="0" w:type="dxa"/>
          <w:left w:w="0" w:type="dxa"/>
          <w:bottom w:w="0" w:type="dxa"/>
          <w:right w:w="0" w:type="dxa"/>
        </w:tblCellMar>
      </w:tblPr>
      <w:tr>
        <w:trPr>
          <w:trHeight w:val="196"/>
        </w:trPr>
        <w:tc>
          <w:tcPr>
            <w:tcW w:w="1580" w:type="dxa"/>
            <w:vAlign w:val="bottom"/>
            <w:tcBorders>
              <w:top w:val="single" w:sz="8" w:color="FDFDFC"/>
            </w:tcBorders>
            <w:shd w:val="clear" w:color="auto" w:fill="FDFDFC"/>
          </w:tcPr>
          <w:p>
            <w:pPr>
              <w:spacing w:after="0"/>
              <w:rPr>
                <w:sz w:val="20"/>
                <w:szCs w:val="20"/>
                <w:color w:val="auto"/>
              </w:rPr>
            </w:pPr>
            <w:r>
              <w:rPr>
                <w:rFonts w:ascii="Times New Roman" w:cs="Times New Roman" w:eastAsia="Times New Roman" w:hAnsi="Times New Roman"/>
                <w:sz w:val="15"/>
                <w:szCs w:val="15"/>
                <w:b w:val="1"/>
                <w:bCs w:val="1"/>
                <w:color w:val="231F20"/>
              </w:rPr>
              <w:t>Education</w:t>
            </w:r>
          </w:p>
        </w:tc>
        <w:tc>
          <w:tcPr>
            <w:tcW w:w="2200" w:type="dxa"/>
            <w:vAlign w:val="bottom"/>
            <w:tcBorders>
              <w:top w:val="single" w:sz="8" w:color="FDFDFC"/>
            </w:tcBorders>
            <w:shd w:val="clear" w:color="auto" w:fill="FDFDFC"/>
          </w:tcPr>
          <w:p>
            <w:pPr>
              <w:spacing w:after="0"/>
              <w:rPr>
                <w:sz w:val="17"/>
                <w:szCs w:val="17"/>
                <w:color w:val="auto"/>
              </w:rPr>
            </w:pPr>
          </w:p>
        </w:tc>
        <w:tc>
          <w:tcPr>
            <w:tcW w:w="800" w:type="dxa"/>
            <w:vAlign w:val="bottom"/>
            <w:tcBorders>
              <w:top w:val="single" w:sz="8" w:color="FDFDFC"/>
            </w:tcBorders>
            <w:shd w:val="clear" w:color="auto" w:fill="FDFDFC"/>
          </w:tcPr>
          <w:p>
            <w:pPr>
              <w:spacing w:after="0"/>
              <w:rPr>
                <w:sz w:val="17"/>
                <w:szCs w:val="17"/>
                <w:color w:val="auto"/>
              </w:rPr>
            </w:pPr>
          </w:p>
        </w:tc>
        <w:tc>
          <w:tcPr>
            <w:tcW w:w="1020" w:type="dxa"/>
            <w:vAlign w:val="bottom"/>
            <w:tcBorders>
              <w:top w:val="single" w:sz="8" w:color="FDFDFC"/>
            </w:tcBorders>
            <w:shd w:val="clear" w:color="auto" w:fill="FDFDFC"/>
          </w:tcPr>
          <w:p>
            <w:pPr>
              <w:spacing w:after="0"/>
              <w:rPr>
                <w:sz w:val="17"/>
                <w:szCs w:val="17"/>
                <w:color w:val="auto"/>
              </w:rPr>
            </w:pPr>
          </w:p>
        </w:tc>
        <w:tc>
          <w:tcPr>
            <w:tcW w:w="1040" w:type="dxa"/>
            <w:vAlign w:val="bottom"/>
            <w:tcBorders>
              <w:top w:val="single" w:sz="8" w:color="FDFDFC"/>
            </w:tcBorders>
            <w:shd w:val="clear" w:color="auto" w:fill="FDFDFC"/>
          </w:tcPr>
          <w:p>
            <w:pPr>
              <w:spacing w:after="0"/>
              <w:rPr>
                <w:sz w:val="17"/>
                <w:szCs w:val="17"/>
                <w:color w:val="auto"/>
              </w:rPr>
            </w:pPr>
          </w:p>
        </w:tc>
        <w:tc>
          <w:tcPr>
            <w:tcW w:w="1000" w:type="dxa"/>
            <w:vAlign w:val="bottom"/>
            <w:tcBorders>
              <w:top w:val="single" w:sz="8" w:color="231F20"/>
            </w:tcBorders>
            <w:shd w:val="clear" w:color="auto" w:fill="FDFDFC"/>
          </w:tcPr>
          <w:p>
            <w:pPr>
              <w:spacing w:after="0"/>
              <w:rPr>
                <w:sz w:val="17"/>
                <w:szCs w:val="17"/>
                <w:color w:val="auto"/>
              </w:rPr>
            </w:pPr>
          </w:p>
        </w:tc>
        <w:tc>
          <w:tcPr>
            <w:tcW w:w="80" w:type="dxa"/>
            <w:vAlign w:val="bottom"/>
            <w:tcBorders>
              <w:top w:val="single" w:sz="8" w:color="FDFDFC"/>
            </w:tcBorders>
            <w:shd w:val="clear" w:color="auto" w:fill="FDFDFC"/>
          </w:tcPr>
          <w:p>
            <w:pPr>
              <w:spacing w:after="0"/>
              <w:rPr>
                <w:sz w:val="17"/>
                <w:szCs w:val="17"/>
                <w:color w:val="auto"/>
              </w:rPr>
            </w:pPr>
          </w:p>
        </w:tc>
        <w:tc>
          <w:tcPr>
            <w:tcW w:w="1600" w:type="dxa"/>
            <w:vAlign w:val="bottom"/>
            <w:tcBorders>
              <w:top w:val="single" w:sz="8" w:color="231F20"/>
            </w:tcBorders>
            <w:shd w:val="clear" w:color="auto" w:fill="FDFDFC"/>
          </w:tcPr>
          <w:p>
            <w:pPr>
              <w:spacing w:after="0"/>
              <w:rPr>
                <w:sz w:val="17"/>
                <w:szCs w:val="17"/>
                <w:color w:val="auto"/>
              </w:rPr>
            </w:pPr>
          </w:p>
        </w:tc>
        <w:tc>
          <w:tcPr>
            <w:tcW w:w="100" w:type="dxa"/>
            <w:vAlign w:val="bottom"/>
            <w:tcBorders>
              <w:top w:val="single" w:sz="8" w:color="FDFDFC"/>
            </w:tcBorders>
            <w:shd w:val="clear" w:color="auto" w:fill="FDFDFC"/>
          </w:tcPr>
          <w:p>
            <w:pPr>
              <w:spacing w:after="0"/>
              <w:rPr>
                <w:sz w:val="17"/>
                <w:szCs w:val="17"/>
                <w:color w:val="auto"/>
              </w:rPr>
            </w:pPr>
          </w:p>
        </w:tc>
        <w:tc>
          <w:tcPr>
            <w:tcW w:w="860" w:type="dxa"/>
            <w:vAlign w:val="bottom"/>
            <w:tcBorders>
              <w:top w:val="single" w:sz="8" w:color="231F20"/>
            </w:tcBorders>
            <w:shd w:val="clear" w:color="auto" w:fill="FDFDFC"/>
          </w:tcPr>
          <w:p>
            <w:pPr>
              <w:spacing w:after="0"/>
              <w:rPr>
                <w:sz w:val="17"/>
                <w:szCs w:val="17"/>
                <w:color w:val="auto"/>
              </w:rPr>
            </w:pPr>
          </w:p>
        </w:tc>
      </w:tr>
      <w:tr>
        <w:trPr>
          <w:trHeight w:val="171"/>
        </w:trPr>
        <w:tc>
          <w:tcPr>
            <w:tcW w:w="1580" w:type="dxa"/>
            <w:vAlign w:val="bottom"/>
            <w:shd w:val="clear" w:color="auto" w:fill="D0EBF2"/>
          </w:tcPr>
          <w:p>
            <w:pPr>
              <w:spacing w:after="0" w:line="172" w:lineRule="exact"/>
              <w:rPr>
                <w:sz w:val="20"/>
                <w:szCs w:val="20"/>
                <w:color w:val="auto"/>
              </w:rPr>
            </w:pPr>
            <w:r>
              <w:rPr>
                <w:rFonts w:ascii="Times New Roman" w:cs="Times New Roman" w:eastAsia="Times New Roman" w:hAnsi="Times New Roman"/>
                <w:sz w:val="15"/>
                <w:szCs w:val="15"/>
                <w:color w:val="231F20"/>
              </w:rPr>
              <w:t>Astra Acquisition Corp.</w:t>
            </w:r>
          </w:p>
        </w:tc>
        <w:tc>
          <w:tcPr>
            <w:tcW w:w="2200" w:type="dxa"/>
            <w:vAlign w:val="bottom"/>
            <w:shd w:val="clear" w:color="auto" w:fill="D0EBF2"/>
          </w:tcPr>
          <w:p>
            <w:pPr>
              <w:ind w:left="60"/>
              <w:spacing w:after="0" w:line="172" w:lineRule="exact"/>
              <w:rPr>
                <w:sz w:val="20"/>
                <w:szCs w:val="20"/>
                <w:color w:val="auto"/>
              </w:rPr>
            </w:pPr>
            <w:r>
              <w:rPr>
                <w:rFonts w:ascii="Times New Roman" w:cs="Times New Roman" w:eastAsia="Times New Roman" w:hAnsi="Times New Roman"/>
                <w:sz w:val="15"/>
                <w:szCs w:val="15"/>
                <w:color w:val="231F20"/>
              </w:rPr>
              <w:t>Second-lien loan ($40,302 par,</w:t>
            </w:r>
          </w:p>
        </w:tc>
        <w:tc>
          <w:tcPr>
            <w:tcW w:w="800" w:type="dxa"/>
            <w:vAlign w:val="bottom"/>
            <w:shd w:val="clear" w:color="auto" w:fill="D0EBF2"/>
          </w:tcPr>
          <w:p>
            <w:pPr>
              <w:jc w:val="right"/>
              <w:spacing w:after="0" w:line="172" w:lineRule="exact"/>
              <w:rPr>
                <w:sz w:val="20"/>
                <w:szCs w:val="20"/>
                <w:color w:val="auto"/>
              </w:rPr>
            </w:pPr>
            <w:r>
              <w:rPr>
                <w:rFonts w:ascii="Times New Roman" w:cs="Times New Roman" w:eastAsia="Times New Roman" w:hAnsi="Times New Roman"/>
                <w:sz w:val="15"/>
                <w:szCs w:val="15"/>
                <w:color w:val="231F20"/>
              </w:rPr>
              <w:t>10/22/2021</w:t>
            </w:r>
          </w:p>
        </w:tc>
        <w:tc>
          <w:tcPr>
            <w:tcW w:w="1020" w:type="dxa"/>
            <w:vAlign w:val="bottom"/>
            <w:shd w:val="clear" w:color="auto" w:fill="D0EBF2"/>
          </w:tcPr>
          <w:p>
            <w:pPr>
              <w:jc w:val="right"/>
              <w:ind w:right="64"/>
              <w:spacing w:after="0" w:line="172" w:lineRule="exact"/>
              <w:rPr>
                <w:sz w:val="20"/>
                <w:szCs w:val="20"/>
                <w:color w:val="auto"/>
              </w:rPr>
            </w:pPr>
            <w:r>
              <w:rPr>
                <w:rFonts w:ascii="Times New Roman" w:cs="Times New Roman" w:eastAsia="Times New Roman" w:hAnsi="Times New Roman"/>
                <w:sz w:val="15"/>
                <w:szCs w:val="15"/>
                <w:color w:val="231F20"/>
              </w:rPr>
              <w:t>SOFR +</w:t>
            </w:r>
          </w:p>
        </w:tc>
        <w:tc>
          <w:tcPr>
            <w:tcW w:w="1040" w:type="dxa"/>
            <w:vAlign w:val="bottom"/>
            <w:shd w:val="clear" w:color="auto" w:fill="D0EBF2"/>
          </w:tcPr>
          <w:p>
            <w:pPr>
              <w:jc w:val="right"/>
              <w:ind w:right="64"/>
              <w:spacing w:after="0" w:line="172" w:lineRule="exact"/>
              <w:rPr>
                <w:sz w:val="20"/>
                <w:szCs w:val="20"/>
                <w:color w:val="auto"/>
              </w:rPr>
            </w:pPr>
            <w:r>
              <w:rPr>
                <w:rFonts w:ascii="Times New Roman" w:cs="Times New Roman" w:eastAsia="Times New Roman" w:hAnsi="Times New Roman"/>
                <w:sz w:val="15"/>
                <w:szCs w:val="15"/>
                <w:color w:val="231F20"/>
              </w:rPr>
              <w:t>13.47%</w:t>
            </w:r>
          </w:p>
        </w:tc>
        <w:tc>
          <w:tcPr>
            <w:tcW w:w="1000" w:type="dxa"/>
            <w:vAlign w:val="bottom"/>
            <w:shd w:val="clear" w:color="auto" w:fill="D0EBF2"/>
          </w:tcPr>
          <w:p>
            <w:pPr>
              <w:jc w:val="right"/>
              <w:spacing w:after="0" w:line="172" w:lineRule="exact"/>
              <w:rPr>
                <w:sz w:val="20"/>
                <w:szCs w:val="20"/>
                <w:color w:val="auto"/>
              </w:rPr>
            </w:pPr>
            <w:r>
              <w:rPr>
                <w:rFonts w:ascii="Times New Roman" w:cs="Times New Roman" w:eastAsia="Times New Roman" w:hAnsi="Times New Roman"/>
                <w:sz w:val="15"/>
                <w:szCs w:val="15"/>
                <w:color w:val="231F20"/>
              </w:rPr>
              <w:t>39,703</w:t>
            </w:r>
          </w:p>
        </w:tc>
        <w:tc>
          <w:tcPr>
            <w:tcW w:w="80" w:type="dxa"/>
            <w:vAlign w:val="bottom"/>
            <w:shd w:val="clear" w:color="auto" w:fill="D0EBF2"/>
          </w:tcPr>
          <w:p>
            <w:pPr>
              <w:spacing w:after="0"/>
              <w:rPr>
                <w:sz w:val="14"/>
                <w:szCs w:val="14"/>
                <w:color w:val="auto"/>
              </w:rPr>
            </w:pPr>
          </w:p>
        </w:tc>
        <w:tc>
          <w:tcPr>
            <w:tcW w:w="1600" w:type="dxa"/>
            <w:vAlign w:val="bottom"/>
            <w:shd w:val="clear" w:color="auto" w:fill="D0EBF2"/>
          </w:tcPr>
          <w:p>
            <w:pPr>
              <w:jc w:val="right"/>
              <w:spacing w:after="0" w:line="172" w:lineRule="exact"/>
              <w:rPr>
                <w:sz w:val="20"/>
                <w:szCs w:val="20"/>
                <w:color w:val="auto"/>
              </w:rPr>
            </w:pPr>
            <w:r>
              <w:rPr>
                <w:rFonts w:ascii="Times New Roman" w:cs="Times New Roman" w:eastAsia="Times New Roman" w:hAnsi="Times New Roman"/>
                <w:sz w:val="15"/>
                <w:szCs w:val="15"/>
                <w:color w:val="231F20"/>
              </w:rPr>
              <w:t>6,045</w:t>
            </w:r>
          </w:p>
        </w:tc>
        <w:tc>
          <w:tcPr>
            <w:tcW w:w="100" w:type="dxa"/>
            <w:vAlign w:val="bottom"/>
            <w:shd w:val="clear" w:color="auto" w:fill="D0EBF2"/>
          </w:tcPr>
          <w:p>
            <w:pPr>
              <w:spacing w:after="0"/>
              <w:rPr>
                <w:sz w:val="14"/>
                <w:szCs w:val="14"/>
                <w:color w:val="auto"/>
              </w:rPr>
            </w:pPr>
          </w:p>
        </w:tc>
        <w:tc>
          <w:tcPr>
            <w:tcW w:w="860" w:type="dxa"/>
            <w:vAlign w:val="bottom"/>
            <w:shd w:val="clear" w:color="auto" w:fill="D0EBF2"/>
          </w:tcPr>
          <w:p>
            <w:pPr>
              <w:jc w:val="right"/>
              <w:spacing w:after="0" w:line="172" w:lineRule="exact"/>
              <w:rPr>
                <w:sz w:val="20"/>
                <w:szCs w:val="20"/>
                <w:color w:val="auto"/>
              </w:rPr>
            </w:pPr>
            <w:r>
              <w:rPr>
                <w:rFonts w:ascii="Times New Roman" w:cs="Times New Roman" w:eastAsia="Times New Roman" w:hAnsi="Times New Roman"/>
                <w:sz w:val="15"/>
                <w:szCs w:val="15"/>
                <w:color w:val="231F20"/>
              </w:rPr>
              <w:t>0.4%</w:t>
            </w:r>
          </w:p>
        </w:tc>
      </w:tr>
      <w:tr>
        <w:trPr>
          <w:trHeight w:val="189"/>
        </w:trPr>
        <w:tc>
          <w:tcPr>
            <w:tcW w:w="1580" w:type="dxa"/>
            <w:vAlign w:val="bottom"/>
            <w:shd w:val="clear" w:color="auto" w:fill="D0EBF2"/>
          </w:tcPr>
          <w:p>
            <w:pPr>
              <w:spacing w:after="0"/>
              <w:rPr>
                <w:sz w:val="20"/>
                <w:szCs w:val="20"/>
                <w:color w:val="auto"/>
              </w:rPr>
            </w:pPr>
            <w:r>
              <w:rPr>
                <w:rFonts w:ascii="Times New Roman" w:cs="Times New Roman" w:eastAsia="Times New Roman" w:hAnsi="Times New Roman"/>
                <w:sz w:val="9"/>
                <w:szCs w:val="9"/>
                <w:color w:val="231F20"/>
              </w:rPr>
              <w:t>(3)(14)</w:t>
            </w:r>
          </w:p>
        </w:tc>
        <w:tc>
          <w:tcPr>
            <w:tcW w:w="2200" w:type="dxa"/>
            <w:vAlign w:val="bottom"/>
            <w:shd w:val="clear" w:color="auto" w:fill="D0EBF2"/>
          </w:tcPr>
          <w:p>
            <w:pPr>
              <w:ind w:left="60"/>
              <w:spacing w:after="0"/>
              <w:rPr>
                <w:sz w:val="20"/>
                <w:szCs w:val="20"/>
                <w:color w:val="auto"/>
              </w:rPr>
            </w:pPr>
            <w:r>
              <w:rPr>
                <w:rFonts w:ascii="Times New Roman" w:cs="Times New Roman" w:eastAsia="Times New Roman" w:hAnsi="Times New Roman"/>
                <w:sz w:val="15"/>
                <w:szCs w:val="15"/>
                <w:color w:val="231F20"/>
              </w:rPr>
              <w:t>due 10/2029)</w:t>
            </w:r>
          </w:p>
        </w:tc>
        <w:tc>
          <w:tcPr>
            <w:tcW w:w="800" w:type="dxa"/>
            <w:vAlign w:val="bottom"/>
            <w:shd w:val="clear" w:color="auto" w:fill="D0EBF2"/>
          </w:tcPr>
          <w:p>
            <w:pPr>
              <w:spacing w:after="0"/>
              <w:rPr>
                <w:sz w:val="16"/>
                <w:szCs w:val="16"/>
                <w:color w:val="auto"/>
              </w:rPr>
            </w:pPr>
          </w:p>
        </w:tc>
        <w:tc>
          <w:tcPr>
            <w:tcW w:w="1020" w:type="dxa"/>
            <w:vAlign w:val="bottom"/>
            <w:shd w:val="clear" w:color="auto" w:fill="D0EBF2"/>
          </w:tcPr>
          <w:p>
            <w:pPr>
              <w:jc w:val="right"/>
              <w:ind w:right="64"/>
              <w:spacing w:after="0"/>
              <w:rPr>
                <w:sz w:val="20"/>
                <w:szCs w:val="20"/>
                <w:color w:val="auto"/>
              </w:rPr>
            </w:pPr>
            <w:r>
              <w:rPr>
                <w:rFonts w:ascii="Times New Roman" w:cs="Times New Roman" w:eastAsia="Times New Roman" w:hAnsi="Times New Roman"/>
                <w:sz w:val="15"/>
                <w:szCs w:val="15"/>
                <w:color w:val="231F20"/>
              </w:rPr>
              <w:t>9.14%</w:t>
            </w:r>
          </w:p>
        </w:tc>
        <w:tc>
          <w:tcPr>
            <w:tcW w:w="1040" w:type="dxa"/>
            <w:vAlign w:val="bottom"/>
            <w:shd w:val="clear" w:color="auto" w:fill="D0EBF2"/>
          </w:tcPr>
          <w:p>
            <w:pPr>
              <w:spacing w:after="0"/>
              <w:rPr>
                <w:sz w:val="16"/>
                <w:szCs w:val="16"/>
                <w:color w:val="auto"/>
              </w:rPr>
            </w:pPr>
          </w:p>
        </w:tc>
        <w:tc>
          <w:tcPr>
            <w:tcW w:w="1000" w:type="dxa"/>
            <w:vAlign w:val="bottom"/>
            <w:shd w:val="clear" w:color="auto" w:fill="D0EBF2"/>
          </w:tcPr>
          <w:p>
            <w:pPr>
              <w:spacing w:after="0"/>
              <w:rPr>
                <w:sz w:val="16"/>
                <w:szCs w:val="16"/>
                <w:color w:val="auto"/>
              </w:rPr>
            </w:pPr>
          </w:p>
        </w:tc>
        <w:tc>
          <w:tcPr>
            <w:tcW w:w="80" w:type="dxa"/>
            <w:vAlign w:val="bottom"/>
            <w:shd w:val="clear" w:color="auto" w:fill="D0EBF2"/>
          </w:tcPr>
          <w:p>
            <w:pPr>
              <w:spacing w:after="0"/>
              <w:rPr>
                <w:sz w:val="16"/>
                <w:szCs w:val="16"/>
                <w:color w:val="auto"/>
              </w:rPr>
            </w:pPr>
          </w:p>
        </w:tc>
        <w:tc>
          <w:tcPr>
            <w:tcW w:w="1600" w:type="dxa"/>
            <w:vAlign w:val="bottom"/>
            <w:shd w:val="clear" w:color="auto" w:fill="D0EBF2"/>
          </w:tcPr>
          <w:p>
            <w:pPr>
              <w:spacing w:after="0"/>
              <w:rPr>
                <w:sz w:val="16"/>
                <w:szCs w:val="16"/>
                <w:color w:val="auto"/>
              </w:rPr>
            </w:pPr>
          </w:p>
        </w:tc>
        <w:tc>
          <w:tcPr>
            <w:tcW w:w="100" w:type="dxa"/>
            <w:vAlign w:val="bottom"/>
            <w:shd w:val="clear" w:color="auto" w:fill="D0EBF2"/>
          </w:tcPr>
          <w:p>
            <w:pPr>
              <w:spacing w:after="0"/>
              <w:rPr>
                <w:sz w:val="16"/>
                <w:szCs w:val="16"/>
                <w:color w:val="auto"/>
              </w:rPr>
            </w:pPr>
          </w:p>
        </w:tc>
        <w:tc>
          <w:tcPr>
            <w:tcW w:w="860" w:type="dxa"/>
            <w:vAlign w:val="bottom"/>
            <w:shd w:val="clear" w:color="auto" w:fill="D0EBF2"/>
          </w:tcPr>
          <w:p>
            <w:pPr>
              <w:spacing w:after="0"/>
              <w:rPr>
                <w:sz w:val="16"/>
                <w:szCs w:val="16"/>
                <w:color w:val="auto"/>
              </w:rPr>
            </w:pPr>
          </w:p>
        </w:tc>
      </w:tr>
      <w:tr>
        <w:trPr>
          <w:trHeight w:val="171"/>
        </w:trPr>
        <w:tc>
          <w:tcPr>
            <w:tcW w:w="1580" w:type="dxa"/>
            <w:vAlign w:val="bottom"/>
            <w:shd w:val="clear" w:color="auto" w:fill="FDFDFC"/>
          </w:tcPr>
          <w:p>
            <w:pPr>
              <w:spacing w:after="0" w:line="172" w:lineRule="exact"/>
              <w:rPr>
                <w:sz w:val="20"/>
                <w:szCs w:val="20"/>
                <w:color w:val="auto"/>
              </w:rPr>
            </w:pPr>
            <w:r>
              <w:rPr>
                <w:rFonts w:ascii="Times New Roman" w:cs="Times New Roman" w:eastAsia="Times New Roman" w:hAnsi="Times New Roman"/>
                <w:sz w:val="15"/>
                <w:szCs w:val="15"/>
                <w:color w:val="231F20"/>
              </w:rPr>
              <w:t>Destiny Solutions Parent</w:t>
            </w:r>
          </w:p>
        </w:tc>
        <w:tc>
          <w:tcPr>
            <w:tcW w:w="2200" w:type="dxa"/>
            <w:vAlign w:val="bottom"/>
            <w:shd w:val="clear" w:color="auto" w:fill="FDFDFC"/>
          </w:tcPr>
          <w:p>
            <w:pPr>
              <w:ind w:left="60"/>
              <w:spacing w:after="0" w:line="172" w:lineRule="exact"/>
              <w:rPr>
                <w:sz w:val="20"/>
                <w:szCs w:val="20"/>
                <w:color w:val="auto"/>
              </w:rPr>
            </w:pPr>
            <w:r>
              <w:rPr>
                <w:rFonts w:ascii="Times New Roman" w:cs="Times New Roman" w:eastAsia="Times New Roman" w:hAnsi="Times New Roman"/>
                <w:sz w:val="15"/>
                <w:szCs w:val="15"/>
                <w:color w:val="231F20"/>
              </w:rPr>
              <w:t>First-lien loan ($58,950 par, due</w:t>
            </w:r>
          </w:p>
        </w:tc>
        <w:tc>
          <w:tcPr>
            <w:tcW w:w="800" w:type="dxa"/>
            <w:vAlign w:val="bottom"/>
            <w:shd w:val="clear" w:color="auto" w:fill="FDFDFC"/>
          </w:tcPr>
          <w:p>
            <w:pPr>
              <w:jc w:val="right"/>
              <w:spacing w:after="0" w:line="172" w:lineRule="exact"/>
              <w:rPr>
                <w:sz w:val="20"/>
                <w:szCs w:val="20"/>
                <w:color w:val="auto"/>
              </w:rPr>
            </w:pPr>
            <w:r>
              <w:rPr>
                <w:rFonts w:ascii="Times New Roman" w:cs="Times New Roman" w:eastAsia="Times New Roman" w:hAnsi="Times New Roman"/>
                <w:sz w:val="15"/>
                <w:szCs w:val="15"/>
                <w:color w:val="231F20"/>
              </w:rPr>
              <w:t>6/8/2021</w:t>
            </w:r>
          </w:p>
        </w:tc>
        <w:tc>
          <w:tcPr>
            <w:tcW w:w="1020" w:type="dxa"/>
            <w:vAlign w:val="bottom"/>
            <w:shd w:val="clear" w:color="auto" w:fill="FDFDFC"/>
          </w:tcPr>
          <w:p>
            <w:pPr>
              <w:jc w:val="right"/>
              <w:ind w:right="64"/>
              <w:spacing w:after="0" w:line="172" w:lineRule="exact"/>
              <w:rPr>
                <w:sz w:val="20"/>
                <w:szCs w:val="20"/>
                <w:color w:val="auto"/>
              </w:rPr>
            </w:pPr>
            <w:r>
              <w:rPr>
                <w:rFonts w:ascii="Times New Roman" w:cs="Times New Roman" w:eastAsia="Times New Roman" w:hAnsi="Times New Roman"/>
                <w:sz w:val="15"/>
                <w:szCs w:val="15"/>
                <w:color w:val="231F20"/>
              </w:rPr>
              <w:t>SOFR +</w:t>
            </w:r>
          </w:p>
        </w:tc>
        <w:tc>
          <w:tcPr>
            <w:tcW w:w="1040" w:type="dxa"/>
            <w:vAlign w:val="bottom"/>
            <w:shd w:val="clear" w:color="auto" w:fill="FDFDFC"/>
          </w:tcPr>
          <w:p>
            <w:pPr>
              <w:jc w:val="right"/>
              <w:ind w:right="64"/>
              <w:spacing w:after="0" w:line="172" w:lineRule="exact"/>
              <w:rPr>
                <w:sz w:val="20"/>
                <w:szCs w:val="20"/>
                <w:color w:val="auto"/>
              </w:rPr>
            </w:pPr>
            <w:r>
              <w:rPr>
                <w:rFonts w:ascii="Times New Roman" w:cs="Times New Roman" w:eastAsia="Times New Roman" w:hAnsi="Times New Roman"/>
                <w:sz w:val="15"/>
                <w:szCs w:val="15"/>
                <w:color w:val="231F20"/>
              </w:rPr>
              <w:t>9.96%</w:t>
            </w:r>
          </w:p>
        </w:tc>
        <w:tc>
          <w:tcPr>
            <w:tcW w:w="1000" w:type="dxa"/>
            <w:vAlign w:val="bottom"/>
            <w:shd w:val="clear" w:color="auto" w:fill="FDFDFC"/>
          </w:tcPr>
          <w:p>
            <w:pPr>
              <w:jc w:val="right"/>
              <w:spacing w:after="0" w:line="172" w:lineRule="exact"/>
              <w:rPr>
                <w:sz w:val="20"/>
                <w:szCs w:val="20"/>
                <w:color w:val="auto"/>
              </w:rPr>
            </w:pPr>
            <w:r>
              <w:rPr>
                <w:rFonts w:ascii="Times New Roman" w:cs="Times New Roman" w:eastAsia="Times New Roman" w:hAnsi="Times New Roman"/>
                <w:sz w:val="15"/>
                <w:szCs w:val="15"/>
                <w:color w:val="231F20"/>
              </w:rPr>
              <w:t>58,535</w:t>
            </w:r>
          </w:p>
        </w:tc>
        <w:tc>
          <w:tcPr>
            <w:tcW w:w="1680" w:type="dxa"/>
            <w:vAlign w:val="bottom"/>
            <w:gridSpan w:val="2"/>
            <w:shd w:val="clear" w:color="auto" w:fill="FDFDFC"/>
          </w:tcPr>
          <w:p>
            <w:pPr>
              <w:jc w:val="right"/>
              <w:spacing w:after="0" w:line="172" w:lineRule="exact"/>
              <w:rPr>
                <w:sz w:val="20"/>
                <w:szCs w:val="20"/>
                <w:color w:val="auto"/>
              </w:rPr>
            </w:pPr>
            <w:r>
              <w:rPr>
                <w:rFonts w:ascii="Times New Roman" w:cs="Times New Roman" w:eastAsia="Times New Roman" w:hAnsi="Times New Roman"/>
                <w:sz w:val="15"/>
                <w:szCs w:val="15"/>
                <w:color w:val="231F20"/>
              </w:rPr>
              <w:t>58,950</w:t>
            </w:r>
          </w:p>
        </w:tc>
        <w:tc>
          <w:tcPr>
            <w:tcW w:w="960" w:type="dxa"/>
            <w:vAlign w:val="bottom"/>
            <w:gridSpan w:val="2"/>
            <w:shd w:val="clear" w:color="auto" w:fill="FDFDFC"/>
          </w:tcPr>
          <w:p>
            <w:pPr>
              <w:jc w:val="right"/>
              <w:spacing w:after="0" w:line="172" w:lineRule="exact"/>
              <w:rPr>
                <w:sz w:val="20"/>
                <w:szCs w:val="20"/>
                <w:color w:val="auto"/>
              </w:rPr>
            </w:pPr>
            <w:r>
              <w:rPr>
                <w:rFonts w:ascii="Times New Roman" w:cs="Times New Roman" w:eastAsia="Times New Roman" w:hAnsi="Times New Roman"/>
                <w:sz w:val="15"/>
                <w:szCs w:val="15"/>
                <w:color w:val="231F20"/>
              </w:rPr>
              <w:t>3.7%</w:t>
            </w:r>
          </w:p>
        </w:tc>
      </w:tr>
      <w:tr>
        <w:trPr>
          <w:trHeight w:val="189"/>
        </w:trPr>
        <w:tc>
          <w:tcPr>
            <w:tcW w:w="1580" w:type="dxa"/>
            <w:vAlign w:val="bottom"/>
            <w:shd w:val="clear" w:color="auto" w:fill="FDFDFC"/>
          </w:tcPr>
          <w:p>
            <w:pPr>
              <w:spacing w:after="0"/>
              <w:rPr>
                <w:sz w:val="20"/>
                <w:szCs w:val="20"/>
                <w:color w:val="auto"/>
              </w:rPr>
            </w:pPr>
            <w:r>
              <w:rPr>
                <w:rFonts w:ascii="Times New Roman" w:cs="Times New Roman" w:eastAsia="Times New Roman" w:hAnsi="Times New Roman"/>
                <w:sz w:val="15"/>
                <w:szCs w:val="15"/>
                <w:color w:val="231F20"/>
              </w:rPr>
              <w:t xml:space="preserve">Holding Company </w:t>
            </w:r>
            <w:r>
              <w:rPr>
                <w:rFonts w:ascii="Times New Roman" w:cs="Times New Roman" w:eastAsia="Times New Roman" w:hAnsi="Times New Roman"/>
                <w:sz w:val="9"/>
                <w:szCs w:val="9"/>
                <w:color w:val="231F20"/>
              </w:rPr>
              <w:t>(3)(5)</w:t>
            </w:r>
          </w:p>
        </w:tc>
        <w:tc>
          <w:tcPr>
            <w:tcW w:w="2200" w:type="dxa"/>
            <w:vAlign w:val="bottom"/>
            <w:shd w:val="clear" w:color="auto" w:fill="FDFDFC"/>
          </w:tcPr>
          <w:p>
            <w:pPr>
              <w:ind w:left="60"/>
              <w:spacing w:after="0"/>
              <w:rPr>
                <w:sz w:val="20"/>
                <w:szCs w:val="20"/>
                <w:color w:val="auto"/>
              </w:rPr>
            </w:pPr>
            <w:r>
              <w:rPr>
                <w:rFonts w:ascii="Times New Roman" w:cs="Times New Roman" w:eastAsia="Times New Roman" w:hAnsi="Times New Roman"/>
                <w:sz w:val="15"/>
                <w:szCs w:val="15"/>
                <w:color w:val="231F20"/>
              </w:rPr>
              <w:t>6/2026)</w:t>
            </w:r>
          </w:p>
        </w:tc>
        <w:tc>
          <w:tcPr>
            <w:tcW w:w="800" w:type="dxa"/>
            <w:vAlign w:val="bottom"/>
            <w:shd w:val="clear" w:color="auto" w:fill="FDFDFC"/>
          </w:tcPr>
          <w:p>
            <w:pPr>
              <w:spacing w:after="0"/>
              <w:rPr>
                <w:sz w:val="16"/>
                <w:szCs w:val="16"/>
                <w:color w:val="auto"/>
              </w:rPr>
            </w:pPr>
          </w:p>
        </w:tc>
        <w:tc>
          <w:tcPr>
            <w:tcW w:w="1020" w:type="dxa"/>
            <w:vAlign w:val="bottom"/>
            <w:shd w:val="clear" w:color="auto" w:fill="FDFDFC"/>
          </w:tcPr>
          <w:p>
            <w:pPr>
              <w:jc w:val="right"/>
              <w:ind w:right="64"/>
              <w:spacing w:after="0"/>
              <w:rPr>
                <w:sz w:val="20"/>
                <w:szCs w:val="20"/>
                <w:color w:val="auto"/>
              </w:rPr>
            </w:pPr>
            <w:r>
              <w:rPr>
                <w:rFonts w:ascii="Times New Roman" w:cs="Times New Roman" w:eastAsia="Times New Roman" w:hAnsi="Times New Roman"/>
                <w:sz w:val="15"/>
                <w:szCs w:val="15"/>
                <w:color w:val="231F20"/>
              </w:rPr>
              <w:t>5.60%</w:t>
            </w:r>
          </w:p>
        </w:tc>
        <w:tc>
          <w:tcPr>
            <w:tcW w:w="1040" w:type="dxa"/>
            <w:vAlign w:val="bottom"/>
            <w:shd w:val="clear" w:color="auto" w:fill="FDFDFC"/>
          </w:tcPr>
          <w:p>
            <w:pPr>
              <w:spacing w:after="0"/>
              <w:rPr>
                <w:sz w:val="16"/>
                <w:szCs w:val="16"/>
                <w:color w:val="auto"/>
              </w:rPr>
            </w:pPr>
          </w:p>
        </w:tc>
        <w:tc>
          <w:tcPr>
            <w:tcW w:w="1000" w:type="dxa"/>
            <w:vAlign w:val="bottom"/>
            <w:shd w:val="clear" w:color="auto" w:fill="FDFDFC"/>
          </w:tcPr>
          <w:p>
            <w:pPr>
              <w:spacing w:after="0"/>
              <w:rPr>
                <w:sz w:val="16"/>
                <w:szCs w:val="16"/>
                <w:color w:val="auto"/>
              </w:rPr>
            </w:pPr>
          </w:p>
        </w:tc>
        <w:tc>
          <w:tcPr>
            <w:tcW w:w="80" w:type="dxa"/>
            <w:vAlign w:val="bottom"/>
            <w:shd w:val="clear" w:color="auto" w:fill="FDFDFC"/>
          </w:tcPr>
          <w:p>
            <w:pPr>
              <w:spacing w:after="0"/>
              <w:rPr>
                <w:sz w:val="16"/>
                <w:szCs w:val="16"/>
                <w:color w:val="auto"/>
              </w:rPr>
            </w:pPr>
          </w:p>
        </w:tc>
        <w:tc>
          <w:tcPr>
            <w:tcW w:w="1600" w:type="dxa"/>
            <w:vAlign w:val="bottom"/>
            <w:shd w:val="clear" w:color="auto" w:fill="FDFDFC"/>
          </w:tcPr>
          <w:p>
            <w:pPr>
              <w:spacing w:after="0"/>
              <w:rPr>
                <w:sz w:val="16"/>
                <w:szCs w:val="16"/>
                <w:color w:val="auto"/>
              </w:rPr>
            </w:pPr>
          </w:p>
        </w:tc>
        <w:tc>
          <w:tcPr>
            <w:tcW w:w="100" w:type="dxa"/>
            <w:vAlign w:val="bottom"/>
            <w:shd w:val="clear" w:color="auto" w:fill="FDFDFC"/>
          </w:tcPr>
          <w:p>
            <w:pPr>
              <w:spacing w:after="0"/>
              <w:rPr>
                <w:sz w:val="16"/>
                <w:szCs w:val="16"/>
                <w:color w:val="auto"/>
              </w:rPr>
            </w:pPr>
          </w:p>
        </w:tc>
        <w:tc>
          <w:tcPr>
            <w:tcW w:w="860" w:type="dxa"/>
            <w:vAlign w:val="bottom"/>
            <w:shd w:val="clear" w:color="auto" w:fill="FDFDFC"/>
          </w:tcPr>
          <w:p>
            <w:pPr>
              <w:spacing w:after="0"/>
              <w:rPr>
                <w:sz w:val="16"/>
                <w:szCs w:val="16"/>
                <w:color w:val="auto"/>
              </w:rPr>
            </w:pPr>
          </w:p>
        </w:tc>
      </w:tr>
      <w:tr>
        <w:trPr>
          <w:trHeight w:val="171"/>
        </w:trPr>
        <w:tc>
          <w:tcPr>
            <w:tcW w:w="1580" w:type="dxa"/>
            <w:vAlign w:val="bottom"/>
            <w:shd w:val="clear" w:color="auto" w:fill="D0EBF2"/>
          </w:tcPr>
          <w:p>
            <w:pPr>
              <w:spacing w:after="0" w:line="172" w:lineRule="exact"/>
              <w:rPr>
                <w:sz w:val="20"/>
                <w:szCs w:val="20"/>
                <w:color w:val="auto"/>
              </w:rPr>
            </w:pPr>
            <w:r>
              <w:rPr>
                <w:rFonts w:ascii="Times New Roman" w:cs="Times New Roman" w:eastAsia="Times New Roman" w:hAnsi="Times New Roman"/>
                <w:sz w:val="15"/>
                <w:szCs w:val="15"/>
                <w:color w:val="231F20"/>
              </w:rPr>
              <w:t xml:space="preserve">EMS Linq, Inc. </w:t>
            </w:r>
            <w:r>
              <w:rPr>
                <w:rFonts w:ascii="Times New Roman" w:cs="Times New Roman" w:eastAsia="Times New Roman" w:hAnsi="Times New Roman"/>
                <w:sz w:val="9"/>
                <w:szCs w:val="9"/>
                <w:color w:val="231F20"/>
              </w:rPr>
              <w:t>(3)</w:t>
            </w:r>
          </w:p>
        </w:tc>
        <w:tc>
          <w:tcPr>
            <w:tcW w:w="2200" w:type="dxa"/>
            <w:vAlign w:val="bottom"/>
            <w:shd w:val="clear" w:color="auto" w:fill="D0EBF2"/>
          </w:tcPr>
          <w:p>
            <w:pPr>
              <w:ind w:left="60"/>
              <w:spacing w:after="0" w:line="172" w:lineRule="exact"/>
              <w:rPr>
                <w:sz w:val="20"/>
                <w:szCs w:val="20"/>
                <w:color w:val="auto"/>
              </w:rPr>
            </w:pPr>
            <w:r>
              <w:rPr>
                <w:rFonts w:ascii="Times New Roman" w:cs="Times New Roman" w:eastAsia="Times New Roman" w:hAnsi="Times New Roman"/>
                <w:sz w:val="15"/>
                <w:szCs w:val="15"/>
                <w:color w:val="231F20"/>
              </w:rPr>
              <w:t>First-lien loan ($56,216 par, due</w:t>
            </w:r>
          </w:p>
        </w:tc>
        <w:tc>
          <w:tcPr>
            <w:tcW w:w="800" w:type="dxa"/>
            <w:vAlign w:val="bottom"/>
            <w:shd w:val="clear" w:color="auto" w:fill="D0EBF2"/>
          </w:tcPr>
          <w:p>
            <w:pPr>
              <w:jc w:val="right"/>
              <w:spacing w:after="0" w:line="172" w:lineRule="exact"/>
              <w:rPr>
                <w:sz w:val="20"/>
                <w:szCs w:val="20"/>
                <w:color w:val="auto"/>
              </w:rPr>
            </w:pPr>
            <w:r>
              <w:rPr>
                <w:rFonts w:ascii="Times New Roman" w:cs="Times New Roman" w:eastAsia="Times New Roman" w:hAnsi="Times New Roman"/>
                <w:sz w:val="15"/>
                <w:szCs w:val="15"/>
                <w:color w:val="231F20"/>
              </w:rPr>
              <w:t>12/22/2021</w:t>
            </w:r>
          </w:p>
        </w:tc>
        <w:tc>
          <w:tcPr>
            <w:tcW w:w="1020" w:type="dxa"/>
            <w:vAlign w:val="bottom"/>
            <w:shd w:val="clear" w:color="auto" w:fill="D0EBF2"/>
          </w:tcPr>
          <w:p>
            <w:pPr>
              <w:jc w:val="right"/>
              <w:ind w:right="64"/>
              <w:spacing w:after="0" w:line="172" w:lineRule="exact"/>
              <w:rPr>
                <w:sz w:val="20"/>
                <w:szCs w:val="20"/>
                <w:color w:val="auto"/>
              </w:rPr>
            </w:pPr>
            <w:r>
              <w:rPr>
                <w:rFonts w:ascii="Times New Roman" w:cs="Times New Roman" w:eastAsia="Times New Roman" w:hAnsi="Times New Roman"/>
                <w:sz w:val="15"/>
                <w:szCs w:val="15"/>
                <w:color w:val="231F20"/>
              </w:rPr>
              <w:t>SOFR +</w:t>
            </w:r>
          </w:p>
        </w:tc>
        <w:tc>
          <w:tcPr>
            <w:tcW w:w="1040" w:type="dxa"/>
            <w:vAlign w:val="bottom"/>
            <w:shd w:val="clear" w:color="auto" w:fill="D0EBF2"/>
          </w:tcPr>
          <w:p>
            <w:pPr>
              <w:jc w:val="right"/>
              <w:ind w:right="64"/>
              <w:spacing w:after="0" w:line="172" w:lineRule="exact"/>
              <w:rPr>
                <w:sz w:val="20"/>
                <w:szCs w:val="20"/>
                <w:color w:val="auto"/>
              </w:rPr>
            </w:pPr>
            <w:r>
              <w:rPr>
                <w:rFonts w:ascii="Times New Roman" w:cs="Times New Roman" w:eastAsia="Times New Roman" w:hAnsi="Times New Roman"/>
                <w:sz w:val="15"/>
                <w:szCs w:val="15"/>
                <w:color w:val="231F20"/>
              </w:rPr>
              <w:t>10.86%</w:t>
            </w:r>
          </w:p>
        </w:tc>
        <w:tc>
          <w:tcPr>
            <w:tcW w:w="1000" w:type="dxa"/>
            <w:vAlign w:val="bottom"/>
            <w:shd w:val="clear" w:color="auto" w:fill="D0EBF2"/>
          </w:tcPr>
          <w:p>
            <w:pPr>
              <w:jc w:val="right"/>
              <w:spacing w:after="0" w:line="172" w:lineRule="exact"/>
              <w:rPr>
                <w:sz w:val="20"/>
                <w:szCs w:val="20"/>
                <w:color w:val="auto"/>
              </w:rPr>
            </w:pPr>
            <w:r>
              <w:rPr>
                <w:rFonts w:ascii="Times New Roman" w:cs="Times New Roman" w:eastAsia="Times New Roman" w:hAnsi="Times New Roman"/>
                <w:sz w:val="15"/>
                <w:szCs w:val="15"/>
                <w:color w:val="231F20"/>
              </w:rPr>
              <w:t>55,578</w:t>
            </w:r>
          </w:p>
        </w:tc>
        <w:tc>
          <w:tcPr>
            <w:tcW w:w="1680" w:type="dxa"/>
            <w:vAlign w:val="bottom"/>
            <w:gridSpan w:val="2"/>
            <w:shd w:val="clear" w:color="auto" w:fill="D0EBF2"/>
          </w:tcPr>
          <w:p>
            <w:pPr>
              <w:jc w:val="right"/>
              <w:spacing w:after="0" w:line="172" w:lineRule="exact"/>
              <w:rPr>
                <w:sz w:val="20"/>
                <w:szCs w:val="20"/>
                <w:color w:val="auto"/>
              </w:rPr>
            </w:pPr>
            <w:r>
              <w:rPr>
                <w:rFonts w:ascii="Times New Roman" w:cs="Times New Roman" w:eastAsia="Times New Roman" w:hAnsi="Times New Roman"/>
                <w:sz w:val="15"/>
                <w:szCs w:val="15"/>
                <w:color w:val="231F20"/>
              </w:rPr>
              <w:t>55,935</w:t>
            </w:r>
          </w:p>
        </w:tc>
        <w:tc>
          <w:tcPr>
            <w:tcW w:w="960" w:type="dxa"/>
            <w:vAlign w:val="bottom"/>
            <w:gridSpan w:val="2"/>
            <w:shd w:val="clear" w:color="auto" w:fill="D0EBF2"/>
          </w:tcPr>
          <w:p>
            <w:pPr>
              <w:jc w:val="right"/>
              <w:spacing w:after="0" w:line="172" w:lineRule="exact"/>
              <w:rPr>
                <w:sz w:val="20"/>
                <w:szCs w:val="20"/>
                <w:color w:val="auto"/>
              </w:rPr>
            </w:pPr>
            <w:r>
              <w:rPr>
                <w:rFonts w:ascii="Times New Roman" w:cs="Times New Roman" w:eastAsia="Times New Roman" w:hAnsi="Times New Roman"/>
                <w:sz w:val="15"/>
                <w:szCs w:val="15"/>
                <w:color w:val="231F20"/>
              </w:rPr>
              <w:t>3.5%</w:t>
            </w:r>
          </w:p>
        </w:tc>
      </w:tr>
      <w:tr>
        <w:trPr>
          <w:trHeight w:val="189"/>
        </w:trPr>
        <w:tc>
          <w:tcPr>
            <w:tcW w:w="1580" w:type="dxa"/>
            <w:vAlign w:val="bottom"/>
            <w:shd w:val="clear" w:color="auto" w:fill="D0EBF2"/>
          </w:tcPr>
          <w:p>
            <w:pPr>
              <w:spacing w:after="0"/>
              <w:rPr>
                <w:sz w:val="16"/>
                <w:szCs w:val="16"/>
                <w:color w:val="auto"/>
              </w:rPr>
            </w:pPr>
          </w:p>
        </w:tc>
        <w:tc>
          <w:tcPr>
            <w:tcW w:w="2200" w:type="dxa"/>
            <w:vAlign w:val="bottom"/>
            <w:shd w:val="clear" w:color="auto" w:fill="D0EBF2"/>
          </w:tcPr>
          <w:p>
            <w:pPr>
              <w:ind w:left="60"/>
              <w:spacing w:after="0"/>
              <w:rPr>
                <w:sz w:val="20"/>
                <w:szCs w:val="20"/>
                <w:color w:val="auto"/>
              </w:rPr>
            </w:pPr>
            <w:r>
              <w:rPr>
                <w:rFonts w:ascii="Times New Roman" w:cs="Times New Roman" w:eastAsia="Times New Roman" w:hAnsi="Times New Roman"/>
                <w:sz w:val="15"/>
                <w:szCs w:val="15"/>
                <w:color w:val="231F20"/>
              </w:rPr>
              <w:t>12/2027)</w:t>
            </w:r>
          </w:p>
        </w:tc>
        <w:tc>
          <w:tcPr>
            <w:tcW w:w="800" w:type="dxa"/>
            <w:vAlign w:val="bottom"/>
            <w:shd w:val="clear" w:color="auto" w:fill="D0EBF2"/>
          </w:tcPr>
          <w:p>
            <w:pPr>
              <w:spacing w:after="0"/>
              <w:rPr>
                <w:sz w:val="16"/>
                <w:szCs w:val="16"/>
                <w:color w:val="auto"/>
              </w:rPr>
            </w:pPr>
          </w:p>
        </w:tc>
        <w:tc>
          <w:tcPr>
            <w:tcW w:w="1020" w:type="dxa"/>
            <w:vAlign w:val="bottom"/>
            <w:shd w:val="clear" w:color="auto" w:fill="D0EBF2"/>
          </w:tcPr>
          <w:p>
            <w:pPr>
              <w:jc w:val="right"/>
              <w:ind w:right="64"/>
              <w:spacing w:after="0"/>
              <w:rPr>
                <w:sz w:val="20"/>
                <w:szCs w:val="20"/>
                <w:color w:val="auto"/>
              </w:rPr>
            </w:pPr>
            <w:r>
              <w:rPr>
                <w:rFonts w:ascii="Times New Roman" w:cs="Times New Roman" w:eastAsia="Times New Roman" w:hAnsi="Times New Roman"/>
                <w:sz w:val="15"/>
                <w:szCs w:val="15"/>
                <w:color w:val="231F20"/>
              </w:rPr>
              <w:t>6.35%</w:t>
            </w:r>
          </w:p>
        </w:tc>
        <w:tc>
          <w:tcPr>
            <w:tcW w:w="1040" w:type="dxa"/>
            <w:vAlign w:val="bottom"/>
            <w:shd w:val="clear" w:color="auto" w:fill="D0EBF2"/>
          </w:tcPr>
          <w:p>
            <w:pPr>
              <w:spacing w:after="0"/>
              <w:rPr>
                <w:sz w:val="16"/>
                <w:szCs w:val="16"/>
                <w:color w:val="auto"/>
              </w:rPr>
            </w:pPr>
          </w:p>
        </w:tc>
        <w:tc>
          <w:tcPr>
            <w:tcW w:w="1000" w:type="dxa"/>
            <w:vAlign w:val="bottom"/>
            <w:shd w:val="clear" w:color="auto" w:fill="D0EBF2"/>
          </w:tcPr>
          <w:p>
            <w:pPr>
              <w:spacing w:after="0"/>
              <w:rPr>
                <w:sz w:val="16"/>
                <w:szCs w:val="16"/>
                <w:color w:val="auto"/>
              </w:rPr>
            </w:pPr>
          </w:p>
        </w:tc>
        <w:tc>
          <w:tcPr>
            <w:tcW w:w="80" w:type="dxa"/>
            <w:vAlign w:val="bottom"/>
            <w:shd w:val="clear" w:color="auto" w:fill="D0EBF2"/>
          </w:tcPr>
          <w:p>
            <w:pPr>
              <w:spacing w:after="0"/>
              <w:rPr>
                <w:sz w:val="16"/>
                <w:szCs w:val="16"/>
                <w:color w:val="auto"/>
              </w:rPr>
            </w:pPr>
          </w:p>
        </w:tc>
        <w:tc>
          <w:tcPr>
            <w:tcW w:w="1600" w:type="dxa"/>
            <w:vAlign w:val="bottom"/>
            <w:shd w:val="clear" w:color="auto" w:fill="D0EBF2"/>
          </w:tcPr>
          <w:p>
            <w:pPr>
              <w:spacing w:after="0"/>
              <w:rPr>
                <w:sz w:val="16"/>
                <w:szCs w:val="16"/>
                <w:color w:val="auto"/>
              </w:rPr>
            </w:pPr>
          </w:p>
        </w:tc>
        <w:tc>
          <w:tcPr>
            <w:tcW w:w="100" w:type="dxa"/>
            <w:vAlign w:val="bottom"/>
            <w:shd w:val="clear" w:color="auto" w:fill="D0EBF2"/>
          </w:tcPr>
          <w:p>
            <w:pPr>
              <w:spacing w:after="0"/>
              <w:rPr>
                <w:sz w:val="16"/>
                <w:szCs w:val="16"/>
                <w:color w:val="auto"/>
              </w:rPr>
            </w:pPr>
          </w:p>
        </w:tc>
        <w:tc>
          <w:tcPr>
            <w:tcW w:w="860" w:type="dxa"/>
            <w:vAlign w:val="bottom"/>
            <w:shd w:val="clear" w:color="auto" w:fill="D0EBF2"/>
          </w:tcPr>
          <w:p>
            <w:pPr>
              <w:spacing w:after="0"/>
              <w:rPr>
                <w:sz w:val="16"/>
                <w:szCs w:val="16"/>
                <w:color w:val="auto"/>
              </w:rPr>
            </w:pPr>
          </w:p>
        </w:tc>
      </w:tr>
      <w:tr>
        <w:trPr>
          <w:trHeight w:val="171"/>
        </w:trPr>
        <w:tc>
          <w:tcPr>
            <w:tcW w:w="1580" w:type="dxa"/>
            <w:vAlign w:val="bottom"/>
            <w:shd w:val="clear" w:color="auto" w:fill="FDFDFC"/>
          </w:tcPr>
          <w:p>
            <w:pPr>
              <w:spacing w:after="0"/>
              <w:rPr>
                <w:sz w:val="14"/>
                <w:szCs w:val="14"/>
                <w:color w:val="auto"/>
              </w:rPr>
            </w:pPr>
          </w:p>
        </w:tc>
        <w:tc>
          <w:tcPr>
            <w:tcW w:w="2200" w:type="dxa"/>
            <w:vAlign w:val="bottom"/>
            <w:shd w:val="clear" w:color="auto" w:fill="FDFDFC"/>
          </w:tcPr>
          <w:p>
            <w:pPr>
              <w:ind w:left="60"/>
              <w:spacing w:after="0" w:line="172" w:lineRule="exact"/>
              <w:rPr>
                <w:sz w:val="20"/>
                <w:szCs w:val="20"/>
                <w:color w:val="auto"/>
              </w:rPr>
            </w:pPr>
            <w:r>
              <w:rPr>
                <w:rFonts w:ascii="Times New Roman" w:cs="Times New Roman" w:eastAsia="Times New Roman" w:hAnsi="Times New Roman"/>
                <w:sz w:val="15"/>
                <w:szCs w:val="15"/>
                <w:color w:val="231F20"/>
              </w:rPr>
              <w:t>First-lien revolving loan ($4,216</w:t>
            </w:r>
          </w:p>
        </w:tc>
        <w:tc>
          <w:tcPr>
            <w:tcW w:w="800" w:type="dxa"/>
            <w:vAlign w:val="bottom"/>
            <w:shd w:val="clear" w:color="auto" w:fill="FDFDFC"/>
          </w:tcPr>
          <w:p>
            <w:pPr>
              <w:jc w:val="right"/>
              <w:spacing w:after="0" w:line="172" w:lineRule="exact"/>
              <w:rPr>
                <w:sz w:val="20"/>
                <w:szCs w:val="20"/>
                <w:color w:val="auto"/>
              </w:rPr>
            </w:pPr>
            <w:r>
              <w:rPr>
                <w:rFonts w:ascii="Times New Roman" w:cs="Times New Roman" w:eastAsia="Times New Roman" w:hAnsi="Times New Roman"/>
                <w:sz w:val="15"/>
                <w:szCs w:val="15"/>
                <w:color w:val="231F20"/>
              </w:rPr>
              <w:t>12/22/2021</w:t>
            </w:r>
          </w:p>
        </w:tc>
        <w:tc>
          <w:tcPr>
            <w:tcW w:w="1020" w:type="dxa"/>
            <w:vAlign w:val="bottom"/>
            <w:shd w:val="clear" w:color="auto" w:fill="FDFDFC"/>
          </w:tcPr>
          <w:p>
            <w:pPr>
              <w:jc w:val="right"/>
              <w:ind w:right="64"/>
              <w:spacing w:after="0" w:line="172" w:lineRule="exact"/>
              <w:rPr>
                <w:sz w:val="20"/>
                <w:szCs w:val="20"/>
                <w:color w:val="auto"/>
              </w:rPr>
            </w:pPr>
            <w:r>
              <w:rPr>
                <w:rFonts w:ascii="Times New Roman" w:cs="Times New Roman" w:eastAsia="Times New Roman" w:hAnsi="Times New Roman"/>
                <w:sz w:val="15"/>
                <w:szCs w:val="15"/>
                <w:color w:val="231F20"/>
              </w:rPr>
              <w:t>SOFR +</w:t>
            </w:r>
          </w:p>
        </w:tc>
        <w:tc>
          <w:tcPr>
            <w:tcW w:w="1040" w:type="dxa"/>
            <w:vAlign w:val="bottom"/>
            <w:shd w:val="clear" w:color="auto" w:fill="FDFDFC"/>
          </w:tcPr>
          <w:p>
            <w:pPr>
              <w:jc w:val="right"/>
              <w:ind w:right="64"/>
              <w:spacing w:after="0" w:line="172" w:lineRule="exact"/>
              <w:rPr>
                <w:sz w:val="20"/>
                <w:szCs w:val="20"/>
                <w:color w:val="auto"/>
              </w:rPr>
            </w:pPr>
            <w:r>
              <w:rPr>
                <w:rFonts w:ascii="Times New Roman" w:cs="Times New Roman" w:eastAsia="Times New Roman" w:hAnsi="Times New Roman"/>
                <w:sz w:val="15"/>
                <w:szCs w:val="15"/>
                <w:color w:val="231F20"/>
              </w:rPr>
              <w:t>10.81%</w:t>
            </w:r>
          </w:p>
        </w:tc>
        <w:tc>
          <w:tcPr>
            <w:tcW w:w="1000" w:type="dxa"/>
            <w:vAlign w:val="bottom"/>
            <w:shd w:val="clear" w:color="auto" w:fill="FDFDFC"/>
          </w:tcPr>
          <w:p>
            <w:pPr>
              <w:jc w:val="right"/>
              <w:spacing w:after="0" w:line="172" w:lineRule="exact"/>
              <w:rPr>
                <w:sz w:val="20"/>
                <w:szCs w:val="20"/>
                <w:color w:val="auto"/>
              </w:rPr>
            </w:pPr>
            <w:r>
              <w:rPr>
                <w:rFonts w:ascii="Times New Roman" w:cs="Times New Roman" w:eastAsia="Times New Roman" w:hAnsi="Times New Roman"/>
                <w:sz w:val="15"/>
                <w:szCs w:val="15"/>
                <w:color w:val="231F20"/>
              </w:rPr>
              <w:t>4,129</w:t>
            </w:r>
          </w:p>
        </w:tc>
        <w:tc>
          <w:tcPr>
            <w:tcW w:w="1680" w:type="dxa"/>
            <w:vAlign w:val="bottom"/>
            <w:gridSpan w:val="2"/>
            <w:shd w:val="clear" w:color="auto" w:fill="FDFDFC"/>
          </w:tcPr>
          <w:p>
            <w:pPr>
              <w:jc w:val="right"/>
              <w:spacing w:after="0" w:line="172" w:lineRule="exact"/>
              <w:rPr>
                <w:sz w:val="20"/>
                <w:szCs w:val="20"/>
                <w:color w:val="auto"/>
              </w:rPr>
            </w:pPr>
            <w:r>
              <w:rPr>
                <w:rFonts w:ascii="Times New Roman" w:cs="Times New Roman" w:eastAsia="Times New Roman" w:hAnsi="Times New Roman"/>
                <w:sz w:val="15"/>
                <w:szCs w:val="15"/>
                <w:color w:val="231F20"/>
              </w:rPr>
              <w:t>4,172</w:t>
            </w:r>
          </w:p>
        </w:tc>
        <w:tc>
          <w:tcPr>
            <w:tcW w:w="960" w:type="dxa"/>
            <w:vAlign w:val="bottom"/>
            <w:gridSpan w:val="2"/>
            <w:shd w:val="clear" w:color="auto" w:fill="FDFDFC"/>
          </w:tcPr>
          <w:p>
            <w:pPr>
              <w:jc w:val="right"/>
              <w:spacing w:after="0" w:line="172" w:lineRule="exact"/>
              <w:rPr>
                <w:sz w:val="20"/>
                <w:szCs w:val="20"/>
                <w:color w:val="auto"/>
              </w:rPr>
            </w:pPr>
            <w:r>
              <w:rPr>
                <w:rFonts w:ascii="Times New Roman" w:cs="Times New Roman" w:eastAsia="Times New Roman" w:hAnsi="Times New Roman"/>
                <w:sz w:val="15"/>
                <w:szCs w:val="15"/>
                <w:color w:val="231F20"/>
              </w:rPr>
              <w:t>0.3%</w:t>
            </w:r>
          </w:p>
        </w:tc>
      </w:tr>
      <w:tr>
        <w:trPr>
          <w:trHeight w:val="189"/>
        </w:trPr>
        <w:tc>
          <w:tcPr>
            <w:tcW w:w="1580" w:type="dxa"/>
            <w:vAlign w:val="bottom"/>
            <w:shd w:val="clear" w:color="auto" w:fill="FDFDFC"/>
          </w:tcPr>
          <w:p>
            <w:pPr>
              <w:spacing w:after="0"/>
              <w:rPr>
                <w:sz w:val="16"/>
                <w:szCs w:val="16"/>
                <w:color w:val="auto"/>
              </w:rPr>
            </w:pPr>
          </w:p>
        </w:tc>
        <w:tc>
          <w:tcPr>
            <w:tcW w:w="2200" w:type="dxa"/>
            <w:vAlign w:val="bottom"/>
            <w:shd w:val="clear" w:color="auto" w:fill="FDFDFC"/>
          </w:tcPr>
          <w:p>
            <w:pPr>
              <w:ind w:left="60"/>
              <w:spacing w:after="0"/>
              <w:rPr>
                <w:sz w:val="20"/>
                <w:szCs w:val="20"/>
                <w:color w:val="auto"/>
              </w:rPr>
            </w:pPr>
            <w:r>
              <w:rPr>
                <w:rFonts w:ascii="Times New Roman" w:cs="Times New Roman" w:eastAsia="Times New Roman" w:hAnsi="Times New Roman"/>
                <w:sz w:val="15"/>
                <w:szCs w:val="15"/>
                <w:color w:val="231F20"/>
              </w:rPr>
              <w:t>par, due 12/2027)</w:t>
            </w:r>
          </w:p>
        </w:tc>
        <w:tc>
          <w:tcPr>
            <w:tcW w:w="800" w:type="dxa"/>
            <w:vAlign w:val="bottom"/>
            <w:shd w:val="clear" w:color="auto" w:fill="FDFDFC"/>
          </w:tcPr>
          <w:p>
            <w:pPr>
              <w:spacing w:after="0"/>
              <w:rPr>
                <w:sz w:val="16"/>
                <w:szCs w:val="16"/>
                <w:color w:val="auto"/>
              </w:rPr>
            </w:pPr>
          </w:p>
        </w:tc>
        <w:tc>
          <w:tcPr>
            <w:tcW w:w="1020" w:type="dxa"/>
            <w:vAlign w:val="bottom"/>
            <w:shd w:val="clear" w:color="auto" w:fill="FDFDFC"/>
          </w:tcPr>
          <w:p>
            <w:pPr>
              <w:jc w:val="right"/>
              <w:ind w:right="64"/>
              <w:spacing w:after="0"/>
              <w:rPr>
                <w:sz w:val="20"/>
                <w:szCs w:val="20"/>
                <w:color w:val="auto"/>
              </w:rPr>
            </w:pPr>
            <w:r>
              <w:rPr>
                <w:rFonts w:ascii="Times New Roman" w:cs="Times New Roman" w:eastAsia="Times New Roman" w:hAnsi="Times New Roman"/>
                <w:sz w:val="15"/>
                <w:szCs w:val="15"/>
                <w:color w:val="231F20"/>
              </w:rPr>
              <w:t>6.35%</w:t>
            </w:r>
          </w:p>
        </w:tc>
        <w:tc>
          <w:tcPr>
            <w:tcW w:w="1040" w:type="dxa"/>
            <w:vAlign w:val="bottom"/>
            <w:shd w:val="clear" w:color="auto" w:fill="FDFDFC"/>
          </w:tcPr>
          <w:p>
            <w:pPr>
              <w:spacing w:after="0"/>
              <w:rPr>
                <w:sz w:val="16"/>
                <w:szCs w:val="16"/>
                <w:color w:val="auto"/>
              </w:rPr>
            </w:pPr>
          </w:p>
        </w:tc>
        <w:tc>
          <w:tcPr>
            <w:tcW w:w="1000" w:type="dxa"/>
            <w:vAlign w:val="bottom"/>
            <w:shd w:val="clear" w:color="auto" w:fill="FDFDFC"/>
          </w:tcPr>
          <w:p>
            <w:pPr>
              <w:spacing w:after="0"/>
              <w:rPr>
                <w:sz w:val="16"/>
                <w:szCs w:val="16"/>
                <w:color w:val="auto"/>
              </w:rPr>
            </w:pPr>
          </w:p>
        </w:tc>
        <w:tc>
          <w:tcPr>
            <w:tcW w:w="80" w:type="dxa"/>
            <w:vAlign w:val="bottom"/>
            <w:shd w:val="clear" w:color="auto" w:fill="FDFDFC"/>
          </w:tcPr>
          <w:p>
            <w:pPr>
              <w:spacing w:after="0"/>
              <w:rPr>
                <w:sz w:val="16"/>
                <w:szCs w:val="16"/>
                <w:color w:val="auto"/>
              </w:rPr>
            </w:pPr>
          </w:p>
        </w:tc>
        <w:tc>
          <w:tcPr>
            <w:tcW w:w="1600" w:type="dxa"/>
            <w:vAlign w:val="bottom"/>
            <w:shd w:val="clear" w:color="auto" w:fill="FDFDFC"/>
          </w:tcPr>
          <w:p>
            <w:pPr>
              <w:spacing w:after="0"/>
              <w:rPr>
                <w:sz w:val="16"/>
                <w:szCs w:val="16"/>
                <w:color w:val="auto"/>
              </w:rPr>
            </w:pPr>
          </w:p>
        </w:tc>
        <w:tc>
          <w:tcPr>
            <w:tcW w:w="100" w:type="dxa"/>
            <w:vAlign w:val="bottom"/>
            <w:shd w:val="clear" w:color="auto" w:fill="FDFDFC"/>
          </w:tcPr>
          <w:p>
            <w:pPr>
              <w:spacing w:after="0"/>
              <w:rPr>
                <w:sz w:val="16"/>
                <w:szCs w:val="16"/>
                <w:color w:val="auto"/>
              </w:rPr>
            </w:pPr>
          </w:p>
        </w:tc>
        <w:tc>
          <w:tcPr>
            <w:tcW w:w="860" w:type="dxa"/>
            <w:vAlign w:val="bottom"/>
            <w:shd w:val="clear" w:color="auto" w:fill="FDFDFC"/>
          </w:tcPr>
          <w:p>
            <w:pPr>
              <w:spacing w:after="0"/>
              <w:rPr>
                <w:sz w:val="16"/>
                <w:szCs w:val="16"/>
                <w:color w:val="auto"/>
              </w:rPr>
            </w:pPr>
          </w:p>
        </w:tc>
      </w:tr>
      <w:tr>
        <w:trPr>
          <w:trHeight w:val="171"/>
        </w:trPr>
        <w:tc>
          <w:tcPr>
            <w:tcW w:w="1580" w:type="dxa"/>
            <w:vAlign w:val="bottom"/>
            <w:shd w:val="clear" w:color="auto" w:fill="D0EBF2"/>
          </w:tcPr>
          <w:p>
            <w:pPr>
              <w:spacing w:after="0" w:line="172" w:lineRule="exact"/>
              <w:rPr>
                <w:sz w:val="20"/>
                <w:szCs w:val="20"/>
                <w:color w:val="auto"/>
              </w:rPr>
            </w:pPr>
            <w:r>
              <w:rPr>
                <w:rFonts w:ascii="Times New Roman" w:cs="Times New Roman" w:eastAsia="Times New Roman" w:hAnsi="Times New Roman"/>
                <w:sz w:val="15"/>
                <w:szCs w:val="15"/>
                <w:color w:val="231F20"/>
              </w:rPr>
              <w:t xml:space="preserve">Kangaroo Bidco AS </w:t>
            </w:r>
            <w:r>
              <w:rPr>
                <w:rFonts w:ascii="Times New Roman" w:cs="Times New Roman" w:eastAsia="Times New Roman" w:hAnsi="Times New Roman"/>
                <w:sz w:val="9"/>
                <w:szCs w:val="9"/>
                <w:color w:val="231F20"/>
              </w:rPr>
              <w:t>(3)(4)</w:t>
            </w:r>
          </w:p>
        </w:tc>
        <w:tc>
          <w:tcPr>
            <w:tcW w:w="2200" w:type="dxa"/>
            <w:vAlign w:val="bottom"/>
            <w:shd w:val="clear" w:color="auto" w:fill="D0EBF2"/>
          </w:tcPr>
          <w:p>
            <w:pPr>
              <w:ind w:left="60"/>
              <w:spacing w:after="0" w:line="172" w:lineRule="exact"/>
              <w:rPr>
                <w:sz w:val="20"/>
                <w:szCs w:val="20"/>
                <w:color w:val="auto"/>
              </w:rPr>
            </w:pPr>
            <w:r>
              <w:rPr>
                <w:rFonts w:ascii="Times New Roman" w:cs="Times New Roman" w:eastAsia="Times New Roman" w:hAnsi="Times New Roman"/>
                <w:sz w:val="15"/>
                <w:szCs w:val="15"/>
                <w:color w:val="231F20"/>
              </w:rPr>
              <w:t>First-lien loan ($30,625 par, due</w:t>
            </w:r>
          </w:p>
        </w:tc>
        <w:tc>
          <w:tcPr>
            <w:tcW w:w="800" w:type="dxa"/>
            <w:vAlign w:val="bottom"/>
            <w:shd w:val="clear" w:color="auto" w:fill="D0EBF2"/>
          </w:tcPr>
          <w:p>
            <w:pPr>
              <w:jc w:val="right"/>
              <w:spacing w:after="0" w:line="172" w:lineRule="exact"/>
              <w:rPr>
                <w:sz w:val="20"/>
                <w:szCs w:val="20"/>
                <w:color w:val="auto"/>
              </w:rPr>
            </w:pPr>
            <w:r>
              <w:rPr>
                <w:rFonts w:ascii="Times New Roman" w:cs="Times New Roman" w:eastAsia="Times New Roman" w:hAnsi="Times New Roman"/>
                <w:sz w:val="15"/>
                <w:szCs w:val="15"/>
                <w:color w:val="231F20"/>
              </w:rPr>
              <w:t>11/2/2023</w:t>
            </w:r>
          </w:p>
        </w:tc>
        <w:tc>
          <w:tcPr>
            <w:tcW w:w="1020" w:type="dxa"/>
            <w:vAlign w:val="bottom"/>
            <w:shd w:val="clear" w:color="auto" w:fill="D0EBF2"/>
          </w:tcPr>
          <w:p>
            <w:pPr>
              <w:jc w:val="right"/>
              <w:ind w:right="64"/>
              <w:spacing w:after="0" w:line="172" w:lineRule="exact"/>
              <w:rPr>
                <w:sz w:val="20"/>
                <w:szCs w:val="20"/>
                <w:color w:val="auto"/>
              </w:rPr>
            </w:pPr>
            <w:r>
              <w:rPr>
                <w:rFonts w:ascii="Times New Roman" w:cs="Times New Roman" w:eastAsia="Times New Roman" w:hAnsi="Times New Roman"/>
                <w:sz w:val="15"/>
                <w:szCs w:val="15"/>
                <w:color w:val="231F20"/>
              </w:rPr>
              <w:t>SOFR +</w:t>
            </w:r>
          </w:p>
        </w:tc>
        <w:tc>
          <w:tcPr>
            <w:tcW w:w="1040" w:type="dxa"/>
            <w:vAlign w:val="bottom"/>
            <w:shd w:val="clear" w:color="auto" w:fill="D0EBF2"/>
          </w:tcPr>
          <w:p>
            <w:pPr>
              <w:jc w:val="right"/>
              <w:ind w:right="64"/>
              <w:spacing w:after="0" w:line="172" w:lineRule="exact"/>
              <w:rPr>
                <w:sz w:val="20"/>
                <w:szCs w:val="20"/>
                <w:color w:val="auto"/>
              </w:rPr>
            </w:pPr>
            <w:r>
              <w:rPr>
                <w:rFonts w:ascii="Times New Roman" w:cs="Times New Roman" w:eastAsia="Times New Roman" w:hAnsi="Times New Roman"/>
                <w:sz w:val="15"/>
                <w:szCs w:val="15"/>
                <w:color w:val="231F20"/>
              </w:rPr>
              <w:t>10.66%</w:t>
            </w:r>
          </w:p>
        </w:tc>
        <w:tc>
          <w:tcPr>
            <w:tcW w:w="1000" w:type="dxa"/>
            <w:vAlign w:val="bottom"/>
            <w:shd w:val="clear" w:color="auto" w:fill="D0EBF2"/>
          </w:tcPr>
          <w:p>
            <w:pPr>
              <w:jc w:val="right"/>
              <w:spacing w:after="0" w:line="172" w:lineRule="exact"/>
              <w:rPr>
                <w:sz w:val="20"/>
                <w:szCs w:val="20"/>
                <w:color w:val="auto"/>
              </w:rPr>
            </w:pPr>
            <w:r>
              <w:rPr>
                <w:rFonts w:ascii="Times New Roman" w:cs="Times New Roman" w:eastAsia="Times New Roman" w:hAnsi="Times New Roman"/>
                <w:sz w:val="15"/>
                <w:szCs w:val="15"/>
                <w:color w:val="231F20"/>
              </w:rPr>
              <w:t>29,804</w:t>
            </w:r>
          </w:p>
        </w:tc>
        <w:tc>
          <w:tcPr>
            <w:tcW w:w="1680" w:type="dxa"/>
            <w:vAlign w:val="bottom"/>
            <w:gridSpan w:val="2"/>
            <w:shd w:val="clear" w:color="auto" w:fill="D0EBF2"/>
          </w:tcPr>
          <w:p>
            <w:pPr>
              <w:jc w:val="right"/>
              <w:spacing w:after="0" w:line="172" w:lineRule="exact"/>
              <w:rPr>
                <w:sz w:val="20"/>
                <w:szCs w:val="20"/>
                <w:color w:val="auto"/>
              </w:rPr>
            </w:pPr>
            <w:r>
              <w:rPr>
                <w:rFonts w:ascii="Times New Roman" w:cs="Times New Roman" w:eastAsia="Times New Roman" w:hAnsi="Times New Roman"/>
                <w:sz w:val="15"/>
                <w:szCs w:val="15"/>
                <w:color w:val="231F20"/>
              </w:rPr>
              <w:t>30,800</w:t>
            </w:r>
          </w:p>
        </w:tc>
        <w:tc>
          <w:tcPr>
            <w:tcW w:w="960" w:type="dxa"/>
            <w:vAlign w:val="bottom"/>
            <w:gridSpan w:val="2"/>
            <w:shd w:val="clear" w:color="auto" w:fill="D0EBF2"/>
          </w:tcPr>
          <w:p>
            <w:pPr>
              <w:jc w:val="right"/>
              <w:spacing w:after="0" w:line="172" w:lineRule="exact"/>
              <w:rPr>
                <w:sz w:val="20"/>
                <w:szCs w:val="20"/>
                <w:color w:val="auto"/>
              </w:rPr>
            </w:pPr>
            <w:r>
              <w:rPr>
                <w:rFonts w:ascii="Times New Roman" w:cs="Times New Roman" w:eastAsia="Times New Roman" w:hAnsi="Times New Roman"/>
                <w:sz w:val="15"/>
                <w:szCs w:val="15"/>
                <w:color w:val="231F20"/>
              </w:rPr>
              <w:t>1.8%</w:t>
            </w:r>
          </w:p>
        </w:tc>
      </w:tr>
      <w:tr>
        <w:trPr>
          <w:trHeight w:val="189"/>
        </w:trPr>
        <w:tc>
          <w:tcPr>
            <w:tcW w:w="1580" w:type="dxa"/>
            <w:vAlign w:val="bottom"/>
            <w:shd w:val="clear" w:color="auto" w:fill="D0EBF2"/>
          </w:tcPr>
          <w:p>
            <w:pPr>
              <w:spacing w:after="0"/>
              <w:rPr>
                <w:sz w:val="16"/>
                <w:szCs w:val="16"/>
                <w:color w:val="auto"/>
              </w:rPr>
            </w:pPr>
          </w:p>
        </w:tc>
        <w:tc>
          <w:tcPr>
            <w:tcW w:w="2200" w:type="dxa"/>
            <w:vAlign w:val="bottom"/>
            <w:shd w:val="clear" w:color="auto" w:fill="D0EBF2"/>
          </w:tcPr>
          <w:p>
            <w:pPr>
              <w:ind w:left="60"/>
              <w:spacing w:after="0"/>
              <w:rPr>
                <w:sz w:val="20"/>
                <w:szCs w:val="20"/>
                <w:color w:val="auto"/>
              </w:rPr>
            </w:pPr>
            <w:r>
              <w:rPr>
                <w:rFonts w:ascii="Times New Roman" w:cs="Times New Roman" w:eastAsia="Times New Roman" w:hAnsi="Times New Roman"/>
                <w:sz w:val="15"/>
                <w:szCs w:val="15"/>
                <w:color w:val="231F20"/>
              </w:rPr>
              <w:t>11/2030)</w:t>
            </w:r>
          </w:p>
        </w:tc>
        <w:tc>
          <w:tcPr>
            <w:tcW w:w="800" w:type="dxa"/>
            <w:vAlign w:val="bottom"/>
            <w:shd w:val="clear" w:color="auto" w:fill="D0EBF2"/>
          </w:tcPr>
          <w:p>
            <w:pPr>
              <w:spacing w:after="0"/>
              <w:rPr>
                <w:sz w:val="16"/>
                <w:szCs w:val="16"/>
                <w:color w:val="auto"/>
              </w:rPr>
            </w:pPr>
          </w:p>
        </w:tc>
        <w:tc>
          <w:tcPr>
            <w:tcW w:w="1020" w:type="dxa"/>
            <w:vAlign w:val="bottom"/>
            <w:shd w:val="clear" w:color="auto" w:fill="D0EBF2"/>
          </w:tcPr>
          <w:p>
            <w:pPr>
              <w:jc w:val="right"/>
              <w:ind w:right="64"/>
              <w:spacing w:after="0"/>
              <w:rPr>
                <w:sz w:val="20"/>
                <w:szCs w:val="20"/>
                <w:color w:val="auto"/>
              </w:rPr>
            </w:pPr>
            <w:r>
              <w:rPr>
                <w:rFonts w:ascii="Times New Roman" w:cs="Times New Roman" w:eastAsia="Times New Roman" w:hAnsi="Times New Roman"/>
                <w:sz w:val="15"/>
                <w:szCs w:val="15"/>
                <w:color w:val="231F20"/>
              </w:rPr>
              <w:t>6.25%</w:t>
            </w:r>
          </w:p>
        </w:tc>
        <w:tc>
          <w:tcPr>
            <w:tcW w:w="1040" w:type="dxa"/>
            <w:vAlign w:val="bottom"/>
            <w:shd w:val="clear" w:color="auto" w:fill="D0EBF2"/>
          </w:tcPr>
          <w:p>
            <w:pPr>
              <w:spacing w:after="0"/>
              <w:rPr>
                <w:sz w:val="16"/>
                <w:szCs w:val="16"/>
                <w:color w:val="auto"/>
              </w:rPr>
            </w:pPr>
          </w:p>
        </w:tc>
        <w:tc>
          <w:tcPr>
            <w:tcW w:w="1000" w:type="dxa"/>
            <w:vAlign w:val="bottom"/>
            <w:shd w:val="clear" w:color="auto" w:fill="D0EBF2"/>
          </w:tcPr>
          <w:p>
            <w:pPr>
              <w:spacing w:after="0"/>
              <w:rPr>
                <w:sz w:val="16"/>
                <w:szCs w:val="16"/>
                <w:color w:val="auto"/>
              </w:rPr>
            </w:pPr>
          </w:p>
        </w:tc>
        <w:tc>
          <w:tcPr>
            <w:tcW w:w="80" w:type="dxa"/>
            <w:vAlign w:val="bottom"/>
            <w:shd w:val="clear" w:color="auto" w:fill="D0EBF2"/>
          </w:tcPr>
          <w:p>
            <w:pPr>
              <w:spacing w:after="0"/>
              <w:rPr>
                <w:sz w:val="16"/>
                <w:szCs w:val="16"/>
                <w:color w:val="auto"/>
              </w:rPr>
            </w:pPr>
          </w:p>
        </w:tc>
        <w:tc>
          <w:tcPr>
            <w:tcW w:w="1600" w:type="dxa"/>
            <w:vAlign w:val="bottom"/>
            <w:shd w:val="clear" w:color="auto" w:fill="D0EBF2"/>
          </w:tcPr>
          <w:p>
            <w:pPr>
              <w:spacing w:after="0"/>
              <w:rPr>
                <w:sz w:val="16"/>
                <w:szCs w:val="16"/>
                <w:color w:val="auto"/>
              </w:rPr>
            </w:pPr>
          </w:p>
        </w:tc>
        <w:tc>
          <w:tcPr>
            <w:tcW w:w="100" w:type="dxa"/>
            <w:vAlign w:val="bottom"/>
            <w:shd w:val="clear" w:color="auto" w:fill="D0EBF2"/>
          </w:tcPr>
          <w:p>
            <w:pPr>
              <w:spacing w:after="0"/>
              <w:rPr>
                <w:sz w:val="16"/>
                <w:szCs w:val="16"/>
                <w:color w:val="auto"/>
              </w:rPr>
            </w:pPr>
          </w:p>
        </w:tc>
        <w:tc>
          <w:tcPr>
            <w:tcW w:w="860" w:type="dxa"/>
            <w:vAlign w:val="bottom"/>
            <w:shd w:val="clear" w:color="auto" w:fill="D0EBF2"/>
          </w:tcPr>
          <w:p>
            <w:pPr>
              <w:spacing w:after="0"/>
              <w:rPr>
                <w:sz w:val="16"/>
                <w:szCs w:val="16"/>
                <w:color w:val="auto"/>
              </w:rPr>
            </w:pPr>
          </w:p>
        </w:tc>
      </w:tr>
      <w:tr>
        <w:trPr>
          <w:trHeight w:val="171"/>
        </w:trPr>
        <w:tc>
          <w:tcPr>
            <w:tcW w:w="1580" w:type="dxa"/>
            <w:vAlign w:val="bottom"/>
            <w:shd w:val="clear" w:color="auto" w:fill="FDFDFC"/>
          </w:tcPr>
          <w:p>
            <w:pPr>
              <w:spacing w:after="0" w:line="172" w:lineRule="exact"/>
              <w:rPr>
                <w:sz w:val="20"/>
                <w:szCs w:val="20"/>
                <w:color w:val="auto"/>
              </w:rPr>
            </w:pPr>
            <w:r>
              <w:rPr>
                <w:rFonts w:ascii="Times New Roman" w:cs="Times New Roman" w:eastAsia="Times New Roman" w:hAnsi="Times New Roman"/>
                <w:sz w:val="15"/>
                <w:szCs w:val="15"/>
                <w:color w:val="231F20"/>
              </w:rPr>
              <w:t>Severin Acquisition,</w:t>
            </w:r>
          </w:p>
        </w:tc>
        <w:tc>
          <w:tcPr>
            <w:tcW w:w="2200" w:type="dxa"/>
            <w:vAlign w:val="bottom"/>
            <w:shd w:val="clear" w:color="auto" w:fill="FDFDFC"/>
          </w:tcPr>
          <w:p>
            <w:pPr>
              <w:ind w:left="60"/>
              <w:spacing w:after="0" w:line="172" w:lineRule="exact"/>
              <w:rPr>
                <w:sz w:val="20"/>
                <w:szCs w:val="20"/>
                <w:color w:val="auto"/>
              </w:rPr>
            </w:pPr>
            <w:r>
              <w:rPr>
                <w:rFonts w:ascii="Times New Roman" w:cs="Times New Roman" w:eastAsia="Times New Roman" w:hAnsi="Times New Roman"/>
                <w:sz w:val="15"/>
                <w:szCs w:val="15"/>
                <w:color w:val="231F20"/>
              </w:rPr>
              <w:t>First-lien loan ($15,046 par, due</w:t>
            </w:r>
          </w:p>
        </w:tc>
        <w:tc>
          <w:tcPr>
            <w:tcW w:w="800" w:type="dxa"/>
            <w:vAlign w:val="bottom"/>
            <w:shd w:val="clear" w:color="auto" w:fill="FDFDFC"/>
          </w:tcPr>
          <w:p>
            <w:pPr>
              <w:jc w:val="right"/>
              <w:spacing w:after="0" w:line="172" w:lineRule="exact"/>
              <w:rPr>
                <w:sz w:val="20"/>
                <w:szCs w:val="20"/>
                <w:color w:val="auto"/>
              </w:rPr>
            </w:pPr>
            <w:r>
              <w:rPr>
                <w:rFonts w:ascii="Times New Roman" w:cs="Times New Roman" w:eastAsia="Times New Roman" w:hAnsi="Times New Roman"/>
                <w:sz w:val="15"/>
                <w:szCs w:val="15"/>
                <w:color w:val="231F20"/>
              </w:rPr>
              <w:t>10/1/2024</w:t>
            </w:r>
          </w:p>
        </w:tc>
        <w:tc>
          <w:tcPr>
            <w:tcW w:w="1020" w:type="dxa"/>
            <w:vAlign w:val="bottom"/>
            <w:shd w:val="clear" w:color="auto" w:fill="FDFDFC"/>
          </w:tcPr>
          <w:p>
            <w:pPr>
              <w:jc w:val="right"/>
              <w:ind w:right="64"/>
              <w:spacing w:after="0" w:line="172" w:lineRule="exact"/>
              <w:rPr>
                <w:sz w:val="20"/>
                <w:szCs w:val="20"/>
                <w:color w:val="auto"/>
              </w:rPr>
            </w:pPr>
            <w:r>
              <w:rPr>
                <w:rFonts w:ascii="Times New Roman" w:cs="Times New Roman" w:eastAsia="Times New Roman" w:hAnsi="Times New Roman"/>
                <w:sz w:val="15"/>
                <w:szCs w:val="15"/>
                <w:color w:val="231F20"/>
              </w:rPr>
              <w:t>SOFR +</w:t>
            </w:r>
          </w:p>
        </w:tc>
        <w:tc>
          <w:tcPr>
            <w:tcW w:w="1040" w:type="dxa"/>
            <w:vAlign w:val="bottom"/>
            <w:shd w:val="clear" w:color="auto" w:fill="FDFDFC"/>
          </w:tcPr>
          <w:p>
            <w:pPr>
              <w:jc w:val="right"/>
              <w:ind w:right="64"/>
              <w:spacing w:after="0" w:line="172" w:lineRule="exact"/>
              <w:rPr>
                <w:sz w:val="20"/>
                <w:szCs w:val="20"/>
                <w:color w:val="auto"/>
              </w:rPr>
            </w:pPr>
            <w:r>
              <w:rPr>
                <w:rFonts w:ascii="Times New Roman" w:cs="Times New Roman" w:eastAsia="Times New Roman" w:hAnsi="Times New Roman"/>
                <w:sz w:val="15"/>
                <w:szCs w:val="15"/>
                <w:color w:val="231F20"/>
              </w:rPr>
              <w:t>9.36% (incl.</w:t>
            </w:r>
          </w:p>
        </w:tc>
        <w:tc>
          <w:tcPr>
            <w:tcW w:w="1000" w:type="dxa"/>
            <w:vAlign w:val="bottom"/>
            <w:shd w:val="clear" w:color="auto" w:fill="FDFDFC"/>
          </w:tcPr>
          <w:p>
            <w:pPr>
              <w:jc w:val="right"/>
              <w:spacing w:after="0" w:line="172" w:lineRule="exact"/>
              <w:rPr>
                <w:sz w:val="20"/>
                <w:szCs w:val="20"/>
                <w:color w:val="auto"/>
              </w:rPr>
            </w:pPr>
            <w:r>
              <w:rPr>
                <w:rFonts w:ascii="Times New Roman" w:cs="Times New Roman" w:eastAsia="Times New Roman" w:hAnsi="Times New Roman"/>
                <w:sz w:val="15"/>
                <w:szCs w:val="15"/>
                <w:color w:val="231F20"/>
              </w:rPr>
              <w:t>15,028</w:t>
            </w:r>
          </w:p>
        </w:tc>
        <w:tc>
          <w:tcPr>
            <w:tcW w:w="1680" w:type="dxa"/>
            <w:vAlign w:val="bottom"/>
            <w:gridSpan w:val="2"/>
            <w:shd w:val="clear" w:color="auto" w:fill="FDFDFC"/>
          </w:tcPr>
          <w:p>
            <w:pPr>
              <w:jc w:val="right"/>
              <w:spacing w:after="0" w:line="172" w:lineRule="exact"/>
              <w:rPr>
                <w:sz w:val="20"/>
                <w:szCs w:val="20"/>
                <w:color w:val="auto"/>
              </w:rPr>
            </w:pPr>
            <w:r>
              <w:rPr>
                <w:rFonts w:ascii="Times New Roman" w:cs="Times New Roman" w:eastAsia="Times New Roman" w:hAnsi="Times New Roman"/>
                <w:sz w:val="15"/>
                <w:szCs w:val="15"/>
                <w:color w:val="231F20"/>
              </w:rPr>
              <w:t>15,046</w:t>
            </w:r>
          </w:p>
        </w:tc>
        <w:tc>
          <w:tcPr>
            <w:tcW w:w="960" w:type="dxa"/>
            <w:vAlign w:val="bottom"/>
            <w:gridSpan w:val="2"/>
            <w:shd w:val="clear" w:color="auto" w:fill="FDFDFC"/>
          </w:tcPr>
          <w:p>
            <w:pPr>
              <w:jc w:val="right"/>
              <w:spacing w:after="0" w:line="172" w:lineRule="exact"/>
              <w:rPr>
                <w:sz w:val="20"/>
                <w:szCs w:val="20"/>
                <w:color w:val="auto"/>
              </w:rPr>
            </w:pPr>
            <w:r>
              <w:rPr>
                <w:rFonts w:ascii="Times New Roman" w:cs="Times New Roman" w:eastAsia="Times New Roman" w:hAnsi="Times New Roman"/>
                <w:sz w:val="15"/>
                <w:szCs w:val="15"/>
                <w:color w:val="231F20"/>
              </w:rPr>
              <w:t>0.9%</w:t>
            </w:r>
          </w:p>
        </w:tc>
      </w:tr>
      <w:tr>
        <w:trPr>
          <w:trHeight w:val="189"/>
        </w:trPr>
        <w:tc>
          <w:tcPr>
            <w:tcW w:w="1580" w:type="dxa"/>
            <w:vAlign w:val="bottom"/>
            <w:tcBorders>
              <w:bottom w:val="single" w:sz="8" w:color="D0EBF2"/>
            </w:tcBorders>
            <w:shd w:val="clear" w:color="auto" w:fill="FDFDFC"/>
          </w:tcPr>
          <w:p>
            <w:pPr>
              <w:spacing w:after="0"/>
              <w:rPr>
                <w:sz w:val="20"/>
                <w:szCs w:val="20"/>
                <w:color w:val="auto"/>
              </w:rPr>
            </w:pPr>
            <w:r>
              <w:rPr>
                <w:rFonts w:ascii="Times New Roman" w:cs="Times New Roman" w:eastAsia="Times New Roman" w:hAnsi="Times New Roman"/>
                <w:sz w:val="15"/>
                <w:szCs w:val="15"/>
                <w:color w:val="231F20"/>
              </w:rPr>
              <w:t xml:space="preserve">LLC </w:t>
            </w:r>
            <w:r>
              <w:rPr>
                <w:rFonts w:ascii="Times New Roman" w:cs="Times New Roman" w:eastAsia="Times New Roman" w:hAnsi="Times New Roman"/>
                <w:sz w:val="9"/>
                <w:szCs w:val="9"/>
                <w:color w:val="231F20"/>
              </w:rPr>
              <w:t>(3)</w:t>
            </w:r>
          </w:p>
        </w:tc>
        <w:tc>
          <w:tcPr>
            <w:tcW w:w="2200" w:type="dxa"/>
            <w:vAlign w:val="bottom"/>
            <w:tcBorders>
              <w:bottom w:val="single" w:sz="8" w:color="D0EBF2"/>
            </w:tcBorders>
            <w:shd w:val="clear" w:color="auto" w:fill="FDFDFC"/>
          </w:tcPr>
          <w:p>
            <w:pPr>
              <w:ind w:left="60"/>
              <w:spacing w:after="0"/>
              <w:rPr>
                <w:sz w:val="20"/>
                <w:szCs w:val="20"/>
                <w:color w:val="auto"/>
              </w:rPr>
            </w:pPr>
            <w:r>
              <w:rPr>
                <w:rFonts w:ascii="Times New Roman" w:cs="Times New Roman" w:eastAsia="Times New Roman" w:hAnsi="Times New Roman"/>
                <w:sz w:val="15"/>
                <w:szCs w:val="15"/>
                <w:color w:val="231F20"/>
              </w:rPr>
              <w:t>10/2031)</w:t>
            </w:r>
          </w:p>
        </w:tc>
        <w:tc>
          <w:tcPr>
            <w:tcW w:w="800" w:type="dxa"/>
            <w:vAlign w:val="bottom"/>
            <w:tcBorders>
              <w:bottom w:val="single" w:sz="8" w:color="D0EBF2"/>
            </w:tcBorders>
            <w:shd w:val="clear" w:color="auto" w:fill="FDFDFC"/>
          </w:tcPr>
          <w:p>
            <w:pPr>
              <w:spacing w:after="0"/>
              <w:rPr>
                <w:sz w:val="16"/>
                <w:szCs w:val="16"/>
                <w:color w:val="auto"/>
              </w:rPr>
            </w:pPr>
          </w:p>
        </w:tc>
        <w:tc>
          <w:tcPr>
            <w:tcW w:w="1020" w:type="dxa"/>
            <w:vAlign w:val="bottom"/>
            <w:tcBorders>
              <w:bottom w:val="single" w:sz="8" w:color="D0EBF2"/>
            </w:tcBorders>
            <w:shd w:val="clear" w:color="auto" w:fill="FDFDFC"/>
          </w:tcPr>
          <w:p>
            <w:pPr>
              <w:jc w:val="right"/>
              <w:ind w:right="64"/>
              <w:spacing w:after="0"/>
              <w:rPr>
                <w:sz w:val="20"/>
                <w:szCs w:val="20"/>
                <w:color w:val="auto"/>
              </w:rPr>
            </w:pPr>
            <w:r>
              <w:rPr>
                <w:rFonts w:ascii="Times New Roman" w:cs="Times New Roman" w:eastAsia="Times New Roman" w:hAnsi="Times New Roman"/>
                <w:sz w:val="15"/>
                <w:szCs w:val="15"/>
                <w:color w:val="231F20"/>
              </w:rPr>
              <w:t>5.00%</w:t>
            </w:r>
          </w:p>
        </w:tc>
        <w:tc>
          <w:tcPr>
            <w:tcW w:w="1040" w:type="dxa"/>
            <w:vAlign w:val="bottom"/>
            <w:tcBorders>
              <w:bottom w:val="single" w:sz="8" w:color="D0EBF2"/>
            </w:tcBorders>
            <w:shd w:val="clear" w:color="auto" w:fill="FDFDFC"/>
          </w:tcPr>
          <w:p>
            <w:pPr>
              <w:jc w:val="right"/>
              <w:ind w:right="64"/>
              <w:spacing w:after="0"/>
              <w:rPr>
                <w:sz w:val="20"/>
                <w:szCs w:val="20"/>
                <w:color w:val="auto"/>
              </w:rPr>
            </w:pPr>
            <w:r>
              <w:rPr>
                <w:rFonts w:ascii="Times New Roman" w:cs="Times New Roman" w:eastAsia="Times New Roman" w:hAnsi="Times New Roman"/>
                <w:sz w:val="15"/>
                <w:szCs w:val="15"/>
                <w:color w:val="231F20"/>
              </w:rPr>
              <w:t>2.25% PIK)</w:t>
            </w:r>
          </w:p>
        </w:tc>
        <w:tc>
          <w:tcPr>
            <w:tcW w:w="1000" w:type="dxa"/>
            <w:vAlign w:val="bottom"/>
            <w:tcBorders>
              <w:bottom w:val="single" w:sz="8" w:color="231F20"/>
            </w:tcBorders>
            <w:shd w:val="clear" w:color="auto" w:fill="FDFDFC"/>
          </w:tcPr>
          <w:p>
            <w:pPr>
              <w:spacing w:after="0"/>
              <w:rPr>
                <w:sz w:val="16"/>
                <w:szCs w:val="16"/>
                <w:color w:val="auto"/>
              </w:rPr>
            </w:pPr>
          </w:p>
        </w:tc>
        <w:tc>
          <w:tcPr>
            <w:tcW w:w="80" w:type="dxa"/>
            <w:vAlign w:val="bottom"/>
            <w:tcBorders>
              <w:bottom w:val="single" w:sz="8" w:color="D0EBF2"/>
            </w:tcBorders>
            <w:shd w:val="clear" w:color="auto" w:fill="FDFDFC"/>
          </w:tcPr>
          <w:p>
            <w:pPr>
              <w:spacing w:after="0"/>
              <w:rPr>
                <w:sz w:val="16"/>
                <w:szCs w:val="16"/>
                <w:color w:val="auto"/>
              </w:rPr>
            </w:pPr>
          </w:p>
        </w:tc>
        <w:tc>
          <w:tcPr>
            <w:tcW w:w="1600" w:type="dxa"/>
            <w:vAlign w:val="bottom"/>
            <w:tcBorders>
              <w:bottom w:val="single" w:sz="8" w:color="231F20"/>
            </w:tcBorders>
            <w:shd w:val="clear" w:color="auto" w:fill="FDFDFC"/>
          </w:tcPr>
          <w:p>
            <w:pPr>
              <w:spacing w:after="0"/>
              <w:rPr>
                <w:sz w:val="16"/>
                <w:szCs w:val="16"/>
                <w:color w:val="auto"/>
              </w:rPr>
            </w:pPr>
          </w:p>
        </w:tc>
        <w:tc>
          <w:tcPr>
            <w:tcW w:w="100" w:type="dxa"/>
            <w:vAlign w:val="bottom"/>
            <w:tcBorders>
              <w:bottom w:val="single" w:sz="8" w:color="D0EBF2"/>
            </w:tcBorders>
            <w:shd w:val="clear" w:color="auto" w:fill="FDFDFC"/>
          </w:tcPr>
          <w:p>
            <w:pPr>
              <w:spacing w:after="0"/>
              <w:rPr>
                <w:sz w:val="16"/>
                <w:szCs w:val="16"/>
                <w:color w:val="auto"/>
              </w:rPr>
            </w:pPr>
          </w:p>
        </w:tc>
        <w:tc>
          <w:tcPr>
            <w:tcW w:w="860" w:type="dxa"/>
            <w:vAlign w:val="bottom"/>
            <w:tcBorders>
              <w:bottom w:val="single" w:sz="8" w:color="231F20"/>
            </w:tcBorders>
            <w:shd w:val="clear" w:color="auto" w:fill="FDFDFC"/>
          </w:tcPr>
          <w:p>
            <w:pPr>
              <w:spacing w:after="0"/>
              <w:rPr>
                <w:sz w:val="16"/>
                <w:szCs w:val="16"/>
                <w:color w:val="auto"/>
              </w:rPr>
            </w:pPr>
          </w:p>
        </w:tc>
      </w:tr>
      <w:tr>
        <w:trPr>
          <w:trHeight w:val="176"/>
        </w:trPr>
        <w:tc>
          <w:tcPr>
            <w:tcW w:w="1580" w:type="dxa"/>
            <w:vAlign w:val="bottom"/>
            <w:tcBorders>
              <w:bottom w:val="single" w:sz="8" w:color="FDFDFC"/>
            </w:tcBorders>
            <w:shd w:val="clear" w:color="auto" w:fill="D0EBF2"/>
          </w:tcPr>
          <w:p>
            <w:pPr>
              <w:spacing w:after="0"/>
              <w:rPr>
                <w:sz w:val="15"/>
                <w:szCs w:val="15"/>
                <w:color w:val="auto"/>
              </w:rPr>
            </w:pPr>
          </w:p>
        </w:tc>
        <w:tc>
          <w:tcPr>
            <w:tcW w:w="2200" w:type="dxa"/>
            <w:vAlign w:val="bottom"/>
            <w:tcBorders>
              <w:bottom w:val="single" w:sz="8" w:color="FDFDFC"/>
            </w:tcBorders>
            <w:shd w:val="clear" w:color="auto" w:fill="D0EBF2"/>
          </w:tcPr>
          <w:p>
            <w:pPr>
              <w:spacing w:after="0"/>
              <w:rPr>
                <w:sz w:val="15"/>
                <w:szCs w:val="15"/>
                <w:color w:val="auto"/>
              </w:rPr>
            </w:pPr>
          </w:p>
        </w:tc>
        <w:tc>
          <w:tcPr>
            <w:tcW w:w="800" w:type="dxa"/>
            <w:vAlign w:val="bottom"/>
            <w:tcBorders>
              <w:bottom w:val="single" w:sz="8" w:color="FDFDFC"/>
            </w:tcBorders>
            <w:shd w:val="clear" w:color="auto" w:fill="D0EBF2"/>
          </w:tcPr>
          <w:p>
            <w:pPr>
              <w:spacing w:after="0"/>
              <w:rPr>
                <w:sz w:val="15"/>
                <w:szCs w:val="15"/>
                <w:color w:val="auto"/>
              </w:rPr>
            </w:pPr>
          </w:p>
        </w:tc>
        <w:tc>
          <w:tcPr>
            <w:tcW w:w="1020" w:type="dxa"/>
            <w:vAlign w:val="bottom"/>
            <w:tcBorders>
              <w:bottom w:val="single" w:sz="8" w:color="FDFDFC"/>
            </w:tcBorders>
            <w:shd w:val="clear" w:color="auto" w:fill="D0EBF2"/>
          </w:tcPr>
          <w:p>
            <w:pPr>
              <w:spacing w:after="0"/>
              <w:rPr>
                <w:sz w:val="15"/>
                <w:szCs w:val="15"/>
                <w:color w:val="auto"/>
              </w:rPr>
            </w:pPr>
          </w:p>
        </w:tc>
        <w:tc>
          <w:tcPr>
            <w:tcW w:w="1040" w:type="dxa"/>
            <w:vAlign w:val="bottom"/>
            <w:tcBorders>
              <w:bottom w:val="single" w:sz="8" w:color="FDFDFC"/>
            </w:tcBorders>
            <w:shd w:val="clear" w:color="auto" w:fill="D0EBF2"/>
          </w:tcPr>
          <w:p>
            <w:pPr>
              <w:spacing w:after="0"/>
              <w:rPr>
                <w:sz w:val="15"/>
                <w:szCs w:val="15"/>
                <w:color w:val="auto"/>
              </w:rPr>
            </w:pPr>
          </w:p>
        </w:tc>
        <w:tc>
          <w:tcPr>
            <w:tcW w:w="1000" w:type="dxa"/>
            <w:vAlign w:val="bottom"/>
            <w:tcBorders>
              <w:bottom w:val="single" w:sz="8" w:color="231F20"/>
            </w:tcBorders>
            <w:shd w:val="clear" w:color="auto" w:fill="D0EBF2"/>
          </w:tcPr>
          <w:p>
            <w:pPr>
              <w:jc w:val="right"/>
              <w:spacing w:after="0"/>
              <w:rPr>
                <w:sz w:val="20"/>
                <w:szCs w:val="20"/>
                <w:color w:val="auto"/>
              </w:rPr>
            </w:pPr>
            <w:r>
              <w:rPr>
                <w:rFonts w:ascii="Times New Roman" w:cs="Times New Roman" w:eastAsia="Times New Roman" w:hAnsi="Times New Roman"/>
                <w:sz w:val="15"/>
                <w:szCs w:val="15"/>
                <w:color w:val="231F20"/>
              </w:rPr>
              <w:t>202,777</w:t>
            </w:r>
          </w:p>
        </w:tc>
        <w:tc>
          <w:tcPr>
            <w:tcW w:w="80" w:type="dxa"/>
            <w:vAlign w:val="bottom"/>
            <w:tcBorders>
              <w:bottom w:val="single" w:sz="8" w:color="FDFDFC"/>
            </w:tcBorders>
            <w:shd w:val="clear" w:color="auto" w:fill="D0EBF2"/>
          </w:tcPr>
          <w:p>
            <w:pPr>
              <w:spacing w:after="0"/>
              <w:rPr>
                <w:sz w:val="15"/>
                <w:szCs w:val="15"/>
                <w:color w:val="auto"/>
              </w:rPr>
            </w:pPr>
          </w:p>
        </w:tc>
        <w:tc>
          <w:tcPr>
            <w:tcW w:w="1600" w:type="dxa"/>
            <w:vAlign w:val="bottom"/>
            <w:tcBorders>
              <w:bottom w:val="single" w:sz="8" w:color="231F20"/>
            </w:tcBorders>
            <w:shd w:val="clear" w:color="auto" w:fill="D0EBF2"/>
          </w:tcPr>
          <w:p>
            <w:pPr>
              <w:jc w:val="right"/>
              <w:spacing w:after="0"/>
              <w:rPr>
                <w:sz w:val="20"/>
                <w:szCs w:val="20"/>
                <w:color w:val="auto"/>
              </w:rPr>
            </w:pPr>
            <w:r>
              <w:rPr>
                <w:rFonts w:ascii="Times New Roman" w:cs="Times New Roman" w:eastAsia="Times New Roman" w:hAnsi="Times New Roman"/>
                <w:sz w:val="15"/>
                <w:szCs w:val="15"/>
                <w:color w:val="231F20"/>
              </w:rPr>
              <w:t>170,948</w:t>
            </w:r>
          </w:p>
        </w:tc>
        <w:tc>
          <w:tcPr>
            <w:tcW w:w="100" w:type="dxa"/>
            <w:vAlign w:val="bottom"/>
            <w:tcBorders>
              <w:bottom w:val="single" w:sz="8" w:color="FDFDFC"/>
            </w:tcBorders>
            <w:shd w:val="clear" w:color="auto" w:fill="D0EBF2"/>
          </w:tcPr>
          <w:p>
            <w:pPr>
              <w:spacing w:after="0"/>
              <w:rPr>
                <w:sz w:val="15"/>
                <w:szCs w:val="15"/>
                <w:color w:val="auto"/>
              </w:rPr>
            </w:pPr>
          </w:p>
        </w:tc>
        <w:tc>
          <w:tcPr>
            <w:tcW w:w="860" w:type="dxa"/>
            <w:vAlign w:val="bottom"/>
            <w:tcBorders>
              <w:bottom w:val="single" w:sz="8" w:color="231F20"/>
            </w:tcBorders>
            <w:shd w:val="clear" w:color="auto" w:fill="D0EBF2"/>
          </w:tcPr>
          <w:p>
            <w:pPr>
              <w:jc w:val="right"/>
              <w:spacing w:after="0"/>
              <w:rPr>
                <w:sz w:val="20"/>
                <w:szCs w:val="20"/>
                <w:color w:val="auto"/>
              </w:rPr>
            </w:pPr>
            <w:r>
              <w:rPr>
                <w:rFonts w:ascii="Times New Roman" w:cs="Times New Roman" w:eastAsia="Times New Roman" w:hAnsi="Times New Roman"/>
                <w:sz w:val="15"/>
                <w:szCs w:val="15"/>
                <w:color w:val="231F20"/>
              </w:rPr>
              <w:t>10.6%</w:t>
            </w:r>
          </w:p>
        </w:tc>
      </w:tr>
      <w:tr>
        <w:trPr>
          <w:trHeight w:val="176"/>
        </w:trPr>
        <w:tc>
          <w:tcPr>
            <w:tcW w:w="1580" w:type="dxa"/>
            <w:vAlign w:val="bottom"/>
            <w:shd w:val="clear" w:color="auto" w:fill="FDFDFC"/>
          </w:tcPr>
          <w:p>
            <w:pPr>
              <w:spacing w:after="0"/>
              <w:rPr>
                <w:sz w:val="20"/>
                <w:szCs w:val="20"/>
                <w:color w:val="auto"/>
              </w:rPr>
            </w:pPr>
            <w:r>
              <w:rPr>
                <w:rFonts w:ascii="Times New Roman" w:cs="Times New Roman" w:eastAsia="Times New Roman" w:hAnsi="Times New Roman"/>
                <w:sz w:val="15"/>
                <w:szCs w:val="15"/>
                <w:b w:val="1"/>
                <w:bCs w:val="1"/>
                <w:color w:val="231F20"/>
              </w:rPr>
              <w:t>Electronics</w:t>
            </w:r>
          </w:p>
        </w:tc>
        <w:tc>
          <w:tcPr>
            <w:tcW w:w="2200" w:type="dxa"/>
            <w:vAlign w:val="bottom"/>
            <w:shd w:val="clear" w:color="auto" w:fill="FDFDFC"/>
          </w:tcPr>
          <w:p>
            <w:pPr>
              <w:spacing w:after="0"/>
              <w:rPr>
                <w:sz w:val="15"/>
                <w:szCs w:val="15"/>
                <w:color w:val="auto"/>
              </w:rPr>
            </w:pPr>
          </w:p>
        </w:tc>
        <w:tc>
          <w:tcPr>
            <w:tcW w:w="800" w:type="dxa"/>
            <w:vAlign w:val="bottom"/>
            <w:shd w:val="clear" w:color="auto" w:fill="FDFDFC"/>
          </w:tcPr>
          <w:p>
            <w:pPr>
              <w:spacing w:after="0"/>
              <w:rPr>
                <w:sz w:val="15"/>
                <w:szCs w:val="15"/>
                <w:color w:val="auto"/>
              </w:rPr>
            </w:pPr>
          </w:p>
        </w:tc>
        <w:tc>
          <w:tcPr>
            <w:tcW w:w="1020" w:type="dxa"/>
            <w:vAlign w:val="bottom"/>
            <w:shd w:val="clear" w:color="auto" w:fill="FDFDFC"/>
          </w:tcPr>
          <w:p>
            <w:pPr>
              <w:spacing w:after="0"/>
              <w:rPr>
                <w:sz w:val="15"/>
                <w:szCs w:val="15"/>
                <w:color w:val="auto"/>
              </w:rPr>
            </w:pPr>
          </w:p>
        </w:tc>
        <w:tc>
          <w:tcPr>
            <w:tcW w:w="1040" w:type="dxa"/>
            <w:vAlign w:val="bottom"/>
            <w:shd w:val="clear" w:color="auto" w:fill="FDFDFC"/>
          </w:tcPr>
          <w:p>
            <w:pPr>
              <w:spacing w:after="0"/>
              <w:rPr>
                <w:sz w:val="15"/>
                <w:szCs w:val="15"/>
                <w:color w:val="auto"/>
              </w:rPr>
            </w:pPr>
          </w:p>
        </w:tc>
        <w:tc>
          <w:tcPr>
            <w:tcW w:w="1000" w:type="dxa"/>
            <w:vAlign w:val="bottom"/>
            <w:shd w:val="clear" w:color="auto" w:fill="FDFDFC"/>
          </w:tcPr>
          <w:p>
            <w:pPr>
              <w:spacing w:after="0"/>
              <w:rPr>
                <w:sz w:val="15"/>
                <w:szCs w:val="15"/>
                <w:color w:val="auto"/>
              </w:rPr>
            </w:pPr>
          </w:p>
        </w:tc>
        <w:tc>
          <w:tcPr>
            <w:tcW w:w="80" w:type="dxa"/>
            <w:vAlign w:val="bottom"/>
            <w:shd w:val="clear" w:color="auto" w:fill="FDFDFC"/>
          </w:tcPr>
          <w:p>
            <w:pPr>
              <w:spacing w:after="0"/>
              <w:rPr>
                <w:sz w:val="15"/>
                <w:szCs w:val="15"/>
                <w:color w:val="auto"/>
              </w:rPr>
            </w:pPr>
          </w:p>
        </w:tc>
        <w:tc>
          <w:tcPr>
            <w:tcW w:w="1600" w:type="dxa"/>
            <w:vAlign w:val="bottom"/>
            <w:shd w:val="clear" w:color="auto" w:fill="FDFDFC"/>
          </w:tcPr>
          <w:p>
            <w:pPr>
              <w:spacing w:after="0"/>
              <w:rPr>
                <w:sz w:val="15"/>
                <w:szCs w:val="15"/>
                <w:color w:val="auto"/>
              </w:rPr>
            </w:pPr>
          </w:p>
        </w:tc>
        <w:tc>
          <w:tcPr>
            <w:tcW w:w="100" w:type="dxa"/>
            <w:vAlign w:val="bottom"/>
            <w:shd w:val="clear" w:color="auto" w:fill="FDFDFC"/>
          </w:tcPr>
          <w:p>
            <w:pPr>
              <w:spacing w:after="0"/>
              <w:rPr>
                <w:sz w:val="15"/>
                <w:szCs w:val="15"/>
                <w:color w:val="auto"/>
              </w:rPr>
            </w:pPr>
          </w:p>
        </w:tc>
        <w:tc>
          <w:tcPr>
            <w:tcW w:w="860" w:type="dxa"/>
            <w:vAlign w:val="bottom"/>
            <w:shd w:val="clear" w:color="auto" w:fill="FDFDFC"/>
          </w:tcPr>
          <w:p>
            <w:pPr>
              <w:spacing w:after="0"/>
              <w:rPr>
                <w:sz w:val="15"/>
                <w:szCs w:val="15"/>
                <w:color w:val="auto"/>
              </w:rPr>
            </w:pPr>
          </w:p>
        </w:tc>
      </w:tr>
      <w:tr>
        <w:trPr>
          <w:trHeight w:val="171"/>
        </w:trPr>
        <w:tc>
          <w:tcPr>
            <w:tcW w:w="1580" w:type="dxa"/>
            <w:vAlign w:val="bottom"/>
            <w:shd w:val="clear" w:color="auto" w:fill="D0EBF2"/>
          </w:tcPr>
          <w:p>
            <w:pPr>
              <w:spacing w:after="0" w:line="172" w:lineRule="exact"/>
              <w:rPr>
                <w:sz w:val="20"/>
                <w:szCs w:val="20"/>
                <w:color w:val="auto"/>
              </w:rPr>
            </w:pPr>
            <w:r>
              <w:rPr>
                <w:rFonts w:ascii="Times New Roman" w:cs="Times New Roman" w:eastAsia="Times New Roman" w:hAnsi="Times New Roman"/>
                <w:sz w:val="15"/>
                <w:szCs w:val="15"/>
                <w:color w:val="231F20"/>
              </w:rPr>
              <w:t>Sapphire Software</w:t>
            </w:r>
          </w:p>
        </w:tc>
        <w:tc>
          <w:tcPr>
            <w:tcW w:w="2200" w:type="dxa"/>
            <w:vAlign w:val="bottom"/>
            <w:shd w:val="clear" w:color="auto" w:fill="D0EBF2"/>
          </w:tcPr>
          <w:p>
            <w:pPr>
              <w:ind w:left="60"/>
              <w:spacing w:after="0" w:line="172" w:lineRule="exact"/>
              <w:rPr>
                <w:sz w:val="20"/>
                <w:szCs w:val="20"/>
                <w:color w:val="auto"/>
              </w:rPr>
            </w:pPr>
            <w:r>
              <w:rPr>
                <w:rFonts w:ascii="Times New Roman" w:cs="Times New Roman" w:eastAsia="Times New Roman" w:hAnsi="Times New Roman"/>
                <w:sz w:val="15"/>
                <w:szCs w:val="15"/>
                <w:color w:val="231F20"/>
              </w:rPr>
              <w:t>First-lien loan ($26,962 par, due</w:t>
            </w:r>
          </w:p>
        </w:tc>
        <w:tc>
          <w:tcPr>
            <w:tcW w:w="800" w:type="dxa"/>
            <w:vAlign w:val="bottom"/>
            <w:shd w:val="clear" w:color="auto" w:fill="D0EBF2"/>
          </w:tcPr>
          <w:p>
            <w:pPr>
              <w:jc w:val="right"/>
              <w:spacing w:after="0" w:line="172" w:lineRule="exact"/>
              <w:rPr>
                <w:sz w:val="20"/>
                <w:szCs w:val="20"/>
                <w:color w:val="auto"/>
              </w:rPr>
            </w:pPr>
            <w:r>
              <w:rPr>
                <w:rFonts w:ascii="Times New Roman" w:cs="Times New Roman" w:eastAsia="Times New Roman" w:hAnsi="Times New Roman"/>
                <w:sz w:val="15"/>
                <w:szCs w:val="15"/>
                <w:color w:val="231F20"/>
              </w:rPr>
              <w:t>9/30/2024</w:t>
            </w:r>
          </w:p>
        </w:tc>
        <w:tc>
          <w:tcPr>
            <w:tcW w:w="1020" w:type="dxa"/>
            <w:vAlign w:val="bottom"/>
            <w:shd w:val="clear" w:color="auto" w:fill="D0EBF2"/>
          </w:tcPr>
          <w:p>
            <w:pPr>
              <w:jc w:val="right"/>
              <w:ind w:right="64"/>
              <w:spacing w:after="0" w:line="172" w:lineRule="exact"/>
              <w:rPr>
                <w:sz w:val="20"/>
                <w:szCs w:val="20"/>
                <w:color w:val="auto"/>
              </w:rPr>
            </w:pPr>
            <w:r>
              <w:rPr>
                <w:rFonts w:ascii="Times New Roman" w:cs="Times New Roman" w:eastAsia="Times New Roman" w:hAnsi="Times New Roman"/>
                <w:sz w:val="15"/>
                <w:szCs w:val="15"/>
                <w:color w:val="231F20"/>
              </w:rPr>
              <w:t>SOFR +</w:t>
            </w:r>
          </w:p>
        </w:tc>
        <w:tc>
          <w:tcPr>
            <w:tcW w:w="1040" w:type="dxa"/>
            <w:vAlign w:val="bottom"/>
            <w:shd w:val="clear" w:color="auto" w:fill="D0EBF2"/>
          </w:tcPr>
          <w:p>
            <w:pPr>
              <w:jc w:val="right"/>
              <w:ind w:right="64"/>
              <w:spacing w:after="0" w:line="172" w:lineRule="exact"/>
              <w:rPr>
                <w:sz w:val="20"/>
                <w:szCs w:val="20"/>
                <w:color w:val="auto"/>
              </w:rPr>
            </w:pPr>
            <w:r>
              <w:rPr>
                <w:rFonts w:ascii="Times New Roman" w:cs="Times New Roman" w:eastAsia="Times New Roman" w:hAnsi="Times New Roman"/>
                <w:sz w:val="15"/>
                <w:szCs w:val="15"/>
                <w:color w:val="231F20"/>
              </w:rPr>
              <w:t>9.75% (incl.</w:t>
            </w:r>
          </w:p>
        </w:tc>
        <w:tc>
          <w:tcPr>
            <w:tcW w:w="1000" w:type="dxa"/>
            <w:vAlign w:val="bottom"/>
            <w:shd w:val="clear" w:color="auto" w:fill="D0EBF2"/>
          </w:tcPr>
          <w:p>
            <w:pPr>
              <w:jc w:val="right"/>
              <w:spacing w:after="0" w:line="172" w:lineRule="exact"/>
              <w:rPr>
                <w:sz w:val="20"/>
                <w:szCs w:val="20"/>
                <w:color w:val="auto"/>
              </w:rPr>
            </w:pPr>
            <w:r>
              <w:rPr>
                <w:rFonts w:ascii="Times New Roman" w:cs="Times New Roman" w:eastAsia="Times New Roman" w:hAnsi="Times New Roman"/>
                <w:sz w:val="15"/>
                <w:szCs w:val="15"/>
                <w:color w:val="231F20"/>
              </w:rPr>
              <w:t>26,672</w:t>
            </w:r>
          </w:p>
        </w:tc>
        <w:tc>
          <w:tcPr>
            <w:tcW w:w="80" w:type="dxa"/>
            <w:vAlign w:val="bottom"/>
            <w:shd w:val="clear" w:color="auto" w:fill="D0EBF2"/>
          </w:tcPr>
          <w:p>
            <w:pPr>
              <w:spacing w:after="0"/>
              <w:rPr>
                <w:sz w:val="14"/>
                <w:szCs w:val="14"/>
                <w:color w:val="auto"/>
              </w:rPr>
            </w:pPr>
          </w:p>
        </w:tc>
        <w:tc>
          <w:tcPr>
            <w:tcW w:w="1600" w:type="dxa"/>
            <w:vAlign w:val="bottom"/>
            <w:shd w:val="clear" w:color="auto" w:fill="D0EBF2"/>
          </w:tcPr>
          <w:p>
            <w:pPr>
              <w:jc w:val="right"/>
              <w:spacing w:after="0" w:line="172" w:lineRule="exact"/>
              <w:rPr>
                <w:sz w:val="20"/>
                <w:szCs w:val="20"/>
                <w:color w:val="auto"/>
              </w:rPr>
            </w:pPr>
            <w:r>
              <w:rPr>
                <w:rFonts w:ascii="Times New Roman" w:cs="Times New Roman" w:eastAsia="Times New Roman" w:hAnsi="Times New Roman"/>
                <w:sz w:val="15"/>
                <w:szCs w:val="15"/>
                <w:color w:val="231F20"/>
              </w:rPr>
              <w:t>26,811</w:t>
            </w:r>
          </w:p>
        </w:tc>
        <w:tc>
          <w:tcPr>
            <w:tcW w:w="100" w:type="dxa"/>
            <w:vAlign w:val="bottom"/>
            <w:shd w:val="clear" w:color="auto" w:fill="D0EBF2"/>
          </w:tcPr>
          <w:p>
            <w:pPr>
              <w:spacing w:after="0"/>
              <w:rPr>
                <w:sz w:val="14"/>
                <w:szCs w:val="14"/>
                <w:color w:val="auto"/>
              </w:rPr>
            </w:pPr>
          </w:p>
        </w:tc>
        <w:tc>
          <w:tcPr>
            <w:tcW w:w="860" w:type="dxa"/>
            <w:vAlign w:val="bottom"/>
            <w:shd w:val="clear" w:color="auto" w:fill="D0EBF2"/>
          </w:tcPr>
          <w:p>
            <w:pPr>
              <w:jc w:val="right"/>
              <w:spacing w:after="0" w:line="172" w:lineRule="exact"/>
              <w:rPr>
                <w:sz w:val="20"/>
                <w:szCs w:val="20"/>
                <w:color w:val="auto"/>
              </w:rPr>
            </w:pPr>
            <w:r>
              <w:rPr>
                <w:rFonts w:ascii="Times New Roman" w:cs="Times New Roman" w:eastAsia="Times New Roman" w:hAnsi="Times New Roman"/>
                <w:sz w:val="15"/>
                <w:szCs w:val="15"/>
                <w:color w:val="231F20"/>
              </w:rPr>
              <w:t>1.7%</w:t>
            </w:r>
          </w:p>
        </w:tc>
      </w:tr>
      <w:tr>
        <w:trPr>
          <w:trHeight w:val="189"/>
        </w:trPr>
        <w:tc>
          <w:tcPr>
            <w:tcW w:w="1580" w:type="dxa"/>
            <w:vAlign w:val="bottom"/>
            <w:shd w:val="clear" w:color="auto" w:fill="D0EBF2"/>
          </w:tcPr>
          <w:p>
            <w:pPr>
              <w:spacing w:after="0"/>
              <w:rPr>
                <w:sz w:val="20"/>
                <w:szCs w:val="20"/>
                <w:color w:val="auto"/>
              </w:rPr>
            </w:pPr>
            <w:r>
              <w:rPr>
                <w:rFonts w:ascii="Times New Roman" w:cs="Times New Roman" w:eastAsia="Times New Roman" w:hAnsi="Times New Roman"/>
                <w:sz w:val="15"/>
                <w:szCs w:val="15"/>
                <w:color w:val="231F20"/>
              </w:rPr>
              <w:t xml:space="preserve">Buyer, Inc. </w:t>
            </w:r>
            <w:r>
              <w:rPr>
                <w:rFonts w:ascii="Times New Roman" w:cs="Times New Roman" w:eastAsia="Times New Roman" w:hAnsi="Times New Roman"/>
                <w:sz w:val="9"/>
                <w:szCs w:val="9"/>
                <w:color w:val="231F20"/>
              </w:rPr>
              <w:t>(3)</w:t>
            </w:r>
          </w:p>
        </w:tc>
        <w:tc>
          <w:tcPr>
            <w:tcW w:w="2200" w:type="dxa"/>
            <w:vAlign w:val="bottom"/>
            <w:shd w:val="clear" w:color="auto" w:fill="D0EBF2"/>
          </w:tcPr>
          <w:p>
            <w:pPr>
              <w:ind w:left="60"/>
              <w:spacing w:after="0"/>
              <w:rPr>
                <w:sz w:val="20"/>
                <w:szCs w:val="20"/>
                <w:color w:val="auto"/>
              </w:rPr>
            </w:pPr>
            <w:r>
              <w:rPr>
                <w:rFonts w:ascii="Times New Roman" w:cs="Times New Roman" w:eastAsia="Times New Roman" w:hAnsi="Times New Roman"/>
                <w:sz w:val="15"/>
                <w:szCs w:val="15"/>
                <w:color w:val="231F20"/>
              </w:rPr>
              <w:t>9/2031)</w:t>
            </w:r>
          </w:p>
        </w:tc>
        <w:tc>
          <w:tcPr>
            <w:tcW w:w="800" w:type="dxa"/>
            <w:vAlign w:val="bottom"/>
            <w:shd w:val="clear" w:color="auto" w:fill="D0EBF2"/>
          </w:tcPr>
          <w:p>
            <w:pPr>
              <w:spacing w:after="0"/>
              <w:rPr>
                <w:sz w:val="16"/>
                <w:szCs w:val="16"/>
                <w:color w:val="auto"/>
              </w:rPr>
            </w:pPr>
          </w:p>
        </w:tc>
        <w:tc>
          <w:tcPr>
            <w:tcW w:w="1020" w:type="dxa"/>
            <w:vAlign w:val="bottom"/>
            <w:shd w:val="clear" w:color="auto" w:fill="D0EBF2"/>
          </w:tcPr>
          <w:p>
            <w:pPr>
              <w:jc w:val="right"/>
              <w:ind w:right="64"/>
              <w:spacing w:after="0"/>
              <w:rPr>
                <w:sz w:val="20"/>
                <w:szCs w:val="20"/>
                <w:color w:val="auto"/>
              </w:rPr>
            </w:pPr>
            <w:r>
              <w:rPr>
                <w:rFonts w:ascii="Times New Roman" w:cs="Times New Roman" w:eastAsia="Times New Roman" w:hAnsi="Times New Roman"/>
                <w:sz w:val="15"/>
                <w:szCs w:val="15"/>
                <w:color w:val="231F20"/>
              </w:rPr>
              <w:t>5.50%</w:t>
            </w:r>
          </w:p>
        </w:tc>
        <w:tc>
          <w:tcPr>
            <w:tcW w:w="1040" w:type="dxa"/>
            <w:vAlign w:val="bottom"/>
            <w:shd w:val="clear" w:color="auto" w:fill="D0EBF2"/>
          </w:tcPr>
          <w:p>
            <w:pPr>
              <w:jc w:val="right"/>
              <w:ind w:right="64"/>
              <w:spacing w:after="0"/>
              <w:rPr>
                <w:sz w:val="20"/>
                <w:szCs w:val="20"/>
                <w:color w:val="auto"/>
              </w:rPr>
            </w:pPr>
            <w:r>
              <w:rPr>
                <w:rFonts w:ascii="Times New Roman" w:cs="Times New Roman" w:eastAsia="Times New Roman" w:hAnsi="Times New Roman"/>
                <w:sz w:val="15"/>
                <w:szCs w:val="15"/>
                <w:color w:val="231F20"/>
              </w:rPr>
              <w:t>3.0% PIK)</w:t>
            </w:r>
          </w:p>
        </w:tc>
        <w:tc>
          <w:tcPr>
            <w:tcW w:w="1000" w:type="dxa"/>
            <w:vAlign w:val="bottom"/>
            <w:shd w:val="clear" w:color="auto" w:fill="D0EBF2"/>
          </w:tcPr>
          <w:p>
            <w:pPr>
              <w:spacing w:after="0"/>
              <w:rPr>
                <w:sz w:val="16"/>
                <w:szCs w:val="16"/>
                <w:color w:val="auto"/>
              </w:rPr>
            </w:pPr>
          </w:p>
        </w:tc>
        <w:tc>
          <w:tcPr>
            <w:tcW w:w="80" w:type="dxa"/>
            <w:vAlign w:val="bottom"/>
            <w:shd w:val="clear" w:color="auto" w:fill="D0EBF2"/>
          </w:tcPr>
          <w:p>
            <w:pPr>
              <w:spacing w:after="0"/>
              <w:rPr>
                <w:sz w:val="16"/>
                <w:szCs w:val="16"/>
                <w:color w:val="auto"/>
              </w:rPr>
            </w:pPr>
          </w:p>
        </w:tc>
        <w:tc>
          <w:tcPr>
            <w:tcW w:w="1600" w:type="dxa"/>
            <w:vAlign w:val="bottom"/>
            <w:shd w:val="clear" w:color="auto" w:fill="D0EBF2"/>
          </w:tcPr>
          <w:p>
            <w:pPr>
              <w:spacing w:after="0"/>
              <w:rPr>
                <w:sz w:val="16"/>
                <w:szCs w:val="16"/>
                <w:color w:val="auto"/>
              </w:rPr>
            </w:pPr>
          </w:p>
        </w:tc>
        <w:tc>
          <w:tcPr>
            <w:tcW w:w="100" w:type="dxa"/>
            <w:vAlign w:val="bottom"/>
            <w:shd w:val="clear" w:color="auto" w:fill="D0EBF2"/>
          </w:tcPr>
          <w:p>
            <w:pPr>
              <w:spacing w:after="0"/>
              <w:rPr>
                <w:sz w:val="16"/>
                <w:szCs w:val="16"/>
                <w:color w:val="auto"/>
              </w:rPr>
            </w:pPr>
          </w:p>
        </w:tc>
        <w:tc>
          <w:tcPr>
            <w:tcW w:w="860" w:type="dxa"/>
            <w:vAlign w:val="bottom"/>
            <w:shd w:val="clear" w:color="auto" w:fill="D0EBF2"/>
          </w:tcPr>
          <w:p>
            <w:pPr>
              <w:spacing w:after="0"/>
              <w:rPr>
                <w:sz w:val="16"/>
                <w:szCs w:val="16"/>
                <w:color w:val="auto"/>
              </w:rPr>
            </w:pPr>
          </w:p>
        </w:tc>
      </w:tr>
      <w:tr>
        <w:trPr>
          <w:trHeight w:val="187"/>
        </w:trPr>
        <w:tc>
          <w:tcPr>
            <w:tcW w:w="1580" w:type="dxa"/>
            <w:vAlign w:val="bottom"/>
            <w:shd w:val="clear" w:color="auto" w:fill="FDFDFC"/>
          </w:tcPr>
          <w:p>
            <w:pPr>
              <w:spacing w:after="0"/>
              <w:rPr>
                <w:sz w:val="20"/>
                <w:szCs w:val="20"/>
                <w:color w:val="auto"/>
              </w:rPr>
            </w:pPr>
            <w:r>
              <w:rPr>
                <w:rFonts w:ascii="Times New Roman" w:cs="Times New Roman" w:eastAsia="Times New Roman" w:hAnsi="Times New Roman"/>
                <w:sz w:val="15"/>
                <w:szCs w:val="15"/>
                <w:b w:val="1"/>
                <w:bCs w:val="1"/>
                <w:color w:val="231F20"/>
              </w:rPr>
              <w:t>Financial Services</w:t>
            </w:r>
          </w:p>
        </w:tc>
        <w:tc>
          <w:tcPr>
            <w:tcW w:w="2200" w:type="dxa"/>
            <w:vAlign w:val="bottom"/>
            <w:shd w:val="clear" w:color="auto" w:fill="FDFDFC"/>
          </w:tcPr>
          <w:p>
            <w:pPr>
              <w:spacing w:after="0"/>
              <w:rPr>
                <w:sz w:val="16"/>
                <w:szCs w:val="16"/>
                <w:color w:val="auto"/>
              </w:rPr>
            </w:pPr>
          </w:p>
        </w:tc>
        <w:tc>
          <w:tcPr>
            <w:tcW w:w="800" w:type="dxa"/>
            <w:vAlign w:val="bottom"/>
            <w:shd w:val="clear" w:color="auto" w:fill="FDFDFC"/>
          </w:tcPr>
          <w:p>
            <w:pPr>
              <w:spacing w:after="0"/>
              <w:rPr>
                <w:sz w:val="16"/>
                <w:szCs w:val="16"/>
                <w:color w:val="auto"/>
              </w:rPr>
            </w:pPr>
          </w:p>
        </w:tc>
        <w:tc>
          <w:tcPr>
            <w:tcW w:w="1020" w:type="dxa"/>
            <w:vAlign w:val="bottom"/>
            <w:shd w:val="clear" w:color="auto" w:fill="FDFDFC"/>
          </w:tcPr>
          <w:p>
            <w:pPr>
              <w:spacing w:after="0"/>
              <w:rPr>
                <w:sz w:val="16"/>
                <w:szCs w:val="16"/>
                <w:color w:val="auto"/>
              </w:rPr>
            </w:pPr>
          </w:p>
        </w:tc>
        <w:tc>
          <w:tcPr>
            <w:tcW w:w="1040" w:type="dxa"/>
            <w:vAlign w:val="bottom"/>
            <w:shd w:val="clear" w:color="auto" w:fill="FDFDFC"/>
          </w:tcPr>
          <w:p>
            <w:pPr>
              <w:spacing w:after="0"/>
              <w:rPr>
                <w:sz w:val="16"/>
                <w:szCs w:val="16"/>
                <w:color w:val="auto"/>
              </w:rPr>
            </w:pPr>
          </w:p>
        </w:tc>
        <w:tc>
          <w:tcPr>
            <w:tcW w:w="1000" w:type="dxa"/>
            <w:vAlign w:val="bottom"/>
            <w:shd w:val="clear" w:color="auto" w:fill="FDFDFC"/>
          </w:tcPr>
          <w:p>
            <w:pPr>
              <w:spacing w:after="0"/>
              <w:rPr>
                <w:sz w:val="16"/>
                <w:szCs w:val="16"/>
                <w:color w:val="auto"/>
              </w:rPr>
            </w:pPr>
          </w:p>
        </w:tc>
        <w:tc>
          <w:tcPr>
            <w:tcW w:w="80" w:type="dxa"/>
            <w:vAlign w:val="bottom"/>
            <w:shd w:val="clear" w:color="auto" w:fill="FDFDFC"/>
          </w:tcPr>
          <w:p>
            <w:pPr>
              <w:spacing w:after="0"/>
              <w:rPr>
                <w:sz w:val="16"/>
                <w:szCs w:val="16"/>
                <w:color w:val="auto"/>
              </w:rPr>
            </w:pPr>
          </w:p>
        </w:tc>
        <w:tc>
          <w:tcPr>
            <w:tcW w:w="1600" w:type="dxa"/>
            <w:vAlign w:val="bottom"/>
            <w:shd w:val="clear" w:color="auto" w:fill="FDFDFC"/>
          </w:tcPr>
          <w:p>
            <w:pPr>
              <w:spacing w:after="0"/>
              <w:rPr>
                <w:sz w:val="16"/>
                <w:szCs w:val="16"/>
                <w:color w:val="auto"/>
              </w:rPr>
            </w:pPr>
          </w:p>
        </w:tc>
        <w:tc>
          <w:tcPr>
            <w:tcW w:w="100" w:type="dxa"/>
            <w:vAlign w:val="bottom"/>
            <w:shd w:val="clear" w:color="auto" w:fill="FDFDFC"/>
          </w:tcPr>
          <w:p>
            <w:pPr>
              <w:spacing w:after="0"/>
              <w:rPr>
                <w:sz w:val="16"/>
                <w:szCs w:val="16"/>
                <w:color w:val="auto"/>
              </w:rPr>
            </w:pPr>
          </w:p>
        </w:tc>
        <w:tc>
          <w:tcPr>
            <w:tcW w:w="860" w:type="dxa"/>
            <w:vAlign w:val="bottom"/>
            <w:shd w:val="clear" w:color="auto" w:fill="FDFDFC"/>
          </w:tcPr>
          <w:p>
            <w:pPr>
              <w:spacing w:after="0"/>
              <w:rPr>
                <w:sz w:val="16"/>
                <w:szCs w:val="16"/>
                <w:color w:val="auto"/>
              </w:rPr>
            </w:pPr>
          </w:p>
        </w:tc>
      </w:tr>
      <w:tr>
        <w:trPr>
          <w:trHeight w:val="171"/>
        </w:trPr>
        <w:tc>
          <w:tcPr>
            <w:tcW w:w="1580" w:type="dxa"/>
            <w:vAlign w:val="bottom"/>
            <w:shd w:val="clear" w:color="auto" w:fill="D0EBF2"/>
          </w:tcPr>
          <w:p>
            <w:pPr>
              <w:spacing w:after="0" w:line="172" w:lineRule="exact"/>
              <w:rPr>
                <w:sz w:val="20"/>
                <w:szCs w:val="20"/>
                <w:color w:val="auto"/>
              </w:rPr>
            </w:pPr>
            <w:r>
              <w:rPr>
                <w:rFonts w:ascii="Times New Roman" w:cs="Times New Roman" w:eastAsia="Times New Roman" w:hAnsi="Times New Roman"/>
                <w:sz w:val="15"/>
                <w:szCs w:val="15"/>
                <w:color w:val="231F20"/>
              </w:rPr>
              <w:t xml:space="preserve">Alaska Bidco Oy </w:t>
            </w:r>
            <w:r>
              <w:rPr>
                <w:rFonts w:ascii="Times New Roman" w:cs="Times New Roman" w:eastAsia="Times New Roman" w:hAnsi="Times New Roman"/>
                <w:sz w:val="9"/>
                <w:szCs w:val="9"/>
                <w:color w:val="231F20"/>
              </w:rPr>
              <w:t>(3)(4)</w:t>
            </w:r>
          </w:p>
        </w:tc>
        <w:tc>
          <w:tcPr>
            <w:tcW w:w="2200" w:type="dxa"/>
            <w:vAlign w:val="bottom"/>
            <w:shd w:val="clear" w:color="auto" w:fill="D0EBF2"/>
          </w:tcPr>
          <w:p>
            <w:pPr>
              <w:ind w:left="60"/>
              <w:spacing w:after="0" w:line="172" w:lineRule="exact"/>
              <w:rPr>
                <w:sz w:val="20"/>
                <w:szCs w:val="20"/>
                <w:color w:val="auto"/>
              </w:rPr>
            </w:pPr>
            <w:r>
              <w:rPr>
                <w:rFonts w:ascii="Times New Roman" w:cs="Times New Roman" w:eastAsia="Times New Roman" w:hAnsi="Times New Roman"/>
                <w:sz w:val="15"/>
                <w:szCs w:val="15"/>
                <w:color w:val="231F20"/>
              </w:rPr>
              <w:t>First-lien loan (EUR 727 par, due</w:t>
            </w:r>
          </w:p>
        </w:tc>
        <w:tc>
          <w:tcPr>
            <w:tcW w:w="800" w:type="dxa"/>
            <w:vAlign w:val="bottom"/>
            <w:shd w:val="clear" w:color="auto" w:fill="D0EBF2"/>
          </w:tcPr>
          <w:p>
            <w:pPr>
              <w:jc w:val="right"/>
              <w:spacing w:after="0" w:line="172" w:lineRule="exact"/>
              <w:rPr>
                <w:sz w:val="20"/>
                <w:szCs w:val="20"/>
                <w:color w:val="auto"/>
              </w:rPr>
            </w:pPr>
            <w:r>
              <w:rPr>
                <w:rFonts w:ascii="Times New Roman" w:cs="Times New Roman" w:eastAsia="Times New Roman" w:hAnsi="Times New Roman"/>
                <w:sz w:val="15"/>
                <w:szCs w:val="15"/>
                <w:color w:val="231F20"/>
              </w:rPr>
              <w:t>5/30/2023</w:t>
            </w:r>
          </w:p>
        </w:tc>
        <w:tc>
          <w:tcPr>
            <w:tcW w:w="1020" w:type="dxa"/>
            <w:vAlign w:val="bottom"/>
            <w:shd w:val="clear" w:color="auto" w:fill="D0EBF2"/>
          </w:tcPr>
          <w:p>
            <w:pPr>
              <w:jc w:val="right"/>
              <w:ind w:right="64"/>
              <w:spacing w:after="0" w:line="172" w:lineRule="exact"/>
              <w:rPr>
                <w:sz w:val="20"/>
                <w:szCs w:val="20"/>
                <w:color w:val="auto"/>
              </w:rPr>
            </w:pPr>
            <w:r>
              <w:rPr>
                <w:rFonts w:ascii="Times New Roman" w:cs="Times New Roman" w:eastAsia="Times New Roman" w:hAnsi="Times New Roman"/>
                <w:sz w:val="15"/>
                <w:szCs w:val="15"/>
                <w:color w:val="231F20"/>
              </w:rPr>
              <w:t>E + 5.75%</w:t>
            </w:r>
          </w:p>
        </w:tc>
        <w:tc>
          <w:tcPr>
            <w:tcW w:w="1040" w:type="dxa"/>
            <w:vAlign w:val="bottom"/>
            <w:shd w:val="clear" w:color="auto" w:fill="D0EBF2"/>
          </w:tcPr>
          <w:p>
            <w:pPr>
              <w:jc w:val="right"/>
              <w:ind w:right="64"/>
              <w:spacing w:after="0" w:line="172" w:lineRule="exact"/>
              <w:rPr>
                <w:sz w:val="20"/>
                <w:szCs w:val="20"/>
                <w:color w:val="auto"/>
              </w:rPr>
            </w:pPr>
            <w:r>
              <w:rPr>
                <w:rFonts w:ascii="Times New Roman" w:cs="Times New Roman" w:eastAsia="Times New Roman" w:hAnsi="Times New Roman"/>
                <w:sz w:val="15"/>
                <w:szCs w:val="15"/>
                <w:color w:val="231F20"/>
              </w:rPr>
              <w:t>8.51%</w:t>
            </w:r>
          </w:p>
        </w:tc>
        <w:tc>
          <w:tcPr>
            <w:tcW w:w="1000" w:type="dxa"/>
            <w:vAlign w:val="bottom"/>
            <w:shd w:val="clear" w:color="auto" w:fill="D0EBF2"/>
          </w:tcPr>
          <w:p>
            <w:pPr>
              <w:jc w:val="right"/>
              <w:spacing w:after="0" w:line="172" w:lineRule="exact"/>
              <w:rPr>
                <w:sz w:val="20"/>
                <w:szCs w:val="20"/>
                <w:color w:val="auto"/>
              </w:rPr>
            </w:pPr>
            <w:r>
              <w:rPr>
                <w:rFonts w:ascii="Times New Roman" w:cs="Times New Roman" w:eastAsia="Times New Roman" w:hAnsi="Times New Roman"/>
                <w:sz w:val="15"/>
                <w:szCs w:val="15"/>
                <w:color w:val="231F20"/>
              </w:rPr>
              <w:t>759</w:t>
            </w:r>
          </w:p>
        </w:tc>
        <w:tc>
          <w:tcPr>
            <w:tcW w:w="1680" w:type="dxa"/>
            <w:vAlign w:val="bottom"/>
            <w:gridSpan w:val="2"/>
            <w:shd w:val="clear" w:color="auto" w:fill="D0EBF2"/>
          </w:tcPr>
          <w:p>
            <w:pPr>
              <w:jc w:val="right"/>
              <w:spacing w:after="0" w:line="172" w:lineRule="exact"/>
              <w:rPr>
                <w:sz w:val="20"/>
                <w:szCs w:val="20"/>
                <w:color w:val="auto"/>
              </w:rPr>
            </w:pPr>
            <w:r>
              <w:rPr>
                <w:rFonts w:ascii="Times New Roman" w:cs="Times New Roman" w:eastAsia="Times New Roman" w:hAnsi="Times New Roman"/>
                <w:sz w:val="15"/>
                <w:szCs w:val="15"/>
                <w:color w:val="231F20"/>
              </w:rPr>
              <w:t>765</w:t>
            </w:r>
          </w:p>
        </w:tc>
        <w:tc>
          <w:tcPr>
            <w:tcW w:w="960" w:type="dxa"/>
            <w:vAlign w:val="bottom"/>
            <w:gridSpan w:val="2"/>
            <w:shd w:val="clear" w:color="auto" w:fill="D0EBF2"/>
          </w:tcPr>
          <w:p>
            <w:pPr>
              <w:jc w:val="right"/>
              <w:spacing w:after="0" w:line="172" w:lineRule="exact"/>
              <w:rPr>
                <w:sz w:val="20"/>
                <w:szCs w:val="20"/>
                <w:color w:val="auto"/>
              </w:rPr>
            </w:pPr>
            <w:r>
              <w:rPr>
                <w:rFonts w:ascii="Times New Roman" w:cs="Times New Roman" w:eastAsia="Times New Roman" w:hAnsi="Times New Roman"/>
                <w:sz w:val="15"/>
                <w:szCs w:val="15"/>
                <w:color w:val="231F20"/>
              </w:rPr>
              <w:t>0.0%</w:t>
            </w:r>
          </w:p>
        </w:tc>
      </w:tr>
      <w:tr>
        <w:trPr>
          <w:trHeight w:val="189"/>
        </w:trPr>
        <w:tc>
          <w:tcPr>
            <w:tcW w:w="1580" w:type="dxa"/>
            <w:vAlign w:val="bottom"/>
            <w:shd w:val="clear" w:color="auto" w:fill="D0EBF2"/>
          </w:tcPr>
          <w:p>
            <w:pPr>
              <w:spacing w:after="0"/>
              <w:rPr>
                <w:sz w:val="16"/>
                <w:szCs w:val="16"/>
                <w:color w:val="auto"/>
              </w:rPr>
            </w:pPr>
          </w:p>
        </w:tc>
        <w:tc>
          <w:tcPr>
            <w:tcW w:w="2200" w:type="dxa"/>
            <w:vAlign w:val="bottom"/>
            <w:shd w:val="clear" w:color="auto" w:fill="D0EBF2"/>
          </w:tcPr>
          <w:p>
            <w:pPr>
              <w:ind w:left="60"/>
              <w:spacing w:after="0"/>
              <w:rPr>
                <w:sz w:val="20"/>
                <w:szCs w:val="20"/>
                <w:color w:val="auto"/>
              </w:rPr>
            </w:pPr>
            <w:r>
              <w:rPr>
                <w:rFonts w:ascii="Times New Roman" w:cs="Times New Roman" w:eastAsia="Times New Roman" w:hAnsi="Times New Roman"/>
                <w:sz w:val="15"/>
                <w:szCs w:val="15"/>
                <w:color w:val="231F20"/>
              </w:rPr>
              <w:t>5/2030)</w:t>
            </w:r>
          </w:p>
        </w:tc>
        <w:tc>
          <w:tcPr>
            <w:tcW w:w="800" w:type="dxa"/>
            <w:vAlign w:val="bottom"/>
            <w:shd w:val="clear" w:color="auto" w:fill="D0EBF2"/>
          </w:tcPr>
          <w:p>
            <w:pPr>
              <w:spacing w:after="0"/>
              <w:rPr>
                <w:sz w:val="16"/>
                <w:szCs w:val="16"/>
                <w:color w:val="auto"/>
              </w:rPr>
            </w:pPr>
          </w:p>
        </w:tc>
        <w:tc>
          <w:tcPr>
            <w:tcW w:w="1020" w:type="dxa"/>
            <w:vAlign w:val="bottom"/>
            <w:shd w:val="clear" w:color="auto" w:fill="D0EBF2"/>
          </w:tcPr>
          <w:p>
            <w:pPr>
              <w:spacing w:after="0"/>
              <w:rPr>
                <w:sz w:val="16"/>
                <w:szCs w:val="16"/>
                <w:color w:val="auto"/>
              </w:rPr>
            </w:pPr>
          </w:p>
        </w:tc>
        <w:tc>
          <w:tcPr>
            <w:tcW w:w="1040" w:type="dxa"/>
            <w:vAlign w:val="bottom"/>
            <w:shd w:val="clear" w:color="auto" w:fill="D0EBF2"/>
          </w:tcPr>
          <w:p>
            <w:pPr>
              <w:spacing w:after="0"/>
              <w:rPr>
                <w:sz w:val="16"/>
                <w:szCs w:val="16"/>
                <w:color w:val="auto"/>
              </w:rPr>
            </w:pPr>
          </w:p>
        </w:tc>
        <w:tc>
          <w:tcPr>
            <w:tcW w:w="1000" w:type="dxa"/>
            <w:vAlign w:val="bottom"/>
            <w:shd w:val="clear" w:color="auto" w:fill="D0EBF2"/>
          </w:tcPr>
          <w:p>
            <w:pPr>
              <w:spacing w:after="0"/>
              <w:rPr>
                <w:sz w:val="16"/>
                <w:szCs w:val="16"/>
                <w:color w:val="auto"/>
              </w:rPr>
            </w:pPr>
          </w:p>
        </w:tc>
        <w:tc>
          <w:tcPr>
            <w:tcW w:w="80" w:type="dxa"/>
            <w:vAlign w:val="bottom"/>
            <w:shd w:val="clear" w:color="auto" w:fill="D0EBF2"/>
          </w:tcPr>
          <w:p>
            <w:pPr>
              <w:spacing w:after="0"/>
              <w:rPr>
                <w:sz w:val="16"/>
                <w:szCs w:val="16"/>
                <w:color w:val="auto"/>
              </w:rPr>
            </w:pPr>
          </w:p>
        </w:tc>
        <w:tc>
          <w:tcPr>
            <w:tcW w:w="1600" w:type="dxa"/>
            <w:vAlign w:val="bottom"/>
            <w:shd w:val="clear" w:color="auto" w:fill="D0EBF2"/>
          </w:tcPr>
          <w:p>
            <w:pPr>
              <w:jc w:val="right"/>
              <w:spacing w:after="0"/>
              <w:rPr>
                <w:sz w:val="20"/>
                <w:szCs w:val="20"/>
                <w:color w:val="auto"/>
              </w:rPr>
            </w:pPr>
            <w:r>
              <w:rPr>
                <w:rFonts w:ascii="Times New Roman" w:cs="Times New Roman" w:eastAsia="Times New Roman" w:hAnsi="Times New Roman"/>
                <w:sz w:val="15"/>
                <w:szCs w:val="15"/>
                <w:color w:val="231F20"/>
              </w:rPr>
              <w:t>(EUR 739)</w:t>
            </w:r>
          </w:p>
        </w:tc>
        <w:tc>
          <w:tcPr>
            <w:tcW w:w="100" w:type="dxa"/>
            <w:vAlign w:val="bottom"/>
            <w:shd w:val="clear" w:color="auto" w:fill="D0EBF2"/>
          </w:tcPr>
          <w:p>
            <w:pPr>
              <w:spacing w:after="0"/>
              <w:rPr>
                <w:sz w:val="16"/>
                <w:szCs w:val="16"/>
                <w:color w:val="auto"/>
              </w:rPr>
            </w:pPr>
          </w:p>
        </w:tc>
        <w:tc>
          <w:tcPr>
            <w:tcW w:w="860" w:type="dxa"/>
            <w:vAlign w:val="bottom"/>
            <w:shd w:val="clear" w:color="auto" w:fill="D0EBF2"/>
          </w:tcPr>
          <w:p>
            <w:pPr>
              <w:spacing w:after="0"/>
              <w:rPr>
                <w:sz w:val="16"/>
                <w:szCs w:val="16"/>
                <w:color w:val="auto"/>
              </w:rPr>
            </w:pPr>
          </w:p>
        </w:tc>
      </w:tr>
      <w:tr>
        <w:trPr>
          <w:trHeight w:val="171"/>
        </w:trPr>
        <w:tc>
          <w:tcPr>
            <w:tcW w:w="1580" w:type="dxa"/>
            <w:vAlign w:val="bottom"/>
            <w:shd w:val="clear" w:color="auto" w:fill="FDFDFC"/>
          </w:tcPr>
          <w:p>
            <w:pPr>
              <w:spacing w:after="0" w:line="172" w:lineRule="exact"/>
              <w:rPr>
                <w:sz w:val="20"/>
                <w:szCs w:val="20"/>
                <w:color w:val="auto"/>
              </w:rPr>
            </w:pPr>
            <w:r>
              <w:rPr>
                <w:rFonts w:ascii="Times New Roman" w:cs="Times New Roman" w:eastAsia="Times New Roman" w:hAnsi="Times New Roman"/>
                <w:sz w:val="15"/>
                <w:szCs w:val="15"/>
                <w:color w:val="231F20"/>
              </w:rPr>
              <w:t>BCTO Bluebill Buyer,</w:t>
            </w:r>
          </w:p>
        </w:tc>
        <w:tc>
          <w:tcPr>
            <w:tcW w:w="2200" w:type="dxa"/>
            <w:vAlign w:val="bottom"/>
            <w:shd w:val="clear" w:color="auto" w:fill="FDFDFC"/>
          </w:tcPr>
          <w:p>
            <w:pPr>
              <w:ind w:left="60"/>
              <w:spacing w:after="0" w:line="172" w:lineRule="exact"/>
              <w:rPr>
                <w:sz w:val="20"/>
                <w:szCs w:val="20"/>
                <w:color w:val="auto"/>
              </w:rPr>
            </w:pPr>
            <w:r>
              <w:rPr>
                <w:rFonts w:ascii="Times New Roman" w:cs="Times New Roman" w:eastAsia="Times New Roman" w:hAnsi="Times New Roman"/>
                <w:sz w:val="15"/>
                <w:szCs w:val="15"/>
                <w:color w:val="231F20"/>
              </w:rPr>
              <w:t>First-lien loan ($29,532 par, due</w:t>
            </w:r>
          </w:p>
        </w:tc>
        <w:tc>
          <w:tcPr>
            <w:tcW w:w="800" w:type="dxa"/>
            <w:vAlign w:val="bottom"/>
            <w:shd w:val="clear" w:color="auto" w:fill="FDFDFC"/>
          </w:tcPr>
          <w:p>
            <w:pPr>
              <w:jc w:val="right"/>
              <w:spacing w:after="0" w:line="172" w:lineRule="exact"/>
              <w:rPr>
                <w:sz w:val="20"/>
                <w:szCs w:val="20"/>
                <w:color w:val="auto"/>
              </w:rPr>
            </w:pPr>
            <w:r>
              <w:rPr>
                <w:rFonts w:ascii="Times New Roman" w:cs="Times New Roman" w:eastAsia="Times New Roman" w:hAnsi="Times New Roman"/>
                <w:sz w:val="15"/>
                <w:szCs w:val="15"/>
                <w:color w:val="231F20"/>
              </w:rPr>
              <w:t>7/20/2023</w:t>
            </w:r>
          </w:p>
        </w:tc>
        <w:tc>
          <w:tcPr>
            <w:tcW w:w="1020" w:type="dxa"/>
            <w:vAlign w:val="bottom"/>
            <w:shd w:val="clear" w:color="auto" w:fill="FDFDFC"/>
          </w:tcPr>
          <w:p>
            <w:pPr>
              <w:jc w:val="right"/>
              <w:ind w:right="64"/>
              <w:spacing w:after="0" w:line="172" w:lineRule="exact"/>
              <w:rPr>
                <w:sz w:val="20"/>
                <w:szCs w:val="20"/>
                <w:color w:val="auto"/>
              </w:rPr>
            </w:pPr>
            <w:r>
              <w:rPr>
                <w:rFonts w:ascii="Times New Roman" w:cs="Times New Roman" w:eastAsia="Times New Roman" w:hAnsi="Times New Roman"/>
                <w:sz w:val="15"/>
                <w:szCs w:val="15"/>
                <w:color w:val="231F20"/>
              </w:rPr>
              <w:t>SOFR +</w:t>
            </w:r>
          </w:p>
        </w:tc>
        <w:tc>
          <w:tcPr>
            <w:tcW w:w="1040" w:type="dxa"/>
            <w:vAlign w:val="bottom"/>
            <w:shd w:val="clear" w:color="auto" w:fill="FDFDFC"/>
          </w:tcPr>
          <w:p>
            <w:pPr>
              <w:jc w:val="right"/>
              <w:ind w:right="64"/>
              <w:spacing w:after="0" w:line="172" w:lineRule="exact"/>
              <w:rPr>
                <w:sz w:val="20"/>
                <w:szCs w:val="20"/>
                <w:color w:val="auto"/>
              </w:rPr>
            </w:pPr>
            <w:r>
              <w:rPr>
                <w:rFonts w:ascii="Times New Roman" w:cs="Times New Roman" w:eastAsia="Times New Roman" w:hAnsi="Times New Roman"/>
                <w:sz w:val="15"/>
                <w:szCs w:val="15"/>
                <w:color w:val="231F20"/>
              </w:rPr>
              <w:t>10.84%</w:t>
            </w:r>
          </w:p>
        </w:tc>
        <w:tc>
          <w:tcPr>
            <w:tcW w:w="1000" w:type="dxa"/>
            <w:vAlign w:val="bottom"/>
            <w:shd w:val="clear" w:color="auto" w:fill="FDFDFC"/>
          </w:tcPr>
          <w:p>
            <w:pPr>
              <w:jc w:val="right"/>
              <w:spacing w:after="0" w:line="172" w:lineRule="exact"/>
              <w:rPr>
                <w:sz w:val="20"/>
                <w:szCs w:val="20"/>
                <w:color w:val="auto"/>
              </w:rPr>
            </w:pPr>
            <w:r>
              <w:rPr>
                <w:rFonts w:ascii="Times New Roman" w:cs="Times New Roman" w:eastAsia="Times New Roman" w:hAnsi="Times New Roman"/>
                <w:sz w:val="15"/>
                <w:szCs w:val="15"/>
                <w:color w:val="231F20"/>
              </w:rPr>
              <w:t>28,681</w:t>
            </w:r>
          </w:p>
        </w:tc>
        <w:tc>
          <w:tcPr>
            <w:tcW w:w="1680" w:type="dxa"/>
            <w:vAlign w:val="bottom"/>
            <w:gridSpan w:val="2"/>
            <w:shd w:val="clear" w:color="auto" w:fill="FDFDFC"/>
          </w:tcPr>
          <w:p>
            <w:pPr>
              <w:jc w:val="right"/>
              <w:spacing w:after="0" w:line="172" w:lineRule="exact"/>
              <w:rPr>
                <w:sz w:val="20"/>
                <w:szCs w:val="20"/>
                <w:color w:val="auto"/>
              </w:rPr>
            </w:pPr>
            <w:r>
              <w:rPr>
                <w:rFonts w:ascii="Times New Roman" w:cs="Times New Roman" w:eastAsia="Times New Roman" w:hAnsi="Times New Roman"/>
                <w:sz w:val="15"/>
                <w:szCs w:val="15"/>
                <w:color w:val="231F20"/>
              </w:rPr>
              <w:t>29,827</w:t>
            </w:r>
          </w:p>
        </w:tc>
        <w:tc>
          <w:tcPr>
            <w:tcW w:w="960" w:type="dxa"/>
            <w:vAlign w:val="bottom"/>
            <w:gridSpan w:val="2"/>
            <w:shd w:val="clear" w:color="auto" w:fill="FDFDFC"/>
          </w:tcPr>
          <w:p>
            <w:pPr>
              <w:jc w:val="right"/>
              <w:spacing w:after="0" w:line="172" w:lineRule="exact"/>
              <w:rPr>
                <w:sz w:val="20"/>
                <w:szCs w:val="20"/>
                <w:color w:val="auto"/>
              </w:rPr>
            </w:pPr>
            <w:r>
              <w:rPr>
                <w:rFonts w:ascii="Times New Roman" w:cs="Times New Roman" w:eastAsia="Times New Roman" w:hAnsi="Times New Roman"/>
                <w:sz w:val="15"/>
                <w:szCs w:val="15"/>
                <w:color w:val="231F20"/>
              </w:rPr>
              <w:t>1.9%</w:t>
            </w:r>
          </w:p>
        </w:tc>
      </w:tr>
      <w:tr>
        <w:trPr>
          <w:trHeight w:val="189"/>
        </w:trPr>
        <w:tc>
          <w:tcPr>
            <w:tcW w:w="1580" w:type="dxa"/>
            <w:vAlign w:val="bottom"/>
            <w:shd w:val="clear" w:color="auto" w:fill="FDFDFC"/>
          </w:tcPr>
          <w:p>
            <w:pPr>
              <w:spacing w:after="0" w:line="190" w:lineRule="exact"/>
              <w:rPr>
                <w:sz w:val="20"/>
                <w:szCs w:val="20"/>
                <w:color w:val="auto"/>
              </w:rPr>
            </w:pPr>
            <w:r>
              <w:rPr>
                <w:rFonts w:ascii="Times New Roman" w:cs="Times New Roman" w:eastAsia="Times New Roman" w:hAnsi="Times New Roman"/>
                <w:sz w:val="21"/>
                <w:szCs w:val="21"/>
                <w:color w:val="231F20"/>
                <w:vertAlign w:val="subscript"/>
              </w:rPr>
              <w:t>Inc.</w:t>
            </w:r>
            <w:r>
              <w:rPr>
                <w:rFonts w:ascii="Times New Roman" w:cs="Times New Roman" w:eastAsia="Times New Roman" w:hAnsi="Times New Roman"/>
                <w:sz w:val="8"/>
                <w:szCs w:val="8"/>
                <w:color w:val="231F20"/>
              </w:rPr>
              <w:t xml:space="preserve"> (3)(5)</w:t>
            </w:r>
          </w:p>
        </w:tc>
        <w:tc>
          <w:tcPr>
            <w:tcW w:w="2200" w:type="dxa"/>
            <w:vAlign w:val="bottom"/>
            <w:shd w:val="clear" w:color="auto" w:fill="FDFDFC"/>
          </w:tcPr>
          <w:p>
            <w:pPr>
              <w:ind w:left="60"/>
              <w:spacing w:after="0"/>
              <w:rPr>
                <w:sz w:val="20"/>
                <w:szCs w:val="20"/>
                <w:color w:val="auto"/>
              </w:rPr>
            </w:pPr>
            <w:r>
              <w:rPr>
                <w:rFonts w:ascii="Times New Roman" w:cs="Times New Roman" w:eastAsia="Times New Roman" w:hAnsi="Times New Roman"/>
                <w:sz w:val="15"/>
                <w:szCs w:val="15"/>
                <w:color w:val="231F20"/>
              </w:rPr>
              <w:t>7/2029)</w:t>
            </w:r>
          </w:p>
        </w:tc>
        <w:tc>
          <w:tcPr>
            <w:tcW w:w="800" w:type="dxa"/>
            <w:vAlign w:val="bottom"/>
            <w:shd w:val="clear" w:color="auto" w:fill="FDFDFC"/>
          </w:tcPr>
          <w:p>
            <w:pPr>
              <w:spacing w:after="0"/>
              <w:rPr>
                <w:sz w:val="16"/>
                <w:szCs w:val="16"/>
                <w:color w:val="auto"/>
              </w:rPr>
            </w:pPr>
          </w:p>
        </w:tc>
        <w:tc>
          <w:tcPr>
            <w:tcW w:w="1020" w:type="dxa"/>
            <w:vAlign w:val="bottom"/>
            <w:shd w:val="clear" w:color="auto" w:fill="FDFDFC"/>
          </w:tcPr>
          <w:p>
            <w:pPr>
              <w:jc w:val="right"/>
              <w:ind w:right="64"/>
              <w:spacing w:after="0"/>
              <w:rPr>
                <w:sz w:val="20"/>
                <w:szCs w:val="20"/>
                <w:color w:val="auto"/>
              </w:rPr>
            </w:pPr>
            <w:r>
              <w:rPr>
                <w:rFonts w:ascii="Times New Roman" w:cs="Times New Roman" w:eastAsia="Times New Roman" w:hAnsi="Times New Roman"/>
                <w:sz w:val="15"/>
                <w:szCs w:val="15"/>
                <w:color w:val="231F20"/>
              </w:rPr>
              <w:t>6.25%</w:t>
            </w:r>
          </w:p>
        </w:tc>
        <w:tc>
          <w:tcPr>
            <w:tcW w:w="1040" w:type="dxa"/>
            <w:vAlign w:val="bottom"/>
            <w:shd w:val="clear" w:color="auto" w:fill="FDFDFC"/>
          </w:tcPr>
          <w:p>
            <w:pPr>
              <w:spacing w:after="0"/>
              <w:rPr>
                <w:sz w:val="16"/>
                <w:szCs w:val="16"/>
                <w:color w:val="auto"/>
              </w:rPr>
            </w:pPr>
          </w:p>
        </w:tc>
        <w:tc>
          <w:tcPr>
            <w:tcW w:w="1000" w:type="dxa"/>
            <w:vAlign w:val="bottom"/>
            <w:shd w:val="clear" w:color="auto" w:fill="FDFDFC"/>
          </w:tcPr>
          <w:p>
            <w:pPr>
              <w:spacing w:after="0"/>
              <w:rPr>
                <w:sz w:val="16"/>
                <w:szCs w:val="16"/>
                <w:color w:val="auto"/>
              </w:rPr>
            </w:pPr>
          </w:p>
        </w:tc>
        <w:tc>
          <w:tcPr>
            <w:tcW w:w="80" w:type="dxa"/>
            <w:vAlign w:val="bottom"/>
            <w:shd w:val="clear" w:color="auto" w:fill="FDFDFC"/>
          </w:tcPr>
          <w:p>
            <w:pPr>
              <w:spacing w:after="0"/>
              <w:rPr>
                <w:sz w:val="16"/>
                <w:szCs w:val="16"/>
                <w:color w:val="auto"/>
              </w:rPr>
            </w:pPr>
          </w:p>
        </w:tc>
        <w:tc>
          <w:tcPr>
            <w:tcW w:w="1600" w:type="dxa"/>
            <w:vAlign w:val="bottom"/>
            <w:shd w:val="clear" w:color="auto" w:fill="FDFDFC"/>
          </w:tcPr>
          <w:p>
            <w:pPr>
              <w:spacing w:after="0"/>
              <w:rPr>
                <w:sz w:val="16"/>
                <w:szCs w:val="16"/>
                <w:color w:val="auto"/>
              </w:rPr>
            </w:pPr>
          </w:p>
        </w:tc>
        <w:tc>
          <w:tcPr>
            <w:tcW w:w="100" w:type="dxa"/>
            <w:vAlign w:val="bottom"/>
            <w:shd w:val="clear" w:color="auto" w:fill="FDFDFC"/>
          </w:tcPr>
          <w:p>
            <w:pPr>
              <w:spacing w:after="0"/>
              <w:rPr>
                <w:sz w:val="16"/>
                <w:szCs w:val="16"/>
                <w:color w:val="auto"/>
              </w:rPr>
            </w:pPr>
          </w:p>
        </w:tc>
        <w:tc>
          <w:tcPr>
            <w:tcW w:w="860" w:type="dxa"/>
            <w:vAlign w:val="bottom"/>
            <w:shd w:val="clear" w:color="auto" w:fill="FDFDFC"/>
          </w:tcPr>
          <w:p>
            <w:pPr>
              <w:spacing w:after="0"/>
              <w:rPr>
                <w:sz w:val="16"/>
                <w:szCs w:val="16"/>
                <w:color w:val="auto"/>
              </w:rPr>
            </w:pPr>
          </w:p>
        </w:tc>
      </w:tr>
      <w:tr>
        <w:trPr>
          <w:trHeight w:val="171"/>
        </w:trPr>
        <w:tc>
          <w:tcPr>
            <w:tcW w:w="1580" w:type="dxa"/>
            <w:vAlign w:val="bottom"/>
            <w:shd w:val="clear" w:color="auto" w:fill="D0EBF2"/>
          </w:tcPr>
          <w:p>
            <w:pPr>
              <w:spacing w:after="0" w:line="172" w:lineRule="exact"/>
              <w:rPr>
                <w:sz w:val="20"/>
                <w:szCs w:val="20"/>
                <w:color w:val="auto"/>
              </w:rPr>
            </w:pPr>
            <w:r>
              <w:rPr>
                <w:rFonts w:ascii="Times New Roman" w:cs="Times New Roman" w:eastAsia="Times New Roman" w:hAnsi="Times New Roman"/>
                <w:sz w:val="15"/>
                <w:szCs w:val="15"/>
                <w:color w:val="231F20"/>
              </w:rPr>
              <w:t xml:space="preserve">BlueSnap, Inc. </w:t>
            </w:r>
            <w:r>
              <w:rPr>
                <w:rFonts w:ascii="Times New Roman" w:cs="Times New Roman" w:eastAsia="Times New Roman" w:hAnsi="Times New Roman"/>
                <w:sz w:val="9"/>
                <w:szCs w:val="9"/>
                <w:color w:val="231F20"/>
              </w:rPr>
              <w:t>(3)(5)</w:t>
            </w:r>
          </w:p>
        </w:tc>
        <w:tc>
          <w:tcPr>
            <w:tcW w:w="2200" w:type="dxa"/>
            <w:vAlign w:val="bottom"/>
            <w:shd w:val="clear" w:color="auto" w:fill="D0EBF2"/>
          </w:tcPr>
          <w:p>
            <w:pPr>
              <w:ind w:left="60"/>
              <w:spacing w:after="0" w:line="172" w:lineRule="exact"/>
              <w:rPr>
                <w:sz w:val="20"/>
                <w:szCs w:val="20"/>
                <w:color w:val="auto"/>
              </w:rPr>
            </w:pPr>
            <w:r>
              <w:rPr>
                <w:rFonts w:ascii="Times New Roman" w:cs="Times New Roman" w:eastAsia="Times New Roman" w:hAnsi="Times New Roman"/>
                <w:sz w:val="15"/>
                <w:szCs w:val="15"/>
                <w:color w:val="231F20"/>
              </w:rPr>
              <w:t>First-lien loan ($45,106 par, due</w:t>
            </w:r>
          </w:p>
        </w:tc>
        <w:tc>
          <w:tcPr>
            <w:tcW w:w="800" w:type="dxa"/>
            <w:vAlign w:val="bottom"/>
            <w:shd w:val="clear" w:color="auto" w:fill="D0EBF2"/>
          </w:tcPr>
          <w:p>
            <w:pPr>
              <w:jc w:val="right"/>
              <w:spacing w:after="0" w:line="172" w:lineRule="exact"/>
              <w:rPr>
                <w:sz w:val="20"/>
                <w:szCs w:val="20"/>
                <w:color w:val="auto"/>
              </w:rPr>
            </w:pPr>
            <w:r>
              <w:rPr>
                <w:rFonts w:ascii="Times New Roman" w:cs="Times New Roman" w:eastAsia="Times New Roman" w:hAnsi="Times New Roman"/>
                <w:sz w:val="15"/>
                <w:szCs w:val="15"/>
                <w:color w:val="231F20"/>
              </w:rPr>
              <w:t>10/25/2019</w:t>
            </w:r>
          </w:p>
        </w:tc>
        <w:tc>
          <w:tcPr>
            <w:tcW w:w="1020" w:type="dxa"/>
            <w:vAlign w:val="bottom"/>
            <w:shd w:val="clear" w:color="auto" w:fill="D0EBF2"/>
          </w:tcPr>
          <w:p>
            <w:pPr>
              <w:jc w:val="right"/>
              <w:ind w:right="64"/>
              <w:spacing w:after="0" w:line="172" w:lineRule="exact"/>
              <w:rPr>
                <w:sz w:val="20"/>
                <w:szCs w:val="20"/>
                <w:color w:val="auto"/>
              </w:rPr>
            </w:pPr>
            <w:r>
              <w:rPr>
                <w:rFonts w:ascii="Times New Roman" w:cs="Times New Roman" w:eastAsia="Times New Roman" w:hAnsi="Times New Roman"/>
                <w:sz w:val="15"/>
                <w:szCs w:val="15"/>
                <w:color w:val="231F20"/>
              </w:rPr>
              <w:t>SOFR +</w:t>
            </w:r>
          </w:p>
        </w:tc>
        <w:tc>
          <w:tcPr>
            <w:tcW w:w="1040" w:type="dxa"/>
            <w:vAlign w:val="bottom"/>
            <w:shd w:val="clear" w:color="auto" w:fill="D0EBF2"/>
          </w:tcPr>
          <w:p>
            <w:pPr>
              <w:jc w:val="right"/>
              <w:ind w:right="64"/>
              <w:spacing w:after="0" w:line="172" w:lineRule="exact"/>
              <w:rPr>
                <w:sz w:val="20"/>
                <w:szCs w:val="20"/>
                <w:color w:val="auto"/>
              </w:rPr>
            </w:pPr>
            <w:r>
              <w:rPr>
                <w:rFonts w:ascii="Times New Roman" w:cs="Times New Roman" w:eastAsia="Times New Roman" w:hAnsi="Times New Roman"/>
                <w:sz w:val="15"/>
                <w:szCs w:val="15"/>
                <w:color w:val="231F20"/>
              </w:rPr>
              <w:t>13.48%</w:t>
            </w:r>
          </w:p>
        </w:tc>
        <w:tc>
          <w:tcPr>
            <w:tcW w:w="1000" w:type="dxa"/>
            <w:vAlign w:val="bottom"/>
            <w:shd w:val="clear" w:color="auto" w:fill="D0EBF2"/>
          </w:tcPr>
          <w:p>
            <w:pPr>
              <w:jc w:val="right"/>
              <w:spacing w:after="0" w:line="172" w:lineRule="exact"/>
              <w:rPr>
                <w:sz w:val="20"/>
                <w:szCs w:val="20"/>
                <w:color w:val="auto"/>
              </w:rPr>
            </w:pPr>
            <w:r>
              <w:rPr>
                <w:rFonts w:ascii="Times New Roman" w:cs="Times New Roman" w:eastAsia="Times New Roman" w:hAnsi="Times New Roman"/>
                <w:sz w:val="15"/>
                <w:szCs w:val="15"/>
                <w:color w:val="231F20"/>
              </w:rPr>
              <w:t>44,928</w:t>
            </w:r>
          </w:p>
        </w:tc>
        <w:tc>
          <w:tcPr>
            <w:tcW w:w="1680" w:type="dxa"/>
            <w:vAlign w:val="bottom"/>
            <w:gridSpan w:val="2"/>
            <w:shd w:val="clear" w:color="auto" w:fill="D0EBF2"/>
          </w:tcPr>
          <w:p>
            <w:pPr>
              <w:jc w:val="right"/>
              <w:spacing w:after="0" w:line="172" w:lineRule="exact"/>
              <w:rPr>
                <w:sz w:val="20"/>
                <w:szCs w:val="20"/>
                <w:color w:val="auto"/>
              </w:rPr>
            </w:pPr>
            <w:r>
              <w:rPr>
                <w:rFonts w:ascii="Times New Roman" w:cs="Times New Roman" w:eastAsia="Times New Roman" w:hAnsi="Times New Roman"/>
                <w:sz w:val="15"/>
                <w:szCs w:val="15"/>
                <w:color w:val="231F20"/>
              </w:rPr>
              <w:t>44,749</w:t>
            </w:r>
          </w:p>
        </w:tc>
        <w:tc>
          <w:tcPr>
            <w:tcW w:w="960" w:type="dxa"/>
            <w:vAlign w:val="bottom"/>
            <w:gridSpan w:val="2"/>
            <w:shd w:val="clear" w:color="auto" w:fill="D0EBF2"/>
          </w:tcPr>
          <w:p>
            <w:pPr>
              <w:jc w:val="right"/>
              <w:spacing w:after="0" w:line="172" w:lineRule="exact"/>
              <w:rPr>
                <w:sz w:val="20"/>
                <w:szCs w:val="20"/>
                <w:color w:val="auto"/>
              </w:rPr>
            </w:pPr>
            <w:r>
              <w:rPr>
                <w:rFonts w:ascii="Times New Roman" w:cs="Times New Roman" w:eastAsia="Times New Roman" w:hAnsi="Times New Roman"/>
                <w:sz w:val="15"/>
                <w:szCs w:val="15"/>
                <w:color w:val="231F20"/>
              </w:rPr>
              <w:t>2.8%</w:t>
            </w:r>
          </w:p>
        </w:tc>
      </w:tr>
      <w:tr>
        <w:trPr>
          <w:trHeight w:val="189"/>
        </w:trPr>
        <w:tc>
          <w:tcPr>
            <w:tcW w:w="1580" w:type="dxa"/>
            <w:vAlign w:val="bottom"/>
            <w:shd w:val="clear" w:color="auto" w:fill="D0EBF2"/>
          </w:tcPr>
          <w:p>
            <w:pPr>
              <w:spacing w:after="0"/>
              <w:rPr>
                <w:sz w:val="16"/>
                <w:szCs w:val="16"/>
                <w:color w:val="auto"/>
              </w:rPr>
            </w:pPr>
          </w:p>
        </w:tc>
        <w:tc>
          <w:tcPr>
            <w:tcW w:w="2200" w:type="dxa"/>
            <w:vAlign w:val="bottom"/>
            <w:shd w:val="clear" w:color="auto" w:fill="D0EBF2"/>
          </w:tcPr>
          <w:p>
            <w:pPr>
              <w:ind w:left="60"/>
              <w:spacing w:after="0"/>
              <w:rPr>
                <w:sz w:val="20"/>
                <w:szCs w:val="20"/>
                <w:color w:val="auto"/>
              </w:rPr>
            </w:pPr>
            <w:r>
              <w:rPr>
                <w:rFonts w:ascii="Times New Roman" w:cs="Times New Roman" w:eastAsia="Times New Roman" w:hAnsi="Times New Roman"/>
                <w:sz w:val="15"/>
                <w:szCs w:val="15"/>
                <w:color w:val="231F20"/>
              </w:rPr>
              <w:t>8/2025)</w:t>
            </w:r>
          </w:p>
        </w:tc>
        <w:tc>
          <w:tcPr>
            <w:tcW w:w="800" w:type="dxa"/>
            <w:vAlign w:val="bottom"/>
            <w:shd w:val="clear" w:color="auto" w:fill="D0EBF2"/>
          </w:tcPr>
          <w:p>
            <w:pPr>
              <w:spacing w:after="0"/>
              <w:rPr>
                <w:sz w:val="16"/>
                <w:szCs w:val="16"/>
                <w:color w:val="auto"/>
              </w:rPr>
            </w:pPr>
          </w:p>
        </w:tc>
        <w:tc>
          <w:tcPr>
            <w:tcW w:w="1020" w:type="dxa"/>
            <w:vAlign w:val="bottom"/>
            <w:shd w:val="clear" w:color="auto" w:fill="D0EBF2"/>
          </w:tcPr>
          <w:p>
            <w:pPr>
              <w:jc w:val="right"/>
              <w:ind w:right="64"/>
              <w:spacing w:after="0"/>
              <w:rPr>
                <w:sz w:val="20"/>
                <w:szCs w:val="20"/>
                <w:color w:val="auto"/>
              </w:rPr>
            </w:pPr>
            <w:r>
              <w:rPr>
                <w:rFonts w:ascii="Times New Roman" w:cs="Times New Roman" w:eastAsia="Times New Roman" w:hAnsi="Times New Roman"/>
                <w:sz w:val="15"/>
                <w:szCs w:val="15"/>
                <w:color w:val="231F20"/>
              </w:rPr>
              <w:t>9.15%</w:t>
            </w:r>
          </w:p>
        </w:tc>
        <w:tc>
          <w:tcPr>
            <w:tcW w:w="1040" w:type="dxa"/>
            <w:vAlign w:val="bottom"/>
            <w:shd w:val="clear" w:color="auto" w:fill="D0EBF2"/>
          </w:tcPr>
          <w:p>
            <w:pPr>
              <w:spacing w:after="0"/>
              <w:rPr>
                <w:sz w:val="16"/>
                <w:szCs w:val="16"/>
                <w:color w:val="auto"/>
              </w:rPr>
            </w:pPr>
          </w:p>
        </w:tc>
        <w:tc>
          <w:tcPr>
            <w:tcW w:w="1000" w:type="dxa"/>
            <w:vAlign w:val="bottom"/>
            <w:shd w:val="clear" w:color="auto" w:fill="D0EBF2"/>
          </w:tcPr>
          <w:p>
            <w:pPr>
              <w:spacing w:after="0"/>
              <w:rPr>
                <w:sz w:val="16"/>
                <w:szCs w:val="16"/>
                <w:color w:val="auto"/>
              </w:rPr>
            </w:pPr>
          </w:p>
        </w:tc>
        <w:tc>
          <w:tcPr>
            <w:tcW w:w="80" w:type="dxa"/>
            <w:vAlign w:val="bottom"/>
            <w:shd w:val="clear" w:color="auto" w:fill="D0EBF2"/>
          </w:tcPr>
          <w:p>
            <w:pPr>
              <w:spacing w:after="0"/>
              <w:rPr>
                <w:sz w:val="16"/>
                <w:szCs w:val="16"/>
                <w:color w:val="auto"/>
              </w:rPr>
            </w:pPr>
          </w:p>
        </w:tc>
        <w:tc>
          <w:tcPr>
            <w:tcW w:w="1600" w:type="dxa"/>
            <w:vAlign w:val="bottom"/>
            <w:shd w:val="clear" w:color="auto" w:fill="D0EBF2"/>
          </w:tcPr>
          <w:p>
            <w:pPr>
              <w:spacing w:after="0"/>
              <w:rPr>
                <w:sz w:val="16"/>
                <w:szCs w:val="16"/>
                <w:color w:val="auto"/>
              </w:rPr>
            </w:pPr>
          </w:p>
        </w:tc>
        <w:tc>
          <w:tcPr>
            <w:tcW w:w="100" w:type="dxa"/>
            <w:vAlign w:val="bottom"/>
            <w:shd w:val="clear" w:color="auto" w:fill="D0EBF2"/>
          </w:tcPr>
          <w:p>
            <w:pPr>
              <w:spacing w:after="0"/>
              <w:rPr>
                <w:sz w:val="16"/>
                <w:szCs w:val="16"/>
                <w:color w:val="auto"/>
              </w:rPr>
            </w:pPr>
          </w:p>
        </w:tc>
        <w:tc>
          <w:tcPr>
            <w:tcW w:w="860" w:type="dxa"/>
            <w:vAlign w:val="bottom"/>
            <w:shd w:val="clear" w:color="auto" w:fill="D0EBF2"/>
          </w:tcPr>
          <w:p>
            <w:pPr>
              <w:spacing w:after="0"/>
              <w:rPr>
                <w:sz w:val="16"/>
                <w:szCs w:val="16"/>
                <w:color w:val="auto"/>
              </w:rPr>
            </w:pPr>
          </w:p>
        </w:tc>
      </w:tr>
      <w:tr>
        <w:trPr>
          <w:trHeight w:val="171"/>
        </w:trPr>
        <w:tc>
          <w:tcPr>
            <w:tcW w:w="1580" w:type="dxa"/>
            <w:vAlign w:val="bottom"/>
            <w:shd w:val="clear" w:color="auto" w:fill="FDFDFC"/>
          </w:tcPr>
          <w:p>
            <w:pPr>
              <w:spacing w:after="0" w:line="172" w:lineRule="exact"/>
              <w:rPr>
                <w:sz w:val="20"/>
                <w:szCs w:val="20"/>
                <w:color w:val="auto"/>
              </w:rPr>
            </w:pPr>
            <w:r>
              <w:rPr>
                <w:rFonts w:ascii="Times New Roman" w:cs="Times New Roman" w:eastAsia="Times New Roman" w:hAnsi="Times New Roman"/>
                <w:sz w:val="15"/>
                <w:szCs w:val="15"/>
                <w:color w:val="231F20"/>
              </w:rPr>
              <w:t>BTRS Holdings, Inc.</w:t>
            </w:r>
            <w:r>
              <w:rPr>
                <w:rFonts w:ascii="Times New Roman" w:cs="Times New Roman" w:eastAsia="Times New Roman" w:hAnsi="Times New Roman"/>
                <w:sz w:val="9"/>
                <w:szCs w:val="9"/>
                <w:color w:val="231F20"/>
              </w:rPr>
              <w:t>(3)</w:t>
            </w:r>
          </w:p>
        </w:tc>
        <w:tc>
          <w:tcPr>
            <w:tcW w:w="2200" w:type="dxa"/>
            <w:vAlign w:val="bottom"/>
            <w:shd w:val="clear" w:color="auto" w:fill="FDFDFC"/>
          </w:tcPr>
          <w:p>
            <w:pPr>
              <w:ind w:left="60"/>
              <w:spacing w:after="0" w:line="172" w:lineRule="exact"/>
              <w:rPr>
                <w:sz w:val="20"/>
                <w:szCs w:val="20"/>
                <w:color w:val="auto"/>
              </w:rPr>
            </w:pPr>
            <w:r>
              <w:rPr>
                <w:rFonts w:ascii="Times New Roman" w:cs="Times New Roman" w:eastAsia="Times New Roman" w:hAnsi="Times New Roman"/>
                <w:sz w:val="15"/>
                <w:szCs w:val="15"/>
                <w:color w:val="231F20"/>
              </w:rPr>
              <w:t>First-lien loan ($48,983 par, due</w:t>
            </w:r>
          </w:p>
        </w:tc>
        <w:tc>
          <w:tcPr>
            <w:tcW w:w="800" w:type="dxa"/>
            <w:vAlign w:val="bottom"/>
            <w:shd w:val="clear" w:color="auto" w:fill="FDFDFC"/>
          </w:tcPr>
          <w:p>
            <w:pPr>
              <w:jc w:val="right"/>
              <w:spacing w:after="0" w:line="172" w:lineRule="exact"/>
              <w:rPr>
                <w:sz w:val="20"/>
                <w:szCs w:val="20"/>
                <w:color w:val="auto"/>
              </w:rPr>
            </w:pPr>
            <w:r>
              <w:rPr>
                <w:rFonts w:ascii="Times New Roman" w:cs="Times New Roman" w:eastAsia="Times New Roman" w:hAnsi="Times New Roman"/>
                <w:sz w:val="15"/>
                <w:szCs w:val="15"/>
                <w:color w:val="231F20"/>
              </w:rPr>
              <w:t>12/16/2022</w:t>
            </w:r>
          </w:p>
        </w:tc>
        <w:tc>
          <w:tcPr>
            <w:tcW w:w="1020" w:type="dxa"/>
            <w:vAlign w:val="bottom"/>
            <w:shd w:val="clear" w:color="auto" w:fill="FDFDFC"/>
          </w:tcPr>
          <w:p>
            <w:pPr>
              <w:jc w:val="right"/>
              <w:ind w:right="64"/>
              <w:spacing w:after="0" w:line="172" w:lineRule="exact"/>
              <w:rPr>
                <w:sz w:val="20"/>
                <w:szCs w:val="20"/>
                <w:color w:val="auto"/>
              </w:rPr>
            </w:pPr>
            <w:r>
              <w:rPr>
                <w:rFonts w:ascii="Times New Roman" w:cs="Times New Roman" w:eastAsia="Times New Roman" w:hAnsi="Times New Roman"/>
                <w:sz w:val="15"/>
                <w:szCs w:val="15"/>
                <w:color w:val="231F20"/>
              </w:rPr>
              <w:t>SOFR +</w:t>
            </w:r>
          </w:p>
        </w:tc>
        <w:tc>
          <w:tcPr>
            <w:tcW w:w="1040" w:type="dxa"/>
            <w:vAlign w:val="bottom"/>
            <w:shd w:val="clear" w:color="auto" w:fill="FDFDFC"/>
          </w:tcPr>
          <w:p>
            <w:pPr>
              <w:jc w:val="right"/>
              <w:ind w:right="64"/>
              <w:spacing w:after="0" w:line="172" w:lineRule="exact"/>
              <w:rPr>
                <w:sz w:val="20"/>
                <w:szCs w:val="20"/>
                <w:color w:val="auto"/>
              </w:rPr>
            </w:pPr>
            <w:r>
              <w:rPr>
                <w:rFonts w:ascii="Times New Roman" w:cs="Times New Roman" w:eastAsia="Times New Roman" w:hAnsi="Times New Roman"/>
                <w:sz w:val="15"/>
                <w:szCs w:val="15"/>
                <w:color w:val="231F20"/>
              </w:rPr>
              <w:t>11.61%</w:t>
            </w:r>
          </w:p>
        </w:tc>
        <w:tc>
          <w:tcPr>
            <w:tcW w:w="1000" w:type="dxa"/>
            <w:vAlign w:val="bottom"/>
            <w:shd w:val="clear" w:color="auto" w:fill="FDFDFC"/>
          </w:tcPr>
          <w:p>
            <w:pPr>
              <w:jc w:val="right"/>
              <w:spacing w:after="0" w:line="172" w:lineRule="exact"/>
              <w:rPr>
                <w:sz w:val="20"/>
                <w:szCs w:val="20"/>
                <w:color w:val="auto"/>
              </w:rPr>
            </w:pPr>
            <w:r>
              <w:rPr>
                <w:rFonts w:ascii="Times New Roman" w:cs="Times New Roman" w:eastAsia="Times New Roman" w:hAnsi="Times New Roman"/>
                <w:sz w:val="15"/>
                <w:szCs w:val="15"/>
                <w:color w:val="231F20"/>
              </w:rPr>
              <w:t>48,089</w:t>
            </w:r>
          </w:p>
        </w:tc>
        <w:tc>
          <w:tcPr>
            <w:tcW w:w="1680" w:type="dxa"/>
            <w:vAlign w:val="bottom"/>
            <w:gridSpan w:val="2"/>
            <w:shd w:val="clear" w:color="auto" w:fill="FDFDFC"/>
          </w:tcPr>
          <w:p>
            <w:pPr>
              <w:jc w:val="right"/>
              <w:spacing w:after="0" w:line="172" w:lineRule="exact"/>
              <w:rPr>
                <w:sz w:val="20"/>
                <w:szCs w:val="20"/>
                <w:color w:val="auto"/>
              </w:rPr>
            </w:pPr>
            <w:r>
              <w:rPr>
                <w:rFonts w:ascii="Times New Roman" w:cs="Times New Roman" w:eastAsia="Times New Roman" w:hAnsi="Times New Roman"/>
                <w:sz w:val="15"/>
                <w:szCs w:val="15"/>
                <w:color w:val="231F20"/>
              </w:rPr>
              <w:t>49,473</w:t>
            </w:r>
          </w:p>
        </w:tc>
        <w:tc>
          <w:tcPr>
            <w:tcW w:w="960" w:type="dxa"/>
            <w:vAlign w:val="bottom"/>
            <w:gridSpan w:val="2"/>
            <w:shd w:val="clear" w:color="auto" w:fill="FDFDFC"/>
          </w:tcPr>
          <w:p>
            <w:pPr>
              <w:jc w:val="right"/>
              <w:spacing w:after="0" w:line="172" w:lineRule="exact"/>
              <w:rPr>
                <w:sz w:val="20"/>
                <w:szCs w:val="20"/>
                <w:color w:val="auto"/>
              </w:rPr>
            </w:pPr>
            <w:r>
              <w:rPr>
                <w:rFonts w:ascii="Times New Roman" w:cs="Times New Roman" w:eastAsia="Times New Roman" w:hAnsi="Times New Roman"/>
                <w:sz w:val="15"/>
                <w:szCs w:val="15"/>
                <w:color w:val="231F20"/>
              </w:rPr>
              <w:t>3.1%</w:t>
            </w:r>
          </w:p>
        </w:tc>
      </w:tr>
      <w:tr>
        <w:trPr>
          <w:trHeight w:val="189"/>
        </w:trPr>
        <w:tc>
          <w:tcPr>
            <w:tcW w:w="1580" w:type="dxa"/>
            <w:vAlign w:val="bottom"/>
            <w:shd w:val="clear" w:color="auto" w:fill="FDFDFC"/>
          </w:tcPr>
          <w:p>
            <w:pPr>
              <w:spacing w:after="0"/>
              <w:rPr>
                <w:sz w:val="16"/>
                <w:szCs w:val="16"/>
                <w:color w:val="auto"/>
              </w:rPr>
            </w:pPr>
          </w:p>
        </w:tc>
        <w:tc>
          <w:tcPr>
            <w:tcW w:w="2200" w:type="dxa"/>
            <w:vAlign w:val="bottom"/>
            <w:shd w:val="clear" w:color="auto" w:fill="FDFDFC"/>
          </w:tcPr>
          <w:p>
            <w:pPr>
              <w:ind w:left="60"/>
              <w:spacing w:after="0"/>
              <w:rPr>
                <w:sz w:val="20"/>
                <w:szCs w:val="20"/>
                <w:color w:val="auto"/>
              </w:rPr>
            </w:pPr>
            <w:r>
              <w:rPr>
                <w:rFonts w:ascii="Times New Roman" w:cs="Times New Roman" w:eastAsia="Times New Roman" w:hAnsi="Times New Roman"/>
                <w:sz w:val="15"/>
                <w:szCs w:val="15"/>
                <w:color w:val="231F20"/>
              </w:rPr>
              <w:t>12/2028)</w:t>
            </w:r>
          </w:p>
        </w:tc>
        <w:tc>
          <w:tcPr>
            <w:tcW w:w="800" w:type="dxa"/>
            <w:vAlign w:val="bottom"/>
            <w:shd w:val="clear" w:color="auto" w:fill="FDFDFC"/>
          </w:tcPr>
          <w:p>
            <w:pPr>
              <w:spacing w:after="0"/>
              <w:rPr>
                <w:sz w:val="16"/>
                <w:szCs w:val="16"/>
                <w:color w:val="auto"/>
              </w:rPr>
            </w:pPr>
          </w:p>
        </w:tc>
        <w:tc>
          <w:tcPr>
            <w:tcW w:w="1020" w:type="dxa"/>
            <w:vAlign w:val="bottom"/>
            <w:shd w:val="clear" w:color="auto" w:fill="FDFDFC"/>
          </w:tcPr>
          <w:p>
            <w:pPr>
              <w:jc w:val="right"/>
              <w:ind w:right="64"/>
              <w:spacing w:after="0"/>
              <w:rPr>
                <w:sz w:val="20"/>
                <w:szCs w:val="20"/>
                <w:color w:val="auto"/>
              </w:rPr>
            </w:pPr>
            <w:r>
              <w:rPr>
                <w:rFonts w:ascii="Times New Roman" w:cs="Times New Roman" w:eastAsia="Times New Roman" w:hAnsi="Times New Roman"/>
                <w:sz w:val="15"/>
                <w:szCs w:val="15"/>
                <w:color w:val="231F20"/>
              </w:rPr>
              <w:t>7.25%</w:t>
            </w:r>
          </w:p>
        </w:tc>
        <w:tc>
          <w:tcPr>
            <w:tcW w:w="1040" w:type="dxa"/>
            <w:vAlign w:val="bottom"/>
            <w:shd w:val="clear" w:color="auto" w:fill="FDFDFC"/>
          </w:tcPr>
          <w:p>
            <w:pPr>
              <w:spacing w:after="0"/>
              <w:rPr>
                <w:sz w:val="16"/>
                <w:szCs w:val="16"/>
                <w:color w:val="auto"/>
              </w:rPr>
            </w:pPr>
          </w:p>
        </w:tc>
        <w:tc>
          <w:tcPr>
            <w:tcW w:w="1000" w:type="dxa"/>
            <w:vAlign w:val="bottom"/>
            <w:shd w:val="clear" w:color="auto" w:fill="FDFDFC"/>
          </w:tcPr>
          <w:p>
            <w:pPr>
              <w:spacing w:after="0"/>
              <w:rPr>
                <w:sz w:val="16"/>
                <w:szCs w:val="16"/>
                <w:color w:val="auto"/>
              </w:rPr>
            </w:pPr>
          </w:p>
        </w:tc>
        <w:tc>
          <w:tcPr>
            <w:tcW w:w="80" w:type="dxa"/>
            <w:vAlign w:val="bottom"/>
            <w:shd w:val="clear" w:color="auto" w:fill="FDFDFC"/>
          </w:tcPr>
          <w:p>
            <w:pPr>
              <w:spacing w:after="0"/>
              <w:rPr>
                <w:sz w:val="16"/>
                <w:szCs w:val="16"/>
                <w:color w:val="auto"/>
              </w:rPr>
            </w:pPr>
          </w:p>
        </w:tc>
        <w:tc>
          <w:tcPr>
            <w:tcW w:w="1600" w:type="dxa"/>
            <w:vAlign w:val="bottom"/>
            <w:shd w:val="clear" w:color="auto" w:fill="FDFDFC"/>
          </w:tcPr>
          <w:p>
            <w:pPr>
              <w:spacing w:after="0"/>
              <w:rPr>
                <w:sz w:val="16"/>
                <w:szCs w:val="16"/>
                <w:color w:val="auto"/>
              </w:rPr>
            </w:pPr>
          </w:p>
        </w:tc>
        <w:tc>
          <w:tcPr>
            <w:tcW w:w="100" w:type="dxa"/>
            <w:vAlign w:val="bottom"/>
            <w:shd w:val="clear" w:color="auto" w:fill="FDFDFC"/>
          </w:tcPr>
          <w:p>
            <w:pPr>
              <w:spacing w:after="0"/>
              <w:rPr>
                <w:sz w:val="16"/>
                <w:szCs w:val="16"/>
                <w:color w:val="auto"/>
              </w:rPr>
            </w:pPr>
          </w:p>
        </w:tc>
        <w:tc>
          <w:tcPr>
            <w:tcW w:w="860" w:type="dxa"/>
            <w:vAlign w:val="bottom"/>
            <w:shd w:val="clear" w:color="auto" w:fill="FDFDFC"/>
          </w:tcPr>
          <w:p>
            <w:pPr>
              <w:spacing w:after="0"/>
              <w:rPr>
                <w:sz w:val="16"/>
                <w:szCs w:val="16"/>
                <w:color w:val="auto"/>
              </w:rPr>
            </w:pPr>
          </w:p>
        </w:tc>
      </w:tr>
      <w:tr>
        <w:trPr>
          <w:trHeight w:val="171"/>
        </w:trPr>
        <w:tc>
          <w:tcPr>
            <w:tcW w:w="1580" w:type="dxa"/>
            <w:vAlign w:val="bottom"/>
            <w:shd w:val="clear" w:color="auto" w:fill="D0EBF2"/>
          </w:tcPr>
          <w:p>
            <w:pPr>
              <w:spacing w:after="0"/>
              <w:rPr>
                <w:sz w:val="14"/>
                <w:szCs w:val="14"/>
                <w:color w:val="auto"/>
              </w:rPr>
            </w:pPr>
          </w:p>
        </w:tc>
        <w:tc>
          <w:tcPr>
            <w:tcW w:w="2200" w:type="dxa"/>
            <w:vAlign w:val="bottom"/>
            <w:shd w:val="clear" w:color="auto" w:fill="D0EBF2"/>
          </w:tcPr>
          <w:p>
            <w:pPr>
              <w:ind w:left="60"/>
              <w:spacing w:after="0" w:line="172" w:lineRule="exact"/>
              <w:rPr>
                <w:sz w:val="20"/>
                <w:szCs w:val="20"/>
                <w:color w:val="auto"/>
              </w:rPr>
            </w:pPr>
            <w:r>
              <w:rPr>
                <w:rFonts w:ascii="Times New Roman" w:cs="Times New Roman" w:eastAsia="Times New Roman" w:hAnsi="Times New Roman"/>
                <w:sz w:val="15"/>
                <w:szCs w:val="15"/>
                <w:color w:val="231F20"/>
              </w:rPr>
              <w:t>First-lien revolving loan ($1,807</w:t>
            </w:r>
          </w:p>
        </w:tc>
        <w:tc>
          <w:tcPr>
            <w:tcW w:w="800" w:type="dxa"/>
            <w:vAlign w:val="bottom"/>
            <w:shd w:val="clear" w:color="auto" w:fill="D0EBF2"/>
          </w:tcPr>
          <w:p>
            <w:pPr>
              <w:jc w:val="right"/>
              <w:spacing w:after="0" w:line="172" w:lineRule="exact"/>
              <w:rPr>
                <w:sz w:val="20"/>
                <w:szCs w:val="20"/>
                <w:color w:val="auto"/>
              </w:rPr>
            </w:pPr>
            <w:r>
              <w:rPr>
                <w:rFonts w:ascii="Times New Roman" w:cs="Times New Roman" w:eastAsia="Times New Roman" w:hAnsi="Times New Roman"/>
                <w:sz w:val="15"/>
                <w:szCs w:val="15"/>
                <w:color w:val="231F20"/>
              </w:rPr>
              <w:t>12/16/2022</w:t>
            </w:r>
          </w:p>
        </w:tc>
        <w:tc>
          <w:tcPr>
            <w:tcW w:w="1020" w:type="dxa"/>
            <w:vAlign w:val="bottom"/>
            <w:shd w:val="clear" w:color="auto" w:fill="D0EBF2"/>
          </w:tcPr>
          <w:p>
            <w:pPr>
              <w:jc w:val="right"/>
              <w:ind w:right="64"/>
              <w:spacing w:after="0" w:line="172" w:lineRule="exact"/>
              <w:rPr>
                <w:sz w:val="20"/>
                <w:szCs w:val="20"/>
                <w:color w:val="auto"/>
              </w:rPr>
            </w:pPr>
            <w:r>
              <w:rPr>
                <w:rFonts w:ascii="Times New Roman" w:cs="Times New Roman" w:eastAsia="Times New Roman" w:hAnsi="Times New Roman"/>
                <w:sz w:val="15"/>
                <w:szCs w:val="15"/>
                <w:color w:val="231F20"/>
              </w:rPr>
              <w:t>SOFR +</w:t>
            </w:r>
          </w:p>
        </w:tc>
        <w:tc>
          <w:tcPr>
            <w:tcW w:w="1040" w:type="dxa"/>
            <w:vAlign w:val="bottom"/>
            <w:shd w:val="clear" w:color="auto" w:fill="D0EBF2"/>
          </w:tcPr>
          <w:p>
            <w:pPr>
              <w:jc w:val="right"/>
              <w:ind w:right="64"/>
              <w:spacing w:after="0" w:line="172" w:lineRule="exact"/>
              <w:rPr>
                <w:sz w:val="20"/>
                <w:szCs w:val="20"/>
                <w:color w:val="auto"/>
              </w:rPr>
            </w:pPr>
            <w:r>
              <w:rPr>
                <w:rFonts w:ascii="Times New Roman" w:cs="Times New Roman" w:eastAsia="Times New Roman" w:hAnsi="Times New Roman"/>
                <w:sz w:val="15"/>
                <w:szCs w:val="15"/>
                <w:color w:val="231F20"/>
              </w:rPr>
              <w:t>11.76%</w:t>
            </w:r>
          </w:p>
        </w:tc>
        <w:tc>
          <w:tcPr>
            <w:tcW w:w="1000" w:type="dxa"/>
            <w:vAlign w:val="bottom"/>
            <w:shd w:val="clear" w:color="auto" w:fill="D0EBF2"/>
          </w:tcPr>
          <w:p>
            <w:pPr>
              <w:jc w:val="right"/>
              <w:spacing w:after="0" w:line="172" w:lineRule="exact"/>
              <w:rPr>
                <w:sz w:val="20"/>
                <w:szCs w:val="20"/>
                <w:color w:val="auto"/>
              </w:rPr>
            </w:pPr>
            <w:r>
              <w:rPr>
                <w:rFonts w:ascii="Times New Roman" w:cs="Times New Roman" w:eastAsia="Times New Roman" w:hAnsi="Times New Roman"/>
                <w:sz w:val="15"/>
                <w:szCs w:val="15"/>
                <w:color w:val="231F20"/>
              </w:rPr>
              <w:t>1,712</w:t>
            </w:r>
          </w:p>
        </w:tc>
        <w:tc>
          <w:tcPr>
            <w:tcW w:w="1680" w:type="dxa"/>
            <w:vAlign w:val="bottom"/>
            <w:gridSpan w:val="2"/>
            <w:shd w:val="clear" w:color="auto" w:fill="D0EBF2"/>
          </w:tcPr>
          <w:p>
            <w:pPr>
              <w:jc w:val="right"/>
              <w:spacing w:after="0" w:line="172" w:lineRule="exact"/>
              <w:rPr>
                <w:sz w:val="20"/>
                <w:szCs w:val="20"/>
                <w:color w:val="auto"/>
              </w:rPr>
            </w:pPr>
            <w:r>
              <w:rPr>
                <w:rFonts w:ascii="Times New Roman" w:cs="Times New Roman" w:eastAsia="Times New Roman" w:hAnsi="Times New Roman"/>
                <w:sz w:val="15"/>
                <w:szCs w:val="15"/>
                <w:color w:val="231F20"/>
              </w:rPr>
              <w:t>1,855</w:t>
            </w:r>
          </w:p>
        </w:tc>
        <w:tc>
          <w:tcPr>
            <w:tcW w:w="960" w:type="dxa"/>
            <w:vAlign w:val="bottom"/>
            <w:gridSpan w:val="2"/>
            <w:shd w:val="clear" w:color="auto" w:fill="D0EBF2"/>
          </w:tcPr>
          <w:p>
            <w:pPr>
              <w:jc w:val="right"/>
              <w:spacing w:after="0" w:line="172" w:lineRule="exact"/>
              <w:rPr>
                <w:sz w:val="20"/>
                <w:szCs w:val="20"/>
                <w:color w:val="auto"/>
              </w:rPr>
            </w:pPr>
            <w:r>
              <w:rPr>
                <w:rFonts w:ascii="Times New Roman" w:cs="Times New Roman" w:eastAsia="Times New Roman" w:hAnsi="Times New Roman"/>
                <w:sz w:val="15"/>
                <w:szCs w:val="15"/>
                <w:color w:val="231F20"/>
              </w:rPr>
              <w:t>0.1%</w:t>
            </w:r>
          </w:p>
        </w:tc>
      </w:tr>
      <w:tr>
        <w:trPr>
          <w:trHeight w:val="189"/>
        </w:trPr>
        <w:tc>
          <w:tcPr>
            <w:tcW w:w="1580" w:type="dxa"/>
            <w:vAlign w:val="bottom"/>
            <w:shd w:val="clear" w:color="auto" w:fill="D0EBF2"/>
          </w:tcPr>
          <w:p>
            <w:pPr>
              <w:spacing w:after="0"/>
              <w:rPr>
                <w:sz w:val="16"/>
                <w:szCs w:val="16"/>
                <w:color w:val="auto"/>
              </w:rPr>
            </w:pPr>
          </w:p>
        </w:tc>
        <w:tc>
          <w:tcPr>
            <w:tcW w:w="2200" w:type="dxa"/>
            <w:vAlign w:val="bottom"/>
            <w:shd w:val="clear" w:color="auto" w:fill="D0EBF2"/>
          </w:tcPr>
          <w:p>
            <w:pPr>
              <w:ind w:left="60"/>
              <w:spacing w:after="0"/>
              <w:rPr>
                <w:sz w:val="20"/>
                <w:szCs w:val="20"/>
                <w:color w:val="auto"/>
              </w:rPr>
            </w:pPr>
            <w:r>
              <w:rPr>
                <w:rFonts w:ascii="Times New Roman" w:cs="Times New Roman" w:eastAsia="Times New Roman" w:hAnsi="Times New Roman"/>
                <w:sz w:val="15"/>
                <w:szCs w:val="15"/>
                <w:color w:val="231F20"/>
              </w:rPr>
              <w:t>par, due 12/2028)</w:t>
            </w:r>
          </w:p>
        </w:tc>
        <w:tc>
          <w:tcPr>
            <w:tcW w:w="800" w:type="dxa"/>
            <w:vAlign w:val="bottom"/>
            <w:shd w:val="clear" w:color="auto" w:fill="D0EBF2"/>
          </w:tcPr>
          <w:p>
            <w:pPr>
              <w:spacing w:after="0"/>
              <w:rPr>
                <w:sz w:val="16"/>
                <w:szCs w:val="16"/>
                <w:color w:val="auto"/>
              </w:rPr>
            </w:pPr>
          </w:p>
        </w:tc>
        <w:tc>
          <w:tcPr>
            <w:tcW w:w="1020" w:type="dxa"/>
            <w:vAlign w:val="bottom"/>
            <w:shd w:val="clear" w:color="auto" w:fill="D0EBF2"/>
          </w:tcPr>
          <w:p>
            <w:pPr>
              <w:jc w:val="right"/>
              <w:ind w:right="64"/>
              <w:spacing w:after="0"/>
              <w:rPr>
                <w:sz w:val="20"/>
                <w:szCs w:val="20"/>
                <w:color w:val="auto"/>
              </w:rPr>
            </w:pPr>
            <w:r>
              <w:rPr>
                <w:rFonts w:ascii="Times New Roman" w:cs="Times New Roman" w:eastAsia="Times New Roman" w:hAnsi="Times New Roman"/>
                <w:sz w:val="15"/>
                <w:szCs w:val="15"/>
                <w:color w:val="231F20"/>
              </w:rPr>
              <w:t>7.25%</w:t>
            </w:r>
          </w:p>
        </w:tc>
        <w:tc>
          <w:tcPr>
            <w:tcW w:w="1040" w:type="dxa"/>
            <w:vAlign w:val="bottom"/>
            <w:shd w:val="clear" w:color="auto" w:fill="D0EBF2"/>
          </w:tcPr>
          <w:p>
            <w:pPr>
              <w:spacing w:after="0"/>
              <w:rPr>
                <w:sz w:val="16"/>
                <w:szCs w:val="16"/>
                <w:color w:val="auto"/>
              </w:rPr>
            </w:pPr>
          </w:p>
        </w:tc>
        <w:tc>
          <w:tcPr>
            <w:tcW w:w="1000" w:type="dxa"/>
            <w:vAlign w:val="bottom"/>
            <w:shd w:val="clear" w:color="auto" w:fill="D0EBF2"/>
          </w:tcPr>
          <w:p>
            <w:pPr>
              <w:spacing w:after="0"/>
              <w:rPr>
                <w:sz w:val="16"/>
                <w:szCs w:val="16"/>
                <w:color w:val="auto"/>
              </w:rPr>
            </w:pPr>
          </w:p>
        </w:tc>
        <w:tc>
          <w:tcPr>
            <w:tcW w:w="80" w:type="dxa"/>
            <w:vAlign w:val="bottom"/>
            <w:shd w:val="clear" w:color="auto" w:fill="D0EBF2"/>
          </w:tcPr>
          <w:p>
            <w:pPr>
              <w:spacing w:after="0"/>
              <w:rPr>
                <w:sz w:val="16"/>
                <w:szCs w:val="16"/>
                <w:color w:val="auto"/>
              </w:rPr>
            </w:pPr>
          </w:p>
        </w:tc>
        <w:tc>
          <w:tcPr>
            <w:tcW w:w="1600" w:type="dxa"/>
            <w:vAlign w:val="bottom"/>
            <w:shd w:val="clear" w:color="auto" w:fill="D0EBF2"/>
          </w:tcPr>
          <w:p>
            <w:pPr>
              <w:spacing w:after="0"/>
              <w:rPr>
                <w:sz w:val="16"/>
                <w:szCs w:val="16"/>
                <w:color w:val="auto"/>
              </w:rPr>
            </w:pPr>
          </w:p>
        </w:tc>
        <w:tc>
          <w:tcPr>
            <w:tcW w:w="100" w:type="dxa"/>
            <w:vAlign w:val="bottom"/>
            <w:shd w:val="clear" w:color="auto" w:fill="D0EBF2"/>
          </w:tcPr>
          <w:p>
            <w:pPr>
              <w:spacing w:after="0"/>
              <w:rPr>
                <w:sz w:val="16"/>
                <w:szCs w:val="16"/>
                <w:color w:val="auto"/>
              </w:rPr>
            </w:pPr>
          </w:p>
        </w:tc>
        <w:tc>
          <w:tcPr>
            <w:tcW w:w="860" w:type="dxa"/>
            <w:vAlign w:val="bottom"/>
            <w:shd w:val="clear" w:color="auto" w:fill="D0EBF2"/>
          </w:tcPr>
          <w:p>
            <w:pPr>
              <w:spacing w:after="0"/>
              <w:rPr>
                <w:sz w:val="16"/>
                <w:szCs w:val="16"/>
                <w:color w:val="auto"/>
              </w:rPr>
            </w:pPr>
          </w:p>
        </w:tc>
      </w:tr>
      <w:tr>
        <w:trPr>
          <w:trHeight w:val="171"/>
        </w:trPr>
        <w:tc>
          <w:tcPr>
            <w:tcW w:w="1580" w:type="dxa"/>
            <w:vAlign w:val="bottom"/>
            <w:shd w:val="clear" w:color="auto" w:fill="FDFDFC"/>
          </w:tcPr>
          <w:p>
            <w:pPr>
              <w:spacing w:after="0" w:line="172" w:lineRule="exact"/>
              <w:rPr>
                <w:sz w:val="20"/>
                <w:szCs w:val="20"/>
                <w:color w:val="auto"/>
              </w:rPr>
            </w:pPr>
            <w:r>
              <w:rPr>
                <w:rFonts w:ascii="Times New Roman" w:cs="Times New Roman" w:eastAsia="Times New Roman" w:hAnsi="Times New Roman"/>
                <w:sz w:val="15"/>
                <w:szCs w:val="15"/>
                <w:color w:val="231F20"/>
              </w:rPr>
              <w:t>CLGF Holdco 2,</w:t>
            </w:r>
          </w:p>
        </w:tc>
        <w:tc>
          <w:tcPr>
            <w:tcW w:w="2200" w:type="dxa"/>
            <w:vAlign w:val="bottom"/>
            <w:shd w:val="clear" w:color="auto" w:fill="FDFDFC"/>
          </w:tcPr>
          <w:p>
            <w:pPr>
              <w:ind w:left="60"/>
              <w:spacing w:after="0" w:line="172" w:lineRule="exact"/>
              <w:rPr>
                <w:sz w:val="20"/>
                <w:szCs w:val="20"/>
                <w:color w:val="auto"/>
              </w:rPr>
            </w:pPr>
            <w:r>
              <w:rPr>
                <w:rFonts w:ascii="Times New Roman" w:cs="Times New Roman" w:eastAsia="Times New Roman" w:hAnsi="Times New Roman"/>
                <w:sz w:val="15"/>
                <w:szCs w:val="15"/>
                <w:color w:val="231F20"/>
              </w:rPr>
              <w:t>First-lien loan ($3,916 par, due</w:t>
            </w:r>
          </w:p>
        </w:tc>
        <w:tc>
          <w:tcPr>
            <w:tcW w:w="800" w:type="dxa"/>
            <w:vAlign w:val="bottom"/>
            <w:shd w:val="clear" w:color="auto" w:fill="FDFDFC"/>
          </w:tcPr>
          <w:p>
            <w:pPr>
              <w:jc w:val="right"/>
              <w:spacing w:after="0" w:line="172" w:lineRule="exact"/>
              <w:rPr>
                <w:sz w:val="20"/>
                <w:szCs w:val="20"/>
                <w:color w:val="auto"/>
              </w:rPr>
            </w:pPr>
            <w:r>
              <w:rPr>
                <w:rFonts w:ascii="Times New Roman" w:cs="Times New Roman" w:eastAsia="Times New Roman" w:hAnsi="Times New Roman"/>
                <w:sz w:val="15"/>
                <w:szCs w:val="15"/>
                <w:color w:val="231F20"/>
              </w:rPr>
              <w:t>11/7/2023</w:t>
            </w:r>
          </w:p>
        </w:tc>
        <w:tc>
          <w:tcPr>
            <w:tcW w:w="1020" w:type="dxa"/>
            <w:vAlign w:val="bottom"/>
            <w:shd w:val="clear" w:color="auto" w:fill="FDFDFC"/>
          </w:tcPr>
          <w:p>
            <w:pPr>
              <w:jc w:val="right"/>
              <w:ind w:right="64"/>
              <w:spacing w:after="0" w:line="172" w:lineRule="exact"/>
              <w:rPr>
                <w:sz w:val="20"/>
                <w:szCs w:val="20"/>
                <w:color w:val="auto"/>
              </w:rPr>
            </w:pPr>
            <w:r>
              <w:rPr>
                <w:rFonts w:ascii="Times New Roman" w:cs="Times New Roman" w:eastAsia="Times New Roman" w:hAnsi="Times New Roman"/>
                <w:sz w:val="15"/>
                <w:szCs w:val="15"/>
                <w:color w:val="231F20"/>
              </w:rPr>
              <w:t>SOFR +</w:t>
            </w:r>
          </w:p>
        </w:tc>
        <w:tc>
          <w:tcPr>
            <w:tcW w:w="1040" w:type="dxa"/>
            <w:vAlign w:val="bottom"/>
            <w:shd w:val="clear" w:color="auto" w:fill="FDFDFC"/>
          </w:tcPr>
          <w:p>
            <w:pPr>
              <w:jc w:val="right"/>
              <w:ind w:right="64"/>
              <w:spacing w:after="0" w:line="172" w:lineRule="exact"/>
              <w:rPr>
                <w:sz w:val="20"/>
                <w:szCs w:val="20"/>
                <w:color w:val="auto"/>
              </w:rPr>
            </w:pPr>
            <w:r>
              <w:rPr>
                <w:rFonts w:ascii="Times New Roman" w:cs="Times New Roman" w:eastAsia="Times New Roman" w:hAnsi="Times New Roman"/>
                <w:sz w:val="15"/>
                <w:szCs w:val="15"/>
                <w:color w:val="231F20"/>
              </w:rPr>
              <w:t>12.83%</w:t>
            </w:r>
          </w:p>
        </w:tc>
        <w:tc>
          <w:tcPr>
            <w:tcW w:w="1000" w:type="dxa"/>
            <w:vAlign w:val="bottom"/>
            <w:shd w:val="clear" w:color="auto" w:fill="FDFDFC"/>
          </w:tcPr>
          <w:p>
            <w:pPr>
              <w:jc w:val="right"/>
              <w:spacing w:after="0" w:line="172" w:lineRule="exact"/>
              <w:rPr>
                <w:sz w:val="20"/>
                <w:szCs w:val="20"/>
                <w:color w:val="auto"/>
              </w:rPr>
            </w:pPr>
            <w:r>
              <w:rPr>
                <w:rFonts w:ascii="Times New Roman" w:cs="Times New Roman" w:eastAsia="Times New Roman" w:hAnsi="Times New Roman"/>
                <w:sz w:val="15"/>
                <w:szCs w:val="15"/>
                <w:color w:val="231F20"/>
              </w:rPr>
              <w:t>3,860</w:t>
            </w:r>
          </w:p>
        </w:tc>
        <w:tc>
          <w:tcPr>
            <w:tcW w:w="1680" w:type="dxa"/>
            <w:vAlign w:val="bottom"/>
            <w:gridSpan w:val="2"/>
            <w:shd w:val="clear" w:color="auto" w:fill="FDFDFC"/>
          </w:tcPr>
          <w:p>
            <w:pPr>
              <w:jc w:val="right"/>
              <w:spacing w:after="0" w:line="172" w:lineRule="exact"/>
              <w:rPr>
                <w:sz w:val="20"/>
                <w:szCs w:val="20"/>
                <w:color w:val="auto"/>
              </w:rPr>
            </w:pPr>
            <w:r>
              <w:rPr>
                <w:rFonts w:ascii="Times New Roman" w:cs="Times New Roman" w:eastAsia="Times New Roman" w:hAnsi="Times New Roman"/>
                <w:sz w:val="15"/>
                <w:szCs w:val="15"/>
                <w:color w:val="231F20"/>
              </w:rPr>
              <w:t>3,926</w:t>
            </w:r>
          </w:p>
        </w:tc>
        <w:tc>
          <w:tcPr>
            <w:tcW w:w="960" w:type="dxa"/>
            <w:vAlign w:val="bottom"/>
            <w:gridSpan w:val="2"/>
            <w:shd w:val="clear" w:color="auto" w:fill="FDFDFC"/>
          </w:tcPr>
          <w:p>
            <w:pPr>
              <w:jc w:val="right"/>
              <w:spacing w:after="0" w:line="172" w:lineRule="exact"/>
              <w:rPr>
                <w:sz w:val="20"/>
                <w:szCs w:val="20"/>
                <w:color w:val="auto"/>
              </w:rPr>
            </w:pPr>
            <w:r>
              <w:rPr>
                <w:rFonts w:ascii="Times New Roman" w:cs="Times New Roman" w:eastAsia="Times New Roman" w:hAnsi="Times New Roman"/>
                <w:sz w:val="15"/>
                <w:szCs w:val="15"/>
                <w:color w:val="231F20"/>
              </w:rPr>
              <w:t>0.2%</w:t>
            </w:r>
          </w:p>
        </w:tc>
      </w:tr>
      <w:tr>
        <w:trPr>
          <w:trHeight w:val="189"/>
        </w:trPr>
        <w:tc>
          <w:tcPr>
            <w:tcW w:w="1580" w:type="dxa"/>
            <w:vAlign w:val="bottom"/>
            <w:shd w:val="clear" w:color="auto" w:fill="FDFDFC"/>
          </w:tcPr>
          <w:p>
            <w:pPr>
              <w:spacing w:after="0" w:line="190" w:lineRule="exact"/>
              <w:rPr>
                <w:sz w:val="20"/>
                <w:szCs w:val="20"/>
                <w:color w:val="auto"/>
              </w:rPr>
            </w:pPr>
            <w:r>
              <w:rPr>
                <w:rFonts w:ascii="Times New Roman" w:cs="Times New Roman" w:eastAsia="Times New Roman" w:hAnsi="Times New Roman"/>
                <w:sz w:val="21"/>
                <w:szCs w:val="21"/>
                <w:color w:val="231F20"/>
                <w:vertAlign w:val="subscript"/>
              </w:rPr>
              <w:t>LLC</w:t>
            </w:r>
            <w:r>
              <w:rPr>
                <w:rFonts w:ascii="Times New Roman" w:cs="Times New Roman" w:eastAsia="Times New Roman" w:hAnsi="Times New Roman"/>
                <w:sz w:val="8"/>
                <w:szCs w:val="8"/>
                <w:color w:val="231F20"/>
              </w:rPr>
              <w:t>(3)(4)</w:t>
            </w:r>
          </w:p>
        </w:tc>
        <w:tc>
          <w:tcPr>
            <w:tcW w:w="2200" w:type="dxa"/>
            <w:vAlign w:val="bottom"/>
            <w:shd w:val="clear" w:color="auto" w:fill="FDFDFC"/>
          </w:tcPr>
          <w:p>
            <w:pPr>
              <w:ind w:left="60"/>
              <w:spacing w:after="0"/>
              <w:rPr>
                <w:sz w:val="20"/>
                <w:szCs w:val="20"/>
                <w:color w:val="auto"/>
              </w:rPr>
            </w:pPr>
            <w:r>
              <w:rPr>
                <w:rFonts w:ascii="Times New Roman" w:cs="Times New Roman" w:eastAsia="Times New Roman" w:hAnsi="Times New Roman"/>
                <w:sz w:val="15"/>
                <w:szCs w:val="15"/>
                <w:color w:val="231F20"/>
              </w:rPr>
              <w:t>11/2027)</w:t>
            </w:r>
          </w:p>
        </w:tc>
        <w:tc>
          <w:tcPr>
            <w:tcW w:w="800" w:type="dxa"/>
            <w:vAlign w:val="bottom"/>
            <w:shd w:val="clear" w:color="auto" w:fill="FDFDFC"/>
          </w:tcPr>
          <w:p>
            <w:pPr>
              <w:spacing w:after="0"/>
              <w:rPr>
                <w:sz w:val="16"/>
                <w:szCs w:val="16"/>
                <w:color w:val="auto"/>
              </w:rPr>
            </w:pPr>
          </w:p>
        </w:tc>
        <w:tc>
          <w:tcPr>
            <w:tcW w:w="1020" w:type="dxa"/>
            <w:vAlign w:val="bottom"/>
            <w:shd w:val="clear" w:color="auto" w:fill="FDFDFC"/>
          </w:tcPr>
          <w:p>
            <w:pPr>
              <w:jc w:val="right"/>
              <w:ind w:right="64"/>
              <w:spacing w:after="0"/>
              <w:rPr>
                <w:sz w:val="20"/>
                <w:szCs w:val="20"/>
                <w:color w:val="auto"/>
              </w:rPr>
            </w:pPr>
            <w:r>
              <w:rPr>
                <w:rFonts w:ascii="Times New Roman" w:cs="Times New Roman" w:eastAsia="Times New Roman" w:hAnsi="Times New Roman"/>
                <w:sz w:val="15"/>
                <w:szCs w:val="15"/>
                <w:color w:val="231F20"/>
              </w:rPr>
              <w:t>8.50%</w:t>
            </w:r>
          </w:p>
        </w:tc>
        <w:tc>
          <w:tcPr>
            <w:tcW w:w="1040" w:type="dxa"/>
            <w:vAlign w:val="bottom"/>
            <w:shd w:val="clear" w:color="auto" w:fill="FDFDFC"/>
          </w:tcPr>
          <w:p>
            <w:pPr>
              <w:spacing w:after="0"/>
              <w:rPr>
                <w:sz w:val="16"/>
                <w:szCs w:val="16"/>
                <w:color w:val="auto"/>
              </w:rPr>
            </w:pPr>
          </w:p>
        </w:tc>
        <w:tc>
          <w:tcPr>
            <w:tcW w:w="1000" w:type="dxa"/>
            <w:vAlign w:val="bottom"/>
            <w:shd w:val="clear" w:color="auto" w:fill="FDFDFC"/>
          </w:tcPr>
          <w:p>
            <w:pPr>
              <w:spacing w:after="0"/>
              <w:rPr>
                <w:sz w:val="16"/>
                <w:szCs w:val="16"/>
                <w:color w:val="auto"/>
              </w:rPr>
            </w:pPr>
          </w:p>
        </w:tc>
        <w:tc>
          <w:tcPr>
            <w:tcW w:w="80" w:type="dxa"/>
            <w:vAlign w:val="bottom"/>
            <w:shd w:val="clear" w:color="auto" w:fill="FDFDFC"/>
          </w:tcPr>
          <w:p>
            <w:pPr>
              <w:spacing w:after="0"/>
              <w:rPr>
                <w:sz w:val="16"/>
                <w:szCs w:val="16"/>
                <w:color w:val="auto"/>
              </w:rPr>
            </w:pPr>
          </w:p>
        </w:tc>
        <w:tc>
          <w:tcPr>
            <w:tcW w:w="1600" w:type="dxa"/>
            <w:vAlign w:val="bottom"/>
            <w:shd w:val="clear" w:color="auto" w:fill="FDFDFC"/>
          </w:tcPr>
          <w:p>
            <w:pPr>
              <w:spacing w:after="0"/>
              <w:rPr>
                <w:sz w:val="16"/>
                <w:szCs w:val="16"/>
                <w:color w:val="auto"/>
              </w:rPr>
            </w:pPr>
          </w:p>
        </w:tc>
        <w:tc>
          <w:tcPr>
            <w:tcW w:w="100" w:type="dxa"/>
            <w:vAlign w:val="bottom"/>
            <w:shd w:val="clear" w:color="auto" w:fill="FDFDFC"/>
          </w:tcPr>
          <w:p>
            <w:pPr>
              <w:spacing w:after="0"/>
              <w:rPr>
                <w:sz w:val="16"/>
                <w:szCs w:val="16"/>
                <w:color w:val="auto"/>
              </w:rPr>
            </w:pPr>
          </w:p>
        </w:tc>
        <w:tc>
          <w:tcPr>
            <w:tcW w:w="860" w:type="dxa"/>
            <w:vAlign w:val="bottom"/>
            <w:shd w:val="clear" w:color="auto" w:fill="FDFDFC"/>
          </w:tcPr>
          <w:p>
            <w:pPr>
              <w:spacing w:after="0"/>
              <w:rPr>
                <w:sz w:val="16"/>
                <w:szCs w:val="16"/>
                <w:color w:val="auto"/>
              </w:rPr>
            </w:pPr>
          </w:p>
        </w:tc>
      </w:tr>
      <w:tr>
        <w:trPr>
          <w:trHeight w:val="171"/>
        </w:trPr>
        <w:tc>
          <w:tcPr>
            <w:tcW w:w="1580" w:type="dxa"/>
            <w:vAlign w:val="bottom"/>
            <w:shd w:val="clear" w:color="auto" w:fill="D0EBF2"/>
          </w:tcPr>
          <w:p>
            <w:pPr>
              <w:spacing w:after="0"/>
              <w:rPr>
                <w:sz w:val="14"/>
                <w:szCs w:val="14"/>
                <w:color w:val="auto"/>
              </w:rPr>
            </w:pPr>
          </w:p>
        </w:tc>
        <w:tc>
          <w:tcPr>
            <w:tcW w:w="2200" w:type="dxa"/>
            <w:vAlign w:val="bottom"/>
            <w:shd w:val="clear" w:color="auto" w:fill="D0EBF2"/>
          </w:tcPr>
          <w:p>
            <w:pPr>
              <w:ind w:left="60"/>
              <w:spacing w:after="0" w:line="172" w:lineRule="exact"/>
              <w:rPr>
                <w:sz w:val="20"/>
                <w:szCs w:val="20"/>
                <w:color w:val="auto"/>
              </w:rPr>
            </w:pPr>
            <w:r>
              <w:rPr>
                <w:rFonts w:ascii="Times New Roman" w:cs="Times New Roman" w:eastAsia="Times New Roman" w:hAnsi="Times New Roman"/>
                <w:sz w:val="15"/>
                <w:szCs w:val="15"/>
                <w:color w:val="231F20"/>
              </w:rPr>
              <w:t>Second-lien loan ($3,357 par, due</w:t>
            </w:r>
          </w:p>
        </w:tc>
        <w:tc>
          <w:tcPr>
            <w:tcW w:w="800" w:type="dxa"/>
            <w:vAlign w:val="bottom"/>
            <w:shd w:val="clear" w:color="auto" w:fill="D0EBF2"/>
          </w:tcPr>
          <w:p>
            <w:pPr>
              <w:jc w:val="right"/>
              <w:spacing w:after="0" w:line="172" w:lineRule="exact"/>
              <w:rPr>
                <w:sz w:val="20"/>
                <w:szCs w:val="20"/>
                <w:color w:val="auto"/>
              </w:rPr>
            </w:pPr>
            <w:r>
              <w:rPr>
                <w:rFonts w:ascii="Times New Roman" w:cs="Times New Roman" w:eastAsia="Times New Roman" w:hAnsi="Times New Roman"/>
                <w:sz w:val="15"/>
                <w:szCs w:val="15"/>
                <w:color w:val="231F20"/>
              </w:rPr>
              <w:t>11/7/2023</w:t>
            </w:r>
          </w:p>
        </w:tc>
        <w:tc>
          <w:tcPr>
            <w:tcW w:w="1020" w:type="dxa"/>
            <w:vAlign w:val="bottom"/>
            <w:shd w:val="clear" w:color="auto" w:fill="D0EBF2"/>
          </w:tcPr>
          <w:p>
            <w:pPr>
              <w:jc w:val="right"/>
              <w:ind w:right="64"/>
              <w:spacing w:after="0" w:line="172" w:lineRule="exact"/>
              <w:rPr>
                <w:sz w:val="20"/>
                <w:szCs w:val="20"/>
                <w:color w:val="auto"/>
              </w:rPr>
            </w:pPr>
            <w:r>
              <w:rPr>
                <w:rFonts w:ascii="Times New Roman" w:cs="Times New Roman" w:eastAsia="Times New Roman" w:hAnsi="Times New Roman"/>
                <w:sz w:val="15"/>
                <w:szCs w:val="15"/>
                <w:color w:val="231F20"/>
              </w:rPr>
              <w:t>SOFR +</w:t>
            </w:r>
          </w:p>
        </w:tc>
        <w:tc>
          <w:tcPr>
            <w:tcW w:w="1040" w:type="dxa"/>
            <w:vAlign w:val="bottom"/>
            <w:shd w:val="clear" w:color="auto" w:fill="D0EBF2"/>
          </w:tcPr>
          <w:p>
            <w:pPr>
              <w:jc w:val="right"/>
              <w:ind w:right="64"/>
              <w:spacing w:after="0" w:line="172" w:lineRule="exact"/>
              <w:rPr>
                <w:sz w:val="20"/>
                <w:szCs w:val="20"/>
                <w:color w:val="auto"/>
              </w:rPr>
            </w:pPr>
            <w:r>
              <w:rPr>
                <w:rFonts w:ascii="Times New Roman" w:cs="Times New Roman" w:eastAsia="Times New Roman" w:hAnsi="Times New Roman"/>
                <w:sz w:val="15"/>
                <w:szCs w:val="15"/>
                <w:color w:val="231F20"/>
              </w:rPr>
              <w:t>16.33%</w:t>
            </w:r>
          </w:p>
        </w:tc>
        <w:tc>
          <w:tcPr>
            <w:tcW w:w="1000" w:type="dxa"/>
            <w:vAlign w:val="bottom"/>
            <w:shd w:val="clear" w:color="auto" w:fill="D0EBF2"/>
          </w:tcPr>
          <w:p>
            <w:pPr>
              <w:jc w:val="right"/>
              <w:spacing w:after="0" w:line="172" w:lineRule="exact"/>
              <w:rPr>
                <w:sz w:val="20"/>
                <w:szCs w:val="20"/>
                <w:color w:val="auto"/>
              </w:rPr>
            </w:pPr>
            <w:r>
              <w:rPr>
                <w:rFonts w:ascii="Times New Roman" w:cs="Times New Roman" w:eastAsia="Times New Roman" w:hAnsi="Times New Roman"/>
                <w:sz w:val="15"/>
                <w:szCs w:val="15"/>
                <w:color w:val="231F20"/>
              </w:rPr>
              <w:t>3,150</w:t>
            </w:r>
          </w:p>
        </w:tc>
        <w:tc>
          <w:tcPr>
            <w:tcW w:w="1680" w:type="dxa"/>
            <w:vAlign w:val="bottom"/>
            <w:gridSpan w:val="2"/>
            <w:shd w:val="clear" w:color="auto" w:fill="D0EBF2"/>
          </w:tcPr>
          <w:p>
            <w:pPr>
              <w:jc w:val="right"/>
              <w:spacing w:after="0" w:line="172" w:lineRule="exact"/>
              <w:rPr>
                <w:sz w:val="20"/>
                <w:szCs w:val="20"/>
                <w:color w:val="auto"/>
              </w:rPr>
            </w:pPr>
            <w:r>
              <w:rPr>
                <w:rFonts w:ascii="Times New Roman" w:cs="Times New Roman" w:eastAsia="Times New Roman" w:hAnsi="Times New Roman"/>
                <w:sz w:val="15"/>
                <w:szCs w:val="15"/>
                <w:color w:val="231F20"/>
              </w:rPr>
              <w:t>3,357</w:t>
            </w:r>
          </w:p>
        </w:tc>
        <w:tc>
          <w:tcPr>
            <w:tcW w:w="960" w:type="dxa"/>
            <w:vAlign w:val="bottom"/>
            <w:gridSpan w:val="2"/>
            <w:shd w:val="clear" w:color="auto" w:fill="D0EBF2"/>
          </w:tcPr>
          <w:p>
            <w:pPr>
              <w:jc w:val="right"/>
              <w:spacing w:after="0" w:line="172" w:lineRule="exact"/>
              <w:rPr>
                <w:sz w:val="20"/>
                <w:szCs w:val="20"/>
                <w:color w:val="auto"/>
              </w:rPr>
            </w:pPr>
            <w:r>
              <w:rPr>
                <w:rFonts w:ascii="Times New Roman" w:cs="Times New Roman" w:eastAsia="Times New Roman" w:hAnsi="Times New Roman"/>
                <w:sz w:val="15"/>
                <w:szCs w:val="15"/>
                <w:color w:val="231F20"/>
              </w:rPr>
              <w:t>0.2%</w:t>
            </w:r>
          </w:p>
        </w:tc>
      </w:tr>
      <w:tr>
        <w:trPr>
          <w:trHeight w:val="189"/>
        </w:trPr>
        <w:tc>
          <w:tcPr>
            <w:tcW w:w="1580" w:type="dxa"/>
            <w:vAlign w:val="bottom"/>
            <w:shd w:val="clear" w:color="auto" w:fill="D0EBF2"/>
          </w:tcPr>
          <w:p>
            <w:pPr>
              <w:spacing w:after="0"/>
              <w:rPr>
                <w:sz w:val="16"/>
                <w:szCs w:val="16"/>
                <w:color w:val="auto"/>
              </w:rPr>
            </w:pPr>
          </w:p>
        </w:tc>
        <w:tc>
          <w:tcPr>
            <w:tcW w:w="2200" w:type="dxa"/>
            <w:vAlign w:val="bottom"/>
            <w:shd w:val="clear" w:color="auto" w:fill="D0EBF2"/>
          </w:tcPr>
          <w:p>
            <w:pPr>
              <w:ind w:left="60"/>
              <w:spacing w:after="0"/>
              <w:rPr>
                <w:sz w:val="20"/>
                <w:szCs w:val="20"/>
                <w:color w:val="auto"/>
              </w:rPr>
            </w:pPr>
            <w:r>
              <w:rPr>
                <w:rFonts w:ascii="Times New Roman" w:cs="Times New Roman" w:eastAsia="Times New Roman" w:hAnsi="Times New Roman"/>
                <w:sz w:val="15"/>
                <w:szCs w:val="15"/>
                <w:color w:val="231F20"/>
              </w:rPr>
              <w:t>11/2028)</w:t>
            </w:r>
          </w:p>
        </w:tc>
        <w:tc>
          <w:tcPr>
            <w:tcW w:w="800" w:type="dxa"/>
            <w:vAlign w:val="bottom"/>
            <w:shd w:val="clear" w:color="auto" w:fill="D0EBF2"/>
          </w:tcPr>
          <w:p>
            <w:pPr>
              <w:spacing w:after="0"/>
              <w:rPr>
                <w:sz w:val="16"/>
                <w:szCs w:val="16"/>
                <w:color w:val="auto"/>
              </w:rPr>
            </w:pPr>
          </w:p>
        </w:tc>
        <w:tc>
          <w:tcPr>
            <w:tcW w:w="1020" w:type="dxa"/>
            <w:vAlign w:val="bottom"/>
            <w:shd w:val="clear" w:color="auto" w:fill="D0EBF2"/>
          </w:tcPr>
          <w:p>
            <w:pPr>
              <w:jc w:val="right"/>
              <w:ind w:right="64"/>
              <w:spacing w:after="0"/>
              <w:rPr>
                <w:sz w:val="20"/>
                <w:szCs w:val="20"/>
                <w:color w:val="auto"/>
              </w:rPr>
            </w:pPr>
            <w:r>
              <w:rPr>
                <w:rFonts w:ascii="Times New Roman" w:cs="Times New Roman" w:eastAsia="Times New Roman" w:hAnsi="Times New Roman"/>
                <w:sz w:val="15"/>
                <w:szCs w:val="15"/>
                <w:color w:val="231F20"/>
              </w:rPr>
              <w:t>12.00%</w:t>
            </w:r>
          </w:p>
        </w:tc>
        <w:tc>
          <w:tcPr>
            <w:tcW w:w="1040" w:type="dxa"/>
            <w:vAlign w:val="bottom"/>
            <w:shd w:val="clear" w:color="auto" w:fill="D0EBF2"/>
          </w:tcPr>
          <w:p>
            <w:pPr>
              <w:spacing w:after="0"/>
              <w:rPr>
                <w:sz w:val="16"/>
                <w:szCs w:val="16"/>
                <w:color w:val="auto"/>
              </w:rPr>
            </w:pPr>
          </w:p>
        </w:tc>
        <w:tc>
          <w:tcPr>
            <w:tcW w:w="1000" w:type="dxa"/>
            <w:vAlign w:val="bottom"/>
            <w:shd w:val="clear" w:color="auto" w:fill="D0EBF2"/>
          </w:tcPr>
          <w:p>
            <w:pPr>
              <w:spacing w:after="0"/>
              <w:rPr>
                <w:sz w:val="16"/>
                <w:szCs w:val="16"/>
                <w:color w:val="auto"/>
              </w:rPr>
            </w:pPr>
          </w:p>
        </w:tc>
        <w:tc>
          <w:tcPr>
            <w:tcW w:w="80" w:type="dxa"/>
            <w:vAlign w:val="bottom"/>
            <w:shd w:val="clear" w:color="auto" w:fill="D0EBF2"/>
          </w:tcPr>
          <w:p>
            <w:pPr>
              <w:spacing w:after="0"/>
              <w:rPr>
                <w:sz w:val="16"/>
                <w:szCs w:val="16"/>
                <w:color w:val="auto"/>
              </w:rPr>
            </w:pPr>
          </w:p>
        </w:tc>
        <w:tc>
          <w:tcPr>
            <w:tcW w:w="1600" w:type="dxa"/>
            <w:vAlign w:val="bottom"/>
            <w:shd w:val="clear" w:color="auto" w:fill="D0EBF2"/>
          </w:tcPr>
          <w:p>
            <w:pPr>
              <w:spacing w:after="0"/>
              <w:rPr>
                <w:sz w:val="16"/>
                <w:szCs w:val="16"/>
                <w:color w:val="auto"/>
              </w:rPr>
            </w:pPr>
          </w:p>
        </w:tc>
        <w:tc>
          <w:tcPr>
            <w:tcW w:w="100" w:type="dxa"/>
            <w:vAlign w:val="bottom"/>
            <w:shd w:val="clear" w:color="auto" w:fill="D0EBF2"/>
          </w:tcPr>
          <w:p>
            <w:pPr>
              <w:spacing w:after="0"/>
              <w:rPr>
                <w:sz w:val="16"/>
                <w:szCs w:val="16"/>
                <w:color w:val="auto"/>
              </w:rPr>
            </w:pPr>
          </w:p>
        </w:tc>
        <w:tc>
          <w:tcPr>
            <w:tcW w:w="860" w:type="dxa"/>
            <w:vAlign w:val="bottom"/>
            <w:shd w:val="clear" w:color="auto" w:fill="D0EBF2"/>
          </w:tcPr>
          <w:p>
            <w:pPr>
              <w:spacing w:after="0"/>
              <w:rPr>
                <w:sz w:val="16"/>
                <w:szCs w:val="16"/>
                <w:color w:val="auto"/>
              </w:rPr>
            </w:pPr>
          </w:p>
        </w:tc>
      </w:tr>
      <w:tr>
        <w:trPr>
          <w:trHeight w:val="171"/>
        </w:trPr>
        <w:tc>
          <w:tcPr>
            <w:tcW w:w="1580" w:type="dxa"/>
            <w:vAlign w:val="bottom"/>
            <w:shd w:val="clear" w:color="auto" w:fill="FDFDFC"/>
          </w:tcPr>
          <w:p>
            <w:pPr>
              <w:spacing w:after="0" w:line="172" w:lineRule="exact"/>
              <w:rPr>
                <w:sz w:val="20"/>
                <w:szCs w:val="20"/>
                <w:color w:val="auto"/>
              </w:rPr>
            </w:pPr>
            <w:r>
              <w:rPr>
                <w:rFonts w:ascii="Times New Roman" w:cs="Times New Roman" w:eastAsia="Times New Roman" w:hAnsi="Times New Roman"/>
                <w:sz w:val="15"/>
                <w:szCs w:val="15"/>
                <w:color w:val="231F20"/>
              </w:rPr>
              <w:t>Fullsteam Operations,</w:t>
            </w:r>
          </w:p>
        </w:tc>
        <w:tc>
          <w:tcPr>
            <w:tcW w:w="2200" w:type="dxa"/>
            <w:vAlign w:val="bottom"/>
            <w:shd w:val="clear" w:color="auto" w:fill="FDFDFC"/>
          </w:tcPr>
          <w:p>
            <w:pPr>
              <w:ind w:left="60"/>
              <w:spacing w:after="0" w:line="172" w:lineRule="exact"/>
              <w:rPr>
                <w:sz w:val="20"/>
                <w:szCs w:val="20"/>
                <w:color w:val="auto"/>
              </w:rPr>
            </w:pPr>
            <w:r>
              <w:rPr>
                <w:rFonts w:ascii="Times New Roman" w:cs="Times New Roman" w:eastAsia="Times New Roman" w:hAnsi="Times New Roman"/>
                <w:sz w:val="15"/>
                <w:szCs w:val="15"/>
                <w:color w:val="231F20"/>
              </w:rPr>
              <w:t>First-lien loan ($40,048 par, due</w:t>
            </w:r>
          </w:p>
        </w:tc>
        <w:tc>
          <w:tcPr>
            <w:tcW w:w="800" w:type="dxa"/>
            <w:vAlign w:val="bottom"/>
            <w:shd w:val="clear" w:color="auto" w:fill="FDFDFC"/>
          </w:tcPr>
          <w:p>
            <w:pPr>
              <w:jc w:val="right"/>
              <w:spacing w:after="0" w:line="172" w:lineRule="exact"/>
              <w:rPr>
                <w:sz w:val="20"/>
                <w:szCs w:val="20"/>
                <w:color w:val="auto"/>
              </w:rPr>
            </w:pPr>
            <w:r>
              <w:rPr>
                <w:rFonts w:ascii="Times New Roman" w:cs="Times New Roman" w:eastAsia="Times New Roman" w:hAnsi="Times New Roman"/>
                <w:sz w:val="15"/>
                <w:szCs w:val="15"/>
                <w:color w:val="231F20"/>
              </w:rPr>
              <w:t>11/27/2023</w:t>
            </w:r>
          </w:p>
        </w:tc>
        <w:tc>
          <w:tcPr>
            <w:tcW w:w="1020" w:type="dxa"/>
            <w:vAlign w:val="bottom"/>
            <w:shd w:val="clear" w:color="auto" w:fill="FDFDFC"/>
          </w:tcPr>
          <w:p>
            <w:pPr>
              <w:jc w:val="right"/>
              <w:ind w:right="64"/>
              <w:spacing w:after="0" w:line="172" w:lineRule="exact"/>
              <w:rPr>
                <w:sz w:val="20"/>
                <w:szCs w:val="20"/>
                <w:color w:val="auto"/>
              </w:rPr>
            </w:pPr>
            <w:r>
              <w:rPr>
                <w:rFonts w:ascii="Times New Roman" w:cs="Times New Roman" w:eastAsia="Times New Roman" w:hAnsi="Times New Roman"/>
                <w:sz w:val="15"/>
                <w:szCs w:val="15"/>
                <w:color w:val="231F20"/>
              </w:rPr>
              <w:t>SOFR +</w:t>
            </w:r>
          </w:p>
        </w:tc>
        <w:tc>
          <w:tcPr>
            <w:tcW w:w="1040" w:type="dxa"/>
            <w:vAlign w:val="bottom"/>
            <w:shd w:val="clear" w:color="auto" w:fill="FDFDFC"/>
          </w:tcPr>
          <w:p>
            <w:pPr>
              <w:jc w:val="right"/>
              <w:ind w:right="64"/>
              <w:spacing w:after="0" w:line="172" w:lineRule="exact"/>
              <w:rPr>
                <w:sz w:val="20"/>
                <w:szCs w:val="20"/>
                <w:color w:val="auto"/>
              </w:rPr>
            </w:pPr>
            <w:r>
              <w:rPr>
                <w:rFonts w:ascii="Times New Roman" w:cs="Times New Roman" w:eastAsia="Times New Roman" w:hAnsi="Times New Roman"/>
                <w:sz w:val="15"/>
                <w:szCs w:val="15"/>
                <w:color w:val="231F20"/>
              </w:rPr>
              <w:t>12.89%</w:t>
            </w:r>
          </w:p>
        </w:tc>
        <w:tc>
          <w:tcPr>
            <w:tcW w:w="1000" w:type="dxa"/>
            <w:vAlign w:val="bottom"/>
            <w:shd w:val="clear" w:color="auto" w:fill="FDFDFC"/>
          </w:tcPr>
          <w:p>
            <w:pPr>
              <w:jc w:val="right"/>
              <w:spacing w:after="0" w:line="172" w:lineRule="exact"/>
              <w:rPr>
                <w:sz w:val="20"/>
                <w:szCs w:val="20"/>
                <w:color w:val="auto"/>
              </w:rPr>
            </w:pPr>
            <w:r>
              <w:rPr>
                <w:rFonts w:ascii="Times New Roman" w:cs="Times New Roman" w:eastAsia="Times New Roman" w:hAnsi="Times New Roman"/>
                <w:sz w:val="15"/>
                <w:szCs w:val="15"/>
                <w:color w:val="231F20"/>
              </w:rPr>
              <w:t>38,946</w:t>
            </w:r>
          </w:p>
        </w:tc>
        <w:tc>
          <w:tcPr>
            <w:tcW w:w="1680" w:type="dxa"/>
            <w:vAlign w:val="bottom"/>
            <w:gridSpan w:val="2"/>
            <w:shd w:val="clear" w:color="auto" w:fill="FDFDFC"/>
          </w:tcPr>
          <w:p>
            <w:pPr>
              <w:jc w:val="right"/>
              <w:spacing w:after="0" w:line="172" w:lineRule="exact"/>
              <w:rPr>
                <w:sz w:val="20"/>
                <w:szCs w:val="20"/>
                <w:color w:val="auto"/>
              </w:rPr>
            </w:pPr>
            <w:r>
              <w:rPr>
                <w:rFonts w:ascii="Times New Roman" w:cs="Times New Roman" w:eastAsia="Times New Roman" w:hAnsi="Times New Roman"/>
                <w:sz w:val="15"/>
                <w:szCs w:val="15"/>
                <w:color w:val="231F20"/>
              </w:rPr>
              <w:t>40,457</w:t>
            </w:r>
          </w:p>
        </w:tc>
        <w:tc>
          <w:tcPr>
            <w:tcW w:w="960" w:type="dxa"/>
            <w:vAlign w:val="bottom"/>
            <w:gridSpan w:val="2"/>
            <w:shd w:val="clear" w:color="auto" w:fill="FDFDFC"/>
          </w:tcPr>
          <w:p>
            <w:pPr>
              <w:jc w:val="right"/>
              <w:spacing w:after="0" w:line="172" w:lineRule="exact"/>
              <w:rPr>
                <w:sz w:val="20"/>
                <w:szCs w:val="20"/>
                <w:color w:val="auto"/>
              </w:rPr>
            </w:pPr>
            <w:r>
              <w:rPr>
                <w:rFonts w:ascii="Times New Roman" w:cs="Times New Roman" w:eastAsia="Times New Roman" w:hAnsi="Times New Roman"/>
                <w:sz w:val="15"/>
                <w:szCs w:val="15"/>
                <w:color w:val="231F20"/>
              </w:rPr>
              <w:t>2.5%</w:t>
            </w:r>
          </w:p>
        </w:tc>
      </w:tr>
      <w:tr>
        <w:trPr>
          <w:trHeight w:val="189"/>
        </w:trPr>
        <w:tc>
          <w:tcPr>
            <w:tcW w:w="1580" w:type="dxa"/>
            <w:vAlign w:val="bottom"/>
            <w:shd w:val="clear" w:color="auto" w:fill="FDFDFC"/>
          </w:tcPr>
          <w:p>
            <w:pPr>
              <w:spacing w:after="0" w:line="189" w:lineRule="exact"/>
              <w:rPr>
                <w:sz w:val="20"/>
                <w:szCs w:val="20"/>
                <w:color w:val="auto"/>
              </w:rPr>
            </w:pPr>
            <w:r>
              <w:rPr>
                <w:rFonts w:ascii="Times New Roman" w:cs="Times New Roman" w:eastAsia="Times New Roman" w:hAnsi="Times New Roman"/>
                <w:sz w:val="15"/>
                <w:szCs w:val="15"/>
                <w:color w:val="231F20"/>
              </w:rPr>
              <w:t>LLC</w:t>
            </w:r>
            <w:r>
              <w:rPr>
                <w:rFonts w:ascii="Times New Roman" w:cs="Times New Roman" w:eastAsia="Times New Roman" w:hAnsi="Times New Roman"/>
                <w:sz w:val="18"/>
                <w:szCs w:val="18"/>
                <w:color w:val="231F20"/>
                <w:vertAlign w:val="superscript"/>
              </w:rPr>
              <w:t>(3)</w:t>
            </w:r>
          </w:p>
        </w:tc>
        <w:tc>
          <w:tcPr>
            <w:tcW w:w="2200" w:type="dxa"/>
            <w:vAlign w:val="bottom"/>
            <w:shd w:val="clear" w:color="auto" w:fill="FDFDFC"/>
          </w:tcPr>
          <w:p>
            <w:pPr>
              <w:ind w:left="60"/>
              <w:spacing w:after="0"/>
              <w:rPr>
                <w:sz w:val="20"/>
                <w:szCs w:val="20"/>
                <w:color w:val="auto"/>
              </w:rPr>
            </w:pPr>
            <w:r>
              <w:rPr>
                <w:rFonts w:ascii="Times New Roman" w:cs="Times New Roman" w:eastAsia="Times New Roman" w:hAnsi="Times New Roman"/>
                <w:sz w:val="15"/>
                <w:szCs w:val="15"/>
                <w:color w:val="231F20"/>
              </w:rPr>
              <w:t>11/2029)</w:t>
            </w:r>
          </w:p>
        </w:tc>
        <w:tc>
          <w:tcPr>
            <w:tcW w:w="800" w:type="dxa"/>
            <w:vAlign w:val="bottom"/>
            <w:shd w:val="clear" w:color="auto" w:fill="FDFDFC"/>
          </w:tcPr>
          <w:p>
            <w:pPr>
              <w:spacing w:after="0"/>
              <w:rPr>
                <w:sz w:val="16"/>
                <w:szCs w:val="16"/>
                <w:color w:val="auto"/>
              </w:rPr>
            </w:pPr>
          </w:p>
        </w:tc>
        <w:tc>
          <w:tcPr>
            <w:tcW w:w="1020" w:type="dxa"/>
            <w:vAlign w:val="bottom"/>
            <w:shd w:val="clear" w:color="auto" w:fill="FDFDFC"/>
          </w:tcPr>
          <w:p>
            <w:pPr>
              <w:jc w:val="right"/>
              <w:ind w:right="64"/>
              <w:spacing w:after="0"/>
              <w:rPr>
                <w:sz w:val="20"/>
                <w:szCs w:val="20"/>
                <w:color w:val="auto"/>
              </w:rPr>
            </w:pPr>
            <w:r>
              <w:rPr>
                <w:rFonts w:ascii="Times New Roman" w:cs="Times New Roman" w:eastAsia="Times New Roman" w:hAnsi="Times New Roman"/>
                <w:sz w:val="15"/>
                <w:szCs w:val="15"/>
                <w:color w:val="231F20"/>
              </w:rPr>
              <w:t>8.38%</w:t>
            </w:r>
          </w:p>
        </w:tc>
        <w:tc>
          <w:tcPr>
            <w:tcW w:w="1040" w:type="dxa"/>
            <w:vAlign w:val="bottom"/>
            <w:shd w:val="clear" w:color="auto" w:fill="FDFDFC"/>
          </w:tcPr>
          <w:p>
            <w:pPr>
              <w:spacing w:after="0"/>
              <w:rPr>
                <w:sz w:val="16"/>
                <w:szCs w:val="16"/>
                <w:color w:val="auto"/>
              </w:rPr>
            </w:pPr>
          </w:p>
        </w:tc>
        <w:tc>
          <w:tcPr>
            <w:tcW w:w="1000" w:type="dxa"/>
            <w:vAlign w:val="bottom"/>
            <w:shd w:val="clear" w:color="auto" w:fill="FDFDFC"/>
          </w:tcPr>
          <w:p>
            <w:pPr>
              <w:spacing w:after="0"/>
              <w:rPr>
                <w:sz w:val="16"/>
                <w:szCs w:val="16"/>
                <w:color w:val="auto"/>
              </w:rPr>
            </w:pPr>
          </w:p>
        </w:tc>
        <w:tc>
          <w:tcPr>
            <w:tcW w:w="80" w:type="dxa"/>
            <w:vAlign w:val="bottom"/>
            <w:shd w:val="clear" w:color="auto" w:fill="FDFDFC"/>
          </w:tcPr>
          <w:p>
            <w:pPr>
              <w:spacing w:after="0"/>
              <w:rPr>
                <w:sz w:val="16"/>
                <w:szCs w:val="16"/>
                <w:color w:val="auto"/>
              </w:rPr>
            </w:pPr>
          </w:p>
        </w:tc>
        <w:tc>
          <w:tcPr>
            <w:tcW w:w="1600" w:type="dxa"/>
            <w:vAlign w:val="bottom"/>
            <w:shd w:val="clear" w:color="auto" w:fill="FDFDFC"/>
          </w:tcPr>
          <w:p>
            <w:pPr>
              <w:spacing w:after="0"/>
              <w:rPr>
                <w:sz w:val="16"/>
                <w:szCs w:val="16"/>
                <w:color w:val="auto"/>
              </w:rPr>
            </w:pPr>
          </w:p>
        </w:tc>
        <w:tc>
          <w:tcPr>
            <w:tcW w:w="100" w:type="dxa"/>
            <w:vAlign w:val="bottom"/>
            <w:shd w:val="clear" w:color="auto" w:fill="FDFDFC"/>
          </w:tcPr>
          <w:p>
            <w:pPr>
              <w:spacing w:after="0"/>
              <w:rPr>
                <w:sz w:val="16"/>
                <w:szCs w:val="16"/>
                <w:color w:val="auto"/>
              </w:rPr>
            </w:pPr>
          </w:p>
        </w:tc>
        <w:tc>
          <w:tcPr>
            <w:tcW w:w="860" w:type="dxa"/>
            <w:vAlign w:val="bottom"/>
            <w:shd w:val="clear" w:color="auto" w:fill="FDFDFC"/>
          </w:tcPr>
          <w:p>
            <w:pPr>
              <w:spacing w:after="0"/>
              <w:rPr>
                <w:sz w:val="16"/>
                <w:szCs w:val="16"/>
                <w:color w:val="auto"/>
              </w:rPr>
            </w:pPr>
          </w:p>
        </w:tc>
      </w:tr>
      <w:tr>
        <w:trPr>
          <w:trHeight w:val="171"/>
        </w:trPr>
        <w:tc>
          <w:tcPr>
            <w:tcW w:w="1580" w:type="dxa"/>
            <w:vAlign w:val="bottom"/>
            <w:shd w:val="clear" w:color="auto" w:fill="D0EBF2"/>
          </w:tcPr>
          <w:p>
            <w:pPr>
              <w:spacing w:after="0" w:line="172" w:lineRule="exact"/>
              <w:rPr>
                <w:sz w:val="20"/>
                <w:szCs w:val="20"/>
                <w:color w:val="auto"/>
              </w:rPr>
            </w:pPr>
            <w:r>
              <w:rPr>
                <w:rFonts w:ascii="Times New Roman" w:cs="Times New Roman" w:eastAsia="Times New Roman" w:hAnsi="Times New Roman"/>
                <w:sz w:val="15"/>
                <w:szCs w:val="15"/>
                <w:color w:val="231F20"/>
              </w:rPr>
              <w:t>GreenShoot BidCo B.V</w:t>
            </w:r>
          </w:p>
        </w:tc>
        <w:tc>
          <w:tcPr>
            <w:tcW w:w="2200" w:type="dxa"/>
            <w:vAlign w:val="bottom"/>
            <w:shd w:val="clear" w:color="auto" w:fill="D0EBF2"/>
          </w:tcPr>
          <w:p>
            <w:pPr>
              <w:ind w:left="60"/>
              <w:spacing w:after="0" w:line="172" w:lineRule="exact"/>
              <w:rPr>
                <w:sz w:val="20"/>
                <w:szCs w:val="20"/>
                <w:color w:val="auto"/>
              </w:rPr>
            </w:pPr>
            <w:r>
              <w:rPr>
                <w:rFonts w:ascii="Times New Roman" w:cs="Times New Roman" w:eastAsia="Times New Roman" w:hAnsi="Times New Roman"/>
                <w:sz w:val="15"/>
                <w:szCs w:val="15"/>
                <w:color w:val="231F20"/>
              </w:rPr>
              <w:t>First-lien loan (EUR 5,107 par,</w:t>
            </w:r>
          </w:p>
        </w:tc>
        <w:tc>
          <w:tcPr>
            <w:tcW w:w="800" w:type="dxa"/>
            <w:vAlign w:val="bottom"/>
            <w:shd w:val="clear" w:color="auto" w:fill="D0EBF2"/>
          </w:tcPr>
          <w:p>
            <w:pPr>
              <w:jc w:val="right"/>
              <w:spacing w:after="0" w:line="172" w:lineRule="exact"/>
              <w:rPr>
                <w:sz w:val="20"/>
                <w:szCs w:val="20"/>
                <w:color w:val="auto"/>
              </w:rPr>
            </w:pPr>
            <w:r>
              <w:rPr>
                <w:rFonts w:ascii="Times New Roman" w:cs="Times New Roman" w:eastAsia="Times New Roman" w:hAnsi="Times New Roman"/>
                <w:sz w:val="15"/>
                <w:szCs w:val="15"/>
                <w:color w:val="231F20"/>
              </w:rPr>
              <w:t>5/28/2024</w:t>
            </w:r>
          </w:p>
        </w:tc>
        <w:tc>
          <w:tcPr>
            <w:tcW w:w="1020" w:type="dxa"/>
            <w:vAlign w:val="bottom"/>
            <w:shd w:val="clear" w:color="auto" w:fill="D0EBF2"/>
          </w:tcPr>
          <w:p>
            <w:pPr>
              <w:jc w:val="right"/>
              <w:ind w:right="64"/>
              <w:spacing w:after="0" w:line="172" w:lineRule="exact"/>
              <w:rPr>
                <w:sz w:val="20"/>
                <w:szCs w:val="20"/>
                <w:color w:val="auto"/>
              </w:rPr>
            </w:pPr>
            <w:r>
              <w:rPr>
                <w:rFonts w:ascii="Times New Roman" w:cs="Times New Roman" w:eastAsia="Times New Roman" w:hAnsi="Times New Roman"/>
                <w:sz w:val="15"/>
                <w:szCs w:val="15"/>
                <w:color w:val="231F20"/>
              </w:rPr>
              <w:t>E + 5.75%</w:t>
            </w:r>
          </w:p>
        </w:tc>
        <w:tc>
          <w:tcPr>
            <w:tcW w:w="1040" w:type="dxa"/>
            <w:vAlign w:val="bottom"/>
            <w:shd w:val="clear" w:color="auto" w:fill="D0EBF2"/>
          </w:tcPr>
          <w:p>
            <w:pPr>
              <w:jc w:val="right"/>
              <w:ind w:right="64"/>
              <w:spacing w:after="0" w:line="172" w:lineRule="exact"/>
              <w:rPr>
                <w:sz w:val="20"/>
                <w:szCs w:val="20"/>
                <w:color w:val="auto"/>
              </w:rPr>
            </w:pPr>
            <w:r>
              <w:rPr>
                <w:rFonts w:ascii="Times New Roman" w:cs="Times New Roman" w:eastAsia="Times New Roman" w:hAnsi="Times New Roman"/>
                <w:sz w:val="15"/>
                <w:szCs w:val="15"/>
                <w:color w:val="231F20"/>
              </w:rPr>
              <w:t>8.66%</w:t>
            </w:r>
          </w:p>
        </w:tc>
        <w:tc>
          <w:tcPr>
            <w:tcW w:w="1000" w:type="dxa"/>
            <w:vAlign w:val="bottom"/>
            <w:shd w:val="clear" w:color="auto" w:fill="D0EBF2"/>
          </w:tcPr>
          <w:p>
            <w:pPr>
              <w:jc w:val="right"/>
              <w:spacing w:after="0" w:line="172" w:lineRule="exact"/>
              <w:rPr>
                <w:sz w:val="20"/>
                <w:szCs w:val="20"/>
                <w:color w:val="auto"/>
              </w:rPr>
            </w:pPr>
            <w:r>
              <w:rPr>
                <w:rFonts w:ascii="Times New Roman" w:cs="Times New Roman" w:eastAsia="Times New Roman" w:hAnsi="Times New Roman"/>
                <w:sz w:val="15"/>
                <w:szCs w:val="15"/>
                <w:color w:val="231F20"/>
              </w:rPr>
              <w:t>5,413</w:t>
            </w:r>
          </w:p>
        </w:tc>
        <w:tc>
          <w:tcPr>
            <w:tcW w:w="1680" w:type="dxa"/>
            <w:vAlign w:val="bottom"/>
            <w:gridSpan w:val="2"/>
            <w:shd w:val="clear" w:color="auto" w:fill="D0EBF2"/>
          </w:tcPr>
          <w:p>
            <w:pPr>
              <w:jc w:val="right"/>
              <w:spacing w:after="0" w:line="172" w:lineRule="exact"/>
              <w:rPr>
                <w:sz w:val="20"/>
                <w:szCs w:val="20"/>
                <w:color w:val="auto"/>
              </w:rPr>
            </w:pPr>
            <w:r>
              <w:rPr>
                <w:rFonts w:ascii="Times New Roman" w:cs="Times New Roman" w:eastAsia="Times New Roman" w:hAnsi="Times New Roman"/>
                <w:sz w:val="15"/>
                <w:szCs w:val="15"/>
                <w:color w:val="231F20"/>
              </w:rPr>
              <w:t>5,246</w:t>
            </w:r>
          </w:p>
        </w:tc>
        <w:tc>
          <w:tcPr>
            <w:tcW w:w="960" w:type="dxa"/>
            <w:vAlign w:val="bottom"/>
            <w:gridSpan w:val="2"/>
            <w:shd w:val="clear" w:color="auto" w:fill="D0EBF2"/>
          </w:tcPr>
          <w:p>
            <w:pPr>
              <w:jc w:val="right"/>
              <w:spacing w:after="0" w:line="172" w:lineRule="exact"/>
              <w:rPr>
                <w:sz w:val="20"/>
                <w:szCs w:val="20"/>
                <w:color w:val="auto"/>
              </w:rPr>
            </w:pPr>
            <w:r>
              <w:rPr>
                <w:rFonts w:ascii="Times New Roman" w:cs="Times New Roman" w:eastAsia="Times New Roman" w:hAnsi="Times New Roman"/>
                <w:sz w:val="15"/>
                <w:szCs w:val="15"/>
                <w:color w:val="231F20"/>
              </w:rPr>
              <w:t>0.3%</w:t>
            </w:r>
          </w:p>
        </w:tc>
      </w:tr>
      <w:tr>
        <w:trPr>
          <w:trHeight w:val="189"/>
        </w:trPr>
        <w:tc>
          <w:tcPr>
            <w:tcW w:w="1580" w:type="dxa"/>
            <w:vAlign w:val="bottom"/>
            <w:shd w:val="clear" w:color="auto" w:fill="D0EBF2"/>
          </w:tcPr>
          <w:p>
            <w:pPr>
              <w:spacing w:after="0"/>
              <w:rPr>
                <w:sz w:val="20"/>
                <w:szCs w:val="20"/>
                <w:color w:val="auto"/>
              </w:rPr>
            </w:pPr>
            <w:r>
              <w:rPr>
                <w:rFonts w:ascii="Times New Roman" w:cs="Times New Roman" w:eastAsia="Times New Roman" w:hAnsi="Times New Roman"/>
                <w:sz w:val="9"/>
                <w:szCs w:val="9"/>
                <w:color w:val="231F20"/>
              </w:rPr>
              <w:t>(3)(4)</w:t>
            </w:r>
          </w:p>
        </w:tc>
        <w:tc>
          <w:tcPr>
            <w:tcW w:w="2200" w:type="dxa"/>
            <w:vAlign w:val="bottom"/>
            <w:shd w:val="clear" w:color="auto" w:fill="D0EBF2"/>
          </w:tcPr>
          <w:p>
            <w:pPr>
              <w:ind w:left="60"/>
              <w:spacing w:after="0"/>
              <w:rPr>
                <w:sz w:val="20"/>
                <w:szCs w:val="20"/>
                <w:color w:val="auto"/>
              </w:rPr>
            </w:pPr>
            <w:r>
              <w:rPr>
                <w:rFonts w:ascii="Times New Roman" w:cs="Times New Roman" w:eastAsia="Times New Roman" w:hAnsi="Times New Roman"/>
                <w:sz w:val="15"/>
                <w:szCs w:val="15"/>
                <w:color w:val="231F20"/>
              </w:rPr>
              <w:t>due 5/2030)</w:t>
            </w:r>
          </w:p>
        </w:tc>
        <w:tc>
          <w:tcPr>
            <w:tcW w:w="800" w:type="dxa"/>
            <w:vAlign w:val="bottom"/>
            <w:shd w:val="clear" w:color="auto" w:fill="D0EBF2"/>
          </w:tcPr>
          <w:p>
            <w:pPr>
              <w:spacing w:after="0"/>
              <w:rPr>
                <w:sz w:val="16"/>
                <w:szCs w:val="16"/>
                <w:color w:val="auto"/>
              </w:rPr>
            </w:pPr>
          </w:p>
        </w:tc>
        <w:tc>
          <w:tcPr>
            <w:tcW w:w="1020" w:type="dxa"/>
            <w:vAlign w:val="bottom"/>
            <w:shd w:val="clear" w:color="auto" w:fill="D0EBF2"/>
          </w:tcPr>
          <w:p>
            <w:pPr>
              <w:spacing w:after="0"/>
              <w:rPr>
                <w:sz w:val="16"/>
                <w:szCs w:val="16"/>
                <w:color w:val="auto"/>
              </w:rPr>
            </w:pPr>
          </w:p>
        </w:tc>
        <w:tc>
          <w:tcPr>
            <w:tcW w:w="1040" w:type="dxa"/>
            <w:vAlign w:val="bottom"/>
            <w:shd w:val="clear" w:color="auto" w:fill="D0EBF2"/>
          </w:tcPr>
          <w:p>
            <w:pPr>
              <w:spacing w:after="0"/>
              <w:rPr>
                <w:sz w:val="16"/>
                <w:szCs w:val="16"/>
                <w:color w:val="auto"/>
              </w:rPr>
            </w:pPr>
          </w:p>
        </w:tc>
        <w:tc>
          <w:tcPr>
            <w:tcW w:w="1000" w:type="dxa"/>
            <w:vAlign w:val="bottom"/>
            <w:shd w:val="clear" w:color="auto" w:fill="D0EBF2"/>
          </w:tcPr>
          <w:p>
            <w:pPr>
              <w:spacing w:after="0"/>
              <w:rPr>
                <w:sz w:val="16"/>
                <w:szCs w:val="16"/>
                <w:color w:val="auto"/>
              </w:rPr>
            </w:pPr>
          </w:p>
        </w:tc>
        <w:tc>
          <w:tcPr>
            <w:tcW w:w="80" w:type="dxa"/>
            <w:vAlign w:val="bottom"/>
            <w:shd w:val="clear" w:color="auto" w:fill="D0EBF2"/>
          </w:tcPr>
          <w:p>
            <w:pPr>
              <w:spacing w:after="0"/>
              <w:rPr>
                <w:sz w:val="16"/>
                <w:szCs w:val="16"/>
                <w:color w:val="auto"/>
              </w:rPr>
            </w:pPr>
          </w:p>
        </w:tc>
        <w:tc>
          <w:tcPr>
            <w:tcW w:w="1600" w:type="dxa"/>
            <w:vAlign w:val="bottom"/>
            <w:shd w:val="clear" w:color="auto" w:fill="D0EBF2"/>
          </w:tcPr>
          <w:p>
            <w:pPr>
              <w:jc w:val="right"/>
              <w:spacing w:after="0"/>
              <w:rPr>
                <w:sz w:val="20"/>
                <w:szCs w:val="20"/>
                <w:color w:val="auto"/>
              </w:rPr>
            </w:pPr>
            <w:r>
              <w:rPr>
                <w:rFonts w:ascii="Times New Roman" w:cs="Times New Roman" w:eastAsia="Times New Roman" w:hAnsi="Times New Roman"/>
                <w:sz w:val="15"/>
                <w:szCs w:val="15"/>
                <w:color w:val="231F20"/>
              </w:rPr>
              <w:t>(EUR 5,066)</w:t>
            </w:r>
          </w:p>
        </w:tc>
        <w:tc>
          <w:tcPr>
            <w:tcW w:w="100" w:type="dxa"/>
            <w:vAlign w:val="bottom"/>
            <w:shd w:val="clear" w:color="auto" w:fill="D0EBF2"/>
          </w:tcPr>
          <w:p>
            <w:pPr>
              <w:spacing w:after="0"/>
              <w:rPr>
                <w:sz w:val="16"/>
                <w:szCs w:val="16"/>
                <w:color w:val="auto"/>
              </w:rPr>
            </w:pPr>
          </w:p>
        </w:tc>
        <w:tc>
          <w:tcPr>
            <w:tcW w:w="860" w:type="dxa"/>
            <w:vAlign w:val="bottom"/>
            <w:shd w:val="clear" w:color="auto" w:fill="D0EBF2"/>
          </w:tcPr>
          <w:p>
            <w:pPr>
              <w:spacing w:after="0"/>
              <w:rPr>
                <w:sz w:val="16"/>
                <w:szCs w:val="16"/>
                <w:color w:val="auto"/>
              </w:rPr>
            </w:pPr>
          </w:p>
        </w:tc>
      </w:tr>
      <w:tr>
        <w:trPr>
          <w:trHeight w:val="171"/>
        </w:trPr>
        <w:tc>
          <w:tcPr>
            <w:tcW w:w="1580" w:type="dxa"/>
            <w:vAlign w:val="bottom"/>
            <w:shd w:val="clear" w:color="auto" w:fill="FDFDFC"/>
          </w:tcPr>
          <w:p>
            <w:pPr>
              <w:spacing w:after="0" w:line="172" w:lineRule="exact"/>
              <w:rPr>
                <w:sz w:val="20"/>
                <w:szCs w:val="20"/>
                <w:color w:val="auto"/>
              </w:rPr>
            </w:pPr>
            <w:r>
              <w:rPr>
                <w:rFonts w:ascii="Times New Roman" w:cs="Times New Roman" w:eastAsia="Times New Roman" w:hAnsi="Times New Roman"/>
                <w:sz w:val="15"/>
                <w:szCs w:val="15"/>
                <w:color w:val="231F20"/>
              </w:rPr>
              <w:t>Ibis Intermediate Co.</w:t>
            </w:r>
          </w:p>
        </w:tc>
        <w:tc>
          <w:tcPr>
            <w:tcW w:w="2200" w:type="dxa"/>
            <w:vAlign w:val="bottom"/>
            <w:shd w:val="clear" w:color="auto" w:fill="FDFDFC"/>
          </w:tcPr>
          <w:p>
            <w:pPr>
              <w:ind w:left="60"/>
              <w:spacing w:after="0" w:line="172" w:lineRule="exact"/>
              <w:rPr>
                <w:sz w:val="20"/>
                <w:szCs w:val="20"/>
                <w:color w:val="auto"/>
              </w:rPr>
            </w:pPr>
            <w:r>
              <w:rPr>
                <w:rFonts w:ascii="Times New Roman" w:cs="Times New Roman" w:eastAsia="Times New Roman" w:hAnsi="Times New Roman"/>
                <w:sz w:val="15"/>
                <w:szCs w:val="15"/>
                <w:color w:val="231F20"/>
              </w:rPr>
              <w:t>First-lien loan ($1,185 par, due</w:t>
            </w:r>
          </w:p>
        </w:tc>
        <w:tc>
          <w:tcPr>
            <w:tcW w:w="800" w:type="dxa"/>
            <w:vAlign w:val="bottom"/>
            <w:shd w:val="clear" w:color="auto" w:fill="FDFDFC"/>
          </w:tcPr>
          <w:p>
            <w:pPr>
              <w:jc w:val="right"/>
              <w:spacing w:after="0" w:line="172" w:lineRule="exact"/>
              <w:rPr>
                <w:sz w:val="20"/>
                <w:szCs w:val="20"/>
                <w:color w:val="auto"/>
              </w:rPr>
            </w:pPr>
            <w:r>
              <w:rPr>
                <w:rFonts w:ascii="Times New Roman" w:cs="Times New Roman" w:eastAsia="Times New Roman" w:hAnsi="Times New Roman"/>
                <w:sz w:val="15"/>
                <w:szCs w:val="15"/>
                <w:color w:val="231F20"/>
              </w:rPr>
              <w:t>5/28/2021</w:t>
            </w:r>
          </w:p>
        </w:tc>
        <w:tc>
          <w:tcPr>
            <w:tcW w:w="1020" w:type="dxa"/>
            <w:vAlign w:val="bottom"/>
            <w:shd w:val="clear" w:color="auto" w:fill="FDFDFC"/>
          </w:tcPr>
          <w:p>
            <w:pPr>
              <w:jc w:val="right"/>
              <w:ind w:right="64"/>
              <w:spacing w:after="0" w:line="172" w:lineRule="exact"/>
              <w:rPr>
                <w:sz w:val="20"/>
                <w:szCs w:val="20"/>
                <w:color w:val="auto"/>
              </w:rPr>
            </w:pPr>
            <w:r>
              <w:rPr>
                <w:rFonts w:ascii="Times New Roman" w:cs="Times New Roman" w:eastAsia="Times New Roman" w:hAnsi="Times New Roman"/>
                <w:sz w:val="15"/>
                <w:szCs w:val="15"/>
                <w:color w:val="231F20"/>
              </w:rPr>
              <w:t>SOFR +</w:t>
            </w:r>
          </w:p>
        </w:tc>
        <w:tc>
          <w:tcPr>
            <w:tcW w:w="1040" w:type="dxa"/>
            <w:vAlign w:val="bottom"/>
            <w:shd w:val="clear" w:color="auto" w:fill="FDFDFC"/>
          </w:tcPr>
          <w:p>
            <w:pPr>
              <w:jc w:val="right"/>
              <w:ind w:right="64"/>
              <w:spacing w:after="0" w:line="172" w:lineRule="exact"/>
              <w:rPr>
                <w:sz w:val="20"/>
                <w:szCs w:val="20"/>
                <w:color w:val="auto"/>
              </w:rPr>
            </w:pPr>
            <w:r>
              <w:rPr>
                <w:rFonts w:ascii="Times New Roman" w:cs="Times New Roman" w:eastAsia="Times New Roman" w:hAnsi="Times New Roman"/>
                <w:sz w:val="15"/>
                <w:szCs w:val="15"/>
                <w:color w:val="231F20"/>
              </w:rPr>
              <w:t>9.16%</w:t>
            </w:r>
          </w:p>
        </w:tc>
        <w:tc>
          <w:tcPr>
            <w:tcW w:w="1000" w:type="dxa"/>
            <w:vAlign w:val="bottom"/>
            <w:shd w:val="clear" w:color="auto" w:fill="FDFDFC"/>
          </w:tcPr>
          <w:p>
            <w:pPr>
              <w:jc w:val="right"/>
              <w:spacing w:after="0" w:line="172" w:lineRule="exact"/>
              <w:rPr>
                <w:sz w:val="20"/>
                <w:szCs w:val="20"/>
                <w:color w:val="auto"/>
              </w:rPr>
            </w:pPr>
            <w:r>
              <w:rPr>
                <w:rFonts w:ascii="Times New Roman" w:cs="Times New Roman" w:eastAsia="Times New Roman" w:hAnsi="Times New Roman"/>
                <w:sz w:val="15"/>
                <w:szCs w:val="15"/>
                <w:color w:val="231F20"/>
              </w:rPr>
              <w:t>1,154</w:t>
            </w:r>
          </w:p>
        </w:tc>
        <w:tc>
          <w:tcPr>
            <w:tcW w:w="1680" w:type="dxa"/>
            <w:vAlign w:val="bottom"/>
            <w:gridSpan w:val="2"/>
            <w:shd w:val="clear" w:color="auto" w:fill="FDFDFC"/>
          </w:tcPr>
          <w:p>
            <w:pPr>
              <w:jc w:val="right"/>
              <w:spacing w:after="0" w:line="172" w:lineRule="exact"/>
              <w:rPr>
                <w:sz w:val="20"/>
                <w:szCs w:val="20"/>
                <w:color w:val="auto"/>
              </w:rPr>
            </w:pPr>
            <w:r>
              <w:rPr>
                <w:rFonts w:ascii="Times New Roman" w:cs="Times New Roman" w:eastAsia="Times New Roman" w:hAnsi="Times New Roman"/>
                <w:sz w:val="15"/>
                <w:szCs w:val="15"/>
                <w:color w:val="231F20"/>
              </w:rPr>
              <w:t>1,191</w:t>
            </w:r>
          </w:p>
        </w:tc>
        <w:tc>
          <w:tcPr>
            <w:tcW w:w="960" w:type="dxa"/>
            <w:vAlign w:val="bottom"/>
            <w:gridSpan w:val="2"/>
            <w:shd w:val="clear" w:color="auto" w:fill="FDFDFC"/>
          </w:tcPr>
          <w:p>
            <w:pPr>
              <w:jc w:val="right"/>
              <w:spacing w:after="0" w:line="172" w:lineRule="exact"/>
              <w:rPr>
                <w:sz w:val="20"/>
                <w:szCs w:val="20"/>
                <w:color w:val="auto"/>
              </w:rPr>
            </w:pPr>
            <w:r>
              <w:rPr>
                <w:rFonts w:ascii="Times New Roman" w:cs="Times New Roman" w:eastAsia="Times New Roman" w:hAnsi="Times New Roman"/>
                <w:sz w:val="15"/>
                <w:szCs w:val="15"/>
                <w:color w:val="231F20"/>
              </w:rPr>
              <w:t>0.1%</w:t>
            </w:r>
          </w:p>
        </w:tc>
      </w:tr>
      <w:tr>
        <w:trPr>
          <w:trHeight w:val="169"/>
        </w:trPr>
        <w:tc>
          <w:tcPr>
            <w:tcW w:w="1580" w:type="dxa"/>
            <w:vAlign w:val="bottom"/>
            <w:tcBorders>
              <w:bottom w:val="single" w:sz="8" w:color="FDFDFC"/>
            </w:tcBorders>
            <w:shd w:val="clear" w:color="auto" w:fill="FDFDFC"/>
          </w:tcPr>
          <w:p>
            <w:pPr>
              <w:spacing w:after="0"/>
              <w:rPr>
                <w:sz w:val="20"/>
                <w:szCs w:val="20"/>
                <w:color w:val="auto"/>
              </w:rPr>
            </w:pPr>
            <w:r>
              <w:rPr>
                <w:rFonts w:ascii="Times New Roman" w:cs="Times New Roman" w:eastAsia="Times New Roman" w:hAnsi="Times New Roman"/>
                <w:sz w:val="9"/>
                <w:szCs w:val="9"/>
                <w:color w:val="231F20"/>
              </w:rPr>
              <w:t>(3)(5)</w:t>
            </w:r>
          </w:p>
        </w:tc>
        <w:tc>
          <w:tcPr>
            <w:tcW w:w="2200" w:type="dxa"/>
            <w:vAlign w:val="bottom"/>
            <w:tcBorders>
              <w:bottom w:val="single" w:sz="8" w:color="FDFDFC"/>
            </w:tcBorders>
            <w:shd w:val="clear" w:color="auto" w:fill="FDFDFC"/>
          </w:tcPr>
          <w:p>
            <w:pPr>
              <w:ind w:left="60"/>
              <w:spacing w:after="0" w:line="169" w:lineRule="exact"/>
              <w:rPr>
                <w:sz w:val="20"/>
                <w:szCs w:val="20"/>
                <w:color w:val="auto"/>
              </w:rPr>
            </w:pPr>
            <w:r>
              <w:rPr>
                <w:rFonts w:ascii="Times New Roman" w:cs="Times New Roman" w:eastAsia="Times New Roman" w:hAnsi="Times New Roman"/>
                <w:sz w:val="15"/>
                <w:szCs w:val="15"/>
                <w:color w:val="231F20"/>
              </w:rPr>
              <w:t>5/2027)</w:t>
            </w:r>
          </w:p>
        </w:tc>
        <w:tc>
          <w:tcPr>
            <w:tcW w:w="800" w:type="dxa"/>
            <w:vAlign w:val="bottom"/>
            <w:tcBorders>
              <w:bottom w:val="single" w:sz="8" w:color="FDFDFC"/>
            </w:tcBorders>
            <w:shd w:val="clear" w:color="auto" w:fill="FDFDFC"/>
          </w:tcPr>
          <w:p>
            <w:pPr>
              <w:spacing w:after="0"/>
              <w:rPr>
                <w:sz w:val="14"/>
                <w:szCs w:val="14"/>
                <w:color w:val="auto"/>
              </w:rPr>
            </w:pPr>
          </w:p>
        </w:tc>
        <w:tc>
          <w:tcPr>
            <w:tcW w:w="1020" w:type="dxa"/>
            <w:vAlign w:val="bottom"/>
            <w:tcBorders>
              <w:bottom w:val="single" w:sz="8" w:color="FDFDFC"/>
            </w:tcBorders>
            <w:shd w:val="clear" w:color="auto" w:fill="FDFDFC"/>
          </w:tcPr>
          <w:p>
            <w:pPr>
              <w:jc w:val="right"/>
              <w:ind w:right="64"/>
              <w:spacing w:after="0" w:line="169" w:lineRule="exact"/>
              <w:rPr>
                <w:sz w:val="20"/>
                <w:szCs w:val="20"/>
                <w:color w:val="auto"/>
              </w:rPr>
            </w:pPr>
            <w:r>
              <w:rPr>
                <w:rFonts w:ascii="Times New Roman" w:cs="Times New Roman" w:eastAsia="Times New Roman" w:hAnsi="Times New Roman"/>
                <w:sz w:val="15"/>
                <w:szCs w:val="15"/>
                <w:color w:val="231F20"/>
              </w:rPr>
              <w:t>4.65%</w:t>
            </w:r>
          </w:p>
        </w:tc>
        <w:tc>
          <w:tcPr>
            <w:tcW w:w="1040" w:type="dxa"/>
            <w:vAlign w:val="bottom"/>
            <w:tcBorders>
              <w:bottom w:val="single" w:sz="8" w:color="FDFDFC"/>
            </w:tcBorders>
            <w:shd w:val="clear" w:color="auto" w:fill="FDFDFC"/>
          </w:tcPr>
          <w:p>
            <w:pPr>
              <w:spacing w:after="0"/>
              <w:rPr>
                <w:sz w:val="14"/>
                <w:szCs w:val="14"/>
                <w:color w:val="auto"/>
              </w:rPr>
            </w:pPr>
          </w:p>
        </w:tc>
        <w:tc>
          <w:tcPr>
            <w:tcW w:w="1000" w:type="dxa"/>
            <w:vAlign w:val="bottom"/>
            <w:tcBorders>
              <w:bottom w:val="single" w:sz="8" w:color="FDFDFC"/>
            </w:tcBorders>
            <w:shd w:val="clear" w:color="auto" w:fill="FDFDFC"/>
          </w:tcPr>
          <w:p>
            <w:pPr>
              <w:spacing w:after="0"/>
              <w:rPr>
                <w:sz w:val="14"/>
                <w:szCs w:val="14"/>
                <w:color w:val="auto"/>
              </w:rPr>
            </w:pPr>
          </w:p>
        </w:tc>
        <w:tc>
          <w:tcPr>
            <w:tcW w:w="80" w:type="dxa"/>
            <w:vAlign w:val="bottom"/>
            <w:tcBorders>
              <w:bottom w:val="single" w:sz="8" w:color="FDFDFC"/>
            </w:tcBorders>
            <w:shd w:val="clear" w:color="auto" w:fill="FDFDFC"/>
          </w:tcPr>
          <w:p>
            <w:pPr>
              <w:spacing w:after="0"/>
              <w:rPr>
                <w:sz w:val="14"/>
                <w:szCs w:val="14"/>
                <w:color w:val="auto"/>
              </w:rPr>
            </w:pPr>
          </w:p>
        </w:tc>
        <w:tc>
          <w:tcPr>
            <w:tcW w:w="1600" w:type="dxa"/>
            <w:vAlign w:val="bottom"/>
            <w:tcBorders>
              <w:bottom w:val="single" w:sz="8" w:color="FDFDFC"/>
            </w:tcBorders>
            <w:shd w:val="clear" w:color="auto" w:fill="FDFDFC"/>
          </w:tcPr>
          <w:p>
            <w:pPr>
              <w:spacing w:after="0"/>
              <w:rPr>
                <w:sz w:val="14"/>
                <w:szCs w:val="14"/>
                <w:color w:val="auto"/>
              </w:rPr>
            </w:pPr>
          </w:p>
        </w:tc>
        <w:tc>
          <w:tcPr>
            <w:tcW w:w="100" w:type="dxa"/>
            <w:vAlign w:val="bottom"/>
            <w:tcBorders>
              <w:bottom w:val="single" w:sz="8" w:color="FDFDFC"/>
            </w:tcBorders>
            <w:shd w:val="clear" w:color="auto" w:fill="FDFDFC"/>
          </w:tcPr>
          <w:p>
            <w:pPr>
              <w:spacing w:after="0"/>
              <w:rPr>
                <w:sz w:val="14"/>
                <w:szCs w:val="14"/>
                <w:color w:val="auto"/>
              </w:rPr>
            </w:pPr>
          </w:p>
        </w:tc>
        <w:tc>
          <w:tcPr>
            <w:tcW w:w="860" w:type="dxa"/>
            <w:vAlign w:val="bottom"/>
            <w:tcBorders>
              <w:bottom w:val="single" w:sz="8" w:color="FDFDFC"/>
            </w:tcBorders>
            <w:shd w:val="clear" w:color="auto" w:fill="FDFDFC"/>
          </w:tcPr>
          <w:p>
            <w:pPr>
              <w:spacing w:after="0"/>
              <w:rPr>
                <w:sz w:val="14"/>
                <w:szCs w:val="14"/>
                <w:color w:val="auto"/>
              </w:rPr>
            </w:pPr>
          </w:p>
        </w:tc>
      </w:tr>
      <w:tr>
        <w:trPr>
          <w:trHeight w:val="171"/>
        </w:trPr>
        <w:tc>
          <w:tcPr>
            <w:tcW w:w="1580" w:type="dxa"/>
            <w:vAlign w:val="bottom"/>
            <w:shd w:val="clear" w:color="auto" w:fill="D0EBF2"/>
          </w:tcPr>
          <w:p>
            <w:pPr>
              <w:spacing w:after="0" w:line="172" w:lineRule="exact"/>
              <w:rPr>
                <w:sz w:val="20"/>
                <w:szCs w:val="20"/>
                <w:color w:val="auto"/>
              </w:rPr>
            </w:pPr>
            <w:r>
              <w:rPr>
                <w:rFonts w:ascii="Times New Roman" w:cs="Times New Roman" w:eastAsia="Times New Roman" w:hAnsi="Times New Roman"/>
                <w:sz w:val="15"/>
                <w:szCs w:val="15"/>
                <w:color w:val="231F20"/>
              </w:rPr>
              <w:t xml:space="preserve">Ibis US Blocker Co. </w:t>
            </w:r>
            <w:r>
              <w:rPr>
                <w:rFonts w:ascii="Times New Roman" w:cs="Times New Roman" w:eastAsia="Times New Roman" w:hAnsi="Times New Roman"/>
                <w:sz w:val="9"/>
                <w:szCs w:val="9"/>
                <w:color w:val="231F20"/>
              </w:rPr>
              <w:t>(3)</w:t>
            </w:r>
          </w:p>
        </w:tc>
        <w:tc>
          <w:tcPr>
            <w:tcW w:w="2200" w:type="dxa"/>
            <w:vAlign w:val="bottom"/>
            <w:shd w:val="clear" w:color="auto" w:fill="D0EBF2"/>
          </w:tcPr>
          <w:p>
            <w:pPr>
              <w:ind w:left="60"/>
              <w:spacing w:after="0" w:line="172" w:lineRule="exact"/>
              <w:rPr>
                <w:sz w:val="20"/>
                <w:szCs w:val="20"/>
                <w:color w:val="auto"/>
              </w:rPr>
            </w:pPr>
            <w:r>
              <w:rPr>
                <w:rFonts w:ascii="Times New Roman" w:cs="Times New Roman" w:eastAsia="Times New Roman" w:hAnsi="Times New Roman"/>
                <w:sz w:val="15"/>
                <w:szCs w:val="15"/>
                <w:color w:val="231F20"/>
              </w:rPr>
              <w:t>First-lien loan ($18,290 par, due</w:t>
            </w:r>
          </w:p>
        </w:tc>
        <w:tc>
          <w:tcPr>
            <w:tcW w:w="800" w:type="dxa"/>
            <w:vAlign w:val="bottom"/>
            <w:shd w:val="clear" w:color="auto" w:fill="D0EBF2"/>
          </w:tcPr>
          <w:p>
            <w:pPr>
              <w:jc w:val="right"/>
              <w:spacing w:after="0" w:line="172" w:lineRule="exact"/>
              <w:rPr>
                <w:sz w:val="20"/>
                <w:szCs w:val="20"/>
                <w:color w:val="auto"/>
              </w:rPr>
            </w:pPr>
            <w:r>
              <w:rPr>
                <w:rFonts w:ascii="Times New Roman" w:cs="Times New Roman" w:eastAsia="Times New Roman" w:hAnsi="Times New Roman"/>
                <w:sz w:val="15"/>
                <w:szCs w:val="15"/>
                <w:color w:val="231F20"/>
              </w:rPr>
              <w:t>5/28/2021</w:t>
            </w:r>
          </w:p>
        </w:tc>
        <w:tc>
          <w:tcPr>
            <w:tcW w:w="1020" w:type="dxa"/>
            <w:vAlign w:val="bottom"/>
            <w:shd w:val="clear" w:color="auto" w:fill="D0EBF2"/>
          </w:tcPr>
          <w:p>
            <w:pPr>
              <w:jc w:val="right"/>
              <w:ind w:right="64"/>
              <w:spacing w:after="0" w:line="172" w:lineRule="exact"/>
              <w:rPr>
                <w:sz w:val="20"/>
                <w:szCs w:val="20"/>
                <w:color w:val="auto"/>
              </w:rPr>
            </w:pPr>
            <w:r>
              <w:rPr>
                <w:rFonts w:ascii="Times New Roman" w:cs="Times New Roman" w:eastAsia="Times New Roman" w:hAnsi="Times New Roman"/>
                <w:sz w:val="15"/>
                <w:szCs w:val="15"/>
                <w:color w:val="231F20"/>
              </w:rPr>
              <w:t>SOFR +</w:t>
            </w:r>
          </w:p>
        </w:tc>
        <w:tc>
          <w:tcPr>
            <w:tcW w:w="1040" w:type="dxa"/>
            <w:vAlign w:val="bottom"/>
            <w:shd w:val="clear" w:color="auto" w:fill="D0EBF2"/>
          </w:tcPr>
          <w:p>
            <w:pPr>
              <w:jc w:val="right"/>
              <w:ind w:right="64"/>
              <w:spacing w:after="0" w:line="172" w:lineRule="exact"/>
              <w:rPr>
                <w:sz w:val="20"/>
                <w:szCs w:val="20"/>
                <w:color w:val="auto"/>
              </w:rPr>
            </w:pPr>
            <w:r>
              <w:rPr>
                <w:rFonts w:ascii="Times New Roman" w:cs="Times New Roman" w:eastAsia="Times New Roman" w:hAnsi="Times New Roman"/>
                <w:sz w:val="15"/>
                <w:szCs w:val="15"/>
                <w:color w:val="231F20"/>
              </w:rPr>
              <w:t>12.91% PIK</w:t>
            </w:r>
          </w:p>
        </w:tc>
        <w:tc>
          <w:tcPr>
            <w:tcW w:w="1000" w:type="dxa"/>
            <w:vAlign w:val="bottom"/>
            <w:shd w:val="clear" w:color="auto" w:fill="D0EBF2"/>
          </w:tcPr>
          <w:p>
            <w:pPr>
              <w:jc w:val="right"/>
              <w:spacing w:after="0" w:line="172" w:lineRule="exact"/>
              <w:rPr>
                <w:sz w:val="20"/>
                <w:szCs w:val="20"/>
                <w:color w:val="auto"/>
              </w:rPr>
            </w:pPr>
            <w:r>
              <w:rPr>
                <w:rFonts w:ascii="Times New Roman" w:cs="Times New Roman" w:eastAsia="Times New Roman" w:hAnsi="Times New Roman"/>
                <w:sz w:val="15"/>
                <w:szCs w:val="15"/>
                <w:color w:val="231F20"/>
              </w:rPr>
              <w:t>18,111</w:t>
            </w:r>
          </w:p>
        </w:tc>
        <w:tc>
          <w:tcPr>
            <w:tcW w:w="1680" w:type="dxa"/>
            <w:vAlign w:val="bottom"/>
            <w:gridSpan w:val="2"/>
            <w:shd w:val="clear" w:color="auto" w:fill="D0EBF2"/>
          </w:tcPr>
          <w:p>
            <w:pPr>
              <w:jc w:val="right"/>
              <w:spacing w:after="0" w:line="172" w:lineRule="exact"/>
              <w:rPr>
                <w:sz w:val="20"/>
                <w:szCs w:val="20"/>
                <w:color w:val="auto"/>
              </w:rPr>
            </w:pPr>
            <w:r>
              <w:rPr>
                <w:rFonts w:ascii="Times New Roman" w:cs="Times New Roman" w:eastAsia="Times New Roman" w:hAnsi="Times New Roman"/>
                <w:sz w:val="15"/>
                <w:szCs w:val="15"/>
                <w:color w:val="231F20"/>
              </w:rPr>
              <w:t>18,290</w:t>
            </w:r>
          </w:p>
        </w:tc>
        <w:tc>
          <w:tcPr>
            <w:tcW w:w="960" w:type="dxa"/>
            <w:vAlign w:val="bottom"/>
            <w:gridSpan w:val="2"/>
            <w:shd w:val="clear" w:color="auto" w:fill="D0EBF2"/>
          </w:tcPr>
          <w:p>
            <w:pPr>
              <w:jc w:val="right"/>
              <w:spacing w:after="0" w:line="172" w:lineRule="exact"/>
              <w:rPr>
                <w:sz w:val="20"/>
                <w:szCs w:val="20"/>
                <w:color w:val="auto"/>
              </w:rPr>
            </w:pPr>
            <w:r>
              <w:rPr>
                <w:rFonts w:ascii="Times New Roman" w:cs="Times New Roman" w:eastAsia="Times New Roman" w:hAnsi="Times New Roman"/>
                <w:sz w:val="15"/>
                <w:szCs w:val="15"/>
                <w:color w:val="231F20"/>
              </w:rPr>
              <w:t>1.1%</w:t>
            </w:r>
          </w:p>
        </w:tc>
      </w:tr>
      <w:tr>
        <w:trPr>
          <w:trHeight w:val="189"/>
        </w:trPr>
        <w:tc>
          <w:tcPr>
            <w:tcW w:w="1580" w:type="dxa"/>
            <w:vAlign w:val="bottom"/>
            <w:shd w:val="clear" w:color="auto" w:fill="D0EBF2"/>
          </w:tcPr>
          <w:p>
            <w:pPr>
              <w:spacing w:after="0"/>
              <w:rPr>
                <w:sz w:val="16"/>
                <w:szCs w:val="16"/>
                <w:color w:val="auto"/>
              </w:rPr>
            </w:pPr>
          </w:p>
        </w:tc>
        <w:tc>
          <w:tcPr>
            <w:tcW w:w="2200" w:type="dxa"/>
            <w:vAlign w:val="bottom"/>
            <w:shd w:val="clear" w:color="auto" w:fill="D0EBF2"/>
          </w:tcPr>
          <w:p>
            <w:pPr>
              <w:ind w:left="60"/>
              <w:spacing w:after="0"/>
              <w:rPr>
                <w:sz w:val="20"/>
                <w:szCs w:val="20"/>
                <w:color w:val="auto"/>
              </w:rPr>
            </w:pPr>
            <w:r>
              <w:rPr>
                <w:rFonts w:ascii="Times New Roman" w:cs="Times New Roman" w:eastAsia="Times New Roman" w:hAnsi="Times New Roman"/>
                <w:sz w:val="15"/>
                <w:szCs w:val="15"/>
                <w:color w:val="231F20"/>
              </w:rPr>
              <w:t>5/2028)</w:t>
            </w:r>
          </w:p>
        </w:tc>
        <w:tc>
          <w:tcPr>
            <w:tcW w:w="800" w:type="dxa"/>
            <w:vAlign w:val="bottom"/>
            <w:shd w:val="clear" w:color="auto" w:fill="D0EBF2"/>
          </w:tcPr>
          <w:p>
            <w:pPr>
              <w:spacing w:after="0"/>
              <w:rPr>
                <w:sz w:val="16"/>
                <w:szCs w:val="16"/>
                <w:color w:val="auto"/>
              </w:rPr>
            </w:pPr>
          </w:p>
        </w:tc>
        <w:tc>
          <w:tcPr>
            <w:tcW w:w="1020" w:type="dxa"/>
            <w:vAlign w:val="bottom"/>
            <w:shd w:val="clear" w:color="auto" w:fill="D0EBF2"/>
          </w:tcPr>
          <w:p>
            <w:pPr>
              <w:jc w:val="right"/>
              <w:ind w:right="64"/>
              <w:spacing w:after="0"/>
              <w:rPr>
                <w:sz w:val="20"/>
                <w:szCs w:val="20"/>
                <w:color w:val="auto"/>
              </w:rPr>
            </w:pPr>
            <w:r>
              <w:rPr>
                <w:rFonts w:ascii="Times New Roman" w:cs="Times New Roman" w:eastAsia="Times New Roman" w:hAnsi="Times New Roman"/>
                <w:sz w:val="15"/>
                <w:szCs w:val="15"/>
                <w:color w:val="231F20"/>
              </w:rPr>
              <w:t>8.40%</w:t>
            </w:r>
          </w:p>
        </w:tc>
        <w:tc>
          <w:tcPr>
            <w:tcW w:w="1040" w:type="dxa"/>
            <w:vAlign w:val="bottom"/>
            <w:shd w:val="clear" w:color="auto" w:fill="D0EBF2"/>
          </w:tcPr>
          <w:p>
            <w:pPr>
              <w:spacing w:after="0"/>
              <w:rPr>
                <w:sz w:val="16"/>
                <w:szCs w:val="16"/>
                <w:color w:val="auto"/>
              </w:rPr>
            </w:pPr>
          </w:p>
        </w:tc>
        <w:tc>
          <w:tcPr>
            <w:tcW w:w="1000" w:type="dxa"/>
            <w:vAlign w:val="bottom"/>
            <w:shd w:val="clear" w:color="auto" w:fill="D0EBF2"/>
          </w:tcPr>
          <w:p>
            <w:pPr>
              <w:spacing w:after="0"/>
              <w:rPr>
                <w:sz w:val="16"/>
                <w:szCs w:val="16"/>
                <w:color w:val="auto"/>
              </w:rPr>
            </w:pPr>
          </w:p>
        </w:tc>
        <w:tc>
          <w:tcPr>
            <w:tcW w:w="80" w:type="dxa"/>
            <w:vAlign w:val="bottom"/>
            <w:shd w:val="clear" w:color="auto" w:fill="D0EBF2"/>
          </w:tcPr>
          <w:p>
            <w:pPr>
              <w:spacing w:after="0"/>
              <w:rPr>
                <w:sz w:val="16"/>
                <w:szCs w:val="16"/>
                <w:color w:val="auto"/>
              </w:rPr>
            </w:pPr>
          </w:p>
        </w:tc>
        <w:tc>
          <w:tcPr>
            <w:tcW w:w="1600" w:type="dxa"/>
            <w:vAlign w:val="bottom"/>
            <w:shd w:val="clear" w:color="auto" w:fill="D0EBF2"/>
          </w:tcPr>
          <w:p>
            <w:pPr>
              <w:spacing w:after="0"/>
              <w:rPr>
                <w:sz w:val="16"/>
                <w:szCs w:val="16"/>
                <w:color w:val="auto"/>
              </w:rPr>
            </w:pPr>
          </w:p>
        </w:tc>
        <w:tc>
          <w:tcPr>
            <w:tcW w:w="100" w:type="dxa"/>
            <w:vAlign w:val="bottom"/>
            <w:shd w:val="clear" w:color="auto" w:fill="D0EBF2"/>
          </w:tcPr>
          <w:p>
            <w:pPr>
              <w:spacing w:after="0"/>
              <w:rPr>
                <w:sz w:val="16"/>
                <w:szCs w:val="16"/>
                <w:color w:val="auto"/>
              </w:rPr>
            </w:pPr>
          </w:p>
        </w:tc>
        <w:tc>
          <w:tcPr>
            <w:tcW w:w="860" w:type="dxa"/>
            <w:vAlign w:val="bottom"/>
            <w:shd w:val="clear" w:color="auto" w:fill="D0EBF2"/>
          </w:tcPr>
          <w:p>
            <w:pPr>
              <w:spacing w:after="0"/>
              <w:rPr>
                <w:sz w:val="16"/>
                <w:szCs w:val="16"/>
                <w:color w:val="auto"/>
              </w:rPr>
            </w:pPr>
          </w:p>
        </w:tc>
      </w:tr>
      <w:tr>
        <w:trPr>
          <w:trHeight w:val="171"/>
        </w:trPr>
        <w:tc>
          <w:tcPr>
            <w:tcW w:w="1580" w:type="dxa"/>
            <w:vAlign w:val="bottom"/>
            <w:shd w:val="clear" w:color="auto" w:fill="FDFDFC"/>
          </w:tcPr>
          <w:p>
            <w:pPr>
              <w:spacing w:after="0" w:line="172" w:lineRule="exact"/>
              <w:rPr>
                <w:sz w:val="20"/>
                <w:szCs w:val="20"/>
                <w:color w:val="auto"/>
              </w:rPr>
            </w:pPr>
            <w:r>
              <w:rPr>
                <w:rFonts w:ascii="Times New Roman" w:cs="Times New Roman" w:eastAsia="Times New Roman" w:hAnsi="Times New Roman"/>
                <w:sz w:val="15"/>
                <w:szCs w:val="15"/>
                <w:color w:val="231F20"/>
              </w:rPr>
              <w:t>Passport Labs, Inc.</w:t>
            </w:r>
          </w:p>
        </w:tc>
        <w:tc>
          <w:tcPr>
            <w:tcW w:w="2200" w:type="dxa"/>
            <w:vAlign w:val="bottom"/>
            <w:shd w:val="clear" w:color="auto" w:fill="FDFDFC"/>
          </w:tcPr>
          <w:p>
            <w:pPr>
              <w:ind w:left="60"/>
              <w:spacing w:after="0" w:line="172" w:lineRule="exact"/>
              <w:rPr>
                <w:sz w:val="20"/>
                <w:szCs w:val="20"/>
                <w:color w:val="auto"/>
              </w:rPr>
            </w:pPr>
            <w:r>
              <w:rPr>
                <w:rFonts w:ascii="Times New Roman" w:cs="Times New Roman" w:eastAsia="Times New Roman" w:hAnsi="Times New Roman"/>
                <w:sz w:val="15"/>
                <w:szCs w:val="15"/>
                <w:color w:val="231F20"/>
              </w:rPr>
              <w:t>First-lien loan ($24,995, par, due</w:t>
            </w:r>
          </w:p>
        </w:tc>
        <w:tc>
          <w:tcPr>
            <w:tcW w:w="800" w:type="dxa"/>
            <w:vAlign w:val="bottom"/>
            <w:shd w:val="clear" w:color="auto" w:fill="FDFDFC"/>
          </w:tcPr>
          <w:p>
            <w:pPr>
              <w:jc w:val="right"/>
              <w:spacing w:after="0" w:line="172" w:lineRule="exact"/>
              <w:rPr>
                <w:sz w:val="20"/>
                <w:szCs w:val="20"/>
                <w:color w:val="auto"/>
              </w:rPr>
            </w:pPr>
            <w:r>
              <w:rPr>
                <w:rFonts w:ascii="Times New Roman" w:cs="Times New Roman" w:eastAsia="Times New Roman" w:hAnsi="Times New Roman"/>
                <w:sz w:val="15"/>
                <w:szCs w:val="15"/>
                <w:color w:val="231F20"/>
              </w:rPr>
              <w:t>4/28/2021</w:t>
            </w:r>
          </w:p>
        </w:tc>
        <w:tc>
          <w:tcPr>
            <w:tcW w:w="1020" w:type="dxa"/>
            <w:vAlign w:val="bottom"/>
            <w:shd w:val="clear" w:color="auto" w:fill="FDFDFC"/>
          </w:tcPr>
          <w:p>
            <w:pPr>
              <w:jc w:val="right"/>
              <w:ind w:right="64"/>
              <w:spacing w:after="0" w:line="172" w:lineRule="exact"/>
              <w:rPr>
                <w:sz w:val="20"/>
                <w:szCs w:val="20"/>
                <w:color w:val="auto"/>
              </w:rPr>
            </w:pPr>
            <w:r>
              <w:rPr>
                <w:rFonts w:ascii="Times New Roman" w:cs="Times New Roman" w:eastAsia="Times New Roman" w:hAnsi="Times New Roman"/>
                <w:sz w:val="15"/>
                <w:szCs w:val="15"/>
                <w:color w:val="231F20"/>
              </w:rPr>
              <w:t>SOFR +</w:t>
            </w:r>
          </w:p>
        </w:tc>
        <w:tc>
          <w:tcPr>
            <w:tcW w:w="1040" w:type="dxa"/>
            <w:vAlign w:val="bottom"/>
            <w:shd w:val="clear" w:color="auto" w:fill="FDFDFC"/>
          </w:tcPr>
          <w:p>
            <w:pPr>
              <w:jc w:val="right"/>
              <w:ind w:right="64"/>
              <w:spacing w:after="0" w:line="172" w:lineRule="exact"/>
              <w:rPr>
                <w:sz w:val="20"/>
                <w:szCs w:val="20"/>
                <w:color w:val="auto"/>
              </w:rPr>
            </w:pPr>
            <w:r>
              <w:rPr>
                <w:rFonts w:ascii="Times New Roman" w:cs="Times New Roman" w:eastAsia="Times New Roman" w:hAnsi="Times New Roman"/>
                <w:sz w:val="15"/>
                <w:szCs w:val="15"/>
                <w:color w:val="231F20"/>
              </w:rPr>
              <w:t>12.91%</w:t>
            </w:r>
          </w:p>
        </w:tc>
        <w:tc>
          <w:tcPr>
            <w:tcW w:w="1000" w:type="dxa"/>
            <w:vAlign w:val="bottom"/>
            <w:shd w:val="clear" w:color="auto" w:fill="FDFDFC"/>
          </w:tcPr>
          <w:p>
            <w:pPr>
              <w:jc w:val="right"/>
              <w:spacing w:after="0" w:line="172" w:lineRule="exact"/>
              <w:rPr>
                <w:sz w:val="20"/>
                <w:szCs w:val="20"/>
                <w:color w:val="auto"/>
              </w:rPr>
            </w:pPr>
            <w:r>
              <w:rPr>
                <w:rFonts w:ascii="Times New Roman" w:cs="Times New Roman" w:eastAsia="Times New Roman" w:hAnsi="Times New Roman"/>
                <w:sz w:val="15"/>
                <w:szCs w:val="15"/>
                <w:color w:val="231F20"/>
              </w:rPr>
              <w:t>24,914</w:t>
            </w:r>
          </w:p>
        </w:tc>
        <w:tc>
          <w:tcPr>
            <w:tcW w:w="1680" w:type="dxa"/>
            <w:vAlign w:val="bottom"/>
            <w:gridSpan w:val="2"/>
            <w:shd w:val="clear" w:color="auto" w:fill="FDFDFC"/>
          </w:tcPr>
          <w:p>
            <w:pPr>
              <w:jc w:val="right"/>
              <w:spacing w:after="0" w:line="172" w:lineRule="exact"/>
              <w:rPr>
                <w:sz w:val="20"/>
                <w:szCs w:val="20"/>
                <w:color w:val="auto"/>
              </w:rPr>
            </w:pPr>
            <w:r>
              <w:rPr>
                <w:rFonts w:ascii="Times New Roman" w:cs="Times New Roman" w:eastAsia="Times New Roman" w:hAnsi="Times New Roman"/>
                <w:sz w:val="15"/>
                <w:szCs w:val="15"/>
                <w:color w:val="231F20"/>
              </w:rPr>
              <w:t>25,058</w:t>
            </w:r>
          </w:p>
        </w:tc>
        <w:tc>
          <w:tcPr>
            <w:tcW w:w="960" w:type="dxa"/>
            <w:vAlign w:val="bottom"/>
            <w:gridSpan w:val="2"/>
            <w:shd w:val="clear" w:color="auto" w:fill="FDFDFC"/>
          </w:tcPr>
          <w:p>
            <w:pPr>
              <w:jc w:val="right"/>
              <w:spacing w:after="0" w:line="172" w:lineRule="exact"/>
              <w:rPr>
                <w:sz w:val="20"/>
                <w:szCs w:val="20"/>
                <w:color w:val="auto"/>
              </w:rPr>
            </w:pPr>
            <w:r>
              <w:rPr>
                <w:rFonts w:ascii="Times New Roman" w:cs="Times New Roman" w:eastAsia="Times New Roman" w:hAnsi="Times New Roman"/>
                <w:sz w:val="15"/>
                <w:szCs w:val="15"/>
                <w:color w:val="231F20"/>
              </w:rPr>
              <w:t>1.6%</w:t>
            </w:r>
          </w:p>
        </w:tc>
      </w:tr>
      <w:tr>
        <w:trPr>
          <w:trHeight w:val="189"/>
        </w:trPr>
        <w:tc>
          <w:tcPr>
            <w:tcW w:w="1580" w:type="dxa"/>
            <w:vAlign w:val="bottom"/>
            <w:shd w:val="clear" w:color="auto" w:fill="FDFDFC"/>
          </w:tcPr>
          <w:p>
            <w:pPr>
              <w:spacing w:after="0"/>
              <w:rPr>
                <w:sz w:val="16"/>
                <w:szCs w:val="16"/>
                <w:color w:val="auto"/>
              </w:rPr>
            </w:pPr>
          </w:p>
        </w:tc>
        <w:tc>
          <w:tcPr>
            <w:tcW w:w="2200" w:type="dxa"/>
            <w:vAlign w:val="bottom"/>
            <w:shd w:val="clear" w:color="auto" w:fill="FDFDFC"/>
          </w:tcPr>
          <w:p>
            <w:pPr>
              <w:ind w:left="60"/>
              <w:spacing w:after="0"/>
              <w:rPr>
                <w:sz w:val="20"/>
                <w:szCs w:val="20"/>
                <w:color w:val="auto"/>
              </w:rPr>
            </w:pPr>
            <w:r>
              <w:rPr>
                <w:rFonts w:ascii="Times New Roman" w:cs="Times New Roman" w:eastAsia="Times New Roman" w:hAnsi="Times New Roman"/>
                <w:sz w:val="15"/>
                <w:szCs w:val="15"/>
                <w:color w:val="231F20"/>
              </w:rPr>
              <w:t xml:space="preserve">4/2026) </w:t>
            </w:r>
            <w:r>
              <w:rPr>
                <w:rFonts w:ascii="Times New Roman" w:cs="Times New Roman" w:eastAsia="Times New Roman" w:hAnsi="Times New Roman"/>
                <w:sz w:val="9"/>
                <w:szCs w:val="9"/>
                <w:color w:val="231F20"/>
              </w:rPr>
              <w:t>(3)</w:t>
            </w:r>
          </w:p>
        </w:tc>
        <w:tc>
          <w:tcPr>
            <w:tcW w:w="800" w:type="dxa"/>
            <w:vAlign w:val="bottom"/>
            <w:shd w:val="clear" w:color="auto" w:fill="FDFDFC"/>
          </w:tcPr>
          <w:p>
            <w:pPr>
              <w:spacing w:after="0"/>
              <w:rPr>
                <w:sz w:val="16"/>
                <w:szCs w:val="16"/>
                <w:color w:val="auto"/>
              </w:rPr>
            </w:pPr>
          </w:p>
        </w:tc>
        <w:tc>
          <w:tcPr>
            <w:tcW w:w="1020" w:type="dxa"/>
            <w:vAlign w:val="bottom"/>
            <w:shd w:val="clear" w:color="auto" w:fill="FDFDFC"/>
          </w:tcPr>
          <w:p>
            <w:pPr>
              <w:jc w:val="right"/>
              <w:ind w:right="64"/>
              <w:spacing w:after="0"/>
              <w:rPr>
                <w:sz w:val="20"/>
                <w:szCs w:val="20"/>
                <w:color w:val="auto"/>
              </w:rPr>
            </w:pPr>
            <w:r>
              <w:rPr>
                <w:rFonts w:ascii="Times New Roman" w:cs="Times New Roman" w:eastAsia="Times New Roman" w:hAnsi="Times New Roman"/>
                <w:sz w:val="15"/>
                <w:szCs w:val="15"/>
                <w:color w:val="231F20"/>
              </w:rPr>
              <w:t>8.40%</w:t>
            </w:r>
          </w:p>
        </w:tc>
        <w:tc>
          <w:tcPr>
            <w:tcW w:w="1040" w:type="dxa"/>
            <w:vAlign w:val="bottom"/>
            <w:shd w:val="clear" w:color="auto" w:fill="FDFDFC"/>
          </w:tcPr>
          <w:p>
            <w:pPr>
              <w:spacing w:after="0"/>
              <w:rPr>
                <w:sz w:val="16"/>
                <w:szCs w:val="16"/>
                <w:color w:val="auto"/>
              </w:rPr>
            </w:pPr>
          </w:p>
        </w:tc>
        <w:tc>
          <w:tcPr>
            <w:tcW w:w="1000" w:type="dxa"/>
            <w:vAlign w:val="bottom"/>
            <w:shd w:val="clear" w:color="auto" w:fill="FDFDFC"/>
          </w:tcPr>
          <w:p>
            <w:pPr>
              <w:spacing w:after="0"/>
              <w:rPr>
                <w:sz w:val="16"/>
                <w:szCs w:val="16"/>
                <w:color w:val="auto"/>
              </w:rPr>
            </w:pPr>
          </w:p>
        </w:tc>
        <w:tc>
          <w:tcPr>
            <w:tcW w:w="80" w:type="dxa"/>
            <w:vAlign w:val="bottom"/>
            <w:shd w:val="clear" w:color="auto" w:fill="FDFDFC"/>
          </w:tcPr>
          <w:p>
            <w:pPr>
              <w:spacing w:after="0"/>
              <w:rPr>
                <w:sz w:val="16"/>
                <w:szCs w:val="16"/>
                <w:color w:val="auto"/>
              </w:rPr>
            </w:pPr>
          </w:p>
        </w:tc>
        <w:tc>
          <w:tcPr>
            <w:tcW w:w="1600" w:type="dxa"/>
            <w:vAlign w:val="bottom"/>
            <w:shd w:val="clear" w:color="auto" w:fill="FDFDFC"/>
          </w:tcPr>
          <w:p>
            <w:pPr>
              <w:spacing w:after="0"/>
              <w:rPr>
                <w:sz w:val="16"/>
                <w:szCs w:val="16"/>
                <w:color w:val="auto"/>
              </w:rPr>
            </w:pPr>
          </w:p>
        </w:tc>
        <w:tc>
          <w:tcPr>
            <w:tcW w:w="100" w:type="dxa"/>
            <w:vAlign w:val="bottom"/>
            <w:shd w:val="clear" w:color="auto" w:fill="FDFDFC"/>
          </w:tcPr>
          <w:p>
            <w:pPr>
              <w:spacing w:after="0"/>
              <w:rPr>
                <w:sz w:val="16"/>
                <w:szCs w:val="16"/>
                <w:color w:val="auto"/>
              </w:rPr>
            </w:pPr>
          </w:p>
        </w:tc>
        <w:tc>
          <w:tcPr>
            <w:tcW w:w="860" w:type="dxa"/>
            <w:vAlign w:val="bottom"/>
            <w:shd w:val="clear" w:color="auto" w:fill="FDFDFC"/>
          </w:tcPr>
          <w:p>
            <w:pPr>
              <w:spacing w:after="0"/>
              <w:rPr>
                <w:sz w:val="16"/>
                <w:szCs w:val="16"/>
                <w:color w:val="auto"/>
              </w:rPr>
            </w:pPr>
          </w:p>
        </w:tc>
      </w:tr>
      <w:tr>
        <w:trPr>
          <w:trHeight w:val="171"/>
        </w:trPr>
        <w:tc>
          <w:tcPr>
            <w:tcW w:w="1580" w:type="dxa"/>
            <w:vAlign w:val="bottom"/>
            <w:shd w:val="clear" w:color="auto" w:fill="D0EBF2"/>
          </w:tcPr>
          <w:p>
            <w:pPr>
              <w:spacing w:after="0"/>
              <w:rPr>
                <w:sz w:val="14"/>
                <w:szCs w:val="14"/>
                <w:color w:val="auto"/>
              </w:rPr>
            </w:pPr>
          </w:p>
        </w:tc>
        <w:tc>
          <w:tcPr>
            <w:tcW w:w="2200" w:type="dxa"/>
            <w:vAlign w:val="bottom"/>
            <w:shd w:val="clear" w:color="auto" w:fill="D0EBF2"/>
          </w:tcPr>
          <w:p>
            <w:pPr>
              <w:ind w:left="60"/>
              <w:spacing w:after="0" w:line="172" w:lineRule="exact"/>
              <w:rPr>
                <w:sz w:val="20"/>
                <w:szCs w:val="20"/>
                <w:color w:val="auto"/>
              </w:rPr>
            </w:pPr>
            <w:r>
              <w:rPr>
                <w:rFonts w:ascii="Times New Roman" w:cs="Times New Roman" w:eastAsia="Times New Roman" w:hAnsi="Times New Roman"/>
                <w:sz w:val="15"/>
                <w:szCs w:val="15"/>
                <w:color w:val="231F20"/>
              </w:rPr>
              <w:t>Convertible Promissory Note A</w:t>
            </w:r>
          </w:p>
        </w:tc>
        <w:tc>
          <w:tcPr>
            <w:tcW w:w="800" w:type="dxa"/>
            <w:vAlign w:val="bottom"/>
            <w:shd w:val="clear" w:color="auto" w:fill="D0EBF2"/>
          </w:tcPr>
          <w:p>
            <w:pPr>
              <w:jc w:val="right"/>
              <w:spacing w:after="0" w:line="172" w:lineRule="exact"/>
              <w:rPr>
                <w:sz w:val="20"/>
                <w:szCs w:val="20"/>
                <w:color w:val="auto"/>
              </w:rPr>
            </w:pPr>
            <w:r>
              <w:rPr>
                <w:rFonts w:ascii="Times New Roman" w:cs="Times New Roman" w:eastAsia="Times New Roman" w:hAnsi="Times New Roman"/>
                <w:sz w:val="15"/>
                <w:szCs w:val="15"/>
                <w:color w:val="231F20"/>
              </w:rPr>
              <w:t>3/2/2023</w:t>
            </w:r>
          </w:p>
        </w:tc>
        <w:tc>
          <w:tcPr>
            <w:tcW w:w="1020" w:type="dxa"/>
            <w:vAlign w:val="bottom"/>
            <w:shd w:val="clear" w:color="auto" w:fill="D0EBF2"/>
          </w:tcPr>
          <w:p>
            <w:pPr>
              <w:jc w:val="right"/>
              <w:ind w:right="64"/>
              <w:spacing w:after="0" w:line="172" w:lineRule="exact"/>
              <w:rPr>
                <w:sz w:val="20"/>
                <w:szCs w:val="20"/>
                <w:color w:val="auto"/>
              </w:rPr>
            </w:pPr>
            <w:r>
              <w:rPr>
                <w:rFonts w:ascii="Times New Roman" w:cs="Times New Roman" w:eastAsia="Times New Roman" w:hAnsi="Times New Roman"/>
                <w:sz w:val="15"/>
                <w:szCs w:val="15"/>
                <w:color w:val="231F20"/>
              </w:rPr>
              <w:t>8.00%</w:t>
            </w:r>
          </w:p>
        </w:tc>
        <w:tc>
          <w:tcPr>
            <w:tcW w:w="1040" w:type="dxa"/>
            <w:vAlign w:val="bottom"/>
            <w:shd w:val="clear" w:color="auto" w:fill="D0EBF2"/>
          </w:tcPr>
          <w:p>
            <w:pPr>
              <w:jc w:val="right"/>
              <w:ind w:right="64"/>
              <w:spacing w:after="0" w:line="172" w:lineRule="exact"/>
              <w:rPr>
                <w:sz w:val="20"/>
                <w:szCs w:val="20"/>
                <w:color w:val="auto"/>
              </w:rPr>
            </w:pPr>
            <w:r>
              <w:rPr>
                <w:rFonts w:ascii="Times New Roman" w:cs="Times New Roman" w:eastAsia="Times New Roman" w:hAnsi="Times New Roman"/>
                <w:sz w:val="15"/>
                <w:szCs w:val="15"/>
                <w:color w:val="231F20"/>
              </w:rPr>
              <w:t>8.00%</w:t>
            </w:r>
          </w:p>
        </w:tc>
        <w:tc>
          <w:tcPr>
            <w:tcW w:w="1000" w:type="dxa"/>
            <w:vAlign w:val="bottom"/>
            <w:shd w:val="clear" w:color="auto" w:fill="D0EBF2"/>
          </w:tcPr>
          <w:p>
            <w:pPr>
              <w:jc w:val="right"/>
              <w:spacing w:after="0" w:line="172" w:lineRule="exact"/>
              <w:rPr>
                <w:sz w:val="20"/>
                <w:szCs w:val="20"/>
                <w:color w:val="auto"/>
              </w:rPr>
            </w:pPr>
            <w:r>
              <w:rPr>
                <w:rFonts w:ascii="Times New Roman" w:cs="Times New Roman" w:eastAsia="Times New Roman" w:hAnsi="Times New Roman"/>
                <w:sz w:val="15"/>
                <w:szCs w:val="15"/>
                <w:color w:val="231F20"/>
              </w:rPr>
              <w:t>1,086</w:t>
            </w:r>
          </w:p>
        </w:tc>
        <w:tc>
          <w:tcPr>
            <w:tcW w:w="1680" w:type="dxa"/>
            <w:vAlign w:val="bottom"/>
            <w:gridSpan w:val="2"/>
            <w:shd w:val="clear" w:color="auto" w:fill="D0EBF2"/>
          </w:tcPr>
          <w:p>
            <w:pPr>
              <w:jc w:val="right"/>
              <w:spacing w:after="0" w:line="172" w:lineRule="exact"/>
              <w:rPr>
                <w:sz w:val="20"/>
                <w:szCs w:val="20"/>
                <w:color w:val="auto"/>
              </w:rPr>
            </w:pPr>
            <w:r>
              <w:rPr>
                <w:rFonts w:ascii="Times New Roman" w:cs="Times New Roman" w:eastAsia="Times New Roman" w:hAnsi="Times New Roman"/>
                <w:sz w:val="15"/>
                <w:szCs w:val="15"/>
                <w:color w:val="231F20"/>
              </w:rPr>
              <w:t>2,076</w:t>
            </w:r>
          </w:p>
        </w:tc>
        <w:tc>
          <w:tcPr>
            <w:tcW w:w="960" w:type="dxa"/>
            <w:vAlign w:val="bottom"/>
            <w:gridSpan w:val="2"/>
            <w:shd w:val="clear" w:color="auto" w:fill="D0EBF2"/>
          </w:tcPr>
          <w:p>
            <w:pPr>
              <w:jc w:val="right"/>
              <w:spacing w:after="0" w:line="172" w:lineRule="exact"/>
              <w:rPr>
                <w:sz w:val="20"/>
                <w:szCs w:val="20"/>
                <w:color w:val="auto"/>
              </w:rPr>
            </w:pPr>
            <w:r>
              <w:rPr>
                <w:rFonts w:ascii="Times New Roman" w:cs="Times New Roman" w:eastAsia="Times New Roman" w:hAnsi="Times New Roman"/>
                <w:sz w:val="15"/>
                <w:szCs w:val="15"/>
                <w:color w:val="231F20"/>
              </w:rPr>
              <w:t>0.1%</w:t>
            </w:r>
          </w:p>
        </w:tc>
      </w:tr>
      <w:tr>
        <w:trPr>
          <w:trHeight w:val="189"/>
        </w:trPr>
        <w:tc>
          <w:tcPr>
            <w:tcW w:w="1580" w:type="dxa"/>
            <w:vAlign w:val="bottom"/>
            <w:shd w:val="clear" w:color="auto" w:fill="D0EBF2"/>
          </w:tcPr>
          <w:p>
            <w:pPr>
              <w:spacing w:after="0"/>
              <w:rPr>
                <w:sz w:val="16"/>
                <w:szCs w:val="16"/>
                <w:color w:val="auto"/>
              </w:rPr>
            </w:pPr>
          </w:p>
        </w:tc>
        <w:tc>
          <w:tcPr>
            <w:tcW w:w="2200" w:type="dxa"/>
            <w:vAlign w:val="bottom"/>
            <w:shd w:val="clear" w:color="auto" w:fill="D0EBF2"/>
          </w:tcPr>
          <w:p>
            <w:pPr>
              <w:ind w:left="60"/>
              <w:spacing w:after="0"/>
              <w:rPr>
                <w:sz w:val="20"/>
                <w:szCs w:val="20"/>
                <w:color w:val="auto"/>
              </w:rPr>
            </w:pPr>
            <w:r>
              <w:rPr>
                <w:rFonts w:ascii="Times New Roman" w:cs="Times New Roman" w:eastAsia="Times New Roman" w:hAnsi="Times New Roman"/>
                <w:sz w:val="15"/>
                <w:szCs w:val="15"/>
                <w:color w:val="231F20"/>
              </w:rPr>
              <w:t>($1,086 par, due 8/2026)</w:t>
            </w:r>
          </w:p>
        </w:tc>
        <w:tc>
          <w:tcPr>
            <w:tcW w:w="800" w:type="dxa"/>
            <w:vAlign w:val="bottom"/>
            <w:shd w:val="clear" w:color="auto" w:fill="D0EBF2"/>
          </w:tcPr>
          <w:p>
            <w:pPr>
              <w:spacing w:after="0"/>
              <w:rPr>
                <w:sz w:val="16"/>
                <w:szCs w:val="16"/>
                <w:color w:val="auto"/>
              </w:rPr>
            </w:pPr>
          </w:p>
        </w:tc>
        <w:tc>
          <w:tcPr>
            <w:tcW w:w="1020" w:type="dxa"/>
            <w:vAlign w:val="bottom"/>
            <w:shd w:val="clear" w:color="auto" w:fill="D0EBF2"/>
          </w:tcPr>
          <w:p>
            <w:pPr>
              <w:spacing w:after="0"/>
              <w:rPr>
                <w:sz w:val="16"/>
                <w:szCs w:val="16"/>
                <w:color w:val="auto"/>
              </w:rPr>
            </w:pPr>
          </w:p>
        </w:tc>
        <w:tc>
          <w:tcPr>
            <w:tcW w:w="1040" w:type="dxa"/>
            <w:vAlign w:val="bottom"/>
            <w:shd w:val="clear" w:color="auto" w:fill="D0EBF2"/>
          </w:tcPr>
          <w:p>
            <w:pPr>
              <w:spacing w:after="0"/>
              <w:rPr>
                <w:sz w:val="16"/>
                <w:szCs w:val="16"/>
                <w:color w:val="auto"/>
              </w:rPr>
            </w:pPr>
          </w:p>
        </w:tc>
        <w:tc>
          <w:tcPr>
            <w:tcW w:w="1000" w:type="dxa"/>
            <w:vAlign w:val="bottom"/>
            <w:shd w:val="clear" w:color="auto" w:fill="D0EBF2"/>
          </w:tcPr>
          <w:p>
            <w:pPr>
              <w:spacing w:after="0"/>
              <w:rPr>
                <w:sz w:val="16"/>
                <w:szCs w:val="16"/>
                <w:color w:val="auto"/>
              </w:rPr>
            </w:pPr>
          </w:p>
        </w:tc>
        <w:tc>
          <w:tcPr>
            <w:tcW w:w="80" w:type="dxa"/>
            <w:vAlign w:val="bottom"/>
            <w:shd w:val="clear" w:color="auto" w:fill="D0EBF2"/>
          </w:tcPr>
          <w:p>
            <w:pPr>
              <w:spacing w:after="0"/>
              <w:rPr>
                <w:sz w:val="16"/>
                <w:szCs w:val="16"/>
                <w:color w:val="auto"/>
              </w:rPr>
            </w:pPr>
          </w:p>
        </w:tc>
        <w:tc>
          <w:tcPr>
            <w:tcW w:w="1600" w:type="dxa"/>
            <w:vAlign w:val="bottom"/>
            <w:shd w:val="clear" w:color="auto" w:fill="D0EBF2"/>
          </w:tcPr>
          <w:p>
            <w:pPr>
              <w:spacing w:after="0"/>
              <w:rPr>
                <w:sz w:val="16"/>
                <w:szCs w:val="16"/>
                <w:color w:val="auto"/>
              </w:rPr>
            </w:pPr>
          </w:p>
        </w:tc>
        <w:tc>
          <w:tcPr>
            <w:tcW w:w="100" w:type="dxa"/>
            <w:vAlign w:val="bottom"/>
            <w:shd w:val="clear" w:color="auto" w:fill="D0EBF2"/>
          </w:tcPr>
          <w:p>
            <w:pPr>
              <w:spacing w:after="0"/>
              <w:rPr>
                <w:sz w:val="16"/>
                <w:szCs w:val="16"/>
                <w:color w:val="auto"/>
              </w:rPr>
            </w:pPr>
          </w:p>
        </w:tc>
        <w:tc>
          <w:tcPr>
            <w:tcW w:w="860" w:type="dxa"/>
            <w:vAlign w:val="bottom"/>
            <w:shd w:val="clear" w:color="auto" w:fill="D0EBF2"/>
          </w:tcPr>
          <w:p>
            <w:pPr>
              <w:spacing w:after="0"/>
              <w:rPr>
                <w:sz w:val="16"/>
                <w:szCs w:val="16"/>
                <w:color w:val="auto"/>
              </w:rPr>
            </w:pPr>
          </w:p>
        </w:tc>
      </w:tr>
      <w:tr>
        <w:trPr>
          <w:trHeight w:val="171"/>
        </w:trPr>
        <w:tc>
          <w:tcPr>
            <w:tcW w:w="1580" w:type="dxa"/>
            <w:vAlign w:val="bottom"/>
            <w:shd w:val="clear" w:color="auto" w:fill="FDFDFC"/>
          </w:tcPr>
          <w:p>
            <w:pPr>
              <w:spacing w:after="0" w:line="172" w:lineRule="exact"/>
              <w:rPr>
                <w:sz w:val="20"/>
                <w:szCs w:val="20"/>
                <w:color w:val="auto"/>
              </w:rPr>
            </w:pPr>
            <w:r>
              <w:rPr>
                <w:rFonts w:ascii="Times New Roman" w:cs="Times New Roman" w:eastAsia="Times New Roman" w:hAnsi="Times New Roman"/>
                <w:sz w:val="15"/>
                <w:szCs w:val="15"/>
                <w:color w:val="231F20"/>
              </w:rPr>
              <w:t xml:space="preserve">TradingScreen, Inc. </w:t>
            </w:r>
            <w:r>
              <w:rPr>
                <w:rFonts w:ascii="Times New Roman" w:cs="Times New Roman" w:eastAsia="Times New Roman" w:hAnsi="Times New Roman"/>
                <w:sz w:val="9"/>
                <w:szCs w:val="9"/>
                <w:color w:val="231F20"/>
              </w:rPr>
              <w:t>(3)(5)</w:t>
            </w:r>
          </w:p>
        </w:tc>
        <w:tc>
          <w:tcPr>
            <w:tcW w:w="2200" w:type="dxa"/>
            <w:vAlign w:val="bottom"/>
            <w:shd w:val="clear" w:color="auto" w:fill="FDFDFC"/>
          </w:tcPr>
          <w:p>
            <w:pPr>
              <w:ind w:left="60"/>
              <w:spacing w:after="0" w:line="172" w:lineRule="exact"/>
              <w:rPr>
                <w:sz w:val="20"/>
                <w:szCs w:val="20"/>
                <w:color w:val="auto"/>
              </w:rPr>
            </w:pPr>
            <w:r>
              <w:rPr>
                <w:rFonts w:ascii="Times New Roman" w:cs="Times New Roman" w:eastAsia="Times New Roman" w:hAnsi="Times New Roman"/>
                <w:sz w:val="15"/>
                <w:szCs w:val="15"/>
                <w:color w:val="231F20"/>
              </w:rPr>
              <w:t>First-lien loan ($55,528 par, due</w:t>
            </w:r>
          </w:p>
        </w:tc>
        <w:tc>
          <w:tcPr>
            <w:tcW w:w="800" w:type="dxa"/>
            <w:vAlign w:val="bottom"/>
            <w:shd w:val="clear" w:color="auto" w:fill="FDFDFC"/>
          </w:tcPr>
          <w:p>
            <w:pPr>
              <w:jc w:val="right"/>
              <w:spacing w:after="0" w:line="172" w:lineRule="exact"/>
              <w:rPr>
                <w:sz w:val="20"/>
                <w:szCs w:val="20"/>
                <w:color w:val="auto"/>
              </w:rPr>
            </w:pPr>
            <w:r>
              <w:rPr>
                <w:rFonts w:ascii="Times New Roman" w:cs="Times New Roman" w:eastAsia="Times New Roman" w:hAnsi="Times New Roman"/>
                <w:sz w:val="15"/>
                <w:szCs w:val="15"/>
                <w:color w:val="231F20"/>
              </w:rPr>
              <w:t>4/30/2021</w:t>
            </w:r>
          </w:p>
        </w:tc>
        <w:tc>
          <w:tcPr>
            <w:tcW w:w="1020" w:type="dxa"/>
            <w:vAlign w:val="bottom"/>
            <w:shd w:val="clear" w:color="auto" w:fill="FDFDFC"/>
          </w:tcPr>
          <w:p>
            <w:pPr>
              <w:jc w:val="right"/>
              <w:ind w:right="64"/>
              <w:spacing w:after="0" w:line="172" w:lineRule="exact"/>
              <w:rPr>
                <w:sz w:val="20"/>
                <w:szCs w:val="20"/>
                <w:color w:val="auto"/>
              </w:rPr>
            </w:pPr>
            <w:r>
              <w:rPr>
                <w:rFonts w:ascii="Times New Roman" w:cs="Times New Roman" w:eastAsia="Times New Roman" w:hAnsi="Times New Roman"/>
                <w:sz w:val="15"/>
                <w:szCs w:val="15"/>
                <w:color w:val="231F20"/>
              </w:rPr>
              <w:t>SOFR +</w:t>
            </w:r>
          </w:p>
        </w:tc>
        <w:tc>
          <w:tcPr>
            <w:tcW w:w="1040" w:type="dxa"/>
            <w:vAlign w:val="bottom"/>
            <w:shd w:val="clear" w:color="auto" w:fill="FDFDFC"/>
          </w:tcPr>
          <w:p>
            <w:pPr>
              <w:jc w:val="right"/>
              <w:ind w:right="64"/>
              <w:spacing w:after="0" w:line="172" w:lineRule="exact"/>
              <w:rPr>
                <w:sz w:val="20"/>
                <w:szCs w:val="20"/>
                <w:color w:val="auto"/>
              </w:rPr>
            </w:pPr>
            <w:r>
              <w:rPr>
                <w:rFonts w:ascii="Times New Roman" w:cs="Times New Roman" w:eastAsia="Times New Roman" w:hAnsi="Times New Roman"/>
                <w:sz w:val="15"/>
                <w:szCs w:val="15"/>
                <w:color w:val="231F20"/>
              </w:rPr>
              <w:t>10.93%</w:t>
            </w:r>
          </w:p>
        </w:tc>
        <w:tc>
          <w:tcPr>
            <w:tcW w:w="1000" w:type="dxa"/>
            <w:vAlign w:val="bottom"/>
            <w:shd w:val="clear" w:color="auto" w:fill="FDFDFC"/>
          </w:tcPr>
          <w:p>
            <w:pPr>
              <w:jc w:val="right"/>
              <w:spacing w:after="0" w:line="172" w:lineRule="exact"/>
              <w:rPr>
                <w:sz w:val="20"/>
                <w:szCs w:val="20"/>
                <w:color w:val="auto"/>
              </w:rPr>
            </w:pPr>
            <w:r>
              <w:rPr>
                <w:rFonts w:ascii="Times New Roman" w:cs="Times New Roman" w:eastAsia="Times New Roman" w:hAnsi="Times New Roman"/>
                <w:sz w:val="15"/>
                <w:szCs w:val="15"/>
                <w:color w:val="231F20"/>
              </w:rPr>
              <w:t>54,788</w:t>
            </w:r>
          </w:p>
        </w:tc>
        <w:tc>
          <w:tcPr>
            <w:tcW w:w="1680" w:type="dxa"/>
            <w:vAlign w:val="bottom"/>
            <w:gridSpan w:val="2"/>
            <w:shd w:val="clear" w:color="auto" w:fill="FDFDFC"/>
          </w:tcPr>
          <w:p>
            <w:pPr>
              <w:jc w:val="right"/>
              <w:spacing w:after="0" w:line="172" w:lineRule="exact"/>
              <w:rPr>
                <w:sz w:val="20"/>
                <w:szCs w:val="20"/>
                <w:color w:val="auto"/>
              </w:rPr>
            </w:pPr>
            <w:r>
              <w:rPr>
                <w:rFonts w:ascii="Times New Roman" w:cs="Times New Roman" w:eastAsia="Times New Roman" w:hAnsi="Times New Roman"/>
                <w:sz w:val="15"/>
                <w:szCs w:val="15"/>
                <w:color w:val="231F20"/>
              </w:rPr>
              <w:t>55,528</w:t>
            </w:r>
          </w:p>
        </w:tc>
        <w:tc>
          <w:tcPr>
            <w:tcW w:w="960" w:type="dxa"/>
            <w:vAlign w:val="bottom"/>
            <w:gridSpan w:val="2"/>
            <w:shd w:val="clear" w:color="auto" w:fill="FDFDFC"/>
          </w:tcPr>
          <w:p>
            <w:pPr>
              <w:jc w:val="right"/>
              <w:spacing w:after="0" w:line="172" w:lineRule="exact"/>
              <w:rPr>
                <w:sz w:val="20"/>
                <w:szCs w:val="20"/>
                <w:color w:val="auto"/>
              </w:rPr>
            </w:pPr>
            <w:r>
              <w:rPr>
                <w:rFonts w:ascii="Times New Roman" w:cs="Times New Roman" w:eastAsia="Times New Roman" w:hAnsi="Times New Roman"/>
                <w:sz w:val="15"/>
                <w:szCs w:val="15"/>
                <w:color w:val="231F20"/>
              </w:rPr>
              <w:t>3.5%</w:t>
            </w:r>
          </w:p>
        </w:tc>
      </w:tr>
      <w:tr>
        <w:trPr>
          <w:trHeight w:val="189"/>
        </w:trPr>
        <w:tc>
          <w:tcPr>
            <w:tcW w:w="1580" w:type="dxa"/>
            <w:vAlign w:val="bottom"/>
            <w:shd w:val="clear" w:color="auto" w:fill="FDFDFC"/>
          </w:tcPr>
          <w:p>
            <w:pPr>
              <w:spacing w:after="0"/>
              <w:rPr>
                <w:sz w:val="16"/>
                <w:szCs w:val="16"/>
                <w:color w:val="auto"/>
              </w:rPr>
            </w:pPr>
          </w:p>
        </w:tc>
        <w:tc>
          <w:tcPr>
            <w:tcW w:w="2200" w:type="dxa"/>
            <w:vAlign w:val="bottom"/>
            <w:shd w:val="clear" w:color="auto" w:fill="FDFDFC"/>
          </w:tcPr>
          <w:p>
            <w:pPr>
              <w:ind w:left="60"/>
              <w:spacing w:after="0"/>
              <w:rPr>
                <w:sz w:val="20"/>
                <w:szCs w:val="20"/>
                <w:color w:val="auto"/>
              </w:rPr>
            </w:pPr>
            <w:r>
              <w:rPr>
                <w:rFonts w:ascii="Times New Roman" w:cs="Times New Roman" w:eastAsia="Times New Roman" w:hAnsi="Times New Roman"/>
                <w:sz w:val="15"/>
                <w:szCs w:val="15"/>
                <w:color w:val="231F20"/>
              </w:rPr>
              <w:t>4/2027)</w:t>
            </w:r>
          </w:p>
        </w:tc>
        <w:tc>
          <w:tcPr>
            <w:tcW w:w="800" w:type="dxa"/>
            <w:vAlign w:val="bottom"/>
            <w:shd w:val="clear" w:color="auto" w:fill="FDFDFC"/>
          </w:tcPr>
          <w:p>
            <w:pPr>
              <w:spacing w:after="0"/>
              <w:rPr>
                <w:sz w:val="16"/>
                <w:szCs w:val="16"/>
                <w:color w:val="auto"/>
              </w:rPr>
            </w:pPr>
          </w:p>
        </w:tc>
        <w:tc>
          <w:tcPr>
            <w:tcW w:w="1020" w:type="dxa"/>
            <w:vAlign w:val="bottom"/>
            <w:shd w:val="clear" w:color="auto" w:fill="FDFDFC"/>
          </w:tcPr>
          <w:p>
            <w:pPr>
              <w:jc w:val="right"/>
              <w:ind w:right="64"/>
              <w:spacing w:after="0"/>
              <w:rPr>
                <w:sz w:val="20"/>
                <w:szCs w:val="20"/>
                <w:color w:val="auto"/>
              </w:rPr>
            </w:pPr>
            <w:r>
              <w:rPr>
                <w:rFonts w:ascii="Times New Roman" w:cs="Times New Roman" w:eastAsia="Times New Roman" w:hAnsi="Times New Roman"/>
                <w:sz w:val="15"/>
                <w:szCs w:val="15"/>
                <w:color w:val="231F20"/>
              </w:rPr>
              <w:t>6.35%</w:t>
            </w:r>
          </w:p>
        </w:tc>
        <w:tc>
          <w:tcPr>
            <w:tcW w:w="1040" w:type="dxa"/>
            <w:vAlign w:val="bottom"/>
            <w:shd w:val="clear" w:color="auto" w:fill="FDFDFC"/>
          </w:tcPr>
          <w:p>
            <w:pPr>
              <w:spacing w:after="0"/>
              <w:rPr>
                <w:sz w:val="16"/>
                <w:szCs w:val="16"/>
                <w:color w:val="auto"/>
              </w:rPr>
            </w:pPr>
          </w:p>
        </w:tc>
        <w:tc>
          <w:tcPr>
            <w:tcW w:w="1000" w:type="dxa"/>
            <w:vAlign w:val="bottom"/>
            <w:shd w:val="clear" w:color="auto" w:fill="FDFDFC"/>
          </w:tcPr>
          <w:p>
            <w:pPr>
              <w:spacing w:after="0"/>
              <w:rPr>
                <w:sz w:val="16"/>
                <w:szCs w:val="16"/>
                <w:color w:val="auto"/>
              </w:rPr>
            </w:pPr>
          </w:p>
        </w:tc>
        <w:tc>
          <w:tcPr>
            <w:tcW w:w="80" w:type="dxa"/>
            <w:vAlign w:val="bottom"/>
            <w:shd w:val="clear" w:color="auto" w:fill="FDFDFC"/>
          </w:tcPr>
          <w:p>
            <w:pPr>
              <w:spacing w:after="0"/>
              <w:rPr>
                <w:sz w:val="16"/>
                <w:szCs w:val="16"/>
                <w:color w:val="auto"/>
              </w:rPr>
            </w:pPr>
          </w:p>
        </w:tc>
        <w:tc>
          <w:tcPr>
            <w:tcW w:w="1600" w:type="dxa"/>
            <w:vAlign w:val="bottom"/>
            <w:shd w:val="clear" w:color="auto" w:fill="FDFDFC"/>
          </w:tcPr>
          <w:p>
            <w:pPr>
              <w:spacing w:after="0"/>
              <w:rPr>
                <w:sz w:val="16"/>
                <w:szCs w:val="16"/>
                <w:color w:val="auto"/>
              </w:rPr>
            </w:pPr>
          </w:p>
        </w:tc>
        <w:tc>
          <w:tcPr>
            <w:tcW w:w="100" w:type="dxa"/>
            <w:vAlign w:val="bottom"/>
            <w:shd w:val="clear" w:color="auto" w:fill="FDFDFC"/>
          </w:tcPr>
          <w:p>
            <w:pPr>
              <w:spacing w:after="0"/>
              <w:rPr>
                <w:sz w:val="16"/>
                <w:szCs w:val="16"/>
                <w:color w:val="auto"/>
              </w:rPr>
            </w:pPr>
          </w:p>
        </w:tc>
        <w:tc>
          <w:tcPr>
            <w:tcW w:w="860" w:type="dxa"/>
            <w:vAlign w:val="bottom"/>
            <w:shd w:val="clear" w:color="auto" w:fill="FDFDFC"/>
          </w:tcPr>
          <w:p>
            <w:pPr>
              <w:spacing w:after="0"/>
              <w:rPr>
                <w:sz w:val="16"/>
                <w:szCs w:val="16"/>
                <w:color w:val="auto"/>
              </w:rPr>
            </w:pPr>
          </w:p>
        </w:tc>
      </w:tr>
      <w:tr>
        <w:trPr>
          <w:trHeight w:val="171"/>
        </w:trPr>
        <w:tc>
          <w:tcPr>
            <w:tcW w:w="1580" w:type="dxa"/>
            <w:vAlign w:val="bottom"/>
            <w:shd w:val="clear" w:color="auto" w:fill="D0EBF2"/>
          </w:tcPr>
          <w:p>
            <w:pPr>
              <w:spacing w:after="0"/>
              <w:rPr>
                <w:sz w:val="14"/>
                <w:szCs w:val="14"/>
                <w:color w:val="auto"/>
              </w:rPr>
            </w:pPr>
          </w:p>
        </w:tc>
        <w:tc>
          <w:tcPr>
            <w:tcW w:w="2200" w:type="dxa"/>
            <w:vAlign w:val="bottom"/>
            <w:shd w:val="clear" w:color="auto" w:fill="D0EBF2"/>
          </w:tcPr>
          <w:p>
            <w:pPr>
              <w:ind w:left="60"/>
              <w:spacing w:after="0" w:line="172" w:lineRule="exact"/>
              <w:rPr>
                <w:sz w:val="20"/>
                <w:szCs w:val="20"/>
                <w:color w:val="auto"/>
              </w:rPr>
            </w:pPr>
            <w:r>
              <w:rPr>
                <w:rFonts w:ascii="Times New Roman" w:cs="Times New Roman" w:eastAsia="Times New Roman" w:hAnsi="Times New Roman"/>
                <w:sz w:val="15"/>
                <w:szCs w:val="15"/>
                <w:color w:val="231F20"/>
              </w:rPr>
              <w:t>First-lien revolving loan ($899</w:t>
            </w:r>
          </w:p>
        </w:tc>
        <w:tc>
          <w:tcPr>
            <w:tcW w:w="800" w:type="dxa"/>
            <w:vAlign w:val="bottom"/>
            <w:shd w:val="clear" w:color="auto" w:fill="D0EBF2"/>
          </w:tcPr>
          <w:p>
            <w:pPr>
              <w:jc w:val="right"/>
              <w:spacing w:after="0" w:line="172" w:lineRule="exact"/>
              <w:rPr>
                <w:sz w:val="20"/>
                <w:szCs w:val="20"/>
                <w:color w:val="auto"/>
              </w:rPr>
            </w:pPr>
            <w:r>
              <w:rPr>
                <w:rFonts w:ascii="Times New Roman" w:cs="Times New Roman" w:eastAsia="Times New Roman" w:hAnsi="Times New Roman"/>
                <w:sz w:val="15"/>
                <w:szCs w:val="15"/>
                <w:color w:val="231F20"/>
              </w:rPr>
              <w:t>11/1/2024</w:t>
            </w:r>
          </w:p>
        </w:tc>
        <w:tc>
          <w:tcPr>
            <w:tcW w:w="1020" w:type="dxa"/>
            <w:vAlign w:val="bottom"/>
            <w:shd w:val="clear" w:color="auto" w:fill="D0EBF2"/>
          </w:tcPr>
          <w:p>
            <w:pPr>
              <w:jc w:val="right"/>
              <w:ind w:right="64"/>
              <w:spacing w:after="0" w:line="172" w:lineRule="exact"/>
              <w:rPr>
                <w:sz w:val="20"/>
                <w:szCs w:val="20"/>
                <w:color w:val="auto"/>
              </w:rPr>
            </w:pPr>
            <w:r>
              <w:rPr>
                <w:rFonts w:ascii="Times New Roman" w:cs="Times New Roman" w:eastAsia="Times New Roman" w:hAnsi="Times New Roman"/>
                <w:sz w:val="15"/>
                <w:szCs w:val="15"/>
                <w:color w:val="231F20"/>
              </w:rPr>
              <w:t>P + 5.25%</w:t>
            </w:r>
          </w:p>
        </w:tc>
        <w:tc>
          <w:tcPr>
            <w:tcW w:w="1040" w:type="dxa"/>
            <w:vAlign w:val="bottom"/>
            <w:shd w:val="clear" w:color="auto" w:fill="D0EBF2"/>
          </w:tcPr>
          <w:p>
            <w:pPr>
              <w:jc w:val="right"/>
              <w:ind w:right="64"/>
              <w:spacing w:after="0" w:line="172" w:lineRule="exact"/>
              <w:rPr>
                <w:sz w:val="20"/>
                <w:szCs w:val="20"/>
                <w:color w:val="auto"/>
              </w:rPr>
            </w:pPr>
            <w:r>
              <w:rPr>
                <w:rFonts w:ascii="Times New Roman" w:cs="Times New Roman" w:eastAsia="Times New Roman" w:hAnsi="Times New Roman"/>
                <w:sz w:val="15"/>
                <w:szCs w:val="15"/>
                <w:color w:val="231F20"/>
              </w:rPr>
              <w:t>12.75%</w:t>
            </w:r>
          </w:p>
        </w:tc>
        <w:tc>
          <w:tcPr>
            <w:tcW w:w="1000" w:type="dxa"/>
            <w:vAlign w:val="bottom"/>
            <w:shd w:val="clear" w:color="auto" w:fill="D0EBF2"/>
          </w:tcPr>
          <w:p>
            <w:pPr>
              <w:jc w:val="right"/>
              <w:spacing w:after="0" w:line="172" w:lineRule="exact"/>
              <w:rPr>
                <w:sz w:val="20"/>
                <w:szCs w:val="20"/>
                <w:color w:val="auto"/>
              </w:rPr>
            </w:pPr>
            <w:r>
              <w:rPr>
                <w:rFonts w:ascii="Times New Roman" w:cs="Times New Roman" w:eastAsia="Times New Roman" w:hAnsi="Times New Roman"/>
                <w:sz w:val="15"/>
                <w:szCs w:val="15"/>
                <w:color w:val="231F20"/>
              </w:rPr>
              <w:t>876</w:t>
            </w:r>
          </w:p>
        </w:tc>
        <w:tc>
          <w:tcPr>
            <w:tcW w:w="1680" w:type="dxa"/>
            <w:vAlign w:val="bottom"/>
            <w:gridSpan w:val="2"/>
            <w:shd w:val="clear" w:color="auto" w:fill="D0EBF2"/>
          </w:tcPr>
          <w:p>
            <w:pPr>
              <w:jc w:val="right"/>
              <w:spacing w:after="0" w:line="172" w:lineRule="exact"/>
              <w:rPr>
                <w:sz w:val="20"/>
                <w:szCs w:val="20"/>
                <w:color w:val="auto"/>
              </w:rPr>
            </w:pPr>
            <w:r>
              <w:rPr>
                <w:rFonts w:ascii="Times New Roman" w:cs="Times New Roman" w:eastAsia="Times New Roman" w:hAnsi="Times New Roman"/>
                <w:sz w:val="15"/>
                <w:szCs w:val="15"/>
                <w:color w:val="231F20"/>
              </w:rPr>
              <w:t>899</w:t>
            </w:r>
          </w:p>
        </w:tc>
        <w:tc>
          <w:tcPr>
            <w:tcW w:w="960" w:type="dxa"/>
            <w:vAlign w:val="bottom"/>
            <w:gridSpan w:val="2"/>
            <w:shd w:val="clear" w:color="auto" w:fill="D0EBF2"/>
          </w:tcPr>
          <w:p>
            <w:pPr>
              <w:jc w:val="right"/>
              <w:spacing w:after="0" w:line="172" w:lineRule="exact"/>
              <w:rPr>
                <w:sz w:val="20"/>
                <w:szCs w:val="20"/>
                <w:color w:val="auto"/>
              </w:rPr>
            </w:pPr>
            <w:r>
              <w:rPr>
                <w:rFonts w:ascii="Times New Roman" w:cs="Times New Roman" w:eastAsia="Times New Roman" w:hAnsi="Times New Roman"/>
                <w:sz w:val="15"/>
                <w:szCs w:val="15"/>
                <w:color w:val="231F20"/>
              </w:rPr>
              <w:t>0.1%</w:t>
            </w:r>
          </w:p>
        </w:tc>
      </w:tr>
      <w:tr>
        <w:trPr>
          <w:trHeight w:val="189"/>
        </w:trPr>
        <w:tc>
          <w:tcPr>
            <w:tcW w:w="1580" w:type="dxa"/>
            <w:vAlign w:val="bottom"/>
            <w:shd w:val="clear" w:color="auto" w:fill="D0EBF2"/>
          </w:tcPr>
          <w:p>
            <w:pPr>
              <w:spacing w:after="0"/>
              <w:rPr>
                <w:sz w:val="16"/>
                <w:szCs w:val="16"/>
                <w:color w:val="auto"/>
              </w:rPr>
            </w:pPr>
          </w:p>
        </w:tc>
        <w:tc>
          <w:tcPr>
            <w:tcW w:w="2200" w:type="dxa"/>
            <w:vAlign w:val="bottom"/>
            <w:shd w:val="clear" w:color="auto" w:fill="D0EBF2"/>
          </w:tcPr>
          <w:p>
            <w:pPr>
              <w:ind w:left="60"/>
              <w:spacing w:after="0"/>
              <w:rPr>
                <w:sz w:val="20"/>
                <w:szCs w:val="20"/>
                <w:color w:val="auto"/>
              </w:rPr>
            </w:pPr>
            <w:r>
              <w:rPr>
                <w:rFonts w:ascii="Times New Roman" w:cs="Times New Roman" w:eastAsia="Times New Roman" w:hAnsi="Times New Roman"/>
                <w:sz w:val="15"/>
                <w:szCs w:val="15"/>
                <w:color w:val="231F20"/>
              </w:rPr>
              <w:t>par, due 5/2027)</w:t>
            </w:r>
          </w:p>
        </w:tc>
        <w:tc>
          <w:tcPr>
            <w:tcW w:w="800" w:type="dxa"/>
            <w:vAlign w:val="bottom"/>
            <w:shd w:val="clear" w:color="auto" w:fill="D0EBF2"/>
          </w:tcPr>
          <w:p>
            <w:pPr>
              <w:spacing w:after="0"/>
              <w:rPr>
                <w:sz w:val="16"/>
                <w:szCs w:val="16"/>
                <w:color w:val="auto"/>
              </w:rPr>
            </w:pPr>
          </w:p>
        </w:tc>
        <w:tc>
          <w:tcPr>
            <w:tcW w:w="1020" w:type="dxa"/>
            <w:vAlign w:val="bottom"/>
            <w:shd w:val="clear" w:color="auto" w:fill="D0EBF2"/>
          </w:tcPr>
          <w:p>
            <w:pPr>
              <w:spacing w:after="0"/>
              <w:rPr>
                <w:sz w:val="16"/>
                <w:szCs w:val="16"/>
                <w:color w:val="auto"/>
              </w:rPr>
            </w:pPr>
          </w:p>
        </w:tc>
        <w:tc>
          <w:tcPr>
            <w:tcW w:w="1040" w:type="dxa"/>
            <w:vAlign w:val="bottom"/>
            <w:shd w:val="clear" w:color="auto" w:fill="D0EBF2"/>
          </w:tcPr>
          <w:p>
            <w:pPr>
              <w:spacing w:after="0"/>
              <w:rPr>
                <w:sz w:val="16"/>
                <w:szCs w:val="16"/>
                <w:color w:val="auto"/>
              </w:rPr>
            </w:pPr>
          </w:p>
        </w:tc>
        <w:tc>
          <w:tcPr>
            <w:tcW w:w="1000" w:type="dxa"/>
            <w:vAlign w:val="bottom"/>
            <w:shd w:val="clear" w:color="auto" w:fill="D0EBF2"/>
          </w:tcPr>
          <w:p>
            <w:pPr>
              <w:spacing w:after="0"/>
              <w:rPr>
                <w:sz w:val="16"/>
                <w:szCs w:val="16"/>
                <w:color w:val="auto"/>
              </w:rPr>
            </w:pPr>
          </w:p>
        </w:tc>
        <w:tc>
          <w:tcPr>
            <w:tcW w:w="80" w:type="dxa"/>
            <w:vAlign w:val="bottom"/>
            <w:shd w:val="clear" w:color="auto" w:fill="D0EBF2"/>
          </w:tcPr>
          <w:p>
            <w:pPr>
              <w:spacing w:after="0"/>
              <w:rPr>
                <w:sz w:val="16"/>
                <w:szCs w:val="16"/>
                <w:color w:val="auto"/>
              </w:rPr>
            </w:pPr>
          </w:p>
        </w:tc>
        <w:tc>
          <w:tcPr>
            <w:tcW w:w="1600" w:type="dxa"/>
            <w:vAlign w:val="bottom"/>
            <w:shd w:val="clear" w:color="auto" w:fill="D0EBF2"/>
          </w:tcPr>
          <w:p>
            <w:pPr>
              <w:spacing w:after="0"/>
              <w:rPr>
                <w:sz w:val="16"/>
                <w:szCs w:val="16"/>
                <w:color w:val="auto"/>
              </w:rPr>
            </w:pPr>
          </w:p>
        </w:tc>
        <w:tc>
          <w:tcPr>
            <w:tcW w:w="100" w:type="dxa"/>
            <w:vAlign w:val="bottom"/>
            <w:shd w:val="clear" w:color="auto" w:fill="D0EBF2"/>
          </w:tcPr>
          <w:p>
            <w:pPr>
              <w:spacing w:after="0"/>
              <w:rPr>
                <w:sz w:val="16"/>
                <w:szCs w:val="16"/>
                <w:color w:val="auto"/>
              </w:rPr>
            </w:pPr>
          </w:p>
        </w:tc>
        <w:tc>
          <w:tcPr>
            <w:tcW w:w="860" w:type="dxa"/>
            <w:vAlign w:val="bottom"/>
            <w:shd w:val="clear" w:color="auto" w:fill="D0EBF2"/>
          </w:tcPr>
          <w:p>
            <w:pPr>
              <w:spacing w:after="0"/>
              <w:rPr>
                <w:sz w:val="16"/>
                <w:szCs w:val="16"/>
                <w:color w:val="auto"/>
              </w:rPr>
            </w:pPr>
          </w:p>
        </w:tc>
      </w:tr>
      <w:tr>
        <w:trPr>
          <w:trHeight w:val="171"/>
        </w:trPr>
        <w:tc>
          <w:tcPr>
            <w:tcW w:w="1580" w:type="dxa"/>
            <w:vAlign w:val="bottom"/>
            <w:shd w:val="clear" w:color="auto" w:fill="FDFDFC"/>
          </w:tcPr>
          <w:p>
            <w:pPr>
              <w:spacing w:after="0" w:line="172" w:lineRule="exact"/>
              <w:rPr>
                <w:sz w:val="20"/>
                <w:szCs w:val="20"/>
                <w:color w:val="auto"/>
              </w:rPr>
            </w:pPr>
            <w:r>
              <w:rPr>
                <w:rFonts w:ascii="Times New Roman" w:cs="Times New Roman" w:eastAsia="Times New Roman" w:hAnsi="Times New Roman"/>
                <w:sz w:val="15"/>
                <w:szCs w:val="15"/>
                <w:color w:val="231F20"/>
              </w:rPr>
              <w:t>Volante Technologies,</w:t>
            </w:r>
          </w:p>
        </w:tc>
        <w:tc>
          <w:tcPr>
            <w:tcW w:w="2200" w:type="dxa"/>
            <w:vAlign w:val="bottom"/>
            <w:shd w:val="clear" w:color="auto" w:fill="FDFDFC"/>
          </w:tcPr>
          <w:p>
            <w:pPr>
              <w:ind w:left="60"/>
              <w:spacing w:after="0" w:line="172" w:lineRule="exact"/>
              <w:rPr>
                <w:sz w:val="20"/>
                <w:szCs w:val="20"/>
                <w:color w:val="auto"/>
              </w:rPr>
            </w:pPr>
            <w:r>
              <w:rPr>
                <w:rFonts w:ascii="Times New Roman" w:cs="Times New Roman" w:eastAsia="Times New Roman" w:hAnsi="Times New Roman"/>
                <w:sz w:val="15"/>
                <w:szCs w:val="15"/>
                <w:color w:val="231F20"/>
              </w:rPr>
              <w:t>First-lien loan ($3,072 par, due</w:t>
            </w:r>
          </w:p>
        </w:tc>
        <w:tc>
          <w:tcPr>
            <w:tcW w:w="800" w:type="dxa"/>
            <w:vAlign w:val="bottom"/>
            <w:shd w:val="clear" w:color="auto" w:fill="FDFDFC"/>
          </w:tcPr>
          <w:p>
            <w:pPr>
              <w:jc w:val="right"/>
              <w:spacing w:after="0" w:line="172" w:lineRule="exact"/>
              <w:rPr>
                <w:sz w:val="20"/>
                <w:szCs w:val="20"/>
                <w:color w:val="auto"/>
              </w:rPr>
            </w:pPr>
            <w:r>
              <w:rPr>
                <w:rFonts w:ascii="Times New Roman" w:cs="Times New Roman" w:eastAsia="Times New Roman" w:hAnsi="Times New Roman"/>
                <w:sz w:val="15"/>
                <w:szCs w:val="15"/>
                <w:color w:val="231F20"/>
              </w:rPr>
              <w:t>9/29/2023</w:t>
            </w:r>
          </w:p>
        </w:tc>
        <w:tc>
          <w:tcPr>
            <w:tcW w:w="1020" w:type="dxa"/>
            <w:vAlign w:val="bottom"/>
            <w:shd w:val="clear" w:color="auto" w:fill="FDFDFC"/>
          </w:tcPr>
          <w:p>
            <w:pPr>
              <w:jc w:val="right"/>
              <w:ind w:right="64"/>
              <w:spacing w:after="0" w:line="172" w:lineRule="exact"/>
              <w:rPr>
                <w:sz w:val="20"/>
                <w:szCs w:val="20"/>
                <w:color w:val="auto"/>
              </w:rPr>
            </w:pPr>
            <w:r>
              <w:rPr>
                <w:rFonts w:ascii="Times New Roman" w:cs="Times New Roman" w:eastAsia="Times New Roman" w:hAnsi="Times New Roman"/>
                <w:sz w:val="15"/>
                <w:szCs w:val="15"/>
                <w:color w:val="231F20"/>
              </w:rPr>
              <w:t>16.50%</w:t>
            </w:r>
          </w:p>
        </w:tc>
        <w:tc>
          <w:tcPr>
            <w:tcW w:w="1040" w:type="dxa"/>
            <w:vAlign w:val="bottom"/>
            <w:shd w:val="clear" w:color="auto" w:fill="FDFDFC"/>
          </w:tcPr>
          <w:p>
            <w:pPr>
              <w:jc w:val="right"/>
              <w:ind w:right="64"/>
              <w:spacing w:after="0" w:line="172" w:lineRule="exact"/>
              <w:rPr>
                <w:sz w:val="20"/>
                <w:szCs w:val="20"/>
                <w:color w:val="auto"/>
              </w:rPr>
            </w:pPr>
            <w:r>
              <w:rPr>
                <w:rFonts w:ascii="Times New Roman" w:cs="Times New Roman" w:eastAsia="Times New Roman" w:hAnsi="Times New Roman"/>
                <w:sz w:val="15"/>
                <w:szCs w:val="15"/>
                <w:color w:val="231F20"/>
              </w:rPr>
              <w:t>16.50% PIK</w:t>
            </w:r>
          </w:p>
        </w:tc>
        <w:tc>
          <w:tcPr>
            <w:tcW w:w="1000" w:type="dxa"/>
            <w:vAlign w:val="bottom"/>
            <w:shd w:val="clear" w:color="auto" w:fill="FDFDFC"/>
          </w:tcPr>
          <w:p>
            <w:pPr>
              <w:jc w:val="right"/>
              <w:spacing w:after="0" w:line="172" w:lineRule="exact"/>
              <w:rPr>
                <w:sz w:val="20"/>
                <w:szCs w:val="20"/>
                <w:color w:val="auto"/>
              </w:rPr>
            </w:pPr>
            <w:r>
              <w:rPr>
                <w:rFonts w:ascii="Times New Roman" w:cs="Times New Roman" w:eastAsia="Times New Roman" w:hAnsi="Times New Roman"/>
                <w:sz w:val="15"/>
                <w:szCs w:val="15"/>
                <w:color w:val="231F20"/>
              </w:rPr>
              <w:t>3,049</w:t>
            </w:r>
          </w:p>
        </w:tc>
        <w:tc>
          <w:tcPr>
            <w:tcW w:w="1680" w:type="dxa"/>
            <w:vAlign w:val="bottom"/>
            <w:gridSpan w:val="2"/>
            <w:shd w:val="clear" w:color="auto" w:fill="FDFDFC"/>
          </w:tcPr>
          <w:p>
            <w:pPr>
              <w:jc w:val="right"/>
              <w:spacing w:after="0" w:line="172" w:lineRule="exact"/>
              <w:rPr>
                <w:sz w:val="20"/>
                <w:szCs w:val="20"/>
                <w:color w:val="auto"/>
              </w:rPr>
            </w:pPr>
            <w:r>
              <w:rPr>
                <w:rFonts w:ascii="Times New Roman" w:cs="Times New Roman" w:eastAsia="Times New Roman" w:hAnsi="Times New Roman"/>
                <w:sz w:val="15"/>
                <w:szCs w:val="15"/>
                <w:color w:val="231F20"/>
              </w:rPr>
              <w:t>3,141</w:t>
            </w:r>
          </w:p>
        </w:tc>
        <w:tc>
          <w:tcPr>
            <w:tcW w:w="960" w:type="dxa"/>
            <w:vAlign w:val="bottom"/>
            <w:gridSpan w:val="2"/>
            <w:shd w:val="clear" w:color="auto" w:fill="FDFDFC"/>
          </w:tcPr>
          <w:p>
            <w:pPr>
              <w:jc w:val="right"/>
              <w:spacing w:after="0" w:line="172" w:lineRule="exact"/>
              <w:rPr>
                <w:sz w:val="20"/>
                <w:szCs w:val="20"/>
                <w:color w:val="auto"/>
              </w:rPr>
            </w:pPr>
            <w:r>
              <w:rPr>
                <w:rFonts w:ascii="Times New Roman" w:cs="Times New Roman" w:eastAsia="Times New Roman" w:hAnsi="Times New Roman"/>
                <w:sz w:val="15"/>
                <w:szCs w:val="15"/>
                <w:color w:val="231F20"/>
              </w:rPr>
              <w:t>0.2%</w:t>
            </w:r>
          </w:p>
        </w:tc>
      </w:tr>
      <w:tr>
        <w:trPr>
          <w:trHeight w:val="189"/>
        </w:trPr>
        <w:tc>
          <w:tcPr>
            <w:tcW w:w="1580" w:type="dxa"/>
            <w:vAlign w:val="bottom"/>
            <w:tcBorders>
              <w:bottom w:val="single" w:sz="8" w:color="D0EBF2"/>
            </w:tcBorders>
            <w:shd w:val="clear" w:color="auto" w:fill="FDFDFC"/>
          </w:tcPr>
          <w:p>
            <w:pPr>
              <w:spacing w:after="0"/>
              <w:rPr>
                <w:sz w:val="20"/>
                <w:szCs w:val="20"/>
                <w:color w:val="auto"/>
              </w:rPr>
            </w:pPr>
            <w:r>
              <w:rPr>
                <w:rFonts w:ascii="Times New Roman" w:cs="Times New Roman" w:eastAsia="Times New Roman" w:hAnsi="Times New Roman"/>
                <w:sz w:val="15"/>
                <w:szCs w:val="15"/>
                <w:color w:val="231F20"/>
              </w:rPr>
              <w:t>Inc.</w:t>
            </w:r>
          </w:p>
        </w:tc>
        <w:tc>
          <w:tcPr>
            <w:tcW w:w="2200" w:type="dxa"/>
            <w:vAlign w:val="bottom"/>
            <w:tcBorders>
              <w:bottom w:val="single" w:sz="8" w:color="D0EBF2"/>
            </w:tcBorders>
            <w:shd w:val="clear" w:color="auto" w:fill="FDFDFC"/>
          </w:tcPr>
          <w:p>
            <w:pPr>
              <w:ind w:left="60"/>
              <w:spacing w:after="0"/>
              <w:rPr>
                <w:sz w:val="20"/>
                <w:szCs w:val="20"/>
                <w:color w:val="auto"/>
              </w:rPr>
            </w:pPr>
            <w:r>
              <w:rPr>
                <w:rFonts w:ascii="Times New Roman" w:cs="Times New Roman" w:eastAsia="Times New Roman" w:hAnsi="Times New Roman"/>
                <w:sz w:val="15"/>
                <w:szCs w:val="15"/>
                <w:color w:val="231F20"/>
              </w:rPr>
              <w:t>9/2028)</w:t>
            </w:r>
          </w:p>
        </w:tc>
        <w:tc>
          <w:tcPr>
            <w:tcW w:w="800" w:type="dxa"/>
            <w:vAlign w:val="bottom"/>
            <w:tcBorders>
              <w:bottom w:val="single" w:sz="8" w:color="D0EBF2"/>
            </w:tcBorders>
            <w:shd w:val="clear" w:color="auto" w:fill="FDFDFC"/>
          </w:tcPr>
          <w:p>
            <w:pPr>
              <w:spacing w:after="0"/>
              <w:rPr>
                <w:sz w:val="16"/>
                <w:szCs w:val="16"/>
                <w:color w:val="auto"/>
              </w:rPr>
            </w:pPr>
          </w:p>
        </w:tc>
        <w:tc>
          <w:tcPr>
            <w:tcW w:w="1020" w:type="dxa"/>
            <w:vAlign w:val="bottom"/>
            <w:tcBorders>
              <w:bottom w:val="single" w:sz="8" w:color="D0EBF2"/>
            </w:tcBorders>
            <w:shd w:val="clear" w:color="auto" w:fill="FDFDFC"/>
          </w:tcPr>
          <w:p>
            <w:pPr>
              <w:spacing w:after="0"/>
              <w:rPr>
                <w:sz w:val="16"/>
                <w:szCs w:val="16"/>
                <w:color w:val="auto"/>
              </w:rPr>
            </w:pPr>
          </w:p>
        </w:tc>
        <w:tc>
          <w:tcPr>
            <w:tcW w:w="1040" w:type="dxa"/>
            <w:vAlign w:val="bottom"/>
            <w:tcBorders>
              <w:bottom w:val="single" w:sz="8" w:color="D0EBF2"/>
            </w:tcBorders>
            <w:shd w:val="clear" w:color="auto" w:fill="FDFDFC"/>
          </w:tcPr>
          <w:p>
            <w:pPr>
              <w:spacing w:after="0"/>
              <w:rPr>
                <w:sz w:val="16"/>
                <w:szCs w:val="16"/>
                <w:color w:val="auto"/>
              </w:rPr>
            </w:pPr>
          </w:p>
        </w:tc>
        <w:tc>
          <w:tcPr>
            <w:tcW w:w="1000" w:type="dxa"/>
            <w:vAlign w:val="bottom"/>
            <w:tcBorders>
              <w:bottom w:val="single" w:sz="8" w:color="231F20"/>
            </w:tcBorders>
            <w:shd w:val="clear" w:color="auto" w:fill="FDFDFC"/>
          </w:tcPr>
          <w:p>
            <w:pPr>
              <w:spacing w:after="0"/>
              <w:rPr>
                <w:sz w:val="16"/>
                <w:szCs w:val="16"/>
                <w:color w:val="auto"/>
              </w:rPr>
            </w:pPr>
          </w:p>
        </w:tc>
        <w:tc>
          <w:tcPr>
            <w:tcW w:w="80" w:type="dxa"/>
            <w:vAlign w:val="bottom"/>
            <w:tcBorders>
              <w:bottom w:val="single" w:sz="8" w:color="D0EBF2"/>
            </w:tcBorders>
            <w:shd w:val="clear" w:color="auto" w:fill="FDFDFC"/>
          </w:tcPr>
          <w:p>
            <w:pPr>
              <w:spacing w:after="0"/>
              <w:rPr>
                <w:sz w:val="16"/>
                <w:szCs w:val="16"/>
                <w:color w:val="auto"/>
              </w:rPr>
            </w:pPr>
          </w:p>
        </w:tc>
        <w:tc>
          <w:tcPr>
            <w:tcW w:w="1600" w:type="dxa"/>
            <w:vAlign w:val="bottom"/>
            <w:tcBorders>
              <w:bottom w:val="single" w:sz="8" w:color="231F20"/>
            </w:tcBorders>
            <w:shd w:val="clear" w:color="auto" w:fill="FDFDFC"/>
          </w:tcPr>
          <w:p>
            <w:pPr>
              <w:spacing w:after="0"/>
              <w:rPr>
                <w:sz w:val="16"/>
                <w:szCs w:val="16"/>
                <w:color w:val="auto"/>
              </w:rPr>
            </w:pPr>
          </w:p>
        </w:tc>
        <w:tc>
          <w:tcPr>
            <w:tcW w:w="100" w:type="dxa"/>
            <w:vAlign w:val="bottom"/>
            <w:tcBorders>
              <w:bottom w:val="single" w:sz="8" w:color="D0EBF2"/>
            </w:tcBorders>
            <w:shd w:val="clear" w:color="auto" w:fill="FDFDFC"/>
          </w:tcPr>
          <w:p>
            <w:pPr>
              <w:spacing w:after="0"/>
              <w:rPr>
                <w:sz w:val="16"/>
                <w:szCs w:val="16"/>
                <w:color w:val="auto"/>
              </w:rPr>
            </w:pPr>
          </w:p>
        </w:tc>
        <w:tc>
          <w:tcPr>
            <w:tcW w:w="860" w:type="dxa"/>
            <w:vAlign w:val="bottom"/>
            <w:tcBorders>
              <w:bottom w:val="single" w:sz="8" w:color="231F20"/>
            </w:tcBorders>
            <w:shd w:val="clear" w:color="auto" w:fill="FDFDFC"/>
          </w:tcPr>
          <w:p>
            <w:pPr>
              <w:spacing w:after="0"/>
              <w:rPr>
                <w:sz w:val="16"/>
                <w:szCs w:val="16"/>
                <w:color w:val="auto"/>
              </w:rPr>
            </w:pPr>
          </w:p>
        </w:tc>
      </w:tr>
      <w:tr>
        <w:trPr>
          <w:trHeight w:val="176"/>
        </w:trPr>
        <w:tc>
          <w:tcPr>
            <w:tcW w:w="1580" w:type="dxa"/>
            <w:vAlign w:val="bottom"/>
            <w:tcBorders>
              <w:bottom w:val="single" w:sz="8" w:color="FDFDFC"/>
            </w:tcBorders>
            <w:shd w:val="clear" w:color="auto" w:fill="D0EBF2"/>
          </w:tcPr>
          <w:p>
            <w:pPr>
              <w:spacing w:after="0"/>
              <w:rPr>
                <w:sz w:val="15"/>
                <w:szCs w:val="15"/>
                <w:color w:val="auto"/>
              </w:rPr>
            </w:pPr>
          </w:p>
        </w:tc>
        <w:tc>
          <w:tcPr>
            <w:tcW w:w="2200" w:type="dxa"/>
            <w:vAlign w:val="bottom"/>
            <w:tcBorders>
              <w:bottom w:val="single" w:sz="8" w:color="FDFDFC"/>
            </w:tcBorders>
            <w:shd w:val="clear" w:color="auto" w:fill="D0EBF2"/>
          </w:tcPr>
          <w:p>
            <w:pPr>
              <w:spacing w:after="0"/>
              <w:rPr>
                <w:sz w:val="15"/>
                <w:szCs w:val="15"/>
                <w:color w:val="auto"/>
              </w:rPr>
            </w:pPr>
          </w:p>
        </w:tc>
        <w:tc>
          <w:tcPr>
            <w:tcW w:w="800" w:type="dxa"/>
            <w:vAlign w:val="bottom"/>
            <w:tcBorders>
              <w:bottom w:val="single" w:sz="8" w:color="FDFDFC"/>
            </w:tcBorders>
            <w:shd w:val="clear" w:color="auto" w:fill="D0EBF2"/>
          </w:tcPr>
          <w:p>
            <w:pPr>
              <w:spacing w:after="0"/>
              <w:rPr>
                <w:sz w:val="15"/>
                <w:szCs w:val="15"/>
                <w:color w:val="auto"/>
              </w:rPr>
            </w:pPr>
          </w:p>
        </w:tc>
        <w:tc>
          <w:tcPr>
            <w:tcW w:w="1020" w:type="dxa"/>
            <w:vAlign w:val="bottom"/>
            <w:tcBorders>
              <w:bottom w:val="single" w:sz="8" w:color="FDFDFC"/>
            </w:tcBorders>
            <w:shd w:val="clear" w:color="auto" w:fill="D0EBF2"/>
          </w:tcPr>
          <w:p>
            <w:pPr>
              <w:spacing w:after="0"/>
              <w:rPr>
                <w:sz w:val="15"/>
                <w:szCs w:val="15"/>
                <w:color w:val="auto"/>
              </w:rPr>
            </w:pPr>
          </w:p>
        </w:tc>
        <w:tc>
          <w:tcPr>
            <w:tcW w:w="1040" w:type="dxa"/>
            <w:vAlign w:val="bottom"/>
            <w:tcBorders>
              <w:bottom w:val="single" w:sz="8" w:color="FDFDFC"/>
            </w:tcBorders>
            <w:shd w:val="clear" w:color="auto" w:fill="D0EBF2"/>
          </w:tcPr>
          <w:p>
            <w:pPr>
              <w:spacing w:after="0"/>
              <w:rPr>
                <w:sz w:val="15"/>
                <w:szCs w:val="15"/>
                <w:color w:val="auto"/>
              </w:rPr>
            </w:pPr>
          </w:p>
        </w:tc>
        <w:tc>
          <w:tcPr>
            <w:tcW w:w="1000" w:type="dxa"/>
            <w:vAlign w:val="bottom"/>
            <w:tcBorders>
              <w:bottom w:val="single" w:sz="8" w:color="231F20"/>
            </w:tcBorders>
            <w:shd w:val="clear" w:color="auto" w:fill="D0EBF2"/>
          </w:tcPr>
          <w:p>
            <w:pPr>
              <w:jc w:val="right"/>
              <w:spacing w:after="0"/>
              <w:rPr>
                <w:sz w:val="20"/>
                <w:szCs w:val="20"/>
                <w:color w:val="auto"/>
              </w:rPr>
            </w:pPr>
            <w:r>
              <w:rPr>
                <w:rFonts w:ascii="Times New Roman" w:cs="Times New Roman" w:eastAsia="Times New Roman" w:hAnsi="Times New Roman"/>
                <w:sz w:val="15"/>
                <w:szCs w:val="15"/>
                <w:color w:val="231F20"/>
              </w:rPr>
              <w:t>279,516</w:t>
            </w:r>
          </w:p>
        </w:tc>
        <w:tc>
          <w:tcPr>
            <w:tcW w:w="80" w:type="dxa"/>
            <w:vAlign w:val="bottom"/>
            <w:tcBorders>
              <w:bottom w:val="single" w:sz="8" w:color="FDFDFC"/>
            </w:tcBorders>
            <w:shd w:val="clear" w:color="auto" w:fill="D0EBF2"/>
          </w:tcPr>
          <w:p>
            <w:pPr>
              <w:spacing w:after="0"/>
              <w:rPr>
                <w:sz w:val="15"/>
                <w:szCs w:val="15"/>
                <w:color w:val="auto"/>
              </w:rPr>
            </w:pPr>
          </w:p>
        </w:tc>
        <w:tc>
          <w:tcPr>
            <w:tcW w:w="1600" w:type="dxa"/>
            <w:vAlign w:val="bottom"/>
            <w:tcBorders>
              <w:bottom w:val="single" w:sz="8" w:color="231F20"/>
            </w:tcBorders>
            <w:shd w:val="clear" w:color="auto" w:fill="D0EBF2"/>
          </w:tcPr>
          <w:p>
            <w:pPr>
              <w:jc w:val="right"/>
              <w:spacing w:after="0"/>
              <w:rPr>
                <w:sz w:val="20"/>
                <w:szCs w:val="20"/>
                <w:color w:val="auto"/>
              </w:rPr>
            </w:pPr>
            <w:r>
              <w:rPr>
                <w:rFonts w:ascii="Times New Roman" w:cs="Times New Roman" w:eastAsia="Times New Roman" w:hAnsi="Times New Roman"/>
                <w:sz w:val="15"/>
                <w:szCs w:val="15"/>
                <w:color w:val="231F20"/>
              </w:rPr>
              <w:t>285,838</w:t>
            </w:r>
          </w:p>
        </w:tc>
        <w:tc>
          <w:tcPr>
            <w:tcW w:w="100" w:type="dxa"/>
            <w:vAlign w:val="bottom"/>
            <w:tcBorders>
              <w:bottom w:val="single" w:sz="8" w:color="FDFDFC"/>
            </w:tcBorders>
            <w:shd w:val="clear" w:color="auto" w:fill="D0EBF2"/>
          </w:tcPr>
          <w:p>
            <w:pPr>
              <w:spacing w:after="0"/>
              <w:rPr>
                <w:sz w:val="15"/>
                <w:szCs w:val="15"/>
                <w:color w:val="auto"/>
              </w:rPr>
            </w:pPr>
          </w:p>
        </w:tc>
        <w:tc>
          <w:tcPr>
            <w:tcW w:w="860" w:type="dxa"/>
            <w:vAlign w:val="bottom"/>
            <w:tcBorders>
              <w:bottom w:val="single" w:sz="8" w:color="231F20"/>
            </w:tcBorders>
            <w:shd w:val="clear" w:color="auto" w:fill="D0EBF2"/>
          </w:tcPr>
          <w:p>
            <w:pPr>
              <w:jc w:val="right"/>
              <w:spacing w:after="0"/>
              <w:rPr>
                <w:sz w:val="20"/>
                <w:szCs w:val="20"/>
                <w:color w:val="auto"/>
              </w:rPr>
            </w:pPr>
            <w:r>
              <w:rPr>
                <w:rFonts w:ascii="Times New Roman" w:cs="Times New Roman" w:eastAsia="Times New Roman" w:hAnsi="Times New Roman"/>
                <w:sz w:val="15"/>
                <w:szCs w:val="15"/>
                <w:color w:val="231F20"/>
              </w:rPr>
              <w:t>17.8%</w:t>
            </w:r>
          </w:p>
        </w:tc>
      </w:tr>
      <w:tr>
        <w:trPr>
          <w:trHeight w:val="176"/>
        </w:trPr>
        <w:tc>
          <w:tcPr>
            <w:tcW w:w="1580" w:type="dxa"/>
            <w:vAlign w:val="bottom"/>
            <w:shd w:val="clear" w:color="auto" w:fill="FDFDFC"/>
          </w:tcPr>
          <w:p>
            <w:pPr>
              <w:spacing w:after="0"/>
              <w:rPr>
                <w:sz w:val="20"/>
                <w:szCs w:val="20"/>
                <w:color w:val="auto"/>
              </w:rPr>
            </w:pPr>
            <w:r>
              <w:rPr>
                <w:rFonts w:ascii="Times New Roman" w:cs="Times New Roman" w:eastAsia="Times New Roman" w:hAnsi="Times New Roman"/>
                <w:sz w:val="15"/>
                <w:szCs w:val="15"/>
                <w:b w:val="1"/>
                <w:bCs w:val="1"/>
                <w:color w:val="231F20"/>
              </w:rPr>
              <w:t>Healthcare</w:t>
            </w:r>
          </w:p>
        </w:tc>
        <w:tc>
          <w:tcPr>
            <w:tcW w:w="2200" w:type="dxa"/>
            <w:vAlign w:val="bottom"/>
            <w:shd w:val="clear" w:color="auto" w:fill="FDFDFC"/>
          </w:tcPr>
          <w:p>
            <w:pPr>
              <w:spacing w:after="0"/>
              <w:rPr>
                <w:sz w:val="15"/>
                <w:szCs w:val="15"/>
                <w:color w:val="auto"/>
              </w:rPr>
            </w:pPr>
          </w:p>
        </w:tc>
        <w:tc>
          <w:tcPr>
            <w:tcW w:w="800" w:type="dxa"/>
            <w:vAlign w:val="bottom"/>
            <w:shd w:val="clear" w:color="auto" w:fill="FDFDFC"/>
          </w:tcPr>
          <w:p>
            <w:pPr>
              <w:spacing w:after="0"/>
              <w:rPr>
                <w:sz w:val="15"/>
                <w:szCs w:val="15"/>
                <w:color w:val="auto"/>
              </w:rPr>
            </w:pPr>
          </w:p>
        </w:tc>
        <w:tc>
          <w:tcPr>
            <w:tcW w:w="1020" w:type="dxa"/>
            <w:vAlign w:val="bottom"/>
            <w:shd w:val="clear" w:color="auto" w:fill="FDFDFC"/>
          </w:tcPr>
          <w:p>
            <w:pPr>
              <w:spacing w:after="0"/>
              <w:rPr>
                <w:sz w:val="15"/>
                <w:szCs w:val="15"/>
                <w:color w:val="auto"/>
              </w:rPr>
            </w:pPr>
          </w:p>
        </w:tc>
        <w:tc>
          <w:tcPr>
            <w:tcW w:w="1040" w:type="dxa"/>
            <w:vAlign w:val="bottom"/>
            <w:shd w:val="clear" w:color="auto" w:fill="FDFDFC"/>
          </w:tcPr>
          <w:p>
            <w:pPr>
              <w:spacing w:after="0"/>
              <w:rPr>
                <w:sz w:val="15"/>
                <w:szCs w:val="15"/>
                <w:color w:val="auto"/>
              </w:rPr>
            </w:pPr>
          </w:p>
        </w:tc>
        <w:tc>
          <w:tcPr>
            <w:tcW w:w="1000" w:type="dxa"/>
            <w:vAlign w:val="bottom"/>
            <w:shd w:val="clear" w:color="auto" w:fill="FDFDFC"/>
          </w:tcPr>
          <w:p>
            <w:pPr>
              <w:spacing w:after="0"/>
              <w:rPr>
                <w:sz w:val="15"/>
                <w:szCs w:val="15"/>
                <w:color w:val="auto"/>
              </w:rPr>
            </w:pPr>
          </w:p>
        </w:tc>
        <w:tc>
          <w:tcPr>
            <w:tcW w:w="80" w:type="dxa"/>
            <w:vAlign w:val="bottom"/>
            <w:shd w:val="clear" w:color="auto" w:fill="FDFDFC"/>
          </w:tcPr>
          <w:p>
            <w:pPr>
              <w:spacing w:after="0"/>
              <w:rPr>
                <w:sz w:val="15"/>
                <w:szCs w:val="15"/>
                <w:color w:val="auto"/>
              </w:rPr>
            </w:pPr>
          </w:p>
        </w:tc>
        <w:tc>
          <w:tcPr>
            <w:tcW w:w="1600" w:type="dxa"/>
            <w:vAlign w:val="bottom"/>
            <w:shd w:val="clear" w:color="auto" w:fill="FDFDFC"/>
          </w:tcPr>
          <w:p>
            <w:pPr>
              <w:spacing w:after="0"/>
              <w:rPr>
                <w:sz w:val="15"/>
                <w:szCs w:val="15"/>
                <w:color w:val="auto"/>
              </w:rPr>
            </w:pPr>
          </w:p>
        </w:tc>
        <w:tc>
          <w:tcPr>
            <w:tcW w:w="100" w:type="dxa"/>
            <w:vAlign w:val="bottom"/>
            <w:shd w:val="clear" w:color="auto" w:fill="FDFDFC"/>
          </w:tcPr>
          <w:p>
            <w:pPr>
              <w:spacing w:after="0"/>
              <w:rPr>
                <w:sz w:val="15"/>
                <w:szCs w:val="15"/>
                <w:color w:val="auto"/>
              </w:rPr>
            </w:pPr>
          </w:p>
        </w:tc>
        <w:tc>
          <w:tcPr>
            <w:tcW w:w="860" w:type="dxa"/>
            <w:vAlign w:val="bottom"/>
            <w:shd w:val="clear" w:color="auto" w:fill="FDFDFC"/>
          </w:tcPr>
          <w:p>
            <w:pPr>
              <w:spacing w:after="0"/>
              <w:rPr>
                <w:sz w:val="15"/>
                <w:szCs w:val="15"/>
                <w:color w:val="auto"/>
              </w:rPr>
            </w:pPr>
          </w:p>
        </w:tc>
      </w:tr>
      <w:tr>
        <w:trPr>
          <w:trHeight w:val="171"/>
        </w:trPr>
        <w:tc>
          <w:tcPr>
            <w:tcW w:w="1580" w:type="dxa"/>
            <w:vAlign w:val="bottom"/>
            <w:shd w:val="clear" w:color="auto" w:fill="D0EBF2"/>
          </w:tcPr>
          <w:p>
            <w:pPr>
              <w:spacing w:after="0" w:line="172" w:lineRule="exact"/>
              <w:rPr>
                <w:sz w:val="20"/>
                <w:szCs w:val="20"/>
                <w:color w:val="auto"/>
              </w:rPr>
            </w:pPr>
            <w:r>
              <w:rPr>
                <w:rFonts w:ascii="Times New Roman" w:cs="Times New Roman" w:eastAsia="Times New Roman" w:hAnsi="Times New Roman"/>
                <w:sz w:val="15"/>
                <w:szCs w:val="15"/>
                <w:color w:val="231F20"/>
              </w:rPr>
              <w:t>BCTO Ace Purchaser,</w:t>
            </w:r>
          </w:p>
        </w:tc>
        <w:tc>
          <w:tcPr>
            <w:tcW w:w="2200" w:type="dxa"/>
            <w:vAlign w:val="bottom"/>
            <w:shd w:val="clear" w:color="auto" w:fill="D0EBF2"/>
          </w:tcPr>
          <w:p>
            <w:pPr>
              <w:ind w:left="60"/>
              <w:spacing w:after="0" w:line="172" w:lineRule="exact"/>
              <w:rPr>
                <w:sz w:val="20"/>
                <w:szCs w:val="20"/>
                <w:color w:val="auto"/>
              </w:rPr>
            </w:pPr>
            <w:r>
              <w:rPr>
                <w:rFonts w:ascii="Times New Roman" w:cs="Times New Roman" w:eastAsia="Times New Roman" w:hAnsi="Times New Roman"/>
                <w:sz w:val="15"/>
                <w:szCs w:val="15"/>
                <w:color w:val="231F20"/>
              </w:rPr>
              <w:t>First-lien loan ($70,154 par, due</w:t>
            </w:r>
          </w:p>
        </w:tc>
        <w:tc>
          <w:tcPr>
            <w:tcW w:w="800" w:type="dxa"/>
            <w:vAlign w:val="bottom"/>
            <w:shd w:val="clear" w:color="auto" w:fill="D0EBF2"/>
          </w:tcPr>
          <w:p>
            <w:pPr>
              <w:jc w:val="right"/>
              <w:spacing w:after="0" w:line="172" w:lineRule="exact"/>
              <w:rPr>
                <w:sz w:val="20"/>
                <w:szCs w:val="20"/>
                <w:color w:val="auto"/>
              </w:rPr>
            </w:pPr>
            <w:r>
              <w:rPr>
                <w:rFonts w:ascii="Times New Roman" w:cs="Times New Roman" w:eastAsia="Times New Roman" w:hAnsi="Times New Roman"/>
                <w:sz w:val="15"/>
                <w:szCs w:val="15"/>
                <w:color w:val="231F20"/>
              </w:rPr>
              <w:t>11/23/2020</w:t>
            </w:r>
          </w:p>
        </w:tc>
        <w:tc>
          <w:tcPr>
            <w:tcW w:w="1020" w:type="dxa"/>
            <w:vAlign w:val="bottom"/>
            <w:shd w:val="clear" w:color="auto" w:fill="D0EBF2"/>
          </w:tcPr>
          <w:p>
            <w:pPr>
              <w:jc w:val="right"/>
              <w:ind w:right="64"/>
              <w:spacing w:after="0" w:line="172" w:lineRule="exact"/>
              <w:rPr>
                <w:sz w:val="20"/>
                <w:szCs w:val="20"/>
                <w:color w:val="auto"/>
              </w:rPr>
            </w:pPr>
            <w:r>
              <w:rPr>
                <w:rFonts w:ascii="Times New Roman" w:cs="Times New Roman" w:eastAsia="Times New Roman" w:hAnsi="Times New Roman"/>
                <w:sz w:val="15"/>
                <w:szCs w:val="15"/>
                <w:color w:val="231F20"/>
              </w:rPr>
              <w:t>SOFR +</w:t>
            </w:r>
          </w:p>
        </w:tc>
        <w:tc>
          <w:tcPr>
            <w:tcW w:w="1040" w:type="dxa"/>
            <w:vAlign w:val="bottom"/>
            <w:shd w:val="clear" w:color="auto" w:fill="D0EBF2"/>
          </w:tcPr>
          <w:p>
            <w:pPr>
              <w:jc w:val="right"/>
              <w:ind w:right="64"/>
              <w:spacing w:after="0" w:line="172" w:lineRule="exact"/>
              <w:rPr>
                <w:sz w:val="20"/>
                <w:szCs w:val="20"/>
                <w:color w:val="auto"/>
              </w:rPr>
            </w:pPr>
            <w:r>
              <w:rPr>
                <w:rFonts w:ascii="Times New Roman" w:cs="Times New Roman" w:eastAsia="Times New Roman" w:hAnsi="Times New Roman"/>
                <w:sz w:val="15"/>
                <w:szCs w:val="15"/>
                <w:color w:val="231F20"/>
              </w:rPr>
              <w:t>11.01%</w:t>
            </w:r>
          </w:p>
        </w:tc>
        <w:tc>
          <w:tcPr>
            <w:tcW w:w="1000" w:type="dxa"/>
            <w:vAlign w:val="bottom"/>
            <w:shd w:val="clear" w:color="auto" w:fill="D0EBF2"/>
          </w:tcPr>
          <w:p>
            <w:pPr>
              <w:jc w:val="right"/>
              <w:spacing w:after="0" w:line="172" w:lineRule="exact"/>
              <w:rPr>
                <w:sz w:val="20"/>
                <w:szCs w:val="20"/>
                <w:color w:val="auto"/>
              </w:rPr>
            </w:pPr>
            <w:r>
              <w:rPr>
                <w:rFonts w:ascii="Times New Roman" w:cs="Times New Roman" w:eastAsia="Times New Roman" w:hAnsi="Times New Roman"/>
                <w:sz w:val="15"/>
                <w:szCs w:val="15"/>
                <w:color w:val="231F20"/>
              </w:rPr>
              <w:t>69,484</w:t>
            </w:r>
          </w:p>
        </w:tc>
        <w:tc>
          <w:tcPr>
            <w:tcW w:w="80" w:type="dxa"/>
            <w:vAlign w:val="bottom"/>
            <w:shd w:val="clear" w:color="auto" w:fill="D0EBF2"/>
          </w:tcPr>
          <w:p>
            <w:pPr>
              <w:spacing w:after="0"/>
              <w:rPr>
                <w:sz w:val="14"/>
                <w:szCs w:val="14"/>
                <w:color w:val="auto"/>
              </w:rPr>
            </w:pPr>
          </w:p>
        </w:tc>
        <w:tc>
          <w:tcPr>
            <w:tcW w:w="1600" w:type="dxa"/>
            <w:vAlign w:val="bottom"/>
            <w:shd w:val="clear" w:color="auto" w:fill="D0EBF2"/>
          </w:tcPr>
          <w:p>
            <w:pPr>
              <w:jc w:val="right"/>
              <w:spacing w:after="0" w:line="172" w:lineRule="exact"/>
              <w:rPr>
                <w:sz w:val="20"/>
                <w:szCs w:val="20"/>
                <w:color w:val="auto"/>
              </w:rPr>
            </w:pPr>
            <w:r>
              <w:rPr>
                <w:rFonts w:ascii="Times New Roman" w:cs="Times New Roman" w:eastAsia="Times New Roman" w:hAnsi="Times New Roman"/>
                <w:sz w:val="15"/>
                <w:szCs w:val="15"/>
                <w:color w:val="231F20"/>
              </w:rPr>
              <w:t>71,208</w:t>
            </w:r>
          </w:p>
        </w:tc>
        <w:tc>
          <w:tcPr>
            <w:tcW w:w="100" w:type="dxa"/>
            <w:vAlign w:val="bottom"/>
            <w:shd w:val="clear" w:color="auto" w:fill="D0EBF2"/>
          </w:tcPr>
          <w:p>
            <w:pPr>
              <w:spacing w:after="0"/>
              <w:rPr>
                <w:sz w:val="14"/>
                <w:szCs w:val="14"/>
                <w:color w:val="auto"/>
              </w:rPr>
            </w:pPr>
          </w:p>
        </w:tc>
        <w:tc>
          <w:tcPr>
            <w:tcW w:w="860" w:type="dxa"/>
            <w:vAlign w:val="bottom"/>
            <w:shd w:val="clear" w:color="auto" w:fill="D0EBF2"/>
          </w:tcPr>
          <w:p>
            <w:pPr>
              <w:jc w:val="right"/>
              <w:spacing w:after="0" w:line="172" w:lineRule="exact"/>
              <w:rPr>
                <w:sz w:val="20"/>
                <w:szCs w:val="20"/>
                <w:color w:val="auto"/>
              </w:rPr>
            </w:pPr>
            <w:r>
              <w:rPr>
                <w:rFonts w:ascii="Times New Roman" w:cs="Times New Roman" w:eastAsia="Times New Roman" w:hAnsi="Times New Roman"/>
                <w:sz w:val="15"/>
                <w:szCs w:val="15"/>
                <w:color w:val="231F20"/>
              </w:rPr>
              <w:t>4.4%</w:t>
            </w:r>
          </w:p>
        </w:tc>
      </w:tr>
      <w:tr>
        <w:trPr>
          <w:trHeight w:val="189"/>
        </w:trPr>
        <w:tc>
          <w:tcPr>
            <w:tcW w:w="1580" w:type="dxa"/>
            <w:vAlign w:val="bottom"/>
            <w:shd w:val="clear" w:color="auto" w:fill="D0EBF2"/>
          </w:tcPr>
          <w:p>
            <w:pPr>
              <w:spacing w:after="0"/>
              <w:rPr>
                <w:sz w:val="20"/>
                <w:szCs w:val="20"/>
                <w:color w:val="auto"/>
              </w:rPr>
            </w:pPr>
            <w:r>
              <w:rPr>
                <w:rFonts w:ascii="Times New Roman" w:cs="Times New Roman" w:eastAsia="Times New Roman" w:hAnsi="Times New Roman"/>
                <w:sz w:val="15"/>
                <w:szCs w:val="15"/>
                <w:color w:val="231F20"/>
              </w:rPr>
              <w:t xml:space="preserve">Inc. </w:t>
            </w:r>
            <w:r>
              <w:rPr>
                <w:rFonts w:ascii="Times New Roman" w:cs="Times New Roman" w:eastAsia="Times New Roman" w:hAnsi="Times New Roman"/>
                <w:sz w:val="9"/>
                <w:szCs w:val="9"/>
                <w:color w:val="231F20"/>
              </w:rPr>
              <w:t>(3)</w:t>
            </w:r>
          </w:p>
        </w:tc>
        <w:tc>
          <w:tcPr>
            <w:tcW w:w="2200" w:type="dxa"/>
            <w:vAlign w:val="bottom"/>
            <w:shd w:val="clear" w:color="auto" w:fill="D0EBF2"/>
          </w:tcPr>
          <w:p>
            <w:pPr>
              <w:ind w:left="60"/>
              <w:spacing w:after="0"/>
              <w:rPr>
                <w:sz w:val="20"/>
                <w:szCs w:val="20"/>
                <w:color w:val="auto"/>
              </w:rPr>
            </w:pPr>
            <w:r>
              <w:rPr>
                <w:rFonts w:ascii="Times New Roman" w:cs="Times New Roman" w:eastAsia="Times New Roman" w:hAnsi="Times New Roman"/>
                <w:sz w:val="15"/>
                <w:szCs w:val="15"/>
                <w:color w:val="231F20"/>
              </w:rPr>
              <w:t>11/2029)</w:t>
            </w:r>
          </w:p>
        </w:tc>
        <w:tc>
          <w:tcPr>
            <w:tcW w:w="800" w:type="dxa"/>
            <w:vAlign w:val="bottom"/>
            <w:shd w:val="clear" w:color="auto" w:fill="D0EBF2"/>
          </w:tcPr>
          <w:p>
            <w:pPr>
              <w:spacing w:after="0"/>
              <w:rPr>
                <w:sz w:val="16"/>
                <w:szCs w:val="16"/>
                <w:color w:val="auto"/>
              </w:rPr>
            </w:pPr>
          </w:p>
        </w:tc>
        <w:tc>
          <w:tcPr>
            <w:tcW w:w="1020" w:type="dxa"/>
            <w:vAlign w:val="bottom"/>
            <w:shd w:val="clear" w:color="auto" w:fill="D0EBF2"/>
          </w:tcPr>
          <w:p>
            <w:pPr>
              <w:jc w:val="right"/>
              <w:ind w:right="64"/>
              <w:spacing w:after="0"/>
              <w:rPr>
                <w:sz w:val="20"/>
                <w:szCs w:val="20"/>
                <w:color w:val="auto"/>
              </w:rPr>
            </w:pPr>
            <w:r>
              <w:rPr>
                <w:rFonts w:ascii="Times New Roman" w:cs="Times New Roman" w:eastAsia="Times New Roman" w:hAnsi="Times New Roman"/>
                <w:sz w:val="15"/>
                <w:szCs w:val="15"/>
                <w:color w:val="231F20"/>
              </w:rPr>
              <w:t>6.50%</w:t>
            </w:r>
          </w:p>
        </w:tc>
        <w:tc>
          <w:tcPr>
            <w:tcW w:w="1040" w:type="dxa"/>
            <w:vAlign w:val="bottom"/>
            <w:shd w:val="clear" w:color="auto" w:fill="D0EBF2"/>
          </w:tcPr>
          <w:p>
            <w:pPr>
              <w:spacing w:after="0"/>
              <w:rPr>
                <w:sz w:val="16"/>
                <w:szCs w:val="16"/>
                <w:color w:val="auto"/>
              </w:rPr>
            </w:pPr>
          </w:p>
        </w:tc>
        <w:tc>
          <w:tcPr>
            <w:tcW w:w="1000" w:type="dxa"/>
            <w:vAlign w:val="bottom"/>
            <w:shd w:val="clear" w:color="auto" w:fill="D0EBF2"/>
          </w:tcPr>
          <w:p>
            <w:pPr>
              <w:spacing w:after="0"/>
              <w:rPr>
                <w:sz w:val="16"/>
                <w:szCs w:val="16"/>
                <w:color w:val="auto"/>
              </w:rPr>
            </w:pPr>
          </w:p>
        </w:tc>
        <w:tc>
          <w:tcPr>
            <w:tcW w:w="80" w:type="dxa"/>
            <w:vAlign w:val="bottom"/>
            <w:shd w:val="clear" w:color="auto" w:fill="D0EBF2"/>
          </w:tcPr>
          <w:p>
            <w:pPr>
              <w:spacing w:after="0"/>
              <w:rPr>
                <w:sz w:val="16"/>
                <w:szCs w:val="16"/>
                <w:color w:val="auto"/>
              </w:rPr>
            </w:pPr>
          </w:p>
        </w:tc>
        <w:tc>
          <w:tcPr>
            <w:tcW w:w="1600" w:type="dxa"/>
            <w:vAlign w:val="bottom"/>
            <w:shd w:val="clear" w:color="auto" w:fill="D0EBF2"/>
          </w:tcPr>
          <w:p>
            <w:pPr>
              <w:spacing w:after="0"/>
              <w:rPr>
                <w:sz w:val="16"/>
                <w:szCs w:val="16"/>
                <w:color w:val="auto"/>
              </w:rPr>
            </w:pPr>
          </w:p>
        </w:tc>
        <w:tc>
          <w:tcPr>
            <w:tcW w:w="100" w:type="dxa"/>
            <w:vAlign w:val="bottom"/>
            <w:shd w:val="clear" w:color="auto" w:fill="D0EBF2"/>
          </w:tcPr>
          <w:p>
            <w:pPr>
              <w:spacing w:after="0"/>
              <w:rPr>
                <w:sz w:val="16"/>
                <w:szCs w:val="16"/>
                <w:color w:val="auto"/>
              </w:rPr>
            </w:pPr>
          </w:p>
        </w:tc>
        <w:tc>
          <w:tcPr>
            <w:tcW w:w="860" w:type="dxa"/>
            <w:vAlign w:val="bottom"/>
            <w:shd w:val="clear" w:color="auto" w:fill="D0EBF2"/>
          </w:tcPr>
          <w:p>
            <w:pPr>
              <w:spacing w:after="0"/>
              <w:rPr>
                <w:sz w:val="16"/>
                <w:szCs w:val="16"/>
                <w:color w:val="auto"/>
              </w:rPr>
            </w:pPr>
          </w:p>
        </w:tc>
      </w:tr>
      <w:tr>
        <w:trPr>
          <w:trHeight w:val="171"/>
        </w:trPr>
        <w:tc>
          <w:tcPr>
            <w:tcW w:w="1580" w:type="dxa"/>
            <w:vAlign w:val="bottom"/>
            <w:shd w:val="clear" w:color="auto" w:fill="FDFDFC"/>
          </w:tcPr>
          <w:p>
            <w:pPr>
              <w:spacing w:after="0"/>
              <w:rPr>
                <w:sz w:val="14"/>
                <w:szCs w:val="14"/>
                <w:color w:val="auto"/>
              </w:rPr>
            </w:pPr>
          </w:p>
        </w:tc>
        <w:tc>
          <w:tcPr>
            <w:tcW w:w="2200" w:type="dxa"/>
            <w:vAlign w:val="bottom"/>
            <w:shd w:val="clear" w:color="auto" w:fill="FDFDFC"/>
          </w:tcPr>
          <w:p>
            <w:pPr>
              <w:ind w:left="60"/>
              <w:spacing w:after="0" w:line="172" w:lineRule="exact"/>
              <w:rPr>
                <w:sz w:val="20"/>
                <w:szCs w:val="20"/>
                <w:color w:val="auto"/>
              </w:rPr>
            </w:pPr>
            <w:r>
              <w:rPr>
                <w:rFonts w:ascii="Times New Roman" w:cs="Times New Roman" w:eastAsia="Times New Roman" w:hAnsi="Times New Roman"/>
                <w:sz w:val="15"/>
                <w:szCs w:val="15"/>
                <w:color w:val="231F20"/>
              </w:rPr>
              <w:t>Second-lien loan ($6,596 par, due</w:t>
            </w:r>
          </w:p>
        </w:tc>
        <w:tc>
          <w:tcPr>
            <w:tcW w:w="800" w:type="dxa"/>
            <w:vAlign w:val="bottom"/>
            <w:shd w:val="clear" w:color="auto" w:fill="FDFDFC"/>
          </w:tcPr>
          <w:p>
            <w:pPr>
              <w:jc w:val="right"/>
              <w:spacing w:after="0" w:line="172" w:lineRule="exact"/>
              <w:rPr>
                <w:sz w:val="20"/>
                <w:szCs w:val="20"/>
                <w:color w:val="auto"/>
              </w:rPr>
            </w:pPr>
            <w:r>
              <w:rPr>
                <w:rFonts w:ascii="Times New Roman" w:cs="Times New Roman" w:eastAsia="Times New Roman" w:hAnsi="Times New Roman"/>
                <w:sz w:val="15"/>
                <w:szCs w:val="15"/>
                <w:color w:val="231F20"/>
              </w:rPr>
              <w:t>1/23/2023</w:t>
            </w:r>
          </w:p>
        </w:tc>
        <w:tc>
          <w:tcPr>
            <w:tcW w:w="1020" w:type="dxa"/>
            <w:vAlign w:val="bottom"/>
            <w:shd w:val="clear" w:color="auto" w:fill="FDFDFC"/>
          </w:tcPr>
          <w:p>
            <w:pPr>
              <w:jc w:val="right"/>
              <w:ind w:right="64"/>
              <w:spacing w:after="0" w:line="172" w:lineRule="exact"/>
              <w:rPr>
                <w:sz w:val="20"/>
                <w:szCs w:val="20"/>
                <w:color w:val="auto"/>
              </w:rPr>
            </w:pPr>
            <w:r>
              <w:rPr>
                <w:rFonts w:ascii="Times New Roman" w:cs="Times New Roman" w:eastAsia="Times New Roman" w:hAnsi="Times New Roman"/>
                <w:sz w:val="15"/>
                <w:szCs w:val="15"/>
                <w:color w:val="231F20"/>
              </w:rPr>
              <w:t>SOFR +</w:t>
            </w:r>
          </w:p>
        </w:tc>
        <w:tc>
          <w:tcPr>
            <w:tcW w:w="1040" w:type="dxa"/>
            <w:vAlign w:val="bottom"/>
            <w:shd w:val="clear" w:color="auto" w:fill="FDFDFC"/>
          </w:tcPr>
          <w:p>
            <w:pPr>
              <w:jc w:val="right"/>
              <w:ind w:right="64"/>
              <w:spacing w:after="0" w:line="172" w:lineRule="exact"/>
              <w:rPr>
                <w:sz w:val="20"/>
                <w:szCs w:val="20"/>
                <w:color w:val="auto"/>
              </w:rPr>
            </w:pPr>
            <w:r>
              <w:rPr>
                <w:rFonts w:ascii="Times New Roman" w:cs="Times New Roman" w:eastAsia="Times New Roman" w:hAnsi="Times New Roman"/>
                <w:sz w:val="15"/>
                <w:szCs w:val="15"/>
                <w:color w:val="231F20"/>
              </w:rPr>
              <w:t>15.33% PIK</w:t>
            </w:r>
          </w:p>
        </w:tc>
        <w:tc>
          <w:tcPr>
            <w:tcW w:w="1000" w:type="dxa"/>
            <w:vAlign w:val="bottom"/>
            <w:shd w:val="clear" w:color="auto" w:fill="FDFDFC"/>
          </w:tcPr>
          <w:p>
            <w:pPr>
              <w:jc w:val="right"/>
              <w:spacing w:after="0" w:line="172" w:lineRule="exact"/>
              <w:rPr>
                <w:sz w:val="20"/>
                <w:szCs w:val="20"/>
                <w:color w:val="auto"/>
              </w:rPr>
            </w:pPr>
            <w:r>
              <w:rPr>
                <w:rFonts w:ascii="Times New Roman" w:cs="Times New Roman" w:eastAsia="Times New Roman" w:hAnsi="Times New Roman"/>
                <w:sz w:val="15"/>
                <w:szCs w:val="15"/>
                <w:color w:val="231F20"/>
              </w:rPr>
              <w:t>6,488</w:t>
            </w:r>
          </w:p>
        </w:tc>
        <w:tc>
          <w:tcPr>
            <w:tcW w:w="1680" w:type="dxa"/>
            <w:vAlign w:val="bottom"/>
            <w:gridSpan w:val="2"/>
            <w:shd w:val="clear" w:color="auto" w:fill="FDFDFC"/>
          </w:tcPr>
          <w:p>
            <w:pPr>
              <w:jc w:val="right"/>
              <w:spacing w:after="0" w:line="172" w:lineRule="exact"/>
              <w:rPr>
                <w:sz w:val="20"/>
                <w:szCs w:val="20"/>
                <w:color w:val="auto"/>
              </w:rPr>
            </w:pPr>
            <w:r>
              <w:rPr>
                <w:rFonts w:ascii="Times New Roman" w:cs="Times New Roman" w:eastAsia="Times New Roman" w:hAnsi="Times New Roman"/>
                <w:sz w:val="15"/>
                <w:szCs w:val="15"/>
                <w:color w:val="231F20"/>
              </w:rPr>
              <w:t>6,745</w:t>
            </w:r>
          </w:p>
        </w:tc>
        <w:tc>
          <w:tcPr>
            <w:tcW w:w="960" w:type="dxa"/>
            <w:vAlign w:val="bottom"/>
            <w:gridSpan w:val="2"/>
            <w:shd w:val="clear" w:color="auto" w:fill="FDFDFC"/>
          </w:tcPr>
          <w:p>
            <w:pPr>
              <w:jc w:val="right"/>
              <w:spacing w:after="0" w:line="172" w:lineRule="exact"/>
              <w:rPr>
                <w:sz w:val="20"/>
                <w:szCs w:val="20"/>
                <w:color w:val="auto"/>
              </w:rPr>
            </w:pPr>
            <w:r>
              <w:rPr>
                <w:rFonts w:ascii="Times New Roman" w:cs="Times New Roman" w:eastAsia="Times New Roman" w:hAnsi="Times New Roman"/>
                <w:sz w:val="15"/>
                <w:szCs w:val="15"/>
                <w:color w:val="231F20"/>
              </w:rPr>
              <w:t>0.4%</w:t>
            </w:r>
          </w:p>
        </w:tc>
      </w:tr>
      <w:tr>
        <w:trPr>
          <w:trHeight w:val="189"/>
        </w:trPr>
        <w:tc>
          <w:tcPr>
            <w:tcW w:w="1580" w:type="dxa"/>
            <w:vAlign w:val="bottom"/>
            <w:shd w:val="clear" w:color="auto" w:fill="FDFDFC"/>
          </w:tcPr>
          <w:p>
            <w:pPr>
              <w:spacing w:after="0"/>
              <w:rPr>
                <w:sz w:val="16"/>
                <w:szCs w:val="16"/>
                <w:color w:val="auto"/>
              </w:rPr>
            </w:pPr>
          </w:p>
        </w:tc>
        <w:tc>
          <w:tcPr>
            <w:tcW w:w="2200" w:type="dxa"/>
            <w:vAlign w:val="bottom"/>
            <w:shd w:val="clear" w:color="auto" w:fill="FDFDFC"/>
          </w:tcPr>
          <w:p>
            <w:pPr>
              <w:ind w:left="60"/>
              <w:spacing w:after="0"/>
              <w:rPr>
                <w:sz w:val="20"/>
                <w:szCs w:val="20"/>
                <w:color w:val="auto"/>
              </w:rPr>
            </w:pPr>
            <w:r>
              <w:rPr>
                <w:rFonts w:ascii="Times New Roman" w:cs="Times New Roman" w:eastAsia="Times New Roman" w:hAnsi="Times New Roman"/>
                <w:sz w:val="15"/>
                <w:szCs w:val="15"/>
                <w:color w:val="231F20"/>
              </w:rPr>
              <w:t>1/2030)</w:t>
            </w:r>
          </w:p>
        </w:tc>
        <w:tc>
          <w:tcPr>
            <w:tcW w:w="800" w:type="dxa"/>
            <w:vAlign w:val="bottom"/>
            <w:shd w:val="clear" w:color="auto" w:fill="FDFDFC"/>
          </w:tcPr>
          <w:p>
            <w:pPr>
              <w:spacing w:after="0"/>
              <w:rPr>
                <w:sz w:val="16"/>
                <w:szCs w:val="16"/>
                <w:color w:val="auto"/>
              </w:rPr>
            </w:pPr>
          </w:p>
        </w:tc>
        <w:tc>
          <w:tcPr>
            <w:tcW w:w="1020" w:type="dxa"/>
            <w:vAlign w:val="bottom"/>
            <w:shd w:val="clear" w:color="auto" w:fill="FDFDFC"/>
          </w:tcPr>
          <w:p>
            <w:pPr>
              <w:jc w:val="right"/>
              <w:ind w:right="64"/>
              <w:spacing w:after="0"/>
              <w:rPr>
                <w:sz w:val="20"/>
                <w:szCs w:val="20"/>
                <w:color w:val="auto"/>
              </w:rPr>
            </w:pPr>
            <w:r>
              <w:rPr>
                <w:rFonts w:ascii="Times New Roman" w:cs="Times New Roman" w:eastAsia="Times New Roman" w:hAnsi="Times New Roman"/>
                <w:sz w:val="15"/>
                <w:szCs w:val="15"/>
                <w:color w:val="231F20"/>
              </w:rPr>
              <w:t>10.70%</w:t>
            </w:r>
          </w:p>
        </w:tc>
        <w:tc>
          <w:tcPr>
            <w:tcW w:w="1040" w:type="dxa"/>
            <w:vAlign w:val="bottom"/>
            <w:shd w:val="clear" w:color="auto" w:fill="FDFDFC"/>
          </w:tcPr>
          <w:p>
            <w:pPr>
              <w:spacing w:after="0"/>
              <w:rPr>
                <w:sz w:val="16"/>
                <w:szCs w:val="16"/>
                <w:color w:val="auto"/>
              </w:rPr>
            </w:pPr>
          </w:p>
        </w:tc>
        <w:tc>
          <w:tcPr>
            <w:tcW w:w="1000" w:type="dxa"/>
            <w:vAlign w:val="bottom"/>
            <w:shd w:val="clear" w:color="auto" w:fill="FDFDFC"/>
          </w:tcPr>
          <w:p>
            <w:pPr>
              <w:spacing w:after="0"/>
              <w:rPr>
                <w:sz w:val="16"/>
                <w:szCs w:val="16"/>
                <w:color w:val="auto"/>
              </w:rPr>
            </w:pPr>
          </w:p>
        </w:tc>
        <w:tc>
          <w:tcPr>
            <w:tcW w:w="80" w:type="dxa"/>
            <w:vAlign w:val="bottom"/>
            <w:shd w:val="clear" w:color="auto" w:fill="FDFDFC"/>
          </w:tcPr>
          <w:p>
            <w:pPr>
              <w:spacing w:after="0"/>
              <w:rPr>
                <w:sz w:val="16"/>
                <w:szCs w:val="16"/>
                <w:color w:val="auto"/>
              </w:rPr>
            </w:pPr>
          </w:p>
        </w:tc>
        <w:tc>
          <w:tcPr>
            <w:tcW w:w="1600" w:type="dxa"/>
            <w:vAlign w:val="bottom"/>
            <w:shd w:val="clear" w:color="auto" w:fill="FDFDFC"/>
          </w:tcPr>
          <w:p>
            <w:pPr>
              <w:spacing w:after="0"/>
              <w:rPr>
                <w:sz w:val="16"/>
                <w:szCs w:val="16"/>
                <w:color w:val="auto"/>
              </w:rPr>
            </w:pPr>
          </w:p>
        </w:tc>
        <w:tc>
          <w:tcPr>
            <w:tcW w:w="100" w:type="dxa"/>
            <w:vAlign w:val="bottom"/>
            <w:shd w:val="clear" w:color="auto" w:fill="FDFDFC"/>
          </w:tcPr>
          <w:p>
            <w:pPr>
              <w:spacing w:after="0"/>
              <w:rPr>
                <w:sz w:val="16"/>
                <w:szCs w:val="16"/>
                <w:color w:val="auto"/>
              </w:rPr>
            </w:pPr>
          </w:p>
        </w:tc>
        <w:tc>
          <w:tcPr>
            <w:tcW w:w="860" w:type="dxa"/>
            <w:vAlign w:val="bottom"/>
            <w:shd w:val="clear" w:color="auto" w:fill="FDFDFC"/>
          </w:tcPr>
          <w:p>
            <w:pPr>
              <w:spacing w:after="0"/>
              <w:rPr>
                <w:sz w:val="16"/>
                <w:szCs w:val="16"/>
                <w:color w:val="auto"/>
              </w:rPr>
            </w:pPr>
          </w:p>
        </w:tc>
      </w:tr>
      <w:tr>
        <w:trPr>
          <w:trHeight w:val="171"/>
        </w:trPr>
        <w:tc>
          <w:tcPr>
            <w:tcW w:w="1580" w:type="dxa"/>
            <w:vAlign w:val="bottom"/>
            <w:shd w:val="clear" w:color="auto" w:fill="D0EBF2"/>
          </w:tcPr>
          <w:p>
            <w:pPr>
              <w:spacing w:after="0" w:line="172" w:lineRule="exact"/>
              <w:rPr>
                <w:sz w:val="20"/>
                <w:szCs w:val="20"/>
                <w:color w:val="auto"/>
              </w:rPr>
            </w:pPr>
            <w:r>
              <w:rPr>
                <w:rFonts w:ascii="Times New Roman" w:cs="Times New Roman" w:eastAsia="Times New Roman" w:hAnsi="Times New Roman"/>
                <w:sz w:val="15"/>
                <w:szCs w:val="15"/>
                <w:color w:val="231F20"/>
              </w:rPr>
              <w:t xml:space="preserve">Edge Bidco B.V. </w:t>
            </w:r>
            <w:r>
              <w:rPr>
                <w:rFonts w:ascii="Times New Roman" w:cs="Times New Roman" w:eastAsia="Times New Roman" w:hAnsi="Times New Roman"/>
                <w:sz w:val="9"/>
                <w:szCs w:val="9"/>
                <w:color w:val="231F20"/>
              </w:rPr>
              <w:t>(3)(4)(5)</w:t>
            </w:r>
          </w:p>
        </w:tc>
        <w:tc>
          <w:tcPr>
            <w:tcW w:w="2200" w:type="dxa"/>
            <w:vAlign w:val="bottom"/>
            <w:shd w:val="clear" w:color="auto" w:fill="D0EBF2"/>
          </w:tcPr>
          <w:p>
            <w:pPr>
              <w:ind w:left="60"/>
              <w:spacing w:after="0" w:line="172" w:lineRule="exact"/>
              <w:rPr>
                <w:sz w:val="20"/>
                <w:szCs w:val="20"/>
                <w:color w:val="auto"/>
              </w:rPr>
            </w:pPr>
            <w:r>
              <w:rPr>
                <w:rFonts w:ascii="Times New Roman" w:cs="Times New Roman" w:eastAsia="Times New Roman" w:hAnsi="Times New Roman"/>
                <w:sz w:val="15"/>
                <w:szCs w:val="15"/>
                <w:color w:val="231F20"/>
              </w:rPr>
              <w:t>First-lien loan (EUR 5,947 par,</w:t>
            </w:r>
          </w:p>
        </w:tc>
        <w:tc>
          <w:tcPr>
            <w:tcW w:w="800" w:type="dxa"/>
            <w:vAlign w:val="bottom"/>
            <w:shd w:val="clear" w:color="auto" w:fill="D0EBF2"/>
          </w:tcPr>
          <w:p>
            <w:pPr>
              <w:jc w:val="right"/>
              <w:spacing w:after="0" w:line="172" w:lineRule="exact"/>
              <w:rPr>
                <w:sz w:val="20"/>
                <w:szCs w:val="20"/>
                <w:color w:val="auto"/>
              </w:rPr>
            </w:pPr>
            <w:r>
              <w:rPr>
                <w:rFonts w:ascii="Times New Roman" w:cs="Times New Roman" w:eastAsia="Times New Roman" w:hAnsi="Times New Roman"/>
                <w:sz w:val="15"/>
                <w:szCs w:val="15"/>
                <w:color w:val="231F20"/>
              </w:rPr>
              <w:t>2/24/2023</w:t>
            </w:r>
          </w:p>
        </w:tc>
        <w:tc>
          <w:tcPr>
            <w:tcW w:w="1020" w:type="dxa"/>
            <w:vAlign w:val="bottom"/>
            <w:shd w:val="clear" w:color="auto" w:fill="D0EBF2"/>
          </w:tcPr>
          <w:p>
            <w:pPr>
              <w:jc w:val="right"/>
              <w:ind w:right="64"/>
              <w:spacing w:after="0" w:line="172" w:lineRule="exact"/>
              <w:rPr>
                <w:sz w:val="20"/>
                <w:szCs w:val="20"/>
                <w:color w:val="auto"/>
              </w:rPr>
            </w:pPr>
            <w:r>
              <w:rPr>
                <w:rFonts w:ascii="Times New Roman" w:cs="Times New Roman" w:eastAsia="Times New Roman" w:hAnsi="Times New Roman"/>
                <w:sz w:val="15"/>
                <w:szCs w:val="15"/>
                <w:color w:val="231F20"/>
              </w:rPr>
              <w:t>E + 6.75%</w:t>
            </w:r>
          </w:p>
        </w:tc>
        <w:tc>
          <w:tcPr>
            <w:tcW w:w="1040" w:type="dxa"/>
            <w:vAlign w:val="bottom"/>
            <w:shd w:val="clear" w:color="auto" w:fill="D0EBF2"/>
          </w:tcPr>
          <w:p>
            <w:pPr>
              <w:jc w:val="right"/>
              <w:ind w:right="64"/>
              <w:spacing w:after="0" w:line="172" w:lineRule="exact"/>
              <w:rPr>
                <w:sz w:val="20"/>
                <w:szCs w:val="20"/>
                <w:color w:val="auto"/>
              </w:rPr>
            </w:pPr>
            <w:r>
              <w:rPr>
                <w:rFonts w:ascii="Times New Roman" w:cs="Times New Roman" w:eastAsia="Times New Roman" w:hAnsi="Times New Roman"/>
                <w:sz w:val="15"/>
                <w:szCs w:val="15"/>
                <w:color w:val="231F20"/>
              </w:rPr>
              <w:t>9.43%</w:t>
            </w:r>
          </w:p>
        </w:tc>
        <w:tc>
          <w:tcPr>
            <w:tcW w:w="1000" w:type="dxa"/>
            <w:vAlign w:val="bottom"/>
            <w:shd w:val="clear" w:color="auto" w:fill="D0EBF2"/>
          </w:tcPr>
          <w:p>
            <w:pPr>
              <w:jc w:val="right"/>
              <w:spacing w:after="0" w:line="172" w:lineRule="exact"/>
              <w:rPr>
                <w:sz w:val="20"/>
                <w:szCs w:val="20"/>
                <w:color w:val="auto"/>
              </w:rPr>
            </w:pPr>
            <w:r>
              <w:rPr>
                <w:rFonts w:ascii="Times New Roman" w:cs="Times New Roman" w:eastAsia="Times New Roman" w:hAnsi="Times New Roman"/>
                <w:sz w:val="15"/>
                <w:szCs w:val="15"/>
                <w:color w:val="231F20"/>
              </w:rPr>
              <w:t>6,219</w:t>
            </w:r>
          </w:p>
        </w:tc>
        <w:tc>
          <w:tcPr>
            <w:tcW w:w="1680" w:type="dxa"/>
            <w:vAlign w:val="bottom"/>
            <w:gridSpan w:val="2"/>
            <w:shd w:val="clear" w:color="auto" w:fill="D0EBF2"/>
          </w:tcPr>
          <w:p>
            <w:pPr>
              <w:jc w:val="right"/>
              <w:spacing w:after="0" w:line="172" w:lineRule="exact"/>
              <w:rPr>
                <w:sz w:val="20"/>
                <w:szCs w:val="20"/>
                <w:color w:val="auto"/>
              </w:rPr>
            </w:pPr>
            <w:r>
              <w:rPr>
                <w:rFonts w:ascii="Times New Roman" w:cs="Times New Roman" w:eastAsia="Times New Roman" w:hAnsi="Times New Roman"/>
                <w:sz w:val="15"/>
                <w:szCs w:val="15"/>
                <w:color w:val="231F20"/>
              </w:rPr>
              <w:t>6,284</w:t>
            </w:r>
          </w:p>
        </w:tc>
        <w:tc>
          <w:tcPr>
            <w:tcW w:w="960" w:type="dxa"/>
            <w:vAlign w:val="bottom"/>
            <w:gridSpan w:val="2"/>
            <w:shd w:val="clear" w:color="auto" w:fill="D0EBF2"/>
          </w:tcPr>
          <w:p>
            <w:pPr>
              <w:jc w:val="right"/>
              <w:spacing w:after="0" w:line="172" w:lineRule="exact"/>
              <w:rPr>
                <w:sz w:val="20"/>
                <w:szCs w:val="20"/>
                <w:color w:val="auto"/>
              </w:rPr>
            </w:pPr>
            <w:r>
              <w:rPr>
                <w:rFonts w:ascii="Times New Roman" w:cs="Times New Roman" w:eastAsia="Times New Roman" w:hAnsi="Times New Roman"/>
                <w:sz w:val="15"/>
                <w:szCs w:val="15"/>
                <w:color w:val="231F20"/>
              </w:rPr>
              <w:t>0.4%</w:t>
            </w:r>
          </w:p>
        </w:tc>
      </w:tr>
      <w:tr>
        <w:trPr>
          <w:trHeight w:val="189"/>
        </w:trPr>
        <w:tc>
          <w:tcPr>
            <w:tcW w:w="1580" w:type="dxa"/>
            <w:vAlign w:val="bottom"/>
            <w:shd w:val="clear" w:color="auto" w:fill="D0EBF2"/>
          </w:tcPr>
          <w:p>
            <w:pPr>
              <w:spacing w:after="0"/>
              <w:rPr>
                <w:sz w:val="16"/>
                <w:szCs w:val="16"/>
                <w:color w:val="auto"/>
              </w:rPr>
            </w:pPr>
          </w:p>
        </w:tc>
        <w:tc>
          <w:tcPr>
            <w:tcW w:w="2200" w:type="dxa"/>
            <w:vAlign w:val="bottom"/>
            <w:shd w:val="clear" w:color="auto" w:fill="D0EBF2"/>
          </w:tcPr>
          <w:p>
            <w:pPr>
              <w:ind w:left="60"/>
              <w:spacing w:after="0"/>
              <w:rPr>
                <w:sz w:val="20"/>
                <w:szCs w:val="20"/>
                <w:color w:val="auto"/>
              </w:rPr>
            </w:pPr>
            <w:r>
              <w:rPr>
                <w:rFonts w:ascii="Times New Roman" w:cs="Times New Roman" w:eastAsia="Times New Roman" w:hAnsi="Times New Roman"/>
                <w:sz w:val="15"/>
                <w:szCs w:val="15"/>
                <w:color w:val="231F20"/>
              </w:rPr>
              <w:t>due 2/2029)</w:t>
            </w:r>
          </w:p>
        </w:tc>
        <w:tc>
          <w:tcPr>
            <w:tcW w:w="800" w:type="dxa"/>
            <w:vAlign w:val="bottom"/>
            <w:shd w:val="clear" w:color="auto" w:fill="D0EBF2"/>
          </w:tcPr>
          <w:p>
            <w:pPr>
              <w:spacing w:after="0"/>
              <w:rPr>
                <w:sz w:val="16"/>
                <w:szCs w:val="16"/>
                <w:color w:val="auto"/>
              </w:rPr>
            </w:pPr>
          </w:p>
        </w:tc>
        <w:tc>
          <w:tcPr>
            <w:tcW w:w="1020" w:type="dxa"/>
            <w:vAlign w:val="bottom"/>
            <w:shd w:val="clear" w:color="auto" w:fill="D0EBF2"/>
          </w:tcPr>
          <w:p>
            <w:pPr>
              <w:spacing w:after="0"/>
              <w:rPr>
                <w:sz w:val="16"/>
                <w:szCs w:val="16"/>
                <w:color w:val="auto"/>
              </w:rPr>
            </w:pPr>
          </w:p>
        </w:tc>
        <w:tc>
          <w:tcPr>
            <w:tcW w:w="1040" w:type="dxa"/>
            <w:vAlign w:val="bottom"/>
            <w:shd w:val="clear" w:color="auto" w:fill="D0EBF2"/>
          </w:tcPr>
          <w:p>
            <w:pPr>
              <w:spacing w:after="0"/>
              <w:rPr>
                <w:sz w:val="16"/>
                <w:szCs w:val="16"/>
                <w:color w:val="auto"/>
              </w:rPr>
            </w:pPr>
          </w:p>
        </w:tc>
        <w:tc>
          <w:tcPr>
            <w:tcW w:w="1000" w:type="dxa"/>
            <w:vAlign w:val="bottom"/>
            <w:shd w:val="clear" w:color="auto" w:fill="D0EBF2"/>
          </w:tcPr>
          <w:p>
            <w:pPr>
              <w:spacing w:after="0"/>
              <w:rPr>
                <w:sz w:val="16"/>
                <w:szCs w:val="16"/>
                <w:color w:val="auto"/>
              </w:rPr>
            </w:pPr>
          </w:p>
        </w:tc>
        <w:tc>
          <w:tcPr>
            <w:tcW w:w="80" w:type="dxa"/>
            <w:vAlign w:val="bottom"/>
            <w:shd w:val="clear" w:color="auto" w:fill="D0EBF2"/>
          </w:tcPr>
          <w:p>
            <w:pPr>
              <w:spacing w:after="0"/>
              <w:rPr>
                <w:sz w:val="16"/>
                <w:szCs w:val="16"/>
                <w:color w:val="auto"/>
              </w:rPr>
            </w:pPr>
          </w:p>
        </w:tc>
        <w:tc>
          <w:tcPr>
            <w:tcW w:w="1600" w:type="dxa"/>
            <w:vAlign w:val="bottom"/>
            <w:shd w:val="clear" w:color="auto" w:fill="D0EBF2"/>
          </w:tcPr>
          <w:p>
            <w:pPr>
              <w:jc w:val="right"/>
              <w:spacing w:after="0"/>
              <w:rPr>
                <w:sz w:val="20"/>
                <w:szCs w:val="20"/>
                <w:color w:val="auto"/>
              </w:rPr>
            </w:pPr>
            <w:r>
              <w:rPr>
                <w:rFonts w:ascii="Times New Roman" w:cs="Times New Roman" w:eastAsia="Times New Roman" w:hAnsi="Times New Roman"/>
                <w:sz w:val="15"/>
                <w:szCs w:val="15"/>
                <w:color w:val="231F20"/>
              </w:rPr>
              <w:t>(EUR 6,068)</w:t>
            </w:r>
          </w:p>
        </w:tc>
        <w:tc>
          <w:tcPr>
            <w:tcW w:w="100" w:type="dxa"/>
            <w:vAlign w:val="bottom"/>
            <w:shd w:val="clear" w:color="auto" w:fill="D0EBF2"/>
          </w:tcPr>
          <w:p>
            <w:pPr>
              <w:spacing w:after="0"/>
              <w:rPr>
                <w:sz w:val="16"/>
                <w:szCs w:val="16"/>
                <w:color w:val="auto"/>
              </w:rPr>
            </w:pPr>
          </w:p>
        </w:tc>
        <w:tc>
          <w:tcPr>
            <w:tcW w:w="860" w:type="dxa"/>
            <w:vAlign w:val="bottom"/>
            <w:shd w:val="clear" w:color="auto" w:fill="D0EBF2"/>
          </w:tcPr>
          <w:p>
            <w:pPr>
              <w:spacing w:after="0"/>
              <w:rPr>
                <w:sz w:val="16"/>
                <w:szCs w:val="16"/>
                <w:color w:val="auto"/>
              </w:rPr>
            </w:pPr>
          </w:p>
        </w:tc>
      </w:tr>
      <w:tr>
        <w:trPr>
          <w:trHeight w:val="171"/>
        </w:trPr>
        <w:tc>
          <w:tcPr>
            <w:tcW w:w="1580" w:type="dxa"/>
            <w:vAlign w:val="bottom"/>
            <w:shd w:val="clear" w:color="auto" w:fill="FDFDFC"/>
          </w:tcPr>
          <w:p>
            <w:pPr>
              <w:spacing w:after="0" w:line="172" w:lineRule="exact"/>
              <w:rPr>
                <w:sz w:val="20"/>
                <w:szCs w:val="20"/>
                <w:color w:val="auto"/>
              </w:rPr>
            </w:pPr>
            <w:r>
              <w:rPr>
                <w:rFonts w:ascii="Times New Roman" w:cs="Times New Roman" w:eastAsia="Times New Roman" w:hAnsi="Times New Roman"/>
                <w:sz w:val="15"/>
                <w:szCs w:val="15"/>
                <w:color w:val="231F20"/>
              </w:rPr>
              <w:t xml:space="preserve">Eventus Buyer, LLC </w:t>
            </w:r>
            <w:r>
              <w:rPr>
                <w:rFonts w:ascii="Times New Roman" w:cs="Times New Roman" w:eastAsia="Times New Roman" w:hAnsi="Times New Roman"/>
                <w:sz w:val="9"/>
                <w:szCs w:val="9"/>
                <w:color w:val="231F20"/>
              </w:rPr>
              <w:t>(3)</w:t>
            </w:r>
          </w:p>
        </w:tc>
        <w:tc>
          <w:tcPr>
            <w:tcW w:w="2200" w:type="dxa"/>
            <w:vAlign w:val="bottom"/>
            <w:shd w:val="clear" w:color="auto" w:fill="FDFDFC"/>
          </w:tcPr>
          <w:p>
            <w:pPr>
              <w:ind w:left="60"/>
              <w:spacing w:after="0" w:line="172" w:lineRule="exact"/>
              <w:rPr>
                <w:sz w:val="20"/>
                <w:szCs w:val="20"/>
                <w:color w:val="auto"/>
              </w:rPr>
            </w:pPr>
            <w:r>
              <w:rPr>
                <w:rFonts w:ascii="Times New Roman" w:cs="Times New Roman" w:eastAsia="Times New Roman" w:hAnsi="Times New Roman"/>
                <w:sz w:val="15"/>
                <w:szCs w:val="15"/>
                <w:color w:val="231F20"/>
              </w:rPr>
              <w:t>First-lien loan ($25,900 par, due</w:t>
            </w:r>
          </w:p>
        </w:tc>
        <w:tc>
          <w:tcPr>
            <w:tcW w:w="800" w:type="dxa"/>
            <w:vAlign w:val="bottom"/>
            <w:shd w:val="clear" w:color="auto" w:fill="FDFDFC"/>
          </w:tcPr>
          <w:p>
            <w:pPr>
              <w:jc w:val="right"/>
              <w:spacing w:after="0" w:line="172" w:lineRule="exact"/>
              <w:rPr>
                <w:sz w:val="20"/>
                <w:szCs w:val="20"/>
                <w:color w:val="auto"/>
              </w:rPr>
            </w:pPr>
            <w:r>
              <w:rPr>
                <w:rFonts w:ascii="Times New Roman" w:cs="Times New Roman" w:eastAsia="Times New Roman" w:hAnsi="Times New Roman"/>
                <w:sz w:val="15"/>
                <w:szCs w:val="15"/>
                <w:color w:val="231F20"/>
              </w:rPr>
              <w:t>11/1/2024</w:t>
            </w:r>
          </w:p>
        </w:tc>
        <w:tc>
          <w:tcPr>
            <w:tcW w:w="1020" w:type="dxa"/>
            <w:vAlign w:val="bottom"/>
            <w:shd w:val="clear" w:color="auto" w:fill="FDFDFC"/>
          </w:tcPr>
          <w:p>
            <w:pPr>
              <w:jc w:val="right"/>
              <w:ind w:right="64"/>
              <w:spacing w:after="0" w:line="172" w:lineRule="exact"/>
              <w:rPr>
                <w:sz w:val="20"/>
                <w:szCs w:val="20"/>
                <w:color w:val="auto"/>
              </w:rPr>
            </w:pPr>
            <w:r>
              <w:rPr>
                <w:rFonts w:ascii="Times New Roman" w:cs="Times New Roman" w:eastAsia="Times New Roman" w:hAnsi="Times New Roman"/>
                <w:sz w:val="15"/>
                <w:szCs w:val="15"/>
                <w:color w:val="231F20"/>
              </w:rPr>
              <w:t>SOFR +</w:t>
            </w:r>
          </w:p>
        </w:tc>
        <w:tc>
          <w:tcPr>
            <w:tcW w:w="1040" w:type="dxa"/>
            <w:vAlign w:val="bottom"/>
            <w:shd w:val="clear" w:color="auto" w:fill="FDFDFC"/>
          </w:tcPr>
          <w:p>
            <w:pPr>
              <w:jc w:val="right"/>
              <w:ind w:right="64"/>
              <w:spacing w:after="0" w:line="172" w:lineRule="exact"/>
              <w:rPr>
                <w:sz w:val="20"/>
                <w:szCs w:val="20"/>
                <w:color w:val="auto"/>
              </w:rPr>
            </w:pPr>
            <w:r>
              <w:rPr>
                <w:rFonts w:ascii="Times New Roman" w:cs="Times New Roman" w:eastAsia="Times New Roman" w:hAnsi="Times New Roman"/>
                <w:sz w:val="15"/>
                <w:szCs w:val="15"/>
                <w:color w:val="231F20"/>
              </w:rPr>
              <w:t>9.86%</w:t>
            </w:r>
          </w:p>
        </w:tc>
        <w:tc>
          <w:tcPr>
            <w:tcW w:w="1000" w:type="dxa"/>
            <w:vAlign w:val="bottom"/>
            <w:shd w:val="clear" w:color="auto" w:fill="FDFDFC"/>
          </w:tcPr>
          <w:p>
            <w:pPr>
              <w:jc w:val="right"/>
              <w:spacing w:after="0" w:line="172" w:lineRule="exact"/>
              <w:rPr>
                <w:sz w:val="20"/>
                <w:szCs w:val="20"/>
                <w:color w:val="auto"/>
              </w:rPr>
            </w:pPr>
            <w:r>
              <w:rPr>
                <w:rFonts w:ascii="Times New Roman" w:cs="Times New Roman" w:eastAsia="Times New Roman" w:hAnsi="Times New Roman"/>
                <w:sz w:val="15"/>
                <w:szCs w:val="15"/>
                <w:color w:val="231F20"/>
              </w:rPr>
              <w:t>25,472</w:t>
            </w:r>
          </w:p>
        </w:tc>
        <w:tc>
          <w:tcPr>
            <w:tcW w:w="1680" w:type="dxa"/>
            <w:vAlign w:val="bottom"/>
            <w:gridSpan w:val="2"/>
            <w:shd w:val="clear" w:color="auto" w:fill="FDFDFC"/>
          </w:tcPr>
          <w:p>
            <w:pPr>
              <w:jc w:val="right"/>
              <w:spacing w:after="0" w:line="172" w:lineRule="exact"/>
              <w:rPr>
                <w:sz w:val="20"/>
                <w:szCs w:val="20"/>
                <w:color w:val="auto"/>
              </w:rPr>
            </w:pPr>
            <w:r>
              <w:rPr>
                <w:rFonts w:ascii="Times New Roman" w:cs="Times New Roman" w:eastAsia="Times New Roman" w:hAnsi="Times New Roman"/>
                <w:sz w:val="15"/>
                <w:szCs w:val="15"/>
                <w:color w:val="231F20"/>
              </w:rPr>
              <w:t>25,571</w:t>
            </w:r>
          </w:p>
        </w:tc>
        <w:tc>
          <w:tcPr>
            <w:tcW w:w="960" w:type="dxa"/>
            <w:vAlign w:val="bottom"/>
            <w:gridSpan w:val="2"/>
            <w:shd w:val="clear" w:color="auto" w:fill="FDFDFC"/>
          </w:tcPr>
          <w:p>
            <w:pPr>
              <w:jc w:val="right"/>
              <w:spacing w:after="0" w:line="172" w:lineRule="exact"/>
              <w:rPr>
                <w:sz w:val="20"/>
                <w:szCs w:val="20"/>
                <w:color w:val="auto"/>
              </w:rPr>
            </w:pPr>
            <w:r>
              <w:rPr>
                <w:rFonts w:ascii="Times New Roman" w:cs="Times New Roman" w:eastAsia="Times New Roman" w:hAnsi="Times New Roman"/>
                <w:sz w:val="15"/>
                <w:szCs w:val="15"/>
                <w:color w:val="231F20"/>
              </w:rPr>
              <w:t>1.6%</w:t>
            </w:r>
          </w:p>
        </w:tc>
      </w:tr>
      <w:tr>
        <w:trPr>
          <w:trHeight w:val="189"/>
        </w:trPr>
        <w:tc>
          <w:tcPr>
            <w:tcW w:w="1580" w:type="dxa"/>
            <w:vAlign w:val="bottom"/>
            <w:shd w:val="clear" w:color="auto" w:fill="FDFDFC"/>
          </w:tcPr>
          <w:p>
            <w:pPr>
              <w:spacing w:after="0"/>
              <w:rPr>
                <w:sz w:val="16"/>
                <w:szCs w:val="16"/>
                <w:color w:val="auto"/>
              </w:rPr>
            </w:pPr>
          </w:p>
        </w:tc>
        <w:tc>
          <w:tcPr>
            <w:tcW w:w="2200" w:type="dxa"/>
            <w:vAlign w:val="bottom"/>
            <w:shd w:val="clear" w:color="auto" w:fill="FDFDFC"/>
          </w:tcPr>
          <w:p>
            <w:pPr>
              <w:ind w:left="60"/>
              <w:spacing w:after="0"/>
              <w:rPr>
                <w:sz w:val="20"/>
                <w:szCs w:val="20"/>
                <w:color w:val="auto"/>
              </w:rPr>
            </w:pPr>
            <w:r>
              <w:rPr>
                <w:rFonts w:ascii="Times New Roman" w:cs="Times New Roman" w:eastAsia="Times New Roman" w:hAnsi="Times New Roman"/>
                <w:sz w:val="15"/>
                <w:szCs w:val="15"/>
                <w:color w:val="231F20"/>
              </w:rPr>
              <w:t>11/2030)</w:t>
            </w:r>
          </w:p>
        </w:tc>
        <w:tc>
          <w:tcPr>
            <w:tcW w:w="800" w:type="dxa"/>
            <w:vAlign w:val="bottom"/>
            <w:shd w:val="clear" w:color="auto" w:fill="FDFDFC"/>
          </w:tcPr>
          <w:p>
            <w:pPr>
              <w:spacing w:after="0"/>
              <w:rPr>
                <w:sz w:val="16"/>
                <w:szCs w:val="16"/>
                <w:color w:val="auto"/>
              </w:rPr>
            </w:pPr>
          </w:p>
        </w:tc>
        <w:tc>
          <w:tcPr>
            <w:tcW w:w="1020" w:type="dxa"/>
            <w:vAlign w:val="bottom"/>
            <w:shd w:val="clear" w:color="auto" w:fill="FDFDFC"/>
          </w:tcPr>
          <w:p>
            <w:pPr>
              <w:jc w:val="right"/>
              <w:ind w:right="64"/>
              <w:spacing w:after="0"/>
              <w:rPr>
                <w:sz w:val="20"/>
                <w:szCs w:val="20"/>
                <w:color w:val="auto"/>
              </w:rPr>
            </w:pPr>
            <w:r>
              <w:rPr>
                <w:rFonts w:ascii="Times New Roman" w:cs="Times New Roman" w:eastAsia="Times New Roman" w:hAnsi="Times New Roman"/>
                <w:sz w:val="15"/>
                <w:szCs w:val="15"/>
                <w:color w:val="231F20"/>
              </w:rPr>
              <w:t>5.50%</w:t>
            </w:r>
          </w:p>
        </w:tc>
        <w:tc>
          <w:tcPr>
            <w:tcW w:w="1040" w:type="dxa"/>
            <w:vAlign w:val="bottom"/>
            <w:shd w:val="clear" w:color="auto" w:fill="FDFDFC"/>
          </w:tcPr>
          <w:p>
            <w:pPr>
              <w:spacing w:after="0"/>
              <w:rPr>
                <w:sz w:val="16"/>
                <w:szCs w:val="16"/>
                <w:color w:val="auto"/>
              </w:rPr>
            </w:pPr>
          </w:p>
        </w:tc>
        <w:tc>
          <w:tcPr>
            <w:tcW w:w="1000" w:type="dxa"/>
            <w:vAlign w:val="bottom"/>
            <w:shd w:val="clear" w:color="auto" w:fill="FDFDFC"/>
          </w:tcPr>
          <w:p>
            <w:pPr>
              <w:spacing w:after="0"/>
              <w:rPr>
                <w:sz w:val="16"/>
                <w:szCs w:val="16"/>
                <w:color w:val="auto"/>
              </w:rPr>
            </w:pPr>
          </w:p>
        </w:tc>
        <w:tc>
          <w:tcPr>
            <w:tcW w:w="80" w:type="dxa"/>
            <w:vAlign w:val="bottom"/>
            <w:shd w:val="clear" w:color="auto" w:fill="FDFDFC"/>
          </w:tcPr>
          <w:p>
            <w:pPr>
              <w:spacing w:after="0"/>
              <w:rPr>
                <w:sz w:val="16"/>
                <w:szCs w:val="16"/>
                <w:color w:val="auto"/>
              </w:rPr>
            </w:pPr>
          </w:p>
        </w:tc>
        <w:tc>
          <w:tcPr>
            <w:tcW w:w="1600" w:type="dxa"/>
            <w:vAlign w:val="bottom"/>
            <w:shd w:val="clear" w:color="auto" w:fill="FDFDFC"/>
          </w:tcPr>
          <w:p>
            <w:pPr>
              <w:spacing w:after="0"/>
              <w:rPr>
                <w:sz w:val="16"/>
                <w:szCs w:val="16"/>
                <w:color w:val="auto"/>
              </w:rPr>
            </w:pPr>
          </w:p>
        </w:tc>
        <w:tc>
          <w:tcPr>
            <w:tcW w:w="100" w:type="dxa"/>
            <w:vAlign w:val="bottom"/>
            <w:shd w:val="clear" w:color="auto" w:fill="FDFDFC"/>
          </w:tcPr>
          <w:p>
            <w:pPr>
              <w:spacing w:after="0"/>
              <w:rPr>
                <w:sz w:val="16"/>
                <w:szCs w:val="16"/>
                <w:color w:val="auto"/>
              </w:rPr>
            </w:pPr>
          </w:p>
        </w:tc>
        <w:tc>
          <w:tcPr>
            <w:tcW w:w="860" w:type="dxa"/>
            <w:vAlign w:val="bottom"/>
            <w:shd w:val="clear" w:color="auto" w:fill="FDFDFC"/>
          </w:tcPr>
          <w:p>
            <w:pPr>
              <w:spacing w:after="0"/>
              <w:rPr>
                <w:sz w:val="16"/>
                <w:szCs w:val="16"/>
                <w:color w:val="auto"/>
              </w:rPr>
            </w:pPr>
          </w:p>
        </w:tc>
      </w:tr>
      <w:tr>
        <w:trPr>
          <w:trHeight w:val="171"/>
        </w:trPr>
        <w:tc>
          <w:tcPr>
            <w:tcW w:w="1580" w:type="dxa"/>
            <w:vAlign w:val="bottom"/>
            <w:shd w:val="clear" w:color="auto" w:fill="D0EBF2"/>
          </w:tcPr>
          <w:p>
            <w:pPr>
              <w:spacing w:after="0"/>
              <w:rPr>
                <w:sz w:val="14"/>
                <w:szCs w:val="14"/>
                <w:color w:val="auto"/>
              </w:rPr>
            </w:pPr>
          </w:p>
        </w:tc>
        <w:tc>
          <w:tcPr>
            <w:tcW w:w="2200" w:type="dxa"/>
            <w:vAlign w:val="bottom"/>
            <w:shd w:val="clear" w:color="auto" w:fill="D0EBF2"/>
          </w:tcPr>
          <w:p>
            <w:pPr>
              <w:ind w:left="60"/>
              <w:spacing w:after="0" w:line="172" w:lineRule="exact"/>
              <w:rPr>
                <w:sz w:val="20"/>
                <w:szCs w:val="20"/>
                <w:color w:val="auto"/>
              </w:rPr>
            </w:pPr>
            <w:r>
              <w:rPr>
                <w:rFonts w:ascii="Times New Roman" w:cs="Times New Roman" w:eastAsia="Times New Roman" w:hAnsi="Times New Roman"/>
                <w:sz w:val="15"/>
                <w:szCs w:val="15"/>
                <w:color w:val="231F20"/>
              </w:rPr>
              <w:t>First-lien revolving loan ($467</w:t>
            </w:r>
          </w:p>
        </w:tc>
        <w:tc>
          <w:tcPr>
            <w:tcW w:w="800" w:type="dxa"/>
            <w:vAlign w:val="bottom"/>
            <w:shd w:val="clear" w:color="auto" w:fill="D0EBF2"/>
          </w:tcPr>
          <w:p>
            <w:pPr>
              <w:jc w:val="right"/>
              <w:spacing w:after="0" w:line="172" w:lineRule="exact"/>
              <w:rPr>
                <w:sz w:val="20"/>
                <w:szCs w:val="20"/>
                <w:color w:val="auto"/>
              </w:rPr>
            </w:pPr>
            <w:r>
              <w:rPr>
                <w:rFonts w:ascii="Times New Roman" w:cs="Times New Roman" w:eastAsia="Times New Roman" w:hAnsi="Times New Roman"/>
                <w:sz w:val="15"/>
                <w:szCs w:val="15"/>
                <w:color w:val="231F20"/>
              </w:rPr>
              <w:t>11/1/2024</w:t>
            </w:r>
          </w:p>
        </w:tc>
        <w:tc>
          <w:tcPr>
            <w:tcW w:w="1020" w:type="dxa"/>
            <w:vAlign w:val="bottom"/>
            <w:shd w:val="clear" w:color="auto" w:fill="D0EBF2"/>
          </w:tcPr>
          <w:p>
            <w:pPr>
              <w:jc w:val="right"/>
              <w:ind w:right="64"/>
              <w:spacing w:after="0" w:line="172" w:lineRule="exact"/>
              <w:rPr>
                <w:sz w:val="20"/>
                <w:szCs w:val="20"/>
                <w:color w:val="auto"/>
              </w:rPr>
            </w:pPr>
            <w:r>
              <w:rPr>
                <w:rFonts w:ascii="Times New Roman" w:cs="Times New Roman" w:eastAsia="Times New Roman" w:hAnsi="Times New Roman"/>
                <w:sz w:val="15"/>
                <w:szCs w:val="15"/>
                <w:color w:val="231F20"/>
              </w:rPr>
              <w:t>SOFR +</w:t>
            </w:r>
          </w:p>
        </w:tc>
        <w:tc>
          <w:tcPr>
            <w:tcW w:w="1040" w:type="dxa"/>
            <w:vAlign w:val="bottom"/>
            <w:shd w:val="clear" w:color="auto" w:fill="D0EBF2"/>
          </w:tcPr>
          <w:p>
            <w:pPr>
              <w:jc w:val="right"/>
              <w:ind w:right="64"/>
              <w:spacing w:after="0" w:line="172" w:lineRule="exact"/>
              <w:rPr>
                <w:sz w:val="20"/>
                <w:szCs w:val="20"/>
                <w:color w:val="auto"/>
              </w:rPr>
            </w:pPr>
            <w:r>
              <w:rPr>
                <w:rFonts w:ascii="Times New Roman" w:cs="Times New Roman" w:eastAsia="Times New Roman" w:hAnsi="Times New Roman"/>
                <w:sz w:val="15"/>
                <w:szCs w:val="15"/>
                <w:color w:val="231F20"/>
              </w:rPr>
              <w:t>10.03%</w:t>
            </w:r>
          </w:p>
        </w:tc>
        <w:tc>
          <w:tcPr>
            <w:tcW w:w="1000" w:type="dxa"/>
            <w:vAlign w:val="bottom"/>
            <w:shd w:val="clear" w:color="auto" w:fill="D0EBF2"/>
          </w:tcPr>
          <w:p>
            <w:pPr>
              <w:jc w:val="right"/>
              <w:spacing w:after="0" w:line="172" w:lineRule="exact"/>
              <w:rPr>
                <w:sz w:val="20"/>
                <w:szCs w:val="20"/>
                <w:color w:val="auto"/>
              </w:rPr>
            </w:pPr>
            <w:r>
              <w:rPr>
                <w:rFonts w:ascii="Times New Roman" w:cs="Times New Roman" w:eastAsia="Times New Roman" w:hAnsi="Times New Roman"/>
                <w:sz w:val="15"/>
                <w:szCs w:val="15"/>
                <w:color w:val="231F20"/>
              </w:rPr>
              <w:t>416</w:t>
            </w:r>
          </w:p>
        </w:tc>
        <w:tc>
          <w:tcPr>
            <w:tcW w:w="1680" w:type="dxa"/>
            <w:vAlign w:val="bottom"/>
            <w:gridSpan w:val="2"/>
            <w:shd w:val="clear" w:color="auto" w:fill="D0EBF2"/>
          </w:tcPr>
          <w:p>
            <w:pPr>
              <w:jc w:val="right"/>
              <w:spacing w:after="0" w:line="172" w:lineRule="exact"/>
              <w:rPr>
                <w:sz w:val="20"/>
                <w:szCs w:val="20"/>
                <w:color w:val="auto"/>
              </w:rPr>
            </w:pPr>
            <w:r>
              <w:rPr>
                <w:rFonts w:ascii="Times New Roman" w:cs="Times New Roman" w:eastAsia="Times New Roman" w:hAnsi="Times New Roman"/>
                <w:sz w:val="15"/>
                <w:szCs w:val="15"/>
                <w:color w:val="231F20"/>
              </w:rPr>
              <w:t>432</w:t>
            </w:r>
          </w:p>
        </w:tc>
        <w:tc>
          <w:tcPr>
            <w:tcW w:w="960" w:type="dxa"/>
            <w:vAlign w:val="bottom"/>
            <w:gridSpan w:val="2"/>
            <w:shd w:val="clear" w:color="auto" w:fill="D0EBF2"/>
          </w:tcPr>
          <w:p>
            <w:pPr>
              <w:jc w:val="right"/>
              <w:spacing w:after="0" w:line="172" w:lineRule="exact"/>
              <w:rPr>
                <w:sz w:val="20"/>
                <w:szCs w:val="20"/>
                <w:color w:val="auto"/>
              </w:rPr>
            </w:pPr>
            <w:r>
              <w:rPr>
                <w:rFonts w:ascii="Times New Roman" w:cs="Times New Roman" w:eastAsia="Times New Roman" w:hAnsi="Times New Roman"/>
                <w:sz w:val="15"/>
                <w:szCs w:val="15"/>
                <w:color w:val="231F20"/>
              </w:rPr>
              <w:t>0.0%</w:t>
            </w:r>
          </w:p>
        </w:tc>
      </w:tr>
      <w:tr>
        <w:trPr>
          <w:trHeight w:val="189"/>
        </w:trPr>
        <w:tc>
          <w:tcPr>
            <w:tcW w:w="1580" w:type="dxa"/>
            <w:vAlign w:val="bottom"/>
            <w:shd w:val="clear" w:color="auto" w:fill="D0EBF2"/>
          </w:tcPr>
          <w:p>
            <w:pPr>
              <w:spacing w:after="0"/>
              <w:rPr>
                <w:sz w:val="16"/>
                <w:szCs w:val="16"/>
                <w:color w:val="auto"/>
              </w:rPr>
            </w:pPr>
          </w:p>
        </w:tc>
        <w:tc>
          <w:tcPr>
            <w:tcW w:w="2200" w:type="dxa"/>
            <w:vAlign w:val="bottom"/>
            <w:shd w:val="clear" w:color="auto" w:fill="D0EBF2"/>
          </w:tcPr>
          <w:p>
            <w:pPr>
              <w:ind w:left="60"/>
              <w:spacing w:after="0"/>
              <w:rPr>
                <w:sz w:val="20"/>
                <w:szCs w:val="20"/>
                <w:color w:val="auto"/>
              </w:rPr>
            </w:pPr>
            <w:r>
              <w:rPr>
                <w:rFonts w:ascii="Times New Roman" w:cs="Times New Roman" w:eastAsia="Times New Roman" w:hAnsi="Times New Roman"/>
                <w:sz w:val="15"/>
                <w:szCs w:val="15"/>
                <w:color w:val="231F20"/>
              </w:rPr>
              <w:t>par, due 11/2030)</w:t>
            </w:r>
          </w:p>
        </w:tc>
        <w:tc>
          <w:tcPr>
            <w:tcW w:w="800" w:type="dxa"/>
            <w:vAlign w:val="bottom"/>
            <w:shd w:val="clear" w:color="auto" w:fill="D0EBF2"/>
          </w:tcPr>
          <w:p>
            <w:pPr>
              <w:spacing w:after="0"/>
              <w:rPr>
                <w:sz w:val="16"/>
                <w:szCs w:val="16"/>
                <w:color w:val="auto"/>
              </w:rPr>
            </w:pPr>
          </w:p>
        </w:tc>
        <w:tc>
          <w:tcPr>
            <w:tcW w:w="1020" w:type="dxa"/>
            <w:vAlign w:val="bottom"/>
            <w:shd w:val="clear" w:color="auto" w:fill="D0EBF2"/>
          </w:tcPr>
          <w:p>
            <w:pPr>
              <w:jc w:val="right"/>
              <w:ind w:right="64"/>
              <w:spacing w:after="0"/>
              <w:rPr>
                <w:sz w:val="20"/>
                <w:szCs w:val="20"/>
                <w:color w:val="auto"/>
              </w:rPr>
            </w:pPr>
            <w:r>
              <w:rPr>
                <w:rFonts w:ascii="Times New Roman" w:cs="Times New Roman" w:eastAsia="Times New Roman" w:hAnsi="Times New Roman"/>
                <w:sz w:val="15"/>
                <w:szCs w:val="15"/>
                <w:color w:val="231F20"/>
              </w:rPr>
              <w:t>5.50%</w:t>
            </w:r>
          </w:p>
        </w:tc>
        <w:tc>
          <w:tcPr>
            <w:tcW w:w="1040" w:type="dxa"/>
            <w:vAlign w:val="bottom"/>
            <w:shd w:val="clear" w:color="auto" w:fill="D0EBF2"/>
          </w:tcPr>
          <w:p>
            <w:pPr>
              <w:spacing w:after="0"/>
              <w:rPr>
                <w:sz w:val="16"/>
                <w:szCs w:val="16"/>
                <w:color w:val="auto"/>
              </w:rPr>
            </w:pPr>
          </w:p>
        </w:tc>
        <w:tc>
          <w:tcPr>
            <w:tcW w:w="1000" w:type="dxa"/>
            <w:vAlign w:val="bottom"/>
            <w:shd w:val="clear" w:color="auto" w:fill="D0EBF2"/>
          </w:tcPr>
          <w:p>
            <w:pPr>
              <w:spacing w:after="0"/>
              <w:rPr>
                <w:sz w:val="16"/>
                <w:szCs w:val="16"/>
                <w:color w:val="auto"/>
              </w:rPr>
            </w:pPr>
          </w:p>
        </w:tc>
        <w:tc>
          <w:tcPr>
            <w:tcW w:w="80" w:type="dxa"/>
            <w:vAlign w:val="bottom"/>
            <w:shd w:val="clear" w:color="auto" w:fill="D0EBF2"/>
          </w:tcPr>
          <w:p>
            <w:pPr>
              <w:spacing w:after="0"/>
              <w:rPr>
                <w:sz w:val="16"/>
                <w:szCs w:val="16"/>
                <w:color w:val="auto"/>
              </w:rPr>
            </w:pPr>
          </w:p>
        </w:tc>
        <w:tc>
          <w:tcPr>
            <w:tcW w:w="1600" w:type="dxa"/>
            <w:vAlign w:val="bottom"/>
            <w:shd w:val="clear" w:color="auto" w:fill="D0EBF2"/>
          </w:tcPr>
          <w:p>
            <w:pPr>
              <w:spacing w:after="0"/>
              <w:rPr>
                <w:sz w:val="16"/>
                <w:szCs w:val="16"/>
                <w:color w:val="auto"/>
              </w:rPr>
            </w:pPr>
          </w:p>
        </w:tc>
        <w:tc>
          <w:tcPr>
            <w:tcW w:w="100" w:type="dxa"/>
            <w:vAlign w:val="bottom"/>
            <w:shd w:val="clear" w:color="auto" w:fill="D0EBF2"/>
          </w:tcPr>
          <w:p>
            <w:pPr>
              <w:spacing w:after="0"/>
              <w:rPr>
                <w:sz w:val="16"/>
                <w:szCs w:val="16"/>
                <w:color w:val="auto"/>
              </w:rPr>
            </w:pPr>
          </w:p>
        </w:tc>
        <w:tc>
          <w:tcPr>
            <w:tcW w:w="860" w:type="dxa"/>
            <w:vAlign w:val="bottom"/>
            <w:shd w:val="clear" w:color="auto" w:fill="D0EBF2"/>
          </w:tcPr>
          <w:p>
            <w:pPr>
              <w:spacing w:after="0"/>
              <w:rPr>
                <w:sz w:val="16"/>
                <w:szCs w:val="16"/>
                <w:color w:val="auto"/>
              </w:rPr>
            </w:pPr>
          </w:p>
        </w:tc>
      </w:tr>
      <w:tr>
        <w:trPr>
          <w:trHeight w:val="171"/>
        </w:trPr>
        <w:tc>
          <w:tcPr>
            <w:tcW w:w="1580" w:type="dxa"/>
            <w:vAlign w:val="bottom"/>
            <w:shd w:val="clear" w:color="auto" w:fill="FDFDFC"/>
          </w:tcPr>
          <w:p>
            <w:pPr>
              <w:spacing w:after="0" w:line="172" w:lineRule="exact"/>
              <w:rPr>
                <w:sz w:val="20"/>
                <w:szCs w:val="20"/>
                <w:color w:val="auto"/>
              </w:rPr>
            </w:pPr>
            <w:r>
              <w:rPr>
                <w:rFonts w:ascii="Times New Roman" w:cs="Times New Roman" w:eastAsia="Times New Roman" w:hAnsi="Times New Roman"/>
                <w:sz w:val="15"/>
                <w:szCs w:val="15"/>
                <w:color w:val="231F20"/>
              </w:rPr>
              <w:t xml:space="preserve">Merative L.P. </w:t>
            </w:r>
            <w:r>
              <w:rPr>
                <w:rFonts w:ascii="Times New Roman" w:cs="Times New Roman" w:eastAsia="Times New Roman" w:hAnsi="Times New Roman"/>
                <w:sz w:val="9"/>
                <w:szCs w:val="9"/>
                <w:color w:val="231F20"/>
              </w:rPr>
              <w:t>(3)(5)</w:t>
            </w:r>
          </w:p>
        </w:tc>
        <w:tc>
          <w:tcPr>
            <w:tcW w:w="2200" w:type="dxa"/>
            <w:vAlign w:val="bottom"/>
            <w:shd w:val="clear" w:color="auto" w:fill="FDFDFC"/>
          </w:tcPr>
          <w:p>
            <w:pPr>
              <w:ind w:left="60"/>
              <w:spacing w:after="0" w:line="172" w:lineRule="exact"/>
              <w:rPr>
                <w:sz w:val="20"/>
                <w:szCs w:val="20"/>
                <w:color w:val="auto"/>
              </w:rPr>
            </w:pPr>
            <w:r>
              <w:rPr>
                <w:rFonts w:ascii="Times New Roman" w:cs="Times New Roman" w:eastAsia="Times New Roman" w:hAnsi="Times New Roman"/>
                <w:sz w:val="15"/>
                <w:szCs w:val="15"/>
                <w:color w:val="231F20"/>
              </w:rPr>
              <w:t>First-lien loan ($70,103 par, due</w:t>
            </w:r>
          </w:p>
        </w:tc>
        <w:tc>
          <w:tcPr>
            <w:tcW w:w="800" w:type="dxa"/>
            <w:vAlign w:val="bottom"/>
            <w:shd w:val="clear" w:color="auto" w:fill="FDFDFC"/>
          </w:tcPr>
          <w:p>
            <w:pPr>
              <w:jc w:val="right"/>
              <w:spacing w:after="0" w:line="172" w:lineRule="exact"/>
              <w:rPr>
                <w:sz w:val="20"/>
                <w:szCs w:val="20"/>
                <w:color w:val="auto"/>
              </w:rPr>
            </w:pPr>
            <w:r>
              <w:rPr>
                <w:rFonts w:ascii="Times New Roman" w:cs="Times New Roman" w:eastAsia="Times New Roman" w:hAnsi="Times New Roman"/>
                <w:sz w:val="15"/>
                <w:szCs w:val="15"/>
                <w:color w:val="231F20"/>
              </w:rPr>
              <w:t>6/30/2022</w:t>
            </w:r>
          </w:p>
        </w:tc>
        <w:tc>
          <w:tcPr>
            <w:tcW w:w="1020" w:type="dxa"/>
            <w:vAlign w:val="bottom"/>
            <w:shd w:val="clear" w:color="auto" w:fill="FDFDFC"/>
          </w:tcPr>
          <w:p>
            <w:pPr>
              <w:jc w:val="right"/>
              <w:ind w:right="64"/>
              <w:spacing w:after="0" w:line="172" w:lineRule="exact"/>
              <w:rPr>
                <w:sz w:val="20"/>
                <w:szCs w:val="20"/>
                <w:color w:val="auto"/>
              </w:rPr>
            </w:pPr>
            <w:r>
              <w:rPr>
                <w:rFonts w:ascii="Times New Roman" w:cs="Times New Roman" w:eastAsia="Times New Roman" w:hAnsi="Times New Roman"/>
                <w:sz w:val="15"/>
                <w:szCs w:val="15"/>
                <w:color w:val="231F20"/>
              </w:rPr>
              <w:t>SOFR +</w:t>
            </w:r>
          </w:p>
        </w:tc>
        <w:tc>
          <w:tcPr>
            <w:tcW w:w="1040" w:type="dxa"/>
            <w:vAlign w:val="bottom"/>
            <w:shd w:val="clear" w:color="auto" w:fill="FDFDFC"/>
          </w:tcPr>
          <w:p>
            <w:pPr>
              <w:jc w:val="right"/>
              <w:ind w:right="64"/>
              <w:spacing w:after="0" w:line="172" w:lineRule="exact"/>
              <w:rPr>
                <w:sz w:val="20"/>
                <w:szCs w:val="20"/>
                <w:color w:val="auto"/>
              </w:rPr>
            </w:pPr>
            <w:r>
              <w:rPr>
                <w:rFonts w:ascii="Times New Roman" w:cs="Times New Roman" w:eastAsia="Times New Roman" w:hAnsi="Times New Roman"/>
                <w:sz w:val="15"/>
                <w:szCs w:val="15"/>
                <w:color w:val="231F20"/>
              </w:rPr>
              <w:t>11.58%</w:t>
            </w:r>
          </w:p>
        </w:tc>
        <w:tc>
          <w:tcPr>
            <w:tcW w:w="1000" w:type="dxa"/>
            <w:vAlign w:val="bottom"/>
            <w:shd w:val="clear" w:color="auto" w:fill="FDFDFC"/>
          </w:tcPr>
          <w:p>
            <w:pPr>
              <w:jc w:val="right"/>
              <w:spacing w:after="0" w:line="172" w:lineRule="exact"/>
              <w:rPr>
                <w:sz w:val="20"/>
                <w:szCs w:val="20"/>
                <w:color w:val="auto"/>
              </w:rPr>
            </w:pPr>
            <w:r>
              <w:rPr>
                <w:rFonts w:ascii="Times New Roman" w:cs="Times New Roman" w:eastAsia="Times New Roman" w:hAnsi="Times New Roman"/>
                <w:sz w:val="15"/>
                <w:szCs w:val="15"/>
                <w:color w:val="231F20"/>
              </w:rPr>
              <w:t>68,543</w:t>
            </w:r>
          </w:p>
        </w:tc>
        <w:tc>
          <w:tcPr>
            <w:tcW w:w="1680" w:type="dxa"/>
            <w:vAlign w:val="bottom"/>
            <w:gridSpan w:val="2"/>
            <w:shd w:val="clear" w:color="auto" w:fill="FDFDFC"/>
          </w:tcPr>
          <w:p>
            <w:pPr>
              <w:jc w:val="right"/>
              <w:spacing w:after="0" w:line="172" w:lineRule="exact"/>
              <w:rPr>
                <w:sz w:val="20"/>
                <w:szCs w:val="20"/>
                <w:color w:val="auto"/>
              </w:rPr>
            </w:pPr>
            <w:r>
              <w:rPr>
                <w:rFonts w:ascii="Times New Roman" w:cs="Times New Roman" w:eastAsia="Times New Roman" w:hAnsi="Times New Roman"/>
                <w:sz w:val="15"/>
                <w:szCs w:val="15"/>
                <w:color w:val="231F20"/>
              </w:rPr>
              <w:t>69,928</w:t>
            </w:r>
          </w:p>
        </w:tc>
        <w:tc>
          <w:tcPr>
            <w:tcW w:w="960" w:type="dxa"/>
            <w:vAlign w:val="bottom"/>
            <w:gridSpan w:val="2"/>
            <w:shd w:val="clear" w:color="auto" w:fill="FDFDFC"/>
          </w:tcPr>
          <w:p>
            <w:pPr>
              <w:jc w:val="right"/>
              <w:spacing w:after="0" w:line="172" w:lineRule="exact"/>
              <w:rPr>
                <w:sz w:val="20"/>
                <w:szCs w:val="20"/>
                <w:color w:val="auto"/>
              </w:rPr>
            </w:pPr>
            <w:r>
              <w:rPr>
                <w:rFonts w:ascii="Times New Roman" w:cs="Times New Roman" w:eastAsia="Times New Roman" w:hAnsi="Times New Roman"/>
                <w:sz w:val="15"/>
                <w:szCs w:val="15"/>
                <w:color w:val="231F20"/>
              </w:rPr>
              <w:t>4.4%</w:t>
            </w:r>
          </w:p>
        </w:tc>
      </w:tr>
      <w:tr>
        <w:trPr>
          <w:trHeight w:val="189"/>
        </w:trPr>
        <w:tc>
          <w:tcPr>
            <w:tcW w:w="1580" w:type="dxa"/>
            <w:vAlign w:val="bottom"/>
            <w:shd w:val="clear" w:color="auto" w:fill="FDFDFC"/>
          </w:tcPr>
          <w:p>
            <w:pPr>
              <w:spacing w:after="0"/>
              <w:rPr>
                <w:sz w:val="16"/>
                <w:szCs w:val="16"/>
                <w:color w:val="auto"/>
              </w:rPr>
            </w:pPr>
          </w:p>
        </w:tc>
        <w:tc>
          <w:tcPr>
            <w:tcW w:w="2200" w:type="dxa"/>
            <w:vAlign w:val="bottom"/>
            <w:shd w:val="clear" w:color="auto" w:fill="FDFDFC"/>
          </w:tcPr>
          <w:p>
            <w:pPr>
              <w:ind w:left="60"/>
              <w:spacing w:after="0"/>
              <w:rPr>
                <w:sz w:val="20"/>
                <w:szCs w:val="20"/>
                <w:color w:val="auto"/>
              </w:rPr>
            </w:pPr>
            <w:r>
              <w:rPr>
                <w:rFonts w:ascii="Times New Roman" w:cs="Times New Roman" w:eastAsia="Times New Roman" w:hAnsi="Times New Roman"/>
                <w:sz w:val="15"/>
                <w:szCs w:val="15"/>
                <w:color w:val="231F20"/>
              </w:rPr>
              <w:t>6/2028)</w:t>
            </w:r>
          </w:p>
        </w:tc>
        <w:tc>
          <w:tcPr>
            <w:tcW w:w="800" w:type="dxa"/>
            <w:vAlign w:val="bottom"/>
            <w:shd w:val="clear" w:color="auto" w:fill="FDFDFC"/>
          </w:tcPr>
          <w:p>
            <w:pPr>
              <w:spacing w:after="0"/>
              <w:rPr>
                <w:sz w:val="16"/>
                <w:szCs w:val="16"/>
                <w:color w:val="auto"/>
              </w:rPr>
            </w:pPr>
          </w:p>
        </w:tc>
        <w:tc>
          <w:tcPr>
            <w:tcW w:w="1020" w:type="dxa"/>
            <w:vAlign w:val="bottom"/>
            <w:shd w:val="clear" w:color="auto" w:fill="FDFDFC"/>
          </w:tcPr>
          <w:p>
            <w:pPr>
              <w:jc w:val="right"/>
              <w:ind w:right="64"/>
              <w:spacing w:after="0"/>
              <w:rPr>
                <w:sz w:val="20"/>
                <w:szCs w:val="20"/>
                <w:color w:val="auto"/>
              </w:rPr>
            </w:pPr>
            <w:r>
              <w:rPr>
                <w:rFonts w:ascii="Times New Roman" w:cs="Times New Roman" w:eastAsia="Times New Roman" w:hAnsi="Times New Roman"/>
                <w:sz w:val="15"/>
                <w:szCs w:val="15"/>
                <w:color w:val="231F20"/>
              </w:rPr>
              <w:t>7.25%</w:t>
            </w:r>
          </w:p>
        </w:tc>
        <w:tc>
          <w:tcPr>
            <w:tcW w:w="1040" w:type="dxa"/>
            <w:vAlign w:val="bottom"/>
            <w:shd w:val="clear" w:color="auto" w:fill="FDFDFC"/>
          </w:tcPr>
          <w:p>
            <w:pPr>
              <w:spacing w:after="0"/>
              <w:rPr>
                <w:sz w:val="16"/>
                <w:szCs w:val="16"/>
                <w:color w:val="auto"/>
              </w:rPr>
            </w:pPr>
          </w:p>
        </w:tc>
        <w:tc>
          <w:tcPr>
            <w:tcW w:w="1000" w:type="dxa"/>
            <w:vAlign w:val="bottom"/>
            <w:shd w:val="clear" w:color="auto" w:fill="FDFDFC"/>
          </w:tcPr>
          <w:p>
            <w:pPr>
              <w:spacing w:after="0"/>
              <w:rPr>
                <w:sz w:val="16"/>
                <w:szCs w:val="16"/>
                <w:color w:val="auto"/>
              </w:rPr>
            </w:pPr>
          </w:p>
        </w:tc>
        <w:tc>
          <w:tcPr>
            <w:tcW w:w="80" w:type="dxa"/>
            <w:vAlign w:val="bottom"/>
            <w:shd w:val="clear" w:color="auto" w:fill="FDFDFC"/>
          </w:tcPr>
          <w:p>
            <w:pPr>
              <w:spacing w:after="0"/>
              <w:rPr>
                <w:sz w:val="16"/>
                <w:szCs w:val="16"/>
                <w:color w:val="auto"/>
              </w:rPr>
            </w:pPr>
          </w:p>
        </w:tc>
        <w:tc>
          <w:tcPr>
            <w:tcW w:w="1600" w:type="dxa"/>
            <w:vAlign w:val="bottom"/>
            <w:shd w:val="clear" w:color="auto" w:fill="FDFDFC"/>
          </w:tcPr>
          <w:p>
            <w:pPr>
              <w:spacing w:after="0"/>
              <w:rPr>
                <w:sz w:val="16"/>
                <w:szCs w:val="16"/>
                <w:color w:val="auto"/>
              </w:rPr>
            </w:pPr>
          </w:p>
        </w:tc>
        <w:tc>
          <w:tcPr>
            <w:tcW w:w="100" w:type="dxa"/>
            <w:vAlign w:val="bottom"/>
            <w:shd w:val="clear" w:color="auto" w:fill="FDFDFC"/>
          </w:tcPr>
          <w:p>
            <w:pPr>
              <w:spacing w:after="0"/>
              <w:rPr>
                <w:sz w:val="16"/>
                <w:szCs w:val="16"/>
                <w:color w:val="auto"/>
              </w:rPr>
            </w:pPr>
          </w:p>
        </w:tc>
        <w:tc>
          <w:tcPr>
            <w:tcW w:w="860" w:type="dxa"/>
            <w:vAlign w:val="bottom"/>
            <w:shd w:val="clear" w:color="auto" w:fill="FDFDFC"/>
          </w:tcPr>
          <w:p>
            <w:pPr>
              <w:spacing w:after="0"/>
              <w:rPr>
                <w:sz w:val="16"/>
                <w:szCs w:val="16"/>
                <w:color w:val="auto"/>
              </w:rPr>
            </w:pPr>
          </w:p>
        </w:tc>
      </w:tr>
      <w:tr>
        <w:trPr>
          <w:trHeight w:val="171"/>
        </w:trPr>
        <w:tc>
          <w:tcPr>
            <w:tcW w:w="1580" w:type="dxa"/>
            <w:vAlign w:val="bottom"/>
            <w:shd w:val="clear" w:color="auto" w:fill="D0EBF2"/>
          </w:tcPr>
          <w:p>
            <w:pPr>
              <w:spacing w:after="0" w:line="172" w:lineRule="exact"/>
              <w:rPr>
                <w:sz w:val="20"/>
                <w:szCs w:val="20"/>
                <w:color w:val="auto"/>
              </w:rPr>
            </w:pPr>
            <w:r>
              <w:rPr>
                <w:rFonts w:ascii="Times New Roman" w:cs="Times New Roman" w:eastAsia="Times New Roman" w:hAnsi="Times New Roman"/>
                <w:sz w:val="15"/>
                <w:szCs w:val="15"/>
                <w:color w:val="231F20"/>
              </w:rPr>
              <w:t>Raptor US Buyer II</w:t>
            </w:r>
          </w:p>
        </w:tc>
        <w:tc>
          <w:tcPr>
            <w:tcW w:w="2200" w:type="dxa"/>
            <w:vAlign w:val="bottom"/>
            <w:shd w:val="clear" w:color="auto" w:fill="D0EBF2"/>
          </w:tcPr>
          <w:p>
            <w:pPr>
              <w:ind w:left="60"/>
              <w:spacing w:after="0" w:line="172" w:lineRule="exact"/>
              <w:rPr>
                <w:sz w:val="20"/>
                <w:szCs w:val="20"/>
                <w:color w:val="auto"/>
              </w:rPr>
            </w:pPr>
            <w:r>
              <w:rPr>
                <w:rFonts w:ascii="Times New Roman" w:cs="Times New Roman" w:eastAsia="Times New Roman" w:hAnsi="Times New Roman"/>
                <w:sz w:val="15"/>
                <w:szCs w:val="15"/>
                <w:color w:val="231F20"/>
              </w:rPr>
              <w:t>First-lien loan ($18,133 par, due</w:t>
            </w:r>
          </w:p>
        </w:tc>
        <w:tc>
          <w:tcPr>
            <w:tcW w:w="800" w:type="dxa"/>
            <w:vAlign w:val="bottom"/>
            <w:shd w:val="clear" w:color="auto" w:fill="D0EBF2"/>
          </w:tcPr>
          <w:p>
            <w:pPr>
              <w:jc w:val="right"/>
              <w:spacing w:after="0" w:line="172" w:lineRule="exact"/>
              <w:rPr>
                <w:sz w:val="20"/>
                <w:szCs w:val="20"/>
                <w:color w:val="auto"/>
              </w:rPr>
            </w:pPr>
            <w:r>
              <w:rPr>
                <w:rFonts w:ascii="Times New Roman" w:cs="Times New Roman" w:eastAsia="Times New Roman" w:hAnsi="Times New Roman"/>
                <w:sz w:val="15"/>
                <w:szCs w:val="15"/>
                <w:color w:val="231F20"/>
              </w:rPr>
              <w:t>3/24/2023</w:t>
            </w:r>
          </w:p>
        </w:tc>
        <w:tc>
          <w:tcPr>
            <w:tcW w:w="1020" w:type="dxa"/>
            <w:vAlign w:val="bottom"/>
            <w:shd w:val="clear" w:color="auto" w:fill="D0EBF2"/>
          </w:tcPr>
          <w:p>
            <w:pPr>
              <w:jc w:val="right"/>
              <w:ind w:right="64"/>
              <w:spacing w:after="0" w:line="172" w:lineRule="exact"/>
              <w:rPr>
                <w:sz w:val="20"/>
                <w:szCs w:val="20"/>
                <w:color w:val="auto"/>
              </w:rPr>
            </w:pPr>
            <w:r>
              <w:rPr>
                <w:rFonts w:ascii="Times New Roman" w:cs="Times New Roman" w:eastAsia="Times New Roman" w:hAnsi="Times New Roman"/>
                <w:sz w:val="15"/>
                <w:szCs w:val="15"/>
                <w:color w:val="231F20"/>
              </w:rPr>
              <w:t>SOFR +</w:t>
            </w:r>
          </w:p>
        </w:tc>
        <w:tc>
          <w:tcPr>
            <w:tcW w:w="1040" w:type="dxa"/>
            <w:vAlign w:val="bottom"/>
            <w:shd w:val="clear" w:color="auto" w:fill="D0EBF2"/>
          </w:tcPr>
          <w:p>
            <w:pPr>
              <w:jc w:val="right"/>
              <w:ind w:right="64"/>
              <w:spacing w:after="0" w:line="172" w:lineRule="exact"/>
              <w:rPr>
                <w:sz w:val="20"/>
                <w:szCs w:val="20"/>
                <w:color w:val="auto"/>
              </w:rPr>
            </w:pPr>
            <w:r>
              <w:rPr>
                <w:rFonts w:ascii="Times New Roman" w:cs="Times New Roman" w:eastAsia="Times New Roman" w:hAnsi="Times New Roman"/>
                <w:sz w:val="15"/>
                <w:szCs w:val="15"/>
                <w:color w:val="231F20"/>
              </w:rPr>
              <w:t>10.61%</w:t>
            </w:r>
          </w:p>
        </w:tc>
        <w:tc>
          <w:tcPr>
            <w:tcW w:w="1000" w:type="dxa"/>
            <w:vAlign w:val="bottom"/>
            <w:shd w:val="clear" w:color="auto" w:fill="D0EBF2"/>
          </w:tcPr>
          <w:p>
            <w:pPr>
              <w:jc w:val="right"/>
              <w:spacing w:after="0" w:line="172" w:lineRule="exact"/>
              <w:rPr>
                <w:sz w:val="20"/>
                <w:szCs w:val="20"/>
                <w:color w:val="auto"/>
              </w:rPr>
            </w:pPr>
            <w:r>
              <w:rPr>
                <w:rFonts w:ascii="Times New Roman" w:cs="Times New Roman" w:eastAsia="Times New Roman" w:hAnsi="Times New Roman"/>
                <w:sz w:val="15"/>
                <w:szCs w:val="15"/>
                <w:color w:val="231F20"/>
              </w:rPr>
              <w:t>17,695</w:t>
            </w:r>
          </w:p>
        </w:tc>
        <w:tc>
          <w:tcPr>
            <w:tcW w:w="1680" w:type="dxa"/>
            <w:vAlign w:val="bottom"/>
            <w:gridSpan w:val="2"/>
            <w:shd w:val="clear" w:color="auto" w:fill="D0EBF2"/>
          </w:tcPr>
          <w:p>
            <w:pPr>
              <w:jc w:val="right"/>
              <w:spacing w:after="0" w:line="172" w:lineRule="exact"/>
              <w:rPr>
                <w:sz w:val="20"/>
                <w:szCs w:val="20"/>
                <w:color w:val="auto"/>
              </w:rPr>
            </w:pPr>
            <w:r>
              <w:rPr>
                <w:rFonts w:ascii="Times New Roman" w:cs="Times New Roman" w:eastAsia="Times New Roman" w:hAnsi="Times New Roman"/>
                <w:sz w:val="15"/>
                <w:szCs w:val="15"/>
                <w:color w:val="231F20"/>
              </w:rPr>
              <w:t>18,368</w:t>
            </w:r>
          </w:p>
        </w:tc>
        <w:tc>
          <w:tcPr>
            <w:tcW w:w="960" w:type="dxa"/>
            <w:vAlign w:val="bottom"/>
            <w:gridSpan w:val="2"/>
            <w:shd w:val="clear" w:color="auto" w:fill="D0EBF2"/>
          </w:tcPr>
          <w:p>
            <w:pPr>
              <w:jc w:val="right"/>
              <w:spacing w:after="0" w:line="172" w:lineRule="exact"/>
              <w:rPr>
                <w:sz w:val="20"/>
                <w:szCs w:val="20"/>
                <w:color w:val="auto"/>
              </w:rPr>
            </w:pPr>
            <w:r>
              <w:rPr>
                <w:rFonts w:ascii="Times New Roman" w:cs="Times New Roman" w:eastAsia="Times New Roman" w:hAnsi="Times New Roman"/>
                <w:sz w:val="15"/>
                <w:szCs w:val="15"/>
                <w:color w:val="231F20"/>
              </w:rPr>
              <w:t>1.1%</w:t>
            </w:r>
          </w:p>
        </w:tc>
      </w:tr>
      <w:tr>
        <w:trPr>
          <w:trHeight w:val="189"/>
        </w:trPr>
        <w:tc>
          <w:tcPr>
            <w:tcW w:w="1580" w:type="dxa"/>
            <w:vAlign w:val="bottom"/>
            <w:shd w:val="clear" w:color="auto" w:fill="D0EBF2"/>
          </w:tcPr>
          <w:p>
            <w:pPr>
              <w:spacing w:after="0" w:line="190" w:lineRule="exact"/>
              <w:rPr>
                <w:sz w:val="20"/>
                <w:szCs w:val="20"/>
                <w:color w:val="auto"/>
              </w:rPr>
            </w:pPr>
            <w:r>
              <w:rPr>
                <w:rFonts w:ascii="Times New Roman" w:cs="Times New Roman" w:eastAsia="Times New Roman" w:hAnsi="Times New Roman"/>
                <w:sz w:val="21"/>
                <w:szCs w:val="21"/>
                <w:color w:val="231F20"/>
                <w:vertAlign w:val="subscript"/>
              </w:rPr>
              <w:t>Corp.</w:t>
            </w:r>
            <w:r>
              <w:rPr>
                <w:rFonts w:ascii="Times New Roman" w:cs="Times New Roman" w:eastAsia="Times New Roman" w:hAnsi="Times New Roman"/>
                <w:sz w:val="8"/>
                <w:szCs w:val="8"/>
                <w:color w:val="231F20"/>
              </w:rPr>
              <w:t xml:space="preserve"> (3)(5)</w:t>
            </w:r>
          </w:p>
        </w:tc>
        <w:tc>
          <w:tcPr>
            <w:tcW w:w="2200" w:type="dxa"/>
            <w:vAlign w:val="bottom"/>
            <w:shd w:val="clear" w:color="auto" w:fill="D0EBF2"/>
          </w:tcPr>
          <w:p>
            <w:pPr>
              <w:ind w:left="60"/>
              <w:spacing w:after="0"/>
              <w:rPr>
                <w:sz w:val="20"/>
                <w:szCs w:val="20"/>
                <w:color w:val="auto"/>
              </w:rPr>
            </w:pPr>
            <w:r>
              <w:rPr>
                <w:rFonts w:ascii="Times New Roman" w:cs="Times New Roman" w:eastAsia="Times New Roman" w:hAnsi="Times New Roman"/>
                <w:sz w:val="15"/>
                <w:szCs w:val="15"/>
                <w:color w:val="231F20"/>
              </w:rPr>
              <w:t>3/2029)</w:t>
            </w:r>
          </w:p>
        </w:tc>
        <w:tc>
          <w:tcPr>
            <w:tcW w:w="800" w:type="dxa"/>
            <w:vAlign w:val="bottom"/>
            <w:shd w:val="clear" w:color="auto" w:fill="D0EBF2"/>
          </w:tcPr>
          <w:p>
            <w:pPr>
              <w:spacing w:after="0"/>
              <w:rPr>
                <w:sz w:val="16"/>
                <w:szCs w:val="16"/>
                <w:color w:val="auto"/>
              </w:rPr>
            </w:pPr>
          </w:p>
        </w:tc>
        <w:tc>
          <w:tcPr>
            <w:tcW w:w="1020" w:type="dxa"/>
            <w:vAlign w:val="bottom"/>
            <w:shd w:val="clear" w:color="auto" w:fill="D0EBF2"/>
          </w:tcPr>
          <w:p>
            <w:pPr>
              <w:jc w:val="right"/>
              <w:ind w:right="64"/>
              <w:spacing w:after="0"/>
              <w:rPr>
                <w:sz w:val="20"/>
                <w:szCs w:val="20"/>
                <w:color w:val="auto"/>
              </w:rPr>
            </w:pPr>
            <w:r>
              <w:rPr>
                <w:rFonts w:ascii="Times New Roman" w:cs="Times New Roman" w:eastAsia="Times New Roman" w:hAnsi="Times New Roman"/>
                <w:sz w:val="15"/>
                <w:szCs w:val="15"/>
                <w:color w:val="231F20"/>
              </w:rPr>
              <w:t>6.25%</w:t>
            </w:r>
          </w:p>
        </w:tc>
        <w:tc>
          <w:tcPr>
            <w:tcW w:w="1040" w:type="dxa"/>
            <w:vAlign w:val="bottom"/>
            <w:shd w:val="clear" w:color="auto" w:fill="D0EBF2"/>
          </w:tcPr>
          <w:p>
            <w:pPr>
              <w:spacing w:after="0"/>
              <w:rPr>
                <w:sz w:val="16"/>
                <w:szCs w:val="16"/>
                <w:color w:val="auto"/>
              </w:rPr>
            </w:pPr>
          </w:p>
        </w:tc>
        <w:tc>
          <w:tcPr>
            <w:tcW w:w="1000" w:type="dxa"/>
            <w:vAlign w:val="bottom"/>
            <w:shd w:val="clear" w:color="auto" w:fill="D0EBF2"/>
          </w:tcPr>
          <w:p>
            <w:pPr>
              <w:spacing w:after="0"/>
              <w:rPr>
                <w:sz w:val="16"/>
                <w:szCs w:val="16"/>
                <w:color w:val="auto"/>
              </w:rPr>
            </w:pPr>
          </w:p>
        </w:tc>
        <w:tc>
          <w:tcPr>
            <w:tcW w:w="80" w:type="dxa"/>
            <w:vAlign w:val="bottom"/>
            <w:shd w:val="clear" w:color="auto" w:fill="D0EBF2"/>
          </w:tcPr>
          <w:p>
            <w:pPr>
              <w:spacing w:after="0"/>
              <w:rPr>
                <w:sz w:val="16"/>
                <w:szCs w:val="16"/>
                <w:color w:val="auto"/>
              </w:rPr>
            </w:pPr>
          </w:p>
        </w:tc>
        <w:tc>
          <w:tcPr>
            <w:tcW w:w="1600" w:type="dxa"/>
            <w:vAlign w:val="bottom"/>
            <w:shd w:val="clear" w:color="auto" w:fill="D0EBF2"/>
          </w:tcPr>
          <w:p>
            <w:pPr>
              <w:spacing w:after="0"/>
              <w:rPr>
                <w:sz w:val="16"/>
                <w:szCs w:val="16"/>
                <w:color w:val="auto"/>
              </w:rPr>
            </w:pPr>
          </w:p>
        </w:tc>
        <w:tc>
          <w:tcPr>
            <w:tcW w:w="100" w:type="dxa"/>
            <w:vAlign w:val="bottom"/>
            <w:shd w:val="clear" w:color="auto" w:fill="D0EBF2"/>
          </w:tcPr>
          <w:p>
            <w:pPr>
              <w:spacing w:after="0"/>
              <w:rPr>
                <w:sz w:val="16"/>
                <w:szCs w:val="16"/>
                <w:color w:val="auto"/>
              </w:rPr>
            </w:pPr>
          </w:p>
        </w:tc>
        <w:tc>
          <w:tcPr>
            <w:tcW w:w="860" w:type="dxa"/>
            <w:vAlign w:val="bottom"/>
            <w:shd w:val="clear" w:color="auto" w:fill="D0EBF2"/>
          </w:tcPr>
          <w:p>
            <w:pPr>
              <w:spacing w:after="0"/>
              <w:rPr>
                <w:sz w:val="16"/>
                <w:szCs w:val="16"/>
                <w:color w:val="auto"/>
              </w:rPr>
            </w:pPr>
          </w:p>
        </w:tc>
      </w:tr>
      <w:tr>
        <w:trPr>
          <w:trHeight w:val="171"/>
        </w:trPr>
        <w:tc>
          <w:tcPr>
            <w:tcW w:w="1580" w:type="dxa"/>
            <w:vAlign w:val="bottom"/>
            <w:shd w:val="clear" w:color="auto" w:fill="FDFDFC"/>
          </w:tcPr>
          <w:p>
            <w:pPr>
              <w:spacing w:after="0" w:line="172" w:lineRule="exact"/>
              <w:rPr>
                <w:sz w:val="20"/>
                <w:szCs w:val="20"/>
                <w:color w:val="auto"/>
              </w:rPr>
            </w:pPr>
            <w:r>
              <w:rPr>
                <w:rFonts w:ascii="Times New Roman" w:cs="Times New Roman" w:eastAsia="Times New Roman" w:hAnsi="Times New Roman"/>
                <w:sz w:val="15"/>
                <w:szCs w:val="15"/>
                <w:color w:val="231F20"/>
              </w:rPr>
              <w:t xml:space="preserve">SL Buyer Corp. </w:t>
            </w:r>
            <w:r>
              <w:rPr>
                <w:rFonts w:ascii="Times New Roman" w:cs="Times New Roman" w:eastAsia="Times New Roman" w:hAnsi="Times New Roman"/>
                <w:sz w:val="9"/>
                <w:szCs w:val="9"/>
                <w:color w:val="231F20"/>
              </w:rPr>
              <w:t>(3)(5)</w:t>
            </w:r>
          </w:p>
        </w:tc>
        <w:tc>
          <w:tcPr>
            <w:tcW w:w="2200" w:type="dxa"/>
            <w:vAlign w:val="bottom"/>
            <w:shd w:val="clear" w:color="auto" w:fill="FDFDFC"/>
          </w:tcPr>
          <w:p>
            <w:pPr>
              <w:ind w:left="60"/>
              <w:spacing w:after="0" w:line="172" w:lineRule="exact"/>
              <w:rPr>
                <w:sz w:val="20"/>
                <w:szCs w:val="20"/>
                <w:color w:val="auto"/>
              </w:rPr>
            </w:pPr>
            <w:r>
              <w:rPr>
                <w:rFonts w:ascii="Times New Roman" w:cs="Times New Roman" w:eastAsia="Times New Roman" w:hAnsi="Times New Roman"/>
                <w:sz w:val="15"/>
                <w:szCs w:val="15"/>
                <w:color w:val="231F20"/>
              </w:rPr>
              <w:t>First-lien loan ($33,416 par, due</w:t>
            </w:r>
          </w:p>
        </w:tc>
        <w:tc>
          <w:tcPr>
            <w:tcW w:w="800" w:type="dxa"/>
            <w:vAlign w:val="bottom"/>
            <w:shd w:val="clear" w:color="auto" w:fill="FDFDFC"/>
          </w:tcPr>
          <w:p>
            <w:pPr>
              <w:jc w:val="right"/>
              <w:spacing w:after="0" w:line="172" w:lineRule="exact"/>
              <w:rPr>
                <w:sz w:val="20"/>
                <w:szCs w:val="20"/>
                <w:color w:val="auto"/>
              </w:rPr>
            </w:pPr>
            <w:r>
              <w:rPr>
                <w:rFonts w:ascii="Times New Roman" w:cs="Times New Roman" w:eastAsia="Times New Roman" w:hAnsi="Times New Roman"/>
                <w:sz w:val="15"/>
                <w:szCs w:val="15"/>
                <w:color w:val="231F20"/>
              </w:rPr>
              <w:t>7/7/2023</w:t>
            </w:r>
          </w:p>
        </w:tc>
        <w:tc>
          <w:tcPr>
            <w:tcW w:w="1020" w:type="dxa"/>
            <w:vAlign w:val="bottom"/>
            <w:shd w:val="clear" w:color="auto" w:fill="FDFDFC"/>
          </w:tcPr>
          <w:p>
            <w:pPr>
              <w:jc w:val="right"/>
              <w:ind w:right="64"/>
              <w:spacing w:after="0" w:line="172" w:lineRule="exact"/>
              <w:rPr>
                <w:sz w:val="20"/>
                <w:szCs w:val="20"/>
                <w:color w:val="auto"/>
              </w:rPr>
            </w:pPr>
            <w:r>
              <w:rPr>
                <w:rFonts w:ascii="Times New Roman" w:cs="Times New Roman" w:eastAsia="Times New Roman" w:hAnsi="Times New Roman"/>
                <w:sz w:val="15"/>
                <w:szCs w:val="15"/>
                <w:color w:val="231F20"/>
              </w:rPr>
              <w:t>SOFR +</w:t>
            </w:r>
          </w:p>
        </w:tc>
        <w:tc>
          <w:tcPr>
            <w:tcW w:w="1040" w:type="dxa"/>
            <w:vAlign w:val="bottom"/>
            <w:shd w:val="clear" w:color="auto" w:fill="FDFDFC"/>
          </w:tcPr>
          <w:p>
            <w:pPr>
              <w:jc w:val="right"/>
              <w:ind w:right="64"/>
              <w:spacing w:after="0" w:line="172" w:lineRule="exact"/>
              <w:rPr>
                <w:sz w:val="20"/>
                <w:szCs w:val="20"/>
                <w:color w:val="auto"/>
              </w:rPr>
            </w:pPr>
            <w:r>
              <w:rPr>
                <w:rFonts w:ascii="Times New Roman" w:cs="Times New Roman" w:eastAsia="Times New Roman" w:hAnsi="Times New Roman"/>
                <w:sz w:val="15"/>
                <w:szCs w:val="15"/>
                <w:color w:val="231F20"/>
              </w:rPr>
              <w:t>12.34%</w:t>
            </w:r>
          </w:p>
        </w:tc>
        <w:tc>
          <w:tcPr>
            <w:tcW w:w="1000" w:type="dxa"/>
            <w:vAlign w:val="bottom"/>
            <w:shd w:val="clear" w:color="auto" w:fill="FDFDFC"/>
          </w:tcPr>
          <w:p>
            <w:pPr>
              <w:jc w:val="right"/>
              <w:spacing w:after="0" w:line="172" w:lineRule="exact"/>
              <w:rPr>
                <w:sz w:val="20"/>
                <w:szCs w:val="20"/>
                <w:color w:val="auto"/>
              </w:rPr>
            </w:pPr>
            <w:r>
              <w:rPr>
                <w:rFonts w:ascii="Times New Roman" w:cs="Times New Roman" w:eastAsia="Times New Roman" w:hAnsi="Times New Roman"/>
                <w:sz w:val="15"/>
                <w:szCs w:val="15"/>
                <w:color w:val="231F20"/>
              </w:rPr>
              <w:t>32,264</w:t>
            </w:r>
          </w:p>
        </w:tc>
        <w:tc>
          <w:tcPr>
            <w:tcW w:w="1680" w:type="dxa"/>
            <w:vAlign w:val="bottom"/>
            <w:gridSpan w:val="2"/>
            <w:shd w:val="clear" w:color="auto" w:fill="FDFDFC"/>
          </w:tcPr>
          <w:p>
            <w:pPr>
              <w:jc w:val="right"/>
              <w:spacing w:after="0" w:line="172" w:lineRule="exact"/>
              <w:rPr>
                <w:sz w:val="20"/>
                <w:szCs w:val="20"/>
                <w:color w:val="auto"/>
              </w:rPr>
            </w:pPr>
            <w:r>
              <w:rPr>
                <w:rFonts w:ascii="Times New Roman" w:cs="Times New Roman" w:eastAsia="Times New Roman" w:hAnsi="Times New Roman"/>
                <w:sz w:val="15"/>
                <w:szCs w:val="15"/>
                <w:color w:val="231F20"/>
              </w:rPr>
              <w:t>33,215</w:t>
            </w:r>
          </w:p>
        </w:tc>
        <w:tc>
          <w:tcPr>
            <w:tcW w:w="960" w:type="dxa"/>
            <w:vAlign w:val="bottom"/>
            <w:gridSpan w:val="2"/>
            <w:shd w:val="clear" w:color="auto" w:fill="FDFDFC"/>
          </w:tcPr>
          <w:p>
            <w:pPr>
              <w:jc w:val="right"/>
              <w:spacing w:after="0" w:line="172" w:lineRule="exact"/>
              <w:rPr>
                <w:sz w:val="20"/>
                <w:szCs w:val="20"/>
                <w:color w:val="auto"/>
              </w:rPr>
            </w:pPr>
            <w:r>
              <w:rPr>
                <w:rFonts w:ascii="Times New Roman" w:cs="Times New Roman" w:eastAsia="Times New Roman" w:hAnsi="Times New Roman"/>
                <w:sz w:val="15"/>
                <w:szCs w:val="15"/>
                <w:color w:val="231F20"/>
              </w:rPr>
              <w:t>2.1%</w:t>
            </w:r>
          </w:p>
        </w:tc>
      </w:tr>
      <w:tr>
        <w:trPr>
          <w:trHeight w:val="189"/>
        </w:trPr>
        <w:tc>
          <w:tcPr>
            <w:tcW w:w="1580" w:type="dxa"/>
            <w:vAlign w:val="bottom"/>
            <w:tcBorders>
              <w:bottom w:val="single" w:sz="8" w:color="D0EBF2"/>
            </w:tcBorders>
            <w:shd w:val="clear" w:color="auto" w:fill="FDFDFC"/>
          </w:tcPr>
          <w:p>
            <w:pPr>
              <w:spacing w:after="0"/>
              <w:rPr>
                <w:sz w:val="16"/>
                <w:szCs w:val="16"/>
                <w:color w:val="auto"/>
              </w:rPr>
            </w:pPr>
          </w:p>
        </w:tc>
        <w:tc>
          <w:tcPr>
            <w:tcW w:w="2200" w:type="dxa"/>
            <w:vAlign w:val="bottom"/>
            <w:tcBorders>
              <w:bottom w:val="single" w:sz="8" w:color="D0EBF2"/>
            </w:tcBorders>
            <w:shd w:val="clear" w:color="auto" w:fill="FDFDFC"/>
          </w:tcPr>
          <w:p>
            <w:pPr>
              <w:ind w:left="60"/>
              <w:spacing w:after="0"/>
              <w:rPr>
                <w:sz w:val="20"/>
                <w:szCs w:val="20"/>
                <w:color w:val="auto"/>
              </w:rPr>
            </w:pPr>
            <w:r>
              <w:rPr>
                <w:rFonts w:ascii="Times New Roman" w:cs="Times New Roman" w:eastAsia="Times New Roman" w:hAnsi="Times New Roman"/>
                <w:sz w:val="15"/>
                <w:szCs w:val="15"/>
                <w:color w:val="231F20"/>
              </w:rPr>
              <w:t>7/2029)</w:t>
            </w:r>
          </w:p>
        </w:tc>
        <w:tc>
          <w:tcPr>
            <w:tcW w:w="800" w:type="dxa"/>
            <w:vAlign w:val="bottom"/>
            <w:tcBorders>
              <w:bottom w:val="single" w:sz="8" w:color="D0EBF2"/>
            </w:tcBorders>
            <w:shd w:val="clear" w:color="auto" w:fill="FDFDFC"/>
          </w:tcPr>
          <w:p>
            <w:pPr>
              <w:spacing w:after="0"/>
              <w:rPr>
                <w:sz w:val="16"/>
                <w:szCs w:val="16"/>
                <w:color w:val="auto"/>
              </w:rPr>
            </w:pPr>
          </w:p>
        </w:tc>
        <w:tc>
          <w:tcPr>
            <w:tcW w:w="1020" w:type="dxa"/>
            <w:vAlign w:val="bottom"/>
            <w:tcBorders>
              <w:bottom w:val="single" w:sz="8" w:color="D0EBF2"/>
            </w:tcBorders>
            <w:shd w:val="clear" w:color="auto" w:fill="FDFDFC"/>
          </w:tcPr>
          <w:p>
            <w:pPr>
              <w:jc w:val="right"/>
              <w:ind w:right="64"/>
              <w:spacing w:after="0"/>
              <w:rPr>
                <w:sz w:val="20"/>
                <w:szCs w:val="20"/>
                <w:color w:val="auto"/>
              </w:rPr>
            </w:pPr>
            <w:r>
              <w:rPr>
                <w:rFonts w:ascii="Times New Roman" w:cs="Times New Roman" w:eastAsia="Times New Roman" w:hAnsi="Times New Roman"/>
                <w:sz w:val="15"/>
                <w:szCs w:val="15"/>
                <w:color w:val="231F20"/>
              </w:rPr>
              <w:t>7.75%</w:t>
            </w:r>
          </w:p>
        </w:tc>
        <w:tc>
          <w:tcPr>
            <w:tcW w:w="1040" w:type="dxa"/>
            <w:vAlign w:val="bottom"/>
            <w:tcBorders>
              <w:bottom w:val="single" w:sz="8" w:color="D0EBF2"/>
            </w:tcBorders>
            <w:shd w:val="clear" w:color="auto" w:fill="FDFDFC"/>
          </w:tcPr>
          <w:p>
            <w:pPr>
              <w:spacing w:after="0"/>
              <w:rPr>
                <w:sz w:val="16"/>
                <w:szCs w:val="16"/>
                <w:color w:val="auto"/>
              </w:rPr>
            </w:pPr>
          </w:p>
        </w:tc>
        <w:tc>
          <w:tcPr>
            <w:tcW w:w="1000" w:type="dxa"/>
            <w:vAlign w:val="bottom"/>
            <w:tcBorders>
              <w:bottom w:val="single" w:sz="8" w:color="231F20"/>
            </w:tcBorders>
            <w:shd w:val="clear" w:color="auto" w:fill="FDFDFC"/>
          </w:tcPr>
          <w:p>
            <w:pPr>
              <w:spacing w:after="0"/>
              <w:rPr>
                <w:sz w:val="16"/>
                <w:szCs w:val="16"/>
                <w:color w:val="auto"/>
              </w:rPr>
            </w:pPr>
          </w:p>
        </w:tc>
        <w:tc>
          <w:tcPr>
            <w:tcW w:w="80" w:type="dxa"/>
            <w:vAlign w:val="bottom"/>
            <w:tcBorders>
              <w:bottom w:val="single" w:sz="8" w:color="D0EBF2"/>
            </w:tcBorders>
            <w:shd w:val="clear" w:color="auto" w:fill="FDFDFC"/>
          </w:tcPr>
          <w:p>
            <w:pPr>
              <w:spacing w:after="0"/>
              <w:rPr>
                <w:sz w:val="16"/>
                <w:szCs w:val="16"/>
                <w:color w:val="auto"/>
              </w:rPr>
            </w:pPr>
          </w:p>
        </w:tc>
        <w:tc>
          <w:tcPr>
            <w:tcW w:w="1600" w:type="dxa"/>
            <w:vAlign w:val="bottom"/>
            <w:tcBorders>
              <w:bottom w:val="single" w:sz="8" w:color="231F20"/>
            </w:tcBorders>
            <w:shd w:val="clear" w:color="auto" w:fill="FDFDFC"/>
          </w:tcPr>
          <w:p>
            <w:pPr>
              <w:spacing w:after="0"/>
              <w:rPr>
                <w:sz w:val="16"/>
                <w:szCs w:val="16"/>
                <w:color w:val="auto"/>
              </w:rPr>
            </w:pPr>
          </w:p>
        </w:tc>
        <w:tc>
          <w:tcPr>
            <w:tcW w:w="100" w:type="dxa"/>
            <w:vAlign w:val="bottom"/>
            <w:tcBorders>
              <w:bottom w:val="single" w:sz="8" w:color="D0EBF2"/>
            </w:tcBorders>
            <w:shd w:val="clear" w:color="auto" w:fill="FDFDFC"/>
          </w:tcPr>
          <w:p>
            <w:pPr>
              <w:spacing w:after="0"/>
              <w:rPr>
                <w:sz w:val="16"/>
                <w:szCs w:val="16"/>
                <w:color w:val="auto"/>
              </w:rPr>
            </w:pPr>
          </w:p>
        </w:tc>
        <w:tc>
          <w:tcPr>
            <w:tcW w:w="860" w:type="dxa"/>
            <w:vAlign w:val="bottom"/>
            <w:tcBorders>
              <w:bottom w:val="single" w:sz="8" w:color="231F20"/>
            </w:tcBorders>
            <w:shd w:val="clear" w:color="auto" w:fill="FDFDFC"/>
          </w:tcPr>
          <w:p>
            <w:pPr>
              <w:spacing w:after="0"/>
              <w:rPr>
                <w:sz w:val="16"/>
                <w:szCs w:val="16"/>
                <w:color w:val="auto"/>
              </w:rPr>
            </w:pPr>
          </w:p>
        </w:tc>
      </w:tr>
      <w:tr>
        <w:trPr>
          <w:trHeight w:val="176"/>
        </w:trPr>
        <w:tc>
          <w:tcPr>
            <w:tcW w:w="1580" w:type="dxa"/>
            <w:vAlign w:val="bottom"/>
            <w:tcBorders>
              <w:bottom w:val="single" w:sz="8" w:color="FDFDFC"/>
            </w:tcBorders>
            <w:shd w:val="clear" w:color="auto" w:fill="D0EBF2"/>
          </w:tcPr>
          <w:p>
            <w:pPr>
              <w:spacing w:after="0"/>
              <w:rPr>
                <w:sz w:val="15"/>
                <w:szCs w:val="15"/>
                <w:color w:val="auto"/>
              </w:rPr>
            </w:pPr>
          </w:p>
        </w:tc>
        <w:tc>
          <w:tcPr>
            <w:tcW w:w="2200" w:type="dxa"/>
            <w:vAlign w:val="bottom"/>
            <w:tcBorders>
              <w:bottom w:val="single" w:sz="8" w:color="FDFDFC"/>
            </w:tcBorders>
            <w:shd w:val="clear" w:color="auto" w:fill="D0EBF2"/>
          </w:tcPr>
          <w:p>
            <w:pPr>
              <w:spacing w:after="0"/>
              <w:rPr>
                <w:sz w:val="15"/>
                <w:szCs w:val="15"/>
                <w:color w:val="auto"/>
              </w:rPr>
            </w:pPr>
          </w:p>
        </w:tc>
        <w:tc>
          <w:tcPr>
            <w:tcW w:w="800" w:type="dxa"/>
            <w:vAlign w:val="bottom"/>
            <w:tcBorders>
              <w:bottom w:val="single" w:sz="8" w:color="FDFDFC"/>
            </w:tcBorders>
            <w:shd w:val="clear" w:color="auto" w:fill="D0EBF2"/>
          </w:tcPr>
          <w:p>
            <w:pPr>
              <w:spacing w:after="0"/>
              <w:rPr>
                <w:sz w:val="15"/>
                <w:szCs w:val="15"/>
                <w:color w:val="auto"/>
              </w:rPr>
            </w:pPr>
          </w:p>
        </w:tc>
        <w:tc>
          <w:tcPr>
            <w:tcW w:w="1020" w:type="dxa"/>
            <w:vAlign w:val="bottom"/>
            <w:tcBorders>
              <w:bottom w:val="single" w:sz="8" w:color="FDFDFC"/>
            </w:tcBorders>
            <w:shd w:val="clear" w:color="auto" w:fill="D0EBF2"/>
          </w:tcPr>
          <w:p>
            <w:pPr>
              <w:spacing w:after="0"/>
              <w:rPr>
                <w:sz w:val="15"/>
                <w:szCs w:val="15"/>
                <w:color w:val="auto"/>
              </w:rPr>
            </w:pPr>
          </w:p>
        </w:tc>
        <w:tc>
          <w:tcPr>
            <w:tcW w:w="1040" w:type="dxa"/>
            <w:vAlign w:val="bottom"/>
            <w:tcBorders>
              <w:bottom w:val="single" w:sz="8" w:color="FDFDFC"/>
            </w:tcBorders>
            <w:shd w:val="clear" w:color="auto" w:fill="D0EBF2"/>
          </w:tcPr>
          <w:p>
            <w:pPr>
              <w:spacing w:after="0"/>
              <w:rPr>
                <w:sz w:val="15"/>
                <w:szCs w:val="15"/>
                <w:color w:val="auto"/>
              </w:rPr>
            </w:pPr>
          </w:p>
        </w:tc>
        <w:tc>
          <w:tcPr>
            <w:tcW w:w="1000" w:type="dxa"/>
            <w:vAlign w:val="bottom"/>
            <w:tcBorders>
              <w:bottom w:val="single" w:sz="8" w:color="231F20"/>
            </w:tcBorders>
            <w:shd w:val="clear" w:color="auto" w:fill="D0EBF2"/>
          </w:tcPr>
          <w:p>
            <w:pPr>
              <w:jc w:val="right"/>
              <w:spacing w:after="0"/>
              <w:rPr>
                <w:sz w:val="20"/>
                <w:szCs w:val="20"/>
                <w:color w:val="auto"/>
              </w:rPr>
            </w:pPr>
            <w:r>
              <w:rPr>
                <w:rFonts w:ascii="Times New Roman" w:cs="Times New Roman" w:eastAsia="Times New Roman" w:hAnsi="Times New Roman"/>
                <w:sz w:val="15"/>
                <w:szCs w:val="15"/>
                <w:color w:val="231F20"/>
              </w:rPr>
              <w:t>226,581</w:t>
            </w:r>
          </w:p>
        </w:tc>
        <w:tc>
          <w:tcPr>
            <w:tcW w:w="80" w:type="dxa"/>
            <w:vAlign w:val="bottom"/>
            <w:tcBorders>
              <w:bottom w:val="single" w:sz="8" w:color="FDFDFC"/>
            </w:tcBorders>
            <w:shd w:val="clear" w:color="auto" w:fill="D0EBF2"/>
          </w:tcPr>
          <w:p>
            <w:pPr>
              <w:spacing w:after="0"/>
              <w:rPr>
                <w:sz w:val="15"/>
                <w:szCs w:val="15"/>
                <w:color w:val="auto"/>
              </w:rPr>
            </w:pPr>
          </w:p>
        </w:tc>
        <w:tc>
          <w:tcPr>
            <w:tcW w:w="1600" w:type="dxa"/>
            <w:vAlign w:val="bottom"/>
            <w:tcBorders>
              <w:bottom w:val="single" w:sz="8" w:color="231F20"/>
            </w:tcBorders>
            <w:shd w:val="clear" w:color="auto" w:fill="D0EBF2"/>
          </w:tcPr>
          <w:p>
            <w:pPr>
              <w:jc w:val="right"/>
              <w:spacing w:after="0"/>
              <w:rPr>
                <w:sz w:val="20"/>
                <w:szCs w:val="20"/>
                <w:color w:val="auto"/>
              </w:rPr>
            </w:pPr>
            <w:r>
              <w:rPr>
                <w:rFonts w:ascii="Times New Roman" w:cs="Times New Roman" w:eastAsia="Times New Roman" w:hAnsi="Times New Roman"/>
                <w:sz w:val="15"/>
                <w:szCs w:val="15"/>
                <w:color w:val="231F20"/>
              </w:rPr>
              <w:t>231,751</w:t>
            </w:r>
          </w:p>
        </w:tc>
        <w:tc>
          <w:tcPr>
            <w:tcW w:w="100" w:type="dxa"/>
            <w:vAlign w:val="bottom"/>
            <w:tcBorders>
              <w:bottom w:val="single" w:sz="8" w:color="FDFDFC"/>
            </w:tcBorders>
            <w:shd w:val="clear" w:color="auto" w:fill="D0EBF2"/>
          </w:tcPr>
          <w:p>
            <w:pPr>
              <w:spacing w:after="0"/>
              <w:rPr>
                <w:sz w:val="15"/>
                <w:szCs w:val="15"/>
                <w:color w:val="auto"/>
              </w:rPr>
            </w:pPr>
          </w:p>
        </w:tc>
        <w:tc>
          <w:tcPr>
            <w:tcW w:w="860" w:type="dxa"/>
            <w:vAlign w:val="bottom"/>
            <w:tcBorders>
              <w:bottom w:val="single" w:sz="8" w:color="231F20"/>
            </w:tcBorders>
            <w:shd w:val="clear" w:color="auto" w:fill="D0EBF2"/>
          </w:tcPr>
          <w:p>
            <w:pPr>
              <w:jc w:val="right"/>
              <w:spacing w:after="0"/>
              <w:rPr>
                <w:sz w:val="20"/>
                <w:szCs w:val="20"/>
                <w:color w:val="auto"/>
              </w:rPr>
            </w:pPr>
            <w:r>
              <w:rPr>
                <w:rFonts w:ascii="Times New Roman" w:cs="Times New Roman" w:eastAsia="Times New Roman" w:hAnsi="Times New Roman"/>
                <w:sz w:val="15"/>
                <w:szCs w:val="15"/>
                <w:color w:val="231F20"/>
              </w:rPr>
              <w:t>14.4%</w:t>
            </w:r>
          </w:p>
        </w:tc>
      </w:tr>
      <w:tr>
        <w:trPr>
          <w:trHeight w:val="159"/>
        </w:trPr>
        <w:tc>
          <w:tcPr>
            <w:tcW w:w="1580" w:type="dxa"/>
            <w:vAlign w:val="bottom"/>
            <w:shd w:val="clear" w:color="auto" w:fill="FDFDFC"/>
          </w:tcPr>
          <w:p>
            <w:pPr>
              <w:spacing w:after="0" w:line="159" w:lineRule="exact"/>
              <w:rPr>
                <w:sz w:val="20"/>
                <w:szCs w:val="20"/>
                <w:color w:val="auto"/>
              </w:rPr>
            </w:pPr>
            <w:r>
              <w:rPr>
                <w:rFonts w:ascii="Times New Roman" w:cs="Times New Roman" w:eastAsia="Times New Roman" w:hAnsi="Times New Roman"/>
                <w:sz w:val="15"/>
                <w:szCs w:val="15"/>
                <w:b w:val="1"/>
                <w:bCs w:val="1"/>
                <w:color w:val="231F20"/>
              </w:rPr>
              <w:t>Hotel, Gaming and</w:t>
            </w:r>
          </w:p>
        </w:tc>
        <w:tc>
          <w:tcPr>
            <w:tcW w:w="2200" w:type="dxa"/>
            <w:vAlign w:val="bottom"/>
            <w:shd w:val="clear" w:color="auto" w:fill="FDFDFC"/>
          </w:tcPr>
          <w:p>
            <w:pPr>
              <w:spacing w:after="0"/>
              <w:rPr>
                <w:sz w:val="13"/>
                <w:szCs w:val="13"/>
                <w:color w:val="auto"/>
              </w:rPr>
            </w:pPr>
          </w:p>
        </w:tc>
        <w:tc>
          <w:tcPr>
            <w:tcW w:w="800" w:type="dxa"/>
            <w:vAlign w:val="bottom"/>
            <w:shd w:val="clear" w:color="auto" w:fill="FDFDFC"/>
          </w:tcPr>
          <w:p>
            <w:pPr>
              <w:spacing w:after="0"/>
              <w:rPr>
                <w:sz w:val="13"/>
                <w:szCs w:val="13"/>
                <w:color w:val="auto"/>
              </w:rPr>
            </w:pPr>
          </w:p>
        </w:tc>
        <w:tc>
          <w:tcPr>
            <w:tcW w:w="1020" w:type="dxa"/>
            <w:vAlign w:val="bottom"/>
            <w:shd w:val="clear" w:color="auto" w:fill="FDFDFC"/>
          </w:tcPr>
          <w:p>
            <w:pPr>
              <w:spacing w:after="0"/>
              <w:rPr>
                <w:sz w:val="13"/>
                <w:szCs w:val="13"/>
                <w:color w:val="auto"/>
              </w:rPr>
            </w:pPr>
          </w:p>
        </w:tc>
        <w:tc>
          <w:tcPr>
            <w:tcW w:w="1040" w:type="dxa"/>
            <w:vAlign w:val="bottom"/>
            <w:shd w:val="clear" w:color="auto" w:fill="FDFDFC"/>
          </w:tcPr>
          <w:p>
            <w:pPr>
              <w:spacing w:after="0"/>
              <w:rPr>
                <w:sz w:val="13"/>
                <w:szCs w:val="13"/>
                <w:color w:val="auto"/>
              </w:rPr>
            </w:pPr>
          </w:p>
        </w:tc>
        <w:tc>
          <w:tcPr>
            <w:tcW w:w="1000" w:type="dxa"/>
            <w:vAlign w:val="bottom"/>
            <w:shd w:val="clear" w:color="auto" w:fill="FDFDFC"/>
          </w:tcPr>
          <w:p>
            <w:pPr>
              <w:spacing w:after="0"/>
              <w:rPr>
                <w:sz w:val="13"/>
                <w:szCs w:val="13"/>
                <w:color w:val="auto"/>
              </w:rPr>
            </w:pPr>
          </w:p>
        </w:tc>
        <w:tc>
          <w:tcPr>
            <w:tcW w:w="80" w:type="dxa"/>
            <w:vAlign w:val="bottom"/>
            <w:shd w:val="clear" w:color="auto" w:fill="FDFDFC"/>
          </w:tcPr>
          <w:p>
            <w:pPr>
              <w:spacing w:after="0"/>
              <w:rPr>
                <w:sz w:val="13"/>
                <w:szCs w:val="13"/>
                <w:color w:val="auto"/>
              </w:rPr>
            </w:pPr>
          </w:p>
        </w:tc>
        <w:tc>
          <w:tcPr>
            <w:tcW w:w="1600" w:type="dxa"/>
            <w:vAlign w:val="bottom"/>
            <w:shd w:val="clear" w:color="auto" w:fill="FDFDFC"/>
          </w:tcPr>
          <w:p>
            <w:pPr>
              <w:spacing w:after="0"/>
              <w:rPr>
                <w:sz w:val="13"/>
                <w:szCs w:val="13"/>
                <w:color w:val="auto"/>
              </w:rPr>
            </w:pPr>
          </w:p>
        </w:tc>
        <w:tc>
          <w:tcPr>
            <w:tcW w:w="100" w:type="dxa"/>
            <w:vAlign w:val="bottom"/>
            <w:shd w:val="clear" w:color="auto" w:fill="FDFDFC"/>
          </w:tcPr>
          <w:p>
            <w:pPr>
              <w:spacing w:after="0"/>
              <w:rPr>
                <w:sz w:val="13"/>
                <w:szCs w:val="13"/>
                <w:color w:val="auto"/>
              </w:rPr>
            </w:pPr>
          </w:p>
        </w:tc>
        <w:tc>
          <w:tcPr>
            <w:tcW w:w="860" w:type="dxa"/>
            <w:vAlign w:val="bottom"/>
            <w:shd w:val="clear" w:color="auto" w:fill="FDFDFC"/>
          </w:tcPr>
          <w:p>
            <w:pPr>
              <w:spacing w:after="0"/>
              <w:rPr>
                <w:sz w:val="13"/>
                <w:szCs w:val="13"/>
                <w:color w:val="auto"/>
              </w:rPr>
            </w:pPr>
          </w:p>
        </w:tc>
      </w:tr>
      <w:tr>
        <w:trPr>
          <w:trHeight w:val="191"/>
        </w:trPr>
        <w:tc>
          <w:tcPr>
            <w:tcW w:w="1580" w:type="dxa"/>
            <w:vAlign w:val="bottom"/>
            <w:shd w:val="clear" w:color="auto" w:fill="FDFDFC"/>
          </w:tcPr>
          <w:p>
            <w:pPr>
              <w:spacing w:after="0"/>
              <w:rPr>
                <w:sz w:val="20"/>
                <w:szCs w:val="20"/>
                <w:color w:val="auto"/>
              </w:rPr>
            </w:pPr>
            <w:r>
              <w:rPr>
                <w:rFonts w:ascii="Times New Roman" w:cs="Times New Roman" w:eastAsia="Times New Roman" w:hAnsi="Times New Roman"/>
                <w:sz w:val="15"/>
                <w:szCs w:val="15"/>
                <w:b w:val="1"/>
                <w:bCs w:val="1"/>
                <w:color w:val="231F20"/>
              </w:rPr>
              <w:t>Leisure</w:t>
            </w:r>
          </w:p>
        </w:tc>
        <w:tc>
          <w:tcPr>
            <w:tcW w:w="2200" w:type="dxa"/>
            <w:vAlign w:val="bottom"/>
            <w:shd w:val="clear" w:color="auto" w:fill="FDFDFC"/>
          </w:tcPr>
          <w:p>
            <w:pPr>
              <w:spacing w:after="0"/>
              <w:rPr>
                <w:sz w:val="16"/>
                <w:szCs w:val="16"/>
                <w:color w:val="auto"/>
              </w:rPr>
            </w:pPr>
          </w:p>
        </w:tc>
        <w:tc>
          <w:tcPr>
            <w:tcW w:w="800" w:type="dxa"/>
            <w:vAlign w:val="bottom"/>
            <w:shd w:val="clear" w:color="auto" w:fill="FDFDFC"/>
          </w:tcPr>
          <w:p>
            <w:pPr>
              <w:spacing w:after="0"/>
              <w:rPr>
                <w:sz w:val="16"/>
                <w:szCs w:val="16"/>
                <w:color w:val="auto"/>
              </w:rPr>
            </w:pPr>
          </w:p>
        </w:tc>
        <w:tc>
          <w:tcPr>
            <w:tcW w:w="1020" w:type="dxa"/>
            <w:vAlign w:val="bottom"/>
            <w:shd w:val="clear" w:color="auto" w:fill="FDFDFC"/>
          </w:tcPr>
          <w:p>
            <w:pPr>
              <w:spacing w:after="0"/>
              <w:rPr>
                <w:sz w:val="16"/>
                <w:szCs w:val="16"/>
                <w:color w:val="auto"/>
              </w:rPr>
            </w:pPr>
          </w:p>
        </w:tc>
        <w:tc>
          <w:tcPr>
            <w:tcW w:w="1040" w:type="dxa"/>
            <w:vAlign w:val="bottom"/>
            <w:shd w:val="clear" w:color="auto" w:fill="FDFDFC"/>
          </w:tcPr>
          <w:p>
            <w:pPr>
              <w:spacing w:after="0"/>
              <w:rPr>
                <w:sz w:val="16"/>
                <w:szCs w:val="16"/>
                <w:color w:val="auto"/>
              </w:rPr>
            </w:pPr>
          </w:p>
        </w:tc>
        <w:tc>
          <w:tcPr>
            <w:tcW w:w="1000" w:type="dxa"/>
            <w:vAlign w:val="bottom"/>
            <w:shd w:val="clear" w:color="auto" w:fill="FDFDFC"/>
          </w:tcPr>
          <w:p>
            <w:pPr>
              <w:spacing w:after="0"/>
              <w:rPr>
                <w:sz w:val="16"/>
                <w:szCs w:val="16"/>
                <w:color w:val="auto"/>
              </w:rPr>
            </w:pPr>
          </w:p>
        </w:tc>
        <w:tc>
          <w:tcPr>
            <w:tcW w:w="80" w:type="dxa"/>
            <w:vAlign w:val="bottom"/>
            <w:shd w:val="clear" w:color="auto" w:fill="FDFDFC"/>
          </w:tcPr>
          <w:p>
            <w:pPr>
              <w:spacing w:after="0"/>
              <w:rPr>
                <w:sz w:val="16"/>
                <w:szCs w:val="16"/>
                <w:color w:val="auto"/>
              </w:rPr>
            </w:pPr>
          </w:p>
        </w:tc>
        <w:tc>
          <w:tcPr>
            <w:tcW w:w="1600" w:type="dxa"/>
            <w:vAlign w:val="bottom"/>
            <w:shd w:val="clear" w:color="auto" w:fill="FDFDFC"/>
          </w:tcPr>
          <w:p>
            <w:pPr>
              <w:spacing w:after="0"/>
              <w:rPr>
                <w:sz w:val="16"/>
                <w:szCs w:val="16"/>
                <w:color w:val="auto"/>
              </w:rPr>
            </w:pPr>
          </w:p>
        </w:tc>
        <w:tc>
          <w:tcPr>
            <w:tcW w:w="100" w:type="dxa"/>
            <w:vAlign w:val="bottom"/>
            <w:shd w:val="clear" w:color="auto" w:fill="FDFDFC"/>
          </w:tcPr>
          <w:p>
            <w:pPr>
              <w:spacing w:after="0"/>
              <w:rPr>
                <w:sz w:val="16"/>
                <w:szCs w:val="16"/>
                <w:color w:val="auto"/>
              </w:rPr>
            </w:pPr>
          </w:p>
        </w:tc>
        <w:tc>
          <w:tcPr>
            <w:tcW w:w="860" w:type="dxa"/>
            <w:vAlign w:val="bottom"/>
            <w:shd w:val="clear" w:color="auto" w:fill="FDFDFC"/>
          </w:tcPr>
          <w:p>
            <w:pPr>
              <w:spacing w:after="0"/>
              <w:rPr>
                <w:sz w:val="16"/>
                <w:szCs w:val="16"/>
                <w:color w:val="auto"/>
              </w:rPr>
            </w:pPr>
          </w:p>
        </w:tc>
      </w:tr>
    </w:tbl>
    <w:p>
      <w:pPr>
        <w:spacing w:after="0" w:line="200" w:lineRule="exact"/>
        <w:rPr>
          <w:sz w:val="20"/>
          <w:szCs w:val="20"/>
          <w:color w:val="auto"/>
        </w:rPr>
      </w:pPr>
    </w:p>
    <w:p>
      <w:pPr>
        <w:sectPr>
          <w:pgSz w:w="12240" w:h="15840" w:orient="portrait"/>
          <w:cols w:equalWidth="0" w:num="1">
            <w:col w:w="10280"/>
          </w:cols>
          <w:pgMar w:left="980" w:top="1317" w:right="980" w:bottom="574" w:gutter="0" w:footer="0" w:header="0"/>
        </w:sectPr>
      </w:pP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231F20"/>
        </w:rPr>
        <w:t>F-8</w:t>
      </w:r>
    </w:p>
    <w:p>
      <w:pPr>
        <w:sectPr>
          <w:pgSz w:w="12240" w:h="15840" w:orient="portrait"/>
          <w:cols w:equalWidth="0" w:num="1">
            <w:col w:w="10280"/>
          </w:cols>
          <w:pgMar w:left="980" w:top="1317" w:right="980" w:bottom="574" w:gutter="0" w:footer="0" w:header="0"/>
          <w:type w:val="continuous"/>
        </w:sectPr>
      </w:pPr>
    </w:p>
    <w:bookmarkStart w:id="96" w:name="page97"/>
    <w:bookmarkEnd w:id="96"/>
    <w:tbl>
      <w:tblPr>
        <w:tblLayout w:type="fixed"/>
        <w:tblInd w:w="0" w:type="dxa"/>
        <w:tblCellMar>
          <w:top w:w="0" w:type="dxa"/>
          <w:left w:w="0" w:type="dxa"/>
          <w:bottom w:w="0" w:type="dxa"/>
          <w:right w:w="0" w:type="dxa"/>
        </w:tblCellMar>
      </w:tblPr>
      <w:tr>
        <w:trPr>
          <w:trHeight w:val="172"/>
        </w:trPr>
        <w:tc>
          <w:tcPr>
            <w:tcW w:w="1580" w:type="dxa"/>
            <w:vAlign w:val="bottom"/>
            <w:shd w:val="clear" w:color="auto" w:fill="D0EBF2"/>
          </w:tcPr>
          <w:p>
            <w:pPr>
              <w:spacing w:after="0"/>
              <w:rPr>
                <w:sz w:val="20"/>
                <w:szCs w:val="20"/>
                <w:color w:val="auto"/>
              </w:rPr>
            </w:pPr>
            <w:r>
              <w:rPr>
                <w:rFonts w:ascii="Times New Roman" w:cs="Times New Roman" w:eastAsia="Times New Roman" w:hAnsi="Times New Roman"/>
                <w:sz w:val="15"/>
                <w:szCs w:val="15"/>
                <w:color w:val="231F20"/>
              </w:rPr>
              <w:t xml:space="preserve">ASG II, LLC </w:t>
            </w:r>
            <w:r>
              <w:rPr>
                <w:rFonts w:ascii="Times New Roman" w:cs="Times New Roman" w:eastAsia="Times New Roman" w:hAnsi="Times New Roman"/>
                <w:sz w:val="9"/>
                <w:szCs w:val="9"/>
                <w:color w:val="231F20"/>
              </w:rPr>
              <w:t>(3)(5)</w:t>
            </w:r>
          </w:p>
        </w:tc>
        <w:tc>
          <w:tcPr>
            <w:tcW w:w="2200" w:type="dxa"/>
            <w:vAlign w:val="bottom"/>
            <w:shd w:val="clear" w:color="auto" w:fill="D0EBF2"/>
          </w:tcPr>
          <w:p>
            <w:pPr>
              <w:ind w:left="60"/>
              <w:spacing w:after="0"/>
              <w:rPr>
                <w:sz w:val="20"/>
                <w:szCs w:val="20"/>
                <w:color w:val="auto"/>
              </w:rPr>
            </w:pPr>
            <w:r>
              <w:rPr>
                <w:rFonts w:ascii="Times New Roman" w:cs="Times New Roman" w:eastAsia="Times New Roman" w:hAnsi="Times New Roman"/>
                <w:sz w:val="15"/>
                <w:szCs w:val="15"/>
                <w:color w:val="231F20"/>
              </w:rPr>
              <w:t>First-lien loan ($65,000 par, due</w:t>
            </w:r>
          </w:p>
        </w:tc>
        <w:tc>
          <w:tcPr>
            <w:tcW w:w="800" w:type="dxa"/>
            <w:vAlign w:val="bottom"/>
            <w:shd w:val="clear" w:color="auto" w:fill="D0EBF2"/>
          </w:tcPr>
          <w:p>
            <w:pPr>
              <w:jc w:val="right"/>
              <w:spacing w:after="0"/>
              <w:rPr>
                <w:sz w:val="20"/>
                <w:szCs w:val="20"/>
                <w:color w:val="auto"/>
              </w:rPr>
            </w:pPr>
            <w:r>
              <w:rPr>
                <w:rFonts w:ascii="Times New Roman" w:cs="Times New Roman" w:eastAsia="Times New Roman" w:hAnsi="Times New Roman"/>
                <w:sz w:val="15"/>
                <w:szCs w:val="15"/>
                <w:color w:val="231F20"/>
              </w:rPr>
              <w:t>5/25/2022</w:t>
            </w:r>
          </w:p>
        </w:tc>
        <w:tc>
          <w:tcPr>
            <w:tcW w:w="1000" w:type="dxa"/>
            <w:vAlign w:val="bottom"/>
            <w:shd w:val="clear" w:color="auto" w:fill="D0EBF2"/>
          </w:tcPr>
          <w:p>
            <w:pPr>
              <w:jc w:val="right"/>
              <w:ind w:right="44"/>
              <w:spacing w:after="0"/>
              <w:rPr>
                <w:sz w:val="20"/>
                <w:szCs w:val="20"/>
                <w:color w:val="auto"/>
              </w:rPr>
            </w:pPr>
            <w:r>
              <w:rPr>
                <w:rFonts w:ascii="Times New Roman" w:cs="Times New Roman" w:eastAsia="Times New Roman" w:hAnsi="Times New Roman"/>
                <w:sz w:val="15"/>
                <w:szCs w:val="15"/>
                <w:color w:val="231F20"/>
              </w:rPr>
              <w:t>SOFR +</w:t>
            </w:r>
          </w:p>
        </w:tc>
        <w:tc>
          <w:tcPr>
            <w:tcW w:w="1060" w:type="dxa"/>
            <w:vAlign w:val="bottom"/>
            <w:shd w:val="clear" w:color="auto" w:fill="D0EBF2"/>
          </w:tcPr>
          <w:p>
            <w:pPr>
              <w:jc w:val="right"/>
              <w:ind w:right="64"/>
              <w:spacing w:after="0"/>
              <w:rPr>
                <w:sz w:val="20"/>
                <w:szCs w:val="20"/>
                <w:color w:val="auto"/>
              </w:rPr>
            </w:pPr>
            <w:r>
              <w:rPr>
                <w:rFonts w:ascii="Times New Roman" w:cs="Times New Roman" w:eastAsia="Times New Roman" w:hAnsi="Times New Roman"/>
                <w:sz w:val="15"/>
                <w:szCs w:val="15"/>
                <w:color w:val="231F20"/>
              </w:rPr>
              <w:t>10.99%</w:t>
            </w:r>
          </w:p>
        </w:tc>
        <w:tc>
          <w:tcPr>
            <w:tcW w:w="1000" w:type="dxa"/>
            <w:vAlign w:val="bottom"/>
            <w:shd w:val="clear" w:color="auto" w:fill="D0EBF2"/>
          </w:tcPr>
          <w:p>
            <w:pPr>
              <w:jc w:val="right"/>
              <w:spacing w:after="0"/>
              <w:rPr>
                <w:sz w:val="20"/>
                <w:szCs w:val="20"/>
                <w:color w:val="auto"/>
              </w:rPr>
            </w:pPr>
            <w:r>
              <w:rPr>
                <w:rFonts w:ascii="Times New Roman" w:cs="Times New Roman" w:eastAsia="Times New Roman" w:hAnsi="Times New Roman"/>
                <w:sz w:val="15"/>
                <w:szCs w:val="15"/>
                <w:color w:val="231F20"/>
              </w:rPr>
              <w:t>63,983</w:t>
            </w:r>
          </w:p>
        </w:tc>
        <w:tc>
          <w:tcPr>
            <w:tcW w:w="1680" w:type="dxa"/>
            <w:vAlign w:val="bottom"/>
            <w:gridSpan w:val="2"/>
            <w:shd w:val="clear" w:color="auto" w:fill="D0EBF2"/>
          </w:tcPr>
          <w:p>
            <w:pPr>
              <w:jc w:val="right"/>
              <w:spacing w:after="0"/>
              <w:rPr>
                <w:sz w:val="20"/>
                <w:szCs w:val="20"/>
                <w:color w:val="auto"/>
              </w:rPr>
            </w:pPr>
            <w:r>
              <w:rPr>
                <w:rFonts w:ascii="Times New Roman" w:cs="Times New Roman" w:eastAsia="Times New Roman" w:hAnsi="Times New Roman"/>
                <w:sz w:val="15"/>
                <w:szCs w:val="15"/>
                <w:color w:val="231F20"/>
              </w:rPr>
              <w:t>65,162</w:t>
            </w:r>
          </w:p>
        </w:tc>
        <w:tc>
          <w:tcPr>
            <w:tcW w:w="960" w:type="dxa"/>
            <w:vAlign w:val="bottom"/>
            <w:gridSpan w:val="2"/>
            <w:shd w:val="clear" w:color="auto" w:fill="D0EBF2"/>
          </w:tcPr>
          <w:p>
            <w:pPr>
              <w:jc w:val="right"/>
              <w:spacing w:after="0"/>
              <w:rPr>
                <w:sz w:val="20"/>
                <w:szCs w:val="20"/>
                <w:color w:val="auto"/>
              </w:rPr>
            </w:pPr>
            <w:r>
              <w:rPr>
                <w:rFonts w:ascii="Times New Roman" w:cs="Times New Roman" w:eastAsia="Times New Roman" w:hAnsi="Times New Roman"/>
                <w:sz w:val="15"/>
                <w:szCs w:val="15"/>
                <w:color w:val="231F20"/>
              </w:rPr>
              <w:t>4.1%</w:t>
            </w:r>
          </w:p>
        </w:tc>
      </w:tr>
      <w:tr>
        <w:trPr>
          <w:trHeight w:val="189"/>
        </w:trPr>
        <w:tc>
          <w:tcPr>
            <w:tcW w:w="1580" w:type="dxa"/>
            <w:vAlign w:val="bottom"/>
            <w:shd w:val="clear" w:color="auto" w:fill="D0EBF2"/>
          </w:tcPr>
          <w:p>
            <w:pPr>
              <w:spacing w:after="0"/>
              <w:rPr>
                <w:sz w:val="16"/>
                <w:szCs w:val="16"/>
                <w:color w:val="auto"/>
              </w:rPr>
            </w:pPr>
          </w:p>
        </w:tc>
        <w:tc>
          <w:tcPr>
            <w:tcW w:w="2200" w:type="dxa"/>
            <w:vAlign w:val="bottom"/>
            <w:shd w:val="clear" w:color="auto" w:fill="D0EBF2"/>
          </w:tcPr>
          <w:p>
            <w:pPr>
              <w:ind w:left="60"/>
              <w:spacing w:after="0"/>
              <w:rPr>
                <w:sz w:val="20"/>
                <w:szCs w:val="20"/>
                <w:color w:val="auto"/>
              </w:rPr>
            </w:pPr>
            <w:r>
              <w:rPr>
                <w:rFonts w:ascii="Times New Roman" w:cs="Times New Roman" w:eastAsia="Times New Roman" w:hAnsi="Times New Roman"/>
                <w:sz w:val="15"/>
                <w:szCs w:val="15"/>
                <w:color w:val="231F20"/>
              </w:rPr>
              <w:t>5/2028)</w:t>
            </w:r>
          </w:p>
        </w:tc>
        <w:tc>
          <w:tcPr>
            <w:tcW w:w="800" w:type="dxa"/>
            <w:vAlign w:val="bottom"/>
            <w:shd w:val="clear" w:color="auto" w:fill="D0EBF2"/>
          </w:tcPr>
          <w:p>
            <w:pPr>
              <w:spacing w:after="0"/>
              <w:rPr>
                <w:sz w:val="16"/>
                <w:szCs w:val="16"/>
                <w:color w:val="auto"/>
              </w:rPr>
            </w:pPr>
          </w:p>
        </w:tc>
        <w:tc>
          <w:tcPr>
            <w:tcW w:w="1000" w:type="dxa"/>
            <w:vAlign w:val="bottom"/>
            <w:shd w:val="clear" w:color="auto" w:fill="D0EBF2"/>
          </w:tcPr>
          <w:p>
            <w:pPr>
              <w:jc w:val="right"/>
              <w:ind w:right="44"/>
              <w:spacing w:after="0"/>
              <w:rPr>
                <w:sz w:val="20"/>
                <w:szCs w:val="20"/>
                <w:color w:val="auto"/>
              </w:rPr>
            </w:pPr>
            <w:r>
              <w:rPr>
                <w:rFonts w:ascii="Times New Roman" w:cs="Times New Roman" w:eastAsia="Times New Roman" w:hAnsi="Times New Roman"/>
                <w:sz w:val="15"/>
                <w:szCs w:val="15"/>
                <w:color w:val="231F20"/>
              </w:rPr>
              <w:t>6.40%</w:t>
            </w:r>
          </w:p>
        </w:tc>
        <w:tc>
          <w:tcPr>
            <w:tcW w:w="1060" w:type="dxa"/>
            <w:vAlign w:val="bottom"/>
            <w:shd w:val="clear" w:color="auto" w:fill="D0EBF2"/>
          </w:tcPr>
          <w:p>
            <w:pPr>
              <w:spacing w:after="0"/>
              <w:rPr>
                <w:sz w:val="16"/>
                <w:szCs w:val="16"/>
                <w:color w:val="auto"/>
              </w:rPr>
            </w:pPr>
          </w:p>
        </w:tc>
        <w:tc>
          <w:tcPr>
            <w:tcW w:w="1000" w:type="dxa"/>
            <w:vAlign w:val="bottom"/>
            <w:shd w:val="clear" w:color="auto" w:fill="D0EBF2"/>
          </w:tcPr>
          <w:p>
            <w:pPr>
              <w:spacing w:after="0"/>
              <w:rPr>
                <w:sz w:val="16"/>
                <w:szCs w:val="16"/>
                <w:color w:val="auto"/>
              </w:rPr>
            </w:pPr>
          </w:p>
        </w:tc>
        <w:tc>
          <w:tcPr>
            <w:tcW w:w="80" w:type="dxa"/>
            <w:vAlign w:val="bottom"/>
            <w:shd w:val="clear" w:color="auto" w:fill="D0EBF2"/>
          </w:tcPr>
          <w:p>
            <w:pPr>
              <w:spacing w:after="0"/>
              <w:rPr>
                <w:sz w:val="16"/>
                <w:szCs w:val="16"/>
                <w:color w:val="auto"/>
              </w:rPr>
            </w:pPr>
          </w:p>
        </w:tc>
        <w:tc>
          <w:tcPr>
            <w:tcW w:w="1600" w:type="dxa"/>
            <w:vAlign w:val="bottom"/>
            <w:shd w:val="clear" w:color="auto" w:fill="D0EBF2"/>
          </w:tcPr>
          <w:p>
            <w:pPr>
              <w:spacing w:after="0"/>
              <w:rPr>
                <w:sz w:val="16"/>
                <w:szCs w:val="16"/>
                <w:color w:val="auto"/>
              </w:rPr>
            </w:pPr>
          </w:p>
        </w:tc>
        <w:tc>
          <w:tcPr>
            <w:tcW w:w="100" w:type="dxa"/>
            <w:vAlign w:val="bottom"/>
            <w:shd w:val="clear" w:color="auto" w:fill="D0EBF2"/>
          </w:tcPr>
          <w:p>
            <w:pPr>
              <w:spacing w:after="0"/>
              <w:rPr>
                <w:sz w:val="16"/>
                <w:szCs w:val="16"/>
                <w:color w:val="auto"/>
              </w:rPr>
            </w:pPr>
          </w:p>
        </w:tc>
        <w:tc>
          <w:tcPr>
            <w:tcW w:w="860" w:type="dxa"/>
            <w:vAlign w:val="bottom"/>
            <w:shd w:val="clear" w:color="auto" w:fill="D0EBF2"/>
          </w:tcPr>
          <w:p>
            <w:pPr>
              <w:spacing w:after="0"/>
              <w:rPr>
                <w:sz w:val="16"/>
                <w:szCs w:val="16"/>
                <w:color w:val="auto"/>
              </w:rPr>
            </w:pPr>
          </w:p>
        </w:tc>
      </w:tr>
      <w:tr>
        <w:trPr>
          <w:trHeight w:val="171"/>
        </w:trPr>
        <w:tc>
          <w:tcPr>
            <w:tcW w:w="1580" w:type="dxa"/>
            <w:vAlign w:val="bottom"/>
            <w:shd w:val="clear" w:color="auto" w:fill="FDFDFC"/>
          </w:tcPr>
          <w:p>
            <w:pPr>
              <w:spacing w:after="0" w:line="172" w:lineRule="exact"/>
              <w:rPr>
                <w:sz w:val="20"/>
                <w:szCs w:val="20"/>
                <w:color w:val="auto"/>
              </w:rPr>
            </w:pPr>
            <w:r>
              <w:rPr>
                <w:rFonts w:ascii="Times New Roman" w:cs="Times New Roman" w:eastAsia="Times New Roman" w:hAnsi="Times New Roman"/>
                <w:sz w:val="15"/>
                <w:szCs w:val="15"/>
                <w:color w:val="231F20"/>
              </w:rPr>
              <w:t xml:space="preserve">AVSC Holding Corp. </w:t>
            </w:r>
            <w:r>
              <w:rPr>
                <w:rFonts w:ascii="Times New Roman" w:cs="Times New Roman" w:eastAsia="Times New Roman" w:hAnsi="Times New Roman"/>
                <w:sz w:val="9"/>
                <w:szCs w:val="9"/>
                <w:color w:val="231F20"/>
              </w:rPr>
              <w:t>(3)</w:t>
            </w:r>
          </w:p>
        </w:tc>
        <w:tc>
          <w:tcPr>
            <w:tcW w:w="2200" w:type="dxa"/>
            <w:vAlign w:val="bottom"/>
            <w:shd w:val="clear" w:color="auto" w:fill="FDFDFC"/>
          </w:tcPr>
          <w:p>
            <w:pPr>
              <w:ind w:left="60"/>
              <w:spacing w:after="0" w:line="172" w:lineRule="exact"/>
              <w:rPr>
                <w:sz w:val="20"/>
                <w:szCs w:val="20"/>
                <w:color w:val="auto"/>
              </w:rPr>
            </w:pPr>
            <w:r>
              <w:rPr>
                <w:rFonts w:ascii="Times New Roman" w:cs="Times New Roman" w:eastAsia="Times New Roman" w:hAnsi="Times New Roman"/>
                <w:sz w:val="15"/>
                <w:szCs w:val="15"/>
                <w:color w:val="231F20"/>
              </w:rPr>
              <w:t>First-lien loan ($45,167 par, due</w:t>
            </w:r>
          </w:p>
        </w:tc>
        <w:tc>
          <w:tcPr>
            <w:tcW w:w="800" w:type="dxa"/>
            <w:vAlign w:val="bottom"/>
            <w:shd w:val="clear" w:color="auto" w:fill="FDFDFC"/>
          </w:tcPr>
          <w:p>
            <w:pPr>
              <w:jc w:val="right"/>
              <w:spacing w:after="0" w:line="172" w:lineRule="exact"/>
              <w:rPr>
                <w:sz w:val="20"/>
                <w:szCs w:val="20"/>
                <w:color w:val="auto"/>
              </w:rPr>
            </w:pPr>
            <w:r>
              <w:rPr>
                <w:rFonts w:ascii="Times New Roman" w:cs="Times New Roman" w:eastAsia="Times New Roman" w:hAnsi="Times New Roman"/>
                <w:sz w:val="15"/>
                <w:szCs w:val="15"/>
                <w:color w:val="231F20"/>
              </w:rPr>
              <w:t>12/5/2024</w:t>
            </w:r>
          </w:p>
        </w:tc>
        <w:tc>
          <w:tcPr>
            <w:tcW w:w="1000" w:type="dxa"/>
            <w:vAlign w:val="bottom"/>
            <w:shd w:val="clear" w:color="auto" w:fill="FDFDFC"/>
          </w:tcPr>
          <w:p>
            <w:pPr>
              <w:jc w:val="right"/>
              <w:ind w:right="44"/>
              <w:spacing w:after="0" w:line="172" w:lineRule="exact"/>
              <w:rPr>
                <w:sz w:val="20"/>
                <w:szCs w:val="20"/>
                <w:color w:val="auto"/>
              </w:rPr>
            </w:pPr>
            <w:r>
              <w:rPr>
                <w:rFonts w:ascii="Times New Roman" w:cs="Times New Roman" w:eastAsia="Times New Roman" w:hAnsi="Times New Roman"/>
                <w:sz w:val="15"/>
                <w:szCs w:val="15"/>
                <w:color w:val="231F20"/>
              </w:rPr>
              <w:t>SOFR +</w:t>
            </w:r>
          </w:p>
        </w:tc>
        <w:tc>
          <w:tcPr>
            <w:tcW w:w="1060" w:type="dxa"/>
            <w:vAlign w:val="bottom"/>
            <w:shd w:val="clear" w:color="auto" w:fill="FDFDFC"/>
          </w:tcPr>
          <w:p>
            <w:pPr>
              <w:jc w:val="right"/>
              <w:ind w:right="64"/>
              <w:spacing w:after="0" w:line="172" w:lineRule="exact"/>
              <w:rPr>
                <w:sz w:val="20"/>
                <w:szCs w:val="20"/>
                <w:color w:val="auto"/>
              </w:rPr>
            </w:pPr>
            <w:r>
              <w:rPr>
                <w:rFonts w:ascii="Times New Roman" w:cs="Times New Roman" w:eastAsia="Times New Roman" w:hAnsi="Times New Roman"/>
                <w:sz w:val="15"/>
                <w:szCs w:val="15"/>
                <w:color w:val="231F20"/>
              </w:rPr>
              <w:t>9.36%</w:t>
            </w:r>
          </w:p>
        </w:tc>
        <w:tc>
          <w:tcPr>
            <w:tcW w:w="1000" w:type="dxa"/>
            <w:vAlign w:val="bottom"/>
            <w:shd w:val="clear" w:color="auto" w:fill="FDFDFC"/>
          </w:tcPr>
          <w:p>
            <w:pPr>
              <w:jc w:val="right"/>
              <w:spacing w:after="0" w:line="172" w:lineRule="exact"/>
              <w:rPr>
                <w:sz w:val="20"/>
                <w:szCs w:val="20"/>
                <w:color w:val="auto"/>
              </w:rPr>
            </w:pPr>
            <w:r>
              <w:rPr>
                <w:rFonts w:ascii="Times New Roman" w:cs="Times New Roman" w:eastAsia="Times New Roman" w:hAnsi="Times New Roman"/>
                <w:sz w:val="15"/>
                <w:szCs w:val="15"/>
                <w:color w:val="231F20"/>
              </w:rPr>
              <w:t>44,175</w:t>
            </w:r>
          </w:p>
        </w:tc>
        <w:tc>
          <w:tcPr>
            <w:tcW w:w="1680" w:type="dxa"/>
            <w:vAlign w:val="bottom"/>
            <w:gridSpan w:val="2"/>
            <w:shd w:val="clear" w:color="auto" w:fill="FDFDFC"/>
          </w:tcPr>
          <w:p>
            <w:pPr>
              <w:jc w:val="right"/>
              <w:spacing w:after="0" w:line="172" w:lineRule="exact"/>
              <w:rPr>
                <w:sz w:val="20"/>
                <w:szCs w:val="20"/>
                <w:color w:val="auto"/>
              </w:rPr>
            </w:pPr>
            <w:r>
              <w:rPr>
                <w:rFonts w:ascii="Times New Roman" w:cs="Times New Roman" w:eastAsia="Times New Roman" w:hAnsi="Times New Roman"/>
                <w:sz w:val="15"/>
                <w:szCs w:val="15"/>
                <w:color w:val="231F20"/>
              </w:rPr>
              <w:t>44,292</w:t>
            </w:r>
          </w:p>
        </w:tc>
        <w:tc>
          <w:tcPr>
            <w:tcW w:w="960" w:type="dxa"/>
            <w:vAlign w:val="bottom"/>
            <w:gridSpan w:val="2"/>
            <w:shd w:val="clear" w:color="auto" w:fill="FDFDFC"/>
          </w:tcPr>
          <w:p>
            <w:pPr>
              <w:jc w:val="right"/>
              <w:spacing w:after="0" w:line="172" w:lineRule="exact"/>
              <w:rPr>
                <w:sz w:val="20"/>
                <w:szCs w:val="20"/>
                <w:color w:val="auto"/>
              </w:rPr>
            </w:pPr>
            <w:r>
              <w:rPr>
                <w:rFonts w:ascii="Times New Roman" w:cs="Times New Roman" w:eastAsia="Times New Roman" w:hAnsi="Times New Roman"/>
                <w:sz w:val="15"/>
                <w:szCs w:val="15"/>
                <w:color w:val="231F20"/>
              </w:rPr>
              <w:t>2.8%</w:t>
            </w:r>
          </w:p>
        </w:tc>
      </w:tr>
      <w:tr>
        <w:trPr>
          <w:trHeight w:val="189"/>
        </w:trPr>
        <w:tc>
          <w:tcPr>
            <w:tcW w:w="1580" w:type="dxa"/>
            <w:vAlign w:val="bottom"/>
            <w:shd w:val="clear" w:color="auto" w:fill="FDFDFC"/>
          </w:tcPr>
          <w:p>
            <w:pPr>
              <w:spacing w:after="0"/>
              <w:rPr>
                <w:sz w:val="16"/>
                <w:szCs w:val="16"/>
                <w:color w:val="auto"/>
              </w:rPr>
            </w:pPr>
          </w:p>
        </w:tc>
        <w:tc>
          <w:tcPr>
            <w:tcW w:w="2200" w:type="dxa"/>
            <w:vAlign w:val="bottom"/>
            <w:shd w:val="clear" w:color="auto" w:fill="FDFDFC"/>
          </w:tcPr>
          <w:p>
            <w:pPr>
              <w:ind w:left="60"/>
              <w:spacing w:after="0"/>
              <w:rPr>
                <w:sz w:val="20"/>
                <w:szCs w:val="20"/>
                <w:color w:val="auto"/>
              </w:rPr>
            </w:pPr>
            <w:r>
              <w:rPr>
                <w:rFonts w:ascii="Times New Roman" w:cs="Times New Roman" w:eastAsia="Times New Roman" w:hAnsi="Times New Roman"/>
                <w:sz w:val="15"/>
                <w:szCs w:val="15"/>
                <w:color w:val="231F20"/>
              </w:rPr>
              <w:t>12/2031)</w:t>
            </w:r>
          </w:p>
        </w:tc>
        <w:tc>
          <w:tcPr>
            <w:tcW w:w="800" w:type="dxa"/>
            <w:vAlign w:val="bottom"/>
            <w:shd w:val="clear" w:color="auto" w:fill="FDFDFC"/>
          </w:tcPr>
          <w:p>
            <w:pPr>
              <w:spacing w:after="0"/>
              <w:rPr>
                <w:sz w:val="16"/>
                <w:szCs w:val="16"/>
                <w:color w:val="auto"/>
              </w:rPr>
            </w:pPr>
          </w:p>
        </w:tc>
        <w:tc>
          <w:tcPr>
            <w:tcW w:w="1000" w:type="dxa"/>
            <w:vAlign w:val="bottom"/>
            <w:shd w:val="clear" w:color="auto" w:fill="FDFDFC"/>
          </w:tcPr>
          <w:p>
            <w:pPr>
              <w:jc w:val="right"/>
              <w:ind w:right="44"/>
              <w:spacing w:after="0"/>
              <w:rPr>
                <w:sz w:val="20"/>
                <w:szCs w:val="20"/>
                <w:color w:val="auto"/>
              </w:rPr>
            </w:pPr>
            <w:r>
              <w:rPr>
                <w:rFonts w:ascii="Times New Roman" w:cs="Times New Roman" w:eastAsia="Times New Roman" w:hAnsi="Times New Roman"/>
                <w:sz w:val="15"/>
                <w:szCs w:val="15"/>
                <w:color w:val="231F20"/>
              </w:rPr>
              <w:t>5.00%</w:t>
            </w:r>
          </w:p>
        </w:tc>
        <w:tc>
          <w:tcPr>
            <w:tcW w:w="1060" w:type="dxa"/>
            <w:vAlign w:val="bottom"/>
            <w:shd w:val="clear" w:color="auto" w:fill="FDFDFC"/>
          </w:tcPr>
          <w:p>
            <w:pPr>
              <w:spacing w:after="0"/>
              <w:rPr>
                <w:sz w:val="16"/>
                <w:szCs w:val="16"/>
                <w:color w:val="auto"/>
              </w:rPr>
            </w:pPr>
          </w:p>
        </w:tc>
        <w:tc>
          <w:tcPr>
            <w:tcW w:w="1000" w:type="dxa"/>
            <w:vAlign w:val="bottom"/>
            <w:shd w:val="clear" w:color="auto" w:fill="FDFDFC"/>
          </w:tcPr>
          <w:p>
            <w:pPr>
              <w:spacing w:after="0"/>
              <w:rPr>
                <w:sz w:val="16"/>
                <w:szCs w:val="16"/>
                <w:color w:val="auto"/>
              </w:rPr>
            </w:pPr>
          </w:p>
        </w:tc>
        <w:tc>
          <w:tcPr>
            <w:tcW w:w="80" w:type="dxa"/>
            <w:vAlign w:val="bottom"/>
            <w:shd w:val="clear" w:color="auto" w:fill="FDFDFC"/>
          </w:tcPr>
          <w:p>
            <w:pPr>
              <w:spacing w:after="0"/>
              <w:rPr>
                <w:sz w:val="16"/>
                <w:szCs w:val="16"/>
                <w:color w:val="auto"/>
              </w:rPr>
            </w:pPr>
          </w:p>
        </w:tc>
        <w:tc>
          <w:tcPr>
            <w:tcW w:w="1600" w:type="dxa"/>
            <w:vAlign w:val="bottom"/>
            <w:shd w:val="clear" w:color="auto" w:fill="FDFDFC"/>
          </w:tcPr>
          <w:p>
            <w:pPr>
              <w:spacing w:after="0"/>
              <w:rPr>
                <w:sz w:val="16"/>
                <w:szCs w:val="16"/>
                <w:color w:val="auto"/>
              </w:rPr>
            </w:pPr>
          </w:p>
        </w:tc>
        <w:tc>
          <w:tcPr>
            <w:tcW w:w="100" w:type="dxa"/>
            <w:vAlign w:val="bottom"/>
            <w:shd w:val="clear" w:color="auto" w:fill="FDFDFC"/>
          </w:tcPr>
          <w:p>
            <w:pPr>
              <w:spacing w:after="0"/>
              <w:rPr>
                <w:sz w:val="16"/>
                <w:szCs w:val="16"/>
                <w:color w:val="auto"/>
              </w:rPr>
            </w:pPr>
          </w:p>
        </w:tc>
        <w:tc>
          <w:tcPr>
            <w:tcW w:w="860" w:type="dxa"/>
            <w:vAlign w:val="bottom"/>
            <w:shd w:val="clear" w:color="auto" w:fill="FDFDFC"/>
          </w:tcPr>
          <w:p>
            <w:pPr>
              <w:spacing w:after="0"/>
              <w:rPr>
                <w:sz w:val="16"/>
                <w:szCs w:val="16"/>
                <w:color w:val="auto"/>
              </w:rPr>
            </w:pPr>
          </w:p>
        </w:tc>
      </w:tr>
      <w:tr>
        <w:trPr>
          <w:trHeight w:val="171"/>
        </w:trPr>
        <w:tc>
          <w:tcPr>
            <w:tcW w:w="1580" w:type="dxa"/>
            <w:vAlign w:val="bottom"/>
            <w:shd w:val="clear" w:color="auto" w:fill="D0EBF2"/>
          </w:tcPr>
          <w:p>
            <w:pPr>
              <w:spacing w:after="0" w:line="172" w:lineRule="exact"/>
              <w:rPr>
                <w:sz w:val="20"/>
                <w:szCs w:val="20"/>
                <w:color w:val="auto"/>
              </w:rPr>
            </w:pPr>
            <w:r>
              <w:rPr>
                <w:rFonts w:ascii="Times New Roman" w:cs="Times New Roman" w:eastAsia="Times New Roman" w:hAnsi="Times New Roman"/>
                <w:sz w:val="15"/>
                <w:szCs w:val="15"/>
                <w:color w:val="231F20"/>
              </w:rPr>
              <w:t>Equinox Holdings, Inc.</w:t>
            </w:r>
          </w:p>
        </w:tc>
        <w:tc>
          <w:tcPr>
            <w:tcW w:w="2200" w:type="dxa"/>
            <w:vAlign w:val="bottom"/>
            <w:shd w:val="clear" w:color="auto" w:fill="D0EBF2"/>
          </w:tcPr>
          <w:p>
            <w:pPr>
              <w:ind w:left="60"/>
              <w:spacing w:after="0" w:line="172" w:lineRule="exact"/>
              <w:rPr>
                <w:sz w:val="20"/>
                <w:szCs w:val="20"/>
                <w:color w:val="auto"/>
              </w:rPr>
            </w:pPr>
            <w:r>
              <w:rPr>
                <w:rFonts w:ascii="Times New Roman" w:cs="Times New Roman" w:eastAsia="Times New Roman" w:hAnsi="Times New Roman"/>
                <w:sz w:val="15"/>
                <w:szCs w:val="15"/>
                <w:color w:val="231F20"/>
              </w:rPr>
              <w:t>First-lien loan ($49,590 par, due</w:t>
            </w:r>
          </w:p>
        </w:tc>
        <w:tc>
          <w:tcPr>
            <w:tcW w:w="800" w:type="dxa"/>
            <w:vAlign w:val="bottom"/>
            <w:shd w:val="clear" w:color="auto" w:fill="D0EBF2"/>
          </w:tcPr>
          <w:p>
            <w:pPr>
              <w:jc w:val="right"/>
              <w:spacing w:after="0" w:line="172" w:lineRule="exact"/>
              <w:rPr>
                <w:sz w:val="20"/>
                <w:szCs w:val="20"/>
                <w:color w:val="auto"/>
              </w:rPr>
            </w:pPr>
            <w:r>
              <w:rPr>
                <w:rFonts w:ascii="Times New Roman" w:cs="Times New Roman" w:eastAsia="Times New Roman" w:hAnsi="Times New Roman"/>
                <w:sz w:val="15"/>
                <w:szCs w:val="15"/>
                <w:color w:val="231F20"/>
              </w:rPr>
              <w:t>3/8/2024</w:t>
            </w:r>
          </w:p>
        </w:tc>
        <w:tc>
          <w:tcPr>
            <w:tcW w:w="1000" w:type="dxa"/>
            <w:vAlign w:val="bottom"/>
            <w:shd w:val="clear" w:color="auto" w:fill="D0EBF2"/>
          </w:tcPr>
          <w:p>
            <w:pPr>
              <w:jc w:val="right"/>
              <w:ind w:right="44"/>
              <w:spacing w:after="0" w:line="172" w:lineRule="exact"/>
              <w:rPr>
                <w:sz w:val="20"/>
                <w:szCs w:val="20"/>
                <w:color w:val="auto"/>
              </w:rPr>
            </w:pPr>
            <w:r>
              <w:rPr>
                <w:rFonts w:ascii="Times New Roman" w:cs="Times New Roman" w:eastAsia="Times New Roman" w:hAnsi="Times New Roman"/>
                <w:sz w:val="15"/>
                <w:szCs w:val="15"/>
                <w:color w:val="231F20"/>
              </w:rPr>
              <w:t>SOFR +</w:t>
            </w:r>
          </w:p>
        </w:tc>
        <w:tc>
          <w:tcPr>
            <w:tcW w:w="1060" w:type="dxa"/>
            <w:vAlign w:val="bottom"/>
            <w:shd w:val="clear" w:color="auto" w:fill="D0EBF2"/>
          </w:tcPr>
          <w:p>
            <w:pPr>
              <w:jc w:val="right"/>
              <w:ind w:right="64"/>
              <w:spacing w:after="0" w:line="172" w:lineRule="exact"/>
              <w:rPr>
                <w:sz w:val="20"/>
                <w:szCs w:val="20"/>
                <w:color w:val="auto"/>
              </w:rPr>
            </w:pPr>
            <w:r>
              <w:rPr>
                <w:rFonts w:ascii="Times New Roman" w:cs="Times New Roman" w:eastAsia="Times New Roman" w:hAnsi="Times New Roman"/>
                <w:sz w:val="15"/>
                <w:szCs w:val="15"/>
                <w:color w:val="231F20"/>
              </w:rPr>
              <w:t>12.58% (incl.</w:t>
            </w:r>
          </w:p>
        </w:tc>
        <w:tc>
          <w:tcPr>
            <w:tcW w:w="1000" w:type="dxa"/>
            <w:vAlign w:val="bottom"/>
            <w:shd w:val="clear" w:color="auto" w:fill="D0EBF2"/>
          </w:tcPr>
          <w:p>
            <w:pPr>
              <w:jc w:val="right"/>
              <w:spacing w:after="0" w:line="172" w:lineRule="exact"/>
              <w:rPr>
                <w:sz w:val="20"/>
                <w:szCs w:val="20"/>
                <w:color w:val="auto"/>
              </w:rPr>
            </w:pPr>
            <w:r>
              <w:rPr>
                <w:rFonts w:ascii="Times New Roman" w:cs="Times New Roman" w:eastAsia="Times New Roman" w:hAnsi="Times New Roman"/>
                <w:sz w:val="15"/>
                <w:szCs w:val="15"/>
                <w:color w:val="231F20"/>
              </w:rPr>
              <w:t>48,934</w:t>
            </w:r>
          </w:p>
        </w:tc>
        <w:tc>
          <w:tcPr>
            <w:tcW w:w="1680" w:type="dxa"/>
            <w:vAlign w:val="bottom"/>
            <w:gridSpan w:val="2"/>
            <w:shd w:val="clear" w:color="auto" w:fill="D0EBF2"/>
          </w:tcPr>
          <w:p>
            <w:pPr>
              <w:jc w:val="right"/>
              <w:spacing w:after="0" w:line="172" w:lineRule="exact"/>
              <w:rPr>
                <w:sz w:val="20"/>
                <w:szCs w:val="20"/>
                <w:color w:val="auto"/>
              </w:rPr>
            </w:pPr>
            <w:r>
              <w:rPr>
                <w:rFonts w:ascii="Times New Roman" w:cs="Times New Roman" w:eastAsia="Times New Roman" w:hAnsi="Times New Roman"/>
                <w:sz w:val="15"/>
                <w:szCs w:val="15"/>
                <w:color w:val="231F20"/>
              </w:rPr>
              <w:t>49,714</w:t>
            </w:r>
          </w:p>
        </w:tc>
        <w:tc>
          <w:tcPr>
            <w:tcW w:w="960" w:type="dxa"/>
            <w:vAlign w:val="bottom"/>
            <w:gridSpan w:val="2"/>
            <w:shd w:val="clear" w:color="auto" w:fill="D0EBF2"/>
          </w:tcPr>
          <w:p>
            <w:pPr>
              <w:jc w:val="right"/>
              <w:spacing w:after="0" w:line="172" w:lineRule="exact"/>
              <w:rPr>
                <w:sz w:val="20"/>
                <w:szCs w:val="20"/>
                <w:color w:val="auto"/>
              </w:rPr>
            </w:pPr>
            <w:r>
              <w:rPr>
                <w:rFonts w:ascii="Times New Roman" w:cs="Times New Roman" w:eastAsia="Times New Roman" w:hAnsi="Times New Roman"/>
                <w:sz w:val="15"/>
                <w:szCs w:val="15"/>
                <w:color w:val="231F20"/>
              </w:rPr>
              <w:t>3.1%</w:t>
            </w:r>
          </w:p>
        </w:tc>
      </w:tr>
      <w:tr>
        <w:trPr>
          <w:trHeight w:val="189"/>
        </w:trPr>
        <w:tc>
          <w:tcPr>
            <w:tcW w:w="1580" w:type="dxa"/>
            <w:vAlign w:val="bottom"/>
            <w:shd w:val="clear" w:color="auto" w:fill="D0EBF2"/>
          </w:tcPr>
          <w:p>
            <w:pPr>
              <w:spacing w:after="0"/>
              <w:rPr>
                <w:sz w:val="16"/>
                <w:szCs w:val="16"/>
                <w:color w:val="auto"/>
              </w:rPr>
            </w:pPr>
          </w:p>
        </w:tc>
        <w:tc>
          <w:tcPr>
            <w:tcW w:w="2200" w:type="dxa"/>
            <w:vAlign w:val="bottom"/>
            <w:shd w:val="clear" w:color="auto" w:fill="D0EBF2"/>
          </w:tcPr>
          <w:p>
            <w:pPr>
              <w:ind w:left="60"/>
              <w:spacing w:after="0"/>
              <w:rPr>
                <w:sz w:val="20"/>
                <w:szCs w:val="20"/>
                <w:color w:val="auto"/>
              </w:rPr>
            </w:pPr>
            <w:r>
              <w:rPr>
                <w:rFonts w:ascii="Times New Roman" w:cs="Times New Roman" w:eastAsia="Times New Roman" w:hAnsi="Times New Roman"/>
                <w:sz w:val="15"/>
                <w:szCs w:val="15"/>
                <w:color w:val="231F20"/>
              </w:rPr>
              <w:t>3/2029)</w:t>
            </w:r>
            <w:r>
              <w:rPr>
                <w:rFonts w:ascii="Times New Roman" w:cs="Times New Roman" w:eastAsia="Times New Roman" w:hAnsi="Times New Roman"/>
                <w:sz w:val="9"/>
                <w:szCs w:val="9"/>
                <w:color w:val="231F20"/>
              </w:rPr>
              <w:t>(3)</w:t>
            </w:r>
          </w:p>
        </w:tc>
        <w:tc>
          <w:tcPr>
            <w:tcW w:w="800" w:type="dxa"/>
            <w:vAlign w:val="bottom"/>
            <w:shd w:val="clear" w:color="auto" w:fill="D0EBF2"/>
          </w:tcPr>
          <w:p>
            <w:pPr>
              <w:spacing w:after="0"/>
              <w:rPr>
                <w:sz w:val="16"/>
                <w:szCs w:val="16"/>
                <w:color w:val="auto"/>
              </w:rPr>
            </w:pPr>
          </w:p>
        </w:tc>
        <w:tc>
          <w:tcPr>
            <w:tcW w:w="1000" w:type="dxa"/>
            <w:vAlign w:val="bottom"/>
            <w:shd w:val="clear" w:color="auto" w:fill="D0EBF2"/>
          </w:tcPr>
          <w:p>
            <w:pPr>
              <w:jc w:val="right"/>
              <w:ind w:right="44"/>
              <w:spacing w:after="0"/>
              <w:rPr>
                <w:sz w:val="20"/>
                <w:szCs w:val="20"/>
                <w:color w:val="auto"/>
              </w:rPr>
            </w:pPr>
            <w:r>
              <w:rPr>
                <w:rFonts w:ascii="Times New Roman" w:cs="Times New Roman" w:eastAsia="Times New Roman" w:hAnsi="Times New Roman"/>
                <w:sz w:val="15"/>
                <w:szCs w:val="15"/>
                <w:color w:val="231F20"/>
              </w:rPr>
              <w:t>8.25%</w:t>
            </w:r>
          </w:p>
        </w:tc>
        <w:tc>
          <w:tcPr>
            <w:tcW w:w="1060" w:type="dxa"/>
            <w:vAlign w:val="bottom"/>
            <w:shd w:val="clear" w:color="auto" w:fill="D0EBF2"/>
          </w:tcPr>
          <w:p>
            <w:pPr>
              <w:jc w:val="right"/>
              <w:ind w:right="64"/>
              <w:spacing w:after="0"/>
              <w:rPr>
                <w:sz w:val="20"/>
                <w:szCs w:val="20"/>
                <w:color w:val="auto"/>
              </w:rPr>
            </w:pPr>
            <w:r>
              <w:rPr>
                <w:rFonts w:ascii="Times New Roman" w:cs="Times New Roman" w:eastAsia="Times New Roman" w:hAnsi="Times New Roman"/>
                <w:sz w:val="15"/>
                <w:szCs w:val="15"/>
                <w:color w:val="231F20"/>
              </w:rPr>
              <w:t>4.13% PIK)</w:t>
            </w:r>
          </w:p>
        </w:tc>
        <w:tc>
          <w:tcPr>
            <w:tcW w:w="1000" w:type="dxa"/>
            <w:vAlign w:val="bottom"/>
            <w:shd w:val="clear" w:color="auto" w:fill="D0EBF2"/>
          </w:tcPr>
          <w:p>
            <w:pPr>
              <w:spacing w:after="0"/>
              <w:rPr>
                <w:sz w:val="16"/>
                <w:szCs w:val="16"/>
                <w:color w:val="auto"/>
              </w:rPr>
            </w:pPr>
          </w:p>
        </w:tc>
        <w:tc>
          <w:tcPr>
            <w:tcW w:w="80" w:type="dxa"/>
            <w:vAlign w:val="bottom"/>
            <w:shd w:val="clear" w:color="auto" w:fill="D0EBF2"/>
          </w:tcPr>
          <w:p>
            <w:pPr>
              <w:spacing w:after="0"/>
              <w:rPr>
                <w:sz w:val="16"/>
                <w:szCs w:val="16"/>
                <w:color w:val="auto"/>
              </w:rPr>
            </w:pPr>
          </w:p>
        </w:tc>
        <w:tc>
          <w:tcPr>
            <w:tcW w:w="1600" w:type="dxa"/>
            <w:vAlign w:val="bottom"/>
            <w:shd w:val="clear" w:color="auto" w:fill="D0EBF2"/>
          </w:tcPr>
          <w:p>
            <w:pPr>
              <w:spacing w:after="0"/>
              <w:rPr>
                <w:sz w:val="16"/>
                <w:szCs w:val="16"/>
                <w:color w:val="auto"/>
              </w:rPr>
            </w:pPr>
          </w:p>
        </w:tc>
        <w:tc>
          <w:tcPr>
            <w:tcW w:w="100" w:type="dxa"/>
            <w:vAlign w:val="bottom"/>
            <w:shd w:val="clear" w:color="auto" w:fill="D0EBF2"/>
          </w:tcPr>
          <w:p>
            <w:pPr>
              <w:spacing w:after="0"/>
              <w:rPr>
                <w:sz w:val="16"/>
                <w:szCs w:val="16"/>
                <w:color w:val="auto"/>
              </w:rPr>
            </w:pPr>
          </w:p>
        </w:tc>
        <w:tc>
          <w:tcPr>
            <w:tcW w:w="860" w:type="dxa"/>
            <w:vAlign w:val="bottom"/>
            <w:shd w:val="clear" w:color="auto" w:fill="D0EBF2"/>
          </w:tcPr>
          <w:p>
            <w:pPr>
              <w:spacing w:after="0"/>
              <w:rPr>
                <w:sz w:val="16"/>
                <w:szCs w:val="16"/>
                <w:color w:val="auto"/>
              </w:rPr>
            </w:pPr>
          </w:p>
        </w:tc>
      </w:tr>
      <w:tr>
        <w:trPr>
          <w:trHeight w:val="171"/>
        </w:trPr>
        <w:tc>
          <w:tcPr>
            <w:tcW w:w="1580" w:type="dxa"/>
            <w:vAlign w:val="bottom"/>
            <w:shd w:val="clear" w:color="auto" w:fill="FDFDFC"/>
          </w:tcPr>
          <w:p>
            <w:pPr>
              <w:spacing w:after="0"/>
              <w:rPr>
                <w:sz w:val="14"/>
                <w:szCs w:val="14"/>
                <w:color w:val="auto"/>
              </w:rPr>
            </w:pPr>
          </w:p>
        </w:tc>
        <w:tc>
          <w:tcPr>
            <w:tcW w:w="2200" w:type="dxa"/>
            <w:vAlign w:val="bottom"/>
            <w:shd w:val="clear" w:color="auto" w:fill="FDFDFC"/>
          </w:tcPr>
          <w:p>
            <w:pPr>
              <w:ind w:left="60"/>
              <w:spacing w:after="0" w:line="172" w:lineRule="exact"/>
              <w:rPr>
                <w:sz w:val="20"/>
                <w:szCs w:val="20"/>
                <w:color w:val="auto"/>
              </w:rPr>
            </w:pPr>
            <w:r>
              <w:rPr>
                <w:rFonts w:ascii="Times New Roman" w:cs="Times New Roman" w:eastAsia="Times New Roman" w:hAnsi="Times New Roman"/>
                <w:sz w:val="15"/>
                <w:szCs w:val="15"/>
                <w:color w:val="231F20"/>
              </w:rPr>
              <w:t>Second-lien loan ($2,347 par, due</w:t>
            </w:r>
          </w:p>
        </w:tc>
        <w:tc>
          <w:tcPr>
            <w:tcW w:w="800" w:type="dxa"/>
            <w:vAlign w:val="bottom"/>
            <w:shd w:val="clear" w:color="auto" w:fill="FDFDFC"/>
          </w:tcPr>
          <w:p>
            <w:pPr>
              <w:jc w:val="right"/>
              <w:spacing w:after="0" w:line="172" w:lineRule="exact"/>
              <w:rPr>
                <w:sz w:val="20"/>
                <w:szCs w:val="20"/>
                <w:color w:val="auto"/>
              </w:rPr>
            </w:pPr>
            <w:r>
              <w:rPr>
                <w:rFonts w:ascii="Times New Roman" w:cs="Times New Roman" w:eastAsia="Times New Roman" w:hAnsi="Times New Roman"/>
                <w:sz w:val="15"/>
                <w:szCs w:val="15"/>
                <w:color w:val="231F20"/>
              </w:rPr>
              <w:t>3/13/2024</w:t>
            </w:r>
          </w:p>
        </w:tc>
        <w:tc>
          <w:tcPr>
            <w:tcW w:w="1000" w:type="dxa"/>
            <w:vAlign w:val="bottom"/>
            <w:shd w:val="clear" w:color="auto" w:fill="FDFDFC"/>
          </w:tcPr>
          <w:p>
            <w:pPr>
              <w:jc w:val="right"/>
              <w:ind w:right="44"/>
              <w:spacing w:after="0" w:line="172" w:lineRule="exact"/>
              <w:rPr>
                <w:sz w:val="20"/>
                <w:szCs w:val="20"/>
                <w:color w:val="auto"/>
              </w:rPr>
            </w:pPr>
            <w:r>
              <w:rPr>
                <w:rFonts w:ascii="Times New Roman" w:cs="Times New Roman" w:eastAsia="Times New Roman" w:hAnsi="Times New Roman"/>
                <w:sz w:val="15"/>
                <w:szCs w:val="15"/>
                <w:color w:val="231F20"/>
              </w:rPr>
              <w:t>16.00%</w:t>
            </w:r>
          </w:p>
        </w:tc>
        <w:tc>
          <w:tcPr>
            <w:tcW w:w="1060" w:type="dxa"/>
            <w:vAlign w:val="bottom"/>
            <w:shd w:val="clear" w:color="auto" w:fill="FDFDFC"/>
          </w:tcPr>
          <w:p>
            <w:pPr>
              <w:jc w:val="right"/>
              <w:ind w:right="64"/>
              <w:spacing w:after="0" w:line="172" w:lineRule="exact"/>
              <w:rPr>
                <w:sz w:val="20"/>
                <w:szCs w:val="20"/>
                <w:color w:val="auto"/>
              </w:rPr>
            </w:pPr>
            <w:r>
              <w:rPr>
                <w:rFonts w:ascii="Times New Roman" w:cs="Times New Roman" w:eastAsia="Times New Roman" w:hAnsi="Times New Roman"/>
                <w:sz w:val="15"/>
                <w:szCs w:val="15"/>
                <w:color w:val="231F20"/>
              </w:rPr>
              <w:t>16.00% PIK</w:t>
            </w:r>
          </w:p>
        </w:tc>
        <w:tc>
          <w:tcPr>
            <w:tcW w:w="1000" w:type="dxa"/>
            <w:vAlign w:val="bottom"/>
            <w:shd w:val="clear" w:color="auto" w:fill="FDFDFC"/>
          </w:tcPr>
          <w:p>
            <w:pPr>
              <w:jc w:val="right"/>
              <w:spacing w:after="0" w:line="172" w:lineRule="exact"/>
              <w:rPr>
                <w:sz w:val="20"/>
                <w:szCs w:val="20"/>
                <w:color w:val="auto"/>
              </w:rPr>
            </w:pPr>
            <w:r>
              <w:rPr>
                <w:rFonts w:ascii="Times New Roman" w:cs="Times New Roman" w:eastAsia="Times New Roman" w:hAnsi="Times New Roman"/>
                <w:sz w:val="15"/>
                <w:szCs w:val="15"/>
                <w:color w:val="231F20"/>
              </w:rPr>
              <w:t>2,297</w:t>
            </w:r>
          </w:p>
        </w:tc>
        <w:tc>
          <w:tcPr>
            <w:tcW w:w="1680" w:type="dxa"/>
            <w:vAlign w:val="bottom"/>
            <w:gridSpan w:val="2"/>
            <w:shd w:val="clear" w:color="auto" w:fill="FDFDFC"/>
          </w:tcPr>
          <w:p>
            <w:pPr>
              <w:jc w:val="right"/>
              <w:spacing w:after="0" w:line="172" w:lineRule="exact"/>
              <w:rPr>
                <w:sz w:val="20"/>
                <w:szCs w:val="20"/>
                <w:color w:val="auto"/>
              </w:rPr>
            </w:pPr>
            <w:r>
              <w:rPr>
                <w:rFonts w:ascii="Times New Roman" w:cs="Times New Roman" w:eastAsia="Times New Roman" w:hAnsi="Times New Roman"/>
                <w:sz w:val="15"/>
                <w:szCs w:val="15"/>
                <w:color w:val="231F20"/>
              </w:rPr>
              <w:t>2,388</w:t>
            </w:r>
          </w:p>
        </w:tc>
        <w:tc>
          <w:tcPr>
            <w:tcW w:w="960" w:type="dxa"/>
            <w:vAlign w:val="bottom"/>
            <w:gridSpan w:val="2"/>
            <w:shd w:val="clear" w:color="auto" w:fill="FDFDFC"/>
          </w:tcPr>
          <w:p>
            <w:pPr>
              <w:jc w:val="right"/>
              <w:spacing w:after="0" w:line="172" w:lineRule="exact"/>
              <w:rPr>
                <w:sz w:val="20"/>
                <w:szCs w:val="20"/>
                <w:color w:val="auto"/>
              </w:rPr>
            </w:pPr>
            <w:r>
              <w:rPr>
                <w:rFonts w:ascii="Times New Roman" w:cs="Times New Roman" w:eastAsia="Times New Roman" w:hAnsi="Times New Roman"/>
                <w:sz w:val="15"/>
                <w:szCs w:val="15"/>
                <w:color w:val="231F20"/>
              </w:rPr>
              <w:t>0.1%</w:t>
            </w:r>
          </w:p>
        </w:tc>
      </w:tr>
      <w:tr>
        <w:trPr>
          <w:trHeight w:val="189"/>
        </w:trPr>
        <w:tc>
          <w:tcPr>
            <w:tcW w:w="1580" w:type="dxa"/>
            <w:vAlign w:val="bottom"/>
            <w:shd w:val="clear" w:color="auto" w:fill="FDFDFC"/>
          </w:tcPr>
          <w:p>
            <w:pPr>
              <w:spacing w:after="0"/>
              <w:rPr>
                <w:sz w:val="16"/>
                <w:szCs w:val="16"/>
                <w:color w:val="auto"/>
              </w:rPr>
            </w:pPr>
          </w:p>
        </w:tc>
        <w:tc>
          <w:tcPr>
            <w:tcW w:w="2200" w:type="dxa"/>
            <w:vAlign w:val="bottom"/>
            <w:shd w:val="clear" w:color="auto" w:fill="FDFDFC"/>
          </w:tcPr>
          <w:p>
            <w:pPr>
              <w:ind w:left="60"/>
              <w:spacing w:after="0"/>
              <w:rPr>
                <w:sz w:val="20"/>
                <w:szCs w:val="20"/>
                <w:color w:val="auto"/>
              </w:rPr>
            </w:pPr>
            <w:r>
              <w:rPr>
                <w:rFonts w:ascii="Times New Roman" w:cs="Times New Roman" w:eastAsia="Times New Roman" w:hAnsi="Times New Roman"/>
                <w:sz w:val="15"/>
                <w:szCs w:val="15"/>
                <w:color w:val="231F20"/>
              </w:rPr>
              <w:t>6/2027)</w:t>
            </w:r>
          </w:p>
        </w:tc>
        <w:tc>
          <w:tcPr>
            <w:tcW w:w="800" w:type="dxa"/>
            <w:vAlign w:val="bottom"/>
            <w:shd w:val="clear" w:color="auto" w:fill="FDFDFC"/>
          </w:tcPr>
          <w:p>
            <w:pPr>
              <w:spacing w:after="0"/>
              <w:rPr>
                <w:sz w:val="16"/>
                <w:szCs w:val="16"/>
                <w:color w:val="auto"/>
              </w:rPr>
            </w:pPr>
          </w:p>
        </w:tc>
        <w:tc>
          <w:tcPr>
            <w:tcW w:w="1000" w:type="dxa"/>
            <w:vAlign w:val="bottom"/>
            <w:shd w:val="clear" w:color="auto" w:fill="FDFDFC"/>
          </w:tcPr>
          <w:p>
            <w:pPr>
              <w:spacing w:after="0"/>
              <w:rPr>
                <w:sz w:val="16"/>
                <w:szCs w:val="16"/>
                <w:color w:val="auto"/>
              </w:rPr>
            </w:pPr>
          </w:p>
        </w:tc>
        <w:tc>
          <w:tcPr>
            <w:tcW w:w="1060" w:type="dxa"/>
            <w:vAlign w:val="bottom"/>
            <w:shd w:val="clear" w:color="auto" w:fill="FDFDFC"/>
          </w:tcPr>
          <w:p>
            <w:pPr>
              <w:spacing w:after="0"/>
              <w:rPr>
                <w:sz w:val="16"/>
                <w:szCs w:val="16"/>
                <w:color w:val="auto"/>
              </w:rPr>
            </w:pPr>
          </w:p>
        </w:tc>
        <w:tc>
          <w:tcPr>
            <w:tcW w:w="1000" w:type="dxa"/>
            <w:vAlign w:val="bottom"/>
            <w:shd w:val="clear" w:color="auto" w:fill="FDFDFC"/>
          </w:tcPr>
          <w:p>
            <w:pPr>
              <w:spacing w:after="0"/>
              <w:rPr>
                <w:sz w:val="16"/>
                <w:szCs w:val="16"/>
                <w:color w:val="auto"/>
              </w:rPr>
            </w:pPr>
          </w:p>
        </w:tc>
        <w:tc>
          <w:tcPr>
            <w:tcW w:w="80" w:type="dxa"/>
            <w:vAlign w:val="bottom"/>
            <w:shd w:val="clear" w:color="auto" w:fill="FDFDFC"/>
          </w:tcPr>
          <w:p>
            <w:pPr>
              <w:spacing w:after="0"/>
              <w:rPr>
                <w:sz w:val="16"/>
                <w:szCs w:val="16"/>
                <w:color w:val="auto"/>
              </w:rPr>
            </w:pPr>
          </w:p>
        </w:tc>
        <w:tc>
          <w:tcPr>
            <w:tcW w:w="1600" w:type="dxa"/>
            <w:vAlign w:val="bottom"/>
            <w:shd w:val="clear" w:color="auto" w:fill="FDFDFC"/>
          </w:tcPr>
          <w:p>
            <w:pPr>
              <w:spacing w:after="0"/>
              <w:rPr>
                <w:sz w:val="16"/>
                <w:szCs w:val="16"/>
                <w:color w:val="auto"/>
              </w:rPr>
            </w:pPr>
          </w:p>
        </w:tc>
        <w:tc>
          <w:tcPr>
            <w:tcW w:w="100" w:type="dxa"/>
            <w:vAlign w:val="bottom"/>
            <w:shd w:val="clear" w:color="auto" w:fill="FDFDFC"/>
          </w:tcPr>
          <w:p>
            <w:pPr>
              <w:spacing w:after="0"/>
              <w:rPr>
                <w:sz w:val="16"/>
                <w:szCs w:val="16"/>
                <w:color w:val="auto"/>
              </w:rPr>
            </w:pPr>
          </w:p>
        </w:tc>
        <w:tc>
          <w:tcPr>
            <w:tcW w:w="860" w:type="dxa"/>
            <w:vAlign w:val="bottom"/>
            <w:shd w:val="clear" w:color="auto" w:fill="FDFDFC"/>
          </w:tcPr>
          <w:p>
            <w:pPr>
              <w:spacing w:after="0"/>
              <w:rPr>
                <w:sz w:val="16"/>
                <w:szCs w:val="16"/>
                <w:color w:val="auto"/>
              </w:rPr>
            </w:pPr>
          </w:p>
        </w:tc>
      </w:tr>
      <w:tr>
        <w:trPr>
          <w:trHeight w:val="171"/>
        </w:trPr>
        <w:tc>
          <w:tcPr>
            <w:tcW w:w="1580" w:type="dxa"/>
            <w:vAlign w:val="bottom"/>
            <w:shd w:val="clear" w:color="auto" w:fill="D0EBF2"/>
          </w:tcPr>
          <w:p>
            <w:pPr>
              <w:spacing w:after="0" w:line="172" w:lineRule="exact"/>
              <w:rPr>
                <w:sz w:val="20"/>
                <w:szCs w:val="20"/>
                <w:color w:val="auto"/>
              </w:rPr>
            </w:pPr>
            <w:r>
              <w:rPr>
                <w:rFonts w:ascii="Times New Roman" w:cs="Times New Roman" w:eastAsia="Times New Roman" w:hAnsi="Times New Roman"/>
                <w:sz w:val="15"/>
                <w:szCs w:val="15"/>
                <w:color w:val="231F20"/>
              </w:rPr>
              <w:t>IRGSE Holding Corp.</w:t>
            </w:r>
          </w:p>
        </w:tc>
        <w:tc>
          <w:tcPr>
            <w:tcW w:w="2200" w:type="dxa"/>
            <w:vAlign w:val="bottom"/>
            <w:shd w:val="clear" w:color="auto" w:fill="D0EBF2"/>
          </w:tcPr>
          <w:p>
            <w:pPr>
              <w:ind w:left="60"/>
              <w:spacing w:after="0" w:line="172" w:lineRule="exact"/>
              <w:rPr>
                <w:sz w:val="20"/>
                <w:szCs w:val="20"/>
                <w:color w:val="auto"/>
              </w:rPr>
            </w:pPr>
            <w:r>
              <w:rPr>
                <w:rFonts w:ascii="Times New Roman" w:cs="Times New Roman" w:eastAsia="Times New Roman" w:hAnsi="Times New Roman"/>
                <w:sz w:val="15"/>
                <w:szCs w:val="15"/>
                <w:color w:val="231F20"/>
              </w:rPr>
              <w:t>First-lien loan ($30,261 par, due</w:t>
            </w:r>
          </w:p>
        </w:tc>
        <w:tc>
          <w:tcPr>
            <w:tcW w:w="800" w:type="dxa"/>
            <w:vAlign w:val="bottom"/>
            <w:shd w:val="clear" w:color="auto" w:fill="D0EBF2"/>
          </w:tcPr>
          <w:p>
            <w:pPr>
              <w:jc w:val="right"/>
              <w:spacing w:after="0" w:line="172" w:lineRule="exact"/>
              <w:rPr>
                <w:sz w:val="20"/>
                <w:szCs w:val="20"/>
                <w:color w:val="auto"/>
              </w:rPr>
            </w:pPr>
            <w:r>
              <w:rPr>
                <w:rFonts w:ascii="Times New Roman" w:cs="Times New Roman" w:eastAsia="Times New Roman" w:hAnsi="Times New Roman"/>
                <w:sz w:val="15"/>
                <w:szCs w:val="15"/>
                <w:color w:val="231F20"/>
              </w:rPr>
              <w:t>12/21/2018</w:t>
            </w:r>
          </w:p>
        </w:tc>
        <w:tc>
          <w:tcPr>
            <w:tcW w:w="1000" w:type="dxa"/>
            <w:vAlign w:val="bottom"/>
            <w:shd w:val="clear" w:color="auto" w:fill="D0EBF2"/>
          </w:tcPr>
          <w:p>
            <w:pPr>
              <w:jc w:val="right"/>
              <w:ind w:right="44"/>
              <w:spacing w:after="0" w:line="172" w:lineRule="exact"/>
              <w:rPr>
                <w:sz w:val="20"/>
                <w:szCs w:val="20"/>
                <w:color w:val="auto"/>
              </w:rPr>
            </w:pPr>
            <w:r>
              <w:rPr>
                <w:rFonts w:ascii="Times New Roman" w:cs="Times New Roman" w:eastAsia="Times New Roman" w:hAnsi="Times New Roman"/>
                <w:sz w:val="15"/>
                <w:szCs w:val="15"/>
                <w:color w:val="231F20"/>
              </w:rPr>
              <w:t>SOFR +</w:t>
            </w:r>
          </w:p>
        </w:tc>
        <w:tc>
          <w:tcPr>
            <w:tcW w:w="1060" w:type="dxa"/>
            <w:vAlign w:val="bottom"/>
            <w:shd w:val="clear" w:color="auto" w:fill="D0EBF2"/>
          </w:tcPr>
          <w:p>
            <w:pPr>
              <w:jc w:val="right"/>
              <w:ind w:right="64"/>
              <w:spacing w:after="0" w:line="172" w:lineRule="exact"/>
              <w:rPr>
                <w:sz w:val="20"/>
                <w:szCs w:val="20"/>
                <w:color w:val="auto"/>
              </w:rPr>
            </w:pPr>
            <w:r>
              <w:rPr>
                <w:rFonts w:ascii="Times New Roman" w:cs="Times New Roman" w:eastAsia="Times New Roman" w:hAnsi="Times New Roman"/>
                <w:sz w:val="15"/>
                <w:szCs w:val="15"/>
                <w:color w:val="231F20"/>
              </w:rPr>
              <w:t>13.98%</w:t>
            </w:r>
          </w:p>
        </w:tc>
        <w:tc>
          <w:tcPr>
            <w:tcW w:w="1000" w:type="dxa"/>
            <w:vAlign w:val="bottom"/>
            <w:shd w:val="clear" w:color="auto" w:fill="D0EBF2"/>
          </w:tcPr>
          <w:p>
            <w:pPr>
              <w:jc w:val="right"/>
              <w:spacing w:after="0" w:line="172" w:lineRule="exact"/>
              <w:rPr>
                <w:sz w:val="20"/>
                <w:szCs w:val="20"/>
                <w:color w:val="auto"/>
              </w:rPr>
            </w:pPr>
            <w:r>
              <w:rPr>
                <w:rFonts w:ascii="Times New Roman" w:cs="Times New Roman" w:eastAsia="Times New Roman" w:hAnsi="Times New Roman"/>
                <w:sz w:val="15"/>
                <w:szCs w:val="15"/>
                <w:color w:val="231F20"/>
              </w:rPr>
              <w:t>28,594</w:t>
            </w:r>
          </w:p>
        </w:tc>
        <w:tc>
          <w:tcPr>
            <w:tcW w:w="1680" w:type="dxa"/>
            <w:vAlign w:val="bottom"/>
            <w:gridSpan w:val="2"/>
            <w:shd w:val="clear" w:color="auto" w:fill="D0EBF2"/>
          </w:tcPr>
          <w:p>
            <w:pPr>
              <w:jc w:val="right"/>
              <w:spacing w:after="0" w:line="172" w:lineRule="exact"/>
              <w:rPr>
                <w:sz w:val="20"/>
                <w:szCs w:val="20"/>
                <w:color w:val="auto"/>
              </w:rPr>
            </w:pPr>
            <w:r>
              <w:rPr>
                <w:rFonts w:ascii="Times New Roman" w:cs="Times New Roman" w:eastAsia="Times New Roman" w:hAnsi="Times New Roman"/>
                <w:sz w:val="15"/>
                <w:szCs w:val="15"/>
                <w:color w:val="231F20"/>
              </w:rPr>
              <w:t>28,823</w:t>
            </w:r>
          </w:p>
        </w:tc>
        <w:tc>
          <w:tcPr>
            <w:tcW w:w="960" w:type="dxa"/>
            <w:vAlign w:val="bottom"/>
            <w:gridSpan w:val="2"/>
            <w:shd w:val="clear" w:color="auto" w:fill="D0EBF2"/>
          </w:tcPr>
          <w:p>
            <w:pPr>
              <w:jc w:val="right"/>
              <w:spacing w:after="0" w:line="172" w:lineRule="exact"/>
              <w:rPr>
                <w:sz w:val="20"/>
                <w:szCs w:val="20"/>
                <w:color w:val="auto"/>
              </w:rPr>
            </w:pPr>
            <w:r>
              <w:rPr>
                <w:rFonts w:ascii="Times New Roman" w:cs="Times New Roman" w:eastAsia="Times New Roman" w:hAnsi="Times New Roman"/>
                <w:sz w:val="15"/>
                <w:szCs w:val="15"/>
                <w:color w:val="231F20"/>
              </w:rPr>
              <w:t>1.8%</w:t>
            </w:r>
          </w:p>
        </w:tc>
      </w:tr>
      <w:tr>
        <w:trPr>
          <w:trHeight w:val="189"/>
        </w:trPr>
        <w:tc>
          <w:tcPr>
            <w:tcW w:w="1580" w:type="dxa"/>
            <w:vAlign w:val="bottom"/>
            <w:shd w:val="clear" w:color="auto" w:fill="D0EBF2"/>
          </w:tcPr>
          <w:p>
            <w:pPr>
              <w:spacing w:after="0"/>
              <w:rPr>
                <w:sz w:val="20"/>
                <w:szCs w:val="20"/>
                <w:color w:val="auto"/>
              </w:rPr>
            </w:pPr>
            <w:r>
              <w:rPr>
                <w:rFonts w:ascii="Times New Roman" w:cs="Times New Roman" w:eastAsia="Times New Roman" w:hAnsi="Times New Roman"/>
                <w:sz w:val="9"/>
                <w:szCs w:val="9"/>
                <w:color w:val="231F20"/>
              </w:rPr>
              <w:t>(3)(6)</w:t>
            </w:r>
          </w:p>
        </w:tc>
        <w:tc>
          <w:tcPr>
            <w:tcW w:w="2200" w:type="dxa"/>
            <w:vAlign w:val="bottom"/>
            <w:shd w:val="clear" w:color="auto" w:fill="D0EBF2"/>
          </w:tcPr>
          <w:p>
            <w:pPr>
              <w:ind w:left="60"/>
              <w:spacing w:after="0"/>
              <w:rPr>
                <w:sz w:val="20"/>
                <w:szCs w:val="20"/>
                <w:color w:val="auto"/>
              </w:rPr>
            </w:pPr>
            <w:r>
              <w:rPr>
                <w:rFonts w:ascii="Times New Roman" w:cs="Times New Roman" w:eastAsia="Times New Roman" w:hAnsi="Times New Roman"/>
                <w:sz w:val="15"/>
                <w:szCs w:val="15"/>
                <w:color w:val="231F20"/>
              </w:rPr>
              <w:t>6/2025)</w:t>
            </w:r>
          </w:p>
        </w:tc>
        <w:tc>
          <w:tcPr>
            <w:tcW w:w="800" w:type="dxa"/>
            <w:vAlign w:val="bottom"/>
            <w:shd w:val="clear" w:color="auto" w:fill="D0EBF2"/>
          </w:tcPr>
          <w:p>
            <w:pPr>
              <w:spacing w:after="0"/>
              <w:rPr>
                <w:sz w:val="16"/>
                <w:szCs w:val="16"/>
                <w:color w:val="auto"/>
              </w:rPr>
            </w:pPr>
          </w:p>
        </w:tc>
        <w:tc>
          <w:tcPr>
            <w:tcW w:w="1000" w:type="dxa"/>
            <w:vAlign w:val="bottom"/>
            <w:shd w:val="clear" w:color="auto" w:fill="D0EBF2"/>
          </w:tcPr>
          <w:p>
            <w:pPr>
              <w:jc w:val="right"/>
              <w:ind w:right="44"/>
              <w:spacing w:after="0"/>
              <w:rPr>
                <w:sz w:val="20"/>
                <w:szCs w:val="20"/>
                <w:color w:val="auto"/>
              </w:rPr>
            </w:pPr>
            <w:r>
              <w:rPr>
                <w:rFonts w:ascii="Times New Roman" w:cs="Times New Roman" w:eastAsia="Times New Roman" w:hAnsi="Times New Roman"/>
                <w:sz w:val="15"/>
                <w:szCs w:val="15"/>
                <w:color w:val="231F20"/>
              </w:rPr>
              <w:t>9.65%</w:t>
            </w:r>
          </w:p>
        </w:tc>
        <w:tc>
          <w:tcPr>
            <w:tcW w:w="1060" w:type="dxa"/>
            <w:vAlign w:val="bottom"/>
            <w:shd w:val="clear" w:color="auto" w:fill="D0EBF2"/>
          </w:tcPr>
          <w:p>
            <w:pPr>
              <w:spacing w:after="0"/>
              <w:rPr>
                <w:sz w:val="16"/>
                <w:szCs w:val="16"/>
                <w:color w:val="auto"/>
              </w:rPr>
            </w:pPr>
          </w:p>
        </w:tc>
        <w:tc>
          <w:tcPr>
            <w:tcW w:w="1000" w:type="dxa"/>
            <w:vAlign w:val="bottom"/>
            <w:shd w:val="clear" w:color="auto" w:fill="D0EBF2"/>
          </w:tcPr>
          <w:p>
            <w:pPr>
              <w:spacing w:after="0"/>
              <w:rPr>
                <w:sz w:val="16"/>
                <w:szCs w:val="16"/>
                <w:color w:val="auto"/>
              </w:rPr>
            </w:pPr>
          </w:p>
        </w:tc>
        <w:tc>
          <w:tcPr>
            <w:tcW w:w="80" w:type="dxa"/>
            <w:vAlign w:val="bottom"/>
            <w:shd w:val="clear" w:color="auto" w:fill="D0EBF2"/>
          </w:tcPr>
          <w:p>
            <w:pPr>
              <w:spacing w:after="0"/>
              <w:rPr>
                <w:sz w:val="16"/>
                <w:szCs w:val="16"/>
                <w:color w:val="auto"/>
              </w:rPr>
            </w:pPr>
          </w:p>
        </w:tc>
        <w:tc>
          <w:tcPr>
            <w:tcW w:w="1600" w:type="dxa"/>
            <w:vAlign w:val="bottom"/>
            <w:shd w:val="clear" w:color="auto" w:fill="D0EBF2"/>
          </w:tcPr>
          <w:p>
            <w:pPr>
              <w:spacing w:after="0"/>
              <w:rPr>
                <w:sz w:val="16"/>
                <w:szCs w:val="16"/>
                <w:color w:val="auto"/>
              </w:rPr>
            </w:pPr>
          </w:p>
        </w:tc>
        <w:tc>
          <w:tcPr>
            <w:tcW w:w="100" w:type="dxa"/>
            <w:vAlign w:val="bottom"/>
            <w:shd w:val="clear" w:color="auto" w:fill="D0EBF2"/>
          </w:tcPr>
          <w:p>
            <w:pPr>
              <w:spacing w:after="0"/>
              <w:rPr>
                <w:sz w:val="16"/>
                <w:szCs w:val="16"/>
                <w:color w:val="auto"/>
              </w:rPr>
            </w:pPr>
          </w:p>
        </w:tc>
        <w:tc>
          <w:tcPr>
            <w:tcW w:w="860" w:type="dxa"/>
            <w:vAlign w:val="bottom"/>
            <w:shd w:val="clear" w:color="auto" w:fill="D0EBF2"/>
          </w:tcPr>
          <w:p>
            <w:pPr>
              <w:spacing w:after="0"/>
              <w:rPr>
                <w:sz w:val="16"/>
                <w:szCs w:val="16"/>
                <w:color w:val="auto"/>
              </w:rPr>
            </w:pPr>
          </w:p>
        </w:tc>
      </w:tr>
      <w:tr>
        <w:trPr>
          <w:trHeight w:val="171"/>
        </w:trPr>
        <w:tc>
          <w:tcPr>
            <w:tcW w:w="1580" w:type="dxa"/>
            <w:vAlign w:val="bottom"/>
            <w:shd w:val="clear" w:color="auto" w:fill="FDFDFC"/>
          </w:tcPr>
          <w:p>
            <w:pPr>
              <w:spacing w:after="0"/>
              <w:rPr>
                <w:sz w:val="14"/>
                <w:szCs w:val="14"/>
                <w:color w:val="auto"/>
              </w:rPr>
            </w:pPr>
          </w:p>
        </w:tc>
        <w:tc>
          <w:tcPr>
            <w:tcW w:w="2200" w:type="dxa"/>
            <w:vAlign w:val="bottom"/>
            <w:shd w:val="clear" w:color="auto" w:fill="FDFDFC"/>
          </w:tcPr>
          <w:p>
            <w:pPr>
              <w:ind w:left="60"/>
              <w:spacing w:after="0" w:line="172" w:lineRule="exact"/>
              <w:rPr>
                <w:sz w:val="20"/>
                <w:szCs w:val="20"/>
                <w:color w:val="auto"/>
              </w:rPr>
            </w:pPr>
            <w:r>
              <w:rPr>
                <w:rFonts w:ascii="Times New Roman" w:cs="Times New Roman" w:eastAsia="Times New Roman" w:hAnsi="Times New Roman"/>
                <w:sz w:val="15"/>
                <w:szCs w:val="15"/>
                <w:color w:val="231F20"/>
              </w:rPr>
              <w:t>First-lien revolving loan ($37,972</w:t>
            </w:r>
          </w:p>
        </w:tc>
        <w:tc>
          <w:tcPr>
            <w:tcW w:w="800" w:type="dxa"/>
            <w:vAlign w:val="bottom"/>
            <w:shd w:val="clear" w:color="auto" w:fill="FDFDFC"/>
          </w:tcPr>
          <w:p>
            <w:pPr>
              <w:jc w:val="right"/>
              <w:spacing w:after="0" w:line="172" w:lineRule="exact"/>
              <w:rPr>
                <w:sz w:val="20"/>
                <w:szCs w:val="20"/>
                <w:color w:val="auto"/>
              </w:rPr>
            </w:pPr>
            <w:r>
              <w:rPr>
                <w:rFonts w:ascii="Times New Roman" w:cs="Times New Roman" w:eastAsia="Times New Roman" w:hAnsi="Times New Roman"/>
                <w:sz w:val="15"/>
                <w:szCs w:val="15"/>
                <w:color w:val="231F20"/>
              </w:rPr>
              <w:t>12/21/2018</w:t>
            </w:r>
          </w:p>
        </w:tc>
        <w:tc>
          <w:tcPr>
            <w:tcW w:w="1000" w:type="dxa"/>
            <w:vAlign w:val="bottom"/>
            <w:shd w:val="clear" w:color="auto" w:fill="FDFDFC"/>
          </w:tcPr>
          <w:p>
            <w:pPr>
              <w:jc w:val="right"/>
              <w:ind w:right="44"/>
              <w:spacing w:after="0" w:line="172" w:lineRule="exact"/>
              <w:rPr>
                <w:sz w:val="20"/>
                <w:szCs w:val="20"/>
                <w:color w:val="auto"/>
              </w:rPr>
            </w:pPr>
            <w:r>
              <w:rPr>
                <w:rFonts w:ascii="Times New Roman" w:cs="Times New Roman" w:eastAsia="Times New Roman" w:hAnsi="Times New Roman"/>
                <w:sz w:val="15"/>
                <w:szCs w:val="15"/>
                <w:color w:val="231F20"/>
              </w:rPr>
              <w:t>SOFR +</w:t>
            </w:r>
          </w:p>
        </w:tc>
        <w:tc>
          <w:tcPr>
            <w:tcW w:w="1060" w:type="dxa"/>
            <w:vAlign w:val="bottom"/>
            <w:shd w:val="clear" w:color="auto" w:fill="FDFDFC"/>
          </w:tcPr>
          <w:p>
            <w:pPr>
              <w:jc w:val="right"/>
              <w:ind w:right="64"/>
              <w:spacing w:after="0" w:line="172" w:lineRule="exact"/>
              <w:rPr>
                <w:sz w:val="20"/>
                <w:szCs w:val="20"/>
                <w:color w:val="auto"/>
              </w:rPr>
            </w:pPr>
            <w:r>
              <w:rPr>
                <w:rFonts w:ascii="Times New Roman" w:cs="Times New Roman" w:eastAsia="Times New Roman" w:hAnsi="Times New Roman"/>
                <w:sz w:val="15"/>
                <w:szCs w:val="15"/>
                <w:color w:val="231F20"/>
              </w:rPr>
              <w:t>14.14%</w:t>
            </w:r>
          </w:p>
        </w:tc>
        <w:tc>
          <w:tcPr>
            <w:tcW w:w="1000" w:type="dxa"/>
            <w:vAlign w:val="bottom"/>
            <w:shd w:val="clear" w:color="auto" w:fill="FDFDFC"/>
          </w:tcPr>
          <w:p>
            <w:pPr>
              <w:jc w:val="right"/>
              <w:spacing w:after="0" w:line="172" w:lineRule="exact"/>
              <w:rPr>
                <w:sz w:val="20"/>
                <w:szCs w:val="20"/>
                <w:color w:val="auto"/>
              </w:rPr>
            </w:pPr>
            <w:r>
              <w:rPr>
                <w:rFonts w:ascii="Times New Roman" w:cs="Times New Roman" w:eastAsia="Times New Roman" w:hAnsi="Times New Roman"/>
                <w:sz w:val="15"/>
                <w:szCs w:val="15"/>
                <w:color w:val="231F20"/>
              </w:rPr>
              <w:t>37,972</w:t>
            </w:r>
          </w:p>
        </w:tc>
        <w:tc>
          <w:tcPr>
            <w:tcW w:w="1680" w:type="dxa"/>
            <w:vAlign w:val="bottom"/>
            <w:gridSpan w:val="2"/>
            <w:shd w:val="clear" w:color="auto" w:fill="FDFDFC"/>
          </w:tcPr>
          <w:p>
            <w:pPr>
              <w:jc w:val="right"/>
              <w:spacing w:after="0" w:line="172" w:lineRule="exact"/>
              <w:rPr>
                <w:sz w:val="20"/>
                <w:szCs w:val="20"/>
                <w:color w:val="auto"/>
              </w:rPr>
            </w:pPr>
            <w:r>
              <w:rPr>
                <w:rFonts w:ascii="Times New Roman" w:cs="Times New Roman" w:eastAsia="Times New Roman" w:hAnsi="Times New Roman"/>
                <w:sz w:val="15"/>
                <w:szCs w:val="15"/>
                <w:color w:val="231F20"/>
              </w:rPr>
              <w:t>36,144</w:t>
            </w:r>
          </w:p>
        </w:tc>
        <w:tc>
          <w:tcPr>
            <w:tcW w:w="960" w:type="dxa"/>
            <w:vAlign w:val="bottom"/>
            <w:gridSpan w:val="2"/>
            <w:shd w:val="clear" w:color="auto" w:fill="FDFDFC"/>
          </w:tcPr>
          <w:p>
            <w:pPr>
              <w:jc w:val="right"/>
              <w:spacing w:after="0" w:line="172" w:lineRule="exact"/>
              <w:rPr>
                <w:sz w:val="20"/>
                <w:szCs w:val="20"/>
                <w:color w:val="auto"/>
              </w:rPr>
            </w:pPr>
            <w:r>
              <w:rPr>
                <w:rFonts w:ascii="Times New Roman" w:cs="Times New Roman" w:eastAsia="Times New Roman" w:hAnsi="Times New Roman"/>
                <w:sz w:val="15"/>
                <w:szCs w:val="15"/>
                <w:color w:val="231F20"/>
              </w:rPr>
              <w:t>2.2%</w:t>
            </w:r>
          </w:p>
        </w:tc>
      </w:tr>
      <w:tr>
        <w:trPr>
          <w:trHeight w:val="189"/>
        </w:trPr>
        <w:tc>
          <w:tcPr>
            <w:tcW w:w="1580" w:type="dxa"/>
            <w:vAlign w:val="bottom"/>
            <w:shd w:val="clear" w:color="auto" w:fill="FDFDFC"/>
          </w:tcPr>
          <w:p>
            <w:pPr>
              <w:spacing w:after="0"/>
              <w:rPr>
                <w:sz w:val="16"/>
                <w:szCs w:val="16"/>
                <w:color w:val="auto"/>
              </w:rPr>
            </w:pPr>
          </w:p>
        </w:tc>
        <w:tc>
          <w:tcPr>
            <w:tcW w:w="2200" w:type="dxa"/>
            <w:vAlign w:val="bottom"/>
            <w:shd w:val="clear" w:color="auto" w:fill="FDFDFC"/>
          </w:tcPr>
          <w:p>
            <w:pPr>
              <w:ind w:left="60"/>
              <w:spacing w:after="0"/>
              <w:rPr>
                <w:sz w:val="20"/>
                <w:szCs w:val="20"/>
                <w:color w:val="auto"/>
              </w:rPr>
            </w:pPr>
            <w:r>
              <w:rPr>
                <w:rFonts w:ascii="Times New Roman" w:cs="Times New Roman" w:eastAsia="Times New Roman" w:hAnsi="Times New Roman"/>
                <w:sz w:val="15"/>
                <w:szCs w:val="15"/>
                <w:color w:val="231F20"/>
              </w:rPr>
              <w:t>par, due 6/2025)</w:t>
            </w:r>
          </w:p>
        </w:tc>
        <w:tc>
          <w:tcPr>
            <w:tcW w:w="800" w:type="dxa"/>
            <w:vAlign w:val="bottom"/>
            <w:shd w:val="clear" w:color="auto" w:fill="FDFDFC"/>
          </w:tcPr>
          <w:p>
            <w:pPr>
              <w:spacing w:after="0"/>
              <w:rPr>
                <w:sz w:val="16"/>
                <w:szCs w:val="16"/>
                <w:color w:val="auto"/>
              </w:rPr>
            </w:pPr>
          </w:p>
        </w:tc>
        <w:tc>
          <w:tcPr>
            <w:tcW w:w="1000" w:type="dxa"/>
            <w:vAlign w:val="bottom"/>
            <w:shd w:val="clear" w:color="auto" w:fill="FDFDFC"/>
          </w:tcPr>
          <w:p>
            <w:pPr>
              <w:jc w:val="right"/>
              <w:ind w:right="44"/>
              <w:spacing w:after="0"/>
              <w:rPr>
                <w:sz w:val="20"/>
                <w:szCs w:val="20"/>
                <w:color w:val="auto"/>
              </w:rPr>
            </w:pPr>
            <w:r>
              <w:rPr>
                <w:rFonts w:ascii="Times New Roman" w:cs="Times New Roman" w:eastAsia="Times New Roman" w:hAnsi="Times New Roman"/>
                <w:sz w:val="15"/>
                <w:szCs w:val="15"/>
                <w:color w:val="231F20"/>
              </w:rPr>
              <w:t>9.65%</w:t>
            </w:r>
          </w:p>
        </w:tc>
        <w:tc>
          <w:tcPr>
            <w:tcW w:w="1060" w:type="dxa"/>
            <w:vAlign w:val="bottom"/>
            <w:shd w:val="clear" w:color="auto" w:fill="FDFDFC"/>
          </w:tcPr>
          <w:p>
            <w:pPr>
              <w:spacing w:after="0"/>
              <w:rPr>
                <w:sz w:val="16"/>
                <w:szCs w:val="16"/>
                <w:color w:val="auto"/>
              </w:rPr>
            </w:pPr>
          </w:p>
        </w:tc>
        <w:tc>
          <w:tcPr>
            <w:tcW w:w="1000" w:type="dxa"/>
            <w:vAlign w:val="bottom"/>
            <w:shd w:val="clear" w:color="auto" w:fill="FDFDFC"/>
          </w:tcPr>
          <w:p>
            <w:pPr>
              <w:spacing w:after="0"/>
              <w:rPr>
                <w:sz w:val="16"/>
                <w:szCs w:val="16"/>
                <w:color w:val="auto"/>
              </w:rPr>
            </w:pPr>
          </w:p>
        </w:tc>
        <w:tc>
          <w:tcPr>
            <w:tcW w:w="80" w:type="dxa"/>
            <w:vAlign w:val="bottom"/>
            <w:shd w:val="clear" w:color="auto" w:fill="FDFDFC"/>
          </w:tcPr>
          <w:p>
            <w:pPr>
              <w:spacing w:after="0"/>
              <w:rPr>
                <w:sz w:val="16"/>
                <w:szCs w:val="16"/>
                <w:color w:val="auto"/>
              </w:rPr>
            </w:pPr>
          </w:p>
        </w:tc>
        <w:tc>
          <w:tcPr>
            <w:tcW w:w="1600" w:type="dxa"/>
            <w:vAlign w:val="bottom"/>
            <w:shd w:val="clear" w:color="auto" w:fill="FDFDFC"/>
          </w:tcPr>
          <w:p>
            <w:pPr>
              <w:spacing w:after="0"/>
              <w:rPr>
                <w:sz w:val="16"/>
                <w:szCs w:val="16"/>
                <w:color w:val="auto"/>
              </w:rPr>
            </w:pPr>
          </w:p>
        </w:tc>
        <w:tc>
          <w:tcPr>
            <w:tcW w:w="100" w:type="dxa"/>
            <w:vAlign w:val="bottom"/>
            <w:shd w:val="clear" w:color="auto" w:fill="FDFDFC"/>
          </w:tcPr>
          <w:p>
            <w:pPr>
              <w:spacing w:after="0"/>
              <w:rPr>
                <w:sz w:val="16"/>
                <w:szCs w:val="16"/>
                <w:color w:val="auto"/>
              </w:rPr>
            </w:pPr>
          </w:p>
        </w:tc>
        <w:tc>
          <w:tcPr>
            <w:tcW w:w="860" w:type="dxa"/>
            <w:vAlign w:val="bottom"/>
            <w:shd w:val="clear" w:color="auto" w:fill="FDFDFC"/>
          </w:tcPr>
          <w:p>
            <w:pPr>
              <w:spacing w:after="0"/>
              <w:rPr>
                <w:sz w:val="16"/>
                <w:szCs w:val="16"/>
                <w:color w:val="auto"/>
              </w:rPr>
            </w:pPr>
          </w:p>
        </w:tc>
      </w:tr>
      <w:tr>
        <w:trPr>
          <w:trHeight w:val="171"/>
        </w:trPr>
        <w:tc>
          <w:tcPr>
            <w:tcW w:w="1580" w:type="dxa"/>
            <w:vAlign w:val="bottom"/>
            <w:shd w:val="clear" w:color="auto" w:fill="D0EBF2"/>
          </w:tcPr>
          <w:p>
            <w:pPr>
              <w:spacing w:after="0" w:line="172" w:lineRule="exact"/>
              <w:rPr>
                <w:sz w:val="20"/>
                <w:szCs w:val="20"/>
                <w:color w:val="auto"/>
              </w:rPr>
            </w:pPr>
            <w:r>
              <w:rPr>
                <w:rFonts w:ascii="Times New Roman" w:cs="Times New Roman" w:eastAsia="Times New Roman" w:hAnsi="Times New Roman"/>
                <w:sz w:val="15"/>
                <w:szCs w:val="15"/>
                <w:color w:val="231F20"/>
              </w:rPr>
              <w:t>QSR Acquisition Co.</w:t>
            </w:r>
          </w:p>
        </w:tc>
        <w:tc>
          <w:tcPr>
            <w:tcW w:w="2200" w:type="dxa"/>
            <w:vAlign w:val="bottom"/>
            <w:shd w:val="clear" w:color="auto" w:fill="D0EBF2"/>
          </w:tcPr>
          <w:p>
            <w:pPr>
              <w:ind w:left="60"/>
              <w:spacing w:after="0" w:line="172" w:lineRule="exact"/>
              <w:rPr>
                <w:sz w:val="20"/>
                <w:szCs w:val="20"/>
                <w:color w:val="auto"/>
              </w:rPr>
            </w:pPr>
            <w:r>
              <w:rPr>
                <w:rFonts w:ascii="Times New Roman" w:cs="Times New Roman" w:eastAsia="Times New Roman" w:hAnsi="Times New Roman"/>
                <w:sz w:val="15"/>
                <w:szCs w:val="15"/>
                <w:color w:val="231F20"/>
              </w:rPr>
              <w:t>First-lien loan ($30,000 par, due</w:t>
            </w:r>
          </w:p>
        </w:tc>
        <w:tc>
          <w:tcPr>
            <w:tcW w:w="800" w:type="dxa"/>
            <w:vAlign w:val="bottom"/>
            <w:shd w:val="clear" w:color="auto" w:fill="D0EBF2"/>
          </w:tcPr>
          <w:p>
            <w:pPr>
              <w:jc w:val="right"/>
              <w:spacing w:after="0" w:line="172" w:lineRule="exact"/>
              <w:rPr>
                <w:sz w:val="20"/>
                <w:szCs w:val="20"/>
                <w:color w:val="auto"/>
              </w:rPr>
            </w:pPr>
            <w:r>
              <w:rPr>
                <w:rFonts w:ascii="Times New Roman" w:cs="Times New Roman" w:eastAsia="Times New Roman" w:hAnsi="Times New Roman"/>
                <w:sz w:val="15"/>
                <w:szCs w:val="15"/>
                <w:color w:val="231F20"/>
              </w:rPr>
              <w:t>10/31/2024</w:t>
            </w:r>
          </w:p>
        </w:tc>
        <w:tc>
          <w:tcPr>
            <w:tcW w:w="1000" w:type="dxa"/>
            <w:vAlign w:val="bottom"/>
            <w:shd w:val="clear" w:color="auto" w:fill="D0EBF2"/>
          </w:tcPr>
          <w:p>
            <w:pPr>
              <w:jc w:val="right"/>
              <w:ind w:right="44"/>
              <w:spacing w:after="0" w:line="172" w:lineRule="exact"/>
              <w:rPr>
                <w:sz w:val="20"/>
                <w:szCs w:val="20"/>
                <w:color w:val="auto"/>
              </w:rPr>
            </w:pPr>
            <w:r>
              <w:rPr>
                <w:rFonts w:ascii="Times New Roman" w:cs="Times New Roman" w:eastAsia="Times New Roman" w:hAnsi="Times New Roman"/>
                <w:sz w:val="15"/>
                <w:szCs w:val="15"/>
                <w:color w:val="231F20"/>
              </w:rPr>
              <w:t>SOFR +</w:t>
            </w:r>
          </w:p>
        </w:tc>
        <w:tc>
          <w:tcPr>
            <w:tcW w:w="1060" w:type="dxa"/>
            <w:vAlign w:val="bottom"/>
            <w:shd w:val="clear" w:color="auto" w:fill="D0EBF2"/>
          </w:tcPr>
          <w:p>
            <w:pPr>
              <w:jc w:val="right"/>
              <w:ind w:right="64"/>
              <w:spacing w:after="0" w:line="172" w:lineRule="exact"/>
              <w:rPr>
                <w:sz w:val="20"/>
                <w:szCs w:val="20"/>
                <w:color w:val="auto"/>
              </w:rPr>
            </w:pPr>
            <w:r>
              <w:rPr>
                <w:rFonts w:ascii="Times New Roman" w:cs="Times New Roman" w:eastAsia="Times New Roman" w:hAnsi="Times New Roman"/>
                <w:sz w:val="15"/>
                <w:szCs w:val="15"/>
                <w:color w:val="231F20"/>
              </w:rPr>
              <w:t>9.84%</w:t>
            </w:r>
          </w:p>
        </w:tc>
        <w:tc>
          <w:tcPr>
            <w:tcW w:w="1000" w:type="dxa"/>
            <w:vAlign w:val="bottom"/>
            <w:shd w:val="clear" w:color="auto" w:fill="D0EBF2"/>
          </w:tcPr>
          <w:p>
            <w:pPr>
              <w:jc w:val="right"/>
              <w:spacing w:after="0" w:line="172" w:lineRule="exact"/>
              <w:rPr>
                <w:sz w:val="20"/>
                <w:szCs w:val="20"/>
                <w:color w:val="auto"/>
              </w:rPr>
            </w:pPr>
            <w:r>
              <w:rPr>
                <w:rFonts w:ascii="Times New Roman" w:cs="Times New Roman" w:eastAsia="Times New Roman" w:hAnsi="Times New Roman"/>
                <w:sz w:val="15"/>
                <w:szCs w:val="15"/>
                <w:color w:val="231F20"/>
              </w:rPr>
              <w:t>29,461</w:t>
            </w:r>
          </w:p>
        </w:tc>
        <w:tc>
          <w:tcPr>
            <w:tcW w:w="1680" w:type="dxa"/>
            <w:vAlign w:val="bottom"/>
            <w:gridSpan w:val="2"/>
            <w:shd w:val="clear" w:color="auto" w:fill="D0EBF2"/>
          </w:tcPr>
          <w:p>
            <w:pPr>
              <w:jc w:val="right"/>
              <w:spacing w:after="0" w:line="172" w:lineRule="exact"/>
              <w:rPr>
                <w:sz w:val="20"/>
                <w:szCs w:val="20"/>
                <w:color w:val="auto"/>
              </w:rPr>
            </w:pPr>
            <w:r>
              <w:rPr>
                <w:rFonts w:ascii="Times New Roman" w:cs="Times New Roman" w:eastAsia="Times New Roman" w:hAnsi="Times New Roman"/>
                <w:sz w:val="15"/>
                <w:szCs w:val="15"/>
                <w:color w:val="231F20"/>
              </w:rPr>
              <w:t>29,550</w:t>
            </w:r>
          </w:p>
        </w:tc>
        <w:tc>
          <w:tcPr>
            <w:tcW w:w="960" w:type="dxa"/>
            <w:vAlign w:val="bottom"/>
            <w:gridSpan w:val="2"/>
            <w:shd w:val="clear" w:color="auto" w:fill="D0EBF2"/>
          </w:tcPr>
          <w:p>
            <w:pPr>
              <w:jc w:val="right"/>
              <w:spacing w:after="0" w:line="172" w:lineRule="exact"/>
              <w:rPr>
                <w:sz w:val="20"/>
                <w:szCs w:val="20"/>
                <w:color w:val="auto"/>
              </w:rPr>
            </w:pPr>
            <w:r>
              <w:rPr>
                <w:rFonts w:ascii="Times New Roman" w:cs="Times New Roman" w:eastAsia="Times New Roman" w:hAnsi="Times New Roman"/>
                <w:sz w:val="15"/>
                <w:szCs w:val="15"/>
                <w:color w:val="231F20"/>
              </w:rPr>
              <w:t>1.8%</w:t>
            </w:r>
          </w:p>
        </w:tc>
      </w:tr>
      <w:tr>
        <w:trPr>
          <w:trHeight w:val="189"/>
        </w:trPr>
        <w:tc>
          <w:tcPr>
            <w:tcW w:w="1580" w:type="dxa"/>
            <w:vAlign w:val="bottom"/>
            <w:shd w:val="clear" w:color="auto" w:fill="D0EBF2"/>
          </w:tcPr>
          <w:p>
            <w:pPr>
              <w:spacing w:after="0"/>
              <w:rPr>
                <w:sz w:val="20"/>
                <w:szCs w:val="20"/>
                <w:color w:val="auto"/>
              </w:rPr>
            </w:pPr>
            <w:r>
              <w:rPr>
                <w:rFonts w:ascii="Times New Roman" w:cs="Times New Roman" w:eastAsia="Times New Roman" w:hAnsi="Times New Roman"/>
                <w:sz w:val="9"/>
                <w:szCs w:val="9"/>
                <w:color w:val="231F20"/>
              </w:rPr>
              <w:t>(3)(5)</w:t>
            </w:r>
          </w:p>
        </w:tc>
        <w:tc>
          <w:tcPr>
            <w:tcW w:w="2200" w:type="dxa"/>
            <w:vAlign w:val="bottom"/>
            <w:shd w:val="clear" w:color="auto" w:fill="D0EBF2"/>
          </w:tcPr>
          <w:p>
            <w:pPr>
              <w:ind w:left="60"/>
              <w:spacing w:after="0"/>
              <w:rPr>
                <w:sz w:val="20"/>
                <w:szCs w:val="20"/>
                <w:color w:val="auto"/>
              </w:rPr>
            </w:pPr>
            <w:r>
              <w:rPr>
                <w:rFonts w:ascii="Times New Roman" w:cs="Times New Roman" w:eastAsia="Times New Roman" w:hAnsi="Times New Roman"/>
                <w:sz w:val="15"/>
                <w:szCs w:val="15"/>
                <w:color w:val="231F20"/>
              </w:rPr>
              <w:t>10/2030)</w:t>
            </w:r>
          </w:p>
        </w:tc>
        <w:tc>
          <w:tcPr>
            <w:tcW w:w="800" w:type="dxa"/>
            <w:vAlign w:val="bottom"/>
            <w:shd w:val="clear" w:color="auto" w:fill="D0EBF2"/>
          </w:tcPr>
          <w:p>
            <w:pPr>
              <w:spacing w:after="0"/>
              <w:rPr>
                <w:sz w:val="16"/>
                <w:szCs w:val="16"/>
                <w:color w:val="auto"/>
              </w:rPr>
            </w:pPr>
          </w:p>
        </w:tc>
        <w:tc>
          <w:tcPr>
            <w:tcW w:w="1000" w:type="dxa"/>
            <w:vAlign w:val="bottom"/>
            <w:shd w:val="clear" w:color="auto" w:fill="D0EBF2"/>
          </w:tcPr>
          <w:p>
            <w:pPr>
              <w:jc w:val="right"/>
              <w:ind w:right="44"/>
              <w:spacing w:after="0"/>
              <w:rPr>
                <w:sz w:val="20"/>
                <w:szCs w:val="20"/>
                <w:color w:val="auto"/>
              </w:rPr>
            </w:pPr>
            <w:r>
              <w:rPr>
                <w:rFonts w:ascii="Times New Roman" w:cs="Times New Roman" w:eastAsia="Times New Roman" w:hAnsi="Times New Roman"/>
                <w:sz w:val="15"/>
                <w:szCs w:val="15"/>
                <w:color w:val="231F20"/>
              </w:rPr>
              <w:t>5.25%</w:t>
            </w:r>
          </w:p>
        </w:tc>
        <w:tc>
          <w:tcPr>
            <w:tcW w:w="1060" w:type="dxa"/>
            <w:vAlign w:val="bottom"/>
            <w:shd w:val="clear" w:color="auto" w:fill="D0EBF2"/>
          </w:tcPr>
          <w:p>
            <w:pPr>
              <w:spacing w:after="0"/>
              <w:rPr>
                <w:sz w:val="16"/>
                <w:szCs w:val="16"/>
                <w:color w:val="auto"/>
              </w:rPr>
            </w:pPr>
          </w:p>
        </w:tc>
        <w:tc>
          <w:tcPr>
            <w:tcW w:w="1000" w:type="dxa"/>
            <w:vAlign w:val="bottom"/>
            <w:shd w:val="clear" w:color="auto" w:fill="D0EBF2"/>
          </w:tcPr>
          <w:p>
            <w:pPr>
              <w:spacing w:after="0"/>
              <w:rPr>
                <w:sz w:val="16"/>
                <w:szCs w:val="16"/>
                <w:color w:val="auto"/>
              </w:rPr>
            </w:pPr>
          </w:p>
        </w:tc>
        <w:tc>
          <w:tcPr>
            <w:tcW w:w="80" w:type="dxa"/>
            <w:vAlign w:val="bottom"/>
            <w:shd w:val="clear" w:color="auto" w:fill="D0EBF2"/>
          </w:tcPr>
          <w:p>
            <w:pPr>
              <w:spacing w:after="0"/>
              <w:rPr>
                <w:sz w:val="16"/>
                <w:szCs w:val="16"/>
                <w:color w:val="auto"/>
              </w:rPr>
            </w:pPr>
          </w:p>
        </w:tc>
        <w:tc>
          <w:tcPr>
            <w:tcW w:w="1600" w:type="dxa"/>
            <w:vAlign w:val="bottom"/>
            <w:shd w:val="clear" w:color="auto" w:fill="D0EBF2"/>
          </w:tcPr>
          <w:p>
            <w:pPr>
              <w:spacing w:after="0"/>
              <w:rPr>
                <w:sz w:val="16"/>
                <w:szCs w:val="16"/>
                <w:color w:val="auto"/>
              </w:rPr>
            </w:pPr>
          </w:p>
        </w:tc>
        <w:tc>
          <w:tcPr>
            <w:tcW w:w="100" w:type="dxa"/>
            <w:vAlign w:val="bottom"/>
            <w:shd w:val="clear" w:color="auto" w:fill="D0EBF2"/>
          </w:tcPr>
          <w:p>
            <w:pPr>
              <w:spacing w:after="0"/>
              <w:rPr>
                <w:sz w:val="16"/>
                <w:szCs w:val="16"/>
                <w:color w:val="auto"/>
              </w:rPr>
            </w:pPr>
          </w:p>
        </w:tc>
        <w:tc>
          <w:tcPr>
            <w:tcW w:w="860" w:type="dxa"/>
            <w:vAlign w:val="bottom"/>
            <w:shd w:val="clear" w:color="auto" w:fill="D0EBF2"/>
          </w:tcPr>
          <w:p>
            <w:pPr>
              <w:spacing w:after="0"/>
              <w:rPr>
                <w:sz w:val="16"/>
                <w:szCs w:val="16"/>
                <w:color w:val="auto"/>
              </w:rPr>
            </w:pPr>
          </w:p>
        </w:tc>
      </w:tr>
      <w:tr>
        <w:trPr>
          <w:trHeight w:val="171"/>
        </w:trPr>
        <w:tc>
          <w:tcPr>
            <w:tcW w:w="1580" w:type="dxa"/>
            <w:vAlign w:val="bottom"/>
            <w:shd w:val="clear" w:color="auto" w:fill="FDFDFC"/>
          </w:tcPr>
          <w:p>
            <w:pPr>
              <w:spacing w:after="0" w:line="172" w:lineRule="exact"/>
              <w:rPr>
                <w:sz w:val="20"/>
                <w:szCs w:val="20"/>
                <w:color w:val="auto"/>
              </w:rPr>
            </w:pPr>
            <w:r>
              <w:rPr>
                <w:rFonts w:ascii="Times New Roman" w:cs="Times New Roman" w:eastAsia="Times New Roman" w:hAnsi="Times New Roman"/>
                <w:sz w:val="15"/>
                <w:szCs w:val="15"/>
                <w:color w:val="231F20"/>
              </w:rPr>
              <w:t>Sport Alliance GmbH</w:t>
            </w:r>
          </w:p>
        </w:tc>
        <w:tc>
          <w:tcPr>
            <w:tcW w:w="2200" w:type="dxa"/>
            <w:vAlign w:val="bottom"/>
            <w:shd w:val="clear" w:color="auto" w:fill="FDFDFC"/>
          </w:tcPr>
          <w:p>
            <w:pPr>
              <w:ind w:left="60"/>
              <w:spacing w:after="0" w:line="172" w:lineRule="exact"/>
              <w:rPr>
                <w:sz w:val="20"/>
                <w:szCs w:val="20"/>
                <w:color w:val="auto"/>
              </w:rPr>
            </w:pPr>
            <w:r>
              <w:rPr>
                <w:rFonts w:ascii="Times New Roman" w:cs="Times New Roman" w:eastAsia="Times New Roman" w:hAnsi="Times New Roman"/>
                <w:sz w:val="15"/>
                <w:szCs w:val="15"/>
                <w:color w:val="231F20"/>
              </w:rPr>
              <w:t>First-lien loan (EUR 4,494 par,</w:t>
            </w:r>
          </w:p>
        </w:tc>
        <w:tc>
          <w:tcPr>
            <w:tcW w:w="800" w:type="dxa"/>
            <w:vAlign w:val="bottom"/>
            <w:shd w:val="clear" w:color="auto" w:fill="FDFDFC"/>
          </w:tcPr>
          <w:p>
            <w:pPr>
              <w:jc w:val="right"/>
              <w:spacing w:after="0" w:line="172" w:lineRule="exact"/>
              <w:rPr>
                <w:sz w:val="20"/>
                <w:szCs w:val="20"/>
                <w:color w:val="auto"/>
              </w:rPr>
            </w:pPr>
            <w:r>
              <w:rPr>
                <w:rFonts w:ascii="Times New Roman" w:cs="Times New Roman" w:eastAsia="Times New Roman" w:hAnsi="Times New Roman"/>
                <w:sz w:val="15"/>
                <w:szCs w:val="15"/>
                <w:color w:val="231F20"/>
              </w:rPr>
              <w:t>4/10/2024</w:t>
            </w:r>
          </w:p>
        </w:tc>
        <w:tc>
          <w:tcPr>
            <w:tcW w:w="1000" w:type="dxa"/>
            <w:vAlign w:val="bottom"/>
            <w:shd w:val="clear" w:color="auto" w:fill="FDFDFC"/>
          </w:tcPr>
          <w:p>
            <w:pPr>
              <w:jc w:val="right"/>
              <w:ind w:right="44"/>
              <w:spacing w:after="0" w:line="172" w:lineRule="exact"/>
              <w:rPr>
                <w:sz w:val="20"/>
                <w:szCs w:val="20"/>
                <w:color w:val="auto"/>
              </w:rPr>
            </w:pPr>
            <w:r>
              <w:rPr>
                <w:rFonts w:ascii="Times New Roman" w:cs="Times New Roman" w:eastAsia="Times New Roman" w:hAnsi="Times New Roman"/>
                <w:sz w:val="15"/>
                <w:szCs w:val="15"/>
                <w:color w:val="231F20"/>
              </w:rPr>
              <w:t>E + 7.25%</w:t>
            </w:r>
          </w:p>
        </w:tc>
        <w:tc>
          <w:tcPr>
            <w:tcW w:w="1060" w:type="dxa"/>
            <w:vAlign w:val="bottom"/>
            <w:shd w:val="clear" w:color="auto" w:fill="FDFDFC"/>
          </w:tcPr>
          <w:p>
            <w:pPr>
              <w:jc w:val="right"/>
              <w:ind w:right="64"/>
              <w:spacing w:after="0" w:line="172" w:lineRule="exact"/>
              <w:rPr>
                <w:sz w:val="20"/>
                <w:szCs w:val="20"/>
                <w:color w:val="auto"/>
              </w:rPr>
            </w:pPr>
            <w:r>
              <w:rPr>
                <w:rFonts w:ascii="Times New Roman" w:cs="Times New Roman" w:eastAsia="Times New Roman" w:hAnsi="Times New Roman"/>
                <w:sz w:val="15"/>
                <w:szCs w:val="15"/>
                <w:color w:val="231F20"/>
              </w:rPr>
              <w:t>10.15% (incl.</w:t>
            </w:r>
          </w:p>
        </w:tc>
        <w:tc>
          <w:tcPr>
            <w:tcW w:w="1000" w:type="dxa"/>
            <w:vAlign w:val="bottom"/>
            <w:shd w:val="clear" w:color="auto" w:fill="FDFDFC"/>
          </w:tcPr>
          <w:p>
            <w:pPr>
              <w:jc w:val="right"/>
              <w:spacing w:after="0" w:line="172" w:lineRule="exact"/>
              <w:rPr>
                <w:sz w:val="20"/>
                <w:szCs w:val="20"/>
                <w:color w:val="auto"/>
              </w:rPr>
            </w:pPr>
            <w:r>
              <w:rPr>
                <w:rFonts w:ascii="Times New Roman" w:cs="Times New Roman" w:eastAsia="Times New Roman" w:hAnsi="Times New Roman"/>
                <w:sz w:val="15"/>
                <w:szCs w:val="15"/>
                <w:color w:val="231F20"/>
              </w:rPr>
              <w:t>4,712</w:t>
            </w:r>
          </w:p>
        </w:tc>
        <w:tc>
          <w:tcPr>
            <w:tcW w:w="1680" w:type="dxa"/>
            <w:vAlign w:val="bottom"/>
            <w:gridSpan w:val="2"/>
            <w:shd w:val="clear" w:color="auto" w:fill="FDFDFC"/>
          </w:tcPr>
          <w:p>
            <w:pPr>
              <w:jc w:val="right"/>
              <w:spacing w:after="0" w:line="172" w:lineRule="exact"/>
              <w:rPr>
                <w:sz w:val="20"/>
                <w:szCs w:val="20"/>
                <w:color w:val="auto"/>
              </w:rPr>
            </w:pPr>
            <w:r>
              <w:rPr>
                <w:rFonts w:ascii="Times New Roman" w:cs="Times New Roman" w:eastAsia="Times New Roman" w:hAnsi="Times New Roman"/>
                <w:sz w:val="15"/>
                <w:szCs w:val="15"/>
                <w:color w:val="231F20"/>
              </w:rPr>
              <w:t>4,601</w:t>
            </w:r>
          </w:p>
        </w:tc>
        <w:tc>
          <w:tcPr>
            <w:tcW w:w="960" w:type="dxa"/>
            <w:vAlign w:val="bottom"/>
            <w:gridSpan w:val="2"/>
            <w:shd w:val="clear" w:color="auto" w:fill="FDFDFC"/>
          </w:tcPr>
          <w:p>
            <w:pPr>
              <w:jc w:val="right"/>
              <w:spacing w:after="0" w:line="172" w:lineRule="exact"/>
              <w:rPr>
                <w:sz w:val="20"/>
                <w:szCs w:val="20"/>
                <w:color w:val="auto"/>
              </w:rPr>
            </w:pPr>
            <w:r>
              <w:rPr>
                <w:rFonts w:ascii="Times New Roman" w:cs="Times New Roman" w:eastAsia="Times New Roman" w:hAnsi="Times New Roman"/>
                <w:sz w:val="15"/>
                <w:szCs w:val="15"/>
                <w:color w:val="231F20"/>
              </w:rPr>
              <w:t>0.3%</w:t>
            </w:r>
          </w:p>
        </w:tc>
      </w:tr>
      <w:tr>
        <w:trPr>
          <w:trHeight w:val="189"/>
        </w:trPr>
        <w:tc>
          <w:tcPr>
            <w:tcW w:w="1580" w:type="dxa"/>
            <w:vAlign w:val="bottom"/>
            <w:tcBorders>
              <w:bottom w:val="single" w:sz="8" w:color="D0EBF2"/>
            </w:tcBorders>
            <w:shd w:val="clear" w:color="auto" w:fill="FDFDFC"/>
          </w:tcPr>
          <w:p>
            <w:pPr>
              <w:spacing w:after="0"/>
              <w:rPr>
                <w:sz w:val="20"/>
                <w:szCs w:val="20"/>
                <w:color w:val="auto"/>
              </w:rPr>
            </w:pPr>
            <w:r>
              <w:rPr>
                <w:rFonts w:ascii="Times New Roman" w:cs="Times New Roman" w:eastAsia="Times New Roman" w:hAnsi="Times New Roman"/>
                <w:sz w:val="9"/>
                <w:szCs w:val="9"/>
                <w:color w:val="231F20"/>
              </w:rPr>
              <w:t>(3)(4)</w:t>
            </w:r>
          </w:p>
        </w:tc>
        <w:tc>
          <w:tcPr>
            <w:tcW w:w="2200" w:type="dxa"/>
            <w:vAlign w:val="bottom"/>
            <w:tcBorders>
              <w:bottom w:val="single" w:sz="8" w:color="D0EBF2"/>
            </w:tcBorders>
            <w:shd w:val="clear" w:color="auto" w:fill="FDFDFC"/>
          </w:tcPr>
          <w:p>
            <w:pPr>
              <w:ind w:left="60"/>
              <w:spacing w:after="0"/>
              <w:rPr>
                <w:sz w:val="20"/>
                <w:szCs w:val="20"/>
                <w:color w:val="auto"/>
              </w:rPr>
            </w:pPr>
            <w:r>
              <w:rPr>
                <w:rFonts w:ascii="Times New Roman" w:cs="Times New Roman" w:eastAsia="Times New Roman" w:hAnsi="Times New Roman"/>
                <w:sz w:val="15"/>
                <w:szCs w:val="15"/>
                <w:color w:val="231F20"/>
              </w:rPr>
              <w:t>due 4/2030)</w:t>
            </w:r>
          </w:p>
        </w:tc>
        <w:tc>
          <w:tcPr>
            <w:tcW w:w="800" w:type="dxa"/>
            <w:vAlign w:val="bottom"/>
            <w:tcBorders>
              <w:bottom w:val="single" w:sz="8" w:color="D0EBF2"/>
            </w:tcBorders>
            <w:shd w:val="clear" w:color="auto" w:fill="FDFDFC"/>
          </w:tcPr>
          <w:p>
            <w:pPr>
              <w:spacing w:after="0"/>
              <w:rPr>
                <w:sz w:val="16"/>
                <w:szCs w:val="16"/>
                <w:color w:val="auto"/>
              </w:rPr>
            </w:pPr>
          </w:p>
        </w:tc>
        <w:tc>
          <w:tcPr>
            <w:tcW w:w="1000" w:type="dxa"/>
            <w:vAlign w:val="bottom"/>
            <w:tcBorders>
              <w:bottom w:val="single" w:sz="8" w:color="D0EBF2"/>
            </w:tcBorders>
            <w:shd w:val="clear" w:color="auto" w:fill="FDFDFC"/>
          </w:tcPr>
          <w:p>
            <w:pPr>
              <w:spacing w:after="0"/>
              <w:rPr>
                <w:sz w:val="16"/>
                <w:szCs w:val="16"/>
                <w:color w:val="auto"/>
              </w:rPr>
            </w:pPr>
          </w:p>
        </w:tc>
        <w:tc>
          <w:tcPr>
            <w:tcW w:w="1060" w:type="dxa"/>
            <w:vAlign w:val="bottom"/>
            <w:tcBorders>
              <w:bottom w:val="single" w:sz="8" w:color="D0EBF2"/>
            </w:tcBorders>
            <w:shd w:val="clear" w:color="auto" w:fill="FDFDFC"/>
          </w:tcPr>
          <w:p>
            <w:pPr>
              <w:jc w:val="right"/>
              <w:ind w:right="64"/>
              <w:spacing w:after="0"/>
              <w:rPr>
                <w:sz w:val="20"/>
                <w:szCs w:val="20"/>
                <w:color w:val="auto"/>
              </w:rPr>
            </w:pPr>
            <w:r>
              <w:rPr>
                <w:rFonts w:ascii="Times New Roman" w:cs="Times New Roman" w:eastAsia="Times New Roman" w:hAnsi="Times New Roman"/>
                <w:sz w:val="15"/>
                <w:szCs w:val="15"/>
                <w:color w:val="231F20"/>
              </w:rPr>
              <w:t>3.88% PIK)</w:t>
            </w:r>
          </w:p>
        </w:tc>
        <w:tc>
          <w:tcPr>
            <w:tcW w:w="1000" w:type="dxa"/>
            <w:vAlign w:val="bottom"/>
            <w:tcBorders>
              <w:bottom w:val="single" w:sz="8" w:color="231F20"/>
            </w:tcBorders>
            <w:shd w:val="clear" w:color="auto" w:fill="FDFDFC"/>
          </w:tcPr>
          <w:p>
            <w:pPr>
              <w:spacing w:after="0"/>
              <w:rPr>
                <w:sz w:val="16"/>
                <w:szCs w:val="16"/>
                <w:color w:val="auto"/>
              </w:rPr>
            </w:pPr>
          </w:p>
        </w:tc>
        <w:tc>
          <w:tcPr>
            <w:tcW w:w="80" w:type="dxa"/>
            <w:vAlign w:val="bottom"/>
            <w:tcBorders>
              <w:bottom w:val="single" w:sz="8" w:color="D0EBF2"/>
            </w:tcBorders>
            <w:shd w:val="clear" w:color="auto" w:fill="FDFDFC"/>
          </w:tcPr>
          <w:p>
            <w:pPr>
              <w:spacing w:after="0"/>
              <w:rPr>
                <w:sz w:val="16"/>
                <w:szCs w:val="16"/>
                <w:color w:val="auto"/>
              </w:rPr>
            </w:pPr>
          </w:p>
        </w:tc>
        <w:tc>
          <w:tcPr>
            <w:tcW w:w="1600" w:type="dxa"/>
            <w:vAlign w:val="bottom"/>
            <w:tcBorders>
              <w:bottom w:val="single" w:sz="8" w:color="231F20"/>
            </w:tcBorders>
            <w:shd w:val="clear" w:color="auto" w:fill="FDFDFC"/>
          </w:tcPr>
          <w:p>
            <w:pPr>
              <w:jc w:val="right"/>
              <w:spacing w:after="0"/>
              <w:rPr>
                <w:sz w:val="20"/>
                <w:szCs w:val="20"/>
                <w:color w:val="auto"/>
              </w:rPr>
            </w:pPr>
            <w:r>
              <w:rPr>
                <w:rFonts w:ascii="Times New Roman" w:cs="Times New Roman" w:eastAsia="Times New Roman" w:hAnsi="Times New Roman"/>
                <w:sz w:val="15"/>
                <w:szCs w:val="15"/>
                <w:color w:val="231F20"/>
              </w:rPr>
              <w:t>(EUR 4,443)</w:t>
            </w:r>
          </w:p>
        </w:tc>
        <w:tc>
          <w:tcPr>
            <w:tcW w:w="100" w:type="dxa"/>
            <w:vAlign w:val="bottom"/>
            <w:tcBorders>
              <w:bottom w:val="single" w:sz="8" w:color="D0EBF2"/>
            </w:tcBorders>
            <w:shd w:val="clear" w:color="auto" w:fill="FDFDFC"/>
          </w:tcPr>
          <w:p>
            <w:pPr>
              <w:spacing w:after="0"/>
              <w:rPr>
                <w:sz w:val="16"/>
                <w:szCs w:val="16"/>
                <w:color w:val="auto"/>
              </w:rPr>
            </w:pPr>
          </w:p>
        </w:tc>
        <w:tc>
          <w:tcPr>
            <w:tcW w:w="860" w:type="dxa"/>
            <w:vAlign w:val="bottom"/>
            <w:tcBorders>
              <w:bottom w:val="single" w:sz="8" w:color="231F20"/>
            </w:tcBorders>
            <w:shd w:val="clear" w:color="auto" w:fill="FDFDFC"/>
          </w:tcPr>
          <w:p>
            <w:pPr>
              <w:spacing w:after="0"/>
              <w:rPr>
                <w:sz w:val="16"/>
                <w:szCs w:val="16"/>
                <w:color w:val="auto"/>
              </w:rPr>
            </w:pPr>
          </w:p>
        </w:tc>
      </w:tr>
      <w:tr>
        <w:trPr>
          <w:trHeight w:val="176"/>
        </w:trPr>
        <w:tc>
          <w:tcPr>
            <w:tcW w:w="1580" w:type="dxa"/>
            <w:vAlign w:val="bottom"/>
            <w:tcBorders>
              <w:bottom w:val="single" w:sz="8" w:color="FDFDFC"/>
            </w:tcBorders>
            <w:shd w:val="clear" w:color="auto" w:fill="D0EBF2"/>
          </w:tcPr>
          <w:p>
            <w:pPr>
              <w:spacing w:after="0"/>
              <w:rPr>
                <w:sz w:val="15"/>
                <w:szCs w:val="15"/>
                <w:color w:val="auto"/>
              </w:rPr>
            </w:pPr>
          </w:p>
        </w:tc>
        <w:tc>
          <w:tcPr>
            <w:tcW w:w="2200" w:type="dxa"/>
            <w:vAlign w:val="bottom"/>
            <w:tcBorders>
              <w:bottom w:val="single" w:sz="8" w:color="FDFDFC"/>
            </w:tcBorders>
            <w:shd w:val="clear" w:color="auto" w:fill="D0EBF2"/>
          </w:tcPr>
          <w:p>
            <w:pPr>
              <w:spacing w:after="0"/>
              <w:rPr>
                <w:sz w:val="15"/>
                <w:szCs w:val="15"/>
                <w:color w:val="auto"/>
              </w:rPr>
            </w:pPr>
          </w:p>
        </w:tc>
        <w:tc>
          <w:tcPr>
            <w:tcW w:w="800" w:type="dxa"/>
            <w:vAlign w:val="bottom"/>
            <w:tcBorders>
              <w:bottom w:val="single" w:sz="8" w:color="FDFDFC"/>
            </w:tcBorders>
            <w:shd w:val="clear" w:color="auto" w:fill="D0EBF2"/>
          </w:tcPr>
          <w:p>
            <w:pPr>
              <w:spacing w:after="0"/>
              <w:rPr>
                <w:sz w:val="15"/>
                <w:szCs w:val="15"/>
                <w:color w:val="auto"/>
              </w:rPr>
            </w:pPr>
          </w:p>
        </w:tc>
        <w:tc>
          <w:tcPr>
            <w:tcW w:w="1000" w:type="dxa"/>
            <w:vAlign w:val="bottom"/>
            <w:tcBorders>
              <w:bottom w:val="single" w:sz="8" w:color="FDFDFC"/>
            </w:tcBorders>
            <w:shd w:val="clear" w:color="auto" w:fill="D0EBF2"/>
          </w:tcPr>
          <w:p>
            <w:pPr>
              <w:spacing w:after="0"/>
              <w:rPr>
                <w:sz w:val="15"/>
                <w:szCs w:val="15"/>
                <w:color w:val="auto"/>
              </w:rPr>
            </w:pPr>
          </w:p>
        </w:tc>
        <w:tc>
          <w:tcPr>
            <w:tcW w:w="1060" w:type="dxa"/>
            <w:vAlign w:val="bottom"/>
            <w:tcBorders>
              <w:bottom w:val="single" w:sz="8" w:color="FDFDFC"/>
            </w:tcBorders>
            <w:shd w:val="clear" w:color="auto" w:fill="D0EBF2"/>
          </w:tcPr>
          <w:p>
            <w:pPr>
              <w:spacing w:after="0"/>
              <w:rPr>
                <w:sz w:val="15"/>
                <w:szCs w:val="15"/>
                <w:color w:val="auto"/>
              </w:rPr>
            </w:pPr>
          </w:p>
        </w:tc>
        <w:tc>
          <w:tcPr>
            <w:tcW w:w="1000" w:type="dxa"/>
            <w:vAlign w:val="bottom"/>
            <w:tcBorders>
              <w:bottom w:val="single" w:sz="8" w:color="231F20"/>
            </w:tcBorders>
            <w:shd w:val="clear" w:color="auto" w:fill="D0EBF2"/>
          </w:tcPr>
          <w:p>
            <w:pPr>
              <w:jc w:val="right"/>
              <w:spacing w:after="0"/>
              <w:rPr>
                <w:sz w:val="20"/>
                <w:szCs w:val="20"/>
                <w:color w:val="auto"/>
              </w:rPr>
            </w:pPr>
            <w:r>
              <w:rPr>
                <w:rFonts w:ascii="Times New Roman" w:cs="Times New Roman" w:eastAsia="Times New Roman" w:hAnsi="Times New Roman"/>
                <w:sz w:val="15"/>
                <w:szCs w:val="15"/>
                <w:color w:val="231F20"/>
              </w:rPr>
              <w:t>260,128</w:t>
            </w:r>
          </w:p>
        </w:tc>
        <w:tc>
          <w:tcPr>
            <w:tcW w:w="80" w:type="dxa"/>
            <w:vAlign w:val="bottom"/>
            <w:tcBorders>
              <w:bottom w:val="single" w:sz="8" w:color="FDFDFC"/>
            </w:tcBorders>
            <w:shd w:val="clear" w:color="auto" w:fill="D0EBF2"/>
          </w:tcPr>
          <w:p>
            <w:pPr>
              <w:spacing w:after="0"/>
              <w:rPr>
                <w:sz w:val="15"/>
                <w:szCs w:val="15"/>
                <w:color w:val="auto"/>
              </w:rPr>
            </w:pPr>
          </w:p>
        </w:tc>
        <w:tc>
          <w:tcPr>
            <w:tcW w:w="1600" w:type="dxa"/>
            <w:vAlign w:val="bottom"/>
            <w:tcBorders>
              <w:bottom w:val="single" w:sz="8" w:color="231F20"/>
            </w:tcBorders>
            <w:shd w:val="clear" w:color="auto" w:fill="D0EBF2"/>
          </w:tcPr>
          <w:p>
            <w:pPr>
              <w:jc w:val="right"/>
              <w:spacing w:after="0"/>
              <w:rPr>
                <w:sz w:val="20"/>
                <w:szCs w:val="20"/>
                <w:color w:val="auto"/>
              </w:rPr>
            </w:pPr>
            <w:r>
              <w:rPr>
                <w:rFonts w:ascii="Times New Roman" w:cs="Times New Roman" w:eastAsia="Times New Roman" w:hAnsi="Times New Roman"/>
                <w:sz w:val="15"/>
                <w:szCs w:val="15"/>
                <w:color w:val="231F20"/>
              </w:rPr>
              <w:t>260,674</w:t>
            </w:r>
          </w:p>
        </w:tc>
        <w:tc>
          <w:tcPr>
            <w:tcW w:w="100" w:type="dxa"/>
            <w:vAlign w:val="bottom"/>
            <w:tcBorders>
              <w:bottom w:val="single" w:sz="8" w:color="FDFDFC"/>
            </w:tcBorders>
            <w:shd w:val="clear" w:color="auto" w:fill="D0EBF2"/>
          </w:tcPr>
          <w:p>
            <w:pPr>
              <w:spacing w:after="0"/>
              <w:rPr>
                <w:sz w:val="15"/>
                <w:szCs w:val="15"/>
                <w:color w:val="auto"/>
              </w:rPr>
            </w:pPr>
          </w:p>
        </w:tc>
        <w:tc>
          <w:tcPr>
            <w:tcW w:w="860" w:type="dxa"/>
            <w:vAlign w:val="bottom"/>
            <w:tcBorders>
              <w:bottom w:val="single" w:sz="8" w:color="231F20"/>
            </w:tcBorders>
            <w:shd w:val="clear" w:color="auto" w:fill="D0EBF2"/>
          </w:tcPr>
          <w:p>
            <w:pPr>
              <w:jc w:val="right"/>
              <w:spacing w:after="0"/>
              <w:rPr>
                <w:sz w:val="20"/>
                <w:szCs w:val="20"/>
                <w:color w:val="auto"/>
              </w:rPr>
            </w:pPr>
            <w:r>
              <w:rPr>
                <w:rFonts w:ascii="Times New Roman" w:cs="Times New Roman" w:eastAsia="Times New Roman" w:hAnsi="Times New Roman"/>
                <w:sz w:val="15"/>
                <w:szCs w:val="15"/>
                <w:color w:val="231F20"/>
              </w:rPr>
              <w:t>16.2%</w:t>
            </w:r>
          </w:p>
        </w:tc>
      </w:tr>
      <w:tr>
        <w:trPr>
          <w:trHeight w:val="159"/>
        </w:trPr>
        <w:tc>
          <w:tcPr>
            <w:tcW w:w="1580" w:type="dxa"/>
            <w:vAlign w:val="bottom"/>
            <w:shd w:val="clear" w:color="auto" w:fill="FDFDFC"/>
          </w:tcPr>
          <w:p>
            <w:pPr>
              <w:spacing w:after="0" w:line="159" w:lineRule="exact"/>
              <w:rPr>
                <w:sz w:val="20"/>
                <w:szCs w:val="20"/>
                <w:color w:val="auto"/>
              </w:rPr>
            </w:pPr>
            <w:r>
              <w:rPr>
                <w:rFonts w:ascii="Times New Roman" w:cs="Times New Roman" w:eastAsia="Times New Roman" w:hAnsi="Times New Roman"/>
                <w:sz w:val="15"/>
                <w:szCs w:val="15"/>
                <w:b w:val="1"/>
                <w:bCs w:val="1"/>
                <w:color w:val="231F20"/>
              </w:rPr>
              <w:t>Human Resource</w:t>
            </w:r>
          </w:p>
        </w:tc>
        <w:tc>
          <w:tcPr>
            <w:tcW w:w="2200" w:type="dxa"/>
            <w:vAlign w:val="bottom"/>
            <w:shd w:val="clear" w:color="auto" w:fill="FDFDFC"/>
          </w:tcPr>
          <w:p>
            <w:pPr>
              <w:spacing w:after="0"/>
              <w:rPr>
                <w:sz w:val="13"/>
                <w:szCs w:val="13"/>
                <w:color w:val="auto"/>
              </w:rPr>
            </w:pPr>
          </w:p>
        </w:tc>
        <w:tc>
          <w:tcPr>
            <w:tcW w:w="800" w:type="dxa"/>
            <w:vAlign w:val="bottom"/>
            <w:shd w:val="clear" w:color="auto" w:fill="FDFDFC"/>
          </w:tcPr>
          <w:p>
            <w:pPr>
              <w:spacing w:after="0"/>
              <w:rPr>
                <w:sz w:val="13"/>
                <w:szCs w:val="13"/>
                <w:color w:val="auto"/>
              </w:rPr>
            </w:pPr>
          </w:p>
        </w:tc>
        <w:tc>
          <w:tcPr>
            <w:tcW w:w="1000" w:type="dxa"/>
            <w:vAlign w:val="bottom"/>
            <w:shd w:val="clear" w:color="auto" w:fill="FDFDFC"/>
          </w:tcPr>
          <w:p>
            <w:pPr>
              <w:spacing w:after="0"/>
              <w:rPr>
                <w:sz w:val="13"/>
                <w:szCs w:val="13"/>
                <w:color w:val="auto"/>
              </w:rPr>
            </w:pPr>
          </w:p>
        </w:tc>
        <w:tc>
          <w:tcPr>
            <w:tcW w:w="1060" w:type="dxa"/>
            <w:vAlign w:val="bottom"/>
            <w:shd w:val="clear" w:color="auto" w:fill="FDFDFC"/>
          </w:tcPr>
          <w:p>
            <w:pPr>
              <w:spacing w:after="0"/>
              <w:rPr>
                <w:sz w:val="13"/>
                <w:szCs w:val="13"/>
                <w:color w:val="auto"/>
              </w:rPr>
            </w:pPr>
          </w:p>
        </w:tc>
        <w:tc>
          <w:tcPr>
            <w:tcW w:w="1000" w:type="dxa"/>
            <w:vAlign w:val="bottom"/>
            <w:shd w:val="clear" w:color="auto" w:fill="FDFDFC"/>
          </w:tcPr>
          <w:p>
            <w:pPr>
              <w:spacing w:after="0"/>
              <w:rPr>
                <w:sz w:val="13"/>
                <w:szCs w:val="13"/>
                <w:color w:val="auto"/>
              </w:rPr>
            </w:pPr>
          </w:p>
        </w:tc>
        <w:tc>
          <w:tcPr>
            <w:tcW w:w="80" w:type="dxa"/>
            <w:vAlign w:val="bottom"/>
            <w:shd w:val="clear" w:color="auto" w:fill="FDFDFC"/>
          </w:tcPr>
          <w:p>
            <w:pPr>
              <w:spacing w:after="0"/>
              <w:rPr>
                <w:sz w:val="13"/>
                <w:szCs w:val="13"/>
                <w:color w:val="auto"/>
              </w:rPr>
            </w:pPr>
          </w:p>
        </w:tc>
        <w:tc>
          <w:tcPr>
            <w:tcW w:w="1600" w:type="dxa"/>
            <w:vAlign w:val="bottom"/>
            <w:shd w:val="clear" w:color="auto" w:fill="FDFDFC"/>
          </w:tcPr>
          <w:p>
            <w:pPr>
              <w:spacing w:after="0"/>
              <w:rPr>
                <w:sz w:val="13"/>
                <w:szCs w:val="13"/>
                <w:color w:val="auto"/>
              </w:rPr>
            </w:pPr>
          </w:p>
        </w:tc>
        <w:tc>
          <w:tcPr>
            <w:tcW w:w="100" w:type="dxa"/>
            <w:vAlign w:val="bottom"/>
            <w:shd w:val="clear" w:color="auto" w:fill="FDFDFC"/>
          </w:tcPr>
          <w:p>
            <w:pPr>
              <w:spacing w:after="0"/>
              <w:rPr>
                <w:sz w:val="13"/>
                <w:szCs w:val="13"/>
                <w:color w:val="auto"/>
              </w:rPr>
            </w:pPr>
          </w:p>
        </w:tc>
        <w:tc>
          <w:tcPr>
            <w:tcW w:w="860" w:type="dxa"/>
            <w:vAlign w:val="bottom"/>
            <w:shd w:val="clear" w:color="auto" w:fill="FDFDFC"/>
          </w:tcPr>
          <w:p>
            <w:pPr>
              <w:spacing w:after="0"/>
              <w:rPr>
                <w:sz w:val="13"/>
                <w:szCs w:val="13"/>
                <w:color w:val="auto"/>
              </w:rPr>
            </w:pPr>
          </w:p>
        </w:tc>
      </w:tr>
      <w:tr>
        <w:trPr>
          <w:trHeight w:val="191"/>
        </w:trPr>
        <w:tc>
          <w:tcPr>
            <w:tcW w:w="1580" w:type="dxa"/>
            <w:vAlign w:val="bottom"/>
            <w:shd w:val="clear" w:color="auto" w:fill="FDFDFC"/>
          </w:tcPr>
          <w:p>
            <w:pPr>
              <w:spacing w:after="0"/>
              <w:rPr>
                <w:sz w:val="20"/>
                <w:szCs w:val="20"/>
                <w:color w:val="auto"/>
              </w:rPr>
            </w:pPr>
            <w:r>
              <w:rPr>
                <w:rFonts w:ascii="Times New Roman" w:cs="Times New Roman" w:eastAsia="Times New Roman" w:hAnsi="Times New Roman"/>
                <w:sz w:val="15"/>
                <w:szCs w:val="15"/>
                <w:b w:val="1"/>
                <w:bCs w:val="1"/>
                <w:color w:val="231F20"/>
              </w:rPr>
              <w:t>Support Services</w:t>
            </w:r>
          </w:p>
        </w:tc>
        <w:tc>
          <w:tcPr>
            <w:tcW w:w="2200" w:type="dxa"/>
            <w:vAlign w:val="bottom"/>
            <w:shd w:val="clear" w:color="auto" w:fill="FDFDFC"/>
          </w:tcPr>
          <w:p>
            <w:pPr>
              <w:spacing w:after="0"/>
              <w:rPr>
                <w:sz w:val="16"/>
                <w:szCs w:val="16"/>
                <w:color w:val="auto"/>
              </w:rPr>
            </w:pPr>
          </w:p>
        </w:tc>
        <w:tc>
          <w:tcPr>
            <w:tcW w:w="800" w:type="dxa"/>
            <w:vAlign w:val="bottom"/>
            <w:shd w:val="clear" w:color="auto" w:fill="FDFDFC"/>
          </w:tcPr>
          <w:p>
            <w:pPr>
              <w:spacing w:after="0"/>
              <w:rPr>
                <w:sz w:val="16"/>
                <w:szCs w:val="16"/>
                <w:color w:val="auto"/>
              </w:rPr>
            </w:pPr>
          </w:p>
        </w:tc>
        <w:tc>
          <w:tcPr>
            <w:tcW w:w="1000" w:type="dxa"/>
            <w:vAlign w:val="bottom"/>
            <w:shd w:val="clear" w:color="auto" w:fill="FDFDFC"/>
          </w:tcPr>
          <w:p>
            <w:pPr>
              <w:spacing w:after="0"/>
              <w:rPr>
                <w:sz w:val="16"/>
                <w:szCs w:val="16"/>
                <w:color w:val="auto"/>
              </w:rPr>
            </w:pPr>
          </w:p>
        </w:tc>
        <w:tc>
          <w:tcPr>
            <w:tcW w:w="1060" w:type="dxa"/>
            <w:vAlign w:val="bottom"/>
            <w:shd w:val="clear" w:color="auto" w:fill="FDFDFC"/>
          </w:tcPr>
          <w:p>
            <w:pPr>
              <w:spacing w:after="0"/>
              <w:rPr>
                <w:sz w:val="16"/>
                <w:szCs w:val="16"/>
                <w:color w:val="auto"/>
              </w:rPr>
            </w:pPr>
          </w:p>
        </w:tc>
        <w:tc>
          <w:tcPr>
            <w:tcW w:w="1000" w:type="dxa"/>
            <w:vAlign w:val="bottom"/>
            <w:shd w:val="clear" w:color="auto" w:fill="FDFDFC"/>
          </w:tcPr>
          <w:p>
            <w:pPr>
              <w:spacing w:after="0"/>
              <w:rPr>
                <w:sz w:val="16"/>
                <w:szCs w:val="16"/>
                <w:color w:val="auto"/>
              </w:rPr>
            </w:pPr>
          </w:p>
        </w:tc>
        <w:tc>
          <w:tcPr>
            <w:tcW w:w="80" w:type="dxa"/>
            <w:vAlign w:val="bottom"/>
            <w:shd w:val="clear" w:color="auto" w:fill="FDFDFC"/>
          </w:tcPr>
          <w:p>
            <w:pPr>
              <w:spacing w:after="0"/>
              <w:rPr>
                <w:sz w:val="16"/>
                <w:szCs w:val="16"/>
                <w:color w:val="auto"/>
              </w:rPr>
            </w:pPr>
          </w:p>
        </w:tc>
        <w:tc>
          <w:tcPr>
            <w:tcW w:w="1600" w:type="dxa"/>
            <w:vAlign w:val="bottom"/>
            <w:shd w:val="clear" w:color="auto" w:fill="FDFDFC"/>
          </w:tcPr>
          <w:p>
            <w:pPr>
              <w:spacing w:after="0"/>
              <w:rPr>
                <w:sz w:val="16"/>
                <w:szCs w:val="16"/>
                <w:color w:val="auto"/>
              </w:rPr>
            </w:pPr>
          </w:p>
        </w:tc>
        <w:tc>
          <w:tcPr>
            <w:tcW w:w="100" w:type="dxa"/>
            <w:vAlign w:val="bottom"/>
            <w:shd w:val="clear" w:color="auto" w:fill="FDFDFC"/>
          </w:tcPr>
          <w:p>
            <w:pPr>
              <w:spacing w:after="0"/>
              <w:rPr>
                <w:sz w:val="16"/>
                <w:szCs w:val="16"/>
                <w:color w:val="auto"/>
              </w:rPr>
            </w:pPr>
          </w:p>
        </w:tc>
        <w:tc>
          <w:tcPr>
            <w:tcW w:w="860" w:type="dxa"/>
            <w:vAlign w:val="bottom"/>
            <w:shd w:val="clear" w:color="auto" w:fill="FDFDFC"/>
          </w:tcPr>
          <w:p>
            <w:pPr>
              <w:spacing w:after="0"/>
              <w:rPr>
                <w:sz w:val="16"/>
                <w:szCs w:val="16"/>
                <w:color w:val="auto"/>
              </w:rPr>
            </w:pPr>
          </w:p>
        </w:tc>
      </w:tr>
      <w:tr>
        <w:trPr>
          <w:trHeight w:val="171"/>
        </w:trPr>
        <w:tc>
          <w:tcPr>
            <w:tcW w:w="1580" w:type="dxa"/>
            <w:vAlign w:val="bottom"/>
            <w:shd w:val="clear" w:color="auto" w:fill="D0EBF2"/>
          </w:tcPr>
          <w:p>
            <w:pPr>
              <w:spacing w:after="0" w:line="172" w:lineRule="exact"/>
              <w:rPr>
                <w:sz w:val="20"/>
                <w:szCs w:val="20"/>
                <w:color w:val="auto"/>
              </w:rPr>
            </w:pPr>
            <w:r>
              <w:rPr>
                <w:rFonts w:ascii="Times New Roman" w:cs="Times New Roman" w:eastAsia="Times New Roman" w:hAnsi="Times New Roman"/>
                <w:sz w:val="15"/>
                <w:szCs w:val="15"/>
                <w:color w:val="231F20"/>
              </w:rPr>
              <w:t xml:space="preserve">Axonify, Inc. </w:t>
            </w:r>
            <w:r>
              <w:rPr>
                <w:rFonts w:ascii="Times New Roman" w:cs="Times New Roman" w:eastAsia="Times New Roman" w:hAnsi="Times New Roman"/>
                <w:sz w:val="9"/>
                <w:szCs w:val="9"/>
                <w:color w:val="231F20"/>
              </w:rPr>
              <w:t>(3)(4)(5)</w:t>
            </w:r>
          </w:p>
        </w:tc>
        <w:tc>
          <w:tcPr>
            <w:tcW w:w="2200" w:type="dxa"/>
            <w:vAlign w:val="bottom"/>
            <w:shd w:val="clear" w:color="auto" w:fill="D0EBF2"/>
          </w:tcPr>
          <w:p>
            <w:pPr>
              <w:ind w:left="60"/>
              <w:spacing w:after="0" w:line="172" w:lineRule="exact"/>
              <w:rPr>
                <w:sz w:val="20"/>
                <w:szCs w:val="20"/>
                <w:color w:val="auto"/>
              </w:rPr>
            </w:pPr>
            <w:r>
              <w:rPr>
                <w:rFonts w:ascii="Times New Roman" w:cs="Times New Roman" w:eastAsia="Times New Roman" w:hAnsi="Times New Roman"/>
                <w:sz w:val="15"/>
                <w:szCs w:val="15"/>
                <w:color w:val="231F20"/>
              </w:rPr>
              <w:t>First-lien loan ($44,419 par, due</w:t>
            </w:r>
          </w:p>
        </w:tc>
        <w:tc>
          <w:tcPr>
            <w:tcW w:w="800" w:type="dxa"/>
            <w:vAlign w:val="bottom"/>
            <w:shd w:val="clear" w:color="auto" w:fill="D0EBF2"/>
          </w:tcPr>
          <w:p>
            <w:pPr>
              <w:jc w:val="right"/>
              <w:spacing w:after="0" w:line="172" w:lineRule="exact"/>
              <w:rPr>
                <w:sz w:val="20"/>
                <w:szCs w:val="20"/>
                <w:color w:val="auto"/>
              </w:rPr>
            </w:pPr>
            <w:r>
              <w:rPr>
                <w:rFonts w:ascii="Times New Roman" w:cs="Times New Roman" w:eastAsia="Times New Roman" w:hAnsi="Times New Roman"/>
                <w:sz w:val="15"/>
                <w:szCs w:val="15"/>
                <w:color w:val="231F20"/>
              </w:rPr>
              <w:t>5/5/2021</w:t>
            </w:r>
          </w:p>
        </w:tc>
        <w:tc>
          <w:tcPr>
            <w:tcW w:w="1000" w:type="dxa"/>
            <w:vAlign w:val="bottom"/>
            <w:shd w:val="clear" w:color="auto" w:fill="D0EBF2"/>
          </w:tcPr>
          <w:p>
            <w:pPr>
              <w:jc w:val="right"/>
              <w:ind w:right="44"/>
              <w:spacing w:after="0" w:line="172" w:lineRule="exact"/>
              <w:rPr>
                <w:sz w:val="20"/>
                <w:szCs w:val="20"/>
                <w:color w:val="auto"/>
              </w:rPr>
            </w:pPr>
            <w:r>
              <w:rPr>
                <w:rFonts w:ascii="Times New Roman" w:cs="Times New Roman" w:eastAsia="Times New Roman" w:hAnsi="Times New Roman"/>
                <w:sz w:val="15"/>
                <w:szCs w:val="15"/>
                <w:color w:val="231F20"/>
              </w:rPr>
              <w:t>SOFR +</w:t>
            </w:r>
          </w:p>
        </w:tc>
        <w:tc>
          <w:tcPr>
            <w:tcW w:w="1060" w:type="dxa"/>
            <w:vAlign w:val="bottom"/>
            <w:shd w:val="clear" w:color="auto" w:fill="D0EBF2"/>
          </w:tcPr>
          <w:p>
            <w:pPr>
              <w:jc w:val="right"/>
              <w:ind w:right="64"/>
              <w:spacing w:after="0" w:line="172" w:lineRule="exact"/>
              <w:rPr>
                <w:sz w:val="20"/>
                <w:szCs w:val="20"/>
                <w:color w:val="auto"/>
              </w:rPr>
            </w:pPr>
            <w:r>
              <w:rPr>
                <w:rFonts w:ascii="Times New Roman" w:cs="Times New Roman" w:eastAsia="Times New Roman" w:hAnsi="Times New Roman"/>
                <w:sz w:val="15"/>
                <w:szCs w:val="15"/>
                <w:color w:val="231F20"/>
              </w:rPr>
              <w:t>12.20%</w:t>
            </w:r>
          </w:p>
        </w:tc>
        <w:tc>
          <w:tcPr>
            <w:tcW w:w="1000" w:type="dxa"/>
            <w:vAlign w:val="bottom"/>
            <w:shd w:val="clear" w:color="auto" w:fill="D0EBF2"/>
          </w:tcPr>
          <w:p>
            <w:pPr>
              <w:jc w:val="right"/>
              <w:spacing w:after="0" w:line="172" w:lineRule="exact"/>
              <w:rPr>
                <w:sz w:val="20"/>
                <w:szCs w:val="20"/>
                <w:color w:val="auto"/>
              </w:rPr>
            </w:pPr>
            <w:r>
              <w:rPr>
                <w:rFonts w:ascii="Times New Roman" w:cs="Times New Roman" w:eastAsia="Times New Roman" w:hAnsi="Times New Roman"/>
                <w:sz w:val="15"/>
                <w:szCs w:val="15"/>
                <w:color w:val="231F20"/>
              </w:rPr>
              <w:t>43,982</w:t>
            </w:r>
          </w:p>
        </w:tc>
        <w:tc>
          <w:tcPr>
            <w:tcW w:w="80" w:type="dxa"/>
            <w:vAlign w:val="bottom"/>
            <w:shd w:val="clear" w:color="auto" w:fill="D0EBF2"/>
          </w:tcPr>
          <w:p>
            <w:pPr>
              <w:spacing w:after="0"/>
              <w:rPr>
                <w:sz w:val="14"/>
                <w:szCs w:val="14"/>
                <w:color w:val="auto"/>
              </w:rPr>
            </w:pPr>
          </w:p>
        </w:tc>
        <w:tc>
          <w:tcPr>
            <w:tcW w:w="1600" w:type="dxa"/>
            <w:vAlign w:val="bottom"/>
            <w:shd w:val="clear" w:color="auto" w:fill="D0EBF2"/>
          </w:tcPr>
          <w:p>
            <w:pPr>
              <w:jc w:val="right"/>
              <w:spacing w:after="0" w:line="172" w:lineRule="exact"/>
              <w:rPr>
                <w:sz w:val="20"/>
                <w:szCs w:val="20"/>
                <w:color w:val="auto"/>
              </w:rPr>
            </w:pPr>
            <w:r>
              <w:rPr>
                <w:rFonts w:ascii="Times New Roman" w:cs="Times New Roman" w:eastAsia="Times New Roman" w:hAnsi="Times New Roman"/>
                <w:sz w:val="15"/>
                <w:szCs w:val="15"/>
                <w:color w:val="231F20"/>
              </w:rPr>
              <w:t>44,532</w:t>
            </w:r>
          </w:p>
        </w:tc>
        <w:tc>
          <w:tcPr>
            <w:tcW w:w="100" w:type="dxa"/>
            <w:vAlign w:val="bottom"/>
            <w:shd w:val="clear" w:color="auto" w:fill="D0EBF2"/>
          </w:tcPr>
          <w:p>
            <w:pPr>
              <w:spacing w:after="0"/>
              <w:rPr>
                <w:sz w:val="14"/>
                <w:szCs w:val="14"/>
                <w:color w:val="auto"/>
              </w:rPr>
            </w:pPr>
          </w:p>
        </w:tc>
        <w:tc>
          <w:tcPr>
            <w:tcW w:w="860" w:type="dxa"/>
            <w:vAlign w:val="bottom"/>
            <w:shd w:val="clear" w:color="auto" w:fill="D0EBF2"/>
          </w:tcPr>
          <w:p>
            <w:pPr>
              <w:jc w:val="right"/>
              <w:spacing w:after="0" w:line="172" w:lineRule="exact"/>
              <w:rPr>
                <w:sz w:val="20"/>
                <w:szCs w:val="20"/>
                <w:color w:val="auto"/>
              </w:rPr>
            </w:pPr>
            <w:r>
              <w:rPr>
                <w:rFonts w:ascii="Times New Roman" w:cs="Times New Roman" w:eastAsia="Times New Roman" w:hAnsi="Times New Roman"/>
                <w:sz w:val="15"/>
                <w:szCs w:val="15"/>
                <w:color w:val="231F20"/>
              </w:rPr>
              <w:t>2.7%</w:t>
            </w:r>
          </w:p>
        </w:tc>
      </w:tr>
      <w:tr>
        <w:trPr>
          <w:trHeight w:val="189"/>
        </w:trPr>
        <w:tc>
          <w:tcPr>
            <w:tcW w:w="1580" w:type="dxa"/>
            <w:vAlign w:val="bottom"/>
            <w:shd w:val="clear" w:color="auto" w:fill="D0EBF2"/>
          </w:tcPr>
          <w:p>
            <w:pPr>
              <w:spacing w:after="0"/>
              <w:rPr>
                <w:sz w:val="16"/>
                <w:szCs w:val="16"/>
                <w:color w:val="auto"/>
              </w:rPr>
            </w:pPr>
          </w:p>
        </w:tc>
        <w:tc>
          <w:tcPr>
            <w:tcW w:w="2200" w:type="dxa"/>
            <w:vAlign w:val="bottom"/>
            <w:shd w:val="clear" w:color="auto" w:fill="D0EBF2"/>
          </w:tcPr>
          <w:p>
            <w:pPr>
              <w:ind w:left="60"/>
              <w:spacing w:after="0"/>
              <w:rPr>
                <w:sz w:val="20"/>
                <w:szCs w:val="20"/>
                <w:color w:val="auto"/>
              </w:rPr>
            </w:pPr>
            <w:r>
              <w:rPr>
                <w:rFonts w:ascii="Times New Roman" w:cs="Times New Roman" w:eastAsia="Times New Roman" w:hAnsi="Times New Roman"/>
                <w:sz w:val="15"/>
                <w:szCs w:val="15"/>
                <w:color w:val="231F20"/>
              </w:rPr>
              <w:t>5/2026)</w:t>
            </w:r>
          </w:p>
        </w:tc>
        <w:tc>
          <w:tcPr>
            <w:tcW w:w="800" w:type="dxa"/>
            <w:vAlign w:val="bottom"/>
            <w:shd w:val="clear" w:color="auto" w:fill="D0EBF2"/>
          </w:tcPr>
          <w:p>
            <w:pPr>
              <w:spacing w:after="0"/>
              <w:rPr>
                <w:sz w:val="16"/>
                <w:szCs w:val="16"/>
                <w:color w:val="auto"/>
              </w:rPr>
            </w:pPr>
          </w:p>
        </w:tc>
        <w:tc>
          <w:tcPr>
            <w:tcW w:w="1000" w:type="dxa"/>
            <w:vAlign w:val="bottom"/>
            <w:shd w:val="clear" w:color="auto" w:fill="D0EBF2"/>
          </w:tcPr>
          <w:p>
            <w:pPr>
              <w:jc w:val="right"/>
              <w:ind w:right="44"/>
              <w:spacing w:after="0"/>
              <w:rPr>
                <w:sz w:val="20"/>
                <w:szCs w:val="20"/>
                <w:color w:val="auto"/>
              </w:rPr>
            </w:pPr>
            <w:r>
              <w:rPr>
                <w:rFonts w:ascii="Times New Roman" w:cs="Times New Roman" w:eastAsia="Times New Roman" w:hAnsi="Times New Roman"/>
                <w:sz w:val="15"/>
                <w:szCs w:val="15"/>
                <w:color w:val="231F20"/>
              </w:rPr>
              <w:t>7.65%</w:t>
            </w:r>
          </w:p>
        </w:tc>
        <w:tc>
          <w:tcPr>
            <w:tcW w:w="1060" w:type="dxa"/>
            <w:vAlign w:val="bottom"/>
            <w:shd w:val="clear" w:color="auto" w:fill="D0EBF2"/>
          </w:tcPr>
          <w:p>
            <w:pPr>
              <w:spacing w:after="0"/>
              <w:rPr>
                <w:sz w:val="16"/>
                <w:szCs w:val="16"/>
                <w:color w:val="auto"/>
              </w:rPr>
            </w:pPr>
          </w:p>
        </w:tc>
        <w:tc>
          <w:tcPr>
            <w:tcW w:w="1000" w:type="dxa"/>
            <w:vAlign w:val="bottom"/>
            <w:shd w:val="clear" w:color="auto" w:fill="D0EBF2"/>
          </w:tcPr>
          <w:p>
            <w:pPr>
              <w:spacing w:after="0"/>
              <w:rPr>
                <w:sz w:val="16"/>
                <w:szCs w:val="16"/>
                <w:color w:val="auto"/>
              </w:rPr>
            </w:pPr>
          </w:p>
        </w:tc>
        <w:tc>
          <w:tcPr>
            <w:tcW w:w="80" w:type="dxa"/>
            <w:vAlign w:val="bottom"/>
            <w:shd w:val="clear" w:color="auto" w:fill="D0EBF2"/>
          </w:tcPr>
          <w:p>
            <w:pPr>
              <w:spacing w:after="0"/>
              <w:rPr>
                <w:sz w:val="16"/>
                <w:szCs w:val="16"/>
                <w:color w:val="auto"/>
              </w:rPr>
            </w:pPr>
          </w:p>
        </w:tc>
        <w:tc>
          <w:tcPr>
            <w:tcW w:w="1600" w:type="dxa"/>
            <w:vAlign w:val="bottom"/>
            <w:shd w:val="clear" w:color="auto" w:fill="D0EBF2"/>
          </w:tcPr>
          <w:p>
            <w:pPr>
              <w:spacing w:after="0"/>
              <w:rPr>
                <w:sz w:val="16"/>
                <w:szCs w:val="16"/>
                <w:color w:val="auto"/>
              </w:rPr>
            </w:pPr>
          </w:p>
        </w:tc>
        <w:tc>
          <w:tcPr>
            <w:tcW w:w="100" w:type="dxa"/>
            <w:vAlign w:val="bottom"/>
            <w:shd w:val="clear" w:color="auto" w:fill="D0EBF2"/>
          </w:tcPr>
          <w:p>
            <w:pPr>
              <w:spacing w:after="0"/>
              <w:rPr>
                <w:sz w:val="16"/>
                <w:szCs w:val="16"/>
                <w:color w:val="auto"/>
              </w:rPr>
            </w:pPr>
          </w:p>
        </w:tc>
        <w:tc>
          <w:tcPr>
            <w:tcW w:w="860" w:type="dxa"/>
            <w:vAlign w:val="bottom"/>
            <w:shd w:val="clear" w:color="auto" w:fill="D0EBF2"/>
          </w:tcPr>
          <w:p>
            <w:pPr>
              <w:spacing w:after="0"/>
              <w:rPr>
                <w:sz w:val="16"/>
                <w:szCs w:val="16"/>
                <w:color w:val="auto"/>
              </w:rPr>
            </w:pPr>
          </w:p>
        </w:tc>
      </w:tr>
      <w:tr>
        <w:trPr>
          <w:trHeight w:val="171"/>
        </w:trPr>
        <w:tc>
          <w:tcPr>
            <w:tcW w:w="1580" w:type="dxa"/>
            <w:vAlign w:val="bottom"/>
            <w:shd w:val="clear" w:color="auto" w:fill="FDFDFC"/>
          </w:tcPr>
          <w:p>
            <w:pPr>
              <w:spacing w:after="0" w:line="172" w:lineRule="exact"/>
              <w:rPr>
                <w:sz w:val="20"/>
                <w:szCs w:val="20"/>
                <w:color w:val="auto"/>
              </w:rPr>
            </w:pPr>
            <w:r>
              <w:rPr>
                <w:rFonts w:ascii="Times New Roman" w:cs="Times New Roman" w:eastAsia="Times New Roman" w:hAnsi="Times New Roman"/>
                <w:sz w:val="15"/>
                <w:szCs w:val="15"/>
                <w:color w:val="231F20"/>
              </w:rPr>
              <w:t xml:space="preserve">bswift, LLC </w:t>
            </w:r>
            <w:r>
              <w:rPr>
                <w:rFonts w:ascii="Times New Roman" w:cs="Times New Roman" w:eastAsia="Times New Roman" w:hAnsi="Times New Roman"/>
                <w:sz w:val="9"/>
                <w:szCs w:val="9"/>
                <w:color w:val="231F20"/>
              </w:rPr>
              <w:t>(3)(5)</w:t>
            </w:r>
          </w:p>
        </w:tc>
        <w:tc>
          <w:tcPr>
            <w:tcW w:w="2200" w:type="dxa"/>
            <w:vAlign w:val="bottom"/>
            <w:shd w:val="clear" w:color="auto" w:fill="FDFDFC"/>
          </w:tcPr>
          <w:p>
            <w:pPr>
              <w:ind w:left="60"/>
              <w:spacing w:after="0" w:line="172" w:lineRule="exact"/>
              <w:rPr>
                <w:sz w:val="20"/>
                <w:szCs w:val="20"/>
                <w:color w:val="auto"/>
              </w:rPr>
            </w:pPr>
            <w:r>
              <w:rPr>
                <w:rFonts w:ascii="Times New Roman" w:cs="Times New Roman" w:eastAsia="Times New Roman" w:hAnsi="Times New Roman"/>
                <w:sz w:val="15"/>
                <w:szCs w:val="15"/>
                <w:color w:val="231F20"/>
              </w:rPr>
              <w:t>First-lien loan ($43,910 par, due</w:t>
            </w:r>
          </w:p>
        </w:tc>
        <w:tc>
          <w:tcPr>
            <w:tcW w:w="800" w:type="dxa"/>
            <w:vAlign w:val="bottom"/>
            <w:shd w:val="clear" w:color="auto" w:fill="FDFDFC"/>
          </w:tcPr>
          <w:p>
            <w:pPr>
              <w:jc w:val="right"/>
              <w:spacing w:after="0" w:line="172" w:lineRule="exact"/>
              <w:rPr>
                <w:sz w:val="20"/>
                <w:szCs w:val="20"/>
                <w:color w:val="auto"/>
              </w:rPr>
            </w:pPr>
            <w:r>
              <w:rPr>
                <w:rFonts w:ascii="Times New Roman" w:cs="Times New Roman" w:eastAsia="Times New Roman" w:hAnsi="Times New Roman"/>
                <w:sz w:val="15"/>
                <w:szCs w:val="15"/>
                <w:color w:val="231F20"/>
              </w:rPr>
              <w:t>11/7/2022</w:t>
            </w:r>
          </w:p>
        </w:tc>
        <w:tc>
          <w:tcPr>
            <w:tcW w:w="1000" w:type="dxa"/>
            <w:vAlign w:val="bottom"/>
            <w:shd w:val="clear" w:color="auto" w:fill="FDFDFC"/>
          </w:tcPr>
          <w:p>
            <w:pPr>
              <w:jc w:val="right"/>
              <w:ind w:right="44"/>
              <w:spacing w:after="0" w:line="172" w:lineRule="exact"/>
              <w:rPr>
                <w:sz w:val="20"/>
                <w:szCs w:val="20"/>
                <w:color w:val="auto"/>
              </w:rPr>
            </w:pPr>
            <w:r>
              <w:rPr>
                <w:rFonts w:ascii="Times New Roman" w:cs="Times New Roman" w:eastAsia="Times New Roman" w:hAnsi="Times New Roman"/>
                <w:sz w:val="15"/>
                <w:szCs w:val="15"/>
                <w:color w:val="231F20"/>
              </w:rPr>
              <w:t>SOFR +</w:t>
            </w:r>
          </w:p>
        </w:tc>
        <w:tc>
          <w:tcPr>
            <w:tcW w:w="1060" w:type="dxa"/>
            <w:vAlign w:val="bottom"/>
            <w:shd w:val="clear" w:color="auto" w:fill="FDFDFC"/>
          </w:tcPr>
          <w:p>
            <w:pPr>
              <w:jc w:val="right"/>
              <w:ind w:right="64"/>
              <w:spacing w:after="0" w:line="172" w:lineRule="exact"/>
              <w:rPr>
                <w:sz w:val="20"/>
                <w:szCs w:val="20"/>
                <w:color w:val="auto"/>
              </w:rPr>
            </w:pPr>
            <w:r>
              <w:rPr>
                <w:rFonts w:ascii="Times New Roman" w:cs="Times New Roman" w:eastAsia="Times New Roman" w:hAnsi="Times New Roman"/>
                <w:sz w:val="15"/>
                <w:szCs w:val="15"/>
                <w:color w:val="231F20"/>
              </w:rPr>
              <w:t>11.05%</w:t>
            </w:r>
          </w:p>
        </w:tc>
        <w:tc>
          <w:tcPr>
            <w:tcW w:w="1000" w:type="dxa"/>
            <w:vAlign w:val="bottom"/>
            <w:shd w:val="clear" w:color="auto" w:fill="FDFDFC"/>
          </w:tcPr>
          <w:p>
            <w:pPr>
              <w:jc w:val="right"/>
              <w:spacing w:after="0" w:line="172" w:lineRule="exact"/>
              <w:rPr>
                <w:sz w:val="20"/>
                <w:szCs w:val="20"/>
                <w:color w:val="auto"/>
              </w:rPr>
            </w:pPr>
            <w:r>
              <w:rPr>
                <w:rFonts w:ascii="Times New Roman" w:cs="Times New Roman" w:eastAsia="Times New Roman" w:hAnsi="Times New Roman"/>
                <w:sz w:val="15"/>
                <w:szCs w:val="15"/>
                <w:color w:val="231F20"/>
              </w:rPr>
              <w:t>43,029</w:t>
            </w:r>
          </w:p>
        </w:tc>
        <w:tc>
          <w:tcPr>
            <w:tcW w:w="1680" w:type="dxa"/>
            <w:vAlign w:val="bottom"/>
            <w:gridSpan w:val="2"/>
            <w:shd w:val="clear" w:color="auto" w:fill="FDFDFC"/>
          </w:tcPr>
          <w:p>
            <w:pPr>
              <w:jc w:val="right"/>
              <w:spacing w:after="0" w:line="172" w:lineRule="exact"/>
              <w:rPr>
                <w:sz w:val="20"/>
                <w:szCs w:val="20"/>
                <w:color w:val="auto"/>
              </w:rPr>
            </w:pPr>
            <w:r>
              <w:rPr>
                <w:rFonts w:ascii="Times New Roman" w:cs="Times New Roman" w:eastAsia="Times New Roman" w:hAnsi="Times New Roman"/>
                <w:sz w:val="15"/>
                <w:szCs w:val="15"/>
                <w:color w:val="231F20"/>
              </w:rPr>
              <w:t>44,569</w:t>
            </w:r>
          </w:p>
        </w:tc>
        <w:tc>
          <w:tcPr>
            <w:tcW w:w="960" w:type="dxa"/>
            <w:vAlign w:val="bottom"/>
            <w:gridSpan w:val="2"/>
            <w:shd w:val="clear" w:color="auto" w:fill="FDFDFC"/>
          </w:tcPr>
          <w:p>
            <w:pPr>
              <w:jc w:val="right"/>
              <w:spacing w:after="0" w:line="172" w:lineRule="exact"/>
              <w:rPr>
                <w:sz w:val="20"/>
                <w:szCs w:val="20"/>
                <w:color w:val="auto"/>
              </w:rPr>
            </w:pPr>
            <w:r>
              <w:rPr>
                <w:rFonts w:ascii="Times New Roman" w:cs="Times New Roman" w:eastAsia="Times New Roman" w:hAnsi="Times New Roman"/>
                <w:sz w:val="15"/>
                <w:szCs w:val="15"/>
                <w:color w:val="231F20"/>
              </w:rPr>
              <w:t>2.8%</w:t>
            </w:r>
          </w:p>
        </w:tc>
      </w:tr>
      <w:tr>
        <w:trPr>
          <w:trHeight w:val="189"/>
        </w:trPr>
        <w:tc>
          <w:tcPr>
            <w:tcW w:w="1580" w:type="dxa"/>
            <w:vAlign w:val="bottom"/>
            <w:shd w:val="clear" w:color="auto" w:fill="FDFDFC"/>
          </w:tcPr>
          <w:p>
            <w:pPr>
              <w:spacing w:after="0"/>
              <w:rPr>
                <w:sz w:val="16"/>
                <w:szCs w:val="16"/>
                <w:color w:val="auto"/>
              </w:rPr>
            </w:pPr>
          </w:p>
        </w:tc>
        <w:tc>
          <w:tcPr>
            <w:tcW w:w="2200" w:type="dxa"/>
            <w:vAlign w:val="bottom"/>
            <w:shd w:val="clear" w:color="auto" w:fill="FDFDFC"/>
          </w:tcPr>
          <w:p>
            <w:pPr>
              <w:ind w:left="60"/>
              <w:spacing w:after="0"/>
              <w:rPr>
                <w:sz w:val="20"/>
                <w:szCs w:val="20"/>
                <w:color w:val="auto"/>
              </w:rPr>
            </w:pPr>
            <w:r>
              <w:rPr>
                <w:rFonts w:ascii="Times New Roman" w:cs="Times New Roman" w:eastAsia="Times New Roman" w:hAnsi="Times New Roman"/>
                <w:sz w:val="15"/>
                <w:szCs w:val="15"/>
                <w:color w:val="231F20"/>
              </w:rPr>
              <w:t>11/2028)</w:t>
            </w:r>
          </w:p>
        </w:tc>
        <w:tc>
          <w:tcPr>
            <w:tcW w:w="800" w:type="dxa"/>
            <w:vAlign w:val="bottom"/>
            <w:shd w:val="clear" w:color="auto" w:fill="FDFDFC"/>
          </w:tcPr>
          <w:p>
            <w:pPr>
              <w:spacing w:after="0"/>
              <w:rPr>
                <w:sz w:val="16"/>
                <w:szCs w:val="16"/>
                <w:color w:val="auto"/>
              </w:rPr>
            </w:pPr>
          </w:p>
        </w:tc>
        <w:tc>
          <w:tcPr>
            <w:tcW w:w="1000" w:type="dxa"/>
            <w:vAlign w:val="bottom"/>
            <w:shd w:val="clear" w:color="auto" w:fill="FDFDFC"/>
          </w:tcPr>
          <w:p>
            <w:pPr>
              <w:jc w:val="right"/>
              <w:ind w:right="44"/>
              <w:spacing w:after="0"/>
              <w:rPr>
                <w:sz w:val="20"/>
                <w:szCs w:val="20"/>
                <w:color w:val="auto"/>
              </w:rPr>
            </w:pPr>
            <w:r>
              <w:rPr>
                <w:rFonts w:ascii="Times New Roman" w:cs="Times New Roman" w:eastAsia="Times New Roman" w:hAnsi="Times New Roman"/>
                <w:sz w:val="15"/>
                <w:szCs w:val="15"/>
                <w:color w:val="231F20"/>
              </w:rPr>
              <w:t>6.38%</w:t>
            </w:r>
          </w:p>
        </w:tc>
        <w:tc>
          <w:tcPr>
            <w:tcW w:w="1060" w:type="dxa"/>
            <w:vAlign w:val="bottom"/>
            <w:shd w:val="clear" w:color="auto" w:fill="FDFDFC"/>
          </w:tcPr>
          <w:p>
            <w:pPr>
              <w:spacing w:after="0"/>
              <w:rPr>
                <w:sz w:val="16"/>
                <w:szCs w:val="16"/>
                <w:color w:val="auto"/>
              </w:rPr>
            </w:pPr>
          </w:p>
        </w:tc>
        <w:tc>
          <w:tcPr>
            <w:tcW w:w="1000" w:type="dxa"/>
            <w:vAlign w:val="bottom"/>
            <w:shd w:val="clear" w:color="auto" w:fill="FDFDFC"/>
          </w:tcPr>
          <w:p>
            <w:pPr>
              <w:spacing w:after="0"/>
              <w:rPr>
                <w:sz w:val="16"/>
                <w:szCs w:val="16"/>
                <w:color w:val="auto"/>
              </w:rPr>
            </w:pPr>
          </w:p>
        </w:tc>
        <w:tc>
          <w:tcPr>
            <w:tcW w:w="80" w:type="dxa"/>
            <w:vAlign w:val="bottom"/>
            <w:shd w:val="clear" w:color="auto" w:fill="FDFDFC"/>
          </w:tcPr>
          <w:p>
            <w:pPr>
              <w:spacing w:after="0"/>
              <w:rPr>
                <w:sz w:val="16"/>
                <w:szCs w:val="16"/>
                <w:color w:val="auto"/>
              </w:rPr>
            </w:pPr>
          </w:p>
        </w:tc>
        <w:tc>
          <w:tcPr>
            <w:tcW w:w="1600" w:type="dxa"/>
            <w:vAlign w:val="bottom"/>
            <w:shd w:val="clear" w:color="auto" w:fill="FDFDFC"/>
          </w:tcPr>
          <w:p>
            <w:pPr>
              <w:spacing w:after="0"/>
              <w:rPr>
                <w:sz w:val="16"/>
                <w:szCs w:val="16"/>
                <w:color w:val="auto"/>
              </w:rPr>
            </w:pPr>
          </w:p>
        </w:tc>
        <w:tc>
          <w:tcPr>
            <w:tcW w:w="100" w:type="dxa"/>
            <w:vAlign w:val="bottom"/>
            <w:shd w:val="clear" w:color="auto" w:fill="FDFDFC"/>
          </w:tcPr>
          <w:p>
            <w:pPr>
              <w:spacing w:after="0"/>
              <w:rPr>
                <w:sz w:val="16"/>
                <w:szCs w:val="16"/>
                <w:color w:val="auto"/>
              </w:rPr>
            </w:pPr>
          </w:p>
        </w:tc>
        <w:tc>
          <w:tcPr>
            <w:tcW w:w="860" w:type="dxa"/>
            <w:vAlign w:val="bottom"/>
            <w:shd w:val="clear" w:color="auto" w:fill="FDFDFC"/>
          </w:tcPr>
          <w:p>
            <w:pPr>
              <w:spacing w:after="0"/>
              <w:rPr>
                <w:sz w:val="16"/>
                <w:szCs w:val="16"/>
                <w:color w:val="auto"/>
              </w:rPr>
            </w:pPr>
          </w:p>
        </w:tc>
      </w:tr>
      <w:tr>
        <w:trPr>
          <w:trHeight w:val="171"/>
        </w:trPr>
        <w:tc>
          <w:tcPr>
            <w:tcW w:w="1580" w:type="dxa"/>
            <w:vAlign w:val="bottom"/>
            <w:shd w:val="clear" w:color="auto" w:fill="D0EBF2"/>
          </w:tcPr>
          <w:p>
            <w:pPr>
              <w:spacing w:after="0" w:line="172" w:lineRule="exact"/>
              <w:rPr>
                <w:sz w:val="20"/>
                <w:szCs w:val="20"/>
                <w:color w:val="auto"/>
              </w:rPr>
            </w:pPr>
            <w:r>
              <w:rPr>
                <w:rFonts w:ascii="Times New Roman" w:cs="Times New Roman" w:eastAsia="Times New Roman" w:hAnsi="Times New Roman"/>
                <w:sz w:val="15"/>
                <w:szCs w:val="15"/>
                <w:color w:val="231F20"/>
              </w:rPr>
              <w:t xml:space="preserve">Elysian Finco Ltd. </w:t>
            </w:r>
            <w:r>
              <w:rPr>
                <w:rFonts w:ascii="Times New Roman" w:cs="Times New Roman" w:eastAsia="Times New Roman" w:hAnsi="Times New Roman"/>
                <w:sz w:val="9"/>
                <w:szCs w:val="9"/>
                <w:color w:val="231F20"/>
              </w:rPr>
              <w:t>(3)(4)(5)</w:t>
            </w:r>
          </w:p>
        </w:tc>
        <w:tc>
          <w:tcPr>
            <w:tcW w:w="2200" w:type="dxa"/>
            <w:vAlign w:val="bottom"/>
            <w:shd w:val="clear" w:color="auto" w:fill="D0EBF2"/>
          </w:tcPr>
          <w:p>
            <w:pPr>
              <w:ind w:left="60"/>
              <w:spacing w:after="0" w:line="172" w:lineRule="exact"/>
              <w:rPr>
                <w:sz w:val="20"/>
                <w:szCs w:val="20"/>
                <w:color w:val="auto"/>
              </w:rPr>
            </w:pPr>
            <w:r>
              <w:rPr>
                <w:rFonts w:ascii="Times New Roman" w:cs="Times New Roman" w:eastAsia="Times New Roman" w:hAnsi="Times New Roman"/>
                <w:sz w:val="15"/>
                <w:szCs w:val="15"/>
                <w:color w:val="231F20"/>
              </w:rPr>
              <w:t>First-lien loan ($21,899 par, due</w:t>
            </w:r>
          </w:p>
        </w:tc>
        <w:tc>
          <w:tcPr>
            <w:tcW w:w="800" w:type="dxa"/>
            <w:vAlign w:val="bottom"/>
            <w:shd w:val="clear" w:color="auto" w:fill="D0EBF2"/>
          </w:tcPr>
          <w:p>
            <w:pPr>
              <w:jc w:val="right"/>
              <w:spacing w:after="0" w:line="172" w:lineRule="exact"/>
              <w:rPr>
                <w:sz w:val="20"/>
                <w:szCs w:val="20"/>
                <w:color w:val="auto"/>
              </w:rPr>
            </w:pPr>
            <w:r>
              <w:rPr>
                <w:rFonts w:ascii="Times New Roman" w:cs="Times New Roman" w:eastAsia="Times New Roman" w:hAnsi="Times New Roman"/>
                <w:sz w:val="15"/>
                <w:szCs w:val="15"/>
                <w:color w:val="231F20"/>
              </w:rPr>
              <w:t>1/31/2021</w:t>
            </w:r>
          </w:p>
        </w:tc>
        <w:tc>
          <w:tcPr>
            <w:tcW w:w="1000" w:type="dxa"/>
            <w:vAlign w:val="bottom"/>
            <w:shd w:val="clear" w:color="auto" w:fill="D0EBF2"/>
          </w:tcPr>
          <w:p>
            <w:pPr>
              <w:jc w:val="right"/>
              <w:ind w:right="44"/>
              <w:spacing w:after="0" w:line="172" w:lineRule="exact"/>
              <w:rPr>
                <w:sz w:val="20"/>
                <w:szCs w:val="20"/>
                <w:color w:val="auto"/>
              </w:rPr>
            </w:pPr>
            <w:r>
              <w:rPr>
                <w:rFonts w:ascii="Times New Roman" w:cs="Times New Roman" w:eastAsia="Times New Roman" w:hAnsi="Times New Roman"/>
                <w:sz w:val="15"/>
                <w:szCs w:val="15"/>
                <w:color w:val="231F20"/>
              </w:rPr>
              <w:t>SOFR +</w:t>
            </w:r>
          </w:p>
        </w:tc>
        <w:tc>
          <w:tcPr>
            <w:tcW w:w="1060" w:type="dxa"/>
            <w:vAlign w:val="bottom"/>
            <w:shd w:val="clear" w:color="auto" w:fill="D0EBF2"/>
          </w:tcPr>
          <w:p>
            <w:pPr>
              <w:jc w:val="right"/>
              <w:ind w:right="64"/>
              <w:spacing w:after="0" w:line="172" w:lineRule="exact"/>
              <w:rPr>
                <w:sz w:val="20"/>
                <w:szCs w:val="20"/>
                <w:color w:val="auto"/>
              </w:rPr>
            </w:pPr>
            <w:r>
              <w:rPr>
                <w:rFonts w:ascii="Times New Roman" w:cs="Times New Roman" w:eastAsia="Times New Roman" w:hAnsi="Times New Roman"/>
                <w:sz w:val="15"/>
                <w:szCs w:val="15"/>
                <w:color w:val="231F20"/>
              </w:rPr>
              <w:t>11.28%</w:t>
            </w:r>
          </w:p>
        </w:tc>
        <w:tc>
          <w:tcPr>
            <w:tcW w:w="1000" w:type="dxa"/>
            <w:vAlign w:val="bottom"/>
            <w:shd w:val="clear" w:color="auto" w:fill="D0EBF2"/>
          </w:tcPr>
          <w:p>
            <w:pPr>
              <w:jc w:val="right"/>
              <w:spacing w:after="0" w:line="172" w:lineRule="exact"/>
              <w:rPr>
                <w:sz w:val="20"/>
                <w:szCs w:val="20"/>
                <w:color w:val="auto"/>
              </w:rPr>
            </w:pPr>
            <w:r>
              <w:rPr>
                <w:rFonts w:ascii="Times New Roman" w:cs="Times New Roman" w:eastAsia="Times New Roman" w:hAnsi="Times New Roman"/>
                <w:sz w:val="15"/>
                <w:szCs w:val="15"/>
                <w:color w:val="231F20"/>
              </w:rPr>
              <w:t>21,616</w:t>
            </w:r>
          </w:p>
        </w:tc>
        <w:tc>
          <w:tcPr>
            <w:tcW w:w="1680" w:type="dxa"/>
            <w:vAlign w:val="bottom"/>
            <w:gridSpan w:val="2"/>
            <w:shd w:val="clear" w:color="auto" w:fill="D0EBF2"/>
          </w:tcPr>
          <w:p>
            <w:pPr>
              <w:jc w:val="right"/>
              <w:spacing w:after="0" w:line="172" w:lineRule="exact"/>
              <w:rPr>
                <w:sz w:val="20"/>
                <w:szCs w:val="20"/>
                <w:color w:val="auto"/>
              </w:rPr>
            </w:pPr>
            <w:r>
              <w:rPr>
                <w:rFonts w:ascii="Times New Roman" w:cs="Times New Roman" w:eastAsia="Times New Roman" w:hAnsi="Times New Roman"/>
                <w:sz w:val="15"/>
                <w:szCs w:val="15"/>
                <w:color w:val="231F20"/>
              </w:rPr>
              <w:t>21,954</w:t>
            </w:r>
          </w:p>
        </w:tc>
        <w:tc>
          <w:tcPr>
            <w:tcW w:w="960" w:type="dxa"/>
            <w:vAlign w:val="bottom"/>
            <w:gridSpan w:val="2"/>
            <w:shd w:val="clear" w:color="auto" w:fill="D0EBF2"/>
          </w:tcPr>
          <w:p>
            <w:pPr>
              <w:jc w:val="right"/>
              <w:spacing w:after="0" w:line="172" w:lineRule="exact"/>
              <w:rPr>
                <w:sz w:val="20"/>
                <w:szCs w:val="20"/>
                <w:color w:val="auto"/>
              </w:rPr>
            </w:pPr>
            <w:r>
              <w:rPr>
                <w:rFonts w:ascii="Times New Roman" w:cs="Times New Roman" w:eastAsia="Times New Roman" w:hAnsi="Times New Roman"/>
                <w:sz w:val="15"/>
                <w:szCs w:val="15"/>
                <w:color w:val="231F20"/>
              </w:rPr>
              <w:t>1.4%</w:t>
            </w:r>
          </w:p>
        </w:tc>
      </w:tr>
      <w:tr>
        <w:trPr>
          <w:trHeight w:val="189"/>
        </w:trPr>
        <w:tc>
          <w:tcPr>
            <w:tcW w:w="1580" w:type="dxa"/>
            <w:vAlign w:val="bottom"/>
            <w:shd w:val="clear" w:color="auto" w:fill="D0EBF2"/>
          </w:tcPr>
          <w:p>
            <w:pPr>
              <w:spacing w:after="0"/>
              <w:rPr>
                <w:sz w:val="16"/>
                <w:szCs w:val="16"/>
                <w:color w:val="auto"/>
              </w:rPr>
            </w:pPr>
          </w:p>
        </w:tc>
        <w:tc>
          <w:tcPr>
            <w:tcW w:w="2200" w:type="dxa"/>
            <w:vAlign w:val="bottom"/>
            <w:shd w:val="clear" w:color="auto" w:fill="D0EBF2"/>
          </w:tcPr>
          <w:p>
            <w:pPr>
              <w:ind w:left="60"/>
              <w:spacing w:after="0"/>
              <w:rPr>
                <w:sz w:val="20"/>
                <w:szCs w:val="20"/>
                <w:color w:val="auto"/>
              </w:rPr>
            </w:pPr>
            <w:r>
              <w:rPr>
                <w:rFonts w:ascii="Times New Roman" w:cs="Times New Roman" w:eastAsia="Times New Roman" w:hAnsi="Times New Roman"/>
                <w:sz w:val="15"/>
                <w:szCs w:val="15"/>
                <w:color w:val="231F20"/>
              </w:rPr>
              <w:t>1/2028)</w:t>
            </w:r>
          </w:p>
        </w:tc>
        <w:tc>
          <w:tcPr>
            <w:tcW w:w="800" w:type="dxa"/>
            <w:vAlign w:val="bottom"/>
            <w:shd w:val="clear" w:color="auto" w:fill="D0EBF2"/>
          </w:tcPr>
          <w:p>
            <w:pPr>
              <w:spacing w:after="0"/>
              <w:rPr>
                <w:sz w:val="16"/>
                <w:szCs w:val="16"/>
                <w:color w:val="auto"/>
              </w:rPr>
            </w:pPr>
          </w:p>
        </w:tc>
        <w:tc>
          <w:tcPr>
            <w:tcW w:w="1000" w:type="dxa"/>
            <w:vAlign w:val="bottom"/>
            <w:shd w:val="clear" w:color="auto" w:fill="D0EBF2"/>
          </w:tcPr>
          <w:p>
            <w:pPr>
              <w:jc w:val="right"/>
              <w:ind w:right="44"/>
              <w:spacing w:after="0"/>
              <w:rPr>
                <w:sz w:val="20"/>
                <w:szCs w:val="20"/>
                <w:color w:val="auto"/>
              </w:rPr>
            </w:pPr>
            <w:r>
              <w:rPr>
                <w:rFonts w:ascii="Times New Roman" w:cs="Times New Roman" w:eastAsia="Times New Roman" w:hAnsi="Times New Roman"/>
                <w:sz w:val="15"/>
                <w:szCs w:val="15"/>
                <w:color w:val="231F20"/>
              </w:rPr>
              <w:t>6.65%</w:t>
            </w:r>
          </w:p>
        </w:tc>
        <w:tc>
          <w:tcPr>
            <w:tcW w:w="1060" w:type="dxa"/>
            <w:vAlign w:val="bottom"/>
            <w:shd w:val="clear" w:color="auto" w:fill="D0EBF2"/>
          </w:tcPr>
          <w:p>
            <w:pPr>
              <w:spacing w:after="0"/>
              <w:rPr>
                <w:sz w:val="16"/>
                <w:szCs w:val="16"/>
                <w:color w:val="auto"/>
              </w:rPr>
            </w:pPr>
          </w:p>
        </w:tc>
        <w:tc>
          <w:tcPr>
            <w:tcW w:w="1000" w:type="dxa"/>
            <w:vAlign w:val="bottom"/>
            <w:shd w:val="clear" w:color="auto" w:fill="D0EBF2"/>
          </w:tcPr>
          <w:p>
            <w:pPr>
              <w:spacing w:after="0"/>
              <w:rPr>
                <w:sz w:val="16"/>
                <w:szCs w:val="16"/>
                <w:color w:val="auto"/>
              </w:rPr>
            </w:pPr>
          </w:p>
        </w:tc>
        <w:tc>
          <w:tcPr>
            <w:tcW w:w="80" w:type="dxa"/>
            <w:vAlign w:val="bottom"/>
            <w:shd w:val="clear" w:color="auto" w:fill="D0EBF2"/>
          </w:tcPr>
          <w:p>
            <w:pPr>
              <w:spacing w:after="0"/>
              <w:rPr>
                <w:sz w:val="16"/>
                <w:szCs w:val="16"/>
                <w:color w:val="auto"/>
              </w:rPr>
            </w:pPr>
          </w:p>
        </w:tc>
        <w:tc>
          <w:tcPr>
            <w:tcW w:w="1600" w:type="dxa"/>
            <w:vAlign w:val="bottom"/>
            <w:shd w:val="clear" w:color="auto" w:fill="D0EBF2"/>
          </w:tcPr>
          <w:p>
            <w:pPr>
              <w:spacing w:after="0"/>
              <w:rPr>
                <w:sz w:val="16"/>
                <w:szCs w:val="16"/>
                <w:color w:val="auto"/>
              </w:rPr>
            </w:pPr>
          </w:p>
        </w:tc>
        <w:tc>
          <w:tcPr>
            <w:tcW w:w="100" w:type="dxa"/>
            <w:vAlign w:val="bottom"/>
            <w:shd w:val="clear" w:color="auto" w:fill="D0EBF2"/>
          </w:tcPr>
          <w:p>
            <w:pPr>
              <w:spacing w:after="0"/>
              <w:rPr>
                <w:sz w:val="16"/>
                <w:szCs w:val="16"/>
                <w:color w:val="auto"/>
              </w:rPr>
            </w:pPr>
          </w:p>
        </w:tc>
        <w:tc>
          <w:tcPr>
            <w:tcW w:w="860" w:type="dxa"/>
            <w:vAlign w:val="bottom"/>
            <w:shd w:val="clear" w:color="auto" w:fill="D0EBF2"/>
          </w:tcPr>
          <w:p>
            <w:pPr>
              <w:spacing w:after="0"/>
              <w:rPr>
                <w:sz w:val="16"/>
                <w:szCs w:val="16"/>
                <w:color w:val="auto"/>
              </w:rPr>
            </w:pPr>
          </w:p>
        </w:tc>
      </w:tr>
      <w:tr>
        <w:trPr>
          <w:trHeight w:val="171"/>
        </w:trPr>
        <w:tc>
          <w:tcPr>
            <w:tcW w:w="1580" w:type="dxa"/>
            <w:vAlign w:val="bottom"/>
            <w:shd w:val="clear" w:color="auto" w:fill="FDFDFC"/>
          </w:tcPr>
          <w:p>
            <w:pPr>
              <w:spacing w:after="0"/>
              <w:rPr>
                <w:sz w:val="14"/>
                <w:szCs w:val="14"/>
                <w:color w:val="auto"/>
              </w:rPr>
            </w:pPr>
          </w:p>
        </w:tc>
        <w:tc>
          <w:tcPr>
            <w:tcW w:w="2200" w:type="dxa"/>
            <w:vAlign w:val="bottom"/>
            <w:shd w:val="clear" w:color="auto" w:fill="FDFDFC"/>
          </w:tcPr>
          <w:p>
            <w:pPr>
              <w:ind w:left="60"/>
              <w:spacing w:after="0" w:line="172" w:lineRule="exact"/>
              <w:rPr>
                <w:sz w:val="20"/>
                <w:szCs w:val="20"/>
                <w:color w:val="auto"/>
              </w:rPr>
            </w:pPr>
            <w:r>
              <w:rPr>
                <w:rFonts w:ascii="Times New Roman" w:cs="Times New Roman" w:eastAsia="Times New Roman" w:hAnsi="Times New Roman"/>
                <w:sz w:val="15"/>
                <w:szCs w:val="15"/>
                <w:color w:val="231F20"/>
              </w:rPr>
              <w:t>First-lien revolving loan (GBP</w:t>
            </w:r>
          </w:p>
        </w:tc>
        <w:tc>
          <w:tcPr>
            <w:tcW w:w="800" w:type="dxa"/>
            <w:vAlign w:val="bottom"/>
            <w:shd w:val="clear" w:color="auto" w:fill="FDFDFC"/>
          </w:tcPr>
          <w:p>
            <w:pPr>
              <w:jc w:val="right"/>
              <w:spacing w:after="0" w:line="172" w:lineRule="exact"/>
              <w:rPr>
                <w:sz w:val="20"/>
                <w:szCs w:val="20"/>
                <w:color w:val="auto"/>
              </w:rPr>
            </w:pPr>
            <w:r>
              <w:rPr>
                <w:rFonts w:ascii="Times New Roman" w:cs="Times New Roman" w:eastAsia="Times New Roman" w:hAnsi="Times New Roman"/>
                <w:sz w:val="15"/>
                <w:szCs w:val="15"/>
                <w:color w:val="231F20"/>
              </w:rPr>
              <w:t>1/31/2021</w:t>
            </w:r>
          </w:p>
        </w:tc>
        <w:tc>
          <w:tcPr>
            <w:tcW w:w="1000" w:type="dxa"/>
            <w:vAlign w:val="bottom"/>
            <w:shd w:val="clear" w:color="auto" w:fill="FDFDFC"/>
          </w:tcPr>
          <w:p>
            <w:pPr>
              <w:jc w:val="right"/>
              <w:ind w:right="44"/>
              <w:spacing w:after="0" w:line="172" w:lineRule="exact"/>
              <w:rPr>
                <w:sz w:val="20"/>
                <w:szCs w:val="20"/>
                <w:color w:val="auto"/>
              </w:rPr>
            </w:pPr>
            <w:r>
              <w:rPr>
                <w:rFonts w:ascii="Times New Roman" w:cs="Times New Roman" w:eastAsia="Times New Roman" w:hAnsi="Times New Roman"/>
                <w:sz w:val="15"/>
                <w:szCs w:val="15"/>
                <w:color w:val="231F20"/>
              </w:rPr>
              <w:t>S + 5.00%</w:t>
            </w:r>
          </w:p>
        </w:tc>
        <w:tc>
          <w:tcPr>
            <w:tcW w:w="1060" w:type="dxa"/>
            <w:vAlign w:val="bottom"/>
            <w:shd w:val="clear" w:color="auto" w:fill="FDFDFC"/>
          </w:tcPr>
          <w:p>
            <w:pPr>
              <w:jc w:val="right"/>
              <w:ind w:right="64"/>
              <w:spacing w:after="0" w:line="172" w:lineRule="exact"/>
              <w:rPr>
                <w:sz w:val="20"/>
                <w:szCs w:val="20"/>
                <w:color w:val="auto"/>
              </w:rPr>
            </w:pPr>
            <w:r>
              <w:rPr>
                <w:rFonts w:ascii="Times New Roman" w:cs="Times New Roman" w:eastAsia="Times New Roman" w:hAnsi="Times New Roman"/>
                <w:sz w:val="15"/>
                <w:szCs w:val="15"/>
                <w:color w:val="231F20"/>
              </w:rPr>
              <w:t>9.70%</w:t>
            </w:r>
          </w:p>
        </w:tc>
        <w:tc>
          <w:tcPr>
            <w:tcW w:w="1000" w:type="dxa"/>
            <w:vAlign w:val="bottom"/>
            <w:shd w:val="clear" w:color="auto" w:fill="FDFDFC"/>
          </w:tcPr>
          <w:p>
            <w:pPr>
              <w:jc w:val="right"/>
              <w:spacing w:after="0" w:line="172" w:lineRule="exact"/>
              <w:rPr>
                <w:sz w:val="20"/>
                <w:szCs w:val="20"/>
                <w:color w:val="auto"/>
              </w:rPr>
            </w:pPr>
            <w:r>
              <w:rPr>
                <w:rFonts w:ascii="Times New Roman" w:cs="Times New Roman" w:eastAsia="Times New Roman" w:hAnsi="Times New Roman"/>
                <w:sz w:val="15"/>
                <w:szCs w:val="15"/>
                <w:color w:val="231F20"/>
              </w:rPr>
              <w:t>361</w:t>
            </w:r>
          </w:p>
        </w:tc>
        <w:tc>
          <w:tcPr>
            <w:tcW w:w="1680" w:type="dxa"/>
            <w:vAlign w:val="bottom"/>
            <w:gridSpan w:val="2"/>
            <w:shd w:val="clear" w:color="auto" w:fill="FDFDFC"/>
          </w:tcPr>
          <w:p>
            <w:pPr>
              <w:jc w:val="right"/>
              <w:spacing w:after="0" w:line="172" w:lineRule="exact"/>
              <w:rPr>
                <w:sz w:val="20"/>
                <w:szCs w:val="20"/>
                <w:color w:val="auto"/>
              </w:rPr>
            </w:pPr>
            <w:r>
              <w:rPr>
                <w:rFonts w:ascii="Times New Roman" w:cs="Times New Roman" w:eastAsia="Times New Roman" w:hAnsi="Times New Roman"/>
                <w:sz w:val="15"/>
                <w:szCs w:val="15"/>
                <w:color w:val="231F20"/>
              </w:rPr>
              <w:t>396</w:t>
            </w:r>
          </w:p>
        </w:tc>
        <w:tc>
          <w:tcPr>
            <w:tcW w:w="960" w:type="dxa"/>
            <w:vAlign w:val="bottom"/>
            <w:gridSpan w:val="2"/>
            <w:shd w:val="clear" w:color="auto" w:fill="FDFDFC"/>
          </w:tcPr>
          <w:p>
            <w:pPr>
              <w:jc w:val="right"/>
              <w:spacing w:after="0" w:line="172" w:lineRule="exact"/>
              <w:rPr>
                <w:sz w:val="20"/>
                <w:szCs w:val="20"/>
                <w:color w:val="auto"/>
              </w:rPr>
            </w:pPr>
            <w:r>
              <w:rPr>
                <w:rFonts w:ascii="Times New Roman" w:cs="Times New Roman" w:eastAsia="Times New Roman" w:hAnsi="Times New Roman"/>
                <w:sz w:val="15"/>
                <w:szCs w:val="15"/>
                <w:color w:val="231F20"/>
              </w:rPr>
              <w:t>0.0%</w:t>
            </w:r>
          </w:p>
        </w:tc>
      </w:tr>
      <w:tr>
        <w:trPr>
          <w:trHeight w:val="189"/>
        </w:trPr>
        <w:tc>
          <w:tcPr>
            <w:tcW w:w="1580" w:type="dxa"/>
            <w:vAlign w:val="bottom"/>
            <w:shd w:val="clear" w:color="auto" w:fill="FDFDFC"/>
          </w:tcPr>
          <w:p>
            <w:pPr>
              <w:spacing w:after="0"/>
              <w:rPr>
                <w:sz w:val="16"/>
                <w:szCs w:val="16"/>
                <w:color w:val="auto"/>
              </w:rPr>
            </w:pPr>
          </w:p>
        </w:tc>
        <w:tc>
          <w:tcPr>
            <w:tcW w:w="2200" w:type="dxa"/>
            <w:vAlign w:val="bottom"/>
            <w:shd w:val="clear" w:color="auto" w:fill="FDFDFC"/>
          </w:tcPr>
          <w:p>
            <w:pPr>
              <w:ind w:left="60"/>
              <w:spacing w:after="0"/>
              <w:rPr>
                <w:sz w:val="20"/>
                <w:szCs w:val="20"/>
                <w:color w:val="auto"/>
              </w:rPr>
            </w:pPr>
            <w:r>
              <w:rPr>
                <w:rFonts w:ascii="Times New Roman" w:cs="Times New Roman" w:eastAsia="Times New Roman" w:hAnsi="Times New Roman"/>
                <w:sz w:val="15"/>
                <w:szCs w:val="15"/>
                <w:color w:val="231F20"/>
              </w:rPr>
              <w:t>325 par, due 1/2028)</w:t>
            </w:r>
          </w:p>
        </w:tc>
        <w:tc>
          <w:tcPr>
            <w:tcW w:w="800" w:type="dxa"/>
            <w:vAlign w:val="bottom"/>
            <w:shd w:val="clear" w:color="auto" w:fill="FDFDFC"/>
          </w:tcPr>
          <w:p>
            <w:pPr>
              <w:spacing w:after="0"/>
              <w:rPr>
                <w:sz w:val="16"/>
                <w:szCs w:val="16"/>
                <w:color w:val="auto"/>
              </w:rPr>
            </w:pPr>
          </w:p>
        </w:tc>
        <w:tc>
          <w:tcPr>
            <w:tcW w:w="1000" w:type="dxa"/>
            <w:vAlign w:val="bottom"/>
            <w:shd w:val="clear" w:color="auto" w:fill="FDFDFC"/>
          </w:tcPr>
          <w:p>
            <w:pPr>
              <w:spacing w:after="0"/>
              <w:rPr>
                <w:sz w:val="16"/>
                <w:szCs w:val="16"/>
                <w:color w:val="auto"/>
              </w:rPr>
            </w:pPr>
          </w:p>
        </w:tc>
        <w:tc>
          <w:tcPr>
            <w:tcW w:w="1060" w:type="dxa"/>
            <w:vAlign w:val="bottom"/>
            <w:shd w:val="clear" w:color="auto" w:fill="FDFDFC"/>
          </w:tcPr>
          <w:p>
            <w:pPr>
              <w:spacing w:after="0"/>
              <w:rPr>
                <w:sz w:val="16"/>
                <w:szCs w:val="16"/>
                <w:color w:val="auto"/>
              </w:rPr>
            </w:pPr>
          </w:p>
        </w:tc>
        <w:tc>
          <w:tcPr>
            <w:tcW w:w="1000" w:type="dxa"/>
            <w:vAlign w:val="bottom"/>
            <w:shd w:val="clear" w:color="auto" w:fill="FDFDFC"/>
          </w:tcPr>
          <w:p>
            <w:pPr>
              <w:spacing w:after="0"/>
              <w:rPr>
                <w:sz w:val="16"/>
                <w:szCs w:val="16"/>
                <w:color w:val="auto"/>
              </w:rPr>
            </w:pPr>
          </w:p>
        </w:tc>
        <w:tc>
          <w:tcPr>
            <w:tcW w:w="80" w:type="dxa"/>
            <w:vAlign w:val="bottom"/>
            <w:shd w:val="clear" w:color="auto" w:fill="FDFDFC"/>
          </w:tcPr>
          <w:p>
            <w:pPr>
              <w:spacing w:after="0"/>
              <w:rPr>
                <w:sz w:val="16"/>
                <w:szCs w:val="16"/>
                <w:color w:val="auto"/>
              </w:rPr>
            </w:pPr>
          </w:p>
        </w:tc>
        <w:tc>
          <w:tcPr>
            <w:tcW w:w="1600" w:type="dxa"/>
            <w:vAlign w:val="bottom"/>
            <w:shd w:val="clear" w:color="auto" w:fill="FDFDFC"/>
          </w:tcPr>
          <w:p>
            <w:pPr>
              <w:jc w:val="right"/>
              <w:spacing w:after="0"/>
              <w:rPr>
                <w:sz w:val="20"/>
                <w:szCs w:val="20"/>
                <w:color w:val="auto"/>
              </w:rPr>
            </w:pPr>
            <w:r>
              <w:rPr>
                <w:rFonts w:ascii="Times New Roman" w:cs="Times New Roman" w:eastAsia="Times New Roman" w:hAnsi="Times New Roman"/>
                <w:sz w:val="15"/>
                <w:szCs w:val="15"/>
                <w:color w:val="231F20"/>
              </w:rPr>
              <w:t>(GBP 316)</w:t>
            </w:r>
          </w:p>
        </w:tc>
        <w:tc>
          <w:tcPr>
            <w:tcW w:w="100" w:type="dxa"/>
            <w:vAlign w:val="bottom"/>
            <w:shd w:val="clear" w:color="auto" w:fill="FDFDFC"/>
          </w:tcPr>
          <w:p>
            <w:pPr>
              <w:spacing w:after="0"/>
              <w:rPr>
                <w:sz w:val="16"/>
                <w:szCs w:val="16"/>
                <w:color w:val="auto"/>
              </w:rPr>
            </w:pPr>
          </w:p>
        </w:tc>
        <w:tc>
          <w:tcPr>
            <w:tcW w:w="860" w:type="dxa"/>
            <w:vAlign w:val="bottom"/>
            <w:shd w:val="clear" w:color="auto" w:fill="FDFDFC"/>
          </w:tcPr>
          <w:p>
            <w:pPr>
              <w:spacing w:after="0"/>
              <w:rPr>
                <w:sz w:val="16"/>
                <w:szCs w:val="16"/>
                <w:color w:val="auto"/>
              </w:rPr>
            </w:pPr>
          </w:p>
        </w:tc>
      </w:tr>
      <w:tr>
        <w:trPr>
          <w:trHeight w:val="171"/>
        </w:trPr>
        <w:tc>
          <w:tcPr>
            <w:tcW w:w="1580" w:type="dxa"/>
            <w:vAlign w:val="bottom"/>
            <w:shd w:val="clear" w:color="auto" w:fill="D0EBF2"/>
          </w:tcPr>
          <w:p>
            <w:pPr>
              <w:spacing w:after="0" w:line="172" w:lineRule="exact"/>
              <w:rPr>
                <w:sz w:val="20"/>
                <w:szCs w:val="20"/>
                <w:color w:val="auto"/>
              </w:rPr>
            </w:pPr>
            <w:r>
              <w:rPr>
                <w:rFonts w:ascii="Times New Roman" w:cs="Times New Roman" w:eastAsia="Times New Roman" w:hAnsi="Times New Roman"/>
                <w:sz w:val="15"/>
                <w:szCs w:val="15"/>
                <w:color w:val="231F20"/>
              </w:rPr>
              <w:t>Employment Hero</w:t>
            </w:r>
          </w:p>
        </w:tc>
        <w:tc>
          <w:tcPr>
            <w:tcW w:w="2200" w:type="dxa"/>
            <w:vAlign w:val="bottom"/>
            <w:shd w:val="clear" w:color="auto" w:fill="D0EBF2"/>
          </w:tcPr>
          <w:p>
            <w:pPr>
              <w:ind w:left="60"/>
              <w:spacing w:after="0" w:line="172" w:lineRule="exact"/>
              <w:rPr>
                <w:sz w:val="20"/>
                <w:szCs w:val="20"/>
                <w:color w:val="auto"/>
              </w:rPr>
            </w:pPr>
            <w:r>
              <w:rPr>
                <w:rFonts w:ascii="Times New Roman" w:cs="Times New Roman" w:eastAsia="Times New Roman" w:hAnsi="Times New Roman"/>
                <w:sz w:val="15"/>
                <w:szCs w:val="15"/>
                <w:color w:val="231F20"/>
              </w:rPr>
              <w:t>First-lien loan (AUD 60,000 par,</w:t>
            </w:r>
          </w:p>
        </w:tc>
        <w:tc>
          <w:tcPr>
            <w:tcW w:w="800" w:type="dxa"/>
            <w:vAlign w:val="bottom"/>
            <w:shd w:val="clear" w:color="auto" w:fill="D0EBF2"/>
          </w:tcPr>
          <w:p>
            <w:pPr>
              <w:jc w:val="right"/>
              <w:spacing w:after="0" w:line="172" w:lineRule="exact"/>
              <w:rPr>
                <w:sz w:val="20"/>
                <w:szCs w:val="20"/>
                <w:color w:val="auto"/>
              </w:rPr>
            </w:pPr>
            <w:r>
              <w:rPr>
                <w:rFonts w:ascii="Times New Roman" w:cs="Times New Roman" w:eastAsia="Times New Roman" w:hAnsi="Times New Roman"/>
                <w:sz w:val="15"/>
                <w:szCs w:val="15"/>
                <w:color w:val="231F20"/>
              </w:rPr>
              <w:t>12/6/2021</w:t>
            </w:r>
          </w:p>
        </w:tc>
        <w:tc>
          <w:tcPr>
            <w:tcW w:w="1000" w:type="dxa"/>
            <w:vAlign w:val="bottom"/>
            <w:shd w:val="clear" w:color="auto" w:fill="D0EBF2"/>
          </w:tcPr>
          <w:p>
            <w:pPr>
              <w:jc w:val="right"/>
              <w:ind w:right="44"/>
              <w:spacing w:after="0" w:line="172" w:lineRule="exact"/>
              <w:rPr>
                <w:sz w:val="20"/>
                <w:szCs w:val="20"/>
                <w:color w:val="auto"/>
              </w:rPr>
            </w:pPr>
            <w:r>
              <w:rPr>
                <w:rFonts w:ascii="Times New Roman" w:cs="Times New Roman" w:eastAsia="Times New Roman" w:hAnsi="Times New Roman"/>
                <w:sz w:val="15"/>
                <w:szCs w:val="15"/>
                <w:color w:val="231F20"/>
              </w:rPr>
              <w:t>B + 6.25%</w:t>
            </w:r>
          </w:p>
        </w:tc>
        <w:tc>
          <w:tcPr>
            <w:tcW w:w="1060" w:type="dxa"/>
            <w:vAlign w:val="bottom"/>
            <w:shd w:val="clear" w:color="auto" w:fill="D0EBF2"/>
          </w:tcPr>
          <w:p>
            <w:pPr>
              <w:jc w:val="right"/>
              <w:ind w:right="64"/>
              <w:spacing w:after="0" w:line="172" w:lineRule="exact"/>
              <w:rPr>
                <w:sz w:val="20"/>
                <w:szCs w:val="20"/>
                <w:color w:val="auto"/>
              </w:rPr>
            </w:pPr>
            <w:r>
              <w:rPr>
                <w:rFonts w:ascii="Times New Roman" w:cs="Times New Roman" w:eastAsia="Times New Roman" w:hAnsi="Times New Roman"/>
                <w:sz w:val="15"/>
                <w:szCs w:val="15"/>
                <w:color w:val="231F20"/>
              </w:rPr>
              <w:t>10.73%</w:t>
            </w:r>
          </w:p>
        </w:tc>
        <w:tc>
          <w:tcPr>
            <w:tcW w:w="1000" w:type="dxa"/>
            <w:vAlign w:val="bottom"/>
            <w:shd w:val="clear" w:color="auto" w:fill="D0EBF2"/>
          </w:tcPr>
          <w:p>
            <w:pPr>
              <w:jc w:val="right"/>
              <w:spacing w:after="0" w:line="172" w:lineRule="exact"/>
              <w:rPr>
                <w:sz w:val="20"/>
                <w:szCs w:val="20"/>
                <w:color w:val="auto"/>
              </w:rPr>
            </w:pPr>
            <w:r>
              <w:rPr>
                <w:rFonts w:ascii="Times New Roman" w:cs="Times New Roman" w:eastAsia="Times New Roman" w:hAnsi="Times New Roman"/>
                <w:sz w:val="15"/>
                <w:szCs w:val="15"/>
                <w:color w:val="231F20"/>
              </w:rPr>
              <w:t>41,424</w:t>
            </w:r>
          </w:p>
        </w:tc>
        <w:tc>
          <w:tcPr>
            <w:tcW w:w="1680" w:type="dxa"/>
            <w:vAlign w:val="bottom"/>
            <w:gridSpan w:val="2"/>
            <w:shd w:val="clear" w:color="auto" w:fill="D0EBF2"/>
          </w:tcPr>
          <w:p>
            <w:pPr>
              <w:jc w:val="right"/>
              <w:spacing w:after="0" w:line="172" w:lineRule="exact"/>
              <w:rPr>
                <w:sz w:val="20"/>
                <w:szCs w:val="20"/>
                <w:color w:val="auto"/>
              </w:rPr>
            </w:pPr>
            <w:r>
              <w:rPr>
                <w:rFonts w:ascii="Times New Roman" w:cs="Times New Roman" w:eastAsia="Times New Roman" w:hAnsi="Times New Roman"/>
                <w:sz w:val="15"/>
                <w:szCs w:val="15"/>
                <w:color w:val="231F20"/>
              </w:rPr>
              <w:t>37,247</w:t>
            </w:r>
          </w:p>
        </w:tc>
        <w:tc>
          <w:tcPr>
            <w:tcW w:w="960" w:type="dxa"/>
            <w:vAlign w:val="bottom"/>
            <w:gridSpan w:val="2"/>
            <w:shd w:val="clear" w:color="auto" w:fill="D0EBF2"/>
          </w:tcPr>
          <w:p>
            <w:pPr>
              <w:jc w:val="right"/>
              <w:spacing w:after="0" w:line="172" w:lineRule="exact"/>
              <w:rPr>
                <w:sz w:val="20"/>
                <w:szCs w:val="20"/>
                <w:color w:val="auto"/>
              </w:rPr>
            </w:pPr>
            <w:r>
              <w:rPr>
                <w:rFonts w:ascii="Times New Roman" w:cs="Times New Roman" w:eastAsia="Times New Roman" w:hAnsi="Times New Roman"/>
                <w:sz w:val="15"/>
                <w:szCs w:val="15"/>
                <w:color w:val="231F20"/>
              </w:rPr>
              <w:t>2.3%</w:t>
            </w:r>
          </w:p>
        </w:tc>
      </w:tr>
      <w:tr>
        <w:trPr>
          <w:trHeight w:val="189"/>
        </w:trPr>
        <w:tc>
          <w:tcPr>
            <w:tcW w:w="1580" w:type="dxa"/>
            <w:vAlign w:val="bottom"/>
            <w:shd w:val="clear" w:color="auto" w:fill="D0EBF2"/>
          </w:tcPr>
          <w:p>
            <w:pPr>
              <w:spacing w:after="0"/>
              <w:rPr>
                <w:sz w:val="20"/>
                <w:szCs w:val="20"/>
                <w:color w:val="auto"/>
              </w:rPr>
            </w:pPr>
            <w:r>
              <w:rPr>
                <w:rFonts w:ascii="Times New Roman" w:cs="Times New Roman" w:eastAsia="Times New Roman" w:hAnsi="Times New Roman"/>
                <w:sz w:val="15"/>
                <w:szCs w:val="15"/>
                <w:color w:val="231F20"/>
              </w:rPr>
              <w:t xml:space="preserve">Holdings Pty Ltd. </w:t>
            </w:r>
            <w:r>
              <w:rPr>
                <w:rFonts w:ascii="Times New Roman" w:cs="Times New Roman" w:eastAsia="Times New Roman" w:hAnsi="Times New Roman"/>
                <w:sz w:val="9"/>
                <w:szCs w:val="9"/>
                <w:color w:val="231F20"/>
              </w:rPr>
              <w:t>(3)(4)</w:t>
            </w:r>
          </w:p>
        </w:tc>
        <w:tc>
          <w:tcPr>
            <w:tcW w:w="2200" w:type="dxa"/>
            <w:vAlign w:val="bottom"/>
            <w:shd w:val="clear" w:color="auto" w:fill="D0EBF2"/>
          </w:tcPr>
          <w:p>
            <w:pPr>
              <w:ind w:left="60"/>
              <w:spacing w:after="0"/>
              <w:rPr>
                <w:sz w:val="20"/>
                <w:szCs w:val="20"/>
                <w:color w:val="auto"/>
              </w:rPr>
            </w:pPr>
            <w:r>
              <w:rPr>
                <w:rFonts w:ascii="Times New Roman" w:cs="Times New Roman" w:eastAsia="Times New Roman" w:hAnsi="Times New Roman"/>
                <w:sz w:val="15"/>
                <w:szCs w:val="15"/>
                <w:color w:val="231F20"/>
              </w:rPr>
              <w:t>due 12/2026)</w:t>
            </w:r>
          </w:p>
        </w:tc>
        <w:tc>
          <w:tcPr>
            <w:tcW w:w="800" w:type="dxa"/>
            <w:vAlign w:val="bottom"/>
            <w:shd w:val="clear" w:color="auto" w:fill="D0EBF2"/>
          </w:tcPr>
          <w:p>
            <w:pPr>
              <w:spacing w:after="0"/>
              <w:rPr>
                <w:sz w:val="16"/>
                <w:szCs w:val="16"/>
                <w:color w:val="auto"/>
              </w:rPr>
            </w:pPr>
          </w:p>
        </w:tc>
        <w:tc>
          <w:tcPr>
            <w:tcW w:w="1000" w:type="dxa"/>
            <w:vAlign w:val="bottom"/>
            <w:shd w:val="clear" w:color="auto" w:fill="D0EBF2"/>
          </w:tcPr>
          <w:p>
            <w:pPr>
              <w:spacing w:after="0"/>
              <w:rPr>
                <w:sz w:val="16"/>
                <w:szCs w:val="16"/>
                <w:color w:val="auto"/>
              </w:rPr>
            </w:pPr>
          </w:p>
        </w:tc>
        <w:tc>
          <w:tcPr>
            <w:tcW w:w="1060" w:type="dxa"/>
            <w:vAlign w:val="bottom"/>
            <w:shd w:val="clear" w:color="auto" w:fill="D0EBF2"/>
          </w:tcPr>
          <w:p>
            <w:pPr>
              <w:spacing w:after="0"/>
              <w:rPr>
                <w:sz w:val="16"/>
                <w:szCs w:val="16"/>
                <w:color w:val="auto"/>
              </w:rPr>
            </w:pPr>
          </w:p>
        </w:tc>
        <w:tc>
          <w:tcPr>
            <w:tcW w:w="1000" w:type="dxa"/>
            <w:vAlign w:val="bottom"/>
            <w:shd w:val="clear" w:color="auto" w:fill="D0EBF2"/>
          </w:tcPr>
          <w:p>
            <w:pPr>
              <w:spacing w:after="0"/>
              <w:rPr>
                <w:sz w:val="16"/>
                <w:szCs w:val="16"/>
                <w:color w:val="auto"/>
              </w:rPr>
            </w:pPr>
          </w:p>
        </w:tc>
        <w:tc>
          <w:tcPr>
            <w:tcW w:w="80" w:type="dxa"/>
            <w:vAlign w:val="bottom"/>
            <w:shd w:val="clear" w:color="auto" w:fill="D0EBF2"/>
          </w:tcPr>
          <w:p>
            <w:pPr>
              <w:spacing w:after="0"/>
              <w:rPr>
                <w:sz w:val="16"/>
                <w:szCs w:val="16"/>
                <w:color w:val="auto"/>
              </w:rPr>
            </w:pPr>
          </w:p>
        </w:tc>
        <w:tc>
          <w:tcPr>
            <w:tcW w:w="1600" w:type="dxa"/>
            <w:vAlign w:val="bottom"/>
            <w:shd w:val="clear" w:color="auto" w:fill="D0EBF2"/>
          </w:tcPr>
          <w:p>
            <w:pPr>
              <w:jc w:val="right"/>
              <w:spacing w:after="0"/>
              <w:rPr>
                <w:sz w:val="20"/>
                <w:szCs w:val="20"/>
                <w:color w:val="auto"/>
              </w:rPr>
            </w:pPr>
            <w:r>
              <w:rPr>
                <w:rFonts w:ascii="Times New Roman" w:cs="Times New Roman" w:eastAsia="Times New Roman" w:hAnsi="Times New Roman"/>
                <w:sz w:val="15"/>
                <w:szCs w:val="15"/>
                <w:color w:val="231F20"/>
              </w:rPr>
              <w:t>(AUD 60,158)</w:t>
            </w:r>
          </w:p>
        </w:tc>
        <w:tc>
          <w:tcPr>
            <w:tcW w:w="100" w:type="dxa"/>
            <w:vAlign w:val="bottom"/>
            <w:shd w:val="clear" w:color="auto" w:fill="D0EBF2"/>
          </w:tcPr>
          <w:p>
            <w:pPr>
              <w:spacing w:after="0"/>
              <w:rPr>
                <w:sz w:val="16"/>
                <w:szCs w:val="16"/>
                <w:color w:val="auto"/>
              </w:rPr>
            </w:pPr>
          </w:p>
        </w:tc>
        <w:tc>
          <w:tcPr>
            <w:tcW w:w="860" w:type="dxa"/>
            <w:vAlign w:val="bottom"/>
            <w:shd w:val="clear" w:color="auto" w:fill="D0EBF2"/>
          </w:tcPr>
          <w:p>
            <w:pPr>
              <w:spacing w:after="0"/>
              <w:rPr>
                <w:sz w:val="16"/>
                <w:szCs w:val="16"/>
                <w:color w:val="auto"/>
              </w:rPr>
            </w:pPr>
          </w:p>
        </w:tc>
      </w:tr>
      <w:tr>
        <w:trPr>
          <w:trHeight w:val="171"/>
        </w:trPr>
        <w:tc>
          <w:tcPr>
            <w:tcW w:w="1580" w:type="dxa"/>
            <w:vAlign w:val="bottom"/>
            <w:shd w:val="clear" w:color="auto" w:fill="FDFDFC"/>
          </w:tcPr>
          <w:p>
            <w:pPr>
              <w:spacing w:after="0" w:line="172" w:lineRule="exact"/>
              <w:rPr>
                <w:sz w:val="20"/>
                <w:szCs w:val="20"/>
                <w:color w:val="auto"/>
              </w:rPr>
            </w:pPr>
            <w:r>
              <w:rPr>
                <w:rFonts w:ascii="Times New Roman" w:cs="Times New Roman" w:eastAsia="Times New Roman" w:hAnsi="Times New Roman"/>
                <w:sz w:val="15"/>
                <w:szCs w:val="15"/>
                <w:color w:val="231F20"/>
              </w:rPr>
              <w:t>HireVue, Inc.</w:t>
            </w:r>
            <w:r>
              <w:rPr>
                <w:rFonts w:ascii="Times New Roman" w:cs="Times New Roman" w:eastAsia="Times New Roman" w:hAnsi="Times New Roman"/>
                <w:sz w:val="9"/>
                <w:szCs w:val="9"/>
                <w:color w:val="231F20"/>
              </w:rPr>
              <w:t>(3)</w:t>
            </w:r>
          </w:p>
        </w:tc>
        <w:tc>
          <w:tcPr>
            <w:tcW w:w="2200" w:type="dxa"/>
            <w:vAlign w:val="bottom"/>
            <w:shd w:val="clear" w:color="auto" w:fill="FDFDFC"/>
          </w:tcPr>
          <w:p>
            <w:pPr>
              <w:ind w:left="60"/>
              <w:spacing w:after="0" w:line="172" w:lineRule="exact"/>
              <w:rPr>
                <w:sz w:val="20"/>
                <w:szCs w:val="20"/>
                <w:color w:val="auto"/>
              </w:rPr>
            </w:pPr>
            <w:r>
              <w:rPr>
                <w:rFonts w:ascii="Times New Roman" w:cs="Times New Roman" w:eastAsia="Times New Roman" w:hAnsi="Times New Roman"/>
                <w:sz w:val="15"/>
                <w:szCs w:val="15"/>
                <w:color w:val="231F20"/>
              </w:rPr>
              <w:t>First-lien loan ($53,572 par, due</w:t>
            </w:r>
          </w:p>
        </w:tc>
        <w:tc>
          <w:tcPr>
            <w:tcW w:w="800" w:type="dxa"/>
            <w:vAlign w:val="bottom"/>
            <w:shd w:val="clear" w:color="auto" w:fill="FDFDFC"/>
          </w:tcPr>
          <w:p>
            <w:pPr>
              <w:jc w:val="right"/>
              <w:spacing w:after="0" w:line="172" w:lineRule="exact"/>
              <w:rPr>
                <w:sz w:val="20"/>
                <w:szCs w:val="20"/>
                <w:color w:val="auto"/>
              </w:rPr>
            </w:pPr>
            <w:r>
              <w:rPr>
                <w:rFonts w:ascii="Times New Roman" w:cs="Times New Roman" w:eastAsia="Times New Roman" w:hAnsi="Times New Roman"/>
                <w:sz w:val="15"/>
                <w:szCs w:val="15"/>
                <w:color w:val="231F20"/>
              </w:rPr>
              <w:t>5/3/2023</w:t>
            </w:r>
          </w:p>
        </w:tc>
        <w:tc>
          <w:tcPr>
            <w:tcW w:w="1000" w:type="dxa"/>
            <w:vAlign w:val="bottom"/>
            <w:shd w:val="clear" w:color="auto" w:fill="FDFDFC"/>
          </w:tcPr>
          <w:p>
            <w:pPr>
              <w:jc w:val="right"/>
              <w:ind w:right="44"/>
              <w:spacing w:after="0" w:line="172" w:lineRule="exact"/>
              <w:rPr>
                <w:sz w:val="20"/>
                <w:szCs w:val="20"/>
                <w:color w:val="auto"/>
              </w:rPr>
            </w:pPr>
            <w:r>
              <w:rPr>
                <w:rFonts w:ascii="Times New Roman" w:cs="Times New Roman" w:eastAsia="Times New Roman" w:hAnsi="Times New Roman"/>
                <w:sz w:val="15"/>
                <w:szCs w:val="15"/>
                <w:color w:val="231F20"/>
              </w:rPr>
              <w:t>SOFR +</w:t>
            </w:r>
          </w:p>
        </w:tc>
        <w:tc>
          <w:tcPr>
            <w:tcW w:w="1060" w:type="dxa"/>
            <w:vAlign w:val="bottom"/>
            <w:shd w:val="clear" w:color="auto" w:fill="FDFDFC"/>
          </w:tcPr>
          <w:p>
            <w:pPr>
              <w:jc w:val="right"/>
              <w:ind w:right="64"/>
              <w:spacing w:after="0" w:line="172" w:lineRule="exact"/>
              <w:rPr>
                <w:sz w:val="20"/>
                <w:szCs w:val="20"/>
                <w:color w:val="auto"/>
              </w:rPr>
            </w:pPr>
            <w:r>
              <w:rPr>
                <w:rFonts w:ascii="Times New Roman" w:cs="Times New Roman" w:eastAsia="Times New Roman" w:hAnsi="Times New Roman"/>
                <w:sz w:val="15"/>
                <w:szCs w:val="15"/>
                <w:color w:val="231F20"/>
              </w:rPr>
              <w:t>11.34%</w:t>
            </w:r>
          </w:p>
        </w:tc>
        <w:tc>
          <w:tcPr>
            <w:tcW w:w="1000" w:type="dxa"/>
            <w:vAlign w:val="bottom"/>
            <w:shd w:val="clear" w:color="auto" w:fill="FDFDFC"/>
          </w:tcPr>
          <w:p>
            <w:pPr>
              <w:jc w:val="right"/>
              <w:spacing w:after="0" w:line="172" w:lineRule="exact"/>
              <w:rPr>
                <w:sz w:val="20"/>
                <w:szCs w:val="20"/>
                <w:color w:val="auto"/>
              </w:rPr>
            </w:pPr>
            <w:r>
              <w:rPr>
                <w:rFonts w:ascii="Times New Roman" w:cs="Times New Roman" w:eastAsia="Times New Roman" w:hAnsi="Times New Roman"/>
                <w:sz w:val="15"/>
                <w:szCs w:val="15"/>
                <w:color w:val="231F20"/>
              </w:rPr>
              <w:t>52,335</w:t>
            </w:r>
          </w:p>
        </w:tc>
        <w:tc>
          <w:tcPr>
            <w:tcW w:w="1680" w:type="dxa"/>
            <w:vAlign w:val="bottom"/>
            <w:gridSpan w:val="2"/>
            <w:shd w:val="clear" w:color="auto" w:fill="FDFDFC"/>
          </w:tcPr>
          <w:p>
            <w:pPr>
              <w:jc w:val="right"/>
              <w:spacing w:after="0" w:line="172" w:lineRule="exact"/>
              <w:rPr>
                <w:sz w:val="20"/>
                <w:szCs w:val="20"/>
                <w:color w:val="auto"/>
              </w:rPr>
            </w:pPr>
            <w:r>
              <w:rPr>
                <w:rFonts w:ascii="Times New Roman" w:cs="Times New Roman" w:eastAsia="Times New Roman" w:hAnsi="Times New Roman"/>
                <w:sz w:val="15"/>
                <w:szCs w:val="15"/>
                <w:color w:val="231F20"/>
              </w:rPr>
              <w:t>54,240</w:t>
            </w:r>
          </w:p>
        </w:tc>
        <w:tc>
          <w:tcPr>
            <w:tcW w:w="960" w:type="dxa"/>
            <w:vAlign w:val="bottom"/>
            <w:gridSpan w:val="2"/>
            <w:shd w:val="clear" w:color="auto" w:fill="FDFDFC"/>
          </w:tcPr>
          <w:p>
            <w:pPr>
              <w:jc w:val="right"/>
              <w:spacing w:after="0" w:line="172" w:lineRule="exact"/>
              <w:rPr>
                <w:sz w:val="20"/>
                <w:szCs w:val="20"/>
                <w:color w:val="auto"/>
              </w:rPr>
            </w:pPr>
            <w:r>
              <w:rPr>
                <w:rFonts w:ascii="Times New Roman" w:cs="Times New Roman" w:eastAsia="Times New Roman" w:hAnsi="Times New Roman"/>
                <w:sz w:val="15"/>
                <w:szCs w:val="15"/>
                <w:color w:val="231F20"/>
              </w:rPr>
              <w:t>3.4%</w:t>
            </w:r>
          </w:p>
        </w:tc>
      </w:tr>
      <w:tr>
        <w:trPr>
          <w:trHeight w:val="189"/>
        </w:trPr>
        <w:tc>
          <w:tcPr>
            <w:tcW w:w="1580" w:type="dxa"/>
            <w:vAlign w:val="bottom"/>
            <w:shd w:val="clear" w:color="auto" w:fill="FDFDFC"/>
          </w:tcPr>
          <w:p>
            <w:pPr>
              <w:spacing w:after="0"/>
              <w:rPr>
                <w:sz w:val="16"/>
                <w:szCs w:val="16"/>
                <w:color w:val="auto"/>
              </w:rPr>
            </w:pPr>
          </w:p>
        </w:tc>
        <w:tc>
          <w:tcPr>
            <w:tcW w:w="2200" w:type="dxa"/>
            <w:vAlign w:val="bottom"/>
            <w:shd w:val="clear" w:color="auto" w:fill="FDFDFC"/>
          </w:tcPr>
          <w:p>
            <w:pPr>
              <w:ind w:left="60"/>
              <w:spacing w:after="0"/>
              <w:rPr>
                <w:sz w:val="20"/>
                <w:szCs w:val="20"/>
                <w:color w:val="auto"/>
              </w:rPr>
            </w:pPr>
            <w:r>
              <w:rPr>
                <w:rFonts w:ascii="Times New Roman" w:cs="Times New Roman" w:eastAsia="Times New Roman" w:hAnsi="Times New Roman"/>
                <w:sz w:val="15"/>
                <w:szCs w:val="15"/>
                <w:color w:val="231F20"/>
              </w:rPr>
              <w:t>5/2029)</w:t>
            </w:r>
          </w:p>
        </w:tc>
        <w:tc>
          <w:tcPr>
            <w:tcW w:w="800" w:type="dxa"/>
            <w:vAlign w:val="bottom"/>
            <w:shd w:val="clear" w:color="auto" w:fill="FDFDFC"/>
          </w:tcPr>
          <w:p>
            <w:pPr>
              <w:spacing w:after="0"/>
              <w:rPr>
                <w:sz w:val="16"/>
                <w:szCs w:val="16"/>
                <w:color w:val="auto"/>
              </w:rPr>
            </w:pPr>
          </w:p>
        </w:tc>
        <w:tc>
          <w:tcPr>
            <w:tcW w:w="1000" w:type="dxa"/>
            <w:vAlign w:val="bottom"/>
            <w:shd w:val="clear" w:color="auto" w:fill="FDFDFC"/>
          </w:tcPr>
          <w:p>
            <w:pPr>
              <w:jc w:val="right"/>
              <w:ind w:right="44"/>
              <w:spacing w:after="0"/>
              <w:rPr>
                <w:sz w:val="20"/>
                <w:szCs w:val="20"/>
                <w:color w:val="auto"/>
              </w:rPr>
            </w:pPr>
            <w:r>
              <w:rPr>
                <w:rFonts w:ascii="Times New Roman" w:cs="Times New Roman" w:eastAsia="Times New Roman" w:hAnsi="Times New Roman"/>
                <w:sz w:val="15"/>
                <w:szCs w:val="15"/>
                <w:color w:val="231F20"/>
              </w:rPr>
              <w:t>6.75%</w:t>
            </w:r>
          </w:p>
        </w:tc>
        <w:tc>
          <w:tcPr>
            <w:tcW w:w="1060" w:type="dxa"/>
            <w:vAlign w:val="bottom"/>
            <w:shd w:val="clear" w:color="auto" w:fill="FDFDFC"/>
          </w:tcPr>
          <w:p>
            <w:pPr>
              <w:spacing w:after="0"/>
              <w:rPr>
                <w:sz w:val="16"/>
                <w:szCs w:val="16"/>
                <w:color w:val="auto"/>
              </w:rPr>
            </w:pPr>
          </w:p>
        </w:tc>
        <w:tc>
          <w:tcPr>
            <w:tcW w:w="1000" w:type="dxa"/>
            <w:vAlign w:val="bottom"/>
            <w:shd w:val="clear" w:color="auto" w:fill="FDFDFC"/>
          </w:tcPr>
          <w:p>
            <w:pPr>
              <w:spacing w:after="0"/>
              <w:rPr>
                <w:sz w:val="16"/>
                <w:szCs w:val="16"/>
                <w:color w:val="auto"/>
              </w:rPr>
            </w:pPr>
          </w:p>
        </w:tc>
        <w:tc>
          <w:tcPr>
            <w:tcW w:w="80" w:type="dxa"/>
            <w:vAlign w:val="bottom"/>
            <w:shd w:val="clear" w:color="auto" w:fill="FDFDFC"/>
          </w:tcPr>
          <w:p>
            <w:pPr>
              <w:spacing w:after="0"/>
              <w:rPr>
                <w:sz w:val="16"/>
                <w:szCs w:val="16"/>
                <w:color w:val="auto"/>
              </w:rPr>
            </w:pPr>
          </w:p>
        </w:tc>
        <w:tc>
          <w:tcPr>
            <w:tcW w:w="1600" w:type="dxa"/>
            <w:vAlign w:val="bottom"/>
            <w:shd w:val="clear" w:color="auto" w:fill="FDFDFC"/>
          </w:tcPr>
          <w:p>
            <w:pPr>
              <w:spacing w:after="0"/>
              <w:rPr>
                <w:sz w:val="16"/>
                <w:szCs w:val="16"/>
                <w:color w:val="auto"/>
              </w:rPr>
            </w:pPr>
          </w:p>
        </w:tc>
        <w:tc>
          <w:tcPr>
            <w:tcW w:w="100" w:type="dxa"/>
            <w:vAlign w:val="bottom"/>
            <w:shd w:val="clear" w:color="auto" w:fill="FDFDFC"/>
          </w:tcPr>
          <w:p>
            <w:pPr>
              <w:spacing w:after="0"/>
              <w:rPr>
                <w:sz w:val="16"/>
                <w:szCs w:val="16"/>
                <w:color w:val="auto"/>
              </w:rPr>
            </w:pPr>
          </w:p>
        </w:tc>
        <w:tc>
          <w:tcPr>
            <w:tcW w:w="860" w:type="dxa"/>
            <w:vAlign w:val="bottom"/>
            <w:shd w:val="clear" w:color="auto" w:fill="FDFDFC"/>
          </w:tcPr>
          <w:p>
            <w:pPr>
              <w:spacing w:after="0"/>
              <w:rPr>
                <w:sz w:val="16"/>
                <w:szCs w:val="16"/>
                <w:color w:val="auto"/>
              </w:rPr>
            </w:pPr>
          </w:p>
        </w:tc>
      </w:tr>
      <w:tr>
        <w:trPr>
          <w:trHeight w:val="171"/>
        </w:trPr>
        <w:tc>
          <w:tcPr>
            <w:tcW w:w="1580" w:type="dxa"/>
            <w:vAlign w:val="bottom"/>
            <w:shd w:val="clear" w:color="auto" w:fill="D0EBF2"/>
          </w:tcPr>
          <w:p>
            <w:pPr>
              <w:spacing w:after="0"/>
              <w:rPr>
                <w:sz w:val="14"/>
                <w:szCs w:val="14"/>
                <w:color w:val="auto"/>
              </w:rPr>
            </w:pPr>
          </w:p>
        </w:tc>
        <w:tc>
          <w:tcPr>
            <w:tcW w:w="2200" w:type="dxa"/>
            <w:vAlign w:val="bottom"/>
            <w:shd w:val="clear" w:color="auto" w:fill="D0EBF2"/>
          </w:tcPr>
          <w:p>
            <w:pPr>
              <w:ind w:left="60"/>
              <w:spacing w:after="0" w:line="172" w:lineRule="exact"/>
              <w:rPr>
                <w:sz w:val="20"/>
                <w:szCs w:val="20"/>
                <w:color w:val="auto"/>
              </w:rPr>
            </w:pPr>
            <w:r>
              <w:rPr>
                <w:rFonts w:ascii="Times New Roman" w:cs="Times New Roman" w:eastAsia="Times New Roman" w:hAnsi="Times New Roman"/>
                <w:sz w:val="15"/>
                <w:szCs w:val="15"/>
                <w:color w:val="231F20"/>
              </w:rPr>
              <w:t>First-lien revolving loan ($4,378</w:t>
            </w:r>
          </w:p>
        </w:tc>
        <w:tc>
          <w:tcPr>
            <w:tcW w:w="800" w:type="dxa"/>
            <w:vAlign w:val="bottom"/>
            <w:shd w:val="clear" w:color="auto" w:fill="D0EBF2"/>
          </w:tcPr>
          <w:p>
            <w:pPr>
              <w:jc w:val="right"/>
              <w:spacing w:after="0" w:line="172" w:lineRule="exact"/>
              <w:rPr>
                <w:sz w:val="20"/>
                <w:szCs w:val="20"/>
                <w:color w:val="auto"/>
              </w:rPr>
            </w:pPr>
            <w:r>
              <w:rPr>
                <w:rFonts w:ascii="Times New Roman" w:cs="Times New Roman" w:eastAsia="Times New Roman" w:hAnsi="Times New Roman"/>
                <w:sz w:val="15"/>
                <w:szCs w:val="15"/>
                <w:color w:val="231F20"/>
              </w:rPr>
              <w:t>5/3/2023</w:t>
            </w:r>
          </w:p>
        </w:tc>
        <w:tc>
          <w:tcPr>
            <w:tcW w:w="1000" w:type="dxa"/>
            <w:vAlign w:val="bottom"/>
            <w:shd w:val="clear" w:color="auto" w:fill="D0EBF2"/>
          </w:tcPr>
          <w:p>
            <w:pPr>
              <w:jc w:val="right"/>
              <w:ind w:right="44"/>
              <w:spacing w:after="0" w:line="172" w:lineRule="exact"/>
              <w:rPr>
                <w:sz w:val="20"/>
                <w:szCs w:val="20"/>
                <w:color w:val="auto"/>
              </w:rPr>
            </w:pPr>
            <w:r>
              <w:rPr>
                <w:rFonts w:ascii="Times New Roman" w:cs="Times New Roman" w:eastAsia="Times New Roman" w:hAnsi="Times New Roman"/>
                <w:sz w:val="15"/>
                <w:szCs w:val="15"/>
                <w:color w:val="231F20"/>
              </w:rPr>
              <w:t>SOFR +</w:t>
            </w:r>
          </w:p>
        </w:tc>
        <w:tc>
          <w:tcPr>
            <w:tcW w:w="1060" w:type="dxa"/>
            <w:vAlign w:val="bottom"/>
            <w:shd w:val="clear" w:color="auto" w:fill="D0EBF2"/>
          </w:tcPr>
          <w:p>
            <w:pPr>
              <w:jc w:val="right"/>
              <w:ind w:right="64"/>
              <w:spacing w:after="0" w:line="172" w:lineRule="exact"/>
              <w:rPr>
                <w:sz w:val="20"/>
                <w:szCs w:val="20"/>
                <w:color w:val="auto"/>
              </w:rPr>
            </w:pPr>
            <w:r>
              <w:rPr>
                <w:rFonts w:ascii="Times New Roman" w:cs="Times New Roman" w:eastAsia="Times New Roman" w:hAnsi="Times New Roman"/>
                <w:sz w:val="15"/>
                <w:szCs w:val="15"/>
                <w:color w:val="231F20"/>
              </w:rPr>
              <w:t>11.30%</w:t>
            </w:r>
          </w:p>
        </w:tc>
        <w:tc>
          <w:tcPr>
            <w:tcW w:w="1000" w:type="dxa"/>
            <w:vAlign w:val="bottom"/>
            <w:shd w:val="clear" w:color="auto" w:fill="D0EBF2"/>
          </w:tcPr>
          <w:p>
            <w:pPr>
              <w:jc w:val="right"/>
              <w:spacing w:after="0" w:line="172" w:lineRule="exact"/>
              <w:rPr>
                <w:sz w:val="20"/>
                <w:szCs w:val="20"/>
                <w:color w:val="auto"/>
              </w:rPr>
            </w:pPr>
            <w:r>
              <w:rPr>
                <w:rFonts w:ascii="Times New Roman" w:cs="Times New Roman" w:eastAsia="Times New Roman" w:hAnsi="Times New Roman"/>
                <w:sz w:val="15"/>
                <w:szCs w:val="15"/>
                <w:color w:val="231F20"/>
              </w:rPr>
              <w:t>4,233</w:t>
            </w:r>
          </w:p>
        </w:tc>
        <w:tc>
          <w:tcPr>
            <w:tcW w:w="1680" w:type="dxa"/>
            <w:vAlign w:val="bottom"/>
            <w:gridSpan w:val="2"/>
            <w:shd w:val="clear" w:color="auto" w:fill="D0EBF2"/>
          </w:tcPr>
          <w:p>
            <w:pPr>
              <w:jc w:val="right"/>
              <w:spacing w:after="0" w:line="172" w:lineRule="exact"/>
              <w:rPr>
                <w:sz w:val="20"/>
                <w:szCs w:val="20"/>
                <w:color w:val="auto"/>
              </w:rPr>
            </w:pPr>
            <w:r>
              <w:rPr>
                <w:rFonts w:ascii="Times New Roman" w:cs="Times New Roman" w:eastAsia="Times New Roman" w:hAnsi="Times New Roman"/>
                <w:sz w:val="15"/>
                <w:szCs w:val="15"/>
                <w:color w:val="231F20"/>
              </w:rPr>
              <w:t>4,464</w:t>
            </w:r>
          </w:p>
        </w:tc>
        <w:tc>
          <w:tcPr>
            <w:tcW w:w="960" w:type="dxa"/>
            <w:vAlign w:val="bottom"/>
            <w:gridSpan w:val="2"/>
            <w:shd w:val="clear" w:color="auto" w:fill="D0EBF2"/>
          </w:tcPr>
          <w:p>
            <w:pPr>
              <w:jc w:val="right"/>
              <w:spacing w:after="0" w:line="172" w:lineRule="exact"/>
              <w:rPr>
                <w:sz w:val="20"/>
                <w:szCs w:val="20"/>
                <w:color w:val="auto"/>
              </w:rPr>
            </w:pPr>
            <w:r>
              <w:rPr>
                <w:rFonts w:ascii="Times New Roman" w:cs="Times New Roman" w:eastAsia="Times New Roman" w:hAnsi="Times New Roman"/>
                <w:sz w:val="15"/>
                <w:szCs w:val="15"/>
                <w:color w:val="231F20"/>
              </w:rPr>
              <w:t>0.3%</w:t>
            </w:r>
          </w:p>
        </w:tc>
      </w:tr>
      <w:tr>
        <w:trPr>
          <w:trHeight w:val="189"/>
        </w:trPr>
        <w:tc>
          <w:tcPr>
            <w:tcW w:w="1580" w:type="dxa"/>
            <w:vAlign w:val="bottom"/>
            <w:shd w:val="clear" w:color="auto" w:fill="D0EBF2"/>
          </w:tcPr>
          <w:p>
            <w:pPr>
              <w:spacing w:after="0"/>
              <w:rPr>
                <w:sz w:val="16"/>
                <w:szCs w:val="16"/>
                <w:color w:val="auto"/>
              </w:rPr>
            </w:pPr>
          </w:p>
        </w:tc>
        <w:tc>
          <w:tcPr>
            <w:tcW w:w="2200" w:type="dxa"/>
            <w:vAlign w:val="bottom"/>
            <w:shd w:val="clear" w:color="auto" w:fill="D0EBF2"/>
          </w:tcPr>
          <w:p>
            <w:pPr>
              <w:ind w:left="60"/>
              <w:spacing w:after="0"/>
              <w:rPr>
                <w:sz w:val="20"/>
                <w:szCs w:val="20"/>
                <w:color w:val="auto"/>
              </w:rPr>
            </w:pPr>
            <w:r>
              <w:rPr>
                <w:rFonts w:ascii="Times New Roman" w:cs="Times New Roman" w:eastAsia="Times New Roman" w:hAnsi="Times New Roman"/>
                <w:sz w:val="15"/>
                <w:szCs w:val="15"/>
                <w:color w:val="231F20"/>
              </w:rPr>
              <w:t>par, due 5/2029)</w:t>
            </w:r>
          </w:p>
        </w:tc>
        <w:tc>
          <w:tcPr>
            <w:tcW w:w="800" w:type="dxa"/>
            <w:vAlign w:val="bottom"/>
            <w:shd w:val="clear" w:color="auto" w:fill="D0EBF2"/>
          </w:tcPr>
          <w:p>
            <w:pPr>
              <w:spacing w:after="0"/>
              <w:rPr>
                <w:sz w:val="16"/>
                <w:szCs w:val="16"/>
                <w:color w:val="auto"/>
              </w:rPr>
            </w:pPr>
          </w:p>
        </w:tc>
        <w:tc>
          <w:tcPr>
            <w:tcW w:w="1000" w:type="dxa"/>
            <w:vAlign w:val="bottom"/>
            <w:shd w:val="clear" w:color="auto" w:fill="D0EBF2"/>
          </w:tcPr>
          <w:p>
            <w:pPr>
              <w:jc w:val="right"/>
              <w:ind w:right="44"/>
              <w:spacing w:after="0"/>
              <w:rPr>
                <w:sz w:val="20"/>
                <w:szCs w:val="20"/>
                <w:color w:val="auto"/>
              </w:rPr>
            </w:pPr>
            <w:r>
              <w:rPr>
                <w:rFonts w:ascii="Times New Roman" w:cs="Times New Roman" w:eastAsia="Times New Roman" w:hAnsi="Times New Roman"/>
                <w:sz w:val="15"/>
                <w:szCs w:val="15"/>
                <w:color w:val="231F20"/>
              </w:rPr>
              <w:t>6.75%</w:t>
            </w:r>
          </w:p>
        </w:tc>
        <w:tc>
          <w:tcPr>
            <w:tcW w:w="1060" w:type="dxa"/>
            <w:vAlign w:val="bottom"/>
            <w:shd w:val="clear" w:color="auto" w:fill="D0EBF2"/>
          </w:tcPr>
          <w:p>
            <w:pPr>
              <w:spacing w:after="0"/>
              <w:rPr>
                <w:sz w:val="16"/>
                <w:szCs w:val="16"/>
                <w:color w:val="auto"/>
              </w:rPr>
            </w:pPr>
          </w:p>
        </w:tc>
        <w:tc>
          <w:tcPr>
            <w:tcW w:w="1000" w:type="dxa"/>
            <w:vAlign w:val="bottom"/>
            <w:shd w:val="clear" w:color="auto" w:fill="D0EBF2"/>
          </w:tcPr>
          <w:p>
            <w:pPr>
              <w:spacing w:after="0"/>
              <w:rPr>
                <w:sz w:val="16"/>
                <w:szCs w:val="16"/>
                <w:color w:val="auto"/>
              </w:rPr>
            </w:pPr>
          </w:p>
        </w:tc>
        <w:tc>
          <w:tcPr>
            <w:tcW w:w="80" w:type="dxa"/>
            <w:vAlign w:val="bottom"/>
            <w:shd w:val="clear" w:color="auto" w:fill="D0EBF2"/>
          </w:tcPr>
          <w:p>
            <w:pPr>
              <w:spacing w:after="0"/>
              <w:rPr>
                <w:sz w:val="16"/>
                <w:szCs w:val="16"/>
                <w:color w:val="auto"/>
              </w:rPr>
            </w:pPr>
          </w:p>
        </w:tc>
        <w:tc>
          <w:tcPr>
            <w:tcW w:w="1600" w:type="dxa"/>
            <w:vAlign w:val="bottom"/>
            <w:shd w:val="clear" w:color="auto" w:fill="D0EBF2"/>
          </w:tcPr>
          <w:p>
            <w:pPr>
              <w:spacing w:after="0"/>
              <w:rPr>
                <w:sz w:val="16"/>
                <w:szCs w:val="16"/>
                <w:color w:val="auto"/>
              </w:rPr>
            </w:pPr>
          </w:p>
        </w:tc>
        <w:tc>
          <w:tcPr>
            <w:tcW w:w="100" w:type="dxa"/>
            <w:vAlign w:val="bottom"/>
            <w:shd w:val="clear" w:color="auto" w:fill="D0EBF2"/>
          </w:tcPr>
          <w:p>
            <w:pPr>
              <w:spacing w:after="0"/>
              <w:rPr>
                <w:sz w:val="16"/>
                <w:szCs w:val="16"/>
                <w:color w:val="auto"/>
              </w:rPr>
            </w:pPr>
          </w:p>
        </w:tc>
        <w:tc>
          <w:tcPr>
            <w:tcW w:w="860" w:type="dxa"/>
            <w:vAlign w:val="bottom"/>
            <w:shd w:val="clear" w:color="auto" w:fill="D0EBF2"/>
          </w:tcPr>
          <w:p>
            <w:pPr>
              <w:spacing w:after="0"/>
              <w:rPr>
                <w:sz w:val="16"/>
                <w:szCs w:val="16"/>
                <w:color w:val="auto"/>
              </w:rPr>
            </w:pPr>
          </w:p>
        </w:tc>
      </w:tr>
      <w:tr>
        <w:trPr>
          <w:trHeight w:val="171"/>
        </w:trPr>
        <w:tc>
          <w:tcPr>
            <w:tcW w:w="1580" w:type="dxa"/>
            <w:vAlign w:val="bottom"/>
            <w:shd w:val="clear" w:color="auto" w:fill="FDFDFC"/>
          </w:tcPr>
          <w:p>
            <w:pPr>
              <w:spacing w:after="0" w:line="172" w:lineRule="exact"/>
              <w:rPr>
                <w:sz w:val="20"/>
                <w:szCs w:val="20"/>
                <w:color w:val="auto"/>
              </w:rPr>
            </w:pPr>
            <w:r>
              <w:rPr>
                <w:rFonts w:ascii="Times New Roman" w:cs="Times New Roman" w:eastAsia="Times New Roman" w:hAnsi="Times New Roman"/>
                <w:sz w:val="15"/>
                <w:szCs w:val="15"/>
                <w:color w:val="231F20"/>
              </w:rPr>
              <w:t>Madcap Software,</w:t>
            </w:r>
          </w:p>
        </w:tc>
        <w:tc>
          <w:tcPr>
            <w:tcW w:w="2200" w:type="dxa"/>
            <w:vAlign w:val="bottom"/>
            <w:shd w:val="clear" w:color="auto" w:fill="FDFDFC"/>
          </w:tcPr>
          <w:p>
            <w:pPr>
              <w:ind w:left="60"/>
              <w:spacing w:after="0" w:line="172" w:lineRule="exact"/>
              <w:rPr>
                <w:sz w:val="20"/>
                <w:szCs w:val="20"/>
                <w:color w:val="auto"/>
              </w:rPr>
            </w:pPr>
            <w:r>
              <w:rPr>
                <w:rFonts w:ascii="Times New Roman" w:cs="Times New Roman" w:eastAsia="Times New Roman" w:hAnsi="Times New Roman"/>
                <w:sz w:val="15"/>
                <w:szCs w:val="15"/>
                <w:color w:val="231F20"/>
              </w:rPr>
              <w:t>First-lien loan ($32,175 par, due</w:t>
            </w:r>
          </w:p>
        </w:tc>
        <w:tc>
          <w:tcPr>
            <w:tcW w:w="800" w:type="dxa"/>
            <w:vAlign w:val="bottom"/>
            <w:shd w:val="clear" w:color="auto" w:fill="FDFDFC"/>
          </w:tcPr>
          <w:p>
            <w:pPr>
              <w:jc w:val="right"/>
              <w:spacing w:after="0" w:line="172" w:lineRule="exact"/>
              <w:rPr>
                <w:sz w:val="20"/>
                <w:szCs w:val="20"/>
                <w:color w:val="auto"/>
              </w:rPr>
            </w:pPr>
            <w:r>
              <w:rPr>
                <w:rFonts w:ascii="Times New Roman" w:cs="Times New Roman" w:eastAsia="Times New Roman" w:hAnsi="Times New Roman"/>
                <w:sz w:val="15"/>
                <w:szCs w:val="15"/>
                <w:color w:val="231F20"/>
              </w:rPr>
              <w:t>12/15/2023</w:t>
            </w:r>
          </w:p>
        </w:tc>
        <w:tc>
          <w:tcPr>
            <w:tcW w:w="1000" w:type="dxa"/>
            <w:vAlign w:val="bottom"/>
            <w:shd w:val="clear" w:color="auto" w:fill="FDFDFC"/>
          </w:tcPr>
          <w:p>
            <w:pPr>
              <w:jc w:val="right"/>
              <w:ind w:right="44"/>
              <w:spacing w:after="0" w:line="172" w:lineRule="exact"/>
              <w:rPr>
                <w:sz w:val="20"/>
                <w:szCs w:val="20"/>
                <w:color w:val="auto"/>
              </w:rPr>
            </w:pPr>
            <w:r>
              <w:rPr>
                <w:rFonts w:ascii="Times New Roman" w:cs="Times New Roman" w:eastAsia="Times New Roman" w:hAnsi="Times New Roman"/>
                <w:sz w:val="15"/>
                <w:szCs w:val="15"/>
                <w:color w:val="231F20"/>
              </w:rPr>
              <w:t>SOFR +</w:t>
            </w:r>
          </w:p>
        </w:tc>
        <w:tc>
          <w:tcPr>
            <w:tcW w:w="1060" w:type="dxa"/>
            <w:vAlign w:val="bottom"/>
            <w:shd w:val="clear" w:color="auto" w:fill="FDFDFC"/>
          </w:tcPr>
          <w:p>
            <w:pPr>
              <w:jc w:val="right"/>
              <w:ind w:right="64"/>
              <w:spacing w:after="0" w:line="172" w:lineRule="exact"/>
              <w:rPr>
                <w:sz w:val="20"/>
                <w:szCs w:val="20"/>
                <w:color w:val="auto"/>
              </w:rPr>
            </w:pPr>
            <w:r>
              <w:rPr>
                <w:rFonts w:ascii="Times New Roman" w:cs="Times New Roman" w:eastAsia="Times New Roman" w:hAnsi="Times New Roman"/>
                <w:sz w:val="15"/>
                <w:szCs w:val="15"/>
                <w:color w:val="231F20"/>
              </w:rPr>
              <w:t>10.35%</w:t>
            </w:r>
          </w:p>
        </w:tc>
        <w:tc>
          <w:tcPr>
            <w:tcW w:w="1000" w:type="dxa"/>
            <w:vAlign w:val="bottom"/>
            <w:shd w:val="clear" w:color="auto" w:fill="FDFDFC"/>
          </w:tcPr>
          <w:p>
            <w:pPr>
              <w:jc w:val="right"/>
              <w:spacing w:after="0" w:line="172" w:lineRule="exact"/>
              <w:rPr>
                <w:sz w:val="20"/>
                <w:szCs w:val="20"/>
                <w:color w:val="auto"/>
              </w:rPr>
            </w:pPr>
            <w:r>
              <w:rPr>
                <w:rFonts w:ascii="Times New Roman" w:cs="Times New Roman" w:eastAsia="Times New Roman" w:hAnsi="Times New Roman"/>
                <w:sz w:val="15"/>
                <w:szCs w:val="15"/>
                <w:color w:val="231F20"/>
              </w:rPr>
              <w:t>31,657</w:t>
            </w:r>
          </w:p>
        </w:tc>
        <w:tc>
          <w:tcPr>
            <w:tcW w:w="1680" w:type="dxa"/>
            <w:vAlign w:val="bottom"/>
            <w:gridSpan w:val="2"/>
            <w:shd w:val="clear" w:color="auto" w:fill="FDFDFC"/>
          </w:tcPr>
          <w:p>
            <w:pPr>
              <w:jc w:val="right"/>
              <w:spacing w:after="0" w:line="172" w:lineRule="exact"/>
              <w:rPr>
                <w:sz w:val="20"/>
                <w:szCs w:val="20"/>
                <w:color w:val="auto"/>
              </w:rPr>
            </w:pPr>
            <w:r>
              <w:rPr>
                <w:rFonts w:ascii="Times New Roman" w:cs="Times New Roman" w:eastAsia="Times New Roman" w:hAnsi="Times New Roman"/>
                <w:sz w:val="15"/>
                <w:szCs w:val="15"/>
                <w:color w:val="231F20"/>
              </w:rPr>
              <w:t>32,175</w:t>
            </w:r>
          </w:p>
        </w:tc>
        <w:tc>
          <w:tcPr>
            <w:tcW w:w="960" w:type="dxa"/>
            <w:vAlign w:val="bottom"/>
            <w:gridSpan w:val="2"/>
            <w:shd w:val="clear" w:color="auto" w:fill="FDFDFC"/>
          </w:tcPr>
          <w:p>
            <w:pPr>
              <w:jc w:val="right"/>
              <w:spacing w:after="0" w:line="172" w:lineRule="exact"/>
              <w:rPr>
                <w:sz w:val="20"/>
                <w:szCs w:val="20"/>
                <w:color w:val="auto"/>
              </w:rPr>
            </w:pPr>
            <w:r>
              <w:rPr>
                <w:rFonts w:ascii="Times New Roman" w:cs="Times New Roman" w:eastAsia="Times New Roman" w:hAnsi="Times New Roman"/>
                <w:sz w:val="15"/>
                <w:szCs w:val="15"/>
                <w:color w:val="231F20"/>
              </w:rPr>
              <w:t>2.0%</w:t>
            </w:r>
          </w:p>
        </w:tc>
      </w:tr>
      <w:tr>
        <w:trPr>
          <w:trHeight w:val="189"/>
        </w:trPr>
        <w:tc>
          <w:tcPr>
            <w:tcW w:w="1580" w:type="dxa"/>
            <w:vAlign w:val="bottom"/>
            <w:shd w:val="clear" w:color="auto" w:fill="FDFDFC"/>
          </w:tcPr>
          <w:p>
            <w:pPr>
              <w:spacing w:after="0" w:line="190" w:lineRule="exact"/>
              <w:rPr>
                <w:sz w:val="20"/>
                <w:szCs w:val="20"/>
                <w:color w:val="auto"/>
              </w:rPr>
            </w:pPr>
            <w:r>
              <w:rPr>
                <w:rFonts w:ascii="Times New Roman" w:cs="Times New Roman" w:eastAsia="Times New Roman" w:hAnsi="Times New Roman"/>
                <w:sz w:val="21"/>
                <w:szCs w:val="21"/>
                <w:color w:val="231F20"/>
                <w:vertAlign w:val="subscript"/>
              </w:rPr>
              <w:t>Inc.</w:t>
            </w:r>
            <w:r>
              <w:rPr>
                <w:rFonts w:ascii="Times New Roman" w:cs="Times New Roman" w:eastAsia="Times New Roman" w:hAnsi="Times New Roman"/>
                <w:sz w:val="8"/>
                <w:szCs w:val="8"/>
                <w:color w:val="231F20"/>
              </w:rPr>
              <w:t>(3)(5)</w:t>
            </w:r>
          </w:p>
        </w:tc>
        <w:tc>
          <w:tcPr>
            <w:tcW w:w="2200" w:type="dxa"/>
            <w:vAlign w:val="bottom"/>
            <w:shd w:val="clear" w:color="auto" w:fill="FDFDFC"/>
          </w:tcPr>
          <w:p>
            <w:pPr>
              <w:ind w:left="60"/>
              <w:spacing w:after="0"/>
              <w:rPr>
                <w:sz w:val="20"/>
                <w:szCs w:val="20"/>
                <w:color w:val="auto"/>
              </w:rPr>
            </w:pPr>
            <w:r>
              <w:rPr>
                <w:rFonts w:ascii="Times New Roman" w:cs="Times New Roman" w:eastAsia="Times New Roman" w:hAnsi="Times New Roman"/>
                <w:sz w:val="15"/>
                <w:szCs w:val="15"/>
                <w:color w:val="231F20"/>
              </w:rPr>
              <w:t>12/2026)</w:t>
            </w:r>
          </w:p>
        </w:tc>
        <w:tc>
          <w:tcPr>
            <w:tcW w:w="800" w:type="dxa"/>
            <w:vAlign w:val="bottom"/>
            <w:shd w:val="clear" w:color="auto" w:fill="FDFDFC"/>
          </w:tcPr>
          <w:p>
            <w:pPr>
              <w:spacing w:after="0"/>
              <w:rPr>
                <w:sz w:val="16"/>
                <w:szCs w:val="16"/>
                <w:color w:val="auto"/>
              </w:rPr>
            </w:pPr>
          </w:p>
        </w:tc>
        <w:tc>
          <w:tcPr>
            <w:tcW w:w="1000" w:type="dxa"/>
            <w:vAlign w:val="bottom"/>
            <w:shd w:val="clear" w:color="auto" w:fill="FDFDFC"/>
          </w:tcPr>
          <w:p>
            <w:pPr>
              <w:jc w:val="right"/>
              <w:ind w:right="44"/>
              <w:spacing w:after="0"/>
              <w:rPr>
                <w:sz w:val="20"/>
                <w:szCs w:val="20"/>
                <w:color w:val="auto"/>
              </w:rPr>
            </w:pPr>
            <w:r>
              <w:rPr>
                <w:rFonts w:ascii="Times New Roman" w:cs="Times New Roman" w:eastAsia="Times New Roman" w:hAnsi="Times New Roman"/>
                <w:sz w:val="15"/>
                <w:szCs w:val="15"/>
                <w:color w:val="231F20"/>
              </w:rPr>
              <w:t>6.10%</w:t>
            </w:r>
          </w:p>
        </w:tc>
        <w:tc>
          <w:tcPr>
            <w:tcW w:w="1060" w:type="dxa"/>
            <w:vAlign w:val="bottom"/>
            <w:shd w:val="clear" w:color="auto" w:fill="FDFDFC"/>
          </w:tcPr>
          <w:p>
            <w:pPr>
              <w:spacing w:after="0"/>
              <w:rPr>
                <w:sz w:val="16"/>
                <w:szCs w:val="16"/>
                <w:color w:val="auto"/>
              </w:rPr>
            </w:pPr>
          </w:p>
        </w:tc>
        <w:tc>
          <w:tcPr>
            <w:tcW w:w="1000" w:type="dxa"/>
            <w:vAlign w:val="bottom"/>
            <w:shd w:val="clear" w:color="auto" w:fill="FDFDFC"/>
          </w:tcPr>
          <w:p>
            <w:pPr>
              <w:spacing w:after="0"/>
              <w:rPr>
                <w:sz w:val="16"/>
                <w:szCs w:val="16"/>
                <w:color w:val="auto"/>
              </w:rPr>
            </w:pPr>
          </w:p>
        </w:tc>
        <w:tc>
          <w:tcPr>
            <w:tcW w:w="80" w:type="dxa"/>
            <w:vAlign w:val="bottom"/>
            <w:shd w:val="clear" w:color="auto" w:fill="FDFDFC"/>
          </w:tcPr>
          <w:p>
            <w:pPr>
              <w:spacing w:after="0"/>
              <w:rPr>
                <w:sz w:val="16"/>
                <w:szCs w:val="16"/>
                <w:color w:val="auto"/>
              </w:rPr>
            </w:pPr>
          </w:p>
        </w:tc>
        <w:tc>
          <w:tcPr>
            <w:tcW w:w="1600" w:type="dxa"/>
            <w:vAlign w:val="bottom"/>
            <w:shd w:val="clear" w:color="auto" w:fill="FDFDFC"/>
          </w:tcPr>
          <w:p>
            <w:pPr>
              <w:spacing w:after="0"/>
              <w:rPr>
                <w:sz w:val="16"/>
                <w:szCs w:val="16"/>
                <w:color w:val="auto"/>
              </w:rPr>
            </w:pPr>
          </w:p>
        </w:tc>
        <w:tc>
          <w:tcPr>
            <w:tcW w:w="100" w:type="dxa"/>
            <w:vAlign w:val="bottom"/>
            <w:shd w:val="clear" w:color="auto" w:fill="FDFDFC"/>
          </w:tcPr>
          <w:p>
            <w:pPr>
              <w:spacing w:after="0"/>
              <w:rPr>
                <w:sz w:val="16"/>
                <w:szCs w:val="16"/>
                <w:color w:val="auto"/>
              </w:rPr>
            </w:pPr>
          </w:p>
        </w:tc>
        <w:tc>
          <w:tcPr>
            <w:tcW w:w="860" w:type="dxa"/>
            <w:vAlign w:val="bottom"/>
            <w:shd w:val="clear" w:color="auto" w:fill="FDFDFC"/>
          </w:tcPr>
          <w:p>
            <w:pPr>
              <w:spacing w:after="0"/>
              <w:rPr>
                <w:sz w:val="16"/>
                <w:szCs w:val="16"/>
                <w:color w:val="auto"/>
              </w:rPr>
            </w:pPr>
          </w:p>
        </w:tc>
      </w:tr>
      <w:tr>
        <w:trPr>
          <w:trHeight w:val="171"/>
        </w:trPr>
        <w:tc>
          <w:tcPr>
            <w:tcW w:w="1580" w:type="dxa"/>
            <w:vAlign w:val="bottom"/>
            <w:shd w:val="clear" w:color="auto" w:fill="D0EBF2"/>
          </w:tcPr>
          <w:p>
            <w:pPr>
              <w:spacing w:after="0" w:line="172" w:lineRule="exact"/>
              <w:rPr>
                <w:sz w:val="20"/>
                <w:szCs w:val="20"/>
                <w:color w:val="auto"/>
              </w:rPr>
            </w:pPr>
            <w:r>
              <w:rPr>
                <w:rFonts w:ascii="Times New Roman" w:cs="Times New Roman" w:eastAsia="Times New Roman" w:hAnsi="Times New Roman"/>
                <w:sz w:val="15"/>
                <w:szCs w:val="15"/>
                <w:color w:val="231F20"/>
              </w:rPr>
              <w:t>PayScale Holdings, Inc.</w:t>
            </w:r>
          </w:p>
        </w:tc>
        <w:tc>
          <w:tcPr>
            <w:tcW w:w="2200" w:type="dxa"/>
            <w:vAlign w:val="bottom"/>
            <w:shd w:val="clear" w:color="auto" w:fill="D0EBF2"/>
          </w:tcPr>
          <w:p>
            <w:pPr>
              <w:ind w:left="60"/>
              <w:spacing w:after="0" w:line="172" w:lineRule="exact"/>
              <w:rPr>
                <w:sz w:val="20"/>
                <w:szCs w:val="20"/>
                <w:color w:val="auto"/>
              </w:rPr>
            </w:pPr>
            <w:r>
              <w:rPr>
                <w:rFonts w:ascii="Times New Roman" w:cs="Times New Roman" w:eastAsia="Times New Roman" w:hAnsi="Times New Roman"/>
                <w:sz w:val="15"/>
                <w:szCs w:val="15"/>
                <w:color w:val="231F20"/>
              </w:rPr>
              <w:t>First-lien loan ($70,465 par, due</w:t>
            </w:r>
          </w:p>
        </w:tc>
        <w:tc>
          <w:tcPr>
            <w:tcW w:w="800" w:type="dxa"/>
            <w:vAlign w:val="bottom"/>
            <w:shd w:val="clear" w:color="auto" w:fill="D0EBF2"/>
          </w:tcPr>
          <w:p>
            <w:pPr>
              <w:jc w:val="right"/>
              <w:spacing w:after="0" w:line="172" w:lineRule="exact"/>
              <w:rPr>
                <w:sz w:val="20"/>
                <w:szCs w:val="20"/>
                <w:color w:val="auto"/>
              </w:rPr>
            </w:pPr>
            <w:r>
              <w:rPr>
                <w:rFonts w:ascii="Times New Roman" w:cs="Times New Roman" w:eastAsia="Times New Roman" w:hAnsi="Times New Roman"/>
                <w:sz w:val="15"/>
                <w:szCs w:val="15"/>
                <w:color w:val="231F20"/>
              </w:rPr>
              <w:t>5/3/2019</w:t>
            </w:r>
          </w:p>
        </w:tc>
        <w:tc>
          <w:tcPr>
            <w:tcW w:w="1000" w:type="dxa"/>
            <w:vAlign w:val="bottom"/>
            <w:shd w:val="clear" w:color="auto" w:fill="D0EBF2"/>
          </w:tcPr>
          <w:p>
            <w:pPr>
              <w:jc w:val="right"/>
              <w:ind w:right="44"/>
              <w:spacing w:after="0" w:line="172" w:lineRule="exact"/>
              <w:rPr>
                <w:sz w:val="20"/>
                <w:szCs w:val="20"/>
                <w:color w:val="auto"/>
              </w:rPr>
            </w:pPr>
            <w:r>
              <w:rPr>
                <w:rFonts w:ascii="Times New Roman" w:cs="Times New Roman" w:eastAsia="Times New Roman" w:hAnsi="Times New Roman"/>
                <w:sz w:val="15"/>
                <w:szCs w:val="15"/>
                <w:color w:val="231F20"/>
              </w:rPr>
              <w:t>SOFR +</w:t>
            </w:r>
          </w:p>
        </w:tc>
        <w:tc>
          <w:tcPr>
            <w:tcW w:w="1060" w:type="dxa"/>
            <w:vAlign w:val="bottom"/>
            <w:shd w:val="clear" w:color="auto" w:fill="D0EBF2"/>
          </w:tcPr>
          <w:p>
            <w:pPr>
              <w:jc w:val="right"/>
              <w:ind w:right="64"/>
              <w:spacing w:after="0" w:line="172" w:lineRule="exact"/>
              <w:rPr>
                <w:sz w:val="20"/>
                <w:szCs w:val="20"/>
                <w:color w:val="auto"/>
              </w:rPr>
            </w:pPr>
            <w:r>
              <w:rPr>
                <w:rFonts w:ascii="Times New Roman" w:cs="Times New Roman" w:eastAsia="Times New Roman" w:hAnsi="Times New Roman"/>
                <w:sz w:val="15"/>
                <w:szCs w:val="15"/>
                <w:color w:val="231F20"/>
              </w:rPr>
              <w:t>10.18%</w:t>
            </w:r>
          </w:p>
        </w:tc>
        <w:tc>
          <w:tcPr>
            <w:tcW w:w="1000" w:type="dxa"/>
            <w:vAlign w:val="bottom"/>
            <w:shd w:val="clear" w:color="auto" w:fill="D0EBF2"/>
          </w:tcPr>
          <w:p>
            <w:pPr>
              <w:jc w:val="right"/>
              <w:spacing w:after="0" w:line="172" w:lineRule="exact"/>
              <w:rPr>
                <w:sz w:val="20"/>
                <w:szCs w:val="20"/>
                <w:color w:val="auto"/>
              </w:rPr>
            </w:pPr>
            <w:r>
              <w:rPr>
                <w:rFonts w:ascii="Times New Roman" w:cs="Times New Roman" w:eastAsia="Times New Roman" w:hAnsi="Times New Roman"/>
                <w:sz w:val="15"/>
                <w:szCs w:val="15"/>
                <w:color w:val="231F20"/>
              </w:rPr>
              <w:t>70,196</w:t>
            </w:r>
          </w:p>
        </w:tc>
        <w:tc>
          <w:tcPr>
            <w:tcW w:w="1680" w:type="dxa"/>
            <w:vAlign w:val="bottom"/>
            <w:gridSpan w:val="2"/>
            <w:shd w:val="clear" w:color="auto" w:fill="D0EBF2"/>
          </w:tcPr>
          <w:p>
            <w:pPr>
              <w:jc w:val="right"/>
              <w:spacing w:after="0" w:line="172" w:lineRule="exact"/>
              <w:rPr>
                <w:sz w:val="20"/>
                <w:szCs w:val="20"/>
                <w:color w:val="auto"/>
              </w:rPr>
            </w:pPr>
            <w:r>
              <w:rPr>
                <w:rFonts w:ascii="Times New Roman" w:cs="Times New Roman" w:eastAsia="Times New Roman" w:hAnsi="Times New Roman"/>
                <w:sz w:val="15"/>
                <w:szCs w:val="15"/>
                <w:color w:val="231F20"/>
              </w:rPr>
              <w:t>71,170</w:t>
            </w:r>
          </w:p>
        </w:tc>
        <w:tc>
          <w:tcPr>
            <w:tcW w:w="960" w:type="dxa"/>
            <w:vAlign w:val="bottom"/>
            <w:gridSpan w:val="2"/>
            <w:shd w:val="clear" w:color="auto" w:fill="D0EBF2"/>
          </w:tcPr>
          <w:p>
            <w:pPr>
              <w:jc w:val="right"/>
              <w:spacing w:after="0" w:line="172" w:lineRule="exact"/>
              <w:rPr>
                <w:sz w:val="20"/>
                <w:szCs w:val="20"/>
                <w:color w:val="auto"/>
              </w:rPr>
            </w:pPr>
            <w:r>
              <w:rPr>
                <w:rFonts w:ascii="Times New Roman" w:cs="Times New Roman" w:eastAsia="Times New Roman" w:hAnsi="Times New Roman"/>
                <w:sz w:val="15"/>
                <w:szCs w:val="15"/>
                <w:color w:val="231F20"/>
              </w:rPr>
              <w:t>4.4%</w:t>
            </w:r>
          </w:p>
        </w:tc>
      </w:tr>
      <w:tr>
        <w:trPr>
          <w:trHeight w:val="189"/>
        </w:trPr>
        <w:tc>
          <w:tcPr>
            <w:tcW w:w="1580" w:type="dxa"/>
            <w:vAlign w:val="bottom"/>
            <w:shd w:val="clear" w:color="auto" w:fill="D0EBF2"/>
          </w:tcPr>
          <w:p>
            <w:pPr>
              <w:spacing w:after="0"/>
              <w:rPr>
                <w:sz w:val="20"/>
                <w:szCs w:val="20"/>
                <w:color w:val="auto"/>
              </w:rPr>
            </w:pPr>
            <w:r>
              <w:rPr>
                <w:rFonts w:ascii="Times New Roman" w:cs="Times New Roman" w:eastAsia="Times New Roman" w:hAnsi="Times New Roman"/>
                <w:sz w:val="9"/>
                <w:szCs w:val="9"/>
                <w:color w:val="231F20"/>
              </w:rPr>
              <w:t>(3)(5)</w:t>
            </w:r>
          </w:p>
        </w:tc>
        <w:tc>
          <w:tcPr>
            <w:tcW w:w="2200" w:type="dxa"/>
            <w:vAlign w:val="bottom"/>
            <w:shd w:val="clear" w:color="auto" w:fill="D0EBF2"/>
          </w:tcPr>
          <w:p>
            <w:pPr>
              <w:ind w:left="60"/>
              <w:spacing w:after="0"/>
              <w:rPr>
                <w:sz w:val="20"/>
                <w:szCs w:val="20"/>
                <w:color w:val="auto"/>
              </w:rPr>
            </w:pPr>
            <w:r>
              <w:rPr>
                <w:rFonts w:ascii="Times New Roman" w:cs="Times New Roman" w:eastAsia="Times New Roman" w:hAnsi="Times New Roman"/>
                <w:sz w:val="15"/>
                <w:szCs w:val="15"/>
                <w:color w:val="231F20"/>
              </w:rPr>
              <w:t>5/2027)</w:t>
            </w:r>
          </w:p>
        </w:tc>
        <w:tc>
          <w:tcPr>
            <w:tcW w:w="800" w:type="dxa"/>
            <w:vAlign w:val="bottom"/>
            <w:shd w:val="clear" w:color="auto" w:fill="D0EBF2"/>
          </w:tcPr>
          <w:p>
            <w:pPr>
              <w:spacing w:after="0"/>
              <w:rPr>
                <w:sz w:val="16"/>
                <w:szCs w:val="16"/>
                <w:color w:val="auto"/>
              </w:rPr>
            </w:pPr>
          </w:p>
        </w:tc>
        <w:tc>
          <w:tcPr>
            <w:tcW w:w="1000" w:type="dxa"/>
            <w:vAlign w:val="bottom"/>
            <w:shd w:val="clear" w:color="auto" w:fill="D0EBF2"/>
          </w:tcPr>
          <w:p>
            <w:pPr>
              <w:jc w:val="right"/>
              <w:ind w:right="44"/>
              <w:spacing w:after="0"/>
              <w:rPr>
                <w:sz w:val="20"/>
                <w:szCs w:val="20"/>
                <w:color w:val="auto"/>
              </w:rPr>
            </w:pPr>
            <w:r>
              <w:rPr>
                <w:rFonts w:ascii="Times New Roman" w:cs="Times New Roman" w:eastAsia="Times New Roman" w:hAnsi="Times New Roman"/>
                <w:sz w:val="15"/>
                <w:szCs w:val="15"/>
                <w:color w:val="231F20"/>
              </w:rPr>
              <w:t>5.85%</w:t>
            </w:r>
          </w:p>
        </w:tc>
        <w:tc>
          <w:tcPr>
            <w:tcW w:w="1060" w:type="dxa"/>
            <w:vAlign w:val="bottom"/>
            <w:shd w:val="clear" w:color="auto" w:fill="D0EBF2"/>
          </w:tcPr>
          <w:p>
            <w:pPr>
              <w:spacing w:after="0"/>
              <w:rPr>
                <w:sz w:val="16"/>
                <w:szCs w:val="16"/>
                <w:color w:val="auto"/>
              </w:rPr>
            </w:pPr>
          </w:p>
        </w:tc>
        <w:tc>
          <w:tcPr>
            <w:tcW w:w="1000" w:type="dxa"/>
            <w:vAlign w:val="bottom"/>
            <w:shd w:val="clear" w:color="auto" w:fill="D0EBF2"/>
          </w:tcPr>
          <w:p>
            <w:pPr>
              <w:spacing w:after="0"/>
              <w:rPr>
                <w:sz w:val="16"/>
                <w:szCs w:val="16"/>
                <w:color w:val="auto"/>
              </w:rPr>
            </w:pPr>
          </w:p>
        </w:tc>
        <w:tc>
          <w:tcPr>
            <w:tcW w:w="80" w:type="dxa"/>
            <w:vAlign w:val="bottom"/>
            <w:shd w:val="clear" w:color="auto" w:fill="D0EBF2"/>
          </w:tcPr>
          <w:p>
            <w:pPr>
              <w:spacing w:after="0"/>
              <w:rPr>
                <w:sz w:val="16"/>
                <w:szCs w:val="16"/>
                <w:color w:val="auto"/>
              </w:rPr>
            </w:pPr>
          </w:p>
        </w:tc>
        <w:tc>
          <w:tcPr>
            <w:tcW w:w="1600" w:type="dxa"/>
            <w:vAlign w:val="bottom"/>
            <w:shd w:val="clear" w:color="auto" w:fill="D0EBF2"/>
          </w:tcPr>
          <w:p>
            <w:pPr>
              <w:spacing w:after="0"/>
              <w:rPr>
                <w:sz w:val="16"/>
                <w:szCs w:val="16"/>
                <w:color w:val="auto"/>
              </w:rPr>
            </w:pPr>
          </w:p>
        </w:tc>
        <w:tc>
          <w:tcPr>
            <w:tcW w:w="100" w:type="dxa"/>
            <w:vAlign w:val="bottom"/>
            <w:shd w:val="clear" w:color="auto" w:fill="D0EBF2"/>
          </w:tcPr>
          <w:p>
            <w:pPr>
              <w:spacing w:after="0"/>
              <w:rPr>
                <w:sz w:val="16"/>
                <w:szCs w:val="16"/>
                <w:color w:val="auto"/>
              </w:rPr>
            </w:pPr>
          </w:p>
        </w:tc>
        <w:tc>
          <w:tcPr>
            <w:tcW w:w="860" w:type="dxa"/>
            <w:vAlign w:val="bottom"/>
            <w:shd w:val="clear" w:color="auto" w:fill="D0EBF2"/>
          </w:tcPr>
          <w:p>
            <w:pPr>
              <w:spacing w:after="0"/>
              <w:rPr>
                <w:sz w:val="16"/>
                <w:szCs w:val="16"/>
                <w:color w:val="auto"/>
              </w:rPr>
            </w:pPr>
          </w:p>
        </w:tc>
      </w:tr>
      <w:tr>
        <w:trPr>
          <w:trHeight w:val="171"/>
        </w:trPr>
        <w:tc>
          <w:tcPr>
            <w:tcW w:w="1580" w:type="dxa"/>
            <w:vAlign w:val="bottom"/>
            <w:shd w:val="clear" w:color="auto" w:fill="FDFDFC"/>
          </w:tcPr>
          <w:p>
            <w:pPr>
              <w:spacing w:after="0" w:line="172" w:lineRule="exact"/>
              <w:rPr>
                <w:sz w:val="20"/>
                <w:szCs w:val="20"/>
                <w:color w:val="auto"/>
              </w:rPr>
            </w:pPr>
            <w:r>
              <w:rPr>
                <w:rFonts w:ascii="Times New Roman" w:cs="Times New Roman" w:eastAsia="Times New Roman" w:hAnsi="Times New Roman"/>
                <w:sz w:val="15"/>
                <w:szCs w:val="15"/>
                <w:color w:val="231F20"/>
              </w:rPr>
              <w:t>PrimePay Intermediate,</w:t>
            </w:r>
          </w:p>
        </w:tc>
        <w:tc>
          <w:tcPr>
            <w:tcW w:w="2200" w:type="dxa"/>
            <w:vAlign w:val="bottom"/>
            <w:shd w:val="clear" w:color="auto" w:fill="FDFDFC"/>
          </w:tcPr>
          <w:p>
            <w:pPr>
              <w:ind w:left="60"/>
              <w:spacing w:after="0" w:line="172" w:lineRule="exact"/>
              <w:rPr>
                <w:sz w:val="20"/>
                <w:szCs w:val="20"/>
                <w:color w:val="auto"/>
              </w:rPr>
            </w:pPr>
            <w:r>
              <w:rPr>
                <w:rFonts w:ascii="Times New Roman" w:cs="Times New Roman" w:eastAsia="Times New Roman" w:hAnsi="Times New Roman"/>
                <w:sz w:val="15"/>
                <w:szCs w:val="15"/>
                <w:color w:val="231F20"/>
              </w:rPr>
              <w:t>First-lien loan ($34,025 par, due</w:t>
            </w:r>
          </w:p>
        </w:tc>
        <w:tc>
          <w:tcPr>
            <w:tcW w:w="800" w:type="dxa"/>
            <w:vAlign w:val="bottom"/>
            <w:shd w:val="clear" w:color="auto" w:fill="FDFDFC"/>
          </w:tcPr>
          <w:p>
            <w:pPr>
              <w:jc w:val="right"/>
              <w:spacing w:after="0" w:line="172" w:lineRule="exact"/>
              <w:rPr>
                <w:sz w:val="20"/>
                <w:szCs w:val="20"/>
                <w:color w:val="auto"/>
              </w:rPr>
            </w:pPr>
            <w:r>
              <w:rPr>
                <w:rFonts w:ascii="Times New Roman" w:cs="Times New Roman" w:eastAsia="Times New Roman" w:hAnsi="Times New Roman"/>
                <w:sz w:val="15"/>
                <w:szCs w:val="15"/>
                <w:color w:val="231F20"/>
              </w:rPr>
              <w:t>12/17/2021</w:t>
            </w:r>
          </w:p>
        </w:tc>
        <w:tc>
          <w:tcPr>
            <w:tcW w:w="1000" w:type="dxa"/>
            <w:vAlign w:val="bottom"/>
            <w:shd w:val="clear" w:color="auto" w:fill="FDFDFC"/>
          </w:tcPr>
          <w:p>
            <w:pPr>
              <w:jc w:val="right"/>
              <w:ind w:right="44"/>
              <w:spacing w:after="0" w:line="172" w:lineRule="exact"/>
              <w:rPr>
                <w:sz w:val="20"/>
                <w:szCs w:val="20"/>
                <w:color w:val="auto"/>
              </w:rPr>
            </w:pPr>
            <w:r>
              <w:rPr>
                <w:rFonts w:ascii="Times New Roman" w:cs="Times New Roman" w:eastAsia="Times New Roman" w:hAnsi="Times New Roman"/>
                <w:sz w:val="15"/>
                <w:szCs w:val="15"/>
                <w:color w:val="231F20"/>
              </w:rPr>
              <w:t>SOFR +</w:t>
            </w:r>
          </w:p>
        </w:tc>
        <w:tc>
          <w:tcPr>
            <w:tcW w:w="1060" w:type="dxa"/>
            <w:vAlign w:val="bottom"/>
            <w:shd w:val="clear" w:color="auto" w:fill="FDFDFC"/>
          </w:tcPr>
          <w:p>
            <w:pPr>
              <w:jc w:val="right"/>
              <w:ind w:right="64"/>
              <w:spacing w:after="0" w:line="172" w:lineRule="exact"/>
              <w:rPr>
                <w:sz w:val="20"/>
                <w:szCs w:val="20"/>
                <w:color w:val="auto"/>
              </w:rPr>
            </w:pPr>
            <w:r>
              <w:rPr>
                <w:rFonts w:ascii="Times New Roman" w:cs="Times New Roman" w:eastAsia="Times New Roman" w:hAnsi="Times New Roman"/>
                <w:sz w:val="15"/>
                <w:szCs w:val="15"/>
                <w:color w:val="231F20"/>
              </w:rPr>
              <w:t>11.63%</w:t>
            </w:r>
          </w:p>
        </w:tc>
        <w:tc>
          <w:tcPr>
            <w:tcW w:w="1000" w:type="dxa"/>
            <w:vAlign w:val="bottom"/>
            <w:shd w:val="clear" w:color="auto" w:fill="FDFDFC"/>
          </w:tcPr>
          <w:p>
            <w:pPr>
              <w:jc w:val="right"/>
              <w:spacing w:after="0" w:line="172" w:lineRule="exact"/>
              <w:rPr>
                <w:sz w:val="20"/>
                <w:szCs w:val="20"/>
                <w:color w:val="auto"/>
              </w:rPr>
            </w:pPr>
            <w:r>
              <w:rPr>
                <w:rFonts w:ascii="Times New Roman" w:cs="Times New Roman" w:eastAsia="Times New Roman" w:hAnsi="Times New Roman"/>
                <w:sz w:val="15"/>
                <w:szCs w:val="15"/>
                <w:color w:val="231F20"/>
              </w:rPr>
              <w:t>33,466</w:t>
            </w:r>
          </w:p>
        </w:tc>
        <w:tc>
          <w:tcPr>
            <w:tcW w:w="1680" w:type="dxa"/>
            <w:vAlign w:val="bottom"/>
            <w:gridSpan w:val="2"/>
            <w:shd w:val="clear" w:color="auto" w:fill="FDFDFC"/>
          </w:tcPr>
          <w:p>
            <w:pPr>
              <w:jc w:val="right"/>
              <w:spacing w:after="0" w:line="172" w:lineRule="exact"/>
              <w:rPr>
                <w:sz w:val="20"/>
                <w:szCs w:val="20"/>
                <w:color w:val="auto"/>
              </w:rPr>
            </w:pPr>
            <w:r>
              <w:rPr>
                <w:rFonts w:ascii="Times New Roman" w:cs="Times New Roman" w:eastAsia="Times New Roman" w:hAnsi="Times New Roman"/>
                <w:sz w:val="15"/>
                <w:szCs w:val="15"/>
                <w:color w:val="231F20"/>
              </w:rPr>
              <w:t>34,025</w:t>
            </w:r>
          </w:p>
        </w:tc>
        <w:tc>
          <w:tcPr>
            <w:tcW w:w="960" w:type="dxa"/>
            <w:vAlign w:val="bottom"/>
            <w:gridSpan w:val="2"/>
            <w:shd w:val="clear" w:color="auto" w:fill="FDFDFC"/>
          </w:tcPr>
          <w:p>
            <w:pPr>
              <w:jc w:val="right"/>
              <w:spacing w:after="0" w:line="172" w:lineRule="exact"/>
              <w:rPr>
                <w:sz w:val="20"/>
                <w:szCs w:val="20"/>
                <w:color w:val="auto"/>
              </w:rPr>
            </w:pPr>
            <w:r>
              <w:rPr>
                <w:rFonts w:ascii="Times New Roman" w:cs="Times New Roman" w:eastAsia="Times New Roman" w:hAnsi="Times New Roman"/>
                <w:sz w:val="15"/>
                <w:szCs w:val="15"/>
                <w:color w:val="231F20"/>
              </w:rPr>
              <w:t>2.1%</w:t>
            </w:r>
          </w:p>
        </w:tc>
      </w:tr>
      <w:tr>
        <w:trPr>
          <w:trHeight w:val="189"/>
        </w:trPr>
        <w:tc>
          <w:tcPr>
            <w:tcW w:w="1580" w:type="dxa"/>
            <w:vAlign w:val="bottom"/>
            <w:tcBorders>
              <w:bottom w:val="single" w:sz="8" w:color="D0EBF2"/>
            </w:tcBorders>
            <w:shd w:val="clear" w:color="auto" w:fill="FDFDFC"/>
          </w:tcPr>
          <w:p>
            <w:pPr>
              <w:spacing w:after="0" w:line="190" w:lineRule="exact"/>
              <w:rPr>
                <w:sz w:val="20"/>
                <w:szCs w:val="20"/>
                <w:color w:val="auto"/>
              </w:rPr>
            </w:pPr>
            <w:r>
              <w:rPr>
                <w:rFonts w:ascii="Times New Roman" w:cs="Times New Roman" w:eastAsia="Times New Roman" w:hAnsi="Times New Roman"/>
                <w:sz w:val="21"/>
                <w:szCs w:val="21"/>
                <w:color w:val="231F20"/>
                <w:vertAlign w:val="subscript"/>
              </w:rPr>
              <w:t>LLC</w:t>
            </w:r>
            <w:r>
              <w:rPr>
                <w:rFonts w:ascii="Times New Roman" w:cs="Times New Roman" w:eastAsia="Times New Roman" w:hAnsi="Times New Roman"/>
                <w:sz w:val="8"/>
                <w:szCs w:val="8"/>
                <w:color w:val="231F20"/>
              </w:rPr>
              <w:t xml:space="preserve"> (3)(5)</w:t>
            </w:r>
          </w:p>
        </w:tc>
        <w:tc>
          <w:tcPr>
            <w:tcW w:w="2200" w:type="dxa"/>
            <w:vAlign w:val="bottom"/>
            <w:tcBorders>
              <w:bottom w:val="single" w:sz="8" w:color="D0EBF2"/>
            </w:tcBorders>
            <w:shd w:val="clear" w:color="auto" w:fill="FDFDFC"/>
          </w:tcPr>
          <w:p>
            <w:pPr>
              <w:ind w:left="60"/>
              <w:spacing w:after="0"/>
              <w:rPr>
                <w:sz w:val="20"/>
                <w:szCs w:val="20"/>
                <w:color w:val="auto"/>
              </w:rPr>
            </w:pPr>
            <w:r>
              <w:rPr>
                <w:rFonts w:ascii="Times New Roman" w:cs="Times New Roman" w:eastAsia="Times New Roman" w:hAnsi="Times New Roman"/>
                <w:sz w:val="15"/>
                <w:szCs w:val="15"/>
                <w:color w:val="231F20"/>
              </w:rPr>
              <w:t>12/2026)</w:t>
            </w:r>
          </w:p>
        </w:tc>
        <w:tc>
          <w:tcPr>
            <w:tcW w:w="800" w:type="dxa"/>
            <w:vAlign w:val="bottom"/>
            <w:tcBorders>
              <w:bottom w:val="single" w:sz="8" w:color="D0EBF2"/>
            </w:tcBorders>
            <w:shd w:val="clear" w:color="auto" w:fill="FDFDFC"/>
          </w:tcPr>
          <w:p>
            <w:pPr>
              <w:spacing w:after="0"/>
              <w:rPr>
                <w:sz w:val="16"/>
                <w:szCs w:val="16"/>
                <w:color w:val="auto"/>
              </w:rPr>
            </w:pPr>
          </w:p>
        </w:tc>
        <w:tc>
          <w:tcPr>
            <w:tcW w:w="1000" w:type="dxa"/>
            <w:vAlign w:val="bottom"/>
            <w:tcBorders>
              <w:bottom w:val="single" w:sz="8" w:color="D0EBF2"/>
            </w:tcBorders>
            <w:shd w:val="clear" w:color="auto" w:fill="FDFDFC"/>
          </w:tcPr>
          <w:p>
            <w:pPr>
              <w:jc w:val="right"/>
              <w:ind w:right="44"/>
              <w:spacing w:after="0"/>
              <w:rPr>
                <w:sz w:val="20"/>
                <w:szCs w:val="20"/>
                <w:color w:val="auto"/>
              </w:rPr>
            </w:pPr>
            <w:r>
              <w:rPr>
                <w:rFonts w:ascii="Times New Roman" w:cs="Times New Roman" w:eastAsia="Times New Roman" w:hAnsi="Times New Roman"/>
                <w:sz w:val="15"/>
                <w:szCs w:val="15"/>
                <w:color w:val="231F20"/>
              </w:rPr>
              <w:t>7.15%</w:t>
            </w:r>
          </w:p>
        </w:tc>
        <w:tc>
          <w:tcPr>
            <w:tcW w:w="1060" w:type="dxa"/>
            <w:vAlign w:val="bottom"/>
            <w:tcBorders>
              <w:bottom w:val="single" w:sz="8" w:color="D0EBF2"/>
            </w:tcBorders>
            <w:shd w:val="clear" w:color="auto" w:fill="FDFDFC"/>
          </w:tcPr>
          <w:p>
            <w:pPr>
              <w:spacing w:after="0"/>
              <w:rPr>
                <w:sz w:val="16"/>
                <w:szCs w:val="16"/>
                <w:color w:val="auto"/>
              </w:rPr>
            </w:pPr>
          </w:p>
        </w:tc>
        <w:tc>
          <w:tcPr>
            <w:tcW w:w="1000" w:type="dxa"/>
            <w:vAlign w:val="bottom"/>
            <w:tcBorders>
              <w:bottom w:val="single" w:sz="8" w:color="231F20"/>
            </w:tcBorders>
            <w:shd w:val="clear" w:color="auto" w:fill="FDFDFC"/>
          </w:tcPr>
          <w:p>
            <w:pPr>
              <w:spacing w:after="0"/>
              <w:rPr>
                <w:sz w:val="16"/>
                <w:szCs w:val="16"/>
                <w:color w:val="auto"/>
              </w:rPr>
            </w:pPr>
          </w:p>
        </w:tc>
        <w:tc>
          <w:tcPr>
            <w:tcW w:w="80" w:type="dxa"/>
            <w:vAlign w:val="bottom"/>
            <w:tcBorders>
              <w:bottom w:val="single" w:sz="8" w:color="D0EBF2"/>
            </w:tcBorders>
            <w:shd w:val="clear" w:color="auto" w:fill="FDFDFC"/>
          </w:tcPr>
          <w:p>
            <w:pPr>
              <w:spacing w:after="0"/>
              <w:rPr>
                <w:sz w:val="16"/>
                <w:szCs w:val="16"/>
                <w:color w:val="auto"/>
              </w:rPr>
            </w:pPr>
          </w:p>
        </w:tc>
        <w:tc>
          <w:tcPr>
            <w:tcW w:w="1600" w:type="dxa"/>
            <w:vAlign w:val="bottom"/>
            <w:tcBorders>
              <w:bottom w:val="single" w:sz="8" w:color="231F20"/>
            </w:tcBorders>
            <w:shd w:val="clear" w:color="auto" w:fill="FDFDFC"/>
          </w:tcPr>
          <w:p>
            <w:pPr>
              <w:spacing w:after="0"/>
              <w:rPr>
                <w:sz w:val="16"/>
                <w:szCs w:val="16"/>
                <w:color w:val="auto"/>
              </w:rPr>
            </w:pPr>
          </w:p>
        </w:tc>
        <w:tc>
          <w:tcPr>
            <w:tcW w:w="100" w:type="dxa"/>
            <w:vAlign w:val="bottom"/>
            <w:tcBorders>
              <w:bottom w:val="single" w:sz="8" w:color="D0EBF2"/>
            </w:tcBorders>
            <w:shd w:val="clear" w:color="auto" w:fill="FDFDFC"/>
          </w:tcPr>
          <w:p>
            <w:pPr>
              <w:spacing w:after="0"/>
              <w:rPr>
                <w:sz w:val="16"/>
                <w:szCs w:val="16"/>
                <w:color w:val="auto"/>
              </w:rPr>
            </w:pPr>
          </w:p>
        </w:tc>
        <w:tc>
          <w:tcPr>
            <w:tcW w:w="860" w:type="dxa"/>
            <w:vAlign w:val="bottom"/>
            <w:tcBorders>
              <w:bottom w:val="single" w:sz="8" w:color="231F20"/>
            </w:tcBorders>
            <w:shd w:val="clear" w:color="auto" w:fill="FDFDFC"/>
          </w:tcPr>
          <w:p>
            <w:pPr>
              <w:spacing w:after="0"/>
              <w:rPr>
                <w:sz w:val="16"/>
                <w:szCs w:val="16"/>
                <w:color w:val="auto"/>
              </w:rPr>
            </w:pPr>
          </w:p>
        </w:tc>
      </w:tr>
      <w:tr>
        <w:trPr>
          <w:trHeight w:val="201"/>
        </w:trPr>
        <w:tc>
          <w:tcPr>
            <w:tcW w:w="1580" w:type="dxa"/>
            <w:vAlign w:val="bottom"/>
            <w:tcBorders>
              <w:bottom w:val="single" w:sz="8" w:color="D0EBF2"/>
            </w:tcBorders>
            <w:shd w:val="clear" w:color="auto" w:fill="D0EBF2"/>
          </w:tcPr>
          <w:p>
            <w:pPr>
              <w:spacing w:after="0"/>
              <w:rPr>
                <w:sz w:val="17"/>
                <w:szCs w:val="17"/>
                <w:color w:val="auto"/>
              </w:rPr>
            </w:pPr>
          </w:p>
        </w:tc>
        <w:tc>
          <w:tcPr>
            <w:tcW w:w="2200" w:type="dxa"/>
            <w:vAlign w:val="bottom"/>
            <w:tcBorders>
              <w:bottom w:val="single" w:sz="8" w:color="D0EBF2"/>
            </w:tcBorders>
            <w:shd w:val="clear" w:color="auto" w:fill="D0EBF2"/>
          </w:tcPr>
          <w:p>
            <w:pPr>
              <w:spacing w:after="0"/>
              <w:rPr>
                <w:sz w:val="17"/>
                <w:szCs w:val="17"/>
                <w:color w:val="auto"/>
              </w:rPr>
            </w:pPr>
          </w:p>
        </w:tc>
        <w:tc>
          <w:tcPr>
            <w:tcW w:w="800" w:type="dxa"/>
            <w:vAlign w:val="bottom"/>
            <w:tcBorders>
              <w:bottom w:val="single" w:sz="8" w:color="D0EBF2"/>
            </w:tcBorders>
            <w:shd w:val="clear" w:color="auto" w:fill="D0EBF2"/>
          </w:tcPr>
          <w:p>
            <w:pPr>
              <w:spacing w:after="0"/>
              <w:rPr>
                <w:sz w:val="17"/>
                <w:szCs w:val="17"/>
                <w:color w:val="auto"/>
              </w:rPr>
            </w:pPr>
          </w:p>
        </w:tc>
        <w:tc>
          <w:tcPr>
            <w:tcW w:w="1000" w:type="dxa"/>
            <w:vAlign w:val="bottom"/>
            <w:tcBorders>
              <w:bottom w:val="single" w:sz="8" w:color="D0EBF2"/>
            </w:tcBorders>
            <w:shd w:val="clear" w:color="auto" w:fill="D0EBF2"/>
          </w:tcPr>
          <w:p>
            <w:pPr>
              <w:spacing w:after="0"/>
              <w:rPr>
                <w:sz w:val="17"/>
                <w:szCs w:val="17"/>
                <w:color w:val="auto"/>
              </w:rPr>
            </w:pPr>
          </w:p>
        </w:tc>
        <w:tc>
          <w:tcPr>
            <w:tcW w:w="1060" w:type="dxa"/>
            <w:vAlign w:val="bottom"/>
            <w:tcBorders>
              <w:bottom w:val="single" w:sz="8" w:color="D0EBF2"/>
            </w:tcBorders>
            <w:shd w:val="clear" w:color="auto" w:fill="D0EBF2"/>
          </w:tcPr>
          <w:p>
            <w:pPr>
              <w:spacing w:after="0"/>
              <w:rPr>
                <w:sz w:val="17"/>
                <w:szCs w:val="17"/>
                <w:color w:val="auto"/>
              </w:rPr>
            </w:pPr>
          </w:p>
        </w:tc>
        <w:tc>
          <w:tcPr>
            <w:tcW w:w="1000" w:type="dxa"/>
            <w:vAlign w:val="bottom"/>
            <w:tcBorders>
              <w:bottom w:val="single" w:sz="8" w:color="231F20"/>
            </w:tcBorders>
            <w:shd w:val="clear" w:color="auto" w:fill="D0EBF2"/>
          </w:tcPr>
          <w:p>
            <w:pPr>
              <w:jc w:val="right"/>
              <w:spacing w:after="0"/>
              <w:rPr>
                <w:sz w:val="20"/>
                <w:szCs w:val="20"/>
                <w:color w:val="auto"/>
              </w:rPr>
            </w:pPr>
            <w:r>
              <w:rPr>
                <w:rFonts w:ascii="Times New Roman" w:cs="Times New Roman" w:eastAsia="Times New Roman" w:hAnsi="Times New Roman"/>
                <w:sz w:val="15"/>
                <w:szCs w:val="15"/>
                <w:color w:val="231F20"/>
              </w:rPr>
              <w:t>342,299</w:t>
            </w:r>
          </w:p>
        </w:tc>
        <w:tc>
          <w:tcPr>
            <w:tcW w:w="80" w:type="dxa"/>
            <w:vAlign w:val="bottom"/>
            <w:tcBorders>
              <w:bottom w:val="single" w:sz="8" w:color="D0EBF2"/>
            </w:tcBorders>
            <w:shd w:val="clear" w:color="auto" w:fill="D0EBF2"/>
          </w:tcPr>
          <w:p>
            <w:pPr>
              <w:spacing w:after="0"/>
              <w:rPr>
                <w:sz w:val="17"/>
                <w:szCs w:val="17"/>
                <w:color w:val="auto"/>
              </w:rPr>
            </w:pPr>
          </w:p>
        </w:tc>
        <w:tc>
          <w:tcPr>
            <w:tcW w:w="1600" w:type="dxa"/>
            <w:vAlign w:val="bottom"/>
            <w:tcBorders>
              <w:bottom w:val="single" w:sz="8" w:color="231F20"/>
            </w:tcBorders>
            <w:shd w:val="clear" w:color="auto" w:fill="D0EBF2"/>
          </w:tcPr>
          <w:p>
            <w:pPr>
              <w:jc w:val="right"/>
              <w:spacing w:after="0"/>
              <w:rPr>
                <w:sz w:val="20"/>
                <w:szCs w:val="20"/>
                <w:color w:val="auto"/>
              </w:rPr>
            </w:pPr>
            <w:r>
              <w:rPr>
                <w:rFonts w:ascii="Times New Roman" w:cs="Times New Roman" w:eastAsia="Times New Roman" w:hAnsi="Times New Roman"/>
                <w:sz w:val="15"/>
                <w:szCs w:val="15"/>
                <w:color w:val="231F20"/>
              </w:rPr>
              <w:t>344,772</w:t>
            </w:r>
          </w:p>
        </w:tc>
        <w:tc>
          <w:tcPr>
            <w:tcW w:w="100" w:type="dxa"/>
            <w:vAlign w:val="bottom"/>
            <w:tcBorders>
              <w:bottom w:val="single" w:sz="8" w:color="D0EBF2"/>
            </w:tcBorders>
            <w:shd w:val="clear" w:color="auto" w:fill="D0EBF2"/>
          </w:tcPr>
          <w:p>
            <w:pPr>
              <w:spacing w:after="0"/>
              <w:rPr>
                <w:sz w:val="17"/>
                <w:szCs w:val="17"/>
                <w:color w:val="auto"/>
              </w:rPr>
            </w:pPr>
          </w:p>
        </w:tc>
        <w:tc>
          <w:tcPr>
            <w:tcW w:w="860" w:type="dxa"/>
            <w:vAlign w:val="bottom"/>
            <w:tcBorders>
              <w:bottom w:val="single" w:sz="8" w:color="231F20"/>
            </w:tcBorders>
            <w:shd w:val="clear" w:color="auto" w:fill="D0EBF2"/>
          </w:tcPr>
          <w:p>
            <w:pPr>
              <w:jc w:val="right"/>
              <w:spacing w:after="0"/>
              <w:rPr>
                <w:sz w:val="20"/>
                <w:szCs w:val="20"/>
                <w:color w:val="auto"/>
              </w:rPr>
            </w:pPr>
            <w:r>
              <w:rPr>
                <w:rFonts w:ascii="Times New Roman" w:cs="Times New Roman" w:eastAsia="Times New Roman" w:hAnsi="Times New Roman"/>
                <w:sz w:val="15"/>
                <w:szCs w:val="15"/>
                <w:color w:val="231F20"/>
              </w:rPr>
              <w:t>21.4%</w:t>
            </w:r>
          </w:p>
        </w:tc>
      </w:tr>
      <w:tr>
        <w:trPr>
          <w:trHeight w:val="156"/>
        </w:trPr>
        <w:tc>
          <w:tcPr>
            <w:tcW w:w="1580" w:type="dxa"/>
            <w:vAlign w:val="bottom"/>
            <w:tcBorders>
              <w:top w:val="single" w:sz="8" w:color="FDFDFC"/>
            </w:tcBorders>
            <w:shd w:val="clear" w:color="auto" w:fill="FDFDFC"/>
          </w:tcPr>
          <w:p>
            <w:pPr>
              <w:spacing w:after="0" w:line="156" w:lineRule="exact"/>
              <w:rPr>
                <w:sz w:val="20"/>
                <w:szCs w:val="20"/>
                <w:color w:val="auto"/>
              </w:rPr>
            </w:pPr>
            <w:r>
              <w:rPr>
                <w:rFonts w:ascii="Times New Roman" w:cs="Times New Roman" w:eastAsia="Times New Roman" w:hAnsi="Times New Roman"/>
                <w:sz w:val="15"/>
                <w:szCs w:val="15"/>
                <w:b w:val="1"/>
                <w:bCs w:val="1"/>
                <w:color w:val="231F20"/>
              </w:rPr>
              <w:t>Insurance</w:t>
            </w:r>
          </w:p>
        </w:tc>
        <w:tc>
          <w:tcPr>
            <w:tcW w:w="2200" w:type="dxa"/>
            <w:vAlign w:val="bottom"/>
            <w:tcBorders>
              <w:top w:val="single" w:sz="8" w:color="FDFDFC"/>
            </w:tcBorders>
            <w:shd w:val="clear" w:color="auto" w:fill="FDFDFC"/>
          </w:tcPr>
          <w:p>
            <w:pPr>
              <w:spacing w:after="0"/>
              <w:rPr>
                <w:sz w:val="13"/>
                <w:szCs w:val="13"/>
                <w:color w:val="auto"/>
              </w:rPr>
            </w:pPr>
          </w:p>
        </w:tc>
        <w:tc>
          <w:tcPr>
            <w:tcW w:w="800" w:type="dxa"/>
            <w:vAlign w:val="bottom"/>
            <w:tcBorders>
              <w:top w:val="single" w:sz="8" w:color="FDFDFC"/>
            </w:tcBorders>
            <w:shd w:val="clear" w:color="auto" w:fill="FDFDFC"/>
          </w:tcPr>
          <w:p>
            <w:pPr>
              <w:spacing w:after="0"/>
              <w:rPr>
                <w:sz w:val="13"/>
                <w:szCs w:val="13"/>
                <w:color w:val="auto"/>
              </w:rPr>
            </w:pPr>
          </w:p>
        </w:tc>
        <w:tc>
          <w:tcPr>
            <w:tcW w:w="1000" w:type="dxa"/>
            <w:vAlign w:val="bottom"/>
            <w:tcBorders>
              <w:top w:val="single" w:sz="8" w:color="FDFDFC"/>
            </w:tcBorders>
            <w:shd w:val="clear" w:color="auto" w:fill="FDFDFC"/>
          </w:tcPr>
          <w:p>
            <w:pPr>
              <w:spacing w:after="0"/>
              <w:rPr>
                <w:sz w:val="13"/>
                <w:szCs w:val="13"/>
                <w:color w:val="auto"/>
              </w:rPr>
            </w:pPr>
          </w:p>
        </w:tc>
        <w:tc>
          <w:tcPr>
            <w:tcW w:w="1060" w:type="dxa"/>
            <w:vAlign w:val="bottom"/>
            <w:tcBorders>
              <w:top w:val="single" w:sz="8" w:color="FDFDFC"/>
            </w:tcBorders>
            <w:shd w:val="clear" w:color="auto" w:fill="FDFDFC"/>
          </w:tcPr>
          <w:p>
            <w:pPr>
              <w:spacing w:after="0"/>
              <w:rPr>
                <w:sz w:val="13"/>
                <w:szCs w:val="13"/>
                <w:color w:val="auto"/>
              </w:rPr>
            </w:pPr>
          </w:p>
        </w:tc>
        <w:tc>
          <w:tcPr>
            <w:tcW w:w="1000" w:type="dxa"/>
            <w:vAlign w:val="bottom"/>
            <w:tcBorders>
              <w:top w:val="single" w:sz="8" w:color="231F20"/>
            </w:tcBorders>
            <w:shd w:val="clear" w:color="auto" w:fill="FDFDFC"/>
          </w:tcPr>
          <w:p>
            <w:pPr>
              <w:spacing w:after="0"/>
              <w:rPr>
                <w:sz w:val="13"/>
                <w:szCs w:val="13"/>
                <w:color w:val="auto"/>
              </w:rPr>
            </w:pPr>
          </w:p>
        </w:tc>
        <w:tc>
          <w:tcPr>
            <w:tcW w:w="80" w:type="dxa"/>
            <w:vAlign w:val="bottom"/>
            <w:tcBorders>
              <w:top w:val="single" w:sz="8" w:color="FDFDFC"/>
            </w:tcBorders>
            <w:shd w:val="clear" w:color="auto" w:fill="FDFDFC"/>
          </w:tcPr>
          <w:p>
            <w:pPr>
              <w:spacing w:after="0"/>
              <w:rPr>
                <w:sz w:val="13"/>
                <w:szCs w:val="13"/>
                <w:color w:val="auto"/>
              </w:rPr>
            </w:pPr>
          </w:p>
        </w:tc>
        <w:tc>
          <w:tcPr>
            <w:tcW w:w="1600" w:type="dxa"/>
            <w:vAlign w:val="bottom"/>
            <w:tcBorders>
              <w:top w:val="single" w:sz="8" w:color="231F20"/>
            </w:tcBorders>
            <w:shd w:val="clear" w:color="auto" w:fill="FDFDFC"/>
          </w:tcPr>
          <w:p>
            <w:pPr>
              <w:spacing w:after="0"/>
              <w:rPr>
                <w:sz w:val="13"/>
                <w:szCs w:val="13"/>
                <w:color w:val="auto"/>
              </w:rPr>
            </w:pPr>
          </w:p>
        </w:tc>
        <w:tc>
          <w:tcPr>
            <w:tcW w:w="100" w:type="dxa"/>
            <w:vAlign w:val="bottom"/>
            <w:tcBorders>
              <w:top w:val="single" w:sz="8" w:color="FDFDFC"/>
            </w:tcBorders>
            <w:shd w:val="clear" w:color="auto" w:fill="FDFDFC"/>
          </w:tcPr>
          <w:p>
            <w:pPr>
              <w:spacing w:after="0"/>
              <w:rPr>
                <w:sz w:val="13"/>
                <w:szCs w:val="13"/>
                <w:color w:val="auto"/>
              </w:rPr>
            </w:pPr>
          </w:p>
        </w:tc>
        <w:tc>
          <w:tcPr>
            <w:tcW w:w="860" w:type="dxa"/>
            <w:vAlign w:val="bottom"/>
            <w:tcBorders>
              <w:top w:val="single" w:sz="8" w:color="231F20"/>
            </w:tcBorders>
            <w:shd w:val="clear" w:color="auto" w:fill="FDFDFC"/>
          </w:tcPr>
          <w:p>
            <w:pPr>
              <w:spacing w:after="0"/>
              <w:rPr>
                <w:sz w:val="13"/>
                <w:szCs w:val="13"/>
                <w:color w:val="auto"/>
              </w:rPr>
            </w:pPr>
          </w:p>
        </w:tc>
      </w:tr>
      <w:tr>
        <w:trPr>
          <w:trHeight w:val="171"/>
        </w:trPr>
        <w:tc>
          <w:tcPr>
            <w:tcW w:w="1580" w:type="dxa"/>
            <w:vAlign w:val="bottom"/>
            <w:shd w:val="clear" w:color="auto" w:fill="D0EBF2"/>
          </w:tcPr>
          <w:p>
            <w:pPr>
              <w:spacing w:after="0" w:line="172" w:lineRule="exact"/>
              <w:rPr>
                <w:sz w:val="20"/>
                <w:szCs w:val="20"/>
                <w:color w:val="auto"/>
              </w:rPr>
            </w:pPr>
            <w:r>
              <w:rPr>
                <w:rFonts w:ascii="Times New Roman" w:cs="Times New Roman" w:eastAsia="Times New Roman" w:hAnsi="Times New Roman"/>
                <w:sz w:val="15"/>
                <w:szCs w:val="15"/>
                <w:color w:val="231F20"/>
              </w:rPr>
              <w:t xml:space="preserve">Disco Parent, Inc. </w:t>
            </w:r>
            <w:r>
              <w:rPr>
                <w:rFonts w:ascii="Times New Roman" w:cs="Times New Roman" w:eastAsia="Times New Roman" w:hAnsi="Times New Roman"/>
                <w:sz w:val="9"/>
                <w:szCs w:val="9"/>
                <w:color w:val="231F20"/>
              </w:rPr>
              <w:t>(3)</w:t>
            </w:r>
          </w:p>
        </w:tc>
        <w:tc>
          <w:tcPr>
            <w:tcW w:w="2200" w:type="dxa"/>
            <w:vAlign w:val="bottom"/>
            <w:shd w:val="clear" w:color="auto" w:fill="D0EBF2"/>
          </w:tcPr>
          <w:p>
            <w:pPr>
              <w:ind w:left="60"/>
              <w:spacing w:after="0" w:line="172" w:lineRule="exact"/>
              <w:rPr>
                <w:sz w:val="20"/>
                <w:szCs w:val="20"/>
                <w:color w:val="auto"/>
              </w:rPr>
            </w:pPr>
            <w:r>
              <w:rPr>
                <w:rFonts w:ascii="Times New Roman" w:cs="Times New Roman" w:eastAsia="Times New Roman" w:hAnsi="Times New Roman"/>
                <w:sz w:val="15"/>
                <w:szCs w:val="15"/>
                <w:color w:val="231F20"/>
              </w:rPr>
              <w:t>First-lien loan ($5,319 par, due</w:t>
            </w:r>
          </w:p>
        </w:tc>
        <w:tc>
          <w:tcPr>
            <w:tcW w:w="800" w:type="dxa"/>
            <w:vAlign w:val="bottom"/>
            <w:shd w:val="clear" w:color="auto" w:fill="D0EBF2"/>
          </w:tcPr>
          <w:p>
            <w:pPr>
              <w:jc w:val="right"/>
              <w:spacing w:after="0" w:line="172" w:lineRule="exact"/>
              <w:rPr>
                <w:sz w:val="20"/>
                <w:szCs w:val="20"/>
                <w:color w:val="auto"/>
              </w:rPr>
            </w:pPr>
            <w:r>
              <w:rPr>
                <w:rFonts w:ascii="Times New Roman" w:cs="Times New Roman" w:eastAsia="Times New Roman" w:hAnsi="Times New Roman"/>
                <w:sz w:val="15"/>
                <w:szCs w:val="15"/>
                <w:color w:val="231F20"/>
              </w:rPr>
              <w:t>3/30/2023</w:t>
            </w:r>
          </w:p>
        </w:tc>
        <w:tc>
          <w:tcPr>
            <w:tcW w:w="1000" w:type="dxa"/>
            <w:vAlign w:val="bottom"/>
            <w:shd w:val="clear" w:color="auto" w:fill="D0EBF2"/>
          </w:tcPr>
          <w:p>
            <w:pPr>
              <w:jc w:val="right"/>
              <w:ind w:right="44"/>
              <w:spacing w:after="0" w:line="172" w:lineRule="exact"/>
              <w:rPr>
                <w:sz w:val="20"/>
                <w:szCs w:val="20"/>
                <w:color w:val="auto"/>
              </w:rPr>
            </w:pPr>
            <w:r>
              <w:rPr>
                <w:rFonts w:ascii="Times New Roman" w:cs="Times New Roman" w:eastAsia="Times New Roman" w:hAnsi="Times New Roman"/>
                <w:sz w:val="15"/>
                <w:szCs w:val="15"/>
                <w:color w:val="231F20"/>
              </w:rPr>
              <w:t>SOFR +</w:t>
            </w:r>
          </w:p>
        </w:tc>
        <w:tc>
          <w:tcPr>
            <w:tcW w:w="1060" w:type="dxa"/>
            <w:vAlign w:val="bottom"/>
            <w:shd w:val="clear" w:color="auto" w:fill="D0EBF2"/>
          </w:tcPr>
          <w:p>
            <w:pPr>
              <w:jc w:val="right"/>
              <w:ind w:right="64"/>
              <w:spacing w:after="0" w:line="172" w:lineRule="exact"/>
              <w:rPr>
                <w:sz w:val="20"/>
                <w:szCs w:val="20"/>
                <w:color w:val="auto"/>
              </w:rPr>
            </w:pPr>
            <w:r>
              <w:rPr>
                <w:rFonts w:ascii="Times New Roman" w:cs="Times New Roman" w:eastAsia="Times New Roman" w:hAnsi="Times New Roman"/>
                <w:sz w:val="15"/>
                <w:szCs w:val="15"/>
                <w:color w:val="231F20"/>
              </w:rPr>
              <w:t>12.01%</w:t>
            </w:r>
          </w:p>
        </w:tc>
        <w:tc>
          <w:tcPr>
            <w:tcW w:w="1000" w:type="dxa"/>
            <w:vAlign w:val="bottom"/>
            <w:shd w:val="clear" w:color="auto" w:fill="D0EBF2"/>
          </w:tcPr>
          <w:p>
            <w:pPr>
              <w:jc w:val="right"/>
              <w:spacing w:after="0" w:line="172" w:lineRule="exact"/>
              <w:rPr>
                <w:sz w:val="20"/>
                <w:szCs w:val="20"/>
                <w:color w:val="auto"/>
              </w:rPr>
            </w:pPr>
            <w:r>
              <w:rPr>
                <w:rFonts w:ascii="Times New Roman" w:cs="Times New Roman" w:eastAsia="Times New Roman" w:hAnsi="Times New Roman"/>
                <w:sz w:val="15"/>
                <w:szCs w:val="15"/>
                <w:color w:val="231F20"/>
              </w:rPr>
              <w:t>5,216</w:t>
            </w:r>
          </w:p>
        </w:tc>
        <w:tc>
          <w:tcPr>
            <w:tcW w:w="80" w:type="dxa"/>
            <w:vAlign w:val="bottom"/>
            <w:shd w:val="clear" w:color="auto" w:fill="D0EBF2"/>
          </w:tcPr>
          <w:p>
            <w:pPr>
              <w:spacing w:after="0"/>
              <w:rPr>
                <w:sz w:val="14"/>
                <w:szCs w:val="14"/>
                <w:color w:val="auto"/>
              </w:rPr>
            </w:pPr>
          </w:p>
        </w:tc>
        <w:tc>
          <w:tcPr>
            <w:tcW w:w="1600" w:type="dxa"/>
            <w:vAlign w:val="bottom"/>
            <w:shd w:val="clear" w:color="auto" w:fill="D0EBF2"/>
          </w:tcPr>
          <w:p>
            <w:pPr>
              <w:jc w:val="right"/>
              <w:spacing w:after="0" w:line="172" w:lineRule="exact"/>
              <w:rPr>
                <w:sz w:val="20"/>
                <w:szCs w:val="20"/>
                <w:color w:val="auto"/>
              </w:rPr>
            </w:pPr>
            <w:r>
              <w:rPr>
                <w:rFonts w:ascii="Times New Roman" w:cs="Times New Roman" w:eastAsia="Times New Roman" w:hAnsi="Times New Roman"/>
                <w:sz w:val="15"/>
                <w:szCs w:val="15"/>
                <w:color w:val="231F20"/>
              </w:rPr>
              <w:t>5,377</w:t>
            </w:r>
          </w:p>
        </w:tc>
        <w:tc>
          <w:tcPr>
            <w:tcW w:w="100" w:type="dxa"/>
            <w:vAlign w:val="bottom"/>
            <w:shd w:val="clear" w:color="auto" w:fill="D0EBF2"/>
          </w:tcPr>
          <w:p>
            <w:pPr>
              <w:spacing w:after="0"/>
              <w:rPr>
                <w:sz w:val="14"/>
                <w:szCs w:val="14"/>
                <w:color w:val="auto"/>
              </w:rPr>
            </w:pPr>
          </w:p>
        </w:tc>
        <w:tc>
          <w:tcPr>
            <w:tcW w:w="860" w:type="dxa"/>
            <w:vAlign w:val="bottom"/>
            <w:shd w:val="clear" w:color="auto" w:fill="D0EBF2"/>
          </w:tcPr>
          <w:p>
            <w:pPr>
              <w:jc w:val="right"/>
              <w:spacing w:after="0" w:line="172" w:lineRule="exact"/>
              <w:rPr>
                <w:sz w:val="20"/>
                <w:szCs w:val="20"/>
                <w:color w:val="auto"/>
              </w:rPr>
            </w:pPr>
            <w:r>
              <w:rPr>
                <w:rFonts w:ascii="Times New Roman" w:cs="Times New Roman" w:eastAsia="Times New Roman" w:hAnsi="Times New Roman"/>
                <w:sz w:val="15"/>
                <w:szCs w:val="15"/>
                <w:color w:val="231F20"/>
              </w:rPr>
              <w:t>0.3%</w:t>
            </w:r>
          </w:p>
        </w:tc>
      </w:tr>
      <w:tr>
        <w:trPr>
          <w:trHeight w:val="189"/>
        </w:trPr>
        <w:tc>
          <w:tcPr>
            <w:tcW w:w="1580" w:type="dxa"/>
            <w:vAlign w:val="bottom"/>
            <w:shd w:val="clear" w:color="auto" w:fill="D0EBF2"/>
          </w:tcPr>
          <w:p>
            <w:pPr>
              <w:spacing w:after="0"/>
              <w:rPr>
                <w:sz w:val="16"/>
                <w:szCs w:val="16"/>
                <w:color w:val="auto"/>
              </w:rPr>
            </w:pPr>
          </w:p>
        </w:tc>
        <w:tc>
          <w:tcPr>
            <w:tcW w:w="2200" w:type="dxa"/>
            <w:vAlign w:val="bottom"/>
            <w:shd w:val="clear" w:color="auto" w:fill="D0EBF2"/>
          </w:tcPr>
          <w:p>
            <w:pPr>
              <w:ind w:left="60"/>
              <w:spacing w:after="0"/>
              <w:rPr>
                <w:sz w:val="20"/>
                <w:szCs w:val="20"/>
                <w:color w:val="auto"/>
              </w:rPr>
            </w:pPr>
            <w:r>
              <w:rPr>
                <w:rFonts w:ascii="Times New Roman" w:cs="Times New Roman" w:eastAsia="Times New Roman" w:hAnsi="Times New Roman"/>
                <w:sz w:val="15"/>
                <w:szCs w:val="15"/>
                <w:color w:val="231F20"/>
              </w:rPr>
              <w:t>3/2029)</w:t>
            </w:r>
          </w:p>
        </w:tc>
        <w:tc>
          <w:tcPr>
            <w:tcW w:w="800" w:type="dxa"/>
            <w:vAlign w:val="bottom"/>
            <w:shd w:val="clear" w:color="auto" w:fill="D0EBF2"/>
          </w:tcPr>
          <w:p>
            <w:pPr>
              <w:spacing w:after="0"/>
              <w:rPr>
                <w:sz w:val="16"/>
                <w:szCs w:val="16"/>
                <w:color w:val="auto"/>
              </w:rPr>
            </w:pPr>
          </w:p>
        </w:tc>
        <w:tc>
          <w:tcPr>
            <w:tcW w:w="1000" w:type="dxa"/>
            <w:vAlign w:val="bottom"/>
            <w:shd w:val="clear" w:color="auto" w:fill="D0EBF2"/>
          </w:tcPr>
          <w:p>
            <w:pPr>
              <w:jc w:val="right"/>
              <w:ind w:right="44"/>
              <w:spacing w:after="0"/>
              <w:rPr>
                <w:sz w:val="20"/>
                <w:szCs w:val="20"/>
                <w:color w:val="auto"/>
              </w:rPr>
            </w:pPr>
            <w:r>
              <w:rPr>
                <w:rFonts w:ascii="Times New Roman" w:cs="Times New Roman" w:eastAsia="Times New Roman" w:hAnsi="Times New Roman"/>
                <w:sz w:val="15"/>
                <w:szCs w:val="15"/>
                <w:color w:val="231F20"/>
              </w:rPr>
              <w:t>7.50%</w:t>
            </w:r>
          </w:p>
        </w:tc>
        <w:tc>
          <w:tcPr>
            <w:tcW w:w="1060" w:type="dxa"/>
            <w:vAlign w:val="bottom"/>
            <w:shd w:val="clear" w:color="auto" w:fill="D0EBF2"/>
          </w:tcPr>
          <w:p>
            <w:pPr>
              <w:spacing w:after="0"/>
              <w:rPr>
                <w:sz w:val="16"/>
                <w:szCs w:val="16"/>
                <w:color w:val="auto"/>
              </w:rPr>
            </w:pPr>
          </w:p>
        </w:tc>
        <w:tc>
          <w:tcPr>
            <w:tcW w:w="1000" w:type="dxa"/>
            <w:vAlign w:val="bottom"/>
            <w:shd w:val="clear" w:color="auto" w:fill="D0EBF2"/>
          </w:tcPr>
          <w:p>
            <w:pPr>
              <w:spacing w:after="0"/>
              <w:rPr>
                <w:sz w:val="16"/>
                <w:szCs w:val="16"/>
                <w:color w:val="auto"/>
              </w:rPr>
            </w:pPr>
          </w:p>
        </w:tc>
        <w:tc>
          <w:tcPr>
            <w:tcW w:w="80" w:type="dxa"/>
            <w:vAlign w:val="bottom"/>
            <w:shd w:val="clear" w:color="auto" w:fill="D0EBF2"/>
          </w:tcPr>
          <w:p>
            <w:pPr>
              <w:spacing w:after="0"/>
              <w:rPr>
                <w:sz w:val="16"/>
                <w:szCs w:val="16"/>
                <w:color w:val="auto"/>
              </w:rPr>
            </w:pPr>
          </w:p>
        </w:tc>
        <w:tc>
          <w:tcPr>
            <w:tcW w:w="1600" w:type="dxa"/>
            <w:vAlign w:val="bottom"/>
            <w:shd w:val="clear" w:color="auto" w:fill="D0EBF2"/>
          </w:tcPr>
          <w:p>
            <w:pPr>
              <w:spacing w:after="0"/>
              <w:rPr>
                <w:sz w:val="16"/>
                <w:szCs w:val="16"/>
                <w:color w:val="auto"/>
              </w:rPr>
            </w:pPr>
          </w:p>
        </w:tc>
        <w:tc>
          <w:tcPr>
            <w:tcW w:w="100" w:type="dxa"/>
            <w:vAlign w:val="bottom"/>
            <w:shd w:val="clear" w:color="auto" w:fill="D0EBF2"/>
          </w:tcPr>
          <w:p>
            <w:pPr>
              <w:spacing w:after="0"/>
              <w:rPr>
                <w:sz w:val="16"/>
                <w:szCs w:val="16"/>
                <w:color w:val="auto"/>
              </w:rPr>
            </w:pPr>
          </w:p>
        </w:tc>
        <w:tc>
          <w:tcPr>
            <w:tcW w:w="860" w:type="dxa"/>
            <w:vAlign w:val="bottom"/>
            <w:shd w:val="clear" w:color="auto" w:fill="D0EBF2"/>
          </w:tcPr>
          <w:p>
            <w:pPr>
              <w:spacing w:after="0"/>
              <w:rPr>
                <w:sz w:val="16"/>
                <w:szCs w:val="16"/>
                <w:color w:val="auto"/>
              </w:rPr>
            </w:pPr>
          </w:p>
        </w:tc>
      </w:tr>
      <w:tr>
        <w:trPr>
          <w:trHeight w:val="187"/>
        </w:trPr>
        <w:tc>
          <w:tcPr>
            <w:tcW w:w="1580" w:type="dxa"/>
            <w:vAlign w:val="bottom"/>
            <w:shd w:val="clear" w:color="auto" w:fill="FDFDFC"/>
          </w:tcPr>
          <w:p>
            <w:pPr>
              <w:spacing w:after="0"/>
              <w:rPr>
                <w:sz w:val="20"/>
                <w:szCs w:val="20"/>
                <w:color w:val="auto"/>
              </w:rPr>
            </w:pPr>
            <w:r>
              <w:rPr>
                <w:rFonts w:ascii="Times New Roman" w:cs="Times New Roman" w:eastAsia="Times New Roman" w:hAnsi="Times New Roman"/>
                <w:sz w:val="15"/>
                <w:szCs w:val="15"/>
                <w:b w:val="1"/>
                <w:bCs w:val="1"/>
                <w:color w:val="231F20"/>
              </w:rPr>
              <w:t>Internet Services</w:t>
            </w:r>
          </w:p>
        </w:tc>
        <w:tc>
          <w:tcPr>
            <w:tcW w:w="2200" w:type="dxa"/>
            <w:vAlign w:val="bottom"/>
            <w:shd w:val="clear" w:color="auto" w:fill="FDFDFC"/>
          </w:tcPr>
          <w:p>
            <w:pPr>
              <w:spacing w:after="0"/>
              <w:rPr>
                <w:sz w:val="16"/>
                <w:szCs w:val="16"/>
                <w:color w:val="auto"/>
              </w:rPr>
            </w:pPr>
          </w:p>
        </w:tc>
        <w:tc>
          <w:tcPr>
            <w:tcW w:w="800" w:type="dxa"/>
            <w:vAlign w:val="bottom"/>
            <w:shd w:val="clear" w:color="auto" w:fill="FDFDFC"/>
          </w:tcPr>
          <w:p>
            <w:pPr>
              <w:spacing w:after="0"/>
              <w:rPr>
                <w:sz w:val="16"/>
                <w:szCs w:val="16"/>
                <w:color w:val="auto"/>
              </w:rPr>
            </w:pPr>
          </w:p>
        </w:tc>
        <w:tc>
          <w:tcPr>
            <w:tcW w:w="1000" w:type="dxa"/>
            <w:vAlign w:val="bottom"/>
            <w:shd w:val="clear" w:color="auto" w:fill="FDFDFC"/>
          </w:tcPr>
          <w:p>
            <w:pPr>
              <w:spacing w:after="0"/>
              <w:rPr>
                <w:sz w:val="16"/>
                <w:szCs w:val="16"/>
                <w:color w:val="auto"/>
              </w:rPr>
            </w:pPr>
          </w:p>
        </w:tc>
        <w:tc>
          <w:tcPr>
            <w:tcW w:w="1060" w:type="dxa"/>
            <w:vAlign w:val="bottom"/>
            <w:shd w:val="clear" w:color="auto" w:fill="FDFDFC"/>
          </w:tcPr>
          <w:p>
            <w:pPr>
              <w:spacing w:after="0"/>
              <w:rPr>
                <w:sz w:val="16"/>
                <w:szCs w:val="16"/>
                <w:color w:val="auto"/>
              </w:rPr>
            </w:pPr>
          </w:p>
        </w:tc>
        <w:tc>
          <w:tcPr>
            <w:tcW w:w="1000" w:type="dxa"/>
            <w:vAlign w:val="bottom"/>
            <w:shd w:val="clear" w:color="auto" w:fill="FDFDFC"/>
          </w:tcPr>
          <w:p>
            <w:pPr>
              <w:spacing w:after="0"/>
              <w:rPr>
                <w:sz w:val="16"/>
                <w:szCs w:val="16"/>
                <w:color w:val="auto"/>
              </w:rPr>
            </w:pPr>
          </w:p>
        </w:tc>
        <w:tc>
          <w:tcPr>
            <w:tcW w:w="80" w:type="dxa"/>
            <w:vAlign w:val="bottom"/>
            <w:shd w:val="clear" w:color="auto" w:fill="FDFDFC"/>
          </w:tcPr>
          <w:p>
            <w:pPr>
              <w:spacing w:after="0"/>
              <w:rPr>
                <w:sz w:val="16"/>
                <w:szCs w:val="16"/>
                <w:color w:val="auto"/>
              </w:rPr>
            </w:pPr>
          </w:p>
        </w:tc>
        <w:tc>
          <w:tcPr>
            <w:tcW w:w="1600" w:type="dxa"/>
            <w:vAlign w:val="bottom"/>
            <w:shd w:val="clear" w:color="auto" w:fill="FDFDFC"/>
          </w:tcPr>
          <w:p>
            <w:pPr>
              <w:spacing w:after="0"/>
              <w:rPr>
                <w:sz w:val="16"/>
                <w:szCs w:val="16"/>
                <w:color w:val="auto"/>
              </w:rPr>
            </w:pPr>
          </w:p>
        </w:tc>
        <w:tc>
          <w:tcPr>
            <w:tcW w:w="100" w:type="dxa"/>
            <w:vAlign w:val="bottom"/>
            <w:shd w:val="clear" w:color="auto" w:fill="FDFDFC"/>
          </w:tcPr>
          <w:p>
            <w:pPr>
              <w:spacing w:after="0"/>
              <w:rPr>
                <w:sz w:val="16"/>
                <w:szCs w:val="16"/>
                <w:color w:val="auto"/>
              </w:rPr>
            </w:pPr>
          </w:p>
        </w:tc>
        <w:tc>
          <w:tcPr>
            <w:tcW w:w="860" w:type="dxa"/>
            <w:vAlign w:val="bottom"/>
            <w:shd w:val="clear" w:color="auto" w:fill="FDFDFC"/>
          </w:tcPr>
          <w:p>
            <w:pPr>
              <w:spacing w:after="0"/>
              <w:rPr>
                <w:sz w:val="16"/>
                <w:szCs w:val="16"/>
                <w:color w:val="auto"/>
              </w:rPr>
            </w:pPr>
          </w:p>
        </w:tc>
      </w:tr>
      <w:tr>
        <w:trPr>
          <w:trHeight w:val="171"/>
        </w:trPr>
        <w:tc>
          <w:tcPr>
            <w:tcW w:w="1580" w:type="dxa"/>
            <w:vAlign w:val="bottom"/>
            <w:shd w:val="clear" w:color="auto" w:fill="D0EBF2"/>
          </w:tcPr>
          <w:p>
            <w:pPr>
              <w:spacing w:after="0" w:line="172" w:lineRule="exact"/>
              <w:rPr>
                <w:sz w:val="20"/>
                <w:szCs w:val="20"/>
                <w:color w:val="auto"/>
              </w:rPr>
            </w:pPr>
            <w:r>
              <w:rPr>
                <w:rFonts w:ascii="Times New Roman" w:cs="Times New Roman" w:eastAsia="Times New Roman" w:hAnsi="Times New Roman"/>
                <w:sz w:val="15"/>
                <w:szCs w:val="15"/>
                <w:color w:val="231F20"/>
              </w:rPr>
              <w:t xml:space="preserve">Arrow Buyer, Inc. </w:t>
            </w:r>
            <w:r>
              <w:rPr>
                <w:rFonts w:ascii="Times New Roman" w:cs="Times New Roman" w:eastAsia="Times New Roman" w:hAnsi="Times New Roman"/>
                <w:sz w:val="9"/>
                <w:szCs w:val="9"/>
                <w:color w:val="231F20"/>
              </w:rPr>
              <w:t>(3)</w:t>
            </w:r>
          </w:p>
        </w:tc>
        <w:tc>
          <w:tcPr>
            <w:tcW w:w="2200" w:type="dxa"/>
            <w:vAlign w:val="bottom"/>
            <w:shd w:val="clear" w:color="auto" w:fill="D0EBF2"/>
          </w:tcPr>
          <w:p>
            <w:pPr>
              <w:ind w:left="60"/>
              <w:spacing w:after="0" w:line="172" w:lineRule="exact"/>
              <w:rPr>
                <w:sz w:val="20"/>
                <w:szCs w:val="20"/>
                <w:color w:val="auto"/>
              </w:rPr>
            </w:pPr>
            <w:r>
              <w:rPr>
                <w:rFonts w:ascii="Times New Roman" w:cs="Times New Roman" w:eastAsia="Times New Roman" w:hAnsi="Times New Roman"/>
                <w:sz w:val="15"/>
                <w:szCs w:val="15"/>
                <w:color w:val="231F20"/>
              </w:rPr>
              <w:t>First-lien loan ($34,944 par, due</w:t>
            </w:r>
          </w:p>
        </w:tc>
        <w:tc>
          <w:tcPr>
            <w:tcW w:w="800" w:type="dxa"/>
            <w:vAlign w:val="bottom"/>
            <w:shd w:val="clear" w:color="auto" w:fill="D0EBF2"/>
          </w:tcPr>
          <w:p>
            <w:pPr>
              <w:jc w:val="right"/>
              <w:spacing w:after="0" w:line="172" w:lineRule="exact"/>
              <w:rPr>
                <w:sz w:val="20"/>
                <w:szCs w:val="20"/>
                <w:color w:val="auto"/>
              </w:rPr>
            </w:pPr>
            <w:r>
              <w:rPr>
                <w:rFonts w:ascii="Times New Roman" w:cs="Times New Roman" w:eastAsia="Times New Roman" w:hAnsi="Times New Roman"/>
                <w:sz w:val="15"/>
                <w:szCs w:val="15"/>
                <w:color w:val="231F20"/>
              </w:rPr>
              <w:t>6/30/2023</w:t>
            </w:r>
          </w:p>
        </w:tc>
        <w:tc>
          <w:tcPr>
            <w:tcW w:w="1000" w:type="dxa"/>
            <w:vAlign w:val="bottom"/>
            <w:shd w:val="clear" w:color="auto" w:fill="D0EBF2"/>
          </w:tcPr>
          <w:p>
            <w:pPr>
              <w:jc w:val="right"/>
              <w:ind w:right="44"/>
              <w:spacing w:after="0" w:line="172" w:lineRule="exact"/>
              <w:rPr>
                <w:sz w:val="20"/>
                <w:szCs w:val="20"/>
                <w:color w:val="auto"/>
              </w:rPr>
            </w:pPr>
            <w:r>
              <w:rPr>
                <w:rFonts w:ascii="Times New Roman" w:cs="Times New Roman" w:eastAsia="Times New Roman" w:hAnsi="Times New Roman"/>
                <w:sz w:val="15"/>
                <w:szCs w:val="15"/>
                <w:color w:val="231F20"/>
              </w:rPr>
              <w:t>SOFR +</w:t>
            </w:r>
          </w:p>
        </w:tc>
        <w:tc>
          <w:tcPr>
            <w:tcW w:w="1060" w:type="dxa"/>
            <w:vAlign w:val="bottom"/>
            <w:shd w:val="clear" w:color="auto" w:fill="D0EBF2"/>
          </w:tcPr>
          <w:p>
            <w:pPr>
              <w:jc w:val="right"/>
              <w:ind w:right="64"/>
              <w:spacing w:after="0" w:line="172" w:lineRule="exact"/>
              <w:rPr>
                <w:sz w:val="20"/>
                <w:szCs w:val="20"/>
                <w:color w:val="auto"/>
              </w:rPr>
            </w:pPr>
            <w:r>
              <w:rPr>
                <w:rFonts w:ascii="Times New Roman" w:cs="Times New Roman" w:eastAsia="Times New Roman" w:hAnsi="Times New Roman"/>
                <w:sz w:val="15"/>
                <w:szCs w:val="15"/>
                <w:color w:val="231F20"/>
              </w:rPr>
              <w:t>10.08%</w:t>
            </w:r>
          </w:p>
        </w:tc>
        <w:tc>
          <w:tcPr>
            <w:tcW w:w="1000" w:type="dxa"/>
            <w:vAlign w:val="bottom"/>
            <w:shd w:val="clear" w:color="auto" w:fill="D0EBF2"/>
          </w:tcPr>
          <w:p>
            <w:pPr>
              <w:jc w:val="right"/>
              <w:spacing w:after="0" w:line="172" w:lineRule="exact"/>
              <w:rPr>
                <w:sz w:val="20"/>
                <w:szCs w:val="20"/>
                <w:color w:val="auto"/>
              </w:rPr>
            </w:pPr>
            <w:r>
              <w:rPr>
                <w:rFonts w:ascii="Times New Roman" w:cs="Times New Roman" w:eastAsia="Times New Roman" w:hAnsi="Times New Roman"/>
                <w:sz w:val="15"/>
                <w:szCs w:val="15"/>
                <w:color w:val="231F20"/>
              </w:rPr>
              <w:t>34,152</w:t>
            </w:r>
          </w:p>
        </w:tc>
        <w:tc>
          <w:tcPr>
            <w:tcW w:w="1680" w:type="dxa"/>
            <w:vAlign w:val="bottom"/>
            <w:gridSpan w:val="2"/>
            <w:shd w:val="clear" w:color="auto" w:fill="D0EBF2"/>
          </w:tcPr>
          <w:p>
            <w:pPr>
              <w:jc w:val="right"/>
              <w:spacing w:after="0" w:line="172" w:lineRule="exact"/>
              <w:rPr>
                <w:sz w:val="20"/>
                <w:szCs w:val="20"/>
                <w:color w:val="auto"/>
              </w:rPr>
            </w:pPr>
            <w:r>
              <w:rPr>
                <w:rFonts w:ascii="Times New Roman" w:cs="Times New Roman" w:eastAsia="Times New Roman" w:hAnsi="Times New Roman"/>
                <w:sz w:val="15"/>
                <w:szCs w:val="15"/>
                <w:color w:val="231F20"/>
              </w:rPr>
              <w:t>35,449</w:t>
            </w:r>
          </w:p>
        </w:tc>
        <w:tc>
          <w:tcPr>
            <w:tcW w:w="960" w:type="dxa"/>
            <w:vAlign w:val="bottom"/>
            <w:gridSpan w:val="2"/>
            <w:shd w:val="clear" w:color="auto" w:fill="D0EBF2"/>
          </w:tcPr>
          <w:p>
            <w:pPr>
              <w:jc w:val="right"/>
              <w:spacing w:after="0" w:line="172" w:lineRule="exact"/>
              <w:rPr>
                <w:sz w:val="20"/>
                <w:szCs w:val="20"/>
                <w:color w:val="auto"/>
              </w:rPr>
            </w:pPr>
            <w:r>
              <w:rPr>
                <w:rFonts w:ascii="Times New Roman" w:cs="Times New Roman" w:eastAsia="Times New Roman" w:hAnsi="Times New Roman"/>
                <w:sz w:val="15"/>
                <w:szCs w:val="15"/>
                <w:color w:val="231F20"/>
              </w:rPr>
              <w:t>2.2%</w:t>
            </w:r>
          </w:p>
        </w:tc>
      </w:tr>
      <w:tr>
        <w:trPr>
          <w:trHeight w:val="189"/>
        </w:trPr>
        <w:tc>
          <w:tcPr>
            <w:tcW w:w="1580" w:type="dxa"/>
            <w:vAlign w:val="bottom"/>
            <w:shd w:val="clear" w:color="auto" w:fill="D0EBF2"/>
          </w:tcPr>
          <w:p>
            <w:pPr>
              <w:spacing w:after="0"/>
              <w:rPr>
                <w:sz w:val="16"/>
                <w:szCs w:val="16"/>
                <w:color w:val="auto"/>
              </w:rPr>
            </w:pPr>
          </w:p>
        </w:tc>
        <w:tc>
          <w:tcPr>
            <w:tcW w:w="2200" w:type="dxa"/>
            <w:vAlign w:val="bottom"/>
            <w:shd w:val="clear" w:color="auto" w:fill="D0EBF2"/>
          </w:tcPr>
          <w:p>
            <w:pPr>
              <w:ind w:left="60"/>
              <w:spacing w:after="0"/>
              <w:rPr>
                <w:sz w:val="20"/>
                <w:szCs w:val="20"/>
                <w:color w:val="auto"/>
              </w:rPr>
            </w:pPr>
            <w:r>
              <w:rPr>
                <w:rFonts w:ascii="Times New Roman" w:cs="Times New Roman" w:eastAsia="Times New Roman" w:hAnsi="Times New Roman"/>
                <w:sz w:val="15"/>
                <w:szCs w:val="15"/>
                <w:color w:val="231F20"/>
              </w:rPr>
              <w:t>7/2030)</w:t>
            </w:r>
          </w:p>
        </w:tc>
        <w:tc>
          <w:tcPr>
            <w:tcW w:w="800" w:type="dxa"/>
            <w:vAlign w:val="bottom"/>
            <w:shd w:val="clear" w:color="auto" w:fill="D0EBF2"/>
          </w:tcPr>
          <w:p>
            <w:pPr>
              <w:spacing w:after="0"/>
              <w:rPr>
                <w:sz w:val="16"/>
                <w:szCs w:val="16"/>
                <w:color w:val="auto"/>
              </w:rPr>
            </w:pPr>
          </w:p>
        </w:tc>
        <w:tc>
          <w:tcPr>
            <w:tcW w:w="1000" w:type="dxa"/>
            <w:vAlign w:val="bottom"/>
            <w:shd w:val="clear" w:color="auto" w:fill="D0EBF2"/>
          </w:tcPr>
          <w:p>
            <w:pPr>
              <w:jc w:val="right"/>
              <w:ind w:right="44"/>
              <w:spacing w:after="0"/>
              <w:rPr>
                <w:sz w:val="20"/>
                <w:szCs w:val="20"/>
                <w:color w:val="auto"/>
              </w:rPr>
            </w:pPr>
            <w:r>
              <w:rPr>
                <w:rFonts w:ascii="Times New Roman" w:cs="Times New Roman" w:eastAsia="Times New Roman" w:hAnsi="Times New Roman"/>
                <w:sz w:val="15"/>
                <w:szCs w:val="15"/>
                <w:color w:val="231F20"/>
              </w:rPr>
              <w:t>5.75%</w:t>
            </w:r>
          </w:p>
        </w:tc>
        <w:tc>
          <w:tcPr>
            <w:tcW w:w="1060" w:type="dxa"/>
            <w:vAlign w:val="bottom"/>
            <w:shd w:val="clear" w:color="auto" w:fill="D0EBF2"/>
          </w:tcPr>
          <w:p>
            <w:pPr>
              <w:spacing w:after="0"/>
              <w:rPr>
                <w:sz w:val="16"/>
                <w:szCs w:val="16"/>
                <w:color w:val="auto"/>
              </w:rPr>
            </w:pPr>
          </w:p>
        </w:tc>
        <w:tc>
          <w:tcPr>
            <w:tcW w:w="1000" w:type="dxa"/>
            <w:vAlign w:val="bottom"/>
            <w:shd w:val="clear" w:color="auto" w:fill="D0EBF2"/>
          </w:tcPr>
          <w:p>
            <w:pPr>
              <w:spacing w:after="0"/>
              <w:rPr>
                <w:sz w:val="16"/>
                <w:szCs w:val="16"/>
                <w:color w:val="auto"/>
              </w:rPr>
            </w:pPr>
          </w:p>
        </w:tc>
        <w:tc>
          <w:tcPr>
            <w:tcW w:w="80" w:type="dxa"/>
            <w:vAlign w:val="bottom"/>
            <w:shd w:val="clear" w:color="auto" w:fill="D0EBF2"/>
          </w:tcPr>
          <w:p>
            <w:pPr>
              <w:spacing w:after="0"/>
              <w:rPr>
                <w:sz w:val="16"/>
                <w:szCs w:val="16"/>
                <w:color w:val="auto"/>
              </w:rPr>
            </w:pPr>
          </w:p>
        </w:tc>
        <w:tc>
          <w:tcPr>
            <w:tcW w:w="1600" w:type="dxa"/>
            <w:vAlign w:val="bottom"/>
            <w:shd w:val="clear" w:color="auto" w:fill="D0EBF2"/>
          </w:tcPr>
          <w:p>
            <w:pPr>
              <w:spacing w:after="0"/>
              <w:rPr>
                <w:sz w:val="16"/>
                <w:szCs w:val="16"/>
                <w:color w:val="auto"/>
              </w:rPr>
            </w:pPr>
          </w:p>
        </w:tc>
        <w:tc>
          <w:tcPr>
            <w:tcW w:w="100" w:type="dxa"/>
            <w:vAlign w:val="bottom"/>
            <w:shd w:val="clear" w:color="auto" w:fill="D0EBF2"/>
          </w:tcPr>
          <w:p>
            <w:pPr>
              <w:spacing w:after="0"/>
              <w:rPr>
                <w:sz w:val="16"/>
                <w:szCs w:val="16"/>
                <w:color w:val="auto"/>
              </w:rPr>
            </w:pPr>
          </w:p>
        </w:tc>
        <w:tc>
          <w:tcPr>
            <w:tcW w:w="860" w:type="dxa"/>
            <w:vAlign w:val="bottom"/>
            <w:shd w:val="clear" w:color="auto" w:fill="D0EBF2"/>
          </w:tcPr>
          <w:p>
            <w:pPr>
              <w:spacing w:after="0"/>
              <w:rPr>
                <w:sz w:val="16"/>
                <w:szCs w:val="16"/>
                <w:color w:val="auto"/>
              </w:rPr>
            </w:pPr>
          </w:p>
        </w:tc>
      </w:tr>
      <w:tr>
        <w:trPr>
          <w:trHeight w:val="171"/>
        </w:trPr>
        <w:tc>
          <w:tcPr>
            <w:tcW w:w="1580" w:type="dxa"/>
            <w:vAlign w:val="bottom"/>
            <w:shd w:val="clear" w:color="auto" w:fill="FDFDFC"/>
          </w:tcPr>
          <w:p>
            <w:pPr>
              <w:spacing w:after="0" w:line="172" w:lineRule="exact"/>
              <w:rPr>
                <w:sz w:val="20"/>
                <w:szCs w:val="20"/>
                <w:color w:val="auto"/>
              </w:rPr>
            </w:pPr>
            <w:r>
              <w:rPr>
                <w:rFonts w:ascii="Times New Roman" w:cs="Times New Roman" w:eastAsia="Times New Roman" w:hAnsi="Times New Roman"/>
                <w:sz w:val="15"/>
                <w:szCs w:val="15"/>
                <w:color w:val="231F20"/>
              </w:rPr>
              <w:t>Bayshore Intermediate</w:t>
            </w:r>
          </w:p>
        </w:tc>
        <w:tc>
          <w:tcPr>
            <w:tcW w:w="2200" w:type="dxa"/>
            <w:vAlign w:val="bottom"/>
            <w:shd w:val="clear" w:color="auto" w:fill="FDFDFC"/>
          </w:tcPr>
          <w:p>
            <w:pPr>
              <w:ind w:left="60"/>
              <w:spacing w:after="0" w:line="172" w:lineRule="exact"/>
              <w:rPr>
                <w:sz w:val="20"/>
                <w:szCs w:val="20"/>
                <w:color w:val="auto"/>
              </w:rPr>
            </w:pPr>
            <w:r>
              <w:rPr>
                <w:rFonts w:ascii="Times New Roman" w:cs="Times New Roman" w:eastAsia="Times New Roman" w:hAnsi="Times New Roman"/>
                <w:sz w:val="15"/>
                <w:szCs w:val="15"/>
                <w:color w:val="231F20"/>
              </w:rPr>
              <w:t>First-lien loan ($40,663 par, due</w:t>
            </w:r>
          </w:p>
        </w:tc>
        <w:tc>
          <w:tcPr>
            <w:tcW w:w="800" w:type="dxa"/>
            <w:vAlign w:val="bottom"/>
            <w:shd w:val="clear" w:color="auto" w:fill="FDFDFC"/>
          </w:tcPr>
          <w:p>
            <w:pPr>
              <w:jc w:val="right"/>
              <w:spacing w:after="0" w:line="172" w:lineRule="exact"/>
              <w:rPr>
                <w:sz w:val="20"/>
                <w:szCs w:val="20"/>
                <w:color w:val="auto"/>
              </w:rPr>
            </w:pPr>
            <w:r>
              <w:rPr>
                <w:rFonts w:ascii="Times New Roman" w:cs="Times New Roman" w:eastAsia="Times New Roman" w:hAnsi="Times New Roman"/>
                <w:sz w:val="15"/>
                <w:szCs w:val="15"/>
                <w:color w:val="231F20"/>
              </w:rPr>
              <w:t>10/1/2021</w:t>
            </w:r>
          </w:p>
        </w:tc>
        <w:tc>
          <w:tcPr>
            <w:tcW w:w="1000" w:type="dxa"/>
            <w:vAlign w:val="bottom"/>
            <w:shd w:val="clear" w:color="auto" w:fill="FDFDFC"/>
          </w:tcPr>
          <w:p>
            <w:pPr>
              <w:jc w:val="right"/>
              <w:ind w:right="44"/>
              <w:spacing w:after="0" w:line="172" w:lineRule="exact"/>
              <w:rPr>
                <w:sz w:val="20"/>
                <w:szCs w:val="20"/>
                <w:color w:val="auto"/>
              </w:rPr>
            </w:pPr>
            <w:r>
              <w:rPr>
                <w:rFonts w:ascii="Times New Roman" w:cs="Times New Roman" w:eastAsia="Times New Roman" w:hAnsi="Times New Roman"/>
                <w:sz w:val="15"/>
                <w:szCs w:val="15"/>
                <w:color w:val="231F20"/>
              </w:rPr>
              <w:t>SOFR +</w:t>
            </w:r>
          </w:p>
        </w:tc>
        <w:tc>
          <w:tcPr>
            <w:tcW w:w="1060" w:type="dxa"/>
            <w:vAlign w:val="bottom"/>
            <w:shd w:val="clear" w:color="auto" w:fill="FDFDFC"/>
          </w:tcPr>
          <w:p>
            <w:pPr>
              <w:jc w:val="right"/>
              <w:ind w:right="64"/>
              <w:spacing w:after="0" w:line="172" w:lineRule="exact"/>
              <w:rPr>
                <w:sz w:val="20"/>
                <w:szCs w:val="20"/>
                <w:color w:val="auto"/>
              </w:rPr>
            </w:pPr>
            <w:r>
              <w:rPr>
                <w:rFonts w:ascii="Times New Roman" w:cs="Times New Roman" w:eastAsia="Times New Roman" w:hAnsi="Times New Roman"/>
                <w:sz w:val="15"/>
                <w:szCs w:val="15"/>
                <w:color w:val="231F20"/>
              </w:rPr>
              <w:t>10.77% (incl.</w:t>
            </w:r>
          </w:p>
        </w:tc>
        <w:tc>
          <w:tcPr>
            <w:tcW w:w="1000" w:type="dxa"/>
            <w:vAlign w:val="bottom"/>
            <w:shd w:val="clear" w:color="auto" w:fill="FDFDFC"/>
          </w:tcPr>
          <w:p>
            <w:pPr>
              <w:jc w:val="right"/>
              <w:spacing w:after="0" w:line="172" w:lineRule="exact"/>
              <w:rPr>
                <w:sz w:val="20"/>
                <w:szCs w:val="20"/>
                <w:color w:val="auto"/>
              </w:rPr>
            </w:pPr>
            <w:r>
              <w:rPr>
                <w:rFonts w:ascii="Times New Roman" w:cs="Times New Roman" w:eastAsia="Times New Roman" w:hAnsi="Times New Roman"/>
                <w:sz w:val="15"/>
                <w:szCs w:val="15"/>
                <w:color w:val="231F20"/>
              </w:rPr>
              <w:t>40,222</w:t>
            </w:r>
          </w:p>
        </w:tc>
        <w:tc>
          <w:tcPr>
            <w:tcW w:w="1680" w:type="dxa"/>
            <w:vAlign w:val="bottom"/>
            <w:gridSpan w:val="2"/>
            <w:shd w:val="clear" w:color="auto" w:fill="FDFDFC"/>
          </w:tcPr>
          <w:p>
            <w:pPr>
              <w:jc w:val="right"/>
              <w:spacing w:after="0" w:line="172" w:lineRule="exact"/>
              <w:rPr>
                <w:sz w:val="20"/>
                <w:szCs w:val="20"/>
                <w:color w:val="auto"/>
              </w:rPr>
            </w:pPr>
            <w:r>
              <w:rPr>
                <w:rFonts w:ascii="Times New Roman" w:cs="Times New Roman" w:eastAsia="Times New Roman" w:hAnsi="Times New Roman"/>
                <w:sz w:val="15"/>
                <w:szCs w:val="15"/>
                <w:color w:val="231F20"/>
              </w:rPr>
              <w:t>40,774</w:t>
            </w:r>
          </w:p>
        </w:tc>
        <w:tc>
          <w:tcPr>
            <w:tcW w:w="960" w:type="dxa"/>
            <w:vAlign w:val="bottom"/>
            <w:gridSpan w:val="2"/>
            <w:shd w:val="clear" w:color="auto" w:fill="FDFDFC"/>
          </w:tcPr>
          <w:p>
            <w:pPr>
              <w:jc w:val="right"/>
              <w:spacing w:after="0" w:line="172" w:lineRule="exact"/>
              <w:rPr>
                <w:sz w:val="20"/>
                <w:szCs w:val="20"/>
                <w:color w:val="auto"/>
              </w:rPr>
            </w:pPr>
            <w:r>
              <w:rPr>
                <w:rFonts w:ascii="Times New Roman" w:cs="Times New Roman" w:eastAsia="Times New Roman" w:hAnsi="Times New Roman"/>
                <w:sz w:val="15"/>
                <w:szCs w:val="15"/>
                <w:color w:val="231F20"/>
              </w:rPr>
              <w:t>2.5%</w:t>
            </w:r>
          </w:p>
        </w:tc>
      </w:tr>
      <w:tr>
        <w:trPr>
          <w:trHeight w:val="189"/>
        </w:trPr>
        <w:tc>
          <w:tcPr>
            <w:tcW w:w="1580" w:type="dxa"/>
            <w:vAlign w:val="bottom"/>
            <w:shd w:val="clear" w:color="auto" w:fill="FDFDFC"/>
          </w:tcPr>
          <w:p>
            <w:pPr>
              <w:spacing w:after="0"/>
              <w:rPr>
                <w:sz w:val="20"/>
                <w:szCs w:val="20"/>
                <w:color w:val="auto"/>
              </w:rPr>
            </w:pPr>
            <w:r>
              <w:rPr>
                <w:rFonts w:ascii="Times New Roman" w:cs="Times New Roman" w:eastAsia="Times New Roman" w:hAnsi="Times New Roman"/>
                <w:sz w:val="15"/>
                <w:szCs w:val="15"/>
                <w:color w:val="231F20"/>
              </w:rPr>
              <w:t xml:space="preserve">#2, L.P. </w:t>
            </w:r>
            <w:r>
              <w:rPr>
                <w:rFonts w:ascii="Times New Roman" w:cs="Times New Roman" w:eastAsia="Times New Roman" w:hAnsi="Times New Roman"/>
                <w:sz w:val="9"/>
                <w:szCs w:val="9"/>
                <w:color w:val="231F20"/>
              </w:rPr>
              <w:t>(3)</w:t>
            </w:r>
          </w:p>
        </w:tc>
        <w:tc>
          <w:tcPr>
            <w:tcW w:w="2200" w:type="dxa"/>
            <w:vAlign w:val="bottom"/>
            <w:shd w:val="clear" w:color="auto" w:fill="FDFDFC"/>
          </w:tcPr>
          <w:p>
            <w:pPr>
              <w:ind w:left="60"/>
              <w:spacing w:after="0"/>
              <w:rPr>
                <w:sz w:val="20"/>
                <w:szCs w:val="20"/>
                <w:color w:val="auto"/>
              </w:rPr>
            </w:pPr>
            <w:r>
              <w:rPr>
                <w:rFonts w:ascii="Times New Roman" w:cs="Times New Roman" w:eastAsia="Times New Roman" w:hAnsi="Times New Roman"/>
                <w:sz w:val="15"/>
                <w:szCs w:val="15"/>
                <w:color w:val="231F20"/>
              </w:rPr>
              <w:t>10/2028)</w:t>
            </w:r>
          </w:p>
        </w:tc>
        <w:tc>
          <w:tcPr>
            <w:tcW w:w="800" w:type="dxa"/>
            <w:vAlign w:val="bottom"/>
            <w:shd w:val="clear" w:color="auto" w:fill="FDFDFC"/>
          </w:tcPr>
          <w:p>
            <w:pPr>
              <w:spacing w:after="0"/>
              <w:rPr>
                <w:sz w:val="16"/>
                <w:szCs w:val="16"/>
                <w:color w:val="auto"/>
              </w:rPr>
            </w:pPr>
          </w:p>
        </w:tc>
        <w:tc>
          <w:tcPr>
            <w:tcW w:w="1000" w:type="dxa"/>
            <w:vAlign w:val="bottom"/>
            <w:shd w:val="clear" w:color="auto" w:fill="FDFDFC"/>
          </w:tcPr>
          <w:p>
            <w:pPr>
              <w:jc w:val="right"/>
              <w:ind w:right="44"/>
              <w:spacing w:after="0"/>
              <w:rPr>
                <w:sz w:val="20"/>
                <w:szCs w:val="20"/>
                <w:color w:val="auto"/>
              </w:rPr>
            </w:pPr>
            <w:r>
              <w:rPr>
                <w:rFonts w:ascii="Times New Roman" w:cs="Times New Roman" w:eastAsia="Times New Roman" w:hAnsi="Times New Roman"/>
                <w:sz w:val="15"/>
                <w:szCs w:val="15"/>
                <w:color w:val="231F20"/>
              </w:rPr>
              <w:t>6.25%</w:t>
            </w:r>
          </w:p>
        </w:tc>
        <w:tc>
          <w:tcPr>
            <w:tcW w:w="1060" w:type="dxa"/>
            <w:vAlign w:val="bottom"/>
            <w:shd w:val="clear" w:color="auto" w:fill="FDFDFC"/>
          </w:tcPr>
          <w:p>
            <w:pPr>
              <w:jc w:val="right"/>
              <w:ind w:right="64"/>
              <w:spacing w:after="0"/>
              <w:rPr>
                <w:sz w:val="20"/>
                <w:szCs w:val="20"/>
                <w:color w:val="auto"/>
              </w:rPr>
            </w:pPr>
            <w:r>
              <w:rPr>
                <w:rFonts w:ascii="Times New Roman" w:cs="Times New Roman" w:eastAsia="Times New Roman" w:hAnsi="Times New Roman"/>
                <w:sz w:val="15"/>
                <w:szCs w:val="15"/>
                <w:color w:val="231F20"/>
              </w:rPr>
              <w:t>3.38% PIK)</w:t>
            </w:r>
          </w:p>
        </w:tc>
        <w:tc>
          <w:tcPr>
            <w:tcW w:w="1000" w:type="dxa"/>
            <w:vAlign w:val="bottom"/>
            <w:shd w:val="clear" w:color="auto" w:fill="FDFDFC"/>
          </w:tcPr>
          <w:p>
            <w:pPr>
              <w:spacing w:after="0"/>
              <w:rPr>
                <w:sz w:val="16"/>
                <w:szCs w:val="16"/>
                <w:color w:val="auto"/>
              </w:rPr>
            </w:pPr>
          </w:p>
        </w:tc>
        <w:tc>
          <w:tcPr>
            <w:tcW w:w="80" w:type="dxa"/>
            <w:vAlign w:val="bottom"/>
            <w:shd w:val="clear" w:color="auto" w:fill="FDFDFC"/>
          </w:tcPr>
          <w:p>
            <w:pPr>
              <w:spacing w:after="0"/>
              <w:rPr>
                <w:sz w:val="16"/>
                <w:szCs w:val="16"/>
                <w:color w:val="auto"/>
              </w:rPr>
            </w:pPr>
          </w:p>
        </w:tc>
        <w:tc>
          <w:tcPr>
            <w:tcW w:w="1600" w:type="dxa"/>
            <w:vAlign w:val="bottom"/>
            <w:shd w:val="clear" w:color="auto" w:fill="FDFDFC"/>
          </w:tcPr>
          <w:p>
            <w:pPr>
              <w:spacing w:after="0"/>
              <w:rPr>
                <w:sz w:val="16"/>
                <w:szCs w:val="16"/>
                <w:color w:val="auto"/>
              </w:rPr>
            </w:pPr>
          </w:p>
        </w:tc>
        <w:tc>
          <w:tcPr>
            <w:tcW w:w="100" w:type="dxa"/>
            <w:vAlign w:val="bottom"/>
            <w:shd w:val="clear" w:color="auto" w:fill="FDFDFC"/>
          </w:tcPr>
          <w:p>
            <w:pPr>
              <w:spacing w:after="0"/>
              <w:rPr>
                <w:sz w:val="16"/>
                <w:szCs w:val="16"/>
                <w:color w:val="auto"/>
              </w:rPr>
            </w:pPr>
          </w:p>
        </w:tc>
        <w:tc>
          <w:tcPr>
            <w:tcW w:w="860" w:type="dxa"/>
            <w:vAlign w:val="bottom"/>
            <w:shd w:val="clear" w:color="auto" w:fill="FDFDFC"/>
          </w:tcPr>
          <w:p>
            <w:pPr>
              <w:spacing w:after="0"/>
              <w:rPr>
                <w:sz w:val="16"/>
                <w:szCs w:val="16"/>
                <w:color w:val="auto"/>
              </w:rPr>
            </w:pPr>
          </w:p>
        </w:tc>
      </w:tr>
      <w:tr>
        <w:trPr>
          <w:trHeight w:val="171"/>
        </w:trPr>
        <w:tc>
          <w:tcPr>
            <w:tcW w:w="1580" w:type="dxa"/>
            <w:vAlign w:val="bottom"/>
            <w:shd w:val="clear" w:color="auto" w:fill="D0EBF2"/>
          </w:tcPr>
          <w:p>
            <w:pPr>
              <w:spacing w:after="0" w:line="172" w:lineRule="exact"/>
              <w:rPr>
                <w:sz w:val="20"/>
                <w:szCs w:val="20"/>
                <w:color w:val="auto"/>
              </w:rPr>
            </w:pPr>
            <w:r>
              <w:rPr>
                <w:rFonts w:ascii="Times New Roman" w:cs="Times New Roman" w:eastAsia="Times New Roman" w:hAnsi="Times New Roman"/>
                <w:sz w:val="15"/>
                <w:szCs w:val="15"/>
                <w:color w:val="231F20"/>
              </w:rPr>
              <w:t xml:space="preserve">Coupa Holdings, LLC </w:t>
            </w:r>
            <w:r>
              <w:rPr>
                <w:rFonts w:ascii="Times New Roman" w:cs="Times New Roman" w:eastAsia="Times New Roman" w:hAnsi="Times New Roman"/>
                <w:sz w:val="9"/>
                <w:szCs w:val="9"/>
                <w:color w:val="231F20"/>
              </w:rPr>
              <w:t>(3)</w:t>
            </w:r>
          </w:p>
        </w:tc>
        <w:tc>
          <w:tcPr>
            <w:tcW w:w="2200" w:type="dxa"/>
            <w:vAlign w:val="bottom"/>
            <w:shd w:val="clear" w:color="auto" w:fill="D0EBF2"/>
          </w:tcPr>
          <w:p>
            <w:pPr>
              <w:ind w:left="60"/>
              <w:spacing w:after="0" w:line="172" w:lineRule="exact"/>
              <w:rPr>
                <w:sz w:val="20"/>
                <w:szCs w:val="20"/>
                <w:color w:val="auto"/>
              </w:rPr>
            </w:pPr>
            <w:r>
              <w:rPr>
                <w:rFonts w:ascii="Times New Roman" w:cs="Times New Roman" w:eastAsia="Times New Roman" w:hAnsi="Times New Roman"/>
                <w:sz w:val="15"/>
                <w:szCs w:val="15"/>
                <w:color w:val="231F20"/>
              </w:rPr>
              <w:t>First-lien loan ($42,975 par, due</w:t>
            </w:r>
          </w:p>
        </w:tc>
        <w:tc>
          <w:tcPr>
            <w:tcW w:w="800" w:type="dxa"/>
            <w:vAlign w:val="bottom"/>
            <w:shd w:val="clear" w:color="auto" w:fill="D0EBF2"/>
          </w:tcPr>
          <w:p>
            <w:pPr>
              <w:jc w:val="right"/>
              <w:spacing w:after="0" w:line="172" w:lineRule="exact"/>
              <w:rPr>
                <w:sz w:val="20"/>
                <w:szCs w:val="20"/>
                <w:color w:val="auto"/>
              </w:rPr>
            </w:pPr>
            <w:r>
              <w:rPr>
                <w:rFonts w:ascii="Times New Roman" w:cs="Times New Roman" w:eastAsia="Times New Roman" w:hAnsi="Times New Roman"/>
                <w:sz w:val="15"/>
                <w:szCs w:val="15"/>
                <w:color w:val="231F20"/>
              </w:rPr>
              <w:t>2/27/2023</w:t>
            </w:r>
          </w:p>
        </w:tc>
        <w:tc>
          <w:tcPr>
            <w:tcW w:w="1000" w:type="dxa"/>
            <w:vAlign w:val="bottom"/>
            <w:shd w:val="clear" w:color="auto" w:fill="D0EBF2"/>
          </w:tcPr>
          <w:p>
            <w:pPr>
              <w:jc w:val="right"/>
              <w:ind w:right="44"/>
              <w:spacing w:after="0" w:line="172" w:lineRule="exact"/>
              <w:rPr>
                <w:sz w:val="20"/>
                <w:szCs w:val="20"/>
                <w:color w:val="auto"/>
              </w:rPr>
            </w:pPr>
            <w:r>
              <w:rPr>
                <w:rFonts w:ascii="Times New Roman" w:cs="Times New Roman" w:eastAsia="Times New Roman" w:hAnsi="Times New Roman"/>
                <w:sz w:val="15"/>
                <w:szCs w:val="15"/>
                <w:color w:val="231F20"/>
              </w:rPr>
              <w:t>SOFR +</w:t>
            </w:r>
          </w:p>
        </w:tc>
        <w:tc>
          <w:tcPr>
            <w:tcW w:w="1060" w:type="dxa"/>
            <w:vAlign w:val="bottom"/>
            <w:shd w:val="clear" w:color="auto" w:fill="D0EBF2"/>
          </w:tcPr>
          <w:p>
            <w:pPr>
              <w:jc w:val="right"/>
              <w:ind w:right="64"/>
              <w:spacing w:after="0" w:line="172" w:lineRule="exact"/>
              <w:rPr>
                <w:sz w:val="20"/>
                <w:szCs w:val="20"/>
                <w:color w:val="auto"/>
              </w:rPr>
            </w:pPr>
            <w:r>
              <w:rPr>
                <w:rFonts w:ascii="Times New Roman" w:cs="Times New Roman" w:eastAsia="Times New Roman" w:hAnsi="Times New Roman"/>
                <w:sz w:val="15"/>
                <w:szCs w:val="15"/>
                <w:color w:val="231F20"/>
              </w:rPr>
              <w:t>9.84%</w:t>
            </w:r>
          </w:p>
        </w:tc>
        <w:tc>
          <w:tcPr>
            <w:tcW w:w="1000" w:type="dxa"/>
            <w:vAlign w:val="bottom"/>
            <w:shd w:val="clear" w:color="auto" w:fill="D0EBF2"/>
          </w:tcPr>
          <w:p>
            <w:pPr>
              <w:jc w:val="right"/>
              <w:spacing w:after="0" w:line="172" w:lineRule="exact"/>
              <w:rPr>
                <w:sz w:val="20"/>
                <w:szCs w:val="20"/>
                <w:color w:val="auto"/>
              </w:rPr>
            </w:pPr>
            <w:r>
              <w:rPr>
                <w:rFonts w:ascii="Times New Roman" w:cs="Times New Roman" w:eastAsia="Times New Roman" w:hAnsi="Times New Roman"/>
                <w:sz w:val="15"/>
                <w:szCs w:val="15"/>
                <w:color w:val="231F20"/>
              </w:rPr>
              <w:t>42,097</w:t>
            </w:r>
          </w:p>
        </w:tc>
        <w:tc>
          <w:tcPr>
            <w:tcW w:w="1680" w:type="dxa"/>
            <w:vAlign w:val="bottom"/>
            <w:gridSpan w:val="2"/>
            <w:shd w:val="clear" w:color="auto" w:fill="D0EBF2"/>
          </w:tcPr>
          <w:p>
            <w:pPr>
              <w:jc w:val="right"/>
              <w:spacing w:after="0" w:line="172" w:lineRule="exact"/>
              <w:rPr>
                <w:sz w:val="20"/>
                <w:szCs w:val="20"/>
                <w:color w:val="auto"/>
              </w:rPr>
            </w:pPr>
            <w:r>
              <w:rPr>
                <w:rFonts w:ascii="Times New Roman" w:cs="Times New Roman" w:eastAsia="Times New Roman" w:hAnsi="Times New Roman"/>
                <w:sz w:val="15"/>
                <w:szCs w:val="15"/>
                <w:color w:val="231F20"/>
              </w:rPr>
              <w:t>43,722</w:t>
            </w:r>
          </w:p>
        </w:tc>
        <w:tc>
          <w:tcPr>
            <w:tcW w:w="960" w:type="dxa"/>
            <w:vAlign w:val="bottom"/>
            <w:gridSpan w:val="2"/>
            <w:shd w:val="clear" w:color="auto" w:fill="D0EBF2"/>
          </w:tcPr>
          <w:p>
            <w:pPr>
              <w:jc w:val="right"/>
              <w:spacing w:after="0" w:line="172" w:lineRule="exact"/>
              <w:rPr>
                <w:sz w:val="20"/>
                <w:szCs w:val="20"/>
                <w:color w:val="auto"/>
              </w:rPr>
            </w:pPr>
            <w:r>
              <w:rPr>
                <w:rFonts w:ascii="Times New Roman" w:cs="Times New Roman" w:eastAsia="Times New Roman" w:hAnsi="Times New Roman"/>
                <w:sz w:val="15"/>
                <w:szCs w:val="15"/>
                <w:color w:val="231F20"/>
              </w:rPr>
              <w:t>2.7%</w:t>
            </w:r>
          </w:p>
        </w:tc>
      </w:tr>
      <w:tr>
        <w:trPr>
          <w:trHeight w:val="189"/>
        </w:trPr>
        <w:tc>
          <w:tcPr>
            <w:tcW w:w="1580" w:type="dxa"/>
            <w:vAlign w:val="bottom"/>
            <w:shd w:val="clear" w:color="auto" w:fill="D0EBF2"/>
          </w:tcPr>
          <w:p>
            <w:pPr>
              <w:spacing w:after="0"/>
              <w:rPr>
                <w:sz w:val="16"/>
                <w:szCs w:val="16"/>
                <w:color w:val="auto"/>
              </w:rPr>
            </w:pPr>
          </w:p>
        </w:tc>
        <w:tc>
          <w:tcPr>
            <w:tcW w:w="2200" w:type="dxa"/>
            <w:vAlign w:val="bottom"/>
            <w:shd w:val="clear" w:color="auto" w:fill="D0EBF2"/>
          </w:tcPr>
          <w:p>
            <w:pPr>
              <w:ind w:left="60"/>
              <w:spacing w:after="0"/>
              <w:rPr>
                <w:sz w:val="20"/>
                <w:szCs w:val="20"/>
                <w:color w:val="auto"/>
              </w:rPr>
            </w:pPr>
            <w:r>
              <w:rPr>
                <w:rFonts w:ascii="Times New Roman" w:cs="Times New Roman" w:eastAsia="Times New Roman" w:hAnsi="Times New Roman"/>
                <w:sz w:val="15"/>
                <w:szCs w:val="15"/>
                <w:color w:val="231F20"/>
              </w:rPr>
              <w:t>2/2030)</w:t>
            </w:r>
          </w:p>
        </w:tc>
        <w:tc>
          <w:tcPr>
            <w:tcW w:w="800" w:type="dxa"/>
            <w:vAlign w:val="bottom"/>
            <w:shd w:val="clear" w:color="auto" w:fill="D0EBF2"/>
          </w:tcPr>
          <w:p>
            <w:pPr>
              <w:spacing w:after="0"/>
              <w:rPr>
                <w:sz w:val="16"/>
                <w:szCs w:val="16"/>
                <w:color w:val="auto"/>
              </w:rPr>
            </w:pPr>
          </w:p>
        </w:tc>
        <w:tc>
          <w:tcPr>
            <w:tcW w:w="1000" w:type="dxa"/>
            <w:vAlign w:val="bottom"/>
            <w:shd w:val="clear" w:color="auto" w:fill="D0EBF2"/>
          </w:tcPr>
          <w:p>
            <w:pPr>
              <w:jc w:val="right"/>
              <w:ind w:right="44"/>
              <w:spacing w:after="0"/>
              <w:rPr>
                <w:sz w:val="20"/>
                <w:szCs w:val="20"/>
                <w:color w:val="auto"/>
              </w:rPr>
            </w:pPr>
            <w:r>
              <w:rPr>
                <w:rFonts w:ascii="Times New Roman" w:cs="Times New Roman" w:eastAsia="Times New Roman" w:hAnsi="Times New Roman"/>
                <w:sz w:val="15"/>
                <w:szCs w:val="15"/>
                <w:color w:val="231F20"/>
              </w:rPr>
              <w:t>5.25%</w:t>
            </w:r>
          </w:p>
        </w:tc>
        <w:tc>
          <w:tcPr>
            <w:tcW w:w="1060" w:type="dxa"/>
            <w:vAlign w:val="bottom"/>
            <w:shd w:val="clear" w:color="auto" w:fill="D0EBF2"/>
          </w:tcPr>
          <w:p>
            <w:pPr>
              <w:spacing w:after="0"/>
              <w:rPr>
                <w:sz w:val="16"/>
                <w:szCs w:val="16"/>
                <w:color w:val="auto"/>
              </w:rPr>
            </w:pPr>
          </w:p>
        </w:tc>
        <w:tc>
          <w:tcPr>
            <w:tcW w:w="1000" w:type="dxa"/>
            <w:vAlign w:val="bottom"/>
            <w:shd w:val="clear" w:color="auto" w:fill="D0EBF2"/>
          </w:tcPr>
          <w:p>
            <w:pPr>
              <w:spacing w:after="0"/>
              <w:rPr>
                <w:sz w:val="16"/>
                <w:szCs w:val="16"/>
                <w:color w:val="auto"/>
              </w:rPr>
            </w:pPr>
          </w:p>
        </w:tc>
        <w:tc>
          <w:tcPr>
            <w:tcW w:w="80" w:type="dxa"/>
            <w:vAlign w:val="bottom"/>
            <w:shd w:val="clear" w:color="auto" w:fill="D0EBF2"/>
          </w:tcPr>
          <w:p>
            <w:pPr>
              <w:spacing w:after="0"/>
              <w:rPr>
                <w:sz w:val="16"/>
                <w:szCs w:val="16"/>
                <w:color w:val="auto"/>
              </w:rPr>
            </w:pPr>
          </w:p>
        </w:tc>
        <w:tc>
          <w:tcPr>
            <w:tcW w:w="1600" w:type="dxa"/>
            <w:vAlign w:val="bottom"/>
            <w:shd w:val="clear" w:color="auto" w:fill="D0EBF2"/>
          </w:tcPr>
          <w:p>
            <w:pPr>
              <w:spacing w:after="0"/>
              <w:rPr>
                <w:sz w:val="16"/>
                <w:szCs w:val="16"/>
                <w:color w:val="auto"/>
              </w:rPr>
            </w:pPr>
          </w:p>
        </w:tc>
        <w:tc>
          <w:tcPr>
            <w:tcW w:w="100" w:type="dxa"/>
            <w:vAlign w:val="bottom"/>
            <w:shd w:val="clear" w:color="auto" w:fill="D0EBF2"/>
          </w:tcPr>
          <w:p>
            <w:pPr>
              <w:spacing w:after="0"/>
              <w:rPr>
                <w:sz w:val="16"/>
                <w:szCs w:val="16"/>
                <w:color w:val="auto"/>
              </w:rPr>
            </w:pPr>
          </w:p>
        </w:tc>
        <w:tc>
          <w:tcPr>
            <w:tcW w:w="860" w:type="dxa"/>
            <w:vAlign w:val="bottom"/>
            <w:shd w:val="clear" w:color="auto" w:fill="D0EBF2"/>
          </w:tcPr>
          <w:p>
            <w:pPr>
              <w:spacing w:after="0"/>
              <w:rPr>
                <w:sz w:val="16"/>
                <w:szCs w:val="16"/>
                <w:color w:val="auto"/>
              </w:rPr>
            </w:pPr>
          </w:p>
        </w:tc>
      </w:tr>
      <w:tr>
        <w:trPr>
          <w:trHeight w:val="171"/>
        </w:trPr>
        <w:tc>
          <w:tcPr>
            <w:tcW w:w="1580" w:type="dxa"/>
            <w:vAlign w:val="bottom"/>
            <w:shd w:val="clear" w:color="auto" w:fill="FDFDFC"/>
          </w:tcPr>
          <w:p>
            <w:pPr>
              <w:spacing w:after="0" w:line="172" w:lineRule="exact"/>
              <w:rPr>
                <w:sz w:val="20"/>
                <w:szCs w:val="20"/>
                <w:color w:val="auto"/>
              </w:rPr>
            </w:pPr>
            <w:r>
              <w:rPr>
                <w:rFonts w:ascii="Times New Roman" w:cs="Times New Roman" w:eastAsia="Times New Roman" w:hAnsi="Times New Roman"/>
                <w:sz w:val="15"/>
                <w:szCs w:val="15"/>
                <w:color w:val="231F20"/>
              </w:rPr>
              <w:t>CrunchTime</w:t>
            </w:r>
          </w:p>
        </w:tc>
        <w:tc>
          <w:tcPr>
            <w:tcW w:w="2200" w:type="dxa"/>
            <w:vAlign w:val="bottom"/>
            <w:shd w:val="clear" w:color="auto" w:fill="FDFDFC"/>
          </w:tcPr>
          <w:p>
            <w:pPr>
              <w:ind w:left="60"/>
              <w:spacing w:after="0" w:line="172" w:lineRule="exact"/>
              <w:rPr>
                <w:sz w:val="20"/>
                <w:szCs w:val="20"/>
                <w:color w:val="auto"/>
              </w:rPr>
            </w:pPr>
            <w:r>
              <w:rPr>
                <w:rFonts w:ascii="Times New Roman" w:cs="Times New Roman" w:eastAsia="Times New Roman" w:hAnsi="Times New Roman"/>
                <w:sz w:val="15"/>
                <w:szCs w:val="15"/>
                <w:color w:val="231F20"/>
              </w:rPr>
              <w:t>First-lien loan ($58,898 par, due</w:t>
            </w:r>
          </w:p>
        </w:tc>
        <w:tc>
          <w:tcPr>
            <w:tcW w:w="800" w:type="dxa"/>
            <w:vAlign w:val="bottom"/>
            <w:shd w:val="clear" w:color="auto" w:fill="FDFDFC"/>
          </w:tcPr>
          <w:p>
            <w:pPr>
              <w:jc w:val="right"/>
              <w:spacing w:after="0" w:line="172" w:lineRule="exact"/>
              <w:rPr>
                <w:sz w:val="20"/>
                <w:szCs w:val="20"/>
                <w:color w:val="auto"/>
              </w:rPr>
            </w:pPr>
            <w:r>
              <w:rPr>
                <w:rFonts w:ascii="Times New Roman" w:cs="Times New Roman" w:eastAsia="Times New Roman" w:hAnsi="Times New Roman"/>
                <w:sz w:val="15"/>
                <w:szCs w:val="15"/>
                <w:color w:val="231F20"/>
              </w:rPr>
              <w:t>6/17/2022</w:t>
            </w:r>
          </w:p>
        </w:tc>
        <w:tc>
          <w:tcPr>
            <w:tcW w:w="1000" w:type="dxa"/>
            <w:vAlign w:val="bottom"/>
            <w:shd w:val="clear" w:color="auto" w:fill="FDFDFC"/>
          </w:tcPr>
          <w:p>
            <w:pPr>
              <w:jc w:val="right"/>
              <w:ind w:right="44"/>
              <w:spacing w:after="0" w:line="172" w:lineRule="exact"/>
              <w:rPr>
                <w:sz w:val="20"/>
                <w:szCs w:val="20"/>
                <w:color w:val="auto"/>
              </w:rPr>
            </w:pPr>
            <w:r>
              <w:rPr>
                <w:rFonts w:ascii="Times New Roman" w:cs="Times New Roman" w:eastAsia="Times New Roman" w:hAnsi="Times New Roman"/>
                <w:sz w:val="15"/>
                <w:szCs w:val="15"/>
                <w:color w:val="231F20"/>
              </w:rPr>
              <w:t>SOFR +</w:t>
            </w:r>
          </w:p>
        </w:tc>
        <w:tc>
          <w:tcPr>
            <w:tcW w:w="1060" w:type="dxa"/>
            <w:vAlign w:val="bottom"/>
            <w:shd w:val="clear" w:color="auto" w:fill="FDFDFC"/>
          </w:tcPr>
          <w:p>
            <w:pPr>
              <w:jc w:val="right"/>
              <w:ind w:right="64"/>
              <w:spacing w:after="0" w:line="172" w:lineRule="exact"/>
              <w:rPr>
                <w:sz w:val="20"/>
                <w:szCs w:val="20"/>
                <w:color w:val="auto"/>
              </w:rPr>
            </w:pPr>
            <w:r>
              <w:rPr>
                <w:rFonts w:ascii="Times New Roman" w:cs="Times New Roman" w:eastAsia="Times New Roman" w:hAnsi="Times New Roman"/>
                <w:sz w:val="15"/>
                <w:szCs w:val="15"/>
                <w:color w:val="231F20"/>
              </w:rPr>
              <w:t>10.11%</w:t>
            </w:r>
          </w:p>
        </w:tc>
        <w:tc>
          <w:tcPr>
            <w:tcW w:w="1000" w:type="dxa"/>
            <w:vAlign w:val="bottom"/>
            <w:shd w:val="clear" w:color="auto" w:fill="FDFDFC"/>
          </w:tcPr>
          <w:p>
            <w:pPr>
              <w:jc w:val="right"/>
              <w:spacing w:after="0" w:line="172" w:lineRule="exact"/>
              <w:rPr>
                <w:sz w:val="20"/>
                <w:szCs w:val="20"/>
                <w:color w:val="auto"/>
              </w:rPr>
            </w:pPr>
            <w:r>
              <w:rPr>
                <w:rFonts w:ascii="Times New Roman" w:cs="Times New Roman" w:eastAsia="Times New Roman" w:hAnsi="Times New Roman"/>
                <w:sz w:val="15"/>
                <w:szCs w:val="15"/>
                <w:color w:val="231F20"/>
              </w:rPr>
              <w:t>58,078</w:t>
            </w:r>
          </w:p>
        </w:tc>
        <w:tc>
          <w:tcPr>
            <w:tcW w:w="1680" w:type="dxa"/>
            <w:vAlign w:val="bottom"/>
            <w:gridSpan w:val="2"/>
            <w:shd w:val="clear" w:color="auto" w:fill="FDFDFC"/>
          </w:tcPr>
          <w:p>
            <w:pPr>
              <w:jc w:val="right"/>
              <w:spacing w:after="0" w:line="172" w:lineRule="exact"/>
              <w:rPr>
                <w:sz w:val="20"/>
                <w:szCs w:val="20"/>
                <w:color w:val="auto"/>
              </w:rPr>
            </w:pPr>
            <w:r>
              <w:rPr>
                <w:rFonts w:ascii="Times New Roman" w:cs="Times New Roman" w:eastAsia="Times New Roman" w:hAnsi="Times New Roman"/>
                <w:sz w:val="15"/>
                <w:szCs w:val="15"/>
                <w:color w:val="231F20"/>
              </w:rPr>
              <w:t>58,898</w:t>
            </w:r>
          </w:p>
        </w:tc>
        <w:tc>
          <w:tcPr>
            <w:tcW w:w="960" w:type="dxa"/>
            <w:vAlign w:val="bottom"/>
            <w:gridSpan w:val="2"/>
            <w:shd w:val="clear" w:color="auto" w:fill="FDFDFC"/>
          </w:tcPr>
          <w:p>
            <w:pPr>
              <w:jc w:val="right"/>
              <w:spacing w:after="0" w:line="172" w:lineRule="exact"/>
              <w:rPr>
                <w:sz w:val="20"/>
                <w:szCs w:val="20"/>
                <w:color w:val="auto"/>
              </w:rPr>
            </w:pPr>
            <w:r>
              <w:rPr>
                <w:rFonts w:ascii="Times New Roman" w:cs="Times New Roman" w:eastAsia="Times New Roman" w:hAnsi="Times New Roman"/>
                <w:sz w:val="15"/>
                <w:szCs w:val="15"/>
                <w:color w:val="231F20"/>
              </w:rPr>
              <w:t>3.7%</w:t>
            </w:r>
          </w:p>
        </w:tc>
      </w:tr>
      <w:tr>
        <w:trPr>
          <w:trHeight w:val="174"/>
        </w:trPr>
        <w:tc>
          <w:tcPr>
            <w:tcW w:w="1580" w:type="dxa"/>
            <w:vAlign w:val="bottom"/>
            <w:shd w:val="clear" w:color="auto" w:fill="FDFDFC"/>
          </w:tcPr>
          <w:p>
            <w:pPr>
              <w:spacing w:after="0"/>
              <w:rPr>
                <w:sz w:val="20"/>
                <w:szCs w:val="20"/>
                <w:color w:val="auto"/>
              </w:rPr>
            </w:pPr>
            <w:r>
              <w:rPr>
                <w:rFonts w:ascii="Times New Roman" w:cs="Times New Roman" w:eastAsia="Times New Roman" w:hAnsi="Times New Roman"/>
                <w:sz w:val="15"/>
                <w:szCs w:val="15"/>
                <w:color w:val="231F20"/>
              </w:rPr>
              <w:t>Information, Systems,</w:t>
            </w:r>
          </w:p>
        </w:tc>
        <w:tc>
          <w:tcPr>
            <w:tcW w:w="2200" w:type="dxa"/>
            <w:vAlign w:val="bottom"/>
            <w:shd w:val="clear" w:color="auto" w:fill="FDFDFC"/>
          </w:tcPr>
          <w:p>
            <w:pPr>
              <w:ind w:left="60"/>
              <w:spacing w:after="0"/>
              <w:rPr>
                <w:sz w:val="20"/>
                <w:szCs w:val="20"/>
                <w:color w:val="auto"/>
              </w:rPr>
            </w:pPr>
            <w:r>
              <w:rPr>
                <w:rFonts w:ascii="Times New Roman" w:cs="Times New Roman" w:eastAsia="Times New Roman" w:hAnsi="Times New Roman"/>
                <w:sz w:val="15"/>
                <w:szCs w:val="15"/>
                <w:color w:val="231F20"/>
              </w:rPr>
              <w:t>6/2028)</w:t>
            </w:r>
          </w:p>
        </w:tc>
        <w:tc>
          <w:tcPr>
            <w:tcW w:w="800" w:type="dxa"/>
            <w:vAlign w:val="bottom"/>
            <w:shd w:val="clear" w:color="auto" w:fill="FDFDFC"/>
          </w:tcPr>
          <w:p>
            <w:pPr>
              <w:spacing w:after="0"/>
              <w:rPr>
                <w:sz w:val="15"/>
                <w:szCs w:val="15"/>
                <w:color w:val="auto"/>
              </w:rPr>
            </w:pPr>
          </w:p>
        </w:tc>
        <w:tc>
          <w:tcPr>
            <w:tcW w:w="1000" w:type="dxa"/>
            <w:vAlign w:val="bottom"/>
            <w:shd w:val="clear" w:color="auto" w:fill="FDFDFC"/>
          </w:tcPr>
          <w:p>
            <w:pPr>
              <w:jc w:val="right"/>
              <w:ind w:right="44"/>
              <w:spacing w:after="0"/>
              <w:rPr>
                <w:sz w:val="20"/>
                <w:szCs w:val="20"/>
                <w:color w:val="auto"/>
              </w:rPr>
            </w:pPr>
            <w:r>
              <w:rPr>
                <w:rFonts w:ascii="Times New Roman" w:cs="Times New Roman" w:eastAsia="Times New Roman" w:hAnsi="Times New Roman"/>
                <w:sz w:val="15"/>
                <w:szCs w:val="15"/>
                <w:color w:val="231F20"/>
              </w:rPr>
              <w:t>5.75%</w:t>
            </w:r>
          </w:p>
        </w:tc>
        <w:tc>
          <w:tcPr>
            <w:tcW w:w="1060" w:type="dxa"/>
            <w:vAlign w:val="bottom"/>
            <w:shd w:val="clear" w:color="auto" w:fill="FDFDFC"/>
          </w:tcPr>
          <w:p>
            <w:pPr>
              <w:spacing w:after="0"/>
              <w:rPr>
                <w:sz w:val="15"/>
                <w:szCs w:val="15"/>
                <w:color w:val="auto"/>
              </w:rPr>
            </w:pPr>
          </w:p>
        </w:tc>
        <w:tc>
          <w:tcPr>
            <w:tcW w:w="1000" w:type="dxa"/>
            <w:vAlign w:val="bottom"/>
            <w:shd w:val="clear" w:color="auto" w:fill="FDFDFC"/>
          </w:tcPr>
          <w:p>
            <w:pPr>
              <w:spacing w:after="0"/>
              <w:rPr>
                <w:sz w:val="15"/>
                <w:szCs w:val="15"/>
                <w:color w:val="auto"/>
              </w:rPr>
            </w:pPr>
          </w:p>
        </w:tc>
        <w:tc>
          <w:tcPr>
            <w:tcW w:w="80" w:type="dxa"/>
            <w:vAlign w:val="bottom"/>
            <w:shd w:val="clear" w:color="auto" w:fill="FDFDFC"/>
          </w:tcPr>
          <w:p>
            <w:pPr>
              <w:spacing w:after="0"/>
              <w:rPr>
                <w:sz w:val="15"/>
                <w:szCs w:val="15"/>
                <w:color w:val="auto"/>
              </w:rPr>
            </w:pPr>
          </w:p>
        </w:tc>
        <w:tc>
          <w:tcPr>
            <w:tcW w:w="1600" w:type="dxa"/>
            <w:vAlign w:val="bottom"/>
            <w:shd w:val="clear" w:color="auto" w:fill="FDFDFC"/>
          </w:tcPr>
          <w:p>
            <w:pPr>
              <w:spacing w:after="0"/>
              <w:rPr>
                <w:sz w:val="15"/>
                <w:szCs w:val="15"/>
                <w:color w:val="auto"/>
              </w:rPr>
            </w:pPr>
          </w:p>
        </w:tc>
        <w:tc>
          <w:tcPr>
            <w:tcW w:w="100" w:type="dxa"/>
            <w:vAlign w:val="bottom"/>
            <w:shd w:val="clear" w:color="auto" w:fill="FDFDFC"/>
          </w:tcPr>
          <w:p>
            <w:pPr>
              <w:spacing w:after="0"/>
              <w:rPr>
                <w:sz w:val="15"/>
                <w:szCs w:val="15"/>
                <w:color w:val="auto"/>
              </w:rPr>
            </w:pPr>
          </w:p>
        </w:tc>
        <w:tc>
          <w:tcPr>
            <w:tcW w:w="860" w:type="dxa"/>
            <w:vAlign w:val="bottom"/>
            <w:shd w:val="clear" w:color="auto" w:fill="FDFDFC"/>
          </w:tcPr>
          <w:p>
            <w:pPr>
              <w:spacing w:after="0"/>
              <w:rPr>
                <w:sz w:val="15"/>
                <w:szCs w:val="15"/>
                <w:color w:val="auto"/>
              </w:rPr>
            </w:pPr>
          </w:p>
        </w:tc>
      </w:tr>
      <w:tr>
        <w:trPr>
          <w:trHeight w:val="189"/>
        </w:trPr>
        <w:tc>
          <w:tcPr>
            <w:tcW w:w="1580" w:type="dxa"/>
            <w:vAlign w:val="bottom"/>
            <w:shd w:val="clear" w:color="auto" w:fill="FDFDFC"/>
          </w:tcPr>
          <w:p>
            <w:pPr>
              <w:spacing w:after="0" w:line="190" w:lineRule="exact"/>
              <w:rPr>
                <w:sz w:val="20"/>
                <w:szCs w:val="20"/>
                <w:color w:val="auto"/>
              </w:rPr>
            </w:pPr>
            <w:r>
              <w:rPr>
                <w:rFonts w:ascii="Times New Roman" w:cs="Times New Roman" w:eastAsia="Times New Roman" w:hAnsi="Times New Roman"/>
                <w:sz w:val="21"/>
                <w:szCs w:val="21"/>
                <w:color w:val="231F20"/>
                <w:vertAlign w:val="subscript"/>
              </w:rPr>
              <w:t>Inc.</w:t>
            </w:r>
            <w:r>
              <w:rPr>
                <w:rFonts w:ascii="Times New Roman" w:cs="Times New Roman" w:eastAsia="Times New Roman" w:hAnsi="Times New Roman"/>
                <w:sz w:val="8"/>
                <w:szCs w:val="8"/>
                <w:color w:val="231F20"/>
              </w:rPr>
              <w:t xml:space="preserve"> (3)(5)</w:t>
            </w:r>
          </w:p>
        </w:tc>
        <w:tc>
          <w:tcPr>
            <w:tcW w:w="2200" w:type="dxa"/>
            <w:vAlign w:val="bottom"/>
            <w:shd w:val="clear" w:color="auto" w:fill="FDFDFC"/>
          </w:tcPr>
          <w:p>
            <w:pPr>
              <w:spacing w:after="0"/>
              <w:rPr>
                <w:sz w:val="16"/>
                <w:szCs w:val="16"/>
                <w:color w:val="auto"/>
              </w:rPr>
            </w:pPr>
          </w:p>
        </w:tc>
        <w:tc>
          <w:tcPr>
            <w:tcW w:w="800" w:type="dxa"/>
            <w:vAlign w:val="bottom"/>
            <w:shd w:val="clear" w:color="auto" w:fill="FDFDFC"/>
          </w:tcPr>
          <w:p>
            <w:pPr>
              <w:spacing w:after="0"/>
              <w:rPr>
                <w:sz w:val="16"/>
                <w:szCs w:val="16"/>
                <w:color w:val="auto"/>
              </w:rPr>
            </w:pPr>
          </w:p>
        </w:tc>
        <w:tc>
          <w:tcPr>
            <w:tcW w:w="1000" w:type="dxa"/>
            <w:vAlign w:val="bottom"/>
            <w:shd w:val="clear" w:color="auto" w:fill="FDFDFC"/>
          </w:tcPr>
          <w:p>
            <w:pPr>
              <w:spacing w:after="0"/>
              <w:rPr>
                <w:sz w:val="16"/>
                <w:szCs w:val="16"/>
                <w:color w:val="auto"/>
              </w:rPr>
            </w:pPr>
          </w:p>
        </w:tc>
        <w:tc>
          <w:tcPr>
            <w:tcW w:w="1060" w:type="dxa"/>
            <w:vAlign w:val="bottom"/>
            <w:shd w:val="clear" w:color="auto" w:fill="FDFDFC"/>
          </w:tcPr>
          <w:p>
            <w:pPr>
              <w:spacing w:after="0"/>
              <w:rPr>
                <w:sz w:val="16"/>
                <w:szCs w:val="16"/>
                <w:color w:val="auto"/>
              </w:rPr>
            </w:pPr>
          </w:p>
        </w:tc>
        <w:tc>
          <w:tcPr>
            <w:tcW w:w="1000" w:type="dxa"/>
            <w:vAlign w:val="bottom"/>
            <w:shd w:val="clear" w:color="auto" w:fill="FDFDFC"/>
          </w:tcPr>
          <w:p>
            <w:pPr>
              <w:spacing w:after="0"/>
              <w:rPr>
                <w:sz w:val="16"/>
                <w:szCs w:val="16"/>
                <w:color w:val="auto"/>
              </w:rPr>
            </w:pPr>
          </w:p>
        </w:tc>
        <w:tc>
          <w:tcPr>
            <w:tcW w:w="80" w:type="dxa"/>
            <w:vAlign w:val="bottom"/>
            <w:shd w:val="clear" w:color="auto" w:fill="FDFDFC"/>
          </w:tcPr>
          <w:p>
            <w:pPr>
              <w:spacing w:after="0"/>
              <w:rPr>
                <w:sz w:val="16"/>
                <w:szCs w:val="16"/>
                <w:color w:val="auto"/>
              </w:rPr>
            </w:pPr>
          </w:p>
        </w:tc>
        <w:tc>
          <w:tcPr>
            <w:tcW w:w="1600" w:type="dxa"/>
            <w:vAlign w:val="bottom"/>
            <w:shd w:val="clear" w:color="auto" w:fill="FDFDFC"/>
          </w:tcPr>
          <w:p>
            <w:pPr>
              <w:spacing w:after="0"/>
              <w:rPr>
                <w:sz w:val="16"/>
                <w:szCs w:val="16"/>
                <w:color w:val="auto"/>
              </w:rPr>
            </w:pPr>
          </w:p>
        </w:tc>
        <w:tc>
          <w:tcPr>
            <w:tcW w:w="100" w:type="dxa"/>
            <w:vAlign w:val="bottom"/>
            <w:shd w:val="clear" w:color="auto" w:fill="FDFDFC"/>
          </w:tcPr>
          <w:p>
            <w:pPr>
              <w:spacing w:after="0"/>
              <w:rPr>
                <w:sz w:val="16"/>
                <w:szCs w:val="16"/>
                <w:color w:val="auto"/>
              </w:rPr>
            </w:pPr>
          </w:p>
        </w:tc>
        <w:tc>
          <w:tcPr>
            <w:tcW w:w="860" w:type="dxa"/>
            <w:vAlign w:val="bottom"/>
            <w:shd w:val="clear" w:color="auto" w:fill="FDFDFC"/>
          </w:tcPr>
          <w:p>
            <w:pPr>
              <w:spacing w:after="0"/>
              <w:rPr>
                <w:sz w:val="16"/>
                <w:szCs w:val="16"/>
                <w:color w:val="auto"/>
              </w:rPr>
            </w:pPr>
          </w:p>
        </w:tc>
      </w:tr>
      <w:tr>
        <w:trPr>
          <w:trHeight w:val="171"/>
        </w:trPr>
        <w:tc>
          <w:tcPr>
            <w:tcW w:w="1580" w:type="dxa"/>
            <w:vAlign w:val="bottom"/>
            <w:shd w:val="clear" w:color="auto" w:fill="D0EBF2"/>
          </w:tcPr>
          <w:p>
            <w:pPr>
              <w:spacing w:after="0" w:line="172" w:lineRule="exact"/>
              <w:rPr>
                <w:sz w:val="20"/>
                <w:szCs w:val="20"/>
                <w:color w:val="auto"/>
              </w:rPr>
            </w:pPr>
            <w:r>
              <w:rPr>
                <w:rFonts w:ascii="Times New Roman" w:cs="Times New Roman" w:eastAsia="Times New Roman" w:hAnsi="Times New Roman"/>
                <w:sz w:val="15"/>
                <w:szCs w:val="15"/>
                <w:color w:val="231F20"/>
              </w:rPr>
              <w:t xml:space="preserve">EDB Parent, LLC </w:t>
            </w:r>
            <w:r>
              <w:rPr>
                <w:rFonts w:ascii="Times New Roman" w:cs="Times New Roman" w:eastAsia="Times New Roman" w:hAnsi="Times New Roman"/>
                <w:sz w:val="9"/>
                <w:szCs w:val="9"/>
                <w:color w:val="231F20"/>
              </w:rPr>
              <w:t>(3)(5)</w:t>
            </w:r>
          </w:p>
        </w:tc>
        <w:tc>
          <w:tcPr>
            <w:tcW w:w="2200" w:type="dxa"/>
            <w:vAlign w:val="bottom"/>
            <w:shd w:val="clear" w:color="auto" w:fill="D0EBF2"/>
          </w:tcPr>
          <w:p>
            <w:pPr>
              <w:ind w:left="60"/>
              <w:spacing w:after="0" w:line="172" w:lineRule="exact"/>
              <w:rPr>
                <w:sz w:val="20"/>
                <w:szCs w:val="20"/>
                <w:color w:val="auto"/>
              </w:rPr>
            </w:pPr>
            <w:r>
              <w:rPr>
                <w:rFonts w:ascii="Times New Roman" w:cs="Times New Roman" w:eastAsia="Times New Roman" w:hAnsi="Times New Roman"/>
                <w:sz w:val="15"/>
                <w:szCs w:val="15"/>
                <w:color w:val="231F20"/>
              </w:rPr>
              <w:t>First-lien loan ($69,873 par, due</w:t>
            </w:r>
          </w:p>
        </w:tc>
        <w:tc>
          <w:tcPr>
            <w:tcW w:w="800" w:type="dxa"/>
            <w:vAlign w:val="bottom"/>
            <w:shd w:val="clear" w:color="auto" w:fill="D0EBF2"/>
          </w:tcPr>
          <w:p>
            <w:pPr>
              <w:jc w:val="right"/>
              <w:spacing w:after="0" w:line="172" w:lineRule="exact"/>
              <w:rPr>
                <w:sz w:val="20"/>
                <w:szCs w:val="20"/>
                <w:color w:val="auto"/>
              </w:rPr>
            </w:pPr>
            <w:r>
              <w:rPr>
                <w:rFonts w:ascii="Times New Roman" w:cs="Times New Roman" w:eastAsia="Times New Roman" w:hAnsi="Times New Roman"/>
                <w:sz w:val="15"/>
                <w:szCs w:val="15"/>
                <w:color w:val="231F20"/>
              </w:rPr>
              <w:t>7/7/2022</w:t>
            </w:r>
          </w:p>
        </w:tc>
        <w:tc>
          <w:tcPr>
            <w:tcW w:w="1000" w:type="dxa"/>
            <w:vAlign w:val="bottom"/>
            <w:shd w:val="clear" w:color="auto" w:fill="D0EBF2"/>
          </w:tcPr>
          <w:p>
            <w:pPr>
              <w:jc w:val="right"/>
              <w:ind w:right="44"/>
              <w:spacing w:after="0" w:line="172" w:lineRule="exact"/>
              <w:rPr>
                <w:sz w:val="20"/>
                <w:szCs w:val="20"/>
                <w:color w:val="auto"/>
              </w:rPr>
            </w:pPr>
            <w:r>
              <w:rPr>
                <w:rFonts w:ascii="Times New Roman" w:cs="Times New Roman" w:eastAsia="Times New Roman" w:hAnsi="Times New Roman"/>
                <w:sz w:val="15"/>
                <w:szCs w:val="15"/>
                <w:color w:val="231F20"/>
              </w:rPr>
              <w:t>SOFR +</w:t>
            </w:r>
          </w:p>
        </w:tc>
        <w:tc>
          <w:tcPr>
            <w:tcW w:w="1060" w:type="dxa"/>
            <w:vAlign w:val="bottom"/>
            <w:shd w:val="clear" w:color="auto" w:fill="D0EBF2"/>
          </w:tcPr>
          <w:p>
            <w:pPr>
              <w:jc w:val="right"/>
              <w:ind w:right="64"/>
              <w:spacing w:after="0" w:line="172" w:lineRule="exact"/>
              <w:rPr>
                <w:sz w:val="20"/>
                <w:szCs w:val="20"/>
                <w:color w:val="auto"/>
              </w:rPr>
            </w:pPr>
            <w:r>
              <w:rPr>
                <w:rFonts w:ascii="Times New Roman" w:cs="Times New Roman" w:eastAsia="Times New Roman" w:hAnsi="Times New Roman"/>
                <w:sz w:val="15"/>
                <w:szCs w:val="15"/>
                <w:color w:val="231F20"/>
              </w:rPr>
              <w:t>11.26%</w:t>
            </w:r>
          </w:p>
        </w:tc>
        <w:tc>
          <w:tcPr>
            <w:tcW w:w="1000" w:type="dxa"/>
            <w:vAlign w:val="bottom"/>
            <w:shd w:val="clear" w:color="auto" w:fill="D0EBF2"/>
          </w:tcPr>
          <w:p>
            <w:pPr>
              <w:jc w:val="right"/>
              <w:spacing w:after="0" w:line="172" w:lineRule="exact"/>
              <w:rPr>
                <w:sz w:val="20"/>
                <w:szCs w:val="20"/>
                <w:color w:val="auto"/>
              </w:rPr>
            </w:pPr>
            <w:r>
              <w:rPr>
                <w:rFonts w:ascii="Times New Roman" w:cs="Times New Roman" w:eastAsia="Times New Roman" w:hAnsi="Times New Roman"/>
                <w:sz w:val="15"/>
                <w:szCs w:val="15"/>
                <w:color w:val="231F20"/>
              </w:rPr>
              <w:t>68,832</w:t>
            </w:r>
          </w:p>
        </w:tc>
        <w:tc>
          <w:tcPr>
            <w:tcW w:w="1680" w:type="dxa"/>
            <w:vAlign w:val="bottom"/>
            <w:gridSpan w:val="2"/>
            <w:shd w:val="clear" w:color="auto" w:fill="D0EBF2"/>
          </w:tcPr>
          <w:p>
            <w:pPr>
              <w:jc w:val="right"/>
              <w:spacing w:after="0" w:line="172" w:lineRule="exact"/>
              <w:rPr>
                <w:sz w:val="20"/>
                <w:szCs w:val="20"/>
                <w:color w:val="auto"/>
              </w:rPr>
            </w:pPr>
            <w:r>
              <w:rPr>
                <w:rFonts w:ascii="Times New Roman" w:cs="Times New Roman" w:eastAsia="Times New Roman" w:hAnsi="Times New Roman"/>
                <w:sz w:val="15"/>
                <w:szCs w:val="15"/>
                <w:color w:val="231F20"/>
              </w:rPr>
              <w:t>69,349</w:t>
            </w:r>
          </w:p>
        </w:tc>
        <w:tc>
          <w:tcPr>
            <w:tcW w:w="960" w:type="dxa"/>
            <w:vAlign w:val="bottom"/>
            <w:gridSpan w:val="2"/>
            <w:shd w:val="clear" w:color="auto" w:fill="D0EBF2"/>
          </w:tcPr>
          <w:p>
            <w:pPr>
              <w:jc w:val="right"/>
              <w:spacing w:after="0" w:line="172" w:lineRule="exact"/>
              <w:rPr>
                <w:sz w:val="20"/>
                <w:szCs w:val="20"/>
                <w:color w:val="auto"/>
              </w:rPr>
            </w:pPr>
            <w:r>
              <w:rPr>
                <w:rFonts w:ascii="Times New Roman" w:cs="Times New Roman" w:eastAsia="Times New Roman" w:hAnsi="Times New Roman"/>
                <w:sz w:val="15"/>
                <w:szCs w:val="15"/>
                <w:color w:val="231F20"/>
              </w:rPr>
              <w:t>4.3%</w:t>
            </w:r>
          </w:p>
        </w:tc>
      </w:tr>
      <w:tr>
        <w:trPr>
          <w:trHeight w:val="189"/>
        </w:trPr>
        <w:tc>
          <w:tcPr>
            <w:tcW w:w="1580" w:type="dxa"/>
            <w:vAlign w:val="bottom"/>
            <w:shd w:val="clear" w:color="auto" w:fill="D0EBF2"/>
          </w:tcPr>
          <w:p>
            <w:pPr>
              <w:spacing w:after="0"/>
              <w:rPr>
                <w:sz w:val="16"/>
                <w:szCs w:val="16"/>
                <w:color w:val="auto"/>
              </w:rPr>
            </w:pPr>
          </w:p>
        </w:tc>
        <w:tc>
          <w:tcPr>
            <w:tcW w:w="2200" w:type="dxa"/>
            <w:vAlign w:val="bottom"/>
            <w:shd w:val="clear" w:color="auto" w:fill="D0EBF2"/>
          </w:tcPr>
          <w:p>
            <w:pPr>
              <w:ind w:left="60"/>
              <w:spacing w:after="0"/>
              <w:rPr>
                <w:sz w:val="20"/>
                <w:szCs w:val="20"/>
                <w:color w:val="auto"/>
              </w:rPr>
            </w:pPr>
            <w:r>
              <w:rPr>
                <w:rFonts w:ascii="Times New Roman" w:cs="Times New Roman" w:eastAsia="Times New Roman" w:hAnsi="Times New Roman"/>
                <w:sz w:val="15"/>
                <w:szCs w:val="15"/>
                <w:color w:val="231F20"/>
              </w:rPr>
              <w:t>7/2028)</w:t>
            </w:r>
          </w:p>
        </w:tc>
        <w:tc>
          <w:tcPr>
            <w:tcW w:w="800" w:type="dxa"/>
            <w:vAlign w:val="bottom"/>
            <w:shd w:val="clear" w:color="auto" w:fill="D0EBF2"/>
          </w:tcPr>
          <w:p>
            <w:pPr>
              <w:spacing w:after="0"/>
              <w:rPr>
                <w:sz w:val="16"/>
                <w:szCs w:val="16"/>
                <w:color w:val="auto"/>
              </w:rPr>
            </w:pPr>
          </w:p>
        </w:tc>
        <w:tc>
          <w:tcPr>
            <w:tcW w:w="1000" w:type="dxa"/>
            <w:vAlign w:val="bottom"/>
            <w:shd w:val="clear" w:color="auto" w:fill="D0EBF2"/>
          </w:tcPr>
          <w:p>
            <w:pPr>
              <w:jc w:val="right"/>
              <w:ind w:right="44"/>
              <w:spacing w:after="0"/>
              <w:rPr>
                <w:sz w:val="20"/>
                <w:szCs w:val="20"/>
                <w:color w:val="auto"/>
              </w:rPr>
            </w:pPr>
            <w:r>
              <w:rPr>
                <w:rFonts w:ascii="Times New Roman" w:cs="Times New Roman" w:eastAsia="Times New Roman" w:hAnsi="Times New Roman"/>
                <w:sz w:val="15"/>
                <w:szCs w:val="15"/>
                <w:color w:val="231F20"/>
              </w:rPr>
              <w:t>6.75%</w:t>
            </w:r>
          </w:p>
        </w:tc>
        <w:tc>
          <w:tcPr>
            <w:tcW w:w="1060" w:type="dxa"/>
            <w:vAlign w:val="bottom"/>
            <w:shd w:val="clear" w:color="auto" w:fill="D0EBF2"/>
          </w:tcPr>
          <w:p>
            <w:pPr>
              <w:spacing w:after="0"/>
              <w:rPr>
                <w:sz w:val="16"/>
                <w:szCs w:val="16"/>
                <w:color w:val="auto"/>
              </w:rPr>
            </w:pPr>
          </w:p>
        </w:tc>
        <w:tc>
          <w:tcPr>
            <w:tcW w:w="1000" w:type="dxa"/>
            <w:vAlign w:val="bottom"/>
            <w:shd w:val="clear" w:color="auto" w:fill="D0EBF2"/>
          </w:tcPr>
          <w:p>
            <w:pPr>
              <w:spacing w:after="0"/>
              <w:rPr>
                <w:sz w:val="16"/>
                <w:szCs w:val="16"/>
                <w:color w:val="auto"/>
              </w:rPr>
            </w:pPr>
          </w:p>
        </w:tc>
        <w:tc>
          <w:tcPr>
            <w:tcW w:w="80" w:type="dxa"/>
            <w:vAlign w:val="bottom"/>
            <w:shd w:val="clear" w:color="auto" w:fill="D0EBF2"/>
          </w:tcPr>
          <w:p>
            <w:pPr>
              <w:spacing w:after="0"/>
              <w:rPr>
                <w:sz w:val="16"/>
                <w:szCs w:val="16"/>
                <w:color w:val="auto"/>
              </w:rPr>
            </w:pPr>
          </w:p>
        </w:tc>
        <w:tc>
          <w:tcPr>
            <w:tcW w:w="1600" w:type="dxa"/>
            <w:vAlign w:val="bottom"/>
            <w:shd w:val="clear" w:color="auto" w:fill="D0EBF2"/>
          </w:tcPr>
          <w:p>
            <w:pPr>
              <w:spacing w:after="0"/>
              <w:rPr>
                <w:sz w:val="16"/>
                <w:szCs w:val="16"/>
                <w:color w:val="auto"/>
              </w:rPr>
            </w:pPr>
          </w:p>
        </w:tc>
        <w:tc>
          <w:tcPr>
            <w:tcW w:w="100" w:type="dxa"/>
            <w:vAlign w:val="bottom"/>
            <w:shd w:val="clear" w:color="auto" w:fill="D0EBF2"/>
          </w:tcPr>
          <w:p>
            <w:pPr>
              <w:spacing w:after="0"/>
              <w:rPr>
                <w:sz w:val="16"/>
                <w:szCs w:val="16"/>
                <w:color w:val="auto"/>
              </w:rPr>
            </w:pPr>
          </w:p>
        </w:tc>
        <w:tc>
          <w:tcPr>
            <w:tcW w:w="860" w:type="dxa"/>
            <w:vAlign w:val="bottom"/>
            <w:shd w:val="clear" w:color="auto" w:fill="D0EBF2"/>
          </w:tcPr>
          <w:p>
            <w:pPr>
              <w:spacing w:after="0"/>
              <w:rPr>
                <w:sz w:val="16"/>
                <w:szCs w:val="16"/>
                <w:color w:val="auto"/>
              </w:rPr>
            </w:pPr>
          </w:p>
        </w:tc>
      </w:tr>
      <w:tr>
        <w:trPr>
          <w:trHeight w:val="171"/>
        </w:trPr>
        <w:tc>
          <w:tcPr>
            <w:tcW w:w="1580" w:type="dxa"/>
            <w:vAlign w:val="bottom"/>
            <w:shd w:val="clear" w:color="auto" w:fill="FDFDFC"/>
          </w:tcPr>
          <w:p>
            <w:pPr>
              <w:spacing w:after="0" w:line="172" w:lineRule="exact"/>
              <w:rPr>
                <w:sz w:val="20"/>
                <w:szCs w:val="20"/>
                <w:color w:val="auto"/>
              </w:rPr>
            </w:pPr>
            <w:r>
              <w:rPr>
                <w:rFonts w:ascii="Times New Roman" w:cs="Times New Roman" w:eastAsia="Times New Roman" w:hAnsi="Times New Roman"/>
                <w:sz w:val="15"/>
                <w:szCs w:val="15"/>
                <w:color w:val="231F20"/>
              </w:rPr>
              <w:t>Flight Intermediate</w:t>
            </w:r>
          </w:p>
        </w:tc>
        <w:tc>
          <w:tcPr>
            <w:tcW w:w="2200" w:type="dxa"/>
            <w:vAlign w:val="bottom"/>
            <w:shd w:val="clear" w:color="auto" w:fill="FDFDFC"/>
          </w:tcPr>
          <w:p>
            <w:pPr>
              <w:ind w:left="60"/>
              <w:spacing w:after="0" w:line="172" w:lineRule="exact"/>
              <w:rPr>
                <w:sz w:val="20"/>
                <w:szCs w:val="20"/>
                <w:color w:val="auto"/>
              </w:rPr>
            </w:pPr>
            <w:r>
              <w:rPr>
                <w:rFonts w:ascii="Times New Roman" w:cs="Times New Roman" w:eastAsia="Times New Roman" w:hAnsi="Times New Roman"/>
                <w:sz w:val="15"/>
                <w:szCs w:val="15"/>
                <w:color w:val="231F20"/>
              </w:rPr>
              <w:t>First-lien loan ($40,000 par, due</w:t>
            </w:r>
          </w:p>
        </w:tc>
        <w:tc>
          <w:tcPr>
            <w:tcW w:w="800" w:type="dxa"/>
            <w:vAlign w:val="bottom"/>
            <w:shd w:val="clear" w:color="auto" w:fill="FDFDFC"/>
          </w:tcPr>
          <w:p>
            <w:pPr>
              <w:jc w:val="right"/>
              <w:spacing w:after="0" w:line="172" w:lineRule="exact"/>
              <w:rPr>
                <w:sz w:val="20"/>
                <w:szCs w:val="20"/>
                <w:color w:val="auto"/>
              </w:rPr>
            </w:pPr>
            <w:r>
              <w:rPr>
                <w:rFonts w:ascii="Times New Roman" w:cs="Times New Roman" w:eastAsia="Times New Roman" w:hAnsi="Times New Roman"/>
                <w:sz w:val="15"/>
                <w:szCs w:val="15"/>
                <w:color w:val="231F20"/>
              </w:rPr>
              <w:t>10/3/2024</w:t>
            </w:r>
          </w:p>
        </w:tc>
        <w:tc>
          <w:tcPr>
            <w:tcW w:w="1000" w:type="dxa"/>
            <w:vAlign w:val="bottom"/>
            <w:shd w:val="clear" w:color="auto" w:fill="FDFDFC"/>
          </w:tcPr>
          <w:p>
            <w:pPr>
              <w:jc w:val="right"/>
              <w:ind w:right="44"/>
              <w:spacing w:after="0" w:line="172" w:lineRule="exact"/>
              <w:rPr>
                <w:sz w:val="20"/>
                <w:szCs w:val="20"/>
                <w:color w:val="auto"/>
              </w:rPr>
            </w:pPr>
            <w:r>
              <w:rPr>
                <w:rFonts w:ascii="Times New Roman" w:cs="Times New Roman" w:eastAsia="Times New Roman" w:hAnsi="Times New Roman"/>
                <w:sz w:val="15"/>
                <w:szCs w:val="15"/>
                <w:color w:val="231F20"/>
              </w:rPr>
              <w:t>11.50%</w:t>
            </w:r>
          </w:p>
        </w:tc>
        <w:tc>
          <w:tcPr>
            <w:tcW w:w="1060" w:type="dxa"/>
            <w:vAlign w:val="bottom"/>
            <w:shd w:val="clear" w:color="auto" w:fill="FDFDFC"/>
          </w:tcPr>
          <w:p>
            <w:pPr>
              <w:jc w:val="right"/>
              <w:ind w:right="64"/>
              <w:spacing w:after="0" w:line="172" w:lineRule="exact"/>
              <w:rPr>
                <w:sz w:val="20"/>
                <w:szCs w:val="20"/>
                <w:color w:val="auto"/>
              </w:rPr>
            </w:pPr>
            <w:r>
              <w:rPr>
                <w:rFonts w:ascii="Times New Roman" w:cs="Times New Roman" w:eastAsia="Times New Roman" w:hAnsi="Times New Roman"/>
                <w:sz w:val="15"/>
                <w:szCs w:val="15"/>
                <w:color w:val="231F20"/>
              </w:rPr>
              <w:t>11.50%</w:t>
            </w:r>
          </w:p>
        </w:tc>
        <w:tc>
          <w:tcPr>
            <w:tcW w:w="1000" w:type="dxa"/>
            <w:vAlign w:val="bottom"/>
            <w:shd w:val="clear" w:color="auto" w:fill="FDFDFC"/>
          </w:tcPr>
          <w:p>
            <w:pPr>
              <w:jc w:val="right"/>
              <w:spacing w:after="0" w:line="172" w:lineRule="exact"/>
              <w:rPr>
                <w:sz w:val="20"/>
                <w:szCs w:val="20"/>
                <w:color w:val="auto"/>
              </w:rPr>
            </w:pPr>
            <w:r>
              <w:rPr>
                <w:rFonts w:ascii="Times New Roman" w:cs="Times New Roman" w:eastAsia="Times New Roman" w:hAnsi="Times New Roman"/>
                <w:sz w:val="15"/>
                <w:szCs w:val="15"/>
                <w:color w:val="231F20"/>
              </w:rPr>
              <w:t>38,851</w:t>
            </w:r>
          </w:p>
        </w:tc>
        <w:tc>
          <w:tcPr>
            <w:tcW w:w="1680" w:type="dxa"/>
            <w:vAlign w:val="bottom"/>
            <w:gridSpan w:val="2"/>
            <w:shd w:val="clear" w:color="auto" w:fill="FDFDFC"/>
          </w:tcPr>
          <w:p>
            <w:pPr>
              <w:jc w:val="right"/>
              <w:spacing w:after="0" w:line="172" w:lineRule="exact"/>
              <w:rPr>
                <w:sz w:val="20"/>
                <w:szCs w:val="20"/>
                <w:color w:val="auto"/>
              </w:rPr>
            </w:pPr>
            <w:r>
              <w:rPr>
                <w:rFonts w:ascii="Times New Roman" w:cs="Times New Roman" w:eastAsia="Times New Roman" w:hAnsi="Times New Roman"/>
                <w:sz w:val="15"/>
                <w:szCs w:val="15"/>
                <w:color w:val="231F20"/>
              </w:rPr>
              <w:t>38,900</w:t>
            </w:r>
          </w:p>
        </w:tc>
        <w:tc>
          <w:tcPr>
            <w:tcW w:w="960" w:type="dxa"/>
            <w:vAlign w:val="bottom"/>
            <w:gridSpan w:val="2"/>
            <w:shd w:val="clear" w:color="auto" w:fill="FDFDFC"/>
          </w:tcPr>
          <w:p>
            <w:pPr>
              <w:jc w:val="right"/>
              <w:spacing w:after="0" w:line="172" w:lineRule="exact"/>
              <w:rPr>
                <w:sz w:val="20"/>
                <w:szCs w:val="20"/>
                <w:color w:val="auto"/>
              </w:rPr>
            </w:pPr>
            <w:r>
              <w:rPr>
                <w:rFonts w:ascii="Times New Roman" w:cs="Times New Roman" w:eastAsia="Times New Roman" w:hAnsi="Times New Roman"/>
                <w:sz w:val="15"/>
                <w:szCs w:val="15"/>
                <w:color w:val="231F20"/>
              </w:rPr>
              <w:t>2.4%</w:t>
            </w:r>
          </w:p>
        </w:tc>
      </w:tr>
      <w:tr>
        <w:trPr>
          <w:trHeight w:val="189"/>
        </w:trPr>
        <w:tc>
          <w:tcPr>
            <w:tcW w:w="1580" w:type="dxa"/>
            <w:vAlign w:val="bottom"/>
            <w:shd w:val="clear" w:color="auto" w:fill="FDFDFC"/>
          </w:tcPr>
          <w:p>
            <w:pPr>
              <w:spacing w:after="0"/>
              <w:rPr>
                <w:sz w:val="20"/>
                <w:szCs w:val="20"/>
                <w:color w:val="auto"/>
              </w:rPr>
            </w:pPr>
            <w:r>
              <w:rPr>
                <w:rFonts w:ascii="Times New Roman" w:cs="Times New Roman" w:eastAsia="Times New Roman" w:hAnsi="Times New Roman"/>
                <w:sz w:val="15"/>
                <w:szCs w:val="15"/>
                <w:color w:val="231F20"/>
              </w:rPr>
              <w:t>HoldCo, Inc.</w:t>
            </w:r>
          </w:p>
        </w:tc>
        <w:tc>
          <w:tcPr>
            <w:tcW w:w="2200" w:type="dxa"/>
            <w:vAlign w:val="bottom"/>
            <w:shd w:val="clear" w:color="auto" w:fill="FDFDFC"/>
          </w:tcPr>
          <w:p>
            <w:pPr>
              <w:ind w:left="60"/>
              <w:spacing w:after="0"/>
              <w:rPr>
                <w:sz w:val="20"/>
                <w:szCs w:val="20"/>
                <w:color w:val="auto"/>
              </w:rPr>
            </w:pPr>
            <w:r>
              <w:rPr>
                <w:rFonts w:ascii="Times New Roman" w:cs="Times New Roman" w:eastAsia="Times New Roman" w:hAnsi="Times New Roman"/>
                <w:sz w:val="15"/>
                <w:szCs w:val="15"/>
                <w:color w:val="231F20"/>
              </w:rPr>
              <w:t>4/2030)</w:t>
            </w:r>
          </w:p>
        </w:tc>
        <w:tc>
          <w:tcPr>
            <w:tcW w:w="800" w:type="dxa"/>
            <w:vAlign w:val="bottom"/>
            <w:shd w:val="clear" w:color="auto" w:fill="FDFDFC"/>
          </w:tcPr>
          <w:p>
            <w:pPr>
              <w:spacing w:after="0"/>
              <w:rPr>
                <w:sz w:val="16"/>
                <w:szCs w:val="16"/>
                <w:color w:val="auto"/>
              </w:rPr>
            </w:pPr>
          </w:p>
        </w:tc>
        <w:tc>
          <w:tcPr>
            <w:tcW w:w="1000" w:type="dxa"/>
            <w:vAlign w:val="bottom"/>
            <w:shd w:val="clear" w:color="auto" w:fill="FDFDFC"/>
          </w:tcPr>
          <w:p>
            <w:pPr>
              <w:spacing w:after="0"/>
              <w:rPr>
                <w:sz w:val="16"/>
                <w:szCs w:val="16"/>
                <w:color w:val="auto"/>
              </w:rPr>
            </w:pPr>
          </w:p>
        </w:tc>
        <w:tc>
          <w:tcPr>
            <w:tcW w:w="1060" w:type="dxa"/>
            <w:vAlign w:val="bottom"/>
            <w:shd w:val="clear" w:color="auto" w:fill="FDFDFC"/>
          </w:tcPr>
          <w:p>
            <w:pPr>
              <w:spacing w:after="0"/>
              <w:rPr>
                <w:sz w:val="16"/>
                <w:szCs w:val="16"/>
                <w:color w:val="auto"/>
              </w:rPr>
            </w:pPr>
          </w:p>
        </w:tc>
        <w:tc>
          <w:tcPr>
            <w:tcW w:w="1000" w:type="dxa"/>
            <w:vAlign w:val="bottom"/>
            <w:shd w:val="clear" w:color="auto" w:fill="FDFDFC"/>
          </w:tcPr>
          <w:p>
            <w:pPr>
              <w:spacing w:after="0"/>
              <w:rPr>
                <w:sz w:val="16"/>
                <w:szCs w:val="16"/>
                <w:color w:val="auto"/>
              </w:rPr>
            </w:pPr>
          </w:p>
        </w:tc>
        <w:tc>
          <w:tcPr>
            <w:tcW w:w="80" w:type="dxa"/>
            <w:vAlign w:val="bottom"/>
            <w:shd w:val="clear" w:color="auto" w:fill="FDFDFC"/>
          </w:tcPr>
          <w:p>
            <w:pPr>
              <w:spacing w:after="0"/>
              <w:rPr>
                <w:sz w:val="16"/>
                <w:szCs w:val="16"/>
                <w:color w:val="auto"/>
              </w:rPr>
            </w:pPr>
          </w:p>
        </w:tc>
        <w:tc>
          <w:tcPr>
            <w:tcW w:w="1600" w:type="dxa"/>
            <w:vAlign w:val="bottom"/>
            <w:shd w:val="clear" w:color="auto" w:fill="FDFDFC"/>
          </w:tcPr>
          <w:p>
            <w:pPr>
              <w:spacing w:after="0"/>
              <w:rPr>
                <w:sz w:val="16"/>
                <w:szCs w:val="16"/>
                <w:color w:val="auto"/>
              </w:rPr>
            </w:pPr>
          </w:p>
        </w:tc>
        <w:tc>
          <w:tcPr>
            <w:tcW w:w="100" w:type="dxa"/>
            <w:vAlign w:val="bottom"/>
            <w:shd w:val="clear" w:color="auto" w:fill="FDFDFC"/>
          </w:tcPr>
          <w:p>
            <w:pPr>
              <w:spacing w:after="0"/>
              <w:rPr>
                <w:sz w:val="16"/>
                <w:szCs w:val="16"/>
                <w:color w:val="auto"/>
              </w:rPr>
            </w:pPr>
          </w:p>
        </w:tc>
        <w:tc>
          <w:tcPr>
            <w:tcW w:w="860" w:type="dxa"/>
            <w:vAlign w:val="bottom"/>
            <w:shd w:val="clear" w:color="auto" w:fill="FDFDFC"/>
          </w:tcPr>
          <w:p>
            <w:pPr>
              <w:spacing w:after="0"/>
              <w:rPr>
                <w:sz w:val="16"/>
                <w:szCs w:val="16"/>
                <w:color w:val="auto"/>
              </w:rPr>
            </w:pPr>
          </w:p>
        </w:tc>
      </w:tr>
      <w:tr>
        <w:trPr>
          <w:trHeight w:val="171"/>
        </w:trPr>
        <w:tc>
          <w:tcPr>
            <w:tcW w:w="1580" w:type="dxa"/>
            <w:vAlign w:val="bottom"/>
            <w:shd w:val="clear" w:color="auto" w:fill="D0EBF2"/>
          </w:tcPr>
          <w:p>
            <w:pPr>
              <w:spacing w:after="0" w:line="172" w:lineRule="exact"/>
              <w:rPr>
                <w:sz w:val="20"/>
                <w:szCs w:val="20"/>
                <w:color w:val="auto"/>
              </w:rPr>
            </w:pPr>
            <w:r>
              <w:rPr>
                <w:rFonts w:ascii="Times New Roman" w:cs="Times New Roman" w:eastAsia="Times New Roman" w:hAnsi="Times New Roman"/>
                <w:sz w:val="15"/>
                <w:szCs w:val="15"/>
                <w:color w:val="231F20"/>
              </w:rPr>
              <w:t xml:space="preserve">Higher Logic, LLC </w:t>
            </w:r>
            <w:r>
              <w:rPr>
                <w:rFonts w:ascii="Times New Roman" w:cs="Times New Roman" w:eastAsia="Times New Roman" w:hAnsi="Times New Roman"/>
                <w:sz w:val="9"/>
                <w:szCs w:val="9"/>
                <w:color w:val="231F20"/>
              </w:rPr>
              <w:t>(3)(5)</w:t>
            </w:r>
          </w:p>
        </w:tc>
        <w:tc>
          <w:tcPr>
            <w:tcW w:w="2200" w:type="dxa"/>
            <w:vAlign w:val="bottom"/>
            <w:shd w:val="clear" w:color="auto" w:fill="D0EBF2"/>
          </w:tcPr>
          <w:p>
            <w:pPr>
              <w:ind w:left="60"/>
              <w:spacing w:after="0" w:line="172" w:lineRule="exact"/>
              <w:rPr>
                <w:sz w:val="20"/>
                <w:szCs w:val="20"/>
                <w:color w:val="auto"/>
              </w:rPr>
            </w:pPr>
            <w:r>
              <w:rPr>
                <w:rFonts w:ascii="Times New Roman" w:cs="Times New Roman" w:eastAsia="Times New Roman" w:hAnsi="Times New Roman"/>
                <w:sz w:val="15"/>
                <w:szCs w:val="15"/>
                <w:color w:val="231F20"/>
              </w:rPr>
              <w:t>First-lien loan ($50,054 par, due</w:t>
            </w:r>
          </w:p>
        </w:tc>
        <w:tc>
          <w:tcPr>
            <w:tcW w:w="800" w:type="dxa"/>
            <w:vAlign w:val="bottom"/>
            <w:shd w:val="clear" w:color="auto" w:fill="D0EBF2"/>
          </w:tcPr>
          <w:p>
            <w:pPr>
              <w:jc w:val="right"/>
              <w:spacing w:after="0" w:line="172" w:lineRule="exact"/>
              <w:rPr>
                <w:sz w:val="20"/>
                <w:szCs w:val="20"/>
                <w:color w:val="auto"/>
              </w:rPr>
            </w:pPr>
            <w:r>
              <w:rPr>
                <w:rFonts w:ascii="Times New Roman" w:cs="Times New Roman" w:eastAsia="Times New Roman" w:hAnsi="Times New Roman"/>
                <w:sz w:val="15"/>
                <w:szCs w:val="15"/>
                <w:color w:val="231F20"/>
              </w:rPr>
              <w:t>6/18/2018</w:t>
            </w:r>
          </w:p>
        </w:tc>
        <w:tc>
          <w:tcPr>
            <w:tcW w:w="1000" w:type="dxa"/>
            <w:vAlign w:val="bottom"/>
            <w:shd w:val="clear" w:color="auto" w:fill="D0EBF2"/>
          </w:tcPr>
          <w:p>
            <w:pPr>
              <w:jc w:val="right"/>
              <w:ind w:right="44"/>
              <w:spacing w:after="0" w:line="172" w:lineRule="exact"/>
              <w:rPr>
                <w:sz w:val="20"/>
                <w:szCs w:val="20"/>
                <w:color w:val="auto"/>
              </w:rPr>
            </w:pPr>
            <w:r>
              <w:rPr>
                <w:rFonts w:ascii="Times New Roman" w:cs="Times New Roman" w:eastAsia="Times New Roman" w:hAnsi="Times New Roman"/>
                <w:sz w:val="15"/>
                <w:szCs w:val="15"/>
                <w:color w:val="231F20"/>
              </w:rPr>
              <w:t>SOFR +</w:t>
            </w:r>
          </w:p>
        </w:tc>
        <w:tc>
          <w:tcPr>
            <w:tcW w:w="1060" w:type="dxa"/>
            <w:vAlign w:val="bottom"/>
            <w:shd w:val="clear" w:color="auto" w:fill="D0EBF2"/>
          </w:tcPr>
          <w:p>
            <w:pPr>
              <w:jc w:val="right"/>
              <w:ind w:right="64"/>
              <w:spacing w:after="0" w:line="172" w:lineRule="exact"/>
              <w:rPr>
                <w:sz w:val="20"/>
                <w:szCs w:val="20"/>
                <w:color w:val="auto"/>
              </w:rPr>
            </w:pPr>
            <w:r>
              <w:rPr>
                <w:rFonts w:ascii="Times New Roman" w:cs="Times New Roman" w:eastAsia="Times New Roman" w:hAnsi="Times New Roman"/>
                <w:sz w:val="15"/>
                <w:szCs w:val="15"/>
                <w:color w:val="231F20"/>
              </w:rPr>
              <w:t>10.61%</w:t>
            </w:r>
          </w:p>
        </w:tc>
        <w:tc>
          <w:tcPr>
            <w:tcW w:w="1000" w:type="dxa"/>
            <w:vAlign w:val="bottom"/>
            <w:shd w:val="clear" w:color="auto" w:fill="D0EBF2"/>
          </w:tcPr>
          <w:p>
            <w:pPr>
              <w:jc w:val="right"/>
              <w:spacing w:after="0" w:line="172" w:lineRule="exact"/>
              <w:rPr>
                <w:sz w:val="20"/>
                <w:szCs w:val="20"/>
                <w:color w:val="auto"/>
              </w:rPr>
            </w:pPr>
            <w:r>
              <w:rPr>
                <w:rFonts w:ascii="Times New Roman" w:cs="Times New Roman" w:eastAsia="Times New Roman" w:hAnsi="Times New Roman"/>
                <w:sz w:val="15"/>
                <w:szCs w:val="15"/>
                <w:color w:val="231F20"/>
              </w:rPr>
              <w:t>50,047</w:t>
            </w:r>
          </w:p>
        </w:tc>
        <w:tc>
          <w:tcPr>
            <w:tcW w:w="1680" w:type="dxa"/>
            <w:vAlign w:val="bottom"/>
            <w:gridSpan w:val="2"/>
            <w:shd w:val="clear" w:color="auto" w:fill="D0EBF2"/>
          </w:tcPr>
          <w:p>
            <w:pPr>
              <w:jc w:val="right"/>
              <w:spacing w:after="0" w:line="172" w:lineRule="exact"/>
              <w:rPr>
                <w:sz w:val="20"/>
                <w:szCs w:val="20"/>
                <w:color w:val="auto"/>
              </w:rPr>
            </w:pPr>
            <w:r>
              <w:rPr>
                <w:rFonts w:ascii="Times New Roman" w:cs="Times New Roman" w:eastAsia="Times New Roman" w:hAnsi="Times New Roman"/>
                <w:sz w:val="15"/>
                <w:szCs w:val="15"/>
                <w:color w:val="231F20"/>
              </w:rPr>
              <w:t>50,054</w:t>
            </w:r>
          </w:p>
        </w:tc>
        <w:tc>
          <w:tcPr>
            <w:tcW w:w="960" w:type="dxa"/>
            <w:vAlign w:val="bottom"/>
            <w:gridSpan w:val="2"/>
            <w:shd w:val="clear" w:color="auto" w:fill="D0EBF2"/>
          </w:tcPr>
          <w:p>
            <w:pPr>
              <w:jc w:val="right"/>
              <w:spacing w:after="0" w:line="172" w:lineRule="exact"/>
              <w:rPr>
                <w:sz w:val="20"/>
                <w:szCs w:val="20"/>
                <w:color w:val="auto"/>
              </w:rPr>
            </w:pPr>
            <w:r>
              <w:rPr>
                <w:rFonts w:ascii="Times New Roman" w:cs="Times New Roman" w:eastAsia="Times New Roman" w:hAnsi="Times New Roman"/>
                <w:sz w:val="15"/>
                <w:szCs w:val="15"/>
                <w:color w:val="231F20"/>
              </w:rPr>
              <w:t>3.1%</w:t>
            </w:r>
          </w:p>
        </w:tc>
      </w:tr>
      <w:tr>
        <w:trPr>
          <w:trHeight w:val="189"/>
        </w:trPr>
        <w:tc>
          <w:tcPr>
            <w:tcW w:w="1580" w:type="dxa"/>
            <w:vAlign w:val="bottom"/>
            <w:shd w:val="clear" w:color="auto" w:fill="D0EBF2"/>
          </w:tcPr>
          <w:p>
            <w:pPr>
              <w:spacing w:after="0"/>
              <w:rPr>
                <w:sz w:val="16"/>
                <w:szCs w:val="16"/>
                <w:color w:val="auto"/>
              </w:rPr>
            </w:pPr>
          </w:p>
        </w:tc>
        <w:tc>
          <w:tcPr>
            <w:tcW w:w="2200" w:type="dxa"/>
            <w:vAlign w:val="bottom"/>
            <w:shd w:val="clear" w:color="auto" w:fill="D0EBF2"/>
          </w:tcPr>
          <w:p>
            <w:pPr>
              <w:ind w:left="60"/>
              <w:spacing w:after="0"/>
              <w:rPr>
                <w:sz w:val="20"/>
                <w:szCs w:val="20"/>
                <w:color w:val="auto"/>
              </w:rPr>
            </w:pPr>
            <w:r>
              <w:rPr>
                <w:rFonts w:ascii="Times New Roman" w:cs="Times New Roman" w:eastAsia="Times New Roman" w:hAnsi="Times New Roman"/>
                <w:sz w:val="15"/>
                <w:szCs w:val="15"/>
                <w:color w:val="231F20"/>
              </w:rPr>
              <w:t>1/2025)</w:t>
            </w:r>
          </w:p>
        </w:tc>
        <w:tc>
          <w:tcPr>
            <w:tcW w:w="800" w:type="dxa"/>
            <w:vAlign w:val="bottom"/>
            <w:shd w:val="clear" w:color="auto" w:fill="D0EBF2"/>
          </w:tcPr>
          <w:p>
            <w:pPr>
              <w:spacing w:after="0"/>
              <w:rPr>
                <w:sz w:val="16"/>
                <w:szCs w:val="16"/>
                <w:color w:val="auto"/>
              </w:rPr>
            </w:pPr>
          </w:p>
        </w:tc>
        <w:tc>
          <w:tcPr>
            <w:tcW w:w="1000" w:type="dxa"/>
            <w:vAlign w:val="bottom"/>
            <w:shd w:val="clear" w:color="auto" w:fill="D0EBF2"/>
          </w:tcPr>
          <w:p>
            <w:pPr>
              <w:jc w:val="right"/>
              <w:ind w:right="44"/>
              <w:spacing w:after="0"/>
              <w:rPr>
                <w:sz w:val="20"/>
                <w:szCs w:val="20"/>
                <w:color w:val="auto"/>
              </w:rPr>
            </w:pPr>
            <w:r>
              <w:rPr>
                <w:rFonts w:ascii="Times New Roman" w:cs="Times New Roman" w:eastAsia="Times New Roman" w:hAnsi="Times New Roman"/>
                <w:sz w:val="15"/>
                <w:szCs w:val="15"/>
                <w:color w:val="231F20"/>
              </w:rPr>
              <w:t>6.25%</w:t>
            </w:r>
          </w:p>
        </w:tc>
        <w:tc>
          <w:tcPr>
            <w:tcW w:w="1060" w:type="dxa"/>
            <w:vAlign w:val="bottom"/>
            <w:shd w:val="clear" w:color="auto" w:fill="D0EBF2"/>
          </w:tcPr>
          <w:p>
            <w:pPr>
              <w:spacing w:after="0"/>
              <w:rPr>
                <w:sz w:val="16"/>
                <w:szCs w:val="16"/>
                <w:color w:val="auto"/>
              </w:rPr>
            </w:pPr>
          </w:p>
        </w:tc>
        <w:tc>
          <w:tcPr>
            <w:tcW w:w="1000" w:type="dxa"/>
            <w:vAlign w:val="bottom"/>
            <w:shd w:val="clear" w:color="auto" w:fill="D0EBF2"/>
          </w:tcPr>
          <w:p>
            <w:pPr>
              <w:spacing w:after="0"/>
              <w:rPr>
                <w:sz w:val="16"/>
                <w:szCs w:val="16"/>
                <w:color w:val="auto"/>
              </w:rPr>
            </w:pPr>
          </w:p>
        </w:tc>
        <w:tc>
          <w:tcPr>
            <w:tcW w:w="80" w:type="dxa"/>
            <w:vAlign w:val="bottom"/>
            <w:shd w:val="clear" w:color="auto" w:fill="D0EBF2"/>
          </w:tcPr>
          <w:p>
            <w:pPr>
              <w:spacing w:after="0"/>
              <w:rPr>
                <w:sz w:val="16"/>
                <w:szCs w:val="16"/>
                <w:color w:val="auto"/>
              </w:rPr>
            </w:pPr>
          </w:p>
        </w:tc>
        <w:tc>
          <w:tcPr>
            <w:tcW w:w="1600" w:type="dxa"/>
            <w:vAlign w:val="bottom"/>
            <w:shd w:val="clear" w:color="auto" w:fill="D0EBF2"/>
          </w:tcPr>
          <w:p>
            <w:pPr>
              <w:spacing w:after="0"/>
              <w:rPr>
                <w:sz w:val="16"/>
                <w:szCs w:val="16"/>
                <w:color w:val="auto"/>
              </w:rPr>
            </w:pPr>
          </w:p>
        </w:tc>
        <w:tc>
          <w:tcPr>
            <w:tcW w:w="100" w:type="dxa"/>
            <w:vAlign w:val="bottom"/>
            <w:shd w:val="clear" w:color="auto" w:fill="D0EBF2"/>
          </w:tcPr>
          <w:p>
            <w:pPr>
              <w:spacing w:after="0"/>
              <w:rPr>
                <w:sz w:val="16"/>
                <w:szCs w:val="16"/>
                <w:color w:val="auto"/>
              </w:rPr>
            </w:pPr>
          </w:p>
        </w:tc>
        <w:tc>
          <w:tcPr>
            <w:tcW w:w="860" w:type="dxa"/>
            <w:vAlign w:val="bottom"/>
            <w:shd w:val="clear" w:color="auto" w:fill="D0EBF2"/>
          </w:tcPr>
          <w:p>
            <w:pPr>
              <w:spacing w:after="0"/>
              <w:rPr>
                <w:sz w:val="16"/>
                <w:szCs w:val="16"/>
                <w:color w:val="auto"/>
              </w:rPr>
            </w:pPr>
          </w:p>
        </w:tc>
      </w:tr>
      <w:tr>
        <w:trPr>
          <w:trHeight w:val="171"/>
        </w:trPr>
        <w:tc>
          <w:tcPr>
            <w:tcW w:w="1580" w:type="dxa"/>
            <w:vAlign w:val="bottom"/>
            <w:shd w:val="clear" w:color="auto" w:fill="FDFDFC"/>
          </w:tcPr>
          <w:p>
            <w:pPr>
              <w:spacing w:after="0" w:line="172" w:lineRule="exact"/>
              <w:rPr>
                <w:sz w:val="20"/>
                <w:szCs w:val="20"/>
                <w:color w:val="auto"/>
              </w:rPr>
            </w:pPr>
            <w:r>
              <w:rPr>
                <w:rFonts w:ascii="Times New Roman" w:cs="Times New Roman" w:eastAsia="Times New Roman" w:hAnsi="Times New Roman"/>
                <w:sz w:val="15"/>
                <w:szCs w:val="15"/>
                <w:color w:val="231F20"/>
              </w:rPr>
              <w:t>Hippo XPA Bidco AB</w:t>
            </w:r>
          </w:p>
        </w:tc>
        <w:tc>
          <w:tcPr>
            <w:tcW w:w="2200" w:type="dxa"/>
            <w:vAlign w:val="bottom"/>
            <w:shd w:val="clear" w:color="auto" w:fill="FDFDFC"/>
          </w:tcPr>
          <w:p>
            <w:pPr>
              <w:ind w:left="60"/>
              <w:spacing w:after="0" w:line="172" w:lineRule="exact"/>
              <w:rPr>
                <w:sz w:val="20"/>
                <w:szCs w:val="20"/>
                <w:color w:val="auto"/>
              </w:rPr>
            </w:pPr>
            <w:r>
              <w:rPr>
                <w:rFonts w:ascii="Times New Roman" w:cs="Times New Roman" w:eastAsia="Times New Roman" w:hAnsi="Times New Roman"/>
                <w:sz w:val="15"/>
                <w:szCs w:val="15"/>
                <w:color w:val="231F20"/>
              </w:rPr>
              <w:t>First-lien loan (SEK 80,225 par,</w:t>
            </w:r>
          </w:p>
        </w:tc>
        <w:tc>
          <w:tcPr>
            <w:tcW w:w="800" w:type="dxa"/>
            <w:vAlign w:val="bottom"/>
            <w:shd w:val="clear" w:color="auto" w:fill="FDFDFC"/>
          </w:tcPr>
          <w:p>
            <w:pPr>
              <w:jc w:val="right"/>
              <w:spacing w:after="0" w:line="172" w:lineRule="exact"/>
              <w:rPr>
                <w:sz w:val="20"/>
                <w:szCs w:val="20"/>
                <w:color w:val="auto"/>
              </w:rPr>
            </w:pPr>
            <w:r>
              <w:rPr>
                <w:rFonts w:ascii="Times New Roman" w:cs="Times New Roman" w:eastAsia="Times New Roman" w:hAnsi="Times New Roman"/>
                <w:sz w:val="15"/>
                <w:szCs w:val="15"/>
                <w:color w:val="231F20"/>
              </w:rPr>
              <w:t>2/20/2024</w:t>
            </w:r>
          </w:p>
        </w:tc>
        <w:tc>
          <w:tcPr>
            <w:tcW w:w="1000" w:type="dxa"/>
            <w:vAlign w:val="bottom"/>
            <w:shd w:val="clear" w:color="auto" w:fill="FDFDFC"/>
          </w:tcPr>
          <w:p>
            <w:pPr>
              <w:jc w:val="right"/>
              <w:ind w:right="44"/>
              <w:spacing w:after="0" w:line="172" w:lineRule="exact"/>
              <w:rPr>
                <w:sz w:val="20"/>
                <w:szCs w:val="20"/>
                <w:color w:val="auto"/>
              </w:rPr>
            </w:pPr>
            <w:r>
              <w:rPr>
                <w:rFonts w:ascii="Times New Roman" w:cs="Times New Roman" w:eastAsia="Times New Roman" w:hAnsi="Times New Roman"/>
                <w:sz w:val="15"/>
                <w:szCs w:val="15"/>
                <w:color w:val="231F20"/>
              </w:rPr>
              <w:t>STIBOR +</w:t>
            </w:r>
          </w:p>
        </w:tc>
        <w:tc>
          <w:tcPr>
            <w:tcW w:w="1060" w:type="dxa"/>
            <w:vAlign w:val="bottom"/>
            <w:shd w:val="clear" w:color="auto" w:fill="FDFDFC"/>
          </w:tcPr>
          <w:p>
            <w:pPr>
              <w:jc w:val="right"/>
              <w:ind w:right="64"/>
              <w:spacing w:after="0" w:line="172" w:lineRule="exact"/>
              <w:rPr>
                <w:sz w:val="20"/>
                <w:szCs w:val="20"/>
                <w:color w:val="auto"/>
              </w:rPr>
            </w:pPr>
            <w:r>
              <w:rPr>
                <w:rFonts w:ascii="Times New Roman" w:cs="Times New Roman" w:eastAsia="Times New Roman" w:hAnsi="Times New Roman"/>
                <w:sz w:val="15"/>
                <w:szCs w:val="15"/>
                <w:color w:val="231F20"/>
              </w:rPr>
              <w:t>9.16% (incl.</w:t>
            </w:r>
          </w:p>
        </w:tc>
        <w:tc>
          <w:tcPr>
            <w:tcW w:w="1000" w:type="dxa"/>
            <w:vAlign w:val="bottom"/>
            <w:shd w:val="clear" w:color="auto" w:fill="FDFDFC"/>
          </w:tcPr>
          <w:p>
            <w:pPr>
              <w:jc w:val="right"/>
              <w:spacing w:after="0" w:line="172" w:lineRule="exact"/>
              <w:rPr>
                <w:sz w:val="20"/>
                <w:szCs w:val="20"/>
                <w:color w:val="auto"/>
              </w:rPr>
            </w:pPr>
            <w:r>
              <w:rPr>
                <w:rFonts w:ascii="Times New Roman" w:cs="Times New Roman" w:eastAsia="Times New Roman" w:hAnsi="Times New Roman"/>
                <w:sz w:val="15"/>
                <w:szCs w:val="15"/>
                <w:color w:val="231F20"/>
              </w:rPr>
              <w:t>7,557</w:t>
            </w:r>
          </w:p>
        </w:tc>
        <w:tc>
          <w:tcPr>
            <w:tcW w:w="1680" w:type="dxa"/>
            <w:vAlign w:val="bottom"/>
            <w:gridSpan w:val="2"/>
            <w:shd w:val="clear" w:color="auto" w:fill="FDFDFC"/>
          </w:tcPr>
          <w:p>
            <w:pPr>
              <w:jc w:val="right"/>
              <w:spacing w:after="0" w:line="172" w:lineRule="exact"/>
              <w:rPr>
                <w:sz w:val="20"/>
                <w:szCs w:val="20"/>
                <w:color w:val="auto"/>
              </w:rPr>
            </w:pPr>
            <w:r>
              <w:rPr>
                <w:rFonts w:ascii="Times New Roman" w:cs="Times New Roman" w:eastAsia="Times New Roman" w:hAnsi="Times New Roman"/>
                <w:sz w:val="15"/>
                <w:szCs w:val="15"/>
                <w:color w:val="231F20"/>
              </w:rPr>
              <w:t>7,238</w:t>
            </w:r>
          </w:p>
        </w:tc>
        <w:tc>
          <w:tcPr>
            <w:tcW w:w="960" w:type="dxa"/>
            <w:vAlign w:val="bottom"/>
            <w:gridSpan w:val="2"/>
            <w:shd w:val="clear" w:color="auto" w:fill="FDFDFC"/>
          </w:tcPr>
          <w:p>
            <w:pPr>
              <w:jc w:val="right"/>
              <w:spacing w:after="0" w:line="172" w:lineRule="exact"/>
              <w:rPr>
                <w:sz w:val="20"/>
                <w:szCs w:val="20"/>
                <w:color w:val="auto"/>
              </w:rPr>
            </w:pPr>
            <w:r>
              <w:rPr>
                <w:rFonts w:ascii="Times New Roman" w:cs="Times New Roman" w:eastAsia="Times New Roman" w:hAnsi="Times New Roman"/>
                <w:sz w:val="15"/>
                <w:szCs w:val="15"/>
                <w:color w:val="231F20"/>
              </w:rPr>
              <w:t>0.5%</w:t>
            </w:r>
          </w:p>
        </w:tc>
      </w:tr>
      <w:tr>
        <w:trPr>
          <w:trHeight w:val="189"/>
        </w:trPr>
        <w:tc>
          <w:tcPr>
            <w:tcW w:w="1580" w:type="dxa"/>
            <w:vAlign w:val="bottom"/>
            <w:shd w:val="clear" w:color="auto" w:fill="FDFDFC"/>
          </w:tcPr>
          <w:p>
            <w:pPr>
              <w:spacing w:after="0"/>
              <w:rPr>
                <w:sz w:val="20"/>
                <w:szCs w:val="20"/>
                <w:color w:val="auto"/>
              </w:rPr>
            </w:pPr>
            <w:r>
              <w:rPr>
                <w:rFonts w:ascii="Times New Roman" w:cs="Times New Roman" w:eastAsia="Times New Roman" w:hAnsi="Times New Roman"/>
                <w:sz w:val="9"/>
                <w:szCs w:val="9"/>
                <w:color w:val="231F20"/>
              </w:rPr>
              <w:t>(3)(4)</w:t>
            </w:r>
          </w:p>
        </w:tc>
        <w:tc>
          <w:tcPr>
            <w:tcW w:w="2200" w:type="dxa"/>
            <w:vAlign w:val="bottom"/>
            <w:shd w:val="clear" w:color="auto" w:fill="FDFDFC"/>
          </w:tcPr>
          <w:p>
            <w:pPr>
              <w:ind w:left="60"/>
              <w:spacing w:after="0"/>
              <w:rPr>
                <w:sz w:val="20"/>
                <w:szCs w:val="20"/>
                <w:color w:val="auto"/>
              </w:rPr>
            </w:pPr>
            <w:r>
              <w:rPr>
                <w:rFonts w:ascii="Times New Roman" w:cs="Times New Roman" w:eastAsia="Times New Roman" w:hAnsi="Times New Roman"/>
                <w:sz w:val="15"/>
                <w:szCs w:val="15"/>
                <w:color w:val="231F20"/>
              </w:rPr>
              <w:t>due 2/2031)</w:t>
            </w:r>
          </w:p>
        </w:tc>
        <w:tc>
          <w:tcPr>
            <w:tcW w:w="800" w:type="dxa"/>
            <w:vAlign w:val="bottom"/>
            <w:shd w:val="clear" w:color="auto" w:fill="FDFDFC"/>
          </w:tcPr>
          <w:p>
            <w:pPr>
              <w:spacing w:after="0"/>
              <w:rPr>
                <w:sz w:val="16"/>
                <w:szCs w:val="16"/>
                <w:color w:val="auto"/>
              </w:rPr>
            </w:pPr>
          </w:p>
        </w:tc>
        <w:tc>
          <w:tcPr>
            <w:tcW w:w="1000" w:type="dxa"/>
            <w:vAlign w:val="bottom"/>
            <w:shd w:val="clear" w:color="auto" w:fill="FDFDFC"/>
          </w:tcPr>
          <w:p>
            <w:pPr>
              <w:jc w:val="right"/>
              <w:ind w:right="44"/>
              <w:spacing w:after="0"/>
              <w:rPr>
                <w:sz w:val="20"/>
                <w:szCs w:val="20"/>
                <w:color w:val="auto"/>
              </w:rPr>
            </w:pPr>
            <w:r>
              <w:rPr>
                <w:rFonts w:ascii="Times New Roman" w:cs="Times New Roman" w:eastAsia="Times New Roman" w:hAnsi="Times New Roman"/>
                <w:sz w:val="15"/>
                <w:szCs w:val="15"/>
                <w:color w:val="231F20"/>
              </w:rPr>
              <w:t>6.50%</w:t>
            </w:r>
          </w:p>
        </w:tc>
        <w:tc>
          <w:tcPr>
            <w:tcW w:w="1060" w:type="dxa"/>
            <w:vAlign w:val="bottom"/>
            <w:shd w:val="clear" w:color="auto" w:fill="FDFDFC"/>
          </w:tcPr>
          <w:p>
            <w:pPr>
              <w:jc w:val="right"/>
              <w:ind w:right="64"/>
              <w:spacing w:after="0"/>
              <w:rPr>
                <w:sz w:val="20"/>
                <w:szCs w:val="20"/>
                <w:color w:val="auto"/>
              </w:rPr>
            </w:pPr>
            <w:r>
              <w:rPr>
                <w:rFonts w:ascii="Times New Roman" w:cs="Times New Roman" w:eastAsia="Times New Roman" w:hAnsi="Times New Roman"/>
                <w:sz w:val="15"/>
                <w:szCs w:val="15"/>
                <w:color w:val="231F20"/>
              </w:rPr>
              <w:t>3.50% PIK)</w:t>
            </w:r>
          </w:p>
        </w:tc>
        <w:tc>
          <w:tcPr>
            <w:tcW w:w="1000" w:type="dxa"/>
            <w:vAlign w:val="bottom"/>
            <w:shd w:val="clear" w:color="auto" w:fill="FDFDFC"/>
          </w:tcPr>
          <w:p>
            <w:pPr>
              <w:spacing w:after="0"/>
              <w:rPr>
                <w:sz w:val="16"/>
                <w:szCs w:val="16"/>
                <w:color w:val="auto"/>
              </w:rPr>
            </w:pPr>
          </w:p>
        </w:tc>
        <w:tc>
          <w:tcPr>
            <w:tcW w:w="80" w:type="dxa"/>
            <w:vAlign w:val="bottom"/>
            <w:shd w:val="clear" w:color="auto" w:fill="FDFDFC"/>
          </w:tcPr>
          <w:p>
            <w:pPr>
              <w:spacing w:after="0"/>
              <w:rPr>
                <w:sz w:val="16"/>
                <w:szCs w:val="16"/>
                <w:color w:val="auto"/>
              </w:rPr>
            </w:pPr>
          </w:p>
        </w:tc>
        <w:tc>
          <w:tcPr>
            <w:tcW w:w="1600" w:type="dxa"/>
            <w:vAlign w:val="bottom"/>
            <w:shd w:val="clear" w:color="auto" w:fill="FDFDFC"/>
          </w:tcPr>
          <w:p>
            <w:pPr>
              <w:jc w:val="right"/>
              <w:spacing w:after="0"/>
              <w:rPr>
                <w:sz w:val="20"/>
                <w:szCs w:val="20"/>
                <w:color w:val="auto"/>
              </w:rPr>
            </w:pPr>
            <w:r>
              <w:rPr>
                <w:rFonts w:ascii="Times New Roman" w:cs="Times New Roman" w:eastAsia="Times New Roman" w:hAnsi="Times New Roman"/>
                <w:sz w:val="15"/>
                <w:szCs w:val="15"/>
                <w:color w:val="231F20"/>
              </w:rPr>
              <w:t>(SEK 79,977)</w:t>
            </w:r>
          </w:p>
        </w:tc>
        <w:tc>
          <w:tcPr>
            <w:tcW w:w="100" w:type="dxa"/>
            <w:vAlign w:val="bottom"/>
            <w:shd w:val="clear" w:color="auto" w:fill="FDFDFC"/>
          </w:tcPr>
          <w:p>
            <w:pPr>
              <w:spacing w:after="0"/>
              <w:rPr>
                <w:sz w:val="16"/>
                <w:szCs w:val="16"/>
                <w:color w:val="auto"/>
              </w:rPr>
            </w:pPr>
          </w:p>
        </w:tc>
        <w:tc>
          <w:tcPr>
            <w:tcW w:w="860" w:type="dxa"/>
            <w:vAlign w:val="bottom"/>
            <w:shd w:val="clear" w:color="auto" w:fill="FDFDFC"/>
          </w:tcPr>
          <w:p>
            <w:pPr>
              <w:spacing w:after="0"/>
              <w:rPr>
                <w:sz w:val="16"/>
                <w:szCs w:val="16"/>
                <w:color w:val="auto"/>
              </w:rPr>
            </w:pPr>
          </w:p>
        </w:tc>
      </w:tr>
      <w:tr>
        <w:trPr>
          <w:trHeight w:val="171"/>
        </w:trPr>
        <w:tc>
          <w:tcPr>
            <w:tcW w:w="1580" w:type="dxa"/>
            <w:vAlign w:val="bottom"/>
            <w:shd w:val="clear" w:color="auto" w:fill="D0EBF2"/>
          </w:tcPr>
          <w:p>
            <w:pPr>
              <w:spacing w:after="0"/>
              <w:rPr>
                <w:sz w:val="14"/>
                <w:szCs w:val="14"/>
                <w:color w:val="auto"/>
              </w:rPr>
            </w:pPr>
          </w:p>
        </w:tc>
        <w:tc>
          <w:tcPr>
            <w:tcW w:w="2200" w:type="dxa"/>
            <w:vAlign w:val="bottom"/>
            <w:shd w:val="clear" w:color="auto" w:fill="D0EBF2"/>
          </w:tcPr>
          <w:p>
            <w:pPr>
              <w:ind w:left="60"/>
              <w:spacing w:after="0" w:line="172" w:lineRule="exact"/>
              <w:rPr>
                <w:sz w:val="20"/>
                <w:szCs w:val="20"/>
                <w:color w:val="auto"/>
              </w:rPr>
            </w:pPr>
            <w:r>
              <w:rPr>
                <w:rFonts w:ascii="Times New Roman" w:cs="Times New Roman" w:eastAsia="Times New Roman" w:hAnsi="Times New Roman"/>
                <w:sz w:val="15"/>
                <w:szCs w:val="15"/>
                <w:color w:val="231F20"/>
              </w:rPr>
              <w:t>First-lien loan (EUR 2,472 par,</w:t>
            </w:r>
          </w:p>
        </w:tc>
        <w:tc>
          <w:tcPr>
            <w:tcW w:w="800" w:type="dxa"/>
            <w:vAlign w:val="bottom"/>
            <w:shd w:val="clear" w:color="auto" w:fill="D0EBF2"/>
          </w:tcPr>
          <w:p>
            <w:pPr>
              <w:jc w:val="right"/>
              <w:spacing w:after="0" w:line="172" w:lineRule="exact"/>
              <w:rPr>
                <w:sz w:val="20"/>
                <w:szCs w:val="20"/>
                <w:color w:val="auto"/>
              </w:rPr>
            </w:pPr>
            <w:r>
              <w:rPr>
                <w:rFonts w:ascii="Times New Roman" w:cs="Times New Roman" w:eastAsia="Times New Roman" w:hAnsi="Times New Roman"/>
                <w:sz w:val="15"/>
                <w:szCs w:val="15"/>
                <w:color w:val="231F20"/>
              </w:rPr>
              <w:t>2/20/2024</w:t>
            </w:r>
          </w:p>
        </w:tc>
        <w:tc>
          <w:tcPr>
            <w:tcW w:w="1000" w:type="dxa"/>
            <w:vAlign w:val="bottom"/>
            <w:shd w:val="clear" w:color="auto" w:fill="D0EBF2"/>
          </w:tcPr>
          <w:p>
            <w:pPr>
              <w:jc w:val="right"/>
              <w:ind w:right="44"/>
              <w:spacing w:after="0" w:line="172" w:lineRule="exact"/>
              <w:rPr>
                <w:sz w:val="20"/>
                <w:szCs w:val="20"/>
                <w:color w:val="auto"/>
              </w:rPr>
            </w:pPr>
            <w:r>
              <w:rPr>
                <w:rFonts w:ascii="Times New Roman" w:cs="Times New Roman" w:eastAsia="Times New Roman" w:hAnsi="Times New Roman"/>
                <w:sz w:val="15"/>
                <w:szCs w:val="15"/>
                <w:color w:val="231F20"/>
              </w:rPr>
              <w:t>E + 6.50%</w:t>
            </w:r>
          </w:p>
        </w:tc>
        <w:tc>
          <w:tcPr>
            <w:tcW w:w="1060" w:type="dxa"/>
            <w:vAlign w:val="bottom"/>
            <w:shd w:val="clear" w:color="auto" w:fill="D0EBF2"/>
          </w:tcPr>
          <w:p>
            <w:pPr>
              <w:jc w:val="right"/>
              <w:ind w:right="64"/>
              <w:spacing w:after="0" w:line="172" w:lineRule="exact"/>
              <w:rPr>
                <w:sz w:val="20"/>
                <w:szCs w:val="20"/>
                <w:color w:val="auto"/>
              </w:rPr>
            </w:pPr>
            <w:r>
              <w:rPr>
                <w:rFonts w:ascii="Times New Roman" w:cs="Times New Roman" w:eastAsia="Times New Roman" w:hAnsi="Times New Roman"/>
                <w:sz w:val="15"/>
                <w:szCs w:val="15"/>
                <w:color w:val="231F20"/>
              </w:rPr>
              <w:t>9.87% (incl.</w:t>
            </w:r>
          </w:p>
        </w:tc>
        <w:tc>
          <w:tcPr>
            <w:tcW w:w="1000" w:type="dxa"/>
            <w:vAlign w:val="bottom"/>
            <w:shd w:val="clear" w:color="auto" w:fill="D0EBF2"/>
          </w:tcPr>
          <w:p>
            <w:pPr>
              <w:jc w:val="right"/>
              <w:spacing w:after="0" w:line="172" w:lineRule="exact"/>
              <w:rPr>
                <w:sz w:val="20"/>
                <w:szCs w:val="20"/>
                <w:color w:val="auto"/>
              </w:rPr>
            </w:pPr>
            <w:r>
              <w:rPr>
                <w:rFonts w:ascii="Times New Roman" w:cs="Times New Roman" w:eastAsia="Times New Roman" w:hAnsi="Times New Roman"/>
                <w:sz w:val="15"/>
                <w:szCs w:val="15"/>
                <w:color w:val="231F20"/>
              </w:rPr>
              <w:t>2,636</w:t>
            </w:r>
          </w:p>
        </w:tc>
        <w:tc>
          <w:tcPr>
            <w:tcW w:w="1680" w:type="dxa"/>
            <w:vAlign w:val="bottom"/>
            <w:gridSpan w:val="2"/>
            <w:shd w:val="clear" w:color="auto" w:fill="D0EBF2"/>
          </w:tcPr>
          <w:p>
            <w:pPr>
              <w:jc w:val="right"/>
              <w:spacing w:after="0" w:line="172" w:lineRule="exact"/>
              <w:rPr>
                <w:sz w:val="20"/>
                <w:szCs w:val="20"/>
                <w:color w:val="auto"/>
              </w:rPr>
            </w:pPr>
            <w:r>
              <w:rPr>
                <w:rFonts w:ascii="Times New Roman" w:cs="Times New Roman" w:eastAsia="Times New Roman" w:hAnsi="Times New Roman"/>
                <w:sz w:val="15"/>
                <w:szCs w:val="15"/>
                <w:color w:val="231F20"/>
              </w:rPr>
              <w:t>2,554</w:t>
            </w:r>
          </w:p>
        </w:tc>
        <w:tc>
          <w:tcPr>
            <w:tcW w:w="960" w:type="dxa"/>
            <w:vAlign w:val="bottom"/>
            <w:gridSpan w:val="2"/>
            <w:shd w:val="clear" w:color="auto" w:fill="D0EBF2"/>
          </w:tcPr>
          <w:p>
            <w:pPr>
              <w:jc w:val="right"/>
              <w:spacing w:after="0" w:line="172" w:lineRule="exact"/>
              <w:rPr>
                <w:sz w:val="20"/>
                <w:szCs w:val="20"/>
                <w:color w:val="auto"/>
              </w:rPr>
            </w:pPr>
            <w:r>
              <w:rPr>
                <w:rFonts w:ascii="Times New Roman" w:cs="Times New Roman" w:eastAsia="Times New Roman" w:hAnsi="Times New Roman"/>
                <w:sz w:val="15"/>
                <w:szCs w:val="15"/>
                <w:color w:val="231F20"/>
              </w:rPr>
              <w:t>0.2%</w:t>
            </w:r>
          </w:p>
        </w:tc>
      </w:tr>
      <w:tr>
        <w:trPr>
          <w:trHeight w:val="189"/>
        </w:trPr>
        <w:tc>
          <w:tcPr>
            <w:tcW w:w="1580" w:type="dxa"/>
            <w:vAlign w:val="bottom"/>
            <w:shd w:val="clear" w:color="auto" w:fill="D0EBF2"/>
          </w:tcPr>
          <w:p>
            <w:pPr>
              <w:spacing w:after="0"/>
              <w:rPr>
                <w:sz w:val="16"/>
                <w:szCs w:val="16"/>
                <w:color w:val="auto"/>
              </w:rPr>
            </w:pPr>
          </w:p>
        </w:tc>
        <w:tc>
          <w:tcPr>
            <w:tcW w:w="2200" w:type="dxa"/>
            <w:vAlign w:val="bottom"/>
            <w:shd w:val="clear" w:color="auto" w:fill="D0EBF2"/>
          </w:tcPr>
          <w:p>
            <w:pPr>
              <w:ind w:left="60"/>
              <w:spacing w:after="0"/>
              <w:rPr>
                <w:sz w:val="20"/>
                <w:szCs w:val="20"/>
                <w:color w:val="auto"/>
              </w:rPr>
            </w:pPr>
            <w:r>
              <w:rPr>
                <w:rFonts w:ascii="Times New Roman" w:cs="Times New Roman" w:eastAsia="Times New Roman" w:hAnsi="Times New Roman"/>
                <w:sz w:val="15"/>
                <w:szCs w:val="15"/>
                <w:color w:val="231F20"/>
              </w:rPr>
              <w:t>due 2/2031)</w:t>
            </w:r>
          </w:p>
        </w:tc>
        <w:tc>
          <w:tcPr>
            <w:tcW w:w="800" w:type="dxa"/>
            <w:vAlign w:val="bottom"/>
            <w:shd w:val="clear" w:color="auto" w:fill="D0EBF2"/>
          </w:tcPr>
          <w:p>
            <w:pPr>
              <w:spacing w:after="0"/>
              <w:rPr>
                <w:sz w:val="16"/>
                <w:szCs w:val="16"/>
                <w:color w:val="auto"/>
              </w:rPr>
            </w:pPr>
          </w:p>
        </w:tc>
        <w:tc>
          <w:tcPr>
            <w:tcW w:w="1000" w:type="dxa"/>
            <w:vAlign w:val="bottom"/>
            <w:shd w:val="clear" w:color="auto" w:fill="D0EBF2"/>
          </w:tcPr>
          <w:p>
            <w:pPr>
              <w:spacing w:after="0"/>
              <w:rPr>
                <w:sz w:val="16"/>
                <w:szCs w:val="16"/>
                <w:color w:val="auto"/>
              </w:rPr>
            </w:pPr>
          </w:p>
        </w:tc>
        <w:tc>
          <w:tcPr>
            <w:tcW w:w="1060" w:type="dxa"/>
            <w:vAlign w:val="bottom"/>
            <w:shd w:val="clear" w:color="auto" w:fill="D0EBF2"/>
          </w:tcPr>
          <w:p>
            <w:pPr>
              <w:jc w:val="right"/>
              <w:ind w:right="64"/>
              <w:spacing w:after="0"/>
              <w:rPr>
                <w:sz w:val="20"/>
                <w:szCs w:val="20"/>
                <w:color w:val="auto"/>
              </w:rPr>
            </w:pPr>
            <w:r>
              <w:rPr>
                <w:rFonts w:ascii="Times New Roman" w:cs="Times New Roman" w:eastAsia="Times New Roman" w:hAnsi="Times New Roman"/>
                <w:sz w:val="15"/>
                <w:szCs w:val="15"/>
                <w:color w:val="231F20"/>
              </w:rPr>
              <w:t>3.50% PIK)</w:t>
            </w:r>
          </w:p>
        </w:tc>
        <w:tc>
          <w:tcPr>
            <w:tcW w:w="1000" w:type="dxa"/>
            <w:vAlign w:val="bottom"/>
            <w:shd w:val="clear" w:color="auto" w:fill="D0EBF2"/>
          </w:tcPr>
          <w:p>
            <w:pPr>
              <w:spacing w:after="0"/>
              <w:rPr>
                <w:sz w:val="16"/>
                <w:szCs w:val="16"/>
                <w:color w:val="auto"/>
              </w:rPr>
            </w:pPr>
          </w:p>
        </w:tc>
        <w:tc>
          <w:tcPr>
            <w:tcW w:w="80" w:type="dxa"/>
            <w:vAlign w:val="bottom"/>
            <w:shd w:val="clear" w:color="auto" w:fill="D0EBF2"/>
          </w:tcPr>
          <w:p>
            <w:pPr>
              <w:spacing w:after="0"/>
              <w:rPr>
                <w:sz w:val="16"/>
                <w:szCs w:val="16"/>
                <w:color w:val="auto"/>
              </w:rPr>
            </w:pPr>
          </w:p>
        </w:tc>
        <w:tc>
          <w:tcPr>
            <w:tcW w:w="1600" w:type="dxa"/>
            <w:vAlign w:val="bottom"/>
            <w:shd w:val="clear" w:color="auto" w:fill="D0EBF2"/>
          </w:tcPr>
          <w:p>
            <w:pPr>
              <w:jc w:val="right"/>
              <w:spacing w:after="0"/>
              <w:rPr>
                <w:sz w:val="20"/>
                <w:szCs w:val="20"/>
                <w:color w:val="auto"/>
              </w:rPr>
            </w:pPr>
            <w:r>
              <w:rPr>
                <w:rFonts w:ascii="Times New Roman" w:cs="Times New Roman" w:eastAsia="Times New Roman" w:hAnsi="Times New Roman"/>
                <w:sz w:val="15"/>
                <w:szCs w:val="15"/>
                <w:color w:val="231F20"/>
              </w:rPr>
              <w:t>(EUR 2,466)</w:t>
            </w:r>
          </w:p>
        </w:tc>
        <w:tc>
          <w:tcPr>
            <w:tcW w:w="100" w:type="dxa"/>
            <w:vAlign w:val="bottom"/>
            <w:shd w:val="clear" w:color="auto" w:fill="D0EBF2"/>
          </w:tcPr>
          <w:p>
            <w:pPr>
              <w:spacing w:after="0"/>
              <w:rPr>
                <w:sz w:val="16"/>
                <w:szCs w:val="16"/>
                <w:color w:val="auto"/>
              </w:rPr>
            </w:pPr>
          </w:p>
        </w:tc>
        <w:tc>
          <w:tcPr>
            <w:tcW w:w="860" w:type="dxa"/>
            <w:vAlign w:val="bottom"/>
            <w:shd w:val="clear" w:color="auto" w:fill="D0EBF2"/>
          </w:tcPr>
          <w:p>
            <w:pPr>
              <w:spacing w:after="0"/>
              <w:rPr>
                <w:sz w:val="16"/>
                <w:szCs w:val="16"/>
                <w:color w:val="auto"/>
              </w:rPr>
            </w:pPr>
          </w:p>
        </w:tc>
      </w:tr>
      <w:tr>
        <w:trPr>
          <w:trHeight w:val="171"/>
        </w:trPr>
        <w:tc>
          <w:tcPr>
            <w:tcW w:w="1580" w:type="dxa"/>
            <w:vAlign w:val="bottom"/>
            <w:shd w:val="clear" w:color="auto" w:fill="FDFDFC"/>
          </w:tcPr>
          <w:p>
            <w:pPr>
              <w:spacing w:after="0" w:line="172" w:lineRule="exact"/>
              <w:rPr>
                <w:sz w:val="20"/>
                <w:szCs w:val="20"/>
                <w:color w:val="auto"/>
              </w:rPr>
            </w:pPr>
            <w:r>
              <w:rPr>
                <w:rFonts w:ascii="Times New Roman" w:cs="Times New Roman" w:eastAsia="Times New Roman" w:hAnsi="Times New Roman"/>
                <w:sz w:val="15"/>
                <w:szCs w:val="15"/>
                <w:color w:val="231F20"/>
              </w:rPr>
              <w:t>Kryptona BidCo US,</w:t>
            </w:r>
          </w:p>
        </w:tc>
        <w:tc>
          <w:tcPr>
            <w:tcW w:w="2200" w:type="dxa"/>
            <w:vAlign w:val="bottom"/>
            <w:shd w:val="clear" w:color="auto" w:fill="FDFDFC"/>
          </w:tcPr>
          <w:p>
            <w:pPr>
              <w:ind w:left="60"/>
              <w:spacing w:after="0" w:line="172" w:lineRule="exact"/>
              <w:rPr>
                <w:sz w:val="20"/>
                <w:szCs w:val="20"/>
                <w:color w:val="auto"/>
              </w:rPr>
            </w:pPr>
            <w:r>
              <w:rPr>
                <w:rFonts w:ascii="Times New Roman" w:cs="Times New Roman" w:eastAsia="Times New Roman" w:hAnsi="Times New Roman"/>
                <w:sz w:val="15"/>
                <w:szCs w:val="15"/>
                <w:color w:val="231F20"/>
              </w:rPr>
              <w:t>First-lien loan ($19,912 par, due</w:t>
            </w:r>
          </w:p>
        </w:tc>
        <w:tc>
          <w:tcPr>
            <w:tcW w:w="800" w:type="dxa"/>
            <w:vAlign w:val="bottom"/>
            <w:shd w:val="clear" w:color="auto" w:fill="FDFDFC"/>
          </w:tcPr>
          <w:p>
            <w:pPr>
              <w:jc w:val="right"/>
              <w:spacing w:after="0" w:line="172" w:lineRule="exact"/>
              <w:rPr>
                <w:sz w:val="20"/>
                <w:szCs w:val="20"/>
                <w:color w:val="auto"/>
              </w:rPr>
            </w:pPr>
            <w:r>
              <w:rPr>
                <w:rFonts w:ascii="Times New Roman" w:cs="Times New Roman" w:eastAsia="Times New Roman" w:hAnsi="Times New Roman"/>
                <w:sz w:val="15"/>
                <w:szCs w:val="15"/>
                <w:color w:val="231F20"/>
              </w:rPr>
              <w:t>12/18/2024</w:t>
            </w:r>
          </w:p>
        </w:tc>
        <w:tc>
          <w:tcPr>
            <w:tcW w:w="1000" w:type="dxa"/>
            <w:vAlign w:val="bottom"/>
            <w:shd w:val="clear" w:color="auto" w:fill="FDFDFC"/>
          </w:tcPr>
          <w:p>
            <w:pPr>
              <w:jc w:val="right"/>
              <w:ind w:right="44"/>
              <w:spacing w:after="0" w:line="172" w:lineRule="exact"/>
              <w:rPr>
                <w:sz w:val="20"/>
                <w:szCs w:val="20"/>
                <w:color w:val="auto"/>
              </w:rPr>
            </w:pPr>
            <w:r>
              <w:rPr>
                <w:rFonts w:ascii="Times New Roman" w:cs="Times New Roman" w:eastAsia="Times New Roman" w:hAnsi="Times New Roman"/>
                <w:sz w:val="15"/>
                <w:szCs w:val="15"/>
                <w:color w:val="231F20"/>
              </w:rPr>
              <w:t>SOFR +</w:t>
            </w:r>
          </w:p>
        </w:tc>
        <w:tc>
          <w:tcPr>
            <w:tcW w:w="1060" w:type="dxa"/>
            <w:vAlign w:val="bottom"/>
            <w:shd w:val="clear" w:color="auto" w:fill="FDFDFC"/>
          </w:tcPr>
          <w:p>
            <w:pPr>
              <w:jc w:val="right"/>
              <w:ind w:right="64"/>
              <w:spacing w:after="0" w:line="172" w:lineRule="exact"/>
              <w:rPr>
                <w:sz w:val="20"/>
                <w:szCs w:val="20"/>
                <w:color w:val="auto"/>
              </w:rPr>
            </w:pPr>
            <w:r>
              <w:rPr>
                <w:rFonts w:ascii="Times New Roman" w:cs="Times New Roman" w:eastAsia="Times New Roman" w:hAnsi="Times New Roman"/>
                <w:sz w:val="15"/>
                <w:szCs w:val="15"/>
                <w:color w:val="231F20"/>
              </w:rPr>
              <w:t>10.10%</w:t>
            </w:r>
          </w:p>
        </w:tc>
        <w:tc>
          <w:tcPr>
            <w:tcW w:w="1000" w:type="dxa"/>
            <w:vAlign w:val="bottom"/>
            <w:shd w:val="clear" w:color="auto" w:fill="FDFDFC"/>
          </w:tcPr>
          <w:p>
            <w:pPr>
              <w:jc w:val="right"/>
              <w:spacing w:after="0" w:line="172" w:lineRule="exact"/>
              <w:rPr>
                <w:sz w:val="20"/>
                <w:szCs w:val="20"/>
                <w:color w:val="auto"/>
              </w:rPr>
            </w:pPr>
            <w:r>
              <w:rPr>
                <w:rFonts w:ascii="Times New Roman" w:cs="Times New Roman" w:eastAsia="Times New Roman" w:hAnsi="Times New Roman"/>
                <w:sz w:val="15"/>
                <w:szCs w:val="15"/>
                <w:color w:val="231F20"/>
              </w:rPr>
              <w:t>19,472</w:t>
            </w:r>
          </w:p>
        </w:tc>
        <w:tc>
          <w:tcPr>
            <w:tcW w:w="1680" w:type="dxa"/>
            <w:vAlign w:val="bottom"/>
            <w:gridSpan w:val="2"/>
            <w:shd w:val="clear" w:color="auto" w:fill="FDFDFC"/>
          </w:tcPr>
          <w:p>
            <w:pPr>
              <w:jc w:val="right"/>
              <w:spacing w:after="0" w:line="172" w:lineRule="exact"/>
              <w:rPr>
                <w:sz w:val="20"/>
                <w:szCs w:val="20"/>
                <w:color w:val="auto"/>
              </w:rPr>
            </w:pPr>
            <w:r>
              <w:rPr>
                <w:rFonts w:ascii="Times New Roman" w:cs="Times New Roman" w:eastAsia="Times New Roman" w:hAnsi="Times New Roman"/>
                <w:sz w:val="15"/>
                <w:szCs w:val="15"/>
                <w:color w:val="231F20"/>
              </w:rPr>
              <w:t>19,526</w:t>
            </w:r>
          </w:p>
        </w:tc>
        <w:tc>
          <w:tcPr>
            <w:tcW w:w="960" w:type="dxa"/>
            <w:vAlign w:val="bottom"/>
            <w:gridSpan w:val="2"/>
            <w:shd w:val="clear" w:color="auto" w:fill="FDFDFC"/>
          </w:tcPr>
          <w:p>
            <w:pPr>
              <w:jc w:val="right"/>
              <w:spacing w:after="0" w:line="172" w:lineRule="exact"/>
              <w:rPr>
                <w:sz w:val="20"/>
                <w:szCs w:val="20"/>
                <w:color w:val="auto"/>
              </w:rPr>
            </w:pPr>
            <w:r>
              <w:rPr>
                <w:rFonts w:ascii="Times New Roman" w:cs="Times New Roman" w:eastAsia="Times New Roman" w:hAnsi="Times New Roman"/>
                <w:sz w:val="15"/>
                <w:szCs w:val="15"/>
                <w:color w:val="231F20"/>
              </w:rPr>
              <w:t>1.2%</w:t>
            </w:r>
          </w:p>
        </w:tc>
      </w:tr>
      <w:tr>
        <w:trPr>
          <w:trHeight w:val="189"/>
        </w:trPr>
        <w:tc>
          <w:tcPr>
            <w:tcW w:w="1580" w:type="dxa"/>
            <w:vAlign w:val="bottom"/>
            <w:shd w:val="clear" w:color="auto" w:fill="FDFDFC"/>
          </w:tcPr>
          <w:p>
            <w:pPr>
              <w:spacing w:after="0"/>
              <w:rPr>
                <w:sz w:val="20"/>
                <w:szCs w:val="20"/>
                <w:color w:val="auto"/>
              </w:rPr>
            </w:pPr>
            <w:r>
              <w:rPr>
                <w:rFonts w:ascii="Times New Roman" w:cs="Times New Roman" w:eastAsia="Times New Roman" w:hAnsi="Times New Roman"/>
                <w:sz w:val="15"/>
                <w:szCs w:val="15"/>
                <w:color w:val="231F20"/>
              </w:rPr>
              <w:t xml:space="preserve">LLC </w:t>
            </w:r>
            <w:r>
              <w:rPr>
                <w:rFonts w:ascii="Times New Roman" w:cs="Times New Roman" w:eastAsia="Times New Roman" w:hAnsi="Times New Roman"/>
                <w:sz w:val="9"/>
                <w:szCs w:val="9"/>
                <w:color w:val="231F20"/>
              </w:rPr>
              <w:t>(3)</w:t>
            </w:r>
          </w:p>
        </w:tc>
        <w:tc>
          <w:tcPr>
            <w:tcW w:w="2200" w:type="dxa"/>
            <w:vAlign w:val="bottom"/>
            <w:shd w:val="clear" w:color="auto" w:fill="FDFDFC"/>
          </w:tcPr>
          <w:p>
            <w:pPr>
              <w:ind w:left="60"/>
              <w:spacing w:after="0"/>
              <w:rPr>
                <w:sz w:val="20"/>
                <w:szCs w:val="20"/>
                <w:color w:val="auto"/>
              </w:rPr>
            </w:pPr>
            <w:r>
              <w:rPr>
                <w:rFonts w:ascii="Times New Roman" w:cs="Times New Roman" w:eastAsia="Times New Roman" w:hAnsi="Times New Roman"/>
                <w:sz w:val="15"/>
                <w:szCs w:val="15"/>
                <w:color w:val="231F20"/>
              </w:rPr>
              <w:t>12/2031)</w:t>
            </w:r>
          </w:p>
        </w:tc>
        <w:tc>
          <w:tcPr>
            <w:tcW w:w="800" w:type="dxa"/>
            <w:vAlign w:val="bottom"/>
            <w:shd w:val="clear" w:color="auto" w:fill="FDFDFC"/>
          </w:tcPr>
          <w:p>
            <w:pPr>
              <w:spacing w:after="0"/>
              <w:rPr>
                <w:sz w:val="16"/>
                <w:szCs w:val="16"/>
                <w:color w:val="auto"/>
              </w:rPr>
            </w:pPr>
          </w:p>
        </w:tc>
        <w:tc>
          <w:tcPr>
            <w:tcW w:w="1000" w:type="dxa"/>
            <w:vAlign w:val="bottom"/>
            <w:shd w:val="clear" w:color="auto" w:fill="FDFDFC"/>
          </w:tcPr>
          <w:p>
            <w:pPr>
              <w:jc w:val="right"/>
              <w:ind w:right="44"/>
              <w:spacing w:after="0"/>
              <w:rPr>
                <w:sz w:val="20"/>
                <w:szCs w:val="20"/>
                <w:color w:val="auto"/>
              </w:rPr>
            </w:pPr>
            <w:r>
              <w:rPr>
                <w:rFonts w:ascii="Times New Roman" w:cs="Times New Roman" w:eastAsia="Times New Roman" w:hAnsi="Times New Roman"/>
                <w:sz w:val="15"/>
                <w:szCs w:val="15"/>
                <w:color w:val="231F20"/>
              </w:rPr>
              <w:t>5.75%</w:t>
            </w:r>
          </w:p>
        </w:tc>
        <w:tc>
          <w:tcPr>
            <w:tcW w:w="1060" w:type="dxa"/>
            <w:vAlign w:val="bottom"/>
            <w:shd w:val="clear" w:color="auto" w:fill="FDFDFC"/>
          </w:tcPr>
          <w:p>
            <w:pPr>
              <w:spacing w:after="0"/>
              <w:rPr>
                <w:sz w:val="16"/>
                <w:szCs w:val="16"/>
                <w:color w:val="auto"/>
              </w:rPr>
            </w:pPr>
          </w:p>
        </w:tc>
        <w:tc>
          <w:tcPr>
            <w:tcW w:w="1000" w:type="dxa"/>
            <w:vAlign w:val="bottom"/>
            <w:shd w:val="clear" w:color="auto" w:fill="FDFDFC"/>
          </w:tcPr>
          <w:p>
            <w:pPr>
              <w:spacing w:after="0"/>
              <w:rPr>
                <w:sz w:val="16"/>
                <w:szCs w:val="16"/>
                <w:color w:val="auto"/>
              </w:rPr>
            </w:pPr>
          </w:p>
        </w:tc>
        <w:tc>
          <w:tcPr>
            <w:tcW w:w="80" w:type="dxa"/>
            <w:vAlign w:val="bottom"/>
            <w:shd w:val="clear" w:color="auto" w:fill="FDFDFC"/>
          </w:tcPr>
          <w:p>
            <w:pPr>
              <w:spacing w:after="0"/>
              <w:rPr>
                <w:sz w:val="16"/>
                <w:szCs w:val="16"/>
                <w:color w:val="auto"/>
              </w:rPr>
            </w:pPr>
          </w:p>
        </w:tc>
        <w:tc>
          <w:tcPr>
            <w:tcW w:w="1600" w:type="dxa"/>
            <w:vAlign w:val="bottom"/>
            <w:shd w:val="clear" w:color="auto" w:fill="FDFDFC"/>
          </w:tcPr>
          <w:p>
            <w:pPr>
              <w:spacing w:after="0"/>
              <w:rPr>
                <w:sz w:val="16"/>
                <w:szCs w:val="16"/>
                <w:color w:val="auto"/>
              </w:rPr>
            </w:pPr>
          </w:p>
        </w:tc>
        <w:tc>
          <w:tcPr>
            <w:tcW w:w="100" w:type="dxa"/>
            <w:vAlign w:val="bottom"/>
            <w:shd w:val="clear" w:color="auto" w:fill="FDFDFC"/>
          </w:tcPr>
          <w:p>
            <w:pPr>
              <w:spacing w:after="0"/>
              <w:rPr>
                <w:sz w:val="16"/>
                <w:szCs w:val="16"/>
                <w:color w:val="auto"/>
              </w:rPr>
            </w:pPr>
          </w:p>
        </w:tc>
        <w:tc>
          <w:tcPr>
            <w:tcW w:w="860" w:type="dxa"/>
            <w:vAlign w:val="bottom"/>
            <w:shd w:val="clear" w:color="auto" w:fill="FDFDFC"/>
          </w:tcPr>
          <w:p>
            <w:pPr>
              <w:spacing w:after="0"/>
              <w:rPr>
                <w:sz w:val="16"/>
                <w:szCs w:val="16"/>
                <w:color w:val="auto"/>
              </w:rPr>
            </w:pPr>
          </w:p>
        </w:tc>
      </w:tr>
      <w:tr>
        <w:trPr>
          <w:trHeight w:val="171"/>
        </w:trPr>
        <w:tc>
          <w:tcPr>
            <w:tcW w:w="1580" w:type="dxa"/>
            <w:vAlign w:val="bottom"/>
            <w:shd w:val="clear" w:color="auto" w:fill="D0EBF2"/>
          </w:tcPr>
          <w:p>
            <w:pPr>
              <w:spacing w:after="0"/>
              <w:rPr>
                <w:sz w:val="14"/>
                <w:szCs w:val="14"/>
                <w:color w:val="auto"/>
              </w:rPr>
            </w:pPr>
          </w:p>
        </w:tc>
        <w:tc>
          <w:tcPr>
            <w:tcW w:w="2200" w:type="dxa"/>
            <w:vAlign w:val="bottom"/>
            <w:shd w:val="clear" w:color="auto" w:fill="D0EBF2"/>
          </w:tcPr>
          <w:p>
            <w:pPr>
              <w:ind w:left="60"/>
              <w:spacing w:after="0" w:line="172" w:lineRule="exact"/>
              <w:rPr>
                <w:sz w:val="20"/>
                <w:szCs w:val="20"/>
                <w:color w:val="auto"/>
              </w:rPr>
            </w:pPr>
            <w:r>
              <w:rPr>
                <w:rFonts w:ascii="Times New Roman" w:cs="Times New Roman" w:eastAsia="Times New Roman" w:hAnsi="Times New Roman"/>
                <w:sz w:val="15"/>
                <w:szCs w:val="15"/>
                <w:color w:val="231F20"/>
              </w:rPr>
              <w:t>First-lien loan (EUR 4,608 par,</w:t>
            </w:r>
          </w:p>
        </w:tc>
        <w:tc>
          <w:tcPr>
            <w:tcW w:w="800" w:type="dxa"/>
            <w:vAlign w:val="bottom"/>
            <w:shd w:val="clear" w:color="auto" w:fill="D0EBF2"/>
          </w:tcPr>
          <w:p>
            <w:pPr>
              <w:jc w:val="right"/>
              <w:spacing w:after="0" w:line="172" w:lineRule="exact"/>
              <w:rPr>
                <w:sz w:val="20"/>
                <w:szCs w:val="20"/>
                <w:color w:val="auto"/>
              </w:rPr>
            </w:pPr>
            <w:r>
              <w:rPr>
                <w:rFonts w:ascii="Times New Roman" w:cs="Times New Roman" w:eastAsia="Times New Roman" w:hAnsi="Times New Roman"/>
                <w:sz w:val="15"/>
                <w:szCs w:val="15"/>
                <w:color w:val="231F20"/>
              </w:rPr>
              <w:t>12/18/2024</w:t>
            </w:r>
          </w:p>
        </w:tc>
        <w:tc>
          <w:tcPr>
            <w:tcW w:w="1000" w:type="dxa"/>
            <w:vAlign w:val="bottom"/>
            <w:shd w:val="clear" w:color="auto" w:fill="D0EBF2"/>
          </w:tcPr>
          <w:p>
            <w:pPr>
              <w:jc w:val="right"/>
              <w:ind w:right="44"/>
              <w:spacing w:after="0" w:line="172" w:lineRule="exact"/>
              <w:rPr>
                <w:sz w:val="20"/>
                <w:szCs w:val="20"/>
                <w:color w:val="auto"/>
              </w:rPr>
            </w:pPr>
            <w:r>
              <w:rPr>
                <w:rFonts w:ascii="Times New Roman" w:cs="Times New Roman" w:eastAsia="Times New Roman" w:hAnsi="Times New Roman"/>
                <w:sz w:val="15"/>
                <w:szCs w:val="15"/>
                <w:color w:val="231F20"/>
              </w:rPr>
              <w:t>E + 5.75%</w:t>
            </w:r>
          </w:p>
        </w:tc>
        <w:tc>
          <w:tcPr>
            <w:tcW w:w="1060" w:type="dxa"/>
            <w:vAlign w:val="bottom"/>
            <w:shd w:val="clear" w:color="auto" w:fill="D0EBF2"/>
          </w:tcPr>
          <w:p>
            <w:pPr>
              <w:jc w:val="right"/>
              <w:ind w:right="64"/>
              <w:spacing w:after="0" w:line="172" w:lineRule="exact"/>
              <w:rPr>
                <w:sz w:val="20"/>
                <w:szCs w:val="20"/>
                <w:color w:val="auto"/>
              </w:rPr>
            </w:pPr>
            <w:r>
              <w:rPr>
                <w:rFonts w:ascii="Times New Roman" w:cs="Times New Roman" w:eastAsia="Times New Roman" w:hAnsi="Times New Roman"/>
                <w:sz w:val="15"/>
                <w:szCs w:val="15"/>
                <w:color w:val="231F20"/>
              </w:rPr>
              <w:t>8.61%</w:t>
            </w:r>
          </w:p>
        </w:tc>
        <w:tc>
          <w:tcPr>
            <w:tcW w:w="1000" w:type="dxa"/>
            <w:vAlign w:val="bottom"/>
            <w:shd w:val="clear" w:color="auto" w:fill="D0EBF2"/>
          </w:tcPr>
          <w:p>
            <w:pPr>
              <w:jc w:val="right"/>
              <w:spacing w:after="0" w:line="172" w:lineRule="exact"/>
              <w:rPr>
                <w:sz w:val="20"/>
                <w:szCs w:val="20"/>
                <w:color w:val="auto"/>
              </w:rPr>
            </w:pPr>
            <w:r>
              <w:rPr>
                <w:rFonts w:ascii="Times New Roman" w:cs="Times New Roman" w:eastAsia="Times New Roman" w:hAnsi="Times New Roman"/>
                <w:sz w:val="15"/>
                <w:szCs w:val="15"/>
                <w:color w:val="231F20"/>
              </w:rPr>
              <w:t>4,729</w:t>
            </w:r>
          </w:p>
        </w:tc>
        <w:tc>
          <w:tcPr>
            <w:tcW w:w="1680" w:type="dxa"/>
            <w:vAlign w:val="bottom"/>
            <w:gridSpan w:val="2"/>
            <w:shd w:val="clear" w:color="auto" w:fill="D0EBF2"/>
          </w:tcPr>
          <w:p>
            <w:pPr>
              <w:jc w:val="right"/>
              <w:spacing w:after="0" w:line="172" w:lineRule="exact"/>
              <w:rPr>
                <w:sz w:val="20"/>
                <w:szCs w:val="20"/>
                <w:color w:val="auto"/>
              </w:rPr>
            </w:pPr>
            <w:r>
              <w:rPr>
                <w:rFonts w:ascii="Times New Roman" w:cs="Times New Roman" w:eastAsia="Times New Roman" w:hAnsi="Times New Roman"/>
                <w:sz w:val="15"/>
                <w:szCs w:val="15"/>
                <w:color w:val="231F20"/>
              </w:rPr>
              <w:t>4,688</w:t>
            </w:r>
          </w:p>
        </w:tc>
        <w:tc>
          <w:tcPr>
            <w:tcW w:w="960" w:type="dxa"/>
            <w:vAlign w:val="bottom"/>
            <w:gridSpan w:val="2"/>
            <w:shd w:val="clear" w:color="auto" w:fill="D0EBF2"/>
          </w:tcPr>
          <w:p>
            <w:pPr>
              <w:jc w:val="right"/>
              <w:spacing w:after="0" w:line="172" w:lineRule="exact"/>
              <w:rPr>
                <w:sz w:val="20"/>
                <w:szCs w:val="20"/>
                <w:color w:val="auto"/>
              </w:rPr>
            </w:pPr>
            <w:r>
              <w:rPr>
                <w:rFonts w:ascii="Times New Roman" w:cs="Times New Roman" w:eastAsia="Times New Roman" w:hAnsi="Times New Roman"/>
                <w:sz w:val="15"/>
                <w:szCs w:val="15"/>
                <w:color w:val="231F20"/>
              </w:rPr>
              <w:t>0.3%</w:t>
            </w:r>
          </w:p>
        </w:tc>
      </w:tr>
      <w:tr>
        <w:trPr>
          <w:trHeight w:val="189"/>
        </w:trPr>
        <w:tc>
          <w:tcPr>
            <w:tcW w:w="1580" w:type="dxa"/>
            <w:vAlign w:val="bottom"/>
            <w:shd w:val="clear" w:color="auto" w:fill="D0EBF2"/>
          </w:tcPr>
          <w:p>
            <w:pPr>
              <w:spacing w:after="0"/>
              <w:rPr>
                <w:sz w:val="16"/>
                <w:szCs w:val="16"/>
                <w:color w:val="auto"/>
              </w:rPr>
            </w:pPr>
          </w:p>
        </w:tc>
        <w:tc>
          <w:tcPr>
            <w:tcW w:w="2200" w:type="dxa"/>
            <w:vAlign w:val="bottom"/>
            <w:shd w:val="clear" w:color="auto" w:fill="D0EBF2"/>
          </w:tcPr>
          <w:p>
            <w:pPr>
              <w:ind w:left="60"/>
              <w:spacing w:after="0"/>
              <w:rPr>
                <w:sz w:val="20"/>
                <w:szCs w:val="20"/>
                <w:color w:val="auto"/>
              </w:rPr>
            </w:pPr>
            <w:r>
              <w:rPr>
                <w:rFonts w:ascii="Times New Roman" w:cs="Times New Roman" w:eastAsia="Times New Roman" w:hAnsi="Times New Roman"/>
                <w:sz w:val="15"/>
                <w:szCs w:val="15"/>
                <w:color w:val="231F20"/>
              </w:rPr>
              <w:t>due 12/2031)</w:t>
            </w:r>
          </w:p>
        </w:tc>
        <w:tc>
          <w:tcPr>
            <w:tcW w:w="800" w:type="dxa"/>
            <w:vAlign w:val="bottom"/>
            <w:shd w:val="clear" w:color="auto" w:fill="D0EBF2"/>
          </w:tcPr>
          <w:p>
            <w:pPr>
              <w:spacing w:after="0"/>
              <w:rPr>
                <w:sz w:val="16"/>
                <w:szCs w:val="16"/>
                <w:color w:val="auto"/>
              </w:rPr>
            </w:pPr>
          </w:p>
        </w:tc>
        <w:tc>
          <w:tcPr>
            <w:tcW w:w="1000" w:type="dxa"/>
            <w:vAlign w:val="bottom"/>
            <w:shd w:val="clear" w:color="auto" w:fill="D0EBF2"/>
          </w:tcPr>
          <w:p>
            <w:pPr>
              <w:spacing w:after="0"/>
              <w:rPr>
                <w:sz w:val="16"/>
                <w:szCs w:val="16"/>
                <w:color w:val="auto"/>
              </w:rPr>
            </w:pPr>
          </w:p>
        </w:tc>
        <w:tc>
          <w:tcPr>
            <w:tcW w:w="1060" w:type="dxa"/>
            <w:vAlign w:val="bottom"/>
            <w:shd w:val="clear" w:color="auto" w:fill="D0EBF2"/>
          </w:tcPr>
          <w:p>
            <w:pPr>
              <w:spacing w:after="0"/>
              <w:rPr>
                <w:sz w:val="16"/>
                <w:szCs w:val="16"/>
                <w:color w:val="auto"/>
              </w:rPr>
            </w:pPr>
          </w:p>
        </w:tc>
        <w:tc>
          <w:tcPr>
            <w:tcW w:w="1000" w:type="dxa"/>
            <w:vAlign w:val="bottom"/>
            <w:shd w:val="clear" w:color="auto" w:fill="D0EBF2"/>
          </w:tcPr>
          <w:p>
            <w:pPr>
              <w:spacing w:after="0"/>
              <w:rPr>
                <w:sz w:val="16"/>
                <w:szCs w:val="16"/>
                <w:color w:val="auto"/>
              </w:rPr>
            </w:pPr>
          </w:p>
        </w:tc>
        <w:tc>
          <w:tcPr>
            <w:tcW w:w="80" w:type="dxa"/>
            <w:vAlign w:val="bottom"/>
            <w:shd w:val="clear" w:color="auto" w:fill="D0EBF2"/>
          </w:tcPr>
          <w:p>
            <w:pPr>
              <w:spacing w:after="0"/>
              <w:rPr>
                <w:sz w:val="16"/>
                <w:szCs w:val="16"/>
                <w:color w:val="auto"/>
              </w:rPr>
            </w:pPr>
          </w:p>
        </w:tc>
        <w:tc>
          <w:tcPr>
            <w:tcW w:w="1600" w:type="dxa"/>
            <w:vAlign w:val="bottom"/>
            <w:shd w:val="clear" w:color="auto" w:fill="D0EBF2"/>
          </w:tcPr>
          <w:p>
            <w:pPr>
              <w:jc w:val="right"/>
              <w:spacing w:after="0"/>
              <w:rPr>
                <w:sz w:val="20"/>
                <w:szCs w:val="20"/>
                <w:color w:val="auto"/>
              </w:rPr>
            </w:pPr>
            <w:r>
              <w:rPr>
                <w:rFonts w:ascii="Times New Roman" w:cs="Times New Roman" w:eastAsia="Times New Roman" w:hAnsi="Times New Roman"/>
                <w:sz w:val="15"/>
                <w:szCs w:val="15"/>
                <w:color w:val="231F20"/>
              </w:rPr>
              <w:t>(EUR 4,527)</w:t>
            </w:r>
          </w:p>
        </w:tc>
        <w:tc>
          <w:tcPr>
            <w:tcW w:w="100" w:type="dxa"/>
            <w:vAlign w:val="bottom"/>
            <w:shd w:val="clear" w:color="auto" w:fill="D0EBF2"/>
          </w:tcPr>
          <w:p>
            <w:pPr>
              <w:spacing w:after="0"/>
              <w:rPr>
                <w:sz w:val="16"/>
                <w:szCs w:val="16"/>
                <w:color w:val="auto"/>
              </w:rPr>
            </w:pPr>
          </w:p>
        </w:tc>
        <w:tc>
          <w:tcPr>
            <w:tcW w:w="860" w:type="dxa"/>
            <w:vAlign w:val="bottom"/>
            <w:shd w:val="clear" w:color="auto" w:fill="D0EBF2"/>
          </w:tcPr>
          <w:p>
            <w:pPr>
              <w:spacing w:after="0"/>
              <w:rPr>
                <w:sz w:val="16"/>
                <w:szCs w:val="16"/>
                <w:color w:val="auto"/>
              </w:rPr>
            </w:pPr>
          </w:p>
        </w:tc>
      </w:tr>
      <w:tr>
        <w:trPr>
          <w:trHeight w:val="171"/>
        </w:trPr>
        <w:tc>
          <w:tcPr>
            <w:tcW w:w="1580" w:type="dxa"/>
            <w:vAlign w:val="bottom"/>
            <w:shd w:val="clear" w:color="auto" w:fill="FDFDFC"/>
          </w:tcPr>
          <w:p>
            <w:pPr>
              <w:spacing w:after="0" w:line="172" w:lineRule="exact"/>
              <w:rPr>
                <w:sz w:val="20"/>
                <w:szCs w:val="20"/>
                <w:color w:val="auto"/>
              </w:rPr>
            </w:pPr>
            <w:r>
              <w:rPr>
                <w:rFonts w:ascii="Times New Roman" w:cs="Times New Roman" w:eastAsia="Times New Roman" w:hAnsi="Times New Roman"/>
                <w:sz w:val="15"/>
                <w:szCs w:val="15"/>
                <w:color w:val="231F20"/>
              </w:rPr>
              <w:t>LeanTaaS Holdings, Inc.</w:t>
            </w:r>
          </w:p>
        </w:tc>
        <w:tc>
          <w:tcPr>
            <w:tcW w:w="2200" w:type="dxa"/>
            <w:vAlign w:val="bottom"/>
            <w:shd w:val="clear" w:color="auto" w:fill="FDFDFC"/>
          </w:tcPr>
          <w:p>
            <w:pPr>
              <w:ind w:left="60"/>
              <w:spacing w:after="0" w:line="172" w:lineRule="exact"/>
              <w:rPr>
                <w:sz w:val="20"/>
                <w:szCs w:val="20"/>
                <w:color w:val="auto"/>
              </w:rPr>
            </w:pPr>
            <w:r>
              <w:rPr>
                <w:rFonts w:ascii="Times New Roman" w:cs="Times New Roman" w:eastAsia="Times New Roman" w:hAnsi="Times New Roman"/>
                <w:sz w:val="15"/>
                <w:szCs w:val="15"/>
                <w:color w:val="231F20"/>
              </w:rPr>
              <w:t>First-lien loan ($56,156 par, due</w:t>
            </w:r>
          </w:p>
        </w:tc>
        <w:tc>
          <w:tcPr>
            <w:tcW w:w="800" w:type="dxa"/>
            <w:vAlign w:val="bottom"/>
            <w:shd w:val="clear" w:color="auto" w:fill="FDFDFC"/>
          </w:tcPr>
          <w:p>
            <w:pPr>
              <w:jc w:val="right"/>
              <w:spacing w:after="0" w:line="172" w:lineRule="exact"/>
              <w:rPr>
                <w:sz w:val="20"/>
                <w:szCs w:val="20"/>
                <w:color w:val="auto"/>
              </w:rPr>
            </w:pPr>
            <w:r>
              <w:rPr>
                <w:rFonts w:ascii="Times New Roman" w:cs="Times New Roman" w:eastAsia="Times New Roman" w:hAnsi="Times New Roman"/>
                <w:sz w:val="15"/>
                <w:szCs w:val="15"/>
                <w:color w:val="231F20"/>
              </w:rPr>
              <w:t>7/12/2022</w:t>
            </w:r>
          </w:p>
        </w:tc>
        <w:tc>
          <w:tcPr>
            <w:tcW w:w="1000" w:type="dxa"/>
            <w:vAlign w:val="bottom"/>
            <w:shd w:val="clear" w:color="auto" w:fill="FDFDFC"/>
          </w:tcPr>
          <w:p>
            <w:pPr>
              <w:jc w:val="right"/>
              <w:ind w:right="44"/>
              <w:spacing w:after="0" w:line="172" w:lineRule="exact"/>
              <w:rPr>
                <w:sz w:val="20"/>
                <w:szCs w:val="20"/>
                <w:color w:val="auto"/>
              </w:rPr>
            </w:pPr>
            <w:r>
              <w:rPr>
                <w:rFonts w:ascii="Times New Roman" w:cs="Times New Roman" w:eastAsia="Times New Roman" w:hAnsi="Times New Roman"/>
                <w:sz w:val="15"/>
                <w:szCs w:val="15"/>
                <w:color w:val="231F20"/>
              </w:rPr>
              <w:t>SOFR +</w:t>
            </w:r>
          </w:p>
        </w:tc>
        <w:tc>
          <w:tcPr>
            <w:tcW w:w="1060" w:type="dxa"/>
            <w:vAlign w:val="bottom"/>
            <w:shd w:val="clear" w:color="auto" w:fill="FDFDFC"/>
          </w:tcPr>
          <w:p>
            <w:pPr>
              <w:jc w:val="right"/>
              <w:ind w:right="64"/>
              <w:spacing w:after="0" w:line="172" w:lineRule="exact"/>
              <w:rPr>
                <w:sz w:val="20"/>
                <w:szCs w:val="20"/>
                <w:color w:val="auto"/>
              </w:rPr>
            </w:pPr>
            <w:r>
              <w:rPr>
                <w:rFonts w:ascii="Times New Roman" w:cs="Times New Roman" w:eastAsia="Times New Roman" w:hAnsi="Times New Roman"/>
                <w:sz w:val="15"/>
                <w:szCs w:val="15"/>
                <w:color w:val="231F20"/>
              </w:rPr>
              <w:t>11.83%</w:t>
            </w:r>
          </w:p>
        </w:tc>
        <w:tc>
          <w:tcPr>
            <w:tcW w:w="1000" w:type="dxa"/>
            <w:vAlign w:val="bottom"/>
            <w:shd w:val="clear" w:color="auto" w:fill="FDFDFC"/>
          </w:tcPr>
          <w:p>
            <w:pPr>
              <w:jc w:val="right"/>
              <w:spacing w:after="0" w:line="172" w:lineRule="exact"/>
              <w:rPr>
                <w:sz w:val="20"/>
                <w:szCs w:val="20"/>
                <w:color w:val="auto"/>
              </w:rPr>
            </w:pPr>
            <w:r>
              <w:rPr>
                <w:rFonts w:ascii="Times New Roman" w:cs="Times New Roman" w:eastAsia="Times New Roman" w:hAnsi="Times New Roman"/>
                <w:sz w:val="15"/>
                <w:szCs w:val="15"/>
                <w:color w:val="231F20"/>
              </w:rPr>
              <w:t>55,388</w:t>
            </w:r>
          </w:p>
        </w:tc>
        <w:tc>
          <w:tcPr>
            <w:tcW w:w="1680" w:type="dxa"/>
            <w:vAlign w:val="bottom"/>
            <w:gridSpan w:val="2"/>
            <w:shd w:val="clear" w:color="auto" w:fill="FDFDFC"/>
          </w:tcPr>
          <w:p>
            <w:pPr>
              <w:jc w:val="right"/>
              <w:spacing w:after="0" w:line="172" w:lineRule="exact"/>
              <w:rPr>
                <w:sz w:val="20"/>
                <w:szCs w:val="20"/>
                <w:color w:val="auto"/>
              </w:rPr>
            </w:pPr>
            <w:r>
              <w:rPr>
                <w:rFonts w:ascii="Times New Roman" w:cs="Times New Roman" w:eastAsia="Times New Roman" w:hAnsi="Times New Roman"/>
                <w:sz w:val="15"/>
                <w:szCs w:val="15"/>
                <w:color w:val="231F20"/>
              </w:rPr>
              <w:t>56,437</w:t>
            </w:r>
          </w:p>
        </w:tc>
        <w:tc>
          <w:tcPr>
            <w:tcW w:w="960" w:type="dxa"/>
            <w:vAlign w:val="bottom"/>
            <w:gridSpan w:val="2"/>
            <w:shd w:val="clear" w:color="auto" w:fill="FDFDFC"/>
          </w:tcPr>
          <w:p>
            <w:pPr>
              <w:jc w:val="right"/>
              <w:spacing w:after="0" w:line="172" w:lineRule="exact"/>
              <w:rPr>
                <w:sz w:val="20"/>
                <w:szCs w:val="20"/>
                <w:color w:val="auto"/>
              </w:rPr>
            </w:pPr>
            <w:r>
              <w:rPr>
                <w:rFonts w:ascii="Times New Roman" w:cs="Times New Roman" w:eastAsia="Times New Roman" w:hAnsi="Times New Roman"/>
                <w:sz w:val="15"/>
                <w:szCs w:val="15"/>
                <w:color w:val="231F20"/>
              </w:rPr>
              <w:t>3.5%</w:t>
            </w:r>
          </w:p>
        </w:tc>
      </w:tr>
      <w:tr>
        <w:trPr>
          <w:trHeight w:val="189"/>
        </w:trPr>
        <w:tc>
          <w:tcPr>
            <w:tcW w:w="1580" w:type="dxa"/>
            <w:vAlign w:val="bottom"/>
            <w:shd w:val="clear" w:color="auto" w:fill="FDFDFC"/>
          </w:tcPr>
          <w:p>
            <w:pPr>
              <w:spacing w:after="0"/>
              <w:rPr>
                <w:sz w:val="20"/>
                <w:szCs w:val="20"/>
                <w:color w:val="auto"/>
              </w:rPr>
            </w:pPr>
            <w:r>
              <w:rPr>
                <w:rFonts w:ascii="Times New Roman" w:cs="Times New Roman" w:eastAsia="Times New Roman" w:hAnsi="Times New Roman"/>
                <w:sz w:val="9"/>
                <w:szCs w:val="9"/>
                <w:color w:val="231F20"/>
              </w:rPr>
              <w:t>(3)(5)</w:t>
            </w:r>
          </w:p>
        </w:tc>
        <w:tc>
          <w:tcPr>
            <w:tcW w:w="2200" w:type="dxa"/>
            <w:vAlign w:val="bottom"/>
            <w:shd w:val="clear" w:color="auto" w:fill="FDFDFC"/>
          </w:tcPr>
          <w:p>
            <w:pPr>
              <w:ind w:left="60"/>
              <w:spacing w:after="0"/>
              <w:rPr>
                <w:sz w:val="20"/>
                <w:szCs w:val="20"/>
                <w:color w:val="auto"/>
              </w:rPr>
            </w:pPr>
            <w:r>
              <w:rPr>
                <w:rFonts w:ascii="Times New Roman" w:cs="Times New Roman" w:eastAsia="Times New Roman" w:hAnsi="Times New Roman"/>
                <w:sz w:val="15"/>
                <w:szCs w:val="15"/>
                <w:color w:val="231F20"/>
              </w:rPr>
              <w:t>7/2028)</w:t>
            </w:r>
          </w:p>
        </w:tc>
        <w:tc>
          <w:tcPr>
            <w:tcW w:w="800" w:type="dxa"/>
            <w:vAlign w:val="bottom"/>
            <w:shd w:val="clear" w:color="auto" w:fill="FDFDFC"/>
          </w:tcPr>
          <w:p>
            <w:pPr>
              <w:spacing w:after="0"/>
              <w:rPr>
                <w:sz w:val="16"/>
                <w:szCs w:val="16"/>
                <w:color w:val="auto"/>
              </w:rPr>
            </w:pPr>
          </w:p>
        </w:tc>
        <w:tc>
          <w:tcPr>
            <w:tcW w:w="1000" w:type="dxa"/>
            <w:vAlign w:val="bottom"/>
            <w:shd w:val="clear" w:color="auto" w:fill="FDFDFC"/>
          </w:tcPr>
          <w:p>
            <w:pPr>
              <w:jc w:val="right"/>
              <w:ind w:right="44"/>
              <w:spacing w:after="0"/>
              <w:rPr>
                <w:sz w:val="20"/>
                <w:szCs w:val="20"/>
                <w:color w:val="auto"/>
              </w:rPr>
            </w:pPr>
            <w:r>
              <w:rPr>
                <w:rFonts w:ascii="Times New Roman" w:cs="Times New Roman" w:eastAsia="Times New Roman" w:hAnsi="Times New Roman"/>
                <w:sz w:val="15"/>
                <w:szCs w:val="15"/>
                <w:color w:val="231F20"/>
              </w:rPr>
              <w:t>7.50%</w:t>
            </w:r>
          </w:p>
        </w:tc>
        <w:tc>
          <w:tcPr>
            <w:tcW w:w="1060" w:type="dxa"/>
            <w:vAlign w:val="bottom"/>
            <w:shd w:val="clear" w:color="auto" w:fill="FDFDFC"/>
          </w:tcPr>
          <w:p>
            <w:pPr>
              <w:spacing w:after="0"/>
              <w:rPr>
                <w:sz w:val="16"/>
                <w:szCs w:val="16"/>
                <w:color w:val="auto"/>
              </w:rPr>
            </w:pPr>
          </w:p>
        </w:tc>
        <w:tc>
          <w:tcPr>
            <w:tcW w:w="1000" w:type="dxa"/>
            <w:vAlign w:val="bottom"/>
            <w:shd w:val="clear" w:color="auto" w:fill="FDFDFC"/>
          </w:tcPr>
          <w:p>
            <w:pPr>
              <w:spacing w:after="0"/>
              <w:rPr>
                <w:sz w:val="16"/>
                <w:szCs w:val="16"/>
                <w:color w:val="auto"/>
              </w:rPr>
            </w:pPr>
          </w:p>
        </w:tc>
        <w:tc>
          <w:tcPr>
            <w:tcW w:w="80" w:type="dxa"/>
            <w:vAlign w:val="bottom"/>
            <w:shd w:val="clear" w:color="auto" w:fill="FDFDFC"/>
          </w:tcPr>
          <w:p>
            <w:pPr>
              <w:spacing w:after="0"/>
              <w:rPr>
                <w:sz w:val="16"/>
                <w:szCs w:val="16"/>
                <w:color w:val="auto"/>
              </w:rPr>
            </w:pPr>
          </w:p>
        </w:tc>
        <w:tc>
          <w:tcPr>
            <w:tcW w:w="1600" w:type="dxa"/>
            <w:vAlign w:val="bottom"/>
            <w:shd w:val="clear" w:color="auto" w:fill="FDFDFC"/>
          </w:tcPr>
          <w:p>
            <w:pPr>
              <w:spacing w:after="0"/>
              <w:rPr>
                <w:sz w:val="16"/>
                <w:szCs w:val="16"/>
                <w:color w:val="auto"/>
              </w:rPr>
            </w:pPr>
          </w:p>
        </w:tc>
        <w:tc>
          <w:tcPr>
            <w:tcW w:w="100" w:type="dxa"/>
            <w:vAlign w:val="bottom"/>
            <w:shd w:val="clear" w:color="auto" w:fill="FDFDFC"/>
          </w:tcPr>
          <w:p>
            <w:pPr>
              <w:spacing w:after="0"/>
              <w:rPr>
                <w:sz w:val="16"/>
                <w:szCs w:val="16"/>
                <w:color w:val="auto"/>
              </w:rPr>
            </w:pPr>
          </w:p>
        </w:tc>
        <w:tc>
          <w:tcPr>
            <w:tcW w:w="860" w:type="dxa"/>
            <w:vAlign w:val="bottom"/>
            <w:shd w:val="clear" w:color="auto" w:fill="FDFDFC"/>
          </w:tcPr>
          <w:p>
            <w:pPr>
              <w:spacing w:after="0"/>
              <w:rPr>
                <w:sz w:val="16"/>
                <w:szCs w:val="16"/>
                <w:color w:val="auto"/>
              </w:rPr>
            </w:pPr>
          </w:p>
        </w:tc>
      </w:tr>
      <w:tr>
        <w:trPr>
          <w:trHeight w:val="171"/>
        </w:trPr>
        <w:tc>
          <w:tcPr>
            <w:tcW w:w="1580" w:type="dxa"/>
            <w:vAlign w:val="bottom"/>
            <w:shd w:val="clear" w:color="auto" w:fill="D0EBF2"/>
          </w:tcPr>
          <w:p>
            <w:pPr>
              <w:spacing w:after="0" w:line="172" w:lineRule="exact"/>
              <w:rPr>
                <w:sz w:val="20"/>
                <w:szCs w:val="20"/>
                <w:color w:val="auto"/>
              </w:rPr>
            </w:pPr>
            <w:r>
              <w:rPr>
                <w:rFonts w:ascii="Times New Roman" w:cs="Times New Roman" w:eastAsia="Times New Roman" w:hAnsi="Times New Roman"/>
                <w:sz w:val="15"/>
                <w:szCs w:val="15"/>
                <w:color w:val="231F20"/>
              </w:rPr>
              <w:t>Lithium Technologies,</w:t>
            </w:r>
          </w:p>
        </w:tc>
        <w:tc>
          <w:tcPr>
            <w:tcW w:w="2200" w:type="dxa"/>
            <w:vAlign w:val="bottom"/>
            <w:shd w:val="clear" w:color="auto" w:fill="D0EBF2"/>
          </w:tcPr>
          <w:p>
            <w:pPr>
              <w:ind w:left="60"/>
              <w:spacing w:after="0" w:line="172" w:lineRule="exact"/>
              <w:rPr>
                <w:sz w:val="20"/>
                <w:szCs w:val="20"/>
                <w:color w:val="auto"/>
              </w:rPr>
            </w:pPr>
            <w:r>
              <w:rPr>
                <w:rFonts w:ascii="Times New Roman" w:cs="Times New Roman" w:eastAsia="Times New Roman" w:hAnsi="Times New Roman"/>
                <w:sz w:val="15"/>
                <w:szCs w:val="15"/>
                <w:color w:val="231F20"/>
              </w:rPr>
              <w:t>First-lien loan ($61,483 par, due</w:t>
            </w:r>
          </w:p>
        </w:tc>
        <w:tc>
          <w:tcPr>
            <w:tcW w:w="800" w:type="dxa"/>
            <w:vAlign w:val="bottom"/>
            <w:shd w:val="clear" w:color="auto" w:fill="D0EBF2"/>
          </w:tcPr>
          <w:p>
            <w:pPr>
              <w:jc w:val="right"/>
              <w:spacing w:after="0" w:line="172" w:lineRule="exact"/>
              <w:rPr>
                <w:sz w:val="20"/>
                <w:szCs w:val="20"/>
                <w:color w:val="auto"/>
              </w:rPr>
            </w:pPr>
            <w:r>
              <w:rPr>
                <w:rFonts w:ascii="Times New Roman" w:cs="Times New Roman" w:eastAsia="Times New Roman" w:hAnsi="Times New Roman"/>
                <w:sz w:val="15"/>
                <w:szCs w:val="15"/>
                <w:color w:val="231F20"/>
              </w:rPr>
              <w:t>10/3/2017</w:t>
            </w:r>
          </w:p>
        </w:tc>
        <w:tc>
          <w:tcPr>
            <w:tcW w:w="1000" w:type="dxa"/>
            <w:vAlign w:val="bottom"/>
            <w:shd w:val="clear" w:color="auto" w:fill="D0EBF2"/>
          </w:tcPr>
          <w:p>
            <w:pPr>
              <w:jc w:val="right"/>
              <w:ind w:right="44"/>
              <w:spacing w:after="0" w:line="172" w:lineRule="exact"/>
              <w:rPr>
                <w:sz w:val="20"/>
                <w:szCs w:val="20"/>
                <w:color w:val="auto"/>
              </w:rPr>
            </w:pPr>
            <w:r>
              <w:rPr>
                <w:rFonts w:ascii="Times New Roman" w:cs="Times New Roman" w:eastAsia="Times New Roman" w:hAnsi="Times New Roman"/>
                <w:sz w:val="15"/>
                <w:szCs w:val="15"/>
                <w:color w:val="231F20"/>
              </w:rPr>
              <w:t>SOFR +</w:t>
            </w:r>
          </w:p>
        </w:tc>
        <w:tc>
          <w:tcPr>
            <w:tcW w:w="1060" w:type="dxa"/>
            <w:vAlign w:val="bottom"/>
            <w:shd w:val="clear" w:color="auto" w:fill="D0EBF2"/>
          </w:tcPr>
          <w:p>
            <w:pPr>
              <w:jc w:val="right"/>
              <w:ind w:right="64"/>
              <w:spacing w:after="0" w:line="172" w:lineRule="exact"/>
              <w:rPr>
                <w:sz w:val="20"/>
                <w:szCs w:val="20"/>
                <w:color w:val="auto"/>
              </w:rPr>
            </w:pPr>
            <w:r>
              <w:rPr>
                <w:rFonts w:ascii="Times New Roman" w:cs="Times New Roman" w:eastAsia="Times New Roman" w:hAnsi="Times New Roman"/>
                <w:sz w:val="15"/>
                <w:szCs w:val="15"/>
                <w:color w:val="231F20"/>
              </w:rPr>
              <w:t>15.59%</w:t>
            </w:r>
          </w:p>
        </w:tc>
        <w:tc>
          <w:tcPr>
            <w:tcW w:w="1000" w:type="dxa"/>
            <w:vAlign w:val="bottom"/>
            <w:shd w:val="clear" w:color="auto" w:fill="D0EBF2"/>
          </w:tcPr>
          <w:p>
            <w:pPr>
              <w:jc w:val="right"/>
              <w:spacing w:after="0" w:line="172" w:lineRule="exact"/>
              <w:rPr>
                <w:sz w:val="20"/>
                <w:szCs w:val="20"/>
                <w:color w:val="auto"/>
              </w:rPr>
            </w:pPr>
            <w:r>
              <w:rPr>
                <w:rFonts w:ascii="Times New Roman" w:cs="Times New Roman" w:eastAsia="Times New Roman" w:hAnsi="Times New Roman"/>
                <w:sz w:val="15"/>
                <w:szCs w:val="15"/>
                <w:color w:val="231F20"/>
              </w:rPr>
              <w:t>61,483</w:t>
            </w:r>
          </w:p>
        </w:tc>
        <w:tc>
          <w:tcPr>
            <w:tcW w:w="1680" w:type="dxa"/>
            <w:vAlign w:val="bottom"/>
            <w:gridSpan w:val="2"/>
            <w:shd w:val="clear" w:color="auto" w:fill="D0EBF2"/>
          </w:tcPr>
          <w:p>
            <w:pPr>
              <w:jc w:val="right"/>
              <w:spacing w:after="0" w:line="172" w:lineRule="exact"/>
              <w:rPr>
                <w:sz w:val="20"/>
                <w:szCs w:val="20"/>
                <w:color w:val="auto"/>
              </w:rPr>
            </w:pPr>
            <w:r>
              <w:rPr>
                <w:rFonts w:ascii="Times New Roman" w:cs="Times New Roman" w:eastAsia="Times New Roman" w:hAnsi="Times New Roman"/>
                <w:sz w:val="15"/>
                <w:szCs w:val="15"/>
                <w:color w:val="231F20"/>
              </w:rPr>
              <w:t>22,287</w:t>
            </w:r>
          </w:p>
        </w:tc>
        <w:tc>
          <w:tcPr>
            <w:tcW w:w="960" w:type="dxa"/>
            <w:vAlign w:val="bottom"/>
            <w:gridSpan w:val="2"/>
            <w:shd w:val="clear" w:color="auto" w:fill="D0EBF2"/>
          </w:tcPr>
          <w:p>
            <w:pPr>
              <w:jc w:val="right"/>
              <w:spacing w:after="0" w:line="172" w:lineRule="exact"/>
              <w:rPr>
                <w:sz w:val="20"/>
                <w:szCs w:val="20"/>
                <w:color w:val="auto"/>
              </w:rPr>
            </w:pPr>
            <w:r>
              <w:rPr>
                <w:rFonts w:ascii="Times New Roman" w:cs="Times New Roman" w:eastAsia="Times New Roman" w:hAnsi="Times New Roman"/>
                <w:sz w:val="15"/>
                <w:szCs w:val="15"/>
                <w:color w:val="231F20"/>
              </w:rPr>
              <w:t>1.4%</w:t>
            </w:r>
          </w:p>
        </w:tc>
      </w:tr>
      <w:tr>
        <w:trPr>
          <w:trHeight w:val="189"/>
        </w:trPr>
        <w:tc>
          <w:tcPr>
            <w:tcW w:w="1580" w:type="dxa"/>
            <w:vAlign w:val="bottom"/>
            <w:shd w:val="clear" w:color="auto" w:fill="D0EBF2"/>
          </w:tcPr>
          <w:p>
            <w:pPr>
              <w:spacing w:after="0" w:line="190" w:lineRule="exact"/>
              <w:rPr>
                <w:sz w:val="20"/>
                <w:szCs w:val="20"/>
                <w:color w:val="auto"/>
              </w:rPr>
            </w:pPr>
            <w:r>
              <w:rPr>
                <w:rFonts w:ascii="Times New Roman" w:cs="Times New Roman" w:eastAsia="Times New Roman" w:hAnsi="Times New Roman"/>
                <w:sz w:val="21"/>
                <w:szCs w:val="21"/>
                <w:color w:val="231F20"/>
                <w:vertAlign w:val="subscript"/>
              </w:rPr>
              <w:t>LLC</w:t>
            </w:r>
            <w:r>
              <w:rPr>
                <w:rFonts w:ascii="Times New Roman" w:cs="Times New Roman" w:eastAsia="Times New Roman" w:hAnsi="Times New Roman"/>
                <w:sz w:val="8"/>
                <w:szCs w:val="8"/>
                <w:color w:val="231F20"/>
              </w:rPr>
              <w:t xml:space="preserve"> (3)(14)</w:t>
            </w:r>
          </w:p>
        </w:tc>
        <w:tc>
          <w:tcPr>
            <w:tcW w:w="2200" w:type="dxa"/>
            <w:vAlign w:val="bottom"/>
            <w:shd w:val="clear" w:color="auto" w:fill="D0EBF2"/>
          </w:tcPr>
          <w:p>
            <w:pPr>
              <w:ind w:left="60"/>
              <w:spacing w:after="0"/>
              <w:rPr>
                <w:sz w:val="20"/>
                <w:szCs w:val="20"/>
                <w:color w:val="auto"/>
              </w:rPr>
            </w:pPr>
            <w:r>
              <w:rPr>
                <w:rFonts w:ascii="Times New Roman" w:cs="Times New Roman" w:eastAsia="Times New Roman" w:hAnsi="Times New Roman"/>
                <w:sz w:val="15"/>
                <w:szCs w:val="15"/>
                <w:color w:val="231F20"/>
              </w:rPr>
              <w:t>1/2025)</w:t>
            </w:r>
          </w:p>
        </w:tc>
        <w:tc>
          <w:tcPr>
            <w:tcW w:w="800" w:type="dxa"/>
            <w:vAlign w:val="bottom"/>
            <w:shd w:val="clear" w:color="auto" w:fill="D0EBF2"/>
          </w:tcPr>
          <w:p>
            <w:pPr>
              <w:spacing w:after="0"/>
              <w:rPr>
                <w:sz w:val="16"/>
                <w:szCs w:val="16"/>
                <w:color w:val="auto"/>
              </w:rPr>
            </w:pPr>
          </w:p>
        </w:tc>
        <w:tc>
          <w:tcPr>
            <w:tcW w:w="1000" w:type="dxa"/>
            <w:vAlign w:val="bottom"/>
            <w:shd w:val="clear" w:color="auto" w:fill="D0EBF2"/>
          </w:tcPr>
          <w:p>
            <w:pPr>
              <w:jc w:val="right"/>
              <w:ind w:right="44"/>
              <w:spacing w:after="0"/>
              <w:rPr>
                <w:sz w:val="20"/>
                <w:szCs w:val="20"/>
                <w:color w:val="auto"/>
              </w:rPr>
            </w:pPr>
            <w:r>
              <w:rPr>
                <w:rFonts w:ascii="Times New Roman" w:cs="Times New Roman" w:eastAsia="Times New Roman" w:hAnsi="Times New Roman"/>
                <w:sz w:val="15"/>
                <w:szCs w:val="15"/>
                <w:color w:val="231F20"/>
              </w:rPr>
              <w:t>11.00%</w:t>
            </w:r>
          </w:p>
        </w:tc>
        <w:tc>
          <w:tcPr>
            <w:tcW w:w="1060" w:type="dxa"/>
            <w:vAlign w:val="bottom"/>
            <w:shd w:val="clear" w:color="auto" w:fill="D0EBF2"/>
          </w:tcPr>
          <w:p>
            <w:pPr>
              <w:spacing w:after="0"/>
              <w:rPr>
                <w:sz w:val="16"/>
                <w:szCs w:val="16"/>
                <w:color w:val="auto"/>
              </w:rPr>
            </w:pPr>
          </w:p>
        </w:tc>
        <w:tc>
          <w:tcPr>
            <w:tcW w:w="1000" w:type="dxa"/>
            <w:vAlign w:val="bottom"/>
            <w:shd w:val="clear" w:color="auto" w:fill="D0EBF2"/>
          </w:tcPr>
          <w:p>
            <w:pPr>
              <w:spacing w:after="0"/>
              <w:rPr>
                <w:sz w:val="16"/>
                <w:szCs w:val="16"/>
                <w:color w:val="auto"/>
              </w:rPr>
            </w:pPr>
          </w:p>
        </w:tc>
        <w:tc>
          <w:tcPr>
            <w:tcW w:w="80" w:type="dxa"/>
            <w:vAlign w:val="bottom"/>
            <w:shd w:val="clear" w:color="auto" w:fill="D0EBF2"/>
          </w:tcPr>
          <w:p>
            <w:pPr>
              <w:spacing w:after="0"/>
              <w:rPr>
                <w:sz w:val="16"/>
                <w:szCs w:val="16"/>
                <w:color w:val="auto"/>
              </w:rPr>
            </w:pPr>
          </w:p>
        </w:tc>
        <w:tc>
          <w:tcPr>
            <w:tcW w:w="1600" w:type="dxa"/>
            <w:vAlign w:val="bottom"/>
            <w:shd w:val="clear" w:color="auto" w:fill="D0EBF2"/>
          </w:tcPr>
          <w:p>
            <w:pPr>
              <w:spacing w:after="0"/>
              <w:rPr>
                <w:sz w:val="16"/>
                <w:szCs w:val="16"/>
                <w:color w:val="auto"/>
              </w:rPr>
            </w:pPr>
          </w:p>
        </w:tc>
        <w:tc>
          <w:tcPr>
            <w:tcW w:w="100" w:type="dxa"/>
            <w:vAlign w:val="bottom"/>
            <w:shd w:val="clear" w:color="auto" w:fill="D0EBF2"/>
          </w:tcPr>
          <w:p>
            <w:pPr>
              <w:spacing w:after="0"/>
              <w:rPr>
                <w:sz w:val="16"/>
                <w:szCs w:val="16"/>
                <w:color w:val="auto"/>
              </w:rPr>
            </w:pPr>
          </w:p>
        </w:tc>
        <w:tc>
          <w:tcPr>
            <w:tcW w:w="860" w:type="dxa"/>
            <w:vAlign w:val="bottom"/>
            <w:shd w:val="clear" w:color="auto" w:fill="D0EBF2"/>
          </w:tcPr>
          <w:p>
            <w:pPr>
              <w:spacing w:after="0"/>
              <w:rPr>
                <w:sz w:val="16"/>
                <w:szCs w:val="16"/>
                <w:color w:val="auto"/>
              </w:rPr>
            </w:pPr>
          </w:p>
        </w:tc>
      </w:tr>
    </w:tbl>
    <w:p>
      <w:pPr>
        <w:spacing w:after="0" w:line="200" w:lineRule="exact"/>
        <w:rPr>
          <w:sz w:val="20"/>
          <w:szCs w:val="20"/>
          <w:color w:val="auto"/>
        </w:rPr>
      </w:pPr>
    </w:p>
    <w:p>
      <w:pPr>
        <w:sectPr>
          <w:pgSz w:w="12240" w:h="15840" w:orient="portrait"/>
          <w:cols w:equalWidth="0" w:num="1">
            <w:col w:w="10280"/>
          </w:cols>
          <w:pgMar w:left="980" w:top="1336" w:right="980" w:bottom="574" w:gutter="0" w:footer="0" w:header="0"/>
        </w:sectPr>
      </w:pPr>
    </w:p>
    <w:p>
      <w:pPr>
        <w:spacing w:after="0" w:line="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231F20"/>
        </w:rPr>
        <w:t>F-9</w:t>
      </w:r>
    </w:p>
    <w:p>
      <w:pPr>
        <w:sectPr>
          <w:pgSz w:w="12240" w:h="15840" w:orient="portrait"/>
          <w:cols w:equalWidth="0" w:num="1">
            <w:col w:w="10280"/>
          </w:cols>
          <w:pgMar w:left="980" w:top="1336" w:right="980" w:bottom="574" w:gutter="0" w:footer="0" w:header="0"/>
          <w:type w:val="continuous"/>
        </w:sectPr>
      </w:pPr>
    </w:p>
    <w:bookmarkStart w:id="97" w:name="page98"/>
    <w:bookmarkEnd w:id="97"/>
    <w:tbl>
      <w:tblPr>
        <w:tblLayout w:type="fixed"/>
        <w:tblInd w:w="0" w:type="dxa"/>
        <w:tblCellMar>
          <w:top w:w="0" w:type="dxa"/>
          <w:left w:w="0" w:type="dxa"/>
          <w:bottom w:w="0" w:type="dxa"/>
          <w:right w:w="0" w:type="dxa"/>
        </w:tblCellMar>
      </w:tblPr>
      <w:tr>
        <w:trPr>
          <w:trHeight w:val="172"/>
        </w:trPr>
        <w:tc>
          <w:tcPr>
            <w:tcW w:w="1580" w:type="dxa"/>
            <w:vAlign w:val="bottom"/>
            <w:shd w:val="clear" w:color="auto" w:fill="FDFDFC"/>
          </w:tcPr>
          <w:p>
            <w:pPr>
              <w:spacing w:after="0"/>
              <w:rPr>
                <w:sz w:val="20"/>
                <w:szCs w:val="20"/>
                <w:color w:val="auto"/>
              </w:rPr>
            </w:pPr>
            <w:r>
              <w:rPr>
                <w:rFonts w:ascii="Times New Roman" w:cs="Times New Roman" w:eastAsia="Times New Roman" w:hAnsi="Times New Roman"/>
                <w:sz w:val="15"/>
                <w:szCs w:val="15"/>
                <w:color w:val="231F20"/>
              </w:rPr>
              <w:t xml:space="preserve">Lucidworks, Inc. </w:t>
            </w:r>
            <w:r>
              <w:rPr>
                <w:rFonts w:ascii="Times New Roman" w:cs="Times New Roman" w:eastAsia="Times New Roman" w:hAnsi="Times New Roman"/>
                <w:sz w:val="9"/>
                <w:szCs w:val="9"/>
                <w:color w:val="231F20"/>
              </w:rPr>
              <w:t>(3)(5)</w:t>
            </w:r>
          </w:p>
        </w:tc>
        <w:tc>
          <w:tcPr>
            <w:tcW w:w="2200" w:type="dxa"/>
            <w:vAlign w:val="bottom"/>
            <w:shd w:val="clear" w:color="auto" w:fill="FDFDFC"/>
          </w:tcPr>
          <w:p>
            <w:pPr>
              <w:ind w:left="60"/>
              <w:spacing w:after="0"/>
              <w:rPr>
                <w:sz w:val="20"/>
                <w:szCs w:val="20"/>
                <w:color w:val="auto"/>
              </w:rPr>
            </w:pPr>
            <w:r>
              <w:rPr>
                <w:rFonts w:ascii="Times New Roman" w:cs="Times New Roman" w:eastAsia="Times New Roman" w:hAnsi="Times New Roman"/>
                <w:sz w:val="15"/>
                <w:szCs w:val="15"/>
                <w:color w:val="231F20"/>
              </w:rPr>
              <w:t>First-lien loan ($9,477 par, due</w:t>
            </w:r>
          </w:p>
        </w:tc>
        <w:tc>
          <w:tcPr>
            <w:tcW w:w="800" w:type="dxa"/>
            <w:vAlign w:val="bottom"/>
            <w:shd w:val="clear" w:color="auto" w:fill="FDFDFC"/>
          </w:tcPr>
          <w:p>
            <w:pPr>
              <w:jc w:val="right"/>
              <w:spacing w:after="0"/>
              <w:rPr>
                <w:sz w:val="20"/>
                <w:szCs w:val="20"/>
                <w:color w:val="auto"/>
              </w:rPr>
            </w:pPr>
            <w:r>
              <w:rPr>
                <w:rFonts w:ascii="Times New Roman" w:cs="Times New Roman" w:eastAsia="Times New Roman" w:hAnsi="Times New Roman"/>
                <w:sz w:val="15"/>
                <w:szCs w:val="15"/>
                <w:color w:val="231F20"/>
              </w:rPr>
              <w:t>2/11/2022</w:t>
            </w:r>
          </w:p>
        </w:tc>
        <w:tc>
          <w:tcPr>
            <w:tcW w:w="1000" w:type="dxa"/>
            <w:vAlign w:val="bottom"/>
            <w:shd w:val="clear" w:color="auto" w:fill="FDFDFC"/>
          </w:tcPr>
          <w:p>
            <w:pPr>
              <w:jc w:val="right"/>
              <w:ind w:right="44"/>
              <w:spacing w:after="0"/>
              <w:rPr>
                <w:sz w:val="20"/>
                <w:szCs w:val="20"/>
                <w:color w:val="auto"/>
              </w:rPr>
            </w:pPr>
            <w:r>
              <w:rPr>
                <w:rFonts w:ascii="Times New Roman" w:cs="Times New Roman" w:eastAsia="Times New Roman" w:hAnsi="Times New Roman"/>
                <w:sz w:val="15"/>
                <w:szCs w:val="15"/>
                <w:color w:val="231F20"/>
              </w:rPr>
              <w:t>SOFR +</w:t>
            </w:r>
          </w:p>
        </w:tc>
        <w:tc>
          <w:tcPr>
            <w:tcW w:w="1060" w:type="dxa"/>
            <w:vAlign w:val="bottom"/>
            <w:shd w:val="clear" w:color="auto" w:fill="FDFDFC"/>
          </w:tcPr>
          <w:p>
            <w:pPr>
              <w:jc w:val="right"/>
              <w:ind w:right="64"/>
              <w:spacing w:after="0"/>
              <w:rPr>
                <w:sz w:val="20"/>
                <w:szCs w:val="20"/>
                <w:color w:val="auto"/>
              </w:rPr>
            </w:pPr>
            <w:r>
              <w:rPr>
                <w:rFonts w:ascii="Times New Roman" w:cs="Times New Roman" w:eastAsia="Times New Roman" w:hAnsi="Times New Roman"/>
                <w:sz w:val="15"/>
                <w:szCs w:val="15"/>
                <w:color w:val="231F20"/>
              </w:rPr>
              <w:t>11.86% (incl.</w:t>
            </w:r>
          </w:p>
        </w:tc>
        <w:tc>
          <w:tcPr>
            <w:tcW w:w="1000" w:type="dxa"/>
            <w:vAlign w:val="bottom"/>
            <w:gridSpan w:val="2"/>
            <w:shd w:val="clear" w:color="auto" w:fill="FDFDFC"/>
          </w:tcPr>
          <w:p>
            <w:pPr>
              <w:jc w:val="right"/>
              <w:spacing w:after="0"/>
              <w:rPr>
                <w:sz w:val="20"/>
                <w:szCs w:val="20"/>
                <w:color w:val="auto"/>
              </w:rPr>
            </w:pPr>
            <w:r>
              <w:rPr>
                <w:rFonts w:ascii="Times New Roman" w:cs="Times New Roman" w:eastAsia="Times New Roman" w:hAnsi="Times New Roman"/>
                <w:sz w:val="15"/>
                <w:szCs w:val="15"/>
                <w:color w:val="231F20"/>
              </w:rPr>
              <w:t>9,477</w:t>
            </w:r>
          </w:p>
        </w:tc>
        <w:tc>
          <w:tcPr>
            <w:tcW w:w="1680" w:type="dxa"/>
            <w:vAlign w:val="bottom"/>
            <w:gridSpan w:val="3"/>
            <w:shd w:val="clear" w:color="auto" w:fill="FDFDFC"/>
          </w:tcPr>
          <w:p>
            <w:pPr>
              <w:jc w:val="right"/>
              <w:spacing w:after="0"/>
              <w:rPr>
                <w:sz w:val="20"/>
                <w:szCs w:val="20"/>
                <w:color w:val="auto"/>
              </w:rPr>
            </w:pPr>
            <w:r>
              <w:rPr>
                <w:rFonts w:ascii="Times New Roman" w:cs="Times New Roman" w:eastAsia="Times New Roman" w:hAnsi="Times New Roman"/>
                <w:sz w:val="15"/>
                <w:szCs w:val="15"/>
                <w:color w:val="231F20"/>
              </w:rPr>
              <w:t>9,501</w:t>
            </w:r>
          </w:p>
        </w:tc>
        <w:tc>
          <w:tcPr>
            <w:tcW w:w="960" w:type="dxa"/>
            <w:vAlign w:val="bottom"/>
            <w:gridSpan w:val="2"/>
            <w:shd w:val="clear" w:color="auto" w:fill="FDFDFC"/>
          </w:tcPr>
          <w:p>
            <w:pPr>
              <w:jc w:val="right"/>
              <w:spacing w:after="0"/>
              <w:rPr>
                <w:sz w:val="20"/>
                <w:szCs w:val="20"/>
                <w:color w:val="auto"/>
              </w:rPr>
            </w:pPr>
            <w:r>
              <w:rPr>
                <w:rFonts w:ascii="Times New Roman" w:cs="Times New Roman" w:eastAsia="Times New Roman" w:hAnsi="Times New Roman"/>
                <w:sz w:val="15"/>
                <w:szCs w:val="15"/>
                <w:color w:val="231F20"/>
              </w:rPr>
              <w:t>0.6%</w:t>
            </w:r>
          </w:p>
        </w:tc>
      </w:tr>
      <w:tr>
        <w:trPr>
          <w:trHeight w:val="189"/>
        </w:trPr>
        <w:tc>
          <w:tcPr>
            <w:tcW w:w="1580" w:type="dxa"/>
            <w:vAlign w:val="bottom"/>
            <w:shd w:val="clear" w:color="auto" w:fill="FDFDFC"/>
          </w:tcPr>
          <w:p>
            <w:pPr>
              <w:spacing w:after="0"/>
              <w:rPr>
                <w:sz w:val="16"/>
                <w:szCs w:val="16"/>
                <w:color w:val="auto"/>
              </w:rPr>
            </w:pPr>
          </w:p>
        </w:tc>
        <w:tc>
          <w:tcPr>
            <w:tcW w:w="2200" w:type="dxa"/>
            <w:vAlign w:val="bottom"/>
            <w:shd w:val="clear" w:color="auto" w:fill="FDFDFC"/>
          </w:tcPr>
          <w:p>
            <w:pPr>
              <w:ind w:left="60"/>
              <w:spacing w:after="0"/>
              <w:rPr>
                <w:sz w:val="20"/>
                <w:szCs w:val="20"/>
                <w:color w:val="auto"/>
              </w:rPr>
            </w:pPr>
            <w:r>
              <w:rPr>
                <w:rFonts w:ascii="Times New Roman" w:cs="Times New Roman" w:eastAsia="Times New Roman" w:hAnsi="Times New Roman"/>
                <w:sz w:val="15"/>
                <w:szCs w:val="15"/>
                <w:color w:val="231F20"/>
              </w:rPr>
              <w:t>2/2027)</w:t>
            </w:r>
          </w:p>
        </w:tc>
        <w:tc>
          <w:tcPr>
            <w:tcW w:w="800" w:type="dxa"/>
            <w:vAlign w:val="bottom"/>
            <w:shd w:val="clear" w:color="auto" w:fill="FDFDFC"/>
          </w:tcPr>
          <w:p>
            <w:pPr>
              <w:spacing w:after="0"/>
              <w:rPr>
                <w:sz w:val="16"/>
                <w:szCs w:val="16"/>
                <w:color w:val="auto"/>
              </w:rPr>
            </w:pPr>
          </w:p>
        </w:tc>
        <w:tc>
          <w:tcPr>
            <w:tcW w:w="1000" w:type="dxa"/>
            <w:vAlign w:val="bottom"/>
            <w:shd w:val="clear" w:color="auto" w:fill="FDFDFC"/>
          </w:tcPr>
          <w:p>
            <w:pPr>
              <w:jc w:val="right"/>
              <w:ind w:right="44"/>
              <w:spacing w:after="0"/>
              <w:rPr>
                <w:sz w:val="20"/>
                <w:szCs w:val="20"/>
                <w:color w:val="auto"/>
              </w:rPr>
            </w:pPr>
            <w:r>
              <w:rPr>
                <w:rFonts w:ascii="Times New Roman" w:cs="Times New Roman" w:eastAsia="Times New Roman" w:hAnsi="Times New Roman"/>
                <w:sz w:val="15"/>
                <w:szCs w:val="15"/>
                <w:color w:val="231F20"/>
              </w:rPr>
              <w:t>7.50%</w:t>
            </w:r>
          </w:p>
        </w:tc>
        <w:tc>
          <w:tcPr>
            <w:tcW w:w="1060" w:type="dxa"/>
            <w:vAlign w:val="bottom"/>
            <w:shd w:val="clear" w:color="auto" w:fill="FDFDFC"/>
          </w:tcPr>
          <w:p>
            <w:pPr>
              <w:jc w:val="right"/>
              <w:ind w:right="64"/>
              <w:spacing w:after="0"/>
              <w:rPr>
                <w:sz w:val="20"/>
                <w:szCs w:val="20"/>
                <w:color w:val="auto"/>
              </w:rPr>
            </w:pPr>
            <w:r>
              <w:rPr>
                <w:rFonts w:ascii="Times New Roman" w:cs="Times New Roman" w:eastAsia="Times New Roman" w:hAnsi="Times New Roman"/>
                <w:sz w:val="15"/>
                <w:szCs w:val="15"/>
                <w:color w:val="231F20"/>
              </w:rPr>
              <w:t>3.5% PIK)</w:t>
            </w:r>
          </w:p>
        </w:tc>
        <w:tc>
          <w:tcPr>
            <w:tcW w:w="100" w:type="dxa"/>
            <w:vAlign w:val="bottom"/>
            <w:shd w:val="clear" w:color="auto" w:fill="FDFDFC"/>
          </w:tcPr>
          <w:p>
            <w:pPr>
              <w:spacing w:after="0"/>
              <w:rPr>
                <w:sz w:val="16"/>
                <w:szCs w:val="16"/>
                <w:color w:val="auto"/>
              </w:rPr>
            </w:pPr>
          </w:p>
        </w:tc>
        <w:tc>
          <w:tcPr>
            <w:tcW w:w="900" w:type="dxa"/>
            <w:vAlign w:val="bottom"/>
            <w:shd w:val="clear" w:color="auto" w:fill="FDFDFC"/>
          </w:tcPr>
          <w:p>
            <w:pPr>
              <w:spacing w:after="0"/>
              <w:rPr>
                <w:sz w:val="16"/>
                <w:szCs w:val="16"/>
                <w:color w:val="auto"/>
              </w:rPr>
            </w:pPr>
          </w:p>
        </w:tc>
        <w:tc>
          <w:tcPr>
            <w:tcW w:w="80" w:type="dxa"/>
            <w:vAlign w:val="bottom"/>
            <w:shd w:val="clear" w:color="auto" w:fill="FDFDFC"/>
          </w:tcPr>
          <w:p>
            <w:pPr>
              <w:spacing w:after="0"/>
              <w:rPr>
                <w:sz w:val="16"/>
                <w:szCs w:val="16"/>
                <w:color w:val="auto"/>
              </w:rPr>
            </w:pPr>
          </w:p>
        </w:tc>
        <w:tc>
          <w:tcPr>
            <w:tcW w:w="100" w:type="dxa"/>
            <w:vAlign w:val="bottom"/>
            <w:shd w:val="clear" w:color="auto" w:fill="FDFDFC"/>
          </w:tcPr>
          <w:p>
            <w:pPr>
              <w:spacing w:after="0"/>
              <w:rPr>
                <w:sz w:val="16"/>
                <w:szCs w:val="16"/>
                <w:color w:val="auto"/>
              </w:rPr>
            </w:pPr>
          </w:p>
        </w:tc>
        <w:tc>
          <w:tcPr>
            <w:tcW w:w="1500" w:type="dxa"/>
            <w:vAlign w:val="bottom"/>
            <w:shd w:val="clear" w:color="auto" w:fill="FDFDFC"/>
          </w:tcPr>
          <w:p>
            <w:pPr>
              <w:spacing w:after="0"/>
              <w:rPr>
                <w:sz w:val="16"/>
                <w:szCs w:val="16"/>
                <w:color w:val="auto"/>
              </w:rPr>
            </w:pPr>
          </w:p>
        </w:tc>
        <w:tc>
          <w:tcPr>
            <w:tcW w:w="100" w:type="dxa"/>
            <w:vAlign w:val="bottom"/>
            <w:shd w:val="clear" w:color="auto" w:fill="FDFDFC"/>
          </w:tcPr>
          <w:p>
            <w:pPr>
              <w:spacing w:after="0"/>
              <w:rPr>
                <w:sz w:val="16"/>
                <w:szCs w:val="16"/>
                <w:color w:val="auto"/>
              </w:rPr>
            </w:pPr>
          </w:p>
        </w:tc>
        <w:tc>
          <w:tcPr>
            <w:tcW w:w="860" w:type="dxa"/>
            <w:vAlign w:val="bottom"/>
            <w:shd w:val="clear" w:color="auto" w:fill="FDFDFC"/>
          </w:tcPr>
          <w:p>
            <w:pPr>
              <w:spacing w:after="0"/>
              <w:rPr>
                <w:sz w:val="16"/>
                <w:szCs w:val="16"/>
                <w:color w:val="auto"/>
              </w:rPr>
            </w:pPr>
          </w:p>
        </w:tc>
      </w:tr>
      <w:tr>
        <w:trPr>
          <w:trHeight w:val="171"/>
        </w:trPr>
        <w:tc>
          <w:tcPr>
            <w:tcW w:w="1580" w:type="dxa"/>
            <w:vAlign w:val="bottom"/>
            <w:shd w:val="clear" w:color="auto" w:fill="D0EBF2"/>
          </w:tcPr>
          <w:p>
            <w:pPr>
              <w:spacing w:after="0" w:line="172" w:lineRule="exact"/>
              <w:rPr>
                <w:sz w:val="20"/>
                <w:szCs w:val="20"/>
                <w:color w:val="auto"/>
              </w:rPr>
            </w:pPr>
            <w:r>
              <w:rPr>
                <w:rFonts w:ascii="Times New Roman" w:cs="Times New Roman" w:eastAsia="Times New Roman" w:hAnsi="Times New Roman"/>
                <w:sz w:val="15"/>
                <w:szCs w:val="15"/>
                <w:color w:val="231F20"/>
              </w:rPr>
              <w:t>Merit Software Finance</w:t>
            </w:r>
          </w:p>
        </w:tc>
        <w:tc>
          <w:tcPr>
            <w:tcW w:w="2200" w:type="dxa"/>
            <w:vAlign w:val="bottom"/>
            <w:shd w:val="clear" w:color="auto" w:fill="D0EBF2"/>
          </w:tcPr>
          <w:p>
            <w:pPr>
              <w:ind w:left="60"/>
              <w:spacing w:after="0" w:line="172" w:lineRule="exact"/>
              <w:rPr>
                <w:sz w:val="20"/>
                <w:szCs w:val="20"/>
                <w:color w:val="auto"/>
              </w:rPr>
            </w:pPr>
            <w:r>
              <w:rPr>
                <w:rFonts w:ascii="Times New Roman" w:cs="Times New Roman" w:eastAsia="Times New Roman" w:hAnsi="Times New Roman"/>
                <w:sz w:val="15"/>
                <w:szCs w:val="15"/>
                <w:color w:val="231F20"/>
              </w:rPr>
              <w:t>First-lien loan ($43,214 par, due</w:t>
            </w:r>
          </w:p>
        </w:tc>
        <w:tc>
          <w:tcPr>
            <w:tcW w:w="800" w:type="dxa"/>
            <w:vAlign w:val="bottom"/>
            <w:shd w:val="clear" w:color="auto" w:fill="D0EBF2"/>
          </w:tcPr>
          <w:p>
            <w:pPr>
              <w:jc w:val="right"/>
              <w:spacing w:after="0" w:line="172" w:lineRule="exact"/>
              <w:rPr>
                <w:sz w:val="20"/>
                <w:szCs w:val="20"/>
                <w:color w:val="auto"/>
              </w:rPr>
            </w:pPr>
            <w:r>
              <w:rPr>
                <w:rFonts w:ascii="Times New Roman" w:cs="Times New Roman" w:eastAsia="Times New Roman" w:hAnsi="Times New Roman"/>
                <w:sz w:val="15"/>
                <w:szCs w:val="15"/>
                <w:color w:val="231F20"/>
              </w:rPr>
              <w:t>6/20/2024</w:t>
            </w:r>
          </w:p>
        </w:tc>
        <w:tc>
          <w:tcPr>
            <w:tcW w:w="1000" w:type="dxa"/>
            <w:vAlign w:val="bottom"/>
            <w:shd w:val="clear" w:color="auto" w:fill="D0EBF2"/>
          </w:tcPr>
          <w:p>
            <w:pPr>
              <w:jc w:val="right"/>
              <w:ind w:right="44"/>
              <w:spacing w:after="0" w:line="172" w:lineRule="exact"/>
              <w:rPr>
                <w:sz w:val="20"/>
                <w:szCs w:val="20"/>
                <w:color w:val="auto"/>
              </w:rPr>
            </w:pPr>
            <w:r>
              <w:rPr>
                <w:rFonts w:ascii="Times New Roman" w:cs="Times New Roman" w:eastAsia="Times New Roman" w:hAnsi="Times New Roman"/>
                <w:sz w:val="15"/>
                <w:szCs w:val="15"/>
                <w:color w:val="231F20"/>
              </w:rPr>
              <w:t>SOFR +</w:t>
            </w:r>
          </w:p>
        </w:tc>
        <w:tc>
          <w:tcPr>
            <w:tcW w:w="1060" w:type="dxa"/>
            <w:vAlign w:val="bottom"/>
            <w:shd w:val="clear" w:color="auto" w:fill="D0EBF2"/>
          </w:tcPr>
          <w:p>
            <w:pPr>
              <w:jc w:val="right"/>
              <w:ind w:right="64"/>
              <w:spacing w:after="0" w:line="172" w:lineRule="exact"/>
              <w:rPr>
                <w:sz w:val="20"/>
                <w:szCs w:val="20"/>
                <w:color w:val="auto"/>
              </w:rPr>
            </w:pPr>
            <w:r>
              <w:rPr>
                <w:rFonts w:ascii="Times New Roman" w:cs="Times New Roman" w:eastAsia="Times New Roman" w:hAnsi="Times New Roman"/>
                <w:sz w:val="15"/>
                <w:szCs w:val="15"/>
                <w:color w:val="231F20"/>
              </w:rPr>
              <w:t>11.85%</w:t>
            </w:r>
          </w:p>
        </w:tc>
        <w:tc>
          <w:tcPr>
            <w:tcW w:w="1000" w:type="dxa"/>
            <w:vAlign w:val="bottom"/>
            <w:gridSpan w:val="2"/>
            <w:shd w:val="clear" w:color="auto" w:fill="D0EBF2"/>
          </w:tcPr>
          <w:p>
            <w:pPr>
              <w:jc w:val="right"/>
              <w:spacing w:after="0" w:line="172" w:lineRule="exact"/>
              <w:rPr>
                <w:sz w:val="20"/>
                <w:szCs w:val="20"/>
                <w:color w:val="auto"/>
              </w:rPr>
            </w:pPr>
            <w:r>
              <w:rPr>
                <w:rFonts w:ascii="Times New Roman" w:cs="Times New Roman" w:eastAsia="Times New Roman" w:hAnsi="Times New Roman"/>
                <w:sz w:val="15"/>
                <w:szCs w:val="15"/>
                <w:color w:val="231F20"/>
              </w:rPr>
              <w:t>41,939</w:t>
            </w:r>
          </w:p>
        </w:tc>
        <w:tc>
          <w:tcPr>
            <w:tcW w:w="1680" w:type="dxa"/>
            <w:vAlign w:val="bottom"/>
            <w:gridSpan w:val="3"/>
            <w:shd w:val="clear" w:color="auto" w:fill="D0EBF2"/>
          </w:tcPr>
          <w:p>
            <w:pPr>
              <w:jc w:val="right"/>
              <w:spacing w:after="0" w:line="172" w:lineRule="exact"/>
              <w:rPr>
                <w:sz w:val="20"/>
                <w:szCs w:val="20"/>
                <w:color w:val="auto"/>
              </w:rPr>
            </w:pPr>
            <w:r>
              <w:rPr>
                <w:rFonts w:ascii="Times New Roman" w:cs="Times New Roman" w:eastAsia="Times New Roman" w:hAnsi="Times New Roman"/>
                <w:sz w:val="15"/>
                <w:szCs w:val="15"/>
                <w:color w:val="231F20"/>
              </w:rPr>
              <w:t>42,389</w:t>
            </w:r>
          </w:p>
        </w:tc>
        <w:tc>
          <w:tcPr>
            <w:tcW w:w="960" w:type="dxa"/>
            <w:vAlign w:val="bottom"/>
            <w:gridSpan w:val="2"/>
            <w:shd w:val="clear" w:color="auto" w:fill="D0EBF2"/>
          </w:tcPr>
          <w:p>
            <w:pPr>
              <w:jc w:val="right"/>
              <w:spacing w:after="0" w:line="172" w:lineRule="exact"/>
              <w:rPr>
                <w:sz w:val="20"/>
                <w:szCs w:val="20"/>
                <w:color w:val="auto"/>
              </w:rPr>
            </w:pPr>
            <w:r>
              <w:rPr>
                <w:rFonts w:ascii="Times New Roman" w:cs="Times New Roman" w:eastAsia="Times New Roman" w:hAnsi="Times New Roman"/>
                <w:sz w:val="15"/>
                <w:szCs w:val="15"/>
                <w:color w:val="231F20"/>
              </w:rPr>
              <w:t>2.7%</w:t>
            </w:r>
          </w:p>
        </w:tc>
      </w:tr>
      <w:tr>
        <w:trPr>
          <w:trHeight w:val="189"/>
        </w:trPr>
        <w:tc>
          <w:tcPr>
            <w:tcW w:w="1580" w:type="dxa"/>
            <w:vAlign w:val="bottom"/>
            <w:shd w:val="clear" w:color="auto" w:fill="D0EBF2"/>
          </w:tcPr>
          <w:p>
            <w:pPr>
              <w:spacing w:after="0"/>
              <w:rPr>
                <w:sz w:val="20"/>
                <w:szCs w:val="20"/>
                <w:color w:val="auto"/>
              </w:rPr>
            </w:pPr>
            <w:r>
              <w:rPr>
                <w:rFonts w:ascii="Times New Roman" w:cs="Times New Roman" w:eastAsia="Times New Roman" w:hAnsi="Times New Roman"/>
                <w:sz w:val="15"/>
                <w:szCs w:val="15"/>
                <w:color w:val="231F20"/>
              </w:rPr>
              <w:t xml:space="preserve">Holdings, LLC </w:t>
            </w:r>
            <w:r>
              <w:rPr>
                <w:rFonts w:ascii="Times New Roman" w:cs="Times New Roman" w:eastAsia="Times New Roman" w:hAnsi="Times New Roman"/>
                <w:sz w:val="9"/>
                <w:szCs w:val="9"/>
                <w:color w:val="231F20"/>
              </w:rPr>
              <w:t>(3)</w:t>
            </w:r>
          </w:p>
        </w:tc>
        <w:tc>
          <w:tcPr>
            <w:tcW w:w="2200" w:type="dxa"/>
            <w:vAlign w:val="bottom"/>
            <w:shd w:val="clear" w:color="auto" w:fill="D0EBF2"/>
          </w:tcPr>
          <w:p>
            <w:pPr>
              <w:ind w:left="60"/>
              <w:spacing w:after="0"/>
              <w:rPr>
                <w:sz w:val="20"/>
                <w:szCs w:val="20"/>
                <w:color w:val="auto"/>
              </w:rPr>
            </w:pPr>
            <w:r>
              <w:rPr>
                <w:rFonts w:ascii="Times New Roman" w:cs="Times New Roman" w:eastAsia="Times New Roman" w:hAnsi="Times New Roman"/>
                <w:sz w:val="15"/>
                <w:szCs w:val="15"/>
                <w:color w:val="231F20"/>
              </w:rPr>
              <w:t>6/2029)</w:t>
            </w:r>
          </w:p>
        </w:tc>
        <w:tc>
          <w:tcPr>
            <w:tcW w:w="800" w:type="dxa"/>
            <w:vAlign w:val="bottom"/>
            <w:shd w:val="clear" w:color="auto" w:fill="D0EBF2"/>
          </w:tcPr>
          <w:p>
            <w:pPr>
              <w:spacing w:after="0"/>
              <w:rPr>
                <w:sz w:val="16"/>
                <w:szCs w:val="16"/>
                <w:color w:val="auto"/>
              </w:rPr>
            </w:pPr>
          </w:p>
        </w:tc>
        <w:tc>
          <w:tcPr>
            <w:tcW w:w="1000" w:type="dxa"/>
            <w:vAlign w:val="bottom"/>
            <w:shd w:val="clear" w:color="auto" w:fill="D0EBF2"/>
          </w:tcPr>
          <w:p>
            <w:pPr>
              <w:jc w:val="right"/>
              <w:ind w:right="44"/>
              <w:spacing w:after="0"/>
              <w:rPr>
                <w:sz w:val="20"/>
                <w:szCs w:val="20"/>
                <w:color w:val="auto"/>
              </w:rPr>
            </w:pPr>
            <w:r>
              <w:rPr>
                <w:rFonts w:ascii="Times New Roman" w:cs="Times New Roman" w:eastAsia="Times New Roman" w:hAnsi="Times New Roman"/>
                <w:sz w:val="15"/>
                <w:szCs w:val="15"/>
                <w:color w:val="231F20"/>
              </w:rPr>
              <w:t>7.50%</w:t>
            </w:r>
          </w:p>
        </w:tc>
        <w:tc>
          <w:tcPr>
            <w:tcW w:w="1060" w:type="dxa"/>
            <w:vAlign w:val="bottom"/>
            <w:shd w:val="clear" w:color="auto" w:fill="D0EBF2"/>
          </w:tcPr>
          <w:p>
            <w:pPr>
              <w:spacing w:after="0"/>
              <w:rPr>
                <w:sz w:val="16"/>
                <w:szCs w:val="16"/>
                <w:color w:val="auto"/>
              </w:rPr>
            </w:pPr>
          </w:p>
        </w:tc>
        <w:tc>
          <w:tcPr>
            <w:tcW w:w="100" w:type="dxa"/>
            <w:vAlign w:val="bottom"/>
            <w:shd w:val="clear" w:color="auto" w:fill="D0EBF2"/>
          </w:tcPr>
          <w:p>
            <w:pPr>
              <w:spacing w:after="0"/>
              <w:rPr>
                <w:sz w:val="16"/>
                <w:szCs w:val="16"/>
                <w:color w:val="auto"/>
              </w:rPr>
            </w:pPr>
          </w:p>
        </w:tc>
        <w:tc>
          <w:tcPr>
            <w:tcW w:w="900" w:type="dxa"/>
            <w:vAlign w:val="bottom"/>
            <w:shd w:val="clear" w:color="auto" w:fill="D0EBF2"/>
          </w:tcPr>
          <w:p>
            <w:pPr>
              <w:spacing w:after="0"/>
              <w:rPr>
                <w:sz w:val="16"/>
                <w:szCs w:val="16"/>
                <w:color w:val="auto"/>
              </w:rPr>
            </w:pPr>
          </w:p>
        </w:tc>
        <w:tc>
          <w:tcPr>
            <w:tcW w:w="80" w:type="dxa"/>
            <w:vAlign w:val="bottom"/>
            <w:shd w:val="clear" w:color="auto" w:fill="D0EBF2"/>
          </w:tcPr>
          <w:p>
            <w:pPr>
              <w:spacing w:after="0"/>
              <w:rPr>
                <w:sz w:val="16"/>
                <w:szCs w:val="16"/>
                <w:color w:val="auto"/>
              </w:rPr>
            </w:pPr>
          </w:p>
        </w:tc>
        <w:tc>
          <w:tcPr>
            <w:tcW w:w="100" w:type="dxa"/>
            <w:vAlign w:val="bottom"/>
            <w:shd w:val="clear" w:color="auto" w:fill="D0EBF2"/>
          </w:tcPr>
          <w:p>
            <w:pPr>
              <w:spacing w:after="0"/>
              <w:rPr>
                <w:sz w:val="16"/>
                <w:szCs w:val="16"/>
                <w:color w:val="auto"/>
              </w:rPr>
            </w:pPr>
          </w:p>
        </w:tc>
        <w:tc>
          <w:tcPr>
            <w:tcW w:w="1500" w:type="dxa"/>
            <w:vAlign w:val="bottom"/>
            <w:shd w:val="clear" w:color="auto" w:fill="D0EBF2"/>
          </w:tcPr>
          <w:p>
            <w:pPr>
              <w:spacing w:after="0"/>
              <w:rPr>
                <w:sz w:val="16"/>
                <w:szCs w:val="16"/>
                <w:color w:val="auto"/>
              </w:rPr>
            </w:pPr>
          </w:p>
        </w:tc>
        <w:tc>
          <w:tcPr>
            <w:tcW w:w="100" w:type="dxa"/>
            <w:vAlign w:val="bottom"/>
            <w:shd w:val="clear" w:color="auto" w:fill="D0EBF2"/>
          </w:tcPr>
          <w:p>
            <w:pPr>
              <w:spacing w:after="0"/>
              <w:rPr>
                <w:sz w:val="16"/>
                <w:szCs w:val="16"/>
                <w:color w:val="auto"/>
              </w:rPr>
            </w:pPr>
          </w:p>
        </w:tc>
        <w:tc>
          <w:tcPr>
            <w:tcW w:w="860" w:type="dxa"/>
            <w:vAlign w:val="bottom"/>
            <w:shd w:val="clear" w:color="auto" w:fill="D0EBF2"/>
          </w:tcPr>
          <w:p>
            <w:pPr>
              <w:spacing w:after="0"/>
              <w:rPr>
                <w:sz w:val="16"/>
                <w:szCs w:val="16"/>
                <w:color w:val="auto"/>
              </w:rPr>
            </w:pPr>
          </w:p>
        </w:tc>
      </w:tr>
      <w:tr>
        <w:trPr>
          <w:trHeight w:val="171"/>
        </w:trPr>
        <w:tc>
          <w:tcPr>
            <w:tcW w:w="1580" w:type="dxa"/>
            <w:vAlign w:val="bottom"/>
            <w:shd w:val="clear" w:color="auto" w:fill="FDFDFC"/>
          </w:tcPr>
          <w:p>
            <w:pPr>
              <w:spacing w:after="0" w:line="172" w:lineRule="exact"/>
              <w:rPr>
                <w:sz w:val="20"/>
                <w:szCs w:val="20"/>
                <w:color w:val="auto"/>
              </w:rPr>
            </w:pPr>
            <w:r>
              <w:rPr>
                <w:rFonts w:ascii="Times New Roman" w:cs="Times New Roman" w:eastAsia="Times New Roman" w:hAnsi="Times New Roman"/>
                <w:sz w:val="15"/>
                <w:szCs w:val="15"/>
                <w:color w:val="231F20"/>
              </w:rPr>
              <w:t>SMA Technologies</w:t>
            </w:r>
          </w:p>
        </w:tc>
        <w:tc>
          <w:tcPr>
            <w:tcW w:w="2200" w:type="dxa"/>
            <w:vAlign w:val="bottom"/>
            <w:shd w:val="clear" w:color="auto" w:fill="FDFDFC"/>
          </w:tcPr>
          <w:p>
            <w:pPr>
              <w:ind w:left="60"/>
              <w:spacing w:after="0" w:line="172" w:lineRule="exact"/>
              <w:rPr>
                <w:sz w:val="20"/>
                <w:szCs w:val="20"/>
                <w:color w:val="auto"/>
              </w:rPr>
            </w:pPr>
            <w:r>
              <w:rPr>
                <w:rFonts w:ascii="Times New Roman" w:cs="Times New Roman" w:eastAsia="Times New Roman" w:hAnsi="Times New Roman"/>
                <w:sz w:val="15"/>
                <w:szCs w:val="15"/>
                <w:color w:val="231F20"/>
              </w:rPr>
              <w:t>First-lien loan ($53,991 par, due</w:t>
            </w:r>
          </w:p>
        </w:tc>
        <w:tc>
          <w:tcPr>
            <w:tcW w:w="800" w:type="dxa"/>
            <w:vAlign w:val="bottom"/>
            <w:shd w:val="clear" w:color="auto" w:fill="FDFDFC"/>
          </w:tcPr>
          <w:p>
            <w:pPr>
              <w:jc w:val="right"/>
              <w:spacing w:after="0" w:line="172" w:lineRule="exact"/>
              <w:rPr>
                <w:sz w:val="20"/>
                <w:szCs w:val="20"/>
                <w:color w:val="auto"/>
              </w:rPr>
            </w:pPr>
            <w:r>
              <w:rPr>
                <w:rFonts w:ascii="Times New Roman" w:cs="Times New Roman" w:eastAsia="Times New Roman" w:hAnsi="Times New Roman"/>
                <w:sz w:val="15"/>
                <w:szCs w:val="15"/>
                <w:color w:val="231F20"/>
              </w:rPr>
              <w:t>10/31/2022</w:t>
            </w:r>
          </w:p>
        </w:tc>
        <w:tc>
          <w:tcPr>
            <w:tcW w:w="1000" w:type="dxa"/>
            <w:vAlign w:val="bottom"/>
            <w:shd w:val="clear" w:color="auto" w:fill="FDFDFC"/>
          </w:tcPr>
          <w:p>
            <w:pPr>
              <w:jc w:val="right"/>
              <w:ind w:right="44"/>
              <w:spacing w:after="0" w:line="172" w:lineRule="exact"/>
              <w:rPr>
                <w:sz w:val="20"/>
                <w:szCs w:val="20"/>
                <w:color w:val="auto"/>
              </w:rPr>
            </w:pPr>
            <w:r>
              <w:rPr>
                <w:rFonts w:ascii="Times New Roman" w:cs="Times New Roman" w:eastAsia="Times New Roman" w:hAnsi="Times New Roman"/>
                <w:sz w:val="15"/>
                <w:szCs w:val="15"/>
                <w:color w:val="231F20"/>
              </w:rPr>
              <w:t>SOFR +</w:t>
            </w:r>
          </w:p>
        </w:tc>
        <w:tc>
          <w:tcPr>
            <w:tcW w:w="1060" w:type="dxa"/>
            <w:vAlign w:val="bottom"/>
            <w:shd w:val="clear" w:color="auto" w:fill="FDFDFC"/>
          </w:tcPr>
          <w:p>
            <w:pPr>
              <w:jc w:val="right"/>
              <w:ind w:right="64"/>
              <w:spacing w:after="0" w:line="172" w:lineRule="exact"/>
              <w:rPr>
                <w:sz w:val="20"/>
                <w:szCs w:val="20"/>
                <w:color w:val="auto"/>
              </w:rPr>
            </w:pPr>
            <w:r>
              <w:rPr>
                <w:rFonts w:ascii="Times New Roman" w:cs="Times New Roman" w:eastAsia="Times New Roman" w:hAnsi="Times New Roman"/>
                <w:sz w:val="15"/>
                <w:szCs w:val="15"/>
                <w:color w:val="231F20"/>
              </w:rPr>
              <w:t>11.01%</w:t>
            </w:r>
          </w:p>
        </w:tc>
        <w:tc>
          <w:tcPr>
            <w:tcW w:w="1000" w:type="dxa"/>
            <w:vAlign w:val="bottom"/>
            <w:gridSpan w:val="2"/>
            <w:shd w:val="clear" w:color="auto" w:fill="FDFDFC"/>
          </w:tcPr>
          <w:p>
            <w:pPr>
              <w:jc w:val="right"/>
              <w:spacing w:after="0" w:line="172" w:lineRule="exact"/>
              <w:rPr>
                <w:sz w:val="20"/>
                <w:szCs w:val="20"/>
                <w:color w:val="auto"/>
              </w:rPr>
            </w:pPr>
            <w:r>
              <w:rPr>
                <w:rFonts w:ascii="Times New Roman" w:cs="Times New Roman" w:eastAsia="Times New Roman" w:hAnsi="Times New Roman"/>
                <w:sz w:val="15"/>
                <w:szCs w:val="15"/>
                <w:color w:val="231F20"/>
              </w:rPr>
              <w:t>52,542</w:t>
            </w:r>
          </w:p>
        </w:tc>
        <w:tc>
          <w:tcPr>
            <w:tcW w:w="1680" w:type="dxa"/>
            <w:vAlign w:val="bottom"/>
            <w:gridSpan w:val="3"/>
            <w:shd w:val="clear" w:color="auto" w:fill="FDFDFC"/>
          </w:tcPr>
          <w:p>
            <w:pPr>
              <w:jc w:val="right"/>
              <w:spacing w:after="0" w:line="172" w:lineRule="exact"/>
              <w:rPr>
                <w:sz w:val="20"/>
                <w:szCs w:val="20"/>
                <w:color w:val="auto"/>
              </w:rPr>
            </w:pPr>
            <w:r>
              <w:rPr>
                <w:rFonts w:ascii="Times New Roman" w:cs="Times New Roman" w:eastAsia="Times New Roman" w:hAnsi="Times New Roman"/>
                <w:sz w:val="15"/>
                <w:szCs w:val="15"/>
                <w:color w:val="231F20"/>
              </w:rPr>
              <w:t>54,678</w:t>
            </w:r>
          </w:p>
        </w:tc>
        <w:tc>
          <w:tcPr>
            <w:tcW w:w="960" w:type="dxa"/>
            <w:vAlign w:val="bottom"/>
            <w:gridSpan w:val="2"/>
            <w:shd w:val="clear" w:color="auto" w:fill="FDFDFC"/>
          </w:tcPr>
          <w:p>
            <w:pPr>
              <w:jc w:val="right"/>
              <w:spacing w:after="0" w:line="172" w:lineRule="exact"/>
              <w:rPr>
                <w:sz w:val="20"/>
                <w:szCs w:val="20"/>
                <w:color w:val="auto"/>
              </w:rPr>
            </w:pPr>
            <w:r>
              <w:rPr>
                <w:rFonts w:ascii="Times New Roman" w:cs="Times New Roman" w:eastAsia="Times New Roman" w:hAnsi="Times New Roman"/>
                <w:sz w:val="15"/>
                <w:szCs w:val="15"/>
                <w:color w:val="231F20"/>
              </w:rPr>
              <w:t>3.4%</w:t>
            </w:r>
          </w:p>
        </w:tc>
      </w:tr>
      <w:tr>
        <w:trPr>
          <w:trHeight w:val="214"/>
        </w:trPr>
        <w:tc>
          <w:tcPr>
            <w:tcW w:w="1580" w:type="dxa"/>
            <w:vAlign w:val="bottom"/>
            <w:tcBorders>
              <w:bottom w:val="single" w:sz="8" w:color="FDFDFC"/>
            </w:tcBorders>
            <w:shd w:val="clear" w:color="auto" w:fill="FDFDFC"/>
          </w:tcPr>
          <w:p>
            <w:pPr>
              <w:spacing w:after="0"/>
              <w:rPr>
                <w:sz w:val="20"/>
                <w:szCs w:val="20"/>
                <w:color w:val="auto"/>
              </w:rPr>
            </w:pPr>
            <w:r>
              <w:rPr>
                <w:rFonts w:ascii="Times New Roman" w:cs="Times New Roman" w:eastAsia="Times New Roman" w:hAnsi="Times New Roman"/>
                <w:sz w:val="15"/>
                <w:szCs w:val="15"/>
                <w:color w:val="231F20"/>
              </w:rPr>
              <w:t>Holdings, LLC</w:t>
            </w:r>
            <w:r>
              <w:rPr>
                <w:rFonts w:ascii="Times New Roman" w:cs="Times New Roman" w:eastAsia="Times New Roman" w:hAnsi="Times New Roman"/>
                <w:sz w:val="9"/>
                <w:szCs w:val="9"/>
                <w:color w:val="231F20"/>
              </w:rPr>
              <w:t>(3)(5)</w:t>
            </w:r>
          </w:p>
        </w:tc>
        <w:tc>
          <w:tcPr>
            <w:tcW w:w="2200" w:type="dxa"/>
            <w:vAlign w:val="bottom"/>
            <w:tcBorders>
              <w:bottom w:val="single" w:sz="8" w:color="FDFDFC"/>
            </w:tcBorders>
            <w:shd w:val="clear" w:color="auto" w:fill="FDFDFC"/>
          </w:tcPr>
          <w:p>
            <w:pPr>
              <w:ind w:left="60"/>
              <w:spacing w:after="0"/>
              <w:rPr>
                <w:sz w:val="20"/>
                <w:szCs w:val="20"/>
                <w:color w:val="auto"/>
              </w:rPr>
            </w:pPr>
            <w:r>
              <w:rPr>
                <w:rFonts w:ascii="Times New Roman" w:cs="Times New Roman" w:eastAsia="Times New Roman" w:hAnsi="Times New Roman"/>
                <w:sz w:val="15"/>
                <w:szCs w:val="15"/>
                <w:color w:val="231F20"/>
              </w:rPr>
              <w:t>10/2028)</w:t>
            </w:r>
          </w:p>
        </w:tc>
        <w:tc>
          <w:tcPr>
            <w:tcW w:w="800" w:type="dxa"/>
            <w:vAlign w:val="bottom"/>
            <w:tcBorders>
              <w:bottom w:val="single" w:sz="8" w:color="FDFDFC"/>
            </w:tcBorders>
            <w:shd w:val="clear" w:color="auto" w:fill="FDFDFC"/>
          </w:tcPr>
          <w:p>
            <w:pPr>
              <w:spacing w:after="0"/>
              <w:rPr>
                <w:sz w:val="18"/>
                <w:szCs w:val="18"/>
                <w:color w:val="auto"/>
              </w:rPr>
            </w:pPr>
          </w:p>
        </w:tc>
        <w:tc>
          <w:tcPr>
            <w:tcW w:w="1000" w:type="dxa"/>
            <w:vAlign w:val="bottom"/>
            <w:tcBorders>
              <w:bottom w:val="single" w:sz="8" w:color="FDFDFC"/>
            </w:tcBorders>
            <w:shd w:val="clear" w:color="auto" w:fill="FDFDFC"/>
          </w:tcPr>
          <w:p>
            <w:pPr>
              <w:jc w:val="right"/>
              <w:ind w:right="44"/>
              <w:spacing w:after="0"/>
              <w:rPr>
                <w:sz w:val="20"/>
                <w:szCs w:val="20"/>
                <w:color w:val="auto"/>
              </w:rPr>
            </w:pPr>
            <w:r>
              <w:rPr>
                <w:rFonts w:ascii="Times New Roman" w:cs="Times New Roman" w:eastAsia="Times New Roman" w:hAnsi="Times New Roman"/>
                <w:sz w:val="15"/>
                <w:szCs w:val="15"/>
                <w:color w:val="231F20"/>
              </w:rPr>
              <w:t>6.50%</w:t>
            </w:r>
          </w:p>
        </w:tc>
        <w:tc>
          <w:tcPr>
            <w:tcW w:w="1060" w:type="dxa"/>
            <w:vAlign w:val="bottom"/>
            <w:tcBorders>
              <w:bottom w:val="single" w:sz="8" w:color="FDFDFC"/>
            </w:tcBorders>
            <w:shd w:val="clear" w:color="auto" w:fill="FDFDFC"/>
          </w:tcPr>
          <w:p>
            <w:pPr>
              <w:spacing w:after="0"/>
              <w:rPr>
                <w:sz w:val="18"/>
                <w:szCs w:val="18"/>
                <w:color w:val="auto"/>
              </w:rPr>
            </w:pPr>
          </w:p>
        </w:tc>
        <w:tc>
          <w:tcPr>
            <w:tcW w:w="100" w:type="dxa"/>
            <w:vAlign w:val="bottom"/>
            <w:tcBorders>
              <w:bottom w:val="single" w:sz="8" w:color="231F20"/>
            </w:tcBorders>
            <w:shd w:val="clear" w:color="auto" w:fill="FDFDFC"/>
          </w:tcPr>
          <w:p>
            <w:pPr>
              <w:spacing w:after="0"/>
              <w:rPr>
                <w:sz w:val="18"/>
                <w:szCs w:val="18"/>
                <w:color w:val="auto"/>
              </w:rPr>
            </w:pPr>
          </w:p>
        </w:tc>
        <w:tc>
          <w:tcPr>
            <w:tcW w:w="900" w:type="dxa"/>
            <w:vAlign w:val="bottom"/>
            <w:tcBorders>
              <w:bottom w:val="single" w:sz="8" w:color="231F20"/>
            </w:tcBorders>
            <w:shd w:val="clear" w:color="auto" w:fill="FDFDFC"/>
          </w:tcPr>
          <w:p>
            <w:pPr>
              <w:spacing w:after="0"/>
              <w:rPr>
                <w:sz w:val="18"/>
                <w:szCs w:val="18"/>
                <w:color w:val="auto"/>
              </w:rPr>
            </w:pPr>
          </w:p>
        </w:tc>
        <w:tc>
          <w:tcPr>
            <w:tcW w:w="80" w:type="dxa"/>
            <w:vAlign w:val="bottom"/>
            <w:tcBorders>
              <w:bottom w:val="single" w:sz="8" w:color="FDFDFC"/>
            </w:tcBorders>
            <w:shd w:val="clear" w:color="auto" w:fill="FDFDFC"/>
          </w:tcPr>
          <w:p>
            <w:pPr>
              <w:spacing w:after="0"/>
              <w:rPr>
                <w:sz w:val="18"/>
                <w:szCs w:val="18"/>
                <w:color w:val="auto"/>
              </w:rPr>
            </w:pPr>
          </w:p>
        </w:tc>
        <w:tc>
          <w:tcPr>
            <w:tcW w:w="100" w:type="dxa"/>
            <w:vAlign w:val="bottom"/>
            <w:tcBorders>
              <w:bottom w:val="single" w:sz="8" w:color="231F20"/>
            </w:tcBorders>
            <w:shd w:val="clear" w:color="auto" w:fill="FDFDFC"/>
          </w:tcPr>
          <w:p>
            <w:pPr>
              <w:spacing w:after="0"/>
              <w:rPr>
                <w:sz w:val="18"/>
                <w:szCs w:val="18"/>
                <w:color w:val="auto"/>
              </w:rPr>
            </w:pPr>
          </w:p>
        </w:tc>
        <w:tc>
          <w:tcPr>
            <w:tcW w:w="1500" w:type="dxa"/>
            <w:vAlign w:val="bottom"/>
            <w:tcBorders>
              <w:bottom w:val="single" w:sz="8" w:color="231F20"/>
            </w:tcBorders>
            <w:shd w:val="clear" w:color="auto" w:fill="FDFDFC"/>
          </w:tcPr>
          <w:p>
            <w:pPr>
              <w:spacing w:after="0"/>
              <w:rPr>
                <w:sz w:val="18"/>
                <w:szCs w:val="18"/>
                <w:color w:val="auto"/>
              </w:rPr>
            </w:pPr>
          </w:p>
        </w:tc>
        <w:tc>
          <w:tcPr>
            <w:tcW w:w="100" w:type="dxa"/>
            <w:vAlign w:val="bottom"/>
            <w:tcBorders>
              <w:bottom w:val="single" w:sz="8" w:color="FDFDFC"/>
            </w:tcBorders>
            <w:shd w:val="clear" w:color="auto" w:fill="FDFDFC"/>
          </w:tcPr>
          <w:p>
            <w:pPr>
              <w:spacing w:after="0"/>
              <w:rPr>
                <w:sz w:val="18"/>
                <w:szCs w:val="18"/>
                <w:color w:val="auto"/>
              </w:rPr>
            </w:pPr>
          </w:p>
        </w:tc>
        <w:tc>
          <w:tcPr>
            <w:tcW w:w="860" w:type="dxa"/>
            <w:vAlign w:val="bottom"/>
            <w:tcBorders>
              <w:bottom w:val="single" w:sz="8" w:color="231F20"/>
            </w:tcBorders>
            <w:shd w:val="clear" w:color="auto" w:fill="FDFDFC"/>
          </w:tcPr>
          <w:p>
            <w:pPr>
              <w:spacing w:after="0"/>
              <w:rPr>
                <w:sz w:val="18"/>
                <w:szCs w:val="18"/>
                <w:color w:val="auto"/>
              </w:rPr>
            </w:pPr>
          </w:p>
        </w:tc>
      </w:tr>
      <w:tr>
        <w:trPr>
          <w:trHeight w:val="156"/>
        </w:trPr>
        <w:tc>
          <w:tcPr>
            <w:tcW w:w="1580" w:type="dxa"/>
            <w:vAlign w:val="bottom"/>
            <w:tcBorders>
              <w:top w:val="single" w:sz="8" w:color="D0EBF2"/>
              <w:bottom w:val="single" w:sz="8" w:color="FDFDFC"/>
            </w:tcBorders>
            <w:shd w:val="clear" w:color="auto" w:fill="D0EBF2"/>
          </w:tcPr>
          <w:p>
            <w:pPr>
              <w:spacing w:after="0"/>
              <w:rPr>
                <w:sz w:val="13"/>
                <w:szCs w:val="13"/>
                <w:color w:val="auto"/>
              </w:rPr>
            </w:pPr>
          </w:p>
        </w:tc>
        <w:tc>
          <w:tcPr>
            <w:tcW w:w="2200" w:type="dxa"/>
            <w:vAlign w:val="bottom"/>
            <w:tcBorders>
              <w:top w:val="single" w:sz="8" w:color="D0EBF2"/>
              <w:bottom w:val="single" w:sz="8" w:color="FDFDFC"/>
            </w:tcBorders>
            <w:shd w:val="clear" w:color="auto" w:fill="D0EBF2"/>
          </w:tcPr>
          <w:p>
            <w:pPr>
              <w:spacing w:after="0"/>
              <w:rPr>
                <w:sz w:val="13"/>
                <w:szCs w:val="13"/>
                <w:color w:val="auto"/>
              </w:rPr>
            </w:pPr>
          </w:p>
        </w:tc>
        <w:tc>
          <w:tcPr>
            <w:tcW w:w="800" w:type="dxa"/>
            <w:vAlign w:val="bottom"/>
            <w:tcBorders>
              <w:top w:val="single" w:sz="8" w:color="D0EBF2"/>
              <w:bottom w:val="single" w:sz="8" w:color="FDFDFC"/>
            </w:tcBorders>
            <w:shd w:val="clear" w:color="auto" w:fill="D0EBF2"/>
          </w:tcPr>
          <w:p>
            <w:pPr>
              <w:spacing w:after="0"/>
              <w:rPr>
                <w:sz w:val="13"/>
                <w:szCs w:val="13"/>
                <w:color w:val="auto"/>
              </w:rPr>
            </w:pPr>
          </w:p>
        </w:tc>
        <w:tc>
          <w:tcPr>
            <w:tcW w:w="1000" w:type="dxa"/>
            <w:vAlign w:val="bottom"/>
            <w:tcBorders>
              <w:top w:val="single" w:sz="8" w:color="D0EBF2"/>
              <w:bottom w:val="single" w:sz="8" w:color="FDFDFC"/>
            </w:tcBorders>
            <w:shd w:val="clear" w:color="auto" w:fill="D0EBF2"/>
          </w:tcPr>
          <w:p>
            <w:pPr>
              <w:spacing w:after="0"/>
              <w:rPr>
                <w:sz w:val="13"/>
                <w:szCs w:val="13"/>
                <w:color w:val="auto"/>
              </w:rPr>
            </w:pPr>
          </w:p>
        </w:tc>
        <w:tc>
          <w:tcPr>
            <w:tcW w:w="1060" w:type="dxa"/>
            <w:vAlign w:val="bottom"/>
            <w:tcBorders>
              <w:top w:val="single" w:sz="8" w:color="D0EBF2"/>
              <w:bottom w:val="single" w:sz="8" w:color="FDFDFC"/>
            </w:tcBorders>
            <w:shd w:val="clear" w:color="auto" w:fill="D0EBF2"/>
          </w:tcPr>
          <w:p>
            <w:pPr>
              <w:spacing w:after="0"/>
              <w:rPr>
                <w:sz w:val="13"/>
                <w:szCs w:val="13"/>
                <w:color w:val="auto"/>
              </w:rPr>
            </w:pPr>
          </w:p>
        </w:tc>
        <w:tc>
          <w:tcPr>
            <w:tcW w:w="1000" w:type="dxa"/>
            <w:vAlign w:val="bottom"/>
            <w:tcBorders>
              <w:top w:val="single" w:sz="8" w:color="231F20"/>
              <w:bottom w:val="single" w:sz="8" w:color="231F20"/>
            </w:tcBorders>
            <w:gridSpan w:val="2"/>
            <w:shd w:val="clear" w:color="auto" w:fill="D0EBF2"/>
          </w:tcPr>
          <w:p>
            <w:pPr>
              <w:jc w:val="right"/>
              <w:spacing w:after="0" w:line="156" w:lineRule="exact"/>
              <w:rPr>
                <w:sz w:val="20"/>
                <w:szCs w:val="20"/>
                <w:color w:val="auto"/>
              </w:rPr>
            </w:pPr>
            <w:r>
              <w:rPr>
                <w:rFonts w:ascii="Times New Roman" w:cs="Times New Roman" w:eastAsia="Times New Roman" w:hAnsi="Times New Roman"/>
                <w:sz w:val="15"/>
                <w:szCs w:val="15"/>
                <w:color w:val="231F20"/>
              </w:rPr>
              <w:t>587,502</w:t>
            </w:r>
          </w:p>
        </w:tc>
        <w:tc>
          <w:tcPr>
            <w:tcW w:w="80" w:type="dxa"/>
            <w:vAlign w:val="bottom"/>
            <w:tcBorders>
              <w:top w:val="single" w:sz="8" w:color="D0EBF2"/>
              <w:bottom w:val="single" w:sz="8" w:color="FDFDFC"/>
            </w:tcBorders>
            <w:shd w:val="clear" w:color="auto" w:fill="D0EBF2"/>
          </w:tcPr>
          <w:p>
            <w:pPr>
              <w:spacing w:after="0"/>
              <w:rPr>
                <w:sz w:val="13"/>
                <w:szCs w:val="13"/>
                <w:color w:val="auto"/>
              </w:rPr>
            </w:pPr>
          </w:p>
        </w:tc>
        <w:tc>
          <w:tcPr>
            <w:tcW w:w="1600" w:type="dxa"/>
            <w:vAlign w:val="bottom"/>
            <w:tcBorders>
              <w:top w:val="single" w:sz="8" w:color="231F20"/>
              <w:bottom w:val="single" w:sz="8" w:color="231F20"/>
            </w:tcBorders>
            <w:gridSpan w:val="2"/>
            <w:shd w:val="clear" w:color="auto" w:fill="D0EBF2"/>
          </w:tcPr>
          <w:p>
            <w:pPr>
              <w:jc w:val="right"/>
              <w:spacing w:after="0" w:line="156" w:lineRule="exact"/>
              <w:rPr>
                <w:sz w:val="20"/>
                <w:szCs w:val="20"/>
                <w:color w:val="auto"/>
              </w:rPr>
            </w:pPr>
            <w:r>
              <w:rPr>
                <w:rFonts w:ascii="Times New Roman" w:cs="Times New Roman" w:eastAsia="Times New Roman" w:hAnsi="Times New Roman"/>
                <w:sz w:val="15"/>
                <w:szCs w:val="15"/>
                <w:color w:val="231F20"/>
              </w:rPr>
              <w:t>556,444</w:t>
            </w:r>
          </w:p>
        </w:tc>
        <w:tc>
          <w:tcPr>
            <w:tcW w:w="100" w:type="dxa"/>
            <w:vAlign w:val="bottom"/>
            <w:tcBorders>
              <w:top w:val="single" w:sz="8" w:color="D0EBF2"/>
              <w:bottom w:val="single" w:sz="8" w:color="FDFDFC"/>
            </w:tcBorders>
            <w:shd w:val="clear" w:color="auto" w:fill="D0EBF2"/>
          </w:tcPr>
          <w:p>
            <w:pPr>
              <w:spacing w:after="0"/>
              <w:rPr>
                <w:sz w:val="13"/>
                <w:szCs w:val="13"/>
                <w:color w:val="auto"/>
              </w:rPr>
            </w:pPr>
          </w:p>
        </w:tc>
        <w:tc>
          <w:tcPr>
            <w:tcW w:w="860" w:type="dxa"/>
            <w:vAlign w:val="bottom"/>
            <w:tcBorders>
              <w:top w:val="single" w:sz="8" w:color="231F20"/>
              <w:bottom w:val="single" w:sz="8" w:color="231F20"/>
            </w:tcBorders>
            <w:shd w:val="clear" w:color="auto" w:fill="D0EBF2"/>
          </w:tcPr>
          <w:p>
            <w:pPr>
              <w:jc w:val="right"/>
              <w:spacing w:after="0" w:line="156" w:lineRule="exact"/>
              <w:rPr>
                <w:sz w:val="20"/>
                <w:szCs w:val="20"/>
                <w:color w:val="auto"/>
              </w:rPr>
            </w:pPr>
            <w:r>
              <w:rPr>
                <w:rFonts w:ascii="Times New Roman" w:cs="Times New Roman" w:eastAsia="Times New Roman" w:hAnsi="Times New Roman"/>
                <w:sz w:val="15"/>
                <w:szCs w:val="15"/>
                <w:color w:val="231F20"/>
              </w:rPr>
              <w:t>34.7%</w:t>
            </w:r>
          </w:p>
        </w:tc>
      </w:tr>
      <w:tr>
        <w:trPr>
          <w:trHeight w:val="176"/>
        </w:trPr>
        <w:tc>
          <w:tcPr>
            <w:tcW w:w="1580" w:type="dxa"/>
            <w:vAlign w:val="bottom"/>
            <w:shd w:val="clear" w:color="auto" w:fill="FDFDFC"/>
          </w:tcPr>
          <w:p>
            <w:pPr>
              <w:spacing w:after="0"/>
              <w:rPr>
                <w:sz w:val="20"/>
                <w:szCs w:val="20"/>
                <w:color w:val="auto"/>
              </w:rPr>
            </w:pPr>
            <w:r>
              <w:rPr>
                <w:rFonts w:ascii="Times New Roman" w:cs="Times New Roman" w:eastAsia="Times New Roman" w:hAnsi="Times New Roman"/>
                <w:sz w:val="15"/>
                <w:szCs w:val="15"/>
                <w:b w:val="1"/>
                <w:bCs w:val="1"/>
                <w:color w:val="231F20"/>
              </w:rPr>
              <w:t>Manufacturing</w:t>
            </w:r>
          </w:p>
        </w:tc>
        <w:tc>
          <w:tcPr>
            <w:tcW w:w="2200" w:type="dxa"/>
            <w:vAlign w:val="bottom"/>
            <w:shd w:val="clear" w:color="auto" w:fill="FDFDFC"/>
          </w:tcPr>
          <w:p>
            <w:pPr>
              <w:spacing w:after="0"/>
              <w:rPr>
                <w:sz w:val="15"/>
                <w:szCs w:val="15"/>
                <w:color w:val="auto"/>
              </w:rPr>
            </w:pPr>
          </w:p>
        </w:tc>
        <w:tc>
          <w:tcPr>
            <w:tcW w:w="800" w:type="dxa"/>
            <w:vAlign w:val="bottom"/>
            <w:shd w:val="clear" w:color="auto" w:fill="FDFDFC"/>
          </w:tcPr>
          <w:p>
            <w:pPr>
              <w:spacing w:after="0"/>
              <w:rPr>
                <w:sz w:val="15"/>
                <w:szCs w:val="15"/>
                <w:color w:val="auto"/>
              </w:rPr>
            </w:pPr>
          </w:p>
        </w:tc>
        <w:tc>
          <w:tcPr>
            <w:tcW w:w="1000" w:type="dxa"/>
            <w:vAlign w:val="bottom"/>
            <w:shd w:val="clear" w:color="auto" w:fill="FDFDFC"/>
          </w:tcPr>
          <w:p>
            <w:pPr>
              <w:spacing w:after="0"/>
              <w:rPr>
                <w:sz w:val="15"/>
                <w:szCs w:val="15"/>
                <w:color w:val="auto"/>
              </w:rPr>
            </w:pPr>
          </w:p>
        </w:tc>
        <w:tc>
          <w:tcPr>
            <w:tcW w:w="1060" w:type="dxa"/>
            <w:vAlign w:val="bottom"/>
            <w:shd w:val="clear" w:color="auto" w:fill="FDFDFC"/>
          </w:tcPr>
          <w:p>
            <w:pPr>
              <w:spacing w:after="0"/>
              <w:rPr>
                <w:sz w:val="15"/>
                <w:szCs w:val="15"/>
                <w:color w:val="auto"/>
              </w:rPr>
            </w:pPr>
          </w:p>
        </w:tc>
        <w:tc>
          <w:tcPr>
            <w:tcW w:w="100" w:type="dxa"/>
            <w:vAlign w:val="bottom"/>
            <w:shd w:val="clear" w:color="auto" w:fill="FDFDFC"/>
          </w:tcPr>
          <w:p>
            <w:pPr>
              <w:spacing w:after="0"/>
              <w:rPr>
                <w:sz w:val="15"/>
                <w:szCs w:val="15"/>
                <w:color w:val="auto"/>
              </w:rPr>
            </w:pPr>
          </w:p>
        </w:tc>
        <w:tc>
          <w:tcPr>
            <w:tcW w:w="900" w:type="dxa"/>
            <w:vAlign w:val="bottom"/>
            <w:shd w:val="clear" w:color="auto" w:fill="FDFDFC"/>
          </w:tcPr>
          <w:p>
            <w:pPr>
              <w:spacing w:after="0"/>
              <w:rPr>
                <w:sz w:val="15"/>
                <w:szCs w:val="15"/>
                <w:color w:val="auto"/>
              </w:rPr>
            </w:pPr>
          </w:p>
        </w:tc>
        <w:tc>
          <w:tcPr>
            <w:tcW w:w="80" w:type="dxa"/>
            <w:vAlign w:val="bottom"/>
            <w:shd w:val="clear" w:color="auto" w:fill="FDFDFC"/>
          </w:tcPr>
          <w:p>
            <w:pPr>
              <w:spacing w:after="0"/>
              <w:rPr>
                <w:sz w:val="15"/>
                <w:szCs w:val="15"/>
                <w:color w:val="auto"/>
              </w:rPr>
            </w:pPr>
          </w:p>
        </w:tc>
        <w:tc>
          <w:tcPr>
            <w:tcW w:w="100" w:type="dxa"/>
            <w:vAlign w:val="bottom"/>
            <w:shd w:val="clear" w:color="auto" w:fill="FDFDFC"/>
          </w:tcPr>
          <w:p>
            <w:pPr>
              <w:spacing w:after="0"/>
              <w:rPr>
                <w:sz w:val="15"/>
                <w:szCs w:val="15"/>
                <w:color w:val="auto"/>
              </w:rPr>
            </w:pPr>
          </w:p>
        </w:tc>
        <w:tc>
          <w:tcPr>
            <w:tcW w:w="1500" w:type="dxa"/>
            <w:vAlign w:val="bottom"/>
            <w:shd w:val="clear" w:color="auto" w:fill="FDFDFC"/>
          </w:tcPr>
          <w:p>
            <w:pPr>
              <w:spacing w:after="0"/>
              <w:rPr>
                <w:sz w:val="15"/>
                <w:szCs w:val="15"/>
                <w:color w:val="auto"/>
              </w:rPr>
            </w:pPr>
          </w:p>
        </w:tc>
        <w:tc>
          <w:tcPr>
            <w:tcW w:w="100" w:type="dxa"/>
            <w:vAlign w:val="bottom"/>
            <w:shd w:val="clear" w:color="auto" w:fill="FDFDFC"/>
          </w:tcPr>
          <w:p>
            <w:pPr>
              <w:spacing w:after="0"/>
              <w:rPr>
                <w:sz w:val="15"/>
                <w:szCs w:val="15"/>
                <w:color w:val="auto"/>
              </w:rPr>
            </w:pPr>
          </w:p>
        </w:tc>
        <w:tc>
          <w:tcPr>
            <w:tcW w:w="860" w:type="dxa"/>
            <w:vAlign w:val="bottom"/>
            <w:shd w:val="clear" w:color="auto" w:fill="FDFDFC"/>
          </w:tcPr>
          <w:p>
            <w:pPr>
              <w:spacing w:after="0"/>
              <w:rPr>
                <w:sz w:val="15"/>
                <w:szCs w:val="15"/>
                <w:color w:val="auto"/>
              </w:rPr>
            </w:pPr>
          </w:p>
        </w:tc>
      </w:tr>
      <w:tr>
        <w:trPr>
          <w:trHeight w:val="171"/>
        </w:trPr>
        <w:tc>
          <w:tcPr>
            <w:tcW w:w="1580" w:type="dxa"/>
            <w:vAlign w:val="bottom"/>
            <w:shd w:val="clear" w:color="auto" w:fill="D0EBF2"/>
          </w:tcPr>
          <w:p>
            <w:pPr>
              <w:spacing w:after="0" w:line="172" w:lineRule="exact"/>
              <w:rPr>
                <w:sz w:val="20"/>
                <w:szCs w:val="20"/>
                <w:color w:val="auto"/>
              </w:rPr>
            </w:pPr>
            <w:r>
              <w:rPr>
                <w:rFonts w:ascii="Times New Roman" w:cs="Times New Roman" w:eastAsia="Times New Roman" w:hAnsi="Times New Roman"/>
                <w:sz w:val="15"/>
                <w:szCs w:val="15"/>
                <w:color w:val="231F20"/>
              </w:rPr>
              <w:t xml:space="preserve">Aptean, Inc. </w:t>
            </w:r>
            <w:r>
              <w:rPr>
                <w:rFonts w:ascii="Times New Roman" w:cs="Times New Roman" w:eastAsia="Times New Roman" w:hAnsi="Times New Roman"/>
                <w:sz w:val="9"/>
                <w:szCs w:val="9"/>
                <w:color w:val="231F20"/>
              </w:rPr>
              <w:t>(3)</w:t>
            </w:r>
          </w:p>
        </w:tc>
        <w:tc>
          <w:tcPr>
            <w:tcW w:w="2200" w:type="dxa"/>
            <w:vAlign w:val="bottom"/>
            <w:shd w:val="clear" w:color="auto" w:fill="D0EBF2"/>
          </w:tcPr>
          <w:p>
            <w:pPr>
              <w:ind w:left="60"/>
              <w:spacing w:after="0" w:line="172" w:lineRule="exact"/>
              <w:rPr>
                <w:sz w:val="20"/>
                <w:szCs w:val="20"/>
                <w:color w:val="auto"/>
              </w:rPr>
            </w:pPr>
            <w:r>
              <w:rPr>
                <w:rFonts w:ascii="Times New Roman" w:cs="Times New Roman" w:eastAsia="Times New Roman" w:hAnsi="Times New Roman"/>
                <w:sz w:val="15"/>
                <w:szCs w:val="15"/>
                <w:color w:val="231F20"/>
              </w:rPr>
              <w:t>First-lien loan ($8,835 par, due</w:t>
            </w:r>
          </w:p>
        </w:tc>
        <w:tc>
          <w:tcPr>
            <w:tcW w:w="800" w:type="dxa"/>
            <w:vAlign w:val="bottom"/>
            <w:shd w:val="clear" w:color="auto" w:fill="D0EBF2"/>
          </w:tcPr>
          <w:p>
            <w:pPr>
              <w:jc w:val="right"/>
              <w:spacing w:after="0" w:line="172" w:lineRule="exact"/>
              <w:rPr>
                <w:sz w:val="20"/>
                <w:szCs w:val="20"/>
                <w:color w:val="auto"/>
              </w:rPr>
            </w:pPr>
            <w:r>
              <w:rPr>
                <w:rFonts w:ascii="Times New Roman" w:cs="Times New Roman" w:eastAsia="Times New Roman" w:hAnsi="Times New Roman"/>
                <w:sz w:val="15"/>
                <w:szCs w:val="15"/>
                <w:color w:val="231F20"/>
              </w:rPr>
              <w:t>1/30/2024</w:t>
            </w:r>
          </w:p>
        </w:tc>
        <w:tc>
          <w:tcPr>
            <w:tcW w:w="1000" w:type="dxa"/>
            <w:vAlign w:val="bottom"/>
            <w:shd w:val="clear" w:color="auto" w:fill="D0EBF2"/>
          </w:tcPr>
          <w:p>
            <w:pPr>
              <w:jc w:val="right"/>
              <w:ind w:right="44"/>
              <w:spacing w:after="0" w:line="172" w:lineRule="exact"/>
              <w:rPr>
                <w:sz w:val="20"/>
                <w:szCs w:val="20"/>
                <w:color w:val="auto"/>
              </w:rPr>
            </w:pPr>
            <w:r>
              <w:rPr>
                <w:rFonts w:ascii="Times New Roman" w:cs="Times New Roman" w:eastAsia="Times New Roman" w:hAnsi="Times New Roman"/>
                <w:sz w:val="15"/>
                <w:szCs w:val="15"/>
                <w:color w:val="231F20"/>
              </w:rPr>
              <w:t>SOFR +</w:t>
            </w:r>
          </w:p>
        </w:tc>
        <w:tc>
          <w:tcPr>
            <w:tcW w:w="1060" w:type="dxa"/>
            <w:vAlign w:val="bottom"/>
            <w:shd w:val="clear" w:color="auto" w:fill="D0EBF2"/>
          </w:tcPr>
          <w:p>
            <w:pPr>
              <w:jc w:val="right"/>
              <w:ind w:right="64"/>
              <w:spacing w:after="0" w:line="172" w:lineRule="exact"/>
              <w:rPr>
                <w:sz w:val="20"/>
                <w:szCs w:val="20"/>
                <w:color w:val="auto"/>
              </w:rPr>
            </w:pPr>
            <w:r>
              <w:rPr>
                <w:rFonts w:ascii="Times New Roman" w:cs="Times New Roman" w:eastAsia="Times New Roman" w:hAnsi="Times New Roman"/>
                <w:sz w:val="15"/>
                <w:szCs w:val="15"/>
                <w:color w:val="231F20"/>
              </w:rPr>
              <w:t>9.58%</w:t>
            </w:r>
          </w:p>
        </w:tc>
        <w:tc>
          <w:tcPr>
            <w:tcW w:w="1000" w:type="dxa"/>
            <w:vAlign w:val="bottom"/>
            <w:gridSpan w:val="2"/>
            <w:shd w:val="clear" w:color="auto" w:fill="D0EBF2"/>
          </w:tcPr>
          <w:p>
            <w:pPr>
              <w:jc w:val="right"/>
              <w:spacing w:after="0" w:line="172" w:lineRule="exact"/>
              <w:rPr>
                <w:sz w:val="20"/>
                <w:szCs w:val="20"/>
                <w:color w:val="auto"/>
              </w:rPr>
            </w:pPr>
            <w:r>
              <w:rPr>
                <w:rFonts w:ascii="Times New Roman" w:cs="Times New Roman" w:eastAsia="Times New Roman" w:hAnsi="Times New Roman"/>
                <w:sz w:val="15"/>
                <w:szCs w:val="15"/>
                <w:color w:val="231F20"/>
              </w:rPr>
              <w:t>8,748</w:t>
            </w:r>
          </w:p>
        </w:tc>
        <w:tc>
          <w:tcPr>
            <w:tcW w:w="80" w:type="dxa"/>
            <w:vAlign w:val="bottom"/>
            <w:shd w:val="clear" w:color="auto" w:fill="D0EBF2"/>
          </w:tcPr>
          <w:p>
            <w:pPr>
              <w:spacing w:after="0"/>
              <w:rPr>
                <w:sz w:val="14"/>
                <w:szCs w:val="14"/>
                <w:color w:val="auto"/>
              </w:rPr>
            </w:pPr>
          </w:p>
        </w:tc>
        <w:tc>
          <w:tcPr>
            <w:tcW w:w="1600" w:type="dxa"/>
            <w:vAlign w:val="bottom"/>
            <w:gridSpan w:val="2"/>
            <w:shd w:val="clear" w:color="auto" w:fill="D0EBF2"/>
          </w:tcPr>
          <w:p>
            <w:pPr>
              <w:jc w:val="right"/>
              <w:spacing w:after="0" w:line="172" w:lineRule="exact"/>
              <w:rPr>
                <w:sz w:val="20"/>
                <w:szCs w:val="20"/>
                <w:color w:val="auto"/>
              </w:rPr>
            </w:pPr>
            <w:r>
              <w:rPr>
                <w:rFonts w:ascii="Times New Roman" w:cs="Times New Roman" w:eastAsia="Times New Roman" w:hAnsi="Times New Roman"/>
                <w:sz w:val="15"/>
                <w:szCs w:val="15"/>
                <w:color w:val="231F20"/>
              </w:rPr>
              <w:t>8,860</w:t>
            </w:r>
          </w:p>
        </w:tc>
        <w:tc>
          <w:tcPr>
            <w:tcW w:w="100" w:type="dxa"/>
            <w:vAlign w:val="bottom"/>
            <w:shd w:val="clear" w:color="auto" w:fill="D0EBF2"/>
          </w:tcPr>
          <w:p>
            <w:pPr>
              <w:spacing w:after="0"/>
              <w:rPr>
                <w:sz w:val="14"/>
                <w:szCs w:val="14"/>
                <w:color w:val="auto"/>
              </w:rPr>
            </w:pPr>
          </w:p>
        </w:tc>
        <w:tc>
          <w:tcPr>
            <w:tcW w:w="860" w:type="dxa"/>
            <w:vAlign w:val="bottom"/>
            <w:shd w:val="clear" w:color="auto" w:fill="D0EBF2"/>
          </w:tcPr>
          <w:p>
            <w:pPr>
              <w:jc w:val="right"/>
              <w:spacing w:after="0" w:line="172" w:lineRule="exact"/>
              <w:rPr>
                <w:sz w:val="20"/>
                <w:szCs w:val="20"/>
                <w:color w:val="auto"/>
              </w:rPr>
            </w:pPr>
            <w:r>
              <w:rPr>
                <w:rFonts w:ascii="Times New Roman" w:cs="Times New Roman" w:eastAsia="Times New Roman" w:hAnsi="Times New Roman"/>
                <w:sz w:val="15"/>
                <w:szCs w:val="15"/>
                <w:color w:val="231F20"/>
              </w:rPr>
              <w:t>0.6%</w:t>
            </w:r>
          </w:p>
        </w:tc>
      </w:tr>
      <w:tr>
        <w:trPr>
          <w:trHeight w:val="189"/>
        </w:trPr>
        <w:tc>
          <w:tcPr>
            <w:tcW w:w="1580" w:type="dxa"/>
            <w:vAlign w:val="bottom"/>
            <w:shd w:val="clear" w:color="auto" w:fill="D0EBF2"/>
          </w:tcPr>
          <w:p>
            <w:pPr>
              <w:spacing w:after="0"/>
              <w:rPr>
                <w:sz w:val="16"/>
                <w:szCs w:val="16"/>
                <w:color w:val="auto"/>
              </w:rPr>
            </w:pPr>
          </w:p>
        </w:tc>
        <w:tc>
          <w:tcPr>
            <w:tcW w:w="2200" w:type="dxa"/>
            <w:vAlign w:val="bottom"/>
            <w:shd w:val="clear" w:color="auto" w:fill="D0EBF2"/>
          </w:tcPr>
          <w:p>
            <w:pPr>
              <w:ind w:left="60"/>
              <w:spacing w:after="0"/>
              <w:rPr>
                <w:sz w:val="20"/>
                <w:szCs w:val="20"/>
                <w:color w:val="auto"/>
              </w:rPr>
            </w:pPr>
            <w:r>
              <w:rPr>
                <w:rFonts w:ascii="Times New Roman" w:cs="Times New Roman" w:eastAsia="Times New Roman" w:hAnsi="Times New Roman"/>
                <w:sz w:val="15"/>
                <w:szCs w:val="15"/>
                <w:color w:val="231F20"/>
              </w:rPr>
              <w:t>1/2031)</w:t>
            </w:r>
          </w:p>
        </w:tc>
        <w:tc>
          <w:tcPr>
            <w:tcW w:w="800" w:type="dxa"/>
            <w:vAlign w:val="bottom"/>
            <w:shd w:val="clear" w:color="auto" w:fill="D0EBF2"/>
          </w:tcPr>
          <w:p>
            <w:pPr>
              <w:spacing w:after="0"/>
              <w:rPr>
                <w:sz w:val="16"/>
                <w:szCs w:val="16"/>
                <w:color w:val="auto"/>
              </w:rPr>
            </w:pPr>
          </w:p>
        </w:tc>
        <w:tc>
          <w:tcPr>
            <w:tcW w:w="1000" w:type="dxa"/>
            <w:vAlign w:val="bottom"/>
            <w:shd w:val="clear" w:color="auto" w:fill="D0EBF2"/>
          </w:tcPr>
          <w:p>
            <w:pPr>
              <w:jc w:val="right"/>
              <w:ind w:right="44"/>
              <w:spacing w:after="0"/>
              <w:rPr>
                <w:sz w:val="20"/>
                <w:szCs w:val="20"/>
                <w:color w:val="auto"/>
              </w:rPr>
            </w:pPr>
            <w:r>
              <w:rPr>
                <w:rFonts w:ascii="Times New Roman" w:cs="Times New Roman" w:eastAsia="Times New Roman" w:hAnsi="Times New Roman"/>
                <w:sz w:val="15"/>
                <w:szCs w:val="15"/>
                <w:color w:val="231F20"/>
              </w:rPr>
              <w:t>5.00%</w:t>
            </w:r>
          </w:p>
        </w:tc>
        <w:tc>
          <w:tcPr>
            <w:tcW w:w="1060" w:type="dxa"/>
            <w:vAlign w:val="bottom"/>
            <w:shd w:val="clear" w:color="auto" w:fill="D0EBF2"/>
          </w:tcPr>
          <w:p>
            <w:pPr>
              <w:spacing w:after="0"/>
              <w:rPr>
                <w:sz w:val="16"/>
                <w:szCs w:val="16"/>
                <w:color w:val="auto"/>
              </w:rPr>
            </w:pPr>
          </w:p>
        </w:tc>
        <w:tc>
          <w:tcPr>
            <w:tcW w:w="100" w:type="dxa"/>
            <w:vAlign w:val="bottom"/>
            <w:shd w:val="clear" w:color="auto" w:fill="D0EBF2"/>
          </w:tcPr>
          <w:p>
            <w:pPr>
              <w:spacing w:after="0"/>
              <w:rPr>
                <w:sz w:val="16"/>
                <w:szCs w:val="16"/>
                <w:color w:val="auto"/>
              </w:rPr>
            </w:pPr>
          </w:p>
        </w:tc>
        <w:tc>
          <w:tcPr>
            <w:tcW w:w="900" w:type="dxa"/>
            <w:vAlign w:val="bottom"/>
            <w:shd w:val="clear" w:color="auto" w:fill="D0EBF2"/>
          </w:tcPr>
          <w:p>
            <w:pPr>
              <w:spacing w:after="0"/>
              <w:rPr>
                <w:sz w:val="16"/>
                <w:szCs w:val="16"/>
                <w:color w:val="auto"/>
              </w:rPr>
            </w:pPr>
          </w:p>
        </w:tc>
        <w:tc>
          <w:tcPr>
            <w:tcW w:w="80" w:type="dxa"/>
            <w:vAlign w:val="bottom"/>
            <w:shd w:val="clear" w:color="auto" w:fill="D0EBF2"/>
          </w:tcPr>
          <w:p>
            <w:pPr>
              <w:spacing w:after="0"/>
              <w:rPr>
                <w:sz w:val="16"/>
                <w:szCs w:val="16"/>
                <w:color w:val="auto"/>
              </w:rPr>
            </w:pPr>
          </w:p>
        </w:tc>
        <w:tc>
          <w:tcPr>
            <w:tcW w:w="100" w:type="dxa"/>
            <w:vAlign w:val="bottom"/>
            <w:shd w:val="clear" w:color="auto" w:fill="D0EBF2"/>
          </w:tcPr>
          <w:p>
            <w:pPr>
              <w:spacing w:after="0"/>
              <w:rPr>
                <w:sz w:val="16"/>
                <w:szCs w:val="16"/>
                <w:color w:val="auto"/>
              </w:rPr>
            </w:pPr>
          </w:p>
        </w:tc>
        <w:tc>
          <w:tcPr>
            <w:tcW w:w="1500" w:type="dxa"/>
            <w:vAlign w:val="bottom"/>
            <w:shd w:val="clear" w:color="auto" w:fill="D0EBF2"/>
          </w:tcPr>
          <w:p>
            <w:pPr>
              <w:spacing w:after="0"/>
              <w:rPr>
                <w:sz w:val="16"/>
                <w:szCs w:val="16"/>
                <w:color w:val="auto"/>
              </w:rPr>
            </w:pPr>
          </w:p>
        </w:tc>
        <w:tc>
          <w:tcPr>
            <w:tcW w:w="100" w:type="dxa"/>
            <w:vAlign w:val="bottom"/>
            <w:shd w:val="clear" w:color="auto" w:fill="D0EBF2"/>
          </w:tcPr>
          <w:p>
            <w:pPr>
              <w:spacing w:after="0"/>
              <w:rPr>
                <w:sz w:val="16"/>
                <w:szCs w:val="16"/>
                <w:color w:val="auto"/>
              </w:rPr>
            </w:pPr>
          </w:p>
        </w:tc>
        <w:tc>
          <w:tcPr>
            <w:tcW w:w="860" w:type="dxa"/>
            <w:vAlign w:val="bottom"/>
            <w:shd w:val="clear" w:color="auto" w:fill="D0EBF2"/>
          </w:tcPr>
          <w:p>
            <w:pPr>
              <w:spacing w:after="0"/>
              <w:rPr>
                <w:sz w:val="16"/>
                <w:szCs w:val="16"/>
                <w:color w:val="auto"/>
              </w:rPr>
            </w:pPr>
          </w:p>
        </w:tc>
      </w:tr>
      <w:tr>
        <w:trPr>
          <w:trHeight w:val="171"/>
        </w:trPr>
        <w:tc>
          <w:tcPr>
            <w:tcW w:w="1580" w:type="dxa"/>
            <w:vAlign w:val="bottom"/>
            <w:shd w:val="clear" w:color="auto" w:fill="FDFDFC"/>
          </w:tcPr>
          <w:p>
            <w:pPr>
              <w:spacing w:after="0" w:line="172" w:lineRule="exact"/>
              <w:rPr>
                <w:sz w:val="20"/>
                <w:szCs w:val="20"/>
                <w:color w:val="auto"/>
              </w:rPr>
            </w:pPr>
            <w:r>
              <w:rPr>
                <w:rFonts w:ascii="Times New Roman" w:cs="Times New Roman" w:eastAsia="Times New Roman" w:hAnsi="Times New Roman"/>
                <w:sz w:val="15"/>
                <w:szCs w:val="15"/>
                <w:color w:val="231F20"/>
              </w:rPr>
              <w:t>ASP Unifrax Holdings,</w:t>
            </w:r>
          </w:p>
        </w:tc>
        <w:tc>
          <w:tcPr>
            <w:tcW w:w="2200" w:type="dxa"/>
            <w:vAlign w:val="bottom"/>
            <w:shd w:val="clear" w:color="auto" w:fill="FDFDFC"/>
          </w:tcPr>
          <w:p>
            <w:pPr>
              <w:ind w:left="60"/>
              <w:spacing w:after="0" w:line="172" w:lineRule="exact"/>
              <w:rPr>
                <w:sz w:val="20"/>
                <w:szCs w:val="20"/>
                <w:color w:val="auto"/>
              </w:rPr>
            </w:pPr>
            <w:r>
              <w:rPr>
                <w:rFonts w:ascii="Times New Roman" w:cs="Times New Roman" w:eastAsia="Times New Roman" w:hAnsi="Times New Roman"/>
                <w:sz w:val="15"/>
                <w:szCs w:val="15"/>
                <w:color w:val="231F20"/>
              </w:rPr>
              <w:t>First-lien loan ($3,449 par, due</w:t>
            </w:r>
          </w:p>
        </w:tc>
        <w:tc>
          <w:tcPr>
            <w:tcW w:w="800" w:type="dxa"/>
            <w:vAlign w:val="bottom"/>
            <w:shd w:val="clear" w:color="auto" w:fill="FDFDFC"/>
          </w:tcPr>
          <w:p>
            <w:pPr>
              <w:jc w:val="right"/>
              <w:spacing w:after="0" w:line="172" w:lineRule="exact"/>
              <w:rPr>
                <w:sz w:val="20"/>
                <w:szCs w:val="20"/>
                <w:color w:val="auto"/>
              </w:rPr>
            </w:pPr>
            <w:r>
              <w:rPr>
                <w:rFonts w:ascii="Times New Roman" w:cs="Times New Roman" w:eastAsia="Times New Roman" w:hAnsi="Times New Roman"/>
                <w:sz w:val="15"/>
                <w:szCs w:val="15"/>
                <w:color w:val="231F20"/>
              </w:rPr>
              <w:t>9/30/2024</w:t>
            </w:r>
          </w:p>
        </w:tc>
        <w:tc>
          <w:tcPr>
            <w:tcW w:w="1000" w:type="dxa"/>
            <w:vAlign w:val="bottom"/>
            <w:shd w:val="clear" w:color="auto" w:fill="FDFDFC"/>
          </w:tcPr>
          <w:p>
            <w:pPr>
              <w:jc w:val="right"/>
              <w:ind w:right="44"/>
              <w:spacing w:after="0" w:line="172" w:lineRule="exact"/>
              <w:rPr>
                <w:sz w:val="20"/>
                <w:szCs w:val="20"/>
                <w:color w:val="auto"/>
              </w:rPr>
            </w:pPr>
            <w:r>
              <w:rPr>
                <w:rFonts w:ascii="Times New Roman" w:cs="Times New Roman" w:eastAsia="Times New Roman" w:hAnsi="Times New Roman"/>
                <w:sz w:val="15"/>
                <w:szCs w:val="15"/>
                <w:color w:val="231F20"/>
              </w:rPr>
              <w:t>SOFR +</w:t>
            </w:r>
          </w:p>
        </w:tc>
        <w:tc>
          <w:tcPr>
            <w:tcW w:w="1060" w:type="dxa"/>
            <w:vAlign w:val="bottom"/>
            <w:shd w:val="clear" w:color="auto" w:fill="FDFDFC"/>
          </w:tcPr>
          <w:p>
            <w:pPr>
              <w:jc w:val="right"/>
              <w:ind w:right="64"/>
              <w:spacing w:after="0" w:line="172" w:lineRule="exact"/>
              <w:rPr>
                <w:sz w:val="20"/>
                <w:szCs w:val="20"/>
                <w:color w:val="auto"/>
              </w:rPr>
            </w:pPr>
            <w:r>
              <w:rPr>
                <w:rFonts w:ascii="Times New Roman" w:cs="Times New Roman" w:eastAsia="Times New Roman" w:hAnsi="Times New Roman"/>
                <w:sz w:val="15"/>
                <w:szCs w:val="15"/>
                <w:color w:val="231F20"/>
              </w:rPr>
              <w:t>12.08% (incl.</w:t>
            </w:r>
          </w:p>
        </w:tc>
        <w:tc>
          <w:tcPr>
            <w:tcW w:w="1000" w:type="dxa"/>
            <w:vAlign w:val="bottom"/>
            <w:gridSpan w:val="2"/>
            <w:shd w:val="clear" w:color="auto" w:fill="FDFDFC"/>
          </w:tcPr>
          <w:p>
            <w:pPr>
              <w:jc w:val="right"/>
              <w:spacing w:after="0" w:line="172" w:lineRule="exact"/>
              <w:rPr>
                <w:sz w:val="20"/>
                <w:szCs w:val="20"/>
                <w:color w:val="auto"/>
              </w:rPr>
            </w:pPr>
            <w:r>
              <w:rPr>
                <w:rFonts w:ascii="Times New Roman" w:cs="Times New Roman" w:eastAsia="Times New Roman" w:hAnsi="Times New Roman"/>
                <w:sz w:val="15"/>
                <w:szCs w:val="15"/>
                <w:color w:val="231F20"/>
              </w:rPr>
              <w:t>3,376</w:t>
            </w:r>
          </w:p>
        </w:tc>
        <w:tc>
          <w:tcPr>
            <w:tcW w:w="1680" w:type="dxa"/>
            <w:vAlign w:val="bottom"/>
            <w:gridSpan w:val="3"/>
            <w:shd w:val="clear" w:color="auto" w:fill="FDFDFC"/>
          </w:tcPr>
          <w:p>
            <w:pPr>
              <w:jc w:val="right"/>
              <w:spacing w:after="0" w:line="172" w:lineRule="exact"/>
              <w:rPr>
                <w:sz w:val="20"/>
                <w:szCs w:val="20"/>
                <w:color w:val="auto"/>
              </w:rPr>
            </w:pPr>
            <w:r>
              <w:rPr>
                <w:rFonts w:ascii="Times New Roman" w:cs="Times New Roman" w:eastAsia="Times New Roman" w:hAnsi="Times New Roman"/>
                <w:sz w:val="15"/>
                <w:szCs w:val="15"/>
                <w:color w:val="231F20"/>
              </w:rPr>
              <w:t>3,484</w:t>
            </w:r>
          </w:p>
        </w:tc>
        <w:tc>
          <w:tcPr>
            <w:tcW w:w="960" w:type="dxa"/>
            <w:vAlign w:val="bottom"/>
            <w:gridSpan w:val="2"/>
            <w:shd w:val="clear" w:color="auto" w:fill="FDFDFC"/>
          </w:tcPr>
          <w:p>
            <w:pPr>
              <w:jc w:val="right"/>
              <w:spacing w:after="0" w:line="172" w:lineRule="exact"/>
              <w:rPr>
                <w:sz w:val="20"/>
                <w:szCs w:val="20"/>
                <w:color w:val="auto"/>
              </w:rPr>
            </w:pPr>
            <w:r>
              <w:rPr>
                <w:rFonts w:ascii="Times New Roman" w:cs="Times New Roman" w:eastAsia="Times New Roman" w:hAnsi="Times New Roman"/>
                <w:sz w:val="15"/>
                <w:szCs w:val="15"/>
                <w:color w:val="231F20"/>
              </w:rPr>
              <w:t>0.2%</w:t>
            </w:r>
          </w:p>
        </w:tc>
      </w:tr>
      <w:tr>
        <w:trPr>
          <w:trHeight w:val="189"/>
        </w:trPr>
        <w:tc>
          <w:tcPr>
            <w:tcW w:w="1580" w:type="dxa"/>
            <w:vAlign w:val="bottom"/>
            <w:shd w:val="clear" w:color="auto" w:fill="FDFDFC"/>
          </w:tcPr>
          <w:p>
            <w:pPr>
              <w:spacing w:after="0"/>
              <w:rPr>
                <w:sz w:val="20"/>
                <w:szCs w:val="20"/>
                <w:color w:val="auto"/>
              </w:rPr>
            </w:pPr>
            <w:r>
              <w:rPr>
                <w:rFonts w:ascii="Times New Roman" w:cs="Times New Roman" w:eastAsia="Times New Roman" w:hAnsi="Times New Roman"/>
                <w:sz w:val="15"/>
                <w:szCs w:val="15"/>
                <w:color w:val="231F20"/>
              </w:rPr>
              <w:t xml:space="preserve">Inc. </w:t>
            </w:r>
            <w:r>
              <w:rPr>
                <w:rFonts w:ascii="Times New Roman" w:cs="Times New Roman" w:eastAsia="Times New Roman" w:hAnsi="Times New Roman"/>
                <w:sz w:val="9"/>
                <w:szCs w:val="9"/>
                <w:color w:val="231F20"/>
              </w:rPr>
              <w:t>(9)</w:t>
            </w:r>
          </w:p>
        </w:tc>
        <w:tc>
          <w:tcPr>
            <w:tcW w:w="2200" w:type="dxa"/>
            <w:vAlign w:val="bottom"/>
            <w:shd w:val="clear" w:color="auto" w:fill="FDFDFC"/>
          </w:tcPr>
          <w:p>
            <w:pPr>
              <w:ind w:left="60"/>
              <w:spacing w:after="0"/>
              <w:rPr>
                <w:sz w:val="20"/>
                <w:szCs w:val="20"/>
                <w:color w:val="auto"/>
              </w:rPr>
            </w:pPr>
            <w:r>
              <w:rPr>
                <w:rFonts w:ascii="Times New Roman" w:cs="Times New Roman" w:eastAsia="Times New Roman" w:hAnsi="Times New Roman"/>
                <w:sz w:val="15"/>
                <w:szCs w:val="15"/>
                <w:color w:val="231F20"/>
              </w:rPr>
              <w:t>9/2029)</w:t>
            </w:r>
            <w:r>
              <w:rPr>
                <w:rFonts w:ascii="Times New Roman" w:cs="Times New Roman" w:eastAsia="Times New Roman" w:hAnsi="Times New Roman"/>
                <w:sz w:val="9"/>
                <w:szCs w:val="9"/>
                <w:color w:val="231F20"/>
              </w:rPr>
              <w:t>(3)</w:t>
            </w:r>
          </w:p>
        </w:tc>
        <w:tc>
          <w:tcPr>
            <w:tcW w:w="800" w:type="dxa"/>
            <w:vAlign w:val="bottom"/>
            <w:shd w:val="clear" w:color="auto" w:fill="FDFDFC"/>
          </w:tcPr>
          <w:p>
            <w:pPr>
              <w:spacing w:after="0"/>
              <w:rPr>
                <w:sz w:val="16"/>
                <w:szCs w:val="16"/>
                <w:color w:val="auto"/>
              </w:rPr>
            </w:pPr>
          </w:p>
        </w:tc>
        <w:tc>
          <w:tcPr>
            <w:tcW w:w="1000" w:type="dxa"/>
            <w:vAlign w:val="bottom"/>
            <w:shd w:val="clear" w:color="auto" w:fill="FDFDFC"/>
          </w:tcPr>
          <w:p>
            <w:pPr>
              <w:jc w:val="right"/>
              <w:ind w:right="44"/>
              <w:spacing w:after="0"/>
              <w:rPr>
                <w:sz w:val="20"/>
                <w:szCs w:val="20"/>
                <w:color w:val="auto"/>
              </w:rPr>
            </w:pPr>
            <w:r>
              <w:rPr>
                <w:rFonts w:ascii="Times New Roman" w:cs="Times New Roman" w:eastAsia="Times New Roman" w:hAnsi="Times New Roman"/>
                <w:sz w:val="15"/>
                <w:szCs w:val="15"/>
                <w:color w:val="231F20"/>
              </w:rPr>
              <w:t>7.75%</w:t>
            </w:r>
          </w:p>
        </w:tc>
        <w:tc>
          <w:tcPr>
            <w:tcW w:w="1060" w:type="dxa"/>
            <w:vAlign w:val="bottom"/>
            <w:shd w:val="clear" w:color="auto" w:fill="FDFDFC"/>
          </w:tcPr>
          <w:p>
            <w:pPr>
              <w:jc w:val="right"/>
              <w:ind w:right="64"/>
              <w:spacing w:after="0"/>
              <w:rPr>
                <w:sz w:val="20"/>
                <w:szCs w:val="20"/>
                <w:color w:val="auto"/>
              </w:rPr>
            </w:pPr>
            <w:r>
              <w:rPr>
                <w:rFonts w:ascii="Times New Roman" w:cs="Times New Roman" w:eastAsia="Times New Roman" w:hAnsi="Times New Roman"/>
                <w:sz w:val="15"/>
                <w:szCs w:val="15"/>
                <w:color w:val="231F20"/>
              </w:rPr>
              <w:t>4.75% PIK)</w:t>
            </w:r>
          </w:p>
        </w:tc>
        <w:tc>
          <w:tcPr>
            <w:tcW w:w="100" w:type="dxa"/>
            <w:vAlign w:val="bottom"/>
            <w:shd w:val="clear" w:color="auto" w:fill="FDFDFC"/>
          </w:tcPr>
          <w:p>
            <w:pPr>
              <w:spacing w:after="0"/>
              <w:rPr>
                <w:sz w:val="16"/>
                <w:szCs w:val="16"/>
                <w:color w:val="auto"/>
              </w:rPr>
            </w:pPr>
          </w:p>
        </w:tc>
        <w:tc>
          <w:tcPr>
            <w:tcW w:w="900" w:type="dxa"/>
            <w:vAlign w:val="bottom"/>
            <w:shd w:val="clear" w:color="auto" w:fill="FDFDFC"/>
          </w:tcPr>
          <w:p>
            <w:pPr>
              <w:spacing w:after="0"/>
              <w:rPr>
                <w:sz w:val="16"/>
                <w:szCs w:val="16"/>
                <w:color w:val="auto"/>
              </w:rPr>
            </w:pPr>
          </w:p>
        </w:tc>
        <w:tc>
          <w:tcPr>
            <w:tcW w:w="80" w:type="dxa"/>
            <w:vAlign w:val="bottom"/>
            <w:shd w:val="clear" w:color="auto" w:fill="FDFDFC"/>
          </w:tcPr>
          <w:p>
            <w:pPr>
              <w:spacing w:after="0"/>
              <w:rPr>
                <w:sz w:val="16"/>
                <w:szCs w:val="16"/>
                <w:color w:val="auto"/>
              </w:rPr>
            </w:pPr>
          </w:p>
        </w:tc>
        <w:tc>
          <w:tcPr>
            <w:tcW w:w="100" w:type="dxa"/>
            <w:vAlign w:val="bottom"/>
            <w:shd w:val="clear" w:color="auto" w:fill="FDFDFC"/>
          </w:tcPr>
          <w:p>
            <w:pPr>
              <w:spacing w:after="0"/>
              <w:rPr>
                <w:sz w:val="16"/>
                <w:szCs w:val="16"/>
                <w:color w:val="auto"/>
              </w:rPr>
            </w:pPr>
          </w:p>
        </w:tc>
        <w:tc>
          <w:tcPr>
            <w:tcW w:w="1500" w:type="dxa"/>
            <w:vAlign w:val="bottom"/>
            <w:shd w:val="clear" w:color="auto" w:fill="FDFDFC"/>
          </w:tcPr>
          <w:p>
            <w:pPr>
              <w:spacing w:after="0"/>
              <w:rPr>
                <w:sz w:val="16"/>
                <w:szCs w:val="16"/>
                <w:color w:val="auto"/>
              </w:rPr>
            </w:pPr>
          </w:p>
        </w:tc>
        <w:tc>
          <w:tcPr>
            <w:tcW w:w="100" w:type="dxa"/>
            <w:vAlign w:val="bottom"/>
            <w:shd w:val="clear" w:color="auto" w:fill="FDFDFC"/>
          </w:tcPr>
          <w:p>
            <w:pPr>
              <w:spacing w:after="0"/>
              <w:rPr>
                <w:sz w:val="16"/>
                <w:szCs w:val="16"/>
                <w:color w:val="auto"/>
              </w:rPr>
            </w:pPr>
          </w:p>
        </w:tc>
        <w:tc>
          <w:tcPr>
            <w:tcW w:w="860" w:type="dxa"/>
            <w:vAlign w:val="bottom"/>
            <w:shd w:val="clear" w:color="auto" w:fill="FDFDFC"/>
          </w:tcPr>
          <w:p>
            <w:pPr>
              <w:spacing w:after="0"/>
              <w:rPr>
                <w:sz w:val="16"/>
                <w:szCs w:val="16"/>
                <w:color w:val="auto"/>
              </w:rPr>
            </w:pPr>
          </w:p>
        </w:tc>
      </w:tr>
      <w:tr>
        <w:trPr>
          <w:trHeight w:val="171"/>
        </w:trPr>
        <w:tc>
          <w:tcPr>
            <w:tcW w:w="1580" w:type="dxa"/>
            <w:vAlign w:val="bottom"/>
            <w:shd w:val="clear" w:color="auto" w:fill="D0EBF2"/>
          </w:tcPr>
          <w:p>
            <w:pPr>
              <w:spacing w:after="0"/>
              <w:rPr>
                <w:sz w:val="14"/>
                <w:szCs w:val="14"/>
                <w:color w:val="auto"/>
              </w:rPr>
            </w:pPr>
          </w:p>
        </w:tc>
        <w:tc>
          <w:tcPr>
            <w:tcW w:w="2200" w:type="dxa"/>
            <w:vAlign w:val="bottom"/>
            <w:shd w:val="clear" w:color="auto" w:fill="D0EBF2"/>
          </w:tcPr>
          <w:p>
            <w:pPr>
              <w:ind w:left="60"/>
              <w:spacing w:after="0" w:line="172" w:lineRule="exact"/>
              <w:rPr>
                <w:sz w:val="20"/>
                <w:szCs w:val="20"/>
                <w:color w:val="auto"/>
              </w:rPr>
            </w:pPr>
            <w:r>
              <w:rPr>
                <w:rFonts w:ascii="Times New Roman" w:cs="Times New Roman" w:eastAsia="Times New Roman" w:hAnsi="Times New Roman"/>
                <w:sz w:val="15"/>
                <w:szCs w:val="15"/>
                <w:color w:val="231F20"/>
              </w:rPr>
              <w:t>Second-lien note ($1,999 par, due</w:t>
            </w:r>
          </w:p>
        </w:tc>
        <w:tc>
          <w:tcPr>
            <w:tcW w:w="800" w:type="dxa"/>
            <w:vAlign w:val="bottom"/>
            <w:shd w:val="clear" w:color="auto" w:fill="D0EBF2"/>
          </w:tcPr>
          <w:p>
            <w:pPr>
              <w:jc w:val="right"/>
              <w:spacing w:after="0" w:line="172" w:lineRule="exact"/>
              <w:rPr>
                <w:sz w:val="20"/>
                <w:szCs w:val="20"/>
                <w:color w:val="auto"/>
              </w:rPr>
            </w:pPr>
            <w:r>
              <w:rPr>
                <w:rFonts w:ascii="Times New Roman" w:cs="Times New Roman" w:eastAsia="Times New Roman" w:hAnsi="Times New Roman"/>
                <w:sz w:val="15"/>
                <w:szCs w:val="15"/>
                <w:color w:val="231F20"/>
              </w:rPr>
              <w:t>8/31/2023</w:t>
            </w:r>
          </w:p>
        </w:tc>
        <w:tc>
          <w:tcPr>
            <w:tcW w:w="1000" w:type="dxa"/>
            <w:vAlign w:val="bottom"/>
            <w:shd w:val="clear" w:color="auto" w:fill="D0EBF2"/>
          </w:tcPr>
          <w:p>
            <w:pPr>
              <w:jc w:val="right"/>
              <w:ind w:right="44"/>
              <w:spacing w:after="0" w:line="172" w:lineRule="exact"/>
              <w:rPr>
                <w:sz w:val="20"/>
                <w:szCs w:val="20"/>
                <w:color w:val="auto"/>
              </w:rPr>
            </w:pPr>
            <w:r>
              <w:rPr>
                <w:rFonts w:ascii="Times New Roman" w:cs="Times New Roman" w:eastAsia="Times New Roman" w:hAnsi="Times New Roman"/>
                <w:sz w:val="15"/>
                <w:szCs w:val="15"/>
                <w:color w:val="231F20"/>
              </w:rPr>
              <w:t>7.10%</w:t>
            </w:r>
          </w:p>
        </w:tc>
        <w:tc>
          <w:tcPr>
            <w:tcW w:w="1060" w:type="dxa"/>
            <w:vAlign w:val="bottom"/>
            <w:shd w:val="clear" w:color="auto" w:fill="D0EBF2"/>
          </w:tcPr>
          <w:p>
            <w:pPr>
              <w:jc w:val="right"/>
              <w:ind w:right="64"/>
              <w:spacing w:after="0" w:line="172" w:lineRule="exact"/>
              <w:rPr>
                <w:sz w:val="20"/>
                <w:szCs w:val="20"/>
                <w:color w:val="auto"/>
              </w:rPr>
            </w:pPr>
            <w:r>
              <w:rPr>
                <w:rFonts w:ascii="Times New Roman" w:cs="Times New Roman" w:eastAsia="Times New Roman" w:hAnsi="Times New Roman"/>
                <w:sz w:val="15"/>
                <w:szCs w:val="15"/>
                <w:color w:val="231F20"/>
              </w:rPr>
              <w:t>7.10% (incl.</w:t>
            </w:r>
          </w:p>
        </w:tc>
        <w:tc>
          <w:tcPr>
            <w:tcW w:w="1000" w:type="dxa"/>
            <w:vAlign w:val="bottom"/>
            <w:gridSpan w:val="2"/>
            <w:shd w:val="clear" w:color="auto" w:fill="D0EBF2"/>
          </w:tcPr>
          <w:p>
            <w:pPr>
              <w:jc w:val="right"/>
              <w:spacing w:after="0" w:line="172" w:lineRule="exact"/>
              <w:rPr>
                <w:sz w:val="20"/>
                <w:szCs w:val="20"/>
                <w:color w:val="auto"/>
              </w:rPr>
            </w:pPr>
            <w:r>
              <w:rPr>
                <w:rFonts w:ascii="Times New Roman" w:cs="Times New Roman" w:eastAsia="Times New Roman" w:hAnsi="Times New Roman"/>
                <w:sz w:val="15"/>
                <w:szCs w:val="15"/>
                <w:color w:val="231F20"/>
              </w:rPr>
              <w:t>1,513</w:t>
            </w:r>
          </w:p>
        </w:tc>
        <w:tc>
          <w:tcPr>
            <w:tcW w:w="1680" w:type="dxa"/>
            <w:vAlign w:val="bottom"/>
            <w:gridSpan w:val="3"/>
            <w:shd w:val="clear" w:color="auto" w:fill="D0EBF2"/>
          </w:tcPr>
          <w:p>
            <w:pPr>
              <w:jc w:val="right"/>
              <w:spacing w:after="0" w:line="172" w:lineRule="exact"/>
              <w:rPr>
                <w:sz w:val="20"/>
                <w:szCs w:val="20"/>
                <w:color w:val="auto"/>
              </w:rPr>
            </w:pPr>
            <w:r>
              <w:rPr>
                <w:rFonts w:ascii="Times New Roman" w:cs="Times New Roman" w:eastAsia="Times New Roman" w:hAnsi="Times New Roman"/>
                <w:sz w:val="15"/>
                <w:szCs w:val="15"/>
                <w:color w:val="231F20"/>
              </w:rPr>
              <w:t>1,309</w:t>
            </w:r>
          </w:p>
        </w:tc>
        <w:tc>
          <w:tcPr>
            <w:tcW w:w="960" w:type="dxa"/>
            <w:vAlign w:val="bottom"/>
            <w:gridSpan w:val="2"/>
            <w:shd w:val="clear" w:color="auto" w:fill="D0EBF2"/>
          </w:tcPr>
          <w:p>
            <w:pPr>
              <w:jc w:val="right"/>
              <w:spacing w:after="0" w:line="172" w:lineRule="exact"/>
              <w:rPr>
                <w:sz w:val="20"/>
                <w:szCs w:val="20"/>
                <w:color w:val="auto"/>
              </w:rPr>
            </w:pPr>
            <w:r>
              <w:rPr>
                <w:rFonts w:ascii="Times New Roman" w:cs="Times New Roman" w:eastAsia="Times New Roman" w:hAnsi="Times New Roman"/>
                <w:sz w:val="15"/>
                <w:szCs w:val="15"/>
                <w:color w:val="231F20"/>
              </w:rPr>
              <w:t>0.1%</w:t>
            </w:r>
          </w:p>
        </w:tc>
      </w:tr>
      <w:tr>
        <w:trPr>
          <w:trHeight w:val="189"/>
        </w:trPr>
        <w:tc>
          <w:tcPr>
            <w:tcW w:w="1580" w:type="dxa"/>
            <w:vAlign w:val="bottom"/>
            <w:shd w:val="clear" w:color="auto" w:fill="D0EBF2"/>
          </w:tcPr>
          <w:p>
            <w:pPr>
              <w:spacing w:after="0"/>
              <w:rPr>
                <w:sz w:val="16"/>
                <w:szCs w:val="16"/>
                <w:color w:val="auto"/>
              </w:rPr>
            </w:pPr>
          </w:p>
        </w:tc>
        <w:tc>
          <w:tcPr>
            <w:tcW w:w="2200" w:type="dxa"/>
            <w:vAlign w:val="bottom"/>
            <w:shd w:val="clear" w:color="auto" w:fill="D0EBF2"/>
          </w:tcPr>
          <w:p>
            <w:pPr>
              <w:ind w:left="60"/>
              <w:spacing w:after="0"/>
              <w:rPr>
                <w:sz w:val="20"/>
                <w:szCs w:val="20"/>
                <w:color w:val="auto"/>
              </w:rPr>
            </w:pPr>
            <w:r>
              <w:rPr>
                <w:rFonts w:ascii="Times New Roman" w:cs="Times New Roman" w:eastAsia="Times New Roman" w:hAnsi="Times New Roman"/>
                <w:sz w:val="15"/>
                <w:szCs w:val="15"/>
                <w:color w:val="231F20"/>
              </w:rPr>
              <w:t>9/2029)</w:t>
            </w:r>
          </w:p>
        </w:tc>
        <w:tc>
          <w:tcPr>
            <w:tcW w:w="800" w:type="dxa"/>
            <w:vAlign w:val="bottom"/>
            <w:shd w:val="clear" w:color="auto" w:fill="D0EBF2"/>
          </w:tcPr>
          <w:p>
            <w:pPr>
              <w:spacing w:after="0"/>
              <w:rPr>
                <w:sz w:val="16"/>
                <w:szCs w:val="16"/>
                <w:color w:val="auto"/>
              </w:rPr>
            </w:pPr>
          </w:p>
        </w:tc>
        <w:tc>
          <w:tcPr>
            <w:tcW w:w="1000" w:type="dxa"/>
            <w:vAlign w:val="bottom"/>
            <w:shd w:val="clear" w:color="auto" w:fill="D0EBF2"/>
          </w:tcPr>
          <w:p>
            <w:pPr>
              <w:spacing w:after="0"/>
              <w:rPr>
                <w:sz w:val="16"/>
                <w:szCs w:val="16"/>
                <w:color w:val="auto"/>
              </w:rPr>
            </w:pPr>
          </w:p>
        </w:tc>
        <w:tc>
          <w:tcPr>
            <w:tcW w:w="1060" w:type="dxa"/>
            <w:vAlign w:val="bottom"/>
            <w:shd w:val="clear" w:color="auto" w:fill="D0EBF2"/>
          </w:tcPr>
          <w:p>
            <w:pPr>
              <w:jc w:val="right"/>
              <w:ind w:right="64"/>
              <w:spacing w:after="0"/>
              <w:rPr>
                <w:sz w:val="20"/>
                <w:szCs w:val="20"/>
                <w:color w:val="auto"/>
              </w:rPr>
            </w:pPr>
            <w:r>
              <w:rPr>
                <w:rFonts w:ascii="Times New Roman" w:cs="Times New Roman" w:eastAsia="Times New Roman" w:hAnsi="Times New Roman"/>
                <w:sz w:val="15"/>
                <w:szCs w:val="15"/>
                <w:color w:val="231F20"/>
              </w:rPr>
              <w:t>1.25% PIK)</w:t>
            </w:r>
          </w:p>
        </w:tc>
        <w:tc>
          <w:tcPr>
            <w:tcW w:w="100" w:type="dxa"/>
            <w:vAlign w:val="bottom"/>
            <w:shd w:val="clear" w:color="auto" w:fill="D0EBF2"/>
          </w:tcPr>
          <w:p>
            <w:pPr>
              <w:spacing w:after="0"/>
              <w:rPr>
                <w:sz w:val="16"/>
                <w:szCs w:val="16"/>
                <w:color w:val="auto"/>
              </w:rPr>
            </w:pPr>
          </w:p>
        </w:tc>
        <w:tc>
          <w:tcPr>
            <w:tcW w:w="900" w:type="dxa"/>
            <w:vAlign w:val="bottom"/>
            <w:shd w:val="clear" w:color="auto" w:fill="D0EBF2"/>
          </w:tcPr>
          <w:p>
            <w:pPr>
              <w:spacing w:after="0"/>
              <w:rPr>
                <w:sz w:val="16"/>
                <w:szCs w:val="16"/>
                <w:color w:val="auto"/>
              </w:rPr>
            </w:pPr>
          </w:p>
        </w:tc>
        <w:tc>
          <w:tcPr>
            <w:tcW w:w="80" w:type="dxa"/>
            <w:vAlign w:val="bottom"/>
            <w:shd w:val="clear" w:color="auto" w:fill="D0EBF2"/>
          </w:tcPr>
          <w:p>
            <w:pPr>
              <w:spacing w:after="0"/>
              <w:rPr>
                <w:sz w:val="16"/>
                <w:szCs w:val="16"/>
                <w:color w:val="auto"/>
              </w:rPr>
            </w:pPr>
          </w:p>
        </w:tc>
        <w:tc>
          <w:tcPr>
            <w:tcW w:w="100" w:type="dxa"/>
            <w:vAlign w:val="bottom"/>
            <w:shd w:val="clear" w:color="auto" w:fill="D0EBF2"/>
          </w:tcPr>
          <w:p>
            <w:pPr>
              <w:spacing w:after="0"/>
              <w:rPr>
                <w:sz w:val="16"/>
                <w:szCs w:val="16"/>
                <w:color w:val="auto"/>
              </w:rPr>
            </w:pPr>
          </w:p>
        </w:tc>
        <w:tc>
          <w:tcPr>
            <w:tcW w:w="1500" w:type="dxa"/>
            <w:vAlign w:val="bottom"/>
            <w:shd w:val="clear" w:color="auto" w:fill="D0EBF2"/>
          </w:tcPr>
          <w:p>
            <w:pPr>
              <w:spacing w:after="0"/>
              <w:rPr>
                <w:sz w:val="16"/>
                <w:szCs w:val="16"/>
                <w:color w:val="auto"/>
              </w:rPr>
            </w:pPr>
          </w:p>
        </w:tc>
        <w:tc>
          <w:tcPr>
            <w:tcW w:w="100" w:type="dxa"/>
            <w:vAlign w:val="bottom"/>
            <w:shd w:val="clear" w:color="auto" w:fill="D0EBF2"/>
          </w:tcPr>
          <w:p>
            <w:pPr>
              <w:spacing w:after="0"/>
              <w:rPr>
                <w:sz w:val="16"/>
                <w:szCs w:val="16"/>
                <w:color w:val="auto"/>
              </w:rPr>
            </w:pPr>
          </w:p>
        </w:tc>
        <w:tc>
          <w:tcPr>
            <w:tcW w:w="860" w:type="dxa"/>
            <w:vAlign w:val="bottom"/>
            <w:shd w:val="clear" w:color="auto" w:fill="D0EBF2"/>
          </w:tcPr>
          <w:p>
            <w:pPr>
              <w:spacing w:after="0"/>
              <w:rPr>
                <w:sz w:val="16"/>
                <w:szCs w:val="16"/>
                <w:color w:val="auto"/>
              </w:rPr>
            </w:pPr>
          </w:p>
        </w:tc>
      </w:tr>
      <w:tr>
        <w:trPr>
          <w:trHeight w:val="171"/>
        </w:trPr>
        <w:tc>
          <w:tcPr>
            <w:tcW w:w="1580" w:type="dxa"/>
            <w:vAlign w:val="bottom"/>
            <w:shd w:val="clear" w:color="auto" w:fill="FDFDFC"/>
          </w:tcPr>
          <w:p>
            <w:pPr>
              <w:spacing w:after="0" w:line="172" w:lineRule="exact"/>
              <w:rPr>
                <w:sz w:val="20"/>
                <w:szCs w:val="20"/>
                <w:color w:val="auto"/>
              </w:rPr>
            </w:pPr>
            <w:r>
              <w:rPr>
                <w:rFonts w:ascii="Times New Roman" w:cs="Times New Roman" w:eastAsia="Times New Roman" w:hAnsi="Times New Roman"/>
                <w:sz w:val="15"/>
                <w:szCs w:val="15"/>
                <w:color w:val="231F20"/>
              </w:rPr>
              <w:t xml:space="preserve">Avalara, Inc. </w:t>
            </w:r>
            <w:r>
              <w:rPr>
                <w:rFonts w:ascii="Times New Roman" w:cs="Times New Roman" w:eastAsia="Times New Roman" w:hAnsi="Times New Roman"/>
                <w:sz w:val="9"/>
                <w:szCs w:val="9"/>
                <w:color w:val="231F20"/>
              </w:rPr>
              <w:t>(3)</w:t>
            </w:r>
          </w:p>
        </w:tc>
        <w:tc>
          <w:tcPr>
            <w:tcW w:w="2200" w:type="dxa"/>
            <w:vAlign w:val="bottom"/>
            <w:shd w:val="clear" w:color="auto" w:fill="FDFDFC"/>
          </w:tcPr>
          <w:p>
            <w:pPr>
              <w:ind w:left="60"/>
              <w:spacing w:after="0" w:line="172" w:lineRule="exact"/>
              <w:rPr>
                <w:sz w:val="20"/>
                <w:szCs w:val="20"/>
                <w:color w:val="auto"/>
              </w:rPr>
            </w:pPr>
            <w:r>
              <w:rPr>
                <w:rFonts w:ascii="Times New Roman" w:cs="Times New Roman" w:eastAsia="Times New Roman" w:hAnsi="Times New Roman"/>
                <w:sz w:val="15"/>
                <w:szCs w:val="15"/>
                <w:color w:val="231F20"/>
              </w:rPr>
              <w:t>First-lien loan ($38,636 par, due</w:t>
            </w:r>
          </w:p>
        </w:tc>
        <w:tc>
          <w:tcPr>
            <w:tcW w:w="800" w:type="dxa"/>
            <w:vAlign w:val="bottom"/>
            <w:shd w:val="clear" w:color="auto" w:fill="FDFDFC"/>
          </w:tcPr>
          <w:p>
            <w:pPr>
              <w:jc w:val="right"/>
              <w:spacing w:after="0" w:line="172" w:lineRule="exact"/>
              <w:rPr>
                <w:sz w:val="20"/>
                <w:szCs w:val="20"/>
                <w:color w:val="auto"/>
              </w:rPr>
            </w:pPr>
            <w:r>
              <w:rPr>
                <w:rFonts w:ascii="Times New Roman" w:cs="Times New Roman" w:eastAsia="Times New Roman" w:hAnsi="Times New Roman"/>
                <w:sz w:val="15"/>
                <w:szCs w:val="15"/>
                <w:color w:val="231F20"/>
              </w:rPr>
              <w:t>10/19/2022</w:t>
            </w:r>
          </w:p>
        </w:tc>
        <w:tc>
          <w:tcPr>
            <w:tcW w:w="1000" w:type="dxa"/>
            <w:vAlign w:val="bottom"/>
            <w:shd w:val="clear" w:color="auto" w:fill="FDFDFC"/>
          </w:tcPr>
          <w:p>
            <w:pPr>
              <w:jc w:val="right"/>
              <w:ind w:right="44"/>
              <w:spacing w:after="0" w:line="172" w:lineRule="exact"/>
              <w:rPr>
                <w:sz w:val="20"/>
                <w:szCs w:val="20"/>
                <w:color w:val="auto"/>
              </w:rPr>
            </w:pPr>
            <w:r>
              <w:rPr>
                <w:rFonts w:ascii="Times New Roman" w:cs="Times New Roman" w:eastAsia="Times New Roman" w:hAnsi="Times New Roman"/>
                <w:sz w:val="15"/>
                <w:szCs w:val="15"/>
                <w:color w:val="231F20"/>
              </w:rPr>
              <w:t>SOFR +</w:t>
            </w:r>
          </w:p>
        </w:tc>
        <w:tc>
          <w:tcPr>
            <w:tcW w:w="1060" w:type="dxa"/>
            <w:vAlign w:val="bottom"/>
            <w:shd w:val="clear" w:color="auto" w:fill="FDFDFC"/>
          </w:tcPr>
          <w:p>
            <w:pPr>
              <w:jc w:val="right"/>
              <w:ind w:right="64"/>
              <w:spacing w:after="0" w:line="172" w:lineRule="exact"/>
              <w:rPr>
                <w:sz w:val="20"/>
                <w:szCs w:val="20"/>
                <w:color w:val="auto"/>
              </w:rPr>
            </w:pPr>
            <w:r>
              <w:rPr>
                <w:rFonts w:ascii="Times New Roman" w:cs="Times New Roman" w:eastAsia="Times New Roman" w:hAnsi="Times New Roman"/>
                <w:sz w:val="15"/>
                <w:szCs w:val="15"/>
                <w:color w:val="231F20"/>
              </w:rPr>
              <w:t>10.58%</w:t>
            </w:r>
          </w:p>
        </w:tc>
        <w:tc>
          <w:tcPr>
            <w:tcW w:w="1000" w:type="dxa"/>
            <w:vAlign w:val="bottom"/>
            <w:gridSpan w:val="2"/>
            <w:shd w:val="clear" w:color="auto" w:fill="FDFDFC"/>
          </w:tcPr>
          <w:p>
            <w:pPr>
              <w:jc w:val="right"/>
              <w:spacing w:after="0" w:line="172" w:lineRule="exact"/>
              <w:rPr>
                <w:sz w:val="20"/>
                <w:szCs w:val="20"/>
                <w:color w:val="auto"/>
              </w:rPr>
            </w:pPr>
            <w:r>
              <w:rPr>
                <w:rFonts w:ascii="Times New Roman" w:cs="Times New Roman" w:eastAsia="Times New Roman" w:hAnsi="Times New Roman"/>
                <w:sz w:val="15"/>
                <w:szCs w:val="15"/>
                <w:color w:val="231F20"/>
              </w:rPr>
              <w:t>37,889</w:t>
            </w:r>
          </w:p>
        </w:tc>
        <w:tc>
          <w:tcPr>
            <w:tcW w:w="1680" w:type="dxa"/>
            <w:vAlign w:val="bottom"/>
            <w:gridSpan w:val="3"/>
            <w:shd w:val="clear" w:color="auto" w:fill="FDFDFC"/>
          </w:tcPr>
          <w:p>
            <w:pPr>
              <w:jc w:val="right"/>
              <w:spacing w:after="0" w:line="172" w:lineRule="exact"/>
              <w:rPr>
                <w:sz w:val="20"/>
                <w:szCs w:val="20"/>
                <w:color w:val="auto"/>
              </w:rPr>
            </w:pPr>
            <w:r>
              <w:rPr>
                <w:rFonts w:ascii="Times New Roman" w:cs="Times New Roman" w:eastAsia="Times New Roman" w:hAnsi="Times New Roman"/>
                <w:sz w:val="15"/>
                <w:szCs w:val="15"/>
                <w:color w:val="231F20"/>
              </w:rPr>
              <w:t>38,955</w:t>
            </w:r>
          </w:p>
        </w:tc>
        <w:tc>
          <w:tcPr>
            <w:tcW w:w="960" w:type="dxa"/>
            <w:vAlign w:val="bottom"/>
            <w:gridSpan w:val="2"/>
            <w:shd w:val="clear" w:color="auto" w:fill="FDFDFC"/>
          </w:tcPr>
          <w:p>
            <w:pPr>
              <w:jc w:val="right"/>
              <w:spacing w:after="0" w:line="172" w:lineRule="exact"/>
              <w:rPr>
                <w:sz w:val="20"/>
                <w:szCs w:val="20"/>
                <w:color w:val="auto"/>
              </w:rPr>
            </w:pPr>
            <w:r>
              <w:rPr>
                <w:rFonts w:ascii="Times New Roman" w:cs="Times New Roman" w:eastAsia="Times New Roman" w:hAnsi="Times New Roman"/>
                <w:sz w:val="15"/>
                <w:szCs w:val="15"/>
                <w:color w:val="231F20"/>
              </w:rPr>
              <w:t>2.4%</w:t>
            </w:r>
          </w:p>
        </w:tc>
      </w:tr>
      <w:tr>
        <w:trPr>
          <w:trHeight w:val="189"/>
        </w:trPr>
        <w:tc>
          <w:tcPr>
            <w:tcW w:w="1580" w:type="dxa"/>
            <w:vAlign w:val="bottom"/>
            <w:shd w:val="clear" w:color="auto" w:fill="FDFDFC"/>
          </w:tcPr>
          <w:p>
            <w:pPr>
              <w:spacing w:after="0"/>
              <w:rPr>
                <w:sz w:val="16"/>
                <w:szCs w:val="16"/>
                <w:color w:val="auto"/>
              </w:rPr>
            </w:pPr>
          </w:p>
        </w:tc>
        <w:tc>
          <w:tcPr>
            <w:tcW w:w="2200" w:type="dxa"/>
            <w:vAlign w:val="bottom"/>
            <w:shd w:val="clear" w:color="auto" w:fill="FDFDFC"/>
          </w:tcPr>
          <w:p>
            <w:pPr>
              <w:ind w:left="60"/>
              <w:spacing w:after="0"/>
              <w:rPr>
                <w:sz w:val="20"/>
                <w:szCs w:val="20"/>
                <w:color w:val="auto"/>
              </w:rPr>
            </w:pPr>
            <w:r>
              <w:rPr>
                <w:rFonts w:ascii="Times New Roman" w:cs="Times New Roman" w:eastAsia="Times New Roman" w:hAnsi="Times New Roman"/>
                <w:sz w:val="15"/>
                <w:szCs w:val="15"/>
                <w:color w:val="231F20"/>
              </w:rPr>
              <w:t>10/2028)</w:t>
            </w:r>
          </w:p>
        </w:tc>
        <w:tc>
          <w:tcPr>
            <w:tcW w:w="800" w:type="dxa"/>
            <w:vAlign w:val="bottom"/>
            <w:shd w:val="clear" w:color="auto" w:fill="FDFDFC"/>
          </w:tcPr>
          <w:p>
            <w:pPr>
              <w:spacing w:after="0"/>
              <w:rPr>
                <w:sz w:val="16"/>
                <w:szCs w:val="16"/>
                <w:color w:val="auto"/>
              </w:rPr>
            </w:pPr>
          </w:p>
        </w:tc>
        <w:tc>
          <w:tcPr>
            <w:tcW w:w="1000" w:type="dxa"/>
            <w:vAlign w:val="bottom"/>
            <w:shd w:val="clear" w:color="auto" w:fill="FDFDFC"/>
          </w:tcPr>
          <w:p>
            <w:pPr>
              <w:jc w:val="right"/>
              <w:ind w:right="44"/>
              <w:spacing w:after="0"/>
              <w:rPr>
                <w:sz w:val="20"/>
                <w:szCs w:val="20"/>
                <w:color w:val="auto"/>
              </w:rPr>
            </w:pPr>
            <w:r>
              <w:rPr>
                <w:rFonts w:ascii="Times New Roman" w:cs="Times New Roman" w:eastAsia="Times New Roman" w:hAnsi="Times New Roman"/>
                <w:sz w:val="15"/>
                <w:szCs w:val="15"/>
                <w:color w:val="231F20"/>
              </w:rPr>
              <w:t>6.25%</w:t>
            </w:r>
          </w:p>
        </w:tc>
        <w:tc>
          <w:tcPr>
            <w:tcW w:w="1060" w:type="dxa"/>
            <w:vAlign w:val="bottom"/>
            <w:shd w:val="clear" w:color="auto" w:fill="FDFDFC"/>
          </w:tcPr>
          <w:p>
            <w:pPr>
              <w:spacing w:after="0"/>
              <w:rPr>
                <w:sz w:val="16"/>
                <w:szCs w:val="16"/>
                <w:color w:val="auto"/>
              </w:rPr>
            </w:pPr>
          </w:p>
        </w:tc>
        <w:tc>
          <w:tcPr>
            <w:tcW w:w="100" w:type="dxa"/>
            <w:vAlign w:val="bottom"/>
            <w:shd w:val="clear" w:color="auto" w:fill="FDFDFC"/>
          </w:tcPr>
          <w:p>
            <w:pPr>
              <w:spacing w:after="0"/>
              <w:rPr>
                <w:sz w:val="16"/>
                <w:szCs w:val="16"/>
                <w:color w:val="auto"/>
              </w:rPr>
            </w:pPr>
          </w:p>
        </w:tc>
        <w:tc>
          <w:tcPr>
            <w:tcW w:w="900" w:type="dxa"/>
            <w:vAlign w:val="bottom"/>
            <w:shd w:val="clear" w:color="auto" w:fill="FDFDFC"/>
          </w:tcPr>
          <w:p>
            <w:pPr>
              <w:spacing w:after="0"/>
              <w:rPr>
                <w:sz w:val="16"/>
                <w:szCs w:val="16"/>
                <w:color w:val="auto"/>
              </w:rPr>
            </w:pPr>
          </w:p>
        </w:tc>
        <w:tc>
          <w:tcPr>
            <w:tcW w:w="80" w:type="dxa"/>
            <w:vAlign w:val="bottom"/>
            <w:shd w:val="clear" w:color="auto" w:fill="FDFDFC"/>
          </w:tcPr>
          <w:p>
            <w:pPr>
              <w:spacing w:after="0"/>
              <w:rPr>
                <w:sz w:val="16"/>
                <w:szCs w:val="16"/>
                <w:color w:val="auto"/>
              </w:rPr>
            </w:pPr>
          </w:p>
        </w:tc>
        <w:tc>
          <w:tcPr>
            <w:tcW w:w="100" w:type="dxa"/>
            <w:vAlign w:val="bottom"/>
            <w:shd w:val="clear" w:color="auto" w:fill="FDFDFC"/>
          </w:tcPr>
          <w:p>
            <w:pPr>
              <w:spacing w:after="0"/>
              <w:rPr>
                <w:sz w:val="16"/>
                <w:szCs w:val="16"/>
                <w:color w:val="auto"/>
              </w:rPr>
            </w:pPr>
          </w:p>
        </w:tc>
        <w:tc>
          <w:tcPr>
            <w:tcW w:w="1500" w:type="dxa"/>
            <w:vAlign w:val="bottom"/>
            <w:shd w:val="clear" w:color="auto" w:fill="FDFDFC"/>
          </w:tcPr>
          <w:p>
            <w:pPr>
              <w:spacing w:after="0"/>
              <w:rPr>
                <w:sz w:val="16"/>
                <w:szCs w:val="16"/>
                <w:color w:val="auto"/>
              </w:rPr>
            </w:pPr>
          </w:p>
        </w:tc>
        <w:tc>
          <w:tcPr>
            <w:tcW w:w="100" w:type="dxa"/>
            <w:vAlign w:val="bottom"/>
            <w:shd w:val="clear" w:color="auto" w:fill="FDFDFC"/>
          </w:tcPr>
          <w:p>
            <w:pPr>
              <w:spacing w:after="0"/>
              <w:rPr>
                <w:sz w:val="16"/>
                <w:szCs w:val="16"/>
                <w:color w:val="auto"/>
              </w:rPr>
            </w:pPr>
          </w:p>
        </w:tc>
        <w:tc>
          <w:tcPr>
            <w:tcW w:w="860" w:type="dxa"/>
            <w:vAlign w:val="bottom"/>
            <w:shd w:val="clear" w:color="auto" w:fill="FDFDFC"/>
          </w:tcPr>
          <w:p>
            <w:pPr>
              <w:spacing w:after="0"/>
              <w:rPr>
                <w:sz w:val="16"/>
                <w:szCs w:val="16"/>
                <w:color w:val="auto"/>
              </w:rPr>
            </w:pPr>
          </w:p>
        </w:tc>
      </w:tr>
      <w:tr>
        <w:trPr>
          <w:trHeight w:val="171"/>
        </w:trPr>
        <w:tc>
          <w:tcPr>
            <w:tcW w:w="1580" w:type="dxa"/>
            <w:vAlign w:val="bottom"/>
            <w:shd w:val="clear" w:color="auto" w:fill="D0EBF2"/>
          </w:tcPr>
          <w:p>
            <w:pPr>
              <w:spacing w:after="0" w:line="172" w:lineRule="exact"/>
              <w:rPr>
                <w:sz w:val="20"/>
                <w:szCs w:val="20"/>
                <w:color w:val="auto"/>
              </w:rPr>
            </w:pPr>
            <w:r>
              <w:rPr>
                <w:rFonts w:ascii="Times New Roman" w:cs="Times New Roman" w:eastAsia="Times New Roman" w:hAnsi="Times New Roman"/>
                <w:sz w:val="15"/>
                <w:szCs w:val="15"/>
                <w:color w:val="231F20"/>
              </w:rPr>
              <w:t>Heritage Environmental</w:t>
            </w:r>
          </w:p>
        </w:tc>
        <w:tc>
          <w:tcPr>
            <w:tcW w:w="2200" w:type="dxa"/>
            <w:vAlign w:val="bottom"/>
            <w:shd w:val="clear" w:color="auto" w:fill="D0EBF2"/>
          </w:tcPr>
          <w:p>
            <w:pPr>
              <w:ind w:left="60"/>
              <w:spacing w:after="0" w:line="172" w:lineRule="exact"/>
              <w:rPr>
                <w:sz w:val="20"/>
                <w:szCs w:val="20"/>
                <w:color w:val="auto"/>
              </w:rPr>
            </w:pPr>
            <w:r>
              <w:rPr>
                <w:rFonts w:ascii="Times New Roman" w:cs="Times New Roman" w:eastAsia="Times New Roman" w:hAnsi="Times New Roman"/>
                <w:sz w:val="15"/>
                <w:szCs w:val="15"/>
                <w:color w:val="231F20"/>
              </w:rPr>
              <w:t>First-lien loan ($12,284 par, due</w:t>
            </w:r>
          </w:p>
        </w:tc>
        <w:tc>
          <w:tcPr>
            <w:tcW w:w="800" w:type="dxa"/>
            <w:vAlign w:val="bottom"/>
            <w:shd w:val="clear" w:color="auto" w:fill="D0EBF2"/>
          </w:tcPr>
          <w:p>
            <w:pPr>
              <w:jc w:val="right"/>
              <w:spacing w:after="0" w:line="172" w:lineRule="exact"/>
              <w:rPr>
                <w:sz w:val="20"/>
                <w:szCs w:val="20"/>
                <w:color w:val="auto"/>
              </w:rPr>
            </w:pPr>
            <w:r>
              <w:rPr>
                <w:rFonts w:ascii="Times New Roman" w:cs="Times New Roman" w:eastAsia="Times New Roman" w:hAnsi="Times New Roman"/>
                <w:sz w:val="15"/>
                <w:szCs w:val="15"/>
                <w:color w:val="231F20"/>
              </w:rPr>
              <w:t>1/31/2024</w:t>
            </w:r>
          </w:p>
        </w:tc>
        <w:tc>
          <w:tcPr>
            <w:tcW w:w="1000" w:type="dxa"/>
            <w:vAlign w:val="bottom"/>
            <w:shd w:val="clear" w:color="auto" w:fill="D0EBF2"/>
          </w:tcPr>
          <w:p>
            <w:pPr>
              <w:jc w:val="right"/>
              <w:ind w:right="44"/>
              <w:spacing w:after="0" w:line="172" w:lineRule="exact"/>
              <w:rPr>
                <w:sz w:val="20"/>
                <w:szCs w:val="20"/>
                <w:color w:val="auto"/>
              </w:rPr>
            </w:pPr>
            <w:r>
              <w:rPr>
                <w:rFonts w:ascii="Times New Roman" w:cs="Times New Roman" w:eastAsia="Times New Roman" w:hAnsi="Times New Roman"/>
                <w:sz w:val="15"/>
                <w:szCs w:val="15"/>
                <w:color w:val="231F20"/>
              </w:rPr>
              <w:t>SOFR +</w:t>
            </w:r>
          </w:p>
        </w:tc>
        <w:tc>
          <w:tcPr>
            <w:tcW w:w="1060" w:type="dxa"/>
            <w:vAlign w:val="bottom"/>
            <w:shd w:val="clear" w:color="auto" w:fill="D0EBF2"/>
          </w:tcPr>
          <w:p>
            <w:pPr>
              <w:jc w:val="right"/>
              <w:ind w:right="64"/>
              <w:spacing w:after="0" w:line="172" w:lineRule="exact"/>
              <w:rPr>
                <w:sz w:val="20"/>
                <w:szCs w:val="20"/>
                <w:color w:val="auto"/>
              </w:rPr>
            </w:pPr>
            <w:r>
              <w:rPr>
                <w:rFonts w:ascii="Times New Roman" w:cs="Times New Roman" w:eastAsia="Times New Roman" w:hAnsi="Times New Roman"/>
                <w:sz w:val="15"/>
                <w:szCs w:val="15"/>
                <w:color w:val="231F20"/>
              </w:rPr>
              <w:t>9.84%</w:t>
            </w:r>
          </w:p>
        </w:tc>
        <w:tc>
          <w:tcPr>
            <w:tcW w:w="1000" w:type="dxa"/>
            <w:vAlign w:val="bottom"/>
            <w:gridSpan w:val="2"/>
            <w:shd w:val="clear" w:color="auto" w:fill="D0EBF2"/>
          </w:tcPr>
          <w:p>
            <w:pPr>
              <w:jc w:val="right"/>
              <w:spacing w:after="0" w:line="172" w:lineRule="exact"/>
              <w:rPr>
                <w:sz w:val="20"/>
                <w:szCs w:val="20"/>
                <w:color w:val="auto"/>
              </w:rPr>
            </w:pPr>
            <w:r>
              <w:rPr>
                <w:rFonts w:ascii="Times New Roman" w:cs="Times New Roman" w:eastAsia="Times New Roman" w:hAnsi="Times New Roman"/>
                <w:sz w:val="15"/>
                <w:szCs w:val="15"/>
                <w:color w:val="231F20"/>
              </w:rPr>
              <w:t>12,221</w:t>
            </w:r>
          </w:p>
        </w:tc>
        <w:tc>
          <w:tcPr>
            <w:tcW w:w="1680" w:type="dxa"/>
            <w:vAlign w:val="bottom"/>
            <w:gridSpan w:val="3"/>
            <w:shd w:val="clear" w:color="auto" w:fill="D0EBF2"/>
          </w:tcPr>
          <w:p>
            <w:pPr>
              <w:jc w:val="right"/>
              <w:spacing w:after="0" w:line="172" w:lineRule="exact"/>
              <w:rPr>
                <w:sz w:val="20"/>
                <w:szCs w:val="20"/>
                <w:color w:val="auto"/>
              </w:rPr>
            </w:pPr>
            <w:r>
              <w:rPr>
                <w:rFonts w:ascii="Times New Roman" w:cs="Times New Roman" w:eastAsia="Times New Roman" w:hAnsi="Times New Roman"/>
                <w:sz w:val="15"/>
                <w:szCs w:val="15"/>
                <w:color w:val="231F20"/>
              </w:rPr>
              <w:t>12,425</w:t>
            </w:r>
          </w:p>
        </w:tc>
        <w:tc>
          <w:tcPr>
            <w:tcW w:w="960" w:type="dxa"/>
            <w:vAlign w:val="bottom"/>
            <w:gridSpan w:val="2"/>
            <w:shd w:val="clear" w:color="auto" w:fill="D0EBF2"/>
          </w:tcPr>
          <w:p>
            <w:pPr>
              <w:jc w:val="right"/>
              <w:spacing w:after="0" w:line="172" w:lineRule="exact"/>
              <w:rPr>
                <w:sz w:val="20"/>
                <w:szCs w:val="20"/>
                <w:color w:val="auto"/>
              </w:rPr>
            </w:pPr>
            <w:r>
              <w:rPr>
                <w:rFonts w:ascii="Times New Roman" w:cs="Times New Roman" w:eastAsia="Times New Roman" w:hAnsi="Times New Roman"/>
                <w:sz w:val="15"/>
                <w:szCs w:val="15"/>
                <w:color w:val="231F20"/>
              </w:rPr>
              <w:t>0.8%</w:t>
            </w:r>
          </w:p>
        </w:tc>
      </w:tr>
      <w:tr>
        <w:trPr>
          <w:trHeight w:val="189"/>
        </w:trPr>
        <w:tc>
          <w:tcPr>
            <w:tcW w:w="1580" w:type="dxa"/>
            <w:vAlign w:val="bottom"/>
            <w:shd w:val="clear" w:color="auto" w:fill="D0EBF2"/>
          </w:tcPr>
          <w:p>
            <w:pPr>
              <w:spacing w:after="0"/>
              <w:rPr>
                <w:sz w:val="20"/>
                <w:szCs w:val="20"/>
                <w:color w:val="auto"/>
              </w:rPr>
            </w:pPr>
            <w:r>
              <w:rPr>
                <w:rFonts w:ascii="Times New Roman" w:cs="Times New Roman" w:eastAsia="Times New Roman" w:hAnsi="Times New Roman"/>
                <w:sz w:val="15"/>
                <w:szCs w:val="15"/>
                <w:color w:val="231F20"/>
              </w:rPr>
              <w:t xml:space="preserve">Services, Inc. </w:t>
            </w:r>
            <w:r>
              <w:rPr>
                <w:rFonts w:ascii="Times New Roman" w:cs="Times New Roman" w:eastAsia="Times New Roman" w:hAnsi="Times New Roman"/>
                <w:sz w:val="9"/>
                <w:szCs w:val="9"/>
                <w:color w:val="231F20"/>
              </w:rPr>
              <w:t>(3)</w:t>
            </w:r>
          </w:p>
        </w:tc>
        <w:tc>
          <w:tcPr>
            <w:tcW w:w="2200" w:type="dxa"/>
            <w:vAlign w:val="bottom"/>
            <w:shd w:val="clear" w:color="auto" w:fill="D0EBF2"/>
          </w:tcPr>
          <w:p>
            <w:pPr>
              <w:ind w:left="60"/>
              <w:spacing w:after="0"/>
              <w:rPr>
                <w:sz w:val="20"/>
                <w:szCs w:val="20"/>
                <w:color w:val="auto"/>
              </w:rPr>
            </w:pPr>
            <w:r>
              <w:rPr>
                <w:rFonts w:ascii="Times New Roman" w:cs="Times New Roman" w:eastAsia="Times New Roman" w:hAnsi="Times New Roman"/>
                <w:sz w:val="15"/>
                <w:szCs w:val="15"/>
                <w:color w:val="231F20"/>
              </w:rPr>
              <w:t>1/2031)</w:t>
            </w:r>
          </w:p>
        </w:tc>
        <w:tc>
          <w:tcPr>
            <w:tcW w:w="800" w:type="dxa"/>
            <w:vAlign w:val="bottom"/>
            <w:shd w:val="clear" w:color="auto" w:fill="D0EBF2"/>
          </w:tcPr>
          <w:p>
            <w:pPr>
              <w:spacing w:after="0"/>
              <w:rPr>
                <w:sz w:val="16"/>
                <w:szCs w:val="16"/>
                <w:color w:val="auto"/>
              </w:rPr>
            </w:pPr>
          </w:p>
        </w:tc>
        <w:tc>
          <w:tcPr>
            <w:tcW w:w="1000" w:type="dxa"/>
            <w:vAlign w:val="bottom"/>
            <w:shd w:val="clear" w:color="auto" w:fill="D0EBF2"/>
          </w:tcPr>
          <w:p>
            <w:pPr>
              <w:jc w:val="right"/>
              <w:ind w:right="44"/>
              <w:spacing w:after="0"/>
              <w:rPr>
                <w:sz w:val="20"/>
                <w:szCs w:val="20"/>
                <w:color w:val="auto"/>
              </w:rPr>
            </w:pPr>
            <w:r>
              <w:rPr>
                <w:rFonts w:ascii="Times New Roman" w:cs="Times New Roman" w:eastAsia="Times New Roman" w:hAnsi="Times New Roman"/>
                <w:sz w:val="15"/>
                <w:szCs w:val="15"/>
                <w:color w:val="231F20"/>
              </w:rPr>
              <w:t>5.25%</w:t>
            </w:r>
          </w:p>
        </w:tc>
        <w:tc>
          <w:tcPr>
            <w:tcW w:w="1060" w:type="dxa"/>
            <w:vAlign w:val="bottom"/>
            <w:shd w:val="clear" w:color="auto" w:fill="D0EBF2"/>
          </w:tcPr>
          <w:p>
            <w:pPr>
              <w:spacing w:after="0"/>
              <w:rPr>
                <w:sz w:val="16"/>
                <w:szCs w:val="16"/>
                <w:color w:val="auto"/>
              </w:rPr>
            </w:pPr>
          </w:p>
        </w:tc>
        <w:tc>
          <w:tcPr>
            <w:tcW w:w="100" w:type="dxa"/>
            <w:vAlign w:val="bottom"/>
            <w:shd w:val="clear" w:color="auto" w:fill="D0EBF2"/>
          </w:tcPr>
          <w:p>
            <w:pPr>
              <w:spacing w:after="0"/>
              <w:rPr>
                <w:sz w:val="16"/>
                <w:szCs w:val="16"/>
                <w:color w:val="auto"/>
              </w:rPr>
            </w:pPr>
          </w:p>
        </w:tc>
        <w:tc>
          <w:tcPr>
            <w:tcW w:w="900" w:type="dxa"/>
            <w:vAlign w:val="bottom"/>
            <w:shd w:val="clear" w:color="auto" w:fill="D0EBF2"/>
          </w:tcPr>
          <w:p>
            <w:pPr>
              <w:spacing w:after="0"/>
              <w:rPr>
                <w:sz w:val="16"/>
                <w:szCs w:val="16"/>
                <w:color w:val="auto"/>
              </w:rPr>
            </w:pPr>
          </w:p>
        </w:tc>
        <w:tc>
          <w:tcPr>
            <w:tcW w:w="80" w:type="dxa"/>
            <w:vAlign w:val="bottom"/>
            <w:shd w:val="clear" w:color="auto" w:fill="D0EBF2"/>
          </w:tcPr>
          <w:p>
            <w:pPr>
              <w:spacing w:after="0"/>
              <w:rPr>
                <w:sz w:val="16"/>
                <w:szCs w:val="16"/>
                <w:color w:val="auto"/>
              </w:rPr>
            </w:pPr>
          </w:p>
        </w:tc>
        <w:tc>
          <w:tcPr>
            <w:tcW w:w="100" w:type="dxa"/>
            <w:vAlign w:val="bottom"/>
            <w:shd w:val="clear" w:color="auto" w:fill="D0EBF2"/>
          </w:tcPr>
          <w:p>
            <w:pPr>
              <w:spacing w:after="0"/>
              <w:rPr>
                <w:sz w:val="16"/>
                <w:szCs w:val="16"/>
                <w:color w:val="auto"/>
              </w:rPr>
            </w:pPr>
          </w:p>
        </w:tc>
        <w:tc>
          <w:tcPr>
            <w:tcW w:w="1500" w:type="dxa"/>
            <w:vAlign w:val="bottom"/>
            <w:shd w:val="clear" w:color="auto" w:fill="D0EBF2"/>
          </w:tcPr>
          <w:p>
            <w:pPr>
              <w:spacing w:after="0"/>
              <w:rPr>
                <w:sz w:val="16"/>
                <w:szCs w:val="16"/>
                <w:color w:val="auto"/>
              </w:rPr>
            </w:pPr>
          </w:p>
        </w:tc>
        <w:tc>
          <w:tcPr>
            <w:tcW w:w="100" w:type="dxa"/>
            <w:vAlign w:val="bottom"/>
            <w:shd w:val="clear" w:color="auto" w:fill="D0EBF2"/>
          </w:tcPr>
          <w:p>
            <w:pPr>
              <w:spacing w:after="0"/>
              <w:rPr>
                <w:sz w:val="16"/>
                <w:szCs w:val="16"/>
                <w:color w:val="auto"/>
              </w:rPr>
            </w:pPr>
          </w:p>
        </w:tc>
        <w:tc>
          <w:tcPr>
            <w:tcW w:w="860" w:type="dxa"/>
            <w:vAlign w:val="bottom"/>
            <w:shd w:val="clear" w:color="auto" w:fill="D0EBF2"/>
          </w:tcPr>
          <w:p>
            <w:pPr>
              <w:spacing w:after="0"/>
              <w:rPr>
                <w:sz w:val="16"/>
                <w:szCs w:val="16"/>
                <w:color w:val="auto"/>
              </w:rPr>
            </w:pPr>
          </w:p>
        </w:tc>
      </w:tr>
      <w:tr>
        <w:trPr>
          <w:trHeight w:val="171"/>
        </w:trPr>
        <w:tc>
          <w:tcPr>
            <w:tcW w:w="1580" w:type="dxa"/>
            <w:vAlign w:val="bottom"/>
            <w:shd w:val="clear" w:color="auto" w:fill="FDFDFC"/>
          </w:tcPr>
          <w:p>
            <w:pPr>
              <w:spacing w:after="0"/>
              <w:rPr>
                <w:sz w:val="14"/>
                <w:szCs w:val="14"/>
                <w:color w:val="auto"/>
              </w:rPr>
            </w:pPr>
          </w:p>
        </w:tc>
        <w:tc>
          <w:tcPr>
            <w:tcW w:w="2200" w:type="dxa"/>
            <w:vAlign w:val="bottom"/>
            <w:shd w:val="clear" w:color="auto" w:fill="FDFDFC"/>
          </w:tcPr>
          <w:p>
            <w:pPr>
              <w:ind w:left="60"/>
              <w:spacing w:after="0" w:line="172" w:lineRule="exact"/>
              <w:rPr>
                <w:sz w:val="20"/>
                <w:szCs w:val="20"/>
                <w:color w:val="auto"/>
              </w:rPr>
            </w:pPr>
            <w:r>
              <w:rPr>
                <w:rFonts w:ascii="Times New Roman" w:cs="Times New Roman" w:eastAsia="Times New Roman" w:hAnsi="Times New Roman"/>
                <w:sz w:val="15"/>
                <w:szCs w:val="15"/>
                <w:color w:val="231F20"/>
              </w:rPr>
              <w:t>First-lien loan ($1,329 par, due</w:t>
            </w:r>
          </w:p>
        </w:tc>
        <w:tc>
          <w:tcPr>
            <w:tcW w:w="800" w:type="dxa"/>
            <w:vAlign w:val="bottom"/>
            <w:shd w:val="clear" w:color="auto" w:fill="FDFDFC"/>
          </w:tcPr>
          <w:p>
            <w:pPr>
              <w:jc w:val="right"/>
              <w:spacing w:after="0" w:line="172" w:lineRule="exact"/>
              <w:rPr>
                <w:sz w:val="20"/>
                <w:szCs w:val="20"/>
                <w:color w:val="auto"/>
              </w:rPr>
            </w:pPr>
            <w:r>
              <w:rPr>
                <w:rFonts w:ascii="Times New Roman" w:cs="Times New Roman" w:eastAsia="Times New Roman" w:hAnsi="Times New Roman"/>
                <w:sz w:val="15"/>
                <w:szCs w:val="15"/>
                <w:color w:val="231F20"/>
              </w:rPr>
              <w:t>1/31/2024</w:t>
            </w:r>
          </w:p>
        </w:tc>
        <w:tc>
          <w:tcPr>
            <w:tcW w:w="1000" w:type="dxa"/>
            <w:vAlign w:val="bottom"/>
            <w:shd w:val="clear" w:color="auto" w:fill="FDFDFC"/>
          </w:tcPr>
          <w:p>
            <w:pPr>
              <w:jc w:val="right"/>
              <w:ind w:right="44"/>
              <w:spacing w:after="0" w:line="172" w:lineRule="exact"/>
              <w:rPr>
                <w:sz w:val="20"/>
                <w:szCs w:val="20"/>
                <w:color w:val="auto"/>
              </w:rPr>
            </w:pPr>
            <w:r>
              <w:rPr>
                <w:rFonts w:ascii="Times New Roman" w:cs="Times New Roman" w:eastAsia="Times New Roman" w:hAnsi="Times New Roman"/>
                <w:sz w:val="15"/>
                <w:szCs w:val="15"/>
                <w:color w:val="231F20"/>
              </w:rPr>
              <w:t>SOFR +</w:t>
            </w:r>
          </w:p>
        </w:tc>
        <w:tc>
          <w:tcPr>
            <w:tcW w:w="1060" w:type="dxa"/>
            <w:vAlign w:val="bottom"/>
            <w:shd w:val="clear" w:color="auto" w:fill="FDFDFC"/>
          </w:tcPr>
          <w:p>
            <w:pPr>
              <w:jc w:val="right"/>
              <w:ind w:right="64"/>
              <w:spacing w:after="0" w:line="172" w:lineRule="exact"/>
              <w:rPr>
                <w:sz w:val="20"/>
                <w:szCs w:val="20"/>
                <w:color w:val="auto"/>
              </w:rPr>
            </w:pPr>
            <w:r>
              <w:rPr>
                <w:rFonts w:ascii="Times New Roman" w:cs="Times New Roman" w:eastAsia="Times New Roman" w:hAnsi="Times New Roman"/>
                <w:sz w:val="15"/>
                <w:szCs w:val="15"/>
                <w:color w:val="231F20"/>
              </w:rPr>
              <w:t>9.33%</w:t>
            </w:r>
          </w:p>
        </w:tc>
        <w:tc>
          <w:tcPr>
            <w:tcW w:w="1000" w:type="dxa"/>
            <w:vAlign w:val="bottom"/>
            <w:gridSpan w:val="2"/>
            <w:shd w:val="clear" w:color="auto" w:fill="FDFDFC"/>
          </w:tcPr>
          <w:p>
            <w:pPr>
              <w:jc w:val="right"/>
              <w:spacing w:after="0" w:line="172" w:lineRule="exact"/>
              <w:rPr>
                <w:sz w:val="20"/>
                <w:szCs w:val="20"/>
                <w:color w:val="auto"/>
              </w:rPr>
            </w:pPr>
            <w:r>
              <w:rPr>
                <w:rFonts w:ascii="Times New Roman" w:cs="Times New Roman" w:eastAsia="Times New Roman" w:hAnsi="Times New Roman"/>
                <w:sz w:val="15"/>
                <w:szCs w:val="15"/>
                <w:color w:val="231F20"/>
              </w:rPr>
              <w:t>1,323</w:t>
            </w:r>
          </w:p>
        </w:tc>
        <w:tc>
          <w:tcPr>
            <w:tcW w:w="1680" w:type="dxa"/>
            <w:vAlign w:val="bottom"/>
            <w:gridSpan w:val="3"/>
            <w:shd w:val="clear" w:color="auto" w:fill="FDFDFC"/>
          </w:tcPr>
          <w:p>
            <w:pPr>
              <w:jc w:val="right"/>
              <w:spacing w:after="0" w:line="172" w:lineRule="exact"/>
              <w:rPr>
                <w:sz w:val="20"/>
                <w:szCs w:val="20"/>
                <w:color w:val="auto"/>
              </w:rPr>
            </w:pPr>
            <w:r>
              <w:rPr>
                <w:rFonts w:ascii="Times New Roman" w:cs="Times New Roman" w:eastAsia="Times New Roman" w:hAnsi="Times New Roman"/>
                <w:sz w:val="15"/>
                <w:szCs w:val="15"/>
                <w:color w:val="231F20"/>
              </w:rPr>
              <w:t>1,329</w:t>
            </w:r>
          </w:p>
        </w:tc>
        <w:tc>
          <w:tcPr>
            <w:tcW w:w="960" w:type="dxa"/>
            <w:vAlign w:val="bottom"/>
            <w:gridSpan w:val="2"/>
            <w:shd w:val="clear" w:color="auto" w:fill="FDFDFC"/>
          </w:tcPr>
          <w:p>
            <w:pPr>
              <w:jc w:val="right"/>
              <w:spacing w:after="0" w:line="172" w:lineRule="exact"/>
              <w:rPr>
                <w:sz w:val="20"/>
                <w:szCs w:val="20"/>
                <w:color w:val="auto"/>
              </w:rPr>
            </w:pPr>
            <w:r>
              <w:rPr>
                <w:rFonts w:ascii="Times New Roman" w:cs="Times New Roman" w:eastAsia="Times New Roman" w:hAnsi="Times New Roman"/>
                <w:sz w:val="15"/>
                <w:szCs w:val="15"/>
                <w:color w:val="231F20"/>
              </w:rPr>
              <w:t>0.1%</w:t>
            </w:r>
          </w:p>
        </w:tc>
      </w:tr>
      <w:tr>
        <w:trPr>
          <w:trHeight w:val="189"/>
        </w:trPr>
        <w:tc>
          <w:tcPr>
            <w:tcW w:w="1580" w:type="dxa"/>
            <w:vAlign w:val="bottom"/>
            <w:shd w:val="clear" w:color="auto" w:fill="FDFDFC"/>
          </w:tcPr>
          <w:p>
            <w:pPr>
              <w:spacing w:after="0"/>
              <w:rPr>
                <w:sz w:val="16"/>
                <w:szCs w:val="16"/>
                <w:color w:val="auto"/>
              </w:rPr>
            </w:pPr>
          </w:p>
        </w:tc>
        <w:tc>
          <w:tcPr>
            <w:tcW w:w="2200" w:type="dxa"/>
            <w:vAlign w:val="bottom"/>
            <w:shd w:val="clear" w:color="auto" w:fill="FDFDFC"/>
          </w:tcPr>
          <w:p>
            <w:pPr>
              <w:ind w:left="60"/>
              <w:spacing w:after="0"/>
              <w:rPr>
                <w:sz w:val="20"/>
                <w:szCs w:val="20"/>
                <w:color w:val="auto"/>
              </w:rPr>
            </w:pPr>
            <w:r>
              <w:rPr>
                <w:rFonts w:ascii="Times New Roman" w:cs="Times New Roman" w:eastAsia="Times New Roman" w:hAnsi="Times New Roman"/>
                <w:sz w:val="15"/>
                <w:szCs w:val="15"/>
                <w:color w:val="231F20"/>
              </w:rPr>
              <w:t>1/2031)</w:t>
            </w:r>
          </w:p>
        </w:tc>
        <w:tc>
          <w:tcPr>
            <w:tcW w:w="800" w:type="dxa"/>
            <w:vAlign w:val="bottom"/>
            <w:shd w:val="clear" w:color="auto" w:fill="FDFDFC"/>
          </w:tcPr>
          <w:p>
            <w:pPr>
              <w:spacing w:after="0"/>
              <w:rPr>
                <w:sz w:val="16"/>
                <w:szCs w:val="16"/>
                <w:color w:val="auto"/>
              </w:rPr>
            </w:pPr>
          </w:p>
        </w:tc>
        <w:tc>
          <w:tcPr>
            <w:tcW w:w="1000" w:type="dxa"/>
            <w:vAlign w:val="bottom"/>
            <w:shd w:val="clear" w:color="auto" w:fill="FDFDFC"/>
          </w:tcPr>
          <w:p>
            <w:pPr>
              <w:jc w:val="right"/>
              <w:ind w:right="44"/>
              <w:spacing w:after="0"/>
              <w:rPr>
                <w:sz w:val="20"/>
                <w:szCs w:val="20"/>
                <w:color w:val="auto"/>
              </w:rPr>
            </w:pPr>
            <w:r>
              <w:rPr>
                <w:rFonts w:ascii="Times New Roman" w:cs="Times New Roman" w:eastAsia="Times New Roman" w:hAnsi="Times New Roman"/>
                <w:sz w:val="15"/>
                <w:szCs w:val="15"/>
                <w:color w:val="231F20"/>
              </w:rPr>
              <w:t>5.00%</w:t>
            </w:r>
          </w:p>
        </w:tc>
        <w:tc>
          <w:tcPr>
            <w:tcW w:w="1060" w:type="dxa"/>
            <w:vAlign w:val="bottom"/>
            <w:shd w:val="clear" w:color="auto" w:fill="FDFDFC"/>
          </w:tcPr>
          <w:p>
            <w:pPr>
              <w:spacing w:after="0"/>
              <w:rPr>
                <w:sz w:val="16"/>
                <w:szCs w:val="16"/>
                <w:color w:val="auto"/>
              </w:rPr>
            </w:pPr>
          </w:p>
        </w:tc>
        <w:tc>
          <w:tcPr>
            <w:tcW w:w="100" w:type="dxa"/>
            <w:vAlign w:val="bottom"/>
            <w:shd w:val="clear" w:color="auto" w:fill="FDFDFC"/>
          </w:tcPr>
          <w:p>
            <w:pPr>
              <w:spacing w:after="0"/>
              <w:rPr>
                <w:sz w:val="16"/>
                <w:szCs w:val="16"/>
                <w:color w:val="auto"/>
              </w:rPr>
            </w:pPr>
          </w:p>
        </w:tc>
        <w:tc>
          <w:tcPr>
            <w:tcW w:w="900" w:type="dxa"/>
            <w:vAlign w:val="bottom"/>
            <w:shd w:val="clear" w:color="auto" w:fill="FDFDFC"/>
          </w:tcPr>
          <w:p>
            <w:pPr>
              <w:spacing w:after="0"/>
              <w:rPr>
                <w:sz w:val="16"/>
                <w:szCs w:val="16"/>
                <w:color w:val="auto"/>
              </w:rPr>
            </w:pPr>
          </w:p>
        </w:tc>
        <w:tc>
          <w:tcPr>
            <w:tcW w:w="80" w:type="dxa"/>
            <w:vAlign w:val="bottom"/>
            <w:shd w:val="clear" w:color="auto" w:fill="FDFDFC"/>
          </w:tcPr>
          <w:p>
            <w:pPr>
              <w:spacing w:after="0"/>
              <w:rPr>
                <w:sz w:val="16"/>
                <w:szCs w:val="16"/>
                <w:color w:val="auto"/>
              </w:rPr>
            </w:pPr>
          </w:p>
        </w:tc>
        <w:tc>
          <w:tcPr>
            <w:tcW w:w="100" w:type="dxa"/>
            <w:vAlign w:val="bottom"/>
            <w:shd w:val="clear" w:color="auto" w:fill="FDFDFC"/>
          </w:tcPr>
          <w:p>
            <w:pPr>
              <w:spacing w:after="0"/>
              <w:rPr>
                <w:sz w:val="16"/>
                <w:szCs w:val="16"/>
                <w:color w:val="auto"/>
              </w:rPr>
            </w:pPr>
          </w:p>
        </w:tc>
        <w:tc>
          <w:tcPr>
            <w:tcW w:w="1500" w:type="dxa"/>
            <w:vAlign w:val="bottom"/>
            <w:shd w:val="clear" w:color="auto" w:fill="FDFDFC"/>
          </w:tcPr>
          <w:p>
            <w:pPr>
              <w:spacing w:after="0"/>
              <w:rPr>
                <w:sz w:val="16"/>
                <w:szCs w:val="16"/>
                <w:color w:val="auto"/>
              </w:rPr>
            </w:pPr>
          </w:p>
        </w:tc>
        <w:tc>
          <w:tcPr>
            <w:tcW w:w="100" w:type="dxa"/>
            <w:vAlign w:val="bottom"/>
            <w:shd w:val="clear" w:color="auto" w:fill="FDFDFC"/>
          </w:tcPr>
          <w:p>
            <w:pPr>
              <w:spacing w:after="0"/>
              <w:rPr>
                <w:sz w:val="16"/>
                <w:szCs w:val="16"/>
                <w:color w:val="auto"/>
              </w:rPr>
            </w:pPr>
          </w:p>
        </w:tc>
        <w:tc>
          <w:tcPr>
            <w:tcW w:w="860" w:type="dxa"/>
            <w:vAlign w:val="bottom"/>
            <w:shd w:val="clear" w:color="auto" w:fill="FDFDFC"/>
          </w:tcPr>
          <w:p>
            <w:pPr>
              <w:spacing w:after="0"/>
              <w:rPr>
                <w:sz w:val="16"/>
                <w:szCs w:val="16"/>
                <w:color w:val="auto"/>
              </w:rPr>
            </w:pPr>
          </w:p>
        </w:tc>
      </w:tr>
      <w:tr>
        <w:trPr>
          <w:trHeight w:val="171"/>
        </w:trPr>
        <w:tc>
          <w:tcPr>
            <w:tcW w:w="1580" w:type="dxa"/>
            <w:vAlign w:val="bottom"/>
            <w:shd w:val="clear" w:color="auto" w:fill="D0EBF2"/>
          </w:tcPr>
          <w:p>
            <w:pPr>
              <w:spacing w:after="0" w:line="172" w:lineRule="exact"/>
              <w:rPr>
                <w:sz w:val="20"/>
                <w:szCs w:val="20"/>
                <w:color w:val="auto"/>
              </w:rPr>
            </w:pPr>
            <w:r>
              <w:rPr>
                <w:rFonts w:ascii="Times New Roman" w:cs="Times New Roman" w:eastAsia="Times New Roman" w:hAnsi="Times New Roman"/>
                <w:sz w:val="15"/>
                <w:szCs w:val="15"/>
                <w:color w:val="231F20"/>
              </w:rPr>
              <w:t>Skylark UK DebtCo</w:t>
            </w:r>
          </w:p>
        </w:tc>
        <w:tc>
          <w:tcPr>
            <w:tcW w:w="2200" w:type="dxa"/>
            <w:vAlign w:val="bottom"/>
            <w:shd w:val="clear" w:color="auto" w:fill="D0EBF2"/>
          </w:tcPr>
          <w:p>
            <w:pPr>
              <w:ind w:left="60"/>
              <w:spacing w:after="0" w:line="172" w:lineRule="exact"/>
              <w:rPr>
                <w:sz w:val="20"/>
                <w:szCs w:val="20"/>
                <w:color w:val="auto"/>
              </w:rPr>
            </w:pPr>
            <w:r>
              <w:rPr>
                <w:rFonts w:ascii="Times New Roman" w:cs="Times New Roman" w:eastAsia="Times New Roman" w:hAnsi="Times New Roman"/>
                <w:sz w:val="15"/>
                <w:szCs w:val="15"/>
                <w:color w:val="231F20"/>
              </w:rPr>
              <w:t>First-lien loan ($16,340 par, due</w:t>
            </w:r>
          </w:p>
        </w:tc>
        <w:tc>
          <w:tcPr>
            <w:tcW w:w="800" w:type="dxa"/>
            <w:vAlign w:val="bottom"/>
            <w:shd w:val="clear" w:color="auto" w:fill="D0EBF2"/>
          </w:tcPr>
          <w:p>
            <w:pPr>
              <w:jc w:val="right"/>
              <w:spacing w:after="0" w:line="172" w:lineRule="exact"/>
              <w:rPr>
                <w:sz w:val="20"/>
                <w:szCs w:val="20"/>
                <w:color w:val="auto"/>
              </w:rPr>
            </w:pPr>
            <w:r>
              <w:rPr>
                <w:rFonts w:ascii="Times New Roman" w:cs="Times New Roman" w:eastAsia="Times New Roman" w:hAnsi="Times New Roman"/>
                <w:sz w:val="15"/>
                <w:szCs w:val="15"/>
                <w:color w:val="231F20"/>
              </w:rPr>
              <w:t>9/7/2023</w:t>
            </w:r>
          </w:p>
        </w:tc>
        <w:tc>
          <w:tcPr>
            <w:tcW w:w="1000" w:type="dxa"/>
            <w:vAlign w:val="bottom"/>
            <w:shd w:val="clear" w:color="auto" w:fill="D0EBF2"/>
          </w:tcPr>
          <w:p>
            <w:pPr>
              <w:jc w:val="right"/>
              <w:ind w:right="44"/>
              <w:spacing w:after="0" w:line="172" w:lineRule="exact"/>
              <w:rPr>
                <w:sz w:val="20"/>
                <w:szCs w:val="20"/>
                <w:color w:val="auto"/>
              </w:rPr>
            </w:pPr>
            <w:r>
              <w:rPr>
                <w:rFonts w:ascii="Times New Roman" w:cs="Times New Roman" w:eastAsia="Times New Roman" w:hAnsi="Times New Roman"/>
                <w:sz w:val="15"/>
                <w:szCs w:val="15"/>
                <w:color w:val="231F20"/>
              </w:rPr>
              <w:t>SOFR +</w:t>
            </w:r>
          </w:p>
        </w:tc>
        <w:tc>
          <w:tcPr>
            <w:tcW w:w="1060" w:type="dxa"/>
            <w:vAlign w:val="bottom"/>
            <w:shd w:val="clear" w:color="auto" w:fill="D0EBF2"/>
          </w:tcPr>
          <w:p>
            <w:pPr>
              <w:jc w:val="right"/>
              <w:ind w:right="64"/>
              <w:spacing w:after="0" w:line="172" w:lineRule="exact"/>
              <w:rPr>
                <w:sz w:val="20"/>
                <w:szCs w:val="20"/>
                <w:color w:val="auto"/>
              </w:rPr>
            </w:pPr>
            <w:r>
              <w:rPr>
                <w:rFonts w:ascii="Times New Roman" w:cs="Times New Roman" w:eastAsia="Times New Roman" w:hAnsi="Times New Roman"/>
                <w:sz w:val="15"/>
                <w:szCs w:val="15"/>
                <w:color w:val="231F20"/>
              </w:rPr>
              <w:t>9.99%</w:t>
            </w:r>
          </w:p>
        </w:tc>
        <w:tc>
          <w:tcPr>
            <w:tcW w:w="1000" w:type="dxa"/>
            <w:vAlign w:val="bottom"/>
            <w:gridSpan w:val="2"/>
            <w:shd w:val="clear" w:color="auto" w:fill="D0EBF2"/>
          </w:tcPr>
          <w:p>
            <w:pPr>
              <w:jc w:val="right"/>
              <w:spacing w:after="0" w:line="172" w:lineRule="exact"/>
              <w:rPr>
                <w:sz w:val="20"/>
                <w:szCs w:val="20"/>
                <w:color w:val="auto"/>
              </w:rPr>
            </w:pPr>
            <w:r>
              <w:rPr>
                <w:rFonts w:ascii="Times New Roman" w:cs="Times New Roman" w:eastAsia="Times New Roman" w:hAnsi="Times New Roman"/>
                <w:sz w:val="15"/>
                <w:szCs w:val="15"/>
                <w:color w:val="231F20"/>
              </w:rPr>
              <w:t>15,951</w:t>
            </w:r>
          </w:p>
        </w:tc>
        <w:tc>
          <w:tcPr>
            <w:tcW w:w="1680" w:type="dxa"/>
            <w:vAlign w:val="bottom"/>
            <w:gridSpan w:val="3"/>
            <w:shd w:val="clear" w:color="auto" w:fill="D0EBF2"/>
          </w:tcPr>
          <w:p>
            <w:pPr>
              <w:jc w:val="right"/>
              <w:spacing w:after="0" w:line="172" w:lineRule="exact"/>
              <w:rPr>
                <w:sz w:val="20"/>
                <w:szCs w:val="20"/>
                <w:color w:val="auto"/>
              </w:rPr>
            </w:pPr>
            <w:r>
              <w:rPr>
                <w:rFonts w:ascii="Times New Roman" w:cs="Times New Roman" w:eastAsia="Times New Roman" w:hAnsi="Times New Roman"/>
                <w:sz w:val="15"/>
                <w:szCs w:val="15"/>
                <w:color w:val="231F20"/>
              </w:rPr>
              <w:t>16,503</w:t>
            </w:r>
          </w:p>
        </w:tc>
        <w:tc>
          <w:tcPr>
            <w:tcW w:w="960" w:type="dxa"/>
            <w:vAlign w:val="bottom"/>
            <w:gridSpan w:val="2"/>
            <w:shd w:val="clear" w:color="auto" w:fill="D0EBF2"/>
          </w:tcPr>
          <w:p>
            <w:pPr>
              <w:jc w:val="right"/>
              <w:spacing w:after="0" w:line="172" w:lineRule="exact"/>
              <w:rPr>
                <w:sz w:val="20"/>
                <w:szCs w:val="20"/>
                <w:color w:val="auto"/>
              </w:rPr>
            </w:pPr>
            <w:r>
              <w:rPr>
                <w:rFonts w:ascii="Times New Roman" w:cs="Times New Roman" w:eastAsia="Times New Roman" w:hAnsi="Times New Roman"/>
                <w:sz w:val="15"/>
                <w:szCs w:val="15"/>
                <w:color w:val="231F20"/>
              </w:rPr>
              <w:t>1.0%</w:t>
            </w:r>
          </w:p>
        </w:tc>
      </w:tr>
      <w:tr>
        <w:trPr>
          <w:trHeight w:val="189"/>
        </w:trPr>
        <w:tc>
          <w:tcPr>
            <w:tcW w:w="1580" w:type="dxa"/>
            <w:vAlign w:val="bottom"/>
            <w:shd w:val="clear" w:color="auto" w:fill="D0EBF2"/>
          </w:tcPr>
          <w:p>
            <w:pPr>
              <w:spacing w:after="0"/>
              <w:rPr>
                <w:sz w:val="20"/>
                <w:szCs w:val="20"/>
                <w:color w:val="auto"/>
              </w:rPr>
            </w:pPr>
            <w:r>
              <w:rPr>
                <w:rFonts w:ascii="Times New Roman" w:cs="Times New Roman" w:eastAsia="Times New Roman" w:hAnsi="Times New Roman"/>
                <w:sz w:val="15"/>
                <w:szCs w:val="15"/>
                <w:color w:val="231F20"/>
              </w:rPr>
              <w:t xml:space="preserve">Limited </w:t>
            </w:r>
            <w:r>
              <w:rPr>
                <w:rFonts w:ascii="Times New Roman" w:cs="Times New Roman" w:eastAsia="Times New Roman" w:hAnsi="Times New Roman"/>
                <w:sz w:val="9"/>
                <w:szCs w:val="9"/>
                <w:color w:val="231F20"/>
              </w:rPr>
              <w:t>(3)(4)</w:t>
            </w:r>
          </w:p>
        </w:tc>
        <w:tc>
          <w:tcPr>
            <w:tcW w:w="2200" w:type="dxa"/>
            <w:vAlign w:val="bottom"/>
            <w:shd w:val="clear" w:color="auto" w:fill="D0EBF2"/>
          </w:tcPr>
          <w:p>
            <w:pPr>
              <w:ind w:left="60"/>
              <w:spacing w:after="0"/>
              <w:rPr>
                <w:sz w:val="20"/>
                <w:szCs w:val="20"/>
                <w:color w:val="auto"/>
              </w:rPr>
            </w:pPr>
            <w:r>
              <w:rPr>
                <w:rFonts w:ascii="Times New Roman" w:cs="Times New Roman" w:eastAsia="Times New Roman" w:hAnsi="Times New Roman"/>
                <w:sz w:val="15"/>
                <w:szCs w:val="15"/>
                <w:color w:val="231F20"/>
              </w:rPr>
              <w:t>9/2030)</w:t>
            </w:r>
          </w:p>
        </w:tc>
        <w:tc>
          <w:tcPr>
            <w:tcW w:w="800" w:type="dxa"/>
            <w:vAlign w:val="bottom"/>
            <w:shd w:val="clear" w:color="auto" w:fill="D0EBF2"/>
          </w:tcPr>
          <w:p>
            <w:pPr>
              <w:spacing w:after="0"/>
              <w:rPr>
                <w:sz w:val="16"/>
                <w:szCs w:val="16"/>
                <w:color w:val="auto"/>
              </w:rPr>
            </w:pPr>
          </w:p>
        </w:tc>
        <w:tc>
          <w:tcPr>
            <w:tcW w:w="1000" w:type="dxa"/>
            <w:vAlign w:val="bottom"/>
            <w:shd w:val="clear" w:color="auto" w:fill="D0EBF2"/>
          </w:tcPr>
          <w:p>
            <w:pPr>
              <w:jc w:val="right"/>
              <w:ind w:right="44"/>
              <w:spacing w:after="0"/>
              <w:rPr>
                <w:sz w:val="20"/>
                <w:szCs w:val="20"/>
                <w:color w:val="auto"/>
              </w:rPr>
            </w:pPr>
            <w:r>
              <w:rPr>
                <w:rFonts w:ascii="Times New Roman" w:cs="Times New Roman" w:eastAsia="Times New Roman" w:hAnsi="Times New Roman"/>
                <w:sz w:val="15"/>
                <w:szCs w:val="15"/>
                <w:color w:val="231F20"/>
              </w:rPr>
              <w:t>5.66%</w:t>
            </w:r>
          </w:p>
        </w:tc>
        <w:tc>
          <w:tcPr>
            <w:tcW w:w="1060" w:type="dxa"/>
            <w:vAlign w:val="bottom"/>
            <w:shd w:val="clear" w:color="auto" w:fill="D0EBF2"/>
          </w:tcPr>
          <w:p>
            <w:pPr>
              <w:spacing w:after="0"/>
              <w:rPr>
                <w:sz w:val="16"/>
                <w:szCs w:val="16"/>
                <w:color w:val="auto"/>
              </w:rPr>
            </w:pPr>
          </w:p>
        </w:tc>
        <w:tc>
          <w:tcPr>
            <w:tcW w:w="100" w:type="dxa"/>
            <w:vAlign w:val="bottom"/>
            <w:shd w:val="clear" w:color="auto" w:fill="D0EBF2"/>
          </w:tcPr>
          <w:p>
            <w:pPr>
              <w:spacing w:after="0"/>
              <w:rPr>
                <w:sz w:val="16"/>
                <w:szCs w:val="16"/>
                <w:color w:val="auto"/>
              </w:rPr>
            </w:pPr>
          </w:p>
        </w:tc>
        <w:tc>
          <w:tcPr>
            <w:tcW w:w="900" w:type="dxa"/>
            <w:vAlign w:val="bottom"/>
            <w:shd w:val="clear" w:color="auto" w:fill="D0EBF2"/>
          </w:tcPr>
          <w:p>
            <w:pPr>
              <w:spacing w:after="0"/>
              <w:rPr>
                <w:sz w:val="16"/>
                <w:szCs w:val="16"/>
                <w:color w:val="auto"/>
              </w:rPr>
            </w:pPr>
          </w:p>
        </w:tc>
        <w:tc>
          <w:tcPr>
            <w:tcW w:w="80" w:type="dxa"/>
            <w:vAlign w:val="bottom"/>
            <w:shd w:val="clear" w:color="auto" w:fill="D0EBF2"/>
          </w:tcPr>
          <w:p>
            <w:pPr>
              <w:spacing w:after="0"/>
              <w:rPr>
                <w:sz w:val="16"/>
                <w:szCs w:val="16"/>
                <w:color w:val="auto"/>
              </w:rPr>
            </w:pPr>
          </w:p>
        </w:tc>
        <w:tc>
          <w:tcPr>
            <w:tcW w:w="100" w:type="dxa"/>
            <w:vAlign w:val="bottom"/>
            <w:shd w:val="clear" w:color="auto" w:fill="D0EBF2"/>
          </w:tcPr>
          <w:p>
            <w:pPr>
              <w:spacing w:after="0"/>
              <w:rPr>
                <w:sz w:val="16"/>
                <w:szCs w:val="16"/>
                <w:color w:val="auto"/>
              </w:rPr>
            </w:pPr>
          </w:p>
        </w:tc>
        <w:tc>
          <w:tcPr>
            <w:tcW w:w="1500" w:type="dxa"/>
            <w:vAlign w:val="bottom"/>
            <w:shd w:val="clear" w:color="auto" w:fill="D0EBF2"/>
          </w:tcPr>
          <w:p>
            <w:pPr>
              <w:spacing w:after="0"/>
              <w:rPr>
                <w:sz w:val="16"/>
                <w:szCs w:val="16"/>
                <w:color w:val="auto"/>
              </w:rPr>
            </w:pPr>
          </w:p>
        </w:tc>
        <w:tc>
          <w:tcPr>
            <w:tcW w:w="100" w:type="dxa"/>
            <w:vAlign w:val="bottom"/>
            <w:shd w:val="clear" w:color="auto" w:fill="D0EBF2"/>
          </w:tcPr>
          <w:p>
            <w:pPr>
              <w:spacing w:after="0"/>
              <w:rPr>
                <w:sz w:val="16"/>
                <w:szCs w:val="16"/>
                <w:color w:val="auto"/>
              </w:rPr>
            </w:pPr>
          </w:p>
        </w:tc>
        <w:tc>
          <w:tcPr>
            <w:tcW w:w="860" w:type="dxa"/>
            <w:vAlign w:val="bottom"/>
            <w:shd w:val="clear" w:color="auto" w:fill="D0EBF2"/>
          </w:tcPr>
          <w:p>
            <w:pPr>
              <w:spacing w:after="0"/>
              <w:rPr>
                <w:sz w:val="16"/>
                <w:szCs w:val="16"/>
                <w:color w:val="auto"/>
              </w:rPr>
            </w:pPr>
          </w:p>
        </w:tc>
      </w:tr>
      <w:tr>
        <w:trPr>
          <w:trHeight w:val="171"/>
        </w:trPr>
        <w:tc>
          <w:tcPr>
            <w:tcW w:w="1580" w:type="dxa"/>
            <w:vAlign w:val="bottom"/>
            <w:shd w:val="clear" w:color="auto" w:fill="FDFDFC"/>
          </w:tcPr>
          <w:p>
            <w:pPr>
              <w:spacing w:after="0"/>
              <w:rPr>
                <w:sz w:val="14"/>
                <w:szCs w:val="14"/>
                <w:color w:val="auto"/>
              </w:rPr>
            </w:pPr>
          </w:p>
        </w:tc>
        <w:tc>
          <w:tcPr>
            <w:tcW w:w="2200" w:type="dxa"/>
            <w:vAlign w:val="bottom"/>
            <w:shd w:val="clear" w:color="auto" w:fill="FDFDFC"/>
          </w:tcPr>
          <w:p>
            <w:pPr>
              <w:ind w:left="60"/>
              <w:spacing w:after="0" w:line="172" w:lineRule="exact"/>
              <w:rPr>
                <w:sz w:val="20"/>
                <w:szCs w:val="20"/>
                <w:color w:val="auto"/>
              </w:rPr>
            </w:pPr>
            <w:r>
              <w:rPr>
                <w:rFonts w:ascii="Times New Roman" w:cs="Times New Roman" w:eastAsia="Times New Roman" w:hAnsi="Times New Roman"/>
                <w:sz w:val="15"/>
                <w:szCs w:val="15"/>
                <w:color w:val="231F20"/>
              </w:rPr>
              <w:t>First-lien loan (EUR 4,851 par,</w:t>
            </w:r>
          </w:p>
        </w:tc>
        <w:tc>
          <w:tcPr>
            <w:tcW w:w="800" w:type="dxa"/>
            <w:vAlign w:val="bottom"/>
            <w:shd w:val="clear" w:color="auto" w:fill="FDFDFC"/>
          </w:tcPr>
          <w:p>
            <w:pPr>
              <w:jc w:val="right"/>
              <w:spacing w:after="0" w:line="172" w:lineRule="exact"/>
              <w:rPr>
                <w:sz w:val="20"/>
                <w:szCs w:val="20"/>
                <w:color w:val="auto"/>
              </w:rPr>
            </w:pPr>
            <w:r>
              <w:rPr>
                <w:rFonts w:ascii="Times New Roman" w:cs="Times New Roman" w:eastAsia="Times New Roman" w:hAnsi="Times New Roman"/>
                <w:sz w:val="15"/>
                <w:szCs w:val="15"/>
                <w:color w:val="231F20"/>
              </w:rPr>
              <w:t>9/7/2023</w:t>
            </w:r>
          </w:p>
        </w:tc>
        <w:tc>
          <w:tcPr>
            <w:tcW w:w="1000" w:type="dxa"/>
            <w:vAlign w:val="bottom"/>
            <w:shd w:val="clear" w:color="auto" w:fill="FDFDFC"/>
          </w:tcPr>
          <w:p>
            <w:pPr>
              <w:jc w:val="right"/>
              <w:ind w:right="44"/>
              <w:spacing w:after="0" w:line="172" w:lineRule="exact"/>
              <w:rPr>
                <w:sz w:val="20"/>
                <w:szCs w:val="20"/>
                <w:color w:val="auto"/>
              </w:rPr>
            </w:pPr>
            <w:r>
              <w:rPr>
                <w:rFonts w:ascii="Times New Roman" w:cs="Times New Roman" w:eastAsia="Times New Roman" w:hAnsi="Times New Roman"/>
                <w:sz w:val="15"/>
                <w:szCs w:val="15"/>
                <w:color w:val="231F20"/>
              </w:rPr>
              <w:t>E + 5.66%</w:t>
            </w:r>
          </w:p>
        </w:tc>
        <w:tc>
          <w:tcPr>
            <w:tcW w:w="1060" w:type="dxa"/>
            <w:vAlign w:val="bottom"/>
            <w:shd w:val="clear" w:color="auto" w:fill="FDFDFC"/>
          </w:tcPr>
          <w:p>
            <w:pPr>
              <w:jc w:val="right"/>
              <w:ind w:right="64"/>
              <w:spacing w:after="0" w:line="172" w:lineRule="exact"/>
              <w:rPr>
                <w:sz w:val="20"/>
                <w:szCs w:val="20"/>
                <w:color w:val="auto"/>
              </w:rPr>
            </w:pPr>
            <w:r>
              <w:rPr>
                <w:rFonts w:ascii="Times New Roman" w:cs="Times New Roman" w:eastAsia="Times New Roman" w:hAnsi="Times New Roman"/>
                <w:sz w:val="15"/>
                <w:szCs w:val="15"/>
                <w:color w:val="231F20"/>
              </w:rPr>
              <w:t>8.35%</w:t>
            </w:r>
          </w:p>
        </w:tc>
        <w:tc>
          <w:tcPr>
            <w:tcW w:w="1000" w:type="dxa"/>
            <w:vAlign w:val="bottom"/>
            <w:gridSpan w:val="2"/>
            <w:shd w:val="clear" w:color="auto" w:fill="FDFDFC"/>
          </w:tcPr>
          <w:p>
            <w:pPr>
              <w:jc w:val="right"/>
              <w:spacing w:after="0" w:line="172" w:lineRule="exact"/>
              <w:rPr>
                <w:sz w:val="20"/>
                <w:szCs w:val="20"/>
                <w:color w:val="auto"/>
              </w:rPr>
            </w:pPr>
            <w:r>
              <w:rPr>
                <w:rFonts w:ascii="Times New Roman" w:cs="Times New Roman" w:eastAsia="Times New Roman" w:hAnsi="Times New Roman"/>
                <w:sz w:val="15"/>
                <w:szCs w:val="15"/>
                <w:color w:val="231F20"/>
              </w:rPr>
              <w:t>5,071</w:t>
            </w:r>
          </w:p>
        </w:tc>
        <w:tc>
          <w:tcPr>
            <w:tcW w:w="1680" w:type="dxa"/>
            <w:vAlign w:val="bottom"/>
            <w:gridSpan w:val="3"/>
            <w:shd w:val="clear" w:color="auto" w:fill="FDFDFC"/>
          </w:tcPr>
          <w:p>
            <w:pPr>
              <w:jc w:val="right"/>
              <w:spacing w:after="0" w:line="172" w:lineRule="exact"/>
              <w:rPr>
                <w:sz w:val="20"/>
                <w:szCs w:val="20"/>
                <w:color w:val="auto"/>
              </w:rPr>
            </w:pPr>
            <w:r>
              <w:rPr>
                <w:rFonts w:ascii="Times New Roman" w:cs="Times New Roman" w:eastAsia="Times New Roman" w:hAnsi="Times New Roman"/>
                <w:sz w:val="15"/>
                <w:szCs w:val="15"/>
                <w:color w:val="231F20"/>
              </w:rPr>
              <w:t>5,074</w:t>
            </w:r>
          </w:p>
        </w:tc>
        <w:tc>
          <w:tcPr>
            <w:tcW w:w="960" w:type="dxa"/>
            <w:vAlign w:val="bottom"/>
            <w:gridSpan w:val="2"/>
            <w:shd w:val="clear" w:color="auto" w:fill="FDFDFC"/>
          </w:tcPr>
          <w:p>
            <w:pPr>
              <w:jc w:val="right"/>
              <w:spacing w:after="0" w:line="172" w:lineRule="exact"/>
              <w:rPr>
                <w:sz w:val="20"/>
                <w:szCs w:val="20"/>
                <w:color w:val="auto"/>
              </w:rPr>
            </w:pPr>
            <w:r>
              <w:rPr>
                <w:rFonts w:ascii="Times New Roman" w:cs="Times New Roman" w:eastAsia="Times New Roman" w:hAnsi="Times New Roman"/>
                <w:sz w:val="15"/>
                <w:szCs w:val="15"/>
                <w:color w:val="231F20"/>
              </w:rPr>
              <w:t>0.3%</w:t>
            </w:r>
          </w:p>
        </w:tc>
      </w:tr>
      <w:tr>
        <w:trPr>
          <w:trHeight w:val="189"/>
        </w:trPr>
        <w:tc>
          <w:tcPr>
            <w:tcW w:w="1580" w:type="dxa"/>
            <w:vAlign w:val="bottom"/>
            <w:shd w:val="clear" w:color="auto" w:fill="FDFDFC"/>
          </w:tcPr>
          <w:p>
            <w:pPr>
              <w:spacing w:after="0"/>
              <w:rPr>
                <w:sz w:val="16"/>
                <w:szCs w:val="16"/>
                <w:color w:val="auto"/>
              </w:rPr>
            </w:pPr>
          </w:p>
        </w:tc>
        <w:tc>
          <w:tcPr>
            <w:tcW w:w="2200" w:type="dxa"/>
            <w:vAlign w:val="bottom"/>
            <w:shd w:val="clear" w:color="auto" w:fill="FDFDFC"/>
          </w:tcPr>
          <w:p>
            <w:pPr>
              <w:ind w:left="60"/>
              <w:spacing w:after="0"/>
              <w:rPr>
                <w:sz w:val="20"/>
                <w:szCs w:val="20"/>
                <w:color w:val="auto"/>
              </w:rPr>
            </w:pPr>
            <w:r>
              <w:rPr>
                <w:rFonts w:ascii="Times New Roman" w:cs="Times New Roman" w:eastAsia="Times New Roman" w:hAnsi="Times New Roman"/>
                <w:sz w:val="15"/>
                <w:szCs w:val="15"/>
                <w:color w:val="231F20"/>
              </w:rPr>
              <w:t>due 9/2030)</w:t>
            </w:r>
          </w:p>
        </w:tc>
        <w:tc>
          <w:tcPr>
            <w:tcW w:w="800" w:type="dxa"/>
            <w:vAlign w:val="bottom"/>
            <w:shd w:val="clear" w:color="auto" w:fill="FDFDFC"/>
          </w:tcPr>
          <w:p>
            <w:pPr>
              <w:spacing w:after="0"/>
              <w:rPr>
                <w:sz w:val="16"/>
                <w:szCs w:val="16"/>
                <w:color w:val="auto"/>
              </w:rPr>
            </w:pPr>
          </w:p>
        </w:tc>
        <w:tc>
          <w:tcPr>
            <w:tcW w:w="1000" w:type="dxa"/>
            <w:vAlign w:val="bottom"/>
            <w:shd w:val="clear" w:color="auto" w:fill="FDFDFC"/>
          </w:tcPr>
          <w:p>
            <w:pPr>
              <w:spacing w:after="0"/>
              <w:rPr>
                <w:sz w:val="16"/>
                <w:szCs w:val="16"/>
                <w:color w:val="auto"/>
              </w:rPr>
            </w:pPr>
          </w:p>
        </w:tc>
        <w:tc>
          <w:tcPr>
            <w:tcW w:w="1060" w:type="dxa"/>
            <w:vAlign w:val="bottom"/>
            <w:shd w:val="clear" w:color="auto" w:fill="FDFDFC"/>
          </w:tcPr>
          <w:p>
            <w:pPr>
              <w:spacing w:after="0"/>
              <w:rPr>
                <w:sz w:val="16"/>
                <w:szCs w:val="16"/>
                <w:color w:val="auto"/>
              </w:rPr>
            </w:pPr>
          </w:p>
        </w:tc>
        <w:tc>
          <w:tcPr>
            <w:tcW w:w="100" w:type="dxa"/>
            <w:vAlign w:val="bottom"/>
            <w:shd w:val="clear" w:color="auto" w:fill="FDFDFC"/>
          </w:tcPr>
          <w:p>
            <w:pPr>
              <w:spacing w:after="0"/>
              <w:rPr>
                <w:sz w:val="16"/>
                <w:szCs w:val="16"/>
                <w:color w:val="auto"/>
              </w:rPr>
            </w:pPr>
          </w:p>
        </w:tc>
        <w:tc>
          <w:tcPr>
            <w:tcW w:w="900" w:type="dxa"/>
            <w:vAlign w:val="bottom"/>
            <w:shd w:val="clear" w:color="auto" w:fill="FDFDFC"/>
          </w:tcPr>
          <w:p>
            <w:pPr>
              <w:spacing w:after="0"/>
              <w:rPr>
                <w:sz w:val="16"/>
                <w:szCs w:val="16"/>
                <w:color w:val="auto"/>
              </w:rPr>
            </w:pPr>
          </w:p>
        </w:tc>
        <w:tc>
          <w:tcPr>
            <w:tcW w:w="80" w:type="dxa"/>
            <w:vAlign w:val="bottom"/>
            <w:shd w:val="clear" w:color="auto" w:fill="FDFDFC"/>
          </w:tcPr>
          <w:p>
            <w:pPr>
              <w:spacing w:after="0"/>
              <w:rPr>
                <w:sz w:val="16"/>
                <w:szCs w:val="16"/>
                <w:color w:val="auto"/>
              </w:rPr>
            </w:pPr>
          </w:p>
        </w:tc>
        <w:tc>
          <w:tcPr>
            <w:tcW w:w="100" w:type="dxa"/>
            <w:vAlign w:val="bottom"/>
            <w:shd w:val="clear" w:color="auto" w:fill="FDFDFC"/>
          </w:tcPr>
          <w:p>
            <w:pPr>
              <w:spacing w:after="0"/>
              <w:rPr>
                <w:sz w:val="16"/>
                <w:szCs w:val="16"/>
                <w:color w:val="auto"/>
              </w:rPr>
            </w:pPr>
          </w:p>
        </w:tc>
        <w:tc>
          <w:tcPr>
            <w:tcW w:w="1500" w:type="dxa"/>
            <w:vAlign w:val="bottom"/>
            <w:shd w:val="clear" w:color="auto" w:fill="FDFDFC"/>
          </w:tcPr>
          <w:p>
            <w:pPr>
              <w:jc w:val="right"/>
              <w:spacing w:after="0"/>
              <w:rPr>
                <w:sz w:val="20"/>
                <w:szCs w:val="20"/>
                <w:color w:val="auto"/>
              </w:rPr>
            </w:pPr>
            <w:r>
              <w:rPr>
                <w:rFonts w:ascii="Times New Roman" w:cs="Times New Roman" w:eastAsia="Times New Roman" w:hAnsi="Times New Roman"/>
                <w:sz w:val="15"/>
                <w:szCs w:val="15"/>
                <w:color w:val="231F20"/>
              </w:rPr>
              <w:t>(EUR 4,900)</w:t>
            </w:r>
          </w:p>
        </w:tc>
        <w:tc>
          <w:tcPr>
            <w:tcW w:w="100" w:type="dxa"/>
            <w:vAlign w:val="bottom"/>
            <w:shd w:val="clear" w:color="auto" w:fill="FDFDFC"/>
          </w:tcPr>
          <w:p>
            <w:pPr>
              <w:spacing w:after="0"/>
              <w:rPr>
                <w:sz w:val="16"/>
                <w:szCs w:val="16"/>
                <w:color w:val="auto"/>
              </w:rPr>
            </w:pPr>
          </w:p>
        </w:tc>
        <w:tc>
          <w:tcPr>
            <w:tcW w:w="860" w:type="dxa"/>
            <w:vAlign w:val="bottom"/>
            <w:shd w:val="clear" w:color="auto" w:fill="FDFDFC"/>
          </w:tcPr>
          <w:p>
            <w:pPr>
              <w:spacing w:after="0"/>
              <w:rPr>
                <w:sz w:val="16"/>
                <w:szCs w:val="16"/>
                <w:color w:val="auto"/>
              </w:rPr>
            </w:pPr>
          </w:p>
        </w:tc>
      </w:tr>
      <w:tr>
        <w:trPr>
          <w:trHeight w:val="171"/>
        </w:trPr>
        <w:tc>
          <w:tcPr>
            <w:tcW w:w="1580" w:type="dxa"/>
            <w:vAlign w:val="bottom"/>
            <w:shd w:val="clear" w:color="auto" w:fill="D0EBF2"/>
          </w:tcPr>
          <w:p>
            <w:pPr>
              <w:spacing w:after="0"/>
              <w:rPr>
                <w:sz w:val="14"/>
                <w:szCs w:val="14"/>
                <w:color w:val="auto"/>
              </w:rPr>
            </w:pPr>
          </w:p>
        </w:tc>
        <w:tc>
          <w:tcPr>
            <w:tcW w:w="2200" w:type="dxa"/>
            <w:vAlign w:val="bottom"/>
            <w:shd w:val="clear" w:color="auto" w:fill="D0EBF2"/>
          </w:tcPr>
          <w:p>
            <w:pPr>
              <w:ind w:left="60"/>
              <w:spacing w:after="0" w:line="172" w:lineRule="exact"/>
              <w:rPr>
                <w:sz w:val="20"/>
                <w:szCs w:val="20"/>
                <w:color w:val="auto"/>
              </w:rPr>
            </w:pPr>
            <w:r>
              <w:rPr>
                <w:rFonts w:ascii="Times New Roman" w:cs="Times New Roman" w:eastAsia="Times New Roman" w:hAnsi="Times New Roman"/>
                <w:sz w:val="15"/>
                <w:szCs w:val="15"/>
                <w:color w:val="231F20"/>
              </w:rPr>
              <w:t>First-lien loan (GBP 16,640 par,</w:t>
            </w:r>
          </w:p>
        </w:tc>
        <w:tc>
          <w:tcPr>
            <w:tcW w:w="800" w:type="dxa"/>
            <w:vAlign w:val="bottom"/>
            <w:shd w:val="clear" w:color="auto" w:fill="D0EBF2"/>
          </w:tcPr>
          <w:p>
            <w:pPr>
              <w:jc w:val="right"/>
              <w:spacing w:after="0" w:line="172" w:lineRule="exact"/>
              <w:rPr>
                <w:sz w:val="20"/>
                <w:szCs w:val="20"/>
                <w:color w:val="auto"/>
              </w:rPr>
            </w:pPr>
            <w:r>
              <w:rPr>
                <w:rFonts w:ascii="Times New Roman" w:cs="Times New Roman" w:eastAsia="Times New Roman" w:hAnsi="Times New Roman"/>
                <w:sz w:val="15"/>
                <w:szCs w:val="15"/>
                <w:color w:val="231F20"/>
              </w:rPr>
              <w:t>9/7/2023</w:t>
            </w:r>
          </w:p>
        </w:tc>
        <w:tc>
          <w:tcPr>
            <w:tcW w:w="1000" w:type="dxa"/>
            <w:vAlign w:val="bottom"/>
            <w:shd w:val="clear" w:color="auto" w:fill="D0EBF2"/>
          </w:tcPr>
          <w:p>
            <w:pPr>
              <w:jc w:val="right"/>
              <w:ind w:right="44"/>
              <w:spacing w:after="0" w:line="172" w:lineRule="exact"/>
              <w:rPr>
                <w:sz w:val="20"/>
                <w:szCs w:val="20"/>
                <w:color w:val="auto"/>
              </w:rPr>
            </w:pPr>
            <w:r>
              <w:rPr>
                <w:rFonts w:ascii="Times New Roman" w:cs="Times New Roman" w:eastAsia="Times New Roman" w:hAnsi="Times New Roman"/>
                <w:sz w:val="15"/>
                <w:szCs w:val="15"/>
                <w:color w:val="231F20"/>
              </w:rPr>
              <w:t>S + 5.66%</w:t>
            </w:r>
          </w:p>
        </w:tc>
        <w:tc>
          <w:tcPr>
            <w:tcW w:w="1060" w:type="dxa"/>
            <w:vAlign w:val="bottom"/>
            <w:shd w:val="clear" w:color="auto" w:fill="D0EBF2"/>
          </w:tcPr>
          <w:p>
            <w:pPr>
              <w:jc w:val="right"/>
              <w:ind w:right="64"/>
              <w:spacing w:after="0" w:line="172" w:lineRule="exact"/>
              <w:rPr>
                <w:sz w:val="20"/>
                <w:szCs w:val="20"/>
                <w:color w:val="auto"/>
              </w:rPr>
            </w:pPr>
            <w:r>
              <w:rPr>
                <w:rFonts w:ascii="Times New Roman" w:cs="Times New Roman" w:eastAsia="Times New Roman" w:hAnsi="Times New Roman"/>
                <w:sz w:val="15"/>
                <w:szCs w:val="15"/>
                <w:color w:val="231F20"/>
              </w:rPr>
              <w:t>10.36%</w:t>
            </w:r>
          </w:p>
        </w:tc>
        <w:tc>
          <w:tcPr>
            <w:tcW w:w="1000" w:type="dxa"/>
            <w:vAlign w:val="bottom"/>
            <w:gridSpan w:val="2"/>
            <w:shd w:val="clear" w:color="auto" w:fill="D0EBF2"/>
          </w:tcPr>
          <w:p>
            <w:pPr>
              <w:jc w:val="right"/>
              <w:spacing w:after="0" w:line="172" w:lineRule="exact"/>
              <w:rPr>
                <w:sz w:val="20"/>
                <w:szCs w:val="20"/>
                <w:color w:val="auto"/>
              </w:rPr>
            </w:pPr>
            <w:r>
              <w:rPr>
                <w:rFonts w:ascii="Times New Roman" w:cs="Times New Roman" w:eastAsia="Times New Roman" w:hAnsi="Times New Roman"/>
                <w:sz w:val="15"/>
                <w:szCs w:val="15"/>
                <w:color w:val="231F20"/>
              </w:rPr>
              <w:t>20,115</w:t>
            </w:r>
          </w:p>
        </w:tc>
        <w:tc>
          <w:tcPr>
            <w:tcW w:w="1680" w:type="dxa"/>
            <w:vAlign w:val="bottom"/>
            <w:gridSpan w:val="3"/>
            <w:shd w:val="clear" w:color="auto" w:fill="D0EBF2"/>
          </w:tcPr>
          <w:p>
            <w:pPr>
              <w:jc w:val="right"/>
              <w:spacing w:after="0" w:line="172" w:lineRule="exact"/>
              <w:rPr>
                <w:sz w:val="20"/>
                <w:szCs w:val="20"/>
                <w:color w:val="auto"/>
              </w:rPr>
            </w:pPr>
            <w:r>
              <w:rPr>
                <w:rFonts w:ascii="Times New Roman" w:cs="Times New Roman" w:eastAsia="Times New Roman" w:hAnsi="Times New Roman"/>
                <w:sz w:val="15"/>
                <w:szCs w:val="15"/>
                <w:color w:val="231F20"/>
              </w:rPr>
              <w:t>21,117</w:t>
            </w:r>
          </w:p>
        </w:tc>
        <w:tc>
          <w:tcPr>
            <w:tcW w:w="960" w:type="dxa"/>
            <w:vAlign w:val="bottom"/>
            <w:gridSpan w:val="2"/>
            <w:shd w:val="clear" w:color="auto" w:fill="D0EBF2"/>
          </w:tcPr>
          <w:p>
            <w:pPr>
              <w:jc w:val="right"/>
              <w:spacing w:after="0" w:line="172" w:lineRule="exact"/>
              <w:rPr>
                <w:sz w:val="20"/>
                <w:szCs w:val="20"/>
                <w:color w:val="auto"/>
              </w:rPr>
            </w:pPr>
            <w:r>
              <w:rPr>
                <w:rFonts w:ascii="Times New Roman" w:cs="Times New Roman" w:eastAsia="Times New Roman" w:hAnsi="Times New Roman"/>
                <w:sz w:val="15"/>
                <w:szCs w:val="15"/>
                <w:color w:val="231F20"/>
              </w:rPr>
              <w:t>1.3%</w:t>
            </w:r>
          </w:p>
        </w:tc>
      </w:tr>
      <w:tr>
        <w:trPr>
          <w:trHeight w:val="189"/>
        </w:trPr>
        <w:tc>
          <w:tcPr>
            <w:tcW w:w="1580" w:type="dxa"/>
            <w:vAlign w:val="bottom"/>
            <w:shd w:val="clear" w:color="auto" w:fill="D0EBF2"/>
          </w:tcPr>
          <w:p>
            <w:pPr>
              <w:spacing w:after="0"/>
              <w:rPr>
                <w:sz w:val="16"/>
                <w:szCs w:val="16"/>
                <w:color w:val="auto"/>
              </w:rPr>
            </w:pPr>
          </w:p>
        </w:tc>
        <w:tc>
          <w:tcPr>
            <w:tcW w:w="2200" w:type="dxa"/>
            <w:vAlign w:val="bottom"/>
            <w:shd w:val="clear" w:color="auto" w:fill="D0EBF2"/>
          </w:tcPr>
          <w:p>
            <w:pPr>
              <w:ind w:left="60"/>
              <w:spacing w:after="0"/>
              <w:rPr>
                <w:sz w:val="20"/>
                <w:szCs w:val="20"/>
                <w:color w:val="auto"/>
              </w:rPr>
            </w:pPr>
            <w:r>
              <w:rPr>
                <w:rFonts w:ascii="Times New Roman" w:cs="Times New Roman" w:eastAsia="Times New Roman" w:hAnsi="Times New Roman"/>
                <w:sz w:val="15"/>
                <w:szCs w:val="15"/>
                <w:color w:val="231F20"/>
              </w:rPr>
              <w:t>due 9/2030)</w:t>
            </w:r>
          </w:p>
        </w:tc>
        <w:tc>
          <w:tcPr>
            <w:tcW w:w="800" w:type="dxa"/>
            <w:vAlign w:val="bottom"/>
            <w:shd w:val="clear" w:color="auto" w:fill="D0EBF2"/>
          </w:tcPr>
          <w:p>
            <w:pPr>
              <w:spacing w:after="0"/>
              <w:rPr>
                <w:sz w:val="16"/>
                <w:szCs w:val="16"/>
                <w:color w:val="auto"/>
              </w:rPr>
            </w:pPr>
          </w:p>
        </w:tc>
        <w:tc>
          <w:tcPr>
            <w:tcW w:w="1000" w:type="dxa"/>
            <w:vAlign w:val="bottom"/>
            <w:shd w:val="clear" w:color="auto" w:fill="D0EBF2"/>
          </w:tcPr>
          <w:p>
            <w:pPr>
              <w:spacing w:after="0"/>
              <w:rPr>
                <w:sz w:val="16"/>
                <w:szCs w:val="16"/>
                <w:color w:val="auto"/>
              </w:rPr>
            </w:pPr>
          </w:p>
        </w:tc>
        <w:tc>
          <w:tcPr>
            <w:tcW w:w="1060" w:type="dxa"/>
            <w:vAlign w:val="bottom"/>
            <w:shd w:val="clear" w:color="auto" w:fill="D0EBF2"/>
          </w:tcPr>
          <w:p>
            <w:pPr>
              <w:spacing w:after="0"/>
              <w:rPr>
                <w:sz w:val="16"/>
                <w:szCs w:val="16"/>
                <w:color w:val="auto"/>
              </w:rPr>
            </w:pPr>
          </w:p>
        </w:tc>
        <w:tc>
          <w:tcPr>
            <w:tcW w:w="100" w:type="dxa"/>
            <w:vAlign w:val="bottom"/>
            <w:shd w:val="clear" w:color="auto" w:fill="D0EBF2"/>
          </w:tcPr>
          <w:p>
            <w:pPr>
              <w:spacing w:after="0"/>
              <w:rPr>
                <w:sz w:val="16"/>
                <w:szCs w:val="16"/>
                <w:color w:val="auto"/>
              </w:rPr>
            </w:pPr>
          </w:p>
        </w:tc>
        <w:tc>
          <w:tcPr>
            <w:tcW w:w="900" w:type="dxa"/>
            <w:vAlign w:val="bottom"/>
            <w:shd w:val="clear" w:color="auto" w:fill="D0EBF2"/>
          </w:tcPr>
          <w:p>
            <w:pPr>
              <w:spacing w:after="0"/>
              <w:rPr>
                <w:sz w:val="16"/>
                <w:szCs w:val="16"/>
                <w:color w:val="auto"/>
              </w:rPr>
            </w:pPr>
          </w:p>
        </w:tc>
        <w:tc>
          <w:tcPr>
            <w:tcW w:w="80" w:type="dxa"/>
            <w:vAlign w:val="bottom"/>
            <w:shd w:val="clear" w:color="auto" w:fill="D0EBF2"/>
          </w:tcPr>
          <w:p>
            <w:pPr>
              <w:spacing w:after="0"/>
              <w:rPr>
                <w:sz w:val="16"/>
                <w:szCs w:val="16"/>
                <w:color w:val="auto"/>
              </w:rPr>
            </w:pPr>
          </w:p>
        </w:tc>
        <w:tc>
          <w:tcPr>
            <w:tcW w:w="100" w:type="dxa"/>
            <w:vAlign w:val="bottom"/>
            <w:shd w:val="clear" w:color="auto" w:fill="D0EBF2"/>
          </w:tcPr>
          <w:p>
            <w:pPr>
              <w:spacing w:after="0"/>
              <w:rPr>
                <w:sz w:val="16"/>
                <w:szCs w:val="16"/>
                <w:color w:val="auto"/>
              </w:rPr>
            </w:pPr>
          </w:p>
        </w:tc>
        <w:tc>
          <w:tcPr>
            <w:tcW w:w="1500" w:type="dxa"/>
            <w:vAlign w:val="bottom"/>
            <w:shd w:val="clear" w:color="auto" w:fill="D0EBF2"/>
          </w:tcPr>
          <w:p>
            <w:pPr>
              <w:jc w:val="right"/>
              <w:spacing w:after="0"/>
              <w:rPr>
                <w:sz w:val="20"/>
                <w:szCs w:val="20"/>
                <w:color w:val="auto"/>
              </w:rPr>
            </w:pPr>
            <w:r>
              <w:rPr>
                <w:rFonts w:ascii="Times New Roman" w:cs="Times New Roman" w:eastAsia="Times New Roman" w:hAnsi="Times New Roman"/>
                <w:sz w:val="15"/>
                <w:szCs w:val="15"/>
                <w:color w:val="231F20"/>
              </w:rPr>
              <w:t>(GBP 16,861)</w:t>
            </w:r>
          </w:p>
        </w:tc>
        <w:tc>
          <w:tcPr>
            <w:tcW w:w="100" w:type="dxa"/>
            <w:vAlign w:val="bottom"/>
            <w:shd w:val="clear" w:color="auto" w:fill="D0EBF2"/>
          </w:tcPr>
          <w:p>
            <w:pPr>
              <w:spacing w:after="0"/>
              <w:rPr>
                <w:sz w:val="16"/>
                <w:szCs w:val="16"/>
                <w:color w:val="auto"/>
              </w:rPr>
            </w:pPr>
          </w:p>
        </w:tc>
        <w:tc>
          <w:tcPr>
            <w:tcW w:w="860" w:type="dxa"/>
            <w:vAlign w:val="bottom"/>
            <w:shd w:val="clear" w:color="auto" w:fill="D0EBF2"/>
          </w:tcPr>
          <w:p>
            <w:pPr>
              <w:spacing w:after="0"/>
              <w:rPr>
                <w:sz w:val="16"/>
                <w:szCs w:val="16"/>
                <w:color w:val="auto"/>
              </w:rPr>
            </w:pPr>
          </w:p>
        </w:tc>
      </w:tr>
      <w:tr>
        <w:trPr>
          <w:trHeight w:val="171"/>
        </w:trPr>
        <w:tc>
          <w:tcPr>
            <w:tcW w:w="1580" w:type="dxa"/>
            <w:vAlign w:val="bottom"/>
            <w:shd w:val="clear" w:color="auto" w:fill="FDFDFC"/>
          </w:tcPr>
          <w:p>
            <w:pPr>
              <w:spacing w:after="0" w:line="172" w:lineRule="exact"/>
              <w:rPr>
                <w:sz w:val="20"/>
                <w:szCs w:val="20"/>
                <w:color w:val="auto"/>
              </w:rPr>
            </w:pPr>
            <w:r>
              <w:rPr>
                <w:rFonts w:ascii="Times New Roman" w:cs="Times New Roman" w:eastAsia="Times New Roman" w:hAnsi="Times New Roman"/>
                <w:sz w:val="15"/>
                <w:szCs w:val="15"/>
                <w:color w:val="231F20"/>
              </w:rPr>
              <w:t>Varinem German BidCo</w:t>
            </w:r>
          </w:p>
        </w:tc>
        <w:tc>
          <w:tcPr>
            <w:tcW w:w="2200" w:type="dxa"/>
            <w:vAlign w:val="bottom"/>
            <w:shd w:val="clear" w:color="auto" w:fill="FDFDFC"/>
          </w:tcPr>
          <w:p>
            <w:pPr>
              <w:ind w:left="60"/>
              <w:spacing w:after="0" w:line="172" w:lineRule="exact"/>
              <w:rPr>
                <w:sz w:val="20"/>
                <w:szCs w:val="20"/>
                <w:color w:val="auto"/>
              </w:rPr>
            </w:pPr>
            <w:r>
              <w:rPr>
                <w:rFonts w:ascii="Times New Roman" w:cs="Times New Roman" w:eastAsia="Times New Roman" w:hAnsi="Times New Roman"/>
                <w:sz w:val="15"/>
                <w:szCs w:val="15"/>
                <w:color w:val="231F20"/>
              </w:rPr>
              <w:t>First-lien loan (EUR 12,696 par,</w:t>
            </w:r>
          </w:p>
        </w:tc>
        <w:tc>
          <w:tcPr>
            <w:tcW w:w="800" w:type="dxa"/>
            <w:vAlign w:val="bottom"/>
            <w:shd w:val="clear" w:color="auto" w:fill="FDFDFC"/>
          </w:tcPr>
          <w:p>
            <w:pPr>
              <w:jc w:val="right"/>
              <w:spacing w:after="0" w:line="172" w:lineRule="exact"/>
              <w:rPr>
                <w:sz w:val="20"/>
                <w:szCs w:val="20"/>
                <w:color w:val="auto"/>
              </w:rPr>
            </w:pPr>
            <w:r>
              <w:rPr>
                <w:rFonts w:ascii="Times New Roman" w:cs="Times New Roman" w:eastAsia="Times New Roman" w:hAnsi="Times New Roman"/>
                <w:sz w:val="15"/>
                <w:szCs w:val="15"/>
                <w:color w:val="231F20"/>
              </w:rPr>
              <w:t>7/11/2024</w:t>
            </w:r>
          </w:p>
        </w:tc>
        <w:tc>
          <w:tcPr>
            <w:tcW w:w="1000" w:type="dxa"/>
            <w:vAlign w:val="bottom"/>
            <w:shd w:val="clear" w:color="auto" w:fill="FDFDFC"/>
          </w:tcPr>
          <w:p>
            <w:pPr>
              <w:jc w:val="right"/>
              <w:ind w:right="44"/>
              <w:spacing w:after="0" w:line="172" w:lineRule="exact"/>
              <w:rPr>
                <w:sz w:val="20"/>
                <w:szCs w:val="20"/>
                <w:color w:val="auto"/>
              </w:rPr>
            </w:pPr>
            <w:r>
              <w:rPr>
                <w:rFonts w:ascii="Times New Roman" w:cs="Times New Roman" w:eastAsia="Times New Roman" w:hAnsi="Times New Roman"/>
                <w:sz w:val="15"/>
                <w:szCs w:val="15"/>
                <w:color w:val="231F20"/>
              </w:rPr>
              <w:t>E + 5.75%</w:t>
            </w:r>
          </w:p>
        </w:tc>
        <w:tc>
          <w:tcPr>
            <w:tcW w:w="1060" w:type="dxa"/>
            <w:vAlign w:val="bottom"/>
            <w:shd w:val="clear" w:color="auto" w:fill="FDFDFC"/>
          </w:tcPr>
          <w:p>
            <w:pPr>
              <w:jc w:val="right"/>
              <w:ind w:right="64"/>
              <w:spacing w:after="0" w:line="172" w:lineRule="exact"/>
              <w:rPr>
                <w:sz w:val="20"/>
                <w:szCs w:val="20"/>
                <w:color w:val="auto"/>
              </w:rPr>
            </w:pPr>
            <w:r>
              <w:rPr>
                <w:rFonts w:ascii="Times New Roman" w:cs="Times New Roman" w:eastAsia="Times New Roman" w:hAnsi="Times New Roman"/>
                <w:sz w:val="15"/>
                <w:szCs w:val="15"/>
                <w:color w:val="231F20"/>
              </w:rPr>
              <w:t>9.42%</w:t>
            </w:r>
          </w:p>
        </w:tc>
        <w:tc>
          <w:tcPr>
            <w:tcW w:w="1000" w:type="dxa"/>
            <w:vAlign w:val="bottom"/>
            <w:gridSpan w:val="2"/>
            <w:shd w:val="clear" w:color="auto" w:fill="FDFDFC"/>
          </w:tcPr>
          <w:p>
            <w:pPr>
              <w:jc w:val="right"/>
              <w:spacing w:after="0" w:line="172" w:lineRule="exact"/>
              <w:rPr>
                <w:sz w:val="20"/>
                <w:szCs w:val="20"/>
                <w:color w:val="auto"/>
              </w:rPr>
            </w:pPr>
            <w:r>
              <w:rPr>
                <w:rFonts w:ascii="Times New Roman" w:cs="Times New Roman" w:eastAsia="Times New Roman" w:hAnsi="Times New Roman"/>
                <w:sz w:val="15"/>
                <w:szCs w:val="15"/>
                <w:color w:val="231F20"/>
              </w:rPr>
              <w:t>13,681</w:t>
            </w:r>
          </w:p>
        </w:tc>
        <w:tc>
          <w:tcPr>
            <w:tcW w:w="1680" w:type="dxa"/>
            <w:vAlign w:val="bottom"/>
            <w:gridSpan w:val="3"/>
            <w:shd w:val="clear" w:color="auto" w:fill="FDFDFC"/>
          </w:tcPr>
          <w:p>
            <w:pPr>
              <w:jc w:val="right"/>
              <w:spacing w:after="0" w:line="172" w:lineRule="exact"/>
              <w:rPr>
                <w:sz w:val="20"/>
                <w:szCs w:val="20"/>
                <w:color w:val="auto"/>
              </w:rPr>
            </w:pPr>
            <w:r>
              <w:rPr>
                <w:rFonts w:ascii="Times New Roman" w:cs="Times New Roman" w:eastAsia="Times New Roman" w:hAnsi="Times New Roman"/>
                <w:sz w:val="15"/>
                <w:szCs w:val="15"/>
                <w:color w:val="231F20"/>
              </w:rPr>
              <w:t>13,105</w:t>
            </w:r>
          </w:p>
        </w:tc>
        <w:tc>
          <w:tcPr>
            <w:tcW w:w="960" w:type="dxa"/>
            <w:vAlign w:val="bottom"/>
            <w:gridSpan w:val="2"/>
            <w:shd w:val="clear" w:color="auto" w:fill="FDFDFC"/>
          </w:tcPr>
          <w:p>
            <w:pPr>
              <w:jc w:val="right"/>
              <w:spacing w:after="0" w:line="172" w:lineRule="exact"/>
              <w:rPr>
                <w:sz w:val="20"/>
                <w:szCs w:val="20"/>
                <w:color w:val="auto"/>
              </w:rPr>
            </w:pPr>
            <w:r>
              <w:rPr>
                <w:rFonts w:ascii="Times New Roman" w:cs="Times New Roman" w:eastAsia="Times New Roman" w:hAnsi="Times New Roman"/>
                <w:sz w:val="15"/>
                <w:szCs w:val="15"/>
                <w:color w:val="231F20"/>
              </w:rPr>
              <w:t>0.8%</w:t>
            </w:r>
          </w:p>
        </w:tc>
      </w:tr>
      <w:tr>
        <w:trPr>
          <w:trHeight w:val="189"/>
        </w:trPr>
        <w:tc>
          <w:tcPr>
            <w:tcW w:w="1580" w:type="dxa"/>
            <w:vAlign w:val="bottom"/>
            <w:tcBorders>
              <w:bottom w:val="single" w:sz="8" w:color="D0EBF2"/>
            </w:tcBorders>
            <w:shd w:val="clear" w:color="auto" w:fill="FDFDFC"/>
          </w:tcPr>
          <w:p>
            <w:pPr>
              <w:spacing w:after="0" w:line="190" w:lineRule="exact"/>
              <w:rPr>
                <w:sz w:val="20"/>
                <w:szCs w:val="20"/>
                <w:color w:val="auto"/>
              </w:rPr>
            </w:pPr>
            <w:r>
              <w:rPr>
                <w:rFonts w:ascii="Times New Roman" w:cs="Times New Roman" w:eastAsia="Times New Roman" w:hAnsi="Times New Roman"/>
                <w:sz w:val="21"/>
                <w:szCs w:val="21"/>
                <w:color w:val="231F20"/>
                <w:vertAlign w:val="subscript"/>
              </w:rPr>
              <w:t>GMBH</w:t>
            </w:r>
            <w:r>
              <w:rPr>
                <w:rFonts w:ascii="Times New Roman" w:cs="Times New Roman" w:eastAsia="Times New Roman" w:hAnsi="Times New Roman"/>
                <w:sz w:val="8"/>
                <w:szCs w:val="8"/>
                <w:color w:val="231F20"/>
              </w:rPr>
              <w:t xml:space="preserve"> (3)(4)</w:t>
            </w:r>
          </w:p>
        </w:tc>
        <w:tc>
          <w:tcPr>
            <w:tcW w:w="2200" w:type="dxa"/>
            <w:vAlign w:val="bottom"/>
            <w:tcBorders>
              <w:bottom w:val="single" w:sz="8" w:color="D0EBF2"/>
            </w:tcBorders>
            <w:shd w:val="clear" w:color="auto" w:fill="FDFDFC"/>
          </w:tcPr>
          <w:p>
            <w:pPr>
              <w:ind w:left="60"/>
              <w:spacing w:after="0"/>
              <w:rPr>
                <w:sz w:val="20"/>
                <w:szCs w:val="20"/>
                <w:color w:val="auto"/>
              </w:rPr>
            </w:pPr>
            <w:r>
              <w:rPr>
                <w:rFonts w:ascii="Times New Roman" w:cs="Times New Roman" w:eastAsia="Times New Roman" w:hAnsi="Times New Roman"/>
                <w:sz w:val="15"/>
                <w:szCs w:val="15"/>
                <w:color w:val="231F20"/>
              </w:rPr>
              <w:t>due 7/2031)</w:t>
            </w:r>
          </w:p>
        </w:tc>
        <w:tc>
          <w:tcPr>
            <w:tcW w:w="800" w:type="dxa"/>
            <w:vAlign w:val="bottom"/>
            <w:tcBorders>
              <w:bottom w:val="single" w:sz="8" w:color="D0EBF2"/>
            </w:tcBorders>
            <w:shd w:val="clear" w:color="auto" w:fill="FDFDFC"/>
          </w:tcPr>
          <w:p>
            <w:pPr>
              <w:spacing w:after="0"/>
              <w:rPr>
                <w:sz w:val="16"/>
                <w:szCs w:val="16"/>
                <w:color w:val="auto"/>
              </w:rPr>
            </w:pPr>
          </w:p>
        </w:tc>
        <w:tc>
          <w:tcPr>
            <w:tcW w:w="1000" w:type="dxa"/>
            <w:vAlign w:val="bottom"/>
            <w:tcBorders>
              <w:bottom w:val="single" w:sz="8" w:color="D0EBF2"/>
            </w:tcBorders>
            <w:shd w:val="clear" w:color="auto" w:fill="FDFDFC"/>
          </w:tcPr>
          <w:p>
            <w:pPr>
              <w:spacing w:after="0"/>
              <w:rPr>
                <w:sz w:val="16"/>
                <w:szCs w:val="16"/>
                <w:color w:val="auto"/>
              </w:rPr>
            </w:pPr>
          </w:p>
        </w:tc>
        <w:tc>
          <w:tcPr>
            <w:tcW w:w="1060" w:type="dxa"/>
            <w:vAlign w:val="bottom"/>
            <w:tcBorders>
              <w:bottom w:val="single" w:sz="8" w:color="D0EBF2"/>
            </w:tcBorders>
            <w:shd w:val="clear" w:color="auto" w:fill="FDFDFC"/>
          </w:tcPr>
          <w:p>
            <w:pPr>
              <w:spacing w:after="0"/>
              <w:rPr>
                <w:sz w:val="16"/>
                <w:szCs w:val="16"/>
                <w:color w:val="auto"/>
              </w:rPr>
            </w:pPr>
          </w:p>
        </w:tc>
        <w:tc>
          <w:tcPr>
            <w:tcW w:w="100" w:type="dxa"/>
            <w:vAlign w:val="bottom"/>
            <w:tcBorders>
              <w:bottom w:val="single" w:sz="8" w:color="D0EBF2"/>
            </w:tcBorders>
            <w:shd w:val="clear" w:color="auto" w:fill="FDFDFC"/>
          </w:tcPr>
          <w:p>
            <w:pPr>
              <w:spacing w:after="0"/>
              <w:rPr>
                <w:sz w:val="16"/>
                <w:szCs w:val="16"/>
                <w:color w:val="auto"/>
              </w:rPr>
            </w:pPr>
          </w:p>
        </w:tc>
        <w:tc>
          <w:tcPr>
            <w:tcW w:w="900" w:type="dxa"/>
            <w:vAlign w:val="bottom"/>
            <w:tcBorders>
              <w:bottom w:val="single" w:sz="8" w:color="231F20"/>
            </w:tcBorders>
            <w:shd w:val="clear" w:color="auto" w:fill="FDFDFC"/>
          </w:tcPr>
          <w:p>
            <w:pPr>
              <w:spacing w:after="0"/>
              <w:rPr>
                <w:sz w:val="16"/>
                <w:szCs w:val="16"/>
                <w:color w:val="auto"/>
              </w:rPr>
            </w:pPr>
          </w:p>
        </w:tc>
        <w:tc>
          <w:tcPr>
            <w:tcW w:w="80" w:type="dxa"/>
            <w:vAlign w:val="bottom"/>
            <w:tcBorders>
              <w:bottom w:val="single" w:sz="8" w:color="D0EBF2"/>
            </w:tcBorders>
            <w:shd w:val="clear" w:color="auto" w:fill="FDFDFC"/>
          </w:tcPr>
          <w:p>
            <w:pPr>
              <w:spacing w:after="0"/>
              <w:rPr>
                <w:sz w:val="16"/>
                <w:szCs w:val="16"/>
                <w:color w:val="auto"/>
              </w:rPr>
            </w:pPr>
          </w:p>
        </w:tc>
        <w:tc>
          <w:tcPr>
            <w:tcW w:w="100" w:type="dxa"/>
            <w:vAlign w:val="bottom"/>
            <w:tcBorders>
              <w:bottom w:val="single" w:sz="8" w:color="231F20"/>
            </w:tcBorders>
            <w:shd w:val="clear" w:color="auto" w:fill="FDFDFC"/>
          </w:tcPr>
          <w:p>
            <w:pPr>
              <w:spacing w:after="0"/>
              <w:rPr>
                <w:sz w:val="16"/>
                <w:szCs w:val="16"/>
                <w:color w:val="auto"/>
              </w:rPr>
            </w:pPr>
          </w:p>
        </w:tc>
        <w:tc>
          <w:tcPr>
            <w:tcW w:w="1500" w:type="dxa"/>
            <w:vAlign w:val="bottom"/>
            <w:tcBorders>
              <w:bottom w:val="single" w:sz="8" w:color="231F20"/>
            </w:tcBorders>
            <w:shd w:val="clear" w:color="auto" w:fill="FDFDFC"/>
          </w:tcPr>
          <w:p>
            <w:pPr>
              <w:jc w:val="right"/>
              <w:spacing w:after="0"/>
              <w:rPr>
                <w:sz w:val="20"/>
                <w:szCs w:val="20"/>
                <w:color w:val="auto"/>
              </w:rPr>
            </w:pPr>
            <w:r>
              <w:rPr>
                <w:rFonts w:ascii="Times New Roman" w:cs="Times New Roman" w:eastAsia="Times New Roman" w:hAnsi="Times New Roman"/>
                <w:sz w:val="15"/>
                <w:szCs w:val="15"/>
                <w:color w:val="231F20"/>
              </w:rPr>
              <w:t>(EUR 12,656)</w:t>
            </w:r>
          </w:p>
        </w:tc>
        <w:tc>
          <w:tcPr>
            <w:tcW w:w="100" w:type="dxa"/>
            <w:vAlign w:val="bottom"/>
            <w:tcBorders>
              <w:bottom w:val="single" w:sz="8" w:color="D0EBF2"/>
            </w:tcBorders>
            <w:shd w:val="clear" w:color="auto" w:fill="FDFDFC"/>
          </w:tcPr>
          <w:p>
            <w:pPr>
              <w:spacing w:after="0"/>
              <w:rPr>
                <w:sz w:val="16"/>
                <w:szCs w:val="16"/>
                <w:color w:val="auto"/>
              </w:rPr>
            </w:pPr>
          </w:p>
        </w:tc>
        <w:tc>
          <w:tcPr>
            <w:tcW w:w="860" w:type="dxa"/>
            <w:vAlign w:val="bottom"/>
            <w:tcBorders>
              <w:bottom w:val="single" w:sz="8" w:color="231F20"/>
            </w:tcBorders>
            <w:shd w:val="clear" w:color="auto" w:fill="FDFDFC"/>
          </w:tcPr>
          <w:p>
            <w:pPr>
              <w:spacing w:after="0"/>
              <w:rPr>
                <w:sz w:val="16"/>
                <w:szCs w:val="16"/>
                <w:color w:val="auto"/>
              </w:rPr>
            </w:pPr>
          </w:p>
        </w:tc>
      </w:tr>
      <w:tr>
        <w:trPr>
          <w:trHeight w:val="201"/>
        </w:trPr>
        <w:tc>
          <w:tcPr>
            <w:tcW w:w="1580" w:type="dxa"/>
            <w:vAlign w:val="bottom"/>
            <w:tcBorders>
              <w:bottom w:val="single" w:sz="8" w:color="D0EBF2"/>
            </w:tcBorders>
            <w:shd w:val="clear" w:color="auto" w:fill="D0EBF2"/>
          </w:tcPr>
          <w:p>
            <w:pPr>
              <w:spacing w:after="0"/>
              <w:rPr>
                <w:sz w:val="17"/>
                <w:szCs w:val="17"/>
                <w:color w:val="auto"/>
              </w:rPr>
            </w:pPr>
          </w:p>
        </w:tc>
        <w:tc>
          <w:tcPr>
            <w:tcW w:w="2200" w:type="dxa"/>
            <w:vAlign w:val="bottom"/>
            <w:tcBorders>
              <w:bottom w:val="single" w:sz="8" w:color="D0EBF2"/>
            </w:tcBorders>
            <w:shd w:val="clear" w:color="auto" w:fill="D0EBF2"/>
          </w:tcPr>
          <w:p>
            <w:pPr>
              <w:spacing w:after="0"/>
              <w:rPr>
                <w:sz w:val="17"/>
                <w:szCs w:val="17"/>
                <w:color w:val="auto"/>
              </w:rPr>
            </w:pPr>
          </w:p>
        </w:tc>
        <w:tc>
          <w:tcPr>
            <w:tcW w:w="800" w:type="dxa"/>
            <w:vAlign w:val="bottom"/>
            <w:tcBorders>
              <w:bottom w:val="single" w:sz="8" w:color="D0EBF2"/>
            </w:tcBorders>
            <w:shd w:val="clear" w:color="auto" w:fill="D0EBF2"/>
          </w:tcPr>
          <w:p>
            <w:pPr>
              <w:spacing w:after="0"/>
              <w:rPr>
                <w:sz w:val="17"/>
                <w:szCs w:val="17"/>
                <w:color w:val="auto"/>
              </w:rPr>
            </w:pPr>
          </w:p>
        </w:tc>
        <w:tc>
          <w:tcPr>
            <w:tcW w:w="1000" w:type="dxa"/>
            <w:vAlign w:val="bottom"/>
            <w:tcBorders>
              <w:bottom w:val="single" w:sz="8" w:color="D0EBF2"/>
            </w:tcBorders>
            <w:shd w:val="clear" w:color="auto" w:fill="D0EBF2"/>
          </w:tcPr>
          <w:p>
            <w:pPr>
              <w:spacing w:after="0"/>
              <w:rPr>
                <w:sz w:val="17"/>
                <w:szCs w:val="17"/>
                <w:color w:val="auto"/>
              </w:rPr>
            </w:pPr>
          </w:p>
        </w:tc>
        <w:tc>
          <w:tcPr>
            <w:tcW w:w="1060" w:type="dxa"/>
            <w:vAlign w:val="bottom"/>
            <w:tcBorders>
              <w:bottom w:val="single" w:sz="8" w:color="D0EBF2"/>
            </w:tcBorders>
            <w:shd w:val="clear" w:color="auto" w:fill="D0EBF2"/>
          </w:tcPr>
          <w:p>
            <w:pPr>
              <w:spacing w:after="0"/>
              <w:rPr>
                <w:sz w:val="17"/>
                <w:szCs w:val="17"/>
                <w:color w:val="auto"/>
              </w:rPr>
            </w:pPr>
          </w:p>
        </w:tc>
        <w:tc>
          <w:tcPr>
            <w:tcW w:w="100" w:type="dxa"/>
            <w:vAlign w:val="bottom"/>
            <w:tcBorders>
              <w:bottom w:val="single" w:sz="8" w:color="D0EBF2"/>
            </w:tcBorders>
            <w:shd w:val="clear" w:color="auto" w:fill="D0EBF2"/>
          </w:tcPr>
          <w:p>
            <w:pPr>
              <w:spacing w:after="0"/>
              <w:rPr>
                <w:sz w:val="17"/>
                <w:szCs w:val="17"/>
                <w:color w:val="auto"/>
              </w:rPr>
            </w:pPr>
          </w:p>
        </w:tc>
        <w:tc>
          <w:tcPr>
            <w:tcW w:w="900" w:type="dxa"/>
            <w:vAlign w:val="bottom"/>
            <w:tcBorders>
              <w:bottom w:val="single" w:sz="8" w:color="231F20"/>
            </w:tcBorders>
            <w:shd w:val="clear" w:color="auto" w:fill="D0EBF2"/>
          </w:tcPr>
          <w:p>
            <w:pPr>
              <w:jc w:val="right"/>
              <w:spacing w:after="0"/>
              <w:rPr>
                <w:sz w:val="20"/>
                <w:szCs w:val="20"/>
                <w:color w:val="auto"/>
              </w:rPr>
            </w:pPr>
            <w:r>
              <w:rPr>
                <w:rFonts w:ascii="Times New Roman" w:cs="Times New Roman" w:eastAsia="Times New Roman" w:hAnsi="Times New Roman"/>
                <w:sz w:val="15"/>
                <w:szCs w:val="15"/>
                <w:color w:val="231F20"/>
              </w:rPr>
              <w:t>119,888</w:t>
            </w:r>
          </w:p>
        </w:tc>
        <w:tc>
          <w:tcPr>
            <w:tcW w:w="80" w:type="dxa"/>
            <w:vAlign w:val="bottom"/>
            <w:tcBorders>
              <w:bottom w:val="single" w:sz="8" w:color="D0EBF2"/>
            </w:tcBorders>
            <w:shd w:val="clear" w:color="auto" w:fill="D0EBF2"/>
          </w:tcPr>
          <w:p>
            <w:pPr>
              <w:spacing w:after="0"/>
              <w:rPr>
                <w:sz w:val="17"/>
                <w:szCs w:val="17"/>
                <w:color w:val="auto"/>
              </w:rPr>
            </w:pPr>
          </w:p>
        </w:tc>
        <w:tc>
          <w:tcPr>
            <w:tcW w:w="1600" w:type="dxa"/>
            <w:vAlign w:val="bottom"/>
            <w:tcBorders>
              <w:bottom w:val="single" w:sz="8" w:color="231F20"/>
            </w:tcBorders>
            <w:gridSpan w:val="2"/>
            <w:shd w:val="clear" w:color="auto" w:fill="D0EBF2"/>
          </w:tcPr>
          <w:p>
            <w:pPr>
              <w:jc w:val="right"/>
              <w:spacing w:after="0"/>
              <w:rPr>
                <w:sz w:val="20"/>
                <w:szCs w:val="20"/>
                <w:color w:val="auto"/>
              </w:rPr>
            </w:pPr>
            <w:r>
              <w:rPr>
                <w:rFonts w:ascii="Times New Roman" w:cs="Times New Roman" w:eastAsia="Times New Roman" w:hAnsi="Times New Roman"/>
                <w:sz w:val="15"/>
                <w:szCs w:val="15"/>
                <w:color w:val="231F20"/>
              </w:rPr>
              <w:t>122,161</w:t>
            </w:r>
          </w:p>
        </w:tc>
        <w:tc>
          <w:tcPr>
            <w:tcW w:w="100" w:type="dxa"/>
            <w:vAlign w:val="bottom"/>
            <w:tcBorders>
              <w:bottom w:val="single" w:sz="8" w:color="D0EBF2"/>
            </w:tcBorders>
            <w:shd w:val="clear" w:color="auto" w:fill="D0EBF2"/>
          </w:tcPr>
          <w:p>
            <w:pPr>
              <w:spacing w:after="0"/>
              <w:rPr>
                <w:sz w:val="17"/>
                <w:szCs w:val="17"/>
                <w:color w:val="auto"/>
              </w:rPr>
            </w:pPr>
          </w:p>
        </w:tc>
        <w:tc>
          <w:tcPr>
            <w:tcW w:w="860" w:type="dxa"/>
            <w:vAlign w:val="bottom"/>
            <w:tcBorders>
              <w:bottom w:val="single" w:sz="8" w:color="231F20"/>
            </w:tcBorders>
            <w:shd w:val="clear" w:color="auto" w:fill="D0EBF2"/>
          </w:tcPr>
          <w:p>
            <w:pPr>
              <w:jc w:val="right"/>
              <w:spacing w:after="0"/>
              <w:rPr>
                <w:sz w:val="20"/>
                <w:szCs w:val="20"/>
                <w:color w:val="auto"/>
              </w:rPr>
            </w:pPr>
            <w:r>
              <w:rPr>
                <w:rFonts w:ascii="Times New Roman" w:cs="Times New Roman" w:eastAsia="Times New Roman" w:hAnsi="Times New Roman"/>
                <w:sz w:val="15"/>
                <w:szCs w:val="15"/>
                <w:color w:val="231F20"/>
              </w:rPr>
              <w:t>7.6%</w:t>
            </w:r>
          </w:p>
        </w:tc>
      </w:tr>
      <w:tr>
        <w:trPr>
          <w:trHeight w:val="156"/>
        </w:trPr>
        <w:tc>
          <w:tcPr>
            <w:tcW w:w="1580" w:type="dxa"/>
            <w:vAlign w:val="bottom"/>
            <w:tcBorders>
              <w:top w:val="single" w:sz="8" w:color="FDFDFC"/>
            </w:tcBorders>
            <w:shd w:val="clear" w:color="auto" w:fill="FDFDFC"/>
          </w:tcPr>
          <w:p>
            <w:pPr>
              <w:spacing w:after="0" w:line="156" w:lineRule="exact"/>
              <w:rPr>
                <w:sz w:val="20"/>
                <w:szCs w:val="20"/>
                <w:color w:val="auto"/>
              </w:rPr>
            </w:pPr>
            <w:r>
              <w:rPr>
                <w:rFonts w:ascii="Times New Roman" w:cs="Times New Roman" w:eastAsia="Times New Roman" w:hAnsi="Times New Roman"/>
                <w:sz w:val="15"/>
                <w:szCs w:val="15"/>
                <w:b w:val="1"/>
                <w:bCs w:val="1"/>
                <w:color w:val="231F20"/>
              </w:rPr>
              <w:t>Office Products</w:t>
            </w:r>
          </w:p>
        </w:tc>
        <w:tc>
          <w:tcPr>
            <w:tcW w:w="2200" w:type="dxa"/>
            <w:vAlign w:val="bottom"/>
            <w:tcBorders>
              <w:top w:val="single" w:sz="8" w:color="FDFDFC"/>
            </w:tcBorders>
            <w:shd w:val="clear" w:color="auto" w:fill="FDFDFC"/>
          </w:tcPr>
          <w:p>
            <w:pPr>
              <w:spacing w:after="0"/>
              <w:rPr>
                <w:sz w:val="13"/>
                <w:szCs w:val="13"/>
                <w:color w:val="auto"/>
              </w:rPr>
            </w:pPr>
          </w:p>
        </w:tc>
        <w:tc>
          <w:tcPr>
            <w:tcW w:w="800" w:type="dxa"/>
            <w:vAlign w:val="bottom"/>
            <w:tcBorders>
              <w:top w:val="single" w:sz="8" w:color="FDFDFC"/>
            </w:tcBorders>
            <w:shd w:val="clear" w:color="auto" w:fill="FDFDFC"/>
          </w:tcPr>
          <w:p>
            <w:pPr>
              <w:spacing w:after="0"/>
              <w:rPr>
                <w:sz w:val="13"/>
                <w:szCs w:val="13"/>
                <w:color w:val="auto"/>
              </w:rPr>
            </w:pPr>
          </w:p>
        </w:tc>
        <w:tc>
          <w:tcPr>
            <w:tcW w:w="1000" w:type="dxa"/>
            <w:vAlign w:val="bottom"/>
            <w:tcBorders>
              <w:top w:val="single" w:sz="8" w:color="FDFDFC"/>
            </w:tcBorders>
            <w:shd w:val="clear" w:color="auto" w:fill="FDFDFC"/>
          </w:tcPr>
          <w:p>
            <w:pPr>
              <w:spacing w:after="0"/>
              <w:rPr>
                <w:sz w:val="13"/>
                <w:szCs w:val="13"/>
                <w:color w:val="auto"/>
              </w:rPr>
            </w:pPr>
          </w:p>
        </w:tc>
        <w:tc>
          <w:tcPr>
            <w:tcW w:w="1060" w:type="dxa"/>
            <w:vAlign w:val="bottom"/>
            <w:tcBorders>
              <w:top w:val="single" w:sz="8" w:color="FDFDFC"/>
            </w:tcBorders>
            <w:shd w:val="clear" w:color="auto" w:fill="FDFDFC"/>
          </w:tcPr>
          <w:p>
            <w:pPr>
              <w:spacing w:after="0"/>
              <w:rPr>
                <w:sz w:val="13"/>
                <w:szCs w:val="13"/>
                <w:color w:val="auto"/>
              </w:rPr>
            </w:pPr>
          </w:p>
        </w:tc>
        <w:tc>
          <w:tcPr>
            <w:tcW w:w="100" w:type="dxa"/>
            <w:vAlign w:val="bottom"/>
            <w:tcBorders>
              <w:top w:val="single" w:sz="8" w:color="FDFDFC"/>
            </w:tcBorders>
            <w:shd w:val="clear" w:color="auto" w:fill="FDFDFC"/>
          </w:tcPr>
          <w:p>
            <w:pPr>
              <w:spacing w:after="0"/>
              <w:rPr>
                <w:sz w:val="13"/>
                <w:szCs w:val="13"/>
                <w:color w:val="auto"/>
              </w:rPr>
            </w:pPr>
          </w:p>
        </w:tc>
        <w:tc>
          <w:tcPr>
            <w:tcW w:w="900" w:type="dxa"/>
            <w:vAlign w:val="bottom"/>
            <w:tcBorders>
              <w:top w:val="single" w:sz="8" w:color="231F20"/>
            </w:tcBorders>
            <w:shd w:val="clear" w:color="auto" w:fill="FDFDFC"/>
          </w:tcPr>
          <w:p>
            <w:pPr>
              <w:spacing w:after="0"/>
              <w:rPr>
                <w:sz w:val="13"/>
                <w:szCs w:val="13"/>
                <w:color w:val="auto"/>
              </w:rPr>
            </w:pPr>
          </w:p>
        </w:tc>
        <w:tc>
          <w:tcPr>
            <w:tcW w:w="80" w:type="dxa"/>
            <w:vAlign w:val="bottom"/>
            <w:tcBorders>
              <w:top w:val="single" w:sz="8" w:color="FDFDFC"/>
            </w:tcBorders>
            <w:shd w:val="clear" w:color="auto" w:fill="FDFDFC"/>
          </w:tcPr>
          <w:p>
            <w:pPr>
              <w:spacing w:after="0"/>
              <w:rPr>
                <w:sz w:val="13"/>
                <w:szCs w:val="13"/>
                <w:color w:val="auto"/>
              </w:rPr>
            </w:pPr>
          </w:p>
        </w:tc>
        <w:tc>
          <w:tcPr>
            <w:tcW w:w="100" w:type="dxa"/>
            <w:vAlign w:val="bottom"/>
            <w:tcBorders>
              <w:top w:val="single" w:sz="8" w:color="231F20"/>
            </w:tcBorders>
            <w:shd w:val="clear" w:color="auto" w:fill="FDFDFC"/>
          </w:tcPr>
          <w:p>
            <w:pPr>
              <w:spacing w:after="0"/>
              <w:rPr>
                <w:sz w:val="13"/>
                <w:szCs w:val="13"/>
                <w:color w:val="auto"/>
              </w:rPr>
            </w:pPr>
          </w:p>
        </w:tc>
        <w:tc>
          <w:tcPr>
            <w:tcW w:w="1500" w:type="dxa"/>
            <w:vAlign w:val="bottom"/>
            <w:tcBorders>
              <w:top w:val="single" w:sz="8" w:color="231F20"/>
            </w:tcBorders>
            <w:shd w:val="clear" w:color="auto" w:fill="FDFDFC"/>
          </w:tcPr>
          <w:p>
            <w:pPr>
              <w:spacing w:after="0"/>
              <w:rPr>
                <w:sz w:val="13"/>
                <w:szCs w:val="13"/>
                <w:color w:val="auto"/>
              </w:rPr>
            </w:pPr>
          </w:p>
        </w:tc>
        <w:tc>
          <w:tcPr>
            <w:tcW w:w="100" w:type="dxa"/>
            <w:vAlign w:val="bottom"/>
            <w:tcBorders>
              <w:top w:val="single" w:sz="8" w:color="FDFDFC"/>
            </w:tcBorders>
            <w:shd w:val="clear" w:color="auto" w:fill="FDFDFC"/>
          </w:tcPr>
          <w:p>
            <w:pPr>
              <w:spacing w:after="0"/>
              <w:rPr>
                <w:sz w:val="13"/>
                <w:szCs w:val="13"/>
                <w:color w:val="auto"/>
              </w:rPr>
            </w:pPr>
          </w:p>
        </w:tc>
        <w:tc>
          <w:tcPr>
            <w:tcW w:w="860" w:type="dxa"/>
            <w:vAlign w:val="bottom"/>
            <w:tcBorders>
              <w:top w:val="single" w:sz="8" w:color="231F20"/>
            </w:tcBorders>
            <w:shd w:val="clear" w:color="auto" w:fill="FDFDFC"/>
          </w:tcPr>
          <w:p>
            <w:pPr>
              <w:spacing w:after="0"/>
              <w:rPr>
                <w:sz w:val="13"/>
                <w:szCs w:val="13"/>
                <w:color w:val="auto"/>
              </w:rPr>
            </w:pPr>
          </w:p>
        </w:tc>
      </w:tr>
      <w:tr>
        <w:trPr>
          <w:trHeight w:val="171"/>
        </w:trPr>
        <w:tc>
          <w:tcPr>
            <w:tcW w:w="1580" w:type="dxa"/>
            <w:vAlign w:val="bottom"/>
            <w:shd w:val="clear" w:color="auto" w:fill="D0EBF2"/>
          </w:tcPr>
          <w:p>
            <w:pPr>
              <w:spacing w:after="0" w:line="172" w:lineRule="exact"/>
              <w:rPr>
                <w:sz w:val="20"/>
                <w:szCs w:val="20"/>
                <w:color w:val="auto"/>
              </w:rPr>
            </w:pPr>
            <w:r>
              <w:rPr>
                <w:rFonts w:ascii="Times New Roman" w:cs="Times New Roman" w:eastAsia="Times New Roman" w:hAnsi="Times New Roman"/>
                <w:sz w:val="15"/>
                <w:szCs w:val="15"/>
                <w:color w:val="231F20"/>
              </w:rPr>
              <w:t xml:space="preserve">USR Parent, Inc. </w:t>
            </w:r>
            <w:r>
              <w:rPr>
                <w:rFonts w:ascii="Times New Roman" w:cs="Times New Roman" w:eastAsia="Times New Roman" w:hAnsi="Times New Roman"/>
                <w:sz w:val="9"/>
                <w:szCs w:val="9"/>
                <w:color w:val="231F20"/>
              </w:rPr>
              <w:t>(3)(5)</w:t>
            </w:r>
          </w:p>
        </w:tc>
        <w:tc>
          <w:tcPr>
            <w:tcW w:w="2200" w:type="dxa"/>
            <w:vAlign w:val="bottom"/>
            <w:shd w:val="clear" w:color="auto" w:fill="D0EBF2"/>
          </w:tcPr>
          <w:p>
            <w:pPr>
              <w:ind w:left="60"/>
              <w:spacing w:after="0" w:line="172" w:lineRule="exact"/>
              <w:rPr>
                <w:sz w:val="20"/>
                <w:szCs w:val="20"/>
                <w:color w:val="auto"/>
              </w:rPr>
            </w:pPr>
            <w:r>
              <w:rPr>
                <w:rFonts w:ascii="Times New Roman" w:cs="Times New Roman" w:eastAsia="Times New Roman" w:hAnsi="Times New Roman"/>
                <w:sz w:val="15"/>
                <w:szCs w:val="15"/>
                <w:color w:val="231F20"/>
              </w:rPr>
              <w:t>ABL FILO term loan ($15,000</w:t>
            </w:r>
          </w:p>
        </w:tc>
        <w:tc>
          <w:tcPr>
            <w:tcW w:w="800" w:type="dxa"/>
            <w:vAlign w:val="bottom"/>
            <w:shd w:val="clear" w:color="auto" w:fill="D0EBF2"/>
          </w:tcPr>
          <w:p>
            <w:pPr>
              <w:jc w:val="right"/>
              <w:spacing w:after="0" w:line="172" w:lineRule="exact"/>
              <w:rPr>
                <w:sz w:val="20"/>
                <w:szCs w:val="20"/>
                <w:color w:val="auto"/>
              </w:rPr>
            </w:pPr>
            <w:r>
              <w:rPr>
                <w:rFonts w:ascii="Times New Roman" w:cs="Times New Roman" w:eastAsia="Times New Roman" w:hAnsi="Times New Roman"/>
                <w:sz w:val="15"/>
                <w:szCs w:val="15"/>
                <w:color w:val="231F20"/>
              </w:rPr>
              <w:t>4/25/2022</w:t>
            </w:r>
          </w:p>
        </w:tc>
        <w:tc>
          <w:tcPr>
            <w:tcW w:w="1000" w:type="dxa"/>
            <w:vAlign w:val="bottom"/>
            <w:shd w:val="clear" w:color="auto" w:fill="D0EBF2"/>
          </w:tcPr>
          <w:p>
            <w:pPr>
              <w:jc w:val="right"/>
              <w:ind w:right="44"/>
              <w:spacing w:after="0" w:line="172" w:lineRule="exact"/>
              <w:rPr>
                <w:sz w:val="20"/>
                <w:szCs w:val="20"/>
                <w:color w:val="auto"/>
              </w:rPr>
            </w:pPr>
            <w:r>
              <w:rPr>
                <w:rFonts w:ascii="Times New Roman" w:cs="Times New Roman" w:eastAsia="Times New Roman" w:hAnsi="Times New Roman"/>
                <w:sz w:val="15"/>
                <w:szCs w:val="15"/>
                <w:color w:val="231F20"/>
              </w:rPr>
              <w:t>SOFR +</w:t>
            </w:r>
          </w:p>
        </w:tc>
        <w:tc>
          <w:tcPr>
            <w:tcW w:w="1060" w:type="dxa"/>
            <w:vAlign w:val="bottom"/>
            <w:shd w:val="clear" w:color="auto" w:fill="D0EBF2"/>
          </w:tcPr>
          <w:p>
            <w:pPr>
              <w:jc w:val="right"/>
              <w:ind w:right="64"/>
              <w:spacing w:after="0" w:line="172" w:lineRule="exact"/>
              <w:rPr>
                <w:sz w:val="20"/>
                <w:szCs w:val="20"/>
                <w:color w:val="auto"/>
              </w:rPr>
            </w:pPr>
            <w:r>
              <w:rPr>
                <w:rFonts w:ascii="Times New Roman" w:cs="Times New Roman" w:eastAsia="Times New Roman" w:hAnsi="Times New Roman"/>
                <w:sz w:val="15"/>
                <w:szCs w:val="15"/>
                <w:color w:val="231F20"/>
              </w:rPr>
              <w:t>11.05%</w:t>
            </w:r>
          </w:p>
        </w:tc>
        <w:tc>
          <w:tcPr>
            <w:tcW w:w="100" w:type="dxa"/>
            <w:vAlign w:val="bottom"/>
            <w:shd w:val="clear" w:color="auto" w:fill="D0EBF2"/>
          </w:tcPr>
          <w:p>
            <w:pPr>
              <w:spacing w:after="0"/>
              <w:rPr>
                <w:sz w:val="14"/>
                <w:szCs w:val="14"/>
                <w:color w:val="auto"/>
              </w:rPr>
            </w:pPr>
          </w:p>
        </w:tc>
        <w:tc>
          <w:tcPr>
            <w:tcW w:w="900" w:type="dxa"/>
            <w:vAlign w:val="bottom"/>
            <w:shd w:val="clear" w:color="auto" w:fill="D0EBF2"/>
          </w:tcPr>
          <w:p>
            <w:pPr>
              <w:jc w:val="right"/>
              <w:spacing w:after="0" w:line="172" w:lineRule="exact"/>
              <w:rPr>
                <w:sz w:val="20"/>
                <w:szCs w:val="20"/>
                <w:color w:val="auto"/>
              </w:rPr>
            </w:pPr>
            <w:r>
              <w:rPr>
                <w:rFonts w:ascii="Times New Roman" w:cs="Times New Roman" w:eastAsia="Times New Roman" w:hAnsi="Times New Roman"/>
                <w:sz w:val="15"/>
                <w:szCs w:val="15"/>
                <w:color w:val="231F20"/>
              </w:rPr>
              <w:t>14,781</w:t>
            </w:r>
          </w:p>
        </w:tc>
        <w:tc>
          <w:tcPr>
            <w:tcW w:w="80" w:type="dxa"/>
            <w:vAlign w:val="bottom"/>
            <w:shd w:val="clear" w:color="auto" w:fill="D0EBF2"/>
          </w:tcPr>
          <w:p>
            <w:pPr>
              <w:spacing w:after="0"/>
              <w:rPr>
                <w:sz w:val="14"/>
                <w:szCs w:val="14"/>
                <w:color w:val="auto"/>
              </w:rPr>
            </w:pPr>
          </w:p>
        </w:tc>
        <w:tc>
          <w:tcPr>
            <w:tcW w:w="1600" w:type="dxa"/>
            <w:vAlign w:val="bottom"/>
            <w:gridSpan w:val="2"/>
            <w:shd w:val="clear" w:color="auto" w:fill="D0EBF2"/>
          </w:tcPr>
          <w:p>
            <w:pPr>
              <w:jc w:val="right"/>
              <w:spacing w:after="0" w:line="172" w:lineRule="exact"/>
              <w:rPr>
                <w:sz w:val="20"/>
                <w:szCs w:val="20"/>
                <w:color w:val="auto"/>
              </w:rPr>
            </w:pPr>
            <w:r>
              <w:rPr>
                <w:rFonts w:ascii="Times New Roman" w:cs="Times New Roman" w:eastAsia="Times New Roman" w:hAnsi="Times New Roman"/>
                <w:sz w:val="15"/>
                <w:szCs w:val="15"/>
                <w:color w:val="231F20"/>
              </w:rPr>
              <w:t>15,000</w:t>
            </w:r>
          </w:p>
        </w:tc>
        <w:tc>
          <w:tcPr>
            <w:tcW w:w="100" w:type="dxa"/>
            <w:vAlign w:val="bottom"/>
            <w:shd w:val="clear" w:color="auto" w:fill="D0EBF2"/>
          </w:tcPr>
          <w:p>
            <w:pPr>
              <w:spacing w:after="0"/>
              <w:rPr>
                <w:sz w:val="14"/>
                <w:szCs w:val="14"/>
                <w:color w:val="auto"/>
              </w:rPr>
            </w:pPr>
          </w:p>
        </w:tc>
        <w:tc>
          <w:tcPr>
            <w:tcW w:w="860" w:type="dxa"/>
            <w:vAlign w:val="bottom"/>
            <w:shd w:val="clear" w:color="auto" w:fill="D0EBF2"/>
          </w:tcPr>
          <w:p>
            <w:pPr>
              <w:jc w:val="right"/>
              <w:spacing w:after="0" w:line="172" w:lineRule="exact"/>
              <w:rPr>
                <w:sz w:val="20"/>
                <w:szCs w:val="20"/>
                <w:color w:val="auto"/>
              </w:rPr>
            </w:pPr>
            <w:r>
              <w:rPr>
                <w:rFonts w:ascii="Times New Roman" w:cs="Times New Roman" w:eastAsia="Times New Roman" w:hAnsi="Times New Roman"/>
                <w:sz w:val="15"/>
                <w:szCs w:val="15"/>
                <w:color w:val="231F20"/>
              </w:rPr>
              <w:t>0.9%</w:t>
            </w:r>
          </w:p>
        </w:tc>
      </w:tr>
      <w:tr>
        <w:trPr>
          <w:trHeight w:val="189"/>
        </w:trPr>
        <w:tc>
          <w:tcPr>
            <w:tcW w:w="1580" w:type="dxa"/>
            <w:vAlign w:val="bottom"/>
            <w:shd w:val="clear" w:color="auto" w:fill="D0EBF2"/>
          </w:tcPr>
          <w:p>
            <w:pPr>
              <w:spacing w:after="0"/>
              <w:rPr>
                <w:sz w:val="16"/>
                <w:szCs w:val="16"/>
                <w:color w:val="auto"/>
              </w:rPr>
            </w:pPr>
          </w:p>
        </w:tc>
        <w:tc>
          <w:tcPr>
            <w:tcW w:w="2200" w:type="dxa"/>
            <w:vAlign w:val="bottom"/>
            <w:shd w:val="clear" w:color="auto" w:fill="D0EBF2"/>
          </w:tcPr>
          <w:p>
            <w:pPr>
              <w:ind w:left="60"/>
              <w:spacing w:after="0"/>
              <w:rPr>
                <w:sz w:val="20"/>
                <w:szCs w:val="20"/>
                <w:color w:val="auto"/>
              </w:rPr>
            </w:pPr>
            <w:r>
              <w:rPr>
                <w:rFonts w:ascii="Times New Roman" w:cs="Times New Roman" w:eastAsia="Times New Roman" w:hAnsi="Times New Roman"/>
                <w:sz w:val="15"/>
                <w:szCs w:val="15"/>
                <w:color w:val="231F20"/>
              </w:rPr>
              <w:t>par, due 4/2027)</w:t>
            </w:r>
          </w:p>
        </w:tc>
        <w:tc>
          <w:tcPr>
            <w:tcW w:w="800" w:type="dxa"/>
            <w:vAlign w:val="bottom"/>
            <w:shd w:val="clear" w:color="auto" w:fill="D0EBF2"/>
          </w:tcPr>
          <w:p>
            <w:pPr>
              <w:spacing w:after="0"/>
              <w:rPr>
                <w:sz w:val="16"/>
                <w:szCs w:val="16"/>
                <w:color w:val="auto"/>
              </w:rPr>
            </w:pPr>
          </w:p>
        </w:tc>
        <w:tc>
          <w:tcPr>
            <w:tcW w:w="1000" w:type="dxa"/>
            <w:vAlign w:val="bottom"/>
            <w:shd w:val="clear" w:color="auto" w:fill="D0EBF2"/>
          </w:tcPr>
          <w:p>
            <w:pPr>
              <w:jc w:val="right"/>
              <w:ind w:right="44"/>
              <w:spacing w:after="0"/>
              <w:rPr>
                <w:sz w:val="20"/>
                <w:szCs w:val="20"/>
                <w:color w:val="auto"/>
              </w:rPr>
            </w:pPr>
            <w:r>
              <w:rPr>
                <w:rFonts w:ascii="Times New Roman" w:cs="Times New Roman" w:eastAsia="Times New Roman" w:hAnsi="Times New Roman"/>
                <w:sz w:val="15"/>
                <w:szCs w:val="15"/>
                <w:color w:val="231F20"/>
              </w:rPr>
              <w:t>6.50%</w:t>
            </w:r>
          </w:p>
        </w:tc>
        <w:tc>
          <w:tcPr>
            <w:tcW w:w="1060" w:type="dxa"/>
            <w:vAlign w:val="bottom"/>
            <w:shd w:val="clear" w:color="auto" w:fill="D0EBF2"/>
          </w:tcPr>
          <w:p>
            <w:pPr>
              <w:spacing w:after="0"/>
              <w:rPr>
                <w:sz w:val="16"/>
                <w:szCs w:val="16"/>
                <w:color w:val="auto"/>
              </w:rPr>
            </w:pPr>
          </w:p>
        </w:tc>
        <w:tc>
          <w:tcPr>
            <w:tcW w:w="100" w:type="dxa"/>
            <w:vAlign w:val="bottom"/>
            <w:shd w:val="clear" w:color="auto" w:fill="D0EBF2"/>
          </w:tcPr>
          <w:p>
            <w:pPr>
              <w:spacing w:after="0"/>
              <w:rPr>
                <w:sz w:val="16"/>
                <w:szCs w:val="16"/>
                <w:color w:val="auto"/>
              </w:rPr>
            </w:pPr>
          </w:p>
        </w:tc>
        <w:tc>
          <w:tcPr>
            <w:tcW w:w="900" w:type="dxa"/>
            <w:vAlign w:val="bottom"/>
            <w:shd w:val="clear" w:color="auto" w:fill="D0EBF2"/>
          </w:tcPr>
          <w:p>
            <w:pPr>
              <w:spacing w:after="0"/>
              <w:rPr>
                <w:sz w:val="16"/>
                <w:szCs w:val="16"/>
                <w:color w:val="auto"/>
              </w:rPr>
            </w:pPr>
          </w:p>
        </w:tc>
        <w:tc>
          <w:tcPr>
            <w:tcW w:w="80" w:type="dxa"/>
            <w:vAlign w:val="bottom"/>
            <w:shd w:val="clear" w:color="auto" w:fill="D0EBF2"/>
          </w:tcPr>
          <w:p>
            <w:pPr>
              <w:spacing w:after="0"/>
              <w:rPr>
                <w:sz w:val="16"/>
                <w:szCs w:val="16"/>
                <w:color w:val="auto"/>
              </w:rPr>
            </w:pPr>
          </w:p>
        </w:tc>
        <w:tc>
          <w:tcPr>
            <w:tcW w:w="100" w:type="dxa"/>
            <w:vAlign w:val="bottom"/>
            <w:shd w:val="clear" w:color="auto" w:fill="D0EBF2"/>
          </w:tcPr>
          <w:p>
            <w:pPr>
              <w:spacing w:after="0"/>
              <w:rPr>
                <w:sz w:val="16"/>
                <w:szCs w:val="16"/>
                <w:color w:val="auto"/>
              </w:rPr>
            </w:pPr>
          </w:p>
        </w:tc>
        <w:tc>
          <w:tcPr>
            <w:tcW w:w="1500" w:type="dxa"/>
            <w:vAlign w:val="bottom"/>
            <w:shd w:val="clear" w:color="auto" w:fill="D0EBF2"/>
          </w:tcPr>
          <w:p>
            <w:pPr>
              <w:spacing w:after="0"/>
              <w:rPr>
                <w:sz w:val="16"/>
                <w:szCs w:val="16"/>
                <w:color w:val="auto"/>
              </w:rPr>
            </w:pPr>
          </w:p>
        </w:tc>
        <w:tc>
          <w:tcPr>
            <w:tcW w:w="100" w:type="dxa"/>
            <w:vAlign w:val="bottom"/>
            <w:shd w:val="clear" w:color="auto" w:fill="D0EBF2"/>
          </w:tcPr>
          <w:p>
            <w:pPr>
              <w:spacing w:after="0"/>
              <w:rPr>
                <w:sz w:val="16"/>
                <w:szCs w:val="16"/>
                <w:color w:val="auto"/>
              </w:rPr>
            </w:pPr>
          </w:p>
        </w:tc>
        <w:tc>
          <w:tcPr>
            <w:tcW w:w="860" w:type="dxa"/>
            <w:vAlign w:val="bottom"/>
            <w:shd w:val="clear" w:color="auto" w:fill="D0EBF2"/>
          </w:tcPr>
          <w:p>
            <w:pPr>
              <w:spacing w:after="0"/>
              <w:rPr>
                <w:sz w:val="16"/>
                <w:szCs w:val="16"/>
                <w:color w:val="auto"/>
              </w:rPr>
            </w:pPr>
          </w:p>
        </w:tc>
      </w:tr>
      <w:tr>
        <w:trPr>
          <w:trHeight w:val="169"/>
        </w:trPr>
        <w:tc>
          <w:tcPr>
            <w:tcW w:w="1580" w:type="dxa"/>
            <w:vAlign w:val="bottom"/>
            <w:shd w:val="clear" w:color="auto" w:fill="FDFDFC"/>
          </w:tcPr>
          <w:p>
            <w:pPr>
              <w:spacing w:after="0" w:line="169" w:lineRule="exact"/>
              <w:rPr>
                <w:sz w:val="20"/>
                <w:szCs w:val="20"/>
                <w:color w:val="auto"/>
              </w:rPr>
            </w:pPr>
            <w:r>
              <w:rPr>
                <w:rFonts w:ascii="Times New Roman" w:cs="Times New Roman" w:eastAsia="Times New Roman" w:hAnsi="Times New Roman"/>
                <w:sz w:val="15"/>
                <w:szCs w:val="15"/>
                <w:b w:val="1"/>
                <w:bCs w:val="1"/>
                <w:color w:val="231F20"/>
              </w:rPr>
              <w:t>Oil, Gas and</w:t>
            </w:r>
          </w:p>
        </w:tc>
        <w:tc>
          <w:tcPr>
            <w:tcW w:w="2200" w:type="dxa"/>
            <w:vAlign w:val="bottom"/>
            <w:shd w:val="clear" w:color="auto" w:fill="FDFDFC"/>
          </w:tcPr>
          <w:p>
            <w:pPr>
              <w:spacing w:after="0"/>
              <w:rPr>
                <w:sz w:val="14"/>
                <w:szCs w:val="14"/>
                <w:color w:val="auto"/>
              </w:rPr>
            </w:pPr>
          </w:p>
        </w:tc>
        <w:tc>
          <w:tcPr>
            <w:tcW w:w="800" w:type="dxa"/>
            <w:vAlign w:val="bottom"/>
            <w:shd w:val="clear" w:color="auto" w:fill="FDFDFC"/>
          </w:tcPr>
          <w:p>
            <w:pPr>
              <w:spacing w:after="0"/>
              <w:rPr>
                <w:sz w:val="14"/>
                <w:szCs w:val="14"/>
                <w:color w:val="auto"/>
              </w:rPr>
            </w:pPr>
          </w:p>
        </w:tc>
        <w:tc>
          <w:tcPr>
            <w:tcW w:w="1000" w:type="dxa"/>
            <w:vAlign w:val="bottom"/>
            <w:shd w:val="clear" w:color="auto" w:fill="FDFDFC"/>
          </w:tcPr>
          <w:p>
            <w:pPr>
              <w:spacing w:after="0"/>
              <w:rPr>
                <w:sz w:val="14"/>
                <w:szCs w:val="14"/>
                <w:color w:val="auto"/>
              </w:rPr>
            </w:pPr>
          </w:p>
        </w:tc>
        <w:tc>
          <w:tcPr>
            <w:tcW w:w="1060" w:type="dxa"/>
            <w:vAlign w:val="bottom"/>
            <w:shd w:val="clear" w:color="auto" w:fill="FDFDFC"/>
          </w:tcPr>
          <w:p>
            <w:pPr>
              <w:spacing w:after="0"/>
              <w:rPr>
                <w:sz w:val="14"/>
                <w:szCs w:val="14"/>
                <w:color w:val="auto"/>
              </w:rPr>
            </w:pPr>
          </w:p>
        </w:tc>
        <w:tc>
          <w:tcPr>
            <w:tcW w:w="100" w:type="dxa"/>
            <w:vAlign w:val="bottom"/>
            <w:shd w:val="clear" w:color="auto" w:fill="FDFDFC"/>
          </w:tcPr>
          <w:p>
            <w:pPr>
              <w:spacing w:after="0"/>
              <w:rPr>
                <w:sz w:val="14"/>
                <w:szCs w:val="14"/>
                <w:color w:val="auto"/>
              </w:rPr>
            </w:pPr>
          </w:p>
        </w:tc>
        <w:tc>
          <w:tcPr>
            <w:tcW w:w="900" w:type="dxa"/>
            <w:vAlign w:val="bottom"/>
            <w:shd w:val="clear" w:color="auto" w:fill="FDFDFC"/>
          </w:tcPr>
          <w:p>
            <w:pPr>
              <w:spacing w:after="0"/>
              <w:rPr>
                <w:sz w:val="14"/>
                <w:szCs w:val="14"/>
                <w:color w:val="auto"/>
              </w:rPr>
            </w:pPr>
          </w:p>
        </w:tc>
        <w:tc>
          <w:tcPr>
            <w:tcW w:w="80" w:type="dxa"/>
            <w:vAlign w:val="bottom"/>
            <w:shd w:val="clear" w:color="auto" w:fill="FDFDFC"/>
          </w:tcPr>
          <w:p>
            <w:pPr>
              <w:spacing w:after="0"/>
              <w:rPr>
                <w:sz w:val="14"/>
                <w:szCs w:val="14"/>
                <w:color w:val="auto"/>
              </w:rPr>
            </w:pPr>
          </w:p>
        </w:tc>
        <w:tc>
          <w:tcPr>
            <w:tcW w:w="100" w:type="dxa"/>
            <w:vAlign w:val="bottom"/>
            <w:shd w:val="clear" w:color="auto" w:fill="FDFDFC"/>
          </w:tcPr>
          <w:p>
            <w:pPr>
              <w:spacing w:after="0"/>
              <w:rPr>
                <w:sz w:val="14"/>
                <w:szCs w:val="14"/>
                <w:color w:val="auto"/>
              </w:rPr>
            </w:pPr>
          </w:p>
        </w:tc>
        <w:tc>
          <w:tcPr>
            <w:tcW w:w="1500" w:type="dxa"/>
            <w:vAlign w:val="bottom"/>
            <w:shd w:val="clear" w:color="auto" w:fill="FDFDFC"/>
          </w:tcPr>
          <w:p>
            <w:pPr>
              <w:spacing w:after="0"/>
              <w:rPr>
                <w:sz w:val="14"/>
                <w:szCs w:val="14"/>
                <w:color w:val="auto"/>
              </w:rPr>
            </w:pPr>
          </w:p>
        </w:tc>
        <w:tc>
          <w:tcPr>
            <w:tcW w:w="100" w:type="dxa"/>
            <w:vAlign w:val="bottom"/>
            <w:shd w:val="clear" w:color="auto" w:fill="FDFDFC"/>
          </w:tcPr>
          <w:p>
            <w:pPr>
              <w:spacing w:after="0"/>
              <w:rPr>
                <w:sz w:val="14"/>
                <w:szCs w:val="14"/>
                <w:color w:val="auto"/>
              </w:rPr>
            </w:pPr>
          </w:p>
        </w:tc>
        <w:tc>
          <w:tcPr>
            <w:tcW w:w="860" w:type="dxa"/>
            <w:vAlign w:val="bottom"/>
            <w:shd w:val="clear" w:color="auto" w:fill="FDFDFC"/>
          </w:tcPr>
          <w:p>
            <w:pPr>
              <w:spacing w:after="0"/>
              <w:rPr>
                <w:sz w:val="14"/>
                <w:szCs w:val="14"/>
                <w:color w:val="auto"/>
              </w:rPr>
            </w:pPr>
          </w:p>
        </w:tc>
      </w:tr>
      <w:tr>
        <w:trPr>
          <w:trHeight w:val="191"/>
        </w:trPr>
        <w:tc>
          <w:tcPr>
            <w:tcW w:w="1580" w:type="dxa"/>
            <w:vAlign w:val="bottom"/>
            <w:shd w:val="clear" w:color="auto" w:fill="FDFDFC"/>
          </w:tcPr>
          <w:p>
            <w:pPr>
              <w:spacing w:after="0"/>
              <w:rPr>
                <w:sz w:val="20"/>
                <w:szCs w:val="20"/>
                <w:color w:val="auto"/>
              </w:rPr>
            </w:pPr>
            <w:r>
              <w:rPr>
                <w:rFonts w:ascii="Times New Roman" w:cs="Times New Roman" w:eastAsia="Times New Roman" w:hAnsi="Times New Roman"/>
                <w:sz w:val="15"/>
                <w:szCs w:val="15"/>
                <w:b w:val="1"/>
                <w:bCs w:val="1"/>
                <w:color w:val="231F20"/>
              </w:rPr>
              <w:t>Consumable Fuels</w:t>
            </w:r>
          </w:p>
        </w:tc>
        <w:tc>
          <w:tcPr>
            <w:tcW w:w="2200" w:type="dxa"/>
            <w:vAlign w:val="bottom"/>
            <w:shd w:val="clear" w:color="auto" w:fill="FDFDFC"/>
          </w:tcPr>
          <w:p>
            <w:pPr>
              <w:spacing w:after="0"/>
              <w:rPr>
                <w:sz w:val="16"/>
                <w:szCs w:val="16"/>
                <w:color w:val="auto"/>
              </w:rPr>
            </w:pPr>
          </w:p>
        </w:tc>
        <w:tc>
          <w:tcPr>
            <w:tcW w:w="800" w:type="dxa"/>
            <w:vAlign w:val="bottom"/>
            <w:shd w:val="clear" w:color="auto" w:fill="FDFDFC"/>
          </w:tcPr>
          <w:p>
            <w:pPr>
              <w:spacing w:after="0"/>
              <w:rPr>
                <w:sz w:val="16"/>
                <w:szCs w:val="16"/>
                <w:color w:val="auto"/>
              </w:rPr>
            </w:pPr>
          </w:p>
        </w:tc>
        <w:tc>
          <w:tcPr>
            <w:tcW w:w="1000" w:type="dxa"/>
            <w:vAlign w:val="bottom"/>
            <w:shd w:val="clear" w:color="auto" w:fill="FDFDFC"/>
          </w:tcPr>
          <w:p>
            <w:pPr>
              <w:spacing w:after="0"/>
              <w:rPr>
                <w:sz w:val="16"/>
                <w:szCs w:val="16"/>
                <w:color w:val="auto"/>
              </w:rPr>
            </w:pPr>
          </w:p>
        </w:tc>
        <w:tc>
          <w:tcPr>
            <w:tcW w:w="1060" w:type="dxa"/>
            <w:vAlign w:val="bottom"/>
            <w:shd w:val="clear" w:color="auto" w:fill="FDFDFC"/>
          </w:tcPr>
          <w:p>
            <w:pPr>
              <w:spacing w:after="0"/>
              <w:rPr>
                <w:sz w:val="16"/>
                <w:szCs w:val="16"/>
                <w:color w:val="auto"/>
              </w:rPr>
            </w:pPr>
          </w:p>
        </w:tc>
        <w:tc>
          <w:tcPr>
            <w:tcW w:w="100" w:type="dxa"/>
            <w:vAlign w:val="bottom"/>
            <w:shd w:val="clear" w:color="auto" w:fill="FDFDFC"/>
          </w:tcPr>
          <w:p>
            <w:pPr>
              <w:spacing w:after="0"/>
              <w:rPr>
                <w:sz w:val="16"/>
                <w:szCs w:val="16"/>
                <w:color w:val="auto"/>
              </w:rPr>
            </w:pPr>
          </w:p>
        </w:tc>
        <w:tc>
          <w:tcPr>
            <w:tcW w:w="900" w:type="dxa"/>
            <w:vAlign w:val="bottom"/>
            <w:shd w:val="clear" w:color="auto" w:fill="FDFDFC"/>
          </w:tcPr>
          <w:p>
            <w:pPr>
              <w:spacing w:after="0"/>
              <w:rPr>
                <w:sz w:val="16"/>
                <w:szCs w:val="16"/>
                <w:color w:val="auto"/>
              </w:rPr>
            </w:pPr>
          </w:p>
        </w:tc>
        <w:tc>
          <w:tcPr>
            <w:tcW w:w="80" w:type="dxa"/>
            <w:vAlign w:val="bottom"/>
            <w:shd w:val="clear" w:color="auto" w:fill="FDFDFC"/>
          </w:tcPr>
          <w:p>
            <w:pPr>
              <w:spacing w:after="0"/>
              <w:rPr>
                <w:sz w:val="16"/>
                <w:szCs w:val="16"/>
                <w:color w:val="auto"/>
              </w:rPr>
            </w:pPr>
          </w:p>
        </w:tc>
        <w:tc>
          <w:tcPr>
            <w:tcW w:w="100" w:type="dxa"/>
            <w:vAlign w:val="bottom"/>
            <w:shd w:val="clear" w:color="auto" w:fill="FDFDFC"/>
          </w:tcPr>
          <w:p>
            <w:pPr>
              <w:spacing w:after="0"/>
              <w:rPr>
                <w:sz w:val="16"/>
                <w:szCs w:val="16"/>
                <w:color w:val="auto"/>
              </w:rPr>
            </w:pPr>
          </w:p>
        </w:tc>
        <w:tc>
          <w:tcPr>
            <w:tcW w:w="1500" w:type="dxa"/>
            <w:vAlign w:val="bottom"/>
            <w:shd w:val="clear" w:color="auto" w:fill="FDFDFC"/>
          </w:tcPr>
          <w:p>
            <w:pPr>
              <w:spacing w:after="0"/>
              <w:rPr>
                <w:sz w:val="16"/>
                <w:szCs w:val="16"/>
                <w:color w:val="auto"/>
              </w:rPr>
            </w:pPr>
          </w:p>
        </w:tc>
        <w:tc>
          <w:tcPr>
            <w:tcW w:w="100" w:type="dxa"/>
            <w:vAlign w:val="bottom"/>
            <w:shd w:val="clear" w:color="auto" w:fill="FDFDFC"/>
          </w:tcPr>
          <w:p>
            <w:pPr>
              <w:spacing w:after="0"/>
              <w:rPr>
                <w:sz w:val="16"/>
                <w:szCs w:val="16"/>
                <w:color w:val="auto"/>
              </w:rPr>
            </w:pPr>
          </w:p>
        </w:tc>
        <w:tc>
          <w:tcPr>
            <w:tcW w:w="860" w:type="dxa"/>
            <w:vAlign w:val="bottom"/>
            <w:shd w:val="clear" w:color="auto" w:fill="FDFDFC"/>
          </w:tcPr>
          <w:p>
            <w:pPr>
              <w:spacing w:after="0"/>
              <w:rPr>
                <w:sz w:val="16"/>
                <w:szCs w:val="16"/>
                <w:color w:val="auto"/>
              </w:rPr>
            </w:pPr>
          </w:p>
        </w:tc>
      </w:tr>
      <w:tr>
        <w:trPr>
          <w:trHeight w:val="171"/>
        </w:trPr>
        <w:tc>
          <w:tcPr>
            <w:tcW w:w="1580" w:type="dxa"/>
            <w:vAlign w:val="bottom"/>
            <w:shd w:val="clear" w:color="auto" w:fill="D0EBF2"/>
          </w:tcPr>
          <w:p>
            <w:pPr>
              <w:spacing w:after="0" w:line="172" w:lineRule="exact"/>
              <w:rPr>
                <w:sz w:val="20"/>
                <w:szCs w:val="20"/>
                <w:color w:val="auto"/>
              </w:rPr>
            </w:pPr>
            <w:r>
              <w:rPr>
                <w:rFonts w:ascii="Times New Roman" w:cs="Times New Roman" w:eastAsia="Times New Roman" w:hAnsi="Times New Roman"/>
                <w:sz w:val="15"/>
                <w:szCs w:val="15"/>
                <w:color w:val="231F20"/>
              </w:rPr>
              <w:t xml:space="preserve">Laramie Energy, LLC </w:t>
            </w:r>
            <w:r>
              <w:rPr>
                <w:rFonts w:ascii="Times New Roman" w:cs="Times New Roman" w:eastAsia="Times New Roman" w:hAnsi="Times New Roman"/>
                <w:sz w:val="9"/>
                <w:szCs w:val="9"/>
                <w:color w:val="231F20"/>
              </w:rPr>
              <w:t>(3)</w:t>
            </w:r>
          </w:p>
        </w:tc>
        <w:tc>
          <w:tcPr>
            <w:tcW w:w="2200" w:type="dxa"/>
            <w:vAlign w:val="bottom"/>
            <w:shd w:val="clear" w:color="auto" w:fill="D0EBF2"/>
          </w:tcPr>
          <w:p>
            <w:pPr>
              <w:ind w:left="60"/>
              <w:spacing w:after="0" w:line="172" w:lineRule="exact"/>
              <w:rPr>
                <w:sz w:val="20"/>
                <w:szCs w:val="20"/>
                <w:color w:val="auto"/>
              </w:rPr>
            </w:pPr>
            <w:r>
              <w:rPr>
                <w:rFonts w:ascii="Times New Roman" w:cs="Times New Roman" w:eastAsia="Times New Roman" w:hAnsi="Times New Roman"/>
                <w:sz w:val="15"/>
                <w:szCs w:val="15"/>
                <w:color w:val="231F20"/>
              </w:rPr>
              <w:t>First-lien loan ($27,317 par, due</w:t>
            </w:r>
          </w:p>
        </w:tc>
        <w:tc>
          <w:tcPr>
            <w:tcW w:w="800" w:type="dxa"/>
            <w:vAlign w:val="bottom"/>
            <w:shd w:val="clear" w:color="auto" w:fill="D0EBF2"/>
          </w:tcPr>
          <w:p>
            <w:pPr>
              <w:jc w:val="right"/>
              <w:spacing w:after="0" w:line="172" w:lineRule="exact"/>
              <w:rPr>
                <w:sz w:val="20"/>
                <w:szCs w:val="20"/>
                <w:color w:val="auto"/>
              </w:rPr>
            </w:pPr>
            <w:r>
              <w:rPr>
                <w:rFonts w:ascii="Times New Roman" w:cs="Times New Roman" w:eastAsia="Times New Roman" w:hAnsi="Times New Roman"/>
                <w:sz w:val="15"/>
                <w:szCs w:val="15"/>
                <w:color w:val="231F20"/>
              </w:rPr>
              <w:t>2/21/2023</w:t>
            </w:r>
          </w:p>
        </w:tc>
        <w:tc>
          <w:tcPr>
            <w:tcW w:w="1000" w:type="dxa"/>
            <w:vAlign w:val="bottom"/>
            <w:shd w:val="clear" w:color="auto" w:fill="D0EBF2"/>
          </w:tcPr>
          <w:p>
            <w:pPr>
              <w:jc w:val="right"/>
              <w:ind w:right="44"/>
              <w:spacing w:after="0" w:line="172" w:lineRule="exact"/>
              <w:rPr>
                <w:sz w:val="20"/>
                <w:szCs w:val="20"/>
                <w:color w:val="auto"/>
              </w:rPr>
            </w:pPr>
            <w:r>
              <w:rPr>
                <w:rFonts w:ascii="Times New Roman" w:cs="Times New Roman" w:eastAsia="Times New Roman" w:hAnsi="Times New Roman"/>
                <w:sz w:val="15"/>
                <w:szCs w:val="15"/>
                <w:color w:val="231F20"/>
              </w:rPr>
              <w:t>SOFR +</w:t>
            </w:r>
          </w:p>
        </w:tc>
        <w:tc>
          <w:tcPr>
            <w:tcW w:w="1060" w:type="dxa"/>
            <w:vAlign w:val="bottom"/>
            <w:shd w:val="clear" w:color="auto" w:fill="D0EBF2"/>
          </w:tcPr>
          <w:p>
            <w:pPr>
              <w:jc w:val="right"/>
              <w:ind w:right="64"/>
              <w:spacing w:after="0" w:line="172" w:lineRule="exact"/>
              <w:rPr>
                <w:sz w:val="20"/>
                <w:szCs w:val="20"/>
                <w:color w:val="auto"/>
              </w:rPr>
            </w:pPr>
            <w:r>
              <w:rPr>
                <w:rFonts w:ascii="Times New Roman" w:cs="Times New Roman" w:eastAsia="Times New Roman" w:hAnsi="Times New Roman"/>
                <w:sz w:val="15"/>
                <w:szCs w:val="15"/>
                <w:color w:val="231F20"/>
              </w:rPr>
              <w:t>11.46%</w:t>
            </w:r>
          </w:p>
        </w:tc>
        <w:tc>
          <w:tcPr>
            <w:tcW w:w="1000" w:type="dxa"/>
            <w:vAlign w:val="bottom"/>
            <w:gridSpan w:val="2"/>
            <w:shd w:val="clear" w:color="auto" w:fill="D0EBF2"/>
          </w:tcPr>
          <w:p>
            <w:pPr>
              <w:jc w:val="right"/>
              <w:spacing w:after="0" w:line="172" w:lineRule="exact"/>
              <w:rPr>
                <w:sz w:val="20"/>
                <w:szCs w:val="20"/>
                <w:color w:val="auto"/>
              </w:rPr>
            </w:pPr>
            <w:r>
              <w:rPr>
                <w:rFonts w:ascii="Times New Roman" w:cs="Times New Roman" w:eastAsia="Times New Roman" w:hAnsi="Times New Roman"/>
                <w:sz w:val="15"/>
                <w:szCs w:val="15"/>
                <w:color w:val="231F20"/>
              </w:rPr>
              <w:t>27,025</w:t>
            </w:r>
          </w:p>
        </w:tc>
        <w:tc>
          <w:tcPr>
            <w:tcW w:w="1680" w:type="dxa"/>
            <w:vAlign w:val="bottom"/>
            <w:gridSpan w:val="3"/>
            <w:shd w:val="clear" w:color="auto" w:fill="D0EBF2"/>
          </w:tcPr>
          <w:p>
            <w:pPr>
              <w:jc w:val="right"/>
              <w:spacing w:after="0" w:line="172" w:lineRule="exact"/>
              <w:rPr>
                <w:sz w:val="20"/>
                <w:szCs w:val="20"/>
                <w:color w:val="auto"/>
              </w:rPr>
            </w:pPr>
            <w:r>
              <w:rPr>
                <w:rFonts w:ascii="Times New Roman" w:cs="Times New Roman" w:eastAsia="Times New Roman" w:hAnsi="Times New Roman"/>
                <w:sz w:val="15"/>
                <w:szCs w:val="15"/>
                <w:color w:val="231F20"/>
              </w:rPr>
              <w:t>27,590</w:t>
            </w:r>
          </w:p>
        </w:tc>
        <w:tc>
          <w:tcPr>
            <w:tcW w:w="960" w:type="dxa"/>
            <w:vAlign w:val="bottom"/>
            <w:gridSpan w:val="2"/>
            <w:shd w:val="clear" w:color="auto" w:fill="D0EBF2"/>
          </w:tcPr>
          <w:p>
            <w:pPr>
              <w:jc w:val="right"/>
              <w:spacing w:after="0" w:line="172" w:lineRule="exact"/>
              <w:rPr>
                <w:sz w:val="20"/>
                <w:szCs w:val="20"/>
                <w:color w:val="auto"/>
              </w:rPr>
            </w:pPr>
            <w:r>
              <w:rPr>
                <w:rFonts w:ascii="Times New Roman" w:cs="Times New Roman" w:eastAsia="Times New Roman" w:hAnsi="Times New Roman"/>
                <w:sz w:val="15"/>
                <w:szCs w:val="15"/>
                <w:color w:val="231F20"/>
              </w:rPr>
              <w:t>1.7%</w:t>
            </w:r>
          </w:p>
        </w:tc>
      </w:tr>
      <w:tr>
        <w:trPr>
          <w:trHeight w:val="189"/>
        </w:trPr>
        <w:tc>
          <w:tcPr>
            <w:tcW w:w="1580" w:type="dxa"/>
            <w:vAlign w:val="bottom"/>
            <w:shd w:val="clear" w:color="auto" w:fill="D0EBF2"/>
          </w:tcPr>
          <w:p>
            <w:pPr>
              <w:spacing w:after="0"/>
              <w:rPr>
                <w:sz w:val="16"/>
                <w:szCs w:val="16"/>
                <w:color w:val="auto"/>
              </w:rPr>
            </w:pPr>
          </w:p>
        </w:tc>
        <w:tc>
          <w:tcPr>
            <w:tcW w:w="2200" w:type="dxa"/>
            <w:vAlign w:val="bottom"/>
            <w:shd w:val="clear" w:color="auto" w:fill="D0EBF2"/>
          </w:tcPr>
          <w:p>
            <w:pPr>
              <w:ind w:left="60"/>
              <w:spacing w:after="0"/>
              <w:rPr>
                <w:sz w:val="20"/>
                <w:szCs w:val="20"/>
                <w:color w:val="auto"/>
              </w:rPr>
            </w:pPr>
            <w:r>
              <w:rPr>
                <w:rFonts w:ascii="Times New Roman" w:cs="Times New Roman" w:eastAsia="Times New Roman" w:hAnsi="Times New Roman"/>
                <w:sz w:val="15"/>
                <w:szCs w:val="15"/>
                <w:color w:val="231F20"/>
              </w:rPr>
              <w:t>2/2027)</w:t>
            </w:r>
          </w:p>
        </w:tc>
        <w:tc>
          <w:tcPr>
            <w:tcW w:w="800" w:type="dxa"/>
            <w:vAlign w:val="bottom"/>
            <w:shd w:val="clear" w:color="auto" w:fill="D0EBF2"/>
          </w:tcPr>
          <w:p>
            <w:pPr>
              <w:spacing w:after="0"/>
              <w:rPr>
                <w:sz w:val="16"/>
                <w:szCs w:val="16"/>
                <w:color w:val="auto"/>
              </w:rPr>
            </w:pPr>
          </w:p>
        </w:tc>
        <w:tc>
          <w:tcPr>
            <w:tcW w:w="1000" w:type="dxa"/>
            <w:vAlign w:val="bottom"/>
            <w:shd w:val="clear" w:color="auto" w:fill="D0EBF2"/>
          </w:tcPr>
          <w:p>
            <w:pPr>
              <w:jc w:val="right"/>
              <w:ind w:right="44"/>
              <w:spacing w:after="0"/>
              <w:rPr>
                <w:sz w:val="20"/>
                <w:szCs w:val="20"/>
                <w:color w:val="auto"/>
              </w:rPr>
            </w:pPr>
            <w:r>
              <w:rPr>
                <w:rFonts w:ascii="Times New Roman" w:cs="Times New Roman" w:eastAsia="Times New Roman" w:hAnsi="Times New Roman"/>
                <w:sz w:val="15"/>
                <w:szCs w:val="15"/>
                <w:color w:val="231F20"/>
              </w:rPr>
              <w:t>7.10%</w:t>
            </w:r>
          </w:p>
        </w:tc>
        <w:tc>
          <w:tcPr>
            <w:tcW w:w="1060" w:type="dxa"/>
            <w:vAlign w:val="bottom"/>
            <w:shd w:val="clear" w:color="auto" w:fill="D0EBF2"/>
          </w:tcPr>
          <w:p>
            <w:pPr>
              <w:spacing w:after="0"/>
              <w:rPr>
                <w:sz w:val="16"/>
                <w:szCs w:val="16"/>
                <w:color w:val="auto"/>
              </w:rPr>
            </w:pPr>
          </w:p>
        </w:tc>
        <w:tc>
          <w:tcPr>
            <w:tcW w:w="100" w:type="dxa"/>
            <w:vAlign w:val="bottom"/>
            <w:shd w:val="clear" w:color="auto" w:fill="D0EBF2"/>
          </w:tcPr>
          <w:p>
            <w:pPr>
              <w:spacing w:after="0"/>
              <w:rPr>
                <w:sz w:val="16"/>
                <w:szCs w:val="16"/>
                <w:color w:val="auto"/>
              </w:rPr>
            </w:pPr>
          </w:p>
        </w:tc>
        <w:tc>
          <w:tcPr>
            <w:tcW w:w="900" w:type="dxa"/>
            <w:vAlign w:val="bottom"/>
            <w:shd w:val="clear" w:color="auto" w:fill="D0EBF2"/>
          </w:tcPr>
          <w:p>
            <w:pPr>
              <w:spacing w:after="0"/>
              <w:rPr>
                <w:sz w:val="16"/>
                <w:szCs w:val="16"/>
                <w:color w:val="auto"/>
              </w:rPr>
            </w:pPr>
          </w:p>
        </w:tc>
        <w:tc>
          <w:tcPr>
            <w:tcW w:w="80" w:type="dxa"/>
            <w:vAlign w:val="bottom"/>
            <w:shd w:val="clear" w:color="auto" w:fill="D0EBF2"/>
          </w:tcPr>
          <w:p>
            <w:pPr>
              <w:spacing w:after="0"/>
              <w:rPr>
                <w:sz w:val="16"/>
                <w:szCs w:val="16"/>
                <w:color w:val="auto"/>
              </w:rPr>
            </w:pPr>
          </w:p>
        </w:tc>
        <w:tc>
          <w:tcPr>
            <w:tcW w:w="100" w:type="dxa"/>
            <w:vAlign w:val="bottom"/>
            <w:shd w:val="clear" w:color="auto" w:fill="D0EBF2"/>
          </w:tcPr>
          <w:p>
            <w:pPr>
              <w:spacing w:after="0"/>
              <w:rPr>
                <w:sz w:val="16"/>
                <w:szCs w:val="16"/>
                <w:color w:val="auto"/>
              </w:rPr>
            </w:pPr>
          </w:p>
        </w:tc>
        <w:tc>
          <w:tcPr>
            <w:tcW w:w="1500" w:type="dxa"/>
            <w:vAlign w:val="bottom"/>
            <w:shd w:val="clear" w:color="auto" w:fill="D0EBF2"/>
          </w:tcPr>
          <w:p>
            <w:pPr>
              <w:spacing w:after="0"/>
              <w:rPr>
                <w:sz w:val="16"/>
                <w:szCs w:val="16"/>
                <w:color w:val="auto"/>
              </w:rPr>
            </w:pPr>
          </w:p>
        </w:tc>
        <w:tc>
          <w:tcPr>
            <w:tcW w:w="100" w:type="dxa"/>
            <w:vAlign w:val="bottom"/>
            <w:shd w:val="clear" w:color="auto" w:fill="D0EBF2"/>
          </w:tcPr>
          <w:p>
            <w:pPr>
              <w:spacing w:after="0"/>
              <w:rPr>
                <w:sz w:val="16"/>
                <w:szCs w:val="16"/>
                <w:color w:val="auto"/>
              </w:rPr>
            </w:pPr>
          </w:p>
        </w:tc>
        <w:tc>
          <w:tcPr>
            <w:tcW w:w="860" w:type="dxa"/>
            <w:vAlign w:val="bottom"/>
            <w:shd w:val="clear" w:color="auto" w:fill="D0EBF2"/>
          </w:tcPr>
          <w:p>
            <w:pPr>
              <w:spacing w:after="0"/>
              <w:rPr>
                <w:sz w:val="16"/>
                <w:szCs w:val="16"/>
                <w:color w:val="auto"/>
              </w:rPr>
            </w:pPr>
          </w:p>
        </w:tc>
      </w:tr>
      <w:tr>
        <w:trPr>
          <w:trHeight w:val="171"/>
        </w:trPr>
        <w:tc>
          <w:tcPr>
            <w:tcW w:w="1580" w:type="dxa"/>
            <w:vAlign w:val="bottom"/>
            <w:shd w:val="clear" w:color="auto" w:fill="FDFDFC"/>
          </w:tcPr>
          <w:p>
            <w:pPr>
              <w:spacing w:after="0" w:line="172" w:lineRule="exact"/>
              <w:rPr>
                <w:sz w:val="20"/>
                <w:szCs w:val="20"/>
                <w:color w:val="auto"/>
              </w:rPr>
            </w:pPr>
            <w:r>
              <w:rPr>
                <w:rFonts w:ascii="Times New Roman" w:cs="Times New Roman" w:eastAsia="Times New Roman" w:hAnsi="Times New Roman"/>
                <w:sz w:val="15"/>
                <w:szCs w:val="15"/>
                <w:color w:val="231F20"/>
              </w:rPr>
              <w:t>Mach Natural Resources</w:t>
            </w:r>
          </w:p>
        </w:tc>
        <w:tc>
          <w:tcPr>
            <w:tcW w:w="2200" w:type="dxa"/>
            <w:vAlign w:val="bottom"/>
            <w:shd w:val="clear" w:color="auto" w:fill="FDFDFC"/>
          </w:tcPr>
          <w:p>
            <w:pPr>
              <w:ind w:left="60"/>
              <w:spacing w:after="0" w:line="172" w:lineRule="exact"/>
              <w:rPr>
                <w:sz w:val="20"/>
                <w:szCs w:val="20"/>
                <w:color w:val="auto"/>
              </w:rPr>
            </w:pPr>
            <w:r>
              <w:rPr>
                <w:rFonts w:ascii="Times New Roman" w:cs="Times New Roman" w:eastAsia="Times New Roman" w:hAnsi="Times New Roman"/>
                <w:sz w:val="15"/>
                <w:szCs w:val="15"/>
                <w:color w:val="231F20"/>
              </w:rPr>
              <w:t>First-lien loan ($4,625 par, due</w:t>
            </w:r>
          </w:p>
        </w:tc>
        <w:tc>
          <w:tcPr>
            <w:tcW w:w="800" w:type="dxa"/>
            <w:vAlign w:val="bottom"/>
            <w:shd w:val="clear" w:color="auto" w:fill="FDFDFC"/>
          </w:tcPr>
          <w:p>
            <w:pPr>
              <w:jc w:val="right"/>
              <w:spacing w:after="0" w:line="172" w:lineRule="exact"/>
              <w:rPr>
                <w:sz w:val="20"/>
                <w:szCs w:val="20"/>
                <w:color w:val="auto"/>
              </w:rPr>
            </w:pPr>
            <w:r>
              <w:rPr>
                <w:rFonts w:ascii="Times New Roman" w:cs="Times New Roman" w:eastAsia="Times New Roman" w:hAnsi="Times New Roman"/>
                <w:sz w:val="15"/>
                <w:szCs w:val="15"/>
                <w:color w:val="231F20"/>
              </w:rPr>
              <w:t>12/28/2023</w:t>
            </w:r>
          </w:p>
        </w:tc>
        <w:tc>
          <w:tcPr>
            <w:tcW w:w="1000" w:type="dxa"/>
            <w:vAlign w:val="bottom"/>
            <w:shd w:val="clear" w:color="auto" w:fill="FDFDFC"/>
          </w:tcPr>
          <w:p>
            <w:pPr>
              <w:jc w:val="right"/>
              <w:ind w:right="44"/>
              <w:spacing w:after="0" w:line="172" w:lineRule="exact"/>
              <w:rPr>
                <w:sz w:val="20"/>
                <w:szCs w:val="20"/>
                <w:color w:val="auto"/>
              </w:rPr>
            </w:pPr>
            <w:r>
              <w:rPr>
                <w:rFonts w:ascii="Times New Roman" w:cs="Times New Roman" w:eastAsia="Times New Roman" w:hAnsi="Times New Roman"/>
                <w:sz w:val="15"/>
                <w:szCs w:val="15"/>
                <w:color w:val="231F20"/>
              </w:rPr>
              <w:t>SOFR +</w:t>
            </w:r>
          </w:p>
        </w:tc>
        <w:tc>
          <w:tcPr>
            <w:tcW w:w="1060" w:type="dxa"/>
            <w:vAlign w:val="bottom"/>
            <w:shd w:val="clear" w:color="auto" w:fill="FDFDFC"/>
          </w:tcPr>
          <w:p>
            <w:pPr>
              <w:jc w:val="right"/>
              <w:ind w:right="64"/>
              <w:spacing w:after="0" w:line="172" w:lineRule="exact"/>
              <w:rPr>
                <w:sz w:val="20"/>
                <w:szCs w:val="20"/>
                <w:color w:val="auto"/>
              </w:rPr>
            </w:pPr>
            <w:r>
              <w:rPr>
                <w:rFonts w:ascii="Times New Roman" w:cs="Times New Roman" w:eastAsia="Times New Roman" w:hAnsi="Times New Roman"/>
                <w:sz w:val="15"/>
                <w:szCs w:val="15"/>
                <w:color w:val="231F20"/>
              </w:rPr>
              <w:t>10.98%</w:t>
            </w:r>
          </w:p>
        </w:tc>
        <w:tc>
          <w:tcPr>
            <w:tcW w:w="1000" w:type="dxa"/>
            <w:vAlign w:val="bottom"/>
            <w:gridSpan w:val="2"/>
            <w:shd w:val="clear" w:color="auto" w:fill="FDFDFC"/>
          </w:tcPr>
          <w:p>
            <w:pPr>
              <w:jc w:val="right"/>
              <w:spacing w:after="0" w:line="172" w:lineRule="exact"/>
              <w:rPr>
                <w:sz w:val="20"/>
                <w:szCs w:val="20"/>
                <w:color w:val="auto"/>
              </w:rPr>
            </w:pPr>
            <w:r>
              <w:rPr>
                <w:rFonts w:ascii="Times New Roman" w:cs="Times New Roman" w:eastAsia="Times New Roman" w:hAnsi="Times New Roman"/>
                <w:sz w:val="15"/>
                <w:szCs w:val="15"/>
                <w:color w:val="231F20"/>
              </w:rPr>
              <w:t>4,561</w:t>
            </w:r>
          </w:p>
        </w:tc>
        <w:tc>
          <w:tcPr>
            <w:tcW w:w="1680" w:type="dxa"/>
            <w:vAlign w:val="bottom"/>
            <w:gridSpan w:val="3"/>
            <w:shd w:val="clear" w:color="auto" w:fill="FDFDFC"/>
          </w:tcPr>
          <w:p>
            <w:pPr>
              <w:jc w:val="right"/>
              <w:spacing w:after="0" w:line="172" w:lineRule="exact"/>
              <w:rPr>
                <w:sz w:val="20"/>
                <w:szCs w:val="20"/>
                <w:color w:val="auto"/>
              </w:rPr>
            </w:pPr>
            <w:r>
              <w:rPr>
                <w:rFonts w:ascii="Times New Roman" w:cs="Times New Roman" w:eastAsia="Times New Roman" w:hAnsi="Times New Roman"/>
                <w:sz w:val="15"/>
                <w:szCs w:val="15"/>
                <w:color w:val="231F20"/>
              </w:rPr>
              <w:t>4,660</w:t>
            </w:r>
          </w:p>
        </w:tc>
        <w:tc>
          <w:tcPr>
            <w:tcW w:w="960" w:type="dxa"/>
            <w:vAlign w:val="bottom"/>
            <w:gridSpan w:val="2"/>
            <w:shd w:val="clear" w:color="auto" w:fill="FDFDFC"/>
          </w:tcPr>
          <w:p>
            <w:pPr>
              <w:jc w:val="right"/>
              <w:spacing w:after="0" w:line="172" w:lineRule="exact"/>
              <w:rPr>
                <w:sz w:val="20"/>
                <w:szCs w:val="20"/>
                <w:color w:val="auto"/>
              </w:rPr>
            </w:pPr>
            <w:r>
              <w:rPr>
                <w:rFonts w:ascii="Times New Roman" w:cs="Times New Roman" w:eastAsia="Times New Roman" w:hAnsi="Times New Roman"/>
                <w:sz w:val="15"/>
                <w:szCs w:val="15"/>
                <w:color w:val="231F20"/>
              </w:rPr>
              <w:t>0.3%</w:t>
            </w:r>
          </w:p>
        </w:tc>
      </w:tr>
      <w:tr>
        <w:trPr>
          <w:trHeight w:val="189"/>
        </w:trPr>
        <w:tc>
          <w:tcPr>
            <w:tcW w:w="1580" w:type="dxa"/>
            <w:vAlign w:val="bottom"/>
            <w:shd w:val="clear" w:color="auto" w:fill="FDFDFC"/>
          </w:tcPr>
          <w:p>
            <w:pPr>
              <w:spacing w:after="0" w:line="190" w:lineRule="exact"/>
              <w:rPr>
                <w:sz w:val="20"/>
                <w:szCs w:val="20"/>
                <w:color w:val="auto"/>
              </w:rPr>
            </w:pPr>
            <w:r>
              <w:rPr>
                <w:rFonts w:ascii="Times New Roman" w:cs="Times New Roman" w:eastAsia="Times New Roman" w:hAnsi="Times New Roman"/>
                <w:sz w:val="21"/>
                <w:szCs w:val="21"/>
                <w:color w:val="231F20"/>
                <w:vertAlign w:val="subscript"/>
              </w:rPr>
              <w:t>LP</w:t>
            </w:r>
            <w:r>
              <w:rPr>
                <w:rFonts w:ascii="Times New Roman" w:cs="Times New Roman" w:eastAsia="Times New Roman" w:hAnsi="Times New Roman"/>
                <w:sz w:val="8"/>
                <w:szCs w:val="8"/>
                <w:color w:val="231F20"/>
              </w:rPr>
              <w:t>(3)(4)</w:t>
            </w:r>
          </w:p>
        </w:tc>
        <w:tc>
          <w:tcPr>
            <w:tcW w:w="2200" w:type="dxa"/>
            <w:vAlign w:val="bottom"/>
            <w:shd w:val="clear" w:color="auto" w:fill="FDFDFC"/>
          </w:tcPr>
          <w:p>
            <w:pPr>
              <w:ind w:left="60"/>
              <w:spacing w:after="0"/>
              <w:rPr>
                <w:sz w:val="20"/>
                <w:szCs w:val="20"/>
                <w:color w:val="auto"/>
              </w:rPr>
            </w:pPr>
            <w:r>
              <w:rPr>
                <w:rFonts w:ascii="Times New Roman" w:cs="Times New Roman" w:eastAsia="Times New Roman" w:hAnsi="Times New Roman"/>
                <w:sz w:val="15"/>
                <w:szCs w:val="15"/>
                <w:color w:val="231F20"/>
              </w:rPr>
              <w:t>12/2026)</w:t>
            </w:r>
          </w:p>
        </w:tc>
        <w:tc>
          <w:tcPr>
            <w:tcW w:w="800" w:type="dxa"/>
            <w:vAlign w:val="bottom"/>
            <w:shd w:val="clear" w:color="auto" w:fill="FDFDFC"/>
          </w:tcPr>
          <w:p>
            <w:pPr>
              <w:spacing w:after="0"/>
              <w:rPr>
                <w:sz w:val="16"/>
                <w:szCs w:val="16"/>
                <w:color w:val="auto"/>
              </w:rPr>
            </w:pPr>
          </w:p>
        </w:tc>
        <w:tc>
          <w:tcPr>
            <w:tcW w:w="1000" w:type="dxa"/>
            <w:vAlign w:val="bottom"/>
            <w:shd w:val="clear" w:color="auto" w:fill="FDFDFC"/>
          </w:tcPr>
          <w:p>
            <w:pPr>
              <w:jc w:val="right"/>
              <w:ind w:right="44"/>
              <w:spacing w:after="0"/>
              <w:rPr>
                <w:sz w:val="20"/>
                <w:szCs w:val="20"/>
                <w:color w:val="auto"/>
              </w:rPr>
            </w:pPr>
            <w:r>
              <w:rPr>
                <w:rFonts w:ascii="Times New Roman" w:cs="Times New Roman" w:eastAsia="Times New Roman" w:hAnsi="Times New Roman"/>
                <w:sz w:val="15"/>
                <w:szCs w:val="15"/>
                <w:color w:val="231F20"/>
              </w:rPr>
              <w:t>6.65%</w:t>
            </w:r>
          </w:p>
        </w:tc>
        <w:tc>
          <w:tcPr>
            <w:tcW w:w="1060" w:type="dxa"/>
            <w:vAlign w:val="bottom"/>
            <w:shd w:val="clear" w:color="auto" w:fill="FDFDFC"/>
          </w:tcPr>
          <w:p>
            <w:pPr>
              <w:spacing w:after="0"/>
              <w:rPr>
                <w:sz w:val="16"/>
                <w:szCs w:val="16"/>
                <w:color w:val="auto"/>
              </w:rPr>
            </w:pPr>
          </w:p>
        </w:tc>
        <w:tc>
          <w:tcPr>
            <w:tcW w:w="100" w:type="dxa"/>
            <w:vAlign w:val="bottom"/>
            <w:shd w:val="clear" w:color="auto" w:fill="FDFDFC"/>
          </w:tcPr>
          <w:p>
            <w:pPr>
              <w:spacing w:after="0"/>
              <w:rPr>
                <w:sz w:val="16"/>
                <w:szCs w:val="16"/>
                <w:color w:val="auto"/>
              </w:rPr>
            </w:pPr>
          </w:p>
        </w:tc>
        <w:tc>
          <w:tcPr>
            <w:tcW w:w="900" w:type="dxa"/>
            <w:vAlign w:val="bottom"/>
            <w:shd w:val="clear" w:color="auto" w:fill="FDFDFC"/>
          </w:tcPr>
          <w:p>
            <w:pPr>
              <w:spacing w:after="0"/>
              <w:rPr>
                <w:sz w:val="16"/>
                <w:szCs w:val="16"/>
                <w:color w:val="auto"/>
              </w:rPr>
            </w:pPr>
          </w:p>
        </w:tc>
        <w:tc>
          <w:tcPr>
            <w:tcW w:w="80" w:type="dxa"/>
            <w:vAlign w:val="bottom"/>
            <w:shd w:val="clear" w:color="auto" w:fill="FDFDFC"/>
          </w:tcPr>
          <w:p>
            <w:pPr>
              <w:spacing w:after="0"/>
              <w:rPr>
                <w:sz w:val="16"/>
                <w:szCs w:val="16"/>
                <w:color w:val="auto"/>
              </w:rPr>
            </w:pPr>
          </w:p>
        </w:tc>
        <w:tc>
          <w:tcPr>
            <w:tcW w:w="100" w:type="dxa"/>
            <w:vAlign w:val="bottom"/>
            <w:shd w:val="clear" w:color="auto" w:fill="FDFDFC"/>
          </w:tcPr>
          <w:p>
            <w:pPr>
              <w:spacing w:after="0"/>
              <w:rPr>
                <w:sz w:val="16"/>
                <w:szCs w:val="16"/>
                <w:color w:val="auto"/>
              </w:rPr>
            </w:pPr>
          </w:p>
        </w:tc>
        <w:tc>
          <w:tcPr>
            <w:tcW w:w="1500" w:type="dxa"/>
            <w:vAlign w:val="bottom"/>
            <w:shd w:val="clear" w:color="auto" w:fill="FDFDFC"/>
          </w:tcPr>
          <w:p>
            <w:pPr>
              <w:spacing w:after="0"/>
              <w:rPr>
                <w:sz w:val="16"/>
                <w:szCs w:val="16"/>
                <w:color w:val="auto"/>
              </w:rPr>
            </w:pPr>
          </w:p>
        </w:tc>
        <w:tc>
          <w:tcPr>
            <w:tcW w:w="100" w:type="dxa"/>
            <w:vAlign w:val="bottom"/>
            <w:shd w:val="clear" w:color="auto" w:fill="FDFDFC"/>
          </w:tcPr>
          <w:p>
            <w:pPr>
              <w:spacing w:after="0"/>
              <w:rPr>
                <w:sz w:val="16"/>
                <w:szCs w:val="16"/>
                <w:color w:val="auto"/>
              </w:rPr>
            </w:pPr>
          </w:p>
        </w:tc>
        <w:tc>
          <w:tcPr>
            <w:tcW w:w="860" w:type="dxa"/>
            <w:vAlign w:val="bottom"/>
            <w:shd w:val="clear" w:color="auto" w:fill="FDFDFC"/>
          </w:tcPr>
          <w:p>
            <w:pPr>
              <w:spacing w:after="0"/>
              <w:rPr>
                <w:sz w:val="16"/>
                <w:szCs w:val="16"/>
                <w:color w:val="auto"/>
              </w:rPr>
            </w:pPr>
          </w:p>
        </w:tc>
      </w:tr>
      <w:tr>
        <w:trPr>
          <w:trHeight w:val="171"/>
        </w:trPr>
        <w:tc>
          <w:tcPr>
            <w:tcW w:w="1580" w:type="dxa"/>
            <w:vAlign w:val="bottom"/>
            <w:shd w:val="clear" w:color="auto" w:fill="D0EBF2"/>
          </w:tcPr>
          <w:p>
            <w:pPr>
              <w:spacing w:after="0" w:line="172" w:lineRule="exact"/>
              <w:rPr>
                <w:sz w:val="20"/>
                <w:szCs w:val="20"/>
                <w:color w:val="auto"/>
              </w:rPr>
            </w:pPr>
            <w:r>
              <w:rPr>
                <w:rFonts w:ascii="Times New Roman" w:cs="Times New Roman" w:eastAsia="Times New Roman" w:hAnsi="Times New Roman"/>
                <w:sz w:val="15"/>
                <w:szCs w:val="15"/>
                <w:color w:val="231F20"/>
              </w:rPr>
              <w:t xml:space="preserve">TRP Assets, LLC </w:t>
            </w:r>
            <w:r>
              <w:rPr>
                <w:rFonts w:ascii="Times New Roman" w:cs="Times New Roman" w:eastAsia="Times New Roman" w:hAnsi="Times New Roman"/>
                <w:sz w:val="9"/>
                <w:szCs w:val="9"/>
                <w:color w:val="231F20"/>
              </w:rPr>
              <w:t>(3)</w:t>
            </w:r>
          </w:p>
        </w:tc>
        <w:tc>
          <w:tcPr>
            <w:tcW w:w="2200" w:type="dxa"/>
            <w:vAlign w:val="bottom"/>
            <w:shd w:val="clear" w:color="auto" w:fill="D0EBF2"/>
          </w:tcPr>
          <w:p>
            <w:pPr>
              <w:ind w:left="60"/>
              <w:spacing w:after="0" w:line="172" w:lineRule="exact"/>
              <w:rPr>
                <w:sz w:val="20"/>
                <w:szCs w:val="20"/>
                <w:color w:val="auto"/>
              </w:rPr>
            </w:pPr>
            <w:r>
              <w:rPr>
                <w:rFonts w:ascii="Times New Roman" w:cs="Times New Roman" w:eastAsia="Times New Roman" w:hAnsi="Times New Roman"/>
                <w:sz w:val="15"/>
                <w:szCs w:val="15"/>
                <w:color w:val="231F20"/>
              </w:rPr>
              <w:t>First-lien loan ($54,834 par, due</w:t>
            </w:r>
          </w:p>
        </w:tc>
        <w:tc>
          <w:tcPr>
            <w:tcW w:w="800" w:type="dxa"/>
            <w:vAlign w:val="bottom"/>
            <w:shd w:val="clear" w:color="auto" w:fill="D0EBF2"/>
          </w:tcPr>
          <w:p>
            <w:pPr>
              <w:jc w:val="right"/>
              <w:spacing w:after="0" w:line="172" w:lineRule="exact"/>
              <w:rPr>
                <w:sz w:val="20"/>
                <w:szCs w:val="20"/>
                <w:color w:val="auto"/>
              </w:rPr>
            </w:pPr>
            <w:r>
              <w:rPr>
                <w:rFonts w:ascii="Times New Roman" w:cs="Times New Roman" w:eastAsia="Times New Roman" w:hAnsi="Times New Roman"/>
                <w:sz w:val="15"/>
                <w:szCs w:val="15"/>
                <w:color w:val="231F20"/>
              </w:rPr>
              <w:t>12/20/2024</w:t>
            </w:r>
          </w:p>
        </w:tc>
        <w:tc>
          <w:tcPr>
            <w:tcW w:w="1000" w:type="dxa"/>
            <w:vAlign w:val="bottom"/>
            <w:shd w:val="clear" w:color="auto" w:fill="D0EBF2"/>
          </w:tcPr>
          <w:p>
            <w:pPr>
              <w:jc w:val="right"/>
              <w:ind w:right="44"/>
              <w:spacing w:after="0" w:line="172" w:lineRule="exact"/>
              <w:rPr>
                <w:sz w:val="20"/>
                <w:szCs w:val="20"/>
                <w:color w:val="auto"/>
              </w:rPr>
            </w:pPr>
            <w:r>
              <w:rPr>
                <w:rFonts w:ascii="Times New Roman" w:cs="Times New Roman" w:eastAsia="Times New Roman" w:hAnsi="Times New Roman"/>
                <w:sz w:val="15"/>
                <w:szCs w:val="15"/>
                <w:color w:val="231F20"/>
              </w:rPr>
              <w:t>SOFR +</w:t>
            </w:r>
          </w:p>
        </w:tc>
        <w:tc>
          <w:tcPr>
            <w:tcW w:w="1060" w:type="dxa"/>
            <w:vAlign w:val="bottom"/>
            <w:shd w:val="clear" w:color="auto" w:fill="D0EBF2"/>
          </w:tcPr>
          <w:p>
            <w:pPr>
              <w:jc w:val="right"/>
              <w:ind w:right="64"/>
              <w:spacing w:after="0" w:line="172" w:lineRule="exact"/>
              <w:rPr>
                <w:sz w:val="20"/>
                <w:szCs w:val="20"/>
                <w:color w:val="auto"/>
              </w:rPr>
            </w:pPr>
            <w:r>
              <w:rPr>
                <w:rFonts w:ascii="Times New Roman" w:cs="Times New Roman" w:eastAsia="Times New Roman" w:hAnsi="Times New Roman"/>
                <w:sz w:val="15"/>
                <w:szCs w:val="15"/>
                <w:color w:val="231F20"/>
              </w:rPr>
              <w:t>11.33%</w:t>
            </w:r>
          </w:p>
        </w:tc>
        <w:tc>
          <w:tcPr>
            <w:tcW w:w="1000" w:type="dxa"/>
            <w:vAlign w:val="bottom"/>
            <w:gridSpan w:val="2"/>
            <w:shd w:val="clear" w:color="auto" w:fill="D0EBF2"/>
          </w:tcPr>
          <w:p>
            <w:pPr>
              <w:jc w:val="right"/>
              <w:spacing w:after="0" w:line="172" w:lineRule="exact"/>
              <w:rPr>
                <w:sz w:val="20"/>
                <w:szCs w:val="20"/>
                <w:color w:val="auto"/>
              </w:rPr>
            </w:pPr>
            <w:r>
              <w:rPr>
                <w:rFonts w:ascii="Times New Roman" w:cs="Times New Roman" w:eastAsia="Times New Roman" w:hAnsi="Times New Roman"/>
                <w:sz w:val="15"/>
                <w:szCs w:val="15"/>
                <w:color w:val="231F20"/>
              </w:rPr>
              <w:t>53,540</w:t>
            </w:r>
          </w:p>
        </w:tc>
        <w:tc>
          <w:tcPr>
            <w:tcW w:w="1680" w:type="dxa"/>
            <w:vAlign w:val="bottom"/>
            <w:gridSpan w:val="3"/>
            <w:shd w:val="clear" w:color="auto" w:fill="D0EBF2"/>
          </w:tcPr>
          <w:p>
            <w:pPr>
              <w:jc w:val="right"/>
              <w:spacing w:after="0" w:line="172" w:lineRule="exact"/>
              <w:rPr>
                <w:sz w:val="20"/>
                <w:szCs w:val="20"/>
                <w:color w:val="auto"/>
              </w:rPr>
            </w:pPr>
            <w:r>
              <w:rPr>
                <w:rFonts w:ascii="Times New Roman" w:cs="Times New Roman" w:eastAsia="Times New Roman" w:hAnsi="Times New Roman"/>
                <w:sz w:val="15"/>
                <w:szCs w:val="15"/>
                <w:color w:val="231F20"/>
              </w:rPr>
              <w:t>54,834</w:t>
            </w:r>
          </w:p>
        </w:tc>
        <w:tc>
          <w:tcPr>
            <w:tcW w:w="960" w:type="dxa"/>
            <w:vAlign w:val="bottom"/>
            <w:gridSpan w:val="2"/>
            <w:shd w:val="clear" w:color="auto" w:fill="D0EBF2"/>
          </w:tcPr>
          <w:p>
            <w:pPr>
              <w:jc w:val="right"/>
              <w:spacing w:after="0" w:line="172" w:lineRule="exact"/>
              <w:rPr>
                <w:sz w:val="20"/>
                <w:szCs w:val="20"/>
                <w:color w:val="auto"/>
              </w:rPr>
            </w:pPr>
            <w:r>
              <w:rPr>
                <w:rFonts w:ascii="Times New Roman" w:cs="Times New Roman" w:eastAsia="Times New Roman" w:hAnsi="Times New Roman"/>
                <w:sz w:val="15"/>
                <w:szCs w:val="15"/>
                <w:color w:val="231F20"/>
              </w:rPr>
              <w:t>3.4%</w:t>
            </w:r>
          </w:p>
        </w:tc>
      </w:tr>
      <w:tr>
        <w:trPr>
          <w:trHeight w:val="189"/>
        </w:trPr>
        <w:tc>
          <w:tcPr>
            <w:tcW w:w="1580" w:type="dxa"/>
            <w:vAlign w:val="bottom"/>
            <w:tcBorders>
              <w:bottom w:val="single" w:sz="8" w:color="D0EBF2"/>
            </w:tcBorders>
            <w:shd w:val="clear" w:color="auto" w:fill="D0EBF2"/>
          </w:tcPr>
          <w:p>
            <w:pPr>
              <w:spacing w:after="0"/>
              <w:rPr>
                <w:sz w:val="16"/>
                <w:szCs w:val="16"/>
                <w:color w:val="auto"/>
              </w:rPr>
            </w:pPr>
          </w:p>
        </w:tc>
        <w:tc>
          <w:tcPr>
            <w:tcW w:w="2200" w:type="dxa"/>
            <w:vAlign w:val="bottom"/>
            <w:tcBorders>
              <w:bottom w:val="single" w:sz="8" w:color="D0EBF2"/>
            </w:tcBorders>
            <w:shd w:val="clear" w:color="auto" w:fill="D0EBF2"/>
          </w:tcPr>
          <w:p>
            <w:pPr>
              <w:ind w:left="60"/>
              <w:spacing w:after="0"/>
              <w:rPr>
                <w:sz w:val="20"/>
                <w:szCs w:val="20"/>
                <w:color w:val="auto"/>
              </w:rPr>
            </w:pPr>
            <w:r>
              <w:rPr>
                <w:rFonts w:ascii="Times New Roman" w:cs="Times New Roman" w:eastAsia="Times New Roman" w:hAnsi="Times New Roman"/>
                <w:sz w:val="15"/>
                <w:szCs w:val="15"/>
                <w:color w:val="231F20"/>
              </w:rPr>
              <w:t>12/2029)</w:t>
            </w:r>
          </w:p>
        </w:tc>
        <w:tc>
          <w:tcPr>
            <w:tcW w:w="800" w:type="dxa"/>
            <w:vAlign w:val="bottom"/>
            <w:tcBorders>
              <w:bottom w:val="single" w:sz="8" w:color="D0EBF2"/>
            </w:tcBorders>
            <w:shd w:val="clear" w:color="auto" w:fill="D0EBF2"/>
          </w:tcPr>
          <w:p>
            <w:pPr>
              <w:spacing w:after="0"/>
              <w:rPr>
                <w:sz w:val="16"/>
                <w:szCs w:val="16"/>
                <w:color w:val="auto"/>
              </w:rPr>
            </w:pPr>
          </w:p>
        </w:tc>
        <w:tc>
          <w:tcPr>
            <w:tcW w:w="1000" w:type="dxa"/>
            <w:vAlign w:val="bottom"/>
            <w:tcBorders>
              <w:bottom w:val="single" w:sz="8" w:color="D0EBF2"/>
            </w:tcBorders>
            <w:shd w:val="clear" w:color="auto" w:fill="D0EBF2"/>
          </w:tcPr>
          <w:p>
            <w:pPr>
              <w:jc w:val="right"/>
              <w:ind w:right="44"/>
              <w:spacing w:after="0"/>
              <w:rPr>
                <w:sz w:val="20"/>
                <w:szCs w:val="20"/>
                <w:color w:val="auto"/>
              </w:rPr>
            </w:pPr>
            <w:r>
              <w:rPr>
                <w:rFonts w:ascii="Times New Roman" w:cs="Times New Roman" w:eastAsia="Times New Roman" w:hAnsi="Times New Roman"/>
                <w:sz w:val="15"/>
                <w:szCs w:val="15"/>
                <w:color w:val="231F20"/>
              </w:rPr>
              <w:t>7.00%</w:t>
            </w:r>
          </w:p>
        </w:tc>
        <w:tc>
          <w:tcPr>
            <w:tcW w:w="1060" w:type="dxa"/>
            <w:vAlign w:val="bottom"/>
            <w:tcBorders>
              <w:bottom w:val="single" w:sz="8" w:color="D0EBF2"/>
            </w:tcBorders>
            <w:shd w:val="clear" w:color="auto" w:fill="D0EBF2"/>
          </w:tcPr>
          <w:p>
            <w:pPr>
              <w:spacing w:after="0"/>
              <w:rPr>
                <w:sz w:val="16"/>
                <w:szCs w:val="16"/>
                <w:color w:val="auto"/>
              </w:rPr>
            </w:pPr>
          </w:p>
        </w:tc>
        <w:tc>
          <w:tcPr>
            <w:tcW w:w="100" w:type="dxa"/>
            <w:vAlign w:val="bottom"/>
            <w:tcBorders>
              <w:bottom w:val="single" w:sz="8" w:color="231F20"/>
            </w:tcBorders>
            <w:shd w:val="clear" w:color="auto" w:fill="D0EBF2"/>
          </w:tcPr>
          <w:p>
            <w:pPr>
              <w:spacing w:after="0"/>
              <w:rPr>
                <w:sz w:val="16"/>
                <w:szCs w:val="16"/>
                <w:color w:val="auto"/>
              </w:rPr>
            </w:pPr>
          </w:p>
        </w:tc>
        <w:tc>
          <w:tcPr>
            <w:tcW w:w="900" w:type="dxa"/>
            <w:vAlign w:val="bottom"/>
            <w:tcBorders>
              <w:bottom w:val="single" w:sz="8" w:color="231F20"/>
            </w:tcBorders>
            <w:shd w:val="clear" w:color="auto" w:fill="D0EBF2"/>
          </w:tcPr>
          <w:p>
            <w:pPr>
              <w:spacing w:after="0"/>
              <w:rPr>
                <w:sz w:val="16"/>
                <w:szCs w:val="16"/>
                <w:color w:val="auto"/>
              </w:rPr>
            </w:pPr>
          </w:p>
        </w:tc>
        <w:tc>
          <w:tcPr>
            <w:tcW w:w="80" w:type="dxa"/>
            <w:vAlign w:val="bottom"/>
            <w:tcBorders>
              <w:bottom w:val="single" w:sz="8" w:color="D0EBF2"/>
            </w:tcBorders>
            <w:shd w:val="clear" w:color="auto" w:fill="D0EBF2"/>
          </w:tcPr>
          <w:p>
            <w:pPr>
              <w:spacing w:after="0"/>
              <w:rPr>
                <w:sz w:val="16"/>
                <w:szCs w:val="16"/>
                <w:color w:val="auto"/>
              </w:rPr>
            </w:pPr>
          </w:p>
        </w:tc>
        <w:tc>
          <w:tcPr>
            <w:tcW w:w="100" w:type="dxa"/>
            <w:vAlign w:val="bottom"/>
            <w:tcBorders>
              <w:bottom w:val="single" w:sz="8" w:color="231F20"/>
            </w:tcBorders>
            <w:shd w:val="clear" w:color="auto" w:fill="D0EBF2"/>
          </w:tcPr>
          <w:p>
            <w:pPr>
              <w:spacing w:after="0"/>
              <w:rPr>
                <w:sz w:val="16"/>
                <w:szCs w:val="16"/>
                <w:color w:val="auto"/>
              </w:rPr>
            </w:pPr>
          </w:p>
        </w:tc>
        <w:tc>
          <w:tcPr>
            <w:tcW w:w="1500" w:type="dxa"/>
            <w:vAlign w:val="bottom"/>
            <w:tcBorders>
              <w:bottom w:val="single" w:sz="8" w:color="231F20"/>
            </w:tcBorders>
            <w:shd w:val="clear" w:color="auto" w:fill="D0EBF2"/>
          </w:tcPr>
          <w:p>
            <w:pPr>
              <w:spacing w:after="0"/>
              <w:rPr>
                <w:sz w:val="16"/>
                <w:szCs w:val="16"/>
                <w:color w:val="auto"/>
              </w:rPr>
            </w:pPr>
          </w:p>
        </w:tc>
        <w:tc>
          <w:tcPr>
            <w:tcW w:w="100" w:type="dxa"/>
            <w:vAlign w:val="bottom"/>
            <w:tcBorders>
              <w:bottom w:val="single" w:sz="8" w:color="D0EBF2"/>
            </w:tcBorders>
            <w:shd w:val="clear" w:color="auto" w:fill="D0EBF2"/>
          </w:tcPr>
          <w:p>
            <w:pPr>
              <w:spacing w:after="0"/>
              <w:rPr>
                <w:sz w:val="16"/>
                <w:szCs w:val="16"/>
                <w:color w:val="auto"/>
              </w:rPr>
            </w:pPr>
          </w:p>
        </w:tc>
        <w:tc>
          <w:tcPr>
            <w:tcW w:w="860" w:type="dxa"/>
            <w:vAlign w:val="bottom"/>
            <w:tcBorders>
              <w:bottom w:val="single" w:sz="8" w:color="231F20"/>
            </w:tcBorders>
            <w:shd w:val="clear" w:color="auto" w:fill="D0EBF2"/>
          </w:tcPr>
          <w:p>
            <w:pPr>
              <w:spacing w:after="0"/>
              <w:rPr>
                <w:sz w:val="16"/>
                <w:szCs w:val="16"/>
                <w:color w:val="auto"/>
              </w:rPr>
            </w:pPr>
          </w:p>
        </w:tc>
      </w:tr>
      <w:tr>
        <w:trPr>
          <w:trHeight w:val="176"/>
        </w:trPr>
        <w:tc>
          <w:tcPr>
            <w:tcW w:w="1580" w:type="dxa"/>
            <w:vAlign w:val="bottom"/>
            <w:tcBorders>
              <w:bottom w:val="single" w:sz="8" w:color="D0EBF2"/>
            </w:tcBorders>
            <w:shd w:val="clear" w:color="auto" w:fill="FDFDFC"/>
          </w:tcPr>
          <w:p>
            <w:pPr>
              <w:spacing w:after="0"/>
              <w:rPr>
                <w:sz w:val="15"/>
                <w:szCs w:val="15"/>
                <w:color w:val="auto"/>
              </w:rPr>
            </w:pPr>
          </w:p>
        </w:tc>
        <w:tc>
          <w:tcPr>
            <w:tcW w:w="2200" w:type="dxa"/>
            <w:vAlign w:val="bottom"/>
            <w:tcBorders>
              <w:bottom w:val="single" w:sz="8" w:color="D0EBF2"/>
            </w:tcBorders>
            <w:shd w:val="clear" w:color="auto" w:fill="FDFDFC"/>
          </w:tcPr>
          <w:p>
            <w:pPr>
              <w:spacing w:after="0"/>
              <w:rPr>
                <w:sz w:val="15"/>
                <w:szCs w:val="15"/>
                <w:color w:val="auto"/>
              </w:rPr>
            </w:pPr>
          </w:p>
        </w:tc>
        <w:tc>
          <w:tcPr>
            <w:tcW w:w="800" w:type="dxa"/>
            <w:vAlign w:val="bottom"/>
            <w:tcBorders>
              <w:bottom w:val="single" w:sz="8" w:color="D0EBF2"/>
            </w:tcBorders>
            <w:shd w:val="clear" w:color="auto" w:fill="FDFDFC"/>
          </w:tcPr>
          <w:p>
            <w:pPr>
              <w:spacing w:after="0"/>
              <w:rPr>
                <w:sz w:val="15"/>
                <w:szCs w:val="15"/>
                <w:color w:val="auto"/>
              </w:rPr>
            </w:pPr>
          </w:p>
        </w:tc>
        <w:tc>
          <w:tcPr>
            <w:tcW w:w="1000" w:type="dxa"/>
            <w:vAlign w:val="bottom"/>
            <w:tcBorders>
              <w:bottom w:val="single" w:sz="8" w:color="D0EBF2"/>
            </w:tcBorders>
            <w:shd w:val="clear" w:color="auto" w:fill="FDFDFC"/>
          </w:tcPr>
          <w:p>
            <w:pPr>
              <w:spacing w:after="0"/>
              <w:rPr>
                <w:sz w:val="15"/>
                <w:szCs w:val="15"/>
                <w:color w:val="auto"/>
              </w:rPr>
            </w:pPr>
          </w:p>
        </w:tc>
        <w:tc>
          <w:tcPr>
            <w:tcW w:w="1060" w:type="dxa"/>
            <w:vAlign w:val="bottom"/>
            <w:tcBorders>
              <w:bottom w:val="single" w:sz="8" w:color="D0EBF2"/>
            </w:tcBorders>
            <w:shd w:val="clear" w:color="auto" w:fill="FDFDFC"/>
          </w:tcPr>
          <w:p>
            <w:pPr>
              <w:spacing w:after="0"/>
              <w:rPr>
                <w:sz w:val="15"/>
                <w:szCs w:val="15"/>
                <w:color w:val="auto"/>
              </w:rPr>
            </w:pPr>
          </w:p>
        </w:tc>
        <w:tc>
          <w:tcPr>
            <w:tcW w:w="1000" w:type="dxa"/>
            <w:vAlign w:val="bottom"/>
            <w:tcBorders>
              <w:bottom w:val="single" w:sz="8" w:color="231F20"/>
            </w:tcBorders>
            <w:gridSpan w:val="2"/>
            <w:shd w:val="clear" w:color="auto" w:fill="FDFDFC"/>
          </w:tcPr>
          <w:p>
            <w:pPr>
              <w:jc w:val="right"/>
              <w:spacing w:after="0"/>
              <w:rPr>
                <w:sz w:val="20"/>
                <w:szCs w:val="20"/>
                <w:color w:val="auto"/>
              </w:rPr>
            </w:pPr>
            <w:r>
              <w:rPr>
                <w:rFonts w:ascii="Times New Roman" w:cs="Times New Roman" w:eastAsia="Times New Roman" w:hAnsi="Times New Roman"/>
                <w:sz w:val="15"/>
                <w:szCs w:val="15"/>
                <w:color w:val="231F20"/>
              </w:rPr>
              <w:t>85,126</w:t>
            </w:r>
          </w:p>
        </w:tc>
        <w:tc>
          <w:tcPr>
            <w:tcW w:w="80" w:type="dxa"/>
            <w:vAlign w:val="bottom"/>
            <w:tcBorders>
              <w:bottom w:val="single" w:sz="8" w:color="D0EBF2"/>
            </w:tcBorders>
            <w:shd w:val="clear" w:color="auto" w:fill="FDFDFC"/>
          </w:tcPr>
          <w:p>
            <w:pPr>
              <w:spacing w:after="0"/>
              <w:rPr>
                <w:sz w:val="15"/>
                <w:szCs w:val="15"/>
                <w:color w:val="auto"/>
              </w:rPr>
            </w:pPr>
          </w:p>
        </w:tc>
        <w:tc>
          <w:tcPr>
            <w:tcW w:w="1600" w:type="dxa"/>
            <w:vAlign w:val="bottom"/>
            <w:tcBorders>
              <w:bottom w:val="single" w:sz="8" w:color="231F20"/>
            </w:tcBorders>
            <w:gridSpan w:val="2"/>
            <w:shd w:val="clear" w:color="auto" w:fill="FDFDFC"/>
          </w:tcPr>
          <w:p>
            <w:pPr>
              <w:jc w:val="right"/>
              <w:spacing w:after="0"/>
              <w:rPr>
                <w:sz w:val="20"/>
                <w:szCs w:val="20"/>
                <w:color w:val="auto"/>
              </w:rPr>
            </w:pPr>
            <w:r>
              <w:rPr>
                <w:rFonts w:ascii="Times New Roman" w:cs="Times New Roman" w:eastAsia="Times New Roman" w:hAnsi="Times New Roman"/>
                <w:sz w:val="15"/>
                <w:szCs w:val="15"/>
                <w:color w:val="231F20"/>
              </w:rPr>
              <w:t>87,084</w:t>
            </w:r>
          </w:p>
        </w:tc>
        <w:tc>
          <w:tcPr>
            <w:tcW w:w="100" w:type="dxa"/>
            <w:vAlign w:val="bottom"/>
            <w:tcBorders>
              <w:bottom w:val="single" w:sz="8" w:color="D0EBF2"/>
            </w:tcBorders>
            <w:shd w:val="clear" w:color="auto" w:fill="FDFDFC"/>
          </w:tcPr>
          <w:p>
            <w:pPr>
              <w:spacing w:after="0"/>
              <w:rPr>
                <w:sz w:val="15"/>
                <w:szCs w:val="15"/>
                <w:color w:val="auto"/>
              </w:rPr>
            </w:pPr>
          </w:p>
        </w:tc>
        <w:tc>
          <w:tcPr>
            <w:tcW w:w="860" w:type="dxa"/>
            <w:vAlign w:val="bottom"/>
            <w:tcBorders>
              <w:bottom w:val="single" w:sz="8" w:color="231F20"/>
            </w:tcBorders>
            <w:shd w:val="clear" w:color="auto" w:fill="FDFDFC"/>
          </w:tcPr>
          <w:p>
            <w:pPr>
              <w:jc w:val="right"/>
              <w:spacing w:after="0"/>
              <w:rPr>
                <w:sz w:val="20"/>
                <w:szCs w:val="20"/>
                <w:color w:val="auto"/>
              </w:rPr>
            </w:pPr>
            <w:r>
              <w:rPr>
                <w:rFonts w:ascii="Times New Roman" w:cs="Times New Roman" w:eastAsia="Times New Roman" w:hAnsi="Times New Roman"/>
                <w:sz w:val="15"/>
                <w:szCs w:val="15"/>
                <w:color w:val="231F20"/>
              </w:rPr>
              <w:t>5.4%</w:t>
            </w:r>
          </w:p>
        </w:tc>
      </w:tr>
      <w:tr>
        <w:trPr>
          <w:trHeight w:val="176"/>
        </w:trPr>
        <w:tc>
          <w:tcPr>
            <w:tcW w:w="1580" w:type="dxa"/>
            <w:vAlign w:val="bottom"/>
            <w:shd w:val="clear" w:color="auto" w:fill="D0EBF2"/>
          </w:tcPr>
          <w:p>
            <w:pPr>
              <w:spacing w:after="0"/>
              <w:rPr>
                <w:sz w:val="20"/>
                <w:szCs w:val="20"/>
                <w:color w:val="auto"/>
              </w:rPr>
            </w:pPr>
            <w:r>
              <w:rPr>
                <w:rFonts w:ascii="Times New Roman" w:cs="Times New Roman" w:eastAsia="Times New Roman" w:hAnsi="Times New Roman"/>
                <w:sz w:val="15"/>
                <w:szCs w:val="15"/>
                <w:b w:val="1"/>
                <w:bCs w:val="1"/>
                <w:color w:val="231F20"/>
              </w:rPr>
              <w:t>Other</w:t>
            </w:r>
          </w:p>
        </w:tc>
        <w:tc>
          <w:tcPr>
            <w:tcW w:w="2200" w:type="dxa"/>
            <w:vAlign w:val="bottom"/>
            <w:shd w:val="clear" w:color="auto" w:fill="D0EBF2"/>
          </w:tcPr>
          <w:p>
            <w:pPr>
              <w:spacing w:after="0"/>
              <w:rPr>
                <w:sz w:val="15"/>
                <w:szCs w:val="15"/>
                <w:color w:val="auto"/>
              </w:rPr>
            </w:pPr>
          </w:p>
        </w:tc>
        <w:tc>
          <w:tcPr>
            <w:tcW w:w="800" w:type="dxa"/>
            <w:vAlign w:val="bottom"/>
            <w:shd w:val="clear" w:color="auto" w:fill="D0EBF2"/>
          </w:tcPr>
          <w:p>
            <w:pPr>
              <w:spacing w:after="0"/>
              <w:rPr>
                <w:sz w:val="15"/>
                <w:szCs w:val="15"/>
                <w:color w:val="auto"/>
              </w:rPr>
            </w:pPr>
          </w:p>
        </w:tc>
        <w:tc>
          <w:tcPr>
            <w:tcW w:w="1000" w:type="dxa"/>
            <w:vAlign w:val="bottom"/>
            <w:shd w:val="clear" w:color="auto" w:fill="D0EBF2"/>
          </w:tcPr>
          <w:p>
            <w:pPr>
              <w:spacing w:after="0"/>
              <w:rPr>
                <w:sz w:val="15"/>
                <w:szCs w:val="15"/>
                <w:color w:val="auto"/>
              </w:rPr>
            </w:pPr>
          </w:p>
        </w:tc>
        <w:tc>
          <w:tcPr>
            <w:tcW w:w="1060" w:type="dxa"/>
            <w:vAlign w:val="bottom"/>
            <w:shd w:val="clear" w:color="auto" w:fill="D0EBF2"/>
          </w:tcPr>
          <w:p>
            <w:pPr>
              <w:spacing w:after="0"/>
              <w:rPr>
                <w:sz w:val="15"/>
                <w:szCs w:val="15"/>
                <w:color w:val="auto"/>
              </w:rPr>
            </w:pPr>
          </w:p>
        </w:tc>
        <w:tc>
          <w:tcPr>
            <w:tcW w:w="100" w:type="dxa"/>
            <w:vAlign w:val="bottom"/>
            <w:shd w:val="clear" w:color="auto" w:fill="D0EBF2"/>
          </w:tcPr>
          <w:p>
            <w:pPr>
              <w:spacing w:after="0"/>
              <w:rPr>
                <w:sz w:val="15"/>
                <w:szCs w:val="15"/>
                <w:color w:val="auto"/>
              </w:rPr>
            </w:pPr>
          </w:p>
        </w:tc>
        <w:tc>
          <w:tcPr>
            <w:tcW w:w="900" w:type="dxa"/>
            <w:vAlign w:val="bottom"/>
            <w:shd w:val="clear" w:color="auto" w:fill="D0EBF2"/>
          </w:tcPr>
          <w:p>
            <w:pPr>
              <w:spacing w:after="0"/>
              <w:rPr>
                <w:sz w:val="15"/>
                <w:szCs w:val="15"/>
                <w:color w:val="auto"/>
              </w:rPr>
            </w:pPr>
          </w:p>
        </w:tc>
        <w:tc>
          <w:tcPr>
            <w:tcW w:w="80" w:type="dxa"/>
            <w:vAlign w:val="bottom"/>
            <w:shd w:val="clear" w:color="auto" w:fill="D0EBF2"/>
          </w:tcPr>
          <w:p>
            <w:pPr>
              <w:spacing w:after="0"/>
              <w:rPr>
                <w:sz w:val="15"/>
                <w:szCs w:val="15"/>
                <w:color w:val="auto"/>
              </w:rPr>
            </w:pPr>
          </w:p>
        </w:tc>
        <w:tc>
          <w:tcPr>
            <w:tcW w:w="100" w:type="dxa"/>
            <w:vAlign w:val="bottom"/>
            <w:shd w:val="clear" w:color="auto" w:fill="D0EBF2"/>
          </w:tcPr>
          <w:p>
            <w:pPr>
              <w:spacing w:after="0"/>
              <w:rPr>
                <w:sz w:val="15"/>
                <w:szCs w:val="15"/>
                <w:color w:val="auto"/>
              </w:rPr>
            </w:pPr>
          </w:p>
        </w:tc>
        <w:tc>
          <w:tcPr>
            <w:tcW w:w="1500" w:type="dxa"/>
            <w:vAlign w:val="bottom"/>
            <w:shd w:val="clear" w:color="auto" w:fill="D0EBF2"/>
          </w:tcPr>
          <w:p>
            <w:pPr>
              <w:spacing w:after="0"/>
              <w:rPr>
                <w:sz w:val="15"/>
                <w:szCs w:val="15"/>
                <w:color w:val="auto"/>
              </w:rPr>
            </w:pPr>
          </w:p>
        </w:tc>
        <w:tc>
          <w:tcPr>
            <w:tcW w:w="100" w:type="dxa"/>
            <w:vAlign w:val="bottom"/>
            <w:shd w:val="clear" w:color="auto" w:fill="D0EBF2"/>
          </w:tcPr>
          <w:p>
            <w:pPr>
              <w:spacing w:after="0"/>
              <w:rPr>
                <w:sz w:val="15"/>
                <w:szCs w:val="15"/>
                <w:color w:val="auto"/>
              </w:rPr>
            </w:pPr>
          </w:p>
        </w:tc>
        <w:tc>
          <w:tcPr>
            <w:tcW w:w="860" w:type="dxa"/>
            <w:vAlign w:val="bottom"/>
            <w:shd w:val="clear" w:color="auto" w:fill="D0EBF2"/>
          </w:tcPr>
          <w:p>
            <w:pPr>
              <w:spacing w:after="0"/>
              <w:rPr>
                <w:sz w:val="15"/>
                <w:szCs w:val="15"/>
                <w:color w:val="auto"/>
              </w:rPr>
            </w:pPr>
          </w:p>
        </w:tc>
      </w:tr>
      <w:tr>
        <w:trPr>
          <w:trHeight w:val="171"/>
        </w:trPr>
        <w:tc>
          <w:tcPr>
            <w:tcW w:w="1580" w:type="dxa"/>
            <w:vAlign w:val="bottom"/>
            <w:shd w:val="clear" w:color="auto" w:fill="FDFDFC"/>
          </w:tcPr>
          <w:p>
            <w:pPr>
              <w:spacing w:after="0" w:line="172" w:lineRule="exact"/>
              <w:rPr>
                <w:sz w:val="20"/>
                <w:szCs w:val="20"/>
                <w:color w:val="auto"/>
              </w:rPr>
            </w:pPr>
            <w:r>
              <w:rPr>
                <w:rFonts w:ascii="Times New Roman" w:cs="Times New Roman" w:eastAsia="Times New Roman" w:hAnsi="Times New Roman"/>
                <w:sz w:val="15"/>
                <w:szCs w:val="15"/>
                <w:color w:val="231F20"/>
              </w:rPr>
              <w:t>Omnigo Software, LLC</w:t>
            </w:r>
          </w:p>
        </w:tc>
        <w:tc>
          <w:tcPr>
            <w:tcW w:w="2200" w:type="dxa"/>
            <w:vAlign w:val="bottom"/>
            <w:shd w:val="clear" w:color="auto" w:fill="FDFDFC"/>
          </w:tcPr>
          <w:p>
            <w:pPr>
              <w:ind w:left="60"/>
              <w:spacing w:after="0" w:line="172" w:lineRule="exact"/>
              <w:rPr>
                <w:sz w:val="20"/>
                <w:szCs w:val="20"/>
                <w:color w:val="auto"/>
              </w:rPr>
            </w:pPr>
            <w:r>
              <w:rPr>
                <w:rFonts w:ascii="Times New Roman" w:cs="Times New Roman" w:eastAsia="Times New Roman" w:hAnsi="Times New Roman"/>
                <w:sz w:val="15"/>
                <w:szCs w:val="15"/>
                <w:color w:val="231F20"/>
              </w:rPr>
              <w:t>First-lien loan ($39,533 par, due</w:t>
            </w:r>
          </w:p>
        </w:tc>
        <w:tc>
          <w:tcPr>
            <w:tcW w:w="800" w:type="dxa"/>
            <w:vAlign w:val="bottom"/>
            <w:shd w:val="clear" w:color="auto" w:fill="FDFDFC"/>
          </w:tcPr>
          <w:p>
            <w:pPr>
              <w:jc w:val="right"/>
              <w:spacing w:after="0" w:line="172" w:lineRule="exact"/>
              <w:rPr>
                <w:sz w:val="20"/>
                <w:szCs w:val="20"/>
                <w:color w:val="auto"/>
              </w:rPr>
            </w:pPr>
            <w:r>
              <w:rPr>
                <w:rFonts w:ascii="Times New Roman" w:cs="Times New Roman" w:eastAsia="Times New Roman" w:hAnsi="Times New Roman"/>
                <w:sz w:val="15"/>
                <w:szCs w:val="15"/>
                <w:color w:val="231F20"/>
              </w:rPr>
              <w:t>3/31/2021</w:t>
            </w:r>
          </w:p>
        </w:tc>
        <w:tc>
          <w:tcPr>
            <w:tcW w:w="1000" w:type="dxa"/>
            <w:vAlign w:val="bottom"/>
            <w:shd w:val="clear" w:color="auto" w:fill="FDFDFC"/>
          </w:tcPr>
          <w:p>
            <w:pPr>
              <w:jc w:val="right"/>
              <w:ind w:right="44"/>
              <w:spacing w:after="0" w:line="172" w:lineRule="exact"/>
              <w:rPr>
                <w:sz w:val="20"/>
                <w:szCs w:val="20"/>
                <w:color w:val="auto"/>
              </w:rPr>
            </w:pPr>
            <w:r>
              <w:rPr>
                <w:rFonts w:ascii="Times New Roman" w:cs="Times New Roman" w:eastAsia="Times New Roman" w:hAnsi="Times New Roman"/>
                <w:sz w:val="15"/>
                <w:szCs w:val="15"/>
                <w:color w:val="231F20"/>
              </w:rPr>
              <w:t>SOFR +</w:t>
            </w:r>
          </w:p>
        </w:tc>
        <w:tc>
          <w:tcPr>
            <w:tcW w:w="1060" w:type="dxa"/>
            <w:vAlign w:val="bottom"/>
            <w:shd w:val="clear" w:color="auto" w:fill="FDFDFC"/>
          </w:tcPr>
          <w:p>
            <w:pPr>
              <w:jc w:val="right"/>
              <w:ind w:right="64"/>
              <w:spacing w:after="0" w:line="172" w:lineRule="exact"/>
              <w:rPr>
                <w:sz w:val="20"/>
                <w:szCs w:val="20"/>
                <w:color w:val="auto"/>
              </w:rPr>
            </w:pPr>
            <w:r>
              <w:rPr>
                <w:rFonts w:ascii="Times New Roman" w:cs="Times New Roman" w:eastAsia="Times New Roman" w:hAnsi="Times New Roman"/>
                <w:sz w:val="15"/>
                <w:szCs w:val="15"/>
                <w:color w:val="231F20"/>
              </w:rPr>
              <w:t>9.86%</w:t>
            </w:r>
          </w:p>
        </w:tc>
        <w:tc>
          <w:tcPr>
            <w:tcW w:w="1000" w:type="dxa"/>
            <w:vAlign w:val="bottom"/>
            <w:gridSpan w:val="2"/>
            <w:shd w:val="clear" w:color="auto" w:fill="FDFDFC"/>
          </w:tcPr>
          <w:p>
            <w:pPr>
              <w:jc w:val="right"/>
              <w:spacing w:after="0" w:line="172" w:lineRule="exact"/>
              <w:rPr>
                <w:sz w:val="20"/>
                <w:szCs w:val="20"/>
                <w:color w:val="auto"/>
              </w:rPr>
            </w:pPr>
            <w:r>
              <w:rPr>
                <w:rFonts w:ascii="Times New Roman" w:cs="Times New Roman" w:eastAsia="Times New Roman" w:hAnsi="Times New Roman"/>
                <w:sz w:val="15"/>
                <w:szCs w:val="15"/>
                <w:color w:val="231F20"/>
              </w:rPr>
              <w:t>39,244</w:t>
            </w:r>
          </w:p>
        </w:tc>
        <w:tc>
          <w:tcPr>
            <w:tcW w:w="80" w:type="dxa"/>
            <w:vAlign w:val="bottom"/>
            <w:shd w:val="clear" w:color="auto" w:fill="FDFDFC"/>
          </w:tcPr>
          <w:p>
            <w:pPr>
              <w:spacing w:after="0"/>
              <w:rPr>
                <w:sz w:val="14"/>
                <w:szCs w:val="14"/>
                <w:color w:val="auto"/>
              </w:rPr>
            </w:pPr>
          </w:p>
        </w:tc>
        <w:tc>
          <w:tcPr>
            <w:tcW w:w="1600" w:type="dxa"/>
            <w:vAlign w:val="bottom"/>
            <w:gridSpan w:val="2"/>
            <w:shd w:val="clear" w:color="auto" w:fill="FDFDFC"/>
          </w:tcPr>
          <w:p>
            <w:pPr>
              <w:jc w:val="right"/>
              <w:spacing w:after="0" w:line="172" w:lineRule="exact"/>
              <w:rPr>
                <w:sz w:val="20"/>
                <w:szCs w:val="20"/>
                <w:color w:val="auto"/>
              </w:rPr>
            </w:pPr>
            <w:r>
              <w:rPr>
                <w:rFonts w:ascii="Times New Roman" w:cs="Times New Roman" w:eastAsia="Times New Roman" w:hAnsi="Times New Roman"/>
                <w:sz w:val="15"/>
                <w:szCs w:val="15"/>
                <w:color w:val="231F20"/>
              </w:rPr>
              <w:t>39,533</w:t>
            </w:r>
          </w:p>
        </w:tc>
        <w:tc>
          <w:tcPr>
            <w:tcW w:w="100" w:type="dxa"/>
            <w:vAlign w:val="bottom"/>
            <w:shd w:val="clear" w:color="auto" w:fill="FDFDFC"/>
          </w:tcPr>
          <w:p>
            <w:pPr>
              <w:spacing w:after="0"/>
              <w:rPr>
                <w:sz w:val="14"/>
                <w:szCs w:val="14"/>
                <w:color w:val="auto"/>
              </w:rPr>
            </w:pPr>
          </w:p>
        </w:tc>
        <w:tc>
          <w:tcPr>
            <w:tcW w:w="860" w:type="dxa"/>
            <w:vAlign w:val="bottom"/>
            <w:shd w:val="clear" w:color="auto" w:fill="FDFDFC"/>
          </w:tcPr>
          <w:p>
            <w:pPr>
              <w:jc w:val="right"/>
              <w:spacing w:after="0" w:line="172" w:lineRule="exact"/>
              <w:rPr>
                <w:sz w:val="20"/>
                <w:szCs w:val="20"/>
                <w:color w:val="auto"/>
              </w:rPr>
            </w:pPr>
            <w:r>
              <w:rPr>
                <w:rFonts w:ascii="Times New Roman" w:cs="Times New Roman" w:eastAsia="Times New Roman" w:hAnsi="Times New Roman"/>
                <w:sz w:val="15"/>
                <w:szCs w:val="15"/>
                <w:color w:val="231F20"/>
              </w:rPr>
              <w:t>2.5%</w:t>
            </w:r>
          </w:p>
        </w:tc>
      </w:tr>
      <w:tr>
        <w:trPr>
          <w:trHeight w:val="169"/>
        </w:trPr>
        <w:tc>
          <w:tcPr>
            <w:tcW w:w="1580" w:type="dxa"/>
            <w:vAlign w:val="bottom"/>
            <w:tcBorders>
              <w:bottom w:val="single" w:sz="8" w:color="FDFDFC"/>
            </w:tcBorders>
            <w:shd w:val="clear" w:color="auto" w:fill="FDFDFC"/>
          </w:tcPr>
          <w:p>
            <w:pPr>
              <w:spacing w:after="0"/>
              <w:rPr>
                <w:sz w:val="20"/>
                <w:szCs w:val="20"/>
                <w:color w:val="auto"/>
              </w:rPr>
            </w:pPr>
            <w:r>
              <w:rPr>
                <w:rFonts w:ascii="Times New Roman" w:cs="Times New Roman" w:eastAsia="Times New Roman" w:hAnsi="Times New Roman"/>
                <w:sz w:val="9"/>
                <w:szCs w:val="9"/>
                <w:color w:val="231F20"/>
              </w:rPr>
              <w:t>(3)(5)</w:t>
            </w:r>
          </w:p>
        </w:tc>
        <w:tc>
          <w:tcPr>
            <w:tcW w:w="2200" w:type="dxa"/>
            <w:vAlign w:val="bottom"/>
            <w:tcBorders>
              <w:bottom w:val="single" w:sz="8" w:color="FDFDFC"/>
            </w:tcBorders>
            <w:shd w:val="clear" w:color="auto" w:fill="FDFDFC"/>
          </w:tcPr>
          <w:p>
            <w:pPr>
              <w:ind w:left="60"/>
              <w:spacing w:after="0" w:line="169" w:lineRule="exact"/>
              <w:rPr>
                <w:sz w:val="20"/>
                <w:szCs w:val="20"/>
                <w:color w:val="auto"/>
              </w:rPr>
            </w:pPr>
            <w:r>
              <w:rPr>
                <w:rFonts w:ascii="Times New Roman" w:cs="Times New Roman" w:eastAsia="Times New Roman" w:hAnsi="Times New Roman"/>
                <w:sz w:val="15"/>
                <w:szCs w:val="15"/>
                <w:color w:val="231F20"/>
              </w:rPr>
              <w:t>3/2027)</w:t>
            </w:r>
          </w:p>
        </w:tc>
        <w:tc>
          <w:tcPr>
            <w:tcW w:w="800" w:type="dxa"/>
            <w:vAlign w:val="bottom"/>
            <w:tcBorders>
              <w:bottom w:val="single" w:sz="8" w:color="FDFDFC"/>
            </w:tcBorders>
            <w:shd w:val="clear" w:color="auto" w:fill="FDFDFC"/>
          </w:tcPr>
          <w:p>
            <w:pPr>
              <w:spacing w:after="0"/>
              <w:rPr>
                <w:sz w:val="14"/>
                <w:szCs w:val="14"/>
                <w:color w:val="auto"/>
              </w:rPr>
            </w:pPr>
          </w:p>
        </w:tc>
        <w:tc>
          <w:tcPr>
            <w:tcW w:w="1000" w:type="dxa"/>
            <w:vAlign w:val="bottom"/>
            <w:tcBorders>
              <w:bottom w:val="single" w:sz="8" w:color="FDFDFC"/>
            </w:tcBorders>
            <w:shd w:val="clear" w:color="auto" w:fill="FDFDFC"/>
          </w:tcPr>
          <w:p>
            <w:pPr>
              <w:jc w:val="right"/>
              <w:ind w:right="44"/>
              <w:spacing w:after="0" w:line="169" w:lineRule="exact"/>
              <w:rPr>
                <w:sz w:val="20"/>
                <w:szCs w:val="20"/>
                <w:color w:val="auto"/>
              </w:rPr>
            </w:pPr>
            <w:r>
              <w:rPr>
                <w:rFonts w:ascii="Times New Roman" w:cs="Times New Roman" w:eastAsia="Times New Roman" w:hAnsi="Times New Roman"/>
                <w:sz w:val="15"/>
                <w:szCs w:val="15"/>
                <w:color w:val="231F20"/>
              </w:rPr>
              <w:t>5.50%</w:t>
            </w:r>
          </w:p>
        </w:tc>
        <w:tc>
          <w:tcPr>
            <w:tcW w:w="1060" w:type="dxa"/>
            <w:vAlign w:val="bottom"/>
            <w:tcBorders>
              <w:bottom w:val="single" w:sz="8" w:color="FDFDFC"/>
            </w:tcBorders>
            <w:shd w:val="clear" w:color="auto" w:fill="FDFDFC"/>
          </w:tcPr>
          <w:p>
            <w:pPr>
              <w:spacing w:after="0"/>
              <w:rPr>
                <w:sz w:val="14"/>
                <w:szCs w:val="14"/>
                <w:color w:val="auto"/>
              </w:rPr>
            </w:pPr>
          </w:p>
        </w:tc>
        <w:tc>
          <w:tcPr>
            <w:tcW w:w="100" w:type="dxa"/>
            <w:vAlign w:val="bottom"/>
            <w:tcBorders>
              <w:bottom w:val="single" w:sz="8" w:color="FDFDFC"/>
            </w:tcBorders>
            <w:shd w:val="clear" w:color="auto" w:fill="FDFDFC"/>
          </w:tcPr>
          <w:p>
            <w:pPr>
              <w:spacing w:after="0"/>
              <w:rPr>
                <w:sz w:val="14"/>
                <w:szCs w:val="14"/>
                <w:color w:val="auto"/>
              </w:rPr>
            </w:pPr>
          </w:p>
        </w:tc>
        <w:tc>
          <w:tcPr>
            <w:tcW w:w="900" w:type="dxa"/>
            <w:vAlign w:val="bottom"/>
            <w:tcBorders>
              <w:bottom w:val="single" w:sz="8" w:color="FDFDFC"/>
            </w:tcBorders>
            <w:shd w:val="clear" w:color="auto" w:fill="FDFDFC"/>
          </w:tcPr>
          <w:p>
            <w:pPr>
              <w:spacing w:after="0"/>
              <w:rPr>
                <w:sz w:val="14"/>
                <w:szCs w:val="14"/>
                <w:color w:val="auto"/>
              </w:rPr>
            </w:pPr>
          </w:p>
        </w:tc>
        <w:tc>
          <w:tcPr>
            <w:tcW w:w="80" w:type="dxa"/>
            <w:vAlign w:val="bottom"/>
            <w:tcBorders>
              <w:bottom w:val="single" w:sz="8" w:color="FDFDFC"/>
            </w:tcBorders>
            <w:shd w:val="clear" w:color="auto" w:fill="FDFDFC"/>
          </w:tcPr>
          <w:p>
            <w:pPr>
              <w:spacing w:after="0"/>
              <w:rPr>
                <w:sz w:val="14"/>
                <w:szCs w:val="14"/>
                <w:color w:val="auto"/>
              </w:rPr>
            </w:pPr>
          </w:p>
        </w:tc>
        <w:tc>
          <w:tcPr>
            <w:tcW w:w="100" w:type="dxa"/>
            <w:vAlign w:val="bottom"/>
            <w:tcBorders>
              <w:bottom w:val="single" w:sz="8" w:color="FDFDFC"/>
            </w:tcBorders>
            <w:shd w:val="clear" w:color="auto" w:fill="FDFDFC"/>
          </w:tcPr>
          <w:p>
            <w:pPr>
              <w:spacing w:after="0"/>
              <w:rPr>
                <w:sz w:val="14"/>
                <w:szCs w:val="14"/>
                <w:color w:val="auto"/>
              </w:rPr>
            </w:pPr>
          </w:p>
        </w:tc>
        <w:tc>
          <w:tcPr>
            <w:tcW w:w="1500" w:type="dxa"/>
            <w:vAlign w:val="bottom"/>
            <w:tcBorders>
              <w:bottom w:val="single" w:sz="8" w:color="FDFDFC"/>
            </w:tcBorders>
            <w:shd w:val="clear" w:color="auto" w:fill="FDFDFC"/>
          </w:tcPr>
          <w:p>
            <w:pPr>
              <w:spacing w:after="0"/>
              <w:rPr>
                <w:sz w:val="14"/>
                <w:szCs w:val="14"/>
                <w:color w:val="auto"/>
              </w:rPr>
            </w:pPr>
          </w:p>
        </w:tc>
        <w:tc>
          <w:tcPr>
            <w:tcW w:w="100" w:type="dxa"/>
            <w:vAlign w:val="bottom"/>
            <w:tcBorders>
              <w:bottom w:val="single" w:sz="8" w:color="FDFDFC"/>
            </w:tcBorders>
            <w:shd w:val="clear" w:color="auto" w:fill="FDFDFC"/>
          </w:tcPr>
          <w:p>
            <w:pPr>
              <w:spacing w:after="0"/>
              <w:rPr>
                <w:sz w:val="14"/>
                <w:szCs w:val="14"/>
                <w:color w:val="auto"/>
              </w:rPr>
            </w:pPr>
          </w:p>
        </w:tc>
        <w:tc>
          <w:tcPr>
            <w:tcW w:w="860" w:type="dxa"/>
            <w:vAlign w:val="bottom"/>
            <w:tcBorders>
              <w:bottom w:val="single" w:sz="8" w:color="FDFDFC"/>
            </w:tcBorders>
            <w:shd w:val="clear" w:color="auto" w:fill="FDFDFC"/>
          </w:tcPr>
          <w:p>
            <w:pPr>
              <w:spacing w:after="0"/>
              <w:rPr>
                <w:sz w:val="14"/>
                <w:szCs w:val="14"/>
                <w:color w:val="auto"/>
              </w:rPr>
            </w:pPr>
          </w:p>
        </w:tc>
      </w:tr>
      <w:tr>
        <w:trPr>
          <w:trHeight w:val="171"/>
        </w:trPr>
        <w:tc>
          <w:tcPr>
            <w:tcW w:w="1580" w:type="dxa"/>
            <w:vAlign w:val="bottom"/>
            <w:shd w:val="clear" w:color="auto" w:fill="D0EBF2"/>
          </w:tcPr>
          <w:p>
            <w:pPr>
              <w:spacing w:after="0" w:line="172" w:lineRule="exact"/>
              <w:rPr>
                <w:sz w:val="20"/>
                <w:szCs w:val="20"/>
                <w:color w:val="auto"/>
              </w:rPr>
            </w:pPr>
            <w:r>
              <w:rPr>
                <w:rFonts w:ascii="Times New Roman" w:cs="Times New Roman" w:eastAsia="Times New Roman" w:hAnsi="Times New Roman"/>
                <w:sz w:val="15"/>
                <w:szCs w:val="15"/>
                <w:color w:val="231F20"/>
              </w:rPr>
              <w:t xml:space="preserve">Scorpio Bidco </w:t>
            </w:r>
            <w:r>
              <w:rPr>
                <w:rFonts w:ascii="Times New Roman" w:cs="Times New Roman" w:eastAsia="Times New Roman" w:hAnsi="Times New Roman"/>
                <w:sz w:val="9"/>
                <w:szCs w:val="9"/>
                <w:color w:val="231F20"/>
              </w:rPr>
              <w:t>(3)(4)</w:t>
            </w:r>
          </w:p>
        </w:tc>
        <w:tc>
          <w:tcPr>
            <w:tcW w:w="2200" w:type="dxa"/>
            <w:vAlign w:val="bottom"/>
            <w:shd w:val="clear" w:color="auto" w:fill="D0EBF2"/>
          </w:tcPr>
          <w:p>
            <w:pPr>
              <w:ind w:left="60"/>
              <w:spacing w:after="0" w:line="172" w:lineRule="exact"/>
              <w:rPr>
                <w:sz w:val="20"/>
                <w:szCs w:val="20"/>
                <w:color w:val="auto"/>
              </w:rPr>
            </w:pPr>
            <w:r>
              <w:rPr>
                <w:rFonts w:ascii="Times New Roman" w:cs="Times New Roman" w:eastAsia="Times New Roman" w:hAnsi="Times New Roman"/>
                <w:sz w:val="15"/>
                <w:szCs w:val="15"/>
                <w:color w:val="231F20"/>
              </w:rPr>
              <w:t>First-lien loan (EUR 2,511 par,</w:t>
            </w:r>
          </w:p>
        </w:tc>
        <w:tc>
          <w:tcPr>
            <w:tcW w:w="800" w:type="dxa"/>
            <w:vAlign w:val="bottom"/>
            <w:shd w:val="clear" w:color="auto" w:fill="D0EBF2"/>
          </w:tcPr>
          <w:p>
            <w:pPr>
              <w:jc w:val="right"/>
              <w:spacing w:after="0" w:line="172" w:lineRule="exact"/>
              <w:rPr>
                <w:sz w:val="20"/>
                <w:szCs w:val="20"/>
                <w:color w:val="auto"/>
              </w:rPr>
            </w:pPr>
            <w:r>
              <w:rPr>
                <w:rFonts w:ascii="Times New Roman" w:cs="Times New Roman" w:eastAsia="Times New Roman" w:hAnsi="Times New Roman"/>
                <w:sz w:val="15"/>
                <w:szCs w:val="15"/>
                <w:color w:val="231F20"/>
              </w:rPr>
              <w:t>4/4/2024</w:t>
            </w:r>
          </w:p>
        </w:tc>
        <w:tc>
          <w:tcPr>
            <w:tcW w:w="1000" w:type="dxa"/>
            <w:vAlign w:val="bottom"/>
            <w:shd w:val="clear" w:color="auto" w:fill="D0EBF2"/>
          </w:tcPr>
          <w:p>
            <w:pPr>
              <w:jc w:val="right"/>
              <w:ind w:right="44"/>
              <w:spacing w:after="0" w:line="172" w:lineRule="exact"/>
              <w:rPr>
                <w:sz w:val="20"/>
                <w:szCs w:val="20"/>
                <w:color w:val="auto"/>
              </w:rPr>
            </w:pPr>
            <w:r>
              <w:rPr>
                <w:rFonts w:ascii="Times New Roman" w:cs="Times New Roman" w:eastAsia="Times New Roman" w:hAnsi="Times New Roman"/>
                <w:sz w:val="15"/>
                <w:szCs w:val="15"/>
                <w:color w:val="231F20"/>
              </w:rPr>
              <w:t>E + 5.75%</w:t>
            </w:r>
          </w:p>
        </w:tc>
        <w:tc>
          <w:tcPr>
            <w:tcW w:w="1060" w:type="dxa"/>
            <w:vAlign w:val="bottom"/>
            <w:shd w:val="clear" w:color="auto" w:fill="D0EBF2"/>
          </w:tcPr>
          <w:p>
            <w:pPr>
              <w:jc w:val="right"/>
              <w:ind w:right="64"/>
              <w:spacing w:after="0" w:line="172" w:lineRule="exact"/>
              <w:rPr>
                <w:sz w:val="20"/>
                <w:szCs w:val="20"/>
                <w:color w:val="auto"/>
              </w:rPr>
            </w:pPr>
            <w:r>
              <w:rPr>
                <w:rFonts w:ascii="Times New Roman" w:cs="Times New Roman" w:eastAsia="Times New Roman" w:hAnsi="Times New Roman"/>
                <w:sz w:val="15"/>
                <w:szCs w:val="15"/>
                <w:color w:val="231F20"/>
              </w:rPr>
              <w:t>8.43%</w:t>
            </w:r>
          </w:p>
        </w:tc>
        <w:tc>
          <w:tcPr>
            <w:tcW w:w="1000" w:type="dxa"/>
            <w:vAlign w:val="bottom"/>
            <w:gridSpan w:val="2"/>
            <w:shd w:val="clear" w:color="auto" w:fill="D0EBF2"/>
          </w:tcPr>
          <w:p>
            <w:pPr>
              <w:jc w:val="right"/>
              <w:spacing w:after="0" w:line="172" w:lineRule="exact"/>
              <w:rPr>
                <w:sz w:val="20"/>
                <w:szCs w:val="20"/>
                <w:color w:val="auto"/>
              </w:rPr>
            </w:pPr>
            <w:r>
              <w:rPr>
                <w:rFonts w:ascii="Times New Roman" w:cs="Times New Roman" w:eastAsia="Times New Roman" w:hAnsi="Times New Roman"/>
                <w:sz w:val="15"/>
                <w:szCs w:val="15"/>
                <w:color w:val="231F20"/>
              </w:rPr>
              <w:t>2,671</w:t>
            </w:r>
          </w:p>
        </w:tc>
        <w:tc>
          <w:tcPr>
            <w:tcW w:w="1680" w:type="dxa"/>
            <w:vAlign w:val="bottom"/>
            <w:gridSpan w:val="3"/>
            <w:shd w:val="clear" w:color="auto" w:fill="D0EBF2"/>
          </w:tcPr>
          <w:p>
            <w:pPr>
              <w:jc w:val="right"/>
              <w:spacing w:after="0" w:line="172" w:lineRule="exact"/>
              <w:rPr>
                <w:sz w:val="20"/>
                <w:szCs w:val="20"/>
                <w:color w:val="auto"/>
              </w:rPr>
            </w:pPr>
            <w:r>
              <w:rPr>
                <w:rFonts w:ascii="Times New Roman" w:cs="Times New Roman" w:eastAsia="Times New Roman" w:hAnsi="Times New Roman"/>
                <w:sz w:val="15"/>
                <w:szCs w:val="15"/>
                <w:color w:val="231F20"/>
              </w:rPr>
              <w:t>2,584</w:t>
            </w:r>
          </w:p>
        </w:tc>
        <w:tc>
          <w:tcPr>
            <w:tcW w:w="960" w:type="dxa"/>
            <w:vAlign w:val="bottom"/>
            <w:gridSpan w:val="2"/>
            <w:shd w:val="clear" w:color="auto" w:fill="D0EBF2"/>
          </w:tcPr>
          <w:p>
            <w:pPr>
              <w:jc w:val="right"/>
              <w:spacing w:after="0" w:line="172" w:lineRule="exact"/>
              <w:rPr>
                <w:sz w:val="20"/>
                <w:szCs w:val="20"/>
                <w:color w:val="auto"/>
              </w:rPr>
            </w:pPr>
            <w:r>
              <w:rPr>
                <w:rFonts w:ascii="Times New Roman" w:cs="Times New Roman" w:eastAsia="Times New Roman" w:hAnsi="Times New Roman"/>
                <w:sz w:val="15"/>
                <w:szCs w:val="15"/>
                <w:color w:val="231F20"/>
              </w:rPr>
              <w:t>0.2%</w:t>
            </w:r>
          </w:p>
        </w:tc>
      </w:tr>
      <w:tr>
        <w:trPr>
          <w:trHeight w:val="189"/>
        </w:trPr>
        <w:tc>
          <w:tcPr>
            <w:tcW w:w="1580" w:type="dxa"/>
            <w:vAlign w:val="bottom"/>
            <w:shd w:val="clear" w:color="auto" w:fill="D0EBF2"/>
          </w:tcPr>
          <w:p>
            <w:pPr>
              <w:spacing w:after="0"/>
              <w:rPr>
                <w:sz w:val="16"/>
                <w:szCs w:val="16"/>
                <w:color w:val="auto"/>
              </w:rPr>
            </w:pPr>
          </w:p>
        </w:tc>
        <w:tc>
          <w:tcPr>
            <w:tcW w:w="2200" w:type="dxa"/>
            <w:vAlign w:val="bottom"/>
            <w:shd w:val="clear" w:color="auto" w:fill="D0EBF2"/>
          </w:tcPr>
          <w:p>
            <w:pPr>
              <w:ind w:left="60"/>
              <w:spacing w:after="0"/>
              <w:rPr>
                <w:sz w:val="20"/>
                <w:szCs w:val="20"/>
                <w:color w:val="auto"/>
              </w:rPr>
            </w:pPr>
            <w:r>
              <w:rPr>
                <w:rFonts w:ascii="Times New Roman" w:cs="Times New Roman" w:eastAsia="Times New Roman" w:hAnsi="Times New Roman"/>
                <w:sz w:val="15"/>
                <w:szCs w:val="15"/>
                <w:color w:val="231F20"/>
              </w:rPr>
              <w:t>due 4/2031)</w:t>
            </w:r>
          </w:p>
        </w:tc>
        <w:tc>
          <w:tcPr>
            <w:tcW w:w="800" w:type="dxa"/>
            <w:vAlign w:val="bottom"/>
            <w:shd w:val="clear" w:color="auto" w:fill="D0EBF2"/>
          </w:tcPr>
          <w:p>
            <w:pPr>
              <w:spacing w:after="0"/>
              <w:rPr>
                <w:sz w:val="16"/>
                <w:szCs w:val="16"/>
                <w:color w:val="auto"/>
              </w:rPr>
            </w:pPr>
          </w:p>
        </w:tc>
        <w:tc>
          <w:tcPr>
            <w:tcW w:w="1000" w:type="dxa"/>
            <w:vAlign w:val="bottom"/>
            <w:shd w:val="clear" w:color="auto" w:fill="D0EBF2"/>
          </w:tcPr>
          <w:p>
            <w:pPr>
              <w:spacing w:after="0"/>
              <w:rPr>
                <w:sz w:val="16"/>
                <w:szCs w:val="16"/>
                <w:color w:val="auto"/>
              </w:rPr>
            </w:pPr>
          </w:p>
        </w:tc>
        <w:tc>
          <w:tcPr>
            <w:tcW w:w="1060" w:type="dxa"/>
            <w:vAlign w:val="bottom"/>
            <w:shd w:val="clear" w:color="auto" w:fill="D0EBF2"/>
          </w:tcPr>
          <w:p>
            <w:pPr>
              <w:spacing w:after="0"/>
              <w:rPr>
                <w:sz w:val="16"/>
                <w:szCs w:val="16"/>
                <w:color w:val="auto"/>
              </w:rPr>
            </w:pPr>
          </w:p>
        </w:tc>
        <w:tc>
          <w:tcPr>
            <w:tcW w:w="100" w:type="dxa"/>
            <w:vAlign w:val="bottom"/>
            <w:shd w:val="clear" w:color="auto" w:fill="D0EBF2"/>
          </w:tcPr>
          <w:p>
            <w:pPr>
              <w:spacing w:after="0"/>
              <w:rPr>
                <w:sz w:val="16"/>
                <w:szCs w:val="16"/>
                <w:color w:val="auto"/>
              </w:rPr>
            </w:pPr>
          </w:p>
        </w:tc>
        <w:tc>
          <w:tcPr>
            <w:tcW w:w="900" w:type="dxa"/>
            <w:vAlign w:val="bottom"/>
            <w:shd w:val="clear" w:color="auto" w:fill="D0EBF2"/>
          </w:tcPr>
          <w:p>
            <w:pPr>
              <w:spacing w:after="0"/>
              <w:rPr>
                <w:sz w:val="16"/>
                <w:szCs w:val="16"/>
                <w:color w:val="auto"/>
              </w:rPr>
            </w:pPr>
          </w:p>
        </w:tc>
        <w:tc>
          <w:tcPr>
            <w:tcW w:w="80" w:type="dxa"/>
            <w:vAlign w:val="bottom"/>
            <w:shd w:val="clear" w:color="auto" w:fill="D0EBF2"/>
          </w:tcPr>
          <w:p>
            <w:pPr>
              <w:spacing w:after="0"/>
              <w:rPr>
                <w:sz w:val="16"/>
                <w:szCs w:val="16"/>
                <w:color w:val="auto"/>
              </w:rPr>
            </w:pPr>
          </w:p>
        </w:tc>
        <w:tc>
          <w:tcPr>
            <w:tcW w:w="100" w:type="dxa"/>
            <w:vAlign w:val="bottom"/>
            <w:shd w:val="clear" w:color="auto" w:fill="D0EBF2"/>
          </w:tcPr>
          <w:p>
            <w:pPr>
              <w:spacing w:after="0"/>
              <w:rPr>
                <w:sz w:val="16"/>
                <w:szCs w:val="16"/>
                <w:color w:val="auto"/>
              </w:rPr>
            </w:pPr>
          </w:p>
        </w:tc>
        <w:tc>
          <w:tcPr>
            <w:tcW w:w="1500" w:type="dxa"/>
            <w:vAlign w:val="bottom"/>
            <w:shd w:val="clear" w:color="auto" w:fill="D0EBF2"/>
          </w:tcPr>
          <w:p>
            <w:pPr>
              <w:jc w:val="right"/>
              <w:spacing w:after="0"/>
              <w:rPr>
                <w:sz w:val="20"/>
                <w:szCs w:val="20"/>
                <w:color w:val="auto"/>
              </w:rPr>
            </w:pPr>
            <w:r>
              <w:rPr>
                <w:rFonts w:ascii="Times New Roman" w:cs="Times New Roman" w:eastAsia="Times New Roman" w:hAnsi="Times New Roman"/>
                <w:sz w:val="15"/>
                <w:szCs w:val="15"/>
                <w:color w:val="231F20"/>
              </w:rPr>
              <w:t>(EUR 2,496)</w:t>
            </w:r>
          </w:p>
        </w:tc>
        <w:tc>
          <w:tcPr>
            <w:tcW w:w="100" w:type="dxa"/>
            <w:vAlign w:val="bottom"/>
            <w:shd w:val="clear" w:color="auto" w:fill="D0EBF2"/>
          </w:tcPr>
          <w:p>
            <w:pPr>
              <w:spacing w:after="0"/>
              <w:rPr>
                <w:sz w:val="16"/>
                <w:szCs w:val="16"/>
                <w:color w:val="auto"/>
              </w:rPr>
            </w:pPr>
          </w:p>
        </w:tc>
        <w:tc>
          <w:tcPr>
            <w:tcW w:w="860" w:type="dxa"/>
            <w:vAlign w:val="bottom"/>
            <w:shd w:val="clear" w:color="auto" w:fill="D0EBF2"/>
          </w:tcPr>
          <w:p>
            <w:pPr>
              <w:spacing w:after="0"/>
              <w:rPr>
                <w:sz w:val="16"/>
                <w:szCs w:val="16"/>
                <w:color w:val="auto"/>
              </w:rPr>
            </w:pPr>
          </w:p>
        </w:tc>
      </w:tr>
      <w:tr>
        <w:trPr>
          <w:trHeight w:val="171"/>
        </w:trPr>
        <w:tc>
          <w:tcPr>
            <w:tcW w:w="1580" w:type="dxa"/>
            <w:vAlign w:val="bottom"/>
            <w:shd w:val="clear" w:color="auto" w:fill="FDFDFC"/>
          </w:tcPr>
          <w:p>
            <w:pPr>
              <w:spacing w:after="0" w:line="172" w:lineRule="exact"/>
              <w:rPr>
                <w:sz w:val="20"/>
                <w:szCs w:val="20"/>
                <w:color w:val="auto"/>
              </w:rPr>
            </w:pPr>
            <w:r>
              <w:rPr>
                <w:rFonts w:ascii="Times New Roman" w:cs="Times New Roman" w:eastAsia="Times New Roman" w:hAnsi="Times New Roman"/>
                <w:sz w:val="15"/>
                <w:szCs w:val="15"/>
                <w:color w:val="231F20"/>
              </w:rPr>
              <w:t>Sky Bidco S.p.A.</w:t>
            </w:r>
            <w:r>
              <w:rPr>
                <w:rFonts w:ascii="Times New Roman" w:cs="Times New Roman" w:eastAsia="Times New Roman" w:hAnsi="Times New Roman"/>
                <w:sz w:val="9"/>
                <w:szCs w:val="9"/>
                <w:color w:val="231F20"/>
              </w:rPr>
              <w:t>(3)(4)</w:t>
            </w:r>
          </w:p>
        </w:tc>
        <w:tc>
          <w:tcPr>
            <w:tcW w:w="2200" w:type="dxa"/>
            <w:vAlign w:val="bottom"/>
            <w:shd w:val="clear" w:color="auto" w:fill="FDFDFC"/>
          </w:tcPr>
          <w:p>
            <w:pPr>
              <w:ind w:left="60"/>
              <w:spacing w:after="0" w:line="172" w:lineRule="exact"/>
              <w:rPr>
                <w:sz w:val="20"/>
                <w:szCs w:val="20"/>
                <w:color w:val="auto"/>
              </w:rPr>
            </w:pPr>
            <w:r>
              <w:rPr>
                <w:rFonts w:ascii="Times New Roman" w:cs="Times New Roman" w:eastAsia="Times New Roman" w:hAnsi="Times New Roman"/>
                <w:sz w:val="15"/>
                <w:szCs w:val="15"/>
                <w:color w:val="231F20"/>
              </w:rPr>
              <w:t>First-lien note (EUR 6,368 par,</w:t>
            </w:r>
          </w:p>
        </w:tc>
        <w:tc>
          <w:tcPr>
            <w:tcW w:w="800" w:type="dxa"/>
            <w:vAlign w:val="bottom"/>
            <w:shd w:val="clear" w:color="auto" w:fill="FDFDFC"/>
          </w:tcPr>
          <w:p>
            <w:pPr>
              <w:jc w:val="right"/>
              <w:spacing w:after="0" w:line="172" w:lineRule="exact"/>
              <w:rPr>
                <w:sz w:val="20"/>
                <w:szCs w:val="20"/>
                <w:color w:val="auto"/>
              </w:rPr>
            </w:pPr>
            <w:r>
              <w:rPr>
                <w:rFonts w:ascii="Times New Roman" w:cs="Times New Roman" w:eastAsia="Times New Roman" w:hAnsi="Times New Roman"/>
                <w:sz w:val="15"/>
                <w:szCs w:val="15"/>
                <w:color w:val="231F20"/>
              </w:rPr>
              <w:t>10/29/2024</w:t>
            </w:r>
          </w:p>
        </w:tc>
        <w:tc>
          <w:tcPr>
            <w:tcW w:w="1000" w:type="dxa"/>
            <w:vAlign w:val="bottom"/>
            <w:shd w:val="clear" w:color="auto" w:fill="FDFDFC"/>
          </w:tcPr>
          <w:p>
            <w:pPr>
              <w:jc w:val="right"/>
              <w:ind w:right="44"/>
              <w:spacing w:after="0" w:line="172" w:lineRule="exact"/>
              <w:rPr>
                <w:sz w:val="20"/>
                <w:szCs w:val="20"/>
                <w:color w:val="auto"/>
              </w:rPr>
            </w:pPr>
            <w:r>
              <w:rPr>
                <w:rFonts w:ascii="Times New Roman" w:cs="Times New Roman" w:eastAsia="Times New Roman" w:hAnsi="Times New Roman"/>
                <w:sz w:val="15"/>
                <w:szCs w:val="15"/>
                <w:color w:val="231F20"/>
              </w:rPr>
              <w:t>E + 5.25%</w:t>
            </w:r>
          </w:p>
        </w:tc>
        <w:tc>
          <w:tcPr>
            <w:tcW w:w="1060" w:type="dxa"/>
            <w:vAlign w:val="bottom"/>
            <w:shd w:val="clear" w:color="auto" w:fill="FDFDFC"/>
          </w:tcPr>
          <w:p>
            <w:pPr>
              <w:jc w:val="right"/>
              <w:ind w:right="64"/>
              <w:spacing w:after="0" w:line="172" w:lineRule="exact"/>
              <w:rPr>
                <w:sz w:val="20"/>
                <w:szCs w:val="20"/>
                <w:color w:val="auto"/>
              </w:rPr>
            </w:pPr>
            <w:r>
              <w:rPr>
                <w:rFonts w:ascii="Times New Roman" w:cs="Times New Roman" w:eastAsia="Times New Roman" w:hAnsi="Times New Roman"/>
                <w:sz w:val="15"/>
                <w:szCs w:val="15"/>
                <w:color w:val="231F20"/>
              </w:rPr>
              <w:t>8.20%</w:t>
            </w:r>
          </w:p>
        </w:tc>
        <w:tc>
          <w:tcPr>
            <w:tcW w:w="1000" w:type="dxa"/>
            <w:vAlign w:val="bottom"/>
            <w:gridSpan w:val="2"/>
            <w:shd w:val="clear" w:color="auto" w:fill="FDFDFC"/>
          </w:tcPr>
          <w:p>
            <w:pPr>
              <w:jc w:val="right"/>
              <w:spacing w:after="0" w:line="172" w:lineRule="exact"/>
              <w:rPr>
                <w:sz w:val="20"/>
                <w:szCs w:val="20"/>
                <w:color w:val="auto"/>
              </w:rPr>
            </w:pPr>
            <w:r>
              <w:rPr>
                <w:rFonts w:ascii="Times New Roman" w:cs="Times New Roman" w:eastAsia="Times New Roman" w:hAnsi="Times New Roman"/>
                <w:sz w:val="15"/>
                <w:szCs w:val="15"/>
                <w:color w:val="231F20"/>
              </w:rPr>
              <w:t>6,671</w:t>
            </w:r>
          </w:p>
        </w:tc>
        <w:tc>
          <w:tcPr>
            <w:tcW w:w="1680" w:type="dxa"/>
            <w:vAlign w:val="bottom"/>
            <w:gridSpan w:val="3"/>
            <w:shd w:val="clear" w:color="auto" w:fill="FDFDFC"/>
          </w:tcPr>
          <w:p>
            <w:pPr>
              <w:jc w:val="right"/>
              <w:spacing w:after="0" w:line="172" w:lineRule="exact"/>
              <w:rPr>
                <w:sz w:val="20"/>
                <w:szCs w:val="20"/>
                <w:color w:val="auto"/>
              </w:rPr>
            </w:pPr>
            <w:r>
              <w:rPr>
                <w:rFonts w:ascii="Times New Roman" w:cs="Times New Roman" w:eastAsia="Times New Roman" w:hAnsi="Times New Roman"/>
                <w:sz w:val="15"/>
                <w:szCs w:val="15"/>
                <w:color w:val="231F20"/>
              </w:rPr>
              <w:t>6,415</w:t>
            </w:r>
          </w:p>
        </w:tc>
        <w:tc>
          <w:tcPr>
            <w:tcW w:w="960" w:type="dxa"/>
            <w:vAlign w:val="bottom"/>
            <w:gridSpan w:val="2"/>
            <w:shd w:val="clear" w:color="auto" w:fill="FDFDFC"/>
          </w:tcPr>
          <w:p>
            <w:pPr>
              <w:jc w:val="right"/>
              <w:spacing w:after="0" w:line="172" w:lineRule="exact"/>
              <w:rPr>
                <w:sz w:val="20"/>
                <w:szCs w:val="20"/>
                <w:color w:val="auto"/>
              </w:rPr>
            </w:pPr>
            <w:r>
              <w:rPr>
                <w:rFonts w:ascii="Times New Roman" w:cs="Times New Roman" w:eastAsia="Times New Roman" w:hAnsi="Times New Roman"/>
                <w:sz w:val="15"/>
                <w:szCs w:val="15"/>
                <w:color w:val="231F20"/>
              </w:rPr>
              <w:t>0.4%</w:t>
            </w:r>
          </w:p>
        </w:tc>
      </w:tr>
      <w:tr>
        <w:trPr>
          <w:trHeight w:val="189"/>
        </w:trPr>
        <w:tc>
          <w:tcPr>
            <w:tcW w:w="1580" w:type="dxa"/>
            <w:vAlign w:val="bottom"/>
            <w:shd w:val="clear" w:color="auto" w:fill="FDFDFC"/>
          </w:tcPr>
          <w:p>
            <w:pPr>
              <w:spacing w:after="0"/>
              <w:rPr>
                <w:sz w:val="16"/>
                <w:szCs w:val="16"/>
                <w:color w:val="auto"/>
              </w:rPr>
            </w:pPr>
          </w:p>
        </w:tc>
        <w:tc>
          <w:tcPr>
            <w:tcW w:w="2200" w:type="dxa"/>
            <w:vAlign w:val="bottom"/>
            <w:shd w:val="clear" w:color="auto" w:fill="FDFDFC"/>
          </w:tcPr>
          <w:p>
            <w:pPr>
              <w:ind w:left="60"/>
              <w:spacing w:after="0"/>
              <w:rPr>
                <w:sz w:val="20"/>
                <w:szCs w:val="20"/>
                <w:color w:val="auto"/>
              </w:rPr>
            </w:pPr>
            <w:r>
              <w:rPr>
                <w:rFonts w:ascii="Times New Roman" w:cs="Times New Roman" w:eastAsia="Times New Roman" w:hAnsi="Times New Roman"/>
                <w:sz w:val="15"/>
                <w:szCs w:val="15"/>
                <w:color w:val="231F20"/>
              </w:rPr>
              <w:t>due 10/2031)</w:t>
            </w:r>
          </w:p>
        </w:tc>
        <w:tc>
          <w:tcPr>
            <w:tcW w:w="800" w:type="dxa"/>
            <w:vAlign w:val="bottom"/>
            <w:shd w:val="clear" w:color="auto" w:fill="FDFDFC"/>
          </w:tcPr>
          <w:p>
            <w:pPr>
              <w:spacing w:after="0"/>
              <w:rPr>
                <w:sz w:val="16"/>
                <w:szCs w:val="16"/>
                <w:color w:val="auto"/>
              </w:rPr>
            </w:pPr>
          </w:p>
        </w:tc>
        <w:tc>
          <w:tcPr>
            <w:tcW w:w="1000" w:type="dxa"/>
            <w:vAlign w:val="bottom"/>
            <w:shd w:val="clear" w:color="auto" w:fill="FDFDFC"/>
          </w:tcPr>
          <w:p>
            <w:pPr>
              <w:spacing w:after="0"/>
              <w:rPr>
                <w:sz w:val="16"/>
                <w:szCs w:val="16"/>
                <w:color w:val="auto"/>
              </w:rPr>
            </w:pPr>
          </w:p>
        </w:tc>
        <w:tc>
          <w:tcPr>
            <w:tcW w:w="1060" w:type="dxa"/>
            <w:vAlign w:val="bottom"/>
            <w:shd w:val="clear" w:color="auto" w:fill="FDFDFC"/>
          </w:tcPr>
          <w:p>
            <w:pPr>
              <w:spacing w:after="0"/>
              <w:rPr>
                <w:sz w:val="16"/>
                <w:szCs w:val="16"/>
                <w:color w:val="auto"/>
              </w:rPr>
            </w:pPr>
          </w:p>
        </w:tc>
        <w:tc>
          <w:tcPr>
            <w:tcW w:w="100" w:type="dxa"/>
            <w:vAlign w:val="bottom"/>
            <w:shd w:val="clear" w:color="auto" w:fill="FDFDFC"/>
          </w:tcPr>
          <w:p>
            <w:pPr>
              <w:spacing w:after="0"/>
              <w:rPr>
                <w:sz w:val="16"/>
                <w:szCs w:val="16"/>
                <w:color w:val="auto"/>
              </w:rPr>
            </w:pPr>
          </w:p>
        </w:tc>
        <w:tc>
          <w:tcPr>
            <w:tcW w:w="900" w:type="dxa"/>
            <w:vAlign w:val="bottom"/>
            <w:shd w:val="clear" w:color="auto" w:fill="FDFDFC"/>
          </w:tcPr>
          <w:p>
            <w:pPr>
              <w:spacing w:after="0"/>
              <w:rPr>
                <w:sz w:val="16"/>
                <w:szCs w:val="16"/>
                <w:color w:val="auto"/>
              </w:rPr>
            </w:pPr>
          </w:p>
        </w:tc>
        <w:tc>
          <w:tcPr>
            <w:tcW w:w="80" w:type="dxa"/>
            <w:vAlign w:val="bottom"/>
            <w:shd w:val="clear" w:color="auto" w:fill="FDFDFC"/>
          </w:tcPr>
          <w:p>
            <w:pPr>
              <w:spacing w:after="0"/>
              <w:rPr>
                <w:sz w:val="16"/>
                <w:szCs w:val="16"/>
                <w:color w:val="auto"/>
              </w:rPr>
            </w:pPr>
          </w:p>
        </w:tc>
        <w:tc>
          <w:tcPr>
            <w:tcW w:w="100" w:type="dxa"/>
            <w:vAlign w:val="bottom"/>
            <w:shd w:val="clear" w:color="auto" w:fill="FDFDFC"/>
          </w:tcPr>
          <w:p>
            <w:pPr>
              <w:spacing w:after="0"/>
              <w:rPr>
                <w:sz w:val="16"/>
                <w:szCs w:val="16"/>
                <w:color w:val="auto"/>
              </w:rPr>
            </w:pPr>
          </w:p>
        </w:tc>
        <w:tc>
          <w:tcPr>
            <w:tcW w:w="1500" w:type="dxa"/>
            <w:vAlign w:val="bottom"/>
            <w:shd w:val="clear" w:color="auto" w:fill="FDFDFC"/>
          </w:tcPr>
          <w:p>
            <w:pPr>
              <w:jc w:val="right"/>
              <w:spacing w:after="0"/>
              <w:rPr>
                <w:sz w:val="20"/>
                <w:szCs w:val="20"/>
                <w:color w:val="auto"/>
              </w:rPr>
            </w:pPr>
            <w:r>
              <w:rPr>
                <w:rFonts w:ascii="Times New Roman" w:cs="Times New Roman" w:eastAsia="Times New Roman" w:hAnsi="Times New Roman"/>
                <w:sz w:val="15"/>
                <w:szCs w:val="15"/>
                <w:color w:val="231F20"/>
              </w:rPr>
              <w:t>(EUR 6,195)</w:t>
            </w:r>
          </w:p>
        </w:tc>
        <w:tc>
          <w:tcPr>
            <w:tcW w:w="100" w:type="dxa"/>
            <w:vAlign w:val="bottom"/>
            <w:shd w:val="clear" w:color="auto" w:fill="FDFDFC"/>
          </w:tcPr>
          <w:p>
            <w:pPr>
              <w:spacing w:after="0"/>
              <w:rPr>
                <w:sz w:val="16"/>
                <w:szCs w:val="16"/>
                <w:color w:val="auto"/>
              </w:rPr>
            </w:pPr>
          </w:p>
        </w:tc>
        <w:tc>
          <w:tcPr>
            <w:tcW w:w="860" w:type="dxa"/>
            <w:vAlign w:val="bottom"/>
            <w:shd w:val="clear" w:color="auto" w:fill="FDFDFC"/>
          </w:tcPr>
          <w:p>
            <w:pPr>
              <w:spacing w:after="0"/>
              <w:rPr>
                <w:sz w:val="16"/>
                <w:szCs w:val="16"/>
                <w:color w:val="auto"/>
              </w:rPr>
            </w:pPr>
          </w:p>
        </w:tc>
      </w:tr>
      <w:tr>
        <w:trPr>
          <w:trHeight w:val="171"/>
        </w:trPr>
        <w:tc>
          <w:tcPr>
            <w:tcW w:w="1580" w:type="dxa"/>
            <w:vAlign w:val="bottom"/>
            <w:shd w:val="clear" w:color="auto" w:fill="D0EBF2"/>
          </w:tcPr>
          <w:p>
            <w:pPr>
              <w:spacing w:after="0"/>
              <w:rPr>
                <w:sz w:val="14"/>
                <w:szCs w:val="14"/>
                <w:color w:val="auto"/>
              </w:rPr>
            </w:pPr>
          </w:p>
        </w:tc>
        <w:tc>
          <w:tcPr>
            <w:tcW w:w="2200" w:type="dxa"/>
            <w:vAlign w:val="bottom"/>
            <w:shd w:val="clear" w:color="auto" w:fill="D0EBF2"/>
          </w:tcPr>
          <w:p>
            <w:pPr>
              <w:ind w:left="60"/>
              <w:spacing w:after="0" w:line="172" w:lineRule="exact"/>
              <w:rPr>
                <w:sz w:val="20"/>
                <w:szCs w:val="20"/>
                <w:color w:val="auto"/>
              </w:rPr>
            </w:pPr>
            <w:r>
              <w:rPr>
                <w:rFonts w:ascii="Times New Roman" w:cs="Times New Roman" w:eastAsia="Times New Roman" w:hAnsi="Times New Roman"/>
                <w:sz w:val="15"/>
                <w:szCs w:val="15"/>
                <w:color w:val="231F20"/>
              </w:rPr>
              <w:t>First-lien note ($14,085 par, due</w:t>
            </w:r>
          </w:p>
        </w:tc>
        <w:tc>
          <w:tcPr>
            <w:tcW w:w="800" w:type="dxa"/>
            <w:vAlign w:val="bottom"/>
            <w:shd w:val="clear" w:color="auto" w:fill="D0EBF2"/>
          </w:tcPr>
          <w:p>
            <w:pPr>
              <w:jc w:val="right"/>
              <w:spacing w:after="0" w:line="172" w:lineRule="exact"/>
              <w:rPr>
                <w:sz w:val="20"/>
                <w:szCs w:val="20"/>
                <w:color w:val="auto"/>
              </w:rPr>
            </w:pPr>
            <w:r>
              <w:rPr>
                <w:rFonts w:ascii="Times New Roman" w:cs="Times New Roman" w:eastAsia="Times New Roman" w:hAnsi="Times New Roman"/>
                <w:sz w:val="15"/>
                <w:szCs w:val="15"/>
                <w:color w:val="231F20"/>
              </w:rPr>
              <w:t>10/29/2024</w:t>
            </w:r>
          </w:p>
        </w:tc>
        <w:tc>
          <w:tcPr>
            <w:tcW w:w="1000" w:type="dxa"/>
            <w:vAlign w:val="bottom"/>
            <w:shd w:val="clear" w:color="auto" w:fill="D0EBF2"/>
          </w:tcPr>
          <w:p>
            <w:pPr>
              <w:jc w:val="right"/>
              <w:ind w:right="44"/>
              <w:spacing w:after="0" w:line="172" w:lineRule="exact"/>
              <w:rPr>
                <w:sz w:val="20"/>
                <w:szCs w:val="20"/>
                <w:color w:val="auto"/>
              </w:rPr>
            </w:pPr>
            <w:r>
              <w:rPr>
                <w:rFonts w:ascii="Times New Roman" w:cs="Times New Roman" w:eastAsia="Times New Roman" w:hAnsi="Times New Roman"/>
                <w:sz w:val="15"/>
                <w:szCs w:val="15"/>
                <w:color w:val="231F20"/>
              </w:rPr>
              <w:t>SOFR +</w:t>
            </w:r>
          </w:p>
        </w:tc>
        <w:tc>
          <w:tcPr>
            <w:tcW w:w="1060" w:type="dxa"/>
            <w:vAlign w:val="bottom"/>
            <w:shd w:val="clear" w:color="auto" w:fill="D0EBF2"/>
          </w:tcPr>
          <w:p>
            <w:pPr>
              <w:jc w:val="right"/>
              <w:ind w:right="64"/>
              <w:spacing w:after="0" w:line="172" w:lineRule="exact"/>
              <w:rPr>
                <w:sz w:val="20"/>
                <w:szCs w:val="20"/>
                <w:color w:val="auto"/>
              </w:rPr>
            </w:pPr>
            <w:r>
              <w:rPr>
                <w:rFonts w:ascii="Times New Roman" w:cs="Times New Roman" w:eastAsia="Times New Roman" w:hAnsi="Times New Roman"/>
                <w:sz w:val="15"/>
                <w:szCs w:val="15"/>
                <w:color w:val="231F20"/>
              </w:rPr>
              <w:t>10.51%</w:t>
            </w:r>
          </w:p>
        </w:tc>
        <w:tc>
          <w:tcPr>
            <w:tcW w:w="1000" w:type="dxa"/>
            <w:vAlign w:val="bottom"/>
            <w:gridSpan w:val="2"/>
            <w:shd w:val="clear" w:color="auto" w:fill="D0EBF2"/>
          </w:tcPr>
          <w:p>
            <w:pPr>
              <w:jc w:val="right"/>
              <w:spacing w:after="0" w:line="172" w:lineRule="exact"/>
              <w:rPr>
                <w:sz w:val="20"/>
                <w:szCs w:val="20"/>
                <w:color w:val="auto"/>
              </w:rPr>
            </w:pPr>
            <w:r>
              <w:rPr>
                <w:rFonts w:ascii="Times New Roman" w:cs="Times New Roman" w:eastAsia="Times New Roman" w:hAnsi="Times New Roman"/>
                <w:sz w:val="15"/>
                <w:szCs w:val="15"/>
                <w:color w:val="231F20"/>
              </w:rPr>
              <w:t>13,810</w:t>
            </w:r>
          </w:p>
        </w:tc>
        <w:tc>
          <w:tcPr>
            <w:tcW w:w="1680" w:type="dxa"/>
            <w:vAlign w:val="bottom"/>
            <w:gridSpan w:val="3"/>
            <w:shd w:val="clear" w:color="auto" w:fill="D0EBF2"/>
          </w:tcPr>
          <w:p>
            <w:pPr>
              <w:jc w:val="right"/>
              <w:spacing w:after="0" w:line="172" w:lineRule="exact"/>
              <w:rPr>
                <w:sz w:val="20"/>
                <w:szCs w:val="20"/>
                <w:color w:val="auto"/>
              </w:rPr>
            </w:pPr>
            <w:r>
              <w:rPr>
                <w:rFonts w:ascii="Times New Roman" w:cs="Times New Roman" w:eastAsia="Times New Roman" w:hAnsi="Times New Roman"/>
                <w:sz w:val="15"/>
                <w:szCs w:val="15"/>
                <w:color w:val="231F20"/>
              </w:rPr>
              <w:t>13,838</w:t>
            </w:r>
          </w:p>
        </w:tc>
        <w:tc>
          <w:tcPr>
            <w:tcW w:w="960" w:type="dxa"/>
            <w:vAlign w:val="bottom"/>
            <w:gridSpan w:val="2"/>
            <w:shd w:val="clear" w:color="auto" w:fill="D0EBF2"/>
          </w:tcPr>
          <w:p>
            <w:pPr>
              <w:jc w:val="right"/>
              <w:spacing w:after="0" w:line="172" w:lineRule="exact"/>
              <w:rPr>
                <w:sz w:val="20"/>
                <w:szCs w:val="20"/>
                <w:color w:val="auto"/>
              </w:rPr>
            </w:pPr>
            <w:r>
              <w:rPr>
                <w:rFonts w:ascii="Times New Roman" w:cs="Times New Roman" w:eastAsia="Times New Roman" w:hAnsi="Times New Roman"/>
                <w:sz w:val="15"/>
                <w:szCs w:val="15"/>
                <w:color w:val="231F20"/>
              </w:rPr>
              <w:t>0.8%</w:t>
            </w:r>
          </w:p>
        </w:tc>
      </w:tr>
      <w:tr>
        <w:trPr>
          <w:trHeight w:val="189"/>
        </w:trPr>
        <w:tc>
          <w:tcPr>
            <w:tcW w:w="1580" w:type="dxa"/>
            <w:vAlign w:val="bottom"/>
            <w:tcBorders>
              <w:bottom w:val="single" w:sz="8" w:color="D0EBF2"/>
            </w:tcBorders>
            <w:shd w:val="clear" w:color="auto" w:fill="D0EBF2"/>
          </w:tcPr>
          <w:p>
            <w:pPr>
              <w:spacing w:after="0"/>
              <w:rPr>
                <w:sz w:val="16"/>
                <w:szCs w:val="16"/>
                <w:color w:val="auto"/>
              </w:rPr>
            </w:pPr>
          </w:p>
        </w:tc>
        <w:tc>
          <w:tcPr>
            <w:tcW w:w="2200" w:type="dxa"/>
            <w:vAlign w:val="bottom"/>
            <w:tcBorders>
              <w:bottom w:val="single" w:sz="8" w:color="D0EBF2"/>
            </w:tcBorders>
            <w:shd w:val="clear" w:color="auto" w:fill="D0EBF2"/>
          </w:tcPr>
          <w:p>
            <w:pPr>
              <w:ind w:left="60"/>
              <w:spacing w:after="0"/>
              <w:rPr>
                <w:sz w:val="20"/>
                <w:szCs w:val="20"/>
                <w:color w:val="auto"/>
              </w:rPr>
            </w:pPr>
            <w:r>
              <w:rPr>
                <w:rFonts w:ascii="Times New Roman" w:cs="Times New Roman" w:eastAsia="Times New Roman" w:hAnsi="Times New Roman"/>
                <w:sz w:val="15"/>
                <w:szCs w:val="15"/>
                <w:color w:val="231F20"/>
              </w:rPr>
              <w:t>10/2031)</w:t>
            </w:r>
          </w:p>
        </w:tc>
        <w:tc>
          <w:tcPr>
            <w:tcW w:w="800" w:type="dxa"/>
            <w:vAlign w:val="bottom"/>
            <w:tcBorders>
              <w:bottom w:val="single" w:sz="8" w:color="D0EBF2"/>
            </w:tcBorders>
            <w:shd w:val="clear" w:color="auto" w:fill="D0EBF2"/>
          </w:tcPr>
          <w:p>
            <w:pPr>
              <w:spacing w:after="0"/>
              <w:rPr>
                <w:sz w:val="16"/>
                <w:szCs w:val="16"/>
                <w:color w:val="auto"/>
              </w:rPr>
            </w:pPr>
          </w:p>
        </w:tc>
        <w:tc>
          <w:tcPr>
            <w:tcW w:w="1000" w:type="dxa"/>
            <w:vAlign w:val="bottom"/>
            <w:tcBorders>
              <w:bottom w:val="single" w:sz="8" w:color="D0EBF2"/>
            </w:tcBorders>
            <w:shd w:val="clear" w:color="auto" w:fill="D0EBF2"/>
          </w:tcPr>
          <w:p>
            <w:pPr>
              <w:jc w:val="right"/>
              <w:ind w:right="44"/>
              <w:spacing w:after="0"/>
              <w:rPr>
                <w:sz w:val="20"/>
                <w:szCs w:val="20"/>
                <w:color w:val="auto"/>
              </w:rPr>
            </w:pPr>
            <w:r>
              <w:rPr>
                <w:rFonts w:ascii="Times New Roman" w:cs="Times New Roman" w:eastAsia="Times New Roman" w:hAnsi="Times New Roman"/>
                <w:sz w:val="15"/>
                <w:szCs w:val="15"/>
                <w:color w:val="231F20"/>
              </w:rPr>
              <w:t>5.25%</w:t>
            </w:r>
          </w:p>
        </w:tc>
        <w:tc>
          <w:tcPr>
            <w:tcW w:w="1060" w:type="dxa"/>
            <w:vAlign w:val="bottom"/>
            <w:tcBorders>
              <w:bottom w:val="single" w:sz="8" w:color="D0EBF2"/>
            </w:tcBorders>
            <w:shd w:val="clear" w:color="auto" w:fill="D0EBF2"/>
          </w:tcPr>
          <w:p>
            <w:pPr>
              <w:spacing w:after="0"/>
              <w:rPr>
                <w:sz w:val="16"/>
                <w:szCs w:val="16"/>
                <w:color w:val="auto"/>
              </w:rPr>
            </w:pPr>
          </w:p>
        </w:tc>
        <w:tc>
          <w:tcPr>
            <w:tcW w:w="100" w:type="dxa"/>
            <w:vAlign w:val="bottom"/>
            <w:tcBorders>
              <w:bottom w:val="single" w:sz="8" w:color="D0EBF2"/>
            </w:tcBorders>
            <w:shd w:val="clear" w:color="auto" w:fill="D0EBF2"/>
          </w:tcPr>
          <w:p>
            <w:pPr>
              <w:spacing w:after="0"/>
              <w:rPr>
                <w:sz w:val="16"/>
                <w:szCs w:val="16"/>
                <w:color w:val="auto"/>
              </w:rPr>
            </w:pPr>
          </w:p>
        </w:tc>
        <w:tc>
          <w:tcPr>
            <w:tcW w:w="900" w:type="dxa"/>
            <w:vAlign w:val="bottom"/>
            <w:tcBorders>
              <w:bottom w:val="single" w:sz="8" w:color="231F20"/>
            </w:tcBorders>
            <w:shd w:val="clear" w:color="auto" w:fill="D0EBF2"/>
          </w:tcPr>
          <w:p>
            <w:pPr>
              <w:spacing w:after="0"/>
              <w:rPr>
                <w:sz w:val="16"/>
                <w:szCs w:val="16"/>
                <w:color w:val="auto"/>
              </w:rPr>
            </w:pPr>
          </w:p>
        </w:tc>
        <w:tc>
          <w:tcPr>
            <w:tcW w:w="80" w:type="dxa"/>
            <w:vAlign w:val="bottom"/>
            <w:tcBorders>
              <w:bottom w:val="single" w:sz="8" w:color="D0EBF2"/>
            </w:tcBorders>
            <w:shd w:val="clear" w:color="auto" w:fill="D0EBF2"/>
          </w:tcPr>
          <w:p>
            <w:pPr>
              <w:spacing w:after="0"/>
              <w:rPr>
                <w:sz w:val="16"/>
                <w:szCs w:val="16"/>
                <w:color w:val="auto"/>
              </w:rPr>
            </w:pPr>
          </w:p>
        </w:tc>
        <w:tc>
          <w:tcPr>
            <w:tcW w:w="100" w:type="dxa"/>
            <w:vAlign w:val="bottom"/>
            <w:tcBorders>
              <w:bottom w:val="single" w:sz="8" w:color="231F20"/>
            </w:tcBorders>
            <w:shd w:val="clear" w:color="auto" w:fill="D0EBF2"/>
          </w:tcPr>
          <w:p>
            <w:pPr>
              <w:spacing w:after="0"/>
              <w:rPr>
                <w:sz w:val="16"/>
                <w:szCs w:val="16"/>
                <w:color w:val="auto"/>
              </w:rPr>
            </w:pPr>
          </w:p>
        </w:tc>
        <w:tc>
          <w:tcPr>
            <w:tcW w:w="1500" w:type="dxa"/>
            <w:vAlign w:val="bottom"/>
            <w:tcBorders>
              <w:bottom w:val="single" w:sz="8" w:color="231F20"/>
            </w:tcBorders>
            <w:shd w:val="clear" w:color="auto" w:fill="D0EBF2"/>
          </w:tcPr>
          <w:p>
            <w:pPr>
              <w:spacing w:after="0"/>
              <w:rPr>
                <w:sz w:val="16"/>
                <w:szCs w:val="16"/>
                <w:color w:val="auto"/>
              </w:rPr>
            </w:pPr>
          </w:p>
        </w:tc>
        <w:tc>
          <w:tcPr>
            <w:tcW w:w="100" w:type="dxa"/>
            <w:vAlign w:val="bottom"/>
            <w:tcBorders>
              <w:bottom w:val="single" w:sz="8" w:color="D0EBF2"/>
            </w:tcBorders>
            <w:shd w:val="clear" w:color="auto" w:fill="D0EBF2"/>
          </w:tcPr>
          <w:p>
            <w:pPr>
              <w:spacing w:after="0"/>
              <w:rPr>
                <w:sz w:val="16"/>
                <w:szCs w:val="16"/>
                <w:color w:val="auto"/>
              </w:rPr>
            </w:pPr>
          </w:p>
        </w:tc>
        <w:tc>
          <w:tcPr>
            <w:tcW w:w="860" w:type="dxa"/>
            <w:vAlign w:val="bottom"/>
            <w:tcBorders>
              <w:bottom w:val="single" w:sz="8" w:color="231F20"/>
            </w:tcBorders>
            <w:shd w:val="clear" w:color="auto" w:fill="D0EBF2"/>
          </w:tcPr>
          <w:p>
            <w:pPr>
              <w:spacing w:after="0"/>
              <w:rPr>
                <w:sz w:val="16"/>
                <w:szCs w:val="16"/>
                <w:color w:val="auto"/>
              </w:rPr>
            </w:pPr>
          </w:p>
        </w:tc>
      </w:tr>
      <w:tr>
        <w:trPr>
          <w:trHeight w:val="176"/>
        </w:trPr>
        <w:tc>
          <w:tcPr>
            <w:tcW w:w="1580" w:type="dxa"/>
            <w:vAlign w:val="bottom"/>
            <w:tcBorders>
              <w:bottom w:val="single" w:sz="8" w:color="D0EBF2"/>
            </w:tcBorders>
            <w:shd w:val="clear" w:color="auto" w:fill="FDFDFC"/>
          </w:tcPr>
          <w:p>
            <w:pPr>
              <w:spacing w:after="0"/>
              <w:rPr>
                <w:sz w:val="15"/>
                <w:szCs w:val="15"/>
                <w:color w:val="auto"/>
              </w:rPr>
            </w:pPr>
          </w:p>
        </w:tc>
        <w:tc>
          <w:tcPr>
            <w:tcW w:w="2200" w:type="dxa"/>
            <w:vAlign w:val="bottom"/>
            <w:tcBorders>
              <w:bottom w:val="single" w:sz="8" w:color="D0EBF2"/>
            </w:tcBorders>
            <w:shd w:val="clear" w:color="auto" w:fill="FDFDFC"/>
          </w:tcPr>
          <w:p>
            <w:pPr>
              <w:spacing w:after="0"/>
              <w:rPr>
                <w:sz w:val="15"/>
                <w:szCs w:val="15"/>
                <w:color w:val="auto"/>
              </w:rPr>
            </w:pPr>
          </w:p>
        </w:tc>
        <w:tc>
          <w:tcPr>
            <w:tcW w:w="800" w:type="dxa"/>
            <w:vAlign w:val="bottom"/>
            <w:tcBorders>
              <w:bottom w:val="single" w:sz="8" w:color="D0EBF2"/>
            </w:tcBorders>
            <w:shd w:val="clear" w:color="auto" w:fill="FDFDFC"/>
          </w:tcPr>
          <w:p>
            <w:pPr>
              <w:spacing w:after="0"/>
              <w:rPr>
                <w:sz w:val="15"/>
                <w:szCs w:val="15"/>
                <w:color w:val="auto"/>
              </w:rPr>
            </w:pPr>
          </w:p>
        </w:tc>
        <w:tc>
          <w:tcPr>
            <w:tcW w:w="1000" w:type="dxa"/>
            <w:vAlign w:val="bottom"/>
            <w:tcBorders>
              <w:bottom w:val="single" w:sz="8" w:color="D0EBF2"/>
            </w:tcBorders>
            <w:shd w:val="clear" w:color="auto" w:fill="FDFDFC"/>
          </w:tcPr>
          <w:p>
            <w:pPr>
              <w:spacing w:after="0"/>
              <w:rPr>
                <w:sz w:val="15"/>
                <w:szCs w:val="15"/>
                <w:color w:val="auto"/>
              </w:rPr>
            </w:pPr>
          </w:p>
        </w:tc>
        <w:tc>
          <w:tcPr>
            <w:tcW w:w="1060" w:type="dxa"/>
            <w:vAlign w:val="bottom"/>
            <w:tcBorders>
              <w:bottom w:val="single" w:sz="8" w:color="D0EBF2"/>
            </w:tcBorders>
            <w:shd w:val="clear" w:color="auto" w:fill="FDFDFC"/>
          </w:tcPr>
          <w:p>
            <w:pPr>
              <w:spacing w:after="0"/>
              <w:rPr>
                <w:sz w:val="15"/>
                <w:szCs w:val="15"/>
                <w:color w:val="auto"/>
              </w:rPr>
            </w:pPr>
          </w:p>
        </w:tc>
        <w:tc>
          <w:tcPr>
            <w:tcW w:w="100" w:type="dxa"/>
            <w:vAlign w:val="bottom"/>
            <w:tcBorders>
              <w:bottom w:val="single" w:sz="8" w:color="D0EBF2"/>
            </w:tcBorders>
            <w:shd w:val="clear" w:color="auto" w:fill="FDFDFC"/>
          </w:tcPr>
          <w:p>
            <w:pPr>
              <w:spacing w:after="0"/>
              <w:rPr>
                <w:sz w:val="15"/>
                <w:szCs w:val="15"/>
                <w:color w:val="auto"/>
              </w:rPr>
            </w:pPr>
          </w:p>
        </w:tc>
        <w:tc>
          <w:tcPr>
            <w:tcW w:w="900" w:type="dxa"/>
            <w:vAlign w:val="bottom"/>
            <w:tcBorders>
              <w:bottom w:val="single" w:sz="8" w:color="231F20"/>
            </w:tcBorders>
            <w:shd w:val="clear" w:color="auto" w:fill="FDFDFC"/>
          </w:tcPr>
          <w:p>
            <w:pPr>
              <w:jc w:val="right"/>
              <w:spacing w:after="0"/>
              <w:rPr>
                <w:sz w:val="20"/>
                <w:szCs w:val="20"/>
                <w:color w:val="auto"/>
              </w:rPr>
            </w:pPr>
            <w:r>
              <w:rPr>
                <w:rFonts w:ascii="Times New Roman" w:cs="Times New Roman" w:eastAsia="Times New Roman" w:hAnsi="Times New Roman"/>
                <w:sz w:val="15"/>
                <w:szCs w:val="15"/>
                <w:color w:val="231F20"/>
              </w:rPr>
              <w:t>62,396</w:t>
            </w:r>
          </w:p>
        </w:tc>
        <w:tc>
          <w:tcPr>
            <w:tcW w:w="80" w:type="dxa"/>
            <w:vAlign w:val="bottom"/>
            <w:tcBorders>
              <w:bottom w:val="single" w:sz="8" w:color="D0EBF2"/>
            </w:tcBorders>
            <w:shd w:val="clear" w:color="auto" w:fill="FDFDFC"/>
          </w:tcPr>
          <w:p>
            <w:pPr>
              <w:spacing w:after="0"/>
              <w:rPr>
                <w:sz w:val="15"/>
                <w:szCs w:val="15"/>
                <w:color w:val="auto"/>
              </w:rPr>
            </w:pPr>
          </w:p>
        </w:tc>
        <w:tc>
          <w:tcPr>
            <w:tcW w:w="1600" w:type="dxa"/>
            <w:vAlign w:val="bottom"/>
            <w:tcBorders>
              <w:bottom w:val="single" w:sz="8" w:color="231F20"/>
            </w:tcBorders>
            <w:gridSpan w:val="2"/>
            <w:shd w:val="clear" w:color="auto" w:fill="FDFDFC"/>
          </w:tcPr>
          <w:p>
            <w:pPr>
              <w:jc w:val="right"/>
              <w:spacing w:after="0"/>
              <w:rPr>
                <w:sz w:val="20"/>
                <w:szCs w:val="20"/>
                <w:color w:val="auto"/>
              </w:rPr>
            </w:pPr>
            <w:r>
              <w:rPr>
                <w:rFonts w:ascii="Times New Roman" w:cs="Times New Roman" w:eastAsia="Times New Roman" w:hAnsi="Times New Roman"/>
                <w:sz w:val="15"/>
                <w:szCs w:val="15"/>
                <w:color w:val="231F20"/>
              </w:rPr>
              <w:t>62,370</w:t>
            </w:r>
          </w:p>
        </w:tc>
        <w:tc>
          <w:tcPr>
            <w:tcW w:w="100" w:type="dxa"/>
            <w:vAlign w:val="bottom"/>
            <w:tcBorders>
              <w:bottom w:val="single" w:sz="8" w:color="D0EBF2"/>
            </w:tcBorders>
            <w:shd w:val="clear" w:color="auto" w:fill="FDFDFC"/>
          </w:tcPr>
          <w:p>
            <w:pPr>
              <w:spacing w:after="0"/>
              <w:rPr>
                <w:sz w:val="15"/>
                <w:szCs w:val="15"/>
                <w:color w:val="auto"/>
              </w:rPr>
            </w:pPr>
          </w:p>
        </w:tc>
        <w:tc>
          <w:tcPr>
            <w:tcW w:w="860" w:type="dxa"/>
            <w:vAlign w:val="bottom"/>
            <w:tcBorders>
              <w:bottom w:val="single" w:sz="8" w:color="231F20"/>
            </w:tcBorders>
            <w:shd w:val="clear" w:color="auto" w:fill="FDFDFC"/>
          </w:tcPr>
          <w:p>
            <w:pPr>
              <w:jc w:val="right"/>
              <w:spacing w:after="0"/>
              <w:rPr>
                <w:sz w:val="20"/>
                <w:szCs w:val="20"/>
                <w:color w:val="auto"/>
              </w:rPr>
            </w:pPr>
            <w:r>
              <w:rPr>
                <w:rFonts w:ascii="Times New Roman" w:cs="Times New Roman" w:eastAsia="Times New Roman" w:hAnsi="Times New Roman"/>
                <w:sz w:val="15"/>
                <w:szCs w:val="15"/>
                <w:color w:val="231F20"/>
              </w:rPr>
              <w:t>3.9%</w:t>
            </w:r>
          </w:p>
        </w:tc>
      </w:tr>
      <w:tr>
        <w:trPr>
          <w:trHeight w:val="176"/>
        </w:trPr>
        <w:tc>
          <w:tcPr>
            <w:tcW w:w="1580" w:type="dxa"/>
            <w:vAlign w:val="bottom"/>
            <w:shd w:val="clear" w:color="auto" w:fill="D0EBF2"/>
          </w:tcPr>
          <w:p>
            <w:pPr>
              <w:spacing w:after="0"/>
              <w:rPr>
                <w:sz w:val="20"/>
                <w:szCs w:val="20"/>
                <w:color w:val="auto"/>
              </w:rPr>
            </w:pPr>
            <w:r>
              <w:rPr>
                <w:rFonts w:ascii="Times New Roman" w:cs="Times New Roman" w:eastAsia="Times New Roman" w:hAnsi="Times New Roman"/>
                <w:sz w:val="15"/>
                <w:szCs w:val="15"/>
                <w:b w:val="1"/>
                <w:bCs w:val="1"/>
                <w:color w:val="231F20"/>
              </w:rPr>
              <w:t>Pharmaceuticals</w:t>
            </w:r>
          </w:p>
        </w:tc>
        <w:tc>
          <w:tcPr>
            <w:tcW w:w="2200" w:type="dxa"/>
            <w:vAlign w:val="bottom"/>
            <w:shd w:val="clear" w:color="auto" w:fill="D0EBF2"/>
          </w:tcPr>
          <w:p>
            <w:pPr>
              <w:spacing w:after="0"/>
              <w:rPr>
                <w:sz w:val="15"/>
                <w:szCs w:val="15"/>
                <w:color w:val="auto"/>
              </w:rPr>
            </w:pPr>
          </w:p>
        </w:tc>
        <w:tc>
          <w:tcPr>
            <w:tcW w:w="800" w:type="dxa"/>
            <w:vAlign w:val="bottom"/>
            <w:shd w:val="clear" w:color="auto" w:fill="D0EBF2"/>
          </w:tcPr>
          <w:p>
            <w:pPr>
              <w:spacing w:after="0"/>
              <w:rPr>
                <w:sz w:val="15"/>
                <w:szCs w:val="15"/>
                <w:color w:val="auto"/>
              </w:rPr>
            </w:pPr>
          </w:p>
        </w:tc>
        <w:tc>
          <w:tcPr>
            <w:tcW w:w="1000" w:type="dxa"/>
            <w:vAlign w:val="bottom"/>
            <w:shd w:val="clear" w:color="auto" w:fill="D0EBF2"/>
          </w:tcPr>
          <w:p>
            <w:pPr>
              <w:spacing w:after="0"/>
              <w:rPr>
                <w:sz w:val="15"/>
                <w:szCs w:val="15"/>
                <w:color w:val="auto"/>
              </w:rPr>
            </w:pPr>
          </w:p>
        </w:tc>
        <w:tc>
          <w:tcPr>
            <w:tcW w:w="1060" w:type="dxa"/>
            <w:vAlign w:val="bottom"/>
            <w:shd w:val="clear" w:color="auto" w:fill="D0EBF2"/>
          </w:tcPr>
          <w:p>
            <w:pPr>
              <w:spacing w:after="0"/>
              <w:rPr>
                <w:sz w:val="15"/>
                <w:szCs w:val="15"/>
                <w:color w:val="auto"/>
              </w:rPr>
            </w:pPr>
          </w:p>
        </w:tc>
        <w:tc>
          <w:tcPr>
            <w:tcW w:w="100" w:type="dxa"/>
            <w:vAlign w:val="bottom"/>
            <w:shd w:val="clear" w:color="auto" w:fill="D0EBF2"/>
          </w:tcPr>
          <w:p>
            <w:pPr>
              <w:spacing w:after="0"/>
              <w:rPr>
                <w:sz w:val="15"/>
                <w:szCs w:val="15"/>
                <w:color w:val="auto"/>
              </w:rPr>
            </w:pPr>
          </w:p>
        </w:tc>
        <w:tc>
          <w:tcPr>
            <w:tcW w:w="900" w:type="dxa"/>
            <w:vAlign w:val="bottom"/>
            <w:shd w:val="clear" w:color="auto" w:fill="D0EBF2"/>
          </w:tcPr>
          <w:p>
            <w:pPr>
              <w:spacing w:after="0"/>
              <w:rPr>
                <w:sz w:val="15"/>
                <w:szCs w:val="15"/>
                <w:color w:val="auto"/>
              </w:rPr>
            </w:pPr>
          </w:p>
        </w:tc>
        <w:tc>
          <w:tcPr>
            <w:tcW w:w="80" w:type="dxa"/>
            <w:vAlign w:val="bottom"/>
            <w:shd w:val="clear" w:color="auto" w:fill="D0EBF2"/>
          </w:tcPr>
          <w:p>
            <w:pPr>
              <w:spacing w:after="0"/>
              <w:rPr>
                <w:sz w:val="15"/>
                <w:szCs w:val="15"/>
                <w:color w:val="auto"/>
              </w:rPr>
            </w:pPr>
          </w:p>
        </w:tc>
        <w:tc>
          <w:tcPr>
            <w:tcW w:w="100" w:type="dxa"/>
            <w:vAlign w:val="bottom"/>
            <w:shd w:val="clear" w:color="auto" w:fill="D0EBF2"/>
          </w:tcPr>
          <w:p>
            <w:pPr>
              <w:spacing w:after="0"/>
              <w:rPr>
                <w:sz w:val="15"/>
                <w:szCs w:val="15"/>
                <w:color w:val="auto"/>
              </w:rPr>
            </w:pPr>
          </w:p>
        </w:tc>
        <w:tc>
          <w:tcPr>
            <w:tcW w:w="1500" w:type="dxa"/>
            <w:vAlign w:val="bottom"/>
            <w:shd w:val="clear" w:color="auto" w:fill="D0EBF2"/>
          </w:tcPr>
          <w:p>
            <w:pPr>
              <w:spacing w:after="0"/>
              <w:rPr>
                <w:sz w:val="15"/>
                <w:szCs w:val="15"/>
                <w:color w:val="auto"/>
              </w:rPr>
            </w:pPr>
          </w:p>
        </w:tc>
        <w:tc>
          <w:tcPr>
            <w:tcW w:w="100" w:type="dxa"/>
            <w:vAlign w:val="bottom"/>
            <w:shd w:val="clear" w:color="auto" w:fill="D0EBF2"/>
          </w:tcPr>
          <w:p>
            <w:pPr>
              <w:spacing w:after="0"/>
              <w:rPr>
                <w:sz w:val="15"/>
                <w:szCs w:val="15"/>
                <w:color w:val="auto"/>
              </w:rPr>
            </w:pPr>
          </w:p>
        </w:tc>
        <w:tc>
          <w:tcPr>
            <w:tcW w:w="860" w:type="dxa"/>
            <w:vAlign w:val="bottom"/>
            <w:shd w:val="clear" w:color="auto" w:fill="D0EBF2"/>
          </w:tcPr>
          <w:p>
            <w:pPr>
              <w:spacing w:after="0"/>
              <w:rPr>
                <w:sz w:val="15"/>
                <w:szCs w:val="15"/>
                <w:color w:val="auto"/>
              </w:rPr>
            </w:pPr>
          </w:p>
        </w:tc>
      </w:tr>
      <w:tr>
        <w:trPr>
          <w:trHeight w:val="171"/>
        </w:trPr>
        <w:tc>
          <w:tcPr>
            <w:tcW w:w="1580" w:type="dxa"/>
            <w:vAlign w:val="bottom"/>
            <w:shd w:val="clear" w:color="auto" w:fill="FDFDFC"/>
          </w:tcPr>
          <w:p>
            <w:pPr>
              <w:spacing w:after="0" w:line="172" w:lineRule="exact"/>
              <w:rPr>
                <w:sz w:val="20"/>
                <w:szCs w:val="20"/>
                <w:color w:val="auto"/>
              </w:rPr>
            </w:pPr>
            <w:r>
              <w:rPr>
                <w:rFonts w:ascii="Times New Roman" w:cs="Times New Roman" w:eastAsia="Times New Roman" w:hAnsi="Times New Roman"/>
                <w:sz w:val="15"/>
                <w:szCs w:val="15"/>
                <w:color w:val="231F20"/>
              </w:rPr>
              <w:t>Apellis Pharmaceuticals,</w:t>
            </w:r>
          </w:p>
        </w:tc>
        <w:tc>
          <w:tcPr>
            <w:tcW w:w="2200" w:type="dxa"/>
            <w:vAlign w:val="bottom"/>
            <w:shd w:val="clear" w:color="auto" w:fill="FDFDFC"/>
          </w:tcPr>
          <w:p>
            <w:pPr>
              <w:ind w:left="60"/>
              <w:spacing w:after="0" w:line="172" w:lineRule="exact"/>
              <w:rPr>
                <w:sz w:val="20"/>
                <w:szCs w:val="20"/>
                <w:color w:val="auto"/>
              </w:rPr>
            </w:pPr>
            <w:r>
              <w:rPr>
                <w:rFonts w:ascii="Times New Roman" w:cs="Times New Roman" w:eastAsia="Times New Roman" w:hAnsi="Times New Roman"/>
                <w:sz w:val="15"/>
                <w:szCs w:val="15"/>
                <w:color w:val="231F20"/>
              </w:rPr>
              <w:t>First-lien loan ($19,737 par, due</w:t>
            </w:r>
          </w:p>
        </w:tc>
        <w:tc>
          <w:tcPr>
            <w:tcW w:w="800" w:type="dxa"/>
            <w:vAlign w:val="bottom"/>
            <w:shd w:val="clear" w:color="auto" w:fill="FDFDFC"/>
          </w:tcPr>
          <w:p>
            <w:pPr>
              <w:jc w:val="right"/>
              <w:spacing w:after="0" w:line="172" w:lineRule="exact"/>
              <w:rPr>
                <w:sz w:val="20"/>
                <w:szCs w:val="20"/>
                <w:color w:val="auto"/>
              </w:rPr>
            </w:pPr>
            <w:r>
              <w:rPr>
                <w:rFonts w:ascii="Times New Roman" w:cs="Times New Roman" w:eastAsia="Times New Roman" w:hAnsi="Times New Roman"/>
                <w:sz w:val="15"/>
                <w:szCs w:val="15"/>
                <w:color w:val="231F20"/>
              </w:rPr>
              <w:t>5/13/2024</w:t>
            </w:r>
          </w:p>
        </w:tc>
        <w:tc>
          <w:tcPr>
            <w:tcW w:w="1000" w:type="dxa"/>
            <w:vAlign w:val="bottom"/>
            <w:shd w:val="clear" w:color="auto" w:fill="FDFDFC"/>
          </w:tcPr>
          <w:p>
            <w:pPr>
              <w:jc w:val="right"/>
              <w:ind w:right="44"/>
              <w:spacing w:after="0" w:line="172" w:lineRule="exact"/>
              <w:rPr>
                <w:sz w:val="20"/>
                <w:szCs w:val="20"/>
                <w:color w:val="auto"/>
              </w:rPr>
            </w:pPr>
            <w:r>
              <w:rPr>
                <w:rFonts w:ascii="Times New Roman" w:cs="Times New Roman" w:eastAsia="Times New Roman" w:hAnsi="Times New Roman"/>
                <w:sz w:val="15"/>
                <w:szCs w:val="15"/>
                <w:color w:val="231F20"/>
              </w:rPr>
              <w:t>SOFR +</w:t>
            </w:r>
          </w:p>
        </w:tc>
        <w:tc>
          <w:tcPr>
            <w:tcW w:w="1060" w:type="dxa"/>
            <w:vAlign w:val="bottom"/>
            <w:shd w:val="clear" w:color="auto" w:fill="FDFDFC"/>
          </w:tcPr>
          <w:p>
            <w:pPr>
              <w:jc w:val="right"/>
              <w:ind w:right="64"/>
              <w:spacing w:after="0" w:line="172" w:lineRule="exact"/>
              <w:rPr>
                <w:sz w:val="20"/>
                <w:szCs w:val="20"/>
                <w:color w:val="auto"/>
              </w:rPr>
            </w:pPr>
            <w:r>
              <w:rPr>
                <w:rFonts w:ascii="Times New Roman" w:cs="Times New Roman" w:eastAsia="Times New Roman" w:hAnsi="Times New Roman"/>
                <w:sz w:val="15"/>
                <w:szCs w:val="15"/>
                <w:color w:val="231F20"/>
              </w:rPr>
              <w:t>10.08%</w:t>
            </w:r>
          </w:p>
        </w:tc>
        <w:tc>
          <w:tcPr>
            <w:tcW w:w="100" w:type="dxa"/>
            <w:vAlign w:val="bottom"/>
            <w:shd w:val="clear" w:color="auto" w:fill="FDFDFC"/>
          </w:tcPr>
          <w:p>
            <w:pPr>
              <w:spacing w:after="0"/>
              <w:rPr>
                <w:sz w:val="14"/>
                <w:szCs w:val="14"/>
                <w:color w:val="auto"/>
              </w:rPr>
            </w:pPr>
          </w:p>
        </w:tc>
        <w:tc>
          <w:tcPr>
            <w:tcW w:w="900" w:type="dxa"/>
            <w:vAlign w:val="bottom"/>
            <w:shd w:val="clear" w:color="auto" w:fill="FDFDFC"/>
          </w:tcPr>
          <w:p>
            <w:pPr>
              <w:jc w:val="right"/>
              <w:spacing w:after="0" w:line="172" w:lineRule="exact"/>
              <w:rPr>
                <w:sz w:val="20"/>
                <w:szCs w:val="20"/>
                <w:color w:val="auto"/>
              </w:rPr>
            </w:pPr>
            <w:r>
              <w:rPr>
                <w:rFonts w:ascii="Times New Roman" w:cs="Times New Roman" w:eastAsia="Times New Roman" w:hAnsi="Times New Roman"/>
                <w:sz w:val="15"/>
                <w:szCs w:val="15"/>
                <w:color w:val="231F20"/>
              </w:rPr>
              <w:t>19,737</w:t>
            </w:r>
          </w:p>
        </w:tc>
        <w:tc>
          <w:tcPr>
            <w:tcW w:w="80" w:type="dxa"/>
            <w:vAlign w:val="bottom"/>
            <w:shd w:val="clear" w:color="auto" w:fill="FDFDFC"/>
          </w:tcPr>
          <w:p>
            <w:pPr>
              <w:spacing w:after="0"/>
              <w:rPr>
                <w:sz w:val="14"/>
                <w:szCs w:val="14"/>
                <w:color w:val="auto"/>
              </w:rPr>
            </w:pPr>
          </w:p>
        </w:tc>
        <w:tc>
          <w:tcPr>
            <w:tcW w:w="1600" w:type="dxa"/>
            <w:vAlign w:val="bottom"/>
            <w:gridSpan w:val="2"/>
            <w:shd w:val="clear" w:color="auto" w:fill="FDFDFC"/>
          </w:tcPr>
          <w:p>
            <w:pPr>
              <w:jc w:val="right"/>
              <w:spacing w:after="0" w:line="172" w:lineRule="exact"/>
              <w:rPr>
                <w:sz w:val="20"/>
                <w:szCs w:val="20"/>
                <w:color w:val="auto"/>
              </w:rPr>
            </w:pPr>
            <w:r>
              <w:rPr>
                <w:rFonts w:ascii="Times New Roman" w:cs="Times New Roman" w:eastAsia="Times New Roman" w:hAnsi="Times New Roman"/>
                <w:sz w:val="15"/>
                <w:szCs w:val="15"/>
                <w:color w:val="231F20"/>
              </w:rPr>
              <w:t>19,924</w:t>
            </w:r>
          </w:p>
        </w:tc>
        <w:tc>
          <w:tcPr>
            <w:tcW w:w="100" w:type="dxa"/>
            <w:vAlign w:val="bottom"/>
            <w:shd w:val="clear" w:color="auto" w:fill="FDFDFC"/>
          </w:tcPr>
          <w:p>
            <w:pPr>
              <w:spacing w:after="0"/>
              <w:rPr>
                <w:sz w:val="14"/>
                <w:szCs w:val="14"/>
                <w:color w:val="auto"/>
              </w:rPr>
            </w:pPr>
          </w:p>
        </w:tc>
        <w:tc>
          <w:tcPr>
            <w:tcW w:w="860" w:type="dxa"/>
            <w:vAlign w:val="bottom"/>
            <w:shd w:val="clear" w:color="auto" w:fill="FDFDFC"/>
          </w:tcPr>
          <w:p>
            <w:pPr>
              <w:jc w:val="right"/>
              <w:spacing w:after="0" w:line="172" w:lineRule="exact"/>
              <w:rPr>
                <w:sz w:val="20"/>
                <w:szCs w:val="20"/>
                <w:color w:val="auto"/>
              </w:rPr>
            </w:pPr>
            <w:r>
              <w:rPr>
                <w:rFonts w:ascii="Times New Roman" w:cs="Times New Roman" w:eastAsia="Times New Roman" w:hAnsi="Times New Roman"/>
                <w:sz w:val="15"/>
                <w:szCs w:val="15"/>
                <w:color w:val="231F20"/>
              </w:rPr>
              <w:t>1.2%</w:t>
            </w:r>
          </w:p>
        </w:tc>
      </w:tr>
      <w:tr>
        <w:trPr>
          <w:trHeight w:val="189"/>
        </w:trPr>
        <w:tc>
          <w:tcPr>
            <w:tcW w:w="1580" w:type="dxa"/>
            <w:vAlign w:val="bottom"/>
            <w:shd w:val="clear" w:color="auto" w:fill="FDFDFC"/>
          </w:tcPr>
          <w:p>
            <w:pPr>
              <w:spacing w:after="0" w:line="190" w:lineRule="exact"/>
              <w:rPr>
                <w:sz w:val="20"/>
                <w:szCs w:val="20"/>
                <w:color w:val="auto"/>
              </w:rPr>
            </w:pPr>
            <w:r>
              <w:rPr>
                <w:rFonts w:ascii="Times New Roman" w:cs="Times New Roman" w:eastAsia="Times New Roman" w:hAnsi="Times New Roman"/>
                <w:sz w:val="21"/>
                <w:szCs w:val="21"/>
                <w:color w:val="231F20"/>
                <w:vertAlign w:val="subscript"/>
              </w:rPr>
              <w:t>Inc.</w:t>
            </w:r>
            <w:r>
              <w:rPr>
                <w:rFonts w:ascii="Times New Roman" w:cs="Times New Roman" w:eastAsia="Times New Roman" w:hAnsi="Times New Roman"/>
                <w:sz w:val="8"/>
                <w:szCs w:val="8"/>
                <w:color w:val="231F20"/>
              </w:rPr>
              <w:t xml:space="preserve"> (3)(4)</w:t>
            </w:r>
          </w:p>
        </w:tc>
        <w:tc>
          <w:tcPr>
            <w:tcW w:w="2200" w:type="dxa"/>
            <w:vAlign w:val="bottom"/>
            <w:shd w:val="clear" w:color="auto" w:fill="FDFDFC"/>
          </w:tcPr>
          <w:p>
            <w:pPr>
              <w:ind w:left="60"/>
              <w:spacing w:after="0"/>
              <w:rPr>
                <w:sz w:val="20"/>
                <w:szCs w:val="20"/>
                <w:color w:val="auto"/>
              </w:rPr>
            </w:pPr>
            <w:r>
              <w:rPr>
                <w:rFonts w:ascii="Times New Roman" w:cs="Times New Roman" w:eastAsia="Times New Roman" w:hAnsi="Times New Roman"/>
                <w:sz w:val="15"/>
                <w:szCs w:val="15"/>
                <w:color w:val="231F20"/>
              </w:rPr>
              <w:t>5/2030)</w:t>
            </w:r>
          </w:p>
        </w:tc>
        <w:tc>
          <w:tcPr>
            <w:tcW w:w="800" w:type="dxa"/>
            <w:vAlign w:val="bottom"/>
            <w:shd w:val="clear" w:color="auto" w:fill="FDFDFC"/>
          </w:tcPr>
          <w:p>
            <w:pPr>
              <w:spacing w:after="0"/>
              <w:rPr>
                <w:sz w:val="16"/>
                <w:szCs w:val="16"/>
                <w:color w:val="auto"/>
              </w:rPr>
            </w:pPr>
          </w:p>
        </w:tc>
        <w:tc>
          <w:tcPr>
            <w:tcW w:w="1000" w:type="dxa"/>
            <w:vAlign w:val="bottom"/>
            <w:shd w:val="clear" w:color="auto" w:fill="FDFDFC"/>
          </w:tcPr>
          <w:p>
            <w:pPr>
              <w:jc w:val="right"/>
              <w:ind w:right="44"/>
              <w:spacing w:after="0"/>
              <w:rPr>
                <w:sz w:val="20"/>
                <w:szCs w:val="20"/>
                <w:color w:val="auto"/>
              </w:rPr>
            </w:pPr>
            <w:r>
              <w:rPr>
                <w:rFonts w:ascii="Times New Roman" w:cs="Times New Roman" w:eastAsia="Times New Roman" w:hAnsi="Times New Roman"/>
                <w:sz w:val="15"/>
                <w:szCs w:val="15"/>
                <w:color w:val="231F20"/>
              </w:rPr>
              <w:t>5.75%</w:t>
            </w:r>
          </w:p>
        </w:tc>
        <w:tc>
          <w:tcPr>
            <w:tcW w:w="1060" w:type="dxa"/>
            <w:vAlign w:val="bottom"/>
            <w:shd w:val="clear" w:color="auto" w:fill="FDFDFC"/>
          </w:tcPr>
          <w:p>
            <w:pPr>
              <w:spacing w:after="0"/>
              <w:rPr>
                <w:sz w:val="16"/>
                <w:szCs w:val="16"/>
                <w:color w:val="auto"/>
              </w:rPr>
            </w:pPr>
          </w:p>
        </w:tc>
        <w:tc>
          <w:tcPr>
            <w:tcW w:w="100" w:type="dxa"/>
            <w:vAlign w:val="bottom"/>
            <w:shd w:val="clear" w:color="auto" w:fill="FDFDFC"/>
          </w:tcPr>
          <w:p>
            <w:pPr>
              <w:spacing w:after="0"/>
              <w:rPr>
                <w:sz w:val="16"/>
                <w:szCs w:val="16"/>
                <w:color w:val="auto"/>
              </w:rPr>
            </w:pPr>
          </w:p>
        </w:tc>
        <w:tc>
          <w:tcPr>
            <w:tcW w:w="900" w:type="dxa"/>
            <w:vAlign w:val="bottom"/>
            <w:shd w:val="clear" w:color="auto" w:fill="FDFDFC"/>
          </w:tcPr>
          <w:p>
            <w:pPr>
              <w:spacing w:after="0"/>
              <w:rPr>
                <w:sz w:val="16"/>
                <w:szCs w:val="16"/>
                <w:color w:val="auto"/>
              </w:rPr>
            </w:pPr>
          </w:p>
        </w:tc>
        <w:tc>
          <w:tcPr>
            <w:tcW w:w="80" w:type="dxa"/>
            <w:vAlign w:val="bottom"/>
            <w:shd w:val="clear" w:color="auto" w:fill="FDFDFC"/>
          </w:tcPr>
          <w:p>
            <w:pPr>
              <w:spacing w:after="0"/>
              <w:rPr>
                <w:sz w:val="16"/>
                <w:szCs w:val="16"/>
                <w:color w:val="auto"/>
              </w:rPr>
            </w:pPr>
          </w:p>
        </w:tc>
        <w:tc>
          <w:tcPr>
            <w:tcW w:w="100" w:type="dxa"/>
            <w:vAlign w:val="bottom"/>
            <w:shd w:val="clear" w:color="auto" w:fill="FDFDFC"/>
          </w:tcPr>
          <w:p>
            <w:pPr>
              <w:spacing w:after="0"/>
              <w:rPr>
                <w:sz w:val="16"/>
                <w:szCs w:val="16"/>
                <w:color w:val="auto"/>
              </w:rPr>
            </w:pPr>
          </w:p>
        </w:tc>
        <w:tc>
          <w:tcPr>
            <w:tcW w:w="1500" w:type="dxa"/>
            <w:vAlign w:val="bottom"/>
            <w:shd w:val="clear" w:color="auto" w:fill="FDFDFC"/>
          </w:tcPr>
          <w:p>
            <w:pPr>
              <w:spacing w:after="0"/>
              <w:rPr>
                <w:sz w:val="16"/>
                <w:szCs w:val="16"/>
                <w:color w:val="auto"/>
              </w:rPr>
            </w:pPr>
          </w:p>
        </w:tc>
        <w:tc>
          <w:tcPr>
            <w:tcW w:w="100" w:type="dxa"/>
            <w:vAlign w:val="bottom"/>
            <w:shd w:val="clear" w:color="auto" w:fill="FDFDFC"/>
          </w:tcPr>
          <w:p>
            <w:pPr>
              <w:spacing w:after="0"/>
              <w:rPr>
                <w:sz w:val="16"/>
                <w:szCs w:val="16"/>
                <w:color w:val="auto"/>
              </w:rPr>
            </w:pPr>
          </w:p>
        </w:tc>
        <w:tc>
          <w:tcPr>
            <w:tcW w:w="860" w:type="dxa"/>
            <w:vAlign w:val="bottom"/>
            <w:shd w:val="clear" w:color="auto" w:fill="FDFDFC"/>
          </w:tcPr>
          <w:p>
            <w:pPr>
              <w:spacing w:after="0"/>
              <w:rPr>
                <w:sz w:val="16"/>
                <w:szCs w:val="16"/>
                <w:color w:val="auto"/>
              </w:rPr>
            </w:pPr>
          </w:p>
        </w:tc>
      </w:tr>
      <w:tr>
        <w:trPr>
          <w:trHeight w:val="171"/>
        </w:trPr>
        <w:tc>
          <w:tcPr>
            <w:tcW w:w="1580" w:type="dxa"/>
            <w:vAlign w:val="bottom"/>
            <w:shd w:val="clear" w:color="auto" w:fill="D0EBF2"/>
          </w:tcPr>
          <w:p>
            <w:pPr>
              <w:spacing w:after="0" w:line="172" w:lineRule="exact"/>
              <w:rPr>
                <w:sz w:val="20"/>
                <w:szCs w:val="20"/>
                <w:color w:val="auto"/>
              </w:rPr>
            </w:pPr>
            <w:r>
              <w:rPr>
                <w:rFonts w:ascii="Times New Roman" w:cs="Times New Roman" w:eastAsia="Times New Roman" w:hAnsi="Times New Roman"/>
                <w:sz w:val="15"/>
                <w:szCs w:val="15"/>
                <w:color w:val="231F20"/>
              </w:rPr>
              <w:t>Arrowhead</w:t>
            </w:r>
          </w:p>
        </w:tc>
        <w:tc>
          <w:tcPr>
            <w:tcW w:w="2200" w:type="dxa"/>
            <w:vAlign w:val="bottom"/>
            <w:shd w:val="clear" w:color="auto" w:fill="D0EBF2"/>
          </w:tcPr>
          <w:p>
            <w:pPr>
              <w:ind w:left="60"/>
              <w:spacing w:after="0" w:line="172" w:lineRule="exact"/>
              <w:rPr>
                <w:sz w:val="20"/>
                <w:szCs w:val="20"/>
                <w:color w:val="auto"/>
              </w:rPr>
            </w:pPr>
            <w:r>
              <w:rPr>
                <w:rFonts w:ascii="Times New Roman" w:cs="Times New Roman" w:eastAsia="Times New Roman" w:hAnsi="Times New Roman"/>
                <w:sz w:val="15"/>
                <w:szCs w:val="15"/>
                <w:color w:val="231F20"/>
              </w:rPr>
              <w:t>First-lien loan ($33,059 par, due</w:t>
            </w:r>
          </w:p>
        </w:tc>
        <w:tc>
          <w:tcPr>
            <w:tcW w:w="800" w:type="dxa"/>
            <w:vAlign w:val="bottom"/>
            <w:shd w:val="clear" w:color="auto" w:fill="D0EBF2"/>
          </w:tcPr>
          <w:p>
            <w:pPr>
              <w:jc w:val="right"/>
              <w:spacing w:after="0" w:line="172" w:lineRule="exact"/>
              <w:rPr>
                <w:sz w:val="20"/>
                <w:szCs w:val="20"/>
                <w:color w:val="auto"/>
              </w:rPr>
            </w:pPr>
            <w:r>
              <w:rPr>
                <w:rFonts w:ascii="Times New Roman" w:cs="Times New Roman" w:eastAsia="Times New Roman" w:hAnsi="Times New Roman"/>
                <w:sz w:val="15"/>
                <w:szCs w:val="15"/>
                <w:color w:val="231F20"/>
              </w:rPr>
              <w:t>8/7/2024</w:t>
            </w:r>
          </w:p>
        </w:tc>
        <w:tc>
          <w:tcPr>
            <w:tcW w:w="1000" w:type="dxa"/>
            <w:vAlign w:val="bottom"/>
            <w:shd w:val="clear" w:color="auto" w:fill="D0EBF2"/>
          </w:tcPr>
          <w:p>
            <w:pPr>
              <w:jc w:val="right"/>
              <w:ind w:right="44"/>
              <w:spacing w:after="0" w:line="172" w:lineRule="exact"/>
              <w:rPr>
                <w:sz w:val="20"/>
                <w:szCs w:val="20"/>
                <w:color w:val="auto"/>
              </w:rPr>
            </w:pPr>
            <w:r>
              <w:rPr>
                <w:rFonts w:ascii="Times New Roman" w:cs="Times New Roman" w:eastAsia="Times New Roman" w:hAnsi="Times New Roman"/>
                <w:sz w:val="15"/>
                <w:szCs w:val="15"/>
                <w:color w:val="231F20"/>
              </w:rPr>
              <w:t>15.00%</w:t>
            </w:r>
          </w:p>
        </w:tc>
        <w:tc>
          <w:tcPr>
            <w:tcW w:w="1060" w:type="dxa"/>
            <w:vAlign w:val="bottom"/>
            <w:shd w:val="clear" w:color="auto" w:fill="D0EBF2"/>
          </w:tcPr>
          <w:p>
            <w:pPr>
              <w:jc w:val="right"/>
              <w:ind w:right="64"/>
              <w:spacing w:after="0" w:line="172" w:lineRule="exact"/>
              <w:rPr>
                <w:sz w:val="20"/>
                <w:szCs w:val="20"/>
                <w:color w:val="auto"/>
              </w:rPr>
            </w:pPr>
            <w:r>
              <w:rPr>
                <w:rFonts w:ascii="Times New Roman" w:cs="Times New Roman" w:eastAsia="Times New Roman" w:hAnsi="Times New Roman"/>
                <w:sz w:val="15"/>
                <w:szCs w:val="15"/>
                <w:color w:val="231F20"/>
              </w:rPr>
              <w:t>15.00%</w:t>
            </w:r>
          </w:p>
        </w:tc>
        <w:tc>
          <w:tcPr>
            <w:tcW w:w="1000" w:type="dxa"/>
            <w:vAlign w:val="bottom"/>
            <w:gridSpan w:val="2"/>
            <w:shd w:val="clear" w:color="auto" w:fill="D0EBF2"/>
          </w:tcPr>
          <w:p>
            <w:pPr>
              <w:jc w:val="right"/>
              <w:spacing w:after="0" w:line="172" w:lineRule="exact"/>
              <w:rPr>
                <w:sz w:val="20"/>
                <w:szCs w:val="20"/>
                <w:color w:val="auto"/>
              </w:rPr>
            </w:pPr>
            <w:r>
              <w:rPr>
                <w:rFonts w:ascii="Times New Roman" w:cs="Times New Roman" w:eastAsia="Times New Roman" w:hAnsi="Times New Roman"/>
                <w:sz w:val="15"/>
                <w:szCs w:val="15"/>
                <w:color w:val="231F20"/>
              </w:rPr>
              <w:t>32,758</w:t>
            </w:r>
          </w:p>
        </w:tc>
        <w:tc>
          <w:tcPr>
            <w:tcW w:w="1680" w:type="dxa"/>
            <w:vAlign w:val="bottom"/>
            <w:gridSpan w:val="3"/>
            <w:shd w:val="clear" w:color="auto" w:fill="D0EBF2"/>
          </w:tcPr>
          <w:p>
            <w:pPr>
              <w:jc w:val="right"/>
              <w:spacing w:after="0" w:line="172" w:lineRule="exact"/>
              <w:rPr>
                <w:sz w:val="20"/>
                <w:szCs w:val="20"/>
                <w:color w:val="auto"/>
              </w:rPr>
            </w:pPr>
            <w:r>
              <w:rPr>
                <w:rFonts w:ascii="Times New Roman" w:cs="Times New Roman" w:eastAsia="Times New Roman" w:hAnsi="Times New Roman"/>
                <w:sz w:val="15"/>
                <w:szCs w:val="15"/>
                <w:color w:val="231F20"/>
              </w:rPr>
              <w:t>44,133</w:t>
            </w:r>
          </w:p>
        </w:tc>
        <w:tc>
          <w:tcPr>
            <w:tcW w:w="960" w:type="dxa"/>
            <w:vAlign w:val="bottom"/>
            <w:gridSpan w:val="2"/>
            <w:shd w:val="clear" w:color="auto" w:fill="D0EBF2"/>
          </w:tcPr>
          <w:p>
            <w:pPr>
              <w:jc w:val="right"/>
              <w:spacing w:after="0" w:line="172" w:lineRule="exact"/>
              <w:rPr>
                <w:sz w:val="20"/>
                <w:szCs w:val="20"/>
                <w:color w:val="auto"/>
              </w:rPr>
            </w:pPr>
            <w:r>
              <w:rPr>
                <w:rFonts w:ascii="Times New Roman" w:cs="Times New Roman" w:eastAsia="Times New Roman" w:hAnsi="Times New Roman"/>
                <w:sz w:val="15"/>
                <w:szCs w:val="15"/>
                <w:color w:val="231F20"/>
              </w:rPr>
              <w:t>2.7%</w:t>
            </w:r>
          </w:p>
        </w:tc>
      </w:tr>
      <w:tr>
        <w:trPr>
          <w:trHeight w:val="189"/>
        </w:trPr>
        <w:tc>
          <w:tcPr>
            <w:tcW w:w="1580" w:type="dxa"/>
            <w:vAlign w:val="bottom"/>
            <w:shd w:val="clear" w:color="auto" w:fill="D0EBF2"/>
          </w:tcPr>
          <w:p>
            <w:pPr>
              <w:spacing w:after="0"/>
              <w:rPr>
                <w:sz w:val="20"/>
                <w:szCs w:val="20"/>
                <w:color w:val="auto"/>
              </w:rPr>
            </w:pPr>
            <w:r>
              <w:rPr>
                <w:rFonts w:ascii="Times New Roman" w:cs="Times New Roman" w:eastAsia="Times New Roman" w:hAnsi="Times New Roman"/>
                <w:sz w:val="15"/>
                <w:szCs w:val="15"/>
                <w:color w:val="231F20"/>
              </w:rPr>
              <w:t xml:space="preserve">Pharmaceuticals, Inc. </w:t>
            </w:r>
            <w:r>
              <w:rPr>
                <w:rFonts w:ascii="Times New Roman" w:cs="Times New Roman" w:eastAsia="Times New Roman" w:hAnsi="Times New Roman"/>
                <w:sz w:val="9"/>
                <w:szCs w:val="9"/>
                <w:color w:val="231F20"/>
              </w:rPr>
              <w:t>(4)</w:t>
            </w:r>
          </w:p>
        </w:tc>
        <w:tc>
          <w:tcPr>
            <w:tcW w:w="2200" w:type="dxa"/>
            <w:vAlign w:val="bottom"/>
            <w:shd w:val="clear" w:color="auto" w:fill="D0EBF2"/>
          </w:tcPr>
          <w:p>
            <w:pPr>
              <w:ind w:left="60"/>
              <w:spacing w:after="0"/>
              <w:rPr>
                <w:sz w:val="20"/>
                <w:szCs w:val="20"/>
                <w:color w:val="auto"/>
              </w:rPr>
            </w:pPr>
            <w:r>
              <w:rPr>
                <w:rFonts w:ascii="Times New Roman" w:cs="Times New Roman" w:eastAsia="Times New Roman" w:hAnsi="Times New Roman"/>
                <w:sz w:val="15"/>
                <w:szCs w:val="15"/>
                <w:color w:val="231F20"/>
              </w:rPr>
              <w:t>8/2031)</w:t>
            </w:r>
          </w:p>
        </w:tc>
        <w:tc>
          <w:tcPr>
            <w:tcW w:w="800" w:type="dxa"/>
            <w:vAlign w:val="bottom"/>
            <w:shd w:val="clear" w:color="auto" w:fill="D0EBF2"/>
          </w:tcPr>
          <w:p>
            <w:pPr>
              <w:spacing w:after="0"/>
              <w:rPr>
                <w:sz w:val="16"/>
                <w:szCs w:val="16"/>
                <w:color w:val="auto"/>
              </w:rPr>
            </w:pPr>
          </w:p>
        </w:tc>
        <w:tc>
          <w:tcPr>
            <w:tcW w:w="1000" w:type="dxa"/>
            <w:vAlign w:val="bottom"/>
            <w:shd w:val="clear" w:color="auto" w:fill="D0EBF2"/>
          </w:tcPr>
          <w:p>
            <w:pPr>
              <w:spacing w:after="0"/>
              <w:rPr>
                <w:sz w:val="16"/>
                <w:szCs w:val="16"/>
                <w:color w:val="auto"/>
              </w:rPr>
            </w:pPr>
          </w:p>
        </w:tc>
        <w:tc>
          <w:tcPr>
            <w:tcW w:w="1060" w:type="dxa"/>
            <w:vAlign w:val="bottom"/>
            <w:shd w:val="clear" w:color="auto" w:fill="D0EBF2"/>
          </w:tcPr>
          <w:p>
            <w:pPr>
              <w:spacing w:after="0"/>
              <w:rPr>
                <w:sz w:val="16"/>
                <w:szCs w:val="16"/>
                <w:color w:val="auto"/>
              </w:rPr>
            </w:pPr>
          </w:p>
        </w:tc>
        <w:tc>
          <w:tcPr>
            <w:tcW w:w="100" w:type="dxa"/>
            <w:vAlign w:val="bottom"/>
            <w:shd w:val="clear" w:color="auto" w:fill="D0EBF2"/>
          </w:tcPr>
          <w:p>
            <w:pPr>
              <w:spacing w:after="0"/>
              <w:rPr>
                <w:sz w:val="16"/>
                <w:szCs w:val="16"/>
                <w:color w:val="auto"/>
              </w:rPr>
            </w:pPr>
          </w:p>
        </w:tc>
        <w:tc>
          <w:tcPr>
            <w:tcW w:w="900" w:type="dxa"/>
            <w:vAlign w:val="bottom"/>
            <w:shd w:val="clear" w:color="auto" w:fill="D0EBF2"/>
          </w:tcPr>
          <w:p>
            <w:pPr>
              <w:spacing w:after="0"/>
              <w:rPr>
                <w:sz w:val="16"/>
                <w:szCs w:val="16"/>
                <w:color w:val="auto"/>
              </w:rPr>
            </w:pPr>
          </w:p>
        </w:tc>
        <w:tc>
          <w:tcPr>
            <w:tcW w:w="80" w:type="dxa"/>
            <w:vAlign w:val="bottom"/>
            <w:shd w:val="clear" w:color="auto" w:fill="D0EBF2"/>
          </w:tcPr>
          <w:p>
            <w:pPr>
              <w:spacing w:after="0"/>
              <w:rPr>
                <w:sz w:val="16"/>
                <w:szCs w:val="16"/>
                <w:color w:val="auto"/>
              </w:rPr>
            </w:pPr>
          </w:p>
        </w:tc>
        <w:tc>
          <w:tcPr>
            <w:tcW w:w="100" w:type="dxa"/>
            <w:vAlign w:val="bottom"/>
            <w:shd w:val="clear" w:color="auto" w:fill="D0EBF2"/>
          </w:tcPr>
          <w:p>
            <w:pPr>
              <w:spacing w:after="0"/>
              <w:rPr>
                <w:sz w:val="16"/>
                <w:szCs w:val="16"/>
                <w:color w:val="auto"/>
              </w:rPr>
            </w:pPr>
          </w:p>
        </w:tc>
        <w:tc>
          <w:tcPr>
            <w:tcW w:w="1500" w:type="dxa"/>
            <w:vAlign w:val="bottom"/>
            <w:shd w:val="clear" w:color="auto" w:fill="D0EBF2"/>
          </w:tcPr>
          <w:p>
            <w:pPr>
              <w:spacing w:after="0"/>
              <w:rPr>
                <w:sz w:val="16"/>
                <w:szCs w:val="16"/>
                <w:color w:val="auto"/>
              </w:rPr>
            </w:pPr>
          </w:p>
        </w:tc>
        <w:tc>
          <w:tcPr>
            <w:tcW w:w="100" w:type="dxa"/>
            <w:vAlign w:val="bottom"/>
            <w:shd w:val="clear" w:color="auto" w:fill="D0EBF2"/>
          </w:tcPr>
          <w:p>
            <w:pPr>
              <w:spacing w:after="0"/>
              <w:rPr>
                <w:sz w:val="16"/>
                <w:szCs w:val="16"/>
                <w:color w:val="auto"/>
              </w:rPr>
            </w:pPr>
          </w:p>
        </w:tc>
        <w:tc>
          <w:tcPr>
            <w:tcW w:w="860" w:type="dxa"/>
            <w:vAlign w:val="bottom"/>
            <w:shd w:val="clear" w:color="auto" w:fill="D0EBF2"/>
          </w:tcPr>
          <w:p>
            <w:pPr>
              <w:spacing w:after="0"/>
              <w:rPr>
                <w:sz w:val="16"/>
                <w:szCs w:val="16"/>
                <w:color w:val="auto"/>
              </w:rPr>
            </w:pPr>
          </w:p>
        </w:tc>
      </w:tr>
      <w:tr>
        <w:trPr>
          <w:trHeight w:val="171"/>
        </w:trPr>
        <w:tc>
          <w:tcPr>
            <w:tcW w:w="1580" w:type="dxa"/>
            <w:vAlign w:val="bottom"/>
            <w:shd w:val="clear" w:color="auto" w:fill="FDFDFC"/>
          </w:tcPr>
          <w:p>
            <w:pPr>
              <w:spacing w:after="0" w:line="172" w:lineRule="exact"/>
              <w:rPr>
                <w:sz w:val="20"/>
                <w:szCs w:val="20"/>
                <w:color w:val="auto"/>
              </w:rPr>
            </w:pPr>
            <w:r>
              <w:rPr>
                <w:rFonts w:ascii="Times New Roman" w:cs="Times New Roman" w:eastAsia="Times New Roman" w:hAnsi="Times New Roman"/>
                <w:sz w:val="15"/>
                <w:szCs w:val="15"/>
                <w:color w:val="231F20"/>
              </w:rPr>
              <w:t>Elysium BidCo Limited</w:t>
            </w:r>
          </w:p>
        </w:tc>
        <w:tc>
          <w:tcPr>
            <w:tcW w:w="2200" w:type="dxa"/>
            <w:vAlign w:val="bottom"/>
            <w:shd w:val="clear" w:color="auto" w:fill="FDFDFC"/>
          </w:tcPr>
          <w:p>
            <w:pPr>
              <w:ind w:left="60"/>
              <w:spacing w:after="0" w:line="172" w:lineRule="exact"/>
              <w:rPr>
                <w:sz w:val="20"/>
                <w:szCs w:val="20"/>
                <w:color w:val="auto"/>
              </w:rPr>
            </w:pPr>
            <w:r>
              <w:rPr>
                <w:rFonts w:ascii="Times New Roman" w:cs="Times New Roman" w:eastAsia="Times New Roman" w:hAnsi="Times New Roman"/>
                <w:sz w:val="15"/>
                <w:szCs w:val="15"/>
                <w:color w:val="231F20"/>
              </w:rPr>
              <w:t>First-lien loan (EUR 17,985 par,</w:t>
            </w:r>
          </w:p>
        </w:tc>
        <w:tc>
          <w:tcPr>
            <w:tcW w:w="800" w:type="dxa"/>
            <w:vAlign w:val="bottom"/>
            <w:shd w:val="clear" w:color="auto" w:fill="FDFDFC"/>
          </w:tcPr>
          <w:p>
            <w:pPr>
              <w:jc w:val="right"/>
              <w:spacing w:after="0" w:line="172" w:lineRule="exact"/>
              <w:rPr>
                <w:sz w:val="20"/>
                <w:szCs w:val="20"/>
                <w:color w:val="auto"/>
              </w:rPr>
            </w:pPr>
            <w:r>
              <w:rPr>
                <w:rFonts w:ascii="Times New Roman" w:cs="Times New Roman" w:eastAsia="Times New Roman" w:hAnsi="Times New Roman"/>
                <w:sz w:val="15"/>
                <w:szCs w:val="15"/>
                <w:color w:val="231F20"/>
              </w:rPr>
              <w:t>12/11/2024</w:t>
            </w:r>
          </w:p>
        </w:tc>
        <w:tc>
          <w:tcPr>
            <w:tcW w:w="1000" w:type="dxa"/>
            <w:vAlign w:val="bottom"/>
            <w:shd w:val="clear" w:color="auto" w:fill="FDFDFC"/>
          </w:tcPr>
          <w:p>
            <w:pPr>
              <w:jc w:val="right"/>
              <w:ind w:right="44"/>
              <w:spacing w:after="0" w:line="172" w:lineRule="exact"/>
              <w:rPr>
                <w:sz w:val="20"/>
                <w:szCs w:val="20"/>
                <w:color w:val="auto"/>
              </w:rPr>
            </w:pPr>
            <w:r>
              <w:rPr>
                <w:rFonts w:ascii="Times New Roman" w:cs="Times New Roman" w:eastAsia="Times New Roman" w:hAnsi="Times New Roman"/>
                <w:sz w:val="15"/>
                <w:szCs w:val="15"/>
                <w:color w:val="231F20"/>
              </w:rPr>
              <w:t>E + 7.25%</w:t>
            </w:r>
          </w:p>
        </w:tc>
        <w:tc>
          <w:tcPr>
            <w:tcW w:w="1060" w:type="dxa"/>
            <w:vAlign w:val="bottom"/>
            <w:shd w:val="clear" w:color="auto" w:fill="FDFDFC"/>
          </w:tcPr>
          <w:p>
            <w:pPr>
              <w:jc w:val="right"/>
              <w:ind w:right="64"/>
              <w:spacing w:after="0" w:line="172" w:lineRule="exact"/>
              <w:rPr>
                <w:sz w:val="20"/>
                <w:szCs w:val="20"/>
                <w:color w:val="auto"/>
              </w:rPr>
            </w:pPr>
            <w:r>
              <w:rPr>
                <w:rFonts w:ascii="Times New Roman" w:cs="Times New Roman" w:eastAsia="Times New Roman" w:hAnsi="Times New Roman"/>
                <w:sz w:val="15"/>
                <w:szCs w:val="15"/>
                <w:color w:val="231F20"/>
              </w:rPr>
              <w:t>10.07%</w:t>
            </w:r>
          </w:p>
        </w:tc>
        <w:tc>
          <w:tcPr>
            <w:tcW w:w="1000" w:type="dxa"/>
            <w:vAlign w:val="bottom"/>
            <w:gridSpan w:val="2"/>
            <w:shd w:val="clear" w:color="auto" w:fill="FDFDFC"/>
          </w:tcPr>
          <w:p>
            <w:pPr>
              <w:jc w:val="right"/>
              <w:spacing w:after="0" w:line="172" w:lineRule="exact"/>
              <w:rPr>
                <w:sz w:val="20"/>
                <w:szCs w:val="20"/>
                <w:color w:val="auto"/>
              </w:rPr>
            </w:pPr>
            <w:r>
              <w:rPr>
                <w:rFonts w:ascii="Times New Roman" w:cs="Times New Roman" w:eastAsia="Times New Roman" w:hAnsi="Times New Roman"/>
                <w:sz w:val="15"/>
                <w:szCs w:val="15"/>
                <w:color w:val="231F20"/>
              </w:rPr>
              <w:t>18,396</w:t>
            </w:r>
          </w:p>
        </w:tc>
        <w:tc>
          <w:tcPr>
            <w:tcW w:w="1680" w:type="dxa"/>
            <w:vAlign w:val="bottom"/>
            <w:gridSpan w:val="3"/>
            <w:shd w:val="clear" w:color="auto" w:fill="FDFDFC"/>
          </w:tcPr>
          <w:p>
            <w:pPr>
              <w:jc w:val="right"/>
              <w:spacing w:after="0" w:line="172" w:lineRule="exact"/>
              <w:rPr>
                <w:sz w:val="20"/>
                <w:szCs w:val="20"/>
                <w:color w:val="auto"/>
              </w:rPr>
            </w:pPr>
            <w:r>
              <w:rPr>
                <w:rFonts w:ascii="Times New Roman" w:cs="Times New Roman" w:eastAsia="Times New Roman" w:hAnsi="Times New Roman"/>
                <w:sz w:val="15"/>
                <w:szCs w:val="15"/>
                <w:color w:val="231F20"/>
              </w:rPr>
              <w:t>18,204</w:t>
            </w:r>
          </w:p>
        </w:tc>
        <w:tc>
          <w:tcPr>
            <w:tcW w:w="960" w:type="dxa"/>
            <w:vAlign w:val="bottom"/>
            <w:gridSpan w:val="2"/>
            <w:shd w:val="clear" w:color="auto" w:fill="FDFDFC"/>
          </w:tcPr>
          <w:p>
            <w:pPr>
              <w:jc w:val="right"/>
              <w:spacing w:after="0" w:line="172" w:lineRule="exact"/>
              <w:rPr>
                <w:sz w:val="20"/>
                <w:szCs w:val="20"/>
                <w:color w:val="auto"/>
              </w:rPr>
            </w:pPr>
            <w:r>
              <w:rPr>
                <w:rFonts w:ascii="Times New Roman" w:cs="Times New Roman" w:eastAsia="Times New Roman" w:hAnsi="Times New Roman"/>
                <w:sz w:val="15"/>
                <w:szCs w:val="15"/>
                <w:color w:val="231F20"/>
              </w:rPr>
              <w:t>1.1%</w:t>
            </w:r>
          </w:p>
        </w:tc>
      </w:tr>
      <w:tr>
        <w:trPr>
          <w:trHeight w:val="189"/>
        </w:trPr>
        <w:tc>
          <w:tcPr>
            <w:tcW w:w="1580" w:type="dxa"/>
            <w:vAlign w:val="bottom"/>
            <w:shd w:val="clear" w:color="auto" w:fill="FDFDFC"/>
          </w:tcPr>
          <w:p>
            <w:pPr>
              <w:spacing w:after="0"/>
              <w:rPr>
                <w:sz w:val="20"/>
                <w:szCs w:val="20"/>
                <w:color w:val="auto"/>
              </w:rPr>
            </w:pPr>
            <w:r>
              <w:rPr>
                <w:rFonts w:ascii="Times New Roman" w:cs="Times New Roman" w:eastAsia="Times New Roman" w:hAnsi="Times New Roman"/>
                <w:sz w:val="9"/>
                <w:szCs w:val="9"/>
                <w:color w:val="231F20"/>
              </w:rPr>
              <w:t>(3)(4)</w:t>
            </w:r>
          </w:p>
        </w:tc>
        <w:tc>
          <w:tcPr>
            <w:tcW w:w="2200" w:type="dxa"/>
            <w:vAlign w:val="bottom"/>
            <w:shd w:val="clear" w:color="auto" w:fill="FDFDFC"/>
          </w:tcPr>
          <w:p>
            <w:pPr>
              <w:ind w:left="60"/>
              <w:spacing w:after="0"/>
              <w:rPr>
                <w:sz w:val="20"/>
                <w:szCs w:val="20"/>
                <w:color w:val="auto"/>
              </w:rPr>
            </w:pPr>
            <w:r>
              <w:rPr>
                <w:rFonts w:ascii="Times New Roman" w:cs="Times New Roman" w:eastAsia="Times New Roman" w:hAnsi="Times New Roman"/>
                <w:sz w:val="15"/>
                <w:szCs w:val="15"/>
                <w:color w:val="231F20"/>
              </w:rPr>
              <w:t>due 12/2030)</w:t>
            </w:r>
          </w:p>
        </w:tc>
        <w:tc>
          <w:tcPr>
            <w:tcW w:w="800" w:type="dxa"/>
            <w:vAlign w:val="bottom"/>
            <w:shd w:val="clear" w:color="auto" w:fill="FDFDFC"/>
          </w:tcPr>
          <w:p>
            <w:pPr>
              <w:spacing w:after="0"/>
              <w:rPr>
                <w:sz w:val="16"/>
                <w:szCs w:val="16"/>
                <w:color w:val="auto"/>
              </w:rPr>
            </w:pPr>
          </w:p>
        </w:tc>
        <w:tc>
          <w:tcPr>
            <w:tcW w:w="1000" w:type="dxa"/>
            <w:vAlign w:val="bottom"/>
            <w:shd w:val="clear" w:color="auto" w:fill="FDFDFC"/>
          </w:tcPr>
          <w:p>
            <w:pPr>
              <w:spacing w:after="0"/>
              <w:rPr>
                <w:sz w:val="16"/>
                <w:szCs w:val="16"/>
                <w:color w:val="auto"/>
              </w:rPr>
            </w:pPr>
          </w:p>
        </w:tc>
        <w:tc>
          <w:tcPr>
            <w:tcW w:w="1060" w:type="dxa"/>
            <w:vAlign w:val="bottom"/>
            <w:shd w:val="clear" w:color="auto" w:fill="FDFDFC"/>
          </w:tcPr>
          <w:p>
            <w:pPr>
              <w:spacing w:after="0"/>
              <w:rPr>
                <w:sz w:val="16"/>
                <w:szCs w:val="16"/>
                <w:color w:val="auto"/>
              </w:rPr>
            </w:pPr>
          </w:p>
        </w:tc>
        <w:tc>
          <w:tcPr>
            <w:tcW w:w="100" w:type="dxa"/>
            <w:vAlign w:val="bottom"/>
            <w:shd w:val="clear" w:color="auto" w:fill="FDFDFC"/>
          </w:tcPr>
          <w:p>
            <w:pPr>
              <w:spacing w:after="0"/>
              <w:rPr>
                <w:sz w:val="16"/>
                <w:szCs w:val="16"/>
                <w:color w:val="auto"/>
              </w:rPr>
            </w:pPr>
          </w:p>
        </w:tc>
        <w:tc>
          <w:tcPr>
            <w:tcW w:w="900" w:type="dxa"/>
            <w:vAlign w:val="bottom"/>
            <w:shd w:val="clear" w:color="auto" w:fill="FDFDFC"/>
          </w:tcPr>
          <w:p>
            <w:pPr>
              <w:spacing w:after="0"/>
              <w:rPr>
                <w:sz w:val="16"/>
                <w:szCs w:val="16"/>
                <w:color w:val="auto"/>
              </w:rPr>
            </w:pPr>
          </w:p>
        </w:tc>
        <w:tc>
          <w:tcPr>
            <w:tcW w:w="80" w:type="dxa"/>
            <w:vAlign w:val="bottom"/>
            <w:shd w:val="clear" w:color="auto" w:fill="FDFDFC"/>
          </w:tcPr>
          <w:p>
            <w:pPr>
              <w:spacing w:after="0"/>
              <w:rPr>
                <w:sz w:val="16"/>
                <w:szCs w:val="16"/>
                <w:color w:val="auto"/>
              </w:rPr>
            </w:pPr>
          </w:p>
        </w:tc>
        <w:tc>
          <w:tcPr>
            <w:tcW w:w="100" w:type="dxa"/>
            <w:vAlign w:val="bottom"/>
            <w:shd w:val="clear" w:color="auto" w:fill="FDFDFC"/>
          </w:tcPr>
          <w:p>
            <w:pPr>
              <w:spacing w:after="0"/>
              <w:rPr>
                <w:sz w:val="16"/>
                <w:szCs w:val="16"/>
                <w:color w:val="auto"/>
              </w:rPr>
            </w:pPr>
          </w:p>
        </w:tc>
        <w:tc>
          <w:tcPr>
            <w:tcW w:w="1500" w:type="dxa"/>
            <w:vAlign w:val="bottom"/>
            <w:shd w:val="clear" w:color="auto" w:fill="FDFDFC"/>
          </w:tcPr>
          <w:p>
            <w:pPr>
              <w:jc w:val="right"/>
              <w:spacing w:after="0"/>
              <w:rPr>
                <w:sz w:val="20"/>
                <w:szCs w:val="20"/>
                <w:color w:val="auto"/>
              </w:rPr>
            </w:pPr>
            <w:r>
              <w:rPr>
                <w:rFonts w:ascii="Times New Roman" w:cs="Times New Roman" w:eastAsia="Times New Roman" w:hAnsi="Times New Roman"/>
                <w:sz w:val="15"/>
                <w:szCs w:val="15"/>
                <w:color w:val="231F20"/>
              </w:rPr>
              <w:t>(EUR 17,580)</w:t>
            </w:r>
          </w:p>
        </w:tc>
        <w:tc>
          <w:tcPr>
            <w:tcW w:w="100" w:type="dxa"/>
            <w:vAlign w:val="bottom"/>
            <w:shd w:val="clear" w:color="auto" w:fill="FDFDFC"/>
          </w:tcPr>
          <w:p>
            <w:pPr>
              <w:spacing w:after="0"/>
              <w:rPr>
                <w:sz w:val="16"/>
                <w:szCs w:val="16"/>
                <w:color w:val="auto"/>
              </w:rPr>
            </w:pPr>
          </w:p>
        </w:tc>
        <w:tc>
          <w:tcPr>
            <w:tcW w:w="860" w:type="dxa"/>
            <w:vAlign w:val="bottom"/>
            <w:shd w:val="clear" w:color="auto" w:fill="FDFDFC"/>
          </w:tcPr>
          <w:p>
            <w:pPr>
              <w:spacing w:after="0"/>
              <w:rPr>
                <w:sz w:val="16"/>
                <w:szCs w:val="16"/>
                <w:color w:val="auto"/>
              </w:rPr>
            </w:pPr>
          </w:p>
        </w:tc>
      </w:tr>
      <w:tr>
        <w:trPr>
          <w:trHeight w:val="171"/>
        </w:trPr>
        <w:tc>
          <w:tcPr>
            <w:tcW w:w="1580" w:type="dxa"/>
            <w:vAlign w:val="bottom"/>
            <w:shd w:val="clear" w:color="auto" w:fill="D0EBF2"/>
          </w:tcPr>
          <w:p>
            <w:pPr>
              <w:spacing w:after="0"/>
              <w:rPr>
                <w:sz w:val="14"/>
                <w:szCs w:val="14"/>
                <w:color w:val="auto"/>
              </w:rPr>
            </w:pPr>
          </w:p>
        </w:tc>
        <w:tc>
          <w:tcPr>
            <w:tcW w:w="2200" w:type="dxa"/>
            <w:vAlign w:val="bottom"/>
            <w:shd w:val="clear" w:color="auto" w:fill="D0EBF2"/>
          </w:tcPr>
          <w:p>
            <w:pPr>
              <w:ind w:left="60"/>
              <w:spacing w:after="0" w:line="172" w:lineRule="exact"/>
              <w:rPr>
                <w:sz w:val="20"/>
                <w:szCs w:val="20"/>
                <w:color w:val="auto"/>
              </w:rPr>
            </w:pPr>
            <w:r>
              <w:rPr>
                <w:rFonts w:ascii="Times New Roman" w:cs="Times New Roman" w:eastAsia="Times New Roman" w:hAnsi="Times New Roman"/>
                <w:sz w:val="15"/>
                <w:szCs w:val="15"/>
                <w:color w:val="231F20"/>
              </w:rPr>
              <w:t>First-lien loan (GBP 9,953 par,</w:t>
            </w:r>
          </w:p>
        </w:tc>
        <w:tc>
          <w:tcPr>
            <w:tcW w:w="800" w:type="dxa"/>
            <w:vAlign w:val="bottom"/>
            <w:shd w:val="clear" w:color="auto" w:fill="D0EBF2"/>
          </w:tcPr>
          <w:p>
            <w:pPr>
              <w:jc w:val="right"/>
              <w:spacing w:after="0" w:line="172" w:lineRule="exact"/>
              <w:rPr>
                <w:sz w:val="20"/>
                <w:szCs w:val="20"/>
                <w:color w:val="auto"/>
              </w:rPr>
            </w:pPr>
            <w:r>
              <w:rPr>
                <w:rFonts w:ascii="Times New Roman" w:cs="Times New Roman" w:eastAsia="Times New Roman" w:hAnsi="Times New Roman"/>
                <w:sz w:val="15"/>
                <w:szCs w:val="15"/>
                <w:color w:val="231F20"/>
              </w:rPr>
              <w:t>12/11/2024</w:t>
            </w:r>
          </w:p>
        </w:tc>
        <w:tc>
          <w:tcPr>
            <w:tcW w:w="1000" w:type="dxa"/>
            <w:vAlign w:val="bottom"/>
            <w:shd w:val="clear" w:color="auto" w:fill="D0EBF2"/>
          </w:tcPr>
          <w:p>
            <w:pPr>
              <w:jc w:val="right"/>
              <w:ind w:right="44"/>
              <w:spacing w:after="0" w:line="172" w:lineRule="exact"/>
              <w:rPr>
                <w:sz w:val="20"/>
                <w:szCs w:val="20"/>
                <w:color w:val="auto"/>
              </w:rPr>
            </w:pPr>
            <w:r>
              <w:rPr>
                <w:rFonts w:ascii="Times New Roman" w:cs="Times New Roman" w:eastAsia="Times New Roman" w:hAnsi="Times New Roman"/>
                <w:sz w:val="15"/>
                <w:szCs w:val="15"/>
                <w:color w:val="231F20"/>
              </w:rPr>
              <w:t>S + 7.25%</w:t>
            </w:r>
          </w:p>
        </w:tc>
        <w:tc>
          <w:tcPr>
            <w:tcW w:w="1060" w:type="dxa"/>
            <w:vAlign w:val="bottom"/>
            <w:shd w:val="clear" w:color="auto" w:fill="D0EBF2"/>
          </w:tcPr>
          <w:p>
            <w:pPr>
              <w:jc w:val="right"/>
              <w:ind w:right="64"/>
              <w:spacing w:after="0" w:line="172" w:lineRule="exact"/>
              <w:rPr>
                <w:sz w:val="20"/>
                <w:szCs w:val="20"/>
                <w:color w:val="auto"/>
              </w:rPr>
            </w:pPr>
            <w:r>
              <w:rPr>
                <w:rFonts w:ascii="Times New Roman" w:cs="Times New Roman" w:eastAsia="Times New Roman" w:hAnsi="Times New Roman"/>
                <w:sz w:val="15"/>
                <w:szCs w:val="15"/>
                <w:color w:val="231F20"/>
              </w:rPr>
              <w:t>11.95%</w:t>
            </w:r>
          </w:p>
        </w:tc>
        <w:tc>
          <w:tcPr>
            <w:tcW w:w="1000" w:type="dxa"/>
            <w:vAlign w:val="bottom"/>
            <w:gridSpan w:val="2"/>
            <w:shd w:val="clear" w:color="auto" w:fill="D0EBF2"/>
          </w:tcPr>
          <w:p>
            <w:pPr>
              <w:jc w:val="right"/>
              <w:spacing w:after="0" w:line="172" w:lineRule="exact"/>
              <w:rPr>
                <w:sz w:val="20"/>
                <w:szCs w:val="20"/>
                <w:color w:val="auto"/>
              </w:rPr>
            </w:pPr>
            <w:r>
              <w:rPr>
                <w:rFonts w:ascii="Times New Roman" w:cs="Times New Roman" w:eastAsia="Times New Roman" w:hAnsi="Times New Roman"/>
                <w:sz w:val="15"/>
                <w:szCs w:val="15"/>
                <w:color w:val="231F20"/>
              </w:rPr>
              <w:t>12,367</w:t>
            </w:r>
          </w:p>
        </w:tc>
        <w:tc>
          <w:tcPr>
            <w:tcW w:w="1680" w:type="dxa"/>
            <w:vAlign w:val="bottom"/>
            <w:gridSpan w:val="3"/>
            <w:shd w:val="clear" w:color="auto" w:fill="D0EBF2"/>
          </w:tcPr>
          <w:p>
            <w:pPr>
              <w:jc w:val="right"/>
              <w:spacing w:after="0" w:line="172" w:lineRule="exact"/>
              <w:rPr>
                <w:sz w:val="20"/>
                <w:szCs w:val="20"/>
                <w:color w:val="auto"/>
              </w:rPr>
            </w:pPr>
            <w:r>
              <w:rPr>
                <w:rFonts w:ascii="Times New Roman" w:cs="Times New Roman" w:eastAsia="Times New Roman" w:hAnsi="Times New Roman"/>
                <w:sz w:val="15"/>
                <w:szCs w:val="15"/>
                <w:color w:val="231F20"/>
              </w:rPr>
              <w:t>12,129</w:t>
            </w:r>
          </w:p>
        </w:tc>
        <w:tc>
          <w:tcPr>
            <w:tcW w:w="960" w:type="dxa"/>
            <w:vAlign w:val="bottom"/>
            <w:gridSpan w:val="2"/>
            <w:shd w:val="clear" w:color="auto" w:fill="D0EBF2"/>
          </w:tcPr>
          <w:p>
            <w:pPr>
              <w:jc w:val="right"/>
              <w:spacing w:after="0" w:line="172" w:lineRule="exact"/>
              <w:rPr>
                <w:sz w:val="20"/>
                <w:szCs w:val="20"/>
                <w:color w:val="auto"/>
              </w:rPr>
            </w:pPr>
            <w:r>
              <w:rPr>
                <w:rFonts w:ascii="Times New Roman" w:cs="Times New Roman" w:eastAsia="Times New Roman" w:hAnsi="Times New Roman"/>
                <w:sz w:val="15"/>
                <w:szCs w:val="15"/>
                <w:color w:val="231F20"/>
              </w:rPr>
              <w:t>0.9%</w:t>
            </w:r>
          </w:p>
        </w:tc>
      </w:tr>
      <w:tr>
        <w:trPr>
          <w:trHeight w:val="189"/>
        </w:trPr>
        <w:tc>
          <w:tcPr>
            <w:tcW w:w="1580" w:type="dxa"/>
            <w:vAlign w:val="bottom"/>
            <w:tcBorders>
              <w:bottom w:val="single" w:sz="8" w:color="D0EBF2"/>
            </w:tcBorders>
            <w:shd w:val="clear" w:color="auto" w:fill="D0EBF2"/>
          </w:tcPr>
          <w:p>
            <w:pPr>
              <w:spacing w:after="0"/>
              <w:rPr>
                <w:sz w:val="16"/>
                <w:szCs w:val="16"/>
                <w:color w:val="auto"/>
              </w:rPr>
            </w:pPr>
          </w:p>
        </w:tc>
        <w:tc>
          <w:tcPr>
            <w:tcW w:w="2200" w:type="dxa"/>
            <w:vAlign w:val="bottom"/>
            <w:tcBorders>
              <w:bottom w:val="single" w:sz="8" w:color="D0EBF2"/>
            </w:tcBorders>
            <w:shd w:val="clear" w:color="auto" w:fill="D0EBF2"/>
          </w:tcPr>
          <w:p>
            <w:pPr>
              <w:ind w:left="60"/>
              <w:spacing w:after="0"/>
              <w:rPr>
                <w:sz w:val="20"/>
                <w:szCs w:val="20"/>
                <w:color w:val="auto"/>
              </w:rPr>
            </w:pPr>
            <w:r>
              <w:rPr>
                <w:rFonts w:ascii="Times New Roman" w:cs="Times New Roman" w:eastAsia="Times New Roman" w:hAnsi="Times New Roman"/>
                <w:sz w:val="15"/>
                <w:szCs w:val="15"/>
                <w:color w:val="231F20"/>
              </w:rPr>
              <w:t>due 6/2030)</w:t>
            </w:r>
          </w:p>
        </w:tc>
        <w:tc>
          <w:tcPr>
            <w:tcW w:w="800" w:type="dxa"/>
            <w:vAlign w:val="bottom"/>
            <w:tcBorders>
              <w:bottom w:val="single" w:sz="8" w:color="D0EBF2"/>
            </w:tcBorders>
            <w:shd w:val="clear" w:color="auto" w:fill="D0EBF2"/>
          </w:tcPr>
          <w:p>
            <w:pPr>
              <w:spacing w:after="0"/>
              <w:rPr>
                <w:sz w:val="16"/>
                <w:szCs w:val="16"/>
                <w:color w:val="auto"/>
              </w:rPr>
            </w:pPr>
          </w:p>
        </w:tc>
        <w:tc>
          <w:tcPr>
            <w:tcW w:w="1000" w:type="dxa"/>
            <w:vAlign w:val="bottom"/>
            <w:tcBorders>
              <w:bottom w:val="single" w:sz="8" w:color="D0EBF2"/>
            </w:tcBorders>
            <w:shd w:val="clear" w:color="auto" w:fill="D0EBF2"/>
          </w:tcPr>
          <w:p>
            <w:pPr>
              <w:spacing w:after="0"/>
              <w:rPr>
                <w:sz w:val="16"/>
                <w:szCs w:val="16"/>
                <w:color w:val="auto"/>
              </w:rPr>
            </w:pPr>
          </w:p>
        </w:tc>
        <w:tc>
          <w:tcPr>
            <w:tcW w:w="1060" w:type="dxa"/>
            <w:vAlign w:val="bottom"/>
            <w:tcBorders>
              <w:bottom w:val="single" w:sz="8" w:color="D0EBF2"/>
            </w:tcBorders>
            <w:shd w:val="clear" w:color="auto" w:fill="D0EBF2"/>
          </w:tcPr>
          <w:p>
            <w:pPr>
              <w:spacing w:after="0"/>
              <w:rPr>
                <w:sz w:val="16"/>
                <w:szCs w:val="16"/>
                <w:color w:val="auto"/>
              </w:rPr>
            </w:pPr>
          </w:p>
        </w:tc>
        <w:tc>
          <w:tcPr>
            <w:tcW w:w="100" w:type="dxa"/>
            <w:vAlign w:val="bottom"/>
            <w:tcBorders>
              <w:bottom w:val="single" w:sz="8" w:color="D0EBF2"/>
            </w:tcBorders>
            <w:shd w:val="clear" w:color="auto" w:fill="D0EBF2"/>
          </w:tcPr>
          <w:p>
            <w:pPr>
              <w:spacing w:after="0"/>
              <w:rPr>
                <w:sz w:val="16"/>
                <w:szCs w:val="16"/>
                <w:color w:val="auto"/>
              </w:rPr>
            </w:pPr>
          </w:p>
        </w:tc>
        <w:tc>
          <w:tcPr>
            <w:tcW w:w="900" w:type="dxa"/>
            <w:vAlign w:val="bottom"/>
            <w:tcBorders>
              <w:bottom w:val="single" w:sz="8" w:color="231F20"/>
            </w:tcBorders>
            <w:shd w:val="clear" w:color="auto" w:fill="D0EBF2"/>
          </w:tcPr>
          <w:p>
            <w:pPr>
              <w:spacing w:after="0"/>
              <w:rPr>
                <w:sz w:val="16"/>
                <w:szCs w:val="16"/>
                <w:color w:val="auto"/>
              </w:rPr>
            </w:pPr>
          </w:p>
        </w:tc>
        <w:tc>
          <w:tcPr>
            <w:tcW w:w="80" w:type="dxa"/>
            <w:vAlign w:val="bottom"/>
            <w:tcBorders>
              <w:bottom w:val="single" w:sz="8" w:color="D0EBF2"/>
            </w:tcBorders>
            <w:shd w:val="clear" w:color="auto" w:fill="D0EBF2"/>
          </w:tcPr>
          <w:p>
            <w:pPr>
              <w:spacing w:after="0"/>
              <w:rPr>
                <w:sz w:val="16"/>
                <w:szCs w:val="16"/>
                <w:color w:val="auto"/>
              </w:rPr>
            </w:pPr>
          </w:p>
        </w:tc>
        <w:tc>
          <w:tcPr>
            <w:tcW w:w="100" w:type="dxa"/>
            <w:vAlign w:val="bottom"/>
            <w:tcBorders>
              <w:bottom w:val="single" w:sz="8" w:color="D0EBF2"/>
            </w:tcBorders>
            <w:shd w:val="clear" w:color="auto" w:fill="D0EBF2"/>
          </w:tcPr>
          <w:p>
            <w:pPr>
              <w:spacing w:after="0"/>
              <w:rPr>
                <w:sz w:val="16"/>
                <w:szCs w:val="16"/>
                <w:color w:val="auto"/>
              </w:rPr>
            </w:pPr>
          </w:p>
        </w:tc>
        <w:tc>
          <w:tcPr>
            <w:tcW w:w="1500" w:type="dxa"/>
            <w:vAlign w:val="bottom"/>
            <w:tcBorders>
              <w:bottom w:val="single" w:sz="8" w:color="231F20"/>
            </w:tcBorders>
            <w:shd w:val="clear" w:color="auto" w:fill="D0EBF2"/>
          </w:tcPr>
          <w:p>
            <w:pPr>
              <w:jc w:val="right"/>
              <w:spacing w:after="0"/>
              <w:rPr>
                <w:sz w:val="20"/>
                <w:szCs w:val="20"/>
                <w:color w:val="auto"/>
              </w:rPr>
            </w:pPr>
            <w:r>
              <w:rPr>
                <w:rFonts w:ascii="Times New Roman" w:cs="Times New Roman" w:eastAsia="Times New Roman" w:hAnsi="Times New Roman"/>
                <w:sz w:val="15"/>
                <w:szCs w:val="15"/>
                <w:color w:val="231F20"/>
              </w:rPr>
              <w:t>(GBP 9,684)</w:t>
            </w:r>
          </w:p>
        </w:tc>
        <w:tc>
          <w:tcPr>
            <w:tcW w:w="100" w:type="dxa"/>
            <w:vAlign w:val="bottom"/>
            <w:tcBorders>
              <w:bottom w:val="single" w:sz="8" w:color="D0EBF2"/>
            </w:tcBorders>
            <w:shd w:val="clear" w:color="auto" w:fill="D0EBF2"/>
          </w:tcPr>
          <w:p>
            <w:pPr>
              <w:spacing w:after="0"/>
              <w:rPr>
                <w:sz w:val="16"/>
                <w:szCs w:val="16"/>
                <w:color w:val="auto"/>
              </w:rPr>
            </w:pPr>
          </w:p>
        </w:tc>
        <w:tc>
          <w:tcPr>
            <w:tcW w:w="860" w:type="dxa"/>
            <w:vAlign w:val="bottom"/>
            <w:tcBorders>
              <w:bottom w:val="single" w:sz="8" w:color="231F20"/>
            </w:tcBorders>
            <w:shd w:val="clear" w:color="auto" w:fill="D0EBF2"/>
          </w:tcPr>
          <w:p>
            <w:pPr>
              <w:spacing w:after="0"/>
              <w:rPr>
                <w:sz w:val="16"/>
                <w:szCs w:val="16"/>
                <w:color w:val="auto"/>
              </w:rPr>
            </w:pPr>
          </w:p>
        </w:tc>
      </w:tr>
      <w:tr>
        <w:trPr>
          <w:trHeight w:val="176"/>
        </w:trPr>
        <w:tc>
          <w:tcPr>
            <w:tcW w:w="1580" w:type="dxa"/>
            <w:vAlign w:val="bottom"/>
            <w:tcBorders>
              <w:bottom w:val="single" w:sz="8" w:color="D0EBF2"/>
            </w:tcBorders>
            <w:shd w:val="clear" w:color="auto" w:fill="FDFDFC"/>
          </w:tcPr>
          <w:p>
            <w:pPr>
              <w:spacing w:after="0"/>
              <w:rPr>
                <w:sz w:val="15"/>
                <w:szCs w:val="15"/>
                <w:color w:val="auto"/>
              </w:rPr>
            </w:pPr>
          </w:p>
        </w:tc>
        <w:tc>
          <w:tcPr>
            <w:tcW w:w="2200" w:type="dxa"/>
            <w:vAlign w:val="bottom"/>
            <w:tcBorders>
              <w:bottom w:val="single" w:sz="8" w:color="D0EBF2"/>
            </w:tcBorders>
            <w:shd w:val="clear" w:color="auto" w:fill="FDFDFC"/>
          </w:tcPr>
          <w:p>
            <w:pPr>
              <w:spacing w:after="0"/>
              <w:rPr>
                <w:sz w:val="15"/>
                <w:szCs w:val="15"/>
                <w:color w:val="auto"/>
              </w:rPr>
            </w:pPr>
          </w:p>
        </w:tc>
        <w:tc>
          <w:tcPr>
            <w:tcW w:w="800" w:type="dxa"/>
            <w:vAlign w:val="bottom"/>
            <w:tcBorders>
              <w:bottom w:val="single" w:sz="8" w:color="D0EBF2"/>
            </w:tcBorders>
            <w:shd w:val="clear" w:color="auto" w:fill="FDFDFC"/>
          </w:tcPr>
          <w:p>
            <w:pPr>
              <w:spacing w:after="0"/>
              <w:rPr>
                <w:sz w:val="15"/>
                <w:szCs w:val="15"/>
                <w:color w:val="auto"/>
              </w:rPr>
            </w:pPr>
          </w:p>
        </w:tc>
        <w:tc>
          <w:tcPr>
            <w:tcW w:w="1000" w:type="dxa"/>
            <w:vAlign w:val="bottom"/>
            <w:tcBorders>
              <w:bottom w:val="single" w:sz="8" w:color="D0EBF2"/>
            </w:tcBorders>
            <w:shd w:val="clear" w:color="auto" w:fill="FDFDFC"/>
          </w:tcPr>
          <w:p>
            <w:pPr>
              <w:spacing w:after="0"/>
              <w:rPr>
                <w:sz w:val="15"/>
                <w:szCs w:val="15"/>
                <w:color w:val="auto"/>
              </w:rPr>
            </w:pPr>
          </w:p>
        </w:tc>
        <w:tc>
          <w:tcPr>
            <w:tcW w:w="1060" w:type="dxa"/>
            <w:vAlign w:val="bottom"/>
            <w:tcBorders>
              <w:bottom w:val="single" w:sz="8" w:color="D0EBF2"/>
            </w:tcBorders>
            <w:shd w:val="clear" w:color="auto" w:fill="FDFDFC"/>
          </w:tcPr>
          <w:p>
            <w:pPr>
              <w:spacing w:after="0"/>
              <w:rPr>
                <w:sz w:val="15"/>
                <w:szCs w:val="15"/>
                <w:color w:val="auto"/>
              </w:rPr>
            </w:pPr>
          </w:p>
        </w:tc>
        <w:tc>
          <w:tcPr>
            <w:tcW w:w="100" w:type="dxa"/>
            <w:vAlign w:val="bottom"/>
            <w:tcBorders>
              <w:bottom w:val="single" w:sz="8" w:color="D0EBF2"/>
            </w:tcBorders>
            <w:shd w:val="clear" w:color="auto" w:fill="FDFDFC"/>
          </w:tcPr>
          <w:p>
            <w:pPr>
              <w:spacing w:after="0"/>
              <w:rPr>
                <w:sz w:val="15"/>
                <w:szCs w:val="15"/>
                <w:color w:val="auto"/>
              </w:rPr>
            </w:pPr>
          </w:p>
        </w:tc>
        <w:tc>
          <w:tcPr>
            <w:tcW w:w="900" w:type="dxa"/>
            <w:vAlign w:val="bottom"/>
            <w:tcBorders>
              <w:bottom w:val="single" w:sz="8" w:color="231F20"/>
            </w:tcBorders>
            <w:shd w:val="clear" w:color="auto" w:fill="FDFDFC"/>
          </w:tcPr>
          <w:p>
            <w:pPr>
              <w:jc w:val="right"/>
              <w:spacing w:after="0"/>
              <w:rPr>
                <w:sz w:val="20"/>
                <w:szCs w:val="20"/>
                <w:color w:val="auto"/>
              </w:rPr>
            </w:pPr>
            <w:r>
              <w:rPr>
                <w:rFonts w:ascii="Times New Roman" w:cs="Times New Roman" w:eastAsia="Times New Roman" w:hAnsi="Times New Roman"/>
                <w:sz w:val="15"/>
                <w:szCs w:val="15"/>
                <w:color w:val="231F20"/>
              </w:rPr>
              <w:t>83,258</w:t>
            </w:r>
          </w:p>
        </w:tc>
        <w:tc>
          <w:tcPr>
            <w:tcW w:w="180" w:type="dxa"/>
            <w:vAlign w:val="bottom"/>
            <w:tcBorders>
              <w:bottom w:val="single" w:sz="8" w:color="D0EBF2"/>
            </w:tcBorders>
            <w:gridSpan w:val="2"/>
            <w:shd w:val="clear" w:color="auto" w:fill="FDFDFC"/>
          </w:tcPr>
          <w:p>
            <w:pPr>
              <w:spacing w:after="0"/>
              <w:rPr>
                <w:sz w:val="15"/>
                <w:szCs w:val="15"/>
                <w:color w:val="auto"/>
              </w:rPr>
            </w:pPr>
          </w:p>
        </w:tc>
        <w:tc>
          <w:tcPr>
            <w:tcW w:w="1500" w:type="dxa"/>
            <w:vAlign w:val="bottom"/>
            <w:tcBorders>
              <w:bottom w:val="single" w:sz="8" w:color="231F20"/>
            </w:tcBorders>
            <w:shd w:val="clear" w:color="auto" w:fill="FDFDFC"/>
          </w:tcPr>
          <w:p>
            <w:pPr>
              <w:jc w:val="right"/>
              <w:spacing w:after="0"/>
              <w:rPr>
                <w:sz w:val="20"/>
                <w:szCs w:val="20"/>
                <w:color w:val="auto"/>
              </w:rPr>
            </w:pPr>
            <w:r>
              <w:rPr>
                <w:rFonts w:ascii="Times New Roman" w:cs="Times New Roman" w:eastAsia="Times New Roman" w:hAnsi="Times New Roman"/>
                <w:sz w:val="15"/>
                <w:szCs w:val="15"/>
                <w:color w:val="231F20"/>
              </w:rPr>
              <w:t>94,390</w:t>
            </w:r>
          </w:p>
        </w:tc>
        <w:tc>
          <w:tcPr>
            <w:tcW w:w="100" w:type="dxa"/>
            <w:vAlign w:val="bottom"/>
            <w:tcBorders>
              <w:bottom w:val="single" w:sz="8" w:color="D0EBF2"/>
            </w:tcBorders>
            <w:shd w:val="clear" w:color="auto" w:fill="FDFDFC"/>
          </w:tcPr>
          <w:p>
            <w:pPr>
              <w:spacing w:after="0"/>
              <w:rPr>
                <w:sz w:val="15"/>
                <w:szCs w:val="15"/>
                <w:color w:val="auto"/>
              </w:rPr>
            </w:pPr>
          </w:p>
        </w:tc>
        <w:tc>
          <w:tcPr>
            <w:tcW w:w="860" w:type="dxa"/>
            <w:vAlign w:val="bottom"/>
            <w:tcBorders>
              <w:bottom w:val="single" w:sz="8" w:color="231F20"/>
            </w:tcBorders>
            <w:shd w:val="clear" w:color="auto" w:fill="FDFDFC"/>
          </w:tcPr>
          <w:p>
            <w:pPr>
              <w:jc w:val="right"/>
              <w:spacing w:after="0"/>
              <w:rPr>
                <w:sz w:val="20"/>
                <w:szCs w:val="20"/>
                <w:color w:val="auto"/>
              </w:rPr>
            </w:pPr>
            <w:r>
              <w:rPr>
                <w:rFonts w:ascii="Times New Roman" w:cs="Times New Roman" w:eastAsia="Times New Roman" w:hAnsi="Times New Roman"/>
                <w:sz w:val="15"/>
                <w:szCs w:val="15"/>
                <w:color w:val="231F20"/>
              </w:rPr>
              <w:t>5.9%</w:t>
            </w:r>
          </w:p>
        </w:tc>
      </w:tr>
      <w:tr>
        <w:trPr>
          <w:trHeight w:val="176"/>
        </w:trPr>
        <w:tc>
          <w:tcPr>
            <w:tcW w:w="1580" w:type="dxa"/>
            <w:vAlign w:val="bottom"/>
            <w:shd w:val="clear" w:color="auto" w:fill="D0EBF2"/>
          </w:tcPr>
          <w:p>
            <w:pPr>
              <w:spacing w:after="0"/>
              <w:rPr>
                <w:sz w:val="20"/>
                <w:szCs w:val="20"/>
                <w:color w:val="auto"/>
              </w:rPr>
            </w:pPr>
            <w:r>
              <w:rPr>
                <w:rFonts w:ascii="Times New Roman" w:cs="Times New Roman" w:eastAsia="Times New Roman" w:hAnsi="Times New Roman"/>
                <w:sz w:val="15"/>
                <w:szCs w:val="15"/>
                <w:b w:val="1"/>
                <w:bCs w:val="1"/>
                <w:color w:val="231F20"/>
              </w:rPr>
              <w:t>Real Estate</w:t>
            </w:r>
          </w:p>
        </w:tc>
        <w:tc>
          <w:tcPr>
            <w:tcW w:w="2200" w:type="dxa"/>
            <w:vAlign w:val="bottom"/>
            <w:shd w:val="clear" w:color="auto" w:fill="D0EBF2"/>
          </w:tcPr>
          <w:p>
            <w:pPr>
              <w:spacing w:after="0"/>
              <w:rPr>
                <w:sz w:val="15"/>
                <w:szCs w:val="15"/>
                <w:color w:val="auto"/>
              </w:rPr>
            </w:pPr>
          </w:p>
        </w:tc>
        <w:tc>
          <w:tcPr>
            <w:tcW w:w="800" w:type="dxa"/>
            <w:vAlign w:val="bottom"/>
            <w:shd w:val="clear" w:color="auto" w:fill="D0EBF2"/>
          </w:tcPr>
          <w:p>
            <w:pPr>
              <w:spacing w:after="0"/>
              <w:rPr>
                <w:sz w:val="15"/>
                <w:szCs w:val="15"/>
                <w:color w:val="auto"/>
              </w:rPr>
            </w:pPr>
          </w:p>
        </w:tc>
        <w:tc>
          <w:tcPr>
            <w:tcW w:w="1000" w:type="dxa"/>
            <w:vAlign w:val="bottom"/>
            <w:shd w:val="clear" w:color="auto" w:fill="D0EBF2"/>
          </w:tcPr>
          <w:p>
            <w:pPr>
              <w:spacing w:after="0"/>
              <w:rPr>
                <w:sz w:val="15"/>
                <w:szCs w:val="15"/>
                <w:color w:val="auto"/>
              </w:rPr>
            </w:pPr>
          </w:p>
        </w:tc>
        <w:tc>
          <w:tcPr>
            <w:tcW w:w="1060" w:type="dxa"/>
            <w:vAlign w:val="bottom"/>
            <w:shd w:val="clear" w:color="auto" w:fill="D0EBF2"/>
          </w:tcPr>
          <w:p>
            <w:pPr>
              <w:spacing w:after="0"/>
              <w:rPr>
                <w:sz w:val="15"/>
                <w:szCs w:val="15"/>
                <w:color w:val="auto"/>
              </w:rPr>
            </w:pPr>
          </w:p>
        </w:tc>
        <w:tc>
          <w:tcPr>
            <w:tcW w:w="100" w:type="dxa"/>
            <w:vAlign w:val="bottom"/>
            <w:shd w:val="clear" w:color="auto" w:fill="D0EBF2"/>
          </w:tcPr>
          <w:p>
            <w:pPr>
              <w:spacing w:after="0"/>
              <w:rPr>
                <w:sz w:val="15"/>
                <w:szCs w:val="15"/>
                <w:color w:val="auto"/>
              </w:rPr>
            </w:pPr>
          </w:p>
        </w:tc>
        <w:tc>
          <w:tcPr>
            <w:tcW w:w="900" w:type="dxa"/>
            <w:vAlign w:val="bottom"/>
            <w:shd w:val="clear" w:color="auto" w:fill="D0EBF2"/>
          </w:tcPr>
          <w:p>
            <w:pPr>
              <w:spacing w:after="0"/>
              <w:rPr>
                <w:sz w:val="15"/>
                <w:szCs w:val="15"/>
                <w:color w:val="auto"/>
              </w:rPr>
            </w:pPr>
          </w:p>
        </w:tc>
        <w:tc>
          <w:tcPr>
            <w:tcW w:w="80" w:type="dxa"/>
            <w:vAlign w:val="bottom"/>
            <w:shd w:val="clear" w:color="auto" w:fill="D0EBF2"/>
          </w:tcPr>
          <w:p>
            <w:pPr>
              <w:spacing w:after="0"/>
              <w:rPr>
                <w:sz w:val="15"/>
                <w:szCs w:val="15"/>
                <w:color w:val="auto"/>
              </w:rPr>
            </w:pPr>
          </w:p>
        </w:tc>
        <w:tc>
          <w:tcPr>
            <w:tcW w:w="100" w:type="dxa"/>
            <w:vAlign w:val="bottom"/>
            <w:shd w:val="clear" w:color="auto" w:fill="D0EBF2"/>
          </w:tcPr>
          <w:p>
            <w:pPr>
              <w:spacing w:after="0"/>
              <w:rPr>
                <w:sz w:val="15"/>
                <w:szCs w:val="15"/>
                <w:color w:val="auto"/>
              </w:rPr>
            </w:pPr>
          </w:p>
        </w:tc>
        <w:tc>
          <w:tcPr>
            <w:tcW w:w="1500" w:type="dxa"/>
            <w:vAlign w:val="bottom"/>
            <w:shd w:val="clear" w:color="auto" w:fill="D0EBF2"/>
          </w:tcPr>
          <w:p>
            <w:pPr>
              <w:spacing w:after="0"/>
              <w:rPr>
                <w:sz w:val="15"/>
                <w:szCs w:val="15"/>
                <w:color w:val="auto"/>
              </w:rPr>
            </w:pPr>
          </w:p>
        </w:tc>
        <w:tc>
          <w:tcPr>
            <w:tcW w:w="100" w:type="dxa"/>
            <w:vAlign w:val="bottom"/>
            <w:shd w:val="clear" w:color="auto" w:fill="D0EBF2"/>
          </w:tcPr>
          <w:p>
            <w:pPr>
              <w:spacing w:after="0"/>
              <w:rPr>
                <w:sz w:val="15"/>
                <w:szCs w:val="15"/>
                <w:color w:val="auto"/>
              </w:rPr>
            </w:pPr>
          </w:p>
        </w:tc>
        <w:tc>
          <w:tcPr>
            <w:tcW w:w="860" w:type="dxa"/>
            <w:vAlign w:val="bottom"/>
            <w:shd w:val="clear" w:color="auto" w:fill="D0EBF2"/>
          </w:tcPr>
          <w:p>
            <w:pPr>
              <w:spacing w:after="0"/>
              <w:rPr>
                <w:sz w:val="15"/>
                <w:szCs w:val="15"/>
                <w:color w:val="auto"/>
              </w:rPr>
            </w:pPr>
          </w:p>
        </w:tc>
      </w:tr>
      <w:tr>
        <w:trPr>
          <w:trHeight w:val="171"/>
        </w:trPr>
        <w:tc>
          <w:tcPr>
            <w:tcW w:w="1580" w:type="dxa"/>
            <w:vAlign w:val="bottom"/>
            <w:shd w:val="clear" w:color="auto" w:fill="FDFDFC"/>
          </w:tcPr>
          <w:p>
            <w:pPr>
              <w:spacing w:after="0" w:line="172" w:lineRule="exact"/>
              <w:rPr>
                <w:sz w:val="20"/>
                <w:szCs w:val="20"/>
                <w:color w:val="auto"/>
              </w:rPr>
            </w:pPr>
            <w:r>
              <w:rPr>
                <w:rFonts w:ascii="Times New Roman" w:cs="Times New Roman" w:eastAsia="Times New Roman" w:hAnsi="Times New Roman"/>
                <w:sz w:val="15"/>
                <w:szCs w:val="15"/>
                <w:color w:val="231F20"/>
              </w:rPr>
              <w:t>Cirrus (BidCo) Limited</w:t>
            </w:r>
          </w:p>
        </w:tc>
        <w:tc>
          <w:tcPr>
            <w:tcW w:w="2200" w:type="dxa"/>
            <w:vAlign w:val="bottom"/>
            <w:shd w:val="clear" w:color="auto" w:fill="FDFDFC"/>
          </w:tcPr>
          <w:p>
            <w:pPr>
              <w:ind w:left="60"/>
              <w:spacing w:after="0" w:line="172" w:lineRule="exact"/>
              <w:rPr>
                <w:sz w:val="20"/>
                <w:szCs w:val="20"/>
                <w:color w:val="auto"/>
              </w:rPr>
            </w:pPr>
            <w:r>
              <w:rPr>
                <w:rFonts w:ascii="Times New Roman" w:cs="Times New Roman" w:eastAsia="Times New Roman" w:hAnsi="Times New Roman"/>
                <w:sz w:val="15"/>
                <w:szCs w:val="15"/>
                <w:color w:val="231F20"/>
              </w:rPr>
              <w:t>First-lien loan (GBP 675 par, due</w:t>
            </w:r>
          </w:p>
        </w:tc>
        <w:tc>
          <w:tcPr>
            <w:tcW w:w="800" w:type="dxa"/>
            <w:vAlign w:val="bottom"/>
            <w:shd w:val="clear" w:color="auto" w:fill="FDFDFC"/>
          </w:tcPr>
          <w:p>
            <w:pPr>
              <w:jc w:val="right"/>
              <w:spacing w:after="0" w:line="172" w:lineRule="exact"/>
              <w:rPr>
                <w:sz w:val="20"/>
                <w:szCs w:val="20"/>
                <w:color w:val="auto"/>
              </w:rPr>
            </w:pPr>
            <w:r>
              <w:rPr>
                <w:rFonts w:ascii="Times New Roman" w:cs="Times New Roman" w:eastAsia="Times New Roman" w:hAnsi="Times New Roman"/>
                <w:sz w:val="15"/>
                <w:szCs w:val="15"/>
                <w:color w:val="231F20"/>
              </w:rPr>
              <w:t>8/9/2024</w:t>
            </w:r>
          </w:p>
        </w:tc>
        <w:tc>
          <w:tcPr>
            <w:tcW w:w="1000" w:type="dxa"/>
            <w:vAlign w:val="bottom"/>
            <w:shd w:val="clear" w:color="auto" w:fill="FDFDFC"/>
          </w:tcPr>
          <w:p>
            <w:pPr>
              <w:jc w:val="right"/>
              <w:ind w:right="44"/>
              <w:spacing w:after="0" w:line="172" w:lineRule="exact"/>
              <w:rPr>
                <w:sz w:val="20"/>
                <w:szCs w:val="20"/>
                <w:color w:val="auto"/>
              </w:rPr>
            </w:pPr>
            <w:r>
              <w:rPr>
                <w:rFonts w:ascii="Times New Roman" w:cs="Times New Roman" w:eastAsia="Times New Roman" w:hAnsi="Times New Roman"/>
                <w:sz w:val="15"/>
                <w:szCs w:val="15"/>
                <w:color w:val="231F20"/>
              </w:rPr>
              <w:t>S + 6.25%</w:t>
            </w:r>
          </w:p>
        </w:tc>
        <w:tc>
          <w:tcPr>
            <w:tcW w:w="1060" w:type="dxa"/>
            <w:vAlign w:val="bottom"/>
            <w:shd w:val="clear" w:color="auto" w:fill="FDFDFC"/>
          </w:tcPr>
          <w:p>
            <w:pPr>
              <w:jc w:val="right"/>
              <w:ind w:right="64"/>
              <w:spacing w:after="0" w:line="172" w:lineRule="exact"/>
              <w:rPr>
                <w:sz w:val="20"/>
                <w:szCs w:val="20"/>
                <w:color w:val="auto"/>
              </w:rPr>
            </w:pPr>
            <w:r>
              <w:rPr>
                <w:rFonts w:ascii="Times New Roman" w:cs="Times New Roman" w:eastAsia="Times New Roman" w:hAnsi="Times New Roman"/>
                <w:sz w:val="15"/>
                <w:szCs w:val="15"/>
                <w:color w:val="231F20"/>
              </w:rPr>
              <w:t>10.95% (incl.</w:t>
            </w:r>
          </w:p>
        </w:tc>
        <w:tc>
          <w:tcPr>
            <w:tcW w:w="100" w:type="dxa"/>
            <w:vAlign w:val="bottom"/>
            <w:shd w:val="clear" w:color="auto" w:fill="FDFDFC"/>
          </w:tcPr>
          <w:p>
            <w:pPr>
              <w:spacing w:after="0"/>
              <w:rPr>
                <w:sz w:val="14"/>
                <w:szCs w:val="14"/>
                <w:color w:val="auto"/>
              </w:rPr>
            </w:pPr>
          </w:p>
        </w:tc>
        <w:tc>
          <w:tcPr>
            <w:tcW w:w="900" w:type="dxa"/>
            <w:vAlign w:val="bottom"/>
            <w:shd w:val="clear" w:color="auto" w:fill="FDFDFC"/>
          </w:tcPr>
          <w:p>
            <w:pPr>
              <w:jc w:val="right"/>
              <w:spacing w:after="0" w:line="172" w:lineRule="exact"/>
              <w:rPr>
                <w:sz w:val="20"/>
                <w:szCs w:val="20"/>
                <w:color w:val="auto"/>
              </w:rPr>
            </w:pPr>
            <w:r>
              <w:rPr>
                <w:rFonts w:ascii="Times New Roman" w:cs="Times New Roman" w:eastAsia="Times New Roman" w:hAnsi="Times New Roman"/>
                <w:sz w:val="15"/>
                <w:szCs w:val="15"/>
                <w:color w:val="231F20"/>
              </w:rPr>
              <w:t>836</w:t>
            </w:r>
          </w:p>
        </w:tc>
        <w:tc>
          <w:tcPr>
            <w:tcW w:w="180" w:type="dxa"/>
            <w:vAlign w:val="bottom"/>
            <w:gridSpan w:val="2"/>
            <w:shd w:val="clear" w:color="auto" w:fill="FDFDFC"/>
          </w:tcPr>
          <w:p>
            <w:pPr>
              <w:spacing w:after="0"/>
              <w:rPr>
                <w:sz w:val="14"/>
                <w:szCs w:val="14"/>
                <w:color w:val="auto"/>
              </w:rPr>
            </w:pPr>
          </w:p>
        </w:tc>
        <w:tc>
          <w:tcPr>
            <w:tcW w:w="1500" w:type="dxa"/>
            <w:vAlign w:val="bottom"/>
            <w:shd w:val="clear" w:color="auto" w:fill="FDFDFC"/>
          </w:tcPr>
          <w:p>
            <w:pPr>
              <w:jc w:val="right"/>
              <w:spacing w:after="0" w:line="172" w:lineRule="exact"/>
              <w:rPr>
                <w:sz w:val="20"/>
                <w:szCs w:val="20"/>
                <w:color w:val="auto"/>
              </w:rPr>
            </w:pPr>
            <w:r>
              <w:rPr>
                <w:rFonts w:ascii="Times New Roman" w:cs="Times New Roman" w:eastAsia="Times New Roman" w:hAnsi="Times New Roman"/>
                <w:sz w:val="15"/>
                <w:szCs w:val="15"/>
                <w:color w:val="231F20"/>
              </w:rPr>
              <w:t>836</w:t>
            </w:r>
          </w:p>
        </w:tc>
        <w:tc>
          <w:tcPr>
            <w:tcW w:w="100" w:type="dxa"/>
            <w:vAlign w:val="bottom"/>
            <w:shd w:val="clear" w:color="auto" w:fill="FDFDFC"/>
          </w:tcPr>
          <w:p>
            <w:pPr>
              <w:spacing w:after="0"/>
              <w:rPr>
                <w:sz w:val="14"/>
                <w:szCs w:val="14"/>
                <w:color w:val="auto"/>
              </w:rPr>
            </w:pPr>
          </w:p>
        </w:tc>
        <w:tc>
          <w:tcPr>
            <w:tcW w:w="860" w:type="dxa"/>
            <w:vAlign w:val="bottom"/>
            <w:shd w:val="clear" w:color="auto" w:fill="FDFDFC"/>
          </w:tcPr>
          <w:p>
            <w:pPr>
              <w:jc w:val="right"/>
              <w:spacing w:after="0" w:line="172" w:lineRule="exact"/>
              <w:rPr>
                <w:sz w:val="20"/>
                <w:szCs w:val="20"/>
                <w:color w:val="auto"/>
              </w:rPr>
            </w:pPr>
            <w:r>
              <w:rPr>
                <w:rFonts w:ascii="Times New Roman" w:cs="Times New Roman" w:eastAsia="Times New Roman" w:hAnsi="Times New Roman"/>
                <w:sz w:val="15"/>
                <w:szCs w:val="15"/>
                <w:color w:val="231F20"/>
              </w:rPr>
              <w:t>0.1%</w:t>
            </w:r>
          </w:p>
        </w:tc>
      </w:tr>
      <w:tr>
        <w:trPr>
          <w:trHeight w:val="169"/>
        </w:trPr>
        <w:tc>
          <w:tcPr>
            <w:tcW w:w="1580" w:type="dxa"/>
            <w:vAlign w:val="bottom"/>
            <w:tcBorders>
              <w:bottom w:val="single" w:sz="8" w:color="FDFDFC"/>
            </w:tcBorders>
            <w:shd w:val="clear" w:color="auto" w:fill="FDFDFC"/>
          </w:tcPr>
          <w:p>
            <w:pPr>
              <w:spacing w:after="0"/>
              <w:rPr>
                <w:sz w:val="20"/>
                <w:szCs w:val="20"/>
                <w:color w:val="auto"/>
              </w:rPr>
            </w:pPr>
            <w:r>
              <w:rPr>
                <w:rFonts w:ascii="Times New Roman" w:cs="Times New Roman" w:eastAsia="Times New Roman" w:hAnsi="Times New Roman"/>
                <w:sz w:val="9"/>
                <w:szCs w:val="9"/>
                <w:color w:val="231F20"/>
              </w:rPr>
              <w:t>(3)(4)(5)</w:t>
            </w:r>
          </w:p>
        </w:tc>
        <w:tc>
          <w:tcPr>
            <w:tcW w:w="2200" w:type="dxa"/>
            <w:vAlign w:val="bottom"/>
            <w:tcBorders>
              <w:bottom w:val="single" w:sz="8" w:color="FDFDFC"/>
            </w:tcBorders>
            <w:shd w:val="clear" w:color="auto" w:fill="FDFDFC"/>
          </w:tcPr>
          <w:p>
            <w:pPr>
              <w:ind w:left="60"/>
              <w:spacing w:after="0" w:line="169" w:lineRule="exact"/>
              <w:rPr>
                <w:sz w:val="20"/>
                <w:szCs w:val="20"/>
                <w:color w:val="auto"/>
              </w:rPr>
            </w:pPr>
            <w:r>
              <w:rPr>
                <w:rFonts w:ascii="Times New Roman" w:cs="Times New Roman" w:eastAsia="Times New Roman" w:hAnsi="Times New Roman"/>
                <w:sz w:val="15"/>
                <w:szCs w:val="15"/>
                <w:color w:val="231F20"/>
              </w:rPr>
              <w:t>8/2030)</w:t>
            </w:r>
          </w:p>
        </w:tc>
        <w:tc>
          <w:tcPr>
            <w:tcW w:w="800" w:type="dxa"/>
            <w:vAlign w:val="bottom"/>
            <w:tcBorders>
              <w:bottom w:val="single" w:sz="8" w:color="FDFDFC"/>
            </w:tcBorders>
            <w:shd w:val="clear" w:color="auto" w:fill="FDFDFC"/>
          </w:tcPr>
          <w:p>
            <w:pPr>
              <w:spacing w:after="0"/>
              <w:rPr>
                <w:sz w:val="14"/>
                <w:szCs w:val="14"/>
                <w:color w:val="auto"/>
              </w:rPr>
            </w:pPr>
          </w:p>
        </w:tc>
        <w:tc>
          <w:tcPr>
            <w:tcW w:w="1000" w:type="dxa"/>
            <w:vAlign w:val="bottom"/>
            <w:tcBorders>
              <w:bottom w:val="single" w:sz="8" w:color="FDFDFC"/>
            </w:tcBorders>
            <w:shd w:val="clear" w:color="auto" w:fill="FDFDFC"/>
          </w:tcPr>
          <w:p>
            <w:pPr>
              <w:spacing w:after="0"/>
              <w:rPr>
                <w:sz w:val="14"/>
                <w:szCs w:val="14"/>
                <w:color w:val="auto"/>
              </w:rPr>
            </w:pPr>
          </w:p>
        </w:tc>
        <w:tc>
          <w:tcPr>
            <w:tcW w:w="1060" w:type="dxa"/>
            <w:vAlign w:val="bottom"/>
            <w:tcBorders>
              <w:bottom w:val="single" w:sz="8" w:color="FDFDFC"/>
            </w:tcBorders>
            <w:shd w:val="clear" w:color="auto" w:fill="FDFDFC"/>
          </w:tcPr>
          <w:p>
            <w:pPr>
              <w:jc w:val="right"/>
              <w:ind w:right="64"/>
              <w:spacing w:after="0" w:line="169" w:lineRule="exact"/>
              <w:rPr>
                <w:sz w:val="20"/>
                <w:szCs w:val="20"/>
                <w:color w:val="auto"/>
              </w:rPr>
            </w:pPr>
            <w:r>
              <w:rPr>
                <w:rFonts w:ascii="Times New Roman" w:cs="Times New Roman" w:eastAsia="Times New Roman" w:hAnsi="Times New Roman"/>
                <w:sz w:val="15"/>
                <w:szCs w:val="15"/>
                <w:color w:val="231F20"/>
              </w:rPr>
              <w:t>3.00% PIK)</w:t>
            </w:r>
          </w:p>
        </w:tc>
        <w:tc>
          <w:tcPr>
            <w:tcW w:w="100" w:type="dxa"/>
            <w:vAlign w:val="bottom"/>
            <w:tcBorders>
              <w:bottom w:val="single" w:sz="8" w:color="FDFDFC"/>
            </w:tcBorders>
            <w:shd w:val="clear" w:color="auto" w:fill="FDFDFC"/>
          </w:tcPr>
          <w:p>
            <w:pPr>
              <w:spacing w:after="0"/>
              <w:rPr>
                <w:sz w:val="14"/>
                <w:szCs w:val="14"/>
                <w:color w:val="auto"/>
              </w:rPr>
            </w:pPr>
          </w:p>
        </w:tc>
        <w:tc>
          <w:tcPr>
            <w:tcW w:w="900" w:type="dxa"/>
            <w:vAlign w:val="bottom"/>
            <w:tcBorders>
              <w:bottom w:val="single" w:sz="8" w:color="FDFDFC"/>
            </w:tcBorders>
            <w:shd w:val="clear" w:color="auto" w:fill="FDFDFC"/>
          </w:tcPr>
          <w:p>
            <w:pPr>
              <w:spacing w:after="0"/>
              <w:rPr>
                <w:sz w:val="14"/>
                <w:szCs w:val="14"/>
                <w:color w:val="auto"/>
              </w:rPr>
            </w:pPr>
          </w:p>
        </w:tc>
        <w:tc>
          <w:tcPr>
            <w:tcW w:w="80" w:type="dxa"/>
            <w:vAlign w:val="bottom"/>
            <w:tcBorders>
              <w:bottom w:val="single" w:sz="8" w:color="FDFDFC"/>
            </w:tcBorders>
            <w:shd w:val="clear" w:color="auto" w:fill="FDFDFC"/>
          </w:tcPr>
          <w:p>
            <w:pPr>
              <w:spacing w:after="0"/>
              <w:rPr>
                <w:sz w:val="14"/>
                <w:szCs w:val="14"/>
                <w:color w:val="auto"/>
              </w:rPr>
            </w:pPr>
          </w:p>
        </w:tc>
        <w:tc>
          <w:tcPr>
            <w:tcW w:w="100" w:type="dxa"/>
            <w:vAlign w:val="bottom"/>
            <w:tcBorders>
              <w:bottom w:val="single" w:sz="8" w:color="FDFDFC"/>
            </w:tcBorders>
            <w:shd w:val="clear" w:color="auto" w:fill="FDFDFC"/>
          </w:tcPr>
          <w:p>
            <w:pPr>
              <w:spacing w:after="0"/>
              <w:rPr>
                <w:sz w:val="14"/>
                <w:szCs w:val="14"/>
                <w:color w:val="auto"/>
              </w:rPr>
            </w:pPr>
          </w:p>
        </w:tc>
        <w:tc>
          <w:tcPr>
            <w:tcW w:w="1500" w:type="dxa"/>
            <w:vAlign w:val="bottom"/>
            <w:tcBorders>
              <w:bottom w:val="single" w:sz="8" w:color="FDFDFC"/>
            </w:tcBorders>
            <w:shd w:val="clear" w:color="auto" w:fill="FDFDFC"/>
          </w:tcPr>
          <w:p>
            <w:pPr>
              <w:jc w:val="right"/>
              <w:spacing w:after="0" w:line="169" w:lineRule="exact"/>
              <w:rPr>
                <w:sz w:val="20"/>
                <w:szCs w:val="20"/>
                <w:color w:val="auto"/>
              </w:rPr>
            </w:pPr>
            <w:r>
              <w:rPr>
                <w:rFonts w:ascii="Times New Roman" w:cs="Times New Roman" w:eastAsia="Times New Roman" w:hAnsi="Times New Roman"/>
                <w:sz w:val="15"/>
                <w:szCs w:val="15"/>
                <w:color w:val="231F20"/>
              </w:rPr>
              <w:t>(GBP 667)</w:t>
            </w:r>
          </w:p>
        </w:tc>
        <w:tc>
          <w:tcPr>
            <w:tcW w:w="100" w:type="dxa"/>
            <w:vAlign w:val="bottom"/>
            <w:tcBorders>
              <w:bottom w:val="single" w:sz="8" w:color="FDFDFC"/>
            </w:tcBorders>
            <w:shd w:val="clear" w:color="auto" w:fill="FDFDFC"/>
          </w:tcPr>
          <w:p>
            <w:pPr>
              <w:spacing w:after="0"/>
              <w:rPr>
                <w:sz w:val="14"/>
                <w:szCs w:val="14"/>
                <w:color w:val="auto"/>
              </w:rPr>
            </w:pPr>
          </w:p>
        </w:tc>
        <w:tc>
          <w:tcPr>
            <w:tcW w:w="860" w:type="dxa"/>
            <w:vAlign w:val="bottom"/>
            <w:tcBorders>
              <w:bottom w:val="single" w:sz="8" w:color="FDFDFC"/>
            </w:tcBorders>
            <w:shd w:val="clear" w:color="auto" w:fill="FDFDFC"/>
          </w:tcPr>
          <w:p>
            <w:pPr>
              <w:spacing w:after="0"/>
              <w:rPr>
                <w:sz w:val="14"/>
                <w:szCs w:val="14"/>
                <w:color w:val="auto"/>
              </w:rPr>
            </w:pPr>
          </w:p>
        </w:tc>
      </w:tr>
      <w:tr>
        <w:trPr>
          <w:trHeight w:val="169"/>
        </w:trPr>
        <w:tc>
          <w:tcPr>
            <w:tcW w:w="1580" w:type="dxa"/>
            <w:vAlign w:val="bottom"/>
            <w:shd w:val="clear" w:color="auto" w:fill="D0EBF2"/>
          </w:tcPr>
          <w:p>
            <w:pPr>
              <w:spacing w:after="0" w:line="169" w:lineRule="exact"/>
              <w:rPr>
                <w:sz w:val="20"/>
                <w:szCs w:val="20"/>
                <w:color w:val="auto"/>
              </w:rPr>
            </w:pPr>
            <w:r>
              <w:rPr>
                <w:rFonts w:ascii="Times New Roman" w:cs="Times New Roman" w:eastAsia="Times New Roman" w:hAnsi="Times New Roman"/>
                <w:sz w:val="15"/>
                <w:szCs w:val="15"/>
                <w:b w:val="1"/>
                <w:bCs w:val="1"/>
                <w:color w:val="231F20"/>
              </w:rPr>
              <w:t>Retail and Consumer</w:t>
            </w:r>
          </w:p>
        </w:tc>
        <w:tc>
          <w:tcPr>
            <w:tcW w:w="2200" w:type="dxa"/>
            <w:vAlign w:val="bottom"/>
            <w:shd w:val="clear" w:color="auto" w:fill="D0EBF2"/>
          </w:tcPr>
          <w:p>
            <w:pPr>
              <w:spacing w:after="0"/>
              <w:rPr>
                <w:sz w:val="14"/>
                <w:szCs w:val="14"/>
                <w:color w:val="auto"/>
              </w:rPr>
            </w:pPr>
          </w:p>
        </w:tc>
        <w:tc>
          <w:tcPr>
            <w:tcW w:w="800" w:type="dxa"/>
            <w:vAlign w:val="bottom"/>
            <w:shd w:val="clear" w:color="auto" w:fill="D0EBF2"/>
          </w:tcPr>
          <w:p>
            <w:pPr>
              <w:spacing w:after="0"/>
              <w:rPr>
                <w:sz w:val="14"/>
                <w:szCs w:val="14"/>
                <w:color w:val="auto"/>
              </w:rPr>
            </w:pPr>
          </w:p>
        </w:tc>
        <w:tc>
          <w:tcPr>
            <w:tcW w:w="1000" w:type="dxa"/>
            <w:vAlign w:val="bottom"/>
            <w:shd w:val="clear" w:color="auto" w:fill="D0EBF2"/>
          </w:tcPr>
          <w:p>
            <w:pPr>
              <w:spacing w:after="0"/>
              <w:rPr>
                <w:sz w:val="14"/>
                <w:szCs w:val="14"/>
                <w:color w:val="auto"/>
              </w:rPr>
            </w:pPr>
          </w:p>
        </w:tc>
        <w:tc>
          <w:tcPr>
            <w:tcW w:w="1060" w:type="dxa"/>
            <w:vAlign w:val="bottom"/>
            <w:shd w:val="clear" w:color="auto" w:fill="D0EBF2"/>
          </w:tcPr>
          <w:p>
            <w:pPr>
              <w:spacing w:after="0"/>
              <w:rPr>
                <w:sz w:val="14"/>
                <w:szCs w:val="14"/>
                <w:color w:val="auto"/>
              </w:rPr>
            </w:pPr>
          </w:p>
        </w:tc>
        <w:tc>
          <w:tcPr>
            <w:tcW w:w="100" w:type="dxa"/>
            <w:vAlign w:val="bottom"/>
            <w:shd w:val="clear" w:color="auto" w:fill="D0EBF2"/>
          </w:tcPr>
          <w:p>
            <w:pPr>
              <w:spacing w:after="0"/>
              <w:rPr>
                <w:sz w:val="14"/>
                <w:szCs w:val="14"/>
                <w:color w:val="auto"/>
              </w:rPr>
            </w:pPr>
          </w:p>
        </w:tc>
        <w:tc>
          <w:tcPr>
            <w:tcW w:w="900" w:type="dxa"/>
            <w:vAlign w:val="bottom"/>
            <w:shd w:val="clear" w:color="auto" w:fill="D0EBF2"/>
          </w:tcPr>
          <w:p>
            <w:pPr>
              <w:spacing w:after="0"/>
              <w:rPr>
                <w:sz w:val="14"/>
                <w:szCs w:val="14"/>
                <w:color w:val="auto"/>
              </w:rPr>
            </w:pPr>
          </w:p>
        </w:tc>
        <w:tc>
          <w:tcPr>
            <w:tcW w:w="80" w:type="dxa"/>
            <w:vAlign w:val="bottom"/>
            <w:shd w:val="clear" w:color="auto" w:fill="D0EBF2"/>
          </w:tcPr>
          <w:p>
            <w:pPr>
              <w:spacing w:after="0"/>
              <w:rPr>
                <w:sz w:val="14"/>
                <w:szCs w:val="14"/>
                <w:color w:val="auto"/>
              </w:rPr>
            </w:pPr>
          </w:p>
        </w:tc>
        <w:tc>
          <w:tcPr>
            <w:tcW w:w="100" w:type="dxa"/>
            <w:vAlign w:val="bottom"/>
            <w:shd w:val="clear" w:color="auto" w:fill="D0EBF2"/>
          </w:tcPr>
          <w:p>
            <w:pPr>
              <w:spacing w:after="0"/>
              <w:rPr>
                <w:sz w:val="14"/>
                <w:szCs w:val="14"/>
                <w:color w:val="auto"/>
              </w:rPr>
            </w:pPr>
          </w:p>
        </w:tc>
        <w:tc>
          <w:tcPr>
            <w:tcW w:w="1500" w:type="dxa"/>
            <w:vAlign w:val="bottom"/>
            <w:shd w:val="clear" w:color="auto" w:fill="D0EBF2"/>
          </w:tcPr>
          <w:p>
            <w:pPr>
              <w:spacing w:after="0"/>
              <w:rPr>
                <w:sz w:val="14"/>
                <w:szCs w:val="14"/>
                <w:color w:val="auto"/>
              </w:rPr>
            </w:pPr>
          </w:p>
        </w:tc>
        <w:tc>
          <w:tcPr>
            <w:tcW w:w="100" w:type="dxa"/>
            <w:vAlign w:val="bottom"/>
            <w:shd w:val="clear" w:color="auto" w:fill="D0EBF2"/>
          </w:tcPr>
          <w:p>
            <w:pPr>
              <w:spacing w:after="0"/>
              <w:rPr>
                <w:sz w:val="14"/>
                <w:szCs w:val="14"/>
                <w:color w:val="auto"/>
              </w:rPr>
            </w:pPr>
          </w:p>
        </w:tc>
        <w:tc>
          <w:tcPr>
            <w:tcW w:w="860" w:type="dxa"/>
            <w:vAlign w:val="bottom"/>
            <w:shd w:val="clear" w:color="auto" w:fill="D0EBF2"/>
          </w:tcPr>
          <w:p>
            <w:pPr>
              <w:spacing w:after="0"/>
              <w:rPr>
                <w:sz w:val="14"/>
                <w:szCs w:val="14"/>
                <w:color w:val="auto"/>
              </w:rPr>
            </w:pPr>
          </w:p>
        </w:tc>
      </w:tr>
      <w:tr>
        <w:trPr>
          <w:trHeight w:val="191"/>
        </w:trPr>
        <w:tc>
          <w:tcPr>
            <w:tcW w:w="1580" w:type="dxa"/>
            <w:vAlign w:val="bottom"/>
            <w:shd w:val="clear" w:color="auto" w:fill="D0EBF2"/>
          </w:tcPr>
          <w:p>
            <w:pPr>
              <w:spacing w:after="0"/>
              <w:rPr>
                <w:sz w:val="20"/>
                <w:szCs w:val="20"/>
                <w:color w:val="auto"/>
              </w:rPr>
            </w:pPr>
            <w:r>
              <w:rPr>
                <w:rFonts w:ascii="Times New Roman" w:cs="Times New Roman" w:eastAsia="Times New Roman" w:hAnsi="Times New Roman"/>
                <w:sz w:val="15"/>
                <w:szCs w:val="15"/>
                <w:b w:val="1"/>
                <w:bCs w:val="1"/>
                <w:color w:val="231F20"/>
              </w:rPr>
              <w:t>Products</w:t>
            </w:r>
          </w:p>
        </w:tc>
        <w:tc>
          <w:tcPr>
            <w:tcW w:w="2200" w:type="dxa"/>
            <w:vAlign w:val="bottom"/>
            <w:shd w:val="clear" w:color="auto" w:fill="D0EBF2"/>
          </w:tcPr>
          <w:p>
            <w:pPr>
              <w:spacing w:after="0"/>
              <w:rPr>
                <w:sz w:val="16"/>
                <w:szCs w:val="16"/>
                <w:color w:val="auto"/>
              </w:rPr>
            </w:pPr>
          </w:p>
        </w:tc>
        <w:tc>
          <w:tcPr>
            <w:tcW w:w="800" w:type="dxa"/>
            <w:vAlign w:val="bottom"/>
            <w:shd w:val="clear" w:color="auto" w:fill="D0EBF2"/>
          </w:tcPr>
          <w:p>
            <w:pPr>
              <w:spacing w:after="0"/>
              <w:rPr>
                <w:sz w:val="16"/>
                <w:szCs w:val="16"/>
                <w:color w:val="auto"/>
              </w:rPr>
            </w:pPr>
          </w:p>
        </w:tc>
        <w:tc>
          <w:tcPr>
            <w:tcW w:w="1000" w:type="dxa"/>
            <w:vAlign w:val="bottom"/>
            <w:shd w:val="clear" w:color="auto" w:fill="D0EBF2"/>
          </w:tcPr>
          <w:p>
            <w:pPr>
              <w:spacing w:after="0"/>
              <w:rPr>
                <w:sz w:val="16"/>
                <w:szCs w:val="16"/>
                <w:color w:val="auto"/>
              </w:rPr>
            </w:pPr>
          </w:p>
        </w:tc>
        <w:tc>
          <w:tcPr>
            <w:tcW w:w="1060" w:type="dxa"/>
            <w:vAlign w:val="bottom"/>
            <w:shd w:val="clear" w:color="auto" w:fill="D0EBF2"/>
          </w:tcPr>
          <w:p>
            <w:pPr>
              <w:spacing w:after="0"/>
              <w:rPr>
                <w:sz w:val="16"/>
                <w:szCs w:val="16"/>
                <w:color w:val="auto"/>
              </w:rPr>
            </w:pPr>
          </w:p>
        </w:tc>
        <w:tc>
          <w:tcPr>
            <w:tcW w:w="100" w:type="dxa"/>
            <w:vAlign w:val="bottom"/>
            <w:shd w:val="clear" w:color="auto" w:fill="D0EBF2"/>
          </w:tcPr>
          <w:p>
            <w:pPr>
              <w:spacing w:after="0"/>
              <w:rPr>
                <w:sz w:val="16"/>
                <w:szCs w:val="16"/>
                <w:color w:val="auto"/>
              </w:rPr>
            </w:pPr>
          </w:p>
        </w:tc>
        <w:tc>
          <w:tcPr>
            <w:tcW w:w="900" w:type="dxa"/>
            <w:vAlign w:val="bottom"/>
            <w:shd w:val="clear" w:color="auto" w:fill="D0EBF2"/>
          </w:tcPr>
          <w:p>
            <w:pPr>
              <w:spacing w:after="0"/>
              <w:rPr>
                <w:sz w:val="16"/>
                <w:szCs w:val="16"/>
                <w:color w:val="auto"/>
              </w:rPr>
            </w:pPr>
          </w:p>
        </w:tc>
        <w:tc>
          <w:tcPr>
            <w:tcW w:w="80" w:type="dxa"/>
            <w:vAlign w:val="bottom"/>
            <w:shd w:val="clear" w:color="auto" w:fill="D0EBF2"/>
          </w:tcPr>
          <w:p>
            <w:pPr>
              <w:spacing w:after="0"/>
              <w:rPr>
                <w:sz w:val="16"/>
                <w:szCs w:val="16"/>
                <w:color w:val="auto"/>
              </w:rPr>
            </w:pPr>
          </w:p>
        </w:tc>
        <w:tc>
          <w:tcPr>
            <w:tcW w:w="100" w:type="dxa"/>
            <w:vAlign w:val="bottom"/>
            <w:shd w:val="clear" w:color="auto" w:fill="D0EBF2"/>
          </w:tcPr>
          <w:p>
            <w:pPr>
              <w:spacing w:after="0"/>
              <w:rPr>
                <w:sz w:val="16"/>
                <w:szCs w:val="16"/>
                <w:color w:val="auto"/>
              </w:rPr>
            </w:pPr>
          </w:p>
        </w:tc>
        <w:tc>
          <w:tcPr>
            <w:tcW w:w="1500" w:type="dxa"/>
            <w:vAlign w:val="bottom"/>
            <w:shd w:val="clear" w:color="auto" w:fill="D0EBF2"/>
          </w:tcPr>
          <w:p>
            <w:pPr>
              <w:spacing w:after="0"/>
              <w:rPr>
                <w:sz w:val="16"/>
                <w:szCs w:val="16"/>
                <w:color w:val="auto"/>
              </w:rPr>
            </w:pPr>
          </w:p>
        </w:tc>
        <w:tc>
          <w:tcPr>
            <w:tcW w:w="100" w:type="dxa"/>
            <w:vAlign w:val="bottom"/>
            <w:shd w:val="clear" w:color="auto" w:fill="D0EBF2"/>
          </w:tcPr>
          <w:p>
            <w:pPr>
              <w:spacing w:after="0"/>
              <w:rPr>
                <w:sz w:val="16"/>
                <w:szCs w:val="16"/>
                <w:color w:val="auto"/>
              </w:rPr>
            </w:pPr>
          </w:p>
        </w:tc>
        <w:tc>
          <w:tcPr>
            <w:tcW w:w="860" w:type="dxa"/>
            <w:vAlign w:val="bottom"/>
            <w:shd w:val="clear" w:color="auto" w:fill="D0EBF2"/>
          </w:tcPr>
          <w:p>
            <w:pPr>
              <w:spacing w:after="0"/>
              <w:rPr>
                <w:sz w:val="16"/>
                <w:szCs w:val="16"/>
                <w:color w:val="auto"/>
              </w:rPr>
            </w:pPr>
          </w:p>
        </w:tc>
      </w:tr>
      <w:tr>
        <w:trPr>
          <w:trHeight w:val="171"/>
        </w:trPr>
        <w:tc>
          <w:tcPr>
            <w:tcW w:w="1580" w:type="dxa"/>
            <w:vAlign w:val="bottom"/>
            <w:shd w:val="clear" w:color="auto" w:fill="FDFDFC"/>
          </w:tcPr>
          <w:p>
            <w:pPr>
              <w:spacing w:after="0" w:line="172" w:lineRule="exact"/>
              <w:rPr>
                <w:sz w:val="20"/>
                <w:szCs w:val="20"/>
                <w:color w:val="auto"/>
              </w:rPr>
            </w:pPr>
            <w:r>
              <w:rPr>
                <w:rFonts w:ascii="Times New Roman" w:cs="Times New Roman" w:eastAsia="Times New Roman" w:hAnsi="Times New Roman"/>
                <w:sz w:val="19"/>
                <w:szCs w:val="19"/>
                <w:color w:val="231F20"/>
                <w:vertAlign w:val="subscript"/>
              </w:rPr>
              <w:t>Acosta</w:t>
            </w:r>
            <w:r>
              <w:rPr>
                <w:rFonts w:ascii="Times New Roman" w:cs="Times New Roman" w:eastAsia="Times New Roman" w:hAnsi="Times New Roman"/>
                <w:sz w:val="7"/>
                <w:szCs w:val="7"/>
                <w:color w:val="231F20"/>
              </w:rPr>
              <w:t xml:space="preserve"> (3)(9)</w:t>
            </w:r>
          </w:p>
        </w:tc>
        <w:tc>
          <w:tcPr>
            <w:tcW w:w="2200" w:type="dxa"/>
            <w:vAlign w:val="bottom"/>
            <w:shd w:val="clear" w:color="auto" w:fill="FDFDFC"/>
          </w:tcPr>
          <w:p>
            <w:pPr>
              <w:ind w:left="60"/>
              <w:spacing w:after="0" w:line="172" w:lineRule="exact"/>
              <w:rPr>
                <w:sz w:val="20"/>
                <w:szCs w:val="20"/>
                <w:color w:val="auto"/>
              </w:rPr>
            </w:pPr>
            <w:r>
              <w:rPr>
                <w:rFonts w:ascii="Times New Roman" w:cs="Times New Roman" w:eastAsia="Times New Roman" w:hAnsi="Times New Roman"/>
                <w:sz w:val="15"/>
                <w:szCs w:val="15"/>
                <w:color w:val="231F20"/>
              </w:rPr>
              <w:t>First-lien loan ($10,000 par, due</w:t>
            </w:r>
          </w:p>
        </w:tc>
        <w:tc>
          <w:tcPr>
            <w:tcW w:w="800" w:type="dxa"/>
            <w:vAlign w:val="bottom"/>
            <w:shd w:val="clear" w:color="auto" w:fill="FDFDFC"/>
          </w:tcPr>
          <w:p>
            <w:pPr>
              <w:jc w:val="right"/>
              <w:spacing w:after="0" w:line="172" w:lineRule="exact"/>
              <w:rPr>
                <w:sz w:val="20"/>
                <w:szCs w:val="20"/>
                <w:color w:val="auto"/>
              </w:rPr>
            </w:pPr>
            <w:r>
              <w:rPr>
                <w:rFonts w:ascii="Times New Roman" w:cs="Times New Roman" w:eastAsia="Times New Roman" w:hAnsi="Times New Roman"/>
                <w:sz w:val="15"/>
                <w:szCs w:val="15"/>
                <w:color w:val="231F20"/>
              </w:rPr>
              <w:t>8/20/2024</w:t>
            </w:r>
          </w:p>
        </w:tc>
        <w:tc>
          <w:tcPr>
            <w:tcW w:w="1000" w:type="dxa"/>
            <w:vAlign w:val="bottom"/>
            <w:shd w:val="clear" w:color="auto" w:fill="FDFDFC"/>
          </w:tcPr>
          <w:p>
            <w:pPr>
              <w:jc w:val="right"/>
              <w:ind w:right="44"/>
              <w:spacing w:after="0" w:line="172" w:lineRule="exact"/>
              <w:rPr>
                <w:sz w:val="20"/>
                <w:szCs w:val="20"/>
                <w:color w:val="auto"/>
              </w:rPr>
            </w:pPr>
            <w:r>
              <w:rPr>
                <w:rFonts w:ascii="Times New Roman" w:cs="Times New Roman" w:eastAsia="Times New Roman" w:hAnsi="Times New Roman"/>
                <w:sz w:val="15"/>
                <w:szCs w:val="15"/>
                <w:color w:val="231F20"/>
              </w:rPr>
              <w:t>SOFR +</w:t>
            </w:r>
          </w:p>
        </w:tc>
        <w:tc>
          <w:tcPr>
            <w:tcW w:w="1060" w:type="dxa"/>
            <w:vAlign w:val="bottom"/>
            <w:shd w:val="clear" w:color="auto" w:fill="FDFDFC"/>
          </w:tcPr>
          <w:p>
            <w:pPr>
              <w:jc w:val="right"/>
              <w:ind w:right="64"/>
              <w:spacing w:after="0" w:line="172" w:lineRule="exact"/>
              <w:rPr>
                <w:sz w:val="20"/>
                <w:szCs w:val="20"/>
                <w:color w:val="auto"/>
              </w:rPr>
            </w:pPr>
            <w:r>
              <w:rPr>
                <w:rFonts w:ascii="Times New Roman" w:cs="Times New Roman" w:eastAsia="Times New Roman" w:hAnsi="Times New Roman"/>
                <w:sz w:val="15"/>
                <w:szCs w:val="15"/>
                <w:color w:val="231F20"/>
              </w:rPr>
              <w:t>10.12%</w:t>
            </w:r>
          </w:p>
        </w:tc>
        <w:tc>
          <w:tcPr>
            <w:tcW w:w="1000" w:type="dxa"/>
            <w:vAlign w:val="bottom"/>
            <w:gridSpan w:val="2"/>
            <w:shd w:val="clear" w:color="auto" w:fill="FDFDFC"/>
          </w:tcPr>
          <w:p>
            <w:pPr>
              <w:jc w:val="right"/>
              <w:spacing w:after="0" w:line="172" w:lineRule="exact"/>
              <w:rPr>
                <w:sz w:val="20"/>
                <w:szCs w:val="20"/>
                <w:color w:val="auto"/>
              </w:rPr>
            </w:pPr>
            <w:r>
              <w:rPr>
                <w:rFonts w:ascii="Times New Roman" w:cs="Times New Roman" w:eastAsia="Times New Roman" w:hAnsi="Times New Roman"/>
                <w:sz w:val="15"/>
                <w:szCs w:val="15"/>
                <w:color w:val="231F20"/>
              </w:rPr>
              <w:t>9,806</w:t>
            </w:r>
          </w:p>
        </w:tc>
        <w:tc>
          <w:tcPr>
            <w:tcW w:w="1680" w:type="dxa"/>
            <w:vAlign w:val="bottom"/>
            <w:gridSpan w:val="3"/>
            <w:shd w:val="clear" w:color="auto" w:fill="FDFDFC"/>
          </w:tcPr>
          <w:p>
            <w:pPr>
              <w:jc w:val="right"/>
              <w:spacing w:after="0" w:line="172" w:lineRule="exact"/>
              <w:rPr>
                <w:sz w:val="20"/>
                <w:szCs w:val="20"/>
                <w:color w:val="auto"/>
              </w:rPr>
            </w:pPr>
            <w:r>
              <w:rPr>
                <w:rFonts w:ascii="Times New Roman" w:cs="Times New Roman" w:eastAsia="Times New Roman" w:hAnsi="Times New Roman"/>
                <w:sz w:val="15"/>
                <w:szCs w:val="15"/>
                <w:color w:val="231F20"/>
              </w:rPr>
              <w:t>9,925</w:t>
            </w:r>
          </w:p>
        </w:tc>
        <w:tc>
          <w:tcPr>
            <w:tcW w:w="960" w:type="dxa"/>
            <w:vAlign w:val="bottom"/>
            <w:gridSpan w:val="2"/>
            <w:shd w:val="clear" w:color="auto" w:fill="FDFDFC"/>
          </w:tcPr>
          <w:p>
            <w:pPr>
              <w:jc w:val="right"/>
              <w:spacing w:after="0" w:line="172" w:lineRule="exact"/>
              <w:rPr>
                <w:sz w:val="20"/>
                <w:szCs w:val="20"/>
                <w:color w:val="auto"/>
              </w:rPr>
            </w:pPr>
            <w:r>
              <w:rPr>
                <w:rFonts w:ascii="Times New Roman" w:cs="Times New Roman" w:eastAsia="Times New Roman" w:hAnsi="Times New Roman"/>
                <w:sz w:val="15"/>
                <w:szCs w:val="15"/>
                <w:color w:val="231F20"/>
              </w:rPr>
              <w:t>0.6%</w:t>
            </w:r>
          </w:p>
        </w:tc>
      </w:tr>
      <w:tr>
        <w:trPr>
          <w:trHeight w:val="189"/>
        </w:trPr>
        <w:tc>
          <w:tcPr>
            <w:tcW w:w="1580" w:type="dxa"/>
            <w:vAlign w:val="bottom"/>
            <w:shd w:val="clear" w:color="auto" w:fill="FDFDFC"/>
          </w:tcPr>
          <w:p>
            <w:pPr>
              <w:spacing w:after="0"/>
              <w:rPr>
                <w:sz w:val="16"/>
                <w:szCs w:val="16"/>
                <w:color w:val="auto"/>
              </w:rPr>
            </w:pPr>
          </w:p>
        </w:tc>
        <w:tc>
          <w:tcPr>
            <w:tcW w:w="2200" w:type="dxa"/>
            <w:vAlign w:val="bottom"/>
            <w:shd w:val="clear" w:color="auto" w:fill="FDFDFC"/>
          </w:tcPr>
          <w:p>
            <w:pPr>
              <w:ind w:left="60"/>
              <w:spacing w:after="0"/>
              <w:rPr>
                <w:sz w:val="20"/>
                <w:szCs w:val="20"/>
                <w:color w:val="auto"/>
              </w:rPr>
            </w:pPr>
            <w:r>
              <w:rPr>
                <w:rFonts w:ascii="Times New Roman" w:cs="Times New Roman" w:eastAsia="Times New Roman" w:hAnsi="Times New Roman"/>
                <w:sz w:val="15"/>
                <w:szCs w:val="15"/>
                <w:color w:val="231F20"/>
              </w:rPr>
              <w:t>8/2031)</w:t>
            </w:r>
          </w:p>
        </w:tc>
        <w:tc>
          <w:tcPr>
            <w:tcW w:w="800" w:type="dxa"/>
            <w:vAlign w:val="bottom"/>
            <w:shd w:val="clear" w:color="auto" w:fill="FDFDFC"/>
          </w:tcPr>
          <w:p>
            <w:pPr>
              <w:spacing w:after="0"/>
              <w:rPr>
                <w:sz w:val="16"/>
                <w:szCs w:val="16"/>
                <w:color w:val="auto"/>
              </w:rPr>
            </w:pPr>
          </w:p>
        </w:tc>
        <w:tc>
          <w:tcPr>
            <w:tcW w:w="1000" w:type="dxa"/>
            <w:vAlign w:val="bottom"/>
            <w:shd w:val="clear" w:color="auto" w:fill="FDFDFC"/>
          </w:tcPr>
          <w:p>
            <w:pPr>
              <w:jc w:val="right"/>
              <w:ind w:right="44"/>
              <w:spacing w:after="0"/>
              <w:rPr>
                <w:sz w:val="20"/>
                <w:szCs w:val="20"/>
                <w:color w:val="auto"/>
              </w:rPr>
            </w:pPr>
            <w:r>
              <w:rPr>
                <w:rFonts w:ascii="Times New Roman" w:cs="Times New Roman" w:eastAsia="Times New Roman" w:hAnsi="Times New Roman"/>
                <w:sz w:val="15"/>
                <w:szCs w:val="15"/>
                <w:color w:val="231F20"/>
              </w:rPr>
              <w:t>5.60%</w:t>
            </w:r>
          </w:p>
        </w:tc>
        <w:tc>
          <w:tcPr>
            <w:tcW w:w="1060" w:type="dxa"/>
            <w:vAlign w:val="bottom"/>
            <w:shd w:val="clear" w:color="auto" w:fill="FDFDFC"/>
          </w:tcPr>
          <w:p>
            <w:pPr>
              <w:spacing w:after="0"/>
              <w:rPr>
                <w:sz w:val="16"/>
                <w:szCs w:val="16"/>
                <w:color w:val="auto"/>
              </w:rPr>
            </w:pPr>
          </w:p>
        </w:tc>
        <w:tc>
          <w:tcPr>
            <w:tcW w:w="100" w:type="dxa"/>
            <w:vAlign w:val="bottom"/>
            <w:shd w:val="clear" w:color="auto" w:fill="FDFDFC"/>
          </w:tcPr>
          <w:p>
            <w:pPr>
              <w:spacing w:after="0"/>
              <w:rPr>
                <w:sz w:val="16"/>
                <w:szCs w:val="16"/>
                <w:color w:val="auto"/>
              </w:rPr>
            </w:pPr>
          </w:p>
        </w:tc>
        <w:tc>
          <w:tcPr>
            <w:tcW w:w="900" w:type="dxa"/>
            <w:vAlign w:val="bottom"/>
            <w:shd w:val="clear" w:color="auto" w:fill="FDFDFC"/>
          </w:tcPr>
          <w:p>
            <w:pPr>
              <w:spacing w:after="0"/>
              <w:rPr>
                <w:sz w:val="16"/>
                <w:szCs w:val="16"/>
                <w:color w:val="auto"/>
              </w:rPr>
            </w:pPr>
          </w:p>
        </w:tc>
        <w:tc>
          <w:tcPr>
            <w:tcW w:w="80" w:type="dxa"/>
            <w:vAlign w:val="bottom"/>
            <w:shd w:val="clear" w:color="auto" w:fill="FDFDFC"/>
          </w:tcPr>
          <w:p>
            <w:pPr>
              <w:spacing w:after="0"/>
              <w:rPr>
                <w:sz w:val="16"/>
                <w:szCs w:val="16"/>
                <w:color w:val="auto"/>
              </w:rPr>
            </w:pPr>
          </w:p>
        </w:tc>
        <w:tc>
          <w:tcPr>
            <w:tcW w:w="100" w:type="dxa"/>
            <w:vAlign w:val="bottom"/>
            <w:shd w:val="clear" w:color="auto" w:fill="FDFDFC"/>
          </w:tcPr>
          <w:p>
            <w:pPr>
              <w:spacing w:after="0"/>
              <w:rPr>
                <w:sz w:val="16"/>
                <w:szCs w:val="16"/>
                <w:color w:val="auto"/>
              </w:rPr>
            </w:pPr>
          </w:p>
        </w:tc>
        <w:tc>
          <w:tcPr>
            <w:tcW w:w="1500" w:type="dxa"/>
            <w:vAlign w:val="bottom"/>
            <w:shd w:val="clear" w:color="auto" w:fill="FDFDFC"/>
          </w:tcPr>
          <w:p>
            <w:pPr>
              <w:spacing w:after="0"/>
              <w:rPr>
                <w:sz w:val="16"/>
                <w:szCs w:val="16"/>
                <w:color w:val="auto"/>
              </w:rPr>
            </w:pPr>
          </w:p>
        </w:tc>
        <w:tc>
          <w:tcPr>
            <w:tcW w:w="100" w:type="dxa"/>
            <w:vAlign w:val="bottom"/>
            <w:shd w:val="clear" w:color="auto" w:fill="FDFDFC"/>
          </w:tcPr>
          <w:p>
            <w:pPr>
              <w:spacing w:after="0"/>
              <w:rPr>
                <w:sz w:val="16"/>
                <w:szCs w:val="16"/>
                <w:color w:val="auto"/>
              </w:rPr>
            </w:pPr>
          </w:p>
        </w:tc>
        <w:tc>
          <w:tcPr>
            <w:tcW w:w="860" w:type="dxa"/>
            <w:vAlign w:val="bottom"/>
            <w:shd w:val="clear" w:color="auto" w:fill="FDFDFC"/>
          </w:tcPr>
          <w:p>
            <w:pPr>
              <w:spacing w:after="0"/>
              <w:rPr>
                <w:sz w:val="16"/>
                <w:szCs w:val="16"/>
                <w:color w:val="auto"/>
              </w:rPr>
            </w:pPr>
          </w:p>
        </w:tc>
      </w:tr>
      <w:tr>
        <w:trPr>
          <w:trHeight w:val="171"/>
        </w:trPr>
        <w:tc>
          <w:tcPr>
            <w:tcW w:w="1580" w:type="dxa"/>
            <w:vAlign w:val="bottom"/>
            <w:shd w:val="clear" w:color="auto" w:fill="D0EBF2"/>
          </w:tcPr>
          <w:p>
            <w:pPr>
              <w:spacing w:after="0" w:line="172" w:lineRule="exact"/>
              <w:rPr>
                <w:sz w:val="20"/>
                <w:szCs w:val="20"/>
                <w:color w:val="auto"/>
              </w:rPr>
            </w:pPr>
            <w:r>
              <w:rPr>
                <w:rFonts w:ascii="Times New Roman" w:cs="Times New Roman" w:eastAsia="Times New Roman" w:hAnsi="Times New Roman"/>
                <w:sz w:val="15"/>
                <w:szCs w:val="15"/>
                <w:color w:val="231F20"/>
              </w:rPr>
              <w:t>American Achievement,</w:t>
            </w:r>
          </w:p>
        </w:tc>
        <w:tc>
          <w:tcPr>
            <w:tcW w:w="2200" w:type="dxa"/>
            <w:vAlign w:val="bottom"/>
            <w:shd w:val="clear" w:color="auto" w:fill="D0EBF2"/>
          </w:tcPr>
          <w:p>
            <w:pPr>
              <w:ind w:left="60"/>
              <w:spacing w:after="0" w:line="172" w:lineRule="exact"/>
              <w:rPr>
                <w:sz w:val="20"/>
                <w:szCs w:val="20"/>
                <w:color w:val="auto"/>
              </w:rPr>
            </w:pPr>
            <w:r>
              <w:rPr>
                <w:rFonts w:ascii="Times New Roman" w:cs="Times New Roman" w:eastAsia="Times New Roman" w:hAnsi="Times New Roman"/>
                <w:sz w:val="15"/>
                <w:szCs w:val="15"/>
                <w:color w:val="231F20"/>
              </w:rPr>
              <w:t>First-lien loan ($26,864 par, due</w:t>
            </w:r>
          </w:p>
        </w:tc>
        <w:tc>
          <w:tcPr>
            <w:tcW w:w="800" w:type="dxa"/>
            <w:vAlign w:val="bottom"/>
            <w:shd w:val="clear" w:color="auto" w:fill="D0EBF2"/>
          </w:tcPr>
          <w:p>
            <w:pPr>
              <w:jc w:val="right"/>
              <w:spacing w:after="0" w:line="172" w:lineRule="exact"/>
              <w:rPr>
                <w:sz w:val="20"/>
                <w:szCs w:val="20"/>
                <w:color w:val="auto"/>
              </w:rPr>
            </w:pPr>
            <w:r>
              <w:rPr>
                <w:rFonts w:ascii="Times New Roman" w:cs="Times New Roman" w:eastAsia="Times New Roman" w:hAnsi="Times New Roman"/>
                <w:sz w:val="15"/>
                <w:szCs w:val="15"/>
                <w:color w:val="231F20"/>
              </w:rPr>
              <w:t>9/30/2015</w:t>
            </w:r>
          </w:p>
        </w:tc>
        <w:tc>
          <w:tcPr>
            <w:tcW w:w="1000" w:type="dxa"/>
            <w:vAlign w:val="bottom"/>
            <w:shd w:val="clear" w:color="auto" w:fill="D0EBF2"/>
          </w:tcPr>
          <w:p>
            <w:pPr>
              <w:jc w:val="right"/>
              <w:ind w:right="44"/>
              <w:spacing w:after="0" w:line="172" w:lineRule="exact"/>
              <w:rPr>
                <w:sz w:val="20"/>
                <w:szCs w:val="20"/>
                <w:color w:val="auto"/>
              </w:rPr>
            </w:pPr>
            <w:r>
              <w:rPr>
                <w:rFonts w:ascii="Times New Roman" w:cs="Times New Roman" w:eastAsia="Times New Roman" w:hAnsi="Times New Roman"/>
                <w:sz w:val="15"/>
                <w:szCs w:val="15"/>
                <w:color w:val="231F20"/>
              </w:rPr>
              <w:t>SOFR +</w:t>
            </w:r>
          </w:p>
        </w:tc>
        <w:tc>
          <w:tcPr>
            <w:tcW w:w="1060" w:type="dxa"/>
            <w:vAlign w:val="bottom"/>
            <w:shd w:val="clear" w:color="auto" w:fill="D0EBF2"/>
          </w:tcPr>
          <w:p>
            <w:pPr>
              <w:jc w:val="right"/>
              <w:ind w:right="64"/>
              <w:spacing w:after="0" w:line="172" w:lineRule="exact"/>
              <w:rPr>
                <w:sz w:val="20"/>
                <w:szCs w:val="20"/>
                <w:color w:val="auto"/>
              </w:rPr>
            </w:pPr>
            <w:r>
              <w:rPr>
                <w:rFonts w:ascii="Times New Roman" w:cs="Times New Roman" w:eastAsia="Times New Roman" w:hAnsi="Times New Roman"/>
                <w:sz w:val="15"/>
                <w:szCs w:val="15"/>
                <w:color w:val="231F20"/>
              </w:rPr>
              <w:t>11.90% (incl.</w:t>
            </w:r>
          </w:p>
        </w:tc>
        <w:tc>
          <w:tcPr>
            <w:tcW w:w="1000" w:type="dxa"/>
            <w:vAlign w:val="bottom"/>
            <w:gridSpan w:val="2"/>
            <w:shd w:val="clear" w:color="auto" w:fill="D0EBF2"/>
          </w:tcPr>
          <w:p>
            <w:pPr>
              <w:jc w:val="right"/>
              <w:spacing w:after="0" w:line="172" w:lineRule="exact"/>
              <w:rPr>
                <w:sz w:val="20"/>
                <w:szCs w:val="20"/>
                <w:color w:val="auto"/>
              </w:rPr>
            </w:pPr>
            <w:r>
              <w:rPr>
                <w:rFonts w:ascii="Times New Roman" w:cs="Times New Roman" w:eastAsia="Times New Roman" w:hAnsi="Times New Roman"/>
                <w:sz w:val="15"/>
                <w:szCs w:val="15"/>
                <w:color w:val="231F20"/>
              </w:rPr>
              <w:t>26,042</w:t>
            </w:r>
          </w:p>
        </w:tc>
        <w:tc>
          <w:tcPr>
            <w:tcW w:w="1680" w:type="dxa"/>
            <w:vAlign w:val="bottom"/>
            <w:gridSpan w:val="3"/>
            <w:shd w:val="clear" w:color="auto" w:fill="D0EBF2"/>
          </w:tcPr>
          <w:p>
            <w:pPr>
              <w:jc w:val="right"/>
              <w:spacing w:after="0" w:line="172" w:lineRule="exact"/>
              <w:rPr>
                <w:sz w:val="20"/>
                <w:szCs w:val="20"/>
                <w:color w:val="auto"/>
              </w:rPr>
            </w:pPr>
            <w:r>
              <w:rPr>
                <w:rFonts w:ascii="Times New Roman" w:cs="Times New Roman" w:eastAsia="Times New Roman" w:hAnsi="Times New Roman"/>
                <w:sz w:val="15"/>
                <w:szCs w:val="15"/>
                <w:color w:val="231F20"/>
              </w:rPr>
              <w:t>20,551</w:t>
            </w:r>
          </w:p>
        </w:tc>
        <w:tc>
          <w:tcPr>
            <w:tcW w:w="960" w:type="dxa"/>
            <w:vAlign w:val="bottom"/>
            <w:gridSpan w:val="2"/>
            <w:shd w:val="clear" w:color="auto" w:fill="D0EBF2"/>
          </w:tcPr>
          <w:p>
            <w:pPr>
              <w:jc w:val="right"/>
              <w:spacing w:after="0" w:line="172" w:lineRule="exact"/>
              <w:rPr>
                <w:sz w:val="20"/>
                <w:szCs w:val="20"/>
                <w:color w:val="auto"/>
              </w:rPr>
            </w:pPr>
            <w:r>
              <w:rPr>
                <w:rFonts w:ascii="Times New Roman" w:cs="Times New Roman" w:eastAsia="Times New Roman" w:hAnsi="Times New Roman"/>
                <w:sz w:val="15"/>
                <w:szCs w:val="15"/>
                <w:color w:val="231F20"/>
              </w:rPr>
              <w:t>1.3%</w:t>
            </w:r>
          </w:p>
        </w:tc>
      </w:tr>
      <w:tr>
        <w:trPr>
          <w:trHeight w:val="189"/>
        </w:trPr>
        <w:tc>
          <w:tcPr>
            <w:tcW w:w="1580" w:type="dxa"/>
            <w:vAlign w:val="bottom"/>
            <w:shd w:val="clear" w:color="auto" w:fill="D0EBF2"/>
          </w:tcPr>
          <w:p>
            <w:pPr>
              <w:spacing w:after="0" w:line="190" w:lineRule="exact"/>
              <w:rPr>
                <w:sz w:val="20"/>
                <w:szCs w:val="20"/>
                <w:color w:val="auto"/>
              </w:rPr>
            </w:pPr>
            <w:r>
              <w:rPr>
                <w:rFonts w:ascii="Times New Roman" w:cs="Times New Roman" w:eastAsia="Times New Roman" w:hAnsi="Times New Roman"/>
                <w:sz w:val="21"/>
                <w:szCs w:val="21"/>
                <w:color w:val="231F20"/>
                <w:vertAlign w:val="subscript"/>
              </w:rPr>
              <w:t>Corp.</w:t>
            </w:r>
            <w:r>
              <w:rPr>
                <w:rFonts w:ascii="Times New Roman" w:cs="Times New Roman" w:eastAsia="Times New Roman" w:hAnsi="Times New Roman"/>
                <w:sz w:val="8"/>
                <w:szCs w:val="8"/>
                <w:color w:val="231F20"/>
              </w:rPr>
              <w:t xml:space="preserve"> (3)(14)</w:t>
            </w:r>
          </w:p>
        </w:tc>
        <w:tc>
          <w:tcPr>
            <w:tcW w:w="2200" w:type="dxa"/>
            <w:vAlign w:val="bottom"/>
            <w:shd w:val="clear" w:color="auto" w:fill="D0EBF2"/>
          </w:tcPr>
          <w:p>
            <w:pPr>
              <w:ind w:left="60"/>
              <w:spacing w:after="0"/>
              <w:rPr>
                <w:sz w:val="20"/>
                <w:szCs w:val="20"/>
                <w:color w:val="auto"/>
              </w:rPr>
            </w:pPr>
            <w:r>
              <w:rPr>
                <w:rFonts w:ascii="Times New Roman" w:cs="Times New Roman" w:eastAsia="Times New Roman" w:hAnsi="Times New Roman"/>
                <w:sz w:val="15"/>
                <w:szCs w:val="15"/>
                <w:color w:val="231F20"/>
              </w:rPr>
              <w:t>9/2026)</w:t>
            </w:r>
          </w:p>
        </w:tc>
        <w:tc>
          <w:tcPr>
            <w:tcW w:w="800" w:type="dxa"/>
            <w:vAlign w:val="bottom"/>
            <w:shd w:val="clear" w:color="auto" w:fill="D0EBF2"/>
          </w:tcPr>
          <w:p>
            <w:pPr>
              <w:spacing w:after="0"/>
              <w:rPr>
                <w:sz w:val="16"/>
                <w:szCs w:val="16"/>
                <w:color w:val="auto"/>
              </w:rPr>
            </w:pPr>
          </w:p>
        </w:tc>
        <w:tc>
          <w:tcPr>
            <w:tcW w:w="1000" w:type="dxa"/>
            <w:vAlign w:val="bottom"/>
            <w:shd w:val="clear" w:color="auto" w:fill="D0EBF2"/>
          </w:tcPr>
          <w:p>
            <w:pPr>
              <w:jc w:val="right"/>
              <w:ind w:right="44"/>
              <w:spacing w:after="0"/>
              <w:rPr>
                <w:sz w:val="20"/>
                <w:szCs w:val="20"/>
                <w:color w:val="auto"/>
              </w:rPr>
            </w:pPr>
            <w:r>
              <w:rPr>
                <w:rFonts w:ascii="Times New Roman" w:cs="Times New Roman" w:eastAsia="Times New Roman" w:hAnsi="Times New Roman"/>
                <w:sz w:val="15"/>
                <w:szCs w:val="15"/>
                <w:color w:val="231F20"/>
              </w:rPr>
              <w:t>7.35%</w:t>
            </w:r>
          </w:p>
        </w:tc>
        <w:tc>
          <w:tcPr>
            <w:tcW w:w="1060" w:type="dxa"/>
            <w:vAlign w:val="bottom"/>
            <w:shd w:val="clear" w:color="auto" w:fill="D0EBF2"/>
          </w:tcPr>
          <w:p>
            <w:pPr>
              <w:jc w:val="right"/>
              <w:ind w:right="64"/>
              <w:spacing w:after="0"/>
              <w:rPr>
                <w:sz w:val="20"/>
                <w:szCs w:val="20"/>
                <w:color w:val="auto"/>
              </w:rPr>
            </w:pPr>
            <w:r>
              <w:rPr>
                <w:rFonts w:ascii="Times New Roman" w:cs="Times New Roman" w:eastAsia="Times New Roman" w:hAnsi="Times New Roman"/>
                <w:sz w:val="15"/>
                <w:szCs w:val="15"/>
                <w:color w:val="231F20"/>
              </w:rPr>
              <w:t>11.40% PIK)</w:t>
            </w:r>
          </w:p>
        </w:tc>
        <w:tc>
          <w:tcPr>
            <w:tcW w:w="100" w:type="dxa"/>
            <w:vAlign w:val="bottom"/>
            <w:shd w:val="clear" w:color="auto" w:fill="D0EBF2"/>
          </w:tcPr>
          <w:p>
            <w:pPr>
              <w:spacing w:after="0"/>
              <w:rPr>
                <w:sz w:val="16"/>
                <w:szCs w:val="16"/>
                <w:color w:val="auto"/>
              </w:rPr>
            </w:pPr>
          </w:p>
        </w:tc>
        <w:tc>
          <w:tcPr>
            <w:tcW w:w="900" w:type="dxa"/>
            <w:vAlign w:val="bottom"/>
            <w:shd w:val="clear" w:color="auto" w:fill="D0EBF2"/>
          </w:tcPr>
          <w:p>
            <w:pPr>
              <w:spacing w:after="0"/>
              <w:rPr>
                <w:sz w:val="16"/>
                <w:szCs w:val="16"/>
                <w:color w:val="auto"/>
              </w:rPr>
            </w:pPr>
          </w:p>
        </w:tc>
        <w:tc>
          <w:tcPr>
            <w:tcW w:w="80" w:type="dxa"/>
            <w:vAlign w:val="bottom"/>
            <w:shd w:val="clear" w:color="auto" w:fill="D0EBF2"/>
          </w:tcPr>
          <w:p>
            <w:pPr>
              <w:spacing w:after="0"/>
              <w:rPr>
                <w:sz w:val="16"/>
                <w:szCs w:val="16"/>
                <w:color w:val="auto"/>
              </w:rPr>
            </w:pPr>
          </w:p>
        </w:tc>
        <w:tc>
          <w:tcPr>
            <w:tcW w:w="100" w:type="dxa"/>
            <w:vAlign w:val="bottom"/>
            <w:shd w:val="clear" w:color="auto" w:fill="D0EBF2"/>
          </w:tcPr>
          <w:p>
            <w:pPr>
              <w:spacing w:after="0"/>
              <w:rPr>
                <w:sz w:val="16"/>
                <w:szCs w:val="16"/>
                <w:color w:val="auto"/>
              </w:rPr>
            </w:pPr>
          </w:p>
        </w:tc>
        <w:tc>
          <w:tcPr>
            <w:tcW w:w="1500" w:type="dxa"/>
            <w:vAlign w:val="bottom"/>
            <w:shd w:val="clear" w:color="auto" w:fill="D0EBF2"/>
          </w:tcPr>
          <w:p>
            <w:pPr>
              <w:spacing w:after="0"/>
              <w:rPr>
                <w:sz w:val="16"/>
                <w:szCs w:val="16"/>
                <w:color w:val="auto"/>
              </w:rPr>
            </w:pPr>
          </w:p>
        </w:tc>
        <w:tc>
          <w:tcPr>
            <w:tcW w:w="100" w:type="dxa"/>
            <w:vAlign w:val="bottom"/>
            <w:shd w:val="clear" w:color="auto" w:fill="D0EBF2"/>
          </w:tcPr>
          <w:p>
            <w:pPr>
              <w:spacing w:after="0"/>
              <w:rPr>
                <w:sz w:val="16"/>
                <w:szCs w:val="16"/>
                <w:color w:val="auto"/>
              </w:rPr>
            </w:pPr>
          </w:p>
        </w:tc>
        <w:tc>
          <w:tcPr>
            <w:tcW w:w="860" w:type="dxa"/>
            <w:vAlign w:val="bottom"/>
            <w:shd w:val="clear" w:color="auto" w:fill="D0EBF2"/>
          </w:tcPr>
          <w:p>
            <w:pPr>
              <w:spacing w:after="0"/>
              <w:rPr>
                <w:sz w:val="16"/>
                <w:szCs w:val="16"/>
                <w:color w:val="auto"/>
              </w:rPr>
            </w:pPr>
          </w:p>
        </w:tc>
      </w:tr>
    </w:tbl>
    <w:p>
      <w:pPr>
        <w:spacing w:after="0" w:line="200" w:lineRule="exact"/>
        <w:rPr>
          <w:sz w:val="20"/>
          <w:szCs w:val="20"/>
          <w:color w:val="auto"/>
        </w:rPr>
      </w:pPr>
    </w:p>
    <w:p>
      <w:pPr>
        <w:sectPr>
          <w:pgSz w:w="12240" w:h="15840" w:orient="portrait"/>
          <w:cols w:equalWidth="0" w:num="1">
            <w:col w:w="10280"/>
          </w:cols>
          <w:pgMar w:left="980" w:top="1336" w:right="980" w:bottom="574" w:gutter="0" w:footer="0" w:header="0"/>
        </w:sectPr>
      </w:pP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231F20"/>
        </w:rPr>
        <w:t>F-10</w:t>
      </w:r>
    </w:p>
    <w:p>
      <w:pPr>
        <w:sectPr>
          <w:pgSz w:w="12240" w:h="15840" w:orient="portrait"/>
          <w:cols w:equalWidth="0" w:num="1">
            <w:col w:w="10280"/>
          </w:cols>
          <w:pgMar w:left="980" w:top="1336" w:right="980" w:bottom="574" w:gutter="0" w:footer="0" w:header="0"/>
          <w:type w:val="continuous"/>
        </w:sectPr>
      </w:pPr>
    </w:p>
    <w:bookmarkStart w:id="98" w:name="page99"/>
    <w:bookmarkEnd w:id="98"/>
    <w:tbl>
      <w:tblPr>
        <w:tblLayout w:type="fixed"/>
        <w:tblInd w:w="0" w:type="dxa"/>
        <w:tblCellMar>
          <w:top w:w="0" w:type="dxa"/>
          <w:left w:w="0" w:type="dxa"/>
          <w:bottom w:w="0" w:type="dxa"/>
          <w:right w:w="0" w:type="dxa"/>
        </w:tblCellMar>
      </w:tblPr>
      <w:tr>
        <w:trPr>
          <w:trHeight w:val="172"/>
        </w:trPr>
        <w:tc>
          <w:tcPr>
            <w:tcW w:w="1580" w:type="dxa"/>
            <w:vAlign w:val="bottom"/>
            <w:shd w:val="clear" w:color="auto" w:fill="FDFDFC"/>
          </w:tcPr>
          <w:p>
            <w:pPr>
              <w:spacing w:after="0"/>
              <w:rPr>
                <w:sz w:val="15"/>
                <w:szCs w:val="15"/>
                <w:color w:val="auto"/>
              </w:rPr>
            </w:pPr>
          </w:p>
        </w:tc>
        <w:tc>
          <w:tcPr>
            <w:tcW w:w="2200" w:type="dxa"/>
            <w:vAlign w:val="bottom"/>
            <w:shd w:val="clear" w:color="auto" w:fill="FDFDFC"/>
          </w:tcPr>
          <w:p>
            <w:pPr>
              <w:ind w:left="60"/>
              <w:spacing w:after="0"/>
              <w:rPr>
                <w:sz w:val="20"/>
                <w:szCs w:val="20"/>
                <w:color w:val="auto"/>
              </w:rPr>
            </w:pPr>
            <w:r>
              <w:rPr>
                <w:rFonts w:ascii="Times New Roman" w:cs="Times New Roman" w:eastAsia="Times New Roman" w:hAnsi="Times New Roman"/>
                <w:sz w:val="15"/>
                <w:szCs w:val="15"/>
                <w:color w:val="231F20"/>
              </w:rPr>
              <w:t>First-lien loan ($1,341 par, due</w:t>
            </w:r>
          </w:p>
        </w:tc>
        <w:tc>
          <w:tcPr>
            <w:tcW w:w="800" w:type="dxa"/>
            <w:vAlign w:val="bottom"/>
            <w:shd w:val="clear" w:color="auto" w:fill="FDFDFC"/>
          </w:tcPr>
          <w:p>
            <w:pPr>
              <w:jc w:val="right"/>
              <w:spacing w:after="0"/>
              <w:rPr>
                <w:sz w:val="20"/>
                <w:szCs w:val="20"/>
                <w:color w:val="auto"/>
              </w:rPr>
            </w:pPr>
            <w:r>
              <w:rPr>
                <w:rFonts w:ascii="Times New Roman" w:cs="Times New Roman" w:eastAsia="Times New Roman" w:hAnsi="Times New Roman"/>
                <w:sz w:val="15"/>
                <w:szCs w:val="15"/>
                <w:color w:val="231F20"/>
              </w:rPr>
              <w:t>6/10/2021</w:t>
            </w:r>
          </w:p>
        </w:tc>
        <w:tc>
          <w:tcPr>
            <w:tcW w:w="1000" w:type="dxa"/>
            <w:vAlign w:val="bottom"/>
            <w:shd w:val="clear" w:color="auto" w:fill="FDFDFC"/>
          </w:tcPr>
          <w:p>
            <w:pPr>
              <w:jc w:val="right"/>
              <w:ind w:right="44"/>
              <w:spacing w:after="0"/>
              <w:rPr>
                <w:sz w:val="20"/>
                <w:szCs w:val="20"/>
                <w:color w:val="auto"/>
              </w:rPr>
            </w:pPr>
            <w:r>
              <w:rPr>
                <w:rFonts w:ascii="Times New Roman" w:cs="Times New Roman" w:eastAsia="Times New Roman" w:hAnsi="Times New Roman"/>
                <w:sz w:val="15"/>
                <w:szCs w:val="15"/>
                <w:color w:val="231F20"/>
              </w:rPr>
              <w:t>SOFR +</w:t>
            </w:r>
          </w:p>
        </w:tc>
        <w:tc>
          <w:tcPr>
            <w:tcW w:w="1160" w:type="dxa"/>
            <w:vAlign w:val="bottom"/>
            <w:gridSpan w:val="2"/>
            <w:shd w:val="clear" w:color="auto" w:fill="FDFDFC"/>
          </w:tcPr>
          <w:p>
            <w:pPr>
              <w:jc w:val="right"/>
              <w:ind w:right="240"/>
              <w:spacing w:after="0"/>
              <w:rPr>
                <w:sz w:val="20"/>
                <w:szCs w:val="20"/>
                <w:color w:val="auto"/>
              </w:rPr>
            </w:pPr>
            <w:r>
              <w:rPr>
                <w:rFonts w:ascii="Times New Roman" w:cs="Times New Roman" w:eastAsia="Times New Roman" w:hAnsi="Times New Roman"/>
                <w:sz w:val="15"/>
                <w:szCs w:val="15"/>
                <w:color w:val="231F20"/>
              </w:rPr>
              <w:t>19.65% (incl.</w:t>
            </w:r>
          </w:p>
        </w:tc>
        <w:tc>
          <w:tcPr>
            <w:tcW w:w="900" w:type="dxa"/>
            <w:vAlign w:val="bottom"/>
            <w:shd w:val="clear" w:color="auto" w:fill="FDFDFC"/>
          </w:tcPr>
          <w:p>
            <w:pPr>
              <w:jc w:val="right"/>
              <w:spacing w:after="0"/>
              <w:rPr>
                <w:sz w:val="20"/>
                <w:szCs w:val="20"/>
                <w:color w:val="auto"/>
              </w:rPr>
            </w:pPr>
            <w:r>
              <w:rPr>
                <w:rFonts w:ascii="Times New Roman" w:cs="Times New Roman" w:eastAsia="Times New Roman" w:hAnsi="Times New Roman"/>
                <w:sz w:val="15"/>
                <w:szCs w:val="15"/>
                <w:color w:val="231F20"/>
              </w:rPr>
              <w:t>1,341</w:t>
            </w:r>
          </w:p>
        </w:tc>
        <w:tc>
          <w:tcPr>
            <w:tcW w:w="1680" w:type="dxa"/>
            <w:vAlign w:val="bottom"/>
            <w:gridSpan w:val="3"/>
            <w:shd w:val="clear" w:color="auto" w:fill="FDFDFC"/>
          </w:tcPr>
          <w:p>
            <w:pPr>
              <w:jc w:val="right"/>
              <w:spacing w:after="0"/>
              <w:rPr>
                <w:sz w:val="20"/>
                <w:szCs w:val="20"/>
                <w:color w:val="auto"/>
              </w:rPr>
            </w:pPr>
            <w:r>
              <w:rPr>
                <w:rFonts w:ascii="Times New Roman" w:cs="Times New Roman" w:eastAsia="Times New Roman" w:hAnsi="Times New Roman"/>
                <w:sz w:val="15"/>
                <w:szCs w:val="15"/>
                <w:color w:val="231F20"/>
              </w:rPr>
              <w:t>101</w:t>
            </w:r>
          </w:p>
        </w:tc>
        <w:tc>
          <w:tcPr>
            <w:tcW w:w="960" w:type="dxa"/>
            <w:vAlign w:val="bottom"/>
            <w:gridSpan w:val="2"/>
            <w:shd w:val="clear" w:color="auto" w:fill="FDFDFC"/>
          </w:tcPr>
          <w:p>
            <w:pPr>
              <w:jc w:val="right"/>
              <w:spacing w:after="0"/>
              <w:rPr>
                <w:sz w:val="20"/>
                <w:szCs w:val="20"/>
                <w:color w:val="auto"/>
              </w:rPr>
            </w:pPr>
            <w:r>
              <w:rPr>
                <w:rFonts w:ascii="Times New Roman" w:cs="Times New Roman" w:eastAsia="Times New Roman" w:hAnsi="Times New Roman"/>
                <w:sz w:val="15"/>
                <w:szCs w:val="15"/>
                <w:color w:val="231F20"/>
              </w:rPr>
              <w:t>0.0%</w:t>
            </w:r>
          </w:p>
        </w:tc>
      </w:tr>
      <w:tr>
        <w:trPr>
          <w:trHeight w:val="189"/>
        </w:trPr>
        <w:tc>
          <w:tcPr>
            <w:tcW w:w="1580" w:type="dxa"/>
            <w:vAlign w:val="bottom"/>
            <w:shd w:val="clear" w:color="auto" w:fill="FDFDFC"/>
          </w:tcPr>
          <w:p>
            <w:pPr>
              <w:spacing w:after="0"/>
              <w:rPr>
                <w:sz w:val="16"/>
                <w:szCs w:val="16"/>
                <w:color w:val="auto"/>
              </w:rPr>
            </w:pPr>
          </w:p>
        </w:tc>
        <w:tc>
          <w:tcPr>
            <w:tcW w:w="2200" w:type="dxa"/>
            <w:vAlign w:val="bottom"/>
            <w:shd w:val="clear" w:color="auto" w:fill="FDFDFC"/>
          </w:tcPr>
          <w:p>
            <w:pPr>
              <w:ind w:left="60"/>
              <w:spacing w:after="0"/>
              <w:rPr>
                <w:sz w:val="20"/>
                <w:szCs w:val="20"/>
                <w:color w:val="auto"/>
              </w:rPr>
            </w:pPr>
            <w:r>
              <w:rPr>
                <w:rFonts w:ascii="Times New Roman" w:cs="Times New Roman" w:eastAsia="Times New Roman" w:hAnsi="Times New Roman"/>
                <w:sz w:val="15"/>
                <w:szCs w:val="15"/>
                <w:color w:val="231F20"/>
              </w:rPr>
              <w:t>9/2026)</w:t>
            </w:r>
          </w:p>
        </w:tc>
        <w:tc>
          <w:tcPr>
            <w:tcW w:w="800" w:type="dxa"/>
            <w:vAlign w:val="bottom"/>
            <w:shd w:val="clear" w:color="auto" w:fill="FDFDFC"/>
          </w:tcPr>
          <w:p>
            <w:pPr>
              <w:spacing w:after="0"/>
              <w:rPr>
                <w:sz w:val="16"/>
                <w:szCs w:val="16"/>
                <w:color w:val="auto"/>
              </w:rPr>
            </w:pPr>
          </w:p>
        </w:tc>
        <w:tc>
          <w:tcPr>
            <w:tcW w:w="1000" w:type="dxa"/>
            <w:vAlign w:val="bottom"/>
            <w:shd w:val="clear" w:color="auto" w:fill="FDFDFC"/>
          </w:tcPr>
          <w:p>
            <w:pPr>
              <w:jc w:val="right"/>
              <w:ind w:right="44"/>
              <w:spacing w:after="0"/>
              <w:rPr>
                <w:sz w:val="20"/>
                <w:szCs w:val="20"/>
                <w:color w:val="auto"/>
              </w:rPr>
            </w:pPr>
            <w:r>
              <w:rPr>
                <w:rFonts w:ascii="Times New Roman" w:cs="Times New Roman" w:eastAsia="Times New Roman" w:hAnsi="Times New Roman"/>
                <w:sz w:val="15"/>
                <w:szCs w:val="15"/>
                <w:color w:val="231F20"/>
              </w:rPr>
              <w:t>15.10%</w:t>
            </w:r>
          </w:p>
        </w:tc>
        <w:tc>
          <w:tcPr>
            <w:tcW w:w="1160" w:type="dxa"/>
            <w:vAlign w:val="bottom"/>
            <w:gridSpan w:val="2"/>
            <w:shd w:val="clear" w:color="auto" w:fill="FDFDFC"/>
          </w:tcPr>
          <w:p>
            <w:pPr>
              <w:jc w:val="right"/>
              <w:ind w:right="240"/>
              <w:spacing w:after="0"/>
              <w:rPr>
                <w:sz w:val="20"/>
                <w:szCs w:val="20"/>
                <w:color w:val="auto"/>
              </w:rPr>
            </w:pPr>
            <w:r>
              <w:rPr>
                <w:rFonts w:ascii="Times New Roman" w:cs="Times New Roman" w:eastAsia="Times New Roman" w:hAnsi="Times New Roman"/>
                <w:sz w:val="15"/>
                <w:szCs w:val="15"/>
                <w:color w:val="231F20"/>
              </w:rPr>
              <w:t>19.15% PIK)</w:t>
            </w:r>
          </w:p>
        </w:tc>
        <w:tc>
          <w:tcPr>
            <w:tcW w:w="900" w:type="dxa"/>
            <w:vAlign w:val="bottom"/>
            <w:shd w:val="clear" w:color="auto" w:fill="FDFDFC"/>
          </w:tcPr>
          <w:p>
            <w:pPr>
              <w:spacing w:after="0"/>
              <w:rPr>
                <w:sz w:val="16"/>
                <w:szCs w:val="16"/>
                <w:color w:val="auto"/>
              </w:rPr>
            </w:pPr>
          </w:p>
        </w:tc>
        <w:tc>
          <w:tcPr>
            <w:tcW w:w="80" w:type="dxa"/>
            <w:vAlign w:val="bottom"/>
            <w:shd w:val="clear" w:color="auto" w:fill="FDFDFC"/>
          </w:tcPr>
          <w:p>
            <w:pPr>
              <w:spacing w:after="0"/>
              <w:rPr>
                <w:sz w:val="16"/>
                <w:szCs w:val="16"/>
                <w:color w:val="auto"/>
              </w:rPr>
            </w:pPr>
          </w:p>
        </w:tc>
        <w:tc>
          <w:tcPr>
            <w:tcW w:w="100" w:type="dxa"/>
            <w:vAlign w:val="bottom"/>
            <w:shd w:val="clear" w:color="auto" w:fill="FDFDFC"/>
          </w:tcPr>
          <w:p>
            <w:pPr>
              <w:spacing w:after="0"/>
              <w:rPr>
                <w:sz w:val="16"/>
                <w:szCs w:val="16"/>
                <w:color w:val="auto"/>
              </w:rPr>
            </w:pPr>
          </w:p>
        </w:tc>
        <w:tc>
          <w:tcPr>
            <w:tcW w:w="1500" w:type="dxa"/>
            <w:vAlign w:val="bottom"/>
            <w:shd w:val="clear" w:color="auto" w:fill="FDFDFC"/>
          </w:tcPr>
          <w:p>
            <w:pPr>
              <w:spacing w:after="0"/>
              <w:rPr>
                <w:sz w:val="16"/>
                <w:szCs w:val="16"/>
                <w:color w:val="auto"/>
              </w:rPr>
            </w:pPr>
          </w:p>
        </w:tc>
        <w:tc>
          <w:tcPr>
            <w:tcW w:w="100" w:type="dxa"/>
            <w:vAlign w:val="bottom"/>
            <w:shd w:val="clear" w:color="auto" w:fill="FDFDFC"/>
          </w:tcPr>
          <w:p>
            <w:pPr>
              <w:spacing w:after="0"/>
              <w:rPr>
                <w:sz w:val="16"/>
                <w:szCs w:val="16"/>
                <w:color w:val="auto"/>
              </w:rPr>
            </w:pPr>
          </w:p>
        </w:tc>
        <w:tc>
          <w:tcPr>
            <w:tcW w:w="860" w:type="dxa"/>
            <w:vAlign w:val="bottom"/>
            <w:shd w:val="clear" w:color="auto" w:fill="FDFDFC"/>
          </w:tcPr>
          <w:p>
            <w:pPr>
              <w:spacing w:after="0"/>
              <w:rPr>
                <w:sz w:val="16"/>
                <w:szCs w:val="16"/>
                <w:color w:val="auto"/>
              </w:rPr>
            </w:pPr>
          </w:p>
        </w:tc>
      </w:tr>
      <w:tr>
        <w:trPr>
          <w:trHeight w:val="171"/>
        </w:trPr>
        <w:tc>
          <w:tcPr>
            <w:tcW w:w="1580" w:type="dxa"/>
            <w:vAlign w:val="bottom"/>
            <w:shd w:val="clear" w:color="auto" w:fill="D0EBF2"/>
          </w:tcPr>
          <w:p>
            <w:pPr>
              <w:spacing w:after="0"/>
              <w:rPr>
                <w:sz w:val="14"/>
                <w:szCs w:val="14"/>
                <w:color w:val="auto"/>
              </w:rPr>
            </w:pPr>
          </w:p>
        </w:tc>
        <w:tc>
          <w:tcPr>
            <w:tcW w:w="2200" w:type="dxa"/>
            <w:vAlign w:val="bottom"/>
            <w:shd w:val="clear" w:color="auto" w:fill="D0EBF2"/>
          </w:tcPr>
          <w:p>
            <w:pPr>
              <w:ind w:left="60"/>
              <w:spacing w:after="0" w:line="172" w:lineRule="exact"/>
              <w:rPr>
                <w:sz w:val="20"/>
                <w:szCs w:val="20"/>
                <w:color w:val="auto"/>
              </w:rPr>
            </w:pPr>
            <w:r>
              <w:rPr>
                <w:rFonts w:ascii="Times New Roman" w:cs="Times New Roman" w:eastAsia="Times New Roman" w:hAnsi="Times New Roman"/>
                <w:sz w:val="15"/>
                <w:szCs w:val="15"/>
                <w:color w:val="231F20"/>
              </w:rPr>
              <w:t>Subordinated note ($4,740 par,</w:t>
            </w:r>
          </w:p>
        </w:tc>
        <w:tc>
          <w:tcPr>
            <w:tcW w:w="800" w:type="dxa"/>
            <w:vAlign w:val="bottom"/>
            <w:shd w:val="clear" w:color="auto" w:fill="D0EBF2"/>
          </w:tcPr>
          <w:p>
            <w:pPr>
              <w:jc w:val="right"/>
              <w:spacing w:after="0" w:line="172" w:lineRule="exact"/>
              <w:rPr>
                <w:sz w:val="20"/>
                <w:szCs w:val="20"/>
                <w:color w:val="auto"/>
              </w:rPr>
            </w:pPr>
            <w:r>
              <w:rPr>
                <w:rFonts w:ascii="Times New Roman" w:cs="Times New Roman" w:eastAsia="Times New Roman" w:hAnsi="Times New Roman"/>
                <w:sz w:val="15"/>
                <w:szCs w:val="15"/>
                <w:color w:val="231F20"/>
              </w:rPr>
              <w:t>3/16/2021</w:t>
            </w:r>
          </w:p>
        </w:tc>
        <w:tc>
          <w:tcPr>
            <w:tcW w:w="1000" w:type="dxa"/>
            <w:vAlign w:val="bottom"/>
            <w:shd w:val="clear" w:color="auto" w:fill="D0EBF2"/>
          </w:tcPr>
          <w:p>
            <w:pPr>
              <w:jc w:val="right"/>
              <w:ind w:right="44"/>
              <w:spacing w:after="0" w:line="172" w:lineRule="exact"/>
              <w:rPr>
                <w:sz w:val="20"/>
                <w:szCs w:val="20"/>
                <w:color w:val="auto"/>
              </w:rPr>
            </w:pPr>
            <w:r>
              <w:rPr>
                <w:rFonts w:ascii="Times New Roman" w:cs="Times New Roman" w:eastAsia="Times New Roman" w:hAnsi="Times New Roman"/>
                <w:sz w:val="15"/>
                <w:szCs w:val="15"/>
                <w:color w:val="231F20"/>
              </w:rPr>
              <w:t>SOFR +</w:t>
            </w:r>
          </w:p>
        </w:tc>
        <w:tc>
          <w:tcPr>
            <w:tcW w:w="1060" w:type="dxa"/>
            <w:vAlign w:val="bottom"/>
            <w:shd w:val="clear" w:color="auto" w:fill="D0EBF2"/>
          </w:tcPr>
          <w:p>
            <w:pPr>
              <w:jc w:val="right"/>
              <w:ind w:right="64"/>
              <w:spacing w:after="0" w:line="172" w:lineRule="exact"/>
              <w:rPr>
                <w:sz w:val="20"/>
                <w:szCs w:val="20"/>
                <w:color w:val="auto"/>
              </w:rPr>
            </w:pPr>
            <w:r>
              <w:rPr>
                <w:rFonts w:ascii="Times New Roman" w:cs="Times New Roman" w:eastAsia="Times New Roman" w:hAnsi="Times New Roman"/>
                <w:sz w:val="15"/>
                <w:szCs w:val="15"/>
                <w:color w:val="231F20"/>
              </w:rPr>
              <w:t>5.74%</w:t>
            </w:r>
          </w:p>
        </w:tc>
        <w:tc>
          <w:tcPr>
            <w:tcW w:w="100" w:type="dxa"/>
            <w:vAlign w:val="bottom"/>
            <w:shd w:val="clear" w:color="auto" w:fill="D0EBF2"/>
          </w:tcPr>
          <w:p>
            <w:pPr>
              <w:spacing w:after="0"/>
              <w:rPr>
                <w:sz w:val="14"/>
                <w:szCs w:val="14"/>
                <w:color w:val="auto"/>
              </w:rPr>
            </w:pPr>
          </w:p>
        </w:tc>
        <w:tc>
          <w:tcPr>
            <w:tcW w:w="900" w:type="dxa"/>
            <w:vAlign w:val="bottom"/>
            <w:shd w:val="clear" w:color="auto" w:fill="D0EBF2"/>
          </w:tcPr>
          <w:p>
            <w:pPr>
              <w:jc w:val="right"/>
              <w:spacing w:after="0" w:line="172" w:lineRule="exact"/>
              <w:rPr>
                <w:sz w:val="20"/>
                <w:szCs w:val="20"/>
                <w:color w:val="auto"/>
              </w:rPr>
            </w:pPr>
            <w:r>
              <w:rPr>
                <w:rFonts w:ascii="Times New Roman" w:cs="Times New Roman" w:eastAsia="Times New Roman" w:hAnsi="Times New Roman"/>
                <w:sz w:val="15"/>
                <w:szCs w:val="15"/>
                <w:color w:val="231F20"/>
              </w:rPr>
              <w:t>545</w:t>
            </w:r>
          </w:p>
        </w:tc>
        <w:tc>
          <w:tcPr>
            <w:tcW w:w="1680" w:type="dxa"/>
            <w:vAlign w:val="bottom"/>
            <w:gridSpan w:val="3"/>
            <w:shd w:val="clear" w:color="auto" w:fill="D0EBF2"/>
          </w:tcPr>
          <w:p>
            <w:pPr>
              <w:jc w:val="right"/>
              <w:spacing w:after="0" w:line="172" w:lineRule="exact"/>
              <w:rPr>
                <w:sz w:val="20"/>
                <w:szCs w:val="20"/>
                <w:color w:val="auto"/>
              </w:rPr>
            </w:pPr>
            <w:r>
              <w:rPr>
                <w:rFonts w:ascii="Times New Roman" w:cs="Times New Roman" w:eastAsia="Times New Roman" w:hAnsi="Times New Roman"/>
                <w:sz w:val="15"/>
                <w:szCs w:val="15"/>
                <w:color w:val="231F20"/>
              </w:rPr>
              <w:t>59</w:t>
            </w:r>
          </w:p>
        </w:tc>
        <w:tc>
          <w:tcPr>
            <w:tcW w:w="960" w:type="dxa"/>
            <w:vAlign w:val="bottom"/>
            <w:gridSpan w:val="2"/>
            <w:shd w:val="clear" w:color="auto" w:fill="D0EBF2"/>
          </w:tcPr>
          <w:p>
            <w:pPr>
              <w:jc w:val="right"/>
              <w:spacing w:after="0" w:line="172" w:lineRule="exact"/>
              <w:rPr>
                <w:sz w:val="20"/>
                <w:szCs w:val="20"/>
                <w:color w:val="auto"/>
              </w:rPr>
            </w:pPr>
            <w:r>
              <w:rPr>
                <w:rFonts w:ascii="Times New Roman" w:cs="Times New Roman" w:eastAsia="Times New Roman" w:hAnsi="Times New Roman"/>
                <w:sz w:val="15"/>
                <w:szCs w:val="15"/>
                <w:color w:val="231F20"/>
              </w:rPr>
              <w:t>0.0%</w:t>
            </w:r>
          </w:p>
        </w:tc>
      </w:tr>
      <w:tr>
        <w:trPr>
          <w:trHeight w:val="189"/>
        </w:trPr>
        <w:tc>
          <w:tcPr>
            <w:tcW w:w="1580" w:type="dxa"/>
            <w:vAlign w:val="bottom"/>
            <w:shd w:val="clear" w:color="auto" w:fill="D0EBF2"/>
          </w:tcPr>
          <w:p>
            <w:pPr>
              <w:spacing w:after="0"/>
              <w:rPr>
                <w:sz w:val="16"/>
                <w:szCs w:val="16"/>
                <w:color w:val="auto"/>
              </w:rPr>
            </w:pPr>
          </w:p>
        </w:tc>
        <w:tc>
          <w:tcPr>
            <w:tcW w:w="2200" w:type="dxa"/>
            <w:vAlign w:val="bottom"/>
            <w:shd w:val="clear" w:color="auto" w:fill="D0EBF2"/>
          </w:tcPr>
          <w:p>
            <w:pPr>
              <w:ind w:left="60"/>
              <w:spacing w:after="0"/>
              <w:rPr>
                <w:sz w:val="20"/>
                <w:szCs w:val="20"/>
                <w:color w:val="auto"/>
              </w:rPr>
            </w:pPr>
            <w:r>
              <w:rPr>
                <w:rFonts w:ascii="Times New Roman" w:cs="Times New Roman" w:eastAsia="Times New Roman" w:hAnsi="Times New Roman"/>
                <w:sz w:val="15"/>
                <w:szCs w:val="15"/>
                <w:color w:val="231F20"/>
              </w:rPr>
              <w:t>due 9/2026)</w:t>
            </w:r>
          </w:p>
        </w:tc>
        <w:tc>
          <w:tcPr>
            <w:tcW w:w="800" w:type="dxa"/>
            <w:vAlign w:val="bottom"/>
            <w:shd w:val="clear" w:color="auto" w:fill="D0EBF2"/>
          </w:tcPr>
          <w:p>
            <w:pPr>
              <w:spacing w:after="0"/>
              <w:rPr>
                <w:sz w:val="16"/>
                <w:szCs w:val="16"/>
                <w:color w:val="auto"/>
              </w:rPr>
            </w:pPr>
          </w:p>
        </w:tc>
        <w:tc>
          <w:tcPr>
            <w:tcW w:w="1000" w:type="dxa"/>
            <w:vAlign w:val="bottom"/>
            <w:shd w:val="clear" w:color="auto" w:fill="D0EBF2"/>
          </w:tcPr>
          <w:p>
            <w:pPr>
              <w:jc w:val="right"/>
              <w:ind w:right="44"/>
              <w:spacing w:after="0"/>
              <w:rPr>
                <w:sz w:val="20"/>
                <w:szCs w:val="20"/>
                <w:color w:val="auto"/>
              </w:rPr>
            </w:pPr>
            <w:r>
              <w:rPr>
                <w:rFonts w:ascii="Times New Roman" w:cs="Times New Roman" w:eastAsia="Times New Roman" w:hAnsi="Times New Roman"/>
                <w:sz w:val="15"/>
                <w:szCs w:val="15"/>
                <w:color w:val="231F20"/>
              </w:rPr>
              <w:t>1.15%</w:t>
            </w:r>
          </w:p>
        </w:tc>
        <w:tc>
          <w:tcPr>
            <w:tcW w:w="1060" w:type="dxa"/>
            <w:vAlign w:val="bottom"/>
            <w:shd w:val="clear" w:color="auto" w:fill="D0EBF2"/>
          </w:tcPr>
          <w:p>
            <w:pPr>
              <w:spacing w:after="0"/>
              <w:rPr>
                <w:sz w:val="16"/>
                <w:szCs w:val="16"/>
                <w:color w:val="auto"/>
              </w:rPr>
            </w:pPr>
          </w:p>
        </w:tc>
        <w:tc>
          <w:tcPr>
            <w:tcW w:w="100" w:type="dxa"/>
            <w:vAlign w:val="bottom"/>
            <w:shd w:val="clear" w:color="auto" w:fill="D0EBF2"/>
          </w:tcPr>
          <w:p>
            <w:pPr>
              <w:spacing w:after="0"/>
              <w:rPr>
                <w:sz w:val="16"/>
                <w:szCs w:val="16"/>
                <w:color w:val="auto"/>
              </w:rPr>
            </w:pPr>
          </w:p>
        </w:tc>
        <w:tc>
          <w:tcPr>
            <w:tcW w:w="900" w:type="dxa"/>
            <w:vAlign w:val="bottom"/>
            <w:shd w:val="clear" w:color="auto" w:fill="D0EBF2"/>
          </w:tcPr>
          <w:p>
            <w:pPr>
              <w:spacing w:after="0"/>
              <w:rPr>
                <w:sz w:val="16"/>
                <w:szCs w:val="16"/>
                <w:color w:val="auto"/>
              </w:rPr>
            </w:pPr>
          </w:p>
        </w:tc>
        <w:tc>
          <w:tcPr>
            <w:tcW w:w="80" w:type="dxa"/>
            <w:vAlign w:val="bottom"/>
            <w:shd w:val="clear" w:color="auto" w:fill="D0EBF2"/>
          </w:tcPr>
          <w:p>
            <w:pPr>
              <w:spacing w:after="0"/>
              <w:rPr>
                <w:sz w:val="16"/>
                <w:szCs w:val="16"/>
                <w:color w:val="auto"/>
              </w:rPr>
            </w:pPr>
          </w:p>
        </w:tc>
        <w:tc>
          <w:tcPr>
            <w:tcW w:w="100" w:type="dxa"/>
            <w:vAlign w:val="bottom"/>
            <w:shd w:val="clear" w:color="auto" w:fill="D0EBF2"/>
          </w:tcPr>
          <w:p>
            <w:pPr>
              <w:spacing w:after="0"/>
              <w:rPr>
                <w:sz w:val="16"/>
                <w:szCs w:val="16"/>
                <w:color w:val="auto"/>
              </w:rPr>
            </w:pPr>
          </w:p>
        </w:tc>
        <w:tc>
          <w:tcPr>
            <w:tcW w:w="1500" w:type="dxa"/>
            <w:vAlign w:val="bottom"/>
            <w:shd w:val="clear" w:color="auto" w:fill="D0EBF2"/>
          </w:tcPr>
          <w:p>
            <w:pPr>
              <w:spacing w:after="0"/>
              <w:rPr>
                <w:sz w:val="16"/>
                <w:szCs w:val="16"/>
                <w:color w:val="auto"/>
              </w:rPr>
            </w:pPr>
          </w:p>
        </w:tc>
        <w:tc>
          <w:tcPr>
            <w:tcW w:w="100" w:type="dxa"/>
            <w:vAlign w:val="bottom"/>
            <w:shd w:val="clear" w:color="auto" w:fill="D0EBF2"/>
          </w:tcPr>
          <w:p>
            <w:pPr>
              <w:spacing w:after="0"/>
              <w:rPr>
                <w:sz w:val="16"/>
                <w:szCs w:val="16"/>
                <w:color w:val="auto"/>
              </w:rPr>
            </w:pPr>
          </w:p>
        </w:tc>
        <w:tc>
          <w:tcPr>
            <w:tcW w:w="860" w:type="dxa"/>
            <w:vAlign w:val="bottom"/>
            <w:shd w:val="clear" w:color="auto" w:fill="D0EBF2"/>
          </w:tcPr>
          <w:p>
            <w:pPr>
              <w:spacing w:after="0"/>
              <w:rPr>
                <w:sz w:val="16"/>
                <w:szCs w:val="16"/>
                <w:color w:val="auto"/>
              </w:rPr>
            </w:pPr>
          </w:p>
        </w:tc>
      </w:tr>
      <w:tr>
        <w:trPr>
          <w:trHeight w:val="171"/>
        </w:trPr>
        <w:tc>
          <w:tcPr>
            <w:tcW w:w="1580" w:type="dxa"/>
            <w:vAlign w:val="bottom"/>
            <w:shd w:val="clear" w:color="auto" w:fill="FDFDFC"/>
          </w:tcPr>
          <w:p>
            <w:pPr>
              <w:spacing w:after="0" w:line="172" w:lineRule="exact"/>
              <w:rPr>
                <w:sz w:val="20"/>
                <w:szCs w:val="20"/>
                <w:color w:val="auto"/>
              </w:rPr>
            </w:pPr>
            <w:r>
              <w:rPr>
                <w:rFonts w:ascii="Times New Roman" w:cs="Times New Roman" w:eastAsia="Times New Roman" w:hAnsi="Times New Roman"/>
                <w:sz w:val="15"/>
                <w:szCs w:val="15"/>
                <w:color w:val="231F20"/>
              </w:rPr>
              <w:t>Bed Bath and Beyond</w:t>
            </w:r>
          </w:p>
        </w:tc>
        <w:tc>
          <w:tcPr>
            <w:tcW w:w="2200" w:type="dxa"/>
            <w:vAlign w:val="bottom"/>
            <w:shd w:val="clear" w:color="auto" w:fill="FDFDFC"/>
          </w:tcPr>
          <w:p>
            <w:pPr>
              <w:ind w:left="60"/>
              <w:spacing w:after="0" w:line="172" w:lineRule="exact"/>
              <w:rPr>
                <w:sz w:val="20"/>
                <w:szCs w:val="20"/>
                <w:color w:val="auto"/>
              </w:rPr>
            </w:pPr>
            <w:r>
              <w:rPr>
                <w:rFonts w:ascii="Times New Roman" w:cs="Times New Roman" w:eastAsia="Times New Roman" w:hAnsi="Times New Roman"/>
                <w:sz w:val="15"/>
                <w:szCs w:val="15"/>
                <w:color w:val="231F20"/>
              </w:rPr>
              <w:t>ABL FILO term loan ($8,994</w:t>
            </w:r>
          </w:p>
        </w:tc>
        <w:tc>
          <w:tcPr>
            <w:tcW w:w="800" w:type="dxa"/>
            <w:vAlign w:val="bottom"/>
            <w:shd w:val="clear" w:color="auto" w:fill="FDFDFC"/>
          </w:tcPr>
          <w:p>
            <w:pPr>
              <w:jc w:val="right"/>
              <w:spacing w:after="0" w:line="172" w:lineRule="exact"/>
              <w:rPr>
                <w:sz w:val="20"/>
                <w:szCs w:val="20"/>
                <w:color w:val="auto"/>
              </w:rPr>
            </w:pPr>
            <w:r>
              <w:rPr>
                <w:rFonts w:ascii="Times New Roman" w:cs="Times New Roman" w:eastAsia="Times New Roman" w:hAnsi="Times New Roman"/>
                <w:sz w:val="15"/>
                <w:szCs w:val="15"/>
                <w:color w:val="231F20"/>
              </w:rPr>
              <w:t>9/2/2022</w:t>
            </w:r>
          </w:p>
        </w:tc>
        <w:tc>
          <w:tcPr>
            <w:tcW w:w="1000" w:type="dxa"/>
            <w:vAlign w:val="bottom"/>
            <w:shd w:val="clear" w:color="auto" w:fill="FDFDFC"/>
          </w:tcPr>
          <w:p>
            <w:pPr>
              <w:jc w:val="right"/>
              <w:ind w:right="44"/>
              <w:spacing w:after="0" w:line="172" w:lineRule="exact"/>
              <w:rPr>
                <w:sz w:val="20"/>
                <w:szCs w:val="20"/>
                <w:color w:val="auto"/>
              </w:rPr>
            </w:pPr>
            <w:r>
              <w:rPr>
                <w:rFonts w:ascii="Times New Roman" w:cs="Times New Roman" w:eastAsia="Times New Roman" w:hAnsi="Times New Roman"/>
                <w:sz w:val="15"/>
                <w:szCs w:val="15"/>
                <w:color w:val="231F20"/>
              </w:rPr>
              <w:t>SOFR +</w:t>
            </w:r>
          </w:p>
        </w:tc>
        <w:tc>
          <w:tcPr>
            <w:tcW w:w="1060" w:type="dxa"/>
            <w:vAlign w:val="bottom"/>
            <w:shd w:val="clear" w:color="auto" w:fill="FDFDFC"/>
          </w:tcPr>
          <w:p>
            <w:pPr>
              <w:jc w:val="right"/>
              <w:ind w:right="64"/>
              <w:spacing w:after="0" w:line="172" w:lineRule="exact"/>
              <w:rPr>
                <w:sz w:val="20"/>
                <w:szCs w:val="20"/>
                <w:color w:val="auto"/>
              </w:rPr>
            </w:pPr>
            <w:r>
              <w:rPr>
                <w:rFonts w:ascii="Times New Roman" w:cs="Times New Roman" w:eastAsia="Times New Roman" w:hAnsi="Times New Roman"/>
                <w:sz w:val="15"/>
                <w:szCs w:val="15"/>
                <w:color w:val="231F20"/>
              </w:rPr>
              <w:t>14.26%</w:t>
            </w:r>
          </w:p>
        </w:tc>
        <w:tc>
          <w:tcPr>
            <w:tcW w:w="100" w:type="dxa"/>
            <w:vAlign w:val="bottom"/>
            <w:shd w:val="clear" w:color="auto" w:fill="FDFDFC"/>
          </w:tcPr>
          <w:p>
            <w:pPr>
              <w:spacing w:after="0"/>
              <w:rPr>
                <w:sz w:val="14"/>
                <w:szCs w:val="14"/>
                <w:color w:val="auto"/>
              </w:rPr>
            </w:pPr>
          </w:p>
        </w:tc>
        <w:tc>
          <w:tcPr>
            <w:tcW w:w="900" w:type="dxa"/>
            <w:vAlign w:val="bottom"/>
            <w:shd w:val="clear" w:color="auto" w:fill="FDFDFC"/>
          </w:tcPr>
          <w:p>
            <w:pPr>
              <w:jc w:val="right"/>
              <w:spacing w:after="0" w:line="172" w:lineRule="exact"/>
              <w:rPr>
                <w:sz w:val="20"/>
                <w:szCs w:val="20"/>
                <w:color w:val="auto"/>
              </w:rPr>
            </w:pPr>
            <w:r>
              <w:rPr>
                <w:rFonts w:ascii="Times New Roman" w:cs="Times New Roman" w:eastAsia="Times New Roman" w:hAnsi="Times New Roman"/>
                <w:sz w:val="15"/>
                <w:szCs w:val="15"/>
                <w:color w:val="231F20"/>
              </w:rPr>
              <w:t>8,856</w:t>
            </w:r>
          </w:p>
        </w:tc>
        <w:tc>
          <w:tcPr>
            <w:tcW w:w="1680" w:type="dxa"/>
            <w:vAlign w:val="bottom"/>
            <w:gridSpan w:val="3"/>
            <w:shd w:val="clear" w:color="auto" w:fill="FDFDFC"/>
          </w:tcPr>
          <w:p>
            <w:pPr>
              <w:jc w:val="right"/>
              <w:spacing w:after="0" w:line="172" w:lineRule="exact"/>
              <w:rPr>
                <w:sz w:val="20"/>
                <w:szCs w:val="20"/>
                <w:color w:val="auto"/>
              </w:rPr>
            </w:pPr>
            <w:r>
              <w:rPr>
                <w:rFonts w:ascii="Times New Roman" w:cs="Times New Roman" w:eastAsia="Times New Roman" w:hAnsi="Times New Roman"/>
                <w:sz w:val="15"/>
                <w:szCs w:val="15"/>
                <w:color w:val="231F20"/>
              </w:rPr>
              <w:t>8,229</w:t>
            </w:r>
          </w:p>
        </w:tc>
        <w:tc>
          <w:tcPr>
            <w:tcW w:w="960" w:type="dxa"/>
            <w:vAlign w:val="bottom"/>
            <w:gridSpan w:val="2"/>
            <w:shd w:val="clear" w:color="auto" w:fill="FDFDFC"/>
          </w:tcPr>
          <w:p>
            <w:pPr>
              <w:jc w:val="right"/>
              <w:spacing w:after="0" w:line="172" w:lineRule="exact"/>
              <w:rPr>
                <w:sz w:val="20"/>
                <w:szCs w:val="20"/>
                <w:color w:val="auto"/>
              </w:rPr>
            </w:pPr>
            <w:r>
              <w:rPr>
                <w:rFonts w:ascii="Times New Roman" w:cs="Times New Roman" w:eastAsia="Times New Roman" w:hAnsi="Times New Roman"/>
                <w:sz w:val="15"/>
                <w:szCs w:val="15"/>
                <w:color w:val="231F20"/>
              </w:rPr>
              <w:t>0.5%</w:t>
            </w:r>
          </w:p>
        </w:tc>
      </w:tr>
      <w:tr>
        <w:trPr>
          <w:trHeight w:val="189"/>
        </w:trPr>
        <w:tc>
          <w:tcPr>
            <w:tcW w:w="1580" w:type="dxa"/>
            <w:vAlign w:val="bottom"/>
            <w:shd w:val="clear" w:color="auto" w:fill="FDFDFC"/>
          </w:tcPr>
          <w:p>
            <w:pPr>
              <w:spacing w:after="0" w:line="190" w:lineRule="exact"/>
              <w:rPr>
                <w:sz w:val="20"/>
                <w:szCs w:val="20"/>
                <w:color w:val="auto"/>
              </w:rPr>
            </w:pPr>
            <w:r>
              <w:rPr>
                <w:rFonts w:ascii="Times New Roman" w:cs="Times New Roman" w:eastAsia="Times New Roman" w:hAnsi="Times New Roman"/>
                <w:sz w:val="21"/>
                <w:szCs w:val="21"/>
                <w:color w:val="231F20"/>
                <w:vertAlign w:val="subscript"/>
              </w:rPr>
              <w:t>Inc.</w:t>
            </w:r>
            <w:r>
              <w:rPr>
                <w:rFonts w:ascii="Times New Roman" w:cs="Times New Roman" w:eastAsia="Times New Roman" w:hAnsi="Times New Roman"/>
                <w:sz w:val="8"/>
                <w:szCs w:val="8"/>
                <w:color w:val="231F20"/>
              </w:rPr>
              <w:t xml:space="preserve"> (3)(15)</w:t>
            </w:r>
          </w:p>
        </w:tc>
        <w:tc>
          <w:tcPr>
            <w:tcW w:w="2200" w:type="dxa"/>
            <w:vAlign w:val="bottom"/>
            <w:shd w:val="clear" w:color="auto" w:fill="FDFDFC"/>
          </w:tcPr>
          <w:p>
            <w:pPr>
              <w:ind w:left="60"/>
              <w:spacing w:after="0"/>
              <w:rPr>
                <w:sz w:val="20"/>
                <w:szCs w:val="20"/>
                <w:color w:val="auto"/>
              </w:rPr>
            </w:pPr>
            <w:r>
              <w:rPr>
                <w:rFonts w:ascii="Times New Roman" w:cs="Times New Roman" w:eastAsia="Times New Roman" w:hAnsi="Times New Roman"/>
                <w:sz w:val="15"/>
                <w:szCs w:val="15"/>
                <w:color w:val="231F20"/>
              </w:rPr>
              <w:t>par, due 8/2027)</w:t>
            </w:r>
          </w:p>
        </w:tc>
        <w:tc>
          <w:tcPr>
            <w:tcW w:w="800" w:type="dxa"/>
            <w:vAlign w:val="bottom"/>
            <w:shd w:val="clear" w:color="auto" w:fill="FDFDFC"/>
          </w:tcPr>
          <w:p>
            <w:pPr>
              <w:spacing w:after="0"/>
              <w:rPr>
                <w:sz w:val="16"/>
                <w:szCs w:val="16"/>
                <w:color w:val="auto"/>
              </w:rPr>
            </w:pPr>
          </w:p>
        </w:tc>
        <w:tc>
          <w:tcPr>
            <w:tcW w:w="1000" w:type="dxa"/>
            <w:vAlign w:val="bottom"/>
            <w:shd w:val="clear" w:color="auto" w:fill="FDFDFC"/>
          </w:tcPr>
          <w:p>
            <w:pPr>
              <w:jc w:val="right"/>
              <w:ind w:right="44"/>
              <w:spacing w:after="0"/>
              <w:rPr>
                <w:sz w:val="20"/>
                <w:szCs w:val="20"/>
                <w:color w:val="auto"/>
              </w:rPr>
            </w:pPr>
            <w:r>
              <w:rPr>
                <w:rFonts w:ascii="Times New Roman" w:cs="Times New Roman" w:eastAsia="Times New Roman" w:hAnsi="Times New Roman"/>
                <w:sz w:val="15"/>
                <w:szCs w:val="15"/>
                <w:color w:val="231F20"/>
              </w:rPr>
              <w:t>9.90%</w:t>
            </w:r>
          </w:p>
        </w:tc>
        <w:tc>
          <w:tcPr>
            <w:tcW w:w="1060" w:type="dxa"/>
            <w:vAlign w:val="bottom"/>
            <w:shd w:val="clear" w:color="auto" w:fill="FDFDFC"/>
          </w:tcPr>
          <w:p>
            <w:pPr>
              <w:spacing w:after="0"/>
              <w:rPr>
                <w:sz w:val="16"/>
                <w:szCs w:val="16"/>
                <w:color w:val="auto"/>
              </w:rPr>
            </w:pPr>
          </w:p>
        </w:tc>
        <w:tc>
          <w:tcPr>
            <w:tcW w:w="100" w:type="dxa"/>
            <w:vAlign w:val="bottom"/>
            <w:shd w:val="clear" w:color="auto" w:fill="FDFDFC"/>
          </w:tcPr>
          <w:p>
            <w:pPr>
              <w:spacing w:after="0"/>
              <w:rPr>
                <w:sz w:val="16"/>
                <w:szCs w:val="16"/>
                <w:color w:val="auto"/>
              </w:rPr>
            </w:pPr>
          </w:p>
        </w:tc>
        <w:tc>
          <w:tcPr>
            <w:tcW w:w="900" w:type="dxa"/>
            <w:vAlign w:val="bottom"/>
            <w:shd w:val="clear" w:color="auto" w:fill="FDFDFC"/>
          </w:tcPr>
          <w:p>
            <w:pPr>
              <w:spacing w:after="0"/>
              <w:rPr>
                <w:sz w:val="16"/>
                <w:szCs w:val="16"/>
                <w:color w:val="auto"/>
              </w:rPr>
            </w:pPr>
          </w:p>
        </w:tc>
        <w:tc>
          <w:tcPr>
            <w:tcW w:w="80" w:type="dxa"/>
            <w:vAlign w:val="bottom"/>
            <w:shd w:val="clear" w:color="auto" w:fill="FDFDFC"/>
          </w:tcPr>
          <w:p>
            <w:pPr>
              <w:spacing w:after="0"/>
              <w:rPr>
                <w:sz w:val="16"/>
                <w:szCs w:val="16"/>
                <w:color w:val="auto"/>
              </w:rPr>
            </w:pPr>
          </w:p>
        </w:tc>
        <w:tc>
          <w:tcPr>
            <w:tcW w:w="100" w:type="dxa"/>
            <w:vAlign w:val="bottom"/>
            <w:shd w:val="clear" w:color="auto" w:fill="FDFDFC"/>
          </w:tcPr>
          <w:p>
            <w:pPr>
              <w:spacing w:after="0"/>
              <w:rPr>
                <w:sz w:val="16"/>
                <w:szCs w:val="16"/>
                <w:color w:val="auto"/>
              </w:rPr>
            </w:pPr>
          </w:p>
        </w:tc>
        <w:tc>
          <w:tcPr>
            <w:tcW w:w="1500" w:type="dxa"/>
            <w:vAlign w:val="bottom"/>
            <w:shd w:val="clear" w:color="auto" w:fill="FDFDFC"/>
          </w:tcPr>
          <w:p>
            <w:pPr>
              <w:spacing w:after="0"/>
              <w:rPr>
                <w:sz w:val="16"/>
                <w:szCs w:val="16"/>
                <w:color w:val="auto"/>
              </w:rPr>
            </w:pPr>
          </w:p>
        </w:tc>
        <w:tc>
          <w:tcPr>
            <w:tcW w:w="100" w:type="dxa"/>
            <w:vAlign w:val="bottom"/>
            <w:shd w:val="clear" w:color="auto" w:fill="FDFDFC"/>
          </w:tcPr>
          <w:p>
            <w:pPr>
              <w:spacing w:after="0"/>
              <w:rPr>
                <w:sz w:val="16"/>
                <w:szCs w:val="16"/>
                <w:color w:val="auto"/>
              </w:rPr>
            </w:pPr>
          </w:p>
        </w:tc>
        <w:tc>
          <w:tcPr>
            <w:tcW w:w="860" w:type="dxa"/>
            <w:vAlign w:val="bottom"/>
            <w:shd w:val="clear" w:color="auto" w:fill="FDFDFC"/>
          </w:tcPr>
          <w:p>
            <w:pPr>
              <w:spacing w:after="0"/>
              <w:rPr>
                <w:sz w:val="16"/>
                <w:szCs w:val="16"/>
                <w:color w:val="auto"/>
              </w:rPr>
            </w:pPr>
          </w:p>
        </w:tc>
      </w:tr>
      <w:tr>
        <w:trPr>
          <w:trHeight w:val="171"/>
        </w:trPr>
        <w:tc>
          <w:tcPr>
            <w:tcW w:w="1580" w:type="dxa"/>
            <w:vAlign w:val="bottom"/>
            <w:shd w:val="clear" w:color="auto" w:fill="D0EBF2"/>
          </w:tcPr>
          <w:p>
            <w:pPr>
              <w:spacing w:after="0"/>
              <w:rPr>
                <w:sz w:val="14"/>
                <w:szCs w:val="14"/>
                <w:color w:val="auto"/>
              </w:rPr>
            </w:pPr>
          </w:p>
        </w:tc>
        <w:tc>
          <w:tcPr>
            <w:tcW w:w="2200" w:type="dxa"/>
            <w:vAlign w:val="bottom"/>
            <w:shd w:val="clear" w:color="auto" w:fill="D0EBF2"/>
          </w:tcPr>
          <w:p>
            <w:pPr>
              <w:ind w:left="60"/>
              <w:spacing w:after="0" w:line="172" w:lineRule="exact"/>
              <w:rPr>
                <w:sz w:val="20"/>
                <w:szCs w:val="20"/>
                <w:color w:val="auto"/>
              </w:rPr>
            </w:pPr>
            <w:r>
              <w:rPr>
                <w:rFonts w:ascii="Times New Roman" w:cs="Times New Roman" w:eastAsia="Times New Roman" w:hAnsi="Times New Roman"/>
                <w:sz w:val="15"/>
                <w:szCs w:val="15"/>
                <w:color w:val="231F20"/>
              </w:rPr>
              <w:t>Roll Up DIP term loan ($24,924</w:t>
            </w:r>
          </w:p>
        </w:tc>
        <w:tc>
          <w:tcPr>
            <w:tcW w:w="800" w:type="dxa"/>
            <w:vAlign w:val="bottom"/>
            <w:shd w:val="clear" w:color="auto" w:fill="D0EBF2"/>
          </w:tcPr>
          <w:p>
            <w:pPr>
              <w:jc w:val="right"/>
              <w:spacing w:after="0" w:line="172" w:lineRule="exact"/>
              <w:rPr>
                <w:sz w:val="20"/>
                <w:szCs w:val="20"/>
                <w:color w:val="auto"/>
              </w:rPr>
            </w:pPr>
            <w:r>
              <w:rPr>
                <w:rFonts w:ascii="Times New Roman" w:cs="Times New Roman" w:eastAsia="Times New Roman" w:hAnsi="Times New Roman"/>
                <w:sz w:val="15"/>
                <w:szCs w:val="15"/>
                <w:color w:val="231F20"/>
              </w:rPr>
              <w:t>4/24/2023</w:t>
            </w:r>
          </w:p>
        </w:tc>
        <w:tc>
          <w:tcPr>
            <w:tcW w:w="1000" w:type="dxa"/>
            <w:vAlign w:val="bottom"/>
            <w:shd w:val="clear" w:color="auto" w:fill="D0EBF2"/>
          </w:tcPr>
          <w:p>
            <w:pPr>
              <w:jc w:val="right"/>
              <w:ind w:right="44"/>
              <w:spacing w:after="0" w:line="172" w:lineRule="exact"/>
              <w:rPr>
                <w:sz w:val="20"/>
                <w:szCs w:val="20"/>
                <w:color w:val="auto"/>
              </w:rPr>
            </w:pPr>
            <w:r>
              <w:rPr>
                <w:rFonts w:ascii="Times New Roman" w:cs="Times New Roman" w:eastAsia="Times New Roman" w:hAnsi="Times New Roman"/>
                <w:sz w:val="15"/>
                <w:szCs w:val="15"/>
                <w:color w:val="231F20"/>
              </w:rPr>
              <w:t>SOFR +</w:t>
            </w:r>
          </w:p>
        </w:tc>
        <w:tc>
          <w:tcPr>
            <w:tcW w:w="1160" w:type="dxa"/>
            <w:vAlign w:val="bottom"/>
            <w:gridSpan w:val="2"/>
            <w:shd w:val="clear" w:color="auto" w:fill="D0EBF2"/>
          </w:tcPr>
          <w:p>
            <w:pPr>
              <w:jc w:val="right"/>
              <w:ind w:right="240"/>
              <w:spacing w:after="0" w:line="172" w:lineRule="exact"/>
              <w:rPr>
                <w:sz w:val="20"/>
                <w:szCs w:val="20"/>
                <w:color w:val="auto"/>
              </w:rPr>
            </w:pPr>
            <w:r>
              <w:rPr>
                <w:rFonts w:ascii="Times New Roman" w:cs="Times New Roman" w:eastAsia="Times New Roman" w:hAnsi="Times New Roman"/>
                <w:sz w:val="15"/>
                <w:szCs w:val="15"/>
                <w:color w:val="231F20"/>
              </w:rPr>
              <w:t>12.26% PIK</w:t>
            </w:r>
          </w:p>
        </w:tc>
        <w:tc>
          <w:tcPr>
            <w:tcW w:w="900" w:type="dxa"/>
            <w:vAlign w:val="bottom"/>
            <w:shd w:val="clear" w:color="auto" w:fill="D0EBF2"/>
          </w:tcPr>
          <w:p>
            <w:pPr>
              <w:jc w:val="right"/>
              <w:spacing w:after="0" w:line="172" w:lineRule="exact"/>
              <w:rPr>
                <w:sz w:val="20"/>
                <w:szCs w:val="20"/>
                <w:color w:val="auto"/>
              </w:rPr>
            </w:pPr>
            <w:r>
              <w:rPr>
                <w:rFonts w:ascii="Times New Roman" w:cs="Times New Roman" w:eastAsia="Times New Roman" w:hAnsi="Times New Roman"/>
                <w:sz w:val="15"/>
                <w:szCs w:val="15"/>
                <w:color w:val="231F20"/>
              </w:rPr>
              <w:t>24,924</w:t>
            </w:r>
          </w:p>
        </w:tc>
        <w:tc>
          <w:tcPr>
            <w:tcW w:w="1680" w:type="dxa"/>
            <w:vAlign w:val="bottom"/>
            <w:gridSpan w:val="3"/>
            <w:shd w:val="clear" w:color="auto" w:fill="D0EBF2"/>
          </w:tcPr>
          <w:p>
            <w:pPr>
              <w:jc w:val="right"/>
              <w:spacing w:after="0" w:line="172" w:lineRule="exact"/>
              <w:rPr>
                <w:sz w:val="20"/>
                <w:szCs w:val="20"/>
                <w:color w:val="auto"/>
              </w:rPr>
            </w:pPr>
            <w:r>
              <w:rPr>
                <w:rFonts w:ascii="Times New Roman" w:cs="Times New Roman" w:eastAsia="Times New Roman" w:hAnsi="Times New Roman"/>
                <w:sz w:val="15"/>
                <w:szCs w:val="15"/>
                <w:color w:val="231F20"/>
              </w:rPr>
              <w:t>22,806</w:t>
            </w:r>
          </w:p>
        </w:tc>
        <w:tc>
          <w:tcPr>
            <w:tcW w:w="960" w:type="dxa"/>
            <w:vAlign w:val="bottom"/>
            <w:gridSpan w:val="2"/>
            <w:shd w:val="clear" w:color="auto" w:fill="D0EBF2"/>
          </w:tcPr>
          <w:p>
            <w:pPr>
              <w:jc w:val="right"/>
              <w:spacing w:after="0" w:line="172" w:lineRule="exact"/>
              <w:rPr>
                <w:sz w:val="20"/>
                <w:szCs w:val="20"/>
                <w:color w:val="auto"/>
              </w:rPr>
            </w:pPr>
            <w:r>
              <w:rPr>
                <w:rFonts w:ascii="Times New Roman" w:cs="Times New Roman" w:eastAsia="Times New Roman" w:hAnsi="Times New Roman"/>
                <w:sz w:val="15"/>
                <w:szCs w:val="15"/>
                <w:color w:val="231F20"/>
              </w:rPr>
              <w:t>1.5%</w:t>
            </w:r>
          </w:p>
        </w:tc>
      </w:tr>
      <w:tr>
        <w:trPr>
          <w:trHeight w:val="189"/>
        </w:trPr>
        <w:tc>
          <w:tcPr>
            <w:tcW w:w="1580" w:type="dxa"/>
            <w:vAlign w:val="bottom"/>
            <w:shd w:val="clear" w:color="auto" w:fill="D0EBF2"/>
          </w:tcPr>
          <w:p>
            <w:pPr>
              <w:spacing w:after="0"/>
              <w:rPr>
                <w:sz w:val="16"/>
                <w:szCs w:val="16"/>
                <w:color w:val="auto"/>
              </w:rPr>
            </w:pPr>
          </w:p>
        </w:tc>
        <w:tc>
          <w:tcPr>
            <w:tcW w:w="2200" w:type="dxa"/>
            <w:vAlign w:val="bottom"/>
            <w:shd w:val="clear" w:color="auto" w:fill="D0EBF2"/>
          </w:tcPr>
          <w:p>
            <w:pPr>
              <w:ind w:left="60"/>
              <w:spacing w:after="0"/>
              <w:rPr>
                <w:sz w:val="20"/>
                <w:szCs w:val="20"/>
                <w:color w:val="auto"/>
              </w:rPr>
            </w:pPr>
            <w:r>
              <w:rPr>
                <w:rFonts w:ascii="Times New Roman" w:cs="Times New Roman" w:eastAsia="Times New Roman" w:hAnsi="Times New Roman"/>
                <w:sz w:val="15"/>
                <w:szCs w:val="15"/>
                <w:color w:val="231F20"/>
              </w:rPr>
              <w:t>par)</w:t>
            </w:r>
          </w:p>
        </w:tc>
        <w:tc>
          <w:tcPr>
            <w:tcW w:w="800" w:type="dxa"/>
            <w:vAlign w:val="bottom"/>
            <w:shd w:val="clear" w:color="auto" w:fill="D0EBF2"/>
          </w:tcPr>
          <w:p>
            <w:pPr>
              <w:spacing w:after="0"/>
              <w:rPr>
                <w:sz w:val="16"/>
                <w:szCs w:val="16"/>
                <w:color w:val="auto"/>
              </w:rPr>
            </w:pPr>
          </w:p>
        </w:tc>
        <w:tc>
          <w:tcPr>
            <w:tcW w:w="1000" w:type="dxa"/>
            <w:vAlign w:val="bottom"/>
            <w:shd w:val="clear" w:color="auto" w:fill="D0EBF2"/>
          </w:tcPr>
          <w:p>
            <w:pPr>
              <w:jc w:val="right"/>
              <w:ind w:right="44"/>
              <w:spacing w:after="0"/>
              <w:rPr>
                <w:sz w:val="20"/>
                <w:szCs w:val="20"/>
                <w:color w:val="auto"/>
              </w:rPr>
            </w:pPr>
            <w:r>
              <w:rPr>
                <w:rFonts w:ascii="Times New Roman" w:cs="Times New Roman" w:eastAsia="Times New Roman" w:hAnsi="Times New Roman"/>
                <w:sz w:val="15"/>
                <w:szCs w:val="15"/>
                <w:color w:val="231F20"/>
              </w:rPr>
              <w:t>7.90%</w:t>
            </w:r>
          </w:p>
        </w:tc>
        <w:tc>
          <w:tcPr>
            <w:tcW w:w="1060" w:type="dxa"/>
            <w:vAlign w:val="bottom"/>
            <w:shd w:val="clear" w:color="auto" w:fill="D0EBF2"/>
          </w:tcPr>
          <w:p>
            <w:pPr>
              <w:spacing w:after="0"/>
              <w:rPr>
                <w:sz w:val="16"/>
                <w:szCs w:val="16"/>
                <w:color w:val="auto"/>
              </w:rPr>
            </w:pPr>
          </w:p>
        </w:tc>
        <w:tc>
          <w:tcPr>
            <w:tcW w:w="100" w:type="dxa"/>
            <w:vAlign w:val="bottom"/>
            <w:shd w:val="clear" w:color="auto" w:fill="D0EBF2"/>
          </w:tcPr>
          <w:p>
            <w:pPr>
              <w:spacing w:after="0"/>
              <w:rPr>
                <w:sz w:val="16"/>
                <w:szCs w:val="16"/>
                <w:color w:val="auto"/>
              </w:rPr>
            </w:pPr>
          </w:p>
        </w:tc>
        <w:tc>
          <w:tcPr>
            <w:tcW w:w="900" w:type="dxa"/>
            <w:vAlign w:val="bottom"/>
            <w:shd w:val="clear" w:color="auto" w:fill="D0EBF2"/>
          </w:tcPr>
          <w:p>
            <w:pPr>
              <w:spacing w:after="0"/>
              <w:rPr>
                <w:sz w:val="16"/>
                <w:szCs w:val="16"/>
                <w:color w:val="auto"/>
              </w:rPr>
            </w:pPr>
          </w:p>
        </w:tc>
        <w:tc>
          <w:tcPr>
            <w:tcW w:w="80" w:type="dxa"/>
            <w:vAlign w:val="bottom"/>
            <w:shd w:val="clear" w:color="auto" w:fill="D0EBF2"/>
          </w:tcPr>
          <w:p>
            <w:pPr>
              <w:spacing w:after="0"/>
              <w:rPr>
                <w:sz w:val="16"/>
                <w:szCs w:val="16"/>
                <w:color w:val="auto"/>
              </w:rPr>
            </w:pPr>
          </w:p>
        </w:tc>
        <w:tc>
          <w:tcPr>
            <w:tcW w:w="100" w:type="dxa"/>
            <w:vAlign w:val="bottom"/>
            <w:shd w:val="clear" w:color="auto" w:fill="D0EBF2"/>
          </w:tcPr>
          <w:p>
            <w:pPr>
              <w:spacing w:after="0"/>
              <w:rPr>
                <w:sz w:val="16"/>
                <w:szCs w:val="16"/>
                <w:color w:val="auto"/>
              </w:rPr>
            </w:pPr>
          </w:p>
        </w:tc>
        <w:tc>
          <w:tcPr>
            <w:tcW w:w="1500" w:type="dxa"/>
            <w:vAlign w:val="bottom"/>
            <w:shd w:val="clear" w:color="auto" w:fill="D0EBF2"/>
          </w:tcPr>
          <w:p>
            <w:pPr>
              <w:spacing w:after="0"/>
              <w:rPr>
                <w:sz w:val="16"/>
                <w:szCs w:val="16"/>
                <w:color w:val="auto"/>
              </w:rPr>
            </w:pPr>
          </w:p>
        </w:tc>
        <w:tc>
          <w:tcPr>
            <w:tcW w:w="100" w:type="dxa"/>
            <w:vAlign w:val="bottom"/>
            <w:shd w:val="clear" w:color="auto" w:fill="D0EBF2"/>
          </w:tcPr>
          <w:p>
            <w:pPr>
              <w:spacing w:after="0"/>
              <w:rPr>
                <w:sz w:val="16"/>
                <w:szCs w:val="16"/>
                <w:color w:val="auto"/>
              </w:rPr>
            </w:pPr>
          </w:p>
        </w:tc>
        <w:tc>
          <w:tcPr>
            <w:tcW w:w="860" w:type="dxa"/>
            <w:vAlign w:val="bottom"/>
            <w:shd w:val="clear" w:color="auto" w:fill="D0EBF2"/>
          </w:tcPr>
          <w:p>
            <w:pPr>
              <w:spacing w:after="0"/>
              <w:rPr>
                <w:sz w:val="16"/>
                <w:szCs w:val="16"/>
                <w:color w:val="auto"/>
              </w:rPr>
            </w:pPr>
          </w:p>
        </w:tc>
      </w:tr>
      <w:tr>
        <w:trPr>
          <w:trHeight w:val="171"/>
        </w:trPr>
        <w:tc>
          <w:tcPr>
            <w:tcW w:w="1580" w:type="dxa"/>
            <w:vAlign w:val="bottom"/>
            <w:shd w:val="clear" w:color="auto" w:fill="FDFDFC"/>
          </w:tcPr>
          <w:p>
            <w:pPr>
              <w:spacing w:after="0"/>
              <w:rPr>
                <w:sz w:val="14"/>
                <w:szCs w:val="14"/>
                <w:color w:val="auto"/>
              </w:rPr>
            </w:pPr>
          </w:p>
        </w:tc>
        <w:tc>
          <w:tcPr>
            <w:tcW w:w="2200" w:type="dxa"/>
            <w:vAlign w:val="bottom"/>
            <w:shd w:val="clear" w:color="auto" w:fill="FDFDFC"/>
          </w:tcPr>
          <w:p>
            <w:pPr>
              <w:ind w:left="60"/>
              <w:spacing w:after="0" w:line="172" w:lineRule="exact"/>
              <w:rPr>
                <w:sz w:val="20"/>
                <w:szCs w:val="20"/>
                <w:color w:val="auto"/>
              </w:rPr>
            </w:pPr>
            <w:r>
              <w:rPr>
                <w:rFonts w:ascii="Times New Roman" w:cs="Times New Roman" w:eastAsia="Times New Roman" w:hAnsi="Times New Roman"/>
                <w:sz w:val="15"/>
                <w:szCs w:val="15"/>
                <w:color w:val="231F20"/>
              </w:rPr>
              <w:t>Super-Priority DIP term loan</w:t>
            </w:r>
          </w:p>
        </w:tc>
        <w:tc>
          <w:tcPr>
            <w:tcW w:w="800" w:type="dxa"/>
            <w:vAlign w:val="bottom"/>
            <w:shd w:val="clear" w:color="auto" w:fill="FDFDFC"/>
          </w:tcPr>
          <w:p>
            <w:pPr>
              <w:jc w:val="right"/>
              <w:spacing w:after="0" w:line="172" w:lineRule="exact"/>
              <w:rPr>
                <w:sz w:val="20"/>
                <w:szCs w:val="20"/>
                <w:color w:val="auto"/>
              </w:rPr>
            </w:pPr>
            <w:r>
              <w:rPr>
                <w:rFonts w:ascii="Times New Roman" w:cs="Times New Roman" w:eastAsia="Times New Roman" w:hAnsi="Times New Roman"/>
                <w:sz w:val="15"/>
                <w:szCs w:val="15"/>
                <w:color w:val="231F20"/>
              </w:rPr>
              <w:t>4/24/2023</w:t>
            </w:r>
          </w:p>
        </w:tc>
        <w:tc>
          <w:tcPr>
            <w:tcW w:w="1000" w:type="dxa"/>
            <w:vAlign w:val="bottom"/>
            <w:shd w:val="clear" w:color="auto" w:fill="FDFDFC"/>
          </w:tcPr>
          <w:p>
            <w:pPr>
              <w:jc w:val="right"/>
              <w:ind w:right="44"/>
              <w:spacing w:after="0" w:line="172" w:lineRule="exact"/>
              <w:rPr>
                <w:sz w:val="20"/>
                <w:szCs w:val="20"/>
                <w:color w:val="auto"/>
              </w:rPr>
            </w:pPr>
            <w:r>
              <w:rPr>
                <w:rFonts w:ascii="Times New Roman" w:cs="Times New Roman" w:eastAsia="Times New Roman" w:hAnsi="Times New Roman"/>
                <w:sz w:val="15"/>
                <w:szCs w:val="15"/>
                <w:color w:val="231F20"/>
              </w:rPr>
              <w:t>SOFR +</w:t>
            </w:r>
          </w:p>
        </w:tc>
        <w:tc>
          <w:tcPr>
            <w:tcW w:w="1060" w:type="dxa"/>
            <w:vAlign w:val="bottom"/>
            <w:shd w:val="clear" w:color="auto" w:fill="FDFDFC"/>
          </w:tcPr>
          <w:p>
            <w:pPr>
              <w:jc w:val="right"/>
              <w:ind w:right="64"/>
              <w:spacing w:after="0" w:line="172" w:lineRule="exact"/>
              <w:rPr>
                <w:sz w:val="20"/>
                <w:szCs w:val="20"/>
                <w:color w:val="auto"/>
              </w:rPr>
            </w:pPr>
            <w:r>
              <w:rPr>
                <w:rFonts w:ascii="Times New Roman" w:cs="Times New Roman" w:eastAsia="Times New Roman" w:hAnsi="Times New Roman"/>
                <w:sz w:val="15"/>
                <w:szCs w:val="15"/>
                <w:color w:val="231F20"/>
              </w:rPr>
              <w:t>12.26%</w:t>
            </w:r>
          </w:p>
        </w:tc>
        <w:tc>
          <w:tcPr>
            <w:tcW w:w="100" w:type="dxa"/>
            <w:vAlign w:val="bottom"/>
            <w:shd w:val="clear" w:color="auto" w:fill="FDFDFC"/>
          </w:tcPr>
          <w:p>
            <w:pPr>
              <w:spacing w:after="0"/>
              <w:rPr>
                <w:sz w:val="14"/>
                <w:szCs w:val="14"/>
                <w:color w:val="auto"/>
              </w:rPr>
            </w:pPr>
          </w:p>
        </w:tc>
        <w:tc>
          <w:tcPr>
            <w:tcW w:w="900" w:type="dxa"/>
            <w:vAlign w:val="bottom"/>
            <w:shd w:val="clear" w:color="auto" w:fill="FDFDFC"/>
          </w:tcPr>
          <w:p>
            <w:pPr>
              <w:jc w:val="right"/>
              <w:spacing w:after="0" w:line="172" w:lineRule="exact"/>
              <w:rPr>
                <w:sz w:val="20"/>
                <w:szCs w:val="20"/>
                <w:color w:val="auto"/>
              </w:rPr>
            </w:pPr>
            <w:r>
              <w:rPr>
                <w:rFonts w:ascii="Times New Roman" w:cs="Times New Roman" w:eastAsia="Times New Roman" w:hAnsi="Times New Roman"/>
                <w:sz w:val="15"/>
                <w:szCs w:val="15"/>
                <w:color w:val="231F20"/>
              </w:rPr>
              <w:t>3,988</w:t>
            </w:r>
          </w:p>
        </w:tc>
        <w:tc>
          <w:tcPr>
            <w:tcW w:w="1680" w:type="dxa"/>
            <w:vAlign w:val="bottom"/>
            <w:gridSpan w:val="3"/>
            <w:shd w:val="clear" w:color="auto" w:fill="FDFDFC"/>
          </w:tcPr>
          <w:p>
            <w:pPr>
              <w:jc w:val="right"/>
              <w:spacing w:after="0" w:line="172" w:lineRule="exact"/>
              <w:rPr>
                <w:sz w:val="20"/>
                <w:szCs w:val="20"/>
                <w:color w:val="auto"/>
              </w:rPr>
            </w:pPr>
            <w:r>
              <w:rPr>
                <w:rFonts w:ascii="Times New Roman" w:cs="Times New Roman" w:eastAsia="Times New Roman" w:hAnsi="Times New Roman"/>
                <w:sz w:val="15"/>
                <w:szCs w:val="15"/>
                <w:color w:val="231F20"/>
              </w:rPr>
              <w:t>3,649</w:t>
            </w:r>
          </w:p>
        </w:tc>
        <w:tc>
          <w:tcPr>
            <w:tcW w:w="960" w:type="dxa"/>
            <w:vAlign w:val="bottom"/>
            <w:gridSpan w:val="2"/>
            <w:shd w:val="clear" w:color="auto" w:fill="FDFDFC"/>
          </w:tcPr>
          <w:p>
            <w:pPr>
              <w:jc w:val="right"/>
              <w:spacing w:after="0" w:line="172" w:lineRule="exact"/>
              <w:rPr>
                <w:sz w:val="20"/>
                <w:szCs w:val="20"/>
                <w:color w:val="auto"/>
              </w:rPr>
            </w:pPr>
            <w:r>
              <w:rPr>
                <w:rFonts w:ascii="Times New Roman" w:cs="Times New Roman" w:eastAsia="Times New Roman" w:hAnsi="Times New Roman"/>
                <w:sz w:val="15"/>
                <w:szCs w:val="15"/>
                <w:color w:val="231F20"/>
              </w:rPr>
              <w:t>0.2%</w:t>
            </w:r>
          </w:p>
        </w:tc>
      </w:tr>
      <w:tr>
        <w:trPr>
          <w:trHeight w:val="189"/>
        </w:trPr>
        <w:tc>
          <w:tcPr>
            <w:tcW w:w="1580" w:type="dxa"/>
            <w:vAlign w:val="bottom"/>
            <w:shd w:val="clear" w:color="auto" w:fill="FDFDFC"/>
          </w:tcPr>
          <w:p>
            <w:pPr>
              <w:spacing w:after="0"/>
              <w:rPr>
                <w:sz w:val="16"/>
                <w:szCs w:val="16"/>
                <w:color w:val="auto"/>
              </w:rPr>
            </w:pPr>
          </w:p>
        </w:tc>
        <w:tc>
          <w:tcPr>
            <w:tcW w:w="2200" w:type="dxa"/>
            <w:vAlign w:val="bottom"/>
            <w:shd w:val="clear" w:color="auto" w:fill="FDFDFC"/>
          </w:tcPr>
          <w:p>
            <w:pPr>
              <w:ind w:left="60"/>
              <w:spacing w:after="0"/>
              <w:rPr>
                <w:sz w:val="20"/>
                <w:szCs w:val="20"/>
                <w:color w:val="auto"/>
              </w:rPr>
            </w:pPr>
            <w:r>
              <w:rPr>
                <w:rFonts w:ascii="Times New Roman" w:cs="Times New Roman" w:eastAsia="Times New Roman" w:hAnsi="Times New Roman"/>
                <w:sz w:val="15"/>
                <w:szCs w:val="15"/>
                <w:color w:val="231F20"/>
              </w:rPr>
              <w:t>($3,988 par)</w:t>
            </w:r>
          </w:p>
        </w:tc>
        <w:tc>
          <w:tcPr>
            <w:tcW w:w="800" w:type="dxa"/>
            <w:vAlign w:val="bottom"/>
            <w:shd w:val="clear" w:color="auto" w:fill="FDFDFC"/>
          </w:tcPr>
          <w:p>
            <w:pPr>
              <w:spacing w:after="0"/>
              <w:rPr>
                <w:sz w:val="16"/>
                <w:szCs w:val="16"/>
                <w:color w:val="auto"/>
              </w:rPr>
            </w:pPr>
          </w:p>
        </w:tc>
        <w:tc>
          <w:tcPr>
            <w:tcW w:w="1000" w:type="dxa"/>
            <w:vAlign w:val="bottom"/>
            <w:shd w:val="clear" w:color="auto" w:fill="FDFDFC"/>
          </w:tcPr>
          <w:p>
            <w:pPr>
              <w:jc w:val="right"/>
              <w:ind w:right="44"/>
              <w:spacing w:after="0"/>
              <w:rPr>
                <w:sz w:val="20"/>
                <w:szCs w:val="20"/>
                <w:color w:val="auto"/>
              </w:rPr>
            </w:pPr>
            <w:r>
              <w:rPr>
                <w:rFonts w:ascii="Times New Roman" w:cs="Times New Roman" w:eastAsia="Times New Roman" w:hAnsi="Times New Roman"/>
                <w:sz w:val="15"/>
                <w:szCs w:val="15"/>
                <w:color w:val="231F20"/>
              </w:rPr>
              <w:t>7.90%</w:t>
            </w:r>
          </w:p>
        </w:tc>
        <w:tc>
          <w:tcPr>
            <w:tcW w:w="1060" w:type="dxa"/>
            <w:vAlign w:val="bottom"/>
            <w:shd w:val="clear" w:color="auto" w:fill="FDFDFC"/>
          </w:tcPr>
          <w:p>
            <w:pPr>
              <w:spacing w:after="0"/>
              <w:rPr>
                <w:sz w:val="16"/>
                <w:szCs w:val="16"/>
                <w:color w:val="auto"/>
              </w:rPr>
            </w:pPr>
          </w:p>
        </w:tc>
        <w:tc>
          <w:tcPr>
            <w:tcW w:w="100" w:type="dxa"/>
            <w:vAlign w:val="bottom"/>
            <w:shd w:val="clear" w:color="auto" w:fill="FDFDFC"/>
          </w:tcPr>
          <w:p>
            <w:pPr>
              <w:spacing w:after="0"/>
              <w:rPr>
                <w:sz w:val="16"/>
                <w:szCs w:val="16"/>
                <w:color w:val="auto"/>
              </w:rPr>
            </w:pPr>
          </w:p>
        </w:tc>
        <w:tc>
          <w:tcPr>
            <w:tcW w:w="900" w:type="dxa"/>
            <w:vAlign w:val="bottom"/>
            <w:shd w:val="clear" w:color="auto" w:fill="FDFDFC"/>
          </w:tcPr>
          <w:p>
            <w:pPr>
              <w:spacing w:after="0"/>
              <w:rPr>
                <w:sz w:val="16"/>
                <w:szCs w:val="16"/>
                <w:color w:val="auto"/>
              </w:rPr>
            </w:pPr>
          </w:p>
        </w:tc>
        <w:tc>
          <w:tcPr>
            <w:tcW w:w="80" w:type="dxa"/>
            <w:vAlign w:val="bottom"/>
            <w:shd w:val="clear" w:color="auto" w:fill="FDFDFC"/>
          </w:tcPr>
          <w:p>
            <w:pPr>
              <w:spacing w:after="0"/>
              <w:rPr>
                <w:sz w:val="16"/>
                <w:szCs w:val="16"/>
                <w:color w:val="auto"/>
              </w:rPr>
            </w:pPr>
          </w:p>
        </w:tc>
        <w:tc>
          <w:tcPr>
            <w:tcW w:w="100" w:type="dxa"/>
            <w:vAlign w:val="bottom"/>
            <w:shd w:val="clear" w:color="auto" w:fill="FDFDFC"/>
          </w:tcPr>
          <w:p>
            <w:pPr>
              <w:spacing w:after="0"/>
              <w:rPr>
                <w:sz w:val="16"/>
                <w:szCs w:val="16"/>
                <w:color w:val="auto"/>
              </w:rPr>
            </w:pPr>
          </w:p>
        </w:tc>
        <w:tc>
          <w:tcPr>
            <w:tcW w:w="1500" w:type="dxa"/>
            <w:vAlign w:val="bottom"/>
            <w:shd w:val="clear" w:color="auto" w:fill="FDFDFC"/>
          </w:tcPr>
          <w:p>
            <w:pPr>
              <w:spacing w:after="0"/>
              <w:rPr>
                <w:sz w:val="16"/>
                <w:szCs w:val="16"/>
                <w:color w:val="auto"/>
              </w:rPr>
            </w:pPr>
          </w:p>
        </w:tc>
        <w:tc>
          <w:tcPr>
            <w:tcW w:w="100" w:type="dxa"/>
            <w:vAlign w:val="bottom"/>
            <w:shd w:val="clear" w:color="auto" w:fill="FDFDFC"/>
          </w:tcPr>
          <w:p>
            <w:pPr>
              <w:spacing w:after="0"/>
              <w:rPr>
                <w:sz w:val="16"/>
                <w:szCs w:val="16"/>
                <w:color w:val="auto"/>
              </w:rPr>
            </w:pPr>
          </w:p>
        </w:tc>
        <w:tc>
          <w:tcPr>
            <w:tcW w:w="860" w:type="dxa"/>
            <w:vAlign w:val="bottom"/>
            <w:shd w:val="clear" w:color="auto" w:fill="FDFDFC"/>
          </w:tcPr>
          <w:p>
            <w:pPr>
              <w:spacing w:after="0"/>
              <w:rPr>
                <w:sz w:val="16"/>
                <w:szCs w:val="16"/>
                <w:color w:val="auto"/>
              </w:rPr>
            </w:pPr>
          </w:p>
        </w:tc>
      </w:tr>
      <w:tr>
        <w:trPr>
          <w:trHeight w:val="171"/>
        </w:trPr>
        <w:tc>
          <w:tcPr>
            <w:tcW w:w="1580" w:type="dxa"/>
            <w:vAlign w:val="bottom"/>
            <w:shd w:val="clear" w:color="auto" w:fill="D0EBF2"/>
          </w:tcPr>
          <w:p>
            <w:pPr>
              <w:spacing w:after="0" w:line="172" w:lineRule="exact"/>
              <w:rPr>
                <w:sz w:val="20"/>
                <w:szCs w:val="20"/>
                <w:color w:val="auto"/>
              </w:rPr>
            </w:pPr>
            <w:r>
              <w:rPr>
                <w:rFonts w:ascii="Times New Roman" w:cs="Times New Roman" w:eastAsia="Times New Roman" w:hAnsi="Times New Roman"/>
                <w:sz w:val="15"/>
                <w:szCs w:val="15"/>
                <w:color w:val="231F20"/>
              </w:rPr>
              <w:t xml:space="preserve">Belk, Inc. </w:t>
            </w:r>
            <w:r>
              <w:rPr>
                <w:rFonts w:ascii="Times New Roman" w:cs="Times New Roman" w:eastAsia="Times New Roman" w:hAnsi="Times New Roman"/>
                <w:sz w:val="9"/>
                <w:szCs w:val="9"/>
                <w:color w:val="231F20"/>
              </w:rPr>
              <w:t>(3)</w:t>
            </w:r>
          </w:p>
        </w:tc>
        <w:tc>
          <w:tcPr>
            <w:tcW w:w="2200" w:type="dxa"/>
            <w:vAlign w:val="bottom"/>
            <w:shd w:val="clear" w:color="auto" w:fill="D0EBF2"/>
          </w:tcPr>
          <w:p>
            <w:pPr>
              <w:ind w:left="60"/>
              <w:spacing w:after="0" w:line="172" w:lineRule="exact"/>
              <w:rPr>
                <w:sz w:val="20"/>
                <w:szCs w:val="20"/>
                <w:color w:val="auto"/>
              </w:rPr>
            </w:pPr>
            <w:r>
              <w:rPr>
                <w:rFonts w:ascii="Times New Roman" w:cs="Times New Roman" w:eastAsia="Times New Roman" w:hAnsi="Times New Roman"/>
                <w:sz w:val="15"/>
                <w:szCs w:val="15"/>
                <w:color w:val="231F20"/>
              </w:rPr>
              <w:t>First-lien loan ($49,375 par, due</w:t>
            </w:r>
          </w:p>
        </w:tc>
        <w:tc>
          <w:tcPr>
            <w:tcW w:w="800" w:type="dxa"/>
            <w:vAlign w:val="bottom"/>
            <w:shd w:val="clear" w:color="auto" w:fill="D0EBF2"/>
          </w:tcPr>
          <w:p>
            <w:pPr>
              <w:jc w:val="right"/>
              <w:spacing w:after="0" w:line="172" w:lineRule="exact"/>
              <w:rPr>
                <w:sz w:val="20"/>
                <w:szCs w:val="20"/>
                <w:color w:val="auto"/>
              </w:rPr>
            </w:pPr>
            <w:r>
              <w:rPr>
                <w:rFonts w:ascii="Times New Roman" w:cs="Times New Roman" w:eastAsia="Times New Roman" w:hAnsi="Times New Roman"/>
                <w:sz w:val="15"/>
                <w:szCs w:val="15"/>
                <w:color w:val="231F20"/>
              </w:rPr>
              <w:t>7/22/2024</w:t>
            </w:r>
          </w:p>
        </w:tc>
        <w:tc>
          <w:tcPr>
            <w:tcW w:w="1000" w:type="dxa"/>
            <w:vAlign w:val="bottom"/>
            <w:shd w:val="clear" w:color="auto" w:fill="D0EBF2"/>
          </w:tcPr>
          <w:p>
            <w:pPr>
              <w:jc w:val="right"/>
              <w:ind w:right="44"/>
              <w:spacing w:after="0" w:line="172" w:lineRule="exact"/>
              <w:rPr>
                <w:sz w:val="20"/>
                <w:szCs w:val="20"/>
                <w:color w:val="auto"/>
              </w:rPr>
            </w:pPr>
            <w:r>
              <w:rPr>
                <w:rFonts w:ascii="Times New Roman" w:cs="Times New Roman" w:eastAsia="Times New Roman" w:hAnsi="Times New Roman"/>
                <w:sz w:val="15"/>
                <w:szCs w:val="15"/>
                <w:color w:val="231F20"/>
              </w:rPr>
              <w:t>SOFR +</w:t>
            </w:r>
          </w:p>
        </w:tc>
        <w:tc>
          <w:tcPr>
            <w:tcW w:w="1060" w:type="dxa"/>
            <w:vAlign w:val="bottom"/>
            <w:shd w:val="clear" w:color="auto" w:fill="D0EBF2"/>
          </w:tcPr>
          <w:p>
            <w:pPr>
              <w:jc w:val="right"/>
              <w:ind w:right="64"/>
              <w:spacing w:after="0" w:line="172" w:lineRule="exact"/>
              <w:rPr>
                <w:sz w:val="20"/>
                <w:szCs w:val="20"/>
                <w:color w:val="auto"/>
              </w:rPr>
            </w:pPr>
            <w:r>
              <w:rPr>
                <w:rFonts w:ascii="Times New Roman" w:cs="Times New Roman" w:eastAsia="Times New Roman" w:hAnsi="Times New Roman"/>
                <w:sz w:val="15"/>
                <w:szCs w:val="15"/>
                <w:color w:val="231F20"/>
              </w:rPr>
              <w:t>11.51%</w:t>
            </w:r>
          </w:p>
        </w:tc>
        <w:tc>
          <w:tcPr>
            <w:tcW w:w="100" w:type="dxa"/>
            <w:vAlign w:val="bottom"/>
            <w:shd w:val="clear" w:color="auto" w:fill="D0EBF2"/>
          </w:tcPr>
          <w:p>
            <w:pPr>
              <w:spacing w:after="0"/>
              <w:rPr>
                <w:sz w:val="14"/>
                <w:szCs w:val="14"/>
                <w:color w:val="auto"/>
              </w:rPr>
            </w:pPr>
          </w:p>
        </w:tc>
        <w:tc>
          <w:tcPr>
            <w:tcW w:w="900" w:type="dxa"/>
            <w:vAlign w:val="bottom"/>
            <w:shd w:val="clear" w:color="auto" w:fill="D0EBF2"/>
          </w:tcPr>
          <w:p>
            <w:pPr>
              <w:jc w:val="right"/>
              <w:spacing w:after="0" w:line="172" w:lineRule="exact"/>
              <w:rPr>
                <w:sz w:val="20"/>
                <w:szCs w:val="20"/>
                <w:color w:val="auto"/>
              </w:rPr>
            </w:pPr>
            <w:r>
              <w:rPr>
                <w:rFonts w:ascii="Times New Roman" w:cs="Times New Roman" w:eastAsia="Times New Roman" w:hAnsi="Times New Roman"/>
                <w:sz w:val="15"/>
                <w:szCs w:val="15"/>
                <w:color w:val="231F20"/>
              </w:rPr>
              <w:t>48,637</w:t>
            </w:r>
          </w:p>
        </w:tc>
        <w:tc>
          <w:tcPr>
            <w:tcW w:w="1680" w:type="dxa"/>
            <w:vAlign w:val="bottom"/>
            <w:gridSpan w:val="3"/>
            <w:shd w:val="clear" w:color="auto" w:fill="D0EBF2"/>
          </w:tcPr>
          <w:p>
            <w:pPr>
              <w:jc w:val="right"/>
              <w:spacing w:after="0" w:line="172" w:lineRule="exact"/>
              <w:rPr>
                <w:sz w:val="20"/>
                <w:szCs w:val="20"/>
                <w:color w:val="auto"/>
              </w:rPr>
            </w:pPr>
            <w:r>
              <w:rPr>
                <w:rFonts w:ascii="Times New Roman" w:cs="Times New Roman" w:eastAsia="Times New Roman" w:hAnsi="Times New Roman"/>
                <w:sz w:val="15"/>
                <w:szCs w:val="15"/>
                <w:color w:val="231F20"/>
              </w:rPr>
              <w:t>49,005</w:t>
            </w:r>
          </w:p>
        </w:tc>
        <w:tc>
          <w:tcPr>
            <w:tcW w:w="960" w:type="dxa"/>
            <w:vAlign w:val="bottom"/>
            <w:gridSpan w:val="2"/>
            <w:shd w:val="clear" w:color="auto" w:fill="D0EBF2"/>
          </w:tcPr>
          <w:p>
            <w:pPr>
              <w:jc w:val="right"/>
              <w:spacing w:after="0" w:line="172" w:lineRule="exact"/>
              <w:rPr>
                <w:sz w:val="20"/>
                <w:szCs w:val="20"/>
                <w:color w:val="auto"/>
              </w:rPr>
            </w:pPr>
            <w:r>
              <w:rPr>
                <w:rFonts w:ascii="Times New Roman" w:cs="Times New Roman" w:eastAsia="Times New Roman" w:hAnsi="Times New Roman"/>
                <w:sz w:val="15"/>
                <w:szCs w:val="15"/>
                <w:color w:val="231F20"/>
              </w:rPr>
              <w:t>3.0%</w:t>
            </w:r>
          </w:p>
        </w:tc>
      </w:tr>
      <w:tr>
        <w:trPr>
          <w:trHeight w:val="189"/>
        </w:trPr>
        <w:tc>
          <w:tcPr>
            <w:tcW w:w="1580" w:type="dxa"/>
            <w:vAlign w:val="bottom"/>
            <w:shd w:val="clear" w:color="auto" w:fill="D0EBF2"/>
          </w:tcPr>
          <w:p>
            <w:pPr>
              <w:spacing w:after="0"/>
              <w:rPr>
                <w:sz w:val="16"/>
                <w:szCs w:val="16"/>
                <w:color w:val="auto"/>
              </w:rPr>
            </w:pPr>
          </w:p>
        </w:tc>
        <w:tc>
          <w:tcPr>
            <w:tcW w:w="2200" w:type="dxa"/>
            <w:vAlign w:val="bottom"/>
            <w:shd w:val="clear" w:color="auto" w:fill="D0EBF2"/>
          </w:tcPr>
          <w:p>
            <w:pPr>
              <w:ind w:left="60"/>
              <w:spacing w:after="0"/>
              <w:rPr>
                <w:sz w:val="20"/>
                <w:szCs w:val="20"/>
                <w:color w:val="auto"/>
              </w:rPr>
            </w:pPr>
            <w:r>
              <w:rPr>
                <w:rFonts w:ascii="Times New Roman" w:cs="Times New Roman" w:eastAsia="Times New Roman" w:hAnsi="Times New Roman"/>
                <w:sz w:val="15"/>
                <w:szCs w:val="15"/>
                <w:color w:val="231F20"/>
              </w:rPr>
              <w:t>7/2029)</w:t>
            </w:r>
          </w:p>
        </w:tc>
        <w:tc>
          <w:tcPr>
            <w:tcW w:w="800" w:type="dxa"/>
            <w:vAlign w:val="bottom"/>
            <w:shd w:val="clear" w:color="auto" w:fill="D0EBF2"/>
          </w:tcPr>
          <w:p>
            <w:pPr>
              <w:spacing w:after="0"/>
              <w:rPr>
                <w:sz w:val="16"/>
                <w:szCs w:val="16"/>
                <w:color w:val="auto"/>
              </w:rPr>
            </w:pPr>
          </w:p>
        </w:tc>
        <w:tc>
          <w:tcPr>
            <w:tcW w:w="1000" w:type="dxa"/>
            <w:vAlign w:val="bottom"/>
            <w:shd w:val="clear" w:color="auto" w:fill="D0EBF2"/>
          </w:tcPr>
          <w:p>
            <w:pPr>
              <w:jc w:val="right"/>
              <w:ind w:right="44"/>
              <w:spacing w:after="0"/>
              <w:rPr>
                <w:sz w:val="20"/>
                <w:szCs w:val="20"/>
                <w:color w:val="auto"/>
              </w:rPr>
            </w:pPr>
            <w:r>
              <w:rPr>
                <w:rFonts w:ascii="Times New Roman" w:cs="Times New Roman" w:eastAsia="Times New Roman" w:hAnsi="Times New Roman"/>
                <w:sz w:val="15"/>
                <w:szCs w:val="15"/>
                <w:color w:val="231F20"/>
              </w:rPr>
              <w:t>7.00%</w:t>
            </w:r>
          </w:p>
        </w:tc>
        <w:tc>
          <w:tcPr>
            <w:tcW w:w="1060" w:type="dxa"/>
            <w:vAlign w:val="bottom"/>
            <w:shd w:val="clear" w:color="auto" w:fill="D0EBF2"/>
          </w:tcPr>
          <w:p>
            <w:pPr>
              <w:spacing w:after="0"/>
              <w:rPr>
                <w:sz w:val="16"/>
                <w:szCs w:val="16"/>
                <w:color w:val="auto"/>
              </w:rPr>
            </w:pPr>
          </w:p>
        </w:tc>
        <w:tc>
          <w:tcPr>
            <w:tcW w:w="100" w:type="dxa"/>
            <w:vAlign w:val="bottom"/>
            <w:shd w:val="clear" w:color="auto" w:fill="D0EBF2"/>
          </w:tcPr>
          <w:p>
            <w:pPr>
              <w:spacing w:after="0"/>
              <w:rPr>
                <w:sz w:val="16"/>
                <w:szCs w:val="16"/>
                <w:color w:val="auto"/>
              </w:rPr>
            </w:pPr>
          </w:p>
        </w:tc>
        <w:tc>
          <w:tcPr>
            <w:tcW w:w="900" w:type="dxa"/>
            <w:vAlign w:val="bottom"/>
            <w:shd w:val="clear" w:color="auto" w:fill="D0EBF2"/>
          </w:tcPr>
          <w:p>
            <w:pPr>
              <w:spacing w:after="0"/>
              <w:rPr>
                <w:sz w:val="16"/>
                <w:szCs w:val="16"/>
                <w:color w:val="auto"/>
              </w:rPr>
            </w:pPr>
          </w:p>
        </w:tc>
        <w:tc>
          <w:tcPr>
            <w:tcW w:w="80" w:type="dxa"/>
            <w:vAlign w:val="bottom"/>
            <w:shd w:val="clear" w:color="auto" w:fill="D0EBF2"/>
          </w:tcPr>
          <w:p>
            <w:pPr>
              <w:spacing w:after="0"/>
              <w:rPr>
                <w:sz w:val="16"/>
                <w:szCs w:val="16"/>
                <w:color w:val="auto"/>
              </w:rPr>
            </w:pPr>
          </w:p>
        </w:tc>
        <w:tc>
          <w:tcPr>
            <w:tcW w:w="100" w:type="dxa"/>
            <w:vAlign w:val="bottom"/>
            <w:shd w:val="clear" w:color="auto" w:fill="D0EBF2"/>
          </w:tcPr>
          <w:p>
            <w:pPr>
              <w:spacing w:after="0"/>
              <w:rPr>
                <w:sz w:val="16"/>
                <w:szCs w:val="16"/>
                <w:color w:val="auto"/>
              </w:rPr>
            </w:pPr>
          </w:p>
        </w:tc>
        <w:tc>
          <w:tcPr>
            <w:tcW w:w="1500" w:type="dxa"/>
            <w:vAlign w:val="bottom"/>
            <w:shd w:val="clear" w:color="auto" w:fill="D0EBF2"/>
          </w:tcPr>
          <w:p>
            <w:pPr>
              <w:spacing w:after="0"/>
              <w:rPr>
                <w:sz w:val="16"/>
                <w:szCs w:val="16"/>
                <w:color w:val="auto"/>
              </w:rPr>
            </w:pPr>
          </w:p>
        </w:tc>
        <w:tc>
          <w:tcPr>
            <w:tcW w:w="100" w:type="dxa"/>
            <w:vAlign w:val="bottom"/>
            <w:shd w:val="clear" w:color="auto" w:fill="D0EBF2"/>
          </w:tcPr>
          <w:p>
            <w:pPr>
              <w:spacing w:after="0"/>
              <w:rPr>
                <w:sz w:val="16"/>
                <w:szCs w:val="16"/>
                <w:color w:val="auto"/>
              </w:rPr>
            </w:pPr>
          </w:p>
        </w:tc>
        <w:tc>
          <w:tcPr>
            <w:tcW w:w="860" w:type="dxa"/>
            <w:vAlign w:val="bottom"/>
            <w:shd w:val="clear" w:color="auto" w:fill="D0EBF2"/>
          </w:tcPr>
          <w:p>
            <w:pPr>
              <w:spacing w:after="0"/>
              <w:rPr>
                <w:sz w:val="16"/>
                <w:szCs w:val="16"/>
                <w:color w:val="auto"/>
              </w:rPr>
            </w:pPr>
          </w:p>
        </w:tc>
      </w:tr>
      <w:tr>
        <w:trPr>
          <w:trHeight w:val="171"/>
        </w:trPr>
        <w:tc>
          <w:tcPr>
            <w:tcW w:w="1580" w:type="dxa"/>
            <w:vAlign w:val="bottom"/>
            <w:shd w:val="clear" w:color="auto" w:fill="FDFDFC"/>
          </w:tcPr>
          <w:p>
            <w:pPr>
              <w:spacing w:after="0" w:line="172" w:lineRule="exact"/>
              <w:rPr>
                <w:sz w:val="20"/>
                <w:szCs w:val="20"/>
                <w:color w:val="auto"/>
              </w:rPr>
            </w:pPr>
            <w:r>
              <w:rPr>
                <w:rFonts w:ascii="Times New Roman" w:cs="Times New Roman" w:eastAsia="Times New Roman" w:hAnsi="Times New Roman"/>
                <w:sz w:val="15"/>
                <w:szCs w:val="15"/>
                <w:color w:val="231F20"/>
              </w:rPr>
              <w:t>Cordance Operations,</w:t>
            </w:r>
          </w:p>
        </w:tc>
        <w:tc>
          <w:tcPr>
            <w:tcW w:w="2200" w:type="dxa"/>
            <w:vAlign w:val="bottom"/>
            <w:shd w:val="clear" w:color="auto" w:fill="FDFDFC"/>
          </w:tcPr>
          <w:p>
            <w:pPr>
              <w:ind w:left="60"/>
              <w:spacing w:after="0" w:line="172" w:lineRule="exact"/>
              <w:rPr>
                <w:sz w:val="20"/>
                <w:szCs w:val="20"/>
                <w:color w:val="auto"/>
              </w:rPr>
            </w:pPr>
            <w:r>
              <w:rPr>
                <w:rFonts w:ascii="Times New Roman" w:cs="Times New Roman" w:eastAsia="Times New Roman" w:hAnsi="Times New Roman"/>
                <w:sz w:val="15"/>
                <w:szCs w:val="15"/>
                <w:color w:val="231F20"/>
              </w:rPr>
              <w:t>First-lien loan ($60,781 par, due</w:t>
            </w:r>
          </w:p>
        </w:tc>
        <w:tc>
          <w:tcPr>
            <w:tcW w:w="800" w:type="dxa"/>
            <w:vAlign w:val="bottom"/>
            <w:shd w:val="clear" w:color="auto" w:fill="FDFDFC"/>
          </w:tcPr>
          <w:p>
            <w:pPr>
              <w:jc w:val="right"/>
              <w:spacing w:after="0" w:line="172" w:lineRule="exact"/>
              <w:rPr>
                <w:sz w:val="20"/>
                <w:szCs w:val="20"/>
                <w:color w:val="auto"/>
              </w:rPr>
            </w:pPr>
            <w:r>
              <w:rPr>
                <w:rFonts w:ascii="Times New Roman" w:cs="Times New Roman" w:eastAsia="Times New Roman" w:hAnsi="Times New Roman"/>
                <w:sz w:val="15"/>
                <w:szCs w:val="15"/>
                <w:color w:val="231F20"/>
              </w:rPr>
              <w:t>7/25/2022</w:t>
            </w:r>
          </w:p>
        </w:tc>
        <w:tc>
          <w:tcPr>
            <w:tcW w:w="1000" w:type="dxa"/>
            <w:vAlign w:val="bottom"/>
            <w:shd w:val="clear" w:color="auto" w:fill="FDFDFC"/>
          </w:tcPr>
          <w:p>
            <w:pPr>
              <w:jc w:val="right"/>
              <w:ind w:right="44"/>
              <w:spacing w:after="0" w:line="172" w:lineRule="exact"/>
              <w:rPr>
                <w:sz w:val="20"/>
                <w:szCs w:val="20"/>
                <w:color w:val="auto"/>
              </w:rPr>
            </w:pPr>
            <w:r>
              <w:rPr>
                <w:rFonts w:ascii="Times New Roman" w:cs="Times New Roman" w:eastAsia="Times New Roman" w:hAnsi="Times New Roman"/>
                <w:sz w:val="15"/>
                <w:szCs w:val="15"/>
                <w:color w:val="231F20"/>
              </w:rPr>
              <w:t>SOFR +</w:t>
            </w:r>
          </w:p>
        </w:tc>
        <w:tc>
          <w:tcPr>
            <w:tcW w:w="1060" w:type="dxa"/>
            <w:vAlign w:val="bottom"/>
            <w:shd w:val="clear" w:color="auto" w:fill="FDFDFC"/>
          </w:tcPr>
          <w:p>
            <w:pPr>
              <w:jc w:val="right"/>
              <w:ind w:right="64"/>
              <w:spacing w:after="0" w:line="172" w:lineRule="exact"/>
              <w:rPr>
                <w:sz w:val="20"/>
                <w:szCs w:val="20"/>
                <w:color w:val="auto"/>
              </w:rPr>
            </w:pPr>
            <w:r>
              <w:rPr>
                <w:rFonts w:ascii="Times New Roman" w:cs="Times New Roman" w:eastAsia="Times New Roman" w:hAnsi="Times New Roman"/>
                <w:sz w:val="15"/>
                <w:szCs w:val="15"/>
                <w:color w:val="231F20"/>
              </w:rPr>
              <w:t>13.51%</w:t>
            </w:r>
          </w:p>
        </w:tc>
        <w:tc>
          <w:tcPr>
            <w:tcW w:w="100" w:type="dxa"/>
            <w:vAlign w:val="bottom"/>
            <w:shd w:val="clear" w:color="auto" w:fill="FDFDFC"/>
          </w:tcPr>
          <w:p>
            <w:pPr>
              <w:spacing w:after="0"/>
              <w:rPr>
                <w:sz w:val="14"/>
                <w:szCs w:val="14"/>
                <w:color w:val="auto"/>
              </w:rPr>
            </w:pPr>
          </w:p>
        </w:tc>
        <w:tc>
          <w:tcPr>
            <w:tcW w:w="900" w:type="dxa"/>
            <w:vAlign w:val="bottom"/>
            <w:shd w:val="clear" w:color="auto" w:fill="FDFDFC"/>
          </w:tcPr>
          <w:p>
            <w:pPr>
              <w:jc w:val="right"/>
              <w:spacing w:after="0" w:line="172" w:lineRule="exact"/>
              <w:rPr>
                <w:sz w:val="20"/>
                <w:szCs w:val="20"/>
                <w:color w:val="auto"/>
              </w:rPr>
            </w:pPr>
            <w:r>
              <w:rPr>
                <w:rFonts w:ascii="Times New Roman" w:cs="Times New Roman" w:eastAsia="Times New Roman" w:hAnsi="Times New Roman"/>
                <w:sz w:val="15"/>
                <w:szCs w:val="15"/>
                <w:color w:val="231F20"/>
              </w:rPr>
              <w:t>59,808</w:t>
            </w:r>
          </w:p>
        </w:tc>
        <w:tc>
          <w:tcPr>
            <w:tcW w:w="1680" w:type="dxa"/>
            <w:vAlign w:val="bottom"/>
            <w:gridSpan w:val="3"/>
            <w:shd w:val="clear" w:color="auto" w:fill="FDFDFC"/>
          </w:tcPr>
          <w:p>
            <w:pPr>
              <w:jc w:val="right"/>
              <w:spacing w:after="0" w:line="172" w:lineRule="exact"/>
              <w:rPr>
                <w:sz w:val="20"/>
                <w:szCs w:val="20"/>
                <w:color w:val="auto"/>
              </w:rPr>
            </w:pPr>
            <w:r>
              <w:rPr>
                <w:rFonts w:ascii="Times New Roman" w:cs="Times New Roman" w:eastAsia="Times New Roman" w:hAnsi="Times New Roman"/>
                <w:sz w:val="15"/>
                <w:szCs w:val="15"/>
                <w:color w:val="231F20"/>
              </w:rPr>
              <w:t>61,428</w:t>
            </w:r>
          </w:p>
        </w:tc>
        <w:tc>
          <w:tcPr>
            <w:tcW w:w="960" w:type="dxa"/>
            <w:vAlign w:val="bottom"/>
            <w:gridSpan w:val="2"/>
            <w:shd w:val="clear" w:color="auto" w:fill="FDFDFC"/>
          </w:tcPr>
          <w:p>
            <w:pPr>
              <w:jc w:val="right"/>
              <w:spacing w:after="0" w:line="172" w:lineRule="exact"/>
              <w:rPr>
                <w:sz w:val="20"/>
                <w:szCs w:val="20"/>
                <w:color w:val="auto"/>
              </w:rPr>
            </w:pPr>
            <w:r>
              <w:rPr>
                <w:rFonts w:ascii="Times New Roman" w:cs="Times New Roman" w:eastAsia="Times New Roman" w:hAnsi="Times New Roman"/>
                <w:sz w:val="15"/>
                <w:szCs w:val="15"/>
                <w:color w:val="231F20"/>
              </w:rPr>
              <w:t>3.8%</w:t>
            </w:r>
          </w:p>
        </w:tc>
      </w:tr>
      <w:tr>
        <w:trPr>
          <w:trHeight w:val="189"/>
        </w:trPr>
        <w:tc>
          <w:tcPr>
            <w:tcW w:w="1580" w:type="dxa"/>
            <w:vAlign w:val="bottom"/>
            <w:shd w:val="clear" w:color="auto" w:fill="FDFDFC"/>
          </w:tcPr>
          <w:p>
            <w:pPr>
              <w:spacing w:after="0"/>
              <w:rPr>
                <w:sz w:val="20"/>
                <w:szCs w:val="20"/>
                <w:color w:val="auto"/>
              </w:rPr>
            </w:pPr>
            <w:r>
              <w:rPr>
                <w:rFonts w:ascii="Times New Roman" w:cs="Times New Roman" w:eastAsia="Times New Roman" w:hAnsi="Times New Roman"/>
                <w:sz w:val="15"/>
                <w:szCs w:val="15"/>
                <w:color w:val="231F20"/>
              </w:rPr>
              <w:t xml:space="preserve">LLC </w:t>
            </w:r>
            <w:r>
              <w:rPr>
                <w:rFonts w:ascii="Times New Roman" w:cs="Times New Roman" w:eastAsia="Times New Roman" w:hAnsi="Times New Roman"/>
                <w:sz w:val="9"/>
                <w:szCs w:val="9"/>
                <w:color w:val="231F20"/>
              </w:rPr>
              <w:t>(3)</w:t>
            </w:r>
          </w:p>
        </w:tc>
        <w:tc>
          <w:tcPr>
            <w:tcW w:w="2200" w:type="dxa"/>
            <w:vAlign w:val="bottom"/>
            <w:shd w:val="clear" w:color="auto" w:fill="FDFDFC"/>
          </w:tcPr>
          <w:p>
            <w:pPr>
              <w:ind w:left="60"/>
              <w:spacing w:after="0"/>
              <w:rPr>
                <w:sz w:val="20"/>
                <w:szCs w:val="20"/>
                <w:color w:val="auto"/>
              </w:rPr>
            </w:pPr>
            <w:r>
              <w:rPr>
                <w:rFonts w:ascii="Times New Roman" w:cs="Times New Roman" w:eastAsia="Times New Roman" w:hAnsi="Times New Roman"/>
                <w:sz w:val="15"/>
                <w:szCs w:val="15"/>
                <w:color w:val="231F20"/>
              </w:rPr>
              <w:t>7/2028)</w:t>
            </w:r>
          </w:p>
        </w:tc>
        <w:tc>
          <w:tcPr>
            <w:tcW w:w="800" w:type="dxa"/>
            <w:vAlign w:val="bottom"/>
            <w:shd w:val="clear" w:color="auto" w:fill="FDFDFC"/>
          </w:tcPr>
          <w:p>
            <w:pPr>
              <w:spacing w:after="0"/>
              <w:rPr>
                <w:sz w:val="16"/>
                <w:szCs w:val="16"/>
                <w:color w:val="auto"/>
              </w:rPr>
            </w:pPr>
          </w:p>
        </w:tc>
        <w:tc>
          <w:tcPr>
            <w:tcW w:w="1000" w:type="dxa"/>
            <w:vAlign w:val="bottom"/>
            <w:shd w:val="clear" w:color="auto" w:fill="FDFDFC"/>
          </w:tcPr>
          <w:p>
            <w:pPr>
              <w:jc w:val="right"/>
              <w:ind w:right="44"/>
              <w:spacing w:after="0"/>
              <w:rPr>
                <w:sz w:val="20"/>
                <w:szCs w:val="20"/>
                <w:color w:val="auto"/>
              </w:rPr>
            </w:pPr>
            <w:r>
              <w:rPr>
                <w:rFonts w:ascii="Times New Roman" w:cs="Times New Roman" w:eastAsia="Times New Roman" w:hAnsi="Times New Roman"/>
                <w:sz w:val="15"/>
                <w:szCs w:val="15"/>
                <w:color w:val="231F20"/>
              </w:rPr>
              <w:t>9.25%</w:t>
            </w:r>
          </w:p>
        </w:tc>
        <w:tc>
          <w:tcPr>
            <w:tcW w:w="1060" w:type="dxa"/>
            <w:vAlign w:val="bottom"/>
            <w:shd w:val="clear" w:color="auto" w:fill="FDFDFC"/>
          </w:tcPr>
          <w:p>
            <w:pPr>
              <w:spacing w:after="0"/>
              <w:rPr>
                <w:sz w:val="16"/>
                <w:szCs w:val="16"/>
                <w:color w:val="auto"/>
              </w:rPr>
            </w:pPr>
          </w:p>
        </w:tc>
        <w:tc>
          <w:tcPr>
            <w:tcW w:w="100" w:type="dxa"/>
            <w:vAlign w:val="bottom"/>
            <w:shd w:val="clear" w:color="auto" w:fill="FDFDFC"/>
          </w:tcPr>
          <w:p>
            <w:pPr>
              <w:spacing w:after="0"/>
              <w:rPr>
                <w:sz w:val="16"/>
                <w:szCs w:val="16"/>
                <w:color w:val="auto"/>
              </w:rPr>
            </w:pPr>
          </w:p>
        </w:tc>
        <w:tc>
          <w:tcPr>
            <w:tcW w:w="900" w:type="dxa"/>
            <w:vAlign w:val="bottom"/>
            <w:shd w:val="clear" w:color="auto" w:fill="FDFDFC"/>
          </w:tcPr>
          <w:p>
            <w:pPr>
              <w:spacing w:after="0"/>
              <w:rPr>
                <w:sz w:val="16"/>
                <w:szCs w:val="16"/>
                <w:color w:val="auto"/>
              </w:rPr>
            </w:pPr>
          </w:p>
        </w:tc>
        <w:tc>
          <w:tcPr>
            <w:tcW w:w="80" w:type="dxa"/>
            <w:vAlign w:val="bottom"/>
            <w:shd w:val="clear" w:color="auto" w:fill="FDFDFC"/>
          </w:tcPr>
          <w:p>
            <w:pPr>
              <w:spacing w:after="0"/>
              <w:rPr>
                <w:sz w:val="16"/>
                <w:szCs w:val="16"/>
                <w:color w:val="auto"/>
              </w:rPr>
            </w:pPr>
          </w:p>
        </w:tc>
        <w:tc>
          <w:tcPr>
            <w:tcW w:w="100" w:type="dxa"/>
            <w:vAlign w:val="bottom"/>
            <w:shd w:val="clear" w:color="auto" w:fill="FDFDFC"/>
          </w:tcPr>
          <w:p>
            <w:pPr>
              <w:spacing w:after="0"/>
              <w:rPr>
                <w:sz w:val="16"/>
                <w:szCs w:val="16"/>
                <w:color w:val="auto"/>
              </w:rPr>
            </w:pPr>
          </w:p>
        </w:tc>
        <w:tc>
          <w:tcPr>
            <w:tcW w:w="1500" w:type="dxa"/>
            <w:vAlign w:val="bottom"/>
            <w:shd w:val="clear" w:color="auto" w:fill="FDFDFC"/>
          </w:tcPr>
          <w:p>
            <w:pPr>
              <w:spacing w:after="0"/>
              <w:rPr>
                <w:sz w:val="16"/>
                <w:szCs w:val="16"/>
                <w:color w:val="auto"/>
              </w:rPr>
            </w:pPr>
          </w:p>
        </w:tc>
        <w:tc>
          <w:tcPr>
            <w:tcW w:w="100" w:type="dxa"/>
            <w:vAlign w:val="bottom"/>
            <w:shd w:val="clear" w:color="auto" w:fill="FDFDFC"/>
          </w:tcPr>
          <w:p>
            <w:pPr>
              <w:spacing w:after="0"/>
              <w:rPr>
                <w:sz w:val="16"/>
                <w:szCs w:val="16"/>
                <w:color w:val="auto"/>
              </w:rPr>
            </w:pPr>
          </w:p>
        </w:tc>
        <w:tc>
          <w:tcPr>
            <w:tcW w:w="860" w:type="dxa"/>
            <w:vAlign w:val="bottom"/>
            <w:shd w:val="clear" w:color="auto" w:fill="FDFDFC"/>
          </w:tcPr>
          <w:p>
            <w:pPr>
              <w:spacing w:after="0"/>
              <w:rPr>
                <w:sz w:val="16"/>
                <w:szCs w:val="16"/>
                <w:color w:val="auto"/>
              </w:rPr>
            </w:pPr>
          </w:p>
        </w:tc>
      </w:tr>
      <w:tr>
        <w:trPr>
          <w:trHeight w:val="171"/>
        </w:trPr>
        <w:tc>
          <w:tcPr>
            <w:tcW w:w="1580" w:type="dxa"/>
            <w:vAlign w:val="bottom"/>
            <w:shd w:val="clear" w:color="auto" w:fill="D0EBF2"/>
          </w:tcPr>
          <w:p>
            <w:pPr>
              <w:spacing w:after="0" w:line="172" w:lineRule="exact"/>
              <w:rPr>
                <w:sz w:val="20"/>
                <w:szCs w:val="20"/>
                <w:color w:val="auto"/>
              </w:rPr>
            </w:pPr>
            <w:r>
              <w:rPr>
                <w:rFonts w:ascii="Times New Roman" w:cs="Times New Roman" w:eastAsia="Times New Roman" w:hAnsi="Times New Roman"/>
                <w:sz w:val="15"/>
                <w:szCs w:val="15"/>
                <w:color w:val="231F20"/>
              </w:rPr>
              <w:t xml:space="preserve">Neuintel, LLC </w:t>
            </w:r>
            <w:r>
              <w:rPr>
                <w:rFonts w:ascii="Times New Roman" w:cs="Times New Roman" w:eastAsia="Times New Roman" w:hAnsi="Times New Roman"/>
                <w:sz w:val="9"/>
                <w:szCs w:val="9"/>
                <w:color w:val="231F20"/>
              </w:rPr>
              <w:t>(3)(5)</w:t>
            </w:r>
          </w:p>
        </w:tc>
        <w:tc>
          <w:tcPr>
            <w:tcW w:w="2200" w:type="dxa"/>
            <w:vAlign w:val="bottom"/>
            <w:shd w:val="clear" w:color="auto" w:fill="D0EBF2"/>
          </w:tcPr>
          <w:p>
            <w:pPr>
              <w:ind w:left="60"/>
              <w:spacing w:after="0" w:line="172" w:lineRule="exact"/>
              <w:rPr>
                <w:sz w:val="20"/>
                <w:szCs w:val="20"/>
                <w:color w:val="auto"/>
              </w:rPr>
            </w:pPr>
            <w:r>
              <w:rPr>
                <w:rFonts w:ascii="Times New Roman" w:cs="Times New Roman" w:eastAsia="Times New Roman" w:hAnsi="Times New Roman"/>
                <w:sz w:val="15"/>
                <w:szCs w:val="15"/>
                <w:color w:val="231F20"/>
              </w:rPr>
              <w:t>First-lien loan ($55,038 par, due</w:t>
            </w:r>
          </w:p>
        </w:tc>
        <w:tc>
          <w:tcPr>
            <w:tcW w:w="800" w:type="dxa"/>
            <w:vAlign w:val="bottom"/>
            <w:shd w:val="clear" w:color="auto" w:fill="D0EBF2"/>
          </w:tcPr>
          <w:p>
            <w:pPr>
              <w:jc w:val="right"/>
              <w:spacing w:after="0" w:line="172" w:lineRule="exact"/>
              <w:rPr>
                <w:sz w:val="20"/>
                <w:szCs w:val="20"/>
                <w:color w:val="auto"/>
              </w:rPr>
            </w:pPr>
            <w:r>
              <w:rPr>
                <w:rFonts w:ascii="Times New Roman" w:cs="Times New Roman" w:eastAsia="Times New Roman" w:hAnsi="Times New Roman"/>
                <w:sz w:val="15"/>
                <w:szCs w:val="15"/>
                <w:color w:val="231F20"/>
              </w:rPr>
              <w:t>12/20/2021</w:t>
            </w:r>
          </w:p>
        </w:tc>
        <w:tc>
          <w:tcPr>
            <w:tcW w:w="1000" w:type="dxa"/>
            <w:vAlign w:val="bottom"/>
            <w:shd w:val="clear" w:color="auto" w:fill="D0EBF2"/>
          </w:tcPr>
          <w:p>
            <w:pPr>
              <w:jc w:val="right"/>
              <w:ind w:right="44"/>
              <w:spacing w:after="0" w:line="172" w:lineRule="exact"/>
              <w:rPr>
                <w:sz w:val="20"/>
                <w:szCs w:val="20"/>
                <w:color w:val="auto"/>
              </w:rPr>
            </w:pPr>
            <w:r>
              <w:rPr>
                <w:rFonts w:ascii="Times New Roman" w:cs="Times New Roman" w:eastAsia="Times New Roman" w:hAnsi="Times New Roman"/>
                <w:sz w:val="15"/>
                <w:szCs w:val="15"/>
                <w:color w:val="231F20"/>
              </w:rPr>
              <w:t>SOFR +</w:t>
            </w:r>
          </w:p>
        </w:tc>
        <w:tc>
          <w:tcPr>
            <w:tcW w:w="1060" w:type="dxa"/>
            <w:vAlign w:val="bottom"/>
            <w:shd w:val="clear" w:color="auto" w:fill="D0EBF2"/>
          </w:tcPr>
          <w:p>
            <w:pPr>
              <w:jc w:val="right"/>
              <w:ind w:right="64"/>
              <w:spacing w:after="0" w:line="172" w:lineRule="exact"/>
              <w:rPr>
                <w:sz w:val="20"/>
                <w:szCs w:val="20"/>
                <w:color w:val="auto"/>
              </w:rPr>
            </w:pPr>
            <w:r>
              <w:rPr>
                <w:rFonts w:ascii="Times New Roman" w:cs="Times New Roman" w:eastAsia="Times New Roman" w:hAnsi="Times New Roman"/>
                <w:sz w:val="15"/>
                <w:szCs w:val="15"/>
                <w:color w:val="231F20"/>
              </w:rPr>
              <w:t>11.21%</w:t>
            </w:r>
          </w:p>
        </w:tc>
        <w:tc>
          <w:tcPr>
            <w:tcW w:w="100" w:type="dxa"/>
            <w:vAlign w:val="bottom"/>
            <w:shd w:val="clear" w:color="auto" w:fill="D0EBF2"/>
          </w:tcPr>
          <w:p>
            <w:pPr>
              <w:spacing w:after="0"/>
              <w:rPr>
                <w:sz w:val="14"/>
                <w:szCs w:val="14"/>
                <w:color w:val="auto"/>
              </w:rPr>
            </w:pPr>
          </w:p>
        </w:tc>
        <w:tc>
          <w:tcPr>
            <w:tcW w:w="900" w:type="dxa"/>
            <w:vAlign w:val="bottom"/>
            <w:shd w:val="clear" w:color="auto" w:fill="D0EBF2"/>
          </w:tcPr>
          <w:p>
            <w:pPr>
              <w:jc w:val="right"/>
              <w:spacing w:after="0" w:line="172" w:lineRule="exact"/>
              <w:rPr>
                <w:sz w:val="20"/>
                <w:szCs w:val="20"/>
                <w:color w:val="auto"/>
              </w:rPr>
            </w:pPr>
            <w:r>
              <w:rPr>
                <w:rFonts w:ascii="Times New Roman" w:cs="Times New Roman" w:eastAsia="Times New Roman" w:hAnsi="Times New Roman"/>
                <w:sz w:val="15"/>
                <w:szCs w:val="15"/>
                <w:color w:val="231F20"/>
              </w:rPr>
              <w:t>54,520</w:t>
            </w:r>
          </w:p>
        </w:tc>
        <w:tc>
          <w:tcPr>
            <w:tcW w:w="1680" w:type="dxa"/>
            <w:vAlign w:val="bottom"/>
            <w:gridSpan w:val="3"/>
            <w:shd w:val="clear" w:color="auto" w:fill="D0EBF2"/>
          </w:tcPr>
          <w:p>
            <w:pPr>
              <w:jc w:val="right"/>
              <w:spacing w:after="0" w:line="172" w:lineRule="exact"/>
              <w:rPr>
                <w:sz w:val="20"/>
                <w:szCs w:val="20"/>
                <w:color w:val="auto"/>
              </w:rPr>
            </w:pPr>
            <w:r>
              <w:rPr>
                <w:rFonts w:ascii="Times New Roman" w:cs="Times New Roman" w:eastAsia="Times New Roman" w:hAnsi="Times New Roman"/>
                <w:sz w:val="15"/>
                <w:szCs w:val="15"/>
                <w:color w:val="231F20"/>
              </w:rPr>
              <w:t>55,176</w:t>
            </w:r>
          </w:p>
        </w:tc>
        <w:tc>
          <w:tcPr>
            <w:tcW w:w="960" w:type="dxa"/>
            <w:vAlign w:val="bottom"/>
            <w:gridSpan w:val="2"/>
            <w:shd w:val="clear" w:color="auto" w:fill="D0EBF2"/>
          </w:tcPr>
          <w:p>
            <w:pPr>
              <w:jc w:val="right"/>
              <w:spacing w:after="0" w:line="172" w:lineRule="exact"/>
              <w:rPr>
                <w:sz w:val="20"/>
                <w:szCs w:val="20"/>
                <w:color w:val="auto"/>
              </w:rPr>
            </w:pPr>
            <w:r>
              <w:rPr>
                <w:rFonts w:ascii="Times New Roman" w:cs="Times New Roman" w:eastAsia="Times New Roman" w:hAnsi="Times New Roman"/>
                <w:sz w:val="15"/>
                <w:szCs w:val="15"/>
                <w:color w:val="231F20"/>
              </w:rPr>
              <w:t>3.4%</w:t>
            </w:r>
          </w:p>
        </w:tc>
      </w:tr>
      <w:tr>
        <w:trPr>
          <w:trHeight w:val="189"/>
        </w:trPr>
        <w:tc>
          <w:tcPr>
            <w:tcW w:w="1580" w:type="dxa"/>
            <w:vAlign w:val="bottom"/>
            <w:shd w:val="clear" w:color="auto" w:fill="D0EBF2"/>
          </w:tcPr>
          <w:p>
            <w:pPr>
              <w:spacing w:after="0"/>
              <w:rPr>
                <w:sz w:val="16"/>
                <w:szCs w:val="16"/>
                <w:color w:val="auto"/>
              </w:rPr>
            </w:pPr>
          </w:p>
        </w:tc>
        <w:tc>
          <w:tcPr>
            <w:tcW w:w="2200" w:type="dxa"/>
            <w:vAlign w:val="bottom"/>
            <w:shd w:val="clear" w:color="auto" w:fill="D0EBF2"/>
          </w:tcPr>
          <w:p>
            <w:pPr>
              <w:ind w:left="60"/>
              <w:spacing w:after="0"/>
              <w:rPr>
                <w:sz w:val="20"/>
                <w:szCs w:val="20"/>
                <w:color w:val="auto"/>
              </w:rPr>
            </w:pPr>
            <w:r>
              <w:rPr>
                <w:rFonts w:ascii="Times New Roman" w:cs="Times New Roman" w:eastAsia="Times New Roman" w:hAnsi="Times New Roman"/>
                <w:sz w:val="15"/>
                <w:szCs w:val="15"/>
                <w:color w:val="231F20"/>
              </w:rPr>
              <w:t>12/2026)</w:t>
            </w:r>
          </w:p>
        </w:tc>
        <w:tc>
          <w:tcPr>
            <w:tcW w:w="800" w:type="dxa"/>
            <w:vAlign w:val="bottom"/>
            <w:shd w:val="clear" w:color="auto" w:fill="D0EBF2"/>
          </w:tcPr>
          <w:p>
            <w:pPr>
              <w:spacing w:after="0"/>
              <w:rPr>
                <w:sz w:val="16"/>
                <w:szCs w:val="16"/>
                <w:color w:val="auto"/>
              </w:rPr>
            </w:pPr>
          </w:p>
        </w:tc>
        <w:tc>
          <w:tcPr>
            <w:tcW w:w="1000" w:type="dxa"/>
            <w:vAlign w:val="bottom"/>
            <w:shd w:val="clear" w:color="auto" w:fill="D0EBF2"/>
          </w:tcPr>
          <w:p>
            <w:pPr>
              <w:jc w:val="right"/>
              <w:ind w:right="44"/>
              <w:spacing w:after="0"/>
              <w:rPr>
                <w:sz w:val="20"/>
                <w:szCs w:val="20"/>
                <w:color w:val="auto"/>
              </w:rPr>
            </w:pPr>
            <w:r>
              <w:rPr>
                <w:rFonts w:ascii="Times New Roman" w:cs="Times New Roman" w:eastAsia="Times New Roman" w:hAnsi="Times New Roman"/>
                <w:sz w:val="15"/>
                <w:szCs w:val="15"/>
                <w:color w:val="231F20"/>
              </w:rPr>
              <w:t>6.85%</w:t>
            </w:r>
          </w:p>
        </w:tc>
        <w:tc>
          <w:tcPr>
            <w:tcW w:w="1060" w:type="dxa"/>
            <w:vAlign w:val="bottom"/>
            <w:shd w:val="clear" w:color="auto" w:fill="D0EBF2"/>
          </w:tcPr>
          <w:p>
            <w:pPr>
              <w:spacing w:after="0"/>
              <w:rPr>
                <w:sz w:val="16"/>
                <w:szCs w:val="16"/>
                <w:color w:val="auto"/>
              </w:rPr>
            </w:pPr>
          </w:p>
        </w:tc>
        <w:tc>
          <w:tcPr>
            <w:tcW w:w="100" w:type="dxa"/>
            <w:vAlign w:val="bottom"/>
            <w:shd w:val="clear" w:color="auto" w:fill="D0EBF2"/>
          </w:tcPr>
          <w:p>
            <w:pPr>
              <w:spacing w:after="0"/>
              <w:rPr>
                <w:sz w:val="16"/>
                <w:szCs w:val="16"/>
                <w:color w:val="auto"/>
              </w:rPr>
            </w:pPr>
          </w:p>
        </w:tc>
        <w:tc>
          <w:tcPr>
            <w:tcW w:w="900" w:type="dxa"/>
            <w:vAlign w:val="bottom"/>
            <w:shd w:val="clear" w:color="auto" w:fill="D0EBF2"/>
          </w:tcPr>
          <w:p>
            <w:pPr>
              <w:spacing w:after="0"/>
              <w:rPr>
                <w:sz w:val="16"/>
                <w:szCs w:val="16"/>
                <w:color w:val="auto"/>
              </w:rPr>
            </w:pPr>
          </w:p>
        </w:tc>
        <w:tc>
          <w:tcPr>
            <w:tcW w:w="80" w:type="dxa"/>
            <w:vAlign w:val="bottom"/>
            <w:shd w:val="clear" w:color="auto" w:fill="D0EBF2"/>
          </w:tcPr>
          <w:p>
            <w:pPr>
              <w:spacing w:after="0"/>
              <w:rPr>
                <w:sz w:val="16"/>
                <w:szCs w:val="16"/>
                <w:color w:val="auto"/>
              </w:rPr>
            </w:pPr>
          </w:p>
        </w:tc>
        <w:tc>
          <w:tcPr>
            <w:tcW w:w="100" w:type="dxa"/>
            <w:vAlign w:val="bottom"/>
            <w:shd w:val="clear" w:color="auto" w:fill="D0EBF2"/>
          </w:tcPr>
          <w:p>
            <w:pPr>
              <w:spacing w:after="0"/>
              <w:rPr>
                <w:sz w:val="16"/>
                <w:szCs w:val="16"/>
                <w:color w:val="auto"/>
              </w:rPr>
            </w:pPr>
          </w:p>
        </w:tc>
        <w:tc>
          <w:tcPr>
            <w:tcW w:w="1500" w:type="dxa"/>
            <w:vAlign w:val="bottom"/>
            <w:shd w:val="clear" w:color="auto" w:fill="D0EBF2"/>
          </w:tcPr>
          <w:p>
            <w:pPr>
              <w:spacing w:after="0"/>
              <w:rPr>
                <w:sz w:val="16"/>
                <w:szCs w:val="16"/>
                <w:color w:val="auto"/>
              </w:rPr>
            </w:pPr>
          </w:p>
        </w:tc>
        <w:tc>
          <w:tcPr>
            <w:tcW w:w="100" w:type="dxa"/>
            <w:vAlign w:val="bottom"/>
            <w:shd w:val="clear" w:color="auto" w:fill="D0EBF2"/>
          </w:tcPr>
          <w:p>
            <w:pPr>
              <w:spacing w:after="0"/>
              <w:rPr>
                <w:sz w:val="16"/>
                <w:szCs w:val="16"/>
                <w:color w:val="auto"/>
              </w:rPr>
            </w:pPr>
          </w:p>
        </w:tc>
        <w:tc>
          <w:tcPr>
            <w:tcW w:w="860" w:type="dxa"/>
            <w:vAlign w:val="bottom"/>
            <w:shd w:val="clear" w:color="auto" w:fill="D0EBF2"/>
          </w:tcPr>
          <w:p>
            <w:pPr>
              <w:spacing w:after="0"/>
              <w:rPr>
                <w:sz w:val="16"/>
                <w:szCs w:val="16"/>
                <w:color w:val="auto"/>
              </w:rPr>
            </w:pPr>
          </w:p>
        </w:tc>
      </w:tr>
      <w:tr>
        <w:trPr>
          <w:trHeight w:val="171"/>
        </w:trPr>
        <w:tc>
          <w:tcPr>
            <w:tcW w:w="1580" w:type="dxa"/>
            <w:vAlign w:val="bottom"/>
            <w:shd w:val="clear" w:color="auto" w:fill="FDFDFC"/>
          </w:tcPr>
          <w:p>
            <w:pPr>
              <w:spacing w:after="0" w:line="172" w:lineRule="exact"/>
              <w:rPr>
                <w:sz w:val="20"/>
                <w:szCs w:val="20"/>
                <w:color w:val="auto"/>
              </w:rPr>
            </w:pPr>
            <w:r>
              <w:rPr>
                <w:rFonts w:ascii="Times New Roman" w:cs="Times New Roman" w:eastAsia="Times New Roman" w:hAnsi="Times New Roman"/>
                <w:sz w:val="15"/>
                <w:szCs w:val="15"/>
                <w:color w:val="231F20"/>
              </w:rPr>
              <w:t>PDI TA Holdings, Inc.</w:t>
            </w:r>
          </w:p>
        </w:tc>
        <w:tc>
          <w:tcPr>
            <w:tcW w:w="2200" w:type="dxa"/>
            <w:vAlign w:val="bottom"/>
            <w:shd w:val="clear" w:color="auto" w:fill="FDFDFC"/>
          </w:tcPr>
          <w:p>
            <w:pPr>
              <w:ind w:left="60"/>
              <w:spacing w:after="0" w:line="172" w:lineRule="exact"/>
              <w:rPr>
                <w:sz w:val="20"/>
                <w:szCs w:val="20"/>
                <w:color w:val="auto"/>
              </w:rPr>
            </w:pPr>
            <w:r>
              <w:rPr>
                <w:rFonts w:ascii="Times New Roman" w:cs="Times New Roman" w:eastAsia="Times New Roman" w:hAnsi="Times New Roman"/>
                <w:sz w:val="15"/>
                <w:szCs w:val="15"/>
                <w:color w:val="231F20"/>
              </w:rPr>
              <w:t>First-lien loan ($18,133 par, due</w:t>
            </w:r>
          </w:p>
        </w:tc>
        <w:tc>
          <w:tcPr>
            <w:tcW w:w="800" w:type="dxa"/>
            <w:vAlign w:val="bottom"/>
            <w:shd w:val="clear" w:color="auto" w:fill="FDFDFC"/>
          </w:tcPr>
          <w:p>
            <w:pPr>
              <w:jc w:val="right"/>
              <w:spacing w:after="0" w:line="172" w:lineRule="exact"/>
              <w:rPr>
                <w:sz w:val="20"/>
                <w:szCs w:val="20"/>
                <w:color w:val="auto"/>
              </w:rPr>
            </w:pPr>
            <w:r>
              <w:rPr>
                <w:rFonts w:ascii="Times New Roman" w:cs="Times New Roman" w:eastAsia="Times New Roman" w:hAnsi="Times New Roman"/>
                <w:sz w:val="15"/>
                <w:szCs w:val="15"/>
                <w:color w:val="231F20"/>
              </w:rPr>
              <w:t>2/1/2024</w:t>
            </w:r>
          </w:p>
        </w:tc>
        <w:tc>
          <w:tcPr>
            <w:tcW w:w="1000" w:type="dxa"/>
            <w:vAlign w:val="bottom"/>
            <w:shd w:val="clear" w:color="auto" w:fill="FDFDFC"/>
          </w:tcPr>
          <w:p>
            <w:pPr>
              <w:jc w:val="right"/>
              <w:ind w:right="44"/>
              <w:spacing w:after="0" w:line="172" w:lineRule="exact"/>
              <w:rPr>
                <w:sz w:val="20"/>
                <w:szCs w:val="20"/>
                <w:color w:val="auto"/>
              </w:rPr>
            </w:pPr>
            <w:r>
              <w:rPr>
                <w:rFonts w:ascii="Times New Roman" w:cs="Times New Roman" w:eastAsia="Times New Roman" w:hAnsi="Times New Roman"/>
                <w:sz w:val="15"/>
                <w:szCs w:val="15"/>
                <w:color w:val="231F20"/>
              </w:rPr>
              <w:t>SOFR +</w:t>
            </w:r>
          </w:p>
        </w:tc>
        <w:tc>
          <w:tcPr>
            <w:tcW w:w="1060" w:type="dxa"/>
            <w:vAlign w:val="bottom"/>
            <w:shd w:val="clear" w:color="auto" w:fill="FDFDFC"/>
          </w:tcPr>
          <w:p>
            <w:pPr>
              <w:jc w:val="right"/>
              <w:ind w:right="64"/>
              <w:spacing w:after="0" w:line="172" w:lineRule="exact"/>
              <w:rPr>
                <w:sz w:val="20"/>
                <w:szCs w:val="20"/>
                <w:color w:val="auto"/>
              </w:rPr>
            </w:pPr>
            <w:r>
              <w:rPr>
                <w:rFonts w:ascii="Times New Roman" w:cs="Times New Roman" w:eastAsia="Times New Roman" w:hAnsi="Times New Roman"/>
                <w:sz w:val="15"/>
                <w:szCs w:val="15"/>
                <w:color w:val="231F20"/>
              </w:rPr>
              <w:t>10.09%</w:t>
            </w:r>
          </w:p>
        </w:tc>
        <w:tc>
          <w:tcPr>
            <w:tcW w:w="100" w:type="dxa"/>
            <w:vAlign w:val="bottom"/>
            <w:shd w:val="clear" w:color="auto" w:fill="FDFDFC"/>
          </w:tcPr>
          <w:p>
            <w:pPr>
              <w:spacing w:after="0"/>
              <w:rPr>
                <w:sz w:val="14"/>
                <w:szCs w:val="14"/>
                <w:color w:val="auto"/>
              </w:rPr>
            </w:pPr>
          </w:p>
        </w:tc>
        <w:tc>
          <w:tcPr>
            <w:tcW w:w="900" w:type="dxa"/>
            <w:vAlign w:val="bottom"/>
            <w:shd w:val="clear" w:color="auto" w:fill="FDFDFC"/>
          </w:tcPr>
          <w:p>
            <w:pPr>
              <w:jc w:val="right"/>
              <w:spacing w:after="0" w:line="172" w:lineRule="exact"/>
              <w:rPr>
                <w:sz w:val="20"/>
                <w:szCs w:val="20"/>
                <w:color w:val="auto"/>
              </w:rPr>
            </w:pPr>
            <w:r>
              <w:rPr>
                <w:rFonts w:ascii="Times New Roman" w:cs="Times New Roman" w:eastAsia="Times New Roman" w:hAnsi="Times New Roman"/>
                <w:sz w:val="15"/>
                <w:szCs w:val="15"/>
                <w:color w:val="231F20"/>
              </w:rPr>
              <w:t>17,854</w:t>
            </w:r>
          </w:p>
        </w:tc>
        <w:tc>
          <w:tcPr>
            <w:tcW w:w="1680" w:type="dxa"/>
            <w:vAlign w:val="bottom"/>
            <w:gridSpan w:val="3"/>
            <w:shd w:val="clear" w:color="auto" w:fill="FDFDFC"/>
          </w:tcPr>
          <w:p>
            <w:pPr>
              <w:jc w:val="right"/>
              <w:spacing w:after="0" w:line="172" w:lineRule="exact"/>
              <w:rPr>
                <w:sz w:val="20"/>
                <w:szCs w:val="20"/>
                <w:color w:val="auto"/>
              </w:rPr>
            </w:pPr>
            <w:r>
              <w:rPr>
                <w:rFonts w:ascii="Times New Roman" w:cs="Times New Roman" w:eastAsia="Times New Roman" w:hAnsi="Times New Roman"/>
                <w:sz w:val="15"/>
                <w:szCs w:val="15"/>
                <w:color w:val="231F20"/>
              </w:rPr>
              <w:t>18,241</w:t>
            </w:r>
          </w:p>
        </w:tc>
        <w:tc>
          <w:tcPr>
            <w:tcW w:w="960" w:type="dxa"/>
            <w:vAlign w:val="bottom"/>
            <w:gridSpan w:val="2"/>
            <w:shd w:val="clear" w:color="auto" w:fill="FDFDFC"/>
          </w:tcPr>
          <w:p>
            <w:pPr>
              <w:jc w:val="right"/>
              <w:spacing w:after="0" w:line="172" w:lineRule="exact"/>
              <w:rPr>
                <w:sz w:val="20"/>
                <w:szCs w:val="20"/>
                <w:color w:val="auto"/>
              </w:rPr>
            </w:pPr>
            <w:r>
              <w:rPr>
                <w:rFonts w:ascii="Times New Roman" w:cs="Times New Roman" w:eastAsia="Times New Roman" w:hAnsi="Times New Roman"/>
                <w:sz w:val="15"/>
                <w:szCs w:val="15"/>
                <w:color w:val="231F20"/>
              </w:rPr>
              <w:t>1.1%</w:t>
            </w:r>
          </w:p>
        </w:tc>
      </w:tr>
      <w:tr>
        <w:trPr>
          <w:trHeight w:val="189"/>
        </w:trPr>
        <w:tc>
          <w:tcPr>
            <w:tcW w:w="1580" w:type="dxa"/>
            <w:vAlign w:val="bottom"/>
            <w:shd w:val="clear" w:color="auto" w:fill="FDFDFC"/>
          </w:tcPr>
          <w:p>
            <w:pPr>
              <w:spacing w:after="0"/>
              <w:rPr>
                <w:sz w:val="20"/>
                <w:szCs w:val="20"/>
                <w:color w:val="auto"/>
              </w:rPr>
            </w:pPr>
            <w:r>
              <w:rPr>
                <w:rFonts w:ascii="Times New Roman" w:cs="Times New Roman" w:eastAsia="Times New Roman" w:hAnsi="Times New Roman"/>
                <w:sz w:val="9"/>
                <w:szCs w:val="9"/>
                <w:color w:val="231F20"/>
              </w:rPr>
              <w:t>(3)</w:t>
            </w:r>
          </w:p>
        </w:tc>
        <w:tc>
          <w:tcPr>
            <w:tcW w:w="2200" w:type="dxa"/>
            <w:vAlign w:val="bottom"/>
            <w:shd w:val="clear" w:color="auto" w:fill="FDFDFC"/>
          </w:tcPr>
          <w:p>
            <w:pPr>
              <w:ind w:left="60"/>
              <w:spacing w:after="0"/>
              <w:rPr>
                <w:sz w:val="20"/>
                <w:szCs w:val="20"/>
                <w:color w:val="auto"/>
              </w:rPr>
            </w:pPr>
            <w:r>
              <w:rPr>
                <w:rFonts w:ascii="Times New Roman" w:cs="Times New Roman" w:eastAsia="Times New Roman" w:hAnsi="Times New Roman"/>
                <w:sz w:val="15"/>
                <w:szCs w:val="15"/>
                <w:color w:val="231F20"/>
              </w:rPr>
              <w:t>2/2031)</w:t>
            </w:r>
          </w:p>
        </w:tc>
        <w:tc>
          <w:tcPr>
            <w:tcW w:w="800" w:type="dxa"/>
            <w:vAlign w:val="bottom"/>
            <w:shd w:val="clear" w:color="auto" w:fill="FDFDFC"/>
          </w:tcPr>
          <w:p>
            <w:pPr>
              <w:spacing w:after="0"/>
              <w:rPr>
                <w:sz w:val="16"/>
                <w:szCs w:val="16"/>
                <w:color w:val="auto"/>
              </w:rPr>
            </w:pPr>
          </w:p>
        </w:tc>
        <w:tc>
          <w:tcPr>
            <w:tcW w:w="1000" w:type="dxa"/>
            <w:vAlign w:val="bottom"/>
            <w:shd w:val="clear" w:color="auto" w:fill="FDFDFC"/>
          </w:tcPr>
          <w:p>
            <w:pPr>
              <w:jc w:val="right"/>
              <w:ind w:right="44"/>
              <w:spacing w:after="0"/>
              <w:rPr>
                <w:sz w:val="20"/>
                <w:szCs w:val="20"/>
                <w:color w:val="auto"/>
              </w:rPr>
            </w:pPr>
            <w:r>
              <w:rPr>
                <w:rFonts w:ascii="Times New Roman" w:cs="Times New Roman" w:eastAsia="Times New Roman" w:hAnsi="Times New Roman"/>
                <w:sz w:val="15"/>
                <w:szCs w:val="15"/>
                <w:color w:val="231F20"/>
              </w:rPr>
              <w:t>5.50%</w:t>
            </w:r>
          </w:p>
        </w:tc>
        <w:tc>
          <w:tcPr>
            <w:tcW w:w="1060" w:type="dxa"/>
            <w:vAlign w:val="bottom"/>
            <w:shd w:val="clear" w:color="auto" w:fill="FDFDFC"/>
          </w:tcPr>
          <w:p>
            <w:pPr>
              <w:spacing w:after="0"/>
              <w:rPr>
                <w:sz w:val="16"/>
                <w:szCs w:val="16"/>
                <w:color w:val="auto"/>
              </w:rPr>
            </w:pPr>
          </w:p>
        </w:tc>
        <w:tc>
          <w:tcPr>
            <w:tcW w:w="100" w:type="dxa"/>
            <w:vAlign w:val="bottom"/>
            <w:shd w:val="clear" w:color="auto" w:fill="FDFDFC"/>
          </w:tcPr>
          <w:p>
            <w:pPr>
              <w:spacing w:after="0"/>
              <w:rPr>
                <w:sz w:val="16"/>
                <w:szCs w:val="16"/>
                <w:color w:val="auto"/>
              </w:rPr>
            </w:pPr>
          </w:p>
        </w:tc>
        <w:tc>
          <w:tcPr>
            <w:tcW w:w="900" w:type="dxa"/>
            <w:vAlign w:val="bottom"/>
            <w:shd w:val="clear" w:color="auto" w:fill="FDFDFC"/>
          </w:tcPr>
          <w:p>
            <w:pPr>
              <w:spacing w:after="0"/>
              <w:rPr>
                <w:sz w:val="16"/>
                <w:szCs w:val="16"/>
                <w:color w:val="auto"/>
              </w:rPr>
            </w:pPr>
          </w:p>
        </w:tc>
        <w:tc>
          <w:tcPr>
            <w:tcW w:w="80" w:type="dxa"/>
            <w:vAlign w:val="bottom"/>
            <w:shd w:val="clear" w:color="auto" w:fill="FDFDFC"/>
          </w:tcPr>
          <w:p>
            <w:pPr>
              <w:spacing w:after="0"/>
              <w:rPr>
                <w:sz w:val="16"/>
                <w:szCs w:val="16"/>
                <w:color w:val="auto"/>
              </w:rPr>
            </w:pPr>
          </w:p>
        </w:tc>
        <w:tc>
          <w:tcPr>
            <w:tcW w:w="100" w:type="dxa"/>
            <w:vAlign w:val="bottom"/>
            <w:shd w:val="clear" w:color="auto" w:fill="FDFDFC"/>
          </w:tcPr>
          <w:p>
            <w:pPr>
              <w:spacing w:after="0"/>
              <w:rPr>
                <w:sz w:val="16"/>
                <w:szCs w:val="16"/>
                <w:color w:val="auto"/>
              </w:rPr>
            </w:pPr>
          </w:p>
        </w:tc>
        <w:tc>
          <w:tcPr>
            <w:tcW w:w="1500" w:type="dxa"/>
            <w:vAlign w:val="bottom"/>
            <w:shd w:val="clear" w:color="auto" w:fill="FDFDFC"/>
          </w:tcPr>
          <w:p>
            <w:pPr>
              <w:spacing w:after="0"/>
              <w:rPr>
                <w:sz w:val="16"/>
                <w:szCs w:val="16"/>
                <w:color w:val="auto"/>
              </w:rPr>
            </w:pPr>
          </w:p>
        </w:tc>
        <w:tc>
          <w:tcPr>
            <w:tcW w:w="100" w:type="dxa"/>
            <w:vAlign w:val="bottom"/>
            <w:shd w:val="clear" w:color="auto" w:fill="FDFDFC"/>
          </w:tcPr>
          <w:p>
            <w:pPr>
              <w:spacing w:after="0"/>
              <w:rPr>
                <w:sz w:val="16"/>
                <w:szCs w:val="16"/>
                <w:color w:val="auto"/>
              </w:rPr>
            </w:pPr>
          </w:p>
        </w:tc>
        <w:tc>
          <w:tcPr>
            <w:tcW w:w="860" w:type="dxa"/>
            <w:vAlign w:val="bottom"/>
            <w:shd w:val="clear" w:color="auto" w:fill="FDFDFC"/>
          </w:tcPr>
          <w:p>
            <w:pPr>
              <w:spacing w:after="0"/>
              <w:rPr>
                <w:sz w:val="16"/>
                <w:szCs w:val="16"/>
                <w:color w:val="auto"/>
              </w:rPr>
            </w:pPr>
          </w:p>
        </w:tc>
      </w:tr>
      <w:tr>
        <w:trPr>
          <w:trHeight w:val="171"/>
        </w:trPr>
        <w:tc>
          <w:tcPr>
            <w:tcW w:w="1580" w:type="dxa"/>
            <w:vAlign w:val="bottom"/>
            <w:shd w:val="clear" w:color="auto" w:fill="D0EBF2"/>
          </w:tcPr>
          <w:p>
            <w:pPr>
              <w:spacing w:after="0" w:line="172" w:lineRule="exact"/>
              <w:rPr>
                <w:sz w:val="20"/>
                <w:szCs w:val="20"/>
                <w:color w:val="auto"/>
              </w:rPr>
            </w:pPr>
            <w:r>
              <w:rPr>
                <w:rFonts w:ascii="Times New Roman" w:cs="Times New Roman" w:eastAsia="Times New Roman" w:hAnsi="Times New Roman"/>
                <w:sz w:val="15"/>
                <w:szCs w:val="15"/>
                <w:color w:val="231F20"/>
              </w:rPr>
              <w:t>Rapid Data GmbH</w:t>
            </w:r>
          </w:p>
        </w:tc>
        <w:tc>
          <w:tcPr>
            <w:tcW w:w="2200" w:type="dxa"/>
            <w:vAlign w:val="bottom"/>
            <w:shd w:val="clear" w:color="auto" w:fill="D0EBF2"/>
          </w:tcPr>
          <w:p>
            <w:pPr>
              <w:ind w:left="60"/>
              <w:spacing w:after="0" w:line="172" w:lineRule="exact"/>
              <w:rPr>
                <w:sz w:val="20"/>
                <w:szCs w:val="20"/>
                <w:color w:val="auto"/>
              </w:rPr>
            </w:pPr>
            <w:r>
              <w:rPr>
                <w:rFonts w:ascii="Times New Roman" w:cs="Times New Roman" w:eastAsia="Times New Roman" w:hAnsi="Times New Roman"/>
                <w:sz w:val="15"/>
                <w:szCs w:val="15"/>
                <w:color w:val="231F20"/>
              </w:rPr>
              <w:t>First-lien loan (EUR 7,378 par,</w:t>
            </w:r>
          </w:p>
        </w:tc>
        <w:tc>
          <w:tcPr>
            <w:tcW w:w="800" w:type="dxa"/>
            <w:vAlign w:val="bottom"/>
            <w:shd w:val="clear" w:color="auto" w:fill="D0EBF2"/>
          </w:tcPr>
          <w:p>
            <w:pPr>
              <w:jc w:val="right"/>
              <w:spacing w:after="0" w:line="172" w:lineRule="exact"/>
              <w:rPr>
                <w:sz w:val="20"/>
                <w:szCs w:val="20"/>
                <w:color w:val="auto"/>
              </w:rPr>
            </w:pPr>
            <w:r>
              <w:rPr>
                <w:rFonts w:ascii="Times New Roman" w:cs="Times New Roman" w:eastAsia="Times New Roman" w:hAnsi="Times New Roman"/>
                <w:sz w:val="15"/>
                <w:szCs w:val="15"/>
                <w:color w:val="231F20"/>
              </w:rPr>
              <w:t>7/11/2023</w:t>
            </w:r>
          </w:p>
        </w:tc>
        <w:tc>
          <w:tcPr>
            <w:tcW w:w="1000" w:type="dxa"/>
            <w:vAlign w:val="bottom"/>
            <w:shd w:val="clear" w:color="auto" w:fill="D0EBF2"/>
          </w:tcPr>
          <w:p>
            <w:pPr>
              <w:jc w:val="right"/>
              <w:ind w:right="44"/>
              <w:spacing w:after="0" w:line="172" w:lineRule="exact"/>
              <w:rPr>
                <w:sz w:val="20"/>
                <w:szCs w:val="20"/>
                <w:color w:val="auto"/>
              </w:rPr>
            </w:pPr>
            <w:r>
              <w:rPr>
                <w:rFonts w:ascii="Times New Roman" w:cs="Times New Roman" w:eastAsia="Times New Roman" w:hAnsi="Times New Roman"/>
                <w:sz w:val="15"/>
                <w:szCs w:val="15"/>
                <w:color w:val="231F20"/>
              </w:rPr>
              <w:t>E + 6.25%</w:t>
            </w:r>
          </w:p>
        </w:tc>
        <w:tc>
          <w:tcPr>
            <w:tcW w:w="1160" w:type="dxa"/>
            <w:vAlign w:val="bottom"/>
            <w:gridSpan w:val="2"/>
            <w:shd w:val="clear" w:color="auto" w:fill="D0EBF2"/>
          </w:tcPr>
          <w:p>
            <w:pPr>
              <w:jc w:val="right"/>
              <w:ind w:right="240"/>
              <w:spacing w:after="0" w:line="172" w:lineRule="exact"/>
              <w:rPr>
                <w:sz w:val="20"/>
                <w:szCs w:val="20"/>
                <w:color w:val="auto"/>
              </w:rPr>
            </w:pPr>
            <w:r>
              <w:rPr>
                <w:rFonts w:ascii="Times New Roman" w:cs="Times New Roman" w:eastAsia="Times New Roman" w:hAnsi="Times New Roman"/>
                <w:sz w:val="15"/>
                <w:szCs w:val="15"/>
                <w:color w:val="231F20"/>
              </w:rPr>
              <w:t>9.47% (incl.</w:t>
            </w:r>
          </w:p>
        </w:tc>
        <w:tc>
          <w:tcPr>
            <w:tcW w:w="900" w:type="dxa"/>
            <w:vAlign w:val="bottom"/>
            <w:shd w:val="clear" w:color="auto" w:fill="D0EBF2"/>
          </w:tcPr>
          <w:p>
            <w:pPr>
              <w:jc w:val="right"/>
              <w:spacing w:after="0" w:line="172" w:lineRule="exact"/>
              <w:rPr>
                <w:sz w:val="20"/>
                <w:szCs w:val="20"/>
                <w:color w:val="auto"/>
              </w:rPr>
            </w:pPr>
            <w:r>
              <w:rPr>
                <w:rFonts w:ascii="Times New Roman" w:cs="Times New Roman" w:eastAsia="Times New Roman" w:hAnsi="Times New Roman"/>
                <w:sz w:val="15"/>
                <w:szCs w:val="15"/>
                <w:color w:val="231F20"/>
              </w:rPr>
              <w:t>7,885</w:t>
            </w:r>
          </w:p>
        </w:tc>
        <w:tc>
          <w:tcPr>
            <w:tcW w:w="1680" w:type="dxa"/>
            <w:vAlign w:val="bottom"/>
            <w:gridSpan w:val="3"/>
            <w:shd w:val="clear" w:color="auto" w:fill="D0EBF2"/>
          </w:tcPr>
          <w:p>
            <w:pPr>
              <w:jc w:val="right"/>
              <w:spacing w:after="0" w:line="172" w:lineRule="exact"/>
              <w:rPr>
                <w:sz w:val="20"/>
                <w:szCs w:val="20"/>
                <w:color w:val="auto"/>
              </w:rPr>
            </w:pPr>
            <w:r>
              <w:rPr>
                <w:rFonts w:ascii="Times New Roman" w:cs="Times New Roman" w:eastAsia="Times New Roman" w:hAnsi="Times New Roman"/>
                <w:sz w:val="15"/>
                <w:szCs w:val="15"/>
                <w:color w:val="231F20"/>
              </w:rPr>
              <w:t>7,685</w:t>
            </w:r>
          </w:p>
        </w:tc>
        <w:tc>
          <w:tcPr>
            <w:tcW w:w="960" w:type="dxa"/>
            <w:vAlign w:val="bottom"/>
            <w:gridSpan w:val="2"/>
            <w:shd w:val="clear" w:color="auto" w:fill="D0EBF2"/>
          </w:tcPr>
          <w:p>
            <w:pPr>
              <w:jc w:val="right"/>
              <w:spacing w:after="0" w:line="172" w:lineRule="exact"/>
              <w:rPr>
                <w:sz w:val="20"/>
                <w:szCs w:val="20"/>
                <w:color w:val="auto"/>
              </w:rPr>
            </w:pPr>
            <w:r>
              <w:rPr>
                <w:rFonts w:ascii="Times New Roman" w:cs="Times New Roman" w:eastAsia="Times New Roman" w:hAnsi="Times New Roman"/>
                <w:sz w:val="15"/>
                <w:szCs w:val="15"/>
                <w:color w:val="231F20"/>
              </w:rPr>
              <w:t>0.5%</w:t>
            </w:r>
          </w:p>
        </w:tc>
      </w:tr>
      <w:tr>
        <w:trPr>
          <w:trHeight w:val="186"/>
        </w:trPr>
        <w:tc>
          <w:tcPr>
            <w:tcW w:w="1580" w:type="dxa"/>
            <w:vAlign w:val="bottom"/>
            <w:shd w:val="clear" w:color="auto" w:fill="D0EBF2"/>
          </w:tcPr>
          <w:p>
            <w:pPr>
              <w:spacing w:after="0"/>
              <w:rPr>
                <w:sz w:val="20"/>
                <w:szCs w:val="20"/>
                <w:color w:val="auto"/>
              </w:rPr>
            </w:pPr>
            <w:r>
              <w:rPr>
                <w:rFonts w:ascii="Times New Roman" w:cs="Times New Roman" w:eastAsia="Times New Roman" w:hAnsi="Times New Roman"/>
                <w:sz w:val="15"/>
                <w:szCs w:val="15"/>
                <w:color w:val="231F20"/>
              </w:rPr>
              <w:t>Unternehmensberatung</w:t>
            </w:r>
          </w:p>
        </w:tc>
        <w:tc>
          <w:tcPr>
            <w:tcW w:w="2200" w:type="dxa"/>
            <w:vAlign w:val="bottom"/>
            <w:shd w:val="clear" w:color="auto" w:fill="D0EBF2"/>
          </w:tcPr>
          <w:p>
            <w:pPr>
              <w:ind w:left="60"/>
              <w:spacing w:after="0"/>
              <w:rPr>
                <w:sz w:val="20"/>
                <w:szCs w:val="20"/>
                <w:color w:val="auto"/>
              </w:rPr>
            </w:pPr>
            <w:r>
              <w:rPr>
                <w:rFonts w:ascii="Times New Roman" w:cs="Times New Roman" w:eastAsia="Times New Roman" w:hAnsi="Times New Roman"/>
                <w:sz w:val="15"/>
                <w:szCs w:val="15"/>
                <w:color w:val="231F20"/>
              </w:rPr>
              <w:t>due 7/2029)</w:t>
            </w:r>
          </w:p>
        </w:tc>
        <w:tc>
          <w:tcPr>
            <w:tcW w:w="800" w:type="dxa"/>
            <w:vAlign w:val="bottom"/>
            <w:shd w:val="clear" w:color="auto" w:fill="D0EBF2"/>
          </w:tcPr>
          <w:p>
            <w:pPr>
              <w:spacing w:after="0"/>
              <w:rPr>
                <w:sz w:val="16"/>
                <w:szCs w:val="16"/>
                <w:color w:val="auto"/>
              </w:rPr>
            </w:pPr>
          </w:p>
        </w:tc>
        <w:tc>
          <w:tcPr>
            <w:tcW w:w="1000" w:type="dxa"/>
            <w:vAlign w:val="bottom"/>
            <w:shd w:val="clear" w:color="auto" w:fill="D0EBF2"/>
          </w:tcPr>
          <w:p>
            <w:pPr>
              <w:spacing w:after="0"/>
              <w:rPr>
                <w:sz w:val="16"/>
                <w:szCs w:val="16"/>
                <w:color w:val="auto"/>
              </w:rPr>
            </w:pPr>
          </w:p>
        </w:tc>
        <w:tc>
          <w:tcPr>
            <w:tcW w:w="1160" w:type="dxa"/>
            <w:vAlign w:val="bottom"/>
            <w:gridSpan w:val="2"/>
            <w:shd w:val="clear" w:color="auto" w:fill="D0EBF2"/>
          </w:tcPr>
          <w:p>
            <w:pPr>
              <w:jc w:val="right"/>
              <w:ind w:right="240"/>
              <w:spacing w:after="0"/>
              <w:rPr>
                <w:sz w:val="20"/>
                <w:szCs w:val="20"/>
                <w:color w:val="auto"/>
              </w:rPr>
            </w:pPr>
            <w:r>
              <w:rPr>
                <w:rFonts w:ascii="Times New Roman" w:cs="Times New Roman" w:eastAsia="Times New Roman" w:hAnsi="Times New Roman"/>
                <w:sz w:val="15"/>
                <w:szCs w:val="15"/>
                <w:color w:val="231F20"/>
              </w:rPr>
              <w:t>3.00% PIK)</w:t>
            </w:r>
          </w:p>
        </w:tc>
        <w:tc>
          <w:tcPr>
            <w:tcW w:w="900" w:type="dxa"/>
            <w:vAlign w:val="bottom"/>
            <w:shd w:val="clear" w:color="auto" w:fill="D0EBF2"/>
          </w:tcPr>
          <w:p>
            <w:pPr>
              <w:spacing w:after="0"/>
              <w:rPr>
                <w:sz w:val="16"/>
                <w:szCs w:val="16"/>
                <w:color w:val="auto"/>
              </w:rPr>
            </w:pPr>
          </w:p>
        </w:tc>
        <w:tc>
          <w:tcPr>
            <w:tcW w:w="80" w:type="dxa"/>
            <w:vAlign w:val="bottom"/>
            <w:shd w:val="clear" w:color="auto" w:fill="D0EBF2"/>
          </w:tcPr>
          <w:p>
            <w:pPr>
              <w:spacing w:after="0"/>
              <w:rPr>
                <w:sz w:val="16"/>
                <w:szCs w:val="16"/>
                <w:color w:val="auto"/>
              </w:rPr>
            </w:pPr>
          </w:p>
        </w:tc>
        <w:tc>
          <w:tcPr>
            <w:tcW w:w="100" w:type="dxa"/>
            <w:vAlign w:val="bottom"/>
            <w:shd w:val="clear" w:color="auto" w:fill="D0EBF2"/>
          </w:tcPr>
          <w:p>
            <w:pPr>
              <w:spacing w:after="0"/>
              <w:rPr>
                <w:sz w:val="16"/>
                <w:szCs w:val="16"/>
                <w:color w:val="auto"/>
              </w:rPr>
            </w:pPr>
          </w:p>
        </w:tc>
        <w:tc>
          <w:tcPr>
            <w:tcW w:w="1500" w:type="dxa"/>
            <w:vAlign w:val="bottom"/>
            <w:shd w:val="clear" w:color="auto" w:fill="D0EBF2"/>
          </w:tcPr>
          <w:p>
            <w:pPr>
              <w:jc w:val="right"/>
              <w:spacing w:after="0"/>
              <w:rPr>
                <w:sz w:val="20"/>
                <w:szCs w:val="20"/>
                <w:color w:val="auto"/>
              </w:rPr>
            </w:pPr>
            <w:r>
              <w:rPr>
                <w:rFonts w:ascii="Times New Roman" w:cs="Times New Roman" w:eastAsia="Times New Roman" w:hAnsi="Times New Roman"/>
                <w:sz w:val="15"/>
                <w:szCs w:val="15"/>
                <w:color w:val="231F20"/>
              </w:rPr>
              <w:t>(EUR 7,422)</w:t>
            </w:r>
          </w:p>
        </w:tc>
        <w:tc>
          <w:tcPr>
            <w:tcW w:w="100" w:type="dxa"/>
            <w:vAlign w:val="bottom"/>
            <w:shd w:val="clear" w:color="auto" w:fill="D0EBF2"/>
          </w:tcPr>
          <w:p>
            <w:pPr>
              <w:spacing w:after="0"/>
              <w:rPr>
                <w:sz w:val="16"/>
                <w:szCs w:val="16"/>
                <w:color w:val="auto"/>
              </w:rPr>
            </w:pPr>
          </w:p>
        </w:tc>
        <w:tc>
          <w:tcPr>
            <w:tcW w:w="860" w:type="dxa"/>
            <w:vAlign w:val="bottom"/>
            <w:shd w:val="clear" w:color="auto" w:fill="D0EBF2"/>
          </w:tcPr>
          <w:p>
            <w:pPr>
              <w:spacing w:after="0"/>
              <w:rPr>
                <w:sz w:val="16"/>
                <w:szCs w:val="16"/>
                <w:color w:val="auto"/>
              </w:rPr>
            </w:pPr>
          </w:p>
        </w:tc>
      </w:tr>
      <w:tr>
        <w:trPr>
          <w:trHeight w:val="157"/>
        </w:trPr>
        <w:tc>
          <w:tcPr>
            <w:tcW w:w="1580" w:type="dxa"/>
            <w:vAlign w:val="bottom"/>
            <w:tcBorders>
              <w:bottom w:val="single" w:sz="8" w:color="D0EBF2"/>
            </w:tcBorders>
            <w:shd w:val="clear" w:color="auto" w:fill="D0EBF2"/>
          </w:tcPr>
          <w:p>
            <w:pPr>
              <w:spacing w:after="0"/>
              <w:rPr>
                <w:sz w:val="20"/>
                <w:szCs w:val="20"/>
                <w:color w:val="auto"/>
              </w:rPr>
            </w:pPr>
            <w:r>
              <w:rPr>
                <w:rFonts w:ascii="Times New Roman" w:cs="Times New Roman" w:eastAsia="Times New Roman" w:hAnsi="Times New Roman"/>
                <w:sz w:val="9"/>
                <w:szCs w:val="9"/>
                <w:color w:val="231F20"/>
              </w:rPr>
              <w:t>(3)(4)</w:t>
            </w:r>
          </w:p>
        </w:tc>
        <w:tc>
          <w:tcPr>
            <w:tcW w:w="2200" w:type="dxa"/>
            <w:vAlign w:val="bottom"/>
            <w:tcBorders>
              <w:bottom w:val="single" w:sz="8" w:color="D0EBF2"/>
            </w:tcBorders>
            <w:shd w:val="clear" w:color="auto" w:fill="D0EBF2"/>
          </w:tcPr>
          <w:p>
            <w:pPr>
              <w:spacing w:after="0"/>
              <w:rPr>
                <w:sz w:val="13"/>
                <w:szCs w:val="13"/>
                <w:color w:val="auto"/>
              </w:rPr>
            </w:pPr>
          </w:p>
        </w:tc>
        <w:tc>
          <w:tcPr>
            <w:tcW w:w="800" w:type="dxa"/>
            <w:vAlign w:val="bottom"/>
            <w:tcBorders>
              <w:bottom w:val="single" w:sz="8" w:color="D0EBF2"/>
            </w:tcBorders>
            <w:shd w:val="clear" w:color="auto" w:fill="D0EBF2"/>
          </w:tcPr>
          <w:p>
            <w:pPr>
              <w:spacing w:after="0"/>
              <w:rPr>
                <w:sz w:val="13"/>
                <w:szCs w:val="13"/>
                <w:color w:val="auto"/>
              </w:rPr>
            </w:pPr>
          </w:p>
        </w:tc>
        <w:tc>
          <w:tcPr>
            <w:tcW w:w="1000" w:type="dxa"/>
            <w:vAlign w:val="bottom"/>
            <w:tcBorders>
              <w:bottom w:val="single" w:sz="8" w:color="D0EBF2"/>
            </w:tcBorders>
            <w:shd w:val="clear" w:color="auto" w:fill="D0EBF2"/>
          </w:tcPr>
          <w:p>
            <w:pPr>
              <w:spacing w:after="0"/>
              <w:rPr>
                <w:sz w:val="13"/>
                <w:szCs w:val="13"/>
                <w:color w:val="auto"/>
              </w:rPr>
            </w:pPr>
          </w:p>
        </w:tc>
        <w:tc>
          <w:tcPr>
            <w:tcW w:w="1060" w:type="dxa"/>
            <w:vAlign w:val="bottom"/>
            <w:tcBorders>
              <w:bottom w:val="single" w:sz="8" w:color="D0EBF2"/>
            </w:tcBorders>
            <w:shd w:val="clear" w:color="auto" w:fill="D0EBF2"/>
          </w:tcPr>
          <w:p>
            <w:pPr>
              <w:spacing w:after="0"/>
              <w:rPr>
                <w:sz w:val="13"/>
                <w:szCs w:val="13"/>
                <w:color w:val="auto"/>
              </w:rPr>
            </w:pPr>
          </w:p>
        </w:tc>
        <w:tc>
          <w:tcPr>
            <w:tcW w:w="100" w:type="dxa"/>
            <w:vAlign w:val="bottom"/>
            <w:tcBorders>
              <w:bottom w:val="single" w:sz="8" w:color="D0EBF2"/>
            </w:tcBorders>
            <w:shd w:val="clear" w:color="auto" w:fill="D0EBF2"/>
          </w:tcPr>
          <w:p>
            <w:pPr>
              <w:spacing w:after="0"/>
              <w:rPr>
                <w:sz w:val="13"/>
                <w:szCs w:val="13"/>
                <w:color w:val="auto"/>
              </w:rPr>
            </w:pPr>
          </w:p>
        </w:tc>
        <w:tc>
          <w:tcPr>
            <w:tcW w:w="900" w:type="dxa"/>
            <w:vAlign w:val="bottom"/>
            <w:tcBorders>
              <w:bottom w:val="single" w:sz="8" w:color="D0EBF2"/>
            </w:tcBorders>
            <w:shd w:val="clear" w:color="auto" w:fill="D0EBF2"/>
          </w:tcPr>
          <w:p>
            <w:pPr>
              <w:spacing w:after="0"/>
              <w:rPr>
                <w:sz w:val="13"/>
                <w:szCs w:val="13"/>
                <w:color w:val="auto"/>
              </w:rPr>
            </w:pPr>
          </w:p>
        </w:tc>
        <w:tc>
          <w:tcPr>
            <w:tcW w:w="80" w:type="dxa"/>
            <w:vAlign w:val="bottom"/>
            <w:tcBorders>
              <w:bottom w:val="single" w:sz="8" w:color="D0EBF2"/>
            </w:tcBorders>
            <w:shd w:val="clear" w:color="auto" w:fill="D0EBF2"/>
          </w:tcPr>
          <w:p>
            <w:pPr>
              <w:spacing w:after="0"/>
              <w:rPr>
                <w:sz w:val="13"/>
                <w:szCs w:val="13"/>
                <w:color w:val="auto"/>
              </w:rPr>
            </w:pPr>
          </w:p>
        </w:tc>
        <w:tc>
          <w:tcPr>
            <w:tcW w:w="100" w:type="dxa"/>
            <w:vAlign w:val="bottom"/>
            <w:tcBorders>
              <w:bottom w:val="single" w:sz="8" w:color="D0EBF2"/>
            </w:tcBorders>
            <w:shd w:val="clear" w:color="auto" w:fill="D0EBF2"/>
          </w:tcPr>
          <w:p>
            <w:pPr>
              <w:spacing w:after="0"/>
              <w:rPr>
                <w:sz w:val="13"/>
                <w:szCs w:val="13"/>
                <w:color w:val="auto"/>
              </w:rPr>
            </w:pPr>
          </w:p>
        </w:tc>
        <w:tc>
          <w:tcPr>
            <w:tcW w:w="1500" w:type="dxa"/>
            <w:vAlign w:val="bottom"/>
            <w:tcBorders>
              <w:bottom w:val="single" w:sz="8" w:color="D0EBF2"/>
            </w:tcBorders>
            <w:shd w:val="clear" w:color="auto" w:fill="D0EBF2"/>
          </w:tcPr>
          <w:p>
            <w:pPr>
              <w:spacing w:after="0"/>
              <w:rPr>
                <w:sz w:val="13"/>
                <w:szCs w:val="13"/>
                <w:color w:val="auto"/>
              </w:rPr>
            </w:pPr>
          </w:p>
        </w:tc>
        <w:tc>
          <w:tcPr>
            <w:tcW w:w="100" w:type="dxa"/>
            <w:vAlign w:val="bottom"/>
            <w:tcBorders>
              <w:bottom w:val="single" w:sz="8" w:color="D0EBF2"/>
            </w:tcBorders>
            <w:shd w:val="clear" w:color="auto" w:fill="D0EBF2"/>
          </w:tcPr>
          <w:p>
            <w:pPr>
              <w:spacing w:after="0"/>
              <w:rPr>
                <w:sz w:val="13"/>
                <w:szCs w:val="13"/>
                <w:color w:val="auto"/>
              </w:rPr>
            </w:pPr>
          </w:p>
        </w:tc>
        <w:tc>
          <w:tcPr>
            <w:tcW w:w="860" w:type="dxa"/>
            <w:vAlign w:val="bottom"/>
            <w:tcBorders>
              <w:bottom w:val="single" w:sz="8" w:color="D0EBF2"/>
            </w:tcBorders>
            <w:shd w:val="clear" w:color="auto" w:fill="D0EBF2"/>
          </w:tcPr>
          <w:p>
            <w:pPr>
              <w:spacing w:after="0"/>
              <w:rPr>
                <w:sz w:val="13"/>
                <w:szCs w:val="13"/>
                <w:color w:val="auto"/>
              </w:rPr>
            </w:pPr>
          </w:p>
        </w:tc>
      </w:tr>
      <w:tr>
        <w:trPr>
          <w:trHeight w:val="171"/>
        </w:trPr>
        <w:tc>
          <w:tcPr>
            <w:tcW w:w="1580" w:type="dxa"/>
            <w:vAlign w:val="bottom"/>
            <w:shd w:val="clear" w:color="auto" w:fill="FDFDFC"/>
          </w:tcPr>
          <w:p>
            <w:pPr>
              <w:spacing w:after="0" w:line="172" w:lineRule="exact"/>
              <w:rPr>
                <w:sz w:val="20"/>
                <w:szCs w:val="20"/>
                <w:color w:val="auto"/>
              </w:rPr>
            </w:pPr>
            <w:r>
              <w:rPr>
                <w:rFonts w:ascii="Times New Roman" w:cs="Times New Roman" w:eastAsia="Times New Roman" w:hAnsi="Times New Roman"/>
                <w:sz w:val="15"/>
                <w:szCs w:val="15"/>
                <w:color w:val="231F20"/>
              </w:rPr>
              <w:t>Tango Management</w:t>
            </w:r>
          </w:p>
        </w:tc>
        <w:tc>
          <w:tcPr>
            <w:tcW w:w="2200" w:type="dxa"/>
            <w:vAlign w:val="bottom"/>
            <w:shd w:val="clear" w:color="auto" w:fill="FDFDFC"/>
          </w:tcPr>
          <w:p>
            <w:pPr>
              <w:ind w:left="60"/>
              <w:spacing w:after="0" w:line="172" w:lineRule="exact"/>
              <w:rPr>
                <w:sz w:val="20"/>
                <w:szCs w:val="20"/>
                <w:color w:val="auto"/>
              </w:rPr>
            </w:pPr>
            <w:r>
              <w:rPr>
                <w:rFonts w:ascii="Times New Roman" w:cs="Times New Roman" w:eastAsia="Times New Roman" w:hAnsi="Times New Roman"/>
                <w:sz w:val="15"/>
                <w:szCs w:val="15"/>
                <w:color w:val="231F20"/>
              </w:rPr>
              <w:t>First-lien loan ($69,218 par, due</w:t>
            </w:r>
          </w:p>
        </w:tc>
        <w:tc>
          <w:tcPr>
            <w:tcW w:w="800" w:type="dxa"/>
            <w:vAlign w:val="bottom"/>
            <w:shd w:val="clear" w:color="auto" w:fill="FDFDFC"/>
          </w:tcPr>
          <w:p>
            <w:pPr>
              <w:jc w:val="right"/>
              <w:spacing w:after="0" w:line="172" w:lineRule="exact"/>
              <w:rPr>
                <w:sz w:val="20"/>
                <w:szCs w:val="20"/>
                <w:color w:val="auto"/>
              </w:rPr>
            </w:pPr>
            <w:r>
              <w:rPr>
                <w:rFonts w:ascii="Times New Roman" w:cs="Times New Roman" w:eastAsia="Times New Roman" w:hAnsi="Times New Roman"/>
                <w:sz w:val="15"/>
                <w:szCs w:val="15"/>
                <w:color w:val="231F20"/>
              </w:rPr>
              <w:t>12/1/2021</w:t>
            </w:r>
          </w:p>
        </w:tc>
        <w:tc>
          <w:tcPr>
            <w:tcW w:w="1000" w:type="dxa"/>
            <w:vAlign w:val="bottom"/>
            <w:shd w:val="clear" w:color="auto" w:fill="FDFDFC"/>
          </w:tcPr>
          <w:p>
            <w:pPr>
              <w:jc w:val="right"/>
              <w:ind w:right="44"/>
              <w:spacing w:after="0" w:line="172" w:lineRule="exact"/>
              <w:rPr>
                <w:sz w:val="20"/>
                <w:szCs w:val="20"/>
                <w:color w:val="auto"/>
              </w:rPr>
            </w:pPr>
            <w:r>
              <w:rPr>
                <w:rFonts w:ascii="Times New Roman" w:cs="Times New Roman" w:eastAsia="Times New Roman" w:hAnsi="Times New Roman"/>
                <w:sz w:val="15"/>
                <w:szCs w:val="15"/>
                <w:color w:val="231F20"/>
              </w:rPr>
              <w:t>SOFR +</w:t>
            </w:r>
          </w:p>
        </w:tc>
        <w:tc>
          <w:tcPr>
            <w:tcW w:w="1060" w:type="dxa"/>
            <w:vAlign w:val="bottom"/>
            <w:shd w:val="clear" w:color="auto" w:fill="FDFDFC"/>
          </w:tcPr>
          <w:p>
            <w:pPr>
              <w:jc w:val="right"/>
              <w:ind w:right="64"/>
              <w:spacing w:after="0" w:line="172" w:lineRule="exact"/>
              <w:rPr>
                <w:sz w:val="20"/>
                <w:szCs w:val="20"/>
                <w:color w:val="auto"/>
              </w:rPr>
            </w:pPr>
            <w:r>
              <w:rPr>
                <w:rFonts w:ascii="Times New Roman" w:cs="Times New Roman" w:eastAsia="Times New Roman" w:hAnsi="Times New Roman"/>
                <w:sz w:val="15"/>
                <w:szCs w:val="15"/>
                <w:color w:val="231F20"/>
              </w:rPr>
              <w:t>11.56%</w:t>
            </w:r>
          </w:p>
        </w:tc>
        <w:tc>
          <w:tcPr>
            <w:tcW w:w="100" w:type="dxa"/>
            <w:vAlign w:val="bottom"/>
            <w:shd w:val="clear" w:color="auto" w:fill="FDFDFC"/>
          </w:tcPr>
          <w:p>
            <w:pPr>
              <w:spacing w:after="0"/>
              <w:rPr>
                <w:sz w:val="14"/>
                <w:szCs w:val="14"/>
                <w:color w:val="auto"/>
              </w:rPr>
            </w:pPr>
          </w:p>
        </w:tc>
        <w:tc>
          <w:tcPr>
            <w:tcW w:w="900" w:type="dxa"/>
            <w:vAlign w:val="bottom"/>
            <w:shd w:val="clear" w:color="auto" w:fill="FDFDFC"/>
          </w:tcPr>
          <w:p>
            <w:pPr>
              <w:jc w:val="right"/>
              <w:spacing w:after="0" w:line="172" w:lineRule="exact"/>
              <w:rPr>
                <w:sz w:val="20"/>
                <w:szCs w:val="20"/>
                <w:color w:val="auto"/>
              </w:rPr>
            </w:pPr>
            <w:r>
              <w:rPr>
                <w:rFonts w:ascii="Times New Roman" w:cs="Times New Roman" w:eastAsia="Times New Roman" w:hAnsi="Times New Roman"/>
                <w:sz w:val="15"/>
                <w:szCs w:val="15"/>
                <w:color w:val="231F20"/>
              </w:rPr>
              <w:t>68,671</w:t>
            </w:r>
          </w:p>
        </w:tc>
        <w:tc>
          <w:tcPr>
            <w:tcW w:w="1680" w:type="dxa"/>
            <w:vAlign w:val="bottom"/>
            <w:gridSpan w:val="3"/>
            <w:shd w:val="clear" w:color="auto" w:fill="FDFDFC"/>
          </w:tcPr>
          <w:p>
            <w:pPr>
              <w:jc w:val="right"/>
              <w:spacing w:after="0" w:line="172" w:lineRule="exact"/>
              <w:rPr>
                <w:sz w:val="20"/>
                <w:szCs w:val="20"/>
                <w:color w:val="auto"/>
              </w:rPr>
            </w:pPr>
            <w:r>
              <w:rPr>
                <w:rFonts w:ascii="Times New Roman" w:cs="Times New Roman" w:eastAsia="Times New Roman" w:hAnsi="Times New Roman"/>
                <w:sz w:val="15"/>
                <w:szCs w:val="15"/>
                <w:color w:val="231F20"/>
              </w:rPr>
              <w:t>69,045</w:t>
            </w:r>
          </w:p>
        </w:tc>
        <w:tc>
          <w:tcPr>
            <w:tcW w:w="960" w:type="dxa"/>
            <w:vAlign w:val="bottom"/>
            <w:gridSpan w:val="2"/>
            <w:shd w:val="clear" w:color="auto" w:fill="FDFDFC"/>
          </w:tcPr>
          <w:p>
            <w:pPr>
              <w:jc w:val="right"/>
              <w:spacing w:after="0" w:line="172" w:lineRule="exact"/>
              <w:rPr>
                <w:sz w:val="20"/>
                <w:szCs w:val="20"/>
                <w:color w:val="auto"/>
              </w:rPr>
            </w:pPr>
            <w:r>
              <w:rPr>
                <w:rFonts w:ascii="Times New Roman" w:cs="Times New Roman" w:eastAsia="Times New Roman" w:hAnsi="Times New Roman"/>
                <w:sz w:val="15"/>
                <w:szCs w:val="15"/>
                <w:color w:val="231F20"/>
              </w:rPr>
              <w:t>4.3%</w:t>
            </w:r>
          </w:p>
        </w:tc>
      </w:tr>
      <w:tr>
        <w:trPr>
          <w:trHeight w:val="189"/>
        </w:trPr>
        <w:tc>
          <w:tcPr>
            <w:tcW w:w="1580" w:type="dxa"/>
            <w:vAlign w:val="bottom"/>
            <w:shd w:val="clear" w:color="auto" w:fill="FDFDFC"/>
          </w:tcPr>
          <w:p>
            <w:pPr>
              <w:spacing w:after="0"/>
              <w:rPr>
                <w:sz w:val="20"/>
                <w:szCs w:val="20"/>
                <w:color w:val="auto"/>
              </w:rPr>
            </w:pPr>
            <w:r>
              <w:rPr>
                <w:rFonts w:ascii="Times New Roman" w:cs="Times New Roman" w:eastAsia="Times New Roman" w:hAnsi="Times New Roman"/>
                <w:sz w:val="15"/>
                <w:szCs w:val="15"/>
                <w:color w:val="231F20"/>
              </w:rPr>
              <w:t xml:space="preserve">Consulting, LLC </w:t>
            </w:r>
            <w:r>
              <w:rPr>
                <w:rFonts w:ascii="Times New Roman" w:cs="Times New Roman" w:eastAsia="Times New Roman" w:hAnsi="Times New Roman"/>
                <w:sz w:val="9"/>
                <w:szCs w:val="9"/>
                <w:color w:val="231F20"/>
              </w:rPr>
              <w:t>(3)(5)</w:t>
            </w:r>
          </w:p>
        </w:tc>
        <w:tc>
          <w:tcPr>
            <w:tcW w:w="2200" w:type="dxa"/>
            <w:vAlign w:val="bottom"/>
            <w:shd w:val="clear" w:color="auto" w:fill="FDFDFC"/>
          </w:tcPr>
          <w:p>
            <w:pPr>
              <w:ind w:left="60"/>
              <w:spacing w:after="0"/>
              <w:rPr>
                <w:sz w:val="20"/>
                <w:szCs w:val="20"/>
                <w:color w:val="auto"/>
              </w:rPr>
            </w:pPr>
            <w:r>
              <w:rPr>
                <w:rFonts w:ascii="Times New Roman" w:cs="Times New Roman" w:eastAsia="Times New Roman" w:hAnsi="Times New Roman"/>
                <w:sz w:val="15"/>
                <w:szCs w:val="15"/>
                <w:color w:val="231F20"/>
              </w:rPr>
              <w:t>12/2027)</w:t>
            </w:r>
          </w:p>
        </w:tc>
        <w:tc>
          <w:tcPr>
            <w:tcW w:w="800" w:type="dxa"/>
            <w:vAlign w:val="bottom"/>
            <w:shd w:val="clear" w:color="auto" w:fill="FDFDFC"/>
          </w:tcPr>
          <w:p>
            <w:pPr>
              <w:spacing w:after="0"/>
              <w:rPr>
                <w:sz w:val="16"/>
                <w:szCs w:val="16"/>
                <w:color w:val="auto"/>
              </w:rPr>
            </w:pPr>
          </w:p>
        </w:tc>
        <w:tc>
          <w:tcPr>
            <w:tcW w:w="1000" w:type="dxa"/>
            <w:vAlign w:val="bottom"/>
            <w:shd w:val="clear" w:color="auto" w:fill="FDFDFC"/>
          </w:tcPr>
          <w:p>
            <w:pPr>
              <w:jc w:val="right"/>
              <w:ind w:right="44"/>
              <w:spacing w:after="0"/>
              <w:rPr>
                <w:sz w:val="20"/>
                <w:szCs w:val="20"/>
                <w:color w:val="auto"/>
              </w:rPr>
            </w:pPr>
            <w:r>
              <w:rPr>
                <w:rFonts w:ascii="Times New Roman" w:cs="Times New Roman" w:eastAsia="Times New Roman" w:hAnsi="Times New Roman"/>
                <w:sz w:val="15"/>
                <w:szCs w:val="15"/>
                <w:color w:val="231F20"/>
              </w:rPr>
              <w:t>6.90%</w:t>
            </w:r>
          </w:p>
        </w:tc>
        <w:tc>
          <w:tcPr>
            <w:tcW w:w="1060" w:type="dxa"/>
            <w:vAlign w:val="bottom"/>
            <w:shd w:val="clear" w:color="auto" w:fill="FDFDFC"/>
          </w:tcPr>
          <w:p>
            <w:pPr>
              <w:spacing w:after="0"/>
              <w:rPr>
                <w:sz w:val="16"/>
                <w:szCs w:val="16"/>
                <w:color w:val="auto"/>
              </w:rPr>
            </w:pPr>
          </w:p>
        </w:tc>
        <w:tc>
          <w:tcPr>
            <w:tcW w:w="100" w:type="dxa"/>
            <w:vAlign w:val="bottom"/>
            <w:shd w:val="clear" w:color="auto" w:fill="FDFDFC"/>
          </w:tcPr>
          <w:p>
            <w:pPr>
              <w:spacing w:after="0"/>
              <w:rPr>
                <w:sz w:val="16"/>
                <w:szCs w:val="16"/>
                <w:color w:val="auto"/>
              </w:rPr>
            </w:pPr>
          </w:p>
        </w:tc>
        <w:tc>
          <w:tcPr>
            <w:tcW w:w="900" w:type="dxa"/>
            <w:vAlign w:val="bottom"/>
            <w:shd w:val="clear" w:color="auto" w:fill="FDFDFC"/>
          </w:tcPr>
          <w:p>
            <w:pPr>
              <w:spacing w:after="0"/>
              <w:rPr>
                <w:sz w:val="16"/>
                <w:szCs w:val="16"/>
                <w:color w:val="auto"/>
              </w:rPr>
            </w:pPr>
          </w:p>
        </w:tc>
        <w:tc>
          <w:tcPr>
            <w:tcW w:w="80" w:type="dxa"/>
            <w:vAlign w:val="bottom"/>
            <w:shd w:val="clear" w:color="auto" w:fill="FDFDFC"/>
          </w:tcPr>
          <w:p>
            <w:pPr>
              <w:spacing w:after="0"/>
              <w:rPr>
                <w:sz w:val="16"/>
                <w:szCs w:val="16"/>
                <w:color w:val="auto"/>
              </w:rPr>
            </w:pPr>
          </w:p>
        </w:tc>
        <w:tc>
          <w:tcPr>
            <w:tcW w:w="100" w:type="dxa"/>
            <w:vAlign w:val="bottom"/>
            <w:shd w:val="clear" w:color="auto" w:fill="FDFDFC"/>
          </w:tcPr>
          <w:p>
            <w:pPr>
              <w:spacing w:after="0"/>
              <w:rPr>
                <w:sz w:val="16"/>
                <w:szCs w:val="16"/>
                <w:color w:val="auto"/>
              </w:rPr>
            </w:pPr>
          </w:p>
        </w:tc>
        <w:tc>
          <w:tcPr>
            <w:tcW w:w="1500" w:type="dxa"/>
            <w:vAlign w:val="bottom"/>
            <w:shd w:val="clear" w:color="auto" w:fill="FDFDFC"/>
          </w:tcPr>
          <w:p>
            <w:pPr>
              <w:spacing w:after="0"/>
              <w:rPr>
                <w:sz w:val="16"/>
                <w:szCs w:val="16"/>
                <w:color w:val="auto"/>
              </w:rPr>
            </w:pPr>
          </w:p>
        </w:tc>
        <w:tc>
          <w:tcPr>
            <w:tcW w:w="100" w:type="dxa"/>
            <w:vAlign w:val="bottom"/>
            <w:shd w:val="clear" w:color="auto" w:fill="FDFDFC"/>
          </w:tcPr>
          <w:p>
            <w:pPr>
              <w:spacing w:after="0"/>
              <w:rPr>
                <w:sz w:val="16"/>
                <w:szCs w:val="16"/>
                <w:color w:val="auto"/>
              </w:rPr>
            </w:pPr>
          </w:p>
        </w:tc>
        <w:tc>
          <w:tcPr>
            <w:tcW w:w="860" w:type="dxa"/>
            <w:vAlign w:val="bottom"/>
            <w:shd w:val="clear" w:color="auto" w:fill="FDFDFC"/>
          </w:tcPr>
          <w:p>
            <w:pPr>
              <w:spacing w:after="0"/>
              <w:rPr>
                <w:sz w:val="16"/>
                <w:szCs w:val="16"/>
                <w:color w:val="auto"/>
              </w:rPr>
            </w:pPr>
          </w:p>
        </w:tc>
      </w:tr>
      <w:tr>
        <w:trPr>
          <w:trHeight w:val="171"/>
        </w:trPr>
        <w:tc>
          <w:tcPr>
            <w:tcW w:w="1580" w:type="dxa"/>
            <w:vAlign w:val="bottom"/>
            <w:shd w:val="clear" w:color="auto" w:fill="D0EBF2"/>
          </w:tcPr>
          <w:p>
            <w:pPr>
              <w:spacing w:after="0"/>
              <w:rPr>
                <w:sz w:val="14"/>
                <w:szCs w:val="14"/>
                <w:color w:val="auto"/>
              </w:rPr>
            </w:pPr>
          </w:p>
        </w:tc>
        <w:tc>
          <w:tcPr>
            <w:tcW w:w="2200" w:type="dxa"/>
            <w:vAlign w:val="bottom"/>
            <w:shd w:val="clear" w:color="auto" w:fill="D0EBF2"/>
          </w:tcPr>
          <w:p>
            <w:pPr>
              <w:ind w:left="60"/>
              <w:spacing w:after="0" w:line="172" w:lineRule="exact"/>
              <w:rPr>
                <w:sz w:val="20"/>
                <w:szCs w:val="20"/>
                <w:color w:val="auto"/>
              </w:rPr>
            </w:pPr>
            <w:r>
              <w:rPr>
                <w:rFonts w:ascii="Times New Roman" w:cs="Times New Roman" w:eastAsia="Times New Roman" w:hAnsi="Times New Roman"/>
                <w:sz w:val="15"/>
                <w:szCs w:val="15"/>
                <w:color w:val="231F20"/>
              </w:rPr>
              <w:t>First-lien revolving loan</w:t>
            </w:r>
          </w:p>
        </w:tc>
        <w:tc>
          <w:tcPr>
            <w:tcW w:w="800" w:type="dxa"/>
            <w:vAlign w:val="bottom"/>
            <w:shd w:val="clear" w:color="auto" w:fill="D0EBF2"/>
          </w:tcPr>
          <w:p>
            <w:pPr>
              <w:jc w:val="right"/>
              <w:spacing w:after="0" w:line="172" w:lineRule="exact"/>
              <w:rPr>
                <w:sz w:val="20"/>
                <w:szCs w:val="20"/>
                <w:color w:val="auto"/>
              </w:rPr>
            </w:pPr>
            <w:r>
              <w:rPr>
                <w:rFonts w:ascii="Times New Roman" w:cs="Times New Roman" w:eastAsia="Times New Roman" w:hAnsi="Times New Roman"/>
                <w:sz w:val="15"/>
                <w:szCs w:val="15"/>
                <w:color w:val="231F20"/>
              </w:rPr>
              <w:t>12/1/2021</w:t>
            </w:r>
          </w:p>
        </w:tc>
        <w:tc>
          <w:tcPr>
            <w:tcW w:w="1000" w:type="dxa"/>
            <w:vAlign w:val="bottom"/>
            <w:shd w:val="clear" w:color="auto" w:fill="D0EBF2"/>
          </w:tcPr>
          <w:p>
            <w:pPr>
              <w:jc w:val="right"/>
              <w:ind w:right="44"/>
              <w:spacing w:after="0" w:line="172" w:lineRule="exact"/>
              <w:rPr>
                <w:sz w:val="20"/>
                <w:szCs w:val="20"/>
                <w:color w:val="auto"/>
              </w:rPr>
            </w:pPr>
            <w:r>
              <w:rPr>
                <w:rFonts w:ascii="Times New Roman" w:cs="Times New Roman" w:eastAsia="Times New Roman" w:hAnsi="Times New Roman"/>
                <w:sz w:val="15"/>
                <w:szCs w:val="15"/>
                <w:color w:val="231F20"/>
              </w:rPr>
              <w:t>P + 6.75%</w:t>
            </w:r>
          </w:p>
        </w:tc>
        <w:tc>
          <w:tcPr>
            <w:tcW w:w="1060" w:type="dxa"/>
            <w:vAlign w:val="bottom"/>
            <w:shd w:val="clear" w:color="auto" w:fill="D0EBF2"/>
          </w:tcPr>
          <w:p>
            <w:pPr>
              <w:jc w:val="right"/>
              <w:ind w:right="64"/>
              <w:spacing w:after="0" w:line="172" w:lineRule="exact"/>
              <w:rPr>
                <w:sz w:val="20"/>
                <w:szCs w:val="20"/>
                <w:color w:val="auto"/>
              </w:rPr>
            </w:pPr>
            <w:r>
              <w:rPr>
                <w:rFonts w:ascii="Times New Roman" w:cs="Times New Roman" w:eastAsia="Times New Roman" w:hAnsi="Times New Roman"/>
                <w:sz w:val="15"/>
                <w:szCs w:val="15"/>
                <w:color w:val="231F20"/>
              </w:rPr>
              <w:t>14.25%</w:t>
            </w:r>
          </w:p>
        </w:tc>
        <w:tc>
          <w:tcPr>
            <w:tcW w:w="100" w:type="dxa"/>
            <w:vAlign w:val="bottom"/>
            <w:shd w:val="clear" w:color="auto" w:fill="D0EBF2"/>
          </w:tcPr>
          <w:p>
            <w:pPr>
              <w:spacing w:after="0"/>
              <w:rPr>
                <w:sz w:val="14"/>
                <w:szCs w:val="14"/>
                <w:color w:val="auto"/>
              </w:rPr>
            </w:pPr>
          </w:p>
        </w:tc>
        <w:tc>
          <w:tcPr>
            <w:tcW w:w="900" w:type="dxa"/>
            <w:vAlign w:val="bottom"/>
            <w:shd w:val="clear" w:color="auto" w:fill="D0EBF2"/>
          </w:tcPr>
          <w:p>
            <w:pPr>
              <w:jc w:val="right"/>
              <w:spacing w:after="0" w:line="172" w:lineRule="exact"/>
              <w:rPr>
                <w:sz w:val="20"/>
                <w:szCs w:val="20"/>
                <w:color w:val="auto"/>
              </w:rPr>
            </w:pPr>
            <w:r>
              <w:rPr>
                <w:rFonts w:ascii="Times New Roman" w:cs="Times New Roman" w:eastAsia="Times New Roman" w:hAnsi="Times New Roman"/>
                <w:sz w:val="15"/>
                <w:szCs w:val="15"/>
                <w:color w:val="231F20"/>
              </w:rPr>
              <w:t>2,408</w:t>
            </w:r>
          </w:p>
        </w:tc>
        <w:tc>
          <w:tcPr>
            <w:tcW w:w="1680" w:type="dxa"/>
            <w:vAlign w:val="bottom"/>
            <w:gridSpan w:val="3"/>
            <w:shd w:val="clear" w:color="auto" w:fill="D0EBF2"/>
          </w:tcPr>
          <w:p>
            <w:pPr>
              <w:jc w:val="right"/>
              <w:spacing w:after="0" w:line="172" w:lineRule="exact"/>
              <w:rPr>
                <w:sz w:val="20"/>
                <w:szCs w:val="20"/>
                <w:color w:val="auto"/>
              </w:rPr>
            </w:pPr>
            <w:r>
              <w:rPr>
                <w:rFonts w:ascii="Times New Roman" w:cs="Times New Roman" w:eastAsia="Times New Roman" w:hAnsi="Times New Roman"/>
                <w:sz w:val="15"/>
                <w:szCs w:val="15"/>
                <w:color w:val="231F20"/>
              </w:rPr>
              <w:t>2,444</w:t>
            </w:r>
          </w:p>
        </w:tc>
        <w:tc>
          <w:tcPr>
            <w:tcW w:w="960" w:type="dxa"/>
            <w:vAlign w:val="bottom"/>
            <w:gridSpan w:val="2"/>
            <w:shd w:val="clear" w:color="auto" w:fill="D0EBF2"/>
          </w:tcPr>
          <w:p>
            <w:pPr>
              <w:jc w:val="right"/>
              <w:spacing w:after="0" w:line="172" w:lineRule="exact"/>
              <w:rPr>
                <w:sz w:val="20"/>
                <w:szCs w:val="20"/>
                <w:color w:val="auto"/>
              </w:rPr>
            </w:pPr>
            <w:r>
              <w:rPr>
                <w:rFonts w:ascii="Times New Roman" w:cs="Times New Roman" w:eastAsia="Times New Roman" w:hAnsi="Times New Roman"/>
                <w:sz w:val="15"/>
                <w:szCs w:val="15"/>
                <w:color w:val="231F20"/>
              </w:rPr>
              <w:t>0.2%</w:t>
            </w:r>
          </w:p>
        </w:tc>
      </w:tr>
      <w:tr>
        <w:trPr>
          <w:trHeight w:val="189"/>
        </w:trPr>
        <w:tc>
          <w:tcPr>
            <w:tcW w:w="1580" w:type="dxa"/>
            <w:vAlign w:val="bottom"/>
            <w:tcBorders>
              <w:bottom w:val="single" w:sz="8" w:color="FDFDFC"/>
            </w:tcBorders>
            <w:shd w:val="clear" w:color="auto" w:fill="D0EBF2"/>
          </w:tcPr>
          <w:p>
            <w:pPr>
              <w:spacing w:after="0"/>
              <w:rPr>
                <w:sz w:val="16"/>
                <w:szCs w:val="16"/>
                <w:color w:val="auto"/>
              </w:rPr>
            </w:pPr>
          </w:p>
        </w:tc>
        <w:tc>
          <w:tcPr>
            <w:tcW w:w="2200" w:type="dxa"/>
            <w:vAlign w:val="bottom"/>
            <w:tcBorders>
              <w:bottom w:val="single" w:sz="8" w:color="FDFDFC"/>
            </w:tcBorders>
            <w:shd w:val="clear" w:color="auto" w:fill="D0EBF2"/>
          </w:tcPr>
          <w:p>
            <w:pPr>
              <w:ind w:left="60"/>
              <w:spacing w:after="0"/>
              <w:rPr>
                <w:sz w:val="20"/>
                <w:szCs w:val="20"/>
                <w:color w:val="auto"/>
              </w:rPr>
            </w:pPr>
            <w:r>
              <w:rPr>
                <w:rFonts w:ascii="Times New Roman" w:cs="Times New Roman" w:eastAsia="Times New Roman" w:hAnsi="Times New Roman"/>
                <w:sz w:val="15"/>
                <w:szCs w:val="15"/>
                <w:color w:val="231F20"/>
              </w:rPr>
              <w:t>($2,454 par, due 12/2027)</w:t>
            </w:r>
          </w:p>
        </w:tc>
        <w:tc>
          <w:tcPr>
            <w:tcW w:w="800" w:type="dxa"/>
            <w:vAlign w:val="bottom"/>
            <w:tcBorders>
              <w:bottom w:val="single" w:sz="8" w:color="FDFDFC"/>
            </w:tcBorders>
            <w:shd w:val="clear" w:color="auto" w:fill="D0EBF2"/>
          </w:tcPr>
          <w:p>
            <w:pPr>
              <w:spacing w:after="0"/>
              <w:rPr>
                <w:sz w:val="16"/>
                <w:szCs w:val="16"/>
                <w:color w:val="auto"/>
              </w:rPr>
            </w:pPr>
          </w:p>
        </w:tc>
        <w:tc>
          <w:tcPr>
            <w:tcW w:w="1000" w:type="dxa"/>
            <w:vAlign w:val="bottom"/>
            <w:tcBorders>
              <w:bottom w:val="single" w:sz="8" w:color="FDFDFC"/>
            </w:tcBorders>
            <w:shd w:val="clear" w:color="auto" w:fill="D0EBF2"/>
          </w:tcPr>
          <w:p>
            <w:pPr>
              <w:spacing w:after="0"/>
              <w:rPr>
                <w:sz w:val="16"/>
                <w:szCs w:val="16"/>
                <w:color w:val="auto"/>
              </w:rPr>
            </w:pPr>
          </w:p>
        </w:tc>
        <w:tc>
          <w:tcPr>
            <w:tcW w:w="1060" w:type="dxa"/>
            <w:vAlign w:val="bottom"/>
            <w:tcBorders>
              <w:bottom w:val="single" w:sz="8" w:color="FDFDFC"/>
            </w:tcBorders>
            <w:shd w:val="clear" w:color="auto" w:fill="D0EBF2"/>
          </w:tcPr>
          <w:p>
            <w:pPr>
              <w:spacing w:after="0"/>
              <w:rPr>
                <w:sz w:val="16"/>
                <w:szCs w:val="16"/>
                <w:color w:val="auto"/>
              </w:rPr>
            </w:pPr>
          </w:p>
        </w:tc>
        <w:tc>
          <w:tcPr>
            <w:tcW w:w="100" w:type="dxa"/>
            <w:vAlign w:val="bottom"/>
            <w:tcBorders>
              <w:bottom w:val="single" w:sz="8" w:color="FDFDFC"/>
            </w:tcBorders>
            <w:shd w:val="clear" w:color="auto" w:fill="D0EBF2"/>
          </w:tcPr>
          <w:p>
            <w:pPr>
              <w:spacing w:after="0"/>
              <w:rPr>
                <w:sz w:val="16"/>
                <w:szCs w:val="16"/>
                <w:color w:val="auto"/>
              </w:rPr>
            </w:pPr>
          </w:p>
        </w:tc>
        <w:tc>
          <w:tcPr>
            <w:tcW w:w="900" w:type="dxa"/>
            <w:vAlign w:val="bottom"/>
            <w:tcBorders>
              <w:bottom w:val="single" w:sz="8" w:color="231F20"/>
            </w:tcBorders>
            <w:shd w:val="clear" w:color="auto" w:fill="D0EBF2"/>
          </w:tcPr>
          <w:p>
            <w:pPr>
              <w:spacing w:after="0"/>
              <w:rPr>
                <w:sz w:val="16"/>
                <w:szCs w:val="16"/>
                <w:color w:val="auto"/>
              </w:rPr>
            </w:pPr>
          </w:p>
        </w:tc>
        <w:tc>
          <w:tcPr>
            <w:tcW w:w="80" w:type="dxa"/>
            <w:vAlign w:val="bottom"/>
            <w:tcBorders>
              <w:bottom w:val="single" w:sz="8" w:color="FDFDFC"/>
            </w:tcBorders>
            <w:shd w:val="clear" w:color="auto" w:fill="D0EBF2"/>
          </w:tcPr>
          <w:p>
            <w:pPr>
              <w:spacing w:after="0"/>
              <w:rPr>
                <w:sz w:val="16"/>
                <w:szCs w:val="16"/>
                <w:color w:val="auto"/>
              </w:rPr>
            </w:pPr>
          </w:p>
        </w:tc>
        <w:tc>
          <w:tcPr>
            <w:tcW w:w="100" w:type="dxa"/>
            <w:vAlign w:val="bottom"/>
            <w:tcBorders>
              <w:bottom w:val="single" w:sz="8" w:color="FDFDFC"/>
            </w:tcBorders>
            <w:shd w:val="clear" w:color="auto" w:fill="D0EBF2"/>
          </w:tcPr>
          <w:p>
            <w:pPr>
              <w:spacing w:after="0"/>
              <w:rPr>
                <w:sz w:val="16"/>
                <w:szCs w:val="16"/>
                <w:color w:val="auto"/>
              </w:rPr>
            </w:pPr>
          </w:p>
        </w:tc>
        <w:tc>
          <w:tcPr>
            <w:tcW w:w="1500" w:type="dxa"/>
            <w:vAlign w:val="bottom"/>
            <w:tcBorders>
              <w:bottom w:val="single" w:sz="8" w:color="231F20"/>
            </w:tcBorders>
            <w:shd w:val="clear" w:color="auto" w:fill="D0EBF2"/>
          </w:tcPr>
          <w:p>
            <w:pPr>
              <w:spacing w:after="0"/>
              <w:rPr>
                <w:sz w:val="16"/>
                <w:szCs w:val="16"/>
                <w:color w:val="auto"/>
              </w:rPr>
            </w:pPr>
          </w:p>
        </w:tc>
        <w:tc>
          <w:tcPr>
            <w:tcW w:w="100" w:type="dxa"/>
            <w:vAlign w:val="bottom"/>
            <w:tcBorders>
              <w:bottom w:val="single" w:sz="8" w:color="FDFDFC"/>
            </w:tcBorders>
            <w:shd w:val="clear" w:color="auto" w:fill="D0EBF2"/>
          </w:tcPr>
          <w:p>
            <w:pPr>
              <w:spacing w:after="0"/>
              <w:rPr>
                <w:sz w:val="16"/>
                <w:szCs w:val="16"/>
                <w:color w:val="auto"/>
              </w:rPr>
            </w:pPr>
          </w:p>
        </w:tc>
        <w:tc>
          <w:tcPr>
            <w:tcW w:w="860" w:type="dxa"/>
            <w:vAlign w:val="bottom"/>
            <w:tcBorders>
              <w:bottom w:val="single" w:sz="8" w:color="231F20"/>
            </w:tcBorders>
            <w:shd w:val="clear" w:color="auto" w:fill="D0EBF2"/>
          </w:tcPr>
          <w:p>
            <w:pPr>
              <w:spacing w:after="0"/>
              <w:rPr>
                <w:sz w:val="16"/>
                <w:szCs w:val="16"/>
                <w:color w:val="auto"/>
              </w:rPr>
            </w:pPr>
          </w:p>
        </w:tc>
      </w:tr>
      <w:tr>
        <w:trPr>
          <w:trHeight w:val="176"/>
        </w:trPr>
        <w:tc>
          <w:tcPr>
            <w:tcW w:w="1580" w:type="dxa"/>
            <w:vAlign w:val="bottom"/>
            <w:tcBorders>
              <w:bottom w:val="single" w:sz="8" w:color="D0EBF2"/>
            </w:tcBorders>
            <w:shd w:val="clear" w:color="auto" w:fill="FDFDFC"/>
          </w:tcPr>
          <w:p>
            <w:pPr>
              <w:spacing w:after="0"/>
              <w:rPr>
                <w:sz w:val="15"/>
                <w:szCs w:val="15"/>
                <w:color w:val="auto"/>
              </w:rPr>
            </w:pPr>
          </w:p>
        </w:tc>
        <w:tc>
          <w:tcPr>
            <w:tcW w:w="2200" w:type="dxa"/>
            <w:vAlign w:val="bottom"/>
            <w:tcBorders>
              <w:bottom w:val="single" w:sz="8" w:color="D0EBF2"/>
            </w:tcBorders>
            <w:shd w:val="clear" w:color="auto" w:fill="FDFDFC"/>
          </w:tcPr>
          <w:p>
            <w:pPr>
              <w:spacing w:after="0"/>
              <w:rPr>
                <w:sz w:val="15"/>
                <w:szCs w:val="15"/>
                <w:color w:val="auto"/>
              </w:rPr>
            </w:pPr>
          </w:p>
        </w:tc>
        <w:tc>
          <w:tcPr>
            <w:tcW w:w="800" w:type="dxa"/>
            <w:vAlign w:val="bottom"/>
            <w:tcBorders>
              <w:bottom w:val="single" w:sz="8" w:color="D0EBF2"/>
            </w:tcBorders>
            <w:shd w:val="clear" w:color="auto" w:fill="FDFDFC"/>
          </w:tcPr>
          <w:p>
            <w:pPr>
              <w:spacing w:after="0"/>
              <w:rPr>
                <w:sz w:val="15"/>
                <w:szCs w:val="15"/>
                <w:color w:val="auto"/>
              </w:rPr>
            </w:pPr>
          </w:p>
        </w:tc>
        <w:tc>
          <w:tcPr>
            <w:tcW w:w="1000" w:type="dxa"/>
            <w:vAlign w:val="bottom"/>
            <w:tcBorders>
              <w:bottom w:val="single" w:sz="8" w:color="D0EBF2"/>
            </w:tcBorders>
            <w:shd w:val="clear" w:color="auto" w:fill="FDFDFC"/>
          </w:tcPr>
          <w:p>
            <w:pPr>
              <w:spacing w:after="0"/>
              <w:rPr>
                <w:sz w:val="15"/>
                <w:szCs w:val="15"/>
                <w:color w:val="auto"/>
              </w:rPr>
            </w:pPr>
          </w:p>
        </w:tc>
        <w:tc>
          <w:tcPr>
            <w:tcW w:w="1060" w:type="dxa"/>
            <w:vAlign w:val="bottom"/>
            <w:tcBorders>
              <w:bottom w:val="single" w:sz="8" w:color="D0EBF2"/>
            </w:tcBorders>
            <w:shd w:val="clear" w:color="auto" w:fill="FDFDFC"/>
          </w:tcPr>
          <w:p>
            <w:pPr>
              <w:spacing w:after="0"/>
              <w:rPr>
                <w:sz w:val="15"/>
                <w:szCs w:val="15"/>
                <w:color w:val="auto"/>
              </w:rPr>
            </w:pPr>
          </w:p>
        </w:tc>
        <w:tc>
          <w:tcPr>
            <w:tcW w:w="100" w:type="dxa"/>
            <w:vAlign w:val="bottom"/>
            <w:tcBorders>
              <w:bottom w:val="single" w:sz="8" w:color="D0EBF2"/>
            </w:tcBorders>
            <w:shd w:val="clear" w:color="auto" w:fill="FDFDFC"/>
          </w:tcPr>
          <w:p>
            <w:pPr>
              <w:spacing w:after="0"/>
              <w:rPr>
                <w:sz w:val="15"/>
                <w:szCs w:val="15"/>
                <w:color w:val="auto"/>
              </w:rPr>
            </w:pPr>
          </w:p>
        </w:tc>
        <w:tc>
          <w:tcPr>
            <w:tcW w:w="900" w:type="dxa"/>
            <w:vAlign w:val="bottom"/>
            <w:tcBorders>
              <w:bottom w:val="single" w:sz="8" w:color="231F20"/>
            </w:tcBorders>
            <w:shd w:val="clear" w:color="auto" w:fill="FDFDFC"/>
          </w:tcPr>
          <w:p>
            <w:pPr>
              <w:jc w:val="right"/>
              <w:spacing w:after="0"/>
              <w:rPr>
                <w:sz w:val="20"/>
                <w:szCs w:val="20"/>
                <w:color w:val="auto"/>
              </w:rPr>
            </w:pPr>
            <w:r>
              <w:rPr>
                <w:rFonts w:ascii="Times New Roman" w:cs="Times New Roman" w:eastAsia="Times New Roman" w:hAnsi="Times New Roman"/>
                <w:sz w:val="15"/>
                <w:szCs w:val="15"/>
                <w:color w:val="231F20"/>
              </w:rPr>
              <w:t>335,285</w:t>
            </w:r>
          </w:p>
        </w:tc>
        <w:tc>
          <w:tcPr>
            <w:tcW w:w="80" w:type="dxa"/>
            <w:vAlign w:val="bottom"/>
            <w:tcBorders>
              <w:bottom w:val="single" w:sz="8" w:color="D0EBF2"/>
            </w:tcBorders>
            <w:shd w:val="clear" w:color="auto" w:fill="FDFDFC"/>
          </w:tcPr>
          <w:p>
            <w:pPr>
              <w:spacing w:after="0"/>
              <w:rPr>
                <w:sz w:val="15"/>
                <w:szCs w:val="15"/>
                <w:color w:val="auto"/>
              </w:rPr>
            </w:pPr>
          </w:p>
        </w:tc>
        <w:tc>
          <w:tcPr>
            <w:tcW w:w="100" w:type="dxa"/>
            <w:vAlign w:val="bottom"/>
            <w:tcBorders>
              <w:bottom w:val="single" w:sz="8" w:color="D0EBF2"/>
            </w:tcBorders>
            <w:shd w:val="clear" w:color="auto" w:fill="FDFDFC"/>
          </w:tcPr>
          <w:p>
            <w:pPr>
              <w:spacing w:after="0"/>
              <w:rPr>
                <w:sz w:val="15"/>
                <w:szCs w:val="15"/>
                <w:color w:val="auto"/>
              </w:rPr>
            </w:pPr>
          </w:p>
        </w:tc>
        <w:tc>
          <w:tcPr>
            <w:tcW w:w="1500" w:type="dxa"/>
            <w:vAlign w:val="bottom"/>
            <w:tcBorders>
              <w:bottom w:val="single" w:sz="8" w:color="231F20"/>
            </w:tcBorders>
            <w:shd w:val="clear" w:color="auto" w:fill="FDFDFC"/>
          </w:tcPr>
          <w:p>
            <w:pPr>
              <w:jc w:val="right"/>
              <w:spacing w:after="0"/>
              <w:rPr>
                <w:sz w:val="20"/>
                <w:szCs w:val="20"/>
                <w:color w:val="auto"/>
              </w:rPr>
            </w:pPr>
            <w:r>
              <w:rPr>
                <w:rFonts w:ascii="Times New Roman" w:cs="Times New Roman" w:eastAsia="Times New Roman" w:hAnsi="Times New Roman"/>
                <w:sz w:val="15"/>
                <w:szCs w:val="15"/>
                <w:color w:val="231F20"/>
              </w:rPr>
              <w:t>328,344</w:t>
            </w:r>
          </w:p>
        </w:tc>
        <w:tc>
          <w:tcPr>
            <w:tcW w:w="100" w:type="dxa"/>
            <w:vAlign w:val="bottom"/>
            <w:tcBorders>
              <w:bottom w:val="single" w:sz="8" w:color="D0EBF2"/>
            </w:tcBorders>
            <w:shd w:val="clear" w:color="auto" w:fill="FDFDFC"/>
          </w:tcPr>
          <w:p>
            <w:pPr>
              <w:spacing w:after="0"/>
              <w:rPr>
                <w:sz w:val="15"/>
                <w:szCs w:val="15"/>
                <w:color w:val="auto"/>
              </w:rPr>
            </w:pPr>
          </w:p>
        </w:tc>
        <w:tc>
          <w:tcPr>
            <w:tcW w:w="860" w:type="dxa"/>
            <w:vAlign w:val="bottom"/>
            <w:tcBorders>
              <w:bottom w:val="single" w:sz="8" w:color="231F20"/>
            </w:tcBorders>
            <w:shd w:val="clear" w:color="auto" w:fill="FDFDFC"/>
          </w:tcPr>
          <w:p>
            <w:pPr>
              <w:jc w:val="right"/>
              <w:spacing w:after="0"/>
              <w:rPr>
                <w:sz w:val="20"/>
                <w:szCs w:val="20"/>
                <w:color w:val="auto"/>
              </w:rPr>
            </w:pPr>
            <w:r>
              <w:rPr>
                <w:rFonts w:ascii="Times New Roman" w:cs="Times New Roman" w:eastAsia="Times New Roman" w:hAnsi="Times New Roman"/>
                <w:sz w:val="15"/>
                <w:szCs w:val="15"/>
                <w:color w:val="231F20"/>
              </w:rPr>
              <w:t>20.4%</w:t>
            </w:r>
          </w:p>
        </w:tc>
      </w:tr>
      <w:tr>
        <w:trPr>
          <w:trHeight w:val="176"/>
        </w:trPr>
        <w:tc>
          <w:tcPr>
            <w:tcW w:w="1580" w:type="dxa"/>
            <w:vAlign w:val="bottom"/>
            <w:shd w:val="clear" w:color="auto" w:fill="D0EBF2"/>
          </w:tcPr>
          <w:p>
            <w:pPr>
              <w:spacing w:after="0"/>
              <w:rPr>
                <w:sz w:val="20"/>
                <w:szCs w:val="20"/>
                <w:color w:val="auto"/>
              </w:rPr>
            </w:pPr>
            <w:r>
              <w:rPr>
                <w:rFonts w:ascii="Times New Roman" w:cs="Times New Roman" w:eastAsia="Times New Roman" w:hAnsi="Times New Roman"/>
                <w:sz w:val="15"/>
                <w:szCs w:val="15"/>
                <w:b w:val="1"/>
                <w:bCs w:val="1"/>
                <w:color w:val="231F20"/>
              </w:rPr>
              <w:t>Transportation</w:t>
            </w:r>
          </w:p>
        </w:tc>
        <w:tc>
          <w:tcPr>
            <w:tcW w:w="2200" w:type="dxa"/>
            <w:vAlign w:val="bottom"/>
            <w:shd w:val="clear" w:color="auto" w:fill="D0EBF2"/>
          </w:tcPr>
          <w:p>
            <w:pPr>
              <w:spacing w:after="0"/>
              <w:rPr>
                <w:sz w:val="15"/>
                <w:szCs w:val="15"/>
                <w:color w:val="auto"/>
              </w:rPr>
            </w:pPr>
          </w:p>
        </w:tc>
        <w:tc>
          <w:tcPr>
            <w:tcW w:w="800" w:type="dxa"/>
            <w:vAlign w:val="bottom"/>
            <w:shd w:val="clear" w:color="auto" w:fill="D0EBF2"/>
          </w:tcPr>
          <w:p>
            <w:pPr>
              <w:spacing w:after="0"/>
              <w:rPr>
                <w:sz w:val="15"/>
                <w:szCs w:val="15"/>
                <w:color w:val="auto"/>
              </w:rPr>
            </w:pPr>
          </w:p>
        </w:tc>
        <w:tc>
          <w:tcPr>
            <w:tcW w:w="1000" w:type="dxa"/>
            <w:vAlign w:val="bottom"/>
            <w:shd w:val="clear" w:color="auto" w:fill="D0EBF2"/>
          </w:tcPr>
          <w:p>
            <w:pPr>
              <w:spacing w:after="0"/>
              <w:rPr>
                <w:sz w:val="15"/>
                <w:szCs w:val="15"/>
                <w:color w:val="auto"/>
              </w:rPr>
            </w:pPr>
          </w:p>
        </w:tc>
        <w:tc>
          <w:tcPr>
            <w:tcW w:w="1060" w:type="dxa"/>
            <w:vAlign w:val="bottom"/>
            <w:shd w:val="clear" w:color="auto" w:fill="D0EBF2"/>
          </w:tcPr>
          <w:p>
            <w:pPr>
              <w:spacing w:after="0"/>
              <w:rPr>
                <w:sz w:val="15"/>
                <w:szCs w:val="15"/>
                <w:color w:val="auto"/>
              </w:rPr>
            </w:pPr>
          </w:p>
        </w:tc>
        <w:tc>
          <w:tcPr>
            <w:tcW w:w="100" w:type="dxa"/>
            <w:vAlign w:val="bottom"/>
            <w:shd w:val="clear" w:color="auto" w:fill="D0EBF2"/>
          </w:tcPr>
          <w:p>
            <w:pPr>
              <w:spacing w:after="0"/>
              <w:rPr>
                <w:sz w:val="15"/>
                <w:szCs w:val="15"/>
                <w:color w:val="auto"/>
              </w:rPr>
            </w:pPr>
          </w:p>
        </w:tc>
        <w:tc>
          <w:tcPr>
            <w:tcW w:w="900" w:type="dxa"/>
            <w:vAlign w:val="bottom"/>
            <w:shd w:val="clear" w:color="auto" w:fill="D0EBF2"/>
          </w:tcPr>
          <w:p>
            <w:pPr>
              <w:spacing w:after="0"/>
              <w:rPr>
                <w:sz w:val="15"/>
                <w:szCs w:val="15"/>
                <w:color w:val="auto"/>
              </w:rPr>
            </w:pPr>
          </w:p>
        </w:tc>
        <w:tc>
          <w:tcPr>
            <w:tcW w:w="80" w:type="dxa"/>
            <w:vAlign w:val="bottom"/>
            <w:shd w:val="clear" w:color="auto" w:fill="D0EBF2"/>
          </w:tcPr>
          <w:p>
            <w:pPr>
              <w:spacing w:after="0"/>
              <w:rPr>
                <w:sz w:val="15"/>
                <w:szCs w:val="15"/>
                <w:color w:val="auto"/>
              </w:rPr>
            </w:pPr>
          </w:p>
        </w:tc>
        <w:tc>
          <w:tcPr>
            <w:tcW w:w="100" w:type="dxa"/>
            <w:vAlign w:val="bottom"/>
            <w:shd w:val="clear" w:color="auto" w:fill="D0EBF2"/>
          </w:tcPr>
          <w:p>
            <w:pPr>
              <w:spacing w:after="0"/>
              <w:rPr>
                <w:sz w:val="15"/>
                <w:szCs w:val="15"/>
                <w:color w:val="auto"/>
              </w:rPr>
            </w:pPr>
          </w:p>
        </w:tc>
        <w:tc>
          <w:tcPr>
            <w:tcW w:w="1500" w:type="dxa"/>
            <w:vAlign w:val="bottom"/>
            <w:shd w:val="clear" w:color="auto" w:fill="D0EBF2"/>
          </w:tcPr>
          <w:p>
            <w:pPr>
              <w:spacing w:after="0"/>
              <w:rPr>
                <w:sz w:val="15"/>
                <w:szCs w:val="15"/>
                <w:color w:val="auto"/>
              </w:rPr>
            </w:pPr>
          </w:p>
        </w:tc>
        <w:tc>
          <w:tcPr>
            <w:tcW w:w="100" w:type="dxa"/>
            <w:vAlign w:val="bottom"/>
            <w:shd w:val="clear" w:color="auto" w:fill="D0EBF2"/>
          </w:tcPr>
          <w:p>
            <w:pPr>
              <w:spacing w:after="0"/>
              <w:rPr>
                <w:sz w:val="15"/>
                <w:szCs w:val="15"/>
                <w:color w:val="auto"/>
              </w:rPr>
            </w:pPr>
          </w:p>
        </w:tc>
        <w:tc>
          <w:tcPr>
            <w:tcW w:w="860" w:type="dxa"/>
            <w:vAlign w:val="bottom"/>
            <w:shd w:val="clear" w:color="auto" w:fill="D0EBF2"/>
          </w:tcPr>
          <w:p>
            <w:pPr>
              <w:spacing w:after="0"/>
              <w:rPr>
                <w:sz w:val="15"/>
                <w:szCs w:val="15"/>
                <w:color w:val="auto"/>
              </w:rPr>
            </w:pPr>
          </w:p>
        </w:tc>
      </w:tr>
      <w:tr>
        <w:trPr>
          <w:trHeight w:val="171"/>
        </w:trPr>
        <w:tc>
          <w:tcPr>
            <w:tcW w:w="1580" w:type="dxa"/>
            <w:vAlign w:val="bottom"/>
            <w:shd w:val="clear" w:color="auto" w:fill="FDFDFC"/>
          </w:tcPr>
          <w:p>
            <w:pPr>
              <w:spacing w:after="0" w:line="172" w:lineRule="exact"/>
              <w:rPr>
                <w:sz w:val="20"/>
                <w:szCs w:val="20"/>
                <w:color w:val="auto"/>
              </w:rPr>
            </w:pPr>
            <w:r>
              <w:rPr>
                <w:rFonts w:ascii="Times New Roman" w:cs="Times New Roman" w:eastAsia="Times New Roman" w:hAnsi="Times New Roman"/>
                <w:sz w:val="15"/>
                <w:szCs w:val="15"/>
                <w:color w:val="231F20"/>
              </w:rPr>
              <w:t>Ben Nevis Midco</w:t>
            </w:r>
          </w:p>
        </w:tc>
        <w:tc>
          <w:tcPr>
            <w:tcW w:w="2200" w:type="dxa"/>
            <w:vAlign w:val="bottom"/>
            <w:shd w:val="clear" w:color="auto" w:fill="FDFDFC"/>
          </w:tcPr>
          <w:p>
            <w:pPr>
              <w:ind w:left="60"/>
              <w:spacing w:after="0" w:line="172" w:lineRule="exact"/>
              <w:rPr>
                <w:sz w:val="20"/>
                <w:szCs w:val="20"/>
                <w:color w:val="auto"/>
              </w:rPr>
            </w:pPr>
            <w:r>
              <w:rPr>
                <w:rFonts w:ascii="Times New Roman" w:cs="Times New Roman" w:eastAsia="Times New Roman" w:hAnsi="Times New Roman"/>
                <w:sz w:val="15"/>
                <w:szCs w:val="15"/>
                <w:color w:val="231F20"/>
              </w:rPr>
              <w:t>First-lien loan ($3,635 par, due</w:t>
            </w:r>
          </w:p>
        </w:tc>
        <w:tc>
          <w:tcPr>
            <w:tcW w:w="800" w:type="dxa"/>
            <w:vAlign w:val="bottom"/>
            <w:shd w:val="clear" w:color="auto" w:fill="FDFDFC"/>
          </w:tcPr>
          <w:p>
            <w:pPr>
              <w:jc w:val="right"/>
              <w:spacing w:after="0" w:line="172" w:lineRule="exact"/>
              <w:rPr>
                <w:sz w:val="20"/>
                <w:szCs w:val="20"/>
                <w:color w:val="auto"/>
              </w:rPr>
            </w:pPr>
            <w:r>
              <w:rPr>
                <w:rFonts w:ascii="Times New Roman" w:cs="Times New Roman" w:eastAsia="Times New Roman" w:hAnsi="Times New Roman"/>
                <w:sz w:val="15"/>
                <w:szCs w:val="15"/>
                <w:color w:val="231F20"/>
              </w:rPr>
              <w:t>3/26/2024</w:t>
            </w:r>
          </w:p>
        </w:tc>
        <w:tc>
          <w:tcPr>
            <w:tcW w:w="1000" w:type="dxa"/>
            <w:vAlign w:val="bottom"/>
            <w:shd w:val="clear" w:color="auto" w:fill="FDFDFC"/>
          </w:tcPr>
          <w:p>
            <w:pPr>
              <w:jc w:val="right"/>
              <w:ind w:right="44"/>
              <w:spacing w:after="0" w:line="172" w:lineRule="exact"/>
              <w:rPr>
                <w:sz w:val="20"/>
                <w:szCs w:val="20"/>
                <w:color w:val="auto"/>
              </w:rPr>
            </w:pPr>
            <w:r>
              <w:rPr>
                <w:rFonts w:ascii="Times New Roman" w:cs="Times New Roman" w:eastAsia="Times New Roman" w:hAnsi="Times New Roman"/>
                <w:sz w:val="15"/>
                <w:szCs w:val="15"/>
                <w:color w:val="231F20"/>
              </w:rPr>
              <w:t>SOFR +</w:t>
            </w:r>
          </w:p>
        </w:tc>
        <w:tc>
          <w:tcPr>
            <w:tcW w:w="1060" w:type="dxa"/>
            <w:vAlign w:val="bottom"/>
            <w:shd w:val="clear" w:color="auto" w:fill="FDFDFC"/>
          </w:tcPr>
          <w:p>
            <w:pPr>
              <w:jc w:val="right"/>
              <w:ind w:right="64"/>
              <w:spacing w:after="0" w:line="172" w:lineRule="exact"/>
              <w:rPr>
                <w:sz w:val="20"/>
                <w:szCs w:val="20"/>
                <w:color w:val="auto"/>
              </w:rPr>
            </w:pPr>
            <w:r>
              <w:rPr>
                <w:rFonts w:ascii="Times New Roman" w:cs="Times New Roman" w:eastAsia="Times New Roman" w:hAnsi="Times New Roman"/>
                <w:sz w:val="15"/>
                <w:szCs w:val="15"/>
                <w:color w:val="231F20"/>
              </w:rPr>
              <w:t>9.81%</w:t>
            </w:r>
          </w:p>
        </w:tc>
        <w:tc>
          <w:tcPr>
            <w:tcW w:w="100" w:type="dxa"/>
            <w:vAlign w:val="bottom"/>
            <w:shd w:val="clear" w:color="auto" w:fill="FDFDFC"/>
          </w:tcPr>
          <w:p>
            <w:pPr>
              <w:spacing w:after="0"/>
              <w:rPr>
                <w:sz w:val="14"/>
                <w:szCs w:val="14"/>
                <w:color w:val="auto"/>
              </w:rPr>
            </w:pPr>
          </w:p>
        </w:tc>
        <w:tc>
          <w:tcPr>
            <w:tcW w:w="900" w:type="dxa"/>
            <w:vAlign w:val="bottom"/>
            <w:shd w:val="clear" w:color="auto" w:fill="FDFDFC"/>
          </w:tcPr>
          <w:p>
            <w:pPr>
              <w:jc w:val="right"/>
              <w:spacing w:after="0" w:line="172" w:lineRule="exact"/>
              <w:rPr>
                <w:sz w:val="20"/>
                <w:szCs w:val="20"/>
                <w:color w:val="auto"/>
              </w:rPr>
            </w:pPr>
            <w:r>
              <w:rPr>
                <w:rFonts w:ascii="Times New Roman" w:cs="Times New Roman" w:eastAsia="Times New Roman" w:hAnsi="Times New Roman"/>
                <w:sz w:val="15"/>
                <w:szCs w:val="15"/>
                <w:color w:val="231F20"/>
              </w:rPr>
              <w:t>3,581</w:t>
            </w:r>
          </w:p>
        </w:tc>
        <w:tc>
          <w:tcPr>
            <w:tcW w:w="80" w:type="dxa"/>
            <w:vAlign w:val="bottom"/>
            <w:shd w:val="clear" w:color="auto" w:fill="FDFDFC"/>
          </w:tcPr>
          <w:p>
            <w:pPr>
              <w:spacing w:after="0"/>
              <w:rPr>
                <w:sz w:val="14"/>
                <w:szCs w:val="14"/>
                <w:color w:val="auto"/>
              </w:rPr>
            </w:pPr>
          </w:p>
        </w:tc>
        <w:tc>
          <w:tcPr>
            <w:tcW w:w="100" w:type="dxa"/>
            <w:vAlign w:val="bottom"/>
            <w:shd w:val="clear" w:color="auto" w:fill="FDFDFC"/>
          </w:tcPr>
          <w:p>
            <w:pPr>
              <w:spacing w:after="0"/>
              <w:rPr>
                <w:sz w:val="14"/>
                <w:szCs w:val="14"/>
                <w:color w:val="auto"/>
              </w:rPr>
            </w:pPr>
          </w:p>
        </w:tc>
        <w:tc>
          <w:tcPr>
            <w:tcW w:w="1500" w:type="dxa"/>
            <w:vAlign w:val="bottom"/>
            <w:shd w:val="clear" w:color="auto" w:fill="FDFDFC"/>
          </w:tcPr>
          <w:p>
            <w:pPr>
              <w:jc w:val="right"/>
              <w:spacing w:after="0" w:line="172" w:lineRule="exact"/>
              <w:rPr>
                <w:sz w:val="20"/>
                <w:szCs w:val="20"/>
                <w:color w:val="auto"/>
              </w:rPr>
            </w:pPr>
            <w:r>
              <w:rPr>
                <w:rFonts w:ascii="Times New Roman" w:cs="Times New Roman" w:eastAsia="Times New Roman" w:hAnsi="Times New Roman"/>
                <w:sz w:val="15"/>
                <w:szCs w:val="15"/>
                <w:color w:val="231F20"/>
              </w:rPr>
              <w:t>3,610</w:t>
            </w:r>
          </w:p>
        </w:tc>
        <w:tc>
          <w:tcPr>
            <w:tcW w:w="100" w:type="dxa"/>
            <w:vAlign w:val="bottom"/>
            <w:shd w:val="clear" w:color="auto" w:fill="FDFDFC"/>
          </w:tcPr>
          <w:p>
            <w:pPr>
              <w:spacing w:after="0"/>
              <w:rPr>
                <w:sz w:val="14"/>
                <w:szCs w:val="14"/>
                <w:color w:val="auto"/>
              </w:rPr>
            </w:pPr>
          </w:p>
        </w:tc>
        <w:tc>
          <w:tcPr>
            <w:tcW w:w="860" w:type="dxa"/>
            <w:vAlign w:val="bottom"/>
            <w:shd w:val="clear" w:color="auto" w:fill="FDFDFC"/>
          </w:tcPr>
          <w:p>
            <w:pPr>
              <w:jc w:val="right"/>
              <w:spacing w:after="0" w:line="172" w:lineRule="exact"/>
              <w:rPr>
                <w:sz w:val="20"/>
                <w:szCs w:val="20"/>
                <w:color w:val="auto"/>
              </w:rPr>
            </w:pPr>
            <w:r>
              <w:rPr>
                <w:rFonts w:ascii="Times New Roman" w:cs="Times New Roman" w:eastAsia="Times New Roman" w:hAnsi="Times New Roman"/>
                <w:sz w:val="15"/>
                <w:szCs w:val="15"/>
                <w:color w:val="231F20"/>
              </w:rPr>
              <w:t>0.2%</w:t>
            </w:r>
          </w:p>
        </w:tc>
      </w:tr>
      <w:tr>
        <w:trPr>
          <w:trHeight w:val="189"/>
        </w:trPr>
        <w:tc>
          <w:tcPr>
            <w:tcW w:w="1580" w:type="dxa"/>
            <w:vAlign w:val="bottom"/>
            <w:shd w:val="clear" w:color="auto" w:fill="FDFDFC"/>
          </w:tcPr>
          <w:p>
            <w:pPr>
              <w:spacing w:after="0"/>
              <w:rPr>
                <w:sz w:val="20"/>
                <w:szCs w:val="20"/>
                <w:color w:val="auto"/>
              </w:rPr>
            </w:pPr>
            <w:r>
              <w:rPr>
                <w:rFonts w:ascii="Times New Roman" w:cs="Times New Roman" w:eastAsia="Times New Roman" w:hAnsi="Times New Roman"/>
                <w:sz w:val="15"/>
                <w:szCs w:val="15"/>
                <w:color w:val="231F20"/>
              </w:rPr>
              <w:t xml:space="preserve">Limited </w:t>
            </w:r>
            <w:r>
              <w:rPr>
                <w:rFonts w:ascii="Times New Roman" w:cs="Times New Roman" w:eastAsia="Times New Roman" w:hAnsi="Times New Roman"/>
                <w:sz w:val="9"/>
                <w:szCs w:val="9"/>
                <w:color w:val="231F20"/>
              </w:rPr>
              <w:t>(3)(4)</w:t>
            </w:r>
          </w:p>
        </w:tc>
        <w:tc>
          <w:tcPr>
            <w:tcW w:w="2200" w:type="dxa"/>
            <w:vAlign w:val="bottom"/>
            <w:shd w:val="clear" w:color="auto" w:fill="FDFDFC"/>
          </w:tcPr>
          <w:p>
            <w:pPr>
              <w:ind w:left="60"/>
              <w:spacing w:after="0"/>
              <w:rPr>
                <w:sz w:val="20"/>
                <w:szCs w:val="20"/>
                <w:color w:val="auto"/>
              </w:rPr>
            </w:pPr>
            <w:r>
              <w:rPr>
                <w:rFonts w:ascii="Times New Roman" w:cs="Times New Roman" w:eastAsia="Times New Roman" w:hAnsi="Times New Roman"/>
                <w:sz w:val="15"/>
                <w:szCs w:val="15"/>
                <w:color w:val="231F20"/>
              </w:rPr>
              <w:t>3/2028)</w:t>
            </w:r>
          </w:p>
        </w:tc>
        <w:tc>
          <w:tcPr>
            <w:tcW w:w="800" w:type="dxa"/>
            <w:vAlign w:val="bottom"/>
            <w:shd w:val="clear" w:color="auto" w:fill="FDFDFC"/>
          </w:tcPr>
          <w:p>
            <w:pPr>
              <w:spacing w:after="0"/>
              <w:rPr>
                <w:sz w:val="16"/>
                <w:szCs w:val="16"/>
                <w:color w:val="auto"/>
              </w:rPr>
            </w:pPr>
          </w:p>
        </w:tc>
        <w:tc>
          <w:tcPr>
            <w:tcW w:w="1000" w:type="dxa"/>
            <w:vAlign w:val="bottom"/>
            <w:shd w:val="clear" w:color="auto" w:fill="FDFDFC"/>
          </w:tcPr>
          <w:p>
            <w:pPr>
              <w:jc w:val="right"/>
              <w:ind w:right="44"/>
              <w:spacing w:after="0"/>
              <w:rPr>
                <w:sz w:val="20"/>
                <w:szCs w:val="20"/>
                <w:color w:val="auto"/>
              </w:rPr>
            </w:pPr>
            <w:r>
              <w:rPr>
                <w:rFonts w:ascii="Times New Roman" w:cs="Times New Roman" w:eastAsia="Times New Roman" w:hAnsi="Times New Roman"/>
                <w:sz w:val="15"/>
                <w:szCs w:val="15"/>
                <w:color w:val="231F20"/>
              </w:rPr>
              <w:t>5.25%</w:t>
            </w:r>
          </w:p>
        </w:tc>
        <w:tc>
          <w:tcPr>
            <w:tcW w:w="1060" w:type="dxa"/>
            <w:vAlign w:val="bottom"/>
            <w:shd w:val="clear" w:color="auto" w:fill="FDFDFC"/>
          </w:tcPr>
          <w:p>
            <w:pPr>
              <w:spacing w:after="0"/>
              <w:rPr>
                <w:sz w:val="16"/>
                <w:szCs w:val="16"/>
                <w:color w:val="auto"/>
              </w:rPr>
            </w:pPr>
          </w:p>
        </w:tc>
        <w:tc>
          <w:tcPr>
            <w:tcW w:w="100" w:type="dxa"/>
            <w:vAlign w:val="bottom"/>
            <w:shd w:val="clear" w:color="auto" w:fill="FDFDFC"/>
          </w:tcPr>
          <w:p>
            <w:pPr>
              <w:spacing w:after="0"/>
              <w:rPr>
                <w:sz w:val="16"/>
                <w:szCs w:val="16"/>
                <w:color w:val="auto"/>
              </w:rPr>
            </w:pPr>
          </w:p>
        </w:tc>
        <w:tc>
          <w:tcPr>
            <w:tcW w:w="900" w:type="dxa"/>
            <w:vAlign w:val="bottom"/>
            <w:shd w:val="clear" w:color="auto" w:fill="FDFDFC"/>
          </w:tcPr>
          <w:p>
            <w:pPr>
              <w:spacing w:after="0"/>
              <w:rPr>
                <w:sz w:val="16"/>
                <w:szCs w:val="16"/>
                <w:color w:val="auto"/>
              </w:rPr>
            </w:pPr>
          </w:p>
        </w:tc>
        <w:tc>
          <w:tcPr>
            <w:tcW w:w="80" w:type="dxa"/>
            <w:vAlign w:val="bottom"/>
            <w:shd w:val="clear" w:color="auto" w:fill="FDFDFC"/>
          </w:tcPr>
          <w:p>
            <w:pPr>
              <w:spacing w:after="0"/>
              <w:rPr>
                <w:sz w:val="16"/>
                <w:szCs w:val="16"/>
                <w:color w:val="auto"/>
              </w:rPr>
            </w:pPr>
          </w:p>
        </w:tc>
        <w:tc>
          <w:tcPr>
            <w:tcW w:w="100" w:type="dxa"/>
            <w:vAlign w:val="bottom"/>
            <w:shd w:val="clear" w:color="auto" w:fill="FDFDFC"/>
          </w:tcPr>
          <w:p>
            <w:pPr>
              <w:spacing w:after="0"/>
              <w:rPr>
                <w:sz w:val="16"/>
                <w:szCs w:val="16"/>
                <w:color w:val="auto"/>
              </w:rPr>
            </w:pPr>
          </w:p>
        </w:tc>
        <w:tc>
          <w:tcPr>
            <w:tcW w:w="1500" w:type="dxa"/>
            <w:vAlign w:val="bottom"/>
            <w:shd w:val="clear" w:color="auto" w:fill="FDFDFC"/>
          </w:tcPr>
          <w:p>
            <w:pPr>
              <w:spacing w:after="0"/>
              <w:rPr>
                <w:sz w:val="16"/>
                <w:szCs w:val="16"/>
                <w:color w:val="auto"/>
              </w:rPr>
            </w:pPr>
          </w:p>
        </w:tc>
        <w:tc>
          <w:tcPr>
            <w:tcW w:w="100" w:type="dxa"/>
            <w:vAlign w:val="bottom"/>
            <w:shd w:val="clear" w:color="auto" w:fill="FDFDFC"/>
          </w:tcPr>
          <w:p>
            <w:pPr>
              <w:spacing w:after="0"/>
              <w:rPr>
                <w:sz w:val="16"/>
                <w:szCs w:val="16"/>
                <w:color w:val="auto"/>
              </w:rPr>
            </w:pPr>
          </w:p>
        </w:tc>
        <w:tc>
          <w:tcPr>
            <w:tcW w:w="860" w:type="dxa"/>
            <w:vAlign w:val="bottom"/>
            <w:shd w:val="clear" w:color="auto" w:fill="FDFDFC"/>
          </w:tcPr>
          <w:p>
            <w:pPr>
              <w:spacing w:after="0"/>
              <w:rPr>
                <w:sz w:val="16"/>
                <w:szCs w:val="16"/>
                <w:color w:val="auto"/>
              </w:rPr>
            </w:pPr>
          </w:p>
        </w:tc>
      </w:tr>
      <w:tr>
        <w:trPr>
          <w:trHeight w:val="171"/>
        </w:trPr>
        <w:tc>
          <w:tcPr>
            <w:tcW w:w="1580" w:type="dxa"/>
            <w:vAlign w:val="bottom"/>
            <w:shd w:val="clear" w:color="auto" w:fill="D0EBF2"/>
          </w:tcPr>
          <w:p>
            <w:pPr>
              <w:spacing w:after="0" w:line="172" w:lineRule="exact"/>
              <w:rPr>
                <w:sz w:val="20"/>
                <w:szCs w:val="20"/>
                <w:color w:val="auto"/>
              </w:rPr>
            </w:pPr>
            <w:r>
              <w:rPr>
                <w:rFonts w:ascii="Times New Roman" w:cs="Times New Roman" w:eastAsia="Times New Roman" w:hAnsi="Times New Roman"/>
                <w:sz w:val="15"/>
                <w:szCs w:val="15"/>
                <w:color w:val="231F20"/>
              </w:rPr>
              <w:t>Marcura Equities LTD</w:t>
            </w:r>
          </w:p>
        </w:tc>
        <w:tc>
          <w:tcPr>
            <w:tcW w:w="2200" w:type="dxa"/>
            <w:vAlign w:val="bottom"/>
            <w:shd w:val="clear" w:color="auto" w:fill="D0EBF2"/>
          </w:tcPr>
          <w:p>
            <w:pPr>
              <w:ind w:left="60"/>
              <w:spacing w:after="0" w:line="172" w:lineRule="exact"/>
              <w:rPr>
                <w:sz w:val="20"/>
                <w:szCs w:val="20"/>
                <w:color w:val="auto"/>
              </w:rPr>
            </w:pPr>
            <w:r>
              <w:rPr>
                <w:rFonts w:ascii="Times New Roman" w:cs="Times New Roman" w:eastAsia="Times New Roman" w:hAnsi="Times New Roman"/>
                <w:sz w:val="15"/>
                <w:szCs w:val="15"/>
                <w:color w:val="231F20"/>
              </w:rPr>
              <w:t>First-lien loan ($33,874 par, due</w:t>
            </w:r>
          </w:p>
        </w:tc>
        <w:tc>
          <w:tcPr>
            <w:tcW w:w="800" w:type="dxa"/>
            <w:vAlign w:val="bottom"/>
            <w:shd w:val="clear" w:color="auto" w:fill="D0EBF2"/>
          </w:tcPr>
          <w:p>
            <w:pPr>
              <w:jc w:val="right"/>
              <w:spacing w:after="0" w:line="172" w:lineRule="exact"/>
              <w:rPr>
                <w:sz w:val="20"/>
                <w:szCs w:val="20"/>
                <w:color w:val="auto"/>
              </w:rPr>
            </w:pPr>
            <w:r>
              <w:rPr>
                <w:rFonts w:ascii="Times New Roman" w:cs="Times New Roman" w:eastAsia="Times New Roman" w:hAnsi="Times New Roman"/>
                <w:sz w:val="15"/>
                <w:szCs w:val="15"/>
                <w:color w:val="231F20"/>
              </w:rPr>
              <w:t>8/11/2023</w:t>
            </w:r>
          </w:p>
        </w:tc>
        <w:tc>
          <w:tcPr>
            <w:tcW w:w="1000" w:type="dxa"/>
            <w:vAlign w:val="bottom"/>
            <w:shd w:val="clear" w:color="auto" w:fill="D0EBF2"/>
          </w:tcPr>
          <w:p>
            <w:pPr>
              <w:jc w:val="right"/>
              <w:ind w:right="44"/>
              <w:spacing w:after="0" w:line="172" w:lineRule="exact"/>
              <w:rPr>
                <w:sz w:val="20"/>
                <w:szCs w:val="20"/>
                <w:color w:val="auto"/>
              </w:rPr>
            </w:pPr>
            <w:r>
              <w:rPr>
                <w:rFonts w:ascii="Times New Roman" w:cs="Times New Roman" w:eastAsia="Times New Roman" w:hAnsi="Times New Roman"/>
                <w:sz w:val="15"/>
                <w:szCs w:val="15"/>
                <w:color w:val="231F20"/>
              </w:rPr>
              <w:t>SOFR +</w:t>
            </w:r>
          </w:p>
        </w:tc>
        <w:tc>
          <w:tcPr>
            <w:tcW w:w="1060" w:type="dxa"/>
            <w:vAlign w:val="bottom"/>
            <w:shd w:val="clear" w:color="auto" w:fill="D0EBF2"/>
          </w:tcPr>
          <w:p>
            <w:pPr>
              <w:jc w:val="right"/>
              <w:ind w:right="64"/>
              <w:spacing w:after="0" w:line="172" w:lineRule="exact"/>
              <w:rPr>
                <w:sz w:val="20"/>
                <w:szCs w:val="20"/>
                <w:color w:val="auto"/>
              </w:rPr>
            </w:pPr>
            <w:r>
              <w:rPr>
                <w:rFonts w:ascii="Times New Roman" w:cs="Times New Roman" w:eastAsia="Times New Roman" w:hAnsi="Times New Roman"/>
                <w:sz w:val="15"/>
                <w:szCs w:val="15"/>
                <w:color w:val="231F20"/>
              </w:rPr>
              <w:t>11.33%</w:t>
            </w:r>
          </w:p>
        </w:tc>
        <w:tc>
          <w:tcPr>
            <w:tcW w:w="100" w:type="dxa"/>
            <w:vAlign w:val="bottom"/>
            <w:shd w:val="clear" w:color="auto" w:fill="D0EBF2"/>
          </w:tcPr>
          <w:p>
            <w:pPr>
              <w:spacing w:after="0"/>
              <w:rPr>
                <w:sz w:val="14"/>
                <w:szCs w:val="14"/>
                <w:color w:val="auto"/>
              </w:rPr>
            </w:pPr>
          </w:p>
        </w:tc>
        <w:tc>
          <w:tcPr>
            <w:tcW w:w="900" w:type="dxa"/>
            <w:vAlign w:val="bottom"/>
            <w:shd w:val="clear" w:color="auto" w:fill="D0EBF2"/>
          </w:tcPr>
          <w:p>
            <w:pPr>
              <w:jc w:val="right"/>
              <w:spacing w:after="0" w:line="172" w:lineRule="exact"/>
              <w:rPr>
                <w:sz w:val="20"/>
                <w:szCs w:val="20"/>
                <w:color w:val="auto"/>
              </w:rPr>
            </w:pPr>
            <w:r>
              <w:rPr>
                <w:rFonts w:ascii="Times New Roman" w:cs="Times New Roman" w:eastAsia="Times New Roman" w:hAnsi="Times New Roman"/>
                <w:sz w:val="15"/>
                <w:szCs w:val="15"/>
                <w:color w:val="231F20"/>
              </w:rPr>
              <w:t>33,030</w:t>
            </w:r>
          </w:p>
        </w:tc>
        <w:tc>
          <w:tcPr>
            <w:tcW w:w="1680" w:type="dxa"/>
            <w:vAlign w:val="bottom"/>
            <w:gridSpan w:val="3"/>
            <w:shd w:val="clear" w:color="auto" w:fill="D0EBF2"/>
          </w:tcPr>
          <w:p>
            <w:pPr>
              <w:jc w:val="right"/>
              <w:spacing w:after="0" w:line="172" w:lineRule="exact"/>
              <w:rPr>
                <w:sz w:val="20"/>
                <w:szCs w:val="20"/>
                <w:color w:val="auto"/>
              </w:rPr>
            </w:pPr>
            <w:r>
              <w:rPr>
                <w:rFonts w:ascii="Times New Roman" w:cs="Times New Roman" w:eastAsia="Times New Roman" w:hAnsi="Times New Roman"/>
                <w:sz w:val="15"/>
                <w:szCs w:val="15"/>
                <w:color w:val="231F20"/>
              </w:rPr>
              <w:t>34,189</w:t>
            </w:r>
          </w:p>
        </w:tc>
        <w:tc>
          <w:tcPr>
            <w:tcW w:w="960" w:type="dxa"/>
            <w:vAlign w:val="bottom"/>
            <w:gridSpan w:val="2"/>
            <w:shd w:val="clear" w:color="auto" w:fill="D0EBF2"/>
          </w:tcPr>
          <w:p>
            <w:pPr>
              <w:jc w:val="right"/>
              <w:spacing w:after="0" w:line="172" w:lineRule="exact"/>
              <w:rPr>
                <w:sz w:val="20"/>
                <w:szCs w:val="20"/>
                <w:color w:val="auto"/>
              </w:rPr>
            </w:pPr>
            <w:r>
              <w:rPr>
                <w:rFonts w:ascii="Times New Roman" w:cs="Times New Roman" w:eastAsia="Times New Roman" w:hAnsi="Times New Roman"/>
                <w:sz w:val="15"/>
                <w:szCs w:val="15"/>
                <w:color w:val="231F20"/>
              </w:rPr>
              <w:t>2.1%</w:t>
            </w:r>
          </w:p>
        </w:tc>
      </w:tr>
      <w:tr>
        <w:trPr>
          <w:trHeight w:val="189"/>
        </w:trPr>
        <w:tc>
          <w:tcPr>
            <w:tcW w:w="1580" w:type="dxa"/>
            <w:vAlign w:val="bottom"/>
            <w:shd w:val="clear" w:color="auto" w:fill="D0EBF2"/>
          </w:tcPr>
          <w:p>
            <w:pPr>
              <w:spacing w:after="0"/>
              <w:rPr>
                <w:sz w:val="20"/>
                <w:szCs w:val="20"/>
                <w:color w:val="auto"/>
              </w:rPr>
            </w:pPr>
            <w:r>
              <w:rPr>
                <w:rFonts w:ascii="Times New Roman" w:cs="Times New Roman" w:eastAsia="Times New Roman" w:hAnsi="Times New Roman"/>
                <w:sz w:val="9"/>
                <w:szCs w:val="9"/>
                <w:color w:val="231F20"/>
              </w:rPr>
              <w:t>(3)(4)</w:t>
            </w:r>
          </w:p>
        </w:tc>
        <w:tc>
          <w:tcPr>
            <w:tcW w:w="2200" w:type="dxa"/>
            <w:vAlign w:val="bottom"/>
            <w:shd w:val="clear" w:color="auto" w:fill="D0EBF2"/>
          </w:tcPr>
          <w:p>
            <w:pPr>
              <w:ind w:left="60"/>
              <w:spacing w:after="0"/>
              <w:rPr>
                <w:sz w:val="20"/>
                <w:szCs w:val="20"/>
                <w:color w:val="auto"/>
              </w:rPr>
            </w:pPr>
            <w:r>
              <w:rPr>
                <w:rFonts w:ascii="Times New Roman" w:cs="Times New Roman" w:eastAsia="Times New Roman" w:hAnsi="Times New Roman"/>
                <w:sz w:val="15"/>
                <w:szCs w:val="15"/>
                <w:color w:val="231F20"/>
              </w:rPr>
              <w:t>8/2029)</w:t>
            </w:r>
          </w:p>
        </w:tc>
        <w:tc>
          <w:tcPr>
            <w:tcW w:w="800" w:type="dxa"/>
            <w:vAlign w:val="bottom"/>
            <w:shd w:val="clear" w:color="auto" w:fill="D0EBF2"/>
          </w:tcPr>
          <w:p>
            <w:pPr>
              <w:spacing w:after="0"/>
              <w:rPr>
                <w:sz w:val="16"/>
                <w:szCs w:val="16"/>
                <w:color w:val="auto"/>
              </w:rPr>
            </w:pPr>
          </w:p>
        </w:tc>
        <w:tc>
          <w:tcPr>
            <w:tcW w:w="1000" w:type="dxa"/>
            <w:vAlign w:val="bottom"/>
            <w:shd w:val="clear" w:color="auto" w:fill="D0EBF2"/>
          </w:tcPr>
          <w:p>
            <w:pPr>
              <w:jc w:val="right"/>
              <w:ind w:right="44"/>
              <w:spacing w:after="0"/>
              <w:rPr>
                <w:sz w:val="20"/>
                <w:szCs w:val="20"/>
                <w:color w:val="auto"/>
              </w:rPr>
            </w:pPr>
            <w:r>
              <w:rPr>
                <w:rFonts w:ascii="Times New Roman" w:cs="Times New Roman" w:eastAsia="Times New Roman" w:hAnsi="Times New Roman"/>
                <w:sz w:val="15"/>
                <w:szCs w:val="15"/>
                <w:color w:val="231F20"/>
              </w:rPr>
              <w:t>7.00%</w:t>
            </w:r>
          </w:p>
        </w:tc>
        <w:tc>
          <w:tcPr>
            <w:tcW w:w="1060" w:type="dxa"/>
            <w:vAlign w:val="bottom"/>
            <w:shd w:val="clear" w:color="auto" w:fill="D0EBF2"/>
          </w:tcPr>
          <w:p>
            <w:pPr>
              <w:spacing w:after="0"/>
              <w:rPr>
                <w:sz w:val="16"/>
                <w:szCs w:val="16"/>
                <w:color w:val="auto"/>
              </w:rPr>
            </w:pPr>
          </w:p>
        </w:tc>
        <w:tc>
          <w:tcPr>
            <w:tcW w:w="100" w:type="dxa"/>
            <w:vAlign w:val="bottom"/>
            <w:shd w:val="clear" w:color="auto" w:fill="D0EBF2"/>
          </w:tcPr>
          <w:p>
            <w:pPr>
              <w:spacing w:after="0"/>
              <w:rPr>
                <w:sz w:val="16"/>
                <w:szCs w:val="16"/>
                <w:color w:val="auto"/>
              </w:rPr>
            </w:pPr>
          </w:p>
        </w:tc>
        <w:tc>
          <w:tcPr>
            <w:tcW w:w="900" w:type="dxa"/>
            <w:vAlign w:val="bottom"/>
            <w:shd w:val="clear" w:color="auto" w:fill="D0EBF2"/>
          </w:tcPr>
          <w:p>
            <w:pPr>
              <w:spacing w:after="0"/>
              <w:rPr>
                <w:sz w:val="16"/>
                <w:szCs w:val="16"/>
                <w:color w:val="auto"/>
              </w:rPr>
            </w:pPr>
          </w:p>
        </w:tc>
        <w:tc>
          <w:tcPr>
            <w:tcW w:w="80" w:type="dxa"/>
            <w:vAlign w:val="bottom"/>
            <w:shd w:val="clear" w:color="auto" w:fill="D0EBF2"/>
          </w:tcPr>
          <w:p>
            <w:pPr>
              <w:spacing w:after="0"/>
              <w:rPr>
                <w:sz w:val="16"/>
                <w:szCs w:val="16"/>
                <w:color w:val="auto"/>
              </w:rPr>
            </w:pPr>
          </w:p>
        </w:tc>
        <w:tc>
          <w:tcPr>
            <w:tcW w:w="100" w:type="dxa"/>
            <w:vAlign w:val="bottom"/>
            <w:shd w:val="clear" w:color="auto" w:fill="D0EBF2"/>
          </w:tcPr>
          <w:p>
            <w:pPr>
              <w:spacing w:after="0"/>
              <w:rPr>
                <w:sz w:val="16"/>
                <w:szCs w:val="16"/>
                <w:color w:val="auto"/>
              </w:rPr>
            </w:pPr>
          </w:p>
        </w:tc>
        <w:tc>
          <w:tcPr>
            <w:tcW w:w="1500" w:type="dxa"/>
            <w:vAlign w:val="bottom"/>
            <w:shd w:val="clear" w:color="auto" w:fill="D0EBF2"/>
          </w:tcPr>
          <w:p>
            <w:pPr>
              <w:spacing w:after="0"/>
              <w:rPr>
                <w:sz w:val="16"/>
                <w:szCs w:val="16"/>
                <w:color w:val="auto"/>
              </w:rPr>
            </w:pPr>
          </w:p>
        </w:tc>
        <w:tc>
          <w:tcPr>
            <w:tcW w:w="100" w:type="dxa"/>
            <w:vAlign w:val="bottom"/>
            <w:shd w:val="clear" w:color="auto" w:fill="D0EBF2"/>
          </w:tcPr>
          <w:p>
            <w:pPr>
              <w:spacing w:after="0"/>
              <w:rPr>
                <w:sz w:val="16"/>
                <w:szCs w:val="16"/>
                <w:color w:val="auto"/>
              </w:rPr>
            </w:pPr>
          </w:p>
        </w:tc>
        <w:tc>
          <w:tcPr>
            <w:tcW w:w="860" w:type="dxa"/>
            <w:vAlign w:val="bottom"/>
            <w:shd w:val="clear" w:color="auto" w:fill="D0EBF2"/>
          </w:tcPr>
          <w:p>
            <w:pPr>
              <w:spacing w:after="0"/>
              <w:rPr>
                <w:sz w:val="16"/>
                <w:szCs w:val="16"/>
                <w:color w:val="auto"/>
              </w:rPr>
            </w:pPr>
          </w:p>
        </w:tc>
      </w:tr>
      <w:tr>
        <w:trPr>
          <w:trHeight w:val="171"/>
        </w:trPr>
        <w:tc>
          <w:tcPr>
            <w:tcW w:w="1580" w:type="dxa"/>
            <w:vAlign w:val="bottom"/>
            <w:shd w:val="clear" w:color="auto" w:fill="FDFDFC"/>
          </w:tcPr>
          <w:p>
            <w:pPr>
              <w:spacing w:after="0"/>
              <w:rPr>
                <w:sz w:val="14"/>
                <w:szCs w:val="14"/>
                <w:color w:val="auto"/>
              </w:rPr>
            </w:pPr>
          </w:p>
        </w:tc>
        <w:tc>
          <w:tcPr>
            <w:tcW w:w="2200" w:type="dxa"/>
            <w:vAlign w:val="bottom"/>
            <w:shd w:val="clear" w:color="auto" w:fill="FDFDFC"/>
          </w:tcPr>
          <w:p>
            <w:pPr>
              <w:ind w:left="60"/>
              <w:spacing w:after="0" w:line="172" w:lineRule="exact"/>
              <w:rPr>
                <w:sz w:val="20"/>
                <w:szCs w:val="20"/>
                <w:color w:val="auto"/>
              </w:rPr>
            </w:pPr>
            <w:r>
              <w:rPr>
                <w:rFonts w:ascii="Times New Roman" w:cs="Times New Roman" w:eastAsia="Times New Roman" w:hAnsi="Times New Roman"/>
                <w:sz w:val="15"/>
                <w:szCs w:val="15"/>
                <w:color w:val="231F20"/>
              </w:rPr>
              <w:t>First-lien revolving loan ($2,333</w:t>
            </w:r>
          </w:p>
        </w:tc>
        <w:tc>
          <w:tcPr>
            <w:tcW w:w="800" w:type="dxa"/>
            <w:vAlign w:val="bottom"/>
            <w:shd w:val="clear" w:color="auto" w:fill="FDFDFC"/>
          </w:tcPr>
          <w:p>
            <w:pPr>
              <w:jc w:val="right"/>
              <w:spacing w:after="0" w:line="172" w:lineRule="exact"/>
              <w:rPr>
                <w:sz w:val="20"/>
                <w:szCs w:val="20"/>
                <w:color w:val="auto"/>
              </w:rPr>
            </w:pPr>
            <w:r>
              <w:rPr>
                <w:rFonts w:ascii="Times New Roman" w:cs="Times New Roman" w:eastAsia="Times New Roman" w:hAnsi="Times New Roman"/>
                <w:sz w:val="15"/>
                <w:szCs w:val="15"/>
                <w:color w:val="231F20"/>
              </w:rPr>
              <w:t>8/11/2023</w:t>
            </w:r>
          </w:p>
        </w:tc>
        <w:tc>
          <w:tcPr>
            <w:tcW w:w="1000" w:type="dxa"/>
            <w:vAlign w:val="bottom"/>
            <w:shd w:val="clear" w:color="auto" w:fill="FDFDFC"/>
          </w:tcPr>
          <w:p>
            <w:pPr>
              <w:jc w:val="right"/>
              <w:ind w:right="44"/>
              <w:spacing w:after="0" w:line="172" w:lineRule="exact"/>
              <w:rPr>
                <w:sz w:val="20"/>
                <w:szCs w:val="20"/>
                <w:color w:val="auto"/>
              </w:rPr>
            </w:pPr>
            <w:r>
              <w:rPr>
                <w:rFonts w:ascii="Times New Roman" w:cs="Times New Roman" w:eastAsia="Times New Roman" w:hAnsi="Times New Roman"/>
                <w:sz w:val="15"/>
                <w:szCs w:val="15"/>
                <w:color w:val="231F20"/>
              </w:rPr>
              <w:t>SOFR +</w:t>
            </w:r>
          </w:p>
        </w:tc>
        <w:tc>
          <w:tcPr>
            <w:tcW w:w="1060" w:type="dxa"/>
            <w:vAlign w:val="bottom"/>
            <w:shd w:val="clear" w:color="auto" w:fill="FDFDFC"/>
          </w:tcPr>
          <w:p>
            <w:pPr>
              <w:jc w:val="right"/>
              <w:ind w:right="64"/>
              <w:spacing w:after="0" w:line="172" w:lineRule="exact"/>
              <w:rPr>
                <w:sz w:val="20"/>
                <w:szCs w:val="20"/>
                <w:color w:val="auto"/>
              </w:rPr>
            </w:pPr>
            <w:r>
              <w:rPr>
                <w:rFonts w:ascii="Times New Roman" w:cs="Times New Roman" w:eastAsia="Times New Roman" w:hAnsi="Times New Roman"/>
                <w:sz w:val="15"/>
                <w:szCs w:val="15"/>
                <w:color w:val="231F20"/>
              </w:rPr>
              <w:t>11.33%</w:t>
            </w:r>
          </w:p>
        </w:tc>
        <w:tc>
          <w:tcPr>
            <w:tcW w:w="100" w:type="dxa"/>
            <w:vAlign w:val="bottom"/>
            <w:shd w:val="clear" w:color="auto" w:fill="FDFDFC"/>
          </w:tcPr>
          <w:p>
            <w:pPr>
              <w:spacing w:after="0"/>
              <w:rPr>
                <w:sz w:val="14"/>
                <w:szCs w:val="14"/>
                <w:color w:val="auto"/>
              </w:rPr>
            </w:pPr>
          </w:p>
        </w:tc>
        <w:tc>
          <w:tcPr>
            <w:tcW w:w="900" w:type="dxa"/>
            <w:vAlign w:val="bottom"/>
            <w:shd w:val="clear" w:color="auto" w:fill="FDFDFC"/>
          </w:tcPr>
          <w:p>
            <w:pPr>
              <w:jc w:val="right"/>
              <w:spacing w:after="0" w:line="172" w:lineRule="exact"/>
              <w:rPr>
                <w:sz w:val="20"/>
                <w:szCs w:val="20"/>
                <w:color w:val="auto"/>
              </w:rPr>
            </w:pPr>
            <w:r>
              <w:rPr>
                <w:rFonts w:ascii="Times New Roman" w:cs="Times New Roman" w:eastAsia="Times New Roman" w:hAnsi="Times New Roman"/>
                <w:sz w:val="15"/>
                <w:szCs w:val="15"/>
                <w:color w:val="231F20"/>
              </w:rPr>
              <w:t>2,269</w:t>
            </w:r>
          </w:p>
        </w:tc>
        <w:tc>
          <w:tcPr>
            <w:tcW w:w="1680" w:type="dxa"/>
            <w:vAlign w:val="bottom"/>
            <w:gridSpan w:val="3"/>
            <w:shd w:val="clear" w:color="auto" w:fill="FDFDFC"/>
          </w:tcPr>
          <w:p>
            <w:pPr>
              <w:jc w:val="right"/>
              <w:spacing w:after="0" w:line="172" w:lineRule="exact"/>
              <w:rPr>
                <w:sz w:val="20"/>
                <w:szCs w:val="20"/>
                <w:color w:val="auto"/>
              </w:rPr>
            </w:pPr>
            <w:r>
              <w:rPr>
                <w:rFonts w:ascii="Times New Roman" w:cs="Times New Roman" w:eastAsia="Times New Roman" w:hAnsi="Times New Roman"/>
                <w:sz w:val="15"/>
                <w:szCs w:val="15"/>
                <w:color w:val="231F20"/>
              </w:rPr>
              <w:t>2,358</w:t>
            </w:r>
          </w:p>
        </w:tc>
        <w:tc>
          <w:tcPr>
            <w:tcW w:w="960" w:type="dxa"/>
            <w:vAlign w:val="bottom"/>
            <w:gridSpan w:val="2"/>
            <w:shd w:val="clear" w:color="auto" w:fill="FDFDFC"/>
          </w:tcPr>
          <w:p>
            <w:pPr>
              <w:jc w:val="right"/>
              <w:spacing w:after="0" w:line="172" w:lineRule="exact"/>
              <w:rPr>
                <w:sz w:val="20"/>
                <w:szCs w:val="20"/>
                <w:color w:val="auto"/>
              </w:rPr>
            </w:pPr>
            <w:r>
              <w:rPr>
                <w:rFonts w:ascii="Times New Roman" w:cs="Times New Roman" w:eastAsia="Times New Roman" w:hAnsi="Times New Roman"/>
                <w:sz w:val="15"/>
                <w:szCs w:val="15"/>
                <w:color w:val="231F20"/>
              </w:rPr>
              <w:t>0.1%</w:t>
            </w:r>
          </w:p>
        </w:tc>
      </w:tr>
      <w:tr>
        <w:trPr>
          <w:trHeight w:val="189"/>
        </w:trPr>
        <w:tc>
          <w:tcPr>
            <w:tcW w:w="1580" w:type="dxa"/>
            <w:vAlign w:val="bottom"/>
            <w:shd w:val="clear" w:color="auto" w:fill="FDFDFC"/>
          </w:tcPr>
          <w:p>
            <w:pPr>
              <w:spacing w:after="0"/>
              <w:rPr>
                <w:sz w:val="16"/>
                <w:szCs w:val="16"/>
                <w:color w:val="auto"/>
              </w:rPr>
            </w:pPr>
          </w:p>
        </w:tc>
        <w:tc>
          <w:tcPr>
            <w:tcW w:w="2200" w:type="dxa"/>
            <w:vAlign w:val="bottom"/>
            <w:shd w:val="clear" w:color="auto" w:fill="FDFDFC"/>
          </w:tcPr>
          <w:p>
            <w:pPr>
              <w:ind w:left="60"/>
              <w:spacing w:after="0"/>
              <w:rPr>
                <w:sz w:val="20"/>
                <w:szCs w:val="20"/>
                <w:color w:val="auto"/>
              </w:rPr>
            </w:pPr>
            <w:r>
              <w:rPr>
                <w:rFonts w:ascii="Times New Roman" w:cs="Times New Roman" w:eastAsia="Times New Roman" w:hAnsi="Times New Roman"/>
                <w:sz w:val="15"/>
                <w:szCs w:val="15"/>
                <w:color w:val="231F20"/>
              </w:rPr>
              <w:t>par, due 8/2029)</w:t>
            </w:r>
          </w:p>
        </w:tc>
        <w:tc>
          <w:tcPr>
            <w:tcW w:w="800" w:type="dxa"/>
            <w:vAlign w:val="bottom"/>
            <w:shd w:val="clear" w:color="auto" w:fill="FDFDFC"/>
          </w:tcPr>
          <w:p>
            <w:pPr>
              <w:spacing w:after="0"/>
              <w:rPr>
                <w:sz w:val="16"/>
                <w:szCs w:val="16"/>
                <w:color w:val="auto"/>
              </w:rPr>
            </w:pPr>
          </w:p>
        </w:tc>
        <w:tc>
          <w:tcPr>
            <w:tcW w:w="1000" w:type="dxa"/>
            <w:vAlign w:val="bottom"/>
            <w:shd w:val="clear" w:color="auto" w:fill="FDFDFC"/>
          </w:tcPr>
          <w:p>
            <w:pPr>
              <w:jc w:val="right"/>
              <w:ind w:right="44"/>
              <w:spacing w:after="0"/>
              <w:rPr>
                <w:sz w:val="20"/>
                <w:szCs w:val="20"/>
                <w:color w:val="auto"/>
              </w:rPr>
            </w:pPr>
            <w:r>
              <w:rPr>
                <w:rFonts w:ascii="Times New Roman" w:cs="Times New Roman" w:eastAsia="Times New Roman" w:hAnsi="Times New Roman"/>
                <w:sz w:val="15"/>
                <w:szCs w:val="15"/>
                <w:color w:val="231F20"/>
              </w:rPr>
              <w:t>7.00%</w:t>
            </w:r>
          </w:p>
        </w:tc>
        <w:tc>
          <w:tcPr>
            <w:tcW w:w="1060" w:type="dxa"/>
            <w:vAlign w:val="bottom"/>
            <w:shd w:val="clear" w:color="auto" w:fill="FDFDFC"/>
          </w:tcPr>
          <w:p>
            <w:pPr>
              <w:spacing w:after="0"/>
              <w:rPr>
                <w:sz w:val="16"/>
                <w:szCs w:val="16"/>
                <w:color w:val="auto"/>
              </w:rPr>
            </w:pPr>
          </w:p>
        </w:tc>
        <w:tc>
          <w:tcPr>
            <w:tcW w:w="100" w:type="dxa"/>
            <w:vAlign w:val="bottom"/>
            <w:shd w:val="clear" w:color="auto" w:fill="FDFDFC"/>
          </w:tcPr>
          <w:p>
            <w:pPr>
              <w:spacing w:after="0"/>
              <w:rPr>
                <w:sz w:val="16"/>
                <w:szCs w:val="16"/>
                <w:color w:val="auto"/>
              </w:rPr>
            </w:pPr>
          </w:p>
        </w:tc>
        <w:tc>
          <w:tcPr>
            <w:tcW w:w="900" w:type="dxa"/>
            <w:vAlign w:val="bottom"/>
            <w:shd w:val="clear" w:color="auto" w:fill="FDFDFC"/>
          </w:tcPr>
          <w:p>
            <w:pPr>
              <w:spacing w:after="0"/>
              <w:rPr>
                <w:sz w:val="16"/>
                <w:szCs w:val="16"/>
                <w:color w:val="auto"/>
              </w:rPr>
            </w:pPr>
          </w:p>
        </w:tc>
        <w:tc>
          <w:tcPr>
            <w:tcW w:w="80" w:type="dxa"/>
            <w:vAlign w:val="bottom"/>
            <w:shd w:val="clear" w:color="auto" w:fill="FDFDFC"/>
          </w:tcPr>
          <w:p>
            <w:pPr>
              <w:spacing w:after="0"/>
              <w:rPr>
                <w:sz w:val="16"/>
                <w:szCs w:val="16"/>
                <w:color w:val="auto"/>
              </w:rPr>
            </w:pPr>
          </w:p>
        </w:tc>
        <w:tc>
          <w:tcPr>
            <w:tcW w:w="100" w:type="dxa"/>
            <w:vAlign w:val="bottom"/>
            <w:shd w:val="clear" w:color="auto" w:fill="FDFDFC"/>
          </w:tcPr>
          <w:p>
            <w:pPr>
              <w:spacing w:after="0"/>
              <w:rPr>
                <w:sz w:val="16"/>
                <w:szCs w:val="16"/>
                <w:color w:val="auto"/>
              </w:rPr>
            </w:pPr>
          </w:p>
        </w:tc>
        <w:tc>
          <w:tcPr>
            <w:tcW w:w="1500" w:type="dxa"/>
            <w:vAlign w:val="bottom"/>
            <w:shd w:val="clear" w:color="auto" w:fill="FDFDFC"/>
          </w:tcPr>
          <w:p>
            <w:pPr>
              <w:spacing w:after="0"/>
              <w:rPr>
                <w:sz w:val="16"/>
                <w:szCs w:val="16"/>
                <w:color w:val="auto"/>
              </w:rPr>
            </w:pPr>
          </w:p>
        </w:tc>
        <w:tc>
          <w:tcPr>
            <w:tcW w:w="100" w:type="dxa"/>
            <w:vAlign w:val="bottom"/>
            <w:shd w:val="clear" w:color="auto" w:fill="FDFDFC"/>
          </w:tcPr>
          <w:p>
            <w:pPr>
              <w:spacing w:after="0"/>
              <w:rPr>
                <w:sz w:val="16"/>
                <w:szCs w:val="16"/>
                <w:color w:val="auto"/>
              </w:rPr>
            </w:pPr>
          </w:p>
        </w:tc>
        <w:tc>
          <w:tcPr>
            <w:tcW w:w="860" w:type="dxa"/>
            <w:vAlign w:val="bottom"/>
            <w:shd w:val="clear" w:color="auto" w:fill="FDFDFC"/>
          </w:tcPr>
          <w:p>
            <w:pPr>
              <w:spacing w:after="0"/>
              <w:rPr>
                <w:sz w:val="16"/>
                <w:szCs w:val="16"/>
                <w:color w:val="auto"/>
              </w:rPr>
            </w:pPr>
          </w:p>
        </w:tc>
      </w:tr>
      <w:tr>
        <w:trPr>
          <w:trHeight w:val="171"/>
        </w:trPr>
        <w:tc>
          <w:tcPr>
            <w:tcW w:w="1580" w:type="dxa"/>
            <w:vAlign w:val="bottom"/>
            <w:shd w:val="clear" w:color="auto" w:fill="D0EBF2"/>
          </w:tcPr>
          <w:p>
            <w:pPr>
              <w:spacing w:after="0" w:line="172" w:lineRule="exact"/>
              <w:rPr>
                <w:sz w:val="20"/>
                <w:szCs w:val="20"/>
                <w:color w:val="auto"/>
              </w:rPr>
            </w:pPr>
            <w:r>
              <w:rPr>
                <w:rFonts w:ascii="Times New Roman" w:cs="Times New Roman" w:eastAsia="Times New Roman" w:hAnsi="Times New Roman"/>
                <w:sz w:val="15"/>
                <w:szCs w:val="15"/>
                <w:color w:val="231F20"/>
              </w:rPr>
              <w:t xml:space="preserve">Project44, Inc. </w:t>
            </w:r>
            <w:r>
              <w:rPr>
                <w:rFonts w:ascii="Times New Roman" w:cs="Times New Roman" w:eastAsia="Times New Roman" w:hAnsi="Times New Roman"/>
                <w:sz w:val="9"/>
                <w:szCs w:val="9"/>
                <w:color w:val="231F20"/>
              </w:rPr>
              <w:t>(3)(5)</w:t>
            </w:r>
          </w:p>
        </w:tc>
        <w:tc>
          <w:tcPr>
            <w:tcW w:w="2200" w:type="dxa"/>
            <w:vAlign w:val="bottom"/>
            <w:shd w:val="clear" w:color="auto" w:fill="D0EBF2"/>
          </w:tcPr>
          <w:p>
            <w:pPr>
              <w:ind w:left="60"/>
              <w:spacing w:after="0" w:line="172" w:lineRule="exact"/>
              <w:rPr>
                <w:sz w:val="20"/>
                <w:szCs w:val="20"/>
                <w:color w:val="auto"/>
              </w:rPr>
            </w:pPr>
            <w:r>
              <w:rPr>
                <w:rFonts w:ascii="Times New Roman" w:cs="Times New Roman" w:eastAsia="Times New Roman" w:hAnsi="Times New Roman"/>
                <w:sz w:val="15"/>
                <w:szCs w:val="15"/>
                <w:color w:val="231F20"/>
              </w:rPr>
              <w:t>First-lien loan ($54,824 par, due</w:t>
            </w:r>
          </w:p>
        </w:tc>
        <w:tc>
          <w:tcPr>
            <w:tcW w:w="800" w:type="dxa"/>
            <w:vAlign w:val="bottom"/>
            <w:shd w:val="clear" w:color="auto" w:fill="D0EBF2"/>
          </w:tcPr>
          <w:p>
            <w:pPr>
              <w:jc w:val="right"/>
              <w:spacing w:after="0" w:line="172" w:lineRule="exact"/>
              <w:rPr>
                <w:sz w:val="20"/>
                <w:szCs w:val="20"/>
                <w:color w:val="auto"/>
              </w:rPr>
            </w:pPr>
            <w:r>
              <w:rPr>
                <w:rFonts w:ascii="Times New Roman" w:cs="Times New Roman" w:eastAsia="Times New Roman" w:hAnsi="Times New Roman"/>
                <w:sz w:val="15"/>
                <w:szCs w:val="15"/>
                <w:color w:val="231F20"/>
              </w:rPr>
              <w:t>11/12/2021</w:t>
            </w:r>
          </w:p>
        </w:tc>
        <w:tc>
          <w:tcPr>
            <w:tcW w:w="1000" w:type="dxa"/>
            <w:vAlign w:val="bottom"/>
            <w:shd w:val="clear" w:color="auto" w:fill="D0EBF2"/>
          </w:tcPr>
          <w:p>
            <w:pPr>
              <w:jc w:val="right"/>
              <w:ind w:right="44"/>
              <w:spacing w:after="0" w:line="172" w:lineRule="exact"/>
              <w:rPr>
                <w:sz w:val="20"/>
                <w:szCs w:val="20"/>
                <w:color w:val="auto"/>
              </w:rPr>
            </w:pPr>
            <w:r>
              <w:rPr>
                <w:rFonts w:ascii="Times New Roman" w:cs="Times New Roman" w:eastAsia="Times New Roman" w:hAnsi="Times New Roman"/>
                <w:sz w:val="15"/>
                <w:szCs w:val="15"/>
                <w:color w:val="231F20"/>
              </w:rPr>
              <w:t>SOFR +</w:t>
            </w:r>
          </w:p>
        </w:tc>
        <w:tc>
          <w:tcPr>
            <w:tcW w:w="1060" w:type="dxa"/>
            <w:vAlign w:val="bottom"/>
            <w:shd w:val="clear" w:color="auto" w:fill="D0EBF2"/>
          </w:tcPr>
          <w:p>
            <w:pPr>
              <w:jc w:val="right"/>
              <w:ind w:right="64"/>
              <w:spacing w:after="0" w:line="172" w:lineRule="exact"/>
              <w:rPr>
                <w:sz w:val="20"/>
                <w:szCs w:val="20"/>
                <w:color w:val="auto"/>
              </w:rPr>
            </w:pPr>
            <w:r>
              <w:rPr>
                <w:rFonts w:ascii="Times New Roman" w:cs="Times New Roman" w:eastAsia="Times New Roman" w:hAnsi="Times New Roman"/>
                <w:sz w:val="15"/>
                <w:szCs w:val="15"/>
                <w:color w:val="231F20"/>
              </w:rPr>
              <w:t>10.75%</w:t>
            </w:r>
          </w:p>
        </w:tc>
        <w:tc>
          <w:tcPr>
            <w:tcW w:w="100" w:type="dxa"/>
            <w:vAlign w:val="bottom"/>
            <w:shd w:val="clear" w:color="auto" w:fill="D0EBF2"/>
          </w:tcPr>
          <w:p>
            <w:pPr>
              <w:spacing w:after="0"/>
              <w:rPr>
                <w:sz w:val="14"/>
                <w:szCs w:val="14"/>
                <w:color w:val="auto"/>
              </w:rPr>
            </w:pPr>
          </w:p>
        </w:tc>
        <w:tc>
          <w:tcPr>
            <w:tcW w:w="900" w:type="dxa"/>
            <w:vAlign w:val="bottom"/>
            <w:shd w:val="clear" w:color="auto" w:fill="D0EBF2"/>
          </w:tcPr>
          <w:p>
            <w:pPr>
              <w:jc w:val="right"/>
              <w:spacing w:after="0" w:line="172" w:lineRule="exact"/>
              <w:rPr>
                <w:sz w:val="20"/>
                <w:szCs w:val="20"/>
                <w:color w:val="auto"/>
              </w:rPr>
            </w:pPr>
            <w:r>
              <w:rPr>
                <w:rFonts w:ascii="Times New Roman" w:cs="Times New Roman" w:eastAsia="Times New Roman" w:hAnsi="Times New Roman"/>
                <w:sz w:val="15"/>
                <w:szCs w:val="15"/>
                <w:color w:val="231F20"/>
              </w:rPr>
              <w:t>54,087</w:t>
            </w:r>
          </w:p>
        </w:tc>
        <w:tc>
          <w:tcPr>
            <w:tcW w:w="1680" w:type="dxa"/>
            <w:vAlign w:val="bottom"/>
            <w:gridSpan w:val="3"/>
            <w:shd w:val="clear" w:color="auto" w:fill="D0EBF2"/>
          </w:tcPr>
          <w:p>
            <w:pPr>
              <w:jc w:val="right"/>
              <w:spacing w:after="0" w:line="172" w:lineRule="exact"/>
              <w:rPr>
                <w:sz w:val="20"/>
                <w:szCs w:val="20"/>
                <w:color w:val="auto"/>
              </w:rPr>
            </w:pPr>
            <w:r>
              <w:rPr>
                <w:rFonts w:ascii="Times New Roman" w:cs="Times New Roman" w:eastAsia="Times New Roman" w:hAnsi="Times New Roman"/>
                <w:sz w:val="15"/>
                <w:szCs w:val="15"/>
                <w:color w:val="231F20"/>
              </w:rPr>
              <w:t>54,824</w:t>
            </w:r>
          </w:p>
        </w:tc>
        <w:tc>
          <w:tcPr>
            <w:tcW w:w="960" w:type="dxa"/>
            <w:vAlign w:val="bottom"/>
            <w:gridSpan w:val="2"/>
            <w:shd w:val="clear" w:color="auto" w:fill="D0EBF2"/>
          </w:tcPr>
          <w:p>
            <w:pPr>
              <w:jc w:val="right"/>
              <w:spacing w:after="0" w:line="172" w:lineRule="exact"/>
              <w:rPr>
                <w:sz w:val="20"/>
                <w:szCs w:val="20"/>
                <w:color w:val="auto"/>
              </w:rPr>
            </w:pPr>
            <w:r>
              <w:rPr>
                <w:rFonts w:ascii="Times New Roman" w:cs="Times New Roman" w:eastAsia="Times New Roman" w:hAnsi="Times New Roman"/>
                <w:sz w:val="15"/>
                <w:szCs w:val="15"/>
                <w:color w:val="231F20"/>
              </w:rPr>
              <w:t>3.4%</w:t>
            </w:r>
          </w:p>
        </w:tc>
      </w:tr>
      <w:tr>
        <w:trPr>
          <w:trHeight w:val="189"/>
        </w:trPr>
        <w:tc>
          <w:tcPr>
            <w:tcW w:w="1580" w:type="dxa"/>
            <w:vAlign w:val="bottom"/>
            <w:shd w:val="clear" w:color="auto" w:fill="D0EBF2"/>
          </w:tcPr>
          <w:p>
            <w:pPr>
              <w:spacing w:after="0"/>
              <w:rPr>
                <w:sz w:val="16"/>
                <w:szCs w:val="16"/>
                <w:color w:val="auto"/>
              </w:rPr>
            </w:pPr>
          </w:p>
        </w:tc>
        <w:tc>
          <w:tcPr>
            <w:tcW w:w="2200" w:type="dxa"/>
            <w:vAlign w:val="bottom"/>
            <w:shd w:val="clear" w:color="auto" w:fill="D0EBF2"/>
          </w:tcPr>
          <w:p>
            <w:pPr>
              <w:ind w:left="60"/>
              <w:spacing w:after="0"/>
              <w:rPr>
                <w:sz w:val="20"/>
                <w:szCs w:val="20"/>
                <w:color w:val="auto"/>
              </w:rPr>
            </w:pPr>
            <w:r>
              <w:rPr>
                <w:rFonts w:ascii="Times New Roman" w:cs="Times New Roman" w:eastAsia="Times New Roman" w:hAnsi="Times New Roman"/>
                <w:sz w:val="15"/>
                <w:szCs w:val="15"/>
                <w:color w:val="231F20"/>
              </w:rPr>
              <w:t>11/2027)</w:t>
            </w:r>
          </w:p>
        </w:tc>
        <w:tc>
          <w:tcPr>
            <w:tcW w:w="800" w:type="dxa"/>
            <w:vAlign w:val="bottom"/>
            <w:shd w:val="clear" w:color="auto" w:fill="D0EBF2"/>
          </w:tcPr>
          <w:p>
            <w:pPr>
              <w:spacing w:after="0"/>
              <w:rPr>
                <w:sz w:val="16"/>
                <w:szCs w:val="16"/>
                <w:color w:val="auto"/>
              </w:rPr>
            </w:pPr>
          </w:p>
        </w:tc>
        <w:tc>
          <w:tcPr>
            <w:tcW w:w="1000" w:type="dxa"/>
            <w:vAlign w:val="bottom"/>
            <w:shd w:val="clear" w:color="auto" w:fill="D0EBF2"/>
          </w:tcPr>
          <w:p>
            <w:pPr>
              <w:jc w:val="right"/>
              <w:ind w:right="44"/>
              <w:spacing w:after="0"/>
              <w:rPr>
                <w:sz w:val="20"/>
                <w:szCs w:val="20"/>
                <w:color w:val="auto"/>
              </w:rPr>
            </w:pPr>
            <w:r>
              <w:rPr>
                <w:rFonts w:ascii="Times New Roman" w:cs="Times New Roman" w:eastAsia="Times New Roman" w:hAnsi="Times New Roman"/>
                <w:sz w:val="15"/>
                <w:szCs w:val="15"/>
                <w:color w:val="231F20"/>
              </w:rPr>
              <w:t>6.35%</w:t>
            </w:r>
          </w:p>
        </w:tc>
        <w:tc>
          <w:tcPr>
            <w:tcW w:w="1060" w:type="dxa"/>
            <w:vAlign w:val="bottom"/>
            <w:shd w:val="clear" w:color="auto" w:fill="D0EBF2"/>
          </w:tcPr>
          <w:p>
            <w:pPr>
              <w:spacing w:after="0"/>
              <w:rPr>
                <w:sz w:val="16"/>
                <w:szCs w:val="16"/>
                <w:color w:val="auto"/>
              </w:rPr>
            </w:pPr>
          </w:p>
        </w:tc>
        <w:tc>
          <w:tcPr>
            <w:tcW w:w="100" w:type="dxa"/>
            <w:vAlign w:val="bottom"/>
            <w:shd w:val="clear" w:color="auto" w:fill="D0EBF2"/>
          </w:tcPr>
          <w:p>
            <w:pPr>
              <w:spacing w:after="0"/>
              <w:rPr>
                <w:sz w:val="16"/>
                <w:szCs w:val="16"/>
                <w:color w:val="auto"/>
              </w:rPr>
            </w:pPr>
          </w:p>
        </w:tc>
        <w:tc>
          <w:tcPr>
            <w:tcW w:w="900" w:type="dxa"/>
            <w:vAlign w:val="bottom"/>
            <w:shd w:val="clear" w:color="auto" w:fill="D0EBF2"/>
          </w:tcPr>
          <w:p>
            <w:pPr>
              <w:spacing w:after="0"/>
              <w:rPr>
                <w:sz w:val="16"/>
                <w:szCs w:val="16"/>
                <w:color w:val="auto"/>
              </w:rPr>
            </w:pPr>
          </w:p>
        </w:tc>
        <w:tc>
          <w:tcPr>
            <w:tcW w:w="80" w:type="dxa"/>
            <w:vAlign w:val="bottom"/>
            <w:shd w:val="clear" w:color="auto" w:fill="D0EBF2"/>
          </w:tcPr>
          <w:p>
            <w:pPr>
              <w:spacing w:after="0"/>
              <w:rPr>
                <w:sz w:val="16"/>
                <w:szCs w:val="16"/>
                <w:color w:val="auto"/>
              </w:rPr>
            </w:pPr>
          </w:p>
        </w:tc>
        <w:tc>
          <w:tcPr>
            <w:tcW w:w="100" w:type="dxa"/>
            <w:vAlign w:val="bottom"/>
            <w:shd w:val="clear" w:color="auto" w:fill="D0EBF2"/>
          </w:tcPr>
          <w:p>
            <w:pPr>
              <w:spacing w:after="0"/>
              <w:rPr>
                <w:sz w:val="16"/>
                <w:szCs w:val="16"/>
                <w:color w:val="auto"/>
              </w:rPr>
            </w:pPr>
          </w:p>
        </w:tc>
        <w:tc>
          <w:tcPr>
            <w:tcW w:w="1500" w:type="dxa"/>
            <w:vAlign w:val="bottom"/>
            <w:shd w:val="clear" w:color="auto" w:fill="D0EBF2"/>
          </w:tcPr>
          <w:p>
            <w:pPr>
              <w:spacing w:after="0"/>
              <w:rPr>
                <w:sz w:val="16"/>
                <w:szCs w:val="16"/>
                <w:color w:val="auto"/>
              </w:rPr>
            </w:pPr>
          </w:p>
        </w:tc>
        <w:tc>
          <w:tcPr>
            <w:tcW w:w="100" w:type="dxa"/>
            <w:vAlign w:val="bottom"/>
            <w:shd w:val="clear" w:color="auto" w:fill="D0EBF2"/>
          </w:tcPr>
          <w:p>
            <w:pPr>
              <w:spacing w:after="0"/>
              <w:rPr>
                <w:sz w:val="16"/>
                <w:szCs w:val="16"/>
                <w:color w:val="auto"/>
              </w:rPr>
            </w:pPr>
          </w:p>
        </w:tc>
        <w:tc>
          <w:tcPr>
            <w:tcW w:w="860" w:type="dxa"/>
            <w:vAlign w:val="bottom"/>
            <w:shd w:val="clear" w:color="auto" w:fill="D0EBF2"/>
          </w:tcPr>
          <w:p>
            <w:pPr>
              <w:spacing w:after="0"/>
              <w:rPr>
                <w:sz w:val="16"/>
                <w:szCs w:val="16"/>
                <w:color w:val="auto"/>
              </w:rPr>
            </w:pPr>
          </w:p>
        </w:tc>
      </w:tr>
      <w:tr>
        <w:trPr>
          <w:trHeight w:val="171"/>
        </w:trPr>
        <w:tc>
          <w:tcPr>
            <w:tcW w:w="1580" w:type="dxa"/>
            <w:vAlign w:val="bottom"/>
            <w:shd w:val="clear" w:color="auto" w:fill="FDFDFC"/>
          </w:tcPr>
          <w:p>
            <w:pPr>
              <w:spacing w:after="0" w:line="172" w:lineRule="exact"/>
              <w:rPr>
                <w:sz w:val="20"/>
                <w:szCs w:val="20"/>
                <w:color w:val="auto"/>
              </w:rPr>
            </w:pPr>
            <w:r>
              <w:rPr>
                <w:rFonts w:ascii="Times New Roman" w:cs="Times New Roman" w:eastAsia="Times New Roman" w:hAnsi="Times New Roman"/>
                <w:sz w:val="15"/>
                <w:szCs w:val="15"/>
                <w:color w:val="231F20"/>
              </w:rPr>
              <w:t xml:space="preserve">Shiftmove GMBH </w:t>
            </w:r>
            <w:r>
              <w:rPr>
                <w:rFonts w:ascii="Times New Roman" w:cs="Times New Roman" w:eastAsia="Times New Roman" w:hAnsi="Times New Roman"/>
                <w:sz w:val="9"/>
                <w:szCs w:val="9"/>
                <w:color w:val="231F20"/>
              </w:rPr>
              <w:t>(3)(4)(5)</w:t>
            </w:r>
          </w:p>
        </w:tc>
        <w:tc>
          <w:tcPr>
            <w:tcW w:w="2200" w:type="dxa"/>
            <w:vAlign w:val="bottom"/>
            <w:shd w:val="clear" w:color="auto" w:fill="FDFDFC"/>
          </w:tcPr>
          <w:p>
            <w:pPr>
              <w:ind w:left="60"/>
              <w:spacing w:after="0" w:line="172" w:lineRule="exact"/>
              <w:rPr>
                <w:sz w:val="20"/>
                <w:szCs w:val="20"/>
                <w:color w:val="auto"/>
              </w:rPr>
            </w:pPr>
            <w:r>
              <w:rPr>
                <w:rFonts w:ascii="Times New Roman" w:cs="Times New Roman" w:eastAsia="Times New Roman" w:hAnsi="Times New Roman"/>
                <w:sz w:val="15"/>
                <w:szCs w:val="15"/>
                <w:color w:val="231F20"/>
              </w:rPr>
              <w:t>First-lien loan (EUR 31,875 par,</w:t>
            </w:r>
          </w:p>
        </w:tc>
        <w:tc>
          <w:tcPr>
            <w:tcW w:w="800" w:type="dxa"/>
            <w:vAlign w:val="bottom"/>
            <w:shd w:val="clear" w:color="auto" w:fill="FDFDFC"/>
          </w:tcPr>
          <w:p>
            <w:pPr>
              <w:jc w:val="right"/>
              <w:spacing w:after="0" w:line="172" w:lineRule="exact"/>
              <w:rPr>
                <w:sz w:val="20"/>
                <w:szCs w:val="20"/>
                <w:color w:val="auto"/>
              </w:rPr>
            </w:pPr>
            <w:r>
              <w:rPr>
                <w:rFonts w:ascii="Times New Roman" w:cs="Times New Roman" w:eastAsia="Times New Roman" w:hAnsi="Times New Roman"/>
                <w:sz w:val="15"/>
                <w:szCs w:val="15"/>
                <w:color w:val="231F20"/>
              </w:rPr>
              <w:t>9/30/2024</w:t>
            </w:r>
          </w:p>
        </w:tc>
        <w:tc>
          <w:tcPr>
            <w:tcW w:w="1000" w:type="dxa"/>
            <w:vAlign w:val="bottom"/>
            <w:shd w:val="clear" w:color="auto" w:fill="FDFDFC"/>
          </w:tcPr>
          <w:p>
            <w:pPr>
              <w:jc w:val="right"/>
              <w:ind w:right="44"/>
              <w:spacing w:after="0" w:line="172" w:lineRule="exact"/>
              <w:rPr>
                <w:sz w:val="20"/>
                <w:szCs w:val="20"/>
                <w:color w:val="auto"/>
              </w:rPr>
            </w:pPr>
            <w:r>
              <w:rPr>
                <w:rFonts w:ascii="Times New Roman" w:cs="Times New Roman" w:eastAsia="Times New Roman" w:hAnsi="Times New Roman"/>
                <w:sz w:val="15"/>
                <w:szCs w:val="15"/>
                <w:color w:val="231F20"/>
              </w:rPr>
              <w:t>E + 6.00%</w:t>
            </w:r>
          </w:p>
        </w:tc>
        <w:tc>
          <w:tcPr>
            <w:tcW w:w="1060" w:type="dxa"/>
            <w:vAlign w:val="bottom"/>
            <w:shd w:val="clear" w:color="auto" w:fill="FDFDFC"/>
          </w:tcPr>
          <w:p>
            <w:pPr>
              <w:jc w:val="right"/>
              <w:ind w:right="64"/>
              <w:spacing w:after="0" w:line="172" w:lineRule="exact"/>
              <w:rPr>
                <w:sz w:val="20"/>
                <w:szCs w:val="20"/>
                <w:color w:val="auto"/>
              </w:rPr>
            </w:pPr>
            <w:r>
              <w:rPr>
                <w:rFonts w:ascii="Times New Roman" w:cs="Times New Roman" w:eastAsia="Times New Roman" w:hAnsi="Times New Roman"/>
                <w:sz w:val="15"/>
                <w:szCs w:val="15"/>
                <w:color w:val="231F20"/>
              </w:rPr>
              <w:t>8.68%</w:t>
            </w:r>
          </w:p>
        </w:tc>
        <w:tc>
          <w:tcPr>
            <w:tcW w:w="100" w:type="dxa"/>
            <w:vAlign w:val="bottom"/>
            <w:shd w:val="clear" w:color="auto" w:fill="FDFDFC"/>
          </w:tcPr>
          <w:p>
            <w:pPr>
              <w:spacing w:after="0"/>
              <w:rPr>
                <w:sz w:val="14"/>
                <w:szCs w:val="14"/>
                <w:color w:val="auto"/>
              </w:rPr>
            </w:pPr>
          </w:p>
        </w:tc>
        <w:tc>
          <w:tcPr>
            <w:tcW w:w="900" w:type="dxa"/>
            <w:vAlign w:val="bottom"/>
            <w:shd w:val="clear" w:color="auto" w:fill="FDFDFC"/>
          </w:tcPr>
          <w:p>
            <w:pPr>
              <w:jc w:val="right"/>
              <w:spacing w:after="0" w:line="172" w:lineRule="exact"/>
              <w:rPr>
                <w:sz w:val="20"/>
                <w:szCs w:val="20"/>
                <w:color w:val="auto"/>
              </w:rPr>
            </w:pPr>
            <w:r>
              <w:rPr>
                <w:rFonts w:ascii="Times New Roman" w:cs="Times New Roman" w:eastAsia="Times New Roman" w:hAnsi="Times New Roman"/>
                <w:sz w:val="15"/>
                <w:szCs w:val="15"/>
                <w:color w:val="231F20"/>
              </w:rPr>
              <w:t>34,509</w:t>
            </w:r>
          </w:p>
        </w:tc>
        <w:tc>
          <w:tcPr>
            <w:tcW w:w="1680" w:type="dxa"/>
            <w:vAlign w:val="bottom"/>
            <w:gridSpan w:val="3"/>
            <w:shd w:val="clear" w:color="auto" w:fill="FDFDFC"/>
          </w:tcPr>
          <w:p>
            <w:pPr>
              <w:jc w:val="right"/>
              <w:spacing w:after="0" w:line="172" w:lineRule="exact"/>
              <w:rPr>
                <w:sz w:val="20"/>
                <w:szCs w:val="20"/>
                <w:color w:val="auto"/>
              </w:rPr>
            </w:pPr>
            <w:r>
              <w:rPr>
                <w:rFonts w:ascii="Times New Roman" w:cs="Times New Roman" w:eastAsia="Times New Roman" w:hAnsi="Times New Roman"/>
                <w:sz w:val="15"/>
                <w:szCs w:val="15"/>
                <w:color w:val="231F20"/>
              </w:rPr>
              <w:t>32,191</w:t>
            </w:r>
          </w:p>
        </w:tc>
        <w:tc>
          <w:tcPr>
            <w:tcW w:w="960" w:type="dxa"/>
            <w:vAlign w:val="bottom"/>
            <w:gridSpan w:val="2"/>
            <w:shd w:val="clear" w:color="auto" w:fill="FDFDFC"/>
          </w:tcPr>
          <w:p>
            <w:pPr>
              <w:jc w:val="right"/>
              <w:spacing w:after="0" w:line="172" w:lineRule="exact"/>
              <w:rPr>
                <w:sz w:val="20"/>
                <w:szCs w:val="20"/>
                <w:color w:val="auto"/>
              </w:rPr>
            </w:pPr>
            <w:r>
              <w:rPr>
                <w:rFonts w:ascii="Times New Roman" w:cs="Times New Roman" w:eastAsia="Times New Roman" w:hAnsi="Times New Roman"/>
                <w:sz w:val="15"/>
                <w:szCs w:val="15"/>
                <w:color w:val="231F20"/>
              </w:rPr>
              <w:t>2.1%</w:t>
            </w:r>
          </w:p>
        </w:tc>
      </w:tr>
      <w:tr>
        <w:trPr>
          <w:trHeight w:val="189"/>
        </w:trPr>
        <w:tc>
          <w:tcPr>
            <w:tcW w:w="1580" w:type="dxa"/>
            <w:vAlign w:val="bottom"/>
            <w:tcBorders>
              <w:bottom w:val="single" w:sz="8" w:color="D0EBF2"/>
            </w:tcBorders>
            <w:shd w:val="clear" w:color="auto" w:fill="FDFDFC"/>
          </w:tcPr>
          <w:p>
            <w:pPr>
              <w:spacing w:after="0"/>
              <w:rPr>
                <w:sz w:val="16"/>
                <w:szCs w:val="16"/>
                <w:color w:val="auto"/>
              </w:rPr>
            </w:pPr>
          </w:p>
        </w:tc>
        <w:tc>
          <w:tcPr>
            <w:tcW w:w="2200" w:type="dxa"/>
            <w:vAlign w:val="bottom"/>
            <w:tcBorders>
              <w:bottom w:val="single" w:sz="8" w:color="D0EBF2"/>
            </w:tcBorders>
            <w:shd w:val="clear" w:color="auto" w:fill="FDFDFC"/>
          </w:tcPr>
          <w:p>
            <w:pPr>
              <w:ind w:left="60"/>
              <w:spacing w:after="0"/>
              <w:rPr>
                <w:sz w:val="20"/>
                <w:szCs w:val="20"/>
                <w:color w:val="auto"/>
              </w:rPr>
            </w:pPr>
            <w:r>
              <w:rPr>
                <w:rFonts w:ascii="Times New Roman" w:cs="Times New Roman" w:eastAsia="Times New Roman" w:hAnsi="Times New Roman"/>
                <w:sz w:val="15"/>
                <w:szCs w:val="15"/>
                <w:color w:val="231F20"/>
              </w:rPr>
              <w:t>due 9/2030)</w:t>
            </w:r>
          </w:p>
        </w:tc>
        <w:tc>
          <w:tcPr>
            <w:tcW w:w="800" w:type="dxa"/>
            <w:vAlign w:val="bottom"/>
            <w:tcBorders>
              <w:bottom w:val="single" w:sz="8" w:color="D0EBF2"/>
            </w:tcBorders>
            <w:shd w:val="clear" w:color="auto" w:fill="FDFDFC"/>
          </w:tcPr>
          <w:p>
            <w:pPr>
              <w:spacing w:after="0"/>
              <w:rPr>
                <w:sz w:val="16"/>
                <w:szCs w:val="16"/>
                <w:color w:val="auto"/>
              </w:rPr>
            </w:pPr>
          </w:p>
        </w:tc>
        <w:tc>
          <w:tcPr>
            <w:tcW w:w="1000" w:type="dxa"/>
            <w:vAlign w:val="bottom"/>
            <w:tcBorders>
              <w:bottom w:val="single" w:sz="8" w:color="D0EBF2"/>
            </w:tcBorders>
            <w:shd w:val="clear" w:color="auto" w:fill="FDFDFC"/>
          </w:tcPr>
          <w:p>
            <w:pPr>
              <w:spacing w:after="0"/>
              <w:rPr>
                <w:sz w:val="16"/>
                <w:szCs w:val="16"/>
                <w:color w:val="auto"/>
              </w:rPr>
            </w:pPr>
          </w:p>
        </w:tc>
        <w:tc>
          <w:tcPr>
            <w:tcW w:w="1060" w:type="dxa"/>
            <w:vAlign w:val="bottom"/>
            <w:tcBorders>
              <w:bottom w:val="single" w:sz="8" w:color="D0EBF2"/>
            </w:tcBorders>
            <w:shd w:val="clear" w:color="auto" w:fill="FDFDFC"/>
          </w:tcPr>
          <w:p>
            <w:pPr>
              <w:spacing w:after="0"/>
              <w:rPr>
                <w:sz w:val="16"/>
                <w:szCs w:val="16"/>
                <w:color w:val="auto"/>
              </w:rPr>
            </w:pPr>
          </w:p>
        </w:tc>
        <w:tc>
          <w:tcPr>
            <w:tcW w:w="100" w:type="dxa"/>
            <w:vAlign w:val="bottom"/>
            <w:tcBorders>
              <w:bottom w:val="single" w:sz="8" w:color="D0EBF2"/>
            </w:tcBorders>
            <w:shd w:val="clear" w:color="auto" w:fill="FDFDFC"/>
          </w:tcPr>
          <w:p>
            <w:pPr>
              <w:spacing w:after="0"/>
              <w:rPr>
                <w:sz w:val="16"/>
                <w:szCs w:val="16"/>
                <w:color w:val="auto"/>
              </w:rPr>
            </w:pPr>
          </w:p>
        </w:tc>
        <w:tc>
          <w:tcPr>
            <w:tcW w:w="900" w:type="dxa"/>
            <w:vAlign w:val="bottom"/>
            <w:tcBorders>
              <w:bottom w:val="single" w:sz="8" w:color="231F20"/>
            </w:tcBorders>
            <w:shd w:val="clear" w:color="auto" w:fill="FDFDFC"/>
          </w:tcPr>
          <w:p>
            <w:pPr>
              <w:spacing w:after="0"/>
              <w:rPr>
                <w:sz w:val="16"/>
                <w:szCs w:val="16"/>
                <w:color w:val="auto"/>
              </w:rPr>
            </w:pPr>
          </w:p>
        </w:tc>
        <w:tc>
          <w:tcPr>
            <w:tcW w:w="80" w:type="dxa"/>
            <w:vAlign w:val="bottom"/>
            <w:tcBorders>
              <w:bottom w:val="single" w:sz="8" w:color="D0EBF2"/>
            </w:tcBorders>
            <w:shd w:val="clear" w:color="auto" w:fill="FDFDFC"/>
          </w:tcPr>
          <w:p>
            <w:pPr>
              <w:spacing w:after="0"/>
              <w:rPr>
                <w:sz w:val="16"/>
                <w:szCs w:val="16"/>
                <w:color w:val="auto"/>
              </w:rPr>
            </w:pPr>
          </w:p>
        </w:tc>
        <w:tc>
          <w:tcPr>
            <w:tcW w:w="100" w:type="dxa"/>
            <w:vAlign w:val="bottom"/>
            <w:tcBorders>
              <w:bottom w:val="single" w:sz="8" w:color="D0EBF2"/>
            </w:tcBorders>
            <w:shd w:val="clear" w:color="auto" w:fill="FDFDFC"/>
          </w:tcPr>
          <w:p>
            <w:pPr>
              <w:spacing w:after="0"/>
              <w:rPr>
                <w:sz w:val="16"/>
                <w:szCs w:val="16"/>
                <w:color w:val="auto"/>
              </w:rPr>
            </w:pPr>
          </w:p>
        </w:tc>
        <w:tc>
          <w:tcPr>
            <w:tcW w:w="1500" w:type="dxa"/>
            <w:vAlign w:val="bottom"/>
            <w:tcBorders>
              <w:bottom w:val="single" w:sz="8" w:color="231F20"/>
            </w:tcBorders>
            <w:shd w:val="clear" w:color="auto" w:fill="FDFDFC"/>
          </w:tcPr>
          <w:p>
            <w:pPr>
              <w:jc w:val="right"/>
              <w:spacing w:after="0"/>
              <w:rPr>
                <w:sz w:val="20"/>
                <w:szCs w:val="20"/>
                <w:color w:val="auto"/>
              </w:rPr>
            </w:pPr>
            <w:r>
              <w:rPr>
                <w:rFonts w:ascii="Times New Roman" w:cs="Times New Roman" w:eastAsia="Times New Roman" w:hAnsi="Times New Roman"/>
                <w:sz w:val="15"/>
                <w:szCs w:val="15"/>
                <w:color w:val="231F20"/>
              </w:rPr>
              <w:t>(EUR 31,088)</w:t>
            </w:r>
          </w:p>
        </w:tc>
        <w:tc>
          <w:tcPr>
            <w:tcW w:w="100" w:type="dxa"/>
            <w:vAlign w:val="bottom"/>
            <w:tcBorders>
              <w:bottom w:val="single" w:sz="8" w:color="D0EBF2"/>
            </w:tcBorders>
            <w:shd w:val="clear" w:color="auto" w:fill="FDFDFC"/>
          </w:tcPr>
          <w:p>
            <w:pPr>
              <w:spacing w:after="0"/>
              <w:rPr>
                <w:sz w:val="16"/>
                <w:szCs w:val="16"/>
                <w:color w:val="auto"/>
              </w:rPr>
            </w:pPr>
          </w:p>
        </w:tc>
        <w:tc>
          <w:tcPr>
            <w:tcW w:w="860" w:type="dxa"/>
            <w:vAlign w:val="bottom"/>
            <w:tcBorders>
              <w:bottom w:val="single" w:sz="8" w:color="231F20"/>
            </w:tcBorders>
            <w:shd w:val="clear" w:color="auto" w:fill="FDFDFC"/>
          </w:tcPr>
          <w:p>
            <w:pPr>
              <w:spacing w:after="0"/>
              <w:rPr>
                <w:sz w:val="16"/>
                <w:szCs w:val="16"/>
                <w:color w:val="auto"/>
              </w:rPr>
            </w:pPr>
          </w:p>
        </w:tc>
      </w:tr>
      <w:tr>
        <w:trPr>
          <w:trHeight w:val="176"/>
        </w:trPr>
        <w:tc>
          <w:tcPr>
            <w:tcW w:w="1580" w:type="dxa"/>
            <w:vAlign w:val="bottom"/>
            <w:tcBorders>
              <w:bottom w:val="single" w:sz="8" w:color="FDFDFC"/>
            </w:tcBorders>
            <w:shd w:val="clear" w:color="auto" w:fill="D0EBF2"/>
          </w:tcPr>
          <w:p>
            <w:pPr>
              <w:spacing w:after="0"/>
              <w:rPr>
                <w:sz w:val="15"/>
                <w:szCs w:val="15"/>
                <w:color w:val="auto"/>
              </w:rPr>
            </w:pPr>
          </w:p>
        </w:tc>
        <w:tc>
          <w:tcPr>
            <w:tcW w:w="2200" w:type="dxa"/>
            <w:vAlign w:val="bottom"/>
            <w:tcBorders>
              <w:bottom w:val="single" w:sz="8" w:color="FDFDFC"/>
            </w:tcBorders>
            <w:shd w:val="clear" w:color="auto" w:fill="D0EBF2"/>
          </w:tcPr>
          <w:p>
            <w:pPr>
              <w:spacing w:after="0"/>
              <w:rPr>
                <w:sz w:val="15"/>
                <w:szCs w:val="15"/>
                <w:color w:val="auto"/>
              </w:rPr>
            </w:pPr>
          </w:p>
        </w:tc>
        <w:tc>
          <w:tcPr>
            <w:tcW w:w="800" w:type="dxa"/>
            <w:vAlign w:val="bottom"/>
            <w:tcBorders>
              <w:bottom w:val="single" w:sz="8" w:color="FDFDFC"/>
            </w:tcBorders>
            <w:shd w:val="clear" w:color="auto" w:fill="D0EBF2"/>
          </w:tcPr>
          <w:p>
            <w:pPr>
              <w:spacing w:after="0"/>
              <w:rPr>
                <w:sz w:val="15"/>
                <w:szCs w:val="15"/>
                <w:color w:val="auto"/>
              </w:rPr>
            </w:pPr>
          </w:p>
        </w:tc>
        <w:tc>
          <w:tcPr>
            <w:tcW w:w="1000" w:type="dxa"/>
            <w:vAlign w:val="bottom"/>
            <w:tcBorders>
              <w:bottom w:val="single" w:sz="8" w:color="FDFDFC"/>
            </w:tcBorders>
            <w:shd w:val="clear" w:color="auto" w:fill="D0EBF2"/>
          </w:tcPr>
          <w:p>
            <w:pPr>
              <w:spacing w:after="0"/>
              <w:rPr>
                <w:sz w:val="15"/>
                <w:szCs w:val="15"/>
                <w:color w:val="auto"/>
              </w:rPr>
            </w:pPr>
          </w:p>
        </w:tc>
        <w:tc>
          <w:tcPr>
            <w:tcW w:w="1060" w:type="dxa"/>
            <w:vAlign w:val="bottom"/>
            <w:tcBorders>
              <w:bottom w:val="single" w:sz="8" w:color="FDFDFC"/>
            </w:tcBorders>
            <w:shd w:val="clear" w:color="auto" w:fill="D0EBF2"/>
          </w:tcPr>
          <w:p>
            <w:pPr>
              <w:spacing w:after="0"/>
              <w:rPr>
                <w:sz w:val="15"/>
                <w:szCs w:val="15"/>
                <w:color w:val="auto"/>
              </w:rPr>
            </w:pPr>
          </w:p>
        </w:tc>
        <w:tc>
          <w:tcPr>
            <w:tcW w:w="100" w:type="dxa"/>
            <w:vAlign w:val="bottom"/>
            <w:tcBorders>
              <w:bottom w:val="single" w:sz="8" w:color="231F20"/>
            </w:tcBorders>
            <w:shd w:val="clear" w:color="auto" w:fill="D0EBF2"/>
          </w:tcPr>
          <w:p>
            <w:pPr>
              <w:spacing w:after="0"/>
              <w:rPr>
                <w:sz w:val="15"/>
                <w:szCs w:val="15"/>
                <w:color w:val="auto"/>
              </w:rPr>
            </w:pPr>
          </w:p>
        </w:tc>
        <w:tc>
          <w:tcPr>
            <w:tcW w:w="900" w:type="dxa"/>
            <w:vAlign w:val="bottom"/>
            <w:tcBorders>
              <w:bottom w:val="single" w:sz="8" w:color="231F20"/>
            </w:tcBorders>
            <w:shd w:val="clear" w:color="auto" w:fill="D0EBF2"/>
          </w:tcPr>
          <w:p>
            <w:pPr>
              <w:jc w:val="right"/>
              <w:spacing w:after="0"/>
              <w:rPr>
                <w:sz w:val="20"/>
                <w:szCs w:val="20"/>
                <w:color w:val="auto"/>
              </w:rPr>
            </w:pPr>
            <w:r>
              <w:rPr>
                <w:rFonts w:ascii="Times New Roman" w:cs="Times New Roman" w:eastAsia="Times New Roman" w:hAnsi="Times New Roman"/>
                <w:sz w:val="15"/>
                <w:szCs w:val="15"/>
                <w:color w:val="231F20"/>
              </w:rPr>
              <w:t>127,476</w:t>
            </w:r>
          </w:p>
        </w:tc>
        <w:tc>
          <w:tcPr>
            <w:tcW w:w="80" w:type="dxa"/>
            <w:vAlign w:val="bottom"/>
            <w:tcBorders>
              <w:bottom w:val="single" w:sz="8" w:color="FDFDFC"/>
            </w:tcBorders>
            <w:shd w:val="clear" w:color="auto" w:fill="D0EBF2"/>
          </w:tcPr>
          <w:p>
            <w:pPr>
              <w:spacing w:after="0"/>
              <w:rPr>
                <w:sz w:val="15"/>
                <w:szCs w:val="15"/>
                <w:color w:val="auto"/>
              </w:rPr>
            </w:pPr>
          </w:p>
        </w:tc>
        <w:tc>
          <w:tcPr>
            <w:tcW w:w="100" w:type="dxa"/>
            <w:vAlign w:val="bottom"/>
            <w:tcBorders>
              <w:bottom w:val="single" w:sz="8" w:color="231F20"/>
            </w:tcBorders>
            <w:shd w:val="clear" w:color="auto" w:fill="D0EBF2"/>
          </w:tcPr>
          <w:p>
            <w:pPr>
              <w:spacing w:after="0"/>
              <w:rPr>
                <w:sz w:val="15"/>
                <w:szCs w:val="15"/>
                <w:color w:val="auto"/>
              </w:rPr>
            </w:pPr>
          </w:p>
        </w:tc>
        <w:tc>
          <w:tcPr>
            <w:tcW w:w="1500" w:type="dxa"/>
            <w:vAlign w:val="bottom"/>
            <w:tcBorders>
              <w:bottom w:val="single" w:sz="8" w:color="231F20"/>
            </w:tcBorders>
            <w:shd w:val="clear" w:color="auto" w:fill="D0EBF2"/>
          </w:tcPr>
          <w:p>
            <w:pPr>
              <w:jc w:val="right"/>
              <w:spacing w:after="0"/>
              <w:rPr>
                <w:sz w:val="20"/>
                <w:szCs w:val="20"/>
                <w:color w:val="auto"/>
              </w:rPr>
            </w:pPr>
            <w:r>
              <w:rPr>
                <w:rFonts w:ascii="Times New Roman" w:cs="Times New Roman" w:eastAsia="Times New Roman" w:hAnsi="Times New Roman"/>
                <w:sz w:val="15"/>
                <w:szCs w:val="15"/>
                <w:color w:val="231F20"/>
              </w:rPr>
              <w:t>127,172</w:t>
            </w:r>
          </w:p>
        </w:tc>
        <w:tc>
          <w:tcPr>
            <w:tcW w:w="100" w:type="dxa"/>
            <w:vAlign w:val="bottom"/>
            <w:tcBorders>
              <w:bottom w:val="single" w:sz="8" w:color="FDFDFC"/>
            </w:tcBorders>
            <w:shd w:val="clear" w:color="auto" w:fill="D0EBF2"/>
          </w:tcPr>
          <w:p>
            <w:pPr>
              <w:spacing w:after="0"/>
              <w:rPr>
                <w:sz w:val="15"/>
                <w:szCs w:val="15"/>
                <w:color w:val="auto"/>
              </w:rPr>
            </w:pPr>
          </w:p>
        </w:tc>
        <w:tc>
          <w:tcPr>
            <w:tcW w:w="860" w:type="dxa"/>
            <w:vAlign w:val="bottom"/>
            <w:tcBorders>
              <w:bottom w:val="single" w:sz="8" w:color="231F20"/>
            </w:tcBorders>
            <w:shd w:val="clear" w:color="auto" w:fill="D0EBF2"/>
          </w:tcPr>
          <w:p>
            <w:pPr>
              <w:jc w:val="right"/>
              <w:spacing w:after="0"/>
              <w:rPr>
                <w:sz w:val="20"/>
                <w:szCs w:val="20"/>
                <w:color w:val="auto"/>
              </w:rPr>
            </w:pPr>
            <w:r>
              <w:rPr>
                <w:rFonts w:ascii="Times New Roman" w:cs="Times New Roman" w:eastAsia="Times New Roman" w:hAnsi="Times New Roman"/>
                <w:sz w:val="15"/>
                <w:szCs w:val="15"/>
                <w:color w:val="231F20"/>
              </w:rPr>
              <w:t>7.9%</w:t>
            </w:r>
          </w:p>
        </w:tc>
      </w:tr>
      <w:tr>
        <w:trPr>
          <w:trHeight w:val="176"/>
        </w:trPr>
        <w:tc>
          <w:tcPr>
            <w:tcW w:w="1580" w:type="dxa"/>
            <w:vAlign w:val="bottom"/>
            <w:tcBorders>
              <w:bottom w:val="single" w:sz="8" w:color="D0EBF2"/>
            </w:tcBorders>
            <w:shd w:val="clear" w:color="auto" w:fill="FDFDFC"/>
          </w:tcPr>
          <w:p>
            <w:pPr>
              <w:spacing w:after="0"/>
              <w:rPr>
                <w:sz w:val="20"/>
                <w:szCs w:val="20"/>
                <w:color w:val="auto"/>
              </w:rPr>
            </w:pPr>
            <w:r>
              <w:rPr>
                <w:rFonts w:ascii="Times New Roman" w:cs="Times New Roman" w:eastAsia="Times New Roman" w:hAnsi="Times New Roman"/>
                <w:sz w:val="15"/>
                <w:szCs w:val="15"/>
                <w:b w:val="1"/>
                <w:bCs w:val="1"/>
                <w:color w:val="231F20"/>
              </w:rPr>
              <w:t>Total Debt Investments</w:t>
            </w:r>
          </w:p>
        </w:tc>
        <w:tc>
          <w:tcPr>
            <w:tcW w:w="2200" w:type="dxa"/>
            <w:vAlign w:val="bottom"/>
            <w:tcBorders>
              <w:bottom w:val="single" w:sz="8" w:color="D0EBF2"/>
            </w:tcBorders>
            <w:shd w:val="clear" w:color="auto" w:fill="FDFDFC"/>
          </w:tcPr>
          <w:p>
            <w:pPr>
              <w:spacing w:after="0"/>
              <w:rPr>
                <w:sz w:val="15"/>
                <w:szCs w:val="15"/>
                <w:color w:val="auto"/>
              </w:rPr>
            </w:pPr>
          </w:p>
        </w:tc>
        <w:tc>
          <w:tcPr>
            <w:tcW w:w="800" w:type="dxa"/>
            <w:vAlign w:val="bottom"/>
            <w:tcBorders>
              <w:bottom w:val="single" w:sz="8" w:color="D0EBF2"/>
            </w:tcBorders>
            <w:shd w:val="clear" w:color="auto" w:fill="FDFDFC"/>
          </w:tcPr>
          <w:p>
            <w:pPr>
              <w:spacing w:after="0"/>
              <w:rPr>
                <w:sz w:val="15"/>
                <w:szCs w:val="15"/>
                <w:color w:val="auto"/>
              </w:rPr>
            </w:pPr>
          </w:p>
        </w:tc>
        <w:tc>
          <w:tcPr>
            <w:tcW w:w="1000" w:type="dxa"/>
            <w:vAlign w:val="bottom"/>
            <w:tcBorders>
              <w:bottom w:val="single" w:sz="8" w:color="D0EBF2"/>
            </w:tcBorders>
            <w:shd w:val="clear" w:color="auto" w:fill="FDFDFC"/>
          </w:tcPr>
          <w:p>
            <w:pPr>
              <w:spacing w:after="0"/>
              <w:rPr>
                <w:sz w:val="15"/>
                <w:szCs w:val="15"/>
                <w:color w:val="auto"/>
              </w:rPr>
            </w:pPr>
          </w:p>
        </w:tc>
        <w:tc>
          <w:tcPr>
            <w:tcW w:w="1060" w:type="dxa"/>
            <w:vAlign w:val="bottom"/>
            <w:tcBorders>
              <w:bottom w:val="single" w:sz="8" w:color="D0EBF2"/>
            </w:tcBorders>
            <w:shd w:val="clear" w:color="auto" w:fill="FDFDFC"/>
          </w:tcPr>
          <w:p>
            <w:pPr>
              <w:spacing w:after="0"/>
              <w:rPr>
                <w:sz w:val="15"/>
                <w:szCs w:val="15"/>
                <w:color w:val="auto"/>
              </w:rPr>
            </w:pPr>
          </w:p>
        </w:tc>
        <w:tc>
          <w:tcPr>
            <w:tcW w:w="100" w:type="dxa"/>
            <w:vAlign w:val="bottom"/>
            <w:tcBorders>
              <w:bottom w:val="single" w:sz="8" w:color="231F20"/>
            </w:tcBorders>
            <w:shd w:val="clear" w:color="auto" w:fill="FDFDFC"/>
          </w:tcPr>
          <w:p>
            <w:pPr>
              <w:spacing w:after="0"/>
              <w:rPr>
                <w:sz w:val="15"/>
                <w:szCs w:val="15"/>
                <w:color w:val="auto"/>
              </w:rPr>
            </w:pPr>
          </w:p>
        </w:tc>
        <w:tc>
          <w:tcPr>
            <w:tcW w:w="900" w:type="dxa"/>
            <w:vAlign w:val="bottom"/>
            <w:tcBorders>
              <w:bottom w:val="single" w:sz="8" w:color="231F20"/>
            </w:tcBorders>
            <w:shd w:val="clear" w:color="auto" w:fill="FDFDFC"/>
          </w:tcPr>
          <w:p>
            <w:pPr>
              <w:jc w:val="right"/>
              <w:spacing w:after="0"/>
              <w:rPr>
                <w:sz w:val="20"/>
                <w:szCs w:val="20"/>
                <w:color w:val="auto"/>
              </w:rPr>
            </w:pPr>
            <w:r>
              <w:rPr>
                <w:rFonts w:ascii="Times New Roman" w:cs="Times New Roman" w:eastAsia="Times New Roman" w:hAnsi="Times New Roman"/>
                <w:sz w:val="15"/>
                <w:szCs w:val="15"/>
                <w:color w:val="231F20"/>
              </w:rPr>
              <w:t>3,388,244</w:t>
            </w:r>
          </w:p>
        </w:tc>
        <w:tc>
          <w:tcPr>
            <w:tcW w:w="80" w:type="dxa"/>
            <w:vAlign w:val="bottom"/>
            <w:tcBorders>
              <w:bottom w:val="single" w:sz="8" w:color="D0EBF2"/>
            </w:tcBorders>
            <w:shd w:val="clear" w:color="auto" w:fill="FDFDFC"/>
          </w:tcPr>
          <w:p>
            <w:pPr>
              <w:spacing w:after="0"/>
              <w:rPr>
                <w:sz w:val="15"/>
                <w:szCs w:val="15"/>
                <w:color w:val="auto"/>
              </w:rPr>
            </w:pPr>
          </w:p>
        </w:tc>
        <w:tc>
          <w:tcPr>
            <w:tcW w:w="1600" w:type="dxa"/>
            <w:vAlign w:val="bottom"/>
            <w:tcBorders>
              <w:bottom w:val="single" w:sz="8" w:color="231F20"/>
            </w:tcBorders>
            <w:gridSpan w:val="2"/>
            <w:shd w:val="clear" w:color="auto" w:fill="FDFDFC"/>
          </w:tcPr>
          <w:p>
            <w:pPr>
              <w:jc w:val="right"/>
              <w:spacing w:after="0"/>
              <w:rPr>
                <w:sz w:val="20"/>
                <w:szCs w:val="20"/>
                <w:color w:val="auto"/>
              </w:rPr>
            </w:pPr>
            <w:r>
              <w:rPr>
                <w:rFonts w:ascii="Times New Roman" w:cs="Times New Roman" w:eastAsia="Times New Roman" w:hAnsi="Times New Roman"/>
                <w:sz w:val="15"/>
                <w:szCs w:val="15"/>
                <w:color w:val="231F20"/>
              </w:rPr>
              <w:t>3,361,439</w:t>
            </w:r>
          </w:p>
        </w:tc>
        <w:tc>
          <w:tcPr>
            <w:tcW w:w="100" w:type="dxa"/>
            <w:vAlign w:val="bottom"/>
            <w:tcBorders>
              <w:bottom w:val="single" w:sz="8" w:color="D0EBF2"/>
            </w:tcBorders>
            <w:shd w:val="clear" w:color="auto" w:fill="FDFDFC"/>
          </w:tcPr>
          <w:p>
            <w:pPr>
              <w:spacing w:after="0"/>
              <w:rPr>
                <w:sz w:val="15"/>
                <w:szCs w:val="15"/>
                <w:color w:val="auto"/>
              </w:rPr>
            </w:pPr>
          </w:p>
        </w:tc>
        <w:tc>
          <w:tcPr>
            <w:tcW w:w="860" w:type="dxa"/>
            <w:vAlign w:val="bottom"/>
            <w:tcBorders>
              <w:bottom w:val="single" w:sz="8" w:color="231F20"/>
            </w:tcBorders>
            <w:shd w:val="clear" w:color="auto" w:fill="FDFDFC"/>
          </w:tcPr>
          <w:p>
            <w:pPr>
              <w:jc w:val="right"/>
              <w:spacing w:after="0"/>
              <w:rPr>
                <w:sz w:val="20"/>
                <w:szCs w:val="20"/>
                <w:color w:val="auto"/>
              </w:rPr>
            </w:pPr>
            <w:r>
              <w:rPr>
                <w:rFonts w:ascii="Times New Roman" w:cs="Times New Roman" w:eastAsia="Times New Roman" w:hAnsi="Times New Roman"/>
                <w:sz w:val="15"/>
                <w:szCs w:val="15"/>
                <w:color w:val="231F20"/>
              </w:rPr>
              <w:t>209.2%</w:t>
            </w:r>
          </w:p>
        </w:tc>
      </w:tr>
      <w:tr>
        <w:trPr>
          <w:trHeight w:val="176"/>
        </w:trPr>
        <w:tc>
          <w:tcPr>
            <w:tcW w:w="1580" w:type="dxa"/>
            <w:vAlign w:val="bottom"/>
            <w:shd w:val="clear" w:color="auto" w:fill="D0EBF2"/>
          </w:tcPr>
          <w:p>
            <w:pPr>
              <w:spacing w:after="0"/>
              <w:rPr>
                <w:sz w:val="15"/>
                <w:szCs w:val="15"/>
                <w:color w:val="auto"/>
              </w:rPr>
            </w:pPr>
          </w:p>
        </w:tc>
        <w:tc>
          <w:tcPr>
            <w:tcW w:w="2200" w:type="dxa"/>
            <w:vAlign w:val="bottom"/>
            <w:shd w:val="clear" w:color="auto" w:fill="D0EBF2"/>
          </w:tcPr>
          <w:p>
            <w:pPr>
              <w:spacing w:after="0"/>
              <w:rPr>
                <w:sz w:val="15"/>
                <w:szCs w:val="15"/>
                <w:color w:val="auto"/>
              </w:rPr>
            </w:pPr>
          </w:p>
        </w:tc>
        <w:tc>
          <w:tcPr>
            <w:tcW w:w="800" w:type="dxa"/>
            <w:vAlign w:val="bottom"/>
            <w:shd w:val="clear" w:color="auto" w:fill="D0EBF2"/>
          </w:tcPr>
          <w:p>
            <w:pPr>
              <w:spacing w:after="0"/>
              <w:rPr>
                <w:sz w:val="15"/>
                <w:szCs w:val="15"/>
                <w:color w:val="auto"/>
              </w:rPr>
            </w:pPr>
          </w:p>
        </w:tc>
        <w:tc>
          <w:tcPr>
            <w:tcW w:w="1000" w:type="dxa"/>
            <w:vAlign w:val="bottom"/>
            <w:shd w:val="clear" w:color="auto" w:fill="D0EBF2"/>
          </w:tcPr>
          <w:p>
            <w:pPr>
              <w:spacing w:after="0"/>
              <w:rPr>
                <w:sz w:val="15"/>
                <w:szCs w:val="15"/>
                <w:color w:val="auto"/>
              </w:rPr>
            </w:pPr>
          </w:p>
        </w:tc>
        <w:tc>
          <w:tcPr>
            <w:tcW w:w="1060" w:type="dxa"/>
            <w:vAlign w:val="bottom"/>
            <w:shd w:val="clear" w:color="auto" w:fill="D0EBF2"/>
          </w:tcPr>
          <w:p>
            <w:pPr>
              <w:spacing w:after="0"/>
              <w:rPr>
                <w:sz w:val="15"/>
                <w:szCs w:val="15"/>
                <w:color w:val="auto"/>
              </w:rPr>
            </w:pPr>
          </w:p>
        </w:tc>
        <w:tc>
          <w:tcPr>
            <w:tcW w:w="100" w:type="dxa"/>
            <w:vAlign w:val="bottom"/>
            <w:shd w:val="clear" w:color="auto" w:fill="D0EBF2"/>
          </w:tcPr>
          <w:p>
            <w:pPr>
              <w:spacing w:after="0"/>
              <w:rPr>
                <w:sz w:val="15"/>
                <w:szCs w:val="15"/>
                <w:color w:val="auto"/>
              </w:rPr>
            </w:pPr>
          </w:p>
        </w:tc>
        <w:tc>
          <w:tcPr>
            <w:tcW w:w="900" w:type="dxa"/>
            <w:vAlign w:val="bottom"/>
            <w:shd w:val="clear" w:color="auto" w:fill="D0EBF2"/>
          </w:tcPr>
          <w:p>
            <w:pPr>
              <w:spacing w:after="0"/>
              <w:rPr>
                <w:sz w:val="15"/>
                <w:szCs w:val="15"/>
                <w:color w:val="auto"/>
              </w:rPr>
            </w:pPr>
          </w:p>
        </w:tc>
        <w:tc>
          <w:tcPr>
            <w:tcW w:w="80" w:type="dxa"/>
            <w:vAlign w:val="bottom"/>
            <w:shd w:val="clear" w:color="auto" w:fill="D0EBF2"/>
          </w:tcPr>
          <w:p>
            <w:pPr>
              <w:spacing w:after="0"/>
              <w:rPr>
                <w:sz w:val="15"/>
                <w:szCs w:val="15"/>
                <w:color w:val="auto"/>
              </w:rPr>
            </w:pPr>
          </w:p>
        </w:tc>
        <w:tc>
          <w:tcPr>
            <w:tcW w:w="100" w:type="dxa"/>
            <w:vAlign w:val="bottom"/>
            <w:shd w:val="clear" w:color="auto" w:fill="D0EBF2"/>
          </w:tcPr>
          <w:p>
            <w:pPr>
              <w:spacing w:after="0"/>
              <w:rPr>
                <w:sz w:val="15"/>
                <w:szCs w:val="15"/>
                <w:color w:val="auto"/>
              </w:rPr>
            </w:pPr>
          </w:p>
        </w:tc>
        <w:tc>
          <w:tcPr>
            <w:tcW w:w="1500" w:type="dxa"/>
            <w:vAlign w:val="bottom"/>
            <w:shd w:val="clear" w:color="auto" w:fill="D0EBF2"/>
          </w:tcPr>
          <w:p>
            <w:pPr>
              <w:spacing w:after="0"/>
              <w:rPr>
                <w:sz w:val="15"/>
                <w:szCs w:val="15"/>
                <w:color w:val="auto"/>
              </w:rPr>
            </w:pPr>
          </w:p>
        </w:tc>
        <w:tc>
          <w:tcPr>
            <w:tcW w:w="100" w:type="dxa"/>
            <w:vAlign w:val="bottom"/>
            <w:shd w:val="clear" w:color="auto" w:fill="D0EBF2"/>
          </w:tcPr>
          <w:p>
            <w:pPr>
              <w:spacing w:after="0"/>
              <w:rPr>
                <w:sz w:val="15"/>
                <w:szCs w:val="15"/>
                <w:color w:val="auto"/>
              </w:rPr>
            </w:pPr>
          </w:p>
        </w:tc>
        <w:tc>
          <w:tcPr>
            <w:tcW w:w="860" w:type="dxa"/>
            <w:vAlign w:val="bottom"/>
            <w:shd w:val="clear" w:color="auto" w:fill="D0EBF2"/>
          </w:tcPr>
          <w:p>
            <w:pPr>
              <w:spacing w:after="0"/>
              <w:rPr>
                <w:sz w:val="15"/>
                <w:szCs w:val="15"/>
                <w:color w:val="auto"/>
              </w:rPr>
            </w:pPr>
          </w:p>
        </w:tc>
      </w:tr>
      <w:tr>
        <w:trPr>
          <w:trHeight w:val="169"/>
        </w:trPr>
        <w:tc>
          <w:tcPr>
            <w:tcW w:w="1580" w:type="dxa"/>
            <w:vAlign w:val="bottom"/>
            <w:shd w:val="clear" w:color="auto" w:fill="FDFDFC"/>
          </w:tcPr>
          <w:p>
            <w:pPr>
              <w:spacing w:after="0" w:line="169" w:lineRule="exact"/>
              <w:rPr>
                <w:sz w:val="20"/>
                <w:szCs w:val="20"/>
                <w:color w:val="auto"/>
              </w:rPr>
            </w:pPr>
            <w:r>
              <w:rPr>
                <w:rFonts w:ascii="Times New Roman" w:cs="Times New Roman" w:eastAsia="Times New Roman" w:hAnsi="Times New Roman"/>
                <w:sz w:val="15"/>
                <w:szCs w:val="15"/>
                <w:b w:val="1"/>
                <w:bCs w:val="1"/>
                <w:color w:val="231F20"/>
              </w:rPr>
              <w:t>Equity and Other</w:t>
            </w:r>
          </w:p>
        </w:tc>
        <w:tc>
          <w:tcPr>
            <w:tcW w:w="2200" w:type="dxa"/>
            <w:vAlign w:val="bottom"/>
            <w:shd w:val="clear" w:color="auto" w:fill="FDFDFC"/>
          </w:tcPr>
          <w:p>
            <w:pPr>
              <w:spacing w:after="0"/>
              <w:rPr>
                <w:sz w:val="14"/>
                <w:szCs w:val="14"/>
                <w:color w:val="auto"/>
              </w:rPr>
            </w:pPr>
          </w:p>
        </w:tc>
        <w:tc>
          <w:tcPr>
            <w:tcW w:w="800" w:type="dxa"/>
            <w:vAlign w:val="bottom"/>
            <w:shd w:val="clear" w:color="auto" w:fill="FDFDFC"/>
          </w:tcPr>
          <w:p>
            <w:pPr>
              <w:spacing w:after="0"/>
              <w:rPr>
                <w:sz w:val="14"/>
                <w:szCs w:val="14"/>
                <w:color w:val="auto"/>
              </w:rPr>
            </w:pPr>
          </w:p>
        </w:tc>
        <w:tc>
          <w:tcPr>
            <w:tcW w:w="1000" w:type="dxa"/>
            <w:vAlign w:val="bottom"/>
            <w:shd w:val="clear" w:color="auto" w:fill="FDFDFC"/>
          </w:tcPr>
          <w:p>
            <w:pPr>
              <w:spacing w:after="0"/>
              <w:rPr>
                <w:sz w:val="14"/>
                <w:szCs w:val="14"/>
                <w:color w:val="auto"/>
              </w:rPr>
            </w:pPr>
          </w:p>
        </w:tc>
        <w:tc>
          <w:tcPr>
            <w:tcW w:w="1060" w:type="dxa"/>
            <w:vAlign w:val="bottom"/>
            <w:shd w:val="clear" w:color="auto" w:fill="FDFDFC"/>
          </w:tcPr>
          <w:p>
            <w:pPr>
              <w:spacing w:after="0"/>
              <w:rPr>
                <w:sz w:val="14"/>
                <w:szCs w:val="14"/>
                <w:color w:val="auto"/>
              </w:rPr>
            </w:pPr>
          </w:p>
        </w:tc>
        <w:tc>
          <w:tcPr>
            <w:tcW w:w="100" w:type="dxa"/>
            <w:vAlign w:val="bottom"/>
            <w:shd w:val="clear" w:color="auto" w:fill="FDFDFC"/>
          </w:tcPr>
          <w:p>
            <w:pPr>
              <w:spacing w:after="0"/>
              <w:rPr>
                <w:sz w:val="14"/>
                <w:szCs w:val="14"/>
                <w:color w:val="auto"/>
              </w:rPr>
            </w:pPr>
          </w:p>
        </w:tc>
        <w:tc>
          <w:tcPr>
            <w:tcW w:w="900" w:type="dxa"/>
            <w:vAlign w:val="bottom"/>
            <w:shd w:val="clear" w:color="auto" w:fill="FDFDFC"/>
          </w:tcPr>
          <w:p>
            <w:pPr>
              <w:spacing w:after="0"/>
              <w:rPr>
                <w:sz w:val="14"/>
                <w:szCs w:val="14"/>
                <w:color w:val="auto"/>
              </w:rPr>
            </w:pPr>
          </w:p>
        </w:tc>
        <w:tc>
          <w:tcPr>
            <w:tcW w:w="80" w:type="dxa"/>
            <w:vAlign w:val="bottom"/>
            <w:shd w:val="clear" w:color="auto" w:fill="FDFDFC"/>
          </w:tcPr>
          <w:p>
            <w:pPr>
              <w:spacing w:after="0"/>
              <w:rPr>
                <w:sz w:val="14"/>
                <w:szCs w:val="14"/>
                <w:color w:val="auto"/>
              </w:rPr>
            </w:pPr>
          </w:p>
        </w:tc>
        <w:tc>
          <w:tcPr>
            <w:tcW w:w="100" w:type="dxa"/>
            <w:vAlign w:val="bottom"/>
            <w:shd w:val="clear" w:color="auto" w:fill="FDFDFC"/>
          </w:tcPr>
          <w:p>
            <w:pPr>
              <w:spacing w:after="0"/>
              <w:rPr>
                <w:sz w:val="14"/>
                <w:szCs w:val="14"/>
                <w:color w:val="auto"/>
              </w:rPr>
            </w:pPr>
          </w:p>
        </w:tc>
        <w:tc>
          <w:tcPr>
            <w:tcW w:w="1500" w:type="dxa"/>
            <w:vAlign w:val="bottom"/>
            <w:shd w:val="clear" w:color="auto" w:fill="FDFDFC"/>
          </w:tcPr>
          <w:p>
            <w:pPr>
              <w:spacing w:after="0"/>
              <w:rPr>
                <w:sz w:val="14"/>
                <w:szCs w:val="14"/>
                <w:color w:val="auto"/>
              </w:rPr>
            </w:pPr>
          </w:p>
        </w:tc>
        <w:tc>
          <w:tcPr>
            <w:tcW w:w="100" w:type="dxa"/>
            <w:vAlign w:val="bottom"/>
            <w:shd w:val="clear" w:color="auto" w:fill="FDFDFC"/>
          </w:tcPr>
          <w:p>
            <w:pPr>
              <w:spacing w:after="0"/>
              <w:rPr>
                <w:sz w:val="14"/>
                <w:szCs w:val="14"/>
                <w:color w:val="auto"/>
              </w:rPr>
            </w:pPr>
          </w:p>
        </w:tc>
        <w:tc>
          <w:tcPr>
            <w:tcW w:w="860" w:type="dxa"/>
            <w:vAlign w:val="bottom"/>
            <w:shd w:val="clear" w:color="auto" w:fill="FDFDFC"/>
          </w:tcPr>
          <w:p>
            <w:pPr>
              <w:spacing w:after="0"/>
              <w:rPr>
                <w:sz w:val="14"/>
                <w:szCs w:val="14"/>
                <w:color w:val="auto"/>
              </w:rPr>
            </w:pPr>
          </w:p>
        </w:tc>
      </w:tr>
      <w:tr>
        <w:trPr>
          <w:trHeight w:val="191"/>
        </w:trPr>
        <w:tc>
          <w:tcPr>
            <w:tcW w:w="1580" w:type="dxa"/>
            <w:vAlign w:val="bottom"/>
            <w:shd w:val="clear" w:color="auto" w:fill="FDFDFC"/>
          </w:tcPr>
          <w:p>
            <w:pPr>
              <w:spacing w:after="0"/>
              <w:rPr>
                <w:sz w:val="20"/>
                <w:szCs w:val="20"/>
                <w:color w:val="auto"/>
              </w:rPr>
            </w:pPr>
            <w:r>
              <w:rPr>
                <w:rFonts w:ascii="Times New Roman" w:cs="Times New Roman" w:eastAsia="Times New Roman" w:hAnsi="Times New Roman"/>
                <w:sz w:val="15"/>
                <w:szCs w:val="15"/>
                <w:b w:val="1"/>
                <w:bCs w:val="1"/>
                <w:color w:val="231F20"/>
              </w:rPr>
              <w:t>Investments</w:t>
            </w:r>
          </w:p>
        </w:tc>
        <w:tc>
          <w:tcPr>
            <w:tcW w:w="2200" w:type="dxa"/>
            <w:vAlign w:val="bottom"/>
            <w:shd w:val="clear" w:color="auto" w:fill="FDFDFC"/>
          </w:tcPr>
          <w:p>
            <w:pPr>
              <w:spacing w:after="0"/>
              <w:rPr>
                <w:sz w:val="16"/>
                <w:szCs w:val="16"/>
                <w:color w:val="auto"/>
              </w:rPr>
            </w:pPr>
          </w:p>
        </w:tc>
        <w:tc>
          <w:tcPr>
            <w:tcW w:w="800" w:type="dxa"/>
            <w:vAlign w:val="bottom"/>
            <w:shd w:val="clear" w:color="auto" w:fill="FDFDFC"/>
          </w:tcPr>
          <w:p>
            <w:pPr>
              <w:spacing w:after="0"/>
              <w:rPr>
                <w:sz w:val="16"/>
                <w:szCs w:val="16"/>
                <w:color w:val="auto"/>
              </w:rPr>
            </w:pPr>
          </w:p>
        </w:tc>
        <w:tc>
          <w:tcPr>
            <w:tcW w:w="1000" w:type="dxa"/>
            <w:vAlign w:val="bottom"/>
            <w:shd w:val="clear" w:color="auto" w:fill="FDFDFC"/>
          </w:tcPr>
          <w:p>
            <w:pPr>
              <w:spacing w:after="0"/>
              <w:rPr>
                <w:sz w:val="16"/>
                <w:szCs w:val="16"/>
                <w:color w:val="auto"/>
              </w:rPr>
            </w:pPr>
          </w:p>
        </w:tc>
        <w:tc>
          <w:tcPr>
            <w:tcW w:w="1060" w:type="dxa"/>
            <w:vAlign w:val="bottom"/>
            <w:shd w:val="clear" w:color="auto" w:fill="FDFDFC"/>
          </w:tcPr>
          <w:p>
            <w:pPr>
              <w:spacing w:after="0"/>
              <w:rPr>
                <w:sz w:val="16"/>
                <w:szCs w:val="16"/>
                <w:color w:val="auto"/>
              </w:rPr>
            </w:pPr>
          </w:p>
        </w:tc>
        <w:tc>
          <w:tcPr>
            <w:tcW w:w="100" w:type="dxa"/>
            <w:vAlign w:val="bottom"/>
            <w:shd w:val="clear" w:color="auto" w:fill="FDFDFC"/>
          </w:tcPr>
          <w:p>
            <w:pPr>
              <w:spacing w:after="0"/>
              <w:rPr>
                <w:sz w:val="16"/>
                <w:szCs w:val="16"/>
                <w:color w:val="auto"/>
              </w:rPr>
            </w:pPr>
          </w:p>
        </w:tc>
        <w:tc>
          <w:tcPr>
            <w:tcW w:w="900" w:type="dxa"/>
            <w:vAlign w:val="bottom"/>
            <w:shd w:val="clear" w:color="auto" w:fill="FDFDFC"/>
          </w:tcPr>
          <w:p>
            <w:pPr>
              <w:spacing w:after="0"/>
              <w:rPr>
                <w:sz w:val="16"/>
                <w:szCs w:val="16"/>
                <w:color w:val="auto"/>
              </w:rPr>
            </w:pPr>
          </w:p>
        </w:tc>
        <w:tc>
          <w:tcPr>
            <w:tcW w:w="80" w:type="dxa"/>
            <w:vAlign w:val="bottom"/>
            <w:shd w:val="clear" w:color="auto" w:fill="FDFDFC"/>
          </w:tcPr>
          <w:p>
            <w:pPr>
              <w:spacing w:after="0"/>
              <w:rPr>
                <w:sz w:val="16"/>
                <w:szCs w:val="16"/>
                <w:color w:val="auto"/>
              </w:rPr>
            </w:pPr>
          </w:p>
        </w:tc>
        <w:tc>
          <w:tcPr>
            <w:tcW w:w="100" w:type="dxa"/>
            <w:vAlign w:val="bottom"/>
            <w:shd w:val="clear" w:color="auto" w:fill="FDFDFC"/>
          </w:tcPr>
          <w:p>
            <w:pPr>
              <w:spacing w:after="0"/>
              <w:rPr>
                <w:sz w:val="16"/>
                <w:szCs w:val="16"/>
                <w:color w:val="auto"/>
              </w:rPr>
            </w:pPr>
          </w:p>
        </w:tc>
        <w:tc>
          <w:tcPr>
            <w:tcW w:w="1500" w:type="dxa"/>
            <w:vAlign w:val="bottom"/>
            <w:shd w:val="clear" w:color="auto" w:fill="FDFDFC"/>
          </w:tcPr>
          <w:p>
            <w:pPr>
              <w:spacing w:after="0"/>
              <w:rPr>
                <w:sz w:val="16"/>
                <w:szCs w:val="16"/>
                <w:color w:val="auto"/>
              </w:rPr>
            </w:pPr>
          </w:p>
        </w:tc>
        <w:tc>
          <w:tcPr>
            <w:tcW w:w="100" w:type="dxa"/>
            <w:vAlign w:val="bottom"/>
            <w:shd w:val="clear" w:color="auto" w:fill="FDFDFC"/>
          </w:tcPr>
          <w:p>
            <w:pPr>
              <w:spacing w:after="0"/>
              <w:rPr>
                <w:sz w:val="16"/>
                <w:szCs w:val="16"/>
                <w:color w:val="auto"/>
              </w:rPr>
            </w:pPr>
          </w:p>
        </w:tc>
        <w:tc>
          <w:tcPr>
            <w:tcW w:w="860" w:type="dxa"/>
            <w:vAlign w:val="bottom"/>
            <w:shd w:val="clear" w:color="auto" w:fill="FDFDFC"/>
          </w:tcPr>
          <w:p>
            <w:pPr>
              <w:spacing w:after="0"/>
              <w:rPr>
                <w:sz w:val="16"/>
                <w:szCs w:val="16"/>
                <w:color w:val="auto"/>
              </w:rPr>
            </w:pPr>
          </w:p>
        </w:tc>
      </w:tr>
      <w:tr>
        <w:trPr>
          <w:trHeight w:val="187"/>
        </w:trPr>
        <w:tc>
          <w:tcPr>
            <w:tcW w:w="1580" w:type="dxa"/>
            <w:vAlign w:val="bottom"/>
            <w:shd w:val="clear" w:color="auto" w:fill="D0EBF2"/>
          </w:tcPr>
          <w:p>
            <w:pPr>
              <w:spacing w:after="0"/>
              <w:rPr>
                <w:sz w:val="20"/>
                <w:szCs w:val="20"/>
                <w:color w:val="auto"/>
              </w:rPr>
            </w:pPr>
            <w:r>
              <w:rPr>
                <w:rFonts w:ascii="Times New Roman" w:cs="Times New Roman" w:eastAsia="Times New Roman" w:hAnsi="Times New Roman"/>
                <w:sz w:val="15"/>
                <w:szCs w:val="15"/>
                <w:b w:val="1"/>
                <w:bCs w:val="1"/>
                <w:color w:val="231F20"/>
              </w:rPr>
              <w:t>Automotive</w:t>
            </w:r>
          </w:p>
        </w:tc>
        <w:tc>
          <w:tcPr>
            <w:tcW w:w="2200" w:type="dxa"/>
            <w:vAlign w:val="bottom"/>
            <w:shd w:val="clear" w:color="auto" w:fill="D0EBF2"/>
          </w:tcPr>
          <w:p>
            <w:pPr>
              <w:spacing w:after="0"/>
              <w:rPr>
                <w:sz w:val="16"/>
                <w:szCs w:val="16"/>
                <w:color w:val="auto"/>
              </w:rPr>
            </w:pPr>
          </w:p>
        </w:tc>
        <w:tc>
          <w:tcPr>
            <w:tcW w:w="800" w:type="dxa"/>
            <w:vAlign w:val="bottom"/>
            <w:shd w:val="clear" w:color="auto" w:fill="D0EBF2"/>
          </w:tcPr>
          <w:p>
            <w:pPr>
              <w:spacing w:after="0"/>
              <w:rPr>
                <w:sz w:val="16"/>
                <w:szCs w:val="16"/>
                <w:color w:val="auto"/>
              </w:rPr>
            </w:pPr>
          </w:p>
        </w:tc>
        <w:tc>
          <w:tcPr>
            <w:tcW w:w="1000" w:type="dxa"/>
            <w:vAlign w:val="bottom"/>
            <w:shd w:val="clear" w:color="auto" w:fill="D0EBF2"/>
          </w:tcPr>
          <w:p>
            <w:pPr>
              <w:spacing w:after="0"/>
              <w:rPr>
                <w:sz w:val="16"/>
                <w:szCs w:val="16"/>
                <w:color w:val="auto"/>
              </w:rPr>
            </w:pPr>
          </w:p>
        </w:tc>
        <w:tc>
          <w:tcPr>
            <w:tcW w:w="1060" w:type="dxa"/>
            <w:vAlign w:val="bottom"/>
            <w:shd w:val="clear" w:color="auto" w:fill="D0EBF2"/>
          </w:tcPr>
          <w:p>
            <w:pPr>
              <w:spacing w:after="0"/>
              <w:rPr>
                <w:sz w:val="16"/>
                <w:szCs w:val="16"/>
                <w:color w:val="auto"/>
              </w:rPr>
            </w:pPr>
          </w:p>
        </w:tc>
        <w:tc>
          <w:tcPr>
            <w:tcW w:w="100" w:type="dxa"/>
            <w:vAlign w:val="bottom"/>
            <w:shd w:val="clear" w:color="auto" w:fill="D0EBF2"/>
          </w:tcPr>
          <w:p>
            <w:pPr>
              <w:spacing w:after="0"/>
              <w:rPr>
                <w:sz w:val="16"/>
                <w:szCs w:val="16"/>
                <w:color w:val="auto"/>
              </w:rPr>
            </w:pPr>
          </w:p>
        </w:tc>
        <w:tc>
          <w:tcPr>
            <w:tcW w:w="900" w:type="dxa"/>
            <w:vAlign w:val="bottom"/>
            <w:shd w:val="clear" w:color="auto" w:fill="D0EBF2"/>
          </w:tcPr>
          <w:p>
            <w:pPr>
              <w:spacing w:after="0"/>
              <w:rPr>
                <w:sz w:val="16"/>
                <w:szCs w:val="16"/>
                <w:color w:val="auto"/>
              </w:rPr>
            </w:pPr>
          </w:p>
        </w:tc>
        <w:tc>
          <w:tcPr>
            <w:tcW w:w="80" w:type="dxa"/>
            <w:vAlign w:val="bottom"/>
            <w:shd w:val="clear" w:color="auto" w:fill="D0EBF2"/>
          </w:tcPr>
          <w:p>
            <w:pPr>
              <w:spacing w:after="0"/>
              <w:rPr>
                <w:sz w:val="16"/>
                <w:szCs w:val="16"/>
                <w:color w:val="auto"/>
              </w:rPr>
            </w:pPr>
          </w:p>
        </w:tc>
        <w:tc>
          <w:tcPr>
            <w:tcW w:w="100" w:type="dxa"/>
            <w:vAlign w:val="bottom"/>
            <w:shd w:val="clear" w:color="auto" w:fill="D0EBF2"/>
          </w:tcPr>
          <w:p>
            <w:pPr>
              <w:spacing w:after="0"/>
              <w:rPr>
                <w:sz w:val="16"/>
                <w:szCs w:val="16"/>
                <w:color w:val="auto"/>
              </w:rPr>
            </w:pPr>
          </w:p>
        </w:tc>
        <w:tc>
          <w:tcPr>
            <w:tcW w:w="1500" w:type="dxa"/>
            <w:vAlign w:val="bottom"/>
            <w:shd w:val="clear" w:color="auto" w:fill="D0EBF2"/>
          </w:tcPr>
          <w:p>
            <w:pPr>
              <w:spacing w:after="0"/>
              <w:rPr>
                <w:sz w:val="16"/>
                <w:szCs w:val="16"/>
                <w:color w:val="auto"/>
              </w:rPr>
            </w:pPr>
          </w:p>
        </w:tc>
        <w:tc>
          <w:tcPr>
            <w:tcW w:w="100" w:type="dxa"/>
            <w:vAlign w:val="bottom"/>
            <w:shd w:val="clear" w:color="auto" w:fill="D0EBF2"/>
          </w:tcPr>
          <w:p>
            <w:pPr>
              <w:spacing w:after="0"/>
              <w:rPr>
                <w:sz w:val="16"/>
                <w:szCs w:val="16"/>
                <w:color w:val="auto"/>
              </w:rPr>
            </w:pPr>
          </w:p>
        </w:tc>
        <w:tc>
          <w:tcPr>
            <w:tcW w:w="860" w:type="dxa"/>
            <w:vAlign w:val="bottom"/>
            <w:shd w:val="clear" w:color="auto" w:fill="D0EBF2"/>
          </w:tcPr>
          <w:p>
            <w:pPr>
              <w:spacing w:after="0"/>
              <w:rPr>
                <w:sz w:val="16"/>
                <w:szCs w:val="16"/>
                <w:color w:val="auto"/>
              </w:rPr>
            </w:pPr>
          </w:p>
        </w:tc>
      </w:tr>
      <w:tr>
        <w:trPr>
          <w:trHeight w:val="171"/>
        </w:trPr>
        <w:tc>
          <w:tcPr>
            <w:tcW w:w="1580" w:type="dxa"/>
            <w:vAlign w:val="bottom"/>
            <w:shd w:val="clear" w:color="auto" w:fill="FDFDFC"/>
          </w:tcPr>
          <w:p>
            <w:pPr>
              <w:spacing w:after="0" w:line="172" w:lineRule="exact"/>
              <w:rPr>
                <w:sz w:val="20"/>
                <w:szCs w:val="20"/>
                <w:color w:val="auto"/>
              </w:rPr>
            </w:pPr>
            <w:r>
              <w:rPr>
                <w:rFonts w:ascii="Times New Roman" w:cs="Times New Roman" w:eastAsia="Times New Roman" w:hAnsi="Times New Roman"/>
                <w:sz w:val="15"/>
                <w:szCs w:val="15"/>
                <w:color w:val="231F20"/>
              </w:rPr>
              <w:t>Clarience Technologies,</w:t>
            </w:r>
          </w:p>
        </w:tc>
        <w:tc>
          <w:tcPr>
            <w:tcW w:w="2200" w:type="dxa"/>
            <w:vAlign w:val="bottom"/>
            <w:shd w:val="clear" w:color="auto" w:fill="FDFDFC"/>
          </w:tcPr>
          <w:p>
            <w:pPr>
              <w:ind w:left="60"/>
              <w:spacing w:after="0" w:line="172" w:lineRule="exact"/>
              <w:rPr>
                <w:sz w:val="20"/>
                <w:szCs w:val="20"/>
                <w:color w:val="auto"/>
              </w:rPr>
            </w:pPr>
            <w:r>
              <w:rPr>
                <w:rFonts w:ascii="Times New Roman" w:cs="Times New Roman" w:eastAsia="Times New Roman" w:hAnsi="Times New Roman"/>
                <w:sz w:val="15"/>
                <w:szCs w:val="15"/>
                <w:color w:val="231F20"/>
              </w:rPr>
              <w:t>Class A Units (333 units)</w:t>
            </w:r>
          </w:p>
        </w:tc>
        <w:tc>
          <w:tcPr>
            <w:tcW w:w="800" w:type="dxa"/>
            <w:vAlign w:val="bottom"/>
            <w:shd w:val="clear" w:color="auto" w:fill="FDFDFC"/>
          </w:tcPr>
          <w:p>
            <w:pPr>
              <w:jc w:val="right"/>
              <w:spacing w:after="0" w:line="172" w:lineRule="exact"/>
              <w:rPr>
                <w:sz w:val="20"/>
                <w:szCs w:val="20"/>
                <w:color w:val="auto"/>
              </w:rPr>
            </w:pPr>
            <w:r>
              <w:rPr>
                <w:rFonts w:ascii="Times New Roman" w:cs="Times New Roman" w:eastAsia="Times New Roman" w:hAnsi="Times New Roman"/>
                <w:sz w:val="15"/>
                <w:szCs w:val="15"/>
                <w:color w:val="231F20"/>
              </w:rPr>
              <w:t>2/12/2024</w:t>
            </w:r>
          </w:p>
        </w:tc>
        <w:tc>
          <w:tcPr>
            <w:tcW w:w="1000" w:type="dxa"/>
            <w:vAlign w:val="bottom"/>
            <w:shd w:val="clear" w:color="auto" w:fill="FDFDFC"/>
          </w:tcPr>
          <w:p>
            <w:pPr>
              <w:spacing w:after="0"/>
              <w:rPr>
                <w:sz w:val="14"/>
                <w:szCs w:val="14"/>
                <w:color w:val="auto"/>
              </w:rPr>
            </w:pPr>
          </w:p>
        </w:tc>
        <w:tc>
          <w:tcPr>
            <w:tcW w:w="1060" w:type="dxa"/>
            <w:vAlign w:val="bottom"/>
            <w:shd w:val="clear" w:color="auto" w:fill="FDFDFC"/>
          </w:tcPr>
          <w:p>
            <w:pPr>
              <w:spacing w:after="0"/>
              <w:rPr>
                <w:sz w:val="14"/>
                <w:szCs w:val="14"/>
                <w:color w:val="auto"/>
              </w:rPr>
            </w:pPr>
          </w:p>
        </w:tc>
        <w:tc>
          <w:tcPr>
            <w:tcW w:w="100" w:type="dxa"/>
            <w:vAlign w:val="bottom"/>
            <w:shd w:val="clear" w:color="auto" w:fill="FDFDFC"/>
          </w:tcPr>
          <w:p>
            <w:pPr>
              <w:spacing w:after="0"/>
              <w:rPr>
                <w:sz w:val="14"/>
                <w:szCs w:val="14"/>
                <w:color w:val="auto"/>
              </w:rPr>
            </w:pPr>
          </w:p>
        </w:tc>
        <w:tc>
          <w:tcPr>
            <w:tcW w:w="900" w:type="dxa"/>
            <w:vAlign w:val="bottom"/>
            <w:shd w:val="clear" w:color="auto" w:fill="FDFDFC"/>
          </w:tcPr>
          <w:p>
            <w:pPr>
              <w:jc w:val="right"/>
              <w:spacing w:after="0" w:line="172" w:lineRule="exact"/>
              <w:rPr>
                <w:sz w:val="20"/>
                <w:szCs w:val="20"/>
                <w:color w:val="auto"/>
              </w:rPr>
            </w:pPr>
            <w:r>
              <w:rPr>
                <w:rFonts w:ascii="Times New Roman" w:cs="Times New Roman" w:eastAsia="Times New Roman" w:hAnsi="Times New Roman"/>
                <w:sz w:val="15"/>
                <w:szCs w:val="15"/>
                <w:color w:val="231F20"/>
              </w:rPr>
              <w:t>820</w:t>
            </w:r>
          </w:p>
        </w:tc>
        <w:tc>
          <w:tcPr>
            <w:tcW w:w="1680" w:type="dxa"/>
            <w:vAlign w:val="bottom"/>
            <w:gridSpan w:val="3"/>
            <w:shd w:val="clear" w:color="auto" w:fill="FDFDFC"/>
          </w:tcPr>
          <w:p>
            <w:pPr>
              <w:jc w:val="right"/>
              <w:spacing w:after="0" w:line="172" w:lineRule="exact"/>
              <w:rPr>
                <w:sz w:val="20"/>
                <w:szCs w:val="20"/>
                <w:color w:val="auto"/>
              </w:rPr>
            </w:pPr>
            <w:r>
              <w:rPr>
                <w:rFonts w:ascii="Times New Roman" w:cs="Times New Roman" w:eastAsia="Times New Roman" w:hAnsi="Times New Roman"/>
                <w:sz w:val="15"/>
                <w:szCs w:val="15"/>
                <w:color w:val="231F20"/>
              </w:rPr>
              <w:t>820</w:t>
            </w:r>
          </w:p>
        </w:tc>
        <w:tc>
          <w:tcPr>
            <w:tcW w:w="960" w:type="dxa"/>
            <w:vAlign w:val="bottom"/>
            <w:gridSpan w:val="2"/>
            <w:shd w:val="clear" w:color="auto" w:fill="FDFDFC"/>
          </w:tcPr>
          <w:p>
            <w:pPr>
              <w:jc w:val="right"/>
              <w:spacing w:after="0" w:line="172" w:lineRule="exact"/>
              <w:rPr>
                <w:sz w:val="20"/>
                <w:szCs w:val="20"/>
                <w:color w:val="auto"/>
              </w:rPr>
            </w:pPr>
            <w:r>
              <w:rPr>
                <w:rFonts w:ascii="Times New Roman" w:cs="Times New Roman" w:eastAsia="Times New Roman" w:hAnsi="Times New Roman"/>
                <w:sz w:val="15"/>
                <w:szCs w:val="15"/>
                <w:color w:val="231F20"/>
              </w:rPr>
              <w:t>0.1%</w:t>
            </w:r>
          </w:p>
        </w:tc>
      </w:tr>
      <w:tr>
        <w:trPr>
          <w:trHeight w:val="189"/>
        </w:trPr>
        <w:tc>
          <w:tcPr>
            <w:tcW w:w="1580" w:type="dxa"/>
            <w:vAlign w:val="bottom"/>
            <w:shd w:val="clear" w:color="auto" w:fill="FDFDFC"/>
          </w:tcPr>
          <w:p>
            <w:pPr>
              <w:spacing w:after="0" w:line="190" w:lineRule="exact"/>
              <w:rPr>
                <w:sz w:val="20"/>
                <w:szCs w:val="20"/>
                <w:color w:val="auto"/>
              </w:rPr>
            </w:pPr>
            <w:r>
              <w:rPr>
                <w:rFonts w:ascii="Times New Roman" w:cs="Times New Roman" w:eastAsia="Times New Roman" w:hAnsi="Times New Roman"/>
                <w:sz w:val="21"/>
                <w:szCs w:val="21"/>
                <w:color w:val="231F20"/>
                <w:vertAlign w:val="subscript"/>
              </w:rPr>
              <w:t>LLC</w:t>
            </w:r>
            <w:r>
              <w:rPr>
                <w:rFonts w:ascii="Times New Roman" w:cs="Times New Roman" w:eastAsia="Times New Roman" w:hAnsi="Times New Roman"/>
                <w:sz w:val="8"/>
                <w:szCs w:val="8"/>
                <w:color w:val="231F20"/>
              </w:rPr>
              <w:t xml:space="preserve"> (11)(12)</w:t>
            </w:r>
          </w:p>
        </w:tc>
        <w:tc>
          <w:tcPr>
            <w:tcW w:w="2200" w:type="dxa"/>
            <w:vAlign w:val="bottom"/>
            <w:shd w:val="clear" w:color="auto" w:fill="FDFDFC"/>
          </w:tcPr>
          <w:p>
            <w:pPr>
              <w:spacing w:after="0"/>
              <w:rPr>
                <w:sz w:val="16"/>
                <w:szCs w:val="16"/>
                <w:color w:val="auto"/>
              </w:rPr>
            </w:pPr>
          </w:p>
        </w:tc>
        <w:tc>
          <w:tcPr>
            <w:tcW w:w="800" w:type="dxa"/>
            <w:vAlign w:val="bottom"/>
            <w:shd w:val="clear" w:color="auto" w:fill="FDFDFC"/>
          </w:tcPr>
          <w:p>
            <w:pPr>
              <w:spacing w:after="0"/>
              <w:rPr>
                <w:sz w:val="16"/>
                <w:szCs w:val="16"/>
                <w:color w:val="auto"/>
              </w:rPr>
            </w:pPr>
          </w:p>
        </w:tc>
        <w:tc>
          <w:tcPr>
            <w:tcW w:w="1000" w:type="dxa"/>
            <w:vAlign w:val="bottom"/>
            <w:shd w:val="clear" w:color="auto" w:fill="FDFDFC"/>
          </w:tcPr>
          <w:p>
            <w:pPr>
              <w:spacing w:after="0"/>
              <w:rPr>
                <w:sz w:val="16"/>
                <w:szCs w:val="16"/>
                <w:color w:val="auto"/>
              </w:rPr>
            </w:pPr>
          </w:p>
        </w:tc>
        <w:tc>
          <w:tcPr>
            <w:tcW w:w="1060" w:type="dxa"/>
            <w:vAlign w:val="bottom"/>
            <w:shd w:val="clear" w:color="auto" w:fill="FDFDFC"/>
          </w:tcPr>
          <w:p>
            <w:pPr>
              <w:spacing w:after="0"/>
              <w:rPr>
                <w:sz w:val="16"/>
                <w:szCs w:val="16"/>
                <w:color w:val="auto"/>
              </w:rPr>
            </w:pPr>
          </w:p>
        </w:tc>
        <w:tc>
          <w:tcPr>
            <w:tcW w:w="100" w:type="dxa"/>
            <w:vAlign w:val="bottom"/>
            <w:shd w:val="clear" w:color="auto" w:fill="FDFDFC"/>
          </w:tcPr>
          <w:p>
            <w:pPr>
              <w:spacing w:after="0"/>
              <w:rPr>
                <w:sz w:val="16"/>
                <w:szCs w:val="16"/>
                <w:color w:val="auto"/>
              </w:rPr>
            </w:pPr>
          </w:p>
        </w:tc>
        <w:tc>
          <w:tcPr>
            <w:tcW w:w="900" w:type="dxa"/>
            <w:vAlign w:val="bottom"/>
            <w:shd w:val="clear" w:color="auto" w:fill="FDFDFC"/>
          </w:tcPr>
          <w:p>
            <w:pPr>
              <w:spacing w:after="0"/>
              <w:rPr>
                <w:sz w:val="16"/>
                <w:szCs w:val="16"/>
                <w:color w:val="auto"/>
              </w:rPr>
            </w:pPr>
          </w:p>
        </w:tc>
        <w:tc>
          <w:tcPr>
            <w:tcW w:w="80" w:type="dxa"/>
            <w:vAlign w:val="bottom"/>
            <w:shd w:val="clear" w:color="auto" w:fill="FDFDFC"/>
          </w:tcPr>
          <w:p>
            <w:pPr>
              <w:spacing w:after="0"/>
              <w:rPr>
                <w:sz w:val="16"/>
                <w:szCs w:val="16"/>
                <w:color w:val="auto"/>
              </w:rPr>
            </w:pPr>
          </w:p>
        </w:tc>
        <w:tc>
          <w:tcPr>
            <w:tcW w:w="100" w:type="dxa"/>
            <w:vAlign w:val="bottom"/>
            <w:shd w:val="clear" w:color="auto" w:fill="FDFDFC"/>
          </w:tcPr>
          <w:p>
            <w:pPr>
              <w:spacing w:after="0"/>
              <w:rPr>
                <w:sz w:val="16"/>
                <w:szCs w:val="16"/>
                <w:color w:val="auto"/>
              </w:rPr>
            </w:pPr>
          </w:p>
        </w:tc>
        <w:tc>
          <w:tcPr>
            <w:tcW w:w="1500" w:type="dxa"/>
            <w:vAlign w:val="bottom"/>
            <w:shd w:val="clear" w:color="auto" w:fill="FDFDFC"/>
          </w:tcPr>
          <w:p>
            <w:pPr>
              <w:spacing w:after="0"/>
              <w:rPr>
                <w:sz w:val="16"/>
                <w:szCs w:val="16"/>
                <w:color w:val="auto"/>
              </w:rPr>
            </w:pPr>
          </w:p>
        </w:tc>
        <w:tc>
          <w:tcPr>
            <w:tcW w:w="100" w:type="dxa"/>
            <w:vAlign w:val="bottom"/>
            <w:shd w:val="clear" w:color="auto" w:fill="FDFDFC"/>
          </w:tcPr>
          <w:p>
            <w:pPr>
              <w:spacing w:after="0"/>
              <w:rPr>
                <w:sz w:val="16"/>
                <w:szCs w:val="16"/>
                <w:color w:val="auto"/>
              </w:rPr>
            </w:pPr>
          </w:p>
        </w:tc>
        <w:tc>
          <w:tcPr>
            <w:tcW w:w="860" w:type="dxa"/>
            <w:vAlign w:val="bottom"/>
            <w:shd w:val="clear" w:color="auto" w:fill="FDFDFC"/>
          </w:tcPr>
          <w:p>
            <w:pPr>
              <w:spacing w:after="0"/>
              <w:rPr>
                <w:sz w:val="16"/>
                <w:szCs w:val="16"/>
                <w:color w:val="auto"/>
              </w:rPr>
            </w:pPr>
          </w:p>
        </w:tc>
      </w:tr>
      <w:tr>
        <w:trPr>
          <w:trHeight w:val="187"/>
        </w:trPr>
        <w:tc>
          <w:tcPr>
            <w:tcW w:w="1580" w:type="dxa"/>
            <w:vAlign w:val="bottom"/>
            <w:shd w:val="clear" w:color="auto" w:fill="D0EBF2"/>
          </w:tcPr>
          <w:p>
            <w:pPr>
              <w:spacing w:after="0"/>
              <w:rPr>
                <w:sz w:val="20"/>
                <w:szCs w:val="20"/>
                <w:color w:val="auto"/>
              </w:rPr>
            </w:pPr>
            <w:r>
              <w:rPr>
                <w:rFonts w:ascii="Times New Roman" w:cs="Times New Roman" w:eastAsia="Times New Roman" w:hAnsi="Times New Roman"/>
                <w:sz w:val="15"/>
                <w:szCs w:val="15"/>
                <w:b w:val="1"/>
                <w:bCs w:val="1"/>
                <w:color w:val="231F20"/>
              </w:rPr>
              <w:t>Business Services</w:t>
            </w:r>
          </w:p>
        </w:tc>
        <w:tc>
          <w:tcPr>
            <w:tcW w:w="2200" w:type="dxa"/>
            <w:vAlign w:val="bottom"/>
            <w:shd w:val="clear" w:color="auto" w:fill="D0EBF2"/>
          </w:tcPr>
          <w:p>
            <w:pPr>
              <w:spacing w:after="0"/>
              <w:rPr>
                <w:sz w:val="16"/>
                <w:szCs w:val="16"/>
                <w:color w:val="auto"/>
              </w:rPr>
            </w:pPr>
          </w:p>
        </w:tc>
        <w:tc>
          <w:tcPr>
            <w:tcW w:w="800" w:type="dxa"/>
            <w:vAlign w:val="bottom"/>
            <w:shd w:val="clear" w:color="auto" w:fill="D0EBF2"/>
          </w:tcPr>
          <w:p>
            <w:pPr>
              <w:spacing w:after="0"/>
              <w:rPr>
                <w:sz w:val="16"/>
                <w:szCs w:val="16"/>
                <w:color w:val="auto"/>
              </w:rPr>
            </w:pPr>
          </w:p>
        </w:tc>
        <w:tc>
          <w:tcPr>
            <w:tcW w:w="1000" w:type="dxa"/>
            <w:vAlign w:val="bottom"/>
            <w:shd w:val="clear" w:color="auto" w:fill="D0EBF2"/>
          </w:tcPr>
          <w:p>
            <w:pPr>
              <w:spacing w:after="0"/>
              <w:rPr>
                <w:sz w:val="16"/>
                <w:szCs w:val="16"/>
                <w:color w:val="auto"/>
              </w:rPr>
            </w:pPr>
          </w:p>
        </w:tc>
        <w:tc>
          <w:tcPr>
            <w:tcW w:w="1060" w:type="dxa"/>
            <w:vAlign w:val="bottom"/>
            <w:shd w:val="clear" w:color="auto" w:fill="D0EBF2"/>
          </w:tcPr>
          <w:p>
            <w:pPr>
              <w:spacing w:after="0"/>
              <w:rPr>
                <w:sz w:val="16"/>
                <w:szCs w:val="16"/>
                <w:color w:val="auto"/>
              </w:rPr>
            </w:pPr>
          </w:p>
        </w:tc>
        <w:tc>
          <w:tcPr>
            <w:tcW w:w="100" w:type="dxa"/>
            <w:vAlign w:val="bottom"/>
            <w:shd w:val="clear" w:color="auto" w:fill="D0EBF2"/>
          </w:tcPr>
          <w:p>
            <w:pPr>
              <w:spacing w:after="0"/>
              <w:rPr>
                <w:sz w:val="16"/>
                <w:szCs w:val="16"/>
                <w:color w:val="auto"/>
              </w:rPr>
            </w:pPr>
          </w:p>
        </w:tc>
        <w:tc>
          <w:tcPr>
            <w:tcW w:w="900" w:type="dxa"/>
            <w:vAlign w:val="bottom"/>
            <w:shd w:val="clear" w:color="auto" w:fill="D0EBF2"/>
          </w:tcPr>
          <w:p>
            <w:pPr>
              <w:spacing w:after="0"/>
              <w:rPr>
                <w:sz w:val="16"/>
                <w:szCs w:val="16"/>
                <w:color w:val="auto"/>
              </w:rPr>
            </w:pPr>
          </w:p>
        </w:tc>
        <w:tc>
          <w:tcPr>
            <w:tcW w:w="80" w:type="dxa"/>
            <w:vAlign w:val="bottom"/>
            <w:shd w:val="clear" w:color="auto" w:fill="D0EBF2"/>
          </w:tcPr>
          <w:p>
            <w:pPr>
              <w:spacing w:after="0"/>
              <w:rPr>
                <w:sz w:val="16"/>
                <w:szCs w:val="16"/>
                <w:color w:val="auto"/>
              </w:rPr>
            </w:pPr>
          </w:p>
        </w:tc>
        <w:tc>
          <w:tcPr>
            <w:tcW w:w="100" w:type="dxa"/>
            <w:vAlign w:val="bottom"/>
            <w:shd w:val="clear" w:color="auto" w:fill="D0EBF2"/>
          </w:tcPr>
          <w:p>
            <w:pPr>
              <w:spacing w:after="0"/>
              <w:rPr>
                <w:sz w:val="16"/>
                <w:szCs w:val="16"/>
                <w:color w:val="auto"/>
              </w:rPr>
            </w:pPr>
          </w:p>
        </w:tc>
        <w:tc>
          <w:tcPr>
            <w:tcW w:w="1500" w:type="dxa"/>
            <w:vAlign w:val="bottom"/>
            <w:shd w:val="clear" w:color="auto" w:fill="D0EBF2"/>
          </w:tcPr>
          <w:p>
            <w:pPr>
              <w:spacing w:after="0"/>
              <w:rPr>
                <w:sz w:val="16"/>
                <w:szCs w:val="16"/>
                <w:color w:val="auto"/>
              </w:rPr>
            </w:pPr>
          </w:p>
        </w:tc>
        <w:tc>
          <w:tcPr>
            <w:tcW w:w="100" w:type="dxa"/>
            <w:vAlign w:val="bottom"/>
            <w:shd w:val="clear" w:color="auto" w:fill="D0EBF2"/>
          </w:tcPr>
          <w:p>
            <w:pPr>
              <w:spacing w:after="0"/>
              <w:rPr>
                <w:sz w:val="16"/>
                <w:szCs w:val="16"/>
                <w:color w:val="auto"/>
              </w:rPr>
            </w:pPr>
          </w:p>
        </w:tc>
        <w:tc>
          <w:tcPr>
            <w:tcW w:w="860" w:type="dxa"/>
            <w:vAlign w:val="bottom"/>
            <w:shd w:val="clear" w:color="auto" w:fill="D0EBF2"/>
          </w:tcPr>
          <w:p>
            <w:pPr>
              <w:spacing w:after="0"/>
              <w:rPr>
                <w:sz w:val="16"/>
                <w:szCs w:val="16"/>
                <w:color w:val="auto"/>
              </w:rPr>
            </w:pPr>
          </w:p>
        </w:tc>
      </w:tr>
      <w:tr>
        <w:trPr>
          <w:trHeight w:val="171"/>
        </w:trPr>
        <w:tc>
          <w:tcPr>
            <w:tcW w:w="1580" w:type="dxa"/>
            <w:vAlign w:val="bottom"/>
            <w:shd w:val="clear" w:color="auto" w:fill="FDFDFC"/>
          </w:tcPr>
          <w:p>
            <w:pPr>
              <w:spacing w:after="0" w:line="172" w:lineRule="exact"/>
              <w:rPr>
                <w:sz w:val="20"/>
                <w:szCs w:val="20"/>
                <w:color w:val="auto"/>
              </w:rPr>
            </w:pPr>
            <w:r>
              <w:rPr>
                <w:rFonts w:ascii="Times New Roman" w:cs="Times New Roman" w:eastAsia="Times New Roman" w:hAnsi="Times New Roman"/>
                <w:sz w:val="15"/>
                <w:szCs w:val="15"/>
                <w:color w:val="231F20"/>
              </w:rPr>
              <w:t>Artisan Topco LP</w:t>
            </w:r>
            <w:r>
              <w:rPr>
                <w:rFonts w:ascii="Times New Roman" w:cs="Times New Roman" w:eastAsia="Times New Roman" w:hAnsi="Times New Roman"/>
                <w:sz w:val="9"/>
                <w:szCs w:val="9"/>
                <w:color w:val="231F20"/>
              </w:rPr>
              <w:t>(11)</w:t>
            </w:r>
          </w:p>
        </w:tc>
        <w:tc>
          <w:tcPr>
            <w:tcW w:w="2200" w:type="dxa"/>
            <w:vAlign w:val="bottom"/>
            <w:shd w:val="clear" w:color="auto" w:fill="FDFDFC"/>
          </w:tcPr>
          <w:p>
            <w:pPr>
              <w:ind w:left="60"/>
              <w:spacing w:after="0" w:line="172" w:lineRule="exact"/>
              <w:rPr>
                <w:sz w:val="20"/>
                <w:szCs w:val="20"/>
                <w:color w:val="auto"/>
              </w:rPr>
            </w:pPr>
            <w:r>
              <w:rPr>
                <w:rFonts w:ascii="Times New Roman" w:cs="Times New Roman" w:eastAsia="Times New Roman" w:hAnsi="Times New Roman"/>
                <w:sz w:val="15"/>
                <w:szCs w:val="15"/>
                <w:color w:val="231F20"/>
              </w:rPr>
              <w:t>Class A Preferred Units</w:t>
            </w:r>
          </w:p>
        </w:tc>
        <w:tc>
          <w:tcPr>
            <w:tcW w:w="800" w:type="dxa"/>
            <w:vAlign w:val="bottom"/>
            <w:shd w:val="clear" w:color="auto" w:fill="FDFDFC"/>
          </w:tcPr>
          <w:p>
            <w:pPr>
              <w:jc w:val="right"/>
              <w:spacing w:after="0" w:line="172" w:lineRule="exact"/>
              <w:rPr>
                <w:sz w:val="20"/>
                <w:szCs w:val="20"/>
                <w:color w:val="auto"/>
              </w:rPr>
            </w:pPr>
            <w:r>
              <w:rPr>
                <w:rFonts w:ascii="Times New Roman" w:cs="Times New Roman" w:eastAsia="Times New Roman" w:hAnsi="Times New Roman"/>
                <w:sz w:val="15"/>
                <w:szCs w:val="15"/>
                <w:color w:val="231F20"/>
              </w:rPr>
              <w:t>11/7/2023</w:t>
            </w:r>
          </w:p>
        </w:tc>
        <w:tc>
          <w:tcPr>
            <w:tcW w:w="1000" w:type="dxa"/>
            <w:vAlign w:val="bottom"/>
            <w:shd w:val="clear" w:color="auto" w:fill="FDFDFC"/>
          </w:tcPr>
          <w:p>
            <w:pPr>
              <w:spacing w:after="0"/>
              <w:rPr>
                <w:sz w:val="14"/>
                <w:szCs w:val="14"/>
                <w:color w:val="auto"/>
              </w:rPr>
            </w:pPr>
          </w:p>
        </w:tc>
        <w:tc>
          <w:tcPr>
            <w:tcW w:w="1060" w:type="dxa"/>
            <w:vAlign w:val="bottom"/>
            <w:shd w:val="clear" w:color="auto" w:fill="FDFDFC"/>
          </w:tcPr>
          <w:p>
            <w:pPr>
              <w:spacing w:after="0"/>
              <w:rPr>
                <w:sz w:val="14"/>
                <w:szCs w:val="14"/>
                <w:color w:val="auto"/>
              </w:rPr>
            </w:pPr>
          </w:p>
        </w:tc>
        <w:tc>
          <w:tcPr>
            <w:tcW w:w="100" w:type="dxa"/>
            <w:vAlign w:val="bottom"/>
            <w:shd w:val="clear" w:color="auto" w:fill="FDFDFC"/>
          </w:tcPr>
          <w:p>
            <w:pPr>
              <w:spacing w:after="0"/>
              <w:rPr>
                <w:sz w:val="14"/>
                <w:szCs w:val="14"/>
                <w:color w:val="auto"/>
              </w:rPr>
            </w:pPr>
          </w:p>
        </w:tc>
        <w:tc>
          <w:tcPr>
            <w:tcW w:w="900" w:type="dxa"/>
            <w:vAlign w:val="bottom"/>
            <w:shd w:val="clear" w:color="auto" w:fill="FDFDFC"/>
          </w:tcPr>
          <w:p>
            <w:pPr>
              <w:jc w:val="right"/>
              <w:spacing w:after="0" w:line="172" w:lineRule="exact"/>
              <w:rPr>
                <w:sz w:val="20"/>
                <w:szCs w:val="20"/>
                <w:color w:val="auto"/>
              </w:rPr>
            </w:pPr>
            <w:r>
              <w:rPr>
                <w:rFonts w:ascii="Times New Roman" w:cs="Times New Roman" w:eastAsia="Times New Roman" w:hAnsi="Times New Roman"/>
                <w:sz w:val="15"/>
                <w:szCs w:val="15"/>
                <w:color w:val="231F20"/>
              </w:rPr>
              <w:t>2,117</w:t>
            </w:r>
          </w:p>
        </w:tc>
        <w:tc>
          <w:tcPr>
            <w:tcW w:w="1680" w:type="dxa"/>
            <w:vAlign w:val="bottom"/>
            <w:gridSpan w:val="3"/>
            <w:shd w:val="clear" w:color="auto" w:fill="FDFDFC"/>
          </w:tcPr>
          <w:p>
            <w:pPr>
              <w:jc w:val="right"/>
              <w:spacing w:after="0" w:line="172" w:lineRule="exact"/>
              <w:rPr>
                <w:sz w:val="20"/>
                <w:szCs w:val="20"/>
                <w:color w:val="auto"/>
              </w:rPr>
            </w:pPr>
            <w:r>
              <w:rPr>
                <w:rFonts w:ascii="Times New Roman" w:cs="Times New Roman" w:eastAsia="Times New Roman" w:hAnsi="Times New Roman"/>
                <w:sz w:val="15"/>
                <w:szCs w:val="15"/>
                <w:color w:val="231F20"/>
              </w:rPr>
              <w:t>1,773</w:t>
            </w:r>
          </w:p>
        </w:tc>
        <w:tc>
          <w:tcPr>
            <w:tcW w:w="960" w:type="dxa"/>
            <w:vAlign w:val="bottom"/>
            <w:gridSpan w:val="2"/>
            <w:shd w:val="clear" w:color="auto" w:fill="FDFDFC"/>
          </w:tcPr>
          <w:p>
            <w:pPr>
              <w:jc w:val="right"/>
              <w:spacing w:after="0" w:line="172" w:lineRule="exact"/>
              <w:rPr>
                <w:sz w:val="20"/>
                <w:szCs w:val="20"/>
                <w:color w:val="auto"/>
              </w:rPr>
            </w:pPr>
            <w:r>
              <w:rPr>
                <w:rFonts w:ascii="Times New Roman" w:cs="Times New Roman" w:eastAsia="Times New Roman" w:hAnsi="Times New Roman"/>
                <w:sz w:val="15"/>
                <w:szCs w:val="15"/>
                <w:color w:val="231F20"/>
              </w:rPr>
              <w:t>0.1%</w:t>
            </w:r>
          </w:p>
        </w:tc>
      </w:tr>
      <w:tr>
        <w:trPr>
          <w:trHeight w:val="189"/>
        </w:trPr>
        <w:tc>
          <w:tcPr>
            <w:tcW w:w="1580" w:type="dxa"/>
            <w:vAlign w:val="bottom"/>
            <w:shd w:val="clear" w:color="auto" w:fill="FDFDFC"/>
          </w:tcPr>
          <w:p>
            <w:pPr>
              <w:spacing w:after="0"/>
              <w:rPr>
                <w:sz w:val="16"/>
                <w:szCs w:val="16"/>
                <w:color w:val="auto"/>
              </w:rPr>
            </w:pPr>
          </w:p>
        </w:tc>
        <w:tc>
          <w:tcPr>
            <w:tcW w:w="2200" w:type="dxa"/>
            <w:vAlign w:val="bottom"/>
            <w:shd w:val="clear" w:color="auto" w:fill="FDFDFC"/>
          </w:tcPr>
          <w:p>
            <w:pPr>
              <w:ind w:left="60"/>
              <w:spacing w:after="0"/>
              <w:rPr>
                <w:sz w:val="20"/>
                <w:szCs w:val="20"/>
                <w:color w:val="auto"/>
              </w:rPr>
            </w:pPr>
            <w:r>
              <w:rPr>
                <w:rFonts w:ascii="Times New Roman" w:cs="Times New Roman" w:eastAsia="Times New Roman" w:hAnsi="Times New Roman"/>
                <w:sz w:val="15"/>
                <w:szCs w:val="15"/>
                <w:color w:val="231F20"/>
              </w:rPr>
              <w:t>(2,117,264 units)</w:t>
            </w:r>
          </w:p>
        </w:tc>
        <w:tc>
          <w:tcPr>
            <w:tcW w:w="800" w:type="dxa"/>
            <w:vAlign w:val="bottom"/>
            <w:shd w:val="clear" w:color="auto" w:fill="FDFDFC"/>
          </w:tcPr>
          <w:p>
            <w:pPr>
              <w:spacing w:after="0"/>
              <w:rPr>
                <w:sz w:val="16"/>
                <w:szCs w:val="16"/>
                <w:color w:val="auto"/>
              </w:rPr>
            </w:pPr>
          </w:p>
        </w:tc>
        <w:tc>
          <w:tcPr>
            <w:tcW w:w="1000" w:type="dxa"/>
            <w:vAlign w:val="bottom"/>
            <w:shd w:val="clear" w:color="auto" w:fill="FDFDFC"/>
          </w:tcPr>
          <w:p>
            <w:pPr>
              <w:spacing w:after="0"/>
              <w:rPr>
                <w:sz w:val="16"/>
                <w:szCs w:val="16"/>
                <w:color w:val="auto"/>
              </w:rPr>
            </w:pPr>
          </w:p>
        </w:tc>
        <w:tc>
          <w:tcPr>
            <w:tcW w:w="1060" w:type="dxa"/>
            <w:vAlign w:val="bottom"/>
            <w:shd w:val="clear" w:color="auto" w:fill="FDFDFC"/>
          </w:tcPr>
          <w:p>
            <w:pPr>
              <w:spacing w:after="0"/>
              <w:rPr>
                <w:sz w:val="16"/>
                <w:szCs w:val="16"/>
                <w:color w:val="auto"/>
              </w:rPr>
            </w:pPr>
          </w:p>
        </w:tc>
        <w:tc>
          <w:tcPr>
            <w:tcW w:w="100" w:type="dxa"/>
            <w:vAlign w:val="bottom"/>
            <w:shd w:val="clear" w:color="auto" w:fill="FDFDFC"/>
          </w:tcPr>
          <w:p>
            <w:pPr>
              <w:spacing w:after="0"/>
              <w:rPr>
                <w:sz w:val="16"/>
                <w:szCs w:val="16"/>
                <w:color w:val="auto"/>
              </w:rPr>
            </w:pPr>
          </w:p>
        </w:tc>
        <w:tc>
          <w:tcPr>
            <w:tcW w:w="900" w:type="dxa"/>
            <w:vAlign w:val="bottom"/>
            <w:shd w:val="clear" w:color="auto" w:fill="FDFDFC"/>
          </w:tcPr>
          <w:p>
            <w:pPr>
              <w:spacing w:after="0"/>
              <w:rPr>
                <w:sz w:val="16"/>
                <w:szCs w:val="16"/>
                <w:color w:val="auto"/>
              </w:rPr>
            </w:pPr>
          </w:p>
        </w:tc>
        <w:tc>
          <w:tcPr>
            <w:tcW w:w="80" w:type="dxa"/>
            <w:vAlign w:val="bottom"/>
            <w:shd w:val="clear" w:color="auto" w:fill="FDFDFC"/>
          </w:tcPr>
          <w:p>
            <w:pPr>
              <w:spacing w:after="0"/>
              <w:rPr>
                <w:sz w:val="16"/>
                <w:szCs w:val="16"/>
                <w:color w:val="auto"/>
              </w:rPr>
            </w:pPr>
          </w:p>
        </w:tc>
        <w:tc>
          <w:tcPr>
            <w:tcW w:w="100" w:type="dxa"/>
            <w:vAlign w:val="bottom"/>
            <w:shd w:val="clear" w:color="auto" w:fill="FDFDFC"/>
          </w:tcPr>
          <w:p>
            <w:pPr>
              <w:spacing w:after="0"/>
              <w:rPr>
                <w:sz w:val="16"/>
                <w:szCs w:val="16"/>
                <w:color w:val="auto"/>
              </w:rPr>
            </w:pPr>
          </w:p>
        </w:tc>
        <w:tc>
          <w:tcPr>
            <w:tcW w:w="1500" w:type="dxa"/>
            <w:vAlign w:val="bottom"/>
            <w:shd w:val="clear" w:color="auto" w:fill="FDFDFC"/>
          </w:tcPr>
          <w:p>
            <w:pPr>
              <w:spacing w:after="0"/>
              <w:rPr>
                <w:sz w:val="16"/>
                <w:szCs w:val="16"/>
                <w:color w:val="auto"/>
              </w:rPr>
            </w:pPr>
          </w:p>
        </w:tc>
        <w:tc>
          <w:tcPr>
            <w:tcW w:w="100" w:type="dxa"/>
            <w:vAlign w:val="bottom"/>
            <w:shd w:val="clear" w:color="auto" w:fill="FDFDFC"/>
          </w:tcPr>
          <w:p>
            <w:pPr>
              <w:spacing w:after="0"/>
              <w:rPr>
                <w:sz w:val="16"/>
                <w:szCs w:val="16"/>
                <w:color w:val="auto"/>
              </w:rPr>
            </w:pPr>
          </w:p>
        </w:tc>
        <w:tc>
          <w:tcPr>
            <w:tcW w:w="860" w:type="dxa"/>
            <w:vAlign w:val="bottom"/>
            <w:shd w:val="clear" w:color="auto" w:fill="FDFDFC"/>
          </w:tcPr>
          <w:p>
            <w:pPr>
              <w:spacing w:after="0"/>
              <w:rPr>
                <w:sz w:val="16"/>
                <w:szCs w:val="16"/>
                <w:color w:val="auto"/>
              </w:rPr>
            </w:pPr>
          </w:p>
        </w:tc>
      </w:tr>
      <w:tr>
        <w:trPr>
          <w:trHeight w:val="171"/>
        </w:trPr>
        <w:tc>
          <w:tcPr>
            <w:tcW w:w="1580" w:type="dxa"/>
            <w:vAlign w:val="bottom"/>
            <w:shd w:val="clear" w:color="auto" w:fill="D0EBF2"/>
          </w:tcPr>
          <w:p>
            <w:pPr>
              <w:spacing w:after="0" w:line="172" w:lineRule="exact"/>
              <w:rPr>
                <w:sz w:val="20"/>
                <w:szCs w:val="20"/>
                <w:color w:val="auto"/>
              </w:rPr>
            </w:pPr>
            <w:r>
              <w:rPr>
                <w:rFonts w:ascii="Times New Roman" w:cs="Times New Roman" w:eastAsia="Times New Roman" w:hAnsi="Times New Roman"/>
                <w:sz w:val="15"/>
                <w:szCs w:val="15"/>
                <w:color w:val="231F20"/>
              </w:rPr>
              <w:t>Dye &amp; Durham, Ltd.</w:t>
            </w:r>
          </w:p>
        </w:tc>
        <w:tc>
          <w:tcPr>
            <w:tcW w:w="2200" w:type="dxa"/>
            <w:vAlign w:val="bottom"/>
            <w:shd w:val="clear" w:color="auto" w:fill="D0EBF2"/>
          </w:tcPr>
          <w:p>
            <w:pPr>
              <w:ind w:left="60"/>
              <w:spacing w:after="0" w:line="172" w:lineRule="exact"/>
              <w:rPr>
                <w:sz w:val="20"/>
                <w:szCs w:val="20"/>
                <w:color w:val="auto"/>
              </w:rPr>
            </w:pPr>
            <w:r>
              <w:rPr>
                <w:rFonts w:ascii="Times New Roman" w:cs="Times New Roman" w:eastAsia="Times New Roman" w:hAnsi="Times New Roman"/>
                <w:sz w:val="15"/>
                <w:szCs w:val="15"/>
                <w:color w:val="231F20"/>
              </w:rPr>
              <w:t>Common Shares (126,968 shares)</w:t>
            </w:r>
          </w:p>
        </w:tc>
        <w:tc>
          <w:tcPr>
            <w:tcW w:w="800" w:type="dxa"/>
            <w:vAlign w:val="bottom"/>
            <w:shd w:val="clear" w:color="auto" w:fill="D0EBF2"/>
          </w:tcPr>
          <w:p>
            <w:pPr>
              <w:jc w:val="right"/>
              <w:spacing w:after="0" w:line="172" w:lineRule="exact"/>
              <w:rPr>
                <w:sz w:val="20"/>
                <w:szCs w:val="20"/>
                <w:color w:val="auto"/>
              </w:rPr>
            </w:pPr>
            <w:r>
              <w:rPr>
                <w:rFonts w:ascii="Times New Roman" w:cs="Times New Roman" w:eastAsia="Times New Roman" w:hAnsi="Times New Roman"/>
                <w:sz w:val="15"/>
                <w:szCs w:val="15"/>
                <w:color w:val="231F20"/>
              </w:rPr>
              <w:t>12/3/2021</w:t>
            </w:r>
          </w:p>
        </w:tc>
        <w:tc>
          <w:tcPr>
            <w:tcW w:w="1000" w:type="dxa"/>
            <w:vAlign w:val="bottom"/>
            <w:shd w:val="clear" w:color="auto" w:fill="D0EBF2"/>
          </w:tcPr>
          <w:p>
            <w:pPr>
              <w:spacing w:after="0"/>
              <w:rPr>
                <w:sz w:val="14"/>
                <w:szCs w:val="14"/>
                <w:color w:val="auto"/>
              </w:rPr>
            </w:pPr>
          </w:p>
        </w:tc>
        <w:tc>
          <w:tcPr>
            <w:tcW w:w="1060" w:type="dxa"/>
            <w:vAlign w:val="bottom"/>
            <w:shd w:val="clear" w:color="auto" w:fill="D0EBF2"/>
          </w:tcPr>
          <w:p>
            <w:pPr>
              <w:spacing w:after="0"/>
              <w:rPr>
                <w:sz w:val="14"/>
                <w:szCs w:val="14"/>
                <w:color w:val="auto"/>
              </w:rPr>
            </w:pPr>
          </w:p>
        </w:tc>
        <w:tc>
          <w:tcPr>
            <w:tcW w:w="100" w:type="dxa"/>
            <w:vAlign w:val="bottom"/>
            <w:shd w:val="clear" w:color="auto" w:fill="D0EBF2"/>
          </w:tcPr>
          <w:p>
            <w:pPr>
              <w:spacing w:after="0"/>
              <w:rPr>
                <w:sz w:val="14"/>
                <w:szCs w:val="14"/>
                <w:color w:val="auto"/>
              </w:rPr>
            </w:pPr>
          </w:p>
        </w:tc>
        <w:tc>
          <w:tcPr>
            <w:tcW w:w="900" w:type="dxa"/>
            <w:vAlign w:val="bottom"/>
            <w:shd w:val="clear" w:color="auto" w:fill="D0EBF2"/>
          </w:tcPr>
          <w:p>
            <w:pPr>
              <w:jc w:val="right"/>
              <w:spacing w:after="0" w:line="172" w:lineRule="exact"/>
              <w:rPr>
                <w:sz w:val="20"/>
                <w:szCs w:val="20"/>
                <w:color w:val="auto"/>
              </w:rPr>
            </w:pPr>
            <w:r>
              <w:rPr>
                <w:rFonts w:ascii="Times New Roman" w:cs="Times New Roman" w:eastAsia="Times New Roman" w:hAnsi="Times New Roman"/>
                <w:sz w:val="15"/>
                <w:szCs w:val="15"/>
                <w:color w:val="231F20"/>
              </w:rPr>
              <w:t>3,909</w:t>
            </w:r>
          </w:p>
        </w:tc>
        <w:tc>
          <w:tcPr>
            <w:tcW w:w="1680" w:type="dxa"/>
            <w:vAlign w:val="bottom"/>
            <w:gridSpan w:val="3"/>
            <w:shd w:val="clear" w:color="auto" w:fill="D0EBF2"/>
          </w:tcPr>
          <w:p>
            <w:pPr>
              <w:jc w:val="right"/>
              <w:spacing w:after="0" w:line="172" w:lineRule="exact"/>
              <w:rPr>
                <w:sz w:val="20"/>
                <w:szCs w:val="20"/>
                <w:color w:val="auto"/>
              </w:rPr>
            </w:pPr>
            <w:r>
              <w:rPr>
                <w:rFonts w:ascii="Times New Roman" w:cs="Times New Roman" w:eastAsia="Times New Roman" w:hAnsi="Times New Roman"/>
                <w:sz w:val="15"/>
                <w:szCs w:val="15"/>
                <w:color w:val="231F20"/>
              </w:rPr>
              <w:t>1,552</w:t>
            </w:r>
          </w:p>
        </w:tc>
        <w:tc>
          <w:tcPr>
            <w:tcW w:w="960" w:type="dxa"/>
            <w:vAlign w:val="bottom"/>
            <w:gridSpan w:val="2"/>
            <w:shd w:val="clear" w:color="auto" w:fill="D0EBF2"/>
          </w:tcPr>
          <w:p>
            <w:pPr>
              <w:jc w:val="right"/>
              <w:spacing w:after="0" w:line="172" w:lineRule="exact"/>
              <w:rPr>
                <w:sz w:val="20"/>
                <w:szCs w:val="20"/>
                <w:color w:val="auto"/>
              </w:rPr>
            </w:pPr>
            <w:r>
              <w:rPr>
                <w:rFonts w:ascii="Times New Roman" w:cs="Times New Roman" w:eastAsia="Times New Roman" w:hAnsi="Times New Roman"/>
                <w:sz w:val="15"/>
                <w:szCs w:val="15"/>
                <w:color w:val="231F20"/>
              </w:rPr>
              <w:t>0.1%</w:t>
            </w:r>
          </w:p>
        </w:tc>
      </w:tr>
      <w:tr>
        <w:trPr>
          <w:trHeight w:val="189"/>
        </w:trPr>
        <w:tc>
          <w:tcPr>
            <w:tcW w:w="1580" w:type="dxa"/>
            <w:vAlign w:val="bottom"/>
            <w:shd w:val="clear" w:color="auto" w:fill="D0EBF2"/>
          </w:tcPr>
          <w:p>
            <w:pPr>
              <w:spacing w:after="0"/>
              <w:rPr>
                <w:sz w:val="20"/>
                <w:szCs w:val="20"/>
                <w:color w:val="auto"/>
              </w:rPr>
            </w:pPr>
            <w:r>
              <w:rPr>
                <w:rFonts w:ascii="Times New Roman" w:cs="Times New Roman" w:eastAsia="Times New Roman" w:hAnsi="Times New Roman"/>
                <w:sz w:val="9"/>
                <w:szCs w:val="9"/>
                <w:color w:val="231F20"/>
              </w:rPr>
              <w:t>(4)(10)</w:t>
            </w:r>
          </w:p>
        </w:tc>
        <w:tc>
          <w:tcPr>
            <w:tcW w:w="2200" w:type="dxa"/>
            <w:vAlign w:val="bottom"/>
            <w:shd w:val="clear" w:color="auto" w:fill="D0EBF2"/>
          </w:tcPr>
          <w:p>
            <w:pPr>
              <w:spacing w:after="0"/>
              <w:rPr>
                <w:sz w:val="16"/>
                <w:szCs w:val="16"/>
                <w:color w:val="auto"/>
              </w:rPr>
            </w:pPr>
          </w:p>
        </w:tc>
        <w:tc>
          <w:tcPr>
            <w:tcW w:w="800" w:type="dxa"/>
            <w:vAlign w:val="bottom"/>
            <w:shd w:val="clear" w:color="auto" w:fill="D0EBF2"/>
          </w:tcPr>
          <w:p>
            <w:pPr>
              <w:spacing w:after="0"/>
              <w:rPr>
                <w:sz w:val="16"/>
                <w:szCs w:val="16"/>
                <w:color w:val="auto"/>
              </w:rPr>
            </w:pPr>
          </w:p>
        </w:tc>
        <w:tc>
          <w:tcPr>
            <w:tcW w:w="1000" w:type="dxa"/>
            <w:vAlign w:val="bottom"/>
            <w:shd w:val="clear" w:color="auto" w:fill="D0EBF2"/>
          </w:tcPr>
          <w:p>
            <w:pPr>
              <w:spacing w:after="0"/>
              <w:rPr>
                <w:sz w:val="16"/>
                <w:szCs w:val="16"/>
                <w:color w:val="auto"/>
              </w:rPr>
            </w:pPr>
          </w:p>
        </w:tc>
        <w:tc>
          <w:tcPr>
            <w:tcW w:w="1060" w:type="dxa"/>
            <w:vAlign w:val="bottom"/>
            <w:shd w:val="clear" w:color="auto" w:fill="D0EBF2"/>
          </w:tcPr>
          <w:p>
            <w:pPr>
              <w:spacing w:after="0"/>
              <w:rPr>
                <w:sz w:val="16"/>
                <w:szCs w:val="16"/>
                <w:color w:val="auto"/>
              </w:rPr>
            </w:pPr>
          </w:p>
        </w:tc>
        <w:tc>
          <w:tcPr>
            <w:tcW w:w="100" w:type="dxa"/>
            <w:vAlign w:val="bottom"/>
            <w:shd w:val="clear" w:color="auto" w:fill="D0EBF2"/>
          </w:tcPr>
          <w:p>
            <w:pPr>
              <w:spacing w:after="0"/>
              <w:rPr>
                <w:sz w:val="16"/>
                <w:szCs w:val="16"/>
                <w:color w:val="auto"/>
              </w:rPr>
            </w:pPr>
          </w:p>
        </w:tc>
        <w:tc>
          <w:tcPr>
            <w:tcW w:w="900" w:type="dxa"/>
            <w:vAlign w:val="bottom"/>
            <w:shd w:val="clear" w:color="auto" w:fill="D0EBF2"/>
          </w:tcPr>
          <w:p>
            <w:pPr>
              <w:spacing w:after="0"/>
              <w:rPr>
                <w:sz w:val="16"/>
                <w:szCs w:val="16"/>
                <w:color w:val="auto"/>
              </w:rPr>
            </w:pPr>
          </w:p>
        </w:tc>
        <w:tc>
          <w:tcPr>
            <w:tcW w:w="80" w:type="dxa"/>
            <w:vAlign w:val="bottom"/>
            <w:shd w:val="clear" w:color="auto" w:fill="D0EBF2"/>
          </w:tcPr>
          <w:p>
            <w:pPr>
              <w:spacing w:after="0"/>
              <w:rPr>
                <w:sz w:val="16"/>
                <w:szCs w:val="16"/>
                <w:color w:val="auto"/>
              </w:rPr>
            </w:pPr>
          </w:p>
        </w:tc>
        <w:tc>
          <w:tcPr>
            <w:tcW w:w="100" w:type="dxa"/>
            <w:vAlign w:val="bottom"/>
            <w:shd w:val="clear" w:color="auto" w:fill="D0EBF2"/>
          </w:tcPr>
          <w:p>
            <w:pPr>
              <w:spacing w:after="0"/>
              <w:rPr>
                <w:sz w:val="16"/>
                <w:szCs w:val="16"/>
                <w:color w:val="auto"/>
              </w:rPr>
            </w:pPr>
          </w:p>
        </w:tc>
        <w:tc>
          <w:tcPr>
            <w:tcW w:w="1500" w:type="dxa"/>
            <w:vAlign w:val="bottom"/>
            <w:shd w:val="clear" w:color="auto" w:fill="D0EBF2"/>
          </w:tcPr>
          <w:p>
            <w:pPr>
              <w:jc w:val="right"/>
              <w:spacing w:after="0"/>
              <w:rPr>
                <w:sz w:val="20"/>
                <w:szCs w:val="20"/>
                <w:color w:val="auto"/>
              </w:rPr>
            </w:pPr>
            <w:r>
              <w:rPr>
                <w:rFonts w:ascii="Times New Roman" w:cs="Times New Roman" w:eastAsia="Times New Roman" w:hAnsi="Times New Roman"/>
                <w:sz w:val="15"/>
                <w:szCs w:val="15"/>
                <w:color w:val="231F20"/>
              </w:rPr>
              <w:t>(CAD 2,232)</w:t>
            </w:r>
          </w:p>
        </w:tc>
        <w:tc>
          <w:tcPr>
            <w:tcW w:w="100" w:type="dxa"/>
            <w:vAlign w:val="bottom"/>
            <w:shd w:val="clear" w:color="auto" w:fill="D0EBF2"/>
          </w:tcPr>
          <w:p>
            <w:pPr>
              <w:spacing w:after="0"/>
              <w:rPr>
                <w:sz w:val="16"/>
                <w:szCs w:val="16"/>
                <w:color w:val="auto"/>
              </w:rPr>
            </w:pPr>
          </w:p>
        </w:tc>
        <w:tc>
          <w:tcPr>
            <w:tcW w:w="860" w:type="dxa"/>
            <w:vAlign w:val="bottom"/>
            <w:shd w:val="clear" w:color="auto" w:fill="D0EBF2"/>
          </w:tcPr>
          <w:p>
            <w:pPr>
              <w:spacing w:after="0"/>
              <w:rPr>
                <w:sz w:val="16"/>
                <w:szCs w:val="16"/>
                <w:color w:val="auto"/>
              </w:rPr>
            </w:pPr>
          </w:p>
        </w:tc>
      </w:tr>
      <w:tr>
        <w:trPr>
          <w:trHeight w:val="171"/>
        </w:trPr>
        <w:tc>
          <w:tcPr>
            <w:tcW w:w="1580" w:type="dxa"/>
            <w:vAlign w:val="bottom"/>
            <w:shd w:val="clear" w:color="auto" w:fill="FDFDFC"/>
          </w:tcPr>
          <w:p>
            <w:pPr>
              <w:spacing w:after="0" w:line="172" w:lineRule="exact"/>
              <w:rPr>
                <w:sz w:val="20"/>
                <w:szCs w:val="20"/>
                <w:color w:val="auto"/>
              </w:rPr>
            </w:pPr>
            <w:r>
              <w:rPr>
                <w:rFonts w:ascii="Times New Roman" w:cs="Times New Roman" w:eastAsia="Times New Roman" w:hAnsi="Times New Roman"/>
                <w:sz w:val="15"/>
                <w:szCs w:val="15"/>
                <w:color w:val="231F20"/>
              </w:rPr>
              <w:t>Insight Hideaway</w:t>
            </w:r>
          </w:p>
        </w:tc>
        <w:tc>
          <w:tcPr>
            <w:tcW w:w="2200" w:type="dxa"/>
            <w:vAlign w:val="bottom"/>
            <w:shd w:val="clear" w:color="auto" w:fill="FDFDFC"/>
          </w:tcPr>
          <w:p>
            <w:pPr>
              <w:ind w:left="60"/>
              <w:spacing w:after="0" w:line="172" w:lineRule="exact"/>
              <w:rPr>
                <w:sz w:val="20"/>
                <w:szCs w:val="20"/>
                <w:color w:val="auto"/>
              </w:rPr>
            </w:pPr>
            <w:r>
              <w:rPr>
                <w:rFonts w:ascii="Times New Roman" w:cs="Times New Roman" w:eastAsia="Times New Roman" w:hAnsi="Times New Roman"/>
                <w:sz w:val="15"/>
                <w:szCs w:val="15"/>
                <w:color w:val="231F20"/>
              </w:rPr>
              <w:t>Partnership Interest (329,861</w:t>
            </w:r>
          </w:p>
        </w:tc>
        <w:tc>
          <w:tcPr>
            <w:tcW w:w="800" w:type="dxa"/>
            <w:vAlign w:val="bottom"/>
            <w:shd w:val="clear" w:color="auto" w:fill="FDFDFC"/>
          </w:tcPr>
          <w:p>
            <w:pPr>
              <w:jc w:val="right"/>
              <w:spacing w:after="0" w:line="172" w:lineRule="exact"/>
              <w:rPr>
                <w:sz w:val="20"/>
                <w:szCs w:val="20"/>
                <w:color w:val="auto"/>
              </w:rPr>
            </w:pPr>
            <w:r>
              <w:rPr>
                <w:rFonts w:ascii="Times New Roman" w:cs="Times New Roman" w:eastAsia="Times New Roman" w:hAnsi="Times New Roman"/>
                <w:sz w:val="15"/>
                <w:szCs w:val="15"/>
                <w:color w:val="231F20"/>
              </w:rPr>
              <w:t>3/19/2024</w:t>
            </w:r>
          </w:p>
        </w:tc>
        <w:tc>
          <w:tcPr>
            <w:tcW w:w="1000" w:type="dxa"/>
            <w:vAlign w:val="bottom"/>
            <w:shd w:val="clear" w:color="auto" w:fill="FDFDFC"/>
          </w:tcPr>
          <w:p>
            <w:pPr>
              <w:spacing w:after="0"/>
              <w:rPr>
                <w:sz w:val="14"/>
                <w:szCs w:val="14"/>
                <w:color w:val="auto"/>
              </w:rPr>
            </w:pPr>
          </w:p>
        </w:tc>
        <w:tc>
          <w:tcPr>
            <w:tcW w:w="1060" w:type="dxa"/>
            <w:vAlign w:val="bottom"/>
            <w:shd w:val="clear" w:color="auto" w:fill="FDFDFC"/>
          </w:tcPr>
          <w:p>
            <w:pPr>
              <w:spacing w:after="0"/>
              <w:rPr>
                <w:sz w:val="14"/>
                <w:szCs w:val="14"/>
                <w:color w:val="auto"/>
              </w:rPr>
            </w:pPr>
          </w:p>
        </w:tc>
        <w:tc>
          <w:tcPr>
            <w:tcW w:w="100" w:type="dxa"/>
            <w:vAlign w:val="bottom"/>
            <w:shd w:val="clear" w:color="auto" w:fill="FDFDFC"/>
          </w:tcPr>
          <w:p>
            <w:pPr>
              <w:spacing w:after="0"/>
              <w:rPr>
                <w:sz w:val="14"/>
                <w:szCs w:val="14"/>
                <w:color w:val="auto"/>
              </w:rPr>
            </w:pPr>
          </w:p>
        </w:tc>
        <w:tc>
          <w:tcPr>
            <w:tcW w:w="900" w:type="dxa"/>
            <w:vAlign w:val="bottom"/>
            <w:shd w:val="clear" w:color="auto" w:fill="FDFDFC"/>
          </w:tcPr>
          <w:p>
            <w:pPr>
              <w:jc w:val="right"/>
              <w:spacing w:after="0" w:line="172" w:lineRule="exact"/>
              <w:rPr>
                <w:sz w:val="20"/>
                <w:szCs w:val="20"/>
                <w:color w:val="auto"/>
              </w:rPr>
            </w:pPr>
            <w:r>
              <w:rPr>
                <w:rFonts w:ascii="Times New Roman" w:cs="Times New Roman" w:eastAsia="Times New Roman" w:hAnsi="Times New Roman"/>
                <w:sz w:val="15"/>
                <w:szCs w:val="15"/>
                <w:color w:val="231F20"/>
              </w:rPr>
              <w:t>3,299</w:t>
            </w:r>
          </w:p>
        </w:tc>
        <w:tc>
          <w:tcPr>
            <w:tcW w:w="1680" w:type="dxa"/>
            <w:vAlign w:val="bottom"/>
            <w:gridSpan w:val="3"/>
            <w:shd w:val="clear" w:color="auto" w:fill="FDFDFC"/>
          </w:tcPr>
          <w:p>
            <w:pPr>
              <w:jc w:val="right"/>
              <w:spacing w:after="0" w:line="172" w:lineRule="exact"/>
              <w:rPr>
                <w:sz w:val="20"/>
                <w:szCs w:val="20"/>
                <w:color w:val="auto"/>
              </w:rPr>
            </w:pPr>
            <w:r>
              <w:rPr>
                <w:rFonts w:ascii="Times New Roman" w:cs="Times New Roman" w:eastAsia="Times New Roman" w:hAnsi="Times New Roman"/>
                <w:sz w:val="15"/>
                <w:szCs w:val="15"/>
                <w:color w:val="231F20"/>
              </w:rPr>
              <w:t>3,299</w:t>
            </w:r>
          </w:p>
        </w:tc>
        <w:tc>
          <w:tcPr>
            <w:tcW w:w="960" w:type="dxa"/>
            <w:vAlign w:val="bottom"/>
            <w:gridSpan w:val="2"/>
            <w:shd w:val="clear" w:color="auto" w:fill="FDFDFC"/>
          </w:tcPr>
          <w:p>
            <w:pPr>
              <w:jc w:val="right"/>
              <w:spacing w:after="0" w:line="172" w:lineRule="exact"/>
              <w:rPr>
                <w:sz w:val="20"/>
                <w:szCs w:val="20"/>
                <w:color w:val="auto"/>
              </w:rPr>
            </w:pPr>
            <w:r>
              <w:rPr>
                <w:rFonts w:ascii="Times New Roman" w:cs="Times New Roman" w:eastAsia="Times New Roman" w:hAnsi="Times New Roman"/>
                <w:sz w:val="15"/>
                <w:szCs w:val="15"/>
                <w:color w:val="231F20"/>
              </w:rPr>
              <w:t>0.3%</w:t>
            </w:r>
          </w:p>
        </w:tc>
      </w:tr>
      <w:tr>
        <w:trPr>
          <w:trHeight w:val="189"/>
        </w:trPr>
        <w:tc>
          <w:tcPr>
            <w:tcW w:w="1580" w:type="dxa"/>
            <w:vAlign w:val="bottom"/>
            <w:shd w:val="clear" w:color="auto" w:fill="FDFDFC"/>
          </w:tcPr>
          <w:p>
            <w:pPr>
              <w:spacing w:after="0"/>
              <w:rPr>
                <w:sz w:val="20"/>
                <w:szCs w:val="20"/>
                <w:color w:val="auto"/>
              </w:rPr>
            </w:pPr>
            <w:r>
              <w:rPr>
                <w:rFonts w:ascii="Times New Roman" w:cs="Times New Roman" w:eastAsia="Times New Roman" w:hAnsi="Times New Roman"/>
                <w:sz w:val="15"/>
                <w:szCs w:val="15"/>
                <w:color w:val="231F20"/>
              </w:rPr>
              <w:t xml:space="preserve">Aggregator, L.P. </w:t>
            </w:r>
            <w:r>
              <w:rPr>
                <w:rFonts w:ascii="Times New Roman" w:cs="Times New Roman" w:eastAsia="Times New Roman" w:hAnsi="Times New Roman"/>
                <w:sz w:val="9"/>
                <w:szCs w:val="9"/>
                <w:color w:val="231F20"/>
              </w:rPr>
              <w:t>(11)(12)</w:t>
            </w:r>
          </w:p>
        </w:tc>
        <w:tc>
          <w:tcPr>
            <w:tcW w:w="2200" w:type="dxa"/>
            <w:vAlign w:val="bottom"/>
            <w:shd w:val="clear" w:color="auto" w:fill="FDFDFC"/>
          </w:tcPr>
          <w:p>
            <w:pPr>
              <w:ind w:left="60"/>
              <w:spacing w:after="0"/>
              <w:rPr>
                <w:sz w:val="20"/>
                <w:szCs w:val="20"/>
                <w:color w:val="auto"/>
              </w:rPr>
            </w:pPr>
            <w:r>
              <w:rPr>
                <w:rFonts w:ascii="Times New Roman" w:cs="Times New Roman" w:eastAsia="Times New Roman" w:hAnsi="Times New Roman"/>
                <w:sz w:val="15"/>
                <w:szCs w:val="15"/>
                <w:color w:val="231F20"/>
              </w:rPr>
              <w:t>units)</w:t>
            </w:r>
          </w:p>
        </w:tc>
        <w:tc>
          <w:tcPr>
            <w:tcW w:w="800" w:type="dxa"/>
            <w:vAlign w:val="bottom"/>
            <w:shd w:val="clear" w:color="auto" w:fill="FDFDFC"/>
          </w:tcPr>
          <w:p>
            <w:pPr>
              <w:spacing w:after="0"/>
              <w:rPr>
                <w:sz w:val="16"/>
                <w:szCs w:val="16"/>
                <w:color w:val="auto"/>
              </w:rPr>
            </w:pPr>
          </w:p>
        </w:tc>
        <w:tc>
          <w:tcPr>
            <w:tcW w:w="1000" w:type="dxa"/>
            <w:vAlign w:val="bottom"/>
            <w:shd w:val="clear" w:color="auto" w:fill="FDFDFC"/>
          </w:tcPr>
          <w:p>
            <w:pPr>
              <w:spacing w:after="0"/>
              <w:rPr>
                <w:sz w:val="16"/>
                <w:szCs w:val="16"/>
                <w:color w:val="auto"/>
              </w:rPr>
            </w:pPr>
          </w:p>
        </w:tc>
        <w:tc>
          <w:tcPr>
            <w:tcW w:w="1060" w:type="dxa"/>
            <w:vAlign w:val="bottom"/>
            <w:shd w:val="clear" w:color="auto" w:fill="FDFDFC"/>
          </w:tcPr>
          <w:p>
            <w:pPr>
              <w:spacing w:after="0"/>
              <w:rPr>
                <w:sz w:val="16"/>
                <w:szCs w:val="16"/>
                <w:color w:val="auto"/>
              </w:rPr>
            </w:pPr>
          </w:p>
        </w:tc>
        <w:tc>
          <w:tcPr>
            <w:tcW w:w="100" w:type="dxa"/>
            <w:vAlign w:val="bottom"/>
            <w:shd w:val="clear" w:color="auto" w:fill="FDFDFC"/>
          </w:tcPr>
          <w:p>
            <w:pPr>
              <w:spacing w:after="0"/>
              <w:rPr>
                <w:sz w:val="16"/>
                <w:szCs w:val="16"/>
                <w:color w:val="auto"/>
              </w:rPr>
            </w:pPr>
          </w:p>
        </w:tc>
        <w:tc>
          <w:tcPr>
            <w:tcW w:w="900" w:type="dxa"/>
            <w:vAlign w:val="bottom"/>
            <w:shd w:val="clear" w:color="auto" w:fill="FDFDFC"/>
          </w:tcPr>
          <w:p>
            <w:pPr>
              <w:spacing w:after="0"/>
              <w:rPr>
                <w:sz w:val="16"/>
                <w:szCs w:val="16"/>
                <w:color w:val="auto"/>
              </w:rPr>
            </w:pPr>
          </w:p>
        </w:tc>
        <w:tc>
          <w:tcPr>
            <w:tcW w:w="80" w:type="dxa"/>
            <w:vAlign w:val="bottom"/>
            <w:shd w:val="clear" w:color="auto" w:fill="FDFDFC"/>
          </w:tcPr>
          <w:p>
            <w:pPr>
              <w:spacing w:after="0"/>
              <w:rPr>
                <w:sz w:val="16"/>
                <w:szCs w:val="16"/>
                <w:color w:val="auto"/>
              </w:rPr>
            </w:pPr>
          </w:p>
        </w:tc>
        <w:tc>
          <w:tcPr>
            <w:tcW w:w="100" w:type="dxa"/>
            <w:vAlign w:val="bottom"/>
            <w:shd w:val="clear" w:color="auto" w:fill="FDFDFC"/>
          </w:tcPr>
          <w:p>
            <w:pPr>
              <w:spacing w:after="0"/>
              <w:rPr>
                <w:sz w:val="16"/>
                <w:szCs w:val="16"/>
                <w:color w:val="auto"/>
              </w:rPr>
            </w:pPr>
          </w:p>
        </w:tc>
        <w:tc>
          <w:tcPr>
            <w:tcW w:w="1500" w:type="dxa"/>
            <w:vAlign w:val="bottom"/>
            <w:shd w:val="clear" w:color="auto" w:fill="FDFDFC"/>
          </w:tcPr>
          <w:p>
            <w:pPr>
              <w:spacing w:after="0"/>
              <w:rPr>
                <w:sz w:val="16"/>
                <w:szCs w:val="16"/>
                <w:color w:val="auto"/>
              </w:rPr>
            </w:pPr>
          </w:p>
        </w:tc>
        <w:tc>
          <w:tcPr>
            <w:tcW w:w="100" w:type="dxa"/>
            <w:vAlign w:val="bottom"/>
            <w:shd w:val="clear" w:color="auto" w:fill="FDFDFC"/>
          </w:tcPr>
          <w:p>
            <w:pPr>
              <w:spacing w:after="0"/>
              <w:rPr>
                <w:sz w:val="16"/>
                <w:szCs w:val="16"/>
                <w:color w:val="auto"/>
              </w:rPr>
            </w:pPr>
          </w:p>
        </w:tc>
        <w:tc>
          <w:tcPr>
            <w:tcW w:w="860" w:type="dxa"/>
            <w:vAlign w:val="bottom"/>
            <w:shd w:val="clear" w:color="auto" w:fill="FDFDFC"/>
          </w:tcPr>
          <w:p>
            <w:pPr>
              <w:spacing w:after="0"/>
              <w:rPr>
                <w:sz w:val="16"/>
                <w:szCs w:val="16"/>
                <w:color w:val="auto"/>
              </w:rPr>
            </w:pPr>
          </w:p>
        </w:tc>
      </w:tr>
      <w:tr>
        <w:trPr>
          <w:trHeight w:val="171"/>
        </w:trPr>
        <w:tc>
          <w:tcPr>
            <w:tcW w:w="1580" w:type="dxa"/>
            <w:vAlign w:val="bottom"/>
            <w:shd w:val="clear" w:color="auto" w:fill="D0EBF2"/>
          </w:tcPr>
          <w:p>
            <w:pPr>
              <w:spacing w:after="0" w:line="172" w:lineRule="exact"/>
              <w:rPr>
                <w:sz w:val="20"/>
                <w:szCs w:val="20"/>
                <w:color w:val="auto"/>
              </w:rPr>
            </w:pPr>
            <w:r>
              <w:rPr>
                <w:rFonts w:ascii="Times New Roman" w:cs="Times New Roman" w:eastAsia="Times New Roman" w:hAnsi="Times New Roman"/>
                <w:sz w:val="15"/>
                <w:szCs w:val="15"/>
                <w:color w:val="231F20"/>
              </w:rPr>
              <w:t>Mitnick TA Aggregator,</w:t>
            </w:r>
          </w:p>
        </w:tc>
        <w:tc>
          <w:tcPr>
            <w:tcW w:w="2200" w:type="dxa"/>
            <w:vAlign w:val="bottom"/>
            <w:shd w:val="clear" w:color="auto" w:fill="D0EBF2"/>
          </w:tcPr>
          <w:p>
            <w:pPr>
              <w:ind w:left="60"/>
              <w:spacing w:after="0" w:line="172" w:lineRule="exact"/>
              <w:rPr>
                <w:sz w:val="20"/>
                <w:szCs w:val="20"/>
                <w:color w:val="auto"/>
              </w:rPr>
            </w:pPr>
            <w:r>
              <w:rPr>
                <w:rFonts w:ascii="Times New Roman" w:cs="Times New Roman" w:eastAsia="Times New Roman" w:hAnsi="Times New Roman"/>
                <w:sz w:val="15"/>
                <w:szCs w:val="15"/>
                <w:color w:val="231F20"/>
              </w:rPr>
              <w:t>Membership Interest (0.43%</w:t>
            </w:r>
          </w:p>
        </w:tc>
        <w:tc>
          <w:tcPr>
            <w:tcW w:w="800" w:type="dxa"/>
            <w:vAlign w:val="bottom"/>
            <w:shd w:val="clear" w:color="auto" w:fill="D0EBF2"/>
          </w:tcPr>
          <w:p>
            <w:pPr>
              <w:jc w:val="right"/>
              <w:spacing w:after="0" w:line="172" w:lineRule="exact"/>
              <w:rPr>
                <w:sz w:val="20"/>
                <w:szCs w:val="20"/>
                <w:color w:val="auto"/>
              </w:rPr>
            </w:pPr>
            <w:r>
              <w:rPr>
                <w:rFonts w:ascii="Times New Roman" w:cs="Times New Roman" w:eastAsia="Times New Roman" w:hAnsi="Times New Roman"/>
                <w:sz w:val="15"/>
                <w:szCs w:val="15"/>
                <w:color w:val="231F20"/>
              </w:rPr>
              <w:t>5/2/2022</w:t>
            </w:r>
          </w:p>
        </w:tc>
        <w:tc>
          <w:tcPr>
            <w:tcW w:w="1000" w:type="dxa"/>
            <w:vAlign w:val="bottom"/>
            <w:shd w:val="clear" w:color="auto" w:fill="D0EBF2"/>
          </w:tcPr>
          <w:p>
            <w:pPr>
              <w:spacing w:after="0"/>
              <w:rPr>
                <w:sz w:val="14"/>
                <w:szCs w:val="14"/>
                <w:color w:val="auto"/>
              </w:rPr>
            </w:pPr>
          </w:p>
        </w:tc>
        <w:tc>
          <w:tcPr>
            <w:tcW w:w="1060" w:type="dxa"/>
            <w:vAlign w:val="bottom"/>
            <w:shd w:val="clear" w:color="auto" w:fill="D0EBF2"/>
          </w:tcPr>
          <w:p>
            <w:pPr>
              <w:spacing w:after="0"/>
              <w:rPr>
                <w:sz w:val="14"/>
                <w:szCs w:val="14"/>
                <w:color w:val="auto"/>
              </w:rPr>
            </w:pPr>
          </w:p>
        </w:tc>
        <w:tc>
          <w:tcPr>
            <w:tcW w:w="100" w:type="dxa"/>
            <w:vAlign w:val="bottom"/>
            <w:shd w:val="clear" w:color="auto" w:fill="D0EBF2"/>
          </w:tcPr>
          <w:p>
            <w:pPr>
              <w:spacing w:after="0"/>
              <w:rPr>
                <w:sz w:val="14"/>
                <w:szCs w:val="14"/>
                <w:color w:val="auto"/>
              </w:rPr>
            </w:pPr>
          </w:p>
        </w:tc>
        <w:tc>
          <w:tcPr>
            <w:tcW w:w="900" w:type="dxa"/>
            <w:vAlign w:val="bottom"/>
            <w:shd w:val="clear" w:color="auto" w:fill="D0EBF2"/>
          </w:tcPr>
          <w:p>
            <w:pPr>
              <w:jc w:val="right"/>
              <w:spacing w:after="0" w:line="172" w:lineRule="exact"/>
              <w:rPr>
                <w:sz w:val="20"/>
                <w:szCs w:val="20"/>
                <w:color w:val="auto"/>
              </w:rPr>
            </w:pPr>
            <w:r>
              <w:rPr>
                <w:rFonts w:ascii="Times New Roman" w:cs="Times New Roman" w:eastAsia="Times New Roman" w:hAnsi="Times New Roman"/>
                <w:sz w:val="15"/>
                <w:szCs w:val="15"/>
                <w:color w:val="231F20"/>
              </w:rPr>
              <w:t>5,247</w:t>
            </w:r>
          </w:p>
        </w:tc>
        <w:tc>
          <w:tcPr>
            <w:tcW w:w="1680" w:type="dxa"/>
            <w:vAlign w:val="bottom"/>
            <w:gridSpan w:val="3"/>
            <w:shd w:val="clear" w:color="auto" w:fill="D0EBF2"/>
          </w:tcPr>
          <w:p>
            <w:pPr>
              <w:jc w:val="right"/>
              <w:spacing w:after="0" w:line="172" w:lineRule="exact"/>
              <w:rPr>
                <w:sz w:val="20"/>
                <w:szCs w:val="20"/>
                <w:color w:val="auto"/>
              </w:rPr>
            </w:pPr>
            <w:r>
              <w:rPr>
                <w:rFonts w:ascii="Times New Roman" w:cs="Times New Roman" w:eastAsia="Times New Roman" w:hAnsi="Times New Roman"/>
                <w:sz w:val="15"/>
                <w:szCs w:val="15"/>
                <w:color w:val="231F20"/>
              </w:rPr>
              <w:t>3,751</w:t>
            </w:r>
          </w:p>
        </w:tc>
        <w:tc>
          <w:tcPr>
            <w:tcW w:w="960" w:type="dxa"/>
            <w:vAlign w:val="bottom"/>
            <w:gridSpan w:val="2"/>
            <w:shd w:val="clear" w:color="auto" w:fill="D0EBF2"/>
          </w:tcPr>
          <w:p>
            <w:pPr>
              <w:jc w:val="right"/>
              <w:spacing w:after="0" w:line="172" w:lineRule="exact"/>
              <w:rPr>
                <w:sz w:val="20"/>
                <w:szCs w:val="20"/>
                <w:color w:val="auto"/>
              </w:rPr>
            </w:pPr>
            <w:r>
              <w:rPr>
                <w:rFonts w:ascii="Times New Roman" w:cs="Times New Roman" w:eastAsia="Times New Roman" w:hAnsi="Times New Roman"/>
                <w:sz w:val="15"/>
                <w:szCs w:val="15"/>
                <w:color w:val="231F20"/>
              </w:rPr>
              <w:t>0.3%</w:t>
            </w:r>
          </w:p>
        </w:tc>
      </w:tr>
      <w:tr>
        <w:trPr>
          <w:trHeight w:val="189"/>
        </w:trPr>
        <w:tc>
          <w:tcPr>
            <w:tcW w:w="1580" w:type="dxa"/>
            <w:vAlign w:val="bottom"/>
            <w:shd w:val="clear" w:color="auto" w:fill="D0EBF2"/>
          </w:tcPr>
          <w:p>
            <w:pPr>
              <w:spacing w:after="0"/>
              <w:rPr>
                <w:sz w:val="20"/>
                <w:szCs w:val="20"/>
                <w:color w:val="auto"/>
              </w:rPr>
            </w:pPr>
            <w:r>
              <w:rPr>
                <w:rFonts w:ascii="Times New Roman" w:cs="Times New Roman" w:eastAsia="Times New Roman" w:hAnsi="Times New Roman"/>
                <w:sz w:val="15"/>
                <w:szCs w:val="15"/>
                <w:color w:val="231F20"/>
              </w:rPr>
              <w:t xml:space="preserve">L.P. </w:t>
            </w:r>
            <w:r>
              <w:rPr>
                <w:rFonts w:ascii="Times New Roman" w:cs="Times New Roman" w:eastAsia="Times New Roman" w:hAnsi="Times New Roman"/>
                <w:sz w:val="9"/>
                <w:szCs w:val="9"/>
                <w:color w:val="231F20"/>
              </w:rPr>
              <w:t>(11)</w:t>
            </w:r>
          </w:p>
        </w:tc>
        <w:tc>
          <w:tcPr>
            <w:tcW w:w="2200" w:type="dxa"/>
            <w:vAlign w:val="bottom"/>
            <w:shd w:val="clear" w:color="auto" w:fill="D0EBF2"/>
          </w:tcPr>
          <w:p>
            <w:pPr>
              <w:ind w:left="60"/>
              <w:spacing w:after="0"/>
              <w:rPr>
                <w:sz w:val="20"/>
                <w:szCs w:val="20"/>
                <w:color w:val="auto"/>
              </w:rPr>
            </w:pPr>
            <w:r>
              <w:rPr>
                <w:rFonts w:ascii="Times New Roman" w:cs="Times New Roman" w:eastAsia="Times New Roman" w:hAnsi="Times New Roman"/>
                <w:sz w:val="15"/>
                <w:szCs w:val="15"/>
                <w:color w:val="231F20"/>
              </w:rPr>
              <w:t>ownership)</w:t>
            </w:r>
          </w:p>
        </w:tc>
        <w:tc>
          <w:tcPr>
            <w:tcW w:w="800" w:type="dxa"/>
            <w:vAlign w:val="bottom"/>
            <w:shd w:val="clear" w:color="auto" w:fill="D0EBF2"/>
          </w:tcPr>
          <w:p>
            <w:pPr>
              <w:spacing w:after="0"/>
              <w:rPr>
                <w:sz w:val="16"/>
                <w:szCs w:val="16"/>
                <w:color w:val="auto"/>
              </w:rPr>
            </w:pPr>
          </w:p>
        </w:tc>
        <w:tc>
          <w:tcPr>
            <w:tcW w:w="1000" w:type="dxa"/>
            <w:vAlign w:val="bottom"/>
            <w:shd w:val="clear" w:color="auto" w:fill="D0EBF2"/>
          </w:tcPr>
          <w:p>
            <w:pPr>
              <w:spacing w:after="0"/>
              <w:rPr>
                <w:sz w:val="16"/>
                <w:szCs w:val="16"/>
                <w:color w:val="auto"/>
              </w:rPr>
            </w:pPr>
          </w:p>
        </w:tc>
        <w:tc>
          <w:tcPr>
            <w:tcW w:w="1060" w:type="dxa"/>
            <w:vAlign w:val="bottom"/>
            <w:shd w:val="clear" w:color="auto" w:fill="D0EBF2"/>
          </w:tcPr>
          <w:p>
            <w:pPr>
              <w:spacing w:after="0"/>
              <w:rPr>
                <w:sz w:val="16"/>
                <w:szCs w:val="16"/>
                <w:color w:val="auto"/>
              </w:rPr>
            </w:pPr>
          </w:p>
        </w:tc>
        <w:tc>
          <w:tcPr>
            <w:tcW w:w="100" w:type="dxa"/>
            <w:vAlign w:val="bottom"/>
            <w:shd w:val="clear" w:color="auto" w:fill="D0EBF2"/>
          </w:tcPr>
          <w:p>
            <w:pPr>
              <w:spacing w:after="0"/>
              <w:rPr>
                <w:sz w:val="16"/>
                <w:szCs w:val="16"/>
                <w:color w:val="auto"/>
              </w:rPr>
            </w:pPr>
          </w:p>
        </w:tc>
        <w:tc>
          <w:tcPr>
            <w:tcW w:w="900" w:type="dxa"/>
            <w:vAlign w:val="bottom"/>
            <w:shd w:val="clear" w:color="auto" w:fill="D0EBF2"/>
          </w:tcPr>
          <w:p>
            <w:pPr>
              <w:spacing w:after="0"/>
              <w:rPr>
                <w:sz w:val="16"/>
                <w:szCs w:val="16"/>
                <w:color w:val="auto"/>
              </w:rPr>
            </w:pPr>
          </w:p>
        </w:tc>
        <w:tc>
          <w:tcPr>
            <w:tcW w:w="80" w:type="dxa"/>
            <w:vAlign w:val="bottom"/>
            <w:shd w:val="clear" w:color="auto" w:fill="D0EBF2"/>
          </w:tcPr>
          <w:p>
            <w:pPr>
              <w:spacing w:after="0"/>
              <w:rPr>
                <w:sz w:val="16"/>
                <w:szCs w:val="16"/>
                <w:color w:val="auto"/>
              </w:rPr>
            </w:pPr>
          </w:p>
        </w:tc>
        <w:tc>
          <w:tcPr>
            <w:tcW w:w="100" w:type="dxa"/>
            <w:vAlign w:val="bottom"/>
            <w:shd w:val="clear" w:color="auto" w:fill="D0EBF2"/>
          </w:tcPr>
          <w:p>
            <w:pPr>
              <w:spacing w:after="0"/>
              <w:rPr>
                <w:sz w:val="16"/>
                <w:szCs w:val="16"/>
                <w:color w:val="auto"/>
              </w:rPr>
            </w:pPr>
          </w:p>
        </w:tc>
        <w:tc>
          <w:tcPr>
            <w:tcW w:w="1500" w:type="dxa"/>
            <w:vAlign w:val="bottom"/>
            <w:shd w:val="clear" w:color="auto" w:fill="D0EBF2"/>
          </w:tcPr>
          <w:p>
            <w:pPr>
              <w:spacing w:after="0"/>
              <w:rPr>
                <w:sz w:val="16"/>
                <w:szCs w:val="16"/>
                <w:color w:val="auto"/>
              </w:rPr>
            </w:pPr>
          </w:p>
        </w:tc>
        <w:tc>
          <w:tcPr>
            <w:tcW w:w="100" w:type="dxa"/>
            <w:vAlign w:val="bottom"/>
            <w:shd w:val="clear" w:color="auto" w:fill="D0EBF2"/>
          </w:tcPr>
          <w:p>
            <w:pPr>
              <w:spacing w:after="0"/>
              <w:rPr>
                <w:sz w:val="16"/>
                <w:szCs w:val="16"/>
                <w:color w:val="auto"/>
              </w:rPr>
            </w:pPr>
          </w:p>
        </w:tc>
        <w:tc>
          <w:tcPr>
            <w:tcW w:w="860" w:type="dxa"/>
            <w:vAlign w:val="bottom"/>
            <w:shd w:val="clear" w:color="auto" w:fill="D0EBF2"/>
          </w:tcPr>
          <w:p>
            <w:pPr>
              <w:spacing w:after="0"/>
              <w:rPr>
                <w:sz w:val="16"/>
                <w:szCs w:val="16"/>
                <w:color w:val="auto"/>
              </w:rPr>
            </w:pPr>
          </w:p>
        </w:tc>
      </w:tr>
      <w:tr>
        <w:trPr>
          <w:trHeight w:val="171"/>
        </w:trPr>
        <w:tc>
          <w:tcPr>
            <w:tcW w:w="1580" w:type="dxa"/>
            <w:vAlign w:val="bottom"/>
            <w:shd w:val="clear" w:color="auto" w:fill="FDFDFC"/>
          </w:tcPr>
          <w:p>
            <w:pPr>
              <w:spacing w:after="0" w:line="172" w:lineRule="exact"/>
              <w:rPr>
                <w:sz w:val="20"/>
                <w:szCs w:val="20"/>
                <w:color w:val="auto"/>
              </w:rPr>
            </w:pPr>
            <w:r>
              <w:rPr>
                <w:rFonts w:ascii="Times New Roman" w:cs="Times New Roman" w:eastAsia="Times New Roman" w:hAnsi="Times New Roman"/>
                <w:sz w:val="15"/>
                <w:szCs w:val="15"/>
                <w:color w:val="231F20"/>
              </w:rPr>
              <w:t>Newark FP Co-Invest,</w:t>
            </w:r>
          </w:p>
        </w:tc>
        <w:tc>
          <w:tcPr>
            <w:tcW w:w="2200" w:type="dxa"/>
            <w:vAlign w:val="bottom"/>
            <w:shd w:val="clear" w:color="auto" w:fill="FDFDFC"/>
          </w:tcPr>
          <w:p>
            <w:pPr>
              <w:ind w:left="60"/>
              <w:spacing w:after="0" w:line="172" w:lineRule="exact"/>
              <w:rPr>
                <w:sz w:val="20"/>
                <w:szCs w:val="20"/>
                <w:color w:val="auto"/>
              </w:rPr>
            </w:pPr>
            <w:r>
              <w:rPr>
                <w:rFonts w:ascii="Times New Roman" w:cs="Times New Roman" w:eastAsia="Times New Roman" w:hAnsi="Times New Roman"/>
                <w:sz w:val="15"/>
                <w:szCs w:val="15"/>
                <w:color w:val="231F20"/>
              </w:rPr>
              <w:t>Partnership (2,527,719 units)</w:t>
            </w:r>
          </w:p>
        </w:tc>
        <w:tc>
          <w:tcPr>
            <w:tcW w:w="800" w:type="dxa"/>
            <w:vAlign w:val="bottom"/>
            <w:shd w:val="clear" w:color="auto" w:fill="FDFDFC"/>
          </w:tcPr>
          <w:p>
            <w:pPr>
              <w:jc w:val="right"/>
              <w:spacing w:after="0" w:line="172" w:lineRule="exact"/>
              <w:rPr>
                <w:sz w:val="20"/>
                <w:szCs w:val="20"/>
                <w:color w:val="auto"/>
              </w:rPr>
            </w:pPr>
            <w:r>
              <w:rPr>
                <w:rFonts w:ascii="Times New Roman" w:cs="Times New Roman" w:eastAsia="Times New Roman" w:hAnsi="Times New Roman"/>
                <w:sz w:val="15"/>
                <w:szCs w:val="15"/>
                <w:color w:val="231F20"/>
              </w:rPr>
              <w:t>11/8/2023</w:t>
            </w:r>
          </w:p>
        </w:tc>
        <w:tc>
          <w:tcPr>
            <w:tcW w:w="1000" w:type="dxa"/>
            <w:vAlign w:val="bottom"/>
            <w:shd w:val="clear" w:color="auto" w:fill="FDFDFC"/>
          </w:tcPr>
          <w:p>
            <w:pPr>
              <w:spacing w:after="0"/>
              <w:rPr>
                <w:sz w:val="14"/>
                <w:szCs w:val="14"/>
                <w:color w:val="auto"/>
              </w:rPr>
            </w:pPr>
          </w:p>
        </w:tc>
        <w:tc>
          <w:tcPr>
            <w:tcW w:w="1060" w:type="dxa"/>
            <w:vAlign w:val="bottom"/>
            <w:shd w:val="clear" w:color="auto" w:fill="FDFDFC"/>
          </w:tcPr>
          <w:p>
            <w:pPr>
              <w:spacing w:after="0"/>
              <w:rPr>
                <w:sz w:val="14"/>
                <w:szCs w:val="14"/>
                <w:color w:val="auto"/>
              </w:rPr>
            </w:pPr>
          </w:p>
        </w:tc>
        <w:tc>
          <w:tcPr>
            <w:tcW w:w="100" w:type="dxa"/>
            <w:vAlign w:val="bottom"/>
            <w:shd w:val="clear" w:color="auto" w:fill="FDFDFC"/>
          </w:tcPr>
          <w:p>
            <w:pPr>
              <w:spacing w:after="0"/>
              <w:rPr>
                <w:sz w:val="14"/>
                <w:szCs w:val="14"/>
                <w:color w:val="auto"/>
              </w:rPr>
            </w:pPr>
          </w:p>
        </w:tc>
        <w:tc>
          <w:tcPr>
            <w:tcW w:w="900" w:type="dxa"/>
            <w:vAlign w:val="bottom"/>
            <w:shd w:val="clear" w:color="auto" w:fill="FDFDFC"/>
          </w:tcPr>
          <w:p>
            <w:pPr>
              <w:jc w:val="right"/>
              <w:spacing w:after="0" w:line="172" w:lineRule="exact"/>
              <w:rPr>
                <w:sz w:val="20"/>
                <w:szCs w:val="20"/>
                <w:color w:val="auto"/>
              </w:rPr>
            </w:pPr>
            <w:r>
              <w:rPr>
                <w:rFonts w:ascii="Times New Roman" w:cs="Times New Roman" w:eastAsia="Times New Roman" w:hAnsi="Times New Roman"/>
                <w:sz w:val="15"/>
                <w:szCs w:val="15"/>
                <w:color w:val="231F20"/>
              </w:rPr>
              <w:t>2,532</w:t>
            </w:r>
          </w:p>
        </w:tc>
        <w:tc>
          <w:tcPr>
            <w:tcW w:w="1680" w:type="dxa"/>
            <w:vAlign w:val="bottom"/>
            <w:gridSpan w:val="3"/>
            <w:shd w:val="clear" w:color="auto" w:fill="FDFDFC"/>
          </w:tcPr>
          <w:p>
            <w:pPr>
              <w:jc w:val="right"/>
              <w:spacing w:after="0" w:line="172" w:lineRule="exact"/>
              <w:rPr>
                <w:sz w:val="20"/>
                <w:szCs w:val="20"/>
                <w:color w:val="auto"/>
              </w:rPr>
            </w:pPr>
            <w:r>
              <w:rPr>
                <w:rFonts w:ascii="Times New Roman" w:cs="Times New Roman" w:eastAsia="Times New Roman" w:hAnsi="Times New Roman"/>
                <w:sz w:val="15"/>
                <w:szCs w:val="15"/>
                <w:color w:val="231F20"/>
              </w:rPr>
              <w:t>2,254</w:t>
            </w:r>
          </w:p>
        </w:tc>
        <w:tc>
          <w:tcPr>
            <w:tcW w:w="960" w:type="dxa"/>
            <w:vAlign w:val="bottom"/>
            <w:gridSpan w:val="2"/>
            <w:shd w:val="clear" w:color="auto" w:fill="FDFDFC"/>
          </w:tcPr>
          <w:p>
            <w:pPr>
              <w:jc w:val="right"/>
              <w:spacing w:after="0" w:line="172" w:lineRule="exact"/>
              <w:rPr>
                <w:sz w:val="20"/>
                <w:szCs w:val="20"/>
                <w:color w:val="auto"/>
              </w:rPr>
            </w:pPr>
            <w:r>
              <w:rPr>
                <w:rFonts w:ascii="Times New Roman" w:cs="Times New Roman" w:eastAsia="Times New Roman" w:hAnsi="Times New Roman"/>
                <w:sz w:val="15"/>
                <w:szCs w:val="15"/>
                <w:color w:val="231F20"/>
              </w:rPr>
              <w:t>0.1%</w:t>
            </w:r>
          </w:p>
        </w:tc>
      </w:tr>
      <w:tr>
        <w:trPr>
          <w:trHeight w:val="189"/>
        </w:trPr>
        <w:tc>
          <w:tcPr>
            <w:tcW w:w="1580" w:type="dxa"/>
            <w:vAlign w:val="bottom"/>
            <w:shd w:val="clear" w:color="auto" w:fill="FDFDFC"/>
          </w:tcPr>
          <w:p>
            <w:pPr>
              <w:spacing w:after="0"/>
              <w:rPr>
                <w:sz w:val="20"/>
                <w:szCs w:val="20"/>
                <w:color w:val="auto"/>
              </w:rPr>
            </w:pPr>
            <w:r>
              <w:rPr>
                <w:rFonts w:ascii="Times New Roman" w:cs="Times New Roman" w:eastAsia="Times New Roman" w:hAnsi="Times New Roman"/>
                <w:sz w:val="15"/>
                <w:szCs w:val="15"/>
                <w:color w:val="231F20"/>
              </w:rPr>
              <w:t>L.P.</w:t>
            </w:r>
            <w:r>
              <w:rPr>
                <w:rFonts w:ascii="Times New Roman" w:cs="Times New Roman" w:eastAsia="Times New Roman" w:hAnsi="Times New Roman"/>
                <w:sz w:val="9"/>
                <w:szCs w:val="9"/>
                <w:color w:val="231F20"/>
              </w:rPr>
              <w:t>(11)</w:t>
            </w:r>
          </w:p>
        </w:tc>
        <w:tc>
          <w:tcPr>
            <w:tcW w:w="2200" w:type="dxa"/>
            <w:vAlign w:val="bottom"/>
            <w:shd w:val="clear" w:color="auto" w:fill="FDFDFC"/>
          </w:tcPr>
          <w:p>
            <w:pPr>
              <w:spacing w:after="0"/>
              <w:rPr>
                <w:sz w:val="16"/>
                <w:szCs w:val="16"/>
                <w:color w:val="auto"/>
              </w:rPr>
            </w:pPr>
          </w:p>
        </w:tc>
        <w:tc>
          <w:tcPr>
            <w:tcW w:w="800" w:type="dxa"/>
            <w:vAlign w:val="bottom"/>
            <w:shd w:val="clear" w:color="auto" w:fill="FDFDFC"/>
          </w:tcPr>
          <w:p>
            <w:pPr>
              <w:spacing w:after="0"/>
              <w:rPr>
                <w:sz w:val="16"/>
                <w:szCs w:val="16"/>
                <w:color w:val="auto"/>
              </w:rPr>
            </w:pPr>
          </w:p>
        </w:tc>
        <w:tc>
          <w:tcPr>
            <w:tcW w:w="1000" w:type="dxa"/>
            <w:vAlign w:val="bottom"/>
            <w:shd w:val="clear" w:color="auto" w:fill="FDFDFC"/>
          </w:tcPr>
          <w:p>
            <w:pPr>
              <w:spacing w:after="0"/>
              <w:rPr>
                <w:sz w:val="16"/>
                <w:szCs w:val="16"/>
                <w:color w:val="auto"/>
              </w:rPr>
            </w:pPr>
          </w:p>
        </w:tc>
        <w:tc>
          <w:tcPr>
            <w:tcW w:w="1060" w:type="dxa"/>
            <w:vAlign w:val="bottom"/>
            <w:shd w:val="clear" w:color="auto" w:fill="FDFDFC"/>
          </w:tcPr>
          <w:p>
            <w:pPr>
              <w:spacing w:after="0"/>
              <w:rPr>
                <w:sz w:val="16"/>
                <w:szCs w:val="16"/>
                <w:color w:val="auto"/>
              </w:rPr>
            </w:pPr>
          </w:p>
        </w:tc>
        <w:tc>
          <w:tcPr>
            <w:tcW w:w="100" w:type="dxa"/>
            <w:vAlign w:val="bottom"/>
            <w:shd w:val="clear" w:color="auto" w:fill="FDFDFC"/>
          </w:tcPr>
          <w:p>
            <w:pPr>
              <w:spacing w:after="0"/>
              <w:rPr>
                <w:sz w:val="16"/>
                <w:szCs w:val="16"/>
                <w:color w:val="auto"/>
              </w:rPr>
            </w:pPr>
          </w:p>
        </w:tc>
        <w:tc>
          <w:tcPr>
            <w:tcW w:w="900" w:type="dxa"/>
            <w:vAlign w:val="bottom"/>
            <w:shd w:val="clear" w:color="auto" w:fill="FDFDFC"/>
          </w:tcPr>
          <w:p>
            <w:pPr>
              <w:spacing w:after="0"/>
              <w:rPr>
                <w:sz w:val="16"/>
                <w:szCs w:val="16"/>
                <w:color w:val="auto"/>
              </w:rPr>
            </w:pPr>
          </w:p>
        </w:tc>
        <w:tc>
          <w:tcPr>
            <w:tcW w:w="80" w:type="dxa"/>
            <w:vAlign w:val="bottom"/>
            <w:shd w:val="clear" w:color="auto" w:fill="FDFDFC"/>
          </w:tcPr>
          <w:p>
            <w:pPr>
              <w:spacing w:after="0"/>
              <w:rPr>
                <w:sz w:val="16"/>
                <w:szCs w:val="16"/>
                <w:color w:val="auto"/>
              </w:rPr>
            </w:pPr>
          </w:p>
        </w:tc>
        <w:tc>
          <w:tcPr>
            <w:tcW w:w="100" w:type="dxa"/>
            <w:vAlign w:val="bottom"/>
            <w:shd w:val="clear" w:color="auto" w:fill="FDFDFC"/>
          </w:tcPr>
          <w:p>
            <w:pPr>
              <w:spacing w:after="0"/>
              <w:rPr>
                <w:sz w:val="16"/>
                <w:szCs w:val="16"/>
                <w:color w:val="auto"/>
              </w:rPr>
            </w:pPr>
          </w:p>
        </w:tc>
        <w:tc>
          <w:tcPr>
            <w:tcW w:w="1500" w:type="dxa"/>
            <w:vAlign w:val="bottom"/>
            <w:shd w:val="clear" w:color="auto" w:fill="FDFDFC"/>
          </w:tcPr>
          <w:p>
            <w:pPr>
              <w:spacing w:after="0"/>
              <w:rPr>
                <w:sz w:val="16"/>
                <w:szCs w:val="16"/>
                <w:color w:val="auto"/>
              </w:rPr>
            </w:pPr>
          </w:p>
        </w:tc>
        <w:tc>
          <w:tcPr>
            <w:tcW w:w="100" w:type="dxa"/>
            <w:vAlign w:val="bottom"/>
            <w:shd w:val="clear" w:color="auto" w:fill="FDFDFC"/>
          </w:tcPr>
          <w:p>
            <w:pPr>
              <w:spacing w:after="0"/>
              <w:rPr>
                <w:sz w:val="16"/>
                <w:szCs w:val="16"/>
                <w:color w:val="auto"/>
              </w:rPr>
            </w:pPr>
          </w:p>
        </w:tc>
        <w:tc>
          <w:tcPr>
            <w:tcW w:w="860" w:type="dxa"/>
            <w:vAlign w:val="bottom"/>
            <w:shd w:val="clear" w:color="auto" w:fill="FDFDFC"/>
          </w:tcPr>
          <w:p>
            <w:pPr>
              <w:spacing w:after="0"/>
              <w:rPr>
                <w:sz w:val="16"/>
                <w:szCs w:val="16"/>
                <w:color w:val="auto"/>
              </w:rPr>
            </w:pPr>
          </w:p>
        </w:tc>
      </w:tr>
      <w:tr>
        <w:trPr>
          <w:trHeight w:val="184"/>
        </w:trPr>
        <w:tc>
          <w:tcPr>
            <w:tcW w:w="1580" w:type="dxa"/>
            <w:vAlign w:val="bottom"/>
            <w:shd w:val="clear" w:color="auto" w:fill="D0EBF2"/>
          </w:tcPr>
          <w:p>
            <w:pPr>
              <w:spacing w:after="0"/>
              <w:rPr>
                <w:sz w:val="20"/>
                <w:szCs w:val="20"/>
                <w:color w:val="auto"/>
              </w:rPr>
            </w:pPr>
            <w:r>
              <w:rPr>
                <w:rFonts w:ascii="Times New Roman" w:cs="Times New Roman" w:eastAsia="Times New Roman" w:hAnsi="Times New Roman"/>
                <w:sz w:val="15"/>
                <w:szCs w:val="15"/>
                <w:color w:val="231F20"/>
              </w:rPr>
              <w:t xml:space="preserve">ReliaQuest, LLC </w:t>
            </w:r>
            <w:r>
              <w:rPr>
                <w:rFonts w:ascii="Times New Roman" w:cs="Times New Roman" w:eastAsia="Times New Roman" w:hAnsi="Times New Roman"/>
                <w:sz w:val="9"/>
                <w:szCs w:val="9"/>
                <w:color w:val="231F20"/>
              </w:rPr>
              <w:t>(13)</w:t>
            </w:r>
          </w:p>
        </w:tc>
        <w:tc>
          <w:tcPr>
            <w:tcW w:w="2200" w:type="dxa"/>
            <w:vAlign w:val="bottom"/>
            <w:shd w:val="clear" w:color="auto" w:fill="D0EBF2"/>
          </w:tcPr>
          <w:p>
            <w:pPr>
              <w:ind w:left="60"/>
              <w:spacing w:after="0"/>
              <w:rPr>
                <w:sz w:val="20"/>
                <w:szCs w:val="20"/>
                <w:color w:val="auto"/>
              </w:rPr>
            </w:pPr>
            <w:r>
              <w:rPr>
                <w:rFonts w:ascii="Times New Roman" w:cs="Times New Roman" w:eastAsia="Times New Roman" w:hAnsi="Times New Roman"/>
                <w:sz w:val="15"/>
                <w:szCs w:val="15"/>
                <w:color w:val="231F20"/>
              </w:rPr>
              <w:t>Class A-1 Units (637,713 units)</w:t>
            </w:r>
          </w:p>
        </w:tc>
        <w:tc>
          <w:tcPr>
            <w:tcW w:w="800" w:type="dxa"/>
            <w:vAlign w:val="bottom"/>
            <w:shd w:val="clear" w:color="auto" w:fill="D0EBF2"/>
          </w:tcPr>
          <w:p>
            <w:pPr>
              <w:jc w:val="right"/>
              <w:spacing w:after="0"/>
              <w:rPr>
                <w:sz w:val="20"/>
                <w:szCs w:val="20"/>
                <w:color w:val="auto"/>
              </w:rPr>
            </w:pPr>
            <w:r>
              <w:rPr>
                <w:rFonts w:ascii="Times New Roman" w:cs="Times New Roman" w:eastAsia="Times New Roman" w:hAnsi="Times New Roman"/>
                <w:sz w:val="15"/>
                <w:szCs w:val="15"/>
                <w:color w:val="231F20"/>
              </w:rPr>
              <w:t>11/23/2021</w:t>
            </w:r>
          </w:p>
        </w:tc>
        <w:tc>
          <w:tcPr>
            <w:tcW w:w="1000" w:type="dxa"/>
            <w:vAlign w:val="bottom"/>
            <w:shd w:val="clear" w:color="auto" w:fill="D0EBF2"/>
          </w:tcPr>
          <w:p>
            <w:pPr>
              <w:spacing w:after="0"/>
              <w:rPr>
                <w:sz w:val="16"/>
                <w:szCs w:val="16"/>
                <w:color w:val="auto"/>
              </w:rPr>
            </w:pPr>
          </w:p>
        </w:tc>
        <w:tc>
          <w:tcPr>
            <w:tcW w:w="1060" w:type="dxa"/>
            <w:vAlign w:val="bottom"/>
            <w:shd w:val="clear" w:color="auto" w:fill="D0EBF2"/>
          </w:tcPr>
          <w:p>
            <w:pPr>
              <w:spacing w:after="0"/>
              <w:rPr>
                <w:sz w:val="16"/>
                <w:szCs w:val="16"/>
                <w:color w:val="auto"/>
              </w:rPr>
            </w:pPr>
          </w:p>
        </w:tc>
        <w:tc>
          <w:tcPr>
            <w:tcW w:w="100" w:type="dxa"/>
            <w:vAlign w:val="bottom"/>
            <w:shd w:val="clear" w:color="auto" w:fill="D0EBF2"/>
          </w:tcPr>
          <w:p>
            <w:pPr>
              <w:spacing w:after="0"/>
              <w:rPr>
                <w:sz w:val="16"/>
                <w:szCs w:val="16"/>
                <w:color w:val="auto"/>
              </w:rPr>
            </w:pPr>
          </w:p>
        </w:tc>
        <w:tc>
          <w:tcPr>
            <w:tcW w:w="900" w:type="dxa"/>
            <w:vAlign w:val="bottom"/>
            <w:shd w:val="clear" w:color="auto" w:fill="D0EBF2"/>
          </w:tcPr>
          <w:p>
            <w:pPr>
              <w:jc w:val="right"/>
              <w:spacing w:after="0"/>
              <w:rPr>
                <w:sz w:val="20"/>
                <w:szCs w:val="20"/>
                <w:color w:val="auto"/>
              </w:rPr>
            </w:pPr>
            <w:r>
              <w:rPr>
                <w:rFonts w:ascii="Times New Roman" w:cs="Times New Roman" w:eastAsia="Times New Roman" w:hAnsi="Times New Roman"/>
                <w:sz w:val="15"/>
                <w:szCs w:val="15"/>
                <w:color w:val="231F20"/>
              </w:rPr>
              <w:t>1,120</w:t>
            </w:r>
          </w:p>
        </w:tc>
        <w:tc>
          <w:tcPr>
            <w:tcW w:w="1680" w:type="dxa"/>
            <w:vAlign w:val="bottom"/>
            <w:gridSpan w:val="3"/>
            <w:shd w:val="clear" w:color="auto" w:fill="D0EBF2"/>
          </w:tcPr>
          <w:p>
            <w:pPr>
              <w:jc w:val="right"/>
              <w:spacing w:after="0"/>
              <w:rPr>
                <w:sz w:val="20"/>
                <w:szCs w:val="20"/>
                <w:color w:val="auto"/>
              </w:rPr>
            </w:pPr>
            <w:r>
              <w:rPr>
                <w:rFonts w:ascii="Times New Roman" w:cs="Times New Roman" w:eastAsia="Times New Roman" w:hAnsi="Times New Roman"/>
                <w:sz w:val="15"/>
                <w:szCs w:val="15"/>
                <w:color w:val="231F20"/>
              </w:rPr>
              <w:t>1,658</w:t>
            </w:r>
          </w:p>
        </w:tc>
        <w:tc>
          <w:tcPr>
            <w:tcW w:w="960" w:type="dxa"/>
            <w:vAlign w:val="bottom"/>
            <w:gridSpan w:val="2"/>
            <w:shd w:val="clear" w:color="auto" w:fill="D0EBF2"/>
          </w:tcPr>
          <w:p>
            <w:pPr>
              <w:jc w:val="right"/>
              <w:spacing w:after="0"/>
              <w:rPr>
                <w:sz w:val="20"/>
                <w:szCs w:val="20"/>
                <w:color w:val="auto"/>
              </w:rPr>
            </w:pPr>
            <w:r>
              <w:rPr>
                <w:rFonts w:ascii="Times New Roman" w:cs="Times New Roman" w:eastAsia="Times New Roman" w:hAnsi="Times New Roman"/>
                <w:sz w:val="15"/>
                <w:szCs w:val="15"/>
                <w:color w:val="231F20"/>
              </w:rPr>
              <w:t>0.1%</w:t>
            </w:r>
          </w:p>
        </w:tc>
      </w:tr>
      <w:tr>
        <w:trPr>
          <w:trHeight w:val="157"/>
        </w:trPr>
        <w:tc>
          <w:tcPr>
            <w:tcW w:w="1580" w:type="dxa"/>
            <w:vAlign w:val="bottom"/>
            <w:tcBorders>
              <w:bottom w:val="single" w:sz="8" w:color="D0EBF2"/>
            </w:tcBorders>
            <w:shd w:val="clear" w:color="auto" w:fill="D0EBF2"/>
          </w:tcPr>
          <w:p>
            <w:pPr>
              <w:spacing w:after="0"/>
              <w:rPr>
                <w:sz w:val="13"/>
                <w:szCs w:val="13"/>
                <w:color w:val="auto"/>
              </w:rPr>
            </w:pPr>
          </w:p>
        </w:tc>
        <w:tc>
          <w:tcPr>
            <w:tcW w:w="2200" w:type="dxa"/>
            <w:vAlign w:val="bottom"/>
            <w:tcBorders>
              <w:bottom w:val="single" w:sz="8" w:color="D0EBF2"/>
            </w:tcBorders>
            <w:shd w:val="clear" w:color="auto" w:fill="D0EBF2"/>
          </w:tcPr>
          <w:p>
            <w:pPr>
              <w:ind w:left="60"/>
              <w:spacing w:after="0"/>
              <w:rPr>
                <w:sz w:val="20"/>
                <w:szCs w:val="20"/>
                <w:color w:val="auto"/>
              </w:rPr>
            </w:pPr>
            <w:r>
              <w:rPr>
                <w:rFonts w:ascii="Times New Roman" w:cs="Times New Roman" w:eastAsia="Times New Roman" w:hAnsi="Times New Roman"/>
                <w:sz w:val="9"/>
                <w:szCs w:val="9"/>
                <w:color w:val="231F20"/>
              </w:rPr>
              <w:t>(11)</w:t>
            </w:r>
          </w:p>
        </w:tc>
        <w:tc>
          <w:tcPr>
            <w:tcW w:w="800" w:type="dxa"/>
            <w:vAlign w:val="bottom"/>
            <w:tcBorders>
              <w:bottom w:val="single" w:sz="8" w:color="D0EBF2"/>
            </w:tcBorders>
            <w:shd w:val="clear" w:color="auto" w:fill="D0EBF2"/>
          </w:tcPr>
          <w:p>
            <w:pPr>
              <w:spacing w:after="0"/>
              <w:rPr>
                <w:sz w:val="13"/>
                <w:szCs w:val="13"/>
                <w:color w:val="auto"/>
              </w:rPr>
            </w:pPr>
          </w:p>
        </w:tc>
        <w:tc>
          <w:tcPr>
            <w:tcW w:w="1000" w:type="dxa"/>
            <w:vAlign w:val="bottom"/>
            <w:tcBorders>
              <w:bottom w:val="single" w:sz="8" w:color="D0EBF2"/>
            </w:tcBorders>
            <w:shd w:val="clear" w:color="auto" w:fill="D0EBF2"/>
          </w:tcPr>
          <w:p>
            <w:pPr>
              <w:spacing w:after="0"/>
              <w:rPr>
                <w:sz w:val="13"/>
                <w:szCs w:val="13"/>
                <w:color w:val="auto"/>
              </w:rPr>
            </w:pPr>
          </w:p>
        </w:tc>
        <w:tc>
          <w:tcPr>
            <w:tcW w:w="1060" w:type="dxa"/>
            <w:vAlign w:val="bottom"/>
            <w:tcBorders>
              <w:bottom w:val="single" w:sz="8" w:color="D0EBF2"/>
            </w:tcBorders>
            <w:shd w:val="clear" w:color="auto" w:fill="D0EBF2"/>
          </w:tcPr>
          <w:p>
            <w:pPr>
              <w:spacing w:after="0"/>
              <w:rPr>
                <w:sz w:val="13"/>
                <w:szCs w:val="13"/>
                <w:color w:val="auto"/>
              </w:rPr>
            </w:pPr>
          </w:p>
        </w:tc>
        <w:tc>
          <w:tcPr>
            <w:tcW w:w="100" w:type="dxa"/>
            <w:vAlign w:val="bottom"/>
            <w:tcBorders>
              <w:bottom w:val="single" w:sz="8" w:color="D0EBF2"/>
            </w:tcBorders>
            <w:shd w:val="clear" w:color="auto" w:fill="D0EBF2"/>
          </w:tcPr>
          <w:p>
            <w:pPr>
              <w:spacing w:after="0"/>
              <w:rPr>
                <w:sz w:val="13"/>
                <w:szCs w:val="13"/>
                <w:color w:val="auto"/>
              </w:rPr>
            </w:pPr>
          </w:p>
        </w:tc>
        <w:tc>
          <w:tcPr>
            <w:tcW w:w="900" w:type="dxa"/>
            <w:vAlign w:val="bottom"/>
            <w:tcBorders>
              <w:bottom w:val="single" w:sz="8" w:color="D0EBF2"/>
            </w:tcBorders>
            <w:shd w:val="clear" w:color="auto" w:fill="D0EBF2"/>
          </w:tcPr>
          <w:p>
            <w:pPr>
              <w:spacing w:after="0"/>
              <w:rPr>
                <w:sz w:val="13"/>
                <w:szCs w:val="13"/>
                <w:color w:val="auto"/>
              </w:rPr>
            </w:pPr>
          </w:p>
        </w:tc>
        <w:tc>
          <w:tcPr>
            <w:tcW w:w="80" w:type="dxa"/>
            <w:vAlign w:val="bottom"/>
            <w:tcBorders>
              <w:bottom w:val="single" w:sz="8" w:color="D0EBF2"/>
            </w:tcBorders>
            <w:shd w:val="clear" w:color="auto" w:fill="D0EBF2"/>
          </w:tcPr>
          <w:p>
            <w:pPr>
              <w:spacing w:after="0"/>
              <w:rPr>
                <w:sz w:val="13"/>
                <w:szCs w:val="13"/>
                <w:color w:val="auto"/>
              </w:rPr>
            </w:pPr>
          </w:p>
        </w:tc>
        <w:tc>
          <w:tcPr>
            <w:tcW w:w="100" w:type="dxa"/>
            <w:vAlign w:val="bottom"/>
            <w:tcBorders>
              <w:bottom w:val="single" w:sz="8" w:color="D0EBF2"/>
            </w:tcBorders>
            <w:shd w:val="clear" w:color="auto" w:fill="D0EBF2"/>
          </w:tcPr>
          <w:p>
            <w:pPr>
              <w:spacing w:after="0"/>
              <w:rPr>
                <w:sz w:val="13"/>
                <w:szCs w:val="13"/>
                <w:color w:val="auto"/>
              </w:rPr>
            </w:pPr>
          </w:p>
        </w:tc>
        <w:tc>
          <w:tcPr>
            <w:tcW w:w="1500" w:type="dxa"/>
            <w:vAlign w:val="bottom"/>
            <w:tcBorders>
              <w:bottom w:val="single" w:sz="8" w:color="D0EBF2"/>
            </w:tcBorders>
            <w:shd w:val="clear" w:color="auto" w:fill="D0EBF2"/>
          </w:tcPr>
          <w:p>
            <w:pPr>
              <w:spacing w:after="0"/>
              <w:rPr>
                <w:sz w:val="13"/>
                <w:szCs w:val="13"/>
                <w:color w:val="auto"/>
              </w:rPr>
            </w:pPr>
          </w:p>
        </w:tc>
        <w:tc>
          <w:tcPr>
            <w:tcW w:w="100" w:type="dxa"/>
            <w:vAlign w:val="bottom"/>
            <w:tcBorders>
              <w:bottom w:val="single" w:sz="8" w:color="D0EBF2"/>
            </w:tcBorders>
            <w:shd w:val="clear" w:color="auto" w:fill="D0EBF2"/>
          </w:tcPr>
          <w:p>
            <w:pPr>
              <w:spacing w:after="0"/>
              <w:rPr>
                <w:sz w:val="13"/>
                <w:szCs w:val="13"/>
                <w:color w:val="auto"/>
              </w:rPr>
            </w:pPr>
          </w:p>
        </w:tc>
        <w:tc>
          <w:tcPr>
            <w:tcW w:w="860" w:type="dxa"/>
            <w:vAlign w:val="bottom"/>
            <w:tcBorders>
              <w:bottom w:val="single" w:sz="8" w:color="D0EBF2"/>
            </w:tcBorders>
            <w:shd w:val="clear" w:color="auto" w:fill="D0EBF2"/>
          </w:tcPr>
          <w:p>
            <w:pPr>
              <w:spacing w:after="0"/>
              <w:rPr>
                <w:sz w:val="13"/>
                <w:szCs w:val="13"/>
                <w:color w:val="auto"/>
              </w:rPr>
            </w:pPr>
          </w:p>
        </w:tc>
      </w:tr>
      <w:tr>
        <w:trPr>
          <w:trHeight w:val="184"/>
        </w:trPr>
        <w:tc>
          <w:tcPr>
            <w:tcW w:w="1580" w:type="dxa"/>
            <w:vAlign w:val="bottom"/>
            <w:shd w:val="clear" w:color="auto" w:fill="FDFDFC"/>
          </w:tcPr>
          <w:p>
            <w:pPr>
              <w:spacing w:after="0"/>
              <w:rPr>
                <w:sz w:val="16"/>
                <w:szCs w:val="16"/>
                <w:color w:val="auto"/>
              </w:rPr>
            </w:pPr>
          </w:p>
        </w:tc>
        <w:tc>
          <w:tcPr>
            <w:tcW w:w="2200" w:type="dxa"/>
            <w:vAlign w:val="bottom"/>
            <w:shd w:val="clear" w:color="auto" w:fill="FDFDFC"/>
          </w:tcPr>
          <w:p>
            <w:pPr>
              <w:ind w:left="60"/>
              <w:spacing w:after="0"/>
              <w:rPr>
                <w:sz w:val="20"/>
                <w:szCs w:val="20"/>
                <w:color w:val="auto"/>
              </w:rPr>
            </w:pPr>
            <w:r>
              <w:rPr>
                <w:rFonts w:ascii="Times New Roman" w:cs="Times New Roman" w:eastAsia="Times New Roman" w:hAnsi="Times New Roman"/>
                <w:sz w:val="15"/>
                <w:szCs w:val="15"/>
                <w:color w:val="231F20"/>
              </w:rPr>
              <w:t>Class A-2 Units (10,611 units)</w:t>
            </w:r>
          </w:p>
        </w:tc>
        <w:tc>
          <w:tcPr>
            <w:tcW w:w="800" w:type="dxa"/>
            <w:vAlign w:val="bottom"/>
            <w:shd w:val="clear" w:color="auto" w:fill="FDFDFC"/>
          </w:tcPr>
          <w:p>
            <w:pPr>
              <w:jc w:val="right"/>
              <w:spacing w:after="0"/>
              <w:rPr>
                <w:sz w:val="20"/>
                <w:szCs w:val="20"/>
                <w:color w:val="auto"/>
              </w:rPr>
            </w:pPr>
            <w:r>
              <w:rPr>
                <w:rFonts w:ascii="Times New Roman" w:cs="Times New Roman" w:eastAsia="Times New Roman" w:hAnsi="Times New Roman"/>
                <w:sz w:val="15"/>
                <w:szCs w:val="15"/>
                <w:color w:val="231F20"/>
              </w:rPr>
              <w:t>6/21/2022</w:t>
            </w:r>
          </w:p>
        </w:tc>
        <w:tc>
          <w:tcPr>
            <w:tcW w:w="1000" w:type="dxa"/>
            <w:vAlign w:val="bottom"/>
            <w:shd w:val="clear" w:color="auto" w:fill="FDFDFC"/>
          </w:tcPr>
          <w:p>
            <w:pPr>
              <w:spacing w:after="0"/>
              <w:rPr>
                <w:sz w:val="16"/>
                <w:szCs w:val="16"/>
                <w:color w:val="auto"/>
              </w:rPr>
            </w:pPr>
          </w:p>
        </w:tc>
        <w:tc>
          <w:tcPr>
            <w:tcW w:w="1060" w:type="dxa"/>
            <w:vAlign w:val="bottom"/>
            <w:shd w:val="clear" w:color="auto" w:fill="FDFDFC"/>
          </w:tcPr>
          <w:p>
            <w:pPr>
              <w:spacing w:after="0"/>
              <w:rPr>
                <w:sz w:val="16"/>
                <w:szCs w:val="16"/>
                <w:color w:val="auto"/>
              </w:rPr>
            </w:pPr>
          </w:p>
        </w:tc>
        <w:tc>
          <w:tcPr>
            <w:tcW w:w="100" w:type="dxa"/>
            <w:vAlign w:val="bottom"/>
            <w:shd w:val="clear" w:color="auto" w:fill="FDFDFC"/>
          </w:tcPr>
          <w:p>
            <w:pPr>
              <w:spacing w:after="0"/>
              <w:rPr>
                <w:sz w:val="16"/>
                <w:szCs w:val="16"/>
                <w:color w:val="auto"/>
              </w:rPr>
            </w:pPr>
          </w:p>
        </w:tc>
        <w:tc>
          <w:tcPr>
            <w:tcW w:w="900" w:type="dxa"/>
            <w:vAlign w:val="bottom"/>
            <w:shd w:val="clear" w:color="auto" w:fill="FDFDFC"/>
          </w:tcPr>
          <w:p>
            <w:pPr>
              <w:jc w:val="right"/>
              <w:spacing w:after="0"/>
              <w:rPr>
                <w:sz w:val="20"/>
                <w:szCs w:val="20"/>
                <w:color w:val="auto"/>
              </w:rPr>
            </w:pPr>
            <w:r>
              <w:rPr>
                <w:rFonts w:ascii="Times New Roman" w:cs="Times New Roman" w:eastAsia="Times New Roman" w:hAnsi="Times New Roman"/>
                <w:sz w:val="15"/>
                <w:szCs w:val="15"/>
                <w:color w:val="231F20"/>
              </w:rPr>
              <w:t>23</w:t>
            </w:r>
          </w:p>
        </w:tc>
        <w:tc>
          <w:tcPr>
            <w:tcW w:w="1680" w:type="dxa"/>
            <w:vAlign w:val="bottom"/>
            <w:gridSpan w:val="3"/>
            <w:shd w:val="clear" w:color="auto" w:fill="FDFDFC"/>
          </w:tcPr>
          <w:p>
            <w:pPr>
              <w:jc w:val="right"/>
              <w:spacing w:after="0"/>
              <w:rPr>
                <w:sz w:val="20"/>
                <w:szCs w:val="20"/>
                <w:color w:val="auto"/>
              </w:rPr>
            </w:pPr>
            <w:r>
              <w:rPr>
                <w:rFonts w:ascii="Times New Roman" w:cs="Times New Roman" w:eastAsia="Times New Roman" w:hAnsi="Times New Roman"/>
                <w:sz w:val="15"/>
                <w:szCs w:val="15"/>
                <w:color w:val="231F20"/>
              </w:rPr>
              <w:t>35</w:t>
            </w:r>
          </w:p>
        </w:tc>
        <w:tc>
          <w:tcPr>
            <w:tcW w:w="960" w:type="dxa"/>
            <w:vAlign w:val="bottom"/>
            <w:gridSpan w:val="2"/>
            <w:shd w:val="clear" w:color="auto" w:fill="FDFDFC"/>
          </w:tcPr>
          <w:p>
            <w:pPr>
              <w:jc w:val="right"/>
              <w:spacing w:after="0"/>
              <w:rPr>
                <w:sz w:val="20"/>
                <w:szCs w:val="20"/>
                <w:color w:val="auto"/>
              </w:rPr>
            </w:pPr>
            <w:r>
              <w:rPr>
                <w:rFonts w:ascii="Times New Roman" w:cs="Times New Roman" w:eastAsia="Times New Roman" w:hAnsi="Times New Roman"/>
                <w:sz w:val="15"/>
                <w:szCs w:val="15"/>
                <w:color w:val="231F20"/>
              </w:rPr>
              <w:t>0.0%</w:t>
            </w:r>
          </w:p>
        </w:tc>
      </w:tr>
      <w:tr>
        <w:trPr>
          <w:trHeight w:val="157"/>
        </w:trPr>
        <w:tc>
          <w:tcPr>
            <w:tcW w:w="1580" w:type="dxa"/>
            <w:vAlign w:val="bottom"/>
            <w:tcBorders>
              <w:bottom w:val="single" w:sz="8" w:color="FDFDFC"/>
            </w:tcBorders>
            <w:shd w:val="clear" w:color="auto" w:fill="FDFDFC"/>
          </w:tcPr>
          <w:p>
            <w:pPr>
              <w:spacing w:after="0"/>
              <w:rPr>
                <w:sz w:val="13"/>
                <w:szCs w:val="13"/>
                <w:color w:val="auto"/>
              </w:rPr>
            </w:pPr>
          </w:p>
        </w:tc>
        <w:tc>
          <w:tcPr>
            <w:tcW w:w="2200" w:type="dxa"/>
            <w:vAlign w:val="bottom"/>
            <w:tcBorders>
              <w:bottom w:val="single" w:sz="8" w:color="FDFDFC"/>
            </w:tcBorders>
            <w:shd w:val="clear" w:color="auto" w:fill="FDFDFC"/>
          </w:tcPr>
          <w:p>
            <w:pPr>
              <w:ind w:left="60"/>
              <w:spacing w:after="0"/>
              <w:rPr>
                <w:sz w:val="20"/>
                <w:szCs w:val="20"/>
                <w:color w:val="auto"/>
              </w:rPr>
            </w:pPr>
            <w:r>
              <w:rPr>
                <w:rFonts w:ascii="Times New Roman" w:cs="Times New Roman" w:eastAsia="Times New Roman" w:hAnsi="Times New Roman"/>
                <w:sz w:val="9"/>
                <w:szCs w:val="9"/>
                <w:color w:val="231F20"/>
              </w:rPr>
              <w:t>(11)(12)</w:t>
            </w:r>
          </w:p>
        </w:tc>
        <w:tc>
          <w:tcPr>
            <w:tcW w:w="800" w:type="dxa"/>
            <w:vAlign w:val="bottom"/>
            <w:tcBorders>
              <w:bottom w:val="single" w:sz="8" w:color="FDFDFC"/>
            </w:tcBorders>
            <w:shd w:val="clear" w:color="auto" w:fill="FDFDFC"/>
          </w:tcPr>
          <w:p>
            <w:pPr>
              <w:spacing w:after="0"/>
              <w:rPr>
                <w:sz w:val="13"/>
                <w:szCs w:val="13"/>
                <w:color w:val="auto"/>
              </w:rPr>
            </w:pPr>
          </w:p>
        </w:tc>
        <w:tc>
          <w:tcPr>
            <w:tcW w:w="1000" w:type="dxa"/>
            <w:vAlign w:val="bottom"/>
            <w:tcBorders>
              <w:bottom w:val="single" w:sz="8" w:color="FDFDFC"/>
            </w:tcBorders>
            <w:shd w:val="clear" w:color="auto" w:fill="FDFDFC"/>
          </w:tcPr>
          <w:p>
            <w:pPr>
              <w:spacing w:after="0"/>
              <w:rPr>
                <w:sz w:val="13"/>
                <w:szCs w:val="13"/>
                <w:color w:val="auto"/>
              </w:rPr>
            </w:pPr>
          </w:p>
        </w:tc>
        <w:tc>
          <w:tcPr>
            <w:tcW w:w="1060" w:type="dxa"/>
            <w:vAlign w:val="bottom"/>
            <w:tcBorders>
              <w:bottom w:val="single" w:sz="8" w:color="FDFDFC"/>
            </w:tcBorders>
            <w:shd w:val="clear" w:color="auto" w:fill="FDFDFC"/>
          </w:tcPr>
          <w:p>
            <w:pPr>
              <w:spacing w:after="0"/>
              <w:rPr>
                <w:sz w:val="13"/>
                <w:szCs w:val="13"/>
                <w:color w:val="auto"/>
              </w:rPr>
            </w:pPr>
          </w:p>
        </w:tc>
        <w:tc>
          <w:tcPr>
            <w:tcW w:w="100" w:type="dxa"/>
            <w:vAlign w:val="bottom"/>
            <w:tcBorders>
              <w:bottom w:val="single" w:sz="8" w:color="FDFDFC"/>
            </w:tcBorders>
            <w:shd w:val="clear" w:color="auto" w:fill="FDFDFC"/>
          </w:tcPr>
          <w:p>
            <w:pPr>
              <w:spacing w:after="0"/>
              <w:rPr>
                <w:sz w:val="13"/>
                <w:szCs w:val="13"/>
                <w:color w:val="auto"/>
              </w:rPr>
            </w:pPr>
          </w:p>
        </w:tc>
        <w:tc>
          <w:tcPr>
            <w:tcW w:w="900" w:type="dxa"/>
            <w:vAlign w:val="bottom"/>
            <w:tcBorders>
              <w:bottom w:val="single" w:sz="8" w:color="FDFDFC"/>
            </w:tcBorders>
            <w:shd w:val="clear" w:color="auto" w:fill="FDFDFC"/>
          </w:tcPr>
          <w:p>
            <w:pPr>
              <w:spacing w:after="0"/>
              <w:rPr>
                <w:sz w:val="13"/>
                <w:szCs w:val="13"/>
                <w:color w:val="auto"/>
              </w:rPr>
            </w:pPr>
          </w:p>
        </w:tc>
        <w:tc>
          <w:tcPr>
            <w:tcW w:w="80" w:type="dxa"/>
            <w:vAlign w:val="bottom"/>
            <w:tcBorders>
              <w:bottom w:val="single" w:sz="8" w:color="FDFDFC"/>
            </w:tcBorders>
            <w:shd w:val="clear" w:color="auto" w:fill="FDFDFC"/>
          </w:tcPr>
          <w:p>
            <w:pPr>
              <w:spacing w:after="0"/>
              <w:rPr>
                <w:sz w:val="13"/>
                <w:szCs w:val="13"/>
                <w:color w:val="auto"/>
              </w:rPr>
            </w:pPr>
          </w:p>
        </w:tc>
        <w:tc>
          <w:tcPr>
            <w:tcW w:w="100" w:type="dxa"/>
            <w:vAlign w:val="bottom"/>
            <w:tcBorders>
              <w:bottom w:val="single" w:sz="8" w:color="FDFDFC"/>
            </w:tcBorders>
            <w:shd w:val="clear" w:color="auto" w:fill="FDFDFC"/>
          </w:tcPr>
          <w:p>
            <w:pPr>
              <w:spacing w:after="0"/>
              <w:rPr>
                <w:sz w:val="13"/>
                <w:szCs w:val="13"/>
                <w:color w:val="auto"/>
              </w:rPr>
            </w:pPr>
          </w:p>
        </w:tc>
        <w:tc>
          <w:tcPr>
            <w:tcW w:w="1500" w:type="dxa"/>
            <w:vAlign w:val="bottom"/>
            <w:tcBorders>
              <w:bottom w:val="single" w:sz="8" w:color="FDFDFC"/>
            </w:tcBorders>
            <w:shd w:val="clear" w:color="auto" w:fill="FDFDFC"/>
          </w:tcPr>
          <w:p>
            <w:pPr>
              <w:spacing w:after="0"/>
              <w:rPr>
                <w:sz w:val="13"/>
                <w:szCs w:val="13"/>
                <w:color w:val="auto"/>
              </w:rPr>
            </w:pPr>
          </w:p>
        </w:tc>
        <w:tc>
          <w:tcPr>
            <w:tcW w:w="100" w:type="dxa"/>
            <w:vAlign w:val="bottom"/>
            <w:tcBorders>
              <w:bottom w:val="single" w:sz="8" w:color="FDFDFC"/>
            </w:tcBorders>
            <w:shd w:val="clear" w:color="auto" w:fill="FDFDFC"/>
          </w:tcPr>
          <w:p>
            <w:pPr>
              <w:spacing w:after="0"/>
              <w:rPr>
                <w:sz w:val="13"/>
                <w:szCs w:val="13"/>
                <w:color w:val="auto"/>
              </w:rPr>
            </w:pPr>
          </w:p>
        </w:tc>
        <w:tc>
          <w:tcPr>
            <w:tcW w:w="860" w:type="dxa"/>
            <w:vAlign w:val="bottom"/>
            <w:tcBorders>
              <w:bottom w:val="single" w:sz="8" w:color="FDFDFC"/>
            </w:tcBorders>
            <w:shd w:val="clear" w:color="auto" w:fill="FDFDFC"/>
          </w:tcPr>
          <w:p>
            <w:pPr>
              <w:spacing w:after="0"/>
              <w:rPr>
                <w:sz w:val="13"/>
                <w:szCs w:val="13"/>
                <w:color w:val="auto"/>
              </w:rPr>
            </w:pPr>
          </w:p>
        </w:tc>
      </w:tr>
      <w:tr>
        <w:trPr>
          <w:trHeight w:val="187"/>
        </w:trPr>
        <w:tc>
          <w:tcPr>
            <w:tcW w:w="1580" w:type="dxa"/>
            <w:vAlign w:val="bottom"/>
            <w:shd w:val="clear" w:color="auto" w:fill="D0EBF2"/>
          </w:tcPr>
          <w:p>
            <w:pPr>
              <w:spacing w:after="0"/>
              <w:rPr>
                <w:sz w:val="16"/>
                <w:szCs w:val="16"/>
                <w:color w:val="auto"/>
              </w:rPr>
            </w:pPr>
          </w:p>
        </w:tc>
        <w:tc>
          <w:tcPr>
            <w:tcW w:w="2200" w:type="dxa"/>
            <w:vAlign w:val="bottom"/>
            <w:shd w:val="clear" w:color="auto" w:fill="D0EBF2"/>
          </w:tcPr>
          <w:p>
            <w:pPr>
              <w:ind w:left="60"/>
              <w:spacing w:after="0"/>
              <w:rPr>
                <w:sz w:val="20"/>
                <w:szCs w:val="20"/>
                <w:color w:val="auto"/>
              </w:rPr>
            </w:pPr>
            <w:r>
              <w:rPr>
                <w:rFonts w:ascii="Times New Roman" w:cs="Times New Roman" w:eastAsia="Times New Roman" w:hAnsi="Times New Roman"/>
                <w:sz w:val="15"/>
                <w:szCs w:val="15"/>
                <w:color w:val="231F20"/>
              </w:rPr>
              <w:t xml:space="preserve">Class A-3 Units (16,957 units) </w:t>
            </w:r>
            <w:r>
              <w:rPr>
                <w:rFonts w:ascii="Times New Roman" w:cs="Times New Roman" w:eastAsia="Times New Roman" w:hAnsi="Times New Roman"/>
                <w:sz w:val="9"/>
                <w:szCs w:val="9"/>
                <w:color w:val="231F20"/>
              </w:rPr>
              <w:t>(11)</w:t>
            </w:r>
          </w:p>
        </w:tc>
        <w:tc>
          <w:tcPr>
            <w:tcW w:w="800" w:type="dxa"/>
            <w:vAlign w:val="bottom"/>
            <w:shd w:val="clear" w:color="auto" w:fill="D0EBF2"/>
          </w:tcPr>
          <w:p>
            <w:pPr>
              <w:jc w:val="right"/>
              <w:spacing w:after="0"/>
              <w:rPr>
                <w:sz w:val="20"/>
                <w:szCs w:val="20"/>
                <w:color w:val="auto"/>
              </w:rPr>
            </w:pPr>
            <w:r>
              <w:rPr>
                <w:rFonts w:ascii="Times New Roman" w:cs="Times New Roman" w:eastAsia="Times New Roman" w:hAnsi="Times New Roman"/>
                <w:sz w:val="15"/>
                <w:szCs w:val="15"/>
                <w:color w:val="231F20"/>
              </w:rPr>
              <w:t>11/10/2023</w:t>
            </w:r>
          </w:p>
        </w:tc>
        <w:tc>
          <w:tcPr>
            <w:tcW w:w="1000" w:type="dxa"/>
            <w:vAlign w:val="bottom"/>
            <w:shd w:val="clear" w:color="auto" w:fill="D0EBF2"/>
          </w:tcPr>
          <w:p>
            <w:pPr>
              <w:spacing w:after="0"/>
              <w:rPr>
                <w:sz w:val="16"/>
                <w:szCs w:val="16"/>
                <w:color w:val="auto"/>
              </w:rPr>
            </w:pPr>
          </w:p>
        </w:tc>
        <w:tc>
          <w:tcPr>
            <w:tcW w:w="1060" w:type="dxa"/>
            <w:vAlign w:val="bottom"/>
            <w:shd w:val="clear" w:color="auto" w:fill="D0EBF2"/>
          </w:tcPr>
          <w:p>
            <w:pPr>
              <w:spacing w:after="0"/>
              <w:rPr>
                <w:sz w:val="16"/>
                <w:szCs w:val="16"/>
                <w:color w:val="auto"/>
              </w:rPr>
            </w:pPr>
          </w:p>
        </w:tc>
        <w:tc>
          <w:tcPr>
            <w:tcW w:w="100" w:type="dxa"/>
            <w:vAlign w:val="bottom"/>
            <w:shd w:val="clear" w:color="auto" w:fill="D0EBF2"/>
          </w:tcPr>
          <w:p>
            <w:pPr>
              <w:spacing w:after="0"/>
              <w:rPr>
                <w:sz w:val="16"/>
                <w:szCs w:val="16"/>
                <w:color w:val="auto"/>
              </w:rPr>
            </w:pPr>
          </w:p>
        </w:tc>
        <w:tc>
          <w:tcPr>
            <w:tcW w:w="900" w:type="dxa"/>
            <w:vAlign w:val="bottom"/>
            <w:shd w:val="clear" w:color="auto" w:fill="D0EBF2"/>
          </w:tcPr>
          <w:p>
            <w:pPr>
              <w:jc w:val="right"/>
              <w:spacing w:after="0"/>
              <w:rPr>
                <w:sz w:val="20"/>
                <w:szCs w:val="20"/>
                <w:color w:val="auto"/>
              </w:rPr>
            </w:pPr>
            <w:r>
              <w:rPr>
                <w:rFonts w:ascii="Times New Roman" w:cs="Times New Roman" w:eastAsia="Times New Roman" w:hAnsi="Times New Roman"/>
                <w:sz w:val="15"/>
                <w:szCs w:val="15"/>
                <w:color w:val="231F20"/>
              </w:rPr>
              <w:t>36</w:t>
            </w:r>
          </w:p>
        </w:tc>
        <w:tc>
          <w:tcPr>
            <w:tcW w:w="1680" w:type="dxa"/>
            <w:vAlign w:val="bottom"/>
            <w:gridSpan w:val="3"/>
            <w:shd w:val="clear" w:color="auto" w:fill="D0EBF2"/>
          </w:tcPr>
          <w:p>
            <w:pPr>
              <w:jc w:val="right"/>
              <w:spacing w:after="0"/>
              <w:rPr>
                <w:sz w:val="20"/>
                <w:szCs w:val="20"/>
                <w:color w:val="auto"/>
              </w:rPr>
            </w:pPr>
            <w:r>
              <w:rPr>
                <w:rFonts w:ascii="Times New Roman" w:cs="Times New Roman" w:eastAsia="Times New Roman" w:hAnsi="Times New Roman"/>
                <w:sz w:val="15"/>
                <w:szCs w:val="15"/>
                <w:color w:val="231F20"/>
              </w:rPr>
              <w:t>53</w:t>
            </w:r>
          </w:p>
        </w:tc>
        <w:tc>
          <w:tcPr>
            <w:tcW w:w="960" w:type="dxa"/>
            <w:vAlign w:val="bottom"/>
            <w:gridSpan w:val="2"/>
            <w:shd w:val="clear" w:color="auto" w:fill="D0EBF2"/>
          </w:tcPr>
          <w:p>
            <w:pPr>
              <w:jc w:val="right"/>
              <w:spacing w:after="0"/>
              <w:rPr>
                <w:sz w:val="20"/>
                <w:szCs w:val="20"/>
                <w:color w:val="auto"/>
              </w:rPr>
            </w:pPr>
            <w:r>
              <w:rPr>
                <w:rFonts w:ascii="Times New Roman" w:cs="Times New Roman" w:eastAsia="Times New Roman" w:hAnsi="Times New Roman"/>
                <w:sz w:val="15"/>
                <w:szCs w:val="15"/>
                <w:color w:val="231F20"/>
              </w:rPr>
              <w:t>0.0%</w:t>
            </w:r>
          </w:p>
        </w:tc>
      </w:tr>
      <w:tr>
        <w:trPr>
          <w:trHeight w:val="171"/>
        </w:trPr>
        <w:tc>
          <w:tcPr>
            <w:tcW w:w="1580" w:type="dxa"/>
            <w:vAlign w:val="bottom"/>
            <w:shd w:val="clear" w:color="auto" w:fill="FDFDFC"/>
          </w:tcPr>
          <w:p>
            <w:pPr>
              <w:spacing w:after="0"/>
              <w:rPr>
                <w:sz w:val="14"/>
                <w:szCs w:val="14"/>
                <w:color w:val="auto"/>
              </w:rPr>
            </w:pPr>
          </w:p>
        </w:tc>
        <w:tc>
          <w:tcPr>
            <w:tcW w:w="2200" w:type="dxa"/>
            <w:vAlign w:val="bottom"/>
            <w:shd w:val="clear" w:color="auto" w:fill="FDFDFC"/>
          </w:tcPr>
          <w:p>
            <w:pPr>
              <w:ind w:left="60"/>
              <w:spacing w:after="0" w:line="172" w:lineRule="exact"/>
              <w:rPr>
                <w:sz w:val="20"/>
                <w:szCs w:val="20"/>
                <w:color w:val="auto"/>
              </w:rPr>
            </w:pPr>
            <w:r>
              <w:rPr>
                <w:rFonts w:ascii="Times New Roman" w:cs="Times New Roman" w:eastAsia="Times New Roman" w:hAnsi="Times New Roman"/>
                <w:sz w:val="15"/>
                <w:szCs w:val="15"/>
                <w:color w:val="231F20"/>
              </w:rPr>
              <w:t>Series A Preferred Stock (1,667</w:t>
            </w:r>
          </w:p>
        </w:tc>
        <w:tc>
          <w:tcPr>
            <w:tcW w:w="800" w:type="dxa"/>
            <w:vAlign w:val="bottom"/>
            <w:shd w:val="clear" w:color="auto" w:fill="FDFDFC"/>
          </w:tcPr>
          <w:p>
            <w:pPr>
              <w:jc w:val="right"/>
              <w:spacing w:after="0" w:line="172" w:lineRule="exact"/>
              <w:rPr>
                <w:sz w:val="20"/>
                <w:szCs w:val="20"/>
                <w:color w:val="auto"/>
              </w:rPr>
            </w:pPr>
            <w:r>
              <w:rPr>
                <w:rFonts w:ascii="Times New Roman" w:cs="Times New Roman" w:eastAsia="Times New Roman" w:hAnsi="Times New Roman"/>
                <w:sz w:val="15"/>
                <w:szCs w:val="15"/>
                <w:color w:val="231F20"/>
              </w:rPr>
              <w:t>12/20/2023</w:t>
            </w:r>
          </w:p>
        </w:tc>
        <w:tc>
          <w:tcPr>
            <w:tcW w:w="1000" w:type="dxa"/>
            <w:vAlign w:val="bottom"/>
            <w:shd w:val="clear" w:color="auto" w:fill="FDFDFC"/>
          </w:tcPr>
          <w:p>
            <w:pPr>
              <w:jc w:val="right"/>
              <w:ind w:right="44"/>
              <w:spacing w:after="0" w:line="172" w:lineRule="exact"/>
              <w:rPr>
                <w:sz w:val="20"/>
                <w:szCs w:val="20"/>
                <w:color w:val="auto"/>
              </w:rPr>
            </w:pPr>
            <w:r>
              <w:rPr>
                <w:rFonts w:ascii="Times New Roman" w:cs="Times New Roman" w:eastAsia="Times New Roman" w:hAnsi="Times New Roman"/>
                <w:sz w:val="15"/>
                <w:szCs w:val="15"/>
                <w:color w:val="231F20"/>
              </w:rPr>
              <w:t>SOFR +</w:t>
            </w:r>
          </w:p>
        </w:tc>
        <w:tc>
          <w:tcPr>
            <w:tcW w:w="1160" w:type="dxa"/>
            <w:vAlign w:val="bottom"/>
            <w:gridSpan w:val="2"/>
            <w:shd w:val="clear" w:color="auto" w:fill="FDFDFC"/>
          </w:tcPr>
          <w:p>
            <w:pPr>
              <w:jc w:val="right"/>
              <w:ind w:right="240"/>
              <w:spacing w:after="0" w:line="172" w:lineRule="exact"/>
              <w:rPr>
                <w:sz w:val="20"/>
                <w:szCs w:val="20"/>
                <w:color w:val="auto"/>
              </w:rPr>
            </w:pPr>
            <w:r>
              <w:rPr>
                <w:rFonts w:ascii="Times New Roman" w:cs="Times New Roman" w:eastAsia="Times New Roman" w:hAnsi="Times New Roman"/>
                <w:sz w:val="15"/>
                <w:szCs w:val="15"/>
                <w:color w:val="231F20"/>
              </w:rPr>
              <w:t>16.60% PIK</w:t>
            </w:r>
          </w:p>
        </w:tc>
        <w:tc>
          <w:tcPr>
            <w:tcW w:w="900" w:type="dxa"/>
            <w:vAlign w:val="bottom"/>
            <w:shd w:val="clear" w:color="auto" w:fill="FDFDFC"/>
          </w:tcPr>
          <w:p>
            <w:pPr>
              <w:jc w:val="right"/>
              <w:spacing w:after="0" w:line="172" w:lineRule="exact"/>
              <w:rPr>
                <w:sz w:val="20"/>
                <w:szCs w:val="20"/>
                <w:color w:val="auto"/>
              </w:rPr>
            </w:pPr>
            <w:r>
              <w:rPr>
                <w:rFonts w:ascii="Times New Roman" w:cs="Times New Roman" w:eastAsia="Times New Roman" w:hAnsi="Times New Roman"/>
                <w:sz w:val="15"/>
                <w:szCs w:val="15"/>
                <w:color w:val="231F20"/>
              </w:rPr>
              <w:t>1,817</w:t>
            </w:r>
          </w:p>
        </w:tc>
        <w:tc>
          <w:tcPr>
            <w:tcW w:w="1680" w:type="dxa"/>
            <w:vAlign w:val="bottom"/>
            <w:gridSpan w:val="3"/>
            <w:shd w:val="clear" w:color="auto" w:fill="FDFDFC"/>
          </w:tcPr>
          <w:p>
            <w:pPr>
              <w:jc w:val="right"/>
              <w:spacing w:after="0" w:line="172" w:lineRule="exact"/>
              <w:rPr>
                <w:sz w:val="20"/>
                <w:szCs w:val="20"/>
                <w:color w:val="auto"/>
              </w:rPr>
            </w:pPr>
            <w:r>
              <w:rPr>
                <w:rFonts w:ascii="Times New Roman" w:cs="Times New Roman" w:eastAsia="Times New Roman" w:hAnsi="Times New Roman"/>
                <w:sz w:val="15"/>
                <w:szCs w:val="15"/>
                <w:color w:val="231F20"/>
              </w:rPr>
              <w:t>1,989</w:t>
            </w:r>
          </w:p>
        </w:tc>
        <w:tc>
          <w:tcPr>
            <w:tcW w:w="960" w:type="dxa"/>
            <w:vAlign w:val="bottom"/>
            <w:gridSpan w:val="2"/>
            <w:shd w:val="clear" w:color="auto" w:fill="FDFDFC"/>
          </w:tcPr>
          <w:p>
            <w:pPr>
              <w:jc w:val="right"/>
              <w:spacing w:after="0" w:line="172" w:lineRule="exact"/>
              <w:rPr>
                <w:sz w:val="20"/>
                <w:szCs w:val="20"/>
                <w:color w:val="auto"/>
              </w:rPr>
            </w:pPr>
            <w:r>
              <w:rPr>
                <w:rFonts w:ascii="Times New Roman" w:cs="Times New Roman" w:eastAsia="Times New Roman" w:hAnsi="Times New Roman"/>
                <w:sz w:val="15"/>
                <w:szCs w:val="15"/>
                <w:color w:val="231F20"/>
              </w:rPr>
              <w:t>0.1%</w:t>
            </w:r>
          </w:p>
        </w:tc>
      </w:tr>
      <w:tr>
        <w:trPr>
          <w:trHeight w:val="189"/>
        </w:trPr>
        <w:tc>
          <w:tcPr>
            <w:tcW w:w="1580" w:type="dxa"/>
            <w:vAlign w:val="bottom"/>
            <w:shd w:val="clear" w:color="auto" w:fill="FDFDFC"/>
          </w:tcPr>
          <w:p>
            <w:pPr>
              <w:spacing w:after="0"/>
              <w:rPr>
                <w:sz w:val="16"/>
                <w:szCs w:val="16"/>
                <w:color w:val="auto"/>
              </w:rPr>
            </w:pPr>
          </w:p>
        </w:tc>
        <w:tc>
          <w:tcPr>
            <w:tcW w:w="2200" w:type="dxa"/>
            <w:vAlign w:val="bottom"/>
            <w:shd w:val="clear" w:color="auto" w:fill="FDFDFC"/>
          </w:tcPr>
          <w:p>
            <w:pPr>
              <w:ind w:left="60"/>
              <w:spacing w:after="0"/>
              <w:rPr>
                <w:sz w:val="20"/>
                <w:szCs w:val="20"/>
                <w:color w:val="auto"/>
              </w:rPr>
            </w:pPr>
            <w:r>
              <w:rPr>
                <w:rFonts w:ascii="Times New Roman" w:cs="Times New Roman" w:eastAsia="Times New Roman" w:hAnsi="Times New Roman"/>
                <w:sz w:val="15"/>
                <w:szCs w:val="15"/>
                <w:color w:val="231F20"/>
              </w:rPr>
              <w:t xml:space="preserve">units) </w:t>
            </w:r>
            <w:r>
              <w:rPr>
                <w:rFonts w:ascii="Times New Roman" w:cs="Times New Roman" w:eastAsia="Times New Roman" w:hAnsi="Times New Roman"/>
                <w:sz w:val="9"/>
                <w:szCs w:val="9"/>
                <w:color w:val="231F20"/>
              </w:rPr>
              <w:t>(3)</w:t>
            </w:r>
          </w:p>
        </w:tc>
        <w:tc>
          <w:tcPr>
            <w:tcW w:w="800" w:type="dxa"/>
            <w:vAlign w:val="bottom"/>
            <w:shd w:val="clear" w:color="auto" w:fill="FDFDFC"/>
          </w:tcPr>
          <w:p>
            <w:pPr>
              <w:spacing w:after="0"/>
              <w:rPr>
                <w:sz w:val="16"/>
                <w:szCs w:val="16"/>
                <w:color w:val="auto"/>
              </w:rPr>
            </w:pPr>
          </w:p>
        </w:tc>
        <w:tc>
          <w:tcPr>
            <w:tcW w:w="1000" w:type="dxa"/>
            <w:vAlign w:val="bottom"/>
            <w:shd w:val="clear" w:color="auto" w:fill="FDFDFC"/>
          </w:tcPr>
          <w:p>
            <w:pPr>
              <w:jc w:val="right"/>
              <w:ind w:right="44"/>
              <w:spacing w:after="0"/>
              <w:rPr>
                <w:sz w:val="20"/>
                <w:szCs w:val="20"/>
                <w:color w:val="auto"/>
              </w:rPr>
            </w:pPr>
            <w:r>
              <w:rPr>
                <w:rFonts w:ascii="Times New Roman" w:cs="Times New Roman" w:eastAsia="Times New Roman" w:hAnsi="Times New Roman"/>
                <w:sz w:val="15"/>
                <w:szCs w:val="15"/>
                <w:color w:val="231F20"/>
              </w:rPr>
              <w:t>12.00%</w:t>
            </w:r>
          </w:p>
        </w:tc>
        <w:tc>
          <w:tcPr>
            <w:tcW w:w="1060" w:type="dxa"/>
            <w:vAlign w:val="bottom"/>
            <w:shd w:val="clear" w:color="auto" w:fill="FDFDFC"/>
          </w:tcPr>
          <w:p>
            <w:pPr>
              <w:spacing w:after="0"/>
              <w:rPr>
                <w:sz w:val="16"/>
                <w:szCs w:val="16"/>
                <w:color w:val="auto"/>
              </w:rPr>
            </w:pPr>
          </w:p>
        </w:tc>
        <w:tc>
          <w:tcPr>
            <w:tcW w:w="100" w:type="dxa"/>
            <w:vAlign w:val="bottom"/>
            <w:shd w:val="clear" w:color="auto" w:fill="FDFDFC"/>
          </w:tcPr>
          <w:p>
            <w:pPr>
              <w:spacing w:after="0"/>
              <w:rPr>
                <w:sz w:val="16"/>
                <w:szCs w:val="16"/>
                <w:color w:val="auto"/>
              </w:rPr>
            </w:pPr>
          </w:p>
        </w:tc>
        <w:tc>
          <w:tcPr>
            <w:tcW w:w="900" w:type="dxa"/>
            <w:vAlign w:val="bottom"/>
            <w:shd w:val="clear" w:color="auto" w:fill="FDFDFC"/>
          </w:tcPr>
          <w:p>
            <w:pPr>
              <w:spacing w:after="0"/>
              <w:rPr>
                <w:sz w:val="16"/>
                <w:szCs w:val="16"/>
                <w:color w:val="auto"/>
              </w:rPr>
            </w:pPr>
          </w:p>
        </w:tc>
        <w:tc>
          <w:tcPr>
            <w:tcW w:w="80" w:type="dxa"/>
            <w:vAlign w:val="bottom"/>
            <w:shd w:val="clear" w:color="auto" w:fill="FDFDFC"/>
          </w:tcPr>
          <w:p>
            <w:pPr>
              <w:spacing w:after="0"/>
              <w:rPr>
                <w:sz w:val="16"/>
                <w:szCs w:val="16"/>
                <w:color w:val="auto"/>
              </w:rPr>
            </w:pPr>
          </w:p>
        </w:tc>
        <w:tc>
          <w:tcPr>
            <w:tcW w:w="100" w:type="dxa"/>
            <w:vAlign w:val="bottom"/>
            <w:shd w:val="clear" w:color="auto" w:fill="FDFDFC"/>
          </w:tcPr>
          <w:p>
            <w:pPr>
              <w:spacing w:after="0"/>
              <w:rPr>
                <w:sz w:val="16"/>
                <w:szCs w:val="16"/>
                <w:color w:val="auto"/>
              </w:rPr>
            </w:pPr>
          </w:p>
        </w:tc>
        <w:tc>
          <w:tcPr>
            <w:tcW w:w="1500" w:type="dxa"/>
            <w:vAlign w:val="bottom"/>
            <w:shd w:val="clear" w:color="auto" w:fill="FDFDFC"/>
          </w:tcPr>
          <w:p>
            <w:pPr>
              <w:spacing w:after="0"/>
              <w:rPr>
                <w:sz w:val="16"/>
                <w:szCs w:val="16"/>
                <w:color w:val="auto"/>
              </w:rPr>
            </w:pPr>
          </w:p>
        </w:tc>
        <w:tc>
          <w:tcPr>
            <w:tcW w:w="100" w:type="dxa"/>
            <w:vAlign w:val="bottom"/>
            <w:shd w:val="clear" w:color="auto" w:fill="FDFDFC"/>
          </w:tcPr>
          <w:p>
            <w:pPr>
              <w:spacing w:after="0"/>
              <w:rPr>
                <w:sz w:val="16"/>
                <w:szCs w:val="16"/>
                <w:color w:val="auto"/>
              </w:rPr>
            </w:pPr>
          </w:p>
        </w:tc>
        <w:tc>
          <w:tcPr>
            <w:tcW w:w="860" w:type="dxa"/>
            <w:vAlign w:val="bottom"/>
            <w:shd w:val="clear" w:color="auto" w:fill="FDFDFC"/>
          </w:tcPr>
          <w:p>
            <w:pPr>
              <w:spacing w:after="0"/>
              <w:rPr>
                <w:sz w:val="16"/>
                <w:szCs w:val="16"/>
                <w:color w:val="auto"/>
              </w:rPr>
            </w:pPr>
          </w:p>
        </w:tc>
      </w:tr>
      <w:tr>
        <w:trPr>
          <w:trHeight w:val="187"/>
        </w:trPr>
        <w:tc>
          <w:tcPr>
            <w:tcW w:w="1580" w:type="dxa"/>
            <w:vAlign w:val="bottom"/>
            <w:shd w:val="clear" w:color="auto" w:fill="D0EBF2"/>
          </w:tcPr>
          <w:p>
            <w:pPr>
              <w:spacing w:after="0"/>
              <w:rPr>
                <w:sz w:val="16"/>
                <w:szCs w:val="16"/>
                <w:color w:val="auto"/>
              </w:rPr>
            </w:pPr>
          </w:p>
        </w:tc>
        <w:tc>
          <w:tcPr>
            <w:tcW w:w="2200" w:type="dxa"/>
            <w:vAlign w:val="bottom"/>
            <w:shd w:val="clear" w:color="auto" w:fill="D0EBF2"/>
          </w:tcPr>
          <w:p>
            <w:pPr>
              <w:ind w:left="60"/>
              <w:spacing w:after="0"/>
              <w:rPr>
                <w:sz w:val="20"/>
                <w:szCs w:val="20"/>
                <w:color w:val="auto"/>
              </w:rPr>
            </w:pPr>
            <w:r>
              <w:rPr>
                <w:rFonts w:ascii="Times New Roman" w:cs="Times New Roman" w:eastAsia="Times New Roman" w:hAnsi="Times New Roman"/>
                <w:sz w:val="15"/>
                <w:szCs w:val="15"/>
                <w:color w:val="231F20"/>
              </w:rPr>
              <w:t xml:space="preserve">Warrants (90,634 warrants) </w:t>
            </w:r>
            <w:r>
              <w:rPr>
                <w:rFonts w:ascii="Times New Roman" w:cs="Times New Roman" w:eastAsia="Times New Roman" w:hAnsi="Times New Roman"/>
                <w:sz w:val="9"/>
                <w:szCs w:val="9"/>
                <w:color w:val="231F20"/>
              </w:rPr>
              <w:t>(11)</w:t>
            </w:r>
          </w:p>
        </w:tc>
        <w:tc>
          <w:tcPr>
            <w:tcW w:w="800" w:type="dxa"/>
            <w:vAlign w:val="bottom"/>
            <w:shd w:val="clear" w:color="auto" w:fill="D0EBF2"/>
          </w:tcPr>
          <w:p>
            <w:pPr>
              <w:jc w:val="right"/>
              <w:spacing w:after="0"/>
              <w:rPr>
                <w:sz w:val="20"/>
                <w:szCs w:val="20"/>
                <w:color w:val="auto"/>
              </w:rPr>
            </w:pPr>
            <w:r>
              <w:rPr>
                <w:rFonts w:ascii="Times New Roman" w:cs="Times New Roman" w:eastAsia="Times New Roman" w:hAnsi="Times New Roman"/>
                <w:sz w:val="15"/>
                <w:szCs w:val="15"/>
                <w:color w:val="231F20"/>
              </w:rPr>
              <w:t>12/20/2023</w:t>
            </w:r>
          </w:p>
        </w:tc>
        <w:tc>
          <w:tcPr>
            <w:tcW w:w="1000" w:type="dxa"/>
            <w:vAlign w:val="bottom"/>
            <w:shd w:val="clear" w:color="auto" w:fill="D0EBF2"/>
          </w:tcPr>
          <w:p>
            <w:pPr>
              <w:spacing w:after="0"/>
              <w:rPr>
                <w:sz w:val="16"/>
                <w:szCs w:val="16"/>
                <w:color w:val="auto"/>
              </w:rPr>
            </w:pPr>
          </w:p>
        </w:tc>
        <w:tc>
          <w:tcPr>
            <w:tcW w:w="1060" w:type="dxa"/>
            <w:vAlign w:val="bottom"/>
            <w:shd w:val="clear" w:color="auto" w:fill="D0EBF2"/>
          </w:tcPr>
          <w:p>
            <w:pPr>
              <w:spacing w:after="0"/>
              <w:rPr>
                <w:sz w:val="16"/>
                <w:szCs w:val="16"/>
                <w:color w:val="auto"/>
              </w:rPr>
            </w:pPr>
          </w:p>
        </w:tc>
        <w:tc>
          <w:tcPr>
            <w:tcW w:w="100" w:type="dxa"/>
            <w:vAlign w:val="bottom"/>
            <w:shd w:val="clear" w:color="auto" w:fill="D0EBF2"/>
          </w:tcPr>
          <w:p>
            <w:pPr>
              <w:spacing w:after="0"/>
              <w:rPr>
                <w:sz w:val="16"/>
                <w:szCs w:val="16"/>
                <w:color w:val="auto"/>
              </w:rPr>
            </w:pPr>
          </w:p>
        </w:tc>
        <w:tc>
          <w:tcPr>
            <w:tcW w:w="900" w:type="dxa"/>
            <w:vAlign w:val="bottom"/>
            <w:shd w:val="clear" w:color="auto" w:fill="D0EBF2"/>
          </w:tcPr>
          <w:p>
            <w:pPr>
              <w:jc w:val="right"/>
              <w:spacing w:after="0"/>
              <w:rPr>
                <w:sz w:val="20"/>
                <w:szCs w:val="20"/>
                <w:color w:val="auto"/>
              </w:rPr>
            </w:pPr>
            <w:r>
              <w:rPr>
                <w:rFonts w:ascii="Times New Roman" w:cs="Times New Roman" w:eastAsia="Times New Roman" w:hAnsi="Times New Roman"/>
                <w:sz w:val="15"/>
                <w:szCs w:val="15"/>
                <w:color w:val="231F20"/>
              </w:rPr>
              <w:t>102</w:t>
            </w:r>
          </w:p>
        </w:tc>
        <w:tc>
          <w:tcPr>
            <w:tcW w:w="1680" w:type="dxa"/>
            <w:vAlign w:val="bottom"/>
            <w:gridSpan w:val="3"/>
            <w:shd w:val="clear" w:color="auto" w:fill="D0EBF2"/>
          </w:tcPr>
          <w:p>
            <w:pPr>
              <w:jc w:val="right"/>
              <w:spacing w:after="0"/>
              <w:rPr>
                <w:sz w:val="20"/>
                <w:szCs w:val="20"/>
                <w:color w:val="auto"/>
              </w:rPr>
            </w:pPr>
            <w:r>
              <w:rPr>
                <w:rFonts w:ascii="Times New Roman" w:cs="Times New Roman" w:eastAsia="Times New Roman" w:hAnsi="Times New Roman"/>
                <w:sz w:val="15"/>
                <w:szCs w:val="15"/>
                <w:color w:val="231F20"/>
              </w:rPr>
              <w:t>126</w:t>
            </w:r>
          </w:p>
        </w:tc>
        <w:tc>
          <w:tcPr>
            <w:tcW w:w="960" w:type="dxa"/>
            <w:vAlign w:val="bottom"/>
            <w:gridSpan w:val="2"/>
            <w:shd w:val="clear" w:color="auto" w:fill="D0EBF2"/>
          </w:tcPr>
          <w:p>
            <w:pPr>
              <w:jc w:val="right"/>
              <w:spacing w:after="0"/>
              <w:rPr>
                <w:sz w:val="20"/>
                <w:szCs w:val="20"/>
                <w:color w:val="auto"/>
              </w:rPr>
            </w:pPr>
            <w:r>
              <w:rPr>
                <w:rFonts w:ascii="Times New Roman" w:cs="Times New Roman" w:eastAsia="Times New Roman" w:hAnsi="Times New Roman"/>
                <w:sz w:val="15"/>
                <w:szCs w:val="15"/>
                <w:color w:val="231F20"/>
              </w:rPr>
              <w:t>0.0%</w:t>
            </w:r>
          </w:p>
        </w:tc>
      </w:tr>
      <w:tr>
        <w:trPr>
          <w:trHeight w:val="187"/>
        </w:trPr>
        <w:tc>
          <w:tcPr>
            <w:tcW w:w="1580" w:type="dxa"/>
            <w:vAlign w:val="bottom"/>
            <w:shd w:val="clear" w:color="auto" w:fill="FDFDFC"/>
          </w:tcPr>
          <w:p>
            <w:pPr>
              <w:spacing w:after="0"/>
              <w:rPr>
                <w:sz w:val="20"/>
                <w:szCs w:val="20"/>
                <w:color w:val="auto"/>
              </w:rPr>
            </w:pPr>
            <w:r>
              <w:rPr>
                <w:rFonts w:ascii="Times New Roman" w:cs="Times New Roman" w:eastAsia="Times New Roman" w:hAnsi="Times New Roman"/>
                <w:sz w:val="15"/>
                <w:szCs w:val="15"/>
                <w:color w:val="231F20"/>
              </w:rPr>
              <w:t xml:space="preserve">Sprinklr, Inc. </w:t>
            </w:r>
            <w:r>
              <w:rPr>
                <w:rFonts w:ascii="Times New Roman" w:cs="Times New Roman" w:eastAsia="Times New Roman" w:hAnsi="Times New Roman"/>
                <w:sz w:val="9"/>
                <w:szCs w:val="9"/>
                <w:color w:val="231F20"/>
              </w:rPr>
              <w:t>(10)(11)</w:t>
            </w:r>
          </w:p>
        </w:tc>
        <w:tc>
          <w:tcPr>
            <w:tcW w:w="2200" w:type="dxa"/>
            <w:vAlign w:val="bottom"/>
            <w:shd w:val="clear" w:color="auto" w:fill="FDFDFC"/>
          </w:tcPr>
          <w:p>
            <w:pPr>
              <w:ind w:left="60"/>
              <w:spacing w:after="0"/>
              <w:rPr>
                <w:sz w:val="20"/>
                <w:szCs w:val="20"/>
                <w:color w:val="auto"/>
              </w:rPr>
            </w:pPr>
            <w:r>
              <w:rPr>
                <w:rFonts w:ascii="Times New Roman" w:cs="Times New Roman" w:eastAsia="Times New Roman" w:hAnsi="Times New Roman"/>
                <w:sz w:val="15"/>
                <w:szCs w:val="15"/>
                <w:color w:val="231F20"/>
              </w:rPr>
              <w:t>Common Shares (283,499 shares)</w:t>
            </w:r>
          </w:p>
        </w:tc>
        <w:tc>
          <w:tcPr>
            <w:tcW w:w="800" w:type="dxa"/>
            <w:vAlign w:val="bottom"/>
            <w:shd w:val="clear" w:color="auto" w:fill="FDFDFC"/>
          </w:tcPr>
          <w:p>
            <w:pPr>
              <w:jc w:val="right"/>
              <w:spacing w:after="0"/>
              <w:rPr>
                <w:sz w:val="20"/>
                <w:szCs w:val="20"/>
                <w:color w:val="auto"/>
              </w:rPr>
            </w:pPr>
            <w:r>
              <w:rPr>
                <w:rFonts w:ascii="Times New Roman" w:cs="Times New Roman" w:eastAsia="Times New Roman" w:hAnsi="Times New Roman"/>
                <w:sz w:val="15"/>
                <w:szCs w:val="15"/>
                <w:color w:val="231F20"/>
              </w:rPr>
              <w:t>6/24/2021</w:t>
            </w:r>
          </w:p>
        </w:tc>
        <w:tc>
          <w:tcPr>
            <w:tcW w:w="1000" w:type="dxa"/>
            <w:vAlign w:val="bottom"/>
            <w:shd w:val="clear" w:color="auto" w:fill="FDFDFC"/>
          </w:tcPr>
          <w:p>
            <w:pPr>
              <w:spacing w:after="0"/>
              <w:rPr>
                <w:sz w:val="16"/>
                <w:szCs w:val="16"/>
                <w:color w:val="auto"/>
              </w:rPr>
            </w:pPr>
          </w:p>
        </w:tc>
        <w:tc>
          <w:tcPr>
            <w:tcW w:w="1060" w:type="dxa"/>
            <w:vAlign w:val="bottom"/>
            <w:shd w:val="clear" w:color="auto" w:fill="FDFDFC"/>
          </w:tcPr>
          <w:p>
            <w:pPr>
              <w:spacing w:after="0"/>
              <w:rPr>
                <w:sz w:val="16"/>
                <w:szCs w:val="16"/>
                <w:color w:val="auto"/>
              </w:rPr>
            </w:pPr>
          </w:p>
        </w:tc>
        <w:tc>
          <w:tcPr>
            <w:tcW w:w="100" w:type="dxa"/>
            <w:vAlign w:val="bottom"/>
            <w:shd w:val="clear" w:color="auto" w:fill="FDFDFC"/>
          </w:tcPr>
          <w:p>
            <w:pPr>
              <w:spacing w:after="0"/>
              <w:rPr>
                <w:sz w:val="16"/>
                <w:szCs w:val="16"/>
                <w:color w:val="auto"/>
              </w:rPr>
            </w:pPr>
          </w:p>
        </w:tc>
        <w:tc>
          <w:tcPr>
            <w:tcW w:w="900" w:type="dxa"/>
            <w:vAlign w:val="bottom"/>
            <w:shd w:val="clear" w:color="auto" w:fill="FDFDFC"/>
          </w:tcPr>
          <w:p>
            <w:pPr>
              <w:jc w:val="right"/>
              <w:spacing w:after="0"/>
              <w:rPr>
                <w:sz w:val="20"/>
                <w:szCs w:val="20"/>
                <w:color w:val="auto"/>
              </w:rPr>
            </w:pPr>
            <w:r>
              <w:rPr>
                <w:rFonts w:ascii="Times New Roman" w:cs="Times New Roman" w:eastAsia="Times New Roman" w:hAnsi="Times New Roman"/>
                <w:sz w:val="15"/>
                <w:szCs w:val="15"/>
                <w:color w:val="231F20"/>
              </w:rPr>
              <w:t>2,445</w:t>
            </w:r>
          </w:p>
        </w:tc>
        <w:tc>
          <w:tcPr>
            <w:tcW w:w="1680" w:type="dxa"/>
            <w:vAlign w:val="bottom"/>
            <w:gridSpan w:val="3"/>
            <w:shd w:val="clear" w:color="auto" w:fill="FDFDFC"/>
          </w:tcPr>
          <w:p>
            <w:pPr>
              <w:jc w:val="right"/>
              <w:spacing w:after="0"/>
              <w:rPr>
                <w:sz w:val="20"/>
                <w:szCs w:val="20"/>
                <w:color w:val="auto"/>
              </w:rPr>
            </w:pPr>
            <w:r>
              <w:rPr>
                <w:rFonts w:ascii="Times New Roman" w:cs="Times New Roman" w:eastAsia="Times New Roman" w:hAnsi="Times New Roman"/>
                <w:sz w:val="15"/>
                <w:szCs w:val="15"/>
                <w:color w:val="231F20"/>
              </w:rPr>
              <w:t>2,395</w:t>
            </w:r>
          </w:p>
        </w:tc>
        <w:tc>
          <w:tcPr>
            <w:tcW w:w="960" w:type="dxa"/>
            <w:vAlign w:val="bottom"/>
            <w:gridSpan w:val="2"/>
            <w:shd w:val="clear" w:color="auto" w:fill="FDFDFC"/>
          </w:tcPr>
          <w:p>
            <w:pPr>
              <w:jc w:val="right"/>
              <w:spacing w:after="0"/>
              <w:rPr>
                <w:sz w:val="20"/>
                <w:szCs w:val="20"/>
                <w:color w:val="auto"/>
              </w:rPr>
            </w:pPr>
            <w:r>
              <w:rPr>
                <w:rFonts w:ascii="Times New Roman" w:cs="Times New Roman" w:eastAsia="Times New Roman" w:hAnsi="Times New Roman"/>
                <w:sz w:val="15"/>
                <w:szCs w:val="15"/>
                <w:color w:val="231F20"/>
              </w:rPr>
              <w:t>0.1%</w:t>
            </w:r>
          </w:p>
        </w:tc>
      </w:tr>
      <w:tr>
        <w:trPr>
          <w:trHeight w:val="187"/>
        </w:trPr>
        <w:tc>
          <w:tcPr>
            <w:tcW w:w="1580" w:type="dxa"/>
            <w:vAlign w:val="bottom"/>
            <w:shd w:val="clear" w:color="auto" w:fill="D0EBF2"/>
          </w:tcPr>
          <w:p>
            <w:pPr>
              <w:spacing w:after="0"/>
              <w:rPr>
                <w:sz w:val="20"/>
                <w:szCs w:val="20"/>
                <w:color w:val="auto"/>
              </w:rPr>
            </w:pPr>
            <w:r>
              <w:rPr>
                <w:rFonts w:ascii="Times New Roman" w:cs="Times New Roman" w:eastAsia="Times New Roman" w:hAnsi="Times New Roman"/>
                <w:sz w:val="15"/>
                <w:szCs w:val="15"/>
                <w:color w:val="231F20"/>
              </w:rPr>
              <w:t>Warrior TopCo LP</w:t>
            </w:r>
          </w:p>
        </w:tc>
        <w:tc>
          <w:tcPr>
            <w:tcW w:w="2200" w:type="dxa"/>
            <w:vAlign w:val="bottom"/>
            <w:shd w:val="clear" w:color="auto" w:fill="D0EBF2"/>
          </w:tcPr>
          <w:p>
            <w:pPr>
              <w:ind w:left="60"/>
              <w:spacing w:after="0"/>
              <w:rPr>
                <w:sz w:val="20"/>
                <w:szCs w:val="20"/>
                <w:color w:val="auto"/>
              </w:rPr>
            </w:pPr>
            <w:r>
              <w:rPr>
                <w:rFonts w:ascii="Times New Roman" w:cs="Times New Roman" w:eastAsia="Times New Roman" w:hAnsi="Times New Roman"/>
                <w:sz w:val="15"/>
                <w:szCs w:val="15"/>
                <w:color w:val="231F20"/>
              </w:rPr>
              <w:t>Class A Units (423,729 units)</w:t>
            </w:r>
          </w:p>
        </w:tc>
        <w:tc>
          <w:tcPr>
            <w:tcW w:w="800" w:type="dxa"/>
            <w:vAlign w:val="bottom"/>
            <w:shd w:val="clear" w:color="auto" w:fill="D0EBF2"/>
          </w:tcPr>
          <w:p>
            <w:pPr>
              <w:jc w:val="right"/>
              <w:spacing w:after="0"/>
              <w:rPr>
                <w:sz w:val="20"/>
                <w:szCs w:val="20"/>
                <w:color w:val="auto"/>
              </w:rPr>
            </w:pPr>
            <w:r>
              <w:rPr>
                <w:rFonts w:ascii="Times New Roman" w:cs="Times New Roman" w:eastAsia="Times New Roman" w:hAnsi="Times New Roman"/>
                <w:sz w:val="15"/>
                <w:szCs w:val="15"/>
                <w:color w:val="231F20"/>
              </w:rPr>
              <w:t>7/7/2023</w:t>
            </w:r>
          </w:p>
        </w:tc>
        <w:tc>
          <w:tcPr>
            <w:tcW w:w="1000" w:type="dxa"/>
            <w:vAlign w:val="bottom"/>
            <w:shd w:val="clear" w:color="auto" w:fill="D0EBF2"/>
          </w:tcPr>
          <w:p>
            <w:pPr>
              <w:spacing w:after="0"/>
              <w:rPr>
                <w:sz w:val="16"/>
                <w:szCs w:val="16"/>
                <w:color w:val="auto"/>
              </w:rPr>
            </w:pPr>
          </w:p>
        </w:tc>
        <w:tc>
          <w:tcPr>
            <w:tcW w:w="1060" w:type="dxa"/>
            <w:vAlign w:val="bottom"/>
            <w:shd w:val="clear" w:color="auto" w:fill="D0EBF2"/>
          </w:tcPr>
          <w:p>
            <w:pPr>
              <w:spacing w:after="0"/>
              <w:rPr>
                <w:sz w:val="16"/>
                <w:szCs w:val="16"/>
                <w:color w:val="auto"/>
              </w:rPr>
            </w:pPr>
          </w:p>
        </w:tc>
        <w:tc>
          <w:tcPr>
            <w:tcW w:w="100" w:type="dxa"/>
            <w:vAlign w:val="bottom"/>
            <w:shd w:val="clear" w:color="auto" w:fill="D0EBF2"/>
          </w:tcPr>
          <w:p>
            <w:pPr>
              <w:spacing w:after="0"/>
              <w:rPr>
                <w:sz w:val="16"/>
                <w:szCs w:val="16"/>
                <w:color w:val="auto"/>
              </w:rPr>
            </w:pPr>
          </w:p>
        </w:tc>
        <w:tc>
          <w:tcPr>
            <w:tcW w:w="900" w:type="dxa"/>
            <w:vAlign w:val="bottom"/>
            <w:shd w:val="clear" w:color="auto" w:fill="D0EBF2"/>
          </w:tcPr>
          <w:p>
            <w:pPr>
              <w:jc w:val="right"/>
              <w:spacing w:after="0"/>
              <w:rPr>
                <w:sz w:val="20"/>
                <w:szCs w:val="20"/>
                <w:color w:val="auto"/>
              </w:rPr>
            </w:pPr>
            <w:r>
              <w:rPr>
                <w:rFonts w:ascii="Times New Roman" w:cs="Times New Roman" w:eastAsia="Times New Roman" w:hAnsi="Times New Roman"/>
                <w:sz w:val="15"/>
                <w:szCs w:val="15"/>
                <w:color w:val="231F20"/>
              </w:rPr>
              <w:t>424</w:t>
            </w:r>
          </w:p>
        </w:tc>
        <w:tc>
          <w:tcPr>
            <w:tcW w:w="1680" w:type="dxa"/>
            <w:vAlign w:val="bottom"/>
            <w:gridSpan w:val="3"/>
            <w:shd w:val="clear" w:color="auto" w:fill="D0EBF2"/>
          </w:tcPr>
          <w:p>
            <w:pPr>
              <w:jc w:val="right"/>
              <w:spacing w:after="0"/>
              <w:rPr>
                <w:sz w:val="20"/>
                <w:szCs w:val="20"/>
                <w:color w:val="auto"/>
              </w:rPr>
            </w:pPr>
            <w:r>
              <w:rPr>
                <w:rFonts w:ascii="Times New Roman" w:cs="Times New Roman" w:eastAsia="Times New Roman" w:hAnsi="Times New Roman"/>
                <w:sz w:val="15"/>
                <w:szCs w:val="15"/>
                <w:color w:val="231F20"/>
              </w:rPr>
              <w:t>604</w:t>
            </w:r>
          </w:p>
        </w:tc>
        <w:tc>
          <w:tcPr>
            <w:tcW w:w="960" w:type="dxa"/>
            <w:vAlign w:val="bottom"/>
            <w:gridSpan w:val="2"/>
            <w:shd w:val="clear" w:color="auto" w:fill="D0EBF2"/>
          </w:tcPr>
          <w:p>
            <w:pPr>
              <w:jc w:val="right"/>
              <w:spacing w:after="0"/>
              <w:rPr>
                <w:sz w:val="20"/>
                <w:szCs w:val="20"/>
                <w:color w:val="auto"/>
              </w:rPr>
            </w:pPr>
            <w:r>
              <w:rPr>
                <w:rFonts w:ascii="Times New Roman" w:cs="Times New Roman" w:eastAsia="Times New Roman" w:hAnsi="Times New Roman"/>
                <w:sz w:val="15"/>
                <w:szCs w:val="15"/>
                <w:color w:val="231F20"/>
              </w:rPr>
              <w:t>0.0%</w:t>
            </w:r>
          </w:p>
        </w:tc>
      </w:tr>
      <w:tr>
        <w:trPr>
          <w:trHeight w:val="176"/>
        </w:trPr>
        <w:tc>
          <w:tcPr>
            <w:tcW w:w="1580" w:type="dxa"/>
            <w:vAlign w:val="bottom"/>
            <w:tcBorders>
              <w:top w:val="single" w:sz="8" w:color="FDFDFC"/>
              <w:bottom w:val="single" w:sz="8" w:color="D0EBF2"/>
            </w:tcBorders>
            <w:shd w:val="clear" w:color="auto" w:fill="FDFDFC"/>
          </w:tcPr>
          <w:p>
            <w:pPr>
              <w:spacing w:after="0"/>
              <w:rPr>
                <w:sz w:val="15"/>
                <w:szCs w:val="15"/>
                <w:color w:val="auto"/>
              </w:rPr>
            </w:pPr>
          </w:p>
        </w:tc>
        <w:tc>
          <w:tcPr>
            <w:tcW w:w="2200" w:type="dxa"/>
            <w:vAlign w:val="bottom"/>
            <w:tcBorders>
              <w:top w:val="single" w:sz="8" w:color="FDFDFC"/>
              <w:bottom w:val="single" w:sz="8" w:color="D0EBF2"/>
            </w:tcBorders>
            <w:shd w:val="clear" w:color="auto" w:fill="FDFDFC"/>
          </w:tcPr>
          <w:p>
            <w:pPr>
              <w:spacing w:after="0"/>
              <w:rPr>
                <w:sz w:val="15"/>
                <w:szCs w:val="15"/>
                <w:color w:val="auto"/>
              </w:rPr>
            </w:pPr>
          </w:p>
        </w:tc>
        <w:tc>
          <w:tcPr>
            <w:tcW w:w="800" w:type="dxa"/>
            <w:vAlign w:val="bottom"/>
            <w:tcBorders>
              <w:top w:val="single" w:sz="8" w:color="FDFDFC"/>
              <w:bottom w:val="single" w:sz="8" w:color="D0EBF2"/>
            </w:tcBorders>
            <w:shd w:val="clear" w:color="auto" w:fill="FDFDFC"/>
          </w:tcPr>
          <w:p>
            <w:pPr>
              <w:spacing w:after="0"/>
              <w:rPr>
                <w:sz w:val="15"/>
                <w:szCs w:val="15"/>
                <w:color w:val="auto"/>
              </w:rPr>
            </w:pPr>
          </w:p>
        </w:tc>
        <w:tc>
          <w:tcPr>
            <w:tcW w:w="1000" w:type="dxa"/>
            <w:vAlign w:val="bottom"/>
            <w:tcBorders>
              <w:top w:val="single" w:sz="8" w:color="FDFDFC"/>
              <w:bottom w:val="single" w:sz="8" w:color="D0EBF2"/>
            </w:tcBorders>
            <w:shd w:val="clear" w:color="auto" w:fill="FDFDFC"/>
          </w:tcPr>
          <w:p>
            <w:pPr>
              <w:spacing w:after="0"/>
              <w:rPr>
                <w:sz w:val="15"/>
                <w:szCs w:val="15"/>
                <w:color w:val="auto"/>
              </w:rPr>
            </w:pPr>
          </w:p>
        </w:tc>
        <w:tc>
          <w:tcPr>
            <w:tcW w:w="1060" w:type="dxa"/>
            <w:vAlign w:val="bottom"/>
            <w:tcBorders>
              <w:top w:val="single" w:sz="8" w:color="FDFDFC"/>
              <w:bottom w:val="single" w:sz="8" w:color="D0EBF2"/>
            </w:tcBorders>
            <w:shd w:val="clear" w:color="auto" w:fill="FDFDFC"/>
          </w:tcPr>
          <w:p>
            <w:pPr>
              <w:spacing w:after="0"/>
              <w:rPr>
                <w:sz w:val="15"/>
                <w:szCs w:val="15"/>
                <w:color w:val="auto"/>
              </w:rPr>
            </w:pPr>
          </w:p>
        </w:tc>
        <w:tc>
          <w:tcPr>
            <w:tcW w:w="100" w:type="dxa"/>
            <w:vAlign w:val="bottom"/>
            <w:tcBorders>
              <w:top w:val="single" w:sz="8" w:color="231F20"/>
              <w:bottom w:val="single" w:sz="8" w:color="231F20"/>
            </w:tcBorders>
            <w:shd w:val="clear" w:color="auto" w:fill="FDFDFC"/>
          </w:tcPr>
          <w:p>
            <w:pPr>
              <w:spacing w:after="0"/>
              <w:rPr>
                <w:sz w:val="15"/>
                <w:szCs w:val="15"/>
                <w:color w:val="auto"/>
              </w:rPr>
            </w:pPr>
          </w:p>
        </w:tc>
        <w:tc>
          <w:tcPr>
            <w:tcW w:w="900" w:type="dxa"/>
            <w:vAlign w:val="bottom"/>
            <w:tcBorders>
              <w:top w:val="single" w:sz="8" w:color="231F20"/>
              <w:bottom w:val="single" w:sz="8" w:color="231F20"/>
            </w:tcBorders>
            <w:shd w:val="clear" w:color="auto" w:fill="FDFDFC"/>
          </w:tcPr>
          <w:p>
            <w:pPr>
              <w:jc w:val="right"/>
              <w:spacing w:after="0"/>
              <w:rPr>
                <w:sz w:val="20"/>
                <w:szCs w:val="20"/>
                <w:color w:val="auto"/>
              </w:rPr>
            </w:pPr>
            <w:r>
              <w:rPr>
                <w:rFonts w:ascii="Times New Roman" w:cs="Times New Roman" w:eastAsia="Times New Roman" w:hAnsi="Times New Roman"/>
                <w:sz w:val="15"/>
                <w:szCs w:val="15"/>
                <w:color w:val="231F20"/>
              </w:rPr>
              <w:t>23,071</w:t>
            </w:r>
          </w:p>
        </w:tc>
        <w:tc>
          <w:tcPr>
            <w:tcW w:w="80" w:type="dxa"/>
            <w:vAlign w:val="bottom"/>
            <w:tcBorders>
              <w:top w:val="single" w:sz="8" w:color="FDFDFC"/>
              <w:bottom w:val="single" w:sz="8" w:color="D0EBF2"/>
            </w:tcBorders>
            <w:shd w:val="clear" w:color="auto" w:fill="FDFDFC"/>
          </w:tcPr>
          <w:p>
            <w:pPr>
              <w:spacing w:after="0"/>
              <w:rPr>
                <w:sz w:val="15"/>
                <w:szCs w:val="15"/>
                <w:color w:val="auto"/>
              </w:rPr>
            </w:pPr>
          </w:p>
        </w:tc>
        <w:tc>
          <w:tcPr>
            <w:tcW w:w="1600" w:type="dxa"/>
            <w:vAlign w:val="bottom"/>
            <w:tcBorders>
              <w:top w:val="single" w:sz="8" w:color="231F20"/>
              <w:bottom w:val="single" w:sz="8" w:color="231F20"/>
            </w:tcBorders>
            <w:gridSpan w:val="2"/>
            <w:shd w:val="clear" w:color="auto" w:fill="FDFDFC"/>
          </w:tcPr>
          <w:p>
            <w:pPr>
              <w:jc w:val="right"/>
              <w:spacing w:after="0"/>
              <w:rPr>
                <w:sz w:val="20"/>
                <w:szCs w:val="20"/>
                <w:color w:val="auto"/>
              </w:rPr>
            </w:pPr>
            <w:r>
              <w:rPr>
                <w:rFonts w:ascii="Times New Roman" w:cs="Times New Roman" w:eastAsia="Times New Roman" w:hAnsi="Times New Roman"/>
                <w:sz w:val="15"/>
                <w:szCs w:val="15"/>
                <w:color w:val="231F20"/>
              </w:rPr>
              <w:t>19,489</w:t>
            </w:r>
          </w:p>
        </w:tc>
        <w:tc>
          <w:tcPr>
            <w:tcW w:w="100" w:type="dxa"/>
            <w:vAlign w:val="bottom"/>
            <w:tcBorders>
              <w:top w:val="single" w:sz="8" w:color="FDFDFC"/>
              <w:bottom w:val="single" w:sz="8" w:color="D0EBF2"/>
            </w:tcBorders>
            <w:shd w:val="clear" w:color="auto" w:fill="FDFDFC"/>
          </w:tcPr>
          <w:p>
            <w:pPr>
              <w:spacing w:after="0"/>
              <w:rPr>
                <w:sz w:val="15"/>
                <w:szCs w:val="15"/>
                <w:color w:val="auto"/>
              </w:rPr>
            </w:pPr>
          </w:p>
        </w:tc>
        <w:tc>
          <w:tcPr>
            <w:tcW w:w="860" w:type="dxa"/>
            <w:vAlign w:val="bottom"/>
            <w:tcBorders>
              <w:top w:val="single" w:sz="8" w:color="231F20"/>
              <w:bottom w:val="single" w:sz="8" w:color="231F20"/>
            </w:tcBorders>
            <w:shd w:val="clear" w:color="auto" w:fill="FDFDFC"/>
          </w:tcPr>
          <w:p>
            <w:pPr>
              <w:jc w:val="right"/>
              <w:spacing w:after="0"/>
              <w:rPr>
                <w:sz w:val="20"/>
                <w:szCs w:val="20"/>
                <w:color w:val="auto"/>
              </w:rPr>
            </w:pPr>
            <w:r>
              <w:rPr>
                <w:rFonts w:ascii="Times New Roman" w:cs="Times New Roman" w:eastAsia="Times New Roman" w:hAnsi="Times New Roman"/>
                <w:sz w:val="15"/>
                <w:szCs w:val="15"/>
                <w:color w:val="231F20"/>
              </w:rPr>
              <w:t>1.2%</w:t>
            </w:r>
          </w:p>
        </w:tc>
      </w:tr>
      <w:tr>
        <w:trPr>
          <w:trHeight w:val="176"/>
        </w:trPr>
        <w:tc>
          <w:tcPr>
            <w:tcW w:w="1580" w:type="dxa"/>
            <w:vAlign w:val="bottom"/>
            <w:shd w:val="clear" w:color="auto" w:fill="D0EBF2"/>
          </w:tcPr>
          <w:p>
            <w:pPr>
              <w:spacing w:after="0"/>
              <w:rPr>
                <w:sz w:val="20"/>
                <w:szCs w:val="20"/>
                <w:color w:val="auto"/>
              </w:rPr>
            </w:pPr>
            <w:r>
              <w:rPr>
                <w:rFonts w:ascii="Times New Roman" w:cs="Times New Roman" w:eastAsia="Times New Roman" w:hAnsi="Times New Roman"/>
                <w:sz w:val="15"/>
                <w:szCs w:val="15"/>
                <w:b w:val="1"/>
                <w:bCs w:val="1"/>
                <w:color w:val="231F20"/>
              </w:rPr>
              <w:t>Communications</w:t>
            </w:r>
          </w:p>
        </w:tc>
        <w:tc>
          <w:tcPr>
            <w:tcW w:w="2200" w:type="dxa"/>
            <w:vAlign w:val="bottom"/>
            <w:shd w:val="clear" w:color="auto" w:fill="D0EBF2"/>
          </w:tcPr>
          <w:p>
            <w:pPr>
              <w:spacing w:after="0"/>
              <w:rPr>
                <w:sz w:val="15"/>
                <w:szCs w:val="15"/>
                <w:color w:val="auto"/>
              </w:rPr>
            </w:pPr>
          </w:p>
        </w:tc>
        <w:tc>
          <w:tcPr>
            <w:tcW w:w="800" w:type="dxa"/>
            <w:vAlign w:val="bottom"/>
            <w:shd w:val="clear" w:color="auto" w:fill="D0EBF2"/>
          </w:tcPr>
          <w:p>
            <w:pPr>
              <w:spacing w:after="0"/>
              <w:rPr>
                <w:sz w:val="15"/>
                <w:szCs w:val="15"/>
                <w:color w:val="auto"/>
              </w:rPr>
            </w:pPr>
          </w:p>
        </w:tc>
        <w:tc>
          <w:tcPr>
            <w:tcW w:w="1000" w:type="dxa"/>
            <w:vAlign w:val="bottom"/>
            <w:shd w:val="clear" w:color="auto" w:fill="D0EBF2"/>
          </w:tcPr>
          <w:p>
            <w:pPr>
              <w:spacing w:after="0"/>
              <w:rPr>
                <w:sz w:val="15"/>
                <w:szCs w:val="15"/>
                <w:color w:val="auto"/>
              </w:rPr>
            </w:pPr>
          </w:p>
        </w:tc>
        <w:tc>
          <w:tcPr>
            <w:tcW w:w="1060" w:type="dxa"/>
            <w:vAlign w:val="bottom"/>
            <w:shd w:val="clear" w:color="auto" w:fill="D0EBF2"/>
          </w:tcPr>
          <w:p>
            <w:pPr>
              <w:spacing w:after="0"/>
              <w:rPr>
                <w:sz w:val="15"/>
                <w:szCs w:val="15"/>
                <w:color w:val="auto"/>
              </w:rPr>
            </w:pPr>
          </w:p>
        </w:tc>
        <w:tc>
          <w:tcPr>
            <w:tcW w:w="100" w:type="dxa"/>
            <w:vAlign w:val="bottom"/>
            <w:shd w:val="clear" w:color="auto" w:fill="D0EBF2"/>
          </w:tcPr>
          <w:p>
            <w:pPr>
              <w:spacing w:after="0"/>
              <w:rPr>
                <w:sz w:val="15"/>
                <w:szCs w:val="15"/>
                <w:color w:val="auto"/>
              </w:rPr>
            </w:pPr>
          </w:p>
        </w:tc>
        <w:tc>
          <w:tcPr>
            <w:tcW w:w="900" w:type="dxa"/>
            <w:vAlign w:val="bottom"/>
            <w:shd w:val="clear" w:color="auto" w:fill="D0EBF2"/>
          </w:tcPr>
          <w:p>
            <w:pPr>
              <w:spacing w:after="0"/>
              <w:rPr>
                <w:sz w:val="15"/>
                <w:szCs w:val="15"/>
                <w:color w:val="auto"/>
              </w:rPr>
            </w:pPr>
          </w:p>
        </w:tc>
        <w:tc>
          <w:tcPr>
            <w:tcW w:w="80" w:type="dxa"/>
            <w:vAlign w:val="bottom"/>
            <w:shd w:val="clear" w:color="auto" w:fill="D0EBF2"/>
          </w:tcPr>
          <w:p>
            <w:pPr>
              <w:spacing w:after="0"/>
              <w:rPr>
                <w:sz w:val="15"/>
                <w:szCs w:val="15"/>
                <w:color w:val="auto"/>
              </w:rPr>
            </w:pPr>
          </w:p>
        </w:tc>
        <w:tc>
          <w:tcPr>
            <w:tcW w:w="100" w:type="dxa"/>
            <w:vAlign w:val="bottom"/>
            <w:shd w:val="clear" w:color="auto" w:fill="D0EBF2"/>
          </w:tcPr>
          <w:p>
            <w:pPr>
              <w:spacing w:after="0"/>
              <w:rPr>
                <w:sz w:val="15"/>
                <w:szCs w:val="15"/>
                <w:color w:val="auto"/>
              </w:rPr>
            </w:pPr>
          </w:p>
        </w:tc>
        <w:tc>
          <w:tcPr>
            <w:tcW w:w="1500" w:type="dxa"/>
            <w:vAlign w:val="bottom"/>
            <w:shd w:val="clear" w:color="auto" w:fill="D0EBF2"/>
          </w:tcPr>
          <w:p>
            <w:pPr>
              <w:spacing w:after="0"/>
              <w:rPr>
                <w:sz w:val="15"/>
                <w:szCs w:val="15"/>
                <w:color w:val="auto"/>
              </w:rPr>
            </w:pPr>
          </w:p>
        </w:tc>
        <w:tc>
          <w:tcPr>
            <w:tcW w:w="100" w:type="dxa"/>
            <w:vAlign w:val="bottom"/>
            <w:shd w:val="clear" w:color="auto" w:fill="D0EBF2"/>
          </w:tcPr>
          <w:p>
            <w:pPr>
              <w:spacing w:after="0"/>
              <w:rPr>
                <w:sz w:val="15"/>
                <w:szCs w:val="15"/>
                <w:color w:val="auto"/>
              </w:rPr>
            </w:pPr>
          </w:p>
        </w:tc>
        <w:tc>
          <w:tcPr>
            <w:tcW w:w="860" w:type="dxa"/>
            <w:vAlign w:val="bottom"/>
            <w:shd w:val="clear" w:color="auto" w:fill="D0EBF2"/>
          </w:tcPr>
          <w:p>
            <w:pPr>
              <w:spacing w:after="0"/>
              <w:rPr>
                <w:sz w:val="15"/>
                <w:szCs w:val="15"/>
                <w:color w:val="auto"/>
              </w:rPr>
            </w:pPr>
          </w:p>
        </w:tc>
      </w:tr>
      <w:tr>
        <w:trPr>
          <w:trHeight w:val="171"/>
        </w:trPr>
        <w:tc>
          <w:tcPr>
            <w:tcW w:w="1580" w:type="dxa"/>
            <w:vAlign w:val="bottom"/>
            <w:shd w:val="clear" w:color="auto" w:fill="FDFDFC"/>
          </w:tcPr>
          <w:p>
            <w:pPr>
              <w:spacing w:after="0" w:line="172" w:lineRule="exact"/>
              <w:rPr>
                <w:sz w:val="20"/>
                <w:szCs w:val="20"/>
                <w:color w:val="auto"/>
              </w:rPr>
            </w:pPr>
            <w:r>
              <w:rPr>
                <w:rFonts w:ascii="Times New Roman" w:cs="Times New Roman" w:eastAsia="Times New Roman" w:hAnsi="Times New Roman"/>
                <w:sz w:val="15"/>
                <w:szCs w:val="15"/>
                <w:color w:val="231F20"/>
              </w:rPr>
              <w:t>Celtra Technologies,</w:t>
            </w:r>
          </w:p>
        </w:tc>
        <w:tc>
          <w:tcPr>
            <w:tcW w:w="2200" w:type="dxa"/>
            <w:vAlign w:val="bottom"/>
            <w:shd w:val="clear" w:color="auto" w:fill="FDFDFC"/>
          </w:tcPr>
          <w:p>
            <w:pPr>
              <w:ind w:left="60"/>
              <w:spacing w:after="0" w:line="172" w:lineRule="exact"/>
              <w:rPr>
                <w:sz w:val="20"/>
                <w:szCs w:val="20"/>
                <w:color w:val="auto"/>
              </w:rPr>
            </w:pPr>
            <w:r>
              <w:rPr>
                <w:rFonts w:ascii="Times New Roman" w:cs="Times New Roman" w:eastAsia="Times New Roman" w:hAnsi="Times New Roman"/>
                <w:sz w:val="15"/>
                <w:szCs w:val="15"/>
                <w:color w:val="231F20"/>
              </w:rPr>
              <w:t>Class A Units (1,250,000 units)</w:t>
            </w:r>
          </w:p>
        </w:tc>
        <w:tc>
          <w:tcPr>
            <w:tcW w:w="800" w:type="dxa"/>
            <w:vAlign w:val="bottom"/>
            <w:shd w:val="clear" w:color="auto" w:fill="FDFDFC"/>
          </w:tcPr>
          <w:p>
            <w:pPr>
              <w:jc w:val="right"/>
              <w:spacing w:after="0" w:line="172" w:lineRule="exact"/>
              <w:rPr>
                <w:sz w:val="20"/>
                <w:szCs w:val="20"/>
                <w:color w:val="auto"/>
              </w:rPr>
            </w:pPr>
            <w:r>
              <w:rPr>
                <w:rFonts w:ascii="Times New Roman" w:cs="Times New Roman" w:eastAsia="Times New Roman" w:hAnsi="Times New Roman"/>
                <w:sz w:val="15"/>
                <w:szCs w:val="15"/>
                <w:color w:val="231F20"/>
              </w:rPr>
              <w:t>11/19/2021</w:t>
            </w:r>
          </w:p>
        </w:tc>
        <w:tc>
          <w:tcPr>
            <w:tcW w:w="1000" w:type="dxa"/>
            <w:vAlign w:val="bottom"/>
            <w:shd w:val="clear" w:color="auto" w:fill="FDFDFC"/>
          </w:tcPr>
          <w:p>
            <w:pPr>
              <w:spacing w:after="0"/>
              <w:rPr>
                <w:sz w:val="14"/>
                <w:szCs w:val="14"/>
                <w:color w:val="auto"/>
              </w:rPr>
            </w:pPr>
          </w:p>
        </w:tc>
        <w:tc>
          <w:tcPr>
            <w:tcW w:w="1060" w:type="dxa"/>
            <w:vAlign w:val="bottom"/>
            <w:shd w:val="clear" w:color="auto" w:fill="FDFDFC"/>
          </w:tcPr>
          <w:p>
            <w:pPr>
              <w:spacing w:after="0"/>
              <w:rPr>
                <w:sz w:val="14"/>
                <w:szCs w:val="14"/>
                <w:color w:val="auto"/>
              </w:rPr>
            </w:pPr>
          </w:p>
        </w:tc>
        <w:tc>
          <w:tcPr>
            <w:tcW w:w="100" w:type="dxa"/>
            <w:vAlign w:val="bottom"/>
            <w:shd w:val="clear" w:color="auto" w:fill="FDFDFC"/>
          </w:tcPr>
          <w:p>
            <w:pPr>
              <w:spacing w:after="0"/>
              <w:rPr>
                <w:sz w:val="14"/>
                <w:szCs w:val="14"/>
                <w:color w:val="auto"/>
              </w:rPr>
            </w:pPr>
          </w:p>
        </w:tc>
        <w:tc>
          <w:tcPr>
            <w:tcW w:w="900" w:type="dxa"/>
            <w:vAlign w:val="bottom"/>
            <w:shd w:val="clear" w:color="auto" w:fill="FDFDFC"/>
          </w:tcPr>
          <w:p>
            <w:pPr>
              <w:jc w:val="right"/>
              <w:spacing w:after="0" w:line="172" w:lineRule="exact"/>
              <w:rPr>
                <w:sz w:val="20"/>
                <w:szCs w:val="20"/>
                <w:color w:val="auto"/>
              </w:rPr>
            </w:pPr>
            <w:r>
              <w:rPr>
                <w:rFonts w:ascii="Times New Roman" w:cs="Times New Roman" w:eastAsia="Times New Roman" w:hAnsi="Times New Roman"/>
                <w:sz w:val="15"/>
                <w:szCs w:val="15"/>
                <w:color w:val="231F20"/>
              </w:rPr>
              <w:t>1,250</w:t>
            </w:r>
          </w:p>
        </w:tc>
        <w:tc>
          <w:tcPr>
            <w:tcW w:w="80" w:type="dxa"/>
            <w:vAlign w:val="bottom"/>
            <w:shd w:val="clear" w:color="auto" w:fill="FDFDFC"/>
          </w:tcPr>
          <w:p>
            <w:pPr>
              <w:spacing w:after="0"/>
              <w:rPr>
                <w:sz w:val="14"/>
                <w:szCs w:val="14"/>
                <w:color w:val="auto"/>
              </w:rPr>
            </w:pPr>
          </w:p>
        </w:tc>
        <w:tc>
          <w:tcPr>
            <w:tcW w:w="1600" w:type="dxa"/>
            <w:vAlign w:val="bottom"/>
            <w:gridSpan w:val="2"/>
            <w:shd w:val="clear" w:color="auto" w:fill="FDFDFC"/>
          </w:tcPr>
          <w:p>
            <w:pPr>
              <w:jc w:val="right"/>
              <w:spacing w:after="0" w:line="172" w:lineRule="exact"/>
              <w:rPr>
                <w:sz w:val="20"/>
                <w:szCs w:val="20"/>
                <w:color w:val="auto"/>
              </w:rPr>
            </w:pPr>
            <w:r>
              <w:rPr>
                <w:rFonts w:ascii="Times New Roman" w:cs="Times New Roman" w:eastAsia="Times New Roman" w:hAnsi="Times New Roman"/>
                <w:sz w:val="15"/>
                <w:szCs w:val="15"/>
                <w:color w:val="231F20"/>
              </w:rPr>
              <w:t>1,250</w:t>
            </w:r>
          </w:p>
        </w:tc>
        <w:tc>
          <w:tcPr>
            <w:tcW w:w="100" w:type="dxa"/>
            <w:vAlign w:val="bottom"/>
            <w:shd w:val="clear" w:color="auto" w:fill="FDFDFC"/>
          </w:tcPr>
          <w:p>
            <w:pPr>
              <w:spacing w:after="0"/>
              <w:rPr>
                <w:sz w:val="14"/>
                <w:szCs w:val="14"/>
                <w:color w:val="auto"/>
              </w:rPr>
            </w:pPr>
          </w:p>
        </w:tc>
        <w:tc>
          <w:tcPr>
            <w:tcW w:w="860" w:type="dxa"/>
            <w:vAlign w:val="bottom"/>
            <w:shd w:val="clear" w:color="auto" w:fill="FDFDFC"/>
          </w:tcPr>
          <w:p>
            <w:pPr>
              <w:jc w:val="right"/>
              <w:spacing w:after="0" w:line="172" w:lineRule="exact"/>
              <w:rPr>
                <w:sz w:val="20"/>
                <w:szCs w:val="20"/>
                <w:color w:val="auto"/>
              </w:rPr>
            </w:pPr>
            <w:r>
              <w:rPr>
                <w:rFonts w:ascii="Times New Roman" w:cs="Times New Roman" w:eastAsia="Times New Roman" w:hAnsi="Times New Roman"/>
                <w:sz w:val="15"/>
                <w:szCs w:val="15"/>
                <w:color w:val="231F20"/>
              </w:rPr>
              <w:t>0.1%</w:t>
            </w:r>
          </w:p>
        </w:tc>
      </w:tr>
      <w:tr>
        <w:trPr>
          <w:trHeight w:val="189"/>
        </w:trPr>
        <w:tc>
          <w:tcPr>
            <w:tcW w:w="1580" w:type="dxa"/>
            <w:vAlign w:val="bottom"/>
            <w:shd w:val="clear" w:color="auto" w:fill="FDFDFC"/>
          </w:tcPr>
          <w:p>
            <w:pPr>
              <w:spacing w:after="0" w:line="189" w:lineRule="exact"/>
              <w:rPr>
                <w:sz w:val="20"/>
                <w:szCs w:val="20"/>
                <w:color w:val="auto"/>
              </w:rPr>
            </w:pPr>
            <w:r>
              <w:rPr>
                <w:rFonts w:ascii="Times New Roman" w:cs="Times New Roman" w:eastAsia="Times New Roman" w:hAnsi="Times New Roman"/>
                <w:sz w:val="15"/>
                <w:szCs w:val="15"/>
                <w:color w:val="231F20"/>
              </w:rPr>
              <w:t xml:space="preserve">Inc. </w:t>
            </w:r>
            <w:r>
              <w:rPr>
                <w:rFonts w:ascii="Times New Roman" w:cs="Times New Roman" w:eastAsia="Times New Roman" w:hAnsi="Times New Roman"/>
                <w:sz w:val="18"/>
                <w:szCs w:val="18"/>
                <w:color w:val="231F20"/>
                <w:vertAlign w:val="superscript"/>
              </w:rPr>
              <w:t>(11)</w:t>
            </w:r>
          </w:p>
        </w:tc>
        <w:tc>
          <w:tcPr>
            <w:tcW w:w="2200" w:type="dxa"/>
            <w:vAlign w:val="bottom"/>
            <w:shd w:val="clear" w:color="auto" w:fill="FDFDFC"/>
          </w:tcPr>
          <w:p>
            <w:pPr>
              <w:spacing w:after="0"/>
              <w:rPr>
                <w:sz w:val="16"/>
                <w:szCs w:val="16"/>
                <w:color w:val="auto"/>
              </w:rPr>
            </w:pPr>
          </w:p>
        </w:tc>
        <w:tc>
          <w:tcPr>
            <w:tcW w:w="800" w:type="dxa"/>
            <w:vAlign w:val="bottom"/>
            <w:shd w:val="clear" w:color="auto" w:fill="FDFDFC"/>
          </w:tcPr>
          <w:p>
            <w:pPr>
              <w:spacing w:after="0"/>
              <w:rPr>
                <w:sz w:val="16"/>
                <w:szCs w:val="16"/>
                <w:color w:val="auto"/>
              </w:rPr>
            </w:pPr>
          </w:p>
        </w:tc>
        <w:tc>
          <w:tcPr>
            <w:tcW w:w="1000" w:type="dxa"/>
            <w:vAlign w:val="bottom"/>
            <w:shd w:val="clear" w:color="auto" w:fill="FDFDFC"/>
          </w:tcPr>
          <w:p>
            <w:pPr>
              <w:spacing w:after="0"/>
              <w:rPr>
                <w:sz w:val="16"/>
                <w:szCs w:val="16"/>
                <w:color w:val="auto"/>
              </w:rPr>
            </w:pPr>
          </w:p>
        </w:tc>
        <w:tc>
          <w:tcPr>
            <w:tcW w:w="1060" w:type="dxa"/>
            <w:vAlign w:val="bottom"/>
            <w:shd w:val="clear" w:color="auto" w:fill="FDFDFC"/>
          </w:tcPr>
          <w:p>
            <w:pPr>
              <w:spacing w:after="0"/>
              <w:rPr>
                <w:sz w:val="16"/>
                <w:szCs w:val="16"/>
                <w:color w:val="auto"/>
              </w:rPr>
            </w:pPr>
          </w:p>
        </w:tc>
        <w:tc>
          <w:tcPr>
            <w:tcW w:w="100" w:type="dxa"/>
            <w:vAlign w:val="bottom"/>
            <w:shd w:val="clear" w:color="auto" w:fill="FDFDFC"/>
          </w:tcPr>
          <w:p>
            <w:pPr>
              <w:spacing w:after="0"/>
              <w:rPr>
                <w:sz w:val="16"/>
                <w:szCs w:val="16"/>
                <w:color w:val="auto"/>
              </w:rPr>
            </w:pPr>
          </w:p>
        </w:tc>
        <w:tc>
          <w:tcPr>
            <w:tcW w:w="900" w:type="dxa"/>
            <w:vAlign w:val="bottom"/>
            <w:shd w:val="clear" w:color="auto" w:fill="FDFDFC"/>
          </w:tcPr>
          <w:p>
            <w:pPr>
              <w:spacing w:after="0"/>
              <w:rPr>
                <w:sz w:val="16"/>
                <w:szCs w:val="16"/>
                <w:color w:val="auto"/>
              </w:rPr>
            </w:pPr>
          </w:p>
        </w:tc>
        <w:tc>
          <w:tcPr>
            <w:tcW w:w="80" w:type="dxa"/>
            <w:vAlign w:val="bottom"/>
            <w:shd w:val="clear" w:color="auto" w:fill="FDFDFC"/>
          </w:tcPr>
          <w:p>
            <w:pPr>
              <w:spacing w:after="0"/>
              <w:rPr>
                <w:sz w:val="16"/>
                <w:szCs w:val="16"/>
                <w:color w:val="auto"/>
              </w:rPr>
            </w:pPr>
          </w:p>
        </w:tc>
        <w:tc>
          <w:tcPr>
            <w:tcW w:w="100" w:type="dxa"/>
            <w:vAlign w:val="bottom"/>
            <w:shd w:val="clear" w:color="auto" w:fill="FDFDFC"/>
          </w:tcPr>
          <w:p>
            <w:pPr>
              <w:spacing w:after="0"/>
              <w:rPr>
                <w:sz w:val="16"/>
                <w:szCs w:val="16"/>
                <w:color w:val="auto"/>
              </w:rPr>
            </w:pPr>
          </w:p>
        </w:tc>
        <w:tc>
          <w:tcPr>
            <w:tcW w:w="1500" w:type="dxa"/>
            <w:vAlign w:val="bottom"/>
            <w:shd w:val="clear" w:color="auto" w:fill="FDFDFC"/>
          </w:tcPr>
          <w:p>
            <w:pPr>
              <w:spacing w:after="0"/>
              <w:rPr>
                <w:sz w:val="16"/>
                <w:szCs w:val="16"/>
                <w:color w:val="auto"/>
              </w:rPr>
            </w:pPr>
          </w:p>
        </w:tc>
        <w:tc>
          <w:tcPr>
            <w:tcW w:w="100" w:type="dxa"/>
            <w:vAlign w:val="bottom"/>
            <w:shd w:val="clear" w:color="auto" w:fill="FDFDFC"/>
          </w:tcPr>
          <w:p>
            <w:pPr>
              <w:spacing w:after="0"/>
              <w:rPr>
                <w:sz w:val="16"/>
                <w:szCs w:val="16"/>
                <w:color w:val="auto"/>
              </w:rPr>
            </w:pPr>
          </w:p>
        </w:tc>
        <w:tc>
          <w:tcPr>
            <w:tcW w:w="860" w:type="dxa"/>
            <w:vAlign w:val="bottom"/>
            <w:shd w:val="clear" w:color="auto" w:fill="FDFDFC"/>
          </w:tcPr>
          <w:p>
            <w:pPr>
              <w:spacing w:after="0"/>
              <w:rPr>
                <w:sz w:val="16"/>
                <w:szCs w:val="16"/>
                <w:color w:val="auto"/>
              </w:rPr>
            </w:pPr>
          </w:p>
        </w:tc>
      </w:tr>
    </w:tbl>
    <w:p>
      <w:pPr>
        <w:spacing w:after="0" w:line="200" w:lineRule="exact"/>
        <w:rPr>
          <w:sz w:val="20"/>
          <w:szCs w:val="20"/>
          <w:color w:val="auto"/>
        </w:rPr>
      </w:pPr>
    </w:p>
    <w:p>
      <w:pPr>
        <w:sectPr>
          <w:pgSz w:w="12240" w:h="15840" w:orient="portrait"/>
          <w:cols w:equalWidth="0" w:num="1">
            <w:col w:w="10280"/>
          </w:cols>
          <w:pgMar w:left="980" w:top="1336" w:right="980" w:bottom="574" w:gutter="0" w:footer="0" w:header="0"/>
        </w:sectPr>
      </w:pPr>
    </w:p>
    <w:p>
      <w:pPr>
        <w:spacing w:after="0" w:line="1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231F20"/>
        </w:rPr>
        <w:t>F-11</w:t>
      </w:r>
    </w:p>
    <w:p>
      <w:pPr>
        <w:sectPr>
          <w:pgSz w:w="12240" w:h="15840" w:orient="portrait"/>
          <w:cols w:equalWidth="0" w:num="1">
            <w:col w:w="10280"/>
          </w:cols>
          <w:pgMar w:left="980" w:top="1336" w:right="980" w:bottom="574" w:gutter="0" w:footer="0" w:header="0"/>
          <w:type w:val="continuous"/>
        </w:sectPr>
      </w:pPr>
    </w:p>
    <w:bookmarkStart w:id="99" w:name="page100"/>
    <w:bookmarkEnd w:id="99"/>
    <w:tbl>
      <w:tblPr>
        <w:tblLayout w:type="fixed"/>
        <w:tblInd w:w="0" w:type="dxa"/>
        <w:tblCellMar>
          <w:top w:w="0" w:type="dxa"/>
          <w:left w:w="0" w:type="dxa"/>
          <w:bottom w:w="0" w:type="dxa"/>
          <w:right w:w="0" w:type="dxa"/>
        </w:tblCellMar>
      </w:tblPr>
      <w:tr>
        <w:trPr>
          <w:trHeight w:val="172"/>
        </w:trPr>
        <w:tc>
          <w:tcPr>
            <w:tcW w:w="1580" w:type="dxa"/>
            <w:vAlign w:val="bottom"/>
            <w:shd w:val="clear" w:color="auto" w:fill="D0EBF2"/>
          </w:tcPr>
          <w:p>
            <w:pPr>
              <w:spacing w:after="0"/>
              <w:rPr>
                <w:sz w:val="20"/>
                <w:szCs w:val="20"/>
                <w:color w:val="auto"/>
              </w:rPr>
            </w:pPr>
            <w:r>
              <w:rPr>
                <w:rFonts w:ascii="Times New Roman" w:cs="Times New Roman" w:eastAsia="Times New Roman" w:hAnsi="Times New Roman"/>
                <w:sz w:val="15"/>
                <w:szCs w:val="15"/>
                <w:color w:val="231F20"/>
              </w:rPr>
              <w:t>IntelePeer Holdings, Inc.</w:t>
            </w:r>
          </w:p>
        </w:tc>
        <w:tc>
          <w:tcPr>
            <w:tcW w:w="2200" w:type="dxa"/>
            <w:vAlign w:val="bottom"/>
            <w:shd w:val="clear" w:color="auto" w:fill="D0EBF2"/>
          </w:tcPr>
          <w:p>
            <w:pPr>
              <w:ind w:left="60"/>
              <w:spacing w:after="0"/>
              <w:rPr>
                <w:sz w:val="20"/>
                <w:szCs w:val="20"/>
                <w:color w:val="auto"/>
              </w:rPr>
            </w:pPr>
            <w:r>
              <w:rPr>
                <w:rFonts w:ascii="Times New Roman" w:cs="Times New Roman" w:eastAsia="Times New Roman" w:hAnsi="Times New Roman"/>
                <w:sz w:val="15"/>
                <w:szCs w:val="15"/>
                <w:color w:val="231F20"/>
              </w:rPr>
              <w:t>Series C Preferred Shares</w:t>
            </w:r>
          </w:p>
        </w:tc>
        <w:tc>
          <w:tcPr>
            <w:tcW w:w="800" w:type="dxa"/>
            <w:vAlign w:val="bottom"/>
            <w:shd w:val="clear" w:color="auto" w:fill="D0EBF2"/>
          </w:tcPr>
          <w:p>
            <w:pPr>
              <w:jc w:val="right"/>
              <w:spacing w:after="0"/>
              <w:rPr>
                <w:sz w:val="20"/>
                <w:szCs w:val="20"/>
                <w:color w:val="auto"/>
              </w:rPr>
            </w:pPr>
            <w:r>
              <w:rPr>
                <w:rFonts w:ascii="Times New Roman" w:cs="Times New Roman" w:eastAsia="Times New Roman" w:hAnsi="Times New Roman"/>
                <w:sz w:val="15"/>
                <w:szCs w:val="15"/>
                <w:color w:val="231F20"/>
              </w:rPr>
              <w:t>4/8/2021</w:t>
            </w:r>
          </w:p>
        </w:tc>
        <w:tc>
          <w:tcPr>
            <w:tcW w:w="1160" w:type="dxa"/>
            <w:vAlign w:val="bottom"/>
            <w:shd w:val="clear" w:color="auto" w:fill="D0EBF2"/>
          </w:tcPr>
          <w:p>
            <w:pPr>
              <w:spacing w:after="0"/>
              <w:rPr>
                <w:sz w:val="15"/>
                <w:szCs w:val="15"/>
                <w:color w:val="auto"/>
              </w:rPr>
            </w:pPr>
          </w:p>
        </w:tc>
        <w:tc>
          <w:tcPr>
            <w:tcW w:w="900" w:type="dxa"/>
            <w:vAlign w:val="bottom"/>
            <w:shd w:val="clear" w:color="auto" w:fill="D0EBF2"/>
          </w:tcPr>
          <w:p>
            <w:pPr>
              <w:spacing w:after="0"/>
              <w:rPr>
                <w:sz w:val="15"/>
                <w:szCs w:val="15"/>
                <w:color w:val="auto"/>
              </w:rPr>
            </w:pPr>
          </w:p>
        </w:tc>
        <w:tc>
          <w:tcPr>
            <w:tcW w:w="1000" w:type="dxa"/>
            <w:vAlign w:val="bottom"/>
            <w:shd w:val="clear" w:color="auto" w:fill="D0EBF2"/>
          </w:tcPr>
          <w:p>
            <w:pPr>
              <w:jc w:val="right"/>
              <w:spacing w:after="0"/>
              <w:rPr>
                <w:sz w:val="20"/>
                <w:szCs w:val="20"/>
                <w:color w:val="auto"/>
              </w:rPr>
            </w:pPr>
            <w:r>
              <w:rPr>
                <w:rFonts w:ascii="Times New Roman" w:cs="Times New Roman" w:eastAsia="Times New Roman" w:hAnsi="Times New Roman"/>
                <w:sz w:val="15"/>
                <w:szCs w:val="15"/>
                <w:color w:val="231F20"/>
              </w:rPr>
              <w:t>1,816</w:t>
            </w:r>
          </w:p>
        </w:tc>
        <w:tc>
          <w:tcPr>
            <w:tcW w:w="1680" w:type="dxa"/>
            <w:vAlign w:val="bottom"/>
            <w:gridSpan w:val="2"/>
            <w:shd w:val="clear" w:color="auto" w:fill="D0EBF2"/>
          </w:tcPr>
          <w:p>
            <w:pPr>
              <w:jc w:val="right"/>
              <w:spacing w:after="0"/>
              <w:rPr>
                <w:sz w:val="20"/>
                <w:szCs w:val="20"/>
                <w:color w:val="auto"/>
              </w:rPr>
            </w:pPr>
            <w:r>
              <w:rPr>
                <w:rFonts w:ascii="Times New Roman" w:cs="Times New Roman" w:eastAsia="Times New Roman" w:hAnsi="Times New Roman"/>
                <w:sz w:val="15"/>
                <w:szCs w:val="15"/>
                <w:color w:val="231F20"/>
              </w:rPr>
              <w:t>1,535</w:t>
            </w:r>
          </w:p>
        </w:tc>
        <w:tc>
          <w:tcPr>
            <w:tcW w:w="960" w:type="dxa"/>
            <w:vAlign w:val="bottom"/>
            <w:gridSpan w:val="2"/>
            <w:shd w:val="clear" w:color="auto" w:fill="D0EBF2"/>
          </w:tcPr>
          <w:p>
            <w:pPr>
              <w:jc w:val="right"/>
              <w:spacing w:after="0"/>
              <w:rPr>
                <w:sz w:val="20"/>
                <w:szCs w:val="20"/>
                <w:color w:val="auto"/>
              </w:rPr>
            </w:pPr>
            <w:r>
              <w:rPr>
                <w:rFonts w:ascii="Times New Roman" w:cs="Times New Roman" w:eastAsia="Times New Roman" w:hAnsi="Times New Roman"/>
                <w:sz w:val="15"/>
                <w:szCs w:val="15"/>
                <w:color w:val="231F20"/>
              </w:rPr>
              <w:t>0.1%</w:t>
            </w:r>
          </w:p>
        </w:tc>
      </w:tr>
      <w:tr>
        <w:trPr>
          <w:trHeight w:val="189"/>
        </w:trPr>
        <w:tc>
          <w:tcPr>
            <w:tcW w:w="1580" w:type="dxa"/>
            <w:vAlign w:val="bottom"/>
            <w:shd w:val="clear" w:color="auto" w:fill="D0EBF2"/>
          </w:tcPr>
          <w:p>
            <w:pPr>
              <w:spacing w:after="0"/>
              <w:rPr>
                <w:sz w:val="20"/>
                <w:szCs w:val="20"/>
                <w:color w:val="auto"/>
              </w:rPr>
            </w:pPr>
            <w:r>
              <w:rPr>
                <w:rFonts w:ascii="Times New Roman" w:cs="Times New Roman" w:eastAsia="Times New Roman" w:hAnsi="Times New Roman"/>
                <w:sz w:val="9"/>
                <w:szCs w:val="9"/>
                <w:color w:val="231F20"/>
              </w:rPr>
              <w:t>(11)</w:t>
            </w:r>
          </w:p>
        </w:tc>
        <w:tc>
          <w:tcPr>
            <w:tcW w:w="2200" w:type="dxa"/>
            <w:vAlign w:val="bottom"/>
            <w:shd w:val="clear" w:color="auto" w:fill="D0EBF2"/>
          </w:tcPr>
          <w:p>
            <w:pPr>
              <w:ind w:left="60"/>
              <w:spacing w:after="0"/>
              <w:rPr>
                <w:sz w:val="20"/>
                <w:szCs w:val="20"/>
                <w:color w:val="auto"/>
              </w:rPr>
            </w:pPr>
            <w:r>
              <w:rPr>
                <w:rFonts w:ascii="Times New Roman" w:cs="Times New Roman" w:eastAsia="Times New Roman" w:hAnsi="Times New Roman"/>
                <w:sz w:val="15"/>
                <w:szCs w:val="15"/>
                <w:color w:val="231F20"/>
              </w:rPr>
              <w:t>(1,816,295 shares)</w:t>
            </w:r>
          </w:p>
        </w:tc>
        <w:tc>
          <w:tcPr>
            <w:tcW w:w="800" w:type="dxa"/>
            <w:vAlign w:val="bottom"/>
            <w:shd w:val="clear" w:color="auto" w:fill="D0EBF2"/>
          </w:tcPr>
          <w:p>
            <w:pPr>
              <w:spacing w:after="0"/>
              <w:rPr>
                <w:sz w:val="16"/>
                <w:szCs w:val="16"/>
                <w:color w:val="auto"/>
              </w:rPr>
            </w:pPr>
          </w:p>
        </w:tc>
        <w:tc>
          <w:tcPr>
            <w:tcW w:w="1160" w:type="dxa"/>
            <w:vAlign w:val="bottom"/>
            <w:shd w:val="clear" w:color="auto" w:fill="D0EBF2"/>
          </w:tcPr>
          <w:p>
            <w:pPr>
              <w:spacing w:after="0"/>
              <w:rPr>
                <w:sz w:val="16"/>
                <w:szCs w:val="16"/>
                <w:color w:val="auto"/>
              </w:rPr>
            </w:pPr>
          </w:p>
        </w:tc>
        <w:tc>
          <w:tcPr>
            <w:tcW w:w="900" w:type="dxa"/>
            <w:vAlign w:val="bottom"/>
            <w:shd w:val="clear" w:color="auto" w:fill="D0EBF2"/>
          </w:tcPr>
          <w:p>
            <w:pPr>
              <w:spacing w:after="0"/>
              <w:rPr>
                <w:sz w:val="16"/>
                <w:szCs w:val="16"/>
                <w:color w:val="auto"/>
              </w:rPr>
            </w:pPr>
          </w:p>
        </w:tc>
        <w:tc>
          <w:tcPr>
            <w:tcW w:w="1000" w:type="dxa"/>
            <w:vAlign w:val="bottom"/>
            <w:shd w:val="clear" w:color="auto" w:fill="D0EBF2"/>
          </w:tcPr>
          <w:p>
            <w:pPr>
              <w:spacing w:after="0"/>
              <w:rPr>
                <w:sz w:val="16"/>
                <w:szCs w:val="16"/>
                <w:color w:val="auto"/>
              </w:rPr>
            </w:pPr>
          </w:p>
        </w:tc>
        <w:tc>
          <w:tcPr>
            <w:tcW w:w="80" w:type="dxa"/>
            <w:vAlign w:val="bottom"/>
            <w:shd w:val="clear" w:color="auto" w:fill="D0EBF2"/>
          </w:tcPr>
          <w:p>
            <w:pPr>
              <w:spacing w:after="0"/>
              <w:rPr>
                <w:sz w:val="16"/>
                <w:szCs w:val="16"/>
                <w:color w:val="auto"/>
              </w:rPr>
            </w:pPr>
          </w:p>
        </w:tc>
        <w:tc>
          <w:tcPr>
            <w:tcW w:w="1600" w:type="dxa"/>
            <w:vAlign w:val="bottom"/>
            <w:shd w:val="clear" w:color="auto" w:fill="D0EBF2"/>
          </w:tcPr>
          <w:p>
            <w:pPr>
              <w:spacing w:after="0"/>
              <w:rPr>
                <w:sz w:val="16"/>
                <w:szCs w:val="16"/>
                <w:color w:val="auto"/>
              </w:rPr>
            </w:pPr>
          </w:p>
        </w:tc>
        <w:tc>
          <w:tcPr>
            <w:tcW w:w="100" w:type="dxa"/>
            <w:vAlign w:val="bottom"/>
            <w:shd w:val="clear" w:color="auto" w:fill="D0EBF2"/>
          </w:tcPr>
          <w:p>
            <w:pPr>
              <w:spacing w:after="0"/>
              <w:rPr>
                <w:sz w:val="16"/>
                <w:szCs w:val="16"/>
                <w:color w:val="auto"/>
              </w:rPr>
            </w:pPr>
          </w:p>
        </w:tc>
        <w:tc>
          <w:tcPr>
            <w:tcW w:w="860" w:type="dxa"/>
            <w:vAlign w:val="bottom"/>
            <w:shd w:val="clear" w:color="auto" w:fill="D0EBF2"/>
          </w:tcPr>
          <w:p>
            <w:pPr>
              <w:spacing w:after="0"/>
              <w:rPr>
                <w:sz w:val="16"/>
                <w:szCs w:val="16"/>
                <w:color w:val="auto"/>
              </w:rPr>
            </w:pPr>
          </w:p>
        </w:tc>
      </w:tr>
      <w:tr>
        <w:trPr>
          <w:trHeight w:val="171"/>
        </w:trPr>
        <w:tc>
          <w:tcPr>
            <w:tcW w:w="1580" w:type="dxa"/>
            <w:vAlign w:val="bottom"/>
            <w:shd w:val="clear" w:color="auto" w:fill="FDFDFC"/>
          </w:tcPr>
          <w:p>
            <w:pPr>
              <w:spacing w:after="0"/>
              <w:rPr>
                <w:sz w:val="14"/>
                <w:szCs w:val="14"/>
                <w:color w:val="auto"/>
              </w:rPr>
            </w:pPr>
          </w:p>
        </w:tc>
        <w:tc>
          <w:tcPr>
            <w:tcW w:w="2200" w:type="dxa"/>
            <w:vAlign w:val="bottom"/>
            <w:shd w:val="clear" w:color="auto" w:fill="FDFDFC"/>
          </w:tcPr>
          <w:p>
            <w:pPr>
              <w:ind w:left="60"/>
              <w:spacing w:after="0" w:line="172" w:lineRule="exact"/>
              <w:rPr>
                <w:sz w:val="20"/>
                <w:szCs w:val="20"/>
                <w:color w:val="auto"/>
              </w:rPr>
            </w:pPr>
            <w:r>
              <w:rPr>
                <w:rFonts w:ascii="Times New Roman" w:cs="Times New Roman" w:eastAsia="Times New Roman" w:hAnsi="Times New Roman"/>
                <w:sz w:val="15"/>
                <w:szCs w:val="15"/>
                <w:color w:val="231F20"/>
              </w:rPr>
              <w:t>Series D Preferred Shares</w:t>
            </w:r>
          </w:p>
        </w:tc>
        <w:tc>
          <w:tcPr>
            <w:tcW w:w="800" w:type="dxa"/>
            <w:vAlign w:val="bottom"/>
            <w:shd w:val="clear" w:color="auto" w:fill="FDFDFC"/>
          </w:tcPr>
          <w:p>
            <w:pPr>
              <w:jc w:val="right"/>
              <w:spacing w:after="0" w:line="172" w:lineRule="exact"/>
              <w:rPr>
                <w:sz w:val="20"/>
                <w:szCs w:val="20"/>
                <w:color w:val="auto"/>
              </w:rPr>
            </w:pPr>
            <w:r>
              <w:rPr>
                <w:rFonts w:ascii="Times New Roman" w:cs="Times New Roman" w:eastAsia="Times New Roman" w:hAnsi="Times New Roman"/>
                <w:sz w:val="15"/>
                <w:szCs w:val="15"/>
                <w:color w:val="231F20"/>
              </w:rPr>
              <w:t>4/8/2021</w:t>
            </w:r>
          </w:p>
        </w:tc>
        <w:tc>
          <w:tcPr>
            <w:tcW w:w="1160" w:type="dxa"/>
            <w:vAlign w:val="bottom"/>
            <w:shd w:val="clear" w:color="auto" w:fill="FDFDFC"/>
          </w:tcPr>
          <w:p>
            <w:pPr>
              <w:spacing w:after="0"/>
              <w:rPr>
                <w:sz w:val="14"/>
                <w:szCs w:val="14"/>
                <w:color w:val="auto"/>
              </w:rPr>
            </w:pPr>
          </w:p>
        </w:tc>
        <w:tc>
          <w:tcPr>
            <w:tcW w:w="900" w:type="dxa"/>
            <w:vAlign w:val="bottom"/>
            <w:shd w:val="clear" w:color="auto" w:fill="FDFDFC"/>
          </w:tcPr>
          <w:p>
            <w:pPr>
              <w:spacing w:after="0"/>
              <w:rPr>
                <w:sz w:val="14"/>
                <w:szCs w:val="14"/>
                <w:color w:val="auto"/>
              </w:rPr>
            </w:pPr>
          </w:p>
        </w:tc>
        <w:tc>
          <w:tcPr>
            <w:tcW w:w="1000" w:type="dxa"/>
            <w:vAlign w:val="bottom"/>
            <w:shd w:val="clear" w:color="auto" w:fill="FDFDFC"/>
          </w:tcPr>
          <w:p>
            <w:pPr>
              <w:jc w:val="right"/>
              <w:spacing w:after="0" w:line="172" w:lineRule="exact"/>
              <w:rPr>
                <w:sz w:val="20"/>
                <w:szCs w:val="20"/>
                <w:color w:val="auto"/>
              </w:rPr>
            </w:pPr>
            <w:r>
              <w:rPr>
                <w:rFonts w:ascii="Times New Roman" w:cs="Times New Roman" w:eastAsia="Times New Roman" w:hAnsi="Times New Roman"/>
                <w:sz w:val="15"/>
                <w:szCs w:val="15"/>
                <w:color w:val="231F20"/>
              </w:rPr>
              <w:t>2,925</w:t>
            </w:r>
          </w:p>
        </w:tc>
        <w:tc>
          <w:tcPr>
            <w:tcW w:w="1680" w:type="dxa"/>
            <w:vAlign w:val="bottom"/>
            <w:gridSpan w:val="2"/>
            <w:shd w:val="clear" w:color="auto" w:fill="FDFDFC"/>
          </w:tcPr>
          <w:p>
            <w:pPr>
              <w:jc w:val="right"/>
              <w:spacing w:after="0" w:line="172" w:lineRule="exact"/>
              <w:rPr>
                <w:sz w:val="20"/>
                <w:szCs w:val="20"/>
                <w:color w:val="auto"/>
              </w:rPr>
            </w:pPr>
            <w:r>
              <w:rPr>
                <w:rFonts w:ascii="Times New Roman" w:cs="Times New Roman" w:eastAsia="Times New Roman" w:hAnsi="Times New Roman"/>
                <w:sz w:val="15"/>
                <w:szCs w:val="15"/>
                <w:color w:val="231F20"/>
              </w:rPr>
              <w:t>1,653</w:t>
            </w:r>
          </w:p>
        </w:tc>
        <w:tc>
          <w:tcPr>
            <w:tcW w:w="960" w:type="dxa"/>
            <w:vAlign w:val="bottom"/>
            <w:gridSpan w:val="2"/>
            <w:shd w:val="clear" w:color="auto" w:fill="FDFDFC"/>
          </w:tcPr>
          <w:p>
            <w:pPr>
              <w:jc w:val="right"/>
              <w:spacing w:after="0" w:line="172" w:lineRule="exact"/>
              <w:rPr>
                <w:sz w:val="20"/>
                <w:szCs w:val="20"/>
                <w:color w:val="auto"/>
              </w:rPr>
            </w:pPr>
            <w:r>
              <w:rPr>
                <w:rFonts w:ascii="Times New Roman" w:cs="Times New Roman" w:eastAsia="Times New Roman" w:hAnsi="Times New Roman"/>
                <w:sz w:val="15"/>
                <w:szCs w:val="15"/>
                <w:color w:val="231F20"/>
              </w:rPr>
              <w:t>0.1%</w:t>
            </w:r>
          </w:p>
        </w:tc>
      </w:tr>
      <w:tr>
        <w:trPr>
          <w:trHeight w:val="189"/>
        </w:trPr>
        <w:tc>
          <w:tcPr>
            <w:tcW w:w="1580" w:type="dxa"/>
            <w:vAlign w:val="bottom"/>
            <w:shd w:val="clear" w:color="auto" w:fill="FDFDFC"/>
          </w:tcPr>
          <w:p>
            <w:pPr>
              <w:spacing w:after="0"/>
              <w:rPr>
                <w:sz w:val="16"/>
                <w:szCs w:val="16"/>
                <w:color w:val="auto"/>
              </w:rPr>
            </w:pPr>
          </w:p>
        </w:tc>
        <w:tc>
          <w:tcPr>
            <w:tcW w:w="2200" w:type="dxa"/>
            <w:vAlign w:val="bottom"/>
            <w:shd w:val="clear" w:color="auto" w:fill="FDFDFC"/>
          </w:tcPr>
          <w:p>
            <w:pPr>
              <w:ind w:left="60"/>
              <w:spacing w:after="0"/>
              <w:rPr>
                <w:sz w:val="20"/>
                <w:szCs w:val="20"/>
                <w:color w:val="auto"/>
              </w:rPr>
            </w:pPr>
            <w:r>
              <w:rPr>
                <w:rFonts w:ascii="Times New Roman" w:cs="Times New Roman" w:eastAsia="Times New Roman" w:hAnsi="Times New Roman"/>
                <w:sz w:val="15"/>
                <w:szCs w:val="15"/>
                <w:color w:val="231F20"/>
              </w:rPr>
              <w:t>(1,598,874 shares)</w:t>
            </w:r>
          </w:p>
        </w:tc>
        <w:tc>
          <w:tcPr>
            <w:tcW w:w="800" w:type="dxa"/>
            <w:vAlign w:val="bottom"/>
            <w:shd w:val="clear" w:color="auto" w:fill="FDFDFC"/>
          </w:tcPr>
          <w:p>
            <w:pPr>
              <w:spacing w:after="0"/>
              <w:rPr>
                <w:sz w:val="16"/>
                <w:szCs w:val="16"/>
                <w:color w:val="auto"/>
              </w:rPr>
            </w:pPr>
          </w:p>
        </w:tc>
        <w:tc>
          <w:tcPr>
            <w:tcW w:w="1160" w:type="dxa"/>
            <w:vAlign w:val="bottom"/>
            <w:shd w:val="clear" w:color="auto" w:fill="FDFDFC"/>
          </w:tcPr>
          <w:p>
            <w:pPr>
              <w:spacing w:after="0"/>
              <w:rPr>
                <w:sz w:val="16"/>
                <w:szCs w:val="16"/>
                <w:color w:val="auto"/>
              </w:rPr>
            </w:pPr>
          </w:p>
        </w:tc>
        <w:tc>
          <w:tcPr>
            <w:tcW w:w="900" w:type="dxa"/>
            <w:vAlign w:val="bottom"/>
            <w:shd w:val="clear" w:color="auto" w:fill="FDFDFC"/>
          </w:tcPr>
          <w:p>
            <w:pPr>
              <w:spacing w:after="0"/>
              <w:rPr>
                <w:sz w:val="16"/>
                <w:szCs w:val="16"/>
                <w:color w:val="auto"/>
              </w:rPr>
            </w:pPr>
          </w:p>
        </w:tc>
        <w:tc>
          <w:tcPr>
            <w:tcW w:w="1000" w:type="dxa"/>
            <w:vAlign w:val="bottom"/>
            <w:shd w:val="clear" w:color="auto" w:fill="FDFDFC"/>
          </w:tcPr>
          <w:p>
            <w:pPr>
              <w:spacing w:after="0"/>
              <w:rPr>
                <w:sz w:val="16"/>
                <w:szCs w:val="16"/>
                <w:color w:val="auto"/>
              </w:rPr>
            </w:pPr>
          </w:p>
        </w:tc>
        <w:tc>
          <w:tcPr>
            <w:tcW w:w="80" w:type="dxa"/>
            <w:vAlign w:val="bottom"/>
            <w:shd w:val="clear" w:color="auto" w:fill="FDFDFC"/>
          </w:tcPr>
          <w:p>
            <w:pPr>
              <w:spacing w:after="0"/>
              <w:rPr>
                <w:sz w:val="16"/>
                <w:szCs w:val="16"/>
                <w:color w:val="auto"/>
              </w:rPr>
            </w:pPr>
          </w:p>
        </w:tc>
        <w:tc>
          <w:tcPr>
            <w:tcW w:w="1600" w:type="dxa"/>
            <w:vAlign w:val="bottom"/>
            <w:shd w:val="clear" w:color="auto" w:fill="FDFDFC"/>
          </w:tcPr>
          <w:p>
            <w:pPr>
              <w:spacing w:after="0"/>
              <w:rPr>
                <w:sz w:val="16"/>
                <w:szCs w:val="16"/>
                <w:color w:val="auto"/>
              </w:rPr>
            </w:pPr>
          </w:p>
        </w:tc>
        <w:tc>
          <w:tcPr>
            <w:tcW w:w="100" w:type="dxa"/>
            <w:vAlign w:val="bottom"/>
            <w:shd w:val="clear" w:color="auto" w:fill="FDFDFC"/>
          </w:tcPr>
          <w:p>
            <w:pPr>
              <w:spacing w:after="0"/>
              <w:rPr>
                <w:sz w:val="16"/>
                <w:szCs w:val="16"/>
                <w:color w:val="auto"/>
              </w:rPr>
            </w:pPr>
          </w:p>
        </w:tc>
        <w:tc>
          <w:tcPr>
            <w:tcW w:w="860" w:type="dxa"/>
            <w:vAlign w:val="bottom"/>
            <w:shd w:val="clear" w:color="auto" w:fill="FDFDFC"/>
          </w:tcPr>
          <w:p>
            <w:pPr>
              <w:spacing w:after="0"/>
              <w:rPr>
                <w:sz w:val="16"/>
                <w:szCs w:val="16"/>
                <w:color w:val="auto"/>
              </w:rPr>
            </w:pPr>
          </w:p>
        </w:tc>
      </w:tr>
      <w:tr>
        <w:trPr>
          <w:trHeight w:val="171"/>
        </w:trPr>
        <w:tc>
          <w:tcPr>
            <w:tcW w:w="1580" w:type="dxa"/>
            <w:vAlign w:val="bottom"/>
            <w:shd w:val="clear" w:color="auto" w:fill="D0EBF2"/>
          </w:tcPr>
          <w:p>
            <w:pPr>
              <w:spacing w:after="0"/>
              <w:rPr>
                <w:sz w:val="14"/>
                <w:szCs w:val="14"/>
                <w:color w:val="auto"/>
              </w:rPr>
            </w:pPr>
          </w:p>
        </w:tc>
        <w:tc>
          <w:tcPr>
            <w:tcW w:w="2200" w:type="dxa"/>
            <w:vAlign w:val="bottom"/>
            <w:shd w:val="clear" w:color="auto" w:fill="D0EBF2"/>
          </w:tcPr>
          <w:p>
            <w:pPr>
              <w:ind w:left="60"/>
              <w:spacing w:after="0" w:line="172" w:lineRule="exact"/>
              <w:rPr>
                <w:sz w:val="20"/>
                <w:szCs w:val="20"/>
                <w:color w:val="auto"/>
              </w:rPr>
            </w:pPr>
            <w:r>
              <w:rPr>
                <w:rFonts w:ascii="Times New Roman" w:cs="Times New Roman" w:eastAsia="Times New Roman" w:hAnsi="Times New Roman"/>
                <w:sz w:val="15"/>
                <w:szCs w:val="15"/>
                <w:color w:val="231F20"/>
              </w:rPr>
              <w:t>Series C Warrants (280,000</w:t>
            </w:r>
          </w:p>
        </w:tc>
        <w:tc>
          <w:tcPr>
            <w:tcW w:w="800" w:type="dxa"/>
            <w:vAlign w:val="bottom"/>
            <w:shd w:val="clear" w:color="auto" w:fill="D0EBF2"/>
          </w:tcPr>
          <w:p>
            <w:pPr>
              <w:jc w:val="right"/>
              <w:spacing w:after="0" w:line="172" w:lineRule="exact"/>
              <w:rPr>
                <w:sz w:val="20"/>
                <w:szCs w:val="20"/>
                <w:color w:val="auto"/>
              </w:rPr>
            </w:pPr>
            <w:r>
              <w:rPr>
                <w:rFonts w:ascii="Times New Roman" w:cs="Times New Roman" w:eastAsia="Times New Roman" w:hAnsi="Times New Roman"/>
                <w:sz w:val="15"/>
                <w:szCs w:val="15"/>
                <w:color w:val="231F20"/>
              </w:rPr>
              <w:t>2/28/2020</w:t>
            </w:r>
          </w:p>
        </w:tc>
        <w:tc>
          <w:tcPr>
            <w:tcW w:w="1160" w:type="dxa"/>
            <w:vAlign w:val="bottom"/>
            <w:shd w:val="clear" w:color="auto" w:fill="D0EBF2"/>
          </w:tcPr>
          <w:p>
            <w:pPr>
              <w:spacing w:after="0"/>
              <w:rPr>
                <w:sz w:val="14"/>
                <w:szCs w:val="14"/>
                <w:color w:val="auto"/>
              </w:rPr>
            </w:pPr>
          </w:p>
        </w:tc>
        <w:tc>
          <w:tcPr>
            <w:tcW w:w="900" w:type="dxa"/>
            <w:vAlign w:val="bottom"/>
            <w:shd w:val="clear" w:color="auto" w:fill="D0EBF2"/>
          </w:tcPr>
          <w:p>
            <w:pPr>
              <w:spacing w:after="0"/>
              <w:rPr>
                <w:sz w:val="14"/>
                <w:szCs w:val="14"/>
                <w:color w:val="auto"/>
              </w:rPr>
            </w:pPr>
          </w:p>
        </w:tc>
        <w:tc>
          <w:tcPr>
            <w:tcW w:w="1000" w:type="dxa"/>
            <w:vAlign w:val="bottom"/>
            <w:shd w:val="clear" w:color="auto" w:fill="D0EBF2"/>
          </w:tcPr>
          <w:p>
            <w:pPr>
              <w:jc w:val="right"/>
              <w:spacing w:after="0" w:line="172" w:lineRule="exact"/>
              <w:rPr>
                <w:sz w:val="20"/>
                <w:szCs w:val="20"/>
                <w:color w:val="auto"/>
              </w:rPr>
            </w:pPr>
            <w:r>
              <w:rPr>
                <w:rFonts w:ascii="Times New Roman" w:cs="Times New Roman" w:eastAsia="Times New Roman" w:hAnsi="Times New Roman"/>
                <w:sz w:val="15"/>
                <w:szCs w:val="15"/>
                <w:color w:val="231F20"/>
              </w:rPr>
              <w:t>183</w:t>
            </w:r>
          </w:p>
        </w:tc>
        <w:tc>
          <w:tcPr>
            <w:tcW w:w="80" w:type="dxa"/>
            <w:vAlign w:val="bottom"/>
            <w:shd w:val="clear" w:color="auto" w:fill="D0EBF2"/>
          </w:tcPr>
          <w:p>
            <w:pPr>
              <w:spacing w:after="0"/>
              <w:rPr>
                <w:sz w:val="14"/>
                <w:szCs w:val="14"/>
                <w:color w:val="auto"/>
              </w:rPr>
            </w:pPr>
          </w:p>
        </w:tc>
        <w:tc>
          <w:tcPr>
            <w:tcW w:w="1600" w:type="dxa"/>
            <w:vAlign w:val="bottom"/>
            <w:shd w:val="clear" w:color="auto" w:fill="D0EBF2"/>
          </w:tcPr>
          <w:p>
            <w:pPr>
              <w:jc w:val="right"/>
              <w:spacing w:after="0" w:line="172" w:lineRule="exact"/>
              <w:rPr>
                <w:sz w:val="20"/>
                <w:szCs w:val="20"/>
                <w:color w:val="auto"/>
              </w:rPr>
            </w:pPr>
            <w:r>
              <w:rPr>
                <w:rFonts w:ascii="Times New Roman" w:cs="Times New Roman" w:eastAsia="Times New Roman" w:hAnsi="Times New Roman"/>
                <w:sz w:val="15"/>
                <w:szCs w:val="15"/>
                <w:color w:val="231F20"/>
              </w:rPr>
              <w:t>—</w:t>
            </w:r>
          </w:p>
        </w:tc>
        <w:tc>
          <w:tcPr>
            <w:tcW w:w="960" w:type="dxa"/>
            <w:vAlign w:val="bottom"/>
            <w:gridSpan w:val="2"/>
            <w:shd w:val="clear" w:color="auto" w:fill="D0EBF2"/>
          </w:tcPr>
          <w:p>
            <w:pPr>
              <w:jc w:val="right"/>
              <w:spacing w:after="0" w:line="172" w:lineRule="exact"/>
              <w:rPr>
                <w:sz w:val="20"/>
                <w:szCs w:val="20"/>
                <w:color w:val="auto"/>
              </w:rPr>
            </w:pPr>
            <w:r>
              <w:rPr>
                <w:rFonts w:ascii="Times New Roman" w:cs="Times New Roman" w:eastAsia="Times New Roman" w:hAnsi="Times New Roman"/>
                <w:sz w:val="15"/>
                <w:szCs w:val="15"/>
                <w:color w:val="231F20"/>
              </w:rPr>
              <w:t>0.0%</w:t>
            </w:r>
          </w:p>
        </w:tc>
      </w:tr>
      <w:tr>
        <w:trPr>
          <w:trHeight w:val="189"/>
        </w:trPr>
        <w:tc>
          <w:tcPr>
            <w:tcW w:w="1580" w:type="dxa"/>
            <w:vAlign w:val="bottom"/>
            <w:shd w:val="clear" w:color="auto" w:fill="D0EBF2"/>
          </w:tcPr>
          <w:p>
            <w:pPr>
              <w:spacing w:after="0"/>
              <w:rPr>
                <w:sz w:val="16"/>
                <w:szCs w:val="16"/>
                <w:color w:val="auto"/>
              </w:rPr>
            </w:pPr>
          </w:p>
        </w:tc>
        <w:tc>
          <w:tcPr>
            <w:tcW w:w="2200" w:type="dxa"/>
            <w:vAlign w:val="bottom"/>
            <w:shd w:val="clear" w:color="auto" w:fill="D0EBF2"/>
          </w:tcPr>
          <w:p>
            <w:pPr>
              <w:ind w:left="60"/>
              <w:spacing w:after="0"/>
              <w:rPr>
                <w:sz w:val="20"/>
                <w:szCs w:val="20"/>
                <w:color w:val="auto"/>
              </w:rPr>
            </w:pPr>
            <w:r>
              <w:rPr>
                <w:rFonts w:ascii="Times New Roman" w:cs="Times New Roman" w:eastAsia="Times New Roman" w:hAnsi="Times New Roman"/>
                <w:sz w:val="15"/>
                <w:szCs w:val="15"/>
                <w:color w:val="231F20"/>
              </w:rPr>
              <w:t>warrants)</w:t>
            </w:r>
          </w:p>
        </w:tc>
        <w:tc>
          <w:tcPr>
            <w:tcW w:w="800" w:type="dxa"/>
            <w:vAlign w:val="bottom"/>
            <w:shd w:val="clear" w:color="auto" w:fill="D0EBF2"/>
          </w:tcPr>
          <w:p>
            <w:pPr>
              <w:spacing w:after="0"/>
              <w:rPr>
                <w:sz w:val="16"/>
                <w:szCs w:val="16"/>
                <w:color w:val="auto"/>
              </w:rPr>
            </w:pPr>
          </w:p>
        </w:tc>
        <w:tc>
          <w:tcPr>
            <w:tcW w:w="1160" w:type="dxa"/>
            <w:vAlign w:val="bottom"/>
            <w:shd w:val="clear" w:color="auto" w:fill="D0EBF2"/>
          </w:tcPr>
          <w:p>
            <w:pPr>
              <w:spacing w:after="0"/>
              <w:rPr>
                <w:sz w:val="16"/>
                <w:szCs w:val="16"/>
                <w:color w:val="auto"/>
              </w:rPr>
            </w:pPr>
          </w:p>
        </w:tc>
        <w:tc>
          <w:tcPr>
            <w:tcW w:w="900" w:type="dxa"/>
            <w:vAlign w:val="bottom"/>
            <w:shd w:val="clear" w:color="auto" w:fill="D0EBF2"/>
          </w:tcPr>
          <w:p>
            <w:pPr>
              <w:spacing w:after="0"/>
              <w:rPr>
                <w:sz w:val="16"/>
                <w:szCs w:val="16"/>
                <w:color w:val="auto"/>
              </w:rPr>
            </w:pPr>
          </w:p>
        </w:tc>
        <w:tc>
          <w:tcPr>
            <w:tcW w:w="1000" w:type="dxa"/>
            <w:vAlign w:val="bottom"/>
            <w:shd w:val="clear" w:color="auto" w:fill="D0EBF2"/>
          </w:tcPr>
          <w:p>
            <w:pPr>
              <w:spacing w:after="0"/>
              <w:rPr>
                <w:sz w:val="16"/>
                <w:szCs w:val="16"/>
                <w:color w:val="auto"/>
              </w:rPr>
            </w:pPr>
          </w:p>
        </w:tc>
        <w:tc>
          <w:tcPr>
            <w:tcW w:w="80" w:type="dxa"/>
            <w:vAlign w:val="bottom"/>
            <w:shd w:val="clear" w:color="auto" w:fill="D0EBF2"/>
          </w:tcPr>
          <w:p>
            <w:pPr>
              <w:spacing w:after="0"/>
              <w:rPr>
                <w:sz w:val="16"/>
                <w:szCs w:val="16"/>
                <w:color w:val="auto"/>
              </w:rPr>
            </w:pPr>
          </w:p>
        </w:tc>
        <w:tc>
          <w:tcPr>
            <w:tcW w:w="1600" w:type="dxa"/>
            <w:vAlign w:val="bottom"/>
            <w:shd w:val="clear" w:color="auto" w:fill="D0EBF2"/>
          </w:tcPr>
          <w:p>
            <w:pPr>
              <w:spacing w:after="0"/>
              <w:rPr>
                <w:sz w:val="16"/>
                <w:szCs w:val="16"/>
                <w:color w:val="auto"/>
              </w:rPr>
            </w:pPr>
          </w:p>
        </w:tc>
        <w:tc>
          <w:tcPr>
            <w:tcW w:w="100" w:type="dxa"/>
            <w:vAlign w:val="bottom"/>
            <w:shd w:val="clear" w:color="auto" w:fill="D0EBF2"/>
          </w:tcPr>
          <w:p>
            <w:pPr>
              <w:spacing w:after="0"/>
              <w:rPr>
                <w:sz w:val="16"/>
                <w:szCs w:val="16"/>
                <w:color w:val="auto"/>
              </w:rPr>
            </w:pPr>
          </w:p>
        </w:tc>
        <w:tc>
          <w:tcPr>
            <w:tcW w:w="860" w:type="dxa"/>
            <w:vAlign w:val="bottom"/>
            <w:shd w:val="clear" w:color="auto" w:fill="D0EBF2"/>
          </w:tcPr>
          <w:p>
            <w:pPr>
              <w:spacing w:after="0"/>
              <w:rPr>
                <w:sz w:val="16"/>
                <w:szCs w:val="16"/>
                <w:color w:val="auto"/>
              </w:rPr>
            </w:pPr>
          </w:p>
        </w:tc>
      </w:tr>
      <w:tr>
        <w:trPr>
          <w:trHeight w:val="171"/>
        </w:trPr>
        <w:tc>
          <w:tcPr>
            <w:tcW w:w="1580" w:type="dxa"/>
            <w:vAlign w:val="bottom"/>
            <w:shd w:val="clear" w:color="auto" w:fill="FDFDFC"/>
          </w:tcPr>
          <w:p>
            <w:pPr>
              <w:spacing w:after="0"/>
              <w:rPr>
                <w:sz w:val="14"/>
                <w:szCs w:val="14"/>
                <w:color w:val="auto"/>
              </w:rPr>
            </w:pPr>
          </w:p>
        </w:tc>
        <w:tc>
          <w:tcPr>
            <w:tcW w:w="2200" w:type="dxa"/>
            <w:vAlign w:val="bottom"/>
            <w:shd w:val="clear" w:color="auto" w:fill="FDFDFC"/>
          </w:tcPr>
          <w:p>
            <w:pPr>
              <w:ind w:left="60"/>
              <w:spacing w:after="0" w:line="172" w:lineRule="exact"/>
              <w:rPr>
                <w:sz w:val="20"/>
                <w:szCs w:val="20"/>
                <w:color w:val="auto"/>
              </w:rPr>
            </w:pPr>
            <w:r>
              <w:rPr>
                <w:rFonts w:ascii="Times New Roman" w:cs="Times New Roman" w:eastAsia="Times New Roman" w:hAnsi="Times New Roman"/>
                <w:sz w:val="15"/>
                <w:szCs w:val="15"/>
                <w:color w:val="231F20"/>
              </w:rPr>
              <w:t>Series D Warrants (106,592</w:t>
            </w:r>
          </w:p>
        </w:tc>
        <w:tc>
          <w:tcPr>
            <w:tcW w:w="800" w:type="dxa"/>
            <w:vAlign w:val="bottom"/>
            <w:shd w:val="clear" w:color="auto" w:fill="FDFDFC"/>
          </w:tcPr>
          <w:p>
            <w:pPr>
              <w:jc w:val="right"/>
              <w:spacing w:after="0" w:line="172" w:lineRule="exact"/>
              <w:rPr>
                <w:sz w:val="20"/>
                <w:szCs w:val="20"/>
                <w:color w:val="auto"/>
              </w:rPr>
            </w:pPr>
            <w:r>
              <w:rPr>
                <w:rFonts w:ascii="Times New Roman" w:cs="Times New Roman" w:eastAsia="Times New Roman" w:hAnsi="Times New Roman"/>
                <w:sz w:val="15"/>
                <w:szCs w:val="15"/>
                <w:color w:val="231F20"/>
              </w:rPr>
              <w:t>4/8/2021</w:t>
            </w:r>
          </w:p>
        </w:tc>
        <w:tc>
          <w:tcPr>
            <w:tcW w:w="1160" w:type="dxa"/>
            <w:vAlign w:val="bottom"/>
            <w:shd w:val="clear" w:color="auto" w:fill="FDFDFC"/>
          </w:tcPr>
          <w:p>
            <w:pPr>
              <w:spacing w:after="0"/>
              <w:rPr>
                <w:sz w:val="14"/>
                <w:szCs w:val="14"/>
                <w:color w:val="auto"/>
              </w:rPr>
            </w:pPr>
          </w:p>
        </w:tc>
        <w:tc>
          <w:tcPr>
            <w:tcW w:w="900" w:type="dxa"/>
            <w:vAlign w:val="bottom"/>
            <w:shd w:val="clear" w:color="auto" w:fill="FDFDFC"/>
          </w:tcPr>
          <w:p>
            <w:pPr>
              <w:spacing w:after="0"/>
              <w:rPr>
                <w:sz w:val="14"/>
                <w:szCs w:val="14"/>
                <w:color w:val="auto"/>
              </w:rPr>
            </w:pPr>
          </w:p>
        </w:tc>
        <w:tc>
          <w:tcPr>
            <w:tcW w:w="1000" w:type="dxa"/>
            <w:vAlign w:val="bottom"/>
            <w:shd w:val="clear" w:color="auto" w:fill="FDFDFC"/>
          </w:tcPr>
          <w:p>
            <w:pPr>
              <w:jc w:val="right"/>
              <w:spacing w:after="0" w:line="172" w:lineRule="exact"/>
              <w:rPr>
                <w:sz w:val="20"/>
                <w:szCs w:val="20"/>
                <w:color w:val="auto"/>
              </w:rPr>
            </w:pPr>
            <w:r>
              <w:rPr>
                <w:rFonts w:ascii="Times New Roman" w:cs="Times New Roman" w:eastAsia="Times New Roman" w:hAnsi="Times New Roman"/>
                <w:sz w:val="15"/>
                <w:szCs w:val="15"/>
                <w:color w:val="231F20"/>
              </w:rPr>
              <w:t>—</w:t>
            </w:r>
          </w:p>
        </w:tc>
        <w:tc>
          <w:tcPr>
            <w:tcW w:w="80" w:type="dxa"/>
            <w:vAlign w:val="bottom"/>
            <w:shd w:val="clear" w:color="auto" w:fill="FDFDFC"/>
          </w:tcPr>
          <w:p>
            <w:pPr>
              <w:spacing w:after="0"/>
              <w:rPr>
                <w:sz w:val="14"/>
                <w:szCs w:val="14"/>
                <w:color w:val="auto"/>
              </w:rPr>
            </w:pPr>
          </w:p>
        </w:tc>
        <w:tc>
          <w:tcPr>
            <w:tcW w:w="1600" w:type="dxa"/>
            <w:vAlign w:val="bottom"/>
            <w:shd w:val="clear" w:color="auto" w:fill="FDFDFC"/>
          </w:tcPr>
          <w:p>
            <w:pPr>
              <w:jc w:val="right"/>
              <w:spacing w:after="0" w:line="172" w:lineRule="exact"/>
              <w:rPr>
                <w:sz w:val="20"/>
                <w:szCs w:val="20"/>
                <w:color w:val="auto"/>
              </w:rPr>
            </w:pPr>
            <w:r>
              <w:rPr>
                <w:rFonts w:ascii="Times New Roman" w:cs="Times New Roman" w:eastAsia="Times New Roman" w:hAnsi="Times New Roman"/>
                <w:sz w:val="15"/>
                <w:szCs w:val="15"/>
                <w:color w:val="231F20"/>
              </w:rPr>
              <w:t>—</w:t>
            </w:r>
          </w:p>
        </w:tc>
        <w:tc>
          <w:tcPr>
            <w:tcW w:w="960" w:type="dxa"/>
            <w:vAlign w:val="bottom"/>
            <w:gridSpan w:val="2"/>
            <w:shd w:val="clear" w:color="auto" w:fill="FDFDFC"/>
          </w:tcPr>
          <w:p>
            <w:pPr>
              <w:jc w:val="right"/>
              <w:spacing w:after="0" w:line="172" w:lineRule="exact"/>
              <w:rPr>
                <w:sz w:val="20"/>
                <w:szCs w:val="20"/>
                <w:color w:val="auto"/>
              </w:rPr>
            </w:pPr>
            <w:r>
              <w:rPr>
                <w:rFonts w:ascii="Times New Roman" w:cs="Times New Roman" w:eastAsia="Times New Roman" w:hAnsi="Times New Roman"/>
                <w:sz w:val="15"/>
                <w:szCs w:val="15"/>
                <w:color w:val="231F20"/>
              </w:rPr>
              <w:t>0.0%</w:t>
            </w:r>
          </w:p>
        </w:tc>
      </w:tr>
      <w:tr>
        <w:trPr>
          <w:trHeight w:val="189"/>
        </w:trPr>
        <w:tc>
          <w:tcPr>
            <w:tcW w:w="1580" w:type="dxa"/>
            <w:vAlign w:val="bottom"/>
            <w:tcBorders>
              <w:bottom w:val="single" w:sz="8" w:color="D0EBF2"/>
            </w:tcBorders>
            <w:shd w:val="clear" w:color="auto" w:fill="FDFDFC"/>
          </w:tcPr>
          <w:p>
            <w:pPr>
              <w:spacing w:after="0"/>
              <w:rPr>
                <w:sz w:val="16"/>
                <w:szCs w:val="16"/>
                <w:color w:val="auto"/>
              </w:rPr>
            </w:pPr>
          </w:p>
        </w:tc>
        <w:tc>
          <w:tcPr>
            <w:tcW w:w="2200" w:type="dxa"/>
            <w:vAlign w:val="bottom"/>
            <w:tcBorders>
              <w:bottom w:val="single" w:sz="8" w:color="D0EBF2"/>
            </w:tcBorders>
            <w:shd w:val="clear" w:color="auto" w:fill="FDFDFC"/>
          </w:tcPr>
          <w:p>
            <w:pPr>
              <w:ind w:left="60"/>
              <w:spacing w:after="0"/>
              <w:rPr>
                <w:sz w:val="20"/>
                <w:szCs w:val="20"/>
                <w:color w:val="auto"/>
              </w:rPr>
            </w:pPr>
            <w:r>
              <w:rPr>
                <w:rFonts w:ascii="Times New Roman" w:cs="Times New Roman" w:eastAsia="Times New Roman" w:hAnsi="Times New Roman"/>
                <w:sz w:val="15"/>
                <w:szCs w:val="15"/>
                <w:color w:val="231F20"/>
              </w:rPr>
              <w:t>warrants)</w:t>
            </w:r>
          </w:p>
        </w:tc>
        <w:tc>
          <w:tcPr>
            <w:tcW w:w="800" w:type="dxa"/>
            <w:vAlign w:val="bottom"/>
            <w:tcBorders>
              <w:bottom w:val="single" w:sz="8" w:color="D0EBF2"/>
            </w:tcBorders>
            <w:shd w:val="clear" w:color="auto" w:fill="FDFDFC"/>
          </w:tcPr>
          <w:p>
            <w:pPr>
              <w:spacing w:after="0"/>
              <w:rPr>
                <w:sz w:val="16"/>
                <w:szCs w:val="16"/>
                <w:color w:val="auto"/>
              </w:rPr>
            </w:pPr>
          </w:p>
        </w:tc>
        <w:tc>
          <w:tcPr>
            <w:tcW w:w="1160" w:type="dxa"/>
            <w:vAlign w:val="bottom"/>
            <w:tcBorders>
              <w:bottom w:val="single" w:sz="8" w:color="D0EBF2"/>
            </w:tcBorders>
            <w:shd w:val="clear" w:color="auto" w:fill="FDFDFC"/>
          </w:tcPr>
          <w:p>
            <w:pPr>
              <w:spacing w:after="0"/>
              <w:rPr>
                <w:sz w:val="16"/>
                <w:szCs w:val="16"/>
                <w:color w:val="auto"/>
              </w:rPr>
            </w:pPr>
          </w:p>
        </w:tc>
        <w:tc>
          <w:tcPr>
            <w:tcW w:w="900" w:type="dxa"/>
            <w:vAlign w:val="bottom"/>
            <w:tcBorders>
              <w:bottom w:val="single" w:sz="8" w:color="D0EBF2"/>
            </w:tcBorders>
            <w:shd w:val="clear" w:color="auto" w:fill="FDFDFC"/>
          </w:tcPr>
          <w:p>
            <w:pPr>
              <w:spacing w:after="0"/>
              <w:rPr>
                <w:sz w:val="16"/>
                <w:szCs w:val="16"/>
                <w:color w:val="auto"/>
              </w:rPr>
            </w:pPr>
          </w:p>
        </w:tc>
        <w:tc>
          <w:tcPr>
            <w:tcW w:w="1000" w:type="dxa"/>
            <w:vAlign w:val="bottom"/>
            <w:tcBorders>
              <w:bottom w:val="single" w:sz="8" w:color="231F20"/>
            </w:tcBorders>
            <w:shd w:val="clear" w:color="auto" w:fill="FDFDFC"/>
          </w:tcPr>
          <w:p>
            <w:pPr>
              <w:spacing w:after="0"/>
              <w:rPr>
                <w:sz w:val="16"/>
                <w:szCs w:val="16"/>
                <w:color w:val="auto"/>
              </w:rPr>
            </w:pPr>
          </w:p>
        </w:tc>
        <w:tc>
          <w:tcPr>
            <w:tcW w:w="80" w:type="dxa"/>
            <w:vAlign w:val="bottom"/>
            <w:tcBorders>
              <w:bottom w:val="single" w:sz="8" w:color="D0EBF2"/>
            </w:tcBorders>
            <w:shd w:val="clear" w:color="auto" w:fill="FDFDFC"/>
          </w:tcPr>
          <w:p>
            <w:pPr>
              <w:spacing w:after="0"/>
              <w:rPr>
                <w:sz w:val="16"/>
                <w:szCs w:val="16"/>
                <w:color w:val="auto"/>
              </w:rPr>
            </w:pPr>
          </w:p>
        </w:tc>
        <w:tc>
          <w:tcPr>
            <w:tcW w:w="1600" w:type="dxa"/>
            <w:vAlign w:val="bottom"/>
            <w:tcBorders>
              <w:bottom w:val="single" w:sz="8" w:color="231F20"/>
            </w:tcBorders>
            <w:shd w:val="clear" w:color="auto" w:fill="FDFDFC"/>
          </w:tcPr>
          <w:p>
            <w:pPr>
              <w:spacing w:after="0"/>
              <w:rPr>
                <w:sz w:val="16"/>
                <w:szCs w:val="16"/>
                <w:color w:val="auto"/>
              </w:rPr>
            </w:pPr>
          </w:p>
        </w:tc>
        <w:tc>
          <w:tcPr>
            <w:tcW w:w="100" w:type="dxa"/>
            <w:vAlign w:val="bottom"/>
            <w:tcBorders>
              <w:bottom w:val="single" w:sz="8" w:color="D0EBF2"/>
            </w:tcBorders>
            <w:shd w:val="clear" w:color="auto" w:fill="FDFDFC"/>
          </w:tcPr>
          <w:p>
            <w:pPr>
              <w:spacing w:after="0"/>
              <w:rPr>
                <w:sz w:val="16"/>
                <w:szCs w:val="16"/>
                <w:color w:val="auto"/>
              </w:rPr>
            </w:pPr>
          </w:p>
        </w:tc>
        <w:tc>
          <w:tcPr>
            <w:tcW w:w="860" w:type="dxa"/>
            <w:vAlign w:val="bottom"/>
            <w:tcBorders>
              <w:bottom w:val="single" w:sz="8" w:color="231F20"/>
            </w:tcBorders>
            <w:shd w:val="clear" w:color="auto" w:fill="FDFDFC"/>
          </w:tcPr>
          <w:p>
            <w:pPr>
              <w:spacing w:after="0"/>
              <w:rPr>
                <w:sz w:val="16"/>
                <w:szCs w:val="16"/>
                <w:color w:val="auto"/>
              </w:rPr>
            </w:pPr>
          </w:p>
        </w:tc>
      </w:tr>
      <w:tr>
        <w:trPr>
          <w:trHeight w:val="176"/>
        </w:trPr>
        <w:tc>
          <w:tcPr>
            <w:tcW w:w="1580" w:type="dxa"/>
            <w:vAlign w:val="bottom"/>
            <w:tcBorders>
              <w:bottom w:val="single" w:sz="8" w:color="FDFDFC"/>
            </w:tcBorders>
            <w:shd w:val="clear" w:color="auto" w:fill="D0EBF2"/>
          </w:tcPr>
          <w:p>
            <w:pPr>
              <w:spacing w:after="0"/>
              <w:rPr>
                <w:sz w:val="15"/>
                <w:szCs w:val="15"/>
                <w:color w:val="auto"/>
              </w:rPr>
            </w:pPr>
          </w:p>
        </w:tc>
        <w:tc>
          <w:tcPr>
            <w:tcW w:w="2200" w:type="dxa"/>
            <w:vAlign w:val="bottom"/>
            <w:tcBorders>
              <w:bottom w:val="single" w:sz="8" w:color="FDFDFC"/>
            </w:tcBorders>
            <w:shd w:val="clear" w:color="auto" w:fill="D0EBF2"/>
          </w:tcPr>
          <w:p>
            <w:pPr>
              <w:spacing w:after="0"/>
              <w:rPr>
                <w:sz w:val="15"/>
                <w:szCs w:val="15"/>
                <w:color w:val="auto"/>
              </w:rPr>
            </w:pPr>
          </w:p>
        </w:tc>
        <w:tc>
          <w:tcPr>
            <w:tcW w:w="800" w:type="dxa"/>
            <w:vAlign w:val="bottom"/>
            <w:tcBorders>
              <w:bottom w:val="single" w:sz="8" w:color="FDFDFC"/>
            </w:tcBorders>
            <w:shd w:val="clear" w:color="auto" w:fill="D0EBF2"/>
          </w:tcPr>
          <w:p>
            <w:pPr>
              <w:spacing w:after="0"/>
              <w:rPr>
                <w:sz w:val="15"/>
                <w:szCs w:val="15"/>
                <w:color w:val="auto"/>
              </w:rPr>
            </w:pPr>
          </w:p>
        </w:tc>
        <w:tc>
          <w:tcPr>
            <w:tcW w:w="1160" w:type="dxa"/>
            <w:vAlign w:val="bottom"/>
            <w:tcBorders>
              <w:bottom w:val="single" w:sz="8" w:color="FDFDFC"/>
            </w:tcBorders>
            <w:shd w:val="clear" w:color="auto" w:fill="D0EBF2"/>
          </w:tcPr>
          <w:p>
            <w:pPr>
              <w:spacing w:after="0"/>
              <w:rPr>
                <w:sz w:val="15"/>
                <w:szCs w:val="15"/>
                <w:color w:val="auto"/>
              </w:rPr>
            </w:pPr>
          </w:p>
        </w:tc>
        <w:tc>
          <w:tcPr>
            <w:tcW w:w="900" w:type="dxa"/>
            <w:vAlign w:val="bottom"/>
            <w:tcBorders>
              <w:bottom w:val="single" w:sz="8" w:color="FDFDFC"/>
            </w:tcBorders>
            <w:shd w:val="clear" w:color="auto" w:fill="D0EBF2"/>
          </w:tcPr>
          <w:p>
            <w:pPr>
              <w:spacing w:after="0"/>
              <w:rPr>
                <w:sz w:val="15"/>
                <w:szCs w:val="15"/>
                <w:color w:val="auto"/>
              </w:rPr>
            </w:pPr>
          </w:p>
        </w:tc>
        <w:tc>
          <w:tcPr>
            <w:tcW w:w="1000" w:type="dxa"/>
            <w:vAlign w:val="bottom"/>
            <w:tcBorders>
              <w:bottom w:val="single" w:sz="8" w:color="231F20"/>
            </w:tcBorders>
            <w:shd w:val="clear" w:color="auto" w:fill="D0EBF2"/>
          </w:tcPr>
          <w:p>
            <w:pPr>
              <w:jc w:val="right"/>
              <w:spacing w:after="0"/>
              <w:rPr>
                <w:sz w:val="20"/>
                <w:szCs w:val="20"/>
                <w:color w:val="auto"/>
              </w:rPr>
            </w:pPr>
            <w:r>
              <w:rPr>
                <w:rFonts w:ascii="Times New Roman" w:cs="Times New Roman" w:eastAsia="Times New Roman" w:hAnsi="Times New Roman"/>
                <w:sz w:val="15"/>
                <w:szCs w:val="15"/>
                <w:color w:val="231F20"/>
              </w:rPr>
              <w:t>6,174</w:t>
            </w:r>
          </w:p>
        </w:tc>
        <w:tc>
          <w:tcPr>
            <w:tcW w:w="80" w:type="dxa"/>
            <w:vAlign w:val="bottom"/>
            <w:tcBorders>
              <w:bottom w:val="single" w:sz="8" w:color="FDFDFC"/>
            </w:tcBorders>
            <w:shd w:val="clear" w:color="auto" w:fill="D0EBF2"/>
          </w:tcPr>
          <w:p>
            <w:pPr>
              <w:spacing w:after="0"/>
              <w:rPr>
                <w:sz w:val="15"/>
                <w:szCs w:val="15"/>
                <w:color w:val="auto"/>
              </w:rPr>
            </w:pPr>
          </w:p>
        </w:tc>
        <w:tc>
          <w:tcPr>
            <w:tcW w:w="1600" w:type="dxa"/>
            <w:vAlign w:val="bottom"/>
            <w:tcBorders>
              <w:bottom w:val="single" w:sz="8" w:color="231F20"/>
            </w:tcBorders>
            <w:shd w:val="clear" w:color="auto" w:fill="D0EBF2"/>
          </w:tcPr>
          <w:p>
            <w:pPr>
              <w:jc w:val="right"/>
              <w:spacing w:after="0"/>
              <w:rPr>
                <w:sz w:val="20"/>
                <w:szCs w:val="20"/>
                <w:color w:val="auto"/>
              </w:rPr>
            </w:pPr>
            <w:r>
              <w:rPr>
                <w:rFonts w:ascii="Times New Roman" w:cs="Times New Roman" w:eastAsia="Times New Roman" w:hAnsi="Times New Roman"/>
                <w:sz w:val="15"/>
                <w:szCs w:val="15"/>
                <w:color w:val="231F20"/>
              </w:rPr>
              <w:t>4,438</w:t>
            </w:r>
          </w:p>
        </w:tc>
        <w:tc>
          <w:tcPr>
            <w:tcW w:w="100" w:type="dxa"/>
            <w:vAlign w:val="bottom"/>
            <w:tcBorders>
              <w:bottom w:val="single" w:sz="8" w:color="FDFDFC"/>
            </w:tcBorders>
            <w:shd w:val="clear" w:color="auto" w:fill="D0EBF2"/>
          </w:tcPr>
          <w:p>
            <w:pPr>
              <w:spacing w:after="0"/>
              <w:rPr>
                <w:sz w:val="15"/>
                <w:szCs w:val="15"/>
                <w:color w:val="auto"/>
              </w:rPr>
            </w:pPr>
          </w:p>
        </w:tc>
        <w:tc>
          <w:tcPr>
            <w:tcW w:w="860" w:type="dxa"/>
            <w:vAlign w:val="bottom"/>
            <w:tcBorders>
              <w:bottom w:val="single" w:sz="8" w:color="231F20"/>
            </w:tcBorders>
            <w:shd w:val="clear" w:color="auto" w:fill="D0EBF2"/>
          </w:tcPr>
          <w:p>
            <w:pPr>
              <w:jc w:val="right"/>
              <w:spacing w:after="0"/>
              <w:rPr>
                <w:sz w:val="20"/>
                <w:szCs w:val="20"/>
                <w:color w:val="auto"/>
              </w:rPr>
            </w:pPr>
            <w:r>
              <w:rPr>
                <w:rFonts w:ascii="Times New Roman" w:cs="Times New Roman" w:eastAsia="Times New Roman" w:hAnsi="Times New Roman"/>
                <w:sz w:val="15"/>
                <w:szCs w:val="15"/>
                <w:color w:val="231F20"/>
              </w:rPr>
              <w:t>0.3%</w:t>
            </w:r>
          </w:p>
        </w:tc>
      </w:tr>
      <w:tr>
        <w:trPr>
          <w:trHeight w:val="176"/>
        </w:trPr>
        <w:tc>
          <w:tcPr>
            <w:tcW w:w="1580" w:type="dxa"/>
            <w:vAlign w:val="bottom"/>
            <w:shd w:val="clear" w:color="auto" w:fill="FDFDFC"/>
          </w:tcPr>
          <w:p>
            <w:pPr>
              <w:spacing w:after="0"/>
              <w:rPr>
                <w:sz w:val="20"/>
                <w:szCs w:val="20"/>
                <w:color w:val="auto"/>
              </w:rPr>
            </w:pPr>
            <w:r>
              <w:rPr>
                <w:rFonts w:ascii="Times New Roman" w:cs="Times New Roman" w:eastAsia="Times New Roman" w:hAnsi="Times New Roman"/>
                <w:sz w:val="15"/>
                <w:szCs w:val="15"/>
                <w:b w:val="1"/>
                <w:bCs w:val="1"/>
                <w:color w:val="231F20"/>
              </w:rPr>
              <w:t>Education</w:t>
            </w:r>
          </w:p>
        </w:tc>
        <w:tc>
          <w:tcPr>
            <w:tcW w:w="2200" w:type="dxa"/>
            <w:vAlign w:val="bottom"/>
            <w:shd w:val="clear" w:color="auto" w:fill="FDFDFC"/>
          </w:tcPr>
          <w:p>
            <w:pPr>
              <w:spacing w:after="0"/>
              <w:rPr>
                <w:sz w:val="15"/>
                <w:szCs w:val="15"/>
                <w:color w:val="auto"/>
              </w:rPr>
            </w:pPr>
          </w:p>
        </w:tc>
        <w:tc>
          <w:tcPr>
            <w:tcW w:w="800" w:type="dxa"/>
            <w:vAlign w:val="bottom"/>
            <w:shd w:val="clear" w:color="auto" w:fill="FDFDFC"/>
          </w:tcPr>
          <w:p>
            <w:pPr>
              <w:spacing w:after="0"/>
              <w:rPr>
                <w:sz w:val="15"/>
                <w:szCs w:val="15"/>
                <w:color w:val="auto"/>
              </w:rPr>
            </w:pPr>
          </w:p>
        </w:tc>
        <w:tc>
          <w:tcPr>
            <w:tcW w:w="1160" w:type="dxa"/>
            <w:vAlign w:val="bottom"/>
            <w:shd w:val="clear" w:color="auto" w:fill="FDFDFC"/>
          </w:tcPr>
          <w:p>
            <w:pPr>
              <w:spacing w:after="0"/>
              <w:rPr>
                <w:sz w:val="15"/>
                <w:szCs w:val="15"/>
                <w:color w:val="auto"/>
              </w:rPr>
            </w:pPr>
          </w:p>
        </w:tc>
        <w:tc>
          <w:tcPr>
            <w:tcW w:w="900" w:type="dxa"/>
            <w:vAlign w:val="bottom"/>
            <w:shd w:val="clear" w:color="auto" w:fill="FDFDFC"/>
          </w:tcPr>
          <w:p>
            <w:pPr>
              <w:spacing w:after="0"/>
              <w:rPr>
                <w:sz w:val="15"/>
                <w:szCs w:val="15"/>
                <w:color w:val="auto"/>
              </w:rPr>
            </w:pPr>
          </w:p>
        </w:tc>
        <w:tc>
          <w:tcPr>
            <w:tcW w:w="1000" w:type="dxa"/>
            <w:vAlign w:val="bottom"/>
            <w:shd w:val="clear" w:color="auto" w:fill="FDFDFC"/>
          </w:tcPr>
          <w:p>
            <w:pPr>
              <w:spacing w:after="0"/>
              <w:rPr>
                <w:sz w:val="15"/>
                <w:szCs w:val="15"/>
                <w:color w:val="auto"/>
              </w:rPr>
            </w:pPr>
          </w:p>
        </w:tc>
        <w:tc>
          <w:tcPr>
            <w:tcW w:w="80" w:type="dxa"/>
            <w:vAlign w:val="bottom"/>
            <w:shd w:val="clear" w:color="auto" w:fill="FDFDFC"/>
          </w:tcPr>
          <w:p>
            <w:pPr>
              <w:spacing w:after="0"/>
              <w:rPr>
                <w:sz w:val="15"/>
                <w:szCs w:val="15"/>
                <w:color w:val="auto"/>
              </w:rPr>
            </w:pPr>
          </w:p>
        </w:tc>
        <w:tc>
          <w:tcPr>
            <w:tcW w:w="1600" w:type="dxa"/>
            <w:vAlign w:val="bottom"/>
            <w:shd w:val="clear" w:color="auto" w:fill="FDFDFC"/>
          </w:tcPr>
          <w:p>
            <w:pPr>
              <w:spacing w:after="0"/>
              <w:rPr>
                <w:sz w:val="15"/>
                <w:szCs w:val="15"/>
                <w:color w:val="auto"/>
              </w:rPr>
            </w:pPr>
          </w:p>
        </w:tc>
        <w:tc>
          <w:tcPr>
            <w:tcW w:w="100" w:type="dxa"/>
            <w:vAlign w:val="bottom"/>
            <w:shd w:val="clear" w:color="auto" w:fill="FDFDFC"/>
          </w:tcPr>
          <w:p>
            <w:pPr>
              <w:spacing w:after="0"/>
              <w:rPr>
                <w:sz w:val="15"/>
                <w:szCs w:val="15"/>
                <w:color w:val="auto"/>
              </w:rPr>
            </w:pPr>
          </w:p>
        </w:tc>
        <w:tc>
          <w:tcPr>
            <w:tcW w:w="860" w:type="dxa"/>
            <w:vAlign w:val="bottom"/>
            <w:shd w:val="clear" w:color="auto" w:fill="FDFDFC"/>
          </w:tcPr>
          <w:p>
            <w:pPr>
              <w:spacing w:after="0"/>
              <w:rPr>
                <w:sz w:val="15"/>
                <w:szCs w:val="15"/>
                <w:color w:val="auto"/>
              </w:rPr>
            </w:pPr>
          </w:p>
        </w:tc>
      </w:tr>
      <w:tr>
        <w:trPr>
          <w:trHeight w:val="171"/>
        </w:trPr>
        <w:tc>
          <w:tcPr>
            <w:tcW w:w="1580" w:type="dxa"/>
            <w:vAlign w:val="bottom"/>
            <w:shd w:val="clear" w:color="auto" w:fill="D0EBF2"/>
          </w:tcPr>
          <w:p>
            <w:pPr>
              <w:spacing w:after="0" w:line="172" w:lineRule="exact"/>
              <w:rPr>
                <w:sz w:val="20"/>
                <w:szCs w:val="20"/>
                <w:color w:val="auto"/>
              </w:rPr>
            </w:pPr>
            <w:r>
              <w:rPr>
                <w:rFonts w:ascii="Times New Roman" w:cs="Times New Roman" w:eastAsia="Times New Roman" w:hAnsi="Times New Roman"/>
                <w:sz w:val="15"/>
                <w:szCs w:val="15"/>
                <w:color w:val="231F20"/>
              </w:rPr>
              <w:t>Astra 2L Holdings II</w:t>
            </w:r>
          </w:p>
        </w:tc>
        <w:tc>
          <w:tcPr>
            <w:tcW w:w="2200" w:type="dxa"/>
            <w:vAlign w:val="bottom"/>
            <w:shd w:val="clear" w:color="auto" w:fill="D0EBF2"/>
          </w:tcPr>
          <w:p>
            <w:pPr>
              <w:ind w:left="60"/>
              <w:spacing w:after="0" w:line="172" w:lineRule="exact"/>
              <w:rPr>
                <w:sz w:val="20"/>
                <w:szCs w:val="20"/>
                <w:color w:val="auto"/>
              </w:rPr>
            </w:pPr>
            <w:r>
              <w:rPr>
                <w:rFonts w:ascii="Times New Roman" w:cs="Times New Roman" w:eastAsia="Times New Roman" w:hAnsi="Times New Roman"/>
                <w:sz w:val="15"/>
                <w:szCs w:val="15"/>
                <w:color w:val="231F20"/>
              </w:rPr>
              <w:t>Membership Interest (10.17%</w:t>
            </w:r>
          </w:p>
        </w:tc>
        <w:tc>
          <w:tcPr>
            <w:tcW w:w="800" w:type="dxa"/>
            <w:vAlign w:val="bottom"/>
            <w:shd w:val="clear" w:color="auto" w:fill="D0EBF2"/>
          </w:tcPr>
          <w:p>
            <w:pPr>
              <w:jc w:val="right"/>
              <w:spacing w:after="0" w:line="172" w:lineRule="exact"/>
              <w:rPr>
                <w:sz w:val="20"/>
                <w:szCs w:val="20"/>
                <w:color w:val="auto"/>
              </w:rPr>
            </w:pPr>
            <w:r>
              <w:rPr>
                <w:rFonts w:ascii="Times New Roman" w:cs="Times New Roman" w:eastAsia="Times New Roman" w:hAnsi="Times New Roman"/>
                <w:sz w:val="15"/>
                <w:szCs w:val="15"/>
                <w:color w:val="231F20"/>
              </w:rPr>
              <w:t>1/13/2022</w:t>
            </w:r>
          </w:p>
        </w:tc>
        <w:tc>
          <w:tcPr>
            <w:tcW w:w="1160" w:type="dxa"/>
            <w:vAlign w:val="bottom"/>
            <w:shd w:val="clear" w:color="auto" w:fill="D0EBF2"/>
          </w:tcPr>
          <w:p>
            <w:pPr>
              <w:spacing w:after="0"/>
              <w:rPr>
                <w:sz w:val="14"/>
                <w:szCs w:val="14"/>
                <w:color w:val="auto"/>
              </w:rPr>
            </w:pPr>
          </w:p>
        </w:tc>
        <w:tc>
          <w:tcPr>
            <w:tcW w:w="900" w:type="dxa"/>
            <w:vAlign w:val="bottom"/>
            <w:shd w:val="clear" w:color="auto" w:fill="D0EBF2"/>
          </w:tcPr>
          <w:p>
            <w:pPr>
              <w:spacing w:after="0"/>
              <w:rPr>
                <w:sz w:val="14"/>
                <w:szCs w:val="14"/>
                <w:color w:val="auto"/>
              </w:rPr>
            </w:pPr>
          </w:p>
        </w:tc>
        <w:tc>
          <w:tcPr>
            <w:tcW w:w="1000" w:type="dxa"/>
            <w:vAlign w:val="bottom"/>
            <w:shd w:val="clear" w:color="auto" w:fill="D0EBF2"/>
          </w:tcPr>
          <w:p>
            <w:pPr>
              <w:jc w:val="right"/>
              <w:spacing w:after="0" w:line="172" w:lineRule="exact"/>
              <w:rPr>
                <w:sz w:val="20"/>
                <w:szCs w:val="20"/>
                <w:color w:val="auto"/>
              </w:rPr>
            </w:pPr>
            <w:r>
              <w:rPr>
                <w:rFonts w:ascii="Times New Roman" w:cs="Times New Roman" w:eastAsia="Times New Roman" w:hAnsi="Times New Roman"/>
                <w:sz w:val="15"/>
                <w:szCs w:val="15"/>
                <w:color w:val="231F20"/>
              </w:rPr>
              <w:t>3,255</w:t>
            </w:r>
          </w:p>
        </w:tc>
        <w:tc>
          <w:tcPr>
            <w:tcW w:w="80" w:type="dxa"/>
            <w:vAlign w:val="bottom"/>
            <w:shd w:val="clear" w:color="auto" w:fill="D0EBF2"/>
          </w:tcPr>
          <w:p>
            <w:pPr>
              <w:spacing w:after="0"/>
              <w:rPr>
                <w:sz w:val="14"/>
                <w:szCs w:val="14"/>
                <w:color w:val="auto"/>
              </w:rPr>
            </w:pPr>
          </w:p>
        </w:tc>
        <w:tc>
          <w:tcPr>
            <w:tcW w:w="1600" w:type="dxa"/>
            <w:vAlign w:val="bottom"/>
            <w:shd w:val="clear" w:color="auto" w:fill="D0EBF2"/>
          </w:tcPr>
          <w:p>
            <w:pPr>
              <w:jc w:val="right"/>
              <w:spacing w:after="0" w:line="172" w:lineRule="exact"/>
              <w:rPr>
                <w:sz w:val="20"/>
                <w:szCs w:val="20"/>
                <w:color w:val="auto"/>
              </w:rPr>
            </w:pPr>
            <w:r>
              <w:rPr>
                <w:rFonts w:ascii="Times New Roman" w:cs="Times New Roman" w:eastAsia="Times New Roman" w:hAnsi="Times New Roman"/>
                <w:sz w:val="15"/>
                <w:szCs w:val="15"/>
                <w:color w:val="231F20"/>
              </w:rPr>
              <w:t>—</w:t>
            </w:r>
          </w:p>
        </w:tc>
        <w:tc>
          <w:tcPr>
            <w:tcW w:w="100" w:type="dxa"/>
            <w:vAlign w:val="bottom"/>
            <w:shd w:val="clear" w:color="auto" w:fill="D0EBF2"/>
          </w:tcPr>
          <w:p>
            <w:pPr>
              <w:spacing w:after="0"/>
              <w:rPr>
                <w:sz w:val="14"/>
                <w:szCs w:val="14"/>
                <w:color w:val="auto"/>
              </w:rPr>
            </w:pPr>
          </w:p>
        </w:tc>
        <w:tc>
          <w:tcPr>
            <w:tcW w:w="860" w:type="dxa"/>
            <w:vAlign w:val="bottom"/>
            <w:shd w:val="clear" w:color="auto" w:fill="D0EBF2"/>
          </w:tcPr>
          <w:p>
            <w:pPr>
              <w:jc w:val="right"/>
              <w:spacing w:after="0" w:line="172" w:lineRule="exact"/>
              <w:rPr>
                <w:sz w:val="20"/>
                <w:szCs w:val="20"/>
                <w:color w:val="auto"/>
              </w:rPr>
            </w:pPr>
            <w:r>
              <w:rPr>
                <w:rFonts w:ascii="Times New Roman" w:cs="Times New Roman" w:eastAsia="Times New Roman" w:hAnsi="Times New Roman"/>
                <w:sz w:val="15"/>
                <w:szCs w:val="15"/>
                <w:color w:val="231F20"/>
              </w:rPr>
              <w:t>0.0%</w:t>
            </w:r>
          </w:p>
        </w:tc>
      </w:tr>
      <w:tr>
        <w:trPr>
          <w:trHeight w:val="189"/>
        </w:trPr>
        <w:tc>
          <w:tcPr>
            <w:tcW w:w="1580" w:type="dxa"/>
            <w:vAlign w:val="bottom"/>
            <w:shd w:val="clear" w:color="auto" w:fill="D0EBF2"/>
          </w:tcPr>
          <w:p>
            <w:pPr>
              <w:spacing w:after="0" w:line="190" w:lineRule="exact"/>
              <w:rPr>
                <w:sz w:val="20"/>
                <w:szCs w:val="20"/>
                <w:color w:val="auto"/>
              </w:rPr>
            </w:pPr>
            <w:r>
              <w:rPr>
                <w:rFonts w:ascii="Times New Roman" w:cs="Times New Roman" w:eastAsia="Times New Roman" w:hAnsi="Times New Roman"/>
                <w:sz w:val="21"/>
                <w:szCs w:val="21"/>
                <w:color w:val="231F20"/>
                <w:vertAlign w:val="subscript"/>
              </w:rPr>
              <w:t>LLC</w:t>
            </w:r>
            <w:r>
              <w:rPr>
                <w:rFonts w:ascii="Times New Roman" w:cs="Times New Roman" w:eastAsia="Times New Roman" w:hAnsi="Times New Roman"/>
                <w:sz w:val="8"/>
                <w:szCs w:val="8"/>
                <w:color w:val="231F20"/>
              </w:rPr>
              <w:t xml:space="preserve"> (11)</w:t>
            </w:r>
          </w:p>
        </w:tc>
        <w:tc>
          <w:tcPr>
            <w:tcW w:w="2200" w:type="dxa"/>
            <w:vAlign w:val="bottom"/>
            <w:shd w:val="clear" w:color="auto" w:fill="D0EBF2"/>
          </w:tcPr>
          <w:p>
            <w:pPr>
              <w:ind w:left="60"/>
              <w:spacing w:after="0"/>
              <w:rPr>
                <w:sz w:val="20"/>
                <w:szCs w:val="20"/>
                <w:color w:val="auto"/>
              </w:rPr>
            </w:pPr>
            <w:r>
              <w:rPr>
                <w:rFonts w:ascii="Times New Roman" w:cs="Times New Roman" w:eastAsia="Times New Roman" w:hAnsi="Times New Roman"/>
                <w:sz w:val="15"/>
                <w:szCs w:val="15"/>
                <w:color w:val="231F20"/>
              </w:rPr>
              <w:t>ownership)</w:t>
            </w:r>
          </w:p>
        </w:tc>
        <w:tc>
          <w:tcPr>
            <w:tcW w:w="800" w:type="dxa"/>
            <w:vAlign w:val="bottom"/>
            <w:shd w:val="clear" w:color="auto" w:fill="D0EBF2"/>
          </w:tcPr>
          <w:p>
            <w:pPr>
              <w:spacing w:after="0"/>
              <w:rPr>
                <w:sz w:val="16"/>
                <w:szCs w:val="16"/>
                <w:color w:val="auto"/>
              </w:rPr>
            </w:pPr>
          </w:p>
        </w:tc>
        <w:tc>
          <w:tcPr>
            <w:tcW w:w="1160" w:type="dxa"/>
            <w:vAlign w:val="bottom"/>
            <w:shd w:val="clear" w:color="auto" w:fill="D0EBF2"/>
          </w:tcPr>
          <w:p>
            <w:pPr>
              <w:spacing w:after="0"/>
              <w:rPr>
                <w:sz w:val="16"/>
                <w:szCs w:val="16"/>
                <w:color w:val="auto"/>
              </w:rPr>
            </w:pPr>
          </w:p>
        </w:tc>
        <w:tc>
          <w:tcPr>
            <w:tcW w:w="900" w:type="dxa"/>
            <w:vAlign w:val="bottom"/>
            <w:shd w:val="clear" w:color="auto" w:fill="D0EBF2"/>
          </w:tcPr>
          <w:p>
            <w:pPr>
              <w:spacing w:after="0"/>
              <w:rPr>
                <w:sz w:val="16"/>
                <w:szCs w:val="16"/>
                <w:color w:val="auto"/>
              </w:rPr>
            </w:pPr>
          </w:p>
        </w:tc>
        <w:tc>
          <w:tcPr>
            <w:tcW w:w="1000" w:type="dxa"/>
            <w:vAlign w:val="bottom"/>
            <w:shd w:val="clear" w:color="auto" w:fill="D0EBF2"/>
          </w:tcPr>
          <w:p>
            <w:pPr>
              <w:spacing w:after="0"/>
              <w:rPr>
                <w:sz w:val="16"/>
                <w:szCs w:val="16"/>
                <w:color w:val="auto"/>
              </w:rPr>
            </w:pPr>
          </w:p>
        </w:tc>
        <w:tc>
          <w:tcPr>
            <w:tcW w:w="80" w:type="dxa"/>
            <w:vAlign w:val="bottom"/>
            <w:shd w:val="clear" w:color="auto" w:fill="D0EBF2"/>
          </w:tcPr>
          <w:p>
            <w:pPr>
              <w:spacing w:after="0"/>
              <w:rPr>
                <w:sz w:val="16"/>
                <w:szCs w:val="16"/>
                <w:color w:val="auto"/>
              </w:rPr>
            </w:pPr>
          </w:p>
        </w:tc>
        <w:tc>
          <w:tcPr>
            <w:tcW w:w="1600" w:type="dxa"/>
            <w:vAlign w:val="bottom"/>
            <w:shd w:val="clear" w:color="auto" w:fill="D0EBF2"/>
          </w:tcPr>
          <w:p>
            <w:pPr>
              <w:spacing w:after="0"/>
              <w:rPr>
                <w:sz w:val="16"/>
                <w:szCs w:val="16"/>
                <w:color w:val="auto"/>
              </w:rPr>
            </w:pPr>
          </w:p>
        </w:tc>
        <w:tc>
          <w:tcPr>
            <w:tcW w:w="100" w:type="dxa"/>
            <w:vAlign w:val="bottom"/>
            <w:shd w:val="clear" w:color="auto" w:fill="D0EBF2"/>
          </w:tcPr>
          <w:p>
            <w:pPr>
              <w:spacing w:after="0"/>
              <w:rPr>
                <w:sz w:val="16"/>
                <w:szCs w:val="16"/>
                <w:color w:val="auto"/>
              </w:rPr>
            </w:pPr>
          </w:p>
        </w:tc>
        <w:tc>
          <w:tcPr>
            <w:tcW w:w="860" w:type="dxa"/>
            <w:vAlign w:val="bottom"/>
            <w:shd w:val="clear" w:color="auto" w:fill="D0EBF2"/>
          </w:tcPr>
          <w:p>
            <w:pPr>
              <w:spacing w:after="0"/>
              <w:rPr>
                <w:sz w:val="16"/>
                <w:szCs w:val="16"/>
                <w:color w:val="auto"/>
              </w:rPr>
            </w:pPr>
          </w:p>
        </w:tc>
      </w:tr>
      <w:tr>
        <w:trPr>
          <w:trHeight w:val="187"/>
        </w:trPr>
        <w:tc>
          <w:tcPr>
            <w:tcW w:w="1580" w:type="dxa"/>
            <w:vAlign w:val="bottom"/>
            <w:shd w:val="clear" w:color="auto" w:fill="FDFDFC"/>
          </w:tcPr>
          <w:p>
            <w:pPr>
              <w:spacing w:after="0"/>
              <w:rPr>
                <w:sz w:val="20"/>
                <w:szCs w:val="20"/>
                <w:color w:val="auto"/>
              </w:rPr>
            </w:pPr>
            <w:r>
              <w:rPr>
                <w:rFonts w:ascii="Times New Roman" w:cs="Times New Roman" w:eastAsia="Times New Roman" w:hAnsi="Times New Roman"/>
                <w:sz w:val="15"/>
                <w:szCs w:val="15"/>
                <w:color w:val="231F20"/>
              </w:rPr>
              <w:t xml:space="preserve">EMS Linq, Inc. </w:t>
            </w:r>
            <w:r>
              <w:rPr>
                <w:rFonts w:ascii="Times New Roman" w:cs="Times New Roman" w:eastAsia="Times New Roman" w:hAnsi="Times New Roman"/>
                <w:sz w:val="9"/>
                <w:szCs w:val="9"/>
                <w:color w:val="231F20"/>
              </w:rPr>
              <w:t>(11)</w:t>
            </w:r>
          </w:p>
        </w:tc>
        <w:tc>
          <w:tcPr>
            <w:tcW w:w="2200" w:type="dxa"/>
            <w:vAlign w:val="bottom"/>
            <w:shd w:val="clear" w:color="auto" w:fill="FDFDFC"/>
          </w:tcPr>
          <w:p>
            <w:pPr>
              <w:ind w:left="60"/>
              <w:spacing w:after="0"/>
              <w:rPr>
                <w:sz w:val="20"/>
                <w:szCs w:val="20"/>
                <w:color w:val="auto"/>
              </w:rPr>
            </w:pPr>
            <w:r>
              <w:rPr>
                <w:rFonts w:ascii="Times New Roman" w:cs="Times New Roman" w:eastAsia="Times New Roman" w:hAnsi="Times New Roman"/>
                <w:sz w:val="15"/>
                <w:szCs w:val="15"/>
                <w:color w:val="231F20"/>
              </w:rPr>
              <w:t>Class B Units (5,522,526 units)</w:t>
            </w:r>
          </w:p>
        </w:tc>
        <w:tc>
          <w:tcPr>
            <w:tcW w:w="800" w:type="dxa"/>
            <w:vAlign w:val="bottom"/>
            <w:shd w:val="clear" w:color="auto" w:fill="FDFDFC"/>
          </w:tcPr>
          <w:p>
            <w:pPr>
              <w:jc w:val="right"/>
              <w:spacing w:after="0"/>
              <w:rPr>
                <w:sz w:val="20"/>
                <w:szCs w:val="20"/>
                <w:color w:val="auto"/>
              </w:rPr>
            </w:pPr>
            <w:r>
              <w:rPr>
                <w:rFonts w:ascii="Times New Roman" w:cs="Times New Roman" w:eastAsia="Times New Roman" w:hAnsi="Times New Roman"/>
                <w:sz w:val="15"/>
                <w:szCs w:val="15"/>
                <w:color w:val="231F20"/>
              </w:rPr>
              <w:t>12/22/2021</w:t>
            </w:r>
          </w:p>
        </w:tc>
        <w:tc>
          <w:tcPr>
            <w:tcW w:w="1160" w:type="dxa"/>
            <w:vAlign w:val="bottom"/>
            <w:shd w:val="clear" w:color="auto" w:fill="FDFDFC"/>
          </w:tcPr>
          <w:p>
            <w:pPr>
              <w:spacing w:after="0"/>
              <w:rPr>
                <w:sz w:val="16"/>
                <w:szCs w:val="16"/>
                <w:color w:val="auto"/>
              </w:rPr>
            </w:pPr>
          </w:p>
        </w:tc>
        <w:tc>
          <w:tcPr>
            <w:tcW w:w="900" w:type="dxa"/>
            <w:vAlign w:val="bottom"/>
            <w:shd w:val="clear" w:color="auto" w:fill="FDFDFC"/>
          </w:tcPr>
          <w:p>
            <w:pPr>
              <w:spacing w:after="0"/>
              <w:rPr>
                <w:sz w:val="16"/>
                <w:szCs w:val="16"/>
                <w:color w:val="auto"/>
              </w:rPr>
            </w:pPr>
          </w:p>
        </w:tc>
        <w:tc>
          <w:tcPr>
            <w:tcW w:w="1000" w:type="dxa"/>
            <w:vAlign w:val="bottom"/>
            <w:shd w:val="clear" w:color="auto" w:fill="FDFDFC"/>
          </w:tcPr>
          <w:p>
            <w:pPr>
              <w:jc w:val="right"/>
              <w:spacing w:after="0"/>
              <w:rPr>
                <w:sz w:val="20"/>
                <w:szCs w:val="20"/>
                <w:color w:val="auto"/>
              </w:rPr>
            </w:pPr>
            <w:r>
              <w:rPr>
                <w:rFonts w:ascii="Times New Roman" w:cs="Times New Roman" w:eastAsia="Times New Roman" w:hAnsi="Times New Roman"/>
                <w:sz w:val="15"/>
                <w:szCs w:val="15"/>
                <w:color w:val="231F20"/>
              </w:rPr>
              <w:t>5,522</w:t>
            </w:r>
          </w:p>
        </w:tc>
        <w:tc>
          <w:tcPr>
            <w:tcW w:w="1680" w:type="dxa"/>
            <w:vAlign w:val="bottom"/>
            <w:gridSpan w:val="2"/>
            <w:shd w:val="clear" w:color="auto" w:fill="FDFDFC"/>
          </w:tcPr>
          <w:p>
            <w:pPr>
              <w:jc w:val="right"/>
              <w:spacing w:after="0"/>
              <w:rPr>
                <w:sz w:val="20"/>
                <w:szCs w:val="20"/>
                <w:color w:val="auto"/>
              </w:rPr>
            </w:pPr>
            <w:r>
              <w:rPr>
                <w:rFonts w:ascii="Times New Roman" w:cs="Times New Roman" w:eastAsia="Times New Roman" w:hAnsi="Times New Roman"/>
                <w:sz w:val="15"/>
                <w:szCs w:val="15"/>
                <w:color w:val="231F20"/>
              </w:rPr>
              <w:t>2,830</w:t>
            </w:r>
          </w:p>
        </w:tc>
        <w:tc>
          <w:tcPr>
            <w:tcW w:w="960" w:type="dxa"/>
            <w:vAlign w:val="bottom"/>
            <w:gridSpan w:val="2"/>
            <w:shd w:val="clear" w:color="auto" w:fill="FDFDFC"/>
          </w:tcPr>
          <w:p>
            <w:pPr>
              <w:jc w:val="right"/>
              <w:spacing w:after="0"/>
              <w:rPr>
                <w:sz w:val="20"/>
                <w:szCs w:val="20"/>
                <w:color w:val="auto"/>
              </w:rPr>
            </w:pPr>
            <w:r>
              <w:rPr>
                <w:rFonts w:ascii="Times New Roman" w:cs="Times New Roman" w:eastAsia="Times New Roman" w:hAnsi="Times New Roman"/>
                <w:sz w:val="15"/>
                <w:szCs w:val="15"/>
                <w:color w:val="231F20"/>
              </w:rPr>
              <w:t>0.2%</w:t>
            </w:r>
          </w:p>
        </w:tc>
      </w:tr>
      <w:tr>
        <w:trPr>
          <w:trHeight w:val="171"/>
        </w:trPr>
        <w:tc>
          <w:tcPr>
            <w:tcW w:w="1580" w:type="dxa"/>
            <w:vAlign w:val="bottom"/>
            <w:shd w:val="clear" w:color="auto" w:fill="D0EBF2"/>
          </w:tcPr>
          <w:p>
            <w:pPr>
              <w:spacing w:after="0" w:line="172" w:lineRule="exact"/>
              <w:rPr>
                <w:sz w:val="20"/>
                <w:szCs w:val="20"/>
                <w:color w:val="auto"/>
              </w:rPr>
            </w:pPr>
            <w:r>
              <w:rPr>
                <w:rFonts w:ascii="Times New Roman" w:cs="Times New Roman" w:eastAsia="Times New Roman" w:hAnsi="Times New Roman"/>
                <w:sz w:val="15"/>
                <w:szCs w:val="15"/>
                <w:color w:val="231F20"/>
              </w:rPr>
              <w:t>RMCF IV CIV XXXV,</w:t>
            </w:r>
          </w:p>
        </w:tc>
        <w:tc>
          <w:tcPr>
            <w:tcW w:w="2200" w:type="dxa"/>
            <w:vAlign w:val="bottom"/>
            <w:shd w:val="clear" w:color="auto" w:fill="D0EBF2"/>
          </w:tcPr>
          <w:p>
            <w:pPr>
              <w:ind w:left="60"/>
              <w:spacing w:after="0" w:line="172" w:lineRule="exact"/>
              <w:rPr>
                <w:sz w:val="20"/>
                <w:szCs w:val="20"/>
                <w:color w:val="auto"/>
              </w:rPr>
            </w:pPr>
            <w:r>
              <w:rPr>
                <w:rFonts w:ascii="Times New Roman" w:cs="Times New Roman" w:eastAsia="Times New Roman" w:hAnsi="Times New Roman"/>
                <w:sz w:val="15"/>
                <w:szCs w:val="15"/>
                <w:color w:val="231F20"/>
              </w:rPr>
              <w:t>Partnership Interest (11.94%</w:t>
            </w:r>
          </w:p>
        </w:tc>
        <w:tc>
          <w:tcPr>
            <w:tcW w:w="800" w:type="dxa"/>
            <w:vAlign w:val="bottom"/>
            <w:shd w:val="clear" w:color="auto" w:fill="D0EBF2"/>
          </w:tcPr>
          <w:p>
            <w:pPr>
              <w:jc w:val="right"/>
              <w:spacing w:after="0" w:line="172" w:lineRule="exact"/>
              <w:rPr>
                <w:sz w:val="20"/>
                <w:szCs w:val="20"/>
                <w:color w:val="auto"/>
              </w:rPr>
            </w:pPr>
            <w:r>
              <w:rPr>
                <w:rFonts w:ascii="Times New Roman" w:cs="Times New Roman" w:eastAsia="Times New Roman" w:hAnsi="Times New Roman"/>
                <w:sz w:val="15"/>
                <w:szCs w:val="15"/>
                <w:color w:val="231F20"/>
              </w:rPr>
              <w:t>6/8/2021</w:t>
            </w:r>
          </w:p>
        </w:tc>
        <w:tc>
          <w:tcPr>
            <w:tcW w:w="1160" w:type="dxa"/>
            <w:vAlign w:val="bottom"/>
            <w:shd w:val="clear" w:color="auto" w:fill="D0EBF2"/>
          </w:tcPr>
          <w:p>
            <w:pPr>
              <w:spacing w:after="0"/>
              <w:rPr>
                <w:sz w:val="14"/>
                <w:szCs w:val="14"/>
                <w:color w:val="auto"/>
              </w:rPr>
            </w:pPr>
          </w:p>
        </w:tc>
        <w:tc>
          <w:tcPr>
            <w:tcW w:w="900" w:type="dxa"/>
            <w:vAlign w:val="bottom"/>
            <w:shd w:val="clear" w:color="auto" w:fill="D0EBF2"/>
          </w:tcPr>
          <w:p>
            <w:pPr>
              <w:spacing w:after="0"/>
              <w:rPr>
                <w:sz w:val="14"/>
                <w:szCs w:val="14"/>
                <w:color w:val="auto"/>
              </w:rPr>
            </w:pPr>
          </w:p>
        </w:tc>
        <w:tc>
          <w:tcPr>
            <w:tcW w:w="1000" w:type="dxa"/>
            <w:vAlign w:val="bottom"/>
            <w:shd w:val="clear" w:color="auto" w:fill="D0EBF2"/>
          </w:tcPr>
          <w:p>
            <w:pPr>
              <w:jc w:val="right"/>
              <w:spacing w:after="0" w:line="172" w:lineRule="exact"/>
              <w:rPr>
                <w:sz w:val="20"/>
                <w:szCs w:val="20"/>
                <w:color w:val="auto"/>
              </w:rPr>
            </w:pPr>
            <w:r>
              <w:rPr>
                <w:rFonts w:ascii="Times New Roman" w:cs="Times New Roman" w:eastAsia="Times New Roman" w:hAnsi="Times New Roman"/>
                <w:sz w:val="15"/>
                <w:szCs w:val="15"/>
                <w:color w:val="231F20"/>
              </w:rPr>
              <w:t>1,000</w:t>
            </w:r>
          </w:p>
        </w:tc>
        <w:tc>
          <w:tcPr>
            <w:tcW w:w="1680" w:type="dxa"/>
            <w:vAlign w:val="bottom"/>
            <w:gridSpan w:val="2"/>
            <w:shd w:val="clear" w:color="auto" w:fill="D0EBF2"/>
          </w:tcPr>
          <w:p>
            <w:pPr>
              <w:jc w:val="right"/>
              <w:spacing w:after="0" w:line="172" w:lineRule="exact"/>
              <w:rPr>
                <w:sz w:val="20"/>
                <w:szCs w:val="20"/>
                <w:color w:val="auto"/>
              </w:rPr>
            </w:pPr>
            <w:r>
              <w:rPr>
                <w:rFonts w:ascii="Times New Roman" w:cs="Times New Roman" w:eastAsia="Times New Roman" w:hAnsi="Times New Roman"/>
                <w:sz w:val="15"/>
                <w:szCs w:val="15"/>
                <w:color w:val="231F20"/>
              </w:rPr>
              <w:t>1,625</w:t>
            </w:r>
          </w:p>
        </w:tc>
        <w:tc>
          <w:tcPr>
            <w:tcW w:w="960" w:type="dxa"/>
            <w:vAlign w:val="bottom"/>
            <w:gridSpan w:val="2"/>
            <w:shd w:val="clear" w:color="auto" w:fill="D0EBF2"/>
          </w:tcPr>
          <w:p>
            <w:pPr>
              <w:jc w:val="right"/>
              <w:spacing w:after="0" w:line="172" w:lineRule="exact"/>
              <w:rPr>
                <w:sz w:val="20"/>
                <w:szCs w:val="20"/>
                <w:color w:val="auto"/>
              </w:rPr>
            </w:pPr>
            <w:r>
              <w:rPr>
                <w:rFonts w:ascii="Times New Roman" w:cs="Times New Roman" w:eastAsia="Times New Roman" w:hAnsi="Times New Roman"/>
                <w:sz w:val="15"/>
                <w:szCs w:val="15"/>
                <w:color w:val="231F20"/>
              </w:rPr>
              <w:t>0.1%</w:t>
            </w:r>
          </w:p>
        </w:tc>
      </w:tr>
      <w:tr>
        <w:trPr>
          <w:trHeight w:val="189"/>
        </w:trPr>
        <w:tc>
          <w:tcPr>
            <w:tcW w:w="1580" w:type="dxa"/>
            <w:vAlign w:val="bottom"/>
            <w:tcBorders>
              <w:bottom w:val="single" w:sz="8" w:color="FDFDFC"/>
            </w:tcBorders>
            <w:shd w:val="clear" w:color="auto" w:fill="D0EBF2"/>
          </w:tcPr>
          <w:p>
            <w:pPr>
              <w:spacing w:after="0" w:line="190" w:lineRule="exact"/>
              <w:rPr>
                <w:sz w:val="20"/>
                <w:szCs w:val="20"/>
                <w:color w:val="auto"/>
              </w:rPr>
            </w:pPr>
            <w:r>
              <w:rPr>
                <w:rFonts w:ascii="Times New Roman" w:cs="Times New Roman" w:eastAsia="Times New Roman" w:hAnsi="Times New Roman"/>
                <w:sz w:val="21"/>
                <w:szCs w:val="21"/>
                <w:color w:val="231F20"/>
                <w:vertAlign w:val="subscript"/>
              </w:rPr>
              <w:t>LP.</w:t>
            </w:r>
            <w:r>
              <w:rPr>
                <w:rFonts w:ascii="Times New Roman" w:cs="Times New Roman" w:eastAsia="Times New Roman" w:hAnsi="Times New Roman"/>
                <w:sz w:val="8"/>
                <w:szCs w:val="8"/>
                <w:color w:val="231F20"/>
              </w:rPr>
              <w:t xml:space="preserve"> (11)</w:t>
            </w:r>
          </w:p>
        </w:tc>
        <w:tc>
          <w:tcPr>
            <w:tcW w:w="2200" w:type="dxa"/>
            <w:vAlign w:val="bottom"/>
            <w:tcBorders>
              <w:bottom w:val="single" w:sz="8" w:color="FDFDFC"/>
            </w:tcBorders>
            <w:shd w:val="clear" w:color="auto" w:fill="D0EBF2"/>
          </w:tcPr>
          <w:p>
            <w:pPr>
              <w:ind w:left="60"/>
              <w:spacing w:after="0"/>
              <w:rPr>
                <w:sz w:val="20"/>
                <w:szCs w:val="20"/>
                <w:color w:val="auto"/>
              </w:rPr>
            </w:pPr>
            <w:r>
              <w:rPr>
                <w:rFonts w:ascii="Times New Roman" w:cs="Times New Roman" w:eastAsia="Times New Roman" w:hAnsi="Times New Roman"/>
                <w:sz w:val="15"/>
                <w:szCs w:val="15"/>
                <w:color w:val="231F20"/>
              </w:rPr>
              <w:t>ownership)</w:t>
            </w:r>
          </w:p>
        </w:tc>
        <w:tc>
          <w:tcPr>
            <w:tcW w:w="800" w:type="dxa"/>
            <w:vAlign w:val="bottom"/>
            <w:tcBorders>
              <w:bottom w:val="single" w:sz="8" w:color="FDFDFC"/>
            </w:tcBorders>
            <w:shd w:val="clear" w:color="auto" w:fill="D0EBF2"/>
          </w:tcPr>
          <w:p>
            <w:pPr>
              <w:spacing w:after="0"/>
              <w:rPr>
                <w:sz w:val="16"/>
                <w:szCs w:val="16"/>
                <w:color w:val="auto"/>
              </w:rPr>
            </w:pPr>
          </w:p>
        </w:tc>
        <w:tc>
          <w:tcPr>
            <w:tcW w:w="1160" w:type="dxa"/>
            <w:vAlign w:val="bottom"/>
            <w:tcBorders>
              <w:bottom w:val="single" w:sz="8" w:color="FDFDFC"/>
            </w:tcBorders>
            <w:shd w:val="clear" w:color="auto" w:fill="D0EBF2"/>
          </w:tcPr>
          <w:p>
            <w:pPr>
              <w:spacing w:after="0"/>
              <w:rPr>
                <w:sz w:val="16"/>
                <w:szCs w:val="16"/>
                <w:color w:val="auto"/>
              </w:rPr>
            </w:pPr>
          </w:p>
        </w:tc>
        <w:tc>
          <w:tcPr>
            <w:tcW w:w="900" w:type="dxa"/>
            <w:vAlign w:val="bottom"/>
            <w:tcBorders>
              <w:bottom w:val="single" w:sz="8" w:color="FDFDFC"/>
            </w:tcBorders>
            <w:shd w:val="clear" w:color="auto" w:fill="D0EBF2"/>
          </w:tcPr>
          <w:p>
            <w:pPr>
              <w:spacing w:after="0"/>
              <w:rPr>
                <w:sz w:val="16"/>
                <w:szCs w:val="16"/>
                <w:color w:val="auto"/>
              </w:rPr>
            </w:pPr>
          </w:p>
        </w:tc>
        <w:tc>
          <w:tcPr>
            <w:tcW w:w="1000" w:type="dxa"/>
            <w:vAlign w:val="bottom"/>
            <w:tcBorders>
              <w:bottom w:val="single" w:sz="8" w:color="231F20"/>
            </w:tcBorders>
            <w:shd w:val="clear" w:color="auto" w:fill="D0EBF2"/>
          </w:tcPr>
          <w:p>
            <w:pPr>
              <w:spacing w:after="0"/>
              <w:rPr>
                <w:sz w:val="16"/>
                <w:szCs w:val="16"/>
                <w:color w:val="auto"/>
              </w:rPr>
            </w:pPr>
          </w:p>
        </w:tc>
        <w:tc>
          <w:tcPr>
            <w:tcW w:w="80" w:type="dxa"/>
            <w:vAlign w:val="bottom"/>
            <w:tcBorders>
              <w:bottom w:val="single" w:sz="8" w:color="FDFDFC"/>
            </w:tcBorders>
            <w:shd w:val="clear" w:color="auto" w:fill="D0EBF2"/>
          </w:tcPr>
          <w:p>
            <w:pPr>
              <w:spacing w:after="0"/>
              <w:rPr>
                <w:sz w:val="16"/>
                <w:szCs w:val="16"/>
                <w:color w:val="auto"/>
              </w:rPr>
            </w:pPr>
          </w:p>
        </w:tc>
        <w:tc>
          <w:tcPr>
            <w:tcW w:w="1600" w:type="dxa"/>
            <w:vAlign w:val="bottom"/>
            <w:tcBorders>
              <w:bottom w:val="single" w:sz="8" w:color="231F20"/>
            </w:tcBorders>
            <w:shd w:val="clear" w:color="auto" w:fill="D0EBF2"/>
          </w:tcPr>
          <w:p>
            <w:pPr>
              <w:spacing w:after="0"/>
              <w:rPr>
                <w:sz w:val="16"/>
                <w:szCs w:val="16"/>
                <w:color w:val="auto"/>
              </w:rPr>
            </w:pPr>
          </w:p>
        </w:tc>
        <w:tc>
          <w:tcPr>
            <w:tcW w:w="100" w:type="dxa"/>
            <w:vAlign w:val="bottom"/>
            <w:tcBorders>
              <w:bottom w:val="single" w:sz="8" w:color="FDFDFC"/>
            </w:tcBorders>
            <w:shd w:val="clear" w:color="auto" w:fill="D0EBF2"/>
          </w:tcPr>
          <w:p>
            <w:pPr>
              <w:spacing w:after="0"/>
              <w:rPr>
                <w:sz w:val="16"/>
                <w:szCs w:val="16"/>
                <w:color w:val="auto"/>
              </w:rPr>
            </w:pPr>
          </w:p>
        </w:tc>
        <w:tc>
          <w:tcPr>
            <w:tcW w:w="860" w:type="dxa"/>
            <w:vAlign w:val="bottom"/>
            <w:tcBorders>
              <w:bottom w:val="single" w:sz="8" w:color="231F20"/>
            </w:tcBorders>
            <w:shd w:val="clear" w:color="auto" w:fill="D0EBF2"/>
          </w:tcPr>
          <w:p>
            <w:pPr>
              <w:spacing w:after="0"/>
              <w:rPr>
                <w:sz w:val="16"/>
                <w:szCs w:val="16"/>
                <w:color w:val="auto"/>
              </w:rPr>
            </w:pPr>
          </w:p>
        </w:tc>
      </w:tr>
      <w:tr>
        <w:trPr>
          <w:trHeight w:val="176"/>
        </w:trPr>
        <w:tc>
          <w:tcPr>
            <w:tcW w:w="1580" w:type="dxa"/>
            <w:vAlign w:val="bottom"/>
            <w:tcBorders>
              <w:bottom w:val="single" w:sz="8" w:color="D0EBF2"/>
            </w:tcBorders>
            <w:shd w:val="clear" w:color="auto" w:fill="FDFDFC"/>
          </w:tcPr>
          <w:p>
            <w:pPr>
              <w:spacing w:after="0"/>
              <w:rPr>
                <w:sz w:val="15"/>
                <w:szCs w:val="15"/>
                <w:color w:val="auto"/>
              </w:rPr>
            </w:pPr>
          </w:p>
        </w:tc>
        <w:tc>
          <w:tcPr>
            <w:tcW w:w="2200" w:type="dxa"/>
            <w:vAlign w:val="bottom"/>
            <w:tcBorders>
              <w:bottom w:val="single" w:sz="8" w:color="D0EBF2"/>
            </w:tcBorders>
            <w:shd w:val="clear" w:color="auto" w:fill="FDFDFC"/>
          </w:tcPr>
          <w:p>
            <w:pPr>
              <w:spacing w:after="0"/>
              <w:rPr>
                <w:sz w:val="15"/>
                <w:szCs w:val="15"/>
                <w:color w:val="auto"/>
              </w:rPr>
            </w:pPr>
          </w:p>
        </w:tc>
        <w:tc>
          <w:tcPr>
            <w:tcW w:w="800" w:type="dxa"/>
            <w:vAlign w:val="bottom"/>
            <w:tcBorders>
              <w:bottom w:val="single" w:sz="8" w:color="D0EBF2"/>
            </w:tcBorders>
            <w:shd w:val="clear" w:color="auto" w:fill="FDFDFC"/>
          </w:tcPr>
          <w:p>
            <w:pPr>
              <w:spacing w:after="0"/>
              <w:rPr>
                <w:sz w:val="15"/>
                <w:szCs w:val="15"/>
                <w:color w:val="auto"/>
              </w:rPr>
            </w:pPr>
          </w:p>
        </w:tc>
        <w:tc>
          <w:tcPr>
            <w:tcW w:w="1160" w:type="dxa"/>
            <w:vAlign w:val="bottom"/>
            <w:tcBorders>
              <w:bottom w:val="single" w:sz="8" w:color="D0EBF2"/>
            </w:tcBorders>
            <w:shd w:val="clear" w:color="auto" w:fill="FDFDFC"/>
          </w:tcPr>
          <w:p>
            <w:pPr>
              <w:spacing w:after="0"/>
              <w:rPr>
                <w:sz w:val="15"/>
                <w:szCs w:val="15"/>
                <w:color w:val="auto"/>
              </w:rPr>
            </w:pPr>
          </w:p>
        </w:tc>
        <w:tc>
          <w:tcPr>
            <w:tcW w:w="900" w:type="dxa"/>
            <w:vAlign w:val="bottom"/>
            <w:tcBorders>
              <w:bottom w:val="single" w:sz="8" w:color="D0EBF2"/>
            </w:tcBorders>
            <w:shd w:val="clear" w:color="auto" w:fill="FDFDFC"/>
          </w:tcPr>
          <w:p>
            <w:pPr>
              <w:spacing w:after="0"/>
              <w:rPr>
                <w:sz w:val="15"/>
                <w:szCs w:val="15"/>
                <w:color w:val="auto"/>
              </w:rPr>
            </w:pPr>
          </w:p>
        </w:tc>
        <w:tc>
          <w:tcPr>
            <w:tcW w:w="1000" w:type="dxa"/>
            <w:vAlign w:val="bottom"/>
            <w:tcBorders>
              <w:bottom w:val="single" w:sz="8" w:color="231F20"/>
            </w:tcBorders>
            <w:shd w:val="clear" w:color="auto" w:fill="FDFDFC"/>
          </w:tcPr>
          <w:p>
            <w:pPr>
              <w:jc w:val="right"/>
              <w:spacing w:after="0"/>
              <w:rPr>
                <w:sz w:val="20"/>
                <w:szCs w:val="20"/>
                <w:color w:val="auto"/>
              </w:rPr>
            </w:pPr>
            <w:r>
              <w:rPr>
                <w:rFonts w:ascii="Times New Roman" w:cs="Times New Roman" w:eastAsia="Times New Roman" w:hAnsi="Times New Roman"/>
                <w:sz w:val="15"/>
                <w:szCs w:val="15"/>
                <w:color w:val="231F20"/>
              </w:rPr>
              <w:t>9,777</w:t>
            </w:r>
          </w:p>
        </w:tc>
        <w:tc>
          <w:tcPr>
            <w:tcW w:w="80" w:type="dxa"/>
            <w:vAlign w:val="bottom"/>
            <w:tcBorders>
              <w:bottom w:val="single" w:sz="8" w:color="D0EBF2"/>
            </w:tcBorders>
            <w:shd w:val="clear" w:color="auto" w:fill="FDFDFC"/>
          </w:tcPr>
          <w:p>
            <w:pPr>
              <w:spacing w:after="0"/>
              <w:rPr>
                <w:sz w:val="15"/>
                <w:szCs w:val="15"/>
                <w:color w:val="auto"/>
              </w:rPr>
            </w:pPr>
          </w:p>
        </w:tc>
        <w:tc>
          <w:tcPr>
            <w:tcW w:w="1600" w:type="dxa"/>
            <w:vAlign w:val="bottom"/>
            <w:tcBorders>
              <w:bottom w:val="single" w:sz="8" w:color="231F20"/>
            </w:tcBorders>
            <w:shd w:val="clear" w:color="auto" w:fill="FDFDFC"/>
          </w:tcPr>
          <w:p>
            <w:pPr>
              <w:jc w:val="right"/>
              <w:spacing w:after="0"/>
              <w:rPr>
                <w:sz w:val="20"/>
                <w:szCs w:val="20"/>
                <w:color w:val="auto"/>
              </w:rPr>
            </w:pPr>
            <w:r>
              <w:rPr>
                <w:rFonts w:ascii="Times New Roman" w:cs="Times New Roman" w:eastAsia="Times New Roman" w:hAnsi="Times New Roman"/>
                <w:sz w:val="15"/>
                <w:szCs w:val="15"/>
                <w:color w:val="231F20"/>
              </w:rPr>
              <w:t>4,455</w:t>
            </w:r>
          </w:p>
        </w:tc>
        <w:tc>
          <w:tcPr>
            <w:tcW w:w="100" w:type="dxa"/>
            <w:vAlign w:val="bottom"/>
            <w:tcBorders>
              <w:bottom w:val="single" w:sz="8" w:color="D0EBF2"/>
            </w:tcBorders>
            <w:shd w:val="clear" w:color="auto" w:fill="FDFDFC"/>
          </w:tcPr>
          <w:p>
            <w:pPr>
              <w:spacing w:after="0"/>
              <w:rPr>
                <w:sz w:val="15"/>
                <w:szCs w:val="15"/>
                <w:color w:val="auto"/>
              </w:rPr>
            </w:pPr>
          </w:p>
        </w:tc>
        <w:tc>
          <w:tcPr>
            <w:tcW w:w="860" w:type="dxa"/>
            <w:vAlign w:val="bottom"/>
            <w:tcBorders>
              <w:bottom w:val="single" w:sz="8" w:color="231F20"/>
            </w:tcBorders>
            <w:shd w:val="clear" w:color="auto" w:fill="FDFDFC"/>
          </w:tcPr>
          <w:p>
            <w:pPr>
              <w:jc w:val="right"/>
              <w:spacing w:after="0"/>
              <w:rPr>
                <w:sz w:val="20"/>
                <w:szCs w:val="20"/>
                <w:color w:val="auto"/>
              </w:rPr>
            </w:pPr>
            <w:r>
              <w:rPr>
                <w:rFonts w:ascii="Times New Roman" w:cs="Times New Roman" w:eastAsia="Times New Roman" w:hAnsi="Times New Roman"/>
                <w:sz w:val="15"/>
                <w:szCs w:val="15"/>
                <w:color w:val="231F20"/>
              </w:rPr>
              <w:t>0.3%</w:t>
            </w:r>
          </w:p>
        </w:tc>
      </w:tr>
      <w:tr>
        <w:trPr>
          <w:trHeight w:val="176"/>
        </w:trPr>
        <w:tc>
          <w:tcPr>
            <w:tcW w:w="1580" w:type="dxa"/>
            <w:vAlign w:val="bottom"/>
            <w:shd w:val="clear" w:color="auto" w:fill="D0EBF2"/>
          </w:tcPr>
          <w:p>
            <w:pPr>
              <w:spacing w:after="0"/>
              <w:rPr>
                <w:sz w:val="20"/>
                <w:szCs w:val="20"/>
                <w:color w:val="auto"/>
              </w:rPr>
            </w:pPr>
            <w:r>
              <w:rPr>
                <w:rFonts w:ascii="Times New Roman" w:cs="Times New Roman" w:eastAsia="Times New Roman" w:hAnsi="Times New Roman"/>
                <w:sz w:val="15"/>
                <w:szCs w:val="15"/>
                <w:b w:val="1"/>
                <w:bCs w:val="1"/>
                <w:color w:val="231F20"/>
              </w:rPr>
              <w:t>Financial Services</w:t>
            </w:r>
          </w:p>
        </w:tc>
        <w:tc>
          <w:tcPr>
            <w:tcW w:w="2200" w:type="dxa"/>
            <w:vAlign w:val="bottom"/>
            <w:shd w:val="clear" w:color="auto" w:fill="D0EBF2"/>
          </w:tcPr>
          <w:p>
            <w:pPr>
              <w:spacing w:after="0"/>
              <w:rPr>
                <w:sz w:val="15"/>
                <w:szCs w:val="15"/>
                <w:color w:val="auto"/>
              </w:rPr>
            </w:pPr>
          </w:p>
        </w:tc>
        <w:tc>
          <w:tcPr>
            <w:tcW w:w="800" w:type="dxa"/>
            <w:vAlign w:val="bottom"/>
            <w:shd w:val="clear" w:color="auto" w:fill="D0EBF2"/>
          </w:tcPr>
          <w:p>
            <w:pPr>
              <w:spacing w:after="0"/>
              <w:rPr>
                <w:sz w:val="15"/>
                <w:szCs w:val="15"/>
                <w:color w:val="auto"/>
              </w:rPr>
            </w:pPr>
          </w:p>
        </w:tc>
        <w:tc>
          <w:tcPr>
            <w:tcW w:w="1160" w:type="dxa"/>
            <w:vAlign w:val="bottom"/>
            <w:shd w:val="clear" w:color="auto" w:fill="D0EBF2"/>
          </w:tcPr>
          <w:p>
            <w:pPr>
              <w:spacing w:after="0"/>
              <w:rPr>
                <w:sz w:val="15"/>
                <w:szCs w:val="15"/>
                <w:color w:val="auto"/>
              </w:rPr>
            </w:pPr>
          </w:p>
        </w:tc>
        <w:tc>
          <w:tcPr>
            <w:tcW w:w="900" w:type="dxa"/>
            <w:vAlign w:val="bottom"/>
            <w:shd w:val="clear" w:color="auto" w:fill="D0EBF2"/>
          </w:tcPr>
          <w:p>
            <w:pPr>
              <w:spacing w:after="0"/>
              <w:rPr>
                <w:sz w:val="15"/>
                <w:szCs w:val="15"/>
                <w:color w:val="auto"/>
              </w:rPr>
            </w:pPr>
          </w:p>
        </w:tc>
        <w:tc>
          <w:tcPr>
            <w:tcW w:w="1000" w:type="dxa"/>
            <w:vAlign w:val="bottom"/>
            <w:shd w:val="clear" w:color="auto" w:fill="D0EBF2"/>
          </w:tcPr>
          <w:p>
            <w:pPr>
              <w:spacing w:after="0"/>
              <w:rPr>
                <w:sz w:val="15"/>
                <w:szCs w:val="15"/>
                <w:color w:val="auto"/>
              </w:rPr>
            </w:pPr>
          </w:p>
        </w:tc>
        <w:tc>
          <w:tcPr>
            <w:tcW w:w="80" w:type="dxa"/>
            <w:vAlign w:val="bottom"/>
            <w:shd w:val="clear" w:color="auto" w:fill="D0EBF2"/>
          </w:tcPr>
          <w:p>
            <w:pPr>
              <w:spacing w:after="0"/>
              <w:rPr>
                <w:sz w:val="15"/>
                <w:szCs w:val="15"/>
                <w:color w:val="auto"/>
              </w:rPr>
            </w:pPr>
          </w:p>
        </w:tc>
        <w:tc>
          <w:tcPr>
            <w:tcW w:w="1600" w:type="dxa"/>
            <w:vAlign w:val="bottom"/>
            <w:shd w:val="clear" w:color="auto" w:fill="D0EBF2"/>
          </w:tcPr>
          <w:p>
            <w:pPr>
              <w:spacing w:after="0"/>
              <w:rPr>
                <w:sz w:val="15"/>
                <w:szCs w:val="15"/>
                <w:color w:val="auto"/>
              </w:rPr>
            </w:pPr>
          </w:p>
        </w:tc>
        <w:tc>
          <w:tcPr>
            <w:tcW w:w="100" w:type="dxa"/>
            <w:vAlign w:val="bottom"/>
            <w:shd w:val="clear" w:color="auto" w:fill="D0EBF2"/>
          </w:tcPr>
          <w:p>
            <w:pPr>
              <w:spacing w:after="0"/>
              <w:rPr>
                <w:sz w:val="15"/>
                <w:szCs w:val="15"/>
                <w:color w:val="auto"/>
              </w:rPr>
            </w:pPr>
          </w:p>
        </w:tc>
        <w:tc>
          <w:tcPr>
            <w:tcW w:w="860" w:type="dxa"/>
            <w:vAlign w:val="bottom"/>
            <w:shd w:val="clear" w:color="auto" w:fill="D0EBF2"/>
          </w:tcPr>
          <w:p>
            <w:pPr>
              <w:spacing w:after="0"/>
              <w:rPr>
                <w:sz w:val="15"/>
                <w:szCs w:val="15"/>
                <w:color w:val="auto"/>
              </w:rPr>
            </w:pPr>
          </w:p>
        </w:tc>
      </w:tr>
      <w:tr>
        <w:trPr>
          <w:trHeight w:val="187"/>
        </w:trPr>
        <w:tc>
          <w:tcPr>
            <w:tcW w:w="1580" w:type="dxa"/>
            <w:vAlign w:val="bottom"/>
            <w:shd w:val="clear" w:color="auto" w:fill="FDFDFC"/>
          </w:tcPr>
          <w:p>
            <w:pPr>
              <w:spacing w:after="0"/>
              <w:rPr>
                <w:sz w:val="20"/>
                <w:szCs w:val="20"/>
                <w:color w:val="auto"/>
              </w:rPr>
            </w:pPr>
            <w:r>
              <w:rPr>
                <w:rFonts w:ascii="Times New Roman" w:cs="Times New Roman" w:eastAsia="Times New Roman" w:hAnsi="Times New Roman"/>
                <w:sz w:val="15"/>
                <w:szCs w:val="15"/>
                <w:color w:val="231F20"/>
                <w:highlight w:val="white"/>
              </w:rPr>
              <w:t>AF Eagle Parent, L.P.</w:t>
            </w:r>
            <w:r>
              <w:rPr>
                <w:rFonts w:ascii="Times New Roman" w:cs="Times New Roman" w:eastAsia="Times New Roman" w:hAnsi="Times New Roman"/>
                <w:sz w:val="9"/>
                <w:szCs w:val="9"/>
                <w:color w:val="231F20"/>
                <w:highlight w:val="white"/>
              </w:rPr>
              <w:t>(11)</w:t>
            </w:r>
          </w:p>
        </w:tc>
        <w:tc>
          <w:tcPr>
            <w:tcW w:w="2200" w:type="dxa"/>
            <w:vAlign w:val="bottom"/>
            <w:shd w:val="clear" w:color="auto" w:fill="FDFDFC"/>
          </w:tcPr>
          <w:p>
            <w:pPr>
              <w:ind w:left="60"/>
              <w:spacing w:after="0"/>
              <w:rPr>
                <w:sz w:val="20"/>
                <w:szCs w:val="20"/>
                <w:color w:val="auto"/>
              </w:rPr>
            </w:pPr>
            <w:r>
              <w:rPr>
                <w:rFonts w:ascii="Times New Roman" w:cs="Times New Roman" w:eastAsia="Times New Roman" w:hAnsi="Times New Roman"/>
                <w:sz w:val="15"/>
                <w:szCs w:val="15"/>
                <w:color w:val="231F20"/>
                <w:highlight w:val="white"/>
              </w:rPr>
              <w:t>Partnership Units (121,329 units)</w:t>
            </w:r>
          </w:p>
        </w:tc>
        <w:tc>
          <w:tcPr>
            <w:tcW w:w="800" w:type="dxa"/>
            <w:vAlign w:val="bottom"/>
            <w:shd w:val="clear" w:color="auto" w:fill="FDFDFC"/>
          </w:tcPr>
          <w:p>
            <w:pPr>
              <w:jc w:val="right"/>
              <w:spacing w:after="0"/>
              <w:rPr>
                <w:sz w:val="20"/>
                <w:szCs w:val="20"/>
                <w:color w:val="auto"/>
              </w:rPr>
            </w:pPr>
            <w:r>
              <w:rPr>
                <w:rFonts w:ascii="Times New Roman" w:cs="Times New Roman" w:eastAsia="Times New Roman" w:hAnsi="Times New Roman"/>
                <w:sz w:val="15"/>
                <w:szCs w:val="15"/>
                <w:color w:val="231F20"/>
                <w:highlight w:val="white"/>
              </w:rPr>
              <w:t>11/27/2023</w:t>
            </w:r>
          </w:p>
        </w:tc>
        <w:tc>
          <w:tcPr>
            <w:tcW w:w="1160" w:type="dxa"/>
            <w:vAlign w:val="bottom"/>
            <w:shd w:val="clear" w:color="auto" w:fill="FDFDFC"/>
          </w:tcPr>
          <w:p>
            <w:pPr>
              <w:spacing w:after="0"/>
              <w:rPr>
                <w:sz w:val="16"/>
                <w:szCs w:val="16"/>
                <w:color w:val="auto"/>
              </w:rPr>
            </w:pPr>
          </w:p>
        </w:tc>
        <w:tc>
          <w:tcPr>
            <w:tcW w:w="900" w:type="dxa"/>
            <w:vAlign w:val="bottom"/>
            <w:shd w:val="clear" w:color="auto" w:fill="FDFDFC"/>
          </w:tcPr>
          <w:p>
            <w:pPr>
              <w:spacing w:after="0"/>
              <w:rPr>
                <w:sz w:val="16"/>
                <w:szCs w:val="16"/>
                <w:color w:val="auto"/>
              </w:rPr>
            </w:pPr>
          </w:p>
        </w:tc>
        <w:tc>
          <w:tcPr>
            <w:tcW w:w="1000" w:type="dxa"/>
            <w:vAlign w:val="bottom"/>
            <w:shd w:val="clear" w:color="auto" w:fill="FDFDFC"/>
          </w:tcPr>
          <w:p>
            <w:pPr>
              <w:jc w:val="right"/>
              <w:spacing w:after="0"/>
              <w:rPr>
                <w:sz w:val="20"/>
                <w:szCs w:val="20"/>
                <w:color w:val="auto"/>
              </w:rPr>
            </w:pPr>
            <w:r>
              <w:rPr>
                <w:rFonts w:ascii="Times New Roman" w:cs="Times New Roman" w:eastAsia="Times New Roman" w:hAnsi="Times New Roman"/>
                <w:sz w:val="15"/>
                <w:szCs w:val="15"/>
                <w:color w:val="231F20"/>
              </w:rPr>
              <w:t>4,091</w:t>
            </w:r>
          </w:p>
        </w:tc>
        <w:tc>
          <w:tcPr>
            <w:tcW w:w="80" w:type="dxa"/>
            <w:vAlign w:val="bottom"/>
            <w:shd w:val="clear" w:color="auto" w:fill="FDFDFC"/>
          </w:tcPr>
          <w:p>
            <w:pPr>
              <w:spacing w:after="0"/>
              <w:rPr>
                <w:sz w:val="16"/>
                <w:szCs w:val="16"/>
                <w:color w:val="auto"/>
              </w:rPr>
            </w:pPr>
          </w:p>
        </w:tc>
        <w:tc>
          <w:tcPr>
            <w:tcW w:w="1600" w:type="dxa"/>
            <w:vAlign w:val="bottom"/>
            <w:shd w:val="clear" w:color="auto" w:fill="FDFDFC"/>
          </w:tcPr>
          <w:p>
            <w:pPr>
              <w:jc w:val="right"/>
              <w:spacing w:after="0"/>
              <w:rPr>
                <w:sz w:val="20"/>
                <w:szCs w:val="20"/>
                <w:color w:val="auto"/>
              </w:rPr>
            </w:pPr>
            <w:r>
              <w:rPr>
                <w:rFonts w:ascii="Times New Roman" w:cs="Times New Roman" w:eastAsia="Times New Roman" w:hAnsi="Times New Roman"/>
                <w:sz w:val="15"/>
                <w:szCs w:val="15"/>
                <w:color w:val="231F20"/>
              </w:rPr>
              <w:t>4,684</w:t>
            </w:r>
          </w:p>
        </w:tc>
        <w:tc>
          <w:tcPr>
            <w:tcW w:w="100" w:type="dxa"/>
            <w:vAlign w:val="bottom"/>
            <w:shd w:val="clear" w:color="auto" w:fill="FDFDFC"/>
          </w:tcPr>
          <w:p>
            <w:pPr>
              <w:spacing w:after="0"/>
              <w:rPr>
                <w:sz w:val="16"/>
                <w:szCs w:val="16"/>
                <w:color w:val="auto"/>
              </w:rPr>
            </w:pPr>
          </w:p>
        </w:tc>
        <w:tc>
          <w:tcPr>
            <w:tcW w:w="860" w:type="dxa"/>
            <w:vAlign w:val="bottom"/>
            <w:shd w:val="clear" w:color="auto" w:fill="FDFDFC"/>
          </w:tcPr>
          <w:p>
            <w:pPr>
              <w:jc w:val="right"/>
              <w:spacing w:after="0"/>
              <w:rPr>
                <w:sz w:val="20"/>
                <w:szCs w:val="20"/>
                <w:color w:val="auto"/>
              </w:rPr>
            </w:pPr>
            <w:r>
              <w:rPr>
                <w:rFonts w:ascii="Times New Roman" w:cs="Times New Roman" w:eastAsia="Times New Roman" w:hAnsi="Times New Roman"/>
                <w:sz w:val="15"/>
                <w:szCs w:val="15"/>
                <w:color w:val="231F20"/>
              </w:rPr>
              <w:t>0.3%</w:t>
            </w:r>
          </w:p>
        </w:tc>
      </w:tr>
      <w:tr>
        <w:trPr>
          <w:trHeight w:val="171"/>
        </w:trPr>
        <w:tc>
          <w:tcPr>
            <w:tcW w:w="1580" w:type="dxa"/>
            <w:vAlign w:val="bottom"/>
            <w:shd w:val="clear" w:color="auto" w:fill="D0EBF2"/>
          </w:tcPr>
          <w:p>
            <w:pPr>
              <w:spacing w:after="0" w:line="172" w:lineRule="exact"/>
              <w:rPr>
                <w:sz w:val="20"/>
                <w:szCs w:val="20"/>
                <w:color w:val="auto"/>
              </w:rPr>
            </w:pPr>
            <w:r>
              <w:rPr>
                <w:rFonts w:ascii="Times New Roman" w:cs="Times New Roman" w:eastAsia="Times New Roman" w:hAnsi="Times New Roman"/>
                <w:sz w:val="15"/>
                <w:szCs w:val="15"/>
                <w:color w:val="231F20"/>
              </w:rPr>
              <w:t>CLGF Holdings,</w:t>
            </w:r>
          </w:p>
        </w:tc>
        <w:tc>
          <w:tcPr>
            <w:tcW w:w="2200" w:type="dxa"/>
            <w:vAlign w:val="bottom"/>
            <w:shd w:val="clear" w:color="auto" w:fill="D0EBF2"/>
          </w:tcPr>
          <w:p>
            <w:pPr>
              <w:ind w:left="60"/>
              <w:spacing w:after="0" w:line="172" w:lineRule="exact"/>
              <w:rPr>
                <w:sz w:val="20"/>
                <w:szCs w:val="20"/>
                <w:color w:val="auto"/>
              </w:rPr>
            </w:pPr>
            <w:r>
              <w:rPr>
                <w:rFonts w:ascii="Times New Roman" w:cs="Times New Roman" w:eastAsia="Times New Roman" w:hAnsi="Times New Roman"/>
                <w:sz w:val="15"/>
                <w:szCs w:val="15"/>
                <w:color w:val="231F20"/>
              </w:rPr>
              <w:t>Warrants (334,682 warrants)</w:t>
            </w:r>
          </w:p>
        </w:tc>
        <w:tc>
          <w:tcPr>
            <w:tcW w:w="800" w:type="dxa"/>
            <w:vAlign w:val="bottom"/>
            <w:shd w:val="clear" w:color="auto" w:fill="D0EBF2"/>
          </w:tcPr>
          <w:p>
            <w:pPr>
              <w:jc w:val="right"/>
              <w:spacing w:after="0" w:line="172" w:lineRule="exact"/>
              <w:rPr>
                <w:sz w:val="20"/>
                <w:szCs w:val="20"/>
                <w:color w:val="auto"/>
              </w:rPr>
            </w:pPr>
            <w:r>
              <w:rPr>
                <w:rFonts w:ascii="Times New Roman" w:cs="Times New Roman" w:eastAsia="Times New Roman" w:hAnsi="Times New Roman"/>
                <w:sz w:val="15"/>
                <w:szCs w:val="15"/>
                <w:color w:val="231F20"/>
              </w:rPr>
              <w:t>11/7/2023</w:t>
            </w:r>
          </w:p>
        </w:tc>
        <w:tc>
          <w:tcPr>
            <w:tcW w:w="1160" w:type="dxa"/>
            <w:vAlign w:val="bottom"/>
            <w:shd w:val="clear" w:color="auto" w:fill="D0EBF2"/>
          </w:tcPr>
          <w:p>
            <w:pPr>
              <w:spacing w:after="0"/>
              <w:rPr>
                <w:sz w:val="14"/>
                <w:szCs w:val="14"/>
                <w:color w:val="auto"/>
              </w:rPr>
            </w:pPr>
          </w:p>
        </w:tc>
        <w:tc>
          <w:tcPr>
            <w:tcW w:w="900" w:type="dxa"/>
            <w:vAlign w:val="bottom"/>
            <w:shd w:val="clear" w:color="auto" w:fill="D0EBF2"/>
          </w:tcPr>
          <w:p>
            <w:pPr>
              <w:spacing w:after="0"/>
              <w:rPr>
                <w:sz w:val="14"/>
                <w:szCs w:val="14"/>
                <w:color w:val="auto"/>
              </w:rPr>
            </w:pPr>
          </w:p>
        </w:tc>
        <w:tc>
          <w:tcPr>
            <w:tcW w:w="1000" w:type="dxa"/>
            <w:vAlign w:val="bottom"/>
            <w:shd w:val="clear" w:color="auto" w:fill="D0EBF2"/>
          </w:tcPr>
          <w:p>
            <w:pPr>
              <w:jc w:val="right"/>
              <w:spacing w:after="0" w:line="172" w:lineRule="exact"/>
              <w:rPr>
                <w:sz w:val="20"/>
                <w:szCs w:val="20"/>
                <w:color w:val="auto"/>
              </w:rPr>
            </w:pPr>
            <w:r>
              <w:rPr>
                <w:rFonts w:ascii="Times New Roman" w:cs="Times New Roman" w:eastAsia="Times New Roman" w:hAnsi="Times New Roman"/>
                <w:sz w:val="15"/>
                <w:szCs w:val="15"/>
                <w:color w:val="231F20"/>
              </w:rPr>
              <w:t>183</w:t>
            </w:r>
          </w:p>
        </w:tc>
        <w:tc>
          <w:tcPr>
            <w:tcW w:w="1680" w:type="dxa"/>
            <w:vAlign w:val="bottom"/>
            <w:gridSpan w:val="2"/>
            <w:shd w:val="clear" w:color="auto" w:fill="D0EBF2"/>
          </w:tcPr>
          <w:p>
            <w:pPr>
              <w:jc w:val="right"/>
              <w:spacing w:after="0" w:line="172" w:lineRule="exact"/>
              <w:rPr>
                <w:sz w:val="20"/>
                <w:szCs w:val="20"/>
                <w:color w:val="auto"/>
              </w:rPr>
            </w:pPr>
            <w:r>
              <w:rPr>
                <w:rFonts w:ascii="Times New Roman" w:cs="Times New Roman" w:eastAsia="Times New Roman" w:hAnsi="Times New Roman"/>
                <w:sz w:val="15"/>
                <w:szCs w:val="15"/>
                <w:color w:val="231F20"/>
              </w:rPr>
              <w:t>330</w:t>
            </w:r>
          </w:p>
        </w:tc>
        <w:tc>
          <w:tcPr>
            <w:tcW w:w="960" w:type="dxa"/>
            <w:vAlign w:val="bottom"/>
            <w:gridSpan w:val="2"/>
            <w:shd w:val="clear" w:color="auto" w:fill="D0EBF2"/>
          </w:tcPr>
          <w:p>
            <w:pPr>
              <w:jc w:val="right"/>
              <w:spacing w:after="0" w:line="172" w:lineRule="exact"/>
              <w:rPr>
                <w:sz w:val="20"/>
                <w:szCs w:val="20"/>
                <w:color w:val="auto"/>
              </w:rPr>
            </w:pPr>
            <w:r>
              <w:rPr>
                <w:rFonts w:ascii="Times New Roman" w:cs="Times New Roman" w:eastAsia="Times New Roman" w:hAnsi="Times New Roman"/>
                <w:sz w:val="15"/>
                <w:szCs w:val="15"/>
                <w:color w:val="231F20"/>
              </w:rPr>
              <w:t>0.0%</w:t>
            </w:r>
          </w:p>
        </w:tc>
      </w:tr>
      <w:tr>
        <w:trPr>
          <w:trHeight w:val="189"/>
        </w:trPr>
        <w:tc>
          <w:tcPr>
            <w:tcW w:w="1580" w:type="dxa"/>
            <w:vAlign w:val="bottom"/>
            <w:shd w:val="clear" w:color="auto" w:fill="D0EBF2"/>
          </w:tcPr>
          <w:p>
            <w:pPr>
              <w:spacing w:after="0" w:line="190" w:lineRule="exact"/>
              <w:rPr>
                <w:sz w:val="20"/>
                <w:szCs w:val="20"/>
                <w:color w:val="auto"/>
              </w:rPr>
            </w:pPr>
            <w:r>
              <w:rPr>
                <w:rFonts w:ascii="Times New Roman" w:cs="Times New Roman" w:eastAsia="Times New Roman" w:hAnsi="Times New Roman"/>
                <w:sz w:val="21"/>
                <w:szCs w:val="21"/>
                <w:color w:val="231F20"/>
                <w:vertAlign w:val="subscript"/>
              </w:rPr>
              <w:t>L.P.</w:t>
            </w:r>
            <w:r>
              <w:rPr>
                <w:rFonts w:ascii="Times New Roman" w:cs="Times New Roman" w:eastAsia="Times New Roman" w:hAnsi="Times New Roman"/>
                <w:sz w:val="8"/>
                <w:szCs w:val="8"/>
                <w:color w:val="231F20"/>
              </w:rPr>
              <w:t>(4)(11)</w:t>
            </w:r>
          </w:p>
        </w:tc>
        <w:tc>
          <w:tcPr>
            <w:tcW w:w="2200" w:type="dxa"/>
            <w:vAlign w:val="bottom"/>
            <w:shd w:val="clear" w:color="auto" w:fill="D0EBF2"/>
          </w:tcPr>
          <w:p>
            <w:pPr>
              <w:spacing w:after="0"/>
              <w:rPr>
                <w:sz w:val="16"/>
                <w:szCs w:val="16"/>
                <w:color w:val="auto"/>
              </w:rPr>
            </w:pPr>
          </w:p>
        </w:tc>
        <w:tc>
          <w:tcPr>
            <w:tcW w:w="800" w:type="dxa"/>
            <w:vAlign w:val="bottom"/>
            <w:shd w:val="clear" w:color="auto" w:fill="D0EBF2"/>
          </w:tcPr>
          <w:p>
            <w:pPr>
              <w:spacing w:after="0"/>
              <w:rPr>
                <w:sz w:val="16"/>
                <w:szCs w:val="16"/>
                <w:color w:val="auto"/>
              </w:rPr>
            </w:pPr>
          </w:p>
        </w:tc>
        <w:tc>
          <w:tcPr>
            <w:tcW w:w="1160" w:type="dxa"/>
            <w:vAlign w:val="bottom"/>
            <w:shd w:val="clear" w:color="auto" w:fill="D0EBF2"/>
          </w:tcPr>
          <w:p>
            <w:pPr>
              <w:spacing w:after="0"/>
              <w:rPr>
                <w:sz w:val="16"/>
                <w:szCs w:val="16"/>
                <w:color w:val="auto"/>
              </w:rPr>
            </w:pPr>
          </w:p>
        </w:tc>
        <w:tc>
          <w:tcPr>
            <w:tcW w:w="900" w:type="dxa"/>
            <w:vAlign w:val="bottom"/>
            <w:shd w:val="clear" w:color="auto" w:fill="D0EBF2"/>
          </w:tcPr>
          <w:p>
            <w:pPr>
              <w:spacing w:after="0"/>
              <w:rPr>
                <w:sz w:val="16"/>
                <w:szCs w:val="16"/>
                <w:color w:val="auto"/>
              </w:rPr>
            </w:pPr>
          </w:p>
        </w:tc>
        <w:tc>
          <w:tcPr>
            <w:tcW w:w="1000" w:type="dxa"/>
            <w:vAlign w:val="bottom"/>
            <w:shd w:val="clear" w:color="auto" w:fill="D0EBF2"/>
          </w:tcPr>
          <w:p>
            <w:pPr>
              <w:spacing w:after="0"/>
              <w:rPr>
                <w:sz w:val="16"/>
                <w:szCs w:val="16"/>
                <w:color w:val="auto"/>
              </w:rPr>
            </w:pPr>
          </w:p>
        </w:tc>
        <w:tc>
          <w:tcPr>
            <w:tcW w:w="80" w:type="dxa"/>
            <w:vAlign w:val="bottom"/>
            <w:shd w:val="clear" w:color="auto" w:fill="D0EBF2"/>
          </w:tcPr>
          <w:p>
            <w:pPr>
              <w:spacing w:after="0"/>
              <w:rPr>
                <w:sz w:val="16"/>
                <w:szCs w:val="16"/>
                <w:color w:val="auto"/>
              </w:rPr>
            </w:pPr>
          </w:p>
        </w:tc>
        <w:tc>
          <w:tcPr>
            <w:tcW w:w="1600" w:type="dxa"/>
            <w:vAlign w:val="bottom"/>
            <w:shd w:val="clear" w:color="auto" w:fill="D0EBF2"/>
          </w:tcPr>
          <w:p>
            <w:pPr>
              <w:spacing w:after="0"/>
              <w:rPr>
                <w:sz w:val="16"/>
                <w:szCs w:val="16"/>
                <w:color w:val="auto"/>
              </w:rPr>
            </w:pPr>
          </w:p>
        </w:tc>
        <w:tc>
          <w:tcPr>
            <w:tcW w:w="100" w:type="dxa"/>
            <w:vAlign w:val="bottom"/>
            <w:shd w:val="clear" w:color="auto" w:fill="D0EBF2"/>
          </w:tcPr>
          <w:p>
            <w:pPr>
              <w:spacing w:after="0"/>
              <w:rPr>
                <w:sz w:val="16"/>
                <w:szCs w:val="16"/>
                <w:color w:val="auto"/>
              </w:rPr>
            </w:pPr>
          </w:p>
        </w:tc>
        <w:tc>
          <w:tcPr>
            <w:tcW w:w="860" w:type="dxa"/>
            <w:vAlign w:val="bottom"/>
            <w:shd w:val="clear" w:color="auto" w:fill="D0EBF2"/>
          </w:tcPr>
          <w:p>
            <w:pPr>
              <w:spacing w:after="0"/>
              <w:rPr>
                <w:sz w:val="16"/>
                <w:szCs w:val="16"/>
                <w:color w:val="auto"/>
              </w:rPr>
            </w:pPr>
          </w:p>
        </w:tc>
      </w:tr>
      <w:tr>
        <w:trPr>
          <w:trHeight w:val="171"/>
        </w:trPr>
        <w:tc>
          <w:tcPr>
            <w:tcW w:w="1580" w:type="dxa"/>
            <w:vAlign w:val="bottom"/>
            <w:shd w:val="clear" w:color="auto" w:fill="FDFDFC"/>
          </w:tcPr>
          <w:p>
            <w:pPr>
              <w:spacing w:after="0" w:line="172" w:lineRule="exact"/>
              <w:rPr>
                <w:sz w:val="20"/>
                <w:szCs w:val="20"/>
                <w:color w:val="auto"/>
              </w:rPr>
            </w:pPr>
            <w:r>
              <w:rPr>
                <w:rFonts w:ascii="Times New Roman" w:cs="Times New Roman" w:eastAsia="Times New Roman" w:hAnsi="Times New Roman"/>
                <w:sz w:val="15"/>
                <w:szCs w:val="15"/>
                <w:color w:val="231F20"/>
              </w:rPr>
              <w:t>Newport Parent</w:t>
            </w:r>
          </w:p>
        </w:tc>
        <w:tc>
          <w:tcPr>
            <w:tcW w:w="2200" w:type="dxa"/>
            <w:vAlign w:val="bottom"/>
            <w:shd w:val="clear" w:color="auto" w:fill="FDFDFC"/>
          </w:tcPr>
          <w:p>
            <w:pPr>
              <w:ind w:left="60"/>
              <w:spacing w:after="0" w:line="172" w:lineRule="exact"/>
              <w:rPr>
                <w:sz w:val="20"/>
                <w:szCs w:val="20"/>
                <w:color w:val="auto"/>
              </w:rPr>
            </w:pPr>
            <w:r>
              <w:rPr>
                <w:rFonts w:ascii="Times New Roman" w:cs="Times New Roman" w:eastAsia="Times New Roman" w:hAnsi="Times New Roman"/>
                <w:sz w:val="15"/>
                <w:szCs w:val="15"/>
                <w:color w:val="231F20"/>
              </w:rPr>
              <w:t>Class A-2 Units (131,569 units)</w:t>
            </w:r>
          </w:p>
        </w:tc>
        <w:tc>
          <w:tcPr>
            <w:tcW w:w="800" w:type="dxa"/>
            <w:vAlign w:val="bottom"/>
            <w:shd w:val="clear" w:color="auto" w:fill="FDFDFC"/>
          </w:tcPr>
          <w:p>
            <w:pPr>
              <w:jc w:val="right"/>
              <w:spacing w:after="0" w:line="172" w:lineRule="exact"/>
              <w:rPr>
                <w:sz w:val="20"/>
                <w:szCs w:val="20"/>
                <w:color w:val="auto"/>
              </w:rPr>
            </w:pPr>
            <w:r>
              <w:rPr>
                <w:rFonts w:ascii="Times New Roman" w:cs="Times New Roman" w:eastAsia="Times New Roman" w:hAnsi="Times New Roman"/>
                <w:sz w:val="15"/>
                <w:szCs w:val="15"/>
                <w:color w:val="231F20"/>
              </w:rPr>
              <w:t>12/10/2020</w:t>
            </w:r>
          </w:p>
        </w:tc>
        <w:tc>
          <w:tcPr>
            <w:tcW w:w="1160" w:type="dxa"/>
            <w:vAlign w:val="bottom"/>
            <w:shd w:val="clear" w:color="auto" w:fill="FDFDFC"/>
          </w:tcPr>
          <w:p>
            <w:pPr>
              <w:spacing w:after="0"/>
              <w:rPr>
                <w:sz w:val="14"/>
                <w:szCs w:val="14"/>
                <w:color w:val="auto"/>
              </w:rPr>
            </w:pPr>
          </w:p>
        </w:tc>
        <w:tc>
          <w:tcPr>
            <w:tcW w:w="900" w:type="dxa"/>
            <w:vAlign w:val="bottom"/>
            <w:shd w:val="clear" w:color="auto" w:fill="FDFDFC"/>
          </w:tcPr>
          <w:p>
            <w:pPr>
              <w:spacing w:after="0"/>
              <w:rPr>
                <w:sz w:val="14"/>
                <w:szCs w:val="14"/>
                <w:color w:val="auto"/>
              </w:rPr>
            </w:pPr>
          </w:p>
        </w:tc>
        <w:tc>
          <w:tcPr>
            <w:tcW w:w="1000" w:type="dxa"/>
            <w:vAlign w:val="bottom"/>
            <w:shd w:val="clear" w:color="auto" w:fill="FDFDFC"/>
          </w:tcPr>
          <w:p>
            <w:pPr>
              <w:jc w:val="right"/>
              <w:spacing w:after="0" w:line="172" w:lineRule="exact"/>
              <w:rPr>
                <w:sz w:val="20"/>
                <w:szCs w:val="20"/>
                <w:color w:val="auto"/>
              </w:rPr>
            </w:pPr>
            <w:r>
              <w:rPr>
                <w:rFonts w:ascii="Times New Roman" w:cs="Times New Roman" w:eastAsia="Times New Roman" w:hAnsi="Times New Roman"/>
                <w:sz w:val="15"/>
                <w:szCs w:val="15"/>
                <w:color w:val="231F20"/>
              </w:rPr>
              <w:t>4,177</w:t>
            </w:r>
          </w:p>
        </w:tc>
        <w:tc>
          <w:tcPr>
            <w:tcW w:w="1680" w:type="dxa"/>
            <w:vAlign w:val="bottom"/>
            <w:gridSpan w:val="2"/>
            <w:shd w:val="clear" w:color="auto" w:fill="FDFDFC"/>
          </w:tcPr>
          <w:p>
            <w:pPr>
              <w:jc w:val="right"/>
              <w:spacing w:after="0" w:line="172" w:lineRule="exact"/>
              <w:rPr>
                <w:sz w:val="20"/>
                <w:szCs w:val="20"/>
                <w:color w:val="auto"/>
              </w:rPr>
            </w:pPr>
            <w:r>
              <w:rPr>
                <w:rFonts w:ascii="Times New Roman" w:cs="Times New Roman" w:eastAsia="Times New Roman" w:hAnsi="Times New Roman"/>
                <w:sz w:val="15"/>
                <w:szCs w:val="15"/>
                <w:color w:val="231F20"/>
              </w:rPr>
              <w:t>12,802</w:t>
            </w:r>
          </w:p>
        </w:tc>
        <w:tc>
          <w:tcPr>
            <w:tcW w:w="960" w:type="dxa"/>
            <w:vAlign w:val="bottom"/>
            <w:gridSpan w:val="2"/>
            <w:shd w:val="clear" w:color="auto" w:fill="FDFDFC"/>
          </w:tcPr>
          <w:p>
            <w:pPr>
              <w:jc w:val="right"/>
              <w:spacing w:after="0" w:line="172" w:lineRule="exact"/>
              <w:rPr>
                <w:sz w:val="20"/>
                <w:szCs w:val="20"/>
                <w:color w:val="auto"/>
              </w:rPr>
            </w:pPr>
            <w:r>
              <w:rPr>
                <w:rFonts w:ascii="Times New Roman" w:cs="Times New Roman" w:eastAsia="Times New Roman" w:hAnsi="Times New Roman"/>
                <w:sz w:val="15"/>
                <w:szCs w:val="15"/>
                <w:color w:val="231F20"/>
              </w:rPr>
              <w:t>0.9%</w:t>
            </w:r>
          </w:p>
        </w:tc>
      </w:tr>
      <w:tr>
        <w:trPr>
          <w:trHeight w:val="189"/>
        </w:trPr>
        <w:tc>
          <w:tcPr>
            <w:tcW w:w="1580" w:type="dxa"/>
            <w:vAlign w:val="bottom"/>
            <w:shd w:val="clear" w:color="auto" w:fill="FDFDFC"/>
          </w:tcPr>
          <w:p>
            <w:pPr>
              <w:spacing w:after="0"/>
              <w:rPr>
                <w:sz w:val="20"/>
                <w:szCs w:val="20"/>
                <w:color w:val="auto"/>
              </w:rPr>
            </w:pPr>
            <w:r>
              <w:rPr>
                <w:rFonts w:ascii="Times New Roman" w:cs="Times New Roman" w:eastAsia="Times New Roman" w:hAnsi="Times New Roman"/>
                <w:sz w:val="15"/>
                <w:szCs w:val="15"/>
                <w:color w:val="231F20"/>
              </w:rPr>
              <w:t xml:space="preserve">Holdings, L.P. </w:t>
            </w:r>
            <w:r>
              <w:rPr>
                <w:rFonts w:ascii="Times New Roman" w:cs="Times New Roman" w:eastAsia="Times New Roman" w:hAnsi="Times New Roman"/>
                <w:sz w:val="9"/>
                <w:szCs w:val="9"/>
                <w:color w:val="231F20"/>
              </w:rPr>
              <w:t>(11)</w:t>
            </w:r>
          </w:p>
        </w:tc>
        <w:tc>
          <w:tcPr>
            <w:tcW w:w="2200" w:type="dxa"/>
            <w:vAlign w:val="bottom"/>
            <w:shd w:val="clear" w:color="auto" w:fill="FDFDFC"/>
          </w:tcPr>
          <w:p>
            <w:pPr>
              <w:spacing w:after="0"/>
              <w:rPr>
                <w:sz w:val="16"/>
                <w:szCs w:val="16"/>
                <w:color w:val="auto"/>
              </w:rPr>
            </w:pPr>
          </w:p>
        </w:tc>
        <w:tc>
          <w:tcPr>
            <w:tcW w:w="800" w:type="dxa"/>
            <w:vAlign w:val="bottom"/>
            <w:shd w:val="clear" w:color="auto" w:fill="FDFDFC"/>
          </w:tcPr>
          <w:p>
            <w:pPr>
              <w:spacing w:after="0"/>
              <w:rPr>
                <w:sz w:val="16"/>
                <w:szCs w:val="16"/>
                <w:color w:val="auto"/>
              </w:rPr>
            </w:pPr>
          </w:p>
        </w:tc>
        <w:tc>
          <w:tcPr>
            <w:tcW w:w="1160" w:type="dxa"/>
            <w:vAlign w:val="bottom"/>
            <w:shd w:val="clear" w:color="auto" w:fill="FDFDFC"/>
          </w:tcPr>
          <w:p>
            <w:pPr>
              <w:spacing w:after="0"/>
              <w:rPr>
                <w:sz w:val="16"/>
                <w:szCs w:val="16"/>
                <w:color w:val="auto"/>
              </w:rPr>
            </w:pPr>
          </w:p>
        </w:tc>
        <w:tc>
          <w:tcPr>
            <w:tcW w:w="900" w:type="dxa"/>
            <w:vAlign w:val="bottom"/>
            <w:shd w:val="clear" w:color="auto" w:fill="FDFDFC"/>
          </w:tcPr>
          <w:p>
            <w:pPr>
              <w:spacing w:after="0"/>
              <w:rPr>
                <w:sz w:val="16"/>
                <w:szCs w:val="16"/>
                <w:color w:val="auto"/>
              </w:rPr>
            </w:pPr>
          </w:p>
        </w:tc>
        <w:tc>
          <w:tcPr>
            <w:tcW w:w="1000" w:type="dxa"/>
            <w:vAlign w:val="bottom"/>
            <w:shd w:val="clear" w:color="auto" w:fill="FDFDFC"/>
          </w:tcPr>
          <w:p>
            <w:pPr>
              <w:spacing w:after="0"/>
              <w:rPr>
                <w:sz w:val="16"/>
                <w:szCs w:val="16"/>
                <w:color w:val="auto"/>
              </w:rPr>
            </w:pPr>
          </w:p>
        </w:tc>
        <w:tc>
          <w:tcPr>
            <w:tcW w:w="80" w:type="dxa"/>
            <w:vAlign w:val="bottom"/>
            <w:shd w:val="clear" w:color="auto" w:fill="FDFDFC"/>
          </w:tcPr>
          <w:p>
            <w:pPr>
              <w:spacing w:after="0"/>
              <w:rPr>
                <w:sz w:val="16"/>
                <w:szCs w:val="16"/>
                <w:color w:val="auto"/>
              </w:rPr>
            </w:pPr>
          </w:p>
        </w:tc>
        <w:tc>
          <w:tcPr>
            <w:tcW w:w="1600" w:type="dxa"/>
            <w:vAlign w:val="bottom"/>
            <w:shd w:val="clear" w:color="auto" w:fill="FDFDFC"/>
          </w:tcPr>
          <w:p>
            <w:pPr>
              <w:spacing w:after="0"/>
              <w:rPr>
                <w:sz w:val="16"/>
                <w:szCs w:val="16"/>
                <w:color w:val="auto"/>
              </w:rPr>
            </w:pPr>
          </w:p>
        </w:tc>
        <w:tc>
          <w:tcPr>
            <w:tcW w:w="100" w:type="dxa"/>
            <w:vAlign w:val="bottom"/>
            <w:shd w:val="clear" w:color="auto" w:fill="FDFDFC"/>
          </w:tcPr>
          <w:p>
            <w:pPr>
              <w:spacing w:after="0"/>
              <w:rPr>
                <w:sz w:val="16"/>
                <w:szCs w:val="16"/>
                <w:color w:val="auto"/>
              </w:rPr>
            </w:pPr>
          </w:p>
        </w:tc>
        <w:tc>
          <w:tcPr>
            <w:tcW w:w="860" w:type="dxa"/>
            <w:vAlign w:val="bottom"/>
            <w:shd w:val="clear" w:color="auto" w:fill="FDFDFC"/>
          </w:tcPr>
          <w:p>
            <w:pPr>
              <w:spacing w:after="0"/>
              <w:rPr>
                <w:sz w:val="16"/>
                <w:szCs w:val="16"/>
                <w:color w:val="auto"/>
              </w:rPr>
            </w:pPr>
          </w:p>
        </w:tc>
      </w:tr>
      <w:tr>
        <w:trPr>
          <w:trHeight w:val="171"/>
        </w:trPr>
        <w:tc>
          <w:tcPr>
            <w:tcW w:w="1580" w:type="dxa"/>
            <w:vAlign w:val="bottom"/>
            <w:shd w:val="clear" w:color="auto" w:fill="D0EBF2"/>
          </w:tcPr>
          <w:p>
            <w:pPr>
              <w:spacing w:after="0" w:line="172" w:lineRule="exact"/>
              <w:rPr>
                <w:sz w:val="20"/>
                <w:szCs w:val="20"/>
                <w:color w:val="auto"/>
              </w:rPr>
            </w:pPr>
            <w:r>
              <w:rPr>
                <w:rFonts w:ascii="Times New Roman" w:cs="Times New Roman" w:eastAsia="Times New Roman" w:hAnsi="Times New Roman"/>
                <w:sz w:val="15"/>
                <w:szCs w:val="15"/>
                <w:color w:val="231F20"/>
              </w:rPr>
              <w:t>Oxford Square Capital</w:t>
            </w:r>
          </w:p>
        </w:tc>
        <w:tc>
          <w:tcPr>
            <w:tcW w:w="2200" w:type="dxa"/>
            <w:vAlign w:val="bottom"/>
            <w:shd w:val="clear" w:color="auto" w:fill="D0EBF2"/>
          </w:tcPr>
          <w:p>
            <w:pPr>
              <w:ind w:left="60"/>
              <w:spacing w:after="0" w:line="172" w:lineRule="exact"/>
              <w:rPr>
                <w:sz w:val="20"/>
                <w:szCs w:val="20"/>
                <w:color w:val="auto"/>
              </w:rPr>
            </w:pPr>
            <w:r>
              <w:rPr>
                <w:rFonts w:ascii="Times New Roman" w:cs="Times New Roman" w:eastAsia="Times New Roman" w:hAnsi="Times New Roman"/>
                <w:sz w:val="15"/>
                <w:szCs w:val="15"/>
                <w:color w:val="231F20"/>
              </w:rPr>
              <w:t>Common Shares (1,620 shares)</w:t>
            </w:r>
          </w:p>
        </w:tc>
        <w:tc>
          <w:tcPr>
            <w:tcW w:w="800" w:type="dxa"/>
            <w:vAlign w:val="bottom"/>
            <w:shd w:val="clear" w:color="auto" w:fill="D0EBF2"/>
          </w:tcPr>
          <w:p>
            <w:pPr>
              <w:jc w:val="right"/>
              <w:spacing w:after="0" w:line="172" w:lineRule="exact"/>
              <w:rPr>
                <w:sz w:val="20"/>
                <w:szCs w:val="20"/>
                <w:color w:val="auto"/>
              </w:rPr>
            </w:pPr>
            <w:r>
              <w:rPr>
                <w:rFonts w:ascii="Times New Roman" w:cs="Times New Roman" w:eastAsia="Times New Roman" w:hAnsi="Times New Roman"/>
                <w:sz w:val="15"/>
                <w:szCs w:val="15"/>
                <w:color w:val="231F20"/>
              </w:rPr>
              <w:t>8/5/2015</w:t>
            </w:r>
          </w:p>
        </w:tc>
        <w:tc>
          <w:tcPr>
            <w:tcW w:w="1160" w:type="dxa"/>
            <w:vAlign w:val="bottom"/>
            <w:shd w:val="clear" w:color="auto" w:fill="D0EBF2"/>
          </w:tcPr>
          <w:p>
            <w:pPr>
              <w:spacing w:after="0"/>
              <w:rPr>
                <w:sz w:val="14"/>
                <w:szCs w:val="14"/>
                <w:color w:val="auto"/>
              </w:rPr>
            </w:pPr>
          </w:p>
        </w:tc>
        <w:tc>
          <w:tcPr>
            <w:tcW w:w="900" w:type="dxa"/>
            <w:vAlign w:val="bottom"/>
            <w:shd w:val="clear" w:color="auto" w:fill="D0EBF2"/>
          </w:tcPr>
          <w:p>
            <w:pPr>
              <w:spacing w:after="0"/>
              <w:rPr>
                <w:sz w:val="14"/>
                <w:szCs w:val="14"/>
                <w:color w:val="auto"/>
              </w:rPr>
            </w:pPr>
          </w:p>
        </w:tc>
        <w:tc>
          <w:tcPr>
            <w:tcW w:w="1000" w:type="dxa"/>
            <w:vAlign w:val="bottom"/>
            <w:shd w:val="clear" w:color="auto" w:fill="D0EBF2"/>
          </w:tcPr>
          <w:p>
            <w:pPr>
              <w:jc w:val="right"/>
              <w:spacing w:after="0" w:line="172" w:lineRule="exact"/>
              <w:rPr>
                <w:sz w:val="20"/>
                <w:szCs w:val="20"/>
                <w:color w:val="auto"/>
              </w:rPr>
            </w:pPr>
            <w:r>
              <w:rPr>
                <w:rFonts w:ascii="Times New Roman" w:cs="Times New Roman" w:eastAsia="Times New Roman" w:hAnsi="Times New Roman"/>
                <w:sz w:val="15"/>
                <w:szCs w:val="15"/>
                <w:color w:val="231F20"/>
              </w:rPr>
              <w:t>6</w:t>
            </w:r>
          </w:p>
        </w:tc>
        <w:tc>
          <w:tcPr>
            <w:tcW w:w="1680" w:type="dxa"/>
            <w:vAlign w:val="bottom"/>
            <w:gridSpan w:val="2"/>
            <w:shd w:val="clear" w:color="auto" w:fill="D0EBF2"/>
          </w:tcPr>
          <w:p>
            <w:pPr>
              <w:jc w:val="right"/>
              <w:spacing w:after="0" w:line="172" w:lineRule="exact"/>
              <w:rPr>
                <w:sz w:val="20"/>
                <w:szCs w:val="20"/>
                <w:color w:val="auto"/>
              </w:rPr>
            </w:pPr>
            <w:r>
              <w:rPr>
                <w:rFonts w:ascii="Times New Roman" w:cs="Times New Roman" w:eastAsia="Times New Roman" w:hAnsi="Times New Roman"/>
                <w:sz w:val="15"/>
                <w:szCs w:val="15"/>
                <w:color w:val="231F20"/>
              </w:rPr>
              <w:t>4</w:t>
            </w:r>
          </w:p>
        </w:tc>
        <w:tc>
          <w:tcPr>
            <w:tcW w:w="960" w:type="dxa"/>
            <w:vAlign w:val="bottom"/>
            <w:gridSpan w:val="2"/>
            <w:shd w:val="clear" w:color="auto" w:fill="D0EBF2"/>
          </w:tcPr>
          <w:p>
            <w:pPr>
              <w:jc w:val="right"/>
              <w:spacing w:after="0" w:line="172" w:lineRule="exact"/>
              <w:rPr>
                <w:sz w:val="20"/>
                <w:szCs w:val="20"/>
                <w:color w:val="auto"/>
              </w:rPr>
            </w:pPr>
            <w:r>
              <w:rPr>
                <w:rFonts w:ascii="Times New Roman" w:cs="Times New Roman" w:eastAsia="Times New Roman" w:hAnsi="Times New Roman"/>
                <w:sz w:val="15"/>
                <w:szCs w:val="15"/>
                <w:color w:val="231F20"/>
              </w:rPr>
              <w:t>0.0%</w:t>
            </w:r>
          </w:p>
        </w:tc>
      </w:tr>
      <w:tr>
        <w:trPr>
          <w:trHeight w:val="189"/>
        </w:trPr>
        <w:tc>
          <w:tcPr>
            <w:tcW w:w="1580" w:type="dxa"/>
            <w:vAlign w:val="bottom"/>
            <w:shd w:val="clear" w:color="auto" w:fill="D0EBF2"/>
          </w:tcPr>
          <w:p>
            <w:pPr>
              <w:spacing w:after="0" w:line="190" w:lineRule="exact"/>
              <w:rPr>
                <w:sz w:val="20"/>
                <w:szCs w:val="20"/>
                <w:color w:val="auto"/>
              </w:rPr>
            </w:pPr>
            <w:r>
              <w:rPr>
                <w:rFonts w:ascii="Times New Roman" w:cs="Times New Roman" w:eastAsia="Times New Roman" w:hAnsi="Times New Roman"/>
                <w:sz w:val="21"/>
                <w:szCs w:val="21"/>
                <w:color w:val="231F20"/>
                <w:vertAlign w:val="subscript"/>
              </w:rPr>
              <w:t>Corp.</w:t>
            </w:r>
            <w:r>
              <w:rPr>
                <w:rFonts w:ascii="Times New Roman" w:cs="Times New Roman" w:eastAsia="Times New Roman" w:hAnsi="Times New Roman"/>
                <w:sz w:val="8"/>
                <w:szCs w:val="8"/>
                <w:color w:val="231F20"/>
              </w:rPr>
              <w:t xml:space="preserve"> (4)(10)</w:t>
            </w:r>
          </w:p>
        </w:tc>
        <w:tc>
          <w:tcPr>
            <w:tcW w:w="2200" w:type="dxa"/>
            <w:vAlign w:val="bottom"/>
            <w:shd w:val="clear" w:color="auto" w:fill="D0EBF2"/>
          </w:tcPr>
          <w:p>
            <w:pPr>
              <w:spacing w:after="0"/>
              <w:rPr>
                <w:sz w:val="16"/>
                <w:szCs w:val="16"/>
                <w:color w:val="auto"/>
              </w:rPr>
            </w:pPr>
          </w:p>
        </w:tc>
        <w:tc>
          <w:tcPr>
            <w:tcW w:w="800" w:type="dxa"/>
            <w:vAlign w:val="bottom"/>
            <w:shd w:val="clear" w:color="auto" w:fill="D0EBF2"/>
          </w:tcPr>
          <w:p>
            <w:pPr>
              <w:spacing w:after="0"/>
              <w:rPr>
                <w:sz w:val="16"/>
                <w:szCs w:val="16"/>
                <w:color w:val="auto"/>
              </w:rPr>
            </w:pPr>
          </w:p>
        </w:tc>
        <w:tc>
          <w:tcPr>
            <w:tcW w:w="1160" w:type="dxa"/>
            <w:vAlign w:val="bottom"/>
            <w:shd w:val="clear" w:color="auto" w:fill="D0EBF2"/>
          </w:tcPr>
          <w:p>
            <w:pPr>
              <w:spacing w:after="0"/>
              <w:rPr>
                <w:sz w:val="16"/>
                <w:szCs w:val="16"/>
                <w:color w:val="auto"/>
              </w:rPr>
            </w:pPr>
          </w:p>
        </w:tc>
        <w:tc>
          <w:tcPr>
            <w:tcW w:w="900" w:type="dxa"/>
            <w:vAlign w:val="bottom"/>
            <w:shd w:val="clear" w:color="auto" w:fill="D0EBF2"/>
          </w:tcPr>
          <w:p>
            <w:pPr>
              <w:spacing w:after="0"/>
              <w:rPr>
                <w:sz w:val="16"/>
                <w:szCs w:val="16"/>
                <w:color w:val="auto"/>
              </w:rPr>
            </w:pPr>
          </w:p>
        </w:tc>
        <w:tc>
          <w:tcPr>
            <w:tcW w:w="1000" w:type="dxa"/>
            <w:vAlign w:val="bottom"/>
            <w:shd w:val="clear" w:color="auto" w:fill="D0EBF2"/>
          </w:tcPr>
          <w:p>
            <w:pPr>
              <w:spacing w:after="0"/>
              <w:rPr>
                <w:sz w:val="16"/>
                <w:szCs w:val="16"/>
                <w:color w:val="auto"/>
              </w:rPr>
            </w:pPr>
          </w:p>
        </w:tc>
        <w:tc>
          <w:tcPr>
            <w:tcW w:w="80" w:type="dxa"/>
            <w:vAlign w:val="bottom"/>
            <w:shd w:val="clear" w:color="auto" w:fill="D0EBF2"/>
          </w:tcPr>
          <w:p>
            <w:pPr>
              <w:spacing w:after="0"/>
              <w:rPr>
                <w:sz w:val="16"/>
                <w:szCs w:val="16"/>
                <w:color w:val="auto"/>
              </w:rPr>
            </w:pPr>
          </w:p>
        </w:tc>
        <w:tc>
          <w:tcPr>
            <w:tcW w:w="1600" w:type="dxa"/>
            <w:vAlign w:val="bottom"/>
            <w:shd w:val="clear" w:color="auto" w:fill="D0EBF2"/>
          </w:tcPr>
          <w:p>
            <w:pPr>
              <w:spacing w:after="0"/>
              <w:rPr>
                <w:sz w:val="16"/>
                <w:szCs w:val="16"/>
                <w:color w:val="auto"/>
              </w:rPr>
            </w:pPr>
          </w:p>
        </w:tc>
        <w:tc>
          <w:tcPr>
            <w:tcW w:w="100" w:type="dxa"/>
            <w:vAlign w:val="bottom"/>
            <w:shd w:val="clear" w:color="auto" w:fill="D0EBF2"/>
          </w:tcPr>
          <w:p>
            <w:pPr>
              <w:spacing w:after="0"/>
              <w:rPr>
                <w:sz w:val="16"/>
                <w:szCs w:val="16"/>
                <w:color w:val="auto"/>
              </w:rPr>
            </w:pPr>
          </w:p>
        </w:tc>
        <w:tc>
          <w:tcPr>
            <w:tcW w:w="860" w:type="dxa"/>
            <w:vAlign w:val="bottom"/>
            <w:shd w:val="clear" w:color="auto" w:fill="D0EBF2"/>
          </w:tcPr>
          <w:p>
            <w:pPr>
              <w:spacing w:after="0"/>
              <w:rPr>
                <w:sz w:val="16"/>
                <w:szCs w:val="16"/>
                <w:color w:val="auto"/>
              </w:rPr>
            </w:pPr>
          </w:p>
        </w:tc>
      </w:tr>
      <w:tr>
        <w:trPr>
          <w:trHeight w:val="187"/>
        </w:trPr>
        <w:tc>
          <w:tcPr>
            <w:tcW w:w="1580" w:type="dxa"/>
            <w:vAlign w:val="bottom"/>
            <w:shd w:val="clear" w:color="auto" w:fill="FDFDFC"/>
          </w:tcPr>
          <w:p>
            <w:pPr>
              <w:spacing w:after="0"/>
              <w:rPr>
                <w:sz w:val="20"/>
                <w:szCs w:val="20"/>
                <w:color w:val="auto"/>
              </w:rPr>
            </w:pPr>
            <w:r>
              <w:rPr>
                <w:rFonts w:ascii="Times New Roman" w:cs="Times New Roman" w:eastAsia="Times New Roman" w:hAnsi="Times New Roman"/>
                <w:sz w:val="15"/>
                <w:szCs w:val="15"/>
                <w:color w:val="231F20"/>
              </w:rPr>
              <w:t xml:space="preserve">Passport Labs, Inc. </w:t>
            </w:r>
            <w:r>
              <w:rPr>
                <w:rFonts w:ascii="Times New Roman" w:cs="Times New Roman" w:eastAsia="Times New Roman" w:hAnsi="Times New Roman"/>
                <w:sz w:val="9"/>
                <w:szCs w:val="9"/>
                <w:color w:val="231F20"/>
              </w:rPr>
              <w:t>(11)</w:t>
            </w:r>
          </w:p>
        </w:tc>
        <w:tc>
          <w:tcPr>
            <w:tcW w:w="2200" w:type="dxa"/>
            <w:vAlign w:val="bottom"/>
            <w:shd w:val="clear" w:color="auto" w:fill="FDFDFC"/>
          </w:tcPr>
          <w:p>
            <w:pPr>
              <w:ind w:left="60"/>
              <w:spacing w:after="0"/>
              <w:rPr>
                <w:sz w:val="20"/>
                <w:szCs w:val="20"/>
                <w:color w:val="auto"/>
              </w:rPr>
            </w:pPr>
            <w:r>
              <w:rPr>
                <w:rFonts w:ascii="Times New Roman" w:cs="Times New Roman" w:eastAsia="Times New Roman" w:hAnsi="Times New Roman"/>
                <w:sz w:val="15"/>
                <w:szCs w:val="15"/>
                <w:color w:val="231F20"/>
              </w:rPr>
              <w:t>Warrants (17,534 warrants)</w:t>
            </w:r>
          </w:p>
        </w:tc>
        <w:tc>
          <w:tcPr>
            <w:tcW w:w="800" w:type="dxa"/>
            <w:vAlign w:val="bottom"/>
            <w:shd w:val="clear" w:color="auto" w:fill="FDFDFC"/>
          </w:tcPr>
          <w:p>
            <w:pPr>
              <w:jc w:val="right"/>
              <w:spacing w:after="0"/>
              <w:rPr>
                <w:sz w:val="20"/>
                <w:szCs w:val="20"/>
                <w:color w:val="auto"/>
              </w:rPr>
            </w:pPr>
            <w:r>
              <w:rPr>
                <w:rFonts w:ascii="Times New Roman" w:cs="Times New Roman" w:eastAsia="Times New Roman" w:hAnsi="Times New Roman"/>
                <w:sz w:val="15"/>
                <w:szCs w:val="15"/>
                <w:color w:val="231F20"/>
              </w:rPr>
              <w:t>4/28/2021</w:t>
            </w:r>
          </w:p>
        </w:tc>
        <w:tc>
          <w:tcPr>
            <w:tcW w:w="1160" w:type="dxa"/>
            <w:vAlign w:val="bottom"/>
            <w:shd w:val="clear" w:color="auto" w:fill="FDFDFC"/>
          </w:tcPr>
          <w:p>
            <w:pPr>
              <w:spacing w:after="0"/>
              <w:rPr>
                <w:sz w:val="16"/>
                <w:szCs w:val="16"/>
                <w:color w:val="auto"/>
              </w:rPr>
            </w:pPr>
          </w:p>
        </w:tc>
        <w:tc>
          <w:tcPr>
            <w:tcW w:w="900" w:type="dxa"/>
            <w:vAlign w:val="bottom"/>
            <w:shd w:val="clear" w:color="auto" w:fill="FDFDFC"/>
          </w:tcPr>
          <w:p>
            <w:pPr>
              <w:spacing w:after="0"/>
              <w:rPr>
                <w:sz w:val="16"/>
                <w:szCs w:val="16"/>
                <w:color w:val="auto"/>
              </w:rPr>
            </w:pPr>
          </w:p>
        </w:tc>
        <w:tc>
          <w:tcPr>
            <w:tcW w:w="1000" w:type="dxa"/>
            <w:vAlign w:val="bottom"/>
            <w:shd w:val="clear" w:color="auto" w:fill="FDFDFC"/>
          </w:tcPr>
          <w:p>
            <w:pPr>
              <w:jc w:val="right"/>
              <w:spacing w:after="0"/>
              <w:rPr>
                <w:sz w:val="20"/>
                <w:szCs w:val="20"/>
                <w:color w:val="auto"/>
              </w:rPr>
            </w:pPr>
            <w:r>
              <w:rPr>
                <w:rFonts w:ascii="Times New Roman" w:cs="Times New Roman" w:eastAsia="Times New Roman" w:hAnsi="Times New Roman"/>
                <w:sz w:val="15"/>
                <w:szCs w:val="15"/>
                <w:color w:val="231F20"/>
              </w:rPr>
              <w:t>192</w:t>
            </w:r>
          </w:p>
        </w:tc>
        <w:tc>
          <w:tcPr>
            <w:tcW w:w="80" w:type="dxa"/>
            <w:vAlign w:val="bottom"/>
            <w:shd w:val="clear" w:color="auto" w:fill="FDFDFC"/>
          </w:tcPr>
          <w:p>
            <w:pPr>
              <w:spacing w:after="0"/>
              <w:rPr>
                <w:sz w:val="16"/>
                <w:szCs w:val="16"/>
                <w:color w:val="auto"/>
              </w:rPr>
            </w:pPr>
          </w:p>
        </w:tc>
        <w:tc>
          <w:tcPr>
            <w:tcW w:w="1600" w:type="dxa"/>
            <w:vAlign w:val="bottom"/>
            <w:shd w:val="clear" w:color="auto" w:fill="FDFDFC"/>
          </w:tcPr>
          <w:p>
            <w:pPr>
              <w:jc w:val="right"/>
              <w:spacing w:after="0"/>
              <w:rPr>
                <w:sz w:val="20"/>
                <w:szCs w:val="20"/>
                <w:color w:val="auto"/>
              </w:rPr>
            </w:pPr>
            <w:r>
              <w:rPr>
                <w:rFonts w:ascii="Times New Roman" w:cs="Times New Roman" w:eastAsia="Times New Roman" w:hAnsi="Times New Roman"/>
                <w:sz w:val="15"/>
                <w:szCs w:val="15"/>
                <w:color w:val="231F20"/>
              </w:rPr>
              <w:t>—</w:t>
            </w:r>
          </w:p>
        </w:tc>
        <w:tc>
          <w:tcPr>
            <w:tcW w:w="960" w:type="dxa"/>
            <w:vAlign w:val="bottom"/>
            <w:gridSpan w:val="2"/>
            <w:shd w:val="clear" w:color="auto" w:fill="FDFDFC"/>
          </w:tcPr>
          <w:p>
            <w:pPr>
              <w:jc w:val="right"/>
              <w:spacing w:after="0"/>
              <w:rPr>
                <w:sz w:val="20"/>
                <w:szCs w:val="20"/>
                <w:color w:val="auto"/>
              </w:rPr>
            </w:pPr>
            <w:r>
              <w:rPr>
                <w:rFonts w:ascii="Times New Roman" w:cs="Times New Roman" w:eastAsia="Times New Roman" w:hAnsi="Times New Roman"/>
                <w:sz w:val="15"/>
                <w:szCs w:val="15"/>
                <w:color w:val="231F20"/>
              </w:rPr>
              <w:t>0.0%</w:t>
            </w:r>
          </w:p>
        </w:tc>
      </w:tr>
      <w:tr>
        <w:trPr>
          <w:trHeight w:val="187"/>
        </w:trPr>
        <w:tc>
          <w:tcPr>
            <w:tcW w:w="1580" w:type="dxa"/>
            <w:vAlign w:val="bottom"/>
            <w:shd w:val="clear" w:color="auto" w:fill="D0EBF2"/>
          </w:tcPr>
          <w:p>
            <w:pPr>
              <w:spacing w:after="0"/>
              <w:rPr>
                <w:sz w:val="20"/>
                <w:szCs w:val="20"/>
                <w:color w:val="auto"/>
              </w:rPr>
            </w:pPr>
            <w:r>
              <w:rPr>
                <w:rFonts w:ascii="Times New Roman" w:cs="Times New Roman" w:eastAsia="Times New Roman" w:hAnsi="Times New Roman"/>
                <w:sz w:val="15"/>
                <w:szCs w:val="15"/>
                <w:color w:val="231F20"/>
              </w:rPr>
              <w:t xml:space="preserve">TradingScreen, Inc. </w:t>
            </w:r>
            <w:r>
              <w:rPr>
                <w:rFonts w:ascii="Times New Roman" w:cs="Times New Roman" w:eastAsia="Times New Roman" w:hAnsi="Times New Roman"/>
                <w:sz w:val="9"/>
                <w:szCs w:val="9"/>
                <w:color w:val="231F20"/>
              </w:rPr>
              <w:t>(13)</w:t>
            </w:r>
          </w:p>
        </w:tc>
        <w:tc>
          <w:tcPr>
            <w:tcW w:w="2200" w:type="dxa"/>
            <w:vAlign w:val="bottom"/>
            <w:shd w:val="clear" w:color="auto" w:fill="D0EBF2"/>
          </w:tcPr>
          <w:p>
            <w:pPr>
              <w:ind w:left="60"/>
              <w:spacing w:after="0"/>
              <w:rPr>
                <w:sz w:val="20"/>
                <w:szCs w:val="20"/>
                <w:color w:val="auto"/>
              </w:rPr>
            </w:pPr>
            <w:r>
              <w:rPr>
                <w:rFonts w:ascii="Times New Roman" w:cs="Times New Roman" w:eastAsia="Times New Roman" w:hAnsi="Times New Roman"/>
                <w:sz w:val="15"/>
                <w:szCs w:val="15"/>
                <w:color w:val="231F20"/>
              </w:rPr>
              <w:t xml:space="preserve">Class A Units (600,000 units) </w:t>
            </w:r>
            <w:r>
              <w:rPr>
                <w:rFonts w:ascii="Times New Roman" w:cs="Times New Roman" w:eastAsia="Times New Roman" w:hAnsi="Times New Roman"/>
                <w:sz w:val="9"/>
                <w:szCs w:val="9"/>
                <w:color w:val="231F20"/>
              </w:rPr>
              <w:t>(11)</w:t>
            </w:r>
          </w:p>
        </w:tc>
        <w:tc>
          <w:tcPr>
            <w:tcW w:w="800" w:type="dxa"/>
            <w:vAlign w:val="bottom"/>
            <w:shd w:val="clear" w:color="auto" w:fill="D0EBF2"/>
          </w:tcPr>
          <w:p>
            <w:pPr>
              <w:jc w:val="right"/>
              <w:spacing w:after="0"/>
              <w:rPr>
                <w:sz w:val="20"/>
                <w:szCs w:val="20"/>
                <w:color w:val="auto"/>
              </w:rPr>
            </w:pPr>
            <w:r>
              <w:rPr>
                <w:rFonts w:ascii="Times New Roman" w:cs="Times New Roman" w:eastAsia="Times New Roman" w:hAnsi="Times New Roman"/>
                <w:sz w:val="15"/>
                <w:szCs w:val="15"/>
                <w:color w:val="231F20"/>
              </w:rPr>
              <w:t>5/14/2021</w:t>
            </w:r>
          </w:p>
        </w:tc>
        <w:tc>
          <w:tcPr>
            <w:tcW w:w="1160" w:type="dxa"/>
            <w:vAlign w:val="bottom"/>
            <w:shd w:val="clear" w:color="auto" w:fill="D0EBF2"/>
          </w:tcPr>
          <w:p>
            <w:pPr>
              <w:spacing w:after="0"/>
              <w:rPr>
                <w:sz w:val="16"/>
                <w:szCs w:val="16"/>
                <w:color w:val="auto"/>
              </w:rPr>
            </w:pPr>
          </w:p>
        </w:tc>
        <w:tc>
          <w:tcPr>
            <w:tcW w:w="900" w:type="dxa"/>
            <w:vAlign w:val="bottom"/>
            <w:shd w:val="clear" w:color="auto" w:fill="D0EBF2"/>
          </w:tcPr>
          <w:p>
            <w:pPr>
              <w:spacing w:after="0"/>
              <w:rPr>
                <w:sz w:val="16"/>
                <w:szCs w:val="16"/>
                <w:color w:val="auto"/>
              </w:rPr>
            </w:pPr>
          </w:p>
        </w:tc>
        <w:tc>
          <w:tcPr>
            <w:tcW w:w="1000" w:type="dxa"/>
            <w:vAlign w:val="bottom"/>
            <w:shd w:val="clear" w:color="auto" w:fill="D0EBF2"/>
          </w:tcPr>
          <w:p>
            <w:pPr>
              <w:jc w:val="right"/>
              <w:spacing w:after="0"/>
              <w:rPr>
                <w:sz w:val="20"/>
                <w:szCs w:val="20"/>
                <w:color w:val="auto"/>
              </w:rPr>
            </w:pPr>
            <w:r>
              <w:rPr>
                <w:rFonts w:ascii="Times New Roman" w:cs="Times New Roman" w:eastAsia="Times New Roman" w:hAnsi="Times New Roman"/>
                <w:sz w:val="15"/>
                <w:szCs w:val="15"/>
                <w:color w:val="231F20"/>
              </w:rPr>
              <w:t>600</w:t>
            </w:r>
          </w:p>
        </w:tc>
        <w:tc>
          <w:tcPr>
            <w:tcW w:w="1680" w:type="dxa"/>
            <w:vAlign w:val="bottom"/>
            <w:gridSpan w:val="2"/>
            <w:shd w:val="clear" w:color="auto" w:fill="D0EBF2"/>
          </w:tcPr>
          <w:p>
            <w:pPr>
              <w:jc w:val="right"/>
              <w:spacing w:after="0"/>
              <w:rPr>
                <w:sz w:val="20"/>
                <w:szCs w:val="20"/>
                <w:color w:val="auto"/>
              </w:rPr>
            </w:pPr>
            <w:r>
              <w:rPr>
                <w:rFonts w:ascii="Times New Roman" w:cs="Times New Roman" w:eastAsia="Times New Roman" w:hAnsi="Times New Roman"/>
                <w:sz w:val="15"/>
                <w:szCs w:val="15"/>
                <w:color w:val="231F20"/>
              </w:rPr>
              <w:t>600</w:t>
            </w:r>
          </w:p>
        </w:tc>
        <w:tc>
          <w:tcPr>
            <w:tcW w:w="960" w:type="dxa"/>
            <w:vAlign w:val="bottom"/>
            <w:gridSpan w:val="2"/>
            <w:shd w:val="clear" w:color="auto" w:fill="D0EBF2"/>
          </w:tcPr>
          <w:p>
            <w:pPr>
              <w:jc w:val="right"/>
              <w:spacing w:after="0"/>
              <w:rPr>
                <w:sz w:val="20"/>
                <w:szCs w:val="20"/>
                <w:color w:val="auto"/>
              </w:rPr>
            </w:pPr>
            <w:r>
              <w:rPr>
                <w:rFonts w:ascii="Times New Roman" w:cs="Times New Roman" w:eastAsia="Times New Roman" w:hAnsi="Times New Roman"/>
                <w:sz w:val="15"/>
                <w:szCs w:val="15"/>
                <w:color w:val="231F20"/>
              </w:rPr>
              <w:t>0.0%</w:t>
            </w:r>
          </w:p>
        </w:tc>
      </w:tr>
      <w:tr>
        <w:trPr>
          <w:trHeight w:val="187"/>
        </w:trPr>
        <w:tc>
          <w:tcPr>
            <w:tcW w:w="1580" w:type="dxa"/>
            <w:vAlign w:val="bottom"/>
            <w:shd w:val="clear" w:color="auto" w:fill="FDFDFC"/>
          </w:tcPr>
          <w:p>
            <w:pPr>
              <w:spacing w:after="0"/>
              <w:rPr>
                <w:sz w:val="16"/>
                <w:szCs w:val="16"/>
                <w:color w:val="auto"/>
              </w:rPr>
            </w:pPr>
          </w:p>
        </w:tc>
        <w:tc>
          <w:tcPr>
            <w:tcW w:w="2200" w:type="dxa"/>
            <w:vAlign w:val="bottom"/>
            <w:shd w:val="clear" w:color="auto" w:fill="FDFDFC"/>
          </w:tcPr>
          <w:p>
            <w:pPr>
              <w:ind w:left="60"/>
              <w:spacing w:after="0"/>
              <w:rPr>
                <w:sz w:val="20"/>
                <w:szCs w:val="20"/>
                <w:color w:val="auto"/>
              </w:rPr>
            </w:pPr>
            <w:r>
              <w:rPr>
                <w:rFonts w:ascii="Times New Roman" w:cs="Times New Roman" w:eastAsia="Times New Roman" w:hAnsi="Times New Roman"/>
                <w:sz w:val="15"/>
                <w:szCs w:val="15"/>
                <w:color w:val="231F20"/>
              </w:rPr>
              <w:t xml:space="preserve">Class AA Units (19,093 units) </w:t>
            </w:r>
            <w:r>
              <w:rPr>
                <w:rFonts w:ascii="Times New Roman" w:cs="Times New Roman" w:eastAsia="Times New Roman" w:hAnsi="Times New Roman"/>
                <w:sz w:val="9"/>
                <w:szCs w:val="9"/>
                <w:color w:val="231F20"/>
              </w:rPr>
              <w:t>(12)</w:t>
            </w:r>
          </w:p>
        </w:tc>
        <w:tc>
          <w:tcPr>
            <w:tcW w:w="800" w:type="dxa"/>
            <w:vAlign w:val="bottom"/>
            <w:shd w:val="clear" w:color="auto" w:fill="FDFDFC"/>
          </w:tcPr>
          <w:p>
            <w:pPr>
              <w:jc w:val="right"/>
              <w:spacing w:after="0"/>
              <w:rPr>
                <w:sz w:val="20"/>
                <w:szCs w:val="20"/>
                <w:color w:val="auto"/>
              </w:rPr>
            </w:pPr>
            <w:r>
              <w:rPr>
                <w:rFonts w:ascii="Times New Roman" w:cs="Times New Roman" w:eastAsia="Times New Roman" w:hAnsi="Times New Roman"/>
                <w:sz w:val="15"/>
                <w:szCs w:val="15"/>
                <w:color w:val="231F20"/>
              </w:rPr>
              <w:t>11/1/2024</w:t>
            </w:r>
          </w:p>
        </w:tc>
        <w:tc>
          <w:tcPr>
            <w:tcW w:w="1160" w:type="dxa"/>
            <w:vAlign w:val="bottom"/>
            <w:shd w:val="clear" w:color="auto" w:fill="FDFDFC"/>
          </w:tcPr>
          <w:p>
            <w:pPr>
              <w:jc w:val="right"/>
              <w:ind w:right="204"/>
              <w:spacing w:after="0"/>
              <w:rPr>
                <w:sz w:val="20"/>
                <w:szCs w:val="20"/>
                <w:color w:val="auto"/>
              </w:rPr>
            </w:pPr>
            <w:r>
              <w:rPr>
                <w:rFonts w:ascii="Times New Roman" w:cs="Times New Roman" w:eastAsia="Times New Roman" w:hAnsi="Times New Roman"/>
                <w:sz w:val="15"/>
                <w:szCs w:val="15"/>
                <w:color w:val="231F20"/>
              </w:rPr>
              <w:t>20.00%</w:t>
            </w:r>
          </w:p>
        </w:tc>
        <w:tc>
          <w:tcPr>
            <w:tcW w:w="900" w:type="dxa"/>
            <w:vAlign w:val="bottom"/>
            <w:shd w:val="clear" w:color="auto" w:fill="FDFDFC"/>
          </w:tcPr>
          <w:p>
            <w:pPr>
              <w:jc w:val="right"/>
              <w:ind w:right="64"/>
              <w:spacing w:after="0"/>
              <w:rPr>
                <w:sz w:val="20"/>
                <w:szCs w:val="20"/>
                <w:color w:val="auto"/>
              </w:rPr>
            </w:pPr>
            <w:r>
              <w:rPr>
                <w:rFonts w:ascii="Times New Roman" w:cs="Times New Roman" w:eastAsia="Times New Roman" w:hAnsi="Times New Roman"/>
                <w:sz w:val="15"/>
                <w:szCs w:val="15"/>
                <w:color w:val="231F20"/>
              </w:rPr>
              <w:t>20.00%</w:t>
            </w:r>
          </w:p>
        </w:tc>
        <w:tc>
          <w:tcPr>
            <w:tcW w:w="1000" w:type="dxa"/>
            <w:vAlign w:val="bottom"/>
            <w:shd w:val="clear" w:color="auto" w:fill="FDFDFC"/>
          </w:tcPr>
          <w:p>
            <w:pPr>
              <w:jc w:val="right"/>
              <w:spacing w:after="0"/>
              <w:rPr>
                <w:sz w:val="20"/>
                <w:szCs w:val="20"/>
                <w:color w:val="auto"/>
              </w:rPr>
            </w:pPr>
            <w:r>
              <w:rPr>
                <w:rFonts w:ascii="Times New Roman" w:cs="Times New Roman" w:eastAsia="Times New Roman" w:hAnsi="Times New Roman"/>
                <w:sz w:val="15"/>
                <w:szCs w:val="15"/>
                <w:color w:val="231F20"/>
              </w:rPr>
              <w:t>38</w:t>
            </w:r>
          </w:p>
        </w:tc>
        <w:tc>
          <w:tcPr>
            <w:tcW w:w="1680" w:type="dxa"/>
            <w:vAlign w:val="bottom"/>
            <w:gridSpan w:val="2"/>
            <w:shd w:val="clear" w:color="auto" w:fill="FDFDFC"/>
          </w:tcPr>
          <w:p>
            <w:pPr>
              <w:jc w:val="right"/>
              <w:spacing w:after="0"/>
              <w:rPr>
                <w:sz w:val="20"/>
                <w:szCs w:val="20"/>
                <w:color w:val="auto"/>
              </w:rPr>
            </w:pPr>
            <w:r>
              <w:rPr>
                <w:rFonts w:ascii="Times New Roman" w:cs="Times New Roman" w:eastAsia="Times New Roman" w:hAnsi="Times New Roman"/>
                <w:sz w:val="15"/>
                <w:szCs w:val="15"/>
                <w:color w:val="231F20"/>
              </w:rPr>
              <w:t>38</w:t>
            </w:r>
          </w:p>
        </w:tc>
        <w:tc>
          <w:tcPr>
            <w:tcW w:w="960" w:type="dxa"/>
            <w:vAlign w:val="bottom"/>
            <w:gridSpan w:val="2"/>
            <w:shd w:val="clear" w:color="auto" w:fill="FDFDFC"/>
          </w:tcPr>
          <w:p>
            <w:pPr>
              <w:jc w:val="right"/>
              <w:spacing w:after="0"/>
              <w:rPr>
                <w:sz w:val="20"/>
                <w:szCs w:val="20"/>
                <w:color w:val="auto"/>
              </w:rPr>
            </w:pPr>
            <w:r>
              <w:rPr>
                <w:rFonts w:ascii="Times New Roman" w:cs="Times New Roman" w:eastAsia="Times New Roman" w:hAnsi="Times New Roman"/>
                <w:sz w:val="15"/>
                <w:szCs w:val="15"/>
                <w:color w:val="231F20"/>
              </w:rPr>
              <w:t>0.0%</w:t>
            </w:r>
          </w:p>
        </w:tc>
      </w:tr>
      <w:tr>
        <w:trPr>
          <w:trHeight w:val="201"/>
        </w:trPr>
        <w:tc>
          <w:tcPr>
            <w:tcW w:w="1580" w:type="dxa"/>
            <w:vAlign w:val="bottom"/>
            <w:tcBorders>
              <w:top w:val="single" w:sz="8" w:color="D0EBF2"/>
              <w:bottom w:val="single" w:sz="8" w:color="D0EBF2"/>
            </w:tcBorders>
            <w:shd w:val="clear" w:color="auto" w:fill="D0EBF2"/>
          </w:tcPr>
          <w:p>
            <w:pPr>
              <w:spacing w:after="0"/>
              <w:rPr>
                <w:sz w:val="17"/>
                <w:szCs w:val="17"/>
                <w:color w:val="auto"/>
              </w:rPr>
            </w:pPr>
          </w:p>
        </w:tc>
        <w:tc>
          <w:tcPr>
            <w:tcW w:w="2200" w:type="dxa"/>
            <w:vAlign w:val="bottom"/>
            <w:tcBorders>
              <w:top w:val="single" w:sz="8" w:color="D0EBF2"/>
              <w:bottom w:val="single" w:sz="8" w:color="D0EBF2"/>
            </w:tcBorders>
            <w:shd w:val="clear" w:color="auto" w:fill="D0EBF2"/>
          </w:tcPr>
          <w:p>
            <w:pPr>
              <w:spacing w:after="0"/>
              <w:rPr>
                <w:sz w:val="17"/>
                <w:szCs w:val="17"/>
                <w:color w:val="auto"/>
              </w:rPr>
            </w:pPr>
          </w:p>
        </w:tc>
        <w:tc>
          <w:tcPr>
            <w:tcW w:w="800" w:type="dxa"/>
            <w:vAlign w:val="bottom"/>
            <w:tcBorders>
              <w:top w:val="single" w:sz="8" w:color="D0EBF2"/>
              <w:bottom w:val="single" w:sz="8" w:color="D0EBF2"/>
            </w:tcBorders>
            <w:shd w:val="clear" w:color="auto" w:fill="D0EBF2"/>
          </w:tcPr>
          <w:p>
            <w:pPr>
              <w:spacing w:after="0"/>
              <w:rPr>
                <w:sz w:val="17"/>
                <w:szCs w:val="17"/>
                <w:color w:val="auto"/>
              </w:rPr>
            </w:pPr>
          </w:p>
        </w:tc>
        <w:tc>
          <w:tcPr>
            <w:tcW w:w="1160" w:type="dxa"/>
            <w:vAlign w:val="bottom"/>
            <w:tcBorders>
              <w:top w:val="single" w:sz="8" w:color="D0EBF2"/>
              <w:bottom w:val="single" w:sz="8" w:color="D0EBF2"/>
            </w:tcBorders>
            <w:shd w:val="clear" w:color="auto" w:fill="D0EBF2"/>
          </w:tcPr>
          <w:p>
            <w:pPr>
              <w:spacing w:after="0"/>
              <w:rPr>
                <w:sz w:val="17"/>
                <w:szCs w:val="17"/>
                <w:color w:val="auto"/>
              </w:rPr>
            </w:pPr>
          </w:p>
        </w:tc>
        <w:tc>
          <w:tcPr>
            <w:tcW w:w="900" w:type="dxa"/>
            <w:vAlign w:val="bottom"/>
            <w:tcBorders>
              <w:top w:val="single" w:sz="8" w:color="D0EBF2"/>
              <w:bottom w:val="single" w:sz="8" w:color="D0EBF2"/>
            </w:tcBorders>
            <w:shd w:val="clear" w:color="auto" w:fill="D0EBF2"/>
          </w:tcPr>
          <w:p>
            <w:pPr>
              <w:spacing w:after="0"/>
              <w:rPr>
                <w:sz w:val="17"/>
                <w:szCs w:val="17"/>
                <w:color w:val="auto"/>
              </w:rPr>
            </w:pPr>
          </w:p>
        </w:tc>
        <w:tc>
          <w:tcPr>
            <w:tcW w:w="1000" w:type="dxa"/>
            <w:vAlign w:val="bottom"/>
            <w:tcBorders>
              <w:top w:val="single" w:sz="8" w:color="231F20"/>
              <w:bottom w:val="single" w:sz="8" w:color="231F20"/>
            </w:tcBorders>
            <w:shd w:val="clear" w:color="auto" w:fill="D0EBF2"/>
          </w:tcPr>
          <w:p>
            <w:pPr>
              <w:jc w:val="right"/>
              <w:spacing w:after="0"/>
              <w:rPr>
                <w:sz w:val="20"/>
                <w:szCs w:val="20"/>
                <w:color w:val="auto"/>
              </w:rPr>
            </w:pPr>
            <w:r>
              <w:rPr>
                <w:rFonts w:ascii="Times New Roman" w:cs="Times New Roman" w:eastAsia="Times New Roman" w:hAnsi="Times New Roman"/>
                <w:sz w:val="15"/>
                <w:szCs w:val="15"/>
                <w:color w:val="231F20"/>
              </w:rPr>
              <w:t>9,287</w:t>
            </w:r>
          </w:p>
        </w:tc>
        <w:tc>
          <w:tcPr>
            <w:tcW w:w="80" w:type="dxa"/>
            <w:vAlign w:val="bottom"/>
            <w:tcBorders>
              <w:top w:val="single" w:sz="8" w:color="D0EBF2"/>
              <w:bottom w:val="single" w:sz="8" w:color="D0EBF2"/>
            </w:tcBorders>
            <w:shd w:val="clear" w:color="auto" w:fill="D0EBF2"/>
          </w:tcPr>
          <w:p>
            <w:pPr>
              <w:spacing w:after="0"/>
              <w:rPr>
                <w:sz w:val="17"/>
                <w:szCs w:val="17"/>
                <w:color w:val="auto"/>
              </w:rPr>
            </w:pPr>
          </w:p>
        </w:tc>
        <w:tc>
          <w:tcPr>
            <w:tcW w:w="1600" w:type="dxa"/>
            <w:vAlign w:val="bottom"/>
            <w:tcBorders>
              <w:top w:val="single" w:sz="8" w:color="231F20"/>
              <w:bottom w:val="single" w:sz="8" w:color="231F20"/>
            </w:tcBorders>
            <w:shd w:val="clear" w:color="auto" w:fill="D0EBF2"/>
          </w:tcPr>
          <w:p>
            <w:pPr>
              <w:jc w:val="right"/>
              <w:spacing w:after="0"/>
              <w:rPr>
                <w:sz w:val="20"/>
                <w:szCs w:val="20"/>
                <w:color w:val="auto"/>
              </w:rPr>
            </w:pPr>
            <w:r>
              <w:rPr>
                <w:rFonts w:ascii="Times New Roman" w:cs="Times New Roman" w:eastAsia="Times New Roman" w:hAnsi="Times New Roman"/>
                <w:sz w:val="15"/>
                <w:szCs w:val="15"/>
                <w:color w:val="231F20"/>
              </w:rPr>
              <w:t>18,458</w:t>
            </w:r>
          </w:p>
        </w:tc>
        <w:tc>
          <w:tcPr>
            <w:tcW w:w="100" w:type="dxa"/>
            <w:vAlign w:val="bottom"/>
            <w:tcBorders>
              <w:top w:val="single" w:sz="8" w:color="D0EBF2"/>
              <w:bottom w:val="single" w:sz="8" w:color="D0EBF2"/>
            </w:tcBorders>
            <w:shd w:val="clear" w:color="auto" w:fill="D0EBF2"/>
          </w:tcPr>
          <w:p>
            <w:pPr>
              <w:spacing w:after="0"/>
              <w:rPr>
                <w:sz w:val="17"/>
                <w:szCs w:val="17"/>
                <w:color w:val="auto"/>
              </w:rPr>
            </w:pPr>
          </w:p>
        </w:tc>
        <w:tc>
          <w:tcPr>
            <w:tcW w:w="860" w:type="dxa"/>
            <w:vAlign w:val="bottom"/>
            <w:tcBorders>
              <w:top w:val="single" w:sz="8" w:color="231F20"/>
              <w:bottom w:val="single" w:sz="8" w:color="231F20"/>
            </w:tcBorders>
            <w:shd w:val="clear" w:color="auto" w:fill="D0EBF2"/>
          </w:tcPr>
          <w:p>
            <w:pPr>
              <w:jc w:val="right"/>
              <w:spacing w:after="0"/>
              <w:rPr>
                <w:sz w:val="20"/>
                <w:szCs w:val="20"/>
                <w:color w:val="auto"/>
              </w:rPr>
            </w:pPr>
            <w:r>
              <w:rPr>
                <w:rFonts w:ascii="Times New Roman" w:cs="Times New Roman" w:eastAsia="Times New Roman" w:hAnsi="Times New Roman"/>
                <w:sz w:val="15"/>
                <w:szCs w:val="15"/>
                <w:color w:val="231F20"/>
              </w:rPr>
              <w:t>1.2%</w:t>
            </w:r>
          </w:p>
        </w:tc>
      </w:tr>
      <w:tr>
        <w:trPr>
          <w:trHeight w:val="156"/>
        </w:trPr>
        <w:tc>
          <w:tcPr>
            <w:tcW w:w="1580" w:type="dxa"/>
            <w:vAlign w:val="bottom"/>
            <w:tcBorders>
              <w:top w:val="single" w:sz="8" w:color="FDFDFC"/>
            </w:tcBorders>
            <w:shd w:val="clear" w:color="auto" w:fill="FDFDFC"/>
          </w:tcPr>
          <w:p>
            <w:pPr>
              <w:spacing w:after="0" w:line="156" w:lineRule="exact"/>
              <w:rPr>
                <w:sz w:val="20"/>
                <w:szCs w:val="20"/>
                <w:color w:val="auto"/>
              </w:rPr>
            </w:pPr>
            <w:r>
              <w:rPr>
                <w:rFonts w:ascii="Times New Roman" w:cs="Times New Roman" w:eastAsia="Times New Roman" w:hAnsi="Times New Roman"/>
                <w:sz w:val="15"/>
                <w:szCs w:val="15"/>
                <w:b w:val="1"/>
                <w:bCs w:val="1"/>
                <w:color w:val="231F20"/>
              </w:rPr>
              <w:t>Healthcare</w:t>
            </w:r>
          </w:p>
        </w:tc>
        <w:tc>
          <w:tcPr>
            <w:tcW w:w="2200" w:type="dxa"/>
            <w:vAlign w:val="bottom"/>
            <w:tcBorders>
              <w:top w:val="single" w:sz="8" w:color="FDFDFC"/>
            </w:tcBorders>
            <w:shd w:val="clear" w:color="auto" w:fill="FDFDFC"/>
          </w:tcPr>
          <w:p>
            <w:pPr>
              <w:spacing w:after="0"/>
              <w:rPr>
                <w:sz w:val="13"/>
                <w:szCs w:val="13"/>
                <w:color w:val="auto"/>
              </w:rPr>
            </w:pPr>
          </w:p>
        </w:tc>
        <w:tc>
          <w:tcPr>
            <w:tcW w:w="800" w:type="dxa"/>
            <w:vAlign w:val="bottom"/>
            <w:tcBorders>
              <w:top w:val="single" w:sz="8" w:color="FDFDFC"/>
            </w:tcBorders>
            <w:shd w:val="clear" w:color="auto" w:fill="FDFDFC"/>
          </w:tcPr>
          <w:p>
            <w:pPr>
              <w:spacing w:after="0"/>
              <w:rPr>
                <w:sz w:val="13"/>
                <w:szCs w:val="13"/>
                <w:color w:val="auto"/>
              </w:rPr>
            </w:pPr>
          </w:p>
        </w:tc>
        <w:tc>
          <w:tcPr>
            <w:tcW w:w="1160" w:type="dxa"/>
            <w:vAlign w:val="bottom"/>
            <w:tcBorders>
              <w:top w:val="single" w:sz="8" w:color="FDFDFC"/>
            </w:tcBorders>
            <w:shd w:val="clear" w:color="auto" w:fill="FDFDFC"/>
          </w:tcPr>
          <w:p>
            <w:pPr>
              <w:spacing w:after="0"/>
              <w:rPr>
                <w:sz w:val="13"/>
                <w:szCs w:val="13"/>
                <w:color w:val="auto"/>
              </w:rPr>
            </w:pPr>
          </w:p>
        </w:tc>
        <w:tc>
          <w:tcPr>
            <w:tcW w:w="900" w:type="dxa"/>
            <w:vAlign w:val="bottom"/>
            <w:tcBorders>
              <w:top w:val="single" w:sz="8" w:color="FDFDFC"/>
            </w:tcBorders>
            <w:shd w:val="clear" w:color="auto" w:fill="FDFDFC"/>
          </w:tcPr>
          <w:p>
            <w:pPr>
              <w:spacing w:after="0"/>
              <w:rPr>
                <w:sz w:val="13"/>
                <w:szCs w:val="13"/>
                <w:color w:val="auto"/>
              </w:rPr>
            </w:pPr>
          </w:p>
        </w:tc>
        <w:tc>
          <w:tcPr>
            <w:tcW w:w="1000" w:type="dxa"/>
            <w:vAlign w:val="bottom"/>
            <w:tcBorders>
              <w:top w:val="single" w:sz="8" w:color="231F20"/>
            </w:tcBorders>
            <w:shd w:val="clear" w:color="auto" w:fill="FDFDFC"/>
          </w:tcPr>
          <w:p>
            <w:pPr>
              <w:spacing w:after="0"/>
              <w:rPr>
                <w:sz w:val="13"/>
                <w:szCs w:val="13"/>
                <w:color w:val="auto"/>
              </w:rPr>
            </w:pPr>
          </w:p>
        </w:tc>
        <w:tc>
          <w:tcPr>
            <w:tcW w:w="80" w:type="dxa"/>
            <w:vAlign w:val="bottom"/>
            <w:tcBorders>
              <w:top w:val="single" w:sz="8" w:color="FDFDFC"/>
            </w:tcBorders>
            <w:shd w:val="clear" w:color="auto" w:fill="FDFDFC"/>
          </w:tcPr>
          <w:p>
            <w:pPr>
              <w:spacing w:after="0"/>
              <w:rPr>
                <w:sz w:val="13"/>
                <w:szCs w:val="13"/>
                <w:color w:val="auto"/>
              </w:rPr>
            </w:pPr>
          </w:p>
        </w:tc>
        <w:tc>
          <w:tcPr>
            <w:tcW w:w="1600" w:type="dxa"/>
            <w:vAlign w:val="bottom"/>
            <w:tcBorders>
              <w:top w:val="single" w:sz="8" w:color="231F20"/>
            </w:tcBorders>
            <w:shd w:val="clear" w:color="auto" w:fill="FDFDFC"/>
          </w:tcPr>
          <w:p>
            <w:pPr>
              <w:spacing w:after="0"/>
              <w:rPr>
                <w:sz w:val="13"/>
                <w:szCs w:val="13"/>
                <w:color w:val="auto"/>
              </w:rPr>
            </w:pPr>
          </w:p>
        </w:tc>
        <w:tc>
          <w:tcPr>
            <w:tcW w:w="100" w:type="dxa"/>
            <w:vAlign w:val="bottom"/>
            <w:tcBorders>
              <w:top w:val="single" w:sz="8" w:color="FDFDFC"/>
            </w:tcBorders>
            <w:shd w:val="clear" w:color="auto" w:fill="FDFDFC"/>
          </w:tcPr>
          <w:p>
            <w:pPr>
              <w:spacing w:after="0"/>
              <w:rPr>
                <w:sz w:val="13"/>
                <w:szCs w:val="13"/>
                <w:color w:val="auto"/>
              </w:rPr>
            </w:pPr>
          </w:p>
        </w:tc>
        <w:tc>
          <w:tcPr>
            <w:tcW w:w="860" w:type="dxa"/>
            <w:vAlign w:val="bottom"/>
            <w:tcBorders>
              <w:top w:val="single" w:sz="8" w:color="231F20"/>
            </w:tcBorders>
            <w:shd w:val="clear" w:color="auto" w:fill="FDFDFC"/>
          </w:tcPr>
          <w:p>
            <w:pPr>
              <w:spacing w:after="0"/>
              <w:rPr>
                <w:sz w:val="13"/>
                <w:szCs w:val="13"/>
                <w:color w:val="auto"/>
              </w:rPr>
            </w:pPr>
          </w:p>
        </w:tc>
      </w:tr>
      <w:tr>
        <w:trPr>
          <w:trHeight w:val="171"/>
        </w:trPr>
        <w:tc>
          <w:tcPr>
            <w:tcW w:w="1580" w:type="dxa"/>
            <w:vAlign w:val="bottom"/>
            <w:shd w:val="clear" w:color="auto" w:fill="D0EBF2"/>
          </w:tcPr>
          <w:p>
            <w:pPr>
              <w:spacing w:after="0" w:line="172" w:lineRule="exact"/>
              <w:rPr>
                <w:sz w:val="20"/>
                <w:szCs w:val="20"/>
                <w:color w:val="auto"/>
              </w:rPr>
            </w:pPr>
            <w:r>
              <w:rPr>
                <w:rFonts w:ascii="Times New Roman" w:cs="Times New Roman" w:eastAsia="Times New Roman" w:hAnsi="Times New Roman"/>
                <w:sz w:val="15"/>
                <w:szCs w:val="15"/>
                <w:color w:val="231F20"/>
              </w:rPr>
              <w:t>Caris Life Sciences, Inc.</w:t>
            </w:r>
          </w:p>
        </w:tc>
        <w:tc>
          <w:tcPr>
            <w:tcW w:w="2200" w:type="dxa"/>
            <w:vAlign w:val="bottom"/>
            <w:shd w:val="clear" w:color="auto" w:fill="D0EBF2"/>
          </w:tcPr>
          <w:p>
            <w:pPr>
              <w:ind w:left="60"/>
              <w:spacing w:after="0" w:line="172" w:lineRule="exact"/>
              <w:rPr>
                <w:sz w:val="20"/>
                <w:szCs w:val="20"/>
                <w:color w:val="auto"/>
              </w:rPr>
            </w:pPr>
            <w:r>
              <w:rPr>
                <w:rFonts w:ascii="Times New Roman" w:cs="Times New Roman" w:eastAsia="Times New Roman" w:hAnsi="Times New Roman"/>
                <w:sz w:val="15"/>
                <w:szCs w:val="15"/>
                <w:color w:val="231F20"/>
              </w:rPr>
              <w:t>Series C Preferred Shares</w:t>
            </w:r>
          </w:p>
        </w:tc>
        <w:tc>
          <w:tcPr>
            <w:tcW w:w="800" w:type="dxa"/>
            <w:vAlign w:val="bottom"/>
            <w:shd w:val="clear" w:color="auto" w:fill="D0EBF2"/>
          </w:tcPr>
          <w:p>
            <w:pPr>
              <w:jc w:val="right"/>
              <w:spacing w:after="0" w:line="172" w:lineRule="exact"/>
              <w:rPr>
                <w:sz w:val="20"/>
                <w:szCs w:val="20"/>
                <w:color w:val="auto"/>
              </w:rPr>
            </w:pPr>
            <w:r>
              <w:rPr>
                <w:rFonts w:ascii="Times New Roman" w:cs="Times New Roman" w:eastAsia="Times New Roman" w:hAnsi="Times New Roman"/>
                <w:sz w:val="15"/>
                <w:szCs w:val="15"/>
                <w:color w:val="231F20"/>
              </w:rPr>
              <w:t>10/13/2020</w:t>
            </w:r>
          </w:p>
        </w:tc>
        <w:tc>
          <w:tcPr>
            <w:tcW w:w="1160" w:type="dxa"/>
            <w:vAlign w:val="bottom"/>
            <w:shd w:val="clear" w:color="auto" w:fill="D0EBF2"/>
          </w:tcPr>
          <w:p>
            <w:pPr>
              <w:spacing w:after="0"/>
              <w:rPr>
                <w:sz w:val="14"/>
                <w:szCs w:val="14"/>
                <w:color w:val="auto"/>
              </w:rPr>
            </w:pPr>
          </w:p>
        </w:tc>
        <w:tc>
          <w:tcPr>
            <w:tcW w:w="900" w:type="dxa"/>
            <w:vAlign w:val="bottom"/>
            <w:shd w:val="clear" w:color="auto" w:fill="D0EBF2"/>
          </w:tcPr>
          <w:p>
            <w:pPr>
              <w:spacing w:after="0"/>
              <w:rPr>
                <w:sz w:val="14"/>
                <w:szCs w:val="14"/>
                <w:color w:val="auto"/>
              </w:rPr>
            </w:pPr>
          </w:p>
        </w:tc>
        <w:tc>
          <w:tcPr>
            <w:tcW w:w="1000" w:type="dxa"/>
            <w:vAlign w:val="bottom"/>
            <w:shd w:val="clear" w:color="auto" w:fill="D0EBF2"/>
          </w:tcPr>
          <w:p>
            <w:pPr>
              <w:jc w:val="right"/>
              <w:spacing w:after="0" w:line="172" w:lineRule="exact"/>
              <w:rPr>
                <w:sz w:val="20"/>
                <w:szCs w:val="20"/>
                <w:color w:val="auto"/>
              </w:rPr>
            </w:pPr>
            <w:r>
              <w:rPr>
                <w:rFonts w:ascii="Times New Roman" w:cs="Times New Roman" w:eastAsia="Times New Roman" w:hAnsi="Times New Roman"/>
                <w:sz w:val="15"/>
                <w:szCs w:val="15"/>
                <w:color w:val="231F20"/>
              </w:rPr>
              <w:t>3,500</w:t>
            </w:r>
          </w:p>
        </w:tc>
        <w:tc>
          <w:tcPr>
            <w:tcW w:w="80" w:type="dxa"/>
            <w:vAlign w:val="bottom"/>
            <w:shd w:val="clear" w:color="auto" w:fill="D0EBF2"/>
          </w:tcPr>
          <w:p>
            <w:pPr>
              <w:spacing w:after="0"/>
              <w:rPr>
                <w:sz w:val="14"/>
                <w:szCs w:val="14"/>
                <w:color w:val="auto"/>
              </w:rPr>
            </w:pPr>
          </w:p>
        </w:tc>
        <w:tc>
          <w:tcPr>
            <w:tcW w:w="1600" w:type="dxa"/>
            <w:vAlign w:val="bottom"/>
            <w:shd w:val="clear" w:color="auto" w:fill="D0EBF2"/>
          </w:tcPr>
          <w:p>
            <w:pPr>
              <w:jc w:val="right"/>
              <w:spacing w:after="0" w:line="172" w:lineRule="exact"/>
              <w:rPr>
                <w:sz w:val="20"/>
                <w:szCs w:val="20"/>
                <w:color w:val="auto"/>
              </w:rPr>
            </w:pPr>
            <w:r>
              <w:rPr>
                <w:rFonts w:ascii="Times New Roman" w:cs="Times New Roman" w:eastAsia="Times New Roman" w:hAnsi="Times New Roman"/>
                <w:sz w:val="15"/>
                <w:szCs w:val="15"/>
                <w:color w:val="231F20"/>
              </w:rPr>
              <w:t>8,137</w:t>
            </w:r>
          </w:p>
        </w:tc>
        <w:tc>
          <w:tcPr>
            <w:tcW w:w="100" w:type="dxa"/>
            <w:vAlign w:val="bottom"/>
            <w:shd w:val="clear" w:color="auto" w:fill="D0EBF2"/>
          </w:tcPr>
          <w:p>
            <w:pPr>
              <w:spacing w:after="0"/>
              <w:rPr>
                <w:sz w:val="14"/>
                <w:szCs w:val="14"/>
                <w:color w:val="auto"/>
              </w:rPr>
            </w:pPr>
          </w:p>
        </w:tc>
        <w:tc>
          <w:tcPr>
            <w:tcW w:w="860" w:type="dxa"/>
            <w:vAlign w:val="bottom"/>
            <w:shd w:val="clear" w:color="auto" w:fill="D0EBF2"/>
          </w:tcPr>
          <w:p>
            <w:pPr>
              <w:jc w:val="right"/>
              <w:spacing w:after="0" w:line="172" w:lineRule="exact"/>
              <w:rPr>
                <w:sz w:val="20"/>
                <w:szCs w:val="20"/>
                <w:color w:val="auto"/>
              </w:rPr>
            </w:pPr>
            <w:r>
              <w:rPr>
                <w:rFonts w:ascii="Times New Roman" w:cs="Times New Roman" w:eastAsia="Times New Roman" w:hAnsi="Times New Roman"/>
                <w:sz w:val="15"/>
                <w:szCs w:val="15"/>
                <w:color w:val="231F20"/>
              </w:rPr>
              <w:t>0.5%</w:t>
            </w:r>
          </w:p>
        </w:tc>
      </w:tr>
      <w:tr>
        <w:trPr>
          <w:trHeight w:val="189"/>
        </w:trPr>
        <w:tc>
          <w:tcPr>
            <w:tcW w:w="1580" w:type="dxa"/>
            <w:vAlign w:val="bottom"/>
            <w:shd w:val="clear" w:color="auto" w:fill="D0EBF2"/>
          </w:tcPr>
          <w:p>
            <w:pPr>
              <w:spacing w:after="0"/>
              <w:rPr>
                <w:sz w:val="20"/>
                <w:szCs w:val="20"/>
                <w:color w:val="auto"/>
              </w:rPr>
            </w:pPr>
            <w:r>
              <w:rPr>
                <w:rFonts w:ascii="Times New Roman" w:cs="Times New Roman" w:eastAsia="Times New Roman" w:hAnsi="Times New Roman"/>
                <w:sz w:val="9"/>
                <w:szCs w:val="9"/>
                <w:color w:val="231F20"/>
              </w:rPr>
              <w:t>(11)</w:t>
            </w:r>
          </w:p>
        </w:tc>
        <w:tc>
          <w:tcPr>
            <w:tcW w:w="2200" w:type="dxa"/>
            <w:vAlign w:val="bottom"/>
            <w:shd w:val="clear" w:color="auto" w:fill="D0EBF2"/>
          </w:tcPr>
          <w:p>
            <w:pPr>
              <w:ind w:left="60"/>
              <w:spacing w:after="0"/>
              <w:rPr>
                <w:sz w:val="20"/>
                <w:szCs w:val="20"/>
                <w:color w:val="auto"/>
              </w:rPr>
            </w:pPr>
            <w:r>
              <w:rPr>
                <w:rFonts w:ascii="Times New Roman" w:cs="Times New Roman" w:eastAsia="Times New Roman" w:hAnsi="Times New Roman"/>
                <w:sz w:val="15"/>
                <w:szCs w:val="15"/>
                <w:color w:val="231F20"/>
              </w:rPr>
              <w:t>(1,915,114 shares)</w:t>
            </w:r>
          </w:p>
        </w:tc>
        <w:tc>
          <w:tcPr>
            <w:tcW w:w="800" w:type="dxa"/>
            <w:vAlign w:val="bottom"/>
            <w:shd w:val="clear" w:color="auto" w:fill="D0EBF2"/>
          </w:tcPr>
          <w:p>
            <w:pPr>
              <w:spacing w:after="0"/>
              <w:rPr>
                <w:sz w:val="16"/>
                <w:szCs w:val="16"/>
                <w:color w:val="auto"/>
              </w:rPr>
            </w:pPr>
          </w:p>
        </w:tc>
        <w:tc>
          <w:tcPr>
            <w:tcW w:w="1160" w:type="dxa"/>
            <w:vAlign w:val="bottom"/>
            <w:shd w:val="clear" w:color="auto" w:fill="D0EBF2"/>
          </w:tcPr>
          <w:p>
            <w:pPr>
              <w:spacing w:after="0"/>
              <w:rPr>
                <w:sz w:val="16"/>
                <w:szCs w:val="16"/>
                <w:color w:val="auto"/>
              </w:rPr>
            </w:pPr>
          </w:p>
        </w:tc>
        <w:tc>
          <w:tcPr>
            <w:tcW w:w="900" w:type="dxa"/>
            <w:vAlign w:val="bottom"/>
            <w:shd w:val="clear" w:color="auto" w:fill="D0EBF2"/>
          </w:tcPr>
          <w:p>
            <w:pPr>
              <w:spacing w:after="0"/>
              <w:rPr>
                <w:sz w:val="16"/>
                <w:szCs w:val="16"/>
                <w:color w:val="auto"/>
              </w:rPr>
            </w:pPr>
          </w:p>
        </w:tc>
        <w:tc>
          <w:tcPr>
            <w:tcW w:w="1000" w:type="dxa"/>
            <w:vAlign w:val="bottom"/>
            <w:shd w:val="clear" w:color="auto" w:fill="D0EBF2"/>
          </w:tcPr>
          <w:p>
            <w:pPr>
              <w:spacing w:after="0"/>
              <w:rPr>
                <w:sz w:val="16"/>
                <w:szCs w:val="16"/>
                <w:color w:val="auto"/>
              </w:rPr>
            </w:pPr>
          </w:p>
        </w:tc>
        <w:tc>
          <w:tcPr>
            <w:tcW w:w="80" w:type="dxa"/>
            <w:vAlign w:val="bottom"/>
            <w:shd w:val="clear" w:color="auto" w:fill="D0EBF2"/>
          </w:tcPr>
          <w:p>
            <w:pPr>
              <w:spacing w:after="0"/>
              <w:rPr>
                <w:sz w:val="16"/>
                <w:szCs w:val="16"/>
                <w:color w:val="auto"/>
              </w:rPr>
            </w:pPr>
          </w:p>
        </w:tc>
        <w:tc>
          <w:tcPr>
            <w:tcW w:w="1600" w:type="dxa"/>
            <w:vAlign w:val="bottom"/>
            <w:shd w:val="clear" w:color="auto" w:fill="D0EBF2"/>
          </w:tcPr>
          <w:p>
            <w:pPr>
              <w:spacing w:after="0"/>
              <w:rPr>
                <w:sz w:val="16"/>
                <w:szCs w:val="16"/>
                <w:color w:val="auto"/>
              </w:rPr>
            </w:pPr>
          </w:p>
        </w:tc>
        <w:tc>
          <w:tcPr>
            <w:tcW w:w="100" w:type="dxa"/>
            <w:vAlign w:val="bottom"/>
            <w:shd w:val="clear" w:color="auto" w:fill="D0EBF2"/>
          </w:tcPr>
          <w:p>
            <w:pPr>
              <w:spacing w:after="0"/>
              <w:rPr>
                <w:sz w:val="16"/>
                <w:szCs w:val="16"/>
                <w:color w:val="auto"/>
              </w:rPr>
            </w:pPr>
          </w:p>
        </w:tc>
        <w:tc>
          <w:tcPr>
            <w:tcW w:w="860" w:type="dxa"/>
            <w:vAlign w:val="bottom"/>
            <w:shd w:val="clear" w:color="auto" w:fill="D0EBF2"/>
          </w:tcPr>
          <w:p>
            <w:pPr>
              <w:spacing w:after="0"/>
              <w:rPr>
                <w:sz w:val="16"/>
                <w:szCs w:val="16"/>
                <w:color w:val="auto"/>
              </w:rPr>
            </w:pPr>
          </w:p>
        </w:tc>
      </w:tr>
      <w:tr>
        <w:trPr>
          <w:trHeight w:val="171"/>
        </w:trPr>
        <w:tc>
          <w:tcPr>
            <w:tcW w:w="1580" w:type="dxa"/>
            <w:vAlign w:val="bottom"/>
            <w:shd w:val="clear" w:color="auto" w:fill="FDFDFC"/>
          </w:tcPr>
          <w:p>
            <w:pPr>
              <w:spacing w:after="0"/>
              <w:rPr>
                <w:sz w:val="14"/>
                <w:szCs w:val="14"/>
                <w:color w:val="auto"/>
              </w:rPr>
            </w:pPr>
          </w:p>
        </w:tc>
        <w:tc>
          <w:tcPr>
            <w:tcW w:w="2200" w:type="dxa"/>
            <w:vAlign w:val="bottom"/>
            <w:shd w:val="clear" w:color="auto" w:fill="FDFDFC"/>
          </w:tcPr>
          <w:p>
            <w:pPr>
              <w:ind w:left="60"/>
              <w:spacing w:after="0" w:line="172" w:lineRule="exact"/>
              <w:rPr>
                <w:sz w:val="20"/>
                <w:szCs w:val="20"/>
                <w:color w:val="auto"/>
              </w:rPr>
            </w:pPr>
            <w:r>
              <w:rPr>
                <w:rFonts w:ascii="Times New Roman" w:cs="Times New Roman" w:eastAsia="Times New Roman" w:hAnsi="Times New Roman"/>
                <w:sz w:val="15"/>
                <w:szCs w:val="15"/>
                <w:color w:val="231F20"/>
              </w:rPr>
              <w:t>Series D Preferred Shares</w:t>
            </w:r>
          </w:p>
        </w:tc>
        <w:tc>
          <w:tcPr>
            <w:tcW w:w="800" w:type="dxa"/>
            <w:vAlign w:val="bottom"/>
            <w:shd w:val="clear" w:color="auto" w:fill="FDFDFC"/>
          </w:tcPr>
          <w:p>
            <w:pPr>
              <w:jc w:val="right"/>
              <w:spacing w:after="0" w:line="172" w:lineRule="exact"/>
              <w:rPr>
                <w:sz w:val="20"/>
                <w:szCs w:val="20"/>
                <w:color w:val="auto"/>
              </w:rPr>
            </w:pPr>
            <w:r>
              <w:rPr>
                <w:rFonts w:ascii="Times New Roman" w:cs="Times New Roman" w:eastAsia="Times New Roman" w:hAnsi="Times New Roman"/>
                <w:sz w:val="15"/>
                <w:szCs w:val="15"/>
                <w:color w:val="231F20"/>
              </w:rPr>
              <w:t>5/11/2021</w:t>
            </w:r>
          </w:p>
        </w:tc>
        <w:tc>
          <w:tcPr>
            <w:tcW w:w="1160" w:type="dxa"/>
            <w:vAlign w:val="bottom"/>
            <w:shd w:val="clear" w:color="auto" w:fill="FDFDFC"/>
          </w:tcPr>
          <w:p>
            <w:pPr>
              <w:spacing w:after="0"/>
              <w:rPr>
                <w:sz w:val="14"/>
                <w:szCs w:val="14"/>
                <w:color w:val="auto"/>
              </w:rPr>
            </w:pPr>
          </w:p>
        </w:tc>
        <w:tc>
          <w:tcPr>
            <w:tcW w:w="900" w:type="dxa"/>
            <w:vAlign w:val="bottom"/>
            <w:shd w:val="clear" w:color="auto" w:fill="FDFDFC"/>
          </w:tcPr>
          <w:p>
            <w:pPr>
              <w:spacing w:after="0"/>
              <w:rPr>
                <w:sz w:val="14"/>
                <w:szCs w:val="14"/>
                <w:color w:val="auto"/>
              </w:rPr>
            </w:pPr>
          </w:p>
        </w:tc>
        <w:tc>
          <w:tcPr>
            <w:tcW w:w="1000" w:type="dxa"/>
            <w:vAlign w:val="bottom"/>
            <w:shd w:val="clear" w:color="auto" w:fill="FDFDFC"/>
          </w:tcPr>
          <w:p>
            <w:pPr>
              <w:jc w:val="right"/>
              <w:spacing w:after="0" w:line="172" w:lineRule="exact"/>
              <w:rPr>
                <w:sz w:val="20"/>
                <w:szCs w:val="20"/>
                <w:color w:val="auto"/>
              </w:rPr>
            </w:pPr>
            <w:r>
              <w:rPr>
                <w:rFonts w:ascii="Times New Roman" w:cs="Times New Roman" w:eastAsia="Times New Roman" w:hAnsi="Times New Roman"/>
                <w:sz w:val="15"/>
                <w:szCs w:val="15"/>
                <w:color w:val="231F20"/>
              </w:rPr>
              <w:t>10,050</w:t>
            </w:r>
          </w:p>
        </w:tc>
        <w:tc>
          <w:tcPr>
            <w:tcW w:w="1680" w:type="dxa"/>
            <w:vAlign w:val="bottom"/>
            <w:gridSpan w:val="2"/>
            <w:shd w:val="clear" w:color="auto" w:fill="FDFDFC"/>
          </w:tcPr>
          <w:p>
            <w:pPr>
              <w:jc w:val="right"/>
              <w:spacing w:after="0" w:line="172" w:lineRule="exact"/>
              <w:rPr>
                <w:sz w:val="20"/>
                <w:szCs w:val="20"/>
                <w:color w:val="auto"/>
              </w:rPr>
            </w:pPr>
            <w:r>
              <w:rPr>
                <w:rFonts w:ascii="Times New Roman" w:cs="Times New Roman" w:eastAsia="Times New Roman" w:hAnsi="Times New Roman"/>
                <w:sz w:val="15"/>
                <w:szCs w:val="15"/>
                <w:color w:val="231F20"/>
              </w:rPr>
              <w:t>9,924</w:t>
            </w:r>
          </w:p>
        </w:tc>
        <w:tc>
          <w:tcPr>
            <w:tcW w:w="960" w:type="dxa"/>
            <w:vAlign w:val="bottom"/>
            <w:gridSpan w:val="2"/>
            <w:shd w:val="clear" w:color="auto" w:fill="FDFDFC"/>
          </w:tcPr>
          <w:p>
            <w:pPr>
              <w:jc w:val="right"/>
              <w:spacing w:after="0" w:line="172" w:lineRule="exact"/>
              <w:rPr>
                <w:sz w:val="20"/>
                <w:szCs w:val="20"/>
                <w:color w:val="auto"/>
              </w:rPr>
            </w:pPr>
            <w:r>
              <w:rPr>
                <w:rFonts w:ascii="Times New Roman" w:cs="Times New Roman" w:eastAsia="Times New Roman" w:hAnsi="Times New Roman"/>
                <w:sz w:val="15"/>
                <w:szCs w:val="15"/>
                <w:color w:val="231F20"/>
              </w:rPr>
              <w:t>0.6%</w:t>
            </w:r>
          </w:p>
        </w:tc>
      </w:tr>
      <w:tr>
        <w:trPr>
          <w:trHeight w:val="189"/>
        </w:trPr>
        <w:tc>
          <w:tcPr>
            <w:tcW w:w="1580" w:type="dxa"/>
            <w:vAlign w:val="bottom"/>
            <w:shd w:val="clear" w:color="auto" w:fill="FDFDFC"/>
          </w:tcPr>
          <w:p>
            <w:pPr>
              <w:spacing w:after="0"/>
              <w:rPr>
                <w:sz w:val="16"/>
                <w:szCs w:val="16"/>
                <w:color w:val="auto"/>
              </w:rPr>
            </w:pPr>
          </w:p>
        </w:tc>
        <w:tc>
          <w:tcPr>
            <w:tcW w:w="2200" w:type="dxa"/>
            <w:vAlign w:val="bottom"/>
            <w:shd w:val="clear" w:color="auto" w:fill="FDFDFC"/>
          </w:tcPr>
          <w:p>
            <w:pPr>
              <w:ind w:left="60"/>
              <w:spacing w:after="0"/>
              <w:rPr>
                <w:sz w:val="20"/>
                <w:szCs w:val="20"/>
                <w:color w:val="auto"/>
              </w:rPr>
            </w:pPr>
            <w:r>
              <w:rPr>
                <w:rFonts w:ascii="Times New Roman" w:cs="Times New Roman" w:eastAsia="Times New Roman" w:hAnsi="Times New Roman"/>
                <w:sz w:val="15"/>
                <w:szCs w:val="15"/>
                <w:color w:val="231F20"/>
              </w:rPr>
              <w:t>(1,240,740 shares)</w:t>
            </w:r>
          </w:p>
        </w:tc>
        <w:tc>
          <w:tcPr>
            <w:tcW w:w="800" w:type="dxa"/>
            <w:vAlign w:val="bottom"/>
            <w:shd w:val="clear" w:color="auto" w:fill="FDFDFC"/>
          </w:tcPr>
          <w:p>
            <w:pPr>
              <w:spacing w:after="0"/>
              <w:rPr>
                <w:sz w:val="16"/>
                <w:szCs w:val="16"/>
                <w:color w:val="auto"/>
              </w:rPr>
            </w:pPr>
          </w:p>
        </w:tc>
        <w:tc>
          <w:tcPr>
            <w:tcW w:w="1160" w:type="dxa"/>
            <w:vAlign w:val="bottom"/>
            <w:shd w:val="clear" w:color="auto" w:fill="FDFDFC"/>
          </w:tcPr>
          <w:p>
            <w:pPr>
              <w:spacing w:after="0"/>
              <w:rPr>
                <w:sz w:val="16"/>
                <w:szCs w:val="16"/>
                <w:color w:val="auto"/>
              </w:rPr>
            </w:pPr>
          </w:p>
        </w:tc>
        <w:tc>
          <w:tcPr>
            <w:tcW w:w="900" w:type="dxa"/>
            <w:vAlign w:val="bottom"/>
            <w:shd w:val="clear" w:color="auto" w:fill="FDFDFC"/>
          </w:tcPr>
          <w:p>
            <w:pPr>
              <w:spacing w:after="0"/>
              <w:rPr>
                <w:sz w:val="16"/>
                <w:szCs w:val="16"/>
                <w:color w:val="auto"/>
              </w:rPr>
            </w:pPr>
          </w:p>
        </w:tc>
        <w:tc>
          <w:tcPr>
            <w:tcW w:w="1000" w:type="dxa"/>
            <w:vAlign w:val="bottom"/>
            <w:shd w:val="clear" w:color="auto" w:fill="FDFDFC"/>
          </w:tcPr>
          <w:p>
            <w:pPr>
              <w:spacing w:after="0"/>
              <w:rPr>
                <w:sz w:val="16"/>
                <w:szCs w:val="16"/>
                <w:color w:val="auto"/>
              </w:rPr>
            </w:pPr>
          </w:p>
        </w:tc>
        <w:tc>
          <w:tcPr>
            <w:tcW w:w="80" w:type="dxa"/>
            <w:vAlign w:val="bottom"/>
            <w:shd w:val="clear" w:color="auto" w:fill="FDFDFC"/>
          </w:tcPr>
          <w:p>
            <w:pPr>
              <w:spacing w:after="0"/>
              <w:rPr>
                <w:sz w:val="16"/>
                <w:szCs w:val="16"/>
                <w:color w:val="auto"/>
              </w:rPr>
            </w:pPr>
          </w:p>
        </w:tc>
        <w:tc>
          <w:tcPr>
            <w:tcW w:w="1600" w:type="dxa"/>
            <w:vAlign w:val="bottom"/>
            <w:shd w:val="clear" w:color="auto" w:fill="FDFDFC"/>
          </w:tcPr>
          <w:p>
            <w:pPr>
              <w:spacing w:after="0"/>
              <w:rPr>
                <w:sz w:val="16"/>
                <w:szCs w:val="16"/>
                <w:color w:val="auto"/>
              </w:rPr>
            </w:pPr>
          </w:p>
        </w:tc>
        <w:tc>
          <w:tcPr>
            <w:tcW w:w="100" w:type="dxa"/>
            <w:vAlign w:val="bottom"/>
            <w:shd w:val="clear" w:color="auto" w:fill="FDFDFC"/>
          </w:tcPr>
          <w:p>
            <w:pPr>
              <w:spacing w:after="0"/>
              <w:rPr>
                <w:sz w:val="16"/>
                <w:szCs w:val="16"/>
                <w:color w:val="auto"/>
              </w:rPr>
            </w:pPr>
          </w:p>
        </w:tc>
        <w:tc>
          <w:tcPr>
            <w:tcW w:w="860" w:type="dxa"/>
            <w:vAlign w:val="bottom"/>
            <w:shd w:val="clear" w:color="auto" w:fill="FDFDFC"/>
          </w:tcPr>
          <w:p>
            <w:pPr>
              <w:spacing w:after="0"/>
              <w:rPr>
                <w:sz w:val="16"/>
                <w:szCs w:val="16"/>
                <w:color w:val="auto"/>
              </w:rPr>
            </w:pPr>
          </w:p>
        </w:tc>
      </w:tr>
      <w:tr>
        <w:trPr>
          <w:trHeight w:val="187"/>
        </w:trPr>
        <w:tc>
          <w:tcPr>
            <w:tcW w:w="1580" w:type="dxa"/>
            <w:vAlign w:val="bottom"/>
            <w:shd w:val="clear" w:color="auto" w:fill="D0EBF2"/>
          </w:tcPr>
          <w:p>
            <w:pPr>
              <w:spacing w:after="0"/>
              <w:rPr>
                <w:sz w:val="16"/>
                <w:szCs w:val="16"/>
                <w:color w:val="auto"/>
              </w:rPr>
            </w:pPr>
          </w:p>
        </w:tc>
        <w:tc>
          <w:tcPr>
            <w:tcW w:w="2200" w:type="dxa"/>
            <w:vAlign w:val="bottom"/>
            <w:shd w:val="clear" w:color="auto" w:fill="D0EBF2"/>
          </w:tcPr>
          <w:p>
            <w:pPr>
              <w:ind w:left="60"/>
              <w:spacing w:after="0"/>
              <w:rPr>
                <w:sz w:val="20"/>
                <w:szCs w:val="20"/>
                <w:color w:val="auto"/>
              </w:rPr>
            </w:pPr>
            <w:r>
              <w:rPr>
                <w:rFonts w:ascii="Times New Roman" w:cs="Times New Roman" w:eastAsia="Times New Roman" w:hAnsi="Times New Roman"/>
                <w:sz w:val="15"/>
                <w:szCs w:val="15"/>
                <w:color w:val="231F20"/>
              </w:rPr>
              <w:t>Warrants (633,376 warrants)</w:t>
            </w:r>
          </w:p>
        </w:tc>
        <w:tc>
          <w:tcPr>
            <w:tcW w:w="800" w:type="dxa"/>
            <w:vAlign w:val="bottom"/>
            <w:shd w:val="clear" w:color="auto" w:fill="D0EBF2"/>
          </w:tcPr>
          <w:p>
            <w:pPr>
              <w:jc w:val="right"/>
              <w:spacing w:after="0"/>
              <w:rPr>
                <w:sz w:val="20"/>
                <w:szCs w:val="20"/>
                <w:color w:val="auto"/>
              </w:rPr>
            </w:pPr>
            <w:r>
              <w:rPr>
                <w:rFonts w:ascii="Times New Roman" w:cs="Times New Roman" w:eastAsia="Times New Roman" w:hAnsi="Times New Roman"/>
                <w:sz w:val="15"/>
                <w:szCs w:val="15"/>
                <w:color w:val="231F20"/>
              </w:rPr>
              <w:t>9/21/2018</w:t>
            </w:r>
          </w:p>
        </w:tc>
        <w:tc>
          <w:tcPr>
            <w:tcW w:w="1160" w:type="dxa"/>
            <w:vAlign w:val="bottom"/>
            <w:shd w:val="clear" w:color="auto" w:fill="D0EBF2"/>
          </w:tcPr>
          <w:p>
            <w:pPr>
              <w:spacing w:after="0"/>
              <w:rPr>
                <w:sz w:val="16"/>
                <w:szCs w:val="16"/>
                <w:color w:val="auto"/>
              </w:rPr>
            </w:pPr>
          </w:p>
        </w:tc>
        <w:tc>
          <w:tcPr>
            <w:tcW w:w="900" w:type="dxa"/>
            <w:vAlign w:val="bottom"/>
            <w:shd w:val="clear" w:color="auto" w:fill="D0EBF2"/>
          </w:tcPr>
          <w:p>
            <w:pPr>
              <w:spacing w:after="0"/>
              <w:rPr>
                <w:sz w:val="16"/>
                <w:szCs w:val="16"/>
                <w:color w:val="auto"/>
              </w:rPr>
            </w:pPr>
          </w:p>
        </w:tc>
        <w:tc>
          <w:tcPr>
            <w:tcW w:w="1000" w:type="dxa"/>
            <w:vAlign w:val="bottom"/>
            <w:shd w:val="clear" w:color="auto" w:fill="D0EBF2"/>
          </w:tcPr>
          <w:p>
            <w:pPr>
              <w:jc w:val="right"/>
              <w:spacing w:after="0"/>
              <w:rPr>
                <w:sz w:val="20"/>
                <w:szCs w:val="20"/>
                <w:color w:val="auto"/>
              </w:rPr>
            </w:pPr>
            <w:r>
              <w:rPr>
                <w:rFonts w:ascii="Times New Roman" w:cs="Times New Roman" w:eastAsia="Times New Roman" w:hAnsi="Times New Roman"/>
                <w:sz w:val="15"/>
                <w:szCs w:val="15"/>
                <w:color w:val="231F20"/>
              </w:rPr>
              <w:t>192</w:t>
            </w:r>
          </w:p>
        </w:tc>
        <w:tc>
          <w:tcPr>
            <w:tcW w:w="1680" w:type="dxa"/>
            <w:vAlign w:val="bottom"/>
            <w:gridSpan w:val="2"/>
            <w:shd w:val="clear" w:color="auto" w:fill="D0EBF2"/>
          </w:tcPr>
          <w:p>
            <w:pPr>
              <w:jc w:val="right"/>
              <w:spacing w:after="0"/>
              <w:rPr>
                <w:sz w:val="20"/>
                <w:szCs w:val="20"/>
                <w:color w:val="auto"/>
              </w:rPr>
            </w:pPr>
            <w:r>
              <w:rPr>
                <w:rFonts w:ascii="Times New Roman" w:cs="Times New Roman" w:eastAsia="Times New Roman" w:hAnsi="Times New Roman"/>
                <w:sz w:val="15"/>
                <w:szCs w:val="15"/>
                <w:color w:val="231F20"/>
              </w:rPr>
              <w:t>1,672</w:t>
            </w:r>
          </w:p>
        </w:tc>
        <w:tc>
          <w:tcPr>
            <w:tcW w:w="960" w:type="dxa"/>
            <w:vAlign w:val="bottom"/>
            <w:gridSpan w:val="2"/>
            <w:shd w:val="clear" w:color="auto" w:fill="D0EBF2"/>
          </w:tcPr>
          <w:p>
            <w:pPr>
              <w:jc w:val="right"/>
              <w:spacing w:after="0"/>
              <w:rPr>
                <w:sz w:val="20"/>
                <w:szCs w:val="20"/>
                <w:color w:val="auto"/>
              </w:rPr>
            </w:pPr>
            <w:r>
              <w:rPr>
                <w:rFonts w:ascii="Times New Roman" w:cs="Times New Roman" w:eastAsia="Times New Roman" w:hAnsi="Times New Roman"/>
                <w:sz w:val="15"/>
                <w:szCs w:val="15"/>
                <w:color w:val="231F20"/>
              </w:rPr>
              <w:t>0.1%</w:t>
            </w:r>
          </w:p>
        </w:tc>
      </w:tr>
      <w:tr>
        <w:trPr>
          <w:trHeight w:val="187"/>
        </w:trPr>
        <w:tc>
          <w:tcPr>
            <w:tcW w:w="1580" w:type="dxa"/>
            <w:vAlign w:val="bottom"/>
            <w:shd w:val="clear" w:color="auto" w:fill="FDFDFC"/>
          </w:tcPr>
          <w:p>
            <w:pPr>
              <w:spacing w:after="0"/>
              <w:rPr>
                <w:sz w:val="16"/>
                <w:szCs w:val="16"/>
                <w:color w:val="auto"/>
              </w:rPr>
            </w:pPr>
          </w:p>
        </w:tc>
        <w:tc>
          <w:tcPr>
            <w:tcW w:w="2200" w:type="dxa"/>
            <w:vAlign w:val="bottom"/>
            <w:shd w:val="clear" w:color="auto" w:fill="FDFDFC"/>
          </w:tcPr>
          <w:p>
            <w:pPr>
              <w:ind w:left="60"/>
              <w:spacing w:after="0"/>
              <w:rPr>
                <w:sz w:val="20"/>
                <w:szCs w:val="20"/>
                <w:color w:val="auto"/>
              </w:rPr>
            </w:pPr>
            <w:r>
              <w:rPr>
                <w:rFonts w:ascii="Times New Roman" w:cs="Times New Roman" w:eastAsia="Times New Roman" w:hAnsi="Times New Roman"/>
                <w:sz w:val="15"/>
                <w:szCs w:val="15"/>
                <w:color w:val="231F20"/>
              </w:rPr>
              <w:t>Warrants (569,991 warrants)</w:t>
            </w:r>
          </w:p>
        </w:tc>
        <w:tc>
          <w:tcPr>
            <w:tcW w:w="800" w:type="dxa"/>
            <w:vAlign w:val="bottom"/>
            <w:shd w:val="clear" w:color="auto" w:fill="FDFDFC"/>
          </w:tcPr>
          <w:p>
            <w:pPr>
              <w:jc w:val="right"/>
              <w:spacing w:after="0"/>
              <w:rPr>
                <w:sz w:val="20"/>
                <w:szCs w:val="20"/>
                <w:color w:val="auto"/>
              </w:rPr>
            </w:pPr>
            <w:r>
              <w:rPr>
                <w:rFonts w:ascii="Times New Roman" w:cs="Times New Roman" w:eastAsia="Times New Roman" w:hAnsi="Times New Roman"/>
                <w:sz w:val="15"/>
                <w:szCs w:val="15"/>
                <w:color w:val="231F20"/>
              </w:rPr>
              <w:t>4/2/2020</w:t>
            </w:r>
          </w:p>
        </w:tc>
        <w:tc>
          <w:tcPr>
            <w:tcW w:w="1160" w:type="dxa"/>
            <w:vAlign w:val="bottom"/>
            <w:shd w:val="clear" w:color="auto" w:fill="FDFDFC"/>
          </w:tcPr>
          <w:p>
            <w:pPr>
              <w:spacing w:after="0"/>
              <w:rPr>
                <w:sz w:val="16"/>
                <w:szCs w:val="16"/>
                <w:color w:val="auto"/>
              </w:rPr>
            </w:pPr>
          </w:p>
        </w:tc>
        <w:tc>
          <w:tcPr>
            <w:tcW w:w="900" w:type="dxa"/>
            <w:vAlign w:val="bottom"/>
            <w:shd w:val="clear" w:color="auto" w:fill="FDFDFC"/>
          </w:tcPr>
          <w:p>
            <w:pPr>
              <w:spacing w:after="0"/>
              <w:rPr>
                <w:sz w:val="16"/>
                <w:szCs w:val="16"/>
                <w:color w:val="auto"/>
              </w:rPr>
            </w:pPr>
          </w:p>
        </w:tc>
        <w:tc>
          <w:tcPr>
            <w:tcW w:w="1000" w:type="dxa"/>
            <w:vAlign w:val="bottom"/>
            <w:shd w:val="clear" w:color="auto" w:fill="FDFDFC"/>
          </w:tcPr>
          <w:p>
            <w:pPr>
              <w:jc w:val="right"/>
              <w:spacing w:after="0"/>
              <w:rPr>
                <w:sz w:val="20"/>
                <w:szCs w:val="20"/>
                <w:color w:val="auto"/>
              </w:rPr>
            </w:pPr>
            <w:r>
              <w:rPr>
                <w:rFonts w:ascii="Times New Roman" w:cs="Times New Roman" w:eastAsia="Times New Roman" w:hAnsi="Times New Roman"/>
                <w:sz w:val="15"/>
                <w:szCs w:val="15"/>
                <w:color w:val="231F20"/>
              </w:rPr>
              <w:t>250</w:t>
            </w:r>
          </w:p>
        </w:tc>
        <w:tc>
          <w:tcPr>
            <w:tcW w:w="1680" w:type="dxa"/>
            <w:vAlign w:val="bottom"/>
            <w:gridSpan w:val="2"/>
            <w:shd w:val="clear" w:color="auto" w:fill="FDFDFC"/>
          </w:tcPr>
          <w:p>
            <w:pPr>
              <w:jc w:val="right"/>
              <w:spacing w:after="0"/>
              <w:rPr>
                <w:sz w:val="20"/>
                <w:szCs w:val="20"/>
                <w:color w:val="auto"/>
              </w:rPr>
            </w:pPr>
            <w:r>
              <w:rPr>
                <w:rFonts w:ascii="Times New Roman" w:cs="Times New Roman" w:eastAsia="Times New Roman" w:hAnsi="Times New Roman"/>
                <w:sz w:val="15"/>
                <w:szCs w:val="15"/>
                <w:color w:val="231F20"/>
              </w:rPr>
              <w:t>1,321</w:t>
            </w:r>
          </w:p>
        </w:tc>
        <w:tc>
          <w:tcPr>
            <w:tcW w:w="960" w:type="dxa"/>
            <w:vAlign w:val="bottom"/>
            <w:gridSpan w:val="2"/>
            <w:shd w:val="clear" w:color="auto" w:fill="FDFDFC"/>
          </w:tcPr>
          <w:p>
            <w:pPr>
              <w:jc w:val="right"/>
              <w:spacing w:after="0"/>
              <w:rPr>
                <w:sz w:val="20"/>
                <w:szCs w:val="20"/>
                <w:color w:val="auto"/>
              </w:rPr>
            </w:pPr>
            <w:r>
              <w:rPr>
                <w:rFonts w:ascii="Times New Roman" w:cs="Times New Roman" w:eastAsia="Times New Roman" w:hAnsi="Times New Roman"/>
                <w:sz w:val="15"/>
                <w:szCs w:val="15"/>
                <w:color w:val="231F20"/>
              </w:rPr>
              <w:t>0.1%</w:t>
            </w:r>
          </w:p>
        </w:tc>
      </w:tr>
      <w:tr>
        <w:trPr>
          <w:trHeight w:val="187"/>
        </w:trPr>
        <w:tc>
          <w:tcPr>
            <w:tcW w:w="1580" w:type="dxa"/>
            <w:vAlign w:val="bottom"/>
            <w:shd w:val="clear" w:color="auto" w:fill="D0EBF2"/>
          </w:tcPr>
          <w:p>
            <w:pPr>
              <w:spacing w:after="0"/>
              <w:rPr>
                <w:sz w:val="20"/>
                <w:szCs w:val="20"/>
                <w:color w:val="auto"/>
              </w:rPr>
            </w:pPr>
            <w:r>
              <w:rPr>
                <w:rFonts w:ascii="Times New Roman" w:cs="Times New Roman" w:eastAsia="Times New Roman" w:hAnsi="Times New Roman"/>
                <w:sz w:val="15"/>
                <w:szCs w:val="15"/>
                <w:color w:val="231F20"/>
              </w:rPr>
              <w:t xml:space="preserve">Merative Topco L.P. </w:t>
            </w:r>
            <w:r>
              <w:rPr>
                <w:rFonts w:ascii="Times New Roman" w:cs="Times New Roman" w:eastAsia="Times New Roman" w:hAnsi="Times New Roman"/>
                <w:sz w:val="9"/>
                <w:szCs w:val="9"/>
                <w:color w:val="231F20"/>
              </w:rPr>
              <w:t>(11)</w:t>
            </w:r>
          </w:p>
        </w:tc>
        <w:tc>
          <w:tcPr>
            <w:tcW w:w="2200" w:type="dxa"/>
            <w:vAlign w:val="bottom"/>
            <w:shd w:val="clear" w:color="auto" w:fill="D0EBF2"/>
          </w:tcPr>
          <w:p>
            <w:pPr>
              <w:ind w:left="60"/>
              <w:spacing w:after="0"/>
              <w:rPr>
                <w:sz w:val="20"/>
                <w:szCs w:val="20"/>
                <w:color w:val="auto"/>
              </w:rPr>
            </w:pPr>
            <w:r>
              <w:rPr>
                <w:rFonts w:ascii="Times New Roman" w:cs="Times New Roman" w:eastAsia="Times New Roman" w:hAnsi="Times New Roman"/>
                <w:sz w:val="15"/>
                <w:szCs w:val="15"/>
                <w:color w:val="231F20"/>
              </w:rPr>
              <w:t>Class A-1 Units (989,691 units)</w:t>
            </w:r>
          </w:p>
        </w:tc>
        <w:tc>
          <w:tcPr>
            <w:tcW w:w="800" w:type="dxa"/>
            <w:vAlign w:val="bottom"/>
            <w:shd w:val="clear" w:color="auto" w:fill="D0EBF2"/>
          </w:tcPr>
          <w:p>
            <w:pPr>
              <w:jc w:val="right"/>
              <w:spacing w:after="0"/>
              <w:rPr>
                <w:sz w:val="20"/>
                <w:szCs w:val="20"/>
                <w:color w:val="auto"/>
              </w:rPr>
            </w:pPr>
            <w:r>
              <w:rPr>
                <w:rFonts w:ascii="Times New Roman" w:cs="Times New Roman" w:eastAsia="Times New Roman" w:hAnsi="Times New Roman"/>
                <w:sz w:val="15"/>
                <w:szCs w:val="15"/>
                <w:color w:val="231F20"/>
              </w:rPr>
              <w:t>6/30/2022</w:t>
            </w:r>
          </w:p>
        </w:tc>
        <w:tc>
          <w:tcPr>
            <w:tcW w:w="1160" w:type="dxa"/>
            <w:vAlign w:val="bottom"/>
            <w:shd w:val="clear" w:color="auto" w:fill="D0EBF2"/>
          </w:tcPr>
          <w:p>
            <w:pPr>
              <w:spacing w:after="0"/>
              <w:rPr>
                <w:sz w:val="16"/>
                <w:szCs w:val="16"/>
                <w:color w:val="auto"/>
              </w:rPr>
            </w:pPr>
          </w:p>
        </w:tc>
        <w:tc>
          <w:tcPr>
            <w:tcW w:w="900" w:type="dxa"/>
            <w:vAlign w:val="bottom"/>
            <w:shd w:val="clear" w:color="auto" w:fill="D0EBF2"/>
          </w:tcPr>
          <w:p>
            <w:pPr>
              <w:spacing w:after="0"/>
              <w:rPr>
                <w:sz w:val="16"/>
                <w:szCs w:val="16"/>
                <w:color w:val="auto"/>
              </w:rPr>
            </w:pPr>
          </w:p>
        </w:tc>
        <w:tc>
          <w:tcPr>
            <w:tcW w:w="1000" w:type="dxa"/>
            <w:vAlign w:val="bottom"/>
            <w:shd w:val="clear" w:color="auto" w:fill="D0EBF2"/>
          </w:tcPr>
          <w:p>
            <w:pPr>
              <w:jc w:val="right"/>
              <w:spacing w:after="0"/>
              <w:rPr>
                <w:sz w:val="20"/>
                <w:szCs w:val="20"/>
                <w:color w:val="auto"/>
              </w:rPr>
            </w:pPr>
            <w:r>
              <w:rPr>
                <w:rFonts w:ascii="Times New Roman" w:cs="Times New Roman" w:eastAsia="Times New Roman" w:hAnsi="Times New Roman"/>
                <w:sz w:val="15"/>
                <w:szCs w:val="15"/>
                <w:color w:val="231F20"/>
              </w:rPr>
              <w:t>9,897</w:t>
            </w:r>
          </w:p>
        </w:tc>
        <w:tc>
          <w:tcPr>
            <w:tcW w:w="1680" w:type="dxa"/>
            <w:vAlign w:val="bottom"/>
            <w:gridSpan w:val="2"/>
            <w:shd w:val="clear" w:color="auto" w:fill="D0EBF2"/>
          </w:tcPr>
          <w:p>
            <w:pPr>
              <w:jc w:val="right"/>
              <w:spacing w:after="0"/>
              <w:rPr>
                <w:sz w:val="20"/>
                <w:szCs w:val="20"/>
                <w:color w:val="auto"/>
              </w:rPr>
            </w:pPr>
            <w:r>
              <w:rPr>
                <w:rFonts w:ascii="Times New Roman" w:cs="Times New Roman" w:eastAsia="Times New Roman" w:hAnsi="Times New Roman"/>
                <w:sz w:val="15"/>
                <w:szCs w:val="15"/>
                <w:color w:val="231F20"/>
              </w:rPr>
              <w:t>9,600</w:t>
            </w:r>
          </w:p>
        </w:tc>
        <w:tc>
          <w:tcPr>
            <w:tcW w:w="960" w:type="dxa"/>
            <w:vAlign w:val="bottom"/>
            <w:gridSpan w:val="2"/>
            <w:shd w:val="clear" w:color="auto" w:fill="D0EBF2"/>
          </w:tcPr>
          <w:p>
            <w:pPr>
              <w:jc w:val="right"/>
              <w:spacing w:after="0"/>
              <w:rPr>
                <w:sz w:val="20"/>
                <w:szCs w:val="20"/>
                <w:color w:val="auto"/>
              </w:rPr>
            </w:pPr>
            <w:r>
              <w:rPr>
                <w:rFonts w:ascii="Times New Roman" w:cs="Times New Roman" w:eastAsia="Times New Roman" w:hAnsi="Times New Roman"/>
                <w:sz w:val="15"/>
                <w:szCs w:val="15"/>
                <w:color w:val="231F20"/>
              </w:rPr>
              <w:t>0.6%</w:t>
            </w:r>
          </w:p>
        </w:tc>
      </w:tr>
      <w:tr>
        <w:trPr>
          <w:trHeight w:val="171"/>
        </w:trPr>
        <w:tc>
          <w:tcPr>
            <w:tcW w:w="1580" w:type="dxa"/>
            <w:vAlign w:val="bottom"/>
            <w:shd w:val="clear" w:color="auto" w:fill="FDFDFC"/>
          </w:tcPr>
          <w:p>
            <w:pPr>
              <w:spacing w:after="0" w:line="172" w:lineRule="exact"/>
              <w:rPr>
                <w:sz w:val="20"/>
                <w:szCs w:val="20"/>
                <w:color w:val="auto"/>
              </w:rPr>
            </w:pPr>
            <w:r>
              <w:rPr>
                <w:rFonts w:ascii="Times New Roman" w:cs="Times New Roman" w:eastAsia="Times New Roman" w:hAnsi="Times New Roman"/>
                <w:sz w:val="15"/>
                <w:szCs w:val="15"/>
                <w:color w:val="231F20"/>
              </w:rPr>
              <w:t>Raptor US Buyer II</w:t>
            </w:r>
          </w:p>
        </w:tc>
        <w:tc>
          <w:tcPr>
            <w:tcW w:w="2200" w:type="dxa"/>
            <w:vAlign w:val="bottom"/>
            <w:shd w:val="clear" w:color="auto" w:fill="FDFDFC"/>
          </w:tcPr>
          <w:p>
            <w:pPr>
              <w:ind w:left="60"/>
              <w:spacing w:after="0" w:line="172" w:lineRule="exact"/>
              <w:rPr>
                <w:sz w:val="20"/>
                <w:szCs w:val="20"/>
                <w:color w:val="auto"/>
              </w:rPr>
            </w:pPr>
            <w:r>
              <w:rPr>
                <w:rFonts w:ascii="Times New Roman" w:cs="Times New Roman" w:eastAsia="Times New Roman" w:hAnsi="Times New Roman"/>
                <w:sz w:val="15"/>
                <w:szCs w:val="15"/>
                <w:color w:val="231F20"/>
              </w:rPr>
              <w:t>Ordinary Shares (13,176 shares)</w:t>
            </w:r>
          </w:p>
        </w:tc>
        <w:tc>
          <w:tcPr>
            <w:tcW w:w="800" w:type="dxa"/>
            <w:vAlign w:val="bottom"/>
            <w:shd w:val="clear" w:color="auto" w:fill="FDFDFC"/>
          </w:tcPr>
          <w:p>
            <w:pPr>
              <w:jc w:val="right"/>
              <w:spacing w:after="0" w:line="172" w:lineRule="exact"/>
              <w:rPr>
                <w:sz w:val="20"/>
                <w:szCs w:val="20"/>
                <w:color w:val="auto"/>
              </w:rPr>
            </w:pPr>
            <w:r>
              <w:rPr>
                <w:rFonts w:ascii="Times New Roman" w:cs="Times New Roman" w:eastAsia="Times New Roman" w:hAnsi="Times New Roman"/>
                <w:sz w:val="15"/>
                <w:szCs w:val="15"/>
                <w:color w:val="231F20"/>
              </w:rPr>
              <w:t>3/24/2023</w:t>
            </w:r>
          </w:p>
        </w:tc>
        <w:tc>
          <w:tcPr>
            <w:tcW w:w="1160" w:type="dxa"/>
            <w:vAlign w:val="bottom"/>
            <w:shd w:val="clear" w:color="auto" w:fill="FDFDFC"/>
          </w:tcPr>
          <w:p>
            <w:pPr>
              <w:spacing w:after="0"/>
              <w:rPr>
                <w:sz w:val="14"/>
                <w:szCs w:val="14"/>
                <w:color w:val="auto"/>
              </w:rPr>
            </w:pPr>
          </w:p>
        </w:tc>
        <w:tc>
          <w:tcPr>
            <w:tcW w:w="900" w:type="dxa"/>
            <w:vAlign w:val="bottom"/>
            <w:shd w:val="clear" w:color="auto" w:fill="FDFDFC"/>
          </w:tcPr>
          <w:p>
            <w:pPr>
              <w:spacing w:after="0"/>
              <w:rPr>
                <w:sz w:val="14"/>
                <w:szCs w:val="14"/>
                <w:color w:val="auto"/>
              </w:rPr>
            </w:pPr>
          </w:p>
        </w:tc>
        <w:tc>
          <w:tcPr>
            <w:tcW w:w="1000" w:type="dxa"/>
            <w:vAlign w:val="bottom"/>
            <w:shd w:val="clear" w:color="auto" w:fill="FDFDFC"/>
          </w:tcPr>
          <w:p>
            <w:pPr>
              <w:jc w:val="right"/>
              <w:spacing w:after="0" w:line="172" w:lineRule="exact"/>
              <w:rPr>
                <w:sz w:val="20"/>
                <w:szCs w:val="20"/>
                <w:color w:val="auto"/>
              </w:rPr>
            </w:pPr>
            <w:r>
              <w:rPr>
                <w:rFonts w:ascii="Times New Roman" w:cs="Times New Roman" w:eastAsia="Times New Roman" w:hAnsi="Times New Roman"/>
                <w:sz w:val="15"/>
                <w:szCs w:val="15"/>
                <w:color w:val="231F20"/>
              </w:rPr>
              <w:t>2,033</w:t>
            </w:r>
          </w:p>
        </w:tc>
        <w:tc>
          <w:tcPr>
            <w:tcW w:w="1680" w:type="dxa"/>
            <w:vAlign w:val="bottom"/>
            <w:gridSpan w:val="2"/>
            <w:shd w:val="clear" w:color="auto" w:fill="FDFDFC"/>
          </w:tcPr>
          <w:p>
            <w:pPr>
              <w:jc w:val="right"/>
              <w:spacing w:after="0" w:line="172" w:lineRule="exact"/>
              <w:rPr>
                <w:sz w:val="20"/>
                <w:szCs w:val="20"/>
                <w:color w:val="auto"/>
              </w:rPr>
            </w:pPr>
            <w:r>
              <w:rPr>
                <w:rFonts w:ascii="Times New Roman" w:cs="Times New Roman" w:eastAsia="Times New Roman" w:hAnsi="Times New Roman"/>
                <w:sz w:val="15"/>
                <w:szCs w:val="15"/>
                <w:color w:val="231F20"/>
              </w:rPr>
              <w:t>1,830</w:t>
            </w:r>
          </w:p>
        </w:tc>
        <w:tc>
          <w:tcPr>
            <w:tcW w:w="960" w:type="dxa"/>
            <w:vAlign w:val="bottom"/>
            <w:gridSpan w:val="2"/>
            <w:shd w:val="clear" w:color="auto" w:fill="FDFDFC"/>
          </w:tcPr>
          <w:p>
            <w:pPr>
              <w:jc w:val="right"/>
              <w:spacing w:after="0" w:line="172" w:lineRule="exact"/>
              <w:rPr>
                <w:sz w:val="20"/>
                <w:szCs w:val="20"/>
                <w:color w:val="auto"/>
              </w:rPr>
            </w:pPr>
            <w:r>
              <w:rPr>
                <w:rFonts w:ascii="Times New Roman" w:cs="Times New Roman" w:eastAsia="Times New Roman" w:hAnsi="Times New Roman"/>
                <w:sz w:val="15"/>
                <w:szCs w:val="15"/>
                <w:color w:val="231F20"/>
              </w:rPr>
              <w:t>0.1%</w:t>
            </w:r>
          </w:p>
        </w:tc>
      </w:tr>
      <w:tr>
        <w:trPr>
          <w:trHeight w:val="189"/>
        </w:trPr>
        <w:tc>
          <w:tcPr>
            <w:tcW w:w="1580" w:type="dxa"/>
            <w:vAlign w:val="bottom"/>
            <w:tcBorders>
              <w:bottom w:val="single" w:sz="8" w:color="D0EBF2"/>
            </w:tcBorders>
            <w:shd w:val="clear" w:color="auto" w:fill="FDFDFC"/>
          </w:tcPr>
          <w:p>
            <w:pPr>
              <w:spacing w:after="0"/>
              <w:rPr>
                <w:sz w:val="20"/>
                <w:szCs w:val="20"/>
                <w:color w:val="auto"/>
              </w:rPr>
            </w:pPr>
            <w:r>
              <w:rPr>
                <w:rFonts w:ascii="Times New Roman" w:cs="Times New Roman" w:eastAsia="Times New Roman" w:hAnsi="Times New Roman"/>
                <w:sz w:val="15"/>
                <w:szCs w:val="15"/>
                <w:color w:val="231F20"/>
              </w:rPr>
              <w:t xml:space="preserve">Corp. </w:t>
            </w:r>
            <w:r>
              <w:rPr>
                <w:rFonts w:ascii="Times New Roman" w:cs="Times New Roman" w:eastAsia="Times New Roman" w:hAnsi="Times New Roman"/>
                <w:sz w:val="9"/>
                <w:szCs w:val="9"/>
                <w:color w:val="231F20"/>
              </w:rPr>
              <w:t>(11)</w:t>
            </w:r>
          </w:p>
        </w:tc>
        <w:tc>
          <w:tcPr>
            <w:tcW w:w="2200" w:type="dxa"/>
            <w:vAlign w:val="bottom"/>
            <w:tcBorders>
              <w:bottom w:val="single" w:sz="8" w:color="D0EBF2"/>
            </w:tcBorders>
            <w:shd w:val="clear" w:color="auto" w:fill="FDFDFC"/>
          </w:tcPr>
          <w:p>
            <w:pPr>
              <w:spacing w:after="0"/>
              <w:rPr>
                <w:sz w:val="16"/>
                <w:szCs w:val="16"/>
                <w:color w:val="auto"/>
              </w:rPr>
            </w:pPr>
          </w:p>
        </w:tc>
        <w:tc>
          <w:tcPr>
            <w:tcW w:w="800" w:type="dxa"/>
            <w:vAlign w:val="bottom"/>
            <w:tcBorders>
              <w:bottom w:val="single" w:sz="8" w:color="D0EBF2"/>
            </w:tcBorders>
            <w:shd w:val="clear" w:color="auto" w:fill="FDFDFC"/>
          </w:tcPr>
          <w:p>
            <w:pPr>
              <w:spacing w:after="0"/>
              <w:rPr>
                <w:sz w:val="16"/>
                <w:szCs w:val="16"/>
                <w:color w:val="auto"/>
              </w:rPr>
            </w:pPr>
          </w:p>
        </w:tc>
        <w:tc>
          <w:tcPr>
            <w:tcW w:w="1160" w:type="dxa"/>
            <w:vAlign w:val="bottom"/>
            <w:tcBorders>
              <w:bottom w:val="single" w:sz="8" w:color="D0EBF2"/>
            </w:tcBorders>
            <w:shd w:val="clear" w:color="auto" w:fill="FDFDFC"/>
          </w:tcPr>
          <w:p>
            <w:pPr>
              <w:spacing w:after="0"/>
              <w:rPr>
                <w:sz w:val="16"/>
                <w:szCs w:val="16"/>
                <w:color w:val="auto"/>
              </w:rPr>
            </w:pPr>
          </w:p>
        </w:tc>
        <w:tc>
          <w:tcPr>
            <w:tcW w:w="900" w:type="dxa"/>
            <w:vAlign w:val="bottom"/>
            <w:tcBorders>
              <w:bottom w:val="single" w:sz="8" w:color="D0EBF2"/>
            </w:tcBorders>
            <w:shd w:val="clear" w:color="auto" w:fill="FDFDFC"/>
          </w:tcPr>
          <w:p>
            <w:pPr>
              <w:spacing w:after="0"/>
              <w:rPr>
                <w:sz w:val="16"/>
                <w:szCs w:val="16"/>
                <w:color w:val="auto"/>
              </w:rPr>
            </w:pPr>
          </w:p>
        </w:tc>
        <w:tc>
          <w:tcPr>
            <w:tcW w:w="1000" w:type="dxa"/>
            <w:vAlign w:val="bottom"/>
            <w:tcBorders>
              <w:bottom w:val="single" w:sz="8" w:color="231F20"/>
            </w:tcBorders>
            <w:shd w:val="clear" w:color="auto" w:fill="FDFDFC"/>
          </w:tcPr>
          <w:p>
            <w:pPr>
              <w:spacing w:after="0"/>
              <w:rPr>
                <w:sz w:val="16"/>
                <w:szCs w:val="16"/>
                <w:color w:val="auto"/>
              </w:rPr>
            </w:pPr>
          </w:p>
        </w:tc>
        <w:tc>
          <w:tcPr>
            <w:tcW w:w="80" w:type="dxa"/>
            <w:vAlign w:val="bottom"/>
            <w:tcBorders>
              <w:bottom w:val="single" w:sz="8" w:color="D0EBF2"/>
            </w:tcBorders>
            <w:shd w:val="clear" w:color="auto" w:fill="FDFDFC"/>
          </w:tcPr>
          <w:p>
            <w:pPr>
              <w:spacing w:after="0"/>
              <w:rPr>
                <w:sz w:val="16"/>
                <w:szCs w:val="16"/>
                <w:color w:val="auto"/>
              </w:rPr>
            </w:pPr>
          </w:p>
        </w:tc>
        <w:tc>
          <w:tcPr>
            <w:tcW w:w="1600" w:type="dxa"/>
            <w:vAlign w:val="bottom"/>
            <w:tcBorders>
              <w:bottom w:val="single" w:sz="8" w:color="231F20"/>
            </w:tcBorders>
            <w:shd w:val="clear" w:color="auto" w:fill="FDFDFC"/>
          </w:tcPr>
          <w:p>
            <w:pPr>
              <w:spacing w:after="0"/>
              <w:rPr>
                <w:sz w:val="16"/>
                <w:szCs w:val="16"/>
                <w:color w:val="auto"/>
              </w:rPr>
            </w:pPr>
          </w:p>
        </w:tc>
        <w:tc>
          <w:tcPr>
            <w:tcW w:w="100" w:type="dxa"/>
            <w:vAlign w:val="bottom"/>
            <w:tcBorders>
              <w:bottom w:val="single" w:sz="8" w:color="D0EBF2"/>
            </w:tcBorders>
            <w:shd w:val="clear" w:color="auto" w:fill="FDFDFC"/>
          </w:tcPr>
          <w:p>
            <w:pPr>
              <w:spacing w:after="0"/>
              <w:rPr>
                <w:sz w:val="16"/>
                <w:szCs w:val="16"/>
                <w:color w:val="auto"/>
              </w:rPr>
            </w:pPr>
          </w:p>
        </w:tc>
        <w:tc>
          <w:tcPr>
            <w:tcW w:w="860" w:type="dxa"/>
            <w:vAlign w:val="bottom"/>
            <w:tcBorders>
              <w:bottom w:val="single" w:sz="8" w:color="231F20"/>
            </w:tcBorders>
            <w:shd w:val="clear" w:color="auto" w:fill="FDFDFC"/>
          </w:tcPr>
          <w:p>
            <w:pPr>
              <w:spacing w:after="0"/>
              <w:rPr>
                <w:sz w:val="16"/>
                <w:szCs w:val="16"/>
                <w:color w:val="auto"/>
              </w:rPr>
            </w:pPr>
          </w:p>
        </w:tc>
      </w:tr>
      <w:tr>
        <w:trPr>
          <w:trHeight w:val="201"/>
        </w:trPr>
        <w:tc>
          <w:tcPr>
            <w:tcW w:w="1580" w:type="dxa"/>
            <w:vAlign w:val="bottom"/>
            <w:tcBorders>
              <w:bottom w:val="single" w:sz="8" w:color="D0EBF2"/>
            </w:tcBorders>
            <w:shd w:val="clear" w:color="auto" w:fill="D0EBF2"/>
          </w:tcPr>
          <w:p>
            <w:pPr>
              <w:spacing w:after="0"/>
              <w:rPr>
                <w:sz w:val="17"/>
                <w:szCs w:val="17"/>
                <w:color w:val="auto"/>
              </w:rPr>
            </w:pPr>
          </w:p>
        </w:tc>
        <w:tc>
          <w:tcPr>
            <w:tcW w:w="2200" w:type="dxa"/>
            <w:vAlign w:val="bottom"/>
            <w:tcBorders>
              <w:bottom w:val="single" w:sz="8" w:color="D0EBF2"/>
            </w:tcBorders>
            <w:shd w:val="clear" w:color="auto" w:fill="D0EBF2"/>
          </w:tcPr>
          <w:p>
            <w:pPr>
              <w:spacing w:after="0"/>
              <w:rPr>
                <w:sz w:val="17"/>
                <w:szCs w:val="17"/>
                <w:color w:val="auto"/>
              </w:rPr>
            </w:pPr>
          </w:p>
        </w:tc>
        <w:tc>
          <w:tcPr>
            <w:tcW w:w="800" w:type="dxa"/>
            <w:vAlign w:val="bottom"/>
            <w:tcBorders>
              <w:bottom w:val="single" w:sz="8" w:color="D0EBF2"/>
            </w:tcBorders>
            <w:shd w:val="clear" w:color="auto" w:fill="D0EBF2"/>
          </w:tcPr>
          <w:p>
            <w:pPr>
              <w:spacing w:after="0"/>
              <w:rPr>
                <w:sz w:val="17"/>
                <w:szCs w:val="17"/>
                <w:color w:val="auto"/>
              </w:rPr>
            </w:pPr>
          </w:p>
        </w:tc>
        <w:tc>
          <w:tcPr>
            <w:tcW w:w="1160" w:type="dxa"/>
            <w:vAlign w:val="bottom"/>
            <w:tcBorders>
              <w:bottom w:val="single" w:sz="8" w:color="D0EBF2"/>
            </w:tcBorders>
            <w:shd w:val="clear" w:color="auto" w:fill="D0EBF2"/>
          </w:tcPr>
          <w:p>
            <w:pPr>
              <w:spacing w:after="0"/>
              <w:rPr>
                <w:sz w:val="17"/>
                <w:szCs w:val="17"/>
                <w:color w:val="auto"/>
              </w:rPr>
            </w:pPr>
          </w:p>
        </w:tc>
        <w:tc>
          <w:tcPr>
            <w:tcW w:w="900" w:type="dxa"/>
            <w:vAlign w:val="bottom"/>
            <w:tcBorders>
              <w:bottom w:val="single" w:sz="8" w:color="D0EBF2"/>
            </w:tcBorders>
            <w:shd w:val="clear" w:color="auto" w:fill="D0EBF2"/>
          </w:tcPr>
          <w:p>
            <w:pPr>
              <w:spacing w:after="0"/>
              <w:rPr>
                <w:sz w:val="17"/>
                <w:szCs w:val="17"/>
                <w:color w:val="auto"/>
              </w:rPr>
            </w:pPr>
          </w:p>
        </w:tc>
        <w:tc>
          <w:tcPr>
            <w:tcW w:w="1000" w:type="dxa"/>
            <w:vAlign w:val="bottom"/>
            <w:tcBorders>
              <w:bottom w:val="single" w:sz="8" w:color="231F20"/>
            </w:tcBorders>
            <w:shd w:val="clear" w:color="auto" w:fill="D0EBF2"/>
          </w:tcPr>
          <w:p>
            <w:pPr>
              <w:jc w:val="right"/>
              <w:spacing w:after="0"/>
              <w:rPr>
                <w:sz w:val="20"/>
                <w:szCs w:val="20"/>
                <w:color w:val="auto"/>
              </w:rPr>
            </w:pPr>
            <w:r>
              <w:rPr>
                <w:rFonts w:ascii="Times New Roman" w:cs="Times New Roman" w:eastAsia="Times New Roman" w:hAnsi="Times New Roman"/>
                <w:sz w:val="15"/>
                <w:szCs w:val="15"/>
                <w:color w:val="231F20"/>
              </w:rPr>
              <w:t>25,922</w:t>
            </w:r>
          </w:p>
        </w:tc>
        <w:tc>
          <w:tcPr>
            <w:tcW w:w="80" w:type="dxa"/>
            <w:vAlign w:val="bottom"/>
            <w:tcBorders>
              <w:bottom w:val="single" w:sz="8" w:color="D0EBF2"/>
            </w:tcBorders>
            <w:shd w:val="clear" w:color="auto" w:fill="D0EBF2"/>
          </w:tcPr>
          <w:p>
            <w:pPr>
              <w:spacing w:after="0"/>
              <w:rPr>
                <w:sz w:val="17"/>
                <w:szCs w:val="17"/>
                <w:color w:val="auto"/>
              </w:rPr>
            </w:pPr>
          </w:p>
        </w:tc>
        <w:tc>
          <w:tcPr>
            <w:tcW w:w="1600" w:type="dxa"/>
            <w:vAlign w:val="bottom"/>
            <w:tcBorders>
              <w:bottom w:val="single" w:sz="8" w:color="231F20"/>
            </w:tcBorders>
            <w:shd w:val="clear" w:color="auto" w:fill="D0EBF2"/>
          </w:tcPr>
          <w:p>
            <w:pPr>
              <w:jc w:val="right"/>
              <w:spacing w:after="0"/>
              <w:rPr>
                <w:sz w:val="20"/>
                <w:szCs w:val="20"/>
                <w:color w:val="auto"/>
              </w:rPr>
            </w:pPr>
            <w:r>
              <w:rPr>
                <w:rFonts w:ascii="Times New Roman" w:cs="Times New Roman" w:eastAsia="Times New Roman" w:hAnsi="Times New Roman"/>
                <w:sz w:val="15"/>
                <w:szCs w:val="15"/>
                <w:color w:val="231F20"/>
              </w:rPr>
              <w:t>32,484</w:t>
            </w:r>
          </w:p>
        </w:tc>
        <w:tc>
          <w:tcPr>
            <w:tcW w:w="100" w:type="dxa"/>
            <w:vAlign w:val="bottom"/>
            <w:tcBorders>
              <w:bottom w:val="single" w:sz="8" w:color="D0EBF2"/>
            </w:tcBorders>
            <w:shd w:val="clear" w:color="auto" w:fill="D0EBF2"/>
          </w:tcPr>
          <w:p>
            <w:pPr>
              <w:spacing w:after="0"/>
              <w:rPr>
                <w:sz w:val="17"/>
                <w:szCs w:val="17"/>
                <w:color w:val="auto"/>
              </w:rPr>
            </w:pPr>
          </w:p>
        </w:tc>
        <w:tc>
          <w:tcPr>
            <w:tcW w:w="860" w:type="dxa"/>
            <w:vAlign w:val="bottom"/>
            <w:tcBorders>
              <w:bottom w:val="single" w:sz="8" w:color="231F20"/>
            </w:tcBorders>
            <w:shd w:val="clear" w:color="auto" w:fill="D0EBF2"/>
          </w:tcPr>
          <w:p>
            <w:pPr>
              <w:jc w:val="right"/>
              <w:spacing w:after="0"/>
              <w:rPr>
                <w:sz w:val="20"/>
                <w:szCs w:val="20"/>
                <w:color w:val="auto"/>
              </w:rPr>
            </w:pPr>
            <w:r>
              <w:rPr>
                <w:rFonts w:ascii="Times New Roman" w:cs="Times New Roman" w:eastAsia="Times New Roman" w:hAnsi="Times New Roman"/>
                <w:sz w:val="15"/>
                <w:szCs w:val="15"/>
                <w:color w:val="231F20"/>
              </w:rPr>
              <w:t>2.0%</w:t>
            </w:r>
          </w:p>
        </w:tc>
      </w:tr>
      <w:tr>
        <w:trPr>
          <w:trHeight w:val="139"/>
        </w:trPr>
        <w:tc>
          <w:tcPr>
            <w:tcW w:w="1580" w:type="dxa"/>
            <w:vAlign w:val="bottom"/>
            <w:tcBorders>
              <w:top w:val="single" w:sz="8" w:color="FDFDFC"/>
            </w:tcBorders>
            <w:shd w:val="clear" w:color="auto" w:fill="FDFDFC"/>
          </w:tcPr>
          <w:p>
            <w:pPr>
              <w:spacing w:after="0" w:line="139" w:lineRule="exact"/>
              <w:rPr>
                <w:sz w:val="20"/>
                <w:szCs w:val="20"/>
                <w:color w:val="auto"/>
              </w:rPr>
            </w:pPr>
            <w:r>
              <w:rPr>
                <w:rFonts w:ascii="Times New Roman" w:cs="Times New Roman" w:eastAsia="Times New Roman" w:hAnsi="Times New Roman"/>
                <w:sz w:val="15"/>
                <w:szCs w:val="15"/>
                <w:b w:val="1"/>
                <w:bCs w:val="1"/>
                <w:color w:val="231F20"/>
              </w:rPr>
              <w:t>Hotel, Gaming and</w:t>
            </w:r>
          </w:p>
        </w:tc>
        <w:tc>
          <w:tcPr>
            <w:tcW w:w="2200" w:type="dxa"/>
            <w:vAlign w:val="bottom"/>
            <w:tcBorders>
              <w:top w:val="single" w:sz="8" w:color="FDFDFC"/>
            </w:tcBorders>
            <w:shd w:val="clear" w:color="auto" w:fill="FDFDFC"/>
          </w:tcPr>
          <w:p>
            <w:pPr>
              <w:spacing w:after="0"/>
              <w:rPr>
                <w:sz w:val="12"/>
                <w:szCs w:val="12"/>
                <w:color w:val="auto"/>
              </w:rPr>
            </w:pPr>
          </w:p>
        </w:tc>
        <w:tc>
          <w:tcPr>
            <w:tcW w:w="800" w:type="dxa"/>
            <w:vAlign w:val="bottom"/>
            <w:tcBorders>
              <w:top w:val="single" w:sz="8" w:color="FDFDFC"/>
            </w:tcBorders>
            <w:shd w:val="clear" w:color="auto" w:fill="FDFDFC"/>
          </w:tcPr>
          <w:p>
            <w:pPr>
              <w:spacing w:after="0"/>
              <w:rPr>
                <w:sz w:val="12"/>
                <w:szCs w:val="12"/>
                <w:color w:val="auto"/>
              </w:rPr>
            </w:pPr>
          </w:p>
        </w:tc>
        <w:tc>
          <w:tcPr>
            <w:tcW w:w="1160" w:type="dxa"/>
            <w:vAlign w:val="bottom"/>
            <w:tcBorders>
              <w:top w:val="single" w:sz="8" w:color="FDFDFC"/>
            </w:tcBorders>
            <w:shd w:val="clear" w:color="auto" w:fill="FDFDFC"/>
          </w:tcPr>
          <w:p>
            <w:pPr>
              <w:spacing w:after="0"/>
              <w:rPr>
                <w:sz w:val="12"/>
                <w:szCs w:val="12"/>
                <w:color w:val="auto"/>
              </w:rPr>
            </w:pPr>
          </w:p>
        </w:tc>
        <w:tc>
          <w:tcPr>
            <w:tcW w:w="900" w:type="dxa"/>
            <w:vAlign w:val="bottom"/>
            <w:tcBorders>
              <w:top w:val="single" w:sz="8" w:color="FDFDFC"/>
            </w:tcBorders>
            <w:shd w:val="clear" w:color="auto" w:fill="FDFDFC"/>
          </w:tcPr>
          <w:p>
            <w:pPr>
              <w:spacing w:after="0"/>
              <w:rPr>
                <w:sz w:val="12"/>
                <w:szCs w:val="12"/>
                <w:color w:val="auto"/>
              </w:rPr>
            </w:pPr>
          </w:p>
        </w:tc>
        <w:tc>
          <w:tcPr>
            <w:tcW w:w="1000" w:type="dxa"/>
            <w:vAlign w:val="bottom"/>
            <w:tcBorders>
              <w:top w:val="single" w:sz="8" w:color="231F20"/>
            </w:tcBorders>
            <w:shd w:val="clear" w:color="auto" w:fill="FDFDFC"/>
          </w:tcPr>
          <w:p>
            <w:pPr>
              <w:spacing w:after="0"/>
              <w:rPr>
                <w:sz w:val="12"/>
                <w:szCs w:val="12"/>
                <w:color w:val="auto"/>
              </w:rPr>
            </w:pPr>
          </w:p>
        </w:tc>
        <w:tc>
          <w:tcPr>
            <w:tcW w:w="80" w:type="dxa"/>
            <w:vAlign w:val="bottom"/>
            <w:tcBorders>
              <w:top w:val="single" w:sz="8" w:color="FDFDFC"/>
            </w:tcBorders>
            <w:shd w:val="clear" w:color="auto" w:fill="FDFDFC"/>
          </w:tcPr>
          <w:p>
            <w:pPr>
              <w:spacing w:after="0"/>
              <w:rPr>
                <w:sz w:val="12"/>
                <w:szCs w:val="12"/>
                <w:color w:val="auto"/>
              </w:rPr>
            </w:pPr>
          </w:p>
        </w:tc>
        <w:tc>
          <w:tcPr>
            <w:tcW w:w="1600" w:type="dxa"/>
            <w:vAlign w:val="bottom"/>
            <w:tcBorders>
              <w:top w:val="single" w:sz="8" w:color="231F20"/>
            </w:tcBorders>
            <w:shd w:val="clear" w:color="auto" w:fill="FDFDFC"/>
          </w:tcPr>
          <w:p>
            <w:pPr>
              <w:spacing w:after="0"/>
              <w:rPr>
                <w:sz w:val="12"/>
                <w:szCs w:val="12"/>
                <w:color w:val="auto"/>
              </w:rPr>
            </w:pPr>
          </w:p>
        </w:tc>
        <w:tc>
          <w:tcPr>
            <w:tcW w:w="100" w:type="dxa"/>
            <w:vAlign w:val="bottom"/>
            <w:tcBorders>
              <w:top w:val="single" w:sz="8" w:color="FDFDFC"/>
            </w:tcBorders>
            <w:shd w:val="clear" w:color="auto" w:fill="FDFDFC"/>
          </w:tcPr>
          <w:p>
            <w:pPr>
              <w:spacing w:after="0"/>
              <w:rPr>
                <w:sz w:val="12"/>
                <w:szCs w:val="12"/>
                <w:color w:val="auto"/>
              </w:rPr>
            </w:pPr>
          </w:p>
        </w:tc>
        <w:tc>
          <w:tcPr>
            <w:tcW w:w="860" w:type="dxa"/>
            <w:vAlign w:val="bottom"/>
            <w:tcBorders>
              <w:top w:val="single" w:sz="8" w:color="231F20"/>
            </w:tcBorders>
            <w:shd w:val="clear" w:color="auto" w:fill="FDFDFC"/>
          </w:tcPr>
          <w:p>
            <w:pPr>
              <w:spacing w:after="0"/>
              <w:rPr>
                <w:sz w:val="12"/>
                <w:szCs w:val="12"/>
                <w:color w:val="auto"/>
              </w:rPr>
            </w:pPr>
          </w:p>
        </w:tc>
      </w:tr>
      <w:tr>
        <w:trPr>
          <w:trHeight w:val="191"/>
        </w:trPr>
        <w:tc>
          <w:tcPr>
            <w:tcW w:w="1580" w:type="dxa"/>
            <w:vAlign w:val="bottom"/>
            <w:shd w:val="clear" w:color="auto" w:fill="FDFDFC"/>
          </w:tcPr>
          <w:p>
            <w:pPr>
              <w:spacing w:after="0"/>
              <w:rPr>
                <w:sz w:val="20"/>
                <w:szCs w:val="20"/>
                <w:color w:val="auto"/>
              </w:rPr>
            </w:pPr>
            <w:r>
              <w:rPr>
                <w:rFonts w:ascii="Times New Roman" w:cs="Times New Roman" w:eastAsia="Times New Roman" w:hAnsi="Times New Roman"/>
                <w:sz w:val="15"/>
                <w:szCs w:val="15"/>
                <w:b w:val="1"/>
                <w:bCs w:val="1"/>
                <w:color w:val="231F20"/>
              </w:rPr>
              <w:t>Leisure</w:t>
            </w:r>
          </w:p>
        </w:tc>
        <w:tc>
          <w:tcPr>
            <w:tcW w:w="2200" w:type="dxa"/>
            <w:vAlign w:val="bottom"/>
            <w:shd w:val="clear" w:color="auto" w:fill="FDFDFC"/>
          </w:tcPr>
          <w:p>
            <w:pPr>
              <w:spacing w:after="0"/>
              <w:rPr>
                <w:sz w:val="16"/>
                <w:szCs w:val="16"/>
                <w:color w:val="auto"/>
              </w:rPr>
            </w:pPr>
          </w:p>
        </w:tc>
        <w:tc>
          <w:tcPr>
            <w:tcW w:w="800" w:type="dxa"/>
            <w:vAlign w:val="bottom"/>
            <w:shd w:val="clear" w:color="auto" w:fill="FDFDFC"/>
          </w:tcPr>
          <w:p>
            <w:pPr>
              <w:spacing w:after="0"/>
              <w:rPr>
                <w:sz w:val="16"/>
                <w:szCs w:val="16"/>
                <w:color w:val="auto"/>
              </w:rPr>
            </w:pPr>
          </w:p>
        </w:tc>
        <w:tc>
          <w:tcPr>
            <w:tcW w:w="1160" w:type="dxa"/>
            <w:vAlign w:val="bottom"/>
            <w:shd w:val="clear" w:color="auto" w:fill="FDFDFC"/>
          </w:tcPr>
          <w:p>
            <w:pPr>
              <w:spacing w:after="0"/>
              <w:rPr>
                <w:sz w:val="16"/>
                <w:szCs w:val="16"/>
                <w:color w:val="auto"/>
              </w:rPr>
            </w:pPr>
          </w:p>
        </w:tc>
        <w:tc>
          <w:tcPr>
            <w:tcW w:w="900" w:type="dxa"/>
            <w:vAlign w:val="bottom"/>
            <w:shd w:val="clear" w:color="auto" w:fill="FDFDFC"/>
          </w:tcPr>
          <w:p>
            <w:pPr>
              <w:spacing w:after="0"/>
              <w:rPr>
                <w:sz w:val="16"/>
                <w:szCs w:val="16"/>
                <w:color w:val="auto"/>
              </w:rPr>
            </w:pPr>
          </w:p>
        </w:tc>
        <w:tc>
          <w:tcPr>
            <w:tcW w:w="1000" w:type="dxa"/>
            <w:vAlign w:val="bottom"/>
            <w:shd w:val="clear" w:color="auto" w:fill="FDFDFC"/>
          </w:tcPr>
          <w:p>
            <w:pPr>
              <w:spacing w:after="0"/>
              <w:rPr>
                <w:sz w:val="16"/>
                <w:szCs w:val="16"/>
                <w:color w:val="auto"/>
              </w:rPr>
            </w:pPr>
          </w:p>
        </w:tc>
        <w:tc>
          <w:tcPr>
            <w:tcW w:w="80" w:type="dxa"/>
            <w:vAlign w:val="bottom"/>
            <w:shd w:val="clear" w:color="auto" w:fill="FDFDFC"/>
          </w:tcPr>
          <w:p>
            <w:pPr>
              <w:spacing w:after="0"/>
              <w:rPr>
                <w:sz w:val="16"/>
                <w:szCs w:val="16"/>
                <w:color w:val="auto"/>
              </w:rPr>
            </w:pPr>
          </w:p>
        </w:tc>
        <w:tc>
          <w:tcPr>
            <w:tcW w:w="1600" w:type="dxa"/>
            <w:vAlign w:val="bottom"/>
            <w:shd w:val="clear" w:color="auto" w:fill="FDFDFC"/>
          </w:tcPr>
          <w:p>
            <w:pPr>
              <w:spacing w:after="0"/>
              <w:rPr>
                <w:sz w:val="16"/>
                <w:szCs w:val="16"/>
                <w:color w:val="auto"/>
              </w:rPr>
            </w:pPr>
          </w:p>
        </w:tc>
        <w:tc>
          <w:tcPr>
            <w:tcW w:w="100" w:type="dxa"/>
            <w:vAlign w:val="bottom"/>
            <w:shd w:val="clear" w:color="auto" w:fill="FDFDFC"/>
          </w:tcPr>
          <w:p>
            <w:pPr>
              <w:spacing w:after="0"/>
              <w:rPr>
                <w:sz w:val="16"/>
                <w:szCs w:val="16"/>
                <w:color w:val="auto"/>
              </w:rPr>
            </w:pPr>
          </w:p>
        </w:tc>
        <w:tc>
          <w:tcPr>
            <w:tcW w:w="860" w:type="dxa"/>
            <w:vAlign w:val="bottom"/>
            <w:shd w:val="clear" w:color="auto" w:fill="FDFDFC"/>
          </w:tcPr>
          <w:p>
            <w:pPr>
              <w:spacing w:after="0"/>
              <w:rPr>
                <w:sz w:val="16"/>
                <w:szCs w:val="16"/>
                <w:color w:val="auto"/>
              </w:rPr>
            </w:pPr>
          </w:p>
        </w:tc>
      </w:tr>
      <w:tr>
        <w:trPr>
          <w:trHeight w:val="184"/>
        </w:trPr>
        <w:tc>
          <w:tcPr>
            <w:tcW w:w="1580" w:type="dxa"/>
            <w:vAlign w:val="bottom"/>
            <w:shd w:val="clear" w:color="auto" w:fill="D0EBF2"/>
          </w:tcPr>
          <w:p>
            <w:pPr>
              <w:spacing w:after="0"/>
              <w:rPr>
                <w:sz w:val="20"/>
                <w:szCs w:val="20"/>
                <w:color w:val="auto"/>
              </w:rPr>
            </w:pPr>
            <w:r>
              <w:rPr>
                <w:rFonts w:ascii="Times New Roman" w:cs="Times New Roman" w:eastAsia="Times New Roman" w:hAnsi="Times New Roman"/>
                <w:sz w:val="15"/>
                <w:szCs w:val="15"/>
                <w:color w:val="231F20"/>
              </w:rPr>
              <w:t>IRGSE Holding Corp.</w:t>
            </w:r>
          </w:p>
        </w:tc>
        <w:tc>
          <w:tcPr>
            <w:tcW w:w="2200" w:type="dxa"/>
            <w:vAlign w:val="bottom"/>
            <w:shd w:val="clear" w:color="auto" w:fill="D0EBF2"/>
          </w:tcPr>
          <w:p>
            <w:pPr>
              <w:ind w:left="60"/>
              <w:spacing w:after="0"/>
              <w:rPr>
                <w:sz w:val="20"/>
                <w:szCs w:val="20"/>
                <w:color w:val="auto"/>
              </w:rPr>
            </w:pPr>
            <w:r>
              <w:rPr>
                <w:rFonts w:ascii="Times New Roman" w:cs="Times New Roman" w:eastAsia="Times New Roman" w:hAnsi="Times New Roman"/>
                <w:sz w:val="15"/>
                <w:szCs w:val="15"/>
                <w:color w:val="231F20"/>
              </w:rPr>
              <w:t>Class A Units (33,790,171 units)</w:t>
            </w:r>
          </w:p>
        </w:tc>
        <w:tc>
          <w:tcPr>
            <w:tcW w:w="800" w:type="dxa"/>
            <w:vAlign w:val="bottom"/>
            <w:shd w:val="clear" w:color="auto" w:fill="D0EBF2"/>
          </w:tcPr>
          <w:p>
            <w:pPr>
              <w:jc w:val="right"/>
              <w:spacing w:after="0"/>
              <w:rPr>
                <w:sz w:val="20"/>
                <w:szCs w:val="20"/>
                <w:color w:val="auto"/>
              </w:rPr>
            </w:pPr>
            <w:r>
              <w:rPr>
                <w:rFonts w:ascii="Times New Roman" w:cs="Times New Roman" w:eastAsia="Times New Roman" w:hAnsi="Times New Roman"/>
                <w:sz w:val="15"/>
                <w:szCs w:val="15"/>
                <w:color w:val="231F20"/>
              </w:rPr>
              <w:t>12/21/2018</w:t>
            </w:r>
          </w:p>
        </w:tc>
        <w:tc>
          <w:tcPr>
            <w:tcW w:w="1160" w:type="dxa"/>
            <w:vAlign w:val="bottom"/>
            <w:shd w:val="clear" w:color="auto" w:fill="D0EBF2"/>
          </w:tcPr>
          <w:p>
            <w:pPr>
              <w:spacing w:after="0"/>
              <w:rPr>
                <w:sz w:val="16"/>
                <w:szCs w:val="16"/>
                <w:color w:val="auto"/>
              </w:rPr>
            </w:pPr>
          </w:p>
        </w:tc>
        <w:tc>
          <w:tcPr>
            <w:tcW w:w="900" w:type="dxa"/>
            <w:vAlign w:val="bottom"/>
            <w:shd w:val="clear" w:color="auto" w:fill="D0EBF2"/>
          </w:tcPr>
          <w:p>
            <w:pPr>
              <w:spacing w:after="0"/>
              <w:rPr>
                <w:sz w:val="16"/>
                <w:szCs w:val="16"/>
                <w:color w:val="auto"/>
              </w:rPr>
            </w:pPr>
          </w:p>
        </w:tc>
        <w:tc>
          <w:tcPr>
            <w:tcW w:w="1000" w:type="dxa"/>
            <w:vAlign w:val="bottom"/>
            <w:shd w:val="clear" w:color="auto" w:fill="D0EBF2"/>
          </w:tcPr>
          <w:p>
            <w:pPr>
              <w:jc w:val="right"/>
              <w:spacing w:after="0"/>
              <w:rPr>
                <w:sz w:val="20"/>
                <w:szCs w:val="20"/>
                <w:color w:val="auto"/>
              </w:rPr>
            </w:pPr>
            <w:r>
              <w:rPr>
                <w:rFonts w:ascii="Times New Roman" w:cs="Times New Roman" w:eastAsia="Times New Roman" w:hAnsi="Times New Roman"/>
                <w:sz w:val="15"/>
                <w:szCs w:val="15"/>
                <w:color w:val="231F20"/>
              </w:rPr>
              <w:t>21,842</w:t>
            </w:r>
          </w:p>
        </w:tc>
        <w:tc>
          <w:tcPr>
            <w:tcW w:w="80" w:type="dxa"/>
            <w:vAlign w:val="bottom"/>
            <w:shd w:val="clear" w:color="auto" w:fill="D0EBF2"/>
          </w:tcPr>
          <w:p>
            <w:pPr>
              <w:spacing w:after="0"/>
              <w:rPr>
                <w:sz w:val="16"/>
                <w:szCs w:val="16"/>
                <w:color w:val="auto"/>
              </w:rPr>
            </w:pPr>
          </w:p>
        </w:tc>
        <w:tc>
          <w:tcPr>
            <w:tcW w:w="1600" w:type="dxa"/>
            <w:vAlign w:val="bottom"/>
            <w:shd w:val="clear" w:color="auto" w:fill="D0EBF2"/>
          </w:tcPr>
          <w:p>
            <w:pPr>
              <w:jc w:val="right"/>
              <w:spacing w:after="0"/>
              <w:rPr>
                <w:sz w:val="20"/>
                <w:szCs w:val="20"/>
                <w:color w:val="auto"/>
              </w:rPr>
            </w:pPr>
            <w:r>
              <w:rPr>
                <w:rFonts w:ascii="Times New Roman" w:cs="Times New Roman" w:eastAsia="Times New Roman" w:hAnsi="Times New Roman"/>
                <w:sz w:val="15"/>
                <w:szCs w:val="15"/>
                <w:color w:val="231F20"/>
              </w:rPr>
              <w:t>85</w:t>
            </w:r>
          </w:p>
        </w:tc>
        <w:tc>
          <w:tcPr>
            <w:tcW w:w="100" w:type="dxa"/>
            <w:vAlign w:val="bottom"/>
            <w:shd w:val="clear" w:color="auto" w:fill="D0EBF2"/>
          </w:tcPr>
          <w:p>
            <w:pPr>
              <w:spacing w:after="0"/>
              <w:rPr>
                <w:sz w:val="16"/>
                <w:szCs w:val="16"/>
                <w:color w:val="auto"/>
              </w:rPr>
            </w:pPr>
          </w:p>
        </w:tc>
        <w:tc>
          <w:tcPr>
            <w:tcW w:w="860" w:type="dxa"/>
            <w:vAlign w:val="bottom"/>
            <w:shd w:val="clear" w:color="auto" w:fill="D0EBF2"/>
          </w:tcPr>
          <w:p>
            <w:pPr>
              <w:jc w:val="right"/>
              <w:spacing w:after="0"/>
              <w:rPr>
                <w:sz w:val="20"/>
                <w:szCs w:val="20"/>
                <w:color w:val="auto"/>
              </w:rPr>
            </w:pPr>
            <w:r>
              <w:rPr>
                <w:rFonts w:ascii="Times New Roman" w:cs="Times New Roman" w:eastAsia="Times New Roman" w:hAnsi="Times New Roman"/>
                <w:sz w:val="15"/>
                <w:szCs w:val="15"/>
                <w:color w:val="231F20"/>
              </w:rPr>
              <w:t>0.0%</w:t>
            </w:r>
          </w:p>
        </w:tc>
      </w:tr>
      <w:tr>
        <w:trPr>
          <w:trHeight w:val="157"/>
        </w:trPr>
        <w:tc>
          <w:tcPr>
            <w:tcW w:w="1580" w:type="dxa"/>
            <w:vAlign w:val="bottom"/>
            <w:tcBorders>
              <w:bottom w:val="single" w:sz="8" w:color="D0EBF2"/>
            </w:tcBorders>
            <w:shd w:val="clear" w:color="auto" w:fill="D0EBF2"/>
          </w:tcPr>
          <w:p>
            <w:pPr>
              <w:spacing w:after="0"/>
              <w:rPr>
                <w:sz w:val="20"/>
                <w:szCs w:val="20"/>
                <w:color w:val="auto"/>
              </w:rPr>
            </w:pPr>
            <w:r>
              <w:rPr>
                <w:rFonts w:ascii="Times New Roman" w:cs="Times New Roman" w:eastAsia="Times New Roman" w:hAnsi="Times New Roman"/>
                <w:sz w:val="9"/>
                <w:szCs w:val="9"/>
                <w:color w:val="231F20"/>
              </w:rPr>
              <w:t>(7)(11)</w:t>
            </w:r>
          </w:p>
        </w:tc>
        <w:tc>
          <w:tcPr>
            <w:tcW w:w="2200" w:type="dxa"/>
            <w:vAlign w:val="bottom"/>
            <w:tcBorders>
              <w:bottom w:val="single" w:sz="8" w:color="D0EBF2"/>
            </w:tcBorders>
            <w:shd w:val="clear" w:color="auto" w:fill="D0EBF2"/>
          </w:tcPr>
          <w:p>
            <w:pPr>
              <w:spacing w:after="0"/>
              <w:rPr>
                <w:sz w:val="13"/>
                <w:szCs w:val="13"/>
                <w:color w:val="auto"/>
              </w:rPr>
            </w:pPr>
          </w:p>
        </w:tc>
        <w:tc>
          <w:tcPr>
            <w:tcW w:w="800" w:type="dxa"/>
            <w:vAlign w:val="bottom"/>
            <w:tcBorders>
              <w:bottom w:val="single" w:sz="8" w:color="D0EBF2"/>
            </w:tcBorders>
            <w:shd w:val="clear" w:color="auto" w:fill="D0EBF2"/>
          </w:tcPr>
          <w:p>
            <w:pPr>
              <w:spacing w:after="0"/>
              <w:rPr>
                <w:sz w:val="13"/>
                <w:szCs w:val="13"/>
                <w:color w:val="auto"/>
              </w:rPr>
            </w:pPr>
          </w:p>
        </w:tc>
        <w:tc>
          <w:tcPr>
            <w:tcW w:w="1160" w:type="dxa"/>
            <w:vAlign w:val="bottom"/>
            <w:tcBorders>
              <w:bottom w:val="single" w:sz="8" w:color="D0EBF2"/>
            </w:tcBorders>
            <w:shd w:val="clear" w:color="auto" w:fill="D0EBF2"/>
          </w:tcPr>
          <w:p>
            <w:pPr>
              <w:spacing w:after="0"/>
              <w:rPr>
                <w:sz w:val="13"/>
                <w:szCs w:val="13"/>
                <w:color w:val="auto"/>
              </w:rPr>
            </w:pPr>
          </w:p>
        </w:tc>
        <w:tc>
          <w:tcPr>
            <w:tcW w:w="900" w:type="dxa"/>
            <w:vAlign w:val="bottom"/>
            <w:tcBorders>
              <w:bottom w:val="single" w:sz="8" w:color="D0EBF2"/>
            </w:tcBorders>
            <w:shd w:val="clear" w:color="auto" w:fill="D0EBF2"/>
          </w:tcPr>
          <w:p>
            <w:pPr>
              <w:spacing w:after="0"/>
              <w:rPr>
                <w:sz w:val="13"/>
                <w:szCs w:val="13"/>
                <w:color w:val="auto"/>
              </w:rPr>
            </w:pPr>
          </w:p>
        </w:tc>
        <w:tc>
          <w:tcPr>
            <w:tcW w:w="1000" w:type="dxa"/>
            <w:vAlign w:val="bottom"/>
            <w:tcBorders>
              <w:bottom w:val="single" w:sz="8" w:color="D0EBF2"/>
            </w:tcBorders>
            <w:shd w:val="clear" w:color="auto" w:fill="D0EBF2"/>
          </w:tcPr>
          <w:p>
            <w:pPr>
              <w:spacing w:after="0"/>
              <w:rPr>
                <w:sz w:val="13"/>
                <w:szCs w:val="13"/>
                <w:color w:val="auto"/>
              </w:rPr>
            </w:pPr>
          </w:p>
        </w:tc>
        <w:tc>
          <w:tcPr>
            <w:tcW w:w="80" w:type="dxa"/>
            <w:vAlign w:val="bottom"/>
            <w:tcBorders>
              <w:bottom w:val="single" w:sz="8" w:color="D0EBF2"/>
            </w:tcBorders>
            <w:shd w:val="clear" w:color="auto" w:fill="D0EBF2"/>
          </w:tcPr>
          <w:p>
            <w:pPr>
              <w:spacing w:after="0"/>
              <w:rPr>
                <w:sz w:val="13"/>
                <w:szCs w:val="13"/>
                <w:color w:val="auto"/>
              </w:rPr>
            </w:pPr>
          </w:p>
        </w:tc>
        <w:tc>
          <w:tcPr>
            <w:tcW w:w="1600" w:type="dxa"/>
            <w:vAlign w:val="bottom"/>
            <w:tcBorders>
              <w:bottom w:val="single" w:sz="8" w:color="D0EBF2"/>
            </w:tcBorders>
            <w:shd w:val="clear" w:color="auto" w:fill="D0EBF2"/>
          </w:tcPr>
          <w:p>
            <w:pPr>
              <w:spacing w:after="0"/>
              <w:rPr>
                <w:sz w:val="13"/>
                <w:szCs w:val="13"/>
                <w:color w:val="auto"/>
              </w:rPr>
            </w:pPr>
          </w:p>
        </w:tc>
        <w:tc>
          <w:tcPr>
            <w:tcW w:w="100" w:type="dxa"/>
            <w:vAlign w:val="bottom"/>
            <w:tcBorders>
              <w:bottom w:val="single" w:sz="8" w:color="D0EBF2"/>
            </w:tcBorders>
            <w:shd w:val="clear" w:color="auto" w:fill="D0EBF2"/>
          </w:tcPr>
          <w:p>
            <w:pPr>
              <w:spacing w:after="0"/>
              <w:rPr>
                <w:sz w:val="13"/>
                <w:szCs w:val="13"/>
                <w:color w:val="auto"/>
              </w:rPr>
            </w:pPr>
          </w:p>
        </w:tc>
        <w:tc>
          <w:tcPr>
            <w:tcW w:w="860" w:type="dxa"/>
            <w:vAlign w:val="bottom"/>
            <w:tcBorders>
              <w:bottom w:val="single" w:sz="8" w:color="D0EBF2"/>
            </w:tcBorders>
            <w:shd w:val="clear" w:color="auto" w:fill="D0EBF2"/>
          </w:tcPr>
          <w:p>
            <w:pPr>
              <w:spacing w:after="0"/>
              <w:rPr>
                <w:sz w:val="13"/>
                <w:szCs w:val="13"/>
                <w:color w:val="auto"/>
              </w:rPr>
            </w:pPr>
          </w:p>
        </w:tc>
      </w:tr>
      <w:tr>
        <w:trPr>
          <w:trHeight w:val="187"/>
        </w:trPr>
        <w:tc>
          <w:tcPr>
            <w:tcW w:w="1580" w:type="dxa"/>
            <w:vAlign w:val="bottom"/>
            <w:shd w:val="clear" w:color="auto" w:fill="FDFDFC"/>
          </w:tcPr>
          <w:p>
            <w:pPr>
              <w:spacing w:after="0"/>
              <w:rPr>
                <w:sz w:val="16"/>
                <w:szCs w:val="16"/>
                <w:color w:val="auto"/>
              </w:rPr>
            </w:pPr>
          </w:p>
        </w:tc>
        <w:tc>
          <w:tcPr>
            <w:tcW w:w="2200" w:type="dxa"/>
            <w:vAlign w:val="bottom"/>
            <w:shd w:val="clear" w:color="auto" w:fill="FDFDFC"/>
          </w:tcPr>
          <w:p>
            <w:pPr>
              <w:ind w:left="60"/>
              <w:spacing w:after="0"/>
              <w:rPr>
                <w:sz w:val="20"/>
                <w:szCs w:val="20"/>
                <w:color w:val="auto"/>
              </w:rPr>
            </w:pPr>
            <w:r>
              <w:rPr>
                <w:rFonts w:ascii="Times New Roman" w:cs="Times New Roman" w:eastAsia="Times New Roman" w:hAnsi="Times New Roman"/>
                <w:sz w:val="15"/>
                <w:szCs w:val="15"/>
                <w:color w:val="231F20"/>
              </w:rPr>
              <w:t>Class C-1 Units (8,800,000 units)</w:t>
            </w:r>
          </w:p>
        </w:tc>
        <w:tc>
          <w:tcPr>
            <w:tcW w:w="800" w:type="dxa"/>
            <w:vAlign w:val="bottom"/>
            <w:shd w:val="clear" w:color="auto" w:fill="FDFDFC"/>
          </w:tcPr>
          <w:p>
            <w:pPr>
              <w:jc w:val="right"/>
              <w:spacing w:after="0"/>
              <w:rPr>
                <w:sz w:val="20"/>
                <w:szCs w:val="20"/>
                <w:color w:val="auto"/>
              </w:rPr>
            </w:pPr>
            <w:r>
              <w:rPr>
                <w:rFonts w:ascii="Times New Roman" w:cs="Times New Roman" w:eastAsia="Times New Roman" w:hAnsi="Times New Roman"/>
                <w:sz w:val="15"/>
                <w:szCs w:val="15"/>
                <w:color w:val="231F20"/>
              </w:rPr>
              <w:t>12/21/2018</w:t>
            </w:r>
          </w:p>
        </w:tc>
        <w:tc>
          <w:tcPr>
            <w:tcW w:w="1160" w:type="dxa"/>
            <w:vAlign w:val="bottom"/>
            <w:shd w:val="clear" w:color="auto" w:fill="FDFDFC"/>
          </w:tcPr>
          <w:p>
            <w:pPr>
              <w:spacing w:after="0"/>
              <w:rPr>
                <w:sz w:val="16"/>
                <w:szCs w:val="16"/>
                <w:color w:val="auto"/>
              </w:rPr>
            </w:pPr>
          </w:p>
        </w:tc>
        <w:tc>
          <w:tcPr>
            <w:tcW w:w="900" w:type="dxa"/>
            <w:vAlign w:val="bottom"/>
            <w:shd w:val="clear" w:color="auto" w:fill="FDFDFC"/>
          </w:tcPr>
          <w:p>
            <w:pPr>
              <w:spacing w:after="0"/>
              <w:rPr>
                <w:sz w:val="16"/>
                <w:szCs w:val="16"/>
                <w:color w:val="auto"/>
              </w:rPr>
            </w:pPr>
          </w:p>
        </w:tc>
        <w:tc>
          <w:tcPr>
            <w:tcW w:w="1000" w:type="dxa"/>
            <w:vAlign w:val="bottom"/>
            <w:shd w:val="clear" w:color="auto" w:fill="FDFDFC"/>
          </w:tcPr>
          <w:p>
            <w:pPr>
              <w:jc w:val="right"/>
              <w:spacing w:after="0"/>
              <w:rPr>
                <w:sz w:val="20"/>
                <w:szCs w:val="20"/>
                <w:color w:val="auto"/>
              </w:rPr>
            </w:pPr>
            <w:r>
              <w:rPr>
                <w:rFonts w:ascii="Times New Roman" w:cs="Times New Roman" w:eastAsia="Times New Roman" w:hAnsi="Times New Roman"/>
                <w:sz w:val="15"/>
                <w:szCs w:val="15"/>
                <w:color w:val="231F20"/>
              </w:rPr>
              <w:t>100</w:t>
            </w:r>
          </w:p>
        </w:tc>
        <w:tc>
          <w:tcPr>
            <w:tcW w:w="1680" w:type="dxa"/>
            <w:vAlign w:val="bottom"/>
            <w:gridSpan w:val="2"/>
            <w:shd w:val="clear" w:color="auto" w:fill="FDFDFC"/>
          </w:tcPr>
          <w:p>
            <w:pPr>
              <w:jc w:val="right"/>
              <w:spacing w:after="0"/>
              <w:rPr>
                <w:sz w:val="20"/>
                <w:szCs w:val="20"/>
                <w:color w:val="auto"/>
              </w:rPr>
            </w:pPr>
            <w:r>
              <w:rPr>
                <w:rFonts w:ascii="Times New Roman" w:cs="Times New Roman" w:eastAsia="Times New Roman" w:hAnsi="Times New Roman"/>
                <w:sz w:val="15"/>
                <w:szCs w:val="15"/>
                <w:color w:val="231F20"/>
              </w:rPr>
              <w:t>43</w:t>
            </w:r>
          </w:p>
        </w:tc>
        <w:tc>
          <w:tcPr>
            <w:tcW w:w="960" w:type="dxa"/>
            <w:vAlign w:val="bottom"/>
            <w:gridSpan w:val="2"/>
            <w:shd w:val="clear" w:color="auto" w:fill="FDFDFC"/>
          </w:tcPr>
          <w:p>
            <w:pPr>
              <w:jc w:val="right"/>
              <w:spacing w:after="0"/>
              <w:rPr>
                <w:sz w:val="20"/>
                <w:szCs w:val="20"/>
                <w:color w:val="auto"/>
              </w:rPr>
            </w:pPr>
            <w:r>
              <w:rPr>
                <w:rFonts w:ascii="Times New Roman" w:cs="Times New Roman" w:eastAsia="Times New Roman" w:hAnsi="Times New Roman"/>
                <w:sz w:val="15"/>
                <w:szCs w:val="15"/>
                <w:color w:val="231F20"/>
              </w:rPr>
              <w:t>0.0%</w:t>
            </w:r>
          </w:p>
        </w:tc>
      </w:tr>
      <w:tr>
        <w:trPr>
          <w:trHeight w:val="201"/>
        </w:trPr>
        <w:tc>
          <w:tcPr>
            <w:tcW w:w="1580" w:type="dxa"/>
            <w:vAlign w:val="bottom"/>
            <w:tcBorders>
              <w:top w:val="single" w:sz="8" w:color="D0EBF2"/>
              <w:bottom w:val="single" w:sz="8" w:color="D0EBF2"/>
            </w:tcBorders>
            <w:shd w:val="clear" w:color="auto" w:fill="D0EBF2"/>
          </w:tcPr>
          <w:p>
            <w:pPr>
              <w:spacing w:after="0"/>
              <w:rPr>
                <w:sz w:val="17"/>
                <w:szCs w:val="17"/>
                <w:color w:val="auto"/>
              </w:rPr>
            </w:pPr>
          </w:p>
        </w:tc>
        <w:tc>
          <w:tcPr>
            <w:tcW w:w="2200" w:type="dxa"/>
            <w:vAlign w:val="bottom"/>
            <w:tcBorders>
              <w:top w:val="single" w:sz="8" w:color="D0EBF2"/>
              <w:bottom w:val="single" w:sz="8" w:color="D0EBF2"/>
            </w:tcBorders>
            <w:shd w:val="clear" w:color="auto" w:fill="D0EBF2"/>
          </w:tcPr>
          <w:p>
            <w:pPr>
              <w:spacing w:after="0"/>
              <w:rPr>
                <w:sz w:val="17"/>
                <w:szCs w:val="17"/>
                <w:color w:val="auto"/>
              </w:rPr>
            </w:pPr>
          </w:p>
        </w:tc>
        <w:tc>
          <w:tcPr>
            <w:tcW w:w="800" w:type="dxa"/>
            <w:vAlign w:val="bottom"/>
            <w:tcBorders>
              <w:top w:val="single" w:sz="8" w:color="D0EBF2"/>
              <w:bottom w:val="single" w:sz="8" w:color="D0EBF2"/>
            </w:tcBorders>
            <w:shd w:val="clear" w:color="auto" w:fill="D0EBF2"/>
          </w:tcPr>
          <w:p>
            <w:pPr>
              <w:spacing w:after="0"/>
              <w:rPr>
                <w:sz w:val="17"/>
                <w:szCs w:val="17"/>
                <w:color w:val="auto"/>
              </w:rPr>
            </w:pPr>
          </w:p>
        </w:tc>
        <w:tc>
          <w:tcPr>
            <w:tcW w:w="1160" w:type="dxa"/>
            <w:vAlign w:val="bottom"/>
            <w:tcBorders>
              <w:top w:val="single" w:sz="8" w:color="D0EBF2"/>
              <w:bottom w:val="single" w:sz="8" w:color="D0EBF2"/>
            </w:tcBorders>
            <w:shd w:val="clear" w:color="auto" w:fill="D0EBF2"/>
          </w:tcPr>
          <w:p>
            <w:pPr>
              <w:spacing w:after="0"/>
              <w:rPr>
                <w:sz w:val="17"/>
                <w:szCs w:val="17"/>
                <w:color w:val="auto"/>
              </w:rPr>
            </w:pPr>
          </w:p>
        </w:tc>
        <w:tc>
          <w:tcPr>
            <w:tcW w:w="900" w:type="dxa"/>
            <w:vAlign w:val="bottom"/>
            <w:tcBorders>
              <w:top w:val="single" w:sz="8" w:color="D0EBF2"/>
              <w:bottom w:val="single" w:sz="8" w:color="D0EBF2"/>
            </w:tcBorders>
            <w:shd w:val="clear" w:color="auto" w:fill="D0EBF2"/>
          </w:tcPr>
          <w:p>
            <w:pPr>
              <w:spacing w:after="0"/>
              <w:rPr>
                <w:sz w:val="17"/>
                <w:szCs w:val="17"/>
                <w:color w:val="auto"/>
              </w:rPr>
            </w:pPr>
          </w:p>
        </w:tc>
        <w:tc>
          <w:tcPr>
            <w:tcW w:w="1000" w:type="dxa"/>
            <w:vAlign w:val="bottom"/>
            <w:tcBorders>
              <w:top w:val="single" w:sz="8" w:color="231F20"/>
              <w:bottom w:val="single" w:sz="8" w:color="231F20"/>
            </w:tcBorders>
            <w:shd w:val="clear" w:color="auto" w:fill="D0EBF2"/>
          </w:tcPr>
          <w:p>
            <w:pPr>
              <w:jc w:val="right"/>
              <w:spacing w:after="0"/>
              <w:rPr>
                <w:sz w:val="20"/>
                <w:szCs w:val="20"/>
                <w:color w:val="auto"/>
              </w:rPr>
            </w:pPr>
            <w:r>
              <w:rPr>
                <w:rFonts w:ascii="Times New Roman" w:cs="Times New Roman" w:eastAsia="Times New Roman" w:hAnsi="Times New Roman"/>
                <w:sz w:val="15"/>
                <w:szCs w:val="15"/>
                <w:color w:val="231F20"/>
              </w:rPr>
              <w:t>21,942</w:t>
            </w:r>
          </w:p>
        </w:tc>
        <w:tc>
          <w:tcPr>
            <w:tcW w:w="80" w:type="dxa"/>
            <w:vAlign w:val="bottom"/>
            <w:tcBorders>
              <w:top w:val="single" w:sz="8" w:color="D0EBF2"/>
              <w:bottom w:val="single" w:sz="8" w:color="D0EBF2"/>
            </w:tcBorders>
            <w:shd w:val="clear" w:color="auto" w:fill="D0EBF2"/>
          </w:tcPr>
          <w:p>
            <w:pPr>
              <w:spacing w:after="0"/>
              <w:rPr>
                <w:sz w:val="17"/>
                <w:szCs w:val="17"/>
                <w:color w:val="auto"/>
              </w:rPr>
            </w:pPr>
          </w:p>
        </w:tc>
        <w:tc>
          <w:tcPr>
            <w:tcW w:w="1600" w:type="dxa"/>
            <w:vAlign w:val="bottom"/>
            <w:tcBorders>
              <w:top w:val="single" w:sz="8" w:color="231F20"/>
              <w:bottom w:val="single" w:sz="8" w:color="231F20"/>
            </w:tcBorders>
            <w:shd w:val="clear" w:color="auto" w:fill="D0EBF2"/>
          </w:tcPr>
          <w:p>
            <w:pPr>
              <w:jc w:val="right"/>
              <w:spacing w:after="0"/>
              <w:rPr>
                <w:sz w:val="20"/>
                <w:szCs w:val="20"/>
                <w:color w:val="auto"/>
              </w:rPr>
            </w:pPr>
            <w:r>
              <w:rPr>
                <w:rFonts w:ascii="Times New Roman" w:cs="Times New Roman" w:eastAsia="Times New Roman" w:hAnsi="Times New Roman"/>
                <w:sz w:val="15"/>
                <w:szCs w:val="15"/>
                <w:color w:val="231F20"/>
              </w:rPr>
              <w:t>128</w:t>
            </w:r>
          </w:p>
        </w:tc>
        <w:tc>
          <w:tcPr>
            <w:tcW w:w="100" w:type="dxa"/>
            <w:vAlign w:val="bottom"/>
            <w:tcBorders>
              <w:top w:val="single" w:sz="8" w:color="D0EBF2"/>
              <w:bottom w:val="single" w:sz="8" w:color="D0EBF2"/>
            </w:tcBorders>
            <w:shd w:val="clear" w:color="auto" w:fill="D0EBF2"/>
          </w:tcPr>
          <w:p>
            <w:pPr>
              <w:spacing w:after="0"/>
              <w:rPr>
                <w:sz w:val="17"/>
                <w:szCs w:val="17"/>
                <w:color w:val="auto"/>
              </w:rPr>
            </w:pPr>
          </w:p>
        </w:tc>
        <w:tc>
          <w:tcPr>
            <w:tcW w:w="860" w:type="dxa"/>
            <w:vAlign w:val="bottom"/>
            <w:tcBorders>
              <w:top w:val="single" w:sz="8" w:color="231F20"/>
              <w:bottom w:val="single" w:sz="8" w:color="231F20"/>
            </w:tcBorders>
            <w:shd w:val="clear" w:color="auto" w:fill="D0EBF2"/>
          </w:tcPr>
          <w:p>
            <w:pPr>
              <w:jc w:val="right"/>
              <w:spacing w:after="0"/>
              <w:rPr>
                <w:sz w:val="20"/>
                <w:szCs w:val="20"/>
                <w:color w:val="auto"/>
              </w:rPr>
            </w:pPr>
            <w:r>
              <w:rPr>
                <w:rFonts w:ascii="Times New Roman" w:cs="Times New Roman" w:eastAsia="Times New Roman" w:hAnsi="Times New Roman"/>
                <w:sz w:val="15"/>
                <w:szCs w:val="15"/>
                <w:color w:val="231F20"/>
              </w:rPr>
              <w:t>0.0%</w:t>
            </w:r>
          </w:p>
        </w:tc>
      </w:tr>
      <w:tr>
        <w:trPr>
          <w:trHeight w:val="139"/>
        </w:trPr>
        <w:tc>
          <w:tcPr>
            <w:tcW w:w="1580" w:type="dxa"/>
            <w:vAlign w:val="bottom"/>
            <w:tcBorders>
              <w:top w:val="single" w:sz="8" w:color="FDFDFC"/>
            </w:tcBorders>
            <w:shd w:val="clear" w:color="auto" w:fill="FDFDFC"/>
          </w:tcPr>
          <w:p>
            <w:pPr>
              <w:spacing w:after="0" w:line="139" w:lineRule="exact"/>
              <w:rPr>
                <w:sz w:val="20"/>
                <w:szCs w:val="20"/>
                <w:color w:val="auto"/>
              </w:rPr>
            </w:pPr>
            <w:r>
              <w:rPr>
                <w:rFonts w:ascii="Times New Roman" w:cs="Times New Roman" w:eastAsia="Times New Roman" w:hAnsi="Times New Roman"/>
                <w:sz w:val="15"/>
                <w:szCs w:val="15"/>
                <w:b w:val="1"/>
                <w:bCs w:val="1"/>
                <w:color w:val="231F20"/>
              </w:rPr>
              <w:t>Human Resource</w:t>
            </w:r>
          </w:p>
        </w:tc>
        <w:tc>
          <w:tcPr>
            <w:tcW w:w="2200" w:type="dxa"/>
            <w:vAlign w:val="bottom"/>
            <w:tcBorders>
              <w:top w:val="single" w:sz="8" w:color="FDFDFC"/>
            </w:tcBorders>
            <w:shd w:val="clear" w:color="auto" w:fill="FDFDFC"/>
          </w:tcPr>
          <w:p>
            <w:pPr>
              <w:spacing w:after="0"/>
              <w:rPr>
                <w:sz w:val="12"/>
                <w:szCs w:val="12"/>
                <w:color w:val="auto"/>
              </w:rPr>
            </w:pPr>
          </w:p>
        </w:tc>
        <w:tc>
          <w:tcPr>
            <w:tcW w:w="800" w:type="dxa"/>
            <w:vAlign w:val="bottom"/>
            <w:tcBorders>
              <w:top w:val="single" w:sz="8" w:color="FDFDFC"/>
            </w:tcBorders>
            <w:shd w:val="clear" w:color="auto" w:fill="FDFDFC"/>
          </w:tcPr>
          <w:p>
            <w:pPr>
              <w:spacing w:after="0"/>
              <w:rPr>
                <w:sz w:val="12"/>
                <w:szCs w:val="12"/>
                <w:color w:val="auto"/>
              </w:rPr>
            </w:pPr>
          </w:p>
        </w:tc>
        <w:tc>
          <w:tcPr>
            <w:tcW w:w="1160" w:type="dxa"/>
            <w:vAlign w:val="bottom"/>
            <w:tcBorders>
              <w:top w:val="single" w:sz="8" w:color="FDFDFC"/>
            </w:tcBorders>
            <w:shd w:val="clear" w:color="auto" w:fill="FDFDFC"/>
          </w:tcPr>
          <w:p>
            <w:pPr>
              <w:spacing w:after="0"/>
              <w:rPr>
                <w:sz w:val="12"/>
                <w:szCs w:val="12"/>
                <w:color w:val="auto"/>
              </w:rPr>
            </w:pPr>
          </w:p>
        </w:tc>
        <w:tc>
          <w:tcPr>
            <w:tcW w:w="900" w:type="dxa"/>
            <w:vAlign w:val="bottom"/>
            <w:tcBorders>
              <w:top w:val="single" w:sz="8" w:color="FDFDFC"/>
            </w:tcBorders>
            <w:shd w:val="clear" w:color="auto" w:fill="FDFDFC"/>
          </w:tcPr>
          <w:p>
            <w:pPr>
              <w:spacing w:after="0"/>
              <w:rPr>
                <w:sz w:val="12"/>
                <w:szCs w:val="12"/>
                <w:color w:val="auto"/>
              </w:rPr>
            </w:pPr>
          </w:p>
        </w:tc>
        <w:tc>
          <w:tcPr>
            <w:tcW w:w="1000" w:type="dxa"/>
            <w:vAlign w:val="bottom"/>
            <w:tcBorders>
              <w:top w:val="single" w:sz="8" w:color="231F20"/>
            </w:tcBorders>
            <w:shd w:val="clear" w:color="auto" w:fill="FDFDFC"/>
          </w:tcPr>
          <w:p>
            <w:pPr>
              <w:spacing w:after="0"/>
              <w:rPr>
                <w:sz w:val="12"/>
                <w:szCs w:val="12"/>
                <w:color w:val="auto"/>
              </w:rPr>
            </w:pPr>
          </w:p>
        </w:tc>
        <w:tc>
          <w:tcPr>
            <w:tcW w:w="80" w:type="dxa"/>
            <w:vAlign w:val="bottom"/>
            <w:tcBorders>
              <w:top w:val="single" w:sz="8" w:color="FDFDFC"/>
            </w:tcBorders>
            <w:shd w:val="clear" w:color="auto" w:fill="FDFDFC"/>
          </w:tcPr>
          <w:p>
            <w:pPr>
              <w:spacing w:after="0"/>
              <w:rPr>
                <w:sz w:val="12"/>
                <w:szCs w:val="12"/>
                <w:color w:val="auto"/>
              </w:rPr>
            </w:pPr>
          </w:p>
        </w:tc>
        <w:tc>
          <w:tcPr>
            <w:tcW w:w="1600" w:type="dxa"/>
            <w:vAlign w:val="bottom"/>
            <w:tcBorders>
              <w:top w:val="single" w:sz="8" w:color="231F20"/>
            </w:tcBorders>
            <w:shd w:val="clear" w:color="auto" w:fill="FDFDFC"/>
          </w:tcPr>
          <w:p>
            <w:pPr>
              <w:spacing w:after="0"/>
              <w:rPr>
                <w:sz w:val="12"/>
                <w:szCs w:val="12"/>
                <w:color w:val="auto"/>
              </w:rPr>
            </w:pPr>
          </w:p>
        </w:tc>
        <w:tc>
          <w:tcPr>
            <w:tcW w:w="100" w:type="dxa"/>
            <w:vAlign w:val="bottom"/>
            <w:tcBorders>
              <w:top w:val="single" w:sz="8" w:color="FDFDFC"/>
            </w:tcBorders>
            <w:shd w:val="clear" w:color="auto" w:fill="FDFDFC"/>
          </w:tcPr>
          <w:p>
            <w:pPr>
              <w:spacing w:after="0"/>
              <w:rPr>
                <w:sz w:val="12"/>
                <w:szCs w:val="12"/>
                <w:color w:val="auto"/>
              </w:rPr>
            </w:pPr>
          </w:p>
        </w:tc>
        <w:tc>
          <w:tcPr>
            <w:tcW w:w="860" w:type="dxa"/>
            <w:vAlign w:val="bottom"/>
            <w:tcBorders>
              <w:top w:val="single" w:sz="8" w:color="231F20"/>
            </w:tcBorders>
            <w:shd w:val="clear" w:color="auto" w:fill="FDFDFC"/>
          </w:tcPr>
          <w:p>
            <w:pPr>
              <w:spacing w:after="0"/>
              <w:rPr>
                <w:sz w:val="12"/>
                <w:szCs w:val="12"/>
                <w:color w:val="auto"/>
              </w:rPr>
            </w:pPr>
          </w:p>
        </w:tc>
      </w:tr>
      <w:tr>
        <w:trPr>
          <w:trHeight w:val="191"/>
        </w:trPr>
        <w:tc>
          <w:tcPr>
            <w:tcW w:w="1580" w:type="dxa"/>
            <w:vAlign w:val="bottom"/>
            <w:shd w:val="clear" w:color="auto" w:fill="FDFDFC"/>
          </w:tcPr>
          <w:p>
            <w:pPr>
              <w:spacing w:after="0"/>
              <w:rPr>
                <w:sz w:val="20"/>
                <w:szCs w:val="20"/>
                <w:color w:val="auto"/>
              </w:rPr>
            </w:pPr>
            <w:r>
              <w:rPr>
                <w:rFonts w:ascii="Times New Roman" w:cs="Times New Roman" w:eastAsia="Times New Roman" w:hAnsi="Times New Roman"/>
                <w:sz w:val="15"/>
                <w:szCs w:val="15"/>
                <w:b w:val="1"/>
                <w:bCs w:val="1"/>
                <w:color w:val="231F20"/>
              </w:rPr>
              <w:t>Support Services</w:t>
            </w:r>
          </w:p>
        </w:tc>
        <w:tc>
          <w:tcPr>
            <w:tcW w:w="2200" w:type="dxa"/>
            <w:vAlign w:val="bottom"/>
            <w:shd w:val="clear" w:color="auto" w:fill="FDFDFC"/>
          </w:tcPr>
          <w:p>
            <w:pPr>
              <w:spacing w:after="0"/>
              <w:rPr>
                <w:sz w:val="16"/>
                <w:szCs w:val="16"/>
                <w:color w:val="auto"/>
              </w:rPr>
            </w:pPr>
          </w:p>
        </w:tc>
        <w:tc>
          <w:tcPr>
            <w:tcW w:w="800" w:type="dxa"/>
            <w:vAlign w:val="bottom"/>
            <w:shd w:val="clear" w:color="auto" w:fill="FDFDFC"/>
          </w:tcPr>
          <w:p>
            <w:pPr>
              <w:spacing w:after="0"/>
              <w:rPr>
                <w:sz w:val="16"/>
                <w:szCs w:val="16"/>
                <w:color w:val="auto"/>
              </w:rPr>
            </w:pPr>
          </w:p>
        </w:tc>
        <w:tc>
          <w:tcPr>
            <w:tcW w:w="1160" w:type="dxa"/>
            <w:vAlign w:val="bottom"/>
            <w:shd w:val="clear" w:color="auto" w:fill="FDFDFC"/>
          </w:tcPr>
          <w:p>
            <w:pPr>
              <w:spacing w:after="0"/>
              <w:rPr>
                <w:sz w:val="16"/>
                <w:szCs w:val="16"/>
                <w:color w:val="auto"/>
              </w:rPr>
            </w:pPr>
          </w:p>
        </w:tc>
        <w:tc>
          <w:tcPr>
            <w:tcW w:w="900" w:type="dxa"/>
            <w:vAlign w:val="bottom"/>
            <w:shd w:val="clear" w:color="auto" w:fill="FDFDFC"/>
          </w:tcPr>
          <w:p>
            <w:pPr>
              <w:spacing w:after="0"/>
              <w:rPr>
                <w:sz w:val="16"/>
                <w:szCs w:val="16"/>
                <w:color w:val="auto"/>
              </w:rPr>
            </w:pPr>
          </w:p>
        </w:tc>
        <w:tc>
          <w:tcPr>
            <w:tcW w:w="1000" w:type="dxa"/>
            <w:vAlign w:val="bottom"/>
            <w:shd w:val="clear" w:color="auto" w:fill="FDFDFC"/>
          </w:tcPr>
          <w:p>
            <w:pPr>
              <w:spacing w:after="0"/>
              <w:rPr>
                <w:sz w:val="16"/>
                <w:szCs w:val="16"/>
                <w:color w:val="auto"/>
              </w:rPr>
            </w:pPr>
          </w:p>
        </w:tc>
        <w:tc>
          <w:tcPr>
            <w:tcW w:w="80" w:type="dxa"/>
            <w:vAlign w:val="bottom"/>
            <w:shd w:val="clear" w:color="auto" w:fill="FDFDFC"/>
          </w:tcPr>
          <w:p>
            <w:pPr>
              <w:spacing w:after="0"/>
              <w:rPr>
                <w:sz w:val="16"/>
                <w:szCs w:val="16"/>
                <w:color w:val="auto"/>
              </w:rPr>
            </w:pPr>
          </w:p>
        </w:tc>
        <w:tc>
          <w:tcPr>
            <w:tcW w:w="1600" w:type="dxa"/>
            <w:vAlign w:val="bottom"/>
            <w:shd w:val="clear" w:color="auto" w:fill="FDFDFC"/>
          </w:tcPr>
          <w:p>
            <w:pPr>
              <w:spacing w:after="0"/>
              <w:rPr>
                <w:sz w:val="16"/>
                <w:szCs w:val="16"/>
                <w:color w:val="auto"/>
              </w:rPr>
            </w:pPr>
          </w:p>
        </w:tc>
        <w:tc>
          <w:tcPr>
            <w:tcW w:w="100" w:type="dxa"/>
            <w:vAlign w:val="bottom"/>
            <w:shd w:val="clear" w:color="auto" w:fill="FDFDFC"/>
          </w:tcPr>
          <w:p>
            <w:pPr>
              <w:spacing w:after="0"/>
              <w:rPr>
                <w:sz w:val="16"/>
                <w:szCs w:val="16"/>
                <w:color w:val="auto"/>
              </w:rPr>
            </w:pPr>
          </w:p>
        </w:tc>
        <w:tc>
          <w:tcPr>
            <w:tcW w:w="860" w:type="dxa"/>
            <w:vAlign w:val="bottom"/>
            <w:shd w:val="clear" w:color="auto" w:fill="FDFDFC"/>
          </w:tcPr>
          <w:p>
            <w:pPr>
              <w:spacing w:after="0"/>
              <w:rPr>
                <w:sz w:val="16"/>
                <w:szCs w:val="16"/>
                <w:color w:val="auto"/>
              </w:rPr>
            </w:pPr>
          </w:p>
        </w:tc>
      </w:tr>
      <w:tr>
        <w:trPr>
          <w:trHeight w:val="187"/>
        </w:trPr>
        <w:tc>
          <w:tcPr>
            <w:tcW w:w="1580" w:type="dxa"/>
            <w:vAlign w:val="bottom"/>
            <w:shd w:val="clear" w:color="auto" w:fill="D0EBF2"/>
          </w:tcPr>
          <w:p>
            <w:pPr>
              <w:spacing w:after="0"/>
              <w:rPr>
                <w:sz w:val="20"/>
                <w:szCs w:val="20"/>
                <w:color w:val="auto"/>
              </w:rPr>
            </w:pPr>
            <w:r>
              <w:rPr>
                <w:rFonts w:ascii="Times New Roman" w:cs="Times New Roman" w:eastAsia="Times New Roman" w:hAnsi="Times New Roman"/>
                <w:sz w:val="15"/>
                <w:szCs w:val="15"/>
                <w:color w:val="231F20"/>
              </w:rPr>
              <w:t xml:space="preserve">Axonify, Inc. </w:t>
            </w:r>
            <w:r>
              <w:rPr>
                <w:rFonts w:ascii="Times New Roman" w:cs="Times New Roman" w:eastAsia="Times New Roman" w:hAnsi="Times New Roman"/>
                <w:sz w:val="9"/>
                <w:szCs w:val="9"/>
                <w:color w:val="231F20"/>
              </w:rPr>
              <w:t>(4)(11)(13)</w:t>
            </w:r>
          </w:p>
        </w:tc>
        <w:tc>
          <w:tcPr>
            <w:tcW w:w="2200" w:type="dxa"/>
            <w:vAlign w:val="bottom"/>
            <w:shd w:val="clear" w:color="auto" w:fill="D0EBF2"/>
          </w:tcPr>
          <w:p>
            <w:pPr>
              <w:ind w:left="60"/>
              <w:spacing w:after="0"/>
              <w:rPr>
                <w:sz w:val="20"/>
                <w:szCs w:val="20"/>
                <w:color w:val="auto"/>
              </w:rPr>
            </w:pPr>
            <w:r>
              <w:rPr>
                <w:rFonts w:ascii="Times New Roman" w:cs="Times New Roman" w:eastAsia="Times New Roman" w:hAnsi="Times New Roman"/>
                <w:sz w:val="15"/>
                <w:szCs w:val="15"/>
                <w:color w:val="231F20"/>
              </w:rPr>
              <w:t>Class A-1 Units (3,780,000 units)</w:t>
            </w:r>
          </w:p>
        </w:tc>
        <w:tc>
          <w:tcPr>
            <w:tcW w:w="800" w:type="dxa"/>
            <w:vAlign w:val="bottom"/>
            <w:shd w:val="clear" w:color="auto" w:fill="D0EBF2"/>
          </w:tcPr>
          <w:p>
            <w:pPr>
              <w:jc w:val="right"/>
              <w:spacing w:after="0"/>
              <w:rPr>
                <w:sz w:val="20"/>
                <w:szCs w:val="20"/>
                <w:color w:val="auto"/>
              </w:rPr>
            </w:pPr>
            <w:r>
              <w:rPr>
                <w:rFonts w:ascii="Times New Roman" w:cs="Times New Roman" w:eastAsia="Times New Roman" w:hAnsi="Times New Roman"/>
                <w:sz w:val="15"/>
                <w:szCs w:val="15"/>
                <w:color w:val="231F20"/>
              </w:rPr>
              <w:t>5/5/2021</w:t>
            </w:r>
          </w:p>
        </w:tc>
        <w:tc>
          <w:tcPr>
            <w:tcW w:w="1160" w:type="dxa"/>
            <w:vAlign w:val="bottom"/>
            <w:shd w:val="clear" w:color="auto" w:fill="D0EBF2"/>
          </w:tcPr>
          <w:p>
            <w:pPr>
              <w:spacing w:after="0"/>
              <w:rPr>
                <w:sz w:val="16"/>
                <w:szCs w:val="16"/>
                <w:color w:val="auto"/>
              </w:rPr>
            </w:pPr>
          </w:p>
        </w:tc>
        <w:tc>
          <w:tcPr>
            <w:tcW w:w="900" w:type="dxa"/>
            <w:vAlign w:val="bottom"/>
            <w:shd w:val="clear" w:color="auto" w:fill="D0EBF2"/>
          </w:tcPr>
          <w:p>
            <w:pPr>
              <w:spacing w:after="0"/>
              <w:rPr>
                <w:sz w:val="16"/>
                <w:szCs w:val="16"/>
                <w:color w:val="auto"/>
              </w:rPr>
            </w:pPr>
          </w:p>
        </w:tc>
        <w:tc>
          <w:tcPr>
            <w:tcW w:w="1000" w:type="dxa"/>
            <w:vAlign w:val="bottom"/>
            <w:shd w:val="clear" w:color="auto" w:fill="D0EBF2"/>
          </w:tcPr>
          <w:p>
            <w:pPr>
              <w:jc w:val="right"/>
              <w:spacing w:after="0"/>
              <w:rPr>
                <w:sz w:val="20"/>
                <w:szCs w:val="20"/>
                <w:color w:val="auto"/>
              </w:rPr>
            </w:pPr>
            <w:r>
              <w:rPr>
                <w:rFonts w:ascii="Times New Roman" w:cs="Times New Roman" w:eastAsia="Times New Roman" w:hAnsi="Times New Roman"/>
                <w:sz w:val="15"/>
                <w:szCs w:val="15"/>
                <w:color w:val="231F20"/>
              </w:rPr>
              <w:t>3,780</w:t>
            </w:r>
          </w:p>
        </w:tc>
        <w:tc>
          <w:tcPr>
            <w:tcW w:w="80" w:type="dxa"/>
            <w:vAlign w:val="bottom"/>
            <w:shd w:val="clear" w:color="auto" w:fill="D0EBF2"/>
          </w:tcPr>
          <w:p>
            <w:pPr>
              <w:spacing w:after="0"/>
              <w:rPr>
                <w:sz w:val="16"/>
                <w:szCs w:val="16"/>
                <w:color w:val="auto"/>
              </w:rPr>
            </w:pPr>
          </w:p>
        </w:tc>
        <w:tc>
          <w:tcPr>
            <w:tcW w:w="1600" w:type="dxa"/>
            <w:vAlign w:val="bottom"/>
            <w:shd w:val="clear" w:color="auto" w:fill="D0EBF2"/>
          </w:tcPr>
          <w:p>
            <w:pPr>
              <w:jc w:val="right"/>
              <w:spacing w:after="0"/>
              <w:rPr>
                <w:sz w:val="20"/>
                <w:szCs w:val="20"/>
                <w:color w:val="auto"/>
              </w:rPr>
            </w:pPr>
            <w:r>
              <w:rPr>
                <w:rFonts w:ascii="Times New Roman" w:cs="Times New Roman" w:eastAsia="Times New Roman" w:hAnsi="Times New Roman"/>
                <w:sz w:val="15"/>
                <w:szCs w:val="15"/>
                <w:color w:val="231F20"/>
              </w:rPr>
              <w:t>4,848</w:t>
            </w:r>
          </w:p>
        </w:tc>
        <w:tc>
          <w:tcPr>
            <w:tcW w:w="100" w:type="dxa"/>
            <w:vAlign w:val="bottom"/>
            <w:shd w:val="clear" w:color="auto" w:fill="D0EBF2"/>
          </w:tcPr>
          <w:p>
            <w:pPr>
              <w:spacing w:after="0"/>
              <w:rPr>
                <w:sz w:val="16"/>
                <w:szCs w:val="16"/>
                <w:color w:val="auto"/>
              </w:rPr>
            </w:pPr>
          </w:p>
        </w:tc>
        <w:tc>
          <w:tcPr>
            <w:tcW w:w="860" w:type="dxa"/>
            <w:vAlign w:val="bottom"/>
            <w:shd w:val="clear" w:color="auto" w:fill="D0EBF2"/>
          </w:tcPr>
          <w:p>
            <w:pPr>
              <w:jc w:val="right"/>
              <w:spacing w:after="0"/>
              <w:rPr>
                <w:sz w:val="20"/>
                <w:szCs w:val="20"/>
                <w:color w:val="auto"/>
              </w:rPr>
            </w:pPr>
            <w:r>
              <w:rPr>
                <w:rFonts w:ascii="Times New Roman" w:cs="Times New Roman" w:eastAsia="Times New Roman" w:hAnsi="Times New Roman"/>
                <w:sz w:val="15"/>
                <w:szCs w:val="15"/>
                <w:color w:val="231F20"/>
              </w:rPr>
              <w:t>0.3%</w:t>
            </w:r>
          </w:p>
        </w:tc>
      </w:tr>
      <w:tr>
        <w:trPr>
          <w:trHeight w:val="187"/>
        </w:trPr>
        <w:tc>
          <w:tcPr>
            <w:tcW w:w="1580" w:type="dxa"/>
            <w:vAlign w:val="bottom"/>
            <w:shd w:val="clear" w:color="auto" w:fill="FDFDFC"/>
          </w:tcPr>
          <w:p>
            <w:pPr>
              <w:spacing w:after="0"/>
              <w:rPr>
                <w:sz w:val="20"/>
                <w:szCs w:val="20"/>
                <w:color w:val="auto"/>
              </w:rPr>
            </w:pPr>
            <w:r>
              <w:rPr>
                <w:rFonts w:ascii="Times New Roman" w:cs="Times New Roman" w:eastAsia="Times New Roman" w:hAnsi="Times New Roman"/>
                <w:sz w:val="15"/>
                <w:szCs w:val="15"/>
                <w:color w:val="231F20"/>
              </w:rPr>
              <w:t xml:space="preserve">bswift, LLC </w:t>
            </w:r>
            <w:r>
              <w:rPr>
                <w:rFonts w:ascii="Times New Roman" w:cs="Times New Roman" w:eastAsia="Times New Roman" w:hAnsi="Times New Roman"/>
                <w:sz w:val="9"/>
                <w:szCs w:val="9"/>
                <w:color w:val="231F20"/>
              </w:rPr>
              <w:t>(11)</w:t>
            </w:r>
          </w:p>
        </w:tc>
        <w:tc>
          <w:tcPr>
            <w:tcW w:w="2200" w:type="dxa"/>
            <w:vAlign w:val="bottom"/>
            <w:shd w:val="clear" w:color="auto" w:fill="FDFDFC"/>
          </w:tcPr>
          <w:p>
            <w:pPr>
              <w:ind w:left="60"/>
              <w:spacing w:after="0"/>
              <w:rPr>
                <w:sz w:val="20"/>
                <w:szCs w:val="20"/>
                <w:color w:val="auto"/>
              </w:rPr>
            </w:pPr>
            <w:r>
              <w:rPr>
                <w:rFonts w:ascii="Times New Roman" w:cs="Times New Roman" w:eastAsia="Times New Roman" w:hAnsi="Times New Roman"/>
                <w:sz w:val="15"/>
                <w:szCs w:val="15"/>
                <w:color w:val="231F20"/>
              </w:rPr>
              <w:t>Class A-1 Units (2,393,509 units)</w:t>
            </w:r>
          </w:p>
        </w:tc>
        <w:tc>
          <w:tcPr>
            <w:tcW w:w="800" w:type="dxa"/>
            <w:vAlign w:val="bottom"/>
            <w:shd w:val="clear" w:color="auto" w:fill="FDFDFC"/>
          </w:tcPr>
          <w:p>
            <w:pPr>
              <w:jc w:val="right"/>
              <w:spacing w:after="0"/>
              <w:rPr>
                <w:sz w:val="20"/>
                <w:szCs w:val="20"/>
                <w:color w:val="auto"/>
              </w:rPr>
            </w:pPr>
            <w:r>
              <w:rPr>
                <w:rFonts w:ascii="Times New Roman" w:cs="Times New Roman" w:eastAsia="Times New Roman" w:hAnsi="Times New Roman"/>
                <w:sz w:val="15"/>
                <w:szCs w:val="15"/>
                <w:color w:val="231F20"/>
              </w:rPr>
              <w:t>11/7/2022</w:t>
            </w:r>
          </w:p>
        </w:tc>
        <w:tc>
          <w:tcPr>
            <w:tcW w:w="1160" w:type="dxa"/>
            <w:vAlign w:val="bottom"/>
            <w:shd w:val="clear" w:color="auto" w:fill="FDFDFC"/>
          </w:tcPr>
          <w:p>
            <w:pPr>
              <w:spacing w:after="0"/>
              <w:rPr>
                <w:sz w:val="16"/>
                <w:szCs w:val="16"/>
                <w:color w:val="auto"/>
              </w:rPr>
            </w:pPr>
          </w:p>
        </w:tc>
        <w:tc>
          <w:tcPr>
            <w:tcW w:w="900" w:type="dxa"/>
            <w:vAlign w:val="bottom"/>
            <w:shd w:val="clear" w:color="auto" w:fill="FDFDFC"/>
          </w:tcPr>
          <w:p>
            <w:pPr>
              <w:spacing w:after="0"/>
              <w:rPr>
                <w:sz w:val="16"/>
                <w:szCs w:val="16"/>
                <w:color w:val="auto"/>
              </w:rPr>
            </w:pPr>
          </w:p>
        </w:tc>
        <w:tc>
          <w:tcPr>
            <w:tcW w:w="1000" w:type="dxa"/>
            <w:vAlign w:val="bottom"/>
            <w:shd w:val="clear" w:color="auto" w:fill="FDFDFC"/>
          </w:tcPr>
          <w:p>
            <w:pPr>
              <w:jc w:val="right"/>
              <w:spacing w:after="0"/>
              <w:rPr>
                <w:sz w:val="20"/>
                <w:szCs w:val="20"/>
                <w:color w:val="auto"/>
              </w:rPr>
            </w:pPr>
            <w:r>
              <w:rPr>
                <w:rFonts w:ascii="Times New Roman" w:cs="Times New Roman" w:eastAsia="Times New Roman" w:hAnsi="Times New Roman"/>
                <w:sz w:val="15"/>
                <w:szCs w:val="15"/>
                <w:color w:val="231F20"/>
              </w:rPr>
              <w:t>2,393</w:t>
            </w:r>
          </w:p>
        </w:tc>
        <w:tc>
          <w:tcPr>
            <w:tcW w:w="1680" w:type="dxa"/>
            <w:vAlign w:val="bottom"/>
            <w:gridSpan w:val="2"/>
            <w:shd w:val="clear" w:color="auto" w:fill="FDFDFC"/>
          </w:tcPr>
          <w:p>
            <w:pPr>
              <w:jc w:val="right"/>
              <w:spacing w:after="0"/>
              <w:rPr>
                <w:sz w:val="20"/>
                <w:szCs w:val="20"/>
                <w:color w:val="auto"/>
              </w:rPr>
            </w:pPr>
            <w:r>
              <w:rPr>
                <w:rFonts w:ascii="Times New Roman" w:cs="Times New Roman" w:eastAsia="Times New Roman" w:hAnsi="Times New Roman"/>
                <w:sz w:val="15"/>
                <w:szCs w:val="15"/>
                <w:color w:val="231F20"/>
              </w:rPr>
              <w:t>5,062</w:t>
            </w:r>
          </w:p>
        </w:tc>
        <w:tc>
          <w:tcPr>
            <w:tcW w:w="960" w:type="dxa"/>
            <w:vAlign w:val="bottom"/>
            <w:gridSpan w:val="2"/>
            <w:shd w:val="clear" w:color="auto" w:fill="FDFDFC"/>
          </w:tcPr>
          <w:p>
            <w:pPr>
              <w:jc w:val="right"/>
              <w:spacing w:after="0"/>
              <w:rPr>
                <w:sz w:val="20"/>
                <w:szCs w:val="20"/>
                <w:color w:val="auto"/>
              </w:rPr>
            </w:pPr>
            <w:r>
              <w:rPr>
                <w:rFonts w:ascii="Times New Roman" w:cs="Times New Roman" w:eastAsia="Times New Roman" w:hAnsi="Times New Roman"/>
                <w:sz w:val="15"/>
                <w:szCs w:val="15"/>
                <w:color w:val="231F20"/>
              </w:rPr>
              <w:t>0.3%</w:t>
            </w:r>
          </w:p>
        </w:tc>
      </w:tr>
      <w:tr>
        <w:trPr>
          <w:trHeight w:val="171"/>
        </w:trPr>
        <w:tc>
          <w:tcPr>
            <w:tcW w:w="1580" w:type="dxa"/>
            <w:vAlign w:val="bottom"/>
            <w:shd w:val="clear" w:color="auto" w:fill="D0EBF2"/>
          </w:tcPr>
          <w:p>
            <w:pPr>
              <w:spacing w:after="0" w:line="172" w:lineRule="exact"/>
              <w:rPr>
                <w:sz w:val="20"/>
                <w:szCs w:val="20"/>
                <w:color w:val="auto"/>
              </w:rPr>
            </w:pPr>
            <w:r>
              <w:rPr>
                <w:rFonts w:ascii="Times New Roman" w:cs="Times New Roman" w:eastAsia="Times New Roman" w:hAnsi="Times New Roman"/>
                <w:sz w:val="15"/>
                <w:szCs w:val="15"/>
                <w:color w:val="231F20"/>
              </w:rPr>
              <w:t>DaySmart Holdings,</w:t>
            </w:r>
          </w:p>
        </w:tc>
        <w:tc>
          <w:tcPr>
            <w:tcW w:w="2200" w:type="dxa"/>
            <w:vAlign w:val="bottom"/>
            <w:shd w:val="clear" w:color="auto" w:fill="D0EBF2"/>
          </w:tcPr>
          <w:p>
            <w:pPr>
              <w:ind w:left="60"/>
              <w:spacing w:after="0" w:line="172" w:lineRule="exact"/>
              <w:rPr>
                <w:sz w:val="20"/>
                <w:szCs w:val="20"/>
                <w:color w:val="auto"/>
              </w:rPr>
            </w:pPr>
            <w:r>
              <w:rPr>
                <w:rFonts w:ascii="Times New Roman" w:cs="Times New Roman" w:eastAsia="Times New Roman" w:hAnsi="Times New Roman"/>
                <w:sz w:val="15"/>
                <w:szCs w:val="15"/>
                <w:color w:val="231F20"/>
              </w:rPr>
              <w:t>Class A Units (166,811 units)</w:t>
            </w:r>
          </w:p>
        </w:tc>
        <w:tc>
          <w:tcPr>
            <w:tcW w:w="800" w:type="dxa"/>
            <w:vAlign w:val="bottom"/>
            <w:shd w:val="clear" w:color="auto" w:fill="D0EBF2"/>
          </w:tcPr>
          <w:p>
            <w:pPr>
              <w:jc w:val="right"/>
              <w:spacing w:after="0" w:line="172" w:lineRule="exact"/>
              <w:rPr>
                <w:sz w:val="20"/>
                <w:szCs w:val="20"/>
                <w:color w:val="auto"/>
              </w:rPr>
            </w:pPr>
            <w:r>
              <w:rPr>
                <w:rFonts w:ascii="Times New Roman" w:cs="Times New Roman" w:eastAsia="Times New Roman" w:hAnsi="Times New Roman"/>
                <w:sz w:val="15"/>
                <w:szCs w:val="15"/>
                <w:color w:val="231F20"/>
              </w:rPr>
              <w:t>12/18/2020</w:t>
            </w:r>
          </w:p>
        </w:tc>
        <w:tc>
          <w:tcPr>
            <w:tcW w:w="1160" w:type="dxa"/>
            <w:vAlign w:val="bottom"/>
            <w:shd w:val="clear" w:color="auto" w:fill="D0EBF2"/>
          </w:tcPr>
          <w:p>
            <w:pPr>
              <w:spacing w:after="0"/>
              <w:rPr>
                <w:sz w:val="14"/>
                <w:szCs w:val="14"/>
                <w:color w:val="auto"/>
              </w:rPr>
            </w:pPr>
          </w:p>
        </w:tc>
        <w:tc>
          <w:tcPr>
            <w:tcW w:w="900" w:type="dxa"/>
            <w:vAlign w:val="bottom"/>
            <w:shd w:val="clear" w:color="auto" w:fill="D0EBF2"/>
          </w:tcPr>
          <w:p>
            <w:pPr>
              <w:spacing w:after="0"/>
              <w:rPr>
                <w:sz w:val="14"/>
                <w:szCs w:val="14"/>
                <w:color w:val="auto"/>
              </w:rPr>
            </w:pPr>
          </w:p>
        </w:tc>
        <w:tc>
          <w:tcPr>
            <w:tcW w:w="1000" w:type="dxa"/>
            <w:vAlign w:val="bottom"/>
            <w:shd w:val="clear" w:color="auto" w:fill="D0EBF2"/>
          </w:tcPr>
          <w:p>
            <w:pPr>
              <w:jc w:val="right"/>
              <w:spacing w:after="0" w:line="172" w:lineRule="exact"/>
              <w:rPr>
                <w:sz w:val="20"/>
                <w:szCs w:val="20"/>
                <w:color w:val="auto"/>
              </w:rPr>
            </w:pPr>
            <w:r>
              <w:rPr>
                <w:rFonts w:ascii="Times New Roman" w:cs="Times New Roman" w:eastAsia="Times New Roman" w:hAnsi="Times New Roman"/>
                <w:sz w:val="15"/>
                <w:szCs w:val="15"/>
                <w:color w:val="231F20"/>
              </w:rPr>
              <w:t>1,347</w:t>
            </w:r>
          </w:p>
        </w:tc>
        <w:tc>
          <w:tcPr>
            <w:tcW w:w="1680" w:type="dxa"/>
            <w:vAlign w:val="bottom"/>
            <w:gridSpan w:val="2"/>
            <w:shd w:val="clear" w:color="auto" w:fill="D0EBF2"/>
          </w:tcPr>
          <w:p>
            <w:pPr>
              <w:jc w:val="right"/>
              <w:spacing w:after="0" w:line="172" w:lineRule="exact"/>
              <w:rPr>
                <w:sz w:val="20"/>
                <w:szCs w:val="20"/>
                <w:color w:val="auto"/>
              </w:rPr>
            </w:pPr>
            <w:r>
              <w:rPr>
                <w:rFonts w:ascii="Times New Roman" w:cs="Times New Roman" w:eastAsia="Times New Roman" w:hAnsi="Times New Roman"/>
                <w:sz w:val="15"/>
                <w:szCs w:val="15"/>
                <w:color w:val="231F20"/>
              </w:rPr>
              <w:t>2,148</w:t>
            </w:r>
          </w:p>
        </w:tc>
        <w:tc>
          <w:tcPr>
            <w:tcW w:w="960" w:type="dxa"/>
            <w:vAlign w:val="bottom"/>
            <w:gridSpan w:val="2"/>
            <w:shd w:val="clear" w:color="auto" w:fill="D0EBF2"/>
          </w:tcPr>
          <w:p>
            <w:pPr>
              <w:jc w:val="right"/>
              <w:spacing w:after="0" w:line="172" w:lineRule="exact"/>
              <w:rPr>
                <w:sz w:val="20"/>
                <w:szCs w:val="20"/>
                <w:color w:val="auto"/>
              </w:rPr>
            </w:pPr>
            <w:r>
              <w:rPr>
                <w:rFonts w:ascii="Times New Roman" w:cs="Times New Roman" w:eastAsia="Times New Roman" w:hAnsi="Times New Roman"/>
                <w:sz w:val="15"/>
                <w:szCs w:val="15"/>
                <w:color w:val="231F20"/>
              </w:rPr>
              <w:t>0.1%</w:t>
            </w:r>
          </w:p>
        </w:tc>
      </w:tr>
      <w:tr>
        <w:trPr>
          <w:trHeight w:val="189"/>
        </w:trPr>
        <w:tc>
          <w:tcPr>
            <w:tcW w:w="1580" w:type="dxa"/>
            <w:vAlign w:val="bottom"/>
            <w:shd w:val="clear" w:color="auto" w:fill="D0EBF2"/>
          </w:tcPr>
          <w:p>
            <w:pPr>
              <w:spacing w:after="0" w:line="190" w:lineRule="exact"/>
              <w:rPr>
                <w:sz w:val="20"/>
                <w:szCs w:val="20"/>
                <w:color w:val="auto"/>
              </w:rPr>
            </w:pPr>
            <w:r>
              <w:rPr>
                <w:rFonts w:ascii="Times New Roman" w:cs="Times New Roman" w:eastAsia="Times New Roman" w:hAnsi="Times New Roman"/>
                <w:sz w:val="21"/>
                <w:szCs w:val="21"/>
                <w:color w:val="231F20"/>
                <w:vertAlign w:val="subscript"/>
              </w:rPr>
              <w:t>LLC</w:t>
            </w:r>
            <w:r>
              <w:rPr>
                <w:rFonts w:ascii="Times New Roman" w:cs="Times New Roman" w:eastAsia="Times New Roman" w:hAnsi="Times New Roman"/>
                <w:sz w:val="8"/>
                <w:szCs w:val="8"/>
                <w:color w:val="231F20"/>
              </w:rPr>
              <w:t xml:space="preserve"> (11)</w:t>
            </w:r>
          </w:p>
        </w:tc>
        <w:tc>
          <w:tcPr>
            <w:tcW w:w="2200" w:type="dxa"/>
            <w:vAlign w:val="bottom"/>
            <w:shd w:val="clear" w:color="auto" w:fill="D0EBF2"/>
          </w:tcPr>
          <w:p>
            <w:pPr>
              <w:spacing w:after="0"/>
              <w:rPr>
                <w:sz w:val="16"/>
                <w:szCs w:val="16"/>
                <w:color w:val="auto"/>
              </w:rPr>
            </w:pPr>
          </w:p>
        </w:tc>
        <w:tc>
          <w:tcPr>
            <w:tcW w:w="800" w:type="dxa"/>
            <w:vAlign w:val="bottom"/>
            <w:shd w:val="clear" w:color="auto" w:fill="D0EBF2"/>
          </w:tcPr>
          <w:p>
            <w:pPr>
              <w:spacing w:after="0"/>
              <w:rPr>
                <w:sz w:val="16"/>
                <w:szCs w:val="16"/>
                <w:color w:val="auto"/>
              </w:rPr>
            </w:pPr>
          </w:p>
        </w:tc>
        <w:tc>
          <w:tcPr>
            <w:tcW w:w="1160" w:type="dxa"/>
            <w:vAlign w:val="bottom"/>
            <w:shd w:val="clear" w:color="auto" w:fill="D0EBF2"/>
          </w:tcPr>
          <w:p>
            <w:pPr>
              <w:spacing w:after="0"/>
              <w:rPr>
                <w:sz w:val="16"/>
                <w:szCs w:val="16"/>
                <w:color w:val="auto"/>
              </w:rPr>
            </w:pPr>
          </w:p>
        </w:tc>
        <w:tc>
          <w:tcPr>
            <w:tcW w:w="900" w:type="dxa"/>
            <w:vAlign w:val="bottom"/>
            <w:shd w:val="clear" w:color="auto" w:fill="D0EBF2"/>
          </w:tcPr>
          <w:p>
            <w:pPr>
              <w:spacing w:after="0"/>
              <w:rPr>
                <w:sz w:val="16"/>
                <w:szCs w:val="16"/>
                <w:color w:val="auto"/>
              </w:rPr>
            </w:pPr>
          </w:p>
        </w:tc>
        <w:tc>
          <w:tcPr>
            <w:tcW w:w="1000" w:type="dxa"/>
            <w:vAlign w:val="bottom"/>
            <w:shd w:val="clear" w:color="auto" w:fill="D0EBF2"/>
          </w:tcPr>
          <w:p>
            <w:pPr>
              <w:spacing w:after="0"/>
              <w:rPr>
                <w:sz w:val="16"/>
                <w:szCs w:val="16"/>
                <w:color w:val="auto"/>
              </w:rPr>
            </w:pPr>
          </w:p>
        </w:tc>
        <w:tc>
          <w:tcPr>
            <w:tcW w:w="80" w:type="dxa"/>
            <w:vAlign w:val="bottom"/>
            <w:shd w:val="clear" w:color="auto" w:fill="D0EBF2"/>
          </w:tcPr>
          <w:p>
            <w:pPr>
              <w:spacing w:after="0"/>
              <w:rPr>
                <w:sz w:val="16"/>
                <w:szCs w:val="16"/>
                <w:color w:val="auto"/>
              </w:rPr>
            </w:pPr>
          </w:p>
        </w:tc>
        <w:tc>
          <w:tcPr>
            <w:tcW w:w="1600" w:type="dxa"/>
            <w:vAlign w:val="bottom"/>
            <w:shd w:val="clear" w:color="auto" w:fill="D0EBF2"/>
          </w:tcPr>
          <w:p>
            <w:pPr>
              <w:spacing w:after="0"/>
              <w:rPr>
                <w:sz w:val="16"/>
                <w:szCs w:val="16"/>
                <w:color w:val="auto"/>
              </w:rPr>
            </w:pPr>
          </w:p>
        </w:tc>
        <w:tc>
          <w:tcPr>
            <w:tcW w:w="100" w:type="dxa"/>
            <w:vAlign w:val="bottom"/>
            <w:shd w:val="clear" w:color="auto" w:fill="D0EBF2"/>
          </w:tcPr>
          <w:p>
            <w:pPr>
              <w:spacing w:after="0"/>
              <w:rPr>
                <w:sz w:val="16"/>
                <w:szCs w:val="16"/>
                <w:color w:val="auto"/>
              </w:rPr>
            </w:pPr>
          </w:p>
        </w:tc>
        <w:tc>
          <w:tcPr>
            <w:tcW w:w="860" w:type="dxa"/>
            <w:vAlign w:val="bottom"/>
            <w:shd w:val="clear" w:color="auto" w:fill="D0EBF2"/>
          </w:tcPr>
          <w:p>
            <w:pPr>
              <w:spacing w:after="0"/>
              <w:rPr>
                <w:sz w:val="16"/>
                <w:szCs w:val="16"/>
                <w:color w:val="auto"/>
              </w:rPr>
            </w:pPr>
          </w:p>
        </w:tc>
      </w:tr>
      <w:tr>
        <w:trPr>
          <w:trHeight w:val="171"/>
        </w:trPr>
        <w:tc>
          <w:tcPr>
            <w:tcW w:w="1580" w:type="dxa"/>
            <w:vAlign w:val="bottom"/>
            <w:shd w:val="clear" w:color="auto" w:fill="FDFDFC"/>
          </w:tcPr>
          <w:p>
            <w:pPr>
              <w:spacing w:after="0" w:line="172" w:lineRule="exact"/>
              <w:rPr>
                <w:sz w:val="20"/>
                <w:szCs w:val="20"/>
                <w:color w:val="auto"/>
              </w:rPr>
            </w:pPr>
            <w:r>
              <w:rPr>
                <w:rFonts w:ascii="Times New Roman" w:cs="Times New Roman" w:eastAsia="Times New Roman" w:hAnsi="Times New Roman"/>
                <w:sz w:val="15"/>
                <w:szCs w:val="15"/>
                <w:color w:val="231F20"/>
              </w:rPr>
              <w:t>Employment Hero</w:t>
            </w:r>
          </w:p>
        </w:tc>
        <w:tc>
          <w:tcPr>
            <w:tcW w:w="2200" w:type="dxa"/>
            <w:vAlign w:val="bottom"/>
            <w:shd w:val="clear" w:color="auto" w:fill="FDFDFC"/>
          </w:tcPr>
          <w:p>
            <w:pPr>
              <w:ind w:left="60"/>
              <w:spacing w:after="0" w:line="172" w:lineRule="exact"/>
              <w:rPr>
                <w:sz w:val="20"/>
                <w:szCs w:val="20"/>
                <w:color w:val="auto"/>
              </w:rPr>
            </w:pPr>
            <w:r>
              <w:rPr>
                <w:rFonts w:ascii="Times New Roman" w:cs="Times New Roman" w:eastAsia="Times New Roman" w:hAnsi="Times New Roman"/>
                <w:sz w:val="15"/>
                <w:szCs w:val="15"/>
                <w:color w:val="231F20"/>
              </w:rPr>
              <w:t>Series E Preferred Shares</w:t>
            </w:r>
          </w:p>
        </w:tc>
        <w:tc>
          <w:tcPr>
            <w:tcW w:w="800" w:type="dxa"/>
            <w:vAlign w:val="bottom"/>
            <w:shd w:val="clear" w:color="auto" w:fill="FDFDFC"/>
          </w:tcPr>
          <w:p>
            <w:pPr>
              <w:jc w:val="right"/>
              <w:spacing w:after="0" w:line="172" w:lineRule="exact"/>
              <w:rPr>
                <w:sz w:val="20"/>
                <w:szCs w:val="20"/>
                <w:color w:val="auto"/>
              </w:rPr>
            </w:pPr>
            <w:r>
              <w:rPr>
                <w:rFonts w:ascii="Times New Roman" w:cs="Times New Roman" w:eastAsia="Times New Roman" w:hAnsi="Times New Roman"/>
                <w:sz w:val="15"/>
                <w:szCs w:val="15"/>
                <w:color w:val="231F20"/>
              </w:rPr>
              <w:t>3/1/2022</w:t>
            </w:r>
          </w:p>
        </w:tc>
        <w:tc>
          <w:tcPr>
            <w:tcW w:w="1160" w:type="dxa"/>
            <w:vAlign w:val="bottom"/>
            <w:shd w:val="clear" w:color="auto" w:fill="FDFDFC"/>
          </w:tcPr>
          <w:p>
            <w:pPr>
              <w:spacing w:after="0"/>
              <w:rPr>
                <w:sz w:val="14"/>
                <w:szCs w:val="14"/>
                <w:color w:val="auto"/>
              </w:rPr>
            </w:pPr>
          </w:p>
        </w:tc>
        <w:tc>
          <w:tcPr>
            <w:tcW w:w="900" w:type="dxa"/>
            <w:vAlign w:val="bottom"/>
            <w:shd w:val="clear" w:color="auto" w:fill="FDFDFC"/>
          </w:tcPr>
          <w:p>
            <w:pPr>
              <w:spacing w:after="0"/>
              <w:rPr>
                <w:sz w:val="14"/>
                <w:szCs w:val="14"/>
                <w:color w:val="auto"/>
              </w:rPr>
            </w:pPr>
          </w:p>
        </w:tc>
        <w:tc>
          <w:tcPr>
            <w:tcW w:w="1000" w:type="dxa"/>
            <w:vAlign w:val="bottom"/>
            <w:shd w:val="clear" w:color="auto" w:fill="FDFDFC"/>
          </w:tcPr>
          <w:p>
            <w:pPr>
              <w:jc w:val="right"/>
              <w:spacing w:after="0" w:line="172" w:lineRule="exact"/>
              <w:rPr>
                <w:sz w:val="20"/>
                <w:szCs w:val="20"/>
                <w:color w:val="auto"/>
              </w:rPr>
            </w:pPr>
            <w:r>
              <w:rPr>
                <w:rFonts w:ascii="Times New Roman" w:cs="Times New Roman" w:eastAsia="Times New Roman" w:hAnsi="Times New Roman"/>
                <w:sz w:val="15"/>
                <w:szCs w:val="15"/>
                <w:color w:val="231F20"/>
              </w:rPr>
              <w:t>2,134</w:t>
            </w:r>
          </w:p>
        </w:tc>
        <w:tc>
          <w:tcPr>
            <w:tcW w:w="1680" w:type="dxa"/>
            <w:vAlign w:val="bottom"/>
            <w:gridSpan w:val="2"/>
            <w:shd w:val="clear" w:color="auto" w:fill="FDFDFC"/>
          </w:tcPr>
          <w:p>
            <w:pPr>
              <w:jc w:val="right"/>
              <w:spacing w:after="0" w:line="172" w:lineRule="exact"/>
              <w:rPr>
                <w:sz w:val="20"/>
                <w:szCs w:val="20"/>
                <w:color w:val="auto"/>
              </w:rPr>
            </w:pPr>
            <w:r>
              <w:rPr>
                <w:rFonts w:ascii="Times New Roman" w:cs="Times New Roman" w:eastAsia="Times New Roman" w:hAnsi="Times New Roman"/>
                <w:sz w:val="15"/>
                <w:szCs w:val="15"/>
                <w:color w:val="231F20"/>
              </w:rPr>
              <w:t>2,819</w:t>
            </w:r>
          </w:p>
        </w:tc>
        <w:tc>
          <w:tcPr>
            <w:tcW w:w="960" w:type="dxa"/>
            <w:vAlign w:val="bottom"/>
            <w:gridSpan w:val="2"/>
            <w:shd w:val="clear" w:color="auto" w:fill="FDFDFC"/>
          </w:tcPr>
          <w:p>
            <w:pPr>
              <w:jc w:val="right"/>
              <w:spacing w:after="0" w:line="172" w:lineRule="exact"/>
              <w:rPr>
                <w:sz w:val="20"/>
                <w:szCs w:val="20"/>
                <w:color w:val="auto"/>
              </w:rPr>
            </w:pPr>
            <w:r>
              <w:rPr>
                <w:rFonts w:ascii="Times New Roman" w:cs="Times New Roman" w:eastAsia="Times New Roman" w:hAnsi="Times New Roman"/>
                <w:sz w:val="15"/>
                <w:szCs w:val="15"/>
                <w:color w:val="231F20"/>
              </w:rPr>
              <w:t>0.2%</w:t>
            </w:r>
          </w:p>
        </w:tc>
      </w:tr>
      <w:tr>
        <w:trPr>
          <w:trHeight w:val="189"/>
        </w:trPr>
        <w:tc>
          <w:tcPr>
            <w:tcW w:w="1580" w:type="dxa"/>
            <w:vAlign w:val="bottom"/>
            <w:tcBorders>
              <w:bottom w:val="single" w:sz="8" w:color="D0EBF2"/>
            </w:tcBorders>
            <w:shd w:val="clear" w:color="auto" w:fill="FDFDFC"/>
          </w:tcPr>
          <w:p>
            <w:pPr>
              <w:spacing w:after="0"/>
              <w:rPr>
                <w:sz w:val="20"/>
                <w:szCs w:val="20"/>
                <w:color w:val="auto"/>
              </w:rPr>
            </w:pPr>
            <w:r>
              <w:rPr>
                <w:rFonts w:ascii="Times New Roman" w:cs="Times New Roman" w:eastAsia="Times New Roman" w:hAnsi="Times New Roman"/>
                <w:sz w:val="15"/>
                <w:szCs w:val="15"/>
                <w:color w:val="231F20"/>
              </w:rPr>
              <w:t xml:space="preserve">Holdings Pty Ltd. </w:t>
            </w:r>
            <w:r>
              <w:rPr>
                <w:rFonts w:ascii="Times New Roman" w:cs="Times New Roman" w:eastAsia="Times New Roman" w:hAnsi="Times New Roman"/>
                <w:sz w:val="9"/>
                <w:szCs w:val="9"/>
                <w:color w:val="231F20"/>
              </w:rPr>
              <w:t>(4)(11)</w:t>
            </w:r>
          </w:p>
        </w:tc>
        <w:tc>
          <w:tcPr>
            <w:tcW w:w="2200" w:type="dxa"/>
            <w:vAlign w:val="bottom"/>
            <w:tcBorders>
              <w:bottom w:val="single" w:sz="8" w:color="D0EBF2"/>
            </w:tcBorders>
            <w:shd w:val="clear" w:color="auto" w:fill="FDFDFC"/>
          </w:tcPr>
          <w:p>
            <w:pPr>
              <w:ind w:left="60"/>
              <w:spacing w:after="0"/>
              <w:rPr>
                <w:sz w:val="20"/>
                <w:szCs w:val="20"/>
                <w:color w:val="auto"/>
              </w:rPr>
            </w:pPr>
            <w:r>
              <w:rPr>
                <w:rFonts w:ascii="Times New Roman" w:cs="Times New Roman" w:eastAsia="Times New Roman" w:hAnsi="Times New Roman"/>
                <w:sz w:val="15"/>
                <w:szCs w:val="15"/>
                <w:color w:val="231F20"/>
              </w:rPr>
              <w:t>(113,250 shares)</w:t>
            </w:r>
          </w:p>
        </w:tc>
        <w:tc>
          <w:tcPr>
            <w:tcW w:w="800" w:type="dxa"/>
            <w:vAlign w:val="bottom"/>
            <w:tcBorders>
              <w:bottom w:val="single" w:sz="8" w:color="D0EBF2"/>
            </w:tcBorders>
            <w:shd w:val="clear" w:color="auto" w:fill="FDFDFC"/>
          </w:tcPr>
          <w:p>
            <w:pPr>
              <w:spacing w:after="0"/>
              <w:rPr>
                <w:sz w:val="16"/>
                <w:szCs w:val="16"/>
                <w:color w:val="auto"/>
              </w:rPr>
            </w:pPr>
          </w:p>
        </w:tc>
        <w:tc>
          <w:tcPr>
            <w:tcW w:w="1160" w:type="dxa"/>
            <w:vAlign w:val="bottom"/>
            <w:tcBorders>
              <w:bottom w:val="single" w:sz="8" w:color="D0EBF2"/>
            </w:tcBorders>
            <w:shd w:val="clear" w:color="auto" w:fill="FDFDFC"/>
          </w:tcPr>
          <w:p>
            <w:pPr>
              <w:spacing w:after="0"/>
              <w:rPr>
                <w:sz w:val="16"/>
                <w:szCs w:val="16"/>
                <w:color w:val="auto"/>
              </w:rPr>
            </w:pPr>
          </w:p>
        </w:tc>
        <w:tc>
          <w:tcPr>
            <w:tcW w:w="900" w:type="dxa"/>
            <w:vAlign w:val="bottom"/>
            <w:tcBorders>
              <w:bottom w:val="single" w:sz="8" w:color="D0EBF2"/>
            </w:tcBorders>
            <w:shd w:val="clear" w:color="auto" w:fill="FDFDFC"/>
          </w:tcPr>
          <w:p>
            <w:pPr>
              <w:spacing w:after="0"/>
              <w:rPr>
                <w:sz w:val="16"/>
                <w:szCs w:val="16"/>
                <w:color w:val="auto"/>
              </w:rPr>
            </w:pPr>
          </w:p>
        </w:tc>
        <w:tc>
          <w:tcPr>
            <w:tcW w:w="1000" w:type="dxa"/>
            <w:vAlign w:val="bottom"/>
            <w:tcBorders>
              <w:bottom w:val="single" w:sz="8" w:color="231F20"/>
            </w:tcBorders>
            <w:shd w:val="clear" w:color="auto" w:fill="FDFDFC"/>
          </w:tcPr>
          <w:p>
            <w:pPr>
              <w:spacing w:after="0"/>
              <w:rPr>
                <w:sz w:val="16"/>
                <w:szCs w:val="16"/>
                <w:color w:val="auto"/>
              </w:rPr>
            </w:pPr>
          </w:p>
        </w:tc>
        <w:tc>
          <w:tcPr>
            <w:tcW w:w="80" w:type="dxa"/>
            <w:vAlign w:val="bottom"/>
            <w:tcBorders>
              <w:bottom w:val="single" w:sz="8" w:color="D0EBF2"/>
            </w:tcBorders>
            <w:shd w:val="clear" w:color="auto" w:fill="FDFDFC"/>
          </w:tcPr>
          <w:p>
            <w:pPr>
              <w:spacing w:after="0"/>
              <w:rPr>
                <w:sz w:val="16"/>
                <w:szCs w:val="16"/>
                <w:color w:val="auto"/>
              </w:rPr>
            </w:pPr>
          </w:p>
        </w:tc>
        <w:tc>
          <w:tcPr>
            <w:tcW w:w="1600" w:type="dxa"/>
            <w:vAlign w:val="bottom"/>
            <w:tcBorders>
              <w:bottom w:val="single" w:sz="8" w:color="231F20"/>
            </w:tcBorders>
            <w:shd w:val="clear" w:color="auto" w:fill="FDFDFC"/>
          </w:tcPr>
          <w:p>
            <w:pPr>
              <w:jc w:val="right"/>
              <w:spacing w:after="0"/>
              <w:rPr>
                <w:sz w:val="20"/>
                <w:szCs w:val="20"/>
                <w:color w:val="auto"/>
              </w:rPr>
            </w:pPr>
            <w:r>
              <w:rPr>
                <w:rFonts w:ascii="Times New Roman" w:cs="Times New Roman" w:eastAsia="Times New Roman" w:hAnsi="Times New Roman"/>
                <w:sz w:val="15"/>
                <w:szCs w:val="15"/>
                <w:color w:val="231F20"/>
              </w:rPr>
              <w:t>(AUD 4,552)</w:t>
            </w:r>
          </w:p>
        </w:tc>
        <w:tc>
          <w:tcPr>
            <w:tcW w:w="100" w:type="dxa"/>
            <w:vAlign w:val="bottom"/>
            <w:tcBorders>
              <w:bottom w:val="single" w:sz="8" w:color="D0EBF2"/>
            </w:tcBorders>
            <w:shd w:val="clear" w:color="auto" w:fill="FDFDFC"/>
          </w:tcPr>
          <w:p>
            <w:pPr>
              <w:spacing w:after="0"/>
              <w:rPr>
                <w:sz w:val="16"/>
                <w:szCs w:val="16"/>
                <w:color w:val="auto"/>
              </w:rPr>
            </w:pPr>
          </w:p>
        </w:tc>
        <w:tc>
          <w:tcPr>
            <w:tcW w:w="860" w:type="dxa"/>
            <w:vAlign w:val="bottom"/>
            <w:tcBorders>
              <w:bottom w:val="single" w:sz="8" w:color="231F20"/>
            </w:tcBorders>
            <w:shd w:val="clear" w:color="auto" w:fill="FDFDFC"/>
          </w:tcPr>
          <w:p>
            <w:pPr>
              <w:spacing w:after="0"/>
              <w:rPr>
                <w:sz w:val="16"/>
                <w:szCs w:val="16"/>
                <w:color w:val="auto"/>
              </w:rPr>
            </w:pPr>
          </w:p>
        </w:tc>
      </w:tr>
      <w:tr>
        <w:trPr>
          <w:trHeight w:val="201"/>
        </w:trPr>
        <w:tc>
          <w:tcPr>
            <w:tcW w:w="1580" w:type="dxa"/>
            <w:vAlign w:val="bottom"/>
            <w:tcBorders>
              <w:bottom w:val="single" w:sz="8" w:color="D0EBF2"/>
            </w:tcBorders>
            <w:shd w:val="clear" w:color="auto" w:fill="D0EBF2"/>
          </w:tcPr>
          <w:p>
            <w:pPr>
              <w:spacing w:after="0"/>
              <w:rPr>
                <w:sz w:val="17"/>
                <w:szCs w:val="17"/>
                <w:color w:val="auto"/>
              </w:rPr>
            </w:pPr>
          </w:p>
        </w:tc>
        <w:tc>
          <w:tcPr>
            <w:tcW w:w="2200" w:type="dxa"/>
            <w:vAlign w:val="bottom"/>
            <w:tcBorders>
              <w:bottom w:val="single" w:sz="8" w:color="D0EBF2"/>
            </w:tcBorders>
            <w:shd w:val="clear" w:color="auto" w:fill="D0EBF2"/>
          </w:tcPr>
          <w:p>
            <w:pPr>
              <w:spacing w:after="0"/>
              <w:rPr>
                <w:sz w:val="17"/>
                <w:szCs w:val="17"/>
                <w:color w:val="auto"/>
              </w:rPr>
            </w:pPr>
          </w:p>
        </w:tc>
        <w:tc>
          <w:tcPr>
            <w:tcW w:w="800" w:type="dxa"/>
            <w:vAlign w:val="bottom"/>
            <w:tcBorders>
              <w:bottom w:val="single" w:sz="8" w:color="D0EBF2"/>
            </w:tcBorders>
            <w:shd w:val="clear" w:color="auto" w:fill="D0EBF2"/>
          </w:tcPr>
          <w:p>
            <w:pPr>
              <w:spacing w:after="0"/>
              <w:rPr>
                <w:sz w:val="17"/>
                <w:szCs w:val="17"/>
                <w:color w:val="auto"/>
              </w:rPr>
            </w:pPr>
          </w:p>
        </w:tc>
        <w:tc>
          <w:tcPr>
            <w:tcW w:w="1160" w:type="dxa"/>
            <w:vAlign w:val="bottom"/>
            <w:tcBorders>
              <w:bottom w:val="single" w:sz="8" w:color="D0EBF2"/>
            </w:tcBorders>
            <w:shd w:val="clear" w:color="auto" w:fill="D0EBF2"/>
          </w:tcPr>
          <w:p>
            <w:pPr>
              <w:spacing w:after="0"/>
              <w:rPr>
                <w:sz w:val="17"/>
                <w:szCs w:val="17"/>
                <w:color w:val="auto"/>
              </w:rPr>
            </w:pPr>
          </w:p>
        </w:tc>
        <w:tc>
          <w:tcPr>
            <w:tcW w:w="900" w:type="dxa"/>
            <w:vAlign w:val="bottom"/>
            <w:tcBorders>
              <w:bottom w:val="single" w:sz="8" w:color="D0EBF2"/>
            </w:tcBorders>
            <w:shd w:val="clear" w:color="auto" w:fill="D0EBF2"/>
          </w:tcPr>
          <w:p>
            <w:pPr>
              <w:spacing w:after="0"/>
              <w:rPr>
                <w:sz w:val="17"/>
                <w:szCs w:val="17"/>
                <w:color w:val="auto"/>
              </w:rPr>
            </w:pPr>
          </w:p>
        </w:tc>
        <w:tc>
          <w:tcPr>
            <w:tcW w:w="1000" w:type="dxa"/>
            <w:vAlign w:val="bottom"/>
            <w:tcBorders>
              <w:bottom w:val="single" w:sz="8" w:color="231F20"/>
            </w:tcBorders>
            <w:shd w:val="clear" w:color="auto" w:fill="D0EBF2"/>
          </w:tcPr>
          <w:p>
            <w:pPr>
              <w:jc w:val="right"/>
              <w:spacing w:after="0"/>
              <w:rPr>
                <w:sz w:val="20"/>
                <w:szCs w:val="20"/>
                <w:color w:val="auto"/>
              </w:rPr>
            </w:pPr>
            <w:r>
              <w:rPr>
                <w:rFonts w:ascii="Times New Roman" w:cs="Times New Roman" w:eastAsia="Times New Roman" w:hAnsi="Times New Roman"/>
                <w:sz w:val="15"/>
                <w:szCs w:val="15"/>
                <w:color w:val="231F20"/>
              </w:rPr>
              <w:t>9,654</w:t>
            </w:r>
          </w:p>
        </w:tc>
        <w:tc>
          <w:tcPr>
            <w:tcW w:w="80" w:type="dxa"/>
            <w:vAlign w:val="bottom"/>
            <w:tcBorders>
              <w:bottom w:val="single" w:sz="8" w:color="D0EBF2"/>
            </w:tcBorders>
            <w:shd w:val="clear" w:color="auto" w:fill="D0EBF2"/>
          </w:tcPr>
          <w:p>
            <w:pPr>
              <w:spacing w:after="0"/>
              <w:rPr>
                <w:sz w:val="17"/>
                <w:szCs w:val="17"/>
                <w:color w:val="auto"/>
              </w:rPr>
            </w:pPr>
          </w:p>
        </w:tc>
        <w:tc>
          <w:tcPr>
            <w:tcW w:w="1600" w:type="dxa"/>
            <w:vAlign w:val="bottom"/>
            <w:tcBorders>
              <w:bottom w:val="single" w:sz="8" w:color="231F20"/>
            </w:tcBorders>
            <w:shd w:val="clear" w:color="auto" w:fill="D0EBF2"/>
          </w:tcPr>
          <w:p>
            <w:pPr>
              <w:jc w:val="right"/>
              <w:spacing w:after="0"/>
              <w:rPr>
                <w:sz w:val="20"/>
                <w:szCs w:val="20"/>
                <w:color w:val="auto"/>
              </w:rPr>
            </w:pPr>
            <w:r>
              <w:rPr>
                <w:rFonts w:ascii="Times New Roman" w:cs="Times New Roman" w:eastAsia="Times New Roman" w:hAnsi="Times New Roman"/>
                <w:sz w:val="15"/>
                <w:szCs w:val="15"/>
                <w:color w:val="231F20"/>
              </w:rPr>
              <w:t>14,877</w:t>
            </w:r>
          </w:p>
        </w:tc>
        <w:tc>
          <w:tcPr>
            <w:tcW w:w="100" w:type="dxa"/>
            <w:vAlign w:val="bottom"/>
            <w:tcBorders>
              <w:bottom w:val="single" w:sz="8" w:color="D0EBF2"/>
            </w:tcBorders>
            <w:shd w:val="clear" w:color="auto" w:fill="D0EBF2"/>
          </w:tcPr>
          <w:p>
            <w:pPr>
              <w:spacing w:after="0"/>
              <w:rPr>
                <w:sz w:val="17"/>
                <w:szCs w:val="17"/>
                <w:color w:val="auto"/>
              </w:rPr>
            </w:pPr>
          </w:p>
        </w:tc>
        <w:tc>
          <w:tcPr>
            <w:tcW w:w="860" w:type="dxa"/>
            <w:vAlign w:val="bottom"/>
            <w:tcBorders>
              <w:bottom w:val="single" w:sz="8" w:color="231F20"/>
            </w:tcBorders>
            <w:shd w:val="clear" w:color="auto" w:fill="D0EBF2"/>
          </w:tcPr>
          <w:p>
            <w:pPr>
              <w:jc w:val="right"/>
              <w:spacing w:after="0"/>
              <w:rPr>
                <w:sz w:val="20"/>
                <w:szCs w:val="20"/>
                <w:color w:val="auto"/>
              </w:rPr>
            </w:pPr>
            <w:r>
              <w:rPr>
                <w:rFonts w:ascii="Times New Roman" w:cs="Times New Roman" w:eastAsia="Times New Roman" w:hAnsi="Times New Roman"/>
                <w:sz w:val="15"/>
                <w:szCs w:val="15"/>
                <w:color w:val="231F20"/>
              </w:rPr>
              <w:t>0.9%</w:t>
            </w:r>
          </w:p>
        </w:tc>
      </w:tr>
      <w:tr>
        <w:trPr>
          <w:trHeight w:val="156"/>
        </w:trPr>
        <w:tc>
          <w:tcPr>
            <w:tcW w:w="1580" w:type="dxa"/>
            <w:vAlign w:val="bottom"/>
            <w:tcBorders>
              <w:top w:val="single" w:sz="8" w:color="FDFDFC"/>
            </w:tcBorders>
            <w:shd w:val="clear" w:color="auto" w:fill="FDFDFC"/>
          </w:tcPr>
          <w:p>
            <w:pPr>
              <w:spacing w:after="0" w:line="156" w:lineRule="exact"/>
              <w:rPr>
                <w:sz w:val="20"/>
                <w:szCs w:val="20"/>
                <w:color w:val="auto"/>
              </w:rPr>
            </w:pPr>
            <w:r>
              <w:rPr>
                <w:rFonts w:ascii="Times New Roman" w:cs="Times New Roman" w:eastAsia="Times New Roman" w:hAnsi="Times New Roman"/>
                <w:sz w:val="15"/>
                <w:szCs w:val="15"/>
                <w:b w:val="1"/>
                <w:bCs w:val="1"/>
                <w:color w:val="231F20"/>
              </w:rPr>
              <w:t>Internet Services</w:t>
            </w:r>
          </w:p>
        </w:tc>
        <w:tc>
          <w:tcPr>
            <w:tcW w:w="2200" w:type="dxa"/>
            <w:vAlign w:val="bottom"/>
            <w:tcBorders>
              <w:top w:val="single" w:sz="8" w:color="FDFDFC"/>
            </w:tcBorders>
            <w:shd w:val="clear" w:color="auto" w:fill="FDFDFC"/>
          </w:tcPr>
          <w:p>
            <w:pPr>
              <w:spacing w:after="0"/>
              <w:rPr>
                <w:sz w:val="13"/>
                <w:szCs w:val="13"/>
                <w:color w:val="auto"/>
              </w:rPr>
            </w:pPr>
          </w:p>
        </w:tc>
        <w:tc>
          <w:tcPr>
            <w:tcW w:w="800" w:type="dxa"/>
            <w:vAlign w:val="bottom"/>
            <w:tcBorders>
              <w:top w:val="single" w:sz="8" w:color="FDFDFC"/>
            </w:tcBorders>
            <w:shd w:val="clear" w:color="auto" w:fill="FDFDFC"/>
          </w:tcPr>
          <w:p>
            <w:pPr>
              <w:spacing w:after="0"/>
              <w:rPr>
                <w:sz w:val="13"/>
                <w:szCs w:val="13"/>
                <w:color w:val="auto"/>
              </w:rPr>
            </w:pPr>
          </w:p>
        </w:tc>
        <w:tc>
          <w:tcPr>
            <w:tcW w:w="1160" w:type="dxa"/>
            <w:vAlign w:val="bottom"/>
            <w:tcBorders>
              <w:top w:val="single" w:sz="8" w:color="FDFDFC"/>
            </w:tcBorders>
            <w:shd w:val="clear" w:color="auto" w:fill="FDFDFC"/>
          </w:tcPr>
          <w:p>
            <w:pPr>
              <w:spacing w:after="0"/>
              <w:rPr>
                <w:sz w:val="13"/>
                <w:szCs w:val="13"/>
                <w:color w:val="auto"/>
              </w:rPr>
            </w:pPr>
          </w:p>
        </w:tc>
        <w:tc>
          <w:tcPr>
            <w:tcW w:w="900" w:type="dxa"/>
            <w:vAlign w:val="bottom"/>
            <w:tcBorders>
              <w:top w:val="single" w:sz="8" w:color="FDFDFC"/>
            </w:tcBorders>
            <w:shd w:val="clear" w:color="auto" w:fill="FDFDFC"/>
          </w:tcPr>
          <w:p>
            <w:pPr>
              <w:spacing w:after="0"/>
              <w:rPr>
                <w:sz w:val="13"/>
                <w:szCs w:val="13"/>
                <w:color w:val="auto"/>
              </w:rPr>
            </w:pPr>
          </w:p>
        </w:tc>
        <w:tc>
          <w:tcPr>
            <w:tcW w:w="1000" w:type="dxa"/>
            <w:vAlign w:val="bottom"/>
            <w:tcBorders>
              <w:top w:val="single" w:sz="8" w:color="231F20"/>
            </w:tcBorders>
            <w:shd w:val="clear" w:color="auto" w:fill="FDFDFC"/>
          </w:tcPr>
          <w:p>
            <w:pPr>
              <w:spacing w:after="0"/>
              <w:rPr>
                <w:sz w:val="13"/>
                <w:szCs w:val="13"/>
                <w:color w:val="auto"/>
              </w:rPr>
            </w:pPr>
          </w:p>
        </w:tc>
        <w:tc>
          <w:tcPr>
            <w:tcW w:w="80" w:type="dxa"/>
            <w:vAlign w:val="bottom"/>
            <w:tcBorders>
              <w:top w:val="single" w:sz="8" w:color="FDFDFC"/>
            </w:tcBorders>
            <w:shd w:val="clear" w:color="auto" w:fill="FDFDFC"/>
          </w:tcPr>
          <w:p>
            <w:pPr>
              <w:spacing w:after="0"/>
              <w:rPr>
                <w:sz w:val="13"/>
                <w:szCs w:val="13"/>
                <w:color w:val="auto"/>
              </w:rPr>
            </w:pPr>
          </w:p>
        </w:tc>
        <w:tc>
          <w:tcPr>
            <w:tcW w:w="1600" w:type="dxa"/>
            <w:vAlign w:val="bottom"/>
            <w:tcBorders>
              <w:top w:val="single" w:sz="8" w:color="231F20"/>
            </w:tcBorders>
            <w:shd w:val="clear" w:color="auto" w:fill="FDFDFC"/>
          </w:tcPr>
          <w:p>
            <w:pPr>
              <w:spacing w:after="0"/>
              <w:rPr>
                <w:sz w:val="13"/>
                <w:szCs w:val="13"/>
                <w:color w:val="auto"/>
              </w:rPr>
            </w:pPr>
          </w:p>
        </w:tc>
        <w:tc>
          <w:tcPr>
            <w:tcW w:w="100" w:type="dxa"/>
            <w:vAlign w:val="bottom"/>
            <w:tcBorders>
              <w:top w:val="single" w:sz="8" w:color="FDFDFC"/>
            </w:tcBorders>
            <w:shd w:val="clear" w:color="auto" w:fill="FDFDFC"/>
          </w:tcPr>
          <w:p>
            <w:pPr>
              <w:spacing w:after="0"/>
              <w:rPr>
                <w:sz w:val="13"/>
                <w:szCs w:val="13"/>
                <w:color w:val="auto"/>
              </w:rPr>
            </w:pPr>
          </w:p>
        </w:tc>
        <w:tc>
          <w:tcPr>
            <w:tcW w:w="860" w:type="dxa"/>
            <w:vAlign w:val="bottom"/>
            <w:tcBorders>
              <w:top w:val="single" w:sz="8" w:color="231F20"/>
            </w:tcBorders>
            <w:shd w:val="clear" w:color="auto" w:fill="FDFDFC"/>
          </w:tcPr>
          <w:p>
            <w:pPr>
              <w:spacing w:after="0"/>
              <w:rPr>
                <w:sz w:val="13"/>
                <w:szCs w:val="13"/>
                <w:color w:val="auto"/>
              </w:rPr>
            </w:pPr>
          </w:p>
        </w:tc>
      </w:tr>
      <w:tr>
        <w:trPr>
          <w:trHeight w:val="171"/>
        </w:trPr>
        <w:tc>
          <w:tcPr>
            <w:tcW w:w="1580" w:type="dxa"/>
            <w:vAlign w:val="bottom"/>
            <w:shd w:val="clear" w:color="auto" w:fill="D0EBF2"/>
          </w:tcPr>
          <w:p>
            <w:pPr>
              <w:spacing w:after="0" w:line="172" w:lineRule="exact"/>
              <w:rPr>
                <w:sz w:val="20"/>
                <w:szCs w:val="20"/>
                <w:color w:val="auto"/>
              </w:rPr>
            </w:pPr>
            <w:r>
              <w:rPr>
                <w:rFonts w:ascii="Times New Roman" w:cs="Times New Roman" w:eastAsia="Times New Roman" w:hAnsi="Times New Roman"/>
                <w:sz w:val="15"/>
                <w:szCs w:val="15"/>
                <w:color w:val="231F20"/>
              </w:rPr>
              <w:t>Bayshore Intermediate</w:t>
            </w:r>
          </w:p>
        </w:tc>
        <w:tc>
          <w:tcPr>
            <w:tcW w:w="2200" w:type="dxa"/>
            <w:vAlign w:val="bottom"/>
            <w:shd w:val="clear" w:color="auto" w:fill="D0EBF2"/>
          </w:tcPr>
          <w:p>
            <w:pPr>
              <w:ind w:left="60"/>
              <w:spacing w:after="0" w:line="172" w:lineRule="exact"/>
              <w:rPr>
                <w:sz w:val="20"/>
                <w:szCs w:val="20"/>
                <w:color w:val="auto"/>
              </w:rPr>
            </w:pPr>
            <w:r>
              <w:rPr>
                <w:rFonts w:ascii="Times New Roman" w:cs="Times New Roman" w:eastAsia="Times New Roman" w:hAnsi="Times New Roman"/>
                <w:sz w:val="15"/>
                <w:szCs w:val="15"/>
                <w:color w:val="231F20"/>
              </w:rPr>
              <w:t>Co-Invest Common Units</w:t>
            </w:r>
          </w:p>
        </w:tc>
        <w:tc>
          <w:tcPr>
            <w:tcW w:w="800" w:type="dxa"/>
            <w:vAlign w:val="bottom"/>
            <w:shd w:val="clear" w:color="auto" w:fill="D0EBF2"/>
          </w:tcPr>
          <w:p>
            <w:pPr>
              <w:jc w:val="right"/>
              <w:spacing w:after="0" w:line="172" w:lineRule="exact"/>
              <w:rPr>
                <w:sz w:val="20"/>
                <w:szCs w:val="20"/>
                <w:color w:val="auto"/>
              </w:rPr>
            </w:pPr>
            <w:r>
              <w:rPr>
                <w:rFonts w:ascii="Times New Roman" w:cs="Times New Roman" w:eastAsia="Times New Roman" w:hAnsi="Times New Roman"/>
                <w:sz w:val="15"/>
                <w:szCs w:val="15"/>
                <w:color w:val="231F20"/>
              </w:rPr>
              <w:t>10/1/2021</w:t>
            </w:r>
          </w:p>
        </w:tc>
        <w:tc>
          <w:tcPr>
            <w:tcW w:w="1160" w:type="dxa"/>
            <w:vAlign w:val="bottom"/>
            <w:shd w:val="clear" w:color="auto" w:fill="D0EBF2"/>
          </w:tcPr>
          <w:p>
            <w:pPr>
              <w:spacing w:after="0"/>
              <w:rPr>
                <w:sz w:val="14"/>
                <w:szCs w:val="14"/>
                <w:color w:val="auto"/>
              </w:rPr>
            </w:pPr>
          </w:p>
        </w:tc>
        <w:tc>
          <w:tcPr>
            <w:tcW w:w="900" w:type="dxa"/>
            <w:vAlign w:val="bottom"/>
            <w:shd w:val="clear" w:color="auto" w:fill="D0EBF2"/>
          </w:tcPr>
          <w:p>
            <w:pPr>
              <w:spacing w:after="0"/>
              <w:rPr>
                <w:sz w:val="14"/>
                <w:szCs w:val="14"/>
                <w:color w:val="auto"/>
              </w:rPr>
            </w:pPr>
          </w:p>
        </w:tc>
        <w:tc>
          <w:tcPr>
            <w:tcW w:w="1000" w:type="dxa"/>
            <w:vAlign w:val="bottom"/>
            <w:shd w:val="clear" w:color="auto" w:fill="D0EBF2"/>
          </w:tcPr>
          <w:p>
            <w:pPr>
              <w:jc w:val="right"/>
              <w:spacing w:after="0" w:line="172" w:lineRule="exact"/>
              <w:rPr>
                <w:sz w:val="20"/>
                <w:szCs w:val="20"/>
                <w:color w:val="auto"/>
              </w:rPr>
            </w:pPr>
            <w:r>
              <w:rPr>
                <w:rFonts w:ascii="Times New Roman" w:cs="Times New Roman" w:eastAsia="Times New Roman" w:hAnsi="Times New Roman"/>
                <w:sz w:val="15"/>
                <w:szCs w:val="15"/>
                <w:color w:val="231F20"/>
              </w:rPr>
              <w:t>8,837</w:t>
            </w:r>
          </w:p>
        </w:tc>
        <w:tc>
          <w:tcPr>
            <w:tcW w:w="80" w:type="dxa"/>
            <w:vAlign w:val="bottom"/>
            <w:shd w:val="clear" w:color="auto" w:fill="D0EBF2"/>
          </w:tcPr>
          <w:p>
            <w:pPr>
              <w:spacing w:after="0"/>
              <w:rPr>
                <w:sz w:val="14"/>
                <w:szCs w:val="14"/>
                <w:color w:val="auto"/>
              </w:rPr>
            </w:pPr>
          </w:p>
        </w:tc>
        <w:tc>
          <w:tcPr>
            <w:tcW w:w="1600" w:type="dxa"/>
            <w:vAlign w:val="bottom"/>
            <w:shd w:val="clear" w:color="auto" w:fill="D0EBF2"/>
          </w:tcPr>
          <w:p>
            <w:pPr>
              <w:jc w:val="right"/>
              <w:spacing w:after="0" w:line="172" w:lineRule="exact"/>
              <w:rPr>
                <w:sz w:val="20"/>
                <w:szCs w:val="20"/>
                <w:color w:val="auto"/>
              </w:rPr>
            </w:pPr>
            <w:r>
              <w:rPr>
                <w:rFonts w:ascii="Times New Roman" w:cs="Times New Roman" w:eastAsia="Times New Roman" w:hAnsi="Times New Roman"/>
                <w:sz w:val="15"/>
                <w:szCs w:val="15"/>
                <w:color w:val="231F20"/>
              </w:rPr>
              <w:t>10,870</w:t>
            </w:r>
          </w:p>
        </w:tc>
        <w:tc>
          <w:tcPr>
            <w:tcW w:w="100" w:type="dxa"/>
            <w:vAlign w:val="bottom"/>
            <w:shd w:val="clear" w:color="auto" w:fill="D0EBF2"/>
          </w:tcPr>
          <w:p>
            <w:pPr>
              <w:spacing w:after="0"/>
              <w:rPr>
                <w:sz w:val="14"/>
                <w:szCs w:val="14"/>
                <w:color w:val="auto"/>
              </w:rPr>
            </w:pPr>
          </w:p>
        </w:tc>
        <w:tc>
          <w:tcPr>
            <w:tcW w:w="860" w:type="dxa"/>
            <w:vAlign w:val="bottom"/>
            <w:shd w:val="clear" w:color="auto" w:fill="D0EBF2"/>
          </w:tcPr>
          <w:p>
            <w:pPr>
              <w:jc w:val="right"/>
              <w:spacing w:after="0" w:line="172" w:lineRule="exact"/>
              <w:rPr>
                <w:sz w:val="20"/>
                <w:szCs w:val="20"/>
                <w:color w:val="auto"/>
              </w:rPr>
            </w:pPr>
            <w:r>
              <w:rPr>
                <w:rFonts w:ascii="Times New Roman" w:cs="Times New Roman" w:eastAsia="Times New Roman" w:hAnsi="Times New Roman"/>
                <w:sz w:val="15"/>
                <w:szCs w:val="15"/>
                <w:color w:val="231F20"/>
              </w:rPr>
              <w:t>0.7%</w:t>
            </w:r>
          </w:p>
        </w:tc>
      </w:tr>
      <w:tr>
        <w:trPr>
          <w:trHeight w:val="189"/>
        </w:trPr>
        <w:tc>
          <w:tcPr>
            <w:tcW w:w="1580" w:type="dxa"/>
            <w:vAlign w:val="bottom"/>
            <w:shd w:val="clear" w:color="auto" w:fill="D0EBF2"/>
          </w:tcPr>
          <w:p>
            <w:pPr>
              <w:spacing w:after="0" w:line="190" w:lineRule="exact"/>
              <w:rPr>
                <w:sz w:val="20"/>
                <w:szCs w:val="20"/>
                <w:color w:val="auto"/>
              </w:rPr>
            </w:pPr>
            <w:r>
              <w:rPr>
                <w:rFonts w:ascii="Times New Roman" w:cs="Times New Roman" w:eastAsia="Times New Roman" w:hAnsi="Times New Roman"/>
                <w:sz w:val="21"/>
                <w:szCs w:val="21"/>
                <w:color w:val="231F20"/>
                <w:vertAlign w:val="subscript"/>
              </w:rPr>
              <w:t>#2, L.P.</w:t>
            </w:r>
            <w:r>
              <w:rPr>
                <w:rFonts w:ascii="Times New Roman" w:cs="Times New Roman" w:eastAsia="Times New Roman" w:hAnsi="Times New Roman"/>
                <w:sz w:val="8"/>
                <w:szCs w:val="8"/>
                <w:color w:val="231F20"/>
              </w:rPr>
              <w:t xml:space="preserve"> (11)(13)</w:t>
            </w:r>
          </w:p>
        </w:tc>
        <w:tc>
          <w:tcPr>
            <w:tcW w:w="2200" w:type="dxa"/>
            <w:vAlign w:val="bottom"/>
            <w:shd w:val="clear" w:color="auto" w:fill="D0EBF2"/>
          </w:tcPr>
          <w:p>
            <w:pPr>
              <w:ind w:left="60"/>
              <w:spacing w:after="0"/>
              <w:rPr>
                <w:sz w:val="20"/>
                <w:szCs w:val="20"/>
                <w:color w:val="auto"/>
              </w:rPr>
            </w:pPr>
            <w:r>
              <w:rPr>
                <w:rFonts w:ascii="Times New Roman" w:cs="Times New Roman" w:eastAsia="Times New Roman" w:hAnsi="Times New Roman"/>
                <w:sz w:val="15"/>
                <w:szCs w:val="15"/>
                <w:color w:val="231F20"/>
              </w:rPr>
              <w:t>(8,837,008 units)</w:t>
            </w:r>
          </w:p>
        </w:tc>
        <w:tc>
          <w:tcPr>
            <w:tcW w:w="800" w:type="dxa"/>
            <w:vAlign w:val="bottom"/>
            <w:shd w:val="clear" w:color="auto" w:fill="D0EBF2"/>
          </w:tcPr>
          <w:p>
            <w:pPr>
              <w:spacing w:after="0"/>
              <w:rPr>
                <w:sz w:val="16"/>
                <w:szCs w:val="16"/>
                <w:color w:val="auto"/>
              </w:rPr>
            </w:pPr>
          </w:p>
        </w:tc>
        <w:tc>
          <w:tcPr>
            <w:tcW w:w="1160" w:type="dxa"/>
            <w:vAlign w:val="bottom"/>
            <w:shd w:val="clear" w:color="auto" w:fill="D0EBF2"/>
          </w:tcPr>
          <w:p>
            <w:pPr>
              <w:spacing w:after="0"/>
              <w:rPr>
                <w:sz w:val="16"/>
                <w:szCs w:val="16"/>
                <w:color w:val="auto"/>
              </w:rPr>
            </w:pPr>
          </w:p>
        </w:tc>
        <w:tc>
          <w:tcPr>
            <w:tcW w:w="900" w:type="dxa"/>
            <w:vAlign w:val="bottom"/>
            <w:shd w:val="clear" w:color="auto" w:fill="D0EBF2"/>
          </w:tcPr>
          <w:p>
            <w:pPr>
              <w:spacing w:after="0"/>
              <w:rPr>
                <w:sz w:val="16"/>
                <w:szCs w:val="16"/>
                <w:color w:val="auto"/>
              </w:rPr>
            </w:pPr>
          </w:p>
        </w:tc>
        <w:tc>
          <w:tcPr>
            <w:tcW w:w="1000" w:type="dxa"/>
            <w:vAlign w:val="bottom"/>
            <w:shd w:val="clear" w:color="auto" w:fill="D0EBF2"/>
          </w:tcPr>
          <w:p>
            <w:pPr>
              <w:spacing w:after="0"/>
              <w:rPr>
                <w:sz w:val="16"/>
                <w:szCs w:val="16"/>
                <w:color w:val="auto"/>
              </w:rPr>
            </w:pPr>
          </w:p>
        </w:tc>
        <w:tc>
          <w:tcPr>
            <w:tcW w:w="80" w:type="dxa"/>
            <w:vAlign w:val="bottom"/>
            <w:shd w:val="clear" w:color="auto" w:fill="D0EBF2"/>
          </w:tcPr>
          <w:p>
            <w:pPr>
              <w:spacing w:after="0"/>
              <w:rPr>
                <w:sz w:val="16"/>
                <w:szCs w:val="16"/>
                <w:color w:val="auto"/>
              </w:rPr>
            </w:pPr>
          </w:p>
        </w:tc>
        <w:tc>
          <w:tcPr>
            <w:tcW w:w="1600" w:type="dxa"/>
            <w:vAlign w:val="bottom"/>
            <w:shd w:val="clear" w:color="auto" w:fill="D0EBF2"/>
          </w:tcPr>
          <w:p>
            <w:pPr>
              <w:spacing w:after="0"/>
              <w:rPr>
                <w:sz w:val="16"/>
                <w:szCs w:val="16"/>
                <w:color w:val="auto"/>
              </w:rPr>
            </w:pPr>
          </w:p>
        </w:tc>
        <w:tc>
          <w:tcPr>
            <w:tcW w:w="100" w:type="dxa"/>
            <w:vAlign w:val="bottom"/>
            <w:shd w:val="clear" w:color="auto" w:fill="D0EBF2"/>
          </w:tcPr>
          <w:p>
            <w:pPr>
              <w:spacing w:after="0"/>
              <w:rPr>
                <w:sz w:val="16"/>
                <w:szCs w:val="16"/>
                <w:color w:val="auto"/>
              </w:rPr>
            </w:pPr>
          </w:p>
        </w:tc>
        <w:tc>
          <w:tcPr>
            <w:tcW w:w="860" w:type="dxa"/>
            <w:vAlign w:val="bottom"/>
            <w:shd w:val="clear" w:color="auto" w:fill="D0EBF2"/>
          </w:tcPr>
          <w:p>
            <w:pPr>
              <w:spacing w:after="0"/>
              <w:rPr>
                <w:sz w:val="16"/>
                <w:szCs w:val="16"/>
                <w:color w:val="auto"/>
              </w:rPr>
            </w:pPr>
          </w:p>
        </w:tc>
      </w:tr>
      <w:tr>
        <w:trPr>
          <w:trHeight w:val="171"/>
        </w:trPr>
        <w:tc>
          <w:tcPr>
            <w:tcW w:w="1580" w:type="dxa"/>
            <w:vAlign w:val="bottom"/>
            <w:shd w:val="clear" w:color="auto" w:fill="FDFDFC"/>
          </w:tcPr>
          <w:p>
            <w:pPr>
              <w:spacing w:after="0"/>
              <w:rPr>
                <w:sz w:val="14"/>
                <w:szCs w:val="14"/>
                <w:color w:val="auto"/>
              </w:rPr>
            </w:pPr>
          </w:p>
        </w:tc>
        <w:tc>
          <w:tcPr>
            <w:tcW w:w="2200" w:type="dxa"/>
            <w:vAlign w:val="bottom"/>
            <w:shd w:val="clear" w:color="auto" w:fill="FDFDFC"/>
          </w:tcPr>
          <w:p>
            <w:pPr>
              <w:ind w:left="60"/>
              <w:spacing w:after="0" w:line="172" w:lineRule="exact"/>
              <w:rPr>
                <w:sz w:val="20"/>
                <w:szCs w:val="20"/>
                <w:color w:val="auto"/>
              </w:rPr>
            </w:pPr>
            <w:r>
              <w:rPr>
                <w:rFonts w:ascii="Times New Roman" w:cs="Times New Roman" w:eastAsia="Times New Roman" w:hAnsi="Times New Roman"/>
                <w:sz w:val="15"/>
                <w:szCs w:val="15"/>
                <w:color w:val="231F20"/>
              </w:rPr>
              <w:t>Co-Invest 2 Common Units</w:t>
            </w:r>
          </w:p>
        </w:tc>
        <w:tc>
          <w:tcPr>
            <w:tcW w:w="800" w:type="dxa"/>
            <w:vAlign w:val="bottom"/>
            <w:shd w:val="clear" w:color="auto" w:fill="FDFDFC"/>
          </w:tcPr>
          <w:p>
            <w:pPr>
              <w:jc w:val="right"/>
              <w:spacing w:after="0" w:line="172" w:lineRule="exact"/>
              <w:rPr>
                <w:sz w:val="20"/>
                <w:szCs w:val="20"/>
                <w:color w:val="auto"/>
              </w:rPr>
            </w:pPr>
            <w:r>
              <w:rPr>
                <w:rFonts w:ascii="Times New Roman" w:cs="Times New Roman" w:eastAsia="Times New Roman" w:hAnsi="Times New Roman"/>
                <w:sz w:val="15"/>
                <w:szCs w:val="15"/>
                <w:color w:val="231F20"/>
              </w:rPr>
              <w:t>10/1/2021</w:t>
            </w:r>
          </w:p>
        </w:tc>
        <w:tc>
          <w:tcPr>
            <w:tcW w:w="1160" w:type="dxa"/>
            <w:vAlign w:val="bottom"/>
            <w:shd w:val="clear" w:color="auto" w:fill="FDFDFC"/>
          </w:tcPr>
          <w:p>
            <w:pPr>
              <w:spacing w:after="0"/>
              <w:rPr>
                <w:sz w:val="14"/>
                <w:szCs w:val="14"/>
                <w:color w:val="auto"/>
              </w:rPr>
            </w:pPr>
          </w:p>
        </w:tc>
        <w:tc>
          <w:tcPr>
            <w:tcW w:w="900" w:type="dxa"/>
            <w:vAlign w:val="bottom"/>
            <w:shd w:val="clear" w:color="auto" w:fill="FDFDFC"/>
          </w:tcPr>
          <w:p>
            <w:pPr>
              <w:spacing w:after="0"/>
              <w:rPr>
                <w:sz w:val="14"/>
                <w:szCs w:val="14"/>
                <w:color w:val="auto"/>
              </w:rPr>
            </w:pPr>
          </w:p>
        </w:tc>
        <w:tc>
          <w:tcPr>
            <w:tcW w:w="1000" w:type="dxa"/>
            <w:vAlign w:val="bottom"/>
            <w:shd w:val="clear" w:color="auto" w:fill="FDFDFC"/>
          </w:tcPr>
          <w:p>
            <w:pPr>
              <w:jc w:val="right"/>
              <w:spacing w:after="0" w:line="172" w:lineRule="exact"/>
              <w:rPr>
                <w:sz w:val="20"/>
                <w:szCs w:val="20"/>
                <w:color w:val="auto"/>
              </w:rPr>
            </w:pPr>
            <w:r>
              <w:rPr>
                <w:rFonts w:ascii="Times New Roman" w:cs="Times New Roman" w:eastAsia="Times New Roman" w:hAnsi="Times New Roman"/>
                <w:sz w:val="15"/>
                <w:szCs w:val="15"/>
                <w:color w:val="231F20"/>
              </w:rPr>
              <w:t>3,494</w:t>
            </w:r>
          </w:p>
        </w:tc>
        <w:tc>
          <w:tcPr>
            <w:tcW w:w="1680" w:type="dxa"/>
            <w:vAlign w:val="bottom"/>
            <w:gridSpan w:val="2"/>
            <w:shd w:val="clear" w:color="auto" w:fill="FDFDFC"/>
          </w:tcPr>
          <w:p>
            <w:pPr>
              <w:jc w:val="right"/>
              <w:spacing w:after="0" w:line="172" w:lineRule="exact"/>
              <w:rPr>
                <w:sz w:val="20"/>
                <w:szCs w:val="20"/>
                <w:color w:val="auto"/>
              </w:rPr>
            </w:pPr>
            <w:r>
              <w:rPr>
                <w:rFonts w:ascii="Times New Roman" w:cs="Times New Roman" w:eastAsia="Times New Roman" w:hAnsi="Times New Roman"/>
                <w:sz w:val="15"/>
                <w:szCs w:val="15"/>
                <w:color w:val="231F20"/>
              </w:rPr>
              <w:t>4,297</w:t>
            </w:r>
          </w:p>
        </w:tc>
        <w:tc>
          <w:tcPr>
            <w:tcW w:w="960" w:type="dxa"/>
            <w:vAlign w:val="bottom"/>
            <w:gridSpan w:val="2"/>
            <w:shd w:val="clear" w:color="auto" w:fill="FDFDFC"/>
          </w:tcPr>
          <w:p>
            <w:pPr>
              <w:jc w:val="right"/>
              <w:spacing w:after="0" w:line="172" w:lineRule="exact"/>
              <w:rPr>
                <w:sz w:val="20"/>
                <w:szCs w:val="20"/>
                <w:color w:val="auto"/>
              </w:rPr>
            </w:pPr>
            <w:r>
              <w:rPr>
                <w:rFonts w:ascii="Times New Roman" w:cs="Times New Roman" w:eastAsia="Times New Roman" w:hAnsi="Times New Roman"/>
                <w:sz w:val="15"/>
                <w:szCs w:val="15"/>
                <w:color w:val="231F20"/>
              </w:rPr>
              <w:t>0.4%</w:t>
            </w:r>
          </w:p>
        </w:tc>
      </w:tr>
      <w:tr>
        <w:trPr>
          <w:trHeight w:val="189"/>
        </w:trPr>
        <w:tc>
          <w:tcPr>
            <w:tcW w:w="1580" w:type="dxa"/>
            <w:vAlign w:val="bottom"/>
            <w:shd w:val="clear" w:color="auto" w:fill="FDFDFC"/>
          </w:tcPr>
          <w:p>
            <w:pPr>
              <w:spacing w:after="0"/>
              <w:rPr>
                <w:sz w:val="16"/>
                <w:szCs w:val="16"/>
                <w:color w:val="auto"/>
              </w:rPr>
            </w:pPr>
          </w:p>
        </w:tc>
        <w:tc>
          <w:tcPr>
            <w:tcW w:w="2200" w:type="dxa"/>
            <w:vAlign w:val="bottom"/>
            <w:shd w:val="clear" w:color="auto" w:fill="FDFDFC"/>
          </w:tcPr>
          <w:p>
            <w:pPr>
              <w:ind w:left="60"/>
              <w:spacing w:after="0"/>
              <w:rPr>
                <w:sz w:val="20"/>
                <w:szCs w:val="20"/>
                <w:color w:val="auto"/>
              </w:rPr>
            </w:pPr>
            <w:r>
              <w:rPr>
                <w:rFonts w:ascii="Times New Roman" w:cs="Times New Roman" w:eastAsia="Times New Roman" w:hAnsi="Times New Roman"/>
                <w:sz w:val="15"/>
                <w:szCs w:val="15"/>
                <w:color w:val="231F20"/>
              </w:rPr>
              <w:t>(3,493,701 units)</w:t>
            </w:r>
          </w:p>
        </w:tc>
        <w:tc>
          <w:tcPr>
            <w:tcW w:w="800" w:type="dxa"/>
            <w:vAlign w:val="bottom"/>
            <w:shd w:val="clear" w:color="auto" w:fill="FDFDFC"/>
          </w:tcPr>
          <w:p>
            <w:pPr>
              <w:spacing w:after="0"/>
              <w:rPr>
                <w:sz w:val="16"/>
                <w:szCs w:val="16"/>
                <w:color w:val="auto"/>
              </w:rPr>
            </w:pPr>
          </w:p>
        </w:tc>
        <w:tc>
          <w:tcPr>
            <w:tcW w:w="1160" w:type="dxa"/>
            <w:vAlign w:val="bottom"/>
            <w:shd w:val="clear" w:color="auto" w:fill="FDFDFC"/>
          </w:tcPr>
          <w:p>
            <w:pPr>
              <w:spacing w:after="0"/>
              <w:rPr>
                <w:sz w:val="16"/>
                <w:szCs w:val="16"/>
                <w:color w:val="auto"/>
              </w:rPr>
            </w:pPr>
          </w:p>
        </w:tc>
        <w:tc>
          <w:tcPr>
            <w:tcW w:w="900" w:type="dxa"/>
            <w:vAlign w:val="bottom"/>
            <w:shd w:val="clear" w:color="auto" w:fill="FDFDFC"/>
          </w:tcPr>
          <w:p>
            <w:pPr>
              <w:spacing w:after="0"/>
              <w:rPr>
                <w:sz w:val="16"/>
                <w:szCs w:val="16"/>
                <w:color w:val="auto"/>
              </w:rPr>
            </w:pPr>
          </w:p>
        </w:tc>
        <w:tc>
          <w:tcPr>
            <w:tcW w:w="1000" w:type="dxa"/>
            <w:vAlign w:val="bottom"/>
            <w:shd w:val="clear" w:color="auto" w:fill="FDFDFC"/>
          </w:tcPr>
          <w:p>
            <w:pPr>
              <w:spacing w:after="0"/>
              <w:rPr>
                <w:sz w:val="16"/>
                <w:szCs w:val="16"/>
                <w:color w:val="auto"/>
              </w:rPr>
            </w:pPr>
          </w:p>
        </w:tc>
        <w:tc>
          <w:tcPr>
            <w:tcW w:w="80" w:type="dxa"/>
            <w:vAlign w:val="bottom"/>
            <w:shd w:val="clear" w:color="auto" w:fill="FDFDFC"/>
          </w:tcPr>
          <w:p>
            <w:pPr>
              <w:spacing w:after="0"/>
              <w:rPr>
                <w:sz w:val="16"/>
                <w:szCs w:val="16"/>
                <w:color w:val="auto"/>
              </w:rPr>
            </w:pPr>
          </w:p>
        </w:tc>
        <w:tc>
          <w:tcPr>
            <w:tcW w:w="1600" w:type="dxa"/>
            <w:vAlign w:val="bottom"/>
            <w:shd w:val="clear" w:color="auto" w:fill="FDFDFC"/>
          </w:tcPr>
          <w:p>
            <w:pPr>
              <w:spacing w:after="0"/>
              <w:rPr>
                <w:sz w:val="16"/>
                <w:szCs w:val="16"/>
                <w:color w:val="auto"/>
              </w:rPr>
            </w:pPr>
          </w:p>
        </w:tc>
        <w:tc>
          <w:tcPr>
            <w:tcW w:w="100" w:type="dxa"/>
            <w:vAlign w:val="bottom"/>
            <w:shd w:val="clear" w:color="auto" w:fill="FDFDFC"/>
          </w:tcPr>
          <w:p>
            <w:pPr>
              <w:spacing w:after="0"/>
              <w:rPr>
                <w:sz w:val="16"/>
                <w:szCs w:val="16"/>
                <w:color w:val="auto"/>
              </w:rPr>
            </w:pPr>
          </w:p>
        </w:tc>
        <w:tc>
          <w:tcPr>
            <w:tcW w:w="860" w:type="dxa"/>
            <w:vAlign w:val="bottom"/>
            <w:shd w:val="clear" w:color="auto" w:fill="FDFDFC"/>
          </w:tcPr>
          <w:p>
            <w:pPr>
              <w:spacing w:after="0"/>
              <w:rPr>
                <w:sz w:val="16"/>
                <w:szCs w:val="16"/>
                <w:color w:val="auto"/>
              </w:rPr>
            </w:pPr>
          </w:p>
        </w:tc>
      </w:tr>
      <w:tr>
        <w:trPr>
          <w:trHeight w:val="171"/>
        </w:trPr>
        <w:tc>
          <w:tcPr>
            <w:tcW w:w="1580" w:type="dxa"/>
            <w:vAlign w:val="bottom"/>
            <w:shd w:val="clear" w:color="auto" w:fill="D0EBF2"/>
          </w:tcPr>
          <w:p>
            <w:pPr>
              <w:spacing w:after="0" w:line="172" w:lineRule="exact"/>
              <w:rPr>
                <w:sz w:val="20"/>
                <w:szCs w:val="20"/>
                <w:color w:val="auto"/>
              </w:rPr>
            </w:pPr>
            <w:r>
              <w:rPr>
                <w:rFonts w:ascii="Times New Roman" w:cs="Times New Roman" w:eastAsia="Times New Roman" w:hAnsi="Times New Roman"/>
                <w:sz w:val="15"/>
                <w:szCs w:val="15"/>
                <w:color w:val="231F20"/>
              </w:rPr>
              <w:t xml:space="preserve">Lucidworks, Inc. </w:t>
            </w:r>
            <w:r>
              <w:rPr>
                <w:rFonts w:ascii="Times New Roman" w:cs="Times New Roman" w:eastAsia="Times New Roman" w:hAnsi="Times New Roman"/>
                <w:sz w:val="9"/>
                <w:szCs w:val="9"/>
                <w:color w:val="231F20"/>
              </w:rPr>
              <w:t>(11)</w:t>
            </w:r>
          </w:p>
        </w:tc>
        <w:tc>
          <w:tcPr>
            <w:tcW w:w="2200" w:type="dxa"/>
            <w:vAlign w:val="bottom"/>
            <w:shd w:val="clear" w:color="auto" w:fill="D0EBF2"/>
          </w:tcPr>
          <w:p>
            <w:pPr>
              <w:ind w:left="60"/>
              <w:spacing w:after="0" w:line="172" w:lineRule="exact"/>
              <w:rPr>
                <w:sz w:val="20"/>
                <w:szCs w:val="20"/>
                <w:color w:val="auto"/>
              </w:rPr>
            </w:pPr>
            <w:r>
              <w:rPr>
                <w:rFonts w:ascii="Times New Roman" w:cs="Times New Roman" w:eastAsia="Times New Roman" w:hAnsi="Times New Roman"/>
                <w:sz w:val="15"/>
                <w:szCs w:val="15"/>
                <w:color w:val="231F20"/>
              </w:rPr>
              <w:t>Series F Preferred Shares</w:t>
            </w:r>
          </w:p>
        </w:tc>
        <w:tc>
          <w:tcPr>
            <w:tcW w:w="800" w:type="dxa"/>
            <w:vAlign w:val="bottom"/>
            <w:shd w:val="clear" w:color="auto" w:fill="D0EBF2"/>
          </w:tcPr>
          <w:p>
            <w:pPr>
              <w:jc w:val="right"/>
              <w:spacing w:after="0" w:line="172" w:lineRule="exact"/>
              <w:rPr>
                <w:sz w:val="20"/>
                <w:szCs w:val="20"/>
                <w:color w:val="auto"/>
              </w:rPr>
            </w:pPr>
            <w:r>
              <w:rPr>
                <w:rFonts w:ascii="Times New Roman" w:cs="Times New Roman" w:eastAsia="Times New Roman" w:hAnsi="Times New Roman"/>
                <w:sz w:val="15"/>
                <w:szCs w:val="15"/>
                <w:color w:val="231F20"/>
              </w:rPr>
              <w:t>8/2/2019</w:t>
            </w:r>
          </w:p>
        </w:tc>
        <w:tc>
          <w:tcPr>
            <w:tcW w:w="1160" w:type="dxa"/>
            <w:vAlign w:val="bottom"/>
            <w:shd w:val="clear" w:color="auto" w:fill="D0EBF2"/>
          </w:tcPr>
          <w:p>
            <w:pPr>
              <w:spacing w:after="0"/>
              <w:rPr>
                <w:sz w:val="14"/>
                <w:szCs w:val="14"/>
                <w:color w:val="auto"/>
              </w:rPr>
            </w:pPr>
          </w:p>
        </w:tc>
        <w:tc>
          <w:tcPr>
            <w:tcW w:w="900" w:type="dxa"/>
            <w:vAlign w:val="bottom"/>
            <w:shd w:val="clear" w:color="auto" w:fill="D0EBF2"/>
          </w:tcPr>
          <w:p>
            <w:pPr>
              <w:spacing w:after="0"/>
              <w:rPr>
                <w:sz w:val="14"/>
                <w:szCs w:val="14"/>
                <w:color w:val="auto"/>
              </w:rPr>
            </w:pPr>
          </w:p>
        </w:tc>
        <w:tc>
          <w:tcPr>
            <w:tcW w:w="1000" w:type="dxa"/>
            <w:vAlign w:val="bottom"/>
            <w:shd w:val="clear" w:color="auto" w:fill="D0EBF2"/>
          </w:tcPr>
          <w:p>
            <w:pPr>
              <w:jc w:val="right"/>
              <w:spacing w:after="0" w:line="172" w:lineRule="exact"/>
              <w:rPr>
                <w:sz w:val="20"/>
                <w:szCs w:val="20"/>
                <w:color w:val="auto"/>
              </w:rPr>
            </w:pPr>
            <w:r>
              <w:rPr>
                <w:rFonts w:ascii="Times New Roman" w:cs="Times New Roman" w:eastAsia="Times New Roman" w:hAnsi="Times New Roman"/>
                <w:sz w:val="15"/>
                <w:szCs w:val="15"/>
                <w:color w:val="231F20"/>
              </w:rPr>
              <w:t>800</w:t>
            </w:r>
          </w:p>
        </w:tc>
        <w:tc>
          <w:tcPr>
            <w:tcW w:w="1680" w:type="dxa"/>
            <w:vAlign w:val="bottom"/>
            <w:gridSpan w:val="2"/>
            <w:shd w:val="clear" w:color="auto" w:fill="D0EBF2"/>
          </w:tcPr>
          <w:p>
            <w:pPr>
              <w:jc w:val="right"/>
              <w:spacing w:after="0" w:line="172" w:lineRule="exact"/>
              <w:rPr>
                <w:sz w:val="20"/>
                <w:szCs w:val="20"/>
                <w:color w:val="auto"/>
              </w:rPr>
            </w:pPr>
            <w:r>
              <w:rPr>
                <w:rFonts w:ascii="Times New Roman" w:cs="Times New Roman" w:eastAsia="Times New Roman" w:hAnsi="Times New Roman"/>
                <w:sz w:val="15"/>
                <w:szCs w:val="15"/>
                <w:color w:val="231F20"/>
              </w:rPr>
              <w:t>776</w:t>
            </w:r>
          </w:p>
        </w:tc>
        <w:tc>
          <w:tcPr>
            <w:tcW w:w="960" w:type="dxa"/>
            <w:vAlign w:val="bottom"/>
            <w:gridSpan w:val="2"/>
            <w:shd w:val="clear" w:color="auto" w:fill="D0EBF2"/>
          </w:tcPr>
          <w:p>
            <w:pPr>
              <w:jc w:val="right"/>
              <w:spacing w:after="0" w:line="172" w:lineRule="exact"/>
              <w:rPr>
                <w:sz w:val="20"/>
                <w:szCs w:val="20"/>
                <w:color w:val="auto"/>
              </w:rPr>
            </w:pPr>
            <w:r>
              <w:rPr>
                <w:rFonts w:ascii="Times New Roman" w:cs="Times New Roman" w:eastAsia="Times New Roman" w:hAnsi="Times New Roman"/>
                <w:sz w:val="15"/>
                <w:szCs w:val="15"/>
                <w:color w:val="231F20"/>
              </w:rPr>
              <w:t>0.0%</w:t>
            </w:r>
          </w:p>
        </w:tc>
      </w:tr>
      <w:tr>
        <w:trPr>
          <w:trHeight w:val="189"/>
        </w:trPr>
        <w:tc>
          <w:tcPr>
            <w:tcW w:w="1580" w:type="dxa"/>
            <w:vAlign w:val="bottom"/>
            <w:shd w:val="clear" w:color="auto" w:fill="D0EBF2"/>
          </w:tcPr>
          <w:p>
            <w:pPr>
              <w:spacing w:after="0"/>
              <w:rPr>
                <w:sz w:val="16"/>
                <w:szCs w:val="16"/>
                <w:color w:val="auto"/>
              </w:rPr>
            </w:pPr>
          </w:p>
        </w:tc>
        <w:tc>
          <w:tcPr>
            <w:tcW w:w="2200" w:type="dxa"/>
            <w:vAlign w:val="bottom"/>
            <w:shd w:val="clear" w:color="auto" w:fill="D0EBF2"/>
          </w:tcPr>
          <w:p>
            <w:pPr>
              <w:ind w:left="60"/>
              <w:spacing w:after="0"/>
              <w:rPr>
                <w:sz w:val="20"/>
                <w:szCs w:val="20"/>
                <w:color w:val="auto"/>
              </w:rPr>
            </w:pPr>
            <w:r>
              <w:rPr>
                <w:rFonts w:ascii="Times New Roman" w:cs="Times New Roman" w:eastAsia="Times New Roman" w:hAnsi="Times New Roman"/>
                <w:sz w:val="15"/>
                <w:szCs w:val="15"/>
                <w:color w:val="231F20"/>
              </w:rPr>
              <w:t>(199,054 shares)</w:t>
            </w:r>
          </w:p>
        </w:tc>
        <w:tc>
          <w:tcPr>
            <w:tcW w:w="800" w:type="dxa"/>
            <w:vAlign w:val="bottom"/>
            <w:shd w:val="clear" w:color="auto" w:fill="D0EBF2"/>
          </w:tcPr>
          <w:p>
            <w:pPr>
              <w:spacing w:after="0"/>
              <w:rPr>
                <w:sz w:val="16"/>
                <w:szCs w:val="16"/>
                <w:color w:val="auto"/>
              </w:rPr>
            </w:pPr>
          </w:p>
        </w:tc>
        <w:tc>
          <w:tcPr>
            <w:tcW w:w="1160" w:type="dxa"/>
            <w:vAlign w:val="bottom"/>
            <w:shd w:val="clear" w:color="auto" w:fill="D0EBF2"/>
          </w:tcPr>
          <w:p>
            <w:pPr>
              <w:spacing w:after="0"/>
              <w:rPr>
                <w:sz w:val="16"/>
                <w:szCs w:val="16"/>
                <w:color w:val="auto"/>
              </w:rPr>
            </w:pPr>
          </w:p>
        </w:tc>
        <w:tc>
          <w:tcPr>
            <w:tcW w:w="900" w:type="dxa"/>
            <w:vAlign w:val="bottom"/>
            <w:shd w:val="clear" w:color="auto" w:fill="D0EBF2"/>
          </w:tcPr>
          <w:p>
            <w:pPr>
              <w:spacing w:after="0"/>
              <w:rPr>
                <w:sz w:val="16"/>
                <w:szCs w:val="16"/>
                <w:color w:val="auto"/>
              </w:rPr>
            </w:pPr>
          </w:p>
        </w:tc>
        <w:tc>
          <w:tcPr>
            <w:tcW w:w="1000" w:type="dxa"/>
            <w:vAlign w:val="bottom"/>
            <w:shd w:val="clear" w:color="auto" w:fill="D0EBF2"/>
          </w:tcPr>
          <w:p>
            <w:pPr>
              <w:spacing w:after="0"/>
              <w:rPr>
                <w:sz w:val="16"/>
                <w:szCs w:val="16"/>
                <w:color w:val="auto"/>
              </w:rPr>
            </w:pPr>
          </w:p>
        </w:tc>
        <w:tc>
          <w:tcPr>
            <w:tcW w:w="80" w:type="dxa"/>
            <w:vAlign w:val="bottom"/>
            <w:shd w:val="clear" w:color="auto" w:fill="D0EBF2"/>
          </w:tcPr>
          <w:p>
            <w:pPr>
              <w:spacing w:after="0"/>
              <w:rPr>
                <w:sz w:val="16"/>
                <w:szCs w:val="16"/>
                <w:color w:val="auto"/>
              </w:rPr>
            </w:pPr>
          </w:p>
        </w:tc>
        <w:tc>
          <w:tcPr>
            <w:tcW w:w="1600" w:type="dxa"/>
            <w:vAlign w:val="bottom"/>
            <w:shd w:val="clear" w:color="auto" w:fill="D0EBF2"/>
          </w:tcPr>
          <w:p>
            <w:pPr>
              <w:spacing w:after="0"/>
              <w:rPr>
                <w:sz w:val="16"/>
                <w:szCs w:val="16"/>
                <w:color w:val="auto"/>
              </w:rPr>
            </w:pPr>
          </w:p>
        </w:tc>
        <w:tc>
          <w:tcPr>
            <w:tcW w:w="100" w:type="dxa"/>
            <w:vAlign w:val="bottom"/>
            <w:shd w:val="clear" w:color="auto" w:fill="D0EBF2"/>
          </w:tcPr>
          <w:p>
            <w:pPr>
              <w:spacing w:after="0"/>
              <w:rPr>
                <w:sz w:val="16"/>
                <w:szCs w:val="16"/>
                <w:color w:val="auto"/>
              </w:rPr>
            </w:pPr>
          </w:p>
        </w:tc>
        <w:tc>
          <w:tcPr>
            <w:tcW w:w="860" w:type="dxa"/>
            <w:vAlign w:val="bottom"/>
            <w:shd w:val="clear" w:color="auto" w:fill="D0EBF2"/>
          </w:tcPr>
          <w:p>
            <w:pPr>
              <w:spacing w:after="0"/>
              <w:rPr>
                <w:sz w:val="16"/>
                <w:szCs w:val="16"/>
                <w:color w:val="auto"/>
              </w:rPr>
            </w:pPr>
          </w:p>
        </w:tc>
      </w:tr>
      <w:tr>
        <w:trPr>
          <w:trHeight w:val="171"/>
        </w:trPr>
        <w:tc>
          <w:tcPr>
            <w:tcW w:w="1580" w:type="dxa"/>
            <w:vAlign w:val="bottom"/>
            <w:shd w:val="clear" w:color="auto" w:fill="FDFDFC"/>
          </w:tcPr>
          <w:p>
            <w:pPr>
              <w:spacing w:after="0" w:line="172" w:lineRule="exact"/>
              <w:rPr>
                <w:sz w:val="20"/>
                <w:szCs w:val="20"/>
                <w:color w:val="auto"/>
              </w:rPr>
            </w:pPr>
            <w:r>
              <w:rPr>
                <w:rFonts w:ascii="Times New Roman" w:cs="Times New Roman" w:eastAsia="Times New Roman" w:hAnsi="Times New Roman"/>
                <w:sz w:val="15"/>
                <w:szCs w:val="15"/>
                <w:color w:val="231F20"/>
              </w:rPr>
              <w:t xml:space="preserve">Piano Software, Inc. </w:t>
            </w:r>
            <w:r>
              <w:rPr>
                <w:rFonts w:ascii="Times New Roman" w:cs="Times New Roman" w:eastAsia="Times New Roman" w:hAnsi="Times New Roman"/>
                <w:sz w:val="9"/>
                <w:szCs w:val="9"/>
                <w:color w:val="231F20"/>
              </w:rPr>
              <w:t>(11)</w:t>
            </w:r>
          </w:p>
        </w:tc>
        <w:tc>
          <w:tcPr>
            <w:tcW w:w="2200" w:type="dxa"/>
            <w:vAlign w:val="bottom"/>
            <w:shd w:val="clear" w:color="auto" w:fill="FDFDFC"/>
          </w:tcPr>
          <w:p>
            <w:pPr>
              <w:ind w:left="60"/>
              <w:spacing w:after="0" w:line="172" w:lineRule="exact"/>
              <w:rPr>
                <w:sz w:val="20"/>
                <w:szCs w:val="20"/>
                <w:color w:val="auto"/>
              </w:rPr>
            </w:pPr>
            <w:r>
              <w:rPr>
                <w:rFonts w:ascii="Times New Roman" w:cs="Times New Roman" w:eastAsia="Times New Roman" w:hAnsi="Times New Roman"/>
                <w:sz w:val="15"/>
                <w:szCs w:val="15"/>
                <w:color w:val="231F20"/>
              </w:rPr>
              <w:t>Series C-1 Preferred Shares</w:t>
            </w:r>
          </w:p>
        </w:tc>
        <w:tc>
          <w:tcPr>
            <w:tcW w:w="800" w:type="dxa"/>
            <w:vAlign w:val="bottom"/>
            <w:shd w:val="clear" w:color="auto" w:fill="FDFDFC"/>
          </w:tcPr>
          <w:p>
            <w:pPr>
              <w:jc w:val="right"/>
              <w:spacing w:after="0" w:line="172" w:lineRule="exact"/>
              <w:rPr>
                <w:sz w:val="20"/>
                <w:szCs w:val="20"/>
                <w:color w:val="auto"/>
              </w:rPr>
            </w:pPr>
            <w:r>
              <w:rPr>
                <w:rFonts w:ascii="Times New Roman" w:cs="Times New Roman" w:eastAsia="Times New Roman" w:hAnsi="Times New Roman"/>
                <w:sz w:val="15"/>
                <w:szCs w:val="15"/>
                <w:color w:val="231F20"/>
              </w:rPr>
              <w:t>12/22/2021</w:t>
            </w:r>
          </w:p>
        </w:tc>
        <w:tc>
          <w:tcPr>
            <w:tcW w:w="1160" w:type="dxa"/>
            <w:vAlign w:val="bottom"/>
            <w:shd w:val="clear" w:color="auto" w:fill="FDFDFC"/>
          </w:tcPr>
          <w:p>
            <w:pPr>
              <w:spacing w:after="0"/>
              <w:rPr>
                <w:sz w:val="14"/>
                <w:szCs w:val="14"/>
                <w:color w:val="auto"/>
              </w:rPr>
            </w:pPr>
          </w:p>
        </w:tc>
        <w:tc>
          <w:tcPr>
            <w:tcW w:w="900" w:type="dxa"/>
            <w:vAlign w:val="bottom"/>
            <w:shd w:val="clear" w:color="auto" w:fill="FDFDFC"/>
          </w:tcPr>
          <w:p>
            <w:pPr>
              <w:spacing w:after="0"/>
              <w:rPr>
                <w:sz w:val="14"/>
                <w:szCs w:val="14"/>
                <w:color w:val="auto"/>
              </w:rPr>
            </w:pPr>
          </w:p>
        </w:tc>
        <w:tc>
          <w:tcPr>
            <w:tcW w:w="1000" w:type="dxa"/>
            <w:vAlign w:val="bottom"/>
            <w:shd w:val="clear" w:color="auto" w:fill="FDFDFC"/>
          </w:tcPr>
          <w:p>
            <w:pPr>
              <w:jc w:val="right"/>
              <w:spacing w:after="0" w:line="172" w:lineRule="exact"/>
              <w:rPr>
                <w:sz w:val="20"/>
                <w:szCs w:val="20"/>
                <w:color w:val="auto"/>
              </w:rPr>
            </w:pPr>
            <w:r>
              <w:rPr>
                <w:rFonts w:ascii="Times New Roman" w:cs="Times New Roman" w:eastAsia="Times New Roman" w:hAnsi="Times New Roman"/>
                <w:sz w:val="15"/>
                <w:szCs w:val="15"/>
                <w:color w:val="231F20"/>
              </w:rPr>
              <w:t>3,000</w:t>
            </w:r>
          </w:p>
        </w:tc>
        <w:tc>
          <w:tcPr>
            <w:tcW w:w="1680" w:type="dxa"/>
            <w:vAlign w:val="bottom"/>
            <w:gridSpan w:val="2"/>
            <w:shd w:val="clear" w:color="auto" w:fill="FDFDFC"/>
          </w:tcPr>
          <w:p>
            <w:pPr>
              <w:jc w:val="right"/>
              <w:spacing w:after="0" w:line="172" w:lineRule="exact"/>
              <w:rPr>
                <w:sz w:val="20"/>
                <w:szCs w:val="20"/>
                <w:color w:val="auto"/>
              </w:rPr>
            </w:pPr>
            <w:r>
              <w:rPr>
                <w:rFonts w:ascii="Times New Roman" w:cs="Times New Roman" w:eastAsia="Times New Roman" w:hAnsi="Times New Roman"/>
                <w:sz w:val="15"/>
                <w:szCs w:val="15"/>
                <w:color w:val="231F20"/>
              </w:rPr>
              <w:t>2,400</w:t>
            </w:r>
          </w:p>
        </w:tc>
        <w:tc>
          <w:tcPr>
            <w:tcW w:w="960" w:type="dxa"/>
            <w:vAlign w:val="bottom"/>
            <w:gridSpan w:val="2"/>
            <w:shd w:val="clear" w:color="auto" w:fill="FDFDFC"/>
          </w:tcPr>
          <w:p>
            <w:pPr>
              <w:jc w:val="right"/>
              <w:spacing w:after="0" w:line="172" w:lineRule="exact"/>
              <w:rPr>
                <w:sz w:val="20"/>
                <w:szCs w:val="20"/>
                <w:color w:val="auto"/>
              </w:rPr>
            </w:pPr>
            <w:r>
              <w:rPr>
                <w:rFonts w:ascii="Times New Roman" w:cs="Times New Roman" w:eastAsia="Times New Roman" w:hAnsi="Times New Roman"/>
                <w:sz w:val="15"/>
                <w:szCs w:val="15"/>
                <w:color w:val="231F20"/>
              </w:rPr>
              <w:t>0.1%</w:t>
            </w:r>
          </w:p>
        </w:tc>
      </w:tr>
      <w:tr>
        <w:trPr>
          <w:trHeight w:val="189"/>
        </w:trPr>
        <w:tc>
          <w:tcPr>
            <w:tcW w:w="1580" w:type="dxa"/>
            <w:vAlign w:val="bottom"/>
            <w:shd w:val="clear" w:color="auto" w:fill="FDFDFC"/>
          </w:tcPr>
          <w:p>
            <w:pPr>
              <w:spacing w:after="0"/>
              <w:rPr>
                <w:sz w:val="16"/>
                <w:szCs w:val="16"/>
                <w:color w:val="auto"/>
              </w:rPr>
            </w:pPr>
          </w:p>
        </w:tc>
        <w:tc>
          <w:tcPr>
            <w:tcW w:w="2200" w:type="dxa"/>
            <w:vAlign w:val="bottom"/>
            <w:shd w:val="clear" w:color="auto" w:fill="FDFDFC"/>
          </w:tcPr>
          <w:p>
            <w:pPr>
              <w:ind w:left="60"/>
              <w:spacing w:after="0"/>
              <w:rPr>
                <w:sz w:val="20"/>
                <w:szCs w:val="20"/>
                <w:color w:val="auto"/>
              </w:rPr>
            </w:pPr>
            <w:r>
              <w:rPr>
                <w:rFonts w:ascii="Times New Roman" w:cs="Times New Roman" w:eastAsia="Times New Roman" w:hAnsi="Times New Roman"/>
                <w:sz w:val="15"/>
                <w:szCs w:val="15"/>
                <w:color w:val="231F20"/>
              </w:rPr>
              <w:t>(418,527 shares)</w:t>
            </w:r>
          </w:p>
        </w:tc>
        <w:tc>
          <w:tcPr>
            <w:tcW w:w="800" w:type="dxa"/>
            <w:vAlign w:val="bottom"/>
            <w:shd w:val="clear" w:color="auto" w:fill="FDFDFC"/>
          </w:tcPr>
          <w:p>
            <w:pPr>
              <w:spacing w:after="0"/>
              <w:rPr>
                <w:sz w:val="16"/>
                <w:szCs w:val="16"/>
                <w:color w:val="auto"/>
              </w:rPr>
            </w:pPr>
          </w:p>
        </w:tc>
        <w:tc>
          <w:tcPr>
            <w:tcW w:w="1160" w:type="dxa"/>
            <w:vAlign w:val="bottom"/>
            <w:shd w:val="clear" w:color="auto" w:fill="FDFDFC"/>
          </w:tcPr>
          <w:p>
            <w:pPr>
              <w:spacing w:after="0"/>
              <w:rPr>
                <w:sz w:val="16"/>
                <w:szCs w:val="16"/>
                <w:color w:val="auto"/>
              </w:rPr>
            </w:pPr>
          </w:p>
        </w:tc>
        <w:tc>
          <w:tcPr>
            <w:tcW w:w="900" w:type="dxa"/>
            <w:vAlign w:val="bottom"/>
            <w:shd w:val="clear" w:color="auto" w:fill="FDFDFC"/>
          </w:tcPr>
          <w:p>
            <w:pPr>
              <w:spacing w:after="0"/>
              <w:rPr>
                <w:sz w:val="16"/>
                <w:szCs w:val="16"/>
                <w:color w:val="auto"/>
              </w:rPr>
            </w:pPr>
          </w:p>
        </w:tc>
        <w:tc>
          <w:tcPr>
            <w:tcW w:w="1000" w:type="dxa"/>
            <w:vAlign w:val="bottom"/>
            <w:shd w:val="clear" w:color="auto" w:fill="FDFDFC"/>
          </w:tcPr>
          <w:p>
            <w:pPr>
              <w:spacing w:after="0"/>
              <w:rPr>
                <w:sz w:val="16"/>
                <w:szCs w:val="16"/>
                <w:color w:val="auto"/>
              </w:rPr>
            </w:pPr>
          </w:p>
        </w:tc>
        <w:tc>
          <w:tcPr>
            <w:tcW w:w="80" w:type="dxa"/>
            <w:vAlign w:val="bottom"/>
            <w:shd w:val="clear" w:color="auto" w:fill="FDFDFC"/>
          </w:tcPr>
          <w:p>
            <w:pPr>
              <w:spacing w:after="0"/>
              <w:rPr>
                <w:sz w:val="16"/>
                <w:szCs w:val="16"/>
                <w:color w:val="auto"/>
              </w:rPr>
            </w:pPr>
          </w:p>
        </w:tc>
        <w:tc>
          <w:tcPr>
            <w:tcW w:w="1600" w:type="dxa"/>
            <w:vAlign w:val="bottom"/>
            <w:shd w:val="clear" w:color="auto" w:fill="FDFDFC"/>
          </w:tcPr>
          <w:p>
            <w:pPr>
              <w:spacing w:after="0"/>
              <w:rPr>
                <w:sz w:val="16"/>
                <w:szCs w:val="16"/>
                <w:color w:val="auto"/>
              </w:rPr>
            </w:pPr>
          </w:p>
        </w:tc>
        <w:tc>
          <w:tcPr>
            <w:tcW w:w="100" w:type="dxa"/>
            <w:vAlign w:val="bottom"/>
            <w:shd w:val="clear" w:color="auto" w:fill="FDFDFC"/>
          </w:tcPr>
          <w:p>
            <w:pPr>
              <w:spacing w:after="0"/>
              <w:rPr>
                <w:sz w:val="16"/>
                <w:szCs w:val="16"/>
                <w:color w:val="auto"/>
              </w:rPr>
            </w:pPr>
          </w:p>
        </w:tc>
        <w:tc>
          <w:tcPr>
            <w:tcW w:w="860" w:type="dxa"/>
            <w:vAlign w:val="bottom"/>
            <w:shd w:val="clear" w:color="auto" w:fill="FDFDFC"/>
          </w:tcPr>
          <w:p>
            <w:pPr>
              <w:spacing w:after="0"/>
              <w:rPr>
                <w:sz w:val="16"/>
                <w:szCs w:val="16"/>
                <w:color w:val="auto"/>
              </w:rPr>
            </w:pPr>
          </w:p>
        </w:tc>
      </w:tr>
      <w:tr>
        <w:trPr>
          <w:trHeight w:val="171"/>
        </w:trPr>
        <w:tc>
          <w:tcPr>
            <w:tcW w:w="1580" w:type="dxa"/>
            <w:vAlign w:val="bottom"/>
            <w:shd w:val="clear" w:color="auto" w:fill="D0EBF2"/>
          </w:tcPr>
          <w:p>
            <w:pPr>
              <w:spacing w:after="0"/>
              <w:rPr>
                <w:sz w:val="14"/>
                <w:szCs w:val="14"/>
                <w:color w:val="auto"/>
              </w:rPr>
            </w:pPr>
          </w:p>
        </w:tc>
        <w:tc>
          <w:tcPr>
            <w:tcW w:w="2200" w:type="dxa"/>
            <w:vAlign w:val="bottom"/>
            <w:shd w:val="clear" w:color="auto" w:fill="D0EBF2"/>
          </w:tcPr>
          <w:p>
            <w:pPr>
              <w:ind w:left="60"/>
              <w:spacing w:after="0" w:line="172" w:lineRule="exact"/>
              <w:rPr>
                <w:sz w:val="20"/>
                <w:szCs w:val="20"/>
                <w:color w:val="auto"/>
              </w:rPr>
            </w:pPr>
            <w:r>
              <w:rPr>
                <w:rFonts w:ascii="Times New Roman" w:cs="Times New Roman" w:eastAsia="Times New Roman" w:hAnsi="Times New Roman"/>
                <w:sz w:val="15"/>
                <w:szCs w:val="15"/>
                <w:color w:val="231F20"/>
              </w:rPr>
              <w:t>Series C-2 Preferred Shares</w:t>
            </w:r>
          </w:p>
        </w:tc>
        <w:tc>
          <w:tcPr>
            <w:tcW w:w="800" w:type="dxa"/>
            <w:vAlign w:val="bottom"/>
            <w:shd w:val="clear" w:color="auto" w:fill="D0EBF2"/>
          </w:tcPr>
          <w:p>
            <w:pPr>
              <w:jc w:val="right"/>
              <w:spacing w:after="0" w:line="172" w:lineRule="exact"/>
              <w:rPr>
                <w:sz w:val="20"/>
                <w:szCs w:val="20"/>
                <w:color w:val="auto"/>
              </w:rPr>
            </w:pPr>
            <w:r>
              <w:rPr>
                <w:rFonts w:ascii="Times New Roman" w:cs="Times New Roman" w:eastAsia="Times New Roman" w:hAnsi="Times New Roman"/>
                <w:sz w:val="15"/>
                <w:szCs w:val="15"/>
                <w:color w:val="231F20"/>
              </w:rPr>
              <w:t>11/18/2022</w:t>
            </w:r>
          </w:p>
        </w:tc>
        <w:tc>
          <w:tcPr>
            <w:tcW w:w="1160" w:type="dxa"/>
            <w:vAlign w:val="bottom"/>
            <w:shd w:val="clear" w:color="auto" w:fill="D0EBF2"/>
          </w:tcPr>
          <w:p>
            <w:pPr>
              <w:spacing w:after="0"/>
              <w:rPr>
                <w:sz w:val="14"/>
                <w:szCs w:val="14"/>
                <w:color w:val="auto"/>
              </w:rPr>
            </w:pPr>
          </w:p>
        </w:tc>
        <w:tc>
          <w:tcPr>
            <w:tcW w:w="900" w:type="dxa"/>
            <w:vAlign w:val="bottom"/>
            <w:shd w:val="clear" w:color="auto" w:fill="D0EBF2"/>
          </w:tcPr>
          <w:p>
            <w:pPr>
              <w:spacing w:after="0"/>
              <w:rPr>
                <w:sz w:val="14"/>
                <w:szCs w:val="14"/>
                <w:color w:val="auto"/>
              </w:rPr>
            </w:pPr>
          </w:p>
        </w:tc>
        <w:tc>
          <w:tcPr>
            <w:tcW w:w="1000" w:type="dxa"/>
            <w:vAlign w:val="bottom"/>
            <w:shd w:val="clear" w:color="auto" w:fill="D0EBF2"/>
          </w:tcPr>
          <w:p>
            <w:pPr>
              <w:jc w:val="right"/>
              <w:spacing w:after="0" w:line="172" w:lineRule="exact"/>
              <w:rPr>
                <w:sz w:val="20"/>
                <w:szCs w:val="20"/>
                <w:color w:val="auto"/>
              </w:rPr>
            </w:pPr>
            <w:r>
              <w:rPr>
                <w:rFonts w:ascii="Times New Roman" w:cs="Times New Roman" w:eastAsia="Times New Roman" w:hAnsi="Times New Roman"/>
                <w:sz w:val="15"/>
                <w:szCs w:val="15"/>
                <w:color w:val="231F20"/>
              </w:rPr>
              <w:t>198</w:t>
            </w:r>
          </w:p>
        </w:tc>
        <w:tc>
          <w:tcPr>
            <w:tcW w:w="1680" w:type="dxa"/>
            <w:vAlign w:val="bottom"/>
            <w:gridSpan w:val="2"/>
            <w:shd w:val="clear" w:color="auto" w:fill="D0EBF2"/>
          </w:tcPr>
          <w:p>
            <w:pPr>
              <w:jc w:val="right"/>
              <w:spacing w:after="0" w:line="172" w:lineRule="exact"/>
              <w:rPr>
                <w:sz w:val="20"/>
                <w:szCs w:val="20"/>
                <w:color w:val="auto"/>
              </w:rPr>
            </w:pPr>
            <w:r>
              <w:rPr>
                <w:rFonts w:ascii="Times New Roman" w:cs="Times New Roman" w:eastAsia="Times New Roman" w:hAnsi="Times New Roman"/>
                <w:sz w:val="15"/>
                <w:szCs w:val="15"/>
                <w:color w:val="231F20"/>
              </w:rPr>
              <w:t>317</w:t>
            </w:r>
          </w:p>
        </w:tc>
        <w:tc>
          <w:tcPr>
            <w:tcW w:w="960" w:type="dxa"/>
            <w:vAlign w:val="bottom"/>
            <w:gridSpan w:val="2"/>
            <w:shd w:val="clear" w:color="auto" w:fill="D0EBF2"/>
          </w:tcPr>
          <w:p>
            <w:pPr>
              <w:jc w:val="right"/>
              <w:spacing w:after="0" w:line="172" w:lineRule="exact"/>
              <w:rPr>
                <w:sz w:val="20"/>
                <w:szCs w:val="20"/>
                <w:color w:val="auto"/>
              </w:rPr>
            </w:pPr>
            <w:r>
              <w:rPr>
                <w:rFonts w:ascii="Times New Roman" w:cs="Times New Roman" w:eastAsia="Times New Roman" w:hAnsi="Times New Roman"/>
                <w:sz w:val="15"/>
                <w:szCs w:val="15"/>
                <w:color w:val="231F20"/>
              </w:rPr>
              <w:t>0.0%</w:t>
            </w:r>
          </w:p>
        </w:tc>
      </w:tr>
      <w:tr>
        <w:trPr>
          <w:trHeight w:val="189"/>
        </w:trPr>
        <w:tc>
          <w:tcPr>
            <w:tcW w:w="1580" w:type="dxa"/>
            <w:vAlign w:val="bottom"/>
            <w:shd w:val="clear" w:color="auto" w:fill="D0EBF2"/>
          </w:tcPr>
          <w:p>
            <w:pPr>
              <w:spacing w:after="0"/>
              <w:rPr>
                <w:sz w:val="16"/>
                <w:szCs w:val="16"/>
                <w:color w:val="auto"/>
              </w:rPr>
            </w:pPr>
          </w:p>
        </w:tc>
        <w:tc>
          <w:tcPr>
            <w:tcW w:w="2200" w:type="dxa"/>
            <w:vAlign w:val="bottom"/>
            <w:shd w:val="clear" w:color="auto" w:fill="D0EBF2"/>
          </w:tcPr>
          <w:p>
            <w:pPr>
              <w:ind w:left="60"/>
              <w:spacing w:after="0"/>
              <w:rPr>
                <w:sz w:val="20"/>
                <w:szCs w:val="20"/>
                <w:color w:val="auto"/>
              </w:rPr>
            </w:pPr>
            <w:r>
              <w:rPr>
                <w:rFonts w:ascii="Times New Roman" w:cs="Times New Roman" w:eastAsia="Times New Roman" w:hAnsi="Times New Roman"/>
                <w:sz w:val="15"/>
                <w:szCs w:val="15"/>
                <w:color w:val="231F20"/>
              </w:rPr>
              <w:t>(27,588 shares)</w:t>
            </w:r>
          </w:p>
        </w:tc>
        <w:tc>
          <w:tcPr>
            <w:tcW w:w="800" w:type="dxa"/>
            <w:vAlign w:val="bottom"/>
            <w:shd w:val="clear" w:color="auto" w:fill="D0EBF2"/>
          </w:tcPr>
          <w:p>
            <w:pPr>
              <w:spacing w:after="0"/>
              <w:rPr>
                <w:sz w:val="16"/>
                <w:szCs w:val="16"/>
                <w:color w:val="auto"/>
              </w:rPr>
            </w:pPr>
          </w:p>
        </w:tc>
        <w:tc>
          <w:tcPr>
            <w:tcW w:w="1160" w:type="dxa"/>
            <w:vAlign w:val="bottom"/>
            <w:shd w:val="clear" w:color="auto" w:fill="D0EBF2"/>
          </w:tcPr>
          <w:p>
            <w:pPr>
              <w:spacing w:after="0"/>
              <w:rPr>
                <w:sz w:val="16"/>
                <w:szCs w:val="16"/>
                <w:color w:val="auto"/>
              </w:rPr>
            </w:pPr>
          </w:p>
        </w:tc>
        <w:tc>
          <w:tcPr>
            <w:tcW w:w="900" w:type="dxa"/>
            <w:vAlign w:val="bottom"/>
            <w:shd w:val="clear" w:color="auto" w:fill="D0EBF2"/>
          </w:tcPr>
          <w:p>
            <w:pPr>
              <w:spacing w:after="0"/>
              <w:rPr>
                <w:sz w:val="16"/>
                <w:szCs w:val="16"/>
                <w:color w:val="auto"/>
              </w:rPr>
            </w:pPr>
          </w:p>
        </w:tc>
        <w:tc>
          <w:tcPr>
            <w:tcW w:w="1000" w:type="dxa"/>
            <w:vAlign w:val="bottom"/>
            <w:shd w:val="clear" w:color="auto" w:fill="D0EBF2"/>
          </w:tcPr>
          <w:p>
            <w:pPr>
              <w:spacing w:after="0"/>
              <w:rPr>
                <w:sz w:val="16"/>
                <w:szCs w:val="16"/>
                <w:color w:val="auto"/>
              </w:rPr>
            </w:pPr>
          </w:p>
        </w:tc>
        <w:tc>
          <w:tcPr>
            <w:tcW w:w="80" w:type="dxa"/>
            <w:vAlign w:val="bottom"/>
            <w:shd w:val="clear" w:color="auto" w:fill="D0EBF2"/>
          </w:tcPr>
          <w:p>
            <w:pPr>
              <w:spacing w:after="0"/>
              <w:rPr>
                <w:sz w:val="16"/>
                <w:szCs w:val="16"/>
                <w:color w:val="auto"/>
              </w:rPr>
            </w:pPr>
          </w:p>
        </w:tc>
        <w:tc>
          <w:tcPr>
            <w:tcW w:w="1600" w:type="dxa"/>
            <w:vAlign w:val="bottom"/>
            <w:shd w:val="clear" w:color="auto" w:fill="D0EBF2"/>
          </w:tcPr>
          <w:p>
            <w:pPr>
              <w:spacing w:after="0"/>
              <w:rPr>
                <w:sz w:val="16"/>
                <w:szCs w:val="16"/>
                <w:color w:val="auto"/>
              </w:rPr>
            </w:pPr>
          </w:p>
        </w:tc>
        <w:tc>
          <w:tcPr>
            <w:tcW w:w="100" w:type="dxa"/>
            <w:vAlign w:val="bottom"/>
            <w:shd w:val="clear" w:color="auto" w:fill="D0EBF2"/>
          </w:tcPr>
          <w:p>
            <w:pPr>
              <w:spacing w:after="0"/>
              <w:rPr>
                <w:sz w:val="16"/>
                <w:szCs w:val="16"/>
                <w:color w:val="auto"/>
              </w:rPr>
            </w:pPr>
          </w:p>
        </w:tc>
        <w:tc>
          <w:tcPr>
            <w:tcW w:w="860" w:type="dxa"/>
            <w:vAlign w:val="bottom"/>
            <w:shd w:val="clear" w:color="auto" w:fill="D0EBF2"/>
          </w:tcPr>
          <w:p>
            <w:pPr>
              <w:spacing w:after="0"/>
              <w:rPr>
                <w:sz w:val="16"/>
                <w:szCs w:val="16"/>
                <w:color w:val="auto"/>
              </w:rPr>
            </w:pPr>
          </w:p>
        </w:tc>
      </w:tr>
      <w:tr>
        <w:trPr>
          <w:trHeight w:val="171"/>
        </w:trPr>
        <w:tc>
          <w:tcPr>
            <w:tcW w:w="1580" w:type="dxa"/>
            <w:vAlign w:val="bottom"/>
            <w:shd w:val="clear" w:color="auto" w:fill="FDFDFC"/>
          </w:tcPr>
          <w:p>
            <w:pPr>
              <w:spacing w:after="0" w:line="172" w:lineRule="exact"/>
              <w:rPr>
                <w:sz w:val="20"/>
                <w:szCs w:val="20"/>
                <w:color w:val="auto"/>
              </w:rPr>
            </w:pPr>
            <w:r>
              <w:rPr>
                <w:rFonts w:ascii="Times New Roman" w:cs="Times New Roman" w:eastAsia="Times New Roman" w:hAnsi="Times New Roman"/>
                <w:sz w:val="15"/>
                <w:szCs w:val="15"/>
                <w:color w:val="231F20"/>
              </w:rPr>
              <w:t>SMA Technologies</w:t>
            </w:r>
          </w:p>
        </w:tc>
        <w:tc>
          <w:tcPr>
            <w:tcW w:w="2200" w:type="dxa"/>
            <w:vAlign w:val="bottom"/>
            <w:shd w:val="clear" w:color="auto" w:fill="FDFDFC"/>
          </w:tcPr>
          <w:p>
            <w:pPr>
              <w:ind w:left="60"/>
              <w:spacing w:after="0" w:line="172" w:lineRule="exact"/>
              <w:rPr>
                <w:sz w:val="20"/>
                <w:szCs w:val="20"/>
                <w:color w:val="auto"/>
              </w:rPr>
            </w:pPr>
            <w:r>
              <w:rPr>
                <w:rFonts w:ascii="Times New Roman" w:cs="Times New Roman" w:eastAsia="Times New Roman" w:hAnsi="Times New Roman"/>
                <w:sz w:val="15"/>
                <w:szCs w:val="15"/>
                <w:color w:val="231F20"/>
              </w:rPr>
              <w:t>Class A Units (1,584 units)</w:t>
            </w:r>
          </w:p>
        </w:tc>
        <w:tc>
          <w:tcPr>
            <w:tcW w:w="800" w:type="dxa"/>
            <w:vAlign w:val="bottom"/>
            <w:shd w:val="clear" w:color="auto" w:fill="FDFDFC"/>
          </w:tcPr>
          <w:p>
            <w:pPr>
              <w:jc w:val="right"/>
              <w:spacing w:after="0" w:line="172" w:lineRule="exact"/>
              <w:rPr>
                <w:sz w:val="20"/>
                <w:szCs w:val="20"/>
                <w:color w:val="auto"/>
              </w:rPr>
            </w:pPr>
            <w:r>
              <w:rPr>
                <w:rFonts w:ascii="Times New Roman" w:cs="Times New Roman" w:eastAsia="Times New Roman" w:hAnsi="Times New Roman"/>
                <w:sz w:val="15"/>
                <w:szCs w:val="15"/>
                <w:color w:val="231F20"/>
              </w:rPr>
              <w:t>11/21/2022</w:t>
            </w:r>
          </w:p>
        </w:tc>
        <w:tc>
          <w:tcPr>
            <w:tcW w:w="1160" w:type="dxa"/>
            <w:vAlign w:val="bottom"/>
            <w:shd w:val="clear" w:color="auto" w:fill="FDFDFC"/>
          </w:tcPr>
          <w:p>
            <w:pPr>
              <w:spacing w:after="0"/>
              <w:rPr>
                <w:sz w:val="14"/>
                <w:szCs w:val="14"/>
                <w:color w:val="auto"/>
              </w:rPr>
            </w:pPr>
          </w:p>
        </w:tc>
        <w:tc>
          <w:tcPr>
            <w:tcW w:w="900" w:type="dxa"/>
            <w:vAlign w:val="bottom"/>
            <w:shd w:val="clear" w:color="auto" w:fill="FDFDFC"/>
          </w:tcPr>
          <w:p>
            <w:pPr>
              <w:spacing w:after="0"/>
              <w:rPr>
                <w:sz w:val="14"/>
                <w:szCs w:val="14"/>
                <w:color w:val="auto"/>
              </w:rPr>
            </w:pPr>
          </w:p>
        </w:tc>
        <w:tc>
          <w:tcPr>
            <w:tcW w:w="1000" w:type="dxa"/>
            <w:vAlign w:val="bottom"/>
            <w:shd w:val="clear" w:color="auto" w:fill="FDFDFC"/>
          </w:tcPr>
          <w:p>
            <w:pPr>
              <w:jc w:val="right"/>
              <w:spacing w:after="0" w:line="172" w:lineRule="exact"/>
              <w:rPr>
                <w:sz w:val="20"/>
                <w:szCs w:val="20"/>
                <w:color w:val="auto"/>
              </w:rPr>
            </w:pPr>
            <w:r>
              <w:rPr>
                <w:rFonts w:ascii="Times New Roman" w:cs="Times New Roman" w:eastAsia="Times New Roman" w:hAnsi="Times New Roman"/>
                <w:sz w:val="15"/>
                <w:szCs w:val="15"/>
                <w:color w:val="231F20"/>
              </w:rPr>
              <w:t>1,584</w:t>
            </w:r>
          </w:p>
        </w:tc>
        <w:tc>
          <w:tcPr>
            <w:tcW w:w="1680" w:type="dxa"/>
            <w:vAlign w:val="bottom"/>
            <w:gridSpan w:val="2"/>
            <w:shd w:val="clear" w:color="auto" w:fill="FDFDFC"/>
          </w:tcPr>
          <w:p>
            <w:pPr>
              <w:jc w:val="right"/>
              <w:spacing w:after="0" w:line="172" w:lineRule="exact"/>
              <w:rPr>
                <w:sz w:val="20"/>
                <w:szCs w:val="20"/>
                <w:color w:val="auto"/>
              </w:rPr>
            </w:pPr>
            <w:r>
              <w:rPr>
                <w:rFonts w:ascii="Times New Roman" w:cs="Times New Roman" w:eastAsia="Times New Roman" w:hAnsi="Times New Roman"/>
                <w:sz w:val="15"/>
                <w:szCs w:val="15"/>
                <w:color w:val="231F20"/>
              </w:rPr>
              <w:t>2,297</w:t>
            </w:r>
          </w:p>
        </w:tc>
        <w:tc>
          <w:tcPr>
            <w:tcW w:w="960" w:type="dxa"/>
            <w:vAlign w:val="bottom"/>
            <w:gridSpan w:val="2"/>
            <w:shd w:val="clear" w:color="auto" w:fill="FDFDFC"/>
          </w:tcPr>
          <w:p>
            <w:pPr>
              <w:jc w:val="right"/>
              <w:spacing w:after="0" w:line="172" w:lineRule="exact"/>
              <w:rPr>
                <w:sz w:val="20"/>
                <w:szCs w:val="20"/>
                <w:color w:val="auto"/>
              </w:rPr>
            </w:pPr>
            <w:r>
              <w:rPr>
                <w:rFonts w:ascii="Times New Roman" w:cs="Times New Roman" w:eastAsia="Times New Roman" w:hAnsi="Times New Roman"/>
                <w:sz w:val="15"/>
                <w:szCs w:val="15"/>
                <w:color w:val="231F20"/>
              </w:rPr>
              <w:t>0.1%</w:t>
            </w:r>
          </w:p>
        </w:tc>
      </w:tr>
      <w:tr>
        <w:trPr>
          <w:trHeight w:val="189"/>
        </w:trPr>
        <w:tc>
          <w:tcPr>
            <w:tcW w:w="1580" w:type="dxa"/>
            <w:vAlign w:val="bottom"/>
            <w:shd w:val="clear" w:color="auto" w:fill="FDFDFC"/>
          </w:tcPr>
          <w:p>
            <w:pPr>
              <w:spacing w:after="0"/>
              <w:rPr>
                <w:sz w:val="20"/>
                <w:szCs w:val="20"/>
                <w:color w:val="auto"/>
              </w:rPr>
            </w:pPr>
            <w:r>
              <w:rPr>
                <w:rFonts w:ascii="Times New Roman" w:cs="Times New Roman" w:eastAsia="Times New Roman" w:hAnsi="Times New Roman"/>
                <w:sz w:val="15"/>
                <w:szCs w:val="15"/>
                <w:color w:val="231F20"/>
              </w:rPr>
              <w:t xml:space="preserve">Holdings, LLC </w:t>
            </w:r>
            <w:r>
              <w:rPr>
                <w:rFonts w:ascii="Times New Roman" w:cs="Times New Roman" w:eastAsia="Times New Roman" w:hAnsi="Times New Roman"/>
                <w:sz w:val="9"/>
                <w:szCs w:val="9"/>
                <w:color w:val="231F20"/>
              </w:rPr>
              <w:t>(11)(12)</w:t>
            </w:r>
          </w:p>
        </w:tc>
        <w:tc>
          <w:tcPr>
            <w:tcW w:w="2200" w:type="dxa"/>
            <w:vAlign w:val="bottom"/>
            <w:shd w:val="clear" w:color="auto" w:fill="FDFDFC"/>
          </w:tcPr>
          <w:p>
            <w:pPr>
              <w:spacing w:after="0"/>
              <w:rPr>
                <w:sz w:val="16"/>
                <w:szCs w:val="16"/>
                <w:color w:val="auto"/>
              </w:rPr>
            </w:pPr>
          </w:p>
        </w:tc>
        <w:tc>
          <w:tcPr>
            <w:tcW w:w="800" w:type="dxa"/>
            <w:vAlign w:val="bottom"/>
            <w:shd w:val="clear" w:color="auto" w:fill="FDFDFC"/>
          </w:tcPr>
          <w:p>
            <w:pPr>
              <w:spacing w:after="0"/>
              <w:rPr>
                <w:sz w:val="16"/>
                <w:szCs w:val="16"/>
                <w:color w:val="auto"/>
              </w:rPr>
            </w:pPr>
          </w:p>
        </w:tc>
        <w:tc>
          <w:tcPr>
            <w:tcW w:w="1160" w:type="dxa"/>
            <w:vAlign w:val="bottom"/>
            <w:shd w:val="clear" w:color="auto" w:fill="FDFDFC"/>
          </w:tcPr>
          <w:p>
            <w:pPr>
              <w:spacing w:after="0"/>
              <w:rPr>
                <w:sz w:val="16"/>
                <w:szCs w:val="16"/>
                <w:color w:val="auto"/>
              </w:rPr>
            </w:pPr>
          </w:p>
        </w:tc>
        <w:tc>
          <w:tcPr>
            <w:tcW w:w="900" w:type="dxa"/>
            <w:vAlign w:val="bottom"/>
            <w:shd w:val="clear" w:color="auto" w:fill="FDFDFC"/>
          </w:tcPr>
          <w:p>
            <w:pPr>
              <w:spacing w:after="0"/>
              <w:rPr>
                <w:sz w:val="16"/>
                <w:szCs w:val="16"/>
                <w:color w:val="auto"/>
              </w:rPr>
            </w:pPr>
          </w:p>
        </w:tc>
        <w:tc>
          <w:tcPr>
            <w:tcW w:w="1000" w:type="dxa"/>
            <w:vAlign w:val="bottom"/>
            <w:shd w:val="clear" w:color="auto" w:fill="FDFDFC"/>
          </w:tcPr>
          <w:p>
            <w:pPr>
              <w:spacing w:after="0"/>
              <w:rPr>
                <w:sz w:val="16"/>
                <w:szCs w:val="16"/>
                <w:color w:val="auto"/>
              </w:rPr>
            </w:pPr>
          </w:p>
        </w:tc>
        <w:tc>
          <w:tcPr>
            <w:tcW w:w="80" w:type="dxa"/>
            <w:vAlign w:val="bottom"/>
            <w:shd w:val="clear" w:color="auto" w:fill="FDFDFC"/>
          </w:tcPr>
          <w:p>
            <w:pPr>
              <w:spacing w:after="0"/>
              <w:rPr>
                <w:sz w:val="16"/>
                <w:szCs w:val="16"/>
                <w:color w:val="auto"/>
              </w:rPr>
            </w:pPr>
          </w:p>
        </w:tc>
        <w:tc>
          <w:tcPr>
            <w:tcW w:w="1600" w:type="dxa"/>
            <w:vAlign w:val="bottom"/>
            <w:shd w:val="clear" w:color="auto" w:fill="FDFDFC"/>
          </w:tcPr>
          <w:p>
            <w:pPr>
              <w:spacing w:after="0"/>
              <w:rPr>
                <w:sz w:val="16"/>
                <w:szCs w:val="16"/>
                <w:color w:val="auto"/>
              </w:rPr>
            </w:pPr>
          </w:p>
        </w:tc>
        <w:tc>
          <w:tcPr>
            <w:tcW w:w="100" w:type="dxa"/>
            <w:vAlign w:val="bottom"/>
            <w:shd w:val="clear" w:color="auto" w:fill="FDFDFC"/>
          </w:tcPr>
          <w:p>
            <w:pPr>
              <w:spacing w:after="0"/>
              <w:rPr>
                <w:sz w:val="16"/>
                <w:szCs w:val="16"/>
                <w:color w:val="auto"/>
              </w:rPr>
            </w:pPr>
          </w:p>
        </w:tc>
        <w:tc>
          <w:tcPr>
            <w:tcW w:w="860" w:type="dxa"/>
            <w:vAlign w:val="bottom"/>
            <w:shd w:val="clear" w:color="auto" w:fill="FDFDFC"/>
          </w:tcPr>
          <w:p>
            <w:pPr>
              <w:spacing w:after="0"/>
              <w:rPr>
                <w:sz w:val="16"/>
                <w:szCs w:val="16"/>
                <w:color w:val="auto"/>
              </w:rPr>
            </w:pPr>
          </w:p>
        </w:tc>
      </w:tr>
      <w:tr>
        <w:trPr>
          <w:trHeight w:val="187"/>
        </w:trPr>
        <w:tc>
          <w:tcPr>
            <w:tcW w:w="1580" w:type="dxa"/>
            <w:vAlign w:val="bottom"/>
            <w:shd w:val="clear" w:color="auto" w:fill="D0EBF2"/>
          </w:tcPr>
          <w:p>
            <w:pPr>
              <w:spacing w:after="0"/>
              <w:rPr>
                <w:sz w:val="16"/>
                <w:szCs w:val="16"/>
                <w:color w:val="auto"/>
              </w:rPr>
            </w:pPr>
          </w:p>
        </w:tc>
        <w:tc>
          <w:tcPr>
            <w:tcW w:w="2200" w:type="dxa"/>
            <w:vAlign w:val="bottom"/>
            <w:shd w:val="clear" w:color="auto" w:fill="D0EBF2"/>
          </w:tcPr>
          <w:p>
            <w:pPr>
              <w:ind w:left="60"/>
              <w:spacing w:after="0"/>
              <w:rPr>
                <w:sz w:val="20"/>
                <w:szCs w:val="20"/>
                <w:color w:val="auto"/>
              </w:rPr>
            </w:pPr>
            <w:r>
              <w:rPr>
                <w:rFonts w:ascii="Times New Roman" w:cs="Times New Roman" w:eastAsia="Times New Roman" w:hAnsi="Times New Roman"/>
                <w:sz w:val="15"/>
                <w:szCs w:val="15"/>
                <w:color w:val="231F20"/>
              </w:rPr>
              <w:t>Class B Units (1,124,813 units)</w:t>
            </w:r>
          </w:p>
        </w:tc>
        <w:tc>
          <w:tcPr>
            <w:tcW w:w="800" w:type="dxa"/>
            <w:vAlign w:val="bottom"/>
            <w:shd w:val="clear" w:color="auto" w:fill="D0EBF2"/>
          </w:tcPr>
          <w:p>
            <w:pPr>
              <w:jc w:val="right"/>
              <w:spacing w:after="0"/>
              <w:rPr>
                <w:sz w:val="20"/>
                <w:szCs w:val="20"/>
                <w:color w:val="auto"/>
              </w:rPr>
            </w:pPr>
            <w:r>
              <w:rPr>
                <w:rFonts w:ascii="Times New Roman" w:cs="Times New Roman" w:eastAsia="Times New Roman" w:hAnsi="Times New Roman"/>
                <w:sz w:val="15"/>
                <w:szCs w:val="15"/>
                <w:color w:val="231F20"/>
              </w:rPr>
              <w:t>11/21/2022</w:t>
            </w:r>
          </w:p>
        </w:tc>
        <w:tc>
          <w:tcPr>
            <w:tcW w:w="1160" w:type="dxa"/>
            <w:vAlign w:val="bottom"/>
            <w:shd w:val="clear" w:color="auto" w:fill="D0EBF2"/>
          </w:tcPr>
          <w:p>
            <w:pPr>
              <w:spacing w:after="0"/>
              <w:rPr>
                <w:sz w:val="16"/>
                <w:szCs w:val="16"/>
                <w:color w:val="auto"/>
              </w:rPr>
            </w:pPr>
          </w:p>
        </w:tc>
        <w:tc>
          <w:tcPr>
            <w:tcW w:w="900" w:type="dxa"/>
            <w:vAlign w:val="bottom"/>
            <w:shd w:val="clear" w:color="auto" w:fill="D0EBF2"/>
          </w:tcPr>
          <w:p>
            <w:pPr>
              <w:spacing w:after="0"/>
              <w:rPr>
                <w:sz w:val="16"/>
                <w:szCs w:val="16"/>
                <w:color w:val="auto"/>
              </w:rPr>
            </w:pPr>
          </w:p>
        </w:tc>
        <w:tc>
          <w:tcPr>
            <w:tcW w:w="1000" w:type="dxa"/>
            <w:vAlign w:val="bottom"/>
            <w:shd w:val="clear" w:color="auto" w:fill="D0EBF2"/>
          </w:tcPr>
          <w:p>
            <w:pPr>
              <w:jc w:val="right"/>
              <w:spacing w:after="0"/>
              <w:rPr>
                <w:sz w:val="20"/>
                <w:szCs w:val="20"/>
                <w:color w:val="auto"/>
              </w:rPr>
            </w:pPr>
            <w:r>
              <w:rPr>
                <w:rFonts w:ascii="Times New Roman" w:cs="Times New Roman" w:eastAsia="Times New Roman" w:hAnsi="Times New Roman"/>
                <w:sz w:val="15"/>
                <w:szCs w:val="15"/>
                <w:color w:val="231F20"/>
              </w:rPr>
              <w:t>68</w:t>
            </w:r>
          </w:p>
        </w:tc>
        <w:tc>
          <w:tcPr>
            <w:tcW w:w="1680" w:type="dxa"/>
            <w:vAlign w:val="bottom"/>
            <w:gridSpan w:val="2"/>
            <w:shd w:val="clear" w:color="auto" w:fill="D0EBF2"/>
          </w:tcPr>
          <w:p>
            <w:pPr>
              <w:jc w:val="right"/>
              <w:spacing w:after="0"/>
              <w:rPr>
                <w:sz w:val="20"/>
                <w:szCs w:val="20"/>
                <w:color w:val="auto"/>
              </w:rPr>
            </w:pPr>
            <w:r>
              <w:rPr>
                <w:rFonts w:ascii="Times New Roman" w:cs="Times New Roman" w:eastAsia="Times New Roman" w:hAnsi="Times New Roman"/>
                <w:sz w:val="15"/>
                <w:szCs w:val="15"/>
                <w:color w:val="231F20"/>
              </w:rPr>
              <w:t>99</w:t>
            </w:r>
          </w:p>
        </w:tc>
        <w:tc>
          <w:tcPr>
            <w:tcW w:w="960" w:type="dxa"/>
            <w:vAlign w:val="bottom"/>
            <w:gridSpan w:val="2"/>
            <w:shd w:val="clear" w:color="auto" w:fill="D0EBF2"/>
          </w:tcPr>
          <w:p>
            <w:pPr>
              <w:jc w:val="right"/>
              <w:spacing w:after="0"/>
              <w:rPr>
                <w:sz w:val="20"/>
                <w:szCs w:val="20"/>
                <w:color w:val="auto"/>
              </w:rPr>
            </w:pPr>
            <w:r>
              <w:rPr>
                <w:rFonts w:ascii="Times New Roman" w:cs="Times New Roman" w:eastAsia="Times New Roman" w:hAnsi="Times New Roman"/>
                <w:sz w:val="15"/>
                <w:szCs w:val="15"/>
                <w:color w:val="231F20"/>
              </w:rPr>
              <w:t>0.0%</w:t>
            </w:r>
          </w:p>
        </w:tc>
      </w:tr>
      <w:tr>
        <w:trPr>
          <w:trHeight w:val="176"/>
        </w:trPr>
        <w:tc>
          <w:tcPr>
            <w:tcW w:w="1580" w:type="dxa"/>
            <w:vAlign w:val="bottom"/>
            <w:tcBorders>
              <w:top w:val="single" w:sz="8" w:color="D0EBF2"/>
              <w:bottom w:val="single" w:sz="8" w:color="D0EBF2"/>
            </w:tcBorders>
            <w:shd w:val="clear" w:color="auto" w:fill="FDFDFC"/>
          </w:tcPr>
          <w:p>
            <w:pPr>
              <w:spacing w:after="0"/>
              <w:rPr>
                <w:sz w:val="15"/>
                <w:szCs w:val="15"/>
                <w:color w:val="auto"/>
              </w:rPr>
            </w:pPr>
          </w:p>
        </w:tc>
        <w:tc>
          <w:tcPr>
            <w:tcW w:w="2200" w:type="dxa"/>
            <w:vAlign w:val="bottom"/>
            <w:tcBorders>
              <w:top w:val="single" w:sz="8" w:color="D0EBF2"/>
              <w:bottom w:val="single" w:sz="8" w:color="D0EBF2"/>
            </w:tcBorders>
            <w:shd w:val="clear" w:color="auto" w:fill="FDFDFC"/>
          </w:tcPr>
          <w:p>
            <w:pPr>
              <w:spacing w:after="0"/>
              <w:rPr>
                <w:sz w:val="15"/>
                <w:szCs w:val="15"/>
                <w:color w:val="auto"/>
              </w:rPr>
            </w:pPr>
          </w:p>
        </w:tc>
        <w:tc>
          <w:tcPr>
            <w:tcW w:w="800" w:type="dxa"/>
            <w:vAlign w:val="bottom"/>
            <w:tcBorders>
              <w:top w:val="single" w:sz="8" w:color="D0EBF2"/>
              <w:bottom w:val="single" w:sz="8" w:color="D0EBF2"/>
            </w:tcBorders>
            <w:shd w:val="clear" w:color="auto" w:fill="FDFDFC"/>
          </w:tcPr>
          <w:p>
            <w:pPr>
              <w:spacing w:after="0"/>
              <w:rPr>
                <w:sz w:val="15"/>
                <w:szCs w:val="15"/>
                <w:color w:val="auto"/>
              </w:rPr>
            </w:pPr>
          </w:p>
        </w:tc>
        <w:tc>
          <w:tcPr>
            <w:tcW w:w="1160" w:type="dxa"/>
            <w:vAlign w:val="bottom"/>
            <w:tcBorders>
              <w:top w:val="single" w:sz="8" w:color="D0EBF2"/>
              <w:bottom w:val="single" w:sz="8" w:color="D0EBF2"/>
            </w:tcBorders>
            <w:shd w:val="clear" w:color="auto" w:fill="FDFDFC"/>
          </w:tcPr>
          <w:p>
            <w:pPr>
              <w:spacing w:after="0"/>
              <w:rPr>
                <w:sz w:val="15"/>
                <w:szCs w:val="15"/>
                <w:color w:val="auto"/>
              </w:rPr>
            </w:pPr>
          </w:p>
        </w:tc>
        <w:tc>
          <w:tcPr>
            <w:tcW w:w="900" w:type="dxa"/>
            <w:vAlign w:val="bottom"/>
            <w:tcBorders>
              <w:top w:val="single" w:sz="8" w:color="D0EBF2"/>
              <w:bottom w:val="single" w:sz="8" w:color="D0EBF2"/>
            </w:tcBorders>
            <w:shd w:val="clear" w:color="auto" w:fill="FDFDFC"/>
          </w:tcPr>
          <w:p>
            <w:pPr>
              <w:spacing w:after="0"/>
              <w:rPr>
                <w:sz w:val="15"/>
                <w:szCs w:val="15"/>
                <w:color w:val="auto"/>
              </w:rPr>
            </w:pPr>
          </w:p>
        </w:tc>
        <w:tc>
          <w:tcPr>
            <w:tcW w:w="1000" w:type="dxa"/>
            <w:vAlign w:val="bottom"/>
            <w:tcBorders>
              <w:top w:val="single" w:sz="8" w:color="231F20"/>
              <w:bottom w:val="single" w:sz="8" w:color="231F20"/>
            </w:tcBorders>
            <w:shd w:val="clear" w:color="auto" w:fill="FDFDFC"/>
          </w:tcPr>
          <w:p>
            <w:pPr>
              <w:jc w:val="right"/>
              <w:spacing w:after="0"/>
              <w:rPr>
                <w:sz w:val="20"/>
                <w:szCs w:val="20"/>
                <w:color w:val="auto"/>
              </w:rPr>
            </w:pPr>
            <w:r>
              <w:rPr>
                <w:rFonts w:ascii="Times New Roman" w:cs="Times New Roman" w:eastAsia="Times New Roman" w:hAnsi="Times New Roman"/>
                <w:sz w:val="15"/>
                <w:szCs w:val="15"/>
                <w:color w:val="231F20"/>
              </w:rPr>
              <w:t>17,981</w:t>
            </w:r>
          </w:p>
        </w:tc>
        <w:tc>
          <w:tcPr>
            <w:tcW w:w="80" w:type="dxa"/>
            <w:vAlign w:val="bottom"/>
            <w:tcBorders>
              <w:top w:val="single" w:sz="8" w:color="D0EBF2"/>
              <w:bottom w:val="single" w:sz="8" w:color="D0EBF2"/>
            </w:tcBorders>
            <w:shd w:val="clear" w:color="auto" w:fill="FDFDFC"/>
          </w:tcPr>
          <w:p>
            <w:pPr>
              <w:spacing w:after="0"/>
              <w:rPr>
                <w:sz w:val="15"/>
                <w:szCs w:val="15"/>
                <w:color w:val="auto"/>
              </w:rPr>
            </w:pPr>
          </w:p>
        </w:tc>
        <w:tc>
          <w:tcPr>
            <w:tcW w:w="1600" w:type="dxa"/>
            <w:vAlign w:val="bottom"/>
            <w:tcBorders>
              <w:top w:val="single" w:sz="8" w:color="231F20"/>
              <w:bottom w:val="single" w:sz="8" w:color="231F20"/>
            </w:tcBorders>
            <w:shd w:val="clear" w:color="auto" w:fill="FDFDFC"/>
          </w:tcPr>
          <w:p>
            <w:pPr>
              <w:jc w:val="right"/>
              <w:spacing w:after="0"/>
              <w:rPr>
                <w:sz w:val="20"/>
                <w:szCs w:val="20"/>
                <w:color w:val="auto"/>
              </w:rPr>
            </w:pPr>
            <w:r>
              <w:rPr>
                <w:rFonts w:ascii="Times New Roman" w:cs="Times New Roman" w:eastAsia="Times New Roman" w:hAnsi="Times New Roman"/>
                <w:sz w:val="15"/>
                <w:szCs w:val="15"/>
                <w:color w:val="231F20"/>
              </w:rPr>
              <w:t>21,056</w:t>
            </w:r>
          </w:p>
        </w:tc>
        <w:tc>
          <w:tcPr>
            <w:tcW w:w="100" w:type="dxa"/>
            <w:vAlign w:val="bottom"/>
            <w:tcBorders>
              <w:top w:val="single" w:sz="8" w:color="D0EBF2"/>
              <w:bottom w:val="single" w:sz="8" w:color="D0EBF2"/>
            </w:tcBorders>
            <w:shd w:val="clear" w:color="auto" w:fill="FDFDFC"/>
          </w:tcPr>
          <w:p>
            <w:pPr>
              <w:spacing w:after="0"/>
              <w:rPr>
                <w:sz w:val="15"/>
                <w:szCs w:val="15"/>
                <w:color w:val="auto"/>
              </w:rPr>
            </w:pPr>
          </w:p>
        </w:tc>
        <w:tc>
          <w:tcPr>
            <w:tcW w:w="860" w:type="dxa"/>
            <w:vAlign w:val="bottom"/>
            <w:tcBorders>
              <w:top w:val="single" w:sz="8" w:color="231F20"/>
              <w:bottom w:val="single" w:sz="8" w:color="231F20"/>
            </w:tcBorders>
            <w:shd w:val="clear" w:color="auto" w:fill="FDFDFC"/>
          </w:tcPr>
          <w:p>
            <w:pPr>
              <w:jc w:val="right"/>
              <w:spacing w:after="0"/>
              <w:rPr>
                <w:sz w:val="20"/>
                <w:szCs w:val="20"/>
                <w:color w:val="auto"/>
              </w:rPr>
            </w:pPr>
            <w:r>
              <w:rPr>
                <w:rFonts w:ascii="Times New Roman" w:cs="Times New Roman" w:eastAsia="Times New Roman" w:hAnsi="Times New Roman"/>
                <w:sz w:val="15"/>
                <w:szCs w:val="15"/>
                <w:color w:val="231F20"/>
              </w:rPr>
              <w:t>1.3%</w:t>
            </w:r>
          </w:p>
        </w:tc>
      </w:tr>
      <w:tr>
        <w:trPr>
          <w:trHeight w:val="176"/>
        </w:trPr>
        <w:tc>
          <w:tcPr>
            <w:tcW w:w="1580" w:type="dxa"/>
            <w:vAlign w:val="bottom"/>
            <w:shd w:val="clear" w:color="auto" w:fill="D0EBF2"/>
          </w:tcPr>
          <w:p>
            <w:pPr>
              <w:spacing w:after="0"/>
              <w:rPr>
                <w:sz w:val="20"/>
                <w:szCs w:val="20"/>
                <w:color w:val="auto"/>
              </w:rPr>
            </w:pPr>
            <w:r>
              <w:rPr>
                <w:rFonts w:ascii="Times New Roman" w:cs="Times New Roman" w:eastAsia="Times New Roman" w:hAnsi="Times New Roman"/>
                <w:sz w:val="15"/>
                <w:szCs w:val="15"/>
                <w:b w:val="1"/>
                <w:bCs w:val="1"/>
                <w:color w:val="231F20"/>
              </w:rPr>
              <w:t>Marketing Services</w:t>
            </w:r>
          </w:p>
        </w:tc>
        <w:tc>
          <w:tcPr>
            <w:tcW w:w="2200" w:type="dxa"/>
            <w:vAlign w:val="bottom"/>
            <w:shd w:val="clear" w:color="auto" w:fill="D0EBF2"/>
          </w:tcPr>
          <w:p>
            <w:pPr>
              <w:spacing w:after="0"/>
              <w:rPr>
                <w:sz w:val="15"/>
                <w:szCs w:val="15"/>
                <w:color w:val="auto"/>
              </w:rPr>
            </w:pPr>
          </w:p>
        </w:tc>
        <w:tc>
          <w:tcPr>
            <w:tcW w:w="800" w:type="dxa"/>
            <w:vAlign w:val="bottom"/>
            <w:shd w:val="clear" w:color="auto" w:fill="D0EBF2"/>
          </w:tcPr>
          <w:p>
            <w:pPr>
              <w:spacing w:after="0"/>
              <w:rPr>
                <w:sz w:val="15"/>
                <w:szCs w:val="15"/>
                <w:color w:val="auto"/>
              </w:rPr>
            </w:pPr>
          </w:p>
        </w:tc>
        <w:tc>
          <w:tcPr>
            <w:tcW w:w="1160" w:type="dxa"/>
            <w:vAlign w:val="bottom"/>
            <w:shd w:val="clear" w:color="auto" w:fill="D0EBF2"/>
          </w:tcPr>
          <w:p>
            <w:pPr>
              <w:spacing w:after="0"/>
              <w:rPr>
                <w:sz w:val="15"/>
                <w:szCs w:val="15"/>
                <w:color w:val="auto"/>
              </w:rPr>
            </w:pPr>
          </w:p>
        </w:tc>
        <w:tc>
          <w:tcPr>
            <w:tcW w:w="900" w:type="dxa"/>
            <w:vAlign w:val="bottom"/>
            <w:shd w:val="clear" w:color="auto" w:fill="D0EBF2"/>
          </w:tcPr>
          <w:p>
            <w:pPr>
              <w:spacing w:after="0"/>
              <w:rPr>
                <w:sz w:val="15"/>
                <w:szCs w:val="15"/>
                <w:color w:val="auto"/>
              </w:rPr>
            </w:pPr>
          </w:p>
        </w:tc>
        <w:tc>
          <w:tcPr>
            <w:tcW w:w="1000" w:type="dxa"/>
            <w:vAlign w:val="bottom"/>
            <w:shd w:val="clear" w:color="auto" w:fill="D0EBF2"/>
          </w:tcPr>
          <w:p>
            <w:pPr>
              <w:spacing w:after="0"/>
              <w:rPr>
                <w:sz w:val="15"/>
                <w:szCs w:val="15"/>
                <w:color w:val="auto"/>
              </w:rPr>
            </w:pPr>
          </w:p>
        </w:tc>
        <w:tc>
          <w:tcPr>
            <w:tcW w:w="80" w:type="dxa"/>
            <w:vAlign w:val="bottom"/>
            <w:shd w:val="clear" w:color="auto" w:fill="D0EBF2"/>
          </w:tcPr>
          <w:p>
            <w:pPr>
              <w:spacing w:after="0"/>
              <w:rPr>
                <w:sz w:val="15"/>
                <w:szCs w:val="15"/>
                <w:color w:val="auto"/>
              </w:rPr>
            </w:pPr>
          </w:p>
        </w:tc>
        <w:tc>
          <w:tcPr>
            <w:tcW w:w="1600" w:type="dxa"/>
            <w:vAlign w:val="bottom"/>
            <w:shd w:val="clear" w:color="auto" w:fill="D0EBF2"/>
          </w:tcPr>
          <w:p>
            <w:pPr>
              <w:spacing w:after="0"/>
              <w:rPr>
                <w:sz w:val="15"/>
                <w:szCs w:val="15"/>
                <w:color w:val="auto"/>
              </w:rPr>
            </w:pPr>
          </w:p>
        </w:tc>
        <w:tc>
          <w:tcPr>
            <w:tcW w:w="100" w:type="dxa"/>
            <w:vAlign w:val="bottom"/>
            <w:shd w:val="clear" w:color="auto" w:fill="D0EBF2"/>
          </w:tcPr>
          <w:p>
            <w:pPr>
              <w:spacing w:after="0"/>
              <w:rPr>
                <w:sz w:val="15"/>
                <w:szCs w:val="15"/>
                <w:color w:val="auto"/>
              </w:rPr>
            </w:pPr>
          </w:p>
        </w:tc>
        <w:tc>
          <w:tcPr>
            <w:tcW w:w="860" w:type="dxa"/>
            <w:vAlign w:val="bottom"/>
            <w:shd w:val="clear" w:color="auto" w:fill="D0EBF2"/>
          </w:tcPr>
          <w:p>
            <w:pPr>
              <w:spacing w:after="0"/>
              <w:rPr>
                <w:sz w:val="15"/>
                <w:szCs w:val="15"/>
                <w:color w:val="auto"/>
              </w:rPr>
            </w:pPr>
          </w:p>
        </w:tc>
      </w:tr>
    </w:tbl>
    <w:p>
      <w:pPr>
        <w:spacing w:after="0" w:line="200" w:lineRule="exact"/>
        <w:rPr>
          <w:sz w:val="20"/>
          <w:szCs w:val="20"/>
          <w:color w:val="auto"/>
        </w:rPr>
      </w:pPr>
    </w:p>
    <w:p>
      <w:pPr>
        <w:sectPr>
          <w:pgSz w:w="12240" w:h="15840" w:orient="portrait"/>
          <w:cols w:equalWidth="0" w:num="1">
            <w:col w:w="10280"/>
          </w:cols>
          <w:pgMar w:left="980" w:top="1336" w:right="980" w:bottom="574" w:gutter="0" w:footer="0" w:header="0"/>
        </w:sectPr>
      </w:pP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231F20"/>
        </w:rPr>
        <w:t>F-12</w:t>
      </w:r>
    </w:p>
    <w:p>
      <w:pPr>
        <w:sectPr>
          <w:pgSz w:w="12240" w:h="15840" w:orient="portrait"/>
          <w:cols w:equalWidth="0" w:num="1">
            <w:col w:w="10280"/>
          </w:cols>
          <w:pgMar w:left="980" w:top="1336" w:right="980" w:bottom="574" w:gutter="0" w:footer="0" w:header="0"/>
          <w:type w:val="continuous"/>
        </w:sectPr>
      </w:pPr>
    </w:p>
    <w:bookmarkStart w:id="100" w:name="page101"/>
    <w:bookmarkEnd w:id="100"/>
    <w:tbl>
      <w:tblPr>
        <w:tblLayout w:type="fixed"/>
        <w:tblInd w:w="1" w:type="dxa"/>
        <w:tblCellMar>
          <w:top w:w="0" w:type="dxa"/>
          <w:left w:w="0" w:type="dxa"/>
          <w:bottom w:w="0" w:type="dxa"/>
          <w:right w:w="0" w:type="dxa"/>
        </w:tblCellMar>
      </w:tblPr>
      <w:tr>
        <w:trPr>
          <w:trHeight w:val="172"/>
        </w:trPr>
        <w:tc>
          <w:tcPr>
            <w:tcW w:w="1560" w:type="dxa"/>
            <w:vAlign w:val="bottom"/>
            <w:shd w:val="clear" w:color="auto" w:fill="FDFDFC"/>
          </w:tcPr>
          <w:p>
            <w:pPr>
              <w:spacing w:after="0"/>
              <w:rPr>
                <w:sz w:val="20"/>
                <w:szCs w:val="20"/>
                <w:color w:val="auto"/>
              </w:rPr>
            </w:pPr>
            <w:r>
              <w:rPr>
                <w:rFonts w:ascii="Times New Roman" w:cs="Times New Roman" w:eastAsia="Times New Roman" w:hAnsi="Times New Roman"/>
                <w:sz w:val="15"/>
                <w:szCs w:val="15"/>
                <w:color w:val="231F20"/>
              </w:rPr>
              <w:t xml:space="preserve">Validity, Inc. </w:t>
            </w:r>
            <w:r>
              <w:rPr>
                <w:rFonts w:ascii="Times New Roman" w:cs="Times New Roman" w:eastAsia="Times New Roman" w:hAnsi="Times New Roman"/>
                <w:sz w:val="9"/>
                <w:szCs w:val="9"/>
                <w:color w:val="231F20"/>
              </w:rPr>
              <w:t>(11)</w:t>
            </w:r>
          </w:p>
        </w:tc>
        <w:tc>
          <w:tcPr>
            <w:tcW w:w="2280" w:type="dxa"/>
            <w:vAlign w:val="bottom"/>
            <w:gridSpan w:val="5"/>
            <w:shd w:val="clear" w:color="auto" w:fill="FDFDFC"/>
          </w:tcPr>
          <w:p>
            <w:pPr>
              <w:ind w:left="80"/>
              <w:spacing w:after="0"/>
              <w:rPr>
                <w:sz w:val="20"/>
                <w:szCs w:val="20"/>
                <w:color w:val="auto"/>
              </w:rPr>
            </w:pPr>
            <w:r>
              <w:rPr>
                <w:rFonts w:ascii="Times New Roman" w:cs="Times New Roman" w:eastAsia="Times New Roman" w:hAnsi="Times New Roman"/>
                <w:sz w:val="15"/>
                <w:szCs w:val="15"/>
                <w:color w:val="231F20"/>
              </w:rPr>
              <w:t>Series A Preferred Shares</w:t>
            </w:r>
          </w:p>
        </w:tc>
        <w:tc>
          <w:tcPr>
            <w:tcW w:w="740" w:type="dxa"/>
            <w:vAlign w:val="bottom"/>
            <w:gridSpan w:val="3"/>
            <w:shd w:val="clear" w:color="auto" w:fill="FDFDFC"/>
          </w:tcPr>
          <w:p>
            <w:pPr>
              <w:jc w:val="right"/>
              <w:spacing w:after="0"/>
              <w:rPr>
                <w:sz w:val="20"/>
                <w:szCs w:val="20"/>
                <w:color w:val="auto"/>
              </w:rPr>
            </w:pPr>
            <w:r>
              <w:rPr>
                <w:rFonts w:ascii="Times New Roman" w:cs="Times New Roman" w:eastAsia="Times New Roman" w:hAnsi="Times New Roman"/>
                <w:sz w:val="15"/>
                <w:szCs w:val="15"/>
                <w:color w:val="231F20"/>
              </w:rPr>
              <w:t>5/31/2018</w:t>
            </w:r>
          </w:p>
        </w:tc>
        <w:tc>
          <w:tcPr>
            <w:tcW w:w="820" w:type="dxa"/>
            <w:vAlign w:val="bottom"/>
            <w:shd w:val="clear" w:color="auto" w:fill="FDFDFC"/>
          </w:tcPr>
          <w:p>
            <w:pPr>
              <w:spacing w:after="0"/>
              <w:rPr>
                <w:sz w:val="15"/>
                <w:szCs w:val="15"/>
                <w:color w:val="auto"/>
              </w:rPr>
            </w:pPr>
          </w:p>
        </w:tc>
        <w:tc>
          <w:tcPr>
            <w:tcW w:w="120" w:type="dxa"/>
            <w:vAlign w:val="bottom"/>
            <w:shd w:val="clear" w:color="auto" w:fill="FDFDFC"/>
          </w:tcPr>
          <w:p>
            <w:pPr>
              <w:spacing w:after="0"/>
              <w:rPr>
                <w:sz w:val="15"/>
                <w:szCs w:val="15"/>
                <w:color w:val="auto"/>
              </w:rPr>
            </w:pPr>
          </w:p>
        </w:tc>
        <w:tc>
          <w:tcPr>
            <w:tcW w:w="140" w:type="dxa"/>
            <w:vAlign w:val="bottom"/>
            <w:shd w:val="clear" w:color="auto" w:fill="FDFDFC"/>
          </w:tcPr>
          <w:p>
            <w:pPr>
              <w:spacing w:after="0"/>
              <w:rPr>
                <w:sz w:val="15"/>
                <w:szCs w:val="15"/>
                <w:color w:val="auto"/>
              </w:rPr>
            </w:pPr>
          </w:p>
        </w:tc>
        <w:tc>
          <w:tcPr>
            <w:tcW w:w="860" w:type="dxa"/>
            <w:vAlign w:val="bottom"/>
            <w:shd w:val="clear" w:color="auto" w:fill="FDFDFC"/>
          </w:tcPr>
          <w:p>
            <w:pPr>
              <w:spacing w:after="0"/>
              <w:rPr>
                <w:sz w:val="15"/>
                <w:szCs w:val="15"/>
                <w:color w:val="auto"/>
              </w:rPr>
            </w:pPr>
          </w:p>
        </w:tc>
        <w:tc>
          <w:tcPr>
            <w:tcW w:w="120" w:type="dxa"/>
            <w:vAlign w:val="bottom"/>
            <w:shd w:val="clear" w:color="auto" w:fill="FDFDFC"/>
          </w:tcPr>
          <w:p>
            <w:pPr>
              <w:spacing w:after="0"/>
              <w:rPr>
                <w:sz w:val="15"/>
                <w:szCs w:val="15"/>
                <w:color w:val="auto"/>
              </w:rPr>
            </w:pPr>
          </w:p>
        </w:tc>
        <w:tc>
          <w:tcPr>
            <w:tcW w:w="80" w:type="dxa"/>
            <w:vAlign w:val="bottom"/>
            <w:shd w:val="clear" w:color="auto" w:fill="FDFDFC"/>
          </w:tcPr>
          <w:p>
            <w:pPr>
              <w:spacing w:after="0"/>
              <w:rPr>
                <w:sz w:val="15"/>
                <w:szCs w:val="15"/>
                <w:color w:val="auto"/>
              </w:rPr>
            </w:pPr>
          </w:p>
        </w:tc>
        <w:tc>
          <w:tcPr>
            <w:tcW w:w="20" w:type="dxa"/>
            <w:vAlign w:val="bottom"/>
            <w:shd w:val="clear" w:color="auto" w:fill="FDFDFC"/>
          </w:tcPr>
          <w:p>
            <w:pPr>
              <w:spacing w:after="0"/>
              <w:rPr>
                <w:sz w:val="15"/>
                <w:szCs w:val="15"/>
                <w:color w:val="auto"/>
              </w:rPr>
            </w:pPr>
          </w:p>
        </w:tc>
        <w:tc>
          <w:tcPr>
            <w:tcW w:w="140" w:type="dxa"/>
            <w:vAlign w:val="bottom"/>
            <w:shd w:val="clear" w:color="auto" w:fill="FDFDFC"/>
          </w:tcPr>
          <w:p>
            <w:pPr>
              <w:spacing w:after="0"/>
              <w:rPr>
                <w:sz w:val="15"/>
                <w:szCs w:val="15"/>
                <w:color w:val="auto"/>
              </w:rPr>
            </w:pPr>
          </w:p>
        </w:tc>
        <w:tc>
          <w:tcPr>
            <w:tcW w:w="760" w:type="dxa"/>
            <w:vAlign w:val="bottom"/>
            <w:shd w:val="clear" w:color="auto" w:fill="FDFDFC"/>
          </w:tcPr>
          <w:p>
            <w:pPr>
              <w:jc w:val="right"/>
              <w:spacing w:after="0"/>
              <w:rPr>
                <w:sz w:val="20"/>
                <w:szCs w:val="20"/>
                <w:color w:val="auto"/>
              </w:rPr>
            </w:pPr>
            <w:r>
              <w:rPr>
                <w:rFonts w:ascii="Times New Roman" w:cs="Times New Roman" w:eastAsia="Times New Roman" w:hAnsi="Times New Roman"/>
                <w:sz w:val="15"/>
                <w:szCs w:val="15"/>
                <w:color w:val="231F20"/>
              </w:rPr>
              <w:t>3,840</w:t>
            </w:r>
          </w:p>
        </w:tc>
        <w:tc>
          <w:tcPr>
            <w:tcW w:w="80" w:type="dxa"/>
            <w:vAlign w:val="bottom"/>
            <w:shd w:val="clear" w:color="auto" w:fill="FDFDFC"/>
          </w:tcPr>
          <w:p>
            <w:pPr>
              <w:spacing w:after="0"/>
              <w:rPr>
                <w:sz w:val="15"/>
                <w:szCs w:val="15"/>
                <w:color w:val="auto"/>
              </w:rPr>
            </w:pPr>
          </w:p>
        </w:tc>
        <w:tc>
          <w:tcPr>
            <w:tcW w:w="20" w:type="dxa"/>
            <w:vAlign w:val="bottom"/>
            <w:shd w:val="clear" w:color="auto" w:fill="FDFDFC"/>
          </w:tcPr>
          <w:p>
            <w:pPr>
              <w:spacing w:after="0"/>
              <w:rPr>
                <w:sz w:val="15"/>
                <w:szCs w:val="15"/>
                <w:color w:val="auto"/>
              </w:rPr>
            </w:pPr>
          </w:p>
        </w:tc>
        <w:tc>
          <w:tcPr>
            <w:tcW w:w="80" w:type="dxa"/>
            <w:vAlign w:val="bottom"/>
            <w:shd w:val="clear" w:color="auto" w:fill="FDFDFC"/>
          </w:tcPr>
          <w:p>
            <w:pPr>
              <w:spacing w:after="0"/>
              <w:rPr>
                <w:sz w:val="15"/>
                <w:szCs w:val="15"/>
                <w:color w:val="auto"/>
              </w:rPr>
            </w:pPr>
          </w:p>
        </w:tc>
        <w:tc>
          <w:tcPr>
            <w:tcW w:w="120" w:type="dxa"/>
            <w:vAlign w:val="bottom"/>
            <w:shd w:val="clear" w:color="auto" w:fill="FDFDFC"/>
          </w:tcPr>
          <w:p>
            <w:pPr>
              <w:spacing w:after="0"/>
              <w:rPr>
                <w:sz w:val="15"/>
                <w:szCs w:val="15"/>
                <w:color w:val="auto"/>
              </w:rPr>
            </w:pPr>
          </w:p>
        </w:tc>
        <w:tc>
          <w:tcPr>
            <w:tcW w:w="60" w:type="dxa"/>
            <w:vAlign w:val="bottom"/>
            <w:shd w:val="clear" w:color="auto" w:fill="FDFDFC"/>
          </w:tcPr>
          <w:p>
            <w:pPr>
              <w:spacing w:after="0"/>
              <w:rPr>
                <w:sz w:val="15"/>
                <w:szCs w:val="15"/>
                <w:color w:val="auto"/>
              </w:rPr>
            </w:pPr>
          </w:p>
        </w:tc>
        <w:tc>
          <w:tcPr>
            <w:tcW w:w="1300" w:type="dxa"/>
            <w:vAlign w:val="bottom"/>
            <w:gridSpan w:val="3"/>
            <w:shd w:val="clear" w:color="auto" w:fill="FDFDFC"/>
          </w:tcPr>
          <w:p>
            <w:pPr>
              <w:jc w:val="right"/>
              <w:spacing w:after="0"/>
              <w:rPr>
                <w:sz w:val="20"/>
                <w:szCs w:val="20"/>
                <w:color w:val="auto"/>
              </w:rPr>
            </w:pPr>
            <w:r>
              <w:rPr>
                <w:rFonts w:ascii="Times New Roman" w:cs="Times New Roman" w:eastAsia="Times New Roman" w:hAnsi="Times New Roman"/>
                <w:sz w:val="15"/>
                <w:szCs w:val="15"/>
                <w:color w:val="231F20"/>
              </w:rPr>
              <w:t>10,752</w:t>
            </w:r>
          </w:p>
        </w:tc>
        <w:tc>
          <w:tcPr>
            <w:tcW w:w="980" w:type="dxa"/>
            <w:vAlign w:val="bottom"/>
            <w:gridSpan w:val="4"/>
            <w:shd w:val="clear" w:color="auto" w:fill="FDFDFC"/>
          </w:tcPr>
          <w:p>
            <w:pPr>
              <w:jc w:val="right"/>
              <w:spacing w:after="0"/>
              <w:rPr>
                <w:sz w:val="20"/>
                <w:szCs w:val="20"/>
                <w:color w:val="auto"/>
              </w:rPr>
            </w:pPr>
            <w:r>
              <w:rPr>
                <w:rFonts w:ascii="Times New Roman" w:cs="Times New Roman" w:eastAsia="Times New Roman" w:hAnsi="Times New Roman"/>
                <w:sz w:val="15"/>
                <w:szCs w:val="15"/>
                <w:color w:val="231F20"/>
              </w:rPr>
              <w:t>0.8%</w:t>
            </w:r>
          </w:p>
        </w:tc>
        <w:tc>
          <w:tcPr>
            <w:tcW w:w="0" w:type="dxa"/>
            <w:vAlign w:val="bottom"/>
          </w:tcPr>
          <w:p>
            <w:pPr>
              <w:spacing w:after="0"/>
              <w:rPr>
                <w:sz w:val="1"/>
                <w:szCs w:val="1"/>
                <w:color w:val="auto"/>
              </w:rPr>
            </w:pPr>
          </w:p>
        </w:tc>
      </w:tr>
      <w:tr>
        <w:trPr>
          <w:trHeight w:val="189"/>
        </w:trPr>
        <w:tc>
          <w:tcPr>
            <w:tcW w:w="1560" w:type="dxa"/>
            <w:vAlign w:val="bottom"/>
            <w:shd w:val="clear" w:color="auto" w:fill="FDFDFC"/>
          </w:tcPr>
          <w:p>
            <w:pPr>
              <w:spacing w:after="0"/>
              <w:rPr>
                <w:sz w:val="16"/>
                <w:szCs w:val="16"/>
                <w:color w:val="auto"/>
              </w:rPr>
            </w:pPr>
          </w:p>
        </w:tc>
        <w:tc>
          <w:tcPr>
            <w:tcW w:w="1620" w:type="dxa"/>
            <w:vAlign w:val="bottom"/>
            <w:gridSpan w:val="4"/>
            <w:shd w:val="clear" w:color="auto" w:fill="FDFDFC"/>
          </w:tcPr>
          <w:p>
            <w:pPr>
              <w:ind w:left="80"/>
              <w:spacing w:after="0"/>
              <w:rPr>
                <w:sz w:val="20"/>
                <w:szCs w:val="20"/>
                <w:color w:val="auto"/>
              </w:rPr>
            </w:pPr>
            <w:r>
              <w:rPr>
                <w:rFonts w:ascii="Times New Roman" w:cs="Times New Roman" w:eastAsia="Times New Roman" w:hAnsi="Times New Roman"/>
                <w:sz w:val="15"/>
                <w:szCs w:val="15"/>
                <w:color w:val="231F20"/>
              </w:rPr>
              <w:t>(3,840,000 shares)</w:t>
            </w:r>
          </w:p>
        </w:tc>
        <w:tc>
          <w:tcPr>
            <w:tcW w:w="660" w:type="dxa"/>
            <w:vAlign w:val="bottom"/>
            <w:shd w:val="clear" w:color="auto" w:fill="FDFDFC"/>
          </w:tcPr>
          <w:p>
            <w:pPr>
              <w:spacing w:after="0"/>
              <w:rPr>
                <w:sz w:val="16"/>
                <w:szCs w:val="16"/>
                <w:color w:val="auto"/>
              </w:rPr>
            </w:pPr>
          </w:p>
        </w:tc>
        <w:tc>
          <w:tcPr>
            <w:tcW w:w="360" w:type="dxa"/>
            <w:vAlign w:val="bottom"/>
            <w:shd w:val="clear" w:color="auto" w:fill="FDFDFC"/>
          </w:tcPr>
          <w:p>
            <w:pPr>
              <w:spacing w:after="0"/>
              <w:rPr>
                <w:sz w:val="16"/>
                <w:szCs w:val="16"/>
                <w:color w:val="auto"/>
              </w:rPr>
            </w:pPr>
          </w:p>
        </w:tc>
        <w:tc>
          <w:tcPr>
            <w:tcW w:w="120" w:type="dxa"/>
            <w:vAlign w:val="bottom"/>
            <w:shd w:val="clear" w:color="auto" w:fill="FDFDFC"/>
          </w:tcPr>
          <w:p>
            <w:pPr>
              <w:spacing w:after="0"/>
              <w:rPr>
                <w:sz w:val="16"/>
                <w:szCs w:val="16"/>
                <w:color w:val="auto"/>
              </w:rPr>
            </w:pPr>
          </w:p>
        </w:tc>
        <w:tc>
          <w:tcPr>
            <w:tcW w:w="260" w:type="dxa"/>
            <w:vAlign w:val="bottom"/>
            <w:shd w:val="clear" w:color="auto" w:fill="FDFDFC"/>
          </w:tcPr>
          <w:p>
            <w:pPr>
              <w:spacing w:after="0"/>
              <w:rPr>
                <w:sz w:val="16"/>
                <w:szCs w:val="16"/>
                <w:color w:val="auto"/>
              </w:rPr>
            </w:pPr>
          </w:p>
        </w:tc>
        <w:tc>
          <w:tcPr>
            <w:tcW w:w="820" w:type="dxa"/>
            <w:vAlign w:val="bottom"/>
            <w:shd w:val="clear" w:color="auto" w:fill="FDFDFC"/>
          </w:tcPr>
          <w:p>
            <w:pPr>
              <w:spacing w:after="0"/>
              <w:rPr>
                <w:sz w:val="16"/>
                <w:szCs w:val="16"/>
                <w:color w:val="auto"/>
              </w:rPr>
            </w:pPr>
          </w:p>
        </w:tc>
        <w:tc>
          <w:tcPr>
            <w:tcW w:w="120" w:type="dxa"/>
            <w:vAlign w:val="bottom"/>
            <w:shd w:val="clear" w:color="auto" w:fill="FDFDFC"/>
          </w:tcPr>
          <w:p>
            <w:pPr>
              <w:spacing w:after="0"/>
              <w:rPr>
                <w:sz w:val="16"/>
                <w:szCs w:val="16"/>
                <w:color w:val="auto"/>
              </w:rPr>
            </w:pPr>
          </w:p>
        </w:tc>
        <w:tc>
          <w:tcPr>
            <w:tcW w:w="140" w:type="dxa"/>
            <w:vAlign w:val="bottom"/>
            <w:shd w:val="clear" w:color="auto" w:fill="FDFDFC"/>
          </w:tcPr>
          <w:p>
            <w:pPr>
              <w:spacing w:after="0"/>
              <w:rPr>
                <w:sz w:val="16"/>
                <w:szCs w:val="16"/>
                <w:color w:val="auto"/>
              </w:rPr>
            </w:pPr>
          </w:p>
        </w:tc>
        <w:tc>
          <w:tcPr>
            <w:tcW w:w="860" w:type="dxa"/>
            <w:vAlign w:val="bottom"/>
            <w:shd w:val="clear" w:color="auto" w:fill="FDFDFC"/>
          </w:tcPr>
          <w:p>
            <w:pPr>
              <w:spacing w:after="0"/>
              <w:rPr>
                <w:sz w:val="16"/>
                <w:szCs w:val="16"/>
                <w:color w:val="auto"/>
              </w:rPr>
            </w:pPr>
          </w:p>
        </w:tc>
        <w:tc>
          <w:tcPr>
            <w:tcW w:w="120" w:type="dxa"/>
            <w:vAlign w:val="bottom"/>
            <w:shd w:val="clear" w:color="auto" w:fill="FDFDFC"/>
          </w:tcPr>
          <w:p>
            <w:pPr>
              <w:spacing w:after="0"/>
              <w:rPr>
                <w:sz w:val="16"/>
                <w:szCs w:val="16"/>
                <w:color w:val="auto"/>
              </w:rPr>
            </w:pPr>
          </w:p>
        </w:tc>
        <w:tc>
          <w:tcPr>
            <w:tcW w:w="80" w:type="dxa"/>
            <w:vAlign w:val="bottom"/>
            <w:shd w:val="clear" w:color="auto" w:fill="FDFDFC"/>
          </w:tcPr>
          <w:p>
            <w:pPr>
              <w:spacing w:after="0"/>
              <w:rPr>
                <w:sz w:val="16"/>
                <w:szCs w:val="16"/>
                <w:color w:val="auto"/>
              </w:rPr>
            </w:pPr>
          </w:p>
        </w:tc>
        <w:tc>
          <w:tcPr>
            <w:tcW w:w="20" w:type="dxa"/>
            <w:vAlign w:val="bottom"/>
            <w:shd w:val="clear" w:color="auto" w:fill="FDFDFC"/>
          </w:tcPr>
          <w:p>
            <w:pPr>
              <w:spacing w:after="0"/>
              <w:rPr>
                <w:sz w:val="16"/>
                <w:szCs w:val="16"/>
                <w:color w:val="auto"/>
              </w:rPr>
            </w:pPr>
          </w:p>
        </w:tc>
        <w:tc>
          <w:tcPr>
            <w:tcW w:w="140" w:type="dxa"/>
            <w:vAlign w:val="bottom"/>
            <w:shd w:val="clear" w:color="auto" w:fill="FDFDFC"/>
          </w:tcPr>
          <w:p>
            <w:pPr>
              <w:spacing w:after="0"/>
              <w:rPr>
                <w:sz w:val="16"/>
                <w:szCs w:val="16"/>
                <w:color w:val="auto"/>
              </w:rPr>
            </w:pPr>
          </w:p>
        </w:tc>
        <w:tc>
          <w:tcPr>
            <w:tcW w:w="760" w:type="dxa"/>
            <w:vAlign w:val="bottom"/>
            <w:shd w:val="clear" w:color="auto" w:fill="FDFDFC"/>
          </w:tcPr>
          <w:p>
            <w:pPr>
              <w:spacing w:after="0"/>
              <w:rPr>
                <w:sz w:val="16"/>
                <w:szCs w:val="16"/>
                <w:color w:val="auto"/>
              </w:rPr>
            </w:pPr>
          </w:p>
        </w:tc>
        <w:tc>
          <w:tcPr>
            <w:tcW w:w="80" w:type="dxa"/>
            <w:vAlign w:val="bottom"/>
            <w:shd w:val="clear" w:color="auto" w:fill="FDFDFC"/>
          </w:tcPr>
          <w:p>
            <w:pPr>
              <w:spacing w:after="0"/>
              <w:rPr>
                <w:sz w:val="16"/>
                <w:szCs w:val="16"/>
                <w:color w:val="auto"/>
              </w:rPr>
            </w:pPr>
          </w:p>
        </w:tc>
        <w:tc>
          <w:tcPr>
            <w:tcW w:w="20" w:type="dxa"/>
            <w:vAlign w:val="bottom"/>
            <w:shd w:val="clear" w:color="auto" w:fill="FDFDFC"/>
          </w:tcPr>
          <w:p>
            <w:pPr>
              <w:spacing w:after="0"/>
              <w:rPr>
                <w:sz w:val="16"/>
                <w:szCs w:val="16"/>
                <w:color w:val="auto"/>
              </w:rPr>
            </w:pPr>
          </w:p>
        </w:tc>
        <w:tc>
          <w:tcPr>
            <w:tcW w:w="80" w:type="dxa"/>
            <w:vAlign w:val="bottom"/>
            <w:shd w:val="clear" w:color="auto" w:fill="FDFDFC"/>
          </w:tcPr>
          <w:p>
            <w:pPr>
              <w:spacing w:after="0"/>
              <w:rPr>
                <w:sz w:val="16"/>
                <w:szCs w:val="16"/>
                <w:color w:val="auto"/>
              </w:rPr>
            </w:pPr>
          </w:p>
        </w:tc>
        <w:tc>
          <w:tcPr>
            <w:tcW w:w="120" w:type="dxa"/>
            <w:vAlign w:val="bottom"/>
            <w:shd w:val="clear" w:color="auto" w:fill="FDFDFC"/>
          </w:tcPr>
          <w:p>
            <w:pPr>
              <w:spacing w:after="0"/>
              <w:rPr>
                <w:sz w:val="16"/>
                <w:szCs w:val="16"/>
                <w:color w:val="auto"/>
              </w:rPr>
            </w:pPr>
          </w:p>
        </w:tc>
        <w:tc>
          <w:tcPr>
            <w:tcW w:w="60" w:type="dxa"/>
            <w:vAlign w:val="bottom"/>
            <w:shd w:val="clear" w:color="auto" w:fill="FDFDFC"/>
          </w:tcPr>
          <w:p>
            <w:pPr>
              <w:spacing w:after="0"/>
              <w:rPr>
                <w:sz w:val="16"/>
                <w:szCs w:val="16"/>
                <w:color w:val="auto"/>
              </w:rPr>
            </w:pPr>
          </w:p>
        </w:tc>
        <w:tc>
          <w:tcPr>
            <w:tcW w:w="920" w:type="dxa"/>
            <w:vAlign w:val="bottom"/>
            <w:shd w:val="clear" w:color="auto" w:fill="FDFDFC"/>
          </w:tcPr>
          <w:p>
            <w:pPr>
              <w:spacing w:after="0"/>
              <w:rPr>
                <w:sz w:val="16"/>
                <w:szCs w:val="16"/>
                <w:color w:val="auto"/>
              </w:rPr>
            </w:pPr>
          </w:p>
        </w:tc>
        <w:tc>
          <w:tcPr>
            <w:tcW w:w="220" w:type="dxa"/>
            <w:vAlign w:val="bottom"/>
            <w:shd w:val="clear" w:color="auto" w:fill="FDFDFC"/>
          </w:tcPr>
          <w:p>
            <w:pPr>
              <w:spacing w:after="0"/>
              <w:rPr>
                <w:sz w:val="16"/>
                <w:szCs w:val="16"/>
                <w:color w:val="auto"/>
              </w:rPr>
            </w:pPr>
          </w:p>
        </w:tc>
        <w:tc>
          <w:tcPr>
            <w:tcW w:w="160" w:type="dxa"/>
            <w:vAlign w:val="bottom"/>
            <w:shd w:val="clear" w:color="auto" w:fill="FDFDFC"/>
          </w:tcPr>
          <w:p>
            <w:pPr>
              <w:spacing w:after="0"/>
              <w:rPr>
                <w:sz w:val="16"/>
                <w:szCs w:val="16"/>
                <w:color w:val="auto"/>
              </w:rPr>
            </w:pPr>
          </w:p>
        </w:tc>
        <w:tc>
          <w:tcPr>
            <w:tcW w:w="20" w:type="dxa"/>
            <w:vAlign w:val="bottom"/>
            <w:shd w:val="clear" w:color="auto" w:fill="FDFDFC"/>
          </w:tcPr>
          <w:p>
            <w:pPr>
              <w:spacing w:after="0"/>
              <w:rPr>
                <w:sz w:val="16"/>
                <w:szCs w:val="16"/>
                <w:color w:val="auto"/>
              </w:rPr>
            </w:pPr>
          </w:p>
        </w:tc>
        <w:tc>
          <w:tcPr>
            <w:tcW w:w="100" w:type="dxa"/>
            <w:vAlign w:val="bottom"/>
            <w:shd w:val="clear" w:color="auto" w:fill="FDFDFC"/>
          </w:tcPr>
          <w:p>
            <w:pPr>
              <w:spacing w:after="0"/>
              <w:rPr>
                <w:sz w:val="16"/>
                <w:szCs w:val="16"/>
                <w:color w:val="auto"/>
              </w:rPr>
            </w:pPr>
          </w:p>
        </w:tc>
        <w:tc>
          <w:tcPr>
            <w:tcW w:w="760" w:type="dxa"/>
            <w:vAlign w:val="bottom"/>
            <w:shd w:val="clear" w:color="auto" w:fill="FDFDFC"/>
          </w:tcPr>
          <w:p>
            <w:pPr>
              <w:spacing w:after="0"/>
              <w:rPr>
                <w:sz w:val="16"/>
                <w:szCs w:val="16"/>
                <w:color w:val="auto"/>
              </w:rPr>
            </w:pPr>
          </w:p>
        </w:tc>
        <w:tc>
          <w:tcPr>
            <w:tcW w:w="100" w:type="dxa"/>
            <w:vAlign w:val="bottom"/>
            <w:shd w:val="clear" w:color="auto" w:fill="FDFDFC"/>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1560" w:type="dxa"/>
            <w:vAlign w:val="bottom"/>
            <w:shd w:val="clear" w:color="auto" w:fill="D0EBF2"/>
          </w:tcPr>
          <w:p>
            <w:pPr>
              <w:spacing w:after="0" w:line="169" w:lineRule="exact"/>
              <w:rPr>
                <w:sz w:val="20"/>
                <w:szCs w:val="20"/>
                <w:color w:val="auto"/>
              </w:rPr>
            </w:pPr>
            <w:r>
              <w:rPr>
                <w:rFonts w:ascii="Times New Roman" w:cs="Times New Roman" w:eastAsia="Times New Roman" w:hAnsi="Times New Roman"/>
                <w:sz w:val="15"/>
                <w:szCs w:val="15"/>
                <w:b w:val="1"/>
                <w:bCs w:val="1"/>
                <w:color w:val="231F20"/>
              </w:rPr>
              <w:t>Oil, Gas and</w:t>
            </w:r>
          </w:p>
        </w:tc>
        <w:tc>
          <w:tcPr>
            <w:tcW w:w="340" w:type="dxa"/>
            <w:vAlign w:val="bottom"/>
            <w:shd w:val="clear" w:color="auto" w:fill="D0EBF2"/>
          </w:tcPr>
          <w:p>
            <w:pPr>
              <w:spacing w:after="0"/>
              <w:rPr>
                <w:sz w:val="14"/>
                <w:szCs w:val="14"/>
                <w:color w:val="auto"/>
              </w:rPr>
            </w:pPr>
          </w:p>
        </w:tc>
        <w:tc>
          <w:tcPr>
            <w:tcW w:w="1100" w:type="dxa"/>
            <w:vAlign w:val="bottom"/>
            <w:shd w:val="clear" w:color="auto" w:fill="D0EBF2"/>
          </w:tcPr>
          <w:p>
            <w:pPr>
              <w:spacing w:after="0"/>
              <w:rPr>
                <w:sz w:val="14"/>
                <w:szCs w:val="14"/>
                <w:color w:val="auto"/>
              </w:rPr>
            </w:pPr>
          </w:p>
        </w:tc>
        <w:tc>
          <w:tcPr>
            <w:tcW w:w="120" w:type="dxa"/>
            <w:vAlign w:val="bottom"/>
            <w:shd w:val="clear" w:color="auto" w:fill="D0EBF2"/>
          </w:tcPr>
          <w:p>
            <w:pPr>
              <w:spacing w:after="0"/>
              <w:rPr>
                <w:sz w:val="14"/>
                <w:szCs w:val="14"/>
                <w:color w:val="auto"/>
              </w:rPr>
            </w:pPr>
          </w:p>
        </w:tc>
        <w:tc>
          <w:tcPr>
            <w:tcW w:w="60" w:type="dxa"/>
            <w:vAlign w:val="bottom"/>
            <w:shd w:val="clear" w:color="auto" w:fill="D0EBF2"/>
          </w:tcPr>
          <w:p>
            <w:pPr>
              <w:spacing w:after="0"/>
              <w:rPr>
                <w:sz w:val="14"/>
                <w:szCs w:val="14"/>
                <w:color w:val="auto"/>
              </w:rPr>
            </w:pPr>
          </w:p>
        </w:tc>
        <w:tc>
          <w:tcPr>
            <w:tcW w:w="660" w:type="dxa"/>
            <w:vAlign w:val="bottom"/>
            <w:shd w:val="clear" w:color="auto" w:fill="D0EBF2"/>
          </w:tcPr>
          <w:p>
            <w:pPr>
              <w:spacing w:after="0"/>
              <w:rPr>
                <w:sz w:val="14"/>
                <w:szCs w:val="14"/>
                <w:color w:val="auto"/>
              </w:rPr>
            </w:pPr>
          </w:p>
        </w:tc>
        <w:tc>
          <w:tcPr>
            <w:tcW w:w="360" w:type="dxa"/>
            <w:vAlign w:val="bottom"/>
            <w:shd w:val="clear" w:color="auto" w:fill="D0EBF2"/>
          </w:tcPr>
          <w:p>
            <w:pPr>
              <w:spacing w:after="0"/>
              <w:rPr>
                <w:sz w:val="14"/>
                <w:szCs w:val="14"/>
                <w:color w:val="auto"/>
              </w:rPr>
            </w:pPr>
          </w:p>
        </w:tc>
        <w:tc>
          <w:tcPr>
            <w:tcW w:w="120" w:type="dxa"/>
            <w:vAlign w:val="bottom"/>
            <w:shd w:val="clear" w:color="auto" w:fill="D0EBF2"/>
          </w:tcPr>
          <w:p>
            <w:pPr>
              <w:spacing w:after="0"/>
              <w:rPr>
                <w:sz w:val="14"/>
                <w:szCs w:val="14"/>
                <w:color w:val="auto"/>
              </w:rPr>
            </w:pPr>
          </w:p>
        </w:tc>
        <w:tc>
          <w:tcPr>
            <w:tcW w:w="260" w:type="dxa"/>
            <w:vAlign w:val="bottom"/>
            <w:shd w:val="clear" w:color="auto" w:fill="D0EBF2"/>
          </w:tcPr>
          <w:p>
            <w:pPr>
              <w:spacing w:after="0"/>
              <w:rPr>
                <w:sz w:val="14"/>
                <w:szCs w:val="14"/>
                <w:color w:val="auto"/>
              </w:rPr>
            </w:pPr>
          </w:p>
        </w:tc>
        <w:tc>
          <w:tcPr>
            <w:tcW w:w="820" w:type="dxa"/>
            <w:vAlign w:val="bottom"/>
            <w:shd w:val="clear" w:color="auto" w:fill="D0EBF2"/>
          </w:tcPr>
          <w:p>
            <w:pPr>
              <w:spacing w:after="0"/>
              <w:rPr>
                <w:sz w:val="14"/>
                <w:szCs w:val="14"/>
                <w:color w:val="auto"/>
              </w:rPr>
            </w:pPr>
          </w:p>
        </w:tc>
        <w:tc>
          <w:tcPr>
            <w:tcW w:w="120" w:type="dxa"/>
            <w:vAlign w:val="bottom"/>
            <w:shd w:val="clear" w:color="auto" w:fill="D0EBF2"/>
          </w:tcPr>
          <w:p>
            <w:pPr>
              <w:spacing w:after="0"/>
              <w:rPr>
                <w:sz w:val="14"/>
                <w:szCs w:val="14"/>
                <w:color w:val="auto"/>
              </w:rPr>
            </w:pPr>
          </w:p>
        </w:tc>
        <w:tc>
          <w:tcPr>
            <w:tcW w:w="140" w:type="dxa"/>
            <w:vAlign w:val="bottom"/>
            <w:shd w:val="clear" w:color="auto" w:fill="D0EBF2"/>
          </w:tcPr>
          <w:p>
            <w:pPr>
              <w:spacing w:after="0"/>
              <w:rPr>
                <w:sz w:val="14"/>
                <w:szCs w:val="14"/>
                <w:color w:val="auto"/>
              </w:rPr>
            </w:pPr>
          </w:p>
        </w:tc>
        <w:tc>
          <w:tcPr>
            <w:tcW w:w="860" w:type="dxa"/>
            <w:vAlign w:val="bottom"/>
            <w:shd w:val="clear" w:color="auto" w:fill="D0EBF2"/>
          </w:tcPr>
          <w:p>
            <w:pPr>
              <w:spacing w:after="0"/>
              <w:rPr>
                <w:sz w:val="14"/>
                <w:szCs w:val="14"/>
                <w:color w:val="auto"/>
              </w:rPr>
            </w:pPr>
          </w:p>
        </w:tc>
        <w:tc>
          <w:tcPr>
            <w:tcW w:w="120" w:type="dxa"/>
            <w:vAlign w:val="bottom"/>
            <w:shd w:val="clear" w:color="auto" w:fill="D0EBF2"/>
          </w:tcPr>
          <w:p>
            <w:pPr>
              <w:spacing w:after="0"/>
              <w:rPr>
                <w:sz w:val="14"/>
                <w:szCs w:val="14"/>
                <w:color w:val="auto"/>
              </w:rPr>
            </w:pPr>
          </w:p>
        </w:tc>
        <w:tc>
          <w:tcPr>
            <w:tcW w:w="80" w:type="dxa"/>
            <w:vAlign w:val="bottom"/>
            <w:shd w:val="clear" w:color="auto" w:fill="D0EBF2"/>
          </w:tcPr>
          <w:p>
            <w:pPr>
              <w:spacing w:after="0"/>
              <w:rPr>
                <w:sz w:val="14"/>
                <w:szCs w:val="14"/>
                <w:color w:val="auto"/>
              </w:rPr>
            </w:pPr>
          </w:p>
        </w:tc>
        <w:tc>
          <w:tcPr>
            <w:tcW w:w="20" w:type="dxa"/>
            <w:vAlign w:val="bottom"/>
            <w:shd w:val="clear" w:color="auto" w:fill="D0EBF2"/>
          </w:tcPr>
          <w:p>
            <w:pPr>
              <w:spacing w:after="0"/>
              <w:rPr>
                <w:sz w:val="14"/>
                <w:szCs w:val="14"/>
                <w:color w:val="auto"/>
              </w:rPr>
            </w:pPr>
          </w:p>
        </w:tc>
        <w:tc>
          <w:tcPr>
            <w:tcW w:w="140" w:type="dxa"/>
            <w:vAlign w:val="bottom"/>
            <w:shd w:val="clear" w:color="auto" w:fill="D0EBF2"/>
          </w:tcPr>
          <w:p>
            <w:pPr>
              <w:spacing w:after="0"/>
              <w:rPr>
                <w:sz w:val="14"/>
                <w:szCs w:val="14"/>
                <w:color w:val="auto"/>
              </w:rPr>
            </w:pPr>
          </w:p>
        </w:tc>
        <w:tc>
          <w:tcPr>
            <w:tcW w:w="760" w:type="dxa"/>
            <w:vAlign w:val="bottom"/>
            <w:shd w:val="clear" w:color="auto" w:fill="D0EBF2"/>
          </w:tcPr>
          <w:p>
            <w:pPr>
              <w:spacing w:after="0"/>
              <w:rPr>
                <w:sz w:val="14"/>
                <w:szCs w:val="14"/>
                <w:color w:val="auto"/>
              </w:rPr>
            </w:pPr>
          </w:p>
        </w:tc>
        <w:tc>
          <w:tcPr>
            <w:tcW w:w="80" w:type="dxa"/>
            <w:vAlign w:val="bottom"/>
            <w:shd w:val="clear" w:color="auto" w:fill="D0EBF2"/>
          </w:tcPr>
          <w:p>
            <w:pPr>
              <w:spacing w:after="0"/>
              <w:rPr>
                <w:sz w:val="14"/>
                <w:szCs w:val="14"/>
                <w:color w:val="auto"/>
              </w:rPr>
            </w:pPr>
          </w:p>
        </w:tc>
        <w:tc>
          <w:tcPr>
            <w:tcW w:w="20" w:type="dxa"/>
            <w:vAlign w:val="bottom"/>
            <w:shd w:val="clear" w:color="auto" w:fill="D0EBF2"/>
          </w:tcPr>
          <w:p>
            <w:pPr>
              <w:spacing w:after="0"/>
              <w:rPr>
                <w:sz w:val="14"/>
                <w:szCs w:val="14"/>
                <w:color w:val="auto"/>
              </w:rPr>
            </w:pPr>
          </w:p>
        </w:tc>
        <w:tc>
          <w:tcPr>
            <w:tcW w:w="80" w:type="dxa"/>
            <w:vAlign w:val="bottom"/>
            <w:shd w:val="clear" w:color="auto" w:fill="D0EBF2"/>
          </w:tcPr>
          <w:p>
            <w:pPr>
              <w:spacing w:after="0"/>
              <w:rPr>
                <w:sz w:val="14"/>
                <w:szCs w:val="14"/>
                <w:color w:val="auto"/>
              </w:rPr>
            </w:pPr>
          </w:p>
        </w:tc>
        <w:tc>
          <w:tcPr>
            <w:tcW w:w="120" w:type="dxa"/>
            <w:vAlign w:val="bottom"/>
            <w:shd w:val="clear" w:color="auto" w:fill="D0EBF2"/>
          </w:tcPr>
          <w:p>
            <w:pPr>
              <w:spacing w:after="0"/>
              <w:rPr>
                <w:sz w:val="14"/>
                <w:szCs w:val="14"/>
                <w:color w:val="auto"/>
              </w:rPr>
            </w:pPr>
          </w:p>
        </w:tc>
        <w:tc>
          <w:tcPr>
            <w:tcW w:w="60" w:type="dxa"/>
            <w:vAlign w:val="bottom"/>
            <w:shd w:val="clear" w:color="auto" w:fill="D0EBF2"/>
          </w:tcPr>
          <w:p>
            <w:pPr>
              <w:spacing w:after="0"/>
              <w:rPr>
                <w:sz w:val="14"/>
                <w:szCs w:val="14"/>
                <w:color w:val="auto"/>
              </w:rPr>
            </w:pPr>
          </w:p>
        </w:tc>
        <w:tc>
          <w:tcPr>
            <w:tcW w:w="920" w:type="dxa"/>
            <w:vAlign w:val="bottom"/>
            <w:shd w:val="clear" w:color="auto" w:fill="D0EBF2"/>
          </w:tcPr>
          <w:p>
            <w:pPr>
              <w:spacing w:after="0"/>
              <w:rPr>
                <w:sz w:val="14"/>
                <w:szCs w:val="14"/>
                <w:color w:val="auto"/>
              </w:rPr>
            </w:pPr>
          </w:p>
        </w:tc>
        <w:tc>
          <w:tcPr>
            <w:tcW w:w="220" w:type="dxa"/>
            <w:vAlign w:val="bottom"/>
            <w:shd w:val="clear" w:color="auto" w:fill="D0EBF2"/>
          </w:tcPr>
          <w:p>
            <w:pPr>
              <w:spacing w:after="0"/>
              <w:rPr>
                <w:sz w:val="14"/>
                <w:szCs w:val="14"/>
                <w:color w:val="auto"/>
              </w:rPr>
            </w:pPr>
          </w:p>
        </w:tc>
        <w:tc>
          <w:tcPr>
            <w:tcW w:w="160" w:type="dxa"/>
            <w:vAlign w:val="bottom"/>
            <w:shd w:val="clear" w:color="auto" w:fill="D0EBF2"/>
          </w:tcPr>
          <w:p>
            <w:pPr>
              <w:spacing w:after="0"/>
              <w:rPr>
                <w:sz w:val="14"/>
                <w:szCs w:val="14"/>
                <w:color w:val="auto"/>
              </w:rPr>
            </w:pPr>
          </w:p>
        </w:tc>
        <w:tc>
          <w:tcPr>
            <w:tcW w:w="20" w:type="dxa"/>
            <w:vAlign w:val="bottom"/>
            <w:shd w:val="clear" w:color="auto" w:fill="D0EBF2"/>
          </w:tcPr>
          <w:p>
            <w:pPr>
              <w:spacing w:after="0"/>
              <w:rPr>
                <w:sz w:val="14"/>
                <w:szCs w:val="14"/>
                <w:color w:val="auto"/>
              </w:rPr>
            </w:pPr>
          </w:p>
        </w:tc>
        <w:tc>
          <w:tcPr>
            <w:tcW w:w="100" w:type="dxa"/>
            <w:vAlign w:val="bottom"/>
            <w:shd w:val="clear" w:color="auto" w:fill="D0EBF2"/>
          </w:tcPr>
          <w:p>
            <w:pPr>
              <w:spacing w:after="0"/>
              <w:rPr>
                <w:sz w:val="14"/>
                <w:szCs w:val="14"/>
                <w:color w:val="auto"/>
              </w:rPr>
            </w:pPr>
          </w:p>
        </w:tc>
        <w:tc>
          <w:tcPr>
            <w:tcW w:w="760" w:type="dxa"/>
            <w:vAlign w:val="bottom"/>
            <w:shd w:val="clear" w:color="auto" w:fill="D0EBF2"/>
          </w:tcPr>
          <w:p>
            <w:pPr>
              <w:spacing w:after="0"/>
              <w:rPr>
                <w:sz w:val="14"/>
                <w:szCs w:val="14"/>
                <w:color w:val="auto"/>
              </w:rPr>
            </w:pPr>
          </w:p>
        </w:tc>
        <w:tc>
          <w:tcPr>
            <w:tcW w:w="100" w:type="dxa"/>
            <w:vAlign w:val="bottom"/>
            <w:shd w:val="clear" w:color="auto" w:fill="D0EBF2"/>
          </w:tcPr>
          <w:p>
            <w:pPr>
              <w:spacing w:after="0"/>
              <w:rPr>
                <w:sz w:val="14"/>
                <w:szCs w:val="14"/>
                <w:color w:val="auto"/>
              </w:rPr>
            </w:pPr>
          </w:p>
        </w:tc>
        <w:tc>
          <w:tcPr>
            <w:tcW w:w="0" w:type="dxa"/>
            <w:vAlign w:val="bottom"/>
          </w:tcPr>
          <w:p>
            <w:pPr>
              <w:spacing w:after="0"/>
              <w:rPr>
                <w:sz w:val="1"/>
                <w:szCs w:val="1"/>
                <w:color w:val="auto"/>
              </w:rPr>
            </w:pPr>
          </w:p>
        </w:tc>
      </w:tr>
      <w:tr>
        <w:trPr>
          <w:trHeight w:val="191"/>
        </w:trPr>
        <w:tc>
          <w:tcPr>
            <w:tcW w:w="1560" w:type="dxa"/>
            <w:vAlign w:val="bottom"/>
            <w:shd w:val="clear" w:color="auto" w:fill="D0EBF2"/>
          </w:tcPr>
          <w:p>
            <w:pPr>
              <w:spacing w:after="0"/>
              <w:rPr>
                <w:sz w:val="20"/>
                <w:szCs w:val="20"/>
                <w:color w:val="auto"/>
              </w:rPr>
            </w:pPr>
            <w:r>
              <w:rPr>
                <w:rFonts w:ascii="Times New Roman" w:cs="Times New Roman" w:eastAsia="Times New Roman" w:hAnsi="Times New Roman"/>
                <w:sz w:val="15"/>
                <w:szCs w:val="15"/>
                <w:b w:val="1"/>
                <w:bCs w:val="1"/>
                <w:color w:val="231F20"/>
              </w:rPr>
              <w:t>Consumable Fuels</w:t>
            </w:r>
          </w:p>
        </w:tc>
        <w:tc>
          <w:tcPr>
            <w:tcW w:w="340" w:type="dxa"/>
            <w:vAlign w:val="bottom"/>
            <w:shd w:val="clear" w:color="auto" w:fill="D0EBF2"/>
          </w:tcPr>
          <w:p>
            <w:pPr>
              <w:spacing w:after="0"/>
              <w:rPr>
                <w:sz w:val="16"/>
                <w:szCs w:val="16"/>
                <w:color w:val="auto"/>
              </w:rPr>
            </w:pPr>
          </w:p>
        </w:tc>
        <w:tc>
          <w:tcPr>
            <w:tcW w:w="1100" w:type="dxa"/>
            <w:vAlign w:val="bottom"/>
            <w:shd w:val="clear" w:color="auto" w:fill="D0EBF2"/>
          </w:tcPr>
          <w:p>
            <w:pPr>
              <w:spacing w:after="0"/>
              <w:rPr>
                <w:sz w:val="16"/>
                <w:szCs w:val="16"/>
                <w:color w:val="auto"/>
              </w:rPr>
            </w:pPr>
          </w:p>
        </w:tc>
        <w:tc>
          <w:tcPr>
            <w:tcW w:w="120" w:type="dxa"/>
            <w:vAlign w:val="bottom"/>
            <w:shd w:val="clear" w:color="auto" w:fill="D0EBF2"/>
          </w:tcPr>
          <w:p>
            <w:pPr>
              <w:spacing w:after="0"/>
              <w:rPr>
                <w:sz w:val="16"/>
                <w:szCs w:val="16"/>
                <w:color w:val="auto"/>
              </w:rPr>
            </w:pPr>
          </w:p>
        </w:tc>
        <w:tc>
          <w:tcPr>
            <w:tcW w:w="60" w:type="dxa"/>
            <w:vAlign w:val="bottom"/>
            <w:shd w:val="clear" w:color="auto" w:fill="D0EBF2"/>
          </w:tcPr>
          <w:p>
            <w:pPr>
              <w:spacing w:after="0"/>
              <w:rPr>
                <w:sz w:val="16"/>
                <w:szCs w:val="16"/>
                <w:color w:val="auto"/>
              </w:rPr>
            </w:pPr>
          </w:p>
        </w:tc>
        <w:tc>
          <w:tcPr>
            <w:tcW w:w="660" w:type="dxa"/>
            <w:vAlign w:val="bottom"/>
            <w:shd w:val="clear" w:color="auto" w:fill="D0EBF2"/>
          </w:tcPr>
          <w:p>
            <w:pPr>
              <w:spacing w:after="0"/>
              <w:rPr>
                <w:sz w:val="16"/>
                <w:szCs w:val="16"/>
                <w:color w:val="auto"/>
              </w:rPr>
            </w:pPr>
          </w:p>
        </w:tc>
        <w:tc>
          <w:tcPr>
            <w:tcW w:w="360" w:type="dxa"/>
            <w:vAlign w:val="bottom"/>
            <w:shd w:val="clear" w:color="auto" w:fill="D0EBF2"/>
          </w:tcPr>
          <w:p>
            <w:pPr>
              <w:spacing w:after="0"/>
              <w:rPr>
                <w:sz w:val="16"/>
                <w:szCs w:val="16"/>
                <w:color w:val="auto"/>
              </w:rPr>
            </w:pPr>
          </w:p>
        </w:tc>
        <w:tc>
          <w:tcPr>
            <w:tcW w:w="120" w:type="dxa"/>
            <w:vAlign w:val="bottom"/>
            <w:shd w:val="clear" w:color="auto" w:fill="D0EBF2"/>
          </w:tcPr>
          <w:p>
            <w:pPr>
              <w:spacing w:after="0"/>
              <w:rPr>
                <w:sz w:val="16"/>
                <w:szCs w:val="16"/>
                <w:color w:val="auto"/>
              </w:rPr>
            </w:pPr>
          </w:p>
        </w:tc>
        <w:tc>
          <w:tcPr>
            <w:tcW w:w="260" w:type="dxa"/>
            <w:vAlign w:val="bottom"/>
            <w:shd w:val="clear" w:color="auto" w:fill="D0EBF2"/>
          </w:tcPr>
          <w:p>
            <w:pPr>
              <w:spacing w:after="0"/>
              <w:rPr>
                <w:sz w:val="16"/>
                <w:szCs w:val="16"/>
                <w:color w:val="auto"/>
              </w:rPr>
            </w:pPr>
          </w:p>
        </w:tc>
        <w:tc>
          <w:tcPr>
            <w:tcW w:w="820" w:type="dxa"/>
            <w:vAlign w:val="bottom"/>
            <w:shd w:val="clear" w:color="auto" w:fill="D0EBF2"/>
          </w:tcPr>
          <w:p>
            <w:pPr>
              <w:spacing w:after="0"/>
              <w:rPr>
                <w:sz w:val="16"/>
                <w:szCs w:val="16"/>
                <w:color w:val="auto"/>
              </w:rPr>
            </w:pPr>
          </w:p>
        </w:tc>
        <w:tc>
          <w:tcPr>
            <w:tcW w:w="120" w:type="dxa"/>
            <w:vAlign w:val="bottom"/>
            <w:shd w:val="clear" w:color="auto" w:fill="D0EBF2"/>
          </w:tcPr>
          <w:p>
            <w:pPr>
              <w:spacing w:after="0"/>
              <w:rPr>
                <w:sz w:val="16"/>
                <w:szCs w:val="16"/>
                <w:color w:val="auto"/>
              </w:rPr>
            </w:pPr>
          </w:p>
        </w:tc>
        <w:tc>
          <w:tcPr>
            <w:tcW w:w="140" w:type="dxa"/>
            <w:vAlign w:val="bottom"/>
            <w:shd w:val="clear" w:color="auto" w:fill="D0EBF2"/>
          </w:tcPr>
          <w:p>
            <w:pPr>
              <w:spacing w:after="0"/>
              <w:rPr>
                <w:sz w:val="16"/>
                <w:szCs w:val="16"/>
                <w:color w:val="auto"/>
              </w:rPr>
            </w:pPr>
          </w:p>
        </w:tc>
        <w:tc>
          <w:tcPr>
            <w:tcW w:w="860" w:type="dxa"/>
            <w:vAlign w:val="bottom"/>
            <w:shd w:val="clear" w:color="auto" w:fill="D0EBF2"/>
          </w:tcPr>
          <w:p>
            <w:pPr>
              <w:spacing w:after="0"/>
              <w:rPr>
                <w:sz w:val="16"/>
                <w:szCs w:val="16"/>
                <w:color w:val="auto"/>
              </w:rPr>
            </w:pPr>
          </w:p>
        </w:tc>
        <w:tc>
          <w:tcPr>
            <w:tcW w:w="120" w:type="dxa"/>
            <w:vAlign w:val="bottom"/>
            <w:shd w:val="clear" w:color="auto" w:fill="D0EBF2"/>
          </w:tcPr>
          <w:p>
            <w:pPr>
              <w:spacing w:after="0"/>
              <w:rPr>
                <w:sz w:val="16"/>
                <w:szCs w:val="16"/>
                <w:color w:val="auto"/>
              </w:rPr>
            </w:pPr>
          </w:p>
        </w:tc>
        <w:tc>
          <w:tcPr>
            <w:tcW w:w="80" w:type="dxa"/>
            <w:vAlign w:val="bottom"/>
            <w:shd w:val="clear" w:color="auto" w:fill="D0EBF2"/>
          </w:tcPr>
          <w:p>
            <w:pPr>
              <w:spacing w:after="0"/>
              <w:rPr>
                <w:sz w:val="16"/>
                <w:szCs w:val="16"/>
                <w:color w:val="auto"/>
              </w:rPr>
            </w:pPr>
          </w:p>
        </w:tc>
        <w:tc>
          <w:tcPr>
            <w:tcW w:w="20" w:type="dxa"/>
            <w:vAlign w:val="bottom"/>
            <w:shd w:val="clear" w:color="auto" w:fill="D0EBF2"/>
          </w:tcPr>
          <w:p>
            <w:pPr>
              <w:spacing w:after="0"/>
              <w:rPr>
                <w:sz w:val="16"/>
                <w:szCs w:val="16"/>
                <w:color w:val="auto"/>
              </w:rPr>
            </w:pPr>
          </w:p>
        </w:tc>
        <w:tc>
          <w:tcPr>
            <w:tcW w:w="140" w:type="dxa"/>
            <w:vAlign w:val="bottom"/>
            <w:shd w:val="clear" w:color="auto" w:fill="D0EBF2"/>
          </w:tcPr>
          <w:p>
            <w:pPr>
              <w:spacing w:after="0"/>
              <w:rPr>
                <w:sz w:val="16"/>
                <w:szCs w:val="16"/>
                <w:color w:val="auto"/>
              </w:rPr>
            </w:pPr>
          </w:p>
        </w:tc>
        <w:tc>
          <w:tcPr>
            <w:tcW w:w="760" w:type="dxa"/>
            <w:vAlign w:val="bottom"/>
            <w:shd w:val="clear" w:color="auto" w:fill="D0EBF2"/>
          </w:tcPr>
          <w:p>
            <w:pPr>
              <w:spacing w:after="0"/>
              <w:rPr>
                <w:sz w:val="16"/>
                <w:szCs w:val="16"/>
                <w:color w:val="auto"/>
              </w:rPr>
            </w:pPr>
          </w:p>
        </w:tc>
        <w:tc>
          <w:tcPr>
            <w:tcW w:w="80" w:type="dxa"/>
            <w:vAlign w:val="bottom"/>
            <w:shd w:val="clear" w:color="auto" w:fill="D0EBF2"/>
          </w:tcPr>
          <w:p>
            <w:pPr>
              <w:spacing w:after="0"/>
              <w:rPr>
                <w:sz w:val="16"/>
                <w:szCs w:val="16"/>
                <w:color w:val="auto"/>
              </w:rPr>
            </w:pPr>
          </w:p>
        </w:tc>
        <w:tc>
          <w:tcPr>
            <w:tcW w:w="20" w:type="dxa"/>
            <w:vAlign w:val="bottom"/>
            <w:shd w:val="clear" w:color="auto" w:fill="D0EBF2"/>
          </w:tcPr>
          <w:p>
            <w:pPr>
              <w:spacing w:after="0"/>
              <w:rPr>
                <w:sz w:val="16"/>
                <w:szCs w:val="16"/>
                <w:color w:val="auto"/>
              </w:rPr>
            </w:pPr>
          </w:p>
        </w:tc>
        <w:tc>
          <w:tcPr>
            <w:tcW w:w="80" w:type="dxa"/>
            <w:vAlign w:val="bottom"/>
            <w:shd w:val="clear" w:color="auto" w:fill="D0EBF2"/>
          </w:tcPr>
          <w:p>
            <w:pPr>
              <w:spacing w:after="0"/>
              <w:rPr>
                <w:sz w:val="16"/>
                <w:szCs w:val="16"/>
                <w:color w:val="auto"/>
              </w:rPr>
            </w:pPr>
          </w:p>
        </w:tc>
        <w:tc>
          <w:tcPr>
            <w:tcW w:w="120" w:type="dxa"/>
            <w:vAlign w:val="bottom"/>
            <w:shd w:val="clear" w:color="auto" w:fill="D0EBF2"/>
          </w:tcPr>
          <w:p>
            <w:pPr>
              <w:spacing w:after="0"/>
              <w:rPr>
                <w:sz w:val="16"/>
                <w:szCs w:val="16"/>
                <w:color w:val="auto"/>
              </w:rPr>
            </w:pPr>
          </w:p>
        </w:tc>
        <w:tc>
          <w:tcPr>
            <w:tcW w:w="60" w:type="dxa"/>
            <w:vAlign w:val="bottom"/>
            <w:shd w:val="clear" w:color="auto" w:fill="D0EBF2"/>
          </w:tcPr>
          <w:p>
            <w:pPr>
              <w:spacing w:after="0"/>
              <w:rPr>
                <w:sz w:val="16"/>
                <w:szCs w:val="16"/>
                <w:color w:val="auto"/>
              </w:rPr>
            </w:pPr>
          </w:p>
        </w:tc>
        <w:tc>
          <w:tcPr>
            <w:tcW w:w="920" w:type="dxa"/>
            <w:vAlign w:val="bottom"/>
            <w:shd w:val="clear" w:color="auto" w:fill="D0EBF2"/>
          </w:tcPr>
          <w:p>
            <w:pPr>
              <w:spacing w:after="0"/>
              <w:rPr>
                <w:sz w:val="16"/>
                <w:szCs w:val="16"/>
                <w:color w:val="auto"/>
              </w:rPr>
            </w:pPr>
          </w:p>
        </w:tc>
        <w:tc>
          <w:tcPr>
            <w:tcW w:w="220" w:type="dxa"/>
            <w:vAlign w:val="bottom"/>
            <w:shd w:val="clear" w:color="auto" w:fill="D0EBF2"/>
          </w:tcPr>
          <w:p>
            <w:pPr>
              <w:spacing w:after="0"/>
              <w:rPr>
                <w:sz w:val="16"/>
                <w:szCs w:val="16"/>
                <w:color w:val="auto"/>
              </w:rPr>
            </w:pPr>
          </w:p>
        </w:tc>
        <w:tc>
          <w:tcPr>
            <w:tcW w:w="160" w:type="dxa"/>
            <w:vAlign w:val="bottom"/>
            <w:shd w:val="clear" w:color="auto" w:fill="D0EBF2"/>
          </w:tcPr>
          <w:p>
            <w:pPr>
              <w:spacing w:after="0"/>
              <w:rPr>
                <w:sz w:val="16"/>
                <w:szCs w:val="16"/>
                <w:color w:val="auto"/>
              </w:rPr>
            </w:pPr>
          </w:p>
        </w:tc>
        <w:tc>
          <w:tcPr>
            <w:tcW w:w="20" w:type="dxa"/>
            <w:vAlign w:val="bottom"/>
            <w:shd w:val="clear" w:color="auto" w:fill="D0EBF2"/>
          </w:tcPr>
          <w:p>
            <w:pPr>
              <w:spacing w:after="0"/>
              <w:rPr>
                <w:sz w:val="16"/>
                <w:szCs w:val="16"/>
                <w:color w:val="auto"/>
              </w:rPr>
            </w:pPr>
          </w:p>
        </w:tc>
        <w:tc>
          <w:tcPr>
            <w:tcW w:w="100" w:type="dxa"/>
            <w:vAlign w:val="bottom"/>
            <w:shd w:val="clear" w:color="auto" w:fill="D0EBF2"/>
          </w:tcPr>
          <w:p>
            <w:pPr>
              <w:spacing w:after="0"/>
              <w:rPr>
                <w:sz w:val="16"/>
                <w:szCs w:val="16"/>
                <w:color w:val="auto"/>
              </w:rPr>
            </w:pPr>
          </w:p>
        </w:tc>
        <w:tc>
          <w:tcPr>
            <w:tcW w:w="760" w:type="dxa"/>
            <w:vAlign w:val="bottom"/>
            <w:shd w:val="clear" w:color="auto" w:fill="D0EBF2"/>
          </w:tcPr>
          <w:p>
            <w:pPr>
              <w:spacing w:after="0"/>
              <w:rPr>
                <w:sz w:val="16"/>
                <w:szCs w:val="16"/>
                <w:color w:val="auto"/>
              </w:rPr>
            </w:pPr>
          </w:p>
        </w:tc>
        <w:tc>
          <w:tcPr>
            <w:tcW w:w="100" w:type="dxa"/>
            <w:vAlign w:val="bottom"/>
            <w:shd w:val="clear" w:color="auto" w:fill="D0EBF2"/>
          </w:tcPr>
          <w:p>
            <w:pPr>
              <w:spacing w:after="0"/>
              <w:rPr>
                <w:sz w:val="16"/>
                <w:szCs w:val="16"/>
                <w:color w:val="auto"/>
              </w:rPr>
            </w:pPr>
          </w:p>
        </w:tc>
        <w:tc>
          <w:tcPr>
            <w:tcW w:w="0" w:type="dxa"/>
            <w:vAlign w:val="bottom"/>
          </w:tcPr>
          <w:p>
            <w:pPr>
              <w:spacing w:after="0"/>
              <w:rPr>
                <w:sz w:val="1"/>
                <w:szCs w:val="1"/>
                <w:color w:val="auto"/>
              </w:rPr>
            </w:pPr>
          </w:p>
        </w:tc>
      </w:tr>
      <w:tr>
        <w:trPr>
          <w:trHeight w:val="171"/>
        </w:trPr>
        <w:tc>
          <w:tcPr>
            <w:tcW w:w="1560" w:type="dxa"/>
            <w:vAlign w:val="bottom"/>
            <w:shd w:val="clear" w:color="auto" w:fill="FDFDFC"/>
          </w:tcPr>
          <w:p>
            <w:pPr>
              <w:spacing w:after="0" w:line="172" w:lineRule="exact"/>
              <w:rPr>
                <w:sz w:val="20"/>
                <w:szCs w:val="20"/>
                <w:color w:val="auto"/>
              </w:rPr>
            </w:pPr>
            <w:r>
              <w:rPr>
                <w:rFonts w:ascii="Times New Roman" w:cs="Times New Roman" w:eastAsia="Times New Roman" w:hAnsi="Times New Roman"/>
                <w:sz w:val="15"/>
                <w:szCs w:val="15"/>
                <w:color w:val="231F20"/>
              </w:rPr>
              <w:t>Murchison Oil and Gas,</w:t>
            </w:r>
          </w:p>
        </w:tc>
        <w:tc>
          <w:tcPr>
            <w:tcW w:w="2280" w:type="dxa"/>
            <w:vAlign w:val="bottom"/>
            <w:gridSpan w:val="5"/>
            <w:shd w:val="clear" w:color="auto" w:fill="FDFDFC"/>
          </w:tcPr>
          <w:p>
            <w:pPr>
              <w:ind w:left="80"/>
              <w:spacing w:after="0" w:line="172" w:lineRule="exact"/>
              <w:rPr>
                <w:sz w:val="20"/>
                <w:szCs w:val="20"/>
                <w:color w:val="auto"/>
              </w:rPr>
            </w:pPr>
            <w:r>
              <w:rPr>
                <w:rFonts w:ascii="Times New Roman" w:cs="Times New Roman" w:eastAsia="Times New Roman" w:hAnsi="Times New Roman"/>
                <w:sz w:val="15"/>
                <w:szCs w:val="15"/>
                <w:color w:val="231F20"/>
              </w:rPr>
              <w:t>Preferred Units (13,355 units)</w:t>
            </w:r>
          </w:p>
        </w:tc>
        <w:tc>
          <w:tcPr>
            <w:tcW w:w="740" w:type="dxa"/>
            <w:vAlign w:val="bottom"/>
            <w:gridSpan w:val="3"/>
            <w:shd w:val="clear" w:color="auto" w:fill="FDFDFC"/>
          </w:tcPr>
          <w:p>
            <w:pPr>
              <w:jc w:val="right"/>
              <w:spacing w:after="0" w:line="172" w:lineRule="exact"/>
              <w:rPr>
                <w:sz w:val="20"/>
                <w:szCs w:val="20"/>
                <w:color w:val="auto"/>
              </w:rPr>
            </w:pPr>
            <w:r>
              <w:rPr>
                <w:rFonts w:ascii="Times New Roman" w:cs="Times New Roman" w:eastAsia="Times New Roman" w:hAnsi="Times New Roman"/>
                <w:sz w:val="15"/>
                <w:szCs w:val="15"/>
                <w:color w:val="231F20"/>
              </w:rPr>
              <w:t>6/30/2022</w:t>
            </w:r>
          </w:p>
        </w:tc>
        <w:tc>
          <w:tcPr>
            <w:tcW w:w="820" w:type="dxa"/>
            <w:vAlign w:val="bottom"/>
            <w:shd w:val="clear" w:color="auto" w:fill="FDFDFC"/>
          </w:tcPr>
          <w:p>
            <w:pPr>
              <w:spacing w:after="0"/>
              <w:rPr>
                <w:sz w:val="14"/>
                <w:szCs w:val="14"/>
                <w:color w:val="auto"/>
              </w:rPr>
            </w:pPr>
          </w:p>
        </w:tc>
        <w:tc>
          <w:tcPr>
            <w:tcW w:w="120" w:type="dxa"/>
            <w:vAlign w:val="bottom"/>
            <w:shd w:val="clear" w:color="auto" w:fill="FDFDFC"/>
          </w:tcPr>
          <w:p>
            <w:pPr>
              <w:spacing w:after="0"/>
              <w:rPr>
                <w:sz w:val="14"/>
                <w:szCs w:val="14"/>
                <w:color w:val="auto"/>
              </w:rPr>
            </w:pPr>
          </w:p>
        </w:tc>
        <w:tc>
          <w:tcPr>
            <w:tcW w:w="140" w:type="dxa"/>
            <w:vAlign w:val="bottom"/>
            <w:shd w:val="clear" w:color="auto" w:fill="FDFDFC"/>
          </w:tcPr>
          <w:p>
            <w:pPr>
              <w:spacing w:after="0"/>
              <w:rPr>
                <w:sz w:val="14"/>
                <w:szCs w:val="14"/>
                <w:color w:val="auto"/>
              </w:rPr>
            </w:pPr>
          </w:p>
        </w:tc>
        <w:tc>
          <w:tcPr>
            <w:tcW w:w="860" w:type="dxa"/>
            <w:vAlign w:val="bottom"/>
            <w:shd w:val="clear" w:color="auto" w:fill="FDFDFC"/>
          </w:tcPr>
          <w:p>
            <w:pPr>
              <w:spacing w:after="0"/>
              <w:rPr>
                <w:sz w:val="14"/>
                <w:szCs w:val="14"/>
                <w:color w:val="auto"/>
              </w:rPr>
            </w:pPr>
          </w:p>
        </w:tc>
        <w:tc>
          <w:tcPr>
            <w:tcW w:w="120" w:type="dxa"/>
            <w:vAlign w:val="bottom"/>
            <w:shd w:val="clear" w:color="auto" w:fill="FDFDFC"/>
          </w:tcPr>
          <w:p>
            <w:pPr>
              <w:spacing w:after="0"/>
              <w:rPr>
                <w:sz w:val="14"/>
                <w:szCs w:val="14"/>
                <w:color w:val="auto"/>
              </w:rPr>
            </w:pPr>
          </w:p>
        </w:tc>
        <w:tc>
          <w:tcPr>
            <w:tcW w:w="80" w:type="dxa"/>
            <w:vAlign w:val="bottom"/>
            <w:shd w:val="clear" w:color="auto" w:fill="FDFDFC"/>
          </w:tcPr>
          <w:p>
            <w:pPr>
              <w:spacing w:after="0"/>
              <w:rPr>
                <w:sz w:val="14"/>
                <w:szCs w:val="14"/>
                <w:color w:val="auto"/>
              </w:rPr>
            </w:pPr>
          </w:p>
        </w:tc>
        <w:tc>
          <w:tcPr>
            <w:tcW w:w="20" w:type="dxa"/>
            <w:vAlign w:val="bottom"/>
            <w:shd w:val="clear" w:color="auto" w:fill="FDFDFC"/>
          </w:tcPr>
          <w:p>
            <w:pPr>
              <w:spacing w:after="0"/>
              <w:rPr>
                <w:sz w:val="14"/>
                <w:szCs w:val="14"/>
                <w:color w:val="auto"/>
              </w:rPr>
            </w:pPr>
          </w:p>
        </w:tc>
        <w:tc>
          <w:tcPr>
            <w:tcW w:w="140" w:type="dxa"/>
            <w:vAlign w:val="bottom"/>
            <w:shd w:val="clear" w:color="auto" w:fill="FDFDFC"/>
          </w:tcPr>
          <w:p>
            <w:pPr>
              <w:spacing w:after="0"/>
              <w:rPr>
                <w:sz w:val="14"/>
                <w:szCs w:val="14"/>
                <w:color w:val="auto"/>
              </w:rPr>
            </w:pPr>
          </w:p>
        </w:tc>
        <w:tc>
          <w:tcPr>
            <w:tcW w:w="860" w:type="dxa"/>
            <w:vAlign w:val="bottom"/>
            <w:gridSpan w:val="3"/>
            <w:shd w:val="clear" w:color="auto" w:fill="FDFDFC"/>
          </w:tcPr>
          <w:p>
            <w:pPr>
              <w:jc w:val="right"/>
              <w:ind w:right="64"/>
              <w:spacing w:after="0" w:line="172" w:lineRule="exact"/>
              <w:rPr>
                <w:sz w:val="20"/>
                <w:szCs w:val="20"/>
                <w:color w:val="auto"/>
              </w:rPr>
            </w:pPr>
            <w:r>
              <w:rPr>
                <w:rFonts w:ascii="Times New Roman" w:cs="Times New Roman" w:eastAsia="Times New Roman" w:hAnsi="Times New Roman"/>
                <w:sz w:val="15"/>
                <w:szCs w:val="15"/>
                <w:color w:val="231F20"/>
              </w:rPr>
              <w:t>—</w:t>
            </w:r>
          </w:p>
        </w:tc>
        <w:tc>
          <w:tcPr>
            <w:tcW w:w="80" w:type="dxa"/>
            <w:vAlign w:val="bottom"/>
            <w:shd w:val="clear" w:color="auto" w:fill="FDFDFC"/>
          </w:tcPr>
          <w:p>
            <w:pPr>
              <w:spacing w:after="0"/>
              <w:rPr>
                <w:sz w:val="14"/>
                <w:szCs w:val="14"/>
                <w:color w:val="auto"/>
              </w:rPr>
            </w:pPr>
          </w:p>
        </w:tc>
        <w:tc>
          <w:tcPr>
            <w:tcW w:w="120" w:type="dxa"/>
            <w:vAlign w:val="bottom"/>
            <w:shd w:val="clear" w:color="auto" w:fill="FDFDFC"/>
          </w:tcPr>
          <w:p>
            <w:pPr>
              <w:spacing w:after="0"/>
              <w:rPr>
                <w:sz w:val="14"/>
                <w:szCs w:val="14"/>
                <w:color w:val="auto"/>
              </w:rPr>
            </w:pPr>
          </w:p>
        </w:tc>
        <w:tc>
          <w:tcPr>
            <w:tcW w:w="60" w:type="dxa"/>
            <w:vAlign w:val="bottom"/>
            <w:shd w:val="clear" w:color="auto" w:fill="FDFDFC"/>
          </w:tcPr>
          <w:p>
            <w:pPr>
              <w:spacing w:after="0"/>
              <w:rPr>
                <w:sz w:val="14"/>
                <w:szCs w:val="14"/>
                <w:color w:val="auto"/>
              </w:rPr>
            </w:pPr>
          </w:p>
        </w:tc>
        <w:tc>
          <w:tcPr>
            <w:tcW w:w="920" w:type="dxa"/>
            <w:vAlign w:val="bottom"/>
            <w:shd w:val="clear" w:color="auto" w:fill="FDFDFC"/>
          </w:tcPr>
          <w:p>
            <w:pPr>
              <w:spacing w:after="0"/>
              <w:rPr>
                <w:sz w:val="14"/>
                <w:szCs w:val="14"/>
                <w:color w:val="auto"/>
              </w:rPr>
            </w:pPr>
          </w:p>
        </w:tc>
        <w:tc>
          <w:tcPr>
            <w:tcW w:w="380" w:type="dxa"/>
            <w:vAlign w:val="bottom"/>
            <w:gridSpan w:val="2"/>
            <w:shd w:val="clear" w:color="auto" w:fill="FDFDFC"/>
          </w:tcPr>
          <w:p>
            <w:pPr>
              <w:jc w:val="right"/>
              <w:spacing w:after="0" w:line="172" w:lineRule="exact"/>
              <w:rPr>
                <w:sz w:val="20"/>
                <w:szCs w:val="20"/>
                <w:color w:val="auto"/>
              </w:rPr>
            </w:pPr>
            <w:r>
              <w:rPr>
                <w:rFonts w:ascii="Times New Roman" w:cs="Times New Roman" w:eastAsia="Times New Roman" w:hAnsi="Times New Roman"/>
                <w:sz w:val="15"/>
                <w:szCs w:val="15"/>
                <w:color w:val="231F20"/>
              </w:rPr>
              <w:t>2,137</w:t>
            </w:r>
          </w:p>
        </w:tc>
        <w:tc>
          <w:tcPr>
            <w:tcW w:w="980" w:type="dxa"/>
            <w:vAlign w:val="bottom"/>
            <w:gridSpan w:val="4"/>
            <w:shd w:val="clear" w:color="auto" w:fill="FDFDFC"/>
          </w:tcPr>
          <w:p>
            <w:pPr>
              <w:jc w:val="right"/>
              <w:spacing w:after="0" w:line="172" w:lineRule="exact"/>
              <w:rPr>
                <w:sz w:val="20"/>
                <w:szCs w:val="20"/>
                <w:color w:val="auto"/>
              </w:rPr>
            </w:pPr>
            <w:r>
              <w:rPr>
                <w:rFonts w:ascii="Times New Roman" w:cs="Times New Roman" w:eastAsia="Times New Roman" w:hAnsi="Times New Roman"/>
                <w:sz w:val="15"/>
                <w:szCs w:val="15"/>
                <w:color w:val="231F20"/>
              </w:rPr>
              <w:t>0.2%</w:t>
            </w:r>
          </w:p>
        </w:tc>
        <w:tc>
          <w:tcPr>
            <w:tcW w:w="0" w:type="dxa"/>
            <w:vAlign w:val="bottom"/>
          </w:tcPr>
          <w:p>
            <w:pPr>
              <w:spacing w:after="0"/>
              <w:rPr>
                <w:sz w:val="1"/>
                <w:szCs w:val="1"/>
                <w:color w:val="auto"/>
              </w:rPr>
            </w:pPr>
          </w:p>
        </w:tc>
      </w:tr>
      <w:tr>
        <w:trPr>
          <w:trHeight w:val="189"/>
        </w:trPr>
        <w:tc>
          <w:tcPr>
            <w:tcW w:w="1560" w:type="dxa"/>
            <w:vAlign w:val="bottom"/>
            <w:shd w:val="clear" w:color="auto" w:fill="FDFDFC"/>
          </w:tcPr>
          <w:p>
            <w:pPr>
              <w:spacing w:after="0" w:line="190" w:lineRule="exact"/>
              <w:rPr>
                <w:sz w:val="20"/>
                <w:szCs w:val="20"/>
                <w:color w:val="auto"/>
              </w:rPr>
            </w:pPr>
            <w:r>
              <w:rPr>
                <w:rFonts w:ascii="Times New Roman" w:cs="Times New Roman" w:eastAsia="Times New Roman" w:hAnsi="Times New Roman"/>
                <w:sz w:val="21"/>
                <w:szCs w:val="21"/>
                <w:color w:val="231F20"/>
                <w:vertAlign w:val="subscript"/>
              </w:rPr>
              <w:t>LLC</w:t>
            </w:r>
            <w:r>
              <w:rPr>
                <w:rFonts w:ascii="Times New Roman" w:cs="Times New Roman" w:eastAsia="Times New Roman" w:hAnsi="Times New Roman"/>
                <w:sz w:val="8"/>
                <w:szCs w:val="8"/>
                <w:color w:val="231F20"/>
              </w:rPr>
              <w:t xml:space="preserve"> (13)</w:t>
            </w:r>
          </w:p>
        </w:tc>
        <w:tc>
          <w:tcPr>
            <w:tcW w:w="340" w:type="dxa"/>
            <w:vAlign w:val="bottom"/>
            <w:shd w:val="clear" w:color="auto" w:fill="FDFDFC"/>
          </w:tcPr>
          <w:p>
            <w:pPr>
              <w:spacing w:after="0"/>
              <w:rPr>
                <w:sz w:val="16"/>
                <w:szCs w:val="16"/>
                <w:color w:val="auto"/>
              </w:rPr>
            </w:pPr>
          </w:p>
        </w:tc>
        <w:tc>
          <w:tcPr>
            <w:tcW w:w="1100" w:type="dxa"/>
            <w:vAlign w:val="bottom"/>
            <w:shd w:val="clear" w:color="auto" w:fill="FDFDFC"/>
          </w:tcPr>
          <w:p>
            <w:pPr>
              <w:spacing w:after="0"/>
              <w:rPr>
                <w:sz w:val="16"/>
                <w:szCs w:val="16"/>
                <w:color w:val="auto"/>
              </w:rPr>
            </w:pPr>
          </w:p>
        </w:tc>
        <w:tc>
          <w:tcPr>
            <w:tcW w:w="120" w:type="dxa"/>
            <w:vAlign w:val="bottom"/>
            <w:shd w:val="clear" w:color="auto" w:fill="FDFDFC"/>
          </w:tcPr>
          <w:p>
            <w:pPr>
              <w:spacing w:after="0"/>
              <w:rPr>
                <w:sz w:val="16"/>
                <w:szCs w:val="16"/>
                <w:color w:val="auto"/>
              </w:rPr>
            </w:pPr>
          </w:p>
        </w:tc>
        <w:tc>
          <w:tcPr>
            <w:tcW w:w="60" w:type="dxa"/>
            <w:vAlign w:val="bottom"/>
            <w:shd w:val="clear" w:color="auto" w:fill="FDFDFC"/>
          </w:tcPr>
          <w:p>
            <w:pPr>
              <w:spacing w:after="0"/>
              <w:rPr>
                <w:sz w:val="16"/>
                <w:szCs w:val="16"/>
                <w:color w:val="auto"/>
              </w:rPr>
            </w:pPr>
          </w:p>
        </w:tc>
        <w:tc>
          <w:tcPr>
            <w:tcW w:w="660" w:type="dxa"/>
            <w:vAlign w:val="bottom"/>
            <w:shd w:val="clear" w:color="auto" w:fill="FDFDFC"/>
          </w:tcPr>
          <w:p>
            <w:pPr>
              <w:spacing w:after="0"/>
              <w:rPr>
                <w:sz w:val="16"/>
                <w:szCs w:val="16"/>
                <w:color w:val="auto"/>
              </w:rPr>
            </w:pPr>
          </w:p>
        </w:tc>
        <w:tc>
          <w:tcPr>
            <w:tcW w:w="360" w:type="dxa"/>
            <w:vAlign w:val="bottom"/>
            <w:shd w:val="clear" w:color="auto" w:fill="FDFDFC"/>
          </w:tcPr>
          <w:p>
            <w:pPr>
              <w:spacing w:after="0"/>
              <w:rPr>
                <w:sz w:val="16"/>
                <w:szCs w:val="16"/>
                <w:color w:val="auto"/>
              </w:rPr>
            </w:pPr>
          </w:p>
        </w:tc>
        <w:tc>
          <w:tcPr>
            <w:tcW w:w="120" w:type="dxa"/>
            <w:vAlign w:val="bottom"/>
            <w:shd w:val="clear" w:color="auto" w:fill="FDFDFC"/>
          </w:tcPr>
          <w:p>
            <w:pPr>
              <w:spacing w:after="0"/>
              <w:rPr>
                <w:sz w:val="16"/>
                <w:szCs w:val="16"/>
                <w:color w:val="auto"/>
              </w:rPr>
            </w:pPr>
          </w:p>
        </w:tc>
        <w:tc>
          <w:tcPr>
            <w:tcW w:w="260" w:type="dxa"/>
            <w:vAlign w:val="bottom"/>
            <w:shd w:val="clear" w:color="auto" w:fill="FDFDFC"/>
          </w:tcPr>
          <w:p>
            <w:pPr>
              <w:spacing w:after="0"/>
              <w:rPr>
                <w:sz w:val="16"/>
                <w:szCs w:val="16"/>
                <w:color w:val="auto"/>
              </w:rPr>
            </w:pPr>
          </w:p>
        </w:tc>
        <w:tc>
          <w:tcPr>
            <w:tcW w:w="820" w:type="dxa"/>
            <w:vAlign w:val="bottom"/>
            <w:shd w:val="clear" w:color="auto" w:fill="FDFDFC"/>
          </w:tcPr>
          <w:p>
            <w:pPr>
              <w:spacing w:after="0"/>
              <w:rPr>
                <w:sz w:val="16"/>
                <w:szCs w:val="16"/>
                <w:color w:val="auto"/>
              </w:rPr>
            </w:pPr>
          </w:p>
        </w:tc>
        <w:tc>
          <w:tcPr>
            <w:tcW w:w="120" w:type="dxa"/>
            <w:vAlign w:val="bottom"/>
            <w:shd w:val="clear" w:color="auto" w:fill="FDFDFC"/>
          </w:tcPr>
          <w:p>
            <w:pPr>
              <w:spacing w:after="0"/>
              <w:rPr>
                <w:sz w:val="16"/>
                <w:szCs w:val="16"/>
                <w:color w:val="auto"/>
              </w:rPr>
            </w:pPr>
          </w:p>
        </w:tc>
        <w:tc>
          <w:tcPr>
            <w:tcW w:w="140" w:type="dxa"/>
            <w:vAlign w:val="bottom"/>
            <w:shd w:val="clear" w:color="auto" w:fill="FDFDFC"/>
          </w:tcPr>
          <w:p>
            <w:pPr>
              <w:spacing w:after="0"/>
              <w:rPr>
                <w:sz w:val="16"/>
                <w:szCs w:val="16"/>
                <w:color w:val="auto"/>
              </w:rPr>
            </w:pPr>
          </w:p>
        </w:tc>
        <w:tc>
          <w:tcPr>
            <w:tcW w:w="860" w:type="dxa"/>
            <w:vAlign w:val="bottom"/>
            <w:shd w:val="clear" w:color="auto" w:fill="FDFDFC"/>
          </w:tcPr>
          <w:p>
            <w:pPr>
              <w:spacing w:after="0"/>
              <w:rPr>
                <w:sz w:val="16"/>
                <w:szCs w:val="16"/>
                <w:color w:val="auto"/>
              </w:rPr>
            </w:pPr>
          </w:p>
        </w:tc>
        <w:tc>
          <w:tcPr>
            <w:tcW w:w="120" w:type="dxa"/>
            <w:vAlign w:val="bottom"/>
            <w:shd w:val="clear" w:color="auto" w:fill="FDFDFC"/>
          </w:tcPr>
          <w:p>
            <w:pPr>
              <w:spacing w:after="0"/>
              <w:rPr>
                <w:sz w:val="16"/>
                <w:szCs w:val="16"/>
                <w:color w:val="auto"/>
              </w:rPr>
            </w:pPr>
          </w:p>
        </w:tc>
        <w:tc>
          <w:tcPr>
            <w:tcW w:w="80" w:type="dxa"/>
            <w:vAlign w:val="bottom"/>
            <w:shd w:val="clear" w:color="auto" w:fill="FDFDFC"/>
          </w:tcPr>
          <w:p>
            <w:pPr>
              <w:spacing w:after="0"/>
              <w:rPr>
                <w:sz w:val="16"/>
                <w:szCs w:val="16"/>
                <w:color w:val="auto"/>
              </w:rPr>
            </w:pPr>
          </w:p>
        </w:tc>
        <w:tc>
          <w:tcPr>
            <w:tcW w:w="20" w:type="dxa"/>
            <w:vAlign w:val="bottom"/>
            <w:shd w:val="clear" w:color="auto" w:fill="FDFDFC"/>
          </w:tcPr>
          <w:p>
            <w:pPr>
              <w:spacing w:after="0"/>
              <w:rPr>
                <w:sz w:val="16"/>
                <w:szCs w:val="16"/>
                <w:color w:val="auto"/>
              </w:rPr>
            </w:pPr>
          </w:p>
        </w:tc>
        <w:tc>
          <w:tcPr>
            <w:tcW w:w="140" w:type="dxa"/>
            <w:vAlign w:val="bottom"/>
            <w:shd w:val="clear" w:color="auto" w:fill="FDFDFC"/>
          </w:tcPr>
          <w:p>
            <w:pPr>
              <w:spacing w:after="0"/>
              <w:rPr>
                <w:sz w:val="16"/>
                <w:szCs w:val="16"/>
                <w:color w:val="auto"/>
              </w:rPr>
            </w:pPr>
          </w:p>
        </w:tc>
        <w:tc>
          <w:tcPr>
            <w:tcW w:w="760" w:type="dxa"/>
            <w:vAlign w:val="bottom"/>
            <w:shd w:val="clear" w:color="auto" w:fill="FDFDFC"/>
          </w:tcPr>
          <w:p>
            <w:pPr>
              <w:spacing w:after="0"/>
              <w:rPr>
                <w:sz w:val="16"/>
                <w:szCs w:val="16"/>
                <w:color w:val="auto"/>
              </w:rPr>
            </w:pPr>
          </w:p>
        </w:tc>
        <w:tc>
          <w:tcPr>
            <w:tcW w:w="80" w:type="dxa"/>
            <w:vAlign w:val="bottom"/>
            <w:shd w:val="clear" w:color="auto" w:fill="FDFDFC"/>
          </w:tcPr>
          <w:p>
            <w:pPr>
              <w:spacing w:after="0"/>
              <w:rPr>
                <w:sz w:val="16"/>
                <w:szCs w:val="16"/>
                <w:color w:val="auto"/>
              </w:rPr>
            </w:pPr>
          </w:p>
        </w:tc>
        <w:tc>
          <w:tcPr>
            <w:tcW w:w="20" w:type="dxa"/>
            <w:vAlign w:val="bottom"/>
            <w:shd w:val="clear" w:color="auto" w:fill="FDFDFC"/>
          </w:tcPr>
          <w:p>
            <w:pPr>
              <w:spacing w:after="0"/>
              <w:rPr>
                <w:sz w:val="16"/>
                <w:szCs w:val="16"/>
                <w:color w:val="auto"/>
              </w:rPr>
            </w:pPr>
          </w:p>
        </w:tc>
        <w:tc>
          <w:tcPr>
            <w:tcW w:w="80" w:type="dxa"/>
            <w:vAlign w:val="bottom"/>
            <w:shd w:val="clear" w:color="auto" w:fill="FDFDFC"/>
          </w:tcPr>
          <w:p>
            <w:pPr>
              <w:spacing w:after="0"/>
              <w:rPr>
                <w:sz w:val="16"/>
                <w:szCs w:val="16"/>
                <w:color w:val="auto"/>
              </w:rPr>
            </w:pPr>
          </w:p>
        </w:tc>
        <w:tc>
          <w:tcPr>
            <w:tcW w:w="120" w:type="dxa"/>
            <w:vAlign w:val="bottom"/>
            <w:shd w:val="clear" w:color="auto" w:fill="FDFDFC"/>
          </w:tcPr>
          <w:p>
            <w:pPr>
              <w:spacing w:after="0"/>
              <w:rPr>
                <w:sz w:val="16"/>
                <w:szCs w:val="16"/>
                <w:color w:val="auto"/>
              </w:rPr>
            </w:pPr>
          </w:p>
        </w:tc>
        <w:tc>
          <w:tcPr>
            <w:tcW w:w="60" w:type="dxa"/>
            <w:vAlign w:val="bottom"/>
            <w:shd w:val="clear" w:color="auto" w:fill="FDFDFC"/>
          </w:tcPr>
          <w:p>
            <w:pPr>
              <w:spacing w:after="0"/>
              <w:rPr>
                <w:sz w:val="16"/>
                <w:szCs w:val="16"/>
                <w:color w:val="auto"/>
              </w:rPr>
            </w:pPr>
          </w:p>
        </w:tc>
        <w:tc>
          <w:tcPr>
            <w:tcW w:w="920" w:type="dxa"/>
            <w:vAlign w:val="bottom"/>
            <w:shd w:val="clear" w:color="auto" w:fill="FDFDFC"/>
          </w:tcPr>
          <w:p>
            <w:pPr>
              <w:spacing w:after="0"/>
              <w:rPr>
                <w:sz w:val="16"/>
                <w:szCs w:val="16"/>
                <w:color w:val="auto"/>
              </w:rPr>
            </w:pPr>
          </w:p>
        </w:tc>
        <w:tc>
          <w:tcPr>
            <w:tcW w:w="220" w:type="dxa"/>
            <w:vAlign w:val="bottom"/>
            <w:shd w:val="clear" w:color="auto" w:fill="FDFDFC"/>
          </w:tcPr>
          <w:p>
            <w:pPr>
              <w:spacing w:after="0"/>
              <w:rPr>
                <w:sz w:val="16"/>
                <w:szCs w:val="16"/>
                <w:color w:val="auto"/>
              </w:rPr>
            </w:pPr>
          </w:p>
        </w:tc>
        <w:tc>
          <w:tcPr>
            <w:tcW w:w="160" w:type="dxa"/>
            <w:vAlign w:val="bottom"/>
            <w:shd w:val="clear" w:color="auto" w:fill="FDFDFC"/>
          </w:tcPr>
          <w:p>
            <w:pPr>
              <w:spacing w:after="0"/>
              <w:rPr>
                <w:sz w:val="16"/>
                <w:szCs w:val="16"/>
                <w:color w:val="auto"/>
              </w:rPr>
            </w:pPr>
          </w:p>
        </w:tc>
        <w:tc>
          <w:tcPr>
            <w:tcW w:w="20" w:type="dxa"/>
            <w:vAlign w:val="bottom"/>
            <w:shd w:val="clear" w:color="auto" w:fill="FDFDFC"/>
          </w:tcPr>
          <w:p>
            <w:pPr>
              <w:spacing w:after="0"/>
              <w:rPr>
                <w:sz w:val="16"/>
                <w:szCs w:val="16"/>
                <w:color w:val="auto"/>
              </w:rPr>
            </w:pPr>
          </w:p>
        </w:tc>
        <w:tc>
          <w:tcPr>
            <w:tcW w:w="100" w:type="dxa"/>
            <w:vAlign w:val="bottom"/>
            <w:shd w:val="clear" w:color="auto" w:fill="FDFDFC"/>
          </w:tcPr>
          <w:p>
            <w:pPr>
              <w:spacing w:after="0"/>
              <w:rPr>
                <w:sz w:val="16"/>
                <w:szCs w:val="16"/>
                <w:color w:val="auto"/>
              </w:rPr>
            </w:pPr>
          </w:p>
        </w:tc>
        <w:tc>
          <w:tcPr>
            <w:tcW w:w="760" w:type="dxa"/>
            <w:vAlign w:val="bottom"/>
            <w:shd w:val="clear" w:color="auto" w:fill="FDFDFC"/>
          </w:tcPr>
          <w:p>
            <w:pPr>
              <w:spacing w:after="0"/>
              <w:rPr>
                <w:sz w:val="16"/>
                <w:szCs w:val="16"/>
                <w:color w:val="auto"/>
              </w:rPr>
            </w:pPr>
          </w:p>
        </w:tc>
        <w:tc>
          <w:tcPr>
            <w:tcW w:w="100" w:type="dxa"/>
            <w:vAlign w:val="bottom"/>
            <w:shd w:val="clear" w:color="auto" w:fill="FDFDFC"/>
          </w:tcPr>
          <w:p>
            <w:pPr>
              <w:spacing w:after="0"/>
              <w:rPr>
                <w:sz w:val="16"/>
                <w:szCs w:val="16"/>
                <w:color w:val="auto"/>
              </w:rPr>
            </w:pPr>
          </w:p>
        </w:tc>
        <w:tc>
          <w:tcPr>
            <w:tcW w:w="0" w:type="dxa"/>
            <w:vAlign w:val="bottom"/>
          </w:tcPr>
          <w:p>
            <w:pPr>
              <w:spacing w:after="0"/>
              <w:rPr>
                <w:sz w:val="1"/>
                <w:szCs w:val="1"/>
                <w:color w:val="auto"/>
              </w:rPr>
            </w:pPr>
          </w:p>
        </w:tc>
      </w:tr>
      <w:tr>
        <w:trPr>
          <w:trHeight w:val="171"/>
        </w:trPr>
        <w:tc>
          <w:tcPr>
            <w:tcW w:w="1560" w:type="dxa"/>
            <w:vAlign w:val="bottom"/>
            <w:shd w:val="clear" w:color="auto" w:fill="D0EBF2"/>
          </w:tcPr>
          <w:p>
            <w:pPr>
              <w:spacing w:after="0" w:line="172" w:lineRule="exact"/>
              <w:rPr>
                <w:sz w:val="20"/>
                <w:szCs w:val="20"/>
                <w:color w:val="auto"/>
              </w:rPr>
            </w:pPr>
            <w:r>
              <w:rPr>
                <w:rFonts w:ascii="Times New Roman" w:cs="Times New Roman" w:eastAsia="Times New Roman" w:hAnsi="Times New Roman"/>
                <w:sz w:val="15"/>
                <w:szCs w:val="15"/>
                <w:color w:val="231F20"/>
              </w:rPr>
              <w:t xml:space="preserve">TRP Assets, LLC </w:t>
            </w:r>
            <w:r>
              <w:rPr>
                <w:rFonts w:ascii="Times New Roman" w:cs="Times New Roman" w:eastAsia="Times New Roman" w:hAnsi="Times New Roman"/>
                <w:sz w:val="9"/>
                <w:szCs w:val="9"/>
                <w:color w:val="231F20"/>
              </w:rPr>
              <w:t>(13)</w:t>
            </w:r>
          </w:p>
        </w:tc>
        <w:tc>
          <w:tcPr>
            <w:tcW w:w="2280" w:type="dxa"/>
            <w:vAlign w:val="bottom"/>
            <w:gridSpan w:val="5"/>
            <w:shd w:val="clear" w:color="auto" w:fill="D0EBF2"/>
          </w:tcPr>
          <w:p>
            <w:pPr>
              <w:ind w:left="80"/>
              <w:spacing w:after="0" w:line="172" w:lineRule="exact"/>
              <w:rPr>
                <w:sz w:val="20"/>
                <w:szCs w:val="20"/>
                <w:color w:val="auto"/>
              </w:rPr>
            </w:pPr>
            <w:r>
              <w:rPr>
                <w:rFonts w:ascii="Times New Roman" w:cs="Times New Roman" w:eastAsia="Times New Roman" w:hAnsi="Times New Roman"/>
                <w:sz w:val="15"/>
                <w:szCs w:val="15"/>
                <w:color w:val="231F20"/>
              </w:rPr>
              <w:t>Partnership Interest (1.89%</w:t>
            </w:r>
          </w:p>
        </w:tc>
        <w:tc>
          <w:tcPr>
            <w:tcW w:w="740" w:type="dxa"/>
            <w:vAlign w:val="bottom"/>
            <w:gridSpan w:val="3"/>
            <w:shd w:val="clear" w:color="auto" w:fill="D0EBF2"/>
          </w:tcPr>
          <w:p>
            <w:pPr>
              <w:jc w:val="right"/>
              <w:spacing w:after="0" w:line="172" w:lineRule="exact"/>
              <w:rPr>
                <w:sz w:val="20"/>
                <w:szCs w:val="20"/>
                <w:color w:val="auto"/>
              </w:rPr>
            </w:pPr>
            <w:r>
              <w:rPr>
                <w:rFonts w:ascii="Times New Roman" w:cs="Times New Roman" w:eastAsia="Times New Roman" w:hAnsi="Times New Roman"/>
                <w:sz w:val="15"/>
                <w:szCs w:val="15"/>
                <w:color w:val="231F20"/>
              </w:rPr>
              <w:t>8/25/2022</w:t>
            </w:r>
          </w:p>
        </w:tc>
        <w:tc>
          <w:tcPr>
            <w:tcW w:w="820" w:type="dxa"/>
            <w:vAlign w:val="bottom"/>
            <w:shd w:val="clear" w:color="auto" w:fill="D0EBF2"/>
          </w:tcPr>
          <w:p>
            <w:pPr>
              <w:spacing w:after="0"/>
              <w:rPr>
                <w:sz w:val="14"/>
                <w:szCs w:val="14"/>
                <w:color w:val="auto"/>
              </w:rPr>
            </w:pPr>
          </w:p>
        </w:tc>
        <w:tc>
          <w:tcPr>
            <w:tcW w:w="120" w:type="dxa"/>
            <w:vAlign w:val="bottom"/>
            <w:shd w:val="clear" w:color="auto" w:fill="D0EBF2"/>
          </w:tcPr>
          <w:p>
            <w:pPr>
              <w:spacing w:after="0"/>
              <w:rPr>
                <w:sz w:val="14"/>
                <w:szCs w:val="14"/>
                <w:color w:val="auto"/>
              </w:rPr>
            </w:pPr>
          </w:p>
        </w:tc>
        <w:tc>
          <w:tcPr>
            <w:tcW w:w="140" w:type="dxa"/>
            <w:vAlign w:val="bottom"/>
            <w:shd w:val="clear" w:color="auto" w:fill="D0EBF2"/>
          </w:tcPr>
          <w:p>
            <w:pPr>
              <w:spacing w:after="0"/>
              <w:rPr>
                <w:sz w:val="14"/>
                <w:szCs w:val="14"/>
                <w:color w:val="auto"/>
              </w:rPr>
            </w:pPr>
          </w:p>
        </w:tc>
        <w:tc>
          <w:tcPr>
            <w:tcW w:w="860" w:type="dxa"/>
            <w:vAlign w:val="bottom"/>
            <w:shd w:val="clear" w:color="auto" w:fill="D0EBF2"/>
          </w:tcPr>
          <w:p>
            <w:pPr>
              <w:spacing w:after="0"/>
              <w:rPr>
                <w:sz w:val="14"/>
                <w:szCs w:val="14"/>
                <w:color w:val="auto"/>
              </w:rPr>
            </w:pPr>
          </w:p>
        </w:tc>
        <w:tc>
          <w:tcPr>
            <w:tcW w:w="120" w:type="dxa"/>
            <w:vAlign w:val="bottom"/>
            <w:shd w:val="clear" w:color="auto" w:fill="D0EBF2"/>
          </w:tcPr>
          <w:p>
            <w:pPr>
              <w:spacing w:after="0"/>
              <w:rPr>
                <w:sz w:val="14"/>
                <w:szCs w:val="14"/>
                <w:color w:val="auto"/>
              </w:rPr>
            </w:pPr>
          </w:p>
        </w:tc>
        <w:tc>
          <w:tcPr>
            <w:tcW w:w="80" w:type="dxa"/>
            <w:vAlign w:val="bottom"/>
            <w:shd w:val="clear" w:color="auto" w:fill="D0EBF2"/>
          </w:tcPr>
          <w:p>
            <w:pPr>
              <w:spacing w:after="0"/>
              <w:rPr>
                <w:sz w:val="14"/>
                <w:szCs w:val="14"/>
                <w:color w:val="auto"/>
              </w:rPr>
            </w:pPr>
          </w:p>
        </w:tc>
        <w:tc>
          <w:tcPr>
            <w:tcW w:w="20" w:type="dxa"/>
            <w:vAlign w:val="bottom"/>
            <w:shd w:val="clear" w:color="auto" w:fill="D0EBF2"/>
          </w:tcPr>
          <w:p>
            <w:pPr>
              <w:spacing w:after="0"/>
              <w:rPr>
                <w:sz w:val="14"/>
                <w:szCs w:val="14"/>
                <w:color w:val="auto"/>
              </w:rPr>
            </w:pPr>
          </w:p>
        </w:tc>
        <w:tc>
          <w:tcPr>
            <w:tcW w:w="140" w:type="dxa"/>
            <w:vAlign w:val="bottom"/>
            <w:shd w:val="clear" w:color="auto" w:fill="D0EBF2"/>
          </w:tcPr>
          <w:p>
            <w:pPr>
              <w:spacing w:after="0"/>
              <w:rPr>
                <w:sz w:val="14"/>
                <w:szCs w:val="14"/>
                <w:color w:val="auto"/>
              </w:rPr>
            </w:pPr>
          </w:p>
        </w:tc>
        <w:tc>
          <w:tcPr>
            <w:tcW w:w="760" w:type="dxa"/>
            <w:vAlign w:val="bottom"/>
            <w:shd w:val="clear" w:color="auto" w:fill="D0EBF2"/>
          </w:tcPr>
          <w:p>
            <w:pPr>
              <w:jc w:val="right"/>
              <w:spacing w:after="0" w:line="172" w:lineRule="exact"/>
              <w:rPr>
                <w:sz w:val="20"/>
                <w:szCs w:val="20"/>
                <w:color w:val="auto"/>
              </w:rPr>
            </w:pPr>
            <w:r>
              <w:rPr>
                <w:rFonts w:ascii="Times New Roman" w:cs="Times New Roman" w:eastAsia="Times New Roman" w:hAnsi="Times New Roman"/>
                <w:sz w:val="15"/>
                <w:szCs w:val="15"/>
                <w:color w:val="231F20"/>
              </w:rPr>
              <w:t>8,820</w:t>
            </w:r>
          </w:p>
        </w:tc>
        <w:tc>
          <w:tcPr>
            <w:tcW w:w="80" w:type="dxa"/>
            <w:vAlign w:val="bottom"/>
            <w:shd w:val="clear" w:color="auto" w:fill="D0EBF2"/>
          </w:tcPr>
          <w:p>
            <w:pPr>
              <w:spacing w:after="0"/>
              <w:rPr>
                <w:sz w:val="14"/>
                <w:szCs w:val="14"/>
                <w:color w:val="auto"/>
              </w:rPr>
            </w:pPr>
          </w:p>
        </w:tc>
        <w:tc>
          <w:tcPr>
            <w:tcW w:w="20" w:type="dxa"/>
            <w:vAlign w:val="bottom"/>
            <w:shd w:val="clear" w:color="auto" w:fill="D0EBF2"/>
          </w:tcPr>
          <w:p>
            <w:pPr>
              <w:spacing w:after="0"/>
              <w:rPr>
                <w:sz w:val="14"/>
                <w:szCs w:val="14"/>
                <w:color w:val="auto"/>
              </w:rPr>
            </w:pPr>
          </w:p>
        </w:tc>
        <w:tc>
          <w:tcPr>
            <w:tcW w:w="80" w:type="dxa"/>
            <w:vAlign w:val="bottom"/>
            <w:shd w:val="clear" w:color="auto" w:fill="D0EBF2"/>
          </w:tcPr>
          <w:p>
            <w:pPr>
              <w:spacing w:after="0"/>
              <w:rPr>
                <w:sz w:val="14"/>
                <w:szCs w:val="14"/>
                <w:color w:val="auto"/>
              </w:rPr>
            </w:pPr>
          </w:p>
        </w:tc>
        <w:tc>
          <w:tcPr>
            <w:tcW w:w="120" w:type="dxa"/>
            <w:vAlign w:val="bottom"/>
            <w:shd w:val="clear" w:color="auto" w:fill="D0EBF2"/>
          </w:tcPr>
          <w:p>
            <w:pPr>
              <w:spacing w:after="0"/>
              <w:rPr>
                <w:sz w:val="14"/>
                <w:szCs w:val="14"/>
                <w:color w:val="auto"/>
              </w:rPr>
            </w:pPr>
          </w:p>
        </w:tc>
        <w:tc>
          <w:tcPr>
            <w:tcW w:w="60" w:type="dxa"/>
            <w:vAlign w:val="bottom"/>
            <w:shd w:val="clear" w:color="auto" w:fill="D0EBF2"/>
          </w:tcPr>
          <w:p>
            <w:pPr>
              <w:spacing w:after="0"/>
              <w:rPr>
                <w:sz w:val="14"/>
                <w:szCs w:val="14"/>
                <w:color w:val="auto"/>
              </w:rPr>
            </w:pPr>
          </w:p>
        </w:tc>
        <w:tc>
          <w:tcPr>
            <w:tcW w:w="920" w:type="dxa"/>
            <w:vAlign w:val="bottom"/>
            <w:shd w:val="clear" w:color="auto" w:fill="D0EBF2"/>
          </w:tcPr>
          <w:p>
            <w:pPr>
              <w:spacing w:after="0"/>
              <w:rPr>
                <w:sz w:val="14"/>
                <w:szCs w:val="14"/>
                <w:color w:val="auto"/>
              </w:rPr>
            </w:pPr>
          </w:p>
        </w:tc>
        <w:tc>
          <w:tcPr>
            <w:tcW w:w="380" w:type="dxa"/>
            <w:vAlign w:val="bottom"/>
            <w:gridSpan w:val="2"/>
            <w:shd w:val="clear" w:color="auto" w:fill="D0EBF2"/>
          </w:tcPr>
          <w:p>
            <w:pPr>
              <w:jc w:val="right"/>
              <w:spacing w:after="0" w:line="172" w:lineRule="exact"/>
              <w:rPr>
                <w:sz w:val="20"/>
                <w:szCs w:val="20"/>
                <w:color w:val="auto"/>
              </w:rPr>
            </w:pPr>
            <w:r>
              <w:rPr>
                <w:rFonts w:ascii="Times New Roman" w:cs="Times New Roman" w:eastAsia="Times New Roman" w:hAnsi="Times New Roman"/>
                <w:sz w:val="15"/>
                <w:szCs w:val="15"/>
                <w:color w:val="231F20"/>
              </w:rPr>
              <w:t>7,475</w:t>
            </w:r>
          </w:p>
        </w:tc>
        <w:tc>
          <w:tcPr>
            <w:tcW w:w="980" w:type="dxa"/>
            <w:vAlign w:val="bottom"/>
            <w:gridSpan w:val="4"/>
            <w:shd w:val="clear" w:color="auto" w:fill="D0EBF2"/>
          </w:tcPr>
          <w:p>
            <w:pPr>
              <w:jc w:val="right"/>
              <w:spacing w:after="0" w:line="172" w:lineRule="exact"/>
              <w:rPr>
                <w:sz w:val="20"/>
                <w:szCs w:val="20"/>
                <w:color w:val="auto"/>
              </w:rPr>
            </w:pPr>
            <w:r>
              <w:rPr>
                <w:rFonts w:ascii="Times New Roman" w:cs="Times New Roman" w:eastAsia="Times New Roman" w:hAnsi="Times New Roman"/>
                <w:sz w:val="15"/>
                <w:szCs w:val="15"/>
                <w:color w:val="231F20"/>
              </w:rPr>
              <w:t>0.5%</w:t>
            </w:r>
          </w:p>
        </w:tc>
        <w:tc>
          <w:tcPr>
            <w:tcW w:w="0" w:type="dxa"/>
            <w:vAlign w:val="bottom"/>
          </w:tcPr>
          <w:p>
            <w:pPr>
              <w:spacing w:after="0"/>
              <w:rPr>
                <w:sz w:val="1"/>
                <w:szCs w:val="1"/>
                <w:color w:val="auto"/>
              </w:rPr>
            </w:pPr>
          </w:p>
        </w:tc>
      </w:tr>
      <w:tr>
        <w:trPr>
          <w:trHeight w:val="189"/>
        </w:trPr>
        <w:tc>
          <w:tcPr>
            <w:tcW w:w="1560" w:type="dxa"/>
            <w:vAlign w:val="bottom"/>
            <w:tcBorders>
              <w:bottom w:val="single" w:sz="8" w:color="FDFDFC"/>
            </w:tcBorders>
            <w:shd w:val="clear" w:color="auto" w:fill="D0EBF2"/>
          </w:tcPr>
          <w:p>
            <w:pPr>
              <w:spacing w:after="0"/>
              <w:rPr>
                <w:sz w:val="16"/>
                <w:szCs w:val="16"/>
                <w:color w:val="auto"/>
              </w:rPr>
            </w:pPr>
          </w:p>
        </w:tc>
        <w:tc>
          <w:tcPr>
            <w:tcW w:w="1620" w:type="dxa"/>
            <w:vAlign w:val="bottom"/>
            <w:tcBorders>
              <w:bottom w:val="single" w:sz="8" w:color="FDFDFC"/>
            </w:tcBorders>
            <w:gridSpan w:val="4"/>
            <w:shd w:val="clear" w:color="auto" w:fill="D0EBF2"/>
          </w:tcPr>
          <w:p>
            <w:pPr>
              <w:ind w:left="80"/>
              <w:spacing w:after="0"/>
              <w:rPr>
                <w:sz w:val="20"/>
                <w:szCs w:val="20"/>
                <w:color w:val="auto"/>
              </w:rPr>
            </w:pPr>
            <w:r>
              <w:rPr>
                <w:rFonts w:ascii="Times New Roman" w:cs="Times New Roman" w:eastAsia="Times New Roman" w:hAnsi="Times New Roman"/>
                <w:sz w:val="15"/>
                <w:szCs w:val="15"/>
                <w:color w:val="231F20"/>
              </w:rPr>
              <w:t>ownership)</w:t>
            </w:r>
          </w:p>
        </w:tc>
        <w:tc>
          <w:tcPr>
            <w:tcW w:w="660" w:type="dxa"/>
            <w:vAlign w:val="bottom"/>
            <w:tcBorders>
              <w:bottom w:val="single" w:sz="8" w:color="FDFDFC"/>
            </w:tcBorders>
            <w:shd w:val="clear" w:color="auto" w:fill="D0EBF2"/>
          </w:tcPr>
          <w:p>
            <w:pPr>
              <w:spacing w:after="0"/>
              <w:rPr>
                <w:sz w:val="16"/>
                <w:szCs w:val="16"/>
                <w:color w:val="auto"/>
              </w:rPr>
            </w:pPr>
          </w:p>
        </w:tc>
        <w:tc>
          <w:tcPr>
            <w:tcW w:w="360" w:type="dxa"/>
            <w:vAlign w:val="bottom"/>
            <w:tcBorders>
              <w:bottom w:val="single" w:sz="8" w:color="FDFDFC"/>
            </w:tcBorders>
            <w:shd w:val="clear" w:color="auto" w:fill="D0EBF2"/>
          </w:tcPr>
          <w:p>
            <w:pPr>
              <w:spacing w:after="0"/>
              <w:rPr>
                <w:sz w:val="16"/>
                <w:szCs w:val="16"/>
                <w:color w:val="auto"/>
              </w:rPr>
            </w:pPr>
          </w:p>
        </w:tc>
        <w:tc>
          <w:tcPr>
            <w:tcW w:w="120" w:type="dxa"/>
            <w:vAlign w:val="bottom"/>
            <w:tcBorders>
              <w:bottom w:val="single" w:sz="8" w:color="FDFDFC"/>
            </w:tcBorders>
            <w:shd w:val="clear" w:color="auto" w:fill="D0EBF2"/>
          </w:tcPr>
          <w:p>
            <w:pPr>
              <w:spacing w:after="0"/>
              <w:rPr>
                <w:sz w:val="16"/>
                <w:szCs w:val="16"/>
                <w:color w:val="auto"/>
              </w:rPr>
            </w:pPr>
          </w:p>
        </w:tc>
        <w:tc>
          <w:tcPr>
            <w:tcW w:w="260" w:type="dxa"/>
            <w:vAlign w:val="bottom"/>
            <w:tcBorders>
              <w:bottom w:val="single" w:sz="8" w:color="FDFDFC"/>
            </w:tcBorders>
            <w:shd w:val="clear" w:color="auto" w:fill="D0EBF2"/>
          </w:tcPr>
          <w:p>
            <w:pPr>
              <w:spacing w:after="0"/>
              <w:rPr>
                <w:sz w:val="16"/>
                <w:szCs w:val="16"/>
                <w:color w:val="auto"/>
              </w:rPr>
            </w:pPr>
          </w:p>
        </w:tc>
        <w:tc>
          <w:tcPr>
            <w:tcW w:w="820" w:type="dxa"/>
            <w:vAlign w:val="bottom"/>
            <w:tcBorders>
              <w:bottom w:val="single" w:sz="8" w:color="FDFDFC"/>
            </w:tcBorders>
            <w:shd w:val="clear" w:color="auto" w:fill="D0EBF2"/>
          </w:tcPr>
          <w:p>
            <w:pPr>
              <w:spacing w:after="0"/>
              <w:rPr>
                <w:sz w:val="16"/>
                <w:szCs w:val="16"/>
                <w:color w:val="auto"/>
              </w:rPr>
            </w:pPr>
          </w:p>
        </w:tc>
        <w:tc>
          <w:tcPr>
            <w:tcW w:w="120" w:type="dxa"/>
            <w:vAlign w:val="bottom"/>
            <w:tcBorders>
              <w:bottom w:val="single" w:sz="8" w:color="FDFDFC"/>
            </w:tcBorders>
            <w:shd w:val="clear" w:color="auto" w:fill="D0EBF2"/>
          </w:tcPr>
          <w:p>
            <w:pPr>
              <w:spacing w:after="0"/>
              <w:rPr>
                <w:sz w:val="16"/>
                <w:szCs w:val="16"/>
                <w:color w:val="auto"/>
              </w:rPr>
            </w:pPr>
          </w:p>
        </w:tc>
        <w:tc>
          <w:tcPr>
            <w:tcW w:w="140" w:type="dxa"/>
            <w:vAlign w:val="bottom"/>
            <w:tcBorders>
              <w:bottom w:val="single" w:sz="8" w:color="FDFDFC"/>
            </w:tcBorders>
            <w:shd w:val="clear" w:color="auto" w:fill="D0EBF2"/>
          </w:tcPr>
          <w:p>
            <w:pPr>
              <w:spacing w:after="0"/>
              <w:rPr>
                <w:sz w:val="16"/>
                <w:szCs w:val="16"/>
                <w:color w:val="auto"/>
              </w:rPr>
            </w:pPr>
          </w:p>
        </w:tc>
        <w:tc>
          <w:tcPr>
            <w:tcW w:w="860" w:type="dxa"/>
            <w:vAlign w:val="bottom"/>
            <w:tcBorders>
              <w:bottom w:val="single" w:sz="8" w:color="FDFDFC"/>
            </w:tcBorders>
            <w:shd w:val="clear" w:color="auto" w:fill="D0EBF2"/>
          </w:tcPr>
          <w:p>
            <w:pPr>
              <w:spacing w:after="0"/>
              <w:rPr>
                <w:sz w:val="16"/>
                <w:szCs w:val="16"/>
                <w:color w:val="auto"/>
              </w:rPr>
            </w:pPr>
          </w:p>
        </w:tc>
        <w:tc>
          <w:tcPr>
            <w:tcW w:w="120" w:type="dxa"/>
            <w:vAlign w:val="bottom"/>
            <w:tcBorders>
              <w:bottom w:val="single" w:sz="8" w:color="FDFDFC"/>
            </w:tcBorders>
            <w:shd w:val="clear" w:color="auto" w:fill="D0EBF2"/>
          </w:tcPr>
          <w:p>
            <w:pPr>
              <w:spacing w:after="0"/>
              <w:rPr>
                <w:sz w:val="16"/>
                <w:szCs w:val="16"/>
                <w:color w:val="auto"/>
              </w:rPr>
            </w:pPr>
          </w:p>
        </w:tc>
        <w:tc>
          <w:tcPr>
            <w:tcW w:w="80" w:type="dxa"/>
            <w:vAlign w:val="bottom"/>
            <w:tcBorders>
              <w:bottom w:val="single" w:sz="8" w:color="231F20"/>
            </w:tcBorders>
            <w:shd w:val="clear" w:color="auto" w:fill="D0EBF2"/>
          </w:tcPr>
          <w:p>
            <w:pPr>
              <w:spacing w:after="0"/>
              <w:rPr>
                <w:sz w:val="16"/>
                <w:szCs w:val="16"/>
                <w:color w:val="auto"/>
              </w:rPr>
            </w:pPr>
          </w:p>
        </w:tc>
        <w:tc>
          <w:tcPr>
            <w:tcW w:w="20" w:type="dxa"/>
            <w:vAlign w:val="bottom"/>
            <w:tcBorders>
              <w:bottom w:val="single" w:sz="8" w:color="231F20"/>
            </w:tcBorders>
            <w:shd w:val="clear" w:color="auto" w:fill="D0EBF2"/>
          </w:tcPr>
          <w:p>
            <w:pPr>
              <w:spacing w:after="0"/>
              <w:rPr>
                <w:sz w:val="16"/>
                <w:szCs w:val="16"/>
                <w:color w:val="auto"/>
              </w:rPr>
            </w:pPr>
          </w:p>
        </w:tc>
        <w:tc>
          <w:tcPr>
            <w:tcW w:w="140" w:type="dxa"/>
            <w:vAlign w:val="bottom"/>
            <w:tcBorders>
              <w:bottom w:val="single" w:sz="8" w:color="231F20"/>
            </w:tcBorders>
            <w:shd w:val="clear" w:color="auto" w:fill="D0EBF2"/>
          </w:tcPr>
          <w:p>
            <w:pPr>
              <w:spacing w:after="0"/>
              <w:rPr>
                <w:sz w:val="16"/>
                <w:szCs w:val="16"/>
                <w:color w:val="auto"/>
              </w:rPr>
            </w:pPr>
          </w:p>
        </w:tc>
        <w:tc>
          <w:tcPr>
            <w:tcW w:w="760" w:type="dxa"/>
            <w:vAlign w:val="bottom"/>
            <w:tcBorders>
              <w:bottom w:val="single" w:sz="8" w:color="231F20"/>
            </w:tcBorders>
            <w:shd w:val="clear" w:color="auto" w:fill="D0EBF2"/>
          </w:tcPr>
          <w:p>
            <w:pPr>
              <w:spacing w:after="0"/>
              <w:rPr>
                <w:sz w:val="16"/>
                <w:szCs w:val="16"/>
                <w:color w:val="auto"/>
              </w:rPr>
            </w:pPr>
          </w:p>
        </w:tc>
        <w:tc>
          <w:tcPr>
            <w:tcW w:w="80" w:type="dxa"/>
            <w:vAlign w:val="bottom"/>
            <w:tcBorders>
              <w:bottom w:val="single" w:sz="8" w:color="FDFDFC"/>
            </w:tcBorders>
            <w:shd w:val="clear" w:color="auto" w:fill="D0EBF2"/>
          </w:tcPr>
          <w:p>
            <w:pPr>
              <w:spacing w:after="0"/>
              <w:rPr>
                <w:sz w:val="16"/>
                <w:szCs w:val="16"/>
                <w:color w:val="auto"/>
              </w:rPr>
            </w:pPr>
          </w:p>
        </w:tc>
        <w:tc>
          <w:tcPr>
            <w:tcW w:w="20" w:type="dxa"/>
            <w:vAlign w:val="bottom"/>
            <w:tcBorders>
              <w:bottom w:val="single" w:sz="8" w:color="FDFDFC"/>
            </w:tcBorders>
            <w:shd w:val="clear" w:color="auto" w:fill="D0EBF2"/>
          </w:tcPr>
          <w:p>
            <w:pPr>
              <w:spacing w:after="0"/>
              <w:rPr>
                <w:sz w:val="16"/>
                <w:szCs w:val="16"/>
                <w:color w:val="auto"/>
              </w:rPr>
            </w:pPr>
          </w:p>
        </w:tc>
        <w:tc>
          <w:tcPr>
            <w:tcW w:w="80" w:type="dxa"/>
            <w:vAlign w:val="bottom"/>
            <w:tcBorders>
              <w:bottom w:val="single" w:sz="8" w:color="231F20"/>
            </w:tcBorders>
            <w:shd w:val="clear" w:color="auto" w:fill="D0EBF2"/>
          </w:tcPr>
          <w:p>
            <w:pPr>
              <w:spacing w:after="0"/>
              <w:rPr>
                <w:sz w:val="16"/>
                <w:szCs w:val="16"/>
                <w:color w:val="auto"/>
              </w:rPr>
            </w:pPr>
          </w:p>
        </w:tc>
        <w:tc>
          <w:tcPr>
            <w:tcW w:w="120" w:type="dxa"/>
            <w:vAlign w:val="bottom"/>
            <w:tcBorders>
              <w:bottom w:val="single" w:sz="8" w:color="231F20"/>
            </w:tcBorders>
            <w:shd w:val="clear" w:color="auto" w:fill="D0EBF2"/>
          </w:tcPr>
          <w:p>
            <w:pPr>
              <w:spacing w:after="0"/>
              <w:rPr>
                <w:sz w:val="16"/>
                <w:szCs w:val="16"/>
                <w:color w:val="auto"/>
              </w:rPr>
            </w:pPr>
          </w:p>
        </w:tc>
        <w:tc>
          <w:tcPr>
            <w:tcW w:w="60" w:type="dxa"/>
            <w:vAlign w:val="bottom"/>
            <w:tcBorders>
              <w:bottom w:val="single" w:sz="8" w:color="231F20"/>
            </w:tcBorders>
            <w:shd w:val="clear" w:color="auto" w:fill="D0EBF2"/>
          </w:tcPr>
          <w:p>
            <w:pPr>
              <w:spacing w:after="0"/>
              <w:rPr>
                <w:sz w:val="16"/>
                <w:szCs w:val="16"/>
                <w:color w:val="auto"/>
              </w:rPr>
            </w:pPr>
          </w:p>
        </w:tc>
        <w:tc>
          <w:tcPr>
            <w:tcW w:w="920" w:type="dxa"/>
            <w:vAlign w:val="bottom"/>
            <w:tcBorders>
              <w:bottom w:val="single" w:sz="8" w:color="231F20"/>
            </w:tcBorders>
            <w:shd w:val="clear" w:color="auto" w:fill="D0EBF2"/>
          </w:tcPr>
          <w:p>
            <w:pPr>
              <w:spacing w:after="0"/>
              <w:rPr>
                <w:sz w:val="16"/>
                <w:szCs w:val="16"/>
                <w:color w:val="auto"/>
              </w:rPr>
            </w:pPr>
          </w:p>
        </w:tc>
        <w:tc>
          <w:tcPr>
            <w:tcW w:w="220" w:type="dxa"/>
            <w:vAlign w:val="bottom"/>
            <w:tcBorders>
              <w:bottom w:val="single" w:sz="8" w:color="231F20"/>
            </w:tcBorders>
            <w:shd w:val="clear" w:color="auto" w:fill="D0EBF2"/>
          </w:tcPr>
          <w:p>
            <w:pPr>
              <w:spacing w:after="0"/>
              <w:rPr>
                <w:sz w:val="16"/>
                <w:szCs w:val="16"/>
                <w:color w:val="auto"/>
              </w:rPr>
            </w:pPr>
          </w:p>
        </w:tc>
        <w:tc>
          <w:tcPr>
            <w:tcW w:w="160" w:type="dxa"/>
            <w:vAlign w:val="bottom"/>
            <w:tcBorders>
              <w:bottom w:val="single" w:sz="8" w:color="231F20"/>
            </w:tcBorders>
            <w:shd w:val="clear" w:color="auto" w:fill="D0EBF2"/>
          </w:tcPr>
          <w:p>
            <w:pPr>
              <w:spacing w:after="0"/>
              <w:rPr>
                <w:sz w:val="16"/>
                <w:szCs w:val="16"/>
                <w:color w:val="auto"/>
              </w:rPr>
            </w:pPr>
          </w:p>
        </w:tc>
        <w:tc>
          <w:tcPr>
            <w:tcW w:w="20" w:type="dxa"/>
            <w:vAlign w:val="bottom"/>
            <w:tcBorders>
              <w:bottom w:val="single" w:sz="8" w:color="231F20"/>
            </w:tcBorders>
            <w:shd w:val="clear" w:color="auto" w:fill="D0EBF2"/>
          </w:tcPr>
          <w:p>
            <w:pPr>
              <w:spacing w:after="0"/>
              <w:rPr>
                <w:sz w:val="16"/>
                <w:szCs w:val="16"/>
                <w:color w:val="auto"/>
              </w:rPr>
            </w:pPr>
          </w:p>
        </w:tc>
        <w:tc>
          <w:tcPr>
            <w:tcW w:w="100" w:type="dxa"/>
            <w:vAlign w:val="bottom"/>
            <w:tcBorders>
              <w:bottom w:val="single" w:sz="8" w:color="FDFDFC"/>
            </w:tcBorders>
            <w:shd w:val="clear" w:color="auto" w:fill="D0EBF2"/>
          </w:tcPr>
          <w:p>
            <w:pPr>
              <w:spacing w:after="0"/>
              <w:rPr>
                <w:sz w:val="16"/>
                <w:szCs w:val="16"/>
                <w:color w:val="auto"/>
              </w:rPr>
            </w:pPr>
          </w:p>
        </w:tc>
        <w:tc>
          <w:tcPr>
            <w:tcW w:w="760" w:type="dxa"/>
            <w:vAlign w:val="bottom"/>
            <w:tcBorders>
              <w:bottom w:val="single" w:sz="8" w:color="231F20"/>
            </w:tcBorders>
            <w:shd w:val="clear" w:color="auto" w:fill="D0EBF2"/>
          </w:tcPr>
          <w:p>
            <w:pPr>
              <w:spacing w:after="0"/>
              <w:rPr>
                <w:sz w:val="16"/>
                <w:szCs w:val="16"/>
                <w:color w:val="auto"/>
              </w:rPr>
            </w:pPr>
          </w:p>
        </w:tc>
        <w:tc>
          <w:tcPr>
            <w:tcW w:w="100" w:type="dxa"/>
            <w:vAlign w:val="bottom"/>
            <w:tcBorders>
              <w:bottom w:val="single" w:sz="8" w:color="231F20"/>
            </w:tcBorders>
            <w:shd w:val="clear" w:color="auto" w:fill="D0EBF2"/>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1560" w:type="dxa"/>
            <w:vAlign w:val="bottom"/>
            <w:tcBorders>
              <w:bottom w:val="single" w:sz="8" w:color="D0EBF2"/>
            </w:tcBorders>
            <w:shd w:val="clear" w:color="auto" w:fill="FDFDFC"/>
          </w:tcPr>
          <w:p>
            <w:pPr>
              <w:spacing w:after="0"/>
              <w:rPr>
                <w:sz w:val="15"/>
                <w:szCs w:val="15"/>
                <w:color w:val="auto"/>
              </w:rPr>
            </w:pPr>
          </w:p>
        </w:tc>
        <w:tc>
          <w:tcPr>
            <w:tcW w:w="340" w:type="dxa"/>
            <w:vAlign w:val="bottom"/>
            <w:tcBorders>
              <w:bottom w:val="single" w:sz="8" w:color="D0EBF2"/>
            </w:tcBorders>
            <w:shd w:val="clear" w:color="auto" w:fill="FDFDFC"/>
          </w:tcPr>
          <w:p>
            <w:pPr>
              <w:spacing w:after="0"/>
              <w:rPr>
                <w:sz w:val="15"/>
                <w:szCs w:val="15"/>
                <w:color w:val="auto"/>
              </w:rPr>
            </w:pPr>
          </w:p>
        </w:tc>
        <w:tc>
          <w:tcPr>
            <w:tcW w:w="1100" w:type="dxa"/>
            <w:vAlign w:val="bottom"/>
            <w:tcBorders>
              <w:bottom w:val="single" w:sz="8" w:color="D0EBF2"/>
            </w:tcBorders>
            <w:shd w:val="clear" w:color="auto" w:fill="FDFDFC"/>
          </w:tcPr>
          <w:p>
            <w:pPr>
              <w:spacing w:after="0"/>
              <w:rPr>
                <w:sz w:val="15"/>
                <w:szCs w:val="15"/>
                <w:color w:val="auto"/>
              </w:rPr>
            </w:pPr>
          </w:p>
        </w:tc>
        <w:tc>
          <w:tcPr>
            <w:tcW w:w="120" w:type="dxa"/>
            <w:vAlign w:val="bottom"/>
            <w:tcBorders>
              <w:bottom w:val="single" w:sz="8" w:color="D0EBF2"/>
            </w:tcBorders>
            <w:shd w:val="clear" w:color="auto" w:fill="FDFDFC"/>
          </w:tcPr>
          <w:p>
            <w:pPr>
              <w:spacing w:after="0"/>
              <w:rPr>
                <w:sz w:val="15"/>
                <w:szCs w:val="15"/>
                <w:color w:val="auto"/>
              </w:rPr>
            </w:pPr>
          </w:p>
        </w:tc>
        <w:tc>
          <w:tcPr>
            <w:tcW w:w="60" w:type="dxa"/>
            <w:vAlign w:val="bottom"/>
            <w:tcBorders>
              <w:bottom w:val="single" w:sz="8" w:color="D0EBF2"/>
            </w:tcBorders>
            <w:shd w:val="clear" w:color="auto" w:fill="FDFDFC"/>
          </w:tcPr>
          <w:p>
            <w:pPr>
              <w:spacing w:after="0"/>
              <w:rPr>
                <w:sz w:val="15"/>
                <w:szCs w:val="15"/>
                <w:color w:val="auto"/>
              </w:rPr>
            </w:pPr>
          </w:p>
        </w:tc>
        <w:tc>
          <w:tcPr>
            <w:tcW w:w="660" w:type="dxa"/>
            <w:vAlign w:val="bottom"/>
            <w:tcBorders>
              <w:bottom w:val="single" w:sz="8" w:color="D0EBF2"/>
            </w:tcBorders>
            <w:shd w:val="clear" w:color="auto" w:fill="FDFDFC"/>
          </w:tcPr>
          <w:p>
            <w:pPr>
              <w:spacing w:after="0"/>
              <w:rPr>
                <w:sz w:val="15"/>
                <w:szCs w:val="15"/>
                <w:color w:val="auto"/>
              </w:rPr>
            </w:pPr>
          </w:p>
        </w:tc>
        <w:tc>
          <w:tcPr>
            <w:tcW w:w="360" w:type="dxa"/>
            <w:vAlign w:val="bottom"/>
            <w:tcBorders>
              <w:bottom w:val="single" w:sz="8" w:color="D0EBF2"/>
            </w:tcBorders>
            <w:shd w:val="clear" w:color="auto" w:fill="FDFDFC"/>
          </w:tcPr>
          <w:p>
            <w:pPr>
              <w:spacing w:after="0"/>
              <w:rPr>
                <w:sz w:val="15"/>
                <w:szCs w:val="15"/>
                <w:color w:val="auto"/>
              </w:rPr>
            </w:pPr>
          </w:p>
        </w:tc>
        <w:tc>
          <w:tcPr>
            <w:tcW w:w="120" w:type="dxa"/>
            <w:vAlign w:val="bottom"/>
            <w:tcBorders>
              <w:bottom w:val="single" w:sz="8" w:color="D0EBF2"/>
            </w:tcBorders>
            <w:shd w:val="clear" w:color="auto" w:fill="FDFDFC"/>
          </w:tcPr>
          <w:p>
            <w:pPr>
              <w:spacing w:after="0"/>
              <w:rPr>
                <w:sz w:val="15"/>
                <w:szCs w:val="15"/>
                <w:color w:val="auto"/>
              </w:rPr>
            </w:pPr>
          </w:p>
        </w:tc>
        <w:tc>
          <w:tcPr>
            <w:tcW w:w="260" w:type="dxa"/>
            <w:vAlign w:val="bottom"/>
            <w:tcBorders>
              <w:bottom w:val="single" w:sz="8" w:color="D0EBF2"/>
            </w:tcBorders>
            <w:shd w:val="clear" w:color="auto" w:fill="FDFDFC"/>
          </w:tcPr>
          <w:p>
            <w:pPr>
              <w:spacing w:after="0"/>
              <w:rPr>
                <w:sz w:val="15"/>
                <w:szCs w:val="15"/>
                <w:color w:val="auto"/>
              </w:rPr>
            </w:pPr>
          </w:p>
        </w:tc>
        <w:tc>
          <w:tcPr>
            <w:tcW w:w="820" w:type="dxa"/>
            <w:vAlign w:val="bottom"/>
            <w:tcBorders>
              <w:bottom w:val="single" w:sz="8" w:color="D0EBF2"/>
            </w:tcBorders>
            <w:shd w:val="clear" w:color="auto" w:fill="FDFDFC"/>
          </w:tcPr>
          <w:p>
            <w:pPr>
              <w:spacing w:after="0"/>
              <w:rPr>
                <w:sz w:val="15"/>
                <w:szCs w:val="15"/>
                <w:color w:val="auto"/>
              </w:rPr>
            </w:pPr>
          </w:p>
        </w:tc>
        <w:tc>
          <w:tcPr>
            <w:tcW w:w="120" w:type="dxa"/>
            <w:vAlign w:val="bottom"/>
            <w:tcBorders>
              <w:bottom w:val="single" w:sz="8" w:color="D0EBF2"/>
            </w:tcBorders>
            <w:shd w:val="clear" w:color="auto" w:fill="FDFDFC"/>
          </w:tcPr>
          <w:p>
            <w:pPr>
              <w:spacing w:after="0"/>
              <w:rPr>
                <w:sz w:val="15"/>
                <w:szCs w:val="15"/>
                <w:color w:val="auto"/>
              </w:rPr>
            </w:pPr>
          </w:p>
        </w:tc>
        <w:tc>
          <w:tcPr>
            <w:tcW w:w="140" w:type="dxa"/>
            <w:vAlign w:val="bottom"/>
            <w:tcBorders>
              <w:bottom w:val="single" w:sz="8" w:color="D0EBF2"/>
            </w:tcBorders>
            <w:shd w:val="clear" w:color="auto" w:fill="FDFDFC"/>
          </w:tcPr>
          <w:p>
            <w:pPr>
              <w:spacing w:after="0"/>
              <w:rPr>
                <w:sz w:val="15"/>
                <w:szCs w:val="15"/>
                <w:color w:val="auto"/>
              </w:rPr>
            </w:pPr>
          </w:p>
        </w:tc>
        <w:tc>
          <w:tcPr>
            <w:tcW w:w="860" w:type="dxa"/>
            <w:vAlign w:val="bottom"/>
            <w:tcBorders>
              <w:bottom w:val="single" w:sz="8" w:color="D0EBF2"/>
            </w:tcBorders>
            <w:shd w:val="clear" w:color="auto" w:fill="FDFDFC"/>
          </w:tcPr>
          <w:p>
            <w:pPr>
              <w:spacing w:after="0"/>
              <w:rPr>
                <w:sz w:val="15"/>
                <w:szCs w:val="15"/>
                <w:color w:val="auto"/>
              </w:rPr>
            </w:pPr>
          </w:p>
        </w:tc>
        <w:tc>
          <w:tcPr>
            <w:tcW w:w="120" w:type="dxa"/>
            <w:vAlign w:val="bottom"/>
            <w:tcBorders>
              <w:bottom w:val="single" w:sz="8" w:color="D0EBF2"/>
            </w:tcBorders>
            <w:shd w:val="clear" w:color="auto" w:fill="FDFDFC"/>
          </w:tcPr>
          <w:p>
            <w:pPr>
              <w:spacing w:after="0"/>
              <w:rPr>
                <w:sz w:val="15"/>
                <w:szCs w:val="15"/>
                <w:color w:val="auto"/>
              </w:rPr>
            </w:pPr>
          </w:p>
        </w:tc>
        <w:tc>
          <w:tcPr>
            <w:tcW w:w="80" w:type="dxa"/>
            <w:vAlign w:val="bottom"/>
            <w:tcBorders>
              <w:bottom w:val="single" w:sz="8" w:color="231F20"/>
            </w:tcBorders>
            <w:shd w:val="clear" w:color="auto" w:fill="FDFDFC"/>
          </w:tcPr>
          <w:p>
            <w:pPr>
              <w:spacing w:after="0"/>
              <w:rPr>
                <w:sz w:val="15"/>
                <w:szCs w:val="15"/>
                <w:color w:val="auto"/>
              </w:rPr>
            </w:pPr>
          </w:p>
        </w:tc>
        <w:tc>
          <w:tcPr>
            <w:tcW w:w="20" w:type="dxa"/>
            <w:vAlign w:val="bottom"/>
            <w:tcBorders>
              <w:bottom w:val="single" w:sz="8" w:color="231F20"/>
            </w:tcBorders>
            <w:shd w:val="clear" w:color="auto" w:fill="FDFDFC"/>
          </w:tcPr>
          <w:p>
            <w:pPr>
              <w:spacing w:after="0"/>
              <w:rPr>
                <w:sz w:val="15"/>
                <w:szCs w:val="15"/>
                <w:color w:val="auto"/>
              </w:rPr>
            </w:pPr>
          </w:p>
        </w:tc>
        <w:tc>
          <w:tcPr>
            <w:tcW w:w="140" w:type="dxa"/>
            <w:vAlign w:val="bottom"/>
            <w:tcBorders>
              <w:bottom w:val="single" w:sz="8" w:color="231F20"/>
            </w:tcBorders>
            <w:shd w:val="clear" w:color="auto" w:fill="FDFDFC"/>
          </w:tcPr>
          <w:p>
            <w:pPr>
              <w:spacing w:after="0"/>
              <w:rPr>
                <w:sz w:val="15"/>
                <w:szCs w:val="15"/>
                <w:color w:val="auto"/>
              </w:rPr>
            </w:pPr>
          </w:p>
        </w:tc>
        <w:tc>
          <w:tcPr>
            <w:tcW w:w="760" w:type="dxa"/>
            <w:vAlign w:val="bottom"/>
            <w:tcBorders>
              <w:bottom w:val="single" w:sz="8" w:color="231F20"/>
            </w:tcBorders>
            <w:shd w:val="clear" w:color="auto" w:fill="FDFDFC"/>
          </w:tcPr>
          <w:p>
            <w:pPr>
              <w:jc w:val="right"/>
              <w:spacing w:after="0"/>
              <w:rPr>
                <w:sz w:val="20"/>
                <w:szCs w:val="20"/>
                <w:color w:val="auto"/>
              </w:rPr>
            </w:pPr>
            <w:r>
              <w:rPr>
                <w:rFonts w:ascii="Times New Roman" w:cs="Times New Roman" w:eastAsia="Times New Roman" w:hAnsi="Times New Roman"/>
                <w:sz w:val="15"/>
                <w:szCs w:val="15"/>
                <w:color w:val="231F20"/>
              </w:rPr>
              <w:t>8,820</w:t>
            </w:r>
          </w:p>
        </w:tc>
        <w:tc>
          <w:tcPr>
            <w:tcW w:w="80" w:type="dxa"/>
            <w:vAlign w:val="bottom"/>
            <w:tcBorders>
              <w:bottom w:val="single" w:sz="8" w:color="D0EBF2"/>
            </w:tcBorders>
            <w:shd w:val="clear" w:color="auto" w:fill="FDFDFC"/>
          </w:tcPr>
          <w:p>
            <w:pPr>
              <w:spacing w:after="0"/>
              <w:rPr>
                <w:sz w:val="15"/>
                <w:szCs w:val="15"/>
                <w:color w:val="auto"/>
              </w:rPr>
            </w:pPr>
          </w:p>
        </w:tc>
        <w:tc>
          <w:tcPr>
            <w:tcW w:w="20" w:type="dxa"/>
            <w:vAlign w:val="bottom"/>
            <w:tcBorders>
              <w:bottom w:val="single" w:sz="8" w:color="D0EBF2"/>
            </w:tcBorders>
            <w:shd w:val="clear" w:color="auto" w:fill="FDFDFC"/>
          </w:tcPr>
          <w:p>
            <w:pPr>
              <w:spacing w:after="0"/>
              <w:rPr>
                <w:sz w:val="15"/>
                <w:szCs w:val="15"/>
                <w:color w:val="auto"/>
              </w:rPr>
            </w:pPr>
          </w:p>
        </w:tc>
        <w:tc>
          <w:tcPr>
            <w:tcW w:w="80" w:type="dxa"/>
            <w:vAlign w:val="bottom"/>
            <w:tcBorders>
              <w:bottom w:val="single" w:sz="8" w:color="231F20"/>
            </w:tcBorders>
            <w:shd w:val="clear" w:color="auto" w:fill="FDFDFC"/>
          </w:tcPr>
          <w:p>
            <w:pPr>
              <w:spacing w:after="0"/>
              <w:rPr>
                <w:sz w:val="15"/>
                <w:szCs w:val="15"/>
                <w:color w:val="auto"/>
              </w:rPr>
            </w:pPr>
          </w:p>
        </w:tc>
        <w:tc>
          <w:tcPr>
            <w:tcW w:w="120" w:type="dxa"/>
            <w:vAlign w:val="bottom"/>
            <w:tcBorders>
              <w:bottom w:val="single" w:sz="8" w:color="231F20"/>
            </w:tcBorders>
            <w:shd w:val="clear" w:color="auto" w:fill="FDFDFC"/>
          </w:tcPr>
          <w:p>
            <w:pPr>
              <w:spacing w:after="0"/>
              <w:rPr>
                <w:sz w:val="15"/>
                <w:szCs w:val="15"/>
                <w:color w:val="auto"/>
              </w:rPr>
            </w:pPr>
          </w:p>
        </w:tc>
        <w:tc>
          <w:tcPr>
            <w:tcW w:w="60" w:type="dxa"/>
            <w:vAlign w:val="bottom"/>
            <w:tcBorders>
              <w:bottom w:val="single" w:sz="8" w:color="231F20"/>
            </w:tcBorders>
            <w:shd w:val="clear" w:color="auto" w:fill="FDFDFC"/>
          </w:tcPr>
          <w:p>
            <w:pPr>
              <w:spacing w:after="0"/>
              <w:rPr>
                <w:sz w:val="15"/>
                <w:szCs w:val="15"/>
                <w:color w:val="auto"/>
              </w:rPr>
            </w:pPr>
          </w:p>
        </w:tc>
        <w:tc>
          <w:tcPr>
            <w:tcW w:w="920" w:type="dxa"/>
            <w:vAlign w:val="bottom"/>
            <w:tcBorders>
              <w:bottom w:val="single" w:sz="8" w:color="231F20"/>
            </w:tcBorders>
            <w:shd w:val="clear" w:color="auto" w:fill="FDFDFC"/>
          </w:tcPr>
          <w:p>
            <w:pPr>
              <w:spacing w:after="0"/>
              <w:rPr>
                <w:sz w:val="15"/>
                <w:szCs w:val="15"/>
                <w:color w:val="auto"/>
              </w:rPr>
            </w:pPr>
          </w:p>
        </w:tc>
        <w:tc>
          <w:tcPr>
            <w:tcW w:w="380" w:type="dxa"/>
            <w:vAlign w:val="bottom"/>
            <w:tcBorders>
              <w:bottom w:val="single" w:sz="8" w:color="231F20"/>
            </w:tcBorders>
            <w:gridSpan w:val="2"/>
            <w:shd w:val="clear" w:color="auto" w:fill="FDFDFC"/>
          </w:tcPr>
          <w:p>
            <w:pPr>
              <w:jc w:val="right"/>
              <w:spacing w:after="0"/>
              <w:rPr>
                <w:sz w:val="20"/>
                <w:szCs w:val="20"/>
                <w:color w:val="auto"/>
              </w:rPr>
            </w:pPr>
            <w:r>
              <w:rPr>
                <w:rFonts w:ascii="Times New Roman" w:cs="Times New Roman" w:eastAsia="Times New Roman" w:hAnsi="Times New Roman"/>
                <w:sz w:val="15"/>
                <w:szCs w:val="15"/>
                <w:color w:val="231F20"/>
              </w:rPr>
              <w:t>9,612</w:t>
            </w:r>
          </w:p>
        </w:tc>
        <w:tc>
          <w:tcPr>
            <w:tcW w:w="20" w:type="dxa"/>
            <w:vAlign w:val="bottom"/>
            <w:tcBorders>
              <w:bottom w:val="single" w:sz="8" w:color="231F20"/>
            </w:tcBorders>
            <w:shd w:val="clear" w:color="auto" w:fill="FDFDFC"/>
          </w:tcPr>
          <w:p>
            <w:pPr>
              <w:spacing w:after="0"/>
              <w:rPr>
                <w:sz w:val="15"/>
                <w:szCs w:val="15"/>
                <w:color w:val="auto"/>
              </w:rPr>
            </w:pPr>
          </w:p>
        </w:tc>
        <w:tc>
          <w:tcPr>
            <w:tcW w:w="100" w:type="dxa"/>
            <w:vAlign w:val="bottom"/>
            <w:tcBorders>
              <w:bottom w:val="single" w:sz="8" w:color="D0EBF2"/>
            </w:tcBorders>
            <w:shd w:val="clear" w:color="auto" w:fill="FDFDFC"/>
          </w:tcPr>
          <w:p>
            <w:pPr>
              <w:spacing w:after="0"/>
              <w:rPr>
                <w:sz w:val="15"/>
                <w:szCs w:val="15"/>
                <w:color w:val="auto"/>
              </w:rPr>
            </w:pPr>
          </w:p>
        </w:tc>
        <w:tc>
          <w:tcPr>
            <w:tcW w:w="860" w:type="dxa"/>
            <w:vAlign w:val="bottom"/>
            <w:tcBorders>
              <w:bottom w:val="single" w:sz="8" w:color="231F20"/>
            </w:tcBorders>
            <w:gridSpan w:val="2"/>
            <w:shd w:val="clear" w:color="auto" w:fill="FDFDFC"/>
          </w:tcPr>
          <w:p>
            <w:pPr>
              <w:jc w:val="right"/>
              <w:spacing w:after="0"/>
              <w:rPr>
                <w:sz w:val="20"/>
                <w:szCs w:val="20"/>
                <w:color w:val="auto"/>
              </w:rPr>
            </w:pPr>
            <w:r>
              <w:rPr>
                <w:rFonts w:ascii="Times New Roman" w:cs="Times New Roman" w:eastAsia="Times New Roman" w:hAnsi="Times New Roman"/>
                <w:sz w:val="15"/>
                <w:szCs w:val="15"/>
                <w:color w:val="231F20"/>
              </w:rPr>
              <w:t>0.7%</w:t>
            </w:r>
          </w:p>
        </w:tc>
        <w:tc>
          <w:tcPr>
            <w:tcW w:w="0" w:type="dxa"/>
            <w:vAlign w:val="bottom"/>
          </w:tcPr>
          <w:p>
            <w:pPr>
              <w:spacing w:after="0"/>
              <w:rPr>
                <w:sz w:val="1"/>
                <w:szCs w:val="1"/>
                <w:color w:val="auto"/>
              </w:rPr>
            </w:pPr>
          </w:p>
        </w:tc>
      </w:tr>
      <w:tr>
        <w:trPr>
          <w:trHeight w:val="176"/>
        </w:trPr>
        <w:tc>
          <w:tcPr>
            <w:tcW w:w="1560" w:type="dxa"/>
            <w:vAlign w:val="bottom"/>
            <w:shd w:val="clear" w:color="auto" w:fill="D0EBF2"/>
          </w:tcPr>
          <w:p>
            <w:pPr>
              <w:spacing w:after="0"/>
              <w:rPr>
                <w:sz w:val="20"/>
                <w:szCs w:val="20"/>
                <w:color w:val="auto"/>
              </w:rPr>
            </w:pPr>
            <w:r>
              <w:rPr>
                <w:rFonts w:ascii="Times New Roman" w:cs="Times New Roman" w:eastAsia="Times New Roman" w:hAnsi="Times New Roman"/>
                <w:sz w:val="15"/>
                <w:szCs w:val="15"/>
                <w:b w:val="1"/>
                <w:bCs w:val="1"/>
                <w:color w:val="231F20"/>
              </w:rPr>
              <w:t>Pharmaceuticals</w:t>
            </w:r>
          </w:p>
        </w:tc>
        <w:tc>
          <w:tcPr>
            <w:tcW w:w="340" w:type="dxa"/>
            <w:vAlign w:val="bottom"/>
            <w:shd w:val="clear" w:color="auto" w:fill="D0EBF2"/>
          </w:tcPr>
          <w:p>
            <w:pPr>
              <w:spacing w:after="0"/>
              <w:rPr>
                <w:sz w:val="15"/>
                <w:szCs w:val="15"/>
                <w:color w:val="auto"/>
              </w:rPr>
            </w:pPr>
          </w:p>
        </w:tc>
        <w:tc>
          <w:tcPr>
            <w:tcW w:w="1100" w:type="dxa"/>
            <w:vAlign w:val="bottom"/>
            <w:shd w:val="clear" w:color="auto" w:fill="D0EBF2"/>
          </w:tcPr>
          <w:p>
            <w:pPr>
              <w:spacing w:after="0"/>
              <w:rPr>
                <w:sz w:val="15"/>
                <w:szCs w:val="15"/>
                <w:color w:val="auto"/>
              </w:rPr>
            </w:pPr>
          </w:p>
        </w:tc>
        <w:tc>
          <w:tcPr>
            <w:tcW w:w="120" w:type="dxa"/>
            <w:vAlign w:val="bottom"/>
            <w:shd w:val="clear" w:color="auto" w:fill="D0EBF2"/>
          </w:tcPr>
          <w:p>
            <w:pPr>
              <w:spacing w:after="0"/>
              <w:rPr>
                <w:sz w:val="15"/>
                <w:szCs w:val="15"/>
                <w:color w:val="auto"/>
              </w:rPr>
            </w:pPr>
          </w:p>
        </w:tc>
        <w:tc>
          <w:tcPr>
            <w:tcW w:w="60" w:type="dxa"/>
            <w:vAlign w:val="bottom"/>
            <w:shd w:val="clear" w:color="auto" w:fill="D0EBF2"/>
          </w:tcPr>
          <w:p>
            <w:pPr>
              <w:spacing w:after="0"/>
              <w:rPr>
                <w:sz w:val="15"/>
                <w:szCs w:val="15"/>
                <w:color w:val="auto"/>
              </w:rPr>
            </w:pPr>
          </w:p>
        </w:tc>
        <w:tc>
          <w:tcPr>
            <w:tcW w:w="660" w:type="dxa"/>
            <w:vAlign w:val="bottom"/>
            <w:shd w:val="clear" w:color="auto" w:fill="D0EBF2"/>
          </w:tcPr>
          <w:p>
            <w:pPr>
              <w:spacing w:after="0"/>
              <w:rPr>
                <w:sz w:val="15"/>
                <w:szCs w:val="15"/>
                <w:color w:val="auto"/>
              </w:rPr>
            </w:pPr>
          </w:p>
        </w:tc>
        <w:tc>
          <w:tcPr>
            <w:tcW w:w="360" w:type="dxa"/>
            <w:vAlign w:val="bottom"/>
            <w:shd w:val="clear" w:color="auto" w:fill="D0EBF2"/>
          </w:tcPr>
          <w:p>
            <w:pPr>
              <w:spacing w:after="0"/>
              <w:rPr>
                <w:sz w:val="15"/>
                <w:szCs w:val="15"/>
                <w:color w:val="auto"/>
              </w:rPr>
            </w:pPr>
          </w:p>
        </w:tc>
        <w:tc>
          <w:tcPr>
            <w:tcW w:w="120" w:type="dxa"/>
            <w:vAlign w:val="bottom"/>
            <w:shd w:val="clear" w:color="auto" w:fill="D0EBF2"/>
          </w:tcPr>
          <w:p>
            <w:pPr>
              <w:spacing w:after="0"/>
              <w:rPr>
                <w:sz w:val="15"/>
                <w:szCs w:val="15"/>
                <w:color w:val="auto"/>
              </w:rPr>
            </w:pPr>
          </w:p>
        </w:tc>
        <w:tc>
          <w:tcPr>
            <w:tcW w:w="260" w:type="dxa"/>
            <w:vAlign w:val="bottom"/>
            <w:shd w:val="clear" w:color="auto" w:fill="D0EBF2"/>
          </w:tcPr>
          <w:p>
            <w:pPr>
              <w:spacing w:after="0"/>
              <w:rPr>
                <w:sz w:val="15"/>
                <w:szCs w:val="15"/>
                <w:color w:val="auto"/>
              </w:rPr>
            </w:pPr>
          </w:p>
        </w:tc>
        <w:tc>
          <w:tcPr>
            <w:tcW w:w="820" w:type="dxa"/>
            <w:vAlign w:val="bottom"/>
            <w:shd w:val="clear" w:color="auto" w:fill="D0EBF2"/>
          </w:tcPr>
          <w:p>
            <w:pPr>
              <w:spacing w:after="0"/>
              <w:rPr>
                <w:sz w:val="15"/>
                <w:szCs w:val="15"/>
                <w:color w:val="auto"/>
              </w:rPr>
            </w:pPr>
          </w:p>
        </w:tc>
        <w:tc>
          <w:tcPr>
            <w:tcW w:w="120" w:type="dxa"/>
            <w:vAlign w:val="bottom"/>
            <w:shd w:val="clear" w:color="auto" w:fill="D0EBF2"/>
          </w:tcPr>
          <w:p>
            <w:pPr>
              <w:spacing w:after="0"/>
              <w:rPr>
                <w:sz w:val="15"/>
                <w:szCs w:val="15"/>
                <w:color w:val="auto"/>
              </w:rPr>
            </w:pPr>
          </w:p>
        </w:tc>
        <w:tc>
          <w:tcPr>
            <w:tcW w:w="140" w:type="dxa"/>
            <w:vAlign w:val="bottom"/>
            <w:shd w:val="clear" w:color="auto" w:fill="D0EBF2"/>
          </w:tcPr>
          <w:p>
            <w:pPr>
              <w:spacing w:after="0"/>
              <w:rPr>
                <w:sz w:val="15"/>
                <w:szCs w:val="15"/>
                <w:color w:val="auto"/>
              </w:rPr>
            </w:pPr>
          </w:p>
        </w:tc>
        <w:tc>
          <w:tcPr>
            <w:tcW w:w="860" w:type="dxa"/>
            <w:vAlign w:val="bottom"/>
            <w:shd w:val="clear" w:color="auto" w:fill="D0EBF2"/>
          </w:tcPr>
          <w:p>
            <w:pPr>
              <w:spacing w:after="0"/>
              <w:rPr>
                <w:sz w:val="15"/>
                <w:szCs w:val="15"/>
                <w:color w:val="auto"/>
              </w:rPr>
            </w:pPr>
          </w:p>
        </w:tc>
        <w:tc>
          <w:tcPr>
            <w:tcW w:w="120" w:type="dxa"/>
            <w:vAlign w:val="bottom"/>
            <w:shd w:val="clear" w:color="auto" w:fill="D0EBF2"/>
          </w:tcPr>
          <w:p>
            <w:pPr>
              <w:spacing w:after="0"/>
              <w:rPr>
                <w:sz w:val="15"/>
                <w:szCs w:val="15"/>
                <w:color w:val="auto"/>
              </w:rPr>
            </w:pPr>
          </w:p>
        </w:tc>
        <w:tc>
          <w:tcPr>
            <w:tcW w:w="80" w:type="dxa"/>
            <w:vAlign w:val="bottom"/>
            <w:shd w:val="clear" w:color="auto" w:fill="D0EBF2"/>
          </w:tcPr>
          <w:p>
            <w:pPr>
              <w:spacing w:after="0"/>
              <w:rPr>
                <w:sz w:val="15"/>
                <w:szCs w:val="15"/>
                <w:color w:val="auto"/>
              </w:rPr>
            </w:pPr>
          </w:p>
        </w:tc>
        <w:tc>
          <w:tcPr>
            <w:tcW w:w="20" w:type="dxa"/>
            <w:vAlign w:val="bottom"/>
            <w:shd w:val="clear" w:color="auto" w:fill="D0EBF2"/>
          </w:tcPr>
          <w:p>
            <w:pPr>
              <w:spacing w:after="0"/>
              <w:rPr>
                <w:sz w:val="15"/>
                <w:szCs w:val="15"/>
                <w:color w:val="auto"/>
              </w:rPr>
            </w:pPr>
          </w:p>
        </w:tc>
        <w:tc>
          <w:tcPr>
            <w:tcW w:w="140" w:type="dxa"/>
            <w:vAlign w:val="bottom"/>
            <w:shd w:val="clear" w:color="auto" w:fill="D0EBF2"/>
          </w:tcPr>
          <w:p>
            <w:pPr>
              <w:spacing w:after="0"/>
              <w:rPr>
                <w:sz w:val="15"/>
                <w:szCs w:val="15"/>
                <w:color w:val="auto"/>
              </w:rPr>
            </w:pPr>
          </w:p>
        </w:tc>
        <w:tc>
          <w:tcPr>
            <w:tcW w:w="760" w:type="dxa"/>
            <w:vAlign w:val="bottom"/>
            <w:shd w:val="clear" w:color="auto" w:fill="D0EBF2"/>
          </w:tcPr>
          <w:p>
            <w:pPr>
              <w:spacing w:after="0"/>
              <w:rPr>
                <w:sz w:val="15"/>
                <w:szCs w:val="15"/>
                <w:color w:val="auto"/>
              </w:rPr>
            </w:pPr>
          </w:p>
        </w:tc>
        <w:tc>
          <w:tcPr>
            <w:tcW w:w="80" w:type="dxa"/>
            <w:vAlign w:val="bottom"/>
            <w:shd w:val="clear" w:color="auto" w:fill="D0EBF2"/>
          </w:tcPr>
          <w:p>
            <w:pPr>
              <w:spacing w:after="0"/>
              <w:rPr>
                <w:sz w:val="15"/>
                <w:szCs w:val="15"/>
                <w:color w:val="auto"/>
              </w:rPr>
            </w:pPr>
          </w:p>
        </w:tc>
        <w:tc>
          <w:tcPr>
            <w:tcW w:w="20" w:type="dxa"/>
            <w:vAlign w:val="bottom"/>
            <w:shd w:val="clear" w:color="auto" w:fill="D0EBF2"/>
          </w:tcPr>
          <w:p>
            <w:pPr>
              <w:spacing w:after="0"/>
              <w:rPr>
                <w:sz w:val="15"/>
                <w:szCs w:val="15"/>
                <w:color w:val="auto"/>
              </w:rPr>
            </w:pPr>
          </w:p>
        </w:tc>
        <w:tc>
          <w:tcPr>
            <w:tcW w:w="80" w:type="dxa"/>
            <w:vAlign w:val="bottom"/>
            <w:shd w:val="clear" w:color="auto" w:fill="D0EBF2"/>
          </w:tcPr>
          <w:p>
            <w:pPr>
              <w:spacing w:after="0"/>
              <w:rPr>
                <w:sz w:val="15"/>
                <w:szCs w:val="15"/>
                <w:color w:val="auto"/>
              </w:rPr>
            </w:pPr>
          </w:p>
        </w:tc>
        <w:tc>
          <w:tcPr>
            <w:tcW w:w="120" w:type="dxa"/>
            <w:vAlign w:val="bottom"/>
            <w:shd w:val="clear" w:color="auto" w:fill="D0EBF2"/>
          </w:tcPr>
          <w:p>
            <w:pPr>
              <w:spacing w:after="0"/>
              <w:rPr>
                <w:sz w:val="15"/>
                <w:szCs w:val="15"/>
                <w:color w:val="auto"/>
              </w:rPr>
            </w:pPr>
          </w:p>
        </w:tc>
        <w:tc>
          <w:tcPr>
            <w:tcW w:w="60" w:type="dxa"/>
            <w:vAlign w:val="bottom"/>
            <w:shd w:val="clear" w:color="auto" w:fill="D0EBF2"/>
          </w:tcPr>
          <w:p>
            <w:pPr>
              <w:spacing w:after="0"/>
              <w:rPr>
                <w:sz w:val="15"/>
                <w:szCs w:val="15"/>
                <w:color w:val="auto"/>
              </w:rPr>
            </w:pPr>
          </w:p>
        </w:tc>
        <w:tc>
          <w:tcPr>
            <w:tcW w:w="920" w:type="dxa"/>
            <w:vAlign w:val="bottom"/>
            <w:shd w:val="clear" w:color="auto" w:fill="D0EBF2"/>
          </w:tcPr>
          <w:p>
            <w:pPr>
              <w:spacing w:after="0"/>
              <w:rPr>
                <w:sz w:val="15"/>
                <w:szCs w:val="15"/>
                <w:color w:val="auto"/>
              </w:rPr>
            </w:pPr>
          </w:p>
        </w:tc>
        <w:tc>
          <w:tcPr>
            <w:tcW w:w="220" w:type="dxa"/>
            <w:vAlign w:val="bottom"/>
            <w:shd w:val="clear" w:color="auto" w:fill="D0EBF2"/>
          </w:tcPr>
          <w:p>
            <w:pPr>
              <w:spacing w:after="0"/>
              <w:rPr>
                <w:sz w:val="15"/>
                <w:szCs w:val="15"/>
                <w:color w:val="auto"/>
              </w:rPr>
            </w:pPr>
          </w:p>
        </w:tc>
        <w:tc>
          <w:tcPr>
            <w:tcW w:w="160" w:type="dxa"/>
            <w:vAlign w:val="bottom"/>
            <w:shd w:val="clear" w:color="auto" w:fill="D0EBF2"/>
          </w:tcPr>
          <w:p>
            <w:pPr>
              <w:spacing w:after="0"/>
              <w:rPr>
                <w:sz w:val="15"/>
                <w:szCs w:val="15"/>
                <w:color w:val="auto"/>
              </w:rPr>
            </w:pPr>
          </w:p>
        </w:tc>
        <w:tc>
          <w:tcPr>
            <w:tcW w:w="20" w:type="dxa"/>
            <w:vAlign w:val="bottom"/>
            <w:shd w:val="clear" w:color="auto" w:fill="D0EBF2"/>
          </w:tcPr>
          <w:p>
            <w:pPr>
              <w:spacing w:after="0"/>
              <w:rPr>
                <w:sz w:val="15"/>
                <w:szCs w:val="15"/>
                <w:color w:val="auto"/>
              </w:rPr>
            </w:pPr>
          </w:p>
        </w:tc>
        <w:tc>
          <w:tcPr>
            <w:tcW w:w="100" w:type="dxa"/>
            <w:vAlign w:val="bottom"/>
            <w:shd w:val="clear" w:color="auto" w:fill="D0EBF2"/>
          </w:tcPr>
          <w:p>
            <w:pPr>
              <w:spacing w:after="0"/>
              <w:rPr>
                <w:sz w:val="15"/>
                <w:szCs w:val="15"/>
                <w:color w:val="auto"/>
              </w:rPr>
            </w:pPr>
          </w:p>
        </w:tc>
        <w:tc>
          <w:tcPr>
            <w:tcW w:w="760" w:type="dxa"/>
            <w:vAlign w:val="bottom"/>
            <w:shd w:val="clear" w:color="auto" w:fill="D0EBF2"/>
          </w:tcPr>
          <w:p>
            <w:pPr>
              <w:spacing w:after="0"/>
              <w:rPr>
                <w:sz w:val="15"/>
                <w:szCs w:val="15"/>
                <w:color w:val="auto"/>
              </w:rPr>
            </w:pPr>
          </w:p>
        </w:tc>
        <w:tc>
          <w:tcPr>
            <w:tcW w:w="100" w:type="dxa"/>
            <w:vAlign w:val="bottom"/>
            <w:shd w:val="clear" w:color="auto" w:fill="D0EBF2"/>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1560" w:type="dxa"/>
            <w:vAlign w:val="bottom"/>
            <w:shd w:val="clear" w:color="auto" w:fill="FDFDFC"/>
          </w:tcPr>
          <w:p>
            <w:pPr>
              <w:spacing w:after="0"/>
              <w:rPr>
                <w:sz w:val="20"/>
                <w:szCs w:val="20"/>
                <w:color w:val="auto"/>
              </w:rPr>
            </w:pPr>
            <w:r>
              <w:rPr>
                <w:rFonts w:ascii="Times New Roman" w:cs="Times New Roman" w:eastAsia="Times New Roman" w:hAnsi="Times New Roman"/>
                <w:sz w:val="15"/>
                <w:szCs w:val="15"/>
                <w:color w:val="231F20"/>
              </w:rPr>
              <w:t>TherapeuticsMD, Inc.</w:t>
            </w:r>
          </w:p>
        </w:tc>
        <w:tc>
          <w:tcPr>
            <w:tcW w:w="2280" w:type="dxa"/>
            <w:vAlign w:val="bottom"/>
            <w:gridSpan w:val="5"/>
            <w:shd w:val="clear" w:color="auto" w:fill="FDFDFC"/>
          </w:tcPr>
          <w:p>
            <w:pPr>
              <w:ind w:left="80"/>
              <w:spacing w:after="0"/>
              <w:rPr>
                <w:sz w:val="20"/>
                <w:szCs w:val="20"/>
                <w:color w:val="auto"/>
              </w:rPr>
            </w:pPr>
            <w:r>
              <w:rPr>
                <w:rFonts w:ascii="Times New Roman" w:cs="Times New Roman" w:eastAsia="Times New Roman" w:hAnsi="Times New Roman"/>
                <w:sz w:val="15"/>
                <w:szCs w:val="15"/>
                <w:color w:val="231F20"/>
              </w:rPr>
              <w:t>Warrants (14,256 warrants)</w:t>
            </w:r>
          </w:p>
        </w:tc>
        <w:tc>
          <w:tcPr>
            <w:tcW w:w="740" w:type="dxa"/>
            <w:vAlign w:val="bottom"/>
            <w:gridSpan w:val="3"/>
            <w:shd w:val="clear" w:color="auto" w:fill="FDFDFC"/>
          </w:tcPr>
          <w:p>
            <w:pPr>
              <w:jc w:val="right"/>
              <w:spacing w:after="0"/>
              <w:rPr>
                <w:sz w:val="20"/>
                <w:szCs w:val="20"/>
                <w:color w:val="auto"/>
              </w:rPr>
            </w:pPr>
            <w:r>
              <w:rPr>
                <w:rFonts w:ascii="Times New Roman" w:cs="Times New Roman" w:eastAsia="Times New Roman" w:hAnsi="Times New Roman"/>
                <w:sz w:val="15"/>
                <w:szCs w:val="15"/>
                <w:color w:val="231F20"/>
              </w:rPr>
              <w:t>8/5/2020</w:t>
            </w:r>
          </w:p>
        </w:tc>
        <w:tc>
          <w:tcPr>
            <w:tcW w:w="820" w:type="dxa"/>
            <w:vAlign w:val="bottom"/>
            <w:shd w:val="clear" w:color="auto" w:fill="FDFDFC"/>
          </w:tcPr>
          <w:p>
            <w:pPr>
              <w:spacing w:after="0"/>
              <w:rPr>
                <w:sz w:val="16"/>
                <w:szCs w:val="16"/>
                <w:color w:val="auto"/>
              </w:rPr>
            </w:pPr>
          </w:p>
        </w:tc>
        <w:tc>
          <w:tcPr>
            <w:tcW w:w="120" w:type="dxa"/>
            <w:vAlign w:val="bottom"/>
            <w:shd w:val="clear" w:color="auto" w:fill="FDFDFC"/>
          </w:tcPr>
          <w:p>
            <w:pPr>
              <w:spacing w:after="0"/>
              <w:rPr>
                <w:sz w:val="16"/>
                <w:szCs w:val="16"/>
                <w:color w:val="auto"/>
              </w:rPr>
            </w:pPr>
          </w:p>
        </w:tc>
        <w:tc>
          <w:tcPr>
            <w:tcW w:w="140" w:type="dxa"/>
            <w:vAlign w:val="bottom"/>
            <w:shd w:val="clear" w:color="auto" w:fill="FDFDFC"/>
          </w:tcPr>
          <w:p>
            <w:pPr>
              <w:spacing w:after="0"/>
              <w:rPr>
                <w:sz w:val="16"/>
                <w:szCs w:val="16"/>
                <w:color w:val="auto"/>
              </w:rPr>
            </w:pPr>
          </w:p>
        </w:tc>
        <w:tc>
          <w:tcPr>
            <w:tcW w:w="860" w:type="dxa"/>
            <w:vAlign w:val="bottom"/>
            <w:shd w:val="clear" w:color="auto" w:fill="FDFDFC"/>
          </w:tcPr>
          <w:p>
            <w:pPr>
              <w:spacing w:after="0"/>
              <w:rPr>
                <w:sz w:val="16"/>
                <w:szCs w:val="16"/>
                <w:color w:val="auto"/>
              </w:rPr>
            </w:pPr>
          </w:p>
        </w:tc>
        <w:tc>
          <w:tcPr>
            <w:tcW w:w="120" w:type="dxa"/>
            <w:vAlign w:val="bottom"/>
            <w:shd w:val="clear" w:color="auto" w:fill="FDFDFC"/>
          </w:tcPr>
          <w:p>
            <w:pPr>
              <w:spacing w:after="0"/>
              <w:rPr>
                <w:sz w:val="16"/>
                <w:szCs w:val="16"/>
                <w:color w:val="auto"/>
              </w:rPr>
            </w:pPr>
          </w:p>
        </w:tc>
        <w:tc>
          <w:tcPr>
            <w:tcW w:w="80" w:type="dxa"/>
            <w:vAlign w:val="bottom"/>
            <w:shd w:val="clear" w:color="auto" w:fill="FDFDFC"/>
          </w:tcPr>
          <w:p>
            <w:pPr>
              <w:spacing w:after="0"/>
              <w:rPr>
                <w:sz w:val="16"/>
                <w:szCs w:val="16"/>
                <w:color w:val="auto"/>
              </w:rPr>
            </w:pPr>
          </w:p>
        </w:tc>
        <w:tc>
          <w:tcPr>
            <w:tcW w:w="20" w:type="dxa"/>
            <w:vAlign w:val="bottom"/>
            <w:shd w:val="clear" w:color="auto" w:fill="FDFDFC"/>
          </w:tcPr>
          <w:p>
            <w:pPr>
              <w:spacing w:after="0"/>
              <w:rPr>
                <w:sz w:val="16"/>
                <w:szCs w:val="16"/>
                <w:color w:val="auto"/>
              </w:rPr>
            </w:pPr>
          </w:p>
        </w:tc>
        <w:tc>
          <w:tcPr>
            <w:tcW w:w="140" w:type="dxa"/>
            <w:vAlign w:val="bottom"/>
            <w:shd w:val="clear" w:color="auto" w:fill="FDFDFC"/>
          </w:tcPr>
          <w:p>
            <w:pPr>
              <w:spacing w:after="0"/>
              <w:rPr>
                <w:sz w:val="16"/>
                <w:szCs w:val="16"/>
                <w:color w:val="auto"/>
              </w:rPr>
            </w:pPr>
          </w:p>
        </w:tc>
        <w:tc>
          <w:tcPr>
            <w:tcW w:w="760" w:type="dxa"/>
            <w:vAlign w:val="bottom"/>
            <w:shd w:val="clear" w:color="auto" w:fill="FDFDFC"/>
          </w:tcPr>
          <w:p>
            <w:pPr>
              <w:jc w:val="right"/>
              <w:spacing w:after="0"/>
              <w:rPr>
                <w:sz w:val="20"/>
                <w:szCs w:val="20"/>
                <w:color w:val="auto"/>
              </w:rPr>
            </w:pPr>
            <w:r>
              <w:rPr>
                <w:rFonts w:ascii="Times New Roman" w:cs="Times New Roman" w:eastAsia="Times New Roman" w:hAnsi="Times New Roman"/>
                <w:sz w:val="15"/>
                <w:szCs w:val="15"/>
                <w:color w:val="231F20"/>
              </w:rPr>
              <w:t>1,029</w:t>
            </w:r>
          </w:p>
        </w:tc>
        <w:tc>
          <w:tcPr>
            <w:tcW w:w="80" w:type="dxa"/>
            <w:vAlign w:val="bottom"/>
            <w:shd w:val="clear" w:color="auto" w:fill="FDFDFC"/>
          </w:tcPr>
          <w:p>
            <w:pPr>
              <w:spacing w:after="0"/>
              <w:rPr>
                <w:sz w:val="16"/>
                <w:szCs w:val="16"/>
                <w:color w:val="auto"/>
              </w:rPr>
            </w:pPr>
          </w:p>
        </w:tc>
        <w:tc>
          <w:tcPr>
            <w:tcW w:w="20" w:type="dxa"/>
            <w:vAlign w:val="bottom"/>
            <w:shd w:val="clear" w:color="auto" w:fill="FDFDFC"/>
          </w:tcPr>
          <w:p>
            <w:pPr>
              <w:spacing w:after="0"/>
              <w:rPr>
                <w:sz w:val="16"/>
                <w:szCs w:val="16"/>
                <w:color w:val="auto"/>
              </w:rPr>
            </w:pPr>
          </w:p>
        </w:tc>
        <w:tc>
          <w:tcPr>
            <w:tcW w:w="80" w:type="dxa"/>
            <w:vAlign w:val="bottom"/>
            <w:shd w:val="clear" w:color="auto" w:fill="FDFDFC"/>
          </w:tcPr>
          <w:p>
            <w:pPr>
              <w:spacing w:after="0"/>
              <w:rPr>
                <w:sz w:val="16"/>
                <w:szCs w:val="16"/>
                <w:color w:val="auto"/>
              </w:rPr>
            </w:pPr>
          </w:p>
        </w:tc>
        <w:tc>
          <w:tcPr>
            <w:tcW w:w="120" w:type="dxa"/>
            <w:vAlign w:val="bottom"/>
            <w:shd w:val="clear" w:color="auto" w:fill="FDFDFC"/>
          </w:tcPr>
          <w:p>
            <w:pPr>
              <w:spacing w:after="0"/>
              <w:rPr>
                <w:sz w:val="16"/>
                <w:szCs w:val="16"/>
                <w:color w:val="auto"/>
              </w:rPr>
            </w:pPr>
          </w:p>
        </w:tc>
        <w:tc>
          <w:tcPr>
            <w:tcW w:w="60" w:type="dxa"/>
            <w:vAlign w:val="bottom"/>
            <w:shd w:val="clear" w:color="auto" w:fill="FDFDFC"/>
          </w:tcPr>
          <w:p>
            <w:pPr>
              <w:spacing w:after="0"/>
              <w:rPr>
                <w:sz w:val="16"/>
                <w:szCs w:val="16"/>
                <w:color w:val="auto"/>
              </w:rPr>
            </w:pPr>
          </w:p>
        </w:tc>
        <w:tc>
          <w:tcPr>
            <w:tcW w:w="920" w:type="dxa"/>
            <w:vAlign w:val="bottom"/>
            <w:shd w:val="clear" w:color="auto" w:fill="FDFDFC"/>
          </w:tcPr>
          <w:p>
            <w:pPr>
              <w:spacing w:after="0"/>
              <w:rPr>
                <w:sz w:val="16"/>
                <w:szCs w:val="16"/>
                <w:color w:val="auto"/>
              </w:rPr>
            </w:pPr>
          </w:p>
        </w:tc>
        <w:tc>
          <w:tcPr>
            <w:tcW w:w="220" w:type="dxa"/>
            <w:vAlign w:val="bottom"/>
            <w:shd w:val="clear" w:color="auto" w:fill="FDFDFC"/>
          </w:tcPr>
          <w:p>
            <w:pPr>
              <w:spacing w:after="0"/>
              <w:rPr>
                <w:sz w:val="16"/>
                <w:szCs w:val="16"/>
                <w:color w:val="auto"/>
              </w:rPr>
            </w:pPr>
          </w:p>
        </w:tc>
        <w:tc>
          <w:tcPr>
            <w:tcW w:w="160" w:type="dxa"/>
            <w:vAlign w:val="bottom"/>
            <w:shd w:val="clear" w:color="auto" w:fill="FDFDFC"/>
          </w:tcPr>
          <w:p>
            <w:pPr>
              <w:jc w:val="right"/>
              <w:spacing w:after="0"/>
              <w:rPr>
                <w:sz w:val="20"/>
                <w:szCs w:val="20"/>
                <w:color w:val="auto"/>
              </w:rPr>
            </w:pPr>
            <w:r>
              <w:rPr>
                <w:rFonts w:ascii="Times New Roman" w:cs="Times New Roman" w:eastAsia="Times New Roman" w:hAnsi="Times New Roman"/>
                <w:sz w:val="15"/>
                <w:szCs w:val="15"/>
                <w:color w:val="231F20"/>
                <w:w w:val="93"/>
              </w:rPr>
              <w:t>—</w:t>
            </w:r>
          </w:p>
        </w:tc>
        <w:tc>
          <w:tcPr>
            <w:tcW w:w="20" w:type="dxa"/>
            <w:vAlign w:val="bottom"/>
            <w:shd w:val="clear" w:color="auto" w:fill="FDFDFC"/>
          </w:tcPr>
          <w:p>
            <w:pPr>
              <w:spacing w:after="0"/>
              <w:rPr>
                <w:sz w:val="16"/>
                <w:szCs w:val="16"/>
                <w:color w:val="auto"/>
              </w:rPr>
            </w:pPr>
          </w:p>
        </w:tc>
        <w:tc>
          <w:tcPr>
            <w:tcW w:w="100" w:type="dxa"/>
            <w:vAlign w:val="bottom"/>
            <w:shd w:val="clear" w:color="auto" w:fill="FDFDFC"/>
          </w:tcPr>
          <w:p>
            <w:pPr>
              <w:spacing w:after="0"/>
              <w:rPr>
                <w:sz w:val="16"/>
                <w:szCs w:val="16"/>
                <w:color w:val="auto"/>
              </w:rPr>
            </w:pPr>
          </w:p>
        </w:tc>
        <w:tc>
          <w:tcPr>
            <w:tcW w:w="860" w:type="dxa"/>
            <w:vAlign w:val="bottom"/>
            <w:gridSpan w:val="2"/>
            <w:shd w:val="clear" w:color="auto" w:fill="FDFDFC"/>
          </w:tcPr>
          <w:p>
            <w:pPr>
              <w:jc w:val="right"/>
              <w:spacing w:after="0"/>
              <w:rPr>
                <w:sz w:val="20"/>
                <w:szCs w:val="20"/>
                <w:color w:val="auto"/>
              </w:rPr>
            </w:pPr>
            <w:r>
              <w:rPr>
                <w:rFonts w:ascii="Times New Roman" w:cs="Times New Roman" w:eastAsia="Times New Roman" w:hAnsi="Times New Roman"/>
                <w:sz w:val="15"/>
                <w:szCs w:val="15"/>
                <w:color w:val="231F20"/>
              </w:rPr>
              <w:t>0.0%</w:t>
            </w:r>
          </w:p>
        </w:tc>
        <w:tc>
          <w:tcPr>
            <w:tcW w:w="0" w:type="dxa"/>
            <w:vAlign w:val="bottom"/>
          </w:tcPr>
          <w:p>
            <w:pPr>
              <w:spacing w:after="0"/>
              <w:rPr>
                <w:sz w:val="1"/>
                <w:szCs w:val="1"/>
                <w:color w:val="auto"/>
              </w:rPr>
            </w:pPr>
          </w:p>
        </w:tc>
      </w:tr>
      <w:tr>
        <w:trPr>
          <w:trHeight w:val="157"/>
        </w:trPr>
        <w:tc>
          <w:tcPr>
            <w:tcW w:w="1560" w:type="dxa"/>
            <w:vAlign w:val="bottom"/>
            <w:tcBorders>
              <w:bottom w:val="single" w:sz="8" w:color="FDFDFC"/>
            </w:tcBorders>
            <w:shd w:val="clear" w:color="auto" w:fill="FDFDFC"/>
          </w:tcPr>
          <w:p>
            <w:pPr>
              <w:spacing w:after="0"/>
              <w:rPr>
                <w:sz w:val="20"/>
                <w:szCs w:val="20"/>
                <w:color w:val="auto"/>
              </w:rPr>
            </w:pPr>
            <w:r>
              <w:rPr>
                <w:rFonts w:ascii="Times New Roman" w:cs="Times New Roman" w:eastAsia="Times New Roman" w:hAnsi="Times New Roman"/>
                <w:sz w:val="9"/>
                <w:szCs w:val="9"/>
                <w:color w:val="231F20"/>
              </w:rPr>
              <w:t>(4)(11)</w:t>
            </w:r>
          </w:p>
        </w:tc>
        <w:tc>
          <w:tcPr>
            <w:tcW w:w="340" w:type="dxa"/>
            <w:vAlign w:val="bottom"/>
            <w:tcBorders>
              <w:bottom w:val="single" w:sz="8" w:color="FDFDFC"/>
            </w:tcBorders>
            <w:shd w:val="clear" w:color="auto" w:fill="FDFDFC"/>
          </w:tcPr>
          <w:p>
            <w:pPr>
              <w:spacing w:after="0"/>
              <w:rPr>
                <w:sz w:val="13"/>
                <w:szCs w:val="13"/>
                <w:color w:val="auto"/>
              </w:rPr>
            </w:pPr>
          </w:p>
        </w:tc>
        <w:tc>
          <w:tcPr>
            <w:tcW w:w="1100" w:type="dxa"/>
            <w:vAlign w:val="bottom"/>
            <w:tcBorders>
              <w:bottom w:val="single" w:sz="8" w:color="FDFDFC"/>
            </w:tcBorders>
            <w:shd w:val="clear" w:color="auto" w:fill="FDFDFC"/>
          </w:tcPr>
          <w:p>
            <w:pPr>
              <w:spacing w:after="0"/>
              <w:rPr>
                <w:sz w:val="13"/>
                <w:szCs w:val="13"/>
                <w:color w:val="auto"/>
              </w:rPr>
            </w:pPr>
          </w:p>
        </w:tc>
        <w:tc>
          <w:tcPr>
            <w:tcW w:w="120" w:type="dxa"/>
            <w:vAlign w:val="bottom"/>
            <w:tcBorders>
              <w:bottom w:val="single" w:sz="8" w:color="FDFDFC"/>
            </w:tcBorders>
            <w:shd w:val="clear" w:color="auto" w:fill="FDFDFC"/>
          </w:tcPr>
          <w:p>
            <w:pPr>
              <w:spacing w:after="0"/>
              <w:rPr>
                <w:sz w:val="13"/>
                <w:szCs w:val="13"/>
                <w:color w:val="auto"/>
              </w:rPr>
            </w:pPr>
          </w:p>
        </w:tc>
        <w:tc>
          <w:tcPr>
            <w:tcW w:w="60" w:type="dxa"/>
            <w:vAlign w:val="bottom"/>
            <w:tcBorders>
              <w:bottom w:val="single" w:sz="8" w:color="FDFDFC"/>
            </w:tcBorders>
            <w:shd w:val="clear" w:color="auto" w:fill="FDFDFC"/>
          </w:tcPr>
          <w:p>
            <w:pPr>
              <w:spacing w:after="0"/>
              <w:rPr>
                <w:sz w:val="13"/>
                <w:szCs w:val="13"/>
                <w:color w:val="auto"/>
              </w:rPr>
            </w:pPr>
          </w:p>
        </w:tc>
        <w:tc>
          <w:tcPr>
            <w:tcW w:w="660" w:type="dxa"/>
            <w:vAlign w:val="bottom"/>
            <w:tcBorders>
              <w:bottom w:val="single" w:sz="8" w:color="FDFDFC"/>
            </w:tcBorders>
            <w:shd w:val="clear" w:color="auto" w:fill="FDFDFC"/>
          </w:tcPr>
          <w:p>
            <w:pPr>
              <w:spacing w:after="0"/>
              <w:rPr>
                <w:sz w:val="13"/>
                <w:szCs w:val="13"/>
                <w:color w:val="auto"/>
              </w:rPr>
            </w:pPr>
          </w:p>
        </w:tc>
        <w:tc>
          <w:tcPr>
            <w:tcW w:w="360" w:type="dxa"/>
            <w:vAlign w:val="bottom"/>
            <w:tcBorders>
              <w:bottom w:val="single" w:sz="8" w:color="FDFDFC"/>
            </w:tcBorders>
            <w:shd w:val="clear" w:color="auto" w:fill="FDFDFC"/>
          </w:tcPr>
          <w:p>
            <w:pPr>
              <w:spacing w:after="0"/>
              <w:rPr>
                <w:sz w:val="13"/>
                <w:szCs w:val="13"/>
                <w:color w:val="auto"/>
              </w:rPr>
            </w:pPr>
          </w:p>
        </w:tc>
        <w:tc>
          <w:tcPr>
            <w:tcW w:w="120" w:type="dxa"/>
            <w:vAlign w:val="bottom"/>
            <w:tcBorders>
              <w:bottom w:val="single" w:sz="8" w:color="FDFDFC"/>
            </w:tcBorders>
            <w:shd w:val="clear" w:color="auto" w:fill="FDFDFC"/>
          </w:tcPr>
          <w:p>
            <w:pPr>
              <w:spacing w:after="0"/>
              <w:rPr>
                <w:sz w:val="13"/>
                <w:szCs w:val="13"/>
                <w:color w:val="auto"/>
              </w:rPr>
            </w:pPr>
          </w:p>
        </w:tc>
        <w:tc>
          <w:tcPr>
            <w:tcW w:w="260" w:type="dxa"/>
            <w:vAlign w:val="bottom"/>
            <w:tcBorders>
              <w:bottom w:val="single" w:sz="8" w:color="FDFDFC"/>
            </w:tcBorders>
            <w:shd w:val="clear" w:color="auto" w:fill="FDFDFC"/>
          </w:tcPr>
          <w:p>
            <w:pPr>
              <w:spacing w:after="0"/>
              <w:rPr>
                <w:sz w:val="13"/>
                <w:szCs w:val="13"/>
                <w:color w:val="auto"/>
              </w:rPr>
            </w:pPr>
          </w:p>
        </w:tc>
        <w:tc>
          <w:tcPr>
            <w:tcW w:w="820" w:type="dxa"/>
            <w:vAlign w:val="bottom"/>
            <w:tcBorders>
              <w:bottom w:val="single" w:sz="8" w:color="FDFDFC"/>
            </w:tcBorders>
            <w:shd w:val="clear" w:color="auto" w:fill="FDFDFC"/>
          </w:tcPr>
          <w:p>
            <w:pPr>
              <w:spacing w:after="0"/>
              <w:rPr>
                <w:sz w:val="13"/>
                <w:szCs w:val="13"/>
                <w:color w:val="auto"/>
              </w:rPr>
            </w:pPr>
          </w:p>
        </w:tc>
        <w:tc>
          <w:tcPr>
            <w:tcW w:w="120" w:type="dxa"/>
            <w:vAlign w:val="bottom"/>
            <w:tcBorders>
              <w:bottom w:val="single" w:sz="8" w:color="FDFDFC"/>
            </w:tcBorders>
            <w:shd w:val="clear" w:color="auto" w:fill="FDFDFC"/>
          </w:tcPr>
          <w:p>
            <w:pPr>
              <w:spacing w:after="0"/>
              <w:rPr>
                <w:sz w:val="13"/>
                <w:szCs w:val="13"/>
                <w:color w:val="auto"/>
              </w:rPr>
            </w:pPr>
          </w:p>
        </w:tc>
        <w:tc>
          <w:tcPr>
            <w:tcW w:w="140" w:type="dxa"/>
            <w:vAlign w:val="bottom"/>
            <w:tcBorders>
              <w:bottom w:val="single" w:sz="8" w:color="FDFDFC"/>
            </w:tcBorders>
            <w:shd w:val="clear" w:color="auto" w:fill="FDFDFC"/>
          </w:tcPr>
          <w:p>
            <w:pPr>
              <w:spacing w:after="0"/>
              <w:rPr>
                <w:sz w:val="13"/>
                <w:szCs w:val="13"/>
                <w:color w:val="auto"/>
              </w:rPr>
            </w:pPr>
          </w:p>
        </w:tc>
        <w:tc>
          <w:tcPr>
            <w:tcW w:w="860" w:type="dxa"/>
            <w:vAlign w:val="bottom"/>
            <w:tcBorders>
              <w:bottom w:val="single" w:sz="8" w:color="FDFDFC"/>
            </w:tcBorders>
            <w:shd w:val="clear" w:color="auto" w:fill="FDFDFC"/>
          </w:tcPr>
          <w:p>
            <w:pPr>
              <w:spacing w:after="0"/>
              <w:rPr>
                <w:sz w:val="13"/>
                <w:szCs w:val="13"/>
                <w:color w:val="auto"/>
              </w:rPr>
            </w:pPr>
          </w:p>
        </w:tc>
        <w:tc>
          <w:tcPr>
            <w:tcW w:w="120" w:type="dxa"/>
            <w:vAlign w:val="bottom"/>
            <w:tcBorders>
              <w:bottom w:val="single" w:sz="8" w:color="FDFDFC"/>
            </w:tcBorders>
            <w:shd w:val="clear" w:color="auto" w:fill="FDFDFC"/>
          </w:tcPr>
          <w:p>
            <w:pPr>
              <w:spacing w:after="0"/>
              <w:rPr>
                <w:sz w:val="13"/>
                <w:szCs w:val="13"/>
                <w:color w:val="auto"/>
              </w:rPr>
            </w:pPr>
          </w:p>
        </w:tc>
        <w:tc>
          <w:tcPr>
            <w:tcW w:w="80" w:type="dxa"/>
            <w:vAlign w:val="bottom"/>
            <w:tcBorders>
              <w:bottom w:val="single" w:sz="8" w:color="FDFDFC"/>
            </w:tcBorders>
            <w:shd w:val="clear" w:color="auto" w:fill="FDFDFC"/>
          </w:tcPr>
          <w:p>
            <w:pPr>
              <w:spacing w:after="0"/>
              <w:rPr>
                <w:sz w:val="13"/>
                <w:szCs w:val="13"/>
                <w:color w:val="auto"/>
              </w:rPr>
            </w:pPr>
          </w:p>
        </w:tc>
        <w:tc>
          <w:tcPr>
            <w:tcW w:w="20" w:type="dxa"/>
            <w:vAlign w:val="bottom"/>
            <w:tcBorders>
              <w:bottom w:val="single" w:sz="8" w:color="FDFDFC"/>
            </w:tcBorders>
            <w:shd w:val="clear" w:color="auto" w:fill="FDFDFC"/>
          </w:tcPr>
          <w:p>
            <w:pPr>
              <w:spacing w:after="0"/>
              <w:rPr>
                <w:sz w:val="13"/>
                <w:szCs w:val="13"/>
                <w:color w:val="auto"/>
              </w:rPr>
            </w:pPr>
          </w:p>
        </w:tc>
        <w:tc>
          <w:tcPr>
            <w:tcW w:w="140" w:type="dxa"/>
            <w:vAlign w:val="bottom"/>
            <w:tcBorders>
              <w:bottom w:val="single" w:sz="8" w:color="FDFDFC"/>
            </w:tcBorders>
            <w:shd w:val="clear" w:color="auto" w:fill="FDFDFC"/>
          </w:tcPr>
          <w:p>
            <w:pPr>
              <w:spacing w:after="0"/>
              <w:rPr>
                <w:sz w:val="13"/>
                <w:szCs w:val="13"/>
                <w:color w:val="auto"/>
              </w:rPr>
            </w:pPr>
          </w:p>
        </w:tc>
        <w:tc>
          <w:tcPr>
            <w:tcW w:w="760" w:type="dxa"/>
            <w:vAlign w:val="bottom"/>
            <w:tcBorders>
              <w:bottom w:val="single" w:sz="8" w:color="FDFDFC"/>
            </w:tcBorders>
            <w:shd w:val="clear" w:color="auto" w:fill="FDFDFC"/>
          </w:tcPr>
          <w:p>
            <w:pPr>
              <w:spacing w:after="0"/>
              <w:rPr>
                <w:sz w:val="13"/>
                <w:szCs w:val="13"/>
                <w:color w:val="auto"/>
              </w:rPr>
            </w:pPr>
          </w:p>
        </w:tc>
        <w:tc>
          <w:tcPr>
            <w:tcW w:w="80" w:type="dxa"/>
            <w:vAlign w:val="bottom"/>
            <w:tcBorders>
              <w:bottom w:val="single" w:sz="8" w:color="FDFDFC"/>
            </w:tcBorders>
            <w:shd w:val="clear" w:color="auto" w:fill="FDFDFC"/>
          </w:tcPr>
          <w:p>
            <w:pPr>
              <w:spacing w:after="0"/>
              <w:rPr>
                <w:sz w:val="13"/>
                <w:szCs w:val="13"/>
                <w:color w:val="auto"/>
              </w:rPr>
            </w:pPr>
          </w:p>
        </w:tc>
        <w:tc>
          <w:tcPr>
            <w:tcW w:w="20" w:type="dxa"/>
            <w:vAlign w:val="bottom"/>
            <w:tcBorders>
              <w:bottom w:val="single" w:sz="8" w:color="FDFDFC"/>
            </w:tcBorders>
            <w:shd w:val="clear" w:color="auto" w:fill="FDFDFC"/>
          </w:tcPr>
          <w:p>
            <w:pPr>
              <w:spacing w:after="0"/>
              <w:rPr>
                <w:sz w:val="13"/>
                <w:szCs w:val="13"/>
                <w:color w:val="auto"/>
              </w:rPr>
            </w:pPr>
          </w:p>
        </w:tc>
        <w:tc>
          <w:tcPr>
            <w:tcW w:w="80" w:type="dxa"/>
            <w:vAlign w:val="bottom"/>
            <w:tcBorders>
              <w:bottom w:val="single" w:sz="8" w:color="FDFDFC"/>
            </w:tcBorders>
            <w:shd w:val="clear" w:color="auto" w:fill="FDFDFC"/>
          </w:tcPr>
          <w:p>
            <w:pPr>
              <w:spacing w:after="0"/>
              <w:rPr>
                <w:sz w:val="13"/>
                <w:szCs w:val="13"/>
                <w:color w:val="auto"/>
              </w:rPr>
            </w:pPr>
          </w:p>
        </w:tc>
        <w:tc>
          <w:tcPr>
            <w:tcW w:w="120" w:type="dxa"/>
            <w:vAlign w:val="bottom"/>
            <w:tcBorders>
              <w:bottom w:val="single" w:sz="8" w:color="FDFDFC"/>
            </w:tcBorders>
            <w:shd w:val="clear" w:color="auto" w:fill="FDFDFC"/>
          </w:tcPr>
          <w:p>
            <w:pPr>
              <w:spacing w:after="0"/>
              <w:rPr>
                <w:sz w:val="13"/>
                <w:szCs w:val="13"/>
                <w:color w:val="auto"/>
              </w:rPr>
            </w:pPr>
          </w:p>
        </w:tc>
        <w:tc>
          <w:tcPr>
            <w:tcW w:w="60" w:type="dxa"/>
            <w:vAlign w:val="bottom"/>
            <w:tcBorders>
              <w:bottom w:val="single" w:sz="8" w:color="FDFDFC"/>
            </w:tcBorders>
            <w:shd w:val="clear" w:color="auto" w:fill="FDFDFC"/>
          </w:tcPr>
          <w:p>
            <w:pPr>
              <w:spacing w:after="0"/>
              <w:rPr>
                <w:sz w:val="13"/>
                <w:szCs w:val="13"/>
                <w:color w:val="auto"/>
              </w:rPr>
            </w:pPr>
          </w:p>
        </w:tc>
        <w:tc>
          <w:tcPr>
            <w:tcW w:w="920" w:type="dxa"/>
            <w:vAlign w:val="bottom"/>
            <w:tcBorders>
              <w:bottom w:val="single" w:sz="8" w:color="FDFDFC"/>
            </w:tcBorders>
            <w:shd w:val="clear" w:color="auto" w:fill="FDFDFC"/>
          </w:tcPr>
          <w:p>
            <w:pPr>
              <w:spacing w:after="0"/>
              <w:rPr>
                <w:sz w:val="13"/>
                <w:szCs w:val="13"/>
                <w:color w:val="auto"/>
              </w:rPr>
            </w:pPr>
          </w:p>
        </w:tc>
        <w:tc>
          <w:tcPr>
            <w:tcW w:w="220" w:type="dxa"/>
            <w:vAlign w:val="bottom"/>
            <w:tcBorders>
              <w:bottom w:val="single" w:sz="8" w:color="FDFDFC"/>
            </w:tcBorders>
            <w:shd w:val="clear" w:color="auto" w:fill="FDFDFC"/>
          </w:tcPr>
          <w:p>
            <w:pPr>
              <w:spacing w:after="0"/>
              <w:rPr>
                <w:sz w:val="13"/>
                <w:szCs w:val="13"/>
                <w:color w:val="auto"/>
              </w:rPr>
            </w:pPr>
          </w:p>
        </w:tc>
        <w:tc>
          <w:tcPr>
            <w:tcW w:w="160" w:type="dxa"/>
            <w:vAlign w:val="bottom"/>
            <w:tcBorders>
              <w:bottom w:val="single" w:sz="8" w:color="FDFDFC"/>
            </w:tcBorders>
            <w:shd w:val="clear" w:color="auto" w:fill="FDFDFC"/>
          </w:tcPr>
          <w:p>
            <w:pPr>
              <w:spacing w:after="0"/>
              <w:rPr>
                <w:sz w:val="13"/>
                <w:szCs w:val="13"/>
                <w:color w:val="auto"/>
              </w:rPr>
            </w:pPr>
          </w:p>
        </w:tc>
        <w:tc>
          <w:tcPr>
            <w:tcW w:w="20" w:type="dxa"/>
            <w:vAlign w:val="bottom"/>
            <w:tcBorders>
              <w:bottom w:val="single" w:sz="8" w:color="FDFDFC"/>
            </w:tcBorders>
            <w:shd w:val="clear" w:color="auto" w:fill="FDFDFC"/>
          </w:tcPr>
          <w:p>
            <w:pPr>
              <w:spacing w:after="0"/>
              <w:rPr>
                <w:sz w:val="13"/>
                <w:szCs w:val="13"/>
                <w:color w:val="auto"/>
              </w:rPr>
            </w:pPr>
          </w:p>
        </w:tc>
        <w:tc>
          <w:tcPr>
            <w:tcW w:w="100" w:type="dxa"/>
            <w:vAlign w:val="bottom"/>
            <w:tcBorders>
              <w:bottom w:val="single" w:sz="8" w:color="FDFDFC"/>
            </w:tcBorders>
            <w:shd w:val="clear" w:color="auto" w:fill="FDFDFC"/>
          </w:tcPr>
          <w:p>
            <w:pPr>
              <w:spacing w:after="0"/>
              <w:rPr>
                <w:sz w:val="13"/>
                <w:szCs w:val="13"/>
                <w:color w:val="auto"/>
              </w:rPr>
            </w:pPr>
          </w:p>
        </w:tc>
        <w:tc>
          <w:tcPr>
            <w:tcW w:w="760" w:type="dxa"/>
            <w:vAlign w:val="bottom"/>
            <w:tcBorders>
              <w:bottom w:val="single" w:sz="8" w:color="FDFDFC"/>
            </w:tcBorders>
            <w:shd w:val="clear" w:color="auto" w:fill="FDFDFC"/>
          </w:tcPr>
          <w:p>
            <w:pPr>
              <w:spacing w:after="0"/>
              <w:rPr>
                <w:sz w:val="13"/>
                <w:szCs w:val="13"/>
                <w:color w:val="auto"/>
              </w:rPr>
            </w:pPr>
          </w:p>
        </w:tc>
        <w:tc>
          <w:tcPr>
            <w:tcW w:w="100" w:type="dxa"/>
            <w:vAlign w:val="bottom"/>
            <w:tcBorders>
              <w:bottom w:val="single" w:sz="8" w:color="FDFDFC"/>
            </w:tcBorders>
            <w:shd w:val="clear" w:color="auto" w:fill="FDFDFC"/>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1560" w:type="dxa"/>
            <w:vAlign w:val="bottom"/>
            <w:shd w:val="clear" w:color="auto" w:fill="D0EBF2"/>
          </w:tcPr>
          <w:p>
            <w:pPr>
              <w:spacing w:after="0" w:line="172" w:lineRule="exact"/>
              <w:rPr>
                <w:sz w:val="20"/>
                <w:szCs w:val="20"/>
                <w:color w:val="auto"/>
              </w:rPr>
            </w:pPr>
            <w:r>
              <w:rPr>
                <w:rFonts w:ascii="Times New Roman" w:cs="Times New Roman" w:eastAsia="Times New Roman" w:hAnsi="Times New Roman"/>
                <w:sz w:val="15"/>
                <w:szCs w:val="15"/>
                <w:color w:val="231F20"/>
              </w:rPr>
              <w:t>Elysium BidCo Limited</w:t>
            </w:r>
          </w:p>
        </w:tc>
        <w:tc>
          <w:tcPr>
            <w:tcW w:w="2280" w:type="dxa"/>
            <w:vAlign w:val="bottom"/>
            <w:gridSpan w:val="5"/>
            <w:shd w:val="clear" w:color="auto" w:fill="D0EBF2"/>
          </w:tcPr>
          <w:p>
            <w:pPr>
              <w:ind w:left="80"/>
              <w:spacing w:after="0" w:line="172" w:lineRule="exact"/>
              <w:rPr>
                <w:sz w:val="20"/>
                <w:szCs w:val="20"/>
                <w:color w:val="auto"/>
              </w:rPr>
            </w:pPr>
            <w:r>
              <w:rPr>
                <w:rFonts w:ascii="Times New Roman" w:cs="Times New Roman" w:eastAsia="Times New Roman" w:hAnsi="Times New Roman"/>
                <w:sz w:val="15"/>
                <w:szCs w:val="15"/>
                <w:color w:val="231F20"/>
              </w:rPr>
              <w:t>Convertible Preference Shares</w:t>
            </w:r>
          </w:p>
        </w:tc>
        <w:tc>
          <w:tcPr>
            <w:tcW w:w="740" w:type="dxa"/>
            <w:vAlign w:val="bottom"/>
            <w:gridSpan w:val="3"/>
            <w:shd w:val="clear" w:color="auto" w:fill="D0EBF2"/>
          </w:tcPr>
          <w:p>
            <w:pPr>
              <w:jc w:val="right"/>
              <w:spacing w:after="0" w:line="172" w:lineRule="exact"/>
              <w:rPr>
                <w:sz w:val="20"/>
                <w:szCs w:val="20"/>
                <w:color w:val="auto"/>
              </w:rPr>
            </w:pPr>
            <w:r>
              <w:rPr>
                <w:rFonts w:ascii="Times New Roman" w:cs="Times New Roman" w:eastAsia="Times New Roman" w:hAnsi="Times New Roman"/>
                <w:sz w:val="15"/>
                <w:szCs w:val="15"/>
                <w:color w:val="231F20"/>
              </w:rPr>
              <w:t>12/11/2024</w:t>
            </w:r>
          </w:p>
        </w:tc>
        <w:tc>
          <w:tcPr>
            <w:tcW w:w="820" w:type="dxa"/>
            <w:vAlign w:val="bottom"/>
            <w:shd w:val="clear" w:color="auto" w:fill="D0EBF2"/>
          </w:tcPr>
          <w:p>
            <w:pPr>
              <w:spacing w:after="0"/>
              <w:rPr>
                <w:sz w:val="14"/>
                <w:szCs w:val="14"/>
                <w:color w:val="auto"/>
              </w:rPr>
            </w:pPr>
          </w:p>
        </w:tc>
        <w:tc>
          <w:tcPr>
            <w:tcW w:w="120" w:type="dxa"/>
            <w:vAlign w:val="bottom"/>
            <w:shd w:val="clear" w:color="auto" w:fill="D0EBF2"/>
          </w:tcPr>
          <w:p>
            <w:pPr>
              <w:spacing w:after="0"/>
              <w:rPr>
                <w:sz w:val="14"/>
                <w:szCs w:val="14"/>
                <w:color w:val="auto"/>
              </w:rPr>
            </w:pPr>
          </w:p>
        </w:tc>
        <w:tc>
          <w:tcPr>
            <w:tcW w:w="140" w:type="dxa"/>
            <w:vAlign w:val="bottom"/>
            <w:shd w:val="clear" w:color="auto" w:fill="D0EBF2"/>
          </w:tcPr>
          <w:p>
            <w:pPr>
              <w:spacing w:after="0"/>
              <w:rPr>
                <w:sz w:val="14"/>
                <w:szCs w:val="14"/>
                <w:color w:val="auto"/>
              </w:rPr>
            </w:pPr>
          </w:p>
        </w:tc>
        <w:tc>
          <w:tcPr>
            <w:tcW w:w="860" w:type="dxa"/>
            <w:vAlign w:val="bottom"/>
            <w:shd w:val="clear" w:color="auto" w:fill="D0EBF2"/>
          </w:tcPr>
          <w:p>
            <w:pPr>
              <w:spacing w:after="0"/>
              <w:rPr>
                <w:sz w:val="14"/>
                <w:szCs w:val="14"/>
                <w:color w:val="auto"/>
              </w:rPr>
            </w:pPr>
          </w:p>
        </w:tc>
        <w:tc>
          <w:tcPr>
            <w:tcW w:w="120" w:type="dxa"/>
            <w:vAlign w:val="bottom"/>
            <w:shd w:val="clear" w:color="auto" w:fill="D0EBF2"/>
          </w:tcPr>
          <w:p>
            <w:pPr>
              <w:spacing w:after="0"/>
              <w:rPr>
                <w:sz w:val="14"/>
                <w:szCs w:val="14"/>
                <w:color w:val="auto"/>
              </w:rPr>
            </w:pPr>
          </w:p>
        </w:tc>
        <w:tc>
          <w:tcPr>
            <w:tcW w:w="80" w:type="dxa"/>
            <w:vAlign w:val="bottom"/>
            <w:shd w:val="clear" w:color="auto" w:fill="D0EBF2"/>
          </w:tcPr>
          <w:p>
            <w:pPr>
              <w:spacing w:after="0"/>
              <w:rPr>
                <w:sz w:val="14"/>
                <w:szCs w:val="14"/>
                <w:color w:val="auto"/>
              </w:rPr>
            </w:pPr>
          </w:p>
        </w:tc>
        <w:tc>
          <w:tcPr>
            <w:tcW w:w="20" w:type="dxa"/>
            <w:vAlign w:val="bottom"/>
            <w:shd w:val="clear" w:color="auto" w:fill="D0EBF2"/>
          </w:tcPr>
          <w:p>
            <w:pPr>
              <w:spacing w:after="0"/>
              <w:rPr>
                <w:sz w:val="14"/>
                <w:szCs w:val="14"/>
                <w:color w:val="auto"/>
              </w:rPr>
            </w:pPr>
          </w:p>
        </w:tc>
        <w:tc>
          <w:tcPr>
            <w:tcW w:w="140" w:type="dxa"/>
            <w:vAlign w:val="bottom"/>
            <w:shd w:val="clear" w:color="auto" w:fill="D0EBF2"/>
          </w:tcPr>
          <w:p>
            <w:pPr>
              <w:spacing w:after="0"/>
              <w:rPr>
                <w:sz w:val="14"/>
                <w:szCs w:val="14"/>
                <w:color w:val="auto"/>
              </w:rPr>
            </w:pPr>
          </w:p>
        </w:tc>
        <w:tc>
          <w:tcPr>
            <w:tcW w:w="760" w:type="dxa"/>
            <w:vAlign w:val="bottom"/>
            <w:shd w:val="clear" w:color="auto" w:fill="D0EBF2"/>
          </w:tcPr>
          <w:p>
            <w:pPr>
              <w:jc w:val="right"/>
              <w:spacing w:after="0" w:line="172" w:lineRule="exact"/>
              <w:rPr>
                <w:sz w:val="20"/>
                <w:szCs w:val="20"/>
                <w:color w:val="auto"/>
              </w:rPr>
            </w:pPr>
            <w:r>
              <w:rPr>
                <w:rFonts w:ascii="Times New Roman" w:cs="Times New Roman" w:eastAsia="Times New Roman" w:hAnsi="Times New Roman"/>
                <w:sz w:val="15"/>
                <w:szCs w:val="15"/>
                <w:color w:val="231F20"/>
              </w:rPr>
              <w:t>6,341</w:t>
            </w:r>
          </w:p>
        </w:tc>
        <w:tc>
          <w:tcPr>
            <w:tcW w:w="80" w:type="dxa"/>
            <w:vAlign w:val="bottom"/>
            <w:shd w:val="clear" w:color="auto" w:fill="D0EBF2"/>
          </w:tcPr>
          <w:p>
            <w:pPr>
              <w:spacing w:after="0"/>
              <w:rPr>
                <w:sz w:val="14"/>
                <w:szCs w:val="14"/>
                <w:color w:val="auto"/>
              </w:rPr>
            </w:pPr>
          </w:p>
        </w:tc>
        <w:tc>
          <w:tcPr>
            <w:tcW w:w="20" w:type="dxa"/>
            <w:vAlign w:val="bottom"/>
            <w:shd w:val="clear" w:color="auto" w:fill="D0EBF2"/>
          </w:tcPr>
          <w:p>
            <w:pPr>
              <w:spacing w:after="0"/>
              <w:rPr>
                <w:sz w:val="14"/>
                <w:szCs w:val="14"/>
                <w:color w:val="auto"/>
              </w:rPr>
            </w:pPr>
          </w:p>
        </w:tc>
        <w:tc>
          <w:tcPr>
            <w:tcW w:w="80" w:type="dxa"/>
            <w:vAlign w:val="bottom"/>
            <w:shd w:val="clear" w:color="auto" w:fill="D0EBF2"/>
          </w:tcPr>
          <w:p>
            <w:pPr>
              <w:spacing w:after="0"/>
              <w:rPr>
                <w:sz w:val="14"/>
                <w:szCs w:val="14"/>
                <w:color w:val="auto"/>
              </w:rPr>
            </w:pPr>
          </w:p>
        </w:tc>
        <w:tc>
          <w:tcPr>
            <w:tcW w:w="120" w:type="dxa"/>
            <w:vAlign w:val="bottom"/>
            <w:shd w:val="clear" w:color="auto" w:fill="D0EBF2"/>
          </w:tcPr>
          <w:p>
            <w:pPr>
              <w:spacing w:after="0"/>
              <w:rPr>
                <w:sz w:val="14"/>
                <w:szCs w:val="14"/>
                <w:color w:val="auto"/>
              </w:rPr>
            </w:pPr>
          </w:p>
        </w:tc>
        <w:tc>
          <w:tcPr>
            <w:tcW w:w="60" w:type="dxa"/>
            <w:vAlign w:val="bottom"/>
            <w:shd w:val="clear" w:color="auto" w:fill="D0EBF2"/>
          </w:tcPr>
          <w:p>
            <w:pPr>
              <w:spacing w:after="0"/>
              <w:rPr>
                <w:sz w:val="14"/>
                <w:szCs w:val="14"/>
                <w:color w:val="auto"/>
              </w:rPr>
            </w:pPr>
          </w:p>
        </w:tc>
        <w:tc>
          <w:tcPr>
            <w:tcW w:w="920" w:type="dxa"/>
            <w:vAlign w:val="bottom"/>
            <w:shd w:val="clear" w:color="auto" w:fill="D0EBF2"/>
          </w:tcPr>
          <w:p>
            <w:pPr>
              <w:spacing w:after="0"/>
              <w:rPr>
                <w:sz w:val="14"/>
                <w:szCs w:val="14"/>
                <w:color w:val="auto"/>
              </w:rPr>
            </w:pPr>
          </w:p>
        </w:tc>
        <w:tc>
          <w:tcPr>
            <w:tcW w:w="380" w:type="dxa"/>
            <w:vAlign w:val="bottom"/>
            <w:gridSpan w:val="2"/>
            <w:shd w:val="clear" w:color="auto" w:fill="D0EBF2"/>
          </w:tcPr>
          <w:p>
            <w:pPr>
              <w:jc w:val="right"/>
              <w:spacing w:after="0" w:line="172" w:lineRule="exact"/>
              <w:rPr>
                <w:sz w:val="20"/>
                <w:szCs w:val="20"/>
                <w:color w:val="auto"/>
              </w:rPr>
            </w:pPr>
            <w:r>
              <w:rPr>
                <w:rFonts w:ascii="Times New Roman" w:cs="Times New Roman" w:eastAsia="Times New Roman" w:hAnsi="Times New Roman"/>
                <w:sz w:val="15"/>
                <w:szCs w:val="15"/>
                <w:color w:val="231F20"/>
              </w:rPr>
              <w:t>6,341</w:t>
            </w:r>
          </w:p>
        </w:tc>
        <w:tc>
          <w:tcPr>
            <w:tcW w:w="980" w:type="dxa"/>
            <w:vAlign w:val="bottom"/>
            <w:gridSpan w:val="4"/>
            <w:shd w:val="clear" w:color="auto" w:fill="D0EBF2"/>
          </w:tcPr>
          <w:p>
            <w:pPr>
              <w:jc w:val="right"/>
              <w:spacing w:after="0" w:line="172" w:lineRule="exact"/>
              <w:rPr>
                <w:sz w:val="20"/>
                <w:szCs w:val="20"/>
                <w:color w:val="auto"/>
              </w:rPr>
            </w:pPr>
            <w:r>
              <w:rPr>
                <w:rFonts w:ascii="Times New Roman" w:cs="Times New Roman" w:eastAsia="Times New Roman" w:hAnsi="Times New Roman"/>
                <w:sz w:val="15"/>
                <w:szCs w:val="15"/>
                <w:color w:val="231F20"/>
              </w:rPr>
              <w:t>0.4%</w:t>
            </w:r>
          </w:p>
        </w:tc>
        <w:tc>
          <w:tcPr>
            <w:tcW w:w="0" w:type="dxa"/>
            <w:vAlign w:val="bottom"/>
          </w:tcPr>
          <w:p>
            <w:pPr>
              <w:spacing w:after="0"/>
              <w:rPr>
                <w:sz w:val="1"/>
                <w:szCs w:val="1"/>
                <w:color w:val="auto"/>
              </w:rPr>
            </w:pPr>
          </w:p>
        </w:tc>
      </w:tr>
      <w:tr>
        <w:trPr>
          <w:trHeight w:val="189"/>
        </w:trPr>
        <w:tc>
          <w:tcPr>
            <w:tcW w:w="1560" w:type="dxa"/>
            <w:vAlign w:val="bottom"/>
            <w:tcBorders>
              <w:bottom w:val="single" w:sz="8" w:color="FDFDFC"/>
            </w:tcBorders>
            <w:shd w:val="clear" w:color="auto" w:fill="D0EBF2"/>
          </w:tcPr>
          <w:p>
            <w:pPr>
              <w:spacing w:after="0"/>
              <w:rPr>
                <w:sz w:val="20"/>
                <w:szCs w:val="20"/>
                <w:color w:val="auto"/>
              </w:rPr>
            </w:pPr>
            <w:r>
              <w:rPr>
                <w:rFonts w:ascii="Times New Roman" w:cs="Times New Roman" w:eastAsia="Times New Roman" w:hAnsi="Times New Roman"/>
                <w:sz w:val="9"/>
                <w:szCs w:val="9"/>
                <w:color w:val="231F20"/>
              </w:rPr>
              <w:t>(4)(11)(12)</w:t>
            </w:r>
          </w:p>
        </w:tc>
        <w:tc>
          <w:tcPr>
            <w:tcW w:w="1620" w:type="dxa"/>
            <w:vAlign w:val="bottom"/>
            <w:tcBorders>
              <w:bottom w:val="single" w:sz="8" w:color="FDFDFC"/>
            </w:tcBorders>
            <w:gridSpan w:val="4"/>
            <w:shd w:val="clear" w:color="auto" w:fill="D0EBF2"/>
          </w:tcPr>
          <w:p>
            <w:pPr>
              <w:ind w:left="80"/>
              <w:spacing w:after="0"/>
              <w:rPr>
                <w:sz w:val="20"/>
                <w:szCs w:val="20"/>
                <w:color w:val="auto"/>
              </w:rPr>
            </w:pPr>
            <w:r>
              <w:rPr>
                <w:rFonts w:ascii="Times New Roman" w:cs="Times New Roman" w:eastAsia="Times New Roman" w:hAnsi="Times New Roman"/>
                <w:sz w:val="15"/>
                <w:szCs w:val="15"/>
                <w:color w:val="231F20"/>
              </w:rPr>
              <w:t>(4,976,563 Shares)</w:t>
            </w:r>
          </w:p>
        </w:tc>
        <w:tc>
          <w:tcPr>
            <w:tcW w:w="660" w:type="dxa"/>
            <w:vAlign w:val="bottom"/>
            <w:tcBorders>
              <w:bottom w:val="single" w:sz="8" w:color="FDFDFC"/>
            </w:tcBorders>
            <w:shd w:val="clear" w:color="auto" w:fill="D0EBF2"/>
          </w:tcPr>
          <w:p>
            <w:pPr>
              <w:spacing w:after="0"/>
              <w:rPr>
                <w:sz w:val="16"/>
                <w:szCs w:val="16"/>
                <w:color w:val="auto"/>
              </w:rPr>
            </w:pPr>
          </w:p>
        </w:tc>
        <w:tc>
          <w:tcPr>
            <w:tcW w:w="360" w:type="dxa"/>
            <w:vAlign w:val="bottom"/>
            <w:tcBorders>
              <w:bottom w:val="single" w:sz="8" w:color="FDFDFC"/>
            </w:tcBorders>
            <w:shd w:val="clear" w:color="auto" w:fill="D0EBF2"/>
          </w:tcPr>
          <w:p>
            <w:pPr>
              <w:spacing w:after="0"/>
              <w:rPr>
                <w:sz w:val="16"/>
                <w:szCs w:val="16"/>
                <w:color w:val="auto"/>
              </w:rPr>
            </w:pPr>
          </w:p>
        </w:tc>
        <w:tc>
          <w:tcPr>
            <w:tcW w:w="120" w:type="dxa"/>
            <w:vAlign w:val="bottom"/>
            <w:tcBorders>
              <w:bottom w:val="single" w:sz="8" w:color="FDFDFC"/>
            </w:tcBorders>
            <w:shd w:val="clear" w:color="auto" w:fill="D0EBF2"/>
          </w:tcPr>
          <w:p>
            <w:pPr>
              <w:spacing w:after="0"/>
              <w:rPr>
                <w:sz w:val="16"/>
                <w:szCs w:val="16"/>
                <w:color w:val="auto"/>
              </w:rPr>
            </w:pPr>
          </w:p>
        </w:tc>
        <w:tc>
          <w:tcPr>
            <w:tcW w:w="260" w:type="dxa"/>
            <w:vAlign w:val="bottom"/>
            <w:tcBorders>
              <w:bottom w:val="single" w:sz="8" w:color="FDFDFC"/>
            </w:tcBorders>
            <w:shd w:val="clear" w:color="auto" w:fill="D0EBF2"/>
          </w:tcPr>
          <w:p>
            <w:pPr>
              <w:spacing w:after="0"/>
              <w:rPr>
                <w:sz w:val="16"/>
                <w:szCs w:val="16"/>
                <w:color w:val="auto"/>
              </w:rPr>
            </w:pPr>
          </w:p>
        </w:tc>
        <w:tc>
          <w:tcPr>
            <w:tcW w:w="820" w:type="dxa"/>
            <w:vAlign w:val="bottom"/>
            <w:tcBorders>
              <w:bottom w:val="single" w:sz="8" w:color="FDFDFC"/>
            </w:tcBorders>
            <w:shd w:val="clear" w:color="auto" w:fill="D0EBF2"/>
          </w:tcPr>
          <w:p>
            <w:pPr>
              <w:spacing w:after="0"/>
              <w:rPr>
                <w:sz w:val="16"/>
                <w:szCs w:val="16"/>
                <w:color w:val="auto"/>
              </w:rPr>
            </w:pPr>
          </w:p>
        </w:tc>
        <w:tc>
          <w:tcPr>
            <w:tcW w:w="120" w:type="dxa"/>
            <w:vAlign w:val="bottom"/>
            <w:tcBorders>
              <w:bottom w:val="single" w:sz="8" w:color="FDFDFC"/>
            </w:tcBorders>
            <w:shd w:val="clear" w:color="auto" w:fill="D0EBF2"/>
          </w:tcPr>
          <w:p>
            <w:pPr>
              <w:spacing w:after="0"/>
              <w:rPr>
                <w:sz w:val="16"/>
                <w:szCs w:val="16"/>
                <w:color w:val="auto"/>
              </w:rPr>
            </w:pPr>
          </w:p>
        </w:tc>
        <w:tc>
          <w:tcPr>
            <w:tcW w:w="140" w:type="dxa"/>
            <w:vAlign w:val="bottom"/>
            <w:tcBorders>
              <w:bottom w:val="single" w:sz="8" w:color="FDFDFC"/>
            </w:tcBorders>
            <w:shd w:val="clear" w:color="auto" w:fill="D0EBF2"/>
          </w:tcPr>
          <w:p>
            <w:pPr>
              <w:spacing w:after="0"/>
              <w:rPr>
                <w:sz w:val="16"/>
                <w:szCs w:val="16"/>
                <w:color w:val="auto"/>
              </w:rPr>
            </w:pPr>
          </w:p>
        </w:tc>
        <w:tc>
          <w:tcPr>
            <w:tcW w:w="860" w:type="dxa"/>
            <w:vAlign w:val="bottom"/>
            <w:tcBorders>
              <w:bottom w:val="single" w:sz="8" w:color="FDFDFC"/>
            </w:tcBorders>
            <w:shd w:val="clear" w:color="auto" w:fill="D0EBF2"/>
          </w:tcPr>
          <w:p>
            <w:pPr>
              <w:spacing w:after="0"/>
              <w:rPr>
                <w:sz w:val="16"/>
                <w:szCs w:val="16"/>
                <w:color w:val="auto"/>
              </w:rPr>
            </w:pPr>
          </w:p>
        </w:tc>
        <w:tc>
          <w:tcPr>
            <w:tcW w:w="120" w:type="dxa"/>
            <w:vAlign w:val="bottom"/>
            <w:tcBorders>
              <w:bottom w:val="single" w:sz="8" w:color="FDFDFC"/>
            </w:tcBorders>
            <w:shd w:val="clear" w:color="auto" w:fill="D0EBF2"/>
          </w:tcPr>
          <w:p>
            <w:pPr>
              <w:spacing w:after="0"/>
              <w:rPr>
                <w:sz w:val="16"/>
                <w:szCs w:val="16"/>
                <w:color w:val="auto"/>
              </w:rPr>
            </w:pPr>
          </w:p>
        </w:tc>
        <w:tc>
          <w:tcPr>
            <w:tcW w:w="80" w:type="dxa"/>
            <w:vAlign w:val="bottom"/>
            <w:tcBorders>
              <w:bottom w:val="single" w:sz="8" w:color="FDFDFC"/>
            </w:tcBorders>
            <w:shd w:val="clear" w:color="auto" w:fill="D0EBF2"/>
          </w:tcPr>
          <w:p>
            <w:pPr>
              <w:spacing w:after="0"/>
              <w:rPr>
                <w:sz w:val="16"/>
                <w:szCs w:val="16"/>
                <w:color w:val="auto"/>
              </w:rPr>
            </w:pPr>
          </w:p>
        </w:tc>
        <w:tc>
          <w:tcPr>
            <w:tcW w:w="20" w:type="dxa"/>
            <w:vAlign w:val="bottom"/>
            <w:tcBorders>
              <w:bottom w:val="single" w:sz="8" w:color="FDFDFC"/>
            </w:tcBorders>
            <w:shd w:val="clear" w:color="auto" w:fill="D0EBF2"/>
          </w:tcPr>
          <w:p>
            <w:pPr>
              <w:spacing w:after="0"/>
              <w:rPr>
                <w:sz w:val="16"/>
                <w:szCs w:val="16"/>
                <w:color w:val="auto"/>
              </w:rPr>
            </w:pPr>
          </w:p>
        </w:tc>
        <w:tc>
          <w:tcPr>
            <w:tcW w:w="140" w:type="dxa"/>
            <w:vAlign w:val="bottom"/>
            <w:tcBorders>
              <w:bottom w:val="single" w:sz="8" w:color="231F20"/>
            </w:tcBorders>
            <w:shd w:val="clear" w:color="auto" w:fill="D0EBF2"/>
          </w:tcPr>
          <w:p>
            <w:pPr>
              <w:spacing w:after="0"/>
              <w:rPr>
                <w:sz w:val="16"/>
                <w:szCs w:val="16"/>
                <w:color w:val="auto"/>
              </w:rPr>
            </w:pPr>
          </w:p>
        </w:tc>
        <w:tc>
          <w:tcPr>
            <w:tcW w:w="760" w:type="dxa"/>
            <w:vAlign w:val="bottom"/>
            <w:tcBorders>
              <w:bottom w:val="single" w:sz="8" w:color="231F20"/>
            </w:tcBorders>
            <w:shd w:val="clear" w:color="auto" w:fill="D0EBF2"/>
          </w:tcPr>
          <w:p>
            <w:pPr>
              <w:spacing w:after="0"/>
              <w:rPr>
                <w:sz w:val="16"/>
                <w:szCs w:val="16"/>
                <w:color w:val="auto"/>
              </w:rPr>
            </w:pPr>
          </w:p>
        </w:tc>
        <w:tc>
          <w:tcPr>
            <w:tcW w:w="80" w:type="dxa"/>
            <w:vAlign w:val="bottom"/>
            <w:tcBorders>
              <w:bottom w:val="single" w:sz="8" w:color="FDFDFC"/>
            </w:tcBorders>
            <w:shd w:val="clear" w:color="auto" w:fill="D0EBF2"/>
          </w:tcPr>
          <w:p>
            <w:pPr>
              <w:spacing w:after="0"/>
              <w:rPr>
                <w:sz w:val="16"/>
                <w:szCs w:val="16"/>
                <w:color w:val="auto"/>
              </w:rPr>
            </w:pPr>
          </w:p>
        </w:tc>
        <w:tc>
          <w:tcPr>
            <w:tcW w:w="20" w:type="dxa"/>
            <w:vAlign w:val="bottom"/>
            <w:tcBorders>
              <w:bottom w:val="single" w:sz="8" w:color="FDFDFC"/>
            </w:tcBorders>
            <w:shd w:val="clear" w:color="auto" w:fill="D0EBF2"/>
          </w:tcPr>
          <w:p>
            <w:pPr>
              <w:spacing w:after="0"/>
              <w:rPr>
                <w:sz w:val="16"/>
                <w:szCs w:val="16"/>
                <w:color w:val="auto"/>
              </w:rPr>
            </w:pPr>
          </w:p>
        </w:tc>
        <w:tc>
          <w:tcPr>
            <w:tcW w:w="80" w:type="dxa"/>
            <w:vAlign w:val="bottom"/>
            <w:tcBorders>
              <w:bottom w:val="single" w:sz="8" w:color="FDFDFC"/>
            </w:tcBorders>
            <w:shd w:val="clear" w:color="auto" w:fill="D0EBF2"/>
          </w:tcPr>
          <w:p>
            <w:pPr>
              <w:spacing w:after="0"/>
              <w:rPr>
                <w:sz w:val="16"/>
                <w:szCs w:val="16"/>
                <w:color w:val="auto"/>
              </w:rPr>
            </w:pPr>
          </w:p>
        </w:tc>
        <w:tc>
          <w:tcPr>
            <w:tcW w:w="120" w:type="dxa"/>
            <w:vAlign w:val="bottom"/>
            <w:tcBorders>
              <w:bottom w:val="single" w:sz="8" w:color="231F20"/>
            </w:tcBorders>
            <w:shd w:val="clear" w:color="auto" w:fill="D0EBF2"/>
          </w:tcPr>
          <w:p>
            <w:pPr>
              <w:spacing w:after="0"/>
              <w:rPr>
                <w:sz w:val="16"/>
                <w:szCs w:val="16"/>
                <w:color w:val="auto"/>
              </w:rPr>
            </w:pPr>
          </w:p>
        </w:tc>
        <w:tc>
          <w:tcPr>
            <w:tcW w:w="60" w:type="dxa"/>
            <w:vAlign w:val="bottom"/>
            <w:tcBorders>
              <w:bottom w:val="single" w:sz="8" w:color="231F20"/>
            </w:tcBorders>
            <w:shd w:val="clear" w:color="auto" w:fill="D0EBF2"/>
          </w:tcPr>
          <w:p>
            <w:pPr>
              <w:spacing w:after="0"/>
              <w:rPr>
                <w:sz w:val="16"/>
                <w:szCs w:val="16"/>
                <w:color w:val="auto"/>
              </w:rPr>
            </w:pPr>
          </w:p>
        </w:tc>
        <w:tc>
          <w:tcPr>
            <w:tcW w:w="1300" w:type="dxa"/>
            <w:vAlign w:val="bottom"/>
            <w:tcBorders>
              <w:bottom w:val="single" w:sz="8" w:color="231F20"/>
            </w:tcBorders>
            <w:gridSpan w:val="3"/>
            <w:shd w:val="clear" w:color="auto" w:fill="D0EBF2"/>
          </w:tcPr>
          <w:p>
            <w:pPr>
              <w:jc w:val="right"/>
              <w:spacing w:after="0"/>
              <w:rPr>
                <w:sz w:val="20"/>
                <w:szCs w:val="20"/>
                <w:color w:val="auto"/>
              </w:rPr>
            </w:pPr>
            <w:r>
              <w:rPr>
                <w:rFonts w:ascii="Times New Roman" w:cs="Times New Roman" w:eastAsia="Times New Roman" w:hAnsi="Times New Roman"/>
                <w:sz w:val="15"/>
                <w:szCs w:val="15"/>
                <w:color w:val="231F20"/>
              </w:rPr>
              <w:t>(GBP 5,063)</w:t>
            </w:r>
          </w:p>
        </w:tc>
        <w:tc>
          <w:tcPr>
            <w:tcW w:w="20" w:type="dxa"/>
            <w:vAlign w:val="bottom"/>
            <w:tcBorders>
              <w:bottom w:val="single" w:sz="8" w:color="231F20"/>
            </w:tcBorders>
            <w:shd w:val="clear" w:color="auto" w:fill="D0EBF2"/>
          </w:tcPr>
          <w:p>
            <w:pPr>
              <w:spacing w:after="0"/>
              <w:rPr>
                <w:sz w:val="16"/>
                <w:szCs w:val="16"/>
                <w:color w:val="auto"/>
              </w:rPr>
            </w:pPr>
          </w:p>
        </w:tc>
        <w:tc>
          <w:tcPr>
            <w:tcW w:w="100" w:type="dxa"/>
            <w:vAlign w:val="bottom"/>
            <w:tcBorders>
              <w:bottom w:val="single" w:sz="8" w:color="FDFDFC"/>
            </w:tcBorders>
            <w:shd w:val="clear" w:color="auto" w:fill="D0EBF2"/>
          </w:tcPr>
          <w:p>
            <w:pPr>
              <w:spacing w:after="0"/>
              <w:rPr>
                <w:sz w:val="16"/>
                <w:szCs w:val="16"/>
                <w:color w:val="auto"/>
              </w:rPr>
            </w:pPr>
          </w:p>
        </w:tc>
        <w:tc>
          <w:tcPr>
            <w:tcW w:w="760" w:type="dxa"/>
            <w:vAlign w:val="bottom"/>
            <w:tcBorders>
              <w:bottom w:val="single" w:sz="8" w:color="231F20"/>
            </w:tcBorders>
            <w:shd w:val="clear" w:color="auto" w:fill="D0EBF2"/>
          </w:tcPr>
          <w:p>
            <w:pPr>
              <w:spacing w:after="0"/>
              <w:rPr>
                <w:sz w:val="16"/>
                <w:szCs w:val="16"/>
                <w:color w:val="auto"/>
              </w:rPr>
            </w:pPr>
          </w:p>
        </w:tc>
        <w:tc>
          <w:tcPr>
            <w:tcW w:w="100" w:type="dxa"/>
            <w:vAlign w:val="bottom"/>
            <w:tcBorders>
              <w:bottom w:val="single" w:sz="8" w:color="231F20"/>
            </w:tcBorders>
            <w:shd w:val="clear" w:color="auto" w:fill="D0EBF2"/>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1560" w:type="dxa"/>
            <w:vAlign w:val="bottom"/>
            <w:tcBorders>
              <w:bottom w:val="single" w:sz="8" w:color="D0EBF2"/>
            </w:tcBorders>
            <w:shd w:val="clear" w:color="auto" w:fill="FDFDFC"/>
          </w:tcPr>
          <w:p>
            <w:pPr>
              <w:spacing w:after="0"/>
              <w:rPr>
                <w:sz w:val="15"/>
                <w:szCs w:val="15"/>
                <w:color w:val="auto"/>
              </w:rPr>
            </w:pPr>
          </w:p>
        </w:tc>
        <w:tc>
          <w:tcPr>
            <w:tcW w:w="340" w:type="dxa"/>
            <w:vAlign w:val="bottom"/>
            <w:tcBorders>
              <w:bottom w:val="single" w:sz="8" w:color="D0EBF2"/>
            </w:tcBorders>
            <w:shd w:val="clear" w:color="auto" w:fill="FDFDFC"/>
          </w:tcPr>
          <w:p>
            <w:pPr>
              <w:spacing w:after="0"/>
              <w:rPr>
                <w:sz w:val="15"/>
                <w:szCs w:val="15"/>
                <w:color w:val="auto"/>
              </w:rPr>
            </w:pPr>
          </w:p>
        </w:tc>
        <w:tc>
          <w:tcPr>
            <w:tcW w:w="1100" w:type="dxa"/>
            <w:vAlign w:val="bottom"/>
            <w:tcBorders>
              <w:bottom w:val="single" w:sz="8" w:color="D0EBF2"/>
            </w:tcBorders>
            <w:shd w:val="clear" w:color="auto" w:fill="FDFDFC"/>
          </w:tcPr>
          <w:p>
            <w:pPr>
              <w:spacing w:after="0"/>
              <w:rPr>
                <w:sz w:val="15"/>
                <w:szCs w:val="15"/>
                <w:color w:val="auto"/>
              </w:rPr>
            </w:pPr>
          </w:p>
        </w:tc>
        <w:tc>
          <w:tcPr>
            <w:tcW w:w="120" w:type="dxa"/>
            <w:vAlign w:val="bottom"/>
            <w:tcBorders>
              <w:bottom w:val="single" w:sz="8" w:color="D0EBF2"/>
            </w:tcBorders>
            <w:shd w:val="clear" w:color="auto" w:fill="FDFDFC"/>
          </w:tcPr>
          <w:p>
            <w:pPr>
              <w:spacing w:after="0"/>
              <w:rPr>
                <w:sz w:val="15"/>
                <w:szCs w:val="15"/>
                <w:color w:val="auto"/>
              </w:rPr>
            </w:pPr>
          </w:p>
        </w:tc>
        <w:tc>
          <w:tcPr>
            <w:tcW w:w="60" w:type="dxa"/>
            <w:vAlign w:val="bottom"/>
            <w:tcBorders>
              <w:bottom w:val="single" w:sz="8" w:color="D0EBF2"/>
            </w:tcBorders>
            <w:shd w:val="clear" w:color="auto" w:fill="FDFDFC"/>
          </w:tcPr>
          <w:p>
            <w:pPr>
              <w:spacing w:after="0"/>
              <w:rPr>
                <w:sz w:val="15"/>
                <w:szCs w:val="15"/>
                <w:color w:val="auto"/>
              </w:rPr>
            </w:pPr>
          </w:p>
        </w:tc>
        <w:tc>
          <w:tcPr>
            <w:tcW w:w="660" w:type="dxa"/>
            <w:vAlign w:val="bottom"/>
            <w:tcBorders>
              <w:bottom w:val="single" w:sz="8" w:color="D0EBF2"/>
            </w:tcBorders>
            <w:shd w:val="clear" w:color="auto" w:fill="FDFDFC"/>
          </w:tcPr>
          <w:p>
            <w:pPr>
              <w:spacing w:after="0"/>
              <w:rPr>
                <w:sz w:val="15"/>
                <w:szCs w:val="15"/>
                <w:color w:val="auto"/>
              </w:rPr>
            </w:pPr>
          </w:p>
        </w:tc>
        <w:tc>
          <w:tcPr>
            <w:tcW w:w="360" w:type="dxa"/>
            <w:vAlign w:val="bottom"/>
            <w:tcBorders>
              <w:bottom w:val="single" w:sz="8" w:color="D0EBF2"/>
            </w:tcBorders>
            <w:shd w:val="clear" w:color="auto" w:fill="FDFDFC"/>
          </w:tcPr>
          <w:p>
            <w:pPr>
              <w:spacing w:after="0"/>
              <w:rPr>
                <w:sz w:val="15"/>
                <w:szCs w:val="15"/>
                <w:color w:val="auto"/>
              </w:rPr>
            </w:pPr>
          </w:p>
        </w:tc>
        <w:tc>
          <w:tcPr>
            <w:tcW w:w="120" w:type="dxa"/>
            <w:vAlign w:val="bottom"/>
            <w:tcBorders>
              <w:bottom w:val="single" w:sz="8" w:color="D0EBF2"/>
            </w:tcBorders>
            <w:shd w:val="clear" w:color="auto" w:fill="FDFDFC"/>
          </w:tcPr>
          <w:p>
            <w:pPr>
              <w:spacing w:after="0"/>
              <w:rPr>
                <w:sz w:val="15"/>
                <w:szCs w:val="15"/>
                <w:color w:val="auto"/>
              </w:rPr>
            </w:pPr>
          </w:p>
        </w:tc>
        <w:tc>
          <w:tcPr>
            <w:tcW w:w="260" w:type="dxa"/>
            <w:vAlign w:val="bottom"/>
            <w:tcBorders>
              <w:bottom w:val="single" w:sz="8" w:color="D0EBF2"/>
            </w:tcBorders>
            <w:shd w:val="clear" w:color="auto" w:fill="FDFDFC"/>
          </w:tcPr>
          <w:p>
            <w:pPr>
              <w:spacing w:after="0"/>
              <w:rPr>
                <w:sz w:val="15"/>
                <w:szCs w:val="15"/>
                <w:color w:val="auto"/>
              </w:rPr>
            </w:pPr>
          </w:p>
        </w:tc>
        <w:tc>
          <w:tcPr>
            <w:tcW w:w="820" w:type="dxa"/>
            <w:vAlign w:val="bottom"/>
            <w:tcBorders>
              <w:bottom w:val="single" w:sz="8" w:color="D0EBF2"/>
            </w:tcBorders>
            <w:shd w:val="clear" w:color="auto" w:fill="FDFDFC"/>
          </w:tcPr>
          <w:p>
            <w:pPr>
              <w:spacing w:after="0"/>
              <w:rPr>
                <w:sz w:val="15"/>
                <w:szCs w:val="15"/>
                <w:color w:val="auto"/>
              </w:rPr>
            </w:pPr>
          </w:p>
        </w:tc>
        <w:tc>
          <w:tcPr>
            <w:tcW w:w="120" w:type="dxa"/>
            <w:vAlign w:val="bottom"/>
            <w:tcBorders>
              <w:bottom w:val="single" w:sz="8" w:color="D0EBF2"/>
            </w:tcBorders>
            <w:shd w:val="clear" w:color="auto" w:fill="FDFDFC"/>
          </w:tcPr>
          <w:p>
            <w:pPr>
              <w:spacing w:after="0"/>
              <w:rPr>
                <w:sz w:val="15"/>
                <w:szCs w:val="15"/>
                <w:color w:val="auto"/>
              </w:rPr>
            </w:pPr>
          </w:p>
        </w:tc>
        <w:tc>
          <w:tcPr>
            <w:tcW w:w="140" w:type="dxa"/>
            <w:vAlign w:val="bottom"/>
            <w:tcBorders>
              <w:bottom w:val="single" w:sz="8" w:color="D0EBF2"/>
            </w:tcBorders>
            <w:shd w:val="clear" w:color="auto" w:fill="FDFDFC"/>
          </w:tcPr>
          <w:p>
            <w:pPr>
              <w:spacing w:after="0"/>
              <w:rPr>
                <w:sz w:val="15"/>
                <w:szCs w:val="15"/>
                <w:color w:val="auto"/>
              </w:rPr>
            </w:pPr>
          </w:p>
        </w:tc>
        <w:tc>
          <w:tcPr>
            <w:tcW w:w="860" w:type="dxa"/>
            <w:vAlign w:val="bottom"/>
            <w:tcBorders>
              <w:bottom w:val="single" w:sz="8" w:color="D0EBF2"/>
            </w:tcBorders>
            <w:shd w:val="clear" w:color="auto" w:fill="FDFDFC"/>
          </w:tcPr>
          <w:p>
            <w:pPr>
              <w:spacing w:after="0"/>
              <w:rPr>
                <w:sz w:val="15"/>
                <w:szCs w:val="15"/>
                <w:color w:val="auto"/>
              </w:rPr>
            </w:pPr>
          </w:p>
        </w:tc>
        <w:tc>
          <w:tcPr>
            <w:tcW w:w="120" w:type="dxa"/>
            <w:vAlign w:val="bottom"/>
            <w:tcBorders>
              <w:bottom w:val="single" w:sz="8" w:color="D0EBF2"/>
            </w:tcBorders>
            <w:shd w:val="clear" w:color="auto" w:fill="FDFDFC"/>
          </w:tcPr>
          <w:p>
            <w:pPr>
              <w:spacing w:after="0"/>
              <w:rPr>
                <w:sz w:val="15"/>
                <w:szCs w:val="15"/>
                <w:color w:val="auto"/>
              </w:rPr>
            </w:pPr>
          </w:p>
        </w:tc>
        <w:tc>
          <w:tcPr>
            <w:tcW w:w="80" w:type="dxa"/>
            <w:vAlign w:val="bottom"/>
            <w:tcBorders>
              <w:bottom w:val="single" w:sz="8" w:color="D0EBF2"/>
            </w:tcBorders>
            <w:shd w:val="clear" w:color="auto" w:fill="FDFDFC"/>
          </w:tcPr>
          <w:p>
            <w:pPr>
              <w:spacing w:after="0"/>
              <w:rPr>
                <w:sz w:val="15"/>
                <w:szCs w:val="15"/>
                <w:color w:val="auto"/>
              </w:rPr>
            </w:pPr>
          </w:p>
        </w:tc>
        <w:tc>
          <w:tcPr>
            <w:tcW w:w="20" w:type="dxa"/>
            <w:vAlign w:val="bottom"/>
            <w:tcBorders>
              <w:bottom w:val="single" w:sz="8" w:color="D0EBF2"/>
            </w:tcBorders>
            <w:shd w:val="clear" w:color="auto" w:fill="FDFDFC"/>
          </w:tcPr>
          <w:p>
            <w:pPr>
              <w:spacing w:after="0"/>
              <w:rPr>
                <w:sz w:val="15"/>
                <w:szCs w:val="15"/>
                <w:color w:val="auto"/>
              </w:rPr>
            </w:pPr>
          </w:p>
        </w:tc>
        <w:tc>
          <w:tcPr>
            <w:tcW w:w="140" w:type="dxa"/>
            <w:vAlign w:val="bottom"/>
            <w:tcBorders>
              <w:bottom w:val="single" w:sz="8" w:color="231F20"/>
            </w:tcBorders>
            <w:shd w:val="clear" w:color="auto" w:fill="FDFDFC"/>
          </w:tcPr>
          <w:p>
            <w:pPr>
              <w:spacing w:after="0"/>
              <w:rPr>
                <w:sz w:val="15"/>
                <w:szCs w:val="15"/>
                <w:color w:val="auto"/>
              </w:rPr>
            </w:pPr>
          </w:p>
        </w:tc>
        <w:tc>
          <w:tcPr>
            <w:tcW w:w="760" w:type="dxa"/>
            <w:vAlign w:val="bottom"/>
            <w:tcBorders>
              <w:bottom w:val="single" w:sz="8" w:color="231F20"/>
            </w:tcBorders>
            <w:shd w:val="clear" w:color="auto" w:fill="FDFDFC"/>
          </w:tcPr>
          <w:p>
            <w:pPr>
              <w:jc w:val="right"/>
              <w:spacing w:after="0"/>
              <w:rPr>
                <w:sz w:val="20"/>
                <w:szCs w:val="20"/>
                <w:color w:val="auto"/>
              </w:rPr>
            </w:pPr>
            <w:r>
              <w:rPr>
                <w:rFonts w:ascii="Times New Roman" w:cs="Times New Roman" w:eastAsia="Times New Roman" w:hAnsi="Times New Roman"/>
                <w:sz w:val="15"/>
                <w:szCs w:val="15"/>
                <w:color w:val="231F20"/>
              </w:rPr>
              <w:t>7,370</w:t>
            </w:r>
          </w:p>
        </w:tc>
        <w:tc>
          <w:tcPr>
            <w:tcW w:w="80" w:type="dxa"/>
            <w:vAlign w:val="bottom"/>
            <w:tcBorders>
              <w:bottom w:val="single" w:sz="8" w:color="D0EBF2"/>
            </w:tcBorders>
            <w:shd w:val="clear" w:color="auto" w:fill="FDFDFC"/>
          </w:tcPr>
          <w:p>
            <w:pPr>
              <w:spacing w:after="0"/>
              <w:rPr>
                <w:sz w:val="15"/>
                <w:szCs w:val="15"/>
                <w:color w:val="auto"/>
              </w:rPr>
            </w:pPr>
          </w:p>
        </w:tc>
        <w:tc>
          <w:tcPr>
            <w:tcW w:w="20" w:type="dxa"/>
            <w:vAlign w:val="bottom"/>
            <w:tcBorders>
              <w:bottom w:val="single" w:sz="8" w:color="D0EBF2"/>
            </w:tcBorders>
            <w:shd w:val="clear" w:color="auto" w:fill="FDFDFC"/>
          </w:tcPr>
          <w:p>
            <w:pPr>
              <w:spacing w:after="0"/>
              <w:rPr>
                <w:sz w:val="15"/>
                <w:szCs w:val="15"/>
                <w:color w:val="auto"/>
              </w:rPr>
            </w:pPr>
          </w:p>
        </w:tc>
        <w:tc>
          <w:tcPr>
            <w:tcW w:w="80" w:type="dxa"/>
            <w:vAlign w:val="bottom"/>
            <w:tcBorders>
              <w:bottom w:val="single" w:sz="8" w:color="D0EBF2"/>
            </w:tcBorders>
            <w:shd w:val="clear" w:color="auto" w:fill="FDFDFC"/>
          </w:tcPr>
          <w:p>
            <w:pPr>
              <w:spacing w:after="0"/>
              <w:rPr>
                <w:sz w:val="15"/>
                <w:szCs w:val="15"/>
                <w:color w:val="auto"/>
              </w:rPr>
            </w:pPr>
          </w:p>
        </w:tc>
        <w:tc>
          <w:tcPr>
            <w:tcW w:w="120" w:type="dxa"/>
            <w:vAlign w:val="bottom"/>
            <w:tcBorders>
              <w:bottom w:val="single" w:sz="8" w:color="231F20"/>
            </w:tcBorders>
            <w:shd w:val="clear" w:color="auto" w:fill="FDFDFC"/>
          </w:tcPr>
          <w:p>
            <w:pPr>
              <w:spacing w:after="0"/>
              <w:rPr>
                <w:sz w:val="15"/>
                <w:szCs w:val="15"/>
                <w:color w:val="auto"/>
              </w:rPr>
            </w:pPr>
          </w:p>
        </w:tc>
        <w:tc>
          <w:tcPr>
            <w:tcW w:w="60" w:type="dxa"/>
            <w:vAlign w:val="bottom"/>
            <w:tcBorders>
              <w:bottom w:val="single" w:sz="8" w:color="231F20"/>
            </w:tcBorders>
            <w:shd w:val="clear" w:color="auto" w:fill="FDFDFC"/>
          </w:tcPr>
          <w:p>
            <w:pPr>
              <w:spacing w:after="0"/>
              <w:rPr>
                <w:sz w:val="15"/>
                <w:szCs w:val="15"/>
                <w:color w:val="auto"/>
              </w:rPr>
            </w:pPr>
          </w:p>
        </w:tc>
        <w:tc>
          <w:tcPr>
            <w:tcW w:w="920" w:type="dxa"/>
            <w:vAlign w:val="bottom"/>
            <w:tcBorders>
              <w:bottom w:val="single" w:sz="8" w:color="231F20"/>
            </w:tcBorders>
            <w:shd w:val="clear" w:color="auto" w:fill="FDFDFC"/>
          </w:tcPr>
          <w:p>
            <w:pPr>
              <w:spacing w:after="0"/>
              <w:rPr>
                <w:sz w:val="15"/>
                <w:szCs w:val="15"/>
                <w:color w:val="auto"/>
              </w:rPr>
            </w:pPr>
          </w:p>
        </w:tc>
        <w:tc>
          <w:tcPr>
            <w:tcW w:w="380" w:type="dxa"/>
            <w:vAlign w:val="bottom"/>
            <w:tcBorders>
              <w:bottom w:val="single" w:sz="8" w:color="231F20"/>
            </w:tcBorders>
            <w:gridSpan w:val="2"/>
            <w:shd w:val="clear" w:color="auto" w:fill="FDFDFC"/>
          </w:tcPr>
          <w:p>
            <w:pPr>
              <w:jc w:val="right"/>
              <w:spacing w:after="0"/>
              <w:rPr>
                <w:sz w:val="20"/>
                <w:szCs w:val="20"/>
                <w:color w:val="auto"/>
              </w:rPr>
            </w:pPr>
            <w:r>
              <w:rPr>
                <w:rFonts w:ascii="Times New Roman" w:cs="Times New Roman" w:eastAsia="Times New Roman" w:hAnsi="Times New Roman"/>
                <w:sz w:val="15"/>
                <w:szCs w:val="15"/>
                <w:color w:val="231F20"/>
              </w:rPr>
              <w:t>6,341</w:t>
            </w:r>
          </w:p>
        </w:tc>
        <w:tc>
          <w:tcPr>
            <w:tcW w:w="20" w:type="dxa"/>
            <w:vAlign w:val="bottom"/>
            <w:tcBorders>
              <w:bottom w:val="single" w:sz="8" w:color="231F20"/>
            </w:tcBorders>
            <w:shd w:val="clear" w:color="auto" w:fill="FDFDFC"/>
          </w:tcPr>
          <w:p>
            <w:pPr>
              <w:spacing w:after="0"/>
              <w:rPr>
                <w:sz w:val="15"/>
                <w:szCs w:val="15"/>
                <w:color w:val="auto"/>
              </w:rPr>
            </w:pPr>
          </w:p>
        </w:tc>
        <w:tc>
          <w:tcPr>
            <w:tcW w:w="100" w:type="dxa"/>
            <w:vAlign w:val="bottom"/>
            <w:tcBorders>
              <w:bottom w:val="single" w:sz="8" w:color="D0EBF2"/>
            </w:tcBorders>
            <w:shd w:val="clear" w:color="auto" w:fill="FDFDFC"/>
          </w:tcPr>
          <w:p>
            <w:pPr>
              <w:spacing w:after="0"/>
              <w:rPr>
                <w:sz w:val="15"/>
                <w:szCs w:val="15"/>
                <w:color w:val="auto"/>
              </w:rPr>
            </w:pPr>
          </w:p>
        </w:tc>
        <w:tc>
          <w:tcPr>
            <w:tcW w:w="860" w:type="dxa"/>
            <w:vAlign w:val="bottom"/>
            <w:tcBorders>
              <w:bottom w:val="single" w:sz="8" w:color="231F20"/>
            </w:tcBorders>
            <w:gridSpan w:val="2"/>
            <w:shd w:val="clear" w:color="auto" w:fill="FDFDFC"/>
          </w:tcPr>
          <w:p>
            <w:pPr>
              <w:jc w:val="right"/>
              <w:spacing w:after="0"/>
              <w:rPr>
                <w:sz w:val="20"/>
                <w:szCs w:val="20"/>
                <w:color w:val="auto"/>
              </w:rPr>
            </w:pPr>
            <w:r>
              <w:rPr>
                <w:rFonts w:ascii="Times New Roman" w:cs="Times New Roman" w:eastAsia="Times New Roman" w:hAnsi="Times New Roman"/>
                <w:sz w:val="15"/>
                <w:szCs w:val="15"/>
                <w:color w:val="231F20"/>
              </w:rPr>
              <w:t>0.4%</w:t>
            </w:r>
          </w:p>
        </w:tc>
        <w:tc>
          <w:tcPr>
            <w:tcW w:w="0" w:type="dxa"/>
            <w:vAlign w:val="bottom"/>
          </w:tcPr>
          <w:p>
            <w:pPr>
              <w:spacing w:after="0"/>
              <w:rPr>
                <w:sz w:val="1"/>
                <w:szCs w:val="1"/>
                <w:color w:val="auto"/>
              </w:rPr>
            </w:pPr>
          </w:p>
        </w:tc>
      </w:tr>
      <w:tr>
        <w:trPr>
          <w:trHeight w:val="159"/>
        </w:trPr>
        <w:tc>
          <w:tcPr>
            <w:tcW w:w="1560" w:type="dxa"/>
            <w:vAlign w:val="bottom"/>
            <w:shd w:val="clear" w:color="auto" w:fill="D0EBF2"/>
          </w:tcPr>
          <w:p>
            <w:pPr>
              <w:spacing w:after="0" w:line="159" w:lineRule="exact"/>
              <w:rPr>
                <w:sz w:val="20"/>
                <w:szCs w:val="20"/>
                <w:color w:val="auto"/>
              </w:rPr>
            </w:pPr>
            <w:r>
              <w:rPr>
                <w:rFonts w:ascii="Times New Roman" w:cs="Times New Roman" w:eastAsia="Times New Roman" w:hAnsi="Times New Roman"/>
                <w:sz w:val="15"/>
                <w:szCs w:val="15"/>
                <w:b w:val="1"/>
                <w:bCs w:val="1"/>
                <w:color w:val="231F20"/>
              </w:rPr>
              <w:t>Retail and Consumer</w:t>
            </w:r>
          </w:p>
        </w:tc>
        <w:tc>
          <w:tcPr>
            <w:tcW w:w="340" w:type="dxa"/>
            <w:vAlign w:val="bottom"/>
            <w:shd w:val="clear" w:color="auto" w:fill="D0EBF2"/>
          </w:tcPr>
          <w:p>
            <w:pPr>
              <w:spacing w:after="0"/>
              <w:rPr>
                <w:sz w:val="13"/>
                <w:szCs w:val="13"/>
                <w:color w:val="auto"/>
              </w:rPr>
            </w:pPr>
          </w:p>
        </w:tc>
        <w:tc>
          <w:tcPr>
            <w:tcW w:w="1100" w:type="dxa"/>
            <w:vAlign w:val="bottom"/>
            <w:shd w:val="clear" w:color="auto" w:fill="D0EBF2"/>
          </w:tcPr>
          <w:p>
            <w:pPr>
              <w:spacing w:after="0"/>
              <w:rPr>
                <w:sz w:val="13"/>
                <w:szCs w:val="13"/>
                <w:color w:val="auto"/>
              </w:rPr>
            </w:pPr>
          </w:p>
        </w:tc>
        <w:tc>
          <w:tcPr>
            <w:tcW w:w="120" w:type="dxa"/>
            <w:vAlign w:val="bottom"/>
            <w:shd w:val="clear" w:color="auto" w:fill="D0EBF2"/>
          </w:tcPr>
          <w:p>
            <w:pPr>
              <w:spacing w:after="0"/>
              <w:rPr>
                <w:sz w:val="13"/>
                <w:szCs w:val="13"/>
                <w:color w:val="auto"/>
              </w:rPr>
            </w:pPr>
          </w:p>
        </w:tc>
        <w:tc>
          <w:tcPr>
            <w:tcW w:w="60" w:type="dxa"/>
            <w:vAlign w:val="bottom"/>
            <w:shd w:val="clear" w:color="auto" w:fill="D0EBF2"/>
          </w:tcPr>
          <w:p>
            <w:pPr>
              <w:spacing w:after="0"/>
              <w:rPr>
                <w:sz w:val="13"/>
                <w:szCs w:val="13"/>
                <w:color w:val="auto"/>
              </w:rPr>
            </w:pPr>
          </w:p>
        </w:tc>
        <w:tc>
          <w:tcPr>
            <w:tcW w:w="660" w:type="dxa"/>
            <w:vAlign w:val="bottom"/>
            <w:shd w:val="clear" w:color="auto" w:fill="D0EBF2"/>
          </w:tcPr>
          <w:p>
            <w:pPr>
              <w:spacing w:after="0"/>
              <w:rPr>
                <w:sz w:val="13"/>
                <w:szCs w:val="13"/>
                <w:color w:val="auto"/>
              </w:rPr>
            </w:pPr>
          </w:p>
        </w:tc>
        <w:tc>
          <w:tcPr>
            <w:tcW w:w="360" w:type="dxa"/>
            <w:vAlign w:val="bottom"/>
            <w:shd w:val="clear" w:color="auto" w:fill="D0EBF2"/>
          </w:tcPr>
          <w:p>
            <w:pPr>
              <w:spacing w:after="0"/>
              <w:rPr>
                <w:sz w:val="13"/>
                <w:szCs w:val="13"/>
                <w:color w:val="auto"/>
              </w:rPr>
            </w:pPr>
          </w:p>
        </w:tc>
        <w:tc>
          <w:tcPr>
            <w:tcW w:w="120" w:type="dxa"/>
            <w:vAlign w:val="bottom"/>
            <w:shd w:val="clear" w:color="auto" w:fill="D0EBF2"/>
          </w:tcPr>
          <w:p>
            <w:pPr>
              <w:spacing w:after="0"/>
              <w:rPr>
                <w:sz w:val="13"/>
                <w:szCs w:val="13"/>
                <w:color w:val="auto"/>
              </w:rPr>
            </w:pPr>
          </w:p>
        </w:tc>
        <w:tc>
          <w:tcPr>
            <w:tcW w:w="260" w:type="dxa"/>
            <w:vAlign w:val="bottom"/>
            <w:shd w:val="clear" w:color="auto" w:fill="D0EBF2"/>
          </w:tcPr>
          <w:p>
            <w:pPr>
              <w:spacing w:after="0"/>
              <w:rPr>
                <w:sz w:val="13"/>
                <w:szCs w:val="13"/>
                <w:color w:val="auto"/>
              </w:rPr>
            </w:pPr>
          </w:p>
        </w:tc>
        <w:tc>
          <w:tcPr>
            <w:tcW w:w="820" w:type="dxa"/>
            <w:vAlign w:val="bottom"/>
            <w:shd w:val="clear" w:color="auto" w:fill="D0EBF2"/>
          </w:tcPr>
          <w:p>
            <w:pPr>
              <w:spacing w:after="0"/>
              <w:rPr>
                <w:sz w:val="13"/>
                <w:szCs w:val="13"/>
                <w:color w:val="auto"/>
              </w:rPr>
            </w:pPr>
          </w:p>
        </w:tc>
        <w:tc>
          <w:tcPr>
            <w:tcW w:w="120" w:type="dxa"/>
            <w:vAlign w:val="bottom"/>
            <w:shd w:val="clear" w:color="auto" w:fill="D0EBF2"/>
          </w:tcPr>
          <w:p>
            <w:pPr>
              <w:spacing w:after="0"/>
              <w:rPr>
                <w:sz w:val="13"/>
                <w:szCs w:val="13"/>
                <w:color w:val="auto"/>
              </w:rPr>
            </w:pPr>
          </w:p>
        </w:tc>
        <w:tc>
          <w:tcPr>
            <w:tcW w:w="140" w:type="dxa"/>
            <w:vAlign w:val="bottom"/>
            <w:shd w:val="clear" w:color="auto" w:fill="D0EBF2"/>
          </w:tcPr>
          <w:p>
            <w:pPr>
              <w:spacing w:after="0"/>
              <w:rPr>
                <w:sz w:val="13"/>
                <w:szCs w:val="13"/>
                <w:color w:val="auto"/>
              </w:rPr>
            </w:pPr>
          </w:p>
        </w:tc>
        <w:tc>
          <w:tcPr>
            <w:tcW w:w="860" w:type="dxa"/>
            <w:vAlign w:val="bottom"/>
            <w:shd w:val="clear" w:color="auto" w:fill="D0EBF2"/>
          </w:tcPr>
          <w:p>
            <w:pPr>
              <w:spacing w:after="0"/>
              <w:rPr>
                <w:sz w:val="13"/>
                <w:szCs w:val="13"/>
                <w:color w:val="auto"/>
              </w:rPr>
            </w:pPr>
          </w:p>
        </w:tc>
        <w:tc>
          <w:tcPr>
            <w:tcW w:w="120" w:type="dxa"/>
            <w:vAlign w:val="bottom"/>
            <w:shd w:val="clear" w:color="auto" w:fill="D0EBF2"/>
          </w:tcPr>
          <w:p>
            <w:pPr>
              <w:spacing w:after="0"/>
              <w:rPr>
                <w:sz w:val="13"/>
                <w:szCs w:val="13"/>
                <w:color w:val="auto"/>
              </w:rPr>
            </w:pPr>
          </w:p>
        </w:tc>
        <w:tc>
          <w:tcPr>
            <w:tcW w:w="80" w:type="dxa"/>
            <w:vAlign w:val="bottom"/>
            <w:shd w:val="clear" w:color="auto" w:fill="D0EBF2"/>
          </w:tcPr>
          <w:p>
            <w:pPr>
              <w:spacing w:after="0"/>
              <w:rPr>
                <w:sz w:val="13"/>
                <w:szCs w:val="13"/>
                <w:color w:val="auto"/>
              </w:rPr>
            </w:pPr>
          </w:p>
        </w:tc>
        <w:tc>
          <w:tcPr>
            <w:tcW w:w="20" w:type="dxa"/>
            <w:vAlign w:val="bottom"/>
            <w:shd w:val="clear" w:color="auto" w:fill="D0EBF2"/>
          </w:tcPr>
          <w:p>
            <w:pPr>
              <w:spacing w:after="0"/>
              <w:rPr>
                <w:sz w:val="13"/>
                <w:szCs w:val="13"/>
                <w:color w:val="auto"/>
              </w:rPr>
            </w:pPr>
          </w:p>
        </w:tc>
        <w:tc>
          <w:tcPr>
            <w:tcW w:w="140" w:type="dxa"/>
            <w:vAlign w:val="bottom"/>
            <w:shd w:val="clear" w:color="auto" w:fill="D0EBF2"/>
          </w:tcPr>
          <w:p>
            <w:pPr>
              <w:spacing w:after="0"/>
              <w:rPr>
                <w:sz w:val="13"/>
                <w:szCs w:val="13"/>
                <w:color w:val="auto"/>
              </w:rPr>
            </w:pPr>
          </w:p>
        </w:tc>
        <w:tc>
          <w:tcPr>
            <w:tcW w:w="760" w:type="dxa"/>
            <w:vAlign w:val="bottom"/>
            <w:shd w:val="clear" w:color="auto" w:fill="D0EBF2"/>
          </w:tcPr>
          <w:p>
            <w:pPr>
              <w:spacing w:after="0"/>
              <w:rPr>
                <w:sz w:val="13"/>
                <w:szCs w:val="13"/>
                <w:color w:val="auto"/>
              </w:rPr>
            </w:pPr>
          </w:p>
        </w:tc>
        <w:tc>
          <w:tcPr>
            <w:tcW w:w="80" w:type="dxa"/>
            <w:vAlign w:val="bottom"/>
            <w:shd w:val="clear" w:color="auto" w:fill="D0EBF2"/>
          </w:tcPr>
          <w:p>
            <w:pPr>
              <w:spacing w:after="0"/>
              <w:rPr>
                <w:sz w:val="13"/>
                <w:szCs w:val="13"/>
                <w:color w:val="auto"/>
              </w:rPr>
            </w:pPr>
          </w:p>
        </w:tc>
        <w:tc>
          <w:tcPr>
            <w:tcW w:w="20" w:type="dxa"/>
            <w:vAlign w:val="bottom"/>
            <w:shd w:val="clear" w:color="auto" w:fill="D0EBF2"/>
          </w:tcPr>
          <w:p>
            <w:pPr>
              <w:spacing w:after="0"/>
              <w:rPr>
                <w:sz w:val="13"/>
                <w:szCs w:val="13"/>
                <w:color w:val="auto"/>
              </w:rPr>
            </w:pPr>
          </w:p>
        </w:tc>
        <w:tc>
          <w:tcPr>
            <w:tcW w:w="80" w:type="dxa"/>
            <w:vAlign w:val="bottom"/>
            <w:shd w:val="clear" w:color="auto" w:fill="D0EBF2"/>
          </w:tcPr>
          <w:p>
            <w:pPr>
              <w:spacing w:after="0"/>
              <w:rPr>
                <w:sz w:val="13"/>
                <w:szCs w:val="13"/>
                <w:color w:val="auto"/>
              </w:rPr>
            </w:pPr>
          </w:p>
        </w:tc>
        <w:tc>
          <w:tcPr>
            <w:tcW w:w="120" w:type="dxa"/>
            <w:vAlign w:val="bottom"/>
            <w:shd w:val="clear" w:color="auto" w:fill="D0EBF2"/>
          </w:tcPr>
          <w:p>
            <w:pPr>
              <w:spacing w:after="0"/>
              <w:rPr>
                <w:sz w:val="13"/>
                <w:szCs w:val="13"/>
                <w:color w:val="auto"/>
              </w:rPr>
            </w:pPr>
          </w:p>
        </w:tc>
        <w:tc>
          <w:tcPr>
            <w:tcW w:w="60" w:type="dxa"/>
            <w:vAlign w:val="bottom"/>
            <w:shd w:val="clear" w:color="auto" w:fill="D0EBF2"/>
          </w:tcPr>
          <w:p>
            <w:pPr>
              <w:spacing w:after="0"/>
              <w:rPr>
                <w:sz w:val="13"/>
                <w:szCs w:val="13"/>
                <w:color w:val="auto"/>
              </w:rPr>
            </w:pPr>
          </w:p>
        </w:tc>
        <w:tc>
          <w:tcPr>
            <w:tcW w:w="920" w:type="dxa"/>
            <w:vAlign w:val="bottom"/>
            <w:shd w:val="clear" w:color="auto" w:fill="D0EBF2"/>
          </w:tcPr>
          <w:p>
            <w:pPr>
              <w:spacing w:after="0"/>
              <w:rPr>
                <w:sz w:val="13"/>
                <w:szCs w:val="13"/>
                <w:color w:val="auto"/>
              </w:rPr>
            </w:pPr>
          </w:p>
        </w:tc>
        <w:tc>
          <w:tcPr>
            <w:tcW w:w="220" w:type="dxa"/>
            <w:vAlign w:val="bottom"/>
            <w:shd w:val="clear" w:color="auto" w:fill="D0EBF2"/>
          </w:tcPr>
          <w:p>
            <w:pPr>
              <w:spacing w:after="0"/>
              <w:rPr>
                <w:sz w:val="13"/>
                <w:szCs w:val="13"/>
                <w:color w:val="auto"/>
              </w:rPr>
            </w:pPr>
          </w:p>
        </w:tc>
        <w:tc>
          <w:tcPr>
            <w:tcW w:w="160" w:type="dxa"/>
            <w:vAlign w:val="bottom"/>
            <w:shd w:val="clear" w:color="auto" w:fill="D0EBF2"/>
          </w:tcPr>
          <w:p>
            <w:pPr>
              <w:spacing w:after="0"/>
              <w:rPr>
                <w:sz w:val="13"/>
                <w:szCs w:val="13"/>
                <w:color w:val="auto"/>
              </w:rPr>
            </w:pPr>
          </w:p>
        </w:tc>
        <w:tc>
          <w:tcPr>
            <w:tcW w:w="20" w:type="dxa"/>
            <w:vAlign w:val="bottom"/>
            <w:shd w:val="clear" w:color="auto" w:fill="D0EBF2"/>
          </w:tcPr>
          <w:p>
            <w:pPr>
              <w:spacing w:after="0"/>
              <w:rPr>
                <w:sz w:val="13"/>
                <w:szCs w:val="13"/>
                <w:color w:val="auto"/>
              </w:rPr>
            </w:pPr>
          </w:p>
        </w:tc>
        <w:tc>
          <w:tcPr>
            <w:tcW w:w="100" w:type="dxa"/>
            <w:vAlign w:val="bottom"/>
            <w:shd w:val="clear" w:color="auto" w:fill="D0EBF2"/>
          </w:tcPr>
          <w:p>
            <w:pPr>
              <w:spacing w:after="0"/>
              <w:rPr>
                <w:sz w:val="13"/>
                <w:szCs w:val="13"/>
                <w:color w:val="auto"/>
              </w:rPr>
            </w:pPr>
          </w:p>
        </w:tc>
        <w:tc>
          <w:tcPr>
            <w:tcW w:w="760" w:type="dxa"/>
            <w:vAlign w:val="bottom"/>
            <w:shd w:val="clear" w:color="auto" w:fill="D0EBF2"/>
          </w:tcPr>
          <w:p>
            <w:pPr>
              <w:spacing w:after="0"/>
              <w:rPr>
                <w:sz w:val="13"/>
                <w:szCs w:val="13"/>
                <w:color w:val="auto"/>
              </w:rPr>
            </w:pPr>
          </w:p>
        </w:tc>
        <w:tc>
          <w:tcPr>
            <w:tcW w:w="100" w:type="dxa"/>
            <w:vAlign w:val="bottom"/>
            <w:shd w:val="clear" w:color="auto" w:fill="D0EBF2"/>
          </w:tcPr>
          <w:p>
            <w:pPr>
              <w:spacing w:after="0"/>
              <w:rPr>
                <w:sz w:val="13"/>
                <w:szCs w:val="13"/>
                <w:color w:val="auto"/>
              </w:rPr>
            </w:pPr>
          </w:p>
        </w:tc>
        <w:tc>
          <w:tcPr>
            <w:tcW w:w="0" w:type="dxa"/>
            <w:vAlign w:val="bottom"/>
          </w:tcPr>
          <w:p>
            <w:pPr>
              <w:spacing w:after="0"/>
              <w:rPr>
                <w:sz w:val="1"/>
                <w:szCs w:val="1"/>
                <w:color w:val="auto"/>
              </w:rPr>
            </w:pPr>
          </w:p>
        </w:tc>
      </w:tr>
      <w:tr>
        <w:trPr>
          <w:trHeight w:val="191"/>
        </w:trPr>
        <w:tc>
          <w:tcPr>
            <w:tcW w:w="1560" w:type="dxa"/>
            <w:vAlign w:val="bottom"/>
            <w:shd w:val="clear" w:color="auto" w:fill="D0EBF2"/>
          </w:tcPr>
          <w:p>
            <w:pPr>
              <w:spacing w:after="0"/>
              <w:rPr>
                <w:sz w:val="20"/>
                <w:szCs w:val="20"/>
                <w:color w:val="auto"/>
              </w:rPr>
            </w:pPr>
            <w:r>
              <w:rPr>
                <w:rFonts w:ascii="Times New Roman" w:cs="Times New Roman" w:eastAsia="Times New Roman" w:hAnsi="Times New Roman"/>
                <w:sz w:val="15"/>
                <w:szCs w:val="15"/>
                <w:b w:val="1"/>
                <w:bCs w:val="1"/>
                <w:color w:val="231F20"/>
              </w:rPr>
              <w:t>Products</w:t>
            </w:r>
          </w:p>
        </w:tc>
        <w:tc>
          <w:tcPr>
            <w:tcW w:w="340" w:type="dxa"/>
            <w:vAlign w:val="bottom"/>
            <w:shd w:val="clear" w:color="auto" w:fill="D0EBF2"/>
          </w:tcPr>
          <w:p>
            <w:pPr>
              <w:spacing w:after="0"/>
              <w:rPr>
                <w:sz w:val="16"/>
                <w:szCs w:val="16"/>
                <w:color w:val="auto"/>
              </w:rPr>
            </w:pPr>
          </w:p>
        </w:tc>
        <w:tc>
          <w:tcPr>
            <w:tcW w:w="1100" w:type="dxa"/>
            <w:vAlign w:val="bottom"/>
            <w:shd w:val="clear" w:color="auto" w:fill="D0EBF2"/>
          </w:tcPr>
          <w:p>
            <w:pPr>
              <w:spacing w:after="0"/>
              <w:rPr>
                <w:sz w:val="16"/>
                <w:szCs w:val="16"/>
                <w:color w:val="auto"/>
              </w:rPr>
            </w:pPr>
          </w:p>
        </w:tc>
        <w:tc>
          <w:tcPr>
            <w:tcW w:w="120" w:type="dxa"/>
            <w:vAlign w:val="bottom"/>
            <w:shd w:val="clear" w:color="auto" w:fill="D0EBF2"/>
          </w:tcPr>
          <w:p>
            <w:pPr>
              <w:spacing w:after="0"/>
              <w:rPr>
                <w:sz w:val="16"/>
                <w:szCs w:val="16"/>
                <w:color w:val="auto"/>
              </w:rPr>
            </w:pPr>
          </w:p>
        </w:tc>
        <w:tc>
          <w:tcPr>
            <w:tcW w:w="60" w:type="dxa"/>
            <w:vAlign w:val="bottom"/>
            <w:shd w:val="clear" w:color="auto" w:fill="D0EBF2"/>
          </w:tcPr>
          <w:p>
            <w:pPr>
              <w:spacing w:after="0"/>
              <w:rPr>
                <w:sz w:val="16"/>
                <w:szCs w:val="16"/>
                <w:color w:val="auto"/>
              </w:rPr>
            </w:pPr>
          </w:p>
        </w:tc>
        <w:tc>
          <w:tcPr>
            <w:tcW w:w="660" w:type="dxa"/>
            <w:vAlign w:val="bottom"/>
            <w:shd w:val="clear" w:color="auto" w:fill="D0EBF2"/>
          </w:tcPr>
          <w:p>
            <w:pPr>
              <w:spacing w:after="0"/>
              <w:rPr>
                <w:sz w:val="16"/>
                <w:szCs w:val="16"/>
                <w:color w:val="auto"/>
              </w:rPr>
            </w:pPr>
          </w:p>
        </w:tc>
        <w:tc>
          <w:tcPr>
            <w:tcW w:w="360" w:type="dxa"/>
            <w:vAlign w:val="bottom"/>
            <w:shd w:val="clear" w:color="auto" w:fill="D0EBF2"/>
          </w:tcPr>
          <w:p>
            <w:pPr>
              <w:spacing w:after="0"/>
              <w:rPr>
                <w:sz w:val="16"/>
                <w:szCs w:val="16"/>
                <w:color w:val="auto"/>
              </w:rPr>
            </w:pPr>
          </w:p>
        </w:tc>
        <w:tc>
          <w:tcPr>
            <w:tcW w:w="120" w:type="dxa"/>
            <w:vAlign w:val="bottom"/>
            <w:shd w:val="clear" w:color="auto" w:fill="D0EBF2"/>
          </w:tcPr>
          <w:p>
            <w:pPr>
              <w:spacing w:after="0"/>
              <w:rPr>
                <w:sz w:val="16"/>
                <w:szCs w:val="16"/>
                <w:color w:val="auto"/>
              </w:rPr>
            </w:pPr>
          </w:p>
        </w:tc>
        <w:tc>
          <w:tcPr>
            <w:tcW w:w="260" w:type="dxa"/>
            <w:vAlign w:val="bottom"/>
            <w:shd w:val="clear" w:color="auto" w:fill="D0EBF2"/>
          </w:tcPr>
          <w:p>
            <w:pPr>
              <w:spacing w:after="0"/>
              <w:rPr>
                <w:sz w:val="16"/>
                <w:szCs w:val="16"/>
                <w:color w:val="auto"/>
              </w:rPr>
            </w:pPr>
          </w:p>
        </w:tc>
        <w:tc>
          <w:tcPr>
            <w:tcW w:w="820" w:type="dxa"/>
            <w:vAlign w:val="bottom"/>
            <w:shd w:val="clear" w:color="auto" w:fill="D0EBF2"/>
          </w:tcPr>
          <w:p>
            <w:pPr>
              <w:spacing w:after="0"/>
              <w:rPr>
                <w:sz w:val="16"/>
                <w:szCs w:val="16"/>
                <w:color w:val="auto"/>
              </w:rPr>
            </w:pPr>
          </w:p>
        </w:tc>
        <w:tc>
          <w:tcPr>
            <w:tcW w:w="120" w:type="dxa"/>
            <w:vAlign w:val="bottom"/>
            <w:shd w:val="clear" w:color="auto" w:fill="D0EBF2"/>
          </w:tcPr>
          <w:p>
            <w:pPr>
              <w:spacing w:after="0"/>
              <w:rPr>
                <w:sz w:val="16"/>
                <w:szCs w:val="16"/>
                <w:color w:val="auto"/>
              </w:rPr>
            </w:pPr>
          </w:p>
        </w:tc>
        <w:tc>
          <w:tcPr>
            <w:tcW w:w="140" w:type="dxa"/>
            <w:vAlign w:val="bottom"/>
            <w:shd w:val="clear" w:color="auto" w:fill="D0EBF2"/>
          </w:tcPr>
          <w:p>
            <w:pPr>
              <w:spacing w:after="0"/>
              <w:rPr>
                <w:sz w:val="16"/>
                <w:szCs w:val="16"/>
                <w:color w:val="auto"/>
              </w:rPr>
            </w:pPr>
          </w:p>
        </w:tc>
        <w:tc>
          <w:tcPr>
            <w:tcW w:w="860" w:type="dxa"/>
            <w:vAlign w:val="bottom"/>
            <w:shd w:val="clear" w:color="auto" w:fill="D0EBF2"/>
          </w:tcPr>
          <w:p>
            <w:pPr>
              <w:spacing w:after="0"/>
              <w:rPr>
                <w:sz w:val="16"/>
                <w:szCs w:val="16"/>
                <w:color w:val="auto"/>
              </w:rPr>
            </w:pPr>
          </w:p>
        </w:tc>
        <w:tc>
          <w:tcPr>
            <w:tcW w:w="120" w:type="dxa"/>
            <w:vAlign w:val="bottom"/>
            <w:shd w:val="clear" w:color="auto" w:fill="D0EBF2"/>
          </w:tcPr>
          <w:p>
            <w:pPr>
              <w:spacing w:after="0"/>
              <w:rPr>
                <w:sz w:val="16"/>
                <w:szCs w:val="16"/>
                <w:color w:val="auto"/>
              </w:rPr>
            </w:pPr>
          </w:p>
        </w:tc>
        <w:tc>
          <w:tcPr>
            <w:tcW w:w="80" w:type="dxa"/>
            <w:vAlign w:val="bottom"/>
            <w:shd w:val="clear" w:color="auto" w:fill="D0EBF2"/>
          </w:tcPr>
          <w:p>
            <w:pPr>
              <w:spacing w:after="0"/>
              <w:rPr>
                <w:sz w:val="16"/>
                <w:szCs w:val="16"/>
                <w:color w:val="auto"/>
              </w:rPr>
            </w:pPr>
          </w:p>
        </w:tc>
        <w:tc>
          <w:tcPr>
            <w:tcW w:w="20" w:type="dxa"/>
            <w:vAlign w:val="bottom"/>
            <w:shd w:val="clear" w:color="auto" w:fill="D0EBF2"/>
          </w:tcPr>
          <w:p>
            <w:pPr>
              <w:spacing w:after="0"/>
              <w:rPr>
                <w:sz w:val="16"/>
                <w:szCs w:val="16"/>
                <w:color w:val="auto"/>
              </w:rPr>
            </w:pPr>
          </w:p>
        </w:tc>
        <w:tc>
          <w:tcPr>
            <w:tcW w:w="140" w:type="dxa"/>
            <w:vAlign w:val="bottom"/>
            <w:shd w:val="clear" w:color="auto" w:fill="D0EBF2"/>
          </w:tcPr>
          <w:p>
            <w:pPr>
              <w:spacing w:after="0"/>
              <w:rPr>
                <w:sz w:val="16"/>
                <w:szCs w:val="16"/>
                <w:color w:val="auto"/>
              </w:rPr>
            </w:pPr>
          </w:p>
        </w:tc>
        <w:tc>
          <w:tcPr>
            <w:tcW w:w="760" w:type="dxa"/>
            <w:vAlign w:val="bottom"/>
            <w:shd w:val="clear" w:color="auto" w:fill="D0EBF2"/>
          </w:tcPr>
          <w:p>
            <w:pPr>
              <w:spacing w:after="0"/>
              <w:rPr>
                <w:sz w:val="16"/>
                <w:szCs w:val="16"/>
                <w:color w:val="auto"/>
              </w:rPr>
            </w:pPr>
          </w:p>
        </w:tc>
        <w:tc>
          <w:tcPr>
            <w:tcW w:w="80" w:type="dxa"/>
            <w:vAlign w:val="bottom"/>
            <w:shd w:val="clear" w:color="auto" w:fill="D0EBF2"/>
          </w:tcPr>
          <w:p>
            <w:pPr>
              <w:spacing w:after="0"/>
              <w:rPr>
                <w:sz w:val="16"/>
                <w:szCs w:val="16"/>
                <w:color w:val="auto"/>
              </w:rPr>
            </w:pPr>
          </w:p>
        </w:tc>
        <w:tc>
          <w:tcPr>
            <w:tcW w:w="20" w:type="dxa"/>
            <w:vAlign w:val="bottom"/>
            <w:shd w:val="clear" w:color="auto" w:fill="D0EBF2"/>
          </w:tcPr>
          <w:p>
            <w:pPr>
              <w:spacing w:after="0"/>
              <w:rPr>
                <w:sz w:val="16"/>
                <w:szCs w:val="16"/>
                <w:color w:val="auto"/>
              </w:rPr>
            </w:pPr>
          </w:p>
        </w:tc>
        <w:tc>
          <w:tcPr>
            <w:tcW w:w="80" w:type="dxa"/>
            <w:vAlign w:val="bottom"/>
            <w:shd w:val="clear" w:color="auto" w:fill="D0EBF2"/>
          </w:tcPr>
          <w:p>
            <w:pPr>
              <w:spacing w:after="0"/>
              <w:rPr>
                <w:sz w:val="16"/>
                <w:szCs w:val="16"/>
                <w:color w:val="auto"/>
              </w:rPr>
            </w:pPr>
          </w:p>
        </w:tc>
        <w:tc>
          <w:tcPr>
            <w:tcW w:w="120" w:type="dxa"/>
            <w:vAlign w:val="bottom"/>
            <w:shd w:val="clear" w:color="auto" w:fill="D0EBF2"/>
          </w:tcPr>
          <w:p>
            <w:pPr>
              <w:spacing w:after="0"/>
              <w:rPr>
                <w:sz w:val="16"/>
                <w:szCs w:val="16"/>
                <w:color w:val="auto"/>
              </w:rPr>
            </w:pPr>
          </w:p>
        </w:tc>
        <w:tc>
          <w:tcPr>
            <w:tcW w:w="60" w:type="dxa"/>
            <w:vAlign w:val="bottom"/>
            <w:shd w:val="clear" w:color="auto" w:fill="D0EBF2"/>
          </w:tcPr>
          <w:p>
            <w:pPr>
              <w:spacing w:after="0"/>
              <w:rPr>
                <w:sz w:val="16"/>
                <w:szCs w:val="16"/>
                <w:color w:val="auto"/>
              </w:rPr>
            </w:pPr>
          </w:p>
        </w:tc>
        <w:tc>
          <w:tcPr>
            <w:tcW w:w="920" w:type="dxa"/>
            <w:vAlign w:val="bottom"/>
            <w:shd w:val="clear" w:color="auto" w:fill="D0EBF2"/>
          </w:tcPr>
          <w:p>
            <w:pPr>
              <w:spacing w:after="0"/>
              <w:rPr>
                <w:sz w:val="16"/>
                <w:szCs w:val="16"/>
                <w:color w:val="auto"/>
              </w:rPr>
            </w:pPr>
          </w:p>
        </w:tc>
        <w:tc>
          <w:tcPr>
            <w:tcW w:w="220" w:type="dxa"/>
            <w:vAlign w:val="bottom"/>
            <w:shd w:val="clear" w:color="auto" w:fill="D0EBF2"/>
          </w:tcPr>
          <w:p>
            <w:pPr>
              <w:spacing w:after="0"/>
              <w:rPr>
                <w:sz w:val="16"/>
                <w:szCs w:val="16"/>
                <w:color w:val="auto"/>
              </w:rPr>
            </w:pPr>
          </w:p>
        </w:tc>
        <w:tc>
          <w:tcPr>
            <w:tcW w:w="160" w:type="dxa"/>
            <w:vAlign w:val="bottom"/>
            <w:shd w:val="clear" w:color="auto" w:fill="D0EBF2"/>
          </w:tcPr>
          <w:p>
            <w:pPr>
              <w:spacing w:after="0"/>
              <w:rPr>
                <w:sz w:val="16"/>
                <w:szCs w:val="16"/>
                <w:color w:val="auto"/>
              </w:rPr>
            </w:pPr>
          </w:p>
        </w:tc>
        <w:tc>
          <w:tcPr>
            <w:tcW w:w="20" w:type="dxa"/>
            <w:vAlign w:val="bottom"/>
            <w:shd w:val="clear" w:color="auto" w:fill="D0EBF2"/>
          </w:tcPr>
          <w:p>
            <w:pPr>
              <w:spacing w:after="0"/>
              <w:rPr>
                <w:sz w:val="16"/>
                <w:szCs w:val="16"/>
                <w:color w:val="auto"/>
              </w:rPr>
            </w:pPr>
          </w:p>
        </w:tc>
        <w:tc>
          <w:tcPr>
            <w:tcW w:w="100" w:type="dxa"/>
            <w:vAlign w:val="bottom"/>
            <w:shd w:val="clear" w:color="auto" w:fill="D0EBF2"/>
          </w:tcPr>
          <w:p>
            <w:pPr>
              <w:spacing w:after="0"/>
              <w:rPr>
                <w:sz w:val="16"/>
                <w:szCs w:val="16"/>
                <w:color w:val="auto"/>
              </w:rPr>
            </w:pPr>
          </w:p>
        </w:tc>
        <w:tc>
          <w:tcPr>
            <w:tcW w:w="760" w:type="dxa"/>
            <w:vAlign w:val="bottom"/>
            <w:shd w:val="clear" w:color="auto" w:fill="D0EBF2"/>
          </w:tcPr>
          <w:p>
            <w:pPr>
              <w:spacing w:after="0"/>
              <w:rPr>
                <w:sz w:val="16"/>
                <w:szCs w:val="16"/>
                <w:color w:val="auto"/>
              </w:rPr>
            </w:pPr>
          </w:p>
        </w:tc>
        <w:tc>
          <w:tcPr>
            <w:tcW w:w="100" w:type="dxa"/>
            <w:vAlign w:val="bottom"/>
            <w:shd w:val="clear" w:color="auto" w:fill="D0EBF2"/>
          </w:tcPr>
          <w:p>
            <w:pPr>
              <w:spacing w:after="0"/>
              <w:rPr>
                <w:sz w:val="16"/>
                <w:szCs w:val="16"/>
                <w:color w:val="auto"/>
              </w:rPr>
            </w:pPr>
          </w:p>
        </w:tc>
        <w:tc>
          <w:tcPr>
            <w:tcW w:w="0" w:type="dxa"/>
            <w:vAlign w:val="bottom"/>
          </w:tcPr>
          <w:p>
            <w:pPr>
              <w:spacing w:after="0"/>
              <w:rPr>
                <w:sz w:val="1"/>
                <w:szCs w:val="1"/>
                <w:color w:val="auto"/>
              </w:rPr>
            </w:pPr>
          </w:p>
        </w:tc>
      </w:tr>
      <w:tr>
        <w:trPr>
          <w:trHeight w:val="171"/>
        </w:trPr>
        <w:tc>
          <w:tcPr>
            <w:tcW w:w="1560" w:type="dxa"/>
            <w:vAlign w:val="bottom"/>
            <w:shd w:val="clear" w:color="auto" w:fill="FDFDFC"/>
          </w:tcPr>
          <w:p>
            <w:pPr>
              <w:spacing w:after="0" w:line="172" w:lineRule="exact"/>
              <w:rPr>
                <w:sz w:val="20"/>
                <w:szCs w:val="20"/>
                <w:color w:val="auto"/>
              </w:rPr>
            </w:pPr>
            <w:r>
              <w:rPr>
                <w:rFonts w:ascii="Times New Roman" w:cs="Times New Roman" w:eastAsia="Times New Roman" w:hAnsi="Times New Roman"/>
                <w:sz w:val="15"/>
                <w:szCs w:val="15"/>
                <w:color w:val="231F20"/>
              </w:rPr>
              <w:t>American Achievement,</w:t>
            </w:r>
          </w:p>
        </w:tc>
        <w:tc>
          <w:tcPr>
            <w:tcW w:w="1620" w:type="dxa"/>
            <w:vAlign w:val="bottom"/>
            <w:gridSpan w:val="4"/>
            <w:shd w:val="clear" w:color="auto" w:fill="FDFDFC"/>
          </w:tcPr>
          <w:p>
            <w:pPr>
              <w:ind w:left="80"/>
              <w:spacing w:after="0" w:line="172" w:lineRule="exact"/>
              <w:rPr>
                <w:sz w:val="20"/>
                <w:szCs w:val="20"/>
                <w:color w:val="auto"/>
              </w:rPr>
            </w:pPr>
            <w:r>
              <w:rPr>
                <w:rFonts w:ascii="Times New Roman" w:cs="Times New Roman" w:eastAsia="Times New Roman" w:hAnsi="Times New Roman"/>
                <w:sz w:val="15"/>
                <w:szCs w:val="15"/>
                <w:color w:val="231F20"/>
                <w:w w:val="99"/>
              </w:rPr>
              <w:t>Class A Units (687 units)</w:t>
            </w:r>
          </w:p>
        </w:tc>
        <w:tc>
          <w:tcPr>
            <w:tcW w:w="660" w:type="dxa"/>
            <w:vAlign w:val="bottom"/>
            <w:shd w:val="clear" w:color="auto" w:fill="FDFDFC"/>
          </w:tcPr>
          <w:p>
            <w:pPr>
              <w:spacing w:after="0"/>
              <w:rPr>
                <w:sz w:val="14"/>
                <w:szCs w:val="14"/>
                <w:color w:val="auto"/>
              </w:rPr>
            </w:pPr>
          </w:p>
        </w:tc>
        <w:tc>
          <w:tcPr>
            <w:tcW w:w="740" w:type="dxa"/>
            <w:vAlign w:val="bottom"/>
            <w:gridSpan w:val="3"/>
            <w:shd w:val="clear" w:color="auto" w:fill="FDFDFC"/>
          </w:tcPr>
          <w:p>
            <w:pPr>
              <w:jc w:val="right"/>
              <w:spacing w:after="0" w:line="172" w:lineRule="exact"/>
              <w:rPr>
                <w:sz w:val="20"/>
                <w:szCs w:val="20"/>
                <w:color w:val="auto"/>
              </w:rPr>
            </w:pPr>
            <w:r>
              <w:rPr>
                <w:rFonts w:ascii="Times New Roman" w:cs="Times New Roman" w:eastAsia="Times New Roman" w:hAnsi="Times New Roman"/>
                <w:sz w:val="15"/>
                <w:szCs w:val="15"/>
                <w:color w:val="231F20"/>
              </w:rPr>
              <w:t>3/16/2021</w:t>
            </w:r>
          </w:p>
        </w:tc>
        <w:tc>
          <w:tcPr>
            <w:tcW w:w="820" w:type="dxa"/>
            <w:vAlign w:val="bottom"/>
            <w:shd w:val="clear" w:color="auto" w:fill="FDFDFC"/>
          </w:tcPr>
          <w:p>
            <w:pPr>
              <w:spacing w:after="0"/>
              <w:rPr>
                <w:sz w:val="14"/>
                <w:szCs w:val="14"/>
                <w:color w:val="auto"/>
              </w:rPr>
            </w:pPr>
          </w:p>
        </w:tc>
        <w:tc>
          <w:tcPr>
            <w:tcW w:w="120" w:type="dxa"/>
            <w:vAlign w:val="bottom"/>
            <w:shd w:val="clear" w:color="auto" w:fill="FDFDFC"/>
          </w:tcPr>
          <w:p>
            <w:pPr>
              <w:spacing w:after="0"/>
              <w:rPr>
                <w:sz w:val="14"/>
                <w:szCs w:val="14"/>
                <w:color w:val="auto"/>
              </w:rPr>
            </w:pPr>
          </w:p>
        </w:tc>
        <w:tc>
          <w:tcPr>
            <w:tcW w:w="140" w:type="dxa"/>
            <w:vAlign w:val="bottom"/>
            <w:shd w:val="clear" w:color="auto" w:fill="FDFDFC"/>
          </w:tcPr>
          <w:p>
            <w:pPr>
              <w:spacing w:after="0"/>
              <w:rPr>
                <w:sz w:val="14"/>
                <w:szCs w:val="14"/>
                <w:color w:val="auto"/>
              </w:rPr>
            </w:pPr>
          </w:p>
        </w:tc>
        <w:tc>
          <w:tcPr>
            <w:tcW w:w="860" w:type="dxa"/>
            <w:vAlign w:val="bottom"/>
            <w:shd w:val="clear" w:color="auto" w:fill="FDFDFC"/>
          </w:tcPr>
          <w:p>
            <w:pPr>
              <w:spacing w:after="0"/>
              <w:rPr>
                <w:sz w:val="14"/>
                <w:szCs w:val="14"/>
                <w:color w:val="auto"/>
              </w:rPr>
            </w:pPr>
          </w:p>
        </w:tc>
        <w:tc>
          <w:tcPr>
            <w:tcW w:w="120" w:type="dxa"/>
            <w:vAlign w:val="bottom"/>
            <w:shd w:val="clear" w:color="auto" w:fill="FDFDFC"/>
          </w:tcPr>
          <w:p>
            <w:pPr>
              <w:spacing w:after="0"/>
              <w:rPr>
                <w:sz w:val="14"/>
                <w:szCs w:val="14"/>
                <w:color w:val="auto"/>
              </w:rPr>
            </w:pPr>
          </w:p>
        </w:tc>
        <w:tc>
          <w:tcPr>
            <w:tcW w:w="80" w:type="dxa"/>
            <w:vAlign w:val="bottom"/>
            <w:shd w:val="clear" w:color="auto" w:fill="FDFDFC"/>
          </w:tcPr>
          <w:p>
            <w:pPr>
              <w:spacing w:after="0"/>
              <w:rPr>
                <w:sz w:val="14"/>
                <w:szCs w:val="14"/>
                <w:color w:val="auto"/>
              </w:rPr>
            </w:pPr>
          </w:p>
        </w:tc>
        <w:tc>
          <w:tcPr>
            <w:tcW w:w="20" w:type="dxa"/>
            <w:vAlign w:val="bottom"/>
            <w:shd w:val="clear" w:color="auto" w:fill="FDFDFC"/>
          </w:tcPr>
          <w:p>
            <w:pPr>
              <w:spacing w:after="0"/>
              <w:rPr>
                <w:sz w:val="14"/>
                <w:szCs w:val="14"/>
                <w:color w:val="auto"/>
              </w:rPr>
            </w:pPr>
          </w:p>
        </w:tc>
        <w:tc>
          <w:tcPr>
            <w:tcW w:w="140" w:type="dxa"/>
            <w:vAlign w:val="bottom"/>
            <w:shd w:val="clear" w:color="auto" w:fill="FDFDFC"/>
          </w:tcPr>
          <w:p>
            <w:pPr>
              <w:spacing w:after="0"/>
              <w:rPr>
                <w:sz w:val="14"/>
                <w:szCs w:val="14"/>
                <w:color w:val="auto"/>
              </w:rPr>
            </w:pPr>
          </w:p>
        </w:tc>
        <w:tc>
          <w:tcPr>
            <w:tcW w:w="760" w:type="dxa"/>
            <w:vAlign w:val="bottom"/>
            <w:shd w:val="clear" w:color="auto" w:fill="FDFDFC"/>
          </w:tcPr>
          <w:p>
            <w:pPr>
              <w:jc w:val="right"/>
              <w:spacing w:after="0" w:line="172" w:lineRule="exact"/>
              <w:rPr>
                <w:sz w:val="20"/>
                <w:szCs w:val="20"/>
                <w:color w:val="auto"/>
              </w:rPr>
            </w:pPr>
            <w:r>
              <w:rPr>
                <w:rFonts w:ascii="Times New Roman" w:cs="Times New Roman" w:eastAsia="Times New Roman" w:hAnsi="Times New Roman"/>
                <w:sz w:val="15"/>
                <w:szCs w:val="15"/>
                <w:color w:val="231F20"/>
              </w:rPr>
              <w:t>—</w:t>
            </w:r>
          </w:p>
        </w:tc>
        <w:tc>
          <w:tcPr>
            <w:tcW w:w="80" w:type="dxa"/>
            <w:vAlign w:val="bottom"/>
            <w:shd w:val="clear" w:color="auto" w:fill="FDFDFC"/>
          </w:tcPr>
          <w:p>
            <w:pPr>
              <w:spacing w:after="0"/>
              <w:rPr>
                <w:sz w:val="14"/>
                <w:szCs w:val="14"/>
                <w:color w:val="auto"/>
              </w:rPr>
            </w:pPr>
          </w:p>
        </w:tc>
        <w:tc>
          <w:tcPr>
            <w:tcW w:w="20" w:type="dxa"/>
            <w:vAlign w:val="bottom"/>
            <w:shd w:val="clear" w:color="auto" w:fill="FDFDFC"/>
          </w:tcPr>
          <w:p>
            <w:pPr>
              <w:spacing w:after="0"/>
              <w:rPr>
                <w:sz w:val="14"/>
                <w:szCs w:val="14"/>
                <w:color w:val="auto"/>
              </w:rPr>
            </w:pPr>
          </w:p>
        </w:tc>
        <w:tc>
          <w:tcPr>
            <w:tcW w:w="80" w:type="dxa"/>
            <w:vAlign w:val="bottom"/>
            <w:shd w:val="clear" w:color="auto" w:fill="FDFDFC"/>
          </w:tcPr>
          <w:p>
            <w:pPr>
              <w:spacing w:after="0"/>
              <w:rPr>
                <w:sz w:val="14"/>
                <w:szCs w:val="14"/>
                <w:color w:val="auto"/>
              </w:rPr>
            </w:pPr>
          </w:p>
        </w:tc>
        <w:tc>
          <w:tcPr>
            <w:tcW w:w="120" w:type="dxa"/>
            <w:vAlign w:val="bottom"/>
            <w:shd w:val="clear" w:color="auto" w:fill="FDFDFC"/>
          </w:tcPr>
          <w:p>
            <w:pPr>
              <w:spacing w:after="0"/>
              <w:rPr>
                <w:sz w:val="14"/>
                <w:szCs w:val="14"/>
                <w:color w:val="auto"/>
              </w:rPr>
            </w:pPr>
          </w:p>
        </w:tc>
        <w:tc>
          <w:tcPr>
            <w:tcW w:w="60" w:type="dxa"/>
            <w:vAlign w:val="bottom"/>
            <w:shd w:val="clear" w:color="auto" w:fill="FDFDFC"/>
          </w:tcPr>
          <w:p>
            <w:pPr>
              <w:spacing w:after="0"/>
              <w:rPr>
                <w:sz w:val="14"/>
                <w:szCs w:val="14"/>
                <w:color w:val="auto"/>
              </w:rPr>
            </w:pPr>
          </w:p>
        </w:tc>
        <w:tc>
          <w:tcPr>
            <w:tcW w:w="920" w:type="dxa"/>
            <w:vAlign w:val="bottom"/>
            <w:shd w:val="clear" w:color="auto" w:fill="FDFDFC"/>
          </w:tcPr>
          <w:p>
            <w:pPr>
              <w:spacing w:after="0"/>
              <w:rPr>
                <w:sz w:val="14"/>
                <w:szCs w:val="14"/>
                <w:color w:val="auto"/>
              </w:rPr>
            </w:pPr>
          </w:p>
        </w:tc>
        <w:tc>
          <w:tcPr>
            <w:tcW w:w="380" w:type="dxa"/>
            <w:vAlign w:val="bottom"/>
            <w:gridSpan w:val="2"/>
            <w:shd w:val="clear" w:color="auto" w:fill="FDFDFC"/>
          </w:tcPr>
          <w:p>
            <w:pPr>
              <w:jc w:val="right"/>
              <w:spacing w:after="0" w:line="172" w:lineRule="exact"/>
              <w:rPr>
                <w:sz w:val="20"/>
                <w:szCs w:val="20"/>
                <w:color w:val="auto"/>
              </w:rPr>
            </w:pPr>
            <w:r>
              <w:rPr>
                <w:rFonts w:ascii="Times New Roman" w:cs="Times New Roman" w:eastAsia="Times New Roman" w:hAnsi="Times New Roman"/>
                <w:sz w:val="15"/>
                <w:szCs w:val="15"/>
                <w:color w:val="231F20"/>
              </w:rPr>
              <w:t>50</w:t>
            </w:r>
          </w:p>
        </w:tc>
        <w:tc>
          <w:tcPr>
            <w:tcW w:w="20" w:type="dxa"/>
            <w:vAlign w:val="bottom"/>
            <w:shd w:val="clear" w:color="auto" w:fill="FDFDFC"/>
          </w:tcPr>
          <w:p>
            <w:pPr>
              <w:spacing w:after="0"/>
              <w:rPr>
                <w:sz w:val="14"/>
                <w:szCs w:val="14"/>
                <w:color w:val="auto"/>
              </w:rPr>
            </w:pPr>
          </w:p>
        </w:tc>
        <w:tc>
          <w:tcPr>
            <w:tcW w:w="100" w:type="dxa"/>
            <w:vAlign w:val="bottom"/>
            <w:shd w:val="clear" w:color="auto" w:fill="FDFDFC"/>
          </w:tcPr>
          <w:p>
            <w:pPr>
              <w:spacing w:after="0"/>
              <w:rPr>
                <w:sz w:val="14"/>
                <w:szCs w:val="14"/>
                <w:color w:val="auto"/>
              </w:rPr>
            </w:pPr>
          </w:p>
        </w:tc>
        <w:tc>
          <w:tcPr>
            <w:tcW w:w="860" w:type="dxa"/>
            <w:vAlign w:val="bottom"/>
            <w:gridSpan w:val="2"/>
            <w:shd w:val="clear" w:color="auto" w:fill="FDFDFC"/>
          </w:tcPr>
          <w:p>
            <w:pPr>
              <w:jc w:val="right"/>
              <w:spacing w:after="0" w:line="172" w:lineRule="exact"/>
              <w:rPr>
                <w:sz w:val="20"/>
                <w:szCs w:val="20"/>
                <w:color w:val="auto"/>
              </w:rPr>
            </w:pPr>
            <w:r>
              <w:rPr>
                <w:rFonts w:ascii="Times New Roman" w:cs="Times New Roman" w:eastAsia="Times New Roman" w:hAnsi="Times New Roman"/>
                <w:sz w:val="15"/>
                <w:szCs w:val="15"/>
                <w:color w:val="231F20"/>
              </w:rPr>
              <w:t>0.0%</w:t>
            </w:r>
          </w:p>
        </w:tc>
        <w:tc>
          <w:tcPr>
            <w:tcW w:w="0" w:type="dxa"/>
            <w:vAlign w:val="bottom"/>
          </w:tcPr>
          <w:p>
            <w:pPr>
              <w:spacing w:after="0"/>
              <w:rPr>
                <w:sz w:val="1"/>
                <w:szCs w:val="1"/>
                <w:color w:val="auto"/>
              </w:rPr>
            </w:pPr>
          </w:p>
        </w:tc>
      </w:tr>
      <w:tr>
        <w:trPr>
          <w:trHeight w:val="189"/>
        </w:trPr>
        <w:tc>
          <w:tcPr>
            <w:tcW w:w="1560" w:type="dxa"/>
            <w:vAlign w:val="bottom"/>
            <w:shd w:val="clear" w:color="auto" w:fill="FDFDFC"/>
          </w:tcPr>
          <w:p>
            <w:pPr>
              <w:spacing w:after="0"/>
              <w:rPr>
                <w:sz w:val="20"/>
                <w:szCs w:val="20"/>
                <w:color w:val="auto"/>
              </w:rPr>
            </w:pPr>
            <w:r>
              <w:rPr>
                <w:rFonts w:ascii="Times New Roman" w:cs="Times New Roman" w:eastAsia="Times New Roman" w:hAnsi="Times New Roman"/>
                <w:sz w:val="15"/>
                <w:szCs w:val="15"/>
                <w:color w:val="231F20"/>
              </w:rPr>
              <w:t xml:space="preserve">Corp. </w:t>
            </w:r>
            <w:r>
              <w:rPr>
                <w:rFonts w:ascii="Times New Roman" w:cs="Times New Roman" w:eastAsia="Times New Roman" w:hAnsi="Times New Roman"/>
                <w:sz w:val="9"/>
                <w:szCs w:val="9"/>
                <w:color w:val="231F20"/>
              </w:rPr>
              <w:t>(11)</w:t>
            </w:r>
          </w:p>
        </w:tc>
        <w:tc>
          <w:tcPr>
            <w:tcW w:w="340" w:type="dxa"/>
            <w:vAlign w:val="bottom"/>
            <w:shd w:val="clear" w:color="auto" w:fill="FDFDFC"/>
          </w:tcPr>
          <w:p>
            <w:pPr>
              <w:spacing w:after="0"/>
              <w:rPr>
                <w:sz w:val="16"/>
                <w:szCs w:val="16"/>
                <w:color w:val="auto"/>
              </w:rPr>
            </w:pPr>
          </w:p>
        </w:tc>
        <w:tc>
          <w:tcPr>
            <w:tcW w:w="1100" w:type="dxa"/>
            <w:vAlign w:val="bottom"/>
            <w:shd w:val="clear" w:color="auto" w:fill="FDFDFC"/>
          </w:tcPr>
          <w:p>
            <w:pPr>
              <w:spacing w:after="0"/>
              <w:rPr>
                <w:sz w:val="16"/>
                <w:szCs w:val="16"/>
                <w:color w:val="auto"/>
              </w:rPr>
            </w:pPr>
          </w:p>
        </w:tc>
        <w:tc>
          <w:tcPr>
            <w:tcW w:w="120" w:type="dxa"/>
            <w:vAlign w:val="bottom"/>
            <w:shd w:val="clear" w:color="auto" w:fill="FDFDFC"/>
          </w:tcPr>
          <w:p>
            <w:pPr>
              <w:spacing w:after="0"/>
              <w:rPr>
                <w:sz w:val="16"/>
                <w:szCs w:val="16"/>
                <w:color w:val="auto"/>
              </w:rPr>
            </w:pPr>
          </w:p>
        </w:tc>
        <w:tc>
          <w:tcPr>
            <w:tcW w:w="60" w:type="dxa"/>
            <w:vAlign w:val="bottom"/>
            <w:shd w:val="clear" w:color="auto" w:fill="FDFDFC"/>
          </w:tcPr>
          <w:p>
            <w:pPr>
              <w:spacing w:after="0"/>
              <w:rPr>
                <w:sz w:val="16"/>
                <w:szCs w:val="16"/>
                <w:color w:val="auto"/>
              </w:rPr>
            </w:pPr>
          </w:p>
        </w:tc>
        <w:tc>
          <w:tcPr>
            <w:tcW w:w="660" w:type="dxa"/>
            <w:vAlign w:val="bottom"/>
            <w:shd w:val="clear" w:color="auto" w:fill="FDFDFC"/>
          </w:tcPr>
          <w:p>
            <w:pPr>
              <w:spacing w:after="0"/>
              <w:rPr>
                <w:sz w:val="16"/>
                <w:szCs w:val="16"/>
                <w:color w:val="auto"/>
              </w:rPr>
            </w:pPr>
          </w:p>
        </w:tc>
        <w:tc>
          <w:tcPr>
            <w:tcW w:w="360" w:type="dxa"/>
            <w:vAlign w:val="bottom"/>
            <w:shd w:val="clear" w:color="auto" w:fill="FDFDFC"/>
          </w:tcPr>
          <w:p>
            <w:pPr>
              <w:spacing w:after="0"/>
              <w:rPr>
                <w:sz w:val="16"/>
                <w:szCs w:val="16"/>
                <w:color w:val="auto"/>
              </w:rPr>
            </w:pPr>
          </w:p>
        </w:tc>
        <w:tc>
          <w:tcPr>
            <w:tcW w:w="120" w:type="dxa"/>
            <w:vAlign w:val="bottom"/>
            <w:shd w:val="clear" w:color="auto" w:fill="FDFDFC"/>
          </w:tcPr>
          <w:p>
            <w:pPr>
              <w:spacing w:after="0"/>
              <w:rPr>
                <w:sz w:val="16"/>
                <w:szCs w:val="16"/>
                <w:color w:val="auto"/>
              </w:rPr>
            </w:pPr>
          </w:p>
        </w:tc>
        <w:tc>
          <w:tcPr>
            <w:tcW w:w="260" w:type="dxa"/>
            <w:vAlign w:val="bottom"/>
            <w:shd w:val="clear" w:color="auto" w:fill="FDFDFC"/>
          </w:tcPr>
          <w:p>
            <w:pPr>
              <w:spacing w:after="0"/>
              <w:rPr>
                <w:sz w:val="16"/>
                <w:szCs w:val="16"/>
                <w:color w:val="auto"/>
              </w:rPr>
            </w:pPr>
          </w:p>
        </w:tc>
        <w:tc>
          <w:tcPr>
            <w:tcW w:w="820" w:type="dxa"/>
            <w:vAlign w:val="bottom"/>
            <w:shd w:val="clear" w:color="auto" w:fill="FDFDFC"/>
          </w:tcPr>
          <w:p>
            <w:pPr>
              <w:spacing w:after="0"/>
              <w:rPr>
                <w:sz w:val="16"/>
                <w:szCs w:val="16"/>
                <w:color w:val="auto"/>
              </w:rPr>
            </w:pPr>
          </w:p>
        </w:tc>
        <w:tc>
          <w:tcPr>
            <w:tcW w:w="120" w:type="dxa"/>
            <w:vAlign w:val="bottom"/>
            <w:shd w:val="clear" w:color="auto" w:fill="FDFDFC"/>
          </w:tcPr>
          <w:p>
            <w:pPr>
              <w:spacing w:after="0"/>
              <w:rPr>
                <w:sz w:val="16"/>
                <w:szCs w:val="16"/>
                <w:color w:val="auto"/>
              </w:rPr>
            </w:pPr>
          </w:p>
        </w:tc>
        <w:tc>
          <w:tcPr>
            <w:tcW w:w="140" w:type="dxa"/>
            <w:vAlign w:val="bottom"/>
            <w:shd w:val="clear" w:color="auto" w:fill="FDFDFC"/>
          </w:tcPr>
          <w:p>
            <w:pPr>
              <w:spacing w:after="0"/>
              <w:rPr>
                <w:sz w:val="16"/>
                <w:szCs w:val="16"/>
                <w:color w:val="auto"/>
              </w:rPr>
            </w:pPr>
          </w:p>
        </w:tc>
        <w:tc>
          <w:tcPr>
            <w:tcW w:w="860" w:type="dxa"/>
            <w:vAlign w:val="bottom"/>
            <w:shd w:val="clear" w:color="auto" w:fill="FDFDFC"/>
          </w:tcPr>
          <w:p>
            <w:pPr>
              <w:spacing w:after="0"/>
              <w:rPr>
                <w:sz w:val="16"/>
                <w:szCs w:val="16"/>
                <w:color w:val="auto"/>
              </w:rPr>
            </w:pPr>
          </w:p>
        </w:tc>
        <w:tc>
          <w:tcPr>
            <w:tcW w:w="120" w:type="dxa"/>
            <w:vAlign w:val="bottom"/>
            <w:shd w:val="clear" w:color="auto" w:fill="FDFDFC"/>
          </w:tcPr>
          <w:p>
            <w:pPr>
              <w:spacing w:after="0"/>
              <w:rPr>
                <w:sz w:val="16"/>
                <w:szCs w:val="16"/>
                <w:color w:val="auto"/>
              </w:rPr>
            </w:pPr>
          </w:p>
        </w:tc>
        <w:tc>
          <w:tcPr>
            <w:tcW w:w="80" w:type="dxa"/>
            <w:vAlign w:val="bottom"/>
            <w:shd w:val="clear" w:color="auto" w:fill="FDFDFC"/>
          </w:tcPr>
          <w:p>
            <w:pPr>
              <w:spacing w:after="0"/>
              <w:rPr>
                <w:sz w:val="16"/>
                <w:szCs w:val="16"/>
                <w:color w:val="auto"/>
              </w:rPr>
            </w:pPr>
          </w:p>
        </w:tc>
        <w:tc>
          <w:tcPr>
            <w:tcW w:w="20" w:type="dxa"/>
            <w:vAlign w:val="bottom"/>
            <w:shd w:val="clear" w:color="auto" w:fill="FDFDFC"/>
          </w:tcPr>
          <w:p>
            <w:pPr>
              <w:spacing w:after="0"/>
              <w:rPr>
                <w:sz w:val="16"/>
                <w:szCs w:val="16"/>
                <w:color w:val="auto"/>
              </w:rPr>
            </w:pPr>
          </w:p>
        </w:tc>
        <w:tc>
          <w:tcPr>
            <w:tcW w:w="140" w:type="dxa"/>
            <w:vAlign w:val="bottom"/>
            <w:shd w:val="clear" w:color="auto" w:fill="FDFDFC"/>
          </w:tcPr>
          <w:p>
            <w:pPr>
              <w:spacing w:after="0"/>
              <w:rPr>
                <w:sz w:val="16"/>
                <w:szCs w:val="16"/>
                <w:color w:val="auto"/>
              </w:rPr>
            </w:pPr>
          </w:p>
        </w:tc>
        <w:tc>
          <w:tcPr>
            <w:tcW w:w="760" w:type="dxa"/>
            <w:vAlign w:val="bottom"/>
            <w:shd w:val="clear" w:color="auto" w:fill="FDFDFC"/>
          </w:tcPr>
          <w:p>
            <w:pPr>
              <w:spacing w:after="0"/>
              <w:rPr>
                <w:sz w:val="16"/>
                <w:szCs w:val="16"/>
                <w:color w:val="auto"/>
              </w:rPr>
            </w:pPr>
          </w:p>
        </w:tc>
        <w:tc>
          <w:tcPr>
            <w:tcW w:w="80" w:type="dxa"/>
            <w:vAlign w:val="bottom"/>
            <w:shd w:val="clear" w:color="auto" w:fill="FDFDFC"/>
          </w:tcPr>
          <w:p>
            <w:pPr>
              <w:spacing w:after="0"/>
              <w:rPr>
                <w:sz w:val="16"/>
                <w:szCs w:val="16"/>
                <w:color w:val="auto"/>
              </w:rPr>
            </w:pPr>
          </w:p>
        </w:tc>
        <w:tc>
          <w:tcPr>
            <w:tcW w:w="20" w:type="dxa"/>
            <w:vAlign w:val="bottom"/>
            <w:shd w:val="clear" w:color="auto" w:fill="FDFDFC"/>
          </w:tcPr>
          <w:p>
            <w:pPr>
              <w:spacing w:after="0"/>
              <w:rPr>
                <w:sz w:val="16"/>
                <w:szCs w:val="16"/>
                <w:color w:val="auto"/>
              </w:rPr>
            </w:pPr>
          </w:p>
        </w:tc>
        <w:tc>
          <w:tcPr>
            <w:tcW w:w="80" w:type="dxa"/>
            <w:vAlign w:val="bottom"/>
            <w:shd w:val="clear" w:color="auto" w:fill="FDFDFC"/>
          </w:tcPr>
          <w:p>
            <w:pPr>
              <w:spacing w:after="0"/>
              <w:rPr>
                <w:sz w:val="16"/>
                <w:szCs w:val="16"/>
                <w:color w:val="auto"/>
              </w:rPr>
            </w:pPr>
          </w:p>
        </w:tc>
        <w:tc>
          <w:tcPr>
            <w:tcW w:w="120" w:type="dxa"/>
            <w:vAlign w:val="bottom"/>
            <w:shd w:val="clear" w:color="auto" w:fill="FDFDFC"/>
          </w:tcPr>
          <w:p>
            <w:pPr>
              <w:spacing w:after="0"/>
              <w:rPr>
                <w:sz w:val="16"/>
                <w:szCs w:val="16"/>
                <w:color w:val="auto"/>
              </w:rPr>
            </w:pPr>
          </w:p>
        </w:tc>
        <w:tc>
          <w:tcPr>
            <w:tcW w:w="60" w:type="dxa"/>
            <w:vAlign w:val="bottom"/>
            <w:shd w:val="clear" w:color="auto" w:fill="FDFDFC"/>
          </w:tcPr>
          <w:p>
            <w:pPr>
              <w:spacing w:after="0"/>
              <w:rPr>
                <w:sz w:val="16"/>
                <w:szCs w:val="16"/>
                <w:color w:val="auto"/>
              </w:rPr>
            </w:pPr>
          </w:p>
        </w:tc>
        <w:tc>
          <w:tcPr>
            <w:tcW w:w="920" w:type="dxa"/>
            <w:vAlign w:val="bottom"/>
            <w:shd w:val="clear" w:color="auto" w:fill="FDFDFC"/>
          </w:tcPr>
          <w:p>
            <w:pPr>
              <w:spacing w:after="0"/>
              <w:rPr>
                <w:sz w:val="16"/>
                <w:szCs w:val="16"/>
                <w:color w:val="auto"/>
              </w:rPr>
            </w:pPr>
          </w:p>
        </w:tc>
        <w:tc>
          <w:tcPr>
            <w:tcW w:w="220" w:type="dxa"/>
            <w:vAlign w:val="bottom"/>
            <w:shd w:val="clear" w:color="auto" w:fill="FDFDFC"/>
          </w:tcPr>
          <w:p>
            <w:pPr>
              <w:spacing w:after="0"/>
              <w:rPr>
                <w:sz w:val="16"/>
                <w:szCs w:val="16"/>
                <w:color w:val="auto"/>
              </w:rPr>
            </w:pPr>
          </w:p>
        </w:tc>
        <w:tc>
          <w:tcPr>
            <w:tcW w:w="160" w:type="dxa"/>
            <w:vAlign w:val="bottom"/>
            <w:shd w:val="clear" w:color="auto" w:fill="FDFDFC"/>
          </w:tcPr>
          <w:p>
            <w:pPr>
              <w:spacing w:after="0"/>
              <w:rPr>
                <w:sz w:val="16"/>
                <w:szCs w:val="16"/>
                <w:color w:val="auto"/>
              </w:rPr>
            </w:pPr>
          </w:p>
        </w:tc>
        <w:tc>
          <w:tcPr>
            <w:tcW w:w="20" w:type="dxa"/>
            <w:vAlign w:val="bottom"/>
            <w:shd w:val="clear" w:color="auto" w:fill="FDFDFC"/>
          </w:tcPr>
          <w:p>
            <w:pPr>
              <w:spacing w:after="0"/>
              <w:rPr>
                <w:sz w:val="16"/>
                <w:szCs w:val="16"/>
                <w:color w:val="auto"/>
              </w:rPr>
            </w:pPr>
          </w:p>
        </w:tc>
        <w:tc>
          <w:tcPr>
            <w:tcW w:w="100" w:type="dxa"/>
            <w:vAlign w:val="bottom"/>
            <w:shd w:val="clear" w:color="auto" w:fill="FDFDFC"/>
          </w:tcPr>
          <w:p>
            <w:pPr>
              <w:spacing w:after="0"/>
              <w:rPr>
                <w:sz w:val="16"/>
                <w:szCs w:val="16"/>
                <w:color w:val="auto"/>
              </w:rPr>
            </w:pPr>
          </w:p>
        </w:tc>
        <w:tc>
          <w:tcPr>
            <w:tcW w:w="760" w:type="dxa"/>
            <w:vAlign w:val="bottom"/>
            <w:shd w:val="clear" w:color="auto" w:fill="FDFDFC"/>
          </w:tcPr>
          <w:p>
            <w:pPr>
              <w:spacing w:after="0"/>
              <w:rPr>
                <w:sz w:val="16"/>
                <w:szCs w:val="16"/>
                <w:color w:val="auto"/>
              </w:rPr>
            </w:pPr>
          </w:p>
        </w:tc>
        <w:tc>
          <w:tcPr>
            <w:tcW w:w="100" w:type="dxa"/>
            <w:vAlign w:val="bottom"/>
            <w:shd w:val="clear" w:color="auto" w:fill="FDFDFC"/>
          </w:tcPr>
          <w:p>
            <w:pPr>
              <w:spacing w:after="0"/>
              <w:rPr>
                <w:sz w:val="16"/>
                <w:szCs w:val="16"/>
                <w:color w:val="auto"/>
              </w:rPr>
            </w:pPr>
          </w:p>
        </w:tc>
        <w:tc>
          <w:tcPr>
            <w:tcW w:w="0" w:type="dxa"/>
            <w:vAlign w:val="bottom"/>
          </w:tcPr>
          <w:p>
            <w:pPr>
              <w:spacing w:after="0"/>
              <w:rPr>
                <w:sz w:val="1"/>
                <w:szCs w:val="1"/>
                <w:color w:val="auto"/>
              </w:rPr>
            </w:pPr>
          </w:p>
        </w:tc>
      </w:tr>
      <w:tr>
        <w:trPr>
          <w:trHeight w:val="171"/>
        </w:trPr>
        <w:tc>
          <w:tcPr>
            <w:tcW w:w="1560" w:type="dxa"/>
            <w:vAlign w:val="bottom"/>
            <w:shd w:val="clear" w:color="auto" w:fill="D0EBF2"/>
          </w:tcPr>
          <w:p>
            <w:pPr>
              <w:spacing w:after="0" w:line="172" w:lineRule="exact"/>
              <w:rPr>
                <w:sz w:val="20"/>
                <w:szCs w:val="20"/>
                <w:color w:val="auto"/>
              </w:rPr>
            </w:pPr>
            <w:r>
              <w:rPr>
                <w:rFonts w:ascii="Times New Roman" w:cs="Times New Roman" w:eastAsia="Times New Roman" w:hAnsi="Times New Roman"/>
                <w:sz w:val="15"/>
                <w:szCs w:val="15"/>
                <w:color w:val="231F20"/>
              </w:rPr>
              <w:t xml:space="preserve">Copper Bidco, LLC </w:t>
            </w:r>
            <w:r>
              <w:rPr>
                <w:rFonts w:ascii="Times New Roman" w:cs="Times New Roman" w:eastAsia="Times New Roman" w:hAnsi="Times New Roman"/>
                <w:sz w:val="9"/>
                <w:szCs w:val="9"/>
                <w:color w:val="231F20"/>
              </w:rPr>
              <w:t>(9)</w:t>
            </w:r>
          </w:p>
        </w:tc>
        <w:tc>
          <w:tcPr>
            <w:tcW w:w="2280" w:type="dxa"/>
            <w:vAlign w:val="bottom"/>
            <w:gridSpan w:val="5"/>
            <w:shd w:val="clear" w:color="auto" w:fill="D0EBF2"/>
          </w:tcPr>
          <w:p>
            <w:pPr>
              <w:ind w:left="80"/>
              <w:spacing w:after="0" w:line="172" w:lineRule="exact"/>
              <w:rPr>
                <w:sz w:val="20"/>
                <w:szCs w:val="20"/>
                <w:color w:val="auto"/>
              </w:rPr>
            </w:pPr>
            <w:r>
              <w:rPr>
                <w:rFonts w:ascii="Times New Roman" w:cs="Times New Roman" w:eastAsia="Times New Roman" w:hAnsi="Times New Roman"/>
                <w:sz w:val="15"/>
                <w:szCs w:val="15"/>
                <w:color w:val="231F20"/>
              </w:rPr>
              <w:t>Trust Certificates (996,958</w:t>
            </w:r>
          </w:p>
        </w:tc>
        <w:tc>
          <w:tcPr>
            <w:tcW w:w="740" w:type="dxa"/>
            <w:vAlign w:val="bottom"/>
            <w:gridSpan w:val="3"/>
            <w:shd w:val="clear" w:color="auto" w:fill="D0EBF2"/>
          </w:tcPr>
          <w:p>
            <w:pPr>
              <w:jc w:val="right"/>
              <w:spacing w:after="0" w:line="172" w:lineRule="exact"/>
              <w:rPr>
                <w:sz w:val="20"/>
                <w:szCs w:val="20"/>
                <w:color w:val="auto"/>
              </w:rPr>
            </w:pPr>
            <w:r>
              <w:rPr>
                <w:rFonts w:ascii="Times New Roman" w:cs="Times New Roman" w:eastAsia="Times New Roman" w:hAnsi="Times New Roman"/>
                <w:sz w:val="15"/>
                <w:szCs w:val="15"/>
                <w:color w:val="231F20"/>
              </w:rPr>
              <w:t>1/30/2021</w:t>
            </w:r>
          </w:p>
        </w:tc>
        <w:tc>
          <w:tcPr>
            <w:tcW w:w="820" w:type="dxa"/>
            <w:vAlign w:val="bottom"/>
            <w:shd w:val="clear" w:color="auto" w:fill="D0EBF2"/>
          </w:tcPr>
          <w:p>
            <w:pPr>
              <w:spacing w:after="0"/>
              <w:rPr>
                <w:sz w:val="14"/>
                <w:szCs w:val="14"/>
                <w:color w:val="auto"/>
              </w:rPr>
            </w:pPr>
          </w:p>
        </w:tc>
        <w:tc>
          <w:tcPr>
            <w:tcW w:w="120" w:type="dxa"/>
            <w:vAlign w:val="bottom"/>
            <w:shd w:val="clear" w:color="auto" w:fill="D0EBF2"/>
          </w:tcPr>
          <w:p>
            <w:pPr>
              <w:spacing w:after="0"/>
              <w:rPr>
                <w:sz w:val="14"/>
                <w:szCs w:val="14"/>
                <w:color w:val="auto"/>
              </w:rPr>
            </w:pPr>
          </w:p>
        </w:tc>
        <w:tc>
          <w:tcPr>
            <w:tcW w:w="140" w:type="dxa"/>
            <w:vAlign w:val="bottom"/>
            <w:shd w:val="clear" w:color="auto" w:fill="D0EBF2"/>
          </w:tcPr>
          <w:p>
            <w:pPr>
              <w:spacing w:after="0"/>
              <w:rPr>
                <w:sz w:val="14"/>
                <w:szCs w:val="14"/>
                <w:color w:val="auto"/>
              </w:rPr>
            </w:pPr>
          </w:p>
        </w:tc>
        <w:tc>
          <w:tcPr>
            <w:tcW w:w="860" w:type="dxa"/>
            <w:vAlign w:val="bottom"/>
            <w:shd w:val="clear" w:color="auto" w:fill="D0EBF2"/>
          </w:tcPr>
          <w:p>
            <w:pPr>
              <w:spacing w:after="0"/>
              <w:rPr>
                <w:sz w:val="14"/>
                <w:szCs w:val="14"/>
                <w:color w:val="auto"/>
              </w:rPr>
            </w:pPr>
          </w:p>
        </w:tc>
        <w:tc>
          <w:tcPr>
            <w:tcW w:w="120" w:type="dxa"/>
            <w:vAlign w:val="bottom"/>
            <w:shd w:val="clear" w:color="auto" w:fill="D0EBF2"/>
          </w:tcPr>
          <w:p>
            <w:pPr>
              <w:spacing w:after="0"/>
              <w:rPr>
                <w:sz w:val="14"/>
                <w:szCs w:val="14"/>
                <w:color w:val="auto"/>
              </w:rPr>
            </w:pPr>
          </w:p>
        </w:tc>
        <w:tc>
          <w:tcPr>
            <w:tcW w:w="80" w:type="dxa"/>
            <w:vAlign w:val="bottom"/>
            <w:shd w:val="clear" w:color="auto" w:fill="D0EBF2"/>
          </w:tcPr>
          <w:p>
            <w:pPr>
              <w:spacing w:after="0"/>
              <w:rPr>
                <w:sz w:val="14"/>
                <w:szCs w:val="14"/>
                <w:color w:val="auto"/>
              </w:rPr>
            </w:pPr>
          </w:p>
        </w:tc>
        <w:tc>
          <w:tcPr>
            <w:tcW w:w="20" w:type="dxa"/>
            <w:vAlign w:val="bottom"/>
            <w:shd w:val="clear" w:color="auto" w:fill="D0EBF2"/>
          </w:tcPr>
          <w:p>
            <w:pPr>
              <w:spacing w:after="0"/>
              <w:rPr>
                <w:sz w:val="14"/>
                <w:szCs w:val="14"/>
                <w:color w:val="auto"/>
              </w:rPr>
            </w:pPr>
          </w:p>
        </w:tc>
        <w:tc>
          <w:tcPr>
            <w:tcW w:w="140" w:type="dxa"/>
            <w:vAlign w:val="bottom"/>
            <w:shd w:val="clear" w:color="auto" w:fill="D0EBF2"/>
          </w:tcPr>
          <w:p>
            <w:pPr>
              <w:spacing w:after="0"/>
              <w:rPr>
                <w:sz w:val="14"/>
                <w:szCs w:val="14"/>
                <w:color w:val="auto"/>
              </w:rPr>
            </w:pPr>
          </w:p>
        </w:tc>
        <w:tc>
          <w:tcPr>
            <w:tcW w:w="760" w:type="dxa"/>
            <w:vAlign w:val="bottom"/>
            <w:shd w:val="clear" w:color="auto" w:fill="D0EBF2"/>
          </w:tcPr>
          <w:p>
            <w:pPr>
              <w:jc w:val="right"/>
              <w:spacing w:after="0" w:line="172" w:lineRule="exact"/>
              <w:rPr>
                <w:sz w:val="20"/>
                <w:szCs w:val="20"/>
                <w:color w:val="auto"/>
              </w:rPr>
            </w:pPr>
            <w:r>
              <w:rPr>
                <w:rFonts w:ascii="Times New Roman" w:cs="Times New Roman" w:eastAsia="Times New Roman" w:hAnsi="Times New Roman"/>
                <w:sz w:val="15"/>
                <w:szCs w:val="15"/>
                <w:color w:val="231F20"/>
              </w:rPr>
              <w:t>1,751</w:t>
            </w:r>
          </w:p>
        </w:tc>
        <w:tc>
          <w:tcPr>
            <w:tcW w:w="80" w:type="dxa"/>
            <w:vAlign w:val="bottom"/>
            <w:shd w:val="clear" w:color="auto" w:fill="D0EBF2"/>
          </w:tcPr>
          <w:p>
            <w:pPr>
              <w:spacing w:after="0"/>
              <w:rPr>
                <w:sz w:val="14"/>
                <w:szCs w:val="14"/>
                <w:color w:val="auto"/>
              </w:rPr>
            </w:pPr>
          </w:p>
        </w:tc>
        <w:tc>
          <w:tcPr>
            <w:tcW w:w="20" w:type="dxa"/>
            <w:vAlign w:val="bottom"/>
            <w:shd w:val="clear" w:color="auto" w:fill="D0EBF2"/>
          </w:tcPr>
          <w:p>
            <w:pPr>
              <w:spacing w:after="0"/>
              <w:rPr>
                <w:sz w:val="14"/>
                <w:szCs w:val="14"/>
                <w:color w:val="auto"/>
              </w:rPr>
            </w:pPr>
          </w:p>
        </w:tc>
        <w:tc>
          <w:tcPr>
            <w:tcW w:w="80" w:type="dxa"/>
            <w:vAlign w:val="bottom"/>
            <w:shd w:val="clear" w:color="auto" w:fill="D0EBF2"/>
          </w:tcPr>
          <w:p>
            <w:pPr>
              <w:spacing w:after="0"/>
              <w:rPr>
                <w:sz w:val="14"/>
                <w:szCs w:val="14"/>
                <w:color w:val="auto"/>
              </w:rPr>
            </w:pPr>
          </w:p>
        </w:tc>
        <w:tc>
          <w:tcPr>
            <w:tcW w:w="120" w:type="dxa"/>
            <w:vAlign w:val="bottom"/>
            <w:shd w:val="clear" w:color="auto" w:fill="D0EBF2"/>
          </w:tcPr>
          <w:p>
            <w:pPr>
              <w:spacing w:after="0"/>
              <w:rPr>
                <w:sz w:val="14"/>
                <w:szCs w:val="14"/>
                <w:color w:val="auto"/>
              </w:rPr>
            </w:pPr>
          </w:p>
        </w:tc>
        <w:tc>
          <w:tcPr>
            <w:tcW w:w="60" w:type="dxa"/>
            <w:vAlign w:val="bottom"/>
            <w:shd w:val="clear" w:color="auto" w:fill="D0EBF2"/>
          </w:tcPr>
          <w:p>
            <w:pPr>
              <w:spacing w:after="0"/>
              <w:rPr>
                <w:sz w:val="14"/>
                <w:szCs w:val="14"/>
                <w:color w:val="auto"/>
              </w:rPr>
            </w:pPr>
          </w:p>
        </w:tc>
        <w:tc>
          <w:tcPr>
            <w:tcW w:w="1300" w:type="dxa"/>
            <w:vAlign w:val="bottom"/>
            <w:gridSpan w:val="3"/>
            <w:shd w:val="clear" w:color="auto" w:fill="D0EBF2"/>
          </w:tcPr>
          <w:p>
            <w:pPr>
              <w:jc w:val="right"/>
              <w:spacing w:after="0" w:line="172" w:lineRule="exact"/>
              <w:rPr>
                <w:sz w:val="20"/>
                <w:szCs w:val="20"/>
                <w:color w:val="auto"/>
              </w:rPr>
            </w:pPr>
            <w:r>
              <w:rPr>
                <w:rFonts w:ascii="Times New Roman" w:cs="Times New Roman" w:eastAsia="Times New Roman" w:hAnsi="Times New Roman"/>
                <w:sz w:val="15"/>
                <w:szCs w:val="15"/>
                <w:color w:val="231F20"/>
              </w:rPr>
              <w:t>11,963</w:t>
            </w:r>
          </w:p>
        </w:tc>
        <w:tc>
          <w:tcPr>
            <w:tcW w:w="980" w:type="dxa"/>
            <w:vAlign w:val="bottom"/>
            <w:gridSpan w:val="4"/>
            <w:shd w:val="clear" w:color="auto" w:fill="D0EBF2"/>
          </w:tcPr>
          <w:p>
            <w:pPr>
              <w:jc w:val="right"/>
              <w:spacing w:after="0" w:line="172" w:lineRule="exact"/>
              <w:rPr>
                <w:sz w:val="20"/>
                <w:szCs w:val="20"/>
                <w:color w:val="auto"/>
              </w:rPr>
            </w:pPr>
            <w:r>
              <w:rPr>
                <w:rFonts w:ascii="Times New Roman" w:cs="Times New Roman" w:eastAsia="Times New Roman" w:hAnsi="Times New Roman"/>
                <w:sz w:val="15"/>
                <w:szCs w:val="15"/>
                <w:color w:val="231F20"/>
              </w:rPr>
              <w:t>0.8%</w:t>
            </w:r>
          </w:p>
        </w:tc>
        <w:tc>
          <w:tcPr>
            <w:tcW w:w="0" w:type="dxa"/>
            <w:vAlign w:val="bottom"/>
          </w:tcPr>
          <w:p>
            <w:pPr>
              <w:spacing w:after="0"/>
              <w:rPr>
                <w:sz w:val="1"/>
                <w:szCs w:val="1"/>
                <w:color w:val="auto"/>
              </w:rPr>
            </w:pPr>
          </w:p>
        </w:tc>
      </w:tr>
      <w:tr>
        <w:trPr>
          <w:trHeight w:val="189"/>
        </w:trPr>
        <w:tc>
          <w:tcPr>
            <w:tcW w:w="1560" w:type="dxa"/>
            <w:vAlign w:val="bottom"/>
            <w:shd w:val="clear" w:color="auto" w:fill="D0EBF2"/>
          </w:tcPr>
          <w:p>
            <w:pPr>
              <w:spacing w:after="0"/>
              <w:rPr>
                <w:sz w:val="16"/>
                <w:szCs w:val="16"/>
                <w:color w:val="auto"/>
              </w:rPr>
            </w:pPr>
          </w:p>
        </w:tc>
        <w:tc>
          <w:tcPr>
            <w:tcW w:w="1620" w:type="dxa"/>
            <w:vAlign w:val="bottom"/>
            <w:gridSpan w:val="4"/>
            <w:shd w:val="clear" w:color="auto" w:fill="D0EBF2"/>
          </w:tcPr>
          <w:p>
            <w:pPr>
              <w:ind w:left="80"/>
              <w:spacing w:after="0"/>
              <w:rPr>
                <w:sz w:val="20"/>
                <w:szCs w:val="20"/>
                <w:color w:val="auto"/>
              </w:rPr>
            </w:pPr>
            <w:r>
              <w:rPr>
                <w:rFonts w:ascii="Times New Roman" w:cs="Times New Roman" w:eastAsia="Times New Roman" w:hAnsi="Times New Roman"/>
                <w:sz w:val="15"/>
                <w:szCs w:val="15"/>
                <w:color w:val="231F20"/>
              </w:rPr>
              <w:t>Certificates)</w:t>
            </w:r>
          </w:p>
        </w:tc>
        <w:tc>
          <w:tcPr>
            <w:tcW w:w="660" w:type="dxa"/>
            <w:vAlign w:val="bottom"/>
            <w:shd w:val="clear" w:color="auto" w:fill="D0EBF2"/>
          </w:tcPr>
          <w:p>
            <w:pPr>
              <w:spacing w:after="0"/>
              <w:rPr>
                <w:sz w:val="16"/>
                <w:szCs w:val="16"/>
                <w:color w:val="auto"/>
              </w:rPr>
            </w:pPr>
          </w:p>
        </w:tc>
        <w:tc>
          <w:tcPr>
            <w:tcW w:w="360" w:type="dxa"/>
            <w:vAlign w:val="bottom"/>
            <w:shd w:val="clear" w:color="auto" w:fill="D0EBF2"/>
          </w:tcPr>
          <w:p>
            <w:pPr>
              <w:spacing w:after="0"/>
              <w:rPr>
                <w:sz w:val="16"/>
                <w:szCs w:val="16"/>
                <w:color w:val="auto"/>
              </w:rPr>
            </w:pPr>
          </w:p>
        </w:tc>
        <w:tc>
          <w:tcPr>
            <w:tcW w:w="120" w:type="dxa"/>
            <w:vAlign w:val="bottom"/>
            <w:shd w:val="clear" w:color="auto" w:fill="D0EBF2"/>
          </w:tcPr>
          <w:p>
            <w:pPr>
              <w:spacing w:after="0"/>
              <w:rPr>
                <w:sz w:val="16"/>
                <w:szCs w:val="16"/>
                <w:color w:val="auto"/>
              </w:rPr>
            </w:pPr>
          </w:p>
        </w:tc>
        <w:tc>
          <w:tcPr>
            <w:tcW w:w="260" w:type="dxa"/>
            <w:vAlign w:val="bottom"/>
            <w:shd w:val="clear" w:color="auto" w:fill="D0EBF2"/>
          </w:tcPr>
          <w:p>
            <w:pPr>
              <w:spacing w:after="0"/>
              <w:rPr>
                <w:sz w:val="16"/>
                <w:szCs w:val="16"/>
                <w:color w:val="auto"/>
              </w:rPr>
            </w:pPr>
          </w:p>
        </w:tc>
        <w:tc>
          <w:tcPr>
            <w:tcW w:w="820" w:type="dxa"/>
            <w:vAlign w:val="bottom"/>
            <w:shd w:val="clear" w:color="auto" w:fill="D0EBF2"/>
          </w:tcPr>
          <w:p>
            <w:pPr>
              <w:spacing w:after="0"/>
              <w:rPr>
                <w:sz w:val="16"/>
                <w:szCs w:val="16"/>
                <w:color w:val="auto"/>
              </w:rPr>
            </w:pPr>
          </w:p>
        </w:tc>
        <w:tc>
          <w:tcPr>
            <w:tcW w:w="120" w:type="dxa"/>
            <w:vAlign w:val="bottom"/>
            <w:shd w:val="clear" w:color="auto" w:fill="D0EBF2"/>
          </w:tcPr>
          <w:p>
            <w:pPr>
              <w:spacing w:after="0"/>
              <w:rPr>
                <w:sz w:val="16"/>
                <w:szCs w:val="16"/>
                <w:color w:val="auto"/>
              </w:rPr>
            </w:pPr>
          </w:p>
        </w:tc>
        <w:tc>
          <w:tcPr>
            <w:tcW w:w="140" w:type="dxa"/>
            <w:vAlign w:val="bottom"/>
            <w:shd w:val="clear" w:color="auto" w:fill="D0EBF2"/>
          </w:tcPr>
          <w:p>
            <w:pPr>
              <w:spacing w:after="0"/>
              <w:rPr>
                <w:sz w:val="16"/>
                <w:szCs w:val="16"/>
                <w:color w:val="auto"/>
              </w:rPr>
            </w:pPr>
          </w:p>
        </w:tc>
        <w:tc>
          <w:tcPr>
            <w:tcW w:w="860" w:type="dxa"/>
            <w:vAlign w:val="bottom"/>
            <w:shd w:val="clear" w:color="auto" w:fill="D0EBF2"/>
          </w:tcPr>
          <w:p>
            <w:pPr>
              <w:spacing w:after="0"/>
              <w:rPr>
                <w:sz w:val="16"/>
                <w:szCs w:val="16"/>
                <w:color w:val="auto"/>
              </w:rPr>
            </w:pPr>
          </w:p>
        </w:tc>
        <w:tc>
          <w:tcPr>
            <w:tcW w:w="120" w:type="dxa"/>
            <w:vAlign w:val="bottom"/>
            <w:shd w:val="clear" w:color="auto" w:fill="D0EBF2"/>
          </w:tcPr>
          <w:p>
            <w:pPr>
              <w:spacing w:after="0"/>
              <w:rPr>
                <w:sz w:val="16"/>
                <w:szCs w:val="16"/>
                <w:color w:val="auto"/>
              </w:rPr>
            </w:pPr>
          </w:p>
        </w:tc>
        <w:tc>
          <w:tcPr>
            <w:tcW w:w="80" w:type="dxa"/>
            <w:vAlign w:val="bottom"/>
            <w:shd w:val="clear" w:color="auto" w:fill="D0EBF2"/>
          </w:tcPr>
          <w:p>
            <w:pPr>
              <w:spacing w:after="0"/>
              <w:rPr>
                <w:sz w:val="16"/>
                <w:szCs w:val="16"/>
                <w:color w:val="auto"/>
              </w:rPr>
            </w:pPr>
          </w:p>
        </w:tc>
        <w:tc>
          <w:tcPr>
            <w:tcW w:w="20" w:type="dxa"/>
            <w:vAlign w:val="bottom"/>
            <w:shd w:val="clear" w:color="auto" w:fill="D0EBF2"/>
          </w:tcPr>
          <w:p>
            <w:pPr>
              <w:spacing w:after="0"/>
              <w:rPr>
                <w:sz w:val="16"/>
                <w:szCs w:val="16"/>
                <w:color w:val="auto"/>
              </w:rPr>
            </w:pPr>
          </w:p>
        </w:tc>
        <w:tc>
          <w:tcPr>
            <w:tcW w:w="140" w:type="dxa"/>
            <w:vAlign w:val="bottom"/>
            <w:shd w:val="clear" w:color="auto" w:fill="D0EBF2"/>
          </w:tcPr>
          <w:p>
            <w:pPr>
              <w:spacing w:after="0"/>
              <w:rPr>
                <w:sz w:val="16"/>
                <w:szCs w:val="16"/>
                <w:color w:val="auto"/>
              </w:rPr>
            </w:pPr>
          </w:p>
        </w:tc>
        <w:tc>
          <w:tcPr>
            <w:tcW w:w="760" w:type="dxa"/>
            <w:vAlign w:val="bottom"/>
            <w:shd w:val="clear" w:color="auto" w:fill="D0EBF2"/>
          </w:tcPr>
          <w:p>
            <w:pPr>
              <w:spacing w:after="0"/>
              <w:rPr>
                <w:sz w:val="16"/>
                <w:szCs w:val="16"/>
                <w:color w:val="auto"/>
              </w:rPr>
            </w:pPr>
          </w:p>
        </w:tc>
        <w:tc>
          <w:tcPr>
            <w:tcW w:w="80" w:type="dxa"/>
            <w:vAlign w:val="bottom"/>
            <w:shd w:val="clear" w:color="auto" w:fill="D0EBF2"/>
          </w:tcPr>
          <w:p>
            <w:pPr>
              <w:spacing w:after="0"/>
              <w:rPr>
                <w:sz w:val="16"/>
                <w:szCs w:val="16"/>
                <w:color w:val="auto"/>
              </w:rPr>
            </w:pPr>
          </w:p>
        </w:tc>
        <w:tc>
          <w:tcPr>
            <w:tcW w:w="20" w:type="dxa"/>
            <w:vAlign w:val="bottom"/>
            <w:shd w:val="clear" w:color="auto" w:fill="D0EBF2"/>
          </w:tcPr>
          <w:p>
            <w:pPr>
              <w:spacing w:after="0"/>
              <w:rPr>
                <w:sz w:val="16"/>
                <w:szCs w:val="16"/>
                <w:color w:val="auto"/>
              </w:rPr>
            </w:pPr>
          </w:p>
        </w:tc>
        <w:tc>
          <w:tcPr>
            <w:tcW w:w="80" w:type="dxa"/>
            <w:vAlign w:val="bottom"/>
            <w:shd w:val="clear" w:color="auto" w:fill="D0EBF2"/>
          </w:tcPr>
          <w:p>
            <w:pPr>
              <w:spacing w:after="0"/>
              <w:rPr>
                <w:sz w:val="16"/>
                <w:szCs w:val="16"/>
                <w:color w:val="auto"/>
              </w:rPr>
            </w:pPr>
          </w:p>
        </w:tc>
        <w:tc>
          <w:tcPr>
            <w:tcW w:w="120" w:type="dxa"/>
            <w:vAlign w:val="bottom"/>
            <w:shd w:val="clear" w:color="auto" w:fill="D0EBF2"/>
          </w:tcPr>
          <w:p>
            <w:pPr>
              <w:spacing w:after="0"/>
              <w:rPr>
                <w:sz w:val="16"/>
                <w:szCs w:val="16"/>
                <w:color w:val="auto"/>
              </w:rPr>
            </w:pPr>
          </w:p>
        </w:tc>
        <w:tc>
          <w:tcPr>
            <w:tcW w:w="60" w:type="dxa"/>
            <w:vAlign w:val="bottom"/>
            <w:shd w:val="clear" w:color="auto" w:fill="D0EBF2"/>
          </w:tcPr>
          <w:p>
            <w:pPr>
              <w:spacing w:after="0"/>
              <w:rPr>
                <w:sz w:val="16"/>
                <w:szCs w:val="16"/>
                <w:color w:val="auto"/>
              </w:rPr>
            </w:pPr>
          </w:p>
        </w:tc>
        <w:tc>
          <w:tcPr>
            <w:tcW w:w="920" w:type="dxa"/>
            <w:vAlign w:val="bottom"/>
            <w:shd w:val="clear" w:color="auto" w:fill="D0EBF2"/>
          </w:tcPr>
          <w:p>
            <w:pPr>
              <w:spacing w:after="0"/>
              <w:rPr>
                <w:sz w:val="16"/>
                <w:szCs w:val="16"/>
                <w:color w:val="auto"/>
              </w:rPr>
            </w:pPr>
          </w:p>
        </w:tc>
        <w:tc>
          <w:tcPr>
            <w:tcW w:w="220" w:type="dxa"/>
            <w:vAlign w:val="bottom"/>
            <w:shd w:val="clear" w:color="auto" w:fill="D0EBF2"/>
          </w:tcPr>
          <w:p>
            <w:pPr>
              <w:spacing w:after="0"/>
              <w:rPr>
                <w:sz w:val="16"/>
                <w:szCs w:val="16"/>
                <w:color w:val="auto"/>
              </w:rPr>
            </w:pPr>
          </w:p>
        </w:tc>
        <w:tc>
          <w:tcPr>
            <w:tcW w:w="160" w:type="dxa"/>
            <w:vAlign w:val="bottom"/>
            <w:shd w:val="clear" w:color="auto" w:fill="D0EBF2"/>
          </w:tcPr>
          <w:p>
            <w:pPr>
              <w:spacing w:after="0"/>
              <w:rPr>
                <w:sz w:val="16"/>
                <w:szCs w:val="16"/>
                <w:color w:val="auto"/>
              </w:rPr>
            </w:pPr>
          </w:p>
        </w:tc>
        <w:tc>
          <w:tcPr>
            <w:tcW w:w="20" w:type="dxa"/>
            <w:vAlign w:val="bottom"/>
            <w:shd w:val="clear" w:color="auto" w:fill="D0EBF2"/>
          </w:tcPr>
          <w:p>
            <w:pPr>
              <w:spacing w:after="0"/>
              <w:rPr>
                <w:sz w:val="16"/>
                <w:szCs w:val="16"/>
                <w:color w:val="auto"/>
              </w:rPr>
            </w:pPr>
          </w:p>
        </w:tc>
        <w:tc>
          <w:tcPr>
            <w:tcW w:w="100" w:type="dxa"/>
            <w:vAlign w:val="bottom"/>
            <w:shd w:val="clear" w:color="auto" w:fill="D0EBF2"/>
          </w:tcPr>
          <w:p>
            <w:pPr>
              <w:spacing w:after="0"/>
              <w:rPr>
                <w:sz w:val="16"/>
                <w:szCs w:val="16"/>
                <w:color w:val="auto"/>
              </w:rPr>
            </w:pPr>
          </w:p>
        </w:tc>
        <w:tc>
          <w:tcPr>
            <w:tcW w:w="760" w:type="dxa"/>
            <w:vAlign w:val="bottom"/>
            <w:shd w:val="clear" w:color="auto" w:fill="D0EBF2"/>
          </w:tcPr>
          <w:p>
            <w:pPr>
              <w:spacing w:after="0"/>
              <w:rPr>
                <w:sz w:val="16"/>
                <w:szCs w:val="16"/>
                <w:color w:val="auto"/>
              </w:rPr>
            </w:pPr>
          </w:p>
        </w:tc>
        <w:tc>
          <w:tcPr>
            <w:tcW w:w="100" w:type="dxa"/>
            <w:vAlign w:val="bottom"/>
            <w:shd w:val="clear" w:color="auto" w:fill="D0EBF2"/>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1560" w:type="dxa"/>
            <w:vAlign w:val="bottom"/>
            <w:shd w:val="clear" w:color="auto" w:fill="FDFDFC"/>
          </w:tcPr>
          <w:p>
            <w:pPr>
              <w:spacing w:after="0"/>
              <w:rPr>
                <w:sz w:val="20"/>
                <w:szCs w:val="20"/>
                <w:color w:val="auto"/>
              </w:rPr>
            </w:pPr>
            <w:r>
              <w:rPr>
                <w:rFonts w:ascii="Times New Roman" w:cs="Times New Roman" w:eastAsia="Times New Roman" w:hAnsi="Times New Roman"/>
                <w:sz w:val="15"/>
                <w:szCs w:val="15"/>
                <w:color w:val="231F20"/>
              </w:rPr>
              <w:t xml:space="preserve">Neuintel, LLC </w:t>
            </w:r>
            <w:r>
              <w:rPr>
                <w:rFonts w:ascii="Times New Roman" w:cs="Times New Roman" w:eastAsia="Times New Roman" w:hAnsi="Times New Roman"/>
                <w:sz w:val="9"/>
                <w:szCs w:val="9"/>
                <w:color w:val="231F20"/>
              </w:rPr>
              <w:t>(11)(13)</w:t>
            </w:r>
          </w:p>
        </w:tc>
        <w:tc>
          <w:tcPr>
            <w:tcW w:w="2280" w:type="dxa"/>
            <w:vAlign w:val="bottom"/>
            <w:gridSpan w:val="5"/>
            <w:shd w:val="clear" w:color="auto" w:fill="FDFDFC"/>
          </w:tcPr>
          <w:p>
            <w:pPr>
              <w:ind w:left="80"/>
              <w:spacing w:after="0"/>
              <w:rPr>
                <w:sz w:val="20"/>
                <w:szCs w:val="20"/>
                <w:color w:val="auto"/>
              </w:rPr>
            </w:pPr>
            <w:r>
              <w:rPr>
                <w:rFonts w:ascii="Times New Roman" w:cs="Times New Roman" w:eastAsia="Times New Roman" w:hAnsi="Times New Roman"/>
                <w:sz w:val="15"/>
                <w:szCs w:val="15"/>
                <w:color w:val="231F20"/>
              </w:rPr>
              <w:t>Class A Units (1,176,494 units)</w:t>
            </w:r>
          </w:p>
        </w:tc>
        <w:tc>
          <w:tcPr>
            <w:tcW w:w="740" w:type="dxa"/>
            <w:vAlign w:val="bottom"/>
            <w:gridSpan w:val="3"/>
            <w:shd w:val="clear" w:color="auto" w:fill="FDFDFC"/>
          </w:tcPr>
          <w:p>
            <w:pPr>
              <w:jc w:val="right"/>
              <w:spacing w:after="0"/>
              <w:rPr>
                <w:sz w:val="20"/>
                <w:szCs w:val="20"/>
                <w:color w:val="auto"/>
              </w:rPr>
            </w:pPr>
            <w:r>
              <w:rPr>
                <w:rFonts w:ascii="Times New Roman" w:cs="Times New Roman" w:eastAsia="Times New Roman" w:hAnsi="Times New Roman"/>
                <w:sz w:val="15"/>
                <w:szCs w:val="15"/>
                <w:color w:val="231F20"/>
              </w:rPr>
              <w:t>12/20/2021</w:t>
            </w:r>
          </w:p>
        </w:tc>
        <w:tc>
          <w:tcPr>
            <w:tcW w:w="820" w:type="dxa"/>
            <w:vAlign w:val="bottom"/>
            <w:shd w:val="clear" w:color="auto" w:fill="FDFDFC"/>
          </w:tcPr>
          <w:p>
            <w:pPr>
              <w:spacing w:after="0"/>
              <w:rPr>
                <w:sz w:val="16"/>
                <w:szCs w:val="16"/>
                <w:color w:val="auto"/>
              </w:rPr>
            </w:pPr>
          </w:p>
        </w:tc>
        <w:tc>
          <w:tcPr>
            <w:tcW w:w="120" w:type="dxa"/>
            <w:vAlign w:val="bottom"/>
            <w:shd w:val="clear" w:color="auto" w:fill="FDFDFC"/>
          </w:tcPr>
          <w:p>
            <w:pPr>
              <w:spacing w:after="0"/>
              <w:rPr>
                <w:sz w:val="16"/>
                <w:szCs w:val="16"/>
                <w:color w:val="auto"/>
              </w:rPr>
            </w:pPr>
          </w:p>
        </w:tc>
        <w:tc>
          <w:tcPr>
            <w:tcW w:w="140" w:type="dxa"/>
            <w:vAlign w:val="bottom"/>
            <w:shd w:val="clear" w:color="auto" w:fill="FDFDFC"/>
          </w:tcPr>
          <w:p>
            <w:pPr>
              <w:spacing w:after="0"/>
              <w:rPr>
                <w:sz w:val="16"/>
                <w:szCs w:val="16"/>
                <w:color w:val="auto"/>
              </w:rPr>
            </w:pPr>
          </w:p>
        </w:tc>
        <w:tc>
          <w:tcPr>
            <w:tcW w:w="860" w:type="dxa"/>
            <w:vAlign w:val="bottom"/>
            <w:shd w:val="clear" w:color="auto" w:fill="FDFDFC"/>
          </w:tcPr>
          <w:p>
            <w:pPr>
              <w:spacing w:after="0"/>
              <w:rPr>
                <w:sz w:val="16"/>
                <w:szCs w:val="16"/>
                <w:color w:val="auto"/>
              </w:rPr>
            </w:pPr>
          </w:p>
        </w:tc>
        <w:tc>
          <w:tcPr>
            <w:tcW w:w="120" w:type="dxa"/>
            <w:vAlign w:val="bottom"/>
            <w:shd w:val="clear" w:color="auto" w:fill="FDFDFC"/>
          </w:tcPr>
          <w:p>
            <w:pPr>
              <w:spacing w:after="0"/>
              <w:rPr>
                <w:sz w:val="16"/>
                <w:szCs w:val="16"/>
                <w:color w:val="auto"/>
              </w:rPr>
            </w:pPr>
          </w:p>
        </w:tc>
        <w:tc>
          <w:tcPr>
            <w:tcW w:w="80" w:type="dxa"/>
            <w:vAlign w:val="bottom"/>
            <w:shd w:val="clear" w:color="auto" w:fill="FDFDFC"/>
          </w:tcPr>
          <w:p>
            <w:pPr>
              <w:spacing w:after="0"/>
              <w:rPr>
                <w:sz w:val="16"/>
                <w:szCs w:val="16"/>
                <w:color w:val="auto"/>
              </w:rPr>
            </w:pPr>
          </w:p>
        </w:tc>
        <w:tc>
          <w:tcPr>
            <w:tcW w:w="20" w:type="dxa"/>
            <w:vAlign w:val="bottom"/>
            <w:shd w:val="clear" w:color="auto" w:fill="FDFDFC"/>
          </w:tcPr>
          <w:p>
            <w:pPr>
              <w:spacing w:after="0"/>
              <w:rPr>
                <w:sz w:val="16"/>
                <w:szCs w:val="16"/>
                <w:color w:val="auto"/>
              </w:rPr>
            </w:pPr>
          </w:p>
        </w:tc>
        <w:tc>
          <w:tcPr>
            <w:tcW w:w="140" w:type="dxa"/>
            <w:vAlign w:val="bottom"/>
            <w:shd w:val="clear" w:color="auto" w:fill="FDFDFC"/>
          </w:tcPr>
          <w:p>
            <w:pPr>
              <w:spacing w:after="0"/>
              <w:rPr>
                <w:sz w:val="16"/>
                <w:szCs w:val="16"/>
                <w:color w:val="auto"/>
              </w:rPr>
            </w:pPr>
          </w:p>
        </w:tc>
        <w:tc>
          <w:tcPr>
            <w:tcW w:w="760" w:type="dxa"/>
            <w:vAlign w:val="bottom"/>
            <w:shd w:val="clear" w:color="auto" w:fill="FDFDFC"/>
          </w:tcPr>
          <w:p>
            <w:pPr>
              <w:jc w:val="right"/>
              <w:spacing w:after="0"/>
              <w:rPr>
                <w:sz w:val="20"/>
                <w:szCs w:val="20"/>
                <w:color w:val="auto"/>
              </w:rPr>
            </w:pPr>
            <w:r>
              <w:rPr>
                <w:rFonts w:ascii="Times New Roman" w:cs="Times New Roman" w:eastAsia="Times New Roman" w:hAnsi="Times New Roman"/>
                <w:sz w:val="15"/>
                <w:szCs w:val="15"/>
                <w:color w:val="231F20"/>
              </w:rPr>
              <w:t>3,000</w:t>
            </w:r>
          </w:p>
        </w:tc>
        <w:tc>
          <w:tcPr>
            <w:tcW w:w="80" w:type="dxa"/>
            <w:vAlign w:val="bottom"/>
            <w:shd w:val="clear" w:color="auto" w:fill="FDFDFC"/>
          </w:tcPr>
          <w:p>
            <w:pPr>
              <w:spacing w:after="0"/>
              <w:rPr>
                <w:sz w:val="16"/>
                <w:szCs w:val="16"/>
                <w:color w:val="auto"/>
              </w:rPr>
            </w:pPr>
          </w:p>
        </w:tc>
        <w:tc>
          <w:tcPr>
            <w:tcW w:w="20" w:type="dxa"/>
            <w:vAlign w:val="bottom"/>
            <w:shd w:val="clear" w:color="auto" w:fill="FDFDFC"/>
          </w:tcPr>
          <w:p>
            <w:pPr>
              <w:spacing w:after="0"/>
              <w:rPr>
                <w:sz w:val="16"/>
                <w:szCs w:val="16"/>
                <w:color w:val="auto"/>
              </w:rPr>
            </w:pPr>
          </w:p>
        </w:tc>
        <w:tc>
          <w:tcPr>
            <w:tcW w:w="80" w:type="dxa"/>
            <w:vAlign w:val="bottom"/>
            <w:shd w:val="clear" w:color="auto" w:fill="FDFDFC"/>
          </w:tcPr>
          <w:p>
            <w:pPr>
              <w:spacing w:after="0"/>
              <w:rPr>
                <w:sz w:val="16"/>
                <w:szCs w:val="16"/>
                <w:color w:val="auto"/>
              </w:rPr>
            </w:pPr>
          </w:p>
        </w:tc>
        <w:tc>
          <w:tcPr>
            <w:tcW w:w="120" w:type="dxa"/>
            <w:vAlign w:val="bottom"/>
            <w:shd w:val="clear" w:color="auto" w:fill="FDFDFC"/>
          </w:tcPr>
          <w:p>
            <w:pPr>
              <w:spacing w:after="0"/>
              <w:rPr>
                <w:sz w:val="16"/>
                <w:szCs w:val="16"/>
                <w:color w:val="auto"/>
              </w:rPr>
            </w:pPr>
          </w:p>
        </w:tc>
        <w:tc>
          <w:tcPr>
            <w:tcW w:w="60" w:type="dxa"/>
            <w:vAlign w:val="bottom"/>
            <w:shd w:val="clear" w:color="auto" w:fill="FDFDFC"/>
          </w:tcPr>
          <w:p>
            <w:pPr>
              <w:spacing w:after="0"/>
              <w:rPr>
                <w:sz w:val="16"/>
                <w:szCs w:val="16"/>
                <w:color w:val="auto"/>
              </w:rPr>
            </w:pPr>
          </w:p>
        </w:tc>
        <w:tc>
          <w:tcPr>
            <w:tcW w:w="920" w:type="dxa"/>
            <w:vAlign w:val="bottom"/>
            <w:shd w:val="clear" w:color="auto" w:fill="FDFDFC"/>
          </w:tcPr>
          <w:p>
            <w:pPr>
              <w:spacing w:after="0"/>
              <w:rPr>
                <w:sz w:val="16"/>
                <w:szCs w:val="16"/>
                <w:color w:val="auto"/>
              </w:rPr>
            </w:pPr>
          </w:p>
        </w:tc>
        <w:tc>
          <w:tcPr>
            <w:tcW w:w="380" w:type="dxa"/>
            <w:vAlign w:val="bottom"/>
            <w:gridSpan w:val="2"/>
            <w:shd w:val="clear" w:color="auto" w:fill="FDFDFC"/>
          </w:tcPr>
          <w:p>
            <w:pPr>
              <w:jc w:val="right"/>
              <w:spacing w:after="0"/>
              <w:rPr>
                <w:sz w:val="20"/>
                <w:szCs w:val="20"/>
                <w:color w:val="auto"/>
              </w:rPr>
            </w:pPr>
            <w:r>
              <w:rPr>
                <w:rFonts w:ascii="Times New Roman" w:cs="Times New Roman" w:eastAsia="Times New Roman" w:hAnsi="Times New Roman"/>
                <w:sz w:val="15"/>
                <w:szCs w:val="15"/>
                <w:color w:val="231F20"/>
              </w:rPr>
              <w:t>578</w:t>
            </w:r>
          </w:p>
        </w:tc>
        <w:tc>
          <w:tcPr>
            <w:tcW w:w="980" w:type="dxa"/>
            <w:vAlign w:val="bottom"/>
            <w:gridSpan w:val="4"/>
            <w:shd w:val="clear" w:color="auto" w:fill="FDFDFC"/>
          </w:tcPr>
          <w:p>
            <w:pPr>
              <w:jc w:val="right"/>
              <w:spacing w:after="0"/>
              <w:rPr>
                <w:sz w:val="20"/>
                <w:szCs w:val="20"/>
                <w:color w:val="auto"/>
              </w:rPr>
            </w:pPr>
            <w:r>
              <w:rPr>
                <w:rFonts w:ascii="Times New Roman" w:cs="Times New Roman" w:eastAsia="Times New Roman" w:hAnsi="Times New Roman"/>
                <w:sz w:val="15"/>
                <w:szCs w:val="15"/>
                <w:color w:val="231F20"/>
              </w:rPr>
              <w:t>0.0%</w:t>
            </w:r>
          </w:p>
        </w:tc>
        <w:tc>
          <w:tcPr>
            <w:tcW w:w="0" w:type="dxa"/>
            <w:vAlign w:val="bottom"/>
          </w:tcPr>
          <w:p>
            <w:pPr>
              <w:spacing w:after="0"/>
              <w:rPr>
                <w:sz w:val="1"/>
                <w:szCs w:val="1"/>
                <w:color w:val="auto"/>
              </w:rPr>
            </w:pPr>
          </w:p>
        </w:tc>
      </w:tr>
      <w:tr>
        <w:trPr>
          <w:trHeight w:val="201"/>
        </w:trPr>
        <w:tc>
          <w:tcPr>
            <w:tcW w:w="1560" w:type="dxa"/>
            <w:vAlign w:val="bottom"/>
            <w:tcBorders>
              <w:top w:val="single" w:sz="8" w:color="D0EBF2"/>
              <w:bottom w:val="single" w:sz="8" w:color="D0EBF2"/>
            </w:tcBorders>
            <w:shd w:val="clear" w:color="auto" w:fill="D0EBF2"/>
          </w:tcPr>
          <w:p>
            <w:pPr>
              <w:spacing w:after="0"/>
              <w:rPr>
                <w:sz w:val="17"/>
                <w:szCs w:val="17"/>
                <w:color w:val="auto"/>
              </w:rPr>
            </w:pPr>
          </w:p>
        </w:tc>
        <w:tc>
          <w:tcPr>
            <w:tcW w:w="340" w:type="dxa"/>
            <w:vAlign w:val="bottom"/>
            <w:tcBorders>
              <w:top w:val="single" w:sz="8" w:color="D0EBF2"/>
              <w:bottom w:val="single" w:sz="8" w:color="D0EBF2"/>
            </w:tcBorders>
            <w:shd w:val="clear" w:color="auto" w:fill="D0EBF2"/>
          </w:tcPr>
          <w:p>
            <w:pPr>
              <w:spacing w:after="0"/>
              <w:rPr>
                <w:sz w:val="17"/>
                <w:szCs w:val="17"/>
                <w:color w:val="auto"/>
              </w:rPr>
            </w:pPr>
          </w:p>
        </w:tc>
        <w:tc>
          <w:tcPr>
            <w:tcW w:w="1100" w:type="dxa"/>
            <w:vAlign w:val="bottom"/>
            <w:tcBorders>
              <w:top w:val="single" w:sz="8" w:color="D0EBF2"/>
              <w:bottom w:val="single" w:sz="8" w:color="D0EBF2"/>
            </w:tcBorders>
            <w:shd w:val="clear" w:color="auto" w:fill="D0EBF2"/>
          </w:tcPr>
          <w:p>
            <w:pPr>
              <w:spacing w:after="0"/>
              <w:rPr>
                <w:sz w:val="17"/>
                <w:szCs w:val="17"/>
                <w:color w:val="auto"/>
              </w:rPr>
            </w:pPr>
          </w:p>
        </w:tc>
        <w:tc>
          <w:tcPr>
            <w:tcW w:w="120" w:type="dxa"/>
            <w:vAlign w:val="bottom"/>
            <w:tcBorders>
              <w:top w:val="single" w:sz="8" w:color="D0EBF2"/>
              <w:bottom w:val="single" w:sz="8" w:color="D0EBF2"/>
            </w:tcBorders>
            <w:shd w:val="clear" w:color="auto" w:fill="D0EBF2"/>
          </w:tcPr>
          <w:p>
            <w:pPr>
              <w:spacing w:after="0"/>
              <w:rPr>
                <w:sz w:val="17"/>
                <w:szCs w:val="17"/>
                <w:color w:val="auto"/>
              </w:rPr>
            </w:pPr>
          </w:p>
        </w:tc>
        <w:tc>
          <w:tcPr>
            <w:tcW w:w="60" w:type="dxa"/>
            <w:vAlign w:val="bottom"/>
            <w:tcBorders>
              <w:top w:val="single" w:sz="8" w:color="D0EBF2"/>
              <w:bottom w:val="single" w:sz="8" w:color="D0EBF2"/>
            </w:tcBorders>
            <w:shd w:val="clear" w:color="auto" w:fill="D0EBF2"/>
          </w:tcPr>
          <w:p>
            <w:pPr>
              <w:spacing w:after="0"/>
              <w:rPr>
                <w:sz w:val="17"/>
                <w:szCs w:val="17"/>
                <w:color w:val="auto"/>
              </w:rPr>
            </w:pPr>
          </w:p>
        </w:tc>
        <w:tc>
          <w:tcPr>
            <w:tcW w:w="660" w:type="dxa"/>
            <w:vAlign w:val="bottom"/>
            <w:tcBorders>
              <w:top w:val="single" w:sz="8" w:color="D0EBF2"/>
              <w:bottom w:val="single" w:sz="8" w:color="D0EBF2"/>
            </w:tcBorders>
            <w:shd w:val="clear" w:color="auto" w:fill="D0EBF2"/>
          </w:tcPr>
          <w:p>
            <w:pPr>
              <w:spacing w:after="0"/>
              <w:rPr>
                <w:sz w:val="17"/>
                <w:szCs w:val="17"/>
                <w:color w:val="auto"/>
              </w:rPr>
            </w:pPr>
          </w:p>
        </w:tc>
        <w:tc>
          <w:tcPr>
            <w:tcW w:w="360" w:type="dxa"/>
            <w:vAlign w:val="bottom"/>
            <w:tcBorders>
              <w:top w:val="single" w:sz="8" w:color="D0EBF2"/>
              <w:bottom w:val="single" w:sz="8" w:color="D0EBF2"/>
            </w:tcBorders>
            <w:shd w:val="clear" w:color="auto" w:fill="D0EBF2"/>
          </w:tcPr>
          <w:p>
            <w:pPr>
              <w:spacing w:after="0"/>
              <w:rPr>
                <w:sz w:val="17"/>
                <w:szCs w:val="17"/>
                <w:color w:val="auto"/>
              </w:rPr>
            </w:pPr>
          </w:p>
        </w:tc>
        <w:tc>
          <w:tcPr>
            <w:tcW w:w="120" w:type="dxa"/>
            <w:vAlign w:val="bottom"/>
            <w:tcBorders>
              <w:top w:val="single" w:sz="8" w:color="D0EBF2"/>
              <w:bottom w:val="single" w:sz="8" w:color="D0EBF2"/>
            </w:tcBorders>
            <w:shd w:val="clear" w:color="auto" w:fill="D0EBF2"/>
          </w:tcPr>
          <w:p>
            <w:pPr>
              <w:spacing w:after="0"/>
              <w:rPr>
                <w:sz w:val="17"/>
                <w:szCs w:val="17"/>
                <w:color w:val="auto"/>
              </w:rPr>
            </w:pPr>
          </w:p>
        </w:tc>
        <w:tc>
          <w:tcPr>
            <w:tcW w:w="260" w:type="dxa"/>
            <w:vAlign w:val="bottom"/>
            <w:tcBorders>
              <w:top w:val="single" w:sz="8" w:color="D0EBF2"/>
              <w:bottom w:val="single" w:sz="8" w:color="D0EBF2"/>
            </w:tcBorders>
            <w:shd w:val="clear" w:color="auto" w:fill="D0EBF2"/>
          </w:tcPr>
          <w:p>
            <w:pPr>
              <w:spacing w:after="0"/>
              <w:rPr>
                <w:sz w:val="17"/>
                <w:szCs w:val="17"/>
                <w:color w:val="auto"/>
              </w:rPr>
            </w:pPr>
          </w:p>
        </w:tc>
        <w:tc>
          <w:tcPr>
            <w:tcW w:w="820" w:type="dxa"/>
            <w:vAlign w:val="bottom"/>
            <w:tcBorders>
              <w:top w:val="single" w:sz="8" w:color="D0EBF2"/>
              <w:bottom w:val="single" w:sz="8" w:color="D0EBF2"/>
            </w:tcBorders>
            <w:shd w:val="clear" w:color="auto" w:fill="D0EBF2"/>
          </w:tcPr>
          <w:p>
            <w:pPr>
              <w:spacing w:after="0"/>
              <w:rPr>
                <w:sz w:val="17"/>
                <w:szCs w:val="17"/>
                <w:color w:val="auto"/>
              </w:rPr>
            </w:pPr>
          </w:p>
        </w:tc>
        <w:tc>
          <w:tcPr>
            <w:tcW w:w="120" w:type="dxa"/>
            <w:vAlign w:val="bottom"/>
            <w:tcBorders>
              <w:top w:val="single" w:sz="8" w:color="D0EBF2"/>
              <w:bottom w:val="single" w:sz="8" w:color="D0EBF2"/>
            </w:tcBorders>
            <w:shd w:val="clear" w:color="auto" w:fill="D0EBF2"/>
          </w:tcPr>
          <w:p>
            <w:pPr>
              <w:spacing w:after="0"/>
              <w:rPr>
                <w:sz w:val="17"/>
                <w:szCs w:val="17"/>
                <w:color w:val="auto"/>
              </w:rPr>
            </w:pPr>
          </w:p>
        </w:tc>
        <w:tc>
          <w:tcPr>
            <w:tcW w:w="140" w:type="dxa"/>
            <w:vAlign w:val="bottom"/>
            <w:tcBorders>
              <w:top w:val="single" w:sz="8" w:color="D0EBF2"/>
              <w:bottom w:val="single" w:sz="8" w:color="D0EBF2"/>
            </w:tcBorders>
            <w:shd w:val="clear" w:color="auto" w:fill="D0EBF2"/>
          </w:tcPr>
          <w:p>
            <w:pPr>
              <w:spacing w:after="0"/>
              <w:rPr>
                <w:sz w:val="17"/>
                <w:szCs w:val="17"/>
                <w:color w:val="auto"/>
              </w:rPr>
            </w:pPr>
          </w:p>
        </w:tc>
        <w:tc>
          <w:tcPr>
            <w:tcW w:w="860" w:type="dxa"/>
            <w:vAlign w:val="bottom"/>
            <w:tcBorders>
              <w:top w:val="single" w:sz="8" w:color="D0EBF2"/>
              <w:bottom w:val="single" w:sz="8" w:color="D0EBF2"/>
            </w:tcBorders>
            <w:shd w:val="clear" w:color="auto" w:fill="D0EBF2"/>
          </w:tcPr>
          <w:p>
            <w:pPr>
              <w:spacing w:after="0"/>
              <w:rPr>
                <w:sz w:val="17"/>
                <w:szCs w:val="17"/>
                <w:color w:val="auto"/>
              </w:rPr>
            </w:pPr>
          </w:p>
        </w:tc>
        <w:tc>
          <w:tcPr>
            <w:tcW w:w="120" w:type="dxa"/>
            <w:vAlign w:val="bottom"/>
            <w:tcBorders>
              <w:top w:val="single" w:sz="8" w:color="D0EBF2"/>
              <w:bottom w:val="single" w:sz="8" w:color="D0EBF2"/>
            </w:tcBorders>
            <w:shd w:val="clear" w:color="auto" w:fill="D0EBF2"/>
          </w:tcPr>
          <w:p>
            <w:pPr>
              <w:spacing w:after="0"/>
              <w:rPr>
                <w:sz w:val="17"/>
                <w:szCs w:val="17"/>
                <w:color w:val="auto"/>
              </w:rPr>
            </w:pPr>
          </w:p>
        </w:tc>
        <w:tc>
          <w:tcPr>
            <w:tcW w:w="80" w:type="dxa"/>
            <w:vAlign w:val="bottom"/>
            <w:tcBorders>
              <w:top w:val="single" w:sz="8" w:color="231F20"/>
              <w:bottom w:val="single" w:sz="8" w:color="231F20"/>
            </w:tcBorders>
            <w:shd w:val="clear" w:color="auto" w:fill="D0EBF2"/>
          </w:tcPr>
          <w:p>
            <w:pPr>
              <w:spacing w:after="0"/>
              <w:rPr>
                <w:sz w:val="17"/>
                <w:szCs w:val="17"/>
                <w:color w:val="auto"/>
              </w:rPr>
            </w:pPr>
          </w:p>
        </w:tc>
        <w:tc>
          <w:tcPr>
            <w:tcW w:w="20" w:type="dxa"/>
            <w:vAlign w:val="bottom"/>
            <w:tcBorders>
              <w:top w:val="single" w:sz="8" w:color="231F20"/>
              <w:bottom w:val="single" w:sz="8" w:color="231F20"/>
            </w:tcBorders>
            <w:shd w:val="clear" w:color="auto" w:fill="D0EBF2"/>
          </w:tcPr>
          <w:p>
            <w:pPr>
              <w:spacing w:after="0"/>
              <w:rPr>
                <w:sz w:val="17"/>
                <w:szCs w:val="17"/>
                <w:color w:val="auto"/>
              </w:rPr>
            </w:pPr>
          </w:p>
        </w:tc>
        <w:tc>
          <w:tcPr>
            <w:tcW w:w="140" w:type="dxa"/>
            <w:vAlign w:val="bottom"/>
            <w:tcBorders>
              <w:top w:val="single" w:sz="8" w:color="231F20"/>
              <w:bottom w:val="single" w:sz="8" w:color="231F20"/>
            </w:tcBorders>
            <w:shd w:val="clear" w:color="auto" w:fill="D0EBF2"/>
          </w:tcPr>
          <w:p>
            <w:pPr>
              <w:spacing w:after="0"/>
              <w:rPr>
                <w:sz w:val="17"/>
                <w:szCs w:val="17"/>
                <w:color w:val="auto"/>
              </w:rPr>
            </w:pPr>
          </w:p>
        </w:tc>
        <w:tc>
          <w:tcPr>
            <w:tcW w:w="760" w:type="dxa"/>
            <w:vAlign w:val="bottom"/>
            <w:tcBorders>
              <w:top w:val="single" w:sz="8" w:color="231F20"/>
              <w:bottom w:val="single" w:sz="8" w:color="231F20"/>
            </w:tcBorders>
            <w:shd w:val="clear" w:color="auto" w:fill="D0EBF2"/>
          </w:tcPr>
          <w:p>
            <w:pPr>
              <w:jc w:val="right"/>
              <w:spacing w:after="0"/>
              <w:rPr>
                <w:sz w:val="20"/>
                <w:szCs w:val="20"/>
                <w:color w:val="auto"/>
              </w:rPr>
            </w:pPr>
            <w:r>
              <w:rPr>
                <w:rFonts w:ascii="Times New Roman" w:cs="Times New Roman" w:eastAsia="Times New Roman" w:hAnsi="Times New Roman"/>
                <w:sz w:val="15"/>
                <w:szCs w:val="15"/>
                <w:color w:val="231F20"/>
              </w:rPr>
              <w:t>4,751</w:t>
            </w:r>
          </w:p>
        </w:tc>
        <w:tc>
          <w:tcPr>
            <w:tcW w:w="80" w:type="dxa"/>
            <w:vAlign w:val="bottom"/>
            <w:tcBorders>
              <w:top w:val="single" w:sz="8" w:color="D0EBF2"/>
              <w:bottom w:val="single" w:sz="8" w:color="D0EBF2"/>
            </w:tcBorders>
            <w:shd w:val="clear" w:color="auto" w:fill="D0EBF2"/>
          </w:tcPr>
          <w:p>
            <w:pPr>
              <w:spacing w:after="0"/>
              <w:rPr>
                <w:sz w:val="17"/>
                <w:szCs w:val="17"/>
                <w:color w:val="auto"/>
              </w:rPr>
            </w:pPr>
          </w:p>
        </w:tc>
        <w:tc>
          <w:tcPr>
            <w:tcW w:w="20" w:type="dxa"/>
            <w:vAlign w:val="bottom"/>
            <w:tcBorders>
              <w:top w:val="single" w:sz="8" w:color="D0EBF2"/>
              <w:bottom w:val="single" w:sz="8" w:color="D0EBF2"/>
            </w:tcBorders>
            <w:shd w:val="clear" w:color="auto" w:fill="D0EBF2"/>
          </w:tcPr>
          <w:p>
            <w:pPr>
              <w:spacing w:after="0"/>
              <w:rPr>
                <w:sz w:val="17"/>
                <w:szCs w:val="17"/>
                <w:color w:val="auto"/>
              </w:rPr>
            </w:pPr>
          </w:p>
        </w:tc>
        <w:tc>
          <w:tcPr>
            <w:tcW w:w="80" w:type="dxa"/>
            <w:vAlign w:val="bottom"/>
            <w:tcBorders>
              <w:top w:val="single" w:sz="8" w:color="231F20"/>
              <w:bottom w:val="single" w:sz="8" w:color="231F20"/>
            </w:tcBorders>
            <w:shd w:val="clear" w:color="auto" w:fill="D0EBF2"/>
          </w:tcPr>
          <w:p>
            <w:pPr>
              <w:spacing w:after="0"/>
              <w:rPr>
                <w:sz w:val="17"/>
                <w:szCs w:val="17"/>
                <w:color w:val="auto"/>
              </w:rPr>
            </w:pPr>
          </w:p>
        </w:tc>
        <w:tc>
          <w:tcPr>
            <w:tcW w:w="120" w:type="dxa"/>
            <w:vAlign w:val="bottom"/>
            <w:tcBorders>
              <w:top w:val="single" w:sz="8" w:color="231F20"/>
              <w:bottom w:val="single" w:sz="8" w:color="231F20"/>
            </w:tcBorders>
            <w:shd w:val="clear" w:color="auto" w:fill="D0EBF2"/>
          </w:tcPr>
          <w:p>
            <w:pPr>
              <w:spacing w:after="0"/>
              <w:rPr>
                <w:sz w:val="17"/>
                <w:szCs w:val="17"/>
                <w:color w:val="auto"/>
              </w:rPr>
            </w:pPr>
          </w:p>
        </w:tc>
        <w:tc>
          <w:tcPr>
            <w:tcW w:w="60" w:type="dxa"/>
            <w:vAlign w:val="bottom"/>
            <w:tcBorders>
              <w:top w:val="single" w:sz="8" w:color="231F20"/>
              <w:bottom w:val="single" w:sz="8" w:color="231F20"/>
            </w:tcBorders>
            <w:shd w:val="clear" w:color="auto" w:fill="D0EBF2"/>
          </w:tcPr>
          <w:p>
            <w:pPr>
              <w:spacing w:after="0"/>
              <w:rPr>
                <w:sz w:val="17"/>
                <w:szCs w:val="17"/>
                <w:color w:val="auto"/>
              </w:rPr>
            </w:pPr>
          </w:p>
        </w:tc>
        <w:tc>
          <w:tcPr>
            <w:tcW w:w="1300" w:type="dxa"/>
            <w:vAlign w:val="bottom"/>
            <w:tcBorders>
              <w:top w:val="single" w:sz="8" w:color="231F20"/>
              <w:bottom w:val="single" w:sz="8" w:color="231F20"/>
            </w:tcBorders>
            <w:gridSpan w:val="3"/>
            <w:shd w:val="clear" w:color="auto" w:fill="D0EBF2"/>
          </w:tcPr>
          <w:p>
            <w:pPr>
              <w:jc w:val="right"/>
              <w:spacing w:after="0"/>
              <w:rPr>
                <w:sz w:val="20"/>
                <w:szCs w:val="20"/>
                <w:color w:val="auto"/>
              </w:rPr>
            </w:pPr>
            <w:r>
              <w:rPr>
                <w:rFonts w:ascii="Times New Roman" w:cs="Times New Roman" w:eastAsia="Times New Roman" w:hAnsi="Times New Roman"/>
                <w:sz w:val="15"/>
                <w:szCs w:val="15"/>
                <w:color w:val="231F20"/>
              </w:rPr>
              <w:t>12,591</w:t>
            </w:r>
          </w:p>
        </w:tc>
        <w:tc>
          <w:tcPr>
            <w:tcW w:w="20" w:type="dxa"/>
            <w:vAlign w:val="bottom"/>
            <w:tcBorders>
              <w:top w:val="single" w:sz="8" w:color="231F20"/>
              <w:bottom w:val="single" w:sz="8" w:color="231F20"/>
            </w:tcBorders>
            <w:shd w:val="clear" w:color="auto" w:fill="D0EBF2"/>
          </w:tcPr>
          <w:p>
            <w:pPr>
              <w:spacing w:after="0"/>
              <w:rPr>
                <w:sz w:val="17"/>
                <w:szCs w:val="17"/>
                <w:color w:val="auto"/>
              </w:rPr>
            </w:pPr>
          </w:p>
        </w:tc>
        <w:tc>
          <w:tcPr>
            <w:tcW w:w="100" w:type="dxa"/>
            <w:vAlign w:val="bottom"/>
            <w:tcBorders>
              <w:top w:val="single" w:sz="8" w:color="D0EBF2"/>
              <w:bottom w:val="single" w:sz="8" w:color="D0EBF2"/>
            </w:tcBorders>
            <w:shd w:val="clear" w:color="auto" w:fill="D0EBF2"/>
          </w:tcPr>
          <w:p>
            <w:pPr>
              <w:spacing w:after="0"/>
              <w:rPr>
                <w:sz w:val="17"/>
                <w:szCs w:val="17"/>
                <w:color w:val="auto"/>
              </w:rPr>
            </w:pPr>
          </w:p>
        </w:tc>
        <w:tc>
          <w:tcPr>
            <w:tcW w:w="860" w:type="dxa"/>
            <w:vAlign w:val="bottom"/>
            <w:tcBorders>
              <w:top w:val="single" w:sz="8" w:color="231F20"/>
              <w:bottom w:val="single" w:sz="8" w:color="231F20"/>
            </w:tcBorders>
            <w:gridSpan w:val="2"/>
            <w:shd w:val="clear" w:color="auto" w:fill="D0EBF2"/>
          </w:tcPr>
          <w:p>
            <w:pPr>
              <w:jc w:val="right"/>
              <w:spacing w:after="0"/>
              <w:rPr>
                <w:sz w:val="20"/>
                <w:szCs w:val="20"/>
                <w:color w:val="auto"/>
              </w:rPr>
            </w:pPr>
            <w:r>
              <w:rPr>
                <w:rFonts w:ascii="Times New Roman" w:cs="Times New Roman" w:eastAsia="Times New Roman" w:hAnsi="Times New Roman"/>
                <w:sz w:val="15"/>
                <w:szCs w:val="15"/>
                <w:color w:val="231F20"/>
              </w:rPr>
              <w:t>0.8%</w:t>
            </w:r>
          </w:p>
        </w:tc>
        <w:tc>
          <w:tcPr>
            <w:tcW w:w="0" w:type="dxa"/>
            <w:vAlign w:val="bottom"/>
          </w:tcPr>
          <w:p>
            <w:pPr>
              <w:spacing w:after="0"/>
              <w:rPr>
                <w:sz w:val="1"/>
                <w:szCs w:val="1"/>
                <w:color w:val="auto"/>
              </w:rPr>
            </w:pPr>
          </w:p>
        </w:tc>
      </w:tr>
      <w:tr>
        <w:trPr>
          <w:trHeight w:val="156"/>
        </w:trPr>
        <w:tc>
          <w:tcPr>
            <w:tcW w:w="1560" w:type="dxa"/>
            <w:vAlign w:val="bottom"/>
            <w:tcBorders>
              <w:top w:val="single" w:sz="8" w:color="FDFDFC"/>
            </w:tcBorders>
            <w:shd w:val="clear" w:color="auto" w:fill="FDFDFC"/>
          </w:tcPr>
          <w:p>
            <w:pPr>
              <w:spacing w:after="0" w:line="156" w:lineRule="exact"/>
              <w:rPr>
                <w:sz w:val="20"/>
                <w:szCs w:val="20"/>
                <w:color w:val="auto"/>
              </w:rPr>
            </w:pPr>
            <w:r>
              <w:rPr>
                <w:rFonts w:ascii="Times New Roman" w:cs="Times New Roman" w:eastAsia="Times New Roman" w:hAnsi="Times New Roman"/>
                <w:sz w:val="15"/>
                <w:szCs w:val="15"/>
                <w:b w:val="1"/>
                <w:bCs w:val="1"/>
                <w:color w:val="231F20"/>
              </w:rPr>
              <w:t>Structured Credit</w:t>
            </w:r>
          </w:p>
        </w:tc>
        <w:tc>
          <w:tcPr>
            <w:tcW w:w="340" w:type="dxa"/>
            <w:vAlign w:val="bottom"/>
            <w:tcBorders>
              <w:top w:val="single" w:sz="8" w:color="FDFDFC"/>
            </w:tcBorders>
            <w:shd w:val="clear" w:color="auto" w:fill="FDFDFC"/>
          </w:tcPr>
          <w:p>
            <w:pPr>
              <w:spacing w:after="0"/>
              <w:rPr>
                <w:sz w:val="13"/>
                <w:szCs w:val="13"/>
                <w:color w:val="auto"/>
              </w:rPr>
            </w:pPr>
          </w:p>
        </w:tc>
        <w:tc>
          <w:tcPr>
            <w:tcW w:w="1100" w:type="dxa"/>
            <w:vAlign w:val="bottom"/>
            <w:tcBorders>
              <w:top w:val="single" w:sz="8" w:color="FDFDFC"/>
            </w:tcBorders>
            <w:shd w:val="clear" w:color="auto" w:fill="FDFDFC"/>
          </w:tcPr>
          <w:p>
            <w:pPr>
              <w:spacing w:after="0"/>
              <w:rPr>
                <w:sz w:val="13"/>
                <w:szCs w:val="13"/>
                <w:color w:val="auto"/>
              </w:rPr>
            </w:pPr>
          </w:p>
        </w:tc>
        <w:tc>
          <w:tcPr>
            <w:tcW w:w="120" w:type="dxa"/>
            <w:vAlign w:val="bottom"/>
            <w:tcBorders>
              <w:top w:val="single" w:sz="8" w:color="FDFDFC"/>
            </w:tcBorders>
            <w:shd w:val="clear" w:color="auto" w:fill="FDFDFC"/>
          </w:tcPr>
          <w:p>
            <w:pPr>
              <w:spacing w:after="0"/>
              <w:rPr>
                <w:sz w:val="13"/>
                <w:szCs w:val="13"/>
                <w:color w:val="auto"/>
              </w:rPr>
            </w:pPr>
          </w:p>
        </w:tc>
        <w:tc>
          <w:tcPr>
            <w:tcW w:w="60" w:type="dxa"/>
            <w:vAlign w:val="bottom"/>
            <w:tcBorders>
              <w:top w:val="single" w:sz="8" w:color="FDFDFC"/>
            </w:tcBorders>
            <w:shd w:val="clear" w:color="auto" w:fill="FDFDFC"/>
          </w:tcPr>
          <w:p>
            <w:pPr>
              <w:spacing w:after="0"/>
              <w:rPr>
                <w:sz w:val="13"/>
                <w:szCs w:val="13"/>
                <w:color w:val="auto"/>
              </w:rPr>
            </w:pPr>
          </w:p>
        </w:tc>
        <w:tc>
          <w:tcPr>
            <w:tcW w:w="660" w:type="dxa"/>
            <w:vAlign w:val="bottom"/>
            <w:tcBorders>
              <w:top w:val="single" w:sz="8" w:color="FDFDFC"/>
            </w:tcBorders>
            <w:shd w:val="clear" w:color="auto" w:fill="FDFDFC"/>
          </w:tcPr>
          <w:p>
            <w:pPr>
              <w:spacing w:after="0"/>
              <w:rPr>
                <w:sz w:val="13"/>
                <w:szCs w:val="13"/>
                <w:color w:val="auto"/>
              </w:rPr>
            </w:pPr>
          </w:p>
        </w:tc>
        <w:tc>
          <w:tcPr>
            <w:tcW w:w="360" w:type="dxa"/>
            <w:vAlign w:val="bottom"/>
            <w:tcBorders>
              <w:top w:val="single" w:sz="8" w:color="FDFDFC"/>
            </w:tcBorders>
            <w:shd w:val="clear" w:color="auto" w:fill="FDFDFC"/>
          </w:tcPr>
          <w:p>
            <w:pPr>
              <w:spacing w:after="0"/>
              <w:rPr>
                <w:sz w:val="13"/>
                <w:szCs w:val="13"/>
                <w:color w:val="auto"/>
              </w:rPr>
            </w:pPr>
          </w:p>
        </w:tc>
        <w:tc>
          <w:tcPr>
            <w:tcW w:w="120" w:type="dxa"/>
            <w:vAlign w:val="bottom"/>
            <w:tcBorders>
              <w:top w:val="single" w:sz="8" w:color="FDFDFC"/>
            </w:tcBorders>
            <w:shd w:val="clear" w:color="auto" w:fill="FDFDFC"/>
          </w:tcPr>
          <w:p>
            <w:pPr>
              <w:spacing w:after="0"/>
              <w:rPr>
                <w:sz w:val="13"/>
                <w:szCs w:val="13"/>
                <w:color w:val="auto"/>
              </w:rPr>
            </w:pPr>
          </w:p>
        </w:tc>
        <w:tc>
          <w:tcPr>
            <w:tcW w:w="260" w:type="dxa"/>
            <w:vAlign w:val="bottom"/>
            <w:tcBorders>
              <w:top w:val="single" w:sz="8" w:color="FDFDFC"/>
            </w:tcBorders>
            <w:shd w:val="clear" w:color="auto" w:fill="FDFDFC"/>
          </w:tcPr>
          <w:p>
            <w:pPr>
              <w:spacing w:after="0"/>
              <w:rPr>
                <w:sz w:val="13"/>
                <w:szCs w:val="13"/>
                <w:color w:val="auto"/>
              </w:rPr>
            </w:pPr>
          </w:p>
        </w:tc>
        <w:tc>
          <w:tcPr>
            <w:tcW w:w="820" w:type="dxa"/>
            <w:vAlign w:val="bottom"/>
            <w:tcBorders>
              <w:top w:val="single" w:sz="8" w:color="FDFDFC"/>
            </w:tcBorders>
            <w:shd w:val="clear" w:color="auto" w:fill="FDFDFC"/>
          </w:tcPr>
          <w:p>
            <w:pPr>
              <w:spacing w:after="0"/>
              <w:rPr>
                <w:sz w:val="13"/>
                <w:szCs w:val="13"/>
                <w:color w:val="auto"/>
              </w:rPr>
            </w:pPr>
          </w:p>
        </w:tc>
        <w:tc>
          <w:tcPr>
            <w:tcW w:w="120" w:type="dxa"/>
            <w:vAlign w:val="bottom"/>
            <w:tcBorders>
              <w:top w:val="single" w:sz="8" w:color="FDFDFC"/>
            </w:tcBorders>
            <w:shd w:val="clear" w:color="auto" w:fill="FDFDFC"/>
          </w:tcPr>
          <w:p>
            <w:pPr>
              <w:spacing w:after="0"/>
              <w:rPr>
                <w:sz w:val="13"/>
                <w:szCs w:val="13"/>
                <w:color w:val="auto"/>
              </w:rPr>
            </w:pPr>
          </w:p>
        </w:tc>
        <w:tc>
          <w:tcPr>
            <w:tcW w:w="140" w:type="dxa"/>
            <w:vAlign w:val="bottom"/>
            <w:tcBorders>
              <w:top w:val="single" w:sz="8" w:color="FDFDFC"/>
            </w:tcBorders>
            <w:shd w:val="clear" w:color="auto" w:fill="FDFDFC"/>
          </w:tcPr>
          <w:p>
            <w:pPr>
              <w:spacing w:after="0"/>
              <w:rPr>
                <w:sz w:val="13"/>
                <w:szCs w:val="13"/>
                <w:color w:val="auto"/>
              </w:rPr>
            </w:pPr>
          </w:p>
        </w:tc>
        <w:tc>
          <w:tcPr>
            <w:tcW w:w="860" w:type="dxa"/>
            <w:vAlign w:val="bottom"/>
            <w:tcBorders>
              <w:top w:val="single" w:sz="8" w:color="FDFDFC"/>
            </w:tcBorders>
            <w:shd w:val="clear" w:color="auto" w:fill="FDFDFC"/>
          </w:tcPr>
          <w:p>
            <w:pPr>
              <w:spacing w:after="0"/>
              <w:rPr>
                <w:sz w:val="13"/>
                <w:szCs w:val="13"/>
                <w:color w:val="auto"/>
              </w:rPr>
            </w:pPr>
          </w:p>
        </w:tc>
        <w:tc>
          <w:tcPr>
            <w:tcW w:w="120" w:type="dxa"/>
            <w:vAlign w:val="bottom"/>
            <w:tcBorders>
              <w:top w:val="single" w:sz="8" w:color="FDFDFC"/>
            </w:tcBorders>
            <w:shd w:val="clear" w:color="auto" w:fill="FDFDFC"/>
          </w:tcPr>
          <w:p>
            <w:pPr>
              <w:spacing w:after="0"/>
              <w:rPr>
                <w:sz w:val="13"/>
                <w:szCs w:val="13"/>
                <w:color w:val="auto"/>
              </w:rPr>
            </w:pPr>
          </w:p>
        </w:tc>
        <w:tc>
          <w:tcPr>
            <w:tcW w:w="80" w:type="dxa"/>
            <w:vAlign w:val="bottom"/>
            <w:tcBorders>
              <w:top w:val="single" w:sz="8" w:color="231F20"/>
            </w:tcBorders>
            <w:shd w:val="clear" w:color="auto" w:fill="FDFDFC"/>
          </w:tcPr>
          <w:p>
            <w:pPr>
              <w:spacing w:after="0"/>
              <w:rPr>
                <w:sz w:val="13"/>
                <w:szCs w:val="13"/>
                <w:color w:val="auto"/>
              </w:rPr>
            </w:pPr>
          </w:p>
        </w:tc>
        <w:tc>
          <w:tcPr>
            <w:tcW w:w="20" w:type="dxa"/>
            <w:vAlign w:val="bottom"/>
            <w:tcBorders>
              <w:top w:val="single" w:sz="8" w:color="231F20"/>
            </w:tcBorders>
            <w:shd w:val="clear" w:color="auto" w:fill="FDFDFC"/>
          </w:tcPr>
          <w:p>
            <w:pPr>
              <w:spacing w:after="0"/>
              <w:rPr>
                <w:sz w:val="13"/>
                <w:szCs w:val="13"/>
                <w:color w:val="auto"/>
              </w:rPr>
            </w:pPr>
          </w:p>
        </w:tc>
        <w:tc>
          <w:tcPr>
            <w:tcW w:w="140" w:type="dxa"/>
            <w:vAlign w:val="bottom"/>
            <w:tcBorders>
              <w:top w:val="single" w:sz="8" w:color="231F20"/>
            </w:tcBorders>
            <w:shd w:val="clear" w:color="auto" w:fill="FDFDFC"/>
          </w:tcPr>
          <w:p>
            <w:pPr>
              <w:spacing w:after="0"/>
              <w:rPr>
                <w:sz w:val="13"/>
                <w:szCs w:val="13"/>
                <w:color w:val="auto"/>
              </w:rPr>
            </w:pPr>
          </w:p>
        </w:tc>
        <w:tc>
          <w:tcPr>
            <w:tcW w:w="760" w:type="dxa"/>
            <w:vAlign w:val="bottom"/>
            <w:tcBorders>
              <w:top w:val="single" w:sz="8" w:color="231F20"/>
            </w:tcBorders>
            <w:shd w:val="clear" w:color="auto" w:fill="FDFDFC"/>
          </w:tcPr>
          <w:p>
            <w:pPr>
              <w:spacing w:after="0"/>
              <w:rPr>
                <w:sz w:val="13"/>
                <w:szCs w:val="13"/>
                <w:color w:val="auto"/>
              </w:rPr>
            </w:pPr>
          </w:p>
        </w:tc>
        <w:tc>
          <w:tcPr>
            <w:tcW w:w="80" w:type="dxa"/>
            <w:vAlign w:val="bottom"/>
            <w:tcBorders>
              <w:top w:val="single" w:sz="8" w:color="FDFDFC"/>
            </w:tcBorders>
            <w:shd w:val="clear" w:color="auto" w:fill="FDFDFC"/>
          </w:tcPr>
          <w:p>
            <w:pPr>
              <w:spacing w:after="0"/>
              <w:rPr>
                <w:sz w:val="13"/>
                <w:szCs w:val="13"/>
                <w:color w:val="auto"/>
              </w:rPr>
            </w:pPr>
          </w:p>
        </w:tc>
        <w:tc>
          <w:tcPr>
            <w:tcW w:w="20" w:type="dxa"/>
            <w:vAlign w:val="bottom"/>
            <w:tcBorders>
              <w:top w:val="single" w:sz="8" w:color="FDFDFC"/>
            </w:tcBorders>
            <w:shd w:val="clear" w:color="auto" w:fill="FDFDFC"/>
          </w:tcPr>
          <w:p>
            <w:pPr>
              <w:spacing w:after="0"/>
              <w:rPr>
                <w:sz w:val="13"/>
                <w:szCs w:val="13"/>
                <w:color w:val="auto"/>
              </w:rPr>
            </w:pPr>
          </w:p>
        </w:tc>
        <w:tc>
          <w:tcPr>
            <w:tcW w:w="80" w:type="dxa"/>
            <w:vAlign w:val="bottom"/>
            <w:tcBorders>
              <w:top w:val="single" w:sz="8" w:color="231F20"/>
            </w:tcBorders>
            <w:shd w:val="clear" w:color="auto" w:fill="FDFDFC"/>
          </w:tcPr>
          <w:p>
            <w:pPr>
              <w:spacing w:after="0"/>
              <w:rPr>
                <w:sz w:val="13"/>
                <w:szCs w:val="13"/>
                <w:color w:val="auto"/>
              </w:rPr>
            </w:pPr>
          </w:p>
        </w:tc>
        <w:tc>
          <w:tcPr>
            <w:tcW w:w="120" w:type="dxa"/>
            <w:vAlign w:val="bottom"/>
            <w:tcBorders>
              <w:top w:val="single" w:sz="8" w:color="231F20"/>
            </w:tcBorders>
            <w:shd w:val="clear" w:color="auto" w:fill="FDFDFC"/>
          </w:tcPr>
          <w:p>
            <w:pPr>
              <w:spacing w:after="0"/>
              <w:rPr>
                <w:sz w:val="13"/>
                <w:szCs w:val="13"/>
                <w:color w:val="auto"/>
              </w:rPr>
            </w:pPr>
          </w:p>
        </w:tc>
        <w:tc>
          <w:tcPr>
            <w:tcW w:w="60" w:type="dxa"/>
            <w:vAlign w:val="bottom"/>
            <w:tcBorders>
              <w:top w:val="single" w:sz="8" w:color="231F20"/>
            </w:tcBorders>
            <w:shd w:val="clear" w:color="auto" w:fill="FDFDFC"/>
          </w:tcPr>
          <w:p>
            <w:pPr>
              <w:spacing w:after="0"/>
              <w:rPr>
                <w:sz w:val="13"/>
                <w:szCs w:val="13"/>
                <w:color w:val="auto"/>
              </w:rPr>
            </w:pPr>
          </w:p>
        </w:tc>
        <w:tc>
          <w:tcPr>
            <w:tcW w:w="920" w:type="dxa"/>
            <w:vAlign w:val="bottom"/>
            <w:tcBorders>
              <w:top w:val="single" w:sz="8" w:color="231F20"/>
            </w:tcBorders>
            <w:shd w:val="clear" w:color="auto" w:fill="FDFDFC"/>
          </w:tcPr>
          <w:p>
            <w:pPr>
              <w:spacing w:after="0"/>
              <w:rPr>
                <w:sz w:val="13"/>
                <w:szCs w:val="13"/>
                <w:color w:val="auto"/>
              </w:rPr>
            </w:pPr>
          </w:p>
        </w:tc>
        <w:tc>
          <w:tcPr>
            <w:tcW w:w="220" w:type="dxa"/>
            <w:vAlign w:val="bottom"/>
            <w:tcBorders>
              <w:top w:val="single" w:sz="8" w:color="231F20"/>
            </w:tcBorders>
            <w:shd w:val="clear" w:color="auto" w:fill="FDFDFC"/>
          </w:tcPr>
          <w:p>
            <w:pPr>
              <w:spacing w:after="0"/>
              <w:rPr>
                <w:sz w:val="13"/>
                <w:szCs w:val="13"/>
                <w:color w:val="auto"/>
              </w:rPr>
            </w:pPr>
          </w:p>
        </w:tc>
        <w:tc>
          <w:tcPr>
            <w:tcW w:w="160" w:type="dxa"/>
            <w:vAlign w:val="bottom"/>
            <w:tcBorders>
              <w:top w:val="single" w:sz="8" w:color="231F20"/>
            </w:tcBorders>
            <w:shd w:val="clear" w:color="auto" w:fill="FDFDFC"/>
          </w:tcPr>
          <w:p>
            <w:pPr>
              <w:spacing w:after="0"/>
              <w:rPr>
                <w:sz w:val="13"/>
                <w:szCs w:val="13"/>
                <w:color w:val="auto"/>
              </w:rPr>
            </w:pPr>
          </w:p>
        </w:tc>
        <w:tc>
          <w:tcPr>
            <w:tcW w:w="20" w:type="dxa"/>
            <w:vAlign w:val="bottom"/>
            <w:tcBorders>
              <w:top w:val="single" w:sz="8" w:color="231F20"/>
            </w:tcBorders>
            <w:shd w:val="clear" w:color="auto" w:fill="FDFDFC"/>
          </w:tcPr>
          <w:p>
            <w:pPr>
              <w:spacing w:after="0"/>
              <w:rPr>
                <w:sz w:val="13"/>
                <w:szCs w:val="13"/>
                <w:color w:val="auto"/>
              </w:rPr>
            </w:pPr>
          </w:p>
        </w:tc>
        <w:tc>
          <w:tcPr>
            <w:tcW w:w="100" w:type="dxa"/>
            <w:vAlign w:val="bottom"/>
            <w:tcBorders>
              <w:top w:val="single" w:sz="8" w:color="FDFDFC"/>
            </w:tcBorders>
            <w:shd w:val="clear" w:color="auto" w:fill="FDFDFC"/>
          </w:tcPr>
          <w:p>
            <w:pPr>
              <w:spacing w:after="0"/>
              <w:rPr>
                <w:sz w:val="13"/>
                <w:szCs w:val="13"/>
                <w:color w:val="auto"/>
              </w:rPr>
            </w:pPr>
          </w:p>
        </w:tc>
        <w:tc>
          <w:tcPr>
            <w:tcW w:w="760" w:type="dxa"/>
            <w:vAlign w:val="bottom"/>
            <w:tcBorders>
              <w:top w:val="single" w:sz="8" w:color="231F20"/>
            </w:tcBorders>
            <w:shd w:val="clear" w:color="auto" w:fill="FDFDFC"/>
          </w:tcPr>
          <w:p>
            <w:pPr>
              <w:spacing w:after="0"/>
              <w:rPr>
                <w:sz w:val="13"/>
                <w:szCs w:val="13"/>
                <w:color w:val="auto"/>
              </w:rPr>
            </w:pPr>
          </w:p>
        </w:tc>
        <w:tc>
          <w:tcPr>
            <w:tcW w:w="100" w:type="dxa"/>
            <w:vAlign w:val="bottom"/>
            <w:tcBorders>
              <w:top w:val="single" w:sz="8" w:color="231F20"/>
            </w:tcBorders>
            <w:shd w:val="clear" w:color="auto" w:fill="FDFDFC"/>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1560" w:type="dxa"/>
            <w:vAlign w:val="bottom"/>
            <w:shd w:val="clear" w:color="auto" w:fill="D0EBF2"/>
          </w:tcPr>
          <w:p>
            <w:pPr>
              <w:spacing w:after="0" w:line="172" w:lineRule="exact"/>
              <w:rPr>
                <w:sz w:val="20"/>
                <w:szCs w:val="20"/>
                <w:color w:val="auto"/>
              </w:rPr>
            </w:pPr>
            <w:r>
              <w:rPr>
                <w:rFonts w:ascii="Times New Roman" w:cs="Times New Roman" w:eastAsia="Times New Roman" w:hAnsi="Times New Roman"/>
                <w:sz w:val="15"/>
                <w:szCs w:val="15"/>
                <w:color w:val="231F20"/>
              </w:rPr>
              <w:t>Dryden Senior Loan</w:t>
            </w:r>
          </w:p>
        </w:tc>
        <w:tc>
          <w:tcPr>
            <w:tcW w:w="2280" w:type="dxa"/>
            <w:vAlign w:val="bottom"/>
            <w:gridSpan w:val="5"/>
            <w:shd w:val="clear" w:color="auto" w:fill="D0EBF2"/>
          </w:tcPr>
          <w:p>
            <w:pPr>
              <w:ind w:left="80"/>
              <w:spacing w:after="0" w:line="172" w:lineRule="exact"/>
              <w:rPr>
                <w:sz w:val="20"/>
                <w:szCs w:val="20"/>
                <w:color w:val="auto"/>
              </w:rPr>
            </w:pPr>
            <w:r>
              <w:rPr>
                <w:rFonts w:ascii="Times New Roman" w:cs="Times New Roman" w:eastAsia="Times New Roman" w:hAnsi="Times New Roman"/>
                <w:sz w:val="15"/>
                <w:szCs w:val="15"/>
                <w:color w:val="231F20"/>
              </w:rPr>
              <w:t>Structured Credit ($1,500 par,</w:t>
            </w:r>
          </w:p>
        </w:tc>
        <w:tc>
          <w:tcPr>
            <w:tcW w:w="740" w:type="dxa"/>
            <w:vAlign w:val="bottom"/>
            <w:gridSpan w:val="3"/>
            <w:shd w:val="clear" w:color="auto" w:fill="D0EBF2"/>
          </w:tcPr>
          <w:p>
            <w:pPr>
              <w:jc w:val="right"/>
              <w:spacing w:after="0" w:line="172" w:lineRule="exact"/>
              <w:rPr>
                <w:sz w:val="20"/>
                <w:szCs w:val="20"/>
                <w:color w:val="auto"/>
              </w:rPr>
            </w:pPr>
            <w:r>
              <w:rPr>
                <w:rFonts w:ascii="Times New Roman" w:cs="Times New Roman" w:eastAsia="Times New Roman" w:hAnsi="Times New Roman"/>
                <w:sz w:val="15"/>
                <w:szCs w:val="15"/>
                <w:color w:val="231F20"/>
              </w:rPr>
              <w:t>8/17/2022</w:t>
            </w:r>
          </w:p>
        </w:tc>
        <w:tc>
          <w:tcPr>
            <w:tcW w:w="1080" w:type="dxa"/>
            <w:vAlign w:val="bottom"/>
            <w:gridSpan w:val="3"/>
            <w:shd w:val="clear" w:color="auto" w:fill="D0EBF2"/>
          </w:tcPr>
          <w:p>
            <w:pPr>
              <w:jc w:val="right"/>
              <w:ind w:right="124"/>
              <w:spacing w:after="0" w:line="172" w:lineRule="exact"/>
              <w:rPr>
                <w:sz w:val="20"/>
                <w:szCs w:val="20"/>
                <w:color w:val="auto"/>
              </w:rPr>
            </w:pPr>
            <w:r>
              <w:rPr>
                <w:rFonts w:ascii="Times New Roman" w:cs="Times New Roman" w:eastAsia="Times New Roman" w:hAnsi="Times New Roman"/>
                <w:sz w:val="15"/>
                <w:szCs w:val="15"/>
                <w:color w:val="231F20"/>
              </w:rPr>
              <w:t>SOFR +</w:t>
            </w:r>
          </w:p>
        </w:tc>
        <w:tc>
          <w:tcPr>
            <w:tcW w:w="860" w:type="dxa"/>
            <w:vAlign w:val="bottom"/>
            <w:shd w:val="clear" w:color="auto" w:fill="D0EBF2"/>
          </w:tcPr>
          <w:p>
            <w:pPr>
              <w:jc w:val="right"/>
              <w:spacing w:after="0" w:line="172" w:lineRule="exact"/>
              <w:rPr>
                <w:sz w:val="20"/>
                <w:szCs w:val="20"/>
                <w:color w:val="auto"/>
              </w:rPr>
            </w:pPr>
            <w:r>
              <w:rPr>
                <w:rFonts w:ascii="Times New Roman" w:cs="Times New Roman" w:eastAsia="Times New Roman" w:hAnsi="Times New Roman"/>
                <w:sz w:val="15"/>
                <w:szCs w:val="15"/>
                <w:color w:val="231F20"/>
              </w:rPr>
              <w:t>11.41%</w:t>
            </w:r>
          </w:p>
        </w:tc>
        <w:tc>
          <w:tcPr>
            <w:tcW w:w="120" w:type="dxa"/>
            <w:vAlign w:val="bottom"/>
            <w:shd w:val="clear" w:color="auto" w:fill="D0EBF2"/>
          </w:tcPr>
          <w:p>
            <w:pPr>
              <w:spacing w:after="0"/>
              <w:rPr>
                <w:sz w:val="14"/>
                <w:szCs w:val="14"/>
                <w:color w:val="auto"/>
              </w:rPr>
            </w:pPr>
          </w:p>
        </w:tc>
        <w:tc>
          <w:tcPr>
            <w:tcW w:w="80" w:type="dxa"/>
            <w:vAlign w:val="bottom"/>
            <w:shd w:val="clear" w:color="auto" w:fill="D0EBF2"/>
          </w:tcPr>
          <w:p>
            <w:pPr>
              <w:spacing w:after="0"/>
              <w:rPr>
                <w:sz w:val="14"/>
                <w:szCs w:val="14"/>
                <w:color w:val="auto"/>
              </w:rPr>
            </w:pPr>
          </w:p>
        </w:tc>
        <w:tc>
          <w:tcPr>
            <w:tcW w:w="20" w:type="dxa"/>
            <w:vAlign w:val="bottom"/>
            <w:shd w:val="clear" w:color="auto" w:fill="D0EBF2"/>
          </w:tcPr>
          <w:p>
            <w:pPr>
              <w:spacing w:after="0"/>
              <w:rPr>
                <w:sz w:val="14"/>
                <w:szCs w:val="14"/>
                <w:color w:val="auto"/>
              </w:rPr>
            </w:pPr>
          </w:p>
        </w:tc>
        <w:tc>
          <w:tcPr>
            <w:tcW w:w="140" w:type="dxa"/>
            <w:vAlign w:val="bottom"/>
            <w:shd w:val="clear" w:color="auto" w:fill="D0EBF2"/>
          </w:tcPr>
          <w:p>
            <w:pPr>
              <w:spacing w:after="0"/>
              <w:rPr>
                <w:sz w:val="14"/>
                <w:szCs w:val="14"/>
                <w:color w:val="auto"/>
              </w:rPr>
            </w:pPr>
          </w:p>
        </w:tc>
        <w:tc>
          <w:tcPr>
            <w:tcW w:w="760" w:type="dxa"/>
            <w:vAlign w:val="bottom"/>
            <w:shd w:val="clear" w:color="auto" w:fill="D0EBF2"/>
          </w:tcPr>
          <w:p>
            <w:pPr>
              <w:jc w:val="right"/>
              <w:spacing w:after="0" w:line="172" w:lineRule="exact"/>
              <w:rPr>
                <w:sz w:val="20"/>
                <w:szCs w:val="20"/>
                <w:color w:val="auto"/>
              </w:rPr>
            </w:pPr>
            <w:r>
              <w:rPr>
                <w:rFonts w:ascii="Times New Roman" w:cs="Times New Roman" w:eastAsia="Times New Roman" w:hAnsi="Times New Roman"/>
                <w:sz w:val="15"/>
                <w:szCs w:val="15"/>
                <w:color w:val="231F20"/>
              </w:rPr>
              <w:t>1,500</w:t>
            </w:r>
          </w:p>
        </w:tc>
        <w:tc>
          <w:tcPr>
            <w:tcW w:w="80" w:type="dxa"/>
            <w:vAlign w:val="bottom"/>
            <w:shd w:val="clear" w:color="auto" w:fill="D0EBF2"/>
          </w:tcPr>
          <w:p>
            <w:pPr>
              <w:spacing w:after="0"/>
              <w:rPr>
                <w:sz w:val="14"/>
                <w:szCs w:val="14"/>
                <w:color w:val="auto"/>
              </w:rPr>
            </w:pPr>
          </w:p>
        </w:tc>
        <w:tc>
          <w:tcPr>
            <w:tcW w:w="20" w:type="dxa"/>
            <w:vAlign w:val="bottom"/>
            <w:shd w:val="clear" w:color="auto" w:fill="D0EBF2"/>
          </w:tcPr>
          <w:p>
            <w:pPr>
              <w:spacing w:after="0"/>
              <w:rPr>
                <w:sz w:val="14"/>
                <w:szCs w:val="14"/>
                <w:color w:val="auto"/>
              </w:rPr>
            </w:pPr>
          </w:p>
        </w:tc>
        <w:tc>
          <w:tcPr>
            <w:tcW w:w="80" w:type="dxa"/>
            <w:vAlign w:val="bottom"/>
            <w:shd w:val="clear" w:color="auto" w:fill="D0EBF2"/>
          </w:tcPr>
          <w:p>
            <w:pPr>
              <w:spacing w:after="0"/>
              <w:rPr>
                <w:sz w:val="14"/>
                <w:szCs w:val="14"/>
                <w:color w:val="auto"/>
              </w:rPr>
            </w:pPr>
          </w:p>
        </w:tc>
        <w:tc>
          <w:tcPr>
            <w:tcW w:w="120" w:type="dxa"/>
            <w:vAlign w:val="bottom"/>
            <w:shd w:val="clear" w:color="auto" w:fill="D0EBF2"/>
          </w:tcPr>
          <w:p>
            <w:pPr>
              <w:spacing w:after="0"/>
              <w:rPr>
                <w:sz w:val="14"/>
                <w:szCs w:val="14"/>
                <w:color w:val="auto"/>
              </w:rPr>
            </w:pPr>
          </w:p>
        </w:tc>
        <w:tc>
          <w:tcPr>
            <w:tcW w:w="60" w:type="dxa"/>
            <w:vAlign w:val="bottom"/>
            <w:shd w:val="clear" w:color="auto" w:fill="D0EBF2"/>
          </w:tcPr>
          <w:p>
            <w:pPr>
              <w:spacing w:after="0"/>
              <w:rPr>
                <w:sz w:val="14"/>
                <w:szCs w:val="14"/>
                <w:color w:val="auto"/>
              </w:rPr>
            </w:pPr>
          </w:p>
        </w:tc>
        <w:tc>
          <w:tcPr>
            <w:tcW w:w="920" w:type="dxa"/>
            <w:vAlign w:val="bottom"/>
            <w:shd w:val="clear" w:color="auto" w:fill="D0EBF2"/>
          </w:tcPr>
          <w:p>
            <w:pPr>
              <w:spacing w:after="0"/>
              <w:rPr>
                <w:sz w:val="14"/>
                <w:szCs w:val="14"/>
                <w:color w:val="auto"/>
              </w:rPr>
            </w:pPr>
          </w:p>
        </w:tc>
        <w:tc>
          <w:tcPr>
            <w:tcW w:w="380" w:type="dxa"/>
            <w:vAlign w:val="bottom"/>
            <w:gridSpan w:val="2"/>
            <w:shd w:val="clear" w:color="auto" w:fill="D0EBF2"/>
          </w:tcPr>
          <w:p>
            <w:pPr>
              <w:jc w:val="right"/>
              <w:spacing w:after="0" w:line="172" w:lineRule="exact"/>
              <w:rPr>
                <w:sz w:val="20"/>
                <w:szCs w:val="20"/>
                <w:color w:val="auto"/>
              </w:rPr>
            </w:pPr>
            <w:r>
              <w:rPr>
                <w:rFonts w:ascii="Times New Roman" w:cs="Times New Roman" w:eastAsia="Times New Roman" w:hAnsi="Times New Roman"/>
                <w:sz w:val="15"/>
                <w:szCs w:val="15"/>
                <w:color w:val="231F20"/>
              </w:rPr>
              <w:t>1,472</w:t>
            </w:r>
          </w:p>
        </w:tc>
        <w:tc>
          <w:tcPr>
            <w:tcW w:w="20" w:type="dxa"/>
            <w:vAlign w:val="bottom"/>
            <w:shd w:val="clear" w:color="auto" w:fill="D0EBF2"/>
          </w:tcPr>
          <w:p>
            <w:pPr>
              <w:spacing w:after="0"/>
              <w:rPr>
                <w:sz w:val="14"/>
                <w:szCs w:val="14"/>
                <w:color w:val="auto"/>
              </w:rPr>
            </w:pPr>
          </w:p>
        </w:tc>
        <w:tc>
          <w:tcPr>
            <w:tcW w:w="100" w:type="dxa"/>
            <w:vAlign w:val="bottom"/>
            <w:shd w:val="clear" w:color="auto" w:fill="D0EBF2"/>
          </w:tcPr>
          <w:p>
            <w:pPr>
              <w:spacing w:after="0"/>
              <w:rPr>
                <w:sz w:val="14"/>
                <w:szCs w:val="14"/>
                <w:color w:val="auto"/>
              </w:rPr>
            </w:pPr>
          </w:p>
        </w:tc>
        <w:tc>
          <w:tcPr>
            <w:tcW w:w="860" w:type="dxa"/>
            <w:vAlign w:val="bottom"/>
            <w:gridSpan w:val="2"/>
            <w:shd w:val="clear" w:color="auto" w:fill="D0EBF2"/>
          </w:tcPr>
          <w:p>
            <w:pPr>
              <w:jc w:val="right"/>
              <w:spacing w:after="0" w:line="172" w:lineRule="exact"/>
              <w:rPr>
                <w:sz w:val="20"/>
                <w:szCs w:val="20"/>
                <w:color w:val="auto"/>
              </w:rPr>
            </w:pPr>
            <w:r>
              <w:rPr>
                <w:rFonts w:ascii="Times New Roman" w:cs="Times New Roman" w:eastAsia="Times New Roman" w:hAnsi="Times New Roman"/>
                <w:sz w:val="15"/>
                <w:szCs w:val="15"/>
                <w:color w:val="231F20"/>
              </w:rPr>
              <w:t>0.1%</w:t>
            </w:r>
          </w:p>
        </w:tc>
        <w:tc>
          <w:tcPr>
            <w:tcW w:w="0" w:type="dxa"/>
            <w:vAlign w:val="bottom"/>
          </w:tcPr>
          <w:p>
            <w:pPr>
              <w:spacing w:after="0"/>
              <w:rPr>
                <w:sz w:val="1"/>
                <w:szCs w:val="1"/>
                <w:color w:val="auto"/>
              </w:rPr>
            </w:pPr>
          </w:p>
        </w:tc>
      </w:tr>
      <w:tr>
        <w:trPr>
          <w:trHeight w:val="186"/>
        </w:trPr>
        <w:tc>
          <w:tcPr>
            <w:tcW w:w="1560" w:type="dxa"/>
            <w:vAlign w:val="bottom"/>
            <w:shd w:val="clear" w:color="auto" w:fill="D0EBF2"/>
          </w:tcPr>
          <w:p>
            <w:pPr>
              <w:spacing w:after="0"/>
              <w:rPr>
                <w:sz w:val="20"/>
                <w:szCs w:val="20"/>
                <w:color w:val="auto"/>
              </w:rPr>
            </w:pPr>
            <w:r>
              <w:rPr>
                <w:rFonts w:ascii="Times New Roman" w:cs="Times New Roman" w:eastAsia="Times New Roman" w:hAnsi="Times New Roman"/>
                <w:sz w:val="15"/>
                <w:szCs w:val="15"/>
                <w:color w:val="231F20"/>
              </w:rPr>
              <w:t>Fund, Series 2020-86A</w:t>
            </w:r>
          </w:p>
        </w:tc>
        <w:tc>
          <w:tcPr>
            <w:tcW w:w="1620" w:type="dxa"/>
            <w:vAlign w:val="bottom"/>
            <w:gridSpan w:val="4"/>
            <w:shd w:val="clear" w:color="auto" w:fill="D0EBF2"/>
          </w:tcPr>
          <w:p>
            <w:pPr>
              <w:ind w:left="80"/>
              <w:spacing w:after="0"/>
              <w:rPr>
                <w:sz w:val="20"/>
                <w:szCs w:val="20"/>
                <w:color w:val="auto"/>
              </w:rPr>
            </w:pPr>
            <w:r>
              <w:rPr>
                <w:rFonts w:ascii="Times New Roman" w:cs="Times New Roman" w:eastAsia="Times New Roman" w:hAnsi="Times New Roman"/>
                <w:sz w:val="15"/>
                <w:szCs w:val="15"/>
                <w:color w:val="231F20"/>
              </w:rPr>
              <w:t>due 7/2034)</w:t>
            </w:r>
          </w:p>
        </w:tc>
        <w:tc>
          <w:tcPr>
            <w:tcW w:w="660" w:type="dxa"/>
            <w:vAlign w:val="bottom"/>
            <w:shd w:val="clear" w:color="auto" w:fill="D0EBF2"/>
          </w:tcPr>
          <w:p>
            <w:pPr>
              <w:spacing w:after="0"/>
              <w:rPr>
                <w:sz w:val="16"/>
                <w:szCs w:val="16"/>
                <w:color w:val="auto"/>
              </w:rPr>
            </w:pPr>
          </w:p>
        </w:tc>
        <w:tc>
          <w:tcPr>
            <w:tcW w:w="360" w:type="dxa"/>
            <w:vAlign w:val="bottom"/>
            <w:shd w:val="clear" w:color="auto" w:fill="D0EBF2"/>
          </w:tcPr>
          <w:p>
            <w:pPr>
              <w:spacing w:after="0"/>
              <w:rPr>
                <w:sz w:val="16"/>
                <w:szCs w:val="16"/>
                <w:color w:val="auto"/>
              </w:rPr>
            </w:pPr>
          </w:p>
        </w:tc>
        <w:tc>
          <w:tcPr>
            <w:tcW w:w="120" w:type="dxa"/>
            <w:vAlign w:val="bottom"/>
            <w:shd w:val="clear" w:color="auto" w:fill="D0EBF2"/>
          </w:tcPr>
          <w:p>
            <w:pPr>
              <w:spacing w:after="0"/>
              <w:rPr>
                <w:sz w:val="16"/>
                <w:szCs w:val="16"/>
                <w:color w:val="auto"/>
              </w:rPr>
            </w:pPr>
          </w:p>
        </w:tc>
        <w:tc>
          <w:tcPr>
            <w:tcW w:w="260" w:type="dxa"/>
            <w:vAlign w:val="bottom"/>
            <w:shd w:val="clear" w:color="auto" w:fill="D0EBF2"/>
          </w:tcPr>
          <w:p>
            <w:pPr>
              <w:spacing w:after="0"/>
              <w:rPr>
                <w:sz w:val="16"/>
                <w:szCs w:val="16"/>
                <w:color w:val="auto"/>
              </w:rPr>
            </w:pPr>
          </w:p>
        </w:tc>
        <w:tc>
          <w:tcPr>
            <w:tcW w:w="940" w:type="dxa"/>
            <w:vAlign w:val="bottom"/>
            <w:gridSpan w:val="2"/>
            <w:shd w:val="clear" w:color="auto" w:fill="D0EBF2"/>
          </w:tcPr>
          <w:p>
            <w:pPr>
              <w:jc w:val="right"/>
              <w:ind w:right="60"/>
              <w:spacing w:after="0"/>
              <w:rPr>
                <w:sz w:val="20"/>
                <w:szCs w:val="20"/>
                <w:color w:val="auto"/>
              </w:rPr>
            </w:pPr>
            <w:r>
              <w:rPr>
                <w:rFonts w:ascii="Times New Roman" w:cs="Times New Roman" w:eastAsia="Times New Roman" w:hAnsi="Times New Roman"/>
                <w:sz w:val="15"/>
                <w:szCs w:val="15"/>
                <w:color w:val="231F20"/>
              </w:rPr>
              <w:t>6.76%</w:t>
            </w:r>
          </w:p>
        </w:tc>
        <w:tc>
          <w:tcPr>
            <w:tcW w:w="140" w:type="dxa"/>
            <w:vAlign w:val="bottom"/>
            <w:shd w:val="clear" w:color="auto" w:fill="D0EBF2"/>
          </w:tcPr>
          <w:p>
            <w:pPr>
              <w:spacing w:after="0"/>
              <w:rPr>
                <w:sz w:val="16"/>
                <w:szCs w:val="16"/>
                <w:color w:val="auto"/>
              </w:rPr>
            </w:pPr>
          </w:p>
        </w:tc>
        <w:tc>
          <w:tcPr>
            <w:tcW w:w="860" w:type="dxa"/>
            <w:vAlign w:val="bottom"/>
            <w:shd w:val="clear" w:color="auto" w:fill="D0EBF2"/>
          </w:tcPr>
          <w:p>
            <w:pPr>
              <w:spacing w:after="0"/>
              <w:rPr>
                <w:sz w:val="16"/>
                <w:szCs w:val="16"/>
                <w:color w:val="auto"/>
              </w:rPr>
            </w:pPr>
          </w:p>
        </w:tc>
        <w:tc>
          <w:tcPr>
            <w:tcW w:w="120" w:type="dxa"/>
            <w:vAlign w:val="bottom"/>
            <w:shd w:val="clear" w:color="auto" w:fill="D0EBF2"/>
          </w:tcPr>
          <w:p>
            <w:pPr>
              <w:spacing w:after="0"/>
              <w:rPr>
                <w:sz w:val="16"/>
                <w:szCs w:val="16"/>
                <w:color w:val="auto"/>
              </w:rPr>
            </w:pPr>
          </w:p>
        </w:tc>
        <w:tc>
          <w:tcPr>
            <w:tcW w:w="80" w:type="dxa"/>
            <w:vAlign w:val="bottom"/>
            <w:shd w:val="clear" w:color="auto" w:fill="D0EBF2"/>
          </w:tcPr>
          <w:p>
            <w:pPr>
              <w:spacing w:after="0"/>
              <w:rPr>
                <w:sz w:val="16"/>
                <w:szCs w:val="16"/>
                <w:color w:val="auto"/>
              </w:rPr>
            </w:pPr>
          </w:p>
        </w:tc>
        <w:tc>
          <w:tcPr>
            <w:tcW w:w="20" w:type="dxa"/>
            <w:vAlign w:val="bottom"/>
            <w:shd w:val="clear" w:color="auto" w:fill="D0EBF2"/>
          </w:tcPr>
          <w:p>
            <w:pPr>
              <w:spacing w:after="0"/>
              <w:rPr>
                <w:sz w:val="16"/>
                <w:szCs w:val="16"/>
                <w:color w:val="auto"/>
              </w:rPr>
            </w:pPr>
          </w:p>
        </w:tc>
        <w:tc>
          <w:tcPr>
            <w:tcW w:w="140" w:type="dxa"/>
            <w:vAlign w:val="bottom"/>
            <w:shd w:val="clear" w:color="auto" w:fill="D0EBF2"/>
          </w:tcPr>
          <w:p>
            <w:pPr>
              <w:spacing w:after="0"/>
              <w:rPr>
                <w:sz w:val="16"/>
                <w:szCs w:val="16"/>
                <w:color w:val="auto"/>
              </w:rPr>
            </w:pPr>
          </w:p>
        </w:tc>
        <w:tc>
          <w:tcPr>
            <w:tcW w:w="760" w:type="dxa"/>
            <w:vAlign w:val="bottom"/>
            <w:shd w:val="clear" w:color="auto" w:fill="D0EBF2"/>
          </w:tcPr>
          <w:p>
            <w:pPr>
              <w:spacing w:after="0"/>
              <w:rPr>
                <w:sz w:val="16"/>
                <w:szCs w:val="16"/>
                <w:color w:val="auto"/>
              </w:rPr>
            </w:pPr>
          </w:p>
        </w:tc>
        <w:tc>
          <w:tcPr>
            <w:tcW w:w="80" w:type="dxa"/>
            <w:vAlign w:val="bottom"/>
            <w:shd w:val="clear" w:color="auto" w:fill="D0EBF2"/>
          </w:tcPr>
          <w:p>
            <w:pPr>
              <w:spacing w:after="0"/>
              <w:rPr>
                <w:sz w:val="16"/>
                <w:szCs w:val="16"/>
                <w:color w:val="auto"/>
              </w:rPr>
            </w:pPr>
          </w:p>
        </w:tc>
        <w:tc>
          <w:tcPr>
            <w:tcW w:w="20" w:type="dxa"/>
            <w:vAlign w:val="bottom"/>
            <w:shd w:val="clear" w:color="auto" w:fill="D0EBF2"/>
          </w:tcPr>
          <w:p>
            <w:pPr>
              <w:spacing w:after="0"/>
              <w:rPr>
                <w:sz w:val="16"/>
                <w:szCs w:val="16"/>
                <w:color w:val="auto"/>
              </w:rPr>
            </w:pPr>
          </w:p>
        </w:tc>
        <w:tc>
          <w:tcPr>
            <w:tcW w:w="80" w:type="dxa"/>
            <w:vAlign w:val="bottom"/>
            <w:shd w:val="clear" w:color="auto" w:fill="D0EBF2"/>
          </w:tcPr>
          <w:p>
            <w:pPr>
              <w:spacing w:after="0"/>
              <w:rPr>
                <w:sz w:val="16"/>
                <w:szCs w:val="16"/>
                <w:color w:val="auto"/>
              </w:rPr>
            </w:pPr>
          </w:p>
        </w:tc>
        <w:tc>
          <w:tcPr>
            <w:tcW w:w="120" w:type="dxa"/>
            <w:vAlign w:val="bottom"/>
            <w:shd w:val="clear" w:color="auto" w:fill="D0EBF2"/>
          </w:tcPr>
          <w:p>
            <w:pPr>
              <w:spacing w:after="0"/>
              <w:rPr>
                <w:sz w:val="16"/>
                <w:szCs w:val="16"/>
                <w:color w:val="auto"/>
              </w:rPr>
            </w:pPr>
          </w:p>
        </w:tc>
        <w:tc>
          <w:tcPr>
            <w:tcW w:w="60" w:type="dxa"/>
            <w:vAlign w:val="bottom"/>
            <w:shd w:val="clear" w:color="auto" w:fill="D0EBF2"/>
          </w:tcPr>
          <w:p>
            <w:pPr>
              <w:spacing w:after="0"/>
              <w:rPr>
                <w:sz w:val="16"/>
                <w:szCs w:val="16"/>
                <w:color w:val="auto"/>
              </w:rPr>
            </w:pPr>
          </w:p>
        </w:tc>
        <w:tc>
          <w:tcPr>
            <w:tcW w:w="920" w:type="dxa"/>
            <w:vAlign w:val="bottom"/>
            <w:shd w:val="clear" w:color="auto" w:fill="D0EBF2"/>
          </w:tcPr>
          <w:p>
            <w:pPr>
              <w:spacing w:after="0"/>
              <w:rPr>
                <w:sz w:val="16"/>
                <w:szCs w:val="16"/>
                <w:color w:val="auto"/>
              </w:rPr>
            </w:pPr>
          </w:p>
        </w:tc>
        <w:tc>
          <w:tcPr>
            <w:tcW w:w="220" w:type="dxa"/>
            <w:vAlign w:val="bottom"/>
            <w:shd w:val="clear" w:color="auto" w:fill="D0EBF2"/>
          </w:tcPr>
          <w:p>
            <w:pPr>
              <w:spacing w:after="0"/>
              <w:rPr>
                <w:sz w:val="16"/>
                <w:szCs w:val="16"/>
                <w:color w:val="auto"/>
              </w:rPr>
            </w:pPr>
          </w:p>
        </w:tc>
        <w:tc>
          <w:tcPr>
            <w:tcW w:w="160" w:type="dxa"/>
            <w:vAlign w:val="bottom"/>
            <w:shd w:val="clear" w:color="auto" w:fill="D0EBF2"/>
          </w:tcPr>
          <w:p>
            <w:pPr>
              <w:spacing w:after="0"/>
              <w:rPr>
                <w:sz w:val="16"/>
                <w:szCs w:val="16"/>
                <w:color w:val="auto"/>
              </w:rPr>
            </w:pPr>
          </w:p>
        </w:tc>
        <w:tc>
          <w:tcPr>
            <w:tcW w:w="20" w:type="dxa"/>
            <w:vAlign w:val="bottom"/>
            <w:shd w:val="clear" w:color="auto" w:fill="D0EBF2"/>
          </w:tcPr>
          <w:p>
            <w:pPr>
              <w:spacing w:after="0"/>
              <w:rPr>
                <w:sz w:val="16"/>
                <w:szCs w:val="16"/>
                <w:color w:val="auto"/>
              </w:rPr>
            </w:pPr>
          </w:p>
        </w:tc>
        <w:tc>
          <w:tcPr>
            <w:tcW w:w="100" w:type="dxa"/>
            <w:vAlign w:val="bottom"/>
            <w:shd w:val="clear" w:color="auto" w:fill="D0EBF2"/>
          </w:tcPr>
          <w:p>
            <w:pPr>
              <w:spacing w:after="0"/>
              <w:rPr>
                <w:sz w:val="16"/>
                <w:szCs w:val="16"/>
                <w:color w:val="auto"/>
              </w:rPr>
            </w:pPr>
          </w:p>
        </w:tc>
        <w:tc>
          <w:tcPr>
            <w:tcW w:w="760" w:type="dxa"/>
            <w:vAlign w:val="bottom"/>
            <w:shd w:val="clear" w:color="auto" w:fill="D0EBF2"/>
          </w:tcPr>
          <w:p>
            <w:pPr>
              <w:spacing w:after="0"/>
              <w:rPr>
                <w:sz w:val="16"/>
                <w:szCs w:val="16"/>
                <w:color w:val="auto"/>
              </w:rPr>
            </w:pPr>
          </w:p>
        </w:tc>
        <w:tc>
          <w:tcPr>
            <w:tcW w:w="100" w:type="dxa"/>
            <w:vAlign w:val="bottom"/>
            <w:shd w:val="clear" w:color="auto" w:fill="D0EBF2"/>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1560" w:type="dxa"/>
            <w:vAlign w:val="bottom"/>
            <w:tcBorders>
              <w:bottom w:val="single" w:sz="8" w:color="D0EBF2"/>
            </w:tcBorders>
            <w:shd w:val="clear" w:color="auto" w:fill="D0EBF2"/>
          </w:tcPr>
          <w:p>
            <w:pPr>
              <w:spacing w:after="0"/>
              <w:rPr>
                <w:sz w:val="20"/>
                <w:szCs w:val="20"/>
                <w:color w:val="auto"/>
              </w:rPr>
            </w:pPr>
            <w:r>
              <w:rPr>
                <w:rFonts w:ascii="Times New Roman" w:cs="Times New Roman" w:eastAsia="Times New Roman" w:hAnsi="Times New Roman"/>
                <w:sz w:val="9"/>
                <w:szCs w:val="9"/>
                <w:color w:val="231F20"/>
              </w:rPr>
              <w:t>(3)(4)(9)</w:t>
            </w:r>
          </w:p>
        </w:tc>
        <w:tc>
          <w:tcPr>
            <w:tcW w:w="340" w:type="dxa"/>
            <w:vAlign w:val="bottom"/>
            <w:tcBorders>
              <w:bottom w:val="single" w:sz="8" w:color="D0EBF2"/>
            </w:tcBorders>
            <w:shd w:val="clear" w:color="auto" w:fill="D0EBF2"/>
          </w:tcPr>
          <w:p>
            <w:pPr>
              <w:spacing w:after="0"/>
              <w:rPr>
                <w:sz w:val="15"/>
                <w:szCs w:val="15"/>
                <w:color w:val="auto"/>
              </w:rPr>
            </w:pPr>
          </w:p>
        </w:tc>
        <w:tc>
          <w:tcPr>
            <w:tcW w:w="1100" w:type="dxa"/>
            <w:vAlign w:val="bottom"/>
            <w:tcBorders>
              <w:bottom w:val="single" w:sz="8" w:color="D0EBF2"/>
            </w:tcBorders>
            <w:shd w:val="clear" w:color="auto" w:fill="D0EBF2"/>
          </w:tcPr>
          <w:p>
            <w:pPr>
              <w:spacing w:after="0"/>
              <w:rPr>
                <w:sz w:val="15"/>
                <w:szCs w:val="15"/>
                <w:color w:val="auto"/>
              </w:rPr>
            </w:pPr>
          </w:p>
        </w:tc>
        <w:tc>
          <w:tcPr>
            <w:tcW w:w="120" w:type="dxa"/>
            <w:vAlign w:val="bottom"/>
            <w:tcBorders>
              <w:bottom w:val="single" w:sz="8" w:color="D0EBF2"/>
            </w:tcBorders>
            <w:shd w:val="clear" w:color="auto" w:fill="D0EBF2"/>
          </w:tcPr>
          <w:p>
            <w:pPr>
              <w:spacing w:after="0"/>
              <w:rPr>
                <w:sz w:val="15"/>
                <w:szCs w:val="15"/>
                <w:color w:val="auto"/>
              </w:rPr>
            </w:pPr>
          </w:p>
        </w:tc>
        <w:tc>
          <w:tcPr>
            <w:tcW w:w="60" w:type="dxa"/>
            <w:vAlign w:val="bottom"/>
            <w:tcBorders>
              <w:bottom w:val="single" w:sz="8" w:color="D0EBF2"/>
            </w:tcBorders>
            <w:shd w:val="clear" w:color="auto" w:fill="D0EBF2"/>
          </w:tcPr>
          <w:p>
            <w:pPr>
              <w:spacing w:after="0"/>
              <w:rPr>
                <w:sz w:val="15"/>
                <w:szCs w:val="15"/>
                <w:color w:val="auto"/>
              </w:rPr>
            </w:pPr>
          </w:p>
        </w:tc>
        <w:tc>
          <w:tcPr>
            <w:tcW w:w="660" w:type="dxa"/>
            <w:vAlign w:val="bottom"/>
            <w:tcBorders>
              <w:bottom w:val="single" w:sz="8" w:color="D0EBF2"/>
            </w:tcBorders>
            <w:shd w:val="clear" w:color="auto" w:fill="D0EBF2"/>
          </w:tcPr>
          <w:p>
            <w:pPr>
              <w:spacing w:after="0"/>
              <w:rPr>
                <w:sz w:val="15"/>
                <w:szCs w:val="15"/>
                <w:color w:val="auto"/>
              </w:rPr>
            </w:pPr>
          </w:p>
        </w:tc>
        <w:tc>
          <w:tcPr>
            <w:tcW w:w="360" w:type="dxa"/>
            <w:vAlign w:val="bottom"/>
            <w:tcBorders>
              <w:bottom w:val="single" w:sz="8" w:color="D0EBF2"/>
            </w:tcBorders>
            <w:shd w:val="clear" w:color="auto" w:fill="D0EBF2"/>
          </w:tcPr>
          <w:p>
            <w:pPr>
              <w:spacing w:after="0"/>
              <w:rPr>
                <w:sz w:val="15"/>
                <w:szCs w:val="15"/>
                <w:color w:val="auto"/>
              </w:rPr>
            </w:pPr>
          </w:p>
        </w:tc>
        <w:tc>
          <w:tcPr>
            <w:tcW w:w="120" w:type="dxa"/>
            <w:vAlign w:val="bottom"/>
            <w:tcBorders>
              <w:bottom w:val="single" w:sz="8" w:color="D0EBF2"/>
            </w:tcBorders>
            <w:shd w:val="clear" w:color="auto" w:fill="D0EBF2"/>
          </w:tcPr>
          <w:p>
            <w:pPr>
              <w:spacing w:after="0"/>
              <w:rPr>
                <w:sz w:val="15"/>
                <w:szCs w:val="15"/>
                <w:color w:val="auto"/>
              </w:rPr>
            </w:pPr>
          </w:p>
        </w:tc>
        <w:tc>
          <w:tcPr>
            <w:tcW w:w="260" w:type="dxa"/>
            <w:vAlign w:val="bottom"/>
            <w:tcBorders>
              <w:bottom w:val="single" w:sz="8" w:color="D0EBF2"/>
            </w:tcBorders>
            <w:shd w:val="clear" w:color="auto" w:fill="D0EBF2"/>
          </w:tcPr>
          <w:p>
            <w:pPr>
              <w:spacing w:after="0"/>
              <w:rPr>
                <w:sz w:val="15"/>
                <w:szCs w:val="15"/>
                <w:color w:val="auto"/>
              </w:rPr>
            </w:pPr>
          </w:p>
        </w:tc>
        <w:tc>
          <w:tcPr>
            <w:tcW w:w="820" w:type="dxa"/>
            <w:vAlign w:val="bottom"/>
            <w:tcBorders>
              <w:bottom w:val="single" w:sz="8" w:color="D0EBF2"/>
            </w:tcBorders>
            <w:shd w:val="clear" w:color="auto" w:fill="D0EBF2"/>
          </w:tcPr>
          <w:p>
            <w:pPr>
              <w:spacing w:after="0"/>
              <w:rPr>
                <w:sz w:val="15"/>
                <w:szCs w:val="15"/>
                <w:color w:val="auto"/>
              </w:rPr>
            </w:pPr>
          </w:p>
        </w:tc>
        <w:tc>
          <w:tcPr>
            <w:tcW w:w="120" w:type="dxa"/>
            <w:vAlign w:val="bottom"/>
            <w:tcBorders>
              <w:bottom w:val="single" w:sz="8" w:color="D0EBF2"/>
            </w:tcBorders>
            <w:shd w:val="clear" w:color="auto" w:fill="D0EBF2"/>
          </w:tcPr>
          <w:p>
            <w:pPr>
              <w:spacing w:after="0"/>
              <w:rPr>
                <w:sz w:val="15"/>
                <w:szCs w:val="15"/>
                <w:color w:val="auto"/>
              </w:rPr>
            </w:pPr>
          </w:p>
        </w:tc>
        <w:tc>
          <w:tcPr>
            <w:tcW w:w="140" w:type="dxa"/>
            <w:vAlign w:val="bottom"/>
            <w:tcBorders>
              <w:bottom w:val="single" w:sz="8" w:color="D0EBF2"/>
            </w:tcBorders>
            <w:shd w:val="clear" w:color="auto" w:fill="D0EBF2"/>
          </w:tcPr>
          <w:p>
            <w:pPr>
              <w:spacing w:after="0"/>
              <w:rPr>
                <w:sz w:val="15"/>
                <w:szCs w:val="15"/>
                <w:color w:val="auto"/>
              </w:rPr>
            </w:pPr>
          </w:p>
        </w:tc>
        <w:tc>
          <w:tcPr>
            <w:tcW w:w="860" w:type="dxa"/>
            <w:vAlign w:val="bottom"/>
            <w:tcBorders>
              <w:bottom w:val="single" w:sz="8" w:color="D0EBF2"/>
            </w:tcBorders>
            <w:shd w:val="clear" w:color="auto" w:fill="D0EBF2"/>
          </w:tcPr>
          <w:p>
            <w:pPr>
              <w:spacing w:after="0"/>
              <w:rPr>
                <w:sz w:val="15"/>
                <w:szCs w:val="15"/>
                <w:color w:val="auto"/>
              </w:rPr>
            </w:pPr>
          </w:p>
        </w:tc>
        <w:tc>
          <w:tcPr>
            <w:tcW w:w="120" w:type="dxa"/>
            <w:vAlign w:val="bottom"/>
            <w:tcBorders>
              <w:bottom w:val="single" w:sz="8" w:color="D0EBF2"/>
            </w:tcBorders>
            <w:shd w:val="clear" w:color="auto" w:fill="D0EBF2"/>
          </w:tcPr>
          <w:p>
            <w:pPr>
              <w:spacing w:after="0"/>
              <w:rPr>
                <w:sz w:val="15"/>
                <w:szCs w:val="15"/>
                <w:color w:val="auto"/>
              </w:rPr>
            </w:pPr>
          </w:p>
        </w:tc>
        <w:tc>
          <w:tcPr>
            <w:tcW w:w="80" w:type="dxa"/>
            <w:vAlign w:val="bottom"/>
            <w:tcBorders>
              <w:bottom w:val="single" w:sz="8" w:color="D0EBF2"/>
            </w:tcBorders>
            <w:shd w:val="clear" w:color="auto" w:fill="D0EBF2"/>
          </w:tcPr>
          <w:p>
            <w:pPr>
              <w:spacing w:after="0"/>
              <w:rPr>
                <w:sz w:val="15"/>
                <w:szCs w:val="15"/>
                <w:color w:val="auto"/>
              </w:rPr>
            </w:pPr>
          </w:p>
        </w:tc>
        <w:tc>
          <w:tcPr>
            <w:tcW w:w="20" w:type="dxa"/>
            <w:vAlign w:val="bottom"/>
            <w:tcBorders>
              <w:bottom w:val="single" w:sz="8" w:color="D0EBF2"/>
            </w:tcBorders>
            <w:shd w:val="clear" w:color="auto" w:fill="D0EBF2"/>
          </w:tcPr>
          <w:p>
            <w:pPr>
              <w:spacing w:after="0"/>
              <w:rPr>
                <w:sz w:val="15"/>
                <w:szCs w:val="15"/>
                <w:color w:val="auto"/>
              </w:rPr>
            </w:pPr>
          </w:p>
        </w:tc>
        <w:tc>
          <w:tcPr>
            <w:tcW w:w="140" w:type="dxa"/>
            <w:vAlign w:val="bottom"/>
            <w:tcBorders>
              <w:bottom w:val="single" w:sz="8" w:color="D0EBF2"/>
            </w:tcBorders>
            <w:shd w:val="clear" w:color="auto" w:fill="D0EBF2"/>
          </w:tcPr>
          <w:p>
            <w:pPr>
              <w:spacing w:after="0"/>
              <w:rPr>
                <w:sz w:val="15"/>
                <w:szCs w:val="15"/>
                <w:color w:val="auto"/>
              </w:rPr>
            </w:pPr>
          </w:p>
        </w:tc>
        <w:tc>
          <w:tcPr>
            <w:tcW w:w="760" w:type="dxa"/>
            <w:vAlign w:val="bottom"/>
            <w:tcBorders>
              <w:bottom w:val="single" w:sz="8" w:color="D0EBF2"/>
            </w:tcBorders>
            <w:shd w:val="clear" w:color="auto" w:fill="D0EBF2"/>
          </w:tcPr>
          <w:p>
            <w:pPr>
              <w:spacing w:after="0"/>
              <w:rPr>
                <w:sz w:val="15"/>
                <w:szCs w:val="15"/>
                <w:color w:val="auto"/>
              </w:rPr>
            </w:pPr>
          </w:p>
        </w:tc>
        <w:tc>
          <w:tcPr>
            <w:tcW w:w="80" w:type="dxa"/>
            <w:vAlign w:val="bottom"/>
            <w:tcBorders>
              <w:bottom w:val="single" w:sz="8" w:color="D0EBF2"/>
            </w:tcBorders>
            <w:shd w:val="clear" w:color="auto" w:fill="D0EBF2"/>
          </w:tcPr>
          <w:p>
            <w:pPr>
              <w:spacing w:after="0"/>
              <w:rPr>
                <w:sz w:val="15"/>
                <w:szCs w:val="15"/>
                <w:color w:val="auto"/>
              </w:rPr>
            </w:pPr>
          </w:p>
        </w:tc>
        <w:tc>
          <w:tcPr>
            <w:tcW w:w="20" w:type="dxa"/>
            <w:vAlign w:val="bottom"/>
            <w:tcBorders>
              <w:bottom w:val="single" w:sz="8" w:color="D0EBF2"/>
            </w:tcBorders>
            <w:shd w:val="clear" w:color="auto" w:fill="D0EBF2"/>
          </w:tcPr>
          <w:p>
            <w:pPr>
              <w:spacing w:after="0"/>
              <w:rPr>
                <w:sz w:val="15"/>
                <w:szCs w:val="15"/>
                <w:color w:val="auto"/>
              </w:rPr>
            </w:pPr>
          </w:p>
        </w:tc>
        <w:tc>
          <w:tcPr>
            <w:tcW w:w="80" w:type="dxa"/>
            <w:vAlign w:val="bottom"/>
            <w:tcBorders>
              <w:bottom w:val="single" w:sz="8" w:color="D0EBF2"/>
            </w:tcBorders>
            <w:shd w:val="clear" w:color="auto" w:fill="D0EBF2"/>
          </w:tcPr>
          <w:p>
            <w:pPr>
              <w:spacing w:after="0"/>
              <w:rPr>
                <w:sz w:val="15"/>
                <w:szCs w:val="15"/>
                <w:color w:val="auto"/>
              </w:rPr>
            </w:pPr>
          </w:p>
        </w:tc>
        <w:tc>
          <w:tcPr>
            <w:tcW w:w="120" w:type="dxa"/>
            <w:vAlign w:val="bottom"/>
            <w:tcBorders>
              <w:bottom w:val="single" w:sz="8" w:color="D0EBF2"/>
            </w:tcBorders>
            <w:shd w:val="clear" w:color="auto" w:fill="D0EBF2"/>
          </w:tcPr>
          <w:p>
            <w:pPr>
              <w:spacing w:after="0"/>
              <w:rPr>
                <w:sz w:val="15"/>
                <w:szCs w:val="15"/>
                <w:color w:val="auto"/>
              </w:rPr>
            </w:pPr>
          </w:p>
        </w:tc>
        <w:tc>
          <w:tcPr>
            <w:tcW w:w="60" w:type="dxa"/>
            <w:vAlign w:val="bottom"/>
            <w:tcBorders>
              <w:bottom w:val="single" w:sz="8" w:color="D0EBF2"/>
            </w:tcBorders>
            <w:shd w:val="clear" w:color="auto" w:fill="D0EBF2"/>
          </w:tcPr>
          <w:p>
            <w:pPr>
              <w:spacing w:after="0"/>
              <w:rPr>
                <w:sz w:val="15"/>
                <w:szCs w:val="15"/>
                <w:color w:val="auto"/>
              </w:rPr>
            </w:pPr>
          </w:p>
        </w:tc>
        <w:tc>
          <w:tcPr>
            <w:tcW w:w="920" w:type="dxa"/>
            <w:vAlign w:val="bottom"/>
            <w:tcBorders>
              <w:bottom w:val="single" w:sz="8" w:color="D0EBF2"/>
            </w:tcBorders>
            <w:shd w:val="clear" w:color="auto" w:fill="D0EBF2"/>
          </w:tcPr>
          <w:p>
            <w:pPr>
              <w:spacing w:after="0"/>
              <w:rPr>
                <w:sz w:val="15"/>
                <w:szCs w:val="15"/>
                <w:color w:val="auto"/>
              </w:rPr>
            </w:pPr>
          </w:p>
        </w:tc>
        <w:tc>
          <w:tcPr>
            <w:tcW w:w="220" w:type="dxa"/>
            <w:vAlign w:val="bottom"/>
            <w:tcBorders>
              <w:bottom w:val="single" w:sz="8" w:color="D0EBF2"/>
            </w:tcBorders>
            <w:shd w:val="clear" w:color="auto" w:fill="D0EBF2"/>
          </w:tcPr>
          <w:p>
            <w:pPr>
              <w:spacing w:after="0"/>
              <w:rPr>
                <w:sz w:val="15"/>
                <w:szCs w:val="15"/>
                <w:color w:val="auto"/>
              </w:rPr>
            </w:pPr>
          </w:p>
        </w:tc>
        <w:tc>
          <w:tcPr>
            <w:tcW w:w="160" w:type="dxa"/>
            <w:vAlign w:val="bottom"/>
            <w:tcBorders>
              <w:bottom w:val="single" w:sz="8" w:color="D0EBF2"/>
            </w:tcBorders>
            <w:shd w:val="clear" w:color="auto" w:fill="D0EBF2"/>
          </w:tcPr>
          <w:p>
            <w:pPr>
              <w:spacing w:after="0"/>
              <w:rPr>
                <w:sz w:val="15"/>
                <w:szCs w:val="15"/>
                <w:color w:val="auto"/>
              </w:rPr>
            </w:pPr>
          </w:p>
        </w:tc>
        <w:tc>
          <w:tcPr>
            <w:tcW w:w="20" w:type="dxa"/>
            <w:vAlign w:val="bottom"/>
            <w:tcBorders>
              <w:bottom w:val="single" w:sz="8" w:color="D0EBF2"/>
            </w:tcBorders>
            <w:shd w:val="clear" w:color="auto" w:fill="D0EBF2"/>
          </w:tcPr>
          <w:p>
            <w:pPr>
              <w:spacing w:after="0"/>
              <w:rPr>
                <w:sz w:val="15"/>
                <w:szCs w:val="15"/>
                <w:color w:val="auto"/>
              </w:rPr>
            </w:pPr>
          </w:p>
        </w:tc>
        <w:tc>
          <w:tcPr>
            <w:tcW w:w="100" w:type="dxa"/>
            <w:vAlign w:val="bottom"/>
            <w:tcBorders>
              <w:bottom w:val="single" w:sz="8" w:color="D0EBF2"/>
            </w:tcBorders>
            <w:shd w:val="clear" w:color="auto" w:fill="D0EBF2"/>
          </w:tcPr>
          <w:p>
            <w:pPr>
              <w:spacing w:after="0"/>
              <w:rPr>
                <w:sz w:val="15"/>
                <w:szCs w:val="15"/>
                <w:color w:val="auto"/>
              </w:rPr>
            </w:pPr>
          </w:p>
        </w:tc>
        <w:tc>
          <w:tcPr>
            <w:tcW w:w="760" w:type="dxa"/>
            <w:vAlign w:val="bottom"/>
            <w:tcBorders>
              <w:bottom w:val="single" w:sz="8" w:color="D0EBF2"/>
            </w:tcBorders>
            <w:shd w:val="clear" w:color="auto" w:fill="D0EBF2"/>
          </w:tcPr>
          <w:p>
            <w:pPr>
              <w:spacing w:after="0"/>
              <w:rPr>
                <w:sz w:val="15"/>
                <w:szCs w:val="15"/>
                <w:color w:val="auto"/>
              </w:rPr>
            </w:pPr>
          </w:p>
        </w:tc>
        <w:tc>
          <w:tcPr>
            <w:tcW w:w="100" w:type="dxa"/>
            <w:vAlign w:val="bottom"/>
            <w:tcBorders>
              <w:bottom w:val="single" w:sz="8" w:color="D0EBF2"/>
            </w:tcBorders>
            <w:shd w:val="clear" w:color="auto" w:fill="D0EBF2"/>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560" w:type="dxa"/>
            <w:vAlign w:val="bottom"/>
            <w:tcBorders>
              <w:top w:val="single" w:sz="8" w:color="D0EBF2"/>
              <w:bottom w:val="single" w:sz="8" w:color="D0EBF2"/>
            </w:tcBorders>
            <w:shd w:val="clear" w:color="auto" w:fill="FDFDFC"/>
          </w:tcPr>
          <w:p>
            <w:pPr>
              <w:spacing w:after="0"/>
              <w:rPr>
                <w:sz w:val="15"/>
                <w:szCs w:val="15"/>
                <w:color w:val="auto"/>
              </w:rPr>
            </w:pPr>
          </w:p>
        </w:tc>
        <w:tc>
          <w:tcPr>
            <w:tcW w:w="340" w:type="dxa"/>
            <w:vAlign w:val="bottom"/>
            <w:tcBorders>
              <w:top w:val="single" w:sz="8" w:color="D0EBF2"/>
              <w:bottom w:val="single" w:sz="8" w:color="D0EBF2"/>
            </w:tcBorders>
            <w:shd w:val="clear" w:color="auto" w:fill="FDFDFC"/>
          </w:tcPr>
          <w:p>
            <w:pPr>
              <w:spacing w:after="0"/>
              <w:rPr>
                <w:sz w:val="15"/>
                <w:szCs w:val="15"/>
                <w:color w:val="auto"/>
              </w:rPr>
            </w:pPr>
          </w:p>
        </w:tc>
        <w:tc>
          <w:tcPr>
            <w:tcW w:w="1100" w:type="dxa"/>
            <w:vAlign w:val="bottom"/>
            <w:tcBorders>
              <w:top w:val="single" w:sz="8" w:color="D0EBF2"/>
              <w:bottom w:val="single" w:sz="8" w:color="D0EBF2"/>
            </w:tcBorders>
            <w:shd w:val="clear" w:color="auto" w:fill="FDFDFC"/>
          </w:tcPr>
          <w:p>
            <w:pPr>
              <w:spacing w:after="0"/>
              <w:rPr>
                <w:sz w:val="15"/>
                <w:szCs w:val="15"/>
                <w:color w:val="auto"/>
              </w:rPr>
            </w:pPr>
          </w:p>
        </w:tc>
        <w:tc>
          <w:tcPr>
            <w:tcW w:w="120" w:type="dxa"/>
            <w:vAlign w:val="bottom"/>
            <w:tcBorders>
              <w:top w:val="single" w:sz="8" w:color="D0EBF2"/>
              <w:bottom w:val="single" w:sz="8" w:color="D0EBF2"/>
            </w:tcBorders>
            <w:shd w:val="clear" w:color="auto" w:fill="FDFDFC"/>
          </w:tcPr>
          <w:p>
            <w:pPr>
              <w:spacing w:after="0"/>
              <w:rPr>
                <w:sz w:val="15"/>
                <w:szCs w:val="15"/>
                <w:color w:val="auto"/>
              </w:rPr>
            </w:pPr>
          </w:p>
        </w:tc>
        <w:tc>
          <w:tcPr>
            <w:tcW w:w="60" w:type="dxa"/>
            <w:vAlign w:val="bottom"/>
            <w:tcBorders>
              <w:top w:val="single" w:sz="8" w:color="D0EBF2"/>
              <w:bottom w:val="single" w:sz="8" w:color="D0EBF2"/>
            </w:tcBorders>
            <w:shd w:val="clear" w:color="auto" w:fill="FDFDFC"/>
          </w:tcPr>
          <w:p>
            <w:pPr>
              <w:spacing w:after="0"/>
              <w:rPr>
                <w:sz w:val="15"/>
                <w:szCs w:val="15"/>
                <w:color w:val="auto"/>
              </w:rPr>
            </w:pPr>
          </w:p>
        </w:tc>
        <w:tc>
          <w:tcPr>
            <w:tcW w:w="660" w:type="dxa"/>
            <w:vAlign w:val="bottom"/>
            <w:tcBorders>
              <w:top w:val="single" w:sz="8" w:color="D0EBF2"/>
              <w:bottom w:val="single" w:sz="8" w:color="D0EBF2"/>
            </w:tcBorders>
            <w:shd w:val="clear" w:color="auto" w:fill="FDFDFC"/>
          </w:tcPr>
          <w:p>
            <w:pPr>
              <w:spacing w:after="0"/>
              <w:rPr>
                <w:sz w:val="15"/>
                <w:szCs w:val="15"/>
                <w:color w:val="auto"/>
              </w:rPr>
            </w:pPr>
          </w:p>
        </w:tc>
        <w:tc>
          <w:tcPr>
            <w:tcW w:w="360" w:type="dxa"/>
            <w:vAlign w:val="bottom"/>
            <w:tcBorders>
              <w:top w:val="single" w:sz="8" w:color="D0EBF2"/>
              <w:bottom w:val="single" w:sz="8" w:color="D0EBF2"/>
            </w:tcBorders>
            <w:shd w:val="clear" w:color="auto" w:fill="FDFDFC"/>
          </w:tcPr>
          <w:p>
            <w:pPr>
              <w:spacing w:after="0"/>
              <w:rPr>
                <w:sz w:val="15"/>
                <w:szCs w:val="15"/>
                <w:color w:val="auto"/>
              </w:rPr>
            </w:pPr>
          </w:p>
        </w:tc>
        <w:tc>
          <w:tcPr>
            <w:tcW w:w="120" w:type="dxa"/>
            <w:vAlign w:val="bottom"/>
            <w:tcBorders>
              <w:top w:val="single" w:sz="8" w:color="D0EBF2"/>
              <w:bottom w:val="single" w:sz="8" w:color="D0EBF2"/>
            </w:tcBorders>
            <w:shd w:val="clear" w:color="auto" w:fill="FDFDFC"/>
          </w:tcPr>
          <w:p>
            <w:pPr>
              <w:spacing w:after="0"/>
              <w:rPr>
                <w:sz w:val="15"/>
                <w:szCs w:val="15"/>
                <w:color w:val="auto"/>
              </w:rPr>
            </w:pPr>
          </w:p>
        </w:tc>
        <w:tc>
          <w:tcPr>
            <w:tcW w:w="260" w:type="dxa"/>
            <w:vAlign w:val="bottom"/>
            <w:tcBorders>
              <w:top w:val="single" w:sz="8" w:color="D0EBF2"/>
              <w:bottom w:val="single" w:sz="8" w:color="D0EBF2"/>
            </w:tcBorders>
            <w:shd w:val="clear" w:color="auto" w:fill="FDFDFC"/>
          </w:tcPr>
          <w:p>
            <w:pPr>
              <w:spacing w:after="0"/>
              <w:rPr>
                <w:sz w:val="15"/>
                <w:szCs w:val="15"/>
                <w:color w:val="auto"/>
              </w:rPr>
            </w:pPr>
          </w:p>
        </w:tc>
        <w:tc>
          <w:tcPr>
            <w:tcW w:w="820" w:type="dxa"/>
            <w:vAlign w:val="bottom"/>
            <w:tcBorders>
              <w:top w:val="single" w:sz="8" w:color="D0EBF2"/>
              <w:bottom w:val="single" w:sz="8" w:color="D0EBF2"/>
            </w:tcBorders>
            <w:shd w:val="clear" w:color="auto" w:fill="FDFDFC"/>
          </w:tcPr>
          <w:p>
            <w:pPr>
              <w:spacing w:after="0"/>
              <w:rPr>
                <w:sz w:val="15"/>
                <w:szCs w:val="15"/>
                <w:color w:val="auto"/>
              </w:rPr>
            </w:pPr>
          </w:p>
        </w:tc>
        <w:tc>
          <w:tcPr>
            <w:tcW w:w="120" w:type="dxa"/>
            <w:vAlign w:val="bottom"/>
            <w:tcBorders>
              <w:top w:val="single" w:sz="8" w:color="D0EBF2"/>
              <w:bottom w:val="single" w:sz="8" w:color="D0EBF2"/>
            </w:tcBorders>
            <w:shd w:val="clear" w:color="auto" w:fill="FDFDFC"/>
          </w:tcPr>
          <w:p>
            <w:pPr>
              <w:spacing w:after="0"/>
              <w:rPr>
                <w:sz w:val="15"/>
                <w:szCs w:val="15"/>
                <w:color w:val="auto"/>
              </w:rPr>
            </w:pPr>
          </w:p>
        </w:tc>
        <w:tc>
          <w:tcPr>
            <w:tcW w:w="140" w:type="dxa"/>
            <w:vAlign w:val="bottom"/>
            <w:tcBorders>
              <w:top w:val="single" w:sz="8" w:color="D0EBF2"/>
              <w:bottom w:val="single" w:sz="8" w:color="D0EBF2"/>
            </w:tcBorders>
            <w:shd w:val="clear" w:color="auto" w:fill="FDFDFC"/>
          </w:tcPr>
          <w:p>
            <w:pPr>
              <w:spacing w:after="0"/>
              <w:rPr>
                <w:sz w:val="15"/>
                <w:szCs w:val="15"/>
                <w:color w:val="auto"/>
              </w:rPr>
            </w:pPr>
          </w:p>
        </w:tc>
        <w:tc>
          <w:tcPr>
            <w:tcW w:w="860" w:type="dxa"/>
            <w:vAlign w:val="bottom"/>
            <w:tcBorders>
              <w:top w:val="single" w:sz="8" w:color="D0EBF2"/>
              <w:bottom w:val="single" w:sz="8" w:color="D0EBF2"/>
            </w:tcBorders>
            <w:shd w:val="clear" w:color="auto" w:fill="FDFDFC"/>
          </w:tcPr>
          <w:p>
            <w:pPr>
              <w:spacing w:after="0"/>
              <w:rPr>
                <w:sz w:val="15"/>
                <w:szCs w:val="15"/>
                <w:color w:val="auto"/>
              </w:rPr>
            </w:pPr>
          </w:p>
        </w:tc>
        <w:tc>
          <w:tcPr>
            <w:tcW w:w="120" w:type="dxa"/>
            <w:vAlign w:val="bottom"/>
            <w:tcBorders>
              <w:top w:val="single" w:sz="8" w:color="D0EBF2"/>
              <w:bottom w:val="single" w:sz="8" w:color="D0EBF2"/>
            </w:tcBorders>
            <w:shd w:val="clear" w:color="auto" w:fill="FDFDFC"/>
          </w:tcPr>
          <w:p>
            <w:pPr>
              <w:spacing w:after="0"/>
              <w:rPr>
                <w:sz w:val="15"/>
                <w:szCs w:val="15"/>
                <w:color w:val="auto"/>
              </w:rPr>
            </w:pPr>
          </w:p>
        </w:tc>
        <w:tc>
          <w:tcPr>
            <w:tcW w:w="80" w:type="dxa"/>
            <w:vAlign w:val="bottom"/>
            <w:tcBorders>
              <w:top w:val="single" w:sz="8" w:color="231F20"/>
              <w:bottom w:val="single" w:sz="8" w:color="231F20"/>
            </w:tcBorders>
            <w:shd w:val="clear" w:color="auto" w:fill="FDFDFC"/>
          </w:tcPr>
          <w:p>
            <w:pPr>
              <w:spacing w:after="0"/>
              <w:rPr>
                <w:sz w:val="15"/>
                <w:szCs w:val="15"/>
                <w:color w:val="auto"/>
              </w:rPr>
            </w:pPr>
          </w:p>
        </w:tc>
        <w:tc>
          <w:tcPr>
            <w:tcW w:w="20" w:type="dxa"/>
            <w:vAlign w:val="bottom"/>
            <w:tcBorders>
              <w:top w:val="single" w:sz="8" w:color="231F20"/>
              <w:bottom w:val="single" w:sz="8" w:color="231F20"/>
            </w:tcBorders>
            <w:shd w:val="clear" w:color="auto" w:fill="FDFDFC"/>
          </w:tcPr>
          <w:p>
            <w:pPr>
              <w:spacing w:after="0"/>
              <w:rPr>
                <w:sz w:val="15"/>
                <w:szCs w:val="15"/>
                <w:color w:val="auto"/>
              </w:rPr>
            </w:pPr>
          </w:p>
        </w:tc>
        <w:tc>
          <w:tcPr>
            <w:tcW w:w="140" w:type="dxa"/>
            <w:vAlign w:val="bottom"/>
            <w:tcBorders>
              <w:top w:val="single" w:sz="8" w:color="231F20"/>
              <w:bottom w:val="single" w:sz="8" w:color="231F20"/>
            </w:tcBorders>
            <w:shd w:val="clear" w:color="auto" w:fill="FDFDFC"/>
          </w:tcPr>
          <w:p>
            <w:pPr>
              <w:spacing w:after="0"/>
              <w:rPr>
                <w:sz w:val="15"/>
                <w:szCs w:val="15"/>
                <w:color w:val="auto"/>
              </w:rPr>
            </w:pPr>
          </w:p>
        </w:tc>
        <w:tc>
          <w:tcPr>
            <w:tcW w:w="760" w:type="dxa"/>
            <w:vAlign w:val="bottom"/>
            <w:tcBorders>
              <w:top w:val="single" w:sz="8" w:color="231F20"/>
              <w:bottom w:val="single" w:sz="8" w:color="231F20"/>
            </w:tcBorders>
            <w:shd w:val="clear" w:color="auto" w:fill="FDFDFC"/>
          </w:tcPr>
          <w:p>
            <w:pPr>
              <w:jc w:val="right"/>
              <w:spacing w:after="0"/>
              <w:rPr>
                <w:sz w:val="20"/>
                <w:szCs w:val="20"/>
                <w:color w:val="auto"/>
              </w:rPr>
            </w:pPr>
            <w:r>
              <w:rPr>
                <w:rFonts w:ascii="Times New Roman" w:cs="Times New Roman" w:eastAsia="Times New Roman" w:hAnsi="Times New Roman"/>
                <w:sz w:val="15"/>
                <w:szCs w:val="15"/>
                <w:color w:val="231F20"/>
              </w:rPr>
              <w:t>1,500</w:t>
            </w:r>
          </w:p>
        </w:tc>
        <w:tc>
          <w:tcPr>
            <w:tcW w:w="80" w:type="dxa"/>
            <w:vAlign w:val="bottom"/>
            <w:tcBorders>
              <w:top w:val="single" w:sz="8" w:color="D0EBF2"/>
              <w:bottom w:val="single" w:sz="8" w:color="D0EBF2"/>
            </w:tcBorders>
            <w:shd w:val="clear" w:color="auto" w:fill="FDFDFC"/>
          </w:tcPr>
          <w:p>
            <w:pPr>
              <w:spacing w:after="0"/>
              <w:rPr>
                <w:sz w:val="15"/>
                <w:szCs w:val="15"/>
                <w:color w:val="auto"/>
              </w:rPr>
            </w:pPr>
          </w:p>
        </w:tc>
        <w:tc>
          <w:tcPr>
            <w:tcW w:w="20" w:type="dxa"/>
            <w:vAlign w:val="bottom"/>
            <w:tcBorders>
              <w:top w:val="single" w:sz="8" w:color="D0EBF2"/>
              <w:bottom w:val="single" w:sz="8" w:color="D0EBF2"/>
            </w:tcBorders>
            <w:shd w:val="clear" w:color="auto" w:fill="FDFDFC"/>
          </w:tcPr>
          <w:p>
            <w:pPr>
              <w:spacing w:after="0"/>
              <w:rPr>
                <w:sz w:val="15"/>
                <w:szCs w:val="15"/>
                <w:color w:val="auto"/>
              </w:rPr>
            </w:pPr>
          </w:p>
        </w:tc>
        <w:tc>
          <w:tcPr>
            <w:tcW w:w="80" w:type="dxa"/>
            <w:vAlign w:val="bottom"/>
            <w:tcBorders>
              <w:top w:val="single" w:sz="8" w:color="231F20"/>
              <w:bottom w:val="single" w:sz="8" w:color="231F20"/>
            </w:tcBorders>
            <w:shd w:val="clear" w:color="auto" w:fill="FDFDFC"/>
          </w:tcPr>
          <w:p>
            <w:pPr>
              <w:spacing w:after="0"/>
              <w:rPr>
                <w:sz w:val="15"/>
                <w:szCs w:val="15"/>
                <w:color w:val="auto"/>
              </w:rPr>
            </w:pPr>
          </w:p>
        </w:tc>
        <w:tc>
          <w:tcPr>
            <w:tcW w:w="120" w:type="dxa"/>
            <w:vAlign w:val="bottom"/>
            <w:tcBorders>
              <w:top w:val="single" w:sz="8" w:color="231F20"/>
              <w:bottom w:val="single" w:sz="8" w:color="231F20"/>
            </w:tcBorders>
            <w:shd w:val="clear" w:color="auto" w:fill="FDFDFC"/>
          </w:tcPr>
          <w:p>
            <w:pPr>
              <w:spacing w:after="0"/>
              <w:rPr>
                <w:sz w:val="15"/>
                <w:szCs w:val="15"/>
                <w:color w:val="auto"/>
              </w:rPr>
            </w:pPr>
          </w:p>
        </w:tc>
        <w:tc>
          <w:tcPr>
            <w:tcW w:w="60" w:type="dxa"/>
            <w:vAlign w:val="bottom"/>
            <w:tcBorders>
              <w:top w:val="single" w:sz="8" w:color="231F20"/>
              <w:bottom w:val="single" w:sz="8" w:color="231F20"/>
            </w:tcBorders>
            <w:shd w:val="clear" w:color="auto" w:fill="FDFDFC"/>
          </w:tcPr>
          <w:p>
            <w:pPr>
              <w:spacing w:after="0"/>
              <w:rPr>
                <w:sz w:val="15"/>
                <w:szCs w:val="15"/>
                <w:color w:val="auto"/>
              </w:rPr>
            </w:pPr>
          </w:p>
        </w:tc>
        <w:tc>
          <w:tcPr>
            <w:tcW w:w="920" w:type="dxa"/>
            <w:vAlign w:val="bottom"/>
            <w:tcBorders>
              <w:top w:val="single" w:sz="8" w:color="231F20"/>
              <w:bottom w:val="single" w:sz="8" w:color="231F20"/>
            </w:tcBorders>
            <w:shd w:val="clear" w:color="auto" w:fill="FDFDFC"/>
          </w:tcPr>
          <w:p>
            <w:pPr>
              <w:spacing w:after="0"/>
              <w:rPr>
                <w:sz w:val="15"/>
                <w:szCs w:val="15"/>
                <w:color w:val="auto"/>
              </w:rPr>
            </w:pPr>
          </w:p>
        </w:tc>
        <w:tc>
          <w:tcPr>
            <w:tcW w:w="380" w:type="dxa"/>
            <w:vAlign w:val="bottom"/>
            <w:tcBorders>
              <w:top w:val="single" w:sz="8" w:color="231F20"/>
              <w:bottom w:val="single" w:sz="8" w:color="231F20"/>
            </w:tcBorders>
            <w:gridSpan w:val="2"/>
            <w:shd w:val="clear" w:color="auto" w:fill="FDFDFC"/>
          </w:tcPr>
          <w:p>
            <w:pPr>
              <w:jc w:val="right"/>
              <w:spacing w:after="0"/>
              <w:rPr>
                <w:sz w:val="20"/>
                <w:szCs w:val="20"/>
                <w:color w:val="auto"/>
              </w:rPr>
            </w:pPr>
            <w:r>
              <w:rPr>
                <w:rFonts w:ascii="Times New Roman" w:cs="Times New Roman" w:eastAsia="Times New Roman" w:hAnsi="Times New Roman"/>
                <w:sz w:val="15"/>
                <w:szCs w:val="15"/>
                <w:color w:val="231F20"/>
              </w:rPr>
              <w:t>1,472</w:t>
            </w:r>
          </w:p>
        </w:tc>
        <w:tc>
          <w:tcPr>
            <w:tcW w:w="20" w:type="dxa"/>
            <w:vAlign w:val="bottom"/>
            <w:tcBorders>
              <w:top w:val="single" w:sz="8" w:color="231F20"/>
              <w:bottom w:val="single" w:sz="8" w:color="231F20"/>
            </w:tcBorders>
            <w:shd w:val="clear" w:color="auto" w:fill="FDFDFC"/>
          </w:tcPr>
          <w:p>
            <w:pPr>
              <w:spacing w:after="0"/>
              <w:rPr>
                <w:sz w:val="15"/>
                <w:szCs w:val="15"/>
                <w:color w:val="auto"/>
              </w:rPr>
            </w:pPr>
          </w:p>
        </w:tc>
        <w:tc>
          <w:tcPr>
            <w:tcW w:w="100" w:type="dxa"/>
            <w:vAlign w:val="bottom"/>
            <w:tcBorders>
              <w:top w:val="single" w:sz="8" w:color="D0EBF2"/>
              <w:bottom w:val="single" w:sz="8" w:color="D0EBF2"/>
            </w:tcBorders>
            <w:shd w:val="clear" w:color="auto" w:fill="FDFDFC"/>
          </w:tcPr>
          <w:p>
            <w:pPr>
              <w:spacing w:after="0"/>
              <w:rPr>
                <w:sz w:val="15"/>
                <w:szCs w:val="15"/>
                <w:color w:val="auto"/>
              </w:rPr>
            </w:pPr>
          </w:p>
        </w:tc>
        <w:tc>
          <w:tcPr>
            <w:tcW w:w="860" w:type="dxa"/>
            <w:vAlign w:val="bottom"/>
            <w:tcBorders>
              <w:top w:val="single" w:sz="8" w:color="231F20"/>
              <w:bottom w:val="single" w:sz="8" w:color="231F20"/>
            </w:tcBorders>
            <w:gridSpan w:val="2"/>
            <w:shd w:val="clear" w:color="auto" w:fill="FDFDFC"/>
          </w:tcPr>
          <w:p>
            <w:pPr>
              <w:jc w:val="right"/>
              <w:spacing w:after="0"/>
              <w:rPr>
                <w:sz w:val="20"/>
                <w:szCs w:val="20"/>
                <w:color w:val="auto"/>
              </w:rPr>
            </w:pPr>
            <w:r>
              <w:rPr>
                <w:rFonts w:ascii="Times New Roman" w:cs="Times New Roman" w:eastAsia="Times New Roman" w:hAnsi="Times New Roman"/>
                <w:sz w:val="15"/>
                <w:szCs w:val="15"/>
                <w:color w:val="231F20"/>
              </w:rPr>
              <w:t>0.1%</w:t>
            </w:r>
          </w:p>
        </w:tc>
        <w:tc>
          <w:tcPr>
            <w:tcW w:w="0" w:type="dxa"/>
            <w:vAlign w:val="bottom"/>
          </w:tcPr>
          <w:p>
            <w:pPr>
              <w:spacing w:after="0"/>
              <w:rPr>
                <w:sz w:val="1"/>
                <w:szCs w:val="1"/>
                <w:color w:val="auto"/>
              </w:rPr>
            </w:pPr>
          </w:p>
        </w:tc>
      </w:tr>
      <w:tr>
        <w:trPr>
          <w:trHeight w:val="159"/>
        </w:trPr>
        <w:tc>
          <w:tcPr>
            <w:tcW w:w="1560" w:type="dxa"/>
            <w:vAlign w:val="bottom"/>
            <w:shd w:val="clear" w:color="auto" w:fill="D0EBF2"/>
          </w:tcPr>
          <w:p>
            <w:pPr>
              <w:spacing w:after="0" w:line="159" w:lineRule="exact"/>
              <w:rPr>
                <w:sz w:val="20"/>
                <w:szCs w:val="20"/>
                <w:color w:val="auto"/>
              </w:rPr>
            </w:pPr>
            <w:r>
              <w:rPr>
                <w:rFonts w:ascii="Times New Roman" w:cs="Times New Roman" w:eastAsia="Times New Roman" w:hAnsi="Times New Roman"/>
                <w:sz w:val="15"/>
                <w:szCs w:val="15"/>
                <w:b w:val="1"/>
                <w:bCs w:val="1"/>
                <w:color w:val="231F20"/>
              </w:rPr>
              <w:t>Total Equity and</w:t>
            </w:r>
          </w:p>
        </w:tc>
        <w:tc>
          <w:tcPr>
            <w:tcW w:w="340" w:type="dxa"/>
            <w:vAlign w:val="bottom"/>
            <w:shd w:val="clear" w:color="auto" w:fill="D0EBF2"/>
          </w:tcPr>
          <w:p>
            <w:pPr>
              <w:spacing w:after="0"/>
              <w:rPr>
                <w:sz w:val="13"/>
                <w:szCs w:val="13"/>
                <w:color w:val="auto"/>
              </w:rPr>
            </w:pPr>
          </w:p>
        </w:tc>
        <w:tc>
          <w:tcPr>
            <w:tcW w:w="1100" w:type="dxa"/>
            <w:vAlign w:val="bottom"/>
            <w:shd w:val="clear" w:color="auto" w:fill="D0EBF2"/>
          </w:tcPr>
          <w:p>
            <w:pPr>
              <w:spacing w:after="0"/>
              <w:rPr>
                <w:sz w:val="13"/>
                <w:szCs w:val="13"/>
                <w:color w:val="auto"/>
              </w:rPr>
            </w:pPr>
          </w:p>
        </w:tc>
        <w:tc>
          <w:tcPr>
            <w:tcW w:w="120" w:type="dxa"/>
            <w:vAlign w:val="bottom"/>
            <w:shd w:val="clear" w:color="auto" w:fill="D0EBF2"/>
          </w:tcPr>
          <w:p>
            <w:pPr>
              <w:spacing w:after="0"/>
              <w:rPr>
                <w:sz w:val="13"/>
                <w:szCs w:val="13"/>
                <w:color w:val="auto"/>
              </w:rPr>
            </w:pPr>
          </w:p>
        </w:tc>
        <w:tc>
          <w:tcPr>
            <w:tcW w:w="60" w:type="dxa"/>
            <w:vAlign w:val="bottom"/>
            <w:shd w:val="clear" w:color="auto" w:fill="D0EBF2"/>
          </w:tcPr>
          <w:p>
            <w:pPr>
              <w:spacing w:after="0"/>
              <w:rPr>
                <w:sz w:val="13"/>
                <w:szCs w:val="13"/>
                <w:color w:val="auto"/>
              </w:rPr>
            </w:pPr>
          </w:p>
        </w:tc>
        <w:tc>
          <w:tcPr>
            <w:tcW w:w="660" w:type="dxa"/>
            <w:vAlign w:val="bottom"/>
            <w:shd w:val="clear" w:color="auto" w:fill="D0EBF2"/>
          </w:tcPr>
          <w:p>
            <w:pPr>
              <w:spacing w:after="0"/>
              <w:rPr>
                <w:sz w:val="13"/>
                <w:szCs w:val="13"/>
                <w:color w:val="auto"/>
              </w:rPr>
            </w:pPr>
          </w:p>
        </w:tc>
        <w:tc>
          <w:tcPr>
            <w:tcW w:w="360" w:type="dxa"/>
            <w:vAlign w:val="bottom"/>
            <w:shd w:val="clear" w:color="auto" w:fill="D0EBF2"/>
          </w:tcPr>
          <w:p>
            <w:pPr>
              <w:spacing w:after="0"/>
              <w:rPr>
                <w:sz w:val="13"/>
                <w:szCs w:val="13"/>
                <w:color w:val="auto"/>
              </w:rPr>
            </w:pPr>
          </w:p>
        </w:tc>
        <w:tc>
          <w:tcPr>
            <w:tcW w:w="120" w:type="dxa"/>
            <w:vAlign w:val="bottom"/>
            <w:shd w:val="clear" w:color="auto" w:fill="D0EBF2"/>
          </w:tcPr>
          <w:p>
            <w:pPr>
              <w:spacing w:after="0"/>
              <w:rPr>
                <w:sz w:val="13"/>
                <w:szCs w:val="13"/>
                <w:color w:val="auto"/>
              </w:rPr>
            </w:pPr>
          </w:p>
        </w:tc>
        <w:tc>
          <w:tcPr>
            <w:tcW w:w="260" w:type="dxa"/>
            <w:vAlign w:val="bottom"/>
            <w:shd w:val="clear" w:color="auto" w:fill="D0EBF2"/>
          </w:tcPr>
          <w:p>
            <w:pPr>
              <w:spacing w:after="0"/>
              <w:rPr>
                <w:sz w:val="13"/>
                <w:szCs w:val="13"/>
                <w:color w:val="auto"/>
              </w:rPr>
            </w:pPr>
          </w:p>
        </w:tc>
        <w:tc>
          <w:tcPr>
            <w:tcW w:w="820" w:type="dxa"/>
            <w:vAlign w:val="bottom"/>
            <w:shd w:val="clear" w:color="auto" w:fill="D0EBF2"/>
          </w:tcPr>
          <w:p>
            <w:pPr>
              <w:spacing w:after="0"/>
              <w:rPr>
                <w:sz w:val="13"/>
                <w:szCs w:val="13"/>
                <w:color w:val="auto"/>
              </w:rPr>
            </w:pPr>
          </w:p>
        </w:tc>
        <w:tc>
          <w:tcPr>
            <w:tcW w:w="120" w:type="dxa"/>
            <w:vAlign w:val="bottom"/>
            <w:shd w:val="clear" w:color="auto" w:fill="D0EBF2"/>
          </w:tcPr>
          <w:p>
            <w:pPr>
              <w:spacing w:after="0"/>
              <w:rPr>
                <w:sz w:val="13"/>
                <w:szCs w:val="13"/>
                <w:color w:val="auto"/>
              </w:rPr>
            </w:pPr>
          </w:p>
        </w:tc>
        <w:tc>
          <w:tcPr>
            <w:tcW w:w="140" w:type="dxa"/>
            <w:vAlign w:val="bottom"/>
            <w:shd w:val="clear" w:color="auto" w:fill="D0EBF2"/>
          </w:tcPr>
          <w:p>
            <w:pPr>
              <w:spacing w:after="0"/>
              <w:rPr>
                <w:sz w:val="13"/>
                <w:szCs w:val="13"/>
                <w:color w:val="auto"/>
              </w:rPr>
            </w:pPr>
          </w:p>
        </w:tc>
        <w:tc>
          <w:tcPr>
            <w:tcW w:w="860" w:type="dxa"/>
            <w:vAlign w:val="bottom"/>
            <w:shd w:val="clear" w:color="auto" w:fill="D0EBF2"/>
          </w:tcPr>
          <w:p>
            <w:pPr>
              <w:spacing w:after="0"/>
              <w:rPr>
                <w:sz w:val="13"/>
                <w:szCs w:val="13"/>
                <w:color w:val="auto"/>
              </w:rPr>
            </w:pPr>
          </w:p>
        </w:tc>
        <w:tc>
          <w:tcPr>
            <w:tcW w:w="120" w:type="dxa"/>
            <w:vAlign w:val="bottom"/>
            <w:shd w:val="clear" w:color="auto" w:fill="D0EBF2"/>
          </w:tcPr>
          <w:p>
            <w:pPr>
              <w:spacing w:after="0"/>
              <w:rPr>
                <w:sz w:val="13"/>
                <w:szCs w:val="13"/>
                <w:color w:val="auto"/>
              </w:rPr>
            </w:pPr>
          </w:p>
        </w:tc>
        <w:tc>
          <w:tcPr>
            <w:tcW w:w="80" w:type="dxa"/>
            <w:vAlign w:val="bottom"/>
            <w:shd w:val="clear" w:color="auto" w:fill="D0EBF2"/>
          </w:tcPr>
          <w:p>
            <w:pPr>
              <w:spacing w:after="0"/>
              <w:rPr>
                <w:sz w:val="13"/>
                <w:szCs w:val="13"/>
                <w:color w:val="auto"/>
              </w:rPr>
            </w:pPr>
          </w:p>
        </w:tc>
        <w:tc>
          <w:tcPr>
            <w:tcW w:w="20" w:type="dxa"/>
            <w:vAlign w:val="bottom"/>
            <w:shd w:val="clear" w:color="auto" w:fill="D0EBF2"/>
          </w:tcPr>
          <w:p>
            <w:pPr>
              <w:spacing w:after="0"/>
              <w:rPr>
                <w:sz w:val="13"/>
                <w:szCs w:val="13"/>
                <w:color w:val="auto"/>
              </w:rPr>
            </w:pPr>
          </w:p>
        </w:tc>
        <w:tc>
          <w:tcPr>
            <w:tcW w:w="140" w:type="dxa"/>
            <w:vAlign w:val="bottom"/>
            <w:shd w:val="clear" w:color="auto" w:fill="D0EBF2"/>
          </w:tcPr>
          <w:p>
            <w:pPr>
              <w:spacing w:after="0"/>
              <w:rPr>
                <w:sz w:val="13"/>
                <w:szCs w:val="13"/>
                <w:color w:val="auto"/>
              </w:rPr>
            </w:pPr>
          </w:p>
        </w:tc>
        <w:tc>
          <w:tcPr>
            <w:tcW w:w="760" w:type="dxa"/>
            <w:vAlign w:val="bottom"/>
            <w:shd w:val="clear" w:color="auto" w:fill="D0EBF2"/>
          </w:tcPr>
          <w:p>
            <w:pPr>
              <w:jc w:val="right"/>
              <w:spacing w:after="0" w:line="159" w:lineRule="exact"/>
              <w:rPr>
                <w:sz w:val="20"/>
                <w:szCs w:val="20"/>
                <w:color w:val="auto"/>
              </w:rPr>
            </w:pPr>
            <w:r>
              <w:rPr>
                <w:rFonts w:ascii="Times New Roman" w:cs="Times New Roman" w:eastAsia="Times New Roman" w:hAnsi="Times New Roman"/>
                <w:sz w:val="15"/>
                <w:szCs w:val="15"/>
                <w:color w:val="231F20"/>
              </w:rPr>
              <w:t>150,909</w:t>
            </w:r>
          </w:p>
        </w:tc>
        <w:tc>
          <w:tcPr>
            <w:tcW w:w="80" w:type="dxa"/>
            <w:vAlign w:val="bottom"/>
            <w:shd w:val="clear" w:color="auto" w:fill="D0EBF2"/>
          </w:tcPr>
          <w:p>
            <w:pPr>
              <w:spacing w:after="0"/>
              <w:rPr>
                <w:sz w:val="13"/>
                <w:szCs w:val="13"/>
                <w:color w:val="auto"/>
              </w:rPr>
            </w:pPr>
          </w:p>
        </w:tc>
        <w:tc>
          <w:tcPr>
            <w:tcW w:w="20" w:type="dxa"/>
            <w:vAlign w:val="bottom"/>
            <w:shd w:val="clear" w:color="auto" w:fill="D0EBF2"/>
          </w:tcPr>
          <w:p>
            <w:pPr>
              <w:spacing w:after="0"/>
              <w:rPr>
                <w:sz w:val="13"/>
                <w:szCs w:val="13"/>
                <w:color w:val="auto"/>
              </w:rPr>
            </w:pPr>
          </w:p>
        </w:tc>
        <w:tc>
          <w:tcPr>
            <w:tcW w:w="80" w:type="dxa"/>
            <w:vAlign w:val="bottom"/>
            <w:shd w:val="clear" w:color="auto" w:fill="D0EBF2"/>
          </w:tcPr>
          <w:p>
            <w:pPr>
              <w:spacing w:after="0"/>
              <w:rPr>
                <w:sz w:val="13"/>
                <w:szCs w:val="13"/>
                <w:color w:val="auto"/>
              </w:rPr>
            </w:pPr>
          </w:p>
        </w:tc>
        <w:tc>
          <w:tcPr>
            <w:tcW w:w="120" w:type="dxa"/>
            <w:vAlign w:val="bottom"/>
            <w:shd w:val="clear" w:color="auto" w:fill="D0EBF2"/>
          </w:tcPr>
          <w:p>
            <w:pPr>
              <w:spacing w:after="0"/>
              <w:rPr>
                <w:sz w:val="13"/>
                <w:szCs w:val="13"/>
                <w:color w:val="auto"/>
              </w:rPr>
            </w:pPr>
          </w:p>
        </w:tc>
        <w:tc>
          <w:tcPr>
            <w:tcW w:w="60" w:type="dxa"/>
            <w:vAlign w:val="bottom"/>
            <w:shd w:val="clear" w:color="auto" w:fill="D0EBF2"/>
          </w:tcPr>
          <w:p>
            <w:pPr>
              <w:spacing w:after="0"/>
              <w:rPr>
                <w:sz w:val="13"/>
                <w:szCs w:val="13"/>
                <w:color w:val="auto"/>
              </w:rPr>
            </w:pPr>
          </w:p>
        </w:tc>
        <w:tc>
          <w:tcPr>
            <w:tcW w:w="1300" w:type="dxa"/>
            <w:vAlign w:val="bottom"/>
            <w:gridSpan w:val="3"/>
            <w:shd w:val="clear" w:color="auto" w:fill="D0EBF2"/>
          </w:tcPr>
          <w:p>
            <w:pPr>
              <w:jc w:val="right"/>
              <w:spacing w:after="0" w:line="159" w:lineRule="exact"/>
              <w:rPr>
                <w:sz w:val="20"/>
                <w:szCs w:val="20"/>
                <w:color w:val="auto"/>
              </w:rPr>
            </w:pPr>
            <w:r>
              <w:rPr>
                <w:rFonts w:ascii="Times New Roman" w:cs="Times New Roman" w:eastAsia="Times New Roman" w:hAnsi="Times New Roman"/>
                <w:sz w:val="15"/>
                <w:szCs w:val="15"/>
                <w:color w:val="231F20"/>
              </w:rPr>
              <w:t>156,973</w:t>
            </w:r>
          </w:p>
        </w:tc>
        <w:tc>
          <w:tcPr>
            <w:tcW w:w="20" w:type="dxa"/>
            <w:vAlign w:val="bottom"/>
            <w:shd w:val="clear" w:color="auto" w:fill="D0EBF2"/>
          </w:tcPr>
          <w:p>
            <w:pPr>
              <w:spacing w:after="0"/>
              <w:rPr>
                <w:sz w:val="13"/>
                <w:szCs w:val="13"/>
                <w:color w:val="auto"/>
              </w:rPr>
            </w:pPr>
          </w:p>
        </w:tc>
        <w:tc>
          <w:tcPr>
            <w:tcW w:w="100" w:type="dxa"/>
            <w:vAlign w:val="bottom"/>
            <w:shd w:val="clear" w:color="auto" w:fill="D0EBF2"/>
          </w:tcPr>
          <w:p>
            <w:pPr>
              <w:spacing w:after="0"/>
              <w:rPr>
                <w:sz w:val="13"/>
                <w:szCs w:val="13"/>
                <w:color w:val="auto"/>
              </w:rPr>
            </w:pPr>
          </w:p>
        </w:tc>
        <w:tc>
          <w:tcPr>
            <w:tcW w:w="860" w:type="dxa"/>
            <w:vAlign w:val="bottom"/>
            <w:gridSpan w:val="2"/>
            <w:shd w:val="clear" w:color="auto" w:fill="D0EBF2"/>
          </w:tcPr>
          <w:p>
            <w:pPr>
              <w:jc w:val="right"/>
              <w:spacing w:after="0" w:line="159" w:lineRule="exact"/>
              <w:rPr>
                <w:sz w:val="20"/>
                <w:szCs w:val="20"/>
                <w:color w:val="auto"/>
              </w:rPr>
            </w:pPr>
            <w:r>
              <w:rPr>
                <w:rFonts w:ascii="Times New Roman" w:cs="Times New Roman" w:eastAsia="Times New Roman" w:hAnsi="Times New Roman"/>
                <w:sz w:val="15"/>
                <w:szCs w:val="15"/>
                <w:color w:val="231F20"/>
              </w:rPr>
              <w:t>9.7%</w:t>
            </w:r>
          </w:p>
        </w:tc>
        <w:tc>
          <w:tcPr>
            <w:tcW w:w="0" w:type="dxa"/>
            <w:vAlign w:val="bottom"/>
          </w:tcPr>
          <w:p>
            <w:pPr>
              <w:spacing w:after="0"/>
              <w:rPr>
                <w:sz w:val="1"/>
                <w:szCs w:val="1"/>
                <w:color w:val="auto"/>
              </w:rPr>
            </w:pPr>
          </w:p>
        </w:tc>
      </w:tr>
      <w:tr>
        <w:trPr>
          <w:trHeight w:val="216"/>
        </w:trPr>
        <w:tc>
          <w:tcPr>
            <w:tcW w:w="1560" w:type="dxa"/>
            <w:vAlign w:val="bottom"/>
            <w:tcBorders>
              <w:bottom w:val="single" w:sz="8" w:color="D0EBF2"/>
            </w:tcBorders>
            <w:shd w:val="clear" w:color="auto" w:fill="D0EBF2"/>
          </w:tcPr>
          <w:p>
            <w:pPr>
              <w:spacing w:after="0"/>
              <w:rPr>
                <w:sz w:val="20"/>
                <w:szCs w:val="20"/>
                <w:color w:val="auto"/>
              </w:rPr>
            </w:pPr>
            <w:r>
              <w:rPr>
                <w:rFonts w:ascii="Times New Roman" w:cs="Times New Roman" w:eastAsia="Times New Roman" w:hAnsi="Times New Roman"/>
                <w:sz w:val="15"/>
                <w:szCs w:val="15"/>
                <w:b w:val="1"/>
                <w:bCs w:val="1"/>
                <w:color w:val="231F20"/>
              </w:rPr>
              <w:t>Other Investments</w:t>
            </w:r>
          </w:p>
        </w:tc>
        <w:tc>
          <w:tcPr>
            <w:tcW w:w="340" w:type="dxa"/>
            <w:vAlign w:val="bottom"/>
            <w:tcBorders>
              <w:bottom w:val="single" w:sz="8" w:color="D0EBF2"/>
            </w:tcBorders>
            <w:shd w:val="clear" w:color="auto" w:fill="D0EBF2"/>
          </w:tcPr>
          <w:p>
            <w:pPr>
              <w:spacing w:after="0"/>
              <w:rPr>
                <w:sz w:val="18"/>
                <w:szCs w:val="18"/>
                <w:color w:val="auto"/>
              </w:rPr>
            </w:pPr>
          </w:p>
        </w:tc>
        <w:tc>
          <w:tcPr>
            <w:tcW w:w="1100" w:type="dxa"/>
            <w:vAlign w:val="bottom"/>
            <w:tcBorders>
              <w:bottom w:val="single" w:sz="8" w:color="D0EBF2"/>
            </w:tcBorders>
            <w:shd w:val="clear" w:color="auto" w:fill="D0EBF2"/>
          </w:tcPr>
          <w:p>
            <w:pPr>
              <w:spacing w:after="0"/>
              <w:rPr>
                <w:sz w:val="18"/>
                <w:szCs w:val="18"/>
                <w:color w:val="auto"/>
              </w:rPr>
            </w:pPr>
          </w:p>
        </w:tc>
        <w:tc>
          <w:tcPr>
            <w:tcW w:w="120" w:type="dxa"/>
            <w:vAlign w:val="bottom"/>
            <w:tcBorders>
              <w:bottom w:val="single" w:sz="8" w:color="D0EBF2"/>
            </w:tcBorders>
            <w:shd w:val="clear" w:color="auto" w:fill="D0EBF2"/>
          </w:tcPr>
          <w:p>
            <w:pPr>
              <w:spacing w:after="0"/>
              <w:rPr>
                <w:sz w:val="18"/>
                <w:szCs w:val="18"/>
                <w:color w:val="auto"/>
              </w:rPr>
            </w:pPr>
          </w:p>
        </w:tc>
        <w:tc>
          <w:tcPr>
            <w:tcW w:w="60" w:type="dxa"/>
            <w:vAlign w:val="bottom"/>
            <w:tcBorders>
              <w:bottom w:val="single" w:sz="8" w:color="D0EBF2"/>
            </w:tcBorders>
            <w:shd w:val="clear" w:color="auto" w:fill="D0EBF2"/>
          </w:tcPr>
          <w:p>
            <w:pPr>
              <w:spacing w:after="0"/>
              <w:rPr>
                <w:sz w:val="18"/>
                <w:szCs w:val="18"/>
                <w:color w:val="auto"/>
              </w:rPr>
            </w:pPr>
          </w:p>
        </w:tc>
        <w:tc>
          <w:tcPr>
            <w:tcW w:w="660" w:type="dxa"/>
            <w:vAlign w:val="bottom"/>
            <w:tcBorders>
              <w:bottom w:val="single" w:sz="8" w:color="D0EBF2"/>
            </w:tcBorders>
            <w:shd w:val="clear" w:color="auto" w:fill="D0EBF2"/>
          </w:tcPr>
          <w:p>
            <w:pPr>
              <w:spacing w:after="0"/>
              <w:rPr>
                <w:sz w:val="18"/>
                <w:szCs w:val="18"/>
                <w:color w:val="auto"/>
              </w:rPr>
            </w:pPr>
          </w:p>
        </w:tc>
        <w:tc>
          <w:tcPr>
            <w:tcW w:w="360" w:type="dxa"/>
            <w:vAlign w:val="bottom"/>
            <w:tcBorders>
              <w:bottom w:val="single" w:sz="8" w:color="D0EBF2"/>
            </w:tcBorders>
            <w:shd w:val="clear" w:color="auto" w:fill="D0EBF2"/>
          </w:tcPr>
          <w:p>
            <w:pPr>
              <w:spacing w:after="0"/>
              <w:rPr>
                <w:sz w:val="18"/>
                <w:szCs w:val="18"/>
                <w:color w:val="auto"/>
              </w:rPr>
            </w:pPr>
          </w:p>
        </w:tc>
        <w:tc>
          <w:tcPr>
            <w:tcW w:w="120" w:type="dxa"/>
            <w:vAlign w:val="bottom"/>
            <w:tcBorders>
              <w:bottom w:val="single" w:sz="8" w:color="D0EBF2"/>
            </w:tcBorders>
            <w:shd w:val="clear" w:color="auto" w:fill="D0EBF2"/>
          </w:tcPr>
          <w:p>
            <w:pPr>
              <w:spacing w:after="0"/>
              <w:rPr>
                <w:sz w:val="18"/>
                <w:szCs w:val="18"/>
                <w:color w:val="auto"/>
              </w:rPr>
            </w:pPr>
          </w:p>
        </w:tc>
        <w:tc>
          <w:tcPr>
            <w:tcW w:w="260" w:type="dxa"/>
            <w:vAlign w:val="bottom"/>
            <w:tcBorders>
              <w:bottom w:val="single" w:sz="8" w:color="D0EBF2"/>
            </w:tcBorders>
            <w:shd w:val="clear" w:color="auto" w:fill="D0EBF2"/>
          </w:tcPr>
          <w:p>
            <w:pPr>
              <w:spacing w:after="0"/>
              <w:rPr>
                <w:sz w:val="18"/>
                <w:szCs w:val="18"/>
                <w:color w:val="auto"/>
              </w:rPr>
            </w:pPr>
          </w:p>
        </w:tc>
        <w:tc>
          <w:tcPr>
            <w:tcW w:w="820" w:type="dxa"/>
            <w:vAlign w:val="bottom"/>
            <w:tcBorders>
              <w:bottom w:val="single" w:sz="8" w:color="D0EBF2"/>
            </w:tcBorders>
            <w:shd w:val="clear" w:color="auto" w:fill="D0EBF2"/>
          </w:tcPr>
          <w:p>
            <w:pPr>
              <w:spacing w:after="0"/>
              <w:rPr>
                <w:sz w:val="18"/>
                <w:szCs w:val="18"/>
                <w:color w:val="auto"/>
              </w:rPr>
            </w:pPr>
          </w:p>
        </w:tc>
        <w:tc>
          <w:tcPr>
            <w:tcW w:w="120" w:type="dxa"/>
            <w:vAlign w:val="bottom"/>
            <w:tcBorders>
              <w:bottom w:val="single" w:sz="8" w:color="D0EBF2"/>
            </w:tcBorders>
            <w:shd w:val="clear" w:color="auto" w:fill="D0EBF2"/>
          </w:tcPr>
          <w:p>
            <w:pPr>
              <w:spacing w:after="0"/>
              <w:rPr>
                <w:sz w:val="18"/>
                <w:szCs w:val="18"/>
                <w:color w:val="auto"/>
              </w:rPr>
            </w:pPr>
          </w:p>
        </w:tc>
        <w:tc>
          <w:tcPr>
            <w:tcW w:w="140" w:type="dxa"/>
            <w:vAlign w:val="bottom"/>
            <w:tcBorders>
              <w:bottom w:val="single" w:sz="8" w:color="D0EBF2"/>
            </w:tcBorders>
            <w:shd w:val="clear" w:color="auto" w:fill="D0EBF2"/>
          </w:tcPr>
          <w:p>
            <w:pPr>
              <w:spacing w:after="0"/>
              <w:rPr>
                <w:sz w:val="18"/>
                <w:szCs w:val="18"/>
                <w:color w:val="auto"/>
              </w:rPr>
            </w:pPr>
          </w:p>
        </w:tc>
        <w:tc>
          <w:tcPr>
            <w:tcW w:w="860" w:type="dxa"/>
            <w:vAlign w:val="bottom"/>
            <w:tcBorders>
              <w:bottom w:val="single" w:sz="8" w:color="D0EBF2"/>
            </w:tcBorders>
            <w:shd w:val="clear" w:color="auto" w:fill="D0EBF2"/>
          </w:tcPr>
          <w:p>
            <w:pPr>
              <w:spacing w:after="0"/>
              <w:rPr>
                <w:sz w:val="18"/>
                <w:szCs w:val="18"/>
                <w:color w:val="auto"/>
              </w:rPr>
            </w:pPr>
          </w:p>
        </w:tc>
        <w:tc>
          <w:tcPr>
            <w:tcW w:w="120" w:type="dxa"/>
            <w:vAlign w:val="bottom"/>
            <w:tcBorders>
              <w:bottom w:val="single" w:sz="8" w:color="D0EBF2"/>
            </w:tcBorders>
            <w:shd w:val="clear" w:color="auto" w:fill="D0EBF2"/>
          </w:tcPr>
          <w:p>
            <w:pPr>
              <w:spacing w:after="0"/>
              <w:rPr>
                <w:sz w:val="18"/>
                <w:szCs w:val="18"/>
                <w:color w:val="auto"/>
              </w:rPr>
            </w:pPr>
          </w:p>
        </w:tc>
        <w:tc>
          <w:tcPr>
            <w:tcW w:w="80" w:type="dxa"/>
            <w:vAlign w:val="bottom"/>
            <w:tcBorders>
              <w:bottom w:val="single" w:sz="8" w:color="231F20"/>
            </w:tcBorders>
            <w:shd w:val="clear" w:color="auto" w:fill="D0EBF2"/>
          </w:tcPr>
          <w:p>
            <w:pPr>
              <w:spacing w:after="0"/>
              <w:rPr>
                <w:sz w:val="18"/>
                <w:szCs w:val="18"/>
                <w:color w:val="auto"/>
              </w:rPr>
            </w:pPr>
          </w:p>
        </w:tc>
        <w:tc>
          <w:tcPr>
            <w:tcW w:w="20" w:type="dxa"/>
            <w:vAlign w:val="bottom"/>
            <w:tcBorders>
              <w:bottom w:val="single" w:sz="8" w:color="231F20"/>
            </w:tcBorders>
            <w:shd w:val="clear" w:color="auto" w:fill="D0EBF2"/>
          </w:tcPr>
          <w:p>
            <w:pPr>
              <w:spacing w:after="0"/>
              <w:rPr>
                <w:sz w:val="18"/>
                <w:szCs w:val="18"/>
                <w:color w:val="auto"/>
              </w:rPr>
            </w:pPr>
          </w:p>
        </w:tc>
        <w:tc>
          <w:tcPr>
            <w:tcW w:w="140" w:type="dxa"/>
            <w:vAlign w:val="bottom"/>
            <w:tcBorders>
              <w:bottom w:val="single" w:sz="8" w:color="231F20"/>
            </w:tcBorders>
            <w:shd w:val="clear" w:color="auto" w:fill="D0EBF2"/>
          </w:tcPr>
          <w:p>
            <w:pPr>
              <w:spacing w:after="0"/>
              <w:rPr>
                <w:sz w:val="18"/>
                <w:szCs w:val="18"/>
                <w:color w:val="auto"/>
              </w:rPr>
            </w:pPr>
          </w:p>
        </w:tc>
        <w:tc>
          <w:tcPr>
            <w:tcW w:w="760" w:type="dxa"/>
            <w:vAlign w:val="bottom"/>
            <w:tcBorders>
              <w:bottom w:val="single" w:sz="8" w:color="231F20"/>
            </w:tcBorders>
            <w:shd w:val="clear" w:color="auto" w:fill="D0EBF2"/>
          </w:tcPr>
          <w:p>
            <w:pPr>
              <w:spacing w:after="0"/>
              <w:rPr>
                <w:sz w:val="18"/>
                <w:szCs w:val="18"/>
                <w:color w:val="auto"/>
              </w:rPr>
            </w:pPr>
          </w:p>
        </w:tc>
        <w:tc>
          <w:tcPr>
            <w:tcW w:w="80" w:type="dxa"/>
            <w:vAlign w:val="bottom"/>
            <w:tcBorders>
              <w:bottom w:val="single" w:sz="8" w:color="D0EBF2"/>
            </w:tcBorders>
            <w:shd w:val="clear" w:color="auto" w:fill="D0EBF2"/>
          </w:tcPr>
          <w:p>
            <w:pPr>
              <w:spacing w:after="0"/>
              <w:rPr>
                <w:sz w:val="18"/>
                <w:szCs w:val="18"/>
                <w:color w:val="auto"/>
              </w:rPr>
            </w:pPr>
          </w:p>
        </w:tc>
        <w:tc>
          <w:tcPr>
            <w:tcW w:w="20" w:type="dxa"/>
            <w:vAlign w:val="bottom"/>
            <w:tcBorders>
              <w:bottom w:val="single" w:sz="8" w:color="D0EBF2"/>
            </w:tcBorders>
            <w:shd w:val="clear" w:color="auto" w:fill="D0EBF2"/>
          </w:tcPr>
          <w:p>
            <w:pPr>
              <w:spacing w:after="0"/>
              <w:rPr>
                <w:sz w:val="18"/>
                <w:szCs w:val="18"/>
                <w:color w:val="auto"/>
              </w:rPr>
            </w:pPr>
          </w:p>
        </w:tc>
        <w:tc>
          <w:tcPr>
            <w:tcW w:w="80" w:type="dxa"/>
            <w:vAlign w:val="bottom"/>
            <w:tcBorders>
              <w:bottom w:val="single" w:sz="8" w:color="231F20"/>
            </w:tcBorders>
            <w:shd w:val="clear" w:color="auto" w:fill="D0EBF2"/>
          </w:tcPr>
          <w:p>
            <w:pPr>
              <w:spacing w:after="0"/>
              <w:rPr>
                <w:sz w:val="18"/>
                <w:szCs w:val="18"/>
                <w:color w:val="auto"/>
              </w:rPr>
            </w:pPr>
          </w:p>
        </w:tc>
        <w:tc>
          <w:tcPr>
            <w:tcW w:w="120" w:type="dxa"/>
            <w:vAlign w:val="bottom"/>
            <w:tcBorders>
              <w:bottom w:val="single" w:sz="8" w:color="231F20"/>
            </w:tcBorders>
            <w:shd w:val="clear" w:color="auto" w:fill="D0EBF2"/>
          </w:tcPr>
          <w:p>
            <w:pPr>
              <w:spacing w:after="0"/>
              <w:rPr>
                <w:sz w:val="18"/>
                <w:szCs w:val="18"/>
                <w:color w:val="auto"/>
              </w:rPr>
            </w:pPr>
          </w:p>
        </w:tc>
        <w:tc>
          <w:tcPr>
            <w:tcW w:w="60" w:type="dxa"/>
            <w:vAlign w:val="bottom"/>
            <w:tcBorders>
              <w:bottom w:val="single" w:sz="8" w:color="231F20"/>
            </w:tcBorders>
            <w:shd w:val="clear" w:color="auto" w:fill="D0EBF2"/>
          </w:tcPr>
          <w:p>
            <w:pPr>
              <w:spacing w:after="0"/>
              <w:rPr>
                <w:sz w:val="18"/>
                <w:szCs w:val="18"/>
                <w:color w:val="auto"/>
              </w:rPr>
            </w:pPr>
          </w:p>
        </w:tc>
        <w:tc>
          <w:tcPr>
            <w:tcW w:w="920" w:type="dxa"/>
            <w:vAlign w:val="bottom"/>
            <w:tcBorders>
              <w:bottom w:val="single" w:sz="8" w:color="231F20"/>
            </w:tcBorders>
            <w:shd w:val="clear" w:color="auto" w:fill="D0EBF2"/>
          </w:tcPr>
          <w:p>
            <w:pPr>
              <w:spacing w:after="0"/>
              <w:rPr>
                <w:sz w:val="18"/>
                <w:szCs w:val="18"/>
                <w:color w:val="auto"/>
              </w:rPr>
            </w:pPr>
          </w:p>
        </w:tc>
        <w:tc>
          <w:tcPr>
            <w:tcW w:w="220" w:type="dxa"/>
            <w:vAlign w:val="bottom"/>
            <w:tcBorders>
              <w:bottom w:val="single" w:sz="8" w:color="231F20"/>
            </w:tcBorders>
            <w:shd w:val="clear" w:color="auto" w:fill="D0EBF2"/>
          </w:tcPr>
          <w:p>
            <w:pPr>
              <w:spacing w:after="0"/>
              <w:rPr>
                <w:sz w:val="18"/>
                <w:szCs w:val="18"/>
                <w:color w:val="auto"/>
              </w:rPr>
            </w:pPr>
          </w:p>
        </w:tc>
        <w:tc>
          <w:tcPr>
            <w:tcW w:w="160" w:type="dxa"/>
            <w:vAlign w:val="bottom"/>
            <w:tcBorders>
              <w:bottom w:val="single" w:sz="8" w:color="231F20"/>
            </w:tcBorders>
            <w:shd w:val="clear" w:color="auto" w:fill="D0EBF2"/>
          </w:tcPr>
          <w:p>
            <w:pPr>
              <w:spacing w:after="0"/>
              <w:rPr>
                <w:sz w:val="18"/>
                <w:szCs w:val="18"/>
                <w:color w:val="auto"/>
              </w:rPr>
            </w:pPr>
          </w:p>
        </w:tc>
        <w:tc>
          <w:tcPr>
            <w:tcW w:w="20" w:type="dxa"/>
            <w:vAlign w:val="bottom"/>
            <w:tcBorders>
              <w:bottom w:val="single" w:sz="8" w:color="231F20"/>
            </w:tcBorders>
            <w:shd w:val="clear" w:color="auto" w:fill="D0EBF2"/>
          </w:tcPr>
          <w:p>
            <w:pPr>
              <w:spacing w:after="0"/>
              <w:rPr>
                <w:sz w:val="18"/>
                <w:szCs w:val="18"/>
                <w:color w:val="auto"/>
              </w:rPr>
            </w:pPr>
          </w:p>
        </w:tc>
        <w:tc>
          <w:tcPr>
            <w:tcW w:w="100" w:type="dxa"/>
            <w:vAlign w:val="bottom"/>
            <w:tcBorders>
              <w:bottom w:val="single" w:sz="8" w:color="D0EBF2"/>
            </w:tcBorders>
            <w:shd w:val="clear" w:color="auto" w:fill="D0EBF2"/>
          </w:tcPr>
          <w:p>
            <w:pPr>
              <w:spacing w:after="0"/>
              <w:rPr>
                <w:sz w:val="18"/>
                <w:szCs w:val="18"/>
                <w:color w:val="auto"/>
              </w:rPr>
            </w:pPr>
          </w:p>
        </w:tc>
        <w:tc>
          <w:tcPr>
            <w:tcW w:w="760" w:type="dxa"/>
            <w:vAlign w:val="bottom"/>
            <w:tcBorders>
              <w:bottom w:val="single" w:sz="8" w:color="231F20"/>
            </w:tcBorders>
            <w:shd w:val="clear" w:color="auto" w:fill="D0EBF2"/>
          </w:tcPr>
          <w:p>
            <w:pPr>
              <w:spacing w:after="0"/>
              <w:rPr>
                <w:sz w:val="18"/>
                <w:szCs w:val="18"/>
                <w:color w:val="auto"/>
              </w:rPr>
            </w:pPr>
          </w:p>
        </w:tc>
        <w:tc>
          <w:tcPr>
            <w:tcW w:w="100" w:type="dxa"/>
            <w:vAlign w:val="bottom"/>
            <w:tcBorders>
              <w:bottom w:val="single" w:sz="8" w:color="231F20"/>
            </w:tcBorders>
            <w:shd w:val="clear" w:color="auto" w:fill="D0EBF2"/>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1560" w:type="dxa"/>
            <w:vAlign w:val="bottom"/>
            <w:tcBorders>
              <w:top w:val="single" w:sz="8" w:color="FDFDFC"/>
            </w:tcBorders>
            <w:shd w:val="clear" w:color="auto" w:fill="FDFDFC"/>
          </w:tcPr>
          <w:p>
            <w:pPr>
              <w:spacing w:after="0" w:line="156" w:lineRule="exact"/>
              <w:rPr>
                <w:sz w:val="20"/>
                <w:szCs w:val="20"/>
                <w:color w:val="auto"/>
              </w:rPr>
            </w:pPr>
            <w:r>
              <w:rPr>
                <w:rFonts w:ascii="Times New Roman" w:cs="Times New Roman" w:eastAsia="Times New Roman" w:hAnsi="Times New Roman"/>
                <w:sz w:val="15"/>
                <w:szCs w:val="15"/>
                <w:b w:val="1"/>
                <w:bCs w:val="1"/>
                <w:color w:val="231F20"/>
              </w:rPr>
              <w:t>Total Investments</w:t>
            </w:r>
          </w:p>
        </w:tc>
        <w:tc>
          <w:tcPr>
            <w:tcW w:w="340" w:type="dxa"/>
            <w:vAlign w:val="bottom"/>
            <w:tcBorders>
              <w:top w:val="single" w:sz="8" w:color="FDFDFC"/>
            </w:tcBorders>
            <w:shd w:val="clear" w:color="auto" w:fill="FDFDFC"/>
          </w:tcPr>
          <w:p>
            <w:pPr>
              <w:spacing w:after="0"/>
              <w:rPr>
                <w:sz w:val="13"/>
                <w:szCs w:val="13"/>
                <w:color w:val="auto"/>
              </w:rPr>
            </w:pPr>
          </w:p>
        </w:tc>
        <w:tc>
          <w:tcPr>
            <w:tcW w:w="1100" w:type="dxa"/>
            <w:vAlign w:val="bottom"/>
            <w:tcBorders>
              <w:top w:val="single" w:sz="8" w:color="FDFDFC"/>
            </w:tcBorders>
            <w:shd w:val="clear" w:color="auto" w:fill="FDFDFC"/>
          </w:tcPr>
          <w:p>
            <w:pPr>
              <w:spacing w:after="0"/>
              <w:rPr>
                <w:sz w:val="13"/>
                <w:szCs w:val="13"/>
                <w:color w:val="auto"/>
              </w:rPr>
            </w:pPr>
          </w:p>
        </w:tc>
        <w:tc>
          <w:tcPr>
            <w:tcW w:w="120" w:type="dxa"/>
            <w:vAlign w:val="bottom"/>
            <w:tcBorders>
              <w:top w:val="single" w:sz="8" w:color="FDFDFC"/>
            </w:tcBorders>
            <w:shd w:val="clear" w:color="auto" w:fill="FDFDFC"/>
          </w:tcPr>
          <w:p>
            <w:pPr>
              <w:spacing w:after="0"/>
              <w:rPr>
                <w:sz w:val="13"/>
                <w:szCs w:val="13"/>
                <w:color w:val="auto"/>
              </w:rPr>
            </w:pPr>
          </w:p>
        </w:tc>
        <w:tc>
          <w:tcPr>
            <w:tcW w:w="60" w:type="dxa"/>
            <w:vAlign w:val="bottom"/>
            <w:tcBorders>
              <w:top w:val="single" w:sz="8" w:color="FDFDFC"/>
            </w:tcBorders>
            <w:shd w:val="clear" w:color="auto" w:fill="FDFDFC"/>
          </w:tcPr>
          <w:p>
            <w:pPr>
              <w:spacing w:after="0"/>
              <w:rPr>
                <w:sz w:val="13"/>
                <w:szCs w:val="13"/>
                <w:color w:val="auto"/>
              </w:rPr>
            </w:pPr>
          </w:p>
        </w:tc>
        <w:tc>
          <w:tcPr>
            <w:tcW w:w="660" w:type="dxa"/>
            <w:vAlign w:val="bottom"/>
            <w:tcBorders>
              <w:top w:val="single" w:sz="8" w:color="FDFDFC"/>
            </w:tcBorders>
            <w:shd w:val="clear" w:color="auto" w:fill="FDFDFC"/>
          </w:tcPr>
          <w:p>
            <w:pPr>
              <w:spacing w:after="0"/>
              <w:rPr>
                <w:sz w:val="13"/>
                <w:szCs w:val="13"/>
                <w:color w:val="auto"/>
              </w:rPr>
            </w:pPr>
          </w:p>
        </w:tc>
        <w:tc>
          <w:tcPr>
            <w:tcW w:w="360" w:type="dxa"/>
            <w:vAlign w:val="bottom"/>
            <w:tcBorders>
              <w:top w:val="single" w:sz="8" w:color="FDFDFC"/>
            </w:tcBorders>
            <w:shd w:val="clear" w:color="auto" w:fill="FDFDFC"/>
          </w:tcPr>
          <w:p>
            <w:pPr>
              <w:spacing w:after="0"/>
              <w:rPr>
                <w:sz w:val="13"/>
                <w:szCs w:val="13"/>
                <w:color w:val="auto"/>
              </w:rPr>
            </w:pPr>
          </w:p>
        </w:tc>
        <w:tc>
          <w:tcPr>
            <w:tcW w:w="120" w:type="dxa"/>
            <w:vAlign w:val="bottom"/>
            <w:tcBorders>
              <w:top w:val="single" w:sz="8" w:color="FDFDFC"/>
            </w:tcBorders>
            <w:shd w:val="clear" w:color="auto" w:fill="FDFDFC"/>
          </w:tcPr>
          <w:p>
            <w:pPr>
              <w:spacing w:after="0"/>
              <w:rPr>
                <w:sz w:val="13"/>
                <w:szCs w:val="13"/>
                <w:color w:val="auto"/>
              </w:rPr>
            </w:pPr>
          </w:p>
        </w:tc>
        <w:tc>
          <w:tcPr>
            <w:tcW w:w="260" w:type="dxa"/>
            <w:vAlign w:val="bottom"/>
            <w:tcBorders>
              <w:top w:val="single" w:sz="8" w:color="FDFDFC"/>
            </w:tcBorders>
            <w:shd w:val="clear" w:color="auto" w:fill="FDFDFC"/>
          </w:tcPr>
          <w:p>
            <w:pPr>
              <w:spacing w:after="0"/>
              <w:rPr>
                <w:sz w:val="13"/>
                <w:szCs w:val="13"/>
                <w:color w:val="auto"/>
              </w:rPr>
            </w:pPr>
          </w:p>
        </w:tc>
        <w:tc>
          <w:tcPr>
            <w:tcW w:w="820" w:type="dxa"/>
            <w:vAlign w:val="bottom"/>
            <w:tcBorders>
              <w:top w:val="single" w:sz="8" w:color="FDFDFC"/>
            </w:tcBorders>
            <w:shd w:val="clear" w:color="auto" w:fill="FDFDFC"/>
          </w:tcPr>
          <w:p>
            <w:pPr>
              <w:spacing w:after="0"/>
              <w:rPr>
                <w:sz w:val="13"/>
                <w:szCs w:val="13"/>
                <w:color w:val="auto"/>
              </w:rPr>
            </w:pPr>
          </w:p>
        </w:tc>
        <w:tc>
          <w:tcPr>
            <w:tcW w:w="120" w:type="dxa"/>
            <w:vAlign w:val="bottom"/>
            <w:tcBorders>
              <w:top w:val="single" w:sz="8" w:color="FDFDFC"/>
            </w:tcBorders>
            <w:shd w:val="clear" w:color="auto" w:fill="FDFDFC"/>
          </w:tcPr>
          <w:p>
            <w:pPr>
              <w:spacing w:after="0"/>
              <w:rPr>
                <w:sz w:val="13"/>
                <w:szCs w:val="13"/>
                <w:color w:val="auto"/>
              </w:rPr>
            </w:pPr>
          </w:p>
        </w:tc>
        <w:tc>
          <w:tcPr>
            <w:tcW w:w="140" w:type="dxa"/>
            <w:vAlign w:val="bottom"/>
            <w:tcBorders>
              <w:top w:val="single" w:sz="8" w:color="FDFDFC"/>
            </w:tcBorders>
            <w:shd w:val="clear" w:color="auto" w:fill="FDFDFC"/>
          </w:tcPr>
          <w:p>
            <w:pPr>
              <w:spacing w:after="0"/>
              <w:rPr>
                <w:sz w:val="13"/>
                <w:szCs w:val="13"/>
                <w:color w:val="auto"/>
              </w:rPr>
            </w:pPr>
          </w:p>
        </w:tc>
        <w:tc>
          <w:tcPr>
            <w:tcW w:w="860" w:type="dxa"/>
            <w:vAlign w:val="bottom"/>
            <w:tcBorders>
              <w:top w:val="single" w:sz="8" w:color="FDFDFC"/>
            </w:tcBorders>
            <w:shd w:val="clear" w:color="auto" w:fill="FDFDFC"/>
          </w:tcPr>
          <w:p>
            <w:pPr>
              <w:spacing w:after="0"/>
              <w:rPr>
                <w:sz w:val="13"/>
                <w:szCs w:val="13"/>
                <w:color w:val="auto"/>
              </w:rPr>
            </w:pPr>
          </w:p>
        </w:tc>
        <w:tc>
          <w:tcPr>
            <w:tcW w:w="120" w:type="dxa"/>
            <w:vAlign w:val="bottom"/>
            <w:tcBorders>
              <w:top w:val="single" w:sz="8" w:color="FDFDFC"/>
            </w:tcBorders>
            <w:shd w:val="clear" w:color="auto" w:fill="FDFDFC"/>
          </w:tcPr>
          <w:p>
            <w:pPr>
              <w:spacing w:after="0"/>
              <w:rPr>
                <w:sz w:val="13"/>
                <w:szCs w:val="13"/>
                <w:color w:val="auto"/>
              </w:rPr>
            </w:pPr>
          </w:p>
        </w:tc>
        <w:tc>
          <w:tcPr>
            <w:tcW w:w="80" w:type="dxa"/>
            <w:vAlign w:val="bottom"/>
            <w:tcBorders>
              <w:top w:val="single" w:sz="8" w:color="231F20"/>
              <w:bottom w:val="single" w:sz="8" w:color="231F20"/>
            </w:tcBorders>
            <w:shd w:val="clear" w:color="auto" w:fill="FDFDFC"/>
          </w:tcPr>
          <w:p>
            <w:pPr>
              <w:jc w:val="right"/>
              <w:spacing w:after="0"/>
              <w:rPr>
                <w:sz w:val="20"/>
                <w:szCs w:val="20"/>
                <w:color w:val="auto"/>
              </w:rPr>
            </w:pPr>
            <w:r>
              <w:rPr>
                <w:rFonts w:ascii="Times New Roman" w:cs="Times New Roman" w:eastAsia="Times New Roman" w:hAnsi="Times New Roman"/>
                <w:sz w:val="11"/>
                <w:szCs w:val="11"/>
                <w:b w:val="1"/>
                <w:bCs w:val="1"/>
                <w:color w:val="231F20"/>
                <w:highlight w:val="white"/>
                <w:w w:val="71"/>
              </w:rPr>
              <w:t>$</w:t>
            </w:r>
          </w:p>
        </w:tc>
        <w:tc>
          <w:tcPr>
            <w:tcW w:w="20" w:type="dxa"/>
            <w:vAlign w:val="bottom"/>
            <w:tcBorders>
              <w:top w:val="single" w:sz="8" w:color="231F20"/>
              <w:bottom w:val="single" w:sz="8" w:color="231F20"/>
            </w:tcBorders>
            <w:shd w:val="clear" w:color="auto" w:fill="FDFDFC"/>
          </w:tcPr>
          <w:p>
            <w:pPr>
              <w:spacing w:after="0"/>
              <w:rPr>
                <w:sz w:val="13"/>
                <w:szCs w:val="13"/>
                <w:color w:val="auto"/>
              </w:rPr>
            </w:pPr>
          </w:p>
        </w:tc>
        <w:tc>
          <w:tcPr>
            <w:tcW w:w="140" w:type="dxa"/>
            <w:vAlign w:val="bottom"/>
            <w:tcBorders>
              <w:top w:val="single" w:sz="8" w:color="231F20"/>
              <w:bottom w:val="single" w:sz="8" w:color="231F20"/>
            </w:tcBorders>
            <w:shd w:val="clear" w:color="auto" w:fill="FDFDFC"/>
          </w:tcPr>
          <w:p>
            <w:pPr>
              <w:spacing w:after="0"/>
              <w:rPr>
                <w:sz w:val="13"/>
                <w:szCs w:val="13"/>
                <w:color w:val="auto"/>
              </w:rPr>
            </w:pPr>
          </w:p>
        </w:tc>
        <w:tc>
          <w:tcPr>
            <w:tcW w:w="760" w:type="dxa"/>
            <w:vAlign w:val="bottom"/>
            <w:tcBorders>
              <w:top w:val="single" w:sz="8" w:color="231F20"/>
              <w:bottom w:val="single" w:sz="8" w:color="231F20"/>
            </w:tcBorders>
            <w:shd w:val="clear" w:color="auto" w:fill="FDFDFC"/>
          </w:tcPr>
          <w:p>
            <w:pPr>
              <w:jc w:val="right"/>
              <w:spacing w:after="0" w:line="156" w:lineRule="exact"/>
              <w:rPr>
                <w:sz w:val="20"/>
                <w:szCs w:val="20"/>
                <w:color w:val="auto"/>
              </w:rPr>
            </w:pPr>
            <w:r>
              <w:rPr>
                <w:rFonts w:ascii="Times New Roman" w:cs="Times New Roman" w:eastAsia="Times New Roman" w:hAnsi="Times New Roman"/>
                <w:sz w:val="15"/>
                <w:szCs w:val="15"/>
                <w:b w:val="1"/>
                <w:bCs w:val="1"/>
                <w:color w:val="231F20"/>
                <w:highlight w:val="white"/>
              </w:rPr>
              <w:t>3,539,153</w:t>
            </w:r>
          </w:p>
        </w:tc>
        <w:tc>
          <w:tcPr>
            <w:tcW w:w="80" w:type="dxa"/>
            <w:vAlign w:val="bottom"/>
            <w:tcBorders>
              <w:top w:val="single" w:sz="8" w:color="FDFDFC"/>
            </w:tcBorders>
            <w:shd w:val="clear" w:color="auto" w:fill="FDFDFC"/>
          </w:tcPr>
          <w:p>
            <w:pPr>
              <w:spacing w:after="0"/>
              <w:rPr>
                <w:sz w:val="13"/>
                <w:szCs w:val="13"/>
                <w:color w:val="auto"/>
              </w:rPr>
            </w:pPr>
          </w:p>
        </w:tc>
        <w:tc>
          <w:tcPr>
            <w:tcW w:w="20" w:type="dxa"/>
            <w:vAlign w:val="bottom"/>
            <w:tcBorders>
              <w:top w:val="single" w:sz="8" w:color="FDFDFC"/>
            </w:tcBorders>
            <w:shd w:val="clear" w:color="auto" w:fill="FDFDFC"/>
          </w:tcPr>
          <w:p>
            <w:pPr>
              <w:spacing w:after="0"/>
              <w:rPr>
                <w:sz w:val="13"/>
                <w:szCs w:val="13"/>
                <w:color w:val="auto"/>
              </w:rPr>
            </w:pPr>
          </w:p>
        </w:tc>
        <w:tc>
          <w:tcPr>
            <w:tcW w:w="80" w:type="dxa"/>
            <w:vAlign w:val="bottom"/>
            <w:tcBorders>
              <w:top w:val="single" w:sz="8" w:color="231F20"/>
              <w:bottom w:val="single" w:sz="8" w:color="231F20"/>
            </w:tcBorders>
            <w:shd w:val="clear" w:color="auto" w:fill="FDFDFC"/>
          </w:tcPr>
          <w:p>
            <w:pPr>
              <w:spacing w:after="0" w:line="156" w:lineRule="exact"/>
              <w:rPr>
                <w:sz w:val="20"/>
                <w:szCs w:val="20"/>
                <w:color w:val="auto"/>
              </w:rPr>
            </w:pPr>
            <w:r>
              <w:rPr>
                <w:rFonts w:ascii="Times New Roman" w:cs="Times New Roman" w:eastAsia="Times New Roman" w:hAnsi="Times New Roman"/>
                <w:sz w:val="15"/>
                <w:szCs w:val="15"/>
                <w:b w:val="1"/>
                <w:bCs w:val="1"/>
                <w:color w:val="231F20"/>
                <w:w w:val="79"/>
              </w:rPr>
              <w:t>$</w:t>
            </w:r>
          </w:p>
        </w:tc>
        <w:tc>
          <w:tcPr>
            <w:tcW w:w="120" w:type="dxa"/>
            <w:vAlign w:val="bottom"/>
            <w:tcBorders>
              <w:top w:val="single" w:sz="8" w:color="231F20"/>
              <w:bottom w:val="single" w:sz="8" w:color="231F20"/>
            </w:tcBorders>
            <w:shd w:val="clear" w:color="auto" w:fill="FDFDFC"/>
          </w:tcPr>
          <w:p>
            <w:pPr>
              <w:spacing w:after="0"/>
              <w:rPr>
                <w:sz w:val="13"/>
                <w:szCs w:val="13"/>
                <w:color w:val="auto"/>
              </w:rPr>
            </w:pPr>
          </w:p>
        </w:tc>
        <w:tc>
          <w:tcPr>
            <w:tcW w:w="60" w:type="dxa"/>
            <w:vAlign w:val="bottom"/>
            <w:tcBorders>
              <w:top w:val="single" w:sz="8" w:color="231F20"/>
              <w:bottom w:val="single" w:sz="8" w:color="231F20"/>
            </w:tcBorders>
            <w:shd w:val="clear" w:color="auto" w:fill="FDFDFC"/>
          </w:tcPr>
          <w:p>
            <w:pPr>
              <w:spacing w:after="0"/>
              <w:rPr>
                <w:sz w:val="13"/>
                <w:szCs w:val="13"/>
                <w:color w:val="auto"/>
              </w:rPr>
            </w:pPr>
          </w:p>
        </w:tc>
        <w:tc>
          <w:tcPr>
            <w:tcW w:w="1300" w:type="dxa"/>
            <w:vAlign w:val="bottom"/>
            <w:tcBorders>
              <w:top w:val="single" w:sz="8" w:color="231F20"/>
              <w:bottom w:val="single" w:sz="8" w:color="231F20"/>
            </w:tcBorders>
            <w:gridSpan w:val="3"/>
            <w:shd w:val="clear" w:color="auto" w:fill="FDFDFC"/>
          </w:tcPr>
          <w:p>
            <w:pPr>
              <w:jc w:val="right"/>
              <w:spacing w:after="0" w:line="156" w:lineRule="exact"/>
              <w:rPr>
                <w:sz w:val="20"/>
                <w:szCs w:val="20"/>
                <w:color w:val="auto"/>
              </w:rPr>
            </w:pPr>
            <w:r>
              <w:rPr>
                <w:rFonts w:ascii="Times New Roman" w:cs="Times New Roman" w:eastAsia="Times New Roman" w:hAnsi="Times New Roman"/>
                <w:sz w:val="15"/>
                <w:szCs w:val="15"/>
                <w:b w:val="1"/>
                <w:bCs w:val="1"/>
                <w:color w:val="231F20"/>
              </w:rPr>
              <w:t>3,518,412</w:t>
            </w:r>
          </w:p>
        </w:tc>
        <w:tc>
          <w:tcPr>
            <w:tcW w:w="20" w:type="dxa"/>
            <w:vAlign w:val="bottom"/>
            <w:tcBorders>
              <w:top w:val="single" w:sz="8" w:color="231F20"/>
              <w:bottom w:val="single" w:sz="8" w:color="231F20"/>
            </w:tcBorders>
            <w:shd w:val="clear" w:color="auto" w:fill="FDFDFC"/>
          </w:tcPr>
          <w:p>
            <w:pPr>
              <w:spacing w:after="0"/>
              <w:rPr>
                <w:sz w:val="13"/>
                <w:szCs w:val="13"/>
                <w:color w:val="auto"/>
              </w:rPr>
            </w:pPr>
          </w:p>
        </w:tc>
        <w:tc>
          <w:tcPr>
            <w:tcW w:w="100" w:type="dxa"/>
            <w:vAlign w:val="bottom"/>
            <w:tcBorders>
              <w:top w:val="single" w:sz="8" w:color="FDFDFC"/>
            </w:tcBorders>
            <w:shd w:val="clear" w:color="auto" w:fill="FDFDFC"/>
          </w:tcPr>
          <w:p>
            <w:pPr>
              <w:spacing w:after="0"/>
              <w:rPr>
                <w:sz w:val="13"/>
                <w:szCs w:val="13"/>
                <w:color w:val="auto"/>
              </w:rPr>
            </w:pPr>
          </w:p>
        </w:tc>
        <w:tc>
          <w:tcPr>
            <w:tcW w:w="860" w:type="dxa"/>
            <w:vAlign w:val="bottom"/>
            <w:tcBorders>
              <w:top w:val="single" w:sz="8" w:color="231F20"/>
              <w:bottom w:val="single" w:sz="8" w:color="231F20"/>
            </w:tcBorders>
            <w:gridSpan w:val="2"/>
            <w:shd w:val="clear" w:color="auto" w:fill="FDFDFC"/>
          </w:tcPr>
          <w:p>
            <w:pPr>
              <w:jc w:val="right"/>
              <w:spacing w:after="0" w:line="156" w:lineRule="exact"/>
              <w:rPr>
                <w:sz w:val="20"/>
                <w:szCs w:val="20"/>
                <w:color w:val="auto"/>
              </w:rPr>
            </w:pPr>
            <w:r>
              <w:rPr>
                <w:rFonts w:ascii="Times New Roman" w:cs="Times New Roman" w:eastAsia="Times New Roman" w:hAnsi="Times New Roman"/>
                <w:sz w:val="15"/>
                <w:szCs w:val="15"/>
                <w:b w:val="1"/>
                <w:bCs w:val="1"/>
                <w:color w:val="231F20"/>
              </w:rPr>
              <w:t>218.9%</w:t>
            </w:r>
          </w:p>
        </w:tc>
        <w:tc>
          <w:tcPr>
            <w:tcW w:w="0" w:type="dxa"/>
            <w:vAlign w:val="bottom"/>
          </w:tcPr>
          <w:p>
            <w:pPr>
              <w:spacing w:after="0"/>
              <w:rPr>
                <w:sz w:val="1"/>
                <w:szCs w:val="1"/>
                <w:color w:val="auto"/>
              </w:rPr>
            </w:pPr>
          </w:p>
        </w:tc>
      </w:tr>
      <w:tr>
        <w:trPr>
          <w:trHeight w:val="20"/>
        </w:trPr>
        <w:tc>
          <w:tcPr>
            <w:tcW w:w="15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231F20"/>
            </w:tcBorders>
          </w:tcPr>
          <w:p>
            <w:pPr>
              <w:spacing w:after="0" w:line="20" w:lineRule="exact"/>
              <w:rPr>
                <w:sz w:val="1"/>
                <w:szCs w:val="1"/>
                <w:color w:val="auto"/>
              </w:rPr>
            </w:pPr>
          </w:p>
        </w:tc>
        <w:tc>
          <w:tcPr>
            <w:tcW w:w="20" w:type="dxa"/>
            <w:vAlign w:val="bottom"/>
            <w:tcBorders>
              <w:bottom w:val="single" w:sz="8" w:color="231F20"/>
            </w:tcBorders>
          </w:tcPr>
          <w:p>
            <w:pPr>
              <w:spacing w:after="0" w:line="20" w:lineRule="exact"/>
              <w:rPr>
                <w:sz w:val="1"/>
                <w:szCs w:val="1"/>
                <w:color w:val="auto"/>
              </w:rPr>
            </w:pPr>
          </w:p>
        </w:tc>
        <w:tc>
          <w:tcPr>
            <w:tcW w:w="140" w:type="dxa"/>
            <w:vAlign w:val="bottom"/>
            <w:tcBorders>
              <w:bottom w:val="single" w:sz="8" w:color="231F20"/>
            </w:tcBorders>
          </w:tcPr>
          <w:p>
            <w:pPr>
              <w:spacing w:after="0" w:line="20" w:lineRule="exact"/>
              <w:rPr>
                <w:sz w:val="1"/>
                <w:szCs w:val="1"/>
                <w:color w:val="auto"/>
              </w:rPr>
            </w:pPr>
          </w:p>
        </w:tc>
        <w:tc>
          <w:tcPr>
            <w:tcW w:w="760" w:type="dxa"/>
            <w:vAlign w:val="bottom"/>
            <w:tcBorders>
              <w:bottom w:val="single" w:sz="8" w:color="231F20"/>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231F20"/>
            </w:tcBorders>
          </w:tcPr>
          <w:p>
            <w:pPr>
              <w:spacing w:after="0" w:line="20" w:lineRule="exact"/>
              <w:rPr>
                <w:sz w:val="1"/>
                <w:szCs w:val="1"/>
                <w:color w:val="auto"/>
              </w:rPr>
            </w:pPr>
          </w:p>
        </w:tc>
        <w:tc>
          <w:tcPr>
            <w:tcW w:w="120" w:type="dxa"/>
            <w:vAlign w:val="bottom"/>
            <w:tcBorders>
              <w:bottom w:val="single" w:sz="8" w:color="231F20"/>
            </w:tcBorders>
          </w:tcPr>
          <w:p>
            <w:pPr>
              <w:spacing w:after="0" w:line="20" w:lineRule="exact"/>
              <w:rPr>
                <w:sz w:val="1"/>
                <w:szCs w:val="1"/>
                <w:color w:val="auto"/>
              </w:rPr>
            </w:pPr>
          </w:p>
        </w:tc>
        <w:tc>
          <w:tcPr>
            <w:tcW w:w="60" w:type="dxa"/>
            <w:vAlign w:val="bottom"/>
            <w:tcBorders>
              <w:bottom w:val="single" w:sz="8" w:color="231F20"/>
            </w:tcBorders>
          </w:tcPr>
          <w:p>
            <w:pPr>
              <w:spacing w:after="0" w:line="20" w:lineRule="exact"/>
              <w:rPr>
                <w:sz w:val="1"/>
                <w:szCs w:val="1"/>
                <w:color w:val="auto"/>
              </w:rPr>
            </w:pPr>
          </w:p>
        </w:tc>
        <w:tc>
          <w:tcPr>
            <w:tcW w:w="920" w:type="dxa"/>
            <w:vAlign w:val="bottom"/>
            <w:tcBorders>
              <w:bottom w:val="single" w:sz="8" w:color="231F20"/>
            </w:tcBorders>
          </w:tcPr>
          <w:p>
            <w:pPr>
              <w:spacing w:after="0" w:line="20" w:lineRule="exact"/>
              <w:rPr>
                <w:sz w:val="1"/>
                <w:szCs w:val="1"/>
                <w:color w:val="auto"/>
              </w:rPr>
            </w:pPr>
          </w:p>
        </w:tc>
        <w:tc>
          <w:tcPr>
            <w:tcW w:w="220" w:type="dxa"/>
            <w:vAlign w:val="bottom"/>
            <w:tcBorders>
              <w:bottom w:val="single" w:sz="8" w:color="231F20"/>
            </w:tcBorders>
          </w:tcPr>
          <w:p>
            <w:pPr>
              <w:spacing w:after="0" w:line="20" w:lineRule="exact"/>
              <w:rPr>
                <w:sz w:val="1"/>
                <w:szCs w:val="1"/>
                <w:color w:val="auto"/>
              </w:rPr>
            </w:pPr>
          </w:p>
        </w:tc>
        <w:tc>
          <w:tcPr>
            <w:tcW w:w="160" w:type="dxa"/>
            <w:vAlign w:val="bottom"/>
            <w:tcBorders>
              <w:bottom w:val="single" w:sz="8" w:color="231F20"/>
            </w:tcBorders>
          </w:tcPr>
          <w:p>
            <w:pPr>
              <w:spacing w:after="0" w:line="20" w:lineRule="exact"/>
              <w:rPr>
                <w:sz w:val="1"/>
                <w:szCs w:val="1"/>
                <w:color w:val="auto"/>
              </w:rPr>
            </w:pPr>
          </w:p>
        </w:tc>
        <w:tc>
          <w:tcPr>
            <w:tcW w:w="20" w:type="dxa"/>
            <w:vAlign w:val="bottom"/>
            <w:tcBorders>
              <w:bottom w:val="single" w:sz="8" w:color="231F20"/>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Borders>
              <w:bottom w:val="single" w:sz="8" w:color="231F20"/>
            </w:tcBorders>
          </w:tcPr>
          <w:p>
            <w:pPr>
              <w:spacing w:after="0" w:line="20" w:lineRule="exact"/>
              <w:rPr>
                <w:sz w:val="1"/>
                <w:szCs w:val="1"/>
                <w:color w:val="auto"/>
              </w:rPr>
            </w:pPr>
          </w:p>
        </w:tc>
        <w:tc>
          <w:tcPr>
            <w:tcW w:w="100" w:type="dxa"/>
            <w:vAlign w:val="bottom"/>
            <w:tcBorders>
              <w:bottom w:val="single" w:sz="8" w:color="231F20"/>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15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gridSpan w:val="2"/>
          </w:tcPr>
          <w:p>
            <w:pPr>
              <w:spacing w:after="0"/>
              <w:rPr>
                <w:sz w:val="21"/>
                <w:szCs w:val="21"/>
                <w:color w:val="auto"/>
              </w:rPr>
            </w:pPr>
          </w:p>
        </w:tc>
        <w:tc>
          <w:tcPr>
            <w:tcW w:w="200" w:type="dxa"/>
            <w:vAlign w:val="bottom"/>
            <w:gridSpan w:val="2"/>
          </w:tcPr>
          <w:p>
            <w:pPr>
              <w:spacing w:after="0"/>
              <w:rPr>
                <w:sz w:val="21"/>
                <w:szCs w:val="21"/>
                <w:color w:val="auto"/>
              </w:rPr>
            </w:pPr>
          </w:p>
        </w:tc>
        <w:tc>
          <w:tcPr>
            <w:tcW w:w="1000" w:type="dxa"/>
            <w:vAlign w:val="bottom"/>
            <w:gridSpan w:val="4"/>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7"/>
        </w:trPr>
        <w:tc>
          <w:tcPr>
            <w:tcW w:w="1560" w:type="dxa"/>
            <w:vAlign w:val="bottom"/>
            <w:tcBorders>
              <w:bottom w:val="single" w:sz="8" w:color="FDFDFC"/>
            </w:tcBorders>
            <w:shd w:val="clear" w:color="auto" w:fill="FDFDFC"/>
          </w:tcPr>
          <w:p>
            <w:pPr>
              <w:spacing w:after="0"/>
              <w:rPr>
                <w:sz w:val="16"/>
                <w:szCs w:val="16"/>
                <w:color w:val="auto"/>
              </w:rPr>
            </w:pPr>
          </w:p>
        </w:tc>
        <w:tc>
          <w:tcPr>
            <w:tcW w:w="340" w:type="dxa"/>
            <w:vAlign w:val="bottom"/>
            <w:tcBorders>
              <w:bottom w:val="single" w:sz="8" w:color="FDFDFC"/>
            </w:tcBorders>
            <w:shd w:val="clear" w:color="auto" w:fill="FDFDFC"/>
          </w:tcPr>
          <w:p>
            <w:pPr>
              <w:spacing w:after="0"/>
              <w:rPr>
                <w:sz w:val="16"/>
                <w:szCs w:val="16"/>
                <w:color w:val="auto"/>
              </w:rPr>
            </w:pPr>
          </w:p>
        </w:tc>
        <w:tc>
          <w:tcPr>
            <w:tcW w:w="1100" w:type="dxa"/>
            <w:vAlign w:val="bottom"/>
            <w:tcBorders>
              <w:bottom w:val="single" w:sz="8" w:color="231F20"/>
            </w:tcBorders>
            <w:shd w:val="clear" w:color="auto" w:fill="FDFDFC"/>
          </w:tcPr>
          <w:p>
            <w:pPr>
              <w:spacing w:after="0"/>
              <w:rPr>
                <w:sz w:val="16"/>
                <w:szCs w:val="16"/>
                <w:color w:val="auto"/>
              </w:rPr>
            </w:pPr>
          </w:p>
        </w:tc>
        <w:tc>
          <w:tcPr>
            <w:tcW w:w="120" w:type="dxa"/>
            <w:vAlign w:val="bottom"/>
            <w:tcBorders>
              <w:bottom w:val="single" w:sz="8" w:color="231F20"/>
            </w:tcBorders>
            <w:shd w:val="clear" w:color="auto" w:fill="FDFDFC"/>
          </w:tcPr>
          <w:p>
            <w:pPr>
              <w:spacing w:after="0"/>
              <w:rPr>
                <w:sz w:val="16"/>
                <w:szCs w:val="16"/>
                <w:color w:val="auto"/>
              </w:rPr>
            </w:pPr>
          </w:p>
        </w:tc>
        <w:tc>
          <w:tcPr>
            <w:tcW w:w="60" w:type="dxa"/>
            <w:vAlign w:val="bottom"/>
            <w:tcBorders>
              <w:bottom w:val="single" w:sz="8" w:color="231F20"/>
            </w:tcBorders>
            <w:shd w:val="clear" w:color="auto" w:fill="FDFDFC"/>
          </w:tcPr>
          <w:p>
            <w:pPr>
              <w:spacing w:after="0"/>
              <w:rPr>
                <w:sz w:val="16"/>
                <w:szCs w:val="16"/>
                <w:color w:val="auto"/>
              </w:rPr>
            </w:pPr>
          </w:p>
        </w:tc>
        <w:tc>
          <w:tcPr>
            <w:tcW w:w="660" w:type="dxa"/>
            <w:vAlign w:val="bottom"/>
            <w:tcBorders>
              <w:bottom w:val="single" w:sz="8" w:color="231F20"/>
            </w:tcBorders>
            <w:shd w:val="clear" w:color="auto" w:fill="FDFDFC"/>
          </w:tcPr>
          <w:p>
            <w:pPr>
              <w:spacing w:after="0"/>
              <w:rPr>
                <w:sz w:val="16"/>
                <w:szCs w:val="16"/>
                <w:color w:val="auto"/>
              </w:rPr>
            </w:pPr>
          </w:p>
        </w:tc>
        <w:tc>
          <w:tcPr>
            <w:tcW w:w="360" w:type="dxa"/>
            <w:vAlign w:val="bottom"/>
            <w:tcBorders>
              <w:bottom w:val="single" w:sz="8" w:color="231F20"/>
            </w:tcBorders>
            <w:shd w:val="clear" w:color="auto" w:fill="FDFDFC"/>
          </w:tcPr>
          <w:p>
            <w:pPr>
              <w:spacing w:after="0"/>
              <w:rPr>
                <w:sz w:val="16"/>
                <w:szCs w:val="16"/>
                <w:color w:val="auto"/>
              </w:rPr>
            </w:pPr>
          </w:p>
        </w:tc>
        <w:tc>
          <w:tcPr>
            <w:tcW w:w="120" w:type="dxa"/>
            <w:vAlign w:val="bottom"/>
            <w:tcBorders>
              <w:bottom w:val="single" w:sz="8" w:color="231F20"/>
            </w:tcBorders>
            <w:shd w:val="clear" w:color="auto" w:fill="FDFDFC"/>
          </w:tcPr>
          <w:p>
            <w:pPr>
              <w:spacing w:after="0"/>
              <w:rPr>
                <w:sz w:val="16"/>
                <w:szCs w:val="16"/>
                <w:color w:val="auto"/>
              </w:rPr>
            </w:pPr>
          </w:p>
        </w:tc>
        <w:tc>
          <w:tcPr>
            <w:tcW w:w="260" w:type="dxa"/>
            <w:vAlign w:val="bottom"/>
            <w:tcBorders>
              <w:bottom w:val="single" w:sz="8" w:color="231F20"/>
            </w:tcBorders>
            <w:shd w:val="clear" w:color="auto" w:fill="FDFDFC"/>
          </w:tcPr>
          <w:p>
            <w:pPr>
              <w:spacing w:after="0"/>
              <w:rPr>
                <w:sz w:val="16"/>
                <w:szCs w:val="16"/>
                <w:color w:val="auto"/>
              </w:rPr>
            </w:pPr>
          </w:p>
        </w:tc>
        <w:tc>
          <w:tcPr>
            <w:tcW w:w="3160" w:type="dxa"/>
            <w:vAlign w:val="bottom"/>
            <w:tcBorders>
              <w:bottom w:val="single" w:sz="8" w:color="231F20"/>
            </w:tcBorders>
            <w:gridSpan w:val="11"/>
            <w:shd w:val="clear" w:color="auto" w:fill="FDFDFC"/>
          </w:tcPr>
          <w:p>
            <w:pPr>
              <w:spacing w:after="0"/>
              <w:rPr>
                <w:sz w:val="20"/>
                <w:szCs w:val="20"/>
                <w:color w:val="auto"/>
              </w:rPr>
            </w:pPr>
            <w:r>
              <w:rPr>
                <w:rFonts w:ascii="Times New Roman" w:cs="Times New Roman" w:eastAsia="Times New Roman" w:hAnsi="Times New Roman"/>
                <w:sz w:val="15"/>
                <w:szCs w:val="15"/>
                <w:b w:val="1"/>
                <w:bCs w:val="1"/>
                <w:color w:val="231F20"/>
              </w:rPr>
              <w:t>Interest Rate Swaps as of December 31, 2024</w:t>
            </w:r>
          </w:p>
        </w:tc>
        <w:tc>
          <w:tcPr>
            <w:tcW w:w="80" w:type="dxa"/>
            <w:vAlign w:val="bottom"/>
            <w:tcBorders>
              <w:bottom w:val="single" w:sz="8" w:color="231F20"/>
            </w:tcBorders>
            <w:shd w:val="clear" w:color="auto" w:fill="FDFDFC"/>
          </w:tcPr>
          <w:p>
            <w:pPr>
              <w:spacing w:after="0"/>
              <w:rPr>
                <w:sz w:val="16"/>
                <w:szCs w:val="16"/>
                <w:color w:val="auto"/>
              </w:rPr>
            </w:pPr>
          </w:p>
        </w:tc>
        <w:tc>
          <w:tcPr>
            <w:tcW w:w="120" w:type="dxa"/>
            <w:vAlign w:val="bottom"/>
            <w:tcBorders>
              <w:bottom w:val="single" w:sz="8" w:color="231F20"/>
            </w:tcBorders>
            <w:shd w:val="clear" w:color="auto" w:fill="FDFDFC"/>
          </w:tcPr>
          <w:p>
            <w:pPr>
              <w:spacing w:after="0"/>
              <w:rPr>
                <w:sz w:val="16"/>
                <w:szCs w:val="16"/>
                <w:color w:val="auto"/>
              </w:rPr>
            </w:pPr>
          </w:p>
        </w:tc>
        <w:tc>
          <w:tcPr>
            <w:tcW w:w="60" w:type="dxa"/>
            <w:vAlign w:val="bottom"/>
            <w:tcBorders>
              <w:bottom w:val="single" w:sz="8" w:color="231F20"/>
            </w:tcBorders>
            <w:shd w:val="clear" w:color="auto" w:fill="FDFDFC"/>
          </w:tcPr>
          <w:p>
            <w:pPr>
              <w:spacing w:after="0"/>
              <w:rPr>
                <w:sz w:val="16"/>
                <w:szCs w:val="16"/>
                <w:color w:val="auto"/>
              </w:rPr>
            </w:pPr>
          </w:p>
        </w:tc>
        <w:tc>
          <w:tcPr>
            <w:tcW w:w="920" w:type="dxa"/>
            <w:vAlign w:val="bottom"/>
            <w:tcBorders>
              <w:bottom w:val="single" w:sz="8" w:color="231F20"/>
            </w:tcBorders>
            <w:shd w:val="clear" w:color="auto" w:fill="FDFDFC"/>
          </w:tcPr>
          <w:p>
            <w:pPr>
              <w:spacing w:after="0"/>
              <w:rPr>
                <w:sz w:val="16"/>
                <w:szCs w:val="16"/>
                <w:color w:val="auto"/>
              </w:rPr>
            </w:pPr>
          </w:p>
        </w:tc>
        <w:tc>
          <w:tcPr>
            <w:tcW w:w="220" w:type="dxa"/>
            <w:vAlign w:val="bottom"/>
            <w:tcBorders>
              <w:bottom w:val="single" w:sz="8" w:color="231F20"/>
            </w:tcBorders>
            <w:shd w:val="clear" w:color="auto" w:fill="FDFDFC"/>
          </w:tcPr>
          <w:p>
            <w:pPr>
              <w:spacing w:after="0"/>
              <w:rPr>
                <w:sz w:val="16"/>
                <w:szCs w:val="16"/>
                <w:color w:val="auto"/>
              </w:rPr>
            </w:pPr>
          </w:p>
        </w:tc>
        <w:tc>
          <w:tcPr>
            <w:tcW w:w="160" w:type="dxa"/>
            <w:vAlign w:val="bottom"/>
            <w:tcBorders>
              <w:bottom w:val="single" w:sz="8" w:color="231F20"/>
            </w:tcBorders>
            <w:shd w:val="clear" w:color="auto" w:fill="FDFDFC"/>
          </w:tcPr>
          <w:p>
            <w:pPr>
              <w:spacing w:after="0"/>
              <w:rPr>
                <w:sz w:val="16"/>
                <w:szCs w:val="16"/>
                <w:color w:val="auto"/>
              </w:rPr>
            </w:pPr>
          </w:p>
        </w:tc>
        <w:tc>
          <w:tcPr>
            <w:tcW w:w="20" w:type="dxa"/>
            <w:vAlign w:val="bottom"/>
            <w:tcBorders>
              <w:bottom w:val="single" w:sz="8" w:color="231F20"/>
            </w:tcBorders>
            <w:shd w:val="clear" w:color="auto" w:fill="FDFDFC"/>
          </w:tcPr>
          <w:p>
            <w:pPr>
              <w:spacing w:after="0"/>
              <w:rPr>
                <w:sz w:val="16"/>
                <w:szCs w:val="16"/>
                <w:color w:val="auto"/>
              </w:rPr>
            </w:pPr>
          </w:p>
        </w:tc>
        <w:tc>
          <w:tcPr>
            <w:tcW w:w="100" w:type="dxa"/>
            <w:vAlign w:val="bottom"/>
            <w:tcBorders>
              <w:bottom w:val="single" w:sz="8" w:color="231F20"/>
            </w:tcBorders>
            <w:shd w:val="clear" w:color="auto" w:fill="FDFDFC"/>
          </w:tcPr>
          <w:p>
            <w:pPr>
              <w:spacing w:after="0"/>
              <w:rPr>
                <w:sz w:val="16"/>
                <w:szCs w:val="16"/>
                <w:color w:val="auto"/>
              </w:rPr>
            </w:pPr>
          </w:p>
        </w:tc>
        <w:tc>
          <w:tcPr>
            <w:tcW w:w="760" w:type="dxa"/>
            <w:vAlign w:val="bottom"/>
            <w:tcBorders>
              <w:bottom w:val="single" w:sz="8" w:color="231F20"/>
            </w:tcBorders>
            <w:shd w:val="clear" w:color="auto" w:fill="FDFDFC"/>
          </w:tcPr>
          <w:p>
            <w:pPr>
              <w:spacing w:after="0"/>
              <w:rPr>
                <w:sz w:val="16"/>
                <w:szCs w:val="16"/>
                <w:color w:val="auto"/>
              </w:rPr>
            </w:pPr>
          </w:p>
        </w:tc>
        <w:tc>
          <w:tcPr>
            <w:tcW w:w="100" w:type="dxa"/>
            <w:vAlign w:val="bottom"/>
            <w:tcBorders>
              <w:bottom w:val="single" w:sz="8" w:color="FDFDFC"/>
            </w:tcBorders>
            <w:shd w:val="clear" w:color="auto" w:fill="FDFDFC"/>
          </w:tcPr>
          <w:p>
            <w:pPr>
              <w:spacing w:after="0"/>
              <w:rPr>
                <w:sz w:val="16"/>
                <w:szCs w:val="16"/>
                <w:color w:val="auto"/>
              </w:rPr>
            </w:pPr>
          </w:p>
        </w:tc>
        <w:tc>
          <w:tcPr>
            <w:tcW w:w="0" w:type="dxa"/>
            <w:vAlign w:val="bottom"/>
          </w:tcPr>
          <w:p>
            <w:pPr>
              <w:spacing w:after="0"/>
              <w:rPr>
                <w:sz w:val="1"/>
                <w:szCs w:val="1"/>
                <w:color w:val="auto"/>
              </w:rPr>
            </w:pPr>
          </w:p>
        </w:tc>
      </w:tr>
      <w:tr>
        <w:trPr>
          <w:trHeight w:val="159"/>
        </w:trPr>
        <w:tc>
          <w:tcPr>
            <w:tcW w:w="1560" w:type="dxa"/>
            <w:vAlign w:val="bottom"/>
            <w:shd w:val="clear" w:color="auto" w:fill="FDFDFC"/>
          </w:tcPr>
          <w:p>
            <w:pPr>
              <w:spacing w:after="0"/>
              <w:rPr>
                <w:sz w:val="13"/>
                <w:szCs w:val="13"/>
                <w:color w:val="auto"/>
              </w:rPr>
            </w:pPr>
          </w:p>
        </w:tc>
        <w:tc>
          <w:tcPr>
            <w:tcW w:w="340" w:type="dxa"/>
            <w:vAlign w:val="bottom"/>
            <w:shd w:val="clear" w:color="auto" w:fill="FDFDFC"/>
          </w:tcPr>
          <w:p>
            <w:pPr>
              <w:spacing w:after="0"/>
              <w:rPr>
                <w:sz w:val="13"/>
                <w:szCs w:val="13"/>
                <w:color w:val="auto"/>
              </w:rPr>
            </w:pPr>
          </w:p>
        </w:tc>
        <w:tc>
          <w:tcPr>
            <w:tcW w:w="1280" w:type="dxa"/>
            <w:vAlign w:val="bottom"/>
            <w:gridSpan w:val="3"/>
            <w:vMerge w:val="restart"/>
            <w:shd w:val="clear" w:color="auto" w:fill="FDFDFC"/>
          </w:tcPr>
          <w:p>
            <w:pPr>
              <w:jc w:val="center"/>
              <w:ind w:right="200"/>
              <w:spacing w:after="0"/>
              <w:rPr>
                <w:sz w:val="20"/>
                <w:szCs w:val="20"/>
                <w:color w:val="auto"/>
              </w:rPr>
            </w:pPr>
            <w:r>
              <w:rPr>
                <w:rFonts w:ascii="Times New Roman" w:cs="Times New Roman" w:eastAsia="Times New Roman" w:hAnsi="Times New Roman"/>
                <w:sz w:val="15"/>
                <w:szCs w:val="15"/>
                <w:b w:val="1"/>
                <w:bCs w:val="1"/>
                <w:color w:val="231F20"/>
              </w:rPr>
              <w:t>Company</w:t>
            </w:r>
          </w:p>
        </w:tc>
        <w:tc>
          <w:tcPr>
            <w:tcW w:w="1400" w:type="dxa"/>
            <w:vAlign w:val="bottom"/>
            <w:gridSpan w:val="4"/>
            <w:vMerge w:val="restart"/>
            <w:shd w:val="clear" w:color="auto" w:fill="FDFDFC"/>
          </w:tcPr>
          <w:p>
            <w:pPr>
              <w:jc w:val="center"/>
              <w:ind w:right="404"/>
              <w:spacing w:after="0"/>
              <w:rPr>
                <w:sz w:val="20"/>
                <w:szCs w:val="20"/>
                <w:color w:val="auto"/>
              </w:rPr>
            </w:pPr>
            <w:r>
              <w:rPr>
                <w:rFonts w:ascii="Times New Roman" w:cs="Times New Roman" w:eastAsia="Times New Roman" w:hAnsi="Times New Roman"/>
                <w:sz w:val="15"/>
                <w:szCs w:val="15"/>
                <w:b w:val="1"/>
                <w:bCs w:val="1"/>
                <w:color w:val="231F20"/>
              </w:rPr>
              <w:t>Company</w:t>
            </w:r>
          </w:p>
        </w:tc>
        <w:tc>
          <w:tcPr>
            <w:tcW w:w="820" w:type="dxa"/>
            <w:vAlign w:val="bottom"/>
            <w:shd w:val="clear" w:color="auto" w:fill="FDFDFC"/>
          </w:tcPr>
          <w:p>
            <w:pPr>
              <w:spacing w:after="0"/>
              <w:rPr>
                <w:sz w:val="13"/>
                <w:szCs w:val="13"/>
                <w:color w:val="auto"/>
              </w:rPr>
            </w:pPr>
          </w:p>
        </w:tc>
        <w:tc>
          <w:tcPr>
            <w:tcW w:w="120" w:type="dxa"/>
            <w:vAlign w:val="bottom"/>
            <w:shd w:val="clear" w:color="auto" w:fill="FDFDFC"/>
          </w:tcPr>
          <w:p>
            <w:pPr>
              <w:spacing w:after="0"/>
              <w:rPr>
                <w:sz w:val="13"/>
                <w:szCs w:val="13"/>
                <w:color w:val="auto"/>
              </w:rPr>
            </w:pPr>
          </w:p>
        </w:tc>
        <w:tc>
          <w:tcPr>
            <w:tcW w:w="140" w:type="dxa"/>
            <w:vAlign w:val="bottom"/>
            <w:shd w:val="clear" w:color="auto" w:fill="FDFDFC"/>
          </w:tcPr>
          <w:p>
            <w:pPr>
              <w:spacing w:after="0"/>
              <w:rPr>
                <w:sz w:val="13"/>
                <w:szCs w:val="13"/>
                <w:color w:val="auto"/>
              </w:rPr>
            </w:pPr>
          </w:p>
        </w:tc>
        <w:tc>
          <w:tcPr>
            <w:tcW w:w="860" w:type="dxa"/>
            <w:vAlign w:val="bottom"/>
            <w:vMerge w:val="restart"/>
            <w:shd w:val="clear" w:color="auto" w:fill="FDFDFC"/>
          </w:tcPr>
          <w:p>
            <w:pPr>
              <w:jc w:val="right"/>
              <w:ind w:right="164"/>
              <w:spacing w:after="0"/>
              <w:rPr>
                <w:sz w:val="20"/>
                <w:szCs w:val="20"/>
                <w:color w:val="auto"/>
              </w:rPr>
            </w:pPr>
            <w:r>
              <w:rPr>
                <w:rFonts w:ascii="Times New Roman" w:cs="Times New Roman" w:eastAsia="Times New Roman" w:hAnsi="Times New Roman"/>
                <w:sz w:val="15"/>
                <w:szCs w:val="15"/>
                <w:b w:val="1"/>
                <w:bCs w:val="1"/>
                <w:color w:val="231F20"/>
              </w:rPr>
              <w:t>Notional</w:t>
            </w:r>
          </w:p>
        </w:tc>
        <w:tc>
          <w:tcPr>
            <w:tcW w:w="120" w:type="dxa"/>
            <w:vAlign w:val="bottom"/>
            <w:shd w:val="clear" w:color="auto" w:fill="FDFDFC"/>
          </w:tcPr>
          <w:p>
            <w:pPr>
              <w:spacing w:after="0"/>
              <w:rPr>
                <w:sz w:val="13"/>
                <w:szCs w:val="13"/>
                <w:color w:val="auto"/>
              </w:rPr>
            </w:pPr>
          </w:p>
        </w:tc>
        <w:tc>
          <w:tcPr>
            <w:tcW w:w="80" w:type="dxa"/>
            <w:vAlign w:val="bottom"/>
            <w:shd w:val="clear" w:color="auto" w:fill="FDFDFC"/>
          </w:tcPr>
          <w:p>
            <w:pPr>
              <w:spacing w:after="0"/>
              <w:rPr>
                <w:sz w:val="13"/>
                <w:szCs w:val="13"/>
                <w:color w:val="auto"/>
              </w:rPr>
            </w:pPr>
          </w:p>
        </w:tc>
        <w:tc>
          <w:tcPr>
            <w:tcW w:w="20" w:type="dxa"/>
            <w:vAlign w:val="bottom"/>
            <w:shd w:val="clear" w:color="auto" w:fill="FDFDFC"/>
          </w:tcPr>
          <w:p>
            <w:pPr>
              <w:spacing w:after="0"/>
              <w:rPr>
                <w:sz w:val="13"/>
                <w:szCs w:val="13"/>
                <w:color w:val="auto"/>
              </w:rPr>
            </w:pPr>
          </w:p>
        </w:tc>
        <w:tc>
          <w:tcPr>
            <w:tcW w:w="140" w:type="dxa"/>
            <w:vAlign w:val="bottom"/>
            <w:shd w:val="clear" w:color="auto" w:fill="FDFDFC"/>
          </w:tcPr>
          <w:p>
            <w:pPr>
              <w:spacing w:after="0"/>
              <w:rPr>
                <w:sz w:val="13"/>
                <w:szCs w:val="13"/>
                <w:color w:val="auto"/>
              </w:rPr>
            </w:pPr>
          </w:p>
        </w:tc>
        <w:tc>
          <w:tcPr>
            <w:tcW w:w="840" w:type="dxa"/>
            <w:vAlign w:val="bottom"/>
            <w:gridSpan w:val="2"/>
            <w:shd w:val="clear" w:color="auto" w:fill="FDFDFC"/>
          </w:tcPr>
          <w:p>
            <w:pPr>
              <w:jc w:val="center"/>
              <w:ind w:right="180"/>
              <w:spacing w:after="0" w:line="159" w:lineRule="exact"/>
              <w:rPr>
                <w:sz w:val="20"/>
                <w:szCs w:val="20"/>
                <w:color w:val="auto"/>
              </w:rPr>
            </w:pPr>
            <w:r>
              <w:rPr>
                <w:rFonts w:ascii="Times New Roman" w:cs="Times New Roman" w:eastAsia="Times New Roman" w:hAnsi="Times New Roman"/>
                <w:sz w:val="15"/>
                <w:szCs w:val="15"/>
                <w:b w:val="1"/>
                <w:bCs w:val="1"/>
                <w:color w:val="231F20"/>
                <w:w w:val="94"/>
              </w:rPr>
              <w:t>Fair</w:t>
            </w:r>
          </w:p>
        </w:tc>
        <w:tc>
          <w:tcPr>
            <w:tcW w:w="20" w:type="dxa"/>
            <w:vAlign w:val="bottom"/>
            <w:shd w:val="clear" w:color="auto" w:fill="FDFDFC"/>
          </w:tcPr>
          <w:p>
            <w:pPr>
              <w:spacing w:after="0"/>
              <w:rPr>
                <w:sz w:val="13"/>
                <w:szCs w:val="13"/>
                <w:color w:val="auto"/>
              </w:rPr>
            </w:pPr>
          </w:p>
        </w:tc>
        <w:tc>
          <w:tcPr>
            <w:tcW w:w="80" w:type="dxa"/>
            <w:vAlign w:val="bottom"/>
            <w:shd w:val="clear" w:color="auto" w:fill="FDFDFC"/>
          </w:tcPr>
          <w:p>
            <w:pPr>
              <w:spacing w:after="0"/>
              <w:rPr>
                <w:sz w:val="13"/>
                <w:szCs w:val="13"/>
                <w:color w:val="auto"/>
              </w:rPr>
            </w:pPr>
          </w:p>
        </w:tc>
        <w:tc>
          <w:tcPr>
            <w:tcW w:w="120" w:type="dxa"/>
            <w:vAlign w:val="bottom"/>
            <w:shd w:val="clear" w:color="auto" w:fill="FDFDFC"/>
          </w:tcPr>
          <w:p>
            <w:pPr>
              <w:spacing w:after="0"/>
              <w:rPr>
                <w:sz w:val="13"/>
                <w:szCs w:val="13"/>
                <w:color w:val="auto"/>
              </w:rPr>
            </w:pPr>
          </w:p>
        </w:tc>
        <w:tc>
          <w:tcPr>
            <w:tcW w:w="60" w:type="dxa"/>
            <w:vAlign w:val="bottom"/>
            <w:shd w:val="clear" w:color="auto" w:fill="FDFDFC"/>
          </w:tcPr>
          <w:p>
            <w:pPr>
              <w:spacing w:after="0"/>
              <w:rPr>
                <w:sz w:val="13"/>
                <w:szCs w:val="13"/>
                <w:color w:val="auto"/>
              </w:rPr>
            </w:pPr>
          </w:p>
        </w:tc>
        <w:tc>
          <w:tcPr>
            <w:tcW w:w="920" w:type="dxa"/>
            <w:vAlign w:val="bottom"/>
            <w:shd w:val="clear" w:color="auto" w:fill="FDFDFC"/>
          </w:tcPr>
          <w:p>
            <w:pPr>
              <w:jc w:val="center"/>
              <w:ind w:right="4"/>
              <w:spacing w:after="0" w:line="159" w:lineRule="exact"/>
              <w:rPr>
                <w:sz w:val="20"/>
                <w:szCs w:val="20"/>
                <w:color w:val="auto"/>
              </w:rPr>
            </w:pPr>
            <w:r>
              <w:rPr>
                <w:rFonts w:ascii="Times New Roman" w:cs="Times New Roman" w:eastAsia="Times New Roman" w:hAnsi="Times New Roman"/>
                <w:sz w:val="15"/>
                <w:szCs w:val="15"/>
                <w:b w:val="1"/>
                <w:bCs w:val="1"/>
                <w:color w:val="231F20"/>
              </w:rPr>
              <w:t>Upfront</w:t>
            </w:r>
          </w:p>
        </w:tc>
        <w:tc>
          <w:tcPr>
            <w:tcW w:w="220" w:type="dxa"/>
            <w:vAlign w:val="bottom"/>
            <w:shd w:val="clear" w:color="auto" w:fill="FDFDFC"/>
          </w:tcPr>
          <w:p>
            <w:pPr>
              <w:spacing w:after="0"/>
              <w:rPr>
                <w:sz w:val="13"/>
                <w:szCs w:val="13"/>
                <w:color w:val="auto"/>
              </w:rPr>
            </w:pPr>
          </w:p>
        </w:tc>
        <w:tc>
          <w:tcPr>
            <w:tcW w:w="160" w:type="dxa"/>
            <w:vAlign w:val="bottom"/>
            <w:shd w:val="clear" w:color="auto" w:fill="FDFDFC"/>
          </w:tcPr>
          <w:p>
            <w:pPr>
              <w:spacing w:after="0"/>
              <w:rPr>
                <w:sz w:val="13"/>
                <w:szCs w:val="13"/>
                <w:color w:val="auto"/>
              </w:rPr>
            </w:pPr>
          </w:p>
        </w:tc>
        <w:tc>
          <w:tcPr>
            <w:tcW w:w="880" w:type="dxa"/>
            <w:vAlign w:val="bottom"/>
            <w:gridSpan w:val="3"/>
            <w:shd w:val="clear" w:color="auto" w:fill="FDFDFC"/>
          </w:tcPr>
          <w:p>
            <w:pPr>
              <w:jc w:val="right"/>
              <w:ind w:right="124"/>
              <w:spacing w:after="0" w:line="159" w:lineRule="exact"/>
              <w:rPr>
                <w:sz w:val="20"/>
                <w:szCs w:val="20"/>
                <w:color w:val="auto"/>
              </w:rPr>
            </w:pPr>
            <w:r>
              <w:rPr>
                <w:rFonts w:ascii="Times New Roman" w:cs="Times New Roman" w:eastAsia="Times New Roman" w:hAnsi="Times New Roman"/>
                <w:sz w:val="15"/>
                <w:szCs w:val="15"/>
                <w:b w:val="1"/>
                <w:bCs w:val="1"/>
                <w:color w:val="231F20"/>
              </w:rPr>
              <w:t>Change in</w:t>
            </w:r>
          </w:p>
        </w:tc>
        <w:tc>
          <w:tcPr>
            <w:tcW w:w="100" w:type="dxa"/>
            <w:vAlign w:val="bottom"/>
            <w:shd w:val="clear" w:color="auto" w:fill="FDFDFC"/>
          </w:tcPr>
          <w:p>
            <w:pPr>
              <w:spacing w:after="0"/>
              <w:rPr>
                <w:sz w:val="13"/>
                <w:szCs w:val="13"/>
                <w:color w:val="auto"/>
              </w:rPr>
            </w:pPr>
          </w:p>
        </w:tc>
        <w:tc>
          <w:tcPr>
            <w:tcW w:w="0" w:type="dxa"/>
            <w:vAlign w:val="bottom"/>
          </w:tcPr>
          <w:p>
            <w:pPr>
              <w:spacing w:after="0"/>
              <w:rPr>
                <w:sz w:val="1"/>
                <w:szCs w:val="1"/>
                <w:color w:val="auto"/>
              </w:rPr>
            </w:pPr>
          </w:p>
        </w:tc>
      </w:tr>
      <w:tr>
        <w:trPr>
          <w:trHeight w:val="174"/>
        </w:trPr>
        <w:tc>
          <w:tcPr>
            <w:tcW w:w="1560" w:type="dxa"/>
            <w:vAlign w:val="bottom"/>
            <w:shd w:val="clear" w:color="auto" w:fill="FDFDFC"/>
          </w:tcPr>
          <w:p>
            <w:pPr>
              <w:spacing w:after="0"/>
              <w:rPr>
                <w:sz w:val="15"/>
                <w:szCs w:val="15"/>
                <w:color w:val="auto"/>
              </w:rPr>
            </w:pPr>
          </w:p>
        </w:tc>
        <w:tc>
          <w:tcPr>
            <w:tcW w:w="340" w:type="dxa"/>
            <w:vAlign w:val="bottom"/>
            <w:shd w:val="clear" w:color="auto" w:fill="FDFDFC"/>
          </w:tcPr>
          <w:p>
            <w:pPr>
              <w:spacing w:after="0"/>
              <w:rPr>
                <w:sz w:val="15"/>
                <w:szCs w:val="15"/>
                <w:color w:val="auto"/>
              </w:rPr>
            </w:pPr>
          </w:p>
        </w:tc>
        <w:tc>
          <w:tcPr>
            <w:tcW w:w="1280" w:type="dxa"/>
            <w:vAlign w:val="bottom"/>
            <w:gridSpan w:val="3"/>
            <w:vMerge w:val="continue"/>
            <w:shd w:val="clear" w:color="auto" w:fill="FDFDFC"/>
          </w:tcPr>
          <w:p>
            <w:pPr>
              <w:spacing w:after="0"/>
              <w:rPr>
                <w:sz w:val="15"/>
                <w:szCs w:val="15"/>
                <w:color w:val="auto"/>
              </w:rPr>
            </w:pPr>
          </w:p>
        </w:tc>
        <w:tc>
          <w:tcPr>
            <w:tcW w:w="1400" w:type="dxa"/>
            <w:vAlign w:val="bottom"/>
            <w:gridSpan w:val="4"/>
            <w:vMerge w:val="continue"/>
            <w:shd w:val="clear" w:color="auto" w:fill="FDFDFC"/>
          </w:tcPr>
          <w:p>
            <w:pPr>
              <w:spacing w:after="0"/>
              <w:rPr>
                <w:sz w:val="15"/>
                <w:szCs w:val="15"/>
                <w:color w:val="auto"/>
              </w:rPr>
            </w:pPr>
          </w:p>
        </w:tc>
        <w:tc>
          <w:tcPr>
            <w:tcW w:w="820" w:type="dxa"/>
            <w:vAlign w:val="bottom"/>
            <w:shd w:val="clear" w:color="auto" w:fill="FDFDFC"/>
          </w:tcPr>
          <w:p>
            <w:pPr>
              <w:spacing w:after="0"/>
              <w:rPr>
                <w:sz w:val="15"/>
                <w:szCs w:val="15"/>
                <w:color w:val="auto"/>
              </w:rPr>
            </w:pPr>
          </w:p>
        </w:tc>
        <w:tc>
          <w:tcPr>
            <w:tcW w:w="120" w:type="dxa"/>
            <w:vAlign w:val="bottom"/>
            <w:shd w:val="clear" w:color="auto" w:fill="FDFDFC"/>
          </w:tcPr>
          <w:p>
            <w:pPr>
              <w:spacing w:after="0"/>
              <w:rPr>
                <w:sz w:val="15"/>
                <w:szCs w:val="15"/>
                <w:color w:val="auto"/>
              </w:rPr>
            </w:pPr>
          </w:p>
        </w:tc>
        <w:tc>
          <w:tcPr>
            <w:tcW w:w="140" w:type="dxa"/>
            <w:vAlign w:val="bottom"/>
            <w:shd w:val="clear" w:color="auto" w:fill="FDFDFC"/>
          </w:tcPr>
          <w:p>
            <w:pPr>
              <w:spacing w:after="0"/>
              <w:rPr>
                <w:sz w:val="15"/>
                <w:szCs w:val="15"/>
                <w:color w:val="auto"/>
              </w:rPr>
            </w:pPr>
          </w:p>
        </w:tc>
        <w:tc>
          <w:tcPr>
            <w:tcW w:w="860" w:type="dxa"/>
            <w:vAlign w:val="bottom"/>
            <w:vMerge w:val="continue"/>
            <w:shd w:val="clear" w:color="auto" w:fill="FDFDFC"/>
          </w:tcPr>
          <w:p>
            <w:pPr>
              <w:spacing w:after="0"/>
              <w:rPr>
                <w:sz w:val="15"/>
                <w:szCs w:val="15"/>
                <w:color w:val="auto"/>
              </w:rPr>
            </w:pPr>
          </w:p>
        </w:tc>
        <w:tc>
          <w:tcPr>
            <w:tcW w:w="120" w:type="dxa"/>
            <w:vAlign w:val="bottom"/>
            <w:shd w:val="clear" w:color="auto" w:fill="FDFDFC"/>
          </w:tcPr>
          <w:p>
            <w:pPr>
              <w:spacing w:after="0"/>
              <w:rPr>
                <w:sz w:val="15"/>
                <w:szCs w:val="15"/>
                <w:color w:val="auto"/>
              </w:rPr>
            </w:pPr>
          </w:p>
        </w:tc>
        <w:tc>
          <w:tcPr>
            <w:tcW w:w="80" w:type="dxa"/>
            <w:vAlign w:val="bottom"/>
            <w:shd w:val="clear" w:color="auto" w:fill="FDFDFC"/>
          </w:tcPr>
          <w:p>
            <w:pPr>
              <w:spacing w:after="0"/>
              <w:rPr>
                <w:sz w:val="15"/>
                <w:szCs w:val="15"/>
                <w:color w:val="auto"/>
              </w:rPr>
            </w:pPr>
          </w:p>
        </w:tc>
        <w:tc>
          <w:tcPr>
            <w:tcW w:w="20" w:type="dxa"/>
            <w:vAlign w:val="bottom"/>
            <w:shd w:val="clear" w:color="auto" w:fill="FDFDFC"/>
          </w:tcPr>
          <w:p>
            <w:pPr>
              <w:spacing w:after="0"/>
              <w:rPr>
                <w:sz w:val="15"/>
                <w:szCs w:val="15"/>
                <w:color w:val="auto"/>
              </w:rPr>
            </w:pPr>
          </w:p>
        </w:tc>
        <w:tc>
          <w:tcPr>
            <w:tcW w:w="140" w:type="dxa"/>
            <w:vAlign w:val="bottom"/>
            <w:shd w:val="clear" w:color="auto" w:fill="FDFDFC"/>
          </w:tcPr>
          <w:p>
            <w:pPr>
              <w:spacing w:after="0"/>
              <w:rPr>
                <w:sz w:val="15"/>
                <w:szCs w:val="15"/>
                <w:color w:val="auto"/>
              </w:rPr>
            </w:pPr>
          </w:p>
        </w:tc>
        <w:tc>
          <w:tcPr>
            <w:tcW w:w="840" w:type="dxa"/>
            <w:vAlign w:val="bottom"/>
            <w:gridSpan w:val="2"/>
            <w:shd w:val="clear" w:color="auto" w:fill="FDFDFC"/>
          </w:tcPr>
          <w:p>
            <w:pPr>
              <w:jc w:val="center"/>
              <w:ind w:right="180"/>
              <w:spacing w:after="0"/>
              <w:rPr>
                <w:sz w:val="20"/>
                <w:szCs w:val="20"/>
                <w:color w:val="auto"/>
              </w:rPr>
            </w:pPr>
            <w:r>
              <w:rPr>
                <w:rFonts w:ascii="Times New Roman" w:cs="Times New Roman" w:eastAsia="Times New Roman" w:hAnsi="Times New Roman"/>
                <w:sz w:val="15"/>
                <w:szCs w:val="15"/>
                <w:b w:val="1"/>
                <w:bCs w:val="1"/>
                <w:color w:val="231F20"/>
              </w:rPr>
              <w:t>Market</w:t>
            </w:r>
          </w:p>
        </w:tc>
        <w:tc>
          <w:tcPr>
            <w:tcW w:w="20" w:type="dxa"/>
            <w:vAlign w:val="bottom"/>
            <w:shd w:val="clear" w:color="auto" w:fill="FDFDFC"/>
          </w:tcPr>
          <w:p>
            <w:pPr>
              <w:spacing w:after="0"/>
              <w:rPr>
                <w:sz w:val="15"/>
                <w:szCs w:val="15"/>
                <w:color w:val="auto"/>
              </w:rPr>
            </w:pPr>
          </w:p>
        </w:tc>
        <w:tc>
          <w:tcPr>
            <w:tcW w:w="80" w:type="dxa"/>
            <w:vAlign w:val="bottom"/>
            <w:shd w:val="clear" w:color="auto" w:fill="FDFDFC"/>
          </w:tcPr>
          <w:p>
            <w:pPr>
              <w:spacing w:after="0"/>
              <w:rPr>
                <w:sz w:val="15"/>
                <w:szCs w:val="15"/>
                <w:color w:val="auto"/>
              </w:rPr>
            </w:pPr>
          </w:p>
        </w:tc>
        <w:tc>
          <w:tcPr>
            <w:tcW w:w="120" w:type="dxa"/>
            <w:vAlign w:val="bottom"/>
            <w:shd w:val="clear" w:color="auto" w:fill="FDFDFC"/>
          </w:tcPr>
          <w:p>
            <w:pPr>
              <w:spacing w:after="0"/>
              <w:rPr>
                <w:sz w:val="15"/>
                <w:szCs w:val="15"/>
                <w:color w:val="auto"/>
              </w:rPr>
            </w:pPr>
          </w:p>
        </w:tc>
        <w:tc>
          <w:tcPr>
            <w:tcW w:w="60" w:type="dxa"/>
            <w:vAlign w:val="bottom"/>
            <w:shd w:val="clear" w:color="auto" w:fill="FDFDFC"/>
          </w:tcPr>
          <w:p>
            <w:pPr>
              <w:spacing w:after="0"/>
              <w:rPr>
                <w:sz w:val="15"/>
                <w:szCs w:val="15"/>
                <w:color w:val="auto"/>
              </w:rPr>
            </w:pPr>
          </w:p>
        </w:tc>
        <w:tc>
          <w:tcPr>
            <w:tcW w:w="920" w:type="dxa"/>
            <w:vAlign w:val="bottom"/>
            <w:shd w:val="clear" w:color="auto" w:fill="FDFDFC"/>
          </w:tcPr>
          <w:p>
            <w:pPr>
              <w:jc w:val="center"/>
              <w:ind w:right="4"/>
              <w:spacing w:after="0"/>
              <w:rPr>
                <w:sz w:val="20"/>
                <w:szCs w:val="20"/>
                <w:color w:val="auto"/>
              </w:rPr>
            </w:pPr>
            <w:r>
              <w:rPr>
                <w:rFonts w:ascii="Times New Roman" w:cs="Times New Roman" w:eastAsia="Times New Roman" w:hAnsi="Times New Roman"/>
                <w:sz w:val="15"/>
                <w:szCs w:val="15"/>
                <w:b w:val="1"/>
                <w:bCs w:val="1"/>
                <w:color w:val="231F20"/>
                <w:w w:val="99"/>
              </w:rPr>
              <w:t>(Payments) /</w:t>
            </w:r>
          </w:p>
        </w:tc>
        <w:tc>
          <w:tcPr>
            <w:tcW w:w="220" w:type="dxa"/>
            <w:vAlign w:val="bottom"/>
            <w:shd w:val="clear" w:color="auto" w:fill="FDFDFC"/>
          </w:tcPr>
          <w:p>
            <w:pPr>
              <w:spacing w:after="0"/>
              <w:rPr>
                <w:sz w:val="15"/>
                <w:szCs w:val="15"/>
                <w:color w:val="auto"/>
              </w:rPr>
            </w:pPr>
          </w:p>
        </w:tc>
        <w:tc>
          <w:tcPr>
            <w:tcW w:w="1040" w:type="dxa"/>
            <w:vAlign w:val="bottom"/>
            <w:gridSpan w:val="4"/>
            <w:shd w:val="clear" w:color="auto" w:fill="FDFDFC"/>
          </w:tcPr>
          <w:p>
            <w:pPr>
              <w:jc w:val="right"/>
              <w:ind w:right="104"/>
              <w:spacing w:after="0"/>
              <w:rPr>
                <w:sz w:val="20"/>
                <w:szCs w:val="20"/>
                <w:color w:val="auto"/>
              </w:rPr>
            </w:pPr>
            <w:r>
              <w:rPr>
                <w:rFonts w:ascii="Times New Roman" w:cs="Times New Roman" w:eastAsia="Times New Roman" w:hAnsi="Times New Roman"/>
                <w:sz w:val="15"/>
                <w:szCs w:val="15"/>
                <w:b w:val="1"/>
                <w:bCs w:val="1"/>
                <w:color w:val="231F20"/>
              </w:rPr>
              <w:t>Unrealized</w:t>
            </w:r>
          </w:p>
        </w:tc>
        <w:tc>
          <w:tcPr>
            <w:tcW w:w="100" w:type="dxa"/>
            <w:vAlign w:val="bottom"/>
            <w:shd w:val="clear" w:color="auto" w:fill="FDFDFC"/>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1560" w:type="dxa"/>
            <w:vAlign w:val="bottom"/>
            <w:shd w:val="clear" w:color="auto" w:fill="FDFDFC"/>
          </w:tcPr>
          <w:p>
            <w:pPr>
              <w:spacing w:after="0"/>
              <w:rPr>
                <w:sz w:val="16"/>
                <w:szCs w:val="16"/>
                <w:color w:val="auto"/>
              </w:rPr>
            </w:pPr>
          </w:p>
        </w:tc>
        <w:tc>
          <w:tcPr>
            <w:tcW w:w="340" w:type="dxa"/>
            <w:vAlign w:val="bottom"/>
            <w:shd w:val="clear" w:color="auto" w:fill="FDFDFC"/>
          </w:tcPr>
          <w:p>
            <w:pPr>
              <w:spacing w:after="0"/>
              <w:rPr>
                <w:sz w:val="16"/>
                <w:szCs w:val="16"/>
                <w:color w:val="auto"/>
              </w:rPr>
            </w:pPr>
          </w:p>
        </w:tc>
        <w:tc>
          <w:tcPr>
            <w:tcW w:w="1280" w:type="dxa"/>
            <w:vAlign w:val="bottom"/>
            <w:gridSpan w:val="3"/>
            <w:shd w:val="clear" w:color="auto" w:fill="FDFDFC"/>
          </w:tcPr>
          <w:p>
            <w:pPr>
              <w:jc w:val="center"/>
              <w:ind w:right="200"/>
              <w:spacing w:after="0"/>
              <w:rPr>
                <w:sz w:val="20"/>
                <w:szCs w:val="20"/>
                <w:color w:val="auto"/>
              </w:rPr>
            </w:pPr>
            <w:r>
              <w:rPr>
                <w:rFonts w:ascii="Times New Roman" w:cs="Times New Roman" w:eastAsia="Times New Roman" w:hAnsi="Times New Roman"/>
                <w:sz w:val="15"/>
                <w:szCs w:val="15"/>
                <w:b w:val="1"/>
                <w:bCs w:val="1"/>
                <w:color w:val="231F20"/>
              </w:rPr>
              <w:t>Receives</w:t>
            </w:r>
          </w:p>
        </w:tc>
        <w:tc>
          <w:tcPr>
            <w:tcW w:w="660" w:type="dxa"/>
            <w:vAlign w:val="bottom"/>
            <w:shd w:val="clear" w:color="auto" w:fill="FDFDFC"/>
          </w:tcPr>
          <w:p>
            <w:pPr>
              <w:jc w:val="center"/>
              <w:ind w:left="204"/>
              <w:spacing w:after="0"/>
              <w:rPr>
                <w:sz w:val="20"/>
                <w:szCs w:val="20"/>
                <w:color w:val="auto"/>
              </w:rPr>
            </w:pPr>
            <w:r>
              <w:rPr>
                <w:rFonts w:ascii="Times New Roman" w:cs="Times New Roman" w:eastAsia="Times New Roman" w:hAnsi="Times New Roman"/>
                <w:sz w:val="15"/>
                <w:szCs w:val="15"/>
                <w:b w:val="1"/>
                <w:bCs w:val="1"/>
                <w:color w:val="231F20"/>
                <w:w w:val="99"/>
              </w:rPr>
              <w:t>Pays</w:t>
            </w:r>
          </w:p>
        </w:tc>
        <w:tc>
          <w:tcPr>
            <w:tcW w:w="360" w:type="dxa"/>
            <w:vAlign w:val="bottom"/>
            <w:shd w:val="clear" w:color="auto" w:fill="FDFDFC"/>
          </w:tcPr>
          <w:p>
            <w:pPr>
              <w:spacing w:after="0"/>
              <w:rPr>
                <w:sz w:val="16"/>
                <w:szCs w:val="16"/>
                <w:color w:val="auto"/>
              </w:rPr>
            </w:pPr>
          </w:p>
        </w:tc>
        <w:tc>
          <w:tcPr>
            <w:tcW w:w="120" w:type="dxa"/>
            <w:vAlign w:val="bottom"/>
            <w:shd w:val="clear" w:color="auto" w:fill="FDFDFC"/>
          </w:tcPr>
          <w:p>
            <w:pPr>
              <w:spacing w:after="0"/>
              <w:rPr>
                <w:sz w:val="16"/>
                <w:szCs w:val="16"/>
                <w:color w:val="auto"/>
              </w:rPr>
            </w:pPr>
          </w:p>
        </w:tc>
        <w:tc>
          <w:tcPr>
            <w:tcW w:w="1080" w:type="dxa"/>
            <w:vAlign w:val="bottom"/>
            <w:gridSpan w:val="2"/>
            <w:shd w:val="clear" w:color="auto" w:fill="FDFDFC"/>
          </w:tcPr>
          <w:p>
            <w:pPr>
              <w:jc w:val="right"/>
              <w:ind w:right="4"/>
              <w:spacing w:after="0"/>
              <w:rPr>
                <w:sz w:val="20"/>
                <w:szCs w:val="20"/>
                <w:color w:val="auto"/>
              </w:rPr>
            </w:pPr>
            <w:r>
              <w:rPr>
                <w:rFonts w:ascii="Times New Roman" w:cs="Times New Roman" w:eastAsia="Times New Roman" w:hAnsi="Times New Roman"/>
                <w:sz w:val="15"/>
                <w:szCs w:val="15"/>
                <w:b w:val="1"/>
                <w:bCs w:val="1"/>
                <w:color w:val="231F20"/>
              </w:rPr>
              <w:t>Maturity Date</w:t>
            </w:r>
          </w:p>
        </w:tc>
        <w:tc>
          <w:tcPr>
            <w:tcW w:w="120" w:type="dxa"/>
            <w:vAlign w:val="bottom"/>
            <w:shd w:val="clear" w:color="auto" w:fill="FDFDFC"/>
          </w:tcPr>
          <w:p>
            <w:pPr>
              <w:spacing w:after="0"/>
              <w:rPr>
                <w:sz w:val="16"/>
                <w:szCs w:val="16"/>
                <w:color w:val="auto"/>
              </w:rPr>
            </w:pPr>
          </w:p>
        </w:tc>
        <w:tc>
          <w:tcPr>
            <w:tcW w:w="140" w:type="dxa"/>
            <w:vAlign w:val="bottom"/>
            <w:shd w:val="clear" w:color="auto" w:fill="FDFDFC"/>
          </w:tcPr>
          <w:p>
            <w:pPr>
              <w:spacing w:after="0"/>
              <w:rPr>
                <w:sz w:val="16"/>
                <w:szCs w:val="16"/>
                <w:color w:val="auto"/>
              </w:rPr>
            </w:pPr>
          </w:p>
        </w:tc>
        <w:tc>
          <w:tcPr>
            <w:tcW w:w="860" w:type="dxa"/>
            <w:vAlign w:val="bottom"/>
            <w:shd w:val="clear" w:color="auto" w:fill="FDFDFC"/>
          </w:tcPr>
          <w:p>
            <w:pPr>
              <w:jc w:val="right"/>
              <w:ind w:right="184"/>
              <w:spacing w:after="0"/>
              <w:rPr>
                <w:sz w:val="20"/>
                <w:szCs w:val="20"/>
                <w:color w:val="auto"/>
              </w:rPr>
            </w:pPr>
            <w:r>
              <w:rPr>
                <w:rFonts w:ascii="Times New Roman" w:cs="Times New Roman" w:eastAsia="Times New Roman" w:hAnsi="Times New Roman"/>
                <w:sz w:val="15"/>
                <w:szCs w:val="15"/>
                <w:b w:val="1"/>
                <w:bCs w:val="1"/>
                <w:color w:val="231F20"/>
              </w:rPr>
              <w:t>Amount</w:t>
            </w:r>
          </w:p>
        </w:tc>
        <w:tc>
          <w:tcPr>
            <w:tcW w:w="120" w:type="dxa"/>
            <w:vAlign w:val="bottom"/>
            <w:shd w:val="clear" w:color="auto" w:fill="FDFDFC"/>
          </w:tcPr>
          <w:p>
            <w:pPr>
              <w:spacing w:after="0"/>
              <w:rPr>
                <w:sz w:val="16"/>
                <w:szCs w:val="16"/>
                <w:color w:val="auto"/>
              </w:rPr>
            </w:pPr>
          </w:p>
        </w:tc>
        <w:tc>
          <w:tcPr>
            <w:tcW w:w="80" w:type="dxa"/>
            <w:vAlign w:val="bottom"/>
            <w:shd w:val="clear" w:color="auto" w:fill="FDFDFC"/>
          </w:tcPr>
          <w:p>
            <w:pPr>
              <w:spacing w:after="0"/>
              <w:rPr>
                <w:sz w:val="16"/>
                <w:szCs w:val="16"/>
                <w:color w:val="auto"/>
              </w:rPr>
            </w:pPr>
          </w:p>
        </w:tc>
        <w:tc>
          <w:tcPr>
            <w:tcW w:w="20" w:type="dxa"/>
            <w:vAlign w:val="bottom"/>
            <w:shd w:val="clear" w:color="auto" w:fill="FDFDFC"/>
          </w:tcPr>
          <w:p>
            <w:pPr>
              <w:spacing w:after="0"/>
              <w:rPr>
                <w:sz w:val="16"/>
                <w:szCs w:val="16"/>
                <w:color w:val="auto"/>
              </w:rPr>
            </w:pPr>
          </w:p>
        </w:tc>
        <w:tc>
          <w:tcPr>
            <w:tcW w:w="140" w:type="dxa"/>
            <w:vAlign w:val="bottom"/>
            <w:shd w:val="clear" w:color="auto" w:fill="FDFDFC"/>
          </w:tcPr>
          <w:p>
            <w:pPr>
              <w:spacing w:after="0"/>
              <w:rPr>
                <w:sz w:val="16"/>
                <w:szCs w:val="16"/>
                <w:color w:val="auto"/>
              </w:rPr>
            </w:pPr>
          </w:p>
        </w:tc>
        <w:tc>
          <w:tcPr>
            <w:tcW w:w="840" w:type="dxa"/>
            <w:vAlign w:val="bottom"/>
            <w:gridSpan w:val="2"/>
            <w:shd w:val="clear" w:color="auto" w:fill="FDFDFC"/>
          </w:tcPr>
          <w:p>
            <w:pPr>
              <w:jc w:val="center"/>
              <w:ind w:right="180"/>
              <w:spacing w:after="0"/>
              <w:rPr>
                <w:sz w:val="20"/>
                <w:szCs w:val="20"/>
                <w:color w:val="auto"/>
              </w:rPr>
            </w:pPr>
            <w:r>
              <w:rPr>
                <w:rFonts w:ascii="Times New Roman" w:cs="Times New Roman" w:eastAsia="Times New Roman" w:hAnsi="Times New Roman"/>
                <w:sz w:val="15"/>
                <w:szCs w:val="15"/>
                <w:b w:val="1"/>
                <w:bCs w:val="1"/>
                <w:color w:val="231F20"/>
              </w:rPr>
              <w:t>Value</w:t>
            </w:r>
          </w:p>
        </w:tc>
        <w:tc>
          <w:tcPr>
            <w:tcW w:w="20" w:type="dxa"/>
            <w:vAlign w:val="bottom"/>
            <w:shd w:val="clear" w:color="auto" w:fill="FDFDFC"/>
          </w:tcPr>
          <w:p>
            <w:pPr>
              <w:spacing w:after="0"/>
              <w:rPr>
                <w:sz w:val="16"/>
                <w:szCs w:val="16"/>
                <w:color w:val="auto"/>
              </w:rPr>
            </w:pPr>
          </w:p>
        </w:tc>
        <w:tc>
          <w:tcPr>
            <w:tcW w:w="80" w:type="dxa"/>
            <w:vAlign w:val="bottom"/>
            <w:shd w:val="clear" w:color="auto" w:fill="FDFDFC"/>
          </w:tcPr>
          <w:p>
            <w:pPr>
              <w:spacing w:after="0"/>
              <w:rPr>
                <w:sz w:val="16"/>
                <w:szCs w:val="16"/>
                <w:color w:val="auto"/>
              </w:rPr>
            </w:pPr>
          </w:p>
        </w:tc>
        <w:tc>
          <w:tcPr>
            <w:tcW w:w="120" w:type="dxa"/>
            <w:vAlign w:val="bottom"/>
            <w:shd w:val="clear" w:color="auto" w:fill="FDFDFC"/>
          </w:tcPr>
          <w:p>
            <w:pPr>
              <w:spacing w:after="0"/>
              <w:rPr>
                <w:sz w:val="16"/>
                <w:szCs w:val="16"/>
                <w:color w:val="auto"/>
              </w:rPr>
            </w:pPr>
          </w:p>
        </w:tc>
        <w:tc>
          <w:tcPr>
            <w:tcW w:w="60" w:type="dxa"/>
            <w:vAlign w:val="bottom"/>
            <w:shd w:val="clear" w:color="auto" w:fill="FDFDFC"/>
          </w:tcPr>
          <w:p>
            <w:pPr>
              <w:spacing w:after="0"/>
              <w:rPr>
                <w:sz w:val="16"/>
                <w:szCs w:val="16"/>
                <w:color w:val="auto"/>
              </w:rPr>
            </w:pPr>
          </w:p>
        </w:tc>
        <w:tc>
          <w:tcPr>
            <w:tcW w:w="920" w:type="dxa"/>
            <w:vAlign w:val="bottom"/>
            <w:shd w:val="clear" w:color="auto" w:fill="FDFDFC"/>
          </w:tcPr>
          <w:p>
            <w:pPr>
              <w:jc w:val="center"/>
              <w:ind w:right="24"/>
              <w:spacing w:after="0"/>
              <w:rPr>
                <w:sz w:val="20"/>
                <w:szCs w:val="20"/>
                <w:color w:val="auto"/>
              </w:rPr>
            </w:pPr>
            <w:r>
              <w:rPr>
                <w:rFonts w:ascii="Times New Roman" w:cs="Times New Roman" w:eastAsia="Times New Roman" w:hAnsi="Times New Roman"/>
                <w:sz w:val="15"/>
                <w:szCs w:val="15"/>
                <w:b w:val="1"/>
                <w:bCs w:val="1"/>
                <w:color w:val="231F20"/>
                <w:w w:val="99"/>
              </w:rPr>
              <w:t>Receipts</w:t>
            </w:r>
          </w:p>
        </w:tc>
        <w:tc>
          <w:tcPr>
            <w:tcW w:w="220" w:type="dxa"/>
            <w:vAlign w:val="bottom"/>
            <w:shd w:val="clear" w:color="auto" w:fill="FDFDFC"/>
          </w:tcPr>
          <w:p>
            <w:pPr>
              <w:spacing w:after="0"/>
              <w:rPr>
                <w:sz w:val="16"/>
                <w:szCs w:val="16"/>
                <w:color w:val="auto"/>
              </w:rPr>
            </w:pPr>
          </w:p>
        </w:tc>
        <w:tc>
          <w:tcPr>
            <w:tcW w:w="1040" w:type="dxa"/>
            <w:vAlign w:val="bottom"/>
            <w:gridSpan w:val="4"/>
            <w:shd w:val="clear" w:color="auto" w:fill="FDFDFC"/>
          </w:tcPr>
          <w:p>
            <w:pPr>
              <w:spacing w:after="0"/>
              <w:rPr>
                <w:sz w:val="20"/>
                <w:szCs w:val="20"/>
                <w:color w:val="auto"/>
              </w:rPr>
            </w:pPr>
            <w:r>
              <w:rPr>
                <w:rFonts w:ascii="Times New Roman" w:cs="Times New Roman" w:eastAsia="Times New Roman" w:hAnsi="Times New Roman"/>
                <w:sz w:val="15"/>
                <w:szCs w:val="15"/>
                <w:b w:val="1"/>
                <w:bCs w:val="1"/>
                <w:color w:val="231F20"/>
              </w:rPr>
              <w:t>Gains / (Losses)</w:t>
            </w:r>
          </w:p>
        </w:tc>
        <w:tc>
          <w:tcPr>
            <w:tcW w:w="100" w:type="dxa"/>
            <w:vAlign w:val="bottom"/>
            <w:shd w:val="clear" w:color="auto" w:fill="FDFDFC"/>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1560" w:type="dxa"/>
            <w:vAlign w:val="bottom"/>
            <w:tcBorders>
              <w:top w:val="single" w:sz="8" w:color="D0EBF2"/>
            </w:tcBorders>
            <w:shd w:val="clear" w:color="auto" w:fill="D0EBF2"/>
          </w:tcPr>
          <w:p>
            <w:pPr>
              <w:spacing w:after="0"/>
              <w:rPr>
                <w:sz w:val="20"/>
                <w:szCs w:val="20"/>
                <w:color w:val="auto"/>
              </w:rPr>
            </w:pPr>
            <w:r>
              <w:rPr>
                <w:rFonts w:ascii="Times New Roman" w:cs="Times New Roman" w:eastAsia="Times New Roman" w:hAnsi="Times New Roman"/>
                <w:sz w:val="15"/>
                <w:szCs w:val="15"/>
                <w:color w:val="231F20"/>
              </w:rPr>
              <w:t xml:space="preserve">Interest rate swap </w:t>
            </w:r>
            <w:r>
              <w:rPr>
                <w:rFonts w:ascii="Times New Roman" w:cs="Times New Roman" w:eastAsia="Times New Roman" w:hAnsi="Times New Roman"/>
                <w:sz w:val="9"/>
                <w:szCs w:val="9"/>
                <w:color w:val="231F20"/>
              </w:rPr>
              <w:t>(a)(b)</w:t>
            </w:r>
          </w:p>
        </w:tc>
        <w:tc>
          <w:tcPr>
            <w:tcW w:w="340" w:type="dxa"/>
            <w:vAlign w:val="bottom"/>
            <w:tcBorders>
              <w:top w:val="single" w:sz="8" w:color="D0EBF2"/>
            </w:tcBorders>
            <w:shd w:val="clear" w:color="auto" w:fill="D0EBF2"/>
          </w:tcPr>
          <w:p>
            <w:pPr>
              <w:spacing w:after="0"/>
              <w:rPr>
                <w:sz w:val="15"/>
                <w:szCs w:val="15"/>
                <w:color w:val="auto"/>
              </w:rPr>
            </w:pPr>
          </w:p>
        </w:tc>
        <w:tc>
          <w:tcPr>
            <w:tcW w:w="1100" w:type="dxa"/>
            <w:vAlign w:val="bottom"/>
            <w:tcBorders>
              <w:top w:val="single" w:sz="8" w:color="231F20"/>
            </w:tcBorders>
            <w:shd w:val="clear" w:color="auto" w:fill="D0EBF2"/>
          </w:tcPr>
          <w:p>
            <w:pPr>
              <w:jc w:val="center"/>
              <w:spacing w:after="0"/>
              <w:rPr>
                <w:sz w:val="20"/>
                <w:szCs w:val="20"/>
                <w:color w:val="auto"/>
              </w:rPr>
            </w:pPr>
            <w:r>
              <w:rPr>
                <w:rFonts w:ascii="Times New Roman" w:cs="Times New Roman" w:eastAsia="Times New Roman" w:hAnsi="Times New Roman"/>
                <w:sz w:val="15"/>
                <w:szCs w:val="15"/>
                <w:color w:val="231F20"/>
              </w:rPr>
              <w:t>2.50%</w:t>
            </w:r>
          </w:p>
        </w:tc>
        <w:tc>
          <w:tcPr>
            <w:tcW w:w="120" w:type="dxa"/>
            <w:vAlign w:val="bottom"/>
            <w:tcBorders>
              <w:top w:val="single" w:sz="8" w:color="D0EBF2"/>
            </w:tcBorders>
            <w:shd w:val="clear" w:color="auto" w:fill="D0EBF2"/>
          </w:tcPr>
          <w:p>
            <w:pPr>
              <w:spacing w:after="0"/>
              <w:rPr>
                <w:sz w:val="15"/>
                <w:szCs w:val="15"/>
                <w:color w:val="auto"/>
              </w:rPr>
            </w:pPr>
          </w:p>
        </w:tc>
        <w:tc>
          <w:tcPr>
            <w:tcW w:w="60" w:type="dxa"/>
            <w:vAlign w:val="bottom"/>
            <w:tcBorders>
              <w:top w:val="single" w:sz="8" w:color="231F20"/>
            </w:tcBorders>
            <w:shd w:val="clear" w:color="auto" w:fill="D0EBF2"/>
          </w:tcPr>
          <w:p>
            <w:pPr>
              <w:spacing w:after="0"/>
              <w:rPr>
                <w:sz w:val="15"/>
                <w:szCs w:val="15"/>
                <w:color w:val="auto"/>
              </w:rPr>
            </w:pPr>
          </w:p>
        </w:tc>
        <w:tc>
          <w:tcPr>
            <w:tcW w:w="1020" w:type="dxa"/>
            <w:vAlign w:val="bottom"/>
            <w:tcBorders>
              <w:top w:val="single" w:sz="8" w:color="231F20"/>
            </w:tcBorders>
            <w:gridSpan w:val="2"/>
            <w:shd w:val="clear" w:color="auto" w:fill="D0EBF2"/>
          </w:tcPr>
          <w:p>
            <w:pPr>
              <w:jc w:val="center"/>
              <w:ind w:right="24"/>
              <w:spacing w:after="0"/>
              <w:rPr>
                <w:sz w:val="20"/>
                <w:szCs w:val="20"/>
                <w:color w:val="auto"/>
              </w:rPr>
            </w:pPr>
            <w:r>
              <w:rPr>
                <w:rFonts w:ascii="Times New Roman" w:cs="Times New Roman" w:eastAsia="Times New Roman" w:hAnsi="Times New Roman"/>
                <w:sz w:val="15"/>
                <w:szCs w:val="15"/>
                <w:color w:val="231F20"/>
                <w:w w:val="99"/>
              </w:rPr>
              <w:t>SOFR + 2.17%</w:t>
            </w:r>
          </w:p>
        </w:tc>
        <w:tc>
          <w:tcPr>
            <w:tcW w:w="120" w:type="dxa"/>
            <w:vAlign w:val="bottom"/>
            <w:tcBorders>
              <w:top w:val="single" w:sz="8" w:color="D0EBF2"/>
            </w:tcBorders>
            <w:shd w:val="clear" w:color="auto" w:fill="D0EBF2"/>
          </w:tcPr>
          <w:p>
            <w:pPr>
              <w:spacing w:after="0"/>
              <w:rPr>
                <w:sz w:val="15"/>
                <w:szCs w:val="15"/>
                <w:color w:val="auto"/>
              </w:rPr>
            </w:pPr>
          </w:p>
        </w:tc>
        <w:tc>
          <w:tcPr>
            <w:tcW w:w="260" w:type="dxa"/>
            <w:vAlign w:val="bottom"/>
            <w:tcBorders>
              <w:top w:val="single" w:sz="8" w:color="231F20"/>
            </w:tcBorders>
            <w:shd w:val="clear" w:color="auto" w:fill="D0EBF2"/>
          </w:tcPr>
          <w:p>
            <w:pPr>
              <w:spacing w:after="0"/>
              <w:rPr>
                <w:sz w:val="15"/>
                <w:szCs w:val="15"/>
                <w:color w:val="auto"/>
              </w:rPr>
            </w:pPr>
          </w:p>
        </w:tc>
        <w:tc>
          <w:tcPr>
            <w:tcW w:w="820" w:type="dxa"/>
            <w:vAlign w:val="bottom"/>
            <w:tcBorders>
              <w:top w:val="single" w:sz="8" w:color="231F20"/>
            </w:tcBorders>
            <w:shd w:val="clear" w:color="auto" w:fill="D0EBF2"/>
          </w:tcPr>
          <w:p>
            <w:pPr>
              <w:jc w:val="right"/>
              <w:spacing w:after="0"/>
              <w:rPr>
                <w:sz w:val="20"/>
                <w:szCs w:val="20"/>
                <w:color w:val="auto"/>
              </w:rPr>
            </w:pPr>
            <w:r>
              <w:rPr>
                <w:rFonts w:ascii="Times New Roman" w:cs="Times New Roman" w:eastAsia="Times New Roman" w:hAnsi="Times New Roman"/>
                <w:sz w:val="15"/>
                <w:szCs w:val="15"/>
                <w:color w:val="231F20"/>
              </w:rPr>
              <w:t>8/1/2026</w:t>
            </w:r>
          </w:p>
        </w:tc>
        <w:tc>
          <w:tcPr>
            <w:tcW w:w="120" w:type="dxa"/>
            <w:vAlign w:val="bottom"/>
            <w:tcBorders>
              <w:top w:val="single" w:sz="8" w:color="D0EBF2"/>
            </w:tcBorders>
            <w:shd w:val="clear" w:color="auto" w:fill="D0EBF2"/>
          </w:tcPr>
          <w:p>
            <w:pPr>
              <w:spacing w:after="0"/>
              <w:rPr>
                <w:sz w:val="15"/>
                <w:szCs w:val="15"/>
                <w:color w:val="auto"/>
              </w:rPr>
            </w:pPr>
          </w:p>
        </w:tc>
        <w:tc>
          <w:tcPr>
            <w:tcW w:w="140" w:type="dxa"/>
            <w:vAlign w:val="bottom"/>
            <w:tcBorders>
              <w:top w:val="single" w:sz="8" w:color="231F20"/>
            </w:tcBorders>
            <w:shd w:val="clear" w:color="auto" w:fill="D0EBF2"/>
          </w:tcPr>
          <w:p>
            <w:pPr>
              <w:jc w:val="right"/>
              <w:spacing w:after="0"/>
              <w:rPr>
                <w:sz w:val="20"/>
                <w:szCs w:val="20"/>
                <w:color w:val="auto"/>
              </w:rPr>
            </w:pPr>
            <w:r>
              <w:rPr>
                <w:rFonts w:ascii="Times New Roman" w:cs="Times New Roman" w:eastAsia="Times New Roman" w:hAnsi="Times New Roman"/>
                <w:sz w:val="15"/>
                <w:szCs w:val="15"/>
                <w:color w:val="231F20"/>
                <w:w w:val="79"/>
              </w:rPr>
              <w:t>$</w:t>
            </w:r>
          </w:p>
        </w:tc>
        <w:tc>
          <w:tcPr>
            <w:tcW w:w="860" w:type="dxa"/>
            <w:vAlign w:val="bottom"/>
            <w:tcBorders>
              <w:top w:val="single" w:sz="8" w:color="231F20"/>
            </w:tcBorders>
            <w:shd w:val="clear" w:color="auto" w:fill="D0EBF2"/>
          </w:tcPr>
          <w:p>
            <w:pPr>
              <w:jc w:val="right"/>
              <w:spacing w:after="0"/>
              <w:rPr>
                <w:sz w:val="20"/>
                <w:szCs w:val="20"/>
                <w:color w:val="auto"/>
              </w:rPr>
            </w:pPr>
            <w:r>
              <w:rPr>
                <w:rFonts w:ascii="Times New Roman" w:cs="Times New Roman" w:eastAsia="Times New Roman" w:hAnsi="Times New Roman"/>
                <w:sz w:val="15"/>
                <w:szCs w:val="15"/>
                <w:color w:val="231F20"/>
              </w:rPr>
              <w:t>300,000</w:t>
            </w:r>
          </w:p>
        </w:tc>
        <w:tc>
          <w:tcPr>
            <w:tcW w:w="200" w:type="dxa"/>
            <w:vAlign w:val="bottom"/>
            <w:tcBorders>
              <w:top w:val="single" w:sz="8" w:color="D0EBF2"/>
            </w:tcBorders>
            <w:gridSpan w:val="2"/>
            <w:shd w:val="clear" w:color="auto" w:fill="D0EBF2"/>
          </w:tcPr>
          <w:p>
            <w:pPr>
              <w:spacing w:after="0"/>
              <w:rPr>
                <w:sz w:val="15"/>
                <w:szCs w:val="15"/>
                <w:color w:val="auto"/>
              </w:rPr>
            </w:pPr>
          </w:p>
        </w:tc>
        <w:tc>
          <w:tcPr>
            <w:tcW w:w="160" w:type="dxa"/>
            <w:vAlign w:val="bottom"/>
            <w:tcBorders>
              <w:top w:val="single" w:sz="8" w:color="231F20"/>
            </w:tcBorders>
            <w:gridSpan w:val="2"/>
            <w:shd w:val="clear" w:color="auto" w:fill="D0EBF2"/>
          </w:tcPr>
          <w:p>
            <w:pPr>
              <w:jc w:val="right"/>
              <w:ind w:right="80"/>
              <w:spacing w:after="0"/>
              <w:rPr>
                <w:sz w:val="20"/>
                <w:szCs w:val="20"/>
                <w:color w:val="auto"/>
              </w:rPr>
            </w:pPr>
            <w:r>
              <w:rPr>
                <w:rFonts w:ascii="Times New Roman" w:cs="Times New Roman" w:eastAsia="Times New Roman" w:hAnsi="Times New Roman"/>
                <w:sz w:val="15"/>
                <w:szCs w:val="15"/>
                <w:color w:val="231F20"/>
                <w:w w:val="79"/>
              </w:rPr>
              <w:t>$</w:t>
            </w:r>
          </w:p>
        </w:tc>
        <w:tc>
          <w:tcPr>
            <w:tcW w:w="840" w:type="dxa"/>
            <w:vAlign w:val="bottom"/>
            <w:tcBorders>
              <w:top w:val="single" w:sz="8" w:color="231F20"/>
            </w:tcBorders>
            <w:gridSpan w:val="2"/>
            <w:shd w:val="clear" w:color="auto" w:fill="D0EBF2"/>
          </w:tcPr>
          <w:p>
            <w:pPr>
              <w:jc w:val="right"/>
              <w:ind w:right="20"/>
              <w:spacing w:after="0"/>
              <w:rPr>
                <w:sz w:val="20"/>
                <w:szCs w:val="20"/>
                <w:color w:val="auto"/>
              </w:rPr>
            </w:pPr>
            <w:r>
              <w:rPr>
                <w:rFonts w:ascii="Times New Roman" w:cs="Times New Roman" w:eastAsia="Times New Roman" w:hAnsi="Times New Roman"/>
                <w:sz w:val="15"/>
                <w:szCs w:val="15"/>
                <w:color w:val="231F20"/>
              </w:rPr>
              <w:t>(17,618</w:t>
            </w:r>
          </w:p>
        </w:tc>
        <w:tc>
          <w:tcPr>
            <w:tcW w:w="100" w:type="dxa"/>
            <w:vAlign w:val="bottom"/>
            <w:tcBorders>
              <w:top w:val="single" w:sz="8" w:color="D0EBF2"/>
            </w:tcBorders>
            <w:gridSpan w:val="2"/>
            <w:shd w:val="clear" w:color="auto" w:fill="D0EBF2"/>
          </w:tcPr>
          <w:p>
            <w:pPr>
              <w:spacing w:after="0"/>
              <w:rPr>
                <w:sz w:val="20"/>
                <w:szCs w:val="20"/>
                <w:color w:val="auto"/>
              </w:rPr>
            </w:pPr>
            <w:r>
              <w:rPr>
                <w:rFonts w:ascii="Times New Roman" w:cs="Times New Roman" w:eastAsia="Times New Roman" w:hAnsi="Times New Roman"/>
                <w:sz w:val="15"/>
                <w:szCs w:val="15"/>
                <w:color w:val="231F20"/>
              </w:rPr>
              <w:t>)</w:t>
            </w:r>
          </w:p>
        </w:tc>
        <w:tc>
          <w:tcPr>
            <w:tcW w:w="120" w:type="dxa"/>
            <w:vAlign w:val="bottom"/>
            <w:tcBorders>
              <w:top w:val="single" w:sz="8" w:color="D0EBF2"/>
            </w:tcBorders>
            <w:shd w:val="clear" w:color="auto" w:fill="D0EBF2"/>
          </w:tcPr>
          <w:p>
            <w:pPr>
              <w:spacing w:after="0"/>
              <w:rPr>
                <w:sz w:val="15"/>
                <w:szCs w:val="15"/>
                <w:color w:val="auto"/>
              </w:rPr>
            </w:pPr>
          </w:p>
        </w:tc>
        <w:tc>
          <w:tcPr>
            <w:tcW w:w="60" w:type="dxa"/>
            <w:vAlign w:val="bottom"/>
            <w:tcBorders>
              <w:top w:val="single" w:sz="8" w:color="231F20"/>
            </w:tcBorders>
            <w:shd w:val="clear" w:color="auto" w:fill="D0EBF2"/>
          </w:tcPr>
          <w:p>
            <w:pPr>
              <w:jc w:val="right"/>
              <w:spacing w:after="0"/>
              <w:rPr>
                <w:sz w:val="20"/>
                <w:szCs w:val="20"/>
                <w:color w:val="auto"/>
              </w:rPr>
            </w:pPr>
            <w:r>
              <w:rPr>
                <w:rFonts w:ascii="Times New Roman" w:cs="Times New Roman" w:eastAsia="Times New Roman" w:hAnsi="Times New Roman"/>
                <w:sz w:val="11"/>
                <w:szCs w:val="11"/>
                <w:color w:val="231F20"/>
                <w:w w:val="71"/>
              </w:rPr>
              <w:t>$</w:t>
            </w:r>
          </w:p>
        </w:tc>
        <w:tc>
          <w:tcPr>
            <w:tcW w:w="920" w:type="dxa"/>
            <w:vAlign w:val="bottom"/>
            <w:tcBorders>
              <w:top w:val="single" w:sz="8" w:color="231F20"/>
            </w:tcBorders>
            <w:shd w:val="clear" w:color="auto" w:fill="D0EBF2"/>
          </w:tcPr>
          <w:p>
            <w:pPr>
              <w:ind w:left="740"/>
              <w:spacing w:after="0"/>
              <w:rPr>
                <w:sz w:val="20"/>
                <w:szCs w:val="20"/>
                <w:color w:val="auto"/>
              </w:rPr>
            </w:pPr>
            <w:r>
              <w:rPr>
                <w:rFonts w:ascii="Times New Roman" w:cs="Times New Roman" w:eastAsia="Times New Roman" w:hAnsi="Times New Roman"/>
                <w:sz w:val="15"/>
                <w:szCs w:val="15"/>
                <w:color w:val="231F20"/>
              </w:rPr>
              <w:t>—</w:t>
            </w:r>
          </w:p>
        </w:tc>
        <w:tc>
          <w:tcPr>
            <w:tcW w:w="220" w:type="dxa"/>
            <w:vAlign w:val="bottom"/>
            <w:tcBorders>
              <w:top w:val="single" w:sz="8" w:color="D0EBF2"/>
            </w:tcBorders>
            <w:shd w:val="clear" w:color="auto" w:fill="D0EBF2"/>
          </w:tcPr>
          <w:p>
            <w:pPr>
              <w:spacing w:after="0"/>
              <w:rPr>
                <w:sz w:val="15"/>
                <w:szCs w:val="15"/>
                <w:color w:val="auto"/>
              </w:rPr>
            </w:pPr>
          </w:p>
        </w:tc>
        <w:tc>
          <w:tcPr>
            <w:tcW w:w="160" w:type="dxa"/>
            <w:vAlign w:val="bottom"/>
            <w:tcBorders>
              <w:top w:val="single" w:sz="8" w:color="231F20"/>
            </w:tcBorders>
            <w:shd w:val="clear" w:color="auto" w:fill="D0EBF2"/>
          </w:tcPr>
          <w:p>
            <w:pPr>
              <w:spacing w:after="0"/>
              <w:rPr>
                <w:sz w:val="20"/>
                <w:szCs w:val="20"/>
                <w:color w:val="auto"/>
              </w:rPr>
            </w:pPr>
            <w:r>
              <w:rPr>
                <w:rFonts w:ascii="Times New Roman" w:cs="Times New Roman" w:eastAsia="Times New Roman" w:hAnsi="Times New Roman"/>
                <w:sz w:val="15"/>
                <w:szCs w:val="15"/>
                <w:color w:val="231F20"/>
              </w:rPr>
              <w:t>$</w:t>
            </w:r>
          </w:p>
        </w:tc>
        <w:tc>
          <w:tcPr>
            <w:tcW w:w="880" w:type="dxa"/>
            <w:vAlign w:val="bottom"/>
            <w:tcBorders>
              <w:top w:val="single" w:sz="8" w:color="231F20"/>
            </w:tcBorders>
            <w:gridSpan w:val="3"/>
            <w:shd w:val="clear" w:color="auto" w:fill="D0EBF2"/>
          </w:tcPr>
          <w:p>
            <w:pPr>
              <w:jc w:val="right"/>
              <w:spacing w:after="0"/>
              <w:rPr>
                <w:sz w:val="20"/>
                <w:szCs w:val="20"/>
                <w:color w:val="auto"/>
              </w:rPr>
            </w:pPr>
            <w:r>
              <w:rPr>
                <w:rFonts w:ascii="Times New Roman" w:cs="Times New Roman" w:eastAsia="Times New Roman" w:hAnsi="Times New Roman"/>
                <w:sz w:val="15"/>
                <w:szCs w:val="15"/>
                <w:color w:val="231F20"/>
              </w:rPr>
              <w:t>8,493</w:t>
            </w:r>
          </w:p>
        </w:tc>
        <w:tc>
          <w:tcPr>
            <w:tcW w:w="100" w:type="dxa"/>
            <w:vAlign w:val="bottom"/>
            <w:tcBorders>
              <w:top w:val="single" w:sz="8" w:color="D0EBF2"/>
            </w:tcBorders>
            <w:shd w:val="clear" w:color="auto" w:fill="D0EBF2"/>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1560" w:type="dxa"/>
            <w:vAlign w:val="bottom"/>
            <w:shd w:val="clear" w:color="auto" w:fill="FDFDFC"/>
          </w:tcPr>
          <w:p>
            <w:pPr>
              <w:spacing w:after="0"/>
              <w:rPr>
                <w:sz w:val="20"/>
                <w:szCs w:val="20"/>
                <w:color w:val="auto"/>
              </w:rPr>
            </w:pPr>
            <w:r>
              <w:rPr>
                <w:rFonts w:ascii="Times New Roman" w:cs="Times New Roman" w:eastAsia="Times New Roman" w:hAnsi="Times New Roman"/>
                <w:sz w:val="15"/>
                <w:szCs w:val="15"/>
                <w:color w:val="231F20"/>
              </w:rPr>
              <w:t xml:space="preserve">Interest rate swap </w:t>
            </w:r>
            <w:r>
              <w:rPr>
                <w:rFonts w:ascii="Times New Roman" w:cs="Times New Roman" w:eastAsia="Times New Roman" w:hAnsi="Times New Roman"/>
                <w:sz w:val="9"/>
                <w:szCs w:val="9"/>
                <w:color w:val="231F20"/>
              </w:rPr>
              <w:t>(a)(b)</w:t>
            </w:r>
          </w:p>
        </w:tc>
        <w:tc>
          <w:tcPr>
            <w:tcW w:w="340" w:type="dxa"/>
            <w:vAlign w:val="bottom"/>
            <w:shd w:val="clear" w:color="auto" w:fill="FDFDFC"/>
          </w:tcPr>
          <w:p>
            <w:pPr>
              <w:spacing w:after="0"/>
              <w:rPr>
                <w:sz w:val="16"/>
                <w:szCs w:val="16"/>
                <w:color w:val="auto"/>
              </w:rPr>
            </w:pPr>
          </w:p>
        </w:tc>
        <w:tc>
          <w:tcPr>
            <w:tcW w:w="1100" w:type="dxa"/>
            <w:vAlign w:val="bottom"/>
            <w:shd w:val="clear" w:color="auto" w:fill="FDFDFC"/>
          </w:tcPr>
          <w:p>
            <w:pPr>
              <w:jc w:val="center"/>
              <w:spacing w:after="0"/>
              <w:rPr>
                <w:sz w:val="20"/>
                <w:szCs w:val="20"/>
                <w:color w:val="auto"/>
              </w:rPr>
            </w:pPr>
            <w:r>
              <w:rPr>
                <w:rFonts w:ascii="Times New Roman" w:cs="Times New Roman" w:eastAsia="Times New Roman" w:hAnsi="Times New Roman"/>
                <w:sz w:val="15"/>
                <w:szCs w:val="15"/>
                <w:color w:val="231F20"/>
              </w:rPr>
              <w:t>6.95%</w:t>
            </w:r>
          </w:p>
        </w:tc>
        <w:tc>
          <w:tcPr>
            <w:tcW w:w="120" w:type="dxa"/>
            <w:vAlign w:val="bottom"/>
            <w:shd w:val="clear" w:color="auto" w:fill="FDFDFC"/>
          </w:tcPr>
          <w:p>
            <w:pPr>
              <w:spacing w:after="0"/>
              <w:rPr>
                <w:sz w:val="16"/>
                <w:szCs w:val="16"/>
                <w:color w:val="auto"/>
              </w:rPr>
            </w:pPr>
          </w:p>
        </w:tc>
        <w:tc>
          <w:tcPr>
            <w:tcW w:w="60" w:type="dxa"/>
            <w:vAlign w:val="bottom"/>
            <w:shd w:val="clear" w:color="auto" w:fill="FDFDFC"/>
          </w:tcPr>
          <w:p>
            <w:pPr>
              <w:spacing w:after="0"/>
              <w:rPr>
                <w:sz w:val="16"/>
                <w:szCs w:val="16"/>
                <w:color w:val="auto"/>
              </w:rPr>
            </w:pPr>
          </w:p>
        </w:tc>
        <w:tc>
          <w:tcPr>
            <w:tcW w:w="1020" w:type="dxa"/>
            <w:vAlign w:val="bottom"/>
            <w:gridSpan w:val="2"/>
            <w:shd w:val="clear" w:color="auto" w:fill="FDFDFC"/>
          </w:tcPr>
          <w:p>
            <w:pPr>
              <w:jc w:val="center"/>
              <w:ind w:right="24"/>
              <w:spacing w:after="0"/>
              <w:rPr>
                <w:sz w:val="20"/>
                <w:szCs w:val="20"/>
                <w:color w:val="auto"/>
              </w:rPr>
            </w:pPr>
            <w:r>
              <w:rPr>
                <w:rFonts w:ascii="Times New Roman" w:cs="Times New Roman" w:eastAsia="Times New Roman" w:hAnsi="Times New Roman"/>
                <w:sz w:val="15"/>
                <w:szCs w:val="15"/>
                <w:color w:val="231F20"/>
                <w:w w:val="99"/>
              </w:rPr>
              <w:t>SOFR + 2.99%</w:t>
            </w:r>
          </w:p>
        </w:tc>
        <w:tc>
          <w:tcPr>
            <w:tcW w:w="120" w:type="dxa"/>
            <w:vAlign w:val="bottom"/>
            <w:shd w:val="clear" w:color="auto" w:fill="FDFDFC"/>
          </w:tcPr>
          <w:p>
            <w:pPr>
              <w:spacing w:after="0"/>
              <w:rPr>
                <w:sz w:val="16"/>
                <w:szCs w:val="16"/>
                <w:color w:val="auto"/>
              </w:rPr>
            </w:pPr>
          </w:p>
        </w:tc>
        <w:tc>
          <w:tcPr>
            <w:tcW w:w="260" w:type="dxa"/>
            <w:vAlign w:val="bottom"/>
            <w:shd w:val="clear" w:color="auto" w:fill="FDFDFC"/>
          </w:tcPr>
          <w:p>
            <w:pPr>
              <w:spacing w:after="0"/>
              <w:rPr>
                <w:sz w:val="16"/>
                <w:szCs w:val="16"/>
                <w:color w:val="auto"/>
              </w:rPr>
            </w:pPr>
          </w:p>
        </w:tc>
        <w:tc>
          <w:tcPr>
            <w:tcW w:w="820" w:type="dxa"/>
            <w:vAlign w:val="bottom"/>
            <w:shd w:val="clear" w:color="auto" w:fill="FDFDFC"/>
          </w:tcPr>
          <w:p>
            <w:pPr>
              <w:jc w:val="right"/>
              <w:spacing w:after="0"/>
              <w:rPr>
                <w:sz w:val="20"/>
                <w:szCs w:val="20"/>
                <w:color w:val="auto"/>
              </w:rPr>
            </w:pPr>
            <w:r>
              <w:rPr>
                <w:rFonts w:ascii="Times New Roman" w:cs="Times New Roman" w:eastAsia="Times New Roman" w:hAnsi="Times New Roman"/>
                <w:sz w:val="15"/>
                <w:szCs w:val="15"/>
                <w:color w:val="231F20"/>
              </w:rPr>
              <w:t>8/14/2028</w:t>
            </w:r>
          </w:p>
        </w:tc>
        <w:tc>
          <w:tcPr>
            <w:tcW w:w="120" w:type="dxa"/>
            <w:vAlign w:val="bottom"/>
            <w:shd w:val="clear" w:color="auto" w:fill="FDFDFC"/>
          </w:tcPr>
          <w:p>
            <w:pPr>
              <w:spacing w:after="0"/>
              <w:rPr>
                <w:sz w:val="16"/>
                <w:szCs w:val="16"/>
                <w:color w:val="auto"/>
              </w:rPr>
            </w:pPr>
          </w:p>
        </w:tc>
        <w:tc>
          <w:tcPr>
            <w:tcW w:w="140" w:type="dxa"/>
            <w:vAlign w:val="bottom"/>
            <w:shd w:val="clear" w:color="auto" w:fill="FDFDFC"/>
          </w:tcPr>
          <w:p>
            <w:pPr>
              <w:spacing w:after="0"/>
              <w:rPr>
                <w:sz w:val="16"/>
                <w:szCs w:val="16"/>
                <w:color w:val="auto"/>
              </w:rPr>
            </w:pPr>
          </w:p>
        </w:tc>
        <w:tc>
          <w:tcPr>
            <w:tcW w:w="860" w:type="dxa"/>
            <w:vAlign w:val="bottom"/>
            <w:shd w:val="clear" w:color="auto" w:fill="FDFDFC"/>
          </w:tcPr>
          <w:p>
            <w:pPr>
              <w:jc w:val="right"/>
              <w:spacing w:after="0"/>
              <w:rPr>
                <w:sz w:val="20"/>
                <w:szCs w:val="20"/>
                <w:color w:val="auto"/>
              </w:rPr>
            </w:pPr>
            <w:r>
              <w:rPr>
                <w:rFonts w:ascii="Times New Roman" w:cs="Times New Roman" w:eastAsia="Times New Roman" w:hAnsi="Times New Roman"/>
                <w:sz w:val="15"/>
                <w:szCs w:val="15"/>
                <w:color w:val="231F20"/>
              </w:rPr>
              <w:t>300,000</w:t>
            </w:r>
          </w:p>
        </w:tc>
        <w:tc>
          <w:tcPr>
            <w:tcW w:w="120" w:type="dxa"/>
            <w:vAlign w:val="bottom"/>
            <w:shd w:val="clear" w:color="auto" w:fill="FDFDFC"/>
          </w:tcPr>
          <w:p>
            <w:pPr>
              <w:spacing w:after="0"/>
              <w:rPr>
                <w:sz w:val="16"/>
                <w:szCs w:val="16"/>
                <w:color w:val="auto"/>
              </w:rPr>
            </w:pPr>
          </w:p>
        </w:tc>
        <w:tc>
          <w:tcPr>
            <w:tcW w:w="80" w:type="dxa"/>
            <w:vAlign w:val="bottom"/>
            <w:shd w:val="clear" w:color="auto" w:fill="FDFDFC"/>
          </w:tcPr>
          <w:p>
            <w:pPr>
              <w:spacing w:after="0"/>
              <w:rPr>
                <w:sz w:val="16"/>
                <w:szCs w:val="16"/>
                <w:color w:val="auto"/>
              </w:rPr>
            </w:pPr>
          </w:p>
        </w:tc>
        <w:tc>
          <w:tcPr>
            <w:tcW w:w="20" w:type="dxa"/>
            <w:vAlign w:val="bottom"/>
            <w:shd w:val="clear" w:color="auto" w:fill="FDFDFC"/>
          </w:tcPr>
          <w:p>
            <w:pPr>
              <w:spacing w:after="0"/>
              <w:rPr>
                <w:sz w:val="16"/>
                <w:szCs w:val="16"/>
                <w:color w:val="auto"/>
              </w:rPr>
            </w:pPr>
          </w:p>
        </w:tc>
        <w:tc>
          <w:tcPr>
            <w:tcW w:w="140" w:type="dxa"/>
            <w:vAlign w:val="bottom"/>
            <w:shd w:val="clear" w:color="auto" w:fill="FDFDFC"/>
          </w:tcPr>
          <w:p>
            <w:pPr>
              <w:spacing w:after="0"/>
              <w:rPr>
                <w:sz w:val="16"/>
                <w:szCs w:val="16"/>
                <w:color w:val="auto"/>
              </w:rPr>
            </w:pPr>
          </w:p>
        </w:tc>
        <w:tc>
          <w:tcPr>
            <w:tcW w:w="840" w:type="dxa"/>
            <w:vAlign w:val="bottom"/>
            <w:gridSpan w:val="2"/>
            <w:shd w:val="clear" w:color="auto" w:fill="FDFDFC"/>
          </w:tcPr>
          <w:p>
            <w:pPr>
              <w:jc w:val="right"/>
              <w:ind w:right="20"/>
              <w:spacing w:after="0"/>
              <w:rPr>
                <w:sz w:val="20"/>
                <w:szCs w:val="20"/>
                <w:color w:val="auto"/>
              </w:rPr>
            </w:pPr>
            <w:r>
              <w:rPr>
                <w:rFonts w:ascii="Times New Roman" w:cs="Times New Roman" w:eastAsia="Times New Roman" w:hAnsi="Times New Roman"/>
                <w:sz w:val="15"/>
                <w:szCs w:val="15"/>
                <w:color w:val="231F20"/>
              </w:rPr>
              <w:t>(1,377</w:t>
            </w:r>
          </w:p>
        </w:tc>
        <w:tc>
          <w:tcPr>
            <w:tcW w:w="100" w:type="dxa"/>
            <w:vAlign w:val="bottom"/>
            <w:gridSpan w:val="2"/>
            <w:shd w:val="clear" w:color="auto" w:fill="FDFDFC"/>
          </w:tcPr>
          <w:p>
            <w:pPr>
              <w:spacing w:after="0"/>
              <w:rPr>
                <w:sz w:val="20"/>
                <w:szCs w:val="20"/>
                <w:color w:val="auto"/>
              </w:rPr>
            </w:pPr>
            <w:r>
              <w:rPr>
                <w:rFonts w:ascii="Times New Roman" w:cs="Times New Roman" w:eastAsia="Times New Roman" w:hAnsi="Times New Roman"/>
                <w:sz w:val="15"/>
                <w:szCs w:val="15"/>
                <w:color w:val="231F20"/>
              </w:rPr>
              <w:t>)</w:t>
            </w:r>
          </w:p>
        </w:tc>
        <w:tc>
          <w:tcPr>
            <w:tcW w:w="120" w:type="dxa"/>
            <w:vAlign w:val="bottom"/>
            <w:shd w:val="clear" w:color="auto" w:fill="FDFDFC"/>
          </w:tcPr>
          <w:p>
            <w:pPr>
              <w:spacing w:after="0"/>
              <w:rPr>
                <w:sz w:val="16"/>
                <w:szCs w:val="16"/>
                <w:color w:val="auto"/>
              </w:rPr>
            </w:pPr>
          </w:p>
        </w:tc>
        <w:tc>
          <w:tcPr>
            <w:tcW w:w="60" w:type="dxa"/>
            <w:vAlign w:val="bottom"/>
            <w:shd w:val="clear" w:color="auto" w:fill="FDFDFC"/>
          </w:tcPr>
          <w:p>
            <w:pPr>
              <w:spacing w:after="0"/>
              <w:rPr>
                <w:sz w:val="16"/>
                <w:szCs w:val="16"/>
                <w:color w:val="auto"/>
              </w:rPr>
            </w:pPr>
          </w:p>
        </w:tc>
        <w:tc>
          <w:tcPr>
            <w:tcW w:w="920" w:type="dxa"/>
            <w:vAlign w:val="bottom"/>
            <w:shd w:val="clear" w:color="auto" w:fill="FDFDFC"/>
          </w:tcPr>
          <w:p>
            <w:pPr>
              <w:ind w:left="740"/>
              <w:spacing w:after="0"/>
              <w:rPr>
                <w:sz w:val="20"/>
                <w:szCs w:val="20"/>
                <w:color w:val="auto"/>
              </w:rPr>
            </w:pPr>
            <w:r>
              <w:rPr>
                <w:rFonts w:ascii="Times New Roman" w:cs="Times New Roman" w:eastAsia="Times New Roman" w:hAnsi="Times New Roman"/>
                <w:sz w:val="15"/>
                <w:szCs w:val="15"/>
                <w:color w:val="231F20"/>
              </w:rPr>
              <w:t>—</w:t>
            </w:r>
          </w:p>
        </w:tc>
        <w:tc>
          <w:tcPr>
            <w:tcW w:w="220" w:type="dxa"/>
            <w:vAlign w:val="bottom"/>
            <w:shd w:val="clear" w:color="auto" w:fill="FDFDFC"/>
          </w:tcPr>
          <w:p>
            <w:pPr>
              <w:spacing w:after="0"/>
              <w:rPr>
                <w:sz w:val="16"/>
                <w:szCs w:val="16"/>
                <w:color w:val="auto"/>
              </w:rPr>
            </w:pPr>
          </w:p>
        </w:tc>
        <w:tc>
          <w:tcPr>
            <w:tcW w:w="160" w:type="dxa"/>
            <w:vAlign w:val="bottom"/>
            <w:shd w:val="clear" w:color="auto" w:fill="FDFDFC"/>
          </w:tcPr>
          <w:p>
            <w:pPr>
              <w:spacing w:after="0"/>
              <w:rPr>
                <w:sz w:val="16"/>
                <w:szCs w:val="16"/>
                <w:color w:val="auto"/>
              </w:rPr>
            </w:pPr>
          </w:p>
        </w:tc>
        <w:tc>
          <w:tcPr>
            <w:tcW w:w="880" w:type="dxa"/>
            <w:vAlign w:val="bottom"/>
            <w:gridSpan w:val="3"/>
            <w:shd w:val="clear" w:color="auto" w:fill="FDFDFC"/>
          </w:tcPr>
          <w:p>
            <w:pPr>
              <w:jc w:val="right"/>
              <w:spacing w:after="0"/>
              <w:rPr>
                <w:sz w:val="20"/>
                <w:szCs w:val="20"/>
                <w:color w:val="auto"/>
              </w:rPr>
            </w:pPr>
            <w:r>
              <w:rPr>
                <w:rFonts w:ascii="Times New Roman" w:cs="Times New Roman" w:eastAsia="Times New Roman" w:hAnsi="Times New Roman"/>
                <w:sz w:val="15"/>
                <w:szCs w:val="15"/>
                <w:color w:val="231F20"/>
              </w:rPr>
              <w:t>(6,057</w:t>
            </w:r>
          </w:p>
        </w:tc>
        <w:tc>
          <w:tcPr>
            <w:tcW w:w="100" w:type="dxa"/>
            <w:vAlign w:val="bottom"/>
            <w:shd w:val="clear" w:color="auto" w:fill="FDFDFC"/>
          </w:tcPr>
          <w:p>
            <w:pPr>
              <w:jc w:val="right"/>
              <w:spacing w:after="0"/>
              <w:rPr>
                <w:sz w:val="20"/>
                <w:szCs w:val="20"/>
                <w:color w:val="auto"/>
              </w:rPr>
            </w:pPr>
            <w:r>
              <w:rPr>
                <w:rFonts w:ascii="Times New Roman" w:cs="Times New Roman" w:eastAsia="Times New Roman" w:hAnsi="Times New Roman"/>
                <w:sz w:val="15"/>
                <w:szCs w:val="15"/>
                <w:color w:val="231F20"/>
                <w:w w:val="79"/>
              </w:rPr>
              <w:t>)</w:t>
            </w:r>
          </w:p>
        </w:tc>
        <w:tc>
          <w:tcPr>
            <w:tcW w:w="0" w:type="dxa"/>
            <w:vAlign w:val="bottom"/>
          </w:tcPr>
          <w:p>
            <w:pPr>
              <w:spacing w:after="0"/>
              <w:rPr>
                <w:sz w:val="1"/>
                <w:szCs w:val="1"/>
                <w:color w:val="auto"/>
              </w:rPr>
            </w:pPr>
          </w:p>
        </w:tc>
      </w:tr>
      <w:tr>
        <w:trPr>
          <w:trHeight w:val="187"/>
        </w:trPr>
        <w:tc>
          <w:tcPr>
            <w:tcW w:w="1560" w:type="dxa"/>
            <w:vAlign w:val="bottom"/>
            <w:shd w:val="clear" w:color="auto" w:fill="D0EBF2"/>
          </w:tcPr>
          <w:p>
            <w:pPr>
              <w:spacing w:after="0"/>
              <w:rPr>
                <w:sz w:val="20"/>
                <w:szCs w:val="20"/>
                <w:color w:val="auto"/>
              </w:rPr>
            </w:pPr>
            <w:r>
              <w:rPr>
                <w:rFonts w:ascii="Times New Roman" w:cs="Times New Roman" w:eastAsia="Times New Roman" w:hAnsi="Times New Roman"/>
                <w:sz w:val="15"/>
                <w:szCs w:val="15"/>
                <w:color w:val="231F20"/>
              </w:rPr>
              <w:t xml:space="preserve">Interest rate swap </w:t>
            </w:r>
            <w:r>
              <w:rPr>
                <w:rFonts w:ascii="Times New Roman" w:cs="Times New Roman" w:eastAsia="Times New Roman" w:hAnsi="Times New Roman"/>
                <w:sz w:val="9"/>
                <w:szCs w:val="9"/>
                <w:color w:val="231F20"/>
              </w:rPr>
              <w:t>(a)(b)</w:t>
            </w:r>
          </w:p>
        </w:tc>
        <w:tc>
          <w:tcPr>
            <w:tcW w:w="1440" w:type="dxa"/>
            <w:vAlign w:val="bottom"/>
            <w:gridSpan w:val="2"/>
            <w:shd w:val="clear" w:color="auto" w:fill="D0EBF2"/>
          </w:tcPr>
          <w:p>
            <w:pPr>
              <w:jc w:val="center"/>
              <w:ind w:left="224"/>
              <w:spacing w:after="0"/>
              <w:rPr>
                <w:sz w:val="20"/>
                <w:szCs w:val="20"/>
                <w:color w:val="auto"/>
              </w:rPr>
            </w:pPr>
            <w:r>
              <w:rPr>
                <w:rFonts w:ascii="Times New Roman" w:cs="Times New Roman" w:eastAsia="Times New Roman" w:hAnsi="Times New Roman"/>
                <w:sz w:val="15"/>
                <w:szCs w:val="15"/>
                <w:color w:val="231F20"/>
                <w:w w:val="99"/>
              </w:rPr>
              <w:t>6.125%</w:t>
            </w:r>
          </w:p>
        </w:tc>
        <w:tc>
          <w:tcPr>
            <w:tcW w:w="120" w:type="dxa"/>
            <w:vAlign w:val="bottom"/>
            <w:shd w:val="clear" w:color="auto" w:fill="D0EBF2"/>
          </w:tcPr>
          <w:p>
            <w:pPr>
              <w:spacing w:after="0"/>
              <w:rPr>
                <w:sz w:val="16"/>
                <w:szCs w:val="16"/>
                <w:color w:val="auto"/>
              </w:rPr>
            </w:pPr>
          </w:p>
        </w:tc>
        <w:tc>
          <w:tcPr>
            <w:tcW w:w="60" w:type="dxa"/>
            <w:vAlign w:val="bottom"/>
            <w:shd w:val="clear" w:color="auto" w:fill="D0EBF2"/>
          </w:tcPr>
          <w:p>
            <w:pPr>
              <w:spacing w:after="0"/>
              <w:rPr>
                <w:sz w:val="16"/>
                <w:szCs w:val="16"/>
                <w:color w:val="auto"/>
              </w:rPr>
            </w:pPr>
          </w:p>
        </w:tc>
        <w:tc>
          <w:tcPr>
            <w:tcW w:w="1400" w:type="dxa"/>
            <w:vAlign w:val="bottom"/>
            <w:gridSpan w:val="4"/>
            <w:shd w:val="clear" w:color="auto" w:fill="D0EBF2"/>
          </w:tcPr>
          <w:p>
            <w:pPr>
              <w:jc w:val="center"/>
              <w:ind w:right="404"/>
              <w:spacing w:after="0"/>
              <w:rPr>
                <w:sz w:val="20"/>
                <w:szCs w:val="20"/>
                <w:color w:val="auto"/>
              </w:rPr>
            </w:pPr>
            <w:r>
              <w:rPr>
                <w:rFonts w:ascii="Times New Roman" w:cs="Times New Roman" w:eastAsia="Times New Roman" w:hAnsi="Times New Roman"/>
                <w:sz w:val="15"/>
                <w:szCs w:val="15"/>
                <w:color w:val="231F20"/>
                <w:w w:val="99"/>
              </w:rPr>
              <w:t>SOFR + 2.44%</w:t>
            </w:r>
          </w:p>
        </w:tc>
        <w:tc>
          <w:tcPr>
            <w:tcW w:w="820" w:type="dxa"/>
            <w:vAlign w:val="bottom"/>
            <w:shd w:val="clear" w:color="auto" w:fill="D0EBF2"/>
          </w:tcPr>
          <w:p>
            <w:pPr>
              <w:jc w:val="right"/>
              <w:spacing w:after="0"/>
              <w:rPr>
                <w:sz w:val="20"/>
                <w:szCs w:val="20"/>
                <w:color w:val="auto"/>
              </w:rPr>
            </w:pPr>
            <w:r>
              <w:rPr>
                <w:rFonts w:ascii="Times New Roman" w:cs="Times New Roman" w:eastAsia="Times New Roman" w:hAnsi="Times New Roman"/>
                <w:sz w:val="15"/>
                <w:szCs w:val="15"/>
                <w:color w:val="231F20"/>
              </w:rPr>
              <w:t>3/1/2029</w:t>
            </w:r>
          </w:p>
        </w:tc>
        <w:tc>
          <w:tcPr>
            <w:tcW w:w="120" w:type="dxa"/>
            <w:vAlign w:val="bottom"/>
            <w:shd w:val="clear" w:color="auto" w:fill="D0EBF2"/>
          </w:tcPr>
          <w:p>
            <w:pPr>
              <w:spacing w:after="0"/>
              <w:rPr>
                <w:sz w:val="16"/>
                <w:szCs w:val="16"/>
                <w:color w:val="auto"/>
              </w:rPr>
            </w:pPr>
          </w:p>
        </w:tc>
        <w:tc>
          <w:tcPr>
            <w:tcW w:w="140" w:type="dxa"/>
            <w:vAlign w:val="bottom"/>
            <w:shd w:val="clear" w:color="auto" w:fill="D0EBF2"/>
          </w:tcPr>
          <w:p>
            <w:pPr>
              <w:spacing w:after="0"/>
              <w:rPr>
                <w:sz w:val="16"/>
                <w:szCs w:val="16"/>
                <w:color w:val="auto"/>
              </w:rPr>
            </w:pPr>
          </w:p>
        </w:tc>
        <w:tc>
          <w:tcPr>
            <w:tcW w:w="860" w:type="dxa"/>
            <w:vAlign w:val="bottom"/>
            <w:shd w:val="clear" w:color="auto" w:fill="D0EBF2"/>
          </w:tcPr>
          <w:p>
            <w:pPr>
              <w:jc w:val="right"/>
              <w:spacing w:after="0"/>
              <w:rPr>
                <w:sz w:val="20"/>
                <w:szCs w:val="20"/>
                <w:color w:val="auto"/>
              </w:rPr>
            </w:pPr>
            <w:r>
              <w:rPr>
                <w:rFonts w:ascii="Times New Roman" w:cs="Times New Roman" w:eastAsia="Times New Roman" w:hAnsi="Times New Roman"/>
                <w:sz w:val="15"/>
                <w:szCs w:val="15"/>
                <w:color w:val="231F20"/>
              </w:rPr>
              <w:t>350,000</w:t>
            </w:r>
          </w:p>
        </w:tc>
        <w:tc>
          <w:tcPr>
            <w:tcW w:w="120" w:type="dxa"/>
            <w:vAlign w:val="bottom"/>
            <w:shd w:val="clear" w:color="auto" w:fill="D0EBF2"/>
          </w:tcPr>
          <w:p>
            <w:pPr>
              <w:spacing w:after="0"/>
              <w:rPr>
                <w:sz w:val="16"/>
                <w:szCs w:val="16"/>
                <w:color w:val="auto"/>
              </w:rPr>
            </w:pPr>
          </w:p>
        </w:tc>
        <w:tc>
          <w:tcPr>
            <w:tcW w:w="80" w:type="dxa"/>
            <w:vAlign w:val="bottom"/>
            <w:shd w:val="clear" w:color="auto" w:fill="D0EBF2"/>
          </w:tcPr>
          <w:p>
            <w:pPr>
              <w:spacing w:after="0"/>
              <w:rPr>
                <w:sz w:val="16"/>
                <w:szCs w:val="16"/>
                <w:color w:val="auto"/>
              </w:rPr>
            </w:pPr>
          </w:p>
        </w:tc>
        <w:tc>
          <w:tcPr>
            <w:tcW w:w="20" w:type="dxa"/>
            <w:vAlign w:val="bottom"/>
            <w:shd w:val="clear" w:color="auto" w:fill="D0EBF2"/>
          </w:tcPr>
          <w:p>
            <w:pPr>
              <w:spacing w:after="0"/>
              <w:rPr>
                <w:sz w:val="16"/>
                <w:szCs w:val="16"/>
                <w:color w:val="auto"/>
              </w:rPr>
            </w:pPr>
          </w:p>
        </w:tc>
        <w:tc>
          <w:tcPr>
            <w:tcW w:w="140" w:type="dxa"/>
            <w:vAlign w:val="bottom"/>
            <w:shd w:val="clear" w:color="auto" w:fill="D0EBF2"/>
          </w:tcPr>
          <w:p>
            <w:pPr>
              <w:spacing w:after="0"/>
              <w:rPr>
                <w:sz w:val="16"/>
                <w:szCs w:val="16"/>
                <w:color w:val="auto"/>
              </w:rPr>
            </w:pPr>
          </w:p>
        </w:tc>
        <w:tc>
          <w:tcPr>
            <w:tcW w:w="940" w:type="dxa"/>
            <w:vAlign w:val="bottom"/>
            <w:gridSpan w:val="4"/>
            <w:shd w:val="clear" w:color="auto" w:fill="D0EBF2"/>
          </w:tcPr>
          <w:p>
            <w:pPr>
              <w:jc w:val="right"/>
              <w:spacing w:after="0"/>
              <w:rPr>
                <w:sz w:val="20"/>
                <w:szCs w:val="20"/>
                <w:color w:val="auto"/>
              </w:rPr>
            </w:pPr>
            <w:r>
              <w:rPr>
                <w:rFonts w:ascii="Times New Roman" w:cs="Times New Roman" w:eastAsia="Times New Roman" w:hAnsi="Times New Roman"/>
                <w:sz w:val="15"/>
                <w:szCs w:val="15"/>
                <w:color w:val="231F20"/>
              </w:rPr>
              <w:t>(5,243 )</w:t>
            </w:r>
          </w:p>
        </w:tc>
        <w:tc>
          <w:tcPr>
            <w:tcW w:w="120" w:type="dxa"/>
            <w:vAlign w:val="bottom"/>
            <w:shd w:val="clear" w:color="auto" w:fill="D0EBF2"/>
          </w:tcPr>
          <w:p>
            <w:pPr>
              <w:spacing w:after="0"/>
              <w:rPr>
                <w:sz w:val="16"/>
                <w:szCs w:val="16"/>
                <w:color w:val="auto"/>
              </w:rPr>
            </w:pPr>
          </w:p>
        </w:tc>
        <w:tc>
          <w:tcPr>
            <w:tcW w:w="60" w:type="dxa"/>
            <w:vAlign w:val="bottom"/>
            <w:shd w:val="clear" w:color="auto" w:fill="D0EBF2"/>
          </w:tcPr>
          <w:p>
            <w:pPr>
              <w:spacing w:after="0"/>
              <w:rPr>
                <w:sz w:val="16"/>
                <w:szCs w:val="16"/>
                <w:color w:val="auto"/>
              </w:rPr>
            </w:pPr>
          </w:p>
        </w:tc>
        <w:tc>
          <w:tcPr>
            <w:tcW w:w="920" w:type="dxa"/>
            <w:vAlign w:val="bottom"/>
            <w:shd w:val="clear" w:color="auto" w:fill="D0EBF2"/>
          </w:tcPr>
          <w:p>
            <w:pPr>
              <w:ind w:left="740"/>
              <w:spacing w:after="0"/>
              <w:rPr>
                <w:sz w:val="20"/>
                <w:szCs w:val="20"/>
                <w:color w:val="auto"/>
              </w:rPr>
            </w:pPr>
            <w:r>
              <w:rPr>
                <w:rFonts w:ascii="Times New Roman" w:cs="Times New Roman" w:eastAsia="Times New Roman" w:hAnsi="Times New Roman"/>
                <w:sz w:val="15"/>
                <w:szCs w:val="15"/>
                <w:color w:val="231F20"/>
              </w:rPr>
              <w:t>—</w:t>
            </w:r>
          </w:p>
        </w:tc>
        <w:tc>
          <w:tcPr>
            <w:tcW w:w="220" w:type="dxa"/>
            <w:vAlign w:val="bottom"/>
            <w:shd w:val="clear" w:color="auto" w:fill="D0EBF2"/>
          </w:tcPr>
          <w:p>
            <w:pPr>
              <w:spacing w:after="0"/>
              <w:rPr>
                <w:sz w:val="16"/>
                <w:szCs w:val="16"/>
                <w:color w:val="auto"/>
              </w:rPr>
            </w:pPr>
          </w:p>
        </w:tc>
        <w:tc>
          <w:tcPr>
            <w:tcW w:w="160" w:type="dxa"/>
            <w:vAlign w:val="bottom"/>
            <w:shd w:val="clear" w:color="auto" w:fill="D0EBF2"/>
          </w:tcPr>
          <w:p>
            <w:pPr>
              <w:spacing w:after="0"/>
              <w:rPr>
                <w:sz w:val="16"/>
                <w:szCs w:val="16"/>
                <w:color w:val="auto"/>
              </w:rPr>
            </w:pPr>
          </w:p>
        </w:tc>
        <w:tc>
          <w:tcPr>
            <w:tcW w:w="980" w:type="dxa"/>
            <w:vAlign w:val="bottom"/>
            <w:gridSpan w:val="4"/>
            <w:shd w:val="clear" w:color="auto" w:fill="D0EBF2"/>
          </w:tcPr>
          <w:p>
            <w:pPr>
              <w:jc w:val="right"/>
              <w:spacing w:after="0"/>
              <w:rPr>
                <w:sz w:val="20"/>
                <w:szCs w:val="20"/>
                <w:color w:val="auto"/>
              </w:rPr>
            </w:pPr>
            <w:r>
              <w:rPr>
                <w:rFonts w:ascii="Times New Roman" w:cs="Times New Roman" w:eastAsia="Times New Roman" w:hAnsi="Times New Roman"/>
                <w:sz w:val="15"/>
                <w:szCs w:val="15"/>
                <w:color w:val="231F20"/>
              </w:rPr>
              <w:t>(5,243 )</w:t>
            </w:r>
          </w:p>
        </w:tc>
        <w:tc>
          <w:tcPr>
            <w:tcW w:w="0" w:type="dxa"/>
            <w:vAlign w:val="bottom"/>
          </w:tcPr>
          <w:p>
            <w:pPr>
              <w:spacing w:after="0"/>
              <w:rPr>
                <w:sz w:val="1"/>
                <w:szCs w:val="1"/>
                <w:color w:val="auto"/>
              </w:rPr>
            </w:pPr>
          </w:p>
        </w:tc>
      </w:tr>
      <w:tr>
        <w:trPr>
          <w:trHeight w:val="161"/>
        </w:trPr>
        <w:tc>
          <w:tcPr>
            <w:tcW w:w="1560" w:type="dxa"/>
            <w:vAlign w:val="bottom"/>
            <w:tcBorders>
              <w:top w:val="single" w:sz="8" w:color="FDFDFC"/>
            </w:tcBorders>
            <w:shd w:val="clear" w:color="auto" w:fill="FDFDFC"/>
          </w:tcPr>
          <w:p>
            <w:pPr>
              <w:spacing w:after="0" w:line="161" w:lineRule="exact"/>
              <w:rPr>
                <w:sz w:val="20"/>
                <w:szCs w:val="20"/>
                <w:color w:val="auto"/>
              </w:rPr>
            </w:pPr>
            <w:r>
              <w:rPr>
                <w:rFonts w:ascii="Times New Roman" w:cs="Times New Roman" w:eastAsia="Times New Roman" w:hAnsi="Times New Roman"/>
                <w:sz w:val="15"/>
                <w:szCs w:val="15"/>
                <w:color w:val="231F20"/>
              </w:rPr>
              <w:t>Total Hedge Accounting</w:t>
            </w:r>
          </w:p>
        </w:tc>
        <w:tc>
          <w:tcPr>
            <w:tcW w:w="340" w:type="dxa"/>
            <w:vAlign w:val="bottom"/>
            <w:tcBorders>
              <w:top w:val="single" w:sz="8" w:color="FDFDFC"/>
            </w:tcBorders>
            <w:shd w:val="clear" w:color="auto" w:fill="FDFDFC"/>
          </w:tcPr>
          <w:p>
            <w:pPr>
              <w:spacing w:after="0"/>
              <w:rPr>
                <w:sz w:val="13"/>
                <w:szCs w:val="13"/>
                <w:color w:val="auto"/>
              </w:rPr>
            </w:pPr>
          </w:p>
        </w:tc>
        <w:tc>
          <w:tcPr>
            <w:tcW w:w="1100" w:type="dxa"/>
            <w:vAlign w:val="bottom"/>
            <w:tcBorders>
              <w:top w:val="single" w:sz="8" w:color="FDFDFC"/>
            </w:tcBorders>
            <w:shd w:val="clear" w:color="auto" w:fill="FDFDFC"/>
          </w:tcPr>
          <w:p>
            <w:pPr>
              <w:spacing w:after="0"/>
              <w:rPr>
                <w:sz w:val="13"/>
                <w:szCs w:val="13"/>
                <w:color w:val="auto"/>
              </w:rPr>
            </w:pPr>
          </w:p>
        </w:tc>
        <w:tc>
          <w:tcPr>
            <w:tcW w:w="120" w:type="dxa"/>
            <w:vAlign w:val="bottom"/>
            <w:tcBorders>
              <w:top w:val="single" w:sz="8" w:color="FDFDFC"/>
            </w:tcBorders>
            <w:shd w:val="clear" w:color="auto" w:fill="FDFDFC"/>
          </w:tcPr>
          <w:p>
            <w:pPr>
              <w:spacing w:after="0"/>
              <w:rPr>
                <w:sz w:val="13"/>
                <w:szCs w:val="13"/>
                <w:color w:val="auto"/>
              </w:rPr>
            </w:pPr>
          </w:p>
        </w:tc>
        <w:tc>
          <w:tcPr>
            <w:tcW w:w="60" w:type="dxa"/>
            <w:vAlign w:val="bottom"/>
            <w:tcBorders>
              <w:top w:val="single" w:sz="8" w:color="FDFDFC"/>
            </w:tcBorders>
            <w:shd w:val="clear" w:color="auto" w:fill="FDFDFC"/>
          </w:tcPr>
          <w:p>
            <w:pPr>
              <w:spacing w:after="0"/>
              <w:rPr>
                <w:sz w:val="13"/>
                <w:szCs w:val="13"/>
                <w:color w:val="auto"/>
              </w:rPr>
            </w:pPr>
          </w:p>
        </w:tc>
        <w:tc>
          <w:tcPr>
            <w:tcW w:w="660" w:type="dxa"/>
            <w:vAlign w:val="bottom"/>
            <w:tcBorders>
              <w:top w:val="single" w:sz="8" w:color="FDFDFC"/>
            </w:tcBorders>
            <w:shd w:val="clear" w:color="auto" w:fill="FDFDFC"/>
          </w:tcPr>
          <w:p>
            <w:pPr>
              <w:spacing w:after="0"/>
              <w:rPr>
                <w:sz w:val="13"/>
                <w:szCs w:val="13"/>
                <w:color w:val="auto"/>
              </w:rPr>
            </w:pPr>
          </w:p>
        </w:tc>
        <w:tc>
          <w:tcPr>
            <w:tcW w:w="360" w:type="dxa"/>
            <w:vAlign w:val="bottom"/>
            <w:tcBorders>
              <w:top w:val="single" w:sz="8" w:color="FDFDFC"/>
            </w:tcBorders>
            <w:shd w:val="clear" w:color="auto" w:fill="FDFDFC"/>
          </w:tcPr>
          <w:p>
            <w:pPr>
              <w:spacing w:after="0"/>
              <w:rPr>
                <w:sz w:val="13"/>
                <w:szCs w:val="13"/>
                <w:color w:val="auto"/>
              </w:rPr>
            </w:pPr>
          </w:p>
        </w:tc>
        <w:tc>
          <w:tcPr>
            <w:tcW w:w="120" w:type="dxa"/>
            <w:vAlign w:val="bottom"/>
            <w:tcBorders>
              <w:top w:val="single" w:sz="8" w:color="FDFDFC"/>
            </w:tcBorders>
            <w:shd w:val="clear" w:color="auto" w:fill="FDFDFC"/>
          </w:tcPr>
          <w:p>
            <w:pPr>
              <w:spacing w:after="0"/>
              <w:rPr>
                <w:sz w:val="13"/>
                <w:szCs w:val="13"/>
                <w:color w:val="auto"/>
              </w:rPr>
            </w:pPr>
          </w:p>
        </w:tc>
        <w:tc>
          <w:tcPr>
            <w:tcW w:w="260" w:type="dxa"/>
            <w:vAlign w:val="bottom"/>
            <w:tcBorders>
              <w:top w:val="single" w:sz="8" w:color="FDFDFC"/>
            </w:tcBorders>
            <w:shd w:val="clear" w:color="auto" w:fill="FDFDFC"/>
          </w:tcPr>
          <w:p>
            <w:pPr>
              <w:spacing w:after="0"/>
              <w:rPr>
                <w:sz w:val="13"/>
                <w:szCs w:val="13"/>
                <w:color w:val="auto"/>
              </w:rPr>
            </w:pPr>
          </w:p>
        </w:tc>
        <w:tc>
          <w:tcPr>
            <w:tcW w:w="820" w:type="dxa"/>
            <w:vAlign w:val="bottom"/>
            <w:tcBorders>
              <w:top w:val="single" w:sz="8" w:color="FDFDFC"/>
            </w:tcBorders>
            <w:shd w:val="clear" w:color="auto" w:fill="FDFDFC"/>
          </w:tcPr>
          <w:p>
            <w:pPr>
              <w:spacing w:after="0"/>
              <w:rPr>
                <w:sz w:val="13"/>
                <w:szCs w:val="13"/>
                <w:color w:val="auto"/>
              </w:rPr>
            </w:pPr>
          </w:p>
        </w:tc>
        <w:tc>
          <w:tcPr>
            <w:tcW w:w="120" w:type="dxa"/>
            <w:vAlign w:val="bottom"/>
            <w:tcBorders>
              <w:top w:val="single" w:sz="8" w:color="FDFDFC"/>
            </w:tcBorders>
            <w:shd w:val="clear" w:color="auto" w:fill="FDFDFC"/>
          </w:tcPr>
          <w:p>
            <w:pPr>
              <w:spacing w:after="0"/>
              <w:rPr>
                <w:sz w:val="13"/>
                <w:szCs w:val="13"/>
                <w:color w:val="auto"/>
              </w:rPr>
            </w:pPr>
          </w:p>
        </w:tc>
        <w:tc>
          <w:tcPr>
            <w:tcW w:w="140" w:type="dxa"/>
            <w:vAlign w:val="bottom"/>
            <w:tcBorders>
              <w:top w:val="single" w:sz="8" w:color="231F20"/>
            </w:tcBorders>
            <w:shd w:val="clear" w:color="auto" w:fill="FDFDFC"/>
          </w:tcPr>
          <w:p>
            <w:pPr>
              <w:spacing w:after="0"/>
              <w:rPr>
                <w:sz w:val="13"/>
                <w:szCs w:val="13"/>
                <w:color w:val="auto"/>
              </w:rPr>
            </w:pPr>
          </w:p>
        </w:tc>
        <w:tc>
          <w:tcPr>
            <w:tcW w:w="860" w:type="dxa"/>
            <w:vAlign w:val="bottom"/>
            <w:tcBorders>
              <w:top w:val="single" w:sz="8" w:color="231F20"/>
            </w:tcBorders>
            <w:vMerge w:val="restart"/>
            <w:shd w:val="clear" w:color="auto" w:fill="FDFDFC"/>
          </w:tcPr>
          <w:p>
            <w:pPr>
              <w:jc w:val="right"/>
              <w:spacing w:after="0"/>
              <w:rPr>
                <w:sz w:val="20"/>
                <w:szCs w:val="20"/>
                <w:color w:val="auto"/>
              </w:rPr>
            </w:pPr>
            <w:r>
              <w:rPr>
                <w:rFonts w:ascii="Times New Roman" w:cs="Times New Roman" w:eastAsia="Times New Roman" w:hAnsi="Times New Roman"/>
                <w:sz w:val="15"/>
                <w:szCs w:val="15"/>
                <w:color w:val="231F20"/>
              </w:rPr>
              <w:t>950,000</w:t>
            </w:r>
          </w:p>
        </w:tc>
        <w:tc>
          <w:tcPr>
            <w:tcW w:w="120" w:type="dxa"/>
            <w:vAlign w:val="bottom"/>
            <w:tcBorders>
              <w:top w:val="single" w:sz="8" w:color="FDFDFC"/>
            </w:tcBorders>
            <w:shd w:val="clear" w:color="auto" w:fill="FDFDFC"/>
          </w:tcPr>
          <w:p>
            <w:pPr>
              <w:spacing w:after="0"/>
              <w:rPr>
                <w:sz w:val="13"/>
                <w:szCs w:val="13"/>
                <w:color w:val="auto"/>
              </w:rPr>
            </w:pPr>
          </w:p>
        </w:tc>
        <w:tc>
          <w:tcPr>
            <w:tcW w:w="80" w:type="dxa"/>
            <w:vAlign w:val="bottom"/>
            <w:tcBorders>
              <w:top w:val="single" w:sz="8" w:color="FDFDFC"/>
            </w:tcBorders>
            <w:shd w:val="clear" w:color="auto" w:fill="FDFDFC"/>
          </w:tcPr>
          <w:p>
            <w:pPr>
              <w:spacing w:after="0"/>
              <w:rPr>
                <w:sz w:val="13"/>
                <w:szCs w:val="13"/>
                <w:color w:val="auto"/>
              </w:rPr>
            </w:pPr>
          </w:p>
        </w:tc>
        <w:tc>
          <w:tcPr>
            <w:tcW w:w="20" w:type="dxa"/>
            <w:vAlign w:val="bottom"/>
            <w:tcBorders>
              <w:top w:val="single" w:sz="8" w:color="231F20"/>
            </w:tcBorders>
            <w:shd w:val="clear" w:color="auto" w:fill="FDFDFC"/>
          </w:tcPr>
          <w:p>
            <w:pPr>
              <w:spacing w:after="0"/>
              <w:rPr>
                <w:sz w:val="13"/>
                <w:szCs w:val="13"/>
                <w:color w:val="auto"/>
              </w:rPr>
            </w:pPr>
          </w:p>
        </w:tc>
        <w:tc>
          <w:tcPr>
            <w:tcW w:w="140" w:type="dxa"/>
            <w:vAlign w:val="bottom"/>
            <w:tcBorders>
              <w:top w:val="single" w:sz="8" w:color="231F20"/>
            </w:tcBorders>
            <w:shd w:val="clear" w:color="auto" w:fill="FDFDFC"/>
          </w:tcPr>
          <w:p>
            <w:pPr>
              <w:spacing w:after="0"/>
              <w:rPr>
                <w:sz w:val="13"/>
                <w:szCs w:val="13"/>
                <w:color w:val="auto"/>
              </w:rPr>
            </w:pPr>
          </w:p>
        </w:tc>
        <w:tc>
          <w:tcPr>
            <w:tcW w:w="840" w:type="dxa"/>
            <w:vAlign w:val="bottom"/>
            <w:tcBorders>
              <w:top w:val="single" w:sz="8" w:color="231F20"/>
            </w:tcBorders>
            <w:gridSpan w:val="2"/>
            <w:vMerge w:val="restart"/>
            <w:shd w:val="clear" w:color="auto" w:fill="FDFDFC"/>
          </w:tcPr>
          <w:p>
            <w:pPr>
              <w:jc w:val="right"/>
              <w:ind w:right="20"/>
              <w:spacing w:after="0"/>
              <w:rPr>
                <w:sz w:val="20"/>
                <w:szCs w:val="20"/>
                <w:color w:val="auto"/>
              </w:rPr>
            </w:pPr>
            <w:r>
              <w:rPr>
                <w:rFonts w:ascii="Times New Roman" w:cs="Times New Roman" w:eastAsia="Times New Roman" w:hAnsi="Times New Roman"/>
                <w:sz w:val="15"/>
                <w:szCs w:val="15"/>
                <w:color w:val="231F20"/>
              </w:rPr>
              <w:t>(24,238</w:t>
            </w:r>
          </w:p>
        </w:tc>
        <w:tc>
          <w:tcPr>
            <w:tcW w:w="100" w:type="dxa"/>
            <w:vAlign w:val="bottom"/>
            <w:tcBorders>
              <w:top w:val="single" w:sz="8" w:color="FDFDFC"/>
            </w:tcBorders>
            <w:gridSpan w:val="2"/>
            <w:vMerge w:val="restart"/>
            <w:shd w:val="clear" w:color="auto" w:fill="FDFDFC"/>
          </w:tcPr>
          <w:p>
            <w:pPr>
              <w:spacing w:after="0"/>
              <w:rPr>
                <w:sz w:val="20"/>
                <w:szCs w:val="20"/>
                <w:color w:val="auto"/>
              </w:rPr>
            </w:pPr>
            <w:r>
              <w:rPr>
                <w:rFonts w:ascii="Times New Roman" w:cs="Times New Roman" w:eastAsia="Times New Roman" w:hAnsi="Times New Roman"/>
                <w:sz w:val="15"/>
                <w:szCs w:val="15"/>
                <w:color w:val="231F20"/>
              </w:rPr>
              <w:t>)</w:t>
            </w:r>
          </w:p>
        </w:tc>
        <w:tc>
          <w:tcPr>
            <w:tcW w:w="120" w:type="dxa"/>
            <w:vAlign w:val="bottom"/>
            <w:tcBorders>
              <w:top w:val="single" w:sz="8" w:color="FDFDFC"/>
            </w:tcBorders>
            <w:shd w:val="clear" w:color="auto" w:fill="FDFDFC"/>
          </w:tcPr>
          <w:p>
            <w:pPr>
              <w:spacing w:after="0"/>
              <w:rPr>
                <w:sz w:val="13"/>
                <w:szCs w:val="13"/>
                <w:color w:val="auto"/>
              </w:rPr>
            </w:pPr>
          </w:p>
        </w:tc>
        <w:tc>
          <w:tcPr>
            <w:tcW w:w="60" w:type="dxa"/>
            <w:vAlign w:val="bottom"/>
            <w:tcBorders>
              <w:top w:val="single" w:sz="8" w:color="231F20"/>
            </w:tcBorders>
            <w:shd w:val="clear" w:color="auto" w:fill="FDFDFC"/>
          </w:tcPr>
          <w:p>
            <w:pPr>
              <w:spacing w:after="0"/>
              <w:rPr>
                <w:sz w:val="13"/>
                <w:szCs w:val="13"/>
                <w:color w:val="auto"/>
              </w:rPr>
            </w:pPr>
          </w:p>
        </w:tc>
        <w:tc>
          <w:tcPr>
            <w:tcW w:w="920" w:type="dxa"/>
            <w:vAlign w:val="bottom"/>
            <w:tcBorders>
              <w:top w:val="single" w:sz="8" w:color="231F20"/>
            </w:tcBorders>
            <w:vMerge w:val="restart"/>
            <w:shd w:val="clear" w:color="auto" w:fill="FDFDFC"/>
          </w:tcPr>
          <w:p>
            <w:pPr>
              <w:ind w:left="740"/>
              <w:spacing w:after="0"/>
              <w:rPr>
                <w:sz w:val="20"/>
                <w:szCs w:val="20"/>
                <w:color w:val="auto"/>
              </w:rPr>
            </w:pPr>
            <w:r>
              <w:rPr>
                <w:rFonts w:ascii="Times New Roman" w:cs="Times New Roman" w:eastAsia="Times New Roman" w:hAnsi="Times New Roman"/>
                <w:sz w:val="15"/>
                <w:szCs w:val="15"/>
                <w:color w:val="231F20"/>
              </w:rPr>
              <w:t>—</w:t>
            </w:r>
          </w:p>
        </w:tc>
        <w:tc>
          <w:tcPr>
            <w:tcW w:w="220" w:type="dxa"/>
            <w:vAlign w:val="bottom"/>
            <w:tcBorders>
              <w:top w:val="single" w:sz="8" w:color="FDFDFC"/>
            </w:tcBorders>
            <w:shd w:val="clear" w:color="auto" w:fill="FDFDFC"/>
          </w:tcPr>
          <w:p>
            <w:pPr>
              <w:spacing w:after="0"/>
              <w:rPr>
                <w:sz w:val="13"/>
                <w:szCs w:val="13"/>
                <w:color w:val="auto"/>
              </w:rPr>
            </w:pPr>
          </w:p>
        </w:tc>
        <w:tc>
          <w:tcPr>
            <w:tcW w:w="160" w:type="dxa"/>
            <w:vAlign w:val="bottom"/>
            <w:tcBorders>
              <w:top w:val="single" w:sz="8" w:color="231F20"/>
            </w:tcBorders>
            <w:shd w:val="clear" w:color="auto" w:fill="FDFDFC"/>
          </w:tcPr>
          <w:p>
            <w:pPr>
              <w:spacing w:after="0"/>
              <w:rPr>
                <w:sz w:val="13"/>
                <w:szCs w:val="13"/>
                <w:color w:val="auto"/>
              </w:rPr>
            </w:pPr>
          </w:p>
        </w:tc>
        <w:tc>
          <w:tcPr>
            <w:tcW w:w="880" w:type="dxa"/>
            <w:vAlign w:val="bottom"/>
            <w:tcBorders>
              <w:top w:val="single" w:sz="8" w:color="231F20"/>
            </w:tcBorders>
            <w:gridSpan w:val="3"/>
            <w:vMerge w:val="restart"/>
            <w:shd w:val="clear" w:color="auto" w:fill="FDFDFC"/>
          </w:tcPr>
          <w:p>
            <w:pPr>
              <w:jc w:val="right"/>
              <w:spacing w:after="0"/>
              <w:rPr>
                <w:sz w:val="20"/>
                <w:szCs w:val="20"/>
                <w:color w:val="auto"/>
              </w:rPr>
            </w:pPr>
            <w:r>
              <w:rPr>
                <w:rFonts w:ascii="Times New Roman" w:cs="Times New Roman" w:eastAsia="Times New Roman" w:hAnsi="Times New Roman"/>
                <w:sz w:val="15"/>
                <w:szCs w:val="15"/>
                <w:color w:val="231F20"/>
              </w:rPr>
              <w:t>(2,807</w:t>
            </w:r>
          </w:p>
        </w:tc>
        <w:tc>
          <w:tcPr>
            <w:tcW w:w="100" w:type="dxa"/>
            <w:vAlign w:val="bottom"/>
            <w:tcBorders>
              <w:top w:val="single" w:sz="8" w:color="FDFDFC"/>
            </w:tcBorders>
            <w:vMerge w:val="restart"/>
            <w:shd w:val="clear" w:color="auto" w:fill="FDFDFC"/>
          </w:tcPr>
          <w:p>
            <w:pPr>
              <w:jc w:val="right"/>
              <w:spacing w:after="0"/>
              <w:rPr>
                <w:sz w:val="20"/>
                <w:szCs w:val="20"/>
                <w:color w:val="auto"/>
              </w:rPr>
            </w:pPr>
            <w:r>
              <w:rPr>
                <w:rFonts w:ascii="Times New Roman" w:cs="Times New Roman" w:eastAsia="Times New Roman" w:hAnsi="Times New Roman"/>
                <w:sz w:val="15"/>
                <w:szCs w:val="15"/>
                <w:color w:val="231F20"/>
                <w:w w:val="79"/>
              </w:rPr>
              <w:t>)</w:t>
            </w:r>
          </w:p>
        </w:tc>
        <w:tc>
          <w:tcPr>
            <w:tcW w:w="0" w:type="dxa"/>
            <w:vAlign w:val="bottom"/>
          </w:tcPr>
          <w:p>
            <w:pPr>
              <w:spacing w:after="0"/>
              <w:rPr>
                <w:sz w:val="1"/>
                <w:szCs w:val="1"/>
                <w:color w:val="auto"/>
              </w:rPr>
            </w:pPr>
          </w:p>
        </w:tc>
      </w:tr>
      <w:tr>
        <w:trPr>
          <w:trHeight w:val="189"/>
        </w:trPr>
        <w:tc>
          <w:tcPr>
            <w:tcW w:w="1560" w:type="dxa"/>
            <w:vAlign w:val="bottom"/>
            <w:shd w:val="clear" w:color="auto" w:fill="FDFDFC"/>
          </w:tcPr>
          <w:p>
            <w:pPr>
              <w:spacing w:after="0"/>
              <w:rPr>
                <w:sz w:val="20"/>
                <w:szCs w:val="20"/>
                <w:color w:val="auto"/>
              </w:rPr>
            </w:pPr>
            <w:r>
              <w:rPr>
                <w:rFonts w:ascii="Times New Roman" w:cs="Times New Roman" w:eastAsia="Times New Roman" w:hAnsi="Times New Roman"/>
                <w:sz w:val="15"/>
                <w:szCs w:val="15"/>
                <w:color w:val="231F20"/>
              </w:rPr>
              <w:t>Swaps</w:t>
            </w:r>
          </w:p>
        </w:tc>
        <w:tc>
          <w:tcPr>
            <w:tcW w:w="340" w:type="dxa"/>
            <w:vAlign w:val="bottom"/>
            <w:shd w:val="clear" w:color="auto" w:fill="FDFDFC"/>
          </w:tcPr>
          <w:p>
            <w:pPr>
              <w:spacing w:after="0"/>
              <w:rPr>
                <w:sz w:val="16"/>
                <w:szCs w:val="16"/>
                <w:color w:val="auto"/>
              </w:rPr>
            </w:pPr>
          </w:p>
        </w:tc>
        <w:tc>
          <w:tcPr>
            <w:tcW w:w="1100" w:type="dxa"/>
            <w:vAlign w:val="bottom"/>
            <w:shd w:val="clear" w:color="auto" w:fill="FDFDFC"/>
          </w:tcPr>
          <w:p>
            <w:pPr>
              <w:spacing w:after="0"/>
              <w:rPr>
                <w:sz w:val="16"/>
                <w:szCs w:val="16"/>
                <w:color w:val="auto"/>
              </w:rPr>
            </w:pPr>
          </w:p>
        </w:tc>
        <w:tc>
          <w:tcPr>
            <w:tcW w:w="120" w:type="dxa"/>
            <w:vAlign w:val="bottom"/>
            <w:shd w:val="clear" w:color="auto" w:fill="FDFDFC"/>
          </w:tcPr>
          <w:p>
            <w:pPr>
              <w:spacing w:after="0"/>
              <w:rPr>
                <w:sz w:val="16"/>
                <w:szCs w:val="16"/>
                <w:color w:val="auto"/>
              </w:rPr>
            </w:pPr>
          </w:p>
        </w:tc>
        <w:tc>
          <w:tcPr>
            <w:tcW w:w="60" w:type="dxa"/>
            <w:vAlign w:val="bottom"/>
            <w:shd w:val="clear" w:color="auto" w:fill="FDFDFC"/>
          </w:tcPr>
          <w:p>
            <w:pPr>
              <w:spacing w:after="0"/>
              <w:rPr>
                <w:sz w:val="16"/>
                <w:szCs w:val="16"/>
                <w:color w:val="auto"/>
              </w:rPr>
            </w:pPr>
          </w:p>
        </w:tc>
        <w:tc>
          <w:tcPr>
            <w:tcW w:w="660" w:type="dxa"/>
            <w:vAlign w:val="bottom"/>
            <w:shd w:val="clear" w:color="auto" w:fill="FDFDFC"/>
          </w:tcPr>
          <w:p>
            <w:pPr>
              <w:spacing w:after="0"/>
              <w:rPr>
                <w:sz w:val="16"/>
                <w:szCs w:val="16"/>
                <w:color w:val="auto"/>
              </w:rPr>
            </w:pPr>
          </w:p>
        </w:tc>
        <w:tc>
          <w:tcPr>
            <w:tcW w:w="360" w:type="dxa"/>
            <w:vAlign w:val="bottom"/>
            <w:shd w:val="clear" w:color="auto" w:fill="FDFDFC"/>
          </w:tcPr>
          <w:p>
            <w:pPr>
              <w:spacing w:after="0"/>
              <w:rPr>
                <w:sz w:val="16"/>
                <w:szCs w:val="16"/>
                <w:color w:val="auto"/>
              </w:rPr>
            </w:pPr>
          </w:p>
        </w:tc>
        <w:tc>
          <w:tcPr>
            <w:tcW w:w="120" w:type="dxa"/>
            <w:vAlign w:val="bottom"/>
            <w:shd w:val="clear" w:color="auto" w:fill="FDFDFC"/>
          </w:tcPr>
          <w:p>
            <w:pPr>
              <w:spacing w:after="0"/>
              <w:rPr>
                <w:sz w:val="16"/>
                <w:szCs w:val="16"/>
                <w:color w:val="auto"/>
              </w:rPr>
            </w:pPr>
          </w:p>
        </w:tc>
        <w:tc>
          <w:tcPr>
            <w:tcW w:w="260" w:type="dxa"/>
            <w:vAlign w:val="bottom"/>
            <w:shd w:val="clear" w:color="auto" w:fill="FDFDFC"/>
          </w:tcPr>
          <w:p>
            <w:pPr>
              <w:spacing w:after="0"/>
              <w:rPr>
                <w:sz w:val="16"/>
                <w:szCs w:val="16"/>
                <w:color w:val="auto"/>
              </w:rPr>
            </w:pPr>
          </w:p>
        </w:tc>
        <w:tc>
          <w:tcPr>
            <w:tcW w:w="820" w:type="dxa"/>
            <w:vAlign w:val="bottom"/>
            <w:shd w:val="clear" w:color="auto" w:fill="FDFDFC"/>
          </w:tcPr>
          <w:p>
            <w:pPr>
              <w:spacing w:after="0"/>
              <w:rPr>
                <w:sz w:val="16"/>
                <w:szCs w:val="16"/>
                <w:color w:val="auto"/>
              </w:rPr>
            </w:pPr>
          </w:p>
        </w:tc>
        <w:tc>
          <w:tcPr>
            <w:tcW w:w="120" w:type="dxa"/>
            <w:vAlign w:val="bottom"/>
            <w:shd w:val="clear" w:color="auto" w:fill="FDFDFC"/>
          </w:tcPr>
          <w:p>
            <w:pPr>
              <w:spacing w:after="0"/>
              <w:rPr>
                <w:sz w:val="16"/>
                <w:szCs w:val="16"/>
                <w:color w:val="auto"/>
              </w:rPr>
            </w:pPr>
          </w:p>
        </w:tc>
        <w:tc>
          <w:tcPr>
            <w:tcW w:w="140" w:type="dxa"/>
            <w:vAlign w:val="bottom"/>
            <w:shd w:val="clear" w:color="auto" w:fill="FDFDFC"/>
          </w:tcPr>
          <w:p>
            <w:pPr>
              <w:spacing w:after="0"/>
              <w:rPr>
                <w:sz w:val="16"/>
                <w:szCs w:val="16"/>
                <w:color w:val="auto"/>
              </w:rPr>
            </w:pPr>
          </w:p>
        </w:tc>
        <w:tc>
          <w:tcPr>
            <w:tcW w:w="860" w:type="dxa"/>
            <w:vAlign w:val="bottom"/>
            <w:vMerge w:val="continue"/>
            <w:shd w:val="clear" w:color="auto" w:fill="FDFDFC"/>
          </w:tcPr>
          <w:p>
            <w:pPr>
              <w:spacing w:after="0"/>
              <w:rPr>
                <w:sz w:val="16"/>
                <w:szCs w:val="16"/>
                <w:color w:val="auto"/>
              </w:rPr>
            </w:pPr>
          </w:p>
        </w:tc>
        <w:tc>
          <w:tcPr>
            <w:tcW w:w="120" w:type="dxa"/>
            <w:vAlign w:val="bottom"/>
            <w:shd w:val="clear" w:color="auto" w:fill="FDFDFC"/>
          </w:tcPr>
          <w:p>
            <w:pPr>
              <w:spacing w:after="0"/>
              <w:rPr>
                <w:sz w:val="16"/>
                <w:szCs w:val="16"/>
                <w:color w:val="auto"/>
              </w:rPr>
            </w:pPr>
          </w:p>
        </w:tc>
        <w:tc>
          <w:tcPr>
            <w:tcW w:w="80" w:type="dxa"/>
            <w:vAlign w:val="bottom"/>
            <w:shd w:val="clear" w:color="auto" w:fill="FDFDFC"/>
          </w:tcPr>
          <w:p>
            <w:pPr>
              <w:spacing w:after="0"/>
              <w:rPr>
                <w:sz w:val="16"/>
                <w:szCs w:val="16"/>
                <w:color w:val="auto"/>
              </w:rPr>
            </w:pPr>
          </w:p>
        </w:tc>
        <w:tc>
          <w:tcPr>
            <w:tcW w:w="20" w:type="dxa"/>
            <w:vAlign w:val="bottom"/>
            <w:shd w:val="clear" w:color="auto" w:fill="FDFDFC"/>
          </w:tcPr>
          <w:p>
            <w:pPr>
              <w:spacing w:after="0"/>
              <w:rPr>
                <w:sz w:val="16"/>
                <w:szCs w:val="16"/>
                <w:color w:val="auto"/>
              </w:rPr>
            </w:pPr>
          </w:p>
        </w:tc>
        <w:tc>
          <w:tcPr>
            <w:tcW w:w="140" w:type="dxa"/>
            <w:vAlign w:val="bottom"/>
            <w:shd w:val="clear" w:color="auto" w:fill="FDFDFC"/>
          </w:tcPr>
          <w:p>
            <w:pPr>
              <w:spacing w:after="0"/>
              <w:rPr>
                <w:sz w:val="16"/>
                <w:szCs w:val="16"/>
                <w:color w:val="auto"/>
              </w:rPr>
            </w:pPr>
          </w:p>
        </w:tc>
        <w:tc>
          <w:tcPr>
            <w:tcW w:w="840" w:type="dxa"/>
            <w:vAlign w:val="bottom"/>
            <w:gridSpan w:val="2"/>
            <w:vMerge w:val="continue"/>
            <w:shd w:val="clear" w:color="auto" w:fill="FDFDFC"/>
          </w:tcPr>
          <w:p>
            <w:pPr>
              <w:spacing w:after="0"/>
              <w:rPr>
                <w:sz w:val="16"/>
                <w:szCs w:val="16"/>
                <w:color w:val="auto"/>
              </w:rPr>
            </w:pPr>
          </w:p>
        </w:tc>
        <w:tc>
          <w:tcPr>
            <w:tcW w:w="100" w:type="dxa"/>
            <w:vAlign w:val="bottom"/>
            <w:gridSpan w:val="2"/>
            <w:vMerge w:val="continue"/>
            <w:shd w:val="clear" w:color="auto" w:fill="FDFDFC"/>
          </w:tcPr>
          <w:p>
            <w:pPr>
              <w:spacing w:after="0"/>
              <w:rPr>
                <w:sz w:val="16"/>
                <w:szCs w:val="16"/>
                <w:color w:val="auto"/>
              </w:rPr>
            </w:pPr>
          </w:p>
        </w:tc>
        <w:tc>
          <w:tcPr>
            <w:tcW w:w="120" w:type="dxa"/>
            <w:vAlign w:val="bottom"/>
            <w:shd w:val="clear" w:color="auto" w:fill="FDFDFC"/>
          </w:tcPr>
          <w:p>
            <w:pPr>
              <w:spacing w:after="0"/>
              <w:rPr>
                <w:sz w:val="16"/>
                <w:szCs w:val="16"/>
                <w:color w:val="auto"/>
              </w:rPr>
            </w:pPr>
          </w:p>
        </w:tc>
        <w:tc>
          <w:tcPr>
            <w:tcW w:w="60" w:type="dxa"/>
            <w:vAlign w:val="bottom"/>
            <w:shd w:val="clear" w:color="auto" w:fill="FDFDFC"/>
          </w:tcPr>
          <w:p>
            <w:pPr>
              <w:spacing w:after="0"/>
              <w:rPr>
                <w:sz w:val="16"/>
                <w:szCs w:val="16"/>
                <w:color w:val="auto"/>
              </w:rPr>
            </w:pPr>
          </w:p>
        </w:tc>
        <w:tc>
          <w:tcPr>
            <w:tcW w:w="920" w:type="dxa"/>
            <w:vAlign w:val="bottom"/>
            <w:vMerge w:val="continue"/>
            <w:shd w:val="clear" w:color="auto" w:fill="FDFDFC"/>
          </w:tcPr>
          <w:p>
            <w:pPr>
              <w:spacing w:after="0"/>
              <w:rPr>
                <w:sz w:val="16"/>
                <w:szCs w:val="16"/>
                <w:color w:val="auto"/>
              </w:rPr>
            </w:pPr>
          </w:p>
        </w:tc>
        <w:tc>
          <w:tcPr>
            <w:tcW w:w="220" w:type="dxa"/>
            <w:vAlign w:val="bottom"/>
            <w:shd w:val="clear" w:color="auto" w:fill="FDFDFC"/>
          </w:tcPr>
          <w:p>
            <w:pPr>
              <w:spacing w:after="0"/>
              <w:rPr>
                <w:sz w:val="16"/>
                <w:szCs w:val="16"/>
                <w:color w:val="auto"/>
              </w:rPr>
            </w:pPr>
          </w:p>
        </w:tc>
        <w:tc>
          <w:tcPr>
            <w:tcW w:w="160" w:type="dxa"/>
            <w:vAlign w:val="bottom"/>
            <w:shd w:val="clear" w:color="auto" w:fill="FDFDFC"/>
          </w:tcPr>
          <w:p>
            <w:pPr>
              <w:spacing w:after="0"/>
              <w:rPr>
                <w:sz w:val="16"/>
                <w:szCs w:val="16"/>
                <w:color w:val="auto"/>
              </w:rPr>
            </w:pPr>
          </w:p>
        </w:tc>
        <w:tc>
          <w:tcPr>
            <w:tcW w:w="880" w:type="dxa"/>
            <w:vAlign w:val="bottom"/>
            <w:gridSpan w:val="3"/>
            <w:vMerge w:val="continue"/>
            <w:shd w:val="clear" w:color="auto" w:fill="FDFDFC"/>
          </w:tcPr>
          <w:p>
            <w:pPr>
              <w:spacing w:after="0"/>
              <w:rPr>
                <w:sz w:val="16"/>
                <w:szCs w:val="16"/>
                <w:color w:val="auto"/>
              </w:rPr>
            </w:pPr>
          </w:p>
        </w:tc>
        <w:tc>
          <w:tcPr>
            <w:tcW w:w="100" w:type="dxa"/>
            <w:vAlign w:val="bottom"/>
            <w:vMerge w:val="continue"/>
            <w:shd w:val="clear" w:color="auto" w:fill="FDFDFC"/>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1560" w:type="dxa"/>
            <w:vAlign w:val="bottom"/>
            <w:tcBorders>
              <w:bottom w:val="single" w:sz="8" w:color="FDFDFC"/>
            </w:tcBorders>
            <w:shd w:val="clear" w:color="auto" w:fill="D0EBF2"/>
          </w:tcPr>
          <w:p>
            <w:pPr>
              <w:spacing w:after="0"/>
              <w:rPr>
                <w:sz w:val="20"/>
                <w:szCs w:val="20"/>
                <w:color w:val="auto"/>
              </w:rPr>
            </w:pPr>
            <w:r>
              <w:rPr>
                <w:rFonts w:ascii="Times New Roman" w:cs="Times New Roman" w:eastAsia="Times New Roman" w:hAnsi="Times New Roman"/>
                <w:sz w:val="15"/>
                <w:szCs w:val="15"/>
                <w:color w:val="231F20"/>
              </w:rPr>
              <w:t>Cash collateral</w:t>
            </w:r>
          </w:p>
        </w:tc>
        <w:tc>
          <w:tcPr>
            <w:tcW w:w="340" w:type="dxa"/>
            <w:vAlign w:val="bottom"/>
            <w:tcBorders>
              <w:bottom w:val="single" w:sz="8" w:color="FDFDFC"/>
            </w:tcBorders>
            <w:shd w:val="clear" w:color="auto" w:fill="D0EBF2"/>
          </w:tcPr>
          <w:p>
            <w:pPr>
              <w:spacing w:after="0"/>
              <w:rPr>
                <w:sz w:val="16"/>
                <w:szCs w:val="16"/>
                <w:color w:val="auto"/>
              </w:rPr>
            </w:pPr>
          </w:p>
        </w:tc>
        <w:tc>
          <w:tcPr>
            <w:tcW w:w="1100" w:type="dxa"/>
            <w:vAlign w:val="bottom"/>
            <w:tcBorders>
              <w:bottom w:val="single" w:sz="8" w:color="FDFDFC"/>
            </w:tcBorders>
            <w:shd w:val="clear" w:color="auto" w:fill="D0EBF2"/>
          </w:tcPr>
          <w:p>
            <w:pPr>
              <w:spacing w:after="0"/>
              <w:rPr>
                <w:sz w:val="16"/>
                <w:szCs w:val="16"/>
                <w:color w:val="auto"/>
              </w:rPr>
            </w:pPr>
          </w:p>
        </w:tc>
        <w:tc>
          <w:tcPr>
            <w:tcW w:w="120" w:type="dxa"/>
            <w:vAlign w:val="bottom"/>
            <w:tcBorders>
              <w:bottom w:val="single" w:sz="8" w:color="FDFDFC"/>
            </w:tcBorders>
            <w:shd w:val="clear" w:color="auto" w:fill="D0EBF2"/>
          </w:tcPr>
          <w:p>
            <w:pPr>
              <w:spacing w:after="0"/>
              <w:rPr>
                <w:sz w:val="16"/>
                <w:szCs w:val="16"/>
                <w:color w:val="auto"/>
              </w:rPr>
            </w:pPr>
          </w:p>
        </w:tc>
        <w:tc>
          <w:tcPr>
            <w:tcW w:w="60" w:type="dxa"/>
            <w:vAlign w:val="bottom"/>
            <w:tcBorders>
              <w:bottom w:val="single" w:sz="8" w:color="FDFDFC"/>
            </w:tcBorders>
            <w:shd w:val="clear" w:color="auto" w:fill="D0EBF2"/>
          </w:tcPr>
          <w:p>
            <w:pPr>
              <w:spacing w:after="0"/>
              <w:rPr>
                <w:sz w:val="16"/>
                <w:szCs w:val="16"/>
                <w:color w:val="auto"/>
              </w:rPr>
            </w:pPr>
          </w:p>
        </w:tc>
        <w:tc>
          <w:tcPr>
            <w:tcW w:w="660" w:type="dxa"/>
            <w:vAlign w:val="bottom"/>
            <w:tcBorders>
              <w:bottom w:val="single" w:sz="8" w:color="FDFDFC"/>
            </w:tcBorders>
            <w:shd w:val="clear" w:color="auto" w:fill="D0EBF2"/>
          </w:tcPr>
          <w:p>
            <w:pPr>
              <w:spacing w:after="0"/>
              <w:rPr>
                <w:sz w:val="16"/>
                <w:szCs w:val="16"/>
                <w:color w:val="auto"/>
              </w:rPr>
            </w:pPr>
          </w:p>
        </w:tc>
        <w:tc>
          <w:tcPr>
            <w:tcW w:w="360" w:type="dxa"/>
            <w:vAlign w:val="bottom"/>
            <w:tcBorders>
              <w:bottom w:val="single" w:sz="8" w:color="FDFDFC"/>
            </w:tcBorders>
            <w:shd w:val="clear" w:color="auto" w:fill="D0EBF2"/>
          </w:tcPr>
          <w:p>
            <w:pPr>
              <w:spacing w:after="0"/>
              <w:rPr>
                <w:sz w:val="16"/>
                <w:szCs w:val="16"/>
                <w:color w:val="auto"/>
              </w:rPr>
            </w:pPr>
          </w:p>
        </w:tc>
        <w:tc>
          <w:tcPr>
            <w:tcW w:w="120" w:type="dxa"/>
            <w:vAlign w:val="bottom"/>
            <w:tcBorders>
              <w:bottom w:val="single" w:sz="8" w:color="FDFDFC"/>
            </w:tcBorders>
            <w:shd w:val="clear" w:color="auto" w:fill="D0EBF2"/>
          </w:tcPr>
          <w:p>
            <w:pPr>
              <w:spacing w:after="0"/>
              <w:rPr>
                <w:sz w:val="16"/>
                <w:szCs w:val="16"/>
                <w:color w:val="auto"/>
              </w:rPr>
            </w:pPr>
          </w:p>
        </w:tc>
        <w:tc>
          <w:tcPr>
            <w:tcW w:w="260" w:type="dxa"/>
            <w:vAlign w:val="bottom"/>
            <w:tcBorders>
              <w:bottom w:val="single" w:sz="8" w:color="FDFDFC"/>
            </w:tcBorders>
            <w:shd w:val="clear" w:color="auto" w:fill="D0EBF2"/>
          </w:tcPr>
          <w:p>
            <w:pPr>
              <w:spacing w:after="0"/>
              <w:rPr>
                <w:sz w:val="16"/>
                <w:szCs w:val="16"/>
                <w:color w:val="auto"/>
              </w:rPr>
            </w:pPr>
          </w:p>
        </w:tc>
        <w:tc>
          <w:tcPr>
            <w:tcW w:w="820" w:type="dxa"/>
            <w:vAlign w:val="bottom"/>
            <w:tcBorders>
              <w:bottom w:val="single" w:sz="8" w:color="FDFDFC"/>
            </w:tcBorders>
            <w:shd w:val="clear" w:color="auto" w:fill="D0EBF2"/>
          </w:tcPr>
          <w:p>
            <w:pPr>
              <w:spacing w:after="0"/>
              <w:rPr>
                <w:sz w:val="16"/>
                <w:szCs w:val="16"/>
                <w:color w:val="auto"/>
              </w:rPr>
            </w:pPr>
          </w:p>
        </w:tc>
        <w:tc>
          <w:tcPr>
            <w:tcW w:w="120" w:type="dxa"/>
            <w:vAlign w:val="bottom"/>
            <w:tcBorders>
              <w:bottom w:val="single" w:sz="8" w:color="FDFDFC"/>
            </w:tcBorders>
            <w:shd w:val="clear" w:color="auto" w:fill="D0EBF2"/>
          </w:tcPr>
          <w:p>
            <w:pPr>
              <w:spacing w:after="0"/>
              <w:rPr>
                <w:sz w:val="16"/>
                <w:szCs w:val="16"/>
                <w:color w:val="auto"/>
              </w:rPr>
            </w:pPr>
          </w:p>
        </w:tc>
        <w:tc>
          <w:tcPr>
            <w:tcW w:w="140" w:type="dxa"/>
            <w:vAlign w:val="bottom"/>
            <w:tcBorders>
              <w:bottom w:val="single" w:sz="8" w:color="231F20"/>
            </w:tcBorders>
            <w:shd w:val="clear" w:color="auto" w:fill="D0EBF2"/>
          </w:tcPr>
          <w:p>
            <w:pPr>
              <w:spacing w:after="0"/>
              <w:rPr>
                <w:sz w:val="16"/>
                <w:szCs w:val="16"/>
                <w:color w:val="auto"/>
              </w:rPr>
            </w:pPr>
          </w:p>
        </w:tc>
        <w:tc>
          <w:tcPr>
            <w:tcW w:w="860" w:type="dxa"/>
            <w:vAlign w:val="bottom"/>
            <w:tcBorders>
              <w:bottom w:val="single" w:sz="8" w:color="231F20"/>
            </w:tcBorders>
            <w:shd w:val="clear" w:color="auto" w:fill="D0EBF2"/>
          </w:tcPr>
          <w:p>
            <w:pPr>
              <w:jc w:val="right"/>
              <w:spacing w:after="0"/>
              <w:rPr>
                <w:sz w:val="20"/>
                <w:szCs w:val="20"/>
                <w:color w:val="auto"/>
              </w:rPr>
            </w:pPr>
            <w:r>
              <w:rPr>
                <w:rFonts w:ascii="Times New Roman" w:cs="Times New Roman" w:eastAsia="Times New Roman" w:hAnsi="Times New Roman"/>
                <w:sz w:val="15"/>
                <w:szCs w:val="15"/>
                <w:color w:val="231F20"/>
              </w:rPr>
              <w:t>—</w:t>
            </w:r>
          </w:p>
        </w:tc>
        <w:tc>
          <w:tcPr>
            <w:tcW w:w="120" w:type="dxa"/>
            <w:vAlign w:val="bottom"/>
            <w:tcBorders>
              <w:bottom w:val="single" w:sz="8" w:color="FDFDFC"/>
            </w:tcBorders>
            <w:shd w:val="clear" w:color="auto" w:fill="D0EBF2"/>
          </w:tcPr>
          <w:p>
            <w:pPr>
              <w:spacing w:after="0"/>
              <w:rPr>
                <w:sz w:val="16"/>
                <w:szCs w:val="16"/>
                <w:color w:val="auto"/>
              </w:rPr>
            </w:pPr>
          </w:p>
        </w:tc>
        <w:tc>
          <w:tcPr>
            <w:tcW w:w="80" w:type="dxa"/>
            <w:vAlign w:val="bottom"/>
            <w:tcBorders>
              <w:bottom w:val="single" w:sz="8" w:color="FDFDFC"/>
            </w:tcBorders>
            <w:shd w:val="clear" w:color="auto" w:fill="D0EBF2"/>
          </w:tcPr>
          <w:p>
            <w:pPr>
              <w:spacing w:after="0"/>
              <w:rPr>
                <w:sz w:val="16"/>
                <w:szCs w:val="16"/>
                <w:color w:val="auto"/>
              </w:rPr>
            </w:pPr>
          </w:p>
        </w:tc>
        <w:tc>
          <w:tcPr>
            <w:tcW w:w="20" w:type="dxa"/>
            <w:vAlign w:val="bottom"/>
            <w:tcBorders>
              <w:bottom w:val="single" w:sz="8" w:color="231F20"/>
            </w:tcBorders>
            <w:shd w:val="clear" w:color="auto" w:fill="D0EBF2"/>
          </w:tcPr>
          <w:p>
            <w:pPr>
              <w:spacing w:after="0"/>
              <w:rPr>
                <w:sz w:val="16"/>
                <w:szCs w:val="16"/>
                <w:color w:val="auto"/>
              </w:rPr>
            </w:pPr>
          </w:p>
        </w:tc>
        <w:tc>
          <w:tcPr>
            <w:tcW w:w="140" w:type="dxa"/>
            <w:vAlign w:val="bottom"/>
            <w:tcBorders>
              <w:bottom w:val="single" w:sz="8" w:color="231F20"/>
            </w:tcBorders>
            <w:shd w:val="clear" w:color="auto" w:fill="D0EBF2"/>
          </w:tcPr>
          <w:p>
            <w:pPr>
              <w:spacing w:after="0"/>
              <w:rPr>
                <w:sz w:val="16"/>
                <w:szCs w:val="16"/>
                <w:color w:val="auto"/>
              </w:rPr>
            </w:pPr>
          </w:p>
        </w:tc>
        <w:tc>
          <w:tcPr>
            <w:tcW w:w="840" w:type="dxa"/>
            <w:vAlign w:val="bottom"/>
            <w:tcBorders>
              <w:bottom w:val="single" w:sz="8" w:color="231F20"/>
            </w:tcBorders>
            <w:gridSpan w:val="2"/>
            <w:shd w:val="clear" w:color="auto" w:fill="D0EBF2"/>
          </w:tcPr>
          <w:p>
            <w:pPr>
              <w:jc w:val="right"/>
              <w:ind w:right="20"/>
              <w:spacing w:after="0"/>
              <w:rPr>
                <w:sz w:val="20"/>
                <w:szCs w:val="20"/>
                <w:color w:val="auto"/>
              </w:rPr>
            </w:pPr>
            <w:r>
              <w:rPr>
                <w:rFonts w:ascii="Times New Roman" w:cs="Times New Roman" w:eastAsia="Times New Roman" w:hAnsi="Times New Roman"/>
                <w:sz w:val="15"/>
                <w:szCs w:val="15"/>
                <w:color w:val="231F20"/>
              </w:rPr>
              <w:t>46,601</w:t>
            </w:r>
          </w:p>
        </w:tc>
        <w:tc>
          <w:tcPr>
            <w:tcW w:w="20" w:type="dxa"/>
            <w:vAlign w:val="bottom"/>
            <w:tcBorders>
              <w:bottom w:val="single" w:sz="8" w:color="FDFDFC"/>
            </w:tcBorders>
            <w:shd w:val="clear" w:color="auto" w:fill="D0EBF2"/>
          </w:tcPr>
          <w:p>
            <w:pPr>
              <w:spacing w:after="0"/>
              <w:rPr>
                <w:sz w:val="16"/>
                <w:szCs w:val="16"/>
                <w:color w:val="auto"/>
              </w:rPr>
            </w:pPr>
          </w:p>
        </w:tc>
        <w:tc>
          <w:tcPr>
            <w:tcW w:w="80" w:type="dxa"/>
            <w:vAlign w:val="bottom"/>
            <w:tcBorders>
              <w:bottom w:val="single" w:sz="8" w:color="FDFDFC"/>
            </w:tcBorders>
            <w:shd w:val="clear" w:color="auto" w:fill="D0EBF2"/>
          </w:tcPr>
          <w:p>
            <w:pPr>
              <w:spacing w:after="0"/>
              <w:rPr>
                <w:sz w:val="16"/>
                <w:szCs w:val="16"/>
                <w:color w:val="auto"/>
              </w:rPr>
            </w:pPr>
          </w:p>
        </w:tc>
        <w:tc>
          <w:tcPr>
            <w:tcW w:w="120" w:type="dxa"/>
            <w:vAlign w:val="bottom"/>
            <w:tcBorders>
              <w:bottom w:val="single" w:sz="8" w:color="FDFDFC"/>
            </w:tcBorders>
            <w:shd w:val="clear" w:color="auto" w:fill="D0EBF2"/>
          </w:tcPr>
          <w:p>
            <w:pPr>
              <w:spacing w:after="0"/>
              <w:rPr>
                <w:sz w:val="16"/>
                <w:szCs w:val="16"/>
                <w:color w:val="auto"/>
              </w:rPr>
            </w:pPr>
          </w:p>
        </w:tc>
        <w:tc>
          <w:tcPr>
            <w:tcW w:w="60" w:type="dxa"/>
            <w:vAlign w:val="bottom"/>
            <w:tcBorders>
              <w:bottom w:val="single" w:sz="8" w:color="231F20"/>
            </w:tcBorders>
            <w:shd w:val="clear" w:color="auto" w:fill="D0EBF2"/>
          </w:tcPr>
          <w:p>
            <w:pPr>
              <w:spacing w:after="0"/>
              <w:rPr>
                <w:sz w:val="16"/>
                <w:szCs w:val="16"/>
                <w:color w:val="auto"/>
              </w:rPr>
            </w:pPr>
          </w:p>
        </w:tc>
        <w:tc>
          <w:tcPr>
            <w:tcW w:w="920" w:type="dxa"/>
            <w:vAlign w:val="bottom"/>
            <w:tcBorders>
              <w:bottom w:val="single" w:sz="8" w:color="231F20"/>
            </w:tcBorders>
            <w:shd w:val="clear" w:color="auto" w:fill="D0EBF2"/>
          </w:tcPr>
          <w:p>
            <w:pPr>
              <w:ind w:left="740"/>
              <w:spacing w:after="0"/>
              <w:rPr>
                <w:sz w:val="20"/>
                <w:szCs w:val="20"/>
                <w:color w:val="auto"/>
              </w:rPr>
            </w:pPr>
            <w:r>
              <w:rPr>
                <w:rFonts w:ascii="Times New Roman" w:cs="Times New Roman" w:eastAsia="Times New Roman" w:hAnsi="Times New Roman"/>
                <w:sz w:val="15"/>
                <w:szCs w:val="15"/>
                <w:color w:val="231F20"/>
              </w:rPr>
              <w:t>—</w:t>
            </w:r>
          </w:p>
        </w:tc>
        <w:tc>
          <w:tcPr>
            <w:tcW w:w="220" w:type="dxa"/>
            <w:vAlign w:val="bottom"/>
            <w:tcBorders>
              <w:bottom w:val="single" w:sz="8" w:color="FDFDFC"/>
            </w:tcBorders>
            <w:shd w:val="clear" w:color="auto" w:fill="D0EBF2"/>
          </w:tcPr>
          <w:p>
            <w:pPr>
              <w:spacing w:after="0"/>
              <w:rPr>
                <w:sz w:val="16"/>
                <w:szCs w:val="16"/>
                <w:color w:val="auto"/>
              </w:rPr>
            </w:pPr>
          </w:p>
        </w:tc>
        <w:tc>
          <w:tcPr>
            <w:tcW w:w="160" w:type="dxa"/>
            <w:vAlign w:val="bottom"/>
            <w:tcBorders>
              <w:bottom w:val="single" w:sz="8" w:color="231F20"/>
            </w:tcBorders>
            <w:shd w:val="clear" w:color="auto" w:fill="D0EBF2"/>
          </w:tcPr>
          <w:p>
            <w:pPr>
              <w:spacing w:after="0"/>
              <w:rPr>
                <w:sz w:val="16"/>
                <w:szCs w:val="16"/>
                <w:color w:val="auto"/>
              </w:rPr>
            </w:pPr>
          </w:p>
        </w:tc>
        <w:tc>
          <w:tcPr>
            <w:tcW w:w="20" w:type="dxa"/>
            <w:vAlign w:val="bottom"/>
            <w:tcBorders>
              <w:bottom w:val="single" w:sz="8" w:color="231F20"/>
            </w:tcBorders>
            <w:shd w:val="clear" w:color="auto" w:fill="D0EBF2"/>
          </w:tcPr>
          <w:p>
            <w:pPr>
              <w:spacing w:after="0"/>
              <w:rPr>
                <w:sz w:val="16"/>
                <w:szCs w:val="16"/>
                <w:color w:val="auto"/>
              </w:rPr>
            </w:pPr>
          </w:p>
        </w:tc>
        <w:tc>
          <w:tcPr>
            <w:tcW w:w="100" w:type="dxa"/>
            <w:vAlign w:val="bottom"/>
            <w:tcBorders>
              <w:bottom w:val="single" w:sz="8" w:color="231F20"/>
            </w:tcBorders>
            <w:shd w:val="clear" w:color="auto" w:fill="D0EBF2"/>
          </w:tcPr>
          <w:p>
            <w:pPr>
              <w:spacing w:after="0"/>
              <w:rPr>
                <w:sz w:val="16"/>
                <w:szCs w:val="16"/>
                <w:color w:val="auto"/>
              </w:rPr>
            </w:pPr>
          </w:p>
        </w:tc>
        <w:tc>
          <w:tcPr>
            <w:tcW w:w="760" w:type="dxa"/>
            <w:vAlign w:val="bottom"/>
            <w:tcBorders>
              <w:bottom w:val="single" w:sz="8" w:color="231F20"/>
            </w:tcBorders>
            <w:shd w:val="clear" w:color="auto" w:fill="D0EBF2"/>
          </w:tcPr>
          <w:p>
            <w:pPr>
              <w:jc w:val="right"/>
              <w:spacing w:after="0"/>
              <w:rPr>
                <w:sz w:val="20"/>
                <w:szCs w:val="20"/>
                <w:color w:val="auto"/>
              </w:rPr>
            </w:pPr>
            <w:r>
              <w:rPr>
                <w:rFonts w:ascii="Times New Roman" w:cs="Times New Roman" w:eastAsia="Times New Roman" w:hAnsi="Times New Roman"/>
                <w:sz w:val="15"/>
                <w:szCs w:val="15"/>
                <w:color w:val="231F20"/>
              </w:rPr>
              <w:t>—</w:t>
            </w:r>
          </w:p>
        </w:tc>
        <w:tc>
          <w:tcPr>
            <w:tcW w:w="100" w:type="dxa"/>
            <w:vAlign w:val="bottom"/>
            <w:tcBorders>
              <w:bottom w:val="single" w:sz="8" w:color="FDFDFC"/>
            </w:tcBorders>
            <w:shd w:val="clear" w:color="auto" w:fill="D0EBF2"/>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1560" w:type="dxa"/>
            <w:vAlign w:val="bottom"/>
            <w:shd w:val="clear" w:color="auto" w:fill="FDFDFC"/>
          </w:tcPr>
          <w:p>
            <w:pPr>
              <w:ind w:left="180"/>
              <w:spacing w:after="0"/>
              <w:rPr>
                <w:sz w:val="20"/>
                <w:szCs w:val="20"/>
                <w:color w:val="auto"/>
              </w:rPr>
            </w:pPr>
            <w:r>
              <w:rPr>
                <w:rFonts w:ascii="Times New Roman" w:cs="Times New Roman" w:eastAsia="Times New Roman" w:hAnsi="Times New Roman"/>
                <w:sz w:val="15"/>
                <w:szCs w:val="15"/>
                <w:b w:val="1"/>
                <w:bCs w:val="1"/>
                <w:color w:val="231F20"/>
              </w:rPr>
              <w:t>Total derivatives</w:t>
            </w:r>
          </w:p>
        </w:tc>
        <w:tc>
          <w:tcPr>
            <w:tcW w:w="340" w:type="dxa"/>
            <w:vAlign w:val="bottom"/>
            <w:shd w:val="clear" w:color="auto" w:fill="FDFDFC"/>
          </w:tcPr>
          <w:p>
            <w:pPr>
              <w:spacing w:after="0"/>
              <w:rPr>
                <w:sz w:val="15"/>
                <w:szCs w:val="15"/>
                <w:color w:val="auto"/>
              </w:rPr>
            </w:pPr>
          </w:p>
        </w:tc>
        <w:tc>
          <w:tcPr>
            <w:tcW w:w="1100" w:type="dxa"/>
            <w:vAlign w:val="bottom"/>
            <w:shd w:val="clear" w:color="auto" w:fill="FDFDFC"/>
          </w:tcPr>
          <w:p>
            <w:pPr>
              <w:spacing w:after="0"/>
              <w:rPr>
                <w:sz w:val="15"/>
                <w:szCs w:val="15"/>
                <w:color w:val="auto"/>
              </w:rPr>
            </w:pPr>
          </w:p>
        </w:tc>
        <w:tc>
          <w:tcPr>
            <w:tcW w:w="120" w:type="dxa"/>
            <w:vAlign w:val="bottom"/>
            <w:shd w:val="clear" w:color="auto" w:fill="FDFDFC"/>
          </w:tcPr>
          <w:p>
            <w:pPr>
              <w:spacing w:after="0"/>
              <w:rPr>
                <w:sz w:val="15"/>
                <w:szCs w:val="15"/>
                <w:color w:val="auto"/>
              </w:rPr>
            </w:pPr>
          </w:p>
        </w:tc>
        <w:tc>
          <w:tcPr>
            <w:tcW w:w="60" w:type="dxa"/>
            <w:vAlign w:val="bottom"/>
            <w:shd w:val="clear" w:color="auto" w:fill="FDFDFC"/>
          </w:tcPr>
          <w:p>
            <w:pPr>
              <w:spacing w:after="0"/>
              <w:rPr>
                <w:sz w:val="15"/>
                <w:szCs w:val="15"/>
                <w:color w:val="auto"/>
              </w:rPr>
            </w:pPr>
          </w:p>
        </w:tc>
        <w:tc>
          <w:tcPr>
            <w:tcW w:w="660" w:type="dxa"/>
            <w:vAlign w:val="bottom"/>
            <w:shd w:val="clear" w:color="auto" w:fill="FDFDFC"/>
          </w:tcPr>
          <w:p>
            <w:pPr>
              <w:spacing w:after="0"/>
              <w:rPr>
                <w:sz w:val="15"/>
                <w:szCs w:val="15"/>
                <w:color w:val="auto"/>
              </w:rPr>
            </w:pPr>
          </w:p>
        </w:tc>
        <w:tc>
          <w:tcPr>
            <w:tcW w:w="360" w:type="dxa"/>
            <w:vAlign w:val="bottom"/>
            <w:shd w:val="clear" w:color="auto" w:fill="FDFDFC"/>
          </w:tcPr>
          <w:p>
            <w:pPr>
              <w:spacing w:after="0"/>
              <w:rPr>
                <w:sz w:val="15"/>
                <w:szCs w:val="15"/>
                <w:color w:val="auto"/>
              </w:rPr>
            </w:pPr>
          </w:p>
        </w:tc>
        <w:tc>
          <w:tcPr>
            <w:tcW w:w="120" w:type="dxa"/>
            <w:vAlign w:val="bottom"/>
            <w:shd w:val="clear" w:color="auto" w:fill="FDFDFC"/>
          </w:tcPr>
          <w:p>
            <w:pPr>
              <w:spacing w:after="0"/>
              <w:rPr>
                <w:sz w:val="15"/>
                <w:szCs w:val="15"/>
                <w:color w:val="auto"/>
              </w:rPr>
            </w:pPr>
          </w:p>
        </w:tc>
        <w:tc>
          <w:tcPr>
            <w:tcW w:w="260" w:type="dxa"/>
            <w:vAlign w:val="bottom"/>
            <w:shd w:val="clear" w:color="auto" w:fill="FDFDFC"/>
          </w:tcPr>
          <w:p>
            <w:pPr>
              <w:spacing w:after="0"/>
              <w:rPr>
                <w:sz w:val="15"/>
                <w:szCs w:val="15"/>
                <w:color w:val="auto"/>
              </w:rPr>
            </w:pPr>
          </w:p>
        </w:tc>
        <w:tc>
          <w:tcPr>
            <w:tcW w:w="820" w:type="dxa"/>
            <w:vAlign w:val="bottom"/>
            <w:shd w:val="clear" w:color="auto" w:fill="FDFDFC"/>
          </w:tcPr>
          <w:p>
            <w:pPr>
              <w:spacing w:after="0"/>
              <w:rPr>
                <w:sz w:val="15"/>
                <w:szCs w:val="15"/>
                <w:color w:val="auto"/>
              </w:rPr>
            </w:pPr>
          </w:p>
        </w:tc>
        <w:tc>
          <w:tcPr>
            <w:tcW w:w="120" w:type="dxa"/>
            <w:vAlign w:val="bottom"/>
            <w:shd w:val="clear" w:color="auto" w:fill="FDFDFC"/>
          </w:tcPr>
          <w:p>
            <w:pPr>
              <w:spacing w:after="0"/>
              <w:rPr>
                <w:sz w:val="15"/>
                <w:szCs w:val="15"/>
                <w:color w:val="auto"/>
              </w:rPr>
            </w:pPr>
          </w:p>
        </w:tc>
        <w:tc>
          <w:tcPr>
            <w:tcW w:w="140" w:type="dxa"/>
            <w:vAlign w:val="bottom"/>
            <w:tcBorders>
              <w:bottom w:val="single" w:sz="8" w:color="231F20"/>
            </w:tcBorders>
            <w:shd w:val="clear" w:color="auto" w:fill="FDFDFC"/>
          </w:tcPr>
          <w:p>
            <w:pPr>
              <w:jc w:val="right"/>
              <w:spacing w:after="0"/>
              <w:rPr>
                <w:sz w:val="20"/>
                <w:szCs w:val="20"/>
                <w:color w:val="auto"/>
              </w:rPr>
            </w:pPr>
            <w:r>
              <w:rPr>
                <w:rFonts w:ascii="Times New Roman" w:cs="Times New Roman" w:eastAsia="Times New Roman" w:hAnsi="Times New Roman"/>
                <w:sz w:val="15"/>
                <w:szCs w:val="15"/>
                <w:color w:val="231F20"/>
                <w:w w:val="79"/>
              </w:rPr>
              <w:t>$</w:t>
            </w:r>
          </w:p>
        </w:tc>
        <w:tc>
          <w:tcPr>
            <w:tcW w:w="860" w:type="dxa"/>
            <w:vAlign w:val="bottom"/>
            <w:tcBorders>
              <w:bottom w:val="single" w:sz="8" w:color="231F20"/>
            </w:tcBorders>
            <w:shd w:val="clear" w:color="auto" w:fill="FDFDFC"/>
          </w:tcPr>
          <w:p>
            <w:pPr>
              <w:jc w:val="right"/>
              <w:spacing w:after="0"/>
              <w:rPr>
                <w:sz w:val="20"/>
                <w:szCs w:val="20"/>
                <w:color w:val="auto"/>
              </w:rPr>
            </w:pPr>
            <w:r>
              <w:rPr>
                <w:rFonts w:ascii="Times New Roman" w:cs="Times New Roman" w:eastAsia="Times New Roman" w:hAnsi="Times New Roman"/>
                <w:sz w:val="15"/>
                <w:szCs w:val="15"/>
                <w:color w:val="231F20"/>
              </w:rPr>
              <w:t>950,000</w:t>
            </w:r>
          </w:p>
        </w:tc>
        <w:tc>
          <w:tcPr>
            <w:tcW w:w="200" w:type="dxa"/>
            <w:vAlign w:val="bottom"/>
            <w:gridSpan w:val="2"/>
            <w:shd w:val="clear" w:color="auto" w:fill="FDFDFC"/>
          </w:tcPr>
          <w:p>
            <w:pPr>
              <w:spacing w:after="0"/>
              <w:rPr>
                <w:sz w:val="15"/>
                <w:szCs w:val="15"/>
                <w:color w:val="auto"/>
              </w:rPr>
            </w:pPr>
          </w:p>
        </w:tc>
        <w:tc>
          <w:tcPr>
            <w:tcW w:w="160" w:type="dxa"/>
            <w:vAlign w:val="bottom"/>
            <w:tcBorders>
              <w:bottom w:val="single" w:sz="8" w:color="231F20"/>
            </w:tcBorders>
            <w:gridSpan w:val="2"/>
            <w:shd w:val="clear" w:color="auto" w:fill="FDFDFC"/>
          </w:tcPr>
          <w:p>
            <w:pPr>
              <w:jc w:val="right"/>
              <w:ind w:right="80"/>
              <w:spacing w:after="0"/>
              <w:rPr>
                <w:sz w:val="20"/>
                <w:szCs w:val="20"/>
                <w:color w:val="auto"/>
              </w:rPr>
            </w:pPr>
            <w:r>
              <w:rPr>
                <w:rFonts w:ascii="Times New Roman" w:cs="Times New Roman" w:eastAsia="Times New Roman" w:hAnsi="Times New Roman"/>
                <w:sz w:val="15"/>
                <w:szCs w:val="15"/>
                <w:color w:val="231F20"/>
                <w:w w:val="79"/>
              </w:rPr>
              <w:t>$</w:t>
            </w:r>
          </w:p>
        </w:tc>
        <w:tc>
          <w:tcPr>
            <w:tcW w:w="840" w:type="dxa"/>
            <w:vAlign w:val="bottom"/>
            <w:tcBorders>
              <w:bottom w:val="single" w:sz="8" w:color="231F20"/>
            </w:tcBorders>
            <w:gridSpan w:val="2"/>
            <w:shd w:val="clear" w:color="auto" w:fill="FDFDFC"/>
          </w:tcPr>
          <w:p>
            <w:pPr>
              <w:jc w:val="right"/>
              <w:ind w:right="20"/>
              <w:spacing w:after="0"/>
              <w:rPr>
                <w:sz w:val="20"/>
                <w:szCs w:val="20"/>
                <w:color w:val="auto"/>
              </w:rPr>
            </w:pPr>
            <w:r>
              <w:rPr>
                <w:rFonts w:ascii="Times New Roman" w:cs="Times New Roman" w:eastAsia="Times New Roman" w:hAnsi="Times New Roman"/>
                <w:sz w:val="15"/>
                <w:szCs w:val="15"/>
                <w:color w:val="231F20"/>
              </w:rPr>
              <w:t>22,363</w:t>
            </w:r>
          </w:p>
        </w:tc>
        <w:tc>
          <w:tcPr>
            <w:tcW w:w="20" w:type="dxa"/>
            <w:vAlign w:val="bottom"/>
            <w:tcBorders>
              <w:bottom w:val="single" w:sz="8" w:color="231F20"/>
            </w:tcBorders>
            <w:shd w:val="clear" w:color="auto" w:fill="FDFDFC"/>
          </w:tcPr>
          <w:p>
            <w:pPr>
              <w:spacing w:after="0"/>
              <w:rPr>
                <w:sz w:val="15"/>
                <w:szCs w:val="15"/>
                <w:color w:val="auto"/>
              </w:rPr>
            </w:pPr>
          </w:p>
        </w:tc>
        <w:tc>
          <w:tcPr>
            <w:tcW w:w="80" w:type="dxa"/>
            <w:vAlign w:val="bottom"/>
            <w:shd w:val="clear" w:color="auto" w:fill="FDFDFC"/>
          </w:tcPr>
          <w:p>
            <w:pPr>
              <w:spacing w:after="0"/>
              <w:rPr>
                <w:sz w:val="15"/>
                <w:szCs w:val="15"/>
                <w:color w:val="auto"/>
              </w:rPr>
            </w:pPr>
          </w:p>
        </w:tc>
        <w:tc>
          <w:tcPr>
            <w:tcW w:w="120" w:type="dxa"/>
            <w:vAlign w:val="bottom"/>
            <w:shd w:val="clear" w:color="auto" w:fill="FDFDFC"/>
          </w:tcPr>
          <w:p>
            <w:pPr>
              <w:spacing w:after="0"/>
              <w:rPr>
                <w:sz w:val="15"/>
                <w:szCs w:val="15"/>
                <w:color w:val="auto"/>
              </w:rPr>
            </w:pPr>
          </w:p>
        </w:tc>
        <w:tc>
          <w:tcPr>
            <w:tcW w:w="60" w:type="dxa"/>
            <w:vAlign w:val="bottom"/>
            <w:tcBorders>
              <w:bottom w:val="single" w:sz="8" w:color="231F20"/>
            </w:tcBorders>
            <w:shd w:val="clear" w:color="auto" w:fill="FDFDFC"/>
          </w:tcPr>
          <w:p>
            <w:pPr>
              <w:jc w:val="right"/>
              <w:spacing w:after="0"/>
              <w:rPr>
                <w:sz w:val="20"/>
                <w:szCs w:val="20"/>
                <w:color w:val="auto"/>
              </w:rPr>
            </w:pPr>
            <w:r>
              <w:rPr>
                <w:rFonts w:ascii="Times New Roman" w:cs="Times New Roman" w:eastAsia="Times New Roman" w:hAnsi="Times New Roman"/>
                <w:sz w:val="11"/>
                <w:szCs w:val="11"/>
                <w:color w:val="231F20"/>
                <w:w w:val="71"/>
              </w:rPr>
              <w:t>$</w:t>
            </w:r>
          </w:p>
        </w:tc>
        <w:tc>
          <w:tcPr>
            <w:tcW w:w="920" w:type="dxa"/>
            <w:vAlign w:val="bottom"/>
            <w:tcBorders>
              <w:bottom w:val="single" w:sz="8" w:color="231F20"/>
            </w:tcBorders>
            <w:shd w:val="clear" w:color="auto" w:fill="FDFDFC"/>
          </w:tcPr>
          <w:p>
            <w:pPr>
              <w:ind w:left="740"/>
              <w:spacing w:after="0"/>
              <w:rPr>
                <w:sz w:val="20"/>
                <w:szCs w:val="20"/>
                <w:color w:val="auto"/>
              </w:rPr>
            </w:pPr>
            <w:r>
              <w:rPr>
                <w:rFonts w:ascii="Times New Roman" w:cs="Times New Roman" w:eastAsia="Times New Roman" w:hAnsi="Times New Roman"/>
                <w:sz w:val="15"/>
                <w:szCs w:val="15"/>
                <w:color w:val="231F20"/>
              </w:rPr>
              <w:t>—</w:t>
            </w:r>
          </w:p>
        </w:tc>
        <w:tc>
          <w:tcPr>
            <w:tcW w:w="220" w:type="dxa"/>
            <w:vAlign w:val="bottom"/>
            <w:shd w:val="clear" w:color="auto" w:fill="FDFDFC"/>
          </w:tcPr>
          <w:p>
            <w:pPr>
              <w:spacing w:after="0"/>
              <w:rPr>
                <w:sz w:val="15"/>
                <w:szCs w:val="15"/>
                <w:color w:val="auto"/>
              </w:rPr>
            </w:pPr>
          </w:p>
        </w:tc>
        <w:tc>
          <w:tcPr>
            <w:tcW w:w="160" w:type="dxa"/>
            <w:vAlign w:val="bottom"/>
            <w:tcBorders>
              <w:bottom w:val="single" w:sz="8" w:color="231F20"/>
            </w:tcBorders>
            <w:shd w:val="clear" w:color="auto" w:fill="FDFDFC"/>
          </w:tcPr>
          <w:p>
            <w:pPr>
              <w:spacing w:after="0"/>
              <w:rPr>
                <w:sz w:val="20"/>
                <w:szCs w:val="20"/>
                <w:color w:val="auto"/>
              </w:rPr>
            </w:pPr>
            <w:r>
              <w:rPr>
                <w:rFonts w:ascii="Times New Roman" w:cs="Times New Roman" w:eastAsia="Times New Roman" w:hAnsi="Times New Roman"/>
                <w:sz w:val="15"/>
                <w:szCs w:val="15"/>
                <w:color w:val="231F20"/>
              </w:rPr>
              <w:t>$</w:t>
            </w:r>
          </w:p>
        </w:tc>
        <w:tc>
          <w:tcPr>
            <w:tcW w:w="880" w:type="dxa"/>
            <w:vAlign w:val="bottom"/>
            <w:tcBorders>
              <w:bottom w:val="single" w:sz="8" w:color="231F20"/>
            </w:tcBorders>
            <w:gridSpan w:val="3"/>
            <w:shd w:val="clear" w:color="auto" w:fill="FDFDFC"/>
          </w:tcPr>
          <w:p>
            <w:pPr>
              <w:jc w:val="right"/>
              <w:spacing w:after="0"/>
              <w:rPr>
                <w:sz w:val="20"/>
                <w:szCs w:val="20"/>
                <w:color w:val="auto"/>
              </w:rPr>
            </w:pPr>
            <w:r>
              <w:rPr>
                <w:rFonts w:ascii="Times New Roman" w:cs="Times New Roman" w:eastAsia="Times New Roman" w:hAnsi="Times New Roman"/>
                <w:sz w:val="15"/>
                <w:szCs w:val="15"/>
                <w:color w:val="231F20"/>
              </w:rPr>
              <w:t>(2,807</w:t>
            </w:r>
          </w:p>
        </w:tc>
        <w:tc>
          <w:tcPr>
            <w:tcW w:w="100" w:type="dxa"/>
            <w:vAlign w:val="bottom"/>
            <w:shd w:val="clear" w:color="auto" w:fill="FDFDFC"/>
          </w:tcPr>
          <w:p>
            <w:pPr>
              <w:jc w:val="right"/>
              <w:spacing w:after="0"/>
              <w:rPr>
                <w:sz w:val="20"/>
                <w:szCs w:val="20"/>
                <w:color w:val="auto"/>
              </w:rPr>
            </w:pPr>
            <w:r>
              <w:rPr>
                <w:rFonts w:ascii="Times New Roman" w:cs="Times New Roman" w:eastAsia="Times New Roman" w:hAnsi="Times New Roman"/>
                <w:sz w:val="15"/>
                <w:szCs w:val="15"/>
                <w:color w:val="231F20"/>
                <w:highlight w:val="white"/>
                <w:w w:val="79"/>
              </w:rPr>
              <w:t>)</w:t>
            </w:r>
          </w:p>
        </w:tc>
        <w:tc>
          <w:tcPr>
            <w:tcW w:w="0" w:type="dxa"/>
            <w:vAlign w:val="bottom"/>
          </w:tcPr>
          <w:p>
            <w:pPr>
              <w:spacing w:after="0"/>
              <w:rPr>
                <w:sz w:val="1"/>
                <w:szCs w:val="1"/>
                <w:color w:val="auto"/>
              </w:rPr>
            </w:pPr>
          </w:p>
        </w:tc>
      </w:tr>
      <w:tr>
        <w:trPr>
          <w:trHeight w:val="20"/>
        </w:trPr>
        <w:tc>
          <w:tcPr>
            <w:tcW w:w="15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231F20"/>
            </w:tcBorders>
          </w:tcPr>
          <w:p>
            <w:pPr>
              <w:spacing w:after="0" w:line="20" w:lineRule="exact"/>
              <w:rPr>
                <w:sz w:val="1"/>
                <w:szCs w:val="1"/>
                <w:color w:val="auto"/>
              </w:rPr>
            </w:pPr>
          </w:p>
        </w:tc>
        <w:tc>
          <w:tcPr>
            <w:tcW w:w="860" w:type="dxa"/>
            <w:vAlign w:val="bottom"/>
            <w:tcBorders>
              <w:bottom w:val="single" w:sz="8" w:color="231F20"/>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231F20"/>
            </w:tcBorders>
          </w:tcPr>
          <w:p>
            <w:pPr>
              <w:spacing w:after="0" w:line="20" w:lineRule="exact"/>
              <w:rPr>
                <w:sz w:val="1"/>
                <w:szCs w:val="1"/>
                <w:color w:val="auto"/>
              </w:rPr>
            </w:pPr>
          </w:p>
        </w:tc>
        <w:tc>
          <w:tcPr>
            <w:tcW w:w="140" w:type="dxa"/>
            <w:vAlign w:val="bottom"/>
            <w:tcBorders>
              <w:bottom w:val="single" w:sz="8" w:color="231F20"/>
            </w:tcBorders>
          </w:tcPr>
          <w:p>
            <w:pPr>
              <w:spacing w:after="0" w:line="20" w:lineRule="exact"/>
              <w:rPr>
                <w:sz w:val="1"/>
                <w:szCs w:val="1"/>
                <w:color w:val="auto"/>
              </w:rPr>
            </w:pPr>
          </w:p>
        </w:tc>
        <w:tc>
          <w:tcPr>
            <w:tcW w:w="760" w:type="dxa"/>
            <w:vAlign w:val="bottom"/>
            <w:tcBorders>
              <w:bottom w:val="single" w:sz="8" w:color="231F20"/>
            </w:tcBorders>
          </w:tcPr>
          <w:p>
            <w:pPr>
              <w:spacing w:after="0" w:line="20" w:lineRule="exact"/>
              <w:rPr>
                <w:sz w:val="1"/>
                <w:szCs w:val="1"/>
                <w:color w:val="auto"/>
              </w:rPr>
            </w:pPr>
          </w:p>
        </w:tc>
        <w:tc>
          <w:tcPr>
            <w:tcW w:w="80" w:type="dxa"/>
            <w:vAlign w:val="bottom"/>
            <w:tcBorders>
              <w:bottom w:val="single" w:sz="8" w:color="231F20"/>
            </w:tcBorders>
          </w:tcPr>
          <w:p>
            <w:pPr>
              <w:spacing w:after="0" w:line="20" w:lineRule="exact"/>
              <w:rPr>
                <w:sz w:val="1"/>
                <w:szCs w:val="1"/>
                <w:color w:val="auto"/>
              </w:rPr>
            </w:pPr>
          </w:p>
        </w:tc>
        <w:tc>
          <w:tcPr>
            <w:tcW w:w="20" w:type="dxa"/>
            <w:vAlign w:val="bottom"/>
            <w:tcBorders>
              <w:bottom w:val="single" w:sz="8" w:color="231F20"/>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Borders>
              <w:bottom w:val="single" w:sz="8" w:color="231F20"/>
            </w:tcBorders>
          </w:tcPr>
          <w:p>
            <w:pPr>
              <w:spacing w:after="0" w:line="20" w:lineRule="exact"/>
              <w:rPr>
                <w:sz w:val="1"/>
                <w:szCs w:val="1"/>
                <w:color w:val="auto"/>
              </w:rPr>
            </w:pPr>
          </w:p>
        </w:tc>
        <w:tc>
          <w:tcPr>
            <w:tcW w:w="920" w:type="dxa"/>
            <w:vAlign w:val="bottom"/>
            <w:tcBorders>
              <w:bottom w:val="single" w:sz="8" w:color="231F20"/>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231F20"/>
            </w:tcBorders>
          </w:tcPr>
          <w:p>
            <w:pPr>
              <w:spacing w:after="0" w:line="20" w:lineRule="exact"/>
              <w:rPr>
                <w:sz w:val="1"/>
                <w:szCs w:val="1"/>
                <w:color w:val="auto"/>
              </w:rPr>
            </w:pPr>
          </w:p>
        </w:tc>
        <w:tc>
          <w:tcPr>
            <w:tcW w:w="20" w:type="dxa"/>
            <w:vAlign w:val="bottom"/>
            <w:tcBorders>
              <w:bottom w:val="single" w:sz="8" w:color="231F20"/>
            </w:tcBorders>
          </w:tcPr>
          <w:p>
            <w:pPr>
              <w:spacing w:after="0" w:line="20" w:lineRule="exact"/>
              <w:rPr>
                <w:sz w:val="1"/>
                <w:szCs w:val="1"/>
                <w:color w:val="auto"/>
              </w:rPr>
            </w:pPr>
          </w:p>
        </w:tc>
        <w:tc>
          <w:tcPr>
            <w:tcW w:w="100" w:type="dxa"/>
            <w:vAlign w:val="bottom"/>
            <w:tcBorders>
              <w:bottom w:val="single" w:sz="8" w:color="231F20"/>
            </w:tcBorders>
          </w:tcPr>
          <w:p>
            <w:pPr>
              <w:spacing w:after="0" w:line="20" w:lineRule="exact"/>
              <w:rPr>
                <w:sz w:val="1"/>
                <w:szCs w:val="1"/>
                <w:color w:val="auto"/>
              </w:rPr>
            </w:pPr>
          </w:p>
        </w:tc>
        <w:tc>
          <w:tcPr>
            <w:tcW w:w="760" w:type="dxa"/>
            <w:vAlign w:val="bottom"/>
            <w:tcBorders>
              <w:bottom w:val="single" w:sz="8" w:color="231F20"/>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7" w:lineRule="exact"/>
        <w:rPr>
          <w:sz w:val="20"/>
          <w:szCs w:val="20"/>
          <w:color w:val="auto"/>
        </w:rPr>
      </w:pPr>
    </w:p>
    <w:p>
      <w:pPr>
        <w:ind w:left="921" w:hanging="458"/>
        <w:spacing w:after="0"/>
        <w:tabs>
          <w:tab w:leader="none" w:pos="921" w:val="left"/>
        </w:tabs>
        <w:numPr>
          <w:ilvl w:val="1"/>
          <w:numId w:val="70"/>
        </w:numPr>
        <w:rPr>
          <w:rFonts w:ascii="Times New Roman" w:cs="Times New Roman" w:eastAsia="Times New Roman" w:hAnsi="Times New Roman"/>
          <w:sz w:val="19"/>
          <w:szCs w:val="19"/>
          <w:color w:val="231F20"/>
        </w:rPr>
      </w:pPr>
      <w:r>
        <w:rPr>
          <w:rFonts w:ascii="Times New Roman" w:cs="Times New Roman" w:eastAsia="Times New Roman" w:hAnsi="Times New Roman"/>
          <w:sz w:val="19"/>
          <w:szCs w:val="19"/>
          <w:color w:val="231F20"/>
        </w:rPr>
        <w:t>Contains a variable rate structure. Bears interest at a rate determined by SOFR.</w:t>
      </w:r>
    </w:p>
    <w:p>
      <w:pPr>
        <w:spacing w:after="0" w:line="26" w:lineRule="exact"/>
        <w:rPr>
          <w:rFonts w:ascii="Times New Roman" w:cs="Times New Roman" w:eastAsia="Times New Roman" w:hAnsi="Times New Roman"/>
          <w:sz w:val="19"/>
          <w:szCs w:val="19"/>
          <w:color w:val="231F20"/>
        </w:rPr>
      </w:pPr>
    </w:p>
    <w:p>
      <w:pPr>
        <w:ind w:left="921" w:right="560" w:hanging="458"/>
        <w:spacing w:after="0" w:line="245" w:lineRule="auto"/>
        <w:tabs>
          <w:tab w:leader="none" w:pos="921" w:val="left"/>
        </w:tabs>
        <w:numPr>
          <w:ilvl w:val="1"/>
          <w:numId w:val="70"/>
        </w:numPr>
        <w:rPr>
          <w:rFonts w:ascii="Times New Roman" w:cs="Times New Roman" w:eastAsia="Times New Roman" w:hAnsi="Times New Roman"/>
          <w:sz w:val="19"/>
          <w:szCs w:val="19"/>
          <w:color w:val="231F20"/>
        </w:rPr>
      </w:pPr>
      <w:r>
        <w:rPr>
          <w:rFonts w:ascii="Times New Roman" w:cs="Times New Roman" w:eastAsia="Times New Roman" w:hAnsi="Times New Roman"/>
          <w:sz w:val="19"/>
          <w:szCs w:val="19"/>
          <w:color w:val="231F20"/>
        </w:rPr>
        <w:t>Instrument is used in a hedge accounting relationship. The associated change in fair value is recorded along with the change in fair value of the hedged item within interest expense.</w:t>
      </w:r>
    </w:p>
    <w:p>
      <w:pPr>
        <w:spacing w:after="0" w:line="73" w:lineRule="exact"/>
        <w:rPr>
          <w:rFonts w:ascii="Times New Roman" w:cs="Times New Roman" w:eastAsia="Times New Roman" w:hAnsi="Times New Roman"/>
          <w:sz w:val="19"/>
          <w:szCs w:val="19"/>
          <w:color w:val="231F20"/>
        </w:rPr>
      </w:pPr>
    </w:p>
    <w:p>
      <w:pPr>
        <w:ind w:left="461" w:hanging="461"/>
        <w:spacing w:after="0"/>
        <w:tabs>
          <w:tab w:leader="none" w:pos="461" w:val="left"/>
        </w:tabs>
        <w:numPr>
          <w:ilvl w:val="0"/>
          <w:numId w:val="71"/>
        </w:numPr>
        <w:rPr>
          <w:rFonts w:ascii="Times New Roman" w:cs="Times New Roman" w:eastAsia="Times New Roman" w:hAnsi="Times New Roman"/>
          <w:sz w:val="19"/>
          <w:szCs w:val="19"/>
          <w:color w:val="231F20"/>
        </w:rPr>
      </w:pPr>
      <w:r>
        <w:rPr>
          <w:rFonts w:ascii="Times New Roman" w:cs="Times New Roman" w:eastAsia="Times New Roman" w:hAnsi="Times New Roman"/>
          <w:sz w:val="19"/>
          <w:szCs w:val="19"/>
          <w:color w:val="231F20"/>
        </w:rPr>
        <w:t>Certain portfolio company investments are subject to contractual restrictions on sales.</w:t>
      </w:r>
    </w:p>
    <w:p>
      <w:pPr>
        <w:spacing w:after="0" w:line="26" w:lineRule="exact"/>
        <w:rPr>
          <w:rFonts w:ascii="Times New Roman" w:cs="Times New Roman" w:eastAsia="Times New Roman" w:hAnsi="Times New Roman"/>
          <w:sz w:val="19"/>
          <w:szCs w:val="19"/>
          <w:color w:val="231F20"/>
        </w:rPr>
      </w:pPr>
    </w:p>
    <w:p>
      <w:pPr>
        <w:ind w:left="461" w:right="260" w:hanging="461"/>
        <w:spacing w:after="0" w:line="245" w:lineRule="auto"/>
        <w:tabs>
          <w:tab w:leader="none" w:pos="461" w:val="left"/>
        </w:tabs>
        <w:numPr>
          <w:ilvl w:val="0"/>
          <w:numId w:val="71"/>
        </w:numPr>
        <w:rPr>
          <w:rFonts w:ascii="Times New Roman" w:cs="Times New Roman" w:eastAsia="Times New Roman" w:hAnsi="Times New Roman"/>
          <w:sz w:val="19"/>
          <w:szCs w:val="19"/>
          <w:color w:val="231F20"/>
        </w:rPr>
      </w:pPr>
      <w:r>
        <w:rPr>
          <w:rFonts w:ascii="Times New Roman" w:cs="Times New Roman" w:eastAsia="Times New Roman" w:hAnsi="Times New Roman"/>
          <w:sz w:val="19"/>
          <w:szCs w:val="19"/>
          <w:color w:val="231F20"/>
        </w:rPr>
        <w:t>The amortized cost represents the original cost adjusted for the amortization of discounts and premiums, as applicable, on debt investments using the effective interest method.</w:t>
      </w:r>
    </w:p>
    <w:p>
      <w:pPr>
        <w:sectPr>
          <w:pgSz w:w="12240" w:h="15840" w:orient="portrait"/>
          <w:cols w:equalWidth="0" w:num="1">
            <w:col w:w="10281"/>
          </w:cols>
          <w:pgMar w:left="979" w:top="1336" w:right="980" w:bottom="57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231F20"/>
        </w:rPr>
        <w:t>F-13</w:t>
      </w:r>
    </w:p>
    <w:p>
      <w:pPr>
        <w:sectPr>
          <w:pgSz w:w="12240" w:h="15840" w:orient="portrait"/>
          <w:cols w:equalWidth="0" w:num="1">
            <w:col w:w="10281"/>
          </w:cols>
          <w:pgMar w:left="979" w:top="1336" w:right="980" w:bottom="574" w:gutter="0" w:footer="0" w:header="0"/>
          <w:type w:val="continuous"/>
        </w:sectPr>
      </w:pPr>
    </w:p>
    <w:bookmarkStart w:id="101" w:name="page102"/>
    <w:bookmarkEnd w:id="101"/>
    <w:p>
      <w:pPr>
        <w:ind w:left="461" w:right="100" w:hanging="461"/>
        <w:spacing w:after="0" w:line="242" w:lineRule="auto"/>
        <w:tabs>
          <w:tab w:leader="none" w:pos="461" w:val="left"/>
        </w:tabs>
        <w:numPr>
          <w:ilvl w:val="0"/>
          <w:numId w:val="72"/>
        </w:numPr>
        <w:rPr>
          <w:rFonts w:ascii="Times New Roman" w:cs="Times New Roman" w:eastAsia="Times New Roman" w:hAnsi="Times New Roman"/>
          <w:sz w:val="19"/>
          <w:szCs w:val="19"/>
          <w:color w:val="231F20"/>
        </w:rPr>
      </w:pPr>
      <w:r>
        <w:rPr>
          <w:rFonts w:ascii="Times New Roman" w:cs="Times New Roman" w:eastAsia="Times New Roman" w:hAnsi="Times New Roman"/>
          <w:sz w:val="19"/>
          <w:szCs w:val="19"/>
          <w:color w:val="231F20"/>
        </w:rPr>
        <w:t>Investment contains a variable rate structure, subject to an interest rate floor. Variable rate investments bear interest at a rate that may be determined by reference to either Euro Interbank Offer Rate (“Euribor” or “E”), Sterling Overnight Index Average ("SONIA"), Secured Overnight Financing Rate (“SOFR”) which may also contain a credit spread adjustment depending on the tenor election, Bank Bill Swap Bid Rate (“BBSY” or “B”), Stockholm Interbank Offered Rate (“STIBOR”), Norwegian Interbank Offered Rate (“NIBOR” or “N”) or an alternate base rate (which can include the Federal Funds Effective Rate or the Prime Rate or “P”), all of which include an available tenor, selected at the borrower’s option, which reset periodically based on the terms of the credit agreement. For investments with multiple interest rate contracts, the interest rate shown is the weighted average interest rate in effect at December 31, 2024.</w:t>
      </w:r>
    </w:p>
    <w:p>
      <w:pPr>
        <w:spacing w:after="0" w:line="3" w:lineRule="exact"/>
        <w:rPr>
          <w:rFonts w:ascii="Times New Roman" w:cs="Times New Roman" w:eastAsia="Times New Roman" w:hAnsi="Times New Roman"/>
          <w:sz w:val="19"/>
          <w:szCs w:val="19"/>
          <w:color w:val="231F20"/>
        </w:rPr>
      </w:pPr>
    </w:p>
    <w:p>
      <w:pPr>
        <w:ind w:left="461" w:right="160" w:hanging="461"/>
        <w:spacing w:after="0" w:line="238" w:lineRule="auto"/>
        <w:tabs>
          <w:tab w:leader="none" w:pos="461" w:val="left"/>
        </w:tabs>
        <w:numPr>
          <w:ilvl w:val="0"/>
          <w:numId w:val="72"/>
        </w:numPr>
        <w:rPr>
          <w:rFonts w:ascii="Times New Roman" w:cs="Times New Roman" w:eastAsia="Times New Roman" w:hAnsi="Times New Roman"/>
          <w:sz w:val="19"/>
          <w:szCs w:val="19"/>
          <w:color w:val="231F20"/>
        </w:rPr>
      </w:pPr>
      <w:r>
        <w:rPr>
          <w:rFonts w:ascii="Times New Roman" w:cs="Times New Roman" w:eastAsia="Times New Roman" w:hAnsi="Times New Roman"/>
          <w:sz w:val="19"/>
          <w:szCs w:val="19"/>
          <w:color w:val="231F20"/>
        </w:rPr>
        <w:t>This portfolio company is not a qualifying asset under Section 55(a) of the Investment Company Act of 1940, as amended (the “1940 Act”). Under the 1940 Act, the Company may not acquire any non-qualifying asset unless, at the time such acquisition is made, qualifying assets represent at least 70% of total assets. Non-qualifying assets represented 16.5% of total assets as of December 31, 2024.</w:t>
      </w:r>
    </w:p>
    <w:p>
      <w:pPr>
        <w:spacing w:after="0" w:line="2" w:lineRule="exact"/>
        <w:rPr>
          <w:rFonts w:ascii="Times New Roman" w:cs="Times New Roman" w:eastAsia="Times New Roman" w:hAnsi="Times New Roman"/>
          <w:sz w:val="19"/>
          <w:szCs w:val="19"/>
          <w:color w:val="231F20"/>
        </w:rPr>
      </w:pPr>
    </w:p>
    <w:p>
      <w:pPr>
        <w:ind w:left="461" w:right="60" w:hanging="461"/>
        <w:spacing w:after="0" w:line="238" w:lineRule="auto"/>
        <w:tabs>
          <w:tab w:leader="none" w:pos="461" w:val="left"/>
        </w:tabs>
        <w:numPr>
          <w:ilvl w:val="0"/>
          <w:numId w:val="72"/>
        </w:numPr>
        <w:rPr>
          <w:rFonts w:ascii="Times New Roman" w:cs="Times New Roman" w:eastAsia="Times New Roman" w:hAnsi="Times New Roman"/>
          <w:sz w:val="19"/>
          <w:szCs w:val="19"/>
          <w:color w:val="231F20"/>
        </w:rPr>
      </w:pPr>
      <w:r>
        <w:rPr>
          <w:rFonts w:ascii="Times New Roman" w:cs="Times New Roman" w:eastAsia="Times New Roman" w:hAnsi="Times New Roman"/>
          <w:sz w:val="19"/>
          <w:szCs w:val="19"/>
          <w:color w:val="231F20"/>
        </w:rPr>
        <w:t>In addition to the interest earned based on the stated interest rate of this investment, which is the amount reflected in this schedule, the Company may be entitled to receive additional interest as a result of an arrangement with other members in the syndicate to the extent an investment has been allocated to “first out” and “last out” tranches, whereby the “first out” tranche will have priority as to the “last out” tranche with respect to payments of principal, interest and any amounts due thereunder and the Company holds the “last out” tranche.</w:t>
      </w:r>
    </w:p>
    <w:p>
      <w:pPr>
        <w:spacing w:after="0" w:line="2" w:lineRule="exact"/>
        <w:rPr>
          <w:rFonts w:ascii="Times New Roman" w:cs="Times New Roman" w:eastAsia="Times New Roman" w:hAnsi="Times New Roman"/>
          <w:sz w:val="19"/>
          <w:szCs w:val="19"/>
          <w:color w:val="231F20"/>
        </w:rPr>
      </w:pPr>
    </w:p>
    <w:p>
      <w:pPr>
        <w:ind w:left="461" w:right="60" w:hanging="461"/>
        <w:spacing w:after="0"/>
        <w:tabs>
          <w:tab w:leader="none" w:pos="461" w:val="left"/>
        </w:tabs>
        <w:numPr>
          <w:ilvl w:val="0"/>
          <w:numId w:val="72"/>
        </w:numPr>
        <w:rPr>
          <w:rFonts w:ascii="Times New Roman" w:cs="Times New Roman" w:eastAsia="Times New Roman" w:hAnsi="Times New Roman"/>
          <w:sz w:val="19"/>
          <w:szCs w:val="19"/>
          <w:color w:val="231F20"/>
        </w:rPr>
      </w:pPr>
      <w:r>
        <w:rPr>
          <w:rFonts w:ascii="Times New Roman" w:cs="Times New Roman" w:eastAsia="Times New Roman" w:hAnsi="Times New Roman"/>
          <w:sz w:val="19"/>
          <w:szCs w:val="19"/>
          <w:color w:val="231F20"/>
        </w:rPr>
        <w:t>Under the 1940 Act, the Company is deemed to be both an “Affiliated Person” of and “Control,” as such terms are defined in the 1940 Act, this portfolio company, as the Company owns more than 25% of the portfolio company’s outstanding voting securities or has the power to exercise control over management or policies of such portfolio company (including through a management agreement). Transactions during the year ended December 31, 2024 in which the issuer was an Affiliated Person of and was deemed to Control a portfolio company are as follows:</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231F20"/>
        </w:rPr>
        <w:t>Controlled, Affiliated Investments during the year ended December 31, 2024</w:t>
      </w:r>
    </w:p>
    <w:tbl>
      <w:tblPr>
        <w:tblLayout w:type="fixed"/>
        <w:tblInd w:w="1" w:type="dxa"/>
        <w:tblCellMar>
          <w:top w:w="0" w:type="dxa"/>
          <w:left w:w="0" w:type="dxa"/>
          <w:bottom w:w="0" w:type="dxa"/>
          <w:right w:w="0" w:type="dxa"/>
        </w:tblCellMar>
      </w:tblPr>
      <w:tr>
        <w:trPr>
          <w:trHeight w:val="153"/>
        </w:trPr>
        <w:tc>
          <w:tcPr>
            <w:tcW w:w="1920" w:type="dxa"/>
            <w:vAlign w:val="bottom"/>
            <w:tcBorders>
              <w:top w:val="single" w:sz="8" w:color="FDFDFC"/>
            </w:tcBorders>
            <w:shd w:val="clear" w:color="auto" w:fill="FDFDFC"/>
          </w:tcPr>
          <w:p>
            <w:pPr>
              <w:spacing w:after="0"/>
              <w:rPr>
                <w:sz w:val="13"/>
                <w:szCs w:val="13"/>
                <w:color w:val="auto"/>
              </w:rPr>
            </w:pPr>
          </w:p>
        </w:tc>
        <w:tc>
          <w:tcPr>
            <w:tcW w:w="100" w:type="dxa"/>
            <w:vAlign w:val="bottom"/>
            <w:tcBorders>
              <w:top w:val="single" w:sz="8" w:color="FDFDFC"/>
            </w:tcBorders>
            <w:shd w:val="clear" w:color="auto" w:fill="FDFDFC"/>
          </w:tcPr>
          <w:p>
            <w:pPr>
              <w:spacing w:after="0"/>
              <w:rPr>
                <w:sz w:val="13"/>
                <w:szCs w:val="13"/>
                <w:color w:val="auto"/>
              </w:rPr>
            </w:pPr>
          </w:p>
        </w:tc>
        <w:tc>
          <w:tcPr>
            <w:tcW w:w="40" w:type="dxa"/>
            <w:vAlign w:val="bottom"/>
            <w:tcBorders>
              <w:top w:val="single" w:sz="8" w:color="FDFDFC"/>
            </w:tcBorders>
            <w:shd w:val="clear" w:color="auto" w:fill="FDFDFC"/>
          </w:tcPr>
          <w:p>
            <w:pPr>
              <w:spacing w:after="0"/>
              <w:rPr>
                <w:sz w:val="13"/>
                <w:szCs w:val="13"/>
                <w:color w:val="auto"/>
              </w:rPr>
            </w:pPr>
          </w:p>
        </w:tc>
        <w:tc>
          <w:tcPr>
            <w:tcW w:w="80" w:type="dxa"/>
            <w:vAlign w:val="bottom"/>
            <w:tcBorders>
              <w:top w:val="single" w:sz="8" w:color="231F20"/>
            </w:tcBorders>
            <w:shd w:val="clear" w:color="auto" w:fill="FDFDFC"/>
          </w:tcPr>
          <w:p>
            <w:pPr>
              <w:spacing w:after="0"/>
              <w:rPr>
                <w:sz w:val="13"/>
                <w:szCs w:val="13"/>
                <w:color w:val="auto"/>
              </w:rPr>
            </w:pPr>
          </w:p>
        </w:tc>
        <w:tc>
          <w:tcPr>
            <w:tcW w:w="760" w:type="dxa"/>
            <w:vAlign w:val="bottom"/>
            <w:tcBorders>
              <w:top w:val="single" w:sz="8" w:color="231F20"/>
            </w:tcBorders>
            <w:vMerge w:val="restart"/>
            <w:shd w:val="clear" w:color="auto" w:fill="FDFDFC"/>
          </w:tcPr>
          <w:p>
            <w:pPr>
              <w:jc w:val="center"/>
              <w:ind w:right="44"/>
              <w:spacing w:after="0"/>
              <w:rPr>
                <w:sz w:val="20"/>
                <w:szCs w:val="20"/>
                <w:color w:val="auto"/>
              </w:rPr>
            </w:pPr>
            <w:r>
              <w:rPr>
                <w:rFonts w:ascii="Times New Roman" w:cs="Times New Roman" w:eastAsia="Times New Roman" w:hAnsi="Times New Roman"/>
                <w:sz w:val="15"/>
                <w:szCs w:val="15"/>
                <w:b w:val="1"/>
                <w:bCs w:val="1"/>
                <w:color w:val="231F20"/>
              </w:rPr>
              <w:t>Fair</w:t>
            </w:r>
          </w:p>
        </w:tc>
        <w:tc>
          <w:tcPr>
            <w:tcW w:w="180" w:type="dxa"/>
            <w:vAlign w:val="bottom"/>
            <w:tcBorders>
              <w:top w:val="single" w:sz="8" w:color="231F20"/>
            </w:tcBorders>
            <w:shd w:val="clear" w:color="auto" w:fill="FDFDFC"/>
          </w:tcPr>
          <w:p>
            <w:pPr>
              <w:spacing w:after="0"/>
              <w:rPr>
                <w:sz w:val="13"/>
                <w:szCs w:val="13"/>
                <w:color w:val="auto"/>
              </w:rPr>
            </w:pPr>
          </w:p>
        </w:tc>
        <w:tc>
          <w:tcPr>
            <w:tcW w:w="160" w:type="dxa"/>
            <w:vAlign w:val="bottom"/>
            <w:tcBorders>
              <w:top w:val="single" w:sz="8" w:color="231F20"/>
            </w:tcBorders>
            <w:shd w:val="clear" w:color="auto" w:fill="FDFDFC"/>
          </w:tcPr>
          <w:p>
            <w:pPr>
              <w:spacing w:after="0"/>
              <w:rPr>
                <w:sz w:val="13"/>
                <w:szCs w:val="13"/>
                <w:color w:val="auto"/>
              </w:rPr>
            </w:pPr>
          </w:p>
        </w:tc>
        <w:tc>
          <w:tcPr>
            <w:tcW w:w="700" w:type="dxa"/>
            <w:vAlign w:val="bottom"/>
            <w:tcBorders>
              <w:top w:val="single" w:sz="8" w:color="231F20"/>
            </w:tcBorders>
            <w:shd w:val="clear" w:color="auto" w:fill="FDFDFC"/>
          </w:tcPr>
          <w:p>
            <w:pPr>
              <w:spacing w:after="0"/>
              <w:rPr>
                <w:sz w:val="13"/>
                <w:szCs w:val="13"/>
                <w:color w:val="auto"/>
              </w:rPr>
            </w:pPr>
          </w:p>
        </w:tc>
        <w:tc>
          <w:tcPr>
            <w:tcW w:w="180" w:type="dxa"/>
            <w:vAlign w:val="bottom"/>
            <w:tcBorders>
              <w:top w:val="single" w:sz="8" w:color="231F20"/>
            </w:tcBorders>
            <w:shd w:val="clear" w:color="auto" w:fill="FDFDFC"/>
          </w:tcPr>
          <w:p>
            <w:pPr>
              <w:spacing w:after="0"/>
              <w:rPr>
                <w:sz w:val="13"/>
                <w:szCs w:val="13"/>
                <w:color w:val="auto"/>
              </w:rPr>
            </w:pPr>
          </w:p>
        </w:tc>
        <w:tc>
          <w:tcPr>
            <w:tcW w:w="180" w:type="dxa"/>
            <w:vAlign w:val="bottom"/>
            <w:tcBorders>
              <w:top w:val="single" w:sz="8" w:color="231F20"/>
            </w:tcBorders>
            <w:shd w:val="clear" w:color="auto" w:fill="FDFDFC"/>
          </w:tcPr>
          <w:p>
            <w:pPr>
              <w:spacing w:after="0"/>
              <w:rPr>
                <w:sz w:val="13"/>
                <w:szCs w:val="13"/>
                <w:color w:val="auto"/>
              </w:rPr>
            </w:pPr>
          </w:p>
        </w:tc>
        <w:tc>
          <w:tcPr>
            <w:tcW w:w="780" w:type="dxa"/>
            <w:vAlign w:val="bottom"/>
            <w:tcBorders>
              <w:top w:val="single" w:sz="8" w:color="231F20"/>
            </w:tcBorders>
            <w:shd w:val="clear" w:color="auto" w:fill="FDFDFC"/>
          </w:tcPr>
          <w:p>
            <w:pPr>
              <w:spacing w:after="0"/>
              <w:rPr>
                <w:sz w:val="13"/>
                <w:szCs w:val="13"/>
                <w:color w:val="auto"/>
              </w:rPr>
            </w:pPr>
          </w:p>
        </w:tc>
        <w:tc>
          <w:tcPr>
            <w:tcW w:w="20" w:type="dxa"/>
            <w:vAlign w:val="bottom"/>
            <w:tcBorders>
              <w:top w:val="single" w:sz="8" w:color="231F20"/>
            </w:tcBorders>
            <w:shd w:val="clear" w:color="auto" w:fill="FDFDFC"/>
          </w:tcPr>
          <w:p>
            <w:pPr>
              <w:spacing w:after="0"/>
              <w:rPr>
                <w:sz w:val="13"/>
                <w:szCs w:val="13"/>
                <w:color w:val="auto"/>
              </w:rPr>
            </w:pPr>
          </w:p>
        </w:tc>
        <w:tc>
          <w:tcPr>
            <w:tcW w:w="140" w:type="dxa"/>
            <w:vAlign w:val="bottom"/>
            <w:tcBorders>
              <w:top w:val="single" w:sz="8" w:color="231F20"/>
            </w:tcBorders>
            <w:shd w:val="clear" w:color="auto" w:fill="FDFDFC"/>
          </w:tcPr>
          <w:p>
            <w:pPr>
              <w:spacing w:after="0"/>
              <w:rPr>
                <w:sz w:val="13"/>
                <w:szCs w:val="13"/>
                <w:color w:val="auto"/>
              </w:rPr>
            </w:pPr>
          </w:p>
        </w:tc>
        <w:tc>
          <w:tcPr>
            <w:tcW w:w="300" w:type="dxa"/>
            <w:vAlign w:val="bottom"/>
            <w:tcBorders>
              <w:top w:val="single" w:sz="8" w:color="231F20"/>
            </w:tcBorders>
            <w:shd w:val="clear" w:color="auto" w:fill="FDFDFC"/>
          </w:tcPr>
          <w:p>
            <w:pPr>
              <w:spacing w:after="0"/>
              <w:rPr>
                <w:sz w:val="13"/>
                <w:szCs w:val="13"/>
                <w:color w:val="auto"/>
              </w:rPr>
            </w:pPr>
          </w:p>
        </w:tc>
        <w:tc>
          <w:tcPr>
            <w:tcW w:w="600" w:type="dxa"/>
            <w:vAlign w:val="bottom"/>
            <w:tcBorders>
              <w:top w:val="single" w:sz="8" w:color="231F20"/>
            </w:tcBorders>
            <w:shd w:val="clear" w:color="auto" w:fill="FDFDFC"/>
          </w:tcPr>
          <w:p>
            <w:pPr>
              <w:spacing w:after="0"/>
              <w:rPr>
                <w:sz w:val="13"/>
                <w:szCs w:val="13"/>
                <w:color w:val="auto"/>
              </w:rPr>
            </w:pPr>
          </w:p>
        </w:tc>
        <w:tc>
          <w:tcPr>
            <w:tcW w:w="160" w:type="dxa"/>
            <w:vAlign w:val="bottom"/>
            <w:tcBorders>
              <w:top w:val="single" w:sz="8" w:color="231F20"/>
            </w:tcBorders>
            <w:shd w:val="clear" w:color="auto" w:fill="FDFDFC"/>
          </w:tcPr>
          <w:p>
            <w:pPr>
              <w:spacing w:after="0"/>
              <w:rPr>
                <w:sz w:val="13"/>
                <w:szCs w:val="13"/>
                <w:color w:val="auto"/>
              </w:rPr>
            </w:pPr>
          </w:p>
        </w:tc>
        <w:tc>
          <w:tcPr>
            <w:tcW w:w="100" w:type="dxa"/>
            <w:vAlign w:val="bottom"/>
            <w:tcBorders>
              <w:top w:val="single" w:sz="8" w:color="231F20"/>
            </w:tcBorders>
            <w:shd w:val="clear" w:color="auto" w:fill="FDFDFC"/>
          </w:tcPr>
          <w:p>
            <w:pPr>
              <w:spacing w:after="0"/>
              <w:rPr>
                <w:sz w:val="13"/>
                <w:szCs w:val="13"/>
                <w:color w:val="auto"/>
              </w:rPr>
            </w:pPr>
          </w:p>
        </w:tc>
        <w:tc>
          <w:tcPr>
            <w:tcW w:w="680" w:type="dxa"/>
            <w:vAlign w:val="bottom"/>
            <w:tcBorders>
              <w:top w:val="single" w:sz="8" w:color="231F20"/>
            </w:tcBorders>
            <w:shd w:val="clear" w:color="auto" w:fill="FDFDFC"/>
          </w:tcPr>
          <w:p>
            <w:pPr>
              <w:spacing w:after="0"/>
              <w:rPr>
                <w:sz w:val="13"/>
                <w:szCs w:val="13"/>
                <w:color w:val="auto"/>
              </w:rPr>
            </w:pPr>
          </w:p>
        </w:tc>
        <w:tc>
          <w:tcPr>
            <w:tcW w:w="160" w:type="dxa"/>
            <w:vAlign w:val="bottom"/>
            <w:tcBorders>
              <w:top w:val="single" w:sz="8" w:color="231F20"/>
            </w:tcBorders>
            <w:shd w:val="clear" w:color="auto" w:fill="FDFDFC"/>
          </w:tcPr>
          <w:p>
            <w:pPr>
              <w:spacing w:after="0"/>
              <w:rPr>
                <w:sz w:val="13"/>
                <w:szCs w:val="13"/>
                <w:color w:val="auto"/>
              </w:rPr>
            </w:pPr>
          </w:p>
        </w:tc>
        <w:tc>
          <w:tcPr>
            <w:tcW w:w="300" w:type="dxa"/>
            <w:vAlign w:val="bottom"/>
            <w:tcBorders>
              <w:top w:val="single" w:sz="8" w:color="231F20"/>
            </w:tcBorders>
            <w:shd w:val="clear" w:color="auto" w:fill="FDFDFC"/>
          </w:tcPr>
          <w:p>
            <w:pPr>
              <w:spacing w:after="0"/>
              <w:rPr>
                <w:sz w:val="13"/>
                <w:szCs w:val="13"/>
                <w:color w:val="auto"/>
              </w:rPr>
            </w:pPr>
          </w:p>
        </w:tc>
        <w:tc>
          <w:tcPr>
            <w:tcW w:w="380" w:type="dxa"/>
            <w:vAlign w:val="bottom"/>
            <w:tcBorders>
              <w:top w:val="single" w:sz="8" w:color="231F20"/>
            </w:tcBorders>
            <w:shd w:val="clear" w:color="auto" w:fill="FDFDFC"/>
          </w:tcPr>
          <w:p>
            <w:pPr>
              <w:spacing w:after="0"/>
              <w:rPr>
                <w:sz w:val="13"/>
                <w:szCs w:val="13"/>
                <w:color w:val="auto"/>
              </w:rPr>
            </w:pPr>
          </w:p>
        </w:tc>
        <w:tc>
          <w:tcPr>
            <w:tcW w:w="180" w:type="dxa"/>
            <w:vAlign w:val="bottom"/>
            <w:tcBorders>
              <w:top w:val="single" w:sz="8" w:color="231F20"/>
            </w:tcBorders>
            <w:shd w:val="clear" w:color="auto" w:fill="FDFDFC"/>
          </w:tcPr>
          <w:p>
            <w:pPr>
              <w:spacing w:after="0"/>
              <w:rPr>
                <w:sz w:val="13"/>
                <w:szCs w:val="13"/>
                <w:color w:val="auto"/>
              </w:rPr>
            </w:pPr>
          </w:p>
        </w:tc>
        <w:tc>
          <w:tcPr>
            <w:tcW w:w="120" w:type="dxa"/>
            <w:vAlign w:val="bottom"/>
            <w:tcBorders>
              <w:top w:val="single" w:sz="8" w:color="231F20"/>
            </w:tcBorders>
            <w:shd w:val="clear" w:color="auto" w:fill="FDFDFC"/>
          </w:tcPr>
          <w:p>
            <w:pPr>
              <w:spacing w:after="0"/>
              <w:rPr>
                <w:sz w:val="13"/>
                <w:szCs w:val="13"/>
                <w:color w:val="auto"/>
              </w:rPr>
            </w:pPr>
          </w:p>
        </w:tc>
        <w:tc>
          <w:tcPr>
            <w:tcW w:w="560" w:type="dxa"/>
            <w:vAlign w:val="bottom"/>
            <w:tcBorders>
              <w:top w:val="single" w:sz="8" w:color="FDFDFC"/>
            </w:tcBorders>
            <w:shd w:val="clear" w:color="auto" w:fill="FDFDFC"/>
          </w:tcPr>
          <w:p>
            <w:pPr>
              <w:jc w:val="right"/>
              <w:ind w:right="124"/>
              <w:spacing w:after="0" w:line="154" w:lineRule="exact"/>
              <w:rPr>
                <w:sz w:val="20"/>
                <w:szCs w:val="20"/>
                <w:color w:val="auto"/>
              </w:rPr>
            </w:pPr>
            <w:r>
              <w:rPr>
                <w:rFonts w:ascii="Times New Roman" w:cs="Times New Roman" w:eastAsia="Times New Roman" w:hAnsi="Times New Roman"/>
                <w:sz w:val="15"/>
                <w:szCs w:val="15"/>
                <w:b w:val="1"/>
                <w:bCs w:val="1"/>
                <w:color w:val="231F20"/>
              </w:rPr>
              <w:t>Fair</w:t>
            </w:r>
          </w:p>
        </w:tc>
        <w:tc>
          <w:tcPr>
            <w:tcW w:w="180" w:type="dxa"/>
            <w:vAlign w:val="bottom"/>
            <w:tcBorders>
              <w:top w:val="single" w:sz="8" w:color="FDFDFC"/>
            </w:tcBorders>
            <w:shd w:val="clear" w:color="auto" w:fill="FDFDFC"/>
          </w:tcPr>
          <w:p>
            <w:pPr>
              <w:spacing w:after="0"/>
              <w:rPr>
                <w:sz w:val="13"/>
                <w:szCs w:val="13"/>
                <w:color w:val="auto"/>
              </w:rPr>
            </w:pPr>
          </w:p>
        </w:tc>
        <w:tc>
          <w:tcPr>
            <w:tcW w:w="220" w:type="dxa"/>
            <w:vAlign w:val="bottom"/>
            <w:tcBorders>
              <w:top w:val="single" w:sz="8" w:color="FDFDFC"/>
            </w:tcBorders>
            <w:shd w:val="clear" w:color="auto" w:fill="FDFDFC"/>
          </w:tcPr>
          <w:p>
            <w:pPr>
              <w:spacing w:after="0"/>
              <w:rPr>
                <w:sz w:val="13"/>
                <w:szCs w:val="13"/>
                <w:color w:val="auto"/>
              </w:rPr>
            </w:pPr>
          </w:p>
        </w:tc>
        <w:tc>
          <w:tcPr>
            <w:tcW w:w="300" w:type="dxa"/>
            <w:vAlign w:val="bottom"/>
            <w:tcBorders>
              <w:top w:val="single" w:sz="8" w:color="FDFDFC"/>
            </w:tcBorders>
            <w:shd w:val="clear" w:color="auto" w:fill="FDFDFC"/>
          </w:tcPr>
          <w:p>
            <w:pPr>
              <w:spacing w:after="0"/>
              <w:rPr>
                <w:sz w:val="13"/>
                <w:szCs w:val="13"/>
                <w:color w:val="auto"/>
              </w:rPr>
            </w:pPr>
          </w:p>
        </w:tc>
        <w:tc>
          <w:tcPr>
            <w:tcW w:w="180" w:type="dxa"/>
            <w:vAlign w:val="bottom"/>
            <w:tcBorders>
              <w:top w:val="single" w:sz="8" w:color="FDFDFC"/>
            </w:tcBorders>
            <w:shd w:val="clear" w:color="auto" w:fill="FDFDFC"/>
          </w:tcPr>
          <w:p>
            <w:pPr>
              <w:spacing w:after="0"/>
              <w:rPr>
                <w:sz w:val="13"/>
                <w:szCs w:val="13"/>
                <w:color w:val="auto"/>
              </w:rPr>
            </w:pPr>
          </w:p>
        </w:tc>
        <w:tc>
          <w:tcPr>
            <w:tcW w:w="140" w:type="dxa"/>
            <w:vAlign w:val="bottom"/>
            <w:tcBorders>
              <w:top w:val="single" w:sz="8" w:color="FDFDFC"/>
            </w:tcBorders>
            <w:shd w:val="clear" w:color="auto" w:fill="FDFDFC"/>
          </w:tcPr>
          <w:p>
            <w:pPr>
              <w:spacing w:after="0"/>
              <w:rPr>
                <w:sz w:val="13"/>
                <w:szCs w:val="13"/>
                <w:color w:val="auto"/>
              </w:rPr>
            </w:pPr>
          </w:p>
        </w:tc>
        <w:tc>
          <w:tcPr>
            <w:tcW w:w="400" w:type="dxa"/>
            <w:vAlign w:val="bottom"/>
            <w:tcBorders>
              <w:top w:val="single" w:sz="8" w:color="FDFDFC"/>
            </w:tcBorders>
            <w:shd w:val="clear" w:color="auto" w:fill="FDFDFC"/>
          </w:tcPr>
          <w:p>
            <w:pPr>
              <w:spacing w:after="0"/>
              <w:rPr>
                <w:sz w:val="13"/>
                <w:szCs w:val="13"/>
                <w:color w:val="auto"/>
              </w:rPr>
            </w:pPr>
          </w:p>
        </w:tc>
        <w:tc>
          <w:tcPr>
            <w:tcW w:w="80" w:type="dxa"/>
            <w:vAlign w:val="bottom"/>
            <w:tcBorders>
              <w:top w:val="single" w:sz="8" w:color="FDFDFC"/>
            </w:tcBorders>
            <w:shd w:val="clear" w:color="auto" w:fill="FDFDFC"/>
          </w:tcPr>
          <w:p>
            <w:pPr>
              <w:spacing w:after="0"/>
              <w:rPr>
                <w:sz w:val="13"/>
                <w:szCs w:val="13"/>
                <w:color w:val="auto"/>
              </w:rPr>
            </w:pPr>
          </w:p>
        </w:tc>
        <w:tc>
          <w:tcPr>
            <w:tcW w:w="0" w:type="dxa"/>
            <w:vAlign w:val="bottom"/>
          </w:tcPr>
          <w:p>
            <w:pPr>
              <w:spacing w:after="0"/>
              <w:rPr>
                <w:sz w:val="1"/>
                <w:szCs w:val="1"/>
                <w:color w:val="auto"/>
              </w:rPr>
            </w:pPr>
          </w:p>
        </w:tc>
      </w:tr>
      <w:tr>
        <w:trPr>
          <w:trHeight w:val="174"/>
        </w:trPr>
        <w:tc>
          <w:tcPr>
            <w:tcW w:w="1920" w:type="dxa"/>
            <w:vAlign w:val="bottom"/>
            <w:shd w:val="clear" w:color="auto" w:fill="FDFDFC"/>
          </w:tcPr>
          <w:p>
            <w:pPr>
              <w:spacing w:after="0"/>
              <w:rPr>
                <w:sz w:val="15"/>
                <w:szCs w:val="15"/>
                <w:color w:val="auto"/>
              </w:rPr>
            </w:pPr>
          </w:p>
        </w:tc>
        <w:tc>
          <w:tcPr>
            <w:tcW w:w="100" w:type="dxa"/>
            <w:vAlign w:val="bottom"/>
            <w:shd w:val="clear" w:color="auto" w:fill="FDFDFC"/>
          </w:tcPr>
          <w:p>
            <w:pPr>
              <w:spacing w:after="0"/>
              <w:rPr>
                <w:sz w:val="15"/>
                <w:szCs w:val="15"/>
                <w:color w:val="auto"/>
              </w:rPr>
            </w:pPr>
          </w:p>
        </w:tc>
        <w:tc>
          <w:tcPr>
            <w:tcW w:w="40" w:type="dxa"/>
            <w:vAlign w:val="bottom"/>
            <w:shd w:val="clear" w:color="auto" w:fill="FDFDFC"/>
          </w:tcPr>
          <w:p>
            <w:pPr>
              <w:spacing w:after="0"/>
              <w:rPr>
                <w:sz w:val="15"/>
                <w:szCs w:val="15"/>
                <w:color w:val="auto"/>
              </w:rPr>
            </w:pPr>
          </w:p>
        </w:tc>
        <w:tc>
          <w:tcPr>
            <w:tcW w:w="80" w:type="dxa"/>
            <w:vAlign w:val="bottom"/>
            <w:shd w:val="clear" w:color="auto" w:fill="FDFDFC"/>
          </w:tcPr>
          <w:p>
            <w:pPr>
              <w:spacing w:after="0"/>
              <w:rPr>
                <w:sz w:val="15"/>
                <w:szCs w:val="15"/>
                <w:color w:val="auto"/>
              </w:rPr>
            </w:pPr>
          </w:p>
        </w:tc>
        <w:tc>
          <w:tcPr>
            <w:tcW w:w="760" w:type="dxa"/>
            <w:vAlign w:val="bottom"/>
            <w:vMerge w:val="continue"/>
            <w:shd w:val="clear" w:color="auto" w:fill="FDFDFC"/>
          </w:tcPr>
          <w:p>
            <w:pPr>
              <w:spacing w:after="0"/>
              <w:rPr>
                <w:sz w:val="15"/>
                <w:szCs w:val="15"/>
                <w:color w:val="auto"/>
              </w:rPr>
            </w:pPr>
          </w:p>
        </w:tc>
        <w:tc>
          <w:tcPr>
            <w:tcW w:w="180" w:type="dxa"/>
            <w:vAlign w:val="bottom"/>
            <w:shd w:val="clear" w:color="auto" w:fill="FDFDFC"/>
          </w:tcPr>
          <w:p>
            <w:pPr>
              <w:spacing w:after="0"/>
              <w:rPr>
                <w:sz w:val="15"/>
                <w:szCs w:val="15"/>
                <w:color w:val="auto"/>
              </w:rPr>
            </w:pPr>
          </w:p>
        </w:tc>
        <w:tc>
          <w:tcPr>
            <w:tcW w:w="160" w:type="dxa"/>
            <w:vAlign w:val="bottom"/>
            <w:shd w:val="clear" w:color="auto" w:fill="FDFDFC"/>
          </w:tcPr>
          <w:p>
            <w:pPr>
              <w:spacing w:after="0"/>
              <w:rPr>
                <w:sz w:val="15"/>
                <w:szCs w:val="15"/>
                <w:color w:val="auto"/>
              </w:rPr>
            </w:pPr>
          </w:p>
        </w:tc>
        <w:tc>
          <w:tcPr>
            <w:tcW w:w="700" w:type="dxa"/>
            <w:vAlign w:val="bottom"/>
            <w:shd w:val="clear" w:color="auto" w:fill="FDFDFC"/>
          </w:tcPr>
          <w:p>
            <w:pPr>
              <w:spacing w:after="0"/>
              <w:rPr>
                <w:sz w:val="15"/>
                <w:szCs w:val="15"/>
                <w:color w:val="auto"/>
              </w:rPr>
            </w:pPr>
          </w:p>
        </w:tc>
        <w:tc>
          <w:tcPr>
            <w:tcW w:w="180" w:type="dxa"/>
            <w:vAlign w:val="bottom"/>
            <w:shd w:val="clear" w:color="auto" w:fill="FDFDFC"/>
          </w:tcPr>
          <w:p>
            <w:pPr>
              <w:spacing w:after="0"/>
              <w:rPr>
                <w:sz w:val="15"/>
                <w:szCs w:val="15"/>
                <w:color w:val="auto"/>
              </w:rPr>
            </w:pPr>
          </w:p>
        </w:tc>
        <w:tc>
          <w:tcPr>
            <w:tcW w:w="180" w:type="dxa"/>
            <w:vAlign w:val="bottom"/>
            <w:shd w:val="clear" w:color="auto" w:fill="FDFDFC"/>
          </w:tcPr>
          <w:p>
            <w:pPr>
              <w:spacing w:after="0"/>
              <w:rPr>
                <w:sz w:val="15"/>
                <w:szCs w:val="15"/>
                <w:color w:val="auto"/>
              </w:rPr>
            </w:pPr>
          </w:p>
        </w:tc>
        <w:tc>
          <w:tcPr>
            <w:tcW w:w="780" w:type="dxa"/>
            <w:vAlign w:val="bottom"/>
            <w:shd w:val="clear" w:color="auto" w:fill="FDFDFC"/>
          </w:tcPr>
          <w:p>
            <w:pPr>
              <w:spacing w:after="0"/>
              <w:rPr>
                <w:sz w:val="15"/>
                <w:szCs w:val="15"/>
                <w:color w:val="auto"/>
              </w:rPr>
            </w:pPr>
          </w:p>
        </w:tc>
        <w:tc>
          <w:tcPr>
            <w:tcW w:w="20" w:type="dxa"/>
            <w:vAlign w:val="bottom"/>
            <w:shd w:val="clear" w:color="auto" w:fill="FDFDFC"/>
          </w:tcPr>
          <w:p>
            <w:pPr>
              <w:spacing w:after="0"/>
              <w:rPr>
                <w:sz w:val="15"/>
                <w:szCs w:val="15"/>
                <w:color w:val="auto"/>
              </w:rPr>
            </w:pPr>
          </w:p>
        </w:tc>
        <w:tc>
          <w:tcPr>
            <w:tcW w:w="140" w:type="dxa"/>
            <w:vAlign w:val="bottom"/>
            <w:shd w:val="clear" w:color="auto" w:fill="FDFDFC"/>
          </w:tcPr>
          <w:p>
            <w:pPr>
              <w:spacing w:after="0"/>
              <w:rPr>
                <w:sz w:val="15"/>
                <w:szCs w:val="15"/>
                <w:color w:val="auto"/>
              </w:rPr>
            </w:pPr>
          </w:p>
        </w:tc>
        <w:tc>
          <w:tcPr>
            <w:tcW w:w="1060" w:type="dxa"/>
            <w:vAlign w:val="bottom"/>
            <w:gridSpan w:val="3"/>
            <w:vMerge w:val="restart"/>
            <w:shd w:val="clear" w:color="auto" w:fill="FDFDFC"/>
          </w:tcPr>
          <w:p>
            <w:pPr>
              <w:ind w:left="80"/>
              <w:spacing w:after="0"/>
              <w:rPr>
                <w:sz w:val="20"/>
                <w:szCs w:val="20"/>
                <w:color w:val="auto"/>
              </w:rPr>
            </w:pPr>
            <w:r>
              <w:rPr>
                <w:rFonts w:ascii="Times New Roman" w:cs="Times New Roman" w:eastAsia="Times New Roman" w:hAnsi="Times New Roman"/>
                <w:sz w:val="15"/>
                <w:szCs w:val="15"/>
                <w:b w:val="1"/>
                <w:bCs w:val="1"/>
                <w:color w:val="231F20"/>
              </w:rPr>
              <w:t>Net Change</w:t>
            </w:r>
          </w:p>
        </w:tc>
        <w:tc>
          <w:tcPr>
            <w:tcW w:w="100" w:type="dxa"/>
            <w:vAlign w:val="bottom"/>
            <w:shd w:val="clear" w:color="auto" w:fill="FDFDFC"/>
          </w:tcPr>
          <w:p>
            <w:pPr>
              <w:spacing w:after="0"/>
              <w:rPr>
                <w:sz w:val="15"/>
                <w:szCs w:val="15"/>
                <w:color w:val="auto"/>
              </w:rPr>
            </w:pPr>
          </w:p>
        </w:tc>
        <w:tc>
          <w:tcPr>
            <w:tcW w:w="680" w:type="dxa"/>
            <w:vAlign w:val="bottom"/>
            <w:shd w:val="clear" w:color="auto" w:fill="FDFDFC"/>
          </w:tcPr>
          <w:p>
            <w:pPr>
              <w:spacing w:after="0"/>
              <w:rPr>
                <w:sz w:val="15"/>
                <w:szCs w:val="15"/>
                <w:color w:val="auto"/>
              </w:rPr>
            </w:pPr>
          </w:p>
        </w:tc>
        <w:tc>
          <w:tcPr>
            <w:tcW w:w="160" w:type="dxa"/>
            <w:vAlign w:val="bottom"/>
            <w:shd w:val="clear" w:color="auto" w:fill="FDFDFC"/>
          </w:tcPr>
          <w:p>
            <w:pPr>
              <w:spacing w:after="0"/>
              <w:rPr>
                <w:sz w:val="15"/>
                <w:szCs w:val="15"/>
                <w:color w:val="auto"/>
              </w:rPr>
            </w:pPr>
          </w:p>
        </w:tc>
        <w:tc>
          <w:tcPr>
            <w:tcW w:w="300" w:type="dxa"/>
            <w:vAlign w:val="bottom"/>
            <w:shd w:val="clear" w:color="auto" w:fill="FDFDFC"/>
          </w:tcPr>
          <w:p>
            <w:pPr>
              <w:spacing w:after="0"/>
              <w:rPr>
                <w:sz w:val="15"/>
                <w:szCs w:val="15"/>
                <w:color w:val="auto"/>
              </w:rPr>
            </w:pPr>
          </w:p>
        </w:tc>
        <w:tc>
          <w:tcPr>
            <w:tcW w:w="380" w:type="dxa"/>
            <w:vAlign w:val="bottom"/>
            <w:shd w:val="clear" w:color="auto" w:fill="FDFDFC"/>
          </w:tcPr>
          <w:p>
            <w:pPr>
              <w:spacing w:after="0"/>
              <w:rPr>
                <w:sz w:val="15"/>
                <w:szCs w:val="15"/>
                <w:color w:val="auto"/>
              </w:rPr>
            </w:pPr>
          </w:p>
        </w:tc>
        <w:tc>
          <w:tcPr>
            <w:tcW w:w="180" w:type="dxa"/>
            <w:vAlign w:val="bottom"/>
            <w:shd w:val="clear" w:color="auto" w:fill="FDFDFC"/>
          </w:tcPr>
          <w:p>
            <w:pPr>
              <w:spacing w:after="0"/>
              <w:rPr>
                <w:sz w:val="15"/>
                <w:szCs w:val="15"/>
                <w:color w:val="auto"/>
              </w:rPr>
            </w:pPr>
          </w:p>
        </w:tc>
        <w:tc>
          <w:tcPr>
            <w:tcW w:w="680" w:type="dxa"/>
            <w:vAlign w:val="bottom"/>
            <w:gridSpan w:val="2"/>
            <w:shd w:val="clear" w:color="auto" w:fill="FDFDFC"/>
          </w:tcPr>
          <w:p>
            <w:pPr>
              <w:ind w:left="60"/>
              <w:spacing w:after="0"/>
              <w:rPr>
                <w:sz w:val="20"/>
                <w:szCs w:val="20"/>
                <w:color w:val="auto"/>
              </w:rPr>
            </w:pPr>
            <w:r>
              <w:rPr>
                <w:rFonts w:ascii="Times New Roman" w:cs="Times New Roman" w:eastAsia="Times New Roman" w:hAnsi="Times New Roman"/>
                <w:sz w:val="15"/>
                <w:szCs w:val="15"/>
                <w:b w:val="1"/>
                <w:bCs w:val="1"/>
                <w:color w:val="231F20"/>
              </w:rPr>
              <w:t>Value at</w:t>
            </w:r>
          </w:p>
        </w:tc>
        <w:tc>
          <w:tcPr>
            <w:tcW w:w="180" w:type="dxa"/>
            <w:vAlign w:val="bottom"/>
            <w:shd w:val="clear" w:color="auto" w:fill="FDFDFC"/>
          </w:tcPr>
          <w:p>
            <w:pPr>
              <w:spacing w:after="0"/>
              <w:rPr>
                <w:sz w:val="15"/>
                <w:szCs w:val="15"/>
                <w:color w:val="auto"/>
              </w:rPr>
            </w:pPr>
          </w:p>
        </w:tc>
        <w:tc>
          <w:tcPr>
            <w:tcW w:w="220" w:type="dxa"/>
            <w:vAlign w:val="bottom"/>
            <w:shd w:val="clear" w:color="auto" w:fill="FDFDFC"/>
          </w:tcPr>
          <w:p>
            <w:pPr>
              <w:spacing w:after="0"/>
              <w:rPr>
                <w:sz w:val="15"/>
                <w:szCs w:val="15"/>
                <w:color w:val="auto"/>
              </w:rPr>
            </w:pPr>
          </w:p>
        </w:tc>
        <w:tc>
          <w:tcPr>
            <w:tcW w:w="300" w:type="dxa"/>
            <w:vAlign w:val="bottom"/>
            <w:shd w:val="clear" w:color="auto" w:fill="FDFDFC"/>
          </w:tcPr>
          <w:p>
            <w:pPr>
              <w:spacing w:after="0"/>
              <w:rPr>
                <w:sz w:val="15"/>
                <w:szCs w:val="15"/>
                <w:color w:val="auto"/>
              </w:rPr>
            </w:pPr>
          </w:p>
        </w:tc>
        <w:tc>
          <w:tcPr>
            <w:tcW w:w="180" w:type="dxa"/>
            <w:vAlign w:val="bottom"/>
            <w:shd w:val="clear" w:color="auto" w:fill="FDFDFC"/>
          </w:tcPr>
          <w:p>
            <w:pPr>
              <w:spacing w:after="0"/>
              <w:rPr>
                <w:sz w:val="15"/>
                <w:szCs w:val="15"/>
                <w:color w:val="auto"/>
              </w:rPr>
            </w:pPr>
          </w:p>
        </w:tc>
        <w:tc>
          <w:tcPr>
            <w:tcW w:w="140" w:type="dxa"/>
            <w:vAlign w:val="bottom"/>
            <w:shd w:val="clear" w:color="auto" w:fill="FDFDFC"/>
          </w:tcPr>
          <w:p>
            <w:pPr>
              <w:spacing w:after="0"/>
              <w:rPr>
                <w:sz w:val="15"/>
                <w:szCs w:val="15"/>
                <w:color w:val="auto"/>
              </w:rPr>
            </w:pPr>
          </w:p>
        </w:tc>
        <w:tc>
          <w:tcPr>
            <w:tcW w:w="400" w:type="dxa"/>
            <w:vAlign w:val="bottom"/>
            <w:shd w:val="clear" w:color="auto" w:fill="FDFDFC"/>
          </w:tcPr>
          <w:p>
            <w:pPr>
              <w:spacing w:after="0"/>
              <w:rPr>
                <w:sz w:val="15"/>
                <w:szCs w:val="15"/>
                <w:color w:val="auto"/>
              </w:rPr>
            </w:pPr>
          </w:p>
        </w:tc>
        <w:tc>
          <w:tcPr>
            <w:tcW w:w="80" w:type="dxa"/>
            <w:vAlign w:val="bottom"/>
            <w:shd w:val="clear" w:color="auto" w:fill="FDFDFC"/>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1920" w:type="dxa"/>
            <w:vAlign w:val="bottom"/>
            <w:shd w:val="clear" w:color="auto" w:fill="FDFDFC"/>
          </w:tcPr>
          <w:p>
            <w:pPr>
              <w:spacing w:after="0"/>
              <w:rPr>
                <w:sz w:val="15"/>
                <w:szCs w:val="15"/>
                <w:color w:val="auto"/>
              </w:rPr>
            </w:pPr>
          </w:p>
        </w:tc>
        <w:tc>
          <w:tcPr>
            <w:tcW w:w="100" w:type="dxa"/>
            <w:vAlign w:val="bottom"/>
            <w:shd w:val="clear" w:color="auto" w:fill="FDFDFC"/>
          </w:tcPr>
          <w:p>
            <w:pPr>
              <w:spacing w:after="0"/>
              <w:rPr>
                <w:sz w:val="15"/>
                <w:szCs w:val="15"/>
                <w:color w:val="auto"/>
              </w:rPr>
            </w:pPr>
          </w:p>
        </w:tc>
        <w:tc>
          <w:tcPr>
            <w:tcW w:w="40" w:type="dxa"/>
            <w:vAlign w:val="bottom"/>
            <w:shd w:val="clear" w:color="auto" w:fill="FDFDFC"/>
          </w:tcPr>
          <w:p>
            <w:pPr>
              <w:spacing w:after="0"/>
              <w:rPr>
                <w:sz w:val="15"/>
                <w:szCs w:val="15"/>
                <w:color w:val="auto"/>
              </w:rPr>
            </w:pPr>
          </w:p>
        </w:tc>
        <w:tc>
          <w:tcPr>
            <w:tcW w:w="80" w:type="dxa"/>
            <w:vAlign w:val="bottom"/>
            <w:shd w:val="clear" w:color="auto" w:fill="FDFDFC"/>
          </w:tcPr>
          <w:p>
            <w:pPr>
              <w:spacing w:after="0"/>
              <w:rPr>
                <w:sz w:val="15"/>
                <w:szCs w:val="15"/>
                <w:color w:val="auto"/>
              </w:rPr>
            </w:pPr>
          </w:p>
        </w:tc>
        <w:tc>
          <w:tcPr>
            <w:tcW w:w="760" w:type="dxa"/>
            <w:vAlign w:val="bottom"/>
            <w:shd w:val="clear" w:color="auto" w:fill="FDFDFC"/>
          </w:tcPr>
          <w:p>
            <w:pPr>
              <w:jc w:val="center"/>
              <w:ind w:right="64"/>
              <w:spacing w:after="0"/>
              <w:rPr>
                <w:sz w:val="20"/>
                <w:szCs w:val="20"/>
                <w:color w:val="auto"/>
              </w:rPr>
            </w:pPr>
            <w:r>
              <w:rPr>
                <w:rFonts w:ascii="Times New Roman" w:cs="Times New Roman" w:eastAsia="Times New Roman" w:hAnsi="Times New Roman"/>
                <w:sz w:val="15"/>
                <w:szCs w:val="15"/>
                <w:b w:val="1"/>
                <w:bCs w:val="1"/>
                <w:color w:val="231F20"/>
              </w:rPr>
              <w:t>Value at</w:t>
            </w:r>
          </w:p>
        </w:tc>
        <w:tc>
          <w:tcPr>
            <w:tcW w:w="180" w:type="dxa"/>
            <w:vAlign w:val="bottom"/>
            <w:shd w:val="clear" w:color="auto" w:fill="FDFDFC"/>
          </w:tcPr>
          <w:p>
            <w:pPr>
              <w:spacing w:after="0"/>
              <w:rPr>
                <w:sz w:val="15"/>
                <w:szCs w:val="15"/>
                <w:color w:val="auto"/>
              </w:rPr>
            </w:pPr>
          </w:p>
        </w:tc>
        <w:tc>
          <w:tcPr>
            <w:tcW w:w="160" w:type="dxa"/>
            <w:vAlign w:val="bottom"/>
            <w:shd w:val="clear" w:color="auto" w:fill="FDFDFC"/>
          </w:tcPr>
          <w:p>
            <w:pPr>
              <w:spacing w:after="0"/>
              <w:rPr>
                <w:sz w:val="15"/>
                <w:szCs w:val="15"/>
                <w:color w:val="auto"/>
              </w:rPr>
            </w:pPr>
          </w:p>
        </w:tc>
        <w:tc>
          <w:tcPr>
            <w:tcW w:w="700" w:type="dxa"/>
            <w:vAlign w:val="bottom"/>
            <w:vMerge w:val="restart"/>
            <w:shd w:val="clear" w:color="auto" w:fill="FDFDFC"/>
          </w:tcPr>
          <w:p>
            <w:pPr>
              <w:jc w:val="right"/>
              <w:ind w:right="164"/>
              <w:spacing w:after="0"/>
              <w:rPr>
                <w:sz w:val="20"/>
                <w:szCs w:val="20"/>
                <w:color w:val="auto"/>
              </w:rPr>
            </w:pPr>
            <w:r>
              <w:rPr>
                <w:rFonts w:ascii="Times New Roman" w:cs="Times New Roman" w:eastAsia="Times New Roman" w:hAnsi="Times New Roman"/>
                <w:sz w:val="15"/>
                <w:szCs w:val="15"/>
                <w:b w:val="1"/>
                <w:bCs w:val="1"/>
                <w:color w:val="231F20"/>
              </w:rPr>
              <w:t>Gross</w:t>
            </w:r>
          </w:p>
        </w:tc>
        <w:tc>
          <w:tcPr>
            <w:tcW w:w="180" w:type="dxa"/>
            <w:vAlign w:val="bottom"/>
            <w:shd w:val="clear" w:color="auto" w:fill="FDFDFC"/>
          </w:tcPr>
          <w:p>
            <w:pPr>
              <w:spacing w:after="0"/>
              <w:rPr>
                <w:sz w:val="15"/>
                <w:szCs w:val="15"/>
                <w:color w:val="auto"/>
              </w:rPr>
            </w:pPr>
          </w:p>
        </w:tc>
        <w:tc>
          <w:tcPr>
            <w:tcW w:w="180" w:type="dxa"/>
            <w:vAlign w:val="bottom"/>
            <w:shd w:val="clear" w:color="auto" w:fill="FDFDFC"/>
          </w:tcPr>
          <w:p>
            <w:pPr>
              <w:spacing w:after="0"/>
              <w:rPr>
                <w:sz w:val="15"/>
                <w:szCs w:val="15"/>
                <w:color w:val="auto"/>
              </w:rPr>
            </w:pPr>
          </w:p>
        </w:tc>
        <w:tc>
          <w:tcPr>
            <w:tcW w:w="780" w:type="dxa"/>
            <w:vAlign w:val="bottom"/>
            <w:vMerge w:val="restart"/>
            <w:shd w:val="clear" w:color="auto" w:fill="FDFDFC"/>
          </w:tcPr>
          <w:p>
            <w:pPr>
              <w:ind w:left="100"/>
              <w:spacing w:after="0"/>
              <w:rPr>
                <w:sz w:val="20"/>
                <w:szCs w:val="20"/>
                <w:color w:val="auto"/>
              </w:rPr>
            </w:pPr>
            <w:r>
              <w:rPr>
                <w:rFonts w:ascii="Times New Roman" w:cs="Times New Roman" w:eastAsia="Times New Roman" w:hAnsi="Times New Roman"/>
                <w:sz w:val="15"/>
                <w:szCs w:val="15"/>
                <w:b w:val="1"/>
                <w:bCs w:val="1"/>
                <w:color w:val="231F20"/>
              </w:rPr>
              <w:t>Gross</w:t>
            </w:r>
          </w:p>
        </w:tc>
        <w:tc>
          <w:tcPr>
            <w:tcW w:w="20" w:type="dxa"/>
            <w:vAlign w:val="bottom"/>
            <w:shd w:val="clear" w:color="auto" w:fill="FDFDFC"/>
          </w:tcPr>
          <w:p>
            <w:pPr>
              <w:spacing w:after="0"/>
              <w:rPr>
                <w:sz w:val="15"/>
                <w:szCs w:val="15"/>
                <w:color w:val="auto"/>
              </w:rPr>
            </w:pPr>
          </w:p>
        </w:tc>
        <w:tc>
          <w:tcPr>
            <w:tcW w:w="140" w:type="dxa"/>
            <w:vAlign w:val="bottom"/>
            <w:shd w:val="clear" w:color="auto" w:fill="FDFDFC"/>
          </w:tcPr>
          <w:p>
            <w:pPr>
              <w:spacing w:after="0"/>
              <w:rPr>
                <w:sz w:val="15"/>
                <w:szCs w:val="15"/>
                <w:color w:val="auto"/>
              </w:rPr>
            </w:pPr>
          </w:p>
        </w:tc>
        <w:tc>
          <w:tcPr>
            <w:tcW w:w="1060" w:type="dxa"/>
            <w:vAlign w:val="bottom"/>
            <w:gridSpan w:val="3"/>
            <w:vMerge w:val="continue"/>
            <w:shd w:val="clear" w:color="auto" w:fill="FDFDFC"/>
          </w:tcPr>
          <w:p>
            <w:pPr>
              <w:spacing w:after="0"/>
              <w:rPr>
                <w:sz w:val="15"/>
                <w:szCs w:val="15"/>
                <w:color w:val="auto"/>
              </w:rPr>
            </w:pPr>
          </w:p>
        </w:tc>
        <w:tc>
          <w:tcPr>
            <w:tcW w:w="100" w:type="dxa"/>
            <w:vAlign w:val="bottom"/>
            <w:shd w:val="clear" w:color="auto" w:fill="FDFDFC"/>
          </w:tcPr>
          <w:p>
            <w:pPr>
              <w:spacing w:after="0"/>
              <w:rPr>
                <w:sz w:val="15"/>
                <w:szCs w:val="15"/>
                <w:color w:val="auto"/>
              </w:rPr>
            </w:pPr>
          </w:p>
        </w:tc>
        <w:tc>
          <w:tcPr>
            <w:tcW w:w="680" w:type="dxa"/>
            <w:vAlign w:val="bottom"/>
            <w:vMerge w:val="restart"/>
            <w:shd w:val="clear" w:color="auto" w:fill="FDFDFC"/>
          </w:tcPr>
          <w:p>
            <w:pPr>
              <w:spacing w:after="0"/>
              <w:rPr>
                <w:sz w:val="20"/>
                <w:szCs w:val="20"/>
                <w:color w:val="auto"/>
              </w:rPr>
            </w:pPr>
            <w:r>
              <w:rPr>
                <w:rFonts w:ascii="Times New Roman" w:cs="Times New Roman" w:eastAsia="Times New Roman" w:hAnsi="Times New Roman"/>
                <w:sz w:val="15"/>
                <w:szCs w:val="15"/>
                <w:b w:val="1"/>
                <w:bCs w:val="1"/>
                <w:color w:val="231F20"/>
              </w:rPr>
              <w:t>Realized</w:t>
            </w:r>
          </w:p>
        </w:tc>
        <w:tc>
          <w:tcPr>
            <w:tcW w:w="160" w:type="dxa"/>
            <w:vAlign w:val="bottom"/>
            <w:shd w:val="clear" w:color="auto" w:fill="FDFDFC"/>
          </w:tcPr>
          <w:p>
            <w:pPr>
              <w:spacing w:after="0"/>
              <w:rPr>
                <w:sz w:val="15"/>
                <w:szCs w:val="15"/>
                <w:color w:val="auto"/>
              </w:rPr>
            </w:pPr>
          </w:p>
        </w:tc>
        <w:tc>
          <w:tcPr>
            <w:tcW w:w="300" w:type="dxa"/>
            <w:vAlign w:val="bottom"/>
            <w:shd w:val="clear" w:color="auto" w:fill="FDFDFC"/>
          </w:tcPr>
          <w:p>
            <w:pPr>
              <w:spacing w:after="0"/>
              <w:rPr>
                <w:sz w:val="15"/>
                <w:szCs w:val="15"/>
                <w:color w:val="auto"/>
              </w:rPr>
            </w:pPr>
          </w:p>
        </w:tc>
        <w:tc>
          <w:tcPr>
            <w:tcW w:w="380" w:type="dxa"/>
            <w:vAlign w:val="bottom"/>
            <w:shd w:val="clear" w:color="auto" w:fill="FDFDFC"/>
          </w:tcPr>
          <w:p>
            <w:pPr>
              <w:spacing w:after="0"/>
              <w:rPr>
                <w:sz w:val="15"/>
                <w:szCs w:val="15"/>
                <w:color w:val="auto"/>
              </w:rPr>
            </w:pPr>
          </w:p>
        </w:tc>
        <w:tc>
          <w:tcPr>
            <w:tcW w:w="180" w:type="dxa"/>
            <w:vAlign w:val="bottom"/>
            <w:shd w:val="clear" w:color="auto" w:fill="FDFDFC"/>
          </w:tcPr>
          <w:p>
            <w:pPr>
              <w:spacing w:after="0"/>
              <w:rPr>
                <w:sz w:val="15"/>
                <w:szCs w:val="15"/>
                <w:color w:val="auto"/>
              </w:rPr>
            </w:pPr>
          </w:p>
        </w:tc>
        <w:tc>
          <w:tcPr>
            <w:tcW w:w="680" w:type="dxa"/>
            <w:vAlign w:val="bottom"/>
            <w:gridSpan w:val="2"/>
            <w:shd w:val="clear" w:color="auto" w:fill="FDFDFC"/>
          </w:tcPr>
          <w:p>
            <w:pPr>
              <w:spacing w:after="0"/>
              <w:rPr>
                <w:sz w:val="20"/>
                <w:szCs w:val="20"/>
                <w:color w:val="auto"/>
              </w:rPr>
            </w:pPr>
            <w:r>
              <w:rPr>
                <w:rFonts w:ascii="Times New Roman" w:cs="Times New Roman" w:eastAsia="Times New Roman" w:hAnsi="Times New Roman"/>
                <w:sz w:val="15"/>
                <w:szCs w:val="15"/>
                <w:b w:val="1"/>
                <w:bCs w:val="1"/>
                <w:color w:val="231F20"/>
              </w:rPr>
              <w:t>December</w:t>
            </w:r>
          </w:p>
        </w:tc>
        <w:tc>
          <w:tcPr>
            <w:tcW w:w="180" w:type="dxa"/>
            <w:vAlign w:val="bottom"/>
            <w:shd w:val="clear" w:color="auto" w:fill="FDFDFC"/>
          </w:tcPr>
          <w:p>
            <w:pPr>
              <w:spacing w:after="0"/>
              <w:rPr>
                <w:sz w:val="15"/>
                <w:szCs w:val="15"/>
                <w:color w:val="auto"/>
              </w:rPr>
            </w:pPr>
          </w:p>
        </w:tc>
        <w:tc>
          <w:tcPr>
            <w:tcW w:w="520" w:type="dxa"/>
            <w:vAlign w:val="bottom"/>
            <w:gridSpan w:val="2"/>
            <w:vMerge w:val="restart"/>
            <w:shd w:val="clear" w:color="auto" w:fill="FDFDFC"/>
          </w:tcPr>
          <w:p>
            <w:pPr>
              <w:ind w:left="60"/>
              <w:spacing w:after="0"/>
              <w:rPr>
                <w:sz w:val="20"/>
                <w:szCs w:val="20"/>
                <w:color w:val="auto"/>
              </w:rPr>
            </w:pPr>
            <w:r>
              <w:rPr>
                <w:rFonts w:ascii="Times New Roman" w:cs="Times New Roman" w:eastAsia="Times New Roman" w:hAnsi="Times New Roman"/>
                <w:sz w:val="15"/>
                <w:szCs w:val="15"/>
                <w:b w:val="1"/>
                <w:bCs w:val="1"/>
                <w:color w:val="231F20"/>
              </w:rPr>
              <w:t>Other</w:t>
            </w:r>
          </w:p>
        </w:tc>
        <w:tc>
          <w:tcPr>
            <w:tcW w:w="180" w:type="dxa"/>
            <w:vAlign w:val="bottom"/>
            <w:shd w:val="clear" w:color="auto" w:fill="FDFDFC"/>
          </w:tcPr>
          <w:p>
            <w:pPr>
              <w:spacing w:after="0"/>
              <w:rPr>
                <w:sz w:val="15"/>
                <w:szCs w:val="15"/>
                <w:color w:val="auto"/>
              </w:rPr>
            </w:pPr>
          </w:p>
        </w:tc>
        <w:tc>
          <w:tcPr>
            <w:tcW w:w="620" w:type="dxa"/>
            <w:vAlign w:val="bottom"/>
            <w:gridSpan w:val="3"/>
            <w:vMerge w:val="restart"/>
            <w:shd w:val="clear" w:color="auto" w:fill="FDFDFC"/>
          </w:tcPr>
          <w:p>
            <w:pPr>
              <w:ind w:left="20"/>
              <w:spacing w:after="0"/>
              <w:rPr>
                <w:sz w:val="20"/>
                <w:szCs w:val="20"/>
                <w:color w:val="auto"/>
              </w:rPr>
            </w:pPr>
            <w:r>
              <w:rPr>
                <w:rFonts w:ascii="Times New Roman" w:cs="Times New Roman" w:eastAsia="Times New Roman" w:hAnsi="Times New Roman"/>
                <w:sz w:val="15"/>
                <w:szCs w:val="15"/>
                <w:b w:val="1"/>
                <w:bCs w:val="1"/>
                <w:color w:val="231F20"/>
              </w:rPr>
              <w:t>Interest</w:t>
            </w:r>
          </w:p>
        </w:tc>
        <w:tc>
          <w:tcPr>
            <w:tcW w:w="0" w:type="dxa"/>
            <w:vAlign w:val="bottom"/>
          </w:tcPr>
          <w:p>
            <w:pPr>
              <w:spacing w:after="0"/>
              <w:rPr>
                <w:sz w:val="1"/>
                <w:szCs w:val="1"/>
                <w:color w:val="auto"/>
              </w:rPr>
            </w:pPr>
          </w:p>
        </w:tc>
      </w:tr>
      <w:tr>
        <w:trPr>
          <w:trHeight w:val="166"/>
        </w:trPr>
        <w:tc>
          <w:tcPr>
            <w:tcW w:w="1920" w:type="dxa"/>
            <w:vAlign w:val="bottom"/>
            <w:shd w:val="clear" w:color="auto" w:fill="FDFDFC"/>
          </w:tcPr>
          <w:p>
            <w:pPr>
              <w:spacing w:after="0"/>
              <w:rPr>
                <w:sz w:val="14"/>
                <w:szCs w:val="14"/>
                <w:color w:val="auto"/>
              </w:rPr>
            </w:pPr>
          </w:p>
        </w:tc>
        <w:tc>
          <w:tcPr>
            <w:tcW w:w="100" w:type="dxa"/>
            <w:vAlign w:val="bottom"/>
            <w:shd w:val="clear" w:color="auto" w:fill="FDFDFC"/>
          </w:tcPr>
          <w:p>
            <w:pPr>
              <w:spacing w:after="0"/>
              <w:rPr>
                <w:sz w:val="14"/>
                <w:szCs w:val="14"/>
                <w:color w:val="auto"/>
              </w:rPr>
            </w:pPr>
          </w:p>
        </w:tc>
        <w:tc>
          <w:tcPr>
            <w:tcW w:w="880" w:type="dxa"/>
            <w:vAlign w:val="bottom"/>
            <w:gridSpan w:val="3"/>
            <w:shd w:val="clear" w:color="auto" w:fill="FDFDFC"/>
          </w:tcPr>
          <w:p>
            <w:pPr>
              <w:jc w:val="center"/>
              <w:spacing w:after="0" w:line="166" w:lineRule="exact"/>
              <w:rPr>
                <w:sz w:val="20"/>
                <w:szCs w:val="20"/>
                <w:color w:val="auto"/>
              </w:rPr>
            </w:pPr>
            <w:r>
              <w:rPr>
                <w:rFonts w:ascii="Times New Roman" w:cs="Times New Roman" w:eastAsia="Times New Roman" w:hAnsi="Times New Roman"/>
                <w:sz w:val="15"/>
                <w:szCs w:val="15"/>
                <w:b w:val="1"/>
                <w:bCs w:val="1"/>
                <w:color w:val="231F20"/>
              </w:rPr>
              <w:t>December 31,</w:t>
            </w:r>
          </w:p>
        </w:tc>
        <w:tc>
          <w:tcPr>
            <w:tcW w:w="180" w:type="dxa"/>
            <w:vAlign w:val="bottom"/>
            <w:shd w:val="clear" w:color="auto" w:fill="FDFDFC"/>
          </w:tcPr>
          <w:p>
            <w:pPr>
              <w:spacing w:after="0"/>
              <w:rPr>
                <w:sz w:val="14"/>
                <w:szCs w:val="14"/>
                <w:color w:val="auto"/>
              </w:rPr>
            </w:pPr>
          </w:p>
        </w:tc>
        <w:tc>
          <w:tcPr>
            <w:tcW w:w="160" w:type="dxa"/>
            <w:vAlign w:val="bottom"/>
            <w:shd w:val="clear" w:color="auto" w:fill="FDFDFC"/>
          </w:tcPr>
          <w:p>
            <w:pPr>
              <w:spacing w:after="0"/>
              <w:rPr>
                <w:sz w:val="14"/>
                <w:szCs w:val="14"/>
                <w:color w:val="auto"/>
              </w:rPr>
            </w:pPr>
          </w:p>
        </w:tc>
        <w:tc>
          <w:tcPr>
            <w:tcW w:w="700" w:type="dxa"/>
            <w:vAlign w:val="bottom"/>
            <w:vMerge w:val="continue"/>
            <w:shd w:val="clear" w:color="auto" w:fill="FDFDFC"/>
          </w:tcPr>
          <w:p>
            <w:pPr>
              <w:spacing w:after="0"/>
              <w:rPr>
                <w:sz w:val="14"/>
                <w:szCs w:val="14"/>
                <w:color w:val="auto"/>
              </w:rPr>
            </w:pPr>
          </w:p>
        </w:tc>
        <w:tc>
          <w:tcPr>
            <w:tcW w:w="180" w:type="dxa"/>
            <w:vAlign w:val="bottom"/>
            <w:shd w:val="clear" w:color="auto" w:fill="FDFDFC"/>
          </w:tcPr>
          <w:p>
            <w:pPr>
              <w:spacing w:after="0"/>
              <w:rPr>
                <w:sz w:val="14"/>
                <w:szCs w:val="14"/>
                <w:color w:val="auto"/>
              </w:rPr>
            </w:pPr>
          </w:p>
        </w:tc>
        <w:tc>
          <w:tcPr>
            <w:tcW w:w="180" w:type="dxa"/>
            <w:vAlign w:val="bottom"/>
            <w:shd w:val="clear" w:color="auto" w:fill="FDFDFC"/>
          </w:tcPr>
          <w:p>
            <w:pPr>
              <w:spacing w:after="0"/>
              <w:rPr>
                <w:sz w:val="14"/>
                <w:szCs w:val="14"/>
                <w:color w:val="auto"/>
              </w:rPr>
            </w:pPr>
          </w:p>
        </w:tc>
        <w:tc>
          <w:tcPr>
            <w:tcW w:w="780" w:type="dxa"/>
            <w:vAlign w:val="bottom"/>
            <w:vMerge w:val="continue"/>
            <w:shd w:val="clear" w:color="auto" w:fill="FDFDFC"/>
          </w:tcPr>
          <w:p>
            <w:pPr>
              <w:spacing w:after="0"/>
              <w:rPr>
                <w:sz w:val="14"/>
                <w:szCs w:val="14"/>
                <w:color w:val="auto"/>
              </w:rPr>
            </w:pPr>
          </w:p>
        </w:tc>
        <w:tc>
          <w:tcPr>
            <w:tcW w:w="20" w:type="dxa"/>
            <w:vAlign w:val="bottom"/>
            <w:shd w:val="clear" w:color="auto" w:fill="FDFDFC"/>
          </w:tcPr>
          <w:p>
            <w:pPr>
              <w:spacing w:after="0"/>
              <w:rPr>
                <w:sz w:val="14"/>
                <w:szCs w:val="14"/>
                <w:color w:val="auto"/>
              </w:rPr>
            </w:pPr>
          </w:p>
        </w:tc>
        <w:tc>
          <w:tcPr>
            <w:tcW w:w="140" w:type="dxa"/>
            <w:vAlign w:val="bottom"/>
            <w:shd w:val="clear" w:color="auto" w:fill="FDFDFC"/>
          </w:tcPr>
          <w:p>
            <w:pPr>
              <w:spacing w:after="0"/>
              <w:rPr>
                <w:sz w:val="14"/>
                <w:szCs w:val="14"/>
                <w:color w:val="auto"/>
              </w:rPr>
            </w:pPr>
          </w:p>
        </w:tc>
        <w:tc>
          <w:tcPr>
            <w:tcW w:w="1060" w:type="dxa"/>
            <w:vAlign w:val="bottom"/>
            <w:gridSpan w:val="3"/>
            <w:shd w:val="clear" w:color="auto" w:fill="FDFDFC"/>
          </w:tcPr>
          <w:p>
            <w:pPr>
              <w:spacing w:after="0" w:line="166" w:lineRule="exact"/>
              <w:rPr>
                <w:sz w:val="20"/>
                <w:szCs w:val="20"/>
                <w:color w:val="auto"/>
              </w:rPr>
            </w:pPr>
            <w:r>
              <w:rPr>
                <w:rFonts w:ascii="Times New Roman" w:cs="Times New Roman" w:eastAsia="Times New Roman" w:hAnsi="Times New Roman"/>
                <w:sz w:val="15"/>
                <w:szCs w:val="15"/>
                <w:b w:val="1"/>
                <w:bCs w:val="1"/>
                <w:color w:val="231F20"/>
              </w:rPr>
              <w:t>In Unrealized</w:t>
            </w:r>
          </w:p>
        </w:tc>
        <w:tc>
          <w:tcPr>
            <w:tcW w:w="100" w:type="dxa"/>
            <w:vAlign w:val="bottom"/>
            <w:shd w:val="clear" w:color="auto" w:fill="FDFDFC"/>
          </w:tcPr>
          <w:p>
            <w:pPr>
              <w:spacing w:after="0"/>
              <w:rPr>
                <w:sz w:val="14"/>
                <w:szCs w:val="14"/>
                <w:color w:val="auto"/>
              </w:rPr>
            </w:pPr>
          </w:p>
        </w:tc>
        <w:tc>
          <w:tcPr>
            <w:tcW w:w="680" w:type="dxa"/>
            <w:vAlign w:val="bottom"/>
            <w:vMerge w:val="continue"/>
            <w:shd w:val="clear" w:color="auto" w:fill="FDFDFC"/>
          </w:tcPr>
          <w:p>
            <w:pPr>
              <w:spacing w:after="0"/>
              <w:rPr>
                <w:sz w:val="14"/>
                <w:szCs w:val="14"/>
                <w:color w:val="auto"/>
              </w:rPr>
            </w:pPr>
          </w:p>
        </w:tc>
        <w:tc>
          <w:tcPr>
            <w:tcW w:w="160" w:type="dxa"/>
            <w:vAlign w:val="bottom"/>
            <w:shd w:val="clear" w:color="auto" w:fill="FDFDFC"/>
          </w:tcPr>
          <w:p>
            <w:pPr>
              <w:spacing w:after="0"/>
              <w:rPr>
                <w:sz w:val="14"/>
                <w:szCs w:val="14"/>
                <w:color w:val="auto"/>
              </w:rPr>
            </w:pPr>
          </w:p>
        </w:tc>
        <w:tc>
          <w:tcPr>
            <w:tcW w:w="300" w:type="dxa"/>
            <w:vAlign w:val="bottom"/>
            <w:shd w:val="clear" w:color="auto" w:fill="FDFDFC"/>
          </w:tcPr>
          <w:p>
            <w:pPr>
              <w:spacing w:after="0"/>
              <w:rPr>
                <w:sz w:val="14"/>
                <w:szCs w:val="14"/>
                <w:color w:val="auto"/>
              </w:rPr>
            </w:pPr>
          </w:p>
        </w:tc>
        <w:tc>
          <w:tcPr>
            <w:tcW w:w="380" w:type="dxa"/>
            <w:vAlign w:val="bottom"/>
            <w:shd w:val="clear" w:color="auto" w:fill="FDFDFC"/>
          </w:tcPr>
          <w:p>
            <w:pPr>
              <w:spacing w:after="0"/>
              <w:rPr>
                <w:sz w:val="14"/>
                <w:szCs w:val="14"/>
                <w:color w:val="auto"/>
              </w:rPr>
            </w:pPr>
          </w:p>
        </w:tc>
        <w:tc>
          <w:tcPr>
            <w:tcW w:w="180" w:type="dxa"/>
            <w:vAlign w:val="bottom"/>
            <w:shd w:val="clear" w:color="auto" w:fill="FDFDFC"/>
          </w:tcPr>
          <w:p>
            <w:pPr>
              <w:spacing w:after="0"/>
              <w:rPr>
                <w:sz w:val="14"/>
                <w:szCs w:val="14"/>
                <w:color w:val="auto"/>
              </w:rPr>
            </w:pPr>
          </w:p>
        </w:tc>
        <w:tc>
          <w:tcPr>
            <w:tcW w:w="120" w:type="dxa"/>
            <w:vAlign w:val="bottom"/>
            <w:shd w:val="clear" w:color="auto" w:fill="FDFDFC"/>
          </w:tcPr>
          <w:p>
            <w:pPr>
              <w:spacing w:after="0"/>
              <w:rPr>
                <w:sz w:val="14"/>
                <w:szCs w:val="14"/>
                <w:color w:val="auto"/>
              </w:rPr>
            </w:pPr>
          </w:p>
        </w:tc>
        <w:tc>
          <w:tcPr>
            <w:tcW w:w="560" w:type="dxa"/>
            <w:vAlign w:val="bottom"/>
            <w:shd w:val="clear" w:color="auto" w:fill="FDFDFC"/>
          </w:tcPr>
          <w:p>
            <w:pPr>
              <w:jc w:val="right"/>
              <w:ind w:right="184"/>
              <w:spacing w:after="0" w:line="166" w:lineRule="exact"/>
              <w:rPr>
                <w:sz w:val="20"/>
                <w:szCs w:val="20"/>
                <w:color w:val="auto"/>
              </w:rPr>
            </w:pPr>
            <w:r>
              <w:rPr>
                <w:rFonts w:ascii="Times New Roman" w:cs="Times New Roman" w:eastAsia="Times New Roman" w:hAnsi="Times New Roman"/>
                <w:sz w:val="15"/>
                <w:szCs w:val="15"/>
                <w:b w:val="1"/>
                <w:bCs w:val="1"/>
                <w:color w:val="231F20"/>
              </w:rPr>
              <w:t>31,</w:t>
            </w:r>
          </w:p>
        </w:tc>
        <w:tc>
          <w:tcPr>
            <w:tcW w:w="180" w:type="dxa"/>
            <w:vAlign w:val="bottom"/>
            <w:shd w:val="clear" w:color="auto" w:fill="FDFDFC"/>
          </w:tcPr>
          <w:p>
            <w:pPr>
              <w:spacing w:after="0"/>
              <w:rPr>
                <w:sz w:val="14"/>
                <w:szCs w:val="14"/>
                <w:color w:val="auto"/>
              </w:rPr>
            </w:pPr>
          </w:p>
        </w:tc>
        <w:tc>
          <w:tcPr>
            <w:tcW w:w="520" w:type="dxa"/>
            <w:vAlign w:val="bottom"/>
            <w:gridSpan w:val="2"/>
            <w:vMerge w:val="continue"/>
            <w:shd w:val="clear" w:color="auto" w:fill="FDFDFC"/>
          </w:tcPr>
          <w:p>
            <w:pPr>
              <w:spacing w:after="0"/>
              <w:rPr>
                <w:sz w:val="14"/>
                <w:szCs w:val="14"/>
                <w:color w:val="auto"/>
              </w:rPr>
            </w:pPr>
          </w:p>
        </w:tc>
        <w:tc>
          <w:tcPr>
            <w:tcW w:w="180" w:type="dxa"/>
            <w:vAlign w:val="bottom"/>
            <w:shd w:val="clear" w:color="auto" w:fill="FDFDFC"/>
          </w:tcPr>
          <w:p>
            <w:pPr>
              <w:spacing w:after="0"/>
              <w:rPr>
                <w:sz w:val="14"/>
                <w:szCs w:val="14"/>
                <w:color w:val="auto"/>
              </w:rPr>
            </w:pPr>
          </w:p>
        </w:tc>
        <w:tc>
          <w:tcPr>
            <w:tcW w:w="620" w:type="dxa"/>
            <w:vAlign w:val="bottom"/>
            <w:gridSpan w:val="3"/>
            <w:vMerge w:val="continue"/>
            <w:shd w:val="clear" w:color="auto" w:fill="FDFDFC"/>
          </w:tcPr>
          <w:p>
            <w:pPr>
              <w:spacing w:after="0"/>
              <w:rPr>
                <w:sz w:val="14"/>
                <w:szCs w:val="14"/>
                <w:color w:val="auto"/>
              </w:rPr>
            </w:pPr>
          </w:p>
        </w:tc>
        <w:tc>
          <w:tcPr>
            <w:tcW w:w="0" w:type="dxa"/>
            <w:vAlign w:val="bottom"/>
          </w:tcPr>
          <w:p>
            <w:pPr>
              <w:spacing w:after="0"/>
              <w:rPr>
                <w:sz w:val="1"/>
                <w:szCs w:val="1"/>
                <w:color w:val="auto"/>
              </w:rPr>
            </w:pPr>
          </w:p>
        </w:tc>
      </w:tr>
      <w:tr>
        <w:trPr>
          <w:trHeight w:val="199"/>
        </w:trPr>
        <w:tc>
          <w:tcPr>
            <w:tcW w:w="1920" w:type="dxa"/>
            <w:vAlign w:val="bottom"/>
            <w:shd w:val="clear" w:color="auto" w:fill="FDFDFC"/>
          </w:tcPr>
          <w:p>
            <w:pPr>
              <w:ind w:left="640"/>
              <w:spacing w:after="0"/>
              <w:rPr>
                <w:sz w:val="20"/>
                <w:szCs w:val="20"/>
                <w:color w:val="auto"/>
              </w:rPr>
            </w:pPr>
            <w:r>
              <w:rPr>
                <w:rFonts w:ascii="Times New Roman" w:cs="Times New Roman" w:eastAsia="Times New Roman" w:hAnsi="Times New Roman"/>
                <w:sz w:val="15"/>
                <w:szCs w:val="15"/>
                <w:b w:val="1"/>
                <w:bCs w:val="1"/>
                <w:color w:val="231F20"/>
              </w:rPr>
              <w:t>Company</w:t>
            </w:r>
          </w:p>
        </w:tc>
        <w:tc>
          <w:tcPr>
            <w:tcW w:w="100" w:type="dxa"/>
            <w:vAlign w:val="bottom"/>
            <w:shd w:val="clear" w:color="auto" w:fill="FDFDFC"/>
          </w:tcPr>
          <w:p>
            <w:pPr>
              <w:spacing w:after="0"/>
              <w:rPr>
                <w:sz w:val="17"/>
                <w:szCs w:val="17"/>
                <w:color w:val="auto"/>
              </w:rPr>
            </w:pPr>
          </w:p>
        </w:tc>
        <w:tc>
          <w:tcPr>
            <w:tcW w:w="40" w:type="dxa"/>
            <w:vAlign w:val="bottom"/>
            <w:shd w:val="clear" w:color="auto" w:fill="FDFDFC"/>
          </w:tcPr>
          <w:p>
            <w:pPr>
              <w:spacing w:after="0"/>
              <w:rPr>
                <w:sz w:val="17"/>
                <w:szCs w:val="17"/>
                <w:color w:val="auto"/>
              </w:rPr>
            </w:pPr>
          </w:p>
        </w:tc>
        <w:tc>
          <w:tcPr>
            <w:tcW w:w="80" w:type="dxa"/>
            <w:vAlign w:val="bottom"/>
            <w:shd w:val="clear" w:color="auto" w:fill="FDFDFC"/>
          </w:tcPr>
          <w:p>
            <w:pPr>
              <w:spacing w:after="0"/>
              <w:rPr>
                <w:sz w:val="17"/>
                <w:szCs w:val="17"/>
                <w:color w:val="auto"/>
              </w:rPr>
            </w:pPr>
          </w:p>
        </w:tc>
        <w:tc>
          <w:tcPr>
            <w:tcW w:w="760" w:type="dxa"/>
            <w:vAlign w:val="bottom"/>
            <w:shd w:val="clear" w:color="auto" w:fill="FDFDFC"/>
          </w:tcPr>
          <w:p>
            <w:pPr>
              <w:jc w:val="center"/>
              <w:ind w:right="64"/>
              <w:spacing w:after="0"/>
              <w:rPr>
                <w:sz w:val="20"/>
                <w:szCs w:val="20"/>
                <w:color w:val="auto"/>
              </w:rPr>
            </w:pPr>
            <w:r>
              <w:rPr>
                <w:rFonts w:ascii="Times New Roman" w:cs="Times New Roman" w:eastAsia="Times New Roman" w:hAnsi="Times New Roman"/>
                <w:sz w:val="15"/>
                <w:szCs w:val="15"/>
                <w:b w:val="1"/>
                <w:bCs w:val="1"/>
                <w:color w:val="231F20"/>
                <w:w w:val="99"/>
              </w:rPr>
              <w:t>2023</w:t>
            </w:r>
          </w:p>
        </w:tc>
        <w:tc>
          <w:tcPr>
            <w:tcW w:w="180" w:type="dxa"/>
            <w:vAlign w:val="bottom"/>
            <w:shd w:val="clear" w:color="auto" w:fill="FDFDFC"/>
          </w:tcPr>
          <w:p>
            <w:pPr>
              <w:spacing w:after="0"/>
              <w:rPr>
                <w:sz w:val="17"/>
                <w:szCs w:val="17"/>
                <w:color w:val="auto"/>
              </w:rPr>
            </w:pPr>
          </w:p>
        </w:tc>
        <w:tc>
          <w:tcPr>
            <w:tcW w:w="860" w:type="dxa"/>
            <w:vAlign w:val="bottom"/>
            <w:gridSpan w:val="2"/>
            <w:shd w:val="clear" w:color="auto" w:fill="FDFDFC"/>
          </w:tcPr>
          <w:p>
            <w:pPr>
              <w:spacing w:after="0"/>
              <w:rPr>
                <w:sz w:val="20"/>
                <w:szCs w:val="20"/>
                <w:color w:val="auto"/>
              </w:rPr>
            </w:pPr>
            <w:r>
              <w:rPr>
                <w:rFonts w:ascii="Times New Roman" w:cs="Times New Roman" w:eastAsia="Times New Roman" w:hAnsi="Times New Roman"/>
                <w:sz w:val="15"/>
                <w:szCs w:val="15"/>
                <w:b w:val="1"/>
                <w:bCs w:val="1"/>
                <w:color w:val="231F20"/>
              </w:rPr>
              <w:t>Additions (a)</w:t>
            </w:r>
          </w:p>
        </w:tc>
        <w:tc>
          <w:tcPr>
            <w:tcW w:w="180" w:type="dxa"/>
            <w:vAlign w:val="bottom"/>
            <w:shd w:val="clear" w:color="auto" w:fill="FDFDFC"/>
          </w:tcPr>
          <w:p>
            <w:pPr>
              <w:spacing w:after="0"/>
              <w:rPr>
                <w:sz w:val="17"/>
                <w:szCs w:val="17"/>
                <w:color w:val="auto"/>
              </w:rPr>
            </w:pPr>
          </w:p>
        </w:tc>
        <w:tc>
          <w:tcPr>
            <w:tcW w:w="960" w:type="dxa"/>
            <w:vAlign w:val="bottom"/>
            <w:gridSpan w:val="2"/>
            <w:shd w:val="clear" w:color="auto" w:fill="FDFDFC"/>
          </w:tcPr>
          <w:p>
            <w:pPr>
              <w:spacing w:after="0"/>
              <w:rPr>
                <w:sz w:val="20"/>
                <w:szCs w:val="20"/>
                <w:color w:val="auto"/>
              </w:rPr>
            </w:pPr>
            <w:r>
              <w:rPr>
                <w:rFonts w:ascii="Times New Roman" w:cs="Times New Roman" w:eastAsia="Times New Roman" w:hAnsi="Times New Roman"/>
                <w:sz w:val="15"/>
                <w:szCs w:val="15"/>
                <w:b w:val="1"/>
                <w:bCs w:val="1"/>
                <w:color w:val="231F20"/>
              </w:rPr>
              <w:t>Reductions (b)</w:t>
            </w:r>
          </w:p>
        </w:tc>
        <w:tc>
          <w:tcPr>
            <w:tcW w:w="20" w:type="dxa"/>
            <w:vAlign w:val="bottom"/>
            <w:shd w:val="clear" w:color="auto" w:fill="FDFDFC"/>
          </w:tcPr>
          <w:p>
            <w:pPr>
              <w:spacing w:after="0"/>
              <w:rPr>
                <w:sz w:val="17"/>
                <w:szCs w:val="17"/>
                <w:color w:val="auto"/>
              </w:rPr>
            </w:pPr>
          </w:p>
        </w:tc>
        <w:tc>
          <w:tcPr>
            <w:tcW w:w="140" w:type="dxa"/>
            <w:vAlign w:val="bottom"/>
            <w:shd w:val="clear" w:color="auto" w:fill="FDFDFC"/>
          </w:tcPr>
          <w:p>
            <w:pPr>
              <w:spacing w:after="0"/>
              <w:rPr>
                <w:sz w:val="17"/>
                <w:szCs w:val="17"/>
                <w:color w:val="auto"/>
              </w:rPr>
            </w:pPr>
          </w:p>
        </w:tc>
        <w:tc>
          <w:tcPr>
            <w:tcW w:w="1060" w:type="dxa"/>
            <w:vAlign w:val="bottom"/>
            <w:gridSpan w:val="3"/>
            <w:shd w:val="clear" w:color="auto" w:fill="FDFDFC"/>
          </w:tcPr>
          <w:p>
            <w:pPr>
              <w:ind w:left="80"/>
              <w:spacing w:after="0"/>
              <w:rPr>
                <w:sz w:val="20"/>
                <w:szCs w:val="20"/>
                <w:color w:val="auto"/>
              </w:rPr>
            </w:pPr>
            <w:r>
              <w:rPr>
                <w:rFonts w:ascii="Times New Roman" w:cs="Times New Roman" w:eastAsia="Times New Roman" w:hAnsi="Times New Roman"/>
                <w:sz w:val="15"/>
                <w:szCs w:val="15"/>
                <w:b w:val="1"/>
                <w:bCs w:val="1"/>
                <w:color w:val="231F20"/>
              </w:rPr>
              <w:t>Gain/(Loss)</w:t>
            </w:r>
          </w:p>
        </w:tc>
        <w:tc>
          <w:tcPr>
            <w:tcW w:w="780" w:type="dxa"/>
            <w:vAlign w:val="bottom"/>
            <w:gridSpan w:val="2"/>
            <w:shd w:val="clear" w:color="auto" w:fill="FDFDFC"/>
          </w:tcPr>
          <w:p>
            <w:pPr>
              <w:spacing w:after="0"/>
              <w:rPr>
                <w:sz w:val="20"/>
                <w:szCs w:val="20"/>
                <w:color w:val="auto"/>
              </w:rPr>
            </w:pPr>
            <w:r>
              <w:rPr>
                <w:rFonts w:ascii="Times New Roman" w:cs="Times New Roman" w:eastAsia="Times New Roman" w:hAnsi="Times New Roman"/>
                <w:sz w:val="15"/>
                <w:szCs w:val="15"/>
                <w:b w:val="1"/>
                <w:bCs w:val="1"/>
                <w:color w:val="231F20"/>
              </w:rPr>
              <w:t>Gain/(Loss)</w:t>
            </w:r>
          </w:p>
        </w:tc>
        <w:tc>
          <w:tcPr>
            <w:tcW w:w="160" w:type="dxa"/>
            <w:vAlign w:val="bottom"/>
            <w:shd w:val="clear" w:color="auto" w:fill="FDFDFC"/>
          </w:tcPr>
          <w:p>
            <w:pPr>
              <w:spacing w:after="0"/>
              <w:rPr>
                <w:sz w:val="17"/>
                <w:szCs w:val="17"/>
                <w:color w:val="auto"/>
              </w:rPr>
            </w:pPr>
          </w:p>
        </w:tc>
        <w:tc>
          <w:tcPr>
            <w:tcW w:w="680" w:type="dxa"/>
            <w:vAlign w:val="bottom"/>
            <w:gridSpan w:val="2"/>
            <w:shd w:val="clear" w:color="auto" w:fill="FDFDFC"/>
          </w:tcPr>
          <w:p>
            <w:pPr>
              <w:ind w:left="20"/>
              <w:spacing w:after="0"/>
              <w:rPr>
                <w:sz w:val="20"/>
                <w:szCs w:val="20"/>
                <w:color w:val="auto"/>
              </w:rPr>
            </w:pPr>
            <w:r>
              <w:rPr>
                <w:rFonts w:ascii="Times New Roman" w:cs="Times New Roman" w:eastAsia="Times New Roman" w:hAnsi="Times New Roman"/>
                <w:sz w:val="15"/>
                <w:szCs w:val="15"/>
                <w:b w:val="1"/>
                <w:bCs w:val="1"/>
                <w:color w:val="231F20"/>
              </w:rPr>
              <w:t>Transfers</w:t>
            </w:r>
          </w:p>
        </w:tc>
        <w:tc>
          <w:tcPr>
            <w:tcW w:w="180" w:type="dxa"/>
            <w:vAlign w:val="bottom"/>
            <w:shd w:val="clear" w:color="auto" w:fill="FDFDFC"/>
          </w:tcPr>
          <w:p>
            <w:pPr>
              <w:spacing w:after="0"/>
              <w:rPr>
                <w:sz w:val="17"/>
                <w:szCs w:val="17"/>
                <w:color w:val="auto"/>
              </w:rPr>
            </w:pPr>
          </w:p>
        </w:tc>
        <w:tc>
          <w:tcPr>
            <w:tcW w:w="120" w:type="dxa"/>
            <w:vAlign w:val="bottom"/>
            <w:shd w:val="clear" w:color="auto" w:fill="FDFDFC"/>
          </w:tcPr>
          <w:p>
            <w:pPr>
              <w:spacing w:after="0"/>
              <w:rPr>
                <w:sz w:val="17"/>
                <w:szCs w:val="17"/>
                <w:color w:val="auto"/>
              </w:rPr>
            </w:pPr>
          </w:p>
        </w:tc>
        <w:tc>
          <w:tcPr>
            <w:tcW w:w="560" w:type="dxa"/>
            <w:vAlign w:val="bottom"/>
            <w:shd w:val="clear" w:color="auto" w:fill="FDFDFC"/>
          </w:tcPr>
          <w:p>
            <w:pPr>
              <w:jc w:val="right"/>
              <w:ind w:right="124"/>
              <w:spacing w:after="0"/>
              <w:rPr>
                <w:sz w:val="20"/>
                <w:szCs w:val="20"/>
                <w:color w:val="auto"/>
              </w:rPr>
            </w:pPr>
            <w:r>
              <w:rPr>
                <w:rFonts w:ascii="Times New Roman" w:cs="Times New Roman" w:eastAsia="Times New Roman" w:hAnsi="Times New Roman"/>
                <w:sz w:val="15"/>
                <w:szCs w:val="15"/>
                <w:b w:val="1"/>
                <w:bCs w:val="1"/>
                <w:color w:val="231F20"/>
              </w:rPr>
              <w:t>2024</w:t>
            </w:r>
          </w:p>
        </w:tc>
        <w:tc>
          <w:tcPr>
            <w:tcW w:w="180" w:type="dxa"/>
            <w:vAlign w:val="bottom"/>
            <w:shd w:val="clear" w:color="auto" w:fill="FDFDFC"/>
          </w:tcPr>
          <w:p>
            <w:pPr>
              <w:spacing w:after="0"/>
              <w:rPr>
                <w:sz w:val="17"/>
                <w:szCs w:val="17"/>
                <w:color w:val="auto"/>
              </w:rPr>
            </w:pPr>
          </w:p>
        </w:tc>
        <w:tc>
          <w:tcPr>
            <w:tcW w:w="520" w:type="dxa"/>
            <w:vAlign w:val="bottom"/>
            <w:gridSpan w:val="2"/>
            <w:shd w:val="clear" w:color="auto" w:fill="FDFDFC"/>
          </w:tcPr>
          <w:p>
            <w:pPr>
              <w:ind w:left="20"/>
              <w:spacing w:after="0"/>
              <w:rPr>
                <w:sz w:val="20"/>
                <w:szCs w:val="20"/>
                <w:color w:val="auto"/>
              </w:rPr>
            </w:pPr>
            <w:r>
              <w:rPr>
                <w:rFonts w:ascii="Times New Roman" w:cs="Times New Roman" w:eastAsia="Times New Roman" w:hAnsi="Times New Roman"/>
                <w:sz w:val="15"/>
                <w:szCs w:val="15"/>
                <w:b w:val="1"/>
                <w:bCs w:val="1"/>
                <w:color w:val="231F20"/>
              </w:rPr>
              <w:t>Income</w:t>
            </w:r>
          </w:p>
        </w:tc>
        <w:tc>
          <w:tcPr>
            <w:tcW w:w="180" w:type="dxa"/>
            <w:vAlign w:val="bottom"/>
            <w:shd w:val="clear" w:color="auto" w:fill="FDFDFC"/>
          </w:tcPr>
          <w:p>
            <w:pPr>
              <w:spacing w:after="0"/>
              <w:rPr>
                <w:sz w:val="17"/>
                <w:szCs w:val="17"/>
                <w:color w:val="auto"/>
              </w:rPr>
            </w:pPr>
          </w:p>
        </w:tc>
        <w:tc>
          <w:tcPr>
            <w:tcW w:w="620" w:type="dxa"/>
            <w:vAlign w:val="bottom"/>
            <w:gridSpan w:val="3"/>
            <w:shd w:val="clear" w:color="auto" w:fill="FDFDFC"/>
          </w:tcPr>
          <w:p>
            <w:pPr>
              <w:ind w:left="20"/>
              <w:spacing w:after="0"/>
              <w:rPr>
                <w:sz w:val="20"/>
                <w:szCs w:val="20"/>
                <w:color w:val="auto"/>
              </w:rPr>
            </w:pPr>
            <w:r>
              <w:rPr>
                <w:rFonts w:ascii="Times New Roman" w:cs="Times New Roman" w:eastAsia="Times New Roman" w:hAnsi="Times New Roman"/>
                <w:sz w:val="15"/>
                <w:szCs w:val="15"/>
                <w:b w:val="1"/>
                <w:bCs w:val="1"/>
                <w:color w:val="231F20"/>
              </w:rPr>
              <w:t>Income</w:t>
            </w:r>
          </w:p>
        </w:tc>
        <w:tc>
          <w:tcPr>
            <w:tcW w:w="0" w:type="dxa"/>
            <w:vAlign w:val="bottom"/>
          </w:tcPr>
          <w:p>
            <w:pPr>
              <w:spacing w:after="0"/>
              <w:rPr>
                <w:sz w:val="1"/>
                <w:szCs w:val="1"/>
                <w:color w:val="auto"/>
              </w:rPr>
            </w:pPr>
          </w:p>
        </w:tc>
      </w:tr>
      <w:tr>
        <w:trPr>
          <w:trHeight w:val="163"/>
        </w:trPr>
        <w:tc>
          <w:tcPr>
            <w:tcW w:w="1920" w:type="dxa"/>
            <w:vAlign w:val="bottom"/>
            <w:tcBorders>
              <w:top w:val="single" w:sz="8" w:color="231F20"/>
              <w:bottom w:val="single" w:sz="8" w:color="FDFDFC"/>
            </w:tcBorders>
            <w:shd w:val="clear" w:color="auto" w:fill="D0EBF2"/>
          </w:tcPr>
          <w:p>
            <w:pPr>
              <w:spacing w:after="0" w:line="164" w:lineRule="exact"/>
              <w:rPr>
                <w:sz w:val="20"/>
                <w:szCs w:val="20"/>
                <w:color w:val="auto"/>
              </w:rPr>
            </w:pPr>
            <w:r>
              <w:rPr>
                <w:rFonts w:ascii="Times New Roman" w:cs="Times New Roman" w:eastAsia="Times New Roman" w:hAnsi="Times New Roman"/>
                <w:sz w:val="15"/>
                <w:szCs w:val="15"/>
                <w:color w:val="231F20"/>
              </w:rPr>
              <w:t>IRGSE Holding Corp.</w:t>
            </w:r>
          </w:p>
        </w:tc>
        <w:tc>
          <w:tcPr>
            <w:tcW w:w="100" w:type="dxa"/>
            <w:vAlign w:val="bottom"/>
            <w:tcBorders>
              <w:top w:val="single" w:sz="8" w:color="D0EBF2"/>
              <w:bottom w:val="single" w:sz="8" w:color="FDFDFC"/>
            </w:tcBorders>
            <w:shd w:val="clear" w:color="auto" w:fill="D0EBF2"/>
          </w:tcPr>
          <w:p>
            <w:pPr>
              <w:spacing w:after="0"/>
              <w:rPr>
                <w:sz w:val="14"/>
                <w:szCs w:val="14"/>
                <w:color w:val="auto"/>
              </w:rPr>
            </w:pPr>
          </w:p>
        </w:tc>
        <w:tc>
          <w:tcPr>
            <w:tcW w:w="120" w:type="dxa"/>
            <w:vAlign w:val="bottom"/>
            <w:tcBorders>
              <w:top w:val="single" w:sz="8" w:color="231F20"/>
              <w:bottom w:val="single" w:sz="8" w:color="231F20"/>
            </w:tcBorders>
            <w:gridSpan w:val="2"/>
            <w:shd w:val="clear" w:color="auto" w:fill="D0EBF2"/>
          </w:tcPr>
          <w:p>
            <w:pPr>
              <w:jc w:val="right"/>
              <w:ind w:right="60"/>
              <w:spacing w:after="0"/>
              <w:rPr>
                <w:sz w:val="20"/>
                <w:szCs w:val="20"/>
                <w:color w:val="auto"/>
              </w:rPr>
            </w:pPr>
            <w:r>
              <w:rPr>
                <w:rFonts w:ascii="Times New Roman" w:cs="Times New Roman" w:eastAsia="Times New Roman" w:hAnsi="Times New Roman"/>
                <w:sz w:val="11"/>
                <w:szCs w:val="11"/>
                <w:color w:val="231F20"/>
                <w:w w:val="71"/>
              </w:rPr>
              <w:t>$</w:t>
            </w:r>
          </w:p>
        </w:tc>
        <w:tc>
          <w:tcPr>
            <w:tcW w:w="760" w:type="dxa"/>
            <w:vAlign w:val="bottom"/>
            <w:tcBorders>
              <w:top w:val="single" w:sz="8" w:color="231F20"/>
              <w:bottom w:val="single" w:sz="8" w:color="231F20"/>
            </w:tcBorders>
            <w:shd w:val="clear" w:color="auto" w:fill="D0EBF2"/>
          </w:tcPr>
          <w:p>
            <w:pPr>
              <w:jc w:val="right"/>
              <w:spacing w:after="0" w:line="164" w:lineRule="exact"/>
              <w:rPr>
                <w:sz w:val="20"/>
                <w:szCs w:val="20"/>
                <w:color w:val="auto"/>
              </w:rPr>
            </w:pPr>
            <w:r>
              <w:rPr>
                <w:rFonts w:ascii="Times New Roman" w:cs="Times New Roman" w:eastAsia="Times New Roman" w:hAnsi="Times New Roman"/>
                <w:sz w:val="15"/>
                <w:szCs w:val="15"/>
                <w:color w:val="231F20"/>
              </w:rPr>
              <w:t>59,913</w:t>
            </w:r>
          </w:p>
        </w:tc>
        <w:tc>
          <w:tcPr>
            <w:tcW w:w="180" w:type="dxa"/>
            <w:vAlign w:val="bottom"/>
            <w:tcBorders>
              <w:top w:val="single" w:sz="8" w:color="D0EBF2"/>
              <w:bottom w:val="single" w:sz="8" w:color="FDFDFC"/>
            </w:tcBorders>
            <w:shd w:val="clear" w:color="auto" w:fill="D0EBF2"/>
          </w:tcPr>
          <w:p>
            <w:pPr>
              <w:spacing w:after="0"/>
              <w:rPr>
                <w:sz w:val="14"/>
                <w:szCs w:val="14"/>
                <w:color w:val="auto"/>
              </w:rPr>
            </w:pPr>
          </w:p>
        </w:tc>
        <w:tc>
          <w:tcPr>
            <w:tcW w:w="160" w:type="dxa"/>
            <w:vAlign w:val="bottom"/>
            <w:tcBorders>
              <w:top w:val="single" w:sz="8" w:color="231F20"/>
              <w:bottom w:val="single" w:sz="8" w:color="231F20"/>
            </w:tcBorders>
            <w:shd w:val="clear" w:color="auto" w:fill="D0EBF2"/>
          </w:tcPr>
          <w:p>
            <w:pPr>
              <w:spacing w:after="0" w:line="164" w:lineRule="exact"/>
              <w:rPr>
                <w:sz w:val="20"/>
                <w:szCs w:val="20"/>
                <w:color w:val="auto"/>
              </w:rPr>
            </w:pPr>
            <w:r>
              <w:rPr>
                <w:rFonts w:ascii="Times New Roman" w:cs="Times New Roman" w:eastAsia="Times New Roman" w:hAnsi="Times New Roman"/>
                <w:sz w:val="15"/>
                <w:szCs w:val="15"/>
                <w:color w:val="231F20"/>
              </w:rPr>
              <w:t>$</w:t>
            </w:r>
          </w:p>
        </w:tc>
        <w:tc>
          <w:tcPr>
            <w:tcW w:w="700" w:type="dxa"/>
            <w:vAlign w:val="bottom"/>
            <w:tcBorders>
              <w:top w:val="single" w:sz="8" w:color="231F20"/>
              <w:bottom w:val="single" w:sz="8" w:color="231F20"/>
            </w:tcBorders>
            <w:shd w:val="clear" w:color="auto" w:fill="D0EBF2"/>
          </w:tcPr>
          <w:p>
            <w:pPr>
              <w:jc w:val="right"/>
              <w:spacing w:after="0" w:line="164" w:lineRule="exact"/>
              <w:rPr>
                <w:sz w:val="20"/>
                <w:szCs w:val="20"/>
                <w:color w:val="auto"/>
              </w:rPr>
            </w:pPr>
            <w:r>
              <w:rPr>
                <w:rFonts w:ascii="Times New Roman" w:cs="Times New Roman" w:eastAsia="Times New Roman" w:hAnsi="Times New Roman"/>
                <w:sz w:val="15"/>
                <w:szCs w:val="15"/>
                <w:color w:val="231F20"/>
              </w:rPr>
              <w:t>10,351</w:t>
            </w:r>
          </w:p>
        </w:tc>
        <w:tc>
          <w:tcPr>
            <w:tcW w:w="180" w:type="dxa"/>
            <w:vAlign w:val="bottom"/>
            <w:tcBorders>
              <w:top w:val="single" w:sz="8" w:color="D0EBF2"/>
              <w:bottom w:val="single" w:sz="8" w:color="FDFDFC"/>
            </w:tcBorders>
            <w:shd w:val="clear" w:color="auto" w:fill="D0EBF2"/>
          </w:tcPr>
          <w:p>
            <w:pPr>
              <w:spacing w:after="0"/>
              <w:rPr>
                <w:sz w:val="14"/>
                <w:szCs w:val="14"/>
                <w:color w:val="auto"/>
              </w:rPr>
            </w:pPr>
          </w:p>
        </w:tc>
        <w:tc>
          <w:tcPr>
            <w:tcW w:w="180" w:type="dxa"/>
            <w:vAlign w:val="bottom"/>
            <w:tcBorders>
              <w:top w:val="single" w:sz="8" w:color="231F20"/>
              <w:bottom w:val="single" w:sz="8" w:color="231F20"/>
            </w:tcBorders>
            <w:shd w:val="clear" w:color="auto" w:fill="D0EBF2"/>
          </w:tcPr>
          <w:p>
            <w:pPr>
              <w:spacing w:after="0" w:line="164" w:lineRule="exact"/>
              <w:rPr>
                <w:sz w:val="20"/>
                <w:szCs w:val="20"/>
                <w:color w:val="auto"/>
              </w:rPr>
            </w:pPr>
            <w:r>
              <w:rPr>
                <w:rFonts w:ascii="Times New Roman" w:cs="Times New Roman" w:eastAsia="Times New Roman" w:hAnsi="Times New Roman"/>
                <w:sz w:val="15"/>
                <w:szCs w:val="15"/>
                <w:color w:val="231F20"/>
              </w:rPr>
              <w:t>$</w:t>
            </w:r>
          </w:p>
        </w:tc>
        <w:tc>
          <w:tcPr>
            <w:tcW w:w="780" w:type="dxa"/>
            <w:vAlign w:val="bottom"/>
            <w:tcBorders>
              <w:top w:val="single" w:sz="8" w:color="231F20"/>
              <w:bottom w:val="single" w:sz="8" w:color="231F20"/>
            </w:tcBorders>
            <w:shd w:val="clear" w:color="auto" w:fill="D0EBF2"/>
          </w:tcPr>
          <w:p>
            <w:pPr>
              <w:ind w:left="600"/>
              <w:spacing w:after="0" w:line="164" w:lineRule="exact"/>
              <w:rPr>
                <w:sz w:val="20"/>
                <w:szCs w:val="20"/>
                <w:color w:val="auto"/>
              </w:rPr>
            </w:pPr>
            <w:r>
              <w:rPr>
                <w:rFonts w:ascii="Times New Roman" w:cs="Times New Roman" w:eastAsia="Times New Roman" w:hAnsi="Times New Roman"/>
                <w:sz w:val="15"/>
                <w:szCs w:val="15"/>
                <w:color w:val="231F20"/>
              </w:rPr>
              <w:t>—</w:t>
            </w:r>
          </w:p>
        </w:tc>
        <w:tc>
          <w:tcPr>
            <w:tcW w:w="20" w:type="dxa"/>
            <w:vAlign w:val="bottom"/>
            <w:tcBorders>
              <w:top w:val="single" w:sz="8" w:color="231F20"/>
            </w:tcBorders>
            <w:shd w:val="clear" w:color="auto" w:fill="D0EBF2"/>
          </w:tcPr>
          <w:p>
            <w:pPr>
              <w:spacing w:after="0"/>
              <w:rPr>
                <w:sz w:val="14"/>
                <w:szCs w:val="14"/>
                <w:color w:val="auto"/>
              </w:rPr>
            </w:pPr>
          </w:p>
        </w:tc>
        <w:tc>
          <w:tcPr>
            <w:tcW w:w="140" w:type="dxa"/>
            <w:vAlign w:val="bottom"/>
            <w:tcBorders>
              <w:top w:val="single" w:sz="8" w:color="D0EBF2"/>
              <w:bottom w:val="single" w:sz="8" w:color="FDFDFC"/>
            </w:tcBorders>
            <w:shd w:val="clear" w:color="auto" w:fill="D0EBF2"/>
          </w:tcPr>
          <w:p>
            <w:pPr>
              <w:spacing w:after="0"/>
              <w:rPr>
                <w:sz w:val="14"/>
                <w:szCs w:val="14"/>
                <w:color w:val="auto"/>
              </w:rPr>
            </w:pPr>
          </w:p>
        </w:tc>
        <w:tc>
          <w:tcPr>
            <w:tcW w:w="300" w:type="dxa"/>
            <w:vAlign w:val="bottom"/>
            <w:tcBorders>
              <w:top w:val="single" w:sz="8" w:color="231F20"/>
              <w:bottom w:val="single" w:sz="8" w:color="231F20"/>
            </w:tcBorders>
            <w:shd w:val="clear" w:color="auto" w:fill="D0EBF2"/>
          </w:tcPr>
          <w:p>
            <w:pPr>
              <w:spacing w:after="0" w:line="164" w:lineRule="exact"/>
              <w:rPr>
                <w:sz w:val="20"/>
                <w:szCs w:val="20"/>
                <w:color w:val="auto"/>
              </w:rPr>
            </w:pPr>
            <w:r>
              <w:rPr>
                <w:rFonts w:ascii="Times New Roman" w:cs="Times New Roman" w:eastAsia="Times New Roman" w:hAnsi="Times New Roman"/>
                <w:sz w:val="15"/>
                <w:szCs w:val="15"/>
                <w:color w:val="231F20"/>
              </w:rPr>
              <w:t>$</w:t>
            </w:r>
          </w:p>
        </w:tc>
        <w:tc>
          <w:tcPr>
            <w:tcW w:w="600" w:type="dxa"/>
            <w:vAlign w:val="bottom"/>
            <w:tcBorders>
              <w:top w:val="single" w:sz="8" w:color="231F20"/>
              <w:bottom w:val="single" w:sz="8" w:color="231F20"/>
            </w:tcBorders>
            <w:shd w:val="clear" w:color="auto" w:fill="D0EBF2"/>
          </w:tcPr>
          <w:p>
            <w:pPr>
              <w:jc w:val="right"/>
              <w:spacing w:after="0" w:line="164" w:lineRule="exact"/>
              <w:rPr>
                <w:sz w:val="20"/>
                <w:szCs w:val="20"/>
                <w:color w:val="auto"/>
              </w:rPr>
            </w:pPr>
            <w:r>
              <w:rPr>
                <w:rFonts w:ascii="Times New Roman" w:cs="Times New Roman" w:eastAsia="Times New Roman" w:hAnsi="Times New Roman"/>
                <w:sz w:val="15"/>
                <w:szCs w:val="15"/>
                <w:color w:val="231F20"/>
              </w:rPr>
              <w:t>(5,169)</w:t>
            </w:r>
          </w:p>
        </w:tc>
        <w:tc>
          <w:tcPr>
            <w:tcW w:w="160" w:type="dxa"/>
            <w:vAlign w:val="bottom"/>
            <w:tcBorders>
              <w:top w:val="single" w:sz="8" w:color="D0EBF2"/>
              <w:bottom w:val="single" w:sz="8" w:color="FDFDFC"/>
            </w:tcBorders>
            <w:shd w:val="clear" w:color="auto" w:fill="D0EBF2"/>
          </w:tcPr>
          <w:p>
            <w:pPr>
              <w:spacing w:after="0"/>
              <w:rPr>
                <w:sz w:val="14"/>
                <w:szCs w:val="14"/>
                <w:color w:val="auto"/>
              </w:rPr>
            </w:pPr>
          </w:p>
        </w:tc>
        <w:tc>
          <w:tcPr>
            <w:tcW w:w="100" w:type="dxa"/>
            <w:vAlign w:val="bottom"/>
            <w:tcBorders>
              <w:top w:val="single" w:sz="8" w:color="231F20"/>
              <w:bottom w:val="single" w:sz="8" w:color="231F20"/>
            </w:tcBorders>
            <w:shd w:val="clear" w:color="auto" w:fill="D0EBF2"/>
          </w:tcPr>
          <w:p>
            <w:pPr>
              <w:spacing w:after="0" w:line="164" w:lineRule="exact"/>
              <w:rPr>
                <w:sz w:val="20"/>
                <w:szCs w:val="20"/>
                <w:color w:val="auto"/>
              </w:rPr>
            </w:pPr>
            <w:r>
              <w:rPr>
                <w:rFonts w:ascii="Times New Roman" w:cs="Times New Roman" w:eastAsia="Times New Roman" w:hAnsi="Times New Roman"/>
                <w:sz w:val="15"/>
                <w:szCs w:val="15"/>
                <w:color w:val="231F20"/>
              </w:rPr>
              <w:t>$</w:t>
            </w:r>
          </w:p>
        </w:tc>
        <w:tc>
          <w:tcPr>
            <w:tcW w:w="680" w:type="dxa"/>
            <w:vAlign w:val="bottom"/>
            <w:tcBorders>
              <w:top w:val="single" w:sz="8" w:color="231F20"/>
              <w:bottom w:val="single" w:sz="8" w:color="231F20"/>
            </w:tcBorders>
            <w:shd w:val="clear" w:color="auto" w:fill="D0EBF2"/>
          </w:tcPr>
          <w:p>
            <w:pPr>
              <w:ind w:left="500"/>
              <w:spacing w:after="0" w:line="164" w:lineRule="exact"/>
              <w:rPr>
                <w:sz w:val="20"/>
                <w:szCs w:val="20"/>
                <w:color w:val="auto"/>
              </w:rPr>
            </w:pPr>
            <w:r>
              <w:rPr>
                <w:rFonts w:ascii="Times New Roman" w:cs="Times New Roman" w:eastAsia="Times New Roman" w:hAnsi="Times New Roman"/>
                <w:sz w:val="15"/>
                <w:szCs w:val="15"/>
                <w:color w:val="231F20"/>
              </w:rPr>
              <w:t>—</w:t>
            </w:r>
          </w:p>
        </w:tc>
        <w:tc>
          <w:tcPr>
            <w:tcW w:w="160" w:type="dxa"/>
            <w:vAlign w:val="bottom"/>
            <w:tcBorders>
              <w:top w:val="single" w:sz="8" w:color="D0EBF2"/>
              <w:bottom w:val="single" w:sz="8" w:color="FDFDFC"/>
            </w:tcBorders>
            <w:shd w:val="clear" w:color="auto" w:fill="D0EBF2"/>
          </w:tcPr>
          <w:p>
            <w:pPr>
              <w:spacing w:after="0"/>
              <w:rPr>
                <w:sz w:val="14"/>
                <w:szCs w:val="14"/>
                <w:color w:val="auto"/>
              </w:rPr>
            </w:pPr>
          </w:p>
        </w:tc>
        <w:tc>
          <w:tcPr>
            <w:tcW w:w="300" w:type="dxa"/>
            <w:vAlign w:val="bottom"/>
            <w:tcBorders>
              <w:top w:val="single" w:sz="8" w:color="231F20"/>
              <w:bottom w:val="single" w:sz="8" w:color="231F20"/>
            </w:tcBorders>
            <w:shd w:val="clear" w:color="auto" w:fill="D0EBF2"/>
          </w:tcPr>
          <w:p>
            <w:pPr>
              <w:spacing w:after="0" w:line="164" w:lineRule="exact"/>
              <w:rPr>
                <w:sz w:val="20"/>
                <w:szCs w:val="20"/>
                <w:color w:val="auto"/>
              </w:rPr>
            </w:pPr>
            <w:r>
              <w:rPr>
                <w:rFonts w:ascii="Times New Roman" w:cs="Times New Roman" w:eastAsia="Times New Roman" w:hAnsi="Times New Roman"/>
                <w:sz w:val="15"/>
                <w:szCs w:val="15"/>
                <w:color w:val="231F20"/>
              </w:rPr>
              <w:t>$</w:t>
            </w:r>
          </w:p>
        </w:tc>
        <w:tc>
          <w:tcPr>
            <w:tcW w:w="380" w:type="dxa"/>
            <w:vAlign w:val="bottom"/>
            <w:tcBorders>
              <w:top w:val="single" w:sz="8" w:color="231F20"/>
              <w:bottom w:val="single" w:sz="8" w:color="231F20"/>
            </w:tcBorders>
            <w:shd w:val="clear" w:color="auto" w:fill="D0EBF2"/>
          </w:tcPr>
          <w:p>
            <w:pPr>
              <w:ind w:left="220"/>
              <w:spacing w:after="0" w:line="164" w:lineRule="exact"/>
              <w:rPr>
                <w:sz w:val="20"/>
                <w:szCs w:val="20"/>
                <w:color w:val="auto"/>
              </w:rPr>
            </w:pPr>
            <w:r>
              <w:rPr>
                <w:rFonts w:ascii="Times New Roman" w:cs="Times New Roman" w:eastAsia="Times New Roman" w:hAnsi="Times New Roman"/>
                <w:sz w:val="15"/>
                <w:szCs w:val="15"/>
                <w:color w:val="231F20"/>
                <w:w w:val="93"/>
              </w:rPr>
              <w:t>—</w:t>
            </w:r>
          </w:p>
        </w:tc>
        <w:tc>
          <w:tcPr>
            <w:tcW w:w="180" w:type="dxa"/>
            <w:vAlign w:val="bottom"/>
            <w:tcBorders>
              <w:top w:val="single" w:sz="8" w:color="D0EBF2"/>
              <w:bottom w:val="single" w:sz="8" w:color="FDFDFC"/>
            </w:tcBorders>
            <w:shd w:val="clear" w:color="auto" w:fill="D0EBF2"/>
          </w:tcPr>
          <w:p>
            <w:pPr>
              <w:spacing w:after="0"/>
              <w:rPr>
                <w:sz w:val="14"/>
                <w:szCs w:val="14"/>
                <w:color w:val="auto"/>
              </w:rPr>
            </w:pPr>
          </w:p>
        </w:tc>
        <w:tc>
          <w:tcPr>
            <w:tcW w:w="120" w:type="dxa"/>
            <w:vAlign w:val="bottom"/>
            <w:tcBorders>
              <w:top w:val="single" w:sz="8" w:color="231F20"/>
              <w:bottom w:val="single" w:sz="8" w:color="231F20"/>
            </w:tcBorders>
            <w:shd w:val="clear" w:color="auto" w:fill="D0EBF2"/>
          </w:tcPr>
          <w:p>
            <w:pPr>
              <w:spacing w:after="0" w:line="164" w:lineRule="exact"/>
              <w:rPr>
                <w:sz w:val="20"/>
                <w:szCs w:val="20"/>
                <w:color w:val="auto"/>
              </w:rPr>
            </w:pPr>
            <w:r>
              <w:rPr>
                <w:rFonts w:ascii="Times New Roman" w:cs="Times New Roman" w:eastAsia="Times New Roman" w:hAnsi="Times New Roman"/>
                <w:sz w:val="15"/>
                <w:szCs w:val="15"/>
                <w:color w:val="231F20"/>
                <w:shd w:val="clear" w:color="auto" w:fill="D0EBF2"/>
              </w:rPr>
              <w:t>$</w:t>
            </w:r>
          </w:p>
        </w:tc>
        <w:tc>
          <w:tcPr>
            <w:tcW w:w="560" w:type="dxa"/>
            <w:vAlign w:val="bottom"/>
            <w:tcBorders>
              <w:top w:val="single" w:sz="8" w:color="231F20"/>
              <w:bottom w:val="single" w:sz="8" w:color="231F20"/>
            </w:tcBorders>
            <w:shd w:val="clear" w:color="auto" w:fill="D0EBF2"/>
          </w:tcPr>
          <w:p>
            <w:pPr>
              <w:jc w:val="right"/>
              <w:spacing w:after="0" w:line="164" w:lineRule="exact"/>
              <w:rPr>
                <w:sz w:val="20"/>
                <w:szCs w:val="20"/>
                <w:color w:val="auto"/>
              </w:rPr>
            </w:pPr>
            <w:r>
              <w:rPr>
                <w:rFonts w:ascii="Times New Roman" w:cs="Times New Roman" w:eastAsia="Times New Roman" w:hAnsi="Times New Roman"/>
                <w:sz w:val="15"/>
                <w:szCs w:val="15"/>
                <w:color w:val="231F20"/>
                <w:shd w:val="clear" w:color="auto" w:fill="D0EBF2"/>
              </w:rPr>
              <w:t>65,095</w:t>
            </w:r>
          </w:p>
        </w:tc>
        <w:tc>
          <w:tcPr>
            <w:tcW w:w="180" w:type="dxa"/>
            <w:vAlign w:val="bottom"/>
            <w:tcBorders>
              <w:top w:val="single" w:sz="8" w:color="D0EBF2"/>
              <w:bottom w:val="single" w:sz="8" w:color="FDFDFC"/>
            </w:tcBorders>
            <w:shd w:val="clear" w:color="auto" w:fill="D0EBF2"/>
          </w:tcPr>
          <w:p>
            <w:pPr>
              <w:spacing w:after="0"/>
              <w:rPr>
                <w:sz w:val="14"/>
                <w:szCs w:val="14"/>
                <w:color w:val="auto"/>
              </w:rPr>
            </w:pPr>
          </w:p>
        </w:tc>
        <w:tc>
          <w:tcPr>
            <w:tcW w:w="220" w:type="dxa"/>
            <w:vAlign w:val="bottom"/>
            <w:tcBorders>
              <w:top w:val="single" w:sz="8" w:color="231F20"/>
              <w:bottom w:val="single" w:sz="8" w:color="231F20"/>
            </w:tcBorders>
            <w:shd w:val="clear" w:color="auto" w:fill="D0EBF2"/>
          </w:tcPr>
          <w:p>
            <w:pPr>
              <w:spacing w:after="0" w:line="164" w:lineRule="exact"/>
              <w:rPr>
                <w:sz w:val="20"/>
                <w:szCs w:val="20"/>
                <w:color w:val="auto"/>
              </w:rPr>
            </w:pPr>
            <w:r>
              <w:rPr>
                <w:rFonts w:ascii="Times New Roman" w:cs="Times New Roman" w:eastAsia="Times New Roman" w:hAnsi="Times New Roman"/>
                <w:sz w:val="15"/>
                <w:szCs w:val="15"/>
                <w:color w:val="231F20"/>
              </w:rPr>
              <w:t>$</w:t>
            </w:r>
          </w:p>
        </w:tc>
        <w:tc>
          <w:tcPr>
            <w:tcW w:w="300" w:type="dxa"/>
            <w:vAlign w:val="bottom"/>
            <w:tcBorders>
              <w:top w:val="single" w:sz="8" w:color="231F20"/>
              <w:bottom w:val="single" w:sz="8" w:color="231F20"/>
            </w:tcBorders>
            <w:shd w:val="clear" w:color="auto" w:fill="D0EBF2"/>
          </w:tcPr>
          <w:p>
            <w:pPr>
              <w:jc w:val="right"/>
              <w:spacing w:after="0" w:line="164" w:lineRule="exact"/>
              <w:rPr>
                <w:sz w:val="20"/>
                <w:szCs w:val="20"/>
                <w:color w:val="auto"/>
              </w:rPr>
            </w:pPr>
            <w:r>
              <w:rPr>
                <w:rFonts w:ascii="Times New Roman" w:cs="Times New Roman" w:eastAsia="Times New Roman" w:hAnsi="Times New Roman"/>
                <w:sz w:val="15"/>
                <w:szCs w:val="15"/>
                <w:color w:val="231F20"/>
              </w:rPr>
              <w:t>13</w:t>
            </w:r>
          </w:p>
        </w:tc>
        <w:tc>
          <w:tcPr>
            <w:tcW w:w="180" w:type="dxa"/>
            <w:vAlign w:val="bottom"/>
            <w:tcBorders>
              <w:top w:val="single" w:sz="8" w:color="D0EBF2"/>
              <w:bottom w:val="single" w:sz="8" w:color="FDFDFC"/>
            </w:tcBorders>
            <w:shd w:val="clear" w:color="auto" w:fill="D0EBF2"/>
          </w:tcPr>
          <w:p>
            <w:pPr>
              <w:spacing w:after="0"/>
              <w:rPr>
                <w:sz w:val="14"/>
                <w:szCs w:val="14"/>
                <w:color w:val="auto"/>
              </w:rPr>
            </w:pPr>
          </w:p>
        </w:tc>
        <w:tc>
          <w:tcPr>
            <w:tcW w:w="140" w:type="dxa"/>
            <w:vAlign w:val="bottom"/>
            <w:tcBorders>
              <w:top w:val="single" w:sz="8" w:color="231F20"/>
              <w:bottom w:val="single" w:sz="8" w:color="231F20"/>
            </w:tcBorders>
            <w:shd w:val="clear" w:color="auto" w:fill="D0EBF2"/>
          </w:tcPr>
          <w:p>
            <w:pPr>
              <w:spacing w:after="0" w:line="164" w:lineRule="exact"/>
              <w:rPr>
                <w:sz w:val="20"/>
                <w:szCs w:val="20"/>
                <w:color w:val="auto"/>
              </w:rPr>
            </w:pPr>
            <w:r>
              <w:rPr>
                <w:rFonts w:ascii="Times New Roman" w:cs="Times New Roman" w:eastAsia="Times New Roman" w:hAnsi="Times New Roman"/>
                <w:sz w:val="15"/>
                <w:szCs w:val="15"/>
                <w:color w:val="231F20"/>
                <w:shd w:val="clear" w:color="auto" w:fill="D0EBF2"/>
              </w:rPr>
              <w:t>$</w:t>
            </w:r>
          </w:p>
        </w:tc>
        <w:tc>
          <w:tcPr>
            <w:tcW w:w="400" w:type="dxa"/>
            <w:vAlign w:val="bottom"/>
            <w:tcBorders>
              <w:top w:val="single" w:sz="8" w:color="231F20"/>
              <w:bottom w:val="single" w:sz="8" w:color="231F20"/>
            </w:tcBorders>
            <w:shd w:val="clear" w:color="auto" w:fill="D0EBF2"/>
          </w:tcPr>
          <w:p>
            <w:pPr>
              <w:jc w:val="right"/>
              <w:spacing w:after="0" w:line="164" w:lineRule="exact"/>
              <w:rPr>
                <w:sz w:val="20"/>
                <w:szCs w:val="20"/>
                <w:color w:val="auto"/>
              </w:rPr>
            </w:pPr>
            <w:r>
              <w:rPr>
                <w:rFonts w:ascii="Times New Roman" w:cs="Times New Roman" w:eastAsia="Times New Roman" w:hAnsi="Times New Roman"/>
                <w:sz w:val="15"/>
                <w:szCs w:val="15"/>
                <w:color w:val="231F20"/>
                <w:shd w:val="clear" w:color="auto" w:fill="D0EBF2"/>
              </w:rPr>
              <w:t>9,428</w:t>
            </w:r>
          </w:p>
        </w:tc>
        <w:tc>
          <w:tcPr>
            <w:tcW w:w="80" w:type="dxa"/>
            <w:vAlign w:val="bottom"/>
            <w:tcBorders>
              <w:top w:val="single" w:sz="8" w:color="D0EBF2"/>
              <w:bottom w:val="single" w:sz="8" w:color="FDFDFC"/>
            </w:tcBorders>
            <w:shd w:val="clear" w:color="auto" w:fill="D0EBF2"/>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1920" w:type="dxa"/>
            <w:vAlign w:val="bottom"/>
            <w:shd w:val="clear" w:color="auto" w:fill="FDFDFC"/>
          </w:tcPr>
          <w:p>
            <w:pPr>
              <w:spacing w:after="0" w:line="164" w:lineRule="exact"/>
              <w:rPr>
                <w:sz w:val="20"/>
                <w:szCs w:val="20"/>
                <w:color w:val="auto"/>
              </w:rPr>
            </w:pPr>
            <w:r>
              <w:rPr>
                <w:rFonts w:ascii="Times New Roman" w:cs="Times New Roman" w:eastAsia="Times New Roman" w:hAnsi="Times New Roman"/>
                <w:sz w:val="15"/>
                <w:szCs w:val="15"/>
                <w:b w:val="1"/>
                <w:bCs w:val="1"/>
                <w:color w:val="231F20"/>
              </w:rPr>
              <w:t>Total</w:t>
            </w:r>
          </w:p>
        </w:tc>
        <w:tc>
          <w:tcPr>
            <w:tcW w:w="100" w:type="dxa"/>
            <w:vAlign w:val="bottom"/>
            <w:shd w:val="clear" w:color="auto" w:fill="FDFDFC"/>
          </w:tcPr>
          <w:p>
            <w:pPr>
              <w:spacing w:after="0"/>
              <w:rPr>
                <w:sz w:val="14"/>
                <w:szCs w:val="14"/>
                <w:color w:val="auto"/>
              </w:rPr>
            </w:pPr>
          </w:p>
        </w:tc>
        <w:tc>
          <w:tcPr>
            <w:tcW w:w="120" w:type="dxa"/>
            <w:vAlign w:val="bottom"/>
            <w:tcBorders>
              <w:bottom w:val="single" w:sz="8" w:color="231F20"/>
            </w:tcBorders>
            <w:gridSpan w:val="2"/>
            <w:shd w:val="clear" w:color="auto" w:fill="FDFDFC"/>
          </w:tcPr>
          <w:p>
            <w:pPr>
              <w:jc w:val="right"/>
              <w:ind w:right="60"/>
              <w:spacing w:after="0"/>
              <w:rPr>
                <w:sz w:val="20"/>
                <w:szCs w:val="20"/>
                <w:color w:val="auto"/>
              </w:rPr>
            </w:pPr>
            <w:r>
              <w:rPr>
                <w:rFonts w:ascii="Times New Roman" w:cs="Times New Roman" w:eastAsia="Times New Roman" w:hAnsi="Times New Roman"/>
                <w:sz w:val="11"/>
                <w:szCs w:val="11"/>
                <w:b w:val="1"/>
                <w:bCs w:val="1"/>
                <w:color w:val="231F20"/>
                <w:w w:val="71"/>
              </w:rPr>
              <w:t>$</w:t>
            </w:r>
          </w:p>
        </w:tc>
        <w:tc>
          <w:tcPr>
            <w:tcW w:w="760" w:type="dxa"/>
            <w:vAlign w:val="bottom"/>
            <w:tcBorders>
              <w:bottom w:val="single" w:sz="8" w:color="231F20"/>
            </w:tcBorders>
            <w:shd w:val="clear" w:color="auto" w:fill="FDFDFC"/>
          </w:tcPr>
          <w:p>
            <w:pPr>
              <w:jc w:val="right"/>
              <w:spacing w:after="0" w:line="164" w:lineRule="exact"/>
              <w:rPr>
                <w:sz w:val="20"/>
                <w:szCs w:val="20"/>
                <w:color w:val="auto"/>
              </w:rPr>
            </w:pPr>
            <w:r>
              <w:rPr>
                <w:rFonts w:ascii="Times New Roman" w:cs="Times New Roman" w:eastAsia="Times New Roman" w:hAnsi="Times New Roman"/>
                <w:sz w:val="15"/>
                <w:szCs w:val="15"/>
                <w:b w:val="1"/>
                <w:bCs w:val="1"/>
                <w:color w:val="231F20"/>
              </w:rPr>
              <w:t>59,913</w:t>
            </w:r>
          </w:p>
        </w:tc>
        <w:tc>
          <w:tcPr>
            <w:tcW w:w="180" w:type="dxa"/>
            <w:vAlign w:val="bottom"/>
            <w:shd w:val="clear" w:color="auto" w:fill="FDFDFC"/>
          </w:tcPr>
          <w:p>
            <w:pPr>
              <w:spacing w:after="0"/>
              <w:rPr>
                <w:sz w:val="14"/>
                <w:szCs w:val="14"/>
                <w:color w:val="auto"/>
              </w:rPr>
            </w:pPr>
          </w:p>
        </w:tc>
        <w:tc>
          <w:tcPr>
            <w:tcW w:w="160" w:type="dxa"/>
            <w:vAlign w:val="bottom"/>
            <w:tcBorders>
              <w:bottom w:val="single" w:sz="8" w:color="231F20"/>
            </w:tcBorders>
            <w:shd w:val="clear" w:color="auto" w:fill="FDFDFC"/>
          </w:tcPr>
          <w:p>
            <w:pPr>
              <w:spacing w:after="0" w:line="164" w:lineRule="exact"/>
              <w:rPr>
                <w:sz w:val="20"/>
                <w:szCs w:val="20"/>
                <w:color w:val="auto"/>
              </w:rPr>
            </w:pPr>
            <w:r>
              <w:rPr>
                <w:rFonts w:ascii="Times New Roman" w:cs="Times New Roman" w:eastAsia="Times New Roman" w:hAnsi="Times New Roman"/>
                <w:sz w:val="15"/>
                <w:szCs w:val="15"/>
                <w:b w:val="1"/>
                <w:bCs w:val="1"/>
                <w:color w:val="231F20"/>
              </w:rPr>
              <w:t>$</w:t>
            </w:r>
          </w:p>
        </w:tc>
        <w:tc>
          <w:tcPr>
            <w:tcW w:w="700" w:type="dxa"/>
            <w:vAlign w:val="bottom"/>
            <w:tcBorders>
              <w:bottom w:val="single" w:sz="8" w:color="231F20"/>
            </w:tcBorders>
            <w:shd w:val="clear" w:color="auto" w:fill="FDFDFC"/>
          </w:tcPr>
          <w:p>
            <w:pPr>
              <w:jc w:val="right"/>
              <w:spacing w:after="0" w:line="164" w:lineRule="exact"/>
              <w:rPr>
                <w:sz w:val="20"/>
                <w:szCs w:val="20"/>
                <w:color w:val="auto"/>
              </w:rPr>
            </w:pPr>
            <w:r>
              <w:rPr>
                <w:rFonts w:ascii="Times New Roman" w:cs="Times New Roman" w:eastAsia="Times New Roman" w:hAnsi="Times New Roman"/>
                <w:sz w:val="15"/>
                <w:szCs w:val="15"/>
                <w:b w:val="1"/>
                <w:bCs w:val="1"/>
                <w:color w:val="231F20"/>
              </w:rPr>
              <w:t>10,351</w:t>
            </w:r>
          </w:p>
        </w:tc>
        <w:tc>
          <w:tcPr>
            <w:tcW w:w="180" w:type="dxa"/>
            <w:vAlign w:val="bottom"/>
            <w:shd w:val="clear" w:color="auto" w:fill="FDFDFC"/>
          </w:tcPr>
          <w:p>
            <w:pPr>
              <w:spacing w:after="0"/>
              <w:rPr>
                <w:sz w:val="14"/>
                <w:szCs w:val="14"/>
                <w:color w:val="auto"/>
              </w:rPr>
            </w:pPr>
          </w:p>
        </w:tc>
        <w:tc>
          <w:tcPr>
            <w:tcW w:w="180" w:type="dxa"/>
            <w:vAlign w:val="bottom"/>
            <w:tcBorders>
              <w:bottom w:val="single" w:sz="8" w:color="231F20"/>
            </w:tcBorders>
            <w:shd w:val="clear" w:color="auto" w:fill="FDFDFC"/>
          </w:tcPr>
          <w:p>
            <w:pPr>
              <w:spacing w:after="0" w:line="164" w:lineRule="exact"/>
              <w:rPr>
                <w:sz w:val="20"/>
                <w:szCs w:val="20"/>
                <w:color w:val="auto"/>
              </w:rPr>
            </w:pPr>
            <w:r>
              <w:rPr>
                <w:rFonts w:ascii="Times New Roman" w:cs="Times New Roman" w:eastAsia="Times New Roman" w:hAnsi="Times New Roman"/>
                <w:sz w:val="15"/>
                <w:szCs w:val="15"/>
                <w:b w:val="1"/>
                <w:bCs w:val="1"/>
                <w:color w:val="231F20"/>
              </w:rPr>
              <w:t>$</w:t>
            </w:r>
          </w:p>
        </w:tc>
        <w:tc>
          <w:tcPr>
            <w:tcW w:w="780" w:type="dxa"/>
            <w:vAlign w:val="bottom"/>
            <w:tcBorders>
              <w:bottom w:val="single" w:sz="8" w:color="231F20"/>
            </w:tcBorders>
            <w:shd w:val="clear" w:color="auto" w:fill="FDFDFC"/>
          </w:tcPr>
          <w:p>
            <w:pPr>
              <w:ind w:left="600"/>
              <w:spacing w:after="0" w:line="164" w:lineRule="exact"/>
              <w:rPr>
                <w:sz w:val="20"/>
                <w:szCs w:val="20"/>
                <w:color w:val="auto"/>
              </w:rPr>
            </w:pPr>
            <w:r>
              <w:rPr>
                <w:rFonts w:ascii="Times New Roman" w:cs="Times New Roman" w:eastAsia="Times New Roman" w:hAnsi="Times New Roman"/>
                <w:sz w:val="15"/>
                <w:szCs w:val="15"/>
                <w:b w:val="1"/>
                <w:bCs w:val="1"/>
                <w:color w:val="231F20"/>
              </w:rPr>
              <w:t>—</w:t>
            </w:r>
          </w:p>
        </w:tc>
        <w:tc>
          <w:tcPr>
            <w:tcW w:w="20" w:type="dxa"/>
            <w:vAlign w:val="bottom"/>
            <w:tcBorders>
              <w:bottom w:val="single" w:sz="8" w:color="231F20"/>
            </w:tcBorders>
            <w:shd w:val="clear" w:color="auto" w:fill="FDFDFC"/>
          </w:tcPr>
          <w:p>
            <w:pPr>
              <w:spacing w:after="0"/>
              <w:rPr>
                <w:sz w:val="14"/>
                <w:szCs w:val="14"/>
                <w:color w:val="auto"/>
              </w:rPr>
            </w:pPr>
          </w:p>
        </w:tc>
        <w:tc>
          <w:tcPr>
            <w:tcW w:w="140" w:type="dxa"/>
            <w:vAlign w:val="bottom"/>
            <w:shd w:val="clear" w:color="auto" w:fill="FDFDFC"/>
          </w:tcPr>
          <w:p>
            <w:pPr>
              <w:spacing w:after="0"/>
              <w:rPr>
                <w:sz w:val="14"/>
                <w:szCs w:val="14"/>
                <w:color w:val="auto"/>
              </w:rPr>
            </w:pPr>
          </w:p>
        </w:tc>
        <w:tc>
          <w:tcPr>
            <w:tcW w:w="300" w:type="dxa"/>
            <w:vAlign w:val="bottom"/>
            <w:tcBorders>
              <w:bottom w:val="single" w:sz="8" w:color="231F20"/>
            </w:tcBorders>
            <w:shd w:val="clear" w:color="auto" w:fill="FDFDFC"/>
          </w:tcPr>
          <w:p>
            <w:pPr>
              <w:spacing w:after="0" w:line="164" w:lineRule="exact"/>
              <w:rPr>
                <w:sz w:val="20"/>
                <w:szCs w:val="20"/>
                <w:color w:val="auto"/>
              </w:rPr>
            </w:pPr>
            <w:r>
              <w:rPr>
                <w:rFonts w:ascii="Times New Roman" w:cs="Times New Roman" w:eastAsia="Times New Roman" w:hAnsi="Times New Roman"/>
                <w:sz w:val="15"/>
                <w:szCs w:val="15"/>
                <w:b w:val="1"/>
                <w:bCs w:val="1"/>
                <w:color w:val="231F20"/>
              </w:rPr>
              <w:t>$</w:t>
            </w:r>
          </w:p>
        </w:tc>
        <w:tc>
          <w:tcPr>
            <w:tcW w:w="600" w:type="dxa"/>
            <w:vAlign w:val="bottom"/>
            <w:tcBorders>
              <w:bottom w:val="single" w:sz="8" w:color="231F20"/>
            </w:tcBorders>
            <w:shd w:val="clear" w:color="auto" w:fill="FDFDFC"/>
          </w:tcPr>
          <w:p>
            <w:pPr>
              <w:jc w:val="right"/>
              <w:spacing w:after="0" w:line="164" w:lineRule="exact"/>
              <w:rPr>
                <w:sz w:val="20"/>
                <w:szCs w:val="20"/>
                <w:color w:val="auto"/>
              </w:rPr>
            </w:pPr>
            <w:r>
              <w:rPr>
                <w:rFonts w:ascii="Times New Roman" w:cs="Times New Roman" w:eastAsia="Times New Roman" w:hAnsi="Times New Roman"/>
                <w:sz w:val="15"/>
                <w:szCs w:val="15"/>
                <w:b w:val="1"/>
                <w:bCs w:val="1"/>
                <w:color w:val="231F20"/>
              </w:rPr>
              <w:t>(5,169)</w:t>
            </w:r>
          </w:p>
        </w:tc>
        <w:tc>
          <w:tcPr>
            <w:tcW w:w="160" w:type="dxa"/>
            <w:vAlign w:val="bottom"/>
            <w:shd w:val="clear" w:color="auto" w:fill="FDFDFC"/>
          </w:tcPr>
          <w:p>
            <w:pPr>
              <w:spacing w:after="0"/>
              <w:rPr>
                <w:sz w:val="14"/>
                <w:szCs w:val="14"/>
                <w:color w:val="auto"/>
              </w:rPr>
            </w:pPr>
          </w:p>
        </w:tc>
        <w:tc>
          <w:tcPr>
            <w:tcW w:w="100" w:type="dxa"/>
            <w:vAlign w:val="bottom"/>
            <w:tcBorders>
              <w:bottom w:val="single" w:sz="8" w:color="231F20"/>
            </w:tcBorders>
            <w:shd w:val="clear" w:color="auto" w:fill="FDFDFC"/>
          </w:tcPr>
          <w:p>
            <w:pPr>
              <w:spacing w:after="0" w:line="164" w:lineRule="exact"/>
              <w:rPr>
                <w:sz w:val="20"/>
                <w:szCs w:val="20"/>
                <w:color w:val="auto"/>
              </w:rPr>
            </w:pPr>
            <w:r>
              <w:rPr>
                <w:rFonts w:ascii="Times New Roman" w:cs="Times New Roman" w:eastAsia="Times New Roman" w:hAnsi="Times New Roman"/>
                <w:sz w:val="15"/>
                <w:szCs w:val="15"/>
                <w:b w:val="1"/>
                <w:bCs w:val="1"/>
                <w:color w:val="231F20"/>
              </w:rPr>
              <w:t>$</w:t>
            </w:r>
          </w:p>
        </w:tc>
        <w:tc>
          <w:tcPr>
            <w:tcW w:w="680" w:type="dxa"/>
            <w:vAlign w:val="bottom"/>
            <w:tcBorders>
              <w:bottom w:val="single" w:sz="8" w:color="231F20"/>
            </w:tcBorders>
            <w:shd w:val="clear" w:color="auto" w:fill="FDFDFC"/>
          </w:tcPr>
          <w:p>
            <w:pPr>
              <w:ind w:left="500"/>
              <w:spacing w:after="0" w:line="164" w:lineRule="exact"/>
              <w:rPr>
                <w:sz w:val="20"/>
                <w:szCs w:val="20"/>
                <w:color w:val="auto"/>
              </w:rPr>
            </w:pPr>
            <w:r>
              <w:rPr>
                <w:rFonts w:ascii="Times New Roman" w:cs="Times New Roman" w:eastAsia="Times New Roman" w:hAnsi="Times New Roman"/>
                <w:sz w:val="15"/>
                <w:szCs w:val="15"/>
                <w:b w:val="1"/>
                <w:bCs w:val="1"/>
                <w:color w:val="231F20"/>
              </w:rPr>
              <w:t>—</w:t>
            </w:r>
          </w:p>
        </w:tc>
        <w:tc>
          <w:tcPr>
            <w:tcW w:w="160" w:type="dxa"/>
            <w:vAlign w:val="bottom"/>
            <w:shd w:val="clear" w:color="auto" w:fill="FDFDFC"/>
          </w:tcPr>
          <w:p>
            <w:pPr>
              <w:spacing w:after="0"/>
              <w:rPr>
                <w:sz w:val="14"/>
                <w:szCs w:val="14"/>
                <w:color w:val="auto"/>
              </w:rPr>
            </w:pPr>
          </w:p>
        </w:tc>
        <w:tc>
          <w:tcPr>
            <w:tcW w:w="300" w:type="dxa"/>
            <w:vAlign w:val="bottom"/>
            <w:tcBorders>
              <w:bottom w:val="single" w:sz="8" w:color="231F20"/>
            </w:tcBorders>
            <w:shd w:val="clear" w:color="auto" w:fill="FDFDFC"/>
          </w:tcPr>
          <w:p>
            <w:pPr>
              <w:spacing w:after="0" w:line="164" w:lineRule="exact"/>
              <w:rPr>
                <w:sz w:val="20"/>
                <w:szCs w:val="20"/>
                <w:color w:val="auto"/>
              </w:rPr>
            </w:pPr>
            <w:r>
              <w:rPr>
                <w:rFonts w:ascii="Times New Roman" w:cs="Times New Roman" w:eastAsia="Times New Roman" w:hAnsi="Times New Roman"/>
                <w:sz w:val="15"/>
                <w:szCs w:val="15"/>
                <w:b w:val="1"/>
                <w:bCs w:val="1"/>
                <w:color w:val="231F20"/>
              </w:rPr>
              <w:t>$</w:t>
            </w:r>
          </w:p>
        </w:tc>
        <w:tc>
          <w:tcPr>
            <w:tcW w:w="380" w:type="dxa"/>
            <w:vAlign w:val="bottom"/>
            <w:tcBorders>
              <w:bottom w:val="single" w:sz="8" w:color="231F20"/>
            </w:tcBorders>
            <w:shd w:val="clear" w:color="auto" w:fill="FDFDFC"/>
          </w:tcPr>
          <w:p>
            <w:pPr>
              <w:ind w:left="220"/>
              <w:spacing w:after="0" w:line="164" w:lineRule="exact"/>
              <w:rPr>
                <w:sz w:val="20"/>
                <w:szCs w:val="20"/>
                <w:color w:val="auto"/>
              </w:rPr>
            </w:pPr>
            <w:r>
              <w:rPr>
                <w:rFonts w:ascii="Times New Roman" w:cs="Times New Roman" w:eastAsia="Times New Roman" w:hAnsi="Times New Roman"/>
                <w:sz w:val="15"/>
                <w:szCs w:val="15"/>
                <w:b w:val="1"/>
                <w:bCs w:val="1"/>
                <w:color w:val="231F20"/>
                <w:w w:val="93"/>
              </w:rPr>
              <w:t>—</w:t>
            </w:r>
          </w:p>
        </w:tc>
        <w:tc>
          <w:tcPr>
            <w:tcW w:w="180" w:type="dxa"/>
            <w:vAlign w:val="bottom"/>
            <w:shd w:val="clear" w:color="auto" w:fill="FDFDFC"/>
          </w:tcPr>
          <w:p>
            <w:pPr>
              <w:spacing w:after="0"/>
              <w:rPr>
                <w:sz w:val="14"/>
                <w:szCs w:val="14"/>
                <w:color w:val="auto"/>
              </w:rPr>
            </w:pPr>
          </w:p>
        </w:tc>
        <w:tc>
          <w:tcPr>
            <w:tcW w:w="120" w:type="dxa"/>
            <w:vAlign w:val="bottom"/>
            <w:tcBorders>
              <w:bottom w:val="single" w:sz="8" w:color="231F20"/>
            </w:tcBorders>
            <w:shd w:val="clear" w:color="auto" w:fill="FDFDFC"/>
          </w:tcPr>
          <w:p>
            <w:pPr>
              <w:spacing w:after="0" w:line="164" w:lineRule="exact"/>
              <w:rPr>
                <w:sz w:val="20"/>
                <w:szCs w:val="20"/>
                <w:color w:val="auto"/>
              </w:rPr>
            </w:pPr>
            <w:r>
              <w:rPr>
                <w:rFonts w:ascii="Times New Roman" w:cs="Times New Roman" w:eastAsia="Times New Roman" w:hAnsi="Times New Roman"/>
                <w:sz w:val="15"/>
                <w:szCs w:val="15"/>
                <w:b w:val="1"/>
                <w:bCs w:val="1"/>
                <w:color w:val="231F20"/>
                <w:highlight w:val="white"/>
              </w:rPr>
              <w:t>$</w:t>
            </w:r>
          </w:p>
        </w:tc>
        <w:tc>
          <w:tcPr>
            <w:tcW w:w="560" w:type="dxa"/>
            <w:vAlign w:val="bottom"/>
            <w:tcBorders>
              <w:bottom w:val="single" w:sz="8" w:color="231F20"/>
            </w:tcBorders>
            <w:shd w:val="clear" w:color="auto" w:fill="FDFDFC"/>
          </w:tcPr>
          <w:p>
            <w:pPr>
              <w:jc w:val="right"/>
              <w:spacing w:after="0" w:line="164" w:lineRule="exact"/>
              <w:rPr>
                <w:sz w:val="20"/>
                <w:szCs w:val="20"/>
                <w:color w:val="auto"/>
              </w:rPr>
            </w:pPr>
            <w:r>
              <w:rPr>
                <w:rFonts w:ascii="Times New Roman" w:cs="Times New Roman" w:eastAsia="Times New Roman" w:hAnsi="Times New Roman"/>
                <w:sz w:val="15"/>
                <w:szCs w:val="15"/>
                <w:b w:val="1"/>
                <w:bCs w:val="1"/>
                <w:color w:val="231F20"/>
                <w:highlight w:val="white"/>
              </w:rPr>
              <w:t>65,095</w:t>
            </w:r>
          </w:p>
        </w:tc>
        <w:tc>
          <w:tcPr>
            <w:tcW w:w="180" w:type="dxa"/>
            <w:vAlign w:val="bottom"/>
            <w:shd w:val="clear" w:color="auto" w:fill="FDFDFC"/>
          </w:tcPr>
          <w:p>
            <w:pPr>
              <w:spacing w:after="0"/>
              <w:rPr>
                <w:sz w:val="14"/>
                <w:szCs w:val="14"/>
                <w:color w:val="auto"/>
              </w:rPr>
            </w:pPr>
          </w:p>
        </w:tc>
        <w:tc>
          <w:tcPr>
            <w:tcW w:w="220" w:type="dxa"/>
            <w:vAlign w:val="bottom"/>
            <w:tcBorders>
              <w:bottom w:val="single" w:sz="8" w:color="231F20"/>
            </w:tcBorders>
            <w:shd w:val="clear" w:color="auto" w:fill="FDFDFC"/>
          </w:tcPr>
          <w:p>
            <w:pPr>
              <w:spacing w:after="0" w:line="164" w:lineRule="exact"/>
              <w:rPr>
                <w:sz w:val="20"/>
                <w:szCs w:val="20"/>
                <w:color w:val="auto"/>
              </w:rPr>
            </w:pPr>
            <w:r>
              <w:rPr>
                <w:rFonts w:ascii="Times New Roman" w:cs="Times New Roman" w:eastAsia="Times New Roman" w:hAnsi="Times New Roman"/>
                <w:sz w:val="15"/>
                <w:szCs w:val="15"/>
                <w:b w:val="1"/>
                <w:bCs w:val="1"/>
                <w:color w:val="231F20"/>
                <w:highlight w:val="white"/>
              </w:rPr>
              <w:t>$</w:t>
            </w:r>
          </w:p>
        </w:tc>
        <w:tc>
          <w:tcPr>
            <w:tcW w:w="300" w:type="dxa"/>
            <w:vAlign w:val="bottom"/>
            <w:tcBorders>
              <w:bottom w:val="single" w:sz="8" w:color="231F20"/>
            </w:tcBorders>
            <w:shd w:val="clear" w:color="auto" w:fill="FDFDFC"/>
          </w:tcPr>
          <w:p>
            <w:pPr>
              <w:jc w:val="right"/>
              <w:spacing w:after="0" w:line="164" w:lineRule="exact"/>
              <w:rPr>
                <w:sz w:val="20"/>
                <w:szCs w:val="20"/>
                <w:color w:val="auto"/>
              </w:rPr>
            </w:pPr>
            <w:r>
              <w:rPr>
                <w:rFonts w:ascii="Times New Roman" w:cs="Times New Roman" w:eastAsia="Times New Roman" w:hAnsi="Times New Roman"/>
                <w:sz w:val="15"/>
                <w:szCs w:val="15"/>
                <w:b w:val="1"/>
                <w:bCs w:val="1"/>
                <w:color w:val="231F20"/>
                <w:highlight w:val="white"/>
              </w:rPr>
              <w:t>13</w:t>
            </w:r>
          </w:p>
        </w:tc>
        <w:tc>
          <w:tcPr>
            <w:tcW w:w="180" w:type="dxa"/>
            <w:vAlign w:val="bottom"/>
            <w:shd w:val="clear" w:color="auto" w:fill="FDFDFC"/>
          </w:tcPr>
          <w:p>
            <w:pPr>
              <w:spacing w:after="0"/>
              <w:rPr>
                <w:sz w:val="14"/>
                <w:szCs w:val="14"/>
                <w:color w:val="auto"/>
              </w:rPr>
            </w:pPr>
          </w:p>
        </w:tc>
        <w:tc>
          <w:tcPr>
            <w:tcW w:w="140" w:type="dxa"/>
            <w:vAlign w:val="bottom"/>
            <w:tcBorders>
              <w:bottom w:val="single" w:sz="8" w:color="231F20"/>
            </w:tcBorders>
            <w:shd w:val="clear" w:color="auto" w:fill="FDFDFC"/>
          </w:tcPr>
          <w:p>
            <w:pPr>
              <w:spacing w:after="0" w:line="164" w:lineRule="exact"/>
              <w:rPr>
                <w:sz w:val="20"/>
                <w:szCs w:val="20"/>
                <w:color w:val="auto"/>
              </w:rPr>
            </w:pPr>
            <w:r>
              <w:rPr>
                <w:rFonts w:ascii="Times New Roman" w:cs="Times New Roman" w:eastAsia="Times New Roman" w:hAnsi="Times New Roman"/>
                <w:sz w:val="15"/>
                <w:szCs w:val="15"/>
                <w:b w:val="1"/>
                <w:bCs w:val="1"/>
                <w:color w:val="231F20"/>
                <w:highlight w:val="white"/>
              </w:rPr>
              <w:t>$</w:t>
            </w:r>
          </w:p>
        </w:tc>
        <w:tc>
          <w:tcPr>
            <w:tcW w:w="400" w:type="dxa"/>
            <w:vAlign w:val="bottom"/>
            <w:tcBorders>
              <w:bottom w:val="single" w:sz="8" w:color="231F20"/>
            </w:tcBorders>
            <w:shd w:val="clear" w:color="auto" w:fill="FDFDFC"/>
          </w:tcPr>
          <w:p>
            <w:pPr>
              <w:jc w:val="right"/>
              <w:spacing w:after="0" w:line="164" w:lineRule="exact"/>
              <w:rPr>
                <w:sz w:val="20"/>
                <w:szCs w:val="20"/>
                <w:color w:val="auto"/>
              </w:rPr>
            </w:pPr>
            <w:r>
              <w:rPr>
                <w:rFonts w:ascii="Times New Roman" w:cs="Times New Roman" w:eastAsia="Times New Roman" w:hAnsi="Times New Roman"/>
                <w:sz w:val="15"/>
                <w:szCs w:val="15"/>
                <w:b w:val="1"/>
                <w:bCs w:val="1"/>
                <w:color w:val="231F20"/>
                <w:highlight w:val="white"/>
              </w:rPr>
              <w:t>9,428</w:t>
            </w:r>
          </w:p>
        </w:tc>
        <w:tc>
          <w:tcPr>
            <w:tcW w:w="80" w:type="dxa"/>
            <w:vAlign w:val="bottom"/>
            <w:shd w:val="clear" w:color="auto" w:fill="FDFDFC"/>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Borders>
              <w:bottom w:val="single" w:sz="8" w:color="231F20"/>
            </w:tcBorders>
          </w:tcPr>
          <w:p>
            <w:pPr>
              <w:spacing w:after="0" w:line="20" w:lineRule="exact"/>
              <w:rPr>
                <w:sz w:val="1"/>
                <w:szCs w:val="1"/>
                <w:color w:val="auto"/>
              </w:rPr>
            </w:pPr>
          </w:p>
        </w:tc>
        <w:tc>
          <w:tcPr>
            <w:tcW w:w="80" w:type="dxa"/>
            <w:vAlign w:val="bottom"/>
            <w:tcBorders>
              <w:bottom w:val="single" w:sz="8" w:color="231F20"/>
            </w:tcBorders>
          </w:tcPr>
          <w:p>
            <w:pPr>
              <w:spacing w:after="0" w:line="20" w:lineRule="exact"/>
              <w:rPr>
                <w:sz w:val="1"/>
                <w:szCs w:val="1"/>
                <w:color w:val="auto"/>
              </w:rPr>
            </w:pPr>
          </w:p>
        </w:tc>
        <w:tc>
          <w:tcPr>
            <w:tcW w:w="760" w:type="dxa"/>
            <w:vAlign w:val="bottom"/>
            <w:tcBorders>
              <w:bottom w:val="single" w:sz="8" w:color="231F20"/>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231F20"/>
            </w:tcBorders>
          </w:tcPr>
          <w:p>
            <w:pPr>
              <w:spacing w:after="0" w:line="20" w:lineRule="exact"/>
              <w:rPr>
                <w:sz w:val="1"/>
                <w:szCs w:val="1"/>
                <w:color w:val="auto"/>
              </w:rPr>
            </w:pPr>
          </w:p>
        </w:tc>
        <w:tc>
          <w:tcPr>
            <w:tcW w:w="700" w:type="dxa"/>
            <w:vAlign w:val="bottom"/>
            <w:tcBorders>
              <w:bottom w:val="single" w:sz="8" w:color="231F20"/>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231F20"/>
            </w:tcBorders>
          </w:tcPr>
          <w:p>
            <w:pPr>
              <w:spacing w:after="0" w:line="20" w:lineRule="exact"/>
              <w:rPr>
                <w:sz w:val="1"/>
                <w:szCs w:val="1"/>
                <w:color w:val="auto"/>
              </w:rPr>
            </w:pPr>
          </w:p>
        </w:tc>
        <w:tc>
          <w:tcPr>
            <w:tcW w:w="780" w:type="dxa"/>
            <w:vAlign w:val="bottom"/>
            <w:tcBorders>
              <w:bottom w:val="single" w:sz="8" w:color="231F20"/>
            </w:tcBorders>
          </w:tcPr>
          <w:p>
            <w:pPr>
              <w:spacing w:after="0" w:line="20" w:lineRule="exact"/>
              <w:rPr>
                <w:sz w:val="1"/>
                <w:szCs w:val="1"/>
                <w:color w:val="auto"/>
              </w:rPr>
            </w:pPr>
          </w:p>
        </w:tc>
        <w:tc>
          <w:tcPr>
            <w:tcW w:w="20" w:type="dxa"/>
            <w:vAlign w:val="bottom"/>
            <w:tcBorders>
              <w:bottom w:val="single" w:sz="8" w:color="231F20"/>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bottom w:val="single" w:sz="8" w:color="231F20"/>
            </w:tcBorders>
          </w:tcPr>
          <w:p>
            <w:pPr>
              <w:spacing w:after="0" w:line="20" w:lineRule="exact"/>
              <w:rPr>
                <w:sz w:val="1"/>
                <w:szCs w:val="1"/>
                <w:color w:val="auto"/>
              </w:rPr>
            </w:pPr>
          </w:p>
        </w:tc>
        <w:tc>
          <w:tcPr>
            <w:tcW w:w="600" w:type="dxa"/>
            <w:vAlign w:val="bottom"/>
            <w:tcBorders>
              <w:bottom w:val="single" w:sz="8" w:color="231F20"/>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231F20"/>
            </w:tcBorders>
          </w:tcPr>
          <w:p>
            <w:pPr>
              <w:spacing w:after="0" w:line="20" w:lineRule="exact"/>
              <w:rPr>
                <w:sz w:val="1"/>
                <w:szCs w:val="1"/>
                <w:color w:val="auto"/>
              </w:rPr>
            </w:pPr>
          </w:p>
        </w:tc>
        <w:tc>
          <w:tcPr>
            <w:tcW w:w="680" w:type="dxa"/>
            <w:vAlign w:val="bottom"/>
            <w:tcBorders>
              <w:bottom w:val="single" w:sz="8" w:color="231F20"/>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bottom w:val="single" w:sz="8" w:color="231F20"/>
            </w:tcBorders>
          </w:tcPr>
          <w:p>
            <w:pPr>
              <w:spacing w:after="0" w:line="20" w:lineRule="exact"/>
              <w:rPr>
                <w:sz w:val="1"/>
                <w:szCs w:val="1"/>
                <w:color w:val="auto"/>
              </w:rPr>
            </w:pPr>
          </w:p>
        </w:tc>
        <w:tc>
          <w:tcPr>
            <w:tcW w:w="380" w:type="dxa"/>
            <w:vAlign w:val="bottom"/>
            <w:tcBorders>
              <w:bottom w:val="single" w:sz="8" w:color="231F20"/>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231F20"/>
            </w:tcBorders>
          </w:tcPr>
          <w:p>
            <w:pPr>
              <w:spacing w:after="0" w:line="20" w:lineRule="exact"/>
              <w:rPr>
                <w:sz w:val="1"/>
                <w:szCs w:val="1"/>
                <w:color w:val="auto"/>
              </w:rPr>
            </w:pPr>
          </w:p>
        </w:tc>
        <w:tc>
          <w:tcPr>
            <w:tcW w:w="560" w:type="dxa"/>
            <w:vAlign w:val="bottom"/>
            <w:tcBorders>
              <w:bottom w:val="single" w:sz="8" w:color="231F20"/>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231F20"/>
            </w:tcBorders>
          </w:tcPr>
          <w:p>
            <w:pPr>
              <w:spacing w:after="0" w:line="20" w:lineRule="exact"/>
              <w:rPr>
                <w:sz w:val="1"/>
                <w:szCs w:val="1"/>
                <w:color w:val="auto"/>
              </w:rPr>
            </w:pPr>
          </w:p>
        </w:tc>
        <w:tc>
          <w:tcPr>
            <w:tcW w:w="300" w:type="dxa"/>
            <w:vAlign w:val="bottom"/>
            <w:tcBorders>
              <w:bottom w:val="single" w:sz="8" w:color="231F20"/>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231F20"/>
            </w:tcBorders>
          </w:tcPr>
          <w:p>
            <w:pPr>
              <w:spacing w:after="0" w:line="20" w:lineRule="exact"/>
              <w:rPr>
                <w:sz w:val="1"/>
                <w:szCs w:val="1"/>
                <w:color w:val="auto"/>
              </w:rPr>
            </w:pPr>
          </w:p>
        </w:tc>
        <w:tc>
          <w:tcPr>
            <w:tcW w:w="400" w:type="dxa"/>
            <w:vAlign w:val="bottom"/>
            <w:tcBorders>
              <w:bottom w:val="single" w:sz="8" w:color="231F20"/>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0" w:lineRule="exact"/>
        <w:rPr>
          <w:sz w:val="20"/>
          <w:szCs w:val="20"/>
          <w:color w:val="auto"/>
        </w:rPr>
      </w:pPr>
    </w:p>
    <w:p>
      <w:pPr>
        <w:ind w:left="921" w:right="40" w:hanging="459"/>
        <w:spacing w:after="0" w:line="253" w:lineRule="auto"/>
        <w:tabs>
          <w:tab w:leader="none" w:pos="921" w:val="left"/>
        </w:tabs>
        <w:numPr>
          <w:ilvl w:val="1"/>
          <w:numId w:val="73"/>
        </w:numPr>
        <w:rPr>
          <w:rFonts w:ascii="Times New Roman" w:cs="Times New Roman" w:eastAsia="Times New Roman" w:hAnsi="Times New Roman"/>
          <w:sz w:val="19"/>
          <w:szCs w:val="19"/>
          <w:color w:val="231F20"/>
        </w:rPr>
      </w:pPr>
      <w:r>
        <w:rPr>
          <w:rFonts w:ascii="Times New Roman" w:cs="Times New Roman" w:eastAsia="Times New Roman" w:hAnsi="Times New Roman"/>
          <w:sz w:val="19"/>
          <w:szCs w:val="19"/>
          <w:color w:val="231F20"/>
        </w:rPr>
        <w:t>Gross additions include increases in the cost basis of investments resulting from new investments, payment-in-kind interest or dividends, the amortization of any unearned income or discounts on debt investments, as applicable.</w:t>
      </w:r>
    </w:p>
    <w:p>
      <w:pPr>
        <w:spacing w:after="0" w:line="1" w:lineRule="exact"/>
        <w:rPr>
          <w:rFonts w:ascii="Times New Roman" w:cs="Times New Roman" w:eastAsia="Times New Roman" w:hAnsi="Times New Roman"/>
          <w:sz w:val="19"/>
          <w:szCs w:val="19"/>
          <w:color w:val="231F20"/>
        </w:rPr>
      </w:pPr>
    </w:p>
    <w:p>
      <w:pPr>
        <w:ind w:left="921" w:right="620" w:hanging="459"/>
        <w:spacing w:after="0"/>
        <w:tabs>
          <w:tab w:leader="none" w:pos="921" w:val="left"/>
        </w:tabs>
        <w:numPr>
          <w:ilvl w:val="1"/>
          <w:numId w:val="73"/>
        </w:numPr>
        <w:rPr>
          <w:rFonts w:ascii="Times New Roman" w:cs="Times New Roman" w:eastAsia="Times New Roman" w:hAnsi="Times New Roman"/>
          <w:sz w:val="19"/>
          <w:szCs w:val="19"/>
          <w:color w:val="231F20"/>
        </w:rPr>
      </w:pPr>
      <w:r>
        <w:rPr>
          <w:rFonts w:ascii="Times New Roman" w:cs="Times New Roman" w:eastAsia="Times New Roman" w:hAnsi="Times New Roman"/>
          <w:sz w:val="19"/>
          <w:szCs w:val="19"/>
          <w:color w:val="231F20"/>
        </w:rPr>
        <w:t>Gross reductions include decreases in the cost basis of investments resulting from principal collections related to investment repayments or sales, and the amortization of any premiums on debt investments, as applicable. When an investment is placed on non-accrual status, any cash flows received by the Company are applied to the outstanding principal balance.</w:t>
      </w:r>
    </w:p>
    <w:p>
      <w:pPr>
        <w:spacing w:after="0" w:line="86" w:lineRule="exact"/>
        <w:rPr>
          <w:rFonts w:ascii="Times New Roman" w:cs="Times New Roman" w:eastAsia="Times New Roman" w:hAnsi="Times New Roman"/>
          <w:sz w:val="19"/>
          <w:szCs w:val="19"/>
          <w:color w:val="231F20"/>
        </w:rPr>
      </w:pPr>
    </w:p>
    <w:p>
      <w:pPr>
        <w:ind w:left="461" w:right="480" w:hanging="461"/>
        <w:spacing w:after="0" w:line="253" w:lineRule="auto"/>
        <w:tabs>
          <w:tab w:leader="none" w:pos="461" w:val="left"/>
        </w:tabs>
        <w:numPr>
          <w:ilvl w:val="0"/>
          <w:numId w:val="74"/>
        </w:numPr>
        <w:rPr>
          <w:rFonts w:ascii="Times New Roman" w:cs="Times New Roman" w:eastAsia="Times New Roman" w:hAnsi="Times New Roman"/>
          <w:sz w:val="19"/>
          <w:szCs w:val="19"/>
          <w:color w:val="231F20"/>
        </w:rPr>
      </w:pPr>
      <w:r>
        <w:rPr>
          <w:rFonts w:ascii="Times New Roman" w:cs="Times New Roman" w:eastAsia="Times New Roman" w:hAnsi="Times New Roman"/>
          <w:sz w:val="19"/>
          <w:szCs w:val="19"/>
          <w:color w:val="231F20"/>
        </w:rPr>
        <w:t>As of December 31, 2024, the estimated cost basis of investments for U.S. federal tax purposes was $3,535,963 resulting in estimated gross unrealized gains and losses of $207,435 and $216,975, respectively.</w:t>
      </w:r>
    </w:p>
    <w:p>
      <w:pPr>
        <w:spacing w:after="0" w:line="1" w:lineRule="exact"/>
        <w:rPr>
          <w:rFonts w:ascii="Times New Roman" w:cs="Times New Roman" w:eastAsia="Times New Roman" w:hAnsi="Times New Roman"/>
          <w:sz w:val="19"/>
          <w:szCs w:val="19"/>
          <w:color w:val="231F20"/>
        </w:rPr>
      </w:pPr>
    </w:p>
    <w:p>
      <w:pPr>
        <w:ind w:left="461" w:right="20" w:hanging="461"/>
        <w:spacing w:after="0" w:line="238" w:lineRule="auto"/>
        <w:tabs>
          <w:tab w:leader="none" w:pos="461" w:val="left"/>
        </w:tabs>
        <w:numPr>
          <w:ilvl w:val="0"/>
          <w:numId w:val="74"/>
        </w:numPr>
        <w:rPr>
          <w:rFonts w:ascii="Times New Roman" w:cs="Times New Roman" w:eastAsia="Times New Roman" w:hAnsi="Times New Roman"/>
          <w:sz w:val="19"/>
          <w:szCs w:val="19"/>
          <w:color w:val="231F20"/>
        </w:rPr>
      </w:pPr>
      <w:r>
        <w:rPr>
          <w:rFonts w:ascii="Times New Roman" w:cs="Times New Roman" w:eastAsia="Times New Roman" w:hAnsi="Times New Roman"/>
          <w:sz w:val="19"/>
          <w:szCs w:val="19"/>
          <w:color w:val="231F20"/>
        </w:rPr>
        <w:t xml:space="preserve">In accordance with Financial Accounting Standards Board Accounting Standards Codification Topic 820, </w:t>
      </w:r>
      <w:r>
        <w:rPr>
          <w:rFonts w:ascii="Times New Roman" w:cs="Times New Roman" w:eastAsia="Times New Roman" w:hAnsi="Times New Roman"/>
          <w:sz w:val="19"/>
          <w:szCs w:val="19"/>
          <w:i w:val="1"/>
          <w:iCs w:val="1"/>
          <w:color w:val="231F20"/>
        </w:rPr>
        <w:t>Fair Value</w:t>
      </w:r>
      <w:r>
        <w:rPr>
          <w:rFonts w:ascii="Times New Roman" w:cs="Times New Roman" w:eastAsia="Times New Roman" w:hAnsi="Times New Roman"/>
          <w:sz w:val="19"/>
          <w:szCs w:val="19"/>
          <w:color w:val="231F20"/>
        </w:rPr>
        <w:t xml:space="preserve"> </w:t>
      </w:r>
      <w:r>
        <w:rPr>
          <w:rFonts w:ascii="Times New Roman" w:cs="Times New Roman" w:eastAsia="Times New Roman" w:hAnsi="Times New Roman"/>
          <w:sz w:val="19"/>
          <w:szCs w:val="19"/>
          <w:i w:val="1"/>
          <w:iCs w:val="1"/>
          <w:color w:val="231F20"/>
        </w:rPr>
        <w:t xml:space="preserve">Measurements </w:t>
      </w:r>
      <w:r>
        <w:rPr>
          <w:rFonts w:ascii="Times New Roman" w:cs="Times New Roman" w:eastAsia="Times New Roman" w:hAnsi="Times New Roman"/>
          <w:sz w:val="19"/>
          <w:szCs w:val="19"/>
          <w:color w:val="231F20"/>
        </w:rPr>
        <w:t>(“ASC Topic 820”), unless otherwise indicated, the fair values of all investments were determined using</w:t>
      </w:r>
      <w:r>
        <w:rPr>
          <w:rFonts w:ascii="Times New Roman" w:cs="Times New Roman" w:eastAsia="Times New Roman" w:hAnsi="Times New Roman"/>
          <w:sz w:val="19"/>
          <w:szCs w:val="19"/>
          <w:i w:val="1"/>
          <w:iCs w:val="1"/>
          <w:color w:val="231F20"/>
        </w:rPr>
        <w:t xml:space="preserve"> </w:t>
      </w:r>
      <w:r>
        <w:rPr>
          <w:rFonts w:ascii="Times New Roman" w:cs="Times New Roman" w:eastAsia="Times New Roman" w:hAnsi="Times New Roman"/>
          <w:sz w:val="19"/>
          <w:szCs w:val="19"/>
          <w:color w:val="231F20"/>
        </w:rPr>
        <w:t>significant unobservable inputs and are considered Level 3 investments. See Note 6 for further information related to investments at fair value.</w:t>
      </w:r>
    </w:p>
    <w:p>
      <w:pPr>
        <w:spacing w:after="0" w:line="2" w:lineRule="exact"/>
        <w:rPr>
          <w:rFonts w:ascii="Times New Roman" w:cs="Times New Roman" w:eastAsia="Times New Roman" w:hAnsi="Times New Roman"/>
          <w:sz w:val="19"/>
          <w:szCs w:val="19"/>
          <w:color w:val="231F20"/>
        </w:rPr>
      </w:pPr>
    </w:p>
    <w:p>
      <w:pPr>
        <w:ind w:left="461" w:right="380" w:hanging="461"/>
        <w:spacing w:after="0" w:line="238" w:lineRule="auto"/>
        <w:tabs>
          <w:tab w:leader="none" w:pos="461" w:val="left"/>
        </w:tabs>
        <w:numPr>
          <w:ilvl w:val="0"/>
          <w:numId w:val="74"/>
        </w:numPr>
        <w:rPr>
          <w:rFonts w:ascii="Times New Roman" w:cs="Times New Roman" w:eastAsia="Times New Roman" w:hAnsi="Times New Roman"/>
          <w:sz w:val="19"/>
          <w:szCs w:val="19"/>
          <w:color w:val="231F20"/>
        </w:rPr>
      </w:pPr>
      <w:r>
        <w:rPr>
          <w:rFonts w:ascii="Times New Roman" w:cs="Times New Roman" w:eastAsia="Times New Roman" w:hAnsi="Times New Roman"/>
          <w:sz w:val="19"/>
          <w:szCs w:val="19"/>
          <w:color w:val="231F20"/>
        </w:rPr>
        <w:t>This investment is valued using observable inputs and is considered a Level 2 investment. See Note 6 for further information related to investments at fair value.</w:t>
      </w:r>
    </w:p>
    <w:p>
      <w:pPr>
        <w:spacing w:after="0" w:line="1" w:lineRule="exact"/>
        <w:rPr>
          <w:rFonts w:ascii="Times New Roman" w:cs="Times New Roman" w:eastAsia="Times New Roman" w:hAnsi="Times New Roman"/>
          <w:sz w:val="19"/>
          <w:szCs w:val="19"/>
          <w:color w:val="231F20"/>
        </w:rPr>
      </w:pPr>
    </w:p>
    <w:p>
      <w:pPr>
        <w:ind w:left="461" w:right="380" w:hanging="461"/>
        <w:spacing w:after="0" w:line="238" w:lineRule="auto"/>
        <w:tabs>
          <w:tab w:leader="none" w:pos="461" w:val="left"/>
        </w:tabs>
        <w:numPr>
          <w:ilvl w:val="0"/>
          <w:numId w:val="74"/>
        </w:numPr>
        <w:rPr>
          <w:rFonts w:ascii="Times New Roman" w:cs="Times New Roman" w:eastAsia="Times New Roman" w:hAnsi="Times New Roman"/>
          <w:sz w:val="19"/>
          <w:szCs w:val="19"/>
          <w:color w:val="231F20"/>
        </w:rPr>
      </w:pPr>
      <w:r>
        <w:rPr>
          <w:rFonts w:ascii="Times New Roman" w:cs="Times New Roman" w:eastAsia="Times New Roman" w:hAnsi="Times New Roman"/>
          <w:sz w:val="19"/>
          <w:szCs w:val="19"/>
          <w:color w:val="231F20"/>
        </w:rPr>
        <w:t>This investment is valued using observable inputs and is considered a Level 1 investment. See Note 6 for further information related to investments at fair value.</w:t>
      </w:r>
    </w:p>
    <w:p>
      <w:pPr>
        <w:spacing w:after="0" w:line="1" w:lineRule="exact"/>
        <w:rPr>
          <w:rFonts w:ascii="Times New Roman" w:cs="Times New Roman" w:eastAsia="Times New Roman" w:hAnsi="Times New Roman"/>
          <w:sz w:val="19"/>
          <w:szCs w:val="19"/>
          <w:color w:val="231F20"/>
        </w:rPr>
      </w:pPr>
    </w:p>
    <w:p>
      <w:pPr>
        <w:ind w:left="461" w:hanging="461"/>
        <w:spacing w:after="0" w:line="238" w:lineRule="auto"/>
        <w:tabs>
          <w:tab w:leader="none" w:pos="461" w:val="left"/>
        </w:tabs>
        <w:numPr>
          <w:ilvl w:val="0"/>
          <w:numId w:val="74"/>
        </w:numPr>
        <w:rPr>
          <w:rFonts w:ascii="Times New Roman" w:cs="Times New Roman" w:eastAsia="Times New Roman" w:hAnsi="Times New Roman"/>
          <w:sz w:val="19"/>
          <w:szCs w:val="19"/>
          <w:color w:val="231F20"/>
        </w:rPr>
      </w:pPr>
      <w:r>
        <w:rPr>
          <w:rFonts w:ascii="Times New Roman" w:cs="Times New Roman" w:eastAsia="Times New Roman" w:hAnsi="Times New Roman"/>
          <w:sz w:val="19"/>
          <w:szCs w:val="19"/>
          <w:color w:val="231F20"/>
        </w:rPr>
        <w:t>This investment is non-income producing.</w:t>
      </w:r>
    </w:p>
    <w:p>
      <w:pPr>
        <w:ind w:left="461" w:right="80" w:hanging="461"/>
        <w:spacing w:after="0" w:line="238" w:lineRule="auto"/>
        <w:tabs>
          <w:tab w:leader="none" w:pos="461" w:val="left"/>
        </w:tabs>
        <w:numPr>
          <w:ilvl w:val="0"/>
          <w:numId w:val="74"/>
        </w:numPr>
        <w:rPr>
          <w:rFonts w:ascii="Times New Roman" w:cs="Times New Roman" w:eastAsia="Times New Roman" w:hAnsi="Times New Roman"/>
          <w:sz w:val="19"/>
          <w:szCs w:val="19"/>
          <w:color w:val="231F20"/>
        </w:rPr>
      </w:pPr>
      <w:r>
        <w:rPr>
          <w:rFonts w:ascii="Times New Roman" w:cs="Times New Roman" w:eastAsia="Times New Roman" w:hAnsi="Times New Roman"/>
          <w:sz w:val="19"/>
          <w:szCs w:val="19"/>
          <w:color w:val="231F20"/>
        </w:rPr>
        <w:t>All or a portion of this security was acquired in a transaction exempt from registration under the Securities Act of 1933, and may be deemed to be “restricted securities” under the Securities Act. As of December 31, 2024, the aggregate fair value of these securities is $12,926, or 0.8% of the Company’s net assets.</w:t>
      </w:r>
    </w:p>
    <w:p>
      <w:pPr>
        <w:spacing w:after="0" w:line="1" w:lineRule="exact"/>
        <w:rPr>
          <w:rFonts w:ascii="Times New Roman" w:cs="Times New Roman" w:eastAsia="Times New Roman" w:hAnsi="Times New Roman"/>
          <w:sz w:val="19"/>
          <w:szCs w:val="19"/>
          <w:color w:val="231F20"/>
        </w:rPr>
      </w:pPr>
    </w:p>
    <w:p>
      <w:pPr>
        <w:ind w:left="461" w:hanging="461"/>
        <w:spacing w:after="0" w:line="238" w:lineRule="auto"/>
        <w:tabs>
          <w:tab w:leader="none" w:pos="461" w:val="left"/>
        </w:tabs>
        <w:numPr>
          <w:ilvl w:val="0"/>
          <w:numId w:val="74"/>
        </w:numPr>
        <w:rPr>
          <w:rFonts w:ascii="Times New Roman" w:cs="Times New Roman" w:eastAsia="Times New Roman" w:hAnsi="Times New Roman"/>
          <w:sz w:val="19"/>
          <w:szCs w:val="19"/>
          <w:color w:val="231F20"/>
        </w:rPr>
      </w:pPr>
      <w:r>
        <w:rPr>
          <w:rFonts w:ascii="Times New Roman" w:cs="Times New Roman" w:eastAsia="Times New Roman" w:hAnsi="Times New Roman"/>
          <w:sz w:val="19"/>
          <w:szCs w:val="19"/>
          <w:color w:val="231F20"/>
        </w:rPr>
        <w:t>Ownership of equity investments may occur through a holding company or partnership.</w:t>
      </w:r>
    </w:p>
    <w:p>
      <w:pPr>
        <w:ind w:left="461" w:hanging="461"/>
        <w:spacing w:after="0" w:line="238" w:lineRule="auto"/>
        <w:tabs>
          <w:tab w:leader="none" w:pos="461" w:val="left"/>
        </w:tabs>
        <w:numPr>
          <w:ilvl w:val="0"/>
          <w:numId w:val="74"/>
        </w:numPr>
        <w:rPr>
          <w:rFonts w:ascii="Times New Roman" w:cs="Times New Roman" w:eastAsia="Times New Roman" w:hAnsi="Times New Roman"/>
          <w:sz w:val="19"/>
          <w:szCs w:val="19"/>
          <w:color w:val="231F20"/>
        </w:rPr>
      </w:pPr>
      <w:r>
        <w:rPr>
          <w:rFonts w:ascii="Times New Roman" w:cs="Times New Roman" w:eastAsia="Times New Roman" w:hAnsi="Times New Roman"/>
          <w:sz w:val="19"/>
          <w:szCs w:val="19"/>
          <w:color w:val="231F20"/>
        </w:rPr>
        <w:t>Investment is on non-accrual status as of December 31, 2024.</w:t>
      </w:r>
    </w:p>
    <w:p>
      <w:pPr>
        <w:ind w:left="461" w:right="160" w:hanging="461"/>
        <w:spacing w:after="0"/>
        <w:tabs>
          <w:tab w:leader="none" w:pos="461" w:val="left"/>
        </w:tabs>
        <w:numPr>
          <w:ilvl w:val="0"/>
          <w:numId w:val="74"/>
        </w:numPr>
        <w:rPr>
          <w:rFonts w:ascii="Times New Roman" w:cs="Times New Roman" w:eastAsia="Times New Roman" w:hAnsi="Times New Roman"/>
          <w:sz w:val="19"/>
          <w:szCs w:val="19"/>
          <w:color w:val="231F20"/>
        </w:rPr>
      </w:pPr>
      <w:r>
        <w:rPr>
          <w:rFonts w:ascii="Times New Roman" w:cs="Times New Roman" w:eastAsia="Times New Roman" w:hAnsi="Times New Roman"/>
          <w:sz w:val="19"/>
          <w:szCs w:val="19"/>
          <w:color w:val="231F20"/>
        </w:rPr>
        <w:t>In addition to the principal amount outstanding and accrued interest owed on this investment, the Company is entitled to a separate Make-Whole Amount (the “Make-Whole”) of $13.7 million. The Make-Whole is a contractual obligation of the borrower and accrues interest on the balance outstanding. The Make-Whole is included on the Company’s consolidated balance sheet within other assets, net of any valuation allowance. Given uncertainty relating to collectability of the Make-Whole, the Company has applied a full valuation allowance against the amount of the Make-Whole balance outstanding.</w:t>
      </w:r>
    </w:p>
    <w:p>
      <w:pPr>
        <w:spacing w:after="0" w:line="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231F20"/>
        </w:rPr>
        <w:t>The accompanying notes are an integral part of these consolidated financial statements.</w:t>
      </w: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231F20"/>
        </w:rPr>
        <w:t>F-14</w:t>
      </w:r>
    </w:p>
    <w:p>
      <w:pPr>
        <w:sectPr>
          <w:pgSz w:w="12240" w:h="15840" w:orient="portrait"/>
          <w:cols w:equalWidth="0" w:num="1">
            <w:col w:w="10281"/>
          </w:cols>
          <w:pgMar w:left="979" w:top="1317" w:right="980" w:bottom="574" w:gutter="0" w:footer="0" w:header="0"/>
        </w:sectPr>
      </w:pPr>
    </w:p>
    <w:bookmarkStart w:id="102" w:name="page103"/>
    <w:bookmarkEnd w:id="102"/>
    <w:p>
      <w:pPr>
        <w:jc w:val="center"/>
        <w:ind w:left="2160" w:right="2160"/>
        <w:spacing w:after="0" w:line="260" w:lineRule="auto"/>
        <w:rPr>
          <w:sz w:val="20"/>
          <w:szCs w:val="20"/>
          <w:color w:val="auto"/>
        </w:rPr>
      </w:pPr>
      <w:r>
        <w:rPr>
          <w:rFonts w:ascii="Times New Roman" w:cs="Times New Roman" w:eastAsia="Times New Roman" w:hAnsi="Times New Roman"/>
          <w:sz w:val="19"/>
          <w:szCs w:val="19"/>
          <w:b w:val="1"/>
          <w:bCs w:val="1"/>
          <w:color w:val="231F20"/>
        </w:rPr>
        <w:t>Sixth Street Specialty Lending, Inc. Consolidated Schedule of Investments as of December 31, 2023 (Amounts in thousands, except share amounts)</w:t>
      </w:r>
    </w:p>
    <w:p>
      <w:pPr>
        <w:sectPr>
          <w:pgSz w:w="12240" w:h="15840" w:orient="portrait"/>
          <w:cols w:equalWidth="0" w:num="1">
            <w:col w:w="9360"/>
          </w:cols>
          <w:pgMar w:left="1440" w:top="1315" w:right="1440" w:bottom="57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231F20"/>
        </w:rPr>
        <w:t>F-15</w:t>
      </w:r>
    </w:p>
    <w:p>
      <w:pPr>
        <w:sectPr>
          <w:pgSz w:w="12240" w:h="15840" w:orient="portrait"/>
          <w:cols w:equalWidth="0" w:num="1">
            <w:col w:w="9360"/>
          </w:cols>
          <w:pgMar w:left="1440" w:top="1315" w:right="1440" w:bottom="574" w:gutter="0" w:footer="0" w:header="0"/>
          <w:type w:val="continuous"/>
        </w:sectPr>
      </w:pPr>
    </w:p>
    <w:bookmarkStart w:id="103" w:name="page104"/>
    <w:bookmarkEnd w:id="103"/>
    <w:tbl>
      <w:tblPr>
        <w:tblLayout w:type="fixed"/>
        <w:tblInd w:w="0" w:type="dxa"/>
        <w:tblCellMar>
          <w:top w:w="0" w:type="dxa"/>
          <w:left w:w="0" w:type="dxa"/>
          <w:bottom w:w="0" w:type="dxa"/>
          <w:right w:w="0" w:type="dxa"/>
        </w:tblCellMar>
      </w:tblPr>
      <w:tr>
        <w:trPr>
          <w:trHeight w:val="172"/>
        </w:trPr>
        <w:tc>
          <w:tcPr>
            <w:tcW w:w="1420" w:type="dxa"/>
            <w:vAlign w:val="bottom"/>
            <w:shd w:val="clear" w:color="auto" w:fill="FDFDFC"/>
          </w:tcPr>
          <w:p>
            <w:pPr>
              <w:spacing w:after="0"/>
              <w:rPr>
                <w:sz w:val="15"/>
                <w:szCs w:val="15"/>
                <w:color w:val="auto"/>
              </w:rPr>
            </w:pPr>
          </w:p>
        </w:tc>
        <w:tc>
          <w:tcPr>
            <w:tcW w:w="100" w:type="dxa"/>
            <w:vAlign w:val="bottom"/>
            <w:shd w:val="clear" w:color="auto" w:fill="FDFDFC"/>
          </w:tcPr>
          <w:p>
            <w:pPr>
              <w:spacing w:after="0"/>
              <w:rPr>
                <w:sz w:val="15"/>
                <w:szCs w:val="15"/>
                <w:color w:val="auto"/>
              </w:rPr>
            </w:pPr>
          </w:p>
        </w:tc>
        <w:tc>
          <w:tcPr>
            <w:tcW w:w="2340" w:type="dxa"/>
            <w:vAlign w:val="bottom"/>
            <w:shd w:val="clear" w:color="auto" w:fill="FDFDFC"/>
          </w:tcPr>
          <w:p>
            <w:pPr>
              <w:spacing w:after="0"/>
              <w:rPr>
                <w:sz w:val="15"/>
                <w:szCs w:val="15"/>
                <w:color w:val="auto"/>
              </w:rPr>
            </w:pPr>
          </w:p>
        </w:tc>
        <w:tc>
          <w:tcPr>
            <w:tcW w:w="80" w:type="dxa"/>
            <w:vAlign w:val="bottom"/>
            <w:shd w:val="clear" w:color="auto" w:fill="FDFDFC"/>
          </w:tcPr>
          <w:p>
            <w:pPr>
              <w:spacing w:after="0"/>
              <w:rPr>
                <w:sz w:val="15"/>
                <w:szCs w:val="15"/>
                <w:color w:val="auto"/>
              </w:rPr>
            </w:pPr>
          </w:p>
        </w:tc>
        <w:tc>
          <w:tcPr>
            <w:tcW w:w="760" w:type="dxa"/>
            <w:vAlign w:val="bottom"/>
            <w:shd w:val="clear" w:color="auto" w:fill="FDFDFC"/>
          </w:tcPr>
          <w:p>
            <w:pPr>
              <w:jc w:val="center"/>
              <w:spacing w:after="0"/>
              <w:rPr>
                <w:sz w:val="20"/>
                <w:szCs w:val="20"/>
                <w:color w:val="auto"/>
              </w:rPr>
            </w:pPr>
            <w:r>
              <w:rPr>
                <w:rFonts w:ascii="Times New Roman" w:cs="Times New Roman" w:eastAsia="Times New Roman" w:hAnsi="Times New Roman"/>
                <w:sz w:val="15"/>
                <w:szCs w:val="15"/>
                <w:b w:val="1"/>
                <w:bCs w:val="1"/>
                <w:color w:val="231F20"/>
              </w:rPr>
              <w:t>Initial</w:t>
            </w:r>
          </w:p>
        </w:tc>
        <w:tc>
          <w:tcPr>
            <w:tcW w:w="100" w:type="dxa"/>
            <w:vAlign w:val="bottom"/>
            <w:shd w:val="clear" w:color="auto" w:fill="FDFDFC"/>
          </w:tcPr>
          <w:p>
            <w:pPr>
              <w:spacing w:after="0"/>
              <w:rPr>
                <w:sz w:val="15"/>
                <w:szCs w:val="15"/>
                <w:color w:val="auto"/>
              </w:rPr>
            </w:pPr>
          </w:p>
        </w:tc>
        <w:tc>
          <w:tcPr>
            <w:tcW w:w="1020" w:type="dxa"/>
            <w:vAlign w:val="bottom"/>
            <w:gridSpan w:val="2"/>
            <w:shd w:val="clear" w:color="auto" w:fill="FDFDFC"/>
          </w:tcPr>
          <w:p>
            <w:pPr>
              <w:jc w:val="center"/>
              <w:ind w:right="240"/>
              <w:spacing w:after="0"/>
              <w:rPr>
                <w:sz w:val="20"/>
                <w:szCs w:val="20"/>
                <w:color w:val="auto"/>
              </w:rPr>
            </w:pPr>
            <w:r>
              <w:rPr>
                <w:rFonts w:ascii="Times New Roman" w:cs="Times New Roman" w:eastAsia="Times New Roman" w:hAnsi="Times New Roman"/>
                <w:sz w:val="15"/>
                <w:szCs w:val="15"/>
                <w:b w:val="1"/>
                <w:bCs w:val="1"/>
                <w:color w:val="231F20"/>
              </w:rPr>
              <w:t>Reference</w:t>
            </w:r>
          </w:p>
        </w:tc>
        <w:tc>
          <w:tcPr>
            <w:tcW w:w="980" w:type="dxa"/>
            <w:vAlign w:val="bottom"/>
            <w:gridSpan w:val="2"/>
            <w:vMerge w:val="restart"/>
            <w:shd w:val="clear" w:color="auto" w:fill="FDFDFC"/>
          </w:tcPr>
          <w:p>
            <w:pPr>
              <w:jc w:val="right"/>
              <w:ind w:right="360"/>
              <w:spacing w:after="0"/>
              <w:rPr>
                <w:sz w:val="20"/>
                <w:szCs w:val="20"/>
                <w:color w:val="auto"/>
              </w:rPr>
            </w:pPr>
            <w:r>
              <w:rPr>
                <w:rFonts w:ascii="Times New Roman" w:cs="Times New Roman" w:eastAsia="Times New Roman" w:hAnsi="Times New Roman"/>
                <w:sz w:val="15"/>
                <w:szCs w:val="15"/>
                <w:b w:val="1"/>
                <w:bCs w:val="1"/>
                <w:color w:val="231F20"/>
              </w:rPr>
              <w:t>Interest</w:t>
            </w:r>
          </w:p>
        </w:tc>
        <w:tc>
          <w:tcPr>
            <w:tcW w:w="140" w:type="dxa"/>
            <w:vAlign w:val="bottom"/>
            <w:shd w:val="clear" w:color="auto" w:fill="FDFDFC"/>
          </w:tcPr>
          <w:p>
            <w:pPr>
              <w:spacing w:after="0"/>
              <w:rPr>
                <w:sz w:val="15"/>
                <w:szCs w:val="15"/>
                <w:color w:val="auto"/>
              </w:rPr>
            </w:pPr>
          </w:p>
        </w:tc>
        <w:tc>
          <w:tcPr>
            <w:tcW w:w="860" w:type="dxa"/>
            <w:vAlign w:val="bottom"/>
            <w:vMerge w:val="restart"/>
            <w:shd w:val="clear" w:color="auto" w:fill="FDFDFC"/>
          </w:tcPr>
          <w:p>
            <w:pPr>
              <w:jc w:val="right"/>
              <w:ind w:right="46"/>
              <w:spacing w:after="0"/>
              <w:rPr>
                <w:sz w:val="20"/>
                <w:szCs w:val="20"/>
                <w:color w:val="auto"/>
              </w:rPr>
            </w:pPr>
            <w:r>
              <w:rPr>
                <w:rFonts w:ascii="Times New Roman" w:cs="Times New Roman" w:eastAsia="Times New Roman" w:hAnsi="Times New Roman"/>
                <w:sz w:val="15"/>
                <w:szCs w:val="15"/>
                <w:b w:val="1"/>
                <w:bCs w:val="1"/>
                <w:color w:val="231F20"/>
              </w:rPr>
              <w:t>Amortized</w:t>
            </w:r>
          </w:p>
        </w:tc>
        <w:tc>
          <w:tcPr>
            <w:tcW w:w="180" w:type="dxa"/>
            <w:vAlign w:val="bottom"/>
            <w:shd w:val="clear" w:color="auto" w:fill="FDFDFC"/>
          </w:tcPr>
          <w:p>
            <w:pPr>
              <w:spacing w:after="0"/>
              <w:rPr>
                <w:sz w:val="15"/>
                <w:szCs w:val="15"/>
                <w:color w:val="auto"/>
              </w:rPr>
            </w:pPr>
          </w:p>
        </w:tc>
        <w:tc>
          <w:tcPr>
            <w:tcW w:w="80" w:type="dxa"/>
            <w:vAlign w:val="bottom"/>
            <w:shd w:val="clear" w:color="auto" w:fill="FDFDFC"/>
          </w:tcPr>
          <w:p>
            <w:pPr>
              <w:spacing w:after="0"/>
              <w:rPr>
                <w:sz w:val="15"/>
                <w:szCs w:val="15"/>
                <w:color w:val="auto"/>
              </w:rPr>
            </w:pPr>
          </w:p>
        </w:tc>
        <w:tc>
          <w:tcPr>
            <w:tcW w:w="880" w:type="dxa"/>
            <w:vAlign w:val="bottom"/>
            <w:shd w:val="clear" w:color="auto" w:fill="FDFDFC"/>
          </w:tcPr>
          <w:p>
            <w:pPr>
              <w:spacing w:after="0"/>
              <w:rPr>
                <w:sz w:val="15"/>
                <w:szCs w:val="15"/>
                <w:color w:val="auto"/>
              </w:rPr>
            </w:pPr>
          </w:p>
        </w:tc>
        <w:tc>
          <w:tcPr>
            <w:tcW w:w="220" w:type="dxa"/>
            <w:vAlign w:val="bottom"/>
            <w:tcBorders>
              <w:right w:val="single" w:sz="8" w:color="FDFDFC"/>
            </w:tcBorders>
            <w:shd w:val="clear" w:color="auto" w:fill="FDFDFC"/>
          </w:tcPr>
          <w:p>
            <w:pPr>
              <w:spacing w:after="0"/>
              <w:rPr>
                <w:sz w:val="15"/>
                <w:szCs w:val="15"/>
                <w:color w:val="auto"/>
              </w:rPr>
            </w:pPr>
          </w:p>
        </w:tc>
        <w:tc>
          <w:tcPr>
            <w:tcW w:w="1120" w:type="dxa"/>
            <w:vAlign w:val="bottom"/>
            <w:gridSpan w:val="2"/>
            <w:vMerge w:val="restart"/>
            <w:shd w:val="clear" w:color="auto" w:fill="FDFDFC"/>
          </w:tcPr>
          <w:p>
            <w:pPr>
              <w:jc w:val="right"/>
              <w:ind w:right="340"/>
              <w:spacing w:after="0"/>
              <w:rPr>
                <w:sz w:val="20"/>
                <w:szCs w:val="20"/>
                <w:color w:val="auto"/>
              </w:rPr>
            </w:pPr>
            <w:r>
              <w:rPr>
                <w:rFonts w:ascii="Times New Roman" w:cs="Times New Roman" w:eastAsia="Times New Roman" w:hAnsi="Times New Roman"/>
                <w:sz w:val="15"/>
                <w:szCs w:val="15"/>
                <w:b w:val="1"/>
                <w:bCs w:val="1"/>
                <w:color w:val="231F20"/>
              </w:rPr>
              <w:t>Percentage</w:t>
            </w:r>
          </w:p>
        </w:tc>
        <w:tc>
          <w:tcPr>
            <w:tcW w:w="0" w:type="dxa"/>
            <w:vAlign w:val="bottom"/>
          </w:tcPr>
          <w:p>
            <w:pPr>
              <w:spacing w:after="0"/>
              <w:rPr>
                <w:sz w:val="1"/>
                <w:szCs w:val="1"/>
                <w:color w:val="auto"/>
              </w:rPr>
            </w:pPr>
          </w:p>
        </w:tc>
      </w:tr>
      <w:tr>
        <w:trPr>
          <w:trHeight w:val="174"/>
        </w:trPr>
        <w:tc>
          <w:tcPr>
            <w:tcW w:w="1420" w:type="dxa"/>
            <w:vAlign w:val="bottom"/>
            <w:vMerge w:val="restart"/>
            <w:shd w:val="clear" w:color="auto" w:fill="FDFDFC"/>
          </w:tcPr>
          <w:p>
            <w:pPr>
              <w:spacing w:after="0"/>
              <w:rPr>
                <w:sz w:val="20"/>
                <w:szCs w:val="20"/>
                <w:color w:val="auto"/>
              </w:rPr>
            </w:pPr>
            <w:r>
              <w:rPr>
                <w:rFonts w:ascii="Times New Roman" w:cs="Times New Roman" w:eastAsia="Times New Roman" w:hAnsi="Times New Roman"/>
                <w:sz w:val="15"/>
                <w:szCs w:val="15"/>
                <w:b w:val="1"/>
                <w:bCs w:val="1"/>
                <w:color w:val="231F20"/>
              </w:rPr>
              <w:t xml:space="preserve">Company </w:t>
            </w:r>
            <w:r>
              <w:rPr>
                <w:rFonts w:ascii="Times New Roman" w:cs="Times New Roman" w:eastAsia="Times New Roman" w:hAnsi="Times New Roman"/>
                <w:sz w:val="9"/>
                <w:szCs w:val="9"/>
                <w:b w:val="1"/>
                <w:bCs w:val="1"/>
                <w:color w:val="231F20"/>
              </w:rPr>
              <w:t>(1)</w:t>
            </w:r>
          </w:p>
        </w:tc>
        <w:tc>
          <w:tcPr>
            <w:tcW w:w="100" w:type="dxa"/>
            <w:vAlign w:val="bottom"/>
            <w:shd w:val="clear" w:color="auto" w:fill="FDFDFC"/>
          </w:tcPr>
          <w:p>
            <w:pPr>
              <w:spacing w:after="0"/>
              <w:rPr>
                <w:sz w:val="15"/>
                <w:szCs w:val="15"/>
                <w:color w:val="auto"/>
              </w:rPr>
            </w:pPr>
          </w:p>
        </w:tc>
        <w:tc>
          <w:tcPr>
            <w:tcW w:w="2340" w:type="dxa"/>
            <w:vAlign w:val="bottom"/>
            <w:vMerge w:val="restart"/>
            <w:shd w:val="clear" w:color="auto" w:fill="FDFDFC"/>
          </w:tcPr>
          <w:p>
            <w:pPr>
              <w:ind w:left="800"/>
              <w:spacing w:after="0"/>
              <w:rPr>
                <w:sz w:val="20"/>
                <w:szCs w:val="20"/>
                <w:color w:val="auto"/>
              </w:rPr>
            </w:pPr>
            <w:r>
              <w:rPr>
                <w:rFonts w:ascii="Times New Roman" w:cs="Times New Roman" w:eastAsia="Times New Roman" w:hAnsi="Times New Roman"/>
                <w:sz w:val="15"/>
                <w:szCs w:val="15"/>
                <w:b w:val="1"/>
                <w:bCs w:val="1"/>
                <w:color w:val="231F20"/>
              </w:rPr>
              <w:t>Investment</w:t>
            </w:r>
          </w:p>
        </w:tc>
        <w:tc>
          <w:tcPr>
            <w:tcW w:w="80" w:type="dxa"/>
            <w:vAlign w:val="bottom"/>
            <w:shd w:val="clear" w:color="auto" w:fill="FDFDFC"/>
          </w:tcPr>
          <w:p>
            <w:pPr>
              <w:spacing w:after="0"/>
              <w:rPr>
                <w:sz w:val="15"/>
                <w:szCs w:val="15"/>
                <w:color w:val="auto"/>
              </w:rPr>
            </w:pPr>
          </w:p>
        </w:tc>
        <w:tc>
          <w:tcPr>
            <w:tcW w:w="760" w:type="dxa"/>
            <w:vAlign w:val="bottom"/>
            <w:shd w:val="clear" w:color="auto" w:fill="FDFDFC"/>
          </w:tcPr>
          <w:p>
            <w:pPr>
              <w:jc w:val="center"/>
              <w:spacing w:after="0"/>
              <w:rPr>
                <w:sz w:val="20"/>
                <w:szCs w:val="20"/>
                <w:color w:val="auto"/>
              </w:rPr>
            </w:pPr>
            <w:r>
              <w:rPr>
                <w:rFonts w:ascii="Times New Roman" w:cs="Times New Roman" w:eastAsia="Times New Roman" w:hAnsi="Times New Roman"/>
                <w:sz w:val="15"/>
                <w:szCs w:val="15"/>
                <w:b w:val="1"/>
                <w:bCs w:val="1"/>
                <w:color w:val="231F20"/>
              </w:rPr>
              <w:t>Acquisition</w:t>
            </w:r>
          </w:p>
        </w:tc>
        <w:tc>
          <w:tcPr>
            <w:tcW w:w="100" w:type="dxa"/>
            <w:vAlign w:val="bottom"/>
            <w:shd w:val="clear" w:color="auto" w:fill="FDFDFC"/>
          </w:tcPr>
          <w:p>
            <w:pPr>
              <w:spacing w:after="0"/>
              <w:rPr>
                <w:sz w:val="15"/>
                <w:szCs w:val="15"/>
                <w:color w:val="auto"/>
              </w:rPr>
            </w:pPr>
          </w:p>
        </w:tc>
        <w:tc>
          <w:tcPr>
            <w:tcW w:w="1020" w:type="dxa"/>
            <w:vAlign w:val="bottom"/>
            <w:gridSpan w:val="2"/>
            <w:shd w:val="clear" w:color="auto" w:fill="FDFDFC"/>
          </w:tcPr>
          <w:p>
            <w:pPr>
              <w:jc w:val="center"/>
              <w:ind w:right="240"/>
              <w:spacing w:after="0"/>
              <w:rPr>
                <w:sz w:val="20"/>
                <w:szCs w:val="20"/>
                <w:color w:val="auto"/>
              </w:rPr>
            </w:pPr>
            <w:r>
              <w:rPr>
                <w:rFonts w:ascii="Times New Roman" w:cs="Times New Roman" w:eastAsia="Times New Roman" w:hAnsi="Times New Roman"/>
                <w:sz w:val="15"/>
                <w:szCs w:val="15"/>
                <w:b w:val="1"/>
                <w:bCs w:val="1"/>
                <w:color w:val="231F20"/>
              </w:rPr>
              <w:t>Rate and</w:t>
            </w:r>
          </w:p>
        </w:tc>
        <w:tc>
          <w:tcPr>
            <w:tcW w:w="980" w:type="dxa"/>
            <w:vAlign w:val="bottom"/>
            <w:gridSpan w:val="2"/>
            <w:vMerge w:val="continue"/>
            <w:shd w:val="clear" w:color="auto" w:fill="FDFDFC"/>
          </w:tcPr>
          <w:p>
            <w:pPr>
              <w:spacing w:after="0"/>
              <w:rPr>
                <w:sz w:val="15"/>
                <w:szCs w:val="15"/>
                <w:color w:val="auto"/>
              </w:rPr>
            </w:pPr>
          </w:p>
        </w:tc>
        <w:tc>
          <w:tcPr>
            <w:tcW w:w="140" w:type="dxa"/>
            <w:vAlign w:val="bottom"/>
            <w:shd w:val="clear" w:color="auto" w:fill="FDFDFC"/>
          </w:tcPr>
          <w:p>
            <w:pPr>
              <w:spacing w:after="0"/>
              <w:rPr>
                <w:sz w:val="15"/>
                <w:szCs w:val="15"/>
                <w:color w:val="auto"/>
              </w:rPr>
            </w:pPr>
          </w:p>
        </w:tc>
        <w:tc>
          <w:tcPr>
            <w:tcW w:w="860" w:type="dxa"/>
            <w:vAlign w:val="bottom"/>
            <w:vMerge w:val="continue"/>
            <w:shd w:val="clear" w:color="auto" w:fill="FDFDFC"/>
          </w:tcPr>
          <w:p>
            <w:pPr>
              <w:spacing w:after="0"/>
              <w:rPr>
                <w:sz w:val="15"/>
                <w:szCs w:val="15"/>
                <w:color w:val="auto"/>
              </w:rPr>
            </w:pPr>
          </w:p>
        </w:tc>
        <w:tc>
          <w:tcPr>
            <w:tcW w:w="180" w:type="dxa"/>
            <w:vAlign w:val="bottom"/>
            <w:shd w:val="clear" w:color="auto" w:fill="FDFDFC"/>
          </w:tcPr>
          <w:p>
            <w:pPr>
              <w:spacing w:after="0"/>
              <w:rPr>
                <w:sz w:val="15"/>
                <w:szCs w:val="15"/>
                <w:color w:val="auto"/>
              </w:rPr>
            </w:pPr>
          </w:p>
        </w:tc>
        <w:tc>
          <w:tcPr>
            <w:tcW w:w="80" w:type="dxa"/>
            <w:vAlign w:val="bottom"/>
            <w:shd w:val="clear" w:color="auto" w:fill="FDFDFC"/>
          </w:tcPr>
          <w:p>
            <w:pPr>
              <w:spacing w:after="0"/>
              <w:rPr>
                <w:sz w:val="15"/>
                <w:szCs w:val="15"/>
                <w:color w:val="auto"/>
              </w:rPr>
            </w:pPr>
          </w:p>
        </w:tc>
        <w:tc>
          <w:tcPr>
            <w:tcW w:w="880" w:type="dxa"/>
            <w:vAlign w:val="bottom"/>
            <w:vMerge w:val="restart"/>
            <w:shd w:val="clear" w:color="auto" w:fill="FDFDFC"/>
          </w:tcPr>
          <w:p>
            <w:pPr>
              <w:jc w:val="right"/>
              <w:spacing w:after="0"/>
              <w:rPr>
                <w:sz w:val="20"/>
                <w:szCs w:val="20"/>
                <w:color w:val="auto"/>
              </w:rPr>
            </w:pPr>
            <w:r>
              <w:rPr>
                <w:rFonts w:ascii="Times New Roman" w:cs="Times New Roman" w:eastAsia="Times New Roman" w:hAnsi="Times New Roman"/>
                <w:sz w:val="15"/>
                <w:szCs w:val="15"/>
                <w:b w:val="1"/>
                <w:bCs w:val="1"/>
                <w:color w:val="231F20"/>
              </w:rPr>
              <w:t xml:space="preserve">Fair Value </w:t>
            </w:r>
            <w:r>
              <w:rPr>
                <w:rFonts w:ascii="Times New Roman" w:cs="Times New Roman" w:eastAsia="Times New Roman" w:hAnsi="Times New Roman"/>
                <w:sz w:val="9"/>
                <w:szCs w:val="9"/>
                <w:b w:val="1"/>
                <w:bCs w:val="1"/>
                <w:color w:val="231F20"/>
              </w:rPr>
              <w:t>(8)</w:t>
            </w:r>
          </w:p>
        </w:tc>
        <w:tc>
          <w:tcPr>
            <w:tcW w:w="220" w:type="dxa"/>
            <w:vAlign w:val="bottom"/>
            <w:tcBorders>
              <w:right w:val="single" w:sz="8" w:color="FDFDFC"/>
            </w:tcBorders>
            <w:shd w:val="clear" w:color="auto" w:fill="FDFDFC"/>
          </w:tcPr>
          <w:p>
            <w:pPr>
              <w:spacing w:after="0"/>
              <w:rPr>
                <w:sz w:val="15"/>
                <w:szCs w:val="15"/>
                <w:color w:val="auto"/>
              </w:rPr>
            </w:pPr>
          </w:p>
        </w:tc>
        <w:tc>
          <w:tcPr>
            <w:tcW w:w="1120" w:type="dxa"/>
            <w:vAlign w:val="bottom"/>
            <w:gridSpan w:val="2"/>
            <w:vMerge w:val="continue"/>
            <w:shd w:val="clear" w:color="auto" w:fill="FDFDFC"/>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1420" w:type="dxa"/>
            <w:vAlign w:val="bottom"/>
            <w:vMerge w:val="continue"/>
            <w:shd w:val="clear" w:color="auto" w:fill="FDFDFC"/>
          </w:tcPr>
          <w:p>
            <w:pPr>
              <w:spacing w:after="0"/>
              <w:rPr>
                <w:sz w:val="16"/>
                <w:szCs w:val="16"/>
                <w:color w:val="auto"/>
              </w:rPr>
            </w:pPr>
          </w:p>
        </w:tc>
        <w:tc>
          <w:tcPr>
            <w:tcW w:w="100" w:type="dxa"/>
            <w:vAlign w:val="bottom"/>
            <w:shd w:val="clear" w:color="auto" w:fill="FDFDFC"/>
          </w:tcPr>
          <w:p>
            <w:pPr>
              <w:spacing w:after="0"/>
              <w:rPr>
                <w:sz w:val="16"/>
                <w:szCs w:val="16"/>
                <w:color w:val="auto"/>
              </w:rPr>
            </w:pPr>
          </w:p>
        </w:tc>
        <w:tc>
          <w:tcPr>
            <w:tcW w:w="2340" w:type="dxa"/>
            <w:vAlign w:val="bottom"/>
            <w:vMerge w:val="continue"/>
            <w:shd w:val="clear" w:color="auto" w:fill="FDFDFC"/>
          </w:tcPr>
          <w:p>
            <w:pPr>
              <w:spacing w:after="0"/>
              <w:rPr>
                <w:sz w:val="16"/>
                <w:szCs w:val="16"/>
                <w:color w:val="auto"/>
              </w:rPr>
            </w:pPr>
          </w:p>
        </w:tc>
        <w:tc>
          <w:tcPr>
            <w:tcW w:w="80" w:type="dxa"/>
            <w:vAlign w:val="bottom"/>
            <w:shd w:val="clear" w:color="auto" w:fill="FDFDFC"/>
          </w:tcPr>
          <w:p>
            <w:pPr>
              <w:spacing w:after="0"/>
              <w:rPr>
                <w:sz w:val="16"/>
                <w:szCs w:val="16"/>
                <w:color w:val="auto"/>
              </w:rPr>
            </w:pPr>
          </w:p>
        </w:tc>
        <w:tc>
          <w:tcPr>
            <w:tcW w:w="760" w:type="dxa"/>
            <w:vAlign w:val="bottom"/>
            <w:shd w:val="clear" w:color="auto" w:fill="FDFDFC"/>
          </w:tcPr>
          <w:p>
            <w:pPr>
              <w:jc w:val="center"/>
              <w:spacing w:after="0"/>
              <w:rPr>
                <w:sz w:val="20"/>
                <w:szCs w:val="20"/>
                <w:color w:val="auto"/>
              </w:rPr>
            </w:pPr>
            <w:r>
              <w:rPr>
                <w:rFonts w:ascii="Times New Roman" w:cs="Times New Roman" w:eastAsia="Times New Roman" w:hAnsi="Times New Roman"/>
                <w:sz w:val="15"/>
                <w:szCs w:val="15"/>
                <w:b w:val="1"/>
                <w:bCs w:val="1"/>
                <w:color w:val="231F20"/>
                <w:w w:val="99"/>
              </w:rPr>
              <w:t>Date</w:t>
            </w:r>
          </w:p>
        </w:tc>
        <w:tc>
          <w:tcPr>
            <w:tcW w:w="100" w:type="dxa"/>
            <w:vAlign w:val="bottom"/>
            <w:shd w:val="clear" w:color="auto" w:fill="FDFDFC"/>
          </w:tcPr>
          <w:p>
            <w:pPr>
              <w:spacing w:after="0"/>
              <w:rPr>
                <w:sz w:val="16"/>
                <w:szCs w:val="16"/>
                <w:color w:val="auto"/>
              </w:rPr>
            </w:pPr>
          </w:p>
        </w:tc>
        <w:tc>
          <w:tcPr>
            <w:tcW w:w="1020" w:type="dxa"/>
            <w:vAlign w:val="bottom"/>
            <w:gridSpan w:val="2"/>
            <w:shd w:val="clear" w:color="auto" w:fill="FDFDFC"/>
          </w:tcPr>
          <w:p>
            <w:pPr>
              <w:jc w:val="center"/>
              <w:ind w:right="240"/>
              <w:spacing w:after="0"/>
              <w:rPr>
                <w:sz w:val="20"/>
                <w:szCs w:val="20"/>
                <w:color w:val="auto"/>
              </w:rPr>
            </w:pPr>
            <w:r>
              <w:rPr>
                <w:rFonts w:ascii="Times New Roman" w:cs="Times New Roman" w:eastAsia="Times New Roman" w:hAnsi="Times New Roman"/>
                <w:sz w:val="15"/>
                <w:szCs w:val="15"/>
                <w:b w:val="1"/>
                <w:bCs w:val="1"/>
                <w:color w:val="231F20"/>
              </w:rPr>
              <w:t>Spread</w:t>
            </w:r>
          </w:p>
        </w:tc>
        <w:tc>
          <w:tcPr>
            <w:tcW w:w="980" w:type="dxa"/>
            <w:vAlign w:val="bottom"/>
            <w:gridSpan w:val="2"/>
            <w:shd w:val="clear" w:color="auto" w:fill="FDFDFC"/>
          </w:tcPr>
          <w:p>
            <w:pPr>
              <w:jc w:val="right"/>
              <w:ind w:right="460"/>
              <w:spacing w:after="0"/>
              <w:rPr>
                <w:sz w:val="20"/>
                <w:szCs w:val="20"/>
                <w:color w:val="auto"/>
              </w:rPr>
            </w:pPr>
            <w:r>
              <w:rPr>
                <w:rFonts w:ascii="Times New Roman" w:cs="Times New Roman" w:eastAsia="Times New Roman" w:hAnsi="Times New Roman"/>
                <w:sz w:val="15"/>
                <w:szCs w:val="15"/>
                <w:b w:val="1"/>
                <w:bCs w:val="1"/>
                <w:color w:val="231F20"/>
              </w:rPr>
              <w:t>Rate</w:t>
            </w:r>
          </w:p>
        </w:tc>
        <w:tc>
          <w:tcPr>
            <w:tcW w:w="140" w:type="dxa"/>
            <w:vAlign w:val="bottom"/>
            <w:shd w:val="clear" w:color="auto" w:fill="FDFDFC"/>
          </w:tcPr>
          <w:p>
            <w:pPr>
              <w:spacing w:after="0"/>
              <w:rPr>
                <w:sz w:val="16"/>
                <w:szCs w:val="16"/>
                <w:color w:val="auto"/>
              </w:rPr>
            </w:pPr>
          </w:p>
        </w:tc>
        <w:tc>
          <w:tcPr>
            <w:tcW w:w="860" w:type="dxa"/>
            <w:vAlign w:val="bottom"/>
            <w:shd w:val="clear" w:color="auto" w:fill="FDFDFC"/>
          </w:tcPr>
          <w:p>
            <w:pPr>
              <w:jc w:val="right"/>
              <w:ind w:right="106"/>
              <w:spacing w:after="0" w:line="191" w:lineRule="exact"/>
              <w:rPr>
                <w:sz w:val="20"/>
                <w:szCs w:val="20"/>
                <w:color w:val="auto"/>
              </w:rPr>
            </w:pPr>
            <w:r>
              <w:rPr>
                <w:rFonts w:ascii="Times New Roman" w:cs="Times New Roman" w:eastAsia="Times New Roman" w:hAnsi="Times New Roman"/>
                <w:sz w:val="22"/>
                <w:szCs w:val="22"/>
                <w:b w:val="1"/>
                <w:bCs w:val="1"/>
                <w:color w:val="231F20"/>
                <w:vertAlign w:val="subscript"/>
              </w:rPr>
              <w:t>Cost</w:t>
            </w:r>
            <w:r>
              <w:rPr>
                <w:rFonts w:ascii="Times New Roman" w:cs="Times New Roman" w:eastAsia="Times New Roman" w:hAnsi="Times New Roman"/>
                <w:sz w:val="8"/>
                <w:szCs w:val="8"/>
                <w:b w:val="1"/>
                <w:bCs w:val="1"/>
                <w:color w:val="231F20"/>
              </w:rPr>
              <w:t xml:space="preserve"> (2)(7)</w:t>
            </w:r>
          </w:p>
        </w:tc>
        <w:tc>
          <w:tcPr>
            <w:tcW w:w="180" w:type="dxa"/>
            <w:vAlign w:val="bottom"/>
            <w:shd w:val="clear" w:color="auto" w:fill="FDFDFC"/>
          </w:tcPr>
          <w:p>
            <w:pPr>
              <w:spacing w:after="0"/>
              <w:rPr>
                <w:sz w:val="16"/>
                <w:szCs w:val="16"/>
                <w:color w:val="auto"/>
              </w:rPr>
            </w:pPr>
          </w:p>
        </w:tc>
        <w:tc>
          <w:tcPr>
            <w:tcW w:w="80" w:type="dxa"/>
            <w:vAlign w:val="bottom"/>
            <w:shd w:val="clear" w:color="auto" w:fill="FDFDFC"/>
          </w:tcPr>
          <w:p>
            <w:pPr>
              <w:spacing w:after="0"/>
              <w:rPr>
                <w:sz w:val="16"/>
                <w:szCs w:val="16"/>
                <w:color w:val="auto"/>
              </w:rPr>
            </w:pPr>
          </w:p>
        </w:tc>
        <w:tc>
          <w:tcPr>
            <w:tcW w:w="880" w:type="dxa"/>
            <w:vAlign w:val="bottom"/>
            <w:vMerge w:val="continue"/>
            <w:shd w:val="clear" w:color="auto" w:fill="FDFDFC"/>
          </w:tcPr>
          <w:p>
            <w:pPr>
              <w:spacing w:after="0"/>
              <w:rPr>
                <w:sz w:val="16"/>
                <w:szCs w:val="16"/>
                <w:color w:val="auto"/>
              </w:rPr>
            </w:pPr>
          </w:p>
        </w:tc>
        <w:tc>
          <w:tcPr>
            <w:tcW w:w="220" w:type="dxa"/>
            <w:vAlign w:val="bottom"/>
            <w:tcBorders>
              <w:right w:val="single" w:sz="8" w:color="FDFDFC"/>
            </w:tcBorders>
            <w:shd w:val="clear" w:color="auto" w:fill="FDFDFC"/>
          </w:tcPr>
          <w:p>
            <w:pPr>
              <w:spacing w:after="0"/>
              <w:rPr>
                <w:sz w:val="16"/>
                <w:szCs w:val="16"/>
                <w:color w:val="auto"/>
              </w:rPr>
            </w:pPr>
          </w:p>
        </w:tc>
        <w:tc>
          <w:tcPr>
            <w:tcW w:w="1120" w:type="dxa"/>
            <w:vAlign w:val="bottom"/>
            <w:gridSpan w:val="2"/>
            <w:shd w:val="clear" w:color="auto" w:fill="FDFDFC"/>
          </w:tcPr>
          <w:p>
            <w:pPr>
              <w:jc w:val="right"/>
              <w:ind w:right="280"/>
              <w:spacing w:after="0"/>
              <w:rPr>
                <w:sz w:val="20"/>
                <w:szCs w:val="20"/>
                <w:color w:val="auto"/>
              </w:rPr>
            </w:pPr>
            <w:r>
              <w:rPr>
                <w:rFonts w:ascii="Times New Roman" w:cs="Times New Roman" w:eastAsia="Times New Roman" w:hAnsi="Times New Roman"/>
                <w:sz w:val="15"/>
                <w:szCs w:val="15"/>
                <w:b w:val="1"/>
                <w:bCs w:val="1"/>
                <w:color w:val="231F20"/>
                <w:w w:val="99"/>
              </w:rPr>
              <w:t>of Net Assets</w:t>
            </w:r>
          </w:p>
        </w:tc>
        <w:tc>
          <w:tcPr>
            <w:tcW w:w="0" w:type="dxa"/>
            <w:vAlign w:val="bottom"/>
          </w:tcPr>
          <w:p>
            <w:pPr>
              <w:spacing w:after="0"/>
              <w:rPr>
                <w:sz w:val="1"/>
                <w:szCs w:val="1"/>
                <w:color w:val="auto"/>
              </w:rPr>
            </w:pPr>
          </w:p>
        </w:tc>
      </w:tr>
      <w:tr>
        <w:trPr>
          <w:trHeight w:val="163"/>
        </w:trPr>
        <w:tc>
          <w:tcPr>
            <w:tcW w:w="1420" w:type="dxa"/>
            <w:vAlign w:val="bottom"/>
            <w:tcBorders>
              <w:top w:val="single" w:sz="8" w:color="231F20"/>
            </w:tcBorders>
            <w:shd w:val="clear" w:color="auto" w:fill="D0EBF2"/>
          </w:tcPr>
          <w:p>
            <w:pPr>
              <w:spacing w:after="0" w:line="164" w:lineRule="exact"/>
              <w:rPr>
                <w:sz w:val="20"/>
                <w:szCs w:val="20"/>
                <w:color w:val="auto"/>
              </w:rPr>
            </w:pPr>
            <w:r>
              <w:rPr>
                <w:rFonts w:ascii="Times New Roman" w:cs="Times New Roman" w:eastAsia="Times New Roman" w:hAnsi="Times New Roman"/>
                <w:sz w:val="15"/>
                <w:szCs w:val="15"/>
                <w:b w:val="1"/>
                <w:bCs w:val="1"/>
                <w:color w:val="231F20"/>
              </w:rPr>
              <w:t>Debt Investments</w:t>
            </w:r>
          </w:p>
        </w:tc>
        <w:tc>
          <w:tcPr>
            <w:tcW w:w="100" w:type="dxa"/>
            <w:vAlign w:val="bottom"/>
            <w:tcBorders>
              <w:top w:val="single" w:sz="8" w:color="D0EBF2"/>
            </w:tcBorders>
            <w:shd w:val="clear" w:color="auto" w:fill="D0EBF2"/>
          </w:tcPr>
          <w:p>
            <w:pPr>
              <w:spacing w:after="0"/>
              <w:rPr>
                <w:sz w:val="14"/>
                <w:szCs w:val="14"/>
                <w:color w:val="auto"/>
              </w:rPr>
            </w:pPr>
          </w:p>
        </w:tc>
        <w:tc>
          <w:tcPr>
            <w:tcW w:w="2340" w:type="dxa"/>
            <w:vAlign w:val="bottom"/>
            <w:tcBorders>
              <w:top w:val="single" w:sz="8" w:color="231F20"/>
            </w:tcBorders>
            <w:shd w:val="clear" w:color="auto" w:fill="D0EBF2"/>
          </w:tcPr>
          <w:p>
            <w:pPr>
              <w:spacing w:after="0"/>
              <w:rPr>
                <w:sz w:val="14"/>
                <w:szCs w:val="14"/>
                <w:color w:val="auto"/>
              </w:rPr>
            </w:pPr>
          </w:p>
        </w:tc>
        <w:tc>
          <w:tcPr>
            <w:tcW w:w="80" w:type="dxa"/>
            <w:vAlign w:val="bottom"/>
            <w:tcBorders>
              <w:top w:val="single" w:sz="8" w:color="D0EBF2"/>
            </w:tcBorders>
            <w:shd w:val="clear" w:color="auto" w:fill="D0EBF2"/>
          </w:tcPr>
          <w:p>
            <w:pPr>
              <w:spacing w:after="0"/>
              <w:rPr>
                <w:sz w:val="14"/>
                <w:szCs w:val="14"/>
                <w:color w:val="auto"/>
              </w:rPr>
            </w:pPr>
          </w:p>
        </w:tc>
        <w:tc>
          <w:tcPr>
            <w:tcW w:w="760" w:type="dxa"/>
            <w:vAlign w:val="bottom"/>
            <w:tcBorders>
              <w:top w:val="single" w:sz="8" w:color="231F20"/>
            </w:tcBorders>
            <w:shd w:val="clear" w:color="auto" w:fill="D0EBF2"/>
          </w:tcPr>
          <w:p>
            <w:pPr>
              <w:spacing w:after="0"/>
              <w:rPr>
                <w:sz w:val="14"/>
                <w:szCs w:val="14"/>
                <w:color w:val="auto"/>
              </w:rPr>
            </w:pPr>
          </w:p>
        </w:tc>
        <w:tc>
          <w:tcPr>
            <w:tcW w:w="100" w:type="dxa"/>
            <w:vAlign w:val="bottom"/>
            <w:tcBorders>
              <w:top w:val="single" w:sz="8" w:color="D0EBF2"/>
            </w:tcBorders>
            <w:shd w:val="clear" w:color="auto" w:fill="D0EBF2"/>
          </w:tcPr>
          <w:p>
            <w:pPr>
              <w:spacing w:after="0"/>
              <w:rPr>
                <w:sz w:val="14"/>
                <w:szCs w:val="14"/>
                <w:color w:val="auto"/>
              </w:rPr>
            </w:pPr>
          </w:p>
        </w:tc>
        <w:tc>
          <w:tcPr>
            <w:tcW w:w="800" w:type="dxa"/>
            <w:vAlign w:val="bottom"/>
            <w:tcBorders>
              <w:top w:val="single" w:sz="8" w:color="231F20"/>
            </w:tcBorders>
            <w:shd w:val="clear" w:color="auto" w:fill="D0EBF2"/>
          </w:tcPr>
          <w:p>
            <w:pPr>
              <w:spacing w:after="0"/>
              <w:rPr>
                <w:sz w:val="14"/>
                <w:szCs w:val="14"/>
                <w:color w:val="auto"/>
              </w:rPr>
            </w:pPr>
          </w:p>
        </w:tc>
        <w:tc>
          <w:tcPr>
            <w:tcW w:w="220" w:type="dxa"/>
            <w:vAlign w:val="bottom"/>
            <w:tcBorders>
              <w:top w:val="single" w:sz="8" w:color="D0EBF2"/>
            </w:tcBorders>
            <w:shd w:val="clear" w:color="auto" w:fill="D0EBF2"/>
          </w:tcPr>
          <w:p>
            <w:pPr>
              <w:spacing w:after="0"/>
              <w:rPr>
                <w:sz w:val="14"/>
                <w:szCs w:val="14"/>
                <w:color w:val="auto"/>
              </w:rPr>
            </w:pPr>
          </w:p>
        </w:tc>
        <w:tc>
          <w:tcPr>
            <w:tcW w:w="760" w:type="dxa"/>
            <w:vAlign w:val="bottom"/>
            <w:tcBorders>
              <w:top w:val="single" w:sz="8" w:color="231F20"/>
            </w:tcBorders>
            <w:shd w:val="clear" w:color="auto" w:fill="D0EBF2"/>
          </w:tcPr>
          <w:p>
            <w:pPr>
              <w:spacing w:after="0"/>
              <w:rPr>
                <w:sz w:val="14"/>
                <w:szCs w:val="14"/>
                <w:color w:val="auto"/>
              </w:rPr>
            </w:pPr>
          </w:p>
        </w:tc>
        <w:tc>
          <w:tcPr>
            <w:tcW w:w="220" w:type="dxa"/>
            <w:vAlign w:val="bottom"/>
            <w:tcBorders>
              <w:top w:val="single" w:sz="8" w:color="D0EBF2"/>
            </w:tcBorders>
            <w:shd w:val="clear" w:color="auto" w:fill="D0EBF2"/>
          </w:tcPr>
          <w:p>
            <w:pPr>
              <w:spacing w:after="0"/>
              <w:rPr>
                <w:sz w:val="14"/>
                <w:szCs w:val="14"/>
                <w:color w:val="auto"/>
              </w:rPr>
            </w:pPr>
          </w:p>
        </w:tc>
        <w:tc>
          <w:tcPr>
            <w:tcW w:w="140" w:type="dxa"/>
            <w:vAlign w:val="bottom"/>
            <w:tcBorders>
              <w:top w:val="single" w:sz="8" w:color="231F20"/>
            </w:tcBorders>
            <w:shd w:val="clear" w:color="auto" w:fill="D0EBF2"/>
          </w:tcPr>
          <w:p>
            <w:pPr>
              <w:spacing w:after="0"/>
              <w:rPr>
                <w:sz w:val="14"/>
                <w:szCs w:val="14"/>
                <w:color w:val="auto"/>
              </w:rPr>
            </w:pPr>
          </w:p>
        </w:tc>
        <w:tc>
          <w:tcPr>
            <w:tcW w:w="860" w:type="dxa"/>
            <w:vAlign w:val="bottom"/>
            <w:tcBorders>
              <w:top w:val="single" w:sz="8" w:color="231F20"/>
            </w:tcBorders>
            <w:shd w:val="clear" w:color="auto" w:fill="D0EBF2"/>
          </w:tcPr>
          <w:p>
            <w:pPr>
              <w:spacing w:after="0"/>
              <w:rPr>
                <w:sz w:val="14"/>
                <w:szCs w:val="14"/>
                <w:color w:val="auto"/>
              </w:rPr>
            </w:pPr>
          </w:p>
        </w:tc>
        <w:tc>
          <w:tcPr>
            <w:tcW w:w="180" w:type="dxa"/>
            <w:vAlign w:val="bottom"/>
            <w:tcBorders>
              <w:top w:val="single" w:sz="8" w:color="D0EBF2"/>
            </w:tcBorders>
            <w:shd w:val="clear" w:color="auto" w:fill="D0EBF2"/>
          </w:tcPr>
          <w:p>
            <w:pPr>
              <w:spacing w:after="0"/>
              <w:rPr>
                <w:sz w:val="14"/>
                <w:szCs w:val="14"/>
                <w:color w:val="auto"/>
              </w:rPr>
            </w:pPr>
          </w:p>
        </w:tc>
        <w:tc>
          <w:tcPr>
            <w:tcW w:w="80" w:type="dxa"/>
            <w:vAlign w:val="bottom"/>
            <w:tcBorders>
              <w:top w:val="single" w:sz="8" w:color="231F20"/>
            </w:tcBorders>
            <w:shd w:val="clear" w:color="auto" w:fill="D0EBF2"/>
          </w:tcPr>
          <w:p>
            <w:pPr>
              <w:spacing w:after="0"/>
              <w:rPr>
                <w:sz w:val="14"/>
                <w:szCs w:val="14"/>
                <w:color w:val="auto"/>
              </w:rPr>
            </w:pPr>
          </w:p>
        </w:tc>
        <w:tc>
          <w:tcPr>
            <w:tcW w:w="880" w:type="dxa"/>
            <w:vAlign w:val="bottom"/>
            <w:tcBorders>
              <w:top w:val="single" w:sz="8" w:color="231F20"/>
            </w:tcBorders>
            <w:shd w:val="clear" w:color="auto" w:fill="D0EBF2"/>
          </w:tcPr>
          <w:p>
            <w:pPr>
              <w:spacing w:after="0"/>
              <w:rPr>
                <w:sz w:val="14"/>
                <w:szCs w:val="14"/>
                <w:color w:val="auto"/>
              </w:rPr>
            </w:pPr>
          </w:p>
        </w:tc>
        <w:tc>
          <w:tcPr>
            <w:tcW w:w="220" w:type="dxa"/>
            <w:vAlign w:val="bottom"/>
            <w:tcBorders>
              <w:top w:val="single" w:sz="8" w:color="D0EBF2"/>
              <w:right w:val="single" w:sz="8" w:color="D0EBF2"/>
            </w:tcBorders>
            <w:shd w:val="clear" w:color="auto" w:fill="D0EBF2"/>
          </w:tcPr>
          <w:p>
            <w:pPr>
              <w:spacing w:after="0"/>
              <w:rPr>
                <w:sz w:val="14"/>
                <w:szCs w:val="14"/>
                <w:color w:val="auto"/>
              </w:rPr>
            </w:pPr>
          </w:p>
        </w:tc>
        <w:tc>
          <w:tcPr>
            <w:tcW w:w="880" w:type="dxa"/>
            <w:vAlign w:val="bottom"/>
            <w:tcBorders>
              <w:top w:val="single" w:sz="8" w:color="231F20"/>
            </w:tcBorders>
            <w:shd w:val="clear" w:color="auto" w:fill="D0EBF2"/>
          </w:tcPr>
          <w:p>
            <w:pPr>
              <w:spacing w:after="0"/>
              <w:rPr>
                <w:sz w:val="14"/>
                <w:szCs w:val="14"/>
                <w:color w:val="auto"/>
              </w:rPr>
            </w:pPr>
          </w:p>
        </w:tc>
        <w:tc>
          <w:tcPr>
            <w:tcW w:w="240" w:type="dxa"/>
            <w:vAlign w:val="bottom"/>
            <w:tcBorders>
              <w:top w:val="single" w:sz="8" w:color="D0EBF2"/>
            </w:tcBorders>
            <w:shd w:val="clear" w:color="auto" w:fill="D0EBF2"/>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1420" w:type="dxa"/>
            <w:vAlign w:val="bottom"/>
            <w:shd w:val="clear" w:color="auto" w:fill="FDFDFC"/>
          </w:tcPr>
          <w:p>
            <w:pPr>
              <w:spacing w:after="0"/>
              <w:rPr>
                <w:sz w:val="20"/>
                <w:szCs w:val="20"/>
                <w:color w:val="auto"/>
              </w:rPr>
            </w:pPr>
            <w:r>
              <w:rPr>
                <w:rFonts w:ascii="Times New Roman" w:cs="Times New Roman" w:eastAsia="Times New Roman" w:hAnsi="Times New Roman"/>
                <w:sz w:val="15"/>
                <w:szCs w:val="15"/>
                <w:b w:val="1"/>
                <w:bCs w:val="1"/>
                <w:color w:val="231F20"/>
              </w:rPr>
              <w:t>Automotive</w:t>
            </w:r>
          </w:p>
        </w:tc>
        <w:tc>
          <w:tcPr>
            <w:tcW w:w="100" w:type="dxa"/>
            <w:vAlign w:val="bottom"/>
            <w:shd w:val="clear" w:color="auto" w:fill="FDFDFC"/>
          </w:tcPr>
          <w:p>
            <w:pPr>
              <w:spacing w:after="0"/>
              <w:rPr>
                <w:sz w:val="15"/>
                <w:szCs w:val="15"/>
                <w:color w:val="auto"/>
              </w:rPr>
            </w:pPr>
          </w:p>
        </w:tc>
        <w:tc>
          <w:tcPr>
            <w:tcW w:w="2340" w:type="dxa"/>
            <w:vAlign w:val="bottom"/>
            <w:shd w:val="clear" w:color="auto" w:fill="FDFDFC"/>
          </w:tcPr>
          <w:p>
            <w:pPr>
              <w:spacing w:after="0"/>
              <w:rPr>
                <w:sz w:val="15"/>
                <w:szCs w:val="15"/>
                <w:color w:val="auto"/>
              </w:rPr>
            </w:pPr>
          </w:p>
        </w:tc>
        <w:tc>
          <w:tcPr>
            <w:tcW w:w="80" w:type="dxa"/>
            <w:vAlign w:val="bottom"/>
            <w:shd w:val="clear" w:color="auto" w:fill="FDFDFC"/>
          </w:tcPr>
          <w:p>
            <w:pPr>
              <w:spacing w:after="0"/>
              <w:rPr>
                <w:sz w:val="15"/>
                <w:szCs w:val="15"/>
                <w:color w:val="auto"/>
              </w:rPr>
            </w:pPr>
          </w:p>
        </w:tc>
        <w:tc>
          <w:tcPr>
            <w:tcW w:w="760" w:type="dxa"/>
            <w:vAlign w:val="bottom"/>
            <w:shd w:val="clear" w:color="auto" w:fill="FDFDFC"/>
          </w:tcPr>
          <w:p>
            <w:pPr>
              <w:spacing w:after="0"/>
              <w:rPr>
                <w:sz w:val="15"/>
                <w:szCs w:val="15"/>
                <w:color w:val="auto"/>
              </w:rPr>
            </w:pPr>
          </w:p>
        </w:tc>
        <w:tc>
          <w:tcPr>
            <w:tcW w:w="100" w:type="dxa"/>
            <w:vAlign w:val="bottom"/>
            <w:shd w:val="clear" w:color="auto" w:fill="FDFDFC"/>
          </w:tcPr>
          <w:p>
            <w:pPr>
              <w:spacing w:after="0"/>
              <w:rPr>
                <w:sz w:val="15"/>
                <w:szCs w:val="15"/>
                <w:color w:val="auto"/>
              </w:rPr>
            </w:pPr>
          </w:p>
        </w:tc>
        <w:tc>
          <w:tcPr>
            <w:tcW w:w="800" w:type="dxa"/>
            <w:vAlign w:val="bottom"/>
            <w:shd w:val="clear" w:color="auto" w:fill="FDFDFC"/>
          </w:tcPr>
          <w:p>
            <w:pPr>
              <w:spacing w:after="0"/>
              <w:rPr>
                <w:sz w:val="15"/>
                <w:szCs w:val="15"/>
                <w:color w:val="auto"/>
              </w:rPr>
            </w:pPr>
          </w:p>
        </w:tc>
        <w:tc>
          <w:tcPr>
            <w:tcW w:w="220" w:type="dxa"/>
            <w:vAlign w:val="bottom"/>
            <w:shd w:val="clear" w:color="auto" w:fill="FDFDFC"/>
          </w:tcPr>
          <w:p>
            <w:pPr>
              <w:spacing w:after="0"/>
              <w:rPr>
                <w:sz w:val="15"/>
                <w:szCs w:val="15"/>
                <w:color w:val="auto"/>
              </w:rPr>
            </w:pPr>
          </w:p>
        </w:tc>
        <w:tc>
          <w:tcPr>
            <w:tcW w:w="760" w:type="dxa"/>
            <w:vAlign w:val="bottom"/>
            <w:shd w:val="clear" w:color="auto" w:fill="FDFDFC"/>
          </w:tcPr>
          <w:p>
            <w:pPr>
              <w:spacing w:after="0"/>
              <w:rPr>
                <w:sz w:val="15"/>
                <w:szCs w:val="15"/>
                <w:color w:val="auto"/>
              </w:rPr>
            </w:pPr>
          </w:p>
        </w:tc>
        <w:tc>
          <w:tcPr>
            <w:tcW w:w="220" w:type="dxa"/>
            <w:vAlign w:val="bottom"/>
            <w:shd w:val="clear" w:color="auto" w:fill="FDFDFC"/>
          </w:tcPr>
          <w:p>
            <w:pPr>
              <w:spacing w:after="0"/>
              <w:rPr>
                <w:sz w:val="15"/>
                <w:szCs w:val="15"/>
                <w:color w:val="auto"/>
              </w:rPr>
            </w:pPr>
          </w:p>
        </w:tc>
        <w:tc>
          <w:tcPr>
            <w:tcW w:w="140" w:type="dxa"/>
            <w:vAlign w:val="bottom"/>
            <w:shd w:val="clear" w:color="auto" w:fill="FDFDFC"/>
          </w:tcPr>
          <w:p>
            <w:pPr>
              <w:spacing w:after="0"/>
              <w:rPr>
                <w:sz w:val="15"/>
                <w:szCs w:val="15"/>
                <w:color w:val="auto"/>
              </w:rPr>
            </w:pPr>
          </w:p>
        </w:tc>
        <w:tc>
          <w:tcPr>
            <w:tcW w:w="860" w:type="dxa"/>
            <w:vAlign w:val="bottom"/>
            <w:shd w:val="clear" w:color="auto" w:fill="FDFDFC"/>
          </w:tcPr>
          <w:p>
            <w:pPr>
              <w:spacing w:after="0"/>
              <w:rPr>
                <w:sz w:val="15"/>
                <w:szCs w:val="15"/>
                <w:color w:val="auto"/>
              </w:rPr>
            </w:pPr>
          </w:p>
        </w:tc>
        <w:tc>
          <w:tcPr>
            <w:tcW w:w="180" w:type="dxa"/>
            <w:vAlign w:val="bottom"/>
            <w:shd w:val="clear" w:color="auto" w:fill="FDFDFC"/>
          </w:tcPr>
          <w:p>
            <w:pPr>
              <w:spacing w:after="0"/>
              <w:rPr>
                <w:sz w:val="15"/>
                <w:szCs w:val="15"/>
                <w:color w:val="auto"/>
              </w:rPr>
            </w:pPr>
          </w:p>
        </w:tc>
        <w:tc>
          <w:tcPr>
            <w:tcW w:w="80" w:type="dxa"/>
            <w:vAlign w:val="bottom"/>
            <w:shd w:val="clear" w:color="auto" w:fill="FDFDFC"/>
          </w:tcPr>
          <w:p>
            <w:pPr>
              <w:spacing w:after="0"/>
              <w:rPr>
                <w:sz w:val="15"/>
                <w:szCs w:val="15"/>
                <w:color w:val="auto"/>
              </w:rPr>
            </w:pPr>
          </w:p>
        </w:tc>
        <w:tc>
          <w:tcPr>
            <w:tcW w:w="880" w:type="dxa"/>
            <w:vAlign w:val="bottom"/>
            <w:shd w:val="clear" w:color="auto" w:fill="FDFDFC"/>
          </w:tcPr>
          <w:p>
            <w:pPr>
              <w:spacing w:after="0"/>
              <w:rPr>
                <w:sz w:val="15"/>
                <w:szCs w:val="15"/>
                <w:color w:val="auto"/>
              </w:rPr>
            </w:pPr>
          </w:p>
        </w:tc>
        <w:tc>
          <w:tcPr>
            <w:tcW w:w="220" w:type="dxa"/>
            <w:vAlign w:val="bottom"/>
            <w:tcBorders>
              <w:right w:val="single" w:sz="8" w:color="FDFDFC"/>
            </w:tcBorders>
            <w:shd w:val="clear" w:color="auto" w:fill="FDFDFC"/>
          </w:tcPr>
          <w:p>
            <w:pPr>
              <w:spacing w:after="0"/>
              <w:rPr>
                <w:sz w:val="15"/>
                <w:szCs w:val="15"/>
                <w:color w:val="auto"/>
              </w:rPr>
            </w:pPr>
          </w:p>
        </w:tc>
        <w:tc>
          <w:tcPr>
            <w:tcW w:w="880" w:type="dxa"/>
            <w:vAlign w:val="bottom"/>
            <w:shd w:val="clear" w:color="auto" w:fill="FDFDFC"/>
          </w:tcPr>
          <w:p>
            <w:pPr>
              <w:spacing w:after="0"/>
              <w:rPr>
                <w:sz w:val="15"/>
                <w:szCs w:val="15"/>
                <w:color w:val="auto"/>
              </w:rPr>
            </w:pPr>
          </w:p>
        </w:tc>
        <w:tc>
          <w:tcPr>
            <w:tcW w:w="240" w:type="dxa"/>
            <w:vAlign w:val="bottom"/>
            <w:shd w:val="clear" w:color="auto" w:fill="FDFDFC"/>
          </w:tcPr>
          <w:p>
            <w:pPr>
              <w:spacing w:after="0"/>
              <w:rPr>
                <w:sz w:val="15"/>
                <w:szCs w:val="15"/>
                <w:color w:val="auto"/>
              </w:rPr>
            </w:pPr>
          </w:p>
        </w:tc>
        <w:tc>
          <w:tcPr>
            <w:tcW w:w="0" w:type="dxa"/>
            <w:vAlign w:val="bottom"/>
          </w:tcPr>
          <w:p>
            <w:pPr>
              <w:spacing w:after="0"/>
              <w:rPr>
                <w:sz w:val="1"/>
                <w:szCs w:val="1"/>
                <w:color w:val="auto"/>
              </w:rPr>
            </w:pPr>
          </w:p>
        </w:tc>
      </w:tr>
      <w:tr>
        <w:trPr>
          <w:trHeight w:val="158"/>
        </w:trPr>
        <w:tc>
          <w:tcPr>
            <w:tcW w:w="1420" w:type="dxa"/>
            <w:vAlign w:val="bottom"/>
            <w:shd w:val="clear" w:color="auto" w:fill="D0EBF2"/>
          </w:tcPr>
          <w:p>
            <w:pPr>
              <w:spacing w:after="0" w:line="159" w:lineRule="exact"/>
              <w:rPr>
                <w:sz w:val="20"/>
                <w:szCs w:val="20"/>
                <w:color w:val="auto"/>
              </w:rPr>
            </w:pPr>
            <w:r>
              <w:rPr>
                <w:rFonts w:ascii="Times New Roman" w:cs="Times New Roman" w:eastAsia="Times New Roman" w:hAnsi="Times New Roman"/>
                <w:sz w:val="15"/>
                <w:szCs w:val="15"/>
                <w:color w:val="231F20"/>
              </w:rPr>
              <w:t xml:space="preserve">Bestpass, Inc. </w:t>
            </w:r>
            <w:r>
              <w:rPr>
                <w:rFonts w:ascii="Times New Roman" w:cs="Times New Roman" w:eastAsia="Times New Roman" w:hAnsi="Times New Roman"/>
                <w:sz w:val="9"/>
                <w:szCs w:val="9"/>
                <w:color w:val="231F20"/>
              </w:rPr>
              <w:t>(3)(5)</w:t>
            </w:r>
          </w:p>
        </w:tc>
        <w:tc>
          <w:tcPr>
            <w:tcW w:w="100" w:type="dxa"/>
            <w:vAlign w:val="bottom"/>
            <w:shd w:val="clear" w:color="auto" w:fill="D0EBF2"/>
          </w:tcPr>
          <w:p>
            <w:pPr>
              <w:spacing w:after="0"/>
              <w:rPr>
                <w:sz w:val="13"/>
                <w:szCs w:val="13"/>
                <w:color w:val="auto"/>
              </w:rPr>
            </w:pPr>
          </w:p>
        </w:tc>
        <w:tc>
          <w:tcPr>
            <w:tcW w:w="2340" w:type="dxa"/>
            <w:vAlign w:val="bottom"/>
            <w:shd w:val="clear" w:color="auto" w:fill="D0EBF2"/>
          </w:tcPr>
          <w:p>
            <w:pPr>
              <w:spacing w:after="0" w:line="159" w:lineRule="exact"/>
              <w:rPr>
                <w:sz w:val="20"/>
                <w:szCs w:val="20"/>
                <w:color w:val="auto"/>
              </w:rPr>
            </w:pPr>
            <w:r>
              <w:rPr>
                <w:rFonts w:ascii="Times New Roman" w:cs="Times New Roman" w:eastAsia="Times New Roman" w:hAnsi="Times New Roman"/>
                <w:sz w:val="15"/>
                <w:szCs w:val="15"/>
                <w:color w:val="231F20"/>
              </w:rPr>
              <w:t>First-lien loan ($44,800 par, due</w:t>
            </w:r>
          </w:p>
        </w:tc>
        <w:tc>
          <w:tcPr>
            <w:tcW w:w="840" w:type="dxa"/>
            <w:vAlign w:val="bottom"/>
            <w:gridSpan w:val="2"/>
            <w:shd w:val="clear" w:color="auto" w:fill="D0EBF2"/>
          </w:tcPr>
          <w:p>
            <w:pPr>
              <w:jc w:val="right"/>
              <w:spacing w:after="0" w:line="159" w:lineRule="exact"/>
              <w:rPr>
                <w:sz w:val="20"/>
                <w:szCs w:val="20"/>
                <w:color w:val="auto"/>
              </w:rPr>
            </w:pPr>
            <w:r>
              <w:rPr>
                <w:rFonts w:ascii="Times New Roman" w:cs="Times New Roman" w:eastAsia="Times New Roman" w:hAnsi="Times New Roman"/>
                <w:sz w:val="15"/>
                <w:szCs w:val="15"/>
                <w:color w:val="231F20"/>
              </w:rPr>
              <w:t>5/26/2023</w:t>
            </w:r>
          </w:p>
        </w:tc>
        <w:tc>
          <w:tcPr>
            <w:tcW w:w="100" w:type="dxa"/>
            <w:vAlign w:val="bottom"/>
            <w:shd w:val="clear" w:color="auto" w:fill="D0EBF2"/>
          </w:tcPr>
          <w:p>
            <w:pPr>
              <w:spacing w:after="0"/>
              <w:rPr>
                <w:sz w:val="13"/>
                <w:szCs w:val="13"/>
                <w:color w:val="auto"/>
              </w:rPr>
            </w:pPr>
          </w:p>
        </w:tc>
        <w:tc>
          <w:tcPr>
            <w:tcW w:w="1020" w:type="dxa"/>
            <w:vAlign w:val="bottom"/>
            <w:gridSpan w:val="2"/>
            <w:shd w:val="clear" w:color="auto" w:fill="D0EBF2"/>
          </w:tcPr>
          <w:p>
            <w:pPr>
              <w:jc w:val="right"/>
              <w:ind w:right="240"/>
              <w:spacing w:after="0" w:line="159" w:lineRule="exact"/>
              <w:rPr>
                <w:sz w:val="20"/>
                <w:szCs w:val="20"/>
                <w:color w:val="auto"/>
              </w:rPr>
            </w:pPr>
            <w:r>
              <w:rPr>
                <w:rFonts w:ascii="Times New Roman" w:cs="Times New Roman" w:eastAsia="Times New Roman" w:hAnsi="Times New Roman"/>
                <w:sz w:val="15"/>
                <w:szCs w:val="15"/>
                <w:color w:val="231F20"/>
              </w:rPr>
              <w:t>SOFR +</w:t>
            </w:r>
          </w:p>
        </w:tc>
        <w:tc>
          <w:tcPr>
            <w:tcW w:w="980" w:type="dxa"/>
            <w:vAlign w:val="bottom"/>
            <w:gridSpan w:val="2"/>
            <w:shd w:val="clear" w:color="auto" w:fill="D0EBF2"/>
          </w:tcPr>
          <w:p>
            <w:pPr>
              <w:jc w:val="right"/>
              <w:ind w:right="100"/>
              <w:spacing w:after="0" w:line="159" w:lineRule="exact"/>
              <w:rPr>
                <w:sz w:val="20"/>
                <w:szCs w:val="20"/>
                <w:color w:val="auto"/>
              </w:rPr>
            </w:pPr>
            <w:r>
              <w:rPr>
                <w:rFonts w:ascii="Times New Roman" w:cs="Times New Roman" w:eastAsia="Times New Roman" w:hAnsi="Times New Roman"/>
                <w:sz w:val="15"/>
                <w:szCs w:val="15"/>
                <w:color w:val="231F20"/>
              </w:rPr>
              <w:t>11.11%</w:t>
            </w:r>
          </w:p>
        </w:tc>
        <w:tc>
          <w:tcPr>
            <w:tcW w:w="140" w:type="dxa"/>
            <w:vAlign w:val="bottom"/>
            <w:shd w:val="clear" w:color="auto" w:fill="D0EBF2"/>
          </w:tcPr>
          <w:p>
            <w:pPr>
              <w:jc w:val="right"/>
              <w:spacing w:after="0" w:line="159" w:lineRule="exact"/>
              <w:rPr>
                <w:sz w:val="20"/>
                <w:szCs w:val="20"/>
                <w:color w:val="auto"/>
              </w:rPr>
            </w:pPr>
            <w:r>
              <w:rPr>
                <w:rFonts w:ascii="Times New Roman" w:cs="Times New Roman" w:eastAsia="Times New Roman" w:hAnsi="Times New Roman"/>
                <w:sz w:val="15"/>
                <w:szCs w:val="15"/>
                <w:color w:val="231F20"/>
                <w:w w:val="79"/>
              </w:rPr>
              <w:t>$</w:t>
            </w:r>
          </w:p>
        </w:tc>
        <w:tc>
          <w:tcPr>
            <w:tcW w:w="860" w:type="dxa"/>
            <w:vAlign w:val="bottom"/>
            <w:shd w:val="clear" w:color="auto" w:fill="D0EBF2"/>
          </w:tcPr>
          <w:p>
            <w:pPr>
              <w:jc w:val="right"/>
              <w:spacing w:after="0" w:line="159" w:lineRule="exact"/>
              <w:rPr>
                <w:sz w:val="20"/>
                <w:szCs w:val="20"/>
                <w:color w:val="auto"/>
              </w:rPr>
            </w:pPr>
            <w:r>
              <w:rPr>
                <w:rFonts w:ascii="Times New Roman" w:cs="Times New Roman" w:eastAsia="Times New Roman" w:hAnsi="Times New Roman"/>
                <w:sz w:val="15"/>
                <w:szCs w:val="15"/>
                <w:color w:val="231F20"/>
              </w:rPr>
              <w:t>43,571</w:t>
            </w:r>
          </w:p>
        </w:tc>
        <w:tc>
          <w:tcPr>
            <w:tcW w:w="260" w:type="dxa"/>
            <w:vAlign w:val="bottom"/>
            <w:gridSpan w:val="2"/>
            <w:shd w:val="clear" w:color="auto" w:fill="D0EBF2"/>
          </w:tcPr>
          <w:p>
            <w:pPr>
              <w:jc w:val="right"/>
              <w:spacing w:after="0" w:line="159" w:lineRule="exact"/>
              <w:rPr>
                <w:sz w:val="20"/>
                <w:szCs w:val="20"/>
                <w:color w:val="auto"/>
              </w:rPr>
            </w:pPr>
            <w:r>
              <w:rPr>
                <w:rFonts w:ascii="Times New Roman" w:cs="Times New Roman" w:eastAsia="Times New Roman" w:hAnsi="Times New Roman"/>
                <w:sz w:val="15"/>
                <w:szCs w:val="15"/>
                <w:color w:val="231F20"/>
              </w:rPr>
              <w:t>$</w:t>
            </w:r>
          </w:p>
        </w:tc>
        <w:tc>
          <w:tcPr>
            <w:tcW w:w="880" w:type="dxa"/>
            <w:vAlign w:val="bottom"/>
            <w:shd w:val="clear" w:color="auto" w:fill="D0EBF2"/>
          </w:tcPr>
          <w:p>
            <w:pPr>
              <w:jc w:val="right"/>
              <w:spacing w:after="0" w:line="159" w:lineRule="exact"/>
              <w:rPr>
                <w:sz w:val="20"/>
                <w:szCs w:val="20"/>
                <w:color w:val="auto"/>
              </w:rPr>
            </w:pPr>
            <w:r>
              <w:rPr>
                <w:rFonts w:ascii="Times New Roman" w:cs="Times New Roman" w:eastAsia="Times New Roman" w:hAnsi="Times New Roman"/>
                <w:sz w:val="15"/>
                <w:szCs w:val="15"/>
                <w:color w:val="231F20"/>
              </w:rPr>
              <w:t>44,240</w:t>
            </w:r>
          </w:p>
        </w:tc>
        <w:tc>
          <w:tcPr>
            <w:tcW w:w="1340" w:type="dxa"/>
            <w:vAlign w:val="bottom"/>
            <w:gridSpan w:val="3"/>
            <w:shd w:val="clear" w:color="auto" w:fill="D0EBF2"/>
          </w:tcPr>
          <w:p>
            <w:pPr>
              <w:jc w:val="right"/>
              <w:ind w:right="120"/>
              <w:spacing w:after="0" w:line="159" w:lineRule="exact"/>
              <w:rPr>
                <w:sz w:val="20"/>
                <w:szCs w:val="20"/>
                <w:color w:val="auto"/>
              </w:rPr>
            </w:pPr>
            <w:r>
              <w:rPr>
                <w:rFonts w:ascii="Times New Roman" w:cs="Times New Roman" w:eastAsia="Times New Roman" w:hAnsi="Times New Roman"/>
                <w:sz w:val="15"/>
                <w:szCs w:val="15"/>
                <w:color w:val="231F20"/>
              </w:rPr>
              <w:t>3.0%</w:t>
            </w:r>
          </w:p>
        </w:tc>
        <w:tc>
          <w:tcPr>
            <w:tcW w:w="0" w:type="dxa"/>
            <w:vAlign w:val="bottom"/>
          </w:tcPr>
          <w:p>
            <w:pPr>
              <w:spacing w:after="0"/>
              <w:rPr>
                <w:sz w:val="1"/>
                <w:szCs w:val="1"/>
                <w:color w:val="auto"/>
              </w:rPr>
            </w:pPr>
          </w:p>
        </w:tc>
      </w:tr>
      <w:tr>
        <w:trPr>
          <w:trHeight w:val="189"/>
        </w:trPr>
        <w:tc>
          <w:tcPr>
            <w:tcW w:w="1420" w:type="dxa"/>
            <w:vAlign w:val="bottom"/>
            <w:shd w:val="clear" w:color="auto" w:fill="D0EBF2"/>
          </w:tcPr>
          <w:p>
            <w:pPr>
              <w:spacing w:after="0"/>
              <w:rPr>
                <w:sz w:val="16"/>
                <w:szCs w:val="16"/>
                <w:color w:val="auto"/>
              </w:rPr>
            </w:pPr>
          </w:p>
        </w:tc>
        <w:tc>
          <w:tcPr>
            <w:tcW w:w="2440" w:type="dxa"/>
            <w:vAlign w:val="bottom"/>
            <w:gridSpan w:val="2"/>
            <w:shd w:val="clear" w:color="auto" w:fill="D0EBF2"/>
          </w:tcPr>
          <w:p>
            <w:pPr>
              <w:ind w:left="100"/>
              <w:spacing w:after="0"/>
              <w:rPr>
                <w:sz w:val="20"/>
                <w:szCs w:val="20"/>
                <w:color w:val="auto"/>
              </w:rPr>
            </w:pPr>
            <w:r>
              <w:rPr>
                <w:rFonts w:ascii="Times New Roman" w:cs="Times New Roman" w:eastAsia="Times New Roman" w:hAnsi="Times New Roman"/>
                <w:sz w:val="15"/>
                <w:szCs w:val="15"/>
                <w:color w:val="231F20"/>
              </w:rPr>
              <w:t>5/2029)</w:t>
            </w:r>
          </w:p>
        </w:tc>
        <w:tc>
          <w:tcPr>
            <w:tcW w:w="80" w:type="dxa"/>
            <w:vAlign w:val="bottom"/>
            <w:shd w:val="clear" w:color="auto" w:fill="D0EBF2"/>
          </w:tcPr>
          <w:p>
            <w:pPr>
              <w:spacing w:after="0"/>
              <w:rPr>
                <w:sz w:val="16"/>
                <w:szCs w:val="16"/>
                <w:color w:val="auto"/>
              </w:rPr>
            </w:pPr>
          </w:p>
        </w:tc>
        <w:tc>
          <w:tcPr>
            <w:tcW w:w="760" w:type="dxa"/>
            <w:vAlign w:val="bottom"/>
            <w:shd w:val="clear" w:color="auto" w:fill="D0EBF2"/>
          </w:tcPr>
          <w:p>
            <w:pPr>
              <w:spacing w:after="0"/>
              <w:rPr>
                <w:sz w:val="16"/>
                <w:szCs w:val="16"/>
                <w:color w:val="auto"/>
              </w:rPr>
            </w:pPr>
          </w:p>
        </w:tc>
        <w:tc>
          <w:tcPr>
            <w:tcW w:w="900" w:type="dxa"/>
            <w:vAlign w:val="bottom"/>
            <w:gridSpan w:val="2"/>
            <w:shd w:val="clear" w:color="auto" w:fill="D0EBF2"/>
          </w:tcPr>
          <w:p>
            <w:pPr>
              <w:jc w:val="right"/>
              <w:spacing w:after="0"/>
              <w:rPr>
                <w:sz w:val="20"/>
                <w:szCs w:val="20"/>
                <w:color w:val="auto"/>
              </w:rPr>
            </w:pPr>
            <w:r>
              <w:rPr>
                <w:rFonts w:ascii="Times New Roman" w:cs="Times New Roman" w:eastAsia="Times New Roman" w:hAnsi="Times New Roman"/>
                <w:sz w:val="15"/>
                <w:szCs w:val="15"/>
                <w:color w:val="231F20"/>
              </w:rPr>
              <w:t>5.75%</w:t>
            </w:r>
          </w:p>
        </w:tc>
        <w:tc>
          <w:tcPr>
            <w:tcW w:w="220" w:type="dxa"/>
            <w:vAlign w:val="bottom"/>
            <w:shd w:val="clear" w:color="auto" w:fill="D0EBF2"/>
          </w:tcPr>
          <w:p>
            <w:pPr>
              <w:spacing w:after="0"/>
              <w:rPr>
                <w:sz w:val="16"/>
                <w:szCs w:val="16"/>
                <w:color w:val="auto"/>
              </w:rPr>
            </w:pPr>
          </w:p>
        </w:tc>
        <w:tc>
          <w:tcPr>
            <w:tcW w:w="760" w:type="dxa"/>
            <w:vAlign w:val="bottom"/>
            <w:shd w:val="clear" w:color="auto" w:fill="D0EBF2"/>
          </w:tcPr>
          <w:p>
            <w:pPr>
              <w:spacing w:after="0"/>
              <w:rPr>
                <w:sz w:val="16"/>
                <w:szCs w:val="16"/>
                <w:color w:val="auto"/>
              </w:rPr>
            </w:pPr>
          </w:p>
        </w:tc>
        <w:tc>
          <w:tcPr>
            <w:tcW w:w="220" w:type="dxa"/>
            <w:vAlign w:val="bottom"/>
            <w:shd w:val="clear" w:color="auto" w:fill="D0EBF2"/>
          </w:tcPr>
          <w:p>
            <w:pPr>
              <w:spacing w:after="0"/>
              <w:rPr>
                <w:sz w:val="16"/>
                <w:szCs w:val="16"/>
                <w:color w:val="auto"/>
              </w:rPr>
            </w:pPr>
          </w:p>
        </w:tc>
        <w:tc>
          <w:tcPr>
            <w:tcW w:w="140" w:type="dxa"/>
            <w:vAlign w:val="bottom"/>
            <w:shd w:val="clear" w:color="auto" w:fill="D0EBF2"/>
          </w:tcPr>
          <w:p>
            <w:pPr>
              <w:spacing w:after="0"/>
              <w:rPr>
                <w:sz w:val="16"/>
                <w:szCs w:val="16"/>
                <w:color w:val="auto"/>
              </w:rPr>
            </w:pPr>
          </w:p>
        </w:tc>
        <w:tc>
          <w:tcPr>
            <w:tcW w:w="860" w:type="dxa"/>
            <w:vAlign w:val="bottom"/>
            <w:shd w:val="clear" w:color="auto" w:fill="D0EBF2"/>
          </w:tcPr>
          <w:p>
            <w:pPr>
              <w:spacing w:after="0"/>
              <w:rPr>
                <w:sz w:val="16"/>
                <w:szCs w:val="16"/>
                <w:color w:val="auto"/>
              </w:rPr>
            </w:pPr>
          </w:p>
        </w:tc>
        <w:tc>
          <w:tcPr>
            <w:tcW w:w="180" w:type="dxa"/>
            <w:vAlign w:val="bottom"/>
            <w:shd w:val="clear" w:color="auto" w:fill="D0EBF2"/>
          </w:tcPr>
          <w:p>
            <w:pPr>
              <w:spacing w:after="0"/>
              <w:rPr>
                <w:sz w:val="16"/>
                <w:szCs w:val="16"/>
                <w:color w:val="auto"/>
              </w:rPr>
            </w:pPr>
          </w:p>
        </w:tc>
        <w:tc>
          <w:tcPr>
            <w:tcW w:w="80" w:type="dxa"/>
            <w:vAlign w:val="bottom"/>
            <w:shd w:val="clear" w:color="auto" w:fill="D0EBF2"/>
          </w:tcPr>
          <w:p>
            <w:pPr>
              <w:spacing w:after="0"/>
              <w:rPr>
                <w:sz w:val="16"/>
                <w:szCs w:val="16"/>
                <w:color w:val="auto"/>
              </w:rPr>
            </w:pPr>
          </w:p>
        </w:tc>
        <w:tc>
          <w:tcPr>
            <w:tcW w:w="880" w:type="dxa"/>
            <w:vAlign w:val="bottom"/>
            <w:shd w:val="clear" w:color="auto" w:fill="D0EBF2"/>
          </w:tcPr>
          <w:p>
            <w:pPr>
              <w:spacing w:after="0"/>
              <w:rPr>
                <w:sz w:val="16"/>
                <w:szCs w:val="16"/>
                <w:color w:val="auto"/>
              </w:rPr>
            </w:pPr>
          </w:p>
        </w:tc>
        <w:tc>
          <w:tcPr>
            <w:tcW w:w="220" w:type="dxa"/>
            <w:vAlign w:val="bottom"/>
            <w:tcBorders>
              <w:right w:val="single" w:sz="8" w:color="D0EBF2"/>
            </w:tcBorders>
            <w:shd w:val="clear" w:color="auto" w:fill="D0EBF2"/>
          </w:tcPr>
          <w:p>
            <w:pPr>
              <w:spacing w:after="0"/>
              <w:rPr>
                <w:sz w:val="16"/>
                <w:szCs w:val="16"/>
                <w:color w:val="auto"/>
              </w:rPr>
            </w:pPr>
          </w:p>
        </w:tc>
        <w:tc>
          <w:tcPr>
            <w:tcW w:w="880" w:type="dxa"/>
            <w:vAlign w:val="bottom"/>
            <w:shd w:val="clear" w:color="auto" w:fill="D0EBF2"/>
          </w:tcPr>
          <w:p>
            <w:pPr>
              <w:spacing w:after="0"/>
              <w:rPr>
                <w:sz w:val="16"/>
                <w:szCs w:val="16"/>
                <w:color w:val="auto"/>
              </w:rPr>
            </w:pPr>
          </w:p>
        </w:tc>
        <w:tc>
          <w:tcPr>
            <w:tcW w:w="240" w:type="dxa"/>
            <w:vAlign w:val="bottom"/>
            <w:shd w:val="clear" w:color="auto" w:fill="D0EBF2"/>
          </w:tcPr>
          <w:p>
            <w:pPr>
              <w:spacing w:after="0"/>
              <w:rPr>
                <w:sz w:val="16"/>
                <w:szCs w:val="16"/>
                <w:color w:val="auto"/>
              </w:rPr>
            </w:pPr>
          </w:p>
        </w:tc>
        <w:tc>
          <w:tcPr>
            <w:tcW w:w="0" w:type="dxa"/>
            <w:vAlign w:val="bottom"/>
          </w:tcPr>
          <w:p>
            <w:pPr>
              <w:spacing w:after="0"/>
              <w:rPr>
                <w:sz w:val="1"/>
                <w:szCs w:val="1"/>
                <w:color w:val="auto"/>
              </w:rPr>
            </w:pPr>
          </w:p>
        </w:tc>
      </w:tr>
      <w:tr>
        <w:trPr>
          <w:trHeight w:val="174"/>
        </w:trPr>
        <w:tc>
          <w:tcPr>
            <w:tcW w:w="1420" w:type="dxa"/>
            <w:vAlign w:val="bottom"/>
            <w:shd w:val="clear" w:color="auto" w:fill="FDFDFC"/>
          </w:tcPr>
          <w:p>
            <w:pPr>
              <w:spacing w:after="0"/>
              <w:rPr>
                <w:sz w:val="20"/>
                <w:szCs w:val="20"/>
                <w:color w:val="auto"/>
              </w:rPr>
            </w:pPr>
            <w:r>
              <w:rPr>
                <w:rFonts w:ascii="Times New Roman" w:cs="Times New Roman" w:eastAsia="Times New Roman" w:hAnsi="Times New Roman"/>
                <w:sz w:val="15"/>
                <w:szCs w:val="15"/>
                <w:b w:val="1"/>
                <w:bCs w:val="1"/>
                <w:color w:val="231F20"/>
              </w:rPr>
              <w:t>Business Services</w:t>
            </w:r>
          </w:p>
        </w:tc>
        <w:tc>
          <w:tcPr>
            <w:tcW w:w="100" w:type="dxa"/>
            <w:vAlign w:val="bottom"/>
            <w:shd w:val="clear" w:color="auto" w:fill="FDFDFC"/>
          </w:tcPr>
          <w:p>
            <w:pPr>
              <w:spacing w:after="0"/>
              <w:rPr>
                <w:sz w:val="15"/>
                <w:szCs w:val="15"/>
                <w:color w:val="auto"/>
              </w:rPr>
            </w:pPr>
          </w:p>
        </w:tc>
        <w:tc>
          <w:tcPr>
            <w:tcW w:w="2340" w:type="dxa"/>
            <w:vAlign w:val="bottom"/>
            <w:shd w:val="clear" w:color="auto" w:fill="FDFDFC"/>
          </w:tcPr>
          <w:p>
            <w:pPr>
              <w:spacing w:after="0"/>
              <w:rPr>
                <w:sz w:val="15"/>
                <w:szCs w:val="15"/>
                <w:color w:val="auto"/>
              </w:rPr>
            </w:pPr>
          </w:p>
        </w:tc>
        <w:tc>
          <w:tcPr>
            <w:tcW w:w="80" w:type="dxa"/>
            <w:vAlign w:val="bottom"/>
            <w:shd w:val="clear" w:color="auto" w:fill="FDFDFC"/>
          </w:tcPr>
          <w:p>
            <w:pPr>
              <w:spacing w:after="0"/>
              <w:rPr>
                <w:sz w:val="15"/>
                <w:szCs w:val="15"/>
                <w:color w:val="auto"/>
              </w:rPr>
            </w:pPr>
          </w:p>
        </w:tc>
        <w:tc>
          <w:tcPr>
            <w:tcW w:w="760" w:type="dxa"/>
            <w:vAlign w:val="bottom"/>
            <w:shd w:val="clear" w:color="auto" w:fill="FDFDFC"/>
          </w:tcPr>
          <w:p>
            <w:pPr>
              <w:spacing w:after="0"/>
              <w:rPr>
                <w:sz w:val="15"/>
                <w:szCs w:val="15"/>
                <w:color w:val="auto"/>
              </w:rPr>
            </w:pPr>
          </w:p>
        </w:tc>
        <w:tc>
          <w:tcPr>
            <w:tcW w:w="100" w:type="dxa"/>
            <w:vAlign w:val="bottom"/>
            <w:shd w:val="clear" w:color="auto" w:fill="FDFDFC"/>
          </w:tcPr>
          <w:p>
            <w:pPr>
              <w:spacing w:after="0"/>
              <w:rPr>
                <w:sz w:val="15"/>
                <w:szCs w:val="15"/>
                <w:color w:val="auto"/>
              </w:rPr>
            </w:pPr>
          </w:p>
        </w:tc>
        <w:tc>
          <w:tcPr>
            <w:tcW w:w="800" w:type="dxa"/>
            <w:vAlign w:val="bottom"/>
            <w:shd w:val="clear" w:color="auto" w:fill="FDFDFC"/>
          </w:tcPr>
          <w:p>
            <w:pPr>
              <w:spacing w:after="0"/>
              <w:rPr>
                <w:sz w:val="15"/>
                <w:szCs w:val="15"/>
                <w:color w:val="auto"/>
              </w:rPr>
            </w:pPr>
          </w:p>
        </w:tc>
        <w:tc>
          <w:tcPr>
            <w:tcW w:w="220" w:type="dxa"/>
            <w:vAlign w:val="bottom"/>
            <w:shd w:val="clear" w:color="auto" w:fill="FDFDFC"/>
          </w:tcPr>
          <w:p>
            <w:pPr>
              <w:spacing w:after="0"/>
              <w:rPr>
                <w:sz w:val="15"/>
                <w:szCs w:val="15"/>
                <w:color w:val="auto"/>
              </w:rPr>
            </w:pPr>
          </w:p>
        </w:tc>
        <w:tc>
          <w:tcPr>
            <w:tcW w:w="760" w:type="dxa"/>
            <w:vAlign w:val="bottom"/>
            <w:shd w:val="clear" w:color="auto" w:fill="FDFDFC"/>
          </w:tcPr>
          <w:p>
            <w:pPr>
              <w:spacing w:after="0"/>
              <w:rPr>
                <w:sz w:val="15"/>
                <w:szCs w:val="15"/>
                <w:color w:val="auto"/>
              </w:rPr>
            </w:pPr>
          </w:p>
        </w:tc>
        <w:tc>
          <w:tcPr>
            <w:tcW w:w="220" w:type="dxa"/>
            <w:vAlign w:val="bottom"/>
            <w:shd w:val="clear" w:color="auto" w:fill="FDFDFC"/>
          </w:tcPr>
          <w:p>
            <w:pPr>
              <w:spacing w:after="0"/>
              <w:rPr>
                <w:sz w:val="15"/>
                <w:szCs w:val="15"/>
                <w:color w:val="auto"/>
              </w:rPr>
            </w:pPr>
          </w:p>
        </w:tc>
        <w:tc>
          <w:tcPr>
            <w:tcW w:w="140" w:type="dxa"/>
            <w:vAlign w:val="bottom"/>
            <w:shd w:val="clear" w:color="auto" w:fill="FDFDFC"/>
          </w:tcPr>
          <w:p>
            <w:pPr>
              <w:spacing w:after="0"/>
              <w:rPr>
                <w:sz w:val="15"/>
                <w:szCs w:val="15"/>
                <w:color w:val="auto"/>
              </w:rPr>
            </w:pPr>
          </w:p>
        </w:tc>
        <w:tc>
          <w:tcPr>
            <w:tcW w:w="860" w:type="dxa"/>
            <w:vAlign w:val="bottom"/>
            <w:shd w:val="clear" w:color="auto" w:fill="FDFDFC"/>
          </w:tcPr>
          <w:p>
            <w:pPr>
              <w:spacing w:after="0"/>
              <w:rPr>
                <w:sz w:val="15"/>
                <w:szCs w:val="15"/>
                <w:color w:val="auto"/>
              </w:rPr>
            </w:pPr>
          </w:p>
        </w:tc>
        <w:tc>
          <w:tcPr>
            <w:tcW w:w="180" w:type="dxa"/>
            <w:vAlign w:val="bottom"/>
            <w:shd w:val="clear" w:color="auto" w:fill="FDFDFC"/>
          </w:tcPr>
          <w:p>
            <w:pPr>
              <w:spacing w:after="0"/>
              <w:rPr>
                <w:sz w:val="15"/>
                <w:szCs w:val="15"/>
                <w:color w:val="auto"/>
              </w:rPr>
            </w:pPr>
          </w:p>
        </w:tc>
        <w:tc>
          <w:tcPr>
            <w:tcW w:w="80" w:type="dxa"/>
            <w:vAlign w:val="bottom"/>
            <w:shd w:val="clear" w:color="auto" w:fill="FDFDFC"/>
          </w:tcPr>
          <w:p>
            <w:pPr>
              <w:spacing w:after="0"/>
              <w:rPr>
                <w:sz w:val="15"/>
                <w:szCs w:val="15"/>
                <w:color w:val="auto"/>
              </w:rPr>
            </w:pPr>
          </w:p>
        </w:tc>
        <w:tc>
          <w:tcPr>
            <w:tcW w:w="880" w:type="dxa"/>
            <w:vAlign w:val="bottom"/>
            <w:shd w:val="clear" w:color="auto" w:fill="FDFDFC"/>
          </w:tcPr>
          <w:p>
            <w:pPr>
              <w:spacing w:after="0"/>
              <w:rPr>
                <w:sz w:val="15"/>
                <w:szCs w:val="15"/>
                <w:color w:val="auto"/>
              </w:rPr>
            </w:pPr>
          </w:p>
        </w:tc>
        <w:tc>
          <w:tcPr>
            <w:tcW w:w="220" w:type="dxa"/>
            <w:vAlign w:val="bottom"/>
            <w:tcBorders>
              <w:right w:val="single" w:sz="8" w:color="FDFDFC"/>
            </w:tcBorders>
            <w:shd w:val="clear" w:color="auto" w:fill="FDFDFC"/>
          </w:tcPr>
          <w:p>
            <w:pPr>
              <w:spacing w:after="0"/>
              <w:rPr>
                <w:sz w:val="15"/>
                <w:szCs w:val="15"/>
                <w:color w:val="auto"/>
              </w:rPr>
            </w:pPr>
          </w:p>
        </w:tc>
        <w:tc>
          <w:tcPr>
            <w:tcW w:w="880" w:type="dxa"/>
            <w:vAlign w:val="bottom"/>
            <w:shd w:val="clear" w:color="auto" w:fill="FDFDFC"/>
          </w:tcPr>
          <w:p>
            <w:pPr>
              <w:spacing w:after="0"/>
              <w:rPr>
                <w:sz w:val="15"/>
                <w:szCs w:val="15"/>
                <w:color w:val="auto"/>
              </w:rPr>
            </w:pPr>
          </w:p>
        </w:tc>
        <w:tc>
          <w:tcPr>
            <w:tcW w:w="240" w:type="dxa"/>
            <w:vAlign w:val="bottom"/>
            <w:shd w:val="clear" w:color="auto" w:fill="FDFDFC"/>
          </w:tcPr>
          <w:p>
            <w:pPr>
              <w:spacing w:after="0"/>
              <w:rPr>
                <w:sz w:val="15"/>
                <w:szCs w:val="15"/>
                <w:color w:val="auto"/>
              </w:rPr>
            </w:pPr>
          </w:p>
        </w:tc>
        <w:tc>
          <w:tcPr>
            <w:tcW w:w="0" w:type="dxa"/>
            <w:vAlign w:val="bottom"/>
          </w:tcPr>
          <w:p>
            <w:pPr>
              <w:spacing w:after="0"/>
              <w:rPr>
                <w:sz w:val="1"/>
                <w:szCs w:val="1"/>
                <w:color w:val="auto"/>
              </w:rPr>
            </w:pPr>
          </w:p>
        </w:tc>
      </w:tr>
      <w:tr>
        <w:trPr>
          <w:trHeight w:val="158"/>
        </w:trPr>
        <w:tc>
          <w:tcPr>
            <w:tcW w:w="1420" w:type="dxa"/>
            <w:vAlign w:val="bottom"/>
            <w:shd w:val="clear" w:color="auto" w:fill="D0EBF2"/>
          </w:tcPr>
          <w:p>
            <w:pPr>
              <w:spacing w:after="0" w:line="159" w:lineRule="exact"/>
              <w:rPr>
                <w:sz w:val="20"/>
                <w:szCs w:val="20"/>
                <w:color w:val="auto"/>
              </w:rPr>
            </w:pPr>
            <w:r>
              <w:rPr>
                <w:rFonts w:ascii="Times New Roman" w:cs="Times New Roman" w:eastAsia="Times New Roman" w:hAnsi="Times New Roman"/>
                <w:sz w:val="15"/>
                <w:szCs w:val="15"/>
                <w:color w:val="231F20"/>
              </w:rPr>
              <w:t>Acceo Solutions,</w:t>
            </w:r>
          </w:p>
        </w:tc>
        <w:tc>
          <w:tcPr>
            <w:tcW w:w="100" w:type="dxa"/>
            <w:vAlign w:val="bottom"/>
            <w:shd w:val="clear" w:color="auto" w:fill="D0EBF2"/>
          </w:tcPr>
          <w:p>
            <w:pPr>
              <w:spacing w:after="0"/>
              <w:rPr>
                <w:sz w:val="13"/>
                <w:szCs w:val="13"/>
                <w:color w:val="auto"/>
              </w:rPr>
            </w:pPr>
          </w:p>
        </w:tc>
        <w:tc>
          <w:tcPr>
            <w:tcW w:w="2340" w:type="dxa"/>
            <w:vAlign w:val="bottom"/>
            <w:shd w:val="clear" w:color="auto" w:fill="D0EBF2"/>
          </w:tcPr>
          <w:p>
            <w:pPr>
              <w:spacing w:after="0" w:line="159" w:lineRule="exact"/>
              <w:rPr>
                <w:sz w:val="20"/>
                <w:szCs w:val="20"/>
                <w:color w:val="auto"/>
              </w:rPr>
            </w:pPr>
            <w:r>
              <w:rPr>
                <w:rFonts w:ascii="Times New Roman" w:cs="Times New Roman" w:eastAsia="Times New Roman" w:hAnsi="Times New Roman"/>
                <w:sz w:val="15"/>
                <w:szCs w:val="15"/>
                <w:color w:val="231F20"/>
              </w:rPr>
              <w:t>First-lien loan (CAD 52,941 par, due</w:t>
            </w:r>
          </w:p>
        </w:tc>
        <w:tc>
          <w:tcPr>
            <w:tcW w:w="840" w:type="dxa"/>
            <w:vAlign w:val="bottom"/>
            <w:gridSpan w:val="2"/>
            <w:shd w:val="clear" w:color="auto" w:fill="D0EBF2"/>
          </w:tcPr>
          <w:p>
            <w:pPr>
              <w:jc w:val="right"/>
              <w:spacing w:after="0" w:line="159" w:lineRule="exact"/>
              <w:rPr>
                <w:sz w:val="20"/>
                <w:szCs w:val="20"/>
                <w:color w:val="auto"/>
              </w:rPr>
            </w:pPr>
            <w:r>
              <w:rPr>
                <w:rFonts w:ascii="Times New Roman" w:cs="Times New Roman" w:eastAsia="Times New Roman" w:hAnsi="Times New Roman"/>
                <w:sz w:val="15"/>
                <w:szCs w:val="15"/>
                <w:color w:val="231F20"/>
              </w:rPr>
              <w:t>7/6/2018</w:t>
            </w:r>
          </w:p>
        </w:tc>
        <w:tc>
          <w:tcPr>
            <w:tcW w:w="100" w:type="dxa"/>
            <w:vAlign w:val="bottom"/>
            <w:shd w:val="clear" w:color="auto" w:fill="D0EBF2"/>
          </w:tcPr>
          <w:p>
            <w:pPr>
              <w:spacing w:after="0"/>
              <w:rPr>
                <w:sz w:val="13"/>
                <w:szCs w:val="13"/>
                <w:color w:val="auto"/>
              </w:rPr>
            </w:pPr>
          </w:p>
        </w:tc>
        <w:tc>
          <w:tcPr>
            <w:tcW w:w="1020" w:type="dxa"/>
            <w:vAlign w:val="bottom"/>
            <w:gridSpan w:val="2"/>
            <w:shd w:val="clear" w:color="auto" w:fill="D0EBF2"/>
          </w:tcPr>
          <w:p>
            <w:pPr>
              <w:jc w:val="right"/>
              <w:ind w:right="240"/>
              <w:spacing w:after="0" w:line="159" w:lineRule="exact"/>
              <w:rPr>
                <w:sz w:val="20"/>
                <w:szCs w:val="20"/>
                <w:color w:val="auto"/>
              </w:rPr>
            </w:pPr>
            <w:r>
              <w:rPr>
                <w:rFonts w:ascii="Times New Roman" w:cs="Times New Roman" w:eastAsia="Times New Roman" w:hAnsi="Times New Roman"/>
                <w:sz w:val="15"/>
                <w:szCs w:val="15"/>
                <w:color w:val="231F20"/>
              </w:rPr>
              <w:t>C + 4.75%</w:t>
            </w:r>
          </w:p>
        </w:tc>
        <w:tc>
          <w:tcPr>
            <w:tcW w:w="980" w:type="dxa"/>
            <w:vAlign w:val="bottom"/>
            <w:gridSpan w:val="2"/>
            <w:shd w:val="clear" w:color="auto" w:fill="D0EBF2"/>
          </w:tcPr>
          <w:p>
            <w:pPr>
              <w:jc w:val="right"/>
              <w:ind w:right="100"/>
              <w:spacing w:after="0" w:line="159" w:lineRule="exact"/>
              <w:rPr>
                <w:sz w:val="20"/>
                <w:szCs w:val="20"/>
                <w:color w:val="auto"/>
              </w:rPr>
            </w:pPr>
            <w:r>
              <w:rPr>
                <w:rFonts w:ascii="Times New Roman" w:cs="Times New Roman" w:eastAsia="Times New Roman" w:hAnsi="Times New Roman"/>
                <w:sz w:val="15"/>
                <w:szCs w:val="15"/>
                <w:color w:val="231F20"/>
              </w:rPr>
              <w:t>10.21%</w:t>
            </w:r>
          </w:p>
        </w:tc>
        <w:tc>
          <w:tcPr>
            <w:tcW w:w="140" w:type="dxa"/>
            <w:vAlign w:val="bottom"/>
            <w:shd w:val="clear" w:color="auto" w:fill="D0EBF2"/>
          </w:tcPr>
          <w:p>
            <w:pPr>
              <w:spacing w:after="0"/>
              <w:rPr>
                <w:sz w:val="13"/>
                <w:szCs w:val="13"/>
                <w:color w:val="auto"/>
              </w:rPr>
            </w:pPr>
          </w:p>
        </w:tc>
        <w:tc>
          <w:tcPr>
            <w:tcW w:w="860" w:type="dxa"/>
            <w:vAlign w:val="bottom"/>
            <w:shd w:val="clear" w:color="auto" w:fill="D0EBF2"/>
          </w:tcPr>
          <w:p>
            <w:pPr>
              <w:jc w:val="right"/>
              <w:spacing w:after="0" w:line="159" w:lineRule="exact"/>
              <w:rPr>
                <w:sz w:val="20"/>
                <w:szCs w:val="20"/>
                <w:color w:val="auto"/>
              </w:rPr>
            </w:pPr>
            <w:r>
              <w:rPr>
                <w:rFonts w:ascii="Times New Roman" w:cs="Times New Roman" w:eastAsia="Times New Roman" w:hAnsi="Times New Roman"/>
                <w:sz w:val="15"/>
                <w:szCs w:val="15"/>
                <w:color w:val="231F20"/>
              </w:rPr>
              <w:t>40,026</w:t>
            </w:r>
          </w:p>
        </w:tc>
        <w:tc>
          <w:tcPr>
            <w:tcW w:w="180" w:type="dxa"/>
            <w:vAlign w:val="bottom"/>
            <w:shd w:val="clear" w:color="auto" w:fill="D0EBF2"/>
          </w:tcPr>
          <w:p>
            <w:pPr>
              <w:spacing w:after="0"/>
              <w:rPr>
                <w:sz w:val="13"/>
                <w:szCs w:val="13"/>
                <w:color w:val="auto"/>
              </w:rPr>
            </w:pPr>
          </w:p>
        </w:tc>
        <w:tc>
          <w:tcPr>
            <w:tcW w:w="80" w:type="dxa"/>
            <w:vAlign w:val="bottom"/>
            <w:shd w:val="clear" w:color="auto" w:fill="D0EBF2"/>
          </w:tcPr>
          <w:p>
            <w:pPr>
              <w:spacing w:after="0"/>
              <w:rPr>
                <w:sz w:val="13"/>
                <w:szCs w:val="13"/>
                <w:color w:val="auto"/>
              </w:rPr>
            </w:pPr>
          </w:p>
        </w:tc>
        <w:tc>
          <w:tcPr>
            <w:tcW w:w="880" w:type="dxa"/>
            <w:vAlign w:val="bottom"/>
            <w:shd w:val="clear" w:color="auto" w:fill="D0EBF2"/>
          </w:tcPr>
          <w:p>
            <w:pPr>
              <w:jc w:val="right"/>
              <w:spacing w:after="0" w:line="159" w:lineRule="exact"/>
              <w:rPr>
                <w:sz w:val="20"/>
                <w:szCs w:val="20"/>
                <w:color w:val="auto"/>
              </w:rPr>
            </w:pPr>
            <w:r>
              <w:rPr>
                <w:rFonts w:ascii="Times New Roman" w:cs="Times New Roman" w:eastAsia="Times New Roman" w:hAnsi="Times New Roman"/>
                <w:sz w:val="15"/>
                <w:szCs w:val="15"/>
                <w:color w:val="231F20"/>
              </w:rPr>
              <w:t>40,150</w:t>
            </w:r>
          </w:p>
        </w:tc>
        <w:tc>
          <w:tcPr>
            <w:tcW w:w="1340" w:type="dxa"/>
            <w:vAlign w:val="bottom"/>
            <w:gridSpan w:val="3"/>
            <w:shd w:val="clear" w:color="auto" w:fill="D0EBF2"/>
          </w:tcPr>
          <w:p>
            <w:pPr>
              <w:jc w:val="right"/>
              <w:ind w:right="120"/>
              <w:spacing w:after="0" w:line="159" w:lineRule="exact"/>
              <w:rPr>
                <w:sz w:val="20"/>
                <w:szCs w:val="20"/>
                <w:color w:val="auto"/>
              </w:rPr>
            </w:pPr>
            <w:r>
              <w:rPr>
                <w:rFonts w:ascii="Times New Roman" w:cs="Times New Roman" w:eastAsia="Times New Roman" w:hAnsi="Times New Roman"/>
                <w:sz w:val="15"/>
                <w:szCs w:val="15"/>
                <w:color w:val="231F20"/>
              </w:rPr>
              <w:t>2.7%</w:t>
            </w:r>
          </w:p>
        </w:tc>
        <w:tc>
          <w:tcPr>
            <w:tcW w:w="0" w:type="dxa"/>
            <w:vAlign w:val="bottom"/>
          </w:tcPr>
          <w:p>
            <w:pPr>
              <w:spacing w:after="0"/>
              <w:rPr>
                <w:sz w:val="1"/>
                <w:szCs w:val="1"/>
                <w:color w:val="auto"/>
              </w:rPr>
            </w:pPr>
          </w:p>
        </w:tc>
      </w:tr>
      <w:tr>
        <w:trPr>
          <w:trHeight w:val="174"/>
        </w:trPr>
        <w:tc>
          <w:tcPr>
            <w:tcW w:w="1420" w:type="dxa"/>
            <w:vAlign w:val="bottom"/>
            <w:shd w:val="clear" w:color="auto" w:fill="D0EBF2"/>
          </w:tcPr>
          <w:p>
            <w:pPr>
              <w:spacing w:after="0" w:line="174" w:lineRule="exact"/>
              <w:rPr>
                <w:sz w:val="20"/>
                <w:szCs w:val="20"/>
                <w:color w:val="auto"/>
              </w:rPr>
            </w:pPr>
            <w:r>
              <w:rPr>
                <w:rFonts w:ascii="Times New Roman" w:cs="Times New Roman" w:eastAsia="Times New Roman" w:hAnsi="Times New Roman"/>
                <w:sz w:val="20"/>
                <w:szCs w:val="20"/>
                <w:color w:val="231F20"/>
                <w:vertAlign w:val="subscript"/>
              </w:rPr>
              <w:t>Inc.</w:t>
            </w:r>
            <w:r>
              <w:rPr>
                <w:rFonts w:ascii="Times New Roman" w:cs="Times New Roman" w:eastAsia="Times New Roman" w:hAnsi="Times New Roman"/>
                <w:sz w:val="8"/>
                <w:szCs w:val="8"/>
                <w:color w:val="231F20"/>
              </w:rPr>
              <w:t xml:space="preserve"> (3)(4)(5)</w:t>
            </w:r>
          </w:p>
        </w:tc>
        <w:tc>
          <w:tcPr>
            <w:tcW w:w="2440" w:type="dxa"/>
            <w:vAlign w:val="bottom"/>
            <w:gridSpan w:val="2"/>
            <w:shd w:val="clear" w:color="auto" w:fill="D0EBF2"/>
          </w:tcPr>
          <w:p>
            <w:pPr>
              <w:ind w:left="100"/>
              <w:spacing w:after="0"/>
              <w:rPr>
                <w:sz w:val="20"/>
                <w:szCs w:val="20"/>
                <w:color w:val="auto"/>
              </w:rPr>
            </w:pPr>
            <w:r>
              <w:rPr>
                <w:rFonts w:ascii="Times New Roman" w:cs="Times New Roman" w:eastAsia="Times New Roman" w:hAnsi="Times New Roman"/>
                <w:sz w:val="15"/>
                <w:szCs w:val="15"/>
                <w:color w:val="231F20"/>
              </w:rPr>
              <w:t>10/2025)</w:t>
            </w:r>
          </w:p>
        </w:tc>
        <w:tc>
          <w:tcPr>
            <w:tcW w:w="80" w:type="dxa"/>
            <w:vAlign w:val="bottom"/>
            <w:shd w:val="clear" w:color="auto" w:fill="D0EBF2"/>
          </w:tcPr>
          <w:p>
            <w:pPr>
              <w:spacing w:after="0"/>
              <w:rPr>
                <w:sz w:val="15"/>
                <w:szCs w:val="15"/>
                <w:color w:val="auto"/>
              </w:rPr>
            </w:pPr>
          </w:p>
        </w:tc>
        <w:tc>
          <w:tcPr>
            <w:tcW w:w="760" w:type="dxa"/>
            <w:vAlign w:val="bottom"/>
            <w:shd w:val="clear" w:color="auto" w:fill="D0EBF2"/>
          </w:tcPr>
          <w:p>
            <w:pPr>
              <w:spacing w:after="0"/>
              <w:rPr>
                <w:sz w:val="15"/>
                <w:szCs w:val="15"/>
                <w:color w:val="auto"/>
              </w:rPr>
            </w:pPr>
          </w:p>
        </w:tc>
        <w:tc>
          <w:tcPr>
            <w:tcW w:w="100" w:type="dxa"/>
            <w:vAlign w:val="bottom"/>
            <w:shd w:val="clear" w:color="auto" w:fill="D0EBF2"/>
          </w:tcPr>
          <w:p>
            <w:pPr>
              <w:spacing w:after="0"/>
              <w:rPr>
                <w:sz w:val="15"/>
                <w:szCs w:val="15"/>
                <w:color w:val="auto"/>
              </w:rPr>
            </w:pPr>
          </w:p>
        </w:tc>
        <w:tc>
          <w:tcPr>
            <w:tcW w:w="800" w:type="dxa"/>
            <w:vAlign w:val="bottom"/>
            <w:shd w:val="clear" w:color="auto" w:fill="D0EBF2"/>
          </w:tcPr>
          <w:p>
            <w:pPr>
              <w:spacing w:after="0"/>
              <w:rPr>
                <w:sz w:val="15"/>
                <w:szCs w:val="15"/>
                <w:color w:val="auto"/>
              </w:rPr>
            </w:pPr>
          </w:p>
        </w:tc>
        <w:tc>
          <w:tcPr>
            <w:tcW w:w="220" w:type="dxa"/>
            <w:vAlign w:val="bottom"/>
            <w:shd w:val="clear" w:color="auto" w:fill="D0EBF2"/>
          </w:tcPr>
          <w:p>
            <w:pPr>
              <w:spacing w:after="0"/>
              <w:rPr>
                <w:sz w:val="15"/>
                <w:szCs w:val="15"/>
                <w:color w:val="auto"/>
              </w:rPr>
            </w:pPr>
          </w:p>
        </w:tc>
        <w:tc>
          <w:tcPr>
            <w:tcW w:w="760" w:type="dxa"/>
            <w:vAlign w:val="bottom"/>
            <w:shd w:val="clear" w:color="auto" w:fill="D0EBF2"/>
          </w:tcPr>
          <w:p>
            <w:pPr>
              <w:spacing w:after="0"/>
              <w:rPr>
                <w:sz w:val="15"/>
                <w:szCs w:val="15"/>
                <w:color w:val="auto"/>
              </w:rPr>
            </w:pPr>
          </w:p>
        </w:tc>
        <w:tc>
          <w:tcPr>
            <w:tcW w:w="220" w:type="dxa"/>
            <w:vAlign w:val="bottom"/>
            <w:shd w:val="clear" w:color="auto" w:fill="D0EBF2"/>
          </w:tcPr>
          <w:p>
            <w:pPr>
              <w:spacing w:after="0"/>
              <w:rPr>
                <w:sz w:val="15"/>
                <w:szCs w:val="15"/>
                <w:color w:val="auto"/>
              </w:rPr>
            </w:pPr>
          </w:p>
        </w:tc>
        <w:tc>
          <w:tcPr>
            <w:tcW w:w="140" w:type="dxa"/>
            <w:vAlign w:val="bottom"/>
            <w:shd w:val="clear" w:color="auto" w:fill="D0EBF2"/>
          </w:tcPr>
          <w:p>
            <w:pPr>
              <w:spacing w:after="0"/>
              <w:rPr>
                <w:sz w:val="15"/>
                <w:szCs w:val="15"/>
                <w:color w:val="auto"/>
              </w:rPr>
            </w:pPr>
          </w:p>
        </w:tc>
        <w:tc>
          <w:tcPr>
            <w:tcW w:w="860" w:type="dxa"/>
            <w:vAlign w:val="bottom"/>
            <w:shd w:val="clear" w:color="auto" w:fill="D0EBF2"/>
          </w:tcPr>
          <w:p>
            <w:pPr>
              <w:spacing w:after="0"/>
              <w:rPr>
                <w:sz w:val="15"/>
                <w:szCs w:val="15"/>
                <w:color w:val="auto"/>
              </w:rPr>
            </w:pPr>
          </w:p>
        </w:tc>
        <w:tc>
          <w:tcPr>
            <w:tcW w:w="180" w:type="dxa"/>
            <w:vAlign w:val="bottom"/>
            <w:shd w:val="clear" w:color="auto" w:fill="D0EBF2"/>
          </w:tcPr>
          <w:p>
            <w:pPr>
              <w:spacing w:after="0"/>
              <w:rPr>
                <w:sz w:val="15"/>
                <w:szCs w:val="15"/>
                <w:color w:val="auto"/>
              </w:rPr>
            </w:pPr>
          </w:p>
        </w:tc>
        <w:tc>
          <w:tcPr>
            <w:tcW w:w="80" w:type="dxa"/>
            <w:vAlign w:val="bottom"/>
            <w:shd w:val="clear" w:color="auto" w:fill="D0EBF2"/>
          </w:tcPr>
          <w:p>
            <w:pPr>
              <w:spacing w:after="0"/>
              <w:rPr>
                <w:sz w:val="15"/>
                <w:szCs w:val="15"/>
                <w:color w:val="auto"/>
              </w:rPr>
            </w:pPr>
          </w:p>
        </w:tc>
        <w:tc>
          <w:tcPr>
            <w:tcW w:w="880" w:type="dxa"/>
            <w:vAlign w:val="bottom"/>
            <w:shd w:val="clear" w:color="auto" w:fill="D0EBF2"/>
          </w:tcPr>
          <w:p>
            <w:pPr>
              <w:jc w:val="right"/>
              <w:spacing w:after="0"/>
              <w:rPr>
                <w:sz w:val="20"/>
                <w:szCs w:val="20"/>
                <w:color w:val="auto"/>
              </w:rPr>
            </w:pPr>
            <w:r>
              <w:rPr>
                <w:rFonts w:ascii="Times New Roman" w:cs="Times New Roman" w:eastAsia="Times New Roman" w:hAnsi="Times New Roman"/>
                <w:sz w:val="15"/>
                <w:szCs w:val="15"/>
                <w:color w:val="231F20"/>
              </w:rPr>
              <w:t>(CAD</w:t>
            </w:r>
          </w:p>
        </w:tc>
        <w:tc>
          <w:tcPr>
            <w:tcW w:w="220" w:type="dxa"/>
            <w:vAlign w:val="bottom"/>
            <w:tcBorders>
              <w:right w:val="single" w:sz="8" w:color="D0EBF2"/>
            </w:tcBorders>
            <w:shd w:val="clear" w:color="auto" w:fill="D0EBF2"/>
          </w:tcPr>
          <w:p>
            <w:pPr>
              <w:spacing w:after="0"/>
              <w:rPr>
                <w:sz w:val="15"/>
                <w:szCs w:val="15"/>
                <w:color w:val="auto"/>
              </w:rPr>
            </w:pPr>
          </w:p>
        </w:tc>
        <w:tc>
          <w:tcPr>
            <w:tcW w:w="880" w:type="dxa"/>
            <w:vAlign w:val="bottom"/>
            <w:shd w:val="clear" w:color="auto" w:fill="D0EBF2"/>
          </w:tcPr>
          <w:p>
            <w:pPr>
              <w:spacing w:after="0"/>
              <w:rPr>
                <w:sz w:val="15"/>
                <w:szCs w:val="15"/>
                <w:color w:val="auto"/>
              </w:rPr>
            </w:pPr>
          </w:p>
        </w:tc>
        <w:tc>
          <w:tcPr>
            <w:tcW w:w="240" w:type="dxa"/>
            <w:vAlign w:val="bottom"/>
            <w:shd w:val="clear" w:color="auto" w:fill="D0EBF2"/>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1420" w:type="dxa"/>
            <w:vAlign w:val="bottom"/>
            <w:shd w:val="clear" w:color="auto" w:fill="D0EBF2"/>
          </w:tcPr>
          <w:p>
            <w:pPr>
              <w:spacing w:after="0"/>
              <w:rPr>
                <w:sz w:val="16"/>
                <w:szCs w:val="16"/>
                <w:color w:val="auto"/>
              </w:rPr>
            </w:pPr>
          </w:p>
        </w:tc>
        <w:tc>
          <w:tcPr>
            <w:tcW w:w="100" w:type="dxa"/>
            <w:vAlign w:val="bottom"/>
            <w:shd w:val="clear" w:color="auto" w:fill="D0EBF2"/>
          </w:tcPr>
          <w:p>
            <w:pPr>
              <w:spacing w:after="0"/>
              <w:rPr>
                <w:sz w:val="16"/>
                <w:szCs w:val="16"/>
                <w:color w:val="auto"/>
              </w:rPr>
            </w:pPr>
          </w:p>
        </w:tc>
        <w:tc>
          <w:tcPr>
            <w:tcW w:w="2340" w:type="dxa"/>
            <w:vAlign w:val="bottom"/>
            <w:shd w:val="clear" w:color="auto" w:fill="D0EBF2"/>
          </w:tcPr>
          <w:p>
            <w:pPr>
              <w:spacing w:after="0"/>
              <w:rPr>
                <w:sz w:val="16"/>
                <w:szCs w:val="16"/>
                <w:color w:val="auto"/>
              </w:rPr>
            </w:pPr>
          </w:p>
        </w:tc>
        <w:tc>
          <w:tcPr>
            <w:tcW w:w="80" w:type="dxa"/>
            <w:vAlign w:val="bottom"/>
            <w:shd w:val="clear" w:color="auto" w:fill="D0EBF2"/>
          </w:tcPr>
          <w:p>
            <w:pPr>
              <w:spacing w:after="0"/>
              <w:rPr>
                <w:sz w:val="16"/>
                <w:szCs w:val="16"/>
                <w:color w:val="auto"/>
              </w:rPr>
            </w:pPr>
          </w:p>
        </w:tc>
        <w:tc>
          <w:tcPr>
            <w:tcW w:w="760" w:type="dxa"/>
            <w:vAlign w:val="bottom"/>
            <w:shd w:val="clear" w:color="auto" w:fill="D0EBF2"/>
          </w:tcPr>
          <w:p>
            <w:pPr>
              <w:spacing w:after="0"/>
              <w:rPr>
                <w:sz w:val="16"/>
                <w:szCs w:val="16"/>
                <w:color w:val="auto"/>
              </w:rPr>
            </w:pPr>
          </w:p>
        </w:tc>
        <w:tc>
          <w:tcPr>
            <w:tcW w:w="100" w:type="dxa"/>
            <w:vAlign w:val="bottom"/>
            <w:shd w:val="clear" w:color="auto" w:fill="D0EBF2"/>
          </w:tcPr>
          <w:p>
            <w:pPr>
              <w:spacing w:after="0"/>
              <w:rPr>
                <w:sz w:val="16"/>
                <w:szCs w:val="16"/>
                <w:color w:val="auto"/>
              </w:rPr>
            </w:pPr>
          </w:p>
        </w:tc>
        <w:tc>
          <w:tcPr>
            <w:tcW w:w="800" w:type="dxa"/>
            <w:vAlign w:val="bottom"/>
            <w:shd w:val="clear" w:color="auto" w:fill="D0EBF2"/>
          </w:tcPr>
          <w:p>
            <w:pPr>
              <w:spacing w:after="0"/>
              <w:rPr>
                <w:sz w:val="16"/>
                <w:szCs w:val="16"/>
                <w:color w:val="auto"/>
              </w:rPr>
            </w:pPr>
          </w:p>
        </w:tc>
        <w:tc>
          <w:tcPr>
            <w:tcW w:w="220" w:type="dxa"/>
            <w:vAlign w:val="bottom"/>
            <w:shd w:val="clear" w:color="auto" w:fill="D0EBF2"/>
          </w:tcPr>
          <w:p>
            <w:pPr>
              <w:spacing w:after="0"/>
              <w:rPr>
                <w:sz w:val="16"/>
                <w:szCs w:val="16"/>
                <w:color w:val="auto"/>
              </w:rPr>
            </w:pPr>
          </w:p>
        </w:tc>
        <w:tc>
          <w:tcPr>
            <w:tcW w:w="760" w:type="dxa"/>
            <w:vAlign w:val="bottom"/>
            <w:shd w:val="clear" w:color="auto" w:fill="D0EBF2"/>
          </w:tcPr>
          <w:p>
            <w:pPr>
              <w:spacing w:after="0"/>
              <w:rPr>
                <w:sz w:val="16"/>
                <w:szCs w:val="16"/>
                <w:color w:val="auto"/>
              </w:rPr>
            </w:pPr>
          </w:p>
        </w:tc>
        <w:tc>
          <w:tcPr>
            <w:tcW w:w="220" w:type="dxa"/>
            <w:vAlign w:val="bottom"/>
            <w:shd w:val="clear" w:color="auto" w:fill="D0EBF2"/>
          </w:tcPr>
          <w:p>
            <w:pPr>
              <w:spacing w:after="0"/>
              <w:rPr>
                <w:sz w:val="16"/>
                <w:szCs w:val="16"/>
                <w:color w:val="auto"/>
              </w:rPr>
            </w:pPr>
          </w:p>
        </w:tc>
        <w:tc>
          <w:tcPr>
            <w:tcW w:w="140" w:type="dxa"/>
            <w:vAlign w:val="bottom"/>
            <w:shd w:val="clear" w:color="auto" w:fill="D0EBF2"/>
          </w:tcPr>
          <w:p>
            <w:pPr>
              <w:spacing w:after="0"/>
              <w:rPr>
                <w:sz w:val="16"/>
                <w:szCs w:val="16"/>
                <w:color w:val="auto"/>
              </w:rPr>
            </w:pPr>
          </w:p>
        </w:tc>
        <w:tc>
          <w:tcPr>
            <w:tcW w:w="860" w:type="dxa"/>
            <w:vAlign w:val="bottom"/>
            <w:shd w:val="clear" w:color="auto" w:fill="D0EBF2"/>
          </w:tcPr>
          <w:p>
            <w:pPr>
              <w:spacing w:after="0"/>
              <w:rPr>
                <w:sz w:val="16"/>
                <w:szCs w:val="16"/>
                <w:color w:val="auto"/>
              </w:rPr>
            </w:pPr>
          </w:p>
        </w:tc>
        <w:tc>
          <w:tcPr>
            <w:tcW w:w="180" w:type="dxa"/>
            <w:vAlign w:val="bottom"/>
            <w:shd w:val="clear" w:color="auto" w:fill="D0EBF2"/>
          </w:tcPr>
          <w:p>
            <w:pPr>
              <w:spacing w:after="0"/>
              <w:rPr>
                <w:sz w:val="16"/>
                <w:szCs w:val="16"/>
                <w:color w:val="auto"/>
              </w:rPr>
            </w:pPr>
          </w:p>
        </w:tc>
        <w:tc>
          <w:tcPr>
            <w:tcW w:w="80" w:type="dxa"/>
            <w:vAlign w:val="bottom"/>
            <w:shd w:val="clear" w:color="auto" w:fill="D0EBF2"/>
          </w:tcPr>
          <w:p>
            <w:pPr>
              <w:spacing w:after="0"/>
              <w:rPr>
                <w:sz w:val="16"/>
                <w:szCs w:val="16"/>
                <w:color w:val="auto"/>
              </w:rPr>
            </w:pPr>
          </w:p>
        </w:tc>
        <w:tc>
          <w:tcPr>
            <w:tcW w:w="880" w:type="dxa"/>
            <w:vAlign w:val="bottom"/>
            <w:shd w:val="clear" w:color="auto" w:fill="D0EBF2"/>
          </w:tcPr>
          <w:p>
            <w:pPr>
              <w:jc w:val="right"/>
              <w:spacing w:after="0"/>
              <w:rPr>
                <w:sz w:val="20"/>
                <w:szCs w:val="20"/>
                <w:color w:val="auto"/>
              </w:rPr>
            </w:pPr>
            <w:r>
              <w:rPr>
                <w:rFonts w:ascii="Times New Roman" w:cs="Times New Roman" w:eastAsia="Times New Roman" w:hAnsi="Times New Roman"/>
                <w:sz w:val="15"/>
                <w:szCs w:val="15"/>
                <w:color w:val="231F20"/>
              </w:rPr>
              <w:t>52,941)</w:t>
            </w:r>
          </w:p>
        </w:tc>
        <w:tc>
          <w:tcPr>
            <w:tcW w:w="220" w:type="dxa"/>
            <w:vAlign w:val="bottom"/>
            <w:tcBorders>
              <w:right w:val="single" w:sz="8" w:color="D0EBF2"/>
            </w:tcBorders>
            <w:shd w:val="clear" w:color="auto" w:fill="D0EBF2"/>
          </w:tcPr>
          <w:p>
            <w:pPr>
              <w:spacing w:after="0"/>
              <w:rPr>
                <w:sz w:val="16"/>
                <w:szCs w:val="16"/>
                <w:color w:val="auto"/>
              </w:rPr>
            </w:pPr>
          </w:p>
        </w:tc>
        <w:tc>
          <w:tcPr>
            <w:tcW w:w="880" w:type="dxa"/>
            <w:vAlign w:val="bottom"/>
            <w:shd w:val="clear" w:color="auto" w:fill="D0EBF2"/>
          </w:tcPr>
          <w:p>
            <w:pPr>
              <w:spacing w:after="0"/>
              <w:rPr>
                <w:sz w:val="16"/>
                <w:szCs w:val="16"/>
                <w:color w:val="auto"/>
              </w:rPr>
            </w:pPr>
          </w:p>
        </w:tc>
        <w:tc>
          <w:tcPr>
            <w:tcW w:w="240" w:type="dxa"/>
            <w:vAlign w:val="bottom"/>
            <w:shd w:val="clear" w:color="auto" w:fill="D0EBF2"/>
          </w:tcPr>
          <w:p>
            <w:pPr>
              <w:spacing w:after="0"/>
              <w:rPr>
                <w:sz w:val="16"/>
                <w:szCs w:val="16"/>
                <w:color w:val="auto"/>
              </w:rPr>
            </w:pPr>
          </w:p>
        </w:tc>
        <w:tc>
          <w:tcPr>
            <w:tcW w:w="0" w:type="dxa"/>
            <w:vAlign w:val="bottom"/>
          </w:tcPr>
          <w:p>
            <w:pPr>
              <w:spacing w:after="0"/>
              <w:rPr>
                <w:sz w:val="1"/>
                <w:szCs w:val="1"/>
                <w:color w:val="auto"/>
              </w:rPr>
            </w:pPr>
          </w:p>
        </w:tc>
      </w:tr>
      <w:tr>
        <w:trPr>
          <w:trHeight w:val="158"/>
        </w:trPr>
        <w:tc>
          <w:tcPr>
            <w:tcW w:w="1420" w:type="dxa"/>
            <w:vAlign w:val="bottom"/>
            <w:shd w:val="clear" w:color="auto" w:fill="FDFDFC"/>
          </w:tcPr>
          <w:p>
            <w:pPr>
              <w:spacing w:after="0" w:line="159" w:lineRule="exact"/>
              <w:rPr>
                <w:sz w:val="20"/>
                <w:szCs w:val="20"/>
                <w:color w:val="auto"/>
              </w:rPr>
            </w:pPr>
            <w:r>
              <w:rPr>
                <w:rFonts w:ascii="Times New Roman" w:cs="Times New Roman" w:eastAsia="Times New Roman" w:hAnsi="Times New Roman"/>
                <w:sz w:val="15"/>
                <w:szCs w:val="15"/>
                <w:color w:val="231F20"/>
              </w:rPr>
              <w:t xml:space="preserve">Alpha Midco, Inc. </w:t>
            </w:r>
            <w:r>
              <w:rPr>
                <w:rFonts w:ascii="Times New Roman" w:cs="Times New Roman" w:eastAsia="Times New Roman" w:hAnsi="Times New Roman"/>
                <w:sz w:val="9"/>
                <w:szCs w:val="9"/>
                <w:color w:val="231F20"/>
              </w:rPr>
              <w:t>(3)(5)</w:t>
            </w:r>
          </w:p>
        </w:tc>
        <w:tc>
          <w:tcPr>
            <w:tcW w:w="100" w:type="dxa"/>
            <w:vAlign w:val="bottom"/>
            <w:shd w:val="clear" w:color="auto" w:fill="FDFDFC"/>
          </w:tcPr>
          <w:p>
            <w:pPr>
              <w:spacing w:after="0"/>
              <w:rPr>
                <w:sz w:val="13"/>
                <w:szCs w:val="13"/>
                <w:color w:val="auto"/>
              </w:rPr>
            </w:pPr>
          </w:p>
        </w:tc>
        <w:tc>
          <w:tcPr>
            <w:tcW w:w="2340" w:type="dxa"/>
            <w:vAlign w:val="bottom"/>
            <w:shd w:val="clear" w:color="auto" w:fill="FDFDFC"/>
          </w:tcPr>
          <w:p>
            <w:pPr>
              <w:spacing w:after="0" w:line="159" w:lineRule="exact"/>
              <w:rPr>
                <w:sz w:val="20"/>
                <w:szCs w:val="20"/>
                <w:color w:val="auto"/>
              </w:rPr>
            </w:pPr>
            <w:r>
              <w:rPr>
                <w:rFonts w:ascii="Times New Roman" w:cs="Times New Roman" w:eastAsia="Times New Roman" w:hAnsi="Times New Roman"/>
                <w:sz w:val="15"/>
                <w:szCs w:val="15"/>
                <w:color w:val="231F20"/>
              </w:rPr>
              <w:t>First-lien loan ($68,885 par, due</w:t>
            </w:r>
          </w:p>
        </w:tc>
        <w:tc>
          <w:tcPr>
            <w:tcW w:w="840" w:type="dxa"/>
            <w:vAlign w:val="bottom"/>
            <w:gridSpan w:val="2"/>
            <w:shd w:val="clear" w:color="auto" w:fill="FDFDFC"/>
          </w:tcPr>
          <w:p>
            <w:pPr>
              <w:jc w:val="right"/>
              <w:spacing w:after="0" w:line="159" w:lineRule="exact"/>
              <w:rPr>
                <w:sz w:val="20"/>
                <w:szCs w:val="20"/>
                <w:color w:val="auto"/>
              </w:rPr>
            </w:pPr>
            <w:r>
              <w:rPr>
                <w:rFonts w:ascii="Times New Roman" w:cs="Times New Roman" w:eastAsia="Times New Roman" w:hAnsi="Times New Roman"/>
                <w:sz w:val="15"/>
                <w:szCs w:val="15"/>
                <w:color w:val="231F20"/>
              </w:rPr>
              <w:t>8/15/2019</w:t>
            </w:r>
          </w:p>
        </w:tc>
        <w:tc>
          <w:tcPr>
            <w:tcW w:w="100" w:type="dxa"/>
            <w:vAlign w:val="bottom"/>
            <w:shd w:val="clear" w:color="auto" w:fill="FDFDFC"/>
          </w:tcPr>
          <w:p>
            <w:pPr>
              <w:spacing w:after="0"/>
              <w:rPr>
                <w:sz w:val="13"/>
                <w:szCs w:val="13"/>
                <w:color w:val="auto"/>
              </w:rPr>
            </w:pPr>
          </w:p>
        </w:tc>
        <w:tc>
          <w:tcPr>
            <w:tcW w:w="1020" w:type="dxa"/>
            <w:vAlign w:val="bottom"/>
            <w:gridSpan w:val="2"/>
            <w:shd w:val="clear" w:color="auto" w:fill="FDFDFC"/>
          </w:tcPr>
          <w:p>
            <w:pPr>
              <w:jc w:val="right"/>
              <w:ind w:right="240"/>
              <w:spacing w:after="0" w:line="159" w:lineRule="exact"/>
              <w:rPr>
                <w:sz w:val="20"/>
                <w:szCs w:val="20"/>
                <w:color w:val="auto"/>
              </w:rPr>
            </w:pPr>
            <w:r>
              <w:rPr>
                <w:rFonts w:ascii="Times New Roman" w:cs="Times New Roman" w:eastAsia="Times New Roman" w:hAnsi="Times New Roman"/>
                <w:sz w:val="15"/>
                <w:szCs w:val="15"/>
                <w:color w:val="231F20"/>
              </w:rPr>
              <w:t>SOFR +</w:t>
            </w:r>
          </w:p>
        </w:tc>
        <w:tc>
          <w:tcPr>
            <w:tcW w:w="980" w:type="dxa"/>
            <w:vAlign w:val="bottom"/>
            <w:gridSpan w:val="2"/>
            <w:shd w:val="clear" w:color="auto" w:fill="FDFDFC"/>
          </w:tcPr>
          <w:p>
            <w:pPr>
              <w:jc w:val="right"/>
              <w:ind w:right="100"/>
              <w:spacing w:after="0" w:line="159" w:lineRule="exact"/>
              <w:rPr>
                <w:sz w:val="20"/>
                <w:szCs w:val="20"/>
                <w:color w:val="auto"/>
              </w:rPr>
            </w:pPr>
            <w:r>
              <w:rPr>
                <w:rFonts w:ascii="Times New Roman" w:cs="Times New Roman" w:eastAsia="Times New Roman" w:hAnsi="Times New Roman"/>
                <w:sz w:val="15"/>
                <w:szCs w:val="15"/>
                <w:color w:val="231F20"/>
              </w:rPr>
              <w:t>12.97%</w:t>
            </w:r>
          </w:p>
        </w:tc>
        <w:tc>
          <w:tcPr>
            <w:tcW w:w="140" w:type="dxa"/>
            <w:vAlign w:val="bottom"/>
            <w:shd w:val="clear" w:color="auto" w:fill="FDFDFC"/>
          </w:tcPr>
          <w:p>
            <w:pPr>
              <w:spacing w:after="0"/>
              <w:rPr>
                <w:sz w:val="13"/>
                <w:szCs w:val="13"/>
                <w:color w:val="auto"/>
              </w:rPr>
            </w:pPr>
          </w:p>
        </w:tc>
        <w:tc>
          <w:tcPr>
            <w:tcW w:w="860" w:type="dxa"/>
            <w:vAlign w:val="bottom"/>
            <w:shd w:val="clear" w:color="auto" w:fill="FDFDFC"/>
          </w:tcPr>
          <w:p>
            <w:pPr>
              <w:jc w:val="right"/>
              <w:spacing w:after="0" w:line="159" w:lineRule="exact"/>
              <w:rPr>
                <w:sz w:val="20"/>
                <w:szCs w:val="20"/>
                <w:color w:val="auto"/>
              </w:rPr>
            </w:pPr>
            <w:r>
              <w:rPr>
                <w:rFonts w:ascii="Times New Roman" w:cs="Times New Roman" w:eastAsia="Times New Roman" w:hAnsi="Times New Roman"/>
                <w:sz w:val="15"/>
                <w:szCs w:val="15"/>
                <w:color w:val="231F20"/>
              </w:rPr>
              <w:t>68,287</w:t>
            </w:r>
          </w:p>
        </w:tc>
        <w:tc>
          <w:tcPr>
            <w:tcW w:w="180" w:type="dxa"/>
            <w:vAlign w:val="bottom"/>
            <w:shd w:val="clear" w:color="auto" w:fill="FDFDFC"/>
          </w:tcPr>
          <w:p>
            <w:pPr>
              <w:spacing w:after="0"/>
              <w:rPr>
                <w:sz w:val="13"/>
                <w:szCs w:val="13"/>
                <w:color w:val="auto"/>
              </w:rPr>
            </w:pPr>
          </w:p>
        </w:tc>
        <w:tc>
          <w:tcPr>
            <w:tcW w:w="80" w:type="dxa"/>
            <w:vAlign w:val="bottom"/>
            <w:shd w:val="clear" w:color="auto" w:fill="FDFDFC"/>
          </w:tcPr>
          <w:p>
            <w:pPr>
              <w:spacing w:after="0"/>
              <w:rPr>
                <w:sz w:val="13"/>
                <w:szCs w:val="13"/>
                <w:color w:val="auto"/>
              </w:rPr>
            </w:pPr>
          </w:p>
        </w:tc>
        <w:tc>
          <w:tcPr>
            <w:tcW w:w="880" w:type="dxa"/>
            <w:vAlign w:val="bottom"/>
            <w:shd w:val="clear" w:color="auto" w:fill="FDFDFC"/>
          </w:tcPr>
          <w:p>
            <w:pPr>
              <w:jc w:val="right"/>
              <w:spacing w:after="0" w:line="159" w:lineRule="exact"/>
              <w:rPr>
                <w:sz w:val="20"/>
                <w:szCs w:val="20"/>
                <w:color w:val="auto"/>
              </w:rPr>
            </w:pPr>
            <w:r>
              <w:rPr>
                <w:rFonts w:ascii="Times New Roman" w:cs="Times New Roman" w:eastAsia="Times New Roman" w:hAnsi="Times New Roman"/>
                <w:sz w:val="15"/>
                <w:szCs w:val="15"/>
                <w:color w:val="231F20"/>
              </w:rPr>
              <w:t>69,751</w:t>
            </w:r>
          </w:p>
        </w:tc>
        <w:tc>
          <w:tcPr>
            <w:tcW w:w="1340" w:type="dxa"/>
            <w:vAlign w:val="bottom"/>
            <w:gridSpan w:val="3"/>
            <w:shd w:val="clear" w:color="auto" w:fill="FDFDFC"/>
          </w:tcPr>
          <w:p>
            <w:pPr>
              <w:jc w:val="right"/>
              <w:ind w:right="120"/>
              <w:spacing w:after="0" w:line="159" w:lineRule="exact"/>
              <w:rPr>
                <w:sz w:val="20"/>
                <w:szCs w:val="20"/>
                <w:color w:val="auto"/>
              </w:rPr>
            </w:pPr>
            <w:r>
              <w:rPr>
                <w:rFonts w:ascii="Times New Roman" w:cs="Times New Roman" w:eastAsia="Times New Roman" w:hAnsi="Times New Roman"/>
                <w:sz w:val="15"/>
                <w:szCs w:val="15"/>
                <w:color w:val="231F20"/>
              </w:rPr>
              <w:t>4.7%</w:t>
            </w:r>
          </w:p>
        </w:tc>
        <w:tc>
          <w:tcPr>
            <w:tcW w:w="0" w:type="dxa"/>
            <w:vAlign w:val="bottom"/>
          </w:tcPr>
          <w:p>
            <w:pPr>
              <w:spacing w:after="0"/>
              <w:rPr>
                <w:sz w:val="1"/>
                <w:szCs w:val="1"/>
                <w:color w:val="auto"/>
              </w:rPr>
            </w:pPr>
          </w:p>
        </w:tc>
      </w:tr>
      <w:tr>
        <w:trPr>
          <w:trHeight w:val="189"/>
        </w:trPr>
        <w:tc>
          <w:tcPr>
            <w:tcW w:w="1420" w:type="dxa"/>
            <w:vAlign w:val="bottom"/>
            <w:shd w:val="clear" w:color="auto" w:fill="FDFDFC"/>
          </w:tcPr>
          <w:p>
            <w:pPr>
              <w:spacing w:after="0"/>
              <w:rPr>
                <w:sz w:val="16"/>
                <w:szCs w:val="16"/>
                <w:color w:val="auto"/>
              </w:rPr>
            </w:pPr>
          </w:p>
        </w:tc>
        <w:tc>
          <w:tcPr>
            <w:tcW w:w="2440" w:type="dxa"/>
            <w:vAlign w:val="bottom"/>
            <w:gridSpan w:val="2"/>
            <w:shd w:val="clear" w:color="auto" w:fill="FDFDFC"/>
          </w:tcPr>
          <w:p>
            <w:pPr>
              <w:ind w:left="100"/>
              <w:spacing w:after="0"/>
              <w:rPr>
                <w:sz w:val="20"/>
                <w:szCs w:val="20"/>
                <w:color w:val="auto"/>
              </w:rPr>
            </w:pPr>
            <w:r>
              <w:rPr>
                <w:rFonts w:ascii="Times New Roman" w:cs="Times New Roman" w:eastAsia="Times New Roman" w:hAnsi="Times New Roman"/>
                <w:sz w:val="15"/>
                <w:szCs w:val="15"/>
                <w:color w:val="231F20"/>
              </w:rPr>
              <w:t>8/2025)</w:t>
            </w:r>
          </w:p>
        </w:tc>
        <w:tc>
          <w:tcPr>
            <w:tcW w:w="80" w:type="dxa"/>
            <w:vAlign w:val="bottom"/>
            <w:shd w:val="clear" w:color="auto" w:fill="FDFDFC"/>
          </w:tcPr>
          <w:p>
            <w:pPr>
              <w:spacing w:after="0"/>
              <w:rPr>
                <w:sz w:val="16"/>
                <w:szCs w:val="16"/>
                <w:color w:val="auto"/>
              </w:rPr>
            </w:pPr>
          </w:p>
        </w:tc>
        <w:tc>
          <w:tcPr>
            <w:tcW w:w="760" w:type="dxa"/>
            <w:vAlign w:val="bottom"/>
            <w:shd w:val="clear" w:color="auto" w:fill="FDFDFC"/>
          </w:tcPr>
          <w:p>
            <w:pPr>
              <w:spacing w:after="0"/>
              <w:rPr>
                <w:sz w:val="16"/>
                <w:szCs w:val="16"/>
                <w:color w:val="auto"/>
              </w:rPr>
            </w:pPr>
          </w:p>
        </w:tc>
        <w:tc>
          <w:tcPr>
            <w:tcW w:w="900" w:type="dxa"/>
            <w:vAlign w:val="bottom"/>
            <w:gridSpan w:val="2"/>
            <w:shd w:val="clear" w:color="auto" w:fill="FDFDFC"/>
          </w:tcPr>
          <w:p>
            <w:pPr>
              <w:jc w:val="right"/>
              <w:spacing w:after="0"/>
              <w:rPr>
                <w:sz w:val="20"/>
                <w:szCs w:val="20"/>
                <w:color w:val="auto"/>
              </w:rPr>
            </w:pPr>
            <w:r>
              <w:rPr>
                <w:rFonts w:ascii="Times New Roman" w:cs="Times New Roman" w:eastAsia="Times New Roman" w:hAnsi="Times New Roman"/>
                <w:sz w:val="15"/>
                <w:szCs w:val="15"/>
                <w:color w:val="231F20"/>
              </w:rPr>
              <w:t>7.63%</w:t>
            </w:r>
          </w:p>
        </w:tc>
        <w:tc>
          <w:tcPr>
            <w:tcW w:w="220" w:type="dxa"/>
            <w:vAlign w:val="bottom"/>
            <w:shd w:val="clear" w:color="auto" w:fill="FDFDFC"/>
          </w:tcPr>
          <w:p>
            <w:pPr>
              <w:spacing w:after="0"/>
              <w:rPr>
                <w:sz w:val="16"/>
                <w:szCs w:val="16"/>
                <w:color w:val="auto"/>
              </w:rPr>
            </w:pPr>
          </w:p>
        </w:tc>
        <w:tc>
          <w:tcPr>
            <w:tcW w:w="760" w:type="dxa"/>
            <w:vAlign w:val="bottom"/>
            <w:shd w:val="clear" w:color="auto" w:fill="FDFDFC"/>
          </w:tcPr>
          <w:p>
            <w:pPr>
              <w:spacing w:after="0"/>
              <w:rPr>
                <w:sz w:val="16"/>
                <w:szCs w:val="16"/>
                <w:color w:val="auto"/>
              </w:rPr>
            </w:pPr>
          </w:p>
        </w:tc>
        <w:tc>
          <w:tcPr>
            <w:tcW w:w="220" w:type="dxa"/>
            <w:vAlign w:val="bottom"/>
            <w:shd w:val="clear" w:color="auto" w:fill="FDFDFC"/>
          </w:tcPr>
          <w:p>
            <w:pPr>
              <w:spacing w:after="0"/>
              <w:rPr>
                <w:sz w:val="16"/>
                <w:szCs w:val="16"/>
                <w:color w:val="auto"/>
              </w:rPr>
            </w:pPr>
          </w:p>
        </w:tc>
        <w:tc>
          <w:tcPr>
            <w:tcW w:w="140" w:type="dxa"/>
            <w:vAlign w:val="bottom"/>
            <w:shd w:val="clear" w:color="auto" w:fill="FDFDFC"/>
          </w:tcPr>
          <w:p>
            <w:pPr>
              <w:spacing w:after="0"/>
              <w:rPr>
                <w:sz w:val="16"/>
                <w:szCs w:val="16"/>
                <w:color w:val="auto"/>
              </w:rPr>
            </w:pPr>
          </w:p>
        </w:tc>
        <w:tc>
          <w:tcPr>
            <w:tcW w:w="860" w:type="dxa"/>
            <w:vAlign w:val="bottom"/>
            <w:shd w:val="clear" w:color="auto" w:fill="FDFDFC"/>
          </w:tcPr>
          <w:p>
            <w:pPr>
              <w:spacing w:after="0"/>
              <w:rPr>
                <w:sz w:val="16"/>
                <w:szCs w:val="16"/>
                <w:color w:val="auto"/>
              </w:rPr>
            </w:pPr>
          </w:p>
        </w:tc>
        <w:tc>
          <w:tcPr>
            <w:tcW w:w="180" w:type="dxa"/>
            <w:vAlign w:val="bottom"/>
            <w:shd w:val="clear" w:color="auto" w:fill="FDFDFC"/>
          </w:tcPr>
          <w:p>
            <w:pPr>
              <w:spacing w:after="0"/>
              <w:rPr>
                <w:sz w:val="16"/>
                <w:szCs w:val="16"/>
                <w:color w:val="auto"/>
              </w:rPr>
            </w:pPr>
          </w:p>
        </w:tc>
        <w:tc>
          <w:tcPr>
            <w:tcW w:w="80" w:type="dxa"/>
            <w:vAlign w:val="bottom"/>
            <w:shd w:val="clear" w:color="auto" w:fill="FDFDFC"/>
          </w:tcPr>
          <w:p>
            <w:pPr>
              <w:spacing w:after="0"/>
              <w:rPr>
                <w:sz w:val="16"/>
                <w:szCs w:val="16"/>
                <w:color w:val="auto"/>
              </w:rPr>
            </w:pPr>
          </w:p>
        </w:tc>
        <w:tc>
          <w:tcPr>
            <w:tcW w:w="880" w:type="dxa"/>
            <w:vAlign w:val="bottom"/>
            <w:shd w:val="clear" w:color="auto" w:fill="FDFDFC"/>
          </w:tcPr>
          <w:p>
            <w:pPr>
              <w:spacing w:after="0"/>
              <w:rPr>
                <w:sz w:val="16"/>
                <w:szCs w:val="16"/>
                <w:color w:val="auto"/>
              </w:rPr>
            </w:pPr>
          </w:p>
        </w:tc>
        <w:tc>
          <w:tcPr>
            <w:tcW w:w="220" w:type="dxa"/>
            <w:vAlign w:val="bottom"/>
            <w:tcBorders>
              <w:right w:val="single" w:sz="8" w:color="FDFDFC"/>
            </w:tcBorders>
            <w:shd w:val="clear" w:color="auto" w:fill="FDFDFC"/>
          </w:tcPr>
          <w:p>
            <w:pPr>
              <w:spacing w:after="0"/>
              <w:rPr>
                <w:sz w:val="16"/>
                <w:szCs w:val="16"/>
                <w:color w:val="auto"/>
              </w:rPr>
            </w:pPr>
          </w:p>
        </w:tc>
        <w:tc>
          <w:tcPr>
            <w:tcW w:w="880" w:type="dxa"/>
            <w:vAlign w:val="bottom"/>
            <w:shd w:val="clear" w:color="auto" w:fill="FDFDFC"/>
          </w:tcPr>
          <w:p>
            <w:pPr>
              <w:spacing w:after="0"/>
              <w:rPr>
                <w:sz w:val="16"/>
                <w:szCs w:val="16"/>
                <w:color w:val="auto"/>
              </w:rPr>
            </w:pPr>
          </w:p>
        </w:tc>
        <w:tc>
          <w:tcPr>
            <w:tcW w:w="240" w:type="dxa"/>
            <w:vAlign w:val="bottom"/>
            <w:shd w:val="clear" w:color="auto" w:fill="FDFDFC"/>
          </w:tcPr>
          <w:p>
            <w:pPr>
              <w:spacing w:after="0"/>
              <w:rPr>
                <w:sz w:val="16"/>
                <w:szCs w:val="16"/>
                <w:color w:val="auto"/>
              </w:rPr>
            </w:pPr>
          </w:p>
        </w:tc>
        <w:tc>
          <w:tcPr>
            <w:tcW w:w="0" w:type="dxa"/>
            <w:vAlign w:val="bottom"/>
          </w:tcPr>
          <w:p>
            <w:pPr>
              <w:spacing w:after="0"/>
              <w:rPr>
                <w:sz w:val="1"/>
                <w:szCs w:val="1"/>
                <w:color w:val="auto"/>
              </w:rPr>
            </w:pPr>
          </w:p>
        </w:tc>
      </w:tr>
      <w:tr>
        <w:trPr>
          <w:trHeight w:val="158"/>
        </w:trPr>
        <w:tc>
          <w:tcPr>
            <w:tcW w:w="1420" w:type="dxa"/>
            <w:vAlign w:val="bottom"/>
            <w:shd w:val="clear" w:color="auto" w:fill="D0EBF2"/>
          </w:tcPr>
          <w:p>
            <w:pPr>
              <w:spacing w:after="0" w:line="159" w:lineRule="exact"/>
              <w:rPr>
                <w:sz w:val="20"/>
                <w:szCs w:val="20"/>
                <w:color w:val="auto"/>
              </w:rPr>
            </w:pPr>
            <w:r>
              <w:rPr>
                <w:rFonts w:ascii="Times New Roman" w:cs="Times New Roman" w:eastAsia="Times New Roman" w:hAnsi="Times New Roman"/>
                <w:sz w:val="15"/>
                <w:szCs w:val="15"/>
                <w:color w:val="231F20"/>
              </w:rPr>
              <w:t>Artisan Bidco, Inc.</w:t>
            </w:r>
            <w:r>
              <w:rPr>
                <w:rFonts w:ascii="Times New Roman" w:cs="Times New Roman" w:eastAsia="Times New Roman" w:hAnsi="Times New Roman"/>
                <w:sz w:val="9"/>
                <w:szCs w:val="9"/>
                <w:color w:val="231F20"/>
              </w:rPr>
              <w:t>(3)</w:t>
            </w:r>
          </w:p>
        </w:tc>
        <w:tc>
          <w:tcPr>
            <w:tcW w:w="100" w:type="dxa"/>
            <w:vAlign w:val="bottom"/>
            <w:shd w:val="clear" w:color="auto" w:fill="D0EBF2"/>
          </w:tcPr>
          <w:p>
            <w:pPr>
              <w:spacing w:after="0"/>
              <w:rPr>
                <w:sz w:val="13"/>
                <w:szCs w:val="13"/>
                <w:color w:val="auto"/>
              </w:rPr>
            </w:pPr>
          </w:p>
        </w:tc>
        <w:tc>
          <w:tcPr>
            <w:tcW w:w="2340" w:type="dxa"/>
            <w:vAlign w:val="bottom"/>
            <w:shd w:val="clear" w:color="auto" w:fill="D0EBF2"/>
          </w:tcPr>
          <w:p>
            <w:pPr>
              <w:spacing w:after="0" w:line="159" w:lineRule="exact"/>
              <w:rPr>
                <w:sz w:val="20"/>
                <w:szCs w:val="20"/>
                <w:color w:val="auto"/>
              </w:rPr>
            </w:pPr>
            <w:r>
              <w:rPr>
                <w:rFonts w:ascii="Times New Roman" w:cs="Times New Roman" w:eastAsia="Times New Roman" w:hAnsi="Times New Roman"/>
                <w:sz w:val="15"/>
                <w:szCs w:val="15"/>
                <w:color w:val="231F20"/>
              </w:rPr>
              <w:t>First-lien loan ($38,112 par, due</w:t>
            </w:r>
          </w:p>
        </w:tc>
        <w:tc>
          <w:tcPr>
            <w:tcW w:w="840" w:type="dxa"/>
            <w:vAlign w:val="bottom"/>
            <w:gridSpan w:val="2"/>
            <w:shd w:val="clear" w:color="auto" w:fill="D0EBF2"/>
          </w:tcPr>
          <w:p>
            <w:pPr>
              <w:jc w:val="right"/>
              <w:spacing w:after="0" w:line="159" w:lineRule="exact"/>
              <w:rPr>
                <w:sz w:val="20"/>
                <w:szCs w:val="20"/>
                <w:color w:val="auto"/>
              </w:rPr>
            </w:pPr>
            <w:r>
              <w:rPr>
                <w:rFonts w:ascii="Times New Roman" w:cs="Times New Roman" w:eastAsia="Times New Roman" w:hAnsi="Times New Roman"/>
                <w:sz w:val="15"/>
                <w:szCs w:val="15"/>
                <w:color w:val="231F20"/>
              </w:rPr>
              <w:t>11/7/2023</w:t>
            </w:r>
          </w:p>
        </w:tc>
        <w:tc>
          <w:tcPr>
            <w:tcW w:w="100" w:type="dxa"/>
            <w:vAlign w:val="bottom"/>
            <w:shd w:val="clear" w:color="auto" w:fill="D0EBF2"/>
          </w:tcPr>
          <w:p>
            <w:pPr>
              <w:spacing w:after="0"/>
              <w:rPr>
                <w:sz w:val="13"/>
                <w:szCs w:val="13"/>
                <w:color w:val="auto"/>
              </w:rPr>
            </w:pPr>
          </w:p>
        </w:tc>
        <w:tc>
          <w:tcPr>
            <w:tcW w:w="1020" w:type="dxa"/>
            <w:vAlign w:val="bottom"/>
            <w:gridSpan w:val="2"/>
            <w:shd w:val="clear" w:color="auto" w:fill="D0EBF2"/>
          </w:tcPr>
          <w:p>
            <w:pPr>
              <w:jc w:val="right"/>
              <w:ind w:right="240"/>
              <w:spacing w:after="0" w:line="159" w:lineRule="exact"/>
              <w:rPr>
                <w:sz w:val="20"/>
                <w:szCs w:val="20"/>
                <w:color w:val="auto"/>
              </w:rPr>
            </w:pPr>
            <w:r>
              <w:rPr>
                <w:rFonts w:ascii="Times New Roman" w:cs="Times New Roman" w:eastAsia="Times New Roman" w:hAnsi="Times New Roman"/>
                <w:sz w:val="15"/>
                <w:szCs w:val="15"/>
                <w:color w:val="231F20"/>
              </w:rPr>
              <w:t>SOFR +</w:t>
            </w:r>
          </w:p>
        </w:tc>
        <w:tc>
          <w:tcPr>
            <w:tcW w:w="980" w:type="dxa"/>
            <w:vAlign w:val="bottom"/>
            <w:gridSpan w:val="2"/>
            <w:shd w:val="clear" w:color="auto" w:fill="D0EBF2"/>
          </w:tcPr>
          <w:p>
            <w:pPr>
              <w:jc w:val="right"/>
              <w:ind w:right="100"/>
              <w:spacing w:after="0" w:line="159" w:lineRule="exact"/>
              <w:rPr>
                <w:sz w:val="20"/>
                <w:szCs w:val="20"/>
                <w:color w:val="auto"/>
              </w:rPr>
            </w:pPr>
            <w:r>
              <w:rPr>
                <w:rFonts w:ascii="Times New Roman" w:cs="Times New Roman" w:eastAsia="Times New Roman" w:hAnsi="Times New Roman"/>
                <w:sz w:val="15"/>
                <w:szCs w:val="15"/>
                <w:color w:val="231F20"/>
              </w:rPr>
              <w:t>12.38%</w:t>
            </w:r>
          </w:p>
        </w:tc>
        <w:tc>
          <w:tcPr>
            <w:tcW w:w="140" w:type="dxa"/>
            <w:vAlign w:val="bottom"/>
            <w:shd w:val="clear" w:color="auto" w:fill="D0EBF2"/>
          </w:tcPr>
          <w:p>
            <w:pPr>
              <w:spacing w:after="0"/>
              <w:rPr>
                <w:sz w:val="13"/>
                <w:szCs w:val="13"/>
                <w:color w:val="auto"/>
              </w:rPr>
            </w:pPr>
          </w:p>
        </w:tc>
        <w:tc>
          <w:tcPr>
            <w:tcW w:w="860" w:type="dxa"/>
            <w:vAlign w:val="bottom"/>
            <w:shd w:val="clear" w:color="auto" w:fill="D0EBF2"/>
          </w:tcPr>
          <w:p>
            <w:pPr>
              <w:jc w:val="right"/>
              <w:spacing w:after="0" w:line="159" w:lineRule="exact"/>
              <w:rPr>
                <w:sz w:val="20"/>
                <w:szCs w:val="20"/>
                <w:color w:val="auto"/>
              </w:rPr>
            </w:pPr>
            <w:r>
              <w:rPr>
                <w:rFonts w:ascii="Times New Roman" w:cs="Times New Roman" w:eastAsia="Times New Roman" w:hAnsi="Times New Roman"/>
                <w:sz w:val="15"/>
                <w:szCs w:val="15"/>
                <w:color w:val="231F20"/>
              </w:rPr>
              <w:t>37,250</w:t>
            </w:r>
          </w:p>
        </w:tc>
        <w:tc>
          <w:tcPr>
            <w:tcW w:w="180" w:type="dxa"/>
            <w:vAlign w:val="bottom"/>
            <w:shd w:val="clear" w:color="auto" w:fill="D0EBF2"/>
          </w:tcPr>
          <w:p>
            <w:pPr>
              <w:spacing w:after="0"/>
              <w:rPr>
                <w:sz w:val="13"/>
                <w:szCs w:val="13"/>
                <w:color w:val="auto"/>
              </w:rPr>
            </w:pPr>
          </w:p>
        </w:tc>
        <w:tc>
          <w:tcPr>
            <w:tcW w:w="80" w:type="dxa"/>
            <w:vAlign w:val="bottom"/>
            <w:shd w:val="clear" w:color="auto" w:fill="D0EBF2"/>
          </w:tcPr>
          <w:p>
            <w:pPr>
              <w:spacing w:after="0"/>
              <w:rPr>
                <w:sz w:val="13"/>
                <w:szCs w:val="13"/>
                <w:color w:val="auto"/>
              </w:rPr>
            </w:pPr>
          </w:p>
        </w:tc>
        <w:tc>
          <w:tcPr>
            <w:tcW w:w="880" w:type="dxa"/>
            <w:vAlign w:val="bottom"/>
            <w:shd w:val="clear" w:color="auto" w:fill="D0EBF2"/>
          </w:tcPr>
          <w:p>
            <w:pPr>
              <w:jc w:val="right"/>
              <w:spacing w:after="0" w:line="159" w:lineRule="exact"/>
              <w:rPr>
                <w:sz w:val="20"/>
                <w:szCs w:val="20"/>
                <w:color w:val="auto"/>
              </w:rPr>
            </w:pPr>
            <w:r>
              <w:rPr>
                <w:rFonts w:ascii="Times New Roman" w:cs="Times New Roman" w:eastAsia="Times New Roman" w:hAnsi="Times New Roman"/>
                <w:sz w:val="15"/>
                <w:szCs w:val="15"/>
                <w:color w:val="231F20"/>
              </w:rPr>
              <w:t>37,563</w:t>
            </w:r>
          </w:p>
        </w:tc>
        <w:tc>
          <w:tcPr>
            <w:tcW w:w="1340" w:type="dxa"/>
            <w:vAlign w:val="bottom"/>
            <w:gridSpan w:val="3"/>
            <w:shd w:val="clear" w:color="auto" w:fill="D0EBF2"/>
          </w:tcPr>
          <w:p>
            <w:pPr>
              <w:jc w:val="right"/>
              <w:ind w:right="120"/>
              <w:spacing w:after="0" w:line="159" w:lineRule="exact"/>
              <w:rPr>
                <w:sz w:val="20"/>
                <w:szCs w:val="20"/>
                <w:color w:val="auto"/>
              </w:rPr>
            </w:pPr>
            <w:r>
              <w:rPr>
                <w:rFonts w:ascii="Times New Roman" w:cs="Times New Roman" w:eastAsia="Times New Roman" w:hAnsi="Times New Roman"/>
                <w:sz w:val="15"/>
                <w:szCs w:val="15"/>
                <w:color w:val="231F20"/>
              </w:rPr>
              <w:t>2.5%</w:t>
            </w:r>
          </w:p>
        </w:tc>
        <w:tc>
          <w:tcPr>
            <w:tcW w:w="0" w:type="dxa"/>
            <w:vAlign w:val="bottom"/>
          </w:tcPr>
          <w:p>
            <w:pPr>
              <w:spacing w:after="0"/>
              <w:rPr>
                <w:sz w:val="1"/>
                <w:szCs w:val="1"/>
                <w:color w:val="auto"/>
              </w:rPr>
            </w:pPr>
          </w:p>
        </w:tc>
      </w:tr>
      <w:tr>
        <w:trPr>
          <w:trHeight w:val="189"/>
        </w:trPr>
        <w:tc>
          <w:tcPr>
            <w:tcW w:w="1420" w:type="dxa"/>
            <w:vAlign w:val="bottom"/>
            <w:shd w:val="clear" w:color="auto" w:fill="D0EBF2"/>
          </w:tcPr>
          <w:p>
            <w:pPr>
              <w:spacing w:after="0"/>
              <w:rPr>
                <w:sz w:val="16"/>
                <w:szCs w:val="16"/>
                <w:color w:val="auto"/>
              </w:rPr>
            </w:pPr>
          </w:p>
        </w:tc>
        <w:tc>
          <w:tcPr>
            <w:tcW w:w="2440" w:type="dxa"/>
            <w:vAlign w:val="bottom"/>
            <w:gridSpan w:val="2"/>
            <w:shd w:val="clear" w:color="auto" w:fill="D0EBF2"/>
          </w:tcPr>
          <w:p>
            <w:pPr>
              <w:ind w:left="100"/>
              <w:spacing w:after="0"/>
              <w:rPr>
                <w:sz w:val="20"/>
                <w:szCs w:val="20"/>
                <w:color w:val="auto"/>
              </w:rPr>
            </w:pPr>
            <w:r>
              <w:rPr>
                <w:rFonts w:ascii="Times New Roman" w:cs="Times New Roman" w:eastAsia="Times New Roman" w:hAnsi="Times New Roman"/>
                <w:sz w:val="15"/>
                <w:szCs w:val="15"/>
                <w:color w:val="231F20"/>
              </w:rPr>
              <w:t>11/2029)</w:t>
            </w:r>
          </w:p>
        </w:tc>
        <w:tc>
          <w:tcPr>
            <w:tcW w:w="80" w:type="dxa"/>
            <w:vAlign w:val="bottom"/>
            <w:shd w:val="clear" w:color="auto" w:fill="D0EBF2"/>
          </w:tcPr>
          <w:p>
            <w:pPr>
              <w:spacing w:after="0"/>
              <w:rPr>
                <w:sz w:val="16"/>
                <w:szCs w:val="16"/>
                <w:color w:val="auto"/>
              </w:rPr>
            </w:pPr>
          </w:p>
        </w:tc>
        <w:tc>
          <w:tcPr>
            <w:tcW w:w="760" w:type="dxa"/>
            <w:vAlign w:val="bottom"/>
            <w:shd w:val="clear" w:color="auto" w:fill="D0EBF2"/>
          </w:tcPr>
          <w:p>
            <w:pPr>
              <w:spacing w:after="0"/>
              <w:rPr>
                <w:sz w:val="16"/>
                <w:szCs w:val="16"/>
                <w:color w:val="auto"/>
              </w:rPr>
            </w:pPr>
          </w:p>
        </w:tc>
        <w:tc>
          <w:tcPr>
            <w:tcW w:w="900" w:type="dxa"/>
            <w:vAlign w:val="bottom"/>
            <w:gridSpan w:val="2"/>
            <w:shd w:val="clear" w:color="auto" w:fill="D0EBF2"/>
          </w:tcPr>
          <w:p>
            <w:pPr>
              <w:jc w:val="right"/>
              <w:spacing w:after="0"/>
              <w:rPr>
                <w:sz w:val="20"/>
                <w:szCs w:val="20"/>
                <w:color w:val="auto"/>
              </w:rPr>
            </w:pPr>
            <w:r>
              <w:rPr>
                <w:rFonts w:ascii="Times New Roman" w:cs="Times New Roman" w:eastAsia="Times New Roman" w:hAnsi="Times New Roman"/>
                <w:sz w:val="15"/>
                <w:szCs w:val="15"/>
                <w:color w:val="231F20"/>
              </w:rPr>
              <w:t>7.00%</w:t>
            </w:r>
          </w:p>
        </w:tc>
        <w:tc>
          <w:tcPr>
            <w:tcW w:w="220" w:type="dxa"/>
            <w:vAlign w:val="bottom"/>
            <w:shd w:val="clear" w:color="auto" w:fill="D0EBF2"/>
          </w:tcPr>
          <w:p>
            <w:pPr>
              <w:spacing w:after="0"/>
              <w:rPr>
                <w:sz w:val="16"/>
                <w:szCs w:val="16"/>
                <w:color w:val="auto"/>
              </w:rPr>
            </w:pPr>
          </w:p>
        </w:tc>
        <w:tc>
          <w:tcPr>
            <w:tcW w:w="760" w:type="dxa"/>
            <w:vAlign w:val="bottom"/>
            <w:shd w:val="clear" w:color="auto" w:fill="D0EBF2"/>
          </w:tcPr>
          <w:p>
            <w:pPr>
              <w:spacing w:after="0"/>
              <w:rPr>
                <w:sz w:val="16"/>
                <w:szCs w:val="16"/>
                <w:color w:val="auto"/>
              </w:rPr>
            </w:pPr>
          </w:p>
        </w:tc>
        <w:tc>
          <w:tcPr>
            <w:tcW w:w="220" w:type="dxa"/>
            <w:vAlign w:val="bottom"/>
            <w:shd w:val="clear" w:color="auto" w:fill="D0EBF2"/>
          </w:tcPr>
          <w:p>
            <w:pPr>
              <w:spacing w:after="0"/>
              <w:rPr>
                <w:sz w:val="16"/>
                <w:szCs w:val="16"/>
                <w:color w:val="auto"/>
              </w:rPr>
            </w:pPr>
          </w:p>
        </w:tc>
        <w:tc>
          <w:tcPr>
            <w:tcW w:w="140" w:type="dxa"/>
            <w:vAlign w:val="bottom"/>
            <w:shd w:val="clear" w:color="auto" w:fill="D0EBF2"/>
          </w:tcPr>
          <w:p>
            <w:pPr>
              <w:spacing w:after="0"/>
              <w:rPr>
                <w:sz w:val="16"/>
                <w:szCs w:val="16"/>
                <w:color w:val="auto"/>
              </w:rPr>
            </w:pPr>
          </w:p>
        </w:tc>
        <w:tc>
          <w:tcPr>
            <w:tcW w:w="860" w:type="dxa"/>
            <w:vAlign w:val="bottom"/>
            <w:shd w:val="clear" w:color="auto" w:fill="D0EBF2"/>
          </w:tcPr>
          <w:p>
            <w:pPr>
              <w:spacing w:after="0"/>
              <w:rPr>
                <w:sz w:val="16"/>
                <w:szCs w:val="16"/>
                <w:color w:val="auto"/>
              </w:rPr>
            </w:pPr>
          </w:p>
        </w:tc>
        <w:tc>
          <w:tcPr>
            <w:tcW w:w="180" w:type="dxa"/>
            <w:vAlign w:val="bottom"/>
            <w:shd w:val="clear" w:color="auto" w:fill="D0EBF2"/>
          </w:tcPr>
          <w:p>
            <w:pPr>
              <w:spacing w:after="0"/>
              <w:rPr>
                <w:sz w:val="16"/>
                <w:szCs w:val="16"/>
                <w:color w:val="auto"/>
              </w:rPr>
            </w:pPr>
          </w:p>
        </w:tc>
        <w:tc>
          <w:tcPr>
            <w:tcW w:w="80" w:type="dxa"/>
            <w:vAlign w:val="bottom"/>
            <w:shd w:val="clear" w:color="auto" w:fill="D0EBF2"/>
          </w:tcPr>
          <w:p>
            <w:pPr>
              <w:spacing w:after="0"/>
              <w:rPr>
                <w:sz w:val="16"/>
                <w:szCs w:val="16"/>
                <w:color w:val="auto"/>
              </w:rPr>
            </w:pPr>
          </w:p>
        </w:tc>
        <w:tc>
          <w:tcPr>
            <w:tcW w:w="880" w:type="dxa"/>
            <w:vAlign w:val="bottom"/>
            <w:shd w:val="clear" w:color="auto" w:fill="D0EBF2"/>
          </w:tcPr>
          <w:p>
            <w:pPr>
              <w:spacing w:after="0"/>
              <w:rPr>
                <w:sz w:val="16"/>
                <w:szCs w:val="16"/>
                <w:color w:val="auto"/>
              </w:rPr>
            </w:pPr>
          </w:p>
        </w:tc>
        <w:tc>
          <w:tcPr>
            <w:tcW w:w="220" w:type="dxa"/>
            <w:vAlign w:val="bottom"/>
            <w:tcBorders>
              <w:right w:val="single" w:sz="8" w:color="D0EBF2"/>
            </w:tcBorders>
            <w:shd w:val="clear" w:color="auto" w:fill="D0EBF2"/>
          </w:tcPr>
          <w:p>
            <w:pPr>
              <w:spacing w:after="0"/>
              <w:rPr>
                <w:sz w:val="16"/>
                <w:szCs w:val="16"/>
                <w:color w:val="auto"/>
              </w:rPr>
            </w:pPr>
          </w:p>
        </w:tc>
        <w:tc>
          <w:tcPr>
            <w:tcW w:w="880" w:type="dxa"/>
            <w:vAlign w:val="bottom"/>
            <w:shd w:val="clear" w:color="auto" w:fill="D0EBF2"/>
          </w:tcPr>
          <w:p>
            <w:pPr>
              <w:spacing w:after="0"/>
              <w:rPr>
                <w:sz w:val="16"/>
                <w:szCs w:val="16"/>
                <w:color w:val="auto"/>
              </w:rPr>
            </w:pPr>
          </w:p>
        </w:tc>
        <w:tc>
          <w:tcPr>
            <w:tcW w:w="240" w:type="dxa"/>
            <w:vAlign w:val="bottom"/>
            <w:shd w:val="clear" w:color="auto" w:fill="D0EBF2"/>
          </w:tcPr>
          <w:p>
            <w:pPr>
              <w:spacing w:after="0"/>
              <w:rPr>
                <w:sz w:val="16"/>
                <w:szCs w:val="16"/>
                <w:color w:val="auto"/>
              </w:rPr>
            </w:pPr>
          </w:p>
        </w:tc>
        <w:tc>
          <w:tcPr>
            <w:tcW w:w="0" w:type="dxa"/>
            <w:vAlign w:val="bottom"/>
          </w:tcPr>
          <w:p>
            <w:pPr>
              <w:spacing w:after="0"/>
              <w:rPr>
                <w:sz w:val="1"/>
                <w:szCs w:val="1"/>
                <w:color w:val="auto"/>
              </w:rPr>
            </w:pPr>
          </w:p>
        </w:tc>
      </w:tr>
      <w:tr>
        <w:trPr>
          <w:trHeight w:val="158"/>
        </w:trPr>
        <w:tc>
          <w:tcPr>
            <w:tcW w:w="1420" w:type="dxa"/>
            <w:vAlign w:val="bottom"/>
            <w:shd w:val="clear" w:color="auto" w:fill="FDFDFC"/>
          </w:tcPr>
          <w:p>
            <w:pPr>
              <w:spacing w:after="0"/>
              <w:rPr>
                <w:sz w:val="13"/>
                <w:szCs w:val="13"/>
                <w:color w:val="auto"/>
              </w:rPr>
            </w:pPr>
          </w:p>
        </w:tc>
        <w:tc>
          <w:tcPr>
            <w:tcW w:w="100" w:type="dxa"/>
            <w:vAlign w:val="bottom"/>
            <w:shd w:val="clear" w:color="auto" w:fill="FDFDFC"/>
          </w:tcPr>
          <w:p>
            <w:pPr>
              <w:spacing w:after="0"/>
              <w:rPr>
                <w:sz w:val="13"/>
                <w:szCs w:val="13"/>
                <w:color w:val="auto"/>
              </w:rPr>
            </w:pPr>
          </w:p>
        </w:tc>
        <w:tc>
          <w:tcPr>
            <w:tcW w:w="2340" w:type="dxa"/>
            <w:vAlign w:val="bottom"/>
            <w:shd w:val="clear" w:color="auto" w:fill="FDFDFC"/>
          </w:tcPr>
          <w:p>
            <w:pPr>
              <w:spacing w:after="0" w:line="159" w:lineRule="exact"/>
              <w:rPr>
                <w:sz w:val="20"/>
                <w:szCs w:val="20"/>
                <w:color w:val="auto"/>
              </w:rPr>
            </w:pPr>
            <w:r>
              <w:rPr>
                <w:rFonts w:ascii="Times New Roman" w:cs="Times New Roman" w:eastAsia="Times New Roman" w:hAnsi="Times New Roman"/>
                <w:sz w:val="15"/>
                <w:szCs w:val="15"/>
                <w:color w:val="231F20"/>
              </w:rPr>
              <w:t>First-lien loan (EUR 17,735 par, due</w:t>
            </w:r>
          </w:p>
        </w:tc>
        <w:tc>
          <w:tcPr>
            <w:tcW w:w="840" w:type="dxa"/>
            <w:vAlign w:val="bottom"/>
            <w:gridSpan w:val="2"/>
            <w:shd w:val="clear" w:color="auto" w:fill="FDFDFC"/>
          </w:tcPr>
          <w:p>
            <w:pPr>
              <w:jc w:val="right"/>
              <w:spacing w:after="0" w:line="159" w:lineRule="exact"/>
              <w:rPr>
                <w:sz w:val="20"/>
                <w:szCs w:val="20"/>
                <w:color w:val="auto"/>
              </w:rPr>
            </w:pPr>
            <w:r>
              <w:rPr>
                <w:rFonts w:ascii="Times New Roman" w:cs="Times New Roman" w:eastAsia="Times New Roman" w:hAnsi="Times New Roman"/>
                <w:sz w:val="15"/>
                <w:szCs w:val="15"/>
                <w:color w:val="231F20"/>
              </w:rPr>
              <w:t>11/7/2023</w:t>
            </w:r>
          </w:p>
        </w:tc>
        <w:tc>
          <w:tcPr>
            <w:tcW w:w="100" w:type="dxa"/>
            <w:vAlign w:val="bottom"/>
            <w:shd w:val="clear" w:color="auto" w:fill="FDFDFC"/>
          </w:tcPr>
          <w:p>
            <w:pPr>
              <w:spacing w:after="0"/>
              <w:rPr>
                <w:sz w:val="13"/>
                <w:szCs w:val="13"/>
                <w:color w:val="auto"/>
              </w:rPr>
            </w:pPr>
          </w:p>
        </w:tc>
        <w:tc>
          <w:tcPr>
            <w:tcW w:w="1020" w:type="dxa"/>
            <w:vAlign w:val="bottom"/>
            <w:gridSpan w:val="2"/>
            <w:shd w:val="clear" w:color="auto" w:fill="FDFDFC"/>
          </w:tcPr>
          <w:p>
            <w:pPr>
              <w:jc w:val="right"/>
              <w:ind w:right="240"/>
              <w:spacing w:after="0" w:line="159" w:lineRule="exact"/>
              <w:rPr>
                <w:sz w:val="20"/>
                <w:szCs w:val="20"/>
                <w:color w:val="auto"/>
              </w:rPr>
            </w:pPr>
            <w:r>
              <w:rPr>
                <w:rFonts w:ascii="Times New Roman" w:cs="Times New Roman" w:eastAsia="Times New Roman" w:hAnsi="Times New Roman"/>
                <w:sz w:val="15"/>
                <w:szCs w:val="15"/>
                <w:color w:val="231F20"/>
              </w:rPr>
              <w:t>E + 7.00%</w:t>
            </w:r>
          </w:p>
        </w:tc>
        <w:tc>
          <w:tcPr>
            <w:tcW w:w="980" w:type="dxa"/>
            <w:vAlign w:val="bottom"/>
            <w:gridSpan w:val="2"/>
            <w:shd w:val="clear" w:color="auto" w:fill="FDFDFC"/>
          </w:tcPr>
          <w:p>
            <w:pPr>
              <w:jc w:val="right"/>
              <w:ind w:right="100"/>
              <w:spacing w:after="0" w:line="159" w:lineRule="exact"/>
              <w:rPr>
                <w:sz w:val="20"/>
                <w:szCs w:val="20"/>
                <w:color w:val="auto"/>
              </w:rPr>
            </w:pPr>
            <w:r>
              <w:rPr>
                <w:rFonts w:ascii="Times New Roman" w:cs="Times New Roman" w:eastAsia="Times New Roman" w:hAnsi="Times New Roman"/>
                <w:sz w:val="15"/>
                <w:szCs w:val="15"/>
                <w:color w:val="231F20"/>
              </w:rPr>
              <w:t>10.96%</w:t>
            </w:r>
          </w:p>
        </w:tc>
        <w:tc>
          <w:tcPr>
            <w:tcW w:w="140" w:type="dxa"/>
            <w:vAlign w:val="bottom"/>
            <w:shd w:val="clear" w:color="auto" w:fill="FDFDFC"/>
          </w:tcPr>
          <w:p>
            <w:pPr>
              <w:spacing w:after="0"/>
              <w:rPr>
                <w:sz w:val="13"/>
                <w:szCs w:val="13"/>
                <w:color w:val="auto"/>
              </w:rPr>
            </w:pPr>
          </w:p>
        </w:tc>
        <w:tc>
          <w:tcPr>
            <w:tcW w:w="860" w:type="dxa"/>
            <w:vAlign w:val="bottom"/>
            <w:shd w:val="clear" w:color="auto" w:fill="FDFDFC"/>
          </w:tcPr>
          <w:p>
            <w:pPr>
              <w:jc w:val="right"/>
              <w:spacing w:after="0" w:line="159" w:lineRule="exact"/>
              <w:rPr>
                <w:sz w:val="20"/>
                <w:szCs w:val="20"/>
                <w:color w:val="auto"/>
              </w:rPr>
            </w:pPr>
            <w:r>
              <w:rPr>
                <w:rFonts w:ascii="Times New Roman" w:cs="Times New Roman" w:eastAsia="Times New Roman" w:hAnsi="Times New Roman"/>
                <w:sz w:val="15"/>
                <w:szCs w:val="15"/>
                <w:color w:val="231F20"/>
              </w:rPr>
              <w:t>18,681</w:t>
            </w:r>
          </w:p>
        </w:tc>
        <w:tc>
          <w:tcPr>
            <w:tcW w:w="180" w:type="dxa"/>
            <w:vAlign w:val="bottom"/>
            <w:shd w:val="clear" w:color="auto" w:fill="FDFDFC"/>
          </w:tcPr>
          <w:p>
            <w:pPr>
              <w:spacing w:after="0"/>
              <w:rPr>
                <w:sz w:val="13"/>
                <w:szCs w:val="13"/>
                <w:color w:val="auto"/>
              </w:rPr>
            </w:pPr>
          </w:p>
        </w:tc>
        <w:tc>
          <w:tcPr>
            <w:tcW w:w="80" w:type="dxa"/>
            <w:vAlign w:val="bottom"/>
            <w:shd w:val="clear" w:color="auto" w:fill="FDFDFC"/>
          </w:tcPr>
          <w:p>
            <w:pPr>
              <w:spacing w:after="0"/>
              <w:rPr>
                <w:sz w:val="13"/>
                <w:szCs w:val="13"/>
                <w:color w:val="auto"/>
              </w:rPr>
            </w:pPr>
          </w:p>
        </w:tc>
        <w:tc>
          <w:tcPr>
            <w:tcW w:w="880" w:type="dxa"/>
            <w:vAlign w:val="bottom"/>
            <w:shd w:val="clear" w:color="auto" w:fill="FDFDFC"/>
          </w:tcPr>
          <w:p>
            <w:pPr>
              <w:jc w:val="right"/>
              <w:spacing w:after="0" w:line="159" w:lineRule="exact"/>
              <w:rPr>
                <w:sz w:val="20"/>
                <w:szCs w:val="20"/>
                <w:color w:val="auto"/>
              </w:rPr>
            </w:pPr>
            <w:r>
              <w:rPr>
                <w:rFonts w:ascii="Times New Roman" w:cs="Times New Roman" w:eastAsia="Times New Roman" w:hAnsi="Times New Roman"/>
                <w:sz w:val="15"/>
                <w:szCs w:val="15"/>
                <w:color w:val="231F20"/>
              </w:rPr>
              <w:t>19,346</w:t>
            </w:r>
          </w:p>
        </w:tc>
        <w:tc>
          <w:tcPr>
            <w:tcW w:w="1340" w:type="dxa"/>
            <w:vAlign w:val="bottom"/>
            <w:gridSpan w:val="3"/>
            <w:shd w:val="clear" w:color="auto" w:fill="FDFDFC"/>
          </w:tcPr>
          <w:p>
            <w:pPr>
              <w:jc w:val="right"/>
              <w:ind w:right="120"/>
              <w:spacing w:after="0" w:line="159" w:lineRule="exact"/>
              <w:rPr>
                <w:sz w:val="20"/>
                <w:szCs w:val="20"/>
                <w:color w:val="auto"/>
              </w:rPr>
            </w:pPr>
            <w:r>
              <w:rPr>
                <w:rFonts w:ascii="Times New Roman" w:cs="Times New Roman" w:eastAsia="Times New Roman" w:hAnsi="Times New Roman"/>
                <w:sz w:val="15"/>
                <w:szCs w:val="15"/>
                <w:color w:val="231F20"/>
              </w:rPr>
              <w:t>1.3%</w:t>
            </w:r>
          </w:p>
        </w:tc>
        <w:tc>
          <w:tcPr>
            <w:tcW w:w="0" w:type="dxa"/>
            <w:vAlign w:val="bottom"/>
          </w:tcPr>
          <w:p>
            <w:pPr>
              <w:spacing w:after="0"/>
              <w:rPr>
                <w:sz w:val="1"/>
                <w:szCs w:val="1"/>
                <w:color w:val="auto"/>
              </w:rPr>
            </w:pPr>
          </w:p>
        </w:tc>
      </w:tr>
      <w:tr>
        <w:trPr>
          <w:trHeight w:val="203"/>
        </w:trPr>
        <w:tc>
          <w:tcPr>
            <w:tcW w:w="1420" w:type="dxa"/>
            <w:vAlign w:val="bottom"/>
            <w:shd w:val="clear" w:color="auto" w:fill="FDFDFC"/>
          </w:tcPr>
          <w:p>
            <w:pPr>
              <w:spacing w:after="0"/>
              <w:rPr>
                <w:sz w:val="17"/>
                <w:szCs w:val="17"/>
                <w:color w:val="auto"/>
              </w:rPr>
            </w:pPr>
          </w:p>
        </w:tc>
        <w:tc>
          <w:tcPr>
            <w:tcW w:w="2440" w:type="dxa"/>
            <w:vAlign w:val="bottom"/>
            <w:gridSpan w:val="2"/>
            <w:shd w:val="clear" w:color="auto" w:fill="FDFDFC"/>
          </w:tcPr>
          <w:p>
            <w:pPr>
              <w:ind w:left="100"/>
              <w:spacing w:after="0"/>
              <w:rPr>
                <w:sz w:val="20"/>
                <w:szCs w:val="20"/>
                <w:color w:val="auto"/>
              </w:rPr>
            </w:pPr>
            <w:r>
              <w:rPr>
                <w:rFonts w:ascii="Times New Roman" w:cs="Times New Roman" w:eastAsia="Times New Roman" w:hAnsi="Times New Roman"/>
                <w:sz w:val="15"/>
                <w:szCs w:val="15"/>
                <w:color w:val="231F20"/>
              </w:rPr>
              <w:t>11/2029)</w:t>
            </w:r>
          </w:p>
        </w:tc>
        <w:tc>
          <w:tcPr>
            <w:tcW w:w="80" w:type="dxa"/>
            <w:vAlign w:val="bottom"/>
            <w:shd w:val="clear" w:color="auto" w:fill="FDFDFC"/>
          </w:tcPr>
          <w:p>
            <w:pPr>
              <w:spacing w:after="0"/>
              <w:rPr>
                <w:sz w:val="17"/>
                <w:szCs w:val="17"/>
                <w:color w:val="auto"/>
              </w:rPr>
            </w:pPr>
          </w:p>
        </w:tc>
        <w:tc>
          <w:tcPr>
            <w:tcW w:w="760" w:type="dxa"/>
            <w:vAlign w:val="bottom"/>
            <w:shd w:val="clear" w:color="auto" w:fill="FDFDFC"/>
          </w:tcPr>
          <w:p>
            <w:pPr>
              <w:spacing w:after="0"/>
              <w:rPr>
                <w:sz w:val="17"/>
                <w:szCs w:val="17"/>
                <w:color w:val="auto"/>
              </w:rPr>
            </w:pPr>
          </w:p>
        </w:tc>
        <w:tc>
          <w:tcPr>
            <w:tcW w:w="100" w:type="dxa"/>
            <w:vAlign w:val="bottom"/>
            <w:shd w:val="clear" w:color="auto" w:fill="FDFDFC"/>
          </w:tcPr>
          <w:p>
            <w:pPr>
              <w:spacing w:after="0"/>
              <w:rPr>
                <w:sz w:val="17"/>
                <w:szCs w:val="17"/>
                <w:color w:val="auto"/>
              </w:rPr>
            </w:pPr>
          </w:p>
        </w:tc>
        <w:tc>
          <w:tcPr>
            <w:tcW w:w="800" w:type="dxa"/>
            <w:vAlign w:val="bottom"/>
            <w:shd w:val="clear" w:color="auto" w:fill="FDFDFC"/>
          </w:tcPr>
          <w:p>
            <w:pPr>
              <w:spacing w:after="0"/>
              <w:rPr>
                <w:sz w:val="17"/>
                <w:szCs w:val="17"/>
                <w:color w:val="auto"/>
              </w:rPr>
            </w:pPr>
          </w:p>
        </w:tc>
        <w:tc>
          <w:tcPr>
            <w:tcW w:w="220" w:type="dxa"/>
            <w:vAlign w:val="bottom"/>
            <w:shd w:val="clear" w:color="auto" w:fill="FDFDFC"/>
          </w:tcPr>
          <w:p>
            <w:pPr>
              <w:spacing w:after="0"/>
              <w:rPr>
                <w:sz w:val="17"/>
                <w:szCs w:val="17"/>
                <w:color w:val="auto"/>
              </w:rPr>
            </w:pPr>
          </w:p>
        </w:tc>
        <w:tc>
          <w:tcPr>
            <w:tcW w:w="760" w:type="dxa"/>
            <w:vAlign w:val="bottom"/>
            <w:shd w:val="clear" w:color="auto" w:fill="FDFDFC"/>
          </w:tcPr>
          <w:p>
            <w:pPr>
              <w:spacing w:after="0"/>
              <w:rPr>
                <w:sz w:val="17"/>
                <w:szCs w:val="17"/>
                <w:color w:val="auto"/>
              </w:rPr>
            </w:pPr>
          </w:p>
        </w:tc>
        <w:tc>
          <w:tcPr>
            <w:tcW w:w="220" w:type="dxa"/>
            <w:vAlign w:val="bottom"/>
            <w:shd w:val="clear" w:color="auto" w:fill="FDFDFC"/>
          </w:tcPr>
          <w:p>
            <w:pPr>
              <w:spacing w:after="0"/>
              <w:rPr>
                <w:sz w:val="17"/>
                <w:szCs w:val="17"/>
                <w:color w:val="auto"/>
              </w:rPr>
            </w:pPr>
          </w:p>
        </w:tc>
        <w:tc>
          <w:tcPr>
            <w:tcW w:w="140" w:type="dxa"/>
            <w:vAlign w:val="bottom"/>
            <w:shd w:val="clear" w:color="auto" w:fill="FDFDFC"/>
          </w:tcPr>
          <w:p>
            <w:pPr>
              <w:spacing w:after="0"/>
              <w:rPr>
                <w:sz w:val="17"/>
                <w:szCs w:val="17"/>
                <w:color w:val="auto"/>
              </w:rPr>
            </w:pPr>
          </w:p>
        </w:tc>
        <w:tc>
          <w:tcPr>
            <w:tcW w:w="860" w:type="dxa"/>
            <w:vAlign w:val="bottom"/>
            <w:shd w:val="clear" w:color="auto" w:fill="FDFDFC"/>
          </w:tcPr>
          <w:p>
            <w:pPr>
              <w:spacing w:after="0"/>
              <w:rPr>
                <w:sz w:val="17"/>
                <w:szCs w:val="17"/>
                <w:color w:val="auto"/>
              </w:rPr>
            </w:pPr>
          </w:p>
        </w:tc>
        <w:tc>
          <w:tcPr>
            <w:tcW w:w="180" w:type="dxa"/>
            <w:vAlign w:val="bottom"/>
            <w:shd w:val="clear" w:color="auto" w:fill="FDFDFC"/>
          </w:tcPr>
          <w:p>
            <w:pPr>
              <w:spacing w:after="0"/>
              <w:rPr>
                <w:sz w:val="17"/>
                <w:szCs w:val="17"/>
                <w:color w:val="auto"/>
              </w:rPr>
            </w:pPr>
          </w:p>
        </w:tc>
        <w:tc>
          <w:tcPr>
            <w:tcW w:w="80" w:type="dxa"/>
            <w:vAlign w:val="bottom"/>
            <w:shd w:val="clear" w:color="auto" w:fill="FDFDFC"/>
          </w:tcPr>
          <w:p>
            <w:pPr>
              <w:spacing w:after="0"/>
              <w:rPr>
                <w:sz w:val="17"/>
                <w:szCs w:val="17"/>
                <w:color w:val="auto"/>
              </w:rPr>
            </w:pPr>
          </w:p>
        </w:tc>
        <w:tc>
          <w:tcPr>
            <w:tcW w:w="880" w:type="dxa"/>
            <w:vAlign w:val="bottom"/>
            <w:vMerge w:val="restart"/>
            <w:shd w:val="clear" w:color="auto" w:fill="FDFDFC"/>
          </w:tcPr>
          <w:p>
            <w:pPr>
              <w:jc w:val="right"/>
              <w:spacing w:after="0"/>
              <w:rPr>
                <w:sz w:val="20"/>
                <w:szCs w:val="20"/>
                <w:color w:val="auto"/>
              </w:rPr>
            </w:pPr>
            <w:r>
              <w:rPr>
                <w:rFonts w:ascii="Times New Roman" w:cs="Times New Roman" w:eastAsia="Times New Roman" w:hAnsi="Times New Roman"/>
                <w:sz w:val="15"/>
                <w:szCs w:val="15"/>
                <w:color w:val="231F20"/>
              </w:rPr>
              <w:t>(EUR 17,513)</w:t>
            </w:r>
          </w:p>
        </w:tc>
        <w:tc>
          <w:tcPr>
            <w:tcW w:w="220" w:type="dxa"/>
            <w:vAlign w:val="bottom"/>
            <w:tcBorders>
              <w:right w:val="single" w:sz="8" w:color="FDFDFC"/>
            </w:tcBorders>
            <w:shd w:val="clear" w:color="auto" w:fill="FDFDFC"/>
          </w:tcPr>
          <w:p>
            <w:pPr>
              <w:spacing w:after="0"/>
              <w:rPr>
                <w:sz w:val="17"/>
                <w:szCs w:val="17"/>
                <w:color w:val="auto"/>
              </w:rPr>
            </w:pPr>
          </w:p>
        </w:tc>
        <w:tc>
          <w:tcPr>
            <w:tcW w:w="880" w:type="dxa"/>
            <w:vAlign w:val="bottom"/>
            <w:shd w:val="clear" w:color="auto" w:fill="FDFDFC"/>
          </w:tcPr>
          <w:p>
            <w:pPr>
              <w:spacing w:after="0"/>
              <w:rPr>
                <w:sz w:val="17"/>
                <w:szCs w:val="17"/>
                <w:color w:val="auto"/>
              </w:rPr>
            </w:pPr>
          </w:p>
        </w:tc>
        <w:tc>
          <w:tcPr>
            <w:tcW w:w="240" w:type="dxa"/>
            <w:vAlign w:val="bottom"/>
            <w:shd w:val="clear" w:color="auto" w:fill="FDFDFC"/>
          </w:tcPr>
          <w:p>
            <w:pPr>
              <w:spacing w:after="0"/>
              <w:rPr>
                <w:sz w:val="17"/>
                <w:szCs w:val="17"/>
                <w:color w:val="auto"/>
              </w:rPr>
            </w:pPr>
          </w:p>
        </w:tc>
        <w:tc>
          <w:tcPr>
            <w:tcW w:w="0" w:type="dxa"/>
            <w:vAlign w:val="bottom"/>
          </w:tcPr>
          <w:p>
            <w:pPr>
              <w:spacing w:after="0"/>
              <w:rPr>
                <w:sz w:val="1"/>
                <w:szCs w:val="1"/>
                <w:color w:val="auto"/>
              </w:rPr>
            </w:pPr>
          </w:p>
        </w:tc>
      </w:tr>
      <w:tr>
        <w:trPr>
          <w:trHeight w:val="160"/>
        </w:trPr>
        <w:tc>
          <w:tcPr>
            <w:tcW w:w="1420" w:type="dxa"/>
            <w:vAlign w:val="bottom"/>
            <w:shd w:val="clear" w:color="auto" w:fill="FDFDFC"/>
          </w:tcPr>
          <w:p>
            <w:pPr>
              <w:spacing w:after="0"/>
              <w:rPr>
                <w:sz w:val="13"/>
                <w:szCs w:val="13"/>
                <w:color w:val="auto"/>
              </w:rPr>
            </w:pPr>
          </w:p>
        </w:tc>
        <w:tc>
          <w:tcPr>
            <w:tcW w:w="100" w:type="dxa"/>
            <w:vAlign w:val="bottom"/>
            <w:shd w:val="clear" w:color="auto" w:fill="FDFDFC"/>
          </w:tcPr>
          <w:p>
            <w:pPr>
              <w:spacing w:after="0"/>
              <w:rPr>
                <w:sz w:val="13"/>
                <w:szCs w:val="13"/>
                <w:color w:val="auto"/>
              </w:rPr>
            </w:pPr>
          </w:p>
        </w:tc>
        <w:tc>
          <w:tcPr>
            <w:tcW w:w="2340" w:type="dxa"/>
            <w:vAlign w:val="bottom"/>
            <w:shd w:val="clear" w:color="auto" w:fill="FDFDFC"/>
          </w:tcPr>
          <w:p>
            <w:pPr>
              <w:spacing w:after="0"/>
              <w:rPr>
                <w:sz w:val="13"/>
                <w:szCs w:val="13"/>
                <w:color w:val="auto"/>
              </w:rPr>
            </w:pPr>
          </w:p>
        </w:tc>
        <w:tc>
          <w:tcPr>
            <w:tcW w:w="80" w:type="dxa"/>
            <w:vAlign w:val="bottom"/>
            <w:shd w:val="clear" w:color="auto" w:fill="FDFDFC"/>
          </w:tcPr>
          <w:p>
            <w:pPr>
              <w:spacing w:after="0"/>
              <w:rPr>
                <w:sz w:val="13"/>
                <w:szCs w:val="13"/>
                <w:color w:val="auto"/>
              </w:rPr>
            </w:pPr>
          </w:p>
        </w:tc>
        <w:tc>
          <w:tcPr>
            <w:tcW w:w="760" w:type="dxa"/>
            <w:vAlign w:val="bottom"/>
            <w:shd w:val="clear" w:color="auto" w:fill="FDFDFC"/>
          </w:tcPr>
          <w:p>
            <w:pPr>
              <w:spacing w:after="0"/>
              <w:rPr>
                <w:sz w:val="13"/>
                <w:szCs w:val="13"/>
                <w:color w:val="auto"/>
              </w:rPr>
            </w:pPr>
          </w:p>
        </w:tc>
        <w:tc>
          <w:tcPr>
            <w:tcW w:w="100" w:type="dxa"/>
            <w:vAlign w:val="bottom"/>
            <w:shd w:val="clear" w:color="auto" w:fill="FDFDFC"/>
          </w:tcPr>
          <w:p>
            <w:pPr>
              <w:spacing w:after="0"/>
              <w:rPr>
                <w:sz w:val="13"/>
                <w:szCs w:val="13"/>
                <w:color w:val="auto"/>
              </w:rPr>
            </w:pPr>
          </w:p>
        </w:tc>
        <w:tc>
          <w:tcPr>
            <w:tcW w:w="800" w:type="dxa"/>
            <w:vAlign w:val="bottom"/>
            <w:shd w:val="clear" w:color="auto" w:fill="FDFDFC"/>
          </w:tcPr>
          <w:p>
            <w:pPr>
              <w:spacing w:after="0"/>
              <w:rPr>
                <w:sz w:val="13"/>
                <w:szCs w:val="13"/>
                <w:color w:val="auto"/>
              </w:rPr>
            </w:pPr>
          </w:p>
        </w:tc>
        <w:tc>
          <w:tcPr>
            <w:tcW w:w="220" w:type="dxa"/>
            <w:vAlign w:val="bottom"/>
            <w:shd w:val="clear" w:color="auto" w:fill="FDFDFC"/>
          </w:tcPr>
          <w:p>
            <w:pPr>
              <w:spacing w:after="0"/>
              <w:rPr>
                <w:sz w:val="13"/>
                <w:szCs w:val="13"/>
                <w:color w:val="auto"/>
              </w:rPr>
            </w:pPr>
          </w:p>
        </w:tc>
        <w:tc>
          <w:tcPr>
            <w:tcW w:w="760" w:type="dxa"/>
            <w:vAlign w:val="bottom"/>
            <w:shd w:val="clear" w:color="auto" w:fill="FDFDFC"/>
          </w:tcPr>
          <w:p>
            <w:pPr>
              <w:spacing w:after="0"/>
              <w:rPr>
                <w:sz w:val="13"/>
                <w:szCs w:val="13"/>
                <w:color w:val="auto"/>
              </w:rPr>
            </w:pPr>
          </w:p>
        </w:tc>
        <w:tc>
          <w:tcPr>
            <w:tcW w:w="220" w:type="dxa"/>
            <w:vAlign w:val="bottom"/>
            <w:shd w:val="clear" w:color="auto" w:fill="FDFDFC"/>
          </w:tcPr>
          <w:p>
            <w:pPr>
              <w:spacing w:after="0"/>
              <w:rPr>
                <w:sz w:val="13"/>
                <w:szCs w:val="13"/>
                <w:color w:val="auto"/>
              </w:rPr>
            </w:pPr>
          </w:p>
        </w:tc>
        <w:tc>
          <w:tcPr>
            <w:tcW w:w="140" w:type="dxa"/>
            <w:vAlign w:val="bottom"/>
            <w:shd w:val="clear" w:color="auto" w:fill="FDFDFC"/>
          </w:tcPr>
          <w:p>
            <w:pPr>
              <w:spacing w:after="0"/>
              <w:rPr>
                <w:sz w:val="13"/>
                <w:szCs w:val="13"/>
                <w:color w:val="auto"/>
              </w:rPr>
            </w:pPr>
          </w:p>
        </w:tc>
        <w:tc>
          <w:tcPr>
            <w:tcW w:w="860" w:type="dxa"/>
            <w:vAlign w:val="bottom"/>
            <w:shd w:val="clear" w:color="auto" w:fill="FDFDFC"/>
          </w:tcPr>
          <w:p>
            <w:pPr>
              <w:spacing w:after="0"/>
              <w:rPr>
                <w:sz w:val="13"/>
                <w:szCs w:val="13"/>
                <w:color w:val="auto"/>
              </w:rPr>
            </w:pPr>
          </w:p>
        </w:tc>
        <w:tc>
          <w:tcPr>
            <w:tcW w:w="180" w:type="dxa"/>
            <w:vAlign w:val="bottom"/>
            <w:shd w:val="clear" w:color="auto" w:fill="FDFDFC"/>
          </w:tcPr>
          <w:p>
            <w:pPr>
              <w:spacing w:after="0"/>
              <w:rPr>
                <w:sz w:val="13"/>
                <w:szCs w:val="13"/>
                <w:color w:val="auto"/>
              </w:rPr>
            </w:pPr>
          </w:p>
        </w:tc>
        <w:tc>
          <w:tcPr>
            <w:tcW w:w="80" w:type="dxa"/>
            <w:vAlign w:val="bottom"/>
            <w:shd w:val="clear" w:color="auto" w:fill="FDFDFC"/>
          </w:tcPr>
          <w:p>
            <w:pPr>
              <w:spacing w:after="0"/>
              <w:rPr>
                <w:sz w:val="13"/>
                <w:szCs w:val="13"/>
                <w:color w:val="auto"/>
              </w:rPr>
            </w:pPr>
          </w:p>
        </w:tc>
        <w:tc>
          <w:tcPr>
            <w:tcW w:w="880" w:type="dxa"/>
            <w:vAlign w:val="bottom"/>
            <w:vMerge w:val="continue"/>
            <w:shd w:val="clear" w:color="auto" w:fill="FDFDFC"/>
          </w:tcPr>
          <w:p>
            <w:pPr>
              <w:spacing w:after="0"/>
              <w:rPr>
                <w:sz w:val="13"/>
                <w:szCs w:val="13"/>
                <w:color w:val="auto"/>
              </w:rPr>
            </w:pPr>
          </w:p>
        </w:tc>
        <w:tc>
          <w:tcPr>
            <w:tcW w:w="220" w:type="dxa"/>
            <w:vAlign w:val="bottom"/>
            <w:tcBorders>
              <w:right w:val="single" w:sz="8" w:color="FDFDFC"/>
            </w:tcBorders>
            <w:shd w:val="clear" w:color="auto" w:fill="FDFDFC"/>
          </w:tcPr>
          <w:p>
            <w:pPr>
              <w:spacing w:after="0"/>
              <w:rPr>
                <w:sz w:val="13"/>
                <w:szCs w:val="13"/>
                <w:color w:val="auto"/>
              </w:rPr>
            </w:pPr>
          </w:p>
        </w:tc>
        <w:tc>
          <w:tcPr>
            <w:tcW w:w="880" w:type="dxa"/>
            <w:vAlign w:val="bottom"/>
            <w:shd w:val="clear" w:color="auto" w:fill="FDFDFC"/>
          </w:tcPr>
          <w:p>
            <w:pPr>
              <w:spacing w:after="0"/>
              <w:rPr>
                <w:sz w:val="13"/>
                <w:szCs w:val="13"/>
                <w:color w:val="auto"/>
              </w:rPr>
            </w:pPr>
          </w:p>
        </w:tc>
        <w:tc>
          <w:tcPr>
            <w:tcW w:w="240" w:type="dxa"/>
            <w:vAlign w:val="bottom"/>
            <w:shd w:val="clear" w:color="auto" w:fill="FDFDFC"/>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1420" w:type="dxa"/>
            <w:vAlign w:val="bottom"/>
            <w:shd w:val="clear" w:color="auto" w:fill="D0EBF2"/>
          </w:tcPr>
          <w:p>
            <w:pPr>
              <w:spacing w:after="0" w:line="159" w:lineRule="exact"/>
              <w:rPr>
                <w:sz w:val="20"/>
                <w:szCs w:val="20"/>
                <w:color w:val="auto"/>
              </w:rPr>
            </w:pPr>
            <w:r>
              <w:rPr>
                <w:rFonts w:ascii="Times New Roman" w:cs="Times New Roman" w:eastAsia="Times New Roman" w:hAnsi="Times New Roman"/>
                <w:sz w:val="15"/>
                <w:szCs w:val="15"/>
                <w:color w:val="231F20"/>
              </w:rPr>
              <w:t>BCTO Ignition</w:t>
            </w:r>
          </w:p>
        </w:tc>
        <w:tc>
          <w:tcPr>
            <w:tcW w:w="100" w:type="dxa"/>
            <w:vAlign w:val="bottom"/>
            <w:shd w:val="clear" w:color="auto" w:fill="D0EBF2"/>
          </w:tcPr>
          <w:p>
            <w:pPr>
              <w:spacing w:after="0"/>
              <w:rPr>
                <w:sz w:val="13"/>
                <w:szCs w:val="13"/>
                <w:color w:val="auto"/>
              </w:rPr>
            </w:pPr>
          </w:p>
        </w:tc>
        <w:tc>
          <w:tcPr>
            <w:tcW w:w="2340" w:type="dxa"/>
            <w:vAlign w:val="bottom"/>
            <w:shd w:val="clear" w:color="auto" w:fill="D0EBF2"/>
          </w:tcPr>
          <w:p>
            <w:pPr>
              <w:spacing w:after="0" w:line="159" w:lineRule="exact"/>
              <w:rPr>
                <w:sz w:val="20"/>
                <w:szCs w:val="20"/>
                <w:color w:val="auto"/>
              </w:rPr>
            </w:pPr>
            <w:r>
              <w:rPr>
                <w:rFonts w:ascii="Times New Roman" w:cs="Times New Roman" w:eastAsia="Times New Roman" w:hAnsi="Times New Roman"/>
                <w:sz w:val="15"/>
                <w:szCs w:val="15"/>
                <w:color w:val="231F20"/>
              </w:rPr>
              <w:t>First-lien holdco loan ($31,935 par,</w:t>
            </w:r>
          </w:p>
        </w:tc>
        <w:tc>
          <w:tcPr>
            <w:tcW w:w="840" w:type="dxa"/>
            <w:vAlign w:val="bottom"/>
            <w:gridSpan w:val="2"/>
            <w:shd w:val="clear" w:color="auto" w:fill="D0EBF2"/>
          </w:tcPr>
          <w:p>
            <w:pPr>
              <w:jc w:val="right"/>
              <w:spacing w:after="0" w:line="159" w:lineRule="exact"/>
              <w:rPr>
                <w:sz w:val="20"/>
                <w:szCs w:val="20"/>
                <w:color w:val="auto"/>
              </w:rPr>
            </w:pPr>
            <w:r>
              <w:rPr>
                <w:rFonts w:ascii="Times New Roman" w:cs="Times New Roman" w:eastAsia="Times New Roman" w:hAnsi="Times New Roman"/>
                <w:sz w:val="15"/>
                <w:szCs w:val="15"/>
                <w:color w:val="231F20"/>
              </w:rPr>
              <w:t>4/18/2023</w:t>
            </w:r>
          </w:p>
        </w:tc>
        <w:tc>
          <w:tcPr>
            <w:tcW w:w="100" w:type="dxa"/>
            <w:vAlign w:val="bottom"/>
            <w:shd w:val="clear" w:color="auto" w:fill="D0EBF2"/>
          </w:tcPr>
          <w:p>
            <w:pPr>
              <w:spacing w:after="0"/>
              <w:rPr>
                <w:sz w:val="13"/>
                <w:szCs w:val="13"/>
                <w:color w:val="auto"/>
              </w:rPr>
            </w:pPr>
          </w:p>
        </w:tc>
        <w:tc>
          <w:tcPr>
            <w:tcW w:w="1020" w:type="dxa"/>
            <w:vAlign w:val="bottom"/>
            <w:gridSpan w:val="2"/>
            <w:shd w:val="clear" w:color="auto" w:fill="D0EBF2"/>
          </w:tcPr>
          <w:p>
            <w:pPr>
              <w:jc w:val="right"/>
              <w:ind w:right="240"/>
              <w:spacing w:after="0" w:line="159" w:lineRule="exact"/>
              <w:rPr>
                <w:sz w:val="20"/>
                <w:szCs w:val="20"/>
                <w:color w:val="auto"/>
              </w:rPr>
            </w:pPr>
            <w:r>
              <w:rPr>
                <w:rFonts w:ascii="Times New Roman" w:cs="Times New Roman" w:eastAsia="Times New Roman" w:hAnsi="Times New Roman"/>
                <w:sz w:val="15"/>
                <w:szCs w:val="15"/>
                <w:color w:val="231F20"/>
              </w:rPr>
              <w:t>SOFR</w:t>
            </w:r>
          </w:p>
        </w:tc>
        <w:tc>
          <w:tcPr>
            <w:tcW w:w="760" w:type="dxa"/>
            <w:vAlign w:val="bottom"/>
            <w:shd w:val="clear" w:color="auto" w:fill="D0EBF2"/>
          </w:tcPr>
          <w:p>
            <w:pPr>
              <w:jc w:val="right"/>
              <w:spacing w:after="0" w:line="159" w:lineRule="exact"/>
              <w:rPr>
                <w:sz w:val="20"/>
                <w:szCs w:val="20"/>
                <w:color w:val="auto"/>
              </w:rPr>
            </w:pPr>
            <w:r>
              <w:rPr>
                <w:rFonts w:ascii="Times New Roman" w:cs="Times New Roman" w:eastAsia="Times New Roman" w:hAnsi="Times New Roman"/>
                <w:sz w:val="15"/>
                <w:szCs w:val="15"/>
                <w:color w:val="231F20"/>
              </w:rPr>
              <w:t>14.40%</w:t>
            </w:r>
          </w:p>
        </w:tc>
        <w:tc>
          <w:tcPr>
            <w:tcW w:w="220" w:type="dxa"/>
            <w:vAlign w:val="bottom"/>
            <w:shd w:val="clear" w:color="auto" w:fill="D0EBF2"/>
          </w:tcPr>
          <w:p>
            <w:pPr>
              <w:spacing w:after="0"/>
              <w:rPr>
                <w:sz w:val="13"/>
                <w:szCs w:val="13"/>
                <w:color w:val="auto"/>
              </w:rPr>
            </w:pPr>
          </w:p>
        </w:tc>
        <w:tc>
          <w:tcPr>
            <w:tcW w:w="140" w:type="dxa"/>
            <w:vAlign w:val="bottom"/>
            <w:shd w:val="clear" w:color="auto" w:fill="D0EBF2"/>
          </w:tcPr>
          <w:p>
            <w:pPr>
              <w:spacing w:after="0"/>
              <w:rPr>
                <w:sz w:val="13"/>
                <w:szCs w:val="13"/>
                <w:color w:val="auto"/>
              </w:rPr>
            </w:pPr>
          </w:p>
        </w:tc>
        <w:tc>
          <w:tcPr>
            <w:tcW w:w="860" w:type="dxa"/>
            <w:vAlign w:val="bottom"/>
            <w:shd w:val="clear" w:color="auto" w:fill="D0EBF2"/>
          </w:tcPr>
          <w:p>
            <w:pPr>
              <w:jc w:val="right"/>
              <w:spacing w:after="0" w:line="159" w:lineRule="exact"/>
              <w:rPr>
                <w:sz w:val="20"/>
                <w:szCs w:val="20"/>
                <w:color w:val="auto"/>
              </w:rPr>
            </w:pPr>
            <w:r>
              <w:rPr>
                <w:rFonts w:ascii="Times New Roman" w:cs="Times New Roman" w:eastAsia="Times New Roman" w:hAnsi="Times New Roman"/>
                <w:sz w:val="15"/>
                <w:szCs w:val="15"/>
                <w:color w:val="231F20"/>
              </w:rPr>
              <w:t>31,086</w:t>
            </w:r>
          </w:p>
        </w:tc>
        <w:tc>
          <w:tcPr>
            <w:tcW w:w="180" w:type="dxa"/>
            <w:vAlign w:val="bottom"/>
            <w:shd w:val="clear" w:color="auto" w:fill="D0EBF2"/>
          </w:tcPr>
          <w:p>
            <w:pPr>
              <w:spacing w:after="0"/>
              <w:rPr>
                <w:sz w:val="13"/>
                <w:szCs w:val="13"/>
                <w:color w:val="auto"/>
              </w:rPr>
            </w:pPr>
          </w:p>
        </w:tc>
        <w:tc>
          <w:tcPr>
            <w:tcW w:w="80" w:type="dxa"/>
            <w:vAlign w:val="bottom"/>
            <w:shd w:val="clear" w:color="auto" w:fill="D0EBF2"/>
          </w:tcPr>
          <w:p>
            <w:pPr>
              <w:spacing w:after="0"/>
              <w:rPr>
                <w:sz w:val="13"/>
                <w:szCs w:val="13"/>
                <w:color w:val="auto"/>
              </w:rPr>
            </w:pPr>
          </w:p>
        </w:tc>
        <w:tc>
          <w:tcPr>
            <w:tcW w:w="880" w:type="dxa"/>
            <w:vAlign w:val="bottom"/>
            <w:shd w:val="clear" w:color="auto" w:fill="D0EBF2"/>
          </w:tcPr>
          <w:p>
            <w:pPr>
              <w:jc w:val="right"/>
              <w:spacing w:after="0" w:line="159" w:lineRule="exact"/>
              <w:rPr>
                <w:sz w:val="20"/>
                <w:szCs w:val="20"/>
                <w:color w:val="auto"/>
              </w:rPr>
            </w:pPr>
            <w:r>
              <w:rPr>
                <w:rFonts w:ascii="Times New Roman" w:cs="Times New Roman" w:eastAsia="Times New Roman" w:hAnsi="Times New Roman"/>
                <w:sz w:val="15"/>
                <w:szCs w:val="15"/>
                <w:color w:val="231F20"/>
              </w:rPr>
              <w:t>31,775</w:t>
            </w:r>
          </w:p>
        </w:tc>
        <w:tc>
          <w:tcPr>
            <w:tcW w:w="1340" w:type="dxa"/>
            <w:vAlign w:val="bottom"/>
            <w:gridSpan w:val="3"/>
            <w:shd w:val="clear" w:color="auto" w:fill="D0EBF2"/>
          </w:tcPr>
          <w:p>
            <w:pPr>
              <w:jc w:val="right"/>
              <w:ind w:right="120"/>
              <w:spacing w:after="0" w:line="159" w:lineRule="exact"/>
              <w:rPr>
                <w:sz w:val="20"/>
                <w:szCs w:val="20"/>
                <w:color w:val="auto"/>
              </w:rPr>
            </w:pPr>
            <w:r>
              <w:rPr>
                <w:rFonts w:ascii="Times New Roman" w:cs="Times New Roman" w:eastAsia="Times New Roman" w:hAnsi="Times New Roman"/>
                <w:sz w:val="15"/>
                <w:szCs w:val="15"/>
                <w:color w:val="231F20"/>
              </w:rPr>
              <w:t>2.1%</w:t>
            </w:r>
          </w:p>
        </w:tc>
        <w:tc>
          <w:tcPr>
            <w:tcW w:w="0" w:type="dxa"/>
            <w:vAlign w:val="bottom"/>
          </w:tcPr>
          <w:p>
            <w:pPr>
              <w:spacing w:after="0"/>
              <w:rPr>
                <w:sz w:val="1"/>
                <w:szCs w:val="1"/>
                <w:color w:val="auto"/>
              </w:rPr>
            </w:pPr>
          </w:p>
        </w:tc>
      </w:tr>
      <w:tr>
        <w:trPr>
          <w:trHeight w:val="174"/>
        </w:trPr>
        <w:tc>
          <w:tcPr>
            <w:tcW w:w="1420" w:type="dxa"/>
            <w:vAlign w:val="bottom"/>
            <w:shd w:val="clear" w:color="auto" w:fill="D0EBF2"/>
          </w:tcPr>
          <w:p>
            <w:pPr>
              <w:spacing w:after="0"/>
              <w:rPr>
                <w:sz w:val="20"/>
                <w:szCs w:val="20"/>
                <w:color w:val="auto"/>
              </w:rPr>
            </w:pPr>
            <w:r>
              <w:rPr>
                <w:rFonts w:ascii="Times New Roman" w:cs="Times New Roman" w:eastAsia="Times New Roman" w:hAnsi="Times New Roman"/>
                <w:sz w:val="15"/>
                <w:szCs w:val="15"/>
                <w:color w:val="231F20"/>
              </w:rPr>
              <w:t>Purchaser,</w:t>
            </w:r>
          </w:p>
        </w:tc>
        <w:tc>
          <w:tcPr>
            <w:tcW w:w="100" w:type="dxa"/>
            <w:vAlign w:val="bottom"/>
            <w:shd w:val="clear" w:color="auto" w:fill="D0EBF2"/>
          </w:tcPr>
          <w:p>
            <w:pPr>
              <w:spacing w:after="0"/>
              <w:rPr>
                <w:sz w:val="15"/>
                <w:szCs w:val="15"/>
                <w:color w:val="auto"/>
              </w:rPr>
            </w:pPr>
          </w:p>
        </w:tc>
        <w:tc>
          <w:tcPr>
            <w:tcW w:w="2340" w:type="dxa"/>
            <w:vAlign w:val="bottom"/>
            <w:shd w:val="clear" w:color="auto" w:fill="D0EBF2"/>
          </w:tcPr>
          <w:p>
            <w:pPr>
              <w:spacing w:after="0"/>
              <w:rPr>
                <w:sz w:val="20"/>
                <w:szCs w:val="20"/>
                <w:color w:val="auto"/>
              </w:rPr>
            </w:pPr>
            <w:r>
              <w:rPr>
                <w:rFonts w:ascii="Times New Roman" w:cs="Times New Roman" w:eastAsia="Times New Roman" w:hAnsi="Times New Roman"/>
                <w:sz w:val="15"/>
                <w:szCs w:val="15"/>
                <w:color w:val="231F20"/>
              </w:rPr>
              <w:t>due 10/2030)</w:t>
            </w:r>
          </w:p>
        </w:tc>
        <w:tc>
          <w:tcPr>
            <w:tcW w:w="80" w:type="dxa"/>
            <w:vAlign w:val="bottom"/>
            <w:shd w:val="clear" w:color="auto" w:fill="D0EBF2"/>
          </w:tcPr>
          <w:p>
            <w:pPr>
              <w:spacing w:after="0"/>
              <w:rPr>
                <w:sz w:val="15"/>
                <w:szCs w:val="15"/>
                <w:color w:val="auto"/>
              </w:rPr>
            </w:pPr>
          </w:p>
        </w:tc>
        <w:tc>
          <w:tcPr>
            <w:tcW w:w="760" w:type="dxa"/>
            <w:vAlign w:val="bottom"/>
            <w:shd w:val="clear" w:color="auto" w:fill="D0EBF2"/>
          </w:tcPr>
          <w:p>
            <w:pPr>
              <w:spacing w:after="0"/>
              <w:rPr>
                <w:sz w:val="15"/>
                <w:szCs w:val="15"/>
                <w:color w:val="auto"/>
              </w:rPr>
            </w:pPr>
          </w:p>
        </w:tc>
        <w:tc>
          <w:tcPr>
            <w:tcW w:w="900" w:type="dxa"/>
            <w:vAlign w:val="bottom"/>
            <w:gridSpan w:val="2"/>
            <w:shd w:val="clear" w:color="auto" w:fill="D0EBF2"/>
          </w:tcPr>
          <w:p>
            <w:pPr>
              <w:jc w:val="right"/>
              <w:spacing w:after="0"/>
              <w:rPr>
                <w:sz w:val="20"/>
                <w:szCs w:val="20"/>
                <w:color w:val="auto"/>
              </w:rPr>
            </w:pPr>
            <w:r>
              <w:rPr>
                <w:rFonts w:ascii="Times New Roman" w:cs="Times New Roman" w:eastAsia="Times New Roman" w:hAnsi="Times New Roman"/>
                <w:sz w:val="15"/>
                <w:szCs w:val="15"/>
                <w:color w:val="231F20"/>
              </w:rPr>
              <w:t>+ 9.00%</w:t>
            </w:r>
          </w:p>
        </w:tc>
        <w:tc>
          <w:tcPr>
            <w:tcW w:w="220" w:type="dxa"/>
            <w:vAlign w:val="bottom"/>
            <w:shd w:val="clear" w:color="auto" w:fill="D0EBF2"/>
          </w:tcPr>
          <w:p>
            <w:pPr>
              <w:spacing w:after="0"/>
              <w:rPr>
                <w:sz w:val="15"/>
                <w:szCs w:val="15"/>
                <w:color w:val="auto"/>
              </w:rPr>
            </w:pPr>
          </w:p>
        </w:tc>
        <w:tc>
          <w:tcPr>
            <w:tcW w:w="980" w:type="dxa"/>
            <w:vAlign w:val="bottom"/>
            <w:gridSpan w:val="2"/>
            <w:shd w:val="clear" w:color="auto" w:fill="D0EBF2"/>
          </w:tcPr>
          <w:p>
            <w:pPr>
              <w:jc w:val="right"/>
              <w:ind w:right="240"/>
              <w:spacing w:after="0"/>
              <w:rPr>
                <w:sz w:val="20"/>
                <w:szCs w:val="20"/>
                <w:color w:val="auto"/>
              </w:rPr>
            </w:pPr>
            <w:r>
              <w:rPr>
                <w:rFonts w:ascii="Times New Roman" w:cs="Times New Roman" w:eastAsia="Times New Roman" w:hAnsi="Times New Roman"/>
                <w:sz w:val="15"/>
                <w:szCs w:val="15"/>
                <w:color w:val="231F20"/>
              </w:rPr>
              <w:t>PIK</w:t>
            </w:r>
          </w:p>
        </w:tc>
        <w:tc>
          <w:tcPr>
            <w:tcW w:w="140" w:type="dxa"/>
            <w:vAlign w:val="bottom"/>
            <w:shd w:val="clear" w:color="auto" w:fill="D0EBF2"/>
          </w:tcPr>
          <w:p>
            <w:pPr>
              <w:spacing w:after="0"/>
              <w:rPr>
                <w:sz w:val="15"/>
                <w:szCs w:val="15"/>
                <w:color w:val="auto"/>
              </w:rPr>
            </w:pPr>
          </w:p>
        </w:tc>
        <w:tc>
          <w:tcPr>
            <w:tcW w:w="860" w:type="dxa"/>
            <w:vAlign w:val="bottom"/>
            <w:shd w:val="clear" w:color="auto" w:fill="D0EBF2"/>
          </w:tcPr>
          <w:p>
            <w:pPr>
              <w:spacing w:after="0"/>
              <w:rPr>
                <w:sz w:val="15"/>
                <w:szCs w:val="15"/>
                <w:color w:val="auto"/>
              </w:rPr>
            </w:pPr>
          </w:p>
        </w:tc>
        <w:tc>
          <w:tcPr>
            <w:tcW w:w="180" w:type="dxa"/>
            <w:vAlign w:val="bottom"/>
            <w:shd w:val="clear" w:color="auto" w:fill="D0EBF2"/>
          </w:tcPr>
          <w:p>
            <w:pPr>
              <w:spacing w:after="0"/>
              <w:rPr>
                <w:sz w:val="15"/>
                <w:szCs w:val="15"/>
                <w:color w:val="auto"/>
              </w:rPr>
            </w:pPr>
          </w:p>
        </w:tc>
        <w:tc>
          <w:tcPr>
            <w:tcW w:w="80" w:type="dxa"/>
            <w:vAlign w:val="bottom"/>
            <w:shd w:val="clear" w:color="auto" w:fill="D0EBF2"/>
          </w:tcPr>
          <w:p>
            <w:pPr>
              <w:spacing w:after="0"/>
              <w:rPr>
                <w:sz w:val="15"/>
                <w:szCs w:val="15"/>
                <w:color w:val="auto"/>
              </w:rPr>
            </w:pPr>
          </w:p>
        </w:tc>
        <w:tc>
          <w:tcPr>
            <w:tcW w:w="880" w:type="dxa"/>
            <w:vAlign w:val="bottom"/>
            <w:shd w:val="clear" w:color="auto" w:fill="D0EBF2"/>
          </w:tcPr>
          <w:p>
            <w:pPr>
              <w:spacing w:after="0"/>
              <w:rPr>
                <w:sz w:val="15"/>
                <w:szCs w:val="15"/>
                <w:color w:val="auto"/>
              </w:rPr>
            </w:pPr>
          </w:p>
        </w:tc>
        <w:tc>
          <w:tcPr>
            <w:tcW w:w="220" w:type="dxa"/>
            <w:vAlign w:val="bottom"/>
            <w:tcBorders>
              <w:right w:val="single" w:sz="8" w:color="D0EBF2"/>
            </w:tcBorders>
            <w:shd w:val="clear" w:color="auto" w:fill="D0EBF2"/>
          </w:tcPr>
          <w:p>
            <w:pPr>
              <w:spacing w:after="0"/>
              <w:rPr>
                <w:sz w:val="15"/>
                <w:szCs w:val="15"/>
                <w:color w:val="auto"/>
              </w:rPr>
            </w:pPr>
          </w:p>
        </w:tc>
        <w:tc>
          <w:tcPr>
            <w:tcW w:w="880" w:type="dxa"/>
            <w:vAlign w:val="bottom"/>
            <w:shd w:val="clear" w:color="auto" w:fill="D0EBF2"/>
          </w:tcPr>
          <w:p>
            <w:pPr>
              <w:spacing w:after="0"/>
              <w:rPr>
                <w:sz w:val="15"/>
                <w:szCs w:val="15"/>
                <w:color w:val="auto"/>
              </w:rPr>
            </w:pPr>
          </w:p>
        </w:tc>
        <w:tc>
          <w:tcPr>
            <w:tcW w:w="240" w:type="dxa"/>
            <w:vAlign w:val="bottom"/>
            <w:shd w:val="clear" w:color="auto" w:fill="D0EBF2"/>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1420" w:type="dxa"/>
            <w:vAlign w:val="bottom"/>
            <w:shd w:val="clear" w:color="auto" w:fill="D0EBF2"/>
          </w:tcPr>
          <w:p>
            <w:pPr>
              <w:spacing w:after="0"/>
              <w:rPr>
                <w:sz w:val="20"/>
                <w:szCs w:val="20"/>
                <w:color w:val="auto"/>
              </w:rPr>
            </w:pPr>
            <w:r>
              <w:rPr>
                <w:rFonts w:ascii="Times New Roman" w:cs="Times New Roman" w:eastAsia="Times New Roman" w:hAnsi="Times New Roman"/>
                <w:sz w:val="15"/>
                <w:szCs w:val="15"/>
                <w:color w:val="231F20"/>
              </w:rPr>
              <w:t xml:space="preserve">Inc. </w:t>
            </w:r>
            <w:r>
              <w:rPr>
                <w:rFonts w:ascii="Times New Roman" w:cs="Times New Roman" w:eastAsia="Times New Roman" w:hAnsi="Times New Roman"/>
                <w:sz w:val="9"/>
                <w:szCs w:val="9"/>
                <w:color w:val="231F20"/>
              </w:rPr>
              <w:t>(3)</w:t>
            </w:r>
          </w:p>
        </w:tc>
        <w:tc>
          <w:tcPr>
            <w:tcW w:w="100" w:type="dxa"/>
            <w:vAlign w:val="bottom"/>
            <w:shd w:val="clear" w:color="auto" w:fill="D0EBF2"/>
          </w:tcPr>
          <w:p>
            <w:pPr>
              <w:spacing w:after="0"/>
              <w:rPr>
                <w:sz w:val="16"/>
                <w:szCs w:val="16"/>
                <w:color w:val="auto"/>
              </w:rPr>
            </w:pPr>
          </w:p>
        </w:tc>
        <w:tc>
          <w:tcPr>
            <w:tcW w:w="2340" w:type="dxa"/>
            <w:vAlign w:val="bottom"/>
            <w:shd w:val="clear" w:color="auto" w:fill="D0EBF2"/>
          </w:tcPr>
          <w:p>
            <w:pPr>
              <w:spacing w:after="0"/>
              <w:rPr>
                <w:sz w:val="16"/>
                <w:szCs w:val="16"/>
                <w:color w:val="auto"/>
              </w:rPr>
            </w:pPr>
          </w:p>
        </w:tc>
        <w:tc>
          <w:tcPr>
            <w:tcW w:w="80" w:type="dxa"/>
            <w:vAlign w:val="bottom"/>
            <w:shd w:val="clear" w:color="auto" w:fill="D0EBF2"/>
          </w:tcPr>
          <w:p>
            <w:pPr>
              <w:spacing w:after="0"/>
              <w:rPr>
                <w:sz w:val="16"/>
                <w:szCs w:val="16"/>
                <w:color w:val="auto"/>
              </w:rPr>
            </w:pPr>
          </w:p>
        </w:tc>
        <w:tc>
          <w:tcPr>
            <w:tcW w:w="760" w:type="dxa"/>
            <w:vAlign w:val="bottom"/>
            <w:shd w:val="clear" w:color="auto" w:fill="D0EBF2"/>
          </w:tcPr>
          <w:p>
            <w:pPr>
              <w:spacing w:after="0"/>
              <w:rPr>
                <w:sz w:val="16"/>
                <w:szCs w:val="16"/>
                <w:color w:val="auto"/>
              </w:rPr>
            </w:pPr>
          </w:p>
        </w:tc>
        <w:tc>
          <w:tcPr>
            <w:tcW w:w="100" w:type="dxa"/>
            <w:vAlign w:val="bottom"/>
            <w:shd w:val="clear" w:color="auto" w:fill="D0EBF2"/>
          </w:tcPr>
          <w:p>
            <w:pPr>
              <w:spacing w:after="0"/>
              <w:rPr>
                <w:sz w:val="16"/>
                <w:szCs w:val="16"/>
                <w:color w:val="auto"/>
              </w:rPr>
            </w:pPr>
          </w:p>
        </w:tc>
        <w:tc>
          <w:tcPr>
            <w:tcW w:w="800" w:type="dxa"/>
            <w:vAlign w:val="bottom"/>
            <w:shd w:val="clear" w:color="auto" w:fill="D0EBF2"/>
          </w:tcPr>
          <w:p>
            <w:pPr>
              <w:spacing w:after="0"/>
              <w:rPr>
                <w:sz w:val="16"/>
                <w:szCs w:val="16"/>
                <w:color w:val="auto"/>
              </w:rPr>
            </w:pPr>
          </w:p>
        </w:tc>
        <w:tc>
          <w:tcPr>
            <w:tcW w:w="220" w:type="dxa"/>
            <w:vAlign w:val="bottom"/>
            <w:shd w:val="clear" w:color="auto" w:fill="D0EBF2"/>
          </w:tcPr>
          <w:p>
            <w:pPr>
              <w:spacing w:after="0"/>
              <w:rPr>
                <w:sz w:val="16"/>
                <w:szCs w:val="16"/>
                <w:color w:val="auto"/>
              </w:rPr>
            </w:pPr>
          </w:p>
        </w:tc>
        <w:tc>
          <w:tcPr>
            <w:tcW w:w="760" w:type="dxa"/>
            <w:vAlign w:val="bottom"/>
            <w:shd w:val="clear" w:color="auto" w:fill="D0EBF2"/>
          </w:tcPr>
          <w:p>
            <w:pPr>
              <w:spacing w:after="0"/>
              <w:rPr>
                <w:sz w:val="16"/>
                <w:szCs w:val="16"/>
                <w:color w:val="auto"/>
              </w:rPr>
            </w:pPr>
          </w:p>
        </w:tc>
        <w:tc>
          <w:tcPr>
            <w:tcW w:w="220" w:type="dxa"/>
            <w:vAlign w:val="bottom"/>
            <w:shd w:val="clear" w:color="auto" w:fill="D0EBF2"/>
          </w:tcPr>
          <w:p>
            <w:pPr>
              <w:spacing w:after="0"/>
              <w:rPr>
                <w:sz w:val="16"/>
                <w:szCs w:val="16"/>
                <w:color w:val="auto"/>
              </w:rPr>
            </w:pPr>
          </w:p>
        </w:tc>
        <w:tc>
          <w:tcPr>
            <w:tcW w:w="140" w:type="dxa"/>
            <w:vAlign w:val="bottom"/>
            <w:shd w:val="clear" w:color="auto" w:fill="D0EBF2"/>
          </w:tcPr>
          <w:p>
            <w:pPr>
              <w:spacing w:after="0"/>
              <w:rPr>
                <w:sz w:val="16"/>
                <w:szCs w:val="16"/>
                <w:color w:val="auto"/>
              </w:rPr>
            </w:pPr>
          </w:p>
        </w:tc>
        <w:tc>
          <w:tcPr>
            <w:tcW w:w="860" w:type="dxa"/>
            <w:vAlign w:val="bottom"/>
            <w:shd w:val="clear" w:color="auto" w:fill="D0EBF2"/>
          </w:tcPr>
          <w:p>
            <w:pPr>
              <w:spacing w:after="0"/>
              <w:rPr>
                <w:sz w:val="16"/>
                <w:szCs w:val="16"/>
                <w:color w:val="auto"/>
              </w:rPr>
            </w:pPr>
          </w:p>
        </w:tc>
        <w:tc>
          <w:tcPr>
            <w:tcW w:w="180" w:type="dxa"/>
            <w:vAlign w:val="bottom"/>
            <w:shd w:val="clear" w:color="auto" w:fill="D0EBF2"/>
          </w:tcPr>
          <w:p>
            <w:pPr>
              <w:spacing w:after="0"/>
              <w:rPr>
                <w:sz w:val="16"/>
                <w:szCs w:val="16"/>
                <w:color w:val="auto"/>
              </w:rPr>
            </w:pPr>
          </w:p>
        </w:tc>
        <w:tc>
          <w:tcPr>
            <w:tcW w:w="80" w:type="dxa"/>
            <w:vAlign w:val="bottom"/>
            <w:shd w:val="clear" w:color="auto" w:fill="D0EBF2"/>
          </w:tcPr>
          <w:p>
            <w:pPr>
              <w:spacing w:after="0"/>
              <w:rPr>
                <w:sz w:val="16"/>
                <w:szCs w:val="16"/>
                <w:color w:val="auto"/>
              </w:rPr>
            </w:pPr>
          </w:p>
        </w:tc>
        <w:tc>
          <w:tcPr>
            <w:tcW w:w="880" w:type="dxa"/>
            <w:vAlign w:val="bottom"/>
            <w:shd w:val="clear" w:color="auto" w:fill="D0EBF2"/>
          </w:tcPr>
          <w:p>
            <w:pPr>
              <w:spacing w:after="0"/>
              <w:rPr>
                <w:sz w:val="16"/>
                <w:szCs w:val="16"/>
                <w:color w:val="auto"/>
              </w:rPr>
            </w:pPr>
          </w:p>
        </w:tc>
        <w:tc>
          <w:tcPr>
            <w:tcW w:w="220" w:type="dxa"/>
            <w:vAlign w:val="bottom"/>
            <w:tcBorders>
              <w:right w:val="single" w:sz="8" w:color="D0EBF2"/>
            </w:tcBorders>
            <w:shd w:val="clear" w:color="auto" w:fill="D0EBF2"/>
          </w:tcPr>
          <w:p>
            <w:pPr>
              <w:spacing w:after="0"/>
              <w:rPr>
                <w:sz w:val="16"/>
                <w:szCs w:val="16"/>
                <w:color w:val="auto"/>
              </w:rPr>
            </w:pPr>
          </w:p>
        </w:tc>
        <w:tc>
          <w:tcPr>
            <w:tcW w:w="880" w:type="dxa"/>
            <w:vAlign w:val="bottom"/>
            <w:shd w:val="clear" w:color="auto" w:fill="D0EBF2"/>
          </w:tcPr>
          <w:p>
            <w:pPr>
              <w:spacing w:after="0"/>
              <w:rPr>
                <w:sz w:val="16"/>
                <w:szCs w:val="16"/>
                <w:color w:val="auto"/>
              </w:rPr>
            </w:pPr>
          </w:p>
        </w:tc>
        <w:tc>
          <w:tcPr>
            <w:tcW w:w="240" w:type="dxa"/>
            <w:vAlign w:val="bottom"/>
            <w:shd w:val="clear" w:color="auto" w:fill="D0EBF2"/>
          </w:tcPr>
          <w:p>
            <w:pPr>
              <w:spacing w:after="0"/>
              <w:rPr>
                <w:sz w:val="16"/>
                <w:szCs w:val="16"/>
                <w:color w:val="auto"/>
              </w:rPr>
            </w:pPr>
          </w:p>
        </w:tc>
        <w:tc>
          <w:tcPr>
            <w:tcW w:w="0" w:type="dxa"/>
            <w:vAlign w:val="bottom"/>
          </w:tcPr>
          <w:p>
            <w:pPr>
              <w:spacing w:after="0"/>
              <w:rPr>
                <w:sz w:val="1"/>
                <w:szCs w:val="1"/>
                <w:color w:val="auto"/>
              </w:rPr>
            </w:pPr>
          </w:p>
        </w:tc>
      </w:tr>
      <w:tr>
        <w:trPr>
          <w:trHeight w:val="158"/>
        </w:trPr>
        <w:tc>
          <w:tcPr>
            <w:tcW w:w="1420" w:type="dxa"/>
            <w:vAlign w:val="bottom"/>
            <w:shd w:val="clear" w:color="auto" w:fill="FDFDFC"/>
          </w:tcPr>
          <w:p>
            <w:pPr>
              <w:spacing w:after="0" w:line="159" w:lineRule="exact"/>
              <w:rPr>
                <w:sz w:val="20"/>
                <w:szCs w:val="20"/>
                <w:color w:val="auto"/>
              </w:rPr>
            </w:pPr>
            <w:r>
              <w:rPr>
                <w:rFonts w:ascii="Times New Roman" w:cs="Times New Roman" w:eastAsia="Times New Roman" w:hAnsi="Times New Roman"/>
                <w:sz w:val="15"/>
                <w:szCs w:val="15"/>
                <w:color w:val="231F20"/>
              </w:rPr>
              <w:t>Crewline Buyer, Inc.</w:t>
            </w:r>
            <w:r>
              <w:rPr>
                <w:rFonts w:ascii="Times New Roman" w:cs="Times New Roman" w:eastAsia="Times New Roman" w:hAnsi="Times New Roman"/>
                <w:sz w:val="9"/>
                <w:szCs w:val="9"/>
                <w:color w:val="231F20"/>
              </w:rPr>
              <w:t>(3)</w:t>
            </w:r>
          </w:p>
        </w:tc>
        <w:tc>
          <w:tcPr>
            <w:tcW w:w="100" w:type="dxa"/>
            <w:vAlign w:val="bottom"/>
            <w:shd w:val="clear" w:color="auto" w:fill="FDFDFC"/>
          </w:tcPr>
          <w:p>
            <w:pPr>
              <w:spacing w:after="0"/>
              <w:rPr>
                <w:sz w:val="13"/>
                <w:szCs w:val="13"/>
                <w:color w:val="auto"/>
              </w:rPr>
            </w:pPr>
          </w:p>
        </w:tc>
        <w:tc>
          <w:tcPr>
            <w:tcW w:w="2340" w:type="dxa"/>
            <w:vAlign w:val="bottom"/>
            <w:shd w:val="clear" w:color="auto" w:fill="FDFDFC"/>
          </w:tcPr>
          <w:p>
            <w:pPr>
              <w:spacing w:after="0" w:line="159" w:lineRule="exact"/>
              <w:rPr>
                <w:sz w:val="20"/>
                <w:szCs w:val="20"/>
                <w:color w:val="auto"/>
              </w:rPr>
            </w:pPr>
            <w:r>
              <w:rPr>
                <w:rFonts w:ascii="Times New Roman" w:cs="Times New Roman" w:eastAsia="Times New Roman" w:hAnsi="Times New Roman"/>
                <w:sz w:val="15"/>
                <w:szCs w:val="15"/>
                <w:color w:val="231F20"/>
              </w:rPr>
              <w:t>First-lien loan ($56,324 par, due</w:t>
            </w:r>
          </w:p>
        </w:tc>
        <w:tc>
          <w:tcPr>
            <w:tcW w:w="840" w:type="dxa"/>
            <w:vAlign w:val="bottom"/>
            <w:gridSpan w:val="2"/>
            <w:shd w:val="clear" w:color="auto" w:fill="FDFDFC"/>
          </w:tcPr>
          <w:p>
            <w:pPr>
              <w:jc w:val="right"/>
              <w:spacing w:after="0" w:line="159" w:lineRule="exact"/>
              <w:rPr>
                <w:sz w:val="20"/>
                <w:szCs w:val="20"/>
                <w:color w:val="auto"/>
              </w:rPr>
            </w:pPr>
            <w:r>
              <w:rPr>
                <w:rFonts w:ascii="Times New Roman" w:cs="Times New Roman" w:eastAsia="Times New Roman" w:hAnsi="Times New Roman"/>
                <w:sz w:val="15"/>
                <w:szCs w:val="15"/>
                <w:color w:val="231F20"/>
              </w:rPr>
              <w:t>11/8/2023</w:t>
            </w:r>
          </w:p>
        </w:tc>
        <w:tc>
          <w:tcPr>
            <w:tcW w:w="100" w:type="dxa"/>
            <w:vAlign w:val="bottom"/>
            <w:shd w:val="clear" w:color="auto" w:fill="FDFDFC"/>
          </w:tcPr>
          <w:p>
            <w:pPr>
              <w:spacing w:after="0"/>
              <w:rPr>
                <w:sz w:val="13"/>
                <w:szCs w:val="13"/>
                <w:color w:val="auto"/>
              </w:rPr>
            </w:pPr>
          </w:p>
        </w:tc>
        <w:tc>
          <w:tcPr>
            <w:tcW w:w="1020" w:type="dxa"/>
            <w:vAlign w:val="bottom"/>
            <w:gridSpan w:val="2"/>
            <w:shd w:val="clear" w:color="auto" w:fill="FDFDFC"/>
          </w:tcPr>
          <w:p>
            <w:pPr>
              <w:jc w:val="right"/>
              <w:ind w:right="240"/>
              <w:spacing w:after="0" w:line="159" w:lineRule="exact"/>
              <w:rPr>
                <w:sz w:val="20"/>
                <w:szCs w:val="20"/>
                <w:color w:val="auto"/>
              </w:rPr>
            </w:pPr>
            <w:r>
              <w:rPr>
                <w:rFonts w:ascii="Times New Roman" w:cs="Times New Roman" w:eastAsia="Times New Roman" w:hAnsi="Times New Roman"/>
                <w:sz w:val="15"/>
                <w:szCs w:val="15"/>
                <w:color w:val="231F20"/>
              </w:rPr>
              <w:t>SOFR +</w:t>
            </w:r>
          </w:p>
        </w:tc>
        <w:tc>
          <w:tcPr>
            <w:tcW w:w="980" w:type="dxa"/>
            <w:vAlign w:val="bottom"/>
            <w:gridSpan w:val="2"/>
            <w:shd w:val="clear" w:color="auto" w:fill="FDFDFC"/>
          </w:tcPr>
          <w:p>
            <w:pPr>
              <w:jc w:val="right"/>
              <w:ind w:right="100"/>
              <w:spacing w:after="0" w:line="159" w:lineRule="exact"/>
              <w:rPr>
                <w:sz w:val="20"/>
                <w:szCs w:val="20"/>
                <w:color w:val="auto"/>
              </w:rPr>
            </w:pPr>
            <w:r>
              <w:rPr>
                <w:rFonts w:ascii="Times New Roman" w:cs="Times New Roman" w:eastAsia="Times New Roman" w:hAnsi="Times New Roman"/>
                <w:sz w:val="15"/>
                <w:szCs w:val="15"/>
                <w:color w:val="231F20"/>
              </w:rPr>
              <w:t>12.10%</w:t>
            </w:r>
          </w:p>
        </w:tc>
        <w:tc>
          <w:tcPr>
            <w:tcW w:w="140" w:type="dxa"/>
            <w:vAlign w:val="bottom"/>
            <w:shd w:val="clear" w:color="auto" w:fill="FDFDFC"/>
          </w:tcPr>
          <w:p>
            <w:pPr>
              <w:spacing w:after="0"/>
              <w:rPr>
                <w:sz w:val="13"/>
                <w:szCs w:val="13"/>
                <w:color w:val="auto"/>
              </w:rPr>
            </w:pPr>
          </w:p>
        </w:tc>
        <w:tc>
          <w:tcPr>
            <w:tcW w:w="860" w:type="dxa"/>
            <w:vAlign w:val="bottom"/>
            <w:shd w:val="clear" w:color="auto" w:fill="FDFDFC"/>
          </w:tcPr>
          <w:p>
            <w:pPr>
              <w:jc w:val="right"/>
              <w:spacing w:after="0" w:line="159" w:lineRule="exact"/>
              <w:rPr>
                <w:sz w:val="20"/>
                <w:szCs w:val="20"/>
                <w:color w:val="auto"/>
              </w:rPr>
            </w:pPr>
            <w:r>
              <w:rPr>
                <w:rFonts w:ascii="Times New Roman" w:cs="Times New Roman" w:eastAsia="Times New Roman" w:hAnsi="Times New Roman"/>
                <w:sz w:val="15"/>
                <w:szCs w:val="15"/>
                <w:color w:val="231F20"/>
              </w:rPr>
              <w:t>54,781</w:t>
            </w:r>
          </w:p>
        </w:tc>
        <w:tc>
          <w:tcPr>
            <w:tcW w:w="180" w:type="dxa"/>
            <w:vAlign w:val="bottom"/>
            <w:shd w:val="clear" w:color="auto" w:fill="FDFDFC"/>
          </w:tcPr>
          <w:p>
            <w:pPr>
              <w:spacing w:after="0"/>
              <w:rPr>
                <w:sz w:val="13"/>
                <w:szCs w:val="13"/>
                <w:color w:val="auto"/>
              </w:rPr>
            </w:pPr>
          </w:p>
        </w:tc>
        <w:tc>
          <w:tcPr>
            <w:tcW w:w="80" w:type="dxa"/>
            <w:vAlign w:val="bottom"/>
            <w:shd w:val="clear" w:color="auto" w:fill="FDFDFC"/>
          </w:tcPr>
          <w:p>
            <w:pPr>
              <w:spacing w:after="0"/>
              <w:rPr>
                <w:sz w:val="13"/>
                <w:szCs w:val="13"/>
                <w:color w:val="auto"/>
              </w:rPr>
            </w:pPr>
          </w:p>
        </w:tc>
        <w:tc>
          <w:tcPr>
            <w:tcW w:w="880" w:type="dxa"/>
            <w:vAlign w:val="bottom"/>
            <w:shd w:val="clear" w:color="auto" w:fill="FDFDFC"/>
          </w:tcPr>
          <w:p>
            <w:pPr>
              <w:jc w:val="right"/>
              <w:spacing w:after="0" w:line="159" w:lineRule="exact"/>
              <w:rPr>
                <w:sz w:val="20"/>
                <w:szCs w:val="20"/>
                <w:color w:val="auto"/>
              </w:rPr>
            </w:pPr>
            <w:r>
              <w:rPr>
                <w:rFonts w:ascii="Times New Roman" w:cs="Times New Roman" w:eastAsia="Times New Roman" w:hAnsi="Times New Roman"/>
                <w:sz w:val="15"/>
                <w:szCs w:val="15"/>
                <w:color w:val="231F20"/>
              </w:rPr>
              <w:t>55,236</w:t>
            </w:r>
          </w:p>
        </w:tc>
        <w:tc>
          <w:tcPr>
            <w:tcW w:w="1340" w:type="dxa"/>
            <w:vAlign w:val="bottom"/>
            <w:gridSpan w:val="3"/>
            <w:shd w:val="clear" w:color="auto" w:fill="FDFDFC"/>
          </w:tcPr>
          <w:p>
            <w:pPr>
              <w:jc w:val="right"/>
              <w:ind w:right="120"/>
              <w:spacing w:after="0" w:line="159" w:lineRule="exact"/>
              <w:rPr>
                <w:sz w:val="20"/>
                <w:szCs w:val="20"/>
                <w:color w:val="auto"/>
              </w:rPr>
            </w:pPr>
            <w:r>
              <w:rPr>
                <w:rFonts w:ascii="Times New Roman" w:cs="Times New Roman" w:eastAsia="Times New Roman" w:hAnsi="Times New Roman"/>
                <w:sz w:val="15"/>
                <w:szCs w:val="15"/>
                <w:color w:val="231F20"/>
              </w:rPr>
              <w:t>3.7%</w:t>
            </w:r>
          </w:p>
        </w:tc>
        <w:tc>
          <w:tcPr>
            <w:tcW w:w="0" w:type="dxa"/>
            <w:vAlign w:val="bottom"/>
          </w:tcPr>
          <w:p>
            <w:pPr>
              <w:spacing w:after="0"/>
              <w:rPr>
                <w:sz w:val="1"/>
                <w:szCs w:val="1"/>
                <w:color w:val="auto"/>
              </w:rPr>
            </w:pPr>
          </w:p>
        </w:tc>
      </w:tr>
      <w:tr>
        <w:trPr>
          <w:trHeight w:val="189"/>
        </w:trPr>
        <w:tc>
          <w:tcPr>
            <w:tcW w:w="1420" w:type="dxa"/>
            <w:vAlign w:val="bottom"/>
            <w:shd w:val="clear" w:color="auto" w:fill="FDFDFC"/>
          </w:tcPr>
          <w:p>
            <w:pPr>
              <w:spacing w:after="0"/>
              <w:rPr>
                <w:sz w:val="16"/>
                <w:szCs w:val="16"/>
                <w:color w:val="auto"/>
              </w:rPr>
            </w:pPr>
          </w:p>
        </w:tc>
        <w:tc>
          <w:tcPr>
            <w:tcW w:w="2440" w:type="dxa"/>
            <w:vAlign w:val="bottom"/>
            <w:gridSpan w:val="2"/>
            <w:shd w:val="clear" w:color="auto" w:fill="FDFDFC"/>
          </w:tcPr>
          <w:p>
            <w:pPr>
              <w:ind w:left="100"/>
              <w:spacing w:after="0"/>
              <w:rPr>
                <w:sz w:val="20"/>
                <w:szCs w:val="20"/>
                <w:color w:val="auto"/>
              </w:rPr>
            </w:pPr>
            <w:r>
              <w:rPr>
                <w:rFonts w:ascii="Times New Roman" w:cs="Times New Roman" w:eastAsia="Times New Roman" w:hAnsi="Times New Roman"/>
                <w:sz w:val="15"/>
                <w:szCs w:val="15"/>
                <w:color w:val="231F20"/>
              </w:rPr>
              <w:t>11/2030)</w:t>
            </w:r>
          </w:p>
        </w:tc>
        <w:tc>
          <w:tcPr>
            <w:tcW w:w="80" w:type="dxa"/>
            <w:vAlign w:val="bottom"/>
            <w:shd w:val="clear" w:color="auto" w:fill="FDFDFC"/>
          </w:tcPr>
          <w:p>
            <w:pPr>
              <w:spacing w:after="0"/>
              <w:rPr>
                <w:sz w:val="16"/>
                <w:szCs w:val="16"/>
                <w:color w:val="auto"/>
              </w:rPr>
            </w:pPr>
          </w:p>
        </w:tc>
        <w:tc>
          <w:tcPr>
            <w:tcW w:w="760" w:type="dxa"/>
            <w:vAlign w:val="bottom"/>
            <w:shd w:val="clear" w:color="auto" w:fill="FDFDFC"/>
          </w:tcPr>
          <w:p>
            <w:pPr>
              <w:spacing w:after="0"/>
              <w:rPr>
                <w:sz w:val="16"/>
                <w:szCs w:val="16"/>
                <w:color w:val="auto"/>
              </w:rPr>
            </w:pPr>
          </w:p>
        </w:tc>
        <w:tc>
          <w:tcPr>
            <w:tcW w:w="900" w:type="dxa"/>
            <w:vAlign w:val="bottom"/>
            <w:gridSpan w:val="2"/>
            <w:shd w:val="clear" w:color="auto" w:fill="FDFDFC"/>
          </w:tcPr>
          <w:p>
            <w:pPr>
              <w:jc w:val="right"/>
              <w:spacing w:after="0"/>
              <w:rPr>
                <w:sz w:val="20"/>
                <w:szCs w:val="20"/>
                <w:color w:val="auto"/>
              </w:rPr>
            </w:pPr>
            <w:r>
              <w:rPr>
                <w:rFonts w:ascii="Times New Roman" w:cs="Times New Roman" w:eastAsia="Times New Roman" w:hAnsi="Times New Roman"/>
                <w:sz w:val="15"/>
                <w:szCs w:val="15"/>
                <w:color w:val="231F20"/>
              </w:rPr>
              <w:t>6.75%</w:t>
            </w:r>
          </w:p>
        </w:tc>
        <w:tc>
          <w:tcPr>
            <w:tcW w:w="220" w:type="dxa"/>
            <w:vAlign w:val="bottom"/>
            <w:shd w:val="clear" w:color="auto" w:fill="FDFDFC"/>
          </w:tcPr>
          <w:p>
            <w:pPr>
              <w:spacing w:after="0"/>
              <w:rPr>
                <w:sz w:val="16"/>
                <w:szCs w:val="16"/>
                <w:color w:val="auto"/>
              </w:rPr>
            </w:pPr>
          </w:p>
        </w:tc>
        <w:tc>
          <w:tcPr>
            <w:tcW w:w="760" w:type="dxa"/>
            <w:vAlign w:val="bottom"/>
            <w:shd w:val="clear" w:color="auto" w:fill="FDFDFC"/>
          </w:tcPr>
          <w:p>
            <w:pPr>
              <w:spacing w:after="0"/>
              <w:rPr>
                <w:sz w:val="16"/>
                <w:szCs w:val="16"/>
                <w:color w:val="auto"/>
              </w:rPr>
            </w:pPr>
          </w:p>
        </w:tc>
        <w:tc>
          <w:tcPr>
            <w:tcW w:w="220" w:type="dxa"/>
            <w:vAlign w:val="bottom"/>
            <w:shd w:val="clear" w:color="auto" w:fill="FDFDFC"/>
          </w:tcPr>
          <w:p>
            <w:pPr>
              <w:spacing w:after="0"/>
              <w:rPr>
                <w:sz w:val="16"/>
                <w:szCs w:val="16"/>
                <w:color w:val="auto"/>
              </w:rPr>
            </w:pPr>
          </w:p>
        </w:tc>
        <w:tc>
          <w:tcPr>
            <w:tcW w:w="140" w:type="dxa"/>
            <w:vAlign w:val="bottom"/>
            <w:shd w:val="clear" w:color="auto" w:fill="FDFDFC"/>
          </w:tcPr>
          <w:p>
            <w:pPr>
              <w:spacing w:after="0"/>
              <w:rPr>
                <w:sz w:val="16"/>
                <w:szCs w:val="16"/>
                <w:color w:val="auto"/>
              </w:rPr>
            </w:pPr>
          </w:p>
        </w:tc>
        <w:tc>
          <w:tcPr>
            <w:tcW w:w="860" w:type="dxa"/>
            <w:vAlign w:val="bottom"/>
            <w:shd w:val="clear" w:color="auto" w:fill="FDFDFC"/>
          </w:tcPr>
          <w:p>
            <w:pPr>
              <w:spacing w:after="0"/>
              <w:rPr>
                <w:sz w:val="16"/>
                <w:szCs w:val="16"/>
                <w:color w:val="auto"/>
              </w:rPr>
            </w:pPr>
          </w:p>
        </w:tc>
        <w:tc>
          <w:tcPr>
            <w:tcW w:w="180" w:type="dxa"/>
            <w:vAlign w:val="bottom"/>
            <w:shd w:val="clear" w:color="auto" w:fill="FDFDFC"/>
          </w:tcPr>
          <w:p>
            <w:pPr>
              <w:spacing w:after="0"/>
              <w:rPr>
                <w:sz w:val="16"/>
                <w:szCs w:val="16"/>
                <w:color w:val="auto"/>
              </w:rPr>
            </w:pPr>
          </w:p>
        </w:tc>
        <w:tc>
          <w:tcPr>
            <w:tcW w:w="80" w:type="dxa"/>
            <w:vAlign w:val="bottom"/>
            <w:shd w:val="clear" w:color="auto" w:fill="FDFDFC"/>
          </w:tcPr>
          <w:p>
            <w:pPr>
              <w:spacing w:after="0"/>
              <w:rPr>
                <w:sz w:val="16"/>
                <w:szCs w:val="16"/>
                <w:color w:val="auto"/>
              </w:rPr>
            </w:pPr>
          </w:p>
        </w:tc>
        <w:tc>
          <w:tcPr>
            <w:tcW w:w="880" w:type="dxa"/>
            <w:vAlign w:val="bottom"/>
            <w:shd w:val="clear" w:color="auto" w:fill="FDFDFC"/>
          </w:tcPr>
          <w:p>
            <w:pPr>
              <w:spacing w:after="0"/>
              <w:rPr>
                <w:sz w:val="16"/>
                <w:szCs w:val="16"/>
                <w:color w:val="auto"/>
              </w:rPr>
            </w:pPr>
          </w:p>
        </w:tc>
        <w:tc>
          <w:tcPr>
            <w:tcW w:w="220" w:type="dxa"/>
            <w:vAlign w:val="bottom"/>
            <w:tcBorders>
              <w:right w:val="single" w:sz="8" w:color="FDFDFC"/>
            </w:tcBorders>
            <w:shd w:val="clear" w:color="auto" w:fill="FDFDFC"/>
          </w:tcPr>
          <w:p>
            <w:pPr>
              <w:spacing w:after="0"/>
              <w:rPr>
                <w:sz w:val="16"/>
                <w:szCs w:val="16"/>
                <w:color w:val="auto"/>
              </w:rPr>
            </w:pPr>
          </w:p>
        </w:tc>
        <w:tc>
          <w:tcPr>
            <w:tcW w:w="880" w:type="dxa"/>
            <w:vAlign w:val="bottom"/>
            <w:shd w:val="clear" w:color="auto" w:fill="FDFDFC"/>
          </w:tcPr>
          <w:p>
            <w:pPr>
              <w:spacing w:after="0"/>
              <w:rPr>
                <w:sz w:val="16"/>
                <w:szCs w:val="16"/>
                <w:color w:val="auto"/>
              </w:rPr>
            </w:pPr>
          </w:p>
        </w:tc>
        <w:tc>
          <w:tcPr>
            <w:tcW w:w="240" w:type="dxa"/>
            <w:vAlign w:val="bottom"/>
            <w:shd w:val="clear" w:color="auto" w:fill="FDFDFC"/>
          </w:tcPr>
          <w:p>
            <w:pPr>
              <w:spacing w:after="0"/>
              <w:rPr>
                <w:sz w:val="16"/>
                <w:szCs w:val="16"/>
                <w:color w:val="auto"/>
              </w:rPr>
            </w:pPr>
          </w:p>
        </w:tc>
        <w:tc>
          <w:tcPr>
            <w:tcW w:w="0" w:type="dxa"/>
            <w:vAlign w:val="bottom"/>
          </w:tcPr>
          <w:p>
            <w:pPr>
              <w:spacing w:after="0"/>
              <w:rPr>
                <w:sz w:val="1"/>
                <w:szCs w:val="1"/>
                <w:color w:val="auto"/>
              </w:rPr>
            </w:pPr>
          </w:p>
        </w:tc>
      </w:tr>
      <w:tr>
        <w:trPr>
          <w:trHeight w:val="158"/>
        </w:trPr>
        <w:tc>
          <w:tcPr>
            <w:tcW w:w="1420" w:type="dxa"/>
            <w:vAlign w:val="bottom"/>
            <w:shd w:val="clear" w:color="auto" w:fill="D0EBF2"/>
          </w:tcPr>
          <w:p>
            <w:pPr>
              <w:spacing w:after="0" w:line="159" w:lineRule="exact"/>
              <w:rPr>
                <w:sz w:val="20"/>
                <w:szCs w:val="20"/>
                <w:color w:val="auto"/>
              </w:rPr>
            </w:pPr>
            <w:r>
              <w:rPr>
                <w:rFonts w:ascii="Times New Roman" w:cs="Times New Roman" w:eastAsia="Times New Roman" w:hAnsi="Times New Roman"/>
                <w:sz w:val="15"/>
                <w:szCs w:val="15"/>
                <w:color w:val="231F20"/>
              </w:rPr>
              <w:t>Dye &amp; Durham Corp.</w:t>
            </w:r>
          </w:p>
        </w:tc>
        <w:tc>
          <w:tcPr>
            <w:tcW w:w="100" w:type="dxa"/>
            <w:vAlign w:val="bottom"/>
            <w:shd w:val="clear" w:color="auto" w:fill="D0EBF2"/>
          </w:tcPr>
          <w:p>
            <w:pPr>
              <w:spacing w:after="0"/>
              <w:rPr>
                <w:sz w:val="13"/>
                <w:szCs w:val="13"/>
                <w:color w:val="auto"/>
              </w:rPr>
            </w:pPr>
          </w:p>
        </w:tc>
        <w:tc>
          <w:tcPr>
            <w:tcW w:w="2340" w:type="dxa"/>
            <w:vAlign w:val="bottom"/>
            <w:shd w:val="clear" w:color="auto" w:fill="D0EBF2"/>
          </w:tcPr>
          <w:p>
            <w:pPr>
              <w:spacing w:after="0" w:line="159" w:lineRule="exact"/>
              <w:rPr>
                <w:sz w:val="20"/>
                <w:szCs w:val="20"/>
                <w:color w:val="auto"/>
              </w:rPr>
            </w:pPr>
            <w:r>
              <w:rPr>
                <w:rFonts w:ascii="Times New Roman" w:cs="Times New Roman" w:eastAsia="Times New Roman" w:hAnsi="Times New Roman"/>
                <w:sz w:val="15"/>
                <w:szCs w:val="15"/>
                <w:color w:val="231F20"/>
              </w:rPr>
              <w:t>First-lien loan (CAD 37,874 par, due</w:t>
            </w:r>
          </w:p>
        </w:tc>
        <w:tc>
          <w:tcPr>
            <w:tcW w:w="840" w:type="dxa"/>
            <w:vAlign w:val="bottom"/>
            <w:gridSpan w:val="2"/>
            <w:shd w:val="clear" w:color="auto" w:fill="D0EBF2"/>
          </w:tcPr>
          <w:p>
            <w:pPr>
              <w:jc w:val="right"/>
              <w:spacing w:after="0" w:line="159" w:lineRule="exact"/>
              <w:rPr>
                <w:sz w:val="20"/>
                <w:szCs w:val="20"/>
                <w:color w:val="auto"/>
              </w:rPr>
            </w:pPr>
            <w:r>
              <w:rPr>
                <w:rFonts w:ascii="Times New Roman" w:cs="Times New Roman" w:eastAsia="Times New Roman" w:hAnsi="Times New Roman"/>
                <w:sz w:val="15"/>
                <w:szCs w:val="15"/>
                <w:color w:val="231F20"/>
              </w:rPr>
              <w:t>12/3/2021</w:t>
            </w:r>
          </w:p>
        </w:tc>
        <w:tc>
          <w:tcPr>
            <w:tcW w:w="100" w:type="dxa"/>
            <w:vAlign w:val="bottom"/>
            <w:shd w:val="clear" w:color="auto" w:fill="D0EBF2"/>
          </w:tcPr>
          <w:p>
            <w:pPr>
              <w:spacing w:after="0"/>
              <w:rPr>
                <w:sz w:val="13"/>
                <w:szCs w:val="13"/>
                <w:color w:val="auto"/>
              </w:rPr>
            </w:pPr>
          </w:p>
        </w:tc>
        <w:tc>
          <w:tcPr>
            <w:tcW w:w="1020" w:type="dxa"/>
            <w:vAlign w:val="bottom"/>
            <w:gridSpan w:val="2"/>
            <w:shd w:val="clear" w:color="auto" w:fill="D0EBF2"/>
          </w:tcPr>
          <w:p>
            <w:pPr>
              <w:jc w:val="right"/>
              <w:ind w:right="240"/>
              <w:spacing w:after="0" w:line="159" w:lineRule="exact"/>
              <w:rPr>
                <w:sz w:val="20"/>
                <w:szCs w:val="20"/>
                <w:color w:val="auto"/>
              </w:rPr>
            </w:pPr>
            <w:r>
              <w:rPr>
                <w:rFonts w:ascii="Times New Roman" w:cs="Times New Roman" w:eastAsia="Times New Roman" w:hAnsi="Times New Roman"/>
                <w:sz w:val="15"/>
                <w:szCs w:val="15"/>
                <w:color w:val="231F20"/>
              </w:rPr>
              <w:t>C + 5.75%</w:t>
            </w:r>
          </w:p>
        </w:tc>
        <w:tc>
          <w:tcPr>
            <w:tcW w:w="980" w:type="dxa"/>
            <w:vAlign w:val="bottom"/>
            <w:gridSpan w:val="2"/>
            <w:shd w:val="clear" w:color="auto" w:fill="D0EBF2"/>
          </w:tcPr>
          <w:p>
            <w:pPr>
              <w:jc w:val="right"/>
              <w:ind w:right="100"/>
              <w:spacing w:after="0" w:line="159" w:lineRule="exact"/>
              <w:rPr>
                <w:sz w:val="20"/>
                <w:szCs w:val="20"/>
                <w:color w:val="auto"/>
              </w:rPr>
            </w:pPr>
            <w:r>
              <w:rPr>
                <w:rFonts w:ascii="Times New Roman" w:cs="Times New Roman" w:eastAsia="Times New Roman" w:hAnsi="Times New Roman"/>
                <w:sz w:val="15"/>
                <w:szCs w:val="15"/>
                <w:color w:val="231F20"/>
              </w:rPr>
              <w:t>11.20%</w:t>
            </w:r>
          </w:p>
        </w:tc>
        <w:tc>
          <w:tcPr>
            <w:tcW w:w="140" w:type="dxa"/>
            <w:vAlign w:val="bottom"/>
            <w:shd w:val="clear" w:color="auto" w:fill="D0EBF2"/>
          </w:tcPr>
          <w:p>
            <w:pPr>
              <w:spacing w:after="0"/>
              <w:rPr>
                <w:sz w:val="13"/>
                <w:szCs w:val="13"/>
                <w:color w:val="auto"/>
              </w:rPr>
            </w:pPr>
          </w:p>
        </w:tc>
        <w:tc>
          <w:tcPr>
            <w:tcW w:w="860" w:type="dxa"/>
            <w:vAlign w:val="bottom"/>
            <w:shd w:val="clear" w:color="auto" w:fill="D0EBF2"/>
          </w:tcPr>
          <w:p>
            <w:pPr>
              <w:jc w:val="right"/>
              <w:spacing w:after="0" w:line="159" w:lineRule="exact"/>
              <w:rPr>
                <w:sz w:val="20"/>
                <w:szCs w:val="20"/>
                <w:color w:val="auto"/>
              </w:rPr>
            </w:pPr>
            <w:r>
              <w:rPr>
                <w:rFonts w:ascii="Times New Roman" w:cs="Times New Roman" w:eastAsia="Times New Roman" w:hAnsi="Times New Roman"/>
                <w:sz w:val="15"/>
                <w:szCs w:val="15"/>
                <w:color w:val="231F20"/>
              </w:rPr>
              <w:t>28,873</w:t>
            </w:r>
          </w:p>
        </w:tc>
        <w:tc>
          <w:tcPr>
            <w:tcW w:w="180" w:type="dxa"/>
            <w:vAlign w:val="bottom"/>
            <w:shd w:val="clear" w:color="auto" w:fill="D0EBF2"/>
          </w:tcPr>
          <w:p>
            <w:pPr>
              <w:spacing w:after="0"/>
              <w:rPr>
                <w:sz w:val="13"/>
                <w:szCs w:val="13"/>
                <w:color w:val="auto"/>
              </w:rPr>
            </w:pPr>
          </w:p>
        </w:tc>
        <w:tc>
          <w:tcPr>
            <w:tcW w:w="80" w:type="dxa"/>
            <w:vAlign w:val="bottom"/>
            <w:shd w:val="clear" w:color="auto" w:fill="D0EBF2"/>
          </w:tcPr>
          <w:p>
            <w:pPr>
              <w:spacing w:after="0"/>
              <w:rPr>
                <w:sz w:val="13"/>
                <w:szCs w:val="13"/>
                <w:color w:val="auto"/>
              </w:rPr>
            </w:pPr>
          </w:p>
        </w:tc>
        <w:tc>
          <w:tcPr>
            <w:tcW w:w="880" w:type="dxa"/>
            <w:vAlign w:val="bottom"/>
            <w:shd w:val="clear" w:color="auto" w:fill="D0EBF2"/>
          </w:tcPr>
          <w:p>
            <w:pPr>
              <w:jc w:val="right"/>
              <w:spacing w:after="0" w:line="159" w:lineRule="exact"/>
              <w:rPr>
                <w:sz w:val="20"/>
                <w:szCs w:val="20"/>
                <w:color w:val="auto"/>
              </w:rPr>
            </w:pPr>
            <w:r>
              <w:rPr>
                <w:rFonts w:ascii="Times New Roman" w:cs="Times New Roman" w:eastAsia="Times New Roman" w:hAnsi="Times New Roman"/>
                <w:sz w:val="15"/>
                <w:szCs w:val="15"/>
                <w:color w:val="231F20"/>
              </w:rPr>
              <w:t>28,938</w:t>
            </w:r>
          </w:p>
        </w:tc>
        <w:tc>
          <w:tcPr>
            <w:tcW w:w="1340" w:type="dxa"/>
            <w:vAlign w:val="bottom"/>
            <w:gridSpan w:val="3"/>
            <w:shd w:val="clear" w:color="auto" w:fill="D0EBF2"/>
          </w:tcPr>
          <w:p>
            <w:pPr>
              <w:jc w:val="right"/>
              <w:ind w:right="120"/>
              <w:spacing w:after="0" w:line="159" w:lineRule="exact"/>
              <w:rPr>
                <w:sz w:val="20"/>
                <w:szCs w:val="20"/>
                <w:color w:val="auto"/>
              </w:rPr>
            </w:pPr>
            <w:r>
              <w:rPr>
                <w:rFonts w:ascii="Times New Roman" w:cs="Times New Roman" w:eastAsia="Times New Roman" w:hAnsi="Times New Roman"/>
                <w:sz w:val="15"/>
                <w:szCs w:val="15"/>
                <w:color w:val="231F20"/>
              </w:rPr>
              <w:t>1.9%</w:t>
            </w:r>
          </w:p>
        </w:tc>
        <w:tc>
          <w:tcPr>
            <w:tcW w:w="0" w:type="dxa"/>
            <w:vAlign w:val="bottom"/>
          </w:tcPr>
          <w:p>
            <w:pPr>
              <w:spacing w:after="0"/>
              <w:rPr>
                <w:sz w:val="1"/>
                <w:szCs w:val="1"/>
                <w:color w:val="auto"/>
              </w:rPr>
            </w:pPr>
          </w:p>
        </w:tc>
      </w:tr>
      <w:tr>
        <w:trPr>
          <w:trHeight w:val="174"/>
        </w:trPr>
        <w:tc>
          <w:tcPr>
            <w:tcW w:w="1420" w:type="dxa"/>
            <w:vAlign w:val="bottom"/>
            <w:shd w:val="clear" w:color="auto" w:fill="D0EBF2"/>
          </w:tcPr>
          <w:p>
            <w:pPr>
              <w:spacing w:after="0"/>
              <w:rPr>
                <w:sz w:val="20"/>
                <w:szCs w:val="20"/>
                <w:color w:val="auto"/>
              </w:rPr>
            </w:pPr>
            <w:r>
              <w:rPr>
                <w:rFonts w:ascii="Times New Roman" w:cs="Times New Roman" w:eastAsia="Times New Roman" w:hAnsi="Times New Roman"/>
                <w:sz w:val="9"/>
                <w:szCs w:val="9"/>
                <w:color w:val="231F20"/>
              </w:rPr>
              <w:t>(3)(4)</w:t>
            </w:r>
          </w:p>
        </w:tc>
        <w:tc>
          <w:tcPr>
            <w:tcW w:w="2440" w:type="dxa"/>
            <w:vAlign w:val="bottom"/>
            <w:gridSpan w:val="2"/>
            <w:shd w:val="clear" w:color="auto" w:fill="D0EBF2"/>
          </w:tcPr>
          <w:p>
            <w:pPr>
              <w:ind w:left="100"/>
              <w:spacing w:after="0"/>
              <w:rPr>
                <w:sz w:val="20"/>
                <w:szCs w:val="20"/>
                <w:color w:val="auto"/>
              </w:rPr>
            </w:pPr>
            <w:r>
              <w:rPr>
                <w:rFonts w:ascii="Times New Roman" w:cs="Times New Roman" w:eastAsia="Times New Roman" w:hAnsi="Times New Roman"/>
                <w:sz w:val="15"/>
                <w:szCs w:val="15"/>
                <w:color w:val="231F20"/>
              </w:rPr>
              <w:t>12/2027)</w:t>
            </w:r>
          </w:p>
        </w:tc>
        <w:tc>
          <w:tcPr>
            <w:tcW w:w="80" w:type="dxa"/>
            <w:vAlign w:val="bottom"/>
            <w:shd w:val="clear" w:color="auto" w:fill="D0EBF2"/>
          </w:tcPr>
          <w:p>
            <w:pPr>
              <w:spacing w:after="0"/>
              <w:rPr>
                <w:sz w:val="15"/>
                <w:szCs w:val="15"/>
                <w:color w:val="auto"/>
              </w:rPr>
            </w:pPr>
          </w:p>
        </w:tc>
        <w:tc>
          <w:tcPr>
            <w:tcW w:w="760" w:type="dxa"/>
            <w:vAlign w:val="bottom"/>
            <w:shd w:val="clear" w:color="auto" w:fill="D0EBF2"/>
          </w:tcPr>
          <w:p>
            <w:pPr>
              <w:spacing w:after="0"/>
              <w:rPr>
                <w:sz w:val="15"/>
                <w:szCs w:val="15"/>
                <w:color w:val="auto"/>
              </w:rPr>
            </w:pPr>
          </w:p>
        </w:tc>
        <w:tc>
          <w:tcPr>
            <w:tcW w:w="100" w:type="dxa"/>
            <w:vAlign w:val="bottom"/>
            <w:shd w:val="clear" w:color="auto" w:fill="D0EBF2"/>
          </w:tcPr>
          <w:p>
            <w:pPr>
              <w:spacing w:after="0"/>
              <w:rPr>
                <w:sz w:val="15"/>
                <w:szCs w:val="15"/>
                <w:color w:val="auto"/>
              </w:rPr>
            </w:pPr>
          </w:p>
        </w:tc>
        <w:tc>
          <w:tcPr>
            <w:tcW w:w="800" w:type="dxa"/>
            <w:vAlign w:val="bottom"/>
            <w:shd w:val="clear" w:color="auto" w:fill="D0EBF2"/>
          </w:tcPr>
          <w:p>
            <w:pPr>
              <w:spacing w:after="0"/>
              <w:rPr>
                <w:sz w:val="15"/>
                <w:szCs w:val="15"/>
                <w:color w:val="auto"/>
              </w:rPr>
            </w:pPr>
          </w:p>
        </w:tc>
        <w:tc>
          <w:tcPr>
            <w:tcW w:w="220" w:type="dxa"/>
            <w:vAlign w:val="bottom"/>
            <w:shd w:val="clear" w:color="auto" w:fill="D0EBF2"/>
          </w:tcPr>
          <w:p>
            <w:pPr>
              <w:spacing w:after="0"/>
              <w:rPr>
                <w:sz w:val="15"/>
                <w:szCs w:val="15"/>
                <w:color w:val="auto"/>
              </w:rPr>
            </w:pPr>
          </w:p>
        </w:tc>
        <w:tc>
          <w:tcPr>
            <w:tcW w:w="760" w:type="dxa"/>
            <w:vAlign w:val="bottom"/>
            <w:shd w:val="clear" w:color="auto" w:fill="D0EBF2"/>
          </w:tcPr>
          <w:p>
            <w:pPr>
              <w:spacing w:after="0"/>
              <w:rPr>
                <w:sz w:val="15"/>
                <w:szCs w:val="15"/>
                <w:color w:val="auto"/>
              </w:rPr>
            </w:pPr>
          </w:p>
        </w:tc>
        <w:tc>
          <w:tcPr>
            <w:tcW w:w="220" w:type="dxa"/>
            <w:vAlign w:val="bottom"/>
            <w:shd w:val="clear" w:color="auto" w:fill="D0EBF2"/>
          </w:tcPr>
          <w:p>
            <w:pPr>
              <w:spacing w:after="0"/>
              <w:rPr>
                <w:sz w:val="15"/>
                <w:szCs w:val="15"/>
                <w:color w:val="auto"/>
              </w:rPr>
            </w:pPr>
          </w:p>
        </w:tc>
        <w:tc>
          <w:tcPr>
            <w:tcW w:w="140" w:type="dxa"/>
            <w:vAlign w:val="bottom"/>
            <w:shd w:val="clear" w:color="auto" w:fill="D0EBF2"/>
          </w:tcPr>
          <w:p>
            <w:pPr>
              <w:spacing w:after="0"/>
              <w:rPr>
                <w:sz w:val="15"/>
                <w:szCs w:val="15"/>
                <w:color w:val="auto"/>
              </w:rPr>
            </w:pPr>
          </w:p>
        </w:tc>
        <w:tc>
          <w:tcPr>
            <w:tcW w:w="860" w:type="dxa"/>
            <w:vAlign w:val="bottom"/>
            <w:shd w:val="clear" w:color="auto" w:fill="D0EBF2"/>
          </w:tcPr>
          <w:p>
            <w:pPr>
              <w:spacing w:after="0"/>
              <w:rPr>
                <w:sz w:val="15"/>
                <w:szCs w:val="15"/>
                <w:color w:val="auto"/>
              </w:rPr>
            </w:pPr>
          </w:p>
        </w:tc>
        <w:tc>
          <w:tcPr>
            <w:tcW w:w="180" w:type="dxa"/>
            <w:vAlign w:val="bottom"/>
            <w:shd w:val="clear" w:color="auto" w:fill="D0EBF2"/>
          </w:tcPr>
          <w:p>
            <w:pPr>
              <w:spacing w:after="0"/>
              <w:rPr>
                <w:sz w:val="15"/>
                <w:szCs w:val="15"/>
                <w:color w:val="auto"/>
              </w:rPr>
            </w:pPr>
          </w:p>
        </w:tc>
        <w:tc>
          <w:tcPr>
            <w:tcW w:w="80" w:type="dxa"/>
            <w:vAlign w:val="bottom"/>
            <w:shd w:val="clear" w:color="auto" w:fill="D0EBF2"/>
          </w:tcPr>
          <w:p>
            <w:pPr>
              <w:spacing w:after="0"/>
              <w:rPr>
                <w:sz w:val="15"/>
                <w:szCs w:val="15"/>
                <w:color w:val="auto"/>
              </w:rPr>
            </w:pPr>
          </w:p>
        </w:tc>
        <w:tc>
          <w:tcPr>
            <w:tcW w:w="880" w:type="dxa"/>
            <w:vAlign w:val="bottom"/>
            <w:shd w:val="clear" w:color="auto" w:fill="D0EBF2"/>
          </w:tcPr>
          <w:p>
            <w:pPr>
              <w:jc w:val="right"/>
              <w:spacing w:after="0"/>
              <w:rPr>
                <w:sz w:val="20"/>
                <w:szCs w:val="20"/>
                <w:color w:val="auto"/>
              </w:rPr>
            </w:pPr>
            <w:r>
              <w:rPr>
                <w:rFonts w:ascii="Times New Roman" w:cs="Times New Roman" w:eastAsia="Times New Roman" w:hAnsi="Times New Roman"/>
                <w:sz w:val="15"/>
                <w:szCs w:val="15"/>
                <w:color w:val="231F20"/>
              </w:rPr>
              <w:t>(CAD</w:t>
            </w:r>
          </w:p>
        </w:tc>
        <w:tc>
          <w:tcPr>
            <w:tcW w:w="220" w:type="dxa"/>
            <w:vAlign w:val="bottom"/>
            <w:tcBorders>
              <w:right w:val="single" w:sz="8" w:color="D0EBF2"/>
            </w:tcBorders>
            <w:shd w:val="clear" w:color="auto" w:fill="D0EBF2"/>
          </w:tcPr>
          <w:p>
            <w:pPr>
              <w:spacing w:after="0"/>
              <w:rPr>
                <w:sz w:val="15"/>
                <w:szCs w:val="15"/>
                <w:color w:val="auto"/>
              </w:rPr>
            </w:pPr>
          </w:p>
        </w:tc>
        <w:tc>
          <w:tcPr>
            <w:tcW w:w="880" w:type="dxa"/>
            <w:vAlign w:val="bottom"/>
            <w:shd w:val="clear" w:color="auto" w:fill="D0EBF2"/>
          </w:tcPr>
          <w:p>
            <w:pPr>
              <w:spacing w:after="0"/>
              <w:rPr>
                <w:sz w:val="15"/>
                <w:szCs w:val="15"/>
                <w:color w:val="auto"/>
              </w:rPr>
            </w:pPr>
          </w:p>
        </w:tc>
        <w:tc>
          <w:tcPr>
            <w:tcW w:w="240" w:type="dxa"/>
            <w:vAlign w:val="bottom"/>
            <w:shd w:val="clear" w:color="auto" w:fill="D0EBF2"/>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1420" w:type="dxa"/>
            <w:vAlign w:val="bottom"/>
            <w:shd w:val="clear" w:color="auto" w:fill="D0EBF2"/>
          </w:tcPr>
          <w:p>
            <w:pPr>
              <w:spacing w:after="0"/>
              <w:rPr>
                <w:sz w:val="16"/>
                <w:szCs w:val="16"/>
                <w:color w:val="auto"/>
              </w:rPr>
            </w:pPr>
          </w:p>
        </w:tc>
        <w:tc>
          <w:tcPr>
            <w:tcW w:w="100" w:type="dxa"/>
            <w:vAlign w:val="bottom"/>
            <w:shd w:val="clear" w:color="auto" w:fill="D0EBF2"/>
          </w:tcPr>
          <w:p>
            <w:pPr>
              <w:spacing w:after="0"/>
              <w:rPr>
                <w:sz w:val="16"/>
                <w:szCs w:val="16"/>
                <w:color w:val="auto"/>
              </w:rPr>
            </w:pPr>
          </w:p>
        </w:tc>
        <w:tc>
          <w:tcPr>
            <w:tcW w:w="2340" w:type="dxa"/>
            <w:vAlign w:val="bottom"/>
            <w:shd w:val="clear" w:color="auto" w:fill="D0EBF2"/>
          </w:tcPr>
          <w:p>
            <w:pPr>
              <w:spacing w:after="0"/>
              <w:rPr>
                <w:sz w:val="16"/>
                <w:szCs w:val="16"/>
                <w:color w:val="auto"/>
              </w:rPr>
            </w:pPr>
          </w:p>
        </w:tc>
        <w:tc>
          <w:tcPr>
            <w:tcW w:w="80" w:type="dxa"/>
            <w:vAlign w:val="bottom"/>
            <w:shd w:val="clear" w:color="auto" w:fill="D0EBF2"/>
          </w:tcPr>
          <w:p>
            <w:pPr>
              <w:spacing w:after="0"/>
              <w:rPr>
                <w:sz w:val="16"/>
                <w:szCs w:val="16"/>
                <w:color w:val="auto"/>
              </w:rPr>
            </w:pPr>
          </w:p>
        </w:tc>
        <w:tc>
          <w:tcPr>
            <w:tcW w:w="760" w:type="dxa"/>
            <w:vAlign w:val="bottom"/>
            <w:shd w:val="clear" w:color="auto" w:fill="D0EBF2"/>
          </w:tcPr>
          <w:p>
            <w:pPr>
              <w:spacing w:after="0"/>
              <w:rPr>
                <w:sz w:val="16"/>
                <w:szCs w:val="16"/>
                <w:color w:val="auto"/>
              </w:rPr>
            </w:pPr>
          </w:p>
        </w:tc>
        <w:tc>
          <w:tcPr>
            <w:tcW w:w="100" w:type="dxa"/>
            <w:vAlign w:val="bottom"/>
            <w:shd w:val="clear" w:color="auto" w:fill="D0EBF2"/>
          </w:tcPr>
          <w:p>
            <w:pPr>
              <w:spacing w:after="0"/>
              <w:rPr>
                <w:sz w:val="16"/>
                <w:szCs w:val="16"/>
                <w:color w:val="auto"/>
              </w:rPr>
            </w:pPr>
          </w:p>
        </w:tc>
        <w:tc>
          <w:tcPr>
            <w:tcW w:w="800" w:type="dxa"/>
            <w:vAlign w:val="bottom"/>
            <w:shd w:val="clear" w:color="auto" w:fill="D0EBF2"/>
          </w:tcPr>
          <w:p>
            <w:pPr>
              <w:spacing w:after="0"/>
              <w:rPr>
                <w:sz w:val="16"/>
                <w:szCs w:val="16"/>
                <w:color w:val="auto"/>
              </w:rPr>
            </w:pPr>
          </w:p>
        </w:tc>
        <w:tc>
          <w:tcPr>
            <w:tcW w:w="220" w:type="dxa"/>
            <w:vAlign w:val="bottom"/>
            <w:shd w:val="clear" w:color="auto" w:fill="D0EBF2"/>
          </w:tcPr>
          <w:p>
            <w:pPr>
              <w:spacing w:after="0"/>
              <w:rPr>
                <w:sz w:val="16"/>
                <w:szCs w:val="16"/>
                <w:color w:val="auto"/>
              </w:rPr>
            </w:pPr>
          </w:p>
        </w:tc>
        <w:tc>
          <w:tcPr>
            <w:tcW w:w="760" w:type="dxa"/>
            <w:vAlign w:val="bottom"/>
            <w:shd w:val="clear" w:color="auto" w:fill="D0EBF2"/>
          </w:tcPr>
          <w:p>
            <w:pPr>
              <w:spacing w:after="0"/>
              <w:rPr>
                <w:sz w:val="16"/>
                <w:szCs w:val="16"/>
                <w:color w:val="auto"/>
              </w:rPr>
            </w:pPr>
          </w:p>
        </w:tc>
        <w:tc>
          <w:tcPr>
            <w:tcW w:w="220" w:type="dxa"/>
            <w:vAlign w:val="bottom"/>
            <w:shd w:val="clear" w:color="auto" w:fill="D0EBF2"/>
          </w:tcPr>
          <w:p>
            <w:pPr>
              <w:spacing w:after="0"/>
              <w:rPr>
                <w:sz w:val="16"/>
                <w:szCs w:val="16"/>
                <w:color w:val="auto"/>
              </w:rPr>
            </w:pPr>
          </w:p>
        </w:tc>
        <w:tc>
          <w:tcPr>
            <w:tcW w:w="140" w:type="dxa"/>
            <w:vAlign w:val="bottom"/>
            <w:shd w:val="clear" w:color="auto" w:fill="D0EBF2"/>
          </w:tcPr>
          <w:p>
            <w:pPr>
              <w:spacing w:after="0"/>
              <w:rPr>
                <w:sz w:val="16"/>
                <w:szCs w:val="16"/>
                <w:color w:val="auto"/>
              </w:rPr>
            </w:pPr>
          </w:p>
        </w:tc>
        <w:tc>
          <w:tcPr>
            <w:tcW w:w="860" w:type="dxa"/>
            <w:vAlign w:val="bottom"/>
            <w:shd w:val="clear" w:color="auto" w:fill="D0EBF2"/>
          </w:tcPr>
          <w:p>
            <w:pPr>
              <w:spacing w:after="0"/>
              <w:rPr>
                <w:sz w:val="16"/>
                <w:szCs w:val="16"/>
                <w:color w:val="auto"/>
              </w:rPr>
            </w:pPr>
          </w:p>
        </w:tc>
        <w:tc>
          <w:tcPr>
            <w:tcW w:w="180" w:type="dxa"/>
            <w:vAlign w:val="bottom"/>
            <w:shd w:val="clear" w:color="auto" w:fill="D0EBF2"/>
          </w:tcPr>
          <w:p>
            <w:pPr>
              <w:spacing w:after="0"/>
              <w:rPr>
                <w:sz w:val="16"/>
                <w:szCs w:val="16"/>
                <w:color w:val="auto"/>
              </w:rPr>
            </w:pPr>
          </w:p>
        </w:tc>
        <w:tc>
          <w:tcPr>
            <w:tcW w:w="80" w:type="dxa"/>
            <w:vAlign w:val="bottom"/>
            <w:shd w:val="clear" w:color="auto" w:fill="D0EBF2"/>
          </w:tcPr>
          <w:p>
            <w:pPr>
              <w:spacing w:after="0"/>
              <w:rPr>
                <w:sz w:val="16"/>
                <w:szCs w:val="16"/>
                <w:color w:val="auto"/>
              </w:rPr>
            </w:pPr>
          </w:p>
        </w:tc>
        <w:tc>
          <w:tcPr>
            <w:tcW w:w="880" w:type="dxa"/>
            <w:vAlign w:val="bottom"/>
            <w:shd w:val="clear" w:color="auto" w:fill="D0EBF2"/>
          </w:tcPr>
          <w:p>
            <w:pPr>
              <w:jc w:val="right"/>
              <w:spacing w:after="0"/>
              <w:rPr>
                <w:sz w:val="20"/>
                <w:szCs w:val="20"/>
                <w:color w:val="auto"/>
              </w:rPr>
            </w:pPr>
            <w:r>
              <w:rPr>
                <w:rFonts w:ascii="Times New Roman" w:cs="Times New Roman" w:eastAsia="Times New Roman" w:hAnsi="Times New Roman"/>
                <w:sz w:val="15"/>
                <w:szCs w:val="15"/>
                <w:color w:val="231F20"/>
              </w:rPr>
              <w:t>38,158)</w:t>
            </w:r>
          </w:p>
        </w:tc>
        <w:tc>
          <w:tcPr>
            <w:tcW w:w="220" w:type="dxa"/>
            <w:vAlign w:val="bottom"/>
            <w:tcBorders>
              <w:right w:val="single" w:sz="8" w:color="D0EBF2"/>
            </w:tcBorders>
            <w:shd w:val="clear" w:color="auto" w:fill="D0EBF2"/>
          </w:tcPr>
          <w:p>
            <w:pPr>
              <w:spacing w:after="0"/>
              <w:rPr>
                <w:sz w:val="16"/>
                <w:szCs w:val="16"/>
                <w:color w:val="auto"/>
              </w:rPr>
            </w:pPr>
          </w:p>
        </w:tc>
        <w:tc>
          <w:tcPr>
            <w:tcW w:w="880" w:type="dxa"/>
            <w:vAlign w:val="bottom"/>
            <w:shd w:val="clear" w:color="auto" w:fill="D0EBF2"/>
          </w:tcPr>
          <w:p>
            <w:pPr>
              <w:spacing w:after="0"/>
              <w:rPr>
                <w:sz w:val="16"/>
                <w:szCs w:val="16"/>
                <w:color w:val="auto"/>
              </w:rPr>
            </w:pPr>
          </w:p>
        </w:tc>
        <w:tc>
          <w:tcPr>
            <w:tcW w:w="240" w:type="dxa"/>
            <w:vAlign w:val="bottom"/>
            <w:shd w:val="clear" w:color="auto" w:fill="D0EBF2"/>
          </w:tcPr>
          <w:p>
            <w:pPr>
              <w:spacing w:after="0"/>
              <w:rPr>
                <w:sz w:val="16"/>
                <w:szCs w:val="16"/>
                <w:color w:val="auto"/>
              </w:rPr>
            </w:pPr>
          </w:p>
        </w:tc>
        <w:tc>
          <w:tcPr>
            <w:tcW w:w="0" w:type="dxa"/>
            <w:vAlign w:val="bottom"/>
          </w:tcPr>
          <w:p>
            <w:pPr>
              <w:spacing w:after="0"/>
              <w:rPr>
                <w:sz w:val="1"/>
                <w:szCs w:val="1"/>
                <w:color w:val="auto"/>
              </w:rPr>
            </w:pPr>
          </w:p>
        </w:tc>
      </w:tr>
      <w:tr>
        <w:trPr>
          <w:trHeight w:val="158"/>
        </w:trPr>
        <w:tc>
          <w:tcPr>
            <w:tcW w:w="1420" w:type="dxa"/>
            <w:vAlign w:val="bottom"/>
            <w:shd w:val="clear" w:color="auto" w:fill="FDFDFC"/>
          </w:tcPr>
          <w:p>
            <w:pPr>
              <w:spacing w:after="0"/>
              <w:rPr>
                <w:sz w:val="13"/>
                <w:szCs w:val="13"/>
                <w:color w:val="auto"/>
              </w:rPr>
            </w:pPr>
          </w:p>
        </w:tc>
        <w:tc>
          <w:tcPr>
            <w:tcW w:w="100" w:type="dxa"/>
            <w:vAlign w:val="bottom"/>
            <w:shd w:val="clear" w:color="auto" w:fill="FDFDFC"/>
          </w:tcPr>
          <w:p>
            <w:pPr>
              <w:spacing w:after="0"/>
              <w:rPr>
                <w:sz w:val="13"/>
                <w:szCs w:val="13"/>
                <w:color w:val="auto"/>
              </w:rPr>
            </w:pPr>
          </w:p>
        </w:tc>
        <w:tc>
          <w:tcPr>
            <w:tcW w:w="2340" w:type="dxa"/>
            <w:vAlign w:val="bottom"/>
            <w:shd w:val="clear" w:color="auto" w:fill="FDFDFC"/>
          </w:tcPr>
          <w:p>
            <w:pPr>
              <w:spacing w:after="0" w:line="159" w:lineRule="exact"/>
              <w:rPr>
                <w:sz w:val="20"/>
                <w:szCs w:val="20"/>
                <w:color w:val="auto"/>
              </w:rPr>
            </w:pPr>
            <w:r>
              <w:rPr>
                <w:rFonts w:ascii="Times New Roman" w:cs="Times New Roman" w:eastAsia="Times New Roman" w:hAnsi="Times New Roman"/>
                <w:sz w:val="15"/>
                <w:szCs w:val="15"/>
                <w:color w:val="231F20"/>
              </w:rPr>
              <w:t>First-lien revolving loan (CAD 1,086</w:t>
            </w:r>
          </w:p>
        </w:tc>
        <w:tc>
          <w:tcPr>
            <w:tcW w:w="840" w:type="dxa"/>
            <w:vAlign w:val="bottom"/>
            <w:gridSpan w:val="2"/>
            <w:shd w:val="clear" w:color="auto" w:fill="FDFDFC"/>
          </w:tcPr>
          <w:p>
            <w:pPr>
              <w:jc w:val="right"/>
              <w:spacing w:after="0" w:line="159" w:lineRule="exact"/>
              <w:rPr>
                <w:sz w:val="20"/>
                <w:szCs w:val="20"/>
                <w:color w:val="auto"/>
              </w:rPr>
            </w:pPr>
            <w:r>
              <w:rPr>
                <w:rFonts w:ascii="Times New Roman" w:cs="Times New Roman" w:eastAsia="Times New Roman" w:hAnsi="Times New Roman"/>
                <w:sz w:val="15"/>
                <w:szCs w:val="15"/>
                <w:color w:val="231F20"/>
              </w:rPr>
              <w:t>12/3/2021</w:t>
            </w:r>
          </w:p>
        </w:tc>
        <w:tc>
          <w:tcPr>
            <w:tcW w:w="100" w:type="dxa"/>
            <w:vAlign w:val="bottom"/>
            <w:shd w:val="clear" w:color="auto" w:fill="FDFDFC"/>
          </w:tcPr>
          <w:p>
            <w:pPr>
              <w:spacing w:after="0"/>
              <w:rPr>
                <w:sz w:val="13"/>
                <w:szCs w:val="13"/>
                <w:color w:val="auto"/>
              </w:rPr>
            </w:pPr>
          </w:p>
        </w:tc>
        <w:tc>
          <w:tcPr>
            <w:tcW w:w="1020" w:type="dxa"/>
            <w:vAlign w:val="bottom"/>
            <w:gridSpan w:val="2"/>
            <w:shd w:val="clear" w:color="auto" w:fill="FDFDFC"/>
          </w:tcPr>
          <w:p>
            <w:pPr>
              <w:jc w:val="right"/>
              <w:ind w:right="240"/>
              <w:spacing w:after="0" w:line="159" w:lineRule="exact"/>
              <w:rPr>
                <w:sz w:val="20"/>
                <w:szCs w:val="20"/>
                <w:color w:val="auto"/>
              </w:rPr>
            </w:pPr>
            <w:r>
              <w:rPr>
                <w:rFonts w:ascii="Times New Roman" w:cs="Times New Roman" w:eastAsia="Times New Roman" w:hAnsi="Times New Roman"/>
                <w:sz w:val="15"/>
                <w:szCs w:val="15"/>
                <w:color w:val="231F20"/>
              </w:rPr>
              <w:t>C + 5.75%</w:t>
            </w:r>
          </w:p>
        </w:tc>
        <w:tc>
          <w:tcPr>
            <w:tcW w:w="980" w:type="dxa"/>
            <w:vAlign w:val="bottom"/>
            <w:gridSpan w:val="2"/>
            <w:shd w:val="clear" w:color="auto" w:fill="FDFDFC"/>
          </w:tcPr>
          <w:p>
            <w:pPr>
              <w:jc w:val="right"/>
              <w:ind w:right="100"/>
              <w:spacing w:after="0" w:line="159" w:lineRule="exact"/>
              <w:rPr>
                <w:sz w:val="20"/>
                <w:szCs w:val="20"/>
                <w:color w:val="auto"/>
              </w:rPr>
            </w:pPr>
            <w:r>
              <w:rPr>
                <w:rFonts w:ascii="Times New Roman" w:cs="Times New Roman" w:eastAsia="Times New Roman" w:hAnsi="Times New Roman"/>
                <w:sz w:val="15"/>
                <w:szCs w:val="15"/>
                <w:color w:val="231F20"/>
              </w:rPr>
              <w:t>11.20%</w:t>
            </w:r>
          </w:p>
        </w:tc>
        <w:tc>
          <w:tcPr>
            <w:tcW w:w="140" w:type="dxa"/>
            <w:vAlign w:val="bottom"/>
            <w:shd w:val="clear" w:color="auto" w:fill="FDFDFC"/>
          </w:tcPr>
          <w:p>
            <w:pPr>
              <w:spacing w:after="0"/>
              <w:rPr>
                <w:sz w:val="13"/>
                <w:szCs w:val="13"/>
                <w:color w:val="auto"/>
              </w:rPr>
            </w:pPr>
          </w:p>
        </w:tc>
        <w:tc>
          <w:tcPr>
            <w:tcW w:w="860" w:type="dxa"/>
            <w:vAlign w:val="bottom"/>
            <w:shd w:val="clear" w:color="auto" w:fill="FDFDFC"/>
          </w:tcPr>
          <w:p>
            <w:pPr>
              <w:jc w:val="right"/>
              <w:spacing w:after="0" w:line="159" w:lineRule="exact"/>
              <w:rPr>
                <w:sz w:val="20"/>
                <w:szCs w:val="20"/>
                <w:color w:val="auto"/>
              </w:rPr>
            </w:pPr>
            <w:r>
              <w:rPr>
                <w:rFonts w:ascii="Times New Roman" w:cs="Times New Roman" w:eastAsia="Times New Roman" w:hAnsi="Times New Roman"/>
                <w:sz w:val="15"/>
                <w:szCs w:val="15"/>
                <w:color w:val="231F20"/>
              </w:rPr>
              <w:t>693</w:t>
            </w:r>
          </w:p>
        </w:tc>
        <w:tc>
          <w:tcPr>
            <w:tcW w:w="180" w:type="dxa"/>
            <w:vAlign w:val="bottom"/>
            <w:shd w:val="clear" w:color="auto" w:fill="FDFDFC"/>
          </w:tcPr>
          <w:p>
            <w:pPr>
              <w:spacing w:after="0"/>
              <w:rPr>
                <w:sz w:val="13"/>
                <w:szCs w:val="13"/>
                <w:color w:val="auto"/>
              </w:rPr>
            </w:pPr>
          </w:p>
        </w:tc>
        <w:tc>
          <w:tcPr>
            <w:tcW w:w="80" w:type="dxa"/>
            <w:vAlign w:val="bottom"/>
            <w:shd w:val="clear" w:color="auto" w:fill="FDFDFC"/>
          </w:tcPr>
          <w:p>
            <w:pPr>
              <w:spacing w:after="0"/>
              <w:rPr>
                <w:sz w:val="13"/>
                <w:szCs w:val="13"/>
                <w:color w:val="auto"/>
              </w:rPr>
            </w:pPr>
          </w:p>
        </w:tc>
        <w:tc>
          <w:tcPr>
            <w:tcW w:w="880" w:type="dxa"/>
            <w:vAlign w:val="bottom"/>
            <w:shd w:val="clear" w:color="auto" w:fill="FDFDFC"/>
          </w:tcPr>
          <w:p>
            <w:pPr>
              <w:jc w:val="right"/>
              <w:spacing w:after="0" w:line="159" w:lineRule="exact"/>
              <w:rPr>
                <w:sz w:val="20"/>
                <w:szCs w:val="20"/>
                <w:color w:val="auto"/>
              </w:rPr>
            </w:pPr>
            <w:r>
              <w:rPr>
                <w:rFonts w:ascii="Times New Roman" w:cs="Times New Roman" w:eastAsia="Times New Roman" w:hAnsi="Times New Roman"/>
                <w:sz w:val="15"/>
                <w:szCs w:val="15"/>
                <w:color w:val="231F20"/>
              </w:rPr>
              <w:t>824</w:t>
            </w:r>
          </w:p>
        </w:tc>
        <w:tc>
          <w:tcPr>
            <w:tcW w:w="1340" w:type="dxa"/>
            <w:vAlign w:val="bottom"/>
            <w:gridSpan w:val="3"/>
            <w:shd w:val="clear" w:color="auto" w:fill="FDFDFC"/>
          </w:tcPr>
          <w:p>
            <w:pPr>
              <w:jc w:val="right"/>
              <w:ind w:right="120"/>
              <w:spacing w:after="0" w:line="159" w:lineRule="exact"/>
              <w:rPr>
                <w:sz w:val="20"/>
                <w:szCs w:val="20"/>
                <w:color w:val="auto"/>
              </w:rPr>
            </w:pPr>
            <w:r>
              <w:rPr>
                <w:rFonts w:ascii="Times New Roman" w:cs="Times New Roman" w:eastAsia="Times New Roman" w:hAnsi="Times New Roman"/>
                <w:sz w:val="15"/>
                <w:szCs w:val="15"/>
                <w:color w:val="231F20"/>
              </w:rPr>
              <w:t>0.1%</w:t>
            </w:r>
          </w:p>
        </w:tc>
        <w:tc>
          <w:tcPr>
            <w:tcW w:w="0" w:type="dxa"/>
            <w:vAlign w:val="bottom"/>
          </w:tcPr>
          <w:p>
            <w:pPr>
              <w:spacing w:after="0"/>
              <w:rPr>
                <w:sz w:val="1"/>
                <w:szCs w:val="1"/>
                <w:color w:val="auto"/>
              </w:rPr>
            </w:pPr>
          </w:p>
        </w:tc>
      </w:tr>
      <w:tr>
        <w:trPr>
          <w:trHeight w:val="189"/>
        </w:trPr>
        <w:tc>
          <w:tcPr>
            <w:tcW w:w="1420" w:type="dxa"/>
            <w:vAlign w:val="bottom"/>
            <w:shd w:val="clear" w:color="auto" w:fill="FDFDFC"/>
          </w:tcPr>
          <w:p>
            <w:pPr>
              <w:spacing w:after="0"/>
              <w:rPr>
                <w:sz w:val="16"/>
                <w:szCs w:val="16"/>
                <w:color w:val="auto"/>
              </w:rPr>
            </w:pPr>
          </w:p>
        </w:tc>
        <w:tc>
          <w:tcPr>
            <w:tcW w:w="100" w:type="dxa"/>
            <w:vAlign w:val="bottom"/>
            <w:shd w:val="clear" w:color="auto" w:fill="FDFDFC"/>
          </w:tcPr>
          <w:p>
            <w:pPr>
              <w:spacing w:after="0"/>
              <w:rPr>
                <w:sz w:val="16"/>
                <w:szCs w:val="16"/>
                <w:color w:val="auto"/>
              </w:rPr>
            </w:pPr>
          </w:p>
        </w:tc>
        <w:tc>
          <w:tcPr>
            <w:tcW w:w="2340" w:type="dxa"/>
            <w:vAlign w:val="bottom"/>
            <w:shd w:val="clear" w:color="auto" w:fill="FDFDFC"/>
          </w:tcPr>
          <w:p>
            <w:pPr>
              <w:spacing w:after="0"/>
              <w:rPr>
                <w:sz w:val="20"/>
                <w:szCs w:val="20"/>
                <w:color w:val="auto"/>
              </w:rPr>
            </w:pPr>
            <w:r>
              <w:rPr>
                <w:rFonts w:ascii="Times New Roman" w:cs="Times New Roman" w:eastAsia="Times New Roman" w:hAnsi="Times New Roman"/>
                <w:sz w:val="15"/>
                <w:szCs w:val="15"/>
                <w:color w:val="231F20"/>
              </w:rPr>
              <w:t>par, due 12/2026)</w:t>
            </w:r>
          </w:p>
        </w:tc>
        <w:tc>
          <w:tcPr>
            <w:tcW w:w="80" w:type="dxa"/>
            <w:vAlign w:val="bottom"/>
            <w:shd w:val="clear" w:color="auto" w:fill="FDFDFC"/>
          </w:tcPr>
          <w:p>
            <w:pPr>
              <w:spacing w:after="0"/>
              <w:rPr>
                <w:sz w:val="16"/>
                <w:szCs w:val="16"/>
                <w:color w:val="auto"/>
              </w:rPr>
            </w:pPr>
          </w:p>
        </w:tc>
        <w:tc>
          <w:tcPr>
            <w:tcW w:w="760" w:type="dxa"/>
            <w:vAlign w:val="bottom"/>
            <w:shd w:val="clear" w:color="auto" w:fill="FDFDFC"/>
          </w:tcPr>
          <w:p>
            <w:pPr>
              <w:spacing w:after="0"/>
              <w:rPr>
                <w:sz w:val="16"/>
                <w:szCs w:val="16"/>
                <w:color w:val="auto"/>
              </w:rPr>
            </w:pPr>
          </w:p>
        </w:tc>
        <w:tc>
          <w:tcPr>
            <w:tcW w:w="100" w:type="dxa"/>
            <w:vAlign w:val="bottom"/>
            <w:shd w:val="clear" w:color="auto" w:fill="FDFDFC"/>
          </w:tcPr>
          <w:p>
            <w:pPr>
              <w:spacing w:after="0"/>
              <w:rPr>
                <w:sz w:val="16"/>
                <w:szCs w:val="16"/>
                <w:color w:val="auto"/>
              </w:rPr>
            </w:pPr>
          </w:p>
        </w:tc>
        <w:tc>
          <w:tcPr>
            <w:tcW w:w="800" w:type="dxa"/>
            <w:vAlign w:val="bottom"/>
            <w:shd w:val="clear" w:color="auto" w:fill="FDFDFC"/>
          </w:tcPr>
          <w:p>
            <w:pPr>
              <w:spacing w:after="0"/>
              <w:rPr>
                <w:sz w:val="16"/>
                <w:szCs w:val="16"/>
                <w:color w:val="auto"/>
              </w:rPr>
            </w:pPr>
          </w:p>
        </w:tc>
        <w:tc>
          <w:tcPr>
            <w:tcW w:w="220" w:type="dxa"/>
            <w:vAlign w:val="bottom"/>
            <w:shd w:val="clear" w:color="auto" w:fill="FDFDFC"/>
          </w:tcPr>
          <w:p>
            <w:pPr>
              <w:spacing w:after="0"/>
              <w:rPr>
                <w:sz w:val="16"/>
                <w:szCs w:val="16"/>
                <w:color w:val="auto"/>
              </w:rPr>
            </w:pPr>
          </w:p>
        </w:tc>
        <w:tc>
          <w:tcPr>
            <w:tcW w:w="760" w:type="dxa"/>
            <w:vAlign w:val="bottom"/>
            <w:shd w:val="clear" w:color="auto" w:fill="FDFDFC"/>
          </w:tcPr>
          <w:p>
            <w:pPr>
              <w:spacing w:after="0"/>
              <w:rPr>
                <w:sz w:val="16"/>
                <w:szCs w:val="16"/>
                <w:color w:val="auto"/>
              </w:rPr>
            </w:pPr>
          </w:p>
        </w:tc>
        <w:tc>
          <w:tcPr>
            <w:tcW w:w="220" w:type="dxa"/>
            <w:vAlign w:val="bottom"/>
            <w:shd w:val="clear" w:color="auto" w:fill="FDFDFC"/>
          </w:tcPr>
          <w:p>
            <w:pPr>
              <w:spacing w:after="0"/>
              <w:rPr>
                <w:sz w:val="16"/>
                <w:szCs w:val="16"/>
                <w:color w:val="auto"/>
              </w:rPr>
            </w:pPr>
          </w:p>
        </w:tc>
        <w:tc>
          <w:tcPr>
            <w:tcW w:w="140" w:type="dxa"/>
            <w:vAlign w:val="bottom"/>
            <w:shd w:val="clear" w:color="auto" w:fill="FDFDFC"/>
          </w:tcPr>
          <w:p>
            <w:pPr>
              <w:spacing w:after="0"/>
              <w:rPr>
                <w:sz w:val="16"/>
                <w:szCs w:val="16"/>
                <w:color w:val="auto"/>
              </w:rPr>
            </w:pPr>
          </w:p>
        </w:tc>
        <w:tc>
          <w:tcPr>
            <w:tcW w:w="860" w:type="dxa"/>
            <w:vAlign w:val="bottom"/>
            <w:shd w:val="clear" w:color="auto" w:fill="FDFDFC"/>
          </w:tcPr>
          <w:p>
            <w:pPr>
              <w:spacing w:after="0"/>
              <w:rPr>
                <w:sz w:val="16"/>
                <w:szCs w:val="16"/>
                <w:color w:val="auto"/>
              </w:rPr>
            </w:pPr>
          </w:p>
        </w:tc>
        <w:tc>
          <w:tcPr>
            <w:tcW w:w="180" w:type="dxa"/>
            <w:vAlign w:val="bottom"/>
            <w:shd w:val="clear" w:color="auto" w:fill="FDFDFC"/>
          </w:tcPr>
          <w:p>
            <w:pPr>
              <w:spacing w:after="0"/>
              <w:rPr>
                <w:sz w:val="16"/>
                <w:szCs w:val="16"/>
                <w:color w:val="auto"/>
              </w:rPr>
            </w:pPr>
          </w:p>
        </w:tc>
        <w:tc>
          <w:tcPr>
            <w:tcW w:w="80" w:type="dxa"/>
            <w:vAlign w:val="bottom"/>
            <w:shd w:val="clear" w:color="auto" w:fill="FDFDFC"/>
          </w:tcPr>
          <w:p>
            <w:pPr>
              <w:spacing w:after="0"/>
              <w:rPr>
                <w:sz w:val="16"/>
                <w:szCs w:val="16"/>
                <w:color w:val="auto"/>
              </w:rPr>
            </w:pPr>
          </w:p>
        </w:tc>
        <w:tc>
          <w:tcPr>
            <w:tcW w:w="880" w:type="dxa"/>
            <w:vAlign w:val="bottom"/>
            <w:shd w:val="clear" w:color="auto" w:fill="FDFDFC"/>
          </w:tcPr>
          <w:p>
            <w:pPr>
              <w:jc w:val="right"/>
              <w:spacing w:after="0"/>
              <w:rPr>
                <w:sz w:val="20"/>
                <w:szCs w:val="20"/>
                <w:color w:val="auto"/>
              </w:rPr>
            </w:pPr>
            <w:r>
              <w:rPr>
                <w:rFonts w:ascii="Times New Roman" w:cs="Times New Roman" w:eastAsia="Times New Roman" w:hAnsi="Times New Roman"/>
                <w:sz w:val="15"/>
                <w:szCs w:val="15"/>
                <w:color w:val="231F20"/>
              </w:rPr>
              <w:t>(CAD 1,086)</w:t>
            </w:r>
          </w:p>
        </w:tc>
        <w:tc>
          <w:tcPr>
            <w:tcW w:w="220" w:type="dxa"/>
            <w:vAlign w:val="bottom"/>
            <w:tcBorders>
              <w:right w:val="single" w:sz="8" w:color="FDFDFC"/>
            </w:tcBorders>
            <w:shd w:val="clear" w:color="auto" w:fill="FDFDFC"/>
          </w:tcPr>
          <w:p>
            <w:pPr>
              <w:spacing w:after="0"/>
              <w:rPr>
                <w:sz w:val="16"/>
                <w:szCs w:val="16"/>
                <w:color w:val="auto"/>
              </w:rPr>
            </w:pPr>
          </w:p>
        </w:tc>
        <w:tc>
          <w:tcPr>
            <w:tcW w:w="880" w:type="dxa"/>
            <w:vAlign w:val="bottom"/>
            <w:shd w:val="clear" w:color="auto" w:fill="FDFDFC"/>
          </w:tcPr>
          <w:p>
            <w:pPr>
              <w:spacing w:after="0"/>
              <w:rPr>
                <w:sz w:val="16"/>
                <w:szCs w:val="16"/>
                <w:color w:val="auto"/>
              </w:rPr>
            </w:pPr>
          </w:p>
        </w:tc>
        <w:tc>
          <w:tcPr>
            <w:tcW w:w="240" w:type="dxa"/>
            <w:vAlign w:val="bottom"/>
            <w:shd w:val="clear" w:color="auto" w:fill="FDFDFC"/>
          </w:tcPr>
          <w:p>
            <w:pPr>
              <w:spacing w:after="0"/>
              <w:rPr>
                <w:sz w:val="16"/>
                <w:szCs w:val="16"/>
                <w:color w:val="auto"/>
              </w:rPr>
            </w:pPr>
          </w:p>
        </w:tc>
        <w:tc>
          <w:tcPr>
            <w:tcW w:w="0" w:type="dxa"/>
            <w:vAlign w:val="bottom"/>
          </w:tcPr>
          <w:p>
            <w:pPr>
              <w:spacing w:after="0"/>
              <w:rPr>
                <w:sz w:val="1"/>
                <w:szCs w:val="1"/>
                <w:color w:val="auto"/>
              </w:rPr>
            </w:pPr>
          </w:p>
        </w:tc>
      </w:tr>
      <w:tr>
        <w:trPr>
          <w:trHeight w:val="158"/>
        </w:trPr>
        <w:tc>
          <w:tcPr>
            <w:tcW w:w="1420" w:type="dxa"/>
            <w:vAlign w:val="bottom"/>
            <w:shd w:val="clear" w:color="auto" w:fill="D0EBF2"/>
          </w:tcPr>
          <w:p>
            <w:pPr>
              <w:spacing w:after="0" w:line="159" w:lineRule="exact"/>
              <w:rPr>
                <w:sz w:val="20"/>
                <w:szCs w:val="20"/>
                <w:color w:val="auto"/>
              </w:rPr>
            </w:pPr>
            <w:r>
              <w:rPr>
                <w:rFonts w:ascii="Times New Roman" w:cs="Times New Roman" w:eastAsia="Times New Roman" w:hAnsi="Times New Roman"/>
                <w:sz w:val="15"/>
                <w:szCs w:val="15"/>
                <w:color w:val="231F20"/>
              </w:rPr>
              <w:t>ExtraHop Networks,</w:t>
            </w:r>
          </w:p>
        </w:tc>
        <w:tc>
          <w:tcPr>
            <w:tcW w:w="100" w:type="dxa"/>
            <w:vAlign w:val="bottom"/>
            <w:shd w:val="clear" w:color="auto" w:fill="D0EBF2"/>
          </w:tcPr>
          <w:p>
            <w:pPr>
              <w:spacing w:after="0"/>
              <w:rPr>
                <w:sz w:val="13"/>
                <w:szCs w:val="13"/>
                <w:color w:val="auto"/>
              </w:rPr>
            </w:pPr>
          </w:p>
        </w:tc>
        <w:tc>
          <w:tcPr>
            <w:tcW w:w="2340" w:type="dxa"/>
            <w:vAlign w:val="bottom"/>
            <w:shd w:val="clear" w:color="auto" w:fill="D0EBF2"/>
          </w:tcPr>
          <w:p>
            <w:pPr>
              <w:spacing w:after="0" w:line="159" w:lineRule="exact"/>
              <w:rPr>
                <w:sz w:val="20"/>
                <w:szCs w:val="20"/>
                <w:color w:val="auto"/>
              </w:rPr>
            </w:pPr>
            <w:r>
              <w:rPr>
                <w:rFonts w:ascii="Times New Roman" w:cs="Times New Roman" w:eastAsia="Times New Roman" w:hAnsi="Times New Roman"/>
                <w:sz w:val="15"/>
                <w:szCs w:val="15"/>
                <w:color w:val="231F20"/>
              </w:rPr>
              <w:t>First-lien loan ($66,197 par, due</w:t>
            </w:r>
          </w:p>
        </w:tc>
        <w:tc>
          <w:tcPr>
            <w:tcW w:w="840" w:type="dxa"/>
            <w:vAlign w:val="bottom"/>
            <w:gridSpan w:val="2"/>
            <w:shd w:val="clear" w:color="auto" w:fill="D0EBF2"/>
          </w:tcPr>
          <w:p>
            <w:pPr>
              <w:jc w:val="right"/>
              <w:spacing w:after="0" w:line="159" w:lineRule="exact"/>
              <w:rPr>
                <w:sz w:val="20"/>
                <w:szCs w:val="20"/>
                <w:color w:val="auto"/>
              </w:rPr>
            </w:pPr>
            <w:r>
              <w:rPr>
                <w:rFonts w:ascii="Times New Roman" w:cs="Times New Roman" w:eastAsia="Times New Roman" w:hAnsi="Times New Roman"/>
                <w:sz w:val="15"/>
                <w:szCs w:val="15"/>
                <w:color w:val="231F20"/>
              </w:rPr>
              <w:t>7/22/2021</w:t>
            </w:r>
          </w:p>
        </w:tc>
        <w:tc>
          <w:tcPr>
            <w:tcW w:w="100" w:type="dxa"/>
            <w:vAlign w:val="bottom"/>
            <w:shd w:val="clear" w:color="auto" w:fill="D0EBF2"/>
          </w:tcPr>
          <w:p>
            <w:pPr>
              <w:spacing w:after="0"/>
              <w:rPr>
                <w:sz w:val="13"/>
                <w:szCs w:val="13"/>
                <w:color w:val="auto"/>
              </w:rPr>
            </w:pPr>
          </w:p>
        </w:tc>
        <w:tc>
          <w:tcPr>
            <w:tcW w:w="1020" w:type="dxa"/>
            <w:vAlign w:val="bottom"/>
            <w:gridSpan w:val="2"/>
            <w:shd w:val="clear" w:color="auto" w:fill="D0EBF2"/>
          </w:tcPr>
          <w:p>
            <w:pPr>
              <w:jc w:val="right"/>
              <w:ind w:right="240"/>
              <w:spacing w:after="0" w:line="159" w:lineRule="exact"/>
              <w:rPr>
                <w:sz w:val="20"/>
                <w:szCs w:val="20"/>
                <w:color w:val="auto"/>
              </w:rPr>
            </w:pPr>
            <w:r>
              <w:rPr>
                <w:rFonts w:ascii="Times New Roman" w:cs="Times New Roman" w:eastAsia="Times New Roman" w:hAnsi="Times New Roman"/>
                <w:sz w:val="15"/>
                <w:szCs w:val="15"/>
                <w:color w:val="231F20"/>
              </w:rPr>
              <w:t>SOFR</w:t>
            </w:r>
          </w:p>
        </w:tc>
        <w:tc>
          <w:tcPr>
            <w:tcW w:w="980" w:type="dxa"/>
            <w:vAlign w:val="bottom"/>
            <w:gridSpan w:val="2"/>
            <w:shd w:val="clear" w:color="auto" w:fill="D0EBF2"/>
          </w:tcPr>
          <w:p>
            <w:pPr>
              <w:jc w:val="right"/>
              <w:ind w:right="100"/>
              <w:spacing w:after="0" w:line="159" w:lineRule="exact"/>
              <w:rPr>
                <w:sz w:val="20"/>
                <w:szCs w:val="20"/>
                <w:color w:val="auto"/>
              </w:rPr>
            </w:pPr>
            <w:r>
              <w:rPr>
                <w:rFonts w:ascii="Times New Roman" w:cs="Times New Roman" w:eastAsia="Times New Roman" w:hAnsi="Times New Roman"/>
                <w:sz w:val="15"/>
                <w:szCs w:val="15"/>
                <w:color w:val="231F20"/>
              </w:rPr>
              <w:t>12.96%</w:t>
            </w:r>
          </w:p>
        </w:tc>
        <w:tc>
          <w:tcPr>
            <w:tcW w:w="140" w:type="dxa"/>
            <w:vAlign w:val="bottom"/>
            <w:shd w:val="clear" w:color="auto" w:fill="D0EBF2"/>
          </w:tcPr>
          <w:p>
            <w:pPr>
              <w:spacing w:after="0"/>
              <w:rPr>
                <w:sz w:val="13"/>
                <w:szCs w:val="13"/>
                <w:color w:val="auto"/>
              </w:rPr>
            </w:pPr>
          </w:p>
        </w:tc>
        <w:tc>
          <w:tcPr>
            <w:tcW w:w="860" w:type="dxa"/>
            <w:vAlign w:val="bottom"/>
            <w:shd w:val="clear" w:color="auto" w:fill="D0EBF2"/>
          </w:tcPr>
          <w:p>
            <w:pPr>
              <w:jc w:val="right"/>
              <w:spacing w:after="0" w:line="159" w:lineRule="exact"/>
              <w:rPr>
                <w:sz w:val="20"/>
                <w:szCs w:val="20"/>
                <w:color w:val="auto"/>
              </w:rPr>
            </w:pPr>
            <w:r>
              <w:rPr>
                <w:rFonts w:ascii="Times New Roman" w:cs="Times New Roman" w:eastAsia="Times New Roman" w:hAnsi="Times New Roman"/>
                <w:sz w:val="15"/>
                <w:szCs w:val="15"/>
                <w:color w:val="231F20"/>
              </w:rPr>
              <w:t>65,245</w:t>
            </w:r>
          </w:p>
        </w:tc>
        <w:tc>
          <w:tcPr>
            <w:tcW w:w="180" w:type="dxa"/>
            <w:vAlign w:val="bottom"/>
            <w:shd w:val="clear" w:color="auto" w:fill="D0EBF2"/>
          </w:tcPr>
          <w:p>
            <w:pPr>
              <w:spacing w:after="0"/>
              <w:rPr>
                <w:sz w:val="13"/>
                <w:szCs w:val="13"/>
                <w:color w:val="auto"/>
              </w:rPr>
            </w:pPr>
          </w:p>
        </w:tc>
        <w:tc>
          <w:tcPr>
            <w:tcW w:w="80" w:type="dxa"/>
            <w:vAlign w:val="bottom"/>
            <w:shd w:val="clear" w:color="auto" w:fill="D0EBF2"/>
          </w:tcPr>
          <w:p>
            <w:pPr>
              <w:spacing w:after="0"/>
              <w:rPr>
                <w:sz w:val="13"/>
                <w:szCs w:val="13"/>
                <w:color w:val="auto"/>
              </w:rPr>
            </w:pPr>
          </w:p>
        </w:tc>
        <w:tc>
          <w:tcPr>
            <w:tcW w:w="880" w:type="dxa"/>
            <w:vAlign w:val="bottom"/>
            <w:shd w:val="clear" w:color="auto" w:fill="D0EBF2"/>
          </w:tcPr>
          <w:p>
            <w:pPr>
              <w:jc w:val="right"/>
              <w:spacing w:after="0" w:line="159" w:lineRule="exact"/>
              <w:rPr>
                <w:sz w:val="20"/>
                <w:szCs w:val="20"/>
                <w:color w:val="auto"/>
              </w:rPr>
            </w:pPr>
            <w:r>
              <w:rPr>
                <w:rFonts w:ascii="Times New Roman" w:cs="Times New Roman" w:eastAsia="Times New Roman" w:hAnsi="Times New Roman"/>
                <w:sz w:val="15"/>
                <w:szCs w:val="15"/>
                <w:color w:val="231F20"/>
              </w:rPr>
              <w:t>65,866</w:t>
            </w:r>
          </w:p>
        </w:tc>
        <w:tc>
          <w:tcPr>
            <w:tcW w:w="1340" w:type="dxa"/>
            <w:vAlign w:val="bottom"/>
            <w:gridSpan w:val="3"/>
            <w:shd w:val="clear" w:color="auto" w:fill="D0EBF2"/>
          </w:tcPr>
          <w:p>
            <w:pPr>
              <w:jc w:val="right"/>
              <w:ind w:right="120"/>
              <w:spacing w:after="0" w:line="159" w:lineRule="exact"/>
              <w:rPr>
                <w:sz w:val="20"/>
                <w:szCs w:val="20"/>
                <w:color w:val="auto"/>
              </w:rPr>
            </w:pPr>
            <w:r>
              <w:rPr>
                <w:rFonts w:ascii="Times New Roman" w:cs="Times New Roman" w:eastAsia="Times New Roman" w:hAnsi="Times New Roman"/>
                <w:sz w:val="15"/>
                <w:szCs w:val="15"/>
                <w:color w:val="231F20"/>
              </w:rPr>
              <w:t>4.4%</w:t>
            </w:r>
          </w:p>
        </w:tc>
        <w:tc>
          <w:tcPr>
            <w:tcW w:w="0" w:type="dxa"/>
            <w:vAlign w:val="bottom"/>
          </w:tcPr>
          <w:p>
            <w:pPr>
              <w:spacing w:after="0"/>
              <w:rPr>
                <w:sz w:val="1"/>
                <w:szCs w:val="1"/>
                <w:color w:val="auto"/>
              </w:rPr>
            </w:pPr>
          </w:p>
        </w:tc>
      </w:tr>
      <w:tr>
        <w:trPr>
          <w:trHeight w:val="189"/>
        </w:trPr>
        <w:tc>
          <w:tcPr>
            <w:tcW w:w="1420" w:type="dxa"/>
            <w:vAlign w:val="bottom"/>
            <w:shd w:val="clear" w:color="auto" w:fill="D0EBF2"/>
          </w:tcPr>
          <w:p>
            <w:pPr>
              <w:spacing w:after="0" w:line="190" w:lineRule="exact"/>
              <w:rPr>
                <w:sz w:val="20"/>
                <w:szCs w:val="20"/>
                <w:color w:val="auto"/>
              </w:rPr>
            </w:pPr>
            <w:r>
              <w:rPr>
                <w:rFonts w:ascii="Times New Roman" w:cs="Times New Roman" w:eastAsia="Times New Roman" w:hAnsi="Times New Roman"/>
                <w:sz w:val="21"/>
                <w:szCs w:val="21"/>
                <w:color w:val="231F20"/>
                <w:vertAlign w:val="subscript"/>
              </w:rPr>
              <w:t>Inc.</w:t>
            </w:r>
            <w:r>
              <w:rPr>
                <w:rFonts w:ascii="Times New Roman" w:cs="Times New Roman" w:eastAsia="Times New Roman" w:hAnsi="Times New Roman"/>
                <w:sz w:val="8"/>
                <w:szCs w:val="8"/>
                <w:color w:val="231F20"/>
              </w:rPr>
              <w:t xml:space="preserve"> (3)(5)</w:t>
            </w:r>
          </w:p>
        </w:tc>
        <w:tc>
          <w:tcPr>
            <w:tcW w:w="2440" w:type="dxa"/>
            <w:vAlign w:val="bottom"/>
            <w:gridSpan w:val="2"/>
            <w:shd w:val="clear" w:color="auto" w:fill="D0EBF2"/>
          </w:tcPr>
          <w:p>
            <w:pPr>
              <w:ind w:left="100"/>
              <w:spacing w:after="0"/>
              <w:rPr>
                <w:sz w:val="20"/>
                <w:szCs w:val="20"/>
                <w:color w:val="auto"/>
              </w:rPr>
            </w:pPr>
            <w:r>
              <w:rPr>
                <w:rFonts w:ascii="Times New Roman" w:cs="Times New Roman" w:eastAsia="Times New Roman" w:hAnsi="Times New Roman"/>
                <w:sz w:val="15"/>
                <w:szCs w:val="15"/>
                <w:color w:val="231F20"/>
              </w:rPr>
              <w:t>7/2027)</w:t>
            </w:r>
          </w:p>
        </w:tc>
        <w:tc>
          <w:tcPr>
            <w:tcW w:w="80" w:type="dxa"/>
            <w:vAlign w:val="bottom"/>
            <w:shd w:val="clear" w:color="auto" w:fill="D0EBF2"/>
          </w:tcPr>
          <w:p>
            <w:pPr>
              <w:spacing w:after="0"/>
              <w:rPr>
                <w:sz w:val="16"/>
                <w:szCs w:val="16"/>
                <w:color w:val="auto"/>
              </w:rPr>
            </w:pPr>
          </w:p>
        </w:tc>
        <w:tc>
          <w:tcPr>
            <w:tcW w:w="760" w:type="dxa"/>
            <w:vAlign w:val="bottom"/>
            <w:shd w:val="clear" w:color="auto" w:fill="D0EBF2"/>
          </w:tcPr>
          <w:p>
            <w:pPr>
              <w:spacing w:after="0"/>
              <w:rPr>
                <w:sz w:val="16"/>
                <w:szCs w:val="16"/>
                <w:color w:val="auto"/>
              </w:rPr>
            </w:pPr>
          </w:p>
        </w:tc>
        <w:tc>
          <w:tcPr>
            <w:tcW w:w="900" w:type="dxa"/>
            <w:vAlign w:val="bottom"/>
            <w:gridSpan w:val="2"/>
            <w:shd w:val="clear" w:color="auto" w:fill="D0EBF2"/>
          </w:tcPr>
          <w:p>
            <w:pPr>
              <w:jc w:val="right"/>
              <w:spacing w:after="0"/>
              <w:rPr>
                <w:sz w:val="20"/>
                <w:szCs w:val="20"/>
                <w:color w:val="auto"/>
              </w:rPr>
            </w:pPr>
            <w:r>
              <w:rPr>
                <w:rFonts w:ascii="Times New Roman" w:cs="Times New Roman" w:eastAsia="Times New Roman" w:hAnsi="Times New Roman"/>
                <w:sz w:val="15"/>
                <w:szCs w:val="15"/>
                <w:color w:val="231F20"/>
              </w:rPr>
              <w:t>+ 7.60%</w:t>
            </w:r>
          </w:p>
        </w:tc>
        <w:tc>
          <w:tcPr>
            <w:tcW w:w="220" w:type="dxa"/>
            <w:vAlign w:val="bottom"/>
            <w:shd w:val="clear" w:color="auto" w:fill="D0EBF2"/>
          </w:tcPr>
          <w:p>
            <w:pPr>
              <w:spacing w:after="0"/>
              <w:rPr>
                <w:sz w:val="16"/>
                <w:szCs w:val="16"/>
                <w:color w:val="auto"/>
              </w:rPr>
            </w:pPr>
          </w:p>
        </w:tc>
        <w:tc>
          <w:tcPr>
            <w:tcW w:w="760" w:type="dxa"/>
            <w:vAlign w:val="bottom"/>
            <w:shd w:val="clear" w:color="auto" w:fill="D0EBF2"/>
          </w:tcPr>
          <w:p>
            <w:pPr>
              <w:spacing w:after="0"/>
              <w:rPr>
                <w:sz w:val="16"/>
                <w:szCs w:val="16"/>
                <w:color w:val="auto"/>
              </w:rPr>
            </w:pPr>
          </w:p>
        </w:tc>
        <w:tc>
          <w:tcPr>
            <w:tcW w:w="220" w:type="dxa"/>
            <w:vAlign w:val="bottom"/>
            <w:shd w:val="clear" w:color="auto" w:fill="D0EBF2"/>
          </w:tcPr>
          <w:p>
            <w:pPr>
              <w:spacing w:after="0"/>
              <w:rPr>
                <w:sz w:val="16"/>
                <w:szCs w:val="16"/>
                <w:color w:val="auto"/>
              </w:rPr>
            </w:pPr>
          </w:p>
        </w:tc>
        <w:tc>
          <w:tcPr>
            <w:tcW w:w="140" w:type="dxa"/>
            <w:vAlign w:val="bottom"/>
            <w:shd w:val="clear" w:color="auto" w:fill="D0EBF2"/>
          </w:tcPr>
          <w:p>
            <w:pPr>
              <w:spacing w:after="0"/>
              <w:rPr>
                <w:sz w:val="16"/>
                <w:szCs w:val="16"/>
                <w:color w:val="auto"/>
              </w:rPr>
            </w:pPr>
          </w:p>
        </w:tc>
        <w:tc>
          <w:tcPr>
            <w:tcW w:w="860" w:type="dxa"/>
            <w:vAlign w:val="bottom"/>
            <w:shd w:val="clear" w:color="auto" w:fill="D0EBF2"/>
          </w:tcPr>
          <w:p>
            <w:pPr>
              <w:spacing w:after="0"/>
              <w:rPr>
                <w:sz w:val="16"/>
                <w:szCs w:val="16"/>
                <w:color w:val="auto"/>
              </w:rPr>
            </w:pPr>
          </w:p>
        </w:tc>
        <w:tc>
          <w:tcPr>
            <w:tcW w:w="180" w:type="dxa"/>
            <w:vAlign w:val="bottom"/>
            <w:shd w:val="clear" w:color="auto" w:fill="D0EBF2"/>
          </w:tcPr>
          <w:p>
            <w:pPr>
              <w:spacing w:after="0"/>
              <w:rPr>
                <w:sz w:val="16"/>
                <w:szCs w:val="16"/>
                <w:color w:val="auto"/>
              </w:rPr>
            </w:pPr>
          </w:p>
        </w:tc>
        <w:tc>
          <w:tcPr>
            <w:tcW w:w="80" w:type="dxa"/>
            <w:vAlign w:val="bottom"/>
            <w:shd w:val="clear" w:color="auto" w:fill="D0EBF2"/>
          </w:tcPr>
          <w:p>
            <w:pPr>
              <w:spacing w:after="0"/>
              <w:rPr>
                <w:sz w:val="16"/>
                <w:szCs w:val="16"/>
                <w:color w:val="auto"/>
              </w:rPr>
            </w:pPr>
          </w:p>
        </w:tc>
        <w:tc>
          <w:tcPr>
            <w:tcW w:w="880" w:type="dxa"/>
            <w:vAlign w:val="bottom"/>
            <w:shd w:val="clear" w:color="auto" w:fill="D0EBF2"/>
          </w:tcPr>
          <w:p>
            <w:pPr>
              <w:spacing w:after="0"/>
              <w:rPr>
                <w:sz w:val="16"/>
                <w:szCs w:val="16"/>
                <w:color w:val="auto"/>
              </w:rPr>
            </w:pPr>
          </w:p>
        </w:tc>
        <w:tc>
          <w:tcPr>
            <w:tcW w:w="220" w:type="dxa"/>
            <w:vAlign w:val="bottom"/>
            <w:tcBorders>
              <w:right w:val="single" w:sz="8" w:color="D0EBF2"/>
            </w:tcBorders>
            <w:shd w:val="clear" w:color="auto" w:fill="D0EBF2"/>
          </w:tcPr>
          <w:p>
            <w:pPr>
              <w:spacing w:after="0"/>
              <w:rPr>
                <w:sz w:val="16"/>
                <w:szCs w:val="16"/>
                <w:color w:val="auto"/>
              </w:rPr>
            </w:pPr>
          </w:p>
        </w:tc>
        <w:tc>
          <w:tcPr>
            <w:tcW w:w="880" w:type="dxa"/>
            <w:vAlign w:val="bottom"/>
            <w:shd w:val="clear" w:color="auto" w:fill="D0EBF2"/>
          </w:tcPr>
          <w:p>
            <w:pPr>
              <w:spacing w:after="0"/>
              <w:rPr>
                <w:sz w:val="16"/>
                <w:szCs w:val="16"/>
                <w:color w:val="auto"/>
              </w:rPr>
            </w:pPr>
          </w:p>
        </w:tc>
        <w:tc>
          <w:tcPr>
            <w:tcW w:w="240" w:type="dxa"/>
            <w:vAlign w:val="bottom"/>
            <w:shd w:val="clear" w:color="auto" w:fill="D0EBF2"/>
          </w:tcPr>
          <w:p>
            <w:pPr>
              <w:spacing w:after="0"/>
              <w:rPr>
                <w:sz w:val="16"/>
                <w:szCs w:val="16"/>
                <w:color w:val="auto"/>
              </w:rPr>
            </w:pPr>
          </w:p>
        </w:tc>
        <w:tc>
          <w:tcPr>
            <w:tcW w:w="0" w:type="dxa"/>
            <w:vAlign w:val="bottom"/>
          </w:tcPr>
          <w:p>
            <w:pPr>
              <w:spacing w:after="0"/>
              <w:rPr>
                <w:sz w:val="1"/>
                <w:szCs w:val="1"/>
                <w:color w:val="auto"/>
              </w:rPr>
            </w:pPr>
          </w:p>
        </w:tc>
      </w:tr>
      <w:tr>
        <w:trPr>
          <w:trHeight w:val="158"/>
        </w:trPr>
        <w:tc>
          <w:tcPr>
            <w:tcW w:w="1420" w:type="dxa"/>
            <w:vAlign w:val="bottom"/>
            <w:shd w:val="clear" w:color="auto" w:fill="FDFDFC"/>
          </w:tcPr>
          <w:p>
            <w:pPr>
              <w:spacing w:after="0" w:line="159" w:lineRule="exact"/>
              <w:rPr>
                <w:sz w:val="20"/>
                <w:szCs w:val="20"/>
                <w:color w:val="auto"/>
              </w:rPr>
            </w:pPr>
            <w:r>
              <w:rPr>
                <w:rFonts w:ascii="Times New Roman" w:cs="Times New Roman" w:eastAsia="Times New Roman" w:hAnsi="Times New Roman"/>
                <w:sz w:val="15"/>
                <w:szCs w:val="15"/>
                <w:color w:val="231F20"/>
              </w:rPr>
              <w:t>ForeScout</w:t>
            </w:r>
          </w:p>
        </w:tc>
        <w:tc>
          <w:tcPr>
            <w:tcW w:w="100" w:type="dxa"/>
            <w:vAlign w:val="bottom"/>
            <w:shd w:val="clear" w:color="auto" w:fill="FDFDFC"/>
          </w:tcPr>
          <w:p>
            <w:pPr>
              <w:spacing w:after="0"/>
              <w:rPr>
                <w:sz w:val="13"/>
                <w:szCs w:val="13"/>
                <w:color w:val="auto"/>
              </w:rPr>
            </w:pPr>
          </w:p>
        </w:tc>
        <w:tc>
          <w:tcPr>
            <w:tcW w:w="2340" w:type="dxa"/>
            <w:vAlign w:val="bottom"/>
            <w:shd w:val="clear" w:color="auto" w:fill="FDFDFC"/>
          </w:tcPr>
          <w:p>
            <w:pPr>
              <w:spacing w:after="0" w:line="159" w:lineRule="exact"/>
              <w:rPr>
                <w:sz w:val="20"/>
                <w:szCs w:val="20"/>
                <w:color w:val="auto"/>
              </w:rPr>
            </w:pPr>
            <w:r>
              <w:rPr>
                <w:rFonts w:ascii="Times New Roman" w:cs="Times New Roman" w:eastAsia="Times New Roman" w:hAnsi="Times New Roman"/>
                <w:sz w:val="15"/>
                <w:szCs w:val="15"/>
                <w:color w:val="231F20"/>
              </w:rPr>
              <w:t>First-lien loan ($5,476 par, due</w:t>
            </w:r>
          </w:p>
        </w:tc>
        <w:tc>
          <w:tcPr>
            <w:tcW w:w="840" w:type="dxa"/>
            <w:vAlign w:val="bottom"/>
            <w:gridSpan w:val="2"/>
            <w:shd w:val="clear" w:color="auto" w:fill="FDFDFC"/>
          </w:tcPr>
          <w:p>
            <w:pPr>
              <w:jc w:val="right"/>
              <w:spacing w:after="0" w:line="159" w:lineRule="exact"/>
              <w:rPr>
                <w:sz w:val="20"/>
                <w:szCs w:val="20"/>
                <w:color w:val="auto"/>
              </w:rPr>
            </w:pPr>
            <w:r>
              <w:rPr>
                <w:rFonts w:ascii="Times New Roman" w:cs="Times New Roman" w:eastAsia="Times New Roman" w:hAnsi="Times New Roman"/>
                <w:sz w:val="15"/>
                <w:szCs w:val="15"/>
                <w:color w:val="231F20"/>
              </w:rPr>
              <w:t>7/1/2022</w:t>
            </w:r>
          </w:p>
        </w:tc>
        <w:tc>
          <w:tcPr>
            <w:tcW w:w="100" w:type="dxa"/>
            <w:vAlign w:val="bottom"/>
            <w:shd w:val="clear" w:color="auto" w:fill="FDFDFC"/>
          </w:tcPr>
          <w:p>
            <w:pPr>
              <w:spacing w:after="0"/>
              <w:rPr>
                <w:sz w:val="13"/>
                <w:szCs w:val="13"/>
                <w:color w:val="auto"/>
              </w:rPr>
            </w:pPr>
          </w:p>
        </w:tc>
        <w:tc>
          <w:tcPr>
            <w:tcW w:w="1020" w:type="dxa"/>
            <w:vAlign w:val="bottom"/>
            <w:gridSpan w:val="2"/>
            <w:shd w:val="clear" w:color="auto" w:fill="FDFDFC"/>
          </w:tcPr>
          <w:p>
            <w:pPr>
              <w:jc w:val="right"/>
              <w:ind w:right="240"/>
              <w:spacing w:after="0" w:line="159" w:lineRule="exact"/>
              <w:rPr>
                <w:sz w:val="20"/>
                <w:szCs w:val="20"/>
                <w:color w:val="auto"/>
              </w:rPr>
            </w:pPr>
            <w:r>
              <w:rPr>
                <w:rFonts w:ascii="Times New Roman" w:cs="Times New Roman" w:eastAsia="Times New Roman" w:hAnsi="Times New Roman"/>
                <w:sz w:val="15"/>
                <w:szCs w:val="15"/>
                <w:color w:val="231F20"/>
              </w:rPr>
              <w:t>SOFR</w:t>
            </w:r>
          </w:p>
        </w:tc>
        <w:tc>
          <w:tcPr>
            <w:tcW w:w="980" w:type="dxa"/>
            <w:vAlign w:val="bottom"/>
            <w:gridSpan w:val="2"/>
            <w:shd w:val="clear" w:color="auto" w:fill="FDFDFC"/>
          </w:tcPr>
          <w:p>
            <w:pPr>
              <w:jc w:val="right"/>
              <w:ind w:right="100"/>
              <w:spacing w:after="0" w:line="159" w:lineRule="exact"/>
              <w:rPr>
                <w:sz w:val="20"/>
                <w:szCs w:val="20"/>
                <w:color w:val="auto"/>
              </w:rPr>
            </w:pPr>
            <w:r>
              <w:rPr>
                <w:rFonts w:ascii="Times New Roman" w:cs="Times New Roman" w:eastAsia="Times New Roman" w:hAnsi="Times New Roman"/>
                <w:sz w:val="15"/>
                <w:szCs w:val="15"/>
                <w:color w:val="231F20"/>
              </w:rPr>
              <w:t>13.45%</w:t>
            </w:r>
          </w:p>
        </w:tc>
        <w:tc>
          <w:tcPr>
            <w:tcW w:w="140" w:type="dxa"/>
            <w:vAlign w:val="bottom"/>
            <w:shd w:val="clear" w:color="auto" w:fill="FDFDFC"/>
          </w:tcPr>
          <w:p>
            <w:pPr>
              <w:spacing w:after="0"/>
              <w:rPr>
                <w:sz w:val="13"/>
                <w:szCs w:val="13"/>
                <w:color w:val="auto"/>
              </w:rPr>
            </w:pPr>
          </w:p>
        </w:tc>
        <w:tc>
          <w:tcPr>
            <w:tcW w:w="860" w:type="dxa"/>
            <w:vAlign w:val="bottom"/>
            <w:shd w:val="clear" w:color="auto" w:fill="FDFDFC"/>
          </w:tcPr>
          <w:p>
            <w:pPr>
              <w:jc w:val="right"/>
              <w:spacing w:after="0" w:line="159" w:lineRule="exact"/>
              <w:rPr>
                <w:sz w:val="20"/>
                <w:szCs w:val="20"/>
                <w:color w:val="auto"/>
              </w:rPr>
            </w:pPr>
            <w:r>
              <w:rPr>
                <w:rFonts w:ascii="Times New Roman" w:cs="Times New Roman" w:eastAsia="Times New Roman" w:hAnsi="Times New Roman"/>
                <w:sz w:val="15"/>
                <w:szCs w:val="15"/>
                <w:color w:val="231F20"/>
              </w:rPr>
              <w:t>5,420</w:t>
            </w:r>
          </w:p>
        </w:tc>
        <w:tc>
          <w:tcPr>
            <w:tcW w:w="180" w:type="dxa"/>
            <w:vAlign w:val="bottom"/>
            <w:shd w:val="clear" w:color="auto" w:fill="FDFDFC"/>
          </w:tcPr>
          <w:p>
            <w:pPr>
              <w:spacing w:after="0"/>
              <w:rPr>
                <w:sz w:val="13"/>
                <w:szCs w:val="13"/>
                <w:color w:val="auto"/>
              </w:rPr>
            </w:pPr>
          </w:p>
        </w:tc>
        <w:tc>
          <w:tcPr>
            <w:tcW w:w="80" w:type="dxa"/>
            <w:vAlign w:val="bottom"/>
            <w:shd w:val="clear" w:color="auto" w:fill="FDFDFC"/>
          </w:tcPr>
          <w:p>
            <w:pPr>
              <w:spacing w:after="0"/>
              <w:rPr>
                <w:sz w:val="13"/>
                <w:szCs w:val="13"/>
                <w:color w:val="auto"/>
              </w:rPr>
            </w:pPr>
          </w:p>
        </w:tc>
        <w:tc>
          <w:tcPr>
            <w:tcW w:w="880" w:type="dxa"/>
            <w:vAlign w:val="bottom"/>
            <w:shd w:val="clear" w:color="auto" w:fill="FDFDFC"/>
          </w:tcPr>
          <w:p>
            <w:pPr>
              <w:jc w:val="right"/>
              <w:spacing w:after="0" w:line="159" w:lineRule="exact"/>
              <w:rPr>
                <w:sz w:val="20"/>
                <w:szCs w:val="20"/>
                <w:color w:val="auto"/>
              </w:rPr>
            </w:pPr>
            <w:r>
              <w:rPr>
                <w:rFonts w:ascii="Times New Roman" w:cs="Times New Roman" w:eastAsia="Times New Roman" w:hAnsi="Times New Roman"/>
                <w:sz w:val="15"/>
                <w:szCs w:val="15"/>
                <w:color w:val="231F20"/>
              </w:rPr>
              <w:t>5,498</w:t>
            </w:r>
          </w:p>
        </w:tc>
        <w:tc>
          <w:tcPr>
            <w:tcW w:w="1340" w:type="dxa"/>
            <w:vAlign w:val="bottom"/>
            <w:gridSpan w:val="3"/>
            <w:shd w:val="clear" w:color="auto" w:fill="FDFDFC"/>
          </w:tcPr>
          <w:p>
            <w:pPr>
              <w:jc w:val="right"/>
              <w:ind w:right="120"/>
              <w:spacing w:after="0" w:line="159" w:lineRule="exact"/>
              <w:rPr>
                <w:sz w:val="20"/>
                <w:szCs w:val="20"/>
                <w:color w:val="auto"/>
              </w:rPr>
            </w:pPr>
            <w:r>
              <w:rPr>
                <w:rFonts w:ascii="Times New Roman" w:cs="Times New Roman" w:eastAsia="Times New Roman" w:hAnsi="Times New Roman"/>
                <w:sz w:val="15"/>
                <w:szCs w:val="15"/>
                <w:color w:val="231F20"/>
              </w:rPr>
              <w:t>0.4%</w:t>
            </w:r>
          </w:p>
        </w:tc>
        <w:tc>
          <w:tcPr>
            <w:tcW w:w="0" w:type="dxa"/>
            <w:vAlign w:val="bottom"/>
          </w:tcPr>
          <w:p>
            <w:pPr>
              <w:spacing w:after="0"/>
              <w:rPr>
                <w:sz w:val="1"/>
                <w:szCs w:val="1"/>
                <w:color w:val="auto"/>
              </w:rPr>
            </w:pPr>
          </w:p>
        </w:tc>
      </w:tr>
      <w:tr>
        <w:trPr>
          <w:trHeight w:val="189"/>
        </w:trPr>
        <w:tc>
          <w:tcPr>
            <w:tcW w:w="1420" w:type="dxa"/>
            <w:vAlign w:val="bottom"/>
            <w:shd w:val="clear" w:color="auto" w:fill="FDFDFC"/>
          </w:tcPr>
          <w:p>
            <w:pPr>
              <w:spacing w:after="0"/>
              <w:rPr>
                <w:sz w:val="20"/>
                <w:szCs w:val="20"/>
                <w:color w:val="auto"/>
              </w:rPr>
            </w:pPr>
            <w:r>
              <w:rPr>
                <w:rFonts w:ascii="Times New Roman" w:cs="Times New Roman" w:eastAsia="Times New Roman" w:hAnsi="Times New Roman"/>
                <w:sz w:val="15"/>
                <w:szCs w:val="15"/>
                <w:color w:val="231F20"/>
              </w:rPr>
              <w:t xml:space="preserve">Technologies, Inc. </w:t>
            </w:r>
            <w:r>
              <w:rPr>
                <w:rFonts w:ascii="Times New Roman" w:cs="Times New Roman" w:eastAsia="Times New Roman" w:hAnsi="Times New Roman"/>
                <w:sz w:val="9"/>
                <w:szCs w:val="9"/>
                <w:color w:val="231F20"/>
              </w:rPr>
              <w:t>(3)</w:t>
            </w:r>
          </w:p>
        </w:tc>
        <w:tc>
          <w:tcPr>
            <w:tcW w:w="2440" w:type="dxa"/>
            <w:vAlign w:val="bottom"/>
            <w:gridSpan w:val="2"/>
            <w:shd w:val="clear" w:color="auto" w:fill="FDFDFC"/>
          </w:tcPr>
          <w:p>
            <w:pPr>
              <w:ind w:left="100"/>
              <w:spacing w:after="0"/>
              <w:rPr>
                <w:sz w:val="20"/>
                <w:szCs w:val="20"/>
                <w:color w:val="auto"/>
              </w:rPr>
            </w:pPr>
            <w:r>
              <w:rPr>
                <w:rFonts w:ascii="Times New Roman" w:cs="Times New Roman" w:eastAsia="Times New Roman" w:hAnsi="Times New Roman"/>
                <w:sz w:val="15"/>
                <w:szCs w:val="15"/>
                <w:color w:val="231F20"/>
              </w:rPr>
              <w:t>8/2026)</w:t>
            </w:r>
          </w:p>
        </w:tc>
        <w:tc>
          <w:tcPr>
            <w:tcW w:w="80" w:type="dxa"/>
            <w:vAlign w:val="bottom"/>
            <w:shd w:val="clear" w:color="auto" w:fill="FDFDFC"/>
          </w:tcPr>
          <w:p>
            <w:pPr>
              <w:spacing w:after="0"/>
              <w:rPr>
                <w:sz w:val="16"/>
                <w:szCs w:val="16"/>
                <w:color w:val="auto"/>
              </w:rPr>
            </w:pPr>
          </w:p>
        </w:tc>
        <w:tc>
          <w:tcPr>
            <w:tcW w:w="760" w:type="dxa"/>
            <w:vAlign w:val="bottom"/>
            <w:shd w:val="clear" w:color="auto" w:fill="FDFDFC"/>
          </w:tcPr>
          <w:p>
            <w:pPr>
              <w:spacing w:after="0"/>
              <w:rPr>
                <w:sz w:val="16"/>
                <w:szCs w:val="16"/>
                <w:color w:val="auto"/>
              </w:rPr>
            </w:pPr>
          </w:p>
        </w:tc>
        <w:tc>
          <w:tcPr>
            <w:tcW w:w="900" w:type="dxa"/>
            <w:vAlign w:val="bottom"/>
            <w:gridSpan w:val="2"/>
            <w:shd w:val="clear" w:color="auto" w:fill="FDFDFC"/>
          </w:tcPr>
          <w:p>
            <w:pPr>
              <w:jc w:val="right"/>
              <w:spacing w:after="0"/>
              <w:rPr>
                <w:sz w:val="20"/>
                <w:szCs w:val="20"/>
                <w:color w:val="auto"/>
              </w:rPr>
            </w:pPr>
            <w:r>
              <w:rPr>
                <w:rFonts w:ascii="Times New Roman" w:cs="Times New Roman" w:eastAsia="Times New Roman" w:hAnsi="Times New Roman"/>
                <w:sz w:val="15"/>
                <w:szCs w:val="15"/>
                <w:color w:val="231F20"/>
              </w:rPr>
              <w:t>+ 8.10%</w:t>
            </w:r>
          </w:p>
        </w:tc>
        <w:tc>
          <w:tcPr>
            <w:tcW w:w="220" w:type="dxa"/>
            <w:vAlign w:val="bottom"/>
            <w:shd w:val="clear" w:color="auto" w:fill="FDFDFC"/>
          </w:tcPr>
          <w:p>
            <w:pPr>
              <w:spacing w:after="0"/>
              <w:rPr>
                <w:sz w:val="16"/>
                <w:szCs w:val="16"/>
                <w:color w:val="auto"/>
              </w:rPr>
            </w:pPr>
          </w:p>
        </w:tc>
        <w:tc>
          <w:tcPr>
            <w:tcW w:w="760" w:type="dxa"/>
            <w:vAlign w:val="bottom"/>
            <w:shd w:val="clear" w:color="auto" w:fill="FDFDFC"/>
          </w:tcPr>
          <w:p>
            <w:pPr>
              <w:spacing w:after="0"/>
              <w:rPr>
                <w:sz w:val="16"/>
                <w:szCs w:val="16"/>
                <w:color w:val="auto"/>
              </w:rPr>
            </w:pPr>
          </w:p>
        </w:tc>
        <w:tc>
          <w:tcPr>
            <w:tcW w:w="220" w:type="dxa"/>
            <w:vAlign w:val="bottom"/>
            <w:shd w:val="clear" w:color="auto" w:fill="FDFDFC"/>
          </w:tcPr>
          <w:p>
            <w:pPr>
              <w:spacing w:after="0"/>
              <w:rPr>
                <w:sz w:val="16"/>
                <w:szCs w:val="16"/>
                <w:color w:val="auto"/>
              </w:rPr>
            </w:pPr>
          </w:p>
        </w:tc>
        <w:tc>
          <w:tcPr>
            <w:tcW w:w="140" w:type="dxa"/>
            <w:vAlign w:val="bottom"/>
            <w:shd w:val="clear" w:color="auto" w:fill="FDFDFC"/>
          </w:tcPr>
          <w:p>
            <w:pPr>
              <w:spacing w:after="0"/>
              <w:rPr>
                <w:sz w:val="16"/>
                <w:szCs w:val="16"/>
                <w:color w:val="auto"/>
              </w:rPr>
            </w:pPr>
          </w:p>
        </w:tc>
        <w:tc>
          <w:tcPr>
            <w:tcW w:w="860" w:type="dxa"/>
            <w:vAlign w:val="bottom"/>
            <w:shd w:val="clear" w:color="auto" w:fill="FDFDFC"/>
          </w:tcPr>
          <w:p>
            <w:pPr>
              <w:spacing w:after="0"/>
              <w:rPr>
                <w:sz w:val="16"/>
                <w:szCs w:val="16"/>
                <w:color w:val="auto"/>
              </w:rPr>
            </w:pPr>
          </w:p>
        </w:tc>
        <w:tc>
          <w:tcPr>
            <w:tcW w:w="180" w:type="dxa"/>
            <w:vAlign w:val="bottom"/>
            <w:shd w:val="clear" w:color="auto" w:fill="FDFDFC"/>
          </w:tcPr>
          <w:p>
            <w:pPr>
              <w:spacing w:after="0"/>
              <w:rPr>
                <w:sz w:val="16"/>
                <w:szCs w:val="16"/>
                <w:color w:val="auto"/>
              </w:rPr>
            </w:pPr>
          </w:p>
        </w:tc>
        <w:tc>
          <w:tcPr>
            <w:tcW w:w="80" w:type="dxa"/>
            <w:vAlign w:val="bottom"/>
            <w:shd w:val="clear" w:color="auto" w:fill="FDFDFC"/>
          </w:tcPr>
          <w:p>
            <w:pPr>
              <w:spacing w:after="0"/>
              <w:rPr>
                <w:sz w:val="16"/>
                <w:szCs w:val="16"/>
                <w:color w:val="auto"/>
              </w:rPr>
            </w:pPr>
          </w:p>
        </w:tc>
        <w:tc>
          <w:tcPr>
            <w:tcW w:w="880" w:type="dxa"/>
            <w:vAlign w:val="bottom"/>
            <w:shd w:val="clear" w:color="auto" w:fill="FDFDFC"/>
          </w:tcPr>
          <w:p>
            <w:pPr>
              <w:spacing w:after="0"/>
              <w:rPr>
                <w:sz w:val="16"/>
                <w:szCs w:val="16"/>
                <w:color w:val="auto"/>
              </w:rPr>
            </w:pPr>
          </w:p>
        </w:tc>
        <w:tc>
          <w:tcPr>
            <w:tcW w:w="220" w:type="dxa"/>
            <w:vAlign w:val="bottom"/>
            <w:tcBorders>
              <w:right w:val="single" w:sz="8" w:color="FDFDFC"/>
            </w:tcBorders>
            <w:shd w:val="clear" w:color="auto" w:fill="FDFDFC"/>
          </w:tcPr>
          <w:p>
            <w:pPr>
              <w:spacing w:after="0"/>
              <w:rPr>
                <w:sz w:val="16"/>
                <w:szCs w:val="16"/>
                <w:color w:val="auto"/>
              </w:rPr>
            </w:pPr>
          </w:p>
        </w:tc>
        <w:tc>
          <w:tcPr>
            <w:tcW w:w="880" w:type="dxa"/>
            <w:vAlign w:val="bottom"/>
            <w:shd w:val="clear" w:color="auto" w:fill="FDFDFC"/>
          </w:tcPr>
          <w:p>
            <w:pPr>
              <w:spacing w:after="0"/>
              <w:rPr>
                <w:sz w:val="16"/>
                <w:szCs w:val="16"/>
                <w:color w:val="auto"/>
              </w:rPr>
            </w:pPr>
          </w:p>
        </w:tc>
        <w:tc>
          <w:tcPr>
            <w:tcW w:w="240" w:type="dxa"/>
            <w:vAlign w:val="bottom"/>
            <w:shd w:val="clear" w:color="auto" w:fill="FDFDFC"/>
          </w:tcPr>
          <w:p>
            <w:pPr>
              <w:spacing w:after="0"/>
              <w:rPr>
                <w:sz w:val="16"/>
                <w:szCs w:val="16"/>
                <w:color w:val="auto"/>
              </w:rPr>
            </w:pPr>
          </w:p>
        </w:tc>
        <w:tc>
          <w:tcPr>
            <w:tcW w:w="0" w:type="dxa"/>
            <w:vAlign w:val="bottom"/>
          </w:tcPr>
          <w:p>
            <w:pPr>
              <w:spacing w:after="0"/>
              <w:rPr>
                <w:sz w:val="1"/>
                <w:szCs w:val="1"/>
                <w:color w:val="auto"/>
              </w:rPr>
            </w:pPr>
          </w:p>
        </w:tc>
      </w:tr>
      <w:tr>
        <w:trPr>
          <w:trHeight w:val="158"/>
        </w:trPr>
        <w:tc>
          <w:tcPr>
            <w:tcW w:w="1420" w:type="dxa"/>
            <w:vAlign w:val="bottom"/>
            <w:shd w:val="clear" w:color="auto" w:fill="D0EBF2"/>
          </w:tcPr>
          <w:p>
            <w:pPr>
              <w:spacing w:after="0" w:line="159" w:lineRule="exact"/>
              <w:rPr>
                <w:sz w:val="20"/>
                <w:szCs w:val="20"/>
                <w:color w:val="auto"/>
              </w:rPr>
            </w:pPr>
            <w:r>
              <w:rPr>
                <w:rFonts w:ascii="Times New Roman" w:cs="Times New Roman" w:eastAsia="Times New Roman" w:hAnsi="Times New Roman"/>
                <w:sz w:val="15"/>
                <w:szCs w:val="15"/>
                <w:color w:val="231F20"/>
              </w:rPr>
              <w:t xml:space="preserve">Galileo Parent, Inc. </w:t>
            </w:r>
            <w:r>
              <w:rPr>
                <w:rFonts w:ascii="Times New Roman" w:cs="Times New Roman" w:eastAsia="Times New Roman" w:hAnsi="Times New Roman"/>
                <w:sz w:val="9"/>
                <w:szCs w:val="9"/>
                <w:color w:val="231F20"/>
              </w:rPr>
              <w:t>(3)</w:t>
            </w:r>
          </w:p>
        </w:tc>
        <w:tc>
          <w:tcPr>
            <w:tcW w:w="100" w:type="dxa"/>
            <w:vAlign w:val="bottom"/>
            <w:shd w:val="clear" w:color="auto" w:fill="D0EBF2"/>
          </w:tcPr>
          <w:p>
            <w:pPr>
              <w:spacing w:after="0"/>
              <w:rPr>
                <w:sz w:val="13"/>
                <w:szCs w:val="13"/>
                <w:color w:val="auto"/>
              </w:rPr>
            </w:pPr>
          </w:p>
        </w:tc>
        <w:tc>
          <w:tcPr>
            <w:tcW w:w="2340" w:type="dxa"/>
            <w:vAlign w:val="bottom"/>
            <w:shd w:val="clear" w:color="auto" w:fill="D0EBF2"/>
          </w:tcPr>
          <w:p>
            <w:pPr>
              <w:spacing w:after="0" w:line="159" w:lineRule="exact"/>
              <w:rPr>
                <w:sz w:val="20"/>
                <w:szCs w:val="20"/>
                <w:color w:val="auto"/>
              </w:rPr>
            </w:pPr>
            <w:r>
              <w:rPr>
                <w:rFonts w:ascii="Times New Roman" w:cs="Times New Roman" w:eastAsia="Times New Roman" w:hAnsi="Times New Roman"/>
                <w:sz w:val="15"/>
                <w:szCs w:val="15"/>
                <w:color w:val="231F20"/>
              </w:rPr>
              <w:t>First-lien loan ($64,742 par, due</w:t>
            </w:r>
          </w:p>
        </w:tc>
        <w:tc>
          <w:tcPr>
            <w:tcW w:w="840" w:type="dxa"/>
            <w:vAlign w:val="bottom"/>
            <w:gridSpan w:val="2"/>
            <w:shd w:val="clear" w:color="auto" w:fill="D0EBF2"/>
          </w:tcPr>
          <w:p>
            <w:pPr>
              <w:jc w:val="right"/>
              <w:spacing w:after="0" w:line="159" w:lineRule="exact"/>
              <w:rPr>
                <w:sz w:val="20"/>
                <w:szCs w:val="20"/>
                <w:color w:val="auto"/>
              </w:rPr>
            </w:pPr>
            <w:r>
              <w:rPr>
                <w:rFonts w:ascii="Times New Roman" w:cs="Times New Roman" w:eastAsia="Times New Roman" w:hAnsi="Times New Roman"/>
                <w:sz w:val="15"/>
                <w:szCs w:val="15"/>
                <w:color w:val="231F20"/>
              </w:rPr>
              <w:t>5/3/2023</w:t>
            </w:r>
          </w:p>
        </w:tc>
        <w:tc>
          <w:tcPr>
            <w:tcW w:w="100" w:type="dxa"/>
            <w:vAlign w:val="bottom"/>
            <w:shd w:val="clear" w:color="auto" w:fill="D0EBF2"/>
          </w:tcPr>
          <w:p>
            <w:pPr>
              <w:spacing w:after="0"/>
              <w:rPr>
                <w:sz w:val="13"/>
                <w:szCs w:val="13"/>
                <w:color w:val="auto"/>
              </w:rPr>
            </w:pPr>
          </w:p>
        </w:tc>
        <w:tc>
          <w:tcPr>
            <w:tcW w:w="1020" w:type="dxa"/>
            <w:vAlign w:val="bottom"/>
            <w:gridSpan w:val="2"/>
            <w:shd w:val="clear" w:color="auto" w:fill="D0EBF2"/>
          </w:tcPr>
          <w:p>
            <w:pPr>
              <w:jc w:val="right"/>
              <w:ind w:right="240"/>
              <w:spacing w:after="0" w:line="159" w:lineRule="exact"/>
              <w:rPr>
                <w:sz w:val="20"/>
                <w:szCs w:val="20"/>
                <w:color w:val="auto"/>
              </w:rPr>
            </w:pPr>
            <w:r>
              <w:rPr>
                <w:rFonts w:ascii="Times New Roman" w:cs="Times New Roman" w:eastAsia="Times New Roman" w:hAnsi="Times New Roman"/>
                <w:sz w:val="15"/>
                <w:szCs w:val="15"/>
                <w:color w:val="231F20"/>
              </w:rPr>
              <w:t>SOFR +</w:t>
            </w:r>
          </w:p>
        </w:tc>
        <w:tc>
          <w:tcPr>
            <w:tcW w:w="980" w:type="dxa"/>
            <w:vAlign w:val="bottom"/>
            <w:gridSpan w:val="2"/>
            <w:shd w:val="clear" w:color="auto" w:fill="D0EBF2"/>
          </w:tcPr>
          <w:p>
            <w:pPr>
              <w:jc w:val="right"/>
              <w:ind w:right="100"/>
              <w:spacing w:after="0" w:line="159" w:lineRule="exact"/>
              <w:rPr>
                <w:sz w:val="20"/>
                <w:szCs w:val="20"/>
                <w:color w:val="auto"/>
              </w:rPr>
            </w:pPr>
            <w:r>
              <w:rPr>
                <w:rFonts w:ascii="Times New Roman" w:cs="Times New Roman" w:eastAsia="Times New Roman" w:hAnsi="Times New Roman"/>
                <w:sz w:val="15"/>
                <w:szCs w:val="15"/>
                <w:color w:val="231F20"/>
              </w:rPr>
              <w:t>12.60%</w:t>
            </w:r>
          </w:p>
        </w:tc>
        <w:tc>
          <w:tcPr>
            <w:tcW w:w="140" w:type="dxa"/>
            <w:vAlign w:val="bottom"/>
            <w:shd w:val="clear" w:color="auto" w:fill="D0EBF2"/>
          </w:tcPr>
          <w:p>
            <w:pPr>
              <w:spacing w:after="0"/>
              <w:rPr>
                <w:sz w:val="13"/>
                <w:szCs w:val="13"/>
                <w:color w:val="auto"/>
              </w:rPr>
            </w:pPr>
          </w:p>
        </w:tc>
        <w:tc>
          <w:tcPr>
            <w:tcW w:w="860" w:type="dxa"/>
            <w:vAlign w:val="bottom"/>
            <w:shd w:val="clear" w:color="auto" w:fill="D0EBF2"/>
          </w:tcPr>
          <w:p>
            <w:pPr>
              <w:jc w:val="right"/>
              <w:spacing w:after="0" w:line="159" w:lineRule="exact"/>
              <w:rPr>
                <w:sz w:val="20"/>
                <w:szCs w:val="20"/>
                <w:color w:val="auto"/>
              </w:rPr>
            </w:pPr>
            <w:r>
              <w:rPr>
                <w:rFonts w:ascii="Times New Roman" w:cs="Times New Roman" w:eastAsia="Times New Roman" w:hAnsi="Times New Roman"/>
                <w:sz w:val="15"/>
                <w:szCs w:val="15"/>
                <w:color w:val="231F20"/>
              </w:rPr>
              <w:t>62,920</w:t>
            </w:r>
          </w:p>
        </w:tc>
        <w:tc>
          <w:tcPr>
            <w:tcW w:w="180" w:type="dxa"/>
            <w:vAlign w:val="bottom"/>
            <w:shd w:val="clear" w:color="auto" w:fill="D0EBF2"/>
          </w:tcPr>
          <w:p>
            <w:pPr>
              <w:spacing w:after="0"/>
              <w:rPr>
                <w:sz w:val="13"/>
                <w:szCs w:val="13"/>
                <w:color w:val="auto"/>
              </w:rPr>
            </w:pPr>
          </w:p>
        </w:tc>
        <w:tc>
          <w:tcPr>
            <w:tcW w:w="80" w:type="dxa"/>
            <w:vAlign w:val="bottom"/>
            <w:shd w:val="clear" w:color="auto" w:fill="D0EBF2"/>
          </w:tcPr>
          <w:p>
            <w:pPr>
              <w:spacing w:after="0"/>
              <w:rPr>
                <w:sz w:val="13"/>
                <w:szCs w:val="13"/>
                <w:color w:val="auto"/>
              </w:rPr>
            </w:pPr>
          </w:p>
        </w:tc>
        <w:tc>
          <w:tcPr>
            <w:tcW w:w="880" w:type="dxa"/>
            <w:vAlign w:val="bottom"/>
            <w:shd w:val="clear" w:color="auto" w:fill="D0EBF2"/>
          </w:tcPr>
          <w:p>
            <w:pPr>
              <w:jc w:val="right"/>
              <w:spacing w:after="0" w:line="159" w:lineRule="exact"/>
              <w:rPr>
                <w:sz w:val="20"/>
                <w:szCs w:val="20"/>
                <w:color w:val="auto"/>
              </w:rPr>
            </w:pPr>
            <w:r>
              <w:rPr>
                <w:rFonts w:ascii="Times New Roman" w:cs="Times New Roman" w:eastAsia="Times New Roman" w:hAnsi="Times New Roman"/>
                <w:sz w:val="15"/>
                <w:szCs w:val="15"/>
                <w:color w:val="231F20"/>
              </w:rPr>
              <w:t>63,770</w:t>
            </w:r>
          </w:p>
        </w:tc>
        <w:tc>
          <w:tcPr>
            <w:tcW w:w="1340" w:type="dxa"/>
            <w:vAlign w:val="bottom"/>
            <w:gridSpan w:val="3"/>
            <w:shd w:val="clear" w:color="auto" w:fill="D0EBF2"/>
          </w:tcPr>
          <w:p>
            <w:pPr>
              <w:jc w:val="right"/>
              <w:ind w:right="120"/>
              <w:spacing w:after="0" w:line="159" w:lineRule="exact"/>
              <w:rPr>
                <w:sz w:val="20"/>
                <w:szCs w:val="20"/>
                <w:color w:val="auto"/>
              </w:rPr>
            </w:pPr>
            <w:r>
              <w:rPr>
                <w:rFonts w:ascii="Times New Roman" w:cs="Times New Roman" w:eastAsia="Times New Roman" w:hAnsi="Times New Roman"/>
                <w:sz w:val="15"/>
                <w:szCs w:val="15"/>
                <w:color w:val="231F20"/>
              </w:rPr>
              <w:t>4.3%</w:t>
            </w:r>
          </w:p>
        </w:tc>
        <w:tc>
          <w:tcPr>
            <w:tcW w:w="0" w:type="dxa"/>
            <w:vAlign w:val="bottom"/>
          </w:tcPr>
          <w:p>
            <w:pPr>
              <w:spacing w:after="0"/>
              <w:rPr>
                <w:sz w:val="1"/>
                <w:szCs w:val="1"/>
                <w:color w:val="auto"/>
              </w:rPr>
            </w:pPr>
          </w:p>
        </w:tc>
      </w:tr>
      <w:tr>
        <w:trPr>
          <w:trHeight w:val="189"/>
        </w:trPr>
        <w:tc>
          <w:tcPr>
            <w:tcW w:w="1420" w:type="dxa"/>
            <w:vAlign w:val="bottom"/>
            <w:shd w:val="clear" w:color="auto" w:fill="D0EBF2"/>
          </w:tcPr>
          <w:p>
            <w:pPr>
              <w:spacing w:after="0"/>
              <w:rPr>
                <w:sz w:val="16"/>
                <w:szCs w:val="16"/>
                <w:color w:val="auto"/>
              </w:rPr>
            </w:pPr>
          </w:p>
        </w:tc>
        <w:tc>
          <w:tcPr>
            <w:tcW w:w="2440" w:type="dxa"/>
            <w:vAlign w:val="bottom"/>
            <w:gridSpan w:val="2"/>
            <w:shd w:val="clear" w:color="auto" w:fill="D0EBF2"/>
          </w:tcPr>
          <w:p>
            <w:pPr>
              <w:ind w:left="100"/>
              <w:spacing w:after="0"/>
              <w:rPr>
                <w:sz w:val="20"/>
                <w:szCs w:val="20"/>
                <w:color w:val="auto"/>
              </w:rPr>
            </w:pPr>
            <w:r>
              <w:rPr>
                <w:rFonts w:ascii="Times New Roman" w:cs="Times New Roman" w:eastAsia="Times New Roman" w:hAnsi="Times New Roman"/>
                <w:sz w:val="15"/>
                <w:szCs w:val="15"/>
                <w:color w:val="231F20"/>
              </w:rPr>
              <w:t>5/2030)</w:t>
            </w:r>
          </w:p>
        </w:tc>
        <w:tc>
          <w:tcPr>
            <w:tcW w:w="80" w:type="dxa"/>
            <w:vAlign w:val="bottom"/>
            <w:shd w:val="clear" w:color="auto" w:fill="D0EBF2"/>
          </w:tcPr>
          <w:p>
            <w:pPr>
              <w:spacing w:after="0"/>
              <w:rPr>
                <w:sz w:val="16"/>
                <w:szCs w:val="16"/>
                <w:color w:val="auto"/>
              </w:rPr>
            </w:pPr>
          </w:p>
        </w:tc>
        <w:tc>
          <w:tcPr>
            <w:tcW w:w="760" w:type="dxa"/>
            <w:vAlign w:val="bottom"/>
            <w:shd w:val="clear" w:color="auto" w:fill="D0EBF2"/>
          </w:tcPr>
          <w:p>
            <w:pPr>
              <w:spacing w:after="0"/>
              <w:rPr>
                <w:sz w:val="16"/>
                <w:szCs w:val="16"/>
                <w:color w:val="auto"/>
              </w:rPr>
            </w:pPr>
          </w:p>
        </w:tc>
        <w:tc>
          <w:tcPr>
            <w:tcW w:w="900" w:type="dxa"/>
            <w:vAlign w:val="bottom"/>
            <w:gridSpan w:val="2"/>
            <w:shd w:val="clear" w:color="auto" w:fill="D0EBF2"/>
          </w:tcPr>
          <w:p>
            <w:pPr>
              <w:jc w:val="right"/>
              <w:spacing w:after="0"/>
              <w:rPr>
                <w:sz w:val="20"/>
                <w:szCs w:val="20"/>
                <w:color w:val="auto"/>
              </w:rPr>
            </w:pPr>
            <w:r>
              <w:rPr>
                <w:rFonts w:ascii="Times New Roman" w:cs="Times New Roman" w:eastAsia="Times New Roman" w:hAnsi="Times New Roman"/>
                <w:sz w:val="15"/>
                <w:szCs w:val="15"/>
                <w:color w:val="231F20"/>
              </w:rPr>
              <w:t>7.25%</w:t>
            </w:r>
          </w:p>
        </w:tc>
        <w:tc>
          <w:tcPr>
            <w:tcW w:w="220" w:type="dxa"/>
            <w:vAlign w:val="bottom"/>
            <w:shd w:val="clear" w:color="auto" w:fill="D0EBF2"/>
          </w:tcPr>
          <w:p>
            <w:pPr>
              <w:spacing w:after="0"/>
              <w:rPr>
                <w:sz w:val="16"/>
                <w:szCs w:val="16"/>
                <w:color w:val="auto"/>
              </w:rPr>
            </w:pPr>
          </w:p>
        </w:tc>
        <w:tc>
          <w:tcPr>
            <w:tcW w:w="760" w:type="dxa"/>
            <w:vAlign w:val="bottom"/>
            <w:shd w:val="clear" w:color="auto" w:fill="D0EBF2"/>
          </w:tcPr>
          <w:p>
            <w:pPr>
              <w:spacing w:after="0"/>
              <w:rPr>
                <w:sz w:val="16"/>
                <w:szCs w:val="16"/>
                <w:color w:val="auto"/>
              </w:rPr>
            </w:pPr>
          </w:p>
        </w:tc>
        <w:tc>
          <w:tcPr>
            <w:tcW w:w="220" w:type="dxa"/>
            <w:vAlign w:val="bottom"/>
            <w:shd w:val="clear" w:color="auto" w:fill="D0EBF2"/>
          </w:tcPr>
          <w:p>
            <w:pPr>
              <w:spacing w:after="0"/>
              <w:rPr>
                <w:sz w:val="16"/>
                <w:szCs w:val="16"/>
                <w:color w:val="auto"/>
              </w:rPr>
            </w:pPr>
          </w:p>
        </w:tc>
        <w:tc>
          <w:tcPr>
            <w:tcW w:w="140" w:type="dxa"/>
            <w:vAlign w:val="bottom"/>
            <w:shd w:val="clear" w:color="auto" w:fill="D0EBF2"/>
          </w:tcPr>
          <w:p>
            <w:pPr>
              <w:spacing w:after="0"/>
              <w:rPr>
                <w:sz w:val="16"/>
                <w:szCs w:val="16"/>
                <w:color w:val="auto"/>
              </w:rPr>
            </w:pPr>
          </w:p>
        </w:tc>
        <w:tc>
          <w:tcPr>
            <w:tcW w:w="860" w:type="dxa"/>
            <w:vAlign w:val="bottom"/>
            <w:shd w:val="clear" w:color="auto" w:fill="D0EBF2"/>
          </w:tcPr>
          <w:p>
            <w:pPr>
              <w:spacing w:after="0"/>
              <w:rPr>
                <w:sz w:val="16"/>
                <w:szCs w:val="16"/>
                <w:color w:val="auto"/>
              </w:rPr>
            </w:pPr>
          </w:p>
        </w:tc>
        <w:tc>
          <w:tcPr>
            <w:tcW w:w="180" w:type="dxa"/>
            <w:vAlign w:val="bottom"/>
            <w:shd w:val="clear" w:color="auto" w:fill="D0EBF2"/>
          </w:tcPr>
          <w:p>
            <w:pPr>
              <w:spacing w:after="0"/>
              <w:rPr>
                <w:sz w:val="16"/>
                <w:szCs w:val="16"/>
                <w:color w:val="auto"/>
              </w:rPr>
            </w:pPr>
          </w:p>
        </w:tc>
        <w:tc>
          <w:tcPr>
            <w:tcW w:w="80" w:type="dxa"/>
            <w:vAlign w:val="bottom"/>
            <w:shd w:val="clear" w:color="auto" w:fill="D0EBF2"/>
          </w:tcPr>
          <w:p>
            <w:pPr>
              <w:spacing w:after="0"/>
              <w:rPr>
                <w:sz w:val="16"/>
                <w:szCs w:val="16"/>
                <w:color w:val="auto"/>
              </w:rPr>
            </w:pPr>
          </w:p>
        </w:tc>
        <w:tc>
          <w:tcPr>
            <w:tcW w:w="880" w:type="dxa"/>
            <w:vAlign w:val="bottom"/>
            <w:shd w:val="clear" w:color="auto" w:fill="D0EBF2"/>
          </w:tcPr>
          <w:p>
            <w:pPr>
              <w:spacing w:after="0"/>
              <w:rPr>
                <w:sz w:val="16"/>
                <w:szCs w:val="16"/>
                <w:color w:val="auto"/>
              </w:rPr>
            </w:pPr>
          </w:p>
        </w:tc>
        <w:tc>
          <w:tcPr>
            <w:tcW w:w="220" w:type="dxa"/>
            <w:vAlign w:val="bottom"/>
            <w:tcBorders>
              <w:right w:val="single" w:sz="8" w:color="D0EBF2"/>
            </w:tcBorders>
            <w:shd w:val="clear" w:color="auto" w:fill="D0EBF2"/>
          </w:tcPr>
          <w:p>
            <w:pPr>
              <w:spacing w:after="0"/>
              <w:rPr>
                <w:sz w:val="16"/>
                <w:szCs w:val="16"/>
                <w:color w:val="auto"/>
              </w:rPr>
            </w:pPr>
          </w:p>
        </w:tc>
        <w:tc>
          <w:tcPr>
            <w:tcW w:w="880" w:type="dxa"/>
            <w:vAlign w:val="bottom"/>
            <w:shd w:val="clear" w:color="auto" w:fill="D0EBF2"/>
          </w:tcPr>
          <w:p>
            <w:pPr>
              <w:spacing w:after="0"/>
              <w:rPr>
                <w:sz w:val="16"/>
                <w:szCs w:val="16"/>
                <w:color w:val="auto"/>
              </w:rPr>
            </w:pPr>
          </w:p>
        </w:tc>
        <w:tc>
          <w:tcPr>
            <w:tcW w:w="240" w:type="dxa"/>
            <w:vAlign w:val="bottom"/>
            <w:shd w:val="clear" w:color="auto" w:fill="D0EBF2"/>
          </w:tcPr>
          <w:p>
            <w:pPr>
              <w:spacing w:after="0"/>
              <w:rPr>
                <w:sz w:val="16"/>
                <w:szCs w:val="16"/>
                <w:color w:val="auto"/>
              </w:rPr>
            </w:pPr>
          </w:p>
        </w:tc>
        <w:tc>
          <w:tcPr>
            <w:tcW w:w="0" w:type="dxa"/>
            <w:vAlign w:val="bottom"/>
          </w:tcPr>
          <w:p>
            <w:pPr>
              <w:spacing w:after="0"/>
              <w:rPr>
                <w:sz w:val="1"/>
                <w:szCs w:val="1"/>
                <w:color w:val="auto"/>
              </w:rPr>
            </w:pPr>
          </w:p>
        </w:tc>
      </w:tr>
      <w:tr>
        <w:trPr>
          <w:trHeight w:val="158"/>
        </w:trPr>
        <w:tc>
          <w:tcPr>
            <w:tcW w:w="1420" w:type="dxa"/>
            <w:vAlign w:val="bottom"/>
            <w:shd w:val="clear" w:color="auto" w:fill="FDFDFC"/>
          </w:tcPr>
          <w:p>
            <w:pPr>
              <w:spacing w:after="0"/>
              <w:rPr>
                <w:sz w:val="13"/>
                <w:szCs w:val="13"/>
                <w:color w:val="auto"/>
              </w:rPr>
            </w:pPr>
          </w:p>
        </w:tc>
        <w:tc>
          <w:tcPr>
            <w:tcW w:w="100" w:type="dxa"/>
            <w:vAlign w:val="bottom"/>
            <w:shd w:val="clear" w:color="auto" w:fill="FDFDFC"/>
          </w:tcPr>
          <w:p>
            <w:pPr>
              <w:spacing w:after="0"/>
              <w:rPr>
                <w:sz w:val="13"/>
                <w:szCs w:val="13"/>
                <w:color w:val="auto"/>
              </w:rPr>
            </w:pPr>
          </w:p>
        </w:tc>
        <w:tc>
          <w:tcPr>
            <w:tcW w:w="2340" w:type="dxa"/>
            <w:vAlign w:val="bottom"/>
            <w:shd w:val="clear" w:color="auto" w:fill="FDFDFC"/>
          </w:tcPr>
          <w:p>
            <w:pPr>
              <w:spacing w:after="0" w:line="159" w:lineRule="exact"/>
              <w:rPr>
                <w:sz w:val="20"/>
                <w:szCs w:val="20"/>
                <w:color w:val="auto"/>
              </w:rPr>
            </w:pPr>
            <w:r>
              <w:rPr>
                <w:rFonts w:ascii="Times New Roman" w:cs="Times New Roman" w:eastAsia="Times New Roman" w:hAnsi="Times New Roman"/>
                <w:sz w:val="15"/>
                <w:szCs w:val="15"/>
                <w:color w:val="231F20"/>
              </w:rPr>
              <w:t>First-lien revolving loan ($3,317 par,</w:t>
            </w:r>
          </w:p>
        </w:tc>
        <w:tc>
          <w:tcPr>
            <w:tcW w:w="840" w:type="dxa"/>
            <w:vAlign w:val="bottom"/>
            <w:gridSpan w:val="2"/>
            <w:shd w:val="clear" w:color="auto" w:fill="FDFDFC"/>
          </w:tcPr>
          <w:p>
            <w:pPr>
              <w:jc w:val="right"/>
              <w:spacing w:after="0" w:line="159" w:lineRule="exact"/>
              <w:rPr>
                <w:sz w:val="20"/>
                <w:szCs w:val="20"/>
                <w:color w:val="auto"/>
              </w:rPr>
            </w:pPr>
            <w:r>
              <w:rPr>
                <w:rFonts w:ascii="Times New Roman" w:cs="Times New Roman" w:eastAsia="Times New Roman" w:hAnsi="Times New Roman"/>
                <w:sz w:val="15"/>
                <w:szCs w:val="15"/>
                <w:color w:val="231F20"/>
              </w:rPr>
              <w:t>5/3/2023</w:t>
            </w:r>
          </w:p>
        </w:tc>
        <w:tc>
          <w:tcPr>
            <w:tcW w:w="100" w:type="dxa"/>
            <w:vAlign w:val="bottom"/>
            <w:shd w:val="clear" w:color="auto" w:fill="FDFDFC"/>
          </w:tcPr>
          <w:p>
            <w:pPr>
              <w:spacing w:after="0"/>
              <w:rPr>
                <w:sz w:val="13"/>
                <w:szCs w:val="13"/>
                <w:color w:val="auto"/>
              </w:rPr>
            </w:pPr>
          </w:p>
        </w:tc>
        <w:tc>
          <w:tcPr>
            <w:tcW w:w="1020" w:type="dxa"/>
            <w:vAlign w:val="bottom"/>
            <w:gridSpan w:val="2"/>
            <w:shd w:val="clear" w:color="auto" w:fill="FDFDFC"/>
          </w:tcPr>
          <w:p>
            <w:pPr>
              <w:jc w:val="right"/>
              <w:ind w:right="240"/>
              <w:spacing w:after="0" w:line="159" w:lineRule="exact"/>
              <w:rPr>
                <w:sz w:val="20"/>
                <w:szCs w:val="20"/>
                <w:color w:val="auto"/>
              </w:rPr>
            </w:pPr>
            <w:r>
              <w:rPr>
                <w:rFonts w:ascii="Times New Roman" w:cs="Times New Roman" w:eastAsia="Times New Roman" w:hAnsi="Times New Roman"/>
                <w:sz w:val="15"/>
                <w:szCs w:val="15"/>
                <w:color w:val="231F20"/>
              </w:rPr>
              <w:t>SOFR +</w:t>
            </w:r>
          </w:p>
        </w:tc>
        <w:tc>
          <w:tcPr>
            <w:tcW w:w="980" w:type="dxa"/>
            <w:vAlign w:val="bottom"/>
            <w:gridSpan w:val="2"/>
            <w:shd w:val="clear" w:color="auto" w:fill="FDFDFC"/>
          </w:tcPr>
          <w:p>
            <w:pPr>
              <w:jc w:val="right"/>
              <w:ind w:right="100"/>
              <w:spacing w:after="0" w:line="159" w:lineRule="exact"/>
              <w:rPr>
                <w:sz w:val="20"/>
                <w:szCs w:val="20"/>
                <w:color w:val="auto"/>
              </w:rPr>
            </w:pPr>
            <w:r>
              <w:rPr>
                <w:rFonts w:ascii="Times New Roman" w:cs="Times New Roman" w:eastAsia="Times New Roman" w:hAnsi="Times New Roman"/>
                <w:sz w:val="15"/>
                <w:szCs w:val="15"/>
                <w:color w:val="231F20"/>
              </w:rPr>
              <w:t>12.60%</w:t>
            </w:r>
          </w:p>
        </w:tc>
        <w:tc>
          <w:tcPr>
            <w:tcW w:w="140" w:type="dxa"/>
            <w:vAlign w:val="bottom"/>
            <w:shd w:val="clear" w:color="auto" w:fill="FDFDFC"/>
          </w:tcPr>
          <w:p>
            <w:pPr>
              <w:spacing w:after="0"/>
              <w:rPr>
                <w:sz w:val="13"/>
                <w:szCs w:val="13"/>
                <w:color w:val="auto"/>
              </w:rPr>
            </w:pPr>
          </w:p>
        </w:tc>
        <w:tc>
          <w:tcPr>
            <w:tcW w:w="860" w:type="dxa"/>
            <w:vAlign w:val="bottom"/>
            <w:shd w:val="clear" w:color="auto" w:fill="FDFDFC"/>
          </w:tcPr>
          <w:p>
            <w:pPr>
              <w:jc w:val="right"/>
              <w:spacing w:after="0" w:line="159" w:lineRule="exact"/>
              <w:rPr>
                <w:sz w:val="20"/>
                <w:szCs w:val="20"/>
                <w:color w:val="auto"/>
              </w:rPr>
            </w:pPr>
            <w:r>
              <w:rPr>
                <w:rFonts w:ascii="Times New Roman" w:cs="Times New Roman" w:eastAsia="Times New Roman" w:hAnsi="Times New Roman"/>
                <w:sz w:val="15"/>
                <w:szCs w:val="15"/>
                <w:color w:val="231F20"/>
              </w:rPr>
              <w:t>3,048</w:t>
            </w:r>
          </w:p>
        </w:tc>
        <w:tc>
          <w:tcPr>
            <w:tcW w:w="180" w:type="dxa"/>
            <w:vAlign w:val="bottom"/>
            <w:shd w:val="clear" w:color="auto" w:fill="FDFDFC"/>
          </w:tcPr>
          <w:p>
            <w:pPr>
              <w:spacing w:after="0"/>
              <w:rPr>
                <w:sz w:val="13"/>
                <w:szCs w:val="13"/>
                <w:color w:val="auto"/>
              </w:rPr>
            </w:pPr>
          </w:p>
        </w:tc>
        <w:tc>
          <w:tcPr>
            <w:tcW w:w="80" w:type="dxa"/>
            <w:vAlign w:val="bottom"/>
            <w:shd w:val="clear" w:color="auto" w:fill="FDFDFC"/>
          </w:tcPr>
          <w:p>
            <w:pPr>
              <w:spacing w:after="0"/>
              <w:rPr>
                <w:sz w:val="13"/>
                <w:szCs w:val="13"/>
                <w:color w:val="auto"/>
              </w:rPr>
            </w:pPr>
          </w:p>
        </w:tc>
        <w:tc>
          <w:tcPr>
            <w:tcW w:w="880" w:type="dxa"/>
            <w:vAlign w:val="bottom"/>
            <w:shd w:val="clear" w:color="auto" w:fill="FDFDFC"/>
          </w:tcPr>
          <w:p>
            <w:pPr>
              <w:jc w:val="right"/>
              <w:spacing w:after="0" w:line="159" w:lineRule="exact"/>
              <w:rPr>
                <w:sz w:val="20"/>
                <w:szCs w:val="20"/>
                <w:color w:val="auto"/>
              </w:rPr>
            </w:pPr>
            <w:r>
              <w:rPr>
                <w:rFonts w:ascii="Times New Roman" w:cs="Times New Roman" w:eastAsia="Times New Roman" w:hAnsi="Times New Roman"/>
                <w:sz w:val="15"/>
                <w:szCs w:val="15"/>
                <w:color w:val="231F20"/>
              </w:rPr>
              <w:t>3,166</w:t>
            </w:r>
          </w:p>
        </w:tc>
        <w:tc>
          <w:tcPr>
            <w:tcW w:w="1340" w:type="dxa"/>
            <w:vAlign w:val="bottom"/>
            <w:gridSpan w:val="3"/>
            <w:shd w:val="clear" w:color="auto" w:fill="FDFDFC"/>
          </w:tcPr>
          <w:p>
            <w:pPr>
              <w:jc w:val="right"/>
              <w:ind w:right="120"/>
              <w:spacing w:after="0" w:line="159" w:lineRule="exact"/>
              <w:rPr>
                <w:sz w:val="20"/>
                <w:szCs w:val="20"/>
                <w:color w:val="auto"/>
              </w:rPr>
            </w:pPr>
            <w:r>
              <w:rPr>
                <w:rFonts w:ascii="Times New Roman" w:cs="Times New Roman" w:eastAsia="Times New Roman" w:hAnsi="Times New Roman"/>
                <w:sz w:val="15"/>
                <w:szCs w:val="15"/>
                <w:color w:val="231F20"/>
              </w:rPr>
              <w:t>0.2%</w:t>
            </w:r>
          </w:p>
        </w:tc>
        <w:tc>
          <w:tcPr>
            <w:tcW w:w="0" w:type="dxa"/>
            <w:vAlign w:val="bottom"/>
          </w:tcPr>
          <w:p>
            <w:pPr>
              <w:spacing w:after="0"/>
              <w:rPr>
                <w:sz w:val="1"/>
                <w:szCs w:val="1"/>
                <w:color w:val="auto"/>
              </w:rPr>
            </w:pPr>
          </w:p>
        </w:tc>
      </w:tr>
      <w:tr>
        <w:trPr>
          <w:trHeight w:val="189"/>
        </w:trPr>
        <w:tc>
          <w:tcPr>
            <w:tcW w:w="1420" w:type="dxa"/>
            <w:vAlign w:val="bottom"/>
            <w:shd w:val="clear" w:color="auto" w:fill="FDFDFC"/>
          </w:tcPr>
          <w:p>
            <w:pPr>
              <w:spacing w:after="0"/>
              <w:rPr>
                <w:sz w:val="16"/>
                <w:szCs w:val="16"/>
                <w:color w:val="auto"/>
              </w:rPr>
            </w:pPr>
          </w:p>
        </w:tc>
        <w:tc>
          <w:tcPr>
            <w:tcW w:w="100" w:type="dxa"/>
            <w:vAlign w:val="bottom"/>
            <w:shd w:val="clear" w:color="auto" w:fill="FDFDFC"/>
          </w:tcPr>
          <w:p>
            <w:pPr>
              <w:spacing w:after="0"/>
              <w:rPr>
                <w:sz w:val="16"/>
                <w:szCs w:val="16"/>
                <w:color w:val="auto"/>
              </w:rPr>
            </w:pPr>
          </w:p>
        </w:tc>
        <w:tc>
          <w:tcPr>
            <w:tcW w:w="2340" w:type="dxa"/>
            <w:vAlign w:val="bottom"/>
            <w:shd w:val="clear" w:color="auto" w:fill="FDFDFC"/>
          </w:tcPr>
          <w:p>
            <w:pPr>
              <w:spacing w:after="0"/>
              <w:rPr>
                <w:sz w:val="20"/>
                <w:szCs w:val="20"/>
                <w:color w:val="auto"/>
              </w:rPr>
            </w:pPr>
            <w:r>
              <w:rPr>
                <w:rFonts w:ascii="Times New Roman" w:cs="Times New Roman" w:eastAsia="Times New Roman" w:hAnsi="Times New Roman"/>
                <w:sz w:val="15"/>
                <w:szCs w:val="15"/>
                <w:color w:val="231F20"/>
              </w:rPr>
              <w:t>due 5/2029)</w:t>
            </w:r>
          </w:p>
        </w:tc>
        <w:tc>
          <w:tcPr>
            <w:tcW w:w="80" w:type="dxa"/>
            <w:vAlign w:val="bottom"/>
            <w:shd w:val="clear" w:color="auto" w:fill="FDFDFC"/>
          </w:tcPr>
          <w:p>
            <w:pPr>
              <w:spacing w:after="0"/>
              <w:rPr>
                <w:sz w:val="16"/>
                <w:szCs w:val="16"/>
                <w:color w:val="auto"/>
              </w:rPr>
            </w:pPr>
          </w:p>
        </w:tc>
        <w:tc>
          <w:tcPr>
            <w:tcW w:w="760" w:type="dxa"/>
            <w:vAlign w:val="bottom"/>
            <w:shd w:val="clear" w:color="auto" w:fill="FDFDFC"/>
          </w:tcPr>
          <w:p>
            <w:pPr>
              <w:spacing w:after="0"/>
              <w:rPr>
                <w:sz w:val="16"/>
                <w:szCs w:val="16"/>
                <w:color w:val="auto"/>
              </w:rPr>
            </w:pPr>
          </w:p>
        </w:tc>
        <w:tc>
          <w:tcPr>
            <w:tcW w:w="900" w:type="dxa"/>
            <w:vAlign w:val="bottom"/>
            <w:gridSpan w:val="2"/>
            <w:shd w:val="clear" w:color="auto" w:fill="FDFDFC"/>
          </w:tcPr>
          <w:p>
            <w:pPr>
              <w:jc w:val="right"/>
              <w:spacing w:after="0"/>
              <w:rPr>
                <w:sz w:val="20"/>
                <w:szCs w:val="20"/>
                <w:color w:val="auto"/>
              </w:rPr>
            </w:pPr>
            <w:r>
              <w:rPr>
                <w:rFonts w:ascii="Times New Roman" w:cs="Times New Roman" w:eastAsia="Times New Roman" w:hAnsi="Times New Roman"/>
                <w:sz w:val="15"/>
                <w:szCs w:val="15"/>
                <w:color w:val="231F20"/>
              </w:rPr>
              <w:t>7.25%</w:t>
            </w:r>
          </w:p>
        </w:tc>
        <w:tc>
          <w:tcPr>
            <w:tcW w:w="220" w:type="dxa"/>
            <w:vAlign w:val="bottom"/>
            <w:shd w:val="clear" w:color="auto" w:fill="FDFDFC"/>
          </w:tcPr>
          <w:p>
            <w:pPr>
              <w:spacing w:after="0"/>
              <w:rPr>
                <w:sz w:val="16"/>
                <w:szCs w:val="16"/>
                <w:color w:val="auto"/>
              </w:rPr>
            </w:pPr>
          </w:p>
        </w:tc>
        <w:tc>
          <w:tcPr>
            <w:tcW w:w="760" w:type="dxa"/>
            <w:vAlign w:val="bottom"/>
            <w:shd w:val="clear" w:color="auto" w:fill="FDFDFC"/>
          </w:tcPr>
          <w:p>
            <w:pPr>
              <w:spacing w:after="0"/>
              <w:rPr>
                <w:sz w:val="16"/>
                <w:szCs w:val="16"/>
                <w:color w:val="auto"/>
              </w:rPr>
            </w:pPr>
          </w:p>
        </w:tc>
        <w:tc>
          <w:tcPr>
            <w:tcW w:w="220" w:type="dxa"/>
            <w:vAlign w:val="bottom"/>
            <w:shd w:val="clear" w:color="auto" w:fill="FDFDFC"/>
          </w:tcPr>
          <w:p>
            <w:pPr>
              <w:spacing w:after="0"/>
              <w:rPr>
                <w:sz w:val="16"/>
                <w:szCs w:val="16"/>
                <w:color w:val="auto"/>
              </w:rPr>
            </w:pPr>
          </w:p>
        </w:tc>
        <w:tc>
          <w:tcPr>
            <w:tcW w:w="140" w:type="dxa"/>
            <w:vAlign w:val="bottom"/>
            <w:shd w:val="clear" w:color="auto" w:fill="FDFDFC"/>
          </w:tcPr>
          <w:p>
            <w:pPr>
              <w:spacing w:after="0"/>
              <w:rPr>
                <w:sz w:val="16"/>
                <w:szCs w:val="16"/>
                <w:color w:val="auto"/>
              </w:rPr>
            </w:pPr>
          </w:p>
        </w:tc>
        <w:tc>
          <w:tcPr>
            <w:tcW w:w="860" w:type="dxa"/>
            <w:vAlign w:val="bottom"/>
            <w:shd w:val="clear" w:color="auto" w:fill="FDFDFC"/>
          </w:tcPr>
          <w:p>
            <w:pPr>
              <w:spacing w:after="0"/>
              <w:rPr>
                <w:sz w:val="16"/>
                <w:szCs w:val="16"/>
                <w:color w:val="auto"/>
              </w:rPr>
            </w:pPr>
          </w:p>
        </w:tc>
        <w:tc>
          <w:tcPr>
            <w:tcW w:w="180" w:type="dxa"/>
            <w:vAlign w:val="bottom"/>
            <w:shd w:val="clear" w:color="auto" w:fill="FDFDFC"/>
          </w:tcPr>
          <w:p>
            <w:pPr>
              <w:spacing w:after="0"/>
              <w:rPr>
                <w:sz w:val="16"/>
                <w:szCs w:val="16"/>
                <w:color w:val="auto"/>
              </w:rPr>
            </w:pPr>
          </w:p>
        </w:tc>
        <w:tc>
          <w:tcPr>
            <w:tcW w:w="80" w:type="dxa"/>
            <w:vAlign w:val="bottom"/>
            <w:shd w:val="clear" w:color="auto" w:fill="FDFDFC"/>
          </w:tcPr>
          <w:p>
            <w:pPr>
              <w:spacing w:after="0"/>
              <w:rPr>
                <w:sz w:val="16"/>
                <w:szCs w:val="16"/>
                <w:color w:val="auto"/>
              </w:rPr>
            </w:pPr>
          </w:p>
        </w:tc>
        <w:tc>
          <w:tcPr>
            <w:tcW w:w="880" w:type="dxa"/>
            <w:vAlign w:val="bottom"/>
            <w:shd w:val="clear" w:color="auto" w:fill="FDFDFC"/>
          </w:tcPr>
          <w:p>
            <w:pPr>
              <w:spacing w:after="0"/>
              <w:rPr>
                <w:sz w:val="16"/>
                <w:szCs w:val="16"/>
                <w:color w:val="auto"/>
              </w:rPr>
            </w:pPr>
          </w:p>
        </w:tc>
        <w:tc>
          <w:tcPr>
            <w:tcW w:w="220" w:type="dxa"/>
            <w:vAlign w:val="bottom"/>
            <w:tcBorders>
              <w:right w:val="single" w:sz="8" w:color="FDFDFC"/>
            </w:tcBorders>
            <w:shd w:val="clear" w:color="auto" w:fill="FDFDFC"/>
          </w:tcPr>
          <w:p>
            <w:pPr>
              <w:spacing w:after="0"/>
              <w:rPr>
                <w:sz w:val="16"/>
                <w:szCs w:val="16"/>
                <w:color w:val="auto"/>
              </w:rPr>
            </w:pPr>
          </w:p>
        </w:tc>
        <w:tc>
          <w:tcPr>
            <w:tcW w:w="880" w:type="dxa"/>
            <w:vAlign w:val="bottom"/>
            <w:shd w:val="clear" w:color="auto" w:fill="FDFDFC"/>
          </w:tcPr>
          <w:p>
            <w:pPr>
              <w:spacing w:after="0"/>
              <w:rPr>
                <w:sz w:val="16"/>
                <w:szCs w:val="16"/>
                <w:color w:val="auto"/>
              </w:rPr>
            </w:pPr>
          </w:p>
        </w:tc>
        <w:tc>
          <w:tcPr>
            <w:tcW w:w="240" w:type="dxa"/>
            <w:vAlign w:val="bottom"/>
            <w:shd w:val="clear" w:color="auto" w:fill="FDFDFC"/>
          </w:tcPr>
          <w:p>
            <w:pPr>
              <w:spacing w:after="0"/>
              <w:rPr>
                <w:sz w:val="16"/>
                <w:szCs w:val="16"/>
                <w:color w:val="auto"/>
              </w:rPr>
            </w:pPr>
          </w:p>
        </w:tc>
        <w:tc>
          <w:tcPr>
            <w:tcW w:w="0" w:type="dxa"/>
            <w:vAlign w:val="bottom"/>
          </w:tcPr>
          <w:p>
            <w:pPr>
              <w:spacing w:after="0"/>
              <w:rPr>
                <w:sz w:val="1"/>
                <w:szCs w:val="1"/>
                <w:color w:val="auto"/>
              </w:rPr>
            </w:pPr>
          </w:p>
        </w:tc>
      </w:tr>
      <w:tr>
        <w:trPr>
          <w:trHeight w:val="158"/>
        </w:trPr>
        <w:tc>
          <w:tcPr>
            <w:tcW w:w="1420" w:type="dxa"/>
            <w:vAlign w:val="bottom"/>
            <w:shd w:val="clear" w:color="auto" w:fill="D0EBF2"/>
          </w:tcPr>
          <w:p>
            <w:pPr>
              <w:spacing w:after="0" w:line="159" w:lineRule="exact"/>
              <w:rPr>
                <w:sz w:val="20"/>
                <w:szCs w:val="20"/>
                <w:color w:val="auto"/>
              </w:rPr>
            </w:pPr>
            <w:r>
              <w:rPr>
                <w:rFonts w:ascii="Times New Roman" w:cs="Times New Roman" w:eastAsia="Times New Roman" w:hAnsi="Times New Roman"/>
                <w:sz w:val="15"/>
                <w:szCs w:val="15"/>
                <w:color w:val="231F20"/>
              </w:rPr>
              <w:t>Hornetsecurity</w:t>
            </w:r>
          </w:p>
        </w:tc>
        <w:tc>
          <w:tcPr>
            <w:tcW w:w="100" w:type="dxa"/>
            <w:vAlign w:val="bottom"/>
            <w:shd w:val="clear" w:color="auto" w:fill="D0EBF2"/>
          </w:tcPr>
          <w:p>
            <w:pPr>
              <w:spacing w:after="0"/>
              <w:rPr>
                <w:sz w:val="13"/>
                <w:szCs w:val="13"/>
                <w:color w:val="auto"/>
              </w:rPr>
            </w:pPr>
          </w:p>
        </w:tc>
        <w:tc>
          <w:tcPr>
            <w:tcW w:w="2340" w:type="dxa"/>
            <w:vAlign w:val="bottom"/>
            <w:shd w:val="clear" w:color="auto" w:fill="D0EBF2"/>
          </w:tcPr>
          <w:p>
            <w:pPr>
              <w:spacing w:after="0" w:line="159" w:lineRule="exact"/>
              <w:rPr>
                <w:sz w:val="20"/>
                <w:szCs w:val="20"/>
                <w:color w:val="auto"/>
              </w:rPr>
            </w:pPr>
            <w:r>
              <w:rPr>
                <w:rFonts w:ascii="Times New Roman" w:cs="Times New Roman" w:eastAsia="Times New Roman" w:hAnsi="Times New Roman"/>
                <w:sz w:val="15"/>
                <w:szCs w:val="15"/>
                <w:color w:val="231F20"/>
              </w:rPr>
              <w:t>First-lien loan (EUR 3,150 par, due</w:t>
            </w:r>
          </w:p>
        </w:tc>
        <w:tc>
          <w:tcPr>
            <w:tcW w:w="840" w:type="dxa"/>
            <w:vAlign w:val="bottom"/>
            <w:gridSpan w:val="2"/>
            <w:shd w:val="clear" w:color="auto" w:fill="D0EBF2"/>
          </w:tcPr>
          <w:p>
            <w:pPr>
              <w:jc w:val="right"/>
              <w:spacing w:after="0" w:line="159" w:lineRule="exact"/>
              <w:rPr>
                <w:sz w:val="20"/>
                <w:szCs w:val="20"/>
                <w:color w:val="auto"/>
              </w:rPr>
            </w:pPr>
            <w:r>
              <w:rPr>
                <w:rFonts w:ascii="Times New Roman" w:cs="Times New Roman" w:eastAsia="Times New Roman" w:hAnsi="Times New Roman"/>
                <w:sz w:val="15"/>
                <w:szCs w:val="15"/>
                <w:color w:val="231F20"/>
              </w:rPr>
              <w:t>11/14/2022</w:t>
            </w:r>
          </w:p>
        </w:tc>
        <w:tc>
          <w:tcPr>
            <w:tcW w:w="100" w:type="dxa"/>
            <w:vAlign w:val="bottom"/>
            <w:shd w:val="clear" w:color="auto" w:fill="D0EBF2"/>
          </w:tcPr>
          <w:p>
            <w:pPr>
              <w:spacing w:after="0"/>
              <w:rPr>
                <w:sz w:val="13"/>
                <w:szCs w:val="13"/>
                <w:color w:val="auto"/>
              </w:rPr>
            </w:pPr>
          </w:p>
        </w:tc>
        <w:tc>
          <w:tcPr>
            <w:tcW w:w="1020" w:type="dxa"/>
            <w:vAlign w:val="bottom"/>
            <w:gridSpan w:val="2"/>
            <w:shd w:val="clear" w:color="auto" w:fill="D0EBF2"/>
          </w:tcPr>
          <w:p>
            <w:pPr>
              <w:jc w:val="right"/>
              <w:ind w:right="240"/>
              <w:spacing w:after="0" w:line="159" w:lineRule="exact"/>
              <w:rPr>
                <w:sz w:val="20"/>
                <w:szCs w:val="20"/>
                <w:color w:val="auto"/>
              </w:rPr>
            </w:pPr>
            <w:r>
              <w:rPr>
                <w:rFonts w:ascii="Times New Roman" w:cs="Times New Roman" w:eastAsia="Times New Roman" w:hAnsi="Times New Roman"/>
                <w:sz w:val="15"/>
                <w:szCs w:val="15"/>
                <w:color w:val="231F20"/>
              </w:rPr>
              <w:t>E + 6.50%</w:t>
            </w:r>
          </w:p>
        </w:tc>
        <w:tc>
          <w:tcPr>
            <w:tcW w:w="980" w:type="dxa"/>
            <w:vAlign w:val="bottom"/>
            <w:gridSpan w:val="2"/>
            <w:shd w:val="clear" w:color="auto" w:fill="D0EBF2"/>
          </w:tcPr>
          <w:p>
            <w:pPr>
              <w:jc w:val="right"/>
              <w:ind w:right="100"/>
              <w:spacing w:after="0" w:line="159" w:lineRule="exact"/>
              <w:rPr>
                <w:sz w:val="20"/>
                <w:szCs w:val="20"/>
                <w:color w:val="auto"/>
              </w:rPr>
            </w:pPr>
            <w:r>
              <w:rPr>
                <w:rFonts w:ascii="Times New Roman" w:cs="Times New Roman" w:eastAsia="Times New Roman" w:hAnsi="Times New Roman"/>
                <w:sz w:val="15"/>
                <w:szCs w:val="15"/>
                <w:color w:val="231F20"/>
              </w:rPr>
              <w:t>10.50%</w:t>
            </w:r>
          </w:p>
        </w:tc>
        <w:tc>
          <w:tcPr>
            <w:tcW w:w="140" w:type="dxa"/>
            <w:vAlign w:val="bottom"/>
            <w:shd w:val="clear" w:color="auto" w:fill="D0EBF2"/>
          </w:tcPr>
          <w:p>
            <w:pPr>
              <w:spacing w:after="0"/>
              <w:rPr>
                <w:sz w:val="13"/>
                <w:szCs w:val="13"/>
                <w:color w:val="auto"/>
              </w:rPr>
            </w:pPr>
          </w:p>
        </w:tc>
        <w:tc>
          <w:tcPr>
            <w:tcW w:w="860" w:type="dxa"/>
            <w:vAlign w:val="bottom"/>
            <w:shd w:val="clear" w:color="auto" w:fill="D0EBF2"/>
          </w:tcPr>
          <w:p>
            <w:pPr>
              <w:jc w:val="right"/>
              <w:spacing w:after="0" w:line="159" w:lineRule="exact"/>
              <w:rPr>
                <w:sz w:val="20"/>
                <w:szCs w:val="20"/>
                <w:color w:val="auto"/>
              </w:rPr>
            </w:pPr>
            <w:r>
              <w:rPr>
                <w:rFonts w:ascii="Times New Roman" w:cs="Times New Roman" w:eastAsia="Times New Roman" w:hAnsi="Times New Roman"/>
                <w:sz w:val="15"/>
                <w:szCs w:val="15"/>
                <w:color w:val="231F20"/>
              </w:rPr>
              <w:t>3,154</w:t>
            </w:r>
          </w:p>
        </w:tc>
        <w:tc>
          <w:tcPr>
            <w:tcW w:w="180" w:type="dxa"/>
            <w:vAlign w:val="bottom"/>
            <w:shd w:val="clear" w:color="auto" w:fill="D0EBF2"/>
          </w:tcPr>
          <w:p>
            <w:pPr>
              <w:spacing w:after="0"/>
              <w:rPr>
                <w:sz w:val="13"/>
                <w:szCs w:val="13"/>
                <w:color w:val="auto"/>
              </w:rPr>
            </w:pPr>
          </w:p>
        </w:tc>
        <w:tc>
          <w:tcPr>
            <w:tcW w:w="80" w:type="dxa"/>
            <w:vAlign w:val="bottom"/>
            <w:shd w:val="clear" w:color="auto" w:fill="D0EBF2"/>
          </w:tcPr>
          <w:p>
            <w:pPr>
              <w:spacing w:after="0"/>
              <w:rPr>
                <w:sz w:val="13"/>
                <w:szCs w:val="13"/>
                <w:color w:val="auto"/>
              </w:rPr>
            </w:pPr>
          </w:p>
        </w:tc>
        <w:tc>
          <w:tcPr>
            <w:tcW w:w="880" w:type="dxa"/>
            <w:vAlign w:val="bottom"/>
            <w:shd w:val="clear" w:color="auto" w:fill="D0EBF2"/>
          </w:tcPr>
          <w:p>
            <w:pPr>
              <w:jc w:val="right"/>
              <w:spacing w:after="0" w:line="159" w:lineRule="exact"/>
              <w:rPr>
                <w:sz w:val="20"/>
                <w:szCs w:val="20"/>
                <w:color w:val="auto"/>
              </w:rPr>
            </w:pPr>
            <w:r>
              <w:rPr>
                <w:rFonts w:ascii="Times New Roman" w:cs="Times New Roman" w:eastAsia="Times New Roman" w:hAnsi="Times New Roman"/>
                <w:sz w:val="15"/>
                <w:szCs w:val="15"/>
                <w:color w:val="231F20"/>
              </w:rPr>
              <w:t>3,536</w:t>
            </w:r>
          </w:p>
        </w:tc>
        <w:tc>
          <w:tcPr>
            <w:tcW w:w="1340" w:type="dxa"/>
            <w:vAlign w:val="bottom"/>
            <w:gridSpan w:val="3"/>
            <w:shd w:val="clear" w:color="auto" w:fill="D0EBF2"/>
          </w:tcPr>
          <w:p>
            <w:pPr>
              <w:jc w:val="right"/>
              <w:ind w:right="120"/>
              <w:spacing w:after="0" w:line="159" w:lineRule="exact"/>
              <w:rPr>
                <w:sz w:val="20"/>
                <w:szCs w:val="20"/>
                <w:color w:val="auto"/>
              </w:rPr>
            </w:pPr>
            <w:r>
              <w:rPr>
                <w:rFonts w:ascii="Times New Roman" w:cs="Times New Roman" w:eastAsia="Times New Roman" w:hAnsi="Times New Roman"/>
                <w:sz w:val="15"/>
                <w:szCs w:val="15"/>
                <w:color w:val="231F20"/>
              </w:rPr>
              <w:t>0.2%</w:t>
            </w:r>
          </w:p>
        </w:tc>
        <w:tc>
          <w:tcPr>
            <w:tcW w:w="0" w:type="dxa"/>
            <w:vAlign w:val="bottom"/>
          </w:tcPr>
          <w:p>
            <w:pPr>
              <w:spacing w:after="0"/>
              <w:rPr>
                <w:sz w:val="1"/>
                <w:szCs w:val="1"/>
                <w:color w:val="auto"/>
              </w:rPr>
            </w:pPr>
          </w:p>
        </w:tc>
      </w:tr>
      <w:tr>
        <w:trPr>
          <w:trHeight w:val="189"/>
        </w:trPr>
        <w:tc>
          <w:tcPr>
            <w:tcW w:w="1420" w:type="dxa"/>
            <w:vAlign w:val="bottom"/>
            <w:shd w:val="clear" w:color="auto" w:fill="D0EBF2"/>
          </w:tcPr>
          <w:p>
            <w:pPr>
              <w:spacing w:after="0"/>
              <w:rPr>
                <w:sz w:val="20"/>
                <w:szCs w:val="20"/>
                <w:color w:val="auto"/>
              </w:rPr>
            </w:pPr>
            <w:r>
              <w:rPr>
                <w:rFonts w:ascii="Times New Roman" w:cs="Times New Roman" w:eastAsia="Times New Roman" w:hAnsi="Times New Roman"/>
                <w:sz w:val="15"/>
                <w:szCs w:val="15"/>
                <w:color w:val="231F20"/>
              </w:rPr>
              <w:t xml:space="preserve">Holding GmbH </w:t>
            </w:r>
            <w:r>
              <w:rPr>
                <w:rFonts w:ascii="Times New Roman" w:cs="Times New Roman" w:eastAsia="Times New Roman" w:hAnsi="Times New Roman"/>
                <w:sz w:val="9"/>
                <w:szCs w:val="9"/>
                <w:color w:val="231F20"/>
              </w:rPr>
              <w:t>(3)(4)</w:t>
            </w:r>
          </w:p>
        </w:tc>
        <w:tc>
          <w:tcPr>
            <w:tcW w:w="2440" w:type="dxa"/>
            <w:vAlign w:val="bottom"/>
            <w:gridSpan w:val="2"/>
            <w:shd w:val="clear" w:color="auto" w:fill="D0EBF2"/>
          </w:tcPr>
          <w:p>
            <w:pPr>
              <w:ind w:left="100"/>
              <w:spacing w:after="0"/>
              <w:rPr>
                <w:sz w:val="20"/>
                <w:szCs w:val="20"/>
                <w:color w:val="auto"/>
              </w:rPr>
            </w:pPr>
            <w:r>
              <w:rPr>
                <w:rFonts w:ascii="Times New Roman" w:cs="Times New Roman" w:eastAsia="Times New Roman" w:hAnsi="Times New Roman"/>
                <w:sz w:val="15"/>
                <w:szCs w:val="15"/>
                <w:color w:val="231F20"/>
              </w:rPr>
              <w:t>11/2029)</w:t>
            </w:r>
          </w:p>
        </w:tc>
        <w:tc>
          <w:tcPr>
            <w:tcW w:w="80" w:type="dxa"/>
            <w:vAlign w:val="bottom"/>
            <w:shd w:val="clear" w:color="auto" w:fill="D0EBF2"/>
          </w:tcPr>
          <w:p>
            <w:pPr>
              <w:spacing w:after="0"/>
              <w:rPr>
                <w:sz w:val="16"/>
                <w:szCs w:val="16"/>
                <w:color w:val="auto"/>
              </w:rPr>
            </w:pPr>
          </w:p>
        </w:tc>
        <w:tc>
          <w:tcPr>
            <w:tcW w:w="760" w:type="dxa"/>
            <w:vAlign w:val="bottom"/>
            <w:shd w:val="clear" w:color="auto" w:fill="D0EBF2"/>
          </w:tcPr>
          <w:p>
            <w:pPr>
              <w:spacing w:after="0"/>
              <w:rPr>
                <w:sz w:val="16"/>
                <w:szCs w:val="16"/>
                <w:color w:val="auto"/>
              </w:rPr>
            </w:pPr>
          </w:p>
        </w:tc>
        <w:tc>
          <w:tcPr>
            <w:tcW w:w="100" w:type="dxa"/>
            <w:vAlign w:val="bottom"/>
            <w:shd w:val="clear" w:color="auto" w:fill="D0EBF2"/>
          </w:tcPr>
          <w:p>
            <w:pPr>
              <w:spacing w:after="0"/>
              <w:rPr>
                <w:sz w:val="16"/>
                <w:szCs w:val="16"/>
                <w:color w:val="auto"/>
              </w:rPr>
            </w:pPr>
          </w:p>
        </w:tc>
        <w:tc>
          <w:tcPr>
            <w:tcW w:w="800" w:type="dxa"/>
            <w:vAlign w:val="bottom"/>
            <w:shd w:val="clear" w:color="auto" w:fill="D0EBF2"/>
          </w:tcPr>
          <w:p>
            <w:pPr>
              <w:spacing w:after="0"/>
              <w:rPr>
                <w:sz w:val="16"/>
                <w:szCs w:val="16"/>
                <w:color w:val="auto"/>
              </w:rPr>
            </w:pPr>
          </w:p>
        </w:tc>
        <w:tc>
          <w:tcPr>
            <w:tcW w:w="220" w:type="dxa"/>
            <w:vAlign w:val="bottom"/>
            <w:shd w:val="clear" w:color="auto" w:fill="D0EBF2"/>
          </w:tcPr>
          <w:p>
            <w:pPr>
              <w:spacing w:after="0"/>
              <w:rPr>
                <w:sz w:val="16"/>
                <w:szCs w:val="16"/>
                <w:color w:val="auto"/>
              </w:rPr>
            </w:pPr>
          </w:p>
        </w:tc>
        <w:tc>
          <w:tcPr>
            <w:tcW w:w="760" w:type="dxa"/>
            <w:vAlign w:val="bottom"/>
            <w:shd w:val="clear" w:color="auto" w:fill="D0EBF2"/>
          </w:tcPr>
          <w:p>
            <w:pPr>
              <w:spacing w:after="0"/>
              <w:rPr>
                <w:sz w:val="16"/>
                <w:szCs w:val="16"/>
                <w:color w:val="auto"/>
              </w:rPr>
            </w:pPr>
          </w:p>
        </w:tc>
        <w:tc>
          <w:tcPr>
            <w:tcW w:w="220" w:type="dxa"/>
            <w:vAlign w:val="bottom"/>
            <w:shd w:val="clear" w:color="auto" w:fill="D0EBF2"/>
          </w:tcPr>
          <w:p>
            <w:pPr>
              <w:spacing w:after="0"/>
              <w:rPr>
                <w:sz w:val="16"/>
                <w:szCs w:val="16"/>
                <w:color w:val="auto"/>
              </w:rPr>
            </w:pPr>
          </w:p>
        </w:tc>
        <w:tc>
          <w:tcPr>
            <w:tcW w:w="140" w:type="dxa"/>
            <w:vAlign w:val="bottom"/>
            <w:shd w:val="clear" w:color="auto" w:fill="D0EBF2"/>
          </w:tcPr>
          <w:p>
            <w:pPr>
              <w:spacing w:after="0"/>
              <w:rPr>
                <w:sz w:val="16"/>
                <w:szCs w:val="16"/>
                <w:color w:val="auto"/>
              </w:rPr>
            </w:pPr>
          </w:p>
        </w:tc>
        <w:tc>
          <w:tcPr>
            <w:tcW w:w="860" w:type="dxa"/>
            <w:vAlign w:val="bottom"/>
            <w:shd w:val="clear" w:color="auto" w:fill="D0EBF2"/>
          </w:tcPr>
          <w:p>
            <w:pPr>
              <w:spacing w:after="0"/>
              <w:rPr>
                <w:sz w:val="16"/>
                <w:szCs w:val="16"/>
                <w:color w:val="auto"/>
              </w:rPr>
            </w:pPr>
          </w:p>
        </w:tc>
        <w:tc>
          <w:tcPr>
            <w:tcW w:w="180" w:type="dxa"/>
            <w:vAlign w:val="bottom"/>
            <w:shd w:val="clear" w:color="auto" w:fill="D0EBF2"/>
          </w:tcPr>
          <w:p>
            <w:pPr>
              <w:spacing w:after="0"/>
              <w:rPr>
                <w:sz w:val="16"/>
                <w:szCs w:val="16"/>
                <w:color w:val="auto"/>
              </w:rPr>
            </w:pPr>
          </w:p>
        </w:tc>
        <w:tc>
          <w:tcPr>
            <w:tcW w:w="80" w:type="dxa"/>
            <w:vAlign w:val="bottom"/>
            <w:shd w:val="clear" w:color="auto" w:fill="D0EBF2"/>
          </w:tcPr>
          <w:p>
            <w:pPr>
              <w:spacing w:after="0"/>
              <w:rPr>
                <w:sz w:val="16"/>
                <w:szCs w:val="16"/>
                <w:color w:val="auto"/>
              </w:rPr>
            </w:pPr>
          </w:p>
        </w:tc>
        <w:tc>
          <w:tcPr>
            <w:tcW w:w="880" w:type="dxa"/>
            <w:vAlign w:val="bottom"/>
            <w:shd w:val="clear" w:color="auto" w:fill="D0EBF2"/>
          </w:tcPr>
          <w:p>
            <w:pPr>
              <w:jc w:val="right"/>
              <w:spacing w:after="0"/>
              <w:rPr>
                <w:sz w:val="20"/>
                <w:szCs w:val="20"/>
                <w:color w:val="auto"/>
              </w:rPr>
            </w:pPr>
            <w:r>
              <w:rPr>
                <w:rFonts w:ascii="Times New Roman" w:cs="Times New Roman" w:eastAsia="Times New Roman" w:hAnsi="Times New Roman"/>
                <w:sz w:val="15"/>
                <w:szCs w:val="15"/>
                <w:color w:val="231F20"/>
              </w:rPr>
              <w:t>(EUR 3,201)</w:t>
            </w:r>
          </w:p>
        </w:tc>
        <w:tc>
          <w:tcPr>
            <w:tcW w:w="220" w:type="dxa"/>
            <w:vAlign w:val="bottom"/>
            <w:tcBorders>
              <w:right w:val="single" w:sz="8" w:color="D0EBF2"/>
            </w:tcBorders>
            <w:shd w:val="clear" w:color="auto" w:fill="D0EBF2"/>
          </w:tcPr>
          <w:p>
            <w:pPr>
              <w:spacing w:after="0"/>
              <w:rPr>
                <w:sz w:val="16"/>
                <w:szCs w:val="16"/>
                <w:color w:val="auto"/>
              </w:rPr>
            </w:pPr>
          </w:p>
        </w:tc>
        <w:tc>
          <w:tcPr>
            <w:tcW w:w="880" w:type="dxa"/>
            <w:vAlign w:val="bottom"/>
            <w:shd w:val="clear" w:color="auto" w:fill="D0EBF2"/>
          </w:tcPr>
          <w:p>
            <w:pPr>
              <w:spacing w:after="0"/>
              <w:rPr>
                <w:sz w:val="16"/>
                <w:szCs w:val="16"/>
                <w:color w:val="auto"/>
              </w:rPr>
            </w:pPr>
          </w:p>
        </w:tc>
        <w:tc>
          <w:tcPr>
            <w:tcW w:w="240" w:type="dxa"/>
            <w:vAlign w:val="bottom"/>
            <w:shd w:val="clear" w:color="auto" w:fill="D0EBF2"/>
          </w:tcPr>
          <w:p>
            <w:pPr>
              <w:spacing w:after="0"/>
              <w:rPr>
                <w:sz w:val="16"/>
                <w:szCs w:val="16"/>
                <w:color w:val="auto"/>
              </w:rPr>
            </w:pPr>
          </w:p>
        </w:tc>
        <w:tc>
          <w:tcPr>
            <w:tcW w:w="0" w:type="dxa"/>
            <w:vAlign w:val="bottom"/>
          </w:tcPr>
          <w:p>
            <w:pPr>
              <w:spacing w:after="0"/>
              <w:rPr>
                <w:sz w:val="1"/>
                <w:szCs w:val="1"/>
                <w:color w:val="auto"/>
              </w:rPr>
            </w:pPr>
          </w:p>
        </w:tc>
      </w:tr>
      <w:tr>
        <w:trPr>
          <w:trHeight w:val="158"/>
        </w:trPr>
        <w:tc>
          <w:tcPr>
            <w:tcW w:w="1420" w:type="dxa"/>
            <w:vAlign w:val="bottom"/>
            <w:shd w:val="clear" w:color="auto" w:fill="FDFDFC"/>
          </w:tcPr>
          <w:p>
            <w:pPr>
              <w:spacing w:after="0" w:line="159" w:lineRule="exact"/>
              <w:rPr>
                <w:sz w:val="20"/>
                <w:szCs w:val="20"/>
                <w:color w:val="auto"/>
              </w:rPr>
            </w:pPr>
            <w:r>
              <w:rPr>
                <w:rFonts w:ascii="Times New Roman" w:cs="Times New Roman" w:eastAsia="Times New Roman" w:hAnsi="Times New Roman"/>
                <w:sz w:val="15"/>
                <w:szCs w:val="15"/>
                <w:color w:val="231F20"/>
              </w:rPr>
              <w:t>Information</w:t>
            </w:r>
          </w:p>
        </w:tc>
        <w:tc>
          <w:tcPr>
            <w:tcW w:w="100" w:type="dxa"/>
            <w:vAlign w:val="bottom"/>
            <w:shd w:val="clear" w:color="auto" w:fill="FDFDFC"/>
          </w:tcPr>
          <w:p>
            <w:pPr>
              <w:spacing w:after="0"/>
              <w:rPr>
                <w:sz w:val="13"/>
                <w:szCs w:val="13"/>
                <w:color w:val="auto"/>
              </w:rPr>
            </w:pPr>
          </w:p>
        </w:tc>
        <w:tc>
          <w:tcPr>
            <w:tcW w:w="2340" w:type="dxa"/>
            <w:vAlign w:val="bottom"/>
            <w:shd w:val="clear" w:color="auto" w:fill="FDFDFC"/>
          </w:tcPr>
          <w:p>
            <w:pPr>
              <w:spacing w:after="0" w:line="159" w:lineRule="exact"/>
              <w:rPr>
                <w:sz w:val="20"/>
                <w:szCs w:val="20"/>
                <w:color w:val="auto"/>
              </w:rPr>
            </w:pPr>
            <w:r>
              <w:rPr>
                <w:rFonts w:ascii="Times New Roman" w:cs="Times New Roman" w:eastAsia="Times New Roman" w:hAnsi="Times New Roman"/>
                <w:sz w:val="15"/>
                <w:szCs w:val="15"/>
                <w:color w:val="231F20"/>
              </w:rPr>
              <w:t>First-lien loan ($17,640 par, due</w:t>
            </w:r>
          </w:p>
        </w:tc>
        <w:tc>
          <w:tcPr>
            <w:tcW w:w="840" w:type="dxa"/>
            <w:vAlign w:val="bottom"/>
            <w:gridSpan w:val="2"/>
            <w:shd w:val="clear" w:color="auto" w:fill="FDFDFC"/>
          </w:tcPr>
          <w:p>
            <w:pPr>
              <w:jc w:val="right"/>
              <w:spacing w:after="0" w:line="159" w:lineRule="exact"/>
              <w:rPr>
                <w:sz w:val="20"/>
                <w:szCs w:val="20"/>
                <w:color w:val="auto"/>
              </w:rPr>
            </w:pPr>
            <w:r>
              <w:rPr>
                <w:rFonts w:ascii="Times New Roman" w:cs="Times New Roman" w:eastAsia="Times New Roman" w:hAnsi="Times New Roman"/>
                <w:sz w:val="15"/>
                <w:szCs w:val="15"/>
                <w:color w:val="231F20"/>
              </w:rPr>
              <w:t>12/20/2021</w:t>
            </w:r>
          </w:p>
        </w:tc>
        <w:tc>
          <w:tcPr>
            <w:tcW w:w="100" w:type="dxa"/>
            <w:vAlign w:val="bottom"/>
            <w:shd w:val="clear" w:color="auto" w:fill="FDFDFC"/>
          </w:tcPr>
          <w:p>
            <w:pPr>
              <w:spacing w:after="0"/>
              <w:rPr>
                <w:sz w:val="13"/>
                <w:szCs w:val="13"/>
                <w:color w:val="auto"/>
              </w:rPr>
            </w:pPr>
          </w:p>
        </w:tc>
        <w:tc>
          <w:tcPr>
            <w:tcW w:w="1020" w:type="dxa"/>
            <w:vAlign w:val="bottom"/>
            <w:gridSpan w:val="2"/>
            <w:shd w:val="clear" w:color="auto" w:fill="FDFDFC"/>
          </w:tcPr>
          <w:p>
            <w:pPr>
              <w:jc w:val="right"/>
              <w:ind w:right="240"/>
              <w:spacing w:after="0" w:line="159" w:lineRule="exact"/>
              <w:rPr>
                <w:sz w:val="20"/>
                <w:szCs w:val="20"/>
                <w:color w:val="auto"/>
              </w:rPr>
            </w:pPr>
            <w:r>
              <w:rPr>
                <w:rFonts w:ascii="Times New Roman" w:cs="Times New Roman" w:eastAsia="Times New Roman" w:hAnsi="Times New Roman"/>
                <w:sz w:val="15"/>
                <w:szCs w:val="15"/>
                <w:color w:val="231F20"/>
              </w:rPr>
              <w:t>SOFR +</w:t>
            </w:r>
          </w:p>
        </w:tc>
        <w:tc>
          <w:tcPr>
            <w:tcW w:w="980" w:type="dxa"/>
            <w:vAlign w:val="bottom"/>
            <w:gridSpan w:val="2"/>
            <w:shd w:val="clear" w:color="auto" w:fill="FDFDFC"/>
          </w:tcPr>
          <w:p>
            <w:pPr>
              <w:jc w:val="right"/>
              <w:ind w:right="100"/>
              <w:spacing w:after="0" w:line="159" w:lineRule="exact"/>
              <w:rPr>
                <w:sz w:val="20"/>
                <w:szCs w:val="20"/>
                <w:color w:val="auto"/>
              </w:rPr>
            </w:pPr>
            <w:r>
              <w:rPr>
                <w:rFonts w:ascii="Times New Roman" w:cs="Times New Roman" w:eastAsia="Times New Roman" w:hAnsi="Times New Roman"/>
                <w:sz w:val="15"/>
                <w:szCs w:val="15"/>
                <w:color w:val="231F20"/>
              </w:rPr>
              <w:t>12.02%</w:t>
            </w:r>
          </w:p>
        </w:tc>
        <w:tc>
          <w:tcPr>
            <w:tcW w:w="140" w:type="dxa"/>
            <w:vAlign w:val="bottom"/>
            <w:shd w:val="clear" w:color="auto" w:fill="FDFDFC"/>
          </w:tcPr>
          <w:p>
            <w:pPr>
              <w:spacing w:after="0"/>
              <w:rPr>
                <w:sz w:val="13"/>
                <w:szCs w:val="13"/>
                <w:color w:val="auto"/>
              </w:rPr>
            </w:pPr>
          </w:p>
        </w:tc>
        <w:tc>
          <w:tcPr>
            <w:tcW w:w="860" w:type="dxa"/>
            <w:vAlign w:val="bottom"/>
            <w:shd w:val="clear" w:color="auto" w:fill="FDFDFC"/>
          </w:tcPr>
          <w:p>
            <w:pPr>
              <w:jc w:val="right"/>
              <w:spacing w:after="0" w:line="159" w:lineRule="exact"/>
              <w:rPr>
                <w:sz w:val="20"/>
                <w:szCs w:val="20"/>
                <w:color w:val="auto"/>
              </w:rPr>
            </w:pPr>
            <w:r>
              <w:rPr>
                <w:rFonts w:ascii="Times New Roman" w:cs="Times New Roman" w:eastAsia="Times New Roman" w:hAnsi="Times New Roman"/>
                <w:sz w:val="15"/>
                <w:szCs w:val="15"/>
                <w:color w:val="231F20"/>
              </w:rPr>
              <w:t>17,342</w:t>
            </w:r>
          </w:p>
        </w:tc>
        <w:tc>
          <w:tcPr>
            <w:tcW w:w="180" w:type="dxa"/>
            <w:vAlign w:val="bottom"/>
            <w:shd w:val="clear" w:color="auto" w:fill="FDFDFC"/>
          </w:tcPr>
          <w:p>
            <w:pPr>
              <w:spacing w:after="0"/>
              <w:rPr>
                <w:sz w:val="13"/>
                <w:szCs w:val="13"/>
                <w:color w:val="auto"/>
              </w:rPr>
            </w:pPr>
          </w:p>
        </w:tc>
        <w:tc>
          <w:tcPr>
            <w:tcW w:w="80" w:type="dxa"/>
            <w:vAlign w:val="bottom"/>
            <w:shd w:val="clear" w:color="auto" w:fill="FDFDFC"/>
          </w:tcPr>
          <w:p>
            <w:pPr>
              <w:spacing w:after="0"/>
              <w:rPr>
                <w:sz w:val="13"/>
                <w:szCs w:val="13"/>
                <w:color w:val="auto"/>
              </w:rPr>
            </w:pPr>
          </w:p>
        </w:tc>
        <w:tc>
          <w:tcPr>
            <w:tcW w:w="880" w:type="dxa"/>
            <w:vAlign w:val="bottom"/>
            <w:shd w:val="clear" w:color="auto" w:fill="FDFDFC"/>
          </w:tcPr>
          <w:p>
            <w:pPr>
              <w:jc w:val="right"/>
              <w:spacing w:after="0" w:line="159" w:lineRule="exact"/>
              <w:rPr>
                <w:sz w:val="20"/>
                <w:szCs w:val="20"/>
                <w:color w:val="auto"/>
              </w:rPr>
            </w:pPr>
            <w:r>
              <w:rPr>
                <w:rFonts w:ascii="Times New Roman" w:cs="Times New Roman" w:eastAsia="Times New Roman" w:hAnsi="Times New Roman"/>
                <w:sz w:val="15"/>
                <w:szCs w:val="15"/>
                <w:color w:val="231F20"/>
              </w:rPr>
              <w:t>17,598</w:t>
            </w:r>
          </w:p>
        </w:tc>
        <w:tc>
          <w:tcPr>
            <w:tcW w:w="1340" w:type="dxa"/>
            <w:vAlign w:val="bottom"/>
            <w:gridSpan w:val="3"/>
            <w:shd w:val="clear" w:color="auto" w:fill="FDFDFC"/>
          </w:tcPr>
          <w:p>
            <w:pPr>
              <w:jc w:val="right"/>
              <w:ind w:right="120"/>
              <w:spacing w:after="0" w:line="159" w:lineRule="exact"/>
              <w:rPr>
                <w:sz w:val="20"/>
                <w:szCs w:val="20"/>
                <w:color w:val="auto"/>
              </w:rPr>
            </w:pPr>
            <w:r>
              <w:rPr>
                <w:rFonts w:ascii="Times New Roman" w:cs="Times New Roman" w:eastAsia="Times New Roman" w:hAnsi="Times New Roman"/>
                <w:sz w:val="15"/>
                <w:szCs w:val="15"/>
                <w:color w:val="231F20"/>
              </w:rPr>
              <w:t>1.2%</w:t>
            </w:r>
          </w:p>
        </w:tc>
        <w:tc>
          <w:tcPr>
            <w:tcW w:w="0" w:type="dxa"/>
            <w:vAlign w:val="bottom"/>
          </w:tcPr>
          <w:p>
            <w:pPr>
              <w:spacing w:after="0"/>
              <w:rPr>
                <w:sz w:val="1"/>
                <w:szCs w:val="1"/>
                <w:color w:val="auto"/>
              </w:rPr>
            </w:pPr>
          </w:p>
        </w:tc>
      </w:tr>
      <w:tr>
        <w:trPr>
          <w:trHeight w:val="174"/>
        </w:trPr>
        <w:tc>
          <w:tcPr>
            <w:tcW w:w="1420" w:type="dxa"/>
            <w:vAlign w:val="bottom"/>
            <w:shd w:val="clear" w:color="auto" w:fill="FDFDFC"/>
          </w:tcPr>
          <w:p>
            <w:pPr>
              <w:spacing w:after="0"/>
              <w:rPr>
                <w:sz w:val="20"/>
                <w:szCs w:val="20"/>
                <w:color w:val="auto"/>
              </w:rPr>
            </w:pPr>
            <w:r>
              <w:rPr>
                <w:rFonts w:ascii="Times New Roman" w:cs="Times New Roman" w:eastAsia="Times New Roman" w:hAnsi="Times New Roman"/>
                <w:sz w:val="15"/>
                <w:szCs w:val="15"/>
                <w:color w:val="231F20"/>
              </w:rPr>
              <w:t>Clearinghouse, LLC</w:t>
            </w:r>
          </w:p>
        </w:tc>
        <w:tc>
          <w:tcPr>
            <w:tcW w:w="2440" w:type="dxa"/>
            <w:vAlign w:val="bottom"/>
            <w:gridSpan w:val="2"/>
            <w:shd w:val="clear" w:color="auto" w:fill="FDFDFC"/>
          </w:tcPr>
          <w:p>
            <w:pPr>
              <w:ind w:left="100"/>
              <w:spacing w:after="0"/>
              <w:rPr>
                <w:sz w:val="20"/>
                <w:szCs w:val="20"/>
                <w:color w:val="auto"/>
              </w:rPr>
            </w:pPr>
            <w:r>
              <w:rPr>
                <w:rFonts w:ascii="Times New Roman" w:cs="Times New Roman" w:eastAsia="Times New Roman" w:hAnsi="Times New Roman"/>
                <w:sz w:val="15"/>
                <w:szCs w:val="15"/>
                <w:color w:val="231F20"/>
              </w:rPr>
              <w:t>12/2026)</w:t>
            </w:r>
          </w:p>
        </w:tc>
        <w:tc>
          <w:tcPr>
            <w:tcW w:w="80" w:type="dxa"/>
            <w:vAlign w:val="bottom"/>
            <w:shd w:val="clear" w:color="auto" w:fill="FDFDFC"/>
          </w:tcPr>
          <w:p>
            <w:pPr>
              <w:spacing w:after="0"/>
              <w:rPr>
                <w:sz w:val="15"/>
                <w:szCs w:val="15"/>
                <w:color w:val="auto"/>
              </w:rPr>
            </w:pPr>
          </w:p>
        </w:tc>
        <w:tc>
          <w:tcPr>
            <w:tcW w:w="760" w:type="dxa"/>
            <w:vAlign w:val="bottom"/>
            <w:shd w:val="clear" w:color="auto" w:fill="FDFDFC"/>
          </w:tcPr>
          <w:p>
            <w:pPr>
              <w:spacing w:after="0"/>
              <w:rPr>
                <w:sz w:val="15"/>
                <w:szCs w:val="15"/>
                <w:color w:val="auto"/>
              </w:rPr>
            </w:pPr>
          </w:p>
        </w:tc>
        <w:tc>
          <w:tcPr>
            <w:tcW w:w="900" w:type="dxa"/>
            <w:vAlign w:val="bottom"/>
            <w:gridSpan w:val="2"/>
            <w:shd w:val="clear" w:color="auto" w:fill="FDFDFC"/>
          </w:tcPr>
          <w:p>
            <w:pPr>
              <w:jc w:val="right"/>
              <w:spacing w:after="0"/>
              <w:rPr>
                <w:sz w:val="20"/>
                <w:szCs w:val="20"/>
                <w:color w:val="auto"/>
              </w:rPr>
            </w:pPr>
            <w:r>
              <w:rPr>
                <w:rFonts w:ascii="Times New Roman" w:cs="Times New Roman" w:eastAsia="Times New Roman" w:hAnsi="Times New Roman"/>
                <w:sz w:val="15"/>
                <w:szCs w:val="15"/>
                <w:color w:val="231F20"/>
              </w:rPr>
              <w:t>6.65%</w:t>
            </w:r>
          </w:p>
        </w:tc>
        <w:tc>
          <w:tcPr>
            <w:tcW w:w="220" w:type="dxa"/>
            <w:vAlign w:val="bottom"/>
            <w:shd w:val="clear" w:color="auto" w:fill="FDFDFC"/>
          </w:tcPr>
          <w:p>
            <w:pPr>
              <w:spacing w:after="0"/>
              <w:rPr>
                <w:sz w:val="15"/>
                <w:szCs w:val="15"/>
                <w:color w:val="auto"/>
              </w:rPr>
            </w:pPr>
          </w:p>
        </w:tc>
        <w:tc>
          <w:tcPr>
            <w:tcW w:w="760" w:type="dxa"/>
            <w:vAlign w:val="bottom"/>
            <w:shd w:val="clear" w:color="auto" w:fill="FDFDFC"/>
          </w:tcPr>
          <w:p>
            <w:pPr>
              <w:spacing w:after="0"/>
              <w:rPr>
                <w:sz w:val="15"/>
                <w:szCs w:val="15"/>
                <w:color w:val="auto"/>
              </w:rPr>
            </w:pPr>
          </w:p>
        </w:tc>
        <w:tc>
          <w:tcPr>
            <w:tcW w:w="220" w:type="dxa"/>
            <w:vAlign w:val="bottom"/>
            <w:shd w:val="clear" w:color="auto" w:fill="FDFDFC"/>
          </w:tcPr>
          <w:p>
            <w:pPr>
              <w:spacing w:after="0"/>
              <w:rPr>
                <w:sz w:val="15"/>
                <w:szCs w:val="15"/>
                <w:color w:val="auto"/>
              </w:rPr>
            </w:pPr>
          </w:p>
        </w:tc>
        <w:tc>
          <w:tcPr>
            <w:tcW w:w="140" w:type="dxa"/>
            <w:vAlign w:val="bottom"/>
            <w:shd w:val="clear" w:color="auto" w:fill="FDFDFC"/>
          </w:tcPr>
          <w:p>
            <w:pPr>
              <w:spacing w:after="0"/>
              <w:rPr>
                <w:sz w:val="15"/>
                <w:szCs w:val="15"/>
                <w:color w:val="auto"/>
              </w:rPr>
            </w:pPr>
          </w:p>
        </w:tc>
        <w:tc>
          <w:tcPr>
            <w:tcW w:w="860" w:type="dxa"/>
            <w:vAlign w:val="bottom"/>
            <w:shd w:val="clear" w:color="auto" w:fill="FDFDFC"/>
          </w:tcPr>
          <w:p>
            <w:pPr>
              <w:spacing w:after="0"/>
              <w:rPr>
                <w:sz w:val="15"/>
                <w:szCs w:val="15"/>
                <w:color w:val="auto"/>
              </w:rPr>
            </w:pPr>
          </w:p>
        </w:tc>
        <w:tc>
          <w:tcPr>
            <w:tcW w:w="180" w:type="dxa"/>
            <w:vAlign w:val="bottom"/>
            <w:shd w:val="clear" w:color="auto" w:fill="FDFDFC"/>
          </w:tcPr>
          <w:p>
            <w:pPr>
              <w:spacing w:after="0"/>
              <w:rPr>
                <w:sz w:val="15"/>
                <w:szCs w:val="15"/>
                <w:color w:val="auto"/>
              </w:rPr>
            </w:pPr>
          </w:p>
        </w:tc>
        <w:tc>
          <w:tcPr>
            <w:tcW w:w="80" w:type="dxa"/>
            <w:vAlign w:val="bottom"/>
            <w:shd w:val="clear" w:color="auto" w:fill="FDFDFC"/>
          </w:tcPr>
          <w:p>
            <w:pPr>
              <w:spacing w:after="0"/>
              <w:rPr>
                <w:sz w:val="15"/>
                <w:szCs w:val="15"/>
                <w:color w:val="auto"/>
              </w:rPr>
            </w:pPr>
          </w:p>
        </w:tc>
        <w:tc>
          <w:tcPr>
            <w:tcW w:w="880" w:type="dxa"/>
            <w:vAlign w:val="bottom"/>
            <w:shd w:val="clear" w:color="auto" w:fill="FDFDFC"/>
          </w:tcPr>
          <w:p>
            <w:pPr>
              <w:spacing w:after="0"/>
              <w:rPr>
                <w:sz w:val="15"/>
                <w:szCs w:val="15"/>
                <w:color w:val="auto"/>
              </w:rPr>
            </w:pPr>
          </w:p>
        </w:tc>
        <w:tc>
          <w:tcPr>
            <w:tcW w:w="220" w:type="dxa"/>
            <w:vAlign w:val="bottom"/>
            <w:tcBorders>
              <w:right w:val="single" w:sz="8" w:color="FDFDFC"/>
            </w:tcBorders>
            <w:shd w:val="clear" w:color="auto" w:fill="FDFDFC"/>
          </w:tcPr>
          <w:p>
            <w:pPr>
              <w:spacing w:after="0"/>
              <w:rPr>
                <w:sz w:val="15"/>
                <w:szCs w:val="15"/>
                <w:color w:val="auto"/>
              </w:rPr>
            </w:pPr>
          </w:p>
        </w:tc>
        <w:tc>
          <w:tcPr>
            <w:tcW w:w="880" w:type="dxa"/>
            <w:vAlign w:val="bottom"/>
            <w:shd w:val="clear" w:color="auto" w:fill="FDFDFC"/>
          </w:tcPr>
          <w:p>
            <w:pPr>
              <w:spacing w:after="0"/>
              <w:rPr>
                <w:sz w:val="15"/>
                <w:szCs w:val="15"/>
                <w:color w:val="auto"/>
              </w:rPr>
            </w:pPr>
          </w:p>
        </w:tc>
        <w:tc>
          <w:tcPr>
            <w:tcW w:w="240" w:type="dxa"/>
            <w:vAlign w:val="bottom"/>
            <w:shd w:val="clear" w:color="auto" w:fill="FDFDFC"/>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1420" w:type="dxa"/>
            <w:vAlign w:val="bottom"/>
            <w:shd w:val="clear" w:color="auto" w:fill="FDFDFC"/>
          </w:tcPr>
          <w:p>
            <w:pPr>
              <w:spacing w:after="0"/>
              <w:rPr>
                <w:sz w:val="20"/>
                <w:szCs w:val="20"/>
                <w:color w:val="auto"/>
              </w:rPr>
            </w:pPr>
            <w:r>
              <w:rPr>
                <w:rFonts w:ascii="Times New Roman" w:cs="Times New Roman" w:eastAsia="Times New Roman" w:hAnsi="Times New Roman"/>
                <w:sz w:val="15"/>
                <w:szCs w:val="15"/>
                <w:color w:val="231F20"/>
              </w:rPr>
              <w:t>and MS Market</w:t>
            </w:r>
          </w:p>
        </w:tc>
        <w:tc>
          <w:tcPr>
            <w:tcW w:w="100" w:type="dxa"/>
            <w:vAlign w:val="bottom"/>
            <w:shd w:val="clear" w:color="auto" w:fill="FDFDFC"/>
          </w:tcPr>
          <w:p>
            <w:pPr>
              <w:spacing w:after="0"/>
              <w:rPr>
                <w:sz w:val="15"/>
                <w:szCs w:val="15"/>
                <w:color w:val="auto"/>
              </w:rPr>
            </w:pPr>
          </w:p>
        </w:tc>
        <w:tc>
          <w:tcPr>
            <w:tcW w:w="2340" w:type="dxa"/>
            <w:vAlign w:val="bottom"/>
            <w:shd w:val="clear" w:color="auto" w:fill="FDFDFC"/>
          </w:tcPr>
          <w:p>
            <w:pPr>
              <w:spacing w:after="0"/>
              <w:rPr>
                <w:sz w:val="15"/>
                <w:szCs w:val="15"/>
                <w:color w:val="auto"/>
              </w:rPr>
            </w:pPr>
          </w:p>
        </w:tc>
        <w:tc>
          <w:tcPr>
            <w:tcW w:w="80" w:type="dxa"/>
            <w:vAlign w:val="bottom"/>
            <w:shd w:val="clear" w:color="auto" w:fill="FDFDFC"/>
          </w:tcPr>
          <w:p>
            <w:pPr>
              <w:spacing w:after="0"/>
              <w:rPr>
                <w:sz w:val="15"/>
                <w:szCs w:val="15"/>
                <w:color w:val="auto"/>
              </w:rPr>
            </w:pPr>
          </w:p>
        </w:tc>
        <w:tc>
          <w:tcPr>
            <w:tcW w:w="760" w:type="dxa"/>
            <w:vAlign w:val="bottom"/>
            <w:shd w:val="clear" w:color="auto" w:fill="FDFDFC"/>
          </w:tcPr>
          <w:p>
            <w:pPr>
              <w:spacing w:after="0"/>
              <w:rPr>
                <w:sz w:val="15"/>
                <w:szCs w:val="15"/>
                <w:color w:val="auto"/>
              </w:rPr>
            </w:pPr>
          </w:p>
        </w:tc>
        <w:tc>
          <w:tcPr>
            <w:tcW w:w="100" w:type="dxa"/>
            <w:vAlign w:val="bottom"/>
            <w:shd w:val="clear" w:color="auto" w:fill="FDFDFC"/>
          </w:tcPr>
          <w:p>
            <w:pPr>
              <w:spacing w:after="0"/>
              <w:rPr>
                <w:sz w:val="15"/>
                <w:szCs w:val="15"/>
                <w:color w:val="auto"/>
              </w:rPr>
            </w:pPr>
          </w:p>
        </w:tc>
        <w:tc>
          <w:tcPr>
            <w:tcW w:w="800" w:type="dxa"/>
            <w:vAlign w:val="bottom"/>
            <w:shd w:val="clear" w:color="auto" w:fill="FDFDFC"/>
          </w:tcPr>
          <w:p>
            <w:pPr>
              <w:spacing w:after="0"/>
              <w:rPr>
                <w:sz w:val="15"/>
                <w:szCs w:val="15"/>
                <w:color w:val="auto"/>
              </w:rPr>
            </w:pPr>
          </w:p>
        </w:tc>
        <w:tc>
          <w:tcPr>
            <w:tcW w:w="220" w:type="dxa"/>
            <w:vAlign w:val="bottom"/>
            <w:shd w:val="clear" w:color="auto" w:fill="FDFDFC"/>
          </w:tcPr>
          <w:p>
            <w:pPr>
              <w:spacing w:after="0"/>
              <w:rPr>
                <w:sz w:val="15"/>
                <w:szCs w:val="15"/>
                <w:color w:val="auto"/>
              </w:rPr>
            </w:pPr>
          </w:p>
        </w:tc>
        <w:tc>
          <w:tcPr>
            <w:tcW w:w="760" w:type="dxa"/>
            <w:vAlign w:val="bottom"/>
            <w:shd w:val="clear" w:color="auto" w:fill="FDFDFC"/>
          </w:tcPr>
          <w:p>
            <w:pPr>
              <w:spacing w:after="0"/>
              <w:rPr>
                <w:sz w:val="15"/>
                <w:szCs w:val="15"/>
                <w:color w:val="auto"/>
              </w:rPr>
            </w:pPr>
          </w:p>
        </w:tc>
        <w:tc>
          <w:tcPr>
            <w:tcW w:w="220" w:type="dxa"/>
            <w:vAlign w:val="bottom"/>
            <w:shd w:val="clear" w:color="auto" w:fill="FDFDFC"/>
          </w:tcPr>
          <w:p>
            <w:pPr>
              <w:spacing w:after="0"/>
              <w:rPr>
                <w:sz w:val="15"/>
                <w:szCs w:val="15"/>
                <w:color w:val="auto"/>
              </w:rPr>
            </w:pPr>
          </w:p>
        </w:tc>
        <w:tc>
          <w:tcPr>
            <w:tcW w:w="140" w:type="dxa"/>
            <w:vAlign w:val="bottom"/>
            <w:shd w:val="clear" w:color="auto" w:fill="FDFDFC"/>
          </w:tcPr>
          <w:p>
            <w:pPr>
              <w:spacing w:after="0"/>
              <w:rPr>
                <w:sz w:val="15"/>
                <w:szCs w:val="15"/>
                <w:color w:val="auto"/>
              </w:rPr>
            </w:pPr>
          </w:p>
        </w:tc>
        <w:tc>
          <w:tcPr>
            <w:tcW w:w="860" w:type="dxa"/>
            <w:vAlign w:val="bottom"/>
            <w:shd w:val="clear" w:color="auto" w:fill="FDFDFC"/>
          </w:tcPr>
          <w:p>
            <w:pPr>
              <w:spacing w:after="0"/>
              <w:rPr>
                <w:sz w:val="15"/>
                <w:szCs w:val="15"/>
                <w:color w:val="auto"/>
              </w:rPr>
            </w:pPr>
          </w:p>
        </w:tc>
        <w:tc>
          <w:tcPr>
            <w:tcW w:w="180" w:type="dxa"/>
            <w:vAlign w:val="bottom"/>
            <w:shd w:val="clear" w:color="auto" w:fill="FDFDFC"/>
          </w:tcPr>
          <w:p>
            <w:pPr>
              <w:spacing w:after="0"/>
              <w:rPr>
                <w:sz w:val="15"/>
                <w:szCs w:val="15"/>
                <w:color w:val="auto"/>
              </w:rPr>
            </w:pPr>
          </w:p>
        </w:tc>
        <w:tc>
          <w:tcPr>
            <w:tcW w:w="80" w:type="dxa"/>
            <w:vAlign w:val="bottom"/>
            <w:shd w:val="clear" w:color="auto" w:fill="FDFDFC"/>
          </w:tcPr>
          <w:p>
            <w:pPr>
              <w:spacing w:after="0"/>
              <w:rPr>
                <w:sz w:val="15"/>
                <w:szCs w:val="15"/>
                <w:color w:val="auto"/>
              </w:rPr>
            </w:pPr>
          </w:p>
        </w:tc>
        <w:tc>
          <w:tcPr>
            <w:tcW w:w="880" w:type="dxa"/>
            <w:vAlign w:val="bottom"/>
            <w:shd w:val="clear" w:color="auto" w:fill="FDFDFC"/>
          </w:tcPr>
          <w:p>
            <w:pPr>
              <w:spacing w:after="0"/>
              <w:rPr>
                <w:sz w:val="15"/>
                <w:szCs w:val="15"/>
                <w:color w:val="auto"/>
              </w:rPr>
            </w:pPr>
          </w:p>
        </w:tc>
        <w:tc>
          <w:tcPr>
            <w:tcW w:w="220" w:type="dxa"/>
            <w:vAlign w:val="bottom"/>
            <w:tcBorders>
              <w:right w:val="single" w:sz="8" w:color="FDFDFC"/>
            </w:tcBorders>
            <w:shd w:val="clear" w:color="auto" w:fill="FDFDFC"/>
          </w:tcPr>
          <w:p>
            <w:pPr>
              <w:spacing w:after="0"/>
              <w:rPr>
                <w:sz w:val="15"/>
                <w:szCs w:val="15"/>
                <w:color w:val="auto"/>
              </w:rPr>
            </w:pPr>
          </w:p>
        </w:tc>
        <w:tc>
          <w:tcPr>
            <w:tcW w:w="880" w:type="dxa"/>
            <w:vAlign w:val="bottom"/>
            <w:shd w:val="clear" w:color="auto" w:fill="FDFDFC"/>
          </w:tcPr>
          <w:p>
            <w:pPr>
              <w:spacing w:after="0"/>
              <w:rPr>
                <w:sz w:val="15"/>
                <w:szCs w:val="15"/>
                <w:color w:val="auto"/>
              </w:rPr>
            </w:pPr>
          </w:p>
        </w:tc>
        <w:tc>
          <w:tcPr>
            <w:tcW w:w="240" w:type="dxa"/>
            <w:vAlign w:val="bottom"/>
            <w:shd w:val="clear" w:color="auto" w:fill="FDFDFC"/>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1420" w:type="dxa"/>
            <w:vAlign w:val="bottom"/>
            <w:shd w:val="clear" w:color="auto" w:fill="FDFDFC"/>
          </w:tcPr>
          <w:p>
            <w:pPr>
              <w:spacing w:after="0"/>
              <w:rPr>
                <w:sz w:val="20"/>
                <w:szCs w:val="20"/>
                <w:color w:val="auto"/>
              </w:rPr>
            </w:pPr>
            <w:r>
              <w:rPr>
                <w:rFonts w:ascii="Times New Roman" w:cs="Times New Roman" w:eastAsia="Times New Roman" w:hAnsi="Times New Roman"/>
                <w:sz w:val="15"/>
                <w:szCs w:val="15"/>
                <w:color w:val="231F20"/>
              </w:rPr>
              <w:t xml:space="preserve">Service, LLC </w:t>
            </w:r>
            <w:r>
              <w:rPr>
                <w:rFonts w:ascii="Times New Roman" w:cs="Times New Roman" w:eastAsia="Times New Roman" w:hAnsi="Times New Roman"/>
                <w:sz w:val="9"/>
                <w:szCs w:val="9"/>
                <w:color w:val="231F20"/>
              </w:rPr>
              <w:t>(3)(5)</w:t>
            </w:r>
          </w:p>
        </w:tc>
        <w:tc>
          <w:tcPr>
            <w:tcW w:w="100" w:type="dxa"/>
            <w:vAlign w:val="bottom"/>
            <w:shd w:val="clear" w:color="auto" w:fill="FDFDFC"/>
          </w:tcPr>
          <w:p>
            <w:pPr>
              <w:spacing w:after="0"/>
              <w:rPr>
                <w:sz w:val="16"/>
                <w:szCs w:val="16"/>
                <w:color w:val="auto"/>
              </w:rPr>
            </w:pPr>
          </w:p>
        </w:tc>
        <w:tc>
          <w:tcPr>
            <w:tcW w:w="2340" w:type="dxa"/>
            <w:vAlign w:val="bottom"/>
            <w:shd w:val="clear" w:color="auto" w:fill="FDFDFC"/>
          </w:tcPr>
          <w:p>
            <w:pPr>
              <w:spacing w:after="0"/>
              <w:rPr>
                <w:sz w:val="16"/>
                <w:szCs w:val="16"/>
                <w:color w:val="auto"/>
              </w:rPr>
            </w:pPr>
          </w:p>
        </w:tc>
        <w:tc>
          <w:tcPr>
            <w:tcW w:w="80" w:type="dxa"/>
            <w:vAlign w:val="bottom"/>
            <w:shd w:val="clear" w:color="auto" w:fill="FDFDFC"/>
          </w:tcPr>
          <w:p>
            <w:pPr>
              <w:spacing w:after="0"/>
              <w:rPr>
                <w:sz w:val="16"/>
                <w:szCs w:val="16"/>
                <w:color w:val="auto"/>
              </w:rPr>
            </w:pPr>
          </w:p>
        </w:tc>
        <w:tc>
          <w:tcPr>
            <w:tcW w:w="760" w:type="dxa"/>
            <w:vAlign w:val="bottom"/>
            <w:shd w:val="clear" w:color="auto" w:fill="FDFDFC"/>
          </w:tcPr>
          <w:p>
            <w:pPr>
              <w:spacing w:after="0"/>
              <w:rPr>
                <w:sz w:val="16"/>
                <w:szCs w:val="16"/>
                <w:color w:val="auto"/>
              </w:rPr>
            </w:pPr>
          </w:p>
        </w:tc>
        <w:tc>
          <w:tcPr>
            <w:tcW w:w="100" w:type="dxa"/>
            <w:vAlign w:val="bottom"/>
            <w:shd w:val="clear" w:color="auto" w:fill="FDFDFC"/>
          </w:tcPr>
          <w:p>
            <w:pPr>
              <w:spacing w:after="0"/>
              <w:rPr>
                <w:sz w:val="16"/>
                <w:szCs w:val="16"/>
                <w:color w:val="auto"/>
              </w:rPr>
            </w:pPr>
          </w:p>
        </w:tc>
        <w:tc>
          <w:tcPr>
            <w:tcW w:w="800" w:type="dxa"/>
            <w:vAlign w:val="bottom"/>
            <w:shd w:val="clear" w:color="auto" w:fill="FDFDFC"/>
          </w:tcPr>
          <w:p>
            <w:pPr>
              <w:spacing w:after="0"/>
              <w:rPr>
                <w:sz w:val="16"/>
                <w:szCs w:val="16"/>
                <w:color w:val="auto"/>
              </w:rPr>
            </w:pPr>
          </w:p>
        </w:tc>
        <w:tc>
          <w:tcPr>
            <w:tcW w:w="220" w:type="dxa"/>
            <w:vAlign w:val="bottom"/>
            <w:shd w:val="clear" w:color="auto" w:fill="FDFDFC"/>
          </w:tcPr>
          <w:p>
            <w:pPr>
              <w:spacing w:after="0"/>
              <w:rPr>
                <w:sz w:val="16"/>
                <w:szCs w:val="16"/>
                <w:color w:val="auto"/>
              </w:rPr>
            </w:pPr>
          </w:p>
        </w:tc>
        <w:tc>
          <w:tcPr>
            <w:tcW w:w="760" w:type="dxa"/>
            <w:vAlign w:val="bottom"/>
            <w:shd w:val="clear" w:color="auto" w:fill="FDFDFC"/>
          </w:tcPr>
          <w:p>
            <w:pPr>
              <w:spacing w:after="0"/>
              <w:rPr>
                <w:sz w:val="16"/>
                <w:szCs w:val="16"/>
                <w:color w:val="auto"/>
              </w:rPr>
            </w:pPr>
          </w:p>
        </w:tc>
        <w:tc>
          <w:tcPr>
            <w:tcW w:w="220" w:type="dxa"/>
            <w:vAlign w:val="bottom"/>
            <w:shd w:val="clear" w:color="auto" w:fill="FDFDFC"/>
          </w:tcPr>
          <w:p>
            <w:pPr>
              <w:spacing w:after="0"/>
              <w:rPr>
                <w:sz w:val="16"/>
                <w:szCs w:val="16"/>
                <w:color w:val="auto"/>
              </w:rPr>
            </w:pPr>
          </w:p>
        </w:tc>
        <w:tc>
          <w:tcPr>
            <w:tcW w:w="140" w:type="dxa"/>
            <w:vAlign w:val="bottom"/>
            <w:shd w:val="clear" w:color="auto" w:fill="FDFDFC"/>
          </w:tcPr>
          <w:p>
            <w:pPr>
              <w:spacing w:after="0"/>
              <w:rPr>
                <w:sz w:val="16"/>
                <w:szCs w:val="16"/>
                <w:color w:val="auto"/>
              </w:rPr>
            </w:pPr>
          </w:p>
        </w:tc>
        <w:tc>
          <w:tcPr>
            <w:tcW w:w="860" w:type="dxa"/>
            <w:vAlign w:val="bottom"/>
            <w:shd w:val="clear" w:color="auto" w:fill="FDFDFC"/>
          </w:tcPr>
          <w:p>
            <w:pPr>
              <w:spacing w:after="0"/>
              <w:rPr>
                <w:sz w:val="16"/>
                <w:szCs w:val="16"/>
                <w:color w:val="auto"/>
              </w:rPr>
            </w:pPr>
          </w:p>
        </w:tc>
        <w:tc>
          <w:tcPr>
            <w:tcW w:w="180" w:type="dxa"/>
            <w:vAlign w:val="bottom"/>
            <w:shd w:val="clear" w:color="auto" w:fill="FDFDFC"/>
          </w:tcPr>
          <w:p>
            <w:pPr>
              <w:spacing w:after="0"/>
              <w:rPr>
                <w:sz w:val="16"/>
                <w:szCs w:val="16"/>
                <w:color w:val="auto"/>
              </w:rPr>
            </w:pPr>
          </w:p>
        </w:tc>
        <w:tc>
          <w:tcPr>
            <w:tcW w:w="80" w:type="dxa"/>
            <w:vAlign w:val="bottom"/>
            <w:shd w:val="clear" w:color="auto" w:fill="FDFDFC"/>
          </w:tcPr>
          <w:p>
            <w:pPr>
              <w:spacing w:after="0"/>
              <w:rPr>
                <w:sz w:val="16"/>
                <w:szCs w:val="16"/>
                <w:color w:val="auto"/>
              </w:rPr>
            </w:pPr>
          </w:p>
        </w:tc>
        <w:tc>
          <w:tcPr>
            <w:tcW w:w="880" w:type="dxa"/>
            <w:vAlign w:val="bottom"/>
            <w:shd w:val="clear" w:color="auto" w:fill="FDFDFC"/>
          </w:tcPr>
          <w:p>
            <w:pPr>
              <w:spacing w:after="0"/>
              <w:rPr>
                <w:sz w:val="16"/>
                <w:szCs w:val="16"/>
                <w:color w:val="auto"/>
              </w:rPr>
            </w:pPr>
          </w:p>
        </w:tc>
        <w:tc>
          <w:tcPr>
            <w:tcW w:w="220" w:type="dxa"/>
            <w:vAlign w:val="bottom"/>
            <w:tcBorders>
              <w:right w:val="single" w:sz="8" w:color="FDFDFC"/>
            </w:tcBorders>
            <w:shd w:val="clear" w:color="auto" w:fill="FDFDFC"/>
          </w:tcPr>
          <w:p>
            <w:pPr>
              <w:spacing w:after="0"/>
              <w:rPr>
                <w:sz w:val="16"/>
                <w:szCs w:val="16"/>
                <w:color w:val="auto"/>
              </w:rPr>
            </w:pPr>
          </w:p>
        </w:tc>
        <w:tc>
          <w:tcPr>
            <w:tcW w:w="880" w:type="dxa"/>
            <w:vAlign w:val="bottom"/>
            <w:shd w:val="clear" w:color="auto" w:fill="FDFDFC"/>
          </w:tcPr>
          <w:p>
            <w:pPr>
              <w:spacing w:after="0"/>
              <w:rPr>
                <w:sz w:val="16"/>
                <w:szCs w:val="16"/>
                <w:color w:val="auto"/>
              </w:rPr>
            </w:pPr>
          </w:p>
        </w:tc>
        <w:tc>
          <w:tcPr>
            <w:tcW w:w="240" w:type="dxa"/>
            <w:vAlign w:val="bottom"/>
            <w:shd w:val="clear" w:color="auto" w:fill="FDFDFC"/>
          </w:tcPr>
          <w:p>
            <w:pPr>
              <w:spacing w:after="0"/>
              <w:rPr>
                <w:sz w:val="16"/>
                <w:szCs w:val="16"/>
                <w:color w:val="auto"/>
              </w:rPr>
            </w:pPr>
          </w:p>
        </w:tc>
        <w:tc>
          <w:tcPr>
            <w:tcW w:w="0" w:type="dxa"/>
            <w:vAlign w:val="bottom"/>
          </w:tcPr>
          <w:p>
            <w:pPr>
              <w:spacing w:after="0"/>
              <w:rPr>
                <w:sz w:val="1"/>
                <w:szCs w:val="1"/>
                <w:color w:val="auto"/>
              </w:rPr>
            </w:pPr>
          </w:p>
        </w:tc>
      </w:tr>
      <w:tr>
        <w:trPr>
          <w:trHeight w:val="158"/>
        </w:trPr>
        <w:tc>
          <w:tcPr>
            <w:tcW w:w="1420" w:type="dxa"/>
            <w:vAlign w:val="bottom"/>
            <w:shd w:val="clear" w:color="auto" w:fill="D0EBF2"/>
          </w:tcPr>
          <w:p>
            <w:pPr>
              <w:spacing w:after="0" w:line="159" w:lineRule="exact"/>
              <w:rPr>
                <w:sz w:val="20"/>
                <w:szCs w:val="20"/>
                <w:color w:val="auto"/>
              </w:rPr>
            </w:pPr>
            <w:r>
              <w:rPr>
                <w:rFonts w:ascii="Times New Roman" w:cs="Times New Roman" w:eastAsia="Times New Roman" w:hAnsi="Times New Roman"/>
                <w:sz w:val="15"/>
                <w:szCs w:val="15"/>
                <w:color w:val="231F20"/>
              </w:rPr>
              <w:t>Mitnick Corporate</w:t>
            </w:r>
          </w:p>
        </w:tc>
        <w:tc>
          <w:tcPr>
            <w:tcW w:w="100" w:type="dxa"/>
            <w:vAlign w:val="bottom"/>
            <w:shd w:val="clear" w:color="auto" w:fill="D0EBF2"/>
          </w:tcPr>
          <w:p>
            <w:pPr>
              <w:spacing w:after="0"/>
              <w:rPr>
                <w:sz w:val="13"/>
                <w:szCs w:val="13"/>
                <w:color w:val="auto"/>
              </w:rPr>
            </w:pPr>
          </w:p>
        </w:tc>
        <w:tc>
          <w:tcPr>
            <w:tcW w:w="2340" w:type="dxa"/>
            <w:vAlign w:val="bottom"/>
            <w:shd w:val="clear" w:color="auto" w:fill="D0EBF2"/>
          </w:tcPr>
          <w:p>
            <w:pPr>
              <w:spacing w:after="0" w:line="159" w:lineRule="exact"/>
              <w:rPr>
                <w:sz w:val="20"/>
                <w:szCs w:val="20"/>
                <w:color w:val="auto"/>
              </w:rPr>
            </w:pPr>
            <w:r>
              <w:rPr>
                <w:rFonts w:ascii="Times New Roman" w:cs="Times New Roman" w:eastAsia="Times New Roman" w:hAnsi="Times New Roman"/>
                <w:sz w:val="15"/>
                <w:szCs w:val="15"/>
                <w:color w:val="231F20"/>
              </w:rPr>
              <w:t>First-lien loan ($329 par, due 5/2029)</w:t>
            </w:r>
          </w:p>
        </w:tc>
        <w:tc>
          <w:tcPr>
            <w:tcW w:w="840" w:type="dxa"/>
            <w:vAlign w:val="bottom"/>
            <w:gridSpan w:val="2"/>
            <w:shd w:val="clear" w:color="auto" w:fill="D0EBF2"/>
          </w:tcPr>
          <w:p>
            <w:pPr>
              <w:jc w:val="right"/>
              <w:spacing w:after="0" w:line="159" w:lineRule="exact"/>
              <w:rPr>
                <w:sz w:val="20"/>
                <w:szCs w:val="20"/>
                <w:color w:val="auto"/>
              </w:rPr>
            </w:pPr>
            <w:r>
              <w:rPr>
                <w:rFonts w:ascii="Times New Roman" w:cs="Times New Roman" w:eastAsia="Times New Roman" w:hAnsi="Times New Roman"/>
                <w:sz w:val="15"/>
                <w:szCs w:val="15"/>
                <w:color w:val="231F20"/>
              </w:rPr>
              <w:t>5/2/2022</w:t>
            </w:r>
          </w:p>
        </w:tc>
        <w:tc>
          <w:tcPr>
            <w:tcW w:w="100" w:type="dxa"/>
            <w:vAlign w:val="bottom"/>
            <w:shd w:val="clear" w:color="auto" w:fill="D0EBF2"/>
          </w:tcPr>
          <w:p>
            <w:pPr>
              <w:spacing w:after="0"/>
              <w:rPr>
                <w:sz w:val="13"/>
                <w:szCs w:val="13"/>
                <w:color w:val="auto"/>
              </w:rPr>
            </w:pPr>
          </w:p>
        </w:tc>
        <w:tc>
          <w:tcPr>
            <w:tcW w:w="1020" w:type="dxa"/>
            <w:vAlign w:val="bottom"/>
            <w:gridSpan w:val="2"/>
            <w:shd w:val="clear" w:color="auto" w:fill="D0EBF2"/>
          </w:tcPr>
          <w:p>
            <w:pPr>
              <w:jc w:val="right"/>
              <w:ind w:right="240"/>
              <w:spacing w:after="0" w:line="159" w:lineRule="exact"/>
              <w:rPr>
                <w:sz w:val="20"/>
                <w:szCs w:val="20"/>
                <w:color w:val="auto"/>
              </w:rPr>
            </w:pPr>
            <w:r>
              <w:rPr>
                <w:rFonts w:ascii="Times New Roman" w:cs="Times New Roman" w:eastAsia="Times New Roman" w:hAnsi="Times New Roman"/>
                <w:sz w:val="15"/>
                <w:szCs w:val="15"/>
                <w:color w:val="231F20"/>
              </w:rPr>
              <w:t>SOFR +</w:t>
            </w:r>
          </w:p>
        </w:tc>
        <w:tc>
          <w:tcPr>
            <w:tcW w:w="980" w:type="dxa"/>
            <w:vAlign w:val="bottom"/>
            <w:gridSpan w:val="2"/>
            <w:shd w:val="clear" w:color="auto" w:fill="D0EBF2"/>
          </w:tcPr>
          <w:p>
            <w:pPr>
              <w:jc w:val="right"/>
              <w:ind w:right="100"/>
              <w:spacing w:after="0" w:line="159" w:lineRule="exact"/>
              <w:rPr>
                <w:sz w:val="20"/>
                <w:szCs w:val="20"/>
                <w:color w:val="auto"/>
              </w:rPr>
            </w:pPr>
            <w:r>
              <w:rPr>
                <w:rFonts w:ascii="Times New Roman" w:cs="Times New Roman" w:eastAsia="Times New Roman" w:hAnsi="Times New Roman"/>
                <w:sz w:val="15"/>
                <w:szCs w:val="15"/>
                <w:color w:val="231F20"/>
              </w:rPr>
              <w:t>9.98%</w:t>
            </w:r>
          </w:p>
        </w:tc>
        <w:tc>
          <w:tcPr>
            <w:tcW w:w="140" w:type="dxa"/>
            <w:vAlign w:val="bottom"/>
            <w:shd w:val="clear" w:color="auto" w:fill="D0EBF2"/>
          </w:tcPr>
          <w:p>
            <w:pPr>
              <w:spacing w:after="0"/>
              <w:rPr>
                <w:sz w:val="13"/>
                <w:szCs w:val="13"/>
                <w:color w:val="auto"/>
              </w:rPr>
            </w:pPr>
          </w:p>
        </w:tc>
        <w:tc>
          <w:tcPr>
            <w:tcW w:w="860" w:type="dxa"/>
            <w:vAlign w:val="bottom"/>
            <w:shd w:val="clear" w:color="auto" w:fill="D0EBF2"/>
          </w:tcPr>
          <w:p>
            <w:pPr>
              <w:jc w:val="right"/>
              <w:spacing w:after="0" w:line="159" w:lineRule="exact"/>
              <w:rPr>
                <w:sz w:val="20"/>
                <w:szCs w:val="20"/>
                <w:color w:val="auto"/>
              </w:rPr>
            </w:pPr>
            <w:r>
              <w:rPr>
                <w:rFonts w:ascii="Times New Roman" w:cs="Times New Roman" w:eastAsia="Times New Roman" w:hAnsi="Times New Roman"/>
                <w:sz w:val="15"/>
                <w:szCs w:val="15"/>
                <w:color w:val="231F20"/>
              </w:rPr>
              <w:t>329</w:t>
            </w:r>
          </w:p>
        </w:tc>
        <w:tc>
          <w:tcPr>
            <w:tcW w:w="180" w:type="dxa"/>
            <w:vAlign w:val="bottom"/>
            <w:shd w:val="clear" w:color="auto" w:fill="D0EBF2"/>
          </w:tcPr>
          <w:p>
            <w:pPr>
              <w:spacing w:after="0"/>
              <w:rPr>
                <w:sz w:val="13"/>
                <w:szCs w:val="13"/>
                <w:color w:val="auto"/>
              </w:rPr>
            </w:pPr>
          </w:p>
        </w:tc>
        <w:tc>
          <w:tcPr>
            <w:tcW w:w="80" w:type="dxa"/>
            <w:vAlign w:val="bottom"/>
            <w:shd w:val="clear" w:color="auto" w:fill="D0EBF2"/>
          </w:tcPr>
          <w:p>
            <w:pPr>
              <w:spacing w:after="0"/>
              <w:rPr>
                <w:sz w:val="13"/>
                <w:szCs w:val="13"/>
                <w:color w:val="auto"/>
              </w:rPr>
            </w:pPr>
          </w:p>
        </w:tc>
        <w:tc>
          <w:tcPr>
            <w:tcW w:w="880" w:type="dxa"/>
            <w:vAlign w:val="bottom"/>
            <w:shd w:val="clear" w:color="auto" w:fill="D0EBF2"/>
          </w:tcPr>
          <w:p>
            <w:pPr>
              <w:jc w:val="right"/>
              <w:spacing w:after="0" w:line="159" w:lineRule="exact"/>
              <w:rPr>
                <w:sz w:val="20"/>
                <w:szCs w:val="20"/>
                <w:color w:val="auto"/>
              </w:rPr>
            </w:pPr>
            <w:r>
              <w:rPr>
                <w:rFonts w:ascii="Times New Roman" w:cs="Times New Roman" w:eastAsia="Times New Roman" w:hAnsi="Times New Roman"/>
                <w:sz w:val="15"/>
                <w:szCs w:val="15"/>
                <w:color w:val="231F20"/>
              </w:rPr>
              <w:t>310</w:t>
            </w:r>
          </w:p>
        </w:tc>
        <w:tc>
          <w:tcPr>
            <w:tcW w:w="1340" w:type="dxa"/>
            <w:vAlign w:val="bottom"/>
            <w:gridSpan w:val="3"/>
            <w:shd w:val="clear" w:color="auto" w:fill="D0EBF2"/>
          </w:tcPr>
          <w:p>
            <w:pPr>
              <w:jc w:val="right"/>
              <w:ind w:right="120"/>
              <w:spacing w:after="0" w:line="159" w:lineRule="exact"/>
              <w:rPr>
                <w:sz w:val="20"/>
                <w:szCs w:val="20"/>
                <w:color w:val="auto"/>
              </w:rPr>
            </w:pPr>
            <w:r>
              <w:rPr>
                <w:rFonts w:ascii="Times New Roman" w:cs="Times New Roman" w:eastAsia="Times New Roman" w:hAnsi="Times New Roman"/>
                <w:sz w:val="15"/>
                <w:szCs w:val="15"/>
                <w:color w:val="231F20"/>
              </w:rPr>
              <w:t>0.0%</w:t>
            </w:r>
          </w:p>
        </w:tc>
        <w:tc>
          <w:tcPr>
            <w:tcW w:w="0" w:type="dxa"/>
            <w:vAlign w:val="bottom"/>
          </w:tcPr>
          <w:p>
            <w:pPr>
              <w:spacing w:after="0"/>
              <w:rPr>
                <w:sz w:val="1"/>
                <w:szCs w:val="1"/>
                <w:color w:val="auto"/>
              </w:rPr>
            </w:pPr>
          </w:p>
        </w:tc>
      </w:tr>
      <w:tr>
        <w:trPr>
          <w:trHeight w:val="189"/>
        </w:trPr>
        <w:tc>
          <w:tcPr>
            <w:tcW w:w="1420" w:type="dxa"/>
            <w:vAlign w:val="bottom"/>
            <w:shd w:val="clear" w:color="auto" w:fill="D0EBF2"/>
          </w:tcPr>
          <w:p>
            <w:pPr>
              <w:spacing w:after="0"/>
              <w:rPr>
                <w:sz w:val="20"/>
                <w:szCs w:val="20"/>
                <w:color w:val="auto"/>
              </w:rPr>
            </w:pPr>
            <w:r>
              <w:rPr>
                <w:rFonts w:ascii="Times New Roman" w:cs="Times New Roman" w:eastAsia="Times New Roman" w:hAnsi="Times New Roman"/>
                <w:sz w:val="15"/>
                <w:szCs w:val="15"/>
                <w:color w:val="231F20"/>
              </w:rPr>
              <w:t xml:space="preserve">Purchaser, Inc. </w:t>
            </w:r>
            <w:r>
              <w:rPr>
                <w:rFonts w:ascii="Times New Roman" w:cs="Times New Roman" w:eastAsia="Times New Roman" w:hAnsi="Times New Roman"/>
                <w:sz w:val="9"/>
                <w:szCs w:val="9"/>
                <w:color w:val="231F20"/>
              </w:rPr>
              <w:t>(3)(9)</w:t>
            </w:r>
          </w:p>
        </w:tc>
        <w:tc>
          <w:tcPr>
            <w:tcW w:w="100" w:type="dxa"/>
            <w:vAlign w:val="bottom"/>
            <w:shd w:val="clear" w:color="auto" w:fill="D0EBF2"/>
          </w:tcPr>
          <w:p>
            <w:pPr>
              <w:spacing w:after="0"/>
              <w:rPr>
                <w:sz w:val="16"/>
                <w:szCs w:val="16"/>
                <w:color w:val="auto"/>
              </w:rPr>
            </w:pPr>
          </w:p>
        </w:tc>
        <w:tc>
          <w:tcPr>
            <w:tcW w:w="2340" w:type="dxa"/>
            <w:vAlign w:val="bottom"/>
            <w:shd w:val="clear" w:color="auto" w:fill="D0EBF2"/>
          </w:tcPr>
          <w:p>
            <w:pPr>
              <w:spacing w:after="0"/>
              <w:rPr>
                <w:sz w:val="16"/>
                <w:szCs w:val="16"/>
                <w:color w:val="auto"/>
              </w:rPr>
            </w:pPr>
          </w:p>
        </w:tc>
        <w:tc>
          <w:tcPr>
            <w:tcW w:w="80" w:type="dxa"/>
            <w:vAlign w:val="bottom"/>
            <w:shd w:val="clear" w:color="auto" w:fill="D0EBF2"/>
          </w:tcPr>
          <w:p>
            <w:pPr>
              <w:spacing w:after="0"/>
              <w:rPr>
                <w:sz w:val="16"/>
                <w:szCs w:val="16"/>
                <w:color w:val="auto"/>
              </w:rPr>
            </w:pPr>
          </w:p>
        </w:tc>
        <w:tc>
          <w:tcPr>
            <w:tcW w:w="760" w:type="dxa"/>
            <w:vAlign w:val="bottom"/>
            <w:shd w:val="clear" w:color="auto" w:fill="D0EBF2"/>
          </w:tcPr>
          <w:p>
            <w:pPr>
              <w:spacing w:after="0"/>
              <w:rPr>
                <w:sz w:val="16"/>
                <w:szCs w:val="16"/>
                <w:color w:val="auto"/>
              </w:rPr>
            </w:pPr>
          </w:p>
        </w:tc>
        <w:tc>
          <w:tcPr>
            <w:tcW w:w="900" w:type="dxa"/>
            <w:vAlign w:val="bottom"/>
            <w:gridSpan w:val="2"/>
            <w:shd w:val="clear" w:color="auto" w:fill="D0EBF2"/>
          </w:tcPr>
          <w:p>
            <w:pPr>
              <w:jc w:val="right"/>
              <w:spacing w:after="0"/>
              <w:rPr>
                <w:sz w:val="20"/>
                <w:szCs w:val="20"/>
                <w:color w:val="auto"/>
              </w:rPr>
            </w:pPr>
            <w:r>
              <w:rPr>
                <w:rFonts w:ascii="Times New Roman" w:cs="Times New Roman" w:eastAsia="Times New Roman" w:hAnsi="Times New Roman"/>
                <w:sz w:val="15"/>
                <w:szCs w:val="15"/>
                <w:color w:val="231F20"/>
              </w:rPr>
              <w:t>4.50%</w:t>
            </w:r>
          </w:p>
        </w:tc>
        <w:tc>
          <w:tcPr>
            <w:tcW w:w="220" w:type="dxa"/>
            <w:vAlign w:val="bottom"/>
            <w:shd w:val="clear" w:color="auto" w:fill="D0EBF2"/>
          </w:tcPr>
          <w:p>
            <w:pPr>
              <w:spacing w:after="0"/>
              <w:rPr>
                <w:sz w:val="16"/>
                <w:szCs w:val="16"/>
                <w:color w:val="auto"/>
              </w:rPr>
            </w:pPr>
          </w:p>
        </w:tc>
        <w:tc>
          <w:tcPr>
            <w:tcW w:w="760" w:type="dxa"/>
            <w:vAlign w:val="bottom"/>
            <w:shd w:val="clear" w:color="auto" w:fill="D0EBF2"/>
          </w:tcPr>
          <w:p>
            <w:pPr>
              <w:spacing w:after="0"/>
              <w:rPr>
                <w:sz w:val="16"/>
                <w:szCs w:val="16"/>
                <w:color w:val="auto"/>
              </w:rPr>
            </w:pPr>
          </w:p>
        </w:tc>
        <w:tc>
          <w:tcPr>
            <w:tcW w:w="220" w:type="dxa"/>
            <w:vAlign w:val="bottom"/>
            <w:shd w:val="clear" w:color="auto" w:fill="D0EBF2"/>
          </w:tcPr>
          <w:p>
            <w:pPr>
              <w:spacing w:after="0"/>
              <w:rPr>
                <w:sz w:val="16"/>
                <w:szCs w:val="16"/>
                <w:color w:val="auto"/>
              </w:rPr>
            </w:pPr>
          </w:p>
        </w:tc>
        <w:tc>
          <w:tcPr>
            <w:tcW w:w="140" w:type="dxa"/>
            <w:vAlign w:val="bottom"/>
            <w:shd w:val="clear" w:color="auto" w:fill="D0EBF2"/>
          </w:tcPr>
          <w:p>
            <w:pPr>
              <w:spacing w:after="0"/>
              <w:rPr>
                <w:sz w:val="16"/>
                <w:szCs w:val="16"/>
                <w:color w:val="auto"/>
              </w:rPr>
            </w:pPr>
          </w:p>
        </w:tc>
        <w:tc>
          <w:tcPr>
            <w:tcW w:w="860" w:type="dxa"/>
            <w:vAlign w:val="bottom"/>
            <w:shd w:val="clear" w:color="auto" w:fill="D0EBF2"/>
          </w:tcPr>
          <w:p>
            <w:pPr>
              <w:spacing w:after="0"/>
              <w:rPr>
                <w:sz w:val="16"/>
                <w:szCs w:val="16"/>
                <w:color w:val="auto"/>
              </w:rPr>
            </w:pPr>
          </w:p>
        </w:tc>
        <w:tc>
          <w:tcPr>
            <w:tcW w:w="180" w:type="dxa"/>
            <w:vAlign w:val="bottom"/>
            <w:shd w:val="clear" w:color="auto" w:fill="D0EBF2"/>
          </w:tcPr>
          <w:p>
            <w:pPr>
              <w:spacing w:after="0"/>
              <w:rPr>
                <w:sz w:val="16"/>
                <w:szCs w:val="16"/>
                <w:color w:val="auto"/>
              </w:rPr>
            </w:pPr>
          </w:p>
        </w:tc>
        <w:tc>
          <w:tcPr>
            <w:tcW w:w="80" w:type="dxa"/>
            <w:vAlign w:val="bottom"/>
            <w:shd w:val="clear" w:color="auto" w:fill="D0EBF2"/>
          </w:tcPr>
          <w:p>
            <w:pPr>
              <w:spacing w:after="0"/>
              <w:rPr>
                <w:sz w:val="16"/>
                <w:szCs w:val="16"/>
                <w:color w:val="auto"/>
              </w:rPr>
            </w:pPr>
          </w:p>
        </w:tc>
        <w:tc>
          <w:tcPr>
            <w:tcW w:w="880" w:type="dxa"/>
            <w:vAlign w:val="bottom"/>
            <w:shd w:val="clear" w:color="auto" w:fill="D0EBF2"/>
          </w:tcPr>
          <w:p>
            <w:pPr>
              <w:spacing w:after="0"/>
              <w:rPr>
                <w:sz w:val="16"/>
                <w:szCs w:val="16"/>
                <w:color w:val="auto"/>
              </w:rPr>
            </w:pPr>
          </w:p>
        </w:tc>
        <w:tc>
          <w:tcPr>
            <w:tcW w:w="220" w:type="dxa"/>
            <w:vAlign w:val="bottom"/>
            <w:tcBorders>
              <w:right w:val="single" w:sz="8" w:color="D0EBF2"/>
            </w:tcBorders>
            <w:shd w:val="clear" w:color="auto" w:fill="D0EBF2"/>
          </w:tcPr>
          <w:p>
            <w:pPr>
              <w:spacing w:after="0"/>
              <w:rPr>
                <w:sz w:val="16"/>
                <w:szCs w:val="16"/>
                <w:color w:val="auto"/>
              </w:rPr>
            </w:pPr>
          </w:p>
        </w:tc>
        <w:tc>
          <w:tcPr>
            <w:tcW w:w="880" w:type="dxa"/>
            <w:vAlign w:val="bottom"/>
            <w:shd w:val="clear" w:color="auto" w:fill="D0EBF2"/>
          </w:tcPr>
          <w:p>
            <w:pPr>
              <w:spacing w:after="0"/>
              <w:rPr>
                <w:sz w:val="16"/>
                <w:szCs w:val="16"/>
                <w:color w:val="auto"/>
              </w:rPr>
            </w:pPr>
          </w:p>
        </w:tc>
        <w:tc>
          <w:tcPr>
            <w:tcW w:w="240" w:type="dxa"/>
            <w:vAlign w:val="bottom"/>
            <w:shd w:val="clear" w:color="auto" w:fill="D0EBF2"/>
          </w:tcPr>
          <w:p>
            <w:pPr>
              <w:spacing w:after="0"/>
              <w:rPr>
                <w:sz w:val="16"/>
                <w:szCs w:val="16"/>
                <w:color w:val="auto"/>
              </w:rPr>
            </w:pPr>
          </w:p>
        </w:tc>
        <w:tc>
          <w:tcPr>
            <w:tcW w:w="0" w:type="dxa"/>
            <w:vAlign w:val="bottom"/>
          </w:tcPr>
          <w:p>
            <w:pPr>
              <w:spacing w:after="0"/>
              <w:rPr>
                <w:sz w:val="1"/>
                <w:szCs w:val="1"/>
                <w:color w:val="auto"/>
              </w:rPr>
            </w:pPr>
          </w:p>
        </w:tc>
      </w:tr>
      <w:tr>
        <w:trPr>
          <w:trHeight w:val="158"/>
        </w:trPr>
        <w:tc>
          <w:tcPr>
            <w:tcW w:w="1420" w:type="dxa"/>
            <w:vAlign w:val="bottom"/>
            <w:shd w:val="clear" w:color="auto" w:fill="FDFDFC"/>
          </w:tcPr>
          <w:p>
            <w:pPr>
              <w:spacing w:after="0" w:line="159" w:lineRule="exact"/>
              <w:rPr>
                <w:sz w:val="20"/>
                <w:szCs w:val="20"/>
                <w:color w:val="auto"/>
              </w:rPr>
            </w:pPr>
            <w:r>
              <w:rPr>
                <w:rFonts w:ascii="Times New Roman" w:cs="Times New Roman" w:eastAsia="Times New Roman" w:hAnsi="Times New Roman"/>
                <w:sz w:val="15"/>
                <w:szCs w:val="15"/>
                <w:color w:val="231F20"/>
              </w:rPr>
              <w:t xml:space="preserve">Netwrix Corp. </w:t>
            </w:r>
            <w:r>
              <w:rPr>
                <w:rFonts w:ascii="Times New Roman" w:cs="Times New Roman" w:eastAsia="Times New Roman" w:hAnsi="Times New Roman"/>
                <w:sz w:val="9"/>
                <w:szCs w:val="9"/>
                <w:color w:val="231F20"/>
              </w:rPr>
              <w:t>(3)</w:t>
            </w:r>
          </w:p>
        </w:tc>
        <w:tc>
          <w:tcPr>
            <w:tcW w:w="100" w:type="dxa"/>
            <w:vAlign w:val="bottom"/>
            <w:shd w:val="clear" w:color="auto" w:fill="FDFDFC"/>
          </w:tcPr>
          <w:p>
            <w:pPr>
              <w:spacing w:after="0"/>
              <w:rPr>
                <w:sz w:val="13"/>
                <w:szCs w:val="13"/>
                <w:color w:val="auto"/>
              </w:rPr>
            </w:pPr>
          </w:p>
        </w:tc>
        <w:tc>
          <w:tcPr>
            <w:tcW w:w="2340" w:type="dxa"/>
            <w:vAlign w:val="bottom"/>
            <w:shd w:val="clear" w:color="auto" w:fill="FDFDFC"/>
          </w:tcPr>
          <w:p>
            <w:pPr>
              <w:spacing w:after="0" w:line="159" w:lineRule="exact"/>
              <w:rPr>
                <w:sz w:val="20"/>
                <w:szCs w:val="20"/>
                <w:color w:val="auto"/>
              </w:rPr>
            </w:pPr>
            <w:r>
              <w:rPr>
                <w:rFonts w:ascii="Times New Roman" w:cs="Times New Roman" w:eastAsia="Times New Roman" w:hAnsi="Times New Roman"/>
                <w:sz w:val="15"/>
                <w:szCs w:val="15"/>
                <w:color w:val="231F20"/>
              </w:rPr>
              <w:t>First-lien loan ($36,594 par, due</w:t>
            </w:r>
          </w:p>
        </w:tc>
        <w:tc>
          <w:tcPr>
            <w:tcW w:w="840" w:type="dxa"/>
            <w:vAlign w:val="bottom"/>
            <w:gridSpan w:val="2"/>
            <w:shd w:val="clear" w:color="auto" w:fill="FDFDFC"/>
          </w:tcPr>
          <w:p>
            <w:pPr>
              <w:jc w:val="right"/>
              <w:spacing w:after="0" w:line="159" w:lineRule="exact"/>
              <w:rPr>
                <w:sz w:val="20"/>
                <w:szCs w:val="20"/>
                <w:color w:val="auto"/>
              </w:rPr>
            </w:pPr>
            <w:r>
              <w:rPr>
                <w:rFonts w:ascii="Times New Roman" w:cs="Times New Roman" w:eastAsia="Times New Roman" w:hAnsi="Times New Roman"/>
                <w:sz w:val="15"/>
                <w:szCs w:val="15"/>
                <w:color w:val="231F20"/>
              </w:rPr>
              <w:t>6/9/2022</w:t>
            </w:r>
          </w:p>
        </w:tc>
        <w:tc>
          <w:tcPr>
            <w:tcW w:w="100" w:type="dxa"/>
            <w:vAlign w:val="bottom"/>
            <w:shd w:val="clear" w:color="auto" w:fill="FDFDFC"/>
          </w:tcPr>
          <w:p>
            <w:pPr>
              <w:spacing w:after="0"/>
              <w:rPr>
                <w:sz w:val="13"/>
                <w:szCs w:val="13"/>
                <w:color w:val="auto"/>
              </w:rPr>
            </w:pPr>
          </w:p>
        </w:tc>
        <w:tc>
          <w:tcPr>
            <w:tcW w:w="1020" w:type="dxa"/>
            <w:vAlign w:val="bottom"/>
            <w:gridSpan w:val="2"/>
            <w:shd w:val="clear" w:color="auto" w:fill="FDFDFC"/>
          </w:tcPr>
          <w:p>
            <w:pPr>
              <w:jc w:val="right"/>
              <w:ind w:right="240"/>
              <w:spacing w:after="0" w:line="159" w:lineRule="exact"/>
              <w:rPr>
                <w:sz w:val="20"/>
                <w:szCs w:val="20"/>
                <w:color w:val="auto"/>
              </w:rPr>
            </w:pPr>
            <w:r>
              <w:rPr>
                <w:rFonts w:ascii="Times New Roman" w:cs="Times New Roman" w:eastAsia="Times New Roman" w:hAnsi="Times New Roman"/>
                <w:sz w:val="15"/>
                <w:szCs w:val="15"/>
                <w:color w:val="231F20"/>
              </w:rPr>
              <w:t>SOFR +</w:t>
            </w:r>
          </w:p>
        </w:tc>
        <w:tc>
          <w:tcPr>
            <w:tcW w:w="980" w:type="dxa"/>
            <w:vAlign w:val="bottom"/>
            <w:gridSpan w:val="2"/>
            <w:shd w:val="clear" w:color="auto" w:fill="FDFDFC"/>
          </w:tcPr>
          <w:p>
            <w:pPr>
              <w:jc w:val="right"/>
              <w:ind w:right="100"/>
              <w:spacing w:after="0" w:line="159" w:lineRule="exact"/>
              <w:rPr>
                <w:sz w:val="20"/>
                <w:szCs w:val="20"/>
                <w:color w:val="auto"/>
              </w:rPr>
            </w:pPr>
            <w:r>
              <w:rPr>
                <w:rFonts w:ascii="Times New Roman" w:cs="Times New Roman" w:eastAsia="Times New Roman" w:hAnsi="Times New Roman"/>
                <w:sz w:val="15"/>
                <w:szCs w:val="15"/>
                <w:color w:val="231F20"/>
              </w:rPr>
              <w:t>10.39%</w:t>
            </w:r>
          </w:p>
        </w:tc>
        <w:tc>
          <w:tcPr>
            <w:tcW w:w="140" w:type="dxa"/>
            <w:vAlign w:val="bottom"/>
            <w:shd w:val="clear" w:color="auto" w:fill="FDFDFC"/>
          </w:tcPr>
          <w:p>
            <w:pPr>
              <w:spacing w:after="0"/>
              <w:rPr>
                <w:sz w:val="13"/>
                <w:szCs w:val="13"/>
                <w:color w:val="auto"/>
              </w:rPr>
            </w:pPr>
          </w:p>
        </w:tc>
        <w:tc>
          <w:tcPr>
            <w:tcW w:w="860" w:type="dxa"/>
            <w:vAlign w:val="bottom"/>
            <w:shd w:val="clear" w:color="auto" w:fill="FDFDFC"/>
          </w:tcPr>
          <w:p>
            <w:pPr>
              <w:jc w:val="right"/>
              <w:spacing w:after="0" w:line="159" w:lineRule="exact"/>
              <w:rPr>
                <w:sz w:val="20"/>
                <w:szCs w:val="20"/>
                <w:color w:val="auto"/>
              </w:rPr>
            </w:pPr>
            <w:r>
              <w:rPr>
                <w:rFonts w:ascii="Times New Roman" w:cs="Times New Roman" w:eastAsia="Times New Roman" w:hAnsi="Times New Roman"/>
                <w:sz w:val="15"/>
                <w:szCs w:val="15"/>
                <w:color w:val="231F20"/>
              </w:rPr>
              <w:t>36,074</w:t>
            </w:r>
          </w:p>
        </w:tc>
        <w:tc>
          <w:tcPr>
            <w:tcW w:w="180" w:type="dxa"/>
            <w:vAlign w:val="bottom"/>
            <w:shd w:val="clear" w:color="auto" w:fill="FDFDFC"/>
          </w:tcPr>
          <w:p>
            <w:pPr>
              <w:spacing w:after="0"/>
              <w:rPr>
                <w:sz w:val="13"/>
                <w:szCs w:val="13"/>
                <w:color w:val="auto"/>
              </w:rPr>
            </w:pPr>
          </w:p>
        </w:tc>
        <w:tc>
          <w:tcPr>
            <w:tcW w:w="80" w:type="dxa"/>
            <w:vAlign w:val="bottom"/>
            <w:shd w:val="clear" w:color="auto" w:fill="FDFDFC"/>
          </w:tcPr>
          <w:p>
            <w:pPr>
              <w:spacing w:after="0"/>
              <w:rPr>
                <w:sz w:val="13"/>
                <w:szCs w:val="13"/>
                <w:color w:val="auto"/>
              </w:rPr>
            </w:pPr>
          </w:p>
        </w:tc>
        <w:tc>
          <w:tcPr>
            <w:tcW w:w="880" w:type="dxa"/>
            <w:vAlign w:val="bottom"/>
            <w:shd w:val="clear" w:color="auto" w:fill="FDFDFC"/>
          </w:tcPr>
          <w:p>
            <w:pPr>
              <w:jc w:val="right"/>
              <w:spacing w:after="0" w:line="159" w:lineRule="exact"/>
              <w:rPr>
                <w:sz w:val="20"/>
                <w:szCs w:val="20"/>
                <w:color w:val="auto"/>
              </w:rPr>
            </w:pPr>
            <w:r>
              <w:rPr>
                <w:rFonts w:ascii="Times New Roman" w:cs="Times New Roman" w:eastAsia="Times New Roman" w:hAnsi="Times New Roman"/>
                <w:sz w:val="15"/>
                <w:szCs w:val="15"/>
                <w:color w:val="231F20"/>
              </w:rPr>
              <w:t>36,842</w:t>
            </w:r>
          </w:p>
        </w:tc>
        <w:tc>
          <w:tcPr>
            <w:tcW w:w="1340" w:type="dxa"/>
            <w:vAlign w:val="bottom"/>
            <w:gridSpan w:val="3"/>
            <w:shd w:val="clear" w:color="auto" w:fill="FDFDFC"/>
          </w:tcPr>
          <w:p>
            <w:pPr>
              <w:jc w:val="right"/>
              <w:ind w:right="120"/>
              <w:spacing w:after="0" w:line="159" w:lineRule="exact"/>
              <w:rPr>
                <w:sz w:val="20"/>
                <w:szCs w:val="20"/>
                <w:color w:val="auto"/>
              </w:rPr>
            </w:pPr>
            <w:r>
              <w:rPr>
                <w:rFonts w:ascii="Times New Roman" w:cs="Times New Roman" w:eastAsia="Times New Roman" w:hAnsi="Times New Roman"/>
                <w:sz w:val="15"/>
                <w:szCs w:val="15"/>
                <w:color w:val="231F20"/>
              </w:rPr>
              <w:t>2.4%</w:t>
            </w:r>
          </w:p>
        </w:tc>
        <w:tc>
          <w:tcPr>
            <w:tcW w:w="0" w:type="dxa"/>
            <w:vAlign w:val="bottom"/>
          </w:tcPr>
          <w:p>
            <w:pPr>
              <w:spacing w:after="0"/>
              <w:rPr>
                <w:sz w:val="1"/>
                <w:szCs w:val="1"/>
                <w:color w:val="auto"/>
              </w:rPr>
            </w:pPr>
          </w:p>
        </w:tc>
      </w:tr>
      <w:tr>
        <w:trPr>
          <w:trHeight w:val="189"/>
        </w:trPr>
        <w:tc>
          <w:tcPr>
            <w:tcW w:w="1420" w:type="dxa"/>
            <w:vAlign w:val="bottom"/>
            <w:shd w:val="clear" w:color="auto" w:fill="FDFDFC"/>
          </w:tcPr>
          <w:p>
            <w:pPr>
              <w:spacing w:after="0"/>
              <w:rPr>
                <w:sz w:val="16"/>
                <w:szCs w:val="16"/>
                <w:color w:val="auto"/>
              </w:rPr>
            </w:pPr>
          </w:p>
        </w:tc>
        <w:tc>
          <w:tcPr>
            <w:tcW w:w="2440" w:type="dxa"/>
            <w:vAlign w:val="bottom"/>
            <w:gridSpan w:val="2"/>
            <w:shd w:val="clear" w:color="auto" w:fill="FDFDFC"/>
          </w:tcPr>
          <w:p>
            <w:pPr>
              <w:ind w:left="100"/>
              <w:spacing w:after="0"/>
              <w:rPr>
                <w:sz w:val="20"/>
                <w:szCs w:val="20"/>
                <w:color w:val="auto"/>
              </w:rPr>
            </w:pPr>
            <w:r>
              <w:rPr>
                <w:rFonts w:ascii="Times New Roman" w:cs="Times New Roman" w:eastAsia="Times New Roman" w:hAnsi="Times New Roman"/>
                <w:sz w:val="15"/>
                <w:szCs w:val="15"/>
                <w:color w:val="231F20"/>
              </w:rPr>
              <w:t>6/2029)</w:t>
            </w:r>
          </w:p>
        </w:tc>
        <w:tc>
          <w:tcPr>
            <w:tcW w:w="80" w:type="dxa"/>
            <w:vAlign w:val="bottom"/>
            <w:shd w:val="clear" w:color="auto" w:fill="FDFDFC"/>
          </w:tcPr>
          <w:p>
            <w:pPr>
              <w:spacing w:after="0"/>
              <w:rPr>
                <w:sz w:val="16"/>
                <w:szCs w:val="16"/>
                <w:color w:val="auto"/>
              </w:rPr>
            </w:pPr>
          </w:p>
        </w:tc>
        <w:tc>
          <w:tcPr>
            <w:tcW w:w="760" w:type="dxa"/>
            <w:vAlign w:val="bottom"/>
            <w:shd w:val="clear" w:color="auto" w:fill="FDFDFC"/>
          </w:tcPr>
          <w:p>
            <w:pPr>
              <w:spacing w:after="0"/>
              <w:rPr>
                <w:sz w:val="16"/>
                <w:szCs w:val="16"/>
                <w:color w:val="auto"/>
              </w:rPr>
            </w:pPr>
          </w:p>
        </w:tc>
        <w:tc>
          <w:tcPr>
            <w:tcW w:w="900" w:type="dxa"/>
            <w:vAlign w:val="bottom"/>
            <w:gridSpan w:val="2"/>
            <w:shd w:val="clear" w:color="auto" w:fill="FDFDFC"/>
          </w:tcPr>
          <w:p>
            <w:pPr>
              <w:jc w:val="right"/>
              <w:spacing w:after="0"/>
              <w:rPr>
                <w:sz w:val="20"/>
                <w:szCs w:val="20"/>
                <w:color w:val="auto"/>
              </w:rPr>
            </w:pPr>
            <w:r>
              <w:rPr>
                <w:rFonts w:ascii="Times New Roman" w:cs="Times New Roman" w:eastAsia="Times New Roman" w:hAnsi="Times New Roman"/>
                <w:sz w:val="15"/>
                <w:szCs w:val="15"/>
                <w:color w:val="231F20"/>
              </w:rPr>
              <w:t>5.00%</w:t>
            </w:r>
          </w:p>
        </w:tc>
        <w:tc>
          <w:tcPr>
            <w:tcW w:w="220" w:type="dxa"/>
            <w:vAlign w:val="bottom"/>
            <w:shd w:val="clear" w:color="auto" w:fill="FDFDFC"/>
          </w:tcPr>
          <w:p>
            <w:pPr>
              <w:spacing w:after="0"/>
              <w:rPr>
                <w:sz w:val="16"/>
                <w:szCs w:val="16"/>
                <w:color w:val="auto"/>
              </w:rPr>
            </w:pPr>
          </w:p>
        </w:tc>
        <w:tc>
          <w:tcPr>
            <w:tcW w:w="760" w:type="dxa"/>
            <w:vAlign w:val="bottom"/>
            <w:shd w:val="clear" w:color="auto" w:fill="FDFDFC"/>
          </w:tcPr>
          <w:p>
            <w:pPr>
              <w:spacing w:after="0"/>
              <w:rPr>
                <w:sz w:val="16"/>
                <w:szCs w:val="16"/>
                <w:color w:val="auto"/>
              </w:rPr>
            </w:pPr>
          </w:p>
        </w:tc>
        <w:tc>
          <w:tcPr>
            <w:tcW w:w="220" w:type="dxa"/>
            <w:vAlign w:val="bottom"/>
            <w:shd w:val="clear" w:color="auto" w:fill="FDFDFC"/>
          </w:tcPr>
          <w:p>
            <w:pPr>
              <w:spacing w:after="0"/>
              <w:rPr>
                <w:sz w:val="16"/>
                <w:szCs w:val="16"/>
                <w:color w:val="auto"/>
              </w:rPr>
            </w:pPr>
          </w:p>
        </w:tc>
        <w:tc>
          <w:tcPr>
            <w:tcW w:w="140" w:type="dxa"/>
            <w:vAlign w:val="bottom"/>
            <w:shd w:val="clear" w:color="auto" w:fill="FDFDFC"/>
          </w:tcPr>
          <w:p>
            <w:pPr>
              <w:spacing w:after="0"/>
              <w:rPr>
                <w:sz w:val="16"/>
                <w:szCs w:val="16"/>
                <w:color w:val="auto"/>
              </w:rPr>
            </w:pPr>
          </w:p>
        </w:tc>
        <w:tc>
          <w:tcPr>
            <w:tcW w:w="860" w:type="dxa"/>
            <w:vAlign w:val="bottom"/>
            <w:shd w:val="clear" w:color="auto" w:fill="FDFDFC"/>
          </w:tcPr>
          <w:p>
            <w:pPr>
              <w:spacing w:after="0"/>
              <w:rPr>
                <w:sz w:val="16"/>
                <w:szCs w:val="16"/>
                <w:color w:val="auto"/>
              </w:rPr>
            </w:pPr>
          </w:p>
        </w:tc>
        <w:tc>
          <w:tcPr>
            <w:tcW w:w="180" w:type="dxa"/>
            <w:vAlign w:val="bottom"/>
            <w:shd w:val="clear" w:color="auto" w:fill="FDFDFC"/>
          </w:tcPr>
          <w:p>
            <w:pPr>
              <w:spacing w:after="0"/>
              <w:rPr>
                <w:sz w:val="16"/>
                <w:szCs w:val="16"/>
                <w:color w:val="auto"/>
              </w:rPr>
            </w:pPr>
          </w:p>
        </w:tc>
        <w:tc>
          <w:tcPr>
            <w:tcW w:w="80" w:type="dxa"/>
            <w:vAlign w:val="bottom"/>
            <w:shd w:val="clear" w:color="auto" w:fill="FDFDFC"/>
          </w:tcPr>
          <w:p>
            <w:pPr>
              <w:spacing w:after="0"/>
              <w:rPr>
                <w:sz w:val="16"/>
                <w:szCs w:val="16"/>
                <w:color w:val="auto"/>
              </w:rPr>
            </w:pPr>
          </w:p>
        </w:tc>
        <w:tc>
          <w:tcPr>
            <w:tcW w:w="880" w:type="dxa"/>
            <w:vAlign w:val="bottom"/>
            <w:shd w:val="clear" w:color="auto" w:fill="FDFDFC"/>
          </w:tcPr>
          <w:p>
            <w:pPr>
              <w:spacing w:after="0"/>
              <w:rPr>
                <w:sz w:val="16"/>
                <w:szCs w:val="16"/>
                <w:color w:val="auto"/>
              </w:rPr>
            </w:pPr>
          </w:p>
        </w:tc>
        <w:tc>
          <w:tcPr>
            <w:tcW w:w="220" w:type="dxa"/>
            <w:vAlign w:val="bottom"/>
            <w:tcBorders>
              <w:right w:val="single" w:sz="8" w:color="FDFDFC"/>
            </w:tcBorders>
            <w:shd w:val="clear" w:color="auto" w:fill="FDFDFC"/>
          </w:tcPr>
          <w:p>
            <w:pPr>
              <w:spacing w:after="0"/>
              <w:rPr>
                <w:sz w:val="16"/>
                <w:szCs w:val="16"/>
                <w:color w:val="auto"/>
              </w:rPr>
            </w:pPr>
          </w:p>
        </w:tc>
        <w:tc>
          <w:tcPr>
            <w:tcW w:w="880" w:type="dxa"/>
            <w:vAlign w:val="bottom"/>
            <w:shd w:val="clear" w:color="auto" w:fill="FDFDFC"/>
          </w:tcPr>
          <w:p>
            <w:pPr>
              <w:spacing w:after="0"/>
              <w:rPr>
                <w:sz w:val="16"/>
                <w:szCs w:val="16"/>
                <w:color w:val="auto"/>
              </w:rPr>
            </w:pPr>
          </w:p>
        </w:tc>
        <w:tc>
          <w:tcPr>
            <w:tcW w:w="240" w:type="dxa"/>
            <w:vAlign w:val="bottom"/>
            <w:shd w:val="clear" w:color="auto" w:fill="FDFDFC"/>
          </w:tcPr>
          <w:p>
            <w:pPr>
              <w:spacing w:after="0"/>
              <w:rPr>
                <w:sz w:val="16"/>
                <w:szCs w:val="16"/>
                <w:color w:val="auto"/>
              </w:rPr>
            </w:pPr>
          </w:p>
        </w:tc>
        <w:tc>
          <w:tcPr>
            <w:tcW w:w="0" w:type="dxa"/>
            <w:vAlign w:val="bottom"/>
          </w:tcPr>
          <w:p>
            <w:pPr>
              <w:spacing w:after="0"/>
              <w:rPr>
                <w:sz w:val="1"/>
                <w:szCs w:val="1"/>
                <w:color w:val="auto"/>
              </w:rPr>
            </w:pPr>
          </w:p>
        </w:tc>
      </w:tr>
      <w:tr>
        <w:trPr>
          <w:trHeight w:val="158"/>
        </w:trPr>
        <w:tc>
          <w:tcPr>
            <w:tcW w:w="1420" w:type="dxa"/>
            <w:vAlign w:val="bottom"/>
            <w:shd w:val="clear" w:color="auto" w:fill="D0EBF2"/>
          </w:tcPr>
          <w:p>
            <w:pPr>
              <w:spacing w:after="0" w:line="159" w:lineRule="exact"/>
              <w:rPr>
                <w:sz w:val="20"/>
                <w:szCs w:val="20"/>
                <w:color w:val="auto"/>
              </w:rPr>
            </w:pPr>
            <w:r>
              <w:rPr>
                <w:rFonts w:ascii="Times New Roman" w:cs="Times New Roman" w:eastAsia="Times New Roman" w:hAnsi="Times New Roman"/>
                <w:sz w:val="15"/>
                <w:szCs w:val="15"/>
                <w:color w:val="231F20"/>
              </w:rPr>
              <w:t>OutSystems Luxco</w:t>
            </w:r>
          </w:p>
        </w:tc>
        <w:tc>
          <w:tcPr>
            <w:tcW w:w="100" w:type="dxa"/>
            <w:vAlign w:val="bottom"/>
            <w:shd w:val="clear" w:color="auto" w:fill="D0EBF2"/>
          </w:tcPr>
          <w:p>
            <w:pPr>
              <w:spacing w:after="0"/>
              <w:rPr>
                <w:sz w:val="13"/>
                <w:szCs w:val="13"/>
                <w:color w:val="auto"/>
              </w:rPr>
            </w:pPr>
          </w:p>
        </w:tc>
        <w:tc>
          <w:tcPr>
            <w:tcW w:w="2340" w:type="dxa"/>
            <w:vAlign w:val="bottom"/>
            <w:shd w:val="clear" w:color="auto" w:fill="D0EBF2"/>
          </w:tcPr>
          <w:p>
            <w:pPr>
              <w:spacing w:after="0" w:line="159" w:lineRule="exact"/>
              <w:rPr>
                <w:sz w:val="20"/>
                <w:szCs w:val="20"/>
                <w:color w:val="auto"/>
              </w:rPr>
            </w:pPr>
            <w:r>
              <w:rPr>
                <w:rFonts w:ascii="Times New Roman" w:cs="Times New Roman" w:eastAsia="Times New Roman" w:hAnsi="Times New Roman"/>
                <w:sz w:val="15"/>
                <w:szCs w:val="15"/>
                <w:color w:val="231F20"/>
              </w:rPr>
              <w:t>First-lien loan (EUR 3,004 par, due</w:t>
            </w:r>
          </w:p>
        </w:tc>
        <w:tc>
          <w:tcPr>
            <w:tcW w:w="840" w:type="dxa"/>
            <w:vAlign w:val="bottom"/>
            <w:gridSpan w:val="2"/>
            <w:shd w:val="clear" w:color="auto" w:fill="D0EBF2"/>
          </w:tcPr>
          <w:p>
            <w:pPr>
              <w:jc w:val="right"/>
              <w:spacing w:after="0" w:line="159" w:lineRule="exact"/>
              <w:rPr>
                <w:sz w:val="20"/>
                <w:szCs w:val="20"/>
                <w:color w:val="auto"/>
              </w:rPr>
            </w:pPr>
            <w:r>
              <w:rPr>
                <w:rFonts w:ascii="Times New Roman" w:cs="Times New Roman" w:eastAsia="Times New Roman" w:hAnsi="Times New Roman"/>
                <w:sz w:val="15"/>
                <w:szCs w:val="15"/>
                <w:color w:val="231F20"/>
              </w:rPr>
              <w:t>12/8/2022</w:t>
            </w:r>
          </w:p>
        </w:tc>
        <w:tc>
          <w:tcPr>
            <w:tcW w:w="100" w:type="dxa"/>
            <w:vAlign w:val="bottom"/>
            <w:shd w:val="clear" w:color="auto" w:fill="D0EBF2"/>
          </w:tcPr>
          <w:p>
            <w:pPr>
              <w:spacing w:after="0"/>
              <w:rPr>
                <w:sz w:val="13"/>
                <w:szCs w:val="13"/>
                <w:color w:val="auto"/>
              </w:rPr>
            </w:pPr>
          </w:p>
        </w:tc>
        <w:tc>
          <w:tcPr>
            <w:tcW w:w="1020" w:type="dxa"/>
            <w:vAlign w:val="bottom"/>
            <w:gridSpan w:val="2"/>
            <w:shd w:val="clear" w:color="auto" w:fill="D0EBF2"/>
          </w:tcPr>
          <w:p>
            <w:pPr>
              <w:jc w:val="right"/>
              <w:ind w:right="240"/>
              <w:spacing w:after="0" w:line="159" w:lineRule="exact"/>
              <w:rPr>
                <w:sz w:val="20"/>
                <w:szCs w:val="20"/>
                <w:color w:val="auto"/>
              </w:rPr>
            </w:pPr>
            <w:r>
              <w:rPr>
                <w:rFonts w:ascii="Times New Roman" w:cs="Times New Roman" w:eastAsia="Times New Roman" w:hAnsi="Times New Roman"/>
                <w:sz w:val="15"/>
                <w:szCs w:val="15"/>
                <w:color w:val="231F20"/>
              </w:rPr>
              <w:t>E + 5.75%</w:t>
            </w:r>
          </w:p>
        </w:tc>
        <w:tc>
          <w:tcPr>
            <w:tcW w:w="980" w:type="dxa"/>
            <w:vAlign w:val="bottom"/>
            <w:gridSpan w:val="2"/>
            <w:shd w:val="clear" w:color="auto" w:fill="D0EBF2"/>
          </w:tcPr>
          <w:p>
            <w:pPr>
              <w:jc w:val="right"/>
              <w:ind w:right="100"/>
              <w:spacing w:after="0" w:line="159" w:lineRule="exact"/>
              <w:rPr>
                <w:sz w:val="20"/>
                <w:szCs w:val="20"/>
                <w:color w:val="auto"/>
              </w:rPr>
            </w:pPr>
            <w:r>
              <w:rPr>
                <w:rFonts w:ascii="Times New Roman" w:cs="Times New Roman" w:eastAsia="Times New Roman" w:hAnsi="Times New Roman"/>
                <w:sz w:val="15"/>
                <w:szCs w:val="15"/>
                <w:color w:val="231F20"/>
              </w:rPr>
              <w:t>9.59%</w:t>
            </w:r>
          </w:p>
        </w:tc>
        <w:tc>
          <w:tcPr>
            <w:tcW w:w="140" w:type="dxa"/>
            <w:vAlign w:val="bottom"/>
            <w:shd w:val="clear" w:color="auto" w:fill="D0EBF2"/>
          </w:tcPr>
          <w:p>
            <w:pPr>
              <w:spacing w:after="0"/>
              <w:rPr>
                <w:sz w:val="13"/>
                <w:szCs w:val="13"/>
                <w:color w:val="auto"/>
              </w:rPr>
            </w:pPr>
          </w:p>
        </w:tc>
        <w:tc>
          <w:tcPr>
            <w:tcW w:w="860" w:type="dxa"/>
            <w:vAlign w:val="bottom"/>
            <w:shd w:val="clear" w:color="auto" w:fill="D0EBF2"/>
          </w:tcPr>
          <w:p>
            <w:pPr>
              <w:jc w:val="right"/>
              <w:spacing w:after="0" w:line="159" w:lineRule="exact"/>
              <w:rPr>
                <w:sz w:val="20"/>
                <w:szCs w:val="20"/>
                <w:color w:val="auto"/>
              </w:rPr>
            </w:pPr>
            <w:r>
              <w:rPr>
                <w:rFonts w:ascii="Times New Roman" w:cs="Times New Roman" w:eastAsia="Times New Roman" w:hAnsi="Times New Roman"/>
                <w:sz w:val="15"/>
                <w:szCs w:val="15"/>
                <w:color w:val="231F20"/>
              </w:rPr>
              <w:t>3,091</w:t>
            </w:r>
          </w:p>
        </w:tc>
        <w:tc>
          <w:tcPr>
            <w:tcW w:w="180" w:type="dxa"/>
            <w:vAlign w:val="bottom"/>
            <w:shd w:val="clear" w:color="auto" w:fill="D0EBF2"/>
          </w:tcPr>
          <w:p>
            <w:pPr>
              <w:spacing w:after="0"/>
              <w:rPr>
                <w:sz w:val="13"/>
                <w:szCs w:val="13"/>
                <w:color w:val="auto"/>
              </w:rPr>
            </w:pPr>
          </w:p>
        </w:tc>
        <w:tc>
          <w:tcPr>
            <w:tcW w:w="80" w:type="dxa"/>
            <w:vAlign w:val="bottom"/>
            <w:shd w:val="clear" w:color="auto" w:fill="D0EBF2"/>
          </w:tcPr>
          <w:p>
            <w:pPr>
              <w:spacing w:after="0"/>
              <w:rPr>
                <w:sz w:val="13"/>
                <w:szCs w:val="13"/>
                <w:color w:val="auto"/>
              </w:rPr>
            </w:pPr>
          </w:p>
        </w:tc>
        <w:tc>
          <w:tcPr>
            <w:tcW w:w="880" w:type="dxa"/>
            <w:vAlign w:val="bottom"/>
            <w:shd w:val="clear" w:color="auto" w:fill="D0EBF2"/>
          </w:tcPr>
          <w:p>
            <w:pPr>
              <w:jc w:val="right"/>
              <w:spacing w:after="0" w:line="159" w:lineRule="exact"/>
              <w:rPr>
                <w:sz w:val="20"/>
                <w:szCs w:val="20"/>
                <w:color w:val="auto"/>
              </w:rPr>
            </w:pPr>
            <w:r>
              <w:rPr>
                <w:rFonts w:ascii="Times New Roman" w:cs="Times New Roman" w:eastAsia="Times New Roman" w:hAnsi="Times New Roman"/>
                <w:sz w:val="15"/>
                <w:szCs w:val="15"/>
                <w:color w:val="231F20"/>
              </w:rPr>
              <w:t>3,332</w:t>
            </w:r>
          </w:p>
        </w:tc>
        <w:tc>
          <w:tcPr>
            <w:tcW w:w="1340" w:type="dxa"/>
            <w:vAlign w:val="bottom"/>
            <w:gridSpan w:val="3"/>
            <w:shd w:val="clear" w:color="auto" w:fill="D0EBF2"/>
          </w:tcPr>
          <w:p>
            <w:pPr>
              <w:jc w:val="right"/>
              <w:ind w:right="120"/>
              <w:spacing w:after="0" w:line="159" w:lineRule="exact"/>
              <w:rPr>
                <w:sz w:val="20"/>
                <w:szCs w:val="20"/>
                <w:color w:val="auto"/>
              </w:rPr>
            </w:pPr>
            <w:r>
              <w:rPr>
                <w:rFonts w:ascii="Times New Roman" w:cs="Times New Roman" w:eastAsia="Times New Roman" w:hAnsi="Times New Roman"/>
                <w:sz w:val="15"/>
                <w:szCs w:val="15"/>
                <w:color w:val="231F20"/>
              </w:rPr>
              <w:t>0.2%</w:t>
            </w:r>
          </w:p>
        </w:tc>
        <w:tc>
          <w:tcPr>
            <w:tcW w:w="0" w:type="dxa"/>
            <w:vAlign w:val="bottom"/>
          </w:tcPr>
          <w:p>
            <w:pPr>
              <w:spacing w:after="0"/>
              <w:rPr>
                <w:sz w:val="1"/>
                <w:szCs w:val="1"/>
                <w:color w:val="auto"/>
              </w:rPr>
            </w:pPr>
          </w:p>
        </w:tc>
      </w:tr>
      <w:tr>
        <w:trPr>
          <w:trHeight w:val="189"/>
        </w:trPr>
        <w:tc>
          <w:tcPr>
            <w:tcW w:w="1420" w:type="dxa"/>
            <w:vAlign w:val="bottom"/>
            <w:shd w:val="clear" w:color="auto" w:fill="D0EBF2"/>
          </w:tcPr>
          <w:p>
            <w:pPr>
              <w:spacing w:after="0" w:line="190" w:lineRule="exact"/>
              <w:rPr>
                <w:sz w:val="20"/>
                <w:szCs w:val="20"/>
                <w:color w:val="auto"/>
              </w:rPr>
            </w:pPr>
            <w:r>
              <w:rPr>
                <w:rFonts w:ascii="Times New Roman" w:cs="Times New Roman" w:eastAsia="Times New Roman" w:hAnsi="Times New Roman"/>
                <w:sz w:val="21"/>
                <w:szCs w:val="21"/>
                <w:color w:val="231F20"/>
                <w:vertAlign w:val="subscript"/>
              </w:rPr>
              <w:t>SARL</w:t>
            </w:r>
            <w:r>
              <w:rPr>
                <w:rFonts w:ascii="Times New Roman" w:cs="Times New Roman" w:eastAsia="Times New Roman" w:hAnsi="Times New Roman"/>
                <w:sz w:val="8"/>
                <w:szCs w:val="8"/>
                <w:color w:val="231F20"/>
              </w:rPr>
              <w:t>(3)(4)(5)</w:t>
            </w:r>
          </w:p>
        </w:tc>
        <w:tc>
          <w:tcPr>
            <w:tcW w:w="2440" w:type="dxa"/>
            <w:vAlign w:val="bottom"/>
            <w:gridSpan w:val="2"/>
            <w:shd w:val="clear" w:color="auto" w:fill="D0EBF2"/>
          </w:tcPr>
          <w:p>
            <w:pPr>
              <w:ind w:left="100"/>
              <w:spacing w:after="0"/>
              <w:rPr>
                <w:sz w:val="20"/>
                <w:szCs w:val="20"/>
                <w:color w:val="auto"/>
              </w:rPr>
            </w:pPr>
            <w:r>
              <w:rPr>
                <w:rFonts w:ascii="Times New Roman" w:cs="Times New Roman" w:eastAsia="Times New Roman" w:hAnsi="Times New Roman"/>
                <w:sz w:val="15"/>
                <w:szCs w:val="15"/>
                <w:color w:val="231F20"/>
              </w:rPr>
              <w:t>12/2028)</w:t>
            </w:r>
          </w:p>
        </w:tc>
        <w:tc>
          <w:tcPr>
            <w:tcW w:w="80" w:type="dxa"/>
            <w:vAlign w:val="bottom"/>
            <w:shd w:val="clear" w:color="auto" w:fill="D0EBF2"/>
          </w:tcPr>
          <w:p>
            <w:pPr>
              <w:spacing w:after="0"/>
              <w:rPr>
                <w:sz w:val="16"/>
                <w:szCs w:val="16"/>
                <w:color w:val="auto"/>
              </w:rPr>
            </w:pPr>
          </w:p>
        </w:tc>
        <w:tc>
          <w:tcPr>
            <w:tcW w:w="760" w:type="dxa"/>
            <w:vAlign w:val="bottom"/>
            <w:shd w:val="clear" w:color="auto" w:fill="D0EBF2"/>
          </w:tcPr>
          <w:p>
            <w:pPr>
              <w:spacing w:after="0"/>
              <w:rPr>
                <w:sz w:val="16"/>
                <w:szCs w:val="16"/>
                <w:color w:val="auto"/>
              </w:rPr>
            </w:pPr>
          </w:p>
        </w:tc>
        <w:tc>
          <w:tcPr>
            <w:tcW w:w="100" w:type="dxa"/>
            <w:vAlign w:val="bottom"/>
            <w:shd w:val="clear" w:color="auto" w:fill="D0EBF2"/>
          </w:tcPr>
          <w:p>
            <w:pPr>
              <w:spacing w:after="0"/>
              <w:rPr>
                <w:sz w:val="16"/>
                <w:szCs w:val="16"/>
                <w:color w:val="auto"/>
              </w:rPr>
            </w:pPr>
          </w:p>
        </w:tc>
        <w:tc>
          <w:tcPr>
            <w:tcW w:w="800" w:type="dxa"/>
            <w:vAlign w:val="bottom"/>
            <w:shd w:val="clear" w:color="auto" w:fill="D0EBF2"/>
          </w:tcPr>
          <w:p>
            <w:pPr>
              <w:spacing w:after="0"/>
              <w:rPr>
                <w:sz w:val="16"/>
                <w:szCs w:val="16"/>
                <w:color w:val="auto"/>
              </w:rPr>
            </w:pPr>
          </w:p>
        </w:tc>
        <w:tc>
          <w:tcPr>
            <w:tcW w:w="220" w:type="dxa"/>
            <w:vAlign w:val="bottom"/>
            <w:shd w:val="clear" w:color="auto" w:fill="D0EBF2"/>
          </w:tcPr>
          <w:p>
            <w:pPr>
              <w:spacing w:after="0"/>
              <w:rPr>
                <w:sz w:val="16"/>
                <w:szCs w:val="16"/>
                <w:color w:val="auto"/>
              </w:rPr>
            </w:pPr>
          </w:p>
        </w:tc>
        <w:tc>
          <w:tcPr>
            <w:tcW w:w="760" w:type="dxa"/>
            <w:vAlign w:val="bottom"/>
            <w:shd w:val="clear" w:color="auto" w:fill="D0EBF2"/>
          </w:tcPr>
          <w:p>
            <w:pPr>
              <w:spacing w:after="0"/>
              <w:rPr>
                <w:sz w:val="16"/>
                <w:szCs w:val="16"/>
                <w:color w:val="auto"/>
              </w:rPr>
            </w:pPr>
          </w:p>
        </w:tc>
        <w:tc>
          <w:tcPr>
            <w:tcW w:w="220" w:type="dxa"/>
            <w:vAlign w:val="bottom"/>
            <w:shd w:val="clear" w:color="auto" w:fill="D0EBF2"/>
          </w:tcPr>
          <w:p>
            <w:pPr>
              <w:spacing w:after="0"/>
              <w:rPr>
                <w:sz w:val="16"/>
                <w:szCs w:val="16"/>
                <w:color w:val="auto"/>
              </w:rPr>
            </w:pPr>
          </w:p>
        </w:tc>
        <w:tc>
          <w:tcPr>
            <w:tcW w:w="140" w:type="dxa"/>
            <w:vAlign w:val="bottom"/>
            <w:shd w:val="clear" w:color="auto" w:fill="D0EBF2"/>
          </w:tcPr>
          <w:p>
            <w:pPr>
              <w:spacing w:after="0"/>
              <w:rPr>
                <w:sz w:val="16"/>
                <w:szCs w:val="16"/>
                <w:color w:val="auto"/>
              </w:rPr>
            </w:pPr>
          </w:p>
        </w:tc>
        <w:tc>
          <w:tcPr>
            <w:tcW w:w="860" w:type="dxa"/>
            <w:vAlign w:val="bottom"/>
            <w:shd w:val="clear" w:color="auto" w:fill="D0EBF2"/>
          </w:tcPr>
          <w:p>
            <w:pPr>
              <w:spacing w:after="0"/>
              <w:rPr>
                <w:sz w:val="16"/>
                <w:szCs w:val="16"/>
                <w:color w:val="auto"/>
              </w:rPr>
            </w:pPr>
          </w:p>
        </w:tc>
        <w:tc>
          <w:tcPr>
            <w:tcW w:w="180" w:type="dxa"/>
            <w:vAlign w:val="bottom"/>
            <w:shd w:val="clear" w:color="auto" w:fill="D0EBF2"/>
          </w:tcPr>
          <w:p>
            <w:pPr>
              <w:spacing w:after="0"/>
              <w:rPr>
                <w:sz w:val="16"/>
                <w:szCs w:val="16"/>
                <w:color w:val="auto"/>
              </w:rPr>
            </w:pPr>
          </w:p>
        </w:tc>
        <w:tc>
          <w:tcPr>
            <w:tcW w:w="80" w:type="dxa"/>
            <w:vAlign w:val="bottom"/>
            <w:shd w:val="clear" w:color="auto" w:fill="D0EBF2"/>
          </w:tcPr>
          <w:p>
            <w:pPr>
              <w:spacing w:after="0"/>
              <w:rPr>
                <w:sz w:val="16"/>
                <w:szCs w:val="16"/>
                <w:color w:val="auto"/>
              </w:rPr>
            </w:pPr>
          </w:p>
        </w:tc>
        <w:tc>
          <w:tcPr>
            <w:tcW w:w="880" w:type="dxa"/>
            <w:vAlign w:val="bottom"/>
            <w:shd w:val="clear" w:color="auto" w:fill="D0EBF2"/>
          </w:tcPr>
          <w:p>
            <w:pPr>
              <w:jc w:val="right"/>
              <w:spacing w:after="0"/>
              <w:rPr>
                <w:sz w:val="20"/>
                <w:szCs w:val="20"/>
                <w:color w:val="auto"/>
              </w:rPr>
            </w:pPr>
            <w:r>
              <w:rPr>
                <w:rFonts w:ascii="Times New Roman" w:cs="Times New Roman" w:eastAsia="Times New Roman" w:hAnsi="Times New Roman"/>
                <w:sz w:val="15"/>
                <w:szCs w:val="15"/>
                <w:color w:val="231F20"/>
              </w:rPr>
              <w:t>(EUR 3,016)</w:t>
            </w:r>
          </w:p>
        </w:tc>
        <w:tc>
          <w:tcPr>
            <w:tcW w:w="220" w:type="dxa"/>
            <w:vAlign w:val="bottom"/>
            <w:tcBorders>
              <w:right w:val="single" w:sz="8" w:color="D0EBF2"/>
            </w:tcBorders>
            <w:shd w:val="clear" w:color="auto" w:fill="D0EBF2"/>
          </w:tcPr>
          <w:p>
            <w:pPr>
              <w:spacing w:after="0"/>
              <w:rPr>
                <w:sz w:val="16"/>
                <w:szCs w:val="16"/>
                <w:color w:val="auto"/>
              </w:rPr>
            </w:pPr>
          </w:p>
        </w:tc>
        <w:tc>
          <w:tcPr>
            <w:tcW w:w="880" w:type="dxa"/>
            <w:vAlign w:val="bottom"/>
            <w:shd w:val="clear" w:color="auto" w:fill="D0EBF2"/>
          </w:tcPr>
          <w:p>
            <w:pPr>
              <w:spacing w:after="0"/>
              <w:rPr>
                <w:sz w:val="16"/>
                <w:szCs w:val="16"/>
                <w:color w:val="auto"/>
              </w:rPr>
            </w:pPr>
          </w:p>
        </w:tc>
        <w:tc>
          <w:tcPr>
            <w:tcW w:w="240" w:type="dxa"/>
            <w:vAlign w:val="bottom"/>
            <w:shd w:val="clear" w:color="auto" w:fill="D0EBF2"/>
          </w:tcPr>
          <w:p>
            <w:pPr>
              <w:spacing w:after="0"/>
              <w:rPr>
                <w:sz w:val="16"/>
                <w:szCs w:val="16"/>
                <w:color w:val="auto"/>
              </w:rPr>
            </w:pPr>
          </w:p>
        </w:tc>
        <w:tc>
          <w:tcPr>
            <w:tcW w:w="0" w:type="dxa"/>
            <w:vAlign w:val="bottom"/>
          </w:tcPr>
          <w:p>
            <w:pPr>
              <w:spacing w:after="0"/>
              <w:rPr>
                <w:sz w:val="1"/>
                <w:szCs w:val="1"/>
                <w:color w:val="auto"/>
              </w:rPr>
            </w:pPr>
          </w:p>
        </w:tc>
      </w:tr>
      <w:tr>
        <w:trPr>
          <w:trHeight w:val="158"/>
        </w:trPr>
        <w:tc>
          <w:tcPr>
            <w:tcW w:w="1420" w:type="dxa"/>
            <w:vAlign w:val="bottom"/>
            <w:shd w:val="clear" w:color="auto" w:fill="FDFDFC"/>
          </w:tcPr>
          <w:p>
            <w:pPr>
              <w:spacing w:after="0" w:line="159" w:lineRule="exact"/>
              <w:rPr>
                <w:sz w:val="20"/>
                <w:szCs w:val="20"/>
                <w:color w:val="auto"/>
              </w:rPr>
            </w:pPr>
            <w:r>
              <w:rPr>
                <w:rFonts w:ascii="Times New Roman" w:cs="Times New Roman" w:eastAsia="Times New Roman" w:hAnsi="Times New Roman"/>
                <w:sz w:val="15"/>
                <w:szCs w:val="15"/>
                <w:color w:val="231F20"/>
              </w:rPr>
              <w:t xml:space="preserve">Price Fx Inc. </w:t>
            </w:r>
            <w:r>
              <w:rPr>
                <w:rFonts w:ascii="Times New Roman" w:cs="Times New Roman" w:eastAsia="Times New Roman" w:hAnsi="Times New Roman"/>
                <w:sz w:val="9"/>
                <w:szCs w:val="9"/>
                <w:color w:val="231F20"/>
              </w:rPr>
              <w:t>(3)(4)</w:t>
            </w:r>
          </w:p>
        </w:tc>
        <w:tc>
          <w:tcPr>
            <w:tcW w:w="100" w:type="dxa"/>
            <w:vAlign w:val="bottom"/>
            <w:shd w:val="clear" w:color="auto" w:fill="FDFDFC"/>
          </w:tcPr>
          <w:p>
            <w:pPr>
              <w:spacing w:after="0"/>
              <w:rPr>
                <w:sz w:val="13"/>
                <w:szCs w:val="13"/>
                <w:color w:val="auto"/>
              </w:rPr>
            </w:pPr>
          </w:p>
        </w:tc>
        <w:tc>
          <w:tcPr>
            <w:tcW w:w="2340" w:type="dxa"/>
            <w:vAlign w:val="bottom"/>
            <w:shd w:val="clear" w:color="auto" w:fill="FDFDFC"/>
          </w:tcPr>
          <w:p>
            <w:pPr>
              <w:spacing w:after="0" w:line="159" w:lineRule="exact"/>
              <w:rPr>
                <w:sz w:val="20"/>
                <w:szCs w:val="20"/>
                <w:color w:val="auto"/>
              </w:rPr>
            </w:pPr>
            <w:r>
              <w:rPr>
                <w:rFonts w:ascii="Times New Roman" w:cs="Times New Roman" w:eastAsia="Times New Roman" w:hAnsi="Times New Roman"/>
                <w:sz w:val="15"/>
                <w:szCs w:val="15"/>
                <w:color w:val="231F20"/>
              </w:rPr>
              <w:t>First-lien loan (EUR 910 par, due</w:t>
            </w:r>
          </w:p>
        </w:tc>
        <w:tc>
          <w:tcPr>
            <w:tcW w:w="840" w:type="dxa"/>
            <w:vAlign w:val="bottom"/>
            <w:gridSpan w:val="2"/>
            <w:shd w:val="clear" w:color="auto" w:fill="FDFDFC"/>
          </w:tcPr>
          <w:p>
            <w:pPr>
              <w:jc w:val="right"/>
              <w:spacing w:after="0" w:line="159" w:lineRule="exact"/>
              <w:rPr>
                <w:sz w:val="20"/>
                <w:szCs w:val="20"/>
                <w:color w:val="auto"/>
              </w:rPr>
            </w:pPr>
            <w:r>
              <w:rPr>
                <w:rFonts w:ascii="Times New Roman" w:cs="Times New Roman" w:eastAsia="Times New Roman" w:hAnsi="Times New Roman"/>
                <w:sz w:val="15"/>
                <w:szCs w:val="15"/>
                <w:color w:val="231F20"/>
              </w:rPr>
              <w:t>10/27/2023</w:t>
            </w:r>
          </w:p>
        </w:tc>
        <w:tc>
          <w:tcPr>
            <w:tcW w:w="100" w:type="dxa"/>
            <w:vAlign w:val="bottom"/>
            <w:shd w:val="clear" w:color="auto" w:fill="FDFDFC"/>
          </w:tcPr>
          <w:p>
            <w:pPr>
              <w:spacing w:after="0"/>
              <w:rPr>
                <w:sz w:val="13"/>
                <w:szCs w:val="13"/>
                <w:color w:val="auto"/>
              </w:rPr>
            </w:pPr>
          </w:p>
        </w:tc>
        <w:tc>
          <w:tcPr>
            <w:tcW w:w="1020" w:type="dxa"/>
            <w:vAlign w:val="bottom"/>
            <w:gridSpan w:val="2"/>
            <w:shd w:val="clear" w:color="auto" w:fill="FDFDFC"/>
          </w:tcPr>
          <w:p>
            <w:pPr>
              <w:jc w:val="right"/>
              <w:ind w:right="240"/>
              <w:spacing w:after="0" w:line="159" w:lineRule="exact"/>
              <w:rPr>
                <w:sz w:val="20"/>
                <w:szCs w:val="20"/>
                <w:color w:val="auto"/>
              </w:rPr>
            </w:pPr>
            <w:r>
              <w:rPr>
                <w:rFonts w:ascii="Times New Roman" w:cs="Times New Roman" w:eastAsia="Times New Roman" w:hAnsi="Times New Roman"/>
                <w:sz w:val="15"/>
                <w:szCs w:val="15"/>
                <w:color w:val="231F20"/>
              </w:rPr>
              <w:t>E + 7.00%</w:t>
            </w:r>
          </w:p>
        </w:tc>
        <w:tc>
          <w:tcPr>
            <w:tcW w:w="980" w:type="dxa"/>
            <w:vAlign w:val="bottom"/>
            <w:gridSpan w:val="2"/>
            <w:shd w:val="clear" w:color="auto" w:fill="FDFDFC"/>
          </w:tcPr>
          <w:p>
            <w:pPr>
              <w:jc w:val="right"/>
              <w:ind w:right="100"/>
              <w:spacing w:after="0" w:line="159" w:lineRule="exact"/>
              <w:rPr>
                <w:sz w:val="20"/>
                <w:szCs w:val="20"/>
                <w:color w:val="auto"/>
              </w:rPr>
            </w:pPr>
            <w:r>
              <w:rPr>
                <w:rFonts w:ascii="Times New Roman" w:cs="Times New Roman" w:eastAsia="Times New Roman" w:hAnsi="Times New Roman"/>
                <w:sz w:val="15"/>
                <w:szCs w:val="15"/>
                <w:color w:val="231F20"/>
              </w:rPr>
              <w:t>10.94%</w:t>
            </w:r>
          </w:p>
        </w:tc>
        <w:tc>
          <w:tcPr>
            <w:tcW w:w="140" w:type="dxa"/>
            <w:vAlign w:val="bottom"/>
            <w:shd w:val="clear" w:color="auto" w:fill="FDFDFC"/>
          </w:tcPr>
          <w:p>
            <w:pPr>
              <w:spacing w:after="0"/>
              <w:rPr>
                <w:sz w:val="13"/>
                <w:szCs w:val="13"/>
                <w:color w:val="auto"/>
              </w:rPr>
            </w:pPr>
          </w:p>
        </w:tc>
        <w:tc>
          <w:tcPr>
            <w:tcW w:w="860" w:type="dxa"/>
            <w:vAlign w:val="bottom"/>
            <w:shd w:val="clear" w:color="auto" w:fill="FDFDFC"/>
          </w:tcPr>
          <w:p>
            <w:pPr>
              <w:jc w:val="right"/>
              <w:spacing w:after="0" w:line="159" w:lineRule="exact"/>
              <w:rPr>
                <w:sz w:val="20"/>
                <w:szCs w:val="20"/>
                <w:color w:val="auto"/>
              </w:rPr>
            </w:pPr>
            <w:r>
              <w:rPr>
                <w:rFonts w:ascii="Times New Roman" w:cs="Times New Roman" w:eastAsia="Times New Roman" w:hAnsi="Times New Roman"/>
                <w:sz w:val="15"/>
                <w:szCs w:val="15"/>
                <w:color w:val="231F20"/>
              </w:rPr>
              <w:t>962</w:t>
            </w:r>
          </w:p>
        </w:tc>
        <w:tc>
          <w:tcPr>
            <w:tcW w:w="180" w:type="dxa"/>
            <w:vAlign w:val="bottom"/>
            <w:shd w:val="clear" w:color="auto" w:fill="FDFDFC"/>
          </w:tcPr>
          <w:p>
            <w:pPr>
              <w:spacing w:after="0"/>
              <w:rPr>
                <w:sz w:val="13"/>
                <w:szCs w:val="13"/>
                <w:color w:val="auto"/>
              </w:rPr>
            </w:pPr>
          </w:p>
        </w:tc>
        <w:tc>
          <w:tcPr>
            <w:tcW w:w="80" w:type="dxa"/>
            <w:vAlign w:val="bottom"/>
            <w:shd w:val="clear" w:color="auto" w:fill="FDFDFC"/>
          </w:tcPr>
          <w:p>
            <w:pPr>
              <w:spacing w:after="0"/>
              <w:rPr>
                <w:sz w:val="13"/>
                <w:szCs w:val="13"/>
                <w:color w:val="auto"/>
              </w:rPr>
            </w:pPr>
          </w:p>
        </w:tc>
        <w:tc>
          <w:tcPr>
            <w:tcW w:w="880" w:type="dxa"/>
            <w:vAlign w:val="bottom"/>
            <w:shd w:val="clear" w:color="auto" w:fill="FDFDFC"/>
          </w:tcPr>
          <w:p>
            <w:pPr>
              <w:jc w:val="right"/>
              <w:spacing w:after="0" w:line="159" w:lineRule="exact"/>
              <w:rPr>
                <w:sz w:val="20"/>
                <w:szCs w:val="20"/>
                <w:color w:val="auto"/>
              </w:rPr>
            </w:pPr>
            <w:r>
              <w:rPr>
                <w:rFonts w:ascii="Times New Roman" w:cs="Times New Roman" w:eastAsia="Times New Roman" w:hAnsi="Times New Roman"/>
                <w:sz w:val="15"/>
                <w:szCs w:val="15"/>
                <w:color w:val="231F20"/>
              </w:rPr>
              <w:t>983</w:t>
            </w:r>
          </w:p>
        </w:tc>
        <w:tc>
          <w:tcPr>
            <w:tcW w:w="1340" w:type="dxa"/>
            <w:vAlign w:val="bottom"/>
            <w:gridSpan w:val="3"/>
            <w:shd w:val="clear" w:color="auto" w:fill="FDFDFC"/>
          </w:tcPr>
          <w:p>
            <w:pPr>
              <w:jc w:val="right"/>
              <w:ind w:right="120"/>
              <w:spacing w:after="0" w:line="159" w:lineRule="exact"/>
              <w:rPr>
                <w:sz w:val="20"/>
                <w:szCs w:val="20"/>
                <w:color w:val="auto"/>
              </w:rPr>
            </w:pPr>
            <w:r>
              <w:rPr>
                <w:rFonts w:ascii="Times New Roman" w:cs="Times New Roman" w:eastAsia="Times New Roman" w:hAnsi="Times New Roman"/>
                <w:sz w:val="15"/>
                <w:szCs w:val="15"/>
                <w:color w:val="231F20"/>
              </w:rPr>
              <w:t>0.1%</w:t>
            </w:r>
          </w:p>
        </w:tc>
        <w:tc>
          <w:tcPr>
            <w:tcW w:w="0" w:type="dxa"/>
            <w:vAlign w:val="bottom"/>
          </w:tcPr>
          <w:p>
            <w:pPr>
              <w:spacing w:after="0"/>
              <w:rPr>
                <w:sz w:val="1"/>
                <w:szCs w:val="1"/>
                <w:color w:val="auto"/>
              </w:rPr>
            </w:pPr>
          </w:p>
        </w:tc>
      </w:tr>
      <w:tr>
        <w:trPr>
          <w:trHeight w:val="189"/>
        </w:trPr>
        <w:tc>
          <w:tcPr>
            <w:tcW w:w="1420" w:type="dxa"/>
            <w:vAlign w:val="bottom"/>
            <w:shd w:val="clear" w:color="auto" w:fill="FDFDFC"/>
          </w:tcPr>
          <w:p>
            <w:pPr>
              <w:spacing w:after="0"/>
              <w:rPr>
                <w:sz w:val="16"/>
                <w:szCs w:val="16"/>
                <w:color w:val="auto"/>
              </w:rPr>
            </w:pPr>
          </w:p>
        </w:tc>
        <w:tc>
          <w:tcPr>
            <w:tcW w:w="2440" w:type="dxa"/>
            <w:vAlign w:val="bottom"/>
            <w:gridSpan w:val="2"/>
            <w:shd w:val="clear" w:color="auto" w:fill="FDFDFC"/>
          </w:tcPr>
          <w:p>
            <w:pPr>
              <w:ind w:left="100"/>
              <w:spacing w:after="0"/>
              <w:rPr>
                <w:sz w:val="20"/>
                <w:szCs w:val="20"/>
                <w:color w:val="auto"/>
              </w:rPr>
            </w:pPr>
            <w:r>
              <w:rPr>
                <w:rFonts w:ascii="Times New Roman" w:cs="Times New Roman" w:eastAsia="Times New Roman" w:hAnsi="Times New Roman"/>
                <w:sz w:val="15"/>
                <w:szCs w:val="15"/>
                <w:color w:val="231F20"/>
              </w:rPr>
              <w:t>10/2029)</w:t>
            </w:r>
          </w:p>
        </w:tc>
        <w:tc>
          <w:tcPr>
            <w:tcW w:w="80" w:type="dxa"/>
            <w:vAlign w:val="bottom"/>
            <w:shd w:val="clear" w:color="auto" w:fill="FDFDFC"/>
          </w:tcPr>
          <w:p>
            <w:pPr>
              <w:spacing w:after="0"/>
              <w:rPr>
                <w:sz w:val="16"/>
                <w:szCs w:val="16"/>
                <w:color w:val="auto"/>
              </w:rPr>
            </w:pPr>
          </w:p>
        </w:tc>
        <w:tc>
          <w:tcPr>
            <w:tcW w:w="760" w:type="dxa"/>
            <w:vAlign w:val="bottom"/>
            <w:shd w:val="clear" w:color="auto" w:fill="FDFDFC"/>
          </w:tcPr>
          <w:p>
            <w:pPr>
              <w:spacing w:after="0"/>
              <w:rPr>
                <w:sz w:val="16"/>
                <w:szCs w:val="16"/>
                <w:color w:val="auto"/>
              </w:rPr>
            </w:pPr>
          </w:p>
        </w:tc>
        <w:tc>
          <w:tcPr>
            <w:tcW w:w="100" w:type="dxa"/>
            <w:vAlign w:val="bottom"/>
            <w:shd w:val="clear" w:color="auto" w:fill="FDFDFC"/>
          </w:tcPr>
          <w:p>
            <w:pPr>
              <w:spacing w:after="0"/>
              <w:rPr>
                <w:sz w:val="16"/>
                <w:szCs w:val="16"/>
                <w:color w:val="auto"/>
              </w:rPr>
            </w:pPr>
          </w:p>
        </w:tc>
        <w:tc>
          <w:tcPr>
            <w:tcW w:w="800" w:type="dxa"/>
            <w:vAlign w:val="bottom"/>
            <w:shd w:val="clear" w:color="auto" w:fill="FDFDFC"/>
          </w:tcPr>
          <w:p>
            <w:pPr>
              <w:spacing w:after="0"/>
              <w:rPr>
                <w:sz w:val="16"/>
                <w:szCs w:val="16"/>
                <w:color w:val="auto"/>
              </w:rPr>
            </w:pPr>
          </w:p>
        </w:tc>
        <w:tc>
          <w:tcPr>
            <w:tcW w:w="220" w:type="dxa"/>
            <w:vAlign w:val="bottom"/>
            <w:shd w:val="clear" w:color="auto" w:fill="FDFDFC"/>
          </w:tcPr>
          <w:p>
            <w:pPr>
              <w:spacing w:after="0"/>
              <w:rPr>
                <w:sz w:val="16"/>
                <w:szCs w:val="16"/>
                <w:color w:val="auto"/>
              </w:rPr>
            </w:pPr>
          </w:p>
        </w:tc>
        <w:tc>
          <w:tcPr>
            <w:tcW w:w="760" w:type="dxa"/>
            <w:vAlign w:val="bottom"/>
            <w:shd w:val="clear" w:color="auto" w:fill="FDFDFC"/>
          </w:tcPr>
          <w:p>
            <w:pPr>
              <w:spacing w:after="0"/>
              <w:rPr>
                <w:sz w:val="16"/>
                <w:szCs w:val="16"/>
                <w:color w:val="auto"/>
              </w:rPr>
            </w:pPr>
          </w:p>
        </w:tc>
        <w:tc>
          <w:tcPr>
            <w:tcW w:w="220" w:type="dxa"/>
            <w:vAlign w:val="bottom"/>
            <w:shd w:val="clear" w:color="auto" w:fill="FDFDFC"/>
          </w:tcPr>
          <w:p>
            <w:pPr>
              <w:spacing w:after="0"/>
              <w:rPr>
                <w:sz w:val="16"/>
                <w:szCs w:val="16"/>
                <w:color w:val="auto"/>
              </w:rPr>
            </w:pPr>
          </w:p>
        </w:tc>
        <w:tc>
          <w:tcPr>
            <w:tcW w:w="140" w:type="dxa"/>
            <w:vAlign w:val="bottom"/>
            <w:shd w:val="clear" w:color="auto" w:fill="FDFDFC"/>
          </w:tcPr>
          <w:p>
            <w:pPr>
              <w:spacing w:after="0"/>
              <w:rPr>
                <w:sz w:val="16"/>
                <w:szCs w:val="16"/>
                <w:color w:val="auto"/>
              </w:rPr>
            </w:pPr>
          </w:p>
        </w:tc>
        <w:tc>
          <w:tcPr>
            <w:tcW w:w="860" w:type="dxa"/>
            <w:vAlign w:val="bottom"/>
            <w:shd w:val="clear" w:color="auto" w:fill="FDFDFC"/>
          </w:tcPr>
          <w:p>
            <w:pPr>
              <w:spacing w:after="0"/>
              <w:rPr>
                <w:sz w:val="16"/>
                <w:szCs w:val="16"/>
                <w:color w:val="auto"/>
              </w:rPr>
            </w:pPr>
          </w:p>
        </w:tc>
        <w:tc>
          <w:tcPr>
            <w:tcW w:w="180" w:type="dxa"/>
            <w:vAlign w:val="bottom"/>
            <w:shd w:val="clear" w:color="auto" w:fill="FDFDFC"/>
          </w:tcPr>
          <w:p>
            <w:pPr>
              <w:spacing w:after="0"/>
              <w:rPr>
                <w:sz w:val="16"/>
                <w:szCs w:val="16"/>
                <w:color w:val="auto"/>
              </w:rPr>
            </w:pPr>
          </w:p>
        </w:tc>
        <w:tc>
          <w:tcPr>
            <w:tcW w:w="80" w:type="dxa"/>
            <w:vAlign w:val="bottom"/>
            <w:shd w:val="clear" w:color="auto" w:fill="FDFDFC"/>
          </w:tcPr>
          <w:p>
            <w:pPr>
              <w:spacing w:after="0"/>
              <w:rPr>
                <w:sz w:val="16"/>
                <w:szCs w:val="16"/>
                <w:color w:val="auto"/>
              </w:rPr>
            </w:pPr>
          </w:p>
        </w:tc>
        <w:tc>
          <w:tcPr>
            <w:tcW w:w="880" w:type="dxa"/>
            <w:vAlign w:val="bottom"/>
            <w:shd w:val="clear" w:color="auto" w:fill="FDFDFC"/>
          </w:tcPr>
          <w:p>
            <w:pPr>
              <w:jc w:val="right"/>
              <w:spacing w:after="0"/>
              <w:rPr>
                <w:sz w:val="20"/>
                <w:szCs w:val="20"/>
                <w:color w:val="auto"/>
              </w:rPr>
            </w:pPr>
            <w:r>
              <w:rPr>
                <w:rFonts w:ascii="Times New Roman" w:cs="Times New Roman" w:eastAsia="Times New Roman" w:hAnsi="Times New Roman"/>
                <w:sz w:val="15"/>
                <w:szCs w:val="15"/>
                <w:color w:val="231F20"/>
              </w:rPr>
              <w:t>(EUR 890)</w:t>
            </w:r>
          </w:p>
        </w:tc>
        <w:tc>
          <w:tcPr>
            <w:tcW w:w="220" w:type="dxa"/>
            <w:vAlign w:val="bottom"/>
            <w:tcBorders>
              <w:right w:val="single" w:sz="8" w:color="FDFDFC"/>
            </w:tcBorders>
            <w:shd w:val="clear" w:color="auto" w:fill="FDFDFC"/>
          </w:tcPr>
          <w:p>
            <w:pPr>
              <w:spacing w:after="0"/>
              <w:rPr>
                <w:sz w:val="16"/>
                <w:szCs w:val="16"/>
                <w:color w:val="auto"/>
              </w:rPr>
            </w:pPr>
          </w:p>
        </w:tc>
        <w:tc>
          <w:tcPr>
            <w:tcW w:w="880" w:type="dxa"/>
            <w:vAlign w:val="bottom"/>
            <w:shd w:val="clear" w:color="auto" w:fill="FDFDFC"/>
          </w:tcPr>
          <w:p>
            <w:pPr>
              <w:spacing w:after="0"/>
              <w:rPr>
                <w:sz w:val="16"/>
                <w:szCs w:val="16"/>
                <w:color w:val="auto"/>
              </w:rPr>
            </w:pPr>
          </w:p>
        </w:tc>
        <w:tc>
          <w:tcPr>
            <w:tcW w:w="240" w:type="dxa"/>
            <w:vAlign w:val="bottom"/>
            <w:shd w:val="clear" w:color="auto" w:fill="FDFDFC"/>
          </w:tcPr>
          <w:p>
            <w:pPr>
              <w:spacing w:after="0"/>
              <w:rPr>
                <w:sz w:val="16"/>
                <w:szCs w:val="16"/>
                <w:color w:val="auto"/>
              </w:rPr>
            </w:pPr>
          </w:p>
        </w:tc>
        <w:tc>
          <w:tcPr>
            <w:tcW w:w="0" w:type="dxa"/>
            <w:vAlign w:val="bottom"/>
          </w:tcPr>
          <w:p>
            <w:pPr>
              <w:spacing w:after="0"/>
              <w:rPr>
                <w:sz w:val="1"/>
                <w:szCs w:val="1"/>
                <w:color w:val="auto"/>
              </w:rPr>
            </w:pPr>
          </w:p>
        </w:tc>
      </w:tr>
      <w:tr>
        <w:trPr>
          <w:trHeight w:val="158"/>
        </w:trPr>
        <w:tc>
          <w:tcPr>
            <w:tcW w:w="1420" w:type="dxa"/>
            <w:vAlign w:val="bottom"/>
            <w:shd w:val="clear" w:color="auto" w:fill="D0EBF2"/>
          </w:tcPr>
          <w:p>
            <w:pPr>
              <w:spacing w:after="0" w:line="159" w:lineRule="exact"/>
              <w:rPr>
                <w:sz w:val="20"/>
                <w:szCs w:val="20"/>
                <w:color w:val="auto"/>
              </w:rPr>
            </w:pPr>
            <w:r>
              <w:rPr>
                <w:rFonts w:ascii="Times New Roman" w:cs="Times New Roman" w:eastAsia="Times New Roman" w:hAnsi="Times New Roman"/>
                <w:sz w:val="15"/>
                <w:szCs w:val="15"/>
                <w:color w:val="231F20"/>
              </w:rPr>
              <w:t>ReliaQuest Holdings,</w:t>
            </w:r>
          </w:p>
        </w:tc>
        <w:tc>
          <w:tcPr>
            <w:tcW w:w="100" w:type="dxa"/>
            <w:vAlign w:val="bottom"/>
            <w:shd w:val="clear" w:color="auto" w:fill="D0EBF2"/>
          </w:tcPr>
          <w:p>
            <w:pPr>
              <w:spacing w:after="0"/>
              <w:rPr>
                <w:sz w:val="13"/>
                <w:szCs w:val="13"/>
                <w:color w:val="auto"/>
              </w:rPr>
            </w:pPr>
          </w:p>
        </w:tc>
        <w:tc>
          <w:tcPr>
            <w:tcW w:w="2340" w:type="dxa"/>
            <w:vAlign w:val="bottom"/>
            <w:shd w:val="clear" w:color="auto" w:fill="D0EBF2"/>
          </w:tcPr>
          <w:p>
            <w:pPr>
              <w:spacing w:after="0" w:line="159" w:lineRule="exact"/>
              <w:rPr>
                <w:sz w:val="20"/>
                <w:szCs w:val="20"/>
                <w:color w:val="auto"/>
              </w:rPr>
            </w:pPr>
            <w:r>
              <w:rPr>
                <w:rFonts w:ascii="Times New Roman" w:cs="Times New Roman" w:eastAsia="Times New Roman" w:hAnsi="Times New Roman"/>
                <w:sz w:val="15"/>
                <w:szCs w:val="15"/>
                <w:color w:val="231F20"/>
              </w:rPr>
              <w:t>First-lien loan ($82,626 par, due</w:t>
            </w:r>
          </w:p>
        </w:tc>
        <w:tc>
          <w:tcPr>
            <w:tcW w:w="840" w:type="dxa"/>
            <w:vAlign w:val="bottom"/>
            <w:gridSpan w:val="2"/>
            <w:shd w:val="clear" w:color="auto" w:fill="D0EBF2"/>
          </w:tcPr>
          <w:p>
            <w:pPr>
              <w:jc w:val="right"/>
              <w:spacing w:after="0" w:line="159" w:lineRule="exact"/>
              <w:rPr>
                <w:sz w:val="20"/>
                <w:szCs w:val="20"/>
                <w:color w:val="auto"/>
              </w:rPr>
            </w:pPr>
            <w:r>
              <w:rPr>
                <w:rFonts w:ascii="Times New Roman" w:cs="Times New Roman" w:eastAsia="Times New Roman" w:hAnsi="Times New Roman"/>
                <w:sz w:val="15"/>
                <w:szCs w:val="15"/>
                <w:color w:val="231F20"/>
              </w:rPr>
              <w:t>10/8/2020</w:t>
            </w:r>
          </w:p>
        </w:tc>
        <w:tc>
          <w:tcPr>
            <w:tcW w:w="100" w:type="dxa"/>
            <w:vAlign w:val="bottom"/>
            <w:shd w:val="clear" w:color="auto" w:fill="D0EBF2"/>
          </w:tcPr>
          <w:p>
            <w:pPr>
              <w:spacing w:after="0"/>
              <w:rPr>
                <w:sz w:val="13"/>
                <w:szCs w:val="13"/>
                <w:color w:val="auto"/>
              </w:rPr>
            </w:pPr>
          </w:p>
        </w:tc>
        <w:tc>
          <w:tcPr>
            <w:tcW w:w="1020" w:type="dxa"/>
            <w:vAlign w:val="bottom"/>
            <w:gridSpan w:val="2"/>
            <w:shd w:val="clear" w:color="auto" w:fill="D0EBF2"/>
          </w:tcPr>
          <w:p>
            <w:pPr>
              <w:jc w:val="right"/>
              <w:ind w:right="240"/>
              <w:spacing w:after="0" w:line="159" w:lineRule="exact"/>
              <w:rPr>
                <w:sz w:val="20"/>
                <w:szCs w:val="20"/>
                <w:color w:val="auto"/>
              </w:rPr>
            </w:pPr>
            <w:r>
              <w:rPr>
                <w:rFonts w:ascii="Times New Roman" w:cs="Times New Roman" w:eastAsia="Times New Roman" w:hAnsi="Times New Roman"/>
                <w:sz w:val="15"/>
                <w:szCs w:val="15"/>
                <w:color w:val="231F20"/>
              </w:rPr>
              <w:t>SOFR</w:t>
            </w:r>
          </w:p>
        </w:tc>
        <w:tc>
          <w:tcPr>
            <w:tcW w:w="980" w:type="dxa"/>
            <w:vAlign w:val="bottom"/>
            <w:gridSpan w:val="2"/>
            <w:shd w:val="clear" w:color="auto" w:fill="D0EBF2"/>
          </w:tcPr>
          <w:p>
            <w:pPr>
              <w:jc w:val="right"/>
              <w:ind w:right="100"/>
              <w:spacing w:after="0" w:line="159" w:lineRule="exact"/>
              <w:rPr>
                <w:sz w:val="20"/>
                <w:szCs w:val="20"/>
                <w:color w:val="auto"/>
              </w:rPr>
            </w:pPr>
            <w:r>
              <w:rPr>
                <w:rFonts w:ascii="Times New Roman" w:cs="Times New Roman" w:eastAsia="Times New Roman" w:hAnsi="Times New Roman"/>
                <w:sz w:val="15"/>
                <w:szCs w:val="15"/>
                <w:color w:val="231F20"/>
              </w:rPr>
              <w:t>12.63%</w:t>
            </w:r>
          </w:p>
        </w:tc>
        <w:tc>
          <w:tcPr>
            <w:tcW w:w="140" w:type="dxa"/>
            <w:vAlign w:val="bottom"/>
            <w:shd w:val="clear" w:color="auto" w:fill="D0EBF2"/>
          </w:tcPr>
          <w:p>
            <w:pPr>
              <w:spacing w:after="0"/>
              <w:rPr>
                <w:sz w:val="13"/>
                <w:szCs w:val="13"/>
                <w:color w:val="auto"/>
              </w:rPr>
            </w:pPr>
          </w:p>
        </w:tc>
        <w:tc>
          <w:tcPr>
            <w:tcW w:w="860" w:type="dxa"/>
            <w:vAlign w:val="bottom"/>
            <w:shd w:val="clear" w:color="auto" w:fill="D0EBF2"/>
          </w:tcPr>
          <w:p>
            <w:pPr>
              <w:jc w:val="right"/>
              <w:spacing w:after="0" w:line="159" w:lineRule="exact"/>
              <w:rPr>
                <w:sz w:val="20"/>
                <w:szCs w:val="20"/>
                <w:color w:val="auto"/>
              </w:rPr>
            </w:pPr>
            <w:r>
              <w:rPr>
                <w:rFonts w:ascii="Times New Roman" w:cs="Times New Roman" w:eastAsia="Times New Roman" w:hAnsi="Times New Roman"/>
                <w:sz w:val="15"/>
                <w:szCs w:val="15"/>
                <w:color w:val="231F20"/>
              </w:rPr>
              <w:t>81,711</w:t>
            </w:r>
          </w:p>
        </w:tc>
        <w:tc>
          <w:tcPr>
            <w:tcW w:w="180" w:type="dxa"/>
            <w:vAlign w:val="bottom"/>
            <w:shd w:val="clear" w:color="auto" w:fill="D0EBF2"/>
          </w:tcPr>
          <w:p>
            <w:pPr>
              <w:spacing w:after="0"/>
              <w:rPr>
                <w:sz w:val="13"/>
                <w:szCs w:val="13"/>
                <w:color w:val="auto"/>
              </w:rPr>
            </w:pPr>
          </w:p>
        </w:tc>
        <w:tc>
          <w:tcPr>
            <w:tcW w:w="80" w:type="dxa"/>
            <w:vAlign w:val="bottom"/>
            <w:shd w:val="clear" w:color="auto" w:fill="D0EBF2"/>
          </w:tcPr>
          <w:p>
            <w:pPr>
              <w:spacing w:after="0"/>
              <w:rPr>
                <w:sz w:val="13"/>
                <w:szCs w:val="13"/>
                <w:color w:val="auto"/>
              </w:rPr>
            </w:pPr>
          </w:p>
        </w:tc>
        <w:tc>
          <w:tcPr>
            <w:tcW w:w="880" w:type="dxa"/>
            <w:vAlign w:val="bottom"/>
            <w:shd w:val="clear" w:color="auto" w:fill="D0EBF2"/>
          </w:tcPr>
          <w:p>
            <w:pPr>
              <w:jc w:val="right"/>
              <w:spacing w:after="0" w:line="159" w:lineRule="exact"/>
              <w:rPr>
                <w:sz w:val="20"/>
                <w:szCs w:val="20"/>
                <w:color w:val="auto"/>
              </w:rPr>
            </w:pPr>
            <w:r>
              <w:rPr>
                <w:rFonts w:ascii="Times New Roman" w:cs="Times New Roman" w:eastAsia="Times New Roman" w:hAnsi="Times New Roman"/>
                <w:sz w:val="15"/>
                <w:szCs w:val="15"/>
                <w:color w:val="231F20"/>
              </w:rPr>
              <w:t>83,658</w:t>
            </w:r>
          </w:p>
        </w:tc>
        <w:tc>
          <w:tcPr>
            <w:tcW w:w="1340" w:type="dxa"/>
            <w:vAlign w:val="bottom"/>
            <w:gridSpan w:val="3"/>
            <w:shd w:val="clear" w:color="auto" w:fill="D0EBF2"/>
          </w:tcPr>
          <w:p>
            <w:pPr>
              <w:jc w:val="right"/>
              <w:ind w:right="120"/>
              <w:spacing w:after="0" w:line="159" w:lineRule="exact"/>
              <w:rPr>
                <w:sz w:val="20"/>
                <w:szCs w:val="20"/>
                <w:color w:val="auto"/>
              </w:rPr>
            </w:pPr>
            <w:r>
              <w:rPr>
                <w:rFonts w:ascii="Times New Roman" w:cs="Times New Roman" w:eastAsia="Times New Roman" w:hAnsi="Times New Roman"/>
                <w:sz w:val="15"/>
                <w:szCs w:val="15"/>
                <w:color w:val="231F20"/>
              </w:rPr>
              <w:t>5.6%</w:t>
            </w:r>
          </w:p>
        </w:tc>
        <w:tc>
          <w:tcPr>
            <w:tcW w:w="0" w:type="dxa"/>
            <w:vAlign w:val="bottom"/>
          </w:tcPr>
          <w:p>
            <w:pPr>
              <w:spacing w:after="0"/>
              <w:rPr>
                <w:sz w:val="1"/>
                <w:szCs w:val="1"/>
                <w:color w:val="auto"/>
              </w:rPr>
            </w:pPr>
          </w:p>
        </w:tc>
      </w:tr>
      <w:tr>
        <w:trPr>
          <w:trHeight w:val="189"/>
        </w:trPr>
        <w:tc>
          <w:tcPr>
            <w:tcW w:w="1420" w:type="dxa"/>
            <w:vAlign w:val="bottom"/>
            <w:shd w:val="clear" w:color="auto" w:fill="D0EBF2"/>
          </w:tcPr>
          <w:p>
            <w:pPr>
              <w:spacing w:after="0" w:line="190" w:lineRule="exact"/>
              <w:rPr>
                <w:sz w:val="20"/>
                <w:szCs w:val="20"/>
                <w:color w:val="auto"/>
              </w:rPr>
            </w:pPr>
            <w:r>
              <w:rPr>
                <w:rFonts w:ascii="Times New Roman" w:cs="Times New Roman" w:eastAsia="Times New Roman" w:hAnsi="Times New Roman"/>
                <w:sz w:val="21"/>
                <w:szCs w:val="21"/>
                <w:color w:val="231F20"/>
                <w:vertAlign w:val="subscript"/>
              </w:rPr>
              <w:t>LLC</w:t>
            </w:r>
            <w:r>
              <w:rPr>
                <w:rFonts w:ascii="Times New Roman" w:cs="Times New Roman" w:eastAsia="Times New Roman" w:hAnsi="Times New Roman"/>
                <w:sz w:val="8"/>
                <w:szCs w:val="8"/>
                <w:color w:val="231F20"/>
              </w:rPr>
              <w:t xml:space="preserve"> (3)(5)</w:t>
            </w:r>
          </w:p>
        </w:tc>
        <w:tc>
          <w:tcPr>
            <w:tcW w:w="2440" w:type="dxa"/>
            <w:vAlign w:val="bottom"/>
            <w:gridSpan w:val="2"/>
            <w:shd w:val="clear" w:color="auto" w:fill="D0EBF2"/>
          </w:tcPr>
          <w:p>
            <w:pPr>
              <w:ind w:left="100"/>
              <w:spacing w:after="0"/>
              <w:rPr>
                <w:sz w:val="20"/>
                <w:szCs w:val="20"/>
                <w:color w:val="auto"/>
              </w:rPr>
            </w:pPr>
            <w:r>
              <w:rPr>
                <w:rFonts w:ascii="Times New Roman" w:cs="Times New Roman" w:eastAsia="Times New Roman" w:hAnsi="Times New Roman"/>
                <w:sz w:val="15"/>
                <w:szCs w:val="15"/>
                <w:color w:val="231F20"/>
              </w:rPr>
              <w:t>10/2026)</w:t>
            </w:r>
          </w:p>
        </w:tc>
        <w:tc>
          <w:tcPr>
            <w:tcW w:w="80" w:type="dxa"/>
            <w:vAlign w:val="bottom"/>
            <w:shd w:val="clear" w:color="auto" w:fill="D0EBF2"/>
          </w:tcPr>
          <w:p>
            <w:pPr>
              <w:spacing w:after="0"/>
              <w:rPr>
                <w:sz w:val="16"/>
                <w:szCs w:val="16"/>
                <w:color w:val="auto"/>
              </w:rPr>
            </w:pPr>
          </w:p>
        </w:tc>
        <w:tc>
          <w:tcPr>
            <w:tcW w:w="760" w:type="dxa"/>
            <w:vAlign w:val="bottom"/>
            <w:shd w:val="clear" w:color="auto" w:fill="D0EBF2"/>
          </w:tcPr>
          <w:p>
            <w:pPr>
              <w:spacing w:after="0"/>
              <w:rPr>
                <w:sz w:val="16"/>
                <w:szCs w:val="16"/>
                <w:color w:val="auto"/>
              </w:rPr>
            </w:pPr>
          </w:p>
        </w:tc>
        <w:tc>
          <w:tcPr>
            <w:tcW w:w="900" w:type="dxa"/>
            <w:vAlign w:val="bottom"/>
            <w:gridSpan w:val="2"/>
            <w:shd w:val="clear" w:color="auto" w:fill="D0EBF2"/>
          </w:tcPr>
          <w:p>
            <w:pPr>
              <w:jc w:val="right"/>
              <w:spacing w:after="0"/>
              <w:rPr>
                <w:sz w:val="20"/>
                <w:szCs w:val="20"/>
                <w:color w:val="auto"/>
              </w:rPr>
            </w:pPr>
            <w:r>
              <w:rPr>
                <w:rFonts w:ascii="Times New Roman" w:cs="Times New Roman" w:eastAsia="Times New Roman" w:hAnsi="Times New Roman"/>
                <w:sz w:val="15"/>
                <w:szCs w:val="15"/>
                <w:color w:val="231F20"/>
              </w:rPr>
              <w:t>+ 7.25%</w:t>
            </w:r>
          </w:p>
        </w:tc>
        <w:tc>
          <w:tcPr>
            <w:tcW w:w="220" w:type="dxa"/>
            <w:vAlign w:val="bottom"/>
            <w:shd w:val="clear" w:color="auto" w:fill="D0EBF2"/>
          </w:tcPr>
          <w:p>
            <w:pPr>
              <w:spacing w:after="0"/>
              <w:rPr>
                <w:sz w:val="16"/>
                <w:szCs w:val="16"/>
                <w:color w:val="auto"/>
              </w:rPr>
            </w:pPr>
          </w:p>
        </w:tc>
        <w:tc>
          <w:tcPr>
            <w:tcW w:w="760" w:type="dxa"/>
            <w:vAlign w:val="bottom"/>
            <w:shd w:val="clear" w:color="auto" w:fill="D0EBF2"/>
          </w:tcPr>
          <w:p>
            <w:pPr>
              <w:spacing w:after="0"/>
              <w:rPr>
                <w:sz w:val="16"/>
                <w:szCs w:val="16"/>
                <w:color w:val="auto"/>
              </w:rPr>
            </w:pPr>
          </w:p>
        </w:tc>
        <w:tc>
          <w:tcPr>
            <w:tcW w:w="220" w:type="dxa"/>
            <w:vAlign w:val="bottom"/>
            <w:shd w:val="clear" w:color="auto" w:fill="D0EBF2"/>
          </w:tcPr>
          <w:p>
            <w:pPr>
              <w:spacing w:after="0"/>
              <w:rPr>
                <w:sz w:val="16"/>
                <w:szCs w:val="16"/>
                <w:color w:val="auto"/>
              </w:rPr>
            </w:pPr>
          </w:p>
        </w:tc>
        <w:tc>
          <w:tcPr>
            <w:tcW w:w="140" w:type="dxa"/>
            <w:vAlign w:val="bottom"/>
            <w:shd w:val="clear" w:color="auto" w:fill="D0EBF2"/>
          </w:tcPr>
          <w:p>
            <w:pPr>
              <w:spacing w:after="0"/>
              <w:rPr>
                <w:sz w:val="16"/>
                <w:szCs w:val="16"/>
                <w:color w:val="auto"/>
              </w:rPr>
            </w:pPr>
          </w:p>
        </w:tc>
        <w:tc>
          <w:tcPr>
            <w:tcW w:w="860" w:type="dxa"/>
            <w:vAlign w:val="bottom"/>
            <w:shd w:val="clear" w:color="auto" w:fill="D0EBF2"/>
          </w:tcPr>
          <w:p>
            <w:pPr>
              <w:spacing w:after="0"/>
              <w:rPr>
                <w:sz w:val="16"/>
                <w:szCs w:val="16"/>
                <w:color w:val="auto"/>
              </w:rPr>
            </w:pPr>
          </w:p>
        </w:tc>
        <w:tc>
          <w:tcPr>
            <w:tcW w:w="180" w:type="dxa"/>
            <w:vAlign w:val="bottom"/>
            <w:shd w:val="clear" w:color="auto" w:fill="D0EBF2"/>
          </w:tcPr>
          <w:p>
            <w:pPr>
              <w:spacing w:after="0"/>
              <w:rPr>
                <w:sz w:val="16"/>
                <w:szCs w:val="16"/>
                <w:color w:val="auto"/>
              </w:rPr>
            </w:pPr>
          </w:p>
        </w:tc>
        <w:tc>
          <w:tcPr>
            <w:tcW w:w="80" w:type="dxa"/>
            <w:vAlign w:val="bottom"/>
            <w:shd w:val="clear" w:color="auto" w:fill="D0EBF2"/>
          </w:tcPr>
          <w:p>
            <w:pPr>
              <w:spacing w:after="0"/>
              <w:rPr>
                <w:sz w:val="16"/>
                <w:szCs w:val="16"/>
                <w:color w:val="auto"/>
              </w:rPr>
            </w:pPr>
          </w:p>
        </w:tc>
        <w:tc>
          <w:tcPr>
            <w:tcW w:w="880" w:type="dxa"/>
            <w:vAlign w:val="bottom"/>
            <w:shd w:val="clear" w:color="auto" w:fill="D0EBF2"/>
          </w:tcPr>
          <w:p>
            <w:pPr>
              <w:spacing w:after="0"/>
              <w:rPr>
                <w:sz w:val="16"/>
                <w:szCs w:val="16"/>
                <w:color w:val="auto"/>
              </w:rPr>
            </w:pPr>
          </w:p>
        </w:tc>
        <w:tc>
          <w:tcPr>
            <w:tcW w:w="220" w:type="dxa"/>
            <w:vAlign w:val="bottom"/>
            <w:tcBorders>
              <w:right w:val="single" w:sz="8" w:color="D0EBF2"/>
            </w:tcBorders>
            <w:shd w:val="clear" w:color="auto" w:fill="D0EBF2"/>
          </w:tcPr>
          <w:p>
            <w:pPr>
              <w:spacing w:after="0"/>
              <w:rPr>
                <w:sz w:val="16"/>
                <w:szCs w:val="16"/>
                <w:color w:val="auto"/>
              </w:rPr>
            </w:pPr>
          </w:p>
        </w:tc>
        <w:tc>
          <w:tcPr>
            <w:tcW w:w="880" w:type="dxa"/>
            <w:vAlign w:val="bottom"/>
            <w:shd w:val="clear" w:color="auto" w:fill="D0EBF2"/>
          </w:tcPr>
          <w:p>
            <w:pPr>
              <w:spacing w:after="0"/>
              <w:rPr>
                <w:sz w:val="16"/>
                <w:szCs w:val="16"/>
                <w:color w:val="auto"/>
              </w:rPr>
            </w:pPr>
          </w:p>
        </w:tc>
        <w:tc>
          <w:tcPr>
            <w:tcW w:w="240" w:type="dxa"/>
            <w:vAlign w:val="bottom"/>
            <w:shd w:val="clear" w:color="auto" w:fill="D0EBF2"/>
          </w:tcPr>
          <w:p>
            <w:pPr>
              <w:spacing w:after="0"/>
              <w:rPr>
                <w:sz w:val="16"/>
                <w:szCs w:val="16"/>
                <w:color w:val="auto"/>
              </w:rPr>
            </w:pPr>
          </w:p>
        </w:tc>
        <w:tc>
          <w:tcPr>
            <w:tcW w:w="0" w:type="dxa"/>
            <w:vAlign w:val="bottom"/>
          </w:tcPr>
          <w:p>
            <w:pPr>
              <w:spacing w:after="0"/>
              <w:rPr>
                <w:sz w:val="1"/>
                <w:szCs w:val="1"/>
                <w:color w:val="auto"/>
              </w:rPr>
            </w:pPr>
          </w:p>
        </w:tc>
      </w:tr>
      <w:tr>
        <w:trPr>
          <w:trHeight w:val="158"/>
        </w:trPr>
        <w:tc>
          <w:tcPr>
            <w:tcW w:w="1420" w:type="dxa"/>
            <w:vAlign w:val="bottom"/>
            <w:shd w:val="clear" w:color="auto" w:fill="FDFDFC"/>
          </w:tcPr>
          <w:p>
            <w:pPr>
              <w:spacing w:after="0" w:line="159" w:lineRule="exact"/>
              <w:rPr>
                <w:sz w:val="20"/>
                <w:szCs w:val="20"/>
                <w:color w:val="auto"/>
              </w:rPr>
            </w:pPr>
            <w:r>
              <w:rPr>
                <w:rFonts w:ascii="Times New Roman" w:cs="Times New Roman" w:eastAsia="Times New Roman" w:hAnsi="Times New Roman"/>
                <w:sz w:val="15"/>
                <w:szCs w:val="15"/>
                <w:color w:val="231F20"/>
              </w:rPr>
              <w:t>Wrangler TopCo, LLC</w:t>
            </w:r>
          </w:p>
        </w:tc>
        <w:tc>
          <w:tcPr>
            <w:tcW w:w="100" w:type="dxa"/>
            <w:vAlign w:val="bottom"/>
            <w:shd w:val="clear" w:color="auto" w:fill="FDFDFC"/>
          </w:tcPr>
          <w:p>
            <w:pPr>
              <w:spacing w:after="0"/>
              <w:rPr>
                <w:sz w:val="13"/>
                <w:szCs w:val="13"/>
                <w:color w:val="auto"/>
              </w:rPr>
            </w:pPr>
          </w:p>
        </w:tc>
        <w:tc>
          <w:tcPr>
            <w:tcW w:w="2340" w:type="dxa"/>
            <w:vAlign w:val="bottom"/>
            <w:shd w:val="clear" w:color="auto" w:fill="FDFDFC"/>
          </w:tcPr>
          <w:p>
            <w:pPr>
              <w:spacing w:after="0" w:line="159" w:lineRule="exact"/>
              <w:rPr>
                <w:sz w:val="20"/>
                <w:szCs w:val="20"/>
                <w:color w:val="auto"/>
              </w:rPr>
            </w:pPr>
            <w:r>
              <w:rPr>
                <w:rFonts w:ascii="Times New Roman" w:cs="Times New Roman" w:eastAsia="Times New Roman" w:hAnsi="Times New Roman"/>
                <w:sz w:val="15"/>
                <w:szCs w:val="15"/>
                <w:color w:val="231F20"/>
              </w:rPr>
              <w:t>First-lien loan ($4,153 par, due</w:t>
            </w:r>
          </w:p>
        </w:tc>
        <w:tc>
          <w:tcPr>
            <w:tcW w:w="840" w:type="dxa"/>
            <w:vAlign w:val="bottom"/>
            <w:gridSpan w:val="2"/>
            <w:shd w:val="clear" w:color="auto" w:fill="FDFDFC"/>
          </w:tcPr>
          <w:p>
            <w:pPr>
              <w:jc w:val="right"/>
              <w:spacing w:after="0" w:line="159" w:lineRule="exact"/>
              <w:rPr>
                <w:sz w:val="20"/>
                <w:szCs w:val="20"/>
                <w:color w:val="auto"/>
              </w:rPr>
            </w:pPr>
            <w:r>
              <w:rPr>
                <w:rFonts w:ascii="Times New Roman" w:cs="Times New Roman" w:eastAsia="Times New Roman" w:hAnsi="Times New Roman"/>
                <w:sz w:val="15"/>
                <w:szCs w:val="15"/>
                <w:color w:val="231F20"/>
              </w:rPr>
              <w:t>7/7/2023</w:t>
            </w:r>
          </w:p>
        </w:tc>
        <w:tc>
          <w:tcPr>
            <w:tcW w:w="100" w:type="dxa"/>
            <w:vAlign w:val="bottom"/>
            <w:shd w:val="clear" w:color="auto" w:fill="FDFDFC"/>
          </w:tcPr>
          <w:p>
            <w:pPr>
              <w:spacing w:after="0"/>
              <w:rPr>
                <w:sz w:val="13"/>
                <w:szCs w:val="13"/>
                <w:color w:val="auto"/>
              </w:rPr>
            </w:pPr>
          </w:p>
        </w:tc>
        <w:tc>
          <w:tcPr>
            <w:tcW w:w="1020" w:type="dxa"/>
            <w:vAlign w:val="bottom"/>
            <w:gridSpan w:val="2"/>
            <w:shd w:val="clear" w:color="auto" w:fill="FDFDFC"/>
          </w:tcPr>
          <w:p>
            <w:pPr>
              <w:jc w:val="right"/>
              <w:ind w:right="240"/>
              <w:spacing w:after="0" w:line="159" w:lineRule="exact"/>
              <w:rPr>
                <w:sz w:val="20"/>
                <w:szCs w:val="20"/>
                <w:color w:val="auto"/>
              </w:rPr>
            </w:pPr>
            <w:r>
              <w:rPr>
                <w:rFonts w:ascii="Times New Roman" w:cs="Times New Roman" w:eastAsia="Times New Roman" w:hAnsi="Times New Roman"/>
                <w:sz w:val="15"/>
                <w:szCs w:val="15"/>
                <w:color w:val="231F20"/>
              </w:rPr>
              <w:t>SOFR +</w:t>
            </w:r>
          </w:p>
        </w:tc>
        <w:tc>
          <w:tcPr>
            <w:tcW w:w="980" w:type="dxa"/>
            <w:vAlign w:val="bottom"/>
            <w:gridSpan w:val="2"/>
            <w:shd w:val="clear" w:color="auto" w:fill="FDFDFC"/>
          </w:tcPr>
          <w:p>
            <w:pPr>
              <w:jc w:val="right"/>
              <w:ind w:right="100"/>
              <w:spacing w:after="0" w:line="159" w:lineRule="exact"/>
              <w:rPr>
                <w:sz w:val="20"/>
                <w:szCs w:val="20"/>
                <w:color w:val="auto"/>
              </w:rPr>
            </w:pPr>
            <w:r>
              <w:rPr>
                <w:rFonts w:ascii="Times New Roman" w:cs="Times New Roman" w:eastAsia="Times New Roman" w:hAnsi="Times New Roman"/>
                <w:sz w:val="15"/>
                <w:szCs w:val="15"/>
                <w:color w:val="231F20"/>
              </w:rPr>
              <w:t>12.88%</w:t>
            </w:r>
          </w:p>
        </w:tc>
        <w:tc>
          <w:tcPr>
            <w:tcW w:w="140" w:type="dxa"/>
            <w:vAlign w:val="bottom"/>
            <w:shd w:val="clear" w:color="auto" w:fill="FDFDFC"/>
          </w:tcPr>
          <w:p>
            <w:pPr>
              <w:spacing w:after="0"/>
              <w:rPr>
                <w:sz w:val="13"/>
                <w:szCs w:val="13"/>
                <w:color w:val="auto"/>
              </w:rPr>
            </w:pPr>
          </w:p>
        </w:tc>
        <w:tc>
          <w:tcPr>
            <w:tcW w:w="860" w:type="dxa"/>
            <w:vAlign w:val="bottom"/>
            <w:shd w:val="clear" w:color="auto" w:fill="FDFDFC"/>
          </w:tcPr>
          <w:p>
            <w:pPr>
              <w:jc w:val="right"/>
              <w:spacing w:after="0" w:line="159" w:lineRule="exact"/>
              <w:rPr>
                <w:sz w:val="20"/>
                <w:szCs w:val="20"/>
                <w:color w:val="auto"/>
              </w:rPr>
            </w:pPr>
            <w:r>
              <w:rPr>
                <w:rFonts w:ascii="Times New Roman" w:cs="Times New Roman" w:eastAsia="Times New Roman" w:hAnsi="Times New Roman"/>
                <w:sz w:val="15"/>
                <w:szCs w:val="15"/>
                <w:color w:val="231F20"/>
              </w:rPr>
              <w:t>4,044</w:t>
            </w:r>
          </w:p>
        </w:tc>
        <w:tc>
          <w:tcPr>
            <w:tcW w:w="180" w:type="dxa"/>
            <w:vAlign w:val="bottom"/>
            <w:shd w:val="clear" w:color="auto" w:fill="FDFDFC"/>
          </w:tcPr>
          <w:p>
            <w:pPr>
              <w:spacing w:after="0"/>
              <w:rPr>
                <w:sz w:val="13"/>
                <w:szCs w:val="13"/>
                <w:color w:val="auto"/>
              </w:rPr>
            </w:pPr>
          </w:p>
        </w:tc>
        <w:tc>
          <w:tcPr>
            <w:tcW w:w="80" w:type="dxa"/>
            <w:vAlign w:val="bottom"/>
            <w:shd w:val="clear" w:color="auto" w:fill="FDFDFC"/>
          </w:tcPr>
          <w:p>
            <w:pPr>
              <w:spacing w:after="0"/>
              <w:rPr>
                <w:sz w:val="13"/>
                <w:szCs w:val="13"/>
                <w:color w:val="auto"/>
              </w:rPr>
            </w:pPr>
          </w:p>
        </w:tc>
        <w:tc>
          <w:tcPr>
            <w:tcW w:w="880" w:type="dxa"/>
            <w:vAlign w:val="bottom"/>
            <w:shd w:val="clear" w:color="auto" w:fill="FDFDFC"/>
          </w:tcPr>
          <w:p>
            <w:pPr>
              <w:jc w:val="right"/>
              <w:spacing w:after="0" w:line="159" w:lineRule="exact"/>
              <w:rPr>
                <w:sz w:val="20"/>
                <w:szCs w:val="20"/>
                <w:color w:val="auto"/>
              </w:rPr>
            </w:pPr>
            <w:r>
              <w:rPr>
                <w:rFonts w:ascii="Times New Roman" w:cs="Times New Roman" w:eastAsia="Times New Roman" w:hAnsi="Times New Roman"/>
                <w:sz w:val="15"/>
                <w:szCs w:val="15"/>
                <w:color w:val="231F20"/>
              </w:rPr>
              <w:t>4,118</w:t>
            </w:r>
          </w:p>
        </w:tc>
        <w:tc>
          <w:tcPr>
            <w:tcW w:w="1340" w:type="dxa"/>
            <w:vAlign w:val="bottom"/>
            <w:gridSpan w:val="3"/>
            <w:shd w:val="clear" w:color="auto" w:fill="FDFDFC"/>
          </w:tcPr>
          <w:p>
            <w:pPr>
              <w:jc w:val="right"/>
              <w:ind w:right="120"/>
              <w:spacing w:after="0" w:line="159" w:lineRule="exact"/>
              <w:rPr>
                <w:sz w:val="20"/>
                <w:szCs w:val="20"/>
                <w:color w:val="auto"/>
              </w:rPr>
            </w:pPr>
            <w:r>
              <w:rPr>
                <w:rFonts w:ascii="Times New Roman" w:cs="Times New Roman" w:eastAsia="Times New Roman" w:hAnsi="Times New Roman"/>
                <w:sz w:val="15"/>
                <w:szCs w:val="15"/>
                <w:color w:val="231F20"/>
              </w:rPr>
              <w:t>0.3%</w:t>
            </w:r>
          </w:p>
        </w:tc>
        <w:tc>
          <w:tcPr>
            <w:tcW w:w="0" w:type="dxa"/>
            <w:vAlign w:val="bottom"/>
          </w:tcPr>
          <w:p>
            <w:pPr>
              <w:spacing w:after="0"/>
              <w:rPr>
                <w:sz w:val="1"/>
                <w:szCs w:val="1"/>
                <w:color w:val="auto"/>
              </w:rPr>
            </w:pPr>
          </w:p>
        </w:tc>
      </w:tr>
      <w:tr>
        <w:trPr>
          <w:trHeight w:val="111"/>
        </w:trPr>
        <w:tc>
          <w:tcPr>
            <w:tcW w:w="1420" w:type="dxa"/>
            <w:vAlign w:val="bottom"/>
            <w:vMerge w:val="restart"/>
            <w:shd w:val="clear" w:color="auto" w:fill="FDFDFC"/>
          </w:tcPr>
          <w:p>
            <w:pPr>
              <w:spacing w:after="0"/>
              <w:rPr>
                <w:sz w:val="20"/>
                <w:szCs w:val="20"/>
                <w:color w:val="auto"/>
              </w:rPr>
            </w:pPr>
            <w:r>
              <w:rPr>
                <w:rFonts w:ascii="Times New Roman" w:cs="Times New Roman" w:eastAsia="Times New Roman" w:hAnsi="Times New Roman"/>
                <w:sz w:val="9"/>
                <w:szCs w:val="9"/>
                <w:color w:val="231F20"/>
              </w:rPr>
              <w:t>(3)</w:t>
            </w:r>
          </w:p>
        </w:tc>
        <w:tc>
          <w:tcPr>
            <w:tcW w:w="2440" w:type="dxa"/>
            <w:vAlign w:val="bottom"/>
            <w:gridSpan w:val="2"/>
            <w:shd w:val="clear" w:color="auto" w:fill="FDFDFC"/>
          </w:tcPr>
          <w:p>
            <w:pPr>
              <w:ind w:left="100"/>
              <w:spacing w:after="0" w:line="111" w:lineRule="exact"/>
              <w:rPr>
                <w:sz w:val="20"/>
                <w:szCs w:val="20"/>
                <w:color w:val="auto"/>
              </w:rPr>
            </w:pPr>
            <w:r>
              <w:rPr>
                <w:rFonts w:ascii="Times New Roman" w:cs="Times New Roman" w:eastAsia="Times New Roman" w:hAnsi="Times New Roman"/>
                <w:sz w:val="12"/>
                <w:szCs w:val="12"/>
                <w:color w:val="231F20"/>
              </w:rPr>
              <w:t>7/2029)</w:t>
            </w:r>
          </w:p>
        </w:tc>
        <w:tc>
          <w:tcPr>
            <w:tcW w:w="80" w:type="dxa"/>
            <w:vAlign w:val="bottom"/>
            <w:shd w:val="clear" w:color="auto" w:fill="FDFDFC"/>
          </w:tcPr>
          <w:p>
            <w:pPr>
              <w:spacing w:after="0"/>
              <w:rPr>
                <w:sz w:val="9"/>
                <w:szCs w:val="9"/>
                <w:color w:val="auto"/>
              </w:rPr>
            </w:pPr>
          </w:p>
        </w:tc>
        <w:tc>
          <w:tcPr>
            <w:tcW w:w="760" w:type="dxa"/>
            <w:vAlign w:val="bottom"/>
            <w:shd w:val="clear" w:color="auto" w:fill="FDFDFC"/>
          </w:tcPr>
          <w:p>
            <w:pPr>
              <w:spacing w:after="0"/>
              <w:rPr>
                <w:sz w:val="9"/>
                <w:szCs w:val="9"/>
                <w:color w:val="auto"/>
              </w:rPr>
            </w:pPr>
          </w:p>
        </w:tc>
        <w:tc>
          <w:tcPr>
            <w:tcW w:w="900" w:type="dxa"/>
            <w:vAlign w:val="bottom"/>
            <w:gridSpan w:val="2"/>
            <w:shd w:val="clear" w:color="auto" w:fill="FDFDFC"/>
          </w:tcPr>
          <w:p>
            <w:pPr>
              <w:jc w:val="right"/>
              <w:spacing w:after="0" w:line="111" w:lineRule="exact"/>
              <w:rPr>
                <w:sz w:val="20"/>
                <w:szCs w:val="20"/>
                <w:color w:val="auto"/>
              </w:rPr>
            </w:pPr>
            <w:r>
              <w:rPr>
                <w:rFonts w:ascii="Times New Roman" w:cs="Times New Roman" w:eastAsia="Times New Roman" w:hAnsi="Times New Roman"/>
                <w:sz w:val="12"/>
                <w:szCs w:val="12"/>
                <w:color w:val="231F20"/>
              </w:rPr>
              <w:t>7.50%</w:t>
            </w:r>
          </w:p>
        </w:tc>
        <w:tc>
          <w:tcPr>
            <w:tcW w:w="220" w:type="dxa"/>
            <w:vAlign w:val="bottom"/>
            <w:shd w:val="clear" w:color="auto" w:fill="FDFDFC"/>
          </w:tcPr>
          <w:p>
            <w:pPr>
              <w:spacing w:after="0"/>
              <w:rPr>
                <w:sz w:val="9"/>
                <w:szCs w:val="9"/>
                <w:color w:val="auto"/>
              </w:rPr>
            </w:pPr>
          </w:p>
        </w:tc>
        <w:tc>
          <w:tcPr>
            <w:tcW w:w="760" w:type="dxa"/>
            <w:vAlign w:val="bottom"/>
            <w:shd w:val="clear" w:color="auto" w:fill="FDFDFC"/>
          </w:tcPr>
          <w:p>
            <w:pPr>
              <w:spacing w:after="0"/>
              <w:rPr>
                <w:sz w:val="9"/>
                <w:szCs w:val="9"/>
                <w:color w:val="auto"/>
              </w:rPr>
            </w:pPr>
          </w:p>
        </w:tc>
        <w:tc>
          <w:tcPr>
            <w:tcW w:w="220" w:type="dxa"/>
            <w:vAlign w:val="bottom"/>
            <w:shd w:val="clear" w:color="auto" w:fill="FDFDFC"/>
          </w:tcPr>
          <w:p>
            <w:pPr>
              <w:spacing w:after="0"/>
              <w:rPr>
                <w:sz w:val="9"/>
                <w:szCs w:val="9"/>
                <w:color w:val="auto"/>
              </w:rPr>
            </w:pPr>
          </w:p>
        </w:tc>
        <w:tc>
          <w:tcPr>
            <w:tcW w:w="140" w:type="dxa"/>
            <w:vAlign w:val="bottom"/>
            <w:shd w:val="clear" w:color="auto" w:fill="FDFDFC"/>
          </w:tcPr>
          <w:p>
            <w:pPr>
              <w:spacing w:after="0"/>
              <w:rPr>
                <w:sz w:val="9"/>
                <w:szCs w:val="9"/>
                <w:color w:val="auto"/>
              </w:rPr>
            </w:pPr>
          </w:p>
        </w:tc>
        <w:tc>
          <w:tcPr>
            <w:tcW w:w="860" w:type="dxa"/>
            <w:vAlign w:val="bottom"/>
            <w:shd w:val="clear" w:color="auto" w:fill="FDFDFC"/>
          </w:tcPr>
          <w:p>
            <w:pPr>
              <w:spacing w:after="0"/>
              <w:rPr>
                <w:sz w:val="9"/>
                <w:szCs w:val="9"/>
                <w:color w:val="auto"/>
              </w:rPr>
            </w:pPr>
          </w:p>
        </w:tc>
        <w:tc>
          <w:tcPr>
            <w:tcW w:w="180" w:type="dxa"/>
            <w:vAlign w:val="bottom"/>
            <w:shd w:val="clear" w:color="auto" w:fill="FDFDFC"/>
          </w:tcPr>
          <w:p>
            <w:pPr>
              <w:spacing w:after="0"/>
              <w:rPr>
                <w:sz w:val="9"/>
                <w:szCs w:val="9"/>
                <w:color w:val="auto"/>
              </w:rPr>
            </w:pPr>
          </w:p>
        </w:tc>
        <w:tc>
          <w:tcPr>
            <w:tcW w:w="80" w:type="dxa"/>
            <w:vAlign w:val="bottom"/>
            <w:shd w:val="clear" w:color="auto" w:fill="FDFDFC"/>
          </w:tcPr>
          <w:p>
            <w:pPr>
              <w:spacing w:after="0"/>
              <w:rPr>
                <w:sz w:val="9"/>
                <w:szCs w:val="9"/>
                <w:color w:val="auto"/>
              </w:rPr>
            </w:pPr>
          </w:p>
        </w:tc>
        <w:tc>
          <w:tcPr>
            <w:tcW w:w="880" w:type="dxa"/>
            <w:vAlign w:val="bottom"/>
            <w:shd w:val="clear" w:color="auto" w:fill="FDFDFC"/>
          </w:tcPr>
          <w:p>
            <w:pPr>
              <w:spacing w:after="0"/>
              <w:rPr>
                <w:sz w:val="9"/>
                <w:szCs w:val="9"/>
                <w:color w:val="auto"/>
              </w:rPr>
            </w:pPr>
          </w:p>
        </w:tc>
        <w:tc>
          <w:tcPr>
            <w:tcW w:w="220" w:type="dxa"/>
            <w:vAlign w:val="bottom"/>
            <w:tcBorders>
              <w:right w:val="single" w:sz="8" w:color="FDFDFC"/>
            </w:tcBorders>
            <w:shd w:val="clear" w:color="auto" w:fill="FDFDFC"/>
          </w:tcPr>
          <w:p>
            <w:pPr>
              <w:spacing w:after="0"/>
              <w:rPr>
                <w:sz w:val="9"/>
                <w:szCs w:val="9"/>
                <w:color w:val="auto"/>
              </w:rPr>
            </w:pPr>
          </w:p>
        </w:tc>
        <w:tc>
          <w:tcPr>
            <w:tcW w:w="880" w:type="dxa"/>
            <w:vAlign w:val="bottom"/>
            <w:shd w:val="clear" w:color="auto" w:fill="FDFDFC"/>
          </w:tcPr>
          <w:p>
            <w:pPr>
              <w:spacing w:after="0"/>
              <w:rPr>
                <w:sz w:val="9"/>
                <w:szCs w:val="9"/>
                <w:color w:val="auto"/>
              </w:rPr>
            </w:pPr>
          </w:p>
        </w:tc>
        <w:tc>
          <w:tcPr>
            <w:tcW w:w="240" w:type="dxa"/>
            <w:vAlign w:val="bottom"/>
            <w:shd w:val="clear" w:color="auto" w:fill="FDFDFC"/>
          </w:tcPr>
          <w:p>
            <w:pPr>
              <w:spacing w:after="0"/>
              <w:rPr>
                <w:sz w:val="9"/>
                <w:szCs w:val="9"/>
                <w:color w:val="auto"/>
              </w:rPr>
            </w:pPr>
          </w:p>
        </w:tc>
        <w:tc>
          <w:tcPr>
            <w:tcW w:w="0" w:type="dxa"/>
            <w:vAlign w:val="bottom"/>
          </w:tcPr>
          <w:p>
            <w:pPr>
              <w:spacing w:after="0"/>
              <w:rPr>
                <w:sz w:val="1"/>
                <w:szCs w:val="1"/>
                <w:color w:val="auto"/>
              </w:rPr>
            </w:pPr>
          </w:p>
        </w:tc>
      </w:tr>
      <w:tr>
        <w:trPr>
          <w:trHeight w:val="58"/>
        </w:trPr>
        <w:tc>
          <w:tcPr>
            <w:tcW w:w="1420" w:type="dxa"/>
            <w:vAlign w:val="bottom"/>
            <w:tcBorders>
              <w:bottom w:val="single" w:sz="8" w:color="FDFDFC"/>
            </w:tcBorders>
            <w:vMerge w:val="continue"/>
            <w:shd w:val="clear" w:color="auto" w:fill="FDFDFC"/>
          </w:tcPr>
          <w:p>
            <w:pPr>
              <w:spacing w:after="0"/>
              <w:rPr>
                <w:sz w:val="5"/>
                <w:szCs w:val="5"/>
                <w:color w:val="auto"/>
              </w:rPr>
            </w:pPr>
          </w:p>
        </w:tc>
        <w:tc>
          <w:tcPr>
            <w:tcW w:w="100" w:type="dxa"/>
            <w:vAlign w:val="bottom"/>
            <w:tcBorders>
              <w:bottom w:val="single" w:sz="8" w:color="FDFDFC"/>
            </w:tcBorders>
            <w:shd w:val="clear" w:color="auto" w:fill="FDFDFC"/>
          </w:tcPr>
          <w:p>
            <w:pPr>
              <w:spacing w:after="0"/>
              <w:rPr>
                <w:sz w:val="5"/>
                <w:szCs w:val="5"/>
                <w:color w:val="auto"/>
              </w:rPr>
            </w:pPr>
          </w:p>
        </w:tc>
        <w:tc>
          <w:tcPr>
            <w:tcW w:w="2340" w:type="dxa"/>
            <w:vAlign w:val="bottom"/>
            <w:tcBorders>
              <w:bottom w:val="single" w:sz="8" w:color="FDFDFC"/>
            </w:tcBorders>
            <w:shd w:val="clear" w:color="auto" w:fill="FDFDFC"/>
          </w:tcPr>
          <w:p>
            <w:pPr>
              <w:spacing w:after="0"/>
              <w:rPr>
                <w:sz w:val="5"/>
                <w:szCs w:val="5"/>
                <w:color w:val="auto"/>
              </w:rPr>
            </w:pPr>
          </w:p>
        </w:tc>
        <w:tc>
          <w:tcPr>
            <w:tcW w:w="80" w:type="dxa"/>
            <w:vAlign w:val="bottom"/>
            <w:tcBorders>
              <w:bottom w:val="single" w:sz="8" w:color="FDFDFC"/>
            </w:tcBorders>
            <w:shd w:val="clear" w:color="auto" w:fill="FDFDFC"/>
          </w:tcPr>
          <w:p>
            <w:pPr>
              <w:spacing w:after="0"/>
              <w:rPr>
                <w:sz w:val="5"/>
                <w:szCs w:val="5"/>
                <w:color w:val="auto"/>
              </w:rPr>
            </w:pPr>
          </w:p>
        </w:tc>
        <w:tc>
          <w:tcPr>
            <w:tcW w:w="760" w:type="dxa"/>
            <w:vAlign w:val="bottom"/>
            <w:tcBorders>
              <w:bottom w:val="single" w:sz="8" w:color="FDFDFC"/>
            </w:tcBorders>
            <w:shd w:val="clear" w:color="auto" w:fill="FDFDFC"/>
          </w:tcPr>
          <w:p>
            <w:pPr>
              <w:spacing w:after="0"/>
              <w:rPr>
                <w:sz w:val="5"/>
                <w:szCs w:val="5"/>
                <w:color w:val="auto"/>
              </w:rPr>
            </w:pPr>
          </w:p>
        </w:tc>
        <w:tc>
          <w:tcPr>
            <w:tcW w:w="100" w:type="dxa"/>
            <w:vAlign w:val="bottom"/>
            <w:tcBorders>
              <w:bottom w:val="single" w:sz="8" w:color="FDFDFC"/>
            </w:tcBorders>
            <w:shd w:val="clear" w:color="auto" w:fill="FDFDFC"/>
          </w:tcPr>
          <w:p>
            <w:pPr>
              <w:spacing w:after="0"/>
              <w:rPr>
                <w:sz w:val="5"/>
                <w:szCs w:val="5"/>
                <w:color w:val="auto"/>
              </w:rPr>
            </w:pPr>
          </w:p>
        </w:tc>
        <w:tc>
          <w:tcPr>
            <w:tcW w:w="800" w:type="dxa"/>
            <w:vAlign w:val="bottom"/>
            <w:tcBorders>
              <w:bottom w:val="single" w:sz="8" w:color="FDFDFC"/>
            </w:tcBorders>
            <w:shd w:val="clear" w:color="auto" w:fill="FDFDFC"/>
          </w:tcPr>
          <w:p>
            <w:pPr>
              <w:spacing w:after="0"/>
              <w:rPr>
                <w:sz w:val="5"/>
                <w:szCs w:val="5"/>
                <w:color w:val="auto"/>
              </w:rPr>
            </w:pPr>
          </w:p>
        </w:tc>
        <w:tc>
          <w:tcPr>
            <w:tcW w:w="220" w:type="dxa"/>
            <w:vAlign w:val="bottom"/>
            <w:tcBorders>
              <w:bottom w:val="single" w:sz="8" w:color="FDFDFC"/>
            </w:tcBorders>
            <w:shd w:val="clear" w:color="auto" w:fill="FDFDFC"/>
          </w:tcPr>
          <w:p>
            <w:pPr>
              <w:spacing w:after="0"/>
              <w:rPr>
                <w:sz w:val="5"/>
                <w:szCs w:val="5"/>
                <w:color w:val="auto"/>
              </w:rPr>
            </w:pPr>
          </w:p>
        </w:tc>
        <w:tc>
          <w:tcPr>
            <w:tcW w:w="760" w:type="dxa"/>
            <w:vAlign w:val="bottom"/>
            <w:tcBorders>
              <w:bottom w:val="single" w:sz="8" w:color="FDFDFC"/>
            </w:tcBorders>
            <w:shd w:val="clear" w:color="auto" w:fill="FDFDFC"/>
          </w:tcPr>
          <w:p>
            <w:pPr>
              <w:spacing w:after="0"/>
              <w:rPr>
                <w:sz w:val="5"/>
                <w:szCs w:val="5"/>
                <w:color w:val="auto"/>
              </w:rPr>
            </w:pPr>
          </w:p>
        </w:tc>
        <w:tc>
          <w:tcPr>
            <w:tcW w:w="220" w:type="dxa"/>
            <w:vAlign w:val="bottom"/>
            <w:tcBorders>
              <w:bottom w:val="single" w:sz="8" w:color="FDFDFC"/>
            </w:tcBorders>
            <w:shd w:val="clear" w:color="auto" w:fill="FDFDFC"/>
          </w:tcPr>
          <w:p>
            <w:pPr>
              <w:spacing w:after="0"/>
              <w:rPr>
                <w:sz w:val="5"/>
                <w:szCs w:val="5"/>
                <w:color w:val="auto"/>
              </w:rPr>
            </w:pPr>
          </w:p>
        </w:tc>
        <w:tc>
          <w:tcPr>
            <w:tcW w:w="140" w:type="dxa"/>
            <w:vAlign w:val="bottom"/>
            <w:tcBorders>
              <w:bottom w:val="single" w:sz="8" w:color="FDFDFC"/>
            </w:tcBorders>
            <w:shd w:val="clear" w:color="auto" w:fill="FDFDFC"/>
          </w:tcPr>
          <w:p>
            <w:pPr>
              <w:spacing w:after="0"/>
              <w:rPr>
                <w:sz w:val="5"/>
                <w:szCs w:val="5"/>
                <w:color w:val="auto"/>
              </w:rPr>
            </w:pPr>
          </w:p>
        </w:tc>
        <w:tc>
          <w:tcPr>
            <w:tcW w:w="860" w:type="dxa"/>
            <w:vAlign w:val="bottom"/>
            <w:tcBorders>
              <w:bottom w:val="single" w:sz="8" w:color="FDFDFC"/>
            </w:tcBorders>
            <w:shd w:val="clear" w:color="auto" w:fill="FDFDFC"/>
          </w:tcPr>
          <w:p>
            <w:pPr>
              <w:spacing w:after="0"/>
              <w:rPr>
                <w:sz w:val="5"/>
                <w:szCs w:val="5"/>
                <w:color w:val="auto"/>
              </w:rPr>
            </w:pPr>
          </w:p>
        </w:tc>
        <w:tc>
          <w:tcPr>
            <w:tcW w:w="180" w:type="dxa"/>
            <w:vAlign w:val="bottom"/>
            <w:tcBorders>
              <w:bottom w:val="single" w:sz="8" w:color="FDFDFC"/>
            </w:tcBorders>
            <w:shd w:val="clear" w:color="auto" w:fill="FDFDFC"/>
          </w:tcPr>
          <w:p>
            <w:pPr>
              <w:spacing w:after="0"/>
              <w:rPr>
                <w:sz w:val="5"/>
                <w:szCs w:val="5"/>
                <w:color w:val="auto"/>
              </w:rPr>
            </w:pPr>
          </w:p>
        </w:tc>
        <w:tc>
          <w:tcPr>
            <w:tcW w:w="80" w:type="dxa"/>
            <w:vAlign w:val="bottom"/>
            <w:tcBorders>
              <w:bottom w:val="single" w:sz="8" w:color="FDFDFC"/>
            </w:tcBorders>
            <w:shd w:val="clear" w:color="auto" w:fill="FDFDFC"/>
          </w:tcPr>
          <w:p>
            <w:pPr>
              <w:spacing w:after="0"/>
              <w:rPr>
                <w:sz w:val="5"/>
                <w:szCs w:val="5"/>
                <w:color w:val="auto"/>
              </w:rPr>
            </w:pPr>
          </w:p>
        </w:tc>
        <w:tc>
          <w:tcPr>
            <w:tcW w:w="880" w:type="dxa"/>
            <w:vAlign w:val="bottom"/>
            <w:tcBorders>
              <w:bottom w:val="single" w:sz="8" w:color="FDFDFC"/>
            </w:tcBorders>
            <w:shd w:val="clear" w:color="auto" w:fill="FDFDFC"/>
          </w:tcPr>
          <w:p>
            <w:pPr>
              <w:spacing w:after="0"/>
              <w:rPr>
                <w:sz w:val="5"/>
                <w:szCs w:val="5"/>
                <w:color w:val="auto"/>
              </w:rPr>
            </w:pPr>
          </w:p>
        </w:tc>
        <w:tc>
          <w:tcPr>
            <w:tcW w:w="220" w:type="dxa"/>
            <w:vAlign w:val="bottom"/>
            <w:tcBorders>
              <w:bottom w:val="single" w:sz="8" w:color="FDFDFC"/>
              <w:right w:val="single" w:sz="8" w:color="FDFDFC"/>
            </w:tcBorders>
            <w:shd w:val="clear" w:color="auto" w:fill="FDFDFC"/>
          </w:tcPr>
          <w:p>
            <w:pPr>
              <w:spacing w:after="0"/>
              <w:rPr>
                <w:sz w:val="5"/>
                <w:szCs w:val="5"/>
                <w:color w:val="auto"/>
              </w:rPr>
            </w:pPr>
          </w:p>
        </w:tc>
        <w:tc>
          <w:tcPr>
            <w:tcW w:w="880" w:type="dxa"/>
            <w:vAlign w:val="bottom"/>
            <w:tcBorders>
              <w:bottom w:val="single" w:sz="8" w:color="FDFDFC"/>
            </w:tcBorders>
            <w:shd w:val="clear" w:color="auto" w:fill="FDFDFC"/>
          </w:tcPr>
          <w:p>
            <w:pPr>
              <w:spacing w:after="0"/>
              <w:rPr>
                <w:sz w:val="5"/>
                <w:szCs w:val="5"/>
                <w:color w:val="auto"/>
              </w:rPr>
            </w:pPr>
          </w:p>
        </w:tc>
        <w:tc>
          <w:tcPr>
            <w:tcW w:w="240" w:type="dxa"/>
            <w:vAlign w:val="bottom"/>
            <w:tcBorders>
              <w:bottom w:val="single" w:sz="8" w:color="FDFDFC"/>
            </w:tcBorders>
            <w:shd w:val="clear" w:color="auto" w:fill="FDFDFC"/>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1420" w:type="dxa"/>
            <w:vAlign w:val="bottom"/>
            <w:shd w:val="clear" w:color="auto" w:fill="D0EBF2"/>
          </w:tcPr>
          <w:p>
            <w:pPr>
              <w:spacing w:after="0" w:line="20" w:lineRule="exact"/>
              <w:rPr>
                <w:sz w:val="1"/>
                <w:szCs w:val="1"/>
                <w:color w:val="auto"/>
              </w:rPr>
            </w:pPr>
          </w:p>
        </w:tc>
        <w:tc>
          <w:tcPr>
            <w:tcW w:w="100" w:type="dxa"/>
            <w:vAlign w:val="bottom"/>
            <w:shd w:val="clear" w:color="auto" w:fill="D0EBF2"/>
          </w:tcPr>
          <w:p>
            <w:pPr>
              <w:spacing w:after="0" w:line="20" w:lineRule="exact"/>
              <w:rPr>
                <w:sz w:val="1"/>
                <w:szCs w:val="1"/>
                <w:color w:val="auto"/>
              </w:rPr>
            </w:pPr>
          </w:p>
        </w:tc>
        <w:tc>
          <w:tcPr>
            <w:tcW w:w="2340" w:type="dxa"/>
            <w:vAlign w:val="bottom"/>
            <w:shd w:val="clear" w:color="auto" w:fill="D0EBF2"/>
          </w:tcPr>
          <w:p>
            <w:pPr>
              <w:spacing w:after="0" w:line="20" w:lineRule="exact"/>
              <w:rPr>
                <w:sz w:val="1"/>
                <w:szCs w:val="1"/>
                <w:color w:val="auto"/>
              </w:rPr>
            </w:pPr>
          </w:p>
        </w:tc>
        <w:tc>
          <w:tcPr>
            <w:tcW w:w="80" w:type="dxa"/>
            <w:vAlign w:val="bottom"/>
            <w:shd w:val="clear" w:color="auto" w:fill="D0EBF2"/>
          </w:tcPr>
          <w:p>
            <w:pPr>
              <w:spacing w:after="0" w:line="20" w:lineRule="exact"/>
              <w:rPr>
                <w:sz w:val="1"/>
                <w:szCs w:val="1"/>
                <w:color w:val="auto"/>
              </w:rPr>
            </w:pPr>
          </w:p>
        </w:tc>
        <w:tc>
          <w:tcPr>
            <w:tcW w:w="760" w:type="dxa"/>
            <w:vAlign w:val="bottom"/>
            <w:shd w:val="clear" w:color="auto" w:fill="D0EBF2"/>
          </w:tcPr>
          <w:p>
            <w:pPr>
              <w:spacing w:after="0" w:line="20" w:lineRule="exact"/>
              <w:rPr>
                <w:sz w:val="1"/>
                <w:szCs w:val="1"/>
                <w:color w:val="auto"/>
              </w:rPr>
            </w:pPr>
          </w:p>
        </w:tc>
        <w:tc>
          <w:tcPr>
            <w:tcW w:w="100" w:type="dxa"/>
            <w:vAlign w:val="bottom"/>
            <w:shd w:val="clear" w:color="auto" w:fill="D0EBF2"/>
          </w:tcPr>
          <w:p>
            <w:pPr>
              <w:spacing w:after="0" w:line="20" w:lineRule="exact"/>
              <w:rPr>
                <w:sz w:val="1"/>
                <w:szCs w:val="1"/>
                <w:color w:val="auto"/>
              </w:rPr>
            </w:pPr>
          </w:p>
        </w:tc>
        <w:tc>
          <w:tcPr>
            <w:tcW w:w="800" w:type="dxa"/>
            <w:vAlign w:val="bottom"/>
            <w:shd w:val="clear" w:color="auto" w:fill="D0EBF2"/>
          </w:tcPr>
          <w:p>
            <w:pPr>
              <w:spacing w:after="0" w:line="20" w:lineRule="exact"/>
              <w:rPr>
                <w:sz w:val="1"/>
                <w:szCs w:val="1"/>
                <w:color w:val="auto"/>
              </w:rPr>
            </w:pPr>
          </w:p>
        </w:tc>
        <w:tc>
          <w:tcPr>
            <w:tcW w:w="220" w:type="dxa"/>
            <w:vAlign w:val="bottom"/>
            <w:shd w:val="clear" w:color="auto" w:fill="D0EBF2"/>
          </w:tcPr>
          <w:p>
            <w:pPr>
              <w:spacing w:after="0" w:line="20" w:lineRule="exact"/>
              <w:rPr>
                <w:sz w:val="1"/>
                <w:szCs w:val="1"/>
                <w:color w:val="auto"/>
              </w:rPr>
            </w:pPr>
          </w:p>
        </w:tc>
        <w:tc>
          <w:tcPr>
            <w:tcW w:w="760" w:type="dxa"/>
            <w:vAlign w:val="bottom"/>
            <w:shd w:val="clear" w:color="auto" w:fill="D0EBF2"/>
          </w:tcPr>
          <w:p>
            <w:pPr>
              <w:spacing w:after="0" w:line="20" w:lineRule="exact"/>
              <w:rPr>
                <w:sz w:val="1"/>
                <w:szCs w:val="1"/>
                <w:color w:val="auto"/>
              </w:rPr>
            </w:pPr>
          </w:p>
        </w:tc>
        <w:tc>
          <w:tcPr>
            <w:tcW w:w="220" w:type="dxa"/>
            <w:vAlign w:val="bottom"/>
            <w:shd w:val="clear" w:color="auto" w:fill="D0EBF2"/>
          </w:tcPr>
          <w:p>
            <w:pPr>
              <w:spacing w:after="0" w:line="20" w:lineRule="exact"/>
              <w:rPr>
                <w:sz w:val="1"/>
                <w:szCs w:val="1"/>
                <w:color w:val="auto"/>
              </w:rPr>
            </w:pPr>
          </w:p>
        </w:tc>
        <w:tc>
          <w:tcPr>
            <w:tcW w:w="140" w:type="dxa"/>
            <w:vAlign w:val="bottom"/>
            <w:shd w:val="clear" w:color="auto" w:fill="231F20"/>
          </w:tcPr>
          <w:p>
            <w:pPr>
              <w:spacing w:after="0" w:line="20" w:lineRule="exact"/>
              <w:rPr>
                <w:sz w:val="1"/>
                <w:szCs w:val="1"/>
                <w:color w:val="auto"/>
              </w:rPr>
            </w:pPr>
          </w:p>
        </w:tc>
        <w:tc>
          <w:tcPr>
            <w:tcW w:w="860" w:type="dxa"/>
            <w:vAlign w:val="bottom"/>
            <w:shd w:val="clear" w:color="auto" w:fill="231F20"/>
          </w:tcPr>
          <w:p>
            <w:pPr>
              <w:spacing w:after="0" w:line="20" w:lineRule="exact"/>
              <w:rPr>
                <w:sz w:val="1"/>
                <w:szCs w:val="1"/>
                <w:color w:val="auto"/>
              </w:rPr>
            </w:pPr>
          </w:p>
        </w:tc>
        <w:tc>
          <w:tcPr>
            <w:tcW w:w="180" w:type="dxa"/>
            <w:vAlign w:val="bottom"/>
            <w:shd w:val="clear" w:color="auto" w:fill="D0EBF2"/>
          </w:tcPr>
          <w:p>
            <w:pPr>
              <w:spacing w:after="0" w:line="20" w:lineRule="exact"/>
              <w:rPr>
                <w:sz w:val="1"/>
                <w:szCs w:val="1"/>
                <w:color w:val="auto"/>
              </w:rPr>
            </w:pPr>
          </w:p>
        </w:tc>
        <w:tc>
          <w:tcPr>
            <w:tcW w:w="80" w:type="dxa"/>
            <w:vAlign w:val="bottom"/>
            <w:shd w:val="clear" w:color="auto" w:fill="231F20"/>
          </w:tcPr>
          <w:p>
            <w:pPr>
              <w:spacing w:after="0" w:line="20" w:lineRule="exact"/>
              <w:rPr>
                <w:sz w:val="1"/>
                <w:szCs w:val="1"/>
                <w:color w:val="auto"/>
              </w:rPr>
            </w:pPr>
          </w:p>
        </w:tc>
        <w:tc>
          <w:tcPr>
            <w:tcW w:w="880" w:type="dxa"/>
            <w:vAlign w:val="bottom"/>
            <w:shd w:val="clear" w:color="auto" w:fill="231F20"/>
          </w:tcPr>
          <w:p>
            <w:pPr>
              <w:spacing w:after="0" w:line="20" w:lineRule="exact"/>
              <w:rPr>
                <w:sz w:val="1"/>
                <w:szCs w:val="1"/>
                <w:color w:val="auto"/>
              </w:rPr>
            </w:pPr>
          </w:p>
        </w:tc>
        <w:tc>
          <w:tcPr>
            <w:tcW w:w="220" w:type="dxa"/>
            <w:vAlign w:val="bottom"/>
            <w:tcBorders>
              <w:right w:val="single" w:sz="8" w:color="231F20"/>
            </w:tcBorders>
            <w:shd w:val="clear" w:color="auto" w:fill="D0EBF2"/>
          </w:tcPr>
          <w:p>
            <w:pPr>
              <w:spacing w:after="0" w:line="20" w:lineRule="exact"/>
              <w:rPr>
                <w:sz w:val="1"/>
                <w:szCs w:val="1"/>
                <w:color w:val="auto"/>
              </w:rPr>
            </w:pPr>
          </w:p>
        </w:tc>
        <w:tc>
          <w:tcPr>
            <w:tcW w:w="880" w:type="dxa"/>
            <w:vAlign w:val="bottom"/>
            <w:shd w:val="clear" w:color="auto" w:fill="231F2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1420" w:type="dxa"/>
            <w:vAlign w:val="bottom"/>
            <w:shd w:val="clear" w:color="auto" w:fill="D0EBF2"/>
          </w:tcPr>
          <w:p>
            <w:pPr>
              <w:spacing w:after="0"/>
              <w:rPr>
                <w:sz w:val="14"/>
                <w:szCs w:val="14"/>
                <w:color w:val="auto"/>
              </w:rPr>
            </w:pPr>
          </w:p>
        </w:tc>
        <w:tc>
          <w:tcPr>
            <w:tcW w:w="100" w:type="dxa"/>
            <w:vAlign w:val="bottom"/>
            <w:shd w:val="clear" w:color="auto" w:fill="D0EBF2"/>
          </w:tcPr>
          <w:p>
            <w:pPr>
              <w:spacing w:after="0"/>
              <w:rPr>
                <w:sz w:val="14"/>
                <w:szCs w:val="14"/>
                <w:color w:val="auto"/>
              </w:rPr>
            </w:pPr>
          </w:p>
        </w:tc>
        <w:tc>
          <w:tcPr>
            <w:tcW w:w="2340" w:type="dxa"/>
            <w:vAlign w:val="bottom"/>
            <w:shd w:val="clear" w:color="auto" w:fill="D0EBF2"/>
          </w:tcPr>
          <w:p>
            <w:pPr>
              <w:spacing w:after="0"/>
              <w:rPr>
                <w:sz w:val="14"/>
                <w:szCs w:val="14"/>
                <w:color w:val="auto"/>
              </w:rPr>
            </w:pPr>
          </w:p>
        </w:tc>
        <w:tc>
          <w:tcPr>
            <w:tcW w:w="80" w:type="dxa"/>
            <w:vAlign w:val="bottom"/>
            <w:shd w:val="clear" w:color="auto" w:fill="D0EBF2"/>
          </w:tcPr>
          <w:p>
            <w:pPr>
              <w:spacing w:after="0"/>
              <w:rPr>
                <w:sz w:val="14"/>
                <w:szCs w:val="14"/>
                <w:color w:val="auto"/>
              </w:rPr>
            </w:pPr>
          </w:p>
        </w:tc>
        <w:tc>
          <w:tcPr>
            <w:tcW w:w="760" w:type="dxa"/>
            <w:vAlign w:val="bottom"/>
            <w:shd w:val="clear" w:color="auto" w:fill="D0EBF2"/>
          </w:tcPr>
          <w:p>
            <w:pPr>
              <w:spacing w:after="0"/>
              <w:rPr>
                <w:sz w:val="14"/>
                <w:szCs w:val="14"/>
                <w:color w:val="auto"/>
              </w:rPr>
            </w:pPr>
          </w:p>
        </w:tc>
        <w:tc>
          <w:tcPr>
            <w:tcW w:w="100" w:type="dxa"/>
            <w:vAlign w:val="bottom"/>
            <w:shd w:val="clear" w:color="auto" w:fill="D0EBF2"/>
          </w:tcPr>
          <w:p>
            <w:pPr>
              <w:spacing w:after="0"/>
              <w:rPr>
                <w:sz w:val="14"/>
                <w:szCs w:val="14"/>
                <w:color w:val="auto"/>
              </w:rPr>
            </w:pPr>
          </w:p>
        </w:tc>
        <w:tc>
          <w:tcPr>
            <w:tcW w:w="800" w:type="dxa"/>
            <w:vAlign w:val="bottom"/>
            <w:shd w:val="clear" w:color="auto" w:fill="D0EBF2"/>
          </w:tcPr>
          <w:p>
            <w:pPr>
              <w:spacing w:after="0"/>
              <w:rPr>
                <w:sz w:val="14"/>
                <w:szCs w:val="14"/>
                <w:color w:val="auto"/>
              </w:rPr>
            </w:pPr>
          </w:p>
        </w:tc>
        <w:tc>
          <w:tcPr>
            <w:tcW w:w="220" w:type="dxa"/>
            <w:vAlign w:val="bottom"/>
            <w:shd w:val="clear" w:color="auto" w:fill="D0EBF2"/>
          </w:tcPr>
          <w:p>
            <w:pPr>
              <w:spacing w:after="0"/>
              <w:rPr>
                <w:sz w:val="14"/>
                <w:szCs w:val="14"/>
                <w:color w:val="auto"/>
              </w:rPr>
            </w:pPr>
          </w:p>
        </w:tc>
        <w:tc>
          <w:tcPr>
            <w:tcW w:w="760" w:type="dxa"/>
            <w:vAlign w:val="bottom"/>
            <w:shd w:val="clear" w:color="auto" w:fill="D0EBF2"/>
          </w:tcPr>
          <w:p>
            <w:pPr>
              <w:spacing w:after="0"/>
              <w:rPr>
                <w:sz w:val="14"/>
                <w:szCs w:val="14"/>
                <w:color w:val="auto"/>
              </w:rPr>
            </w:pPr>
          </w:p>
        </w:tc>
        <w:tc>
          <w:tcPr>
            <w:tcW w:w="220" w:type="dxa"/>
            <w:vAlign w:val="bottom"/>
            <w:shd w:val="clear" w:color="auto" w:fill="D0EBF2"/>
          </w:tcPr>
          <w:p>
            <w:pPr>
              <w:spacing w:after="0"/>
              <w:rPr>
                <w:sz w:val="14"/>
                <w:szCs w:val="14"/>
                <w:color w:val="auto"/>
              </w:rPr>
            </w:pPr>
          </w:p>
        </w:tc>
        <w:tc>
          <w:tcPr>
            <w:tcW w:w="140" w:type="dxa"/>
            <w:vAlign w:val="bottom"/>
            <w:shd w:val="clear" w:color="auto" w:fill="D0EBF2"/>
          </w:tcPr>
          <w:p>
            <w:pPr>
              <w:spacing w:after="0"/>
              <w:rPr>
                <w:sz w:val="14"/>
                <w:szCs w:val="14"/>
                <w:color w:val="auto"/>
              </w:rPr>
            </w:pPr>
          </w:p>
        </w:tc>
        <w:tc>
          <w:tcPr>
            <w:tcW w:w="860" w:type="dxa"/>
            <w:vAlign w:val="bottom"/>
            <w:shd w:val="clear" w:color="auto" w:fill="D0EBF2"/>
          </w:tcPr>
          <w:p>
            <w:pPr>
              <w:jc w:val="right"/>
              <w:spacing w:after="0" w:line="164" w:lineRule="exact"/>
              <w:rPr>
                <w:sz w:val="20"/>
                <w:szCs w:val="20"/>
                <w:color w:val="auto"/>
              </w:rPr>
            </w:pPr>
            <w:r>
              <w:rPr>
                <w:rFonts w:ascii="Times New Roman" w:cs="Times New Roman" w:eastAsia="Times New Roman" w:hAnsi="Times New Roman"/>
                <w:sz w:val="15"/>
                <w:szCs w:val="15"/>
                <w:color w:val="231F20"/>
              </w:rPr>
              <w:t>563,017</w:t>
            </w:r>
          </w:p>
        </w:tc>
        <w:tc>
          <w:tcPr>
            <w:tcW w:w="180" w:type="dxa"/>
            <w:vAlign w:val="bottom"/>
            <w:shd w:val="clear" w:color="auto" w:fill="D0EBF2"/>
          </w:tcPr>
          <w:p>
            <w:pPr>
              <w:spacing w:after="0"/>
              <w:rPr>
                <w:sz w:val="14"/>
                <w:szCs w:val="14"/>
                <w:color w:val="auto"/>
              </w:rPr>
            </w:pPr>
          </w:p>
        </w:tc>
        <w:tc>
          <w:tcPr>
            <w:tcW w:w="80" w:type="dxa"/>
            <w:vAlign w:val="bottom"/>
            <w:shd w:val="clear" w:color="auto" w:fill="D0EBF2"/>
          </w:tcPr>
          <w:p>
            <w:pPr>
              <w:spacing w:after="0"/>
              <w:rPr>
                <w:sz w:val="14"/>
                <w:szCs w:val="14"/>
                <w:color w:val="auto"/>
              </w:rPr>
            </w:pPr>
          </w:p>
        </w:tc>
        <w:tc>
          <w:tcPr>
            <w:tcW w:w="880" w:type="dxa"/>
            <w:vAlign w:val="bottom"/>
            <w:shd w:val="clear" w:color="auto" w:fill="D0EBF2"/>
          </w:tcPr>
          <w:p>
            <w:pPr>
              <w:jc w:val="right"/>
              <w:spacing w:after="0" w:line="164" w:lineRule="exact"/>
              <w:rPr>
                <w:sz w:val="20"/>
                <w:szCs w:val="20"/>
                <w:color w:val="auto"/>
              </w:rPr>
            </w:pPr>
            <w:r>
              <w:rPr>
                <w:rFonts w:ascii="Times New Roman" w:cs="Times New Roman" w:eastAsia="Times New Roman" w:hAnsi="Times New Roman"/>
                <w:sz w:val="15"/>
                <w:szCs w:val="15"/>
                <w:color w:val="231F20"/>
              </w:rPr>
              <w:t>572,260</w:t>
            </w:r>
          </w:p>
        </w:tc>
        <w:tc>
          <w:tcPr>
            <w:tcW w:w="220" w:type="dxa"/>
            <w:vAlign w:val="bottom"/>
            <w:tcBorders>
              <w:right w:val="single" w:sz="8" w:color="D0EBF2"/>
            </w:tcBorders>
            <w:shd w:val="clear" w:color="auto" w:fill="D0EBF2"/>
          </w:tcPr>
          <w:p>
            <w:pPr>
              <w:spacing w:after="0"/>
              <w:rPr>
                <w:sz w:val="14"/>
                <w:szCs w:val="14"/>
                <w:color w:val="auto"/>
              </w:rPr>
            </w:pPr>
          </w:p>
        </w:tc>
        <w:tc>
          <w:tcPr>
            <w:tcW w:w="1120" w:type="dxa"/>
            <w:vAlign w:val="bottom"/>
            <w:gridSpan w:val="2"/>
          </w:tcPr>
          <w:p>
            <w:pPr>
              <w:jc w:val="right"/>
              <w:ind w:right="120"/>
              <w:spacing w:after="0" w:line="164" w:lineRule="exact"/>
              <w:rPr>
                <w:sz w:val="20"/>
                <w:szCs w:val="20"/>
                <w:color w:val="auto"/>
              </w:rPr>
            </w:pPr>
            <w:r>
              <w:rPr>
                <w:rFonts w:ascii="Times New Roman" w:cs="Times New Roman" w:eastAsia="Times New Roman" w:hAnsi="Times New Roman"/>
                <w:sz w:val="15"/>
                <w:szCs w:val="15"/>
                <w:color w:val="231F20"/>
              </w:rPr>
              <w:t>38.3%</w:t>
            </w:r>
          </w:p>
        </w:tc>
        <w:tc>
          <w:tcPr>
            <w:tcW w:w="0" w:type="dxa"/>
            <w:vAlign w:val="bottom"/>
          </w:tcPr>
          <w:p>
            <w:pPr>
              <w:spacing w:after="0"/>
              <w:rPr>
                <w:sz w:val="1"/>
                <w:szCs w:val="1"/>
                <w:color w:val="auto"/>
              </w:rPr>
            </w:pPr>
          </w:p>
        </w:tc>
      </w:tr>
      <w:tr>
        <w:trPr>
          <w:trHeight w:val="163"/>
        </w:trPr>
        <w:tc>
          <w:tcPr>
            <w:tcW w:w="1420" w:type="dxa"/>
            <w:vAlign w:val="bottom"/>
            <w:tcBorders>
              <w:top w:val="single" w:sz="8" w:color="FDFDFC"/>
            </w:tcBorders>
            <w:shd w:val="clear" w:color="auto" w:fill="FDFDFC"/>
          </w:tcPr>
          <w:p>
            <w:pPr>
              <w:spacing w:after="0" w:line="164" w:lineRule="exact"/>
              <w:rPr>
                <w:sz w:val="20"/>
                <w:szCs w:val="20"/>
                <w:color w:val="auto"/>
              </w:rPr>
            </w:pPr>
            <w:r>
              <w:rPr>
                <w:rFonts w:ascii="Times New Roman" w:cs="Times New Roman" w:eastAsia="Times New Roman" w:hAnsi="Times New Roman"/>
                <w:sz w:val="15"/>
                <w:szCs w:val="15"/>
                <w:b w:val="1"/>
                <w:bCs w:val="1"/>
                <w:color w:val="231F20"/>
              </w:rPr>
              <w:t>Chemicals</w:t>
            </w:r>
          </w:p>
        </w:tc>
        <w:tc>
          <w:tcPr>
            <w:tcW w:w="100" w:type="dxa"/>
            <w:vAlign w:val="bottom"/>
            <w:tcBorders>
              <w:top w:val="single" w:sz="8" w:color="FDFDFC"/>
            </w:tcBorders>
            <w:shd w:val="clear" w:color="auto" w:fill="FDFDFC"/>
          </w:tcPr>
          <w:p>
            <w:pPr>
              <w:spacing w:after="0"/>
              <w:rPr>
                <w:sz w:val="14"/>
                <w:szCs w:val="14"/>
                <w:color w:val="auto"/>
              </w:rPr>
            </w:pPr>
          </w:p>
        </w:tc>
        <w:tc>
          <w:tcPr>
            <w:tcW w:w="2340" w:type="dxa"/>
            <w:vAlign w:val="bottom"/>
            <w:tcBorders>
              <w:top w:val="single" w:sz="8" w:color="FDFDFC"/>
            </w:tcBorders>
            <w:shd w:val="clear" w:color="auto" w:fill="FDFDFC"/>
          </w:tcPr>
          <w:p>
            <w:pPr>
              <w:spacing w:after="0"/>
              <w:rPr>
                <w:sz w:val="14"/>
                <w:szCs w:val="14"/>
                <w:color w:val="auto"/>
              </w:rPr>
            </w:pPr>
          </w:p>
        </w:tc>
        <w:tc>
          <w:tcPr>
            <w:tcW w:w="80" w:type="dxa"/>
            <w:vAlign w:val="bottom"/>
            <w:tcBorders>
              <w:top w:val="single" w:sz="8" w:color="FDFDFC"/>
            </w:tcBorders>
            <w:shd w:val="clear" w:color="auto" w:fill="FDFDFC"/>
          </w:tcPr>
          <w:p>
            <w:pPr>
              <w:spacing w:after="0"/>
              <w:rPr>
                <w:sz w:val="14"/>
                <w:szCs w:val="14"/>
                <w:color w:val="auto"/>
              </w:rPr>
            </w:pPr>
          </w:p>
        </w:tc>
        <w:tc>
          <w:tcPr>
            <w:tcW w:w="760" w:type="dxa"/>
            <w:vAlign w:val="bottom"/>
            <w:tcBorders>
              <w:top w:val="single" w:sz="8" w:color="FDFDFC"/>
            </w:tcBorders>
            <w:shd w:val="clear" w:color="auto" w:fill="FDFDFC"/>
          </w:tcPr>
          <w:p>
            <w:pPr>
              <w:spacing w:after="0"/>
              <w:rPr>
                <w:sz w:val="14"/>
                <w:szCs w:val="14"/>
                <w:color w:val="auto"/>
              </w:rPr>
            </w:pPr>
          </w:p>
        </w:tc>
        <w:tc>
          <w:tcPr>
            <w:tcW w:w="100" w:type="dxa"/>
            <w:vAlign w:val="bottom"/>
            <w:tcBorders>
              <w:top w:val="single" w:sz="8" w:color="FDFDFC"/>
            </w:tcBorders>
            <w:shd w:val="clear" w:color="auto" w:fill="FDFDFC"/>
          </w:tcPr>
          <w:p>
            <w:pPr>
              <w:spacing w:after="0"/>
              <w:rPr>
                <w:sz w:val="14"/>
                <w:szCs w:val="14"/>
                <w:color w:val="auto"/>
              </w:rPr>
            </w:pPr>
          </w:p>
        </w:tc>
        <w:tc>
          <w:tcPr>
            <w:tcW w:w="800" w:type="dxa"/>
            <w:vAlign w:val="bottom"/>
            <w:tcBorders>
              <w:top w:val="single" w:sz="8" w:color="FDFDFC"/>
            </w:tcBorders>
            <w:shd w:val="clear" w:color="auto" w:fill="FDFDFC"/>
          </w:tcPr>
          <w:p>
            <w:pPr>
              <w:spacing w:after="0"/>
              <w:rPr>
                <w:sz w:val="14"/>
                <w:szCs w:val="14"/>
                <w:color w:val="auto"/>
              </w:rPr>
            </w:pPr>
          </w:p>
        </w:tc>
        <w:tc>
          <w:tcPr>
            <w:tcW w:w="220" w:type="dxa"/>
            <w:vAlign w:val="bottom"/>
            <w:tcBorders>
              <w:top w:val="single" w:sz="8" w:color="FDFDFC"/>
            </w:tcBorders>
            <w:shd w:val="clear" w:color="auto" w:fill="FDFDFC"/>
          </w:tcPr>
          <w:p>
            <w:pPr>
              <w:spacing w:after="0"/>
              <w:rPr>
                <w:sz w:val="14"/>
                <w:szCs w:val="14"/>
                <w:color w:val="auto"/>
              </w:rPr>
            </w:pPr>
          </w:p>
        </w:tc>
        <w:tc>
          <w:tcPr>
            <w:tcW w:w="760" w:type="dxa"/>
            <w:vAlign w:val="bottom"/>
            <w:tcBorders>
              <w:top w:val="single" w:sz="8" w:color="FDFDFC"/>
            </w:tcBorders>
            <w:shd w:val="clear" w:color="auto" w:fill="FDFDFC"/>
          </w:tcPr>
          <w:p>
            <w:pPr>
              <w:spacing w:after="0"/>
              <w:rPr>
                <w:sz w:val="14"/>
                <w:szCs w:val="14"/>
                <w:color w:val="auto"/>
              </w:rPr>
            </w:pPr>
          </w:p>
        </w:tc>
        <w:tc>
          <w:tcPr>
            <w:tcW w:w="220" w:type="dxa"/>
            <w:vAlign w:val="bottom"/>
            <w:tcBorders>
              <w:top w:val="single" w:sz="8" w:color="FDFDFC"/>
            </w:tcBorders>
            <w:shd w:val="clear" w:color="auto" w:fill="FDFDFC"/>
          </w:tcPr>
          <w:p>
            <w:pPr>
              <w:spacing w:after="0"/>
              <w:rPr>
                <w:sz w:val="14"/>
                <w:szCs w:val="14"/>
                <w:color w:val="auto"/>
              </w:rPr>
            </w:pPr>
          </w:p>
        </w:tc>
        <w:tc>
          <w:tcPr>
            <w:tcW w:w="140" w:type="dxa"/>
            <w:vAlign w:val="bottom"/>
            <w:tcBorders>
              <w:top w:val="single" w:sz="8" w:color="231F20"/>
            </w:tcBorders>
            <w:shd w:val="clear" w:color="auto" w:fill="FDFDFC"/>
          </w:tcPr>
          <w:p>
            <w:pPr>
              <w:spacing w:after="0"/>
              <w:rPr>
                <w:sz w:val="14"/>
                <w:szCs w:val="14"/>
                <w:color w:val="auto"/>
              </w:rPr>
            </w:pPr>
          </w:p>
        </w:tc>
        <w:tc>
          <w:tcPr>
            <w:tcW w:w="860" w:type="dxa"/>
            <w:vAlign w:val="bottom"/>
            <w:tcBorders>
              <w:top w:val="single" w:sz="8" w:color="231F20"/>
            </w:tcBorders>
            <w:shd w:val="clear" w:color="auto" w:fill="FDFDFC"/>
          </w:tcPr>
          <w:p>
            <w:pPr>
              <w:spacing w:after="0"/>
              <w:rPr>
                <w:sz w:val="14"/>
                <w:szCs w:val="14"/>
                <w:color w:val="auto"/>
              </w:rPr>
            </w:pPr>
          </w:p>
        </w:tc>
        <w:tc>
          <w:tcPr>
            <w:tcW w:w="180" w:type="dxa"/>
            <w:vAlign w:val="bottom"/>
            <w:tcBorders>
              <w:top w:val="single" w:sz="8" w:color="FDFDFC"/>
            </w:tcBorders>
            <w:shd w:val="clear" w:color="auto" w:fill="FDFDFC"/>
          </w:tcPr>
          <w:p>
            <w:pPr>
              <w:spacing w:after="0"/>
              <w:rPr>
                <w:sz w:val="14"/>
                <w:szCs w:val="14"/>
                <w:color w:val="auto"/>
              </w:rPr>
            </w:pPr>
          </w:p>
        </w:tc>
        <w:tc>
          <w:tcPr>
            <w:tcW w:w="80" w:type="dxa"/>
            <w:vAlign w:val="bottom"/>
            <w:tcBorders>
              <w:top w:val="single" w:sz="8" w:color="231F20"/>
            </w:tcBorders>
            <w:shd w:val="clear" w:color="auto" w:fill="FDFDFC"/>
          </w:tcPr>
          <w:p>
            <w:pPr>
              <w:spacing w:after="0"/>
              <w:rPr>
                <w:sz w:val="14"/>
                <w:szCs w:val="14"/>
                <w:color w:val="auto"/>
              </w:rPr>
            </w:pPr>
          </w:p>
        </w:tc>
        <w:tc>
          <w:tcPr>
            <w:tcW w:w="880" w:type="dxa"/>
            <w:vAlign w:val="bottom"/>
            <w:tcBorders>
              <w:top w:val="single" w:sz="8" w:color="231F20"/>
            </w:tcBorders>
            <w:shd w:val="clear" w:color="auto" w:fill="FDFDFC"/>
          </w:tcPr>
          <w:p>
            <w:pPr>
              <w:spacing w:after="0"/>
              <w:rPr>
                <w:sz w:val="14"/>
                <w:szCs w:val="14"/>
                <w:color w:val="auto"/>
              </w:rPr>
            </w:pPr>
          </w:p>
        </w:tc>
        <w:tc>
          <w:tcPr>
            <w:tcW w:w="220" w:type="dxa"/>
            <w:vAlign w:val="bottom"/>
            <w:tcBorders>
              <w:top w:val="single" w:sz="8" w:color="FDFDFC"/>
              <w:right w:val="single" w:sz="8" w:color="FDFDFC"/>
            </w:tcBorders>
            <w:shd w:val="clear" w:color="auto" w:fill="FDFDFC"/>
          </w:tcPr>
          <w:p>
            <w:pPr>
              <w:spacing w:after="0"/>
              <w:rPr>
                <w:sz w:val="14"/>
                <w:szCs w:val="14"/>
                <w:color w:val="auto"/>
              </w:rPr>
            </w:pPr>
          </w:p>
        </w:tc>
        <w:tc>
          <w:tcPr>
            <w:tcW w:w="880" w:type="dxa"/>
            <w:vAlign w:val="bottom"/>
            <w:tcBorders>
              <w:top w:val="single" w:sz="8" w:color="231F20"/>
            </w:tcBorders>
            <w:shd w:val="clear" w:color="auto" w:fill="FDFDFC"/>
          </w:tcPr>
          <w:p>
            <w:pPr>
              <w:spacing w:after="0"/>
              <w:rPr>
                <w:sz w:val="14"/>
                <w:szCs w:val="14"/>
                <w:color w:val="auto"/>
              </w:rPr>
            </w:pPr>
          </w:p>
        </w:tc>
        <w:tc>
          <w:tcPr>
            <w:tcW w:w="240" w:type="dxa"/>
            <w:vAlign w:val="bottom"/>
            <w:tcBorders>
              <w:top w:val="single" w:sz="8" w:color="FDFDFC"/>
            </w:tcBorders>
            <w:shd w:val="clear" w:color="auto" w:fill="FDFDFC"/>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1420" w:type="dxa"/>
            <w:vAlign w:val="bottom"/>
            <w:shd w:val="clear" w:color="auto" w:fill="D0EBF2"/>
          </w:tcPr>
          <w:p>
            <w:pPr>
              <w:spacing w:after="0" w:line="159" w:lineRule="exact"/>
              <w:rPr>
                <w:sz w:val="20"/>
                <w:szCs w:val="20"/>
                <w:color w:val="auto"/>
              </w:rPr>
            </w:pPr>
            <w:r>
              <w:rPr>
                <w:rFonts w:ascii="Times New Roman" w:cs="Times New Roman" w:eastAsia="Times New Roman" w:hAnsi="Times New Roman"/>
                <w:sz w:val="15"/>
                <w:szCs w:val="15"/>
                <w:color w:val="231F20"/>
              </w:rPr>
              <w:t>Erling Lux Bidco</w:t>
            </w:r>
          </w:p>
        </w:tc>
        <w:tc>
          <w:tcPr>
            <w:tcW w:w="100" w:type="dxa"/>
            <w:vAlign w:val="bottom"/>
            <w:shd w:val="clear" w:color="auto" w:fill="D0EBF2"/>
          </w:tcPr>
          <w:p>
            <w:pPr>
              <w:spacing w:after="0"/>
              <w:rPr>
                <w:sz w:val="13"/>
                <w:szCs w:val="13"/>
                <w:color w:val="auto"/>
              </w:rPr>
            </w:pPr>
          </w:p>
        </w:tc>
        <w:tc>
          <w:tcPr>
            <w:tcW w:w="2340" w:type="dxa"/>
            <w:vAlign w:val="bottom"/>
            <w:shd w:val="clear" w:color="auto" w:fill="D0EBF2"/>
          </w:tcPr>
          <w:p>
            <w:pPr>
              <w:spacing w:after="0" w:line="159" w:lineRule="exact"/>
              <w:rPr>
                <w:sz w:val="20"/>
                <w:szCs w:val="20"/>
                <w:color w:val="auto"/>
              </w:rPr>
            </w:pPr>
            <w:r>
              <w:rPr>
                <w:rFonts w:ascii="Times New Roman" w:cs="Times New Roman" w:eastAsia="Times New Roman" w:hAnsi="Times New Roman"/>
                <w:sz w:val="15"/>
                <w:szCs w:val="15"/>
                <w:color w:val="231F20"/>
              </w:rPr>
              <w:t>First-lien loan (EUR 7,239 par, due</w:t>
            </w:r>
          </w:p>
        </w:tc>
        <w:tc>
          <w:tcPr>
            <w:tcW w:w="840" w:type="dxa"/>
            <w:vAlign w:val="bottom"/>
            <w:gridSpan w:val="2"/>
            <w:shd w:val="clear" w:color="auto" w:fill="D0EBF2"/>
          </w:tcPr>
          <w:p>
            <w:pPr>
              <w:jc w:val="right"/>
              <w:spacing w:after="0" w:line="159" w:lineRule="exact"/>
              <w:rPr>
                <w:sz w:val="20"/>
                <w:szCs w:val="20"/>
                <w:color w:val="auto"/>
              </w:rPr>
            </w:pPr>
            <w:r>
              <w:rPr>
                <w:rFonts w:ascii="Times New Roman" w:cs="Times New Roman" w:eastAsia="Times New Roman" w:hAnsi="Times New Roman"/>
                <w:sz w:val="15"/>
                <w:szCs w:val="15"/>
                <w:color w:val="231F20"/>
              </w:rPr>
              <w:t>9/6/2022</w:t>
            </w:r>
          </w:p>
        </w:tc>
        <w:tc>
          <w:tcPr>
            <w:tcW w:w="100" w:type="dxa"/>
            <w:vAlign w:val="bottom"/>
            <w:shd w:val="clear" w:color="auto" w:fill="D0EBF2"/>
          </w:tcPr>
          <w:p>
            <w:pPr>
              <w:spacing w:after="0"/>
              <w:rPr>
                <w:sz w:val="13"/>
                <w:szCs w:val="13"/>
                <w:color w:val="auto"/>
              </w:rPr>
            </w:pPr>
          </w:p>
        </w:tc>
        <w:tc>
          <w:tcPr>
            <w:tcW w:w="1020" w:type="dxa"/>
            <w:vAlign w:val="bottom"/>
            <w:gridSpan w:val="2"/>
            <w:shd w:val="clear" w:color="auto" w:fill="D0EBF2"/>
          </w:tcPr>
          <w:p>
            <w:pPr>
              <w:jc w:val="right"/>
              <w:ind w:right="240"/>
              <w:spacing w:after="0" w:line="159" w:lineRule="exact"/>
              <w:rPr>
                <w:sz w:val="20"/>
                <w:szCs w:val="20"/>
                <w:color w:val="auto"/>
              </w:rPr>
            </w:pPr>
            <w:r>
              <w:rPr>
                <w:rFonts w:ascii="Times New Roman" w:cs="Times New Roman" w:eastAsia="Times New Roman" w:hAnsi="Times New Roman"/>
                <w:sz w:val="15"/>
                <w:szCs w:val="15"/>
                <w:color w:val="231F20"/>
              </w:rPr>
              <w:t>E + 6.75%</w:t>
            </w:r>
          </w:p>
        </w:tc>
        <w:tc>
          <w:tcPr>
            <w:tcW w:w="980" w:type="dxa"/>
            <w:vAlign w:val="bottom"/>
            <w:gridSpan w:val="2"/>
            <w:shd w:val="clear" w:color="auto" w:fill="D0EBF2"/>
          </w:tcPr>
          <w:p>
            <w:pPr>
              <w:jc w:val="right"/>
              <w:ind w:right="100"/>
              <w:spacing w:after="0" w:line="159" w:lineRule="exact"/>
              <w:rPr>
                <w:sz w:val="20"/>
                <w:szCs w:val="20"/>
                <w:color w:val="auto"/>
              </w:rPr>
            </w:pPr>
            <w:r>
              <w:rPr>
                <w:rFonts w:ascii="Times New Roman" w:cs="Times New Roman" w:eastAsia="Times New Roman" w:hAnsi="Times New Roman"/>
                <w:sz w:val="15"/>
                <w:szCs w:val="15"/>
                <w:color w:val="231F20"/>
              </w:rPr>
              <w:t>10.70%</w:t>
            </w:r>
          </w:p>
        </w:tc>
        <w:tc>
          <w:tcPr>
            <w:tcW w:w="140" w:type="dxa"/>
            <w:vAlign w:val="bottom"/>
            <w:shd w:val="clear" w:color="auto" w:fill="D0EBF2"/>
          </w:tcPr>
          <w:p>
            <w:pPr>
              <w:spacing w:after="0"/>
              <w:rPr>
                <w:sz w:val="13"/>
                <w:szCs w:val="13"/>
                <w:color w:val="auto"/>
              </w:rPr>
            </w:pPr>
          </w:p>
        </w:tc>
        <w:tc>
          <w:tcPr>
            <w:tcW w:w="860" w:type="dxa"/>
            <w:vAlign w:val="bottom"/>
            <w:shd w:val="clear" w:color="auto" w:fill="D0EBF2"/>
          </w:tcPr>
          <w:p>
            <w:pPr>
              <w:jc w:val="right"/>
              <w:spacing w:after="0" w:line="159" w:lineRule="exact"/>
              <w:rPr>
                <w:sz w:val="20"/>
                <w:szCs w:val="20"/>
                <w:color w:val="auto"/>
              </w:rPr>
            </w:pPr>
            <w:r>
              <w:rPr>
                <w:rFonts w:ascii="Times New Roman" w:cs="Times New Roman" w:eastAsia="Times New Roman" w:hAnsi="Times New Roman"/>
                <w:sz w:val="15"/>
                <w:szCs w:val="15"/>
                <w:color w:val="231F20"/>
              </w:rPr>
              <w:t>6,954</w:t>
            </w:r>
          </w:p>
        </w:tc>
        <w:tc>
          <w:tcPr>
            <w:tcW w:w="180" w:type="dxa"/>
            <w:vAlign w:val="bottom"/>
            <w:shd w:val="clear" w:color="auto" w:fill="D0EBF2"/>
          </w:tcPr>
          <w:p>
            <w:pPr>
              <w:spacing w:after="0"/>
              <w:rPr>
                <w:sz w:val="13"/>
                <w:szCs w:val="13"/>
                <w:color w:val="auto"/>
              </w:rPr>
            </w:pPr>
          </w:p>
        </w:tc>
        <w:tc>
          <w:tcPr>
            <w:tcW w:w="80" w:type="dxa"/>
            <w:vAlign w:val="bottom"/>
            <w:shd w:val="clear" w:color="auto" w:fill="D0EBF2"/>
          </w:tcPr>
          <w:p>
            <w:pPr>
              <w:spacing w:after="0"/>
              <w:rPr>
                <w:sz w:val="13"/>
                <w:szCs w:val="13"/>
                <w:color w:val="auto"/>
              </w:rPr>
            </w:pPr>
          </w:p>
        </w:tc>
        <w:tc>
          <w:tcPr>
            <w:tcW w:w="880" w:type="dxa"/>
            <w:vAlign w:val="bottom"/>
            <w:shd w:val="clear" w:color="auto" w:fill="D0EBF2"/>
          </w:tcPr>
          <w:p>
            <w:pPr>
              <w:jc w:val="right"/>
              <w:spacing w:after="0" w:line="159" w:lineRule="exact"/>
              <w:rPr>
                <w:sz w:val="20"/>
                <w:szCs w:val="20"/>
                <w:color w:val="auto"/>
              </w:rPr>
            </w:pPr>
            <w:r>
              <w:rPr>
                <w:rFonts w:ascii="Times New Roman" w:cs="Times New Roman" w:eastAsia="Times New Roman" w:hAnsi="Times New Roman"/>
                <w:sz w:val="15"/>
                <w:szCs w:val="15"/>
                <w:color w:val="231F20"/>
              </w:rPr>
              <w:t>8,053</w:t>
            </w:r>
          </w:p>
        </w:tc>
        <w:tc>
          <w:tcPr>
            <w:tcW w:w="220" w:type="dxa"/>
            <w:vAlign w:val="bottom"/>
            <w:tcBorders>
              <w:right w:val="single" w:sz="8" w:color="D0EBF2"/>
            </w:tcBorders>
            <w:shd w:val="clear" w:color="auto" w:fill="D0EBF2"/>
          </w:tcPr>
          <w:p>
            <w:pPr>
              <w:spacing w:after="0"/>
              <w:rPr>
                <w:sz w:val="13"/>
                <w:szCs w:val="13"/>
                <w:color w:val="auto"/>
              </w:rPr>
            </w:pPr>
          </w:p>
        </w:tc>
        <w:tc>
          <w:tcPr>
            <w:tcW w:w="1120" w:type="dxa"/>
            <w:vAlign w:val="bottom"/>
            <w:gridSpan w:val="2"/>
            <w:shd w:val="clear" w:color="auto" w:fill="D0EBF2"/>
          </w:tcPr>
          <w:p>
            <w:pPr>
              <w:jc w:val="right"/>
              <w:ind w:right="120"/>
              <w:spacing w:after="0" w:line="159" w:lineRule="exact"/>
              <w:rPr>
                <w:sz w:val="20"/>
                <w:szCs w:val="20"/>
                <w:color w:val="auto"/>
              </w:rPr>
            </w:pPr>
            <w:r>
              <w:rPr>
                <w:rFonts w:ascii="Times New Roman" w:cs="Times New Roman" w:eastAsia="Times New Roman" w:hAnsi="Times New Roman"/>
                <w:sz w:val="15"/>
                <w:szCs w:val="15"/>
                <w:color w:val="231F20"/>
              </w:rPr>
              <w:t>0.5%</w:t>
            </w:r>
          </w:p>
        </w:tc>
        <w:tc>
          <w:tcPr>
            <w:tcW w:w="0" w:type="dxa"/>
            <w:vAlign w:val="bottom"/>
          </w:tcPr>
          <w:p>
            <w:pPr>
              <w:spacing w:after="0"/>
              <w:rPr>
                <w:sz w:val="1"/>
                <w:szCs w:val="1"/>
                <w:color w:val="auto"/>
              </w:rPr>
            </w:pPr>
          </w:p>
        </w:tc>
      </w:tr>
      <w:tr>
        <w:trPr>
          <w:trHeight w:val="189"/>
        </w:trPr>
        <w:tc>
          <w:tcPr>
            <w:tcW w:w="1420" w:type="dxa"/>
            <w:vAlign w:val="bottom"/>
            <w:shd w:val="clear" w:color="auto" w:fill="D0EBF2"/>
          </w:tcPr>
          <w:p>
            <w:pPr>
              <w:spacing w:after="0" w:line="190" w:lineRule="exact"/>
              <w:rPr>
                <w:sz w:val="20"/>
                <w:szCs w:val="20"/>
                <w:color w:val="auto"/>
              </w:rPr>
            </w:pPr>
            <w:r>
              <w:rPr>
                <w:rFonts w:ascii="Times New Roman" w:cs="Times New Roman" w:eastAsia="Times New Roman" w:hAnsi="Times New Roman"/>
                <w:sz w:val="21"/>
                <w:szCs w:val="21"/>
                <w:color w:val="231F20"/>
                <w:vertAlign w:val="subscript"/>
              </w:rPr>
              <w:t>SARL</w:t>
            </w:r>
            <w:r>
              <w:rPr>
                <w:rFonts w:ascii="Times New Roman" w:cs="Times New Roman" w:eastAsia="Times New Roman" w:hAnsi="Times New Roman"/>
                <w:sz w:val="8"/>
                <w:szCs w:val="8"/>
                <w:color w:val="231F20"/>
              </w:rPr>
              <w:t>(3)(4)</w:t>
            </w:r>
          </w:p>
        </w:tc>
        <w:tc>
          <w:tcPr>
            <w:tcW w:w="2440" w:type="dxa"/>
            <w:vAlign w:val="bottom"/>
            <w:gridSpan w:val="2"/>
            <w:shd w:val="clear" w:color="auto" w:fill="D0EBF2"/>
          </w:tcPr>
          <w:p>
            <w:pPr>
              <w:ind w:left="100"/>
              <w:spacing w:after="0"/>
              <w:rPr>
                <w:sz w:val="20"/>
                <w:szCs w:val="20"/>
                <w:color w:val="auto"/>
              </w:rPr>
            </w:pPr>
            <w:r>
              <w:rPr>
                <w:rFonts w:ascii="Times New Roman" w:cs="Times New Roman" w:eastAsia="Times New Roman" w:hAnsi="Times New Roman"/>
                <w:sz w:val="15"/>
                <w:szCs w:val="15"/>
                <w:color w:val="231F20"/>
              </w:rPr>
              <w:t>9/2028)</w:t>
            </w:r>
          </w:p>
        </w:tc>
        <w:tc>
          <w:tcPr>
            <w:tcW w:w="80" w:type="dxa"/>
            <w:vAlign w:val="bottom"/>
            <w:shd w:val="clear" w:color="auto" w:fill="D0EBF2"/>
          </w:tcPr>
          <w:p>
            <w:pPr>
              <w:spacing w:after="0"/>
              <w:rPr>
                <w:sz w:val="16"/>
                <w:szCs w:val="16"/>
                <w:color w:val="auto"/>
              </w:rPr>
            </w:pPr>
          </w:p>
        </w:tc>
        <w:tc>
          <w:tcPr>
            <w:tcW w:w="760" w:type="dxa"/>
            <w:vAlign w:val="bottom"/>
            <w:shd w:val="clear" w:color="auto" w:fill="D0EBF2"/>
          </w:tcPr>
          <w:p>
            <w:pPr>
              <w:spacing w:after="0"/>
              <w:rPr>
                <w:sz w:val="16"/>
                <w:szCs w:val="16"/>
                <w:color w:val="auto"/>
              </w:rPr>
            </w:pPr>
          </w:p>
        </w:tc>
        <w:tc>
          <w:tcPr>
            <w:tcW w:w="100" w:type="dxa"/>
            <w:vAlign w:val="bottom"/>
            <w:shd w:val="clear" w:color="auto" w:fill="D0EBF2"/>
          </w:tcPr>
          <w:p>
            <w:pPr>
              <w:spacing w:after="0"/>
              <w:rPr>
                <w:sz w:val="16"/>
                <w:szCs w:val="16"/>
                <w:color w:val="auto"/>
              </w:rPr>
            </w:pPr>
          </w:p>
        </w:tc>
        <w:tc>
          <w:tcPr>
            <w:tcW w:w="800" w:type="dxa"/>
            <w:vAlign w:val="bottom"/>
            <w:shd w:val="clear" w:color="auto" w:fill="D0EBF2"/>
          </w:tcPr>
          <w:p>
            <w:pPr>
              <w:spacing w:after="0"/>
              <w:rPr>
                <w:sz w:val="16"/>
                <w:szCs w:val="16"/>
                <w:color w:val="auto"/>
              </w:rPr>
            </w:pPr>
          </w:p>
        </w:tc>
        <w:tc>
          <w:tcPr>
            <w:tcW w:w="220" w:type="dxa"/>
            <w:vAlign w:val="bottom"/>
            <w:shd w:val="clear" w:color="auto" w:fill="D0EBF2"/>
          </w:tcPr>
          <w:p>
            <w:pPr>
              <w:spacing w:after="0"/>
              <w:rPr>
                <w:sz w:val="16"/>
                <w:szCs w:val="16"/>
                <w:color w:val="auto"/>
              </w:rPr>
            </w:pPr>
          </w:p>
        </w:tc>
        <w:tc>
          <w:tcPr>
            <w:tcW w:w="760" w:type="dxa"/>
            <w:vAlign w:val="bottom"/>
            <w:shd w:val="clear" w:color="auto" w:fill="D0EBF2"/>
          </w:tcPr>
          <w:p>
            <w:pPr>
              <w:spacing w:after="0"/>
              <w:rPr>
                <w:sz w:val="16"/>
                <w:szCs w:val="16"/>
                <w:color w:val="auto"/>
              </w:rPr>
            </w:pPr>
          </w:p>
        </w:tc>
        <w:tc>
          <w:tcPr>
            <w:tcW w:w="220" w:type="dxa"/>
            <w:vAlign w:val="bottom"/>
            <w:shd w:val="clear" w:color="auto" w:fill="D0EBF2"/>
          </w:tcPr>
          <w:p>
            <w:pPr>
              <w:spacing w:after="0"/>
              <w:rPr>
                <w:sz w:val="16"/>
                <w:szCs w:val="16"/>
                <w:color w:val="auto"/>
              </w:rPr>
            </w:pPr>
          </w:p>
        </w:tc>
        <w:tc>
          <w:tcPr>
            <w:tcW w:w="140" w:type="dxa"/>
            <w:vAlign w:val="bottom"/>
            <w:shd w:val="clear" w:color="auto" w:fill="D0EBF2"/>
          </w:tcPr>
          <w:p>
            <w:pPr>
              <w:spacing w:after="0"/>
              <w:rPr>
                <w:sz w:val="16"/>
                <w:szCs w:val="16"/>
                <w:color w:val="auto"/>
              </w:rPr>
            </w:pPr>
          </w:p>
        </w:tc>
        <w:tc>
          <w:tcPr>
            <w:tcW w:w="860" w:type="dxa"/>
            <w:vAlign w:val="bottom"/>
            <w:shd w:val="clear" w:color="auto" w:fill="D0EBF2"/>
          </w:tcPr>
          <w:p>
            <w:pPr>
              <w:spacing w:after="0"/>
              <w:rPr>
                <w:sz w:val="16"/>
                <w:szCs w:val="16"/>
                <w:color w:val="auto"/>
              </w:rPr>
            </w:pPr>
          </w:p>
        </w:tc>
        <w:tc>
          <w:tcPr>
            <w:tcW w:w="180" w:type="dxa"/>
            <w:vAlign w:val="bottom"/>
            <w:shd w:val="clear" w:color="auto" w:fill="D0EBF2"/>
          </w:tcPr>
          <w:p>
            <w:pPr>
              <w:spacing w:after="0"/>
              <w:rPr>
                <w:sz w:val="16"/>
                <w:szCs w:val="16"/>
                <w:color w:val="auto"/>
              </w:rPr>
            </w:pPr>
          </w:p>
        </w:tc>
        <w:tc>
          <w:tcPr>
            <w:tcW w:w="80" w:type="dxa"/>
            <w:vAlign w:val="bottom"/>
            <w:shd w:val="clear" w:color="auto" w:fill="D0EBF2"/>
          </w:tcPr>
          <w:p>
            <w:pPr>
              <w:spacing w:after="0"/>
              <w:rPr>
                <w:sz w:val="16"/>
                <w:szCs w:val="16"/>
                <w:color w:val="auto"/>
              </w:rPr>
            </w:pPr>
          </w:p>
        </w:tc>
        <w:tc>
          <w:tcPr>
            <w:tcW w:w="880" w:type="dxa"/>
            <w:vAlign w:val="bottom"/>
            <w:shd w:val="clear" w:color="auto" w:fill="D0EBF2"/>
          </w:tcPr>
          <w:p>
            <w:pPr>
              <w:jc w:val="right"/>
              <w:spacing w:after="0"/>
              <w:rPr>
                <w:sz w:val="20"/>
                <w:szCs w:val="20"/>
                <w:color w:val="auto"/>
              </w:rPr>
            </w:pPr>
            <w:r>
              <w:rPr>
                <w:rFonts w:ascii="Times New Roman" w:cs="Times New Roman" w:eastAsia="Times New Roman" w:hAnsi="Times New Roman"/>
                <w:sz w:val="15"/>
                <w:szCs w:val="15"/>
                <w:color w:val="231F20"/>
              </w:rPr>
              <w:t>(EUR 7,290)</w:t>
            </w:r>
          </w:p>
        </w:tc>
        <w:tc>
          <w:tcPr>
            <w:tcW w:w="220" w:type="dxa"/>
            <w:vAlign w:val="bottom"/>
            <w:tcBorders>
              <w:right w:val="single" w:sz="8" w:color="D0EBF2"/>
            </w:tcBorders>
            <w:shd w:val="clear" w:color="auto" w:fill="D0EBF2"/>
          </w:tcPr>
          <w:p>
            <w:pPr>
              <w:spacing w:after="0"/>
              <w:rPr>
                <w:sz w:val="16"/>
                <w:szCs w:val="16"/>
                <w:color w:val="auto"/>
              </w:rPr>
            </w:pPr>
          </w:p>
        </w:tc>
        <w:tc>
          <w:tcPr>
            <w:tcW w:w="880" w:type="dxa"/>
            <w:vAlign w:val="bottom"/>
            <w:shd w:val="clear" w:color="auto" w:fill="D0EBF2"/>
          </w:tcPr>
          <w:p>
            <w:pPr>
              <w:spacing w:after="0"/>
              <w:rPr>
                <w:sz w:val="16"/>
                <w:szCs w:val="16"/>
                <w:color w:val="auto"/>
              </w:rPr>
            </w:pPr>
          </w:p>
        </w:tc>
        <w:tc>
          <w:tcPr>
            <w:tcW w:w="240" w:type="dxa"/>
            <w:vAlign w:val="bottom"/>
            <w:shd w:val="clear" w:color="auto" w:fill="D0EBF2"/>
          </w:tcPr>
          <w:p>
            <w:pPr>
              <w:spacing w:after="0"/>
              <w:rPr>
                <w:sz w:val="16"/>
                <w:szCs w:val="16"/>
                <w:color w:val="auto"/>
              </w:rPr>
            </w:pPr>
          </w:p>
        </w:tc>
        <w:tc>
          <w:tcPr>
            <w:tcW w:w="0" w:type="dxa"/>
            <w:vAlign w:val="bottom"/>
          </w:tcPr>
          <w:p>
            <w:pPr>
              <w:spacing w:after="0"/>
              <w:rPr>
                <w:sz w:val="1"/>
                <w:szCs w:val="1"/>
                <w:color w:val="auto"/>
              </w:rPr>
            </w:pPr>
          </w:p>
        </w:tc>
      </w:tr>
      <w:tr>
        <w:trPr>
          <w:trHeight w:val="158"/>
        </w:trPr>
        <w:tc>
          <w:tcPr>
            <w:tcW w:w="1420" w:type="dxa"/>
            <w:vAlign w:val="bottom"/>
            <w:shd w:val="clear" w:color="auto" w:fill="FDFDFC"/>
          </w:tcPr>
          <w:p>
            <w:pPr>
              <w:spacing w:after="0"/>
              <w:rPr>
                <w:sz w:val="13"/>
                <w:szCs w:val="13"/>
                <w:color w:val="auto"/>
              </w:rPr>
            </w:pPr>
          </w:p>
        </w:tc>
        <w:tc>
          <w:tcPr>
            <w:tcW w:w="100" w:type="dxa"/>
            <w:vAlign w:val="bottom"/>
            <w:shd w:val="clear" w:color="auto" w:fill="FDFDFC"/>
          </w:tcPr>
          <w:p>
            <w:pPr>
              <w:spacing w:after="0"/>
              <w:rPr>
                <w:sz w:val="13"/>
                <w:szCs w:val="13"/>
                <w:color w:val="auto"/>
              </w:rPr>
            </w:pPr>
          </w:p>
        </w:tc>
        <w:tc>
          <w:tcPr>
            <w:tcW w:w="2340" w:type="dxa"/>
            <w:vAlign w:val="bottom"/>
            <w:shd w:val="clear" w:color="auto" w:fill="FDFDFC"/>
          </w:tcPr>
          <w:p>
            <w:pPr>
              <w:spacing w:after="0" w:line="159" w:lineRule="exact"/>
              <w:rPr>
                <w:sz w:val="20"/>
                <w:szCs w:val="20"/>
                <w:color w:val="auto"/>
              </w:rPr>
            </w:pPr>
            <w:r>
              <w:rPr>
                <w:rFonts w:ascii="Times New Roman" w:cs="Times New Roman" w:eastAsia="Times New Roman" w:hAnsi="Times New Roman"/>
                <w:sz w:val="15"/>
                <w:szCs w:val="15"/>
                <w:color w:val="231F20"/>
              </w:rPr>
              <w:t>First-lien loan (GBP 12,287 par, due</w:t>
            </w:r>
          </w:p>
        </w:tc>
        <w:tc>
          <w:tcPr>
            <w:tcW w:w="840" w:type="dxa"/>
            <w:vAlign w:val="bottom"/>
            <w:gridSpan w:val="2"/>
            <w:shd w:val="clear" w:color="auto" w:fill="FDFDFC"/>
          </w:tcPr>
          <w:p>
            <w:pPr>
              <w:jc w:val="right"/>
              <w:spacing w:after="0" w:line="159" w:lineRule="exact"/>
              <w:rPr>
                <w:sz w:val="20"/>
                <w:szCs w:val="20"/>
                <w:color w:val="auto"/>
              </w:rPr>
            </w:pPr>
            <w:r>
              <w:rPr>
                <w:rFonts w:ascii="Times New Roman" w:cs="Times New Roman" w:eastAsia="Times New Roman" w:hAnsi="Times New Roman"/>
                <w:sz w:val="15"/>
                <w:szCs w:val="15"/>
                <w:color w:val="231F20"/>
              </w:rPr>
              <w:t>9/6/2022</w:t>
            </w:r>
          </w:p>
        </w:tc>
        <w:tc>
          <w:tcPr>
            <w:tcW w:w="100" w:type="dxa"/>
            <w:vAlign w:val="bottom"/>
            <w:shd w:val="clear" w:color="auto" w:fill="FDFDFC"/>
          </w:tcPr>
          <w:p>
            <w:pPr>
              <w:spacing w:after="0"/>
              <w:rPr>
                <w:sz w:val="13"/>
                <w:szCs w:val="13"/>
                <w:color w:val="auto"/>
              </w:rPr>
            </w:pPr>
          </w:p>
        </w:tc>
        <w:tc>
          <w:tcPr>
            <w:tcW w:w="1020" w:type="dxa"/>
            <w:vAlign w:val="bottom"/>
            <w:gridSpan w:val="2"/>
            <w:shd w:val="clear" w:color="auto" w:fill="FDFDFC"/>
          </w:tcPr>
          <w:p>
            <w:pPr>
              <w:jc w:val="right"/>
              <w:ind w:right="240"/>
              <w:spacing w:after="0" w:line="159" w:lineRule="exact"/>
              <w:rPr>
                <w:sz w:val="20"/>
                <w:szCs w:val="20"/>
                <w:color w:val="auto"/>
              </w:rPr>
            </w:pPr>
            <w:r>
              <w:rPr>
                <w:rFonts w:ascii="Times New Roman" w:cs="Times New Roman" w:eastAsia="Times New Roman" w:hAnsi="Times New Roman"/>
                <w:sz w:val="15"/>
                <w:szCs w:val="15"/>
                <w:color w:val="231F20"/>
              </w:rPr>
              <w:t>S + 6.75%</w:t>
            </w:r>
          </w:p>
        </w:tc>
        <w:tc>
          <w:tcPr>
            <w:tcW w:w="980" w:type="dxa"/>
            <w:vAlign w:val="bottom"/>
            <w:gridSpan w:val="2"/>
            <w:shd w:val="clear" w:color="auto" w:fill="FDFDFC"/>
          </w:tcPr>
          <w:p>
            <w:pPr>
              <w:jc w:val="right"/>
              <w:ind w:right="100"/>
              <w:spacing w:after="0" w:line="159" w:lineRule="exact"/>
              <w:rPr>
                <w:sz w:val="20"/>
                <w:szCs w:val="20"/>
                <w:color w:val="auto"/>
              </w:rPr>
            </w:pPr>
            <w:r>
              <w:rPr>
                <w:rFonts w:ascii="Times New Roman" w:cs="Times New Roman" w:eastAsia="Times New Roman" w:hAnsi="Times New Roman"/>
                <w:sz w:val="15"/>
                <w:szCs w:val="15"/>
                <w:color w:val="231F20"/>
              </w:rPr>
              <w:t>11.98%</w:t>
            </w:r>
          </w:p>
        </w:tc>
        <w:tc>
          <w:tcPr>
            <w:tcW w:w="140" w:type="dxa"/>
            <w:vAlign w:val="bottom"/>
            <w:shd w:val="clear" w:color="auto" w:fill="FDFDFC"/>
          </w:tcPr>
          <w:p>
            <w:pPr>
              <w:spacing w:after="0"/>
              <w:rPr>
                <w:sz w:val="13"/>
                <w:szCs w:val="13"/>
                <w:color w:val="auto"/>
              </w:rPr>
            </w:pPr>
          </w:p>
        </w:tc>
        <w:tc>
          <w:tcPr>
            <w:tcW w:w="860" w:type="dxa"/>
            <w:vAlign w:val="bottom"/>
            <w:shd w:val="clear" w:color="auto" w:fill="FDFDFC"/>
          </w:tcPr>
          <w:p>
            <w:pPr>
              <w:jc w:val="right"/>
              <w:spacing w:after="0" w:line="159" w:lineRule="exact"/>
              <w:rPr>
                <w:sz w:val="20"/>
                <w:szCs w:val="20"/>
                <w:color w:val="auto"/>
              </w:rPr>
            </w:pPr>
            <w:r>
              <w:rPr>
                <w:rFonts w:ascii="Times New Roman" w:cs="Times New Roman" w:eastAsia="Times New Roman" w:hAnsi="Times New Roman"/>
                <w:sz w:val="15"/>
                <w:szCs w:val="15"/>
                <w:color w:val="231F20"/>
              </w:rPr>
              <w:t>13,860</w:t>
            </w:r>
          </w:p>
        </w:tc>
        <w:tc>
          <w:tcPr>
            <w:tcW w:w="180" w:type="dxa"/>
            <w:vAlign w:val="bottom"/>
            <w:shd w:val="clear" w:color="auto" w:fill="FDFDFC"/>
          </w:tcPr>
          <w:p>
            <w:pPr>
              <w:spacing w:after="0"/>
              <w:rPr>
                <w:sz w:val="13"/>
                <w:szCs w:val="13"/>
                <w:color w:val="auto"/>
              </w:rPr>
            </w:pPr>
          </w:p>
        </w:tc>
        <w:tc>
          <w:tcPr>
            <w:tcW w:w="80" w:type="dxa"/>
            <w:vAlign w:val="bottom"/>
            <w:shd w:val="clear" w:color="auto" w:fill="FDFDFC"/>
          </w:tcPr>
          <w:p>
            <w:pPr>
              <w:spacing w:after="0"/>
              <w:rPr>
                <w:sz w:val="13"/>
                <w:szCs w:val="13"/>
                <w:color w:val="auto"/>
              </w:rPr>
            </w:pPr>
          </w:p>
        </w:tc>
        <w:tc>
          <w:tcPr>
            <w:tcW w:w="880" w:type="dxa"/>
            <w:vAlign w:val="bottom"/>
            <w:shd w:val="clear" w:color="auto" w:fill="FDFDFC"/>
          </w:tcPr>
          <w:p>
            <w:pPr>
              <w:jc w:val="right"/>
              <w:spacing w:after="0" w:line="159" w:lineRule="exact"/>
              <w:rPr>
                <w:sz w:val="20"/>
                <w:szCs w:val="20"/>
                <w:color w:val="auto"/>
              </w:rPr>
            </w:pPr>
            <w:r>
              <w:rPr>
                <w:rFonts w:ascii="Times New Roman" w:cs="Times New Roman" w:eastAsia="Times New Roman" w:hAnsi="Times New Roman"/>
                <w:sz w:val="15"/>
                <w:szCs w:val="15"/>
                <w:color w:val="231F20"/>
              </w:rPr>
              <w:t>15,742</w:t>
            </w:r>
          </w:p>
        </w:tc>
        <w:tc>
          <w:tcPr>
            <w:tcW w:w="1340" w:type="dxa"/>
            <w:vAlign w:val="bottom"/>
            <w:gridSpan w:val="3"/>
            <w:shd w:val="clear" w:color="auto" w:fill="FDFDFC"/>
          </w:tcPr>
          <w:p>
            <w:pPr>
              <w:jc w:val="right"/>
              <w:ind w:right="120"/>
              <w:spacing w:after="0" w:line="159" w:lineRule="exact"/>
              <w:rPr>
                <w:sz w:val="20"/>
                <w:szCs w:val="20"/>
                <w:color w:val="auto"/>
              </w:rPr>
            </w:pPr>
            <w:r>
              <w:rPr>
                <w:rFonts w:ascii="Times New Roman" w:cs="Times New Roman" w:eastAsia="Times New Roman" w:hAnsi="Times New Roman"/>
                <w:sz w:val="15"/>
                <w:szCs w:val="15"/>
                <w:color w:val="231F20"/>
              </w:rPr>
              <w:t>1.1%</w:t>
            </w:r>
          </w:p>
        </w:tc>
        <w:tc>
          <w:tcPr>
            <w:tcW w:w="0" w:type="dxa"/>
            <w:vAlign w:val="bottom"/>
          </w:tcPr>
          <w:p>
            <w:pPr>
              <w:spacing w:after="0"/>
              <w:rPr>
                <w:sz w:val="1"/>
                <w:szCs w:val="1"/>
                <w:color w:val="auto"/>
              </w:rPr>
            </w:pPr>
          </w:p>
        </w:tc>
      </w:tr>
      <w:tr>
        <w:trPr>
          <w:trHeight w:val="174"/>
        </w:trPr>
        <w:tc>
          <w:tcPr>
            <w:tcW w:w="1420" w:type="dxa"/>
            <w:vAlign w:val="bottom"/>
            <w:shd w:val="clear" w:color="auto" w:fill="FDFDFC"/>
          </w:tcPr>
          <w:p>
            <w:pPr>
              <w:spacing w:after="0"/>
              <w:rPr>
                <w:sz w:val="15"/>
                <w:szCs w:val="15"/>
                <w:color w:val="auto"/>
              </w:rPr>
            </w:pPr>
          </w:p>
        </w:tc>
        <w:tc>
          <w:tcPr>
            <w:tcW w:w="2440" w:type="dxa"/>
            <w:vAlign w:val="bottom"/>
            <w:gridSpan w:val="2"/>
            <w:shd w:val="clear" w:color="auto" w:fill="FDFDFC"/>
          </w:tcPr>
          <w:p>
            <w:pPr>
              <w:ind w:left="100"/>
              <w:spacing w:after="0"/>
              <w:rPr>
                <w:sz w:val="20"/>
                <w:szCs w:val="20"/>
                <w:color w:val="auto"/>
              </w:rPr>
            </w:pPr>
            <w:r>
              <w:rPr>
                <w:rFonts w:ascii="Times New Roman" w:cs="Times New Roman" w:eastAsia="Times New Roman" w:hAnsi="Times New Roman"/>
                <w:sz w:val="15"/>
                <w:szCs w:val="15"/>
                <w:color w:val="231F20"/>
              </w:rPr>
              <w:t>9/2028)</w:t>
            </w:r>
          </w:p>
        </w:tc>
        <w:tc>
          <w:tcPr>
            <w:tcW w:w="80" w:type="dxa"/>
            <w:vAlign w:val="bottom"/>
            <w:shd w:val="clear" w:color="auto" w:fill="FDFDFC"/>
          </w:tcPr>
          <w:p>
            <w:pPr>
              <w:spacing w:after="0"/>
              <w:rPr>
                <w:sz w:val="15"/>
                <w:szCs w:val="15"/>
                <w:color w:val="auto"/>
              </w:rPr>
            </w:pPr>
          </w:p>
        </w:tc>
        <w:tc>
          <w:tcPr>
            <w:tcW w:w="760" w:type="dxa"/>
            <w:vAlign w:val="bottom"/>
            <w:shd w:val="clear" w:color="auto" w:fill="FDFDFC"/>
          </w:tcPr>
          <w:p>
            <w:pPr>
              <w:spacing w:after="0"/>
              <w:rPr>
                <w:sz w:val="15"/>
                <w:szCs w:val="15"/>
                <w:color w:val="auto"/>
              </w:rPr>
            </w:pPr>
          </w:p>
        </w:tc>
        <w:tc>
          <w:tcPr>
            <w:tcW w:w="100" w:type="dxa"/>
            <w:vAlign w:val="bottom"/>
            <w:shd w:val="clear" w:color="auto" w:fill="FDFDFC"/>
          </w:tcPr>
          <w:p>
            <w:pPr>
              <w:spacing w:after="0"/>
              <w:rPr>
                <w:sz w:val="15"/>
                <w:szCs w:val="15"/>
                <w:color w:val="auto"/>
              </w:rPr>
            </w:pPr>
          </w:p>
        </w:tc>
        <w:tc>
          <w:tcPr>
            <w:tcW w:w="800" w:type="dxa"/>
            <w:vAlign w:val="bottom"/>
            <w:shd w:val="clear" w:color="auto" w:fill="FDFDFC"/>
          </w:tcPr>
          <w:p>
            <w:pPr>
              <w:spacing w:after="0"/>
              <w:rPr>
                <w:sz w:val="15"/>
                <w:szCs w:val="15"/>
                <w:color w:val="auto"/>
              </w:rPr>
            </w:pPr>
          </w:p>
        </w:tc>
        <w:tc>
          <w:tcPr>
            <w:tcW w:w="220" w:type="dxa"/>
            <w:vAlign w:val="bottom"/>
            <w:shd w:val="clear" w:color="auto" w:fill="FDFDFC"/>
          </w:tcPr>
          <w:p>
            <w:pPr>
              <w:spacing w:after="0"/>
              <w:rPr>
                <w:sz w:val="15"/>
                <w:szCs w:val="15"/>
                <w:color w:val="auto"/>
              </w:rPr>
            </w:pPr>
          </w:p>
        </w:tc>
        <w:tc>
          <w:tcPr>
            <w:tcW w:w="760" w:type="dxa"/>
            <w:vAlign w:val="bottom"/>
            <w:shd w:val="clear" w:color="auto" w:fill="FDFDFC"/>
          </w:tcPr>
          <w:p>
            <w:pPr>
              <w:spacing w:after="0"/>
              <w:rPr>
                <w:sz w:val="15"/>
                <w:szCs w:val="15"/>
                <w:color w:val="auto"/>
              </w:rPr>
            </w:pPr>
          </w:p>
        </w:tc>
        <w:tc>
          <w:tcPr>
            <w:tcW w:w="220" w:type="dxa"/>
            <w:vAlign w:val="bottom"/>
            <w:shd w:val="clear" w:color="auto" w:fill="FDFDFC"/>
          </w:tcPr>
          <w:p>
            <w:pPr>
              <w:spacing w:after="0"/>
              <w:rPr>
                <w:sz w:val="15"/>
                <w:szCs w:val="15"/>
                <w:color w:val="auto"/>
              </w:rPr>
            </w:pPr>
          </w:p>
        </w:tc>
        <w:tc>
          <w:tcPr>
            <w:tcW w:w="140" w:type="dxa"/>
            <w:vAlign w:val="bottom"/>
            <w:shd w:val="clear" w:color="auto" w:fill="FDFDFC"/>
          </w:tcPr>
          <w:p>
            <w:pPr>
              <w:spacing w:after="0"/>
              <w:rPr>
                <w:sz w:val="15"/>
                <w:szCs w:val="15"/>
                <w:color w:val="auto"/>
              </w:rPr>
            </w:pPr>
          </w:p>
        </w:tc>
        <w:tc>
          <w:tcPr>
            <w:tcW w:w="860" w:type="dxa"/>
            <w:vAlign w:val="bottom"/>
            <w:shd w:val="clear" w:color="auto" w:fill="FDFDFC"/>
          </w:tcPr>
          <w:p>
            <w:pPr>
              <w:spacing w:after="0"/>
              <w:rPr>
                <w:sz w:val="15"/>
                <w:szCs w:val="15"/>
                <w:color w:val="auto"/>
              </w:rPr>
            </w:pPr>
          </w:p>
        </w:tc>
        <w:tc>
          <w:tcPr>
            <w:tcW w:w="180" w:type="dxa"/>
            <w:vAlign w:val="bottom"/>
            <w:shd w:val="clear" w:color="auto" w:fill="FDFDFC"/>
          </w:tcPr>
          <w:p>
            <w:pPr>
              <w:spacing w:after="0"/>
              <w:rPr>
                <w:sz w:val="15"/>
                <w:szCs w:val="15"/>
                <w:color w:val="auto"/>
              </w:rPr>
            </w:pPr>
          </w:p>
        </w:tc>
        <w:tc>
          <w:tcPr>
            <w:tcW w:w="80" w:type="dxa"/>
            <w:vAlign w:val="bottom"/>
            <w:shd w:val="clear" w:color="auto" w:fill="FDFDFC"/>
          </w:tcPr>
          <w:p>
            <w:pPr>
              <w:spacing w:after="0"/>
              <w:rPr>
                <w:sz w:val="15"/>
                <w:szCs w:val="15"/>
                <w:color w:val="auto"/>
              </w:rPr>
            </w:pPr>
          </w:p>
        </w:tc>
        <w:tc>
          <w:tcPr>
            <w:tcW w:w="880" w:type="dxa"/>
            <w:vAlign w:val="bottom"/>
            <w:shd w:val="clear" w:color="auto" w:fill="FDFDFC"/>
          </w:tcPr>
          <w:p>
            <w:pPr>
              <w:jc w:val="right"/>
              <w:spacing w:after="0"/>
              <w:rPr>
                <w:sz w:val="20"/>
                <w:szCs w:val="20"/>
                <w:color w:val="auto"/>
              </w:rPr>
            </w:pPr>
            <w:r>
              <w:rPr>
                <w:rFonts w:ascii="Times New Roman" w:cs="Times New Roman" w:eastAsia="Times New Roman" w:hAnsi="Times New Roman"/>
                <w:sz w:val="15"/>
                <w:szCs w:val="15"/>
                <w:color w:val="231F20"/>
              </w:rPr>
              <w:t>(GBP</w:t>
            </w:r>
          </w:p>
        </w:tc>
        <w:tc>
          <w:tcPr>
            <w:tcW w:w="220" w:type="dxa"/>
            <w:vAlign w:val="bottom"/>
            <w:tcBorders>
              <w:right w:val="single" w:sz="8" w:color="FDFDFC"/>
            </w:tcBorders>
            <w:shd w:val="clear" w:color="auto" w:fill="FDFDFC"/>
          </w:tcPr>
          <w:p>
            <w:pPr>
              <w:spacing w:after="0"/>
              <w:rPr>
                <w:sz w:val="15"/>
                <w:szCs w:val="15"/>
                <w:color w:val="auto"/>
              </w:rPr>
            </w:pPr>
          </w:p>
        </w:tc>
        <w:tc>
          <w:tcPr>
            <w:tcW w:w="880" w:type="dxa"/>
            <w:vAlign w:val="bottom"/>
            <w:shd w:val="clear" w:color="auto" w:fill="FDFDFC"/>
          </w:tcPr>
          <w:p>
            <w:pPr>
              <w:spacing w:after="0"/>
              <w:rPr>
                <w:sz w:val="15"/>
                <w:szCs w:val="15"/>
                <w:color w:val="auto"/>
              </w:rPr>
            </w:pPr>
          </w:p>
        </w:tc>
        <w:tc>
          <w:tcPr>
            <w:tcW w:w="240" w:type="dxa"/>
            <w:vAlign w:val="bottom"/>
            <w:shd w:val="clear" w:color="auto" w:fill="FDFDFC"/>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1420" w:type="dxa"/>
            <w:vAlign w:val="bottom"/>
            <w:shd w:val="clear" w:color="auto" w:fill="FDFDFC"/>
          </w:tcPr>
          <w:p>
            <w:pPr>
              <w:spacing w:after="0"/>
              <w:rPr>
                <w:sz w:val="16"/>
                <w:szCs w:val="16"/>
                <w:color w:val="auto"/>
              </w:rPr>
            </w:pPr>
          </w:p>
        </w:tc>
        <w:tc>
          <w:tcPr>
            <w:tcW w:w="100" w:type="dxa"/>
            <w:vAlign w:val="bottom"/>
            <w:shd w:val="clear" w:color="auto" w:fill="FDFDFC"/>
          </w:tcPr>
          <w:p>
            <w:pPr>
              <w:spacing w:after="0"/>
              <w:rPr>
                <w:sz w:val="16"/>
                <w:szCs w:val="16"/>
                <w:color w:val="auto"/>
              </w:rPr>
            </w:pPr>
          </w:p>
        </w:tc>
        <w:tc>
          <w:tcPr>
            <w:tcW w:w="2340" w:type="dxa"/>
            <w:vAlign w:val="bottom"/>
            <w:shd w:val="clear" w:color="auto" w:fill="FDFDFC"/>
          </w:tcPr>
          <w:p>
            <w:pPr>
              <w:spacing w:after="0"/>
              <w:rPr>
                <w:sz w:val="16"/>
                <w:szCs w:val="16"/>
                <w:color w:val="auto"/>
              </w:rPr>
            </w:pPr>
          </w:p>
        </w:tc>
        <w:tc>
          <w:tcPr>
            <w:tcW w:w="80" w:type="dxa"/>
            <w:vAlign w:val="bottom"/>
            <w:shd w:val="clear" w:color="auto" w:fill="FDFDFC"/>
          </w:tcPr>
          <w:p>
            <w:pPr>
              <w:spacing w:after="0"/>
              <w:rPr>
                <w:sz w:val="16"/>
                <w:szCs w:val="16"/>
                <w:color w:val="auto"/>
              </w:rPr>
            </w:pPr>
          </w:p>
        </w:tc>
        <w:tc>
          <w:tcPr>
            <w:tcW w:w="760" w:type="dxa"/>
            <w:vAlign w:val="bottom"/>
            <w:shd w:val="clear" w:color="auto" w:fill="FDFDFC"/>
          </w:tcPr>
          <w:p>
            <w:pPr>
              <w:spacing w:after="0"/>
              <w:rPr>
                <w:sz w:val="16"/>
                <w:szCs w:val="16"/>
                <w:color w:val="auto"/>
              </w:rPr>
            </w:pPr>
          </w:p>
        </w:tc>
        <w:tc>
          <w:tcPr>
            <w:tcW w:w="100" w:type="dxa"/>
            <w:vAlign w:val="bottom"/>
            <w:shd w:val="clear" w:color="auto" w:fill="FDFDFC"/>
          </w:tcPr>
          <w:p>
            <w:pPr>
              <w:spacing w:after="0"/>
              <w:rPr>
                <w:sz w:val="16"/>
                <w:szCs w:val="16"/>
                <w:color w:val="auto"/>
              </w:rPr>
            </w:pPr>
          </w:p>
        </w:tc>
        <w:tc>
          <w:tcPr>
            <w:tcW w:w="800" w:type="dxa"/>
            <w:vAlign w:val="bottom"/>
            <w:shd w:val="clear" w:color="auto" w:fill="FDFDFC"/>
          </w:tcPr>
          <w:p>
            <w:pPr>
              <w:spacing w:after="0"/>
              <w:rPr>
                <w:sz w:val="16"/>
                <w:szCs w:val="16"/>
                <w:color w:val="auto"/>
              </w:rPr>
            </w:pPr>
          </w:p>
        </w:tc>
        <w:tc>
          <w:tcPr>
            <w:tcW w:w="220" w:type="dxa"/>
            <w:vAlign w:val="bottom"/>
            <w:shd w:val="clear" w:color="auto" w:fill="FDFDFC"/>
          </w:tcPr>
          <w:p>
            <w:pPr>
              <w:spacing w:after="0"/>
              <w:rPr>
                <w:sz w:val="16"/>
                <w:szCs w:val="16"/>
                <w:color w:val="auto"/>
              </w:rPr>
            </w:pPr>
          </w:p>
        </w:tc>
        <w:tc>
          <w:tcPr>
            <w:tcW w:w="760" w:type="dxa"/>
            <w:vAlign w:val="bottom"/>
            <w:shd w:val="clear" w:color="auto" w:fill="FDFDFC"/>
          </w:tcPr>
          <w:p>
            <w:pPr>
              <w:spacing w:after="0"/>
              <w:rPr>
                <w:sz w:val="16"/>
                <w:szCs w:val="16"/>
                <w:color w:val="auto"/>
              </w:rPr>
            </w:pPr>
          </w:p>
        </w:tc>
        <w:tc>
          <w:tcPr>
            <w:tcW w:w="220" w:type="dxa"/>
            <w:vAlign w:val="bottom"/>
            <w:shd w:val="clear" w:color="auto" w:fill="FDFDFC"/>
          </w:tcPr>
          <w:p>
            <w:pPr>
              <w:spacing w:after="0"/>
              <w:rPr>
                <w:sz w:val="16"/>
                <w:szCs w:val="16"/>
                <w:color w:val="auto"/>
              </w:rPr>
            </w:pPr>
          </w:p>
        </w:tc>
        <w:tc>
          <w:tcPr>
            <w:tcW w:w="140" w:type="dxa"/>
            <w:vAlign w:val="bottom"/>
            <w:shd w:val="clear" w:color="auto" w:fill="FDFDFC"/>
          </w:tcPr>
          <w:p>
            <w:pPr>
              <w:spacing w:after="0"/>
              <w:rPr>
                <w:sz w:val="16"/>
                <w:szCs w:val="16"/>
                <w:color w:val="auto"/>
              </w:rPr>
            </w:pPr>
          </w:p>
        </w:tc>
        <w:tc>
          <w:tcPr>
            <w:tcW w:w="860" w:type="dxa"/>
            <w:vAlign w:val="bottom"/>
            <w:shd w:val="clear" w:color="auto" w:fill="FDFDFC"/>
          </w:tcPr>
          <w:p>
            <w:pPr>
              <w:spacing w:after="0"/>
              <w:rPr>
                <w:sz w:val="16"/>
                <w:szCs w:val="16"/>
                <w:color w:val="auto"/>
              </w:rPr>
            </w:pPr>
          </w:p>
        </w:tc>
        <w:tc>
          <w:tcPr>
            <w:tcW w:w="180" w:type="dxa"/>
            <w:vAlign w:val="bottom"/>
            <w:shd w:val="clear" w:color="auto" w:fill="FDFDFC"/>
          </w:tcPr>
          <w:p>
            <w:pPr>
              <w:spacing w:after="0"/>
              <w:rPr>
                <w:sz w:val="16"/>
                <w:szCs w:val="16"/>
                <w:color w:val="auto"/>
              </w:rPr>
            </w:pPr>
          </w:p>
        </w:tc>
        <w:tc>
          <w:tcPr>
            <w:tcW w:w="80" w:type="dxa"/>
            <w:vAlign w:val="bottom"/>
            <w:shd w:val="clear" w:color="auto" w:fill="FDFDFC"/>
          </w:tcPr>
          <w:p>
            <w:pPr>
              <w:spacing w:after="0"/>
              <w:rPr>
                <w:sz w:val="16"/>
                <w:szCs w:val="16"/>
                <w:color w:val="auto"/>
              </w:rPr>
            </w:pPr>
          </w:p>
        </w:tc>
        <w:tc>
          <w:tcPr>
            <w:tcW w:w="880" w:type="dxa"/>
            <w:vAlign w:val="bottom"/>
            <w:shd w:val="clear" w:color="auto" w:fill="FDFDFC"/>
          </w:tcPr>
          <w:p>
            <w:pPr>
              <w:jc w:val="right"/>
              <w:spacing w:after="0"/>
              <w:rPr>
                <w:sz w:val="20"/>
                <w:szCs w:val="20"/>
                <w:color w:val="auto"/>
              </w:rPr>
            </w:pPr>
            <w:r>
              <w:rPr>
                <w:rFonts w:ascii="Times New Roman" w:cs="Times New Roman" w:eastAsia="Times New Roman" w:hAnsi="Times New Roman"/>
                <w:sz w:val="15"/>
                <w:szCs w:val="15"/>
                <w:color w:val="231F20"/>
              </w:rPr>
              <w:t>12,349)</w:t>
            </w:r>
          </w:p>
        </w:tc>
        <w:tc>
          <w:tcPr>
            <w:tcW w:w="220" w:type="dxa"/>
            <w:vAlign w:val="bottom"/>
            <w:tcBorders>
              <w:right w:val="single" w:sz="8" w:color="FDFDFC"/>
            </w:tcBorders>
            <w:shd w:val="clear" w:color="auto" w:fill="FDFDFC"/>
          </w:tcPr>
          <w:p>
            <w:pPr>
              <w:spacing w:after="0"/>
              <w:rPr>
                <w:sz w:val="16"/>
                <w:szCs w:val="16"/>
                <w:color w:val="auto"/>
              </w:rPr>
            </w:pPr>
          </w:p>
        </w:tc>
        <w:tc>
          <w:tcPr>
            <w:tcW w:w="880" w:type="dxa"/>
            <w:vAlign w:val="bottom"/>
            <w:shd w:val="clear" w:color="auto" w:fill="FDFDFC"/>
          </w:tcPr>
          <w:p>
            <w:pPr>
              <w:spacing w:after="0"/>
              <w:rPr>
                <w:sz w:val="16"/>
                <w:szCs w:val="16"/>
                <w:color w:val="auto"/>
              </w:rPr>
            </w:pPr>
          </w:p>
        </w:tc>
        <w:tc>
          <w:tcPr>
            <w:tcW w:w="240" w:type="dxa"/>
            <w:vAlign w:val="bottom"/>
            <w:shd w:val="clear" w:color="auto" w:fill="FDFDFC"/>
          </w:tcPr>
          <w:p>
            <w:pPr>
              <w:spacing w:after="0"/>
              <w:rPr>
                <w:sz w:val="16"/>
                <w:szCs w:val="16"/>
                <w:color w:val="auto"/>
              </w:rPr>
            </w:pPr>
          </w:p>
        </w:tc>
        <w:tc>
          <w:tcPr>
            <w:tcW w:w="0" w:type="dxa"/>
            <w:vAlign w:val="bottom"/>
          </w:tcPr>
          <w:p>
            <w:pPr>
              <w:spacing w:after="0"/>
              <w:rPr>
                <w:sz w:val="1"/>
                <w:szCs w:val="1"/>
                <w:color w:val="auto"/>
              </w:rPr>
            </w:pPr>
          </w:p>
        </w:tc>
      </w:tr>
      <w:tr>
        <w:trPr>
          <w:trHeight w:val="158"/>
        </w:trPr>
        <w:tc>
          <w:tcPr>
            <w:tcW w:w="1420" w:type="dxa"/>
            <w:vAlign w:val="bottom"/>
            <w:shd w:val="clear" w:color="auto" w:fill="D0EBF2"/>
          </w:tcPr>
          <w:p>
            <w:pPr>
              <w:spacing w:after="0"/>
              <w:rPr>
                <w:sz w:val="13"/>
                <w:szCs w:val="13"/>
                <w:color w:val="auto"/>
              </w:rPr>
            </w:pPr>
          </w:p>
        </w:tc>
        <w:tc>
          <w:tcPr>
            <w:tcW w:w="100" w:type="dxa"/>
            <w:vAlign w:val="bottom"/>
            <w:shd w:val="clear" w:color="auto" w:fill="D0EBF2"/>
          </w:tcPr>
          <w:p>
            <w:pPr>
              <w:spacing w:after="0"/>
              <w:rPr>
                <w:sz w:val="13"/>
                <w:szCs w:val="13"/>
                <w:color w:val="auto"/>
              </w:rPr>
            </w:pPr>
          </w:p>
        </w:tc>
        <w:tc>
          <w:tcPr>
            <w:tcW w:w="2340" w:type="dxa"/>
            <w:vAlign w:val="bottom"/>
            <w:shd w:val="clear" w:color="auto" w:fill="D0EBF2"/>
          </w:tcPr>
          <w:p>
            <w:pPr>
              <w:spacing w:after="0" w:line="159" w:lineRule="exact"/>
              <w:rPr>
                <w:sz w:val="20"/>
                <w:szCs w:val="20"/>
                <w:color w:val="auto"/>
              </w:rPr>
            </w:pPr>
            <w:r>
              <w:rPr>
                <w:rFonts w:ascii="Times New Roman" w:cs="Times New Roman" w:eastAsia="Times New Roman" w:hAnsi="Times New Roman"/>
                <w:sz w:val="15"/>
                <w:szCs w:val="15"/>
                <w:color w:val="231F20"/>
              </w:rPr>
              <w:t>First-lien revolving loan (GBP 312</w:t>
            </w:r>
          </w:p>
        </w:tc>
        <w:tc>
          <w:tcPr>
            <w:tcW w:w="840" w:type="dxa"/>
            <w:vAlign w:val="bottom"/>
            <w:gridSpan w:val="2"/>
            <w:shd w:val="clear" w:color="auto" w:fill="D0EBF2"/>
          </w:tcPr>
          <w:p>
            <w:pPr>
              <w:jc w:val="right"/>
              <w:spacing w:after="0" w:line="159" w:lineRule="exact"/>
              <w:rPr>
                <w:sz w:val="20"/>
                <w:szCs w:val="20"/>
                <w:color w:val="auto"/>
              </w:rPr>
            </w:pPr>
            <w:r>
              <w:rPr>
                <w:rFonts w:ascii="Times New Roman" w:cs="Times New Roman" w:eastAsia="Times New Roman" w:hAnsi="Times New Roman"/>
                <w:sz w:val="15"/>
                <w:szCs w:val="15"/>
                <w:color w:val="231F20"/>
              </w:rPr>
              <w:t>9/6/2022</w:t>
            </w:r>
          </w:p>
        </w:tc>
        <w:tc>
          <w:tcPr>
            <w:tcW w:w="100" w:type="dxa"/>
            <w:vAlign w:val="bottom"/>
            <w:shd w:val="clear" w:color="auto" w:fill="D0EBF2"/>
          </w:tcPr>
          <w:p>
            <w:pPr>
              <w:spacing w:after="0"/>
              <w:rPr>
                <w:sz w:val="13"/>
                <w:szCs w:val="13"/>
                <w:color w:val="auto"/>
              </w:rPr>
            </w:pPr>
          </w:p>
        </w:tc>
        <w:tc>
          <w:tcPr>
            <w:tcW w:w="1020" w:type="dxa"/>
            <w:vAlign w:val="bottom"/>
            <w:gridSpan w:val="2"/>
            <w:shd w:val="clear" w:color="auto" w:fill="D0EBF2"/>
          </w:tcPr>
          <w:p>
            <w:pPr>
              <w:jc w:val="right"/>
              <w:ind w:right="240"/>
              <w:spacing w:after="0" w:line="159" w:lineRule="exact"/>
              <w:rPr>
                <w:sz w:val="20"/>
                <w:szCs w:val="20"/>
                <w:color w:val="auto"/>
              </w:rPr>
            </w:pPr>
            <w:r>
              <w:rPr>
                <w:rFonts w:ascii="Times New Roman" w:cs="Times New Roman" w:eastAsia="Times New Roman" w:hAnsi="Times New Roman"/>
                <w:sz w:val="15"/>
                <w:szCs w:val="15"/>
                <w:color w:val="231F20"/>
              </w:rPr>
              <w:t>S + 6.75%</w:t>
            </w:r>
          </w:p>
        </w:tc>
        <w:tc>
          <w:tcPr>
            <w:tcW w:w="980" w:type="dxa"/>
            <w:vAlign w:val="bottom"/>
            <w:gridSpan w:val="2"/>
            <w:shd w:val="clear" w:color="auto" w:fill="D0EBF2"/>
          </w:tcPr>
          <w:p>
            <w:pPr>
              <w:jc w:val="right"/>
              <w:ind w:right="100"/>
              <w:spacing w:after="0" w:line="159" w:lineRule="exact"/>
              <w:rPr>
                <w:sz w:val="20"/>
                <w:szCs w:val="20"/>
                <w:color w:val="auto"/>
              </w:rPr>
            </w:pPr>
            <w:r>
              <w:rPr>
                <w:rFonts w:ascii="Times New Roman" w:cs="Times New Roman" w:eastAsia="Times New Roman" w:hAnsi="Times New Roman"/>
                <w:sz w:val="15"/>
                <w:szCs w:val="15"/>
                <w:color w:val="231F20"/>
              </w:rPr>
              <w:t>11.98%</w:t>
            </w:r>
          </w:p>
        </w:tc>
        <w:tc>
          <w:tcPr>
            <w:tcW w:w="140" w:type="dxa"/>
            <w:vAlign w:val="bottom"/>
            <w:shd w:val="clear" w:color="auto" w:fill="D0EBF2"/>
          </w:tcPr>
          <w:p>
            <w:pPr>
              <w:spacing w:after="0"/>
              <w:rPr>
                <w:sz w:val="13"/>
                <w:szCs w:val="13"/>
                <w:color w:val="auto"/>
              </w:rPr>
            </w:pPr>
          </w:p>
        </w:tc>
        <w:tc>
          <w:tcPr>
            <w:tcW w:w="860" w:type="dxa"/>
            <w:vAlign w:val="bottom"/>
            <w:shd w:val="clear" w:color="auto" w:fill="D0EBF2"/>
          </w:tcPr>
          <w:p>
            <w:pPr>
              <w:jc w:val="right"/>
              <w:spacing w:after="0" w:line="159" w:lineRule="exact"/>
              <w:rPr>
                <w:sz w:val="20"/>
                <w:szCs w:val="20"/>
                <w:color w:val="auto"/>
              </w:rPr>
            </w:pPr>
            <w:r>
              <w:rPr>
                <w:rFonts w:ascii="Times New Roman" w:cs="Times New Roman" w:eastAsia="Times New Roman" w:hAnsi="Times New Roman"/>
                <w:sz w:val="15"/>
                <w:szCs w:val="15"/>
                <w:color w:val="231F20"/>
              </w:rPr>
              <w:t>400</w:t>
            </w:r>
          </w:p>
        </w:tc>
        <w:tc>
          <w:tcPr>
            <w:tcW w:w="180" w:type="dxa"/>
            <w:vAlign w:val="bottom"/>
            <w:shd w:val="clear" w:color="auto" w:fill="D0EBF2"/>
          </w:tcPr>
          <w:p>
            <w:pPr>
              <w:spacing w:after="0"/>
              <w:rPr>
                <w:sz w:val="13"/>
                <w:szCs w:val="13"/>
                <w:color w:val="auto"/>
              </w:rPr>
            </w:pPr>
          </w:p>
        </w:tc>
        <w:tc>
          <w:tcPr>
            <w:tcW w:w="80" w:type="dxa"/>
            <w:vAlign w:val="bottom"/>
            <w:shd w:val="clear" w:color="auto" w:fill="D0EBF2"/>
          </w:tcPr>
          <w:p>
            <w:pPr>
              <w:spacing w:after="0"/>
              <w:rPr>
                <w:sz w:val="13"/>
                <w:szCs w:val="13"/>
                <w:color w:val="auto"/>
              </w:rPr>
            </w:pPr>
          </w:p>
        </w:tc>
        <w:tc>
          <w:tcPr>
            <w:tcW w:w="880" w:type="dxa"/>
            <w:vAlign w:val="bottom"/>
            <w:shd w:val="clear" w:color="auto" w:fill="D0EBF2"/>
          </w:tcPr>
          <w:p>
            <w:pPr>
              <w:jc w:val="right"/>
              <w:spacing w:after="0" w:line="159" w:lineRule="exact"/>
              <w:rPr>
                <w:sz w:val="20"/>
                <w:szCs w:val="20"/>
                <w:color w:val="auto"/>
              </w:rPr>
            </w:pPr>
            <w:r>
              <w:rPr>
                <w:rFonts w:ascii="Times New Roman" w:cs="Times New Roman" w:eastAsia="Times New Roman" w:hAnsi="Times New Roman"/>
                <w:sz w:val="15"/>
                <w:szCs w:val="15"/>
                <w:color w:val="231F20"/>
              </w:rPr>
              <w:t>399</w:t>
            </w:r>
          </w:p>
        </w:tc>
        <w:tc>
          <w:tcPr>
            <w:tcW w:w="1340" w:type="dxa"/>
            <w:vAlign w:val="bottom"/>
            <w:gridSpan w:val="3"/>
            <w:shd w:val="clear" w:color="auto" w:fill="D0EBF2"/>
          </w:tcPr>
          <w:p>
            <w:pPr>
              <w:jc w:val="right"/>
              <w:ind w:right="120"/>
              <w:spacing w:after="0" w:line="159" w:lineRule="exact"/>
              <w:rPr>
                <w:sz w:val="20"/>
                <w:szCs w:val="20"/>
                <w:color w:val="auto"/>
              </w:rPr>
            </w:pPr>
            <w:r>
              <w:rPr>
                <w:rFonts w:ascii="Times New Roman" w:cs="Times New Roman" w:eastAsia="Times New Roman" w:hAnsi="Times New Roman"/>
                <w:sz w:val="15"/>
                <w:szCs w:val="15"/>
                <w:color w:val="231F20"/>
              </w:rPr>
              <w:t>0.0%</w:t>
            </w:r>
          </w:p>
        </w:tc>
        <w:tc>
          <w:tcPr>
            <w:tcW w:w="0" w:type="dxa"/>
            <w:vAlign w:val="bottom"/>
          </w:tcPr>
          <w:p>
            <w:pPr>
              <w:spacing w:after="0"/>
              <w:rPr>
                <w:sz w:val="1"/>
                <w:szCs w:val="1"/>
                <w:color w:val="auto"/>
              </w:rPr>
            </w:pPr>
          </w:p>
        </w:tc>
      </w:tr>
      <w:tr>
        <w:trPr>
          <w:trHeight w:val="189"/>
        </w:trPr>
        <w:tc>
          <w:tcPr>
            <w:tcW w:w="1420" w:type="dxa"/>
            <w:vAlign w:val="bottom"/>
            <w:tcBorders>
              <w:bottom w:val="single" w:sz="8" w:color="FDFDFC"/>
            </w:tcBorders>
            <w:shd w:val="clear" w:color="auto" w:fill="D0EBF2"/>
          </w:tcPr>
          <w:p>
            <w:pPr>
              <w:spacing w:after="0"/>
              <w:rPr>
                <w:sz w:val="16"/>
                <w:szCs w:val="16"/>
                <w:color w:val="auto"/>
              </w:rPr>
            </w:pPr>
          </w:p>
        </w:tc>
        <w:tc>
          <w:tcPr>
            <w:tcW w:w="100" w:type="dxa"/>
            <w:vAlign w:val="bottom"/>
            <w:tcBorders>
              <w:bottom w:val="single" w:sz="8" w:color="FDFDFC"/>
            </w:tcBorders>
            <w:shd w:val="clear" w:color="auto" w:fill="D0EBF2"/>
          </w:tcPr>
          <w:p>
            <w:pPr>
              <w:spacing w:after="0"/>
              <w:rPr>
                <w:sz w:val="16"/>
                <w:szCs w:val="16"/>
                <w:color w:val="auto"/>
              </w:rPr>
            </w:pPr>
          </w:p>
        </w:tc>
        <w:tc>
          <w:tcPr>
            <w:tcW w:w="2340" w:type="dxa"/>
            <w:vAlign w:val="bottom"/>
            <w:tcBorders>
              <w:bottom w:val="single" w:sz="8" w:color="FDFDFC"/>
            </w:tcBorders>
            <w:shd w:val="clear" w:color="auto" w:fill="D0EBF2"/>
          </w:tcPr>
          <w:p>
            <w:pPr>
              <w:spacing w:after="0"/>
              <w:rPr>
                <w:sz w:val="20"/>
                <w:szCs w:val="20"/>
                <w:color w:val="auto"/>
              </w:rPr>
            </w:pPr>
            <w:r>
              <w:rPr>
                <w:rFonts w:ascii="Times New Roman" w:cs="Times New Roman" w:eastAsia="Times New Roman" w:hAnsi="Times New Roman"/>
                <w:sz w:val="15"/>
                <w:szCs w:val="15"/>
                <w:color w:val="231F20"/>
              </w:rPr>
              <w:t>par, due 9/2028)</w:t>
            </w:r>
          </w:p>
        </w:tc>
        <w:tc>
          <w:tcPr>
            <w:tcW w:w="80" w:type="dxa"/>
            <w:vAlign w:val="bottom"/>
            <w:tcBorders>
              <w:bottom w:val="single" w:sz="8" w:color="FDFDFC"/>
            </w:tcBorders>
            <w:shd w:val="clear" w:color="auto" w:fill="D0EBF2"/>
          </w:tcPr>
          <w:p>
            <w:pPr>
              <w:spacing w:after="0"/>
              <w:rPr>
                <w:sz w:val="16"/>
                <w:szCs w:val="16"/>
                <w:color w:val="auto"/>
              </w:rPr>
            </w:pPr>
          </w:p>
        </w:tc>
        <w:tc>
          <w:tcPr>
            <w:tcW w:w="760" w:type="dxa"/>
            <w:vAlign w:val="bottom"/>
            <w:tcBorders>
              <w:bottom w:val="single" w:sz="8" w:color="FDFDFC"/>
            </w:tcBorders>
            <w:shd w:val="clear" w:color="auto" w:fill="D0EBF2"/>
          </w:tcPr>
          <w:p>
            <w:pPr>
              <w:spacing w:after="0"/>
              <w:rPr>
                <w:sz w:val="16"/>
                <w:szCs w:val="16"/>
                <w:color w:val="auto"/>
              </w:rPr>
            </w:pPr>
          </w:p>
        </w:tc>
        <w:tc>
          <w:tcPr>
            <w:tcW w:w="100" w:type="dxa"/>
            <w:vAlign w:val="bottom"/>
            <w:tcBorders>
              <w:bottom w:val="single" w:sz="8" w:color="FDFDFC"/>
            </w:tcBorders>
            <w:shd w:val="clear" w:color="auto" w:fill="D0EBF2"/>
          </w:tcPr>
          <w:p>
            <w:pPr>
              <w:spacing w:after="0"/>
              <w:rPr>
                <w:sz w:val="16"/>
                <w:szCs w:val="16"/>
                <w:color w:val="auto"/>
              </w:rPr>
            </w:pPr>
          </w:p>
        </w:tc>
        <w:tc>
          <w:tcPr>
            <w:tcW w:w="800" w:type="dxa"/>
            <w:vAlign w:val="bottom"/>
            <w:tcBorders>
              <w:bottom w:val="single" w:sz="8" w:color="FDFDFC"/>
            </w:tcBorders>
            <w:shd w:val="clear" w:color="auto" w:fill="D0EBF2"/>
          </w:tcPr>
          <w:p>
            <w:pPr>
              <w:spacing w:after="0"/>
              <w:rPr>
                <w:sz w:val="16"/>
                <w:szCs w:val="16"/>
                <w:color w:val="auto"/>
              </w:rPr>
            </w:pPr>
          </w:p>
        </w:tc>
        <w:tc>
          <w:tcPr>
            <w:tcW w:w="220" w:type="dxa"/>
            <w:vAlign w:val="bottom"/>
            <w:tcBorders>
              <w:bottom w:val="single" w:sz="8" w:color="FDFDFC"/>
            </w:tcBorders>
            <w:shd w:val="clear" w:color="auto" w:fill="D0EBF2"/>
          </w:tcPr>
          <w:p>
            <w:pPr>
              <w:spacing w:after="0"/>
              <w:rPr>
                <w:sz w:val="16"/>
                <w:szCs w:val="16"/>
                <w:color w:val="auto"/>
              </w:rPr>
            </w:pPr>
          </w:p>
        </w:tc>
        <w:tc>
          <w:tcPr>
            <w:tcW w:w="760" w:type="dxa"/>
            <w:vAlign w:val="bottom"/>
            <w:tcBorders>
              <w:bottom w:val="single" w:sz="8" w:color="FDFDFC"/>
            </w:tcBorders>
            <w:shd w:val="clear" w:color="auto" w:fill="D0EBF2"/>
          </w:tcPr>
          <w:p>
            <w:pPr>
              <w:spacing w:after="0"/>
              <w:rPr>
                <w:sz w:val="16"/>
                <w:szCs w:val="16"/>
                <w:color w:val="auto"/>
              </w:rPr>
            </w:pPr>
          </w:p>
        </w:tc>
        <w:tc>
          <w:tcPr>
            <w:tcW w:w="220" w:type="dxa"/>
            <w:vAlign w:val="bottom"/>
            <w:tcBorders>
              <w:bottom w:val="single" w:sz="8" w:color="FDFDFC"/>
            </w:tcBorders>
            <w:shd w:val="clear" w:color="auto" w:fill="D0EBF2"/>
          </w:tcPr>
          <w:p>
            <w:pPr>
              <w:spacing w:after="0"/>
              <w:rPr>
                <w:sz w:val="16"/>
                <w:szCs w:val="16"/>
                <w:color w:val="auto"/>
              </w:rPr>
            </w:pPr>
          </w:p>
        </w:tc>
        <w:tc>
          <w:tcPr>
            <w:tcW w:w="140" w:type="dxa"/>
            <w:vAlign w:val="bottom"/>
            <w:tcBorders>
              <w:bottom w:val="single" w:sz="8" w:color="231F20"/>
            </w:tcBorders>
            <w:shd w:val="clear" w:color="auto" w:fill="D0EBF2"/>
          </w:tcPr>
          <w:p>
            <w:pPr>
              <w:spacing w:after="0"/>
              <w:rPr>
                <w:sz w:val="16"/>
                <w:szCs w:val="16"/>
                <w:color w:val="auto"/>
              </w:rPr>
            </w:pPr>
          </w:p>
        </w:tc>
        <w:tc>
          <w:tcPr>
            <w:tcW w:w="860" w:type="dxa"/>
            <w:vAlign w:val="bottom"/>
            <w:tcBorders>
              <w:bottom w:val="single" w:sz="8" w:color="231F20"/>
            </w:tcBorders>
            <w:shd w:val="clear" w:color="auto" w:fill="D0EBF2"/>
          </w:tcPr>
          <w:p>
            <w:pPr>
              <w:spacing w:after="0"/>
              <w:rPr>
                <w:sz w:val="16"/>
                <w:szCs w:val="16"/>
                <w:color w:val="auto"/>
              </w:rPr>
            </w:pPr>
          </w:p>
        </w:tc>
        <w:tc>
          <w:tcPr>
            <w:tcW w:w="180" w:type="dxa"/>
            <w:vAlign w:val="bottom"/>
            <w:tcBorders>
              <w:bottom w:val="single" w:sz="8" w:color="FDFDFC"/>
            </w:tcBorders>
            <w:shd w:val="clear" w:color="auto" w:fill="D0EBF2"/>
          </w:tcPr>
          <w:p>
            <w:pPr>
              <w:spacing w:after="0"/>
              <w:rPr>
                <w:sz w:val="16"/>
                <w:szCs w:val="16"/>
                <w:color w:val="auto"/>
              </w:rPr>
            </w:pPr>
          </w:p>
        </w:tc>
        <w:tc>
          <w:tcPr>
            <w:tcW w:w="80" w:type="dxa"/>
            <w:vAlign w:val="bottom"/>
            <w:tcBorders>
              <w:bottom w:val="single" w:sz="8" w:color="231F20"/>
            </w:tcBorders>
            <w:shd w:val="clear" w:color="auto" w:fill="D0EBF2"/>
          </w:tcPr>
          <w:p>
            <w:pPr>
              <w:spacing w:after="0"/>
              <w:rPr>
                <w:sz w:val="16"/>
                <w:szCs w:val="16"/>
                <w:color w:val="auto"/>
              </w:rPr>
            </w:pPr>
          </w:p>
        </w:tc>
        <w:tc>
          <w:tcPr>
            <w:tcW w:w="880" w:type="dxa"/>
            <w:vAlign w:val="bottom"/>
            <w:tcBorders>
              <w:bottom w:val="single" w:sz="8" w:color="231F20"/>
            </w:tcBorders>
            <w:shd w:val="clear" w:color="auto" w:fill="D0EBF2"/>
          </w:tcPr>
          <w:p>
            <w:pPr>
              <w:jc w:val="right"/>
              <w:spacing w:after="0"/>
              <w:rPr>
                <w:sz w:val="20"/>
                <w:szCs w:val="20"/>
                <w:color w:val="auto"/>
              </w:rPr>
            </w:pPr>
            <w:r>
              <w:rPr>
                <w:rFonts w:ascii="Times New Roman" w:cs="Times New Roman" w:eastAsia="Times New Roman" w:hAnsi="Times New Roman"/>
                <w:sz w:val="15"/>
                <w:szCs w:val="15"/>
                <w:color w:val="231F20"/>
              </w:rPr>
              <w:t>(GBP 313)</w:t>
            </w:r>
          </w:p>
        </w:tc>
        <w:tc>
          <w:tcPr>
            <w:tcW w:w="220" w:type="dxa"/>
            <w:vAlign w:val="bottom"/>
            <w:tcBorders>
              <w:bottom w:val="single" w:sz="8" w:color="FDFDFC"/>
              <w:right w:val="single" w:sz="8" w:color="D0EBF2"/>
            </w:tcBorders>
            <w:shd w:val="clear" w:color="auto" w:fill="D0EBF2"/>
          </w:tcPr>
          <w:p>
            <w:pPr>
              <w:spacing w:after="0"/>
              <w:rPr>
                <w:sz w:val="16"/>
                <w:szCs w:val="16"/>
                <w:color w:val="auto"/>
              </w:rPr>
            </w:pPr>
          </w:p>
        </w:tc>
        <w:tc>
          <w:tcPr>
            <w:tcW w:w="880" w:type="dxa"/>
            <w:vAlign w:val="bottom"/>
            <w:tcBorders>
              <w:bottom w:val="single" w:sz="8" w:color="231F20"/>
            </w:tcBorders>
            <w:shd w:val="clear" w:color="auto" w:fill="D0EBF2"/>
          </w:tcPr>
          <w:p>
            <w:pPr>
              <w:spacing w:after="0"/>
              <w:rPr>
                <w:sz w:val="16"/>
                <w:szCs w:val="16"/>
                <w:color w:val="auto"/>
              </w:rPr>
            </w:pPr>
          </w:p>
        </w:tc>
        <w:tc>
          <w:tcPr>
            <w:tcW w:w="240" w:type="dxa"/>
            <w:vAlign w:val="bottom"/>
            <w:shd w:val="clear" w:color="auto" w:fill="D0EBF2"/>
          </w:tcPr>
          <w:p>
            <w:pPr>
              <w:spacing w:after="0"/>
              <w:rPr>
                <w:sz w:val="16"/>
                <w:szCs w:val="16"/>
                <w:color w:val="auto"/>
              </w:rPr>
            </w:pPr>
          </w:p>
        </w:tc>
        <w:tc>
          <w:tcPr>
            <w:tcW w:w="0" w:type="dxa"/>
            <w:vAlign w:val="bottom"/>
          </w:tcPr>
          <w:p>
            <w:pPr>
              <w:spacing w:after="0"/>
              <w:rPr>
                <w:sz w:val="1"/>
                <w:szCs w:val="1"/>
                <w:color w:val="auto"/>
              </w:rPr>
            </w:pPr>
          </w:p>
        </w:tc>
      </w:tr>
      <w:tr>
        <w:trPr>
          <w:trHeight w:val="163"/>
        </w:trPr>
        <w:tc>
          <w:tcPr>
            <w:tcW w:w="1420" w:type="dxa"/>
            <w:vAlign w:val="bottom"/>
            <w:shd w:val="clear" w:color="auto" w:fill="FDFDFC"/>
          </w:tcPr>
          <w:p>
            <w:pPr>
              <w:spacing w:after="0"/>
              <w:rPr>
                <w:sz w:val="14"/>
                <w:szCs w:val="14"/>
                <w:color w:val="auto"/>
              </w:rPr>
            </w:pPr>
          </w:p>
        </w:tc>
        <w:tc>
          <w:tcPr>
            <w:tcW w:w="100" w:type="dxa"/>
            <w:vAlign w:val="bottom"/>
            <w:shd w:val="clear" w:color="auto" w:fill="FDFDFC"/>
          </w:tcPr>
          <w:p>
            <w:pPr>
              <w:spacing w:after="0"/>
              <w:rPr>
                <w:sz w:val="14"/>
                <w:szCs w:val="14"/>
                <w:color w:val="auto"/>
              </w:rPr>
            </w:pPr>
          </w:p>
        </w:tc>
        <w:tc>
          <w:tcPr>
            <w:tcW w:w="2340" w:type="dxa"/>
            <w:vAlign w:val="bottom"/>
            <w:shd w:val="clear" w:color="auto" w:fill="FDFDFC"/>
          </w:tcPr>
          <w:p>
            <w:pPr>
              <w:spacing w:after="0"/>
              <w:rPr>
                <w:sz w:val="14"/>
                <w:szCs w:val="14"/>
                <w:color w:val="auto"/>
              </w:rPr>
            </w:pPr>
          </w:p>
        </w:tc>
        <w:tc>
          <w:tcPr>
            <w:tcW w:w="80" w:type="dxa"/>
            <w:vAlign w:val="bottom"/>
            <w:shd w:val="clear" w:color="auto" w:fill="FDFDFC"/>
          </w:tcPr>
          <w:p>
            <w:pPr>
              <w:spacing w:after="0"/>
              <w:rPr>
                <w:sz w:val="14"/>
                <w:szCs w:val="14"/>
                <w:color w:val="auto"/>
              </w:rPr>
            </w:pPr>
          </w:p>
        </w:tc>
        <w:tc>
          <w:tcPr>
            <w:tcW w:w="760" w:type="dxa"/>
            <w:vAlign w:val="bottom"/>
            <w:shd w:val="clear" w:color="auto" w:fill="FDFDFC"/>
          </w:tcPr>
          <w:p>
            <w:pPr>
              <w:spacing w:after="0"/>
              <w:rPr>
                <w:sz w:val="14"/>
                <w:szCs w:val="14"/>
                <w:color w:val="auto"/>
              </w:rPr>
            </w:pPr>
          </w:p>
        </w:tc>
        <w:tc>
          <w:tcPr>
            <w:tcW w:w="100" w:type="dxa"/>
            <w:vAlign w:val="bottom"/>
            <w:shd w:val="clear" w:color="auto" w:fill="FDFDFC"/>
          </w:tcPr>
          <w:p>
            <w:pPr>
              <w:spacing w:after="0"/>
              <w:rPr>
                <w:sz w:val="14"/>
                <w:szCs w:val="14"/>
                <w:color w:val="auto"/>
              </w:rPr>
            </w:pPr>
          </w:p>
        </w:tc>
        <w:tc>
          <w:tcPr>
            <w:tcW w:w="800" w:type="dxa"/>
            <w:vAlign w:val="bottom"/>
            <w:shd w:val="clear" w:color="auto" w:fill="FDFDFC"/>
          </w:tcPr>
          <w:p>
            <w:pPr>
              <w:spacing w:after="0"/>
              <w:rPr>
                <w:sz w:val="14"/>
                <w:szCs w:val="14"/>
                <w:color w:val="auto"/>
              </w:rPr>
            </w:pPr>
          </w:p>
        </w:tc>
        <w:tc>
          <w:tcPr>
            <w:tcW w:w="220" w:type="dxa"/>
            <w:vAlign w:val="bottom"/>
            <w:shd w:val="clear" w:color="auto" w:fill="FDFDFC"/>
          </w:tcPr>
          <w:p>
            <w:pPr>
              <w:spacing w:after="0"/>
              <w:rPr>
                <w:sz w:val="14"/>
                <w:szCs w:val="14"/>
                <w:color w:val="auto"/>
              </w:rPr>
            </w:pPr>
          </w:p>
        </w:tc>
        <w:tc>
          <w:tcPr>
            <w:tcW w:w="760" w:type="dxa"/>
            <w:vAlign w:val="bottom"/>
            <w:shd w:val="clear" w:color="auto" w:fill="FDFDFC"/>
          </w:tcPr>
          <w:p>
            <w:pPr>
              <w:spacing w:after="0"/>
              <w:rPr>
                <w:sz w:val="14"/>
                <w:szCs w:val="14"/>
                <w:color w:val="auto"/>
              </w:rPr>
            </w:pPr>
          </w:p>
        </w:tc>
        <w:tc>
          <w:tcPr>
            <w:tcW w:w="220" w:type="dxa"/>
            <w:vAlign w:val="bottom"/>
            <w:shd w:val="clear" w:color="auto" w:fill="FDFDFC"/>
          </w:tcPr>
          <w:p>
            <w:pPr>
              <w:spacing w:after="0"/>
              <w:rPr>
                <w:sz w:val="14"/>
                <w:szCs w:val="14"/>
                <w:color w:val="auto"/>
              </w:rPr>
            </w:pPr>
          </w:p>
        </w:tc>
        <w:tc>
          <w:tcPr>
            <w:tcW w:w="140" w:type="dxa"/>
            <w:vAlign w:val="bottom"/>
            <w:shd w:val="clear" w:color="auto" w:fill="FDFDFC"/>
          </w:tcPr>
          <w:p>
            <w:pPr>
              <w:spacing w:after="0"/>
              <w:rPr>
                <w:sz w:val="14"/>
                <w:szCs w:val="14"/>
                <w:color w:val="auto"/>
              </w:rPr>
            </w:pPr>
          </w:p>
        </w:tc>
        <w:tc>
          <w:tcPr>
            <w:tcW w:w="860" w:type="dxa"/>
            <w:vAlign w:val="bottom"/>
            <w:shd w:val="clear" w:color="auto" w:fill="FDFDFC"/>
          </w:tcPr>
          <w:p>
            <w:pPr>
              <w:jc w:val="right"/>
              <w:spacing w:after="0" w:line="164" w:lineRule="exact"/>
              <w:rPr>
                <w:sz w:val="20"/>
                <w:szCs w:val="20"/>
                <w:color w:val="auto"/>
              </w:rPr>
            </w:pPr>
            <w:r>
              <w:rPr>
                <w:rFonts w:ascii="Times New Roman" w:cs="Times New Roman" w:eastAsia="Times New Roman" w:hAnsi="Times New Roman"/>
                <w:sz w:val="15"/>
                <w:szCs w:val="15"/>
                <w:color w:val="231F20"/>
              </w:rPr>
              <w:t>21,214</w:t>
            </w:r>
          </w:p>
        </w:tc>
        <w:tc>
          <w:tcPr>
            <w:tcW w:w="180" w:type="dxa"/>
            <w:vAlign w:val="bottom"/>
            <w:shd w:val="clear" w:color="auto" w:fill="FDFDFC"/>
          </w:tcPr>
          <w:p>
            <w:pPr>
              <w:spacing w:after="0"/>
              <w:rPr>
                <w:sz w:val="14"/>
                <w:szCs w:val="14"/>
                <w:color w:val="auto"/>
              </w:rPr>
            </w:pPr>
          </w:p>
        </w:tc>
        <w:tc>
          <w:tcPr>
            <w:tcW w:w="80" w:type="dxa"/>
            <w:vAlign w:val="bottom"/>
            <w:shd w:val="clear" w:color="auto" w:fill="FDFDFC"/>
          </w:tcPr>
          <w:p>
            <w:pPr>
              <w:spacing w:after="0"/>
              <w:rPr>
                <w:sz w:val="14"/>
                <w:szCs w:val="14"/>
                <w:color w:val="auto"/>
              </w:rPr>
            </w:pPr>
          </w:p>
        </w:tc>
        <w:tc>
          <w:tcPr>
            <w:tcW w:w="880" w:type="dxa"/>
            <w:vAlign w:val="bottom"/>
            <w:shd w:val="clear" w:color="auto" w:fill="FDFDFC"/>
          </w:tcPr>
          <w:p>
            <w:pPr>
              <w:jc w:val="right"/>
              <w:spacing w:after="0" w:line="164" w:lineRule="exact"/>
              <w:rPr>
                <w:sz w:val="20"/>
                <w:szCs w:val="20"/>
                <w:color w:val="auto"/>
              </w:rPr>
            </w:pPr>
            <w:r>
              <w:rPr>
                <w:rFonts w:ascii="Times New Roman" w:cs="Times New Roman" w:eastAsia="Times New Roman" w:hAnsi="Times New Roman"/>
                <w:sz w:val="15"/>
                <w:szCs w:val="15"/>
                <w:color w:val="231F20"/>
              </w:rPr>
              <w:t>24,194</w:t>
            </w:r>
          </w:p>
        </w:tc>
        <w:tc>
          <w:tcPr>
            <w:tcW w:w="220" w:type="dxa"/>
            <w:vAlign w:val="bottom"/>
            <w:tcBorders>
              <w:right w:val="single" w:sz="8" w:color="FDFDFC"/>
            </w:tcBorders>
            <w:shd w:val="clear" w:color="auto" w:fill="FDFDFC"/>
          </w:tcPr>
          <w:p>
            <w:pPr>
              <w:spacing w:after="0"/>
              <w:rPr>
                <w:sz w:val="14"/>
                <w:szCs w:val="14"/>
                <w:color w:val="auto"/>
              </w:rPr>
            </w:pPr>
          </w:p>
        </w:tc>
        <w:tc>
          <w:tcPr>
            <w:tcW w:w="1120" w:type="dxa"/>
            <w:vAlign w:val="bottom"/>
            <w:gridSpan w:val="2"/>
          </w:tcPr>
          <w:p>
            <w:pPr>
              <w:jc w:val="right"/>
              <w:ind w:right="120"/>
              <w:spacing w:after="0" w:line="164" w:lineRule="exact"/>
              <w:rPr>
                <w:sz w:val="20"/>
                <w:szCs w:val="20"/>
                <w:color w:val="auto"/>
              </w:rPr>
            </w:pPr>
            <w:r>
              <w:rPr>
                <w:rFonts w:ascii="Times New Roman" w:cs="Times New Roman" w:eastAsia="Times New Roman" w:hAnsi="Times New Roman"/>
                <w:sz w:val="15"/>
                <w:szCs w:val="15"/>
                <w:color w:val="231F20"/>
              </w:rPr>
              <w:t>1.6%</w:t>
            </w:r>
          </w:p>
        </w:tc>
        <w:tc>
          <w:tcPr>
            <w:tcW w:w="0" w:type="dxa"/>
            <w:vAlign w:val="bottom"/>
          </w:tcPr>
          <w:p>
            <w:pPr>
              <w:spacing w:after="0"/>
              <w:rPr>
                <w:sz w:val="1"/>
                <w:szCs w:val="1"/>
                <w:color w:val="auto"/>
              </w:rPr>
            </w:pPr>
          </w:p>
        </w:tc>
      </w:tr>
      <w:tr>
        <w:trPr>
          <w:trHeight w:val="163"/>
        </w:trPr>
        <w:tc>
          <w:tcPr>
            <w:tcW w:w="1420" w:type="dxa"/>
            <w:vAlign w:val="bottom"/>
            <w:tcBorders>
              <w:top w:val="single" w:sz="8" w:color="D0EBF2"/>
            </w:tcBorders>
            <w:shd w:val="clear" w:color="auto" w:fill="D0EBF2"/>
          </w:tcPr>
          <w:p>
            <w:pPr>
              <w:spacing w:after="0" w:line="164" w:lineRule="exact"/>
              <w:rPr>
                <w:sz w:val="20"/>
                <w:szCs w:val="20"/>
                <w:color w:val="auto"/>
              </w:rPr>
            </w:pPr>
            <w:r>
              <w:rPr>
                <w:rFonts w:ascii="Times New Roman" w:cs="Times New Roman" w:eastAsia="Times New Roman" w:hAnsi="Times New Roman"/>
                <w:sz w:val="15"/>
                <w:szCs w:val="15"/>
                <w:b w:val="1"/>
                <w:bCs w:val="1"/>
                <w:color w:val="231F20"/>
              </w:rPr>
              <w:t>Communications</w:t>
            </w:r>
          </w:p>
        </w:tc>
        <w:tc>
          <w:tcPr>
            <w:tcW w:w="100" w:type="dxa"/>
            <w:vAlign w:val="bottom"/>
            <w:tcBorders>
              <w:top w:val="single" w:sz="8" w:color="D0EBF2"/>
            </w:tcBorders>
            <w:shd w:val="clear" w:color="auto" w:fill="D0EBF2"/>
          </w:tcPr>
          <w:p>
            <w:pPr>
              <w:spacing w:after="0"/>
              <w:rPr>
                <w:sz w:val="14"/>
                <w:szCs w:val="14"/>
                <w:color w:val="auto"/>
              </w:rPr>
            </w:pPr>
          </w:p>
        </w:tc>
        <w:tc>
          <w:tcPr>
            <w:tcW w:w="2340" w:type="dxa"/>
            <w:vAlign w:val="bottom"/>
            <w:tcBorders>
              <w:top w:val="single" w:sz="8" w:color="D0EBF2"/>
            </w:tcBorders>
            <w:shd w:val="clear" w:color="auto" w:fill="D0EBF2"/>
          </w:tcPr>
          <w:p>
            <w:pPr>
              <w:spacing w:after="0"/>
              <w:rPr>
                <w:sz w:val="14"/>
                <w:szCs w:val="14"/>
                <w:color w:val="auto"/>
              </w:rPr>
            </w:pPr>
          </w:p>
        </w:tc>
        <w:tc>
          <w:tcPr>
            <w:tcW w:w="80" w:type="dxa"/>
            <w:vAlign w:val="bottom"/>
            <w:tcBorders>
              <w:top w:val="single" w:sz="8" w:color="D0EBF2"/>
            </w:tcBorders>
            <w:shd w:val="clear" w:color="auto" w:fill="D0EBF2"/>
          </w:tcPr>
          <w:p>
            <w:pPr>
              <w:spacing w:after="0"/>
              <w:rPr>
                <w:sz w:val="14"/>
                <w:szCs w:val="14"/>
                <w:color w:val="auto"/>
              </w:rPr>
            </w:pPr>
          </w:p>
        </w:tc>
        <w:tc>
          <w:tcPr>
            <w:tcW w:w="760" w:type="dxa"/>
            <w:vAlign w:val="bottom"/>
            <w:tcBorders>
              <w:top w:val="single" w:sz="8" w:color="D0EBF2"/>
            </w:tcBorders>
            <w:shd w:val="clear" w:color="auto" w:fill="D0EBF2"/>
          </w:tcPr>
          <w:p>
            <w:pPr>
              <w:spacing w:after="0"/>
              <w:rPr>
                <w:sz w:val="14"/>
                <w:szCs w:val="14"/>
                <w:color w:val="auto"/>
              </w:rPr>
            </w:pPr>
          </w:p>
        </w:tc>
        <w:tc>
          <w:tcPr>
            <w:tcW w:w="100" w:type="dxa"/>
            <w:vAlign w:val="bottom"/>
            <w:tcBorders>
              <w:top w:val="single" w:sz="8" w:color="D0EBF2"/>
            </w:tcBorders>
            <w:shd w:val="clear" w:color="auto" w:fill="D0EBF2"/>
          </w:tcPr>
          <w:p>
            <w:pPr>
              <w:spacing w:after="0"/>
              <w:rPr>
                <w:sz w:val="14"/>
                <w:szCs w:val="14"/>
                <w:color w:val="auto"/>
              </w:rPr>
            </w:pPr>
          </w:p>
        </w:tc>
        <w:tc>
          <w:tcPr>
            <w:tcW w:w="800" w:type="dxa"/>
            <w:vAlign w:val="bottom"/>
            <w:tcBorders>
              <w:top w:val="single" w:sz="8" w:color="D0EBF2"/>
            </w:tcBorders>
            <w:shd w:val="clear" w:color="auto" w:fill="D0EBF2"/>
          </w:tcPr>
          <w:p>
            <w:pPr>
              <w:spacing w:after="0"/>
              <w:rPr>
                <w:sz w:val="14"/>
                <w:szCs w:val="14"/>
                <w:color w:val="auto"/>
              </w:rPr>
            </w:pPr>
          </w:p>
        </w:tc>
        <w:tc>
          <w:tcPr>
            <w:tcW w:w="220" w:type="dxa"/>
            <w:vAlign w:val="bottom"/>
            <w:tcBorders>
              <w:top w:val="single" w:sz="8" w:color="D0EBF2"/>
            </w:tcBorders>
            <w:shd w:val="clear" w:color="auto" w:fill="D0EBF2"/>
          </w:tcPr>
          <w:p>
            <w:pPr>
              <w:spacing w:after="0"/>
              <w:rPr>
                <w:sz w:val="14"/>
                <w:szCs w:val="14"/>
                <w:color w:val="auto"/>
              </w:rPr>
            </w:pPr>
          </w:p>
        </w:tc>
        <w:tc>
          <w:tcPr>
            <w:tcW w:w="760" w:type="dxa"/>
            <w:vAlign w:val="bottom"/>
            <w:tcBorders>
              <w:top w:val="single" w:sz="8" w:color="D0EBF2"/>
            </w:tcBorders>
            <w:shd w:val="clear" w:color="auto" w:fill="D0EBF2"/>
          </w:tcPr>
          <w:p>
            <w:pPr>
              <w:spacing w:after="0"/>
              <w:rPr>
                <w:sz w:val="14"/>
                <w:szCs w:val="14"/>
                <w:color w:val="auto"/>
              </w:rPr>
            </w:pPr>
          </w:p>
        </w:tc>
        <w:tc>
          <w:tcPr>
            <w:tcW w:w="220" w:type="dxa"/>
            <w:vAlign w:val="bottom"/>
            <w:tcBorders>
              <w:top w:val="single" w:sz="8" w:color="D0EBF2"/>
            </w:tcBorders>
            <w:shd w:val="clear" w:color="auto" w:fill="D0EBF2"/>
          </w:tcPr>
          <w:p>
            <w:pPr>
              <w:spacing w:after="0"/>
              <w:rPr>
                <w:sz w:val="14"/>
                <w:szCs w:val="14"/>
                <w:color w:val="auto"/>
              </w:rPr>
            </w:pPr>
          </w:p>
        </w:tc>
        <w:tc>
          <w:tcPr>
            <w:tcW w:w="140" w:type="dxa"/>
            <w:vAlign w:val="bottom"/>
            <w:tcBorders>
              <w:top w:val="single" w:sz="8" w:color="231F20"/>
            </w:tcBorders>
            <w:shd w:val="clear" w:color="auto" w:fill="D0EBF2"/>
          </w:tcPr>
          <w:p>
            <w:pPr>
              <w:spacing w:after="0"/>
              <w:rPr>
                <w:sz w:val="14"/>
                <w:szCs w:val="14"/>
                <w:color w:val="auto"/>
              </w:rPr>
            </w:pPr>
          </w:p>
        </w:tc>
        <w:tc>
          <w:tcPr>
            <w:tcW w:w="860" w:type="dxa"/>
            <w:vAlign w:val="bottom"/>
            <w:tcBorders>
              <w:top w:val="single" w:sz="8" w:color="231F20"/>
            </w:tcBorders>
            <w:shd w:val="clear" w:color="auto" w:fill="D0EBF2"/>
          </w:tcPr>
          <w:p>
            <w:pPr>
              <w:spacing w:after="0"/>
              <w:rPr>
                <w:sz w:val="14"/>
                <w:szCs w:val="14"/>
                <w:color w:val="auto"/>
              </w:rPr>
            </w:pPr>
          </w:p>
        </w:tc>
        <w:tc>
          <w:tcPr>
            <w:tcW w:w="180" w:type="dxa"/>
            <w:vAlign w:val="bottom"/>
            <w:tcBorders>
              <w:top w:val="single" w:sz="8" w:color="D0EBF2"/>
            </w:tcBorders>
            <w:shd w:val="clear" w:color="auto" w:fill="D0EBF2"/>
          </w:tcPr>
          <w:p>
            <w:pPr>
              <w:spacing w:after="0"/>
              <w:rPr>
                <w:sz w:val="14"/>
                <w:szCs w:val="14"/>
                <w:color w:val="auto"/>
              </w:rPr>
            </w:pPr>
          </w:p>
        </w:tc>
        <w:tc>
          <w:tcPr>
            <w:tcW w:w="80" w:type="dxa"/>
            <w:vAlign w:val="bottom"/>
            <w:tcBorders>
              <w:top w:val="single" w:sz="8" w:color="231F20"/>
            </w:tcBorders>
            <w:shd w:val="clear" w:color="auto" w:fill="D0EBF2"/>
          </w:tcPr>
          <w:p>
            <w:pPr>
              <w:spacing w:after="0"/>
              <w:rPr>
                <w:sz w:val="14"/>
                <w:szCs w:val="14"/>
                <w:color w:val="auto"/>
              </w:rPr>
            </w:pPr>
          </w:p>
        </w:tc>
        <w:tc>
          <w:tcPr>
            <w:tcW w:w="880" w:type="dxa"/>
            <w:vAlign w:val="bottom"/>
            <w:tcBorders>
              <w:top w:val="single" w:sz="8" w:color="231F20"/>
            </w:tcBorders>
            <w:shd w:val="clear" w:color="auto" w:fill="D0EBF2"/>
          </w:tcPr>
          <w:p>
            <w:pPr>
              <w:spacing w:after="0"/>
              <w:rPr>
                <w:sz w:val="14"/>
                <w:szCs w:val="14"/>
                <w:color w:val="auto"/>
              </w:rPr>
            </w:pPr>
          </w:p>
        </w:tc>
        <w:tc>
          <w:tcPr>
            <w:tcW w:w="220" w:type="dxa"/>
            <w:vAlign w:val="bottom"/>
            <w:tcBorders>
              <w:top w:val="single" w:sz="8" w:color="D0EBF2"/>
              <w:right w:val="single" w:sz="8" w:color="D0EBF2"/>
            </w:tcBorders>
            <w:shd w:val="clear" w:color="auto" w:fill="D0EBF2"/>
          </w:tcPr>
          <w:p>
            <w:pPr>
              <w:spacing w:after="0"/>
              <w:rPr>
                <w:sz w:val="14"/>
                <w:szCs w:val="14"/>
                <w:color w:val="auto"/>
              </w:rPr>
            </w:pPr>
          </w:p>
        </w:tc>
        <w:tc>
          <w:tcPr>
            <w:tcW w:w="880" w:type="dxa"/>
            <w:vAlign w:val="bottom"/>
            <w:tcBorders>
              <w:top w:val="single" w:sz="8" w:color="231F20"/>
            </w:tcBorders>
            <w:shd w:val="clear" w:color="auto" w:fill="D0EBF2"/>
          </w:tcPr>
          <w:p>
            <w:pPr>
              <w:spacing w:after="0"/>
              <w:rPr>
                <w:sz w:val="14"/>
                <w:szCs w:val="14"/>
                <w:color w:val="auto"/>
              </w:rPr>
            </w:pPr>
          </w:p>
        </w:tc>
        <w:tc>
          <w:tcPr>
            <w:tcW w:w="240" w:type="dxa"/>
            <w:vAlign w:val="bottom"/>
            <w:tcBorders>
              <w:top w:val="single" w:sz="8" w:color="D0EBF2"/>
            </w:tcBorders>
            <w:shd w:val="clear" w:color="auto" w:fill="D0EBF2"/>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1420" w:type="dxa"/>
            <w:vAlign w:val="bottom"/>
            <w:shd w:val="clear" w:color="auto" w:fill="FDFDFC"/>
          </w:tcPr>
          <w:p>
            <w:pPr>
              <w:spacing w:after="0" w:line="159" w:lineRule="exact"/>
              <w:rPr>
                <w:sz w:val="20"/>
                <w:szCs w:val="20"/>
                <w:color w:val="auto"/>
              </w:rPr>
            </w:pPr>
            <w:r>
              <w:rPr>
                <w:rFonts w:ascii="Times New Roman" w:cs="Times New Roman" w:eastAsia="Times New Roman" w:hAnsi="Times New Roman"/>
                <w:sz w:val="15"/>
                <w:szCs w:val="15"/>
                <w:color w:val="231F20"/>
              </w:rPr>
              <w:t>Banyan Software</w:t>
            </w:r>
          </w:p>
        </w:tc>
        <w:tc>
          <w:tcPr>
            <w:tcW w:w="100" w:type="dxa"/>
            <w:vAlign w:val="bottom"/>
            <w:shd w:val="clear" w:color="auto" w:fill="FDFDFC"/>
          </w:tcPr>
          <w:p>
            <w:pPr>
              <w:spacing w:after="0"/>
              <w:rPr>
                <w:sz w:val="13"/>
                <w:szCs w:val="13"/>
                <w:color w:val="auto"/>
              </w:rPr>
            </w:pPr>
          </w:p>
        </w:tc>
        <w:tc>
          <w:tcPr>
            <w:tcW w:w="2340" w:type="dxa"/>
            <w:vAlign w:val="bottom"/>
            <w:shd w:val="clear" w:color="auto" w:fill="FDFDFC"/>
          </w:tcPr>
          <w:p>
            <w:pPr>
              <w:spacing w:after="0" w:line="159" w:lineRule="exact"/>
              <w:rPr>
                <w:sz w:val="20"/>
                <w:szCs w:val="20"/>
                <w:color w:val="auto"/>
              </w:rPr>
            </w:pPr>
            <w:r>
              <w:rPr>
                <w:rFonts w:ascii="Times New Roman" w:cs="Times New Roman" w:eastAsia="Times New Roman" w:hAnsi="Times New Roman"/>
                <w:sz w:val="15"/>
                <w:szCs w:val="15"/>
                <w:color w:val="231F20"/>
              </w:rPr>
              <w:t>First-lien loan ($29,739 par, due</w:t>
            </w:r>
          </w:p>
        </w:tc>
        <w:tc>
          <w:tcPr>
            <w:tcW w:w="840" w:type="dxa"/>
            <w:vAlign w:val="bottom"/>
            <w:gridSpan w:val="2"/>
            <w:shd w:val="clear" w:color="auto" w:fill="FDFDFC"/>
          </w:tcPr>
          <w:p>
            <w:pPr>
              <w:jc w:val="right"/>
              <w:spacing w:after="0" w:line="159" w:lineRule="exact"/>
              <w:rPr>
                <w:sz w:val="20"/>
                <w:szCs w:val="20"/>
                <w:color w:val="auto"/>
              </w:rPr>
            </w:pPr>
            <w:r>
              <w:rPr>
                <w:rFonts w:ascii="Times New Roman" w:cs="Times New Roman" w:eastAsia="Times New Roman" w:hAnsi="Times New Roman"/>
                <w:sz w:val="15"/>
                <w:szCs w:val="15"/>
                <w:color w:val="231F20"/>
              </w:rPr>
              <w:t>1/27/2023</w:t>
            </w:r>
          </w:p>
        </w:tc>
        <w:tc>
          <w:tcPr>
            <w:tcW w:w="100" w:type="dxa"/>
            <w:vAlign w:val="bottom"/>
            <w:shd w:val="clear" w:color="auto" w:fill="FDFDFC"/>
          </w:tcPr>
          <w:p>
            <w:pPr>
              <w:spacing w:after="0"/>
              <w:rPr>
                <w:sz w:val="13"/>
                <w:szCs w:val="13"/>
                <w:color w:val="auto"/>
              </w:rPr>
            </w:pPr>
          </w:p>
        </w:tc>
        <w:tc>
          <w:tcPr>
            <w:tcW w:w="1020" w:type="dxa"/>
            <w:vAlign w:val="bottom"/>
            <w:gridSpan w:val="2"/>
            <w:shd w:val="clear" w:color="auto" w:fill="FDFDFC"/>
          </w:tcPr>
          <w:p>
            <w:pPr>
              <w:jc w:val="right"/>
              <w:ind w:right="240"/>
              <w:spacing w:after="0" w:line="159" w:lineRule="exact"/>
              <w:rPr>
                <w:sz w:val="20"/>
                <w:szCs w:val="20"/>
                <w:color w:val="auto"/>
              </w:rPr>
            </w:pPr>
            <w:r>
              <w:rPr>
                <w:rFonts w:ascii="Times New Roman" w:cs="Times New Roman" w:eastAsia="Times New Roman" w:hAnsi="Times New Roman"/>
                <w:sz w:val="15"/>
                <w:szCs w:val="15"/>
                <w:color w:val="231F20"/>
              </w:rPr>
              <w:t>SOFR +</w:t>
            </w:r>
          </w:p>
        </w:tc>
        <w:tc>
          <w:tcPr>
            <w:tcW w:w="980" w:type="dxa"/>
            <w:vAlign w:val="bottom"/>
            <w:gridSpan w:val="2"/>
            <w:shd w:val="clear" w:color="auto" w:fill="FDFDFC"/>
          </w:tcPr>
          <w:p>
            <w:pPr>
              <w:jc w:val="right"/>
              <w:ind w:right="100"/>
              <w:spacing w:after="0" w:line="159" w:lineRule="exact"/>
              <w:rPr>
                <w:sz w:val="20"/>
                <w:szCs w:val="20"/>
                <w:color w:val="auto"/>
              </w:rPr>
            </w:pPr>
            <w:r>
              <w:rPr>
                <w:rFonts w:ascii="Times New Roman" w:cs="Times New Roman" w:eastAsia="Times New Roman" w:hAnsi="Times New Roman"/>
                <w:sz w:val="15"/>
                <w:szCs w:val="15"/>
                <w:color w:val="231F20"/>
              </w:rPr>
              <w:t>12.71%</w:t>
            </w:r>
          </w:p>
        </w:tc>
        <w:tc>
          <w:tcPr>
            <w:tcW w:w="140" w:type="dxa"/>
            <w:vAlign w:val="bottom"/>
            <w:shd w:val="clear" w:color="auto" w:fill="FDFDFC"/>
          </w:tcPr>
          <w:p>
            <w:pPr>
              <w:spacing w:after="0"/>
              <w:rPr>
                <w:sz w:val="13"/>
                <w:szCs w:val="13"/>
                <w:color w:val="auto"/>
              </w:rPr>
            </w:pPr>
          </w:p>
        </w:tc>
        <w:tc>
          <w:tcPr>
            <w:tcW w:w="860" w:type="dxa"/>
            <w:vAlign w:val="bottom"/>
            <w:shd w:val="clear" w:color="auto" w:fill="FDFDFC"/>
          </w:tcPr>
          <w:p>
            <w:pPr>
              <w:jc w:val="right"/>
              <w:spacing w:after="0" w:line="159" w:lineRule="exact"/>
              <w:rPr>
                <w:sz w:val="20"/>
                <w:szCs w:val="20"/>
                <w:color w:val="auto"/>
              </w:rPr>
            </w:pPr>
            <w:r>
              <w:rPr>
                <w:rFonts w:ascii="Times New Roman" w:cs="Times New Roman" w:eastAsia="Times New Roman" w:hAnsi="Times New Roman"/>
                <w:sz w:val="15"/>
                <w:szCs w:val="15"/>
                <w:color w:val="231F20"/>
              </w:rPr>
              <w:t>28,771</w:t>
            </w:r>
          </w:p>
        </w:tc>
        <w:tc>
          <w:tcPr>
            <w:tcW w:w="180" w:type="dxa"/>
            <w:vAlign w:val="bottom"/>
            <w:shd w:val="clear" w:color="auto" w:fill="FDFDFC"/>
          </w:tcPr>
          <w:p>
            <w:pPr>
              <w:spacing w:after="0"/>
              <w:rPr>
                <w:sz w:val="13"/>
                <w:szCs w:val="13"/>
                <w:color w:val="auto"/>
              </w:rPr>
            </w:pPr>
          </w:p>
        </w:tc>
        <w:tc>
          <w:tcPr>
            <w:tcW w:w="80" w:type="dxa"/>
            <w:vAlign w:val="bottom"/>
            <w:shd w:val="clear" w:color="auto" w:fill="FDFDFC"/>
          </w:tcPr>
          <w:p>
            <w:pPr>
              <w:spacing w:after="0"/>
              <w:rPr>
                <w:sz w:val="13"/>
                <w:szCs w:val="13"/>
                <w:color w:val="auto"/>
              </w:rPr>
            </w:pPr>
          </w:p>
        </w:tc>
        <w:tc>
          <w:tcPr>
            <w:tcW w:w="880" w:type="dxa"/>
            <w:vAlign w:val="bottom"/>
            <w:shd w:val="clear" w:color="auto" w:fill="FDFDFC"/>
          </w:tcPr>
          <w:p>
            <w:pPr>
              <w:jc w:val="right"/>
              <w:spacing w:after="0" w:line="159" w:lineRule="exact"/>
              <w:rPr>
                <w:sz w:val="20"/>
                <w:szCs w:val="20"/>
                <w:color w:val="auto"/>
              </w:rPr>
            </w:pPr>
            <w:r>
              <w:rPr>
                <w:rFonts w:ascii="Times New Roman" w:cs="Times New Roman" w:eastAsia="Times New Roman" w:hAnsi="Times New Roman"/>
                <w:sz w:val="15"/>
                <w:szCs w:val="15"/>
                <w:color w:val="231F20"/>
              </w:rPr>
              <w:t>29,739</w:t>
            </w:r>
          </w:p>
        </w:tc>
        <w:tc>
          <w:tcPr>
            <w:tcW w:w="220" w:type="dxa"/>
            <w:vAlign w:val="bottom"/>
            <w:tcBorders>
              <w:right w:val="single" w:sz="8" w:color="FDFDFC"/>
            </w:tcBorders>
            <w:shd w:val="clear" w:color="auto" w:fill="FDFDFC"/>
          </w:tcPr>
          <w:p>
            <w:pPr>
              <w:spacing w:after="0"/>
              <w:rPr>
                <w:sz w:val="13"/>
                <w:szCs w:val="13"/>
                <w:color w:val="auto"/>
              </w:rPr>
            </w:pPr>
          </w:p>
        </w:tc>
        <w:tc>
          <w:tcPr>
            <w:tcW w:w="1120" w:type="dxa"/>
            <w:vAlign w:val="bottom"/>
            <w:gridSpan w:val="2"/>
            <w:shd w:val="clear" w:color="auto" w:fill="FDFDFC"/>
          </w:tcPr>
          <w:p>
            <w:pPr>
              <w:jc w:val="right"/>
              <w:ind w:right="120"/>
              <w:spacing w:after="0" w:line="159" w:lineRule="exact"/>
              <w:rPr>
                <w:sz w:val="20"/>
                <w:szCs w:val="20"/>
                <w:color w:val="auto"/>
              </w:rPr>
            </w:pPr>
            <w:r>
              <w:rPr>
                <w:rFonts w:ascii="Times New Roman" w:cs="Times New Roman" w:eastAsia="Times New Roman" w:hAnsi="Times New Roman"/>
                <w:sz w:val="15"/>
                <w:szCs w:val="15"/>
                <w:color w:val="231F20"/>
              </w:rPr>
              <w:t>2.0%</w:t>
            </w:r>
          </w:p>
        </w:tc>
        <w:tc>
          <w:tcPr>
            <w:tcW w:w="0" w:type="dxa"/>
            <w:vAlign w:val="bottom"/>
          </w:tcPr>
          <w:p>
            <w:pPr>
              <w:spacing w:after="0"/>
              <w:rPr>
                <w:sz w:val="1"/>
                <w:szCs w:val="1"/>
                <w:color w:val="auto"/>
              </w:rPr>
            </w:pPr>
          </w:p>
        </w:tc>
      </w:tr>
      <w:tr>
        <w:trPr>
          <w:trHeight w:val="189"/>
        </w:trPr>
        <w:tc>
          <w:tcPr>
            <w:tcW w:w="1420" w:type="dxa"/>
            <w:vAlign w:val="bottom"/>
            <w:shd w:val="clear" w:color="auto" w:fill="FDFDFC"/>
          </w:tcPr>
          <w:p>
            <w:pPr>
              <w:spacing w:after="0"/>
              <w:rPr>
                <w:sz w:val="20"/>
                <w:szCs w:val="20"/>
                <w:color w:val="auto"/>
              </w:rPr>
            </w:pPr>
            <w:r>
              <w:rPr>
                <w:rFonts w:ascii="Times New Roman" w:cs="Times New Roman" w:eastAsia="Times New Roman" w:hAnsi="Times New Roman"/>
                <w:sz w:val="15"/>
                <w:szCs w:val="15"/>
                <w:color w:val="231F20"/>
              </w:rPr>
              <w:t xml:space="preserve">Holdings, LLC </w:t>
            </w:r>
            <w:r>
              <w:rPr>
                <w:rFonts w:ascii="Times New Roman" w:cs="Times New Roman" w:eastAsia="Times New Roman" w:hAnsi="Times New Roman"/>
                <w:sz w:val="9"/>
                <w:szCs w:val="9"/>
                <w:color w:val="231F20"/>
              </w:rPr>
              <w:t>(3)(4)</w:t>
            </w:r>
          </w:p>
        </w:tc>
        <w:tc>
          <w:tcPr>
            <w:tcW w:w="2440" w:type="dxa"/>
            <w:vAlign w:val="bottom"/>
            <w:gridSpan w:val="2"/>
            <w:shd w:val="clear" w:color="auto" w:fill="FDFDFC"/>
          </w:tcPr>
          <w:p>
            <w:pPr>
              <w:ind w:left="100"/>
              <w:spacing w:after="0"/>
              <w:rPr>
                <w:sz w:val="20"/>
                <w:szCs w:val="20"/>
                <w:color w:val="auto"/>
              </w:rPr>
            </w:pPr>
            <w:r>
              <w:rPr>
                <w:rFonts w:ascii="Times New Roman" w:cs="Times New Roman" w:eastAsia="Times New Roman" w:hAnsi="Times New Roman"/>
                <w:sz w:val="15"/>
                <w:szCs w:val="15"/>
                <w:color w:val="231F20"/>
              </w:rPr>
              <w:t>10/2026)</w:t>
            </w:r>
          </w:p>
        </w:tc>
        <w:tc>
          <w:tcPr>
            <w:tcW w:w="80" w:type="dxa"/>
            <w:vAlign w:val="bottom"/>
            <w:shd w:val="clear" w:color="auto" w:fill="FDFDFC"/>
          </w:tcPr>
          <w:p>
            <w:pPr>
              <w:spacing w:after="0"/>
              <w:rPr>
                <w:sz w:val="16"/>
                <w:szCs w:val="16"/>
                <w:color w:val="auto"/>
              </w:rPr>
            </w:pPr>
          </w:p>
        </w:tc>
        <w:tc>
          <w:tcPr>
            <w:tcW w:w="760" w:type="dxa"/>
            <w:vAlign w:val="bottom"/>
            <w:shd w:val="clear" w:color="auto" w:fill="FDFDFC"/>
          </w:tcPr>
          <w:p>
            <w:pPr>
              <w:spacing w:after="0"/>
              <w:rPr>
                <w:sz w:val="16"/>
                <w:szCs w:val="16"/>
                <w:color w:val="auto"/>
              </w:rPr>
            </w:pPr>
          </w:p>
        </w:tc>
        <w:tc>
          <w:tcPr>
            <w:tcW w:w="900" w:type="dxa"/>
            <w:vAlign w:val="bottom"/>
            <w:gridSpan w:val="2"/>
            <w:shd w:val="clear" w:color="auto" w:fill="FDFDFC"/>
          </w:tcPr>
          <w:p>
            <w:pPr>
              <w:jc w:val="right"/>
              <w:spacing w:after="0"/>
              <w:rPr>
                <w:sz w:val="20"/>
                <w:szCs w:val="20"/>
                <w:color w:val="auto"/>
              </w:rPr>
            </w:pPr>
            <w:r>
              <w:rPr>
                <w:rFonts w:ascii="Times New Roman" w:cs="Times New Roman" w:eastAsia="Times New Roman" w:hAnsi="Times New Roman"/>
                <w:sz w:val="15"/>
                <w:szCs w:val="15"/>
                <w:color w:val="231F20"/>
              </w:rPr>
              <w:t>7.35%</w:t>
            </w:r>
          </w:p>
        </w:tc>
        <w:tc>
          <w:tcPr>
            <w:tcW w:w="220" w:type="dxa"/>
            <w:vAlign w:val="bottom"/>
            <w:shd w:val="clear" w:color="auto" w:fill="FDFDFC"/>
          </w:tcPr>
          <w:p>
            <w:pPr>
              <w:spacing w:after="0"/>
              <w:rPr>
                <w:sz w:val="16"/>
                <w:szCs w:val="16"/>
                <w:color w:val="auto"/>
              </w:rPr>
            </w:pPr>
          </w:p>
        </w:tc>
        <w:tc>
          <w:tcPr>
            <w:tcW w:w="760" w:type="dxa"/>
            <w:vAlign w:val="bottom"/>
            <w:shd w:val="clear" w:color="auto" w:fill="FDFDFC"/>
          </w:tcPr>
          <w:p>
            <w:pPr>
              <w:spacing w:after="0"/>
              <w:rPr>
                <w:sz w:val="16"/>
                <w:szCs w:val="16"/>
                <w:color w:val="auto"/>
              </w:rPr>
            </w:pPr>
          </w:p>
        </w:tc>
        <w:tc>
          <w:tcPr>
            <w:tcW w:w="220" w:type="dxa"/>
            <w:vAlign w:val="bottom"/>
            <w:shd w:val="clear" w:color="auto" w:fill="FDFDFC"/>
          </w:tcPr>
          <w:p>
            <w:pPr>
              <w:spacing w:after="0"/>
              <w:rPr>
                <w:sz w:val="16"/>
                <w:szCs w:val="16"/>
                <w:color w:val="auto"/>
              </w:rPr>
            </w:pPr>
          </w:p>
        </w:tc>
        <w:tc>
          <w:tcPr>
            <w:tcW w:w="140" w:type="dxa"/>
            <w:vAlign w:val="bottom"/>
            <w:shd w:val="clear" w:color="auto" w:fill="FDFDFC"/>
          </w:tcPr>
          <w:p>
            <w:pPr>
              <w:spacing w:after="0"/>
              <w:rPr>
                <w:sz w:val="16"/>
                <w:szCs w:val="16"/>
                <w:color w:val="auto"/>
              </w:rPr>
            </w:pPr>
          </w:p>
        </w:tc>
        <w:tc>
          <w:tcPr>
            <w:tcW w:w="860" w:type="dxa"/>
            <w:vAlign w:val="bottom"/>
            <w:shd w:val="clear" w:color="auto" w:fill="FDFDFC"/>
          </w:tcPr>
          <w:p>
            <w:pPr>
              <w:spacing w:after="0"/>
              <w:rPr>
                <w:sz w:val="16"/>
                <w:szCs w:val="16"/>
                <w:color w:val="auto"/>
              </w:rPr>
            </w:pPr>
          </w:p>
        </w:tc>
        <w:tc>
          <w:tcPr>
            <w:tcW w:w="180" w:type="dxa"/>
            <w:vAlign w:val="bottom"/>
            <w:shd w:val="clear" w:color="auto" w:fill="FDFDFC"/>
          </w:tcPr>
          <w:p>
            <w:pPr>
              <w:spacing w:after="0"/>
              <w:rPr>
                <w:sz w:val="16"/>
                <w:szCs w:val="16"/>
                <w:color w:val="auto"/>
              </w:rPr>
            </w:pPr>
          </w:p>
        </w:tc>
        <w:tc>
          <w:tcPr>
            <w:tcW w:w="80" w:type="dxa"/>
            <w:vAlign w:val="bottom"/>
            <w:shd w:val="clear" w:color="auto" w:fill="FDFDFC"/>
          </w:tcPr>
          <w:p>
            <w:pPr>
              <w:spacing w:after="0"/>
              <w:rPr>
                <w:sz w:val="16"/>
                <w:szCs w:val="16"/>
                <w:color w:val="auto"/>
              </w:rPr>
            </w:pPr>
          </w:p>
        </w:tc>
        <w:tc>
          <w:tcPr>
            <w:tcW w:w="880" w:type="dxa"/>
            <w:vAlign w:val="bottom"/>
            <w:shd w:val="clear" w:color="auto" w:fill="FDFDFC"/>
          </w:tcPr>
          <w:p>
            <w:pPr>
              <w:spacing w:after="0"/>
              <w:rPr>
                <w:sz w:val="16"/>
                <w:szCs w:val="16"/>
                <w:color w:val="auto"/>
              </w:rPr>
            </w:pPr>
          </w:p>
        </w:tc>
        <w:tc>
          <w:tcPr>
            <w:tcW w:w="220" w:type="dxa"/>
            <w:vAlign w:val="bottom"/>
            <w:tcBorders>
              <w:right w:val="single" w:sz="8" w:color="FDFDFC"/>
            </w:tcBorders>
            <w:shd w:val="clear" w:color="auto" w:fill="FDFDFC"/>
          </w:tcPr>
          <w:p>
            <w:pPr>
              <w:spacing w:after="0"/>
              <w:rPr>
                <w:sz w:val="16"/>
                <w:szCs w:val="16"/>
                <w:color w:val="auto"/>
              </w:rPr>
            </w:pPr>
          </w:p>
        </w:tc>
        <w:tc>
          <w:tcPr>
            <w:tcW w:w="880" w:type="dxa"/>
            <w:vAlign w:val="bottom"/>
            <w:shd w:val="clear" w:color="auto" w:fill="FDFDFC"/>
          </w:tcPr>
          <w:p>
            <w:pPr>
              <w:spacing w:after="0"/>
              <w:rPr>
                <w:sz w:val="16"/>
                <w:szCs w:val="16"/>
                <w:color w:val="auto"/>
              </w:rPr>
            </w:pPr>
          </w:p>
        </w:tc>
        <w:tc>
          <w:tcPr>
            <w:tcW w:w="240" w:type="dxa"/>
            <w:vAlign w:val="bottom"/>
            <w:shd w:val="clear" w:color="auto" w:fill="FDFDFC"/>
          </w:tcPr>
          <w:p>
            <w:pPr>
              <w:spacing w:after="0"/>
              <w:rPr>
                <w:sz w:val="16"/>
                <w:szCs w:val="16"/>
                <w:color w:val="auto"/>
              </w:rPr>
            </w:pPr>
          </w:p>
        </w:tc>
        <w:tc>
          <w:tcPr>
            <w:tcW w:w="0" w:type="dxa"/>
            <w:vAlign w:val="bottom"/>
          </w:tcPr>
          <w:p>
            <w:pPr>
              <w:spacing w:after="0"/>
              <w:rPr>
                <w:sz w:val="1"/>
                <w:szCs w:val="1"/>
                <w:color w:val="auto"/>
              </w:rPr>
            </w:pPr>
          </w:p>
        </w:tc>
      </w:tr>
      <w:tr>
        <w:trPr>
          <w:trHeight w:val="158"/>
        </w:trPr>
        <w:tc>
          <w:tcPr>
            <w:tcW w:w="1420" w:type="dxa"/>
            <w:vAlign w:val="bottom"/>
            <w:shd w:val="clear" w:color="auto" w:fill="D0EBF2"/>
          </w:tcPr>
          <w:p>
            <w:pPr>
              <w:spacing w:after="0" w:line="159" w:lineRule="exact"/>
              <w:rPr>
                <w:sz w:val="20"/>
                <w:szCs w:val="20"/>
                <w:color w:val="auto"/>
              </w:rPr>
            </w:pPr>
            <w:r>
              <w:rPr>
                <w:rFonts w:ascii="Times New Roman" w:cs="Times New Roman" w:eastAsia="Times New Roman" w:hAnsi="Times New Roman"/>
                <w:sz w:val="15"/>
                <w:szCs w:val="15"/>
                <w:color w:val="231F20"/>
              </w:rPr>
              <w:t>Celtra Technologies,</w:t>
            </w:r>
          </w:p>
        </w:tc>
        <w:tc>
          <w:tcPr>
            <w:tcW w:w="100" w:type="dxa"/>
            <w:vAlign w:val="bottom"/>
            <w:shd w:val="clear" w:color="auto" w:fill="D0EBF2"/>
          </w:tcPr>
          <w:p>
            <w:pPr>
              <w:spacing w:after="0"/>
              <w:rPr>
                <w:sz w:val="13"/>
                <w:szCs w:val="13"/>
                <w:color w:val="auto"/>
              </w:rPr>
            </w:pPr>
          </w:p>
        </w:tc>
        <w:tc>
          <w:tcPr>
            <w:tcW w:w="2340" w:type="dxa"/>
            <w:vAlign w:val="bottom"/>
            <w:shd w:val="clear" w:color="auto" w:fill="D0EBF2"/>
          </w:tcPr>
          <w:p>
            <w:pPr>
              <w:spacing w:after="0" w:line="159" w:lineRule="exact"/>
              <w:rPr>
                <w:sz w:val="20"/>
                <w:szCs w:val="20"/>
                <w:color w:val="auto"/>
              </w:rPr>
            </w:pPr>
            <w:r>
              <w:rPr>
                <w:rFonts w:ascii="Times New Roman" w:cs="Times New Roman" w:eastAsia="Times New Roman" w:hAnsi="Times New Roman"/>
                <w:sz w:val="15"/>
                <w:szCs w:val="15"/>
                <w:color w:val="231F20"/>
              </w:rPr>
              <w:t>First-lien loan ($34,038 par, due</w:t>
            </w:r>
          </w:p>
        </w:tc>
        <w:tc>
          <w:tcPr>
            <w:tcW w:w="840" w:type="dxa"/>
            <w:vAlign w:val="bottom"/>
            <w:gridSpan w:val="2"/>
            <w:shd w:val="clear" w:color="auto" w:fill="D0EBF2"/>
          </w:tcPr>
          <w:p>
            <w:pPr>
              <w:jc w:val="right"/>
              <w:spacing w:after="0" w:line="159" w:lineRule="exact"/>
              <w:rPr>
                <w:sz w:val="20"/>
                <w:szCs w:val="20"/>
                <w:color w:val="auto"/>
              </w:rPr>
            </w:pPr>
            <w:r>
              <w:rPr>
                <w:rFonts w:ascii="Times New Roman" w:cs="Times New Roman" w:eastAsia="Times New Roman" w:hAnsi="Times New Roman"/>
                <w:sz w:val="15"/>
                <w:szCs w:val="15"/>
                <w:color w:val="231F20"/>
              </w:rPr>
              <w:t>11/19/2021</w:t>
            </w:r>
          </w:p>
        </w:tc>
        <w:tc>
          <w:tcPr>
            <w:tcW w:w="100" w:type="dxa"/>
            <w:vAlign w:val="bottom"/>
            <w:shd w:val="clear" w:color="auto" w:fill="D0EBF2"/>
          </w:tcPr>
          <w:p>
            <w:pPr>
              <w:spacing w:after="0"/>
              <w:rPr>
                <w:sz w:val="13"/>
                <w:szCs w:val="13"/>
                <w:color w:val="auto"/>
              </w:rPr>
            </w:pPr>
          </w:p>
        </w:tc>
        <w:tc>
          <w:tcPr>
            <w:tcW w:w="1020" w:type="dxa"/>
            <w:vAlign w:val="bottom"/>
            <w:gridSpan w:val="2"/>
            <w:shd w:val="clear" w:color="auto" w:fill="D0EBF2"/>
          </w:tcPr>
          <w:p>
            <w:pPr>
              <w:jc w:val="right"/>
              <w:ind w:right="240"/>
              <w:spacing w:after="0" w:line="159" w:lineRule="exact"/>
              <w:rPr>
                <w:sz w:val="20"/>
                <w:szCs w:val="20"/>
                <w:color w:val="auto"/>
              </w:rPr>
            </w:pPr>
            <w:r>
              <w:rPr>
                <w:rFonts w:ascii="Times New Roman" w:cs="Times New Roman" w:eastAsia="Times New Roman" w:hAnsi="Times New Roman"/>
                <w:sz w:val="15"/>
                <w:szCs w:val="15"/>
                <w:color w:val="231F20"/>
              </w:rPr>
              <w:t>SOFR +</w:t>
            </w:r>
          </w:p>
        </w:tc>
        <w:tc>
          <w:tcPr>
            <w:tcW w:w="980" w:type="dxa"/>
            <w:vAlign w:val="bottom"/>
            <w:gridSpan w:val="2"/>
            <w:shd w:val="clear" w:color="auto" w:fill="D0EBF2"/>
          </w:tcPr>
          <w:p>
            <w:pPr>
              <w:jc w:val="right"/>
              <w:ind w:right="100"/>
              <w:spacing w:after="0" w:line="159" w:lineRule="exact"/>
              <w:rPr>
                <w:sz w:val="20"/>
                <w:szCs w:val="20"/>
                <w:color w:val="auto"/>
              </w:rPr>
            </w:pPr>
            <w:r>
              <w:rPr>
                <w:rFonts w:ascii="Times New Roman" w:cs="Times New Roman" w:eastAsia="Times New Roman" w:hAnsi="Times New Roman"/>
                <w:sz w:val="15"/>
                <w:szCs w:val="15"/>
                <w:color w:val="231F20"/>
              </w:rPr>
              <w:t>11.71%</w:t>
            </w:r>
          </w:p>
        </w:tc>
        <w:tc>
          <w:tcPr>
            <w:tcW w:w="140" w:type="dxa"/>
            <w:vAlign w:val="bottom"/>
            <w:shd w:val="clear" w:color="auto" w:fill="D0EBF2"/>
          </w:tcPr>
          <w:p>
            <w:pPr>
              <w:spacing w:after="0"/>
              <w:rPr>
                <w:sz w:val="13"/>
                <w:szCs w:val="13"/>
                <w:color w:val="auto"/>
              </w:rPr>
            </w:pPr>
          </w:p>
        </w:tc>
        <w:tc>
          <w:tcPr>
            <w:tcW w:w="860" w:type="dxa"/>
            <w:vAlign w:val="bottom"/>
            <w:shd w:val="clear" w:color="auto" w:fill="D0EBF2"/>
          </w:tcPr>
          <w:p>
            <w:pPr>
              <w:jc w:val="right"/>
              <w:spacing w:after="0" w:line="159" w:lineRule="exact"/>
              <w:rPr>
                <w:sz w:val="20"/>
                <w:szCs w:val="20"/>
                <w:color w:val="auto"/>
              </w:rPr>
            </w:pPr>
            <w:r>
              <w:rPr>
                <w:rFonts w:ascii="Times New Roman" w:cs="Times New Roman" w:eastAsia="Times New Roman" w:hAnsi="Times New Roman"/>
                <w:sz w:val="15"/>
                <w:szCs w:val="15"/>
                <w:color w:val="231F20"/>
              </w:rPr>
              <w:t>33,357</w:t>
            </w:r>
          </w:p>
        </w:tc>
        <w:tc>
          <w:tcPr>
            <w:tcW w:w="180" w:type="dxa"/>
            <w:vAlign w:val="bottom"/>
            <w:shd w:val="clear" w:color="auto" w:fill="D0EBF2"/>
          </w:tcPr>
          <w:p>
            <w:pPr>
              <w:spacing w:after="0"/>
              <w:rPr>
                <w:sz w:val="13"/>
                <w:szCs w:val="13"/>
                <w:color w:val="auto"/>
              </w:rPr>
            </w:pPr>
          </w:p>
        </w:tc>
        <w:tc>
          <w:tcPr>
            <w:tcW w:w="80" w:type="dxa"/>
            <w:vAlign w:val="bottom"/>
            <w:shd w:val="clear" w:color="auto" w:fill="D0EBF2"/>
          </w:tcPr>
          <w:p>
            <w:pPr>
              <w:spacing w:after="0"/>
              <w:rPr>
                <w:sz w:val="13"/>
                <w:szCs w:val="13"/>
                <w:color w:val="auto"/>
              </w:rPr>
            </w:pPr>
          </w:p>
        </w:tc>
        <w:tc>
          <w:tcPr>
            <w:tcW w:w="880" w:type="dxa"/>
            <w:vAlign w:val="bottom"/>
            <w:shd w:val="clear" w:color="auto" w:fill="D0EBF2"/>
          </w:tcPr>
          <w:p>
            <w:pPr>
              <w:jc w:val="right"/>
              <w:spacing w:after="0" w:line="159" w:lineRule="exact"/>
              <w:rPr>
                <w:sz w:val="20"/>
                <w:szCs w:val="20"/>
                <w:color w:val="auto"/>
              </w:rPr>
            </w:pPr>
            <w:r>
              <w:rPr>
                <w:rFonts w:ascii="Times New Roman" w:cs="Times New Roman" w:eastAsia="Times New Roman" w:hAnsi="Times New Roman"/>
                <w:sz w:val="15"/>
                <w:szCs w:val="15"/>
                <w:color w:val="231F20"/>
              </w:rPr>
              <w:t>34,038</w:t>
            </w:r>
          </w:p>
        </w:tc>
        <w:tc>
          <w:tcPr>
            <w:tcW w:w="1340" w:type="dxa"/>
            <w:vAlign w:val="bottom"/>
            <w:gridSpan w:val="3"/>
            <w:shd w:val="clear" w:color="auto" w:fill="D0EBF2"/>
          </w:tcPr>
          <w:p>
            <w:pPr>
              <w:jc w:val="right"/>
              <w:ind w:right="120"/>
              <w:spacing w:after="0" w:line="159" w:lineRule="exact"/>
              <w:rPr>
                <w:sz w:val="20"/>
                <w:szCs w:val="20"/>
                <w:color w:val="auto"/>
              </w:rPr>
            </w:pPr>
            <w:r>
              <w:rPr>
                <w:rFonts w:ascii="Times New Roman" w:cs="Times New Roman" w:eastAsia="Times New Roman" w:hAnsi="Times New Roman"/>
                <w:sz w:val="15"/>
                <w:szCs w:val="15"/>
                <w:color w:val="231F20"/>
              </w:rPr>
              <w:t>2.3%</w:t>
            </w:r>
          </w:p>
        </w:tc>
        <w:tc>
          <w:tcPr>
            <w:tcW w:w="0" w:type="dxa"/>
            <w:vAlign w:val="bottom"/>
          </w:tcPr>
          <w:p>
            <w:pPr>
              <w:spacing w:after="0"/>
              <w:rPr>
                <w:sz w:val="1"/>
                <w:szCs w:val="1"/>
                <w:color w:val="auto"/>
              </w:rPr>
            </w:pPr>
          </w:p>
        </w:tc>
      </w:tr>
      <w:tr>
        <w:trPr>
          <w:trHeight w:val="189"/>
        </w:trPr>
        <w:tc>
          <w:tcPr>
            <w:tcW w:w="1420" w:type="dxa"/>
            <w:vAlign w:val="bottom"/>
            <w:shd w:val="clear" w:color="auto" w:fill="D0EBF2"/>
          </w:tcPr>
          <w:p>
            <w:pPr>
              <w:spacing w:after="0" w:line="190" w:lineRule="exact"/>
              <w:rPr>
                <w:sz w:val="20"/>
                <w:szCs w:val="20"/>
                <w:color w:val="auto"/>
              </w:rPr>
            </w:pPr>
            <w:r>
              <w:rPr>
                <w:rFonts w:ascii="Times New Roman" w:cs="Times New Roman" w:eastAsia="Times New Roman" w:hAnsi="Times New Roman"/>
                <w:sz w:val="21"/>
                <w:szCs w:val="21"/>
                <w:color w:val="231F20"/>
                <w:vertAlign w:val="subscript"/>
              </w:rPr>
              <w:t>Inc.</w:t>
            </w:r>
            <w:r>
              <w:rPr>
                <w:rFonts w:ascii="Times New Roman" w:cs="Times New Roman" w:eastAsia="Times New Roman" w:hAnsi="Times New Roman"/>
                <w:sz w:val="8"/>
                <w:szCs w:val="8"/>
                <w:color w:val="231F20"/>
              </w:rPr>
              <w:t xml:space="preserve"> (3)(5)</w:t>
            </w:r>
          </w:p>
        </w:tc>
        <w:tc>
          <w:tcPr>
            <w:tcW w:w="2440" w:type="dxa"/>
            <w:vAlign w:val="bottom"/>
            <w:gridSpan w:val="2"/>
            <w:shd w:val="clear" w:color="auto" w:fill="D0EBF2"/>
          </w:tcPr>
          <w:p>
            <w:pPr>
              <w:ind w:left="100"/>
              <w:spacing w:after="0"/>
              <w:rPr>
                <w:sz w:val="20"/>
                <w:szCs w:val="20"/>
                <w:color w:val="auto"/>
              </w:rPr>
            </w:pPr>
            <w:r>
              <w:rPr>
                <w:rFonts w:ascii="Times New Roman" w:cs="Times New Roman" w:eastAsia="Times New Roman" w:hAnsi="Times New Roman"/>
                <w:sz w:val="15"/>
                <w:szCs w:val="15"/>
                <w:color w:val="231F20"/>
              </w:rPr>
              <w:t>11/2026)</w:t>
            </w:r>
          </w:p>
        </w:tc>
        <w:tc>
          <w:tcPr>
            <w:tcW w:w="80" w:type="dxa"/>
            <w:vAlign w:val="bottom"/>
            <w:shd w:val="clear" w:color="auto" w:fill="D0EBF2"/>
          </w:tcPr>
          <w:p>
            <w:pPr>
              <w:spacing w:after="0"/>
              <w:rPr>
                <w:sz w:val="16"/>
                <w:szCs w:val="16"/>
                <w:color w:val="auto"/>
              </w:rPr>
            </w:pPr>
          </w:p>
        </w:tc>
        <w:tc>
          <w:tcPr>
            <w:tcW w:w="760" w:type="dxa"/>
            <w:vAlign w:val="bottom"/>
            <w:shd w:val="clear" w:color="auto" w:fill="D0EBF2"/>
          </w:tcPr>
          <w:p>
            <w:pPr>
              <w:spacing w:after="0"/>
              <w:rPr>
                <w:sz w:val="16"/>
                <w:szCs w:val="16"/>
                <w:color w:val="auto"/>
              </w:rPr>
            </w:pPr>
          </w:p>
        </w:tc>
        <w:tc>
          <w:tcPr>
            <w:tcW w:w="900" w:type="dxa"/>
            <w:vAlign w:val="bottom"/>
            <w:gridSpan w:val="2"/>
            <w:shd w:val="clear" w:color="auto" w:fill="D0EBF2"/>
          </w:tcPr>
          <w:p>
            <w:pPr>
              <w:jc w:val="right"/>
              <w:spacing w:after="0"/>
              <w:rPr>
                <w:sz w:val="20"/>
                <w:szCs w:val="20"/>
                <w:color w:val="auto"/>
              </w:rPr>
            </w:pPr>
            <w:r>
              <w:rPr>
                <w:rFonts w:ascii="Times New Roman" w:cs="Times New Roman" w:eastAsia="Times New Roman" w:hAnsi="Times New Roman"/>
                <w:sz w:val="15"/>
                <w:szCs w:val="15"/>
                <w:color w:val="231F20"/>
              </w:rPr>
              <w:t>6.35%</w:t>
            </w:r>
          </w:p>
        </w:tc>
        <w:tc>
          <w:tcPr>
            <w:tcW w:w="220" w:type="dxa"/>
            <w:vAlign w:val="bottom"/>
            <w:shd w:val="clear" w:color="auto" w:fill="D0EBF2"/>
          </w:tcPr>
          <w:p>
            <w:pPr>
              <w:spacing w:after="0"/>
              <w:rPr>
                <w:sz w:val="16"/>
                <w:szCs w:val="16"/>
                <w:color w:val="auto"/>
              </w:rPr>
            </w:pPr>
          </w:p>
        </w:tc>
        <w:tc>
          <w:tcPr>
            <w:tcW w:w="760" w:type="dxa"/>
            <w:vAlign w:val="bottom"/>
            <w:shd w:val="clear" w:color="auto" w:fill="D0EBF2"/>
          </w:tcPr>
          <w:p>
            <w:pPr>
              <w:spacing w:after="0"/>
              <w:rPr>
                <w:sz w:val="16"/>
                <w:szCs w:val="16"/>
                <w:color w:val="auto"/>
              </w:rPr>
            </w:pPr>
          </w:p>
        </w:tc>
        <w:tc>
          <w:tcPr>
            <w:tcW w:w="220" w:type="dxa"/>
            <w:vAlign w:val="bottom"/>
            <w:shd w:val="clear" w:color="auto" w:fill="D0EBF2"/>
          </w:tcPr>
          <w:p>
            <w:pPr>
              <w:spacing w:after="0"/>
              <w:rPr>
                <w:sz w:val="16"/>
                <w:szCs w:val="16"/>
                <w:color w:val="auto"/>
              </w:rPr>
            </w:pPr>
          </w:p>
        </w:tc>
        <w:tc>
          <w:tcPr>
            <w:tcW w:w="140" w:type="dxa"/>
            <w:vAlign w:val="bottom"/>
            <w:shd w:val="clear" w:color="auto" w:fill="D0EBF2"/>
          </w:tcPr>
          <w:p>
            <w:pPr>
              <w:spacing w:after="0"/>
              <w:rPr>
                <w:sz w:val="16"/>
                <w:szCs w:val="16"/>
                <w:color w:val="auto"/>
              </w:rPr>
            </w:pPr>
          </w:p>
        </w:tc>
        <w:tc>
          <w:tcPr>
            <w:tcW w:w="860" w:type="dxa"/>
            <w:vAlign w:val="bottom"/>
            <w:shd w:val="clear" w:color="auto" w:fill="D0EBF2"/>
          </w:tcPr>
          <w:p>
            <w:pPr>
              <w:spacing w:after="0"/>
              <w:rPr>
                <w:sz w:val="16"/>
                <w:szCs w:val="16"/>
                <w:color w:val="auto"/>
              </w:rPr>
            </w:pPr>
          </w:p>
        </w:tc>
        <w:tc>
          <w:tcPr>
            <w:tcW w:w="180" w:type="dxa"/>
            <w:vAlign w:val="bottom"/>
            <w:shd w:val="clear" w:color="auto" w:fill="D0EBF2"/>
          </w:tcPr>
          <w:p>
            <w:pPr>
              <w:spacing w:after="0"/>
              <w:rPr>
                <w:sz w:val="16"/>
                <w:szCs w:val="16"/>
                <w:color w:val="auto"/>
              </w:rPr>
            </w:pPr>
          </w:p>
        </w:tc>
        <w:tc>
          <w:tcPr>
            <w:tcW w:w="80" w:type="dxa"/>
            <w:vAlign w:val="bottom"/>
            <w:shd w:val="clear" w:color="auto" w:fill="D0EBF2"/>
          </w:tcPr>
          <w:p>
            <w:pPr>
              <w:spacing w:after="0"/>
              <w:rPr>
                <w:sz w:val="16"/>
                <w:szCs w:val="16"/>
                <w:color w:val="auto"/>
              </w:rPr>
            </w:pPr>
          </w:p>
        </w:tc>
        <w:tc>
          <w:tcPr>
            <w:tcW w:w="880" w:type="dxa"/>
            <w:vAlign w:val="bottom"/>
            <w:shd w:val="clear" w:color="auto" w:fill="D0EBF2"/>
          </w:tcPr>
          <w:p>
            <w:pPr>
              <w:spacing w:after="0"/>
              <w:rPr>
                <w:sz w:val="16"/>
                <w:szCs w:val="16"/>
                <w:color w:val="auto"/>
              </w:rPr>
            </w:pPr>
          </w:p>
        </w:tc>
        <w:tc>
          <w:tcPr>
            <w:tcW w:w="220" w:type="dxa"/>
            <w:vAlign w:val="bottom"/>
            <w:tcBorders>
              <w:right w:val="single" w:sz="8" w:color="D0EBF2"/>
            </w:tcBorders>
            <w:shd w:val="clear" w:color="auto" w:fill="D0EBF2"/>
          </w:tcPr>
          <w:p>
            <w:pPr>
              <w:spacing w:after="0"/>
              <w:rPr>
                <w:sz w:val="16"/>
                <w:szCs w:val="16"/>
                <w:color w:val="auto"/>
              </w:rPr>
            </w:pPr>
          </w:p>
        </w:tc>
        <w:tc>
          <w:tcPr>
            <w:tcW w:w="880" w:type="dxa"/>
            <w:vAlign w:val="bottom"/>
            <w:shd w:val="clear" w:color="auto" w:fill="D0EBF2"/>
          </w:tcPr>
          <w:p>
            <w:pPr>
              <w:spacing w:after="0"/>
              <w:rPr>
                <w:sz w:val="16"/>
                <w:szCs w:val="16"/>
                <w:color w:val="auto"/>
              </w:rPr>
            </w:pPr>
          </w:p>
        </w:tc>
        <w:tc>
          <w:tcPr>
            <w:tcW w:w="240" w:type="dxa"/>
            <w:vAlign w:val="bottom"/>
            <w:shd w:val="clear" w:color="auto" w:fill="D0EBF2"/>
          </w:tcPr>
          <w:p>
            <w:pPr>
              <w:spacing w:after="0"/>
              <w:rPr>
                <w:sz w:val="16"/>
                <w:szCs w:val="16"/>
                <w:color w:val="auto"/>
              </w:rPr>
            </w:pPr>
          </w:p>
        </w:tc>
        <w:tc>
          <w:tcPr>
            <w:tcW w:w="0" w:type="dxa"/>
            <w:vAlign w:val="bottom"/>
          </w:tcPr>
          <w:p>
            <w:pPr>
              <w:spacing w:after="0"/>
              <w:rPr>
                <w:sz w:val="1"/>
                <w:szCs w:val="1"/>
                <w:color w:val="auto"/>
              </w:rPr>
            </w:pPr>
          </w:p>
        </w:tc>
      </w:tr>
      <w:tr>
        <w:trPr>
          <w:trHeight w:val="158"/>
        </w:trPr>
        <w:tc>
          <w:tcPr>
            <w:tcW w:w="1420" w:type="dxa"/>
            <w:vAlign w:val="bottom"/>
            <w:shd w:val="clear" w:color="auto" w:fill="FDFDFC"/>
          </w:tcPr>
          <w:p>
            <w:pPr>
              <w:spacing w:after="0" w:line="159" w:lineRule="exact"/>
              <w:rPr>
                <w:sz w:val="20"/>
                <w:szCs w:val="20"/>
                <w:color w:val="auto"/>
              </w:rPr>
            </w:pPr>
            <w:r>
              <w:rPr>
                <w:rFonts w:ascii="Times New Roman" w:cs="Times New Roman" w:eastAsia="Times New Roman" w:hAnsi="Times New Roman"/>
                <w:sz w:val="15"/>
                <w:szCs w:val="15"/>
                <w:color w:val="231F20"/>
              </w:rPr>
              <w:t>IntelePeer Holdings,</w:t>
            </w:r>
          </w:p>
        </w:tc>
        <w:tc>
          <w:tcPr>
            <w:tcW w:w="100" w:type="dxa"/>
            <w:vAlign w:val="bottom"/>
            <w:shd w:val="clear" w:color="auto" w:fill="FDFDFC"/>
          </w:tcPr>
          <w:p>
            <w:pPr>
              <w:spacing w:after="0"/>
              <w:rPr>
                <w:sz w:val="13"/>
                <w:szCs w:val="13"/>
                <w:color w:val="auto"/>
              </w:rPr>
            </w:pPr>
          </w:p>
        </w:tc>
        <w:tc>
          <w:tcPr>
            <w:tcW w:w="2340" w:type="dxa"/>
            <w:vAlign w:val="bottom"/>
            <w:shd w:val="clear" w:color="auto" w:fill="FDFDFC"/>
          </w:tcPr>
          <w:p>
            <w:pPr>
              <w:spacing w:after="0" w:line="159" w:lineRule="exact"/>
              <w:rPr>
                <w:sz w:val="20"/>
                <w:szCs w:val="20"/>
                <w:color w:val="auto"/>
              </w:rPr>
            </w:pPr>
            <w:r>
              <w:rPr>
                <w:rFonts w:ascii="Times New Roman" w:cs="Times New Roman" w:eastAsia="Times New Roman" w:hAnsi="Times New Roman"/>
                <w:sz w:val="15"/>
                <w:szCs w:val="15"/>
                <w:color w:val="231F20"/>
              </w:rPr>
              <w:t>First-lien loan ($33,646 par, due</w:t>
            </w:r>
          </w:p>
        </w:tc>
        <w:tc>
          <w:tcPr>
            <w:tcW w:w="840" w:type="dxa"/>
            <w:vAlign w:val="bottom"/>
            <w:gridSpan w:val="2"/>
            <w:shd w:val="clear" w:color="auto" w:fill="FDFDFC"/>
          </w:tcPr>
          <w:p>
            <w:pPr>
              <w:jc w:val="right"/>
              <w:spacing w:after="0" w:line="159" w:lineRule="exact"/>
              <w:rPr>
                <w:sz w:val="20"/>
                <w:szCs w:val="20"/>
                <w:color w:val="auto"/>
              </w:rPr>
            </w:pPr>
            <w:r>
              <w:rPr>
                <w:rFonts w:ascii="Times New Roman" w:cs="Times New Roman" w:eastAsia="Times New Roman" w:hAnsi="Times New Roman"/>
                <w:sz w:val="15"/>
                <w:szCs w:val="15"/>
                <w:color w:val="231F20"/>
              </w:rPr>
              <w:t>12/2/2019</w:t>
            </w:r>
          </w:p>
        </w:tc>
        <w:tc>
          <w:tcPr>
            <w:tcW w:w="100" w:type="dxa"/>
            <w:vAlign w:val="bottom"/>
            <w:shd w:val="clear" w:color="auto" w:fill="FDFDFC"/>
          </w:tcPr>
          <w:p>
            <w:pPr>
              <w:spacing w:after="0"/>
              <w:rPr>
                <w:sz w:val="13"/>
                <w:szCs w:val="13"/>
                <w:color w:val="auto"/>
              </w:rPr>
            </w:pPr>
          </w:p>
        </w:tc>
        <w:tc>
          <w:tcPr>
            <w:tcW w:w="1020" w:type="dxa"/>
            <w:vAlign w:val="bottom"/>
            <w:gridSpan w:val="2"/>
            <w:shd w:val="clear" w:color="auto" w:fill="FDFDFC"/>
          </w:tcPr>
          <w:p>
            <w:pPr>
              <w:jc w:val="right"/>
              <w:ind w:right="240"/>
              <w:spacing w:after="0" w:line="159" w:lineRule="exact"/>
              <w:rPr>
                <w:sz w:val="20"/>
                <w:szCs w:val="20"/>
                <w:color w:val="auto"/>
              </w:rPr>
            </w:pPr>
            <w:r>
              <w:rPr>
                <w:rFonts w:ascii="Times New Roman" w:cs="Times New Roman" w:eastAsia="Times New Roman" w:hAnsi="Times New Roman"/>
                <w:sz w:val="15"/>
                <w:szCs w:val="15"/>
                <w:color w:val="231F20"/>
              </w:rPr>
              <w:t>SOFR +</w:t>
            </w:r>
          </w:p>
        </w:tc>
        <w:tc>
          <w:tcPr>
            <w:tcW w:w="980" w:type="dxa"/>
            <w:vAlign w:val="bottom"/>
            <w:gridSpan w:val="2"/>
            <w:shd w:val="clear" w:color="auto" w:fill="FDFDFC"/>
          </w:tcPr>
          <w:p>
            <w:pPr>
              <w:jc w:val="right"/>
              <w:ind w:right="100"/>
              <w:spacing w:after="0" w:line="159" w:lineRule="exact"/>
              <w:rPr>
                <w:sz w:val="20"/>
                <w:szCs w:val="20"/>
                <w:color w:val="auto"/>
              </w:rPr>
            </w:pPr>
            <w:r>
              <w:rPr>
                <w:rFonts w:ascii="Times New Roman" w:cs="Times New Roman" w:eastAsia="Times New Roman" w:hAnsi="Times New Roman"/>
                <w:sz w:val="15"/>
                <w:szCs w:val="15"/>
                <w:color w:val="231F20"/>
              </w:rPr>
              <w:t>13.75%</w:t>
            </w:r>
          </w:p>
        </w:tc>
        <w:tc>
          <w:tcPr>
            <w:tcW w:w="140" w:type="dxa"/>
            <w:vAlign w:val="bottom"/>
            <w:shd w:val="clear" w:color="auto" w:fill="FDFDFC"/>
          </w:tcPr>
          <w:p>
            <w:pPr>
              <w:spacing w:after="0"/>
              <w:rPr>
                <w:sz w:val="13"/>
                <w:szCs w:val="13"/>
                <w:color w:val="auto"/>
              </w:rPr>
            </w:pPr>
          </w:p>
        </w:tc>
        <w:tc>
          <w:tcPr>
            <w:tcW w:w="860" w:type="dxa"/>
            <w:vAlign w:val="bottom"/>
            <w:shd w:val="clear" w:color="auto" w:fill="FDFDFC"/>
          </w:tcPr>
          <w:p>
            <w:pPr>
              <w:jc w:val="right"/>
              <w:spacing w:after="0" w:line="159" w:lineRule="exact"/>
              <w:rPr>
                <w:sz w:val="20"/>
                <w:szCs w:val="20"/>
                <w:color w:val="auto"/>
              </w:rPr>
            </w:pPr>
            <w:r>
              <w:rPr>
                <w:rFonts w:ascii="Times New Roman" w:cs="Times New Roman" w:eastAsia="Times New Roman" w:hAnsi="Times New Roman"/>
                <w:sz w:val="15"/>
                <w:szCs w:val="15"/>
                <w:color w:val="231F20"/>
              </w:rPr>
              <w:t>33,625</w:t>
            </w:r>
          </w:p>
        </w:tc>
        <w:tc>
          <w:tcPr>
            <w:tcW w:w="180" w:type="dxa"/>
            <w:vAlign w:val="bottom"/>
            <w:shd w:val="clear" w:color="auto" w:fill="FDFDFC"/>
          </w:tcPr>
          <w:p>
            <w:pPr>
              <w:spacing w:after="0"/>
              <w:rPr>
                <w:sz w:val="13"/>
                <w:szCs w:val="13"/>
                <w:color w:val="auto"/>
              </w:rPr>
            </w:pPr>
          </w:p>
        </w:tc>
        <w:tc>
          <w:tcPr>
            <w:tcW w:w="80" w:type="dxa"/>
            <w:vAlign w:val="bottom"/>
            <w:shd w:val="clear" w:color="auto" w:fill="FDFDFC"/>
          </w:tcPr>
          <w:p>
            <w:pPr>
              <w:spacing w:after="0"/>
              <w:rPr>
                <w:sz w:val="13"/>
                <w:szCs w:val="13"/>
                <w:color w:val="auto"/>
              </w:rPr>
            </w:pPr>
          </w:p>
        </w:tc>
        <w:tc>
          <w:tcPr>
            <w:tcW w:w="880" w:type="dxa"/>
            <w:vAlign w:val="bottom"/>
            <w:shd w:val="clear" w:color="auto" w:fill="FDFDFC"/>
          </w:tcPr>
          <w:p>
            <w:pPr>
              <w:jc w:val="right"/>
              <w:spacing w:after="0" w:line="159" w:lineRule="exact"/>
              <w:rPr>
                <w:sz w:val="20"/>
                <w:szCs w:val="20"/>
                <w:color w:val="auto"/>
              </w:rPr>
            </w:pPr>
            <w:r>
              <w:rPr>
                <w:rFonts w:ascii="Times New Roman" w:cs="Times New Roman" w:eastAsia="Times New Roman" w:hAnsi="Times New Roman"/>
                <w:sz w:val="15"/>
                <w:szCs w:val="15"/>
                <w:color w:val="231F20"/>
              </w:rPr>
              <w:t>33,394</w:t>
            </w:r>
          </w:p>
        </w:tc>
        <w:tc>
          <w:tcPr>
            <w:tcW w:w="1340" w:type="dxa"/>
            <w:vAlign w:val="bottom"/>
            <w:gridSpan w:val="3"/>
            <w:shd w:val="clear" w:color="auto" w:fill="FDFDFC"/>
          </w:tcPr>
          <w:p>
            <w:pPr>
              <w:jc w:val="right"/>
              <w:ind w:right="120"/>
              <w:spacing w:after="0" w:line="159" w:lineRule="exact"/>
              <w:rPr>
                <w:sz w:val="20"/>
                <w:szCs w:val="20"/>
                <w:color w:val="auto"/>
              </w:rPr>
            </w:pPr>
            <w:r>
              <w:rPr>
                <w:rFonts w:ascii="Times New Roman" w:cs="Times New Roman" w:eastAsia="Times New Roman" w:hAnsi="Times New Roman"/>
                <w:sz w:val="15"/>
                <w:szCs w:val="15"/>
                <w:color w:val="231F20"/>
              </w:rPr>
              <w:t>2.2%</w:t>
            </w:r>
          </w:p>
        </w:tc>
        <w:tc>
          <w:tcPr>
            <w:tcW w:w="0" w:type="dxa"/>
            <w:vAlign w:val="bottom"/>
          </w:tcPr>
          <w:p>
            <w:pPr>
              <w:spacing w:after="0"/>
              <w:rPr>
                <w:sz w:val="1"/>
                <w:szCs w:val="1"/>
                <w:color w:val="auto"/>
              </w:rPr>
            </w:pPr>
          </w:p>
        </w:tc>
      </w:tr>
      <w:tr>
        <w:trPr>
          <w:trHeight w:val="189"/>
        </w:trPr>
        <w:tc>
          <w:tcPr>
            <w:tcW w:w="1420" w:type="dxa"/>
            <w:vAlign w:val="bottom"/>
            <w:shd w:val="clear" w:color="auto" w:fill="FDFDFC"/>
          </w:tcPr>
          <w:p>
            <w:pPr>
              <w:spacing w:after="0"/>
              <w:rPr>
                <w:sz w:val="20"/>
                <w:szCs w:val="20"/>
                <w:color w:val="auto"/>
              </w:rPr>
            </w:pPr>
            <w:r>
              <w:rPr>
                <w:rFonts w:ascii="Times New Roman" w:cs="Times New Roman" w:eastAsia="Times New Roman" w:hAnsi="Times New Roman"/>
                <w:sz w:val="15"/>
                <w:szCs w:val="15"/>
                <w:color w:val="231F20"/>
              </w:rPr>
              <w:t>Inc.</w:t>
            </w:r>
          </w:p>
        </w:tc>
        <w:tc>
          <w:tcPr>
            <w:tcW w:w="2440" w:type="dxa"/>
            <w:vAlign w:val="bottom"/>
            <w:gridSpan w:val="2"/>
            <w:shd w:val="clear" w:color="auto" w:fill="FDFDFC"/>
          </w:tcPr>
          <w:p>
            <w:pPr>
              <w:ind w:left="100"/>
              <w:spacing w:after="0"/>
              <w:rPr>
                <w:sz w:val="20"/>
                <w:szCs w:val="20"/>
                <w:color w:val="auto"/>
              </w:rPr>
            </w:pPr>
            <w:r>
              <w:rPr>
                <w:rFonts w:ascii="Times New Roman" w:cs="Times New Roman" w:eastAsia="Times New Roman" w:hAnsi="Times New Roman"/>
                <w:sz w:val="15"/>
                <w:szCs w:val="15"/>
                <w:color w:val="231F20"/>
              </w:rPr>
              <w:t xml:space="preserve">12/2024) </w:t>
            </w:r>
            <w:r>
              <w:rPr>
                <w:rFonts w:ascii="Times New Roman" w:cs="Times New Roman" w:eastAsia="Times New Roman" w:hAnsi="Times New Roman"/>
                <w:sz w:val="9"/>
                <w:szCs w:val="9"/>
                <w:color w:val="231F20"/>
              </w:rPr>
              <w:t>(3)</w:t>
            </w:r>
          </w:p>
        </w:tc>
        <w:tc>
          <w:tcPr>
            <w:tcW w:w="80" w:type="dxa"/>
            <w:vAlign w:val="bottom"/>
            <w:shd w:val="clear" w:color="auto" w:fill="FDFDFC"/>
          </w:tcPr>
          <w:p>
            <w:pPr>
              <w:spacing w:after="0"/>
              <w:rPr>
                <w:sz w:val="16"/>
                <w:szCs w:val="16"/>
                <w:color w:val="auto"/>
              </w:rPr>
            </w:pPr>
          </w:p>
        </w:tc>
        <w:tc>
          <w:tcPr>
            <w:tcW w:w="760" w:type="dxa"/>
            <w:vAlign w:val="bottom"/>
            <w:shd w:val="clear" w:color="auto" w:fill="FDFDFC"/>
          </w:tcPr>
          <w:p>
            <w:pPr>
              <w:spacing w:after="0"/>
              <w:rPr>
                <w:sz w:val="16"/>
                <w:szCs w:val="16"/>
                <w:color w:val="auto"/>
              </w:rPr>
            </w:pPr>
          </w:p>
        </w:tc>
        <w:tc>
          <w:tcPr>
            <w:tcW w:w="900" w:type="dxa"/>
            <w:vAlign w:val="bottom"/>
            <w:gridSpan w:val="2"/>
            <w:shd w:val="clear" w:color="auto" w:fill="FDFDFC"/>
          </w:tcPr>
          <w:p>
            <w:pPr>
              <w:jc w:val="right"/>
              <w:spacing w:after="0"/>
              <w:rPr>
                <w:sz w:val="20"/>
                <w:szCs w:val="20"/>
                <w:color w:val="auto"/>
              </w:rPr>
            </w:pPr>
            <w:r>
              <w:rPr>
                <w:rFonts w:ascii="Times New Roman" w:cs="Times New Roman" w:eastAsia="Times New Roman" w:hAnsi="Times New Roman"/>
                <w:sz w:val="15"/>
                <w:szCs w:val="15"/>
                <w:color w:val="231F20"/>
              </w:rPr>
              <w:t>8.40%</w:t>
            </w:r>
          </w:p>
        </w:tc>
        <w:tc>
          <w:tcPr>
            <w:tcW w:w="220" w:type="dxa"/>
            <w:vAlign w:val="bottom"/>
            <w:shd w:val="clear" w:color="auto" w:fill="FDFDFC"/>
          </w:tcPr>
          <w:p>
            <w:pPr>
              <w:spacing w:after="0"/>
              <w:rPr>
                <w:sz w:val="16"/>
                <w:szCs w:val="16"/>
                <w:color w:val="auto"/>
              </w:rPr>
            </w:pPr>
          </w:p>
        </w:tc>
        <w:tc>
          <w:tcPr>
            <w:tcW w:w="760" w:type="dxa"/>
            <w:vAlign w:val="bottom"/>
            <w:shd w:val="clear" w:color="auto" w:fill="FDFDFC"/>
          </w:tcPr>
          <w:p>
            <w:pPr>
              <w:spacing w:after="0"/>
              <w:rPr>
                <w:sz w:val="16"/>
                <w:szCs w:val="16"/>
                <w:color w:val="auto"/>
              </w:rPr>
            </w:pPr>
          </w:p>
        </w:tc>
        <w:tc>
          <w:tcPr>
            <w:tcW w:w="220" w:type="dxa"/>
            <w:vAlign w:val="bottom"/>
            <w:shd w:val="clear" w:color="auto" w:fill="FDFDFC"/>
          </w:tcPr>
          <w:p>
            <w:pPr>
              <w:spacing w:after="0"/>
              <w:rPr>
                <w:sz w:val="16"/>
                <w:szCs w:val="16"/>
                <w:color w:val="auto"/>
              </w:rPr>
            </w:pPr>
          </w:p>
        </w:tc>
        <w:tc>
          <w:tcPr>
            <w:tcW w:w="140" w:type="dxa"/>
            <w:vAlign w:val="bottom"/>
            <w:shd w:val="clear" w:color="auto" w:fill="FDFDFC"/>
          </w:tcPr>
          <w:p>
            <w:pPr>
              <w:spacing w:after="0"/>
              <w:rPr>
                <w:sz w:val="16"/>
                <w:szCs w:val="16"/>
                <w:color w:val="auto"/>
              </w:rPr>
            </w:pPr>
          </w:p>
        </w:tc>
        <w:tc>
          <w:tcPr>
            <w:tcW w:w="860" w:type="dxa"/>
            <w:vAlign w:val="bottom"/>
            <w:shd w:val="clear" w:color="auto" w:fill="FDFDFC"/>
          </w:tcPr>
          <w:p>
            <w:pPr>
              <w:spacing w:after="0"/>
              <w:rPr>
                <w:sz w:val="16"/>
                <w:szCs w:val="16"/>
                <w:color w:val="auto"/>
              </w:rPr>
            </w:pPr>
          </w:p>
        </w:tc>
        <w:tc>
          <w:tcPr>
            <w:tcW w:w="180" w:type="dxa"/>
            <w:vAlign w:val="bottom"/>
            <w:shd w:val="clear" w:color="auto" w:fill="FDFDFC"/>
          </w:tcPr>
          <w:p>
            <w:pPr>
              <w:spacing w:after="0"/>
              <w:rPr>
                <w:sz w:val="16"/>
                <w:szCs w:val="16"/>
                <w:color w:val="auto"/>
              </w:rPr>
            </w:pPr>
          </w:p>
        </w:tc>
        <w:tc>
          <w:tcPr>
            <w:tcW w:w="80" w:type="dxa"/>
            <w:vAlign w:val="bottom"/>
            <w:shd w:val="clear" w:color="auto" w:fill="FDFDFC"/>
          </w:tcPr>
          <w:p>
            <w:pPr>
              <w:spacing w:after="0"/>
              <w:rPr>
                <w:sz w:val="16"/>
                <w:szCs w:val="16"/>
                <w:color w:val="auto"/>
              </w:rPr>
            </w:pPr>
          </w:p>
        </w:tc>
        <w:tc>
          <w:tcPr>
            <w:tcW w:w="880" w:type="dxa"/>
            <w:vAlign w:val="bottom"/>
            <w:shd w:val="clear" w:color="auto" w:fill="FDFDFC"/>
          </w:tcPr>
          <w:p>
            <w:pPr>
              <w:spacing w:after="0"/>
              <w:rPr>
                <w:sz w:val="16"/>
                <w:szCs w:val="16"/>
                <w:color w:val="auto"/>
              </w:rPr>
            </w:pPr>
          </w:p>
        </w:tc>
        <w:tc>
          <w:tcPr>
            <w:tcW w:w="220" w:type="dxa"/>
            <w:vAlign w:val="bottom"/>
            <w:tcBorders>
              <w:right w:val="single" w:sz="8" w:color="FDFDFC"/>
            </w:tcBorders>
            <w:shd w:val="clear" w:color="auto" w:fill="FDFDFC"/>
          </w:tcPr>
          <w:p>
            <w:pPr>
              <w:spacing w:after="0"/>
              <w:rPr>
                <w:sz w:val="16"/>
                <w:szCs w:val="16"/>
                <w:color w:val="auto"/>
              </w:rPr>
            </w:pPr>
          </w:p>
        </w:tc>
        <w:tc>
          <w:tcPr>
            <w:tcW w:w="880" w:type="dxa"/>
            <w:vAlign w:val="bottom"/>
            <w:shd w:val="clear" w:color="auto" w:fill="FDFDFC"/>
          </w:tcPr>
          <w:p>
            <w:pPr>
              <w:spacing w:after="0"/>
              <w:rPr>
                <w:sz w:val="16"/>
                <w:szCs w:val="16"/>
                <w:color w:val="auto"/>
              </w:rPr>
            </w:pPr>
          </w:p>
        </w:tc>
        <w:tc>
          <w:tcPr>
            <w:tcW w:w="240" w:type="dxa"/>
            <w:vAlign w:val="bottom"/>
            <w:shd w:val="clear" w:color="auto" w:fill="FDFDFC"/>
          </w:tcPr>
          <w:p>
            <w:pPr>
              <w:spacing w:after="0"/>
              <w:rPr>
                <w:sz w:val="16"/>
                <w:szCs w:val="16"/>
                <w:color w:val="auto"/>
              </w:rPr>
            </w:pPr>
          </w:p>
        </w:tc>
        <w:tc>
          <w:tcPr>
            <w:tcW w:w="0" w:type="dxa"/>
            <w:vAlign w:val="bottom"/>
          </w:tcPr>
          <w:p>
            <w:pPr>
              <w:spacing w:after="0"/>
              <w:rPr>
                <w:sz w:val="1"/>
                <w:szCs w:val="1"/>
                <w:color w:val="auto"/>
              </w:rPr>
            </w:pPr>
          </w:p>
        </w:tc>
      </w:tr>
      <w:tr>
        <w:trPr>
          <w:trHeight w:val="158"/>
        </w:trPr>
        <w:tc>
          <w:tcPr>
            <w:tcW w:w="1420" w:type="dxa"/>
            <w:vAlign w:val="bottom"/>
            <w:shd w:val="clear" w:color="auto" w:fill="D0EBF2"/>
          </w:tcPr>
          <w:p>
            <w:pPr>
              <w:spacing w:after="0"/>
              <w:rPr>
                <w:sz w:val="13"/>
                <w:szCs w:val="13"/>
                <w:color w:val="auto"/>
              </w:rPr>
            </w:pPr>
          </w:p>
        </w:tc>
        <w:tc>
          <w:tcPr>
            <w:tcW w:w="100" w:type="dxa"/>
            <w:vAlign w:val="bottom"/>
            <w:shd w:val="clear" w:color="auto" w:fill="D0EBF2"/>
          </w:tcPr>
          <w:p>
            <w:pPr>
              <w:spacing w:after="0"/>
              <w:rPr>
                <w:sz w:val="13"/>
                <w:szCs w:val="13"/>
                <w:color w:val="auto"/>
              </w:rPr>
            </w:pPr>
          </w:p>
        </w:tc>
        <w:tc>
          <w:tcPr>
            <w:tcW w:w="2340" w:type="dxa"/>
            <w:vAlign w:val="bottom"/>
            <w:shd w:val="clear" w:color="auto" w:fill="D0EBF2"/>
          </w:tcPr>
          <w:p>
            <w:pPr>
              <w:spacing w:after="0" w:line="159" w:lineRule="exact"/>
              <w:rPr>
                <w:sz w:val="20"/>
                <w:szCs w:val="20"/>
                <w:color w:val="auto"/>
              </w:rPr>
            </w:pPr>
            <w:r>
              <w:rPr>
                <w:rFonts w:ascii="Times New Roman" w:cs="Times New Roman" w:eastAsia="Times New Roman" w:hAnsi="Times New Roman"/>
                <w:sz w:val="15"/>
                <w:szCs w:val="15"/>
                <w:color w:val="231F20"/>
              </w:rPr>
              <w:t>Convertible note ($4,700 par, due</w:t>
            </w:r>
          </w:p>
        </w:tc>
        <w:tc>
          <w:tcPr>
            <w:tcW w:w="840" w:type="dxa"/>
            <w:vAlign w:val="bottom"/>
            <w:gridSpan w:val="2"/>
            <w:shd w:val="clear" w:color="auto" w:fill="D0EBF2"/>
          </w:tcPr>
          <w:p>
            <w:pPr>
              <w:jc w:val="right"/>
              <w:spacing w:after="0" w:line="159" w:lineRule="exact"/>
              <w:rPr>
                <w:sz w:val="20"/>
                <w:szCs w:val="20"/>
                <w:color w:val="auto"/>
              </w:rPr>
            </w:pPr>
            <w:r>
              <w:rPr>
                <w:rFonts w:ascii="Times New Roman" w:cs="Times New Roman" w:eastAsia="Times New Roman" w:hAnsi="Times New Roman"/>
                <w:sz w:val="15"/>
                <w:szCs w:val="15"/>
                <w:color w:val="231F20"/>
              </w:rPr>
              <w:t>5/12/2021</w:t>
            </w:r>
          </w:p>
        </w:tc>
        <w:tc>
          <w:tcPr>
            <w:tcW w:w="1120" w:type="dxa"/>
            <w:vAlign w:val="bottom"/>
            <w:gridSpan w:val="3"/>
            <w:shd w:val="clear" w:color="auto" w:fill="D0EBF2"/>
          </w:tcPr>
          <w:p>
            <w:pPr>
              <w:jc w:val="right"/>
              <w:ind w:right="100"/>
              <w:spacing w:after="0" w:line="159" w:lineRule="exact"/>
              <w:rPr>
                <w:sz w:val="20"/>
                <w:szCs w:val="20"/>
                <w:color w:val="auto"/>
              </w:rPr>
            </w:pPr>
            <w:r>
              <w:rPr>
                <w:rFonts w:ascii="Times New Roman" w:cs="Times New Roman" w:eastAsia="Times New Roman" w:hAnsi="Times New Roman"/>
                <w:sz w:val="15"/>
                <w:szCs w:val="15"/>
                <w:color w:val="231F20"/>
              </w:rPr>
              <w:t>7.50%</w:t>
            </w:r>
          </w:p>
        </w:tc>
        <w:tc>
          <w:tcPr>
            <w:tcW w:w="980" w:type="dxa"/>
            <w:vAlign w:val="bottom"/>
            <w:gridSpan w:val="2"/>
            <w:shd w:val="clear" w:color="auto" w:fill="D0EBF2"/>
          </w:tcPr>
          <w:p>
            <w:pPr>
              <w:jc w:val="right"/>
              <w:ind w:right="240"/>
              <w:spacing w:after="0" w:line="159" w:lineRule="exact"/>
              <w:rPr>
                <w:sz w:val="20"/>
                <w:szCs w:val="20"/>
                <w:color w:val="auto"/>
              </w:rPr>
            </w:pPr>
            <w:r>
              <w:rPr>
                <w:rFonts w:ascii="Times New Roman" w:cs="Times New Roman" w:eastAsia="Times New Roman" w:hAnsi="Times New Roman"/>
                <w:sz w:val="15"/>
                <w:szCs w:val="15"/>
                <w:color w:val="231F20"/>
              </w:rPr>
              <w:t>7.50% PIK</w:t>
            </w:r>
          </w:p>
        </w:tc>
        <w:tc>
          <w:tcPr>
            <w:tcW w:w="140" w:type="dxa"/>
            <w:vAlign w:val="bottom"/>
            <w:shd w:val="clear" w:color="auto" w:fill="D0EBF2"/>
          </w:tcPr>
          <w:p>
            <w:pPr>
              <w:spacing w:after="0"/>
              <w:rPr>
                <w:sz w:val="13"/>
                <w:szCs w:val="13"/>
                <w:color w:val="auto"/>
              </w:rPr>
            </w:pPr>
          </w:p>
        </w:tc>
        <w:tc>
          <w:tcPr>
            <w:tcW w:w="860" w:type="dxa"/>
            <w:vAlign w:val="bottom"/>
            <w:shd w:val="clear" w:color="auto" w:fill="D0EBF2"/>
          </w:tcPr>
          <w:p>
            <w:pPr>
              <w:jc w:val="right"/>
              <w:spacing w:after="0" w:line="159" w:lineRule="exact"/>
              <w:rPr>
                <w:sz w:val="20"/>
                <w:szCs w:val="20"/>
                <w:color w:val="auto"/>
              </w:rPr>
            </w:pPr>
            <w:r>
              <w:rPr>
                <w:rFonts w:ascii="Times New Roman" w:cs="Times New Roman" w:eastAsia="Times New Roman" w:hAnsi="Times New Roman"/>
                <w:sz w:val="15"/>
                <w:szCs w:val="15"/>
                <w:color w:val="231F20"/>
              </w:rPr>
              <w:t>4,674</w:t>
            </w:r>
          </w:p>
        </w:tc>
        <w:tc>
          <w:tcPr>
            <w:tcW w:w="180" w:type="dxa"/>
            <w:vAlign w:val="bottom"/>
            <w:shd w:val="clear" w:color="auto" w:fill="D0EBF2"/>
          </w:tcPr>
          <w:p>
            <w:pPr>
              <w:spacing w:after="0"/>
              <w:rPr>
                <w:sz w:val="13"/>
                <w:szCs w:val="13"/>
                <w:color w:val="auto"/>
              </w:rPr>
            </w:pPr>
          </w:p>
        </w:tc>
        <w:tc>
          <w:tcPr>
            <w:tcW w:w="80" w:type="dxa"/>
            <w:vAlign w:val="bottom"/>
            <w:shd w:val="clear" w:color="auto" w:fill="D0EBF2"/>
          </w:tcPr>
          <w:p>
            <w:pPr>
              <w:spacing w:after="0"/>
              <w:rPr>
                <w:sz w:val="13"/>
                <w:szCs w:val="13"/>
                <w:color w:val="auto"/>
              </w:rPr>
            </w:pPr>
          </w:p>
        </w:tc>
        <w:tc>
          <w:tcPr>
            <w:tcW w:w="880" w:type="dxa"/>
            <w:vAlign w:val="bottom"/>
            <w:shd w:val="clear" w:color="auto" w:fill="D0EBF2"/>
          </w:tcPr>
          <w:p>
            <w:pPr>
              <w:jc w:val="right"/>
              <w:spacing w:after="0" w:line="159" w:lineRule="exact"/>
              <w:rPr>
                <w:sz w:val="20"/>
                <w:szCs w:val="20"/>
                <w:color w:val="auto"/>
              </w:rPr>
            </w:pPr>
            <w:r>
              <w:rPr>
                <w:rFonts w:ascii="Times New Roman" w:cs="Times New Roman" w:eastAsia="Times New Roman" w:hAnsi="Times New Roman"/>
                <w:sz w:val="15"/>
                <w:szCs w:val="15"/>
                <w:color w:val="231F20"/>
              </w:rPr>
              <w:t>4,994</w:t>
            </w:r>
          </w:p>
        </w:tc>
        <w:tc>
          <w:tcPr>
            <w:tcW w:w="1340" w:type="dxa"/>
            <w:vAlign w:val="bottom"/>
            <w:gridSpan w:val="3"/>
            <w:shd w:val="clear" w:color="auto" w:fill="D0EBF2"/>
          </w:tcPr>
          <w:p>
            <w:pPr>
              <w:jc w:val="right"/>
              <w:ind w:right="120"/>
              <w:spacing w:after="0" w:line="159" w:lineRule="exact"/>
              <w:rPr>
                <w:sz w:val="20"/>
                <w:szCs w:val="20"/>
                <w:color w:val="auto"/>
              </w:rPr>
            </w:pPr>
            <w:r>
              <w:rPr>
                <w:rFonts w:ascii="Times New Roman" w:cs="Times New Roman" w:eastAsia="Times New Roman" w:hAnsi="Times New Roman"/>
                <w:sz w:val="15"/>
                <w:szCs w:val="15"/>
                <w:color w:val="231F20"/>
              </w:rPr>
              <w:t>0.3%</w:t>
            </w:r>
          </w:p>
        </w:tc>
        <w:tc>
          <w:tcPr>
            <w:tcW w:w="0" w:type="dxa"/>
            <w:vAlign w:val="bottom"/>
          </w:tcPr>
          <w:p>
            <w:pPr>
              <w:spacing w:after="0"/>
              <w:rPr>
                <w:sz w:val="1"/>
                <w:szCs w:val="1"/>
                <w:color w:val="auto"/>
              </w:rPr>
            </w:pPr>
          </w:p>
        </w:tc>
      </w:tr>
      <w:tr>
        <w:trPr>
          <w:trHeight w:val="189"/>
        </w:trPr>
        <w:tc>
          <w:tcPr>
            <w:tcW w:w="1420" w:type="dxa"/>
            <w:vAlign w:val="bottom"/>
            <w:tcBorders>
              <w:bottom w:val="single" w:sz="8" w:color="FDFDFC"/>
            </w:tcBorders>
            <w:shd w:val="clear" w:color="auto" w:fill="D0EBF2"/>
          </w:tcPr>
          <w:p>
            <w:pPr>
              <w:spacing w:after="0"/>
              <w:rPr>
                <w:sz w:val="16"/>
                <w:szCs w:val="16"/>
                <w:color w:val="auto"/>
              </w:rPr>
            </w:pPr>
          </w:p>
        </w:tc>
        <w:tc>
          <w:tcPr>
            <w:tcW w:w="2440" w:type="dxa"/>
            <w:vAlign w:val="bottom"/>
            <w:tcBorders>
              <w:bottom w:val="single" w:sz="8" w:color="FDFDFC"/>
            </w:tcBorders>
            <w:gridSpan w:val="2"/>
            <w:shd w:val="clear" w:color="auto" w:fill="D0EBF2"/>
          </w:tcPr>
          <w:p>
            <w:pPr>
              <w:ind w:left="100"/>
              <w:spacing w:after="0"/>
              <w:rPr>
                <w:sz w:val="20"/>
                <w:szCs w:val="20"/>
                <w:color w:val="auto"/>
              </w:rPr>
            </w:pPr>
            <w:r>
              <w:rPr>
                <w:rFonts w:ascii="Times New Roman" w:cs="Times New Roman" w:eastAsia="Times New Roman" w:hAnsi="Times New Roman"/>
                <w:sz w:val="15"/>
                <w:szCs w:val="15"/>
                <w:color w:val="231F20"/>
              </w:rPr>
              <w:t>5/2028)</w:t>
            </w:r>
          </w:p>
        </w:tc>
        <w:tc>
          <w:tcPr>
            <w:tcW w:w="80" w:type="dxa"/>
            <w:vAlign w:val="bottom"/>
            <w:tcBorders>
              <w:bottom w:val="single" w:sz="8" w:color="FDFDFC"/>
            </w:tcBorders>
            <w:shd w:val="clear" w:color="auto" w:fill="D0EBF2"/>
          </w:tcPr>
          <w:p>
            <w:pPr>
              <w:spacing w:after="0"/>
              <w:rPr>
                <w:sz w:val="16"/>
                <w:szCs w:val="16"/>
                <w:color w:val="auto"/>
              </w:rPr>
            </w:pPr>
          </w:p>
        </w:tc>
        <w:tc>
          <w:tcPr>
            <w:tcW w:w="760" w:type="dxa"/>
            <w:vAlign w:val="bottom"/>
            <w:tcBorders>
              <w:bottom w:val="single" w:sz="8" w:color="FDFDFC"/>
            </w:tcBorders>
            <w:shd w:val="clear" w:color="auto" w:fill="D0EBF2"/>
          </w:tcPr>
          <w:p>
            <w:pPr>
              <w:spacing w:after="0"/>
              <w:rPr>
                <w:sz w:val="16"/>
                <w:szCs w:val="16"/>
                <w:color w:val="auto"/>
              </w:rPr>
            </w:pPr>
          </w:p>
        </w:tc>
        <w:tc>
          <w:tcPr>
            <w:tcW w:w="100" w:type="dxa"/>
            <w:vAlign w:val="bottom"/>
            <w:tcBorders>
              <w:bottom w:val="single" w:sz="8" w:color="FDFDFC"/>
            </w:tcBorders>
            <w:shd w:val="clear" w:color="auto" w:fill="D0EBF2"/>
          </w:tcPr>
          <w:p>
            <w:pPr>
              <w:spacing w:after="0"/>
              <w:rPr>
                <w:sz w:val="16"/>
                <w:szCs w:val="16"/>
                <w:color w:val="auto"/>
              </w:rPr>
            </w:pPr>
          </w:p>
        </w:tc>
        <w:tc>
          <w:tcPr>
            <w:tcW w:w="800" w:type="dxa"/>
            <w:vAlign w:val="bottom"/>
            <w:tcBorders>
              <w:bottom w:val="single" w:sz="8" w:color="FDFDFC"/>
            </w:tcBorders>
            <w:shd w:val="clear" w:color="auto" w:fill="D0EBF2"/>
          </w:tcPr>
          <w:p>
            <w:pPr>
              <w:spacing w:after="0"/>
              <w:rPr>
                <w:sz w:val="16"/>
                <w:szCs w:val="16"/>
                <w:color w:val="auto"/>
              </w:rPr>
            </w:pPr>
          </w:p>
        </w:tc>
        <w:tc>
          <w:tcPr>
            <w:tcW w:w="220" w:type="dxa"/>
            <w:vAlign w:val="bottom"/>
            <w:tcBorders>
              <w:bottom w:val="single" w:sz="8" w:color="FDFDFC"/>
            </w:tcBorders>
            <w:shd w:val="clear" w:color="auto" w:fill="D0EBF2"/>
          </w:tcPr>
          <w:p>
            <w:pPr>
              <w:spacing w:after="0"/>
              <w:rPr>
                <w:sz w:val="16"/>
                <w:szCs w:val="16"/>
                <w:color w:val="auto"/>
              </w:rPr>
            </w:pPr>
          </w:p>
        </w:tc>
        <w:tc>
          <w:tcPr>
            <w:tcW w:w="760" w:type="dxa"/>
            <w:vAlign w:val="bottom"/>
            <w:tcBorders>
              <w:bottom w:val="single" w:sz="8" w:color="FDFDFC"/>
            </w:tcBorders>
            <w:shd w:val="clear" w:color="auto" w:fill="D0EBF2"/>
          </w:tcPr>
          <w:p>
            <w:pPr>
              <w:spacing w:after="0"/>
              <w:rPr>
                <w:sz w:val="16"/>
                <w:szCs w:val="16"/>
                <w:color w:val="auto"/>
              </w:rPr>
            </w:pPr>
          </w:p>
        </w:tc>
        <w:tc>
          <w:tcPr>
            <w:tcW w:w="220" w:type="dxa"/>
            <w:vAlign w:val="bottom"/>
            <w:tcBorders>
              <w:bottom w:val="single" w:sz="8" w:color="FDFDFC"/>
            </w:tcBorders>
            <w:shd w:val="clear" w:color="auto" w:fill="D0EBF2"/>
          </w:tcPr>
          <w:p>
            <w:pPr>
              <w:spacing w:after="0"/>
              <w:rPr>
                <w:sz w:val="16"/>
                <w:szCs w:val="16"/>
                <w:color w:val="auto"/>
              </w:rPr>
            </w:pPr>
          </w:p>
        </w:tc>
        <w:tc>
          <w:tcPr>
            <w:tcW w:w="140" w:type="dxa"/>
            <w:vAlign w:val="bottom"/>
            <w:tcBorders>
              <w:bottom w:val="single" w:sz="8" w:color="231F20"/>
            </w:tcBorders>
            <w:shd w:val="clear" w:color="auto" w:fill="D0EBF2"/>
          </w:tcPr>
          <w:p>
            <w:pPr>
              <w:spacing w:after="0"/>
              <w:rPr>
                <w:sz w:val="16"/>
                <w:szCs w:val="16"/>
                <w:color w:val="auto"/>
              </w:rPr>
            </w:pPr>
          </w:p>
        </w:tc>
        <w:tc>
          <w:tcPr>
            <w:tcW w:w="860" w:type="dxa"/>
            <w:vAlign w:val="bottom"/>
            <w:tcBorders>
              <w:bottom w:val="single" w:sz="8" w:color="231F20"/>
            </w:tcBorders>
            <w:shd w:val="clear" w:color="auto" w:fill="D0EBF2"/>
          </w:tcPr>
          <w:p>
            <w:pPr>
              <w:spacing w:after="0"/>
              <w:rPr>
                <w:sz w:val="16"/>
                <w:szCs w:val="16"/>
                <w:color w:val="auto"/>
              </w:rPr>
            </w:pPr>
          </w:p>
        </w:tc>
        <w:tc>
          <w:tcPr>
            <w:tcW w:w="180" w:type="dxa"/>
            <w:vAlign w:val="bottom"/>
            <w:tcBorders>
              <w:bottom w:val="single" w:sz="8" w:color="FDFDFC"/>
            </w:tcBorders>
            <w:shd w:val="clear" w:color="auto" w:fill="D0EBF2"/>
          </w:tcPr>
          <w:p>
            <w:pPr>
              <w:spacing w:after="0"/>
              <w:rPr>
                <w:sz w:val="16"/>
                <w:szCs w:val="16"/>
                <w:color w:val="auto"/>
              </w:rPr>
            </w:pPr>
          </w:p>
        </w:tc>
        <w:tc>
          <w:tcPr>
            <w:tcW w:w="80" w:type="dxa"/>
            <w:vAlign w:val="bottom"/>
            <w:tcBorders>
              <w:bottom w:val="single" w:sz="8" w:color="231F20"/>
            </w:tcBorders>
            <w:shd w:val="clear" w:color="auto" w:fill="D0EBF2"/>
          </w:tcPr>
          <w:p>
            <w:pPr>
              <w:spacing w:after="0"/>
              <w:rPr>
                <w:sz w:val="16"/>
                <w:szCs w:val="16"/>
                <w:color w:val="auto"/>
              </w:rPr>
            </w:pPr>
          </w:p>
        </w:tc>
        <w:tc>
          <w:tcPr>
            <w:tcW w:w="880" w:type="dxa"/>
            <w:vAlign w:val="bottom"/>
            <w:tcBorders>
              <w:bottom w:val="single" w:sz="8" w:color="231F20"/>
            </w:tcBorders>
            <w:shd w:val="clear" w:color="auto" w:fill="D0EBF2"/>
          </w:tcPr>
          <w:p>
            <w:pPr>
              <w:spacing w:after="0"/>
              <w:rPr>
                <w:sz w:val="16"/>
                <w:szCs w:val="16"/>
                <w:color w:val="auto"/>
              </w:rPr>
            </w:pPr>
          </w:p>
        </w:tc>
        <w:tc>
          <w:tcPr>
            <w:tcW w:w="220" w:type="dxa"/>
            <w:vAlign w:val="bottom"/>
            <w:tcBorders>
              <w:bottom w:val="single" w:sz="8" w:color="FDFDFC"/>
              <w:right w:val="single" w:sz="8" w:color="D0EBF2"/>
            </w:tcBorders>
            <w:shd w:val="clear" w:color="auto" w:fill="D0EBF2"/>
          </w:tcPr>
          <w:p>
            <w:pPr>
              <w:spacing w:after="0"/>
              <w:rPr>
                <w:sz w:val="16"/>
                <w:szCs w:val="16"/>
                <w:color w:val="auto"/>
              </w:rPr>
            </w:pPr>
          </w:p>
        </w:tc>
        <w:tc>
          <w:tcPr>
            <w:tcW w:w="880" w:type="dxa"/>
            <w:vAlign w:val="bottom"/>
            <w:tcBorders>
              <w:bottom w:val="single" w:sz="8" w:color="231F20"/>
            </w:tcBorders>
            <w:shd w:val="clear" w:color="auto" w:fill="D0EBF2"/>
          </w:tcPr>
          <w:p>
            <w:pPr>
              <w:spacing w:after="0"/>
              <w:rPr>
                <w:sz w:val="16"/>
                <w:szCs w:val="16"/>
                <w:color w:val="auto"/>
              </w:rPr>
            </w:pPr>
          </w:p>
        </w:tc>
        <w:tc>
          <w:tcPr>
            <w:tcW w:w="240" w:type="dxa"/>
            <w:vAlign w:val="bottom"/>
            <w:shd w:val="clear" w:color="auto" w:fill="D0EBF2"/>
          </w:tcPr>
          <w:p>
            <w:pPr>
              <w:spacing w:after="0"/>
              <w:rPr>
                <w:sz w:val="16"/>
                <w:szCs w:val="16"/>
                <w:color w:val="auto"/>
              </w:rPr>
            </w:pPr>
          </w:p>
        </w:tc>
        <w:tc>
          <w:tcPr>
            <w:tcW w:w="0" w:type="dxa"/>
            <w:vAlign w:val="bottom"/>
          </w:tcPr>
          <w:p>
            <w:pPr>
              <w:spacing w:after="0"/>
              <w:rPr>
                <w:sz w:val="1"/>
                <w:szCs w:val="1"/>
                <w:color w:val="auto"/>
              </w:rPr>
            </w:pPr>
          </w:p>
        </w:tc>
      </w:tr>
      <w:tr>
        <w:trPr>
          <w:trHeight w:val="163"/>
        </w:trPr>
        <w:tc>
          <w:tcPr>
            <w:tcW w:w="1420" w:type="dxa"/>
            <w:vAlign w:val="bottom"/>
            <w:shd w:val="clear" w:color="auto" w:fill="FDFDFC"/>
          </w:tcPr>
          <w:p>
            <w:pPr>
              <w:spacing w:after="0"/>
              <w:rPr>
                <w:sz w:val="14"/>
                <w:szCs w:val="14"/>
                <w:color w:val="auto"/>
              </w:rPr>
            </w:pPr>
          </w:p>
        </w:tc>
        <w:tc>
          <w:tcPr>
            <w:tcW w:w="100" w:type="dxa"/>
            <w:vAlign w:val="bottom"/>
            <w:shd w:val="clear" w:color="auto" w:fill="FDFDFC"/>
          </w:tcPr>
          <w:p>
            <w:pPr>
              <w:spacing w:after="0"/>
              <w:rPr>
                <w:sz w:val="14"/>
                <w:szCs w:val="14"/>
                <w:color w:val="auto"/>
              </w:rPr>
            </w:pPr>
          </w:p>
        </w:tc>
        <w:tc>
          <w:tcPr>
            <w:tcW w:w="2340" w:type="dxa"/>
            <w:vAlign w:val="bottom"/>
            <w:shd w:val="clear" w:color="auto" w:fill="FDFDFC"/>
          </w:tcPr>
          <w:p>
            <w:pPr>
              <w:spacing w:after="0"/>
              <w:rPr>
                <w:sz w:val="14"/>
                <w:szCs w:val="14"/>
                <w:color w:val="auto"/>
              </w:rPr>
            </w:pPr>
          </w:p>
        </w:tc>
        <w:tc>
          <w:tcPr>
            <w:tcW w:w="80" w:type="dxa"/>
            <w:vAlign w:val="bottom"/>
            <w:shd w:val="clear" w:color="auto" w:fill="FDFDFC"/>
          </w:tcPr>
          <w:p>
            <w:pPr>
              <w:spacing w:after="0"/>
              <w:rPr>
                <w:sz w:val="14"/>
                <w:szCs w:val="14"/>
                <w:color w:val="auto"/>
              </w:rPr>
            </w:pPr>
          </w:p>
        </w:tc>
        <w:tc>
          <w:tcPr>
            <w:tcW w:w="760" w:type="dxa"/>
            <w:vAlign w:val="bottom"/>
            <w:shd w:val="clear" w:color="auto" w:fill="FDFDFC"/>
          </w:tcPr>
          <w:p>
            <w:pPr>
              <w:spacing w:after="0"/>
              <w:rPr>
                <w:sz w:val="14"/>
                <w:szCs w:val="14"/>
                <w:color w:val="auto"/>
              </w:rPr>
            </w:pPr>
          </w:p>
        </w:tc>
        <w:tc>
          <w:tcPr>
            <w:tcW w:w="100" w:type="dxa"/>
            <w:vAlign w:val="bottom"/>
            <w:shd w:val="clear" w:color="auto" w:fill="FDFDFC"/>
          </w:tcPr>
          <w:p>
            <w:pPr>
              <w:spacing w:after="0"/>
              <w:rPr>
                <w:sz w:val="14"/>
                <w:szCs w:val="14"/>
                <w:color w:val="auto"/>
              </w:rPr>
            </w:pPr>
          </w:p>
        </w:tc>
        <w:tc>
          <w:tcPr>
            <w:tcW w:w="800" w:type="dxa"/>
            <w:vAlign w:val="bottom"/>
            <w:shd w:val="clear" w:color="auto" w:fill="FDFDFC"/>
          </w:tcPr>
          <w:p>
            <w:pPr>
              <w:spacing w:after="0"/>
              <w:rPr>
                <w:sz w:val="14"/>
                <w:szCs w:val="14"/>
                <w:color w:val="auto"/>
              </w:rPr>
            </w:pPr>
          </w:p>
        </w:tc>
        <w:tc>
          <w:tcPr>
            <w:tcW w:w="220" w:type="dxa"/>
            <w:vAlign w:val="bottom"/>
            <w:shd w:val="clear" w:color="auto" w:fill="FDFDFC"/>
          </w:tcPr>
          <w:p>
            <w:pPr>
              <w:spacing w:after="0"/>
              <w:rPr>
                <w:sz w:val="14"/>
                <w:szCs w:val="14"/>
                <w:color w:val="auto"/>
              </w:rPr>
            </w:pPr>
          </w:p>
        </w:tc>
        <w:tc>
          <w:tcPr>
            <w:tcW w:w="760" w:type="dxa"/>
            <w:vAlign w:val="bottom"/>
            <w:shd w:val="clear" w:color="auto" w:fill="FDFDFC"/>
          </w:tcPr>
          <w:p>
            <w:pPr>
              <w:spacing w:after="0"/>
              <w:rPr>
                <w:sz w:val="14"/>
                <w:szCs w:val="14"/>
                <w:color w:val="auto"/>
              </w:rPr>
            </w:pPr>
          </w:p>
        </w:tc>
        <w:tc>
          <w:tcPr>
            <w:tcW w:w="220" w:type="dxa"/>
            <w:vAlign w:val="bottom"/>
            <w:shd w:val="clear" w:color="auto" w:fill="FDFDFC"/>
          </w:tcPr>
          <w:p>
            <w:pPr>
              <w:spacing w:after="0"/>
              <w:rPr>
                <w:sz w:val="14"/>
                <w:szCs w:val="14"/>
                <w:color w:val="auto"/>
              </w:rPr>
            </w:pPr>
          </w:p>
        </w:tc>
        <w:tc>
          <w:tcPr>
            <w:tcW w:w="140" w:type="dxa"/>
            <w:vAlign w:val="bottom"/>
            <w:shd w:val="clear" w:color="auto" w:fill="FDFDFC"/>
          </w:tcPr>
          <w:p>
            <w:pPr>
              <w:spacing w:after="0"/>
              <w:rPr>
                <w:sz w:val="14"/>
                <w:szCs w:val="14"/>
                <w:color w:val="auto"/>
              </w:rPr>
            </w:pPr>
          </w:p>
        </w:tc>
        <w:tc>
          <w:tcPr>
            <w:tcW w:w="860" w:type="dxa"/>
            <w:vAlign w:val="bottom"/>
            <w:shd w:val="clear" w:color="auto" w:fill="FDFDFC"/>
          </w:tcPr>
          <w:p>
            <w:pPr>
              <w:jc w:val="right"/>
              <w:spacing w:after="0" w:line="164" w:lineRule="exact"/>
              <w:rPr>
                <w:sz w:val="20"/>
                <w:szCs w:val="20"/>
                <w:color w:val="auto"/>
              </w:rPr>
            </w:pPr>
            <w:r>
              <w:rPr>
                <w:rFonts w:ascii="Times New Roman" w:cs="Times New Roman" w:eastAsia="Times New Roman" w:hAnsi="Times New Roman"/>
                <w:sz w:val="15"/>
                <w:szCs w:val="15"/>
                <w:color w:val="231F20"/>
              </w:rPr>
              <w:t>100,427</w:t>
            </w:r>
          </w:p>
        </w:tc>
        <w:tc>
          <w:tcPr>
            <w:tcW w:w="180" w:type="dxa"/>
            <w:vAlign w:val="bottom"/>
            <w:shd w:val="clear" w:color="auto" w:fill="FDFDFC"/>
          </w:tcPr>
          <w:p>
            <w:pPr>
              <w:spacing w:after="0"/>
              <w:rPr>
                <w:sz w:val="14"/>
                <w:szCs w:val="14"/>
                <w:color w:val="auto"/>
              </w:rPr>
            </w:pPr>
          </w:p>
        </w:tc>
        <w:tc>
          <w:tcPr>
            <w:tcW w:w="80" w:type="dxa"/>
            <w:vAlign w:val="bottom"/>
            <w:shd w:val="clear" w:color="auto" w:fill="FDFDFC"/>
          </w:tcPr>
          <w:p>
            <w:pPr>
              <w:spacing w:after="0"/>
              <w:rPr>
                <w:sz w:val="14"/>
                <w:szCs w:val="14"/>
                <w:color w:val="auto"/>
              </w:rPr>
            </w:pPr>
          </w:p>
        </w:tc>
        <w:tc>
          <w:tcPr>
            <w:tcW w:w="880" w:type="dxa"/>
            <w:vAlign w:val="bottom"/>
            <w:shd w:val="clear" w:color="auto" w:fill="FDFDFC"/>
          </w:tcPr>
          <w:p>
            <w:pPr>
              <w:jc w:val="right"/>
              <w:spacing w:after="0" w:line="164" w:lineRule="exact"/>
              <w:rPr>
                <w:sz w:val="20"/>
                <w:szCs w:val="20"/>
                <w:color w:val="auto"/>
              </w:rPr>
            </w:pPr>
            <w:r>
              <w:rPr>
                <w:rFonts w:ascii="Times New Roman" w:cs="Times New Roman" w:eastAsia="Times New Roman" w:hAnsi="Times New Roman"/>
                <w:sz w:val="15"/>
                <w:szCs w:val="15"/>
                <w:color w:val="231F20"/>
              </w:rPr>
              <w:t>102,165</w:t>
            </w:r>
          </w:p>
        </w:tc>
        <w:tc>
          <w:tcPr>
            <w:tcW w:w="220" w:type="dxa"/>
            <w:vAlign w:val="bottom"/>
            <w:tcBorders>
              <w:right w:val="single" w:sz="8" w:color="FDFDFC"/>
            </w:tcBorders>
            <w:shd w:val="clear" w:color="auto" w:fill="FDFDFC"/>
          </w:tcPr>
          <w:p>
            <w:pPr>
              <w:spacing w:after="0"/>
              <w:rPr>
                <w:sz w:val="14"/>
                <w:szCs w:val="14"/>
                <w:color w:val="auto"/>
              </w:rPr>
            </w:pPr>
          </w:p>
        </w:tc>
        <w:tc>
          <w:tcPr>
            <w:tcW w:w="1120" w:type="dxa"/>
            <w:vAlign w:val="bottom"/>
            <w:gridSpan w:val="2"/>
          </w:tcPr>
          <w:p>
            <w:pPr>
              <w:jc w:val="right"/>
              <w:ind w:right="120"/>
              <w:spacing w:after="0" w:line="164" w:lineRule="exact"/>
              <w:rPr>
                <w:sz w:val="20"/>
                <w:szCs w:val="20"/>
                <w:color w:val="auto"/>
              </w:rPr>
            </w:pPr>
            <w:r>
              <w:rPr>
                <w:rFonts w:ascii="Times New Roman" w:cs="Times New Roman" w:eastAsia="Times New Roman" w:hAnsi="Times New Roman"/>
                <w:sz w:val="15"/>
                <w:szCs w:val="15"/>
                <w:color w:val="231F20"/>
              </w:rPr>
              <w:t>6.8%</w:t>
            </w:r>
          </w:p>
        </w:tc>
        <w:tc>
          <w:tcPr>
            <w:tcW w:w="0" w:type="dxa"/>
            <w:vAlign w:val="bottom"/>
          </w:tcPr>
          <w:p>
            <w:pPr>
              <w:spacing w:after="0"/>
              <w:rPr>
                <w:sz w:val="1"/>
                <w:szCs w:val="1"/>
                <w:color w:val="auto"/>
              </w:rPr>
            </w:pPr>
          </w:p>
        </w:tc>
      </w:tr>
      <w:tr>
        <w:trPr>
          <w:trHeight w:val="20"/>
        </w:trPr>
        <w:tc>
          <w:tcPr>
            <w:tcW w:w="1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231F20"/>
          </w:tcPr>
          <w:p>
            <w:pPr>
              <w:spacing w:after="0" w:line="20" w:lineRule="exact"/>
              <w:rPr>
                <w:sz w:val="1"/>
                <w:szCs w:val="1"/>
                <w:color w:val="auto"/>
              </w:rPr>
            </w:pPr>
          </w:p>
        </w:tc>
        <w:tc>
          <w:tcPr>
            <w:tcW w:w="860" w:type="dxa"/>
            <w:vAlign w:val="bottom"/>
            <w:shd w:val="clear" w:color="auto" w:fill="231F2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231F20"/>
          </w:tcPr>
          <w:p>
            <w:pPr>
              <w:spacing w:after="0" w:line="20" w:lineRule="exact"/>
              <w:rPr>
                <w:sz w:val="1"/>
                <w:szCs w:val="1"/>
                <w:color w:val="auto"/>
              </w:rPr>
            </w:pPr>
          </w:p>
        </w:tc>
        <w:tc>
          <w:tcPr>
            <w:tcW w:w="880" w:type="dxa"/>
            <w:vAlign w:val="bottom"/>
            <w:shd w:val="clear" w:color="auto" w:fill="231F20"/>
          </w:tcPr>
          <w:p>
            <w:pPr>
              <w:spacing w:after="0" w:line="20" w:lineRule="exact"/>
              <w:rPr>
                <w:sz w:val="1"/>
                <w:szCs w:val="1"/>
                <w:color w:val="auto"/>
              </w:rPr>
            </w:pPr>
          </w:p>
        </w:tc>
        <w:tc>
          <w:tcPr>
            <w:tcW w:w="220" w:type="dxa"/>
            <w:vAlign w:val="bottom"/>
            <w:tcBorders>
              <w:right w:val="single" w:sz="8" w:color="231F20"/>
            </w:tcBorders>
          </w:tcPr>
          <w:p>
            <w:pPr>
              <w:spacing w:after="0" w:line="20" w:lineRule="exact"/>
              <w:rPr>
                <w:sz w:val="1"/>
                <w:szCs w:val="1"/>
                <w:color w:val="auto"/>
              </w:rPr>
            </w:pPr>
          </w:p>
        </w:tc>
        <w:tc>
          <w:tcPr>
            <w:tcW w:w="880" w:type="dxa"/>
            <w:vAlign w:val="bottom"/>
            <w:shd w:val="clear" w:color="auto" w:fill="231F2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5798820</wp:posOffset>
                </wp:positionH>
                <wp:positionV relativeFrom="paragraph">
                  <wp:posOffset>-2236470</wp:posOffset>
                </wp:positionV>
                <wp:extent cx="575310" cy="110490"/>
                <wp:wrapNone/>
                <wp:docPr id="33" name="Shape 3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75310" cy="110490"/>
                        </a:xfrm>
                        <a:prstGeom prst="rect">
                          <a:avLst/>
                        </a:prstGeom>
                        <a:solidFill>
                          <a:srgbClr val="D0EBF2"/>
                        </a:solidFill>
                      </wps:spPr>
                      <wps:bodyPr/>
                    </wps:wsp>
                  </a:graphicData>
                </a:graphic>
              </wp:anchor>
            </w:drawing>
          </mc:Choice>
          <mc:Fallback>
            <w:pict>
              <v:rect id="Shape 33" o:spid="_x0000_s1058" style="position:absolute;margin-left:456.6pt;margin-top:-176.0999pt;width:45.3pt;height:8.7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0EBF2" stroked="f"/>
            </w:pict>
          </mc:Fallback>
        </mc:AlternateContent>
        <mc:AlternateContent>
          <mc:Choice Requires="wps">
            <w:drawing>
              <wp:anchor simplePos="0" relativeHeight="251657728" behindDoc="1" locked="0" layoutInCell="0" allowOverlap="1">
                <wp:simplePos x="0" y="0"/>
                <wp:positionH relativeFrom="column">
                  <wp:posOffset>6374130</wp:posOffset>
                </wp:positionH>
                <wp:positionV relativeFrom="paragraph">
                  <wp:posOffset>-2242185</wp:posOffset>
                </wp:positionV>
                <wp:extent cx="153670" cy="116205"/>
                <wp:wrapNone/>
                <wp:docPr id="34" name="Shape 3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53670" cy="116205"/>
                        </a:xfrm>
                        <a:prstGeom prst="rect">
                          <a:avLst/>
                        </a:prstGeom>
                        <a:solidFill>
                          <a:srgbClr val="D0EBF2"/>
                        </a:solidFill>
                      </wps:spPr>
                      <wps:bodyPr/>
                    </wps:wsp>
                  </a:graphicData>
                </a:graphic>
              </wp:anchor>
            </w:drawing>
          </mc:Choice>
          <mc:Fallback>
            <w:pict>
              <v:rect id="Shape 34" o:spid="_x0000_s1059" style="position:absolute;margin-left:501.9pt;margin-top:-176.5499pt;width:12.1pt;height:9.1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0EBF2" stroked="f"/>
            </w:pict>
          </mc:Fallback>
        </mc:AlternateContent>
        <mc:AlternateContent>
          <mc:Choice Requires="wps">
            <w:drawing>
              <wp:anchor simplePos="0" relativeHeight="251657728" behindDoc="1" locked="0" layoutInCell="0" allowOverlap="1">
                <wp:simplePos x="0" y="0"/>
                <wp:positionH relativeFrom="column">
                  <wp:posOffset>5798820</wp:posOffset>
                </wp:positionH>
                <wp:positionV relativeFrom="paragraph">
                  <wp:posOffset>-1231265</wp:posOffset>
                </wp:positionV>
                <wp:extent cx="575310" cy="110490"/>
                <wp:wrapNone/>
                <wp:docPr id="35" name="Shape 3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75310" cy="110490"/>
                        </a:xfrm>
                        <a:prstGeom prst="rect">
                          <a:avLst/>
                        </a:prstGeom>
                        <a:solidFill>
                          <a:srgbClr val="FDFDFC"/>
                        </a:solidFill>
                      </wps:spPr>
                      <wps:bodyPr/>
                    </wps:wsp>
                  </a:graphicData>
                </a:graphic>
              </wp:anchor>
            </w:drawing>
          </mc:Choice>
          <mc:Fallback>
            <w:pict>
              <v:rect id="Shape 35" o:spid="_x0000_s1060" style="position:absolute;margin-left:456.6pt;margin-top:-96.9499pt;width:45.3pt;height:8.7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FDFDFC" stroked="f"/>
            </w:pict>
          </mc:Fallback>
        </mc:AlternateContent>
        <mc:AlternateContent>
          <mc:Choice Requires="wps">
            <w:drawing>
              <wp:anchor simplePos="0" relativeHeight="251657728" behindDoc="1" locked="0" layoutInCell="0" allowOverlap="1">
                <wp:simplePos x="0" y="0"/>
                <wp:positionH relativeFrom="column">
                  <wp:posOffset>6374130</wp:posOffset>
                </wp:positionH>
                <wp:positionV relativeFrom="paragraph">
                  <wp:posOffset>-1237615</wp:posOffset>
                </wp:positionV>
                <wp:extent cx="153670" cy="116840"/>
                <wp:wrapNone/>
                <wp:docPr id="36" name="Shape 3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53670" cy="116840"/>
                        </a:xfrm>
                        <a:prstGeom prst="rect">
                          <a:avLst/>
                        </a:prstGeom>
                        <a:solidFill>
                          <a:srgbClr val="FDFDFC"/>
                        </a:solidFill>
                      </wps:spPr>
                      <wps:bodyPr/>
                    </wps:wsp>
                  </a:graphicData>
                </a:graphic>
              </wp:anchor>
            </w:drawing>
          </mc:Choice>
          <mc:Fallback>
            <w:pict>
              <v:rect id="Shape 36" o:spid="_x0000_s1061" style="position:absolute;margin-left:501.9pt;margin-top:-97.4499pt;width:12.1pt;height:9.2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FDFDFC" stroked="f"/>
            </w:pict>
          </mc:Fallback>
        </mc:AlternateContent>
        <mc:AlternateContent>
          <mc:Choice Requires="wps">
            <w:drawing>
              <wp:anchor simplePos="0" relativeHeight="251657728" behindDoc="1" locked="0" layoutInCell="0" allowOverlap="1">
                <wp:simplePos x="0" y="0"/>
                <wp:positionH relativeFrom="column">
                  <wp:posOffset>5798820</wp:posOffset>
                </wp:positionH>
                <wp:positionV relativeFrom="paragraph">
                  <wp:posOffset>-116205</wp:posOffset>
                </wp:positionV>
                <wp:extent cx="575310" cy="110490"/>
                <wp:wrapNone/>
                <wp:docPr id="37" name="Shape 3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75310" cy="110490"/>
                        </a:xfrm>
                        <a:prstGeom prst="rect">
                          <a:avLst/>
                        </a:prstGeom>
                        <a:solidFill>
                          <a:srgbClr val="FDFDFC"/>
                        </a:solidFill>
                      </wps:spPr>
                      <wps:bodyPr/>
                    </wps:wsp>
                  </a:graphicData>
                </a:graphic>
              </wp:anchor>
            </w:drawing>
          </mc:Choice>
          <mc:Fallback>
            <w:pict>
              <v:rect id="Shape 37" o:spid="_x0000_s1062" style="position:absolute;margin-left:456.6pt;margin-top:-9.1499pt;width:45.3pt;height:8.7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FDFDFC" stroked="f"/>
            </w:pict>
          </mc:Fallback>
        </mc:AlternateContent>
        <mc:AlternateContent>
          <mc:Choice Requires="wps">
            <w:drawing>
              <wp:anchor simplePos="0" relativeHeight="251657728" behindDoc="1" locked="0" layoutInCell="0" allowOverlap="1">
                <wp:simplePos x="0" y="0"/>
                <wp:positionH relativeFrom="column">
                  <wp:posOffset>6374130</wp:posOffset>
                </wp:positionH>
                <wp:positionV relativeFrom="paragraph">
                  <wp:posOffset>-121920</wp:posOffset>
                </wp:positionV>
                <wp:extent cx="153670" cy="116205"/>
                <wp:wrapNone/>
                <wp:docPr id="38" name="Shape 3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53670" cy="116205"/>
                        </a:xfrm>
                        <a:prstGeom prst="rect">
                          <a:avLst/>
                        </a:prstGeom>
                        <a:solidFill>
                          <a:srgbClr val="FDFDFC"/>
                        </a:solidFill>
                      </wps:spPr>
                      <wps:bodyPr/>
                    </wps:wsp>
                  </a:graphicData>
                </a:graphic>
              </wp:anchor>
            </w:drawing>
          </mc:Choice>
          <mc:Fallback>
            <w:pict>
              <v:rect id="Shape 38" o:spid="_x0000_s1063" style="position:absolute;margin-left:501.9pt;margin-top:-9.5999pt;width:12.1pt;height:9.1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FDFDFC" stroked="f"/>
            </w:pict>
          </mc:Fallback>
        </mc:AlternateContent>
      </w:r>
    </w:p>
    <w:p>
      <w:pPr>
        <w:sectPr>
          <w:pgSz w:w="12240" w:h="15840" w:orient="portrait"/>
          <w:cols w:equalWidth="0" w:num="1">
            <w:col w:w="10280"/>
          </w:cols>
          <w:pgMar w:left="980" w:top="1320" w:right="980" w:bottom="574" w:gutter="0" w:footer="0" w:header="0"/>
        </w:sect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231F20"/>
        </w:rPr>
        <w:t>F-16</w:t>
      </w:r>
    </w:p>
    <w:p>
      <w:pPr>
        <w:sectPr>
          <w:pgSz w:w="12240" w:h="15840" w:orient="portrait"/>
          <w:cols w:equalWidth="0" w:num="1">
            <w:col w:w="10280"/>
          </w:cols>
          <w:pgMar w:left="980" w:top="1320" w:right="980" w:bottom="574" w:gutter="0" w:footer="0" w:header="0"/>
          <w:type w:val="continuous"/>
        </w:sectPr>
      </w:pPr>
    </w:p>
    <w:bookmarkStart w:id="104" w:name="page105"/>
    <w:bookmarkEnd w:id="104"/>
    <w:tbl>
      <w:tblPr>
        <w:tblLayout w:type="fixed"/>
        <w:tblInd w:w="0" w:type="dxa"/>
        <w:tblCellMar>
          <w:top w:w="0" w:type="dxa"/>
          <w:left w:w="0" w:type="dxa"/>
          <w:bottom w:w="0" w:type="dxa"/>
          <w:right w:w="0" w:type="dxa"/>
        </w:tblCellMar>
      </w:tblPr>
      <w:tr>
        <w:trPr>
          <w:trHeight w:val="183"/>
        </w:trPr>
        <w:tc>
          <w:tcPr>
            <w:tcW w:w="1460" w:type="dxa"/>
            <w:vAlign w:val="bottom"/>
            <w:tcBorders>
              <w:top w:val="single" w:sz="8" w:color="D0EBF2"/>
              <w:bottom w:val="single" w:sz="8" w:color="FDFDFC"/>
            </w:tcBorders>
            <w:shd w:val="clear" w:color="auto" w:fill="D0EBF2"/>
          </w:tcPr>
          <w:p>
            <w:pPr>
              <w:spacing w:after="0"/>
              <w:rPr>
                <w:sz w:val="20"/>
                <w:szCs w:val="20"/>
                <w:color w:val="auto"/>
              </w:rPr>
            </w:pPr>
            <w:r>
              <w:rPr>
                <w:rFonts w:ascii="Times New Roman" w:cs="Times New Roman" w:eastAsia="Times New Roman" w:hAnsi="Times New Roman"/>
                <w:sz w:val="15"/>
                <w:szCs w:val="15"/>
                <w:b w:val="1"/>
                <w:bCs w:val="1"/>
                <w:color w:val="231F20"/>
              </w:rPr>
              <w:t>Education</w:t>
            </w:r>
          </w:p>
        </w:tc>
        <w:tc>
          <w:tcPr>
            <w:tcW w:w="2420" w:type="dxa"/>
            <w:vAlign w:val="bottom"/>
            <w:tcBorders>
              <w:top w:val="single" w:sz="8" w:color="D0EBF2"/>
              <w:bottom w:val="single" w:sz="8" w:color="FDFDFC"/>
            </w:tcBorders>
            <w:shd w:val="clear" w:color="auto" w:fill="D0EBF2"/>
          </w:tcPr>
          <w:p>
            <w:pPr>
              <w:spacing w:after="0"/>
              <w:rPr>
                <w:sz w:val="15"/>
                <w:szCs w:val="15"/>
                <w:color w:val="auto"/>
              </w:rPr>
            </w:pPr>
          </w:p>
        </w:tc>
        <w:tc>
          <w:tcPr>
            <w:tcW w:w="820" w:type="dxa"/>
            <w:vAlign w:val="bottom"/>
            <w:tcBorders>
              <w:top w:val="single" w:sz="8" w:color="D0EBF2"/>
              <w:bottom w:val="single" w:sz="8" w:color="FDFDFC"/>
            </w:tcBorders>
            <w:shd w:val="clear" w:color="auto" w:fill="D0EBF2"/>
          </w:tcPr>
          <w:p>
            <w:pPr>
              <w:spacing w:after="0"/>
              <w:rPr>
                <w:sz w:val="15"/>
                <w:szCs w:val="15"/>
                <w:color w:val="auto"/>
              </w:rPr>
            </w:pPr>
          </w:p>
        </w:tc>
        <w:tc>
          <w:tcPr>
            <w:tcW w:w="20" w:type="dxa"/>
            <w:vAlign w:val="bottom"/>
            <w:tcBorders>
              <w:top w:val="single" w:sz="8" w:color="D0EBF2"/>
              <w:bottom w:val="single" w:sz="8" w:color="D0EBF2"/>
            </w:tcBorders>
            <w:shd w:val="clear" w:color="auto" w:fill="D0EBF2"/>
          </w:tcPr>
          <w:p>
            <w:pPr>
              <w:spacing w:after="0"/>
              <w:rPr>
                <w:sz w:val="15"/>
                <w:szCs w:val="15"/>
                <w:color w:val="auto"/>
              </w:rPr>
            </w:pPr>
          </w:p>
        </w:tc>
        <w:tc>
          <w:tcPr>
            <w:tcW w:w="1060" w:type="dxa"/>
            <w:vAlign w:val="bottom"/>
            <w:tcBorders>
              <w:top w:val="single" w:sz="8" w:color="D0EBF2"/>
              <w:bottom w:val="single" w:sz="8" w:color="FDFDFC"/>
            </w:tcBorders>
            <w:shd w:val="clear" w:color="auto" w:fill="D0EBF2"/>
          </w:tcPr>
          <w:p>
            <w:pPr>
              <w:spacing w:after="0"/>
              <w:rPr>
                <w:sz w:val="15"/>
                <w:szCs w:val="15"/>
                <w:color w:val="auto"/>
              </w:rPr>
            </w:pPr>
          </w:p>
        </w:tc>
        <w:tc>
          <w:tcPr>
            <w:tcW w:w="1020" w:type="dxa"/>
            <w:vAlign w:val="bottom"/>
            <w:tcBorders>
              <w:top w:val="single" w:sz="8" w:color="D0EBF2"/>
              <w:bottom w:val="single" w:sz="8" w:color="FDFDFC"/>
            </w:tcBorders>
            <w:shd w:val="clear" w:color="auto" w:fill="D0EBF2"/>
          </w:tcPr>
          <w:p>
            <w:pPr>
              <w:spacing w:after="0"/>
              <w:rPr>
                <w:sz w:val="15"/>
                <w:szCs w:val="15"/>
                <w:color w:val="auto"/>
              </w:rPr>
            </w:pPr>
          </w:p>
        </w:tc>
        <w:tc>
          <w:tcPr>
            <w:tcW w:w="1000" w:type="dxa"/>
            <w:vAlign w:val="bottom"/>
            <w:tcBorders>
              <w:top w:val="single" w:sz="8" w:color="231F20"/>
              <w:bottom w:val="single" w:sz="8" w:color="FDFDFC"/>
            </w:tcBorders>
            <w:shd w:val="clear" w:color="auto" w:fill="D0EBF2"/>
          </w:tcPr>
          <w:p>
            <w:pPr>
              <w:spacing w:after="0"/>
              <w:rPr>
                <w:sz w:val="15"/>
                <w:szCs w:val="15"/>
                <w:color w:val="auto"/>
              </w:rPr>
            </w:pPr>
          </w:p>
        </w:tc>
        <w:tc>
          <w:tcPr>
            <w:tcW w:w="180" w:type="dxa"/>
            <w:vAlign w:val="bottom"/>
            <w:tcBorders>
              <w:top w:val="single" w:sz="8" w:color="D0EBF2"/>
              <w:bottom w:val="single" w:sz="8" w:color="FDFDFC"/>
            </w:tcBorders>
            <w:shd w:val="clear" w:color="auto" w:fill="D0EBF2"/>
          </w:tcPr>
          <w:p>
            <w:pPr>
              <w:spacing w:after="0"/>
              <w:rPr>
                <w:sz w:val="15"/>
                <w:szCs w:val="15"/>
                <w:color w:val="auto"/>
              </w:rPr>
            </w:pPr>
          </w:p>
        </w:tc>
        <w:tc>
          <w:tcPr>
            <w:tcW w:w="960" w:type="dxa"/>
            <w:vAlign w:val="bottom"/>
            <w:tcBorders>
              <w:top w:val="single" w:sz="8" w:color="231F20"/>
              <w:bottom w:val="single" w:sz="8" w:color="FDFDFC"/>
            </w:tcBorders>
            <w:shd w:val="clear" w:color="auto" w:fill="D0EBF2"/>
          </w:tcPr>
          <w:p>
            <w:pPr>
              <w:spacing w:after="0"/>
              <w:rPr>
                <w:sz w:val="15"/>
                <w:szCs w:val="15"/>
                <w:color w:val="auto"/>
              </w:rPr>
            </w:pPr>
          </w:p>
        </w:tc>
        <w:tc>
          <w:tcPr>
            <w:tcW w:w="200" w:type="dxa"/>
            <w:vAlign w:val="bottom"/>
            <w:tcBorders>
              <w:top w:val="single" w:sz="8" w:color="D0EBF2"/>
              <w:bottom w:val="single" w:sz="8" w:color="FDFDFC"/>
            </w:tcBorders>
            <w:shd w:val="clear" w:color="auto" w:fill="D0EBF2"/>
          </w:tcPr>
          <w:p>
            <w:pPr>
              <w:spacing w:after="0"/>
              <w:rPr>
                <w:sz w:val="15"/>
                <w:szCs w:val="15"/>
                <w:color w:val="auto"/>
              </w:rPr>
            </w:pPr>
          </w:p>
        </w:tc>
        <w:tc>
          <w:tcPr>
            <w:tcW w:w="900" w:type="dxa"/>
            <w:vAlign w:val="bottom"/>
            <w:tcBorders>
              <w:top w:val="single" w:sz="8" w:color="231F20"/>
              <w:bottom w:val="single" w:sz="8" w:color="FDFDFC"/>
            </w:tcBorders>
            <w:shd w:val="clear" w:color="auto" w:fill="D0EBF2"/>
          </w:tcPr>
          <w:p>
            <w:pPr>
              <w:spacing w:after="0"/>
              <w:rPr>
                <w:sz w:val="15"/>
                <w:szCs w:val="15"/>
                <w:color w:val="auto"/>
              </w:rPr>
            </w:pPr>
          </w:p>
        </w:tc>
        <w:tc>
          <w:tcPr>
            <w:tcW w:w="240" w:type="dxa"/>
            <w:vAlign w:val="bottom"/>
            <w:tcBorders>
              <w:top w:val="single" w:sz="8" w:color="D0EBF2"/>
              <w:bottom w:val="single" w:sz="8" w:color="FDFDFC"/>
            </w:tcBorders>
            <w:shd w:val="clear" w:color="auto" w:fill="D0EBF2"/>
          </w:tcPr>
          <w:p>
            <w:pPr>
              <w:spacing w:after="0"/>
              <w:rPr>
                <w:sz w:val="15"/>
                <w:szCs w:val="15"/>
                <w:color w:val="auto"/>
              </w:rPr>
            </w:pPr>
          </w:p>
        </w:tc>
        <w:tc>
          <w:tcPr>
            <w:tcW w:w="0" w:type="dxa"/>
            <w:vAlign w:val="bottom"/>
          </w:tcPr>
          <w:p>
            <w:pPr>
              <w:spacing w:after="0"/>
              <w:rPr>
                <w:sz w:val="1"/>
                <w:szCs w:val="1"/>
                <w:color w:val="auto"/>
              </w:rPr>
            </w:pPr>
          </w:p>
        </w:tc>
      </w:tr>
      <w:tr>
        <w:trPr>
          <w:trHeight w:val="138"/>
        </w:trPr>
        <w:tc>
          <w:tcPr>
            <w:tcW w:w="1460" w:type="dxa"/>
            <w:vAlign w:val="bottom"/>
            <w:shd w:val="clear" w:color="auto" w:fill="FDFDFC"/>
          </w:tcPr>
          <w:p>
            <w:pPr>
              <w:spacing w:after="0" w:line="138" w:lineRule="exact"/>
              <w:rPr>
                <w:sz w:val="20"/>
                <w:szCs w:val="20"/>
                <w:color w:val="auto"/>
              </w:rPr>
            </w:pPr>
            <w:r>
              <w:rPr>
                <w:rFonts w:ascii="Times New Roman" w:cs="Times New Roman" w:eastAsia="Times New Roman" w:hAnsi="Times New Roman"/>
                <w:sz w:val="15"/>
                <w:szCs w:val="15"/>
                <w:color w:val="231F20"/>
              </w:rPr>
              <w:t>Astra Acquisition</w:t>
            </w:r>
          </w:p>
        </w:tc>
        <w:tc>
          <w:tcPr>
            <w:tcW w:w="2420" w:type="dxa"/>
            <w:vAlign w:val="bottom"/>
            <w:shd w:val="clear" w:color="auto" w:fill="FDFDFC"/>
          </w:tcPr>
          <w:p>
            <w:pPr>
              <w:ind w:left="60"/>
              <w:spacing w:after="0" w:line="138" w:lineRule="exact"/>
              <w:rPr>
                <w:sz w:val="20"/>
                <w:szCs w:val="20"/>
                <w:color w:val="auto"/>
              </w:rPr>
            </w:pPr>
            <w:r>
              <w:rPr>
                <w:rFonts w:ascii="Times New Roman" w:cs="Times New Roman" w:eastAsia="Times New Roman" w:hAnsi="Times New Roman"/>
                <w:sz w:val="15"/>
                <w:szCs w:val="15"/>
                <w:color w:val="231F20"/>
              </w:rPr>
              <w:t>Second-lien loan ($43,479 par, due</w:t>
            </w:r>
          </w:p>
        </w:tc>
        <w:tc>
          <w:tcPr>
            <w:tcW w:w="820" w:type="dxa"/>
            <w:vAlign w:val="bottom"/>
            <w:shd w:val="clear" w:color="auto" w:fill="FDFDFC"/>
          </w:tcPr>
          <w:p>
            <w:pPr>
              <w:jc w:val="right"/>
              <w:spacing w:after="0" w:line="138" w:lineRule="exact"/>
              <w:rPr>
                <w:sz w:val="20"/>
                <w:szCs w:val="20"/>
                <w:color w:val="auto"/>
              </w:rPr>
            </w:pPr>
            <w:r>
              <w:rPr>
                <w:rFonts w:ascii="Times New Roman" w:cs="Times New Roman" w:eastAsia="Times New Roman" w:hAnsi="Times New Roman"/>
                <w:sz w:val="15"/>
                <w:szCs w:val="15"/>
                <w:color w:val="231F20"/>
              </w:rPr>
              <w:t>10/22/2021</w:t>
            </w:r>
          </w:p>
        </w:tc>
        <w:tc>
          <w:tcPr>
            <w:tcW w:w="20" w:type="dxa"/>
            <w:vAlign w:val="bottom"/>
          </w:tcPr>
          <w:p>
            <w:pPr>
              <w:spacing w:after="0"/>
              <w:rPr>
                <w:sz w:val="12"/>
                <w:szCs w:val="12"/>
                <w:color w:val="auto"/>
              </w:rPr>
            </w:pPr>
          </w:p>
        </w:tc>
        <w:tc>
          <w:tcPr>
            <w:tcW w:w="1060" w:type="dxa"/>
            <w:vAlign w:val="bottom"/>
            <w:shd w:val="clear" w:color="auto" w:fill="FDFDFC"/>
          </w:tcPr>
          <w:p>
            <w:pPr>
              <w:jc w:val="right"/>
              <w:ind w:right="124"/>
              <w:spacing w:after="0" w:line="138" w:lineRule="exact"/>
              <w:rPr>
                <w:sz w:val="20"/>
                <w:szCs w:val="20"/>
                <w:color w:val="auto"/>
              </w:rPr>
            </w:pPr>
            <w:r>
              <w:rPr>
                <w:rFonts w:ascii="Times New Roman" w:cs="Times New Roman" w:eastAsia="Times New Roman" w:hAnsi="Times New Roman"/>
                <w:sz w:val="15"/>
                <w:szCs w:val="15"/>
                <w:color w:val="231F20"/>
              </w:rPr>
              <w:t>SOFR +</w:t>
            </w:r>
          </w:p>
        </w:tc>
        <w:tc>
          <w:tcPr>
            <w:tcW w:w="1020" w:type="dxa"/>
            <w:vAlign w:val="bottom"/>
            <w:shd w:val="clear" w:color="auto" w:fill="FDFDFC"/>
          </w:tcPr>
          <w:p>
            <w:pPr>
              <w:jc w:val="right"/>
              <w:ind w:right="24"/>
              <w:spacing w:after="0" w:line="138" w:lineRule="exact"/>
              <w:rPr>
                <w:sz w:val="20"/>
                <w:szCs w:val="20"/>
                <w:color w:val="auto"/>
              </w:rPr>
            </w:pPr>
            <w:r>
              <w:rPr>
                <w:rFonts w:ascii="Times New Roman" w:cs="Times New Roman" w:eastAsia="Times New Roman" w:hAnsi="Times New Roman"/>
                <w:sz w:val="15"/>
                <w:szCs w:val="15"/>
                <w:color w:val="231F20"/>
              </w:rPr>
              <w:t>14.48%</w:t>
            </w:r>
          </w:p>
        </w:tc>
        <w:tc>
          <w:tcPr>
            <w:tcW w:w="1000" w:type="dxa"/>
            <w:vAlign w:val="bottom"/>
            <w:shd w:val="clear" w:color="auto" w:fill="FDFDFC"/>
          </w:tcPr>
          <w:p>
            <w:pPr>
              <w:jc w:val="right"/>
              <w:spacing w:after="0" w:line="138" w:lineRule="exact"/>
              <w:rPr>
                <w:sz w:val="20"/>
                <w:szCs w:val="20"/>
                <w:color w:val="auto"/>
              </w:rPr>
            </w:pPr>
            <w:r>
              <w:rPr>
                <w:rFonts w:ascii="Times New Roman" w:cs="Times New Roman" w:eastAsia="Times New Roman" w:hAnsi="Times New Roman"/>
                <w:sz w:val="15"/>
                <w:szCs w:val="15"/>
                <w:color w:val="231F20"/>
              </w:rPr>
              <w:t>42,814</w:t>
            </w:r>
          </w:p>
        </w:tc>
        <w:tc>
          <w:tcPr>
            <w:tcW w:w="180" w:type="dxa"/>
            <w:vAlign w:val="bottom"/>
            <w:shd w:val="clear" w:color="auto" w:fill="FDFDFC"/>
          </w:tcPr>
          <w:p>
            <w:pPr>
              <w:spacing w:after="0"/>
              <w:rPr>
                <w:sz w:val="12"/>
                <w:szCs w:val="12"/>
                <w:color w:val="auto"/>
              </w:rPr>
            </w:pPr>
          </w:p>
        </w:tc>
        <w:tc>
          <w:tcPr>
            <w:tcW w:w="960" w:type="dxa"/>
            <w:vAlign w:val="bottom"/>
            <w:shd w:val="clear" w:color="auto" w:fill="FDFDFC"/>
          </w:tcPr>
          <w:p>
            <w:pPr>
              <w:jc w:val="right"/>
              <w:spacing w:after="0" w:line="138" w:lineRule="exact"/>
              <w:rPr>
                <w:sz w:val="20"/>
                <w:szCs w:val="20"/>
                <w:color w:val="auto"/>
              </w:rPr>
            </w:pPr>
            <w:r>
              <w:rPr>
                <w:rFonts w:ascii="Times New Roman" w:cs="Times New Roman" w:eastAsia="Times New Roman" w:hAnsi="Times New Roman"/>
                <w:sz w:val="15"/>
                <w:szCs w:val="15"/>
                <w:color w:val="231F20"/>
              </w:rPr>
              <w:t>27,174</w:t>
            </w:r>
          </w:p>
        </w:tc>
        <w:tc>
          <w:tcPr>
            <w:tcW w:w="200" w:type="dxa"/>
            <w:vAlign w:val="bottom"/>
            <w:shd w:val="clear" w:color="auto" w:fill="FDFDFC"/>
          </w:tcPr>
          <w:p>
            <w:pPr>
              <w:spacing w:after="0"/>
              <w:rPr>
                <w:sz w:val="12"/>
                <w:szCs w:val="12"/>
                <w:color w:val="auto"/>
              </w:rPr>
            </w:pPr>
          </w:p>
        </w:tc>
        <w:tc>
          <w:tcPr>
            <w:tcW w:w="1140" w:type="dxa"/>
            <w:vAlign w:val="bottom"/>
            <w:gridSpan w:val="2"/>
            <w:shd w:val="clear" w:color="auto" w:fill="FDFDFC"/>
          </w:tcPr>
          <w:p>
            <w:pPr>
              <w:jc w:val="right"/>
              <w:ind w:right="120"/>
              <w:spacing w:after="0" w:line="138" w:lineRule="exact"/>
              <w:rPr>
                <w:sz w:val="20"/>
                <w:szCs w:val="20"/>
                <w:color w:val="auto"/>
              </w:rPr>
            </w:pPr>
            <w:r>
              <w:rPr>
                <w:rFonts w:ascii="Times New Roman" w:cs="Times New Roman" w:eastAsia="Times New Roman" w:hAnsi="Times New Roman"/>
                <w:sz w:val="15"/>
                <w:szCs w:val="15"/>
                <w:color w:val="231F20"/>
              </w:rPr>
              <w:t>1.8%</w:t>
            </w:r>
          </w:p>
        </w:tc>
        <w:tc>
          <w:tcPr>
            <w:tcW w:w="0" w:type="dxa"/>
            <w:vAlign w:val="bottom"/>
          </w:tcPr>
          <w:p>
            <w:pPr>
              <w:spacing w:after="0"/>
              <w:rPr>
                <w:sz w:val="1"/>
                <w:szCs w:val="1"/>
                <w:color w:val="auto"/>
              </w:rPr>
            </w:pPr>
          </w:p>
        </w:tc>
      </w:tr>
      <w:tr>
        <w:trPr>
          <w:trHeight w:val="189"/>
        </w:trPr>
        <w:tc>
          <w:tcPr>
            <w:tcW w:w="1460" w:type="dxa"/>
            <w:vAlign w:val="bottom"/>
            <w:shd w:val="clear" w:color="auto" w:fill="FDFDFC"/>
          </w:tcPr>
          <w:p>
            <w:pPr>
              <w:spacing w:after="0"/>
              <w:rPr>
                <w:sz w:val="20"/>
                <w:szCs w:val="20"/>
                <w:color w:val="auto"/>
              </w:rPr>
            </w:pPr>
            <w:r>
              <w:rPr>
                <w:rFonts w:ascii="Times New Roman" w:cs="Times New Roman" w:eastAsia="Times New Roman" w:hAnsi="Times New Roman"/>
                <w:sz w:val="15"/>
                <w:szCs w:val="15"/>
                <w:color w:val="231F20"/>
              </w:rPr>
              <w:t xml:space="preserve">Corp. </w:t>
            </w:r>
            <w:r>
              <w:rPr>
                <w:rFonts w:ascii="Times New Roman" w:cs="Times New Roman" w:eastAsia="Times New Roman" w:hAnsi="Times New Roman"/>
                <w:sz w:val="9"/>
                <w:szCs w:val="9"/>
                <w:color w:val="231F20"/>
              </w:rPr>
              <w:t>(3)</w:t>
            </w:r>
          </w:p>
        </w:tc>
        <w:tc>
          <w:tcPr>
            <w:tcW w:w="2420" w:type="dxa"/>
            <w:vAlign w:val="bottom"/>
            <w:shd w:val="clear" w:color="auto" w:fill="FDFDFC"/>
          </w:tcPr>
          <w:p>
            <w:pPr>
              <w:ind w:left="60"/>
              <w:spacing w:after="0"/>
              <w:rPr>
                <w:sz w:val="20"/>
                <w:szCs w:val="20"/>
                <w:color w:val="auto"/>
              </w:rPr>
            </w:pPr>
            <w:r>
              <w:rPr>
                <w:rFonts w:ascii="Times New Roman" w:cs="Times New Roman" w:eastAsia="Times New Roman" w:hAnsi="Times New Roman"/>
                <w:sz w:val="15"/>
                <w:szCs w:val="15"/>
                <w:color w:val="231F20"/>
              </w:rPr>
              <w:t>10/2029)</w:t>
            </w:r>
          </w:p>
        </w:tc>
        <w:tc>
          <w:tcPr>
            <w:tcW w:w="820" w:type="dxa"/>
            <w:vAlign w:val="bottom"/>
            <w:shd w:val="clear" w:color="auto" w:fill="FDFDFC"/>
          </w:tcPr>
          <w:p>
            <w:pPr>
              <w:spacing w:after="0"/>
              <w:rPr>
                <w:sz w:val="16"/>
                <w:szCs w:val="16"/>
                <w:color w:val="auto"/>
              </w:rPr>
            </w:pPr>
          </w:p>
        </w:tc>
        <w:tc>
          <w:tcPr>
            <w:tcW w:w="20" w:type="dxa"/>
            <w:vAlign w:val="bottom"/>
          </w:tcPr>
          <w:p>
            <w:pPr>
              <w:spacing w:after="0"/>
              <w:rPr>
                <w:sz w:val="16"/>
                <w:szCs w:val="16"/>
                <w:color w:val="auto"/>
              </w:rPr>
            </w:pPr>
          </w:p>
        </w:tc>
        <w:tc>
          <w:tcPr>
            <w:tcW w:w="1060" w:type="dxa"/>
            <w:vAlign w:val="bottom"/>
            <w:shd w:val="clear" w:color="auto" w:fill="FDFDFC"/>
          </w:tcPr>
          <w:p>
            <w:pPr>
              <w:jc w:val="right"/>
              <w:ind w:right="124"/>
              <w:spacing w:after="0"/>
              <w:rPr>
                <w:sz w:val="20"/>
                <w:szCs w:val="20"/>
                <w:color w:val="auto"/>
              </w:rPr>
            </w:pPr>
            <w:r>
              <w:rPr>
                <w:rFonts w:ascii="Times New Roman" w:cs="Times New Roman" w:eastAsia="Times New Roman" w:hAnsi="Times New Roman"/>
                <w:sz w:val="15"/>
                <w:szCs w:val="15"/>
                <w:color w:val="231F20"/>
              </w:rPr>
              <w:t>9.14%</w:t>
            </w:r>
          </w:p>
        </w:tc>
        <w:tc>
          <w:tcPr>
            <w:tcW w:w="1020" w:type="dxa"/>
            <w:vAlign w:val="bottom"/>
            <w:shd w:val="clear" w:color="auto" w:fill="FDFDFC"/>
          </w:tcPr>
          <w:p>
            <w:pPr>
              <w:spacing w:after="0"/>
              <w:rPr>
                <w:sz w:val="16"/>
                <w:szCs w:val="16"/>
                <w:color w:val="auto"/>
              </w:rPr>
            </w:pPr>
          </w:p>
        </w:tc>
        <w:tc>
          <w:tcPr>
            <w:tcW w:w="1000" w:type="dxa"/>
            <w:vAlign w:val="bottom"/>
            <w:shd w:val="clear" w:color="auto" w:fill="FDFDFC"/>
          </w:tcPr>
          <w:p>
            <w:pPr>
              <w:spacing w:after="0"/>
              <w:rPr>
                <w:sz w:val="16"/>
                <w:szCs w:val="16"/>
                <w:color w:val="auto"/>
              </w:rPr>
            </w:pPr>
          </w:p>
        </w:tc>
        <w:tc>
          <w:tcPr>
            <w:tcW w:w="180" w:type="dxa"/>
            <w:vAlign w:val="bottom"/>
            <w:shd w:val="clear" w:color="auto" w:fill="FDFDFC"/>
          </w:tcPr>
          <w:p>
            <w:pPr>
              <w:spacing w:after="0"/>
              <w:rPr>
                <w:sz w:val="16"/>
                <w:szCs w:val="16"/>
                <w:color w:val="auto"/>
              </w:rPr>
            </w:pPr>
          </w:p>
        </w:tc>
        <w:tc>
          <w:tcPr>
            <w:tcW w:w="960" w:type="dxa"/>
            <w:vAlign w:val="bottom"/>
            <w:shd w:val="clear" w:color="auto" w:fill="FDFDFC"/>
          </w:tcPr>
          <w:p>
            <w:pPr>
              <w:spacing w:after="0"/>
              <w:rPr>
                <w:sz w:val="16"/>
                <w:szCs w:val="16"/>
                <w:color w:val="auto"/>
              </w:rPr>
            </w:pPr>
          </w:p>
        </w:tc>
        <w:tc>
          <w:tcPr>
            <w:tcW w:w="200" w:type="dxa"/>
            <w:vAlign w:val="bottom"/>
            <w:shd w:val="clear" w:color="auto" w:fill="FDFDFC"/>
          </w:tcPr>
          <w:p>
            <w:pPr>
              <w:spacing w:after="0"/>
              <w:rPr>
                <w:sz w:val="16"/>
                <w:szCs w:val="16"/>
                <w:color w:val="auto"/>
              </w:rPr>
            </w:pPr>
          </w:p>
        </w:tc>
        <w:tc>
          <w:tcPr>
            <w:tcW w:w="900" w:type="dxa"/>
            <w:vAlign w:val="bottom"/>
            <w:shd w:val="clear" w:color="auto" w:fill="FDFDFC"/>
          </w:tcPr>
          <w:p>
            <w:pPr>
              <w:spacing w:after="0"/>
              <w:rPr>
                <w:sz w:val="16"/>
                <w:szCs w:val="16"/>
                <w:color w:val="auto"/>
              </w:rPr>
            </w:pPr>
          </w:p>
        </w:tc>
        <w:tc>
          <w:tcPr>
            <w:tcW w:w="240" w:type="dxa"/>
            <w:vAlign w:val="bottom"/>
            <w:shd w:val="clear" w:color="auto" w:fill="FDFDFC"/>
          </w:tcPr>
          <w:p>
            <w:pPr>
              <w:spacing w:after="0"/>
              <w:rPr>
                <w:sz w:val="16"/>
                <w:szCs w:val="16"/>
                <w:color w:val="auto"/>
              </w:rPr>
            </w:pPr>
          </w:p>
        </w:tc>
        <w:tc>
          <w:tcPr>
            <w:tcW w:w="0" w:type="dxa"/>
            <w:vAlign w:val="bottom"/>
          </w:tcPr>
          <w:p>
            <w:pPr>
              <w:spacing w:after="0"/>
              <w:rPr>
                <w:sz w:val="1"/>
                <w:szCs w:val="1"/>
                <w:color w:val="auto"/>
              </w:rPr>
            </w:pPr>
          </w:p>
        </w:tc>
      </w:tr>
      <w:tr>
        <w:trPr>
          <w:trHeight w:val="158"/>
        </w:trPr>
        <w:tc>
          <w:tcPr>
            <w:tcW w:w="1460" w:type="dxa"/>
            <w:vAlign w:val="bottom"/>
            <w:shd w:val="clear" w:color="auto" w:fill="D0EBF2"/>
          </w:tcPr>
          <w:p>
            <w:pPr>
              <w:spacing w:after="0" w:line="159" w:lineRule="exact"/>
              <w:rPr>
                <w:sz w:val="20"/>
                <w:szCs w:val="20"/>
                <w:color w:val="auto"/>
              </w:rPr>
            </w:pPr>
            <w:r>
              <w:rPr>
                <w:rFonts w:ascii="Times New Roman" w:cs="Times New Roman" w:eastAsia="Times New Roman" w:hAnsi="Times New Roman"/>
                <w:sz w:val="15"/>
                <w:szCs w:val="15"/>
                <w:color w:val="231F20"/>
              </w:rPr>
              <w:t>Destiny Solutions</w:t>
            </w:r>
          </w:p>
        </w:tc>
        <w:tc>
          <w:tcPr>
            <w:tcW w:w="2420" w:type="dxa"/>
            <w:vAlign w:val="bottom"/>
            <w:shd w:val="clear" w:color="auto" w:fill="D0EBF2"/>
          </w:tcPr>
          <w:p>
            <w:pPr>
              <w:ind w:left="60"/>
              <w:spacing w:after="0" w:line="159" w:lineRule="exact"/>
              <w:rPr>
                <w:sz w:val="20"/>
                <w:szCs w:val="20"/>
                <w:color w:val="auto"/>
              </w:rPr>
            </w:pPr>
            <w:r>
              <w:rPr>
                <w:rFonts w:ascii="Times New Roman" w:cs="Times New Roman" w:eastAsia="Times New Roman" w:hAnsi="Times New Roman"/>
                <w:sz w:val="15"/>
                <w:szCs w:val="15"/>
                <w:color w:val="231F20"/>
              </w:rPr>
              <w:t>First-lien loan ($59,550 par, due</w:t>
            </w:r>
          </w:p>
        </w:tc>
        <w:tc>
          <w:tcPr>
            <w:tcW w:w="820" w:type="dxa"/>
            <w:vAlign w:val="bottom"/>
            <w:shd w:val="clear" w:color="auto" w:fill="D0EBF2"/>
          </w:tcPr>
          <w:p>
            <w:pPr>
              <w:jc w:val="right"/>
              <w:spacing w:after="0" w:line="159" w:lineRule="exact"/>
              <w:rPr>
                <w:sz w:val="20"/>
                <w:szCs w:val="20"/>
                <w:color w:val="auto"/>
              </w:rPr>
            </w:pPr>
            <w:r>
              <w:rPr>
                <w:rFonts w:ascii="Times New Roman" w:cs="Times New Roman" w:eastAsia="Times New Roman" w:hAnsi="Times New Roman"/>
                <w:sz w:val="15"/>
                <w:szCs w:val="15"/>
                <w:color w:val="231F20"/>
              </w:rPr>
              <w:t>6/8/2021</w:t>
            </w:r>
          </w:p>
        </w:tc>
        <w:tc>
          <w:tcPr>
            <w:tcW w:w="20" w:type="dxa"/>
            <w:vAlign w:val="bottom"/>
          </w:tcPr>
          <w:p>
            <w:pPr>
              <w:spacing w:after="0"/>
              <w:rPr>
                <w:sz w:val="13"/>
                <w:szCs w:val="13"/>
                <w:color w:val="auto"/>
              </w:rPr>
            </w:pPr>
          </w:p>
        </w:tc>
        <w:tc>
          <w:tcPr>
            <w:tcW w:w="1060" w:type="dxa"/>
            <w:vAlign w:val="bottom"/>
            <w:shd w:val="clear" w:color="auto" w:fill="D0EBF2"/>
          </w:tcPr>
          <w:p>
            <w:pPr>
              <w:jc w:val="right"/>
              <w:ind w:right="124"/>
              <w:spacing w:after="0" w:line="159" w:lineRule="exact"/>
              <w:rPr>
                <w:sz w:val="20"/>
                <w:szCs w:val="20"/>
                <w:color w:val="auto"/>
              </w:rPr>
            </w:pPr>
            <w:r>
              <w:rPr>
                <w:rFonts w:ascii="Times New Roman" w:cs="Times New Roman" w:eastAsia="Times New Roman" w:hAnsi="Times New Roman"/>
                <w:sz w:val="15"/>
                <w:szCs w:val="15"/>
                <w:color w:val="231F20"/>
              </w:rPr>
              <w:t>SOFR +</w:t>
            </w:r>
          </w:p>
        </w:tc>
        <w:tc>
          <w:tcPr>
            <w:tcW w:w="1020" w:type="dxa"/>
            <w:vAlign w:val="bottom"/>
            <w:shd w:val="clear" w:color="auto" w:fill="D0EBF2"/>
          </w:tcPr>
          <w:p>
            <w:pPr>
              <w:jc w:val="right"/>
              <w:ind w:right="24"/>
              <w:spacing w:after="0" w:line="159" w:lineRule="exact"/>
              <w:rPr>
                <w:sz w:val="20"/>
                <w:szCs w:val="20"/>
                <w:color w:val="auto"/>
              </w:rPr>
            </w:pPr>
            <w:r>
              <w:rPr>
                <w:rFonts w:ascii="Times New Roman" w:cs="Times New Roman" w:eastAsia="Times New Roman" w:hAnsi="Times New Roman"/>
                <w:sz w:val="15"/>
                <w:szCs w:val="15"/>
                <w:color w:val="231F20"/>
              </w:rPr>
              <w:t>11.21%</w:t>
            </w:r>
          </w:p>
        </w:tc>
        <w:tc>
          <w:tcPr>
            <w:tcW w:w="1000" w:type="dxa"/>
            <w:vAlign w:val="bottom"/>
            <w:shd w:val="clear" w:color="auto" w:fill="D0EBF2"/>
          </w:tcPr>
          <w:p>
            <w:pPr>
              <w:jc w:val="right"/>
              <w:spacing w:after="0" w:line="159" w:lineRule="exact"/>
              <w:rPr>
                <w:sz w:val="20"/>
                <w:szCs w:val="20"/>
                <w:color w:val="auto"/>
              </w:rPr>
            </w:pPr>
            <w:r>
              <w:rPr>
                <w:rFonts w:ascii="Times New Roman" w:cs="Times New Roman" w:eastAsia="Times New Roman" w:hAnsi="Times New Roman"/>
                <w:sz w:val="15"/>
                <w:szCs w:val="15"/>
                <w:color w:val="231F20"/>
              </w:rPr>
              <w:t>58,858</w:t>
            </w:r>
          </w:p>
        </w:tc>
        <w:tc>
          <w:tcPr>
            <w:tcW w:w="1140" w:type="dxa"/>
            <w:vAlign w:val="bottom"/>
            <w:gridSpan w:val="2"/>
            <w:shd w:val="clear" w:color="auto" w:fill="D0EBF2"/>
          </w:tcPr>
          <w:p>
            <w:pPr>
              <w:jc w:val="right"/>
              <w:spacing w:after="0" w:line="159" w:lineRule="exact"/>
              <w:rPr>
                <w:sz w:val="20"/>
                <w:szCs w:val="20"/>
                <w:color w:val="auto"/>
              </w:rPr>
            </w:pPr>
            <w:r>
              <w:rPr>
                <w:rFonts w:ascii="Times New Roman" w:cs="Times New Roman" w:eastAsia="Times New Roman" w:hAnsi="Times New Roman"/>
                <w:sz w:val="15"/>
                <w:szCs w:val="15"/>
                <w:color w:val="231F20"/>
              </w:rPr>
              <w:t>59,252</w:t>
            </w:r>
          </w:p>
        </w:tc>
        <w:tc>
          <w:tcPr>
            <w:tcW w:w="1340" w:type="dxa"/>
            <w:vAlign w:val="bottom"/>
            <w:gridSpan w:val="3"/>
            <w:shd w:val="clear" w:color="auto" w:fill="D0EBF2"/>
          </w:tcPr>
          <w:p>
            <w:pPr>
              <w:jc w:val="right"/>
              <w:ind w:right="120"/>
              <w:spacing w:after="0" w:line="159" w:lineRule="exact"/>
              <w:rPr>
                <w:sz w:val="20"/>
                <w:szCs w:val="20"/>
                <w:color w:val="auto"/>
              </w:rPr>
            </w:pPr>
            <w:r>
              <w:rPr>
                <w:rFonts w:ascii="Times New Roman" w:cs="Times New Roman" w:eastAsia="Times New Roman" w:hAnsi="Times New Roman"/>
                <w:sz w:val="15"/>
                <w:szCs w:val="15"/>
                <w:color w:val="231F20"/>
              </w:rPr>
              <w:t>4.0%</w:t>
            </w:r>
          </w:p>
        </w:tc>
        <w:tc>
          <w:tcPr>
            <w:tcW w:w="0" w:type="dxa"/>
            <w:vAlign w:val="bottom"/>
          </w:tcPr>
          <w:p>
            <w:pPr>
              <w:spacing w:after="0"/>
              <w:rPr>
                <w:sz w:val="1"/>
                <w:szCs w:val="1"/>
                <w:color w:val="auto"/>
              </w:rPr>
            </w:pPr>
          </w:p>
        </w:tc>
      </w:tr>
      <w:tr>
        <w:trPr>
          <w:trHeight w:val="174"/>
        </w:trPr>
        <w:tc>
          <w:tcPr>
            <w:tcW w:w="1460" w:type="dxa"/>
            <w:vAlign w:val="bottom"/>
            <w:shd w:val="clear" w:color="auto" w:fill="D0EBF2"/>
          </w:tcPr>
          <w:p>
            <w:pPr>
              <w:spacing w:after="0"/>
              <w:rPr>
                <w:sz w:val="20"/>
                <w:szCs w:val="20"/>
                <w:color w:val="auto"/>
              </w:rPr>
            </w:pPr>
            <w:r>
              <w:rPr>
                <w:rFonts w:ascii="Times New Roman" w:cs="Times New Roman" w:eastAsia="Times New Roman" w:hAnsi="Times New Roman"/>
                <w:sz w:val="15"/>
                <w:szCs w:val="15"/>
                <w:color w:val="231F20"/>
              </w:rPr>
              <w:t>Parent Holding</w:t>
            </w:r>
          </w:p>
        </w:tc>
        <w:tc>
          <w:tcPr>
            <w:tcW w:w="2420" w:type="dxa"/>
            <w:vAlign w:val="bottom"/>
            <w:shd w:val="clear" w:color="auto" w:fill="D0EBF2"/>
          </w:tcPr>
          <w:p>
            <w:pPr>
              <w:ind w:left="60"/>
              <w:spacing w:after="0"/>
              <w:rPr>
                <w:sz w:val="20"/>
                <w:szCs w:val="20"/>
                <w:color w:val="auto"/>
              </w:rPr>
            </w:pPr>
            <w:r>
              <w:rPr>
                <w:rFonts w:ascii="Times New Roman" w:cs="Times New Roman" w:eastAsia="Times New Roman" w:hAnsi="Times New Roman"/>
                <w:sz w:val="15"/>
                <w:szCs w:val="15"/>
                <w:color w:val="231F20"/>
              </w:rPr>
              <w:t>6/2026)</w:t>
            </w:r>
          </w:p>
        </w:tc>
        <w:tc>
          <w:tcPr>
            <w:tcW w:w="820" w:type="dxa"/>
            <w:vAlign w:val="bottom"/>
            <w:shd w:val="clear" w:color="auto" w:fill="D0EBF2"/>
          </w:tcPr>
          <w:p>
            <w:pPr>
              <w:spacing w:after="0"/>
              <w:rPr>
                <w:sz w:val="15"/>
                <w:szCs w:val="15"/>
                <w:color w:val="auto"/>
              </w:rPr>
            </w:pPr>
          </w:p>
        </w:tc>
        <w:tc>
          <w:tcPr>
            <w:tcW w:w="20" w:type="dxa"/>
            <w:vAlign w:val="bottom"/>
          </w:tcPr>
          <w:p>
            <w:pPr>
              <w:spacing w:after="0"/>
              <w:rPr>
                <w:sz w:val="15"/>
                <w:szCs w:val="15"/>
                <w:color w:val="auto"/>
              </w:rPr>
            </w:pPr>
          </w:p>
        </w:tc>
        <w:tc>
          <w:tcPr>
            <w:tcW w:w="1060" w:type="dxa"/>
            <w:vAlign w:val="bottom"/>
            <w:shd w:val="clear" w:color="auto" w:fill="D0EBF2"/>
          </w:tcPr>
          <w:p>
            <w:pPr>
              <w:jc w:val="right"/>
              <w:ind w:right="124"/>
              <w:spacing w:after="0"/>
              <w:rPr>
                <w:sz w:val="20"/>
                <w:szCs w:val="20"/>
                <w:color w:val="auto"/>
              </w:rPr>
            </w:pPr>
            <w:r>
              <w:rPr>
                <w:rFonts w:ascii="Times New Roman" w:cs="Times New Roman" w:eastAsia="Times New Roman" w:hAnsi="Times New Roman"/>
                <w:sz w:val="15"/>
                <w:szCs w:val="15"/>
                <w:color w:val="231F20"/>
              </w:rPr>
              <w:t>5.85%</w:t>
            </w:r>
          </w:p>
        </w:tc>
        <w:tc>
          <w:tcPr>
            <w:tcW w:w="1020" w:type="dxa"/>
            <w:vAlign w:val="bottom"/>
            <w:shd w:val="clear" w:color="auto" w:fill="D0EBF2"/>
          </w:tcPr>
          <w:p>
            <w:pPr>
              <w:spacing w:after="0"/>
              <w:rPr>
                <w:sz w:val="15"/>
                <w:szCs w:val="15"/>
                <w:color w:val="auto"/>
              </w:rPr>
            </w:pPr>
          </w:p>
        </w:tc>
        <w:tc>
          <w:tcPr>
            <w:tcW w:w="1000" w:type="dxa"/>
            <w:vAlign w:val="bottom"/>
            <w:shd w:val="clear" w:color="auto" w:fill="D0EBF2"/>
          </w:tcPr>
          <w:p>
            <w:pPr>
              <w:spacing w:after="0"/>
              <w:rPr>
                <w:sz w:val="15"/>
                <w:szCs w:val="15"/>
                <w:color w:val="auto"/>
              </w:rPr>
            </w:pPr>
          </w:p>
        </w:tc>
        <w:tc>
          <w:tcPr>
            <w:tcW w:w="180" w:type="dxa"/>
            <w:vAlign w:val="bottom"/>
            <w:shd w:val="clear" w:color="auto" w:fill="D0EBF2"/>
          </w:tcPr>
          <w:p>
            <w:pPr>
              <w:spacing w:after="0"/>
              <w:rPr>
                <w:sz w:val="15"/>
                <w:szCs w:val="15"/>
                <w:color w:val="auto"/>
              </w:rPr>
            </w:pPr>
          </w:p>
        </w:tc>
        <w:tc>
          <w:tcPr>
            <w:tcW w:w="960" w:type="dxa"/>
            <w:vAlign w:val="bottom"/>
            <w:shd w:val="clear" w:color="auto" w:fill="D0EBF2"/>
          </w:tcPr>
          <w:p>
            <w:pPr>
              <w:spacing w:after="0"/>
              <w:rPr>
                <w:sz w:val="15"/>
                <w:szCs w:val="15"/>
                <w:color w:val="auto"/>
              </w:rPr>
            </w:pPr>
          </w:p>
        </w:tc>
        <w:tc>
          <w:tcPr>
            <w:tcW w:w="200" w:type="dxa"/>
            <w:vAlign w:val="bottom"/>
            <w:shd w:val="clear" w:color="auto" w:fill="D0EBF2"/>
          </w:tcPr>
          <w:p>
            <w:pPr>
              <w:spacing w:after="0"/>
              <w:rPr>
                <w:sz w:val="15"/>
                <w:szCs w:val="15"/>
                <w:color w:val="auto"/>
              </w:rPr>
            </w:pPr>
          </w:p>
        </w:tc>
        <w:tc>
          <w:tcPr>
            <w:tcW w:w="900" w:type="dxa"/>
            <w:vAlign w:val="bottom"/>
            <w:shd w:val="clear" w:color="auto" w:fill="D0EBF2"/>
          </w:tcPr>
          <w:p>
            <w:pPr>
              <w:spacing w:after="0"/>
              <w:rPr>
                <w:sz w:val="15"/>
                <w:szCs w:val="15"/>
                <w:color w:val="auto"/>
              </w:rPr>
            </w:pPr>
          </w:p>
        </w:tc>
        <w:tc>
          <w:tcPr>
            <w:tcW w:w="240" w:type="dxa"/>
            <w:vAlign w:val="bottom"/>
            <w:shd w:val="clear" w:color="auto" w:fill="D0EBF2"/>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1460" w:type="dxa"/>
            <w:vAlign w:val="bottom"/>
            <w:shd w:val="clear" w:color="auto" w:fill="D0EBF2"/>
          </w:tcPr>
          <w:p>
            <w:pPr>
              <w:spacing w:after="0"/>
              <w:rPr>
                <w:sz w:val="20"/>
                <w:szCs w:val="20"/>
                <w:color w:val="auto"/>
              </w:rPr>
            </w:pPr>
            <w:r>
              <w:rPr>
                <w:rFonts w:ascii="Times New Roman" w:cs="Times New Roman" w:eastAsia="Times New Roman" w:hAnsi="Times New Roman"/>
                <w:sz w:val="15"/>
                <w:szCs w:val="15"/>
                <w:color w:val="231F20"/>
              </w:rPr>
              <w:t xml:space="preserve">Company </w:t>
            </w:r>
            <w:r>
              <w:rPr>
                <w:rFonts w:ascii="Times New Roman" w:cs="Times New Roman" w:eastAsia="Times New Roman" w:hAnsi="Times New Roman"/>
                <w:sz w:val="9"/>
                <w:szCs w:val="9"/>
                <w:color w:val="231F20"/>
              </w:rPr>
              <w:t>(3)(5)</w:t>
            </w:r>
          </w:p>
        </w:tc>
        <w:tc>
          <w:tcPr>
            <w:tcW w:w="2420" w:type="dxa"/>
            <w:vAlign w:val="bottom"/>
            <w:shd w:val="clear" w:color="auto" w:fill="D0EBF2"/>
          </w:tcPr>
          <w:p>
            <w:pPr>
              <w:spacing w:after="0"/>
              <w:rPr>
                <w:sz w:val="16"/>
                <w:szCs w:val="16"/>
                <w:color w:val="auto"/>
              </w:rPr>
            </w:pPr>
          </w:p>
        </w:tc>
        <w:tc>
          <w:tcPr>
            <w:tcW w:w="820" w:type="dxa"/>
            <w:vAlign w:val="bottom"/>
            <w:shd w:val="clear" w:color="auto" w:fill="D0EBF2"/>
          </w:tcPr>
          <w:p>
            <w:pPr>
              <w:spacing w:after="0"/>
              <w:rPr>
                <w:sz w:val="16"/>
                <w:szCs w:val="16"/>
                <w:color w:val="auto"/>
              </w:rPr>
            </w:pPr>
          </w:p>
        </w:tc>
        <w:tc>
          <w:tcPr>
            <w:tcW w:w="20" w:type="dxa"/>
            <w:vAlign w:val="bottom"/>
          </w:tcPr>
          <w:p>
            <w:pPr>
              <w:spacing w:after="0"/>
              <w:rPr>
                <w:sz w:val="16"/>
                <w:szCs w:val="16"/>
                <w:color w:val="auto"/>
              </w:rPr>
            </w:pPr>
          </w:p>
        </w:tc>
        <w:tc>
          <w:tcPr>
            <w:tcW w:w="1060" w:type="dxa"/>
            <w:vAlign w:val="bottom"/>
            <w:shd w:val="clear" w:color="auto" w:fill="D0EBF2"/>
          </w:tcPr>
          <w:p>
            <w:pPr>
              <w:spacing w:after="0"/>
              <w:rPr>
                <w:sz w:val="16"/>
                <w:szCs w:val="16"/>
                <w:color w:val="auto"/>
              </w:rPr>
            </w:pPr>
          </w:p>
        </w:tc>
        <w:tc>
          <w:tcPr>
            <w:tcW w:w="1020" w:type="dxa"/>
            <w:vAlign w:val="bottom"/>
            <w:shd w:val="clear" w:color="auto" w:fill="D0EBF2"/>
          </w:tcPr>
          <w:p>
            <w:pPr>
              <w:spacing w:after="0"/>
              <w:rPr>
                <w:sz w:val="16"/>
                <w:szCs w:val="16"/>
                <w:color w:val="auto"/>
              </w:rPr>
            </w:pPr>
          </w:p>
        </w:tc>
        <w:tc>
          <w:tcPr>
            <w:tcW w:w="1000" w:type="dxa"/>
            <w:vAlign w:val="bottom"/>
            <w:shd w:val="clear" w:color="auto" w:fill="D0EBF2"/>
          </w:tcPr>
          <w:p>
            <w:pPr>
              <w:spacing w:after="0"/>
              <w:rPr>
                <w:sz w:val="16"/>
                <w:szCs w:val="16"/>
                <w:color w:val="auto"/>
              </w:rPr>
            </w:pPr>
          </w:p>
        </w:tc>
        <w:tc>
          <w:tcPr>
            <w:tcW w:w="180" w:type="dxa"/>
            <w:vAlign w:val="bottom"/>
            <w:shd w:val="clear" w:color="auto" w:fill="D0EBF2"/>
          </w:tcPr>
          <w:p>
            <w:pPr>
              <w:spacing w:after="0"/>
              <w:rPr>
                <w:sz w:val="16"/>
                <w:szCs w:val="16"/>
                <w:color w:val="auto"/>
              </w:rPr>
            </w:pPr>
          </w:p>
        </w:tc>
        <w:tc>
          <w:tcPr>
            <w:tcW w:w="960" w:type="dxa"/>
            <w:vAlign w:val="bottom"/>
            <w:shd w:val="clear" w:color="auto" w:fill="D0EBF2"/>
          </w:tcPr>
          <w:p>
            <w:pPr>
              <w:spacing w:after="0"/>
              <w:rPr>
                <w:sz w:val="16"/>
                <w:szCs w:val="16"/>
                <w:color w:val="auto"/>
              </w:rPr>
            </w:pPr>
          </w:p>
        </w:tc>
        <w:tc>
          <w:tcPr>
            <w:tcW w:w="200" w:type="dxa"/>
            <w:vAlign w:val="bottom"/>
            <w:shd w:val="clear" w:color="auto" w:fill="D0EBF2"/>
          </w:tcPr>
          <w:p>
            <w:pPr>
              <w:spacing w:after="0"/>
              <w:rPr>
                <w:sz w:val="16"/>
                <w:szCs w:val="16"/>
                <w:color w:val="auto"/>
              </w:rPr>
            </w:pPr>
          </w:p>
        </w:tc>
        <w:tc>
          <w:tcPr>
            <w:tcW w:w="900" w:type="dxa"/>
            <w:vAlign w:val="bottom"/>
            <w:shd w:val="clear" w:color="auto" w:fill="D0EBF2"/>
          </w:tcPr>
          <w:p>
            <w:pPr>
              <w:spacing w:after="0"/>
              <w:rPr>
                <w:sz w:val="16"/>
                <w:szCs w:val="16"/>
                <w:color w:val="auto"/>
              </w:rPr>
            </w:pPr>
          </w:p>
        </w:tc>
        <w:tc>
          <w:tcPr>
            <w:tcW w:w="240" w:type="dxa"/>
            <w:vAlign w:val="bottom"/>
            <w:shd w:val="clear" w:color="auto" w:fill="D0EBF2"/>
          </w:tcPr>
          <w:p>
            <w:pPr>
              <w:spacing w:after="0"/>
              <w:rPr>
                <w:sz w:val="16"/>
                <w:szCs w:val="16"/>
                <w:color w:val="auto"/>
              </w:rPr>
            </w:pPr>
          </w:p>
        </w:tc>
        <w:tc>
          <w:tcPr>
            <w:tcW w:w="0" w:type="dxa"/>
            <w:vAlign w:val="bottom"/>
          </w:tcPr>
          <w:p>
            <w:pPr>
              <w:spacing w:after="0"/>
              <w:rPr>
                <w:sz w:val="1"/>
                <w:szCs w:val="1"/>
                <w:color w:val="auto"/>
              </w:rPr>
            </w:pPr>
          </w:p>
        </w:tc>
      </w:tr>
      <w:tr>
        <w:trPr>
          <w:trHeight w:val="158"/>
        </w:trPr>
        <w:tc>
          <w:tcPr>
            <w:tcW w:w="1460" w:type="dxa"/>
            <w:vAlign w:val="bottom"/>
            <w:shd w:val="clear" w:color="auto" w:fill="FDFDFC"/>
          </w:tcPr>
          <w:p>
            <w:pPr>
              <w:spacing w:after="0" w:line="159" w:lineRule="exact"/>
              <w:rPr>
                <w:sz w:val="20"/>
                <w:szCs w:val="20"/>
                <w:color w:val="auto"/>
              </w:rPr>
            </w:pPr>
            <w:r>
              <w:rPr>
                <w:rFonts w:ascii="Times New Roman" w:cs="Times New Roman" w:eastAsia="Times New Roman" w:hAnsi="Times New Roman"/>
                <w:sz w:val="15"/>
                <w:szCs w:val="15"/>
                <w:color w:val="231F20"/>
              </w:rPr>
              <w:t xml:space="preserve">EMS Linq, Inc. </w:t>
            </w:r>
            <w:r>
              <w:rPr>
                <w:rFonts w:ascii="Times New Roman" w:cs="Times New Roman" w:eastAsia="Times New Roman" w:hAnsi="Times New Roman"/>
                <w:sz w:val="9"/>
                <w:szCs w:val="9"/>
                <w:color w:val="231F20"/>
              </w:rPr>
              <w:t>(3)</w:t>
            </w:r>
          </w:p>
        </w:tc>
        <w:tc>
          <w:tcPr>
            <w:tcW w:w="2420" w:type="dxa"/>
            <w:vAlign w:val="bottom"/>
            <w:shd w:val="clear" w:color="auto" w:fill="FDFDFC"/>
          </w:tcPr>
          <w:p>
            <w:pPr>
              <w:ind w:left="60"/>
              <w:spacing w:after="0" w:line="159" w:lineRule="exact"/>
              <w:rPr>
                <w:sz w:val="20"/>
                <w:szCs w:val="20"/>
                <w:color w:val="auto"/>
              </w:rPr>
            </w:pPr>
            <w:r>
              <w:rPr>
                <w:rFonts w:ascii="Times New Roman" w:cs="Times New Roman" w:eastAsia="Times New Roman" w:hAnsi="Times New Roman"/>
                <w:sz w:val="15"/>
                <w:szCs w:val="15"/>
                <w:color w:val="231F20"/>
              </w:rPr>
              <w:t>First-lien loan ($56,216 par, due</w:t>
            </w:r>
          </w:p>
        </w:tc>
        <w:tc>
          <w:tcPr>
            <w:tcW w:w="820" w:type="dxa"/>
            <w:vAlign w:val="bottom"/>
            <w:shd w:val="clear" w:color="auto" w:fill="FDFDFC"/>
          </w:tcPr>
          <w:p>
            <w:pPr>
              <w:jc w:val="right"/>
              <w:spacing w:after="0" w:line="159" w:lineRule="exact"/>
              <w:rPr>
                <w:sz w:val="20"/>
                <w:szCs w:val="20"/>
                <w:color w:val="auto"/>
              </w:rPr>
            </w:pPr>
            <w:r>
              <w:rPr>
                <w:rFonts w:ascii="Times New Roman" w:cs="Times New Roman" w:eastAsia="Times New Roman" w:hAnsi="Times New Roman"/>
                <w:sz w:val="15"/>
                <w:szCs w:val="15"/>
                <w:color w:val="231F20"/>
              </w:rPr>
              <w:t>12/22/2021</w:t>
            </w:r>
          </w:p>
        </w:tc>
        <w:tc>
          <w:tcPr>
            <w:tcW w:w="20" w:type="dxa"/>
            <w:vAlign w:val="bottom"/>
          </w:tcPr>
          <w:p>
            <w:pPr>
              <w:spacing w:after="0"/>
              <w:rPr>
                <w:sz w:val="13"/>
                <w:szCs w:val="13"/>
                <w:color w:val="auto"/>
              </w:rPr>
            </w:pPr>
          </w:p>
        </w:tc>
        <w:tc>
          <w:tcPr>
            <w:tcW w:w="1060" w:type="dxa"/>
            <w:vAlign w:val="bottom"/>
            <w:shd w:val="clear" w:color="auto" w:fill="FDFDFC"/>
          </w:tcPr>
          <w:p>
            <w:pPr>
              <w:jc w:val="right"/>
              <w:ind w:right="124"/>
              <w:spacing w:after="0" w:line="159" w:lineRule="exact"/>
              <w:rPr>
                <w:sz w:val="20"/>
                <w:szCs w:val="20"/>
                <w:color w:val="auto"/>
              </w:rPr>
            </w:pPr>
            <w:r>
              <w:rPr>
                <w:rFonts w:ascii="Times New Roman" w:cs="Times New Roman" w:eastAsia="Times New Roman" w:hAnsi="Times New Roman"/>
                <w:sz w:val="15"/>
                <w:szCs w:val="15"/>
                <w:color w:val="231F20"/>
              </w:rPr>
              <w:t>SOFR +</w:t>
            </w:r>
          </w:p>
        </w:tc>
        <w:tc>
          <w:tcPr>
            <w:tcW w:w="1020" w:type="dxa"/>
            <w:vAlign w:val="bottom"/>
            <w:shd w:val="clear" w:color="auto" w:fill="FDFDFC"/>
          </w:tcPr>
          <w:p>
            <w:pPr>
              <w:jc w:val="right"/>
              <w:ind w:right="24"/>
              <w:spacing w:after="0" w:line="159" w:lineRule="exact"/>
              <w:rPr>
                <w:sz w:val="20"/>
                <w:szCs w:val="20"/>
                <w:color w:val="auto"/>
              </w:rPr>
            </w:pPr>
            <w:r>
              <w:rPr>
                <w:rFonts w:ascii="Times New Roman" w:cs="Times New Roman" w:eastAsia="Times New Roman" w:hAnsi="Times New Roman"/>
                <w:sz w:val="15"/>
                <w:szCs w:val="15"/>
                <w:color w:val="231F20"/>
              </w:rPr>
              <w:t>11.71%</w:t>
            </w:r>
          </w:p>
        </w:tc>
        <w:tc>
          <w:tcPr>
            <w:tcW w:w="1000" w:type="dxa"/>
            <w:vAlign w:val="bottom"/>
            <w:shd w:val="clear" w:color="auto" w:fill="FDFDFC"/>
          </w:tcPr>
          <w:p>
            <w:pPr>
              <w:jc w:val="right"/>
              <w:spacing w:after="0" w:line="159" w:lineRule="exact"/>
              <w:rPr>
                <w:sz w:val="20"/>
                <w:szCs w:val="20"/>
                <w:color w:val="auto"/>
              </w:rPr>
            </w:pPr>
            <w:r>
              <w:rPr>
                <w:rFonts w:ascii="Times New Roman" w:cs="Times New Roman" w:eastAsia="Times New Roman" w:hAnsi="Times New Roman"/>
                <w:sz w:val="15"/>
                <w:szCs w:val="15"/>
                <w:color w:val="231F20"/>
              </w:rPr>
              <w:t>55,288</w:t>
            </w:r>
          </w:p>
        </w:tc>
        <w:tc>
          <w:tcPr>
            <w:tcW w:w="1140" w:type="dxa"/>
            <w:vAlign w:val="bottom"/>
            <w:gridSpan w:val="2"/>
            <w:shd w:val="clear" w:color="auto" w:fill="FDFDFC"/>
          </w:tcPr>
          <w:p>
            <w:pPr>
              <w:jc w:val="right"/>
              <w:spacing w:after="0" w:line="159" w:lineRule="exact"/>
              <w:rPr>
                <w:sz w:val="20"/>
                <w:szCs w:val="20"/>
                <w:color w:val="auto"/>
              </w:rPr>
            </w:pPr>
            <w:r>
              <w:rPr>
                <w:rFonts w:ascii="Times New Roman" w:cs="Times New Roman" w:eastAsia="Times New Roman" w:hAnsi="Times New Roman"/>
                <w:sz w:val="15"/>
                <w:szCs w:val="15"/>
                <w:color w:val="231F20"/>
              </w:rPr>
              <w:t>55,079</w:t>
            </w:r>
          </w:p>
        </w:tc>
        <w:tc>
          <w:tcPr>
            <w:tcW w:w="1340" w:type="dxa"/>
            <w:vAlign w:val="bottom"/>
            <w:gridSpan w:val="3"/>
            <w:shd w:val="clear" w:color="auto" w:fill="FDFDFC"/>
          </w:tcPr>
          <w:p>
            <w:pPr>
              <w:jc w:val="right"/>
              <w:ind w:right="120"/>
              <w:spacing w:after="0" w:line="159" w:lineRule="exact"/>
              <w:rPr>
                <w:sz w:val="20"/>
                <w:szCs w:val="20"/>
                <w:color w:val="auto"/>
              </w:rPr>
            </w:pPr>
            <w:r>
              <w:rPr>
                <w:rFonts w:ascii="Times New Roman" w:cs="Times New Roman" w:eastAsia="Times New Roman" w:hAnsi="Times New Roman"/>
                <w:sz w:val="15"/>
                <w:szCs w:val="15"/>
                <w:color w:val="231F20"/>
              </w:rPr>
              <w:t>3.7%</w:t>
            </w:r>
          </w:p>
        </w:tc>
        <w:tc>
          <w:tcPr>
            <w:tcW w:w="0" w:type="dxa"/>
            <w:vAlign w:val="bottom"/>
          </w:tcPr>
          <w:p>
            <w:pPr>
              <w:spacing w:after="0"/>
              <w:rPr>
                <w:sz w:val="1"/>
                <w:szCs w:val="1"/>
                <w:color w:val="auto"/>
              </w:rPr>
            </w:pPr>
          </w:p>
        </w:tc>
      </w:tr>
      <w:tr>
        <w:trPr>
          <w:trHeight w:val="189"/>
        </w:trPr>
        <w:tc>
          <w:tcPr>
            <w:tcW w:w="1460" w:type="dxa"/>
            <w:vAlign w:val="bottom"/>
            <w:shd w:val="clear" w:color="auto" w:fill="FDFDFC"/>
          </w:tcPr>
          <w:p>
            <w:pPr>
              <w:spacing w:after="0"/>
              <w:rPr>
                <w:sz w:val="16"/>
                <w:szCs w:val="16"/>
                <w:color w:val="auto"/>
              </w:rPr>
            </w:pPr>
          </w:p>
        </w:tc>
        <w:tc>
          <w:tcPr>
            <w:tcW w:w="2420" w:type="dxa"/>
            <w:vAlign w:val="bottom"/>
            <w:shd w:val="clear" w:color="auto" w:fill="FDFDFC"/>
          </w:tcPr>
          <w:p>
            <w:pPr>
              <w:ind w:left="60"/>
              <w:spacing w:after="0"/>
              <w:rPr>
                <w:sz w:val="20"/>
                <w:szCs w:val="20"/>
                <w:color w:val="auto"/>
              </w:rPr>
            </w:pPr>
            <w:r>
              <w:rPr>
                <w:rFonts w:ascii="Times New Roman" w:cs="Times New Roman" w:eastAsia="Times New Roman" w:hAnsi="Times New Roman"/>
                <w:sz w:val="15"/>
                <w:szCs w:val="15"/>
                <w:color w:val="231F20"/>
              </w:rPr>
              <w:t>12/2027)</w:t>
            </w:r>
          </w:p>
        </w:tc>
        <w:tc>
          <w:tcPr>
            <w:tcW w:w="820" w:type="dxa"/>
            <w:vAlign w:val="bottom"/>
            <w:shd w:val="clear" w:color="auto" w:fill="FDFDFC"/>
          </w:tcPr>
          <w:p>
            <w:pPr>
              <w:spacing w:after="0"/>
              <w:rPr>
                <w:sz w:val="16"/>
                <w:szCs w:val="16"/>
                <w:color w:val="auto"/>
              </w:rPr>
            </w:pPr>
          </w:p>
        </w:tc>
        <w:tc>
          <w:tcPr>
            <w:tcW w:w="20" w:type="dxa"/>
            <w:vAlign w:val="bottom"/>
          </w:tcPr>
          <w:p>
            <w:pPr>
              <w:spacing w:after="0"/>
              <w:rPr>
                <w:sz w:val="16"/>
                <w:szCs w:val="16"/>
                <w:color w:val="auto"/>
              </w:rPr>
            </w:pPr>
          </w:p>
        </w:tc>
        <w:tc>
          <w:tcPr>
            <w:tcW w:w="1060" w:type="dxa"/>
            <w:vAlign w:val="bottom"/>
            <w:shd w:val="clear" w:color="auto" w:fill="FDFDFC"/>
          </w:tcPr>
          <w:p>
            <w:pPr>
              <w:jc w:val="right"/>
              <w:ind w:right="124"/>
              <w:spacing w:after="0"/>
              <w:rPr>
                <w:sz w:val="20"/>
                <w:szCs w:val="20"/>
                <w:color w:val="auto"/>
              </w:rPr>
            </w:pPr>
            <w:r>
              <w:rPr>
                <w:rFonts w:ascii="Times New Roman" w:cs="Times New Roman" w:eastAsia="Times New Roman" w:hAnsi="Times New Roman"/>
                <w:sz w:val="15"/>
                <w:szCs w:val="15"/>
                <w:color w:val="231F20"/>
              </w:rPr>
              <w:t>6.35%</w:t>
            </w:r>
          </w:p>
        </w:tc>
        <w:tc>
          <w:tcPr>
            <w:tcW w:w="1020" w:type="dxa"/>
            <w:vAlign w:val="bottom"/>
            <w:shd w:val="clear" w:color="auto" w:fill="FDFDFC"/>
          </w:tcPr>
          <w:p>
            <w:pPr>
              <w:spacing w:after="0"/>
              <w:rPr>
                <w:sz w:val="16"/>
                <w:szCs w:val="16"/>
                <w:color w:val="auto"/>
              </w:rPr>
            </w:pPr>
          </w:p>
        </w:tc>
        <w:tc>
          <w:tcPr>
            <w:tcW w:w="1000" w:type="dxa"/>
            <w:vAlign w:val="bottom"/>
            <w:shd w:val="clear" w:color="auto" w:fill="FDFDFC"/>
          </w:tcPr>
          <w:p>
            <w:pPr>
              <w:spacing w:after="0"/>
              <w:rPr>
                <w:sz w:val="16"/>
                <w:szCs w:val="16"/>
                <w:color w:val="auto"/>
              </w:rPr>
            </w:pPr>
          </w:p>
        </w:tc>
        <w:tc>
          <w:tcPr>
            <w:tcW w:w="180" w:type="dxa"/>
            <w:vAlign w:val="bottom"/>
            <w:shd w:val="clear" w:color="auto" w:fill="FDFDFC"/>
          </w:tcPr>
          <w:p>
            <w:pPr>
              <w:spacing w:after="0"/>
              <w:rPr>
                <w:sz w:val="16"/>
                <w:szCs w:val="16"/>
                <w:color w:val="auto"/>
              </w:rPr>
            </w:pPr>
          </w:p>
        </w:tc>
        <w:tc>
          <w:tcPr>
            <w:tcW w:w="960" w:type="dxa"/>
            <w:vAlign w:val="bottom"/>
            <w:shd w:val="clear" w:color="auto" w:fill="FDFDFC"/>
          </w:tcPr>
          <w:p>
            <w:pPr>
              <w:spacing w:after="0"/>
              <w:rPr>
                <w:sz w:val="16"/>
                <w:szCs w:val="16"/>
                <w:color w:val="auto"/>
              </w:rPr>
            </w:pPr>
          </w:p>
        </w:tc>
        <w:tc>
          <w:tcPr>
            <w:tcW w:w="200" w:type="dxa"/>
            <w:vAlign w:val="bottom"/>
            <w:shd w:val="clear" w:color="auto" w:fill="FDFDFC"/>
          </w:tcPr>
          <w:p>
            <w:pPr>
              <w:spacing w:after="0"/>
              <w:rPr>
                <w:sz w:val="16"/>
                <w:szCs w:val="16"/>
                <w:color w:val="auto"/>
              </w:rPr>
            </w:pPr>
          </w:p>
        </w:tc>
        <w:tc>
          <w:tcPr>
            <w:tcW w:w="900" w:type="dxa"/>
            <w:vAlign w:val="bottom"/>
            <w:shd w:val="clear" w:color="auto" w:fill="FDFDFC"/>
          </w:tcPr>
          <w:p>
            <w:pPr>
              <w:spacing w:after="0"/>
              <w:rPr>
                <w:sz w:val="16"/>
                <w:szCs w:val="16"/>
                <w:color w:val="auto"/>
              </w:rPr>
            </w:pPr>
          </w:p>
        </w:tc>
        <w:tc>
          <w:tcPr>
            <w:tcW w:w="240" w:type="dxa"/>
            <w:vAlign w:val="bottom"/>
            <w:shd w:val="clear" w:color="auto" w:fill="FDFDFC"/>
          </w:tcPr>
          <w:p>
            <w:pPr>
              <w:spacing w:after="0"/>
              <w:rPr>
                <w:sz w:val="16"/>
                <w:szCs w:val="16"/>
                <w:color w:val="auto"/>
              </w:rPr>
            </w:pPr>
          </w:p>
        </w:tc>
        <w:tc>
          <w:tcPr>
            <w:tcW w:w="0" w:type="dxa"/>
            <w:vAlign w:val="bottom"/>
          </w:tcPr>
          <w:p>
            <w:pPr>
              <w:spacing w:after="0"/>
              <w:rPr>
                <w:sz w:val="1"/>
                <w:szCs w:val="1"/>
                <w:color w:val="auto"/>
              </w:rPr>
            </w:pPr>
          </w:p>
        </w:tc>
      </w:tr>
      <w:tr>
        <w:trPr>
          <w:trHeight w:val="158"/>
        </w:trPr>
        <w:tc>
          <w:tcPr>
            <w:tcW w:w="1460" w:type="dxa"/>
            <w:vAlign w:val="bottom"/>
            <w:shd w:val="clear" w:color="auto" w:fill="D0EBF2"/>
          </w:tcPr>
          <w:p>
            <w:pPr>
              <w:spacing w:after="0" w:line="159" w:lineRule="exact"/>
              <w:rPr>
                <w:sz w:val="20"/>
                <w:szCs w:val="20"/>
                <w:color w:val="auto"/>
              </w:rPr>
            </w:pPr>
            <w:r>
              <w:rPr>
                <w:rFonts w:ascii="Times New Roman" w:cs="Times New Roman" w:eastAsia="Times New Roman" w:hAnsi="Times New Roman"/>
                <w:sz w:val="15"/>
                <w:szCs w:val="15"/>
                <w:color w:val="231F20"/>
              </w:rPr>
              <w:t>Kangaroo Bidco AS</w:t>
            </w:r>
          </w:p>
        </w:tc>
        <w:tc>
          <w:tcPr>
            <w:tcW w:w="2420" w:type="dxa"/>
            <w:vAlign w:val="bottom"/>
            <w:shd w:val="clear" w:color="auto" w:fill="D0EBF2"/>
          </w:tcPr>
          <w:p>
            <w:pPr>
              <w:ind w:left="60"/>
              <w:spacing w:after="0" w:line="159" w:lineRule="exact"/>
              <w:rPr>
                <w:sz w:val="20"/>
                <w:szCs w:val="20"/>
                <w:color w:val="auto"/>
              </w:rPr>
            </w:pPr>
            <w:r>
              <w:rPr>
                <w:rFonts w:ascii="Times New Roman" w:cs="Times New Roman" w:eastAsia="Times New Roman" w:hAnsi="Times New Roman"/>
                <w:sz w:val="15"/>
                <w:szCs w:val="15"/>
                <w:color w:val="231F20"/>
              </w:rPr>
              <w:t>First-lien loan ($25,582 par, due</w:t>
            </w:r>
          </w:p>
        </w:tc>
        <w:tc>
          <w:tcPr>
            <w:tcW w:w="820" w:type="dxa"/>
            <w:vAlign w:val="bottom"/>
            <w:shd w:val="clear" w:color="auto" w:fill="D0EBF2"/>
          </w:tcPr>
          <w:p>
            <w:pPr>
              <w:jc w:val="right"/>
              <w:spacing w:after="0" w:line="159" w:lineRule="exact"/>
              <w:rPr>
                <w:sz w:val="20"/>
                <w:szCs w:val="20"/>
                <w:color w:val="auto"/>
              </w:rPr>
            </w:pPr>
            <w:r>
              <w:rPr>
                <w:rFonts w:ascii="Times New Roman" w:cs="Times New Roman" w:eastAsia="Times New Roman" w:hAnsi="Times New Roman"/>
                <w:sz w:val="15"/>
                <w:szCs w:val="15"/>
                <w:color w:val="231F20"/>
              </w:rPr>
              <w:t>11/2/2023</w:t>
            </w:r>
          </w:p>
        </w:tc>
        <w:tc>
          <w:tcPr>
            <w:tcW w:w="20" w:type="dxa"/>
            <w:vAlign w:val="bottom"/>
          </w:tcPr>
          <w:p>
            <w:pPr>
              <w:spacing w:after="0"/>
              <w:rPr>
                <w:sz w:val="13"/>
                <w:szCs w:val="13"/>
                <w:color w:val="auto"/>
              </w:rPr>
            </w:pPr>
          </w:p>
        </w:tc>
        <w:tc>
          <w:tcPr>
            <w:tcW w:w="1060" w:type="dxa"/>
            <w:vAlign w:val="bottom"/>
            <w:shd w:val="clear" w:color="auto" w:fill="D0EBF2"/>
          </w:tcPr>
          <w:p>
            <w:pPr>
              <w:jc w:val="right"/>
              <w:ind w:right="124"/>
              <w:spacing w:after="0" w:line="159" w:lineRule="exact"/>
              <w:rPr>
                <w:sz w:val="20"/>
                <w:szCs w:val="20"/>
                <w:color w:val="auto"/>
              </w:rPr>
            </w:pPr>
            <w:r>
              <w:rPr>
                <w:rFonts w:ascii="Times New Roman" w:cs="Times New Roman" w:eastAsia="Times New Roman" w:hAnsi="Times New Roman"/>
                <w:sz w:val="15"/>
                <w:szCs w:val="15"/>
                <w:color w:val="231F20"/>
              </w:rPr>
              <w:t>SOFR +</w:t>
            </w:r>
          </w:p>
        </w:tc>
        <w:tc>
          <w:tcPr>
            <w:tcW w:w="1020" w:type="dxa"/>
            <w:vAlign w:val="bottom"/>
            <w:shd w:val="clear" w:color="auto" w:fill="D0EBF2"/>
          </w:tcPr>
          <w:p>
            <w:pPr>
              <w:jc w:val="right"/>
              <w:ind w:right="24"/>
              <w:spacing w:after="0" w:line="159" w:lineRule="exact"/>
              <w:rPr>
                <w:sz w:val="20"/>
                <w:szCs w:val="20"/>
                <w:color w:val="auto"/>
              </w:rPr>
            </w:pPr>
            <w:r>
              <w:rPr>
                <w:rFonts w:ascii="Times New Roman" w:cs="Times New Roman" w:eastAsia="Times New Roman" w:hAnsi="Times New Roman"/>
                <w:sz w:val="15"/>
                <w:szCs w:val="15"/>
                <w:color w:val="231F20"/>
              </w:rPr>
              <w:t>12.94%</w:t>
            </w:r>
          </w:p>
        </w:tc>
        <w:tc>
          <w:tcPr>
            <w:tcW w:w="1000" w:type="dxa"/>
            <w:vAlign w:val="bottom"/>
            <w:shd w:val="clear" w:color="auto" w:fill="D0EBF2"/>
          </w:tcPr>
          <w:p>
            <w:pPr>
              <w:jc w:val="right"/>
              <w:spacing w:after="0" w:line="159" w:lineRule="exact"/>
              <w:rPr>
                <w:sz w:val="20"/>
                <w:szCs w:val="20"/>
                <w:color w:val="auto"/>
              </w:rPr>
            </w:pPr>
            <w:r>
              <w:rPr>
                <w:rFonts w:ascii="Times New Roman" w:cs="Times New Roman" w:eastAsia="Times New Roman" w:hAnsi="Times New Roman"/>
                <w:sz w:val="15"/>
                <w:szCs w:val="15"/>
                <w:color w:val="231F20"/>
              </w:rPr>
              <w:t>24,621</w:t>
            </w:r>
          </w:p>
        </w:tc>
        <w:tc>
          <w:tcPr>
            <w:tcW w:w="1140" w:type="dxa"/>
            <w:vAlign w:val="bottom"/>
            <w:gridSpan w:val="2"/>
            <w:shd w:val="clear" w:color="auto" w:fill="D0EBF2"/>
          </w:tcPr>
          <w:p>
            <w:pPr>
              <w:jc w:val="right"/>
              <w:spacing w:after="0" w:line="159" w:lineRule="exact"/>
              <w:rPr>
                <w:sz w:val="20"/>
                <w:szCs w:val="20"/>
                <w:color w:val="auto"/>
              </w:rPr>
            </w:pPr>
            <w:r>
              <w:rPr>
                <w:rFonts w:ascii="Times New Roman" w:cs="Times New Roman" w:eastAsia="Times New Roman" w:hAnsi="Times New Roman"/>
                <w:sz w:val="15"/>
                <w:szCs w:val="15"/>
                <w:color w:val="231F20"/>
              </w:rPr>
              <w:t>24,794</w:t>
            </w:r>
          </w:p>
        </w:tc>
        <w:tc>
          <w:tcPr>
            <w:tcW w:w="1340" w:type="dxa"/>
            <w:vAlign w:val="bottom"/>
            <w:gridSpan w:val="3"/>
            <w:shd w:val="clear" w:color="auto" w:fill="D0EBF2"/>
          </w:tcPr>
          <w:p>
            <w:pPr>
              <w:jc w:val="right"/>
              <w:ind w:right="120"/>
              <w:spacing w:after="0" w:line="159" w:lineRule="exact"/>
              <w:rPr>
                <w:sz w:val="20"/>
                <w:szCs w:val="20"/>
                <w:color w:val="auto"/>
              </w:rPr>
            </w:pPr>
            <w:r>
              <w:rPr>
                <w:rFonts w:ascii="Times New Roman" w:cs="Times New Roman" w:eastAsia="Times New Roman" w:hAnsi="Times New Roman"/>
                <w:sz w:val="15"/>
                <w:szCs w:val="15"/>
                <w:color w:val="231F20"/>
              </w:rPr>
              <w:t>1.7%</w:t>
            </w:r>
          </w:p>
        </w:tc>
        <w:tc>
          <w:tcPr>
            <w:tcW w:w="0" w:type="dxa"/>
            <w:vAlign w:val="bottom"/>
          </w:tcPr>
          <w:p>
            <w:pPr>
              <w:spacing w:after="0"/>
              <w:rPr>
                <w:sz w:val="1"/>
                <w:szCs w:val="1"/>
                <w:color w:val="auto"/>
              </w:rPr>
            </w:pPr>
          </w:p>
        </w:tc>
      </w:tr>
      <w:tr>
        <w:trPr>
          <w:trHeight w:val="169"/>
        </w:trPr>
        <w:tc>
          <w:tcPr>
            <w:tcW w:w="1460" w:type="dxa"/>
            <w:vAlign w:val="bottom"/>
            <w:tcBorders>
              <w:bottom w:val="single" w:sz="8" w:color="D0EBF2"/>
            </w:tcBorders>
            <w:shd w:val="clear" w:color="auto" w:fill="D0EBF2"/>
          </w:tcPr>
          <w:p>
            <w:pPr>
              <w:spacing w:after="0"/>
              <w:rPr>
                <w:sz w:val="20"/>
                <w:szCs w:val="20"/>
                <w:color w:val="auto"/>
              </w:rPr>
            </w:pPr>
            <w:r>
              <w:rPr>
                <w:rFonts w:ascii="Times New Roman" w:cs="Times New Roman" w:eastAsia="Times New Roman" w:hAnsi="Times New Roman"/>
                <w:sz w:val="9"/>
                <w:szCs w:val="9"/>
                <w:color w:val="231F20"/>
              </w:rPr>
              <w:t>(3)(4)</w:t>
            </w:r>
          </w:p>
        </w:tc>
        <w:tc>
          <w:tcPr>
            <w:tcW w:w="2420" w:type="dxa"/>
            <w:vAlign w:val="bottom"/>
            <w:tcBorders>
              <w:bottom w:val="single" w:sz="8" w:color="D0EBF2"/>
            </w:tcBorders>
            <w:shd w:val="clear" w:color="auto" w:fill="D0EBF2"/>
          </w:tcPr>
          <w:p>
            <w:pPr>
              <w:ind w:left="60"/>
              <w:spacing w:after="0" w:line="169" w:lineRule="exact"/>
              <w:rPr>
                <w:sz w:val="20"/>
                <w:szCs w:val="20"/>
                <w:color w:val="auto"/>
              </w:rPr>
            </w:pPr>
            <w:r>
              <w:rPr>
                <w:rFonts w:ascii="Times New Roman" w:cs="Times New Roman" w:eastAsia="Times New Roman" w:hAnsi="Times New Roman"/>
                <w:sz w:val="15"/>
                <w:szCs w:val="15"/>
                <w:color w:val="231F20"/>
              </w:rPr>
              <w:t>11/2030)</w:t>
            </w:r>
          </w:p>
        </w:tc>
        <w:tc>
          <w:tcPr>
            <w:tcW w:w="820" w:type="dxa"/>
            <w:vAlign w:val="bottom"/>
            <w:tcBorders>
              <w:bottom w:val="single" w:sz="8" w:color="D0EBF2"/>
            </w:tcBorders>
            <w:shd w:val="clear" w:color="auto" w:fill="D0EBF2"/>
          </w:tcPr>
          <w:p>
            <w:pPr>
              <w:spacing w:after="0"/>
              <w:rPr>
                <w:sz w:val="14"/>
                <w:szCs w:val="14"/>
                <w:color w:val="auto"/>
              </w:rPr>
            </w:pPr>
          </w:p>
        </w:tc>
        <w:tc>
          <w:tcPr>
            <w:tcW w:w="20" w:type="dxa"/>
            <w:vAlign w:val="bottom"/>
          </w:tcPr>
          <w:p>
            <w:pPr>
              <w:spacing w:after="0"/>
              <w:rPr>
                <w:sz w:val="14"/>
                <w:szCs w:val="14"/>
                <w:color w:val="auto"/>
              </w:rPr>
            </w:pPr>
          </w:p>
        </w:tc>
        <w:tc>
          <w:tcPr>
            <w:tcW w:w="1060" w:type="dxa"/>
            <w:vAlign w:val="bottom"/>
            <w:tcBorders>
              <w:bottom w:val="single" w:sz="8" w:color="D0EBF2"/>
            </w:tcBorders>
            <w:shd w:val="clear" w:color="auto" w:fill="D0EBF2"/>
          </w:tcPr>
          <w:p>
            <w:pPr>
              <w:jc w:val="right"/>
              <w:ind w:right="124"/>
              <w:spacing w:after="0" w:line="169" w:lineRule="exact"/>
              <w:rPr>
                <w:sz w:val="20"/>
                <w:szCs w:val="20"/>
                <w:color w:val="auto"/>
              </w:rPr>
            </w:pPr>
            <w:r>
              <w:rPr>
                <w:rFonts w:ascii="Times New Roman" w:cs="Times New Roman" w:eastAsia="Times New Roman" w:hAnsi="Times New Roman"/>
                <w:sz w:val="15"/>
                <w:szCs w:val="15"/>
                <w:color w:val="231F20"/>
              </w:rPr>
              <w:t>7.50%</w:t>
            </w:r>
          </w:p>
        </w:tc>
        <w:tc>
          <w:tcPr>
            <w:tcW w:w="1020" w:type="dxa"/>
            <w:vAlign w:val="bottom"/>
            <w:tcBorders>
              <w:bottom w:val="single" w:sz="8" w:color="D0EBF2"/>
            </w:tcBorders>
            <w:shd w:val="clear" w:color="auto" w:fill="D0EBF2"/>
          </w:tcPr>
          <w:p>
            <w:pPr>
              <w:spacing w:after="0"/>
              <w:rPr>
                <w:sz w:val="14"/>
                <w:szCs w:val="14"/>
                <w:color w:val="auto"/>
              </w:rPr>
            </w:pPr>
          </w:p>
        </w:tc>
        <w:tc>
          <w:tcPr>
            <w:tcW w:w="1000" w:type="dxa"/>
            <w:vAlign w:val="bottom"/>
            <w:tcBorders>
              <w:bottom w:val="single" w:sz="8" w:color="D0EBF2"/>
            </w:tcBorders>
            <w:shd w:val="clear" w:color="auto" w:fill="D0EBF2"/>
          </w:tcPr>
          <w:p>
            <w:pPr>
              <w:spacing w:after="0"/>
              <w:rPr>
                <w:sz w:val="14"/>
                <w:szCs w:val="14"/>
                <w:color w:val="auto"/>
              </w:rPr>
            </w:pPr>
          </w:p>
        </w:tc>
        <w:tc>
          <w:tcPr>
            <w:tcW w:w="180" w:type="dxa"/>
            <w:vAlign w:val="bottom"/>
            <w:tcBorders>
              <w:bottom w:val="single" w:sz="8" w:color="D0EBF2"/>
            </w:tcBorders>
            <w:shd w:val="clear" w:color="auto" w:fill="D0EBF2"/>
          </w:tcPr>
          <w:p>
            <w:pPr>
              <w:spacing w:after="0"/>
              <w:rPr>
                <w:sz w:val="14"/>
                <w:szCs w:val="14"/>
                <w:color w:val="auto"/>
              </w:rPr>
            </w:pPr>
          </w:p>
        </w:tc>
        <w:tc>
          <w:tcPr>
            <w:tcW w:w="960" w:type="dxa"/>
            <w:vAlign w:val="bottom"/>
            <w:tcBorders>
              <w:bottom w:val="single" w:sz="8" w:color="D0EBF2"/>
            </w:tcBorders>
            <w:shd w:val="clear" w:color="auto" w:fill="D0EBF2"/>
          </w:tcPr>
          <w:p>
            <w:pPr>
              <w:spacing w:after="0"/>
              <w:rPr>
                <w:sz w:val="14"/>
                <w:szCs w:val="14"/>
                <w:color w:val="auto"/>
              </w:rPr>
            </w:pPr>
          </w:p>
        </w:tc>
        <w:tc>
          <w:tcPr>
            <w:tcW w:w="200" w:type="dxa"/>
            <w:vAlign w:val="bottom"/>
            <w:tcBorders>
              <w:bottom w:val="single" w:sz="8" w:color="D0EBF2"/>
            </w:tcBorders>
            <w:shd w:val="clear" w:color="auto" w:fill="D0EBF2"/>
          </w:tcPr>
          <w:p>
            <w:pPr>
              <w:spacing w:after="0"/>
              <w:rPr>
                <w:sz w:val="14"/>
                <w:szCs w:val="14"/>
                <w:color w:val="auto"/>
              </w:rPr>
            </w:pPr>
          </w:p>
        </w:tc>
        <w:tc>
          <w:tcPr>
            <w:tcW w:w="900" w:type="dxa"/>
            <w:vAlign w:val="bottom"/>
            <w:tcBorders>
              <w:bottom w:val="single" w:sz="8" w:color="D0EBF2"/>
            </w:tcBorders>
            <w:shd w:val="clear" w:color="auto" w:fill="D0EBF2"/>
          </w:tcPr>
          <w:p>
            <w:pPr>
              <w:spacing w:after="0"/>
              <w:rPr>
                <w:sz w:val="14"/>
                <w:szCs w:val="14"/>
                <w:color w:val="auto"/>
              </w:rPr>
            </w:pPr>
          </w:p>
        </w:tc>
        <w:tc>
          <w:tcPr>
            <w:tcW w:w="240" w:type="dxa"/>
            <w:vAlign w:val="bottom"/>
            <w:tcBorders>
              <w:bottom w:val="single" w:sz="8" w:color="D0EBF2"/>
            </w:tcBorders>
            <w:shd w:val="clear" w:color="auto" w:fill="D0EBF2"/>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460" w:type="dxa"/>
            <w:vAlign w:val="bottom"/>
            <w:shd w:val="clear" w:color="auto" w:fill="FDFDFC"/>
          </w:tcPr>
          <w:p>
            <w:pPr>
              <w:spacing w:after="0" w:line="20" w:lineRule="exact"/>
              <w:rPr>
                <w:sz w:val="1"/>
                <w:szCs w:val="1"/>
                <w:color w:val="auto"/>
              </w:rPr>
            </w:pPr>
          </w:p>
        </w:tc>
        <w:tc>
          <w:tcPr>
            <w:tcW w:w="2420" w:type="dxa"/>
            <w:vAlign w:val="bottom"/>
            <w:shd w:val="clear" w:color="auto" w:fill="FDFDFC"/>
          </w:tcPr>
          <w:p>
            <w:pPr>
              <w:spacing w:after="0" w:line="20" w:lineRule="exact"/>
              <w:rPr>
                <w:sz w:val="1"/>
                <w:szCs w:val="1"/>
                <w:color w:val="auto"/>
              </w:rPr>
            </w:pPr>
          </w:p>
        </w:tc>
        <w:tc>
          <w:tcPr>
            <w:tcW w:w="820" w:type="dxa"/>
            <w:vAlign w:val="bottom"/>
            <w:shd w:val="clear" w:color="auto" w:fill="FDFDFC"/>
          </w:tcPr>
          <w:p>
            <w:pPr>
              <w:spacing w:after="0" w:line="20" w:lineRule="exact"/>
              <w:rPr>
                <w:sz w:val="1"/>
                <w:szCs w:val="1"/>
                <w:color w:val="auto"/>
              </w:rPr>
            </w:pPr>
          </w:p>
        </w:tc>
        <w:tc>
          <w:tcPr>
            <w:tcW w:w="20" w:type="dxa"/>
            <w:vAlign w:val="bottom"/>
            <w:shd w:val="clear" w:color="auto" w:fill="FDFDFC"/>
          </w:tcPr>
          <w:p>
            <w:pPr>
              <w:spacing w:after="0" w:line="20" w:lineRule="exact"/>
              <w:rPr>
                <w:sz w:val="1"/>
                <w:szCs w:val="1"/>
                <w:color w:val="auto"/>
              </w:rPr>
            </w:pPr>
          </w:p>
        </w:tc>
        <w:tc>
          <w:tcPr>
            <w:tcW w:w="1060" w:type="dxa"/>
            <w:vAlign w:val="bottom"/>
            <w:shd w:val="clear" w:color="auto" w:fill="FDFDFC"/>
          </w:tcPr>
          <w:p>
            <w:pPr>
              <w:spacing w:after="0" w:line="20" w:lineRule="exact"/>
              <w:rPr>
                <w:sz w:val="1"/>
                <w:szCs w:val="1"/>
                <w:color w:val="auto"/>
              </w:rPr>
            </w:pPr>
          </w:p>
        </w:tc>
        <w:tc>
          <w:tcPr>
            <w:tcW w:w="1020" w:type="dxa"/>
            <w:vAlign w:val="bottom"/>
            <w:shd w:val="clear" w:color="auto" w:fill="FDFDFC"/>
          </w:tcPr>
          <w:p>
            <w:pPr>
              <w:spacing w:after="0" w:line="20" w:lineRule="exact"/>
              <w:rPr>
                <w:sz w:val="1"/>
                <w:szCs w:val="1"/>
                <w:color w:val="auto"/>
              </w:rPr>
            </w:pPr>
          </w:p>
        </w:tc>
        <w:tc>
          <w:tcPr>
            <w:tcW w:w="1000" w:type="dxa"/>
            <w:vAlign w:val="bottom"/>
            <w:shd w:val="clear" w:color="auto" w:fill="231F20"/>
          </w:tcPr>
          <w:p>
            <w:pPr>
              <w:spacing w:after="0" w:line="20" w:lineRule="exact"/>
              <w:rPr>
                <w:sz w:val="1"/>
                <w:szCs w:val="1"/>
                <w:color w:val="auto"/>
              </w:rPr>
            </w:pPr>
          </w:p>
        </w:tc>
        <w:tc>
          <w:tcPr>
            <w:tcW w:w="180" w:type="dxa"/>
            <w:vAlign w:val="bottom"/>
            <w:vMerge w:val="restart"/>
            <w:shd w:val="clear" w:color="auto" w:fill="FDFDFC"/>
          </w:tcPr>
          <w:p>
            <w:pPr>
              <w:spacing w:after="0" w:line="20" w:lineRule="exact"/>
              <w:rPr>
                <w:sz w:val="1"/>
                <w:szCs w:val="1"/>
                <w:color w:val="auto"/>
              </w:rPr>
            </w:pPr>
          </w:p>
        </w:tc>
        <w:tc>
          <w:tcPr>
            <w:tcW w:w="960" w:type="dxa"/>
            <w:vAlign w:val="bottom"/>
            <w:shd w:val="clear" w:color="auto" w:fill="231F20"/>
          </w:tcPr>
          <w:p>
            <w:pPr>
              <w:spacing w:after="0" w:line="20" w:lineRule="exact"/>
              <w:rPr>
                <w:sz w:val="1"/>
                <w:szCs w:val="1"/>
                <w:color w:val="auto"/>
              </w:rPr>
            </w:pPr>
          </w:p>
        </w:tc>
        <w:tc>
          <w:tcPr>
            <w:tcW w:w="200" w:type="dxa"/>
            <w:vAlign w:val="bottom"/>
            <w:vMerge w:val="restart"/>
            <w:shd w:val="clear" w:color="auto" w:fill="FDFDFC"/>
          </w:tcPr>
          <w:p>
            <w:pPr>
              <w:spacing w:after="0" w:line="20" w:lineRule="exact"/>
              <w:rPr>
                <w:sz w:val="1"/>
                <w:szCs w:val="1"/>
                <w:color w:val="auto"/>
              </w:rPr>
            </w:pPr>
          </w:p>
        </w:tc>
        <w:tc>
          <w:tcPr>
            <w:tcW w:w="900" w:type="dxa"/>
            <w:vAlign w:val="bottom"/>
            <w:shd w:val="clear" w:color="auto" w:fill="231F2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1460" w:type="dxa"/>
            <w:vAlign w:val="bottom"/>
            <w:shd w:val="clear" w:color="auto" w:fill="FDFDFC"/>
          </w:tcPr>
          <w:p>
            <w:pPr>
              <w:spacing w:after="0"/>
              <w:rPr>
                <w:sz w:val="14"/>
                <w:szCs w:val="14"/>
                <w:color w:val="auto"/>
              </w:rPr>
            </w:pPr>
          </w:p>
        </w:tc>
        <w:tc>
          <w:tcPr>
            <w:tcW w:w="2420" w:type="dxa"/>
            <w:vAlign w:val="bottom"/>
            <w:shd w:val="clear" w:color="auto" w:fill="FDFDFC"/>
          </w:tcPr>
          <w:p>
            <w:pPr>
              <w:spacing w:after="0"/>
              <w:rPr>
                <w:sz w:val="14"/>
                <w:szCs w:val="14"/>
                <w:color w:val="auto"/>
              </w:rPr>
            </w:pPr>
          </w:p>
        </w:tc>
        <w:tc>
          <w:tcPr>
            <w:tcW w:w="820" w:type="dxa"/>
            <w:vAlign w:val="bottom"/>
            <w:shd w:val="clear" w:color="auto" w:fill="FDFDFC"/>
          </w:tcPr>
          <w:p>
            <w:pPr>
              <w:spacing w:after="0"/>
              <w:rPr>
                <w:sz w:val="14"/>
                <w:szCs w:val="14"/>
                <w:color w:val="auto"/>
              </w:rPr>
            </w:pPr>
          </w:p>
        </w:tc>
        <w:tc>
          <w:tcPr>
            <w:tcW w:w="20" w:type="dxa"/>
            <w:vAlign w:val="bottom"/>
            <w:shd w:val="clear" w:color="auto" w:fill="FDFDFC"/>
          </w:tcPr>
          <w:p>
            <w:pPr>
              <w:spacing w:after="0"/>
              <w:rPr>
                <w:sz w:val="14"/>
                <w:szCs w:val="14"/>
                <w:color w:val="auto"/>
              </w:rPr>
            </w:pPr>
          </w:p>
        </w:tc>
        <w:tc>
          <w:tcPr>
            <w:tcW w:w="1060" w:type="dxa"/>
            <w:vAlign w:val="bottom"/>
            <w:shd w:val="clear" w:color="auto" w:fill="FDFDFC"/>
          </w:tcPr>
          <w:p>
            <w:pPr>
              <w:spacing w:after="0"/>
              <w:rPr>
                <w:sz w:val="14"/>
                <w:szCs w:val="14"/>
                <w:color w:val="auto"/>
              </w:rPr>
            </w:pPr>
          </w:p>
        </w:tc>
        <w:tc>
          <w:tcPr>
            <w:tcW w:w="1020" w:type="dxa"/>
            <w:vAlign w:val="bottom"/>
            <w:shd w:val="clear" w:color="auto" w:fill="FDFDFC"/>
          </w:tcPr>
          <w:p>
            <w:pPr>
              <w:spacing w:after="0"/>
              <w:rPr>
                <w:sz w:val="14"/>
                <w:szCs w:val="14"/>
                <w:color w:val="auto"/>
              </w:rPr>
            </w:pPr>
          </w:p>
        </w:tc>
        <w:tc>
          <w:tcPr>
            <w:tcW w:w="1000" w:type="dxa"/>
            <w:vAlign w:val="bottom"/>
            <w:shd w:val="clear" w:color="auto" w:fill="FDFDFC"/>
          </w:tcPr>
          <w:p>
            <w:pPr>
              <w:jc w:val="right"/>
              <w:spacing w:after="0" w:line="164" w:lineRule="exact"/>
              <w:rPr>
                <w:sz w:val="20"/>
                <w:szCs w:val="20"/>
                <w:color w:val="auto"/>
              </w:rPr>
            </w:pPr>
            <w:r>
              <w:rPr>
                <w:rFonts w:ascii="Times New Roman" w:cs="Times New Roman" w:eastAsia="Times New Roman" w:hAnsi="Times New Roman"/>
                <w:sz w:val="15"/>
                <w:szCs w:val="15"/>
                <w:color w:val="231F20"/>
              </w:rPr>
              <w:t>181,581</w:t>
            </w:r>
          </w:p>
        </w:tc>
        <w:tc>
          <w:tcPr>
            <w:tcW w:w="180" w:type="dxa"/>
            <w:vAlign w:val="bottom"/>
            <w:vMerge w:val="continue"/>
            <w:shd w:val="clear" w:color="auto" w:fill="FDFDFC"/>
          </w:tcPr>
          <w:p>
            <w:pPr>
              <w:spacing w:after="0"/>
              <w:rPr>
                <w:sz w:val="14"/>
                <w:szCs w:val="14"/>
                <w:color w:val="auto"/>
              </w:rPr>
            </w:pPr>
          </w:p>
        </w:tc>
        <w:tc>
          <w:tcPr>
            <w:tcW w:w="960" w:type="dxa"/>
            <w:vAlign w:val="bottom"/>
            <w:shd w:val="clear" w:color="auto" w:fill="FDFDFC"/>
          </w:tcPr>
          <w:p>
            <w:pPr>
              <w:jc w:val="right"/>
              <w:spacing w:after="0" w:line="164" w:lineRule="exact"/>
              <w:rPr>
                <w:sz w:val="20"/>
                <w:szCs w:val="20"/>
                <w:color w:val="auto"/>
              </w:rPr>
            </w:pPr>
            <w:r>
              <w:rPr>
                <w:rFonts w:ascii="Times New Roman" w:cs="Times New Roman" w:eastAsia="Times New Roman" w:hAnsi="Times New Roman"/>
                <w:sz w:val="15"/>
                <w:szCs w:val="15"/>
                <w:color w:val="231F20"/>
              </w:rPr>
              <w:t>166,299</w:t>
            </w:r>
          </w:p>
        </w:tc>
        <w:tc>
          <w:tcPr>
            <w:tcW w:w="200" w:type="dxa"/>
            <w:vAlign w:val="bottom"/>
            <w:vMerge w:val="continue"/>
            <w:shd w:val="clear" w:color="auto" w:fill="FDFDFC"/>
          </w:tcPr>
          <w:p>
            <w:pPr>
              <w:spacing w:after="0"/>
              <w:rPr>
                <w:sz w:val="14"/>
                <w:szCs w:val="14"/>
                <w:color w:val="auto"/>
              </w:rPr>
            </w:pPr>
          </w:p>
        </w:tc>
        <w:tc>
          <w:tcPr>
            <w:tcW w:w="1140" w:type="dxa"/>
            <w:vAlign w:val="bottom"/>
            <w:gridSpan w:val="2"/>
          </w:tcPr>
          <w:p>
            <w:pPr>
              <w:jc w:val="right"/>
              <w:ind w:right="120"/>
              <w:spacing w:after="0" w:line="164" w:lineRule="exact"/>
              <w:rPr>
                <w:sz w:val="20"/>
                <w:szCs w:val="20"/>
                <w:color w:val="auto"/>
              </w:rPr>
            </w:pPr>
            <w:r>
              <w:rPr>
                <w:rFonts w:ascii="Times New Roman" w:cs="Times New Roman" w:eastAsia="Times New Roman" w:hAnsi="Times New Roman"/>
                <w:sz w:val="15"/>
                <w:szCs w:val="15"/>
                <w:color w:val="231F20"/>
              </w:rPr>
              <w:t>11.2%</w:t>
            </w:r>
          </w:p>
        </w:tc>
        <w:tc>
          <w:tcPr>
            <w:tcW w:w="0" w:type="dxa"/>
            <w:vAlign w:val="bottom"/>
          </w:tcPr>
          <w:p>
            <w:pPr>
              <w:spacing w:after="0"/>
              <w:rPr>
                <w:sz w:val="1"/>
                <w:szCs w:val="1"/>
                <w:color w:val="auto"/>
              </w:rPr>
            </w:pPr>
          </w:p>
        </w:tc>
      </w:tr>
      <w:tr>
        <w:trPr>
          <w:trHeight w:val="163"/>
        </w:trPr>
        <w:tc>
          <w:tcPr>
            <w:tcW w:w="1460" w:type="dxa"/>
            <w:vAlign w:val="bottom"/>
            <w:tcBorders>
              <w:top w:val="single" w:sz="8" w:color="D0EBF2"/>
            </w:tcBorders>
            <w:shd w:val="clear" w:color="auto" w:fill="D0EBF2"/>
          </w:tcPr>
          <w:p>
            <w:pPr>
              <w:spacing w:after="0" w:line="164" w:lineRule="exact"/>
              <w:rPr>
                <w:sz w:val="20"/>
                <w:szCs w:val="20"/>
                <w:color w:val="auto"/>
              </w:rPr>
            </w:pPr>
            <w:r>
              <w:rPr>
                <w:rFonts w:ascii="Times New Roman" w:cs="Times New Roman" w:eastAsia="Times New Roman" w:hAnsi="Times New Roman"/>
                <w:sz w:val="15"/>
                <w:szCs w:val="15"/>
                <w:b w:val="1"/>
                <w:bCs w:val="1"/>
                <w:color w:val="231F20"/>
              </w:rPr>
              <w:t>Financial Services</w:t>
            </w:r>
          </w:p>
        </w:tc>
        <w:tc>
          <w:tcPr>
            <w:tcW w:w="2420" w:type="dxa"/>
            <w:vAlign w:val="bottom"/>
            <w:tcBorders>
              <w:top w:val="single" w:sz="8" w:color="D0EBF2"/>
            </w:tcBorders>
            <w:shd w:val="clear" w:color="auto" w:fill="D0EBF2"/>
          </w:tcPr>
          <w:p>
            <w:pPr>
              <w:spacing w:after="0"/>
              <w:rPr>
                <w:sz w:val="14"/>
                <w:szCs w:val="14"/>
                <w:color w:val="auto"/>
              </w:rPr>
            </w:pPr>
          </w:p>
        </w:tc>
        <w:tc>
          <w:tcPr>
            <w:tcW w:w="820" w:type="dxa"/>
            <w:vAlign w:val="bottom"/>
            <w:tcBorders>
              <w:top w:val="single" w:sz="8" w:color="D0EBF2"/>
            </w:tcBorders>
            <w:shd w:val="clear" w:color="auto" w:fill="D0EBF2"/>
          </w:tcPr>
          <w:p>
            <w:pPr>
              <w:spacing w:after="0"/>
              <w:rPr>
                <w:sz w:val="14"/>
                <w:szCs w:val="14"/>
                <w:color w:val="auto"/>
              </w:rPr>
            </w:pPr>
          </w:p>
        </w:tc>
        <w:tc>
          <w:tcPr>
            <w:tcW w:w="20" w:type="dxa"/>
            <w:vAlign w:val="bottom"/>
            <w:tcBorders>
              <w:top w:val="single" w:sz="8" w:color="D0EBF2"/>
            </w:tcBorders>
            <w:shd w:val="clear" w:color="auto" w:fill="D0EBF2"/>
          </w:tcPr>
          <w:p>
            <w:pPr>
              <w:spacing w:after="0"/>
              <w:rPr>
                <w:sz w:val="14"/>
                <w:szCs w:val="14"/>
                <w:color w:val="auto"/>
              </w:rPr>
            </w:pPr>
          </w:p>
        </w:tc>
        <w:tc>
          <w:tcPr>
            <w:tcW w:w="1060" w:type="dxa"/>
            <w:vAlign w:val="bottom"/>
            <w:tcBorders>
              <w:top w:val="single" w:sz="8" w:color="D0EBF2"/>
            </w:tcBorders>
            <w:shd w:val="clear" w:color="auto" w:fill="D0EBF2"/>
          </w:tcPr>
          <w:p>
            <w:pPr>
              <w:spacing w:after="0"/>
              <w:rPr>
                <w:sz w:val="14"/>
                <w:szCs w:val="14"/>
                <w:color w:val="auto"/>
              </w:rPr>
            </w:pPr>
          </w:p>
        </w:tc>
        <w:tc>
          <w:tcPr>
            <w:tcW w:w="1020" w:type="dxa"/>
            <w:vAlign w:val="bottom"/>
            <w:tcBorders>
              <w:top w:val="single" w:sz="8" w:color="D0EBF2"/>
            </w:tcBorders>
            <w:shd w:val="clear" w:color="auto" w:fill="D0EBF2"/>
          </w:tcPr>
          <w:p>
            <w:pPr>
              <w:spacing w:after="0"/>
              <w:rPr>
                <w:sz w:val="14"/>
                <w:szCs w:val="14"/>
                <w:color w:val="auto"/>
              </w:rPr>
            </w:pPr>
          </w:p>
        </w:tc>
        <w:tc>
          <w:tcPr>
            <w:tcW w:w="1000" w:type="dxa"/>
            <w:vAlign w:val="bottom"/>
            <w:tcBorders>
              <w:top w:val="single" w:sz="8" w:color="231F20"/>
            </w:tcBorders>
            <w:shd w:val="clear" w:color="auto" w:fill="D0EBF2"/>
          </w:tcPr>
          <w:p>
            <w:pPr>
              <w:spacing w:after="0"/>
              <w:rPr>
                <w:sz w:val="14"/>
                <w:szCs w:val="14"/>
                <w:color w:val="auto"/>
              </w:rPr>
            </w:pPr>
          </w:p>
        </w:tc>
        <w:tc>
          <w:tcPr>
            <w:tcW w:w="180" w:type="dxa"/>
            <w:vAlign w:val="bottom"/>
            <w:tcBorders>
              <w:top w:val="single" w:sz="8" w:color="D0EBF2"/>
            </w:tcBorders>
            <w:shd w:val="clear" w:color="auto" w:fill="D0EBF2"/>
          </w:tcPr>
          <w:p>
            <w:pPr>
              <w:spacing w:after="0"/>
              <w:rPr>
                <w:sz w:val="14"/>
                <w:szCs w:val="14"/>
                <w:color w:val="auto"/>
              </w:rPr>
            </w:pPr>
          </w:p>
        </w:tc>
        <w:tc>
          <w:tcPr>
            <w:tcW w:w="960" w:type="dxa"/>
            <w:vAlign w:val="bottom"/>
            <w:tcBorders>
              <w:top w:val="single" w:sz="8" w:color="231F20"/>
            </w:tcBorders>
            <w:shd w:val="clear" w:color="auto" w:fill="D0EBF2"/>
          </w:tcPr>
          <w:p>
            <w:pPr>
              <w:spacing w:after="0"/>
              <w:rPr>
                <w:sz w:val="14"/>
                <w:szCs w:val="14"/>
                <w:color w:val="auto"/>
              </w:rPr>
            </w:pPr>
          </w:p>
        </w:tc>
        <w:tc>
          <w:tcPr>
            <w:tcW w:w="200" w:type="dxa"/>
            <w:vAlign w:val="bottom"/>
            <w:tcBorders>
              <w:top w:val="single" w:sz="8" w:color="D0EBF2"/>
            </w:tcBorders>
            <w:shd w:val="clear" w:color="auto" w:fill="D0EBF2"/>
          </w:tcPr>
          <w:p>
            <w:pPr>
              <w:spacing w:after="0"/>
              <w:rPr>
                <w:sz w:val="14"/>
                <w:szCs w:val="14"/>
                <w:color w:val="auto"/>
              </w:rPr>
            </w:pPr>
          </w:p>
        </w:tc>
        <w:tc>
          <w:tcPr>
            <w:tcW w:w="900" w:type="dxa"/>
            <w:vAlign w:val="bottom"/>
            <w:tcBorders>
              <w:top w:val="single" w:sz="8" w:color="231F20"/>
            </w:tcBorders>
            <w:shd w:val="clear" w:color="auto" w:fill="D0EBF2"/>
          </w:tcPr>
          <w:p>
            <w:pPr>
              <w:spacing w:after="0"/>
              <w:rPr>
                <w:sz w:val="14"/>
                <w:szCs w:val="14"/>
                <w:color w:val="auto"/>
              </w:rPr>
            </w:pPr>
          </w:p>
        </w:tc>
        <w:tc>
          <w:tcPr>
            <w:tcW w:w="240" w:type="dxa"/>
            <w:vAlign w:val="bottom"/>
            <w:tcBorders>
              <w:top w:val="single" w:sz="8" w:color="D0EBF2"/>
            </w:tcBorders>
            <w:shd w:val="clear" w:color="auto" w:fill="D0EBF2"/>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1460" w:type="dxa"/>
            <w:vAlign w:val="bottom"/>
            <w:shd w:val="clear" w:color="auto" w:fill="FDFDFC"/>
          </w:tcPr>
          <w:p>
            <w:pPr>
              <w:spacing w:after="0" w:line="159" w:lineRule="exact"/>
              <w:rPr>
                <w:sz w:val="20"/>
                <w:szCs w:val="20"/>
                <w:color w:val="auto"/>
              </w:rPr>
            </w:pPr>
            <w:r>
              <w:rPr>
                <w:rFonts w:ascii="Times New Roman" w:cs="Times New Roman" w:eastAsia="Times New Roman" w:hAnsi="Times New Roman"/>
                <w:sz w:val="15"/>
                <w:szCs w:val="15"/>
                <w:color w:val="231F20"/>
              </w:rPr>
              <w:t xml:space="preserve">Alaska Bidco Oy </w:t>
            </w:r>
            <w:r>
              <w:rPr>
                <w:rFonts w:ascii="Times New Roman" w:cs="Times New Roman" w:eastAsia="Times New Roman" w:hAnsi="Times New Roman"/>
                <w:sz w:val="9"/>
                <w:szCs w:val="9"/>
                <w:color w:val="231F20"/>
              </w:rPr>
              <w:t>(3)(4)</w:t>
            </w:r>
          </w:p>
        </w:tc>
        <w:tc>
          <w:tcPr>
            <w:tcW w:w="2420" w:type="dxa"/>
            <w:vAlign w:val="bottom"/>
            <w:shd w:val="clear" w:color="auto" w:fill="FDFDFC"/>
          </w:tcPr>
          <w:p>
            <w:pPr>
              <w:ind w:left="60"/>
              <w:spacing w:after="0" w:line="159" w:lineRule="exact"/>
              <w:rPr>
                <w:sz w:val="20"/>
                <w:szCs w:val="20"/>
                <w:color w:val="auto"/>
              </w:rPr>
            </w:pPr>
            <w:r>
              <w:rPr>
                <w:rFonts w:ascii="Times New Roman" w:cs="Times New Roman" w:eastAsia="Times New Roman" w:hAnsi="Times New Roman"/>
                <w:sz w:val="15"/>
                <w:szCs w:val="15"/>
                <w:color w:val="231F20"/>
              </w:rPr>
              <w:t>First-lien loan (EUR 727 par, due</w:t>
            </w:r>
          </w:p>
        </w:tc>
        <w:tc>
          <w:tcPr>
            <w:tcW w:w="820" w:type="dxa"/>
            <w:vAlign w:val="bottom"/>
            <w:shd w:val="clear" w:color="auto" w:fill="FDFDFC"/>
          </w:tcPr>
          <w:p>
            <w:pPr>
              <w:jc w:val="right"/>
              <w:spacing w:after="0" w:line="159" w:lineRule="exact"/>
              <w:rPr>
                <w:sz w:val="20"/>
                <w:szCs w:val="20"/>
                <w:color w:val="auto"/>
              </w:rPr>
            </w:pPr>
            <w:r>
              <w:rPr>
                <w:rFonts w:ascii="Times New Roman" w:cs="Times New Roman" w:eastAsia="Times New Roman" w:hAnsi="Times New Roman"/>
                <w:sz w:val="15"/>
                <w:szCs w:val="15"/>
                <w:color w:val="231F20"/>
              </w:rPr>
              <w:t>5/30/2023</w:t>
            </w:r>
          </w:p>
        </w:tc>
        <w:tc>
          <w:tcPr>
            <w:tcW w:w="20" w:type="dxa"/>
            <w:vAlign w:val="bottom"/>
          </w:tcPr>
          <w:p>
            <w:pPr>
              <w:spacing w:after="0"/>
              <w:rPr>
                <w:sz w:val="13"/>
                <w:szCs w:val="13"/>
                <w:color w:val="auto"/>
              </w:rPr>
            </w:pPr>
          </w:p>
        </w:tc>
        <w:tc>
          <w:tcPr>
            <w:tcW w:w="1060" w:type="dxa"/>
            <w:vAlign w:val="bottom"/>
            <w:shd w:val="clear" w:color="auto" w:fill="FDFDFC"/>
          </w:tcPr>
          <w:p>
            <w:pPr>
              <w:jc w:val="right"/>
              <w:ind w:right="124"/>
              <w:spacing w:after="0" w:line="159" w:lineRule="exact"/>
              <w:rPr>
                <w:sz w:val="20"/>
                <w:szCs w:val="20"/>
                <w:color w:val="auto"/>
              </w:rPr>
            </w:pPr>
            <w:r>
              <w:rPr>
                <w:rFonts w:ascii="Times New Roman" w:cs="Times New Roman" w:eastAsia="Times New Roman" w:hAnsi="Times New Roman"/>
                <w:sz w:val="15"/>
                <w:szCs w:val="15"/>
                <w:color w:val="231F20"/>
              </w:rPr>
              <w:t>E + 6.25%</w:t>
            </w:r>
          </w:p>
        </w:tc>
        <w:tc>
          <w:tcPr>
            <w:tcW w:w="1020" w:type="dxa"/>
            <w:vAlign w:val="bottom"/>
            <w:shd w:val="clear" w:color="auto" w:fill="FDFDFC"/>
          </w:tcPr>
          <w:p>
            <w:pPr>
              <w:jc w:val="right"/>
              <w:ind w:right="24"/>
              <w:spacing w:after="0" w:line="159" w:lineRule="exact"/>
              <w:rPr>
                <w:sz w:val="20"/>
                <w:szCs w:val="20"/>
                <w:color w:val="auto"/>
              </w:rPr>
            </w:pPr>
            <w:r>
              <w:rPr>
                <w:rFonts w:ascii="Times New Roman" w:cs="Times New Roman" w:eastAsia="Times New Roman" w:hAnsi="Times New Roman"/>
                <w:sz w:val="15"/>
                <w:szCs w:val="15"/>
                <w:color w:val="231F20"/>
              </w:rPr>
              <w:t>10.39%</w:t>
            </w:r>
          </w:p>
        </w:tc>
        <w:tc>
          <w:tcPr>
            <w:tcW w:w="1000" w:type="dxa"/>
            <w:vAlign w:val="bottom"/>
            <w:shd w:val="clear" w:color="auto" w:fill="FDFDFC"/>
          </w:tcPr>
          <w:p>
            <w:pPr>
              <w:jc w:val="right"/>
              <w:spacing w:after="0" w:line="159" w:lineRule="exact"/>
              <w:rPr>
                <w:sz w:val="20"/>
                <w:szCs w:val="20"/>
                <w:color w:val="auto"/>
              </w:rPr>
            </w:pPr>
            <w:r>
              <w:rPr>
                <w:rFonts w:ascii="Times New Roman" w:cs="Times New Roman" w:eastAsia="Times New Roman" w:hAnsi="Times New Roman"/>
                <w:sz w:val="15"/>
                <w:szCs w:val="15"/>
                <w:color w:val="231F20"/>
              </w:rPr>
              <w:t>755</w:t>
            </w:r>
          </w:p>
        </w:tc>
        <w:tc>
          <w:tcPr>
            <w:tcW w:w="180" w:type="dxa"/>
            <w:vAlign w:val="bottom"/>
            <w:shd w:val="clear" w:color="auto" w:fill="FDFDFC"/>
          </w:tcPr>
          <w:p>
            <w:pPr>
              <w:spacing w:after="0"/>
              <w:rPr>
                <w:sz w:val="13"/>
                <w:szCs w:val="13"/>
                <w:color w:val="auto"/>
              </w:rPr>
            </w:pPr>
          </w:p>
        </w:tc>
        <w:tc>
          <w:tcPr>
            <w:tcW w:w="960" w:type="dxa"/>
            <w:vAlign w:val="bottom"/>
            <w:shd w:val="clear" w:color="auto" w:fill="FDFDFC"/>
          </w:tcPr>
          <w:p>
            <w:pPr>
              <w:jc w:val="right"/>
              <w:spacing w:after="0" w:line="159" w:lineRule="exact"/>
              <w:rPr>
                <w:sz w:val="20"/>
                <w:szCs w:val="20"/>
                <w:color w:val="auto"/>
              </w:rPr>
            </w:pPr>
            <w:r>
              <w:rPr>
                <w:rFonts w:ascii="Times New Roman" w:cs="Times New Roman" w:eastAsia="Times New Roman" w:hAnsi="Times New Roman"/>
                <w:sz w:val="15"/>
                <w:szCs w:val="15"/>
                <w:color w:val="231F20"/>
              </w:rPr>
              <w:t>796</w:t>
            </w:r>
          </w:p>
        </w:tc>
        <w:tc>
          <w:tcPr>
            <w:tcW w:w="200" w:type="dxa"/>
            <w:vAlign w:val="bottom"/>
            <w:shd w:val="clear" w:color="auto" w:fill="FDFDFC"/>
          </w:tcPr>
          <w:p>
            <w:pPr>
              <w:spacing w:after="0"/>
              <w:rPr>
                <w:sz w:val="13"/>
                <w:szCs w:val="13"/>
                <w:color w:val="auto"/>
              </w:rPr>
            </w:pPr>
          </w:p>
        </w:tc>
        <w:tc>
          <w:tcPr>
            <w:tcW w:w="1140" w:type="dxa"/>
            <w:vAlign w:val="bottom"/>
            <w:gridSpan w:val="2"/>
            <w:shd w:val="clear" w:color="auto" w:fill="FDFDFC"/>
          </w:tcPr>
          <w:p>
            <w:pPr>
              <w:jc w:val="right"/>
              <w:ind w:right="120"/>
              <w:spacing w:after="0" w:line="159" w:lineRule="exact"/>
              <w:rPr>
                <w:sz w:val="20"/>
                <w:szCs w:val="20"/>
                <w:color w:val="auto"/>
              </w:rPr>
            </w:pPr>
            <w:r>
              <w:rPr>
                <w:rFonts w:ascii="Times New Roman" w:cs="Times New Roman" w:eastAsia="Times New Roman" w:hAnsi="Times New Roman"/>
                <w:sz w:val="15"/>
                <w:szCs w:val="15"/>
                <w:color w:val="231F20"/>
              </w:rPr>
              <w:t>0.1%</w:t>
            </w:r>
          </w:p>
        </w:tc>
        <w:tc>
          <w:tcPr>
            <w:tcW w:w="0" w:type="dxa"/>
            <w:vAlign w:val="bottom"/>
          </w:tcPr>
          <w:p>
            <w:pPr>
              <w:spacing w:after="0"/>
              <w:rPr>
                <w:sz w:val="1"/>
                <w:szCs w:val="1"/>
                <w:color w:val="auto"/>
              </w:rPr>
            </w:pPr>
          </w:p>
        </w:tc>
      </w:tr>
      <w:tr>
        <w:trPr>
          <w:trHeight w:val="189"/>
        </w:trPr>
        <w:tc>
          <w:tcPr>
            <w:tcW w:w="1460" w:type="dxa"/>
            <w:vAlign w:val="bottom"/>
            <w:shd w:val="clear" w:color="auto" w:fill="FDFDFC"/>
          </w:tcPr>
          <w:p>
            <w:pPr>
              <w:spacing w:after="0"/>
              <w:rPr>
                <w:sz w:val="16"/>
                <w:szCs w:val="16"/>
                <w:color w:val="auto"/>
              </w:rPr>
            </w:pPr>
          </w:p>
        </w:tc>
        <w:tc>
          <w:tcPr>
            <w:tcW w:w="2420" w:type="dxa"/>
            <w:vAlign w:val="bottom"/>
            <w:shd w:val="clear" w:color="auto" w:fill="FDFDFC"/>
          </w:tcPr>
          <w:p>
            <w:pPr>
              <w:ind w:left="60"/>
              <w:spacing w:after="0"/>
              <w:rPr>
                <w:sz w:val="20"/>
                <w:szCs w:val="20"/>
                <w:color w:val="auto"/>
              </w:rPr>
            </w:pPr>
            <w:r>
              <w:rPr>
                <w:rFonts w:ascii="Times New Roman" w:cs="Times New Roman" w:eastAsia="Times New Roman" w:hAnsi="Times New Roman"/>
                <w:sz w:val="15"/>
                <w:szCs w:val="15"/>
                <w:color w:val="231F20"/>
              </w:rPr>
              <w:t>5/2030)</w:t>
            </w:r>
          </w:p>
        </w:tc>
        <w:tc>
          <w:tcPr>
            <w:tcW w:w="820" w:type="dxa"/>
            <w:vAlign w:val="bottom"/>
            <w:shd w:val="clear" w:color="auto" w:fill="FDFDFC"/>
          </w:tcPr>
          <w:p>
            <w:pPr>
              <w:spacing w:after="0"/>
              <w:rPr>
                <w:sz w:val="16"/>
                <w:szCs w:val="16"/>
                <w:color w:val="auto"/>
              </w:rPr>
            </w:pPr>
          </w:p>
        </w:tc>
        <w:tc>
          <w:tcPr>
            <w:tcW w:w="20" w:type="dxa"/>
            <w:vAlign w:val="bottom"/>
          </w:tcPr>
          <w:p>
            <w:pPr>
              <w:spacing w:after="0"/>
              <w:rPr>
                <w:sz w:val="16"/>
                <w:szCs w:val="16"/>
                <w:color w:val="auto"/>
              </w:rPr>
            </w:pPr>
          </w:p>
        </w:tc>
        <w:tc>
          <w:tcPr>
            <w:tcW w:w="1060" w:type="dxa"/>
            <w:vAlign w:val="bottom"/>
            <w:shd w:val="clear" w:color="auto" w:fill="FDFDFC"/>
          </w:tcPr>
          <w:p>
            <w:pPr>
              <w:spacing w:after="0"/>
              <w:rPr>
                <w:sz w:val="16"/>
                <w:szCs w:val="16"/>
                <w:color w:val="auto"/>
              </w:rPr>
            </w:pPr>
          </w:p>
        </w:tc>
        <w:tc>
          <w:tcPr>
            <w:tcW w:w="1020" w:type="dxa"/>
            <w:vAlign w:val="bottom"/>
            <w:shd w:val="clear" w:color="auto" w:fill="FDFDFC"/>
          </w:tcPr>
          <w:p>
            <w:pPr>
              <w:spacing w:after="0"/>
              <w:rPr>
                <w:sz w:val="16"/>
                <w:szCs w:val="16"/>
                <w:color w:val="auto"/>
              </w:rPr>
            </w:pPr>
          </w:p>
        </w:tc>
        <w:tc>
          <w:tcPr>
            <w:tcW w:w="1000" w:type="dxa"/>
            <w:vAlign w:val="bottom"/>
            <w:shd w:val="clear" w:color="auto" w:fill="FDFDFC"/>
          </w:tcPr>
          <w:p>
            <w:pPr>
              <w:spacing w:after="0"/>
              <w:rPr>
                <w:sz w:val="16"/>
                <w:szCs w:val="16"/>
                <w:color w:val="auto"/>
              </w:rPr>
            </w:pPr>
          </w:p>
        </w:tc>
        <w:tc>
          <w:tcPr>
            <w:tcW w:w="180" w:type="dxa"/>
            <w:vAlign w:val="bottom"/>
            <w:shd w:val="clear" w:color="auto" w:fill="FDFDFC"/>
          </w:tcPr>
          <w:p>
            <w:pPr>
              <w:spacing w:after="0"/>
              <w:rPr>
                <w:sz w:val="16"/>
                <w:szCs w:val="16"/>
                <w:color w:val="auto"/>
              </w:rPr>
            </w:pPr>
          </w:p>
        </w:tc>
        <w:tc>
          <w:tcPr>
            <w:tcW w:w="960" w:type="dxa"/>
            <w:vAlign w:val="bottom"/>
            <w:shd w:val="clear" w:color="auto" w:fill="FDFDFC"/>
          </w:tcPr>
          <w:p>
            <w:pPr>
              <w:jc w:val="right"/>
              <w:spacing w:after="0"/>
              <w:rPr>
                <w:sz w:val="20"/>
                <w:szCs w:val="20"/>
                <w:color w:val="auto"/>
              </w:rPr>
            </w:pPr>
            <w:r>
              <w:rPr>
                <w:rFonts w:ascii="Times New Roman" w:cs="Times New Roman" w:eastAsia="Times New Roman" w:hAnsi="Times New Roman"/>
                <w:sz w:val="15"/>
                <w:szCs w:val="15"/>
                <w:color w:val="231F20"/>
              </w:rPr>
              <w:t>(EUR 720)</w:t>
            </w:r>
          </w:p>
        </w:tc>
        <w:tc>
          <w:tcPr>
            <w:tcW w:w="200" w:type="dxa"/>
            <w:vAlign w:val="bottom"/>
            <w:shd w:val="clear" w:color="auto" w:fill="FDFDFC"/>
          </w:tcPr>
          <w:p>
            <w:pPr>
              <w:spacing w:after="0"/>
              <w:rPr>
                <w:sz w:val="16"/>
                <w:szCs w:val="16"/>
                <w:color w:val="auto"/>
              </w:rPr>
            </w:pPr>
          </w:p>
        </w:tc>
        <w:tc>
          <w:tcPr>
            <w:tcW w:w="900" w:type="dxa"/>
            <w:vAlign w:val="bottom"/>
            <w:shd w:val="clear" w:color="auto" w:fill="FDFDFC"/>
          </w:tcPr>
          <w:p>
            <w:pPr>
              <w:spacing w:after="0"/>
              <w:rPr>
                <w:sz w:val="16"/>
                <w:szCs w:val="16"/>
                <w:color w:val="auto"/>
              </w:rPr>
            </w:pPr>
          </w:p>
        </w:tc>
        <w:tc>
          <w:tcPr>
            <w:tcW w:w="240" w:type="dxa"/>
            <w:vAlign w:val="bottom"/>
            <w:shd w:val="clear" w:color="auto" w:fill="FDFDFC"/>
          </w:tcPr>
          <w:p>
            <w:pPr>
              <w:spacing w:after="0"/>
              <w:rPr>
                <w:sz w:val="16"/>
                <w:szCs w:val="16"/>
                <w:color w:val="auto"/>
              </w:rPr>
            </w:pPr>
          </w:p>
        </w:tc>
        <w:tc>
          <w:tcPr>
            <w:tcW w:w="0" w:type="dxa"/>
            <w:vAlign w:val="bottom"/>
          </w:tcPr>
          <w:p>
            <w:pPr>
              <w:spacing w:after="0"/>
              <w:rPr>
                <w:sz w:val="1"/>
                <w:szCs w:val="1"/>
                <w:color w:val="auto"/>
              </w:rPr>
            </w:pPr>
          </w:p>
        </w:tc>
      </w:tr>
      <w:tr>
        <w:trPr>
          <w:trHeight w:val="158"/>
        </w:trPr>
        <w:tc>
          <w:tcPr>
            <w:tcW w:w="1460" w:type="dxa"/>
            <w:vAlign w:val="bottom"/>
            <w:shd w:val="clear" w:color="auto" w:fill="D0EBF2"/>
          </w:tcPr>
          <w:p>
            <w:pPr>
              <w:spacing w:after="0" w:line="159" w:lineRule="exact"/>
              <w:rPr>
                <w:sz w:val="20"/>
                <w:szCs w:val="20"/>
                <w:color w:val="auto"/>
              </w:rPr>
            </w:pPr>
            <w:r>
              <w:rPr>
                <w:rFonts w:ascii="Times New Roman" w:cs="Times New Roman" w:eastAsia="Times New Roman" w:hAnsi="Times New Roman"/>
                <w:sz w:val="15"/>
                <w:szCs w:val="15"/>
                <w:color w:val="231F20"/>
              </w:rPr>
              <w:t>BCTO Bluebill Buyer,</w:t>
            </w:r>
          </w:p>
        </w:tc>
        <w:tc>
          <w:tcPr>
            <w:tcW w:w="2420" w:type="dxa"/>
            <w:vAlign w:val="bottom"/>
            <w:shd w:val="clear" w:color="auto" w:fill="D0EBF2"/>
          </w:tcPr>
          <w:p>
            <w:pPr>
              <w:ind w:left="60"/>
              <w:spacing w:after="0" w:line="159" w:lineRule="exact"/>
              <w:rPr>
                <w:sz w:val="20"/>
                <w:szCs w:val="20"/>
                <w:color w:val="auto"/>
              </w:rPr>
            </w:pPr>
            <w:r>
              <w:rPr>
                <w:rFonts w:ascii="Times New Roman" w:cs="Times New Roman" w:eastAsia="Times New Roman" w:hAnsi="Times New Roman"/>
                <w:sz w:val="15"/>
                <w:szCs w:val="15"/>
                <w:color w:val="231F20"/>
              </w:rPr>
              <w:t>First-lien loan ($28,640 par, due</w:t>
            </w:r>
          </w:p>
        </w:tc>
        <w:tc>
          <w:tcPr>
            <w:tcW w:w="820" w:type="dxa"/>
            <w:vAlign w:val="bottom"/>
            <w:shd w:val="clear" w:color="auto" w:fill="D0EBF2"/>
          </w:tcPr>
          <w:p>
            <w:pPr>
              <w:jc w:val="right"/>
              <w:spacing w:after="0" w:line="159" w:lineRule="exact"/>
              <w:rPr>
                <w:sz w:val="20"/>
                <w:szCs w:val="20"/>
                <w:color w:val="auto"/>
              </w:rPr>
            </w:pPr>
            <w:r>
              <w:rPr>
                <w:rFonts w:ascii="Times New Roman" w:cs="Times New Roman" w:eastAsia="Times New Roman" w:hAnsi="Times New Roman"/>
                <w:sz w:val="15"/>
                <w:szCs w:val="15"/>
                <w:color w:val="231F20"/>
              </w:rPr>
              <w:t>7/20/2023</w:t>
            </w:r>
          </w:p>
        </w:tc>
        <w:tc>
          <w:tcPr>
            <w:tcW w:w="20" w:type="dxa"/>
            <w:vAlign w:val="bottom"/>
          </w:tcPr>
          <w:p>
            <w:pPr>
              <w:spacing w:after="0"/>
              <w:rPr>
                <w:sz w:val="13"/>
                <w:szCs w:val="13"/>
                <w:color w:val="auto"/>
              </w:rPr>
            </w:pPr>
          </w:p>
        </w:tc>
        <w:tc>
          <w:tcPr>
            <w:tcW w:w="1060" w:type="dxa"/>
            <w:vAlign w:val="bottom"/>
            <w:shd w:val="clear" w:color="auto" w:fill="D0EBF2"/>
          </w:tcPr>
          <w:p>
            <w:pPr>
              <w:jc w:val="right"/>
              <w:ind w:right="124"/>
              <w:spacing w:after="0" w:line="159" w:lineRule="exact"/>
              <w:rPr>
                <w:sz w:val="20"/>
                <w:szCs w:val="20"/>
                <w:color w:val="auto"/>
              </w:rPr>
            </w:pPr>
            <w:r>
              <w:rPr>
                <w:rFonts w:ascii="Times New Roman" w:cs="Times New Roman" w:eastAsia="Times New Roman" w:hAnsi="Times New Roman"/>
                <w:sz w:val="15"/>
                <w:szCs w:val="15"/>
                <w:color w:val="231F20"/>
              </w:rPr>
              <w:t>SOFR +</w:t>
            </w:r>
          </w:p>
        </w:tc>
        <w:tc>
          <w:tcPr>
            <w:tcW w:w="1020" w:type="dxa"/>
            <w:vAlign w:val="bottom"/>
            <w:shd w:val="clear" w:color="auto" w:fill="D0EBF2"/>
          </w:tcPr>
          <w:p>
            <w:pPr>
              <w:jc w:val="right"/>
              <w:ind w:right="24"/>
              <w:spacing w:after="0" w:line="159" w:lineRule="exact"/>
              <w:rPr>
                <w:sz w:val="20"/>
                <w:szCs w:val="20"/>
                <w:color w:val="auto"/>
              </w:rPr>
            </w:pPr>
            <w:r>
              <w:rPr>
                <w:rFonts w:ascii="Times New Roman" w:cs="Times New Roman" w:eastAsia="Times New Roman" w:hAnsi="Times New Roman"/>
                <w:sz w:val="15"/>
                <w:szCs w:val="15"/>
                <w:color w:val="231F20"/>
              </w:rPr>
              <w:t>12.60%</w:t>
            </w:r>
          </w:p>
        </w:tc>
        <w:tc>
          <w:tcPr>
            <w:tcW w:w="1000" w:type="dxa"/>
            <w:vAlign w:val="bottom"/>
            <w:shd w:val="clear" w:color="auto" w:fill="D0EBF2"/>
          </w:tcPr>
          <w:p>
            <w:pPr>
              <w:jc w:val="right"/>
              <w:spacing w:after="0" w:line="159" w:lineRule="exact"/>
              <w:rPr>
                <w:sz w:val="20"/>
                <w:szCs w:val="20"/>
                <w:color w:val="auto"/>
              </w:rPr>
            </w:pPr>
            <w:r>
              <w:rPr>
                <w:rFonts w:ascii="Times New Roman" w:cs="Times New Roman" w:eastAsia="Times New Roman" w:hAnsi="Times New Roman"/>
                <w:sz w:val="15"/>
                <w:szCs w:val="15"/>
                <w:color w:val="231F20"/>
              </w:rPr>
              <w:t>27,635</w:t>
            </w:r>
          </w:p>
        </w:tc>
        <w:tc>
          <w:tcPr>
            <w:tcW w:w="1140" w:type="dxa"/>
            <w:vAlign w:val="bottom"/>
            <w:gridSpan w:val="2"/>
            <w:shd w:val="clear" w:color="auto" w:fill="D0EBF2"/>
          </w:tcPr>
          <w:p>
            <w:pPr>
              <w:jc w:val="right"/>
              <w:spacing w:after="0" w:line="159" w:lineRule="exact"/>
              <w:rPr>
                <w:sz w:val="20"/>
                <w:szCs w:val="20"/>
                <w:color w:val="auto"/>
              </w:rPr>
            </w:pPr>
            <w:r>
              <w:rPr>
                <w:rFonts w:ascii="Times New Roman" w:cs="Times New Roman" w:eastAsia="Times New Roman" w:hAnsi="Times New Roman"/>
                <w:sz w:val="15"/>
                <w:szCs w:val="15"/>
                <w:color w:val="231F20"/>
              </w:rPr>
              <w:t>27,996</w:t>
            </w:r>
          </w:p>
        </w:tc>
        <w:tc>
          <w:tcPr>
            <w:tcW w:w="1340" w:type="dxa"/>
            <w:vAlign w:val="bottom"/>
            <w:gridSpan w:val="3"/>
            <w:shd w:val="clear" w:color="auto" w:fill="D0EBF2"/>
          </w:tcPr>
          <w:p>
            <w:pPr>
              <w:jc w:val="right"/>
              <w:ind w:right="120"/>
              <w:spacing w:after="0" w:line="159" w:lineRule="exact"/>
              <w:rPr>
                <w:sz w:val="20"/>
                <w:szCs w:val="20"/>
                <w:color w:val="auto"/>
              </w:rPr>
            </w:pPr>
            <w:r>
              <w:rPr>
                <w:rFonts w:ascii="Times New Roman" w:cs="Times New Roman" w:eastAsia="Times New Roman" w:hAnsi="Times New Roman"/>
                <w:sz w:val="15"/>
                <w:szCs w:val="15"/>
                <w:color w:val="231F20"/>
              </w:rPr>
              <w:t>1.9%</w:t>
            </w:r>
          </w:p>
        </w:tc>
        <w:tc>
          <w:tcPr>
            <w:tcW w:w="0" w:type="dxa"/>
            <w:vAlign w:val="bottom"/>
          </w:tcPr>
          <w:p>
            <w:pPr>
              <w:spacing w:after="0"/>
              <w:rPr>
                <w:sz w:val="1"/>
                <w:szCs w:val="1"/>
                <w:color w:val="auto"/>
              </w:rPr>
            </w:pPr>
          </w:p>
        </w:tc>
      </w:tr>
      <w:tr>
        <w:trPr>
          <w:trHeight w:val="189"/>
        </w:trPr>
        <w:tc>
          <w:tcPr>
            <w:tcW w:w="1460" w:type="dxa"/>
            <w:vAlign w:val="bottom"/>
            <w:shd w:val="clear" w:color="auto" w:fill="D0EBF2"/>
          </w:tcPr>
          <w:p>
            <w:pPr>
              <w:spacing w:after="0" w:line="190" w:lineRule="exact"/>
              <w:rPr>
                <w:sz w:val="20"/>
                <w:szCs w:val="20"/>
                <w:color w:val="auto"/>
              </w:rPr>
            </w:pPr>
            <w:r>
              <w:rPr>
                <w:rFonts w:ascii="Times New Roman" w:cs="Times New Roman" w:eastAsia="Times New Roman" w:hAnsi="Times New Roman"/>
                <w:sz w:val="21"/>
                <w:szCs w:val="21"/>
                <w:color w:val="231F20"/>
                <w:vertAlign w:val="subscript"/>
              </w:rPr>
              <w:t>Inc.</w:t>
            </w:r>
            <w:r>
              <w:rPr>
                <w:rFonts w:ascii="Times New Roman" w:cs="Times New Roman" w:eastAsia="Times New Roman" w:hAnsi="Times New Roman"/>
                <w:sz w:val="8"/>
                <w:szCs w:val="8"/>
                <w:color w:val="231F20"/>
              </w:rPr>
              <w:t xml:space="preserve"> (3)(5)</w:t>
            </w:r>
          </w:p>
        </w:tc>
        <w:tc>
          <w:tcPr>
            <w:tcW w:w="2420" w:type="dxa"/>
            <w:vAlign w:val="bottom"/>
            <w:shd w:val="clear" w:color="auto" w:fill="D0EBF2"/>
          </w:tcPr>
          <w:p>
            <w:pPr>
              <w:ind w:left="60"/>
              <w:spacing w:after="0"/>
              <w:rPr>
                <w:sz w:val="20"/>
                <w:szCs w:val="20"/>
                <w:color w:val="auto"/>
              </w:rPr>
            </w:pPr>
            <w:r>
              <w:rPr>
                <w:rFonts w:ascii="Times New Roman" w:cs="Times New Roman" w:eastAsia="Times New Roman" w:hAnsi="Times New Roman"/>
                <w:sz w:val="15"/>
                <w:szCs w:val="15"/>
                <w:color w:val="231F20"/>
              </w:rPr>
              <w:t>7/2029)</w:t>
            </w:r>
          </w:p>
        </w:tc>
        <w:tc>
          <w:tcPr>
            <w:tcW w:w="820" w:type="dxa"/>
            <w:vAlign w:val="bottom"/>
            <w:shd w:val="clear" w:color="auto" w:fill="D0EBF2"/>
          </w:tcPr>
          <w:p>
            <w:pPr>
              <w:spacing w:after="0"/>
              <w:rPr>
                <w:sz w:val="16"/>
                <w:szCs w:val="16"/>
                <w:color w:val="auto"/>
              </w:rPr>
            </w:pPr>
          </w:p>
        </w:tc>
        <w:tc>
          <w:tcPr>
            <w:tcW w:w="20" w:type="dxa"/>
            <w:vAlign w:val="bottom"/>
          </w:tcPr>
          <w:p>
            <w:pPr>
              <w:spacing w:after="0"/>
              <w:rPr>
                <w:sz w:val="16"/>
                <w:szCs w:val="16"/>
                <w:color w:val="auto"/>
              </w:rPr>
            </w:pPr>
          </w:p>
        </w:tc>
        <w:tc>
          <w:tcPr>
            <w:tcW w:w="1060" w:type="dxa"/>
            <w:vAlign w:val="bottom"/>
            <w:shd w:val="clear" w:color="auto" w:fill="D0EBF2"/>
          </w:tcPr>
          <w:p>
            <w:pPr>
              <w:jc w:val="right"/>
              <w:ind w:right="124"/>
              <w:spacing w:after="0"/>
              <w:rPr>
                <w:sz w:val="20"/>
                <w:szCs w:val="20"/>
                <w:color w:val="auto"/>
              </w:rPr>
            </w:pPr>
            <w:r>
              <w:rPr>
                <w:rFonts w:ascii="Times New Roman" w:cs="Times New Roman" w:eastAsia="Times New Roman" w:hAnsi="Times New Roman"/>
                <w:sz w:val="15"/>
                <w:szCs w:val="15"/>
                <w:color w:val="231F20"/>
              </w:rPr>
              <w:t>7.25%</w:t>
            </w:r>
          </w:p>
        </w:tc>
        <w:tc>
          <w:tcPr>
            <w:tcW w:w="1020" w:type="dxa"/>
            <w:vAlign w:val="bottom"/>
            <w:shd w:val="clear" w:color="auto" w:fill="D0EBF2"/>
          </w:tcPr>
          <w:p>
            <w:pPr>
              <w:spacing w:after="0"/>
              <w:rPr>
                <w:sz w:val="16"/>
                <w:szCs w:val="16"/>
                <w:color w:val="auto"/>
              </w:rPr>
            </w:pPr>
          </w:p>
        </w:tc>
        <w:tc>
          <w:tcPr>
            <w:tcW w:w="1000" w:type="dxa"/>
            <w:vAlign w:val="bottom"/>
            <w:shd w:val="clear" w:color="auto" w:fill="D0EBF2"/>
          </w:tcPr>
          <w:p>
            <w:pPr>
              <w:spacing w:after="0"/>
              <w:rPr>
                <w:sz w:val="16"/>
                <w:szCs w:val="16"/>
                <w:color w:val="auto"/>
              </w:rPr>
            </w:pPr>
          </w:p>
        </w:tc>
        <w:tc>
          <w:tcPr>
            <w:tcW w:w="180" w:type="dxa"/>
            <w:vAlign w:val="bottom"/>
            <w:shd w:val="clear" w:color="auto" w:fill="D0EBF2"/>
          </w:tcPr>
          <w:p>
            <w:pPr>
              <w:spacing w:after="0"/>
              <w:rPr>
                <w:sz w:val="16"/>
                <w:szCs w:val="16"/>
                <w:color w:val="auto"/>
              </w:rPr>
            </w:pPr>
          </w:p>
        </w:tc>
        <w:tc>
          <w:tcPr>
            <w:tcW w:w="960" w:type="dxa"/>
            <w:vAlign w:val="bottom"/>
            <w:shd w:val="clear" w:color="auto" w:fill="D0EBF2"/>
          </w:tcPr>
          <w:p>
            <w:pPr>
              <w:spacing w:after="0"/>
              <w:rPr>
                <w:sz w:val="16"/>
                <w:szCs w:val="16"/>
                <w:color w:val="auto"/>
              </w:rPr>
            </w:pPr>
          </w:p>
        </w:tc>
        <w:tc>
          <w:tcPr>
            <w:tcW w:w="200" w:type="dxa"/>
            <w:vAlign w:val="bottom"/>
            <w:shd w:val="clear" w:color="auto" w:fill="D0EBF2"/>
          </w:tcPr>
          <w:p>
            <w:pPr>
              <w:spacing w:after="0"/>
              <w:rPr>
                <w:sz w:val="16"/>
                <w:szCs w:val="16"/>
                <w:color w:val="auto"/>
              </w:rPr>
            </w:pPr>
          </w:p>
        </w:tc>
        <w:tc>
          <w:tcPr>
            <w:tcW w:w="900" w:type="dxa"/>
            <w:vAlign w:val="bottom"/>
            <w:shd w:val="clear" w:color="auto" w:fill="D0EBF2"/>
          </w:tcPr>
          <w:p>
            <w:pPr>
              <w:spacing w:after="0"/>
              <w:rPr>
                <w:sz w:val="16"/>
                <w:szCs w:val="16"/>
                <w:color w:val="auto"/>
              </w:rPr>
            </w:pPr>
          </w:p>
        </w:tc>
        <w:tc>
          <w:tcPr>
            <w:tcW w:w="240" w:type="dxa"/>
            <w:vAlign w:val="bottom"/>
            <w:shd w:val="clear" w:color="auto" w:fill="D0EBF2"/>
          </w:tcPr>
          <w:p>
            <w:pPr>
              <w:spacing w:after="0"/>
              <w:rPr>
                <w:sz w:val="16"/>
                <w:szCs w:val="16"/>
                <w:color w:val="auto"/>
              </w:rPr>
            </w:pPr>
          </w:p>
        </w:tc>
        <w:tc>
          <w:tcPr>
            <w:tcW w:w="0" w:type="dxa"/>
            <w:vAlign w:val="bottom"/>
          </w:tcPr>
          <w:p>
            <w:pPr>
              <w:spacing w:after="0"/>
              <w:rPr>
                <w:sz w:val="1"/>
                <w:szCs w:val="1"/>
                <w:color w:val="auto"/>
              </w:rPr>
            </w:pPr>
          </w:p>
        </w:tc>
      </w:tr>
      <w:tr>
        <w:trPr>
          <w:trHeight w:val="158"/>
        </w:trPr>
        <w:tc>
          <w:tcPr>
            <w:tcW w:w="1460" w:type="dxa"/>
            <w:vAlign w:val="bottom"/>
            <w:shd w:val="clear" w:color="auto" w:fill="FDFDFC"/>
          </w:tcPr>
          <w:p>
            <w:pPr>
              <w:spacing w:after="0" w:line="159" w:lineRule="exact"/>
              <w:rPr>
                <w:sz w:val="20"/>
                <w:szCs w:val="20"/>
                <w:color w:val="auto"/>
              </w:rPr>
            </w:pPr>
            <w:r>
              <w:rPr>
                <w:rFonts w:ascii="Times New Roman" w:cs="Times New Roman" w:eastAsia="Times New Roman" w:hAnsi="Times New Roman"/>
                <w:sz w:val="15"/>
                <w:szCs w:val="15"/>
                <w:color w:val="231F20"/>
              </w:rPr>
              <w:t>BTRS Holdings, Inc.</w:t>
            </w:r>
            <w:r>
              <w:rPr>
                <w:rFonts w:ascii="Times New Roman" w:cs="Times New Roman" w:eastAsia="Times New Roman" w:hAnsi="Times New Roman"/>
                <w:sz w:val="9"/>
                <w:szCs w:val="9"/>
                <w:color w:val="231F20"/>
              </w:rPr>
              <w:t>(3)</w:t>
            </w:r>
          </w:p>
        </w:tc>
        <w:tc>
          <w:tcPr>
            <w:tcW w:w="2420" w:type="dxa"/>
            <w:vAlign w:val="bottom"/>
            <w:shd w:val="clear" w:color="auto" w:fill="FDFDFC"/>
          </w:tcPr>
          <w:p>
            <w:pPr>
              <w:ind w:left="60"/>
              <w:spacing w:after="0" w:line="159" w:lineRule="exact"/>
              <w:rPr>
                <w:sz w:val="20"/>
                <w:szCs w:val="20"/>
                <w:color w:val="auto"/>
              </w:rPr>
            </w:pPr>
            <w:r>
              <w:rPr>
                <w:rFonts w:ascii="Times New Roman" w:cs="Times New Roman" w:eastAsia="Times New Roman" w:hAnsi="Times New Roman"/>
                <w:sz w:val="15"/>
                <w:szCs w:val="15"/>
                <w:color w:val="231F20"/>
              </w:rPr>
              <w:t>First-lien loan ($47,051 par, due</w:t>
            </w:r>
          </w:p>
        </w:tc>
        <w:tc>
          <w:tcPr>
            <w:tcW w:w="820" w:type="dxa"/>
            <w:vAlign w:val="bottom"/>
            <w:shd w:val="clear" w:color="auto" w:fill="FDFDFC"/>
          </w:tcPr>
          <w:p>
            <w:pPr>
              <w:jc w:val="right"/>
              <w:spacing w:after="0" w:line="159" w:lineRule="exact"/>
              <w:rPr>
                <w:sz w:val="20"/>
                <w:szCs w:val="20"/>
                <w:color w:val="auto"/>
              </w:rPr>
            </w:pPr>
            <w:r>
              <w:rPr>
                <w:rFonts w:ascii="Times New Roman" w:cs="Times New Roman" w:eastAsia="Times New Roman" w:hAnsi="Times New Roman"/>
                <w:sz w:val="15"/>
                <w:szCs w:val="15"/>
                <w:color w:val="231F20"/>
              </w:rPr>
              <w:t>12/16/2022</w:t>
            </w:r>
          </w:p>
        </w:tc>
        <w:tc>
          <w:tcPr>
            <w:tcW w:w="20" w:type="dxa"/>
            <w:vAlign w:val="bottom"/>
          </w:tcPr>
          <w:p>
            <w:pPr>
              <w:spacing w:after="0"/>
              <w:rPr>
                <w:sz w:val="13"/>
                <w:szCs w:val="13"/>
                <w:color w:val="auto"/>
              </w:rPr>
            </w:pPr>
          </w:p>
        </w:tc>
        <w:tc>
          <w:tcPr>
            <w:tcW w:w="1060" w:type="dxa"/>
            <w:vAlign w:val="bottom"/>
            <w:shd w:val="clear" w:color="auto" w:fill="FDFDFC"/>
          </w:tcPr>
          <w:p>
            <w:pPr>
              <w:jc w:val="right"/>
              <w:ind w:right="124"/>
              <w:spacing w:after="0" w:line="159" w:lineRule="exact"/>
              <w:rPr>
                <w:sz w:val="20"/>
                <w:szCs w:val="20"/>
                <w:color w:val="auto"/>
              </w:rPr>
            </w:pPr>
            <w:r>
              <w:rPr>
                <w:rFonts w:ascii="Times New Roman" w:cs="Times New Roman" w:eastAsia="Times New Roman" w:hAnsi="Times New Roman"/>
                <w:sz w:val="15"/>
                <w:szCs w:val="15"/>
                <w:color w:val="231F20"/>
              </w:rPr>
              <w:t>SOFR +</w:t>
            </w:r>
          </w:p>
        </w:tc>
        <w:tc>
          <w:tcPr>
            <w:tcW w:w="1020" w:type="dxa"/>
            <w:vAlign w:val="bottom"/>
            <w:shd w:val="clear" w:color="auto" w:fill="FDFDFC"/>
          </w:tcPr>
          <w:p>
            <w:pPr>
              <w:jc w:val="right"/>
              <w:ind w:right="24"/>
              <w:spacing w:after="0" w:line="159" w:lineRule="exact"/>
              <w:rPr>
                <w:sz w:val="20"/>
                <w:szCs w:val="20"/>
                <w:color w:val="auto"/>
              </w:rPr>
            </w:pPr>
            <w:r>
              <w:rPr>
                <w:rFonts w:ascii="Times New Roman" w:cs="Times New Roman" w:eastAsia="Times New Roman" w:hAnsi="Times New Roman"/>
                <w:sz w:val="15"/>
                <w:szCs w:val="15"/>
                <w:color w:val="231F20"/>
              </w:rPr>
              <w:t>13.38%</w:t>
            </w:r>
          </w:p>
        </w:tc>
        <w:tc>
          <w:tcPr>
            <w:tcW w:w="1000" w:type="dxa"/>
            <w:vAlign w:val="bottom"/>
            <w:shd w:val="clear" w:color="auto" w:fill="FDFDFC"/>
          </w:tcPr>
          <w:p>
            <w:pPr>
              <w:jc w:val="right"/>
              <w:spacing w:after="0" w:line="159" w:lineRule="exact"/>
              <w:rPr>
                <w:sz w:val="20"/>
                <w:szCs w:val="20"/>
                <w:color w:val="auto"/>
              </w:rPr>
            </w:pPr>
            <w:r>
              <w:rPr>
                <w:rFonts w:ascii="Times New Roman" w:cs="Times New Roman" w:eastAsia="Times New Roman" w:hAnsi="Times New Roman"/>
                <w:sz w:val="15"/>
                <w:szCs w:val="15"/>
                <w:color w:val="231F20"/>
              </w:rPr>
              <w:t>45,931</w:t>
            </w:r>
          </w:p>
        </w:tc>
        <w:tc>
          <w:tcPr>
            <w:tcW w:w="1140" w:type="dxa"/>
            <w:vAlign w:val="bottom"/>
            <w:gridSpan w:val="2"/>
            <w:shd w:val="clear" w:color="auto" w:fill="FDFDFC"/>
          </w:tcPr>
          <w:p>
            <w:pPr>
              <w:jc w:val="right"/>
              <w:spacing w:after="0" w:line="159" w:lineRule="exact"/>
              <w:rPr>
                <w:sz w:val="20"/>
                <w:szCs w:val="20"/>
                <w:color w:val="auto"/>
              </w:rPr>
            </w:pPr>
            <w:r>
              <w:rPr>
                <w:rFonts w:ascii="Times New Roman" w:cs="Times New Roman" w:eastAsia="Times New Roman" w:hAnsi="Times New Roman"/>
                <w:sz w:val="15"/>
                <w:szCs w:val="15"/>
                <w:color w:val="231F20"/>
              </w:rPr>
              <w:t>47,168</w:t>
            </w:r>
          </w:p>
        </w:tc>
        <w:tc>
          <w:tcPr>
            <w:tcW w:w="1340" w:type="dxa"/>
            <w:vAlign w:val="bottom"/>
            <w:gridSpan w:val="3"/>
            <w:shd w:val="clear" w:color="auto" w:fill="FDFDFC"/>
          </w:tcPr>
          <w:p>
            <w:pPr>
              <w:jc w:val="right"/>
              <w:ind w:right="120"/>
              <w:spacing w:after="0" w:line="159" w:lineRule="exact"/>
              <w:rPr>
                <w:sz w:val="20"/>
                <w:szCs w:val="20"/>
                <w:color w:val="auto"/>
              </w:rPr>
            </w:pPr>
            <w:r>
              <w:rPr>
                <w:rFonts w:ascii="Times New Roman" w:cs="Times New Roman" w:eastAsia="Times New Roman" w:hAnsi="Times New Roman"/>
                <w:sz w:val="15"/>
                <w:szCs w:val="15"/>
                <w:color w:val="231F20"/>
              </w:rPr>
              <w:t>3.2%</w:t>
            </w:r>
          </w:p>
        </w:tc>
        <w:tc>
          <w:tcPr>
            <w:tcW w:w="0" w:type="dxa"/>
            <w:vAlign w:val="bottom"/>
          </w:tcPr>
          <w:p>
            <w:pPr>
              <w:spacing w:after="0"/>
              <w:rPr>
                <w:sz w:val="1"/>
                <w:szCs w:val="1"/>
                <w:color w:val="auto"/>
              </w:rPr>
            </w:pPr>
          </w:p>
        </w:tc>
      </w:tr>
      <w:tr>
        <w:trPr>
          <w:trHeight w:val="189"/>
        </w:trPr>
        <w:tc>
          <w:tcPr>
            <w:tcW w:w="1460" w:type="dxa"/>
            <w:vAlign w:val="bottom"/>
            <w:shd w:val="clear" w:color="auto" w:fill="FDFDFC"/>
          </w:tcPr>
          <w:p>
            <w:pPr>
              <w:spacing w:after="0"/>
              <w:rPr>
                <w:sz w:val="16"/>
                <w:szCs w:val="16"/>
                <w:color w:val="auto"/>
              </w:rPr>
            </w:pPr>
          </w:p>
        </w:tc>
        <w:tc>
          <w:tcPr>
            <w:tcW w:w="2420" w:type="dxa"/>
            <w:vAlign w:val="bottom"/>
            <w:shd w:val="clear" w:color="auto" w:fill="FDFDFC"/>
          </w:tcPr>
          <w:p>
            <w:pPr>
              <w:ind w:left="60"/>
              <w:spacing w:after="0"/>
              <w:rPr>
                <w:sz w:val="20"/>
                <w:szCs w:val="20"/>
                <w:color w:val="auto"/>
              </w:rPr>
            </w:pPr>
            <w:r>
              <w:rPr>
                <w:rFonts w:ascii="Times New Roman" w:cs="Times New Roman" w:eastAsia="Times New Roman" w:hAnsi="Times New Roman"/>
                <w:sz w:val="15"/>
                <w:szCs w:val="15"/>
                <w:color w:val="231F20"/>
              </w:rPr>
              <w:t>12/2028)</w:t>
            </w:r>
          </w:p>
        </w:tc>
        <w:tc>
          <w:tcPr>
            <w:tcW w:w="820" w:type="dxa"/>
            <w:vAlign w:val="bottom"/>
            <w:shd w:val="clear" w:color="auto" w:fill="FDFDFC"/>
          </w:tcPr>
          <w:p>
            <w:pPr>
              <w:spacing w:after="0"/>
              <w:rPr>
                <w:sz w:val="16"/>
                <w:szCs w:val="16"/>
                <w:color w:val="auto"/>
              </w:rPr>
            </w:pPr>
          </w:p>
        </w:tc>
        <w:tc>
          <w:tcPr>
            <w:tcW w:w="20" w:type="dxa"/>
            <w:vAlign w:val="bottom"/>
          </w:tcPr>
          <w:p>
            <w:pPr>
              <w:spacing w:after="0"/>
              <w:rPr>
                <w:sz w:val="16"/>
                <w:szCs w:val="16"/>
                <w:color w:val="auto"/>
              </w:rPr>
            </w:pPr>
          </w:p>
        </w:tc>
        <w:tc>
          <w:tcPr>
            <w:tcW w:w="1060" w:type="dxa"/>
            <w:vAlign w:val="bottom"/>
            <w:shd w:val="clear" w:color="auto" w:fill="FDFDFC"/>
          </w:tcPr>
          <w:p>
            <w:pPr>
              <w:jc w:val="right"/>
              <w:ind w:right="124"/>
              <w:spacing w:after="0"/>
              <w:rPr>
                <w:sz w:val="20"/>
                <w:szCs w:val="20"/>
                <w:color w:val="auto"/>
              </w:rPr>
            </w:pPr>
            <w:r>
              <w:rPr>
                <w:rFonts w:ascii="Times New Roman" w:cs="Times New Roman" w:eastAsia="Times New Roman" w:hAnsi="Times New Roman"/>
                <w:sz w:val="15"/>
                <w:szCs w:val="15"/>
                <w:color w:val="231F20"/>
              </w:rPr>
              <w:t>8.00%</w:t>
            </w:r>
          </w:p>
        </w:tc>
        <w:tc>
          <w:tcPr>
            <w:tcW w:w="1020" w:type="dxa"/>
            <w:vAlign w:val="bottom"/>
            <w:shd w:val="clear" w:color="auto" w:fill="FDFDFC"/>
          </w:tcPr>
          <w:p>
            <w:pPr>
              <w:spacing w:after="0"/>
              <w:rPr>
                <w:sz w:val="16"/>
                <w:szCs w:val="16"/>
                <w:color w:val="auto"/>
              </w:rPr>
            </w:pPr>
          </w:p>
        </w:tc>
        <w:tc>
          <w:tcPr>
            <w:tcW w:w="1000" w:type="dxa"/>
            <w:vAlign w:val="bottom"/>
            <w:shd w:val="clear" w:color="auto" w:fill="FDFDFC"/>
          </w:tcPr>
          <w:p>
            <w:pPr>
              <w:spacing w:after="0"/>
              <w:rPr>
                <w:sz w:val="16"/>
                <w:szCs w:val="16"/>
                <w:color w:val="auto"/>
              </w:rPr>
            </w:pPr>
          </w:p>
        </w:tc>
        <w:tc>
          <w:tcPr>
            <w:tcW w:w="180" w:type="dxa"/>
            <w:vAlign w:val="bottom"/>
            <w:shd w:val="clear" w:color="auto" w:fill="FDFDFC"/>
          </w:tcPr>
          <w:p>
            <w:pPr>
              <w:spacing w:after="0"/>
              <w:rPr>
                <w:sz w:val="16"/>
                <w:szCs w:val="16"/>
                <w:color w:val="auto"/>
              </w:rPr>
            </w:pPr>
          </w:p>
        </w:tc>
        <w:tc>
          <w:tcPr>
            <w:tcW w:w="960" w:type="dxa"/>
            <w:vAlign w:val="bottom"/>
            <w:shd w:val="clear" w:color="auto" w:fill="FDFDFC"/>
          </w:tcPr>
          <w:p>
            <w:pPr>
              <w:spacing w:after="0"/>
              <w:rPr>
                <w:sz w:val="16"/>
                <w:szCs w:val="16"/>
                <w:color w:val="auto"/>
              </w:rPr>
            </w:pPr>
          </w:p>
        </w:tc>
        <w:tc>
          <w:tcPr>
            <w:tcW w:w="200" w:type="dxa"/>
            <w:vAlign w:val="bottom"/>
            <w:shd w:val="clear" w:color="auto" w:fill="FDFDFC"/>
          </w:tcPr>
          <w:p>
            <w:pPr>
              <w:spacing w:after="0"/>
              <w:rPr>
                <w:sz w:val="16"/>
                <w:szCs w:val="16"/>
                <w:color w:val="auto"/>
              </w:rPr>
            </w:pPr>
          </w:p>
        </w:tc>
        <w:tc>
          <w:tcPr>
            <w:tcW w:w="900" w:type="dxa"/>
            <w:vAlign w:val="bottom"/>
            <w:shd w:val="clear" w:color="auto" w:fill="FDFDFC"/>
          </w:tcPr>
          <w:p>
            <w:pPr>
              <w:spacing w:after="0"/>
              <w:rPr>
                <w:sz w:val="16"/>
                <w:szCs w:val="16"/>
                <w:color w:val="auto"/>
              </w:rPr>
            </w:pPr>
          </w:p>
        </w:tc>
        <w:tc>
          <w:tcPr>
            <w:tcW w:w="240" w:type="dxa"/>
            <w:vAlign w:val="bottom"/>
            <w:shd w:val="clear" w:color="auto" w:fill="FDFDFC"/>
          </w:tcPr>
          <w:p>
            <w:pPr>
              <w:spacing w:after="0"/>
              <w:rPr>
                <w:sz w:val="16"/>
                <w:szCs w:val="16"/>
                <w:color w:val="auto"/>
              </w:rPr>
            </w:pPr>
          </w:p>
        </w:tc>
        <w:tc>
          <w:tcPr>
            <w:tcW w:w="0" w:type="dxa"/>
            <w:vAlign w:val="bottom"/>
          </w:tcPr>
          <w:p>
            <w:pPr>
              <w:spacing w:after="0"/>
              <w:rPr>
                <w:sz w:val="1"/>
                <w:szCs w:val="1"/>
                <w:color w:val="auto"/>
              </w:rPr>
            </w:pPr>
          </w:p>
        </w:tc>
      </w:tr>
      <w:tr>
        <w:trPr>
          <w:trHeight w:val="158"/>
        </w:trPr>
        <w:tc>
          <w:tcPr>
            <w:tcW w:w="1460" w:type="dxa"/>
            <w:vAlign w:val="bottom"/>
            <w:shd w:val="clear" w:color="auto" w:fill="D0EBF2"/>
          </w:tcPr>
          <w:p>
            <w:pPr>
              <w:spacing w:after="0"/>
              <w:rPr>
                <w:sz w:val="13"/>
                <w:szCs w:val="13"/>
                <w:color w:val="auto"/>
              </w:rPr>
            </w:pPr>
          </w:p>
        </w:tc>
        <w:tc>
          <w:tcPr>
            <w:tcW w:w="2420" w:type="dxa"/>
            <w:vAlign w:val="bottom"/>
            <w:shd w:val="clear" w:color="auto" w:fill="D0EBF2"/>
          </w:tcPr>
          <w:p>
            <w:pPr>
              <w:ind w:left="60"/>
              <w:spacing w:after="0" w:line="159" w:lineRule="exact"/>
              <w:rPr>
                <w:sz w:val="20"/>
                <w:szCs w:val="20"/>
                <w:color w:val="auto"/>
              </w:rPr>
            </w:pPr>
            <w:r>
              <w:rPr>
                <w:rFonts w:ascii="Times New Roman" w:cs="Times New Roman" w:eastAsia="Times New Roman" w:hAnsi="Times New Roman"/>
                <w:sz w:val="15"/>
                <w:szCs w:val="15"/>
                <w:color w:val="231F20"/>
              </w:rPr>
              <w:t>First-lien revolving loan ($1,205 par,</w:t>
            </w:r>
          </w:p>
        </w:tc>
        <w:tc>
          <w:tcPr>
            <w:tcW w:w="820" w:type="dxa"/>
            <w:vAlign w:val="bottom"/>
            <w:shd w:val="clear" w:color="auto" w:fill="D0EBF2"/>
          </w:tcPr>
          <w:p>
            <w:pPr>
              <w:jc w:val="right"/>
              <w:spacing w:after="0" w:line="159" w:lineRule="exact"/>
              <w:rPr>
                <w:sz w:val="20"/>
                <w:szCs w:val="20"/>
                <w:color w:val="auto"/>
              </w:rPr>
            </w:pPr>
            <w:r>
              <w:rPr>
                <w:rFonts w:ascii="Times New Roman" w:cs="Times New Roman" w:eastAsia="Times New Roman" w:hAnsi="Times New Roman"/>
                <w:sz w:val="15"/>
                <w:szCs w:val="15"/>
                <w:color w:val="231F20"/>
              </w:rPr>
              <w:t>12/16/2022</w:t>
            </w:r>
          </w:p>
        </w:tc>
        <w:tc>
          <w:tcPr>
            <w:tcW w:w="20" w:type="dxa"/>
            <w:vAlign w:val="bottom"/>
          </w:tcPr>
          <w:p>
            <w:pPr>
              <w:spacing w:after="0"/>
              <w:rPr>
                <w:sz w:val="13"/>
                <w:szCs w:val="13"/>
                <w:color w:val="auto"/>
              </w:rPr>
            </w:pPr>
          </w:p>
        </w:tc>
        <w:tc>
          <w:tcPr>
            <w:tcW w:w="1060" w:type="dxa"/>
            <w:vAlign w:val="bottom"/>
            <w:shd w:val="clear" w:color="auto" w:fill="D0EBF2"/>
          </w:tcPr>
          <w:p>
            <w:pPr>
              <w:jc w:val="right"/>
              <w:ind w:right="124"/>
              <w:spacing w:after="0" w:line="159" w:lineRule="exact"/>
              <w:rPr>
                <w:sz w:val="20"/>
                <w:szCs w:val="20"/>
                <w:color w:val="auto"/>
              </w:rPr>
            </w:pPr>
            <w:r>
              <w:rPr>
                <w:rFonts w:ascii="Times New Roman" w:cs="Times New Roman" w:eastAsia="Times New Roman" w:hAnsi="Times New Roman"/>
                <w:sz w:val="15"/>
                <w:szCs w:val="15"/>
                <w:color w:val="231F20"/>
              </w:rPr>
              <w:t>SOFR +</w:t>
            </w:r>
          </w:p>
        </w:tc>
        <w:tc>
          <w:tcPr>
            <w:tcW w:w="1020" w:type="dxa"/>
            <w:vAlign w:val="bottom"/>
            <w:shd w:val="clear" w:color="auto" w:fill="D0EBF2"/>
          </w:tcPr>
          <w:p>
            <w:pPr>
              <w:jc w:val="right"/>
              <w:ind w:right="24"/>
              <w:spacing w:after="0" w:line="159" w:lineRule="exact"/>
              <w:rPr>
                <w:sz w:val="20"/>
                <w:szCs w:val="20"/>
                <w:color w:val="auto"/>
              </w:rPr>
            </w:pPr>
            <w:r>
              <w:rPr>
                <w:rFonts w:ascii="Times New Roman" w:cs="Times New Roman" w:eastAsia="Times New Roman" w:hAnsi="Times New Roman"/>
                <w:sz w:val="15"/>
                <w:szCs w:val="15"/>
                <w:color w:val="231F20"/>
              </w:rPr>
              <w:t>12.63%</w:t>
            </w:r>
          </w:p>
        </w:tc>
        <w:tc>
          <w:tcPr>
            <w:tcW w:w="1000" w:type="dxa"/>
            <w:vAlign w:val="bottom"/>
            <w:shd w:val="clear" w:color="auto" w:fill="D0EBF2"/>
          </w:tcPr>
          <w:p>
            <w:pPr>
              <w:jc w:val="right"/>
              <w:spacing w:after="0" w:line="159" w:lineRule="exact"/>
              <w:rPr>
                <w:sz w:val="20"/>
                <w:szCs w:val="20"/>
                <w:color w:val="auto"/>
              </w:rPr>
            </w:pPr>
            <w:r>
              <w:rPr>
                <w:rFonts w:ascii="Times New Roman" w:cs="Times New Roman" w:eastAsia="Times New Roman" w:hAnsi="Times New Roman"/>
                <w:sz w:val="15"/>
                <w:szCs w:val="15"/>
                <w:color w:val="231F20"/>
              </w:rPr>
              <w:t>1,085</w:t>
            </w:r>
          </w:p>
        </w:tc>
        <w:tc>
          <w:tcPr>
            <w:tcW w:w="1140" w:type="dxa"/>
            <w:vAlign w:val="bottom"/>
            <w:gridSpan w:val="2"/>
            <w:shd w:val="clear" w:color="auto" w:fill="D0EBF2"/>
          </w:tcPr>
          <w:p>
            <w:pPr>
              <w:jc w:val="right"/>
              <w:spacing w:after="0" w:line="159" w:lineRule="exact"/>
              <w:rPr>
                <w:sz w:val="20"/>
                <w:szCs w:val="20"/>
                <w:color w:val="auto"/>
              </w:rPr>
            </w:pPr>
            <w:r>
              <w:rPr>
                <w:rFonts w:ascii="Times New Roman" w:cs="Times New Roman" w:eastAsia="Times New Roman" w:hAnsi="Times New Roman"/>
                <w:sz w:val="15"/>
                <w:szCs w:val="15"/>
                <w:color w:val="231F20"/>
              </w:rPr>
              <w:t>1,217</w:t>
            </w:r>
          </w:p>
        </w:tc>
        <w:tc>
          <w:tcPr>
            <w:tcW w:w="1340" w:type="dxa"/>
            <w:vAlign w:val="bottom"/>
            <w:gridSpan w:val="3"/>
            <w:shd w:val="clear" w:color="auto" w:fill="D0EBF2"/>
          </w:tcPr>
          <w:p>
            <w:pPr>
              <w:jc w:val="right"/>
              <w:ind w:right="120"/>
              <w:spacing w:after="0" w:line="159" w:lineRule="exact"/>
              <w:rPr>
                <w:sz w:val="20"/>
                <w:szCs w:val="20"/>
                <w:color w:val="auto"/>
              </w:rPr>
            </w:pPr>
            <w:r>
              <w:rPr>
                <w:rFonts w:ascii="Times New Roman" w:cs="Times New Roman" w:eastAsia="Times New Roman" w:hAnsi="Times New Roman"/>
                <w:sz w:val="15"/>
                <w:szCs w:val="15"/>
                <w:color w:val="231F20"/>
              </w:rPr>
              <w:t>0.1%</w:t>
            </w:r>
          </w:p>
        </w:tc>
        <w:tc>
          <w:tcPr>
            <w:tcW w:w="0" w:type="dxa"/>
            <w:vAlign w:val="bottom"/>
          </w:tcPr>
          <w:p>
            <w:pPr>
              <w:spacing w:after="0"/>
              <w:rPr>
                <w:sz w:val="1"/>
                <w:szCs w:val="1"/>
                <w:color w:val="auto"/>
              </w:rPr>
            </w:pPr>
          </w:p>
        </w:tc>
      </w:tr>
      <w:tr>
        <w:trPr>
          <w:trHeight w:val="189"/>
        </w:trPr>
        <w:tc>
          <w:tcPr>
            <w:tcW w:w="1460" w:type="dxa"/>
            <w:vAlign w:val="bottom"/>
            <w:shd w:val="clear" w:color="auto" w:fill="D0EBF2"/>
          </w:tcPr>
          <w:p>
            <w:pPr>
              <w:spacing w:after="0"/>
              <w:rPr>
                <w:sz w:val="16"/>
                <w:szCs w:val="16"/>
                <w:color w:val="auto"/>
              </w:rPr>
            </w:pPr>
          </w:p>
        </w:tc>
        <w:tc>
          <w:tcPr>
            <w:tcW w:w="2420" w:type="dxa"/>
            <w:vAlign w:val="bottom"/>
            <w:shd w:val="clear" w:color="auto" w:fill="D0EBF2"/>
          </w:tcPr>
          <w:p>
            <w:pPr>
              <w:ind w:left="60"/>
              <w:spacing w:after="0"/>
              <w:rPr>
                <w:sz w:val="20"/>
                <w:szCs w:val="20"/>
                <w:color w:val="auto"/>
              </w:rPr>
            </w:pPr>
            <w:r>
              <w:rPr>
                <w:rFonts w:ascii="Times New Roman" w:cs="Times New Roman" w:eastAsia="Times New Roman" w:hAnsi="Times New Roman"/>
                <w:sz w:val="15"/>
                <w:szCs w:val="15"/>
                <w:color w:val="231F20"/>
              </w:rPr>
              <w:t>due 12/2028)</w:t>
            </w:r>
          </w:p>
        </w:tc>
        <w:tc>
          <w:tcPr>
            <w:tcW w:w="820" w:type="dxa"/>
            <w:vAlign w:val="bottom"/>
            <w:shd w:val="clear" w:color="auto" w:fill="D0EBF2"/>
          </w:tcPr>
          <w:p>
            <w:pPr>
              <w:spacing w:after="0"/>
              <w:rPr>
                <w:sz w:val="16"/>
                <w:szCs w:val="16"/>
                <w:color w:val="auto"/>
              </w:rPr>
            </w:pPr>
          </w:p>
        </w:tc>
        <w:tc>
          <w:tcPr>
            <w:tcW w:w="20" w:type="dxa"/>
            <w:vAlign w:val="bottom"/>
          </w:tcPr>
          <w:p>
            <w:pPr>
              <w:spacing w:after="0"/>
              <w:rPr>
                <w:sz w:val="16"/>
                <w:szCs w:val="16"/>
                <w:color w:val="auto"/>
              </w:rPr>
            </w:pPr>
          </w:p>
        </w:tc>
        <w:tc>
          <w:tcPr>
            <w:tcW w:w="1060" w:type="dxa"/>
            <w:vAlign w:val="bottom"/>
            <w:shd w:val="clear" w:color="auto" w:fill="D0EBF2"/>
          </w:tcPr>
          <w:p>
            <w:pPr>
              <w:jc w:val="right"/>
              <w:ind w:right="124"/>
              <w:spacing w:after="0"/>
              <w:rPr>
                <w:sz w:val="20"/>
                <w:szCs w:val="20"/>
                <w:color w:val="auto"/>
              </w:rPr>
            </w:pPr>
            <w:r>
              <w:rPr>
                <w:rFonts w:ascii="Times New Roman" w:cs="Times New Roman" w:eastAsia="Times New Roman" w:hAnsi="Times New Roman"/>
                <w:sz w:val="15"/>
                <w:szCs w:val="15"/>
                <w:color w:val="231F20"/>
              </w:rPr>
              <w:t>7.25%</w:t>
            </w:r>
          </w:p>
        </w:tc>
        <w:tc>
          <w:tcPr>
            <w:tcW w:w="1020" w:type="dxa"/>
            <w:vAlign w:val="bottom"/>
            <w:shd w:val="clear" w:color="auto" w:fill="D0EBF2"/>
          </w:tcPr>
          <w:p>
            <w:pPr>
              <w:spacing w:after="0"/>
              <w:rPr>
                <w:sz w:val="16"/>
                <w:szCs w:val="16"/>
                <w:color w:val="auto"/>
              </w:rPr>
            </w:pPr>
          </w:p>
        </w:tc>
        <w:tc>
          <w:tcPr>
            <w:tcW w:w="1000" w:type="dxa"/>
            <w:vAlign w:val="bottom"/>
            <w:shd w:val="clear" w:color="auto" w:fill="D0EBF2"/>
          </w:tcPr>
          <w:p>
            <w:pPr>
              <w:spacing w:after="0"/>
              <w:rPr>
                <w:sz w:val="16"/>
                <w:szCs w:val="16"/>
                <w:color w:val="auto"/>
              </w:rPr>
            </w:pPr>
          </w:p>
        </w:tc>
        <w:tc>
          <w:tcPr>
            <w:tcW w:w="180" w:type="dxa"/>
            <w:vAlign w:val="bottom"/>
            <w:shd w:val="clear" w:color="auto" w:fill="D0EBF2"/>
          </w:tcPr>
          <w:p>
            <w:pPr>
              <w:spacing w:after="0"/>
              <w:rPr>
                <w:sz w:val="16"/>
                <w:szCs w:val="16"/>
                <w:color w:val="auto"/>
              </w:rPr>
            </w:pPr>
          </w:p>
        </w:tc>
        <w:tc>
          <w:tcPr>
            <w:tcW w:w="960" w:type="dxa"/>
            <w:vAlign w:val="bottom"/>
            <w:shd w:val="clear" w:color="auto" w:fill="D0EBF2"/>
          </w:tcPr>
          <w:p>
            <w:pPr>
              <w:spacing w:after="0"/>
              <w:rPr>
                <w:sz w:val="16"/>
                <w:szCs w:val="16"/>
                <w:color w:val="auto"/>
              </w:rPr>
            </w:pPr>
          </w:p>
        </w:tc>
        <w:tc>
          <w:tcPr>
            <w:tcW w:w="200" w:type="dxa"/>
            <w:vAlign w:val="bottom"/>
            <w:shd w:val="clear" w:color="auto" w:fill="D0EBF2"/>
          </w:tcPr>
          <w:p>
            <w:pPr>
              <w:spacing w:after="0"/>
              <w:rPr>
                <w:sz w:val="16"/>
                <w:szCs w:val="16"/>
                <w:color w:val="auto"/>
              </w:rPr>
            </w:pPr>
          </w:p>
        </w:tc>
        <w:tc>
          <w:tcPr>
            <w:tcW w:w="900" w:type="dxa"/>
            <w:vAlign w:val="bottom"/>
            <w:shd w:val="clear" w:color="auto" w:fill="D0EBF2"/>
          </w:tcPr>
          <w:p>
            <w:pPr>
              <w:spacing w:after="0"/>
              <w:rPr>
                <w:sz w:val="16"/>
                <w:szCs w:val="16"/>
                <w:color w:val="auto"/>
              </w:rPr>
            </w:pPr>
          </w:p>
        </w:tc>
        <w:tc>
          <w:tcPr>
            <w:tcW w:w="240" w:type="dxa"/>
            <w:vAlign w:val="bottom"/>
            <w:shd w:val="clear" w:color="auto" w:fill="D0EBF2"/>
          </w:tcPr>
          <w:p>
            <w:pPr>
              <w:spacing w:after="0"/>
              <w:rPr>
                <w:sz w:val="16"/>
                <w:szCs w:val="16"/>
                <w:color w:val="auto"/>
              </w:rPr>
            </w:pPr>
          </w:p>
        </w:tc>
        <w:tc>
          <w:tcPr>
            <w:tcW w:w="0" w:type="dxa"/>
            <w:vAlign w:val="bottom"/>
          </w:tcPr>
          <w:p>
            <w:pPr>
              <w:spacing w:after="0"/>
              <w:rPr>
                <w:sz w:val="1"/>
                <w:szCs w:val="1"/>
                <w:color w:val="auto"/>
              </w:rPr>
            </w:pPr>
          </w:p>
        </w:tc>
      </w:tr>
      <w:tr>
        <w:trPr>
          <w:trHeight w:val="158"/>
        </w:trPr>
        <w:tc>
          <w:tcPr>
            <w:tcW w:w="1460" w:type="dxa"/>
            <w:vAlign w:val="bottom"/>
            <w:shd w:val="clear" w:color="auto" w:fill="FDFDFC"/>
          </w:tcPr>
          <w:p>
            <w:pPr>
              <w:spacing w:after="0" w:line="159" w:lineRule="exact"/>
              <w:rPr>
                <w:sz w:val="20"/>
                <w:szCs w:val="20"/>
                <w:color w:val="auto"/>
              </w:rPr>
            </w:pPr>
            <w:r>
              <w:rPr>
                <w:rFonts w:ascii="Times New Roman" w:cs="Times New Roman" w:eastAsia="Times New Roman" w:hAnsi="Times New Roman"/>
                <w:sz w:val="15"/>
                <w:szCs w:val="15"/>
                <w:color w:val="231F20"/>
              </w:rPr>
              <w:t xml:space="preserve">Bear OpCo, LLC </w:t>
            </w:r>
            <w:r>
              <w:rPr>
                <w:rFonts w:ascii="Times New Roman" w:cs="Times New Roman" w:eastAsia="Times New Roman" w:hAnsi="Times New Roman"/>
                <w:sz w:val="9"/>
                <w:szCs w:val="9"/>
                <w:color w:val="231F20"/>
              </w:rPr>
              <w:t>(3)(5)</w:t>
            </w:r>
          </w:p>
        </w:tc>
        <w:tc>
          <w:tcPr>
            <w:tcW w:w="2420" w:type="dxa"/>
            <w:vAlign w:val="bottom"/>
            <w:shd w:val="clear" w:color="auto" w:fill="FDFDFC"/>
          </w:tcPr>
          <w:p>
            <w:pPr>
              <w:ind w:left="60"/>
              <w:spacing w:after="0" w:line="159" w:lineRule="exact"/>
              <w:rPr>
                <w:sz w:val="20"/>
                <w:szCs w:val="20"/>
                <w:color w:val="auto"/>
              </w:rPr>
            </w:pPr>
            <w:r>
              <w:rPr>
                <w:rFonts w:ascii="Times New Roman" w:cs="Times New Roman" w:eastAsia="Times New Roman" w:hAnsi="Times New Roman"/>
                <w:sz w:val="15"/>
                <w:szCs w:val="15"/>
                <w:color w:val="231F20"/>
              </w:rPr>
              <w:t>First-lien loan ($21,392 par, due</w:t>
            </w:r>
          </w:p>
        </w:tc>
        <w:tc>
          <w:tcPr>
            <w:tcW w:w="820" w:type="dxa"/>
            <w:vAlign w:val="bottom"/>
            <w:shd w:val="clear" w:color="auto" w:fill="FDFDFC"/>
          </w:tcPr>
          <w:p>
            <w:pPr>
              <w:jc w:val="right"/>
              <w:spacing w:after="0" w:line="159" w:lineRule="exact"/>
              <w:rPr>
                <w:sz w:val="20"/>
                <w:szCs w:val="20"/>
                <w:color w:val="auto"/>
              </w:rPr>
            </w:pPr>
            <w:r>
              <w:rPr>
                <w:rFonts w:ascii="Times New Roman" w:cs="Times New Roman" w:eastAsia="Times New Roman" w:hAnsi="Times New Roman"/>
                <w:sz w:val="15"/>
                <w:szCs w:val="15"/>
                <w:color w:val="231F20"/>
              </w:rPr>
              <w:t>10/10/2019</w:t>
            </w:r>
          </w:p>
        </w:tc>
        <w:tc>
          <w:tcPr>
            <w:tcW w:w="20" w:type="dxa"/>
            <w:vAlign w:val="bottom"/>
          </w:tcPr>
          <w:p>
            <w:pPr>
              <w:spacing w:after="0"/>
              <w:rPr>
                <w:sz w:val="13"/>
                <w:szCs w:val="13"/>
                <w:color w:val="auto"/>
              </w:rPr>
            </w:pPr>
          </w:p>
        </w:tc>
        <w:tc>
          <w:tcPr>
            <w:tcW w:w="1060" w:type="dxa"/>
            <w:vAlign w:val="bottom"/>
            <w:shd w:val="clear" w:color="auto" w:fill="FDFDFC"/>
          </w:tcPr>
          <w:p>
            <w:pPr>
              <w:jc w:val="right"/>
              <w:ind w:right="124"/>
              <w:spacing w:after="0" w:line="159" w:lineRule="exact"/>
              <w:rPr>
                <w:sz w:val="20"/>
                <w:szCs w:val="20"/>
                <w:color w:val="auto"/>
              </w:rPr>
            </w:pPr>
            <w:r>
              <w:rPr>
                <w:rFonts w:ascii="Times New Roman" w:cs="Times New Roman" w:eastAsia="Times New Roman" w:hAnsi="Times New Roman"/>
                <w:sz w:val="15"/>
                <w:szCs w:val="15"/>
                <w:color w:val="231F20"/>
              </w:rPr>
              <w:t>SOFR +</w:t>
            </w:r>
          </w:p>
        </w:tc>
        <w:tc>
          <w:tcPr>
            <w:tcW w:w="1020" w:type="dxa"/>
            <w:vAlign w:val="bottom"/>
            <w:shd w:val="clear" w:color="auto" w:fill="FDFDFC"/>
          </w:tcPr>
          <w:p>
            <w:pPr>
              <w:jc w:val="right"/>
              <w:ind w:right="24"/>
              <w:spacing w:after="0" w:line="159" w:lineRule="exact"/>
              <w:rPr>
                <w:sz w:val="20"/>
                <w:szCs w:val="20"/>
                <w:color w:val="auto"/>
              </w:rPr>
            </w:pPr>
            <w:r>
              <w:rPr>
                <w:rFonts w:ascii="Times New Roman" w:cs="Times New Roman" w:eastAsia="Times New Roman" w:hAnsi="Times New Roman"/>
                <w:sz w:val="15"/>
                <w:szCs w:val="15"/>
                <w:color w:val="231F20"/>
              </w:rPr>
              <w:t>13.01%</w:t>
            </w:r>
          </w:p>
        </w:tc>
        <w:tc>
          <w:tcPr>
            <w:tcW w:w="1000" w:type="dxa"/>
            <w:vAlign w:val="bottom"/>
            <w:shd w:val="clear" w:color="auto" w:fill="FDFDFC"/>
          </w:tcPr>
          <w:p>
            <w:pPr>
              <w:jc w:val="right"/>
              <w:spacing w:after="0" w:line="159" w:lineRule="exact"/>
              <w:rPr>
                <w:sz w:val="20"/>
                <w:szCs w:val="20"/>
                <w:color w:val="auto"/>
              </w:rPr>
            </w:pPr>
            <w:r>
              <w:rPr>
                <w:rFonts w:ascii="Times New Roman" w:cs="Times New Roman" w:eastAsia="Times New Roman" w:hAnsi="Times New Roman"/>
                <w:sz w:val="15"/>
                <w:szCs w:val="15"/>
                <w:color w:val="231F20"/>
              </w:rPr>
              <w:t>21,294</w:t>
            </w:r>
          </w:p>
        </w:tc>
        <w:tc>
          <w:tcPr>
            <w:tcW w:w="1140" w:type="dxa"/>
            <w:vAlign w:val="bottom"/>
            <w:gridSpan w:val="2"/>
            <w:shd w:val="clear" w:color="auto" w:fill="FDFDFC"/>
          </w:tcPr>
          <w:p>
            <w:pPr>
              <w:jc w:val="right"/>
              <w:spacing w:after="0" w:line="159" w:lineRule="exact"/>
              <w:rPr>
                <w:sz w:val="20"/>
                <w:szCs w:val="20"/>
                <w:color w:val="auto"/>
              </w:rPr>
            </w:pPr>
            <w:r>
              <w:rPr>
                <w:rFonts w:ascii="Times New Roman" w:cs="Times New Roman" w:eastAsia="Times New Roman" w:hAnsi="Times New Roman"/>
                <w:sz w:val="15"/>
                <w:szCs w:val="15"/>
                <w:color w:val="231F20"/>
              </w:rPr>
              <w:t>21,713</w:t>
            </w:r>
          </w:p>
        </w:tc>
        <w:tc>
          <w:tcPr>
            <w:tcW w:w="1340" w:type="dxa"/>
            <w:vAlign w:val="bottom"/>
            <w:gridSpan w:val="3"/>
            <w:shd w:val="clear" w:color="auto" w:fill="FDFDFC"/>
          </w:tcPr>
          <w:p>
            <w:pPr>
              <w:jc w:val="right"/>
              <w:ind w:right="120"/>
              <w:spacing w:after="0" w:line="159" w:lineRule="exact"/>
              <w:rPr>
                <w:sz w:val="20"/>
                <w:szCs w:val="20"/>
                <w:color w:val="auto"/>
              </w:rPr>
            </w:pPr>
            <w:r>
              <w:rPr>
                <w:rFonts w:ascii="Times New Roman" w:cs="Times New Roman" w:eastAsia="Times New Roman" w:hAnsi="Times New Roman"/>
                <w:sz w:val="15"/>
                <w:szCs w:val="15"/>
                <w:color w:val="231F20"/>
              </w:rPr>
              <w:t>1.5%</w:t>
            </w:r>
          </w:p>
        </w:tc>
        <w:tc>
          <w:tcPr>
            <w:tcW w:w="0" w:type="dxa"/>
            <w:vAlign w:val="bottom"/>
          </w:tcPr>
          <w:p>
            <w:pPr>
              <w:spacing w:after="0"/>
              <w:rPr>
                <w:sz w:val="1"/>
                <w:szCs w:val="1"/>
                <w:color w:val="auto"/>
              </w:rPr>
            </w:pPr>
          </w:p>
        </w:tc>
      </w:tr>
      <w:tr>
        <w:trPr>
          <w:trHeight w:val="189"/>
        </w:trPr>
        <w:tc>
          <w:tcPr>
            <w:tcW w:w="1460" w:type="dxa"/>
            <w:vAlign w:val="bottom"/>
            <w:shd w:val="clear" w:color="auto" w:fill="FDFDFC"/>
          </w:tcPr>
          <w:p>
            <w:pPr>
              <w:spacing w:after="0"/>
              <w:rPr>
                <w:sz w:val="16"/>
                <w:szCs w:val="16"/>
                <w:color w:val="auto"/>
              </w:rPr>
            </w:pPr>
          </w:p>
        </w:tc>
        <w:tc>
          <w:tcPr>
            <w:tcW w:w="2420" w:type="dxa"/>
            <w:vAlign w:val="bottom"/>
            <w:shd w:val="clear" w:color="auto" w:fill="FDFDFC"/>
          </w:tcPr>
          <w:p>
            <w:pPr>
              <w:ind w:left="60"/>
              <w:spacing w:after="0"/>
              <w:rPr>
                <w:sz w:val="20"/>
                <w:szCs w:val="20"/>
                <w:color w:val="auto"/>
              </w:rPr>
            </w:pPr>
            <w:r>
              <w:rPr>
                <w:rFonts w:ascii="Times New Roman" w:cs="Times New Roman" w:eastAsia="Times New Roman" w:hAnsi="Times New Roman"/>
                <w:sz w:val="15"/>
                <w:szCs w:val="15"/>
                <w:color w:val="231F20"/>
              </w:rPr>
              <w:t>10/2024)</w:t>
            </w:r>
          </w:p>
        </w:tc>
        <w:tc>
          <w:tcPr>
            <w:tcW w:w="820" w:type="dxa"/>
            <w:vAlign w:val="bottom"/>
            <w:shd w:val="clear" w:color="auto" w:fill="FDFDFC"/>
          </w:tcPr>
          <w:p>
            <w:pPr>
              <w:spacing w:after="0"/>
              <w:rPr>
                <w:sz w:val="16"/>
                <w:szCs w:val="16"/>
                <w:color w:val="auto"/>
              </w:rPr>
            </w:pPr>
          </w:p>
        </w:tc>
        <w:tc>
          <w:tcPr>
            <w:tcW w:w="20" w:type="dxa"/>
            <w:vAlign w:val="bottom"/>
          </w:tcPr>
          <w:p>
            <w:pPr>
              <w:spacing w:after="0"/>
              <w:rPr>
                <w:sz w:val="16"/>
                <w:szCs w:val="16"/>
                <w:color w:val="auto"/>
              </w:rPr>
            </w:pPr>
          </w:p>
        </w:tc>
        <w:tc>
          <w:tcPr>
            <w:tcW w:w="1060" w:type="dxa"/>
            <w:vAlign w:val="bottom"/>
            <w:shd w:val="clear" w:color="auto" w:fill="FDFDFC"/>
          </w:tcPr>
          <w:p>
            <w:pPr>
              <w:jc w:val="right"/>
              <w:ind w:right="124"/>
              <w:spacing w:after="0"/>
              <w:rPr>
                <w:sz w:val="20"/>
                <w:szCs w:val="20"/>
                <w:color w:val="auto"/>
              </w:rPr>
            </w:pPr>
            <w:r>
              <w:rPr>
                <w:rFonts w:ascii="Times New Roman" w:cs="Times New Roman" w:eastAsia="Times New Roman" w:hAnsi="Times New Roman"/>
                <w:sz w:val="15"/>
                <w:szCs w:val="15"/>
                <w:color w:val="231F20"/>
              </w:rPr>
              <w:t>7.65%</w:t>
            </w:r>
          </w:p>
        </w:tc>
        <w:tc>
          <w:tcPr>
            <w:tcW w:w="1020" w:type="dxa"/>
            <w:vAlign w:val="bottom"/>
            <w:shd w:val="clear" w:color="auto" w:fill="FDFDFC"/>
          </w:tcPr>
          <w:p>
            <w:pPr>
              <w:spacing w:after="0"/>
              <w:rPr>
                <w:sz w:val="16"/>
                <w:szCs w:val="16"/>
                <w:color w:val="auto"/>
              </w:rPr>
            </w:pPr>
          </w:p>
        </w:tc>
        <w:tc>
          <w:tcPr>
            <w:tcW w:w="1000" w:type="dxa"/>
            <w:vAlign w:val="bottom"/>
            <w:shd w:val="clear" w:color="auto" w:fill="FDFDFC"/>
          </w:tcPr>
          <w:p>
            <w:pPr>
              <w:spacing w:after="0"/>
              <w:rPr>
                <w:sz w:val="16"/>
                <w:szCs w:val="16"/>
                <w:color w:val="auto"/>
              </w:rPr>
            </w:pPr>
          </w:p>
        </w:tc>
        <w:tc>
          <w:tcPr>
            <w:tcW w:w="180" w:type="dxa"/>
            <w:vAlign w:val="bottom"/>
            <w:shd w:val="clear" w:color="auto" w:fill="FDFDFC"/>
          </w:tcPr>
          <w:p>
            <w:pPr>
              <w:spacing w:after="0"/>
              <w:rPr>
                <w:sz w:val="16"/>
                <w:szCs w:val="16"/>
                <w:color w:val="auto"/>
              </w:rPr>
            </w:pPr>
          </w:p>
        </w:tc>
        <w:tc>
          <w:tcPr>
            <w:tcW w:w="960" w:type="dxa"/>
            <w:vAlign w:val="bottom"/>
            <w:shd w:val="clear" w:color="auto" w:fill="FDFDFC"/>
          </w:tcPr>
          <w:p>
            <w:pPr>
              <w:spacing w:after="0"/>
              <w:rPr>
                <w:sz w:val="16"/>
                <w:szCs w:val="16"/>
                <w:color w:val="auto"/>
              </w:rPr>
            </w:pPr>
          </w:p>
        </w:tc>
        <w:tc>
          <w:tcPr>
            <w:tcW w:w="200" w:type="dxa"/>
            <w:vAlign w:val="bottom"/>
            <w:shd w:val="clear" w:color="auto" w:fill="FDFDFC"/>
          </w:tcPr>
          <w:p>
            <w:pPr>
              <w:spacing w:after="0"/>
              <w:rPr>
                <w:sz w:val="16"/>
                <w:szCs w:val="16"/>
                <w:color w:val="auto"/>
              </w:rPr>
            </w:pPr>
          </w:p>
        </w:tc>
        <w:tc>
          <w:tcPr>
            <w:tcW w:w="900" w:type="dxa"/>
            <w:vAlign w:val="bottom"/>
            <w:shd w:val="clear" w:color="auto" w:fill="FDFDFC"/>
          </w:tcPr>
          <w:p>
            <w:pPr>
              <w:spacing w:after="0"/>
              <w:rPr>
                <w:sz w:val="16"/>
                <w:szCs w:val="16"/>
                <w:color w:val="auto"/>
              </w:rPr>
            </w:pPr>
          </w:p>
        </w:tc>
        <w:tc>
          <w:tcPr>
            <w:tcW w:w="240" w:type="dxa"/>
            <w:vAlign w:val="bottom"/>
            <w:shd w:val="clear" w:color="auto" w:fill="FDFDFC"/>
          </w:tcPr>
          <w:p>
            <w:pPr>
              <w:spacing w:after="0"/>
              <w:rPr>
                <w:sz w:val="16"/>
                <w:szCs w:val="16"/>
                <w:color w:val="auto"/>
              </w:rPr>
            </w:pPr>
          </w:p>
        </w:tc>
        <w:tc>
          <w:tcPr>
            <w:tcW w:w="0" w:type="dxa"/>
            <w:vAlign w:val="bottom"/>
          </w:tcPr>
          <w:p>
            <w:pPr>
              <w:spacing w:after="0"/>
              <w:rPr>
                <w:sz w:val="1"/>
                <w:szCs w:val="1"/>
                <w:color w:val="auto"/>
              </w:rPr>
            </w:pPr>
          </w:p>
        </w:tc>
      </w:tr>
      <w:tr>
        <w:trPr>
          <w:trHeight w:val="158"/>
        </w:trPr>
        <w:tc>
          <w:tcPr>
            <w:tcW w:w="1460" w:type="dxa"/>
            <w:vAlign w:val="bottom"/>
            <w:shd w:val="clear" w:color="auto" w:fill="D0EBF2"/>
          </w:tcPr>
          <w:p>
            <w:pPr>
              <w:spacing w:after="0" w:line="159" w:lineRule="exact"/>
              <w:rPr>
                <w:sz w:val="20"/>
                <w:szCs w:val="20"/>
                <w:color w:val="auto"/>
              </w:rPr>
            </w:pPr>
            <w:r>
              <w:rPr>
                <w:rFonts w:ascii="Times New Roman" w:cs="Times New Roman" w:eastAsia="Times New Roman" w:hAnsi="Times New Roman"/>
                <w:sz w:val="15"/>
                <w:szCs w:val="15"/>
                <w:color w:val="231F20"/>
              </w:rPr>
              <w:t xml:space="preserve">BlueSnap, Inc. </w:t>
            </w:r>
            <w:r>
              <w:rPr>
                <w:rFonts w:ascii="Times New Roman" w:cs="Times New Roman" w:eastAsia="Times New Roman" w:hAnsi="Times New Roman"/>
                <w:sz w:val="9"/>
                <w:szCs w:val="9"/>
                <w:color w:val="231F20"/>
              </w:rPr>
              <w:t>(3)(5)</w:t>
            </w:r>
          </w:p>
        </w:tc>
        <w:tc>
          <w:tcPr>
            <w:tcW w:w="2420" w:type="dxa"/>
            <w:vAlign w:val="bottom"/>
            <w:shd w:val="clear" w:color="auto" w:fill="D0EBF2"/>
          </w:tcPr>
          <w:p>
            <w:pPr>
              <w:ind w:left="60"/>
              <w:spacing w:after="0" w:line="159" w:lineRule="exact"/>
              <w:rPr>
                <w:sz w:val="20"/>
                <w:szCs w:val="20"/>
                <w:color w:val="auto"/>
              </w:rPr>
            </w:pPr>
            <w:r>
              <w:rPr>
                <w:rFonts w:ascii="Times New Roman" w:cs="Times New Roman" w:eastAsia="Times New Roman" w:hAnsi="Times New Roman"/>
                <w:sz w:val="15"/>
                <w:szCs w:val="15"/>
                <w:color w:val="231F20"/>
              </w:rPr>
              <w:t>First-lien loan ($41,895 par, due</w:t>
            </w:r>
          </w:p>
        </w:tc>
        <w:tc>
          <w:tcPr>
            <w:tcW w:w="820" w:type="dxa"/>
            <w:vAlign w:val="bottom"/>
            <w:shd w:val="clear" w:color="auto" w:fill="D0EBF2"/>
          </w:tcPr>
          <w:p>
            <w:pPr>
              <w:jc w:val="right"/>
              <w:spacing w:after="0" w:line="159" w:lineRule="exact"/>
              <w:rPr>
                <w:sz w:val="20"/>
                <w:szCs w:val="20"/>
                <w:color w:val="auto"/>
              </w:rPr>
            </w:pPr>
            <w:r>
              <w:rPr>
                <w:rFonts w:ascii="Times New Roman" w:cs="Times New Roman" w:eastAsia="Times New Roman" w:hAnsi="Times New Roman"/>
                <w:sz w:val="15"/>
                <w:szCs w:val="15"/>
                <w:color w:val="231F20"/>
              </w:rPr>
              <w:t>10/25/2019</w:t>
            </w:r>
          </w:p>
        </w:tc>
        <w:tc>
          <w:tcPr>
            <w:tcW w:w="20" w:type="dxa"/>
            <w:vAlign w:val="bottom"/>
          </w:tcPr>
          <w:p>
            <w:pPr>
              <w:spacing w:after="0"/>
              <w:rPr>
                <w:sz w:val="13"/>
                <w:szCs w:val="13"/>
                <w:color w:val="auto"/>
              </w:rPr>
            </w:pPr>
          </w:p>
        </w:tc>
        <w:tc>
          <w:tcPr>
            <w:tcW w:w="1060" w:type="dxa"/>
            <w:vAlign w:val="bottom"/>
            <w:shd w:val="clear" w:color="auto" w:fill="D0EBF2"/>
          </w:tcPr>
          <w:p>
            <w:pPr>
              <w:jc w:val="right"/>
              <w:ind w:right="124"/>
              <w:spacing w:after="0" w:line="159" w:lineRule="exact"/>
              <w:rPr>
                <w:sz w:val="20"/>
                <w:szCs w:val="20"/>
                <w:color w:val="auto"/>
              </w:rPr>
            </w:pPr>
            <w:r>
              <w:rPr>
                <w:rFonts w:ascii="Times New Roman" w:cs="Times New Roman" w:eastAsia="Times New Roman" w:hAnsi="Times New Roman"/>
                <w:sz w:val="15"/>
                <w:szCs w:val="15"/>
                <w:color w:val="231F20"/>
              </w:rPr>
              <w:t>SOFR +</w:t>
            </w:r>
          </w:p>
        </w:tc>
        <w:tc>
          <w:tcPr>
            <w:tcW w:w="1020" w:type="dxa"/>
            <w:vAlign w:val="bottom"/>
            <w:shd w:val="clear" w:color="auto" w:fill="D0EBF2"/>
          </w:tcPr>
          <w:p>
            <w:pPr>
              <w:jc w:val="right"/>
              <w:ind w:right="24"/>
              <w:spacing w:after="0" w:line="159" w:lineRule="exact"/>
              <w:rPr>
                <w:sz w:val="20"/>
                <w:szCs w:val="20"/>
                <w:color w:val="auto"/>
              </w:rPr>
            </w:pPr>
            <w:r>
              <w:rPr>
                <w:rFonts w:ascii="Times New Roman" w:cs="Times New Roman" w:eastAsia="Times New Roman" w:hAnsi="Times New Roman"/>
                <w:sz w:val="15"/>
                <w:szCs w:val="15"/>
                <w:color w:val="231F20"/>
              </w:rPr>
              <w:t>12.50%</w:t>
            </w:r>
          </w:p>
        </w:tc>
        <w:tc>
          <w:tcPr>
            <w:tcW w:w="1000" w:type="dxa"/>
            <w:vAlign w:val="bottom"/>
            <w:shd w:val="clear" w:color="auto" w:fill="D0EBF2"/>
          </w:tcPr>
          <w:p>
            <w:pPr>
              <w:jc w:val="right"/>
              <w:spacing w:after="0" w:line="159" w:lineRule="exact"/>
              <w:rPr>
                <w:sz w:val="20"/>
                <w:szCs w:val="20"/>
                <w:color w:val="auto"/>
              </w:rPr>
            </w:pPr>
            <w:r>
              <w:rPr>
                <w:rFonts w:ascii="Times New Roman" w:cs="Times New Roman" w:eastAsia="Times New Roman" w:hAnsi="Times New Roman"/>
                <w:sz w:val="15"/>
                <w:szCs w:val="15"/>
                <w:color w:val="231F20"/>
              </w:rPr>
              <w:t>41,516</w:t>
            </w:r>
          </w:p>
        </w:tc>
        <w:tc>
          <w:tcPr>
            <w:tcW w:w="1140" w:type="dxa"/>
            <w:vAlign w:val="bottom"/>
            <w:gridSpan w:val="2"/>
            <w:shd w:val="clear" w:color="auto" w:fill="D0EBF2"/>
          </w:tcPr>
          <w:p>
            <w:pPr>
              <w:jc w:val="right"/>
              <w:spacing w:after="0" w:line="159" w:lineRule="exact"/>
              <w:rPr>
                <w:sz w:val="20"/>
                <w:szCs w:val="20"/>
                <w:color w:val="auto"/>
              </w:rPr>
            </w:pPr>
            <w:r>
              <w:rPr>
                <w:rFonts w:ascii="Times New Roman" w:cs="Times New Roman" w:eastAsia="Times New Roman" w:hAnsi="Times New Roman"/>
                <w:sz w:val="15"/>
                <w:szCs w:val="15"/>
                <w:color w:val="231F20"/>
              </w:rPr>
              <w:t>42,117</w:t>
            </w:r>
          </w:p>
        </w:tc>
        <w:tc>
          <w:tcPr>
            <w:tcW w:w="1340" w:type="dxa"/>
            <w:vAlign w:val="bottom"/>
            <w:gridSpan w:val="3"/>
            <w:shd w:val="clear" w:color="auto" w:fill="D0EBF2"/>
          </w:tcPr>
          <w:p>
            <w:pPr>
              <w:jc w:val="right"/>
              <w:ind w:right="120"/>
              <w:spacing w:after="0" w:line="159" w:lineRule="exact"/>
              <w:rPr>
                <w:sz w:val="20"/>
                <w:szCs w:val="20"/>
                <w:color w:val="auto"/>
              </w:rPr>
            </w:pPr>
            <w:r>
              <w:rPr>
                <w:rFonts w:ascii="Times New Roman" w:cs="Times New Roman" w:eastAsia="Times New Roman" w:hAnsi="Times New Roman"/>
                <w:sz w:val="15"/>
                <w:szCs w:val="15"/>
                <w:color w:val="231F20"/>
              </w:rPr>
              <w:t>2.8%</w:t>
            </w:r>
          </w:p>
        </w:tc>
        <w:tc>
          <w:tcPr>
            <w:tcW w:w="0" w:type="dxa"/>
            <w:vAlign w:val="bottom"/>
          </w:tcPr>
          <w:p>
            <w:pPr>
              <w:spacing w:after="0"/>
              <w:rPr>
                <w:sz w:val="1"/>
                <w:szCs w:val="1"/>
                <w:color w:val="auto"/>
              </w:rPr>
            </w:pPr>
          </w:p>
        </w:tc>
      </w:tr>
      <w:tr>
        <w:trPr>
          <w:trHeight w:val="189"/>
        </w:trPr>
        <w:tc>
          <w:tcPr>
            <w:tcW w:w="1460" w:type="dxa"/>
            <w:vAlign w:val="bottom"/>
            <w:shd w:val="clear" w:color="auto" w:fill="D0EBF2"/>
          </w:tcPr>
          <w:p>
            <w:pPr>
              <w:spacing w:after="0"/>
              <w:rPr>
                <w:sz w:val="16"/>
                <w:szCs w:val="16"/>
                <w:color w:val="auto"/>
              </w:rPr>
            </w:pPr>
          </w:p>
        </w:tc>
        <w:tc>
          <w:tcPr>
            <w:tcW w:w="2420" w:type="dxa"/>
            <w:vAlign w:val="bottom"/>
            <w:shd w:val="clear" w:color="auto" w:fill="D0EBF2"/>
          </w:tcPr>
          <w:p>
            <w:pPr>
              <w:ind w:left="60"/>
              <w:spacing w:after="0"/>
              <w:rPr>
                <w:sz w:val="20"/>
                <w:szCs w:val="20"/>
                <w:color w:val="auto"/>
              </w:rPr>
            </w:pPr>
            <w:r>
              <w:rPr>
                <w:rFonts w:ascii="Times New Roman" w:cs="Times New Roman" w:eastAsia="Times New Roman" w:hAnsi="Times New Roman"/>
                <w:sz w:val="15"/>
                <w:szCs w:val="15"/>
                <w:color w:val="231F20"/>
              </w:rPr>
              <w:t>10/2025)</w:t>
            </w:r>
          </w:p>
        </w:tc>
        <w:tc>
          <w:tcPr>
            <w:tcW w:w="820" w:type="dxa"/>
            <w:vAlign w:val="bottom"/>
            <w:shd w:val="clear" w:color="auto" w:fill="D0EBF2"/>
          </w:tcPr>
          <w:p>
            <w:pPr>
              <w:spacing w:after="0"/>
              <w:rPr>
                <w:sz w:val="16"/>
                <w:szCs w:val="16"/>
                <w:color w:val="auto"/>
              </w:rPr>
            </w:pPr>
          </w:p>
        </w:tc>
        <w:tc>
          <w:tcPr>
            <w:tcW w:w="20" w:type="dxa"/>
            <w:vAlign w:val="bottom"/>
          </w:tcPr>
          <w:p>
            <w:pPr>
              <w:spacing w:after="0"/>
              <w:rPr>
                <w:sz w:val="16"/>
                <w:szCs w:val="16"/>
                <w:color w:val="auto"/>
              </w:rPr>
            </w:pPr>
          </w:p>
        </w:tc>
        <w:tc>
          <w:tcPr>
            <w:tcW w:w="1060" w:type="dxa"/>
            <w:vAlign w:val="bottom"/>
            <w:shd w:val="clear" w:color="auto" w:fill="D0EBF2"/>
          </w:tcPr>
          <w:p>
            <w:pPr>
              <w:jc w:val="right"/>
              <w:ind w:right="124"/>
              <w:spacing w:after="0"/>
              <w:rPr>
                <w:sz w:val="20"/>
                <w:szCs w:val="20"/>
                <w:color w:val="auto"/>
              </w:rPr>
            </w:pPr>
            <w:r>
              <w:rPr>
                <w:rFonts w:ascii="Times New Roman" w:cs="Times New Roman" w:eastAsia="Times New Roman" w:hAnsi="Times New Roman"/>
                <w:sz w:val="15"/>
                <w:szCs w:val="15"/>
                <w:color w:val="231F20"/>
              </w:rPr>
              <w:t>7.15%</w:t>
            </w:r>
          </w:p>
        </w:tc>
        <w:tc>
          <w:tcPr>
            <w:tcW w:w="1020" w:type="dxa"/>
            <w:vAlign w:val="bottom"/>
            <w:shd w:val="clear" w:color="auto" w:fill="D0EBF2"/>
          </w:tcPr>
          <w:p>
            <w:pPr>
              <w:spacing w:after="0"/>
              <w:rPr>
                <w:sz w:val="16"/>
                <w:szCs w:val="16"/>
                <w:color w:val="auto"/>
              </w:rPr>
            </w:pPr>
          </w:p>
        </w:tc>
        <w:tc>
          <w:tcPr>
            <w:tcW w:w="1000" w:type="dxa"/>
            <w:vAlign w:val="bottom"/>
            <w:shd w:val="clear" w:color="auto" w:fill="D0EBF2"/>
          </w:tcPr>
          <w:p>
            <w:pPr>
              <w:spacing w:after="0"/>
              <w:rPr>
                <w:sz w:val="16"/>
                <w:szCs w:val="16"/>
                <w:color w:val="auto"/>
              </w:rPr>
            </w:pPr>
          </w:p>
        </w:tc>
        <w:tc>
          <w:tcPr>
            <w:tcW w:w="180" w:type="dxa"/>
            <w:vAlign w:val="bottom"/>
            <w:shd w:val="clear" w:color="auto" w:fill="D0EBF2"/>
          </w:tcPr>
          <w:p>
            <w:pPr>
              <w:spacing w:after="0"/>
              <w:rPr>
                <w:sz w:val="16"/>
                <w:szCs w:val="16"/>
                <w:color w:val="auto"/>
              </w:rPr>
            </w:pPr>
          </w:p>
        </w:tc>
        <w:tc>
          <w:tcPr>
            <w:tcW w:w="960" w:type="dxa"/>
            <w:vAlign w:val="bottom"/>
            <w:shd w:val="clear" w:color="auto" w:fill="D0EBF2"/>
          </w:tcPr>
          <w:p>
            <w:pPr>
              <w:spacing w:after="0"/>
              <w:rPr>
                <w:sz w:val="16"/>
                <w:szCs w:val="16"/>
                <w:color w:val="auto"/>
              </w:rPr>
            </w:pPr>
          </w:p>
        </w:tc>
        <w:tc>
          <w:tcPr>
            <w:tcW w:w="200" w:type="dxa"/>
            <w:vAlign w:val="bottom"/>
            <w:shd w:val="clear" w:color="auto" w:fill="D0EBF2"/>
          </w:tcPr>
          <w:p>
            <w:pPr>
              <w:spacing w:after="0"/>
              <w:rPr>
                <w:sz w:val="16"/>
                <w:szCs w:val="16"/>
                <w:color w:val="auto"/>
              </w:rPr>
            </w:pPr>
          </w:p>
        </w:tc>
        <w:tc>
          <w:tcPr>
            <w:tcW w:w="900" w:type="dxa"/>
            <w:vAlign w:val="bottom"/>
            <w:shd w:val="clear" w:color="auto" w:fill="D0EBF2"/>
          </w:tcPr>
          <w:p>
            <w:pPr>
              <w:spacing w:after="0"/>
              <w:rPr>
                <w:sz w:val="16"/>
                <w:szCs w:val="16"/>
                <w:color w:val="auto"/>
              </w:rPr>
            </w:pPr>
          </w:p>
        </w:tc>
        <w:tc>
          <w:tcPr>
            <w:tcW w:w="240" w:type="dxa"/>
            <w:vAlign w:val="bottom"/>
            <w:shd w:val="clear" w:color="auto" w:fill="D0EBF2"/>
          </w:tcPr>
          <w:p>
            <w:pPr>
              <w:spacing w:after="0"/>
              <w:rPr>
                <w:sz w:val="16"/>
                <w:szCs w:val="16"/>
                <w:color w:val="auto"/>
              </w:rPr>
            </w:pPr>
          </w:p>
        </w:tc>
        <w:tc>
          <w:tcPr>
            <w:tcW w:w="0" w:type="dxa"/>
            <w:vAlign w:val="bottom"/>
          </w:tcPr>
          <w:p>
            <w:pPr>
              <w:spacing w:after="0"/>
              <w:rPr>
                <w:sz w:val="1"/>
                <w:szCs w:val="1"/>
                <w:color w:val="auto"/>
              </w:rPr>
            </w:pPr>
          </w:p>
        </w:tc>
      </w:tr>
      <w:tr>
        <w:trPr>
          <w:trHeight w:val="158"/>
        </w:trPr>
        <w:tc>
          <w:tcPr>
            <w:tcW w:w="1460" w:type="dxa"/>
            <w:vAlign w:val="bottom"/>
            <w:shd w:val="clear" w:color="auto" w:fill="FDFDFC"/>
          </w:tcPr>
          <w:p>
            <w:pPr>
              <w:spacing w:after="0" w:line="159" w:lineRule="exact"/>
              <w:rPr>
                <w:sz w:val="20"/>
                <w:szCs w:val="20"/>
                <w:color w:val="auto"/>
              </w:rPr>
            </w:pPr>
            <w:r>
              <w:rPr>
                <w:rFonts w:ascii="Times New Roman" w:cs="Times New Roman" w:eastAsia="Times New Roman" w:hAnsi="Times New Roman"/>
                <w:sz w:val="15"/>
                <w:szCs w:val="15"/>
                <w:color w:val="231F20"/>
              </w:rPr>
              <w:t>CLGF Holdco 2,</w:t>
            </w:r>
          </w:p>
        </w:tc>
        <w:tc>
          <w:tcPr>
            <w:tcW w:w="2420" w:type="dxa"/>
            <w:vAlign w:val="bottom"/>
            <w:shd w:val="clear" w:color="auto" w:fill="FDFDFC"/>
          </w:tcPr>
          <w:p>
            <w:pPr>
              <w:ind w:left="60"/>
              <w:spacing w:after="0" w:line="159" w:lineRule="exact"/>
              <w:rPr>
                <w:sz w:val="20"/>
                <w:szCs w:val="20"/>
                <w:color w:val="auto"/>
              </w:rPr>
            </w:pPr>
            <w:r>
              <w:rPr>
                <w:rFonts w:ascii="Times New Roman" w:cs="Times New Roman" w:eastAsia="Times New Roman" w:hAnsi="Times New Roman"/>
                <w:sz w:val="15"/>
                <w:szCs w:val="15"/>
                <w:color w:val="231F20"/>
              </w:rPr>
              <w:t>First-lien loan ($3,916 par, due</w:t>
            </w:r>
          </w:p>
        </w:tc>
        <w:tc>
          <w:tcPr>
            <w:tcW w:w="820" w:type="dxa"/>
            <w:vAlign w:val="bottom"/>
            <w:shd w:val="clear" w:color="auto" w:fill="FDFDFC"/>
          </w:tcPr>
          <w:p>
            <w:pPr>
              <w:jc w:val="right"/>
              <w:spacing w:after="0" w:line="159" w:lineRule="exact"/>
              <w:rPr>
                <w:sz w:val="20"/>
                <w:szCs w:val="20"/>
                <w:color w:val="auto"/>
              </w:rPr>
            </w:pPr>
            <w:r>
              <w:rPr>
                <w:rFonts w:ascii="Times New Roman" w:cs="Times New Roman" w:eastAsia="Times New Roman" w:hAnsi="Times New Roman"/>
                <w:sz w:val="15"/>
                <w:szCs w:val="15"/>
                <w:color w:val="231F20"/>
              </w:rPr>
              <w:t>11/7/2023</w:t>
            </w:r>
          </w:p>
        </w:tc>
        <w:tc>
          <w:tcPr>
            <w:tcW w:w="20" w:type="dxa"/>
            <w:vAlign w:val="bottom"/>
          </w:tcPr>
          <w:p>
            <w:pPr>
              <w:spacing w:after="0"/>
              <w:rPr>
                <w:sz w:val="13"/>
                <w:szCs w:val="13"/>
                <w:color w:val="auto"/>
              </w:rPr>
            </w:pPr>
          </w:p>
        </w:tc>
        <w:tc>
          <w:tcPr>
            <w:tcW w:w="1060" w:type="dxa"/>
            <w:vAlign w:val="bottom"/>
            <w:shd w:val="clear" w:color="auto" w:fill="FDFDFC"/>
          </w:tcPr>
          <w:p>
            <w:pPr>
              <w:jc w:val="right"/>
              <w:ind w:right="124"/>
              <w:spacing w:after="0" w:line="159" w:lineRule="exact"/>
              <w:rPr>
                <w:sz w:val="20"/>
                <w:szCs w:val="20"/>
                <w:color w:val="auto"/>
              </w:rPr>
            </w:pPr>
            <w:r>
              <w:rPr>
                <w:rFonts w:ascii="Times New Roman" w:cs="Times New Roman" w:eastAsia="Times New Roman" w:hAnsi="Times New Roman"/>
                <w:sz w:val="15"/>
                <w:szCs w:val="15"/>
                <w:color w:val="231F20"/>
              </w:rPr>
              <w:t>SOFR +</w:t>
            </w:r>
          </w:p>
        </w:tc>
        <w:tc>
          <w:tcPr>
            <w:tcW w:w="1020" w:type="dxa"/>
            <w:vAlign w:val="bottom"/>
            <w:shd w:val="clear" w:color="auto" w:fill="FDFDFC"/>
          </w:tcPr>
          <w:p>
            <w:pPr>
              <w:jc w:val="right"/>
              <w:ind w:right="24"/>
              <w:spacing w:after="0" w:line="159" w:lineRule="exact"/>
              <w:rPr>
                <w:sz w:val="20"/>
                <w:szCs w:val="20"/>
                <w:color w:val="auto"/>
              </w:rPr>
            </w:pPr>
            <w:r>
              <w:rPr>
                <w:rFonts w:ascii="Times New Roman" w:cs="Times New Roman" w:eastAsia="Times New Roman" w:hAnsi="Times New Roman"/>
                <w:sz w:val="15"/>
                <w:szCs w:val="15"/>
                <w:color w:val="231F20"/>
              </w:rPr>
              <w:t>13.85%</w:t>
            </w:r>
          </w:p>
        </w:tc>
        <w:tc>
          <w:tcPr>
            <w:tcW w:w="1000" w:type="dxa"/>
            <w:vAlign w:val="bottom"/>
            <w:shd w:val="clear" w:color="auto" w:fill="FDFDFC"/>
          </w:tcPr>
          <w:p>
            <w:pPr>
              <w:jc w:val="right"/>
              <w:spacing w:after="0" w:line="159" w:lineRule="exact"/>
              <w:rPr>
                <w:sz w:val="20"/>
                <w:szCs w:val="20"/>
                <w:color w:val="auto"/>
              </w:rPr>
            </w:pPr>
            <w:r>
              <w:rPr>
                <w:rFonts w:ascii="Times New Roman" w:cs="Times New Roman" w:eastAsia="Times New Roman" w:hAnsi="Times New Roman"/>
                <w:sz w:val="15"/>
                <w:szCs w:val="15"/>
                <w:color w:val="231F20"/>
              </w:rPr>
              <w:t>3,845</w:t>
            </w:r>
          </w:p>
        </w:tc>
        <w:tc>
          <w:tcPr>
            <w:tcW w:w="1140" w:type="dxa"/>
            <w:vAlign w:val="bottom"/>
            <w:gridSpan w:val="2"/>
            <w:shd w:val="clear" w:color="auto" w:fill="FDFDFC"/>
          </w:tcPr>
          <w:p>
            <w:pPr>
              <w:jc w:val="right"/>
              <w:spacing w:after="0" w:line="159" w:lineRule="exact"/>
              <w:rPr>
                <w:sz w:val="20"/>
                <w:szCs w:val="20"/>
                <w:color w:val="auto"/>
              </w:rPr>
            </w:pPr>
            <w:r>
              <w:rPr>
                <w:rFonts w:ascii="Times New Roman" w:cs="Times New Roman" w:eastAsia="Times New Roman" w:hAnsi="Times New Roman"/>
                <w:sz w:val="15"/>
                <w:szCs w:val="15"/>
                <w:color w:val="231F20"/>
              </w:rPr>
              <w:t>3,867</w:t>
            </w:r>
          </w:p>
        </w:tc>
        <w:tc>
          <w:tcPr>
            <w:tcW w:w="1340" w:type="dxa"/>
            <w:vAlign w:val="bottom"/>
            <w:gridSpan w:val="3"/>
            <w:shd w:val="clear" w:color="auto" w:fill="FDFDFC"/>
          </w:tcPr>
          <w:p>
            <w:pPr>
              <w:jc w:val="right"/>
              <w:ind w:right="120"/>
              <w:spacing w:after="0" w:line="159" w:lineRule="exact"/>
              <w:rPr>
                <w:sz w:val="20"/>
                <w:szCs w:val="20"/>
                <w:color w:val="auto"/>
              </w:rPr>
            </w:pPr>
            <w:r>
              <w:rPr>
                <w:rFonts w:ascii="Times New Roman" w:cs="Times New Roman" w:eastAsia="Times New Roman" w:hAnsi="Times New Roman"/>
                <w:sz w:val="15"/>
                <w:szCs w:val="15"/>
                <w:color w:val="231F20"/>
              </w:rPr>
              <w:t>0.3%</w:t>
            </w:r>
          </w:p>
        </w:tc>
        <w:tc>
          <w:tcPr>
            <w:tcW w:w="0" w:type="dxa"/>
            <w:vAlign w:val="bottom"/>
          </w:tcPr>
          <w:p>
            <w:pPr>
              <w:spacing w:after="0"/>
              <w:rPr>
                <w:sz w:val="1"/>
                <w:szCs w:val="1"/>
                <w:color w:val="auto"/>
              </w:rPr>
            </w:pPr>
          </w:p>
        </w:tc>
      </w:tr>
      <w:tr>
        <w:trPr>
          <w:trHeight w:val="189"/>
        </w:trPr>
        <w:tc>
          <w:tcPr>
            <w:tcW w:w="1460" w:type="dxa"/>
            <w:vAlign w:val="bottom"/>
            <w:shd w:val="clear" w:color="auto" w:fill="FDFDFC"/>
          </w:tcPr>
          <w:p>
            <w:pPr>
              <w:spacing w:after="0" w:line="190" w:lineRule="exact"/>
              <w:rPr>
                <w:sz w:val="20"/>
                <w:szCs w:val="20"/>
                <w:color w:val="auto"/>
              </w:rPr>
            </w:pPr>
            <w:r>
              <w:rPr>
                <w:rFonts w:ascii="Times New Roman" w:cs="Times New Roman" w:eastAsia="Times New Roman" w:hAnsi="Times New Roman"/>
                <w:sz w:val="21"/>
                <w:szCs w:val="21"/>
                <w:color w:val="231F20"/>
                <w:vertAlign w:val="subscript"/>
              </w:rPr>
              <w:t>LLC</w:t>
            </w:r>
            <w:r>
              <w:rPr>
                <w:rFonts w:ascii="Times New Roman" w:cs="Times New Roman" w:eastAsia="Times New Roman" w:hAnsi="Times New Roman"/>
                <w:sz w:val="8"/>
                <w:szCs w:val="8"/>
                <w:color w:val="231F20"/>
              </w:rPr>
              <w:t>(3)(4)</w:t>
            </w:r>
          </w:p>
        </w:tc>
        <w:tc>
          <w:tcPr>
            <w:tcW w:w="2420" w:type="dxa"/>
            <w:vAlign w:val="bottom"/>
            <w:shd w:val="clear" w:color="auto" w:fill="FDFDFC"/>
          </w:tcPr>
          <w:p>
            <w:pPr>
              <w:ind w:left="60"/>
              <w:spacing w:after="0"/>
              <w:rPr>
                <w:sz w:val="20"/>
                <w:szCs w:val="20"/>
                <w:color w:val="auto"/>
              </w:rPr>
            </w:pPr>
            <w:r>
              <w:rPr>
                <w:rFonts w:ascii="Times New Roman" w:cs="Times New Roman" w:eastAsia="Times New Roman" w:hAnsi="Times New Roman"/>
                <w:sz w:val="15"/>
                <w:szCs w:val="15"/>
                <w:color w:val="231F20"/>
              </w:rPr>
              <w:t>11/2027)</w:t>
            </w:r>
          </w:p>
        </w:tc>
        <w:tc>
          <w:tcPr>
            <w:tcW w:w="820" w:type="dxa"/>
            <w:vAlign w:val="bottom"/>
            <w:shd w:val="clear" w:color="auto" w:fill="FDFDFC"/>
          </w:tcPr>
          <w:p>
            <w:pPr>
              <w:spacing w:after="0"/>
              <w:rPr>
                <w:sz w:val="16"/>
                <w:szCs w:val="16"/>
                <w:color w:val="auto"/>
              </w:rPr>
            </w:pPr>
          </w:p>
        </w:tc>
        <w:tc>
          <w:tcPr>
            <w:tcW w:w="20" w:type="dxa"/>
            <w:vAlign w:val="bottom"/>
          </w:tcPr>
          <w:p>
            <w:pPr>
              <w:spacing w:after="0"/>
              <w:rPr>
                <w:sz w:val="16"/>
                <w:szCs w:val="16"/>
                <w:color w:val="auto"/>
              </w:rPr>
            </w:pPr>
          </w:p>
        </w:tc>
        <w:tc>
          <w:tcPr>
            <w:tcW w:w="1060" w:type="dxa"/>
            <w:vAlign w:val="bottom"/>
            <w:shd w:val="clear" w:color="auto" w:fill="FDFDFC"/>
          </w:tcPr>
          <w:p>
            <w:pPr>
              <w:jc w:val="right"/>
              <w:ind w:right="124"/>
              <w:spacing w:after="0"/>
              <w:rPr>
                <w:sz w:val="20"/>
                <w:szCs w:val="20"/>
                <w:color w:val="auto"/>
              </w:rPr>
            </w:pPr>
            <w:r>
              <w:rPr>
                <w:rFonts w:ascii="Times New Roman" w:cs="Times New Roman" w:eastAsia="Times New Roman" w:hAnsi="Times New Roman"/>
                <w:sz w:val="15"/>
                <w:szCs w:val="15"/>
                <w:color w:val="231F20"/>
              </w:rPr>
              <w:t>8.50%</w:t>
            </w:r>
          </w:p>
        </w:tc>
        <w:tc>
          <w:tcPr>
            <w:tcW w:w="1020" w:type="dxa"/>
            <w:vAlign w:val="bottom"/>
            <w:shd w:val="clear" w:color="auto" w:fill="FDFDFC"/>
          </w:tcPr>
          <w:p>
            <w:pPr>
              <w:spacing w:after="0"/>
              <w:rPr>
                <w:sz w:val="16"/>
                <w:szCs w:val="16"/>
                <w:color w:val="auto"/>
              </w:rPr>
            </w:pPr>
          </w:p>
        </w:tc>
        <w:tc>
          <w:tcPr>
            <w:tcW w:w="1000" w:type="dxa"/>
            <w:vAlign w:val="bottom"/>
            <w:shd w:val="clear" w:color="auto" w:fill="FDFDFC"/>
          </w:tcPr>
          <w:p>
            <w:pPr>
              <w:spacing w:after="0"/>
              <w:rPr>
                <w:sz w:val="16"/>
                <w:szCs w:val="16"/>
                <w:color w:val="auto"/>
              </w:rPr>
            </w:pPr>
          </w:p>
        </w:tc>
        <w:tc>
          <w:tcPr>
            <w:tcW w:w="180" w:type="dxa"/>
            <w:vAlign w:val="bottom"/>
            <w:shd w:val="clear" w:color="auto" w:fill="FDFDFC"/>
          </w:tcPr>
          <w:p>
            <w:pPr>
              <w:spacing w:after="0"/>
              <w:rPr>
                <w:sz w:val="16"/>
                <w:szCs w:val="16"/>
                <w:color w:val="auto"/>
              </w:rPr>
            </w:pPr>
          </w:p>
        </w:tc>
        <w:tc>
          <w:tcPr>
            <w:tcW w:w="960" w:type="dxa"/>
            <w:vAlign w:val="bottom"/>
            <w:shd w:val="clear" w:color="auto" w:fill="FDFDFC"/>
          </w:tcPr>
          <w:p>
            <w:pPr>
              <w:spacing w:after="0"/>
              <w:rPr>
                <w:sz w:val="16"/>
                <w:szCs w:val="16"/>
                <w:color w:val="auto"/>
              </w:rPr>
            </w:pPr>
          </w:p>
        </w:tc>
        <w:tc>
          <w:tcPr>
            <w:tcW w:w="200" w:type="dxa"/>
            <w:vAlign w:val="bottom"/>
            <w:shd w:val="clear" w:color="auto" w:fill="FDFDFC"/>
          </w:tcPr>
          <w:p>
            <w:pPr>
              <w:spacing w:after="0"/>
              <w:rPr>
                <w:sz w:val="16"/>
                <w:szCs w:val="16"/>
                <w:color w:val="auto"/>
              </w:rPr>
            </w:pPr>
          </w:p>
        </w:tc>
        <w:tc>
          <w:tcPr>
            <w:tcW w:w="900" w:type="dxa"/>
            <w:vAlign w:val="bottom"/>
            <w:shd w:val="clear" w:color="auto" w:fill="FDFDFC"/>
          </w:tcPr>
          <w:p>
            <w:pPr>
              <w:spacing w:after="0"/>
              <w:rPr>
                <w:sz w:val="16"/>
                <w:szCs w:val="16"/>
                <w:color w:val="auto"/>
              </w:rPr>
            </w:pPr>
          </w:p>
        </w:tc>
        <w:tc>
          <w:tcPr>
            <w:tcW w:w="240" w:type="dxa"/>
            <w:vAlign w:val="bottom"/>
            <w:shd w:val="clear" w:color="auto" w:fill="FDFDFC"/>
          </w:tcPr>
          <w:p>
            <w:pPr>
              <w:spacing w:after="0"/>
              <w:rPr>
                <w:sz w:val="16"/>
                <w:szCs w:val="16"/>
                <w:color w:val="auto"/>
              </w:rPr>
            </w:pPr>
          </w:p>
        </w:tc>
        <w:tc>
          <w:tcPr>
            <w:tcW w:w="0" w:type="dxa"/>
            <w:vAlign w:val="bottom"/>
          </w:tcPr>
          <w:p>
            <w:pPr>
              <w:spacing w:after="0"/>
              <w:rPr>
                <w:sz w:val="1"/>
                <w:szCs w:val="1"/>
                <w:color w:val="auto"/>
              </w:rPr>
            </w:pPr>
          </w:p>
        </w:tc>
      </w:tr>
      <w:tr>
        <w:trPr>
          <w:trHeight w:val="158"/>
        </w:trPr>
        <w:tc>
          <w:tcPr>
            <w:tcW w:w="1460" w:type="dxa"/>
            <w:vAlign w:val="bottom"/>
            <w:shd w:val="clear" w:color="auto" w:fill="D0EBF2"/>
          </w:tcPr>
          <w:p>
            <w:pPr>
              <w:spacing w:after="0"/>
              <w:rPr>
                <w:sz w:val="13"/>
                <w:szCs w:val="13"/>
                <w:color w:val="auto"/>
              </w:rPr>
            </w:pPr>
          </w:p>
        </w:tc>
        <w:tc>
          <w:tcPr>
            <w:tcW w:w="2420" w:type="dxa"/>
            <w:vAlign w:val="bottom"/>
            <w:shd w:val="clear" w:color="auto" w:fill="D0EBF2"/>
          </w:tcPr>
          <w:p>
            <w:pPr>
              <w:ind w:left="60"/>
              <w:spacing w:after="0" w:line="159" w:lineRule="exact"/>
              <w:rPr>
                <w:sz w:val="20"/>
                <w:szCs w:val="20"/>
                <w:color w:val="auto"/>
              </w:rPr>
            </w:pPr>
            <w:r>
              <w:rPr>
                <w:rFonts w:ascii="Times New Roman" w:cs="Times New Roman" w:eastAsia="Times New Roman" w:hAnsi="Times New Roman"/>
                <w:sz w:val="15"/>
                <w:szCs w:val="15"/>
                <w:color w:val="231F20"/>
              </w:rPr>
              <w:t>Second-lien loan ($3,357 par, due</w:t>
            </w:r>
          </w:p>
        </w:tc>
        <w:tc>
          <w:tcPr>
            <w:tcW w:w="820" w:type="dxa"/>
            <w:vAlign w:val="bottom"/>
            <w:shd w:val="clear" w:color="auto" w:fill="D0EBF2"/>
          </w:tcPr>
          <w:p>
            <w:pPr>
              <w:jc w:val="right"/>
              <w:spacing w:after="0" w:line="159" w:lineRule="exact"/>
              <w:rPr>
                <w:sz w:val="20"/>
                <w:szCs w:val="20"/>
                <w:color w:val="auto"/>
              </w:rPr>
            </w:pPr>
            <w:r>
              <w:rPr>
                <w:rFonts w:ascii="Times New Roman" w:cs="Times New Roman" w:eastAsia="Times New Roman" w:hAnsi="Times New Roman"/>
                <w:sz w:val="15"/>
                <w:szCs w:val="15"/>
                <w:color w:val="231F20"/>
              </w:rPr>
              <w:t>11/7/2023</w:t>
            </w:r>
          </w:p>
        </w:tc>
        <w:tc>
          <w:tcPr>
            <w:tcW w:w="20" w:type="dxa"/>
            <w:vAlign w:val="bottom"/>
          </w:tcPr>
          <w:p>
            <w:pPr>
              <w:spacing w:after="0"/>
              <w:rPr>
                <w:sz w:val="13"/>
                <w:szCs w:val="13"/>
                <w:color w:val="auto"/>
              </w:rPr>
            </w:pPr>
          </w:p>
        </w:tc>
        <w:tc>
          <w:tcPr>
            <w:tcW w:w="1060" w:type="dxa"/>
            <w:vAlign w:val="bottom"/>
            <w:shd w:val="clear" w:color="auto" w:fill="D0EBF2"/>
          </w:tcPr>
          <w:p>
            <w:pPr>
              <w:jc w:val="right"/>
              <w:ind w:right="124"/>
              <w:spacing w:after="0" w:line="159" w:lineRule="exact"/>
              <w:rPr>
                <w:sz w:val="20"/>
                <w:szCs w:val="20"/>
                <w:color w:val="auto"/>
              </w:rPr>
            </w:pPr>
            <w:r>
              <w:rPr>
                <w:rFonts w:ascii="Times New Roman" w:cs="Times New Roman" w:eastAsia="Times New Roman" w:hAnsi="Times New Roman"/>
                <w:sz w:val="15"/>
                <w:szCs w:val="15"/>
                <w:color w:val="231F20"/>
              </w:rPr>
              <w:t>SOFR +</w:t>
            </w:r>
          </w:p>
        </w:tc>
        <w:tc>
          <w:tcPr>
            <w:tcW w:w="1020" w:type="dxa"/>
            <w:vAlign w:val="bottom"/>
            <w:shd w:val="clear" w:color="auto" w:fill="D0EBF2"/>
          </w:tcPr>
          <w:p>
            <w:pPr>
              <w:jc w:val="right"/>
              <w:ind w:right="24"/>
              <w:spacing w:after="0" w:line="159" w:lineRule="exact"/>
              <w:rPr>
                <w:sz w:val="20"/>
                <w:szCs w:val="20"/>
                <w:color w:val="auto"/>
              </w:rPr>
            </w:pPr>
            <w:r>
              <w:rPr>
                <w:rFonts w:ascii="Times New Roman" w:cs="Times New Roman" w:eastAsia="Times New Roman" w:hAnsi="Times New Roman"/>
                <w:sz w:val="15"/>
                <w:szCs w:val="15"/>
                <w:color w:val="231F20"/>
              </w:rPr>
              <w:t>17.35%</w:t>
            </w:r>
          </w:p>
        </w:tc>
        <w:tc>
          <w:tcPr>
            <w:tcW w:w="1000" w:type="dxa"/>
            <w:vAlign w:val="bottom"/>
            <w:shd w:val="clear" w:color="auto" w:fill="D0EBF2"/>
          </w:tcPr>
          <w:p>
            <w:pPr>
              <w:jc w:val="right"/>
              <w:spacing w:after="0" w:line="159" w:lineRule="exact"/>
              <w:rPr>
                <w:sz w:val="20"/>
                <w:szCs w:val="20"/>
                <w:color w:val="auto"/>
              </w:rPr>
            </w:pPr>
            <w:r>
              <w:rPr>
                <w:rFonts w:ascii="Times New Roman" w:cs="Times New Roman" w:eastAsia="Times New Roman" w:hAnsi="Times New Roman"/>
                <w:sz w:val="15"/>
                <w:szCs w:val="15"/>
                <w:color w:val="231F20"/>
              </w:rPr>
              <w:t>3,116</w:t>
            </w:r>
          </w:p>
        </w:tc>
        <w:tc>
          <w:tcPr>
            <w:tcW w:w="1140" w:type="dxa"/>
            <w:vAlign w:val="bottom"/>
            <w:gridSpan w:val="2"/>
            <w:shd w:val="clear" w:color="auto" w:fill="D0EBF2"/>
          </w:tcPr>
          <w:p>
            <w:pPr>
              <w:jc w:val="right"/>
              <w:spacing w:after="0" w:line="159" w:lineRule="exact"/>
              <w:rPr>
                <w:sz w:val="20"/>
                <w:szCs w:val="20"/>
                <w:color w:val="auto"/>
              </w:rPr>
            </w:pPr>
            <w:r>
              <w:rPr>
                <w:rFonts w:ascii="Times New Roman" w:cs="Times New Roman" w:eastAsia="Times New Roman" w:hAnsi="Times New Roman"/>
                <w:sz w:val="15"/>
                <w:szCs w:val="15"/>
                <w:color w:val="231F20"/>
              </w:rPr>
              <w:t>3,164</w:t>
            </w:r>
          </w:p>
        </w:tc>
        <w:tc>
          <w:tcPr>
            <w:tcW w:w="1340" w:type="dxa"/>
            <w:vAlign w:val="bottom"/>
            <w:gridSpan w:val="3"/>
            <w:shd w:val="clear" w:color="auto" w:fill="D0EBF2"/>
          </w:tcPr>
          <w:p>
            <w:pPr>
              <w:jc w:val="right"/>
              <w:ind w:right="120"/>
              <w:spacing w:after="0" w:line="159" w:lineRule="exact"/>
              <w:rPr>
                <w:sz w:val="20"/>
                <w:szCs w:val="20"/>
                <w:color w:val="auto"/>
              </w:rPr>
            </w:pPr>
            <w:r>
              <w:rPr>
                <w:rFonts w:ascii="Times New Roman" w:cs="Times New Roman" w:eastAsia="Times New Roman" w:hAnsi="Times New Roman"/>
                <w:sz w:val="15"/>
                <w:szCs w:val="15"/>
                <w:color w:val="231F20"/>
              </w:rPr>
              <w:t>0.2%</w:t>
            </w:r>
          </w:p>
        </w:tc>
        <w:tc>
          <w:tcPr>
            <w:tcW w:w="0" w:type="dxa"/>
            <w:vAlign w:val="bottom"/>
          </w:tcPr>
          <w:p>
            <w:pPr>
              <w:spacing w:after="0"/>
              <w:rPr>
                <w:sz w:val="1"/>
                <w:szCs w:val="1"/>
                <w:color w:val="auto"/>
              </w:rPr>
            </w:pPr>
          </w:p>
        </w:tc>
      </w:tr>
      <w:tr>
        <w:trPr>
          <w:trHeight w:val="189"/>
        </w:trPr>
        <w:tc>
          <w:tcPr>
            <w:tcW w:w="1460" w:type="dxa"/>
            <w:vAlign w:val="bottom"/>
            <w:shd w:val="clear" w:color="auto" w:fill="D0EBF2"/>
          </w:tcPr>
          <w:p>
            <w:pPr>
              <w:spacing w:after="0"/>
              <w:rPr>
                <w:sz w:val="16"/>
                <w:szCs w:val="16"/>
                <w:color w:val="auto"/>
              </w:rPr>
            </w:pPr>
          </w:p>
        </w:tc>
        <w:tc>
          <w:tcPr>
            <w:tcW w:w="2420" w:type="dxa"/>
            <w:vAlign w:val="bottom"/>
            <w:shd w:val="clear" w:color="auto" w:fill="D0EBF2"/>
          </w:tcPr>
          <w:p>
            <w:pPr>
              <w:ind w:left="60"/>
              <w:spacing w:after="0"/>
              <w:rPr>
                <w:sz w:val="20"/>
                <w:szCs w:val="20"/>
                <w:color w:val="auto"/>
              </w:rPr>
            </w:pPr>
            <w:r>
              <w:rPr>
                <w:rFonts w:ascii="Times New Roman" w:cs="Times New Roman" w:eastAsia="Times New Roman" w:hAnsi="Times New Roman"/>
                <w:sz w:val="15"/>
                <w:szCs w:val="15"/>
                <w:color w:val="231F20"/>
              </w:rPr>
              <w:t>11/2028)</w:t>
            </w:r>
          </w:p>
        </w:tc>
        <w:tc>
          <w:tcPr>
            <w:tcW w:w="820" w:type="dxa"/>
            <w:vAlign w:val="bottom"/>
            <w:shd w:val="clear" w:color="auto" w:fill="D0EBF2"/>
          </w:tcPr>
          <w:p>
            <w:pPr>
              <w:spacing w:after="0"/>
              <w:rPr>
                <w:sz w:val="16"/>
                <w:szCs w:val="16"/>
                <w:color w:val="auto"/>
              </w:rPr>
            </w:pPr>
          </w:p>
        </w:tc>
        <w:tc>
          <w:tcPr>
            <w:tcW w:w="20" w:type="dxa"/>
            <w:vAlign w:val="bottom"/>
          </w:tcPr>
          <w:p>
            <w:pPr>
              <w:spacing w:after="0"/>
              <w:rPr>
                <w:sz w:val="16"/>
                <w:szCs w:val="16"/>
                <w:color w:val="auto"/>
              </w:rPr>
            </w:pPr>
          </w:p>
        </w:tc>
        <w:tc>
          <w:tcPr>
            <w:tcW w:w="1060" w:type="dxa"/>
            <w:vAlign w:val="bottom"/>
            <w:shd w:val="clear" w:color="auto" w:fill="D0EBF2"/>
          </w:tcPr>
          <w:p>
            <w:pPr>
              <w:jc w:val="right"/>
              <w:ind w:right="124"/>
              <w:spacing w:after="0"/>
              <w:rPr>
                <w:sz w:val="20"/>
                <w:szCs w:val="20"/>
                <w:color w:val="auto"/>
              </w:rPr>
            </w:pPr>
            <w:r>
              <w:rPr>
                <w:rFonts w:ascii="Times New Roman" w:cs="Times New Roman" w:eastAsia="Times New Roman" w:hAnsi="Times New Roman"/>
                <w:sz w:val="15"/>
                <w:szCs w:val="15"/>
                <w:color w:val="231F20"/>
              </w:rPr>
              <w:t>12.00%</w:t>
            </w:r>
          </w:p>
        </w:tc>
        <w:tc>
          <w:tcPr>
            <w:tcW w:w="1020" w:type="dxa"/>
            <w:vAlign w:val="bottom"/>
            <w:shd w:val="clear" w:color="auto" w:fill="D0EBF2"/>
          </w:tcPr>
          <w:p>
            <w:pPr>
              <w:spacing w:after="0"/>
              <w:rPr>
                <w:sz w:val="16"/>
                <w:szCs w:val="16"/>
                <w:color w:val="auto"/>
              </w:rPr>
            </w:pPr>
          </w:p>
        </w:tc>
        <w:tc>
          <w:tcPr>
            <w:tcW w:w="1000" w:type="dxa"/>
            <w:vAlign w:val="bottom"/>
            <w:shd w:val="clear" w:color="auto" w:fill="D0EBF2"/>
          </w:tcPr>
          <w:p>
            <w:pPr>
              <w:spacing w:after="0"/>
              <w:rPr>
                <w:sz w:val="16"/>
                <w:szCs w:val="16"/>
                <w:color w:val="auto"/>
              </w:rPr>
            </w:pPr>
          </w:p>
        </w:tc>
        <w:tc>
          <w:tcPr>
            <w:tcW w:w="180" w:type="dxa"/>
            <w:vAlign w:val="bottom"/>
            <w:shd w:val="clear" w:color="auto" w:fill="D0EBF2"/>
          </w:tcPr>
          <w:p>
            <w:pPr>
              <w:spacing w:after="0"/>
              <w:rPr>
                <w:sz w:val="16"/>
                <w:szCs w:val="16"/>
                <w:color w:val="auto"/>
              </w:rPr>
            </w:pPr>
          </w:p>
        </w:tc>
        <w:tc>
          <w:tcPr>
            <w:tcW w:w="960" w:type="dxa"/>
            <w:vAlign w:val="bottom"/>
            <w:shd w:val="clear" w:color="auto" w:fill="D0EBF2"/>
          </w:tcPr>
          <w:p>
            <w:pPr>
              <w:spacing w:after="0"/>
              <w:rPr>
                <w:sz w:val="16"/>
                <w:szCs w:val="16"/>
                <w:color w:val="auto"/>
              </w:rPr>
            </w:pPr>
          </w:p>
        </w:tc>
        <w:tc>
          <w:tcPr>
            <w:tcW w:w="200" w:type="dxa"/>
            <w:vAlign w:val="bottom"/>
            <w:shd w:val="clear" w:color="auto" w:fill="D0EBF2"/>
          </w:tcPr>
          <w:p>
            <w:pPr>
              <w:spacing w:after="0"/>
              <w:rPr>
                <w:sz w:val="16"/>
                <w:szCs w:val="16"/>
                <w:color w:val="auto"/>
              </w:rPr>
            </w:pPr>
          </w:p>
        </w:tc>
        <w:tc>
          <w:tcPr>
            <w:tcW w:w="900" w:type="dxa"/>
            <w:vAlign w:val="bottom"/>
            <w:shd w:val="clear" w:color="auto" w:fill="D0EBF2"/>
          </w:tcPr>
          <w:p>
            <w:pPr>
              <w:spacing w:after="0"/>
              <w:rPr>
                <w:sz w:val="16"/>
                <w:szCs w:val="16"/>
                <w:color w:val="auto"/>
              </w:rPr>
            </w:pPr>
          </w:p>
        </w:tc>
        <w:tc>
          <w:tcPr>
            <w:tcW w:w="240" w:type="dxa"/>
            <w:vAlign w:val="bottom"/>
            <w:shd w:val="clear" w:color="auto" w:fill="D0EBF2"/>
          </w:tcPr>
          <w:p>
            <w:pPr>
              <w:spacing w:after="0"/>
              <w:rPr>
                <w:sz w:val="16"/>
                <w:szCs w:val="16"/>
                <w:color w:val="auto"/>
              </w:rPr>
            </w:pPr>
          </w:p>
        </w:tc>
        <w:tc>
          <w:tcPr>
            <w:tcW w:w="0" w:type="dxa"/>
            <w:vAlign w:val="bottom"/>
          </w:tcPr>
          <w:p>
            <w:pPr>
              <w:spacing w:after="0"/>
              <w:rPr>
                <w:sz w:val="1"/>
                <w:szCs w:val="1"/>
                <w:color w:val="auto"/>
              </w:rPr>
            </w:pPr>
          </w:p>
        </w:tc>
      </w:tr>
      <w:tr>
        <w:trPr>
          <w:trHeight w:val="158"/>
        </w:trPr>
        <w:tc>
          <w:tcPr>
            <w:tcW w:w="1460" w:type="dxa"/>
            <w:vAlign w:val="bottom"/>
            <w:shd w:val="clear" w:color="auto" w:fill="FDFDFC"/>
          </w:tcPr>
          <w:p>
            <w:pPr>
              <w:spacing w:after="0" w:line="159" w:lineRule="exact"/>
              <w:rPr>
                <w:sz w:val="20"/>
                <w:szCs w:val="20"/>
                <w:color w:val="auto"/>
              </w:rPr>
            </w:pPr>
            <w:r>
              <w:rPr>
                <w:rFonts w:ascii="Times New Roman" w:cs="Times New Roman" w:eastAsia="Times New Roman" w:hAnsi="Times New Roman"/>
                <w:sz w:val="15"/>
                <w:szCs w:val="15"/>
                <w:color w:val="231F20"/>
              </w:rPr>
              <w:t>Fullsteam Operations,</w:t>
            </w:r>
          </w:p>
        </w:tc>
        <w:tc>
          <w:tcPr>
            <w:tcW w:w="2420" w:type="dxa"/>
            <w:vAlign w:val="bottom"/>
            <w:shd w:val="clear" w:color="auto" w:fill="FDFDFC"/>
          </w:tcPr>
          <w:p>
            <w:pPr>
              <w:ind w:left="60"/>
              <w:spacing w:after="0" w:line="159" w:lineRule="exact"/>
              <w:rPr>
                <w:sz w:val="20"/>
                <w:szCs w:val="20"/>
                <w:color w:val="auto"/>
              </w:rPr>
            </w:pPr>
            <w:r>
              <w:rPr>
                <w:rFonts w:ascii="Times New Roman" w:cs="Times New Roman" w:eastAsia="Times New Roman" w:hAnsi="Times New Roman"/>
                <w:sz w:val="15"/>
                <w:szCs w:val="15"/>
                <w:color w:val="231F20"/>
              </w:rPr>
              <w:t>First-lien loan ($29,663 par, due</w:t>
            </w:r>
          </w:p>
        </w:tc>
        <w:tc>
          <w:tcPr>
            <w:tcW w:w="820" w:type="dxa"/>
            <w:vAlign w:val="bottom"/>
            <w:shd w:val="clear" w:color="auto" w:fill="FDFDFC"/>
          </w:tcPr>
          <w:p>
            <w:pPr>
              <w:jc w:val="right"/>
              <w:spacing w:after="0" w:line="159" w:lineRule="exact"/>
              <w:rPr>
                <w:sz w:val="20"/>
                <w:szCs w:val="20"/>
                <w:color w:val="auto"/>
              </w:rPr>
            </w:pPr>
            <w:r>
              <w:rPr>
                <w:rFonts w:ascii="Times New Roman" w:cs="Times New Roman" w:eastAsia="Times New Roman" w:hAnsi="Times New Roman"/>
                <w:sz w:val="15"/>
                <w:szCs w:val="15"/>
                <w:color w:val="231F20"/>
              </w:rPr>
              <w:t>11/27/2023</w:t>
            </w:r>
          </w:p>
        </w:tc>
        <w:tc>
          <w:tcPr>
            <w:tcW w:w="20" w:type="dxa"/>
            <w:vAlign w:val="bottom"/>
          </w:tcPr>
          <w:p>
            <w:pPr>
              <w:spacing w:after="0"/>
              <w:rPr>
                <w:sz w:val="13"/>
                <w:szCs w:val="13"/>
                <w:color w:val="auto"/>
              </w:rPr>
            </w:pPr>
          </w:p>
        </w:tc>
        <w:tc>
          <w:tcPr>
            <w:tcW w:w="1060" w:type="dxa"/>
            <w:vAlign w:val="bottom"/>
            <w:shd w:val="clear" w:color="auto" w:fill="FDFDFC"/>
          </w:tcPr>
          <w:p>
            <w:pPr>
              <w:jc w:val="right"/>
              <w:ind w:right="124"/>
              <w:spacing w:after="0" w:line="159" w:lineRule="exact"/>
              <w:rPr>
                <w:sz w:val="20"/>
                <w:szCs w:val="20"/>
                <w:color w:val="auto"/>
              </w:rPr>
            </w:pPr>
            <w:r>
              <w:rPr>
                <w:rFonts w:ascii="Times New Roman" w:cs="Times New Roman" w:eastAsia="Times New Roman" w:hAnsi="Times New Roman"/>
                <w:sz w:val="15"/>
                <w:szCs w:val="15"/>
                <w:color w:val="231F20"/>
              </w:rPr>
              <w:t>SOFR</w:t>
            </w:r>
          </w:p>
        </w:tc>
        <w:tc>
          <w:tcPr>
            <w:tcW w:w="1020" w:type="dxa"/>
            <w:vAlign w:val="bottom"/>
            <w:shd w:val="clear" w:color="auto" w:fill="FDFDFC"/>
          </w:tcPr>
          <w:p>
            <w:pPr>
              <w:jc w:val="right"/>
              <w:ind w:right="24"/>
              <w:spacing w:after="0" w:line="159" w:lineRule="exact"/>
              <w:rPr>
                <w:sz w:val="20"/>
                <w:szCs w:val="20"/>
                <w:color w:val="auto"/>
              </w:rPr>
            </w:pPr>
            <w:r>
              <w:rPr>
                <w:rFonts w:ascii="Times New Roman" w:cs="Times New Roman" w:eastAsia="Times New Roman" w:hAnsi="Times New Roman"/>
                <w:sz w:val="15"/>
                <w:szCs w:val="15"/>
                <w:color w:val="231F20"/>
              </w:rPr>
              <w:t>13.78%</w:t>
            </w:r>
          </w:p>
        </w:tc>
        <w:tc>
          <w:tcPr>
            <w:tcW w:w="1000" w:type="dxa"/>
            <w:vAlign w:val="bottom"/>
            <w:shd w:val="clear" w:color="auto" w:fill="FDFDFC"/>
          </w:tcPr>
          <w:p>
            <w:pPr>
              <w:jc w:val="right"/>
              <w:spacing w:after="0" w:line="159" w:lineRule="exact"/>
              <w:rPr>
                <w:sz w:val="20"/>
                <w:szCs w:val="20"/>
                <w:color w:val="auto"/>
              </w:rPr>
            </w:pPr>
            <w:r>
              <w:rPr>
                <w:rFonts w:ascii="Times New Roman" w:cs="Times New Roman" w:eastAsia="Times New Roman" w:hAnsi="Times New Roman"/>
                <w:sz w:val="15"/>
                <w:szCs w:val="15"/>
                <w:color w:val="231F20"/>
              </w:rPr>
              <w:t>28,611</w:t>
            </w:r>
          </w:p>
        </w:tc>
        <w:tc>
          <w:tcPr>
            <w:tcW w:w="1140" w:type="dxa"/>
            <w:vAlign w:val="bottom"/>
            <w:gridSpan w:val="2"/>
            <w:shd w:val="clear" w:color="auto" w:fill="FDFDFC"/>
          </w:tcPr>
          <w:p>
            <w:pPr>
              <w:jc w:val="right"/>
              <w:spacing w:after="0" w:line="159" w:lineRule="exact"/>
              <w:rPr>
                <w:sz w:val="20"/>
                <w:szCs w:val="20"/>
                <w:color w:val="auto"/>
              </w:rPr>
            </w:pPr>
            <w:r>
              <w:rPr>
                <w:rFonts w:ascii="Times New Roman" w:cs="Times New Roman" w:eastAsia="Times New Roman" w:hAnsi="Times New Roman"/>
                <w:sz w:val="15"/>
                <w:szCs w:val="15"/>
                <w:color w:val="231F20"/>
              </w:rPr>
              <w:t>29,049</w:t>
            </w:r>
          </w:p>
        </w:tc>
        <w:tc>
          <w:tcPr>
            <w:tcW w:w="1340" w:type="dxa"/>
            <w:vAlign w:val="bottom"/>
            <w:gridSpan w:val="3"/>
            <w:shd w:val="clear" w:color="auto" w:fill="FDFDFC"/>
          </w:tcPr>
          <w:p>
            <w:pPr>
              <w:jc w:val="right"/>
              <w:ind w:right="120"/>
              <w:spacing w:after="0" w:line="159" w:lineRule="exact"/>
              <w:rPr>
                <w:sz w:val="20"/>
                <w:szCs w:val="20"/>
                <w:color w:val="auto"/>
              </w:rPr>
            </w:pPr>
            <w:r>
              <w:rPr>
                <w:rFonts w:ascii="Times New Roman" w:cs="Times New Roman" w:eastAsia="Times New Roman" w:hAnsi="Times New Roman"/>
                <w:sz w:val="15"/>
                <w:szCs w:val="15"/>
                <w:color w:val="231F20"/>
              </w:rPr>
              <w:t>1.9%</w:t>
            </w:r>
          </w:p>
        </w:tc>
        <w:tc>
          <w:tcPr>
            <w:tcW w:w="0" w:type="dxa"/>
            <w:vAlign w:val="bottom"/>
          </w:tcPr>
          <w:p>
            <w:pPr>
              <w:spacing w:after="0"/>
              <w:rPr>
                <w:sz w:val="1"/>
                <w:szCs w:val="1"/>
                <w:color w:val="auto"/>
              </w:rPr>
            </w:pPr>
          </w:p>
        </w:tc>
      </w:tr>
      <w:tr>
        <w:trPr>
          <w:trHeight w:val="189"/>
        </w:trPr>
        <w:tc>
          <w:tcPr>
            <w:tcW w:w="1460" w:type="dxa"/>
            <w:vAlign w:val="bottom"/>
            <w:shd w:val="clear" w:color="auto" w:fill="FDFDFC"/>
          </w:tcPr>
          <w:p>
            <w:pPr>
              <w:spacing w:after="0"/>
              <w:rPr>
                <w:sz w:val="20"/>
                <w:szCs w:val="20"/>
                <w:color w:val="auto"/>
              </w:rPr>
            </w:pPr>
            <w:r>
              <w:rPr>
                <w:rFonts w:ascii="Times New Roman" w:cs="Times New Roman" w:eastAsia="Times New Roman" w:hAnsi="Times New Roman"/>
                <w:sz w:val="15"/>
                <w:szCs w:val="15"/>
                <w:color w:val="231F20"/>
              </w:rPr>
              <w:t>LLC</w:t>
            </w:r>
            <w:r>
              <w:rPr>
                <w:rFonts w:ascii="Times New Roman" w:cs="Times New Roman" w:eastAsia="Times New Roman" w:hAnsi="Times New Roman"/>
                <w:sz w:val="9"/>
                <w:szCs w:val="9"/>
                <w:color w:val="231F20"/>
              </w:rPr>
              <w:t>(3)</w:t>
            </w:r>
          </w:p>
        </w:tc>
        <w:tc>
          <w:tcPr>
            <w:tcW w:w="2420" w:type="dxa"/>
            <w:vAlign w:val="bottom"/>
            <w:shd w:val="clear" w:color="auto" w:fill="FDFDFC"/>
          </w:tcPr>
          <w:p>
            <w:pPr>
              <w:ind w:left="60"/>
              <w:spacing w:after="0"/>
              <w:rPr>
                <w:sz w:val="20"/>
                <w:szCs w:val="20"/>
                <w:color w:val="auto"/>
              </w:rPr>
            </w:pPr>
            <w:r>
              <w:rPr>
                <w:rFonts w:ascii="Times New Roman" w:cs="Times New Roman" w:eastAsia="Times New Roman" w:hAnsi="Times New Roman"/>
                <w:sz w:val="15"/>
                <w:szCs w:val="15"/>
                <w:color w:val="231F20"/>
              </w:rPr>
              <w:t>11/2029)</w:t>
            </w:r>
          </w:p>
        </w:tc>
        <w:tc>
          <w:tcPr>
            <w:tcW w:w="820" w:type="dxa"/>
            <w:vAlign w:val="bottom"/>
            <w:shd w:val="clear" w:color="auto" w:fill="FDFDFC"/>
          </w:tcPr>
          <w:p>
            <w:pPr>
              <w:spacing w:after="0"/>
              <w:rPr>
                <w:sz w:val="16"/>
                <w:szCs w:val="16"/>
                <w:color w:val="auto"/>
              </w:rPr>
            </w:pPr>
          </w:p>
        </w:tc>
        <w:tc>
          <w:tcPr>
            <w:tcW w:w="20" w:type="dxa"/>
            <w:vAlign w:val="bottom"/>
          </w:tcPr>
          <w:p>
            <w:pPr>
              <w:spacing w:after="0"/>
              <w:rPr>
                <w:sz w:val="16"/>
                <w:szCs w:val="16"/>
                <w:color w:val="auto"/>
              </w:rPr>
            </w:pPr>
          </w:p>
        </w:tc>
        <w:tc>
          <w:tcPr>
            <w:tcW w:w="1060" w:type="dxa"/>
            <w:vAlign w:val="bottom"/>
            <w:shd w:val="clear" w:color="auto" w:fill="FDFDFC"/>
          </w:tcPr>
          <w:p>
            <w:pPr>
              <w:jc w:val="right"/>
              <w:ind w:right="124"/>
              <w:spacing w:after="0"/>
              <w:rPr>
                <w:sz w:val="20"/>
                <w:szCs w:val="20"/>
                <w:color w:val="auto"/>
              </w:rPr>
            </w:pPr>
            <w:r>
              <w:rPr>
                <w:rFonts w:ascii="Times New Roman" w:cs="Times New Roman" w:eastAsia="Times New Roman" w:hAnsi="Times New Roman"/>
                <w:sz w:val="15"/>
                <w:szCs w:val="15"/>
                <w:color w:val="231F20"/>
              </w:rPr>
              <w:t>+ 8.40%</w:t>
            </w:r>
          </w:p>
        </w:tc>
        <w:tc>
          <w:tcPr>
            <w:tcW w:w="1020" w:type="dxa"/>
            <w:vAlign w:val="bottom"/>
            <w:shd w:val="clear" w:color="auto" w:fill="FDFDFC"/>
          </w:tcPr>
          <w:p>
            <w:pPr>
              <w:spacing w:after="0"/>
              <w:rPr>
                <w:sz w:val="16"/>
                <w:szCs w:val="16"/>
                <w:color w:val="auto"/>
              </w:rPr>
            </w:pPr>
          </w:p>
        </w:tc>
        <w:tc>
          <w:tcPr>
            <w:tcW w:w="1000" w:type="dxa"/>
            <w:vAlign w:val="bottom"/>
            <w:shd w:val="clear" w:color="auto" w:fill="FDFDFC"/>
          </w:tcPr>
          <w:p>
            <w:pPr>
              <w:spacing w:after="0"/>
              <w:rPr>
                <w:sz w:val="16"/>
                <w:szCs w:val="16"/>
                <w:color w:val="auto"/>
              </w:rPr>
            </w:pPr>
          </w:p>
        </w:tc>
        <w:tc>
          <w:tcPr>
            <w:tcW w:w="180" w:type="dxa"/>
            <w:vAlign w:val="bottom"/>
            <w:shd w:val="clear" w:color="auto" w:fill="FDFDFC"/>
          </w:tcPr>
          <w:p>
            <w:pPr>
              <w:spacing w:after="0"/>
              <w:rPr>
                <w:sz w:val="16"/>
                <w:szCs w:val="16"/>
                <w:color w:val="auto"/>
              </w:rPr>
            </w:pPr>
          </w:p>
        </w:tc>
        <w:tc>
          <w:tcPr>
            <w:tcW w:w="960" w:type="dxa"/>
            <w:vAlign w:val="bottom"/>
            <w:shd w:val="clear" w:color="auto" w:fill="FDFDFC"/>
          </w:tcPr>
          <w:p>
            <w:pPr>
              <w:spacing w:after="0"/>
              <w:rPr>
                <w:sz w:val="16"/>
                <w:szCs w:val="16"/>
                <w:color w:val="auto"/>
              </w:rPr>
            </w:pPr>
          </w:p>
        </w:tc>
        <w:tc>
          <w:tcPr>
            <w:tcW w:w="200" w:type="dxa"/>
            <w:vAlign w:val="bottom"/>
            <w:shd w:val="clear" w:color="auto" w:fill="FDFDFC"/>
          </w:tcPr>
          <w:p>
            <w:pPr>
              <w:spacing w:after="0"/>
              <w:rPr>
                <w:sz w:val="16"/>
                <w:szCs w:val="16"/>
                <w:color w:val="auto"/>
              </w:rPr>
            </w:pPr>
          </w:p>
        </w:tc>
        <w:tc>
          <w:tcPr>
            <w:tcW w:w="900" w:type="dxa"/>
            <w:vAlign w:val="bottom"/>
            <w:shd w:val="clear" w:color="auto" w:fill="FDFDFC"/>
          </w:tcPr>
          <w:p>
            <w:pPr>
              <w:spacing w:after="0"/>
              <w:rPr>
                <w:sz w:val="16"/>
                <w:szCs w:val="16"/>
                <w:color w:val="auto"/>
              </w:rPr>
            </w:pPr>
          </w:p>
        </w:tc>
        <w:tc>
          <w:tcPr>
            <w:tcW w:w="240" w:type="dxa"/>
            <w:vAlign w:val="bottom"/>
            <w:shd w:val="clear" w:color="auto" w:fill="FDFDFC"/>
          </w:tcPr>
          <w:p>
            <w:pPr>
              <w:spacing w:after="0"/>
              <w:rPr>
                <w:sz w:val="16"/>
                <w:szCs w:val="16"/>
                <w:color w:val="auto"/>
              </w:rPr>
            </w:pPr>
          </w:p>
        </w:tc>
        <w:tc>
          <w:tcPr>
            <w:tcW w:w="0" w:type="dxa"/>
            <w:vAlign w:val="bottom"/>
          </w:tcPr>
          <w:p>
            <w:pPr>
              <w:spacing w:after="0"/>
              <w:rPr>
                <w:sz w:val="1"/>
                <w:szCs w:val="1"/>
                <w:color w:val="auto"/>
              </w:rPr>
            </w:pPr>
          </w:p>
        </w:tc>
      </w:tr>
      <w:tr>
        <w:trPr>
          <w:trHeight w:val="158"/>
        </w:trPr>
        <w:tc>
          <w:tcPr>
            <w:tcW w:w="1460" w:type="dxa"/>
            <w:vAlign w:val="bottom"/>
            <w:shd w:val="clear" w:color="auto" w:fill="D0EBF2"/>
          </w:tcPr>
          <w:p>
            <w:pPr>
              <w:spacing w:after="0" w:line="159" w:lineRule="exact"/>
              <w:rPr>
                <w:sz w:val="20"/>
                <w:szCs w:val="20"/>
                <w:color w:val="auto"/>
              </w:rPr>
            </w:pPr>
            <w:r>
              <w:rPr>
                <w:rFonts w:ascii="Times New Roman" w:cs="Times New Roman" w:eastAsia="Times New Roman" w:hAnsi="Times New Roman"/>
                <w:sz w:val="15"/>
                <w:szCs w:val="15"/>
                <w:color w:val="231F20"/>
              </w:rPr>
              <w:t>Ibis Intermediate Co.</w:t>
            </w:r>
          </w:p>
        </w:tc>
        <w:tc>
          <w:tcPr>
            <w:tcW w:w="2420" w:type="dxa"/>
            <w:vAlign w:val="bottom"/>
            <w:shd w:val="clear" w:color="auto" w:fill="D0EBF2"/>
          </w:tcPr>
          <w:p>
            <w:pPr>
              <w:ind w:left="60"/>
              <w:spacing w:after="0" w:line="159" w:lineRule="exact"/>
              <w:rPr>
                <w:sz w:val="20"/>
                <w:szCs w:val="20"/>
                <w:color w:val="auto"/>
              </w:rPr>
            </w:pPr>
            <w:r>
              <w:rPr>
                <w:rFonts w:ascii="Times New Roman" w:cs="Times New Roman" w:eastAsia="Times New Roman" w:hAnsi="Times New Roman"/>
                <w:sz w:val="15"/>
                <w:szCs w:val="15"/>
                <w:color w:val="231F20"/>
              </w:rPr>
              <w:t>First-lien loan ($1,201 par, due</w:t>
            </w:r>
          </w:p>
        </w:tc>
        <w:tc>
          <w:tcPr>
            <w:tcW w:w="820" w:type="dxa"/>
            <w:vAlign w:val="bottom"/>
            <w:shd w:val="clear" w:color="auto" w:fill="D0EBF2"/>
          </w:tcPr>
          <w:p>
            <w:pPr>
              <w:jc w:val="right"/>
              <w:spacing w:after="0" w:line="159" w:lineRule="exact"/>
              <w:rPr>
                <w:sz w:val="20"/>
                <w:szCs w:val="20"/>
                <w:color w:val="auto"/>
              </w:rPr>
            </w:pPr>
            <w:r>
              <w:rPr>
                <w:rFonts w:ascii="Times New Roman" w:cs="Times New Roman" w:eastAsia="Times New Roman" w:hAnsi="Times New Roman"/>
                <w:sz w:val="15"/>
                <w:szCs w:val="15"/>
                <w:color w:val="231F20"/>
              </w:rPr>
              <w:t>5/28/2021</w:t>
            </w:r>
          </w:p>
        </w:tc>
        <w:tc>
          <w:tcPr>
            <w:tcW w:w="20" w:type="dxa"/>
            <w:vAlign w:val="bottom"/>
          </w:tcPr>
          <w:p>
            <w:pPr>
              <w:spacing w:after="0"/>
              <w:rPr>
                <w:sz w:val="13"/>
                <w:szCs w:val="13"/>
                <w:color w:val="auto"/>
              </w:rPr>
            </w:pPr>
          </w:p>
        </w:tc>
        <w:tc>
          <w:tcPr>
            <w:tcW w:w="1060" w:type="dxa"/>
            <w:vAlign w:val="bottom"/>
            <w:shd w:val="clear" w:color="auto" w:fill="D0EBF2"/>
          </w:tcPr>
          <w:p>
            <w:pPr>
              <w:jc w:val="right"/>
              <w:ind w:right="124"/>
              <w:spacing w:after="0" w:line="159" w:lineRule="exact"/>
              <w:rPr>
                <w:sz w:val="20"/>
                <w:szCs w:val="20"/>
                <w:color w:val="auto"/>
              </w:rPr>
            </w:pPr>
            <w:r>
              <w:rPr>
                <w:rFonts w:ascii="Times New Roman" w:cs="Times New Roman" w:eastAsia="Times New Roman" w:hAnsi="Times New Roman"/>
                <w:sz w:val="15"/>
                <w:szCs w:val="15"/>
                <w:color w:val="231F20"/>
              </w:rPr>
              <w:t>SOFR +</w:t>
            </w:r>
          </w:p>
        </w:tc>
        <w:tc>
          <w:tcPr>
            <w:tcW w:w="1020" w:type="dxa"/>
            <w:vAlign w:val="bottom"/>
            <w:shd w:val="clear" w:color="auto" w:fill="D0EBF2"/>
          </w:tcPr>
          <w:p>
            <w:pPr>
              <w:jc w:val="right"/>
              <w:ind w:right="24"/>
              <w:spacing w:after="0" w:line="159" w:lineRule="exact"/>
              <w:rPr>
                <w:sz w:val="20"/>
                <w:szCs w:val="20"/>
                <w:color w:val="auto"/>
              </w:rPr>
            </w:pPr>
            <w:r>
              <w:rPr>
                <w:rFonts w:ascii="Times New Roman" w:cs="Times New Roman" w:eastAsia="Times New Roman" w:hAnsi="Times New Roman"/>
                <w:sz w:val="15"/>
                <w:szCs w:val="15"/>
                <w:color w:val="231F20"/>
              </w:rPr>
              <w:t>10.04%</w:t>
            </w:r>
          </w:p>
        </w:tc>
        <w:tc>
          <w:tcPr>
            <w:tcW w:w="1000" w:type="dxa"/>
            <w:vAlign w:val="bottom"/>
            <w:shd w:val="clear" w:color="auto" w:fill="D0EBF2"/>
          </w:tcPr>
          <w:p>
            <w:pPr>
              <w:jc w:val="right"/>
              <w:spacing w:after="0" w:line="159" w:lineRule="exact"/>
              <w:rPr>
                <w:sz w:val="20"/>
                <w:szCs w:val="20"/>
                <w:color w:val="auto"/>
              </w:rPr>
            </w:pPr>
            <w:r>
              <w:rPr>
                <w:rFonts w:ascii="Times New Roman" w:cs="Times New Roman" w:eastAsia="Times New Roman" w:hAnsi="Times New Roman"/>
                <w:sz w:val="15"/>
                <w:szCs w:val="15"/>
                <w:color w:val="231F20"/>
              </w:rPr>
              <w:t>1,066</w:t>
            </w:r>
          </w:p>
        </w:tc>
        <w:tc>
          <w:tcPr>
            <w:tcW w:w="1140" w:type="dxa"/>
            <w:vAlign w:val="bottom"/>
            <w:gridSpan w:val="2"/>
            <w:shd w:val="clear" w:color="auto" w:fill="D0EBF2"/>
          </w:tcPr>
          <w:p>
            <w:pPr>
              <w:jc w:val="right"/>
              <w:spacing w:after="0" w:line="159" w:lineRule="exact"/>
              <w:rPr>
                <w:sz w:val="20"/>
                <w:szCs w:val="20"/>
                <w:color w:val="auto"/>
              </w:rPr>
            </w:pPr>
            <w:r>
              <w:rPr>
                <w:rFonts w:ascii="Times New Roman" w:cs="Times New Roman" w:eastAsia="Times New Roman" w:hAnsi="Times New Roman"/>
                <w:sz w:val="15"/>
                <w:szCs w:val="15"/>
                <w:color w:val="231F20"/>
              </w:rPr>
              <w:t>1,257</w:t>
            </w:r>
          </w:p>
        </w:tc>
        <w:tc>
          <w:tcPr>
            <w:tcW w:w="1340" w:type="dxa"/>
            <w:vAlign w:val="bottom"/>
            <w:gridSpan w:val="3"/>
            <w:shd w:val="clear" w:color="auto" w:fill="D0EBF2"/>
          </w:tcPr>
          <w:p>
            <w:pPr>
              <w:jc w:val="right"/>
              <w:ind w:right="120"/>
              <w:spacing w:after="0" w:line="159" w:lineRule="exact"/>
              <w:rPr>
                <w:sz w:val="20"/>
                <w:szCs w:val="20"/>
                <w:color w:val="auto"/>
              </w:rPr>
            </w:pPr>
            <w:r>
              <w:rPr>
                <w:rFonts w:ascii="Times New Roman" w:cs="Times New Roman" w:eastAsia="Times New Roman" w:hAnsi="Times New Roman"/>
                <w:sz w:val="15"/>
                <w:szCs w:val="15"/>
                <w:color w:val="231F20"/>
              </w:rPr>
              <w:t>0.1%</w:t>
            </w:r>
          </w:p>
        </w:tc>
        <w:tc>
          <w:tcPr>
            <w:tcW w:w="0" w:type="dxa"/>
            <w:vAlign w:val="bottom"/>
          </w:tcPr>
          <w:p>
            <w:pPr>
              <w:spacing w:after="0"/>
              <w:rPr>
                <w:sz w:val="1"/>
                <w:szCs w:val="1"/>
                <w:color w:val="auto"/>
              </w:rPr>
            </w:pPr>
          </w:p>
        </w:tc>
      </w:tr>
      <w:tr>
        <w:trPr>
          <w:trHeight w:val="169"/>
        </w:trPr>
        <w:tc>
          <w:tcPr>
            <w:tcW w:w="1460" w:type="dxa"/>
            <w:vAlign w:val="bottom"/>
            <w:tcBorders>
              <w:bottom w:val="single" w:sz="8" w:color="D0EBF2"/>
            </w:tcBorders>
            <w:shd w:val="clear" w:color="auto" w:fill="D0EBF2"/>
          </w:tcPr>
          <w:p>
            <w:pPr>
              <w:spacing w:after="0"/>
              <w:rPr>
                <w:sz w:val="20"/>
                <w:szCs w:val="20"/>
                <w:color w:val="auto"/>
              </w:rPr>
            </w:pPr>
            <w:r>
              <w:rPr>
                <w:rFonts w:ascii="Times New Roman" w:cs="Times New Roman" w:eastAsia="Times New Roman" w:hAnsi="Times New Roman"/>
                <w:sz w:val="9"/>
                <w:szCs w:val="9"/>
                <w:color w:val="231F20"/>
              </w:rPr>
              <w:t>(3)(5)</w:t>
            </w:r>
          </w:p>
        </w:tc>
        <w:tc>
          <w:tcPr>
            <w:tcW w:w="2420" w:type="dxa"/>
            <w:vAlign w:val="bottom"/>
            <w:tcBorders>
              <w:bottom w:val="single" w:sz="8" w:color="D0EBF2"/>
            </w:tcBorders>
            <w:shd w:val="clear" w:color="auto" w:fill="D0EBF2"/>
          </w:tcPr>
          <w:p>
            <w:pPr>
              <w:ind w:left="60"/>
              <w:spacing w:after="0" w:line="169" w:lineRule="exact"/>
              <w:rPr>
                <w:sz w:val="20"/>
                <w:szCs w:val="20"/>
                <w:color w:val="auto"/>
              </w:rPr>
            </w:pPr>
            <w:r>
              <w:rPr>
                <w:rFonts w:ascii="Times New Roman" w:cs="Times New Roman" w:eastAsia="Times New Roman" w:hAnsi="Times New Roman"/>
                <w:sz w:val="15"/>
                <w:szCs w:val="15"/>
                <w:color w:val="231F20"/>
              </w:rPr>
              <w:t>5/2027)</w:t>
            </w:r>
          </w:p>
        </w:tc>
        <w:tc>
          <w:tcPr>
            <w:tcW w:w="820" w:type="dxa"/>
            <w:vAlign w:val="bottom"/>
            <w:tcBorders>
              <w:bottom w:val="single" w:sz="8" w:color="D0EBF2"/>
            </w:tcBorders>
            <w:shd w:val="clear" w:color="auto" w:fill="D0EBF2"/>
          </w:tcPr>
          <w:p>
            <w:pPr>
              <w:spacing w:after="0"/>
              <w:rPr>
                <w:sz w:val="14"/>
                <w:szCs w:val="14"/>
                <w:color w:val="auto"/>
              </w:rPr>
            </w:pPr>
          </w:p>
        </w:tc>
        <w:tc>
          <w:tcPr>
            <w:tcW w:w="20" w:type="dxa"/>
            <w:vAlign w:val="bottom"/>
          </w:tcPr>
          <w:p>
            <w:pPr>
              <w:spacing w:after="0"/>
              <w:rPr>
                <w:sz w:val="14"/>
                <w:szCs w:val="14"/>
                <w:color w:val="auto"/>
              </w:rPr>
            </w:pPr>
          </w:p>
        </w:tc>
        <w:tc>
          <w:tcPr>
            <w:tcW w:w="1060" w:type="dxa"/>
            <w:vAlign w:val="bottom"/>
            <w:tcBorders>
              <w:bottom w:val="single" w:sz="8" w:color="D0EBF2"/>
            </w:tcBorders>
            <w:shd w:val="clear" w:color="auto" w:fill="D0EBF2"/>
          </w:tcPr>
          <w:p>
            <w:pPr>
              <w:jc w:val="right"/>
              <w:ind w:right="124"/>
              <w:spacing w:after="0" w:line="169" w:lineRule="exact"/>
              <w:rPr>
                <w:sz w:val="20"/>
                <w:szCs w:val="20"/>
                <w:color w:val="auto"/>
              </w:rPr>
            </w:pPr>
            <w:r>
              <w:rPr>
                <w:rFonts w:ascii="Times New Roman" w:cs="Times New Roman" w:eastAsia="Times New Roman" w:hAnsi="Times New Roman"/>
                <w:sz w:val="15"/>
                <w:szCs w:val="15"/>
                <w:color w:val="231F20"/>
              </w:rPr>
              <w:t>4.65%</w:t>
            </w:r>
          </w:p>
        </w:tc>
        <w:tc>
          <w:tcPr>
            <w:tcW w:w="1020" w:type="dxa"/>
            <w:vAlign w:val="bottom"/>
            <w:tcBorders>
              <w:bottom w:val="single" w:sz="8" w:color="D0EBF2"/>
            </w:tcBorders>
            <w:shd w:val="clear" w:color="auto" w:fill="D0EBF2"/>
          </w:tcPr>
          <w:p>
            <w:pPr>
              <w:spacing w:after="0"/>
              <w:rPr>
                <w:sz w:val="14"/>
                <w:szCs w:val="14"/>
                <w:color w:val="auto"/>
              </w:rPr>
            </w:pPr>
          </w:p>
        </w:tc>
        <w:tc>
          <w:tcPr>
            <w:tcW w:w="1000" w:type="dxa"/>
            <w:vAlign w:val="bottom"/>
            <w:tcBorders>
              <w:bottom w:val="single" w:sz="8" w:color="D0EBF2"/>
            </w:tcBorders>
            <w:shd w:val="clear" w:color="auto" w:fill="D0EBF2"/>
          </w:tcPr>
          <w:p>
            <w:pPr>
              <w:spacing w:after="0"/>
              <w:rPr>
                <w:sz w:val="14"/>
                <w:szCs w:val="14"/>
                <w:color w:val="auto"/>
              </w:rPr>
            </w:pPr>
          </w:p>
        </w:tc>
        <w:tc>
          <w:tcPr>
            <w:tcW w:w="180" w:type="dxa"/>
            <w:vAlign w:val="bottom"/>
            <w:tcBorders>
              <w:bottom w:val="single" w:sz="8" w:color="D0EBF2"/>
            </w:tcBorders>
            <w:shd w:val="clear" w:color="auto" w:fill="D0EBF2"/>
          </w:tcPr>
          <w:p>
            <w:pPr>
              <w:spacing w:after="0"/>
              <w:rPr>
                <w:sz w:val="14"/>
                <w:szCs w:val="14"/>
                <w:color w:val="auto"/>
              </w:rPr>
            </w:pPr>
          </w:p>
        </w:tc>
        <w:tc>
          <w:tcPr>
            <w:tcW w:w="960" w:type="dxa"/>
            <w:vAlign w:val="bottom"/>
            <w:tcBorders>
              <w:bottom w:val="single" w:sz="8" w:color="D0EBF2"/>
            </w:tcBorders>
            <w:shd w:val="clear" w:color="auto" w:fill="D0EBF2"/>
          </w:tcPr>
          <w:p>
            <w:pPr>
              <w:spacing w:after="0"/>
              <w:rPr>
                <w:sz w:val="14"/>
                <w:szCs w:val="14"/>
                <w:color w:val="auto"/>
              </w:rPr>
            </w:pPr>
          </w:p>
        </w:tc>
        <w:tc>
          <w:tcPr>
            <w:tcW w:w="200" w:type="dxa"/>
            <w:vAlign w:val="bottom"/>
            <w:tcBorders>
              <w:bottom w:val="single" w:sz="8" w:color="D0EBF2"/>
            </w:tcBorders>
            <w:shd w:val="clear" w:color="auto" w:fill="D0EBF2"/>
          </w:tcPr>
          <w:p>
            <w:pPr>
              <w:spacing w:after="0"/>
              <w:rPr>
                <w:sz w:val="14"/>
                <w:szCs w:val="14"/>
                <w:color w:val="auto"/>
              </w:rPr>
            </w:pPr>
          </w:p>
        </w:tc>
        <w:tc>
          <w:tcPr>
            <w:tcW w:w="900" w:type="dxa"/>
            <w:vAlign w:val="bottom"/>
            <w:tcBorders>
              <w:bottom w:val="single" w:sz="8" w:color="D0EBF2"/>
            </w:tcBorders>
            <w:shd w:val="clear" w:color="auto" w:fill="D0EBF2"/>
          </w:tcPr>
          <w:p>
            <w:pPr>
              <w:spacing w:after="0"/>
              <w:rPr>
                <w:sz w:val="14"/>
                <w:szCs w:val="14"/>
                <w:color w:val="auto"/>
              </w:rPr>
            </w:pPr>
          </w:p>
        </w:tc>
        <w:tc>
          <w:tcPr>
            <w:tcW w:w="240" w:type="dxa"/>
            <w:vAlign w:val="bottom"/>
            <w:tcBorders>
              <w:bottom w:val="single" w:sz="8" w:color="D0EBF2"/>
            </w:tcBorders>
            <w:shd w:val="clear" w:color="auto" w:fill="D0EBF2"/>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1460" w:type="dxa"/>
            <w:vAlign w:val="bottom"/>
            <w:shd w:val="clear" w:color="auto" w:fill="FDFDFC"/>
          </w:tcPr>
          <w:p>
            <w:pPr>
              <w:spacing w:after="0" w:line="159" w:lineRule="exact"/>
              <w:rPr>
                <w:sz w:val="20"/>
                <w:szCs w:val="20"/>
                <w:color w:val="auto"/>
              </w:rPr>
            </w:pPr>
            <w:r>
              <w:rPr>
                <w:rFonts w:ascii="Times New Roman" w:cs="Times New Roman" w:eastAsia="Times New Roman" w:hAnsi="Times New Roman"/>
                <w:sz w:val="15"/>
                <w:szCs w:val="15"/>
                <w:color w:val="231F20"/>
              </w:rPr>
              <w:t xml:space="preserve">Ibis US Blocker Co. </w:t>
            </w:r>
            <w:r>
              <w:rPr>
                <w:rFonts w:ascii="Times New Roman" w:cs="Times New Roman" w:eastAsia="Times New Roman" w:hAnsi="Times New Roman"/>
                <w:sz w:val="9"/>
                <w:szCs w:val="9"/>
                <w:color w:val="231F20"/>
              </w:rPr>
              <w:t>(3)</w:t>
            </w:r>
          </w:p>
        </w:tc>
        <w:tc>
          <w:tcPr>
            <w:tcW w:w="2420" w:type="dxa"/>
            <w:vAlign w:val="bottom"/>
            <w:shd w:val="clear" w:color="auto" w:fill="FDFDFC"/>
          </w:tcPr>
          <w:p>
            <w:pPr>
              <w:ind w:left="60"/>
              <w:spacing w:after="0" w:line="159" w:lineRule="exact"/>
              <w:rPr>
                <w:sz w:val="20"/>
                <w:szCs w:val="20"/>
                <w:color w:val="auto"/>
              </w:rPr>
            </w:pPr>
            <w:r>
              <w:rPr>
                <w:rFonts w:ascii="Times New Roman" w:cs="Times New Roman" w:eastAsia="Times New Roman" w:hAnsi="Times New Roman"/>
                <w:sz w:val="15"/>
                <w:szCs w:val="15"/>
                <w:color w:val="231F20"/>
              </w:rPr>
              <w:t>First-lien loan ($15,958 par, due</w:t>
            </w:r>
          </w:p>
        </w:tc>
        <w:tc>
          <w:tcPr>
            <w:tcW w:w="820" w:type="dxa"/>
            <w:vAlign w:val="bottom"/>
            <w:shd w:val="clear" w:color="auto" w:fill="FDFDFC"/>
          </w:tcPr>
          <w:p>
            <w:pPr>
              <w:jc w:val="right"/>
              <w:spacing w:after="0" w:line="159" w:lineRule="exact"/>
              <w:rPr>
                <w:sz w:val="20"/>
                <w:szCs w:val="20"/>
                <w:color w:val="auto"/>
              </w:rPr>
            </w:pPr>
            <w:r>
              <w:rPr>
                <w:rFonts w:ascii="Times New Roman" w:cs="Times New Roman" w:eastAsia="Times New Roman" w:hAnsi="Times New Roman"/>
                <w:sz w:val="15"/>
                <w:szCs w:val="15"/>
                <w:color w:val="231F20"/>
              </w:rPr>
              <w:t>5/28/2021</w:t>
            </w:r>
          </w:p>
        </w:tc>
        <w:tc>
          <w:tcPr>
            <w:tcW w:w="20" w:type="dxa"/>
            <w:vAlign w:val="bottom"/>
          </w:tcPr>
          <w:p>
            <w:pPr>
              <w:spacing w:after="0"/>
              <w:rPr>
                <w:sz w:val="13"/>
                <w:szCs w:val="13"/>
                <w:color w:val="auto"/>
              </w:rPr>
            </w:pPr>
          </w:p>
        </w:tc>
        <w:tc>
          <w:tcPr>
            <w:tcW w:w="1060" w:type="dxa"/>
            <w:vAlign w:val="bottom"/>
            <w:shd w:val="clear" w:color="auto" w:fill="FDFDFC"/>
          </w:tcPr>
          <w:p>
            <w:pPr>
              <w:jc w:val="right"/>
              <w:ind w:right="124"/>
              <w:spacing w:after="0" w:line="159" w:lineRule="exact"/>
              <w:rPr>
                <w:sz w:val="20"/>
                <w:szCs w:val="20"/>
                <w:color w:val="auto"/>
              </w:rPr>
            </w:pPr>
            <w:r>
              <w:rPr>
                <w:rFonts w:ascii="Times New Roman" w:cs="Times New Roman" w:eastAsia="Times New Roman" w:hAnsi="Times New Roman"/>
                <w:sz w:val="15"/>
                <w:szCs w:val="15"/>
                <w:color w:val="231F20"/>
              </w:rPr>
              <w:t>SOFR +</w:t>
            </w:r>
          </w:p>
        </w:tc>
        <w:tc>
          <w:tcPr>
            <w:tcW w:w="1020" w:type="dxa"/>
            <w:vAlign w:val="bottom"/>
            <w:shd w:val="clear" w:color="auto" w:fill="FDFDFC"/>
          </w:tcPr>
          <w:p>
            <w:pPr>
              <w:jc w:val="right"/>
              <w:ind w:right="164"/>
              <w:spacing w:after="0" w:line="159" w:lineRule="exact"/>
              <w:rPr>
                <w:sz w:val="20"/>
                <w:szCs w:val="20"/>
                <w:color w:val="auto"/>
              </w:rPr>
            </w:pPr>
            <w:r>
              <w:rPr>
                <w:rFonts w:ascii="Times New Roman" w:cs="Times New Roman" w:eastAsia="Times New Roman" w:hAnsi="Times New Roman"/>
                <w:sz w:val="15"/>
                <w:szCs w:val="15"/>
                <w:color w:val="231F20"/>
              </w:rPr>
              <w:t>13.79%</w:t>
            </w:r>
          </w:p>
        </w:tc>
        <w:tc>
          <w:tcPr>
            <w:tcW w:w="1000" w:type="dxa"/>
            <w:vAlign w:val="bottom"/>
            <w:shd w:val="clear" w:color="auto" w:fill="FDFDFC"/>
          </w:tcPr>
          <w:p>
            <w:pPr>
              <w:jc w:val="right"/>
              <w:spacing w:after="0" w:line="159" w:lineRule="exact"/>
              <w:rPr>
                <w:sz w:val="20"/>
                <w:szCs w:val="20"/>
                <w:color w:val="auto"/>
              </w:rPr>
            </w:pPr>
            <w:r>
              <w:rPr>
                <w:rFonts w:ascii="Times New Roman" w:cs="Times New Roman" w:eastAsia="Times New Roman" w:hAnsi="Times New Roman"/>
                <w:sz w:val="15"/>
                <w:szCs w:val="15"/>
                <w:color w:val="231F20"/>
              </w:rPr>
              <w:t>15,743</w:t>
            </w:r>
          </w:p>
        </w:tc>
        <w:tc>
          <w:tcPr>
            <w:tcW w:w="1140" w:type="dxa"/>
            <w:vAlign w:val="bottom"/>
            <w:gridSpan w:val="2"/>
            <w:shd w:val="clear" w:color="auto" w:fill="FDFDFC"/>
          </w:tcPr>
          <w:p>
            <w:pPr>
              <w:jc w:val="right"/>
              <w:spacing w:after="0" w:line="159" w:lineRule="exact"/>
              <w:rPr>
                <w:sz w:val="20"/>
                <w:szCs w:val="20"/>
                <w:color w:val="auto"/>
              </w:rPr>
            </w:pPr>
            <w:r>
              <w:rPr>
                <w:rFonts w:ascii="Times New Roman" w:cs="Times New Roman" w:eastAsia="Times New Roman" w:hAnsi="Times New Roman"/>
                <w:sz w:val="15"/>
                <w:szCs w:val="15"/>
                <w:color w:val="231F20"/>
              </w:rPr>
              <w:t>15,838</w:t>
            </w:r>
          </w:p>
        </w:tc>
        <w:tc>
          <w:tcPr>
            <w:tcW w:w="1340" w:type="dxa"/>
            <w:vAlign w:val="bottom"/>
            <w:gridSpan w:val="3"/>
            <w:shd w:val="clear" w:color="auto" w:fill="FDFDFC"/>
          </w:tcPr>
          <w:p>
            <w:pPr>
              <w:jc w:val="right"/>
              <w:ind w:right="120"/>
              <w:spacing w:after="0" w:line="159" w:lineRule="exact"/>
              <w:rPr>
                <w:sz w:val="20"/>
                <w:szCs w:val="20"/>
                <w:color w:val="auto"/>
              </w:rPr>
            </w:pPr>
            <w:r>
              <w:rPr>
                <w:rFonts w:ascii="Times New Roman" w:cs="Times New Roman" w:eastAsia="Times New Roman" w:hAnsi="Times New Roman"/>
                <w:sz w:val="15"/>
                <w:szCs w:val="15"/>
                <w:color w:val="231F20"/>
              </w:rPr>
              <w:t>1.1%</w:t>
            </w:r>
          </w:p>
        </w:tc>
        <w:tc>
          <w:tcPr>
            <w:tcW w:w="0" w:type="dxa"/>
            <w:vAlign w:val="bottom"/>
          </w:tcPr>
          <w:p>
            <w:pPr>
              <w:spacing w:after="0"/>
              <w:rPr>
                <w:sz w:val="1"/>
                <w:szCs w:val="1"/>
                <w:color w:val="auto"/>
              </w:rPr>
            </w:pPr>
          </w:p>
        </w:tc>
      </w:tr>
      <w:tr>
        <w:trPr>
          <w:trHeight w:val="189"/>
        </w:trPr>
        <w:tc>
          <w:tcPr>
            <w:tcW w:w="1460" w:type="dxa"/>
            <w:vAlign w:val="bottom"/>
            <w:shd w:val="clear" w:color="auto" w:fill="FDFDFC"/>
          </w:tcPr>
          <w:p>
            <w:pPr>
              <w:spacing w:after="0"/>
              <w:rPr>
                <w:sz w:val="16"/>
                <w:szCs w:val="16"/>
                <w:color w:val="auto"/>
              </w:rPr>
            </w:pPr>
          </w:p>
        </w:tc>
        <w:tc>
          <w:tcPr>
            <w:tcW w:w="2420" w:type="dxa"/>
            <w:vAlign w:val="bottom"/>
            <w:shd w:val="clear" w:color="auto" w:fill="FDFDFC"/>
          </w:tcPr>
          <w:p>
            <w:pPr>
              <w:ind w:left="60"/>
              <w:spacing w:after="0"/>
              <w:rPr>
                <w:sz w:val="20"/>
                <w:szCs w:val="20"/>
                <w:color w:val="auto"/>
              </w:rPr>
            </w:pPr>
            <w:r>
              <w:rPr>
                <w:rFonts w:ascii="Times New Roman" w:cs="Times New Roman" w:eastAsia="Times New Roman" w:hAnsi="Times New Roman"/>
                <w:sz w:val="15"/>
                <w:szCs w:val="15"/>
                <w:color w:val="231F20"/>
              </w:rPr>
              <w:t>5/2028)</w:t>
            </w:r>
          </w:p>
        </w:tc>
        <w:tc>
          <w:tcPr>
            <w:tcW w:w="820" w:type="dxa"/>
            <w:vAlign w:val="bottom"/>
            <w:shd w:val="clear" w:color="auto" w:fill="FDFDFC"/>
          </w:tcPr>
          <w:p>
            <w:pPr>
              <w:spacing w:after="0"/>
              <w:rPr>
                <w:sz w:val="16"/>
                <w:szCs w:val="16"/>
                <w:color w:val="auto"/>
              </w:rPr>
            </w:pPr>
          </w:p>
        </w:tc>
        <w:tc>
          <w:tcPr>
            <w:tcW w:w="20" w:type="dxa"/>
            <w:vAlign w:val="bottom"/>
          </w:tcPr>
          <w:p>
            <w:pPr>
              <w:spacing w:after="0"/>
              <w:rPr>
                <w:sz w:val="16"/>
                <w:szCs w:val="16"/>
                <w:color w:val="auto"/>
              </w:rPr>
            </w:pPr>
          </w:p>
        </w:tc>
        <w:tc>
          <w:tcPr>
            <w:tcW w:w="1060" w:type="dxa"/>
            <w:vAlign w:val="bottom"/>
            <w:shd w:val="clear" w:color="auto" w:fill="FDFDFC"/>
          </w:tcPr>
          <w:p>
            <w:pPr>
              <w:jc w:val="right"/>
              <w:ind w:right="124"/>
              <w:spacing w:after="0"/>
              <w:rPr>
                <w:sz w:val="20"/>
                <w:szCs w:val="20"/>
                <w:color w:val="auto"/>
              </w:rPr>
            </w:pPr>
            <w:r>
              <w:rPr>
                <w:rFonts w:ascii="Times New Roman" w:cs="Times New Roman" w:eastAsia="Times New Roman" w:hAnsi="Times New Roman"/>
                <w:sz w:val="15"/>
                <w:szCs w:val="15"/>
                <w:color w:val="231F20"/>
              </w:rPr>
              <w:t>8.40%</w:t>
            </w:r>
          </w:p>
        </w:tc>
        <w:tc>
          <w:tcPr>
            <w:tcW w:w="1020" w:type="dxa"/>
            <w:vAlign w:val="bottom"/>
            <w:shd w:val="clear" w:color="auto" w:fill="FDFDFC"/>
          </w:tcPr>
          <w:p>
            <w:pPr>
              <w:jc w:val="right"/>
              <w:ind w:right="164"/>
              <w:spacing w:after="0"/>
              <w:rPr>
                <w:sz w:val="20"/>
                <w:szCs w:val="20"/>
                <w:color w:val="auto"/>
              </w:rPr>
            </w:pPr>
            <w:r>
              <w:rPr>
                <w:rFonts w:ascii="Times New Roman" w:cs="Times New Roman" w:eastAsia="Times New Roman" w:hAnsi="Times New Roman"/>
                <w:sz w:val="15"/>
                <w:szCs w:val="15"/>
                <w:color w:val="231F20"/>
              </w:rPr>
              <w:t>PIK</w:t>
            </w:r>
          </w:p>
        </w:tc>
        <w:tc>
          <w:tcPr>
            <w:tcW w:w="1000" w:type="dxa"/>
            <w:vAlign w:val="bottom"/>
            <w:shd w:val="clear" w:color="auto" w:fill="FDFDFC"/>
          </w:tcPr>
          <w:p>
            <w:pPr>
              <w:spacing w:after="0"/>
              <w:rPr>
                <w:sz w:val="16"/>
                <w:szCs w:val="16"/>
                <w:color w:val="auto"/>
              </w:rPr>
            </w:pPr>
          </w:p>
        </w:tc>
        <w:tc>
          <w:tcPr>
            <w:tcW w:w="180" w:type="dxa"/>
            <w:vAlign w:val="bottom"/>
            <w:shd w:val="clear" w:color="auto" w:fill="FDFDFC"/>
          </w:tcPr>
          <w:p>
            <w:pPr>
              <w:spacing w:after="0"/>
              <w:rPr>
                <w:sz w:val="16"/>
                <w:szCs w:val="16"/>
                <w:color w:val="auto"/>
              </w:rPr>
            </w:pPr>
          </w:p>
        </w:tc>
        <w:tc>
          <w:tcPr>
            <w:tcW w:w="960" w:type="dxa"/>
            <w:vAlign w:val="bottom"/>
            <w:shd w:val="clear" w:color="auto" w:fill="FDFDFC"/>
          </w:tcPr>
          <w:p>
            <w:pPr>
              <w:spacing w:after="0"/>
              <w:rPr>
                <w:sz w:val="16"/>
                <w:szCs w:val="16"/>
                <w:color w:val="auto"/>
              </w:rPr>
            </w:pPr>
          </w:p>
        </w:tc>
        <w:tc>
          <w:tcPr>
            <w:tcW w:w="200" w:type="dxa"/>
            <w:vAlign w:val="bottom"/>
            <w:shd w:val="clear" w:color="auto" w:fill="FDFDFC"/>
          </w:tcPr>
          <w:p>
            <w:pPr>
              <w:spacing w:after="0"/>
              <w:rPr>
                <w:sz w:val="16"/>
                <w:szCs w:val="16"/>
                <w:color w:val="auto"/>
              </w:rPr>
            </w:pPr>
          </w:p>
        </w:tc>
        <w:tc>
          <w:tcPr>
            <w:tcW w:w="900" w:type="dxa"/>
            <w:vAlign w:val="bottom"/>
            <w:shd w:val="clear" w:color="auto" w:fill="FDFDFC"/>
          </w:tcPr>
          <w:p>
            <w:pPr>
              <w:spacing w:after="0"/>
              <w:rPr>
                <w:sz w:val="16"/>
                <w:szCs w:val="16"/>
                <w:color w:val="auto"/>
              </w:rPr>
            </w:pPr>
          </w:p>
        </w:tc>
        <w:tc>
          <w:tcPr>
            <w:tcW w:w="240" w:type="dxa"/>
            <w:vAlign w:val="bottom"/>
            <w:shd w:val="clear" w:color="auto" w:fill="FDFDFC"/>
          </w:tcPr>
          <w:p>
            <w:pPr>
              <w:spacing w:after="0"/>
              <w:rPr>
                <w:sz w:val="16"/>
                <w:szCs w:val="16"/>
                <w:color w:val="auto"/>
              </w:rPr>
            </w:pPr>
          </w:p>
        </w:tc>
        <w:tc>
          <w:tcPr>
            <w:tcW w:w="0" w:type="dxa"/>
            <w:vAlign w:val="bottom"/>
          </w:tcPr>
          <w:p>
            <w:pPr>
              <w:spacing w:after="0"/>
              <w:rPr>
                <w:sz w:val="1"/>
                <w:szCs w:val="1"/>
                <w:color w:val="auto"/>
              </w:rPr>
            </w:pPr>
          </w:p>
        </w:tc>
      </w:tr>
      <w:tr>
        <w:trPr>
          <w:trHeight w:val="158"/>
        </w:trPr>
        <w:tc>
          <w:tcPr>
            <w:tcW w:w="1460" w:type="dxa"/>
            <w:vAlign w:val="bottom"/>
            <w:shd w:val="clear" w:color="auto" w:fill="D0EBF2"/>
          </w:tcPr>
          <w:p>
            <w:pPr>
              <w:spacing w:after="0" w:line="159" w:lineRule="exact"/>
              <w:rPr>
                <w:sz w:val="20"/>
                <w:szCs w:val="20"/>
                <w:color w:val="auto"/>
              </w:rPr>
            </w:pPr>
            <w:r>
              <w:rPr>
                <w:rFonts w:ascii="Times New Roman" w:cs="Times New Roman" w:eastAsia="Times New Roman" w:hAnsi="Times New Roman"/>
                <w:sz w:val="15"/>
                <w:szCs w:val="15"/>
                <w:color w:val="231F20"/>
              </w:rPr>
              <w:t xml:space="preserve">Kyriba Corp. </w:t>
            </w:r>
            <w:r>
              <w:rPr>
                <w:rFonts w:ascii="Times New Roman" w:cs="Times New Roman" w:eastAsia="Times New Roman" w:hAnsi="Times New Roman"/>
                <w:sz w:val="9"/>
                <w:szCs w:val="9"/>
                <w:color w:val="231F20"/>
              </w:rPr>
              <w:t>(3)</w:t>
            </w:r>
          </w:p>
        </w:tc>
        <w:tc>
          <w:tcPr>
            <w:tcW w:w="2420" w:type="dxa"/>
            <w:vAlign w:val="bottom"/>
            <w:shd w:val="clear" w:color="auto" w:fill="D0EBF2"/>
          </w:tcPr>
          <w:p>
            <w:pPr>
              <w:ind w:left="60"/>
              <w:spacing w:after="0" w:line="159" w:lineRule="exact"/>
              <w:rPr>
                <w:sz w:val="20"/>
                <w:szCs w:val="20"/>
                <w:color w:val="auto"/>
              </w:rPr>
            </w:pPr>
            <w:r>
              <w:rPr>
                <w:rFonts w:ascii="Times New Roman" w:cs="Times New Roman" w:eastAsia="Times New Roman" w:hAnsi="Times New Roman"/>
                <w:sz w:val="15"/>
                <w:szCs w:val="15"/>
                <w:color w:val="231F20"/>
              </w:rPr>
              <w:t>First-lien loan ($35,634 par, due</w:t>
            </w:r>
          </w:p>
        </w:tc>
        <w:tc>
          <w:tcPr>
            <w:tcW w:w="820" w:type="dxa"/>
            <w:vAlign w:val="bottom"/>
            <w:shd w:val="clear" w:color="auto" w:fill="D0EBF2"/>
          </w:tcPr>
          <w:p>
            <w:pPr>
              <w:jc w:val="right"/>
              <w:spacing w:after="0" w:line="159" w:lineRule="exact"/>
              <w:rPr>
                <w:sz w:val="20"/>
                <w:szCs w:val="20"/>
                <w:color w:val="auto"/>
              </w:rPr>
            </w:pPr>
            <w:r>
              <w:rPr>
                <w:rFonts w:ascii="Times New Roman" w:cs="Times New Roman" w:eastAsia="Times New Roman" w:hAnsi="Times New Roman"/>
                <w:sz w:val="15"/>
                <w:szCs w:val="15"/>
                <w:color w:val="231F20"/>
              </w:rPr>
              <w:t>12/21/2023</w:t>
            </w:r>
          </w:p>
        </w:tc>
        <w:tc>
          <w:tcPr>
            <w:tcW w:w="20" w:type="dxa"/>
            <w:vAlign w:val="bottom"/>
          </w:tcPr>
          <w:p>
            <w:pPr>
              <w:spacing w:after="0"/>
              <w:rPr>
                <w:sz w:val="13"/>
                <w:szCs w:val="13"/>
                <w:color w:val="auto"/>
              </w:rPr>
            </w:pPr>
          </w:p>
        </w:tc>
        <w:tc>
          <w:tcPr>
            <w:tcW w:w="1060" w:type="dxa"/>
            <w:vAlign w:val="bottom"/>
            <w:shd w:val="clear" w:color="auto" w:fill="D0EBF2"/>
          </w:tcPr>
          <w:p>
            <w:pPr>
              <w:jc w:val="right"/>
              <w:ind w:right="124"/>
              <w:spacing w:after="0" w:line="159" w:lineRule="exact"/>
              <w:rPr>
                <w:sz w:val="20"/>
                <w:szCs w:val="20"/>
                <w:color w:val="auto"/>
              </w:rPr>
            </w:pPr>
            <w:r>
              <w:rPr>
                <w:rFonts w:ascii="Times New Roman" w:cs="Times New Roman" w:eastAsia="Times New Roman" w:hAnsi="Times New Roman"/>
                <w:sz w:val="15"/>
                <w:szCs w:val="15"/>
                <w:color w:val="231F20"/>
              </w:rPr>
              <w:t>SOFR +</w:t>
            </w:r>
          </w:p>
        </w:tc>
        <w:tc>
          <w:tcPr>
            <w:tcW w:w="1020" w:type="dxa"/>
            <w:vAlign w:val="bottom"/>
            <w:shd w:val="clear" w:color="auto" w:fill="D0EBF2"/>
          </w:tcPr>
          <w:p>
            <w:pPr>
              <w:jc w:val="right"/>
              <w:ind w:right="164"/>
              <w:spacing w:after="0" w:line="159" w:lineRule="exact"/>
              <w:rPr>
                <w:sz w:val="20"/>
                <w:szCs w:val="20"/>
                <w:color w:val="auto"/>
              </w:rPr>
            </w:pPr>
            <w:r>
              <w:rPr>
                <w:rFonts w:ascii="Times New Roman" w:cs="Times New Roman" w:eastAsia="Times New Roman" w:hAnsi="Times New Roman"/>
                <w:sz w:val="15"/>
                <w:szCs w:val="15"/>
                <w:color w:val="231F20"/>
              </w:rPr>
              <w:t>13.87%</w:t>
            </w:r>
          </w:p>
        </w:tc>
        <w:tc>
          <w:tcPr>
            <w:tcW w:w="1000" w:type="dxa"/>
            <w:vAlign w:val="bottom"/>
            <w:shd w:val="clear" w:color="auto" w:fill="D0EBF2"/>
          </w:tcPr>
          <w:p>
            <w:pPr>
              <w:jc w:val="right"/>
              <w:spacing w:after="0" w:line="159" w:lineRule="exact"/>
              <w:rPr>
                <w:sz w:val="20"/>
                <w:szCs w:val="20"/>
                <w:color w:val="auto"/>
              </w:rPr>
            </w:pPr>
            <w:r>
              <w:rPr>
                <w:rFonts w:ascii="Times New Roman" w:cs="Times New Roman" w:eastAsia="Times New Roman" w:hAnsi="Times New Roman"/>
                <w:sz w:val="15"/>
                <w:szCs w:val="15"/>
                <w:color w:val="231F20"/>
              </w:rPr>
              <w:t>34,875</w:t>
            </w:r>
          </w:p>
        </w:tc>
        <w:tc>
          <w:tcPr>
            <w:tcW w:w="1140" w:type="dxa"/>
            <w:vAlign w:val="bottom"/>
            <w:gridSpan w:val="2"/>
            <w:shd w:val="clear" w:color="auto" w:fill="D0EBF2"/>
          </w:tcPr>
          <w:p>
            <w:pPr>
              <w:jc w:val="right"/>
              <w:spacing w:after="0" w:line="159" w:lineRule="exact"/>
              <w:rPr>
                <w:sz w:val="20"/>
                <w:szCs w:val="20"/>
                <w:color w:val="auto"/>
              </w:rPr>
            </w:pPr>
            <w:r>
              <w:rPr>
                <w:rFonts w:ascii="Times New Roman" w:cs="Times New Roman" w:eastAsia="Times New Roman" w:hAnsi="Times New Roman"/>
                <w:sz w:val="15"/>
                <w:szCs w:val="15"/>
                <w:color w:val="231F20"/>
              </w:rPr>
              <w:t>34,871</w:t>
            </w:r>
          </w:p>
        </w:tc>
        <w:tc>
          <w:tcPr>
            <w:tcW w:w="1340" w:type="dxa"/>
            <w:vAlign w:val="bottom"/>
            <w:gridSpan w:val="3"/>
            <w:shd w:val="clear" w:color="auto" w:fill="D0EBF2"/>
          </w:tcPr>
          <w:p>
            <w:pPr>
              <w:jc w:val="right"/>
              <w:ind w:right="120"/>
              <w:spacing w:after="0" w:line="159" w:lineRule="exact"/>
              <w:rPr>
                <w:sz w:val="20"/>
                <w:szCs w:val="20"/>
                <w:color w:val="auto"/>
              </w:rPr>
            </w:pPr>
            <w:r>
              <w:rPr>
                <w:rFonts w:ascii="Times New Roman" w:cs="Times New Roman" w:eastAsia="Times New Roman" w:hAnsi="Times New Roman"/>
                <w:sz w:val="15"/>
                <w:szCs w:val="15"/>
                <w:color w:val="231F20"/>
              </w:rPr>
              <w:t>2.3%</w:t>
            </w:r>
          </w:p>
        </w:tc>
        <w:tc>
          <w:tcPr>
            <w:tcW w:w="0" w:type="dxa"/>
            <w:vAlign w:val="bottom"/>
          </w:tcPr>
          <w:p>
            <w:pPr>
              <w:spacing w:after="0"/>
              <w:rPr>
                <w:sz w:val="1"/>
                <w:szCs w:val="1"/>
                <w:color w:val="auto"/>
              </w:rPr>
            </w:pPr>
          </w:p>
        </w:tc>
      </w:tr>
      <w:tr>
        <w:trPr>
          <w:trHeight w:val="174"/>
        </w:trPr>
        <w:tc>
          <w:tcPr>
            <w:tcW w:w="1460" w:type="dxa"/>
            <w:vAlign w:val="bottom"/>
            <w:shd w:val="clear" w:color="auto" w:fill="D0EBF2"/>
          </w:tcPr>
          <w:p>
            <w:pPr>
              <w:spacing w:after="0"/>
              <w:rPr>
                <w:sz w:val="15"/>
                <w:szCs w:val="15"/>
                <w:color w:val="auto"/>
              </w:rPr>
            </w:pPr>
          </w:p>
        </w:tc>
        <w:tc>
          <w:tcPr>
            <w:tcW w:w="2420" w:type="dxa"/>
            <w:vAlign w:val="bottom"/>
            <w:shd w:val="clear" w:color="auto" w:fill="D0EBF2"/>
          </w:tcPr>
          <w:p>
            <w:pPr>
              <w:ind w:left="60"/>
              <w:spacing w:after="0"/>
              <w:rPr>
                <w:sz w:val="20"/>
                <w:szCs w:val="20"/>
                <w:color w:val="auto"/>
              </w:rPr>
            </w:pPr>
            <w:r>
              <w:rPr>
                <w:rFonts w:ascii="Times New Roman" w:cs="Times New Roman" w:eastAsia="Times New Roman" w:hAnsi="Times New Roman"/>
                <w:sz w:val="15"/>
                <w:szCs w:val="15"/>
                <w:color w:val="231F20"/>
              </w:rPr>
              <w:t>4/2028)</w:t>
            </w:r>
          </w:p>
        </w:tc>
        <w:tc>
          <w:tcPr>
            <w:tcW w:w="820" w:type="dxa"/>
            <w:vAlign w:val="bottom"/>
            <w:shd w:val="clear" w:color="auto" w:fill="D0EBF2"/>
          </w:tcPr>
          <w:p>
            <w:pPr>
              <w:spacing w:after="0"/>
              <w:rPr>
                <w:sz w:val="15"/>
                <w:szCs w:val="15"/>
                <w:color w:val="auto"/>
              </w:rPr>
            </w:pPr>
          </w:p>
        </w:tc>
        <w:tc>
          <w:tcPr>
            <w:tcW w:w="20" w:type="dxa"/>
            <w:vAlign w:val="bottom"/>
          </w:tcPr>
          <w:p>
            <w:pPr>
              <w:spacing w:after="0"/>
              <w:rPr>
                <w:sz w:val="15"/>
                <w:szCs w:val="15"/>
                <w:color w:val="auto"/>
              </w:rPr>
            </w:pPr>
          </w:p>
        </w:tc>
        <w:tc>
          <w:tcPr>
            <w:tcW w:w="1060" w:type="dxa"/>
            <w:vAlign w:val="bottom"/>
            <w:shd w:val="clear" w:color="auto" w:fill="D0EBF2"/>
          </w:tcPr>
          <w:p>
            <w:pPr>
              <w:jc w:val="right"/>
              <w:ind w:right="124"/>
              <w:spacing w:after="0"/>
              <w:rPr>
                <w:sz w:val="20"/>
                <w:szCs w:val="20"/>
                <w:color w:val="auto"/>
              </w:rPr>
            </w:pPr>
            <w:r>
              <w:rPr>
                <w:rFonts w:ascii="Times New Roman" w:cs="Times New Roman" w:eastAsia="Times New Roman" w:hAnsi="Times New Roman"/>
                <w:sz w:val="15"/>
                <w:szCs w:val="15"/>
                <w:color w:val="231F20"/>
              </w:rPr>
              <w:t>8.50%</w:t>
            </w:r>
          </w:p>
        </w:tc>
        <w:tc>
          <w:tcPr>
            <w:tcW w:w="1020" w:type="dxa"/>
            <w:vAlign w:val="bottom"/>
            <w:shd w:val="clear" w:color="auto" w:fill="D0EBF2"/>
          </w:tcPr>
          <w:p>
            <w:pPr>
              <w:jc w:val="right"/>
              <w:ind w:right="164"/>
              <w:spacing w:after="0"/>
              <w:rPr>
                <w:sz w:val="20"/>
                <w:szCs w:val="20"/>
                <w:color w:val="auto"/>
              </w:rPr>
            </w:pPr>
            <w:r>
              <w:rPr>
                <w:rFonts w:ascii="Times New Roman" w:cs="Times New Roman" w:eastAsia="Times New Roman" w:hAnsi="Times New Roman"/>
                <w:sz w:val="15"/>
                <w:szCs w:val="15"/>
                <w:color w:val="231F20"/>
              </w:rPr>
              <w:t>(incl. 8.50%</w:t>
            </w:r>
          </w:p>
        </w:tc>
        <w:tc>
          <w:tcPr>
            <w:tcW w:w="1000" w:type="dxa"/>
            <w:vAlign w:val="bottom"/>
            <w:shd w:val="clear" w:color="auto" w:fill="D0EBF2"/>
          </w:tcPr>
          <w:p>
            <w:pPr>
              <w:spacing w:after="0"/>
              <w:rPr>
                <w:sz w:val="15"/>
                <w:szCs w:val="15"/>
                <w:color w:val="auto"/>
              </w:rPr>
            </w:pPr>
          </w:p>
        </w:tc>
        <w:tc>
          <w:tcPr>
            <w:tcW w:w="180" w:type="dxa"/>
            <w:vAlign w:val="bottom"/>
            <w:shd w:val="clear" w:color="auto" w:fill="D0EBF2"/>
          </w:tcPr>
          <w:p>
            <w:pPr>
              <w:spacing w:after="0"/>
              <w:rPr>
                <w:sz w:val="15"/>
                <w:szCs w:val="15"/>
                <w:color w:val="auto"/>
              </w:rPr>
            </w:pPr>
          </w:p>
        </w:tc>
        <w:tc>
          <w:tcPr>
            <w:tcW w:w="960" w:type="dxa"/>
            <w:vAlign w:val="bottom"/>
            <w:shd w:val="clear" w:color="auto" w:fill="D0EBF2"/>
          </w:tcPr>
          <w:p>
            <w:pPr>
              <w:spacing w:after="0"/>
              <w:rPr>
                <w:sz w:val="15"/>
                <w:szCs w:val="15"/>
                <w:color w:val="auto"/>
              </w:rPr>
            </w:pPr>
          </w:p>
        </w:tc>
        <w:tc>
          <w:tcPr>
            <w:tcW w:w="200" w:type="dxa"/>
            <w:vAlign w:val="bottom"/>
            <w:shd w:val="clear" w:color="auto" w:fill="D0EBF2"/>
          </w:tcPr>
          <w:p>
            <w:pPr>
              <w:spacing w:after="0"/>
              <w:rPr>
                <w:sz w:val="15"/>
                <w:szCs w:val="15"/>
                <w:color w:val="auto"/>
              </w:rPr>
            </w:pPr>
          </w:p>
        </w:tc>
        <w:tc>
          <w:tcPr>
            <w:tcW w:w="900" w:type="dxa"/>
            <w:vAlign w:val="bottom"/>
            <w:shd w:val="clear" w:color="auto" w:fill="D0EBF2"/>
          </w:tcPr>
          <w:p>
            <w:pPr>
              <w:spacing w:after="0"/>
              <w:rPr>
                <w:sz w:val="15"/>
                <w:szCs w:val="15"/>
                <w:color w:val="auto"/>
              </w:rPr>
            </w:pPr>
          </w:p>
        </w:tc>
        <w:tc>
          <w:tcPr>
            <w:tcW w:w="240" w:type="dxa"/>
            <w:vAlign w:val="bottom"/>
            <w:shd w:val="clear" w:color="auto" w:fill="D0EBF2"/>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1460" w:type="dxa"/>
            <w:vAlign w:val="bottom"/>
            <w:shd w:val="clear" w:color="auto" w:fill="D0EBF2"/>
          </w:tcPr>
          <w:p>
            <w:pPr>
              <w:spacing w:after="0"/>
              <w:rPr>
                <w:sz w:val="16"/>
                <w:szCs w:val="16"/>
                <w:color w:val="auto"/>
              </w:rPr>
            </w:pPr>
          </w:p>
        </w:tc>
        <w:tc>
          <w:tcPr>
            <w:tcW w:w="2420" w:type="dxa"/>
            <w:vAlign w:val="bottom"/>
            <w:shd w:val="clear" w:color="auto" w:fill="D0EBF2"/>
          </w:tcPr>
          <w:p>
            <w:pPr>
              <w:spacing w:after="0"/>
              <w:rPr>
                <w:sz w:val="16"/>
                <w:szCs w:val="16"/>
                <w:color w:val="auto"/>
              </w:rPr>
            </w:pPr>
          </w:p>
        </w:tc>
        <w:tc>
          <w:tcPr>
            <w:tcW w:w="820" w:type="dxa"/>
            <w:vAlign w:val="bottom"/>
            <w:shd w:val="clear" w:color="auto" w:fill="D0EBF2"/>
          </w:tcPr>
          <w:p>
            <w:pPr>
              <w:spacing w:after="0"/>
              <w:rPr>
                <w:sz w:val="16"/>
                <w:szCs w:val="16"/>
                <w:color w:val="auto"/>
              </w:rPr>
            </w:pPr>
          </w:p>
        </w:tc>
        <w:tc>
          <w:tcPr>
            <w:tcW w:w="20" w:type="dxa"/>
            <w:vAlign w:val="bottom"/>
          </w:tcPr>
          <w:p>
            <w:pPr>
              <w:spacing w:after="0"/>
              <w:rPr>
                <w:sz w:val="16"/>
                <w:szCs w:val="16"/>
                <w:color w:val="auto"/>
              </w:rPr>
            </w:pPr>
          </w:p>
        </w:tc>
        <w:tc>
          <w:tcPr>
            <w:tcW w:w="1060" w:type="dxa"/>
            <w:vAlign w:val="bottom"/>
            <w:shd w:val="clear" w:color="auto" w:fill="D0EBF2"/>
          </w:tcPr>
          <w:p>
            <w:pPr>
              <w:spacing w:after="0"/>
              <w:rPr>
                <w:sz w:val="16"/>
                <w:szCs w:val="16"/>
                <w:color w:val="auto"/>
              </w:rPr>
            </w:pPr>
          </w:p>
        </w:tc>
        <w:tc>
          <w:tcPr>
            <w:tcW w:w="1020" w:type="dxa"/>
            <w:vAlign w:val="bottom"/>
            <w:shd w:val="clear" w:color="auto" w:fill="D0EBF2"/>
          </w:tcPr>
          <w:p>
            <w:pPr>
              <w:jc w:val="right"/>
              <w:ind w:right="164"/>
              <w:spacing w:after="0"/>
              <w:rPr>
                <w:sz w:val="20"/>
                <w:szCs w:val="20"/>
                <w:color w:val="auto"/>
              </w:rPr>
            </w:pPr>
            <w:r>
              <w:rPr>
                <w:rFonts w:ascii="Times New Roman" w:cs="Times New Roman" w:eastAsia="Times New Roman" w:hAnsi="Times New Roman"/>
                <w:sz w:val="15"/>
                <w:szCs w:val="15"/>
                <w:color w:val="231F20"/>
              </w:rPr>
              <w:t>PIK)</w:t>
            </w:r>
          </w:p>
        </w:tc>
        <w:tc>
          <w:tcPr>
            <w:tcW w:w="1000" w:type="dxa"/>
            <w:vAlign w:val="bottom"/>
            <w:shd w:val="clear" w:color="auto" w:fill="D0EBF2"/>
          </w:tcPr>
          <w:p>
            <w:pPr>
              <w:spacing w:after="0"/>
              <w:rPr>
                <w:sz w:val="16"/>
                <w:szCs w:val="16"/>
                <w:color w:val="auto"/>
              </w:rPr>
            </w:pPr>
          </w:p>
        </w:tc>
        <w:tc>
          <w:tcPr>
            <w:tcW w:w="180" w:type="dxa"/>
            <w:vAlign w:val="bottom"/>
            <w:shd w:val="clear" w:color="auto" w:fill="D0EBF2"/>
          </w:tcPr>
          <w:p>
            <w:pPr>
              <w:spacing w:after="0"/>
              <w:rPr>
                <w:sz w:val="16"/>
                <w:szCs w:val="16"/>
                <w:color w:val="auto"/>
              </w:rPr>
            </w:pPr>
          </w:p>
        </w:tc>
        <w:tc>
          <w:tcPr>
            <w:tcW w:w="960" w:type="dxa"/>
            <w:vAlign w:val="bottom"/>
            <w:shd w:val="clear" w:color="auto" w:fill="D0EBF2"/>
          </w:tcPr>
          <w:p>
            <w:pPr>
              <w:spacing w:after="0"/>
              <w:rPr>
                <w:sz w:val="16"/>
                <w:szCs w:val="16"/>
                <w:color w:val="auto"/>
              </w:rPr>
            </w:pPr>
          </w:p>
        </w:tc>
        <w:tc>
          <w:tcPr>
            <w:tcW w:w="200" w:type="dxa"/>
            <w:vAlign w:val="bottom"/>
            <w:shd w:val="clear" w:color="auto" w:fill="D0EBF2"/>
          </w:tcPr>
          <w:p>
            <w:pPr>
              <w:spacing w:after="0"/>
              <w:rPr>
                <w:sz w:val="16"/>
                <w:szCs w:val="16"/>
                <w:color w:val="auto"/>
              </w:rPr>
            </w:pPr>
          </w:p>
        </w:tc>
        <w:tc>
          <w:tcPr>
            <w:tcW w:w="900" w:type="dxa"/>
            <w:vAlign w:val="bottom"/>
            <w:shd w:val="clear" w:color="auto" w:fill="D0EBF2"/>
          </w:tcPr>
          <w:p>
            <w:pPr>
              <w:spacing w:after="0"/>
              <w:rPr>
                <w:sz w:val="16"/>
                <w:szCs w:val="16"/>
                <w:color w:val="auto"/>
              </w:rPr>
            </w:pPr>
          </w:p>
        </w:tc>
        <w:tc>
          <w:tcPr>
            <w:tcW w:w="240" w:type="dxa"/>
            <w:vAlign w:val="bottom"/>
            <w:shd w:val="clear" w:color="auto" w:fill="D0EBF2"/>
          </w:tcPr>
          <w:p>
            <w:pPr>
              <w:spacing w:after="0"/>
              <w:rPr>
                <w:sz w:val="16"/>
                <w:szCs w:val="16"/>
                <w:color w:val="auto"/>
              </w:rPr>
            </w:pPr>
          </w:p>
        </w:tc>
        <w:tc>
          <w:tcPr>
            <w:tcW w:w="0" w:type="dxa"/>
            <w:vAlign w:val="bottom"/>
          </w:tcPr>
          <w:p>
            <w:pPr>
              <w:spacing w:after="0"/>
              <w:rPr>
                <w:sz w:val="1"/>
                <w:szCs w:val="1"/>
                <w:color w:val="auto"/>
              </w:rPr>
            </w:pPr>
          </w:p>
        </w:tc>
      </w:tr>
      <w:tr>
        <w:trPr>
          <w:trHeight w:val="158"/>
        </w:trPr>
        <w:tc>
          <w:tcPr>
            <w:tcW w:w="1460" w:type="dxa"/>
            <w:vAlign w:val="bottom"/>
            <w:shd w:val="clear" w:color="auto" w:fill="FDFDFC"/>
          </w:tcPr>
          <w:p>
            <w:pPr>
              <w:spacing w:after="0"/>
              <w:rPr>
                <w:sz w:val="13"/>
                <w:szCs w:val="13"/>
                <w:color w:val="auto"/>
              </w:rPr>
            </w:pPr>
          </w:p>
        </w:tc>
        <w:tc>
          <w:tcPr>
            <w:tcW w:w="2420" w:type="dxa"/>
            <w:vAlign w:val="bottom"/>
            <w:shd w:val="clear" w:color="auto" w:fill="FDFDFC"/>
          </w:tcPr>
          <w:p>
            <w:pPr>
              <w:ind w:left="60"/>
              <w:spacing w:after="0" w:line="159" w:lineRule="exact"/>
              <w:rPr>
                <w:sz w:val="20"/>
                <w:szCs w:val="20"/>
                <w:color w:val="auto"/>
              </w:rPr>
            </w:pPr>
            <w:r>
              <w:rPr>
                <w:rFonts w:ascii="Times New Roman" w:cs="Times New Roman" w:eastAsia="Times New Roman" w:hAnsi="Times New Roman"/>
                <w:sz w:val="15"/>
                <w:szCs w:val="15"/>
                <w:color w:val="231F20"/>
              </w:rPr>
              <w:t>First-lien loan (EUR 10,924 par, due</w:t>
            </w:r>
          </w:p>
        </w:tc>
        <w:tc>
          <w:tcPr>
            <w:tcW w:w="820" w:type="dxa"/>
            <w:vAlign w:val="bottom"/>
            <w:shd w:val="clear" w:color="auto" w:fill="FDFDFC"/>
          </w:tcPr>
          <w:p>
            <w:pPr>
              <w:jc w:val="right"/>
              <w:spacing w:after="0" w:line="159" w:lineRule="exact"/>
              <w:rPr>
                <w:sz w:val="20"/>
                <w:szCs w:val="20"/>
                <w:color w:val="auto"/>
              </w:rPr>
            </w:pPr>
            <w:r>
              <w:rPr>
                <w:rFonts w:ascii="Times New Roman" w:cs="Times New Roman" w:eastAsia="Times New Roman" w:hAnsi="Times New Roman"/>
                <w:sz w:val="15"/>
                <w:szCs w:val="15"/>
                <w:color w:val="231F20"/>
              </w:rPr>
              <w:t>12/21/2023</w:t>
            </w:r>
          </w:p>
        </w:tc>
        <w:tc>
          <w:tcPr>
            <w:tcW w:w="20" w:type="dxa"/>
            <w:vAlign w:val="bottom"/>
          </w:tcPr>
          <w:p>
            <w:pPr>
              <w:spacing w:after="0"/>
              <w:rPr>
                <w:sz w:val="13"/>
                <w:szCs w:val="13"/>
                <w:color w:val="auto"/>
              </w:rPr>
            </w:pPr>
          </w:p>
        </w:tc>
        <w:tc>
          <w:tcPr>
            <w:tcW w:w="1060" w:type="dxa"/>
            <w:vAlign w:val="bottom"/>
            <w:shd w:val="clear" w:color="auto" w:fill="FDFDFC"/>
          </w:tcPr>
          <w:p>
            <w:pPr>
              <w:jc w:val="right"/>
              <w:ind w:right="124"/>
              <w:spacing w:after="0" w:line="159" w:lineRule="exact"/>
              <w:rPr>
                <w:sz w:val="20"/>
                <w:szCs w:val="20"/>
                <w:color w:val="auto"/>
              </w:rPr>
            </w:pPr>
            <w:r>
              <w:rPr>
                <w:rFonts w:ascii="Times New Roman" w:cs="Times New Roman" w:eastAsia="Times New Roman" w:hAnsi="Times New Roman"/>
                <w:sz w:val="15"/>
                <w:szCs w:val="15"/>
                <w:color w:val="231F20"/>
              </w:rPr>
              <w:t>E + 8.50%</w:t>
            </w:r>
          </w:p>
        </w:tc>
        <w:tc>
          <w:tcPr>
            <w:tcW w:w="1020" w:type="dxa"/>
            <w:vAlign w:val="bottom"/>
            <w:shd w:val="clear" w:color="auto" w:fill="FDFDFC"/>
          </w:tcPr>
          <w:p>
            <w:pPr>
              <w:jc w:val="right"/>
              <w:ind w:right="164"/>
              <w:spacing w:after="0" w:line="159" w:lineRule="exact"/>
              <w:rPr>
                <w:sz w:val="20"/>
                <w:szCs w:val="20"/>
                <w:color w:val="auto"/>
              </w:rPr>
            </w:pPr>
            <w:r>
              <w:rPr>
                <w:rFonts w:ascii="Times New Roman" w:cs="Times New Roman" w:eastAsia="Times New Roman" w:hAnsi="Times New Roman"/>
                <w:sz w:val="15"/>
                <w:szCs w:val="15"/>
                <w:color w:val="231F20"/>
              </w:rPr>
              <w:t>12.42%</w:t>
            </w:r>
          </w:p>
        </w:tc>
        <w:tc>
          <w:tcPr>
            <w:tcW w:w="1000" w:type="dxa"/>
            <w:vAlign w:val="bottom"/>
            <w:shd w:val="clear" w:color="auto" w:fill="FDFDFC"/>
          </w:tcPr>
          <w:p>
            <w:pPr>
              <w:jc w:val="right"/>
              <w:spacing w:after="0" w:line="159" w:lineRule="exact"/>
              <w:rPr>
                <w:sz w:val="20"/>
                <w:szCs w:val="20"/>
                <w:color w:val="auto"/>
              </w:rPr>
            </w:pPr>
            <w:r>
              <w:rPr>
                <w:rFonts w:ascii="Times New Roman" w:cs="Times New Roman" w:eastAsia="Times New Roman" w:hAnsi="Times New Roman"/>
                <w:sz w:val="15"/>
                <w:szCs w:val="15"/>
                <w:color w:val="231F20"/>
              </w:rPr>
              <w:t>11,766</w:t>
            </w:r>
          </w:p>
        </w:tc>
        <w:tc>
          <w:tcPr>
            <w:tcW w:w="1140" w:type="dxa"/>
            <w:vAlign w:val="bottom"/>
            <w:gridSpan w:val="2"/>
            <w:shd w:val="clear" w:color="auto" w:fill="FDFDFC"/>
          </w:tcPr>
          <w:p>
            <w:pPr>
              <w:jc w:val="right"/>
              <w:spacing w:after="0" w:line="159" w:lineRule="exact"/>
              <w:rPr>
                <w:sz w:val="20"/>
                <w:szCs w:val="20"/>
                <w:color w:val="auto"/>
              </w:rPr>
            </w:pPr>
            <w:r>
              <w:rPr>
                <w:rFonts w:ascii="Times New Roman" w:cs="Times New Roman" w:eastAsia="Times New Roman" w:hAnsi="Times New Roman"/>
                <w:sz w:val="15"/>
                <w:szCs w:val="15"/>
                <w:color w:val="231F20"/>
              </w:rPr>
              <w:t>11,825</w:t>
            </w:r>
          </w:p>
        </w:tc>
        <w:tc>
          <w:tcPr>
            <w:tcW w:w="1340" w:type="dxa"/>
            <w:vAlign w:val="bottom"/>
            <w:gridSpan w:val="3"/>
            <w:shd w:val="clear" w:color="auto" w:fill="FDFDFC"/>
          </w:tcPr>
          <w:p>
            <w:pPr>
              <w:jc w:val="right"/>
              <w:ind w:right="120"/>
              <w:spacing w:after="0" w:line="159" w:lineRule="exact"/>
              <w:rPr>
                <w:sz w:val="20"/>
                <w:szCs w:val="20"/>
                <w:color w:val="auto"/>
              </w:rPr>
            </w:pPr>
            <w:r>
              <w:rPr>
                <w:rFonts w:ascii="Times New Roman" w:cs="Times New Roman" w:eastAsia="Times New Roman" w:hAnsi="Times New Roman"/>
                <w:sz w:val="15"/>
                <w:szCs w:val="15"/>
                <w:color w:val="231F20"/>
              </w:rPr>
              <w:t>0.8%</w:t>
            </w:r>
          </w:p>
        </w:tc>
        <w:tc>
          <w:tcPr>
            <w:tcW w:w="0" w:type="dxa"/>
            <w:vAlign w:val="bottom"/>
          </w:tcPr>
          <w:p>
            <w:pPr>
              <w:spacing w:after="0"/>
              <w:rPr>
                <w:sz w:val="1"/>
                <w:szCs w:val="1"/>
                <w:color w:val="auto"/>
              </w:rPr>
            </w:pPr>
          </w:p>
        </w:tc>
      </w:tr>
      <w:tr>
        <w:trPr>
          <w:trHeight w:val="174"/>
        </w:trPr>
        <w:tc>
          <w:tcPr>
            <w:tcW w:w="1460" w:type="dxa"/>
            <w:vAlign w:val="bottom"/>
            <w:shd w:val="clear" w:color="auto" w:fill="FDFDFC"/>
          </w:tcPr>
          <w:p>
            <w:pPr>
              <w:spacing w:after="0"/>
              <w:rPr>
                <w:sz w:val="15"/>
                <w:szCs w:val="15"/>
                <w:color w:val="auto"/>
              </w:rPr>
            </w:pPr>
          </w:p>
        </w:tc>
        <w:tc>
          <w:tcPr>
            <w:tcW w:w="2420" w:type="dxa"/>
            <w:vAlign w:val="bottom"/>
            <w:shd w:val="clear" w:color="auto" w:fill="FDFDFC"/>
          </w:tcPr>
          <w:p>
            <w:pPr>
              <w:ind w:left="60"/>
              <w:spacing w:after="0"/>
              <w:rPr>
                <w:sz w:val="20"/>
                <w:szCs w:val="20"/>
                <w:color w:val="auto"/>
              </w:rPr>
            </w:pPr>
            <w:r>
              <w:rPr>
                <w:rFonts w:ascii="Times New Roman" w:cs="Times New Roman" w:eastAsia="Times New Roman" w:hAnsi="Times New Roman"/>
                <w:sz w:val="15"/>
                <w:szCs w:val="15"/>
                <w:color w:val="231F20"/>
              </w:rPr>
              <w:t>4/2028)</w:t>
            </w:r>
          </w:p>
        </w:tc>
        <w:tc>
          <w:tcPr>
            <w:tcW w:w="820" w:type="dxa"/>
            <w:vAlign w:val="bottom"/>
            <w:shd w:val="clear" w:color="auto" w:fill="FDFDFC"/>
          </w:tcPr>
          <w:p>
            <w:pPr>
              <w:spacing w:after="0"/>
              <w:rPr>
                <w:sz w:val="15"/>
                <w:szCs w:val="15"/>
                <w:color w:val="auto"/>
              </w:rPr>
            </w:pPr>
          </w:p>
        </w:tc>
        <w:tc>
          <w:tcPr>
            <w:tcW w:w="20" w:type="dxa"/>
            <w:vAlign w:val="bottom"/>
          </w:tcPr>
          <w:p>
            <w:pPr>
              <w:spacing w:after="0"/>
              <w:rPr>
                <w:sz w:val="15"/>
                <w:szCs w:val="15"/>
                <w:color w:val="auto"/>
              </w:rPr>
            </w:pPr>
          </w:p>
        </w:tc>
        <w:tc>
          <w:tcPr>
            <w:tcW w:w="1060" w:type="dxa"/>
            <w:vAlign w:val="bottom"/>
            <w:shd w:val="clear" w:color="auto" w:fill="FDFDFC"/>
          </w:tcPr>
          <w:p>
            <w:pPr>
              <w:spacing w:after="0"/>
              <w:rPr>
                <w:sz w:val="15"/>
                <w:szCs w:val="15"/>
                <w:color w:val="auto"/>
              </w:rPr>
            </w:pPr>
          </w:p>
        </w:tc>
        <w:tc>
          <w:tcPr>
            <w:tcW w:w="1020" w:type="dxa"/>
            <w:vAlign w:val="bottom"/>
            <w:shd w:val="clear" w:color="auto" w:fill="FDFDFC"/>
          </w:tcPr>
          <w:p>
            <w:pPr>
              <w:jc w:val="right"/>
              <w:ind w:right="164"/>
              <w:spacing w:after="0"/>
              <w:rPr>
                <w:sz w:val="20"/>
                <w:szCs w:val="20"/>
                <w:color w:val="auto"/>
              </w:rPr>
            </w:pPr>
            <w:r>
              <w:rPr>
                <w:rFonts w:ascii="Times New Roman" w:cs="Times New Roman" w:eastAsia="Times New Roman" w:hAnsi="Times New Roman"/>
                <w:sz w:val="15"/>
                <w:szCs w:val="15"/>
                <w:color w:val="231F20"/>
              </w:rPr>
              <w:t>(incl. 8.50%</w:t>
            </w:r>
          </w:p>
        </w:tc>
        <w:tc>
          <w:tcPr>
            <w:tcW w:w="1000" w:type="dxa"/>
            <w:vAlign w:val="bottom"/>
            <w:shd w:val="clear" w:color="auto" w:fill="FDFDFC"/>
          </w:tcPr>
          <w:p>
            <w:pPr>
              <w:spacing w:after="0"/>
              <w:rPr>
                <w:sz w:val="15"/>
                <w:szCs w:val="15"/>
                <w:color w:val="auto"/>
              </w:rPr>
            </w:pPr>
          </w:p>
        </w:tc>
        <w:tc>
          <w:tcPr>
            <w:tcW w:w="180" w:type="dxa"/>
            <w:vAlign w:val="bottom"/>
            <w:shd w:val="clear" w:color="auto" w:fill="FDFDFC"/>
          </w:tcPr>
          <w:p>
            <w:pPr>
              <w:spacing w:after="0"/>
              <w:rPr>
                <w:sz w:val="15"/>
                <w:szCs w:val="15"/>
                <w:color w:val="auto"/>
              </w:rPr>
            </w:pPr>
          </w:p>
        </w:tc>
        <w:tc>
          <w:tcPr>
            <w:tcW w:w="960" w:type="dxa"/>
            <w:vAlign w:val="bottom"/>
            <w:shd w:val="clear" w:color="auto" w:fill="FDFDFC"/>
          </w:tcPr>
          <w:p>
            <w:pPr>
              <w:jc w:val="right"/>
              <w:spacing w:after="0"/>
              <w:rPr>
                <w:sz w:val="20"/>
                <w:szCs w:val="20"/>
                <w:color w:val="auto"/>
              </w:rPr>
            </w:pPr>
            <w:r>
              <w:rPr>
                <w:rFonts w:ascii="Times New Roman" w:cs="Times New Roman" w:eastAsia="Times New Roman" w:hAnsi="Times New Roman"/>
                <w:sz w:val="15"/>
                <w:szCs w:val="15"/>
                <w:color w:val="231F20"/>
              </w:rPr>
              <w:t>(EUR</w:t>
            </w:r>
          </w:p>
        </w:tc>
        <w:tc>
          <w:tcPr>
            <w:tcW w:w="200" w:type="dxa"/>
            <w:vAlign w:val="bottom"/>
            <w:shd w:val="clear" w:color="auto" w:fill="FDFDFC"/>
          </w:tcPr>
          <w:p>
            <w:pPr>
              <w:spacing w:after="0"/>
              <w:rPr>
                <w:sz w:val="15"/>
                <w:szCs w:val="15"/>
                <w:color w:val="auto"/>
              </w:rPr>
            </w:pPr>
          </w:p>
        </w:tc>
        <w:tc>
          <w:tcPr>
            <w:tcW w:w="900" w:type="dxa"/>
            <w:vAlign w:val="bottom"/>
            <w:shd w:val="clear" w:color="auto" w:fill="FDFDFC"/>
          </w:tcPr>
          <w:p>
            <w:pPr>
              <w:spacing w:after="0"/>
              <w:rPr>
                <w:sz w:val="15"/>
                <w:szCs w:val="15"/>
                <w:color w:val="auto"/>
              </w:rPr>
            </w:pPr>
          </w:p>
        </w:tc>
        <w:tc>
          <w:tcPr>
            <w:tcW w:w="240" w:type="dxa"/>
            <w:vAlign w:val="bottom"/>
            <w:shd w:val="clear" w:color="auto" w:fill="FDFDFC"/>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1460" w:type="dxa"/>
            <w:vAlign w:val="bottom"/>
            <w:shd w:val="clear" w:color="auto" w:fill="FDFDFC"/>
          </w:tcPr>
          <w:p>
            <w:pPr>
              <w:spacing w:after="0"/>
              <w:rPr>
                <w:sz w:val="16"/>
                <w:szCs w:val="16"/>
                <w:color w:val="auto"/>
              </w:rPr>
            </w:pPr>
          </w:p>
        </w:tc>
        <w:tc>
          <w:tcPr>
            <w:tcW w:w="2420" w:type="dxa"/>
            <w:vAlign w:val="bottom"/>
            <w:shd w:val="clear" w:color="auto" w:fill="FDFDFC"/>
          </w:tcPr>
          <w:p>
            <w:pPr>
              <w:spacing w:after="0"/>
              <w:rPr>
                <w:sz w:val="16"/>
                <w:szCs w:val="16"/>
                <w:color w:val="auto"/>
              </w:rPr>
            </w:pPr>
          </w:p>
        </w:tc>
        <w:tc>
          <w:tcPr>
            <w:tcW w:w="820" w:type="dxa"/>
            <w:vAlign w:val="bottom"/>
            <w:shd w:val="clear" w:color="auto" w:fill="FDFDFC"/>
          </w:tcPr>
          <w:p>
            <w:pPr>
              <w:spacing w:after="0"/>
              <w:rPr>
                <w:sz w:val="16"/>
                <w:szCs w:val="16"/>
                <w:color w:val="auto"/>
              </w:rPr>
            </w:pPr>
          </w:p>
        </w:tc>
        <w:tc>
          <w:tcPr>
            <w:tcW w:w="20" w:type="dxa"/>
            <w:vAlign w:val="bottom"/>
          </w:tcPr>
          <w:p>
            <w:pPr>
              <w:spacing w:after="0"/>
              <w:rPr>
                <w:sz w:val="16"/>
                <w:szCs w:val="16"/>
                <w:color w:val="auto"/>
              </w:rPr>
            </w:pPr>
          </w:p>
        </w:tc>
        <w:tc>
          <w:tcPr>
            <w:tcW w:w="1060" w:type="dxa"/>
            <w:vAlign w:val="bottom"/>
            <w:shd w:val="clear" w:color="auto" w:fill="FDFDFC"/>
          </w:tcPr>
          <w:p>
            <w:pPr>
              <w:spacing w:after="0"/>
              <w:rPr>
                <w:sz w:val="16"/>
                <w:szCs w:val="16"/>
                <w:color w:val="auto"/>
              </w:rPr>
            </w:pPr>
          </w:p>
        </w:tc>
        <w:tc>
          <w:tcPr>
            <w:tcW w:w="1020" w:type="dxa"/>
            <w:vAlign w:val="bottom"/>
            <w:shd w:val="clear" w:color="auto" w:fill="FDFDFC"/>
          </w:tcPr>
          <w:p>
            <w:pPr>
              <w:jc w:val="right"/>
              <w:ind w:right="164"/>
              <w:spacing w:after="0"/>
              <w:rPr>
                <w:sz w:val="20"/>
                <w:szCs w:val="20"/>
                <w:color w:val="auto"/>
              </w:rPr>
            </w:pPr>
            <w:r>
              <w:rPr>
                <w:rFonts w:ascii="Times New Roman" w:cs="Times New Roman" w:eastAsia="Times New Roman" w:hAnsi="Times New Roman"/>
                <w:sz w:val="15"/>
                <w:szCs w:val="15"/>
                <w:color w:val="231F20"/>
              </w:rPr>
              <w:t>PIK)</w:t>
            </w:r>
          </w:p>
        </w:tc>
        <w:tc>
          <w:tcPr>
            <w:tcW w:w="1000" w:type="dxa"/>
            <w:vAlign w:val="bottom"/>
            <w:shd w:val="clear" w:color="auto" w:fill="FDFDFC"/>
          </w:tcPr>
          <w:p>
            <w:pPr>
              <w:spacing w:after="0"/>
              <w:rPr>
                <w:sz w:val="16"/>
                <w:szCs w:val="16"/>
                <w:color w:val="auto"/>
              </w:rPr>
            </w:pPr>
          </w:p>
        </w:tc>
        <w:tc>
          <w:tcPr>
            <w:tcW w:w="1140" w:type="dxa"/>
            <w:vAlign w:val="bottom"/>
            <w:gridSpan w:val="2"/>
            <w:shd w:val="clear" w:color="auto" w:fill="FDFDFC"/>
          </w:tcPr>
          <w:p>
            <w:pPr>
              <w:jc w:val="right"/>
              <w:spacing w:after="0"/>
              <w:rPr>
                <w:sz w:val="20"/>
                <w:szCs w:val="20"/>
                <w:color w:val="auto"/>
              </w:rPr>
            </w:pPr>
            <w:r>
              <w:rPr>
                <w:rFonts w:ascii="Times New Roman" w:cs="Times New Roman" w:eastAsia="Times New Roman" w:hAnsi="Times New Roman"/>
                <w:sz w:val="15"/>
                <w:szCs w:val="15"/>
                <w:color w:val="231F20"/>
              </w:rPr>
              <w:t>10,705)</w:t>
            </w:r>
          </w:p>
        </w:tc>
        <w:tc>
          <w:tcPr>
            <w:tcW w:w="200" w:type="dxa"/>
            <w:vAlign w:val="bottom"/>
            <w:shd w:val="clear" w:color="auto" w:fill="FDFDFC"/>
          </w:tcPr>
          <w:p>
            <w:pPr>
              <w:spacing w:after="0"/>
              <w:rPr>
                <w:sz w:val="16"/>
                <w:szCs w:val="16"/>
                <w:color w:val="auto"/>
              </w:rPr>
            </w:pPr>
          </w:p>
        </w:tc>
        <w:tc>
          <w:tcPr>
            <w:tcW w:w="900" w:type="dxa"/>
            <w:vAlign w:val="bottom"/>
            <w:shd w:val="clear" w:color="auto" w:fill="FDFDFC"/>
          </w:tcPr>
          <w:p>
            <w:pPr>
              <w:spacing w:after="0"/>
              <w:rPr>
                <w:sz w:val="16"/>
                <w:szCs w:val="16"/>
                <w:color w:val="auto"/>
              </w:rPr>
            </w:pPr>
          </w:p>
        </w:tc>
        <w:tc>
          <w:tcPr>
            <w:tcW w:w="240" w:type="dxa"/>
            <w:vAlign w:val="bottom"/>
            <w:shd w:val="clear" w:color="auto" w:fill="FDFDFC"/>
          </w:tcPr>
          <w:p>
            <w:pPr>
              <w:spacing w:after="0"/>
              <w:rPr>
                <w:sz w:val="16"/>
                <w:szCs w:val="16"/>
                <w:color w:val="auto"/>
              </w:rPr>
            </w:pPr>
          </w:p>
        </w:tc>
        <w:tc>
          <w:tcPr>
            <w:tcW w:w="0" w:type="dxa"/>
            <w:vAlign w:val="bottom"/>
          </w:tcPr>
          <w:p>
            <w:pPr>
              <w:spacing w:after="0"/>
              <w:rPr>
                <w:sz w:val="1"/>
                <w:szCs w:val="1"/>
                <w:color w:val="auto"/>
              </w:rPr>
            </w:pPr>
          </w:p>
        </w:tc>
      </w:tr>
      <w:tr>
        <w:trPr>
          <w:trHeight w:val="158"/>
        </w:trPr>
        <w:tc>
          <w:tcPr>
            <w:tcW w:w="1460" w:type="dxa"/>
            <w:vAlign w:val="bottom"/>
            <w:shd w:val="clear" w:color="auto" w:fill="D0EBF2"/>
          </w:tcPr>
          <w:p>
            <w:pPr>
              <w:spacing w:after="0" w:line="159" w:lineRule="exact"/>
              <w:rPr>
                <w:sz w:val="20"/>
                <w:szCs w:val="20"/>
                <w:color w:val="auto"/>
              </w:rPr>
            </w:pPr>
            <w:r>
              <w:rPr>
                <w:rFonts w:ascii="Times New Roman" w:cs="Times New Roman" w:eastAsia="Times New Roman" w:hAnsi="Times New Roman"/>
                <w:sz w:val="15"/>
                <w:szCs w:val="15"/>
                <w:color w:val="231F20"/>
              </w:rPr>
              <w:t>Passport Labs, Inc.</w:t>
            </w:r>
          </w:p>
        </w:tc>
        <w:tc>
          <w:tcPr>
            <w:tcW w:w="2420" w:type="dxa"/>
            <w:vAlign w:val="bottom"/>
            <w:shd w:val="clear" w:color="auto" w:fill="D0EBF2"/>
          </w:tcPr>
          <w:p>
            <w:pPr>
              <w:ind w:left="60"/>
              <w:spacing w:after="0" w:line="159" w:lineRule="exact"/>
              <w:rPr>
                <w:sz w:val="20"/>
                <w:szCs w:val="20"/>
                <w:color w:val="auto"/>
              </w:rPr>
            </w:pPr>
            <w:r>
              <w:rPr>
                <w:rFonts w:ascii="Times New Roman" w:cs="Times New Roman" w:eastAsia="Times New Roman" w:hAnsi="Times New Roman"/>
                <w:sz w:val="15"/>
                <w:szCs w:val="15"/>
                <w:color w:val="231F20"/>
              </w:rPr>
              <w:t>First-lien loan ($24,603 par, due</w:t>
            </w:r>
          </w:p>
        </w:tc>
        <w:tc>
          <w:tcPr>
            <w:tcW w:w="820" w:type="dxa"/>
            <w:vAlign w:val="bottom"/>
            <w:shd w:val="clear" w:color="auto" w:fill="D0EBF2"/>
          </w:tcPr>
          <w:p>
            <w:pPr>
              <w:jc w:val="right"/>
              <w:spacing w:after="0" w:line="159" w:lineRule="exact"/>
              <w:rPr>
                <w:sz w:val="20"/>
                <w:szCs w:val="20"/>
                <w:color w:val="auto"/>
              </w:rPr>
            </w:pPr>
            <w:r>
              <w:rPr>
                <w:rFonts w:ascii="Times New Roman" w:cs="Times New Roman" w:eastAsia="Times New Roman" w:hAnsi="Times New Roman"/>
                <w:sz w:val="15"/>
                <w:szCs w:val="15"/>
                <w:color w:val="231F20"/>
              </w:rPr>
              <w:t>4/28/2021</w:t>
            </w:r>
          </w:p>
        </w:tc>
        <w:tc>
          <w:tcPr>
            <w:tcW w:w="20" w:type="dxa"/>
            <w:vAlign w:val="bottom"/>
          </w:tcPr>
          <w:p>
            <w:pPr>
              <w:spacing w:after="0"/>
              <w:rPr>
                <w:sz w:val="13"/>
                <w:szCs w:val="13"/>
                <w:color w:val="auto"/>
              </w:rPr>
            </w:pPr>
          </w:p>
        </w:tc>
        <w:tc>
          <w:tcPr>
            <w:tcW w:w="1060" w:type="dxa"/>
            <w:vAlign w:val="bottom"/>
            <w:shd w:val="clear" w:color="auto" w:fill="D0EBF2"/>
          </w:tcPr>
          <w:p>
            <w:pPr>
              <w:jc w:val="right"/>
              <w:ind w:right="124"/>
              <w:spacing w:after="0" w:line="159" w:lineRule="exact"/>
              <w:rPr>
                <w:sz w:val="20"/>
                <w:szCs w:val="20"/>
                <w:color w:val="auto"/>
              </w:rPr>
            </w:pPr>
            <w:r>
              <w:rPr>
                <w:rFonts w:ascii="Times New Roman" w:cs="Times New Roman" w:eastAsia="Times New Roman" w:hAnsi="Times New Roman"/>
                <w:sz w:val="15"/>
                <w:szCs w:val="15"/>
                <w:color w:val="231F20"/>
              </w:rPr>
              <w:t>SOFR +</w:t>
            </w:r>
          </w:p>
        </w:tc>
        <w:tc>
          <w:tcPr>
            <w:tcW w:w="1020" w:type="dxa"/>
            <w:vAlign w:val="bottom"/>
            <w:shd w:val="clear" w:color="auto" w:fill="D0EBF2"/>
          </w:tcPr>
          <w:p>
            <w:pPr>
              <w:jc w:val="right"/>
              <w:ind w:right="24"/>
              <w:spacing w:after="0" w:line="159" w:lineRule="exact"/>
              <w:rPr>
                <w:sz w:val="20"/>
                <w:szCs w:val="20"/>
                <w:color w:val="auto"/>
              </w:rPr>
            </w:pPr>
            <w:r>
              <w:rPr>
                <w:rFonts w:ascii="Times New Roman" w:cs="Times New Roman" w:eastAsia="Times New Roman" w:hAnsi="Times New Roman"/>
                <w:sz w:val="15"/>
                <w:szCs w:val="15"/>
                <w:color w:val="231F20"/>
              </w:rPr>
              <w:t>13.75%</w:t>
            </w:r>
          </w:p>
        </w:tc>
        <w:tc>
          <w:tcPr>
            <w:tcW w:w="1000" w:type="dxa"/>
            <w:vAlign w:val="bottom"/>
            <w:shd w:val="clear" w:color="auto" w:fill="D0EBF2"/>
          </w:tcPr>
          <w:p>
            <w:pPr>
              <w:jc w:val="right"/>
              <w:spacing w:after="0" w:line="159" w:lineRule="exact"/>
              <w:rPr>
                <w:sz w:val="20"/>
                <w:szCs w:val="20"/>
                <w:color w:val="auto"/>
              </w:rPr>
            </w:pPr>
            <w:r>
              <w:rPr>
                <w:rFonts w:ascii="Times New Roman" w:cs="Times New Roman" w:eastAsia="Times New Roman" w:hAnsi="Times New Roman"/>
                <w:sz w:val="15"/>
                <w:szCs w:val="15"/>
                <w:color w:val="231F20"/>
              </w:rPr>
              <w:t>24,444</w:t>
            </w:r>
          </w:p>
        </w:tc>
        <w:tc>
          <w:tcPr>
            <w:tcW w:w="1140" w:type="dxa"/>
            <w:vAlign w:val="bottom"/>
            <w:gridSpan w:val="2"/>
            <w:shd w:val="clear" w:color="auto" w:fill="D0EBF2"/>
          </w:tcPr>
          <w:p>
            <w:pPr>
              <w:jc w:val="right"/>
              <w:spacing w:after="0" w:line="159" w:lineRule="exact"/>
              <w:rPr>
                <w:sz w:val="20"/>
                <w:szCs w:val="20"/>
                <w:color w:val="auto"/>
              </w:rPr>
            </w:pPr>
            <w:r>
              <w:rPr>
                <w:rFonts w:ascii="Times New Roman" w:cs="Times New Roman" w:eastAsia="Times New Roman" w:hAnsi="Times New Roman"/>
                <w:sz w:val="15"/>
                <w:szCs w:val="15"/>
                <w:color w:val="231F20"/>
              </w:rPr>
              <w:t>24,555</w:t>
            </w:r>
          </w:p>
        </w:tc>
        <w:tc>
          <w:tcPr>
            <w:tcW w:w="1340" w:type="dxa"/>
            <w:vAlign w:val="bottom"/>
            <w:gridSpan w:val="3"/>
            <w:shd w:val="clear" w:color="auto" w:fill="D0EBF2"/>
          </w:tcPr>
          <w:p>
            <w:pPr>
              <w:jc w:val="right"/>
              <w:ind w:right="120"/>
              <w:spacing w:after="0" w:line="159" w:lineRule="exact"/>
              <w:rPr>
                <w:sz w:val="20"/>
                <w:szCs w:val="20"/>
                <w:color w:val="auto"/>
              </w:rPr>
            </w:pPr>
            <w:r>
              <w:rPr>
                <w:rFonts w:ascii="Times New Roman" w:cs="Times New Roman" w:eastAsia="Times New Roman" w:hAnsi="Times New Roman"/>
                <w:sz w:val="15"/>
                <w:szCs w:val="15"/>
                <w:color w:val="231F20"/>
              </w:rPr>
              <w:t>1.6%</w:t>
            </w:r>
          </w:p>
        </w:tc>
        <w:tc>
          <w:tcPr>
            <w:tcW w:w="0" w:type="dxa"/>
            <w:vAlign w:val="bottom"/>
          </w:tcPr>
          <w:p>
            <w:pPr>
              <w:spacing w:after="0"/>
              <w:rPr>
                <w:sz w:val="1"/>
                <w:szCs w:val="1"/>
                <w:color w:val="auto"/>
              </w:rPr>
            </w:pPr>
          </w:p>
        </w:tc>
      </w:tr>
      <w:tr>
        <w:trPr>
          <w:trHeight w:val="189"/>
        </w:trPr>
        <w:tc>
          <w:tcPr>
            <w:tcW w:w="1460" w:type="dxa"/>
            <w:vAlign w:val="bottom"/>
            <w:shd w:val="clear" w:color="auto" w:fill="D0EBF2"/>
          </w:tcPr>
          <w:p>
            <w:pPr>
              <w:spacing w:after="0"/>
              <w:rPr>
                <w:sz w:val="16"/>
                <w:szCs w:val="16"/>
                <w:color w:val="auto"/>
              </w:rPr>
            </w:pPr>
          </w:p>
        </w:tc>
        <w:tc>
          <w:tcPr>
            <w:tcW w:w="2420" w:type="dxa"/>
            <w:vAlign w:val="bottom"/>
            <w:shd w:val="clear" w:color="auto" w:fill="D0EBF2"/>
          </w:tcPr>
          <w:p>
            <w:pPr>
              <w:ind w:left="60"/>
              <w:spacing w:after="0"/>
              <w:rPr>
                <w:sz w:val="20"/>
                <w:szCs w:val="20"/>
                <w:color w:val="auto"/>
              </w:rPr>
            </w:pPr>
            <w:r>
              <w:rPr>
                <w:rFonts w:ascii="Times New Roman" w:cs="Times New Roman" w:eastAsia="Times New Roman" w:hAnsi="Times New Roman"/>
                <w:sz w:val="15"/>
                <w:szCs w:val="15"/>
                <w:color w:val="231F20"/>
              </w:rPr>
              <w:t xml:space="preserve">4/2026) </w:t>
            </w:r>
            <w:r>
              <w:rPr>
                <w:rFonts w:ascii="Times New Roman" w:cs="Times New Roman" w:eastAsia="Times New Roman" w:hAnsi="Times New Roman"/>
                <w:sz w:val="9"/>
                <w:szCs w:val="9"/>
                <w:color w:val="231F20"/>
              </w:rPr>
              <w:t>(3)</w:t>
            </w:r>
          </w:p>
        </w:tc>
        <w:tc>
          <w:tcPr>
            <w:tcW w:w="820" w:type="dxa"/>
            <w:vAlign w:val="bottom"/>
            <w:shd w:val="clear" w:color="auto" w:fill="D0EBF2"/>
          </w:tcPr>
          <w:p>
            <w:pPr>
              <w:spacing w:after="0"/>
              <w:rPr>
                <w:sz w:val="16"/>
                <w:szCs w:val="16"/>
                <w:color w:val="auto"/>
              </w:rPr>
            </w:pPr>
          </w:p>
        </w:tc>
        <w:tc>
          <w:tcPr>
            <w:tcW w:w="20" w:type="dxa"/>
            <w:vAlign w:val="bottom"/>
          </w:tcPr>
          <w:p>
            <w:pPr>
              <w:spacing w:after="0"/>
              <w:rPr>
                <w:sz w:val="16"/>
                <w:szCs w:val="16"/>
                <w:color w:val="auto"/>
              </w:rPr>
            </w:pPr>
          </w:p>
        </w:tc>
        <w:tc>
          <w:tcPr>
            <w:tcW w:w="1060" w:type="dxa"/>
            <w:vAlign w:val="bottom"/>
            <w:shd w:val="clear" w:color="auto" w:fill="D0EBF2"/>
          </w:tcPr>
          <w:p>
            <w:pPr>
              <w:jc w:val="right"/>
              <w:ind w:right="124"/>
              <w:spacing w:after="0"/>
              <w:rPr>
                <w:sz w:val="20"/>
                <w:szCs w:val="20"/>
                <w:color w:val="auto"/>
              </w:rPr>
            </w:pPr>
            <w:r>
              <w:rPr>
                <w:rFonts w:ascii="Times New Roman" w:cs="Times New Roman" w:eastAsia="Times New Roman" w:hAnsi="Times New Roman"/>
                <w:sz w:val="15"/>
                <w:szCs w:val="15"/>
                <w:color w:val="231F20"/>
              </w:rPr>
              <w:t>8.40%</w:t>
            </w:r>
          </w:p>
        </w:tc>
        <w:tc>
          <w:tcPr>
            <w:tcW w:w="1020" w:type="dxa"/>
            <w:vAlign w:val="bottom"/>
            <w:shd w:val="clear" w:color="auto" w:fill="D0EBF2"/>
          </w:tcPr>
          <w:p>
            <w:pPr>
              <w:spacing w:after="0"/>
              <w:rPr>
                <w:sz w:val="16"/>
                <w:szCs w:val="16"/>
                <w:color w:val="auto"/>
              </w:rPr>
            </w:pPr>
          </w:p>
        </w:tc>
        <w:tc>
          <w:tcPr>
            <w:tcW w:w="1000" w:type="dxa"/>
            <w:vAlign w:val="bottom"/>
            <w:shd w:val="clear" w:color="auto" w:fill="D0EBF2"/>
          </w:tcPr>
          <w:p>
            <w:pPr>
              <w:spacing w:after="0"/>
              <w:rPr>
                <w:sz w:val="16"/>
                <w:szCs w:val="16"/>
                <w:color w:val="auto"/>
              </w:rPr>
            </w:pPr>
          </w:p>
        </w:tc>
        <w:tc>
          <w:tcPr>
            <w:tcW w:w="180" w:type="dxa"/>
            <w:vAlign w:val="bottom"/>
            <w:shd w:val="clear" w:color="auto" w:fill="D0EBF2"/>
          </w:tcPr>
          <w:p>
            <w:pPr>
              <w:spacing w:after="0"/>
              <w:rPr>
                <w:sz w:val="16"/>
                <w:szCs w:val="16"/>
                <w:color w:val="auto"/>
              </w:rPr>
            </w:pPr>
          </w:p>
        </w:tc>
        <w:tc>
          <w:tcPr>
            <w:tcW w:w="960" w:type="dxa"/>
            <w:vAlign w:val="bottom"/>
            <w:shd w:val="clear" w:color="auto" w:fill="D0EBF2"/>
          </w:tcPr>
          <w:p>
            <w:pPr>
              <w:spacing w:after="0"/>
              <w:rPr>
                <w:sz w:val="16"/>
                <w:szCs w:val="16"/>
                <w:color w:val="auto"/>
              </w:rPr>
            </w:pPr>
          </w:p>
        </w:tc>
        <w:tc>
          <w:tcPr>
            <w:tcW w:w="200" w:type="dxa"/>
            <w:vAlign w:val="bottom"/>
            <w:shd w:val="clear" w:color="auto" w:fill="D0EBF2"/>
          </w:tcPr>
          <w:p>
            <w:pPr>
              <w:spacing w:after="0"/>
              <w:rPr>
                <w:sz w:val="16"/>
                <w:szCs w:val="16"/>
                <w:color w:val="auto"/>
              </w:rPr>
            </w:pPr>
          </w:p>
        </w:tc>
        <w:tc>
          <w:tcPr>
            <w:tcW w:w="900" w:type="dxa"/>
            <w:vAlign w:val="bottom"/>
            <w:shd w:val="clear" w:color="auto" w:fill="D0EBF2"/>
          </w:tcPr>
          <w:p>
            <w:pPr>
              <w:spacing w:after="0"/>
              <w:rPr>
                <w:sz w:val="16"/>
                <w:szCs w:val="16"/>
                <w:color w:val="auto"/>
              </w:rPr>
            </w:pPr>
          </w:p>
        </w:tc>
        <w:tc>
          <w:tcPr>
            <w:tcW w:w="240" w:type="dxa"/>
            <w:vAlign w:val="bottom"/>
            <w:shd w:val="clear" w:color="auto" w:fill="D0EBF2"/>
          </w:tcPr>
          <w:p>
            <w:pPr>
              <w:spacing w:after="0"/>
              <w:rPr>
                <w:sz w:val="16"/>
                <w:szCs w:val="16"/>
                <w:color w:val="auto"/>
              </w:rPr>
            </w:pPr>
          </w:p>
        </w:tc>
        <w:tc>
          <w:tcPr>
            <w:tcW w:w="0" w:type="dxa"/>
            <w:vAlign w:val="bottom"/>
          </w:tcPr>
          <w:p>
            <w:pPr>
              <w:spacing w:after="0"/>
              <w:rPr>
                <w:sz w:val="1"/>
                <w:szCs w:val="1"/>
                <w:color w:val="auto"/>
              </w:rPr>
            </w:pPr>
          </w:p>
        </w:tc>
      </w:tr>
      <w:tr>
        <w:trPr>
          <w:trHeight w:val="158"/>
        </w:trPr>
        <w:tc>
          <w:tcPr>
            <w:tcW w:w="1460" w:type="dxa"/>
            <w:vAlign w:val="bottom"/>
            <w:shd w:val="clear" w:color="auto" w:fill="FDFDFC"/>
          </w:tcPr>
          <w:p>
            <w:pPr>
              <w:spacing w:after="0"/>
              <w:rPr>
                <w:sz w:val="13"/>
                <w:szCs w:val="13"/>
                <w:color w:val="auto"/>
              </w:rPr>
            </w:pPr>
          </w:p>
        </w:tc>
        <w:tc>
          <w:tcPr>
            <w:tcW w:w="2420" w:type="dxa"/>
            <w:vAlign w:val="bottom"/>
            <w:shd w:val="clear" w:color="auto" w:fill="FDFDFC"/>
          </w:tcPr>
          <w:p>
            <w:pPr>
              <w:ind w:left="60"/>
              <w:spacing w:after="0" w:line="159" w:lineRule="exact"/>
              <w:rPr>
                <w:sz w:val="20"/>
                <w:szCs w:val="20"/>
                <w:color w:val="auto"/>
              </w:rPr>
            </w:pPr>
            <w:r>
              <w:rPr>
                <w:rFonts w:ascii="Times New Roman" w:cs="Times New Roman" w:eastAsia="Times New Roman" w:hAnsi="Times New Roman"/>
                <w:sz w:val="15"/>
                <w:szCs w:val="15"/>
                <w:color w:val="231F20"/>
              </w:rPr>
              <w:t>Convertible Promissory Note A</w:t>
            </w:r>
          </w:p>
        </w:tc>
        <w:tc>
          <w:tcPr>
            <w:tcW w:w="820" w:type="dxa"/>
            <w:vAlign w:val="bottom"/>
            <w:shd w:val="clear" w:color="auto" w:fill="FDFDFC"/>
          </w:tcPr>
          <w:p>
            <w:pPr>
              <w:jc w:val="right"/>
              <w:spacing w:after="0" w:line="159" w:lineRule="exact"/>
              <w:rPr>
                <w:sz w:val="20"/>
                <w:szCs w:val="20"/>
                <w:color w:val="auto"/>
              </w:rPr>
            </w:pPr>
            <w:r>
              <w:rPr>
                <w:rFonts w:ascii="Times New Roman" w:cs="Times New Roman" w:eastAsia="Times New Roman" w:hAnsi="Times New Roman"/>
                <w:sz w:val="15"/>
                <w:szCs w:val="15"/>
                <w:color w:val="231F20"/>
              </w:rPr>
              <w:t>3/2/2023</w:t>
            </w:r>
          </w:p>
        </w:tc>
        <w:tc>
          <w:tcPr>
            <w:tcW w:w="20" w:type="dxa"/>
            <w:vAlign w:val="bottom"/>
          </w:tcPr>
          <w:p>
            <w:pPr>
              <w:spacing w:after="0"/>
              <w:rPr>
                <w:sz w:val="13"/>
                <w:szCs w:val="13"/>
                <w:color w:val="auto"/>
              </w:rPr>
            </w:pPr>
          </w:p>
        </w:tc>
        <w:tc>
          <w:tcPr>
            <w:tcW w:w="1060" w:type="dxa"/>
            <w:vAlign w:val="bottom"/>
            <w:shd w:val="clear" w:color="auto" w:fill="FDFDFC"/>
          </w:tcPr>
          <w:p>
            <w:pPr>
              <w:jc w:val="right"/>
              <w:spacing w:after="0" w:line="159" w:lineRule="exact"/>
              <w:rPr>
                <w:sz w:val="20"/>
                <w:szCs w:val="20"/>
                <w:color w:val="auto"/>
              </w:rPr>
            </w:pPr>
            <w:r>
              <w:rPr>
                <w:rFonts w:ascii="Times New Roman" w:cs="Times New Roman" w:eastAsia="Times New Roman" w:hAnsi="Times New Roman"/>
                <w:sz w:val="15"/>
                <w:szCs w:val="15"/>
                <w:color w:val="231F20"/>
              </w:rPr>
              <w:t>8.00%</w:t>
            </w:r>
          </w:p>
        </w:tc>
        <w:tc>
          <w:tcPr>
            <w:tcW w:w="1020" w:type="dxa"/>
            <w:vAlign w:val="bottom"/>
            <w:shd w:val="clear" w:color="auto" w:fill="FDFDFC"/>
          </w:tcPr>
          <w:p>
            <w:pPr>
              <w:jc w:val="right"/>
              <w:ind w:right="24"/>
              <w:spacing w:after="0" w:line="159" w:lineRule="exact"/>
              <w:rPr>
                <w:sz w:val="20"/>
                <w:szCs w:val="20"/>
                <w:color w:val="auto"/>
              </w:rPr>
            </w:pPr>
            <w:r>
              <w:rPr>
                <w:rFonts w:ascii="Times New Roman" w:cs="Times New Roman" w:eastAsia="Times New Roman" w:hAnsi="Times New Roman"/>
                <w:sz w:val="15"/>
                <w:szCs w:val="15"/>
                <w:color w:val="231F20"/>
              </w:rPr>
              <w:t>8.00%</w:t>
            </w:r>
          </w:p>
        </w:tc>
        <w:tc>
          <w:tcPr>
            <w:tcW w:w="1000" w:type="dxa"/>
            <w:vAlign w:val="bottom"/>
            <w:shd w:val="clear" w:color="auto" w:fill="FDFDFC"/>
          </w:tcPr>
          <w:p>
            <w:pPr>
              <w:jc w:val="right"/>
              <w:spacing w:after="0" w:line="159" w:lineRule="exact"/>
              <w:rPr>
                <w:sz w:val="20"/>
                <w:szCs w:val="20"/>
                <w:color w:val="auto"/>
              </w:rPr>
            </w:pPr>
            <w:r>
              <w:rPr>
                <w:rFonts w:ascii="Times New Roman" w:cs="Times New Roman" w:eastAsia="Times New Roman" w:hAnsi="Times New Roman"/>
                <w:sz w:val="15"/>
                <w:szCs w:val="15"/>
                <w:color w:val="231F20"/>
              </w:rPr>
              <w:t>1,086</w:t>
            </w:r>
          </w:p>
        </w:tc>
        <w:tc>
          <w:tcPr>
            <w:tcW w:w="1140" w:type="dxa"/>
            <w:vAlign w:val="bottom"/>
            <w:gridSpan w:val="2"/>
            <w:shd w:val="clear" w:color="auto" w:fill="FDFDFC"/>
          </w:tcPr>
          <w:p>
            <w:pPr>
              <w:jc w:val="right"/>
              <w:spacing w:after="0" w:line="159" w:lineRule="exact"/>
              <w:rPr>
                <w:sz w:val="20"/>
                <w:szCs w:val="20"/>
                <w:color w:val="auto"/>
              </w:rPr>
            </w:pPr>
            <w:r>
              <w:rPr>
                <w:rFonts w:ascii="Times New Roman" w:cs="Times New Roman" w:eastAsia="Times New Roman" w:hAnsi="Times New Roman"/>
                <w:sz w:val="15"/>
                <w:szCs w:val="15"/>
                <w:color w:val="231F20"/>
              </w:rPr>
              <w:t>2,025</w:t>
            </w:r>
          </w:p>
        </w:tc>
        <w:tc>
          <w:tcPr>
            <w:tcW w:w="1340" w:type="dxa"/>
            <w:vAlign w:val="bottom"/>
            <w:gridSpan w:val="3"/>
            <w:shd w:val="clear" w:color="auto" w:fill="FDFDFC"/>
          </w:tcPr>
          <w:p>
            <w:pPr>
              <w:jc w:val="right"/>
              <w:ind w:right="120"/>
              <w:spacing w:after="0" w:line="159" w:lineRule="exact"/>
              <w:rPr>
                <w:sz w:val="20"/>
                <w:szCs w:val="20"/>
                <w:color w:val="auto"/>
              </w:rPr>
            </w:pPr>
            <w:r>
              <w:rPr>
                <w:rFonts w:ascii="Times New Roman" w:cs="Times New Roman" w:eastAsia="Times New Roman" w:hAnsi="Times New Roman"/>
                <w:sz w:val="15"/>
                <w:szCs w:val="15"/>
                <w:color w:val="231F20"/>
              </w:rPr>
              <w:t>0.1%</w:t>
            </w:r>
          </w:p>
        </w:tc>
        <w:tc>
          <w:tcPr>
            <w:tcW w:w="0" w:type="dxa"/>
            <w:vAlign w:val="bottom"/>
          </w:tcPr>
          <w:p>
            <w:pPr>
              <w:spacing w:after="0"/>
              <w:rPr>
                <w:sz w:val="1"/>
                <w:szCs w:val="1"/>
                <w:color w:val="auto"/>
              </w:rPr>
            </w:pPr>
          </w:p>
        </w:tc>
      </w:tr>
      <w:tr>
        <w:trPr>
          <w:trHeight w:val="189"/>
        </w:trPr>
        <w:tc>
          <w:tcPr>
            <w:tcW w:w="1460" w:type="dxa"/>
            <w:vAlign w:val="bottom"/>
            <w:shd w:val="clear" w:color="auto" w:fill="FDFDFC"/>
          </w:tcPr>
          <w:p>
            <w:pPr>
              <w:spacing w:after="0"/>
              <w:rPr>
                <w:sz w:val="16"/>
                <w:szCs w:val="16"/>
                <w:color w:val="auto"/>
              </w:rPr>
            </w:pPr>
          </w:p>
        </w:tc>
        <w:tc>
          <w:tcPr>
            <w:tcW w:w="2420" w:type="dxa"/>
            <w:vAlign w:val="bottom"/>
            <w:shd w:val="clear" w:color="auto" w:fill="FDFDFC"/>
          </w:tcPr>
          <w:p>
            <w:pPr>
              <w:ind w:left="60"/>
              <w:spacing w:after="0"/>
              <w:rPr>
                <w:sz w:val="20"/>
                <w:szCs w:val="20"/>
                <w:color w:val="auto"/>
              </w:rPr>
            </w:pPr>
            <w:r>
              <w:rPr>
                <w:rFonts w:ascii="Times New Roman" w:cs="Times New Roman" w:eastAsia="Times New Roman" w:hAnsi="Times New Roman"/>
                <w:sz w:val="15"/>
                <w:szCs w:val="15"/>
                <w:color w:val="231F20"/>
              </w:rPr>
              <w:t>($1,086 par, due 8/2026)</w:t>
            </w:r>
          </w:p>
        </w:tc>
        <w:tc>
          <w:tcPr>
            <w:tcW w:w="820" w:type="dxa"/>
            <w:vAlign w:val="bottom"/>
            <w:shd w:val="clear" w:color="auto" w:fill="FDFDFC"/>
          </w:tcPr>
          <w:p>
            <w:pPr>
              <w:spacing w:after="0"/>
              <w:rPr>
                <w:sz w:val="16"/>
                <w:szCs w:val="16"/>
                <w:color w:val="auto"/>
              </w:rPr>
            </w:pPr>
          </w:p>
        </w:tc>
        <w:tc>
          <w:tcPr>
            <w:tcW w:w="20" w:type="dxa"/>
            <w:vAlign w:val="bottom"/>
          </w:tcPr>
          <w:p>
            <w:pPr>
              <w:spacing w:after="0"/>
              <w:rPr>
                <w:sz w:val="16"/>
                <w:szCs w:val="16"/>
                <w:color w:val="auto"/>
              </w:rPr>
            </w:pPr>
          </w:p>
        </w:tc>
        <w:tc>
          <w:tcPr>
            <w:tcW w:w="1060" w:type="dxa"/>
            <w:vAlign w:val="bottom"/>
            <w:shd w:val="clear" w:color="auto" w:fill="FDFDFC"/>
          </w:tcPr>
          <w:p>
            <w:pPr>
              <w:spacing w:after="0"/>
              <w:rPr>
                <w:sz w:val="16"/>
                <w:szCs w:val="16"/>
                <w:color w:val="auto"/>
              </w:rPr>
            </w:pPr>
          </w:p>
        </w:tc>
        <w:tc>
          <w:tcPr>
            <w:tcW w:w="1020" w:type="dxa"/>
            <w:vAlign w:val="bottom"/>
            <w:shd w:val="clear" w:color="auto" w:fill="FDFDFC"/>
          </w:tcPr>
          <w:p>
            <w:pPr>
              <w:spacing w:after="0"/>
              <w:rPr>
                <w:sz w:val="16"/>
                <w:szCs w:val="16"/>
                <w:color w:val="auto"/>
              </w:rPr>
            </w:pPr>
          </w:p>
        </w:tc>
        <w:tc>
          <w:tcPr>
            <w:tcW w:w="1000" w:type="dxa"/>
            <w:vAlign w:val="bottom"/>
            <w:shd w:val="clear" w:color="auto" w:fill="FDFDFC"/>
          </w:tcPr>
          <w:p>
            <w:pPr>
              <w:spacing w:after="0"/>
              <w:rPr>
                <w:sz w:val="16"/>
                <w:szCs w:val="16"/>
                <w:color w:val="auto"/>
              </w:rPr>
            </w:pPr>
          </w:p>
        </w:tc>
        <w:tc>
          <w:tcPr>
            <w:tcW w:w="180" w:type="dxa"/>
            <w:vAlign w:val="bottom"/>
            <w:shd w:val="clear" w:color="auto" w:fill="FDFDFC"/>
          </w:tcPr>
          <w:p>
            <w:pPr>
              <w:spacing w:after="0"/>
              <w:rPr>
                <w:sz w:val="16"/>
                <w:szCs w:val="16"/>
                <w:color w:val="auto"/>
              </w:rPr>
            </w:pPr>
          </w:p>
        </w:tc>
        <w:tc>
          <w:tcPr>
            <w:tcW w:w="960" w:type="dxa"/>
            <w:vAlign w:val="bottom"/>
            <w:shd w:val="clear" w:color="auto" w:fill="FDFDFC"/>
          </w:tcPr>
          <w:p>
            <w:pPr>
              <w:spacing w:after="0"/>
              <w:rPr>
                <w:sz w:val="16"/>
                <w:szCs w:val="16"/>
                <w:color w:val="auto"/>
              </w:rPr>
            </w:pPr>
          </w:p>
        </w:tc>
        <w:tc>
          <w:tcPr>
            <w:tcW w:w="200" w:type="dxa"/>
            <w:vAlign w:val="bottom"/>
            <w:shd w:val="clear" w:color="auto" w:fill="FDFDFC"/>
          </w:tcPr>
          <w:p>
            <w:pPr>
              <w:spacing w:after="0"/>
              <w:rPr>
                <w:sz w:val="16"/>
                <w:szCs w:val="16"/>
                <w:color w:val="auto"/>
              </w:rPr>
            </w:pPr>
          </w:p>
        </w:tc>
        <w:tc>
          <w:tcPr>
            <w:tcW w:w="900" w:type="dxa"/>
            <w:vAlign w:val="bottom"/>
            <w:shd w:val="clear" w:color="auto" w:fill="FDFDFC"/>
          </w:tcPr>
          <w:p>
            <w:pPr>
              <w:spacing w:after="0"/>
              <w:rPr>
                <w:sz w:val="16"/>
                <w:szCs w:val="16"/>
                <w:color w:val="auto"/>
              </w:rPr>
            </w:pPr>
          </w:p>
        </w:tc>
        <w:tc>
          <w:tcPr>
            <w:tcW w:w="240" w:type="dxa"/>
            <w:vAlign w:val="bottom"/>
            <w:shd w:val="clear" w:color="auto" w:fill="FDFDFC"/>
          </w:tcPr>
          <w:p>
            <w:pPr>
              <w:spacing w:after="0"/>
              <w:rPr>
                <w:sz w:val="16"/>
                <w:szCs w:val="16"/>
                <w:color w:val="auto"/>
              </w:rPr>
            </w:pPr>
          </w:p>
        </w:tc>
        <w:tc>
          <w:tcPr>
            <w:tcW w:w="0" w:type="dxa"/>
            <w:vAlign w:val="bottom"/>
          </w:tcPr>
          <w:p>
            <w:pPr>
              <w:spacing w:after="0"/>
              <w:rPr>
                <w:sz w:val="1"/>
                <w:szCs w:val="1"/>
                <w:color w:val="auto"/>
              </w:rPr>
            </w:pPr>
          </w:p>
        </w:tc>
      </w:tr>
      <w:tr>
        <w:trPr>
          <w:trHeight w:val="158"/>
        </w:trPr>
        <w:tc>
          <w:tcPr>
            <w:tcW w:w="1460" w:type="dxa"/>
            <w:vAlign w:val="bottom"/>
            <w:shd w:val="clear" w:color="auto" w:fill="D0EBF2"/>
          </w:tcPr>
          <w:p>
            <w:pPr>
              <w:spacing w:after="0" w:line="159" w:lineRule="exact"/>
              <w:rPr>
                <w:sz w:val="20"/>
                <w:szCs w:val="20"/>
                <w:color w:val="auto"/>
              </w:rPr>
            </w:pPr>
            <w:r>
              <w:rPr>
                <w:rFonts w:ascii="Times New Roman" w:cs="Times New Roman" w:eastAsia="Times New Roman" w:hAnsi="Times New Roman"/>
                <w:sz w:val="15"/>
                <w:szCs w:val="15"/>
                <w:color w:val="231F20"/>
              </w:rPr>
              <w:t>Ping Identity Holding</w:t>
            </w:r>
          </w:p>
        </w:tc>
        <w:tc>
          <w:tcPr>
            <w:tcW w:w="2420" w:type="dxa"/>
            <w:vAlign w:val="bottom"/>
            <w:shd w:val="clear" w:color="auto" w:fill="D0EBF2"/>
          </w:tcPr>
          <w:p>
            <w:pPr>
              <w:ind w:left="60"/>
              <w:spacing w:after="0" w:line="159" w:lineRule="exact"/>
              <w:rPr>
                <w:sz w:val="20"/>
                <w:szCs w:val="20"/>
                <w:color w:val="auto"/>
              </w:rPr>
            </w:pPr>
            <w:r>
              <w:rPr>
                <w:rFonts w:ascii="Times New Roman" w:cs="Times New Roman" w:eastAsia="Times New Roman" w:hAnsi="Times New Roman"/>
                <w:sz w:val="15"/>
                <w:szCs w:val="15"/>
                <w:color w:val="231F20"/>
              </w:rPr>
              <w:t>First-lien loan ($22,727 par, due</w:t>
            </w:r>
          </w:p>
        </w:tc>
        <w:tc>
          <w:tcPr>
            <w:tcW w:w="820" w:type="dxa"/>
            <w:vAlign w:val="bottom"/>
            <w:shd w:val="clear" w:color="auto" w:fill="D0EBF2"/>
          </w:tcPr>
          <w:p>
            <w:pPr>
              <w:jc w:val="right"/>
              <w:spacing w:after="0" w:line="159" w:lineRule="exact"/>
              <w:rPr>
                <w:sz w:val="20"/>
                <w:szCs w:val="20"/>
                <w:color w:val="auto"/>
              </w:rPr>
            </w:pPr>
            <w:r>
              <w:rPr>
                <w:rFonts w:ascii="Times New Roman" w:cs="Times New Roman" w:eastAsia="Times New Roman" w:hAnsi="Times New Roman"/>
                <w:sz w:val="15"/>
                <w:szCs w:val="15"/>
                <w:color w:val="231F20"/>
              </w:rPr>
              <w:t>10/17/2022</w:t>
            </w:r>
          </w:p>
        </w:tc>
        <w:tc>
          <w:tcPr>
            <w:tcW w:w="20" w:type="dxa"/>
            <w:vAlign w:val="bottom"/>
          </w:tcPr>
          <w:p>
            <w:pPr>
              <w:spacing w:after="0"/>
              <w:rPr>
                <w:sz w:val="13"/>
                <w:szCs w:val="13"/>
                <w:color w:val="auto"/>
              </w:rPr>
            </w:pPr>
          </w:p>
        </w:tc>
        <w:tc>
          <w:tcPr>
            <w:tcW w:w="1060" w:type="dxa"/>
            <w:vAlign w:val="bottom"/>
            <w:shd w:val="clear" w:color="auto" w:fill="D0EBF2"/>
          </w:tcPr>
          <w:p>
            <w:pPr>
              <w:jc w:val="right"/>
              <w:ind w:right="124"/>
              <w:spacing w:after="0" w:line="159" w:lineRule="exact"/>
              <w:rPr>
                <w:sz w:val="20"/>
                <w:szCs w:val="20"/>
                <w:color w:val="auto"/>
              </w:rPr>
            </w:pPr>
            <w:r>
              <w:rPr>
                <w:rFonts w:ascii="Times New Roman" w:cs="Times New Roman" w:eastAsia="Times New Roman" w:hAnsi="Times New Roman"/>
                <w:sz w:val="15"/>
                <w:szCs w:val="15"/>
                <w:color w:val="231F20"/>
              </w:rPr>
              <w:t>SOFR +</w:t>
            </w:r>
          </w:p>
        </w:tc>
        <w:tc>
          <w:tcPr>
            <w:tcW w:w="1020" w:type="dxa"/>
            <w:vAlign w:val="bottom"/>
            <w:shd w:val="clear" w:color="auto" w:fill="D0EBF2"/>
          </w:tcPr>
          <w:p>
            <w:pPr>
              <w:jc w:val="right"/>
              <w:ind w:right="24"/>
              <w:spacing w:after="0" w:line="159" w:lineRule="exact"/>
              <w:rPr>
                <w:sz w:val="20"/>
                <w:szCs w:val="20"/>
                <w:color w:val="auto"/>
              </w:rPr>
            </w:pPr>
            <w:r>
              <w:rPr>
                <w:rFonts w:ascii="Times New Roman" w:cs="Times New Roman" w:eastAsia="Times New Roman" w:hAnsi="Times New Roman"/>
                <w:sz w:val="15"/>
                <w:szCs w:val="15"/>
                <w:color w:val="231F20"/>
              </w:rPr>
              <w:t>12.36%</w:t>
            </w:r>
          </w:p>
        </w:tc>
        <w:tc>
          <w:tcPr>
            <w:tcW w:w="1000" w:type="dxa"/>
            <w:vAlign w:val="bottom"/>
            <w:shd w:val="clear" w:color="auto" w:fill="D0EBF2"/>
          </w:tcPr>
          <w:p>
            <w:pPr>
              <w:jc w:val="right"/>
              <w:spacing w:after="0" w:line="159" w:lineRule="exact"/>
              <w:rPr>
                <w:sz w:val="20"/>
                <w:szCs w:val="20"/>
                <w:color w:val="auto"/>
              </w:rPr>
            </w:pPr>
            <w:r>
              <w:rPr>
                <w:rFonts w:ascii="Times New Roman" w:cs="Times New Roman" w:eastAsia="Times New Roman" w:hAnsi="Times New Roman"/>
                <w:sz w:val="15"/>
                <w:szCs w:val="15"/>
                <w:color w:val="231F20"/>
              </w:rPr>
              <w:t>22,183</w:t>
            </w:r>
          </w:p>
        </w:tc>
        <w:tc>
          <w:tcPr>
            <w:tcW w:w="1140" w:type="dxa"/>
            <w:vAlign w:val="bottom"/>
            <w:gridSpan w:val="2"/>
            <w:shd w:val="clear" w:color="auto" w:fill="D0EBF2"/>
          </w:tcPr>
          <w:p>
            <w:pPr>
              <w:jc w:val="right"/>
              <w:spacing w:after="0" w:line="159" w:lineRule="exact"/>
              <w:rPr>
                <w:sz w:val="20"/>
                <w:szCs w:val="20"/>
                <w:color w:val="auto"/>
              </w:rPr>
            </w:pPr>
            <w:r>
              <w:rPr>
                <w:rFonts w:ascii="Times New Roman" w:cs="Times New Roman" w:eastAsia="Times New Roman" w:hAnsi="Times New Roman"/>
                <w:sz w:val="15"/>
                <w:szCs w:val="15"/>
                <w:color w:val="231F20"/>
              </w:rPr>
              <w:t>23,165</w:t>
            </w:r>
          </w:p>
        </w:tc>
        <w:tc>
          <w:tcPr>
            <w:tcW w:w="1340" w:type="dxa"/>
            <w:vAlign w:val="bottom"/>
            <w:gridSpan w:val="3"/>
            <w:shd w:val="clear" w:color="auto" w:fill="D0EBF2"/>
          </w:tcPr>
          <w:p>
            <w:pPr>
              <w:jc w:val="right"/>
              <w:ind w:right="120"/>
              <w:spacing w:after="0" w:line="159" w:lineRule="exact"/>
              <w:rPr>
                <w:sz w:val="20"/>
                <w:szCs w:val="20"/>
                <w:color w:val="auto"/>
              </w:rPr>
            </w:pPr>
            <w:r>
              <w:rPr>
                <w:rFonts w:ascii="Times New Roman" w:cs="Times New Roman" w:eastAsia="Times New Roman" w:hAnsi="Times New Roman"/>
                <w:sz w:val="15"/>
                <w:szCs w:val="15"/>
                <w:color w:val="231F20"/>
              </w:rPr>
              <w:t>1.5%</w:t>
            </w:r>
          </w:p>
        </w:tc>
        <w:tc>
          <w:tcPr>
            <w:tcW w:w="0" w:type="dxa"/>
            <w:vAlign w:val="bottom"/>
          </w:tcPr>
          <w:p>
            <w:pPr>
              <w:spacing w:after="0"/>
              <w:rPr>
                <w:sz w:val="1"/>
                <w:szCs w:val="1"/>
                <w:color w:val="auto"/>
              </w:rPr>
            </w:pPr>
          </w:p>
        </w:tc>
      </w:tr>
      <w:tr>
        <w:trPr>
          <w:trHeight w:val="189"/>
        </w:trPr>
        <w:tc>
          <w:tcPr>
            <w:tcW w:w="1460" w:type="dxa"/>
            <w:vAlign w:val="bottom"/>
            <w:shd w:val="clear" w:color="auto" w:fill="D0EBF2"/>
          </w:tcPr>
          <w:p>
            <w:pPr>
              <w:spacing w:after="0"/>
              <w:rPr>
                <w:sz w:val="20"/>
                <w:szCs w:val="20"/>
                <w:color w:val="auto"/>
              </w:rPr>
            </w:pPr>
            <w:r>
              <w:rPr>
                <w:rFonts w:ascii="Times New Roman" w:cs="Times New Roman" w:eastAsia="Times New Roman" w:hAnsi="Times New Roman"/>
                <w:sz w:val="15"/>
                <w:szCs w:val="15"/>
                <w:color w:val="231F20"/>
              </w:rPr>
              <w:t xml:space="preserve">Corp. </w:t>
            </w:r>
            <w:r>
              <w:rPr>
                <w:rFonts w:ascii="Times New Roman" w:cs="Times New Roman" w:eastAsia="Times New Roman" w:hAnsi="Times New Roman"/>
                <w:sz w:val="9"/>
                <w:szCs w:val="9"/>
                <w:color w:val="231F20"/>
              </w:rPr>
              <w:t>(3)</w:t>
            </w:r>
          </w:p>
        </w:tc>
        <w:tc>
          <w:tcPr>
            <w:tcW w:w="2420" w:type="dxa"/>
            <w:vAlign w:val="bottom"/>
            <w:shd w:val="clear" w:color="auto" w:fill="D0EBF2"/>
          </w:tcPr>
          <w:p>
            <w:pPr>
              <w:ind w:left="60"/>
              <w:spacing w:after="0"/>
              <w:rPr>
                <w:sz w:val="20"/>
                <w:szCs w:val="20"/>
                <w:color w:val="auto"/>
              </w:rPr>
            </w:pPr>
            <w:r>
              <w:rPr>
                <w:rFonts w:ascii="Times New Roman" w:cs="Times New Roman" w:eastAsia="Times New Roman" w:hAnsi="Times New Roman"/>
                <w:sz w:val="15"/>
                <w:szCs w:val="15"/>
                <w:color w:val="231F20"/>
              </w:rPr>
              <w:t>10/2029)</w:t>
            </w:r>
          </w:p>
        </w:tc>
        <w:tc>
          <w:tcPr>
            <w:tcW w:w="820" w:type="dxa"/>
            <w:vAlign w:val="bottom"/>
            <w:shd w:val="clear" w:color="auto" w:fill="D0EBF2"/>
          </w:tcPr>
          <w:p>
            <w:pPr>
              <w:spacing w:after="0"/>
              <w:rPr>
                <w:sz w:val="16"/>
                <w:szCs w:val="16"/>
                <w:color w:val="auto"/>
              </w:rPr>
            </w:pPr>
          </w:p>
        </w:tc>
        <w:tc>
          <w:tcPr>
            <w:tcW w:w="20" w:type="dxa"/>
            <w:vAlign w:val="bottom"/>
          </w:tcPr>
          <w:p>
            <w:pPr>
              <w:spacing w:after="0"/>
              <w:rPr>
                <w:sz w:val="16"/>
                <w:szCs w:val="16"/>
                <w:color w:val="auto"/>
              </w:rPr>
            </w:pPr>
          </w:p>
        </w:tc>
        <w:tc>
          <w:tcPr>
            <w:tcW w:w="1060" w:type="dxa"/>
            <w:vAlign w:val="bottom"/>
            <w:shd w:val="clear" w:color="auto" w:fill="D0EBF2"/>
          </w:tcPr>
          <w:p>
            <w:pPr>
              <w:jc w:val="right"/>
              <w:ind w:right="124"/>
              <w:spacing w:after="0"/>
              <w:rPr>
                <w:sz w:val="20"/>
                <w:szCs w:val="20"/>
                <w:color w:val="auto"/>
              </w:rPr>
            </w:pPr>
            <w:r>
              <w:rPr>
                <w:rFonts w:ascii="Times New Roman" w:cs="Times New Roman" w:eastAsia="Times New Roman" w:hAnsi="Times New Roman"/>
                <w:sz w:val="15"/>
                <w:szCs w:val="15"/>
                <w:color w:val="231F20"/>
              </w:rPr>
              <w:t>7.00%</w:t>
            </w:r>
          </w:p>
        </w:tc>
        <w:tc>
          <w:tcPr>
            <w:tcW w:w="1020" w:type="dxa"/>
            <w:vAlign w:val="bottom"/>
            <w:shd w:val="clear" w:color="auto" w:fill="D0EBF2"/>
          </w:tcPr>
          <w:p>
            <w:pPr>
              <w:spacing w:after="0"/>
              <w:rPr>
                <w:sz w:val="16"/>
                <w:szCs w:val="16"/>
                <w:color w:val="auto"/>
              </w:rPr>
            </w:pPr>
          </w:p>
        </w:tc>
        <w:tc>
          <w:tcPr>
            <w:tcW w:w="1000" w:type="dxa"/>
            <w:vAlign w:val="bottom"/>
            <w:shd w:val="clear" w:color="auto" w:fill="D0EBF2"/>
          </w:tcPr>
          <w:p>
            <w:pPr>
              <w:spacing w:after="0"/>
              <w:rPr>
                <w:sz w:val="16"/>
                <w:szCs w:val="16"/>
                <w:color w:val="auto"/>
              </w:rPr>
            </w:pPr>
          </w:p>
        </w:tc>
        <w:tc>
          <w:tcPr>
            <w:tcW w:w="180" w:type="dxa"/>
            <w:vAlign w:val="bottom"/>
            <w:shd w:val="clear" w:color="auto" w:fill="D0EBF2"/>
          </w:tcPr>
          <w:p>
            <w:pPr>
              <w:spacing w:after="0"/>
              <w:rPr>
                <w:sz w:val="16"/>
                <w:szCs w:val="16"/>
                <w:color w:val="auto"/>
              </w:rPr>
            </w:pPr>
          </w:p>
        </w:tc>
        <w:tc>
          <w:tcPr>
            <w:tcW w:w="960" w:type="dxa"/>
            <w:vAlign w:val="bottom"/>
            <w:shd w:val="clear" w:color="auto" w:fill="D0EBF2"/>
          </w:tcPr>
          <w:p>
            <w:pPr>
              <w:spacing w:after="0"/>
              <w:rPr>
                <w:sz w:val="16"/>
                <w:szCs w:val="16"/>
                <w:color w:val="auto"/>
              </w:rPr>
            </w:pPr>
          </w:p>
        </w:tc>
        <w:tc>
          <w:tcPr>
            <w:tcW w:w="200" w:type="dxa"/>
            <w:vAlign w:val="bottom"/>
            <w:shd w:val="clear" w:color="auto" w:fill="D0EBF2"/>
          </w:tcPr>
          <w:p>
            <w:pPr>
              <w:spacing w:after="0"/>
              <w:rPr>
                <w:sz w:val="16"/>
                <w:szCs w:val="16"/>
                <w:color w:val="auto"/>
              </w:rPr>
            </w:pPr>
          </w:p>
        </w:tc>
        <w:tc>
          <w:tcPr>
            <w:tcW w:w="900" w:type="dxa"/>
            <w:vAlign w:val="bottom"/>
            <w:shd w:val="clear" w:color="auto" w:fill="D0EBF2"/>
          </w:tcPr>
          <w:p>
            <w:pPr>
              <w:spacing w:after="0"/>
              <w:rPr>
                <w:sz w:val="16"/>
                <w:szCs w:val="16"/>
                <w:color w:val="auto"/>
              </w:rPr>
            </w:pPr>
          </w:p>
        </w:tc>
        <w:tc>
          <w:tcPr>
            <w:tcW w:w="240" w:type="dxa"/>
            <w:vAlign w:val="bottom"/>
            <w:shd w:val="clear" w:color="auto" w:fill="D0EBF2"/>
          </w:tcPr>
          <w:p>
            <w:pPr>
              <w:spacing w:after="0"/>
              <w:rPr>
                <w:sz w:val="16"/>
                <w:szCs w:val="16"/>
                <w:color w:val="auto"/>
              </w:rPr>
            </w:pPr>
          </w:p>
        </w:tc>
        <w:tc>
          <w:tcPr>
            <w:tcW w:w="0" w:type="dxa"/>
            <w:vAlign w:val="bottom"/>
          </w:tcPr>
          <w:p>
            <w:pPr>
              <w:spacing w:after="0"/>
              <w:rPr>
                <w:sz w:val="1"/>
                <w:szCs w:val="1"/>
                <w:color w:val="auto"/>
              </w:rPr>
            </w:pPr>
          </w:p>
        </w:tc>
      </w:tr>
      <w:tr>
        <w:trPr>
          <w:trHeight w:val="158"/>
        </w:trPr>
        <w:tc>
          <w:tcPr>
            <w:tcW w:w="1460" w:type="dxa"/>
            <w:vAlign w:val="bottom"/>
            <w:shd w:val="clear" w:color="auto" w:fill="FDFDFC"/>
          </w:tcPr>
          <w:p>
            <w:pPr>
              <w:spacing w:after="0" w:line="159" w:lineRule="exact"/>
              <w:rPr>
                <w:sz w:val="20"/>
                <w:szCs w:val="20"/>
                <w:color w:val="auto"/>
              </w:rPr>
            </w:pPr>
            <w:r>
              <w:rPr>
                <w:rFonts w:ascii="Times New Roman" w:cs="Times New Roman" w:eastAsia="Times New Roman" w:hAnsi="Times New Roman"/>
                <w:sz w:val="15"/>
                <w:szCs w:val="15"/>
                <w:color w:val="231F20"/>
              </w:rPr>
              <w:t xml:space="preserve">PrimeRevenue, Inc. </w:t>
            </w:r>
            <w:r>
              <w:rPr>
                <w:rFonts w:ascii="Times New Roman" w:cs="Times New Roman" w:eastAsia="Times New Roman" w:hAnsi="Times New Roman"/>
                <w:sz w:val="9"/>
                <w:szCs w:val="9"/>
                <w:color w:val="231F20"/>
              </w:rPr>
              <w:t>(3)</w:t>
            </w:r>
          </w:p>
        </w:tc>
        <w:tc>
          <w:tcPr>
            <w:tcW w:w="2420" w:type="dxa"/>
            <w:vAlign w:val="bottom"/>
            <w:shd w:val="clear" w:color="auto" w:fill="FDFDFC"/>
          </w:tcPr>
          <w:p>
            <w:pPr>
              <w:ind w:left="60"/>
              <w:spacing w:after="0" w:line="159" w:lineRule="exact"/>
              <w:rPr>
                <w:sz w:val="20"/>
                <w:szCs w:val="20"/>
                <w:color w:val="auto"/>
              </w:rPr>
            </w:pPr>
            <w:r>
              <w:rPr>
                <w:rFonts w:ascii="Times New Roman" w:cs="Times New Roman" w:eastAsia="Times New Roman" w:hAnsi="Times New Roman"/>
                <w:sz w:val="15"/>
                <w:szCs w:val="15"/>
                <w:color w:val="231F20"/>
              </w:rPr>
              <w:t>First-lien loan ($9,007 par, due</w:t>
            </w:r>
          </w:p>
        </w:tc>
        <w:tc>
          <w:tcPr>
            <w:tcW w:w="820" w:type="dxa"/>
            <w:vAlign w:val="bottom"/>
            <w:shd w:val="clear" w:color="auto" w:fill="FDFDFC"/>
          </w:tcPr>
          <w:p>
            <w:pPr>
              <w:jc w:val="right"/>
              <w:spacing w:after="0" w:line="159" w:lineRule="exact"/>
              <w:rPr>
                <w:sz w:val="20"/>
                <w:szCs w:val="20"/>
                <w:color w:val="auto"/>
              </w:rPr>
            </w:pPr>
            <w:r>
              <w:rPr>
                <w:rFonts w:ascii="Times New Roman" w:cs="Times New Roman" w:eastAsia="Times New Roman" w:hAnsi="Times New Roman"/>
                <w:sz w:val="15"/>
                <w:szCs w:val="15"/>
                <w:color w:val="231F20"/>
              </w:rPr>
              <w:t>12/31/2018</w:t>
            </w:r>
          </w:p>
        </w:tc>
        <w:tc>
          <w:tcPr>
            <w:tcW w:w="20" w:type="dxa"/>
            <w:vAlign w:val="bottom"/>
          </w:tcPr>
          <w:p>
            <w:pPr>
              <w:spacing w:after="0"/>
              <w:rPr>
                <w:sz w:val="13"/>
                <w:szCs w:val="13"/>
                <w:color w:val="auto"/>
              </w:rPr>
            </w:pPr>
          </w:p>
        </w:tc>
        <w:tc>
          <w:tcPr>
            <w:tcW w:w="1060" w:type="dxa"/>
            <w:vAlign w:val="bottom"/>
            <w:shd w:val="clear" w:color="auto" w:fill="FDFDFC"/>
          </w:tcPr>
          <w:p>
            <w:pPr>
              <w:jc w:val="right"/>
              <w:ind w:right="124"/>
              <w:spacing w:after="0" w:line="159" w:lineRule="exact"/>
              <w:rPr>
                <w:sz w:val="20"/>
                <w:szCs w:val="20"/>
                <w:color w:val="auto"/>
              </w:rPr>
            </w:pPr>
            <w:r>
              <w:rPr>
                <w:rFonts w:ascii="Times New Roman" w:cs="Times New Roman" w:eastAsia="Times New Roman" w:hAnsi="Times New Roman"/>
                <w:sz w:val="15"/>
                <w:szCs w:val="15"/>
                <w:color w:val="231F20"/>
              </w:rPr>
              <w:t>SOFR +</w:t>
            </w:r>
          </w:p>
        </w:tc>
        <w:tc>
          <w:tcPr>
            <w:tcW w:w="1020" w:type="dxa"/>
            <w:vAlign w:val="bottom"/>
            <w:shd w:val="clear" w:color="auto" w:fill="FDFDFC"/>
          </w:tcPr>
          <w:p>
            <w:pPr>
              <w:jc w:val="right"/>
              <w:ind w:right="24"/>
              <w:spacing w:after="0" w:line="159" w:lineRule="exact"/>
              <w:rPr>
                <w:sz w:val="20"/>
                <w:szCs w:val="20"/>
                <w:color w:val="auto"/>
              </w:rPr>
            </w:pPr>
            <w:r>
              <w:rPr>
                <w:rFonts w:ascii="Times New Roman" w:cs="Times New Roman" w:eastAsia="Times New Roman" w:hAnsi="Times New Roman"/>
                <w:sz w:val="15"/>
                <w:szCs w:val="15"/>
                <w:color w:val="231F20"/>
              </w:rPr>
              <w:t>12.46%</w:t>
            </w:r>
          </w:p>
        </w:tc>
        <w:tc>
          <w:tcPr>
            <w:tcW w:w="1000" w:type="dxa"/>
            <w:vAlign w:val="bottom"/>
            <w:shd w:val="clear" w:color="auto" w:fill="FDFDFC"/>
          </w:tcPr>
          <w:p>
            <w:pPr>
              <w:jc w:val="right"/>
              <w:spacing w:after="0" w:line="159" w:lineRule="exact"/>
              <w:rPr>
                <w:sz w:val="20"/>
                <w:szCs w:val="20"/>
                <w:color w:val="auto"/>
              </w:rPr>
            </w:pPr>
            <w:r>
              <w:rPr>
                <w:rFonts w:ascii="Times New Roman" w:cs="Times New Roman" w:eastAsia="Times New Roman" w:hAnsi="Times New Roman"/>
                <w:sz w:val="15"/>
                <w:szCs w:val="15"/>
                <w:color w:val="231F20"/>
              </w:rPr>
              <w:t>8,996</w:t>
            </w:r>
          </w:p>
        </w:tc>
        <w:tc>
          <w:tcPr>
            <w:tcW w:w="1140" w:type="dxa"/>
            <w:vAlign w:val="bottom"/>
            <w:gridSpan w:val="2"/>
            <w:shd w:val="clear" w:color="auto" w:fill="FDFDFC"/>
          </w:tcPr>
          <w:p>
            <w:pPr>
              <w:jc w:val="right"/>
              <w:spacing w:after="0" w:line="159" w:lineRule="exact"/>
              <w:rPr>
                <w:sz w:val="20"/>
                <w:szCs w:val="20"/>
                <w:color w:val="auto"/>
              </w:rPr>
            </w:pPr>
            <w:r>
              <w:rPr>
                <w:rFonts w:ascii="Times New Roman" w:cs="Times New Roman" w:eastAsia="Times New Roman" w:hAnsi="Times New Roman"/>
                <w:sz w:val="15"/>
                <w:szCs w:val="15"/>
                <w:color w:val="231F20"/>
              </w:rPr>
              <w:t>9,083</w:t>
            </w:r>
          </w:p>
        </w:tc>
        <w:tc>
          <w:tcPr>
            <w:tcW w:w="1340" w:type="dxa"/>
            <w:vAlign w:val="bottom"/>
            <w:gridSpan w:val="3"/>
            <w:shd w:val="clear" w:color="auto" w:fill="FDFDFC"/>
          </w:tcPr>
          <w:p>
            <w:pPr>
              <w:jc w:val="right"/>
              <w:ind w:right="120"/>
              <w:spacing w:after="0" w:line="159" w:lineRule="exact"/>
              <w:rPr>
                <w:sz w:val="20"/>
                <w:szCs w:val="20"/>
                <w:color w:val="auto"/>
              </w:rPr>
            </w:pPr>
            <w:r>
              <w:rPr>
                <w:rFonts w:ascii="Times New Roman" w:cs="Times New Roman" w:eastAsia="Times New Roman" w:hAnsi="Times New Roman"/>
                <w:sz w:val="15"/>
                <w:szCs w:val="15"/>
                <w:color w:val="231F20"/>
              </w:rPr>
              <w:t>0.6%</w:t>
            </w:r>
          </w:p>
        </w:tc>
        <w:tc>
          <w:tcPr>
            <w:tcW w:w="0" w:type="dxa"/>
            <w:vAlign w:val="bottom"/>
          </w:tcPr>
          <w:p>
            <w:pPr>
              <w:spacing w:after="0"/>
              <w:rPr>
                <w:sz w:val="1"/>
                <w:szCs w:val="1"/>
                <w:color w:val="auto"/>
              </w:rPr>
            </w:pPr>
          </w:p>
        </w:tc>
      </w:tr>
      <w:tr>
        <w:trPr>
          <w:trHeight w:val="189"/>
        </w:trPr>
        <w:tc>
          <w:tcPr>
            <w:tcW w:w="1460" w:type="dxa"/>
            <w:vAlign w:val="bottom"/>
            <w:shd w:val="clear" w:color="auto" w:fill="FDFDFC"/>
          </w:tcPr>
          <w:p>
            <w:pPr>
              <w:spacing w:after="0"/>
              <w:rPr>
                <w:sz w:val="16"/>
                <w:szCs w:val="16"/>
                <w:color w:val="auto"/>
              </w:rPr>
            </w:pPr>
          </w:p>
        </w:tc>
        <w:tc>
          <w:tcPr>
            <w:tcW w:w="2420" w:type="dxa"/>
            <w:vAlign w:val="bottom"/>
            <w:shd w:val="clear" w:color="auto" w:fill="FDFDFC"/>
          </w:tcPr>
          <w:p>
            <w:pPr>
              <w:ind w:left="60"/>
              <w:spacing w:after="0"/>
              <w:rPr>
                <w:sz w:val="20"/>
                <w:szCs w:val="20"/>
                <w:color w:val="auto"/>
              </w:rPr>
            </w:pPr>
            <w:r>
              <w:rPr>
                <w:rFonts w:ascii="Times New Roman" w:cs="Times New Roman" w:eastAsia="Times New Roman" w:hAnsi="Times New Roman"/>
                <w:sz w:val="15"/>
                <w:szCs w:val="15"/>
                <w:color w:val="231F20"/>
              </w:rPr>
              <w:t>12/2024)</w:t>
            </w:r>
          </w:p>
        </w:tc>
        <w:tc>
          <w:tcPr>
            <w:tcW w:w="820" w:type="dxa"/>
            <w:vAlign w:val="bottom"/>
            <w:shd w:val="clear" w:color="auto" w:fill="FDFDFC"/>
          </w:tcPr>
          <w:p>
            <w:pPr>
              <w:spacing w:after="0"/>
              <w:rPr>
                <w:sz w:val="16"/>
                <w:szCs w:val="16"/>
                <w:color w:val="auto"/>
              </w:rPr>
            </w:pPr>
          </w:p>
        </w:tc>
        <w:tc>
          <w:tcPr>
            <w:tcW w:w="20" w:type="dxa"/>
            <w:vAlign w:val="bottom"/>
          </w:tcPr>
          <w:p>
            <w:pPr>
              <w:spacing w:after="0"/>
              <w:rPr>
                <w:sz w:val="16"/>
                <w:szCs w:val="16"/>
                <w:color w:val="auto"/>
              </w:rPr>
            </w:pPr>
          </w:p>
        </w:tc>
        <w:tc>
          <w:tcPr>
            <w:tcW w:w="1060" w:type="dxa"/>
            <w:vAlign w:val="bottom"/>
            <w:shd w:val="clear" w:color="auto" w:fill="FDFDFC"/>
          </w:tcPr>
          <w:p>
            <w:pPr>
              <w:jc w:val="right"/>
              <w:ind w:right="124"/>
              <w:spacing w:after="0"/>
              <w:rPr>
                <w:sz w:val="20"/>
                <w:szCs w:val="20"/>
                <w:color w:val="auto"/>
              </w:rPr>
            </w:pPr>
            <w:r>
              <w:rPr>
                <w:rFonts w:ascii="Times New Roman" w:cs="Times New Roman" w:eastAsia="Times New Roman" w:hAnsi="Times New Roman"/>
                <w:sz w:val="15"/>
                <w:szCs w:val="15"/>
                <w:color w:val="231F20"/>
              </w:rPr>
              <w:t>7.10%</w:t>
            </w:r>
          </w:p>
        </w:tc>
        <w:tc>
          <w:tcPr>
            <w:tcW w:w="1020" w:type="dxa"/>
            <w:vAlign w:val="bottom"/>
            <w:shd w:val="clear" w:color="auto" w:fill="FDFDFC"/>
          </w:tcPr>
          <w:p>
            <w:pPr>
              <w:spacing w:after="0"/>
              <w:rPr>
                <w:sz w:val="16"/>
                <w:szCs w:val="16"/>
                <w:color w:val="auto"/>
              </w:rPr>
            </w:pPr>
          </w:p>
        </w:tc>
        <w:tc>
          <w:tcPr>
            <w:tcW w:w="1000" w:type="dxa"/>
            <w:vAlign w:val="bottom"/>
            <w:shd w:val="clear" w:color="auto" w:fill="FDFDFC"/>
          </w:tcPr>
          <w:p>
            <w:pPr>
              <w:spacing w:after="0"/>
              <w:rPr>
                <w:sz w:val="16"/>
                <w:szCs w:val="16"/>
                <w:color w:val="auto"/>
              </w:rPr>
            </w:pPr>
          </w:p>
        </w:tc>
        <w:tc>
          <w:tcPr>
            <w:tcW w:w="180" w:type="dxa"/>
            <w:vAlign w:val="bottom"/>
            <w:shd w:val="clear" w:color="auto" w:fill="FDFDFC"/>
          </w:tcPr>
          <w:p>
            <w:pPr>
              <w:spacing w:after="0"/>
              <w:rPr>
                <w:sz w:val="16"/>
                <w:szCs w:val="16"/>
                <w:color w:val="auto"/>
              </w:rPr>
            </w:pPr>
          </w:p>
        </w:tc>
        <w:tc>
          <w:tcPr>
            <w:tcW w:w="960" w:type="dxa"/>
            <w:vAlign w:val="bottom"/>
            <w:shd w:val="clear" w:color="auto" w:fill="FDFDFC"/>
          </w:tcPr>
          <w:p>
            <w:pPr>
              <w:spacing w:after="0"/>
              <w:rPr>
                <w:sz w:val="16"/>
                <w:szCs w:val="16"/>
                <w:color w:val="auto"/>
              </w:rPr>
            </w:pPr>
          </w:p>
        </w:tc>
        <w:tc>
          <w:tcPr>
            <w:tcW w:w="200" w:type="dxa"/>
            <w:vAlign w:val="bottom"/>
            <w:shd w:val="clear" w:color="auto" w:fill="FDFDFC"/>
          </w:tcPr>
          <w:p>
            <w:pPr>
              <w:spacing w:after="0"/>
              <w:rPr>
                <w:sz w:val="16"/>
                <w:szCs w:val="16"/>
                <w:color w:val="auto"/>
              </w:rPr>
            </w:pPr>
          </w:p>
        </w:tc>
        <w:tc>
          <w:tcPr>
            <w:tcW w:w="900" w:type="dxa"/>
            <w:vAlign w:val="bottom"/>
            <w:shd w:val="clear" w:color="auto" w:fill="FDFDFC"/>
          </w:tcPr>
          <w:p>
            <w:pPr>
              <w:spacing w:after="0"/>
              <w:rPr>
                <w:sz w:val="16"/>
                <w:szCs w:val="16"/>
                <w:color w:val="auto"/>
              </w:rPr>
            </w:pPr>
          </w:p>
        </w:tc>
        <w:tc>
          <w:tcPr>
            <w:tcW w:w="240" w:type="dxa"/>
            <w:vAlign w:val="bottom"/>
            <w:shd w:val="clear" w:color="auto" w:fill="FDFDFC"/>
          </w:tcPr>
          <w:p>
            <w:pPr>
              <w:spacing w:after="0"/>
              <w:rPr>
                <w:sz w:val="16"/>
                <w:szCs w:val="16"/>
                <w:color w:val="auto"/>
              </w:rPr>
            </w:pPr>
          </w:p>
        </w:tc>
        <w:tc>
          <w:tcPr>
            <w:tcW w:w="0" w:type="dxa"/>
            <w:vAlign w:val="bottom"/>
          </w:tcPr>
          <w:p>
            <w:pPr>
              <w:spacing w:after="0"/>
              <w:rPr>
                <w:sz w:val="1"/>
                <w:szCs w:val="1"/>
                <w:color w:val="auto"/>
              </w:rPr>
            </w:pPr>
          </w:p>
        </w:tc>
      </w:tr>
      <w:tr>
        <w:trPr>
          <w:trHeight w:val="158"/>
        </w:trPr>
        <w:tc>
          <w:tcPr>
            <w:tcW w:w="1460" w:type="dxa"/>
            <w:vAlign w:val="bottom"/>
            <w:shd w:val="clear" w:color="auto" w:fill="D0EBF2"/>
          </w:tcPr>
          <w:p>
            <w:pPr>
              <w:spacing w:after="0" w:line="159" w:lineRule="exact"/>
              <w:rPr>
                <w:sz w:val="20"/>
                <w:szCs w:val="20"/>
                <w:color w:val="auto"/>
              </w:rPr>
            </w:pPr>
            <w:r>
              <w:rPr>
                <w:rFonts w:ascii="Times New Roman" w:cs="Times New Roman" w:eastAsia="Times New Roman" w:hAnsi="Times New Roman"/>
                <w:sz w:val="15"/>
                <w:szCs w:val="15"/>
                <w:color w:val="231F20"/>
              </w:rPr>
              <w:t>TradingScreen, Inc.</w:t>
            </w:r>
          </w:p>
        </w:tc>
        <w:tc>
          <w:tcPr>
            <w:tcW w:w="2420" w:type="dxa"/>
            <w:vAlign w:val="bottom"/>
            <w:shd w:val="clear" w:color="auto" w:fill="D0EBF2"/>
          </w:tcPr>
          <w:p>
            <w:pPr>
              <w:ind w:left="60"/>
              <w:spacing w:after="0" w:line="159" w:lineRule="exact"/>
              <w:rPr>
                <w:sz w:val="20"/>
                <w:szCs w:val="20"/>
                <w:color w:val="auto"/>
              </w:rPr>
            </w:pPr>
            <w:r>
              <w:rPr>
                <w:rFonts w:ascii="Times New Roman" w:cs="Times New Roman" w:eastAsia="Times New Roman" w:hAnsi="Times New Roman"/>
                <w:sz w:val="15"/>
                <w:szCs w:val="15"/>
                <w:color w:val="231F20"/>
              </w:rPr>
              <w:t>First-lien loan ($47,198 par, due</w:t>
            </w:r>
          </w:p>
        </w:tc>
        <w:tc>
          <w:tcPr>
            <w:tcW w:w="820" w:type="dxa"/>
            <w:vAlign w:val="bottom"/>
            <w:shd w:val="clear" w:color="auto" w:fill="D0EBF2"/>
          </w:tcPr>
          <w:p>
            <w:pPr>
              <w:jc w:val="right"/>
              <w:spacing w:after="0" w:line="159" w:lineRule="exact"/>
              <w:rPr>
                <w:sz w:val="20"/>
                <w:szCs w:val="20"/>
                <w:color w:val="auto"/>
              </w:rPr>
            </w:pPr>
            <w:r>
              <w:rPr>
                <w:rFonts w:ascii="Times New Roman" w:cs="Times New Roman" w:eastAsia="Times New Roman" w:hAnsi="Times New Roman"/>
                <w:sz w:val="15"/>
                <w:szCs w:val="15"/>
                <w:color w:val="231F20"/>
              </w:rPr>
              <w:t>4/30/2021</w:t>
            </w:r>
          </w:p>
        </w:tc>
        <w:tc>
          <w:tcPr>
            <w:tcW w:w="20" w:type="dxa"/>
            <w:vAlign w:val="bottom"/>
          </w:tcPr>
          <w:p>
            <w:pPr>
              <w:spacing w:after="0"/>
              <w:rPr>
                <w:sz w:val="13"/>
                <w:szCs w:val="13"/>
                <w:color w:val="auto"/>
              </w:rPr>
            </w:pPr>
          </w:p>
        </w:tc>
        <w:tc>
          <w:tcPr>
            <w:tcW w:w="1060" w:type="dxa"/>
            <w:vAlign w:val="bottom"/>
            <w:shd w:val="clear" w:color="auto" w:fill="D0EBF2"/>
          </w:tcPr>
          <w:p>
            <w:pPr>
              <w:jc w:val="right"/>
              <w:ind w:right="124"/>
              <w:spacing w:after="0" w:line="159" w:lineRule="exact"/>
              <w:rPr>
                <w:sz w:val="20"/>
                <w:szCs w:val="20"/>
                <w:color w:val="auto"/>
              </w:rPr>
            </w:pPr>
            <w:r>
              <w:rPr>
                <w:rFonts w:ascii="Times New Roman" w:cs="Times New Roman" w:eastAsia="Times New Roman" w:hAnsi="Times New Roman"/>
                <w:sz w:val="15"/>
                <w:szCs w:val="15"/>
                <w:color w:val="231F20"/>
              </w:rPr>
              <w:t>SOFR +</w:t>
            </w:r>
          </w:p>
        </w:tc>
        <w:tc>
          <w:tcPr>
            <w:tcW w:w="1020" w:type="dxa"/>
            <w:vAlign w:val="bottom"/>
            <w:shd w:val="clear" w:color="auto" w:fill="D0EBF2"/>
          </w:tcPr>
          <w:p>
            <w:pPr>
              <w:jc w:val="right"/>
              <w:ind w:right="24"/>
              <w:spacing w:after="0" w:line="159" w:lineRule="exact"/>
              <w:rPr>
                <w:sz w:val="20"/>
                <w:szCs w:val="20"/>
                <w:color w:val="auto"/>
              </w:rPr>
            </w:pPr>
            <w:r>
              <w:rPr>
                <w:rFonts w:ascii="Times New Roman" w:cs="Times New Roman" w:eastAsia="Times New Roman" w:hAnsi="Times New Roman"/>
                <w:sz w:val="15"/>
                <w:szCs w:val="15"/>
                <w:color w:val="231F20"/>
              </w:rPr>
              <w:t>11.73%</w:t>
            </w:r>
          </w:p>
        </w:tc>
        <w:tc>
          <w:tcPr>
            <w:tcW w:w="1000" w:type="dxa"/>
            <w:vAlign w:val="bottom"/>
            <w:shd w:val="clear" w:color="auto" w:fill="D0EBF2"/>
          </w:tcPr>
          <w:p>
            <w:pPr>
              <w:jc w:val="right"/>
              <w:spacing w:after="0" w:line="159" w:lineRule="exact"/>
              <w:rPr>
                <w:sz w:val="20"/>
                <w:szCs w:val="20"/>
                <w:color w:val="auto"/>
              </w:rPr>
            </w:pPr>
            <w:r>
              <w:rPr>
                <w:rFonts w:ascii="Times New Roman" w:cs="Times New Roman" w:eastAsia="Times New Roman" w:hAnsi="Times New Roman"/>
                <w:sz w:val="15"/>
                <w:szCs w:val="15"/>
                <w:color w:val="231F20"/>
              </w:rPr>
              <w:t>46,360</w:t>
            </w:r>
          </w:p>
        </w:tc>
        <w:tc>
          <w:tcPr>
            <w:tcW w:w="1140" w:type="dxa"/>
            <w:vAlign w:val="bottom"/>
            <w:gridSpan w:val="2"/>
            <w:shd w:val="clear" w:color="auto" w:fill="D0EBF2"/>
          </w:tcPr>
          <w:p>
            <w:pPr>
              <w:jc w:val="right"/>
              <w:spacing w:after="0" w:line="159" w:lineRule="exact"/>
              <w:rPr>
                <w:sz w:val="20"/>
                <w:szCs w:val="20"/>
                <w:color w:val="auto"/>
              </w:rPr>
            </w:pPr>
            <w:r>
              <w:rPr>
                <w:rFonts w:ascii="Times New Roman" w:cs="Times New Roman" w:eastAsia="Times New Roman" w:hAnsi="Times New Roman"/>
                <w:sz w:val="15"/>
                <w:szCs w:val="15"/>
                <w:color w:val="231F20"/>
              </w:rPr>
              <w:t>47,080</w:t>
            </w:r>
          </w:p>
        </w:tc>
        <w:tc>
          <w:tcPr>
            <w:tcW w:w="1340" w:type="dxa"/>
            <w:vAlign w:val="bottom"/>
            <w:gridSpan w:val="3"/>
            <w:shd w:val="clear" w:color="auto" w:fill="D0EBF2"/>
          </w:tcPr>
          <w:p>
            <w:pPr>
              <w:jc w:val="right"/>
              <w:ind w:right="120"/>
              <w:spacing w:after="0" w:line="159" w:lineRule="exact"/>
              <w:rPr>
                <w:sz w:val="20"/>
                <w:szCs w:val="20"/>
                <w:color w:val="auto"/>
              </w:rPr>
            </w:pPr>
            <w:r>
              <w:rPr>
                <w:rFonts w:ascii="Times New Roman" w:cs="Times New Roman" w:eastAsia="Times New Roman" w:hAnsi="Times New Roman"/>
                <w:sz w:val="15"/>
                <w:szCs w:val="15"/>
                <w:color w:val="231F20"/>
              </w:rPr>
              <w:t>3.1%</w:t>
            </w:r>
          </w:p>
        </w:tc>
        <w:tc>
          <w:tcPr>
            <w:tcW w:w="0" w:type="dxa"/>
            <w:vAlign w:val="bottom"/>
          </w:tcPr>
          <w:p>
            <w:pPr>
              <w:spacing w:after="0"/>
              <w:rPr>
                <w:sz w:val="1"/>
                <w:szCs w:val="1"/>
                <w:color w:val="auto"/>
              </w:rPr>
            </w:pPr>
          </w:p>
        </w:tc>
      </w:tr>
      <w:tr>
        <w:trPr>
          <w:trHeight w:val="189"/>
        </w:trPr>
        <w:tc>
          <w:tcPr>
            <w:tcW w:w="1460" w:type="dxa"/>
            <w:vAlign w:val="bottom"/>
            <w:shd w:val="clear" w:color="auto" w:fill="D0EBF2"/>
          </w:tcPr>
          <w:p>
            <w:pPr>
              <w:spacing w:after="0"/>
              <w:rPr>
                <w:sz w:val="20"/>
                <w:szCs w:val="20"/>
                <w:color w:val="auto"/>
              </w:rPr>
            </w:pPr>
            <w:r>
              <w:rPr>
                <w:rFonts w:ascii="Times New Roman" w:cs="Times New Roman" w:eastAsia="Times New Roman" w:hAnsi="Times New Roman"/>
                <w:sz w:val="9"/>
                <w:szCs w:val="9"/>
                <w:color w:val="231F20"/>
              </w:rPr>
              <w:t>(3)(5)</w:t>
            </w:r>
          </w:p>
        </w:tc>
        <w:tc>
          <w:tcPr>
            <w:tcW w:w="2420" w:type="dxa"/>
            <w:vAlign w:val="bottom"/>
            <w:shd w:val="clear" w:color="auto" w:fill="D0EBF2"/>
          </w:tcPr>
          <w:p>
            <w:pPr>
              <w:ind w:left="60"/>
              <w:spacing w:after="0"/>
              <w:rPr>
                <w:sz w:val="20"/>
                <w:szCs w:val="20"/>
                <w:color w:val="auto"/>
              </w:rPr>
            </w:pPr>
            <w:r>
              <w:rPr>
                <w:rFonts w:ascii="Times New Roman" w:cs="Times New Roman" w:eastAsia="Times New Roman" w:hAnsi="Times New Roman"/>
                <w:sz w:val="15"/>
                <w:szCs w:val="15"/>
                <w:color w:val="231F20"/>
              </w:rPr>
              <w:t>4/2027)</w:t>
            </w:r>
          </w:p>
        </w:tc>
        <w:tc>
          <w:tcPr>
            <w:tcW w:w="820" w:type="dxa"/>
            <w:vAlign w:val="bottom"/>
            <w:shd w:val="clear" w:color="auto" w:fill="D0EBF2"/>
          </w:tcPr>
          <w:p>
            <w:pPr>
              <w:spacing w:after="0"/>
              <w:rPr>
                <w:sz w:val="16"/>
                <w:szCs w:val="16"/>
                <w:color w:val="auto"/>
              </w:rPr>
            </w:pPr>
          </w:p>
        </w:tc>
        <w:tc>
          <w:tcPr>
            <w:tcW w:w="20" w:type="dxa"/>
            <w:vAlign w:val="bottom"/>
          </w:tcPr>
          <w:p>
            <w:pPr>
              <w:spacing w:after="0"/>
              <w:rPr>
                <w:sz w:val="16"/>
                <w:szCs w:val="16"/>
                <w:color w:val="auto"/>
              </w:rPr>
            </w:pPr>
          </w:p>
        </w:tc>
        <w:tc>
          <w:tcPr>
            <w:tcW w:w="1060" w:type="dxa"/>
            <w:vAlign w:val="bottom"/>
            <w:shd w:val="clear" w:color="auto" w:fill="D0EBF2"/>
          </w:tcPr>
          <w:p>
            <w:pPr>
              <w:jc w:val="right"/>
              <w:ind w:right="124"/>
              <w:spacing w:after="0"/>
              <w:rPr>
                <w:sz w:val="20"/>
                <w:szCs w:val="20"/>
                <w:color w:val="auto"/>
              </w:rPr>
            </w:pPr>
            <w:r>
              <w:rPr>
                <w:rFonts w:ascii="Times New Roman" w:cs="Times New Roman" w:eastAsia="Times New Roman" w:hAnsi="Times New Roman"/>
                <w:sz w:val="15"/>
                <w:szCs w:val="15"/>
                <w:color w:val="231F20"/>
              </w:rPr>
              <w:t>6.35%</w:t>
            </w:r>
          </w:p>
        </w:tc>
        <w:tc>
          <w:tcPr>
            <w:tcW w:w="1020" w:type="dxa"/>
            <w:vAlign w:val="bottom"/>
            <w:shd w:val="clear" w:color="auto" w:fill="D0EBF2"/>
          </w:tcPr>
          <w:p>
            <w:pPr>
              <w:spacing w:after="0"/>
              <w:rPr>
                <w:sz w:val="16"/>
                <w:szCs w:val="16"/>
                <w:color w:val="auto"/>
              </w:rPr>
            </w:pPr>
          </w:p>
        </w:tc>
        <w:tc>
          <w:tcPr>
            <w:tcW w:w="1000" w:type="dxa"/>
            <w:vAlign w:val="bottom"/>
            <w:shd w:val="clear" w:color="auto" w:fill="D0EBF2"/>
          </w:tcPr>
          <w:p>
            <w:pPr>
              <w:spacing w:after="0"/>
              <w:rPr>
                <w:sz w:val="16"/>
                <w:szCs w:val="16"/>
                <w:color w:val="auto"/>
              </w:rPr>
            </w:pPr>
          </w:p>
        </w:tc>
        <w:tc>
          <w:tcPr>
            <w:tcW w:w="180" w:type="dxa"/>
            <w:vAlign w:val="bottom"/>
            <w:shd w:val="clear" w:color="auto" w:fill="D0EBF2"/>
          </w:tcPr>
          <w:p>
            <w:pPr>
              <w:spacing w:after="0"/>
              <w:rPr>
                <w:sz w:val="16"/>
                <w:szCs w:val="16"/>
                <w:color w:val="auto"/>
              </w:rPr>
            </w:pPr>
          </w:p>
        </w:tc>
        <w:tc>
          <w:tcPr>
            <w:tcW w:w="960" w:type="dxa"/>
            <w:vAlign w:val="bottom"/>
            <w:shd w:val="clear" w:color="auto" w:fill="D0EBF2"/>
          </w:tcPr>
          <w:p>
            <w:pPr>
              <w:spacing w:after="0"/>
              <w:rPr>
                <w:sz w:val="16"/>
                <w:szCs w:val="16"/>
                <w:color w:val="auto"/>
              </w:rPr>
            </w:pPr>
          </w:p>
        </w:tc>
        <w:tc>
          <w:tcPr>
            <w:tcW w:w="200" w:type="dxa"/>
            <w:vAlign w:val="bottom"/>
            <w:shd w:val="clear" w:color="auto" w:fill="D0EBF2"/>
          </w:tcPr>
          <w:p>
            <w:pPr>
              <w:spacing w:after="0"/>
              <w:rPr>
                <w:sz w:val="16"/>
                <w:szCs w:val="16"/>
                <w:color w:val="auto"/>
              </w:rPr>
            </w:pPr>
          </w:p>
        </w:tc>
        <w:tc>
          <w:tcPr>
            <w:tcW w:w="900" w:type="dxa"/>
            <w:vAlign w:val="bottom"/>
            <w:shd w:val="clear" w:color="auto" w:fill="D0EBF2"/>
          </w:tcPr>
          <w:p>
            <w:pPr>
              <w:spacing w:after="0"/>
              <w:rPr>
                <w:sz w:val="16"/>
                <w:szCs w:val="16"/>
                <w:color w:val="auto"/>
              </w:rPr>
            </w:pPr>
          </w:p>
        </w:tc>
        <w:tc>
          <w:tcPr>
            <w:tcW w:w="240" w:type="dxa"/>
            <w:vAlign w:val="bottom"/>
            <w:shd w:val="clear" w:color="auto" w:fill="D0EBF2"/>
          </w:tcPr>
          <w:p>
            <w:pPr>
              <w:spacing w:after="0"/>
              <w:rPr>
                <w:sz w:val="16"/>
                <w:szCs w:val="16"/>
                <w:color w:val="auto"/>
              </w:rPr>
            </w:pPr>
          </w:p>
        </w:tc>
        <w:tc>
          <w:tcPr>
            <w:tcW w:w="0" w:type="dxa"/>
            <w:vAlign w:val="bottom"/>
          </w:tcPr>
          <w:p>
            <w:pPr>
              <w:spacing w:after="0"/>
              <w:rPr>
                <w:sz w:val="1"/>
                <w:szCs w:val="1"/>
                <w:color w:val="auto"/>
              </w:rPr>
            </w:pPr>
          </w:p>
        </w:tc>
      </w:tr>
      <w:tr>
        <w:trPr>
          <w:trHeight w:val="158"/>
        </w:trPr>
        <w:tc>
          <w:tcPr>
            <w:tcW w:w="1460" w:type="dxa"/>
            <w:vAlign w:val="bottom"/>
            <w:shd w:val="clear" w:color="auto" w:fill="FDFDFC"/>
          </w:tcPr>
          <w:p>
            <w:pPr>
              <w:spacing w:after="0" w:line="159" w:lineRule="exact"/>
              <w:rPr>
                <w:sz w:val="20"/>
                <w:szCs w:val="20"/>
                <w:color w:val="auto"/>
              </w:rPr>
            </w:pPr>
            <w:r>
              <w:rPr>
                <w:rFonts w:ascii="Times New Roman" w:cs="Times New Roman" w:eastAsia="Times New Roman" w:hAnsi="Times New Roman"/>
                <w:sz w:val="15"/>
                <w:szCs w:val="15"/>
                <w:color w:val="231F20"/>
              </w:rPr>
              <w:t>Volante Technologies,</w:t>
            </w:r>
          </w:p>
        </w:tc>
        <w:tc>
          <w:tcPr>
            <w:tcW w:w="2420" w:type="dxa"/>
            <w:vAlign w:val="bottom"/>
            <w:shd w:val="clear" w:color="auto" w:fill="FDFDFC"/>
          </w:tcPr>
          <w:p>
            <w:pPr>
              <w:ind w:left="60"/>
              <w:spacing w:after="0" w:line="159" w:lineRule="exact"/>
              <w:rPr>
                <w:sz w:val="20"/>
                <w:szCs w:val="20"/>
                <w:color w:val="auto"/>
              </w:rPr>
            </w:pPr>
            <w:r>
              <w:rPr>
                <w:rFonts w:ascii="Times New Roman" w:cs="Times New Roman" w:eastAsia="Times New Roman" w:hAnsi="Times New Roman"/>
                <w:sz w:val="15"/>
                <w:szCs w:val="15"/>
                <w:color w:val="231F20"/>
              </w:rPr>
              <w:t>First-lien loan ($2,604 par, due</w:t>
            </w:r>
          </w:p>
        </w:tc>
        <w:tc>
          <w:tcPr>
            <w:tcW w:w="820" w:type="dxa"/>
            <w:vAlign w:val="bottom"/>
            <w:shd w:val="clear" w:color="auto" w:fill="FDFDFC"/>
          </w:tcPr>
          <w:p>
            <w:pPr>
              <w:jc w:val="right"/>
              <w:spacing w:after="0" w:line="159" w:lineRule="exact"/>
              <w:rPr>
                <w:sz w:val="20"/>
                <w:szCs w:val="20"/>
                <w:color w:val="auto"/>
              </w:rPr>
            </w:pPr>
            <w:r>
              <w:rPr>
                <w:rFonts w:ascii="Times New Roman" w:cs="Times New Roman" w:eastAsia="Times New Roman" w:hAnsi="Times New Roman"/>
                <w:sz w:val="15"/>
                <w:szCs w:val="15"/>
                <w:color w:val="231F20"/>
              </w:rPr>
              <w:t>9/29/2023</w:t>
            </w:r>
          </w:p>
        </w:tc>
        <w:tc>
          <w:tcPr>
            <w:tcW w:w="20" w:type="dxa"/>
            <w:vAlign w:val="bottom"/>
          </w:tcPr>
          <w:p>
            <w:pPr>
              <w:spacing w:after="0"/>
              <w:rPr>
                <w:sz w:val="13"/>
                <w:szCs w:val="13"/>
                <w:color w:val="auto"/>
              </w:rPr>
            </w:pPr>
          </w:p>
        </w:tc>
        <w:tc>
          <w:tcPr>
            <w:tcW w:w="1060" w:type="dxa"/>
            <w:vAlign w:val="bottom"/>
            <w:shd w:val="clear" w:color="auto" w:fill="FDFDFC"/>
          </w:tcPr>
          <w:p>
            <w:pPr>
              <w:jc w:val="right"/>
              <w:spacing w:after="0" w:line="159" w:lineRule="exact"/>
              <w:rPr>
                <w:sz w:val="20"/>
                <w:szCs w:val="20"/>
                <w:color w:val="auto"/>
              </w:rPr>
            </w:pPr>
            <w:r>
              <w:rPr>
                <w:rFonts w:ascii="Times New Roman" w:cs="Times New Roman" w:eastAsia="Times New Roman" w:hAnsi="Times New Roman"/>
                <w:sz w:val="15"/>
                <w:szCs w:val="15"/>
                <w:color w:val="231F20"/>
              </w:rPr>
              <w:t>16.50%</w:t>
            </w:r>
          </w:p>
        </w:tc>
        <w:tc>
          <w:tcPr>
            <w:tcW w:w="1020" w:type="dxa"/>
            <w:vAlign w:val="bottom"/>
            <w:shd w:val="clear" w:color="auto" w:fill="FDFDFC"/>
          </w:tcPr>
          <w:p>
            <w:pPr>
              <w:jc w:val="right"/>
              <w:ind w:right="164"/>
              <w:spacing w:after="0" w:line="159" w:lineRule="exact"/>
              <w:rPr>
                <w:sz w:val="20"/>
                <w:szCs w:val="20"/>
                <w:color w:val="auto"/>
              </w:rPr>
            </w:pPr>
            <w:r>
              <w:rPr>
                <w:rFonts w:ascii="Times New Roman" w:cs="Times New Roman" w:eastAsia="Times New Roman" w:hAnsi="Times New Roman"/>
                <w:sz w:val="15"/>
                <w:szCs w:val="15"/>
                <w:color w:val="231F20"/>
              </w:rPr>
              <w:t>16.50%</w:t>
            </w:r>
          </w:p>
        </w:tc>
        <w:tc>
          <w:tcPr>
            <w:tcW w:w="1000" w:type="dxa"/>
            <w:vAlign w:val="bottom"/>
            <w:shd w:val="clear" w:color="auto" w:fill="FDFDFC"/>
          </w:tcPr>
          <w:p>
            <w:pPr>
              <w:jc w:val="right"/>
              <w:spacing w:after="0" w:line="159" w:lineRule="exact"/>
              <w:rPr>
                <w:sz w:val="20"/>
                <w:szCs w:val="20"/>
                <w:color w:val="auto"/>
              </w:rPr>
            </w:pPr>
            <w:r>
              <w:rPr>
                <w:rFonts w:ascii="Times New Roman" w:cs="Times New Roman" w:eastAsia="Times New Roman" w:hAnsi="Times New Roman"/>
                <w:sz w:val="15"/>
                <w:szCs w:val="15"/>
                <w:color w:val="231F20"/>
              </w:rPr>
              <w:t>2,578</w:t>
            </w:r>
          </w:p>
        </w:tc>
        <w:tc>
          <w:tcPr>
            <w:tcW w:w="1140" w:type="dxa"/>
            <w:vAlign w:val="bottom"/>
            <w:gridSpan w:val="2"/>
            <w:shd w:val="clear" w:color="auto" w:fill="FDFDFC"/>
          </w:tcPr>
          <w:p>
            <w:pPr>
              <w:jc w:val="right"/>
              <w:spacing w:after="0" w:line="159" w:lineRule="exact"/>
              <w:rPr>
                <w:sz w:val="20"/>
                <w:szCs w:val="20"/>
                <w:color w:val="auto"/>
              </w:rPr>
            </w:pPr>
            <w:r>
              <w:rPr>
                <w:rFonts w:ascii="Times New Roman" w:cs="Times New Roman" w:eastAsia="Times New Roman" w:hAnsi="Times New Roman"/>
                <w:sz w:val="15"/>
                <w:szCs w:val="15"/>
                <w:color w:val="231F20"/>
              </w:rPr>
              <w:t>2,598</w:t>
            </w:r>
          </w:p>
        </w:tc>
        <w:tc>
          <w:tcPr>
            <w:tcW w:w="1340" w:type="dxa"/>
            <w:vAlign w:val="bottom"/>
            <w:gridSpan w:val="3"/>
            <w:shd w:val="clear" w:color="auto" w:fill="FDFDFC"/>
          </w:tcPr>
          <w:p>
            <w:pPr>
              <w:jc w:val="right"/>
              <w:ind w:right="120"/>
              <w:spacing w:after="0" w:line="159" w:lineRule="exact"/>
              <w:rPr>
                <w:sz w:val="20"/>
                <w:szCs w:val="20"/>
                <w:color w:val="auto"/>
              </w:rPr>
            </w:pPr>
            <w:r>
              <w:rPr>
                <w:rFonts w:ascii="Times New Roman" w:cs="Times New Roman" w:eastAsia="Times New Roman" w:hAnsi="Times New Roman"/>
                <w:sz w:val="15"/>
                <w:szCs w:val="15"/>
                <w:color w:val="231F20"/>
              </w:rPr>
              <w:t>0.2%</w:t>
            </w:r>
          </w:p>
        </w:tc>
        <w:tc>
          <w:tcPr>
            <w:tcW w:w="0" w:type="dxa"/>
            <w:vAlign w:val="bottom"/>
          </w:tcPr>
          <w:p>
            <w:pPr>
              <w:spacing w:after="0"/>
              <w:rPr>
                <w:sz w:val="1"/>
                <w:szCs w:val="1"/>
                <w:color w:val="auto"/>
              </w:rPr>
            </w:pPr>
          </w:p>
        </w:tc>
      </w:tr>
      <w:tr>
        <w:trPr>
          <w:trHeight w:val="189"/>
        </w:trPr>
        <w:tc>
          <w:tcPr>
            <w:tcW w:w="1460" w:type="dxa"/>
            <w:vAlign w:val="bottom"/>
            <w:tcBorders>
              <w:bottom w:val="single" w:sz="8" w:color="D0EBF2"/>
            </w:tcBorders>
            <w:shd w:val="clear" w:color="auto" w:fill="FDFDFC"/>
          </w:tcPr>
          <w:p>
            <w:pPr>
              <w:spacing w:after="0"/>
              <w:rPr>
                <w:sz w:val="20"/>
                <w:szCs w:val="20"/>
                <w:color w:val="auto"/>
              </w:rPr>
            </w:pPr>
            <w:r>
              <w:rPr>
                <w:rFonts w:ascii="Times New Roman" w:cs="Times New Roman" w:eastAsia="Times New Roman" w:hAnsi="Times New Roman"/>
                <w:sz w:val="15"/>
                <w:szCs w:val="15"/>
                <w:color w:val="231F20"/>
              </w:rPr>
              <w:t>Inc.</w:t>
            </w:r>
          </w:p>
        </w:tc>
        <w:tc>
          <w:tcPr>
            <w:tcW w:w="2420" w:type="dxa"/>
            <w:vAlign w:val="bottom"/>
            <w:tcBorders>
              <w:bottom w:val="single" w:sz="8" w:color="D0EBF2"/>
            </w:tcBorders>
            <w:shd w:val="clear" w:color="auto" w:fill="FDFDFC"/>
          </w:tcPr>
          <w:p>
            <w:pPr>
              <w:ind w:left="60"/>
              <w:spacing w:after="0"/>
              <w:rPr>
                <w:sz w:val="20"/>
                <w:szCs w:val="20"/>
                <w:color w:val="auto"/>
              </w:rPr>
            </w:pPr>
            <w:r>
              <w:rPr>
                <w:rFonts w:ascii="Times New Roman" w:cs="Times New Roman" w:eastAsia="Times New Roman" w:hAnsi="Times New Roman"/>
                <w:sz w:val="15"/>
                <w:szCs w:val="15"/>
                <w:color w:val="231F20"/>
              </w:rPr>
              <w:t>9/2028)</w:t>
            </w:r>
          </w:p>
        </w:tc>
        <w:tc>
          <w:tcPr>
            <w:tcW w:w="820" w:type="dxa"/>
            <w:vAlign w:val="bottom"/>
            <w:tcBorders>
              <w:bottom w:val="single" w:sz="8" w:color="D0EBF2"/>
            </w:tcBorders>
            <w:shd w:val="clear" w:color="auto" w:fill="FDFDFC"/>
          </w:tcPr>
          <w:p>
            <w:pPr>
              <w:spacing w:after="0"/>
              <w:rPr>
                <w:sz w:val="16"/>
                <w:szCs w:val="16"/>
                <w:color w:val="auto"/>
              </w:rPr>
            </w:pPr>
          </w:p>
        </w:tc>
        <w:tc>
          <w:tcPr>
            <w:tcW w:w="20" w:type="dxa"/>
            <w:vAlign w:val="bottom"/>
            <w:tcBorders>
              <w:bottom w:val="single" w:sz="8" w:color="D0EBF2"/>
            </w:tcBorders>
          </w:tcPr>
          <w:p>
            <w:pPr>
              <w:spacing w:after="0"/>
              <w:rPr>
                <w:sz w:val="16"/>
                <w:szCs w:val="16"/>
                <w:color w:val="auto"/>
              </w:rPr>
            </w:pPr>
          </w:p>
        </w:tc>
        <w:tc>
          <w:tcPr>
            <w:tcW w:w="1060" w:type="dxa"/>
            <w:vAlign w:val="bottom"/>
            <w:tcBorders>
              <w:bottom w:val="single" w:sz="8" w:color="D0EBF2"/>
            </w:tcBorders>
            <w:shd w:val="clear" w:color="auto" w:fill="FDFDFC"/>
          </w:tcPr>
          <w:p>
            <w:pPr>
              <w:spacing w:after="0"/>
              <w:rPr>
                <w:sz w:val="16"/>
                <w:szCs w:val="16"/>
                <w:color w:val="auto"/>
              </w:rPr>
            </w:pPr>
          </w:p>
        </w:tc>
        <w:tc>
          <w:tcPr>
            <w:tcW w:w="1020" w:type="dxa"/>
            <w:vAlign w:val="bottom"/>
            <w:tcBorders>
              <w:bottom w:val="single" w:sz="8" w:color="D0EBF2"/>
            </w:tcBorders>
            <w:shd w:val="clear" w:color="auto" w:fill="FDFDFC"/>
          </w:tcPr>
          <w:p>
            <w:pPr>
              <w:jc w:val="right"/>
              <w:ind w:right="164"/>
              <w:spacing w:after="0"/>
              <w:rPr>
                <w:sz w:val="20"/>
                <w:szCs w:val="20"/>
                <w:color w:val="auto"/>
              </w:rPr>
            </w:pPr>
            <w:r>
              <w:rPr>
                <w:rFonts w:ascii="Times New Roman" w:cs="Times New Roman" w:eastAsia="Times New Roman" w:hAnsi="Times New Roman"/>
                <w:sz w:val="15"/>
                <w:szCs w:val="15"/>
                <w:color w:val="231F20"/>
              </w:rPr>
              <w:t>PIK</w:t>
            </w:r>
          </w:p>
        </w:tc>
        <w:tc>
          <w:tcPr>
            <w:tcW w:w="1000" w:type="dxa"/>
            <w:vAlign w:val="bottom"/>
            <w:tcBorders>
              <w:bottom w:val="single" w:sz="8" w:color="231F20"/>
            </w:tcBorders>
            <w:shd w:val="clear" w:color="auto" w:fill="FDFDFC"/>
          </w:tcPr>
          <w:p>
            <w:pPr>
              <w:spacing w:after="0"/>
              <w:rPr>
                <w:sz w:val="16"/>
                <w:szCs w:val="16"/>
                <w:color w:val="auto"/>
              </w:rPr>
            </w:pPr>
          </w:p>
        </w:tc>
        <w:tc>
          <w:tcPr>
            <w:tcW w:w="180" w:type="dxa"/>
            <w:vAlign w:val="bottom"/>
            <w:tcBorders>
              <w:bottom w:val="single" w:sz="8" w:color="D0EBF2"/>
            </w:tcBorders>
            <w:shd w:val="clear" w:color="auto" w:fill="FDFDFC"/>
          </w:tcPr>
          <w:p>
            <w:pPr>
              <w:spacing w:after="0"/>
              <w:rPr>
                <w:sz w:val="16"/>
                <w:szCs w:val="16"/>
                <w:color w:val="auto"/>
              </w:rPr>
            </w:pPr>
          </w:p>
        </w:tc>
        <w:tc>
          <w:tcPr>
            <w:tcW w:w="960" w:type="dxa"/>
            <w:vAlign w:val="bottom"/>
            <w:tcBorders>
              <w:bottom w:val="single" w:sz="8" w:color="231F20"/>
            </w:tcBorders>
            <w:shd w:val="clear" w:color="auto" w:fill="FDFDFC"/>
          </w:tcPr>
          <w:p>
            <w:pPr>
              <w:spacing w:after="0"/>
              <w:rPr>
                <w:sz w:val="16"/>
                <w:szCs w:val="16"/>
                <w:color w:val="auto"/>
              </w:rPr>
            </w:pPr>
          </w:p>
        </w:tc>
        <w:tc>
          <w:tcPr>
            <w:tcW w:w="200" w:type="dxa"/>
            <w:vAlign w:val="bottom"/>
            <w:tcBorders>
              <w:bottom w:val="single" w:sz="8" w:color="D0EBF2"/>
            </w:tcBorders>
            <w:shd w:val="clear" w:color="auto" w:fill="FDFDFC"/>
          </w:tcPr>
          <w:p>
            <w:pPr>
              <w:spacing w:after="0"/>
              <w:rPr>
                <w:sz w:val="16"/>
                <w:szCs w:val="16"/>
                <w:color w:val="auto"/>
              </w:rPr>
            </w:pPr>
          </w:p>
        </w:tc>
        <w:tc>
          <w:tcPr>
            <w:tcW w:w="900" w:type="dxa"/>
            <w:vAlign w:val="bottom"/>
            <w:tcBorders>
              <w:bottom w:val="single" w:sz="8" w:color="231F20"/>
            </w:tcBorders>
            <w:shd w:val="clear" w:color="auto" w:fill="FDFDFC"/>
          </w:tcPr>
          <w:p>
            <w:pPr>
              <w:spacing w:after="0"/>
              <w:rPr>
                <w:sz w:val="16"/>
                <w:szCs w:val="16"/>
                <w:color w:val="auto"/>
              </w:rPr>
            </w:pPr>
          </w:p>
        </w:tc>
        <w:tc>
          <w:tcPr>
            <w:tcW w:w="240" w:type="dxa"/>
            <w:vAlign w:val="bottom"/>
            <w:shd w:val="clear" w:color="auto" w:fill="FDFDFC"/>
          </w:tcPr>
          <w:p>
            <w:pPr>
              <w:spacing w:after="0"/>
              <w:rPr>
                <w:sz w:val="16"/>
                <w:szCs w:val="16"/>
                <w:color w:val="auto"/>
              </w:rPr>
            </w:pPr>
          </w:p>
        </w:tc>
        <w:tc>
          <w:tcPr>
            <w:tcW w:w="0" w:type="dxa"/>
            <w:vAlign w:val="bottom"/>
          </w:tcPr>
          <w:p>
            <w:pPr>
              <w:spacing w:after="0"/>
              <w:rPr>
                <w:sz w:val="1"/>
                <w:szCs w:val="1"/>
                <w:color w:val="auto"/>
              </w:rPr>
            </w:pPr>
          </w:p>
        </w:tc>
      </w:tr>
      <w:tr>
        <w:trPr>
          <w:trHeight w:val="163"/>
        </w:trPr>
        <w:tc>
          <w:tcPr>
            <w:tcW w:w="1460" w:type="dxa"/>
            <w:vAlign w:val="bottom"/>
            <w:shd w:val="clear" w:color="auto" w:fill="D0EBF2"/>
          </w:tcPr>
          <w:p>
            <w:pPr>
              <w:spacing w:after="0"/>
              <w:rPr>
                <w:sz w:val="14"/>
                <w:szCs w:val="14"/>
                <w:color w:val="auto"/>
              </w:rPr>
            </w:pPr>
          </w:p>
        </w:tc>
        <w:tc>
          <w:tcPr>
            <w:tcW w:w="2420" w:type="dxa"/>
            <w:vAlign w:val="bottom"/>
            <w:shd w:val="clear" w:color="auto" w:fill="D0EBF2"/>
          </w:tcPr>
          <w:p>
            <w:pPr>
              <w:spacing w:after="0"/>
              <w:rPr>
                <w:sz w:val="14"/>
                <w:szCs w:val="14"/>
                <w:color w:val="auto"/>
              </w:rPr>
            </w:pPr>
          </w:p>
        </w:tc>
        <w:tc>
          <w:tcPr>
            <w:tcW w:w="820" w:type="dxa"/>
            <w:vAlign w:val="bottom"/>
            <w:shd w:val="clear" w:color="auto" w:fill="D0EBF2"/>
          </w:tcPr>
          <w:p>
            <w:pPr>
              <w:spacing w:after="0"/>
              <w:rPr>
                <w:sz w:val="14"/>
                <w:szCs w:val="14"/>
                <w:color w:val="auto"/>
              </w:rPr>
            </w:pPr>
          </w:p>
        </w:tc>
        <w:tc>
          <w:tcPr>
            <w:tcW w:w="20" w:type="dxa"/>
            <w:vAlign w:val="bottom"/>
            <w:shd w:val="clear" w:color="auto" w:fill="D0EBF2"/>
          </w:tcPr>
          <w:p>
            <w:pPr>
              <w:spacing w:after="0"/>
              <w:rPr>
                <w:sz w:val="14"/>
                <w:szCs w:val="14"/>
                <w:color w:val="auto"/>
              </w:rPr>
            </w:pPr>
          </w:p>
        </w:tc>
        <w:tc>
          <w:tcPr>
            <w:tcW w:w="1060" w:type="dxa"/>
            <w:vAlign w:val="bottom"/>
            <w:shd w:val="clear" w:color="auto" w:fill="D0EBF2"/>
          </w:tcPr>
          <w:p>
            <w:pPr>
              <w:spacing w:after="0"/>
              <w:rPr>
                <w:sz w:val="14"/>
                <w:szCs w:val="14"/>
                <w:color w:val="auto"/>
              </w:rPr>
            </w:pPr>
          </w:p>
        </w:tc>
        <w:tc>
          <w:tcPr>
            <w:tcW w:w="1020" w:type="dxa"/>
            <w:vAlign w:val="bottom"/>
            <w:shd w:val="clear" w:color="auto" w:fill="D0EBF2"/>
          </w:tcPr>
          <w:p>
            <w:pPr>
              <w:spacing w:after="0"/>
              <w:rPr>
                <w:sz w:val="14"/>
                <w:szCs w:val="14"/>
                <w:color w:val="auto"/>
              </w:rPr>
            </w:pPr>
          </w:p>
        </w:tc>
        <w:tc>
          <w:tcPr>
            <w:tcW w:w="1000" w:type="dxa"/>
            <w:vAlign w:val="bottom"/>
            <w:shd w:val="clear" w:color="auto" w:fill="D0EBF2"/>
          </w:tcPr>
          <w:p>
            <w:pPr>
              <w:jc w:val="right"/>
              <w:spacing w:after="0" w:line="164" w:lineRule="exact"/>
              <w:rPr>
                <w:sz w:val="20"/>
                <w:szCs w:val="20"/>
                <w:color w:val="auto"/>
              </w:rPr>
            </w:pPr>
            <w:r>
              <w:rPr>
                <w:rFonts w:ascii="Times New Roman" w:cs="Times New Roman" w:eastAsia="Times New Roman" w:hAnsi="Times New Roman"/>
                <w:sz w:val="15"/>
                <w:szCs w:val="15"/>
                <w:color w:val="231F20"/>
              </w:rPr>
              <w:t>342,885</w:t>
            </w:r>
          </w:p>
        </w:tc>
        <w:tc>
          <w:tcPr>
            <w:tcW w:w="180" w:type="dxa"/>
            <w:vAlign w:val="bottom"/>
            <w:shd w:val="clear" w:color="auto" w:fill="D0EBF2"/>
          </w:tcPr>
          <w:p>
            <w:pPr>
              <w:spacing w:after="0"/>
              <w:rPr>
                <w:sz w:val="14"/>
                <w:szCs w:val="14"/>
                <w:color w:val="auto"/>
              </w:rPr>
            </w:pPr>
          </w:p>
        </w:tc>
        <w:tc>
          <w:tcPr>
            <w:tcW w:w="960" w:type="dxa"/>
            <w:vAlign w:val="bottom"/>
            <w:shd w:val="clear" w:color="auto" w:fill="D0EBF2"/>
          </w:tcPr>
          <w:p>
            <w:pPr>
              <w:jc w:val="right"/>
              <w:spacing w:after="0" w:line="164" w:lineRule="exact"/>
              <w:rPr>
                <w:sz w:val="20"/>
                <w:szCs w:val="20"/>
                <w:color w:val="auto"/>
              </w:rPr>
            </w:pPr>
            <w:r>
              <w:rPr>
                <w:rFonts w:ascii="Times New Roman" w:cs="Times New Roman" w:eastAsia="Times New Roman" w:hAnsi="Times New Roman"/>
                <w:sz w:val="15"/>
                <w:szCs w:val="15"/>
                <w:color w:val="231F20"/>
              </w:rPr>
              <w:t>349,384</w:t>
            </w:r>
          </w:p>
        </w:tc>
        <w:tc>
          <w:tcPr>
            <w:tcW w:w="200" w:type="dxa"/>
            <w:vAlign w:val="bottom"/>
            <w:shd w:val="clear" w:color="auto" w:fill="D0EBF2"/>
          </w:tcPr>
          <w:p>
            <w:pPr>
              <w:spacing w:after="0"/>
              <w:rPr>
                <w:sz w:val="14"/>
                <w:szCs w:val="14"/>
                <w:color w:val="auto"/>
              </w:rPr>
            </w:pPr>
          </w:p>
        </w:tc>
        <w:tc>
          <w:tcPr>
            <w:tcW w:w="1140" w:type="dxa"/>
            <w:vAlign w:val="bottom"/>
            <w:gridSpan w:val="2"/>
          </w:tcPr>
          <w:p>
            <w:pPr>
              <w:jc w:val="right"/>
              <w:ind w:right="120"/>
              <w:spacing w:after="0" w:line="164" w:lineRule="exact"/>
              <w:rPr>
                <w:sz w:val="20"/>
                <w:szCs w:val="20"/>
                <w:color w:val="auto"/>
              </w:rPr>
            </w:pPr>
            <w:r>
              <w:rPr>
                <w:rFonts w:ascii="Times New Roman" w:cs="Times New Roman" w:eastAsia="Times New Roman" w:hAnsi="Times New Roman"/>
                <w:sz w:val="15"/>
                <w:szCs w:val="15"/>
                <w:color w:val="231F20"/>
              </w:rPr>
              <w:t>23.4%</w:t>
            </w:r>
          </w:p>
        </w:tc>
        <w:tc>
          <w:tcPr>
            <w:tcW w:w="0" w:type="dxa"/>
            <w:vAlign w:val="bottom"/>
          </w:tcPr>
          <w:p>
            <w:pPr>
              <w:spacing w:after="0"/>
              <w:rPr>
                <w:sz w:val="1"/>
                <w:szCs w:val="1"/>
                <w:color w:val="auto"/>
              </w:rPr>
            </w:pPr>
          </w:p>
        </w:tc>
      </w:tr>
      <w:tr>
        <w:trPr>
          <w:trHeight w:val="163"/>
        </w:trPr>
        <w:tc>
          <w:tcPr>
            <w:tcW w:w="1460" w:type="dxa"/>
            <w:vAlign w:val="bottom"/>
            <w:tcBorders>
              <w:top w:val="single" w:sz="8" w:color="FDFDFC"/>
            </w:tcBorders>
            <w:shd w:val="clear" w:color="auto" w:fill="FDFDFC"/>
          </w:tcPr>
          <w:p>
            <w:pPr>
              <w:spacing w:after="0" w:line="164" w:lineRule="exact"/>
              <w:rPr>
                <w:sz w:val="20"/>
                <w:szCs w:val="20"/>
                <w:color w:val="auto"/>
              </w:rPr>
            </w:pPr>
            <w:r>
              <w:rPr>
                <w:rFonts w:ascii="Times New Roman" w:cs="Times New Roman" w:eastAsia="Times New Roman" w:hAnsi="Times New Roman"/>
                <w:sz w:val="15"/>
                <w:szCs w:val="15"/>
                <w:b w:val="1"/>
                <w:bCs w:val="1"/>
                <w:color w:val="231F20"/>
              </w:rPr>
              <w:t>Healthcare</w:t>
            </w:r>
          </w:p>
        </w:tc>
        <w:tc>
          <w:tcPr>
            <w:tcW w:w="2420" w:type="dxa"/>
            <w:vAlign w:val="bottom"/>
            <w:tcBorders>
              <w:top w:val="single" w:sz="8" w:color="FDFDFC"/>
            </w:tcBorders>
            <w:shd w:val="clear" w:color="auto" w:fill="FDFDFC"/>
          </w:tcPr>
          <w:p>
            <w:pPr>
              <w:spacing w:after="0"/>
              <w:rPr>
                <w:sz w:val="14"/>
                <w:szCs w:val="14"/>
                <w:color w:val="auto"/>
              </w:rPr>
            </w:pPr>
          </w:p>
        </w:tc>
        <w:tc>
          <w:tcPr>
            <w:tcW w:w="820" w:type="dxa"/>
            <w:vAlign w:val="bottom"/>
            <w:tcBorders>
              <w:top w:val="single" w:sz="8" w:color="FDFDFC"/>
            </w:tcBorders>
            <w:shd w:val="clear" w:color="auto" w:fill="FDFDFC"/>
          </w:tcPr>
          <w:p>
            <w:pPr>
              <w:spacing w:after="0"/>
              <w:rPr>
                <w:sz w:val="14"/>
                <w:szCs w:val="14"/>
                <w:color w:val="auto"/>
              </w:rPr>
            </w:pPr>
          </w:p>
        </w:tc>
        <w:tc>
          <w:tcPr>
            <w:tcW w:w="20" w:type="dxa"/>
            <w:vAlign w:val="bottom"/>
            <w:tcBorders>
              <w:top w:val="single" w:sz="8" w:color="FDFDFC"/>
            </w:tcBorders>
            <w:shd w:val="clear" w:color="auto" w:fill="FDFDFC"/>
          </w:tcPr>
          <w:p>
            <w:pPr>
              <w:spacing w:after="0"/>
              <w:rPr>
                <w:sz w:val="14"/>
                <w:szCs w:val="14"/>
                <w:color w:val="auto"/>
              </w:rPr>
            </w:pPr>
          </w:p>
        </w:tc>
        <w:tc>
          <w:tcPr>
            <w:tcW w:w="1060" w:type="dxa"/>
            <w:vAlign w:val="bottom"/>
            <w:tcBorders>
              <w:top w:val="single" w:sz="8" w:color="FDFDFC"/>
            </w:tcBorders>
            <w:shd w:val="clear" w:color="auto" w:fill="FDFDFC"/>
          </w:tcPr>
          <w:p>
            <w:pPr>
              <w:spacing w:after="0"/>
              <w:rPr>
                <w:sz w:val="14"/>
                <w:szCs w:val="14"/>
                <w:color w:val="auto"/>
              </w:rPr>
            </w:pPr>
          </w:p>
        </w:tc>
        <w:tc>
          <w:tcPr>
            <w:tcW w:w="1020" w:type="dxa"/>
            <w:vAlign w:val="bottom"/>
            <w:tcBorders>
              <w:top w:val="single" w:sz="8" w:color="FDFDFC"/>
            </w:tcBorders>
            <w:shd w:val="clear" w:color="auto" w:fill="FDFDFC"/>
          </w:tcPr>
          <w:p>
            <w:pPr>
              <w:spacing w:after="0"/>
              <w:rPr>
                <w:sz w:val="14"/>
                <w:szCs w:val="14"/>
                <w:color w:val="auto"/>
              </w:rPr>
            </w:pPr>
          </w:p>
        </w:tc>
        <w:tc>
          <w:tcPr>
            <w:tcW w:w="1000" w:type="dxa"/>
            <w:vAlign w:val="bottom"/>
            <w:tcBorders>
              <w:top w:val="single" w:sz="8" w:color="231F20"/>
            </w:tcBorders>
            <w:shd w:val="clear" w:color="auto" w:fill="FDFDFC"/>
          </w:tcPr>
          <w:p>
            <w:pPr>
              <w:spacing w:after="0"/>
              <w:rPr>
                <w:sz w:val="14"/>
                <w:szCs w:val="14"/>
                <w:color w:val="auto"/>
              </w:rPr>
            </w:pPr>
          </w:p>
        </w:tc>
        <w:tc>
          <w:tcPr>
            <w:tcW w:w="180" w:type="dxa"/>
            <w:vAlign w:val="bottom"/>
            <w:tcBorders>
              <w:top w:val="single" w:sz="8" w:color="FDFDFC"/>
            </w:tcBorders>
            <w:shd w:val="clear" w:color="auto" w:fill="FDFDFC"/>
          </w:tcPr>
          <w:p>
            <w:pPr>
              <w:spacing w:after="0"/>
              <w:rPr>
                <w:sz w:val="14"/>
                <w:szCs w:val="14"/>
                <w:color w:val="auto"/>
              </w:rPr>
            </w:pPr>
          </w:p>
        </w:tc>
        <w:tc>
          <w:tcPr>
            <w:tcW w:w="960" w:type="dxa"/>
            <w:vAlign w:val="bottom"/>
            <w:tcBorders>
              <w:top w:val="single" w:sz="8" w:color="231F20"/>
            </w:tcBorders>
            <w:shd w:val="clear" w:color="auto" w:fill="FDFDFC"/>
          </w:tcPr>
          <w:p>
            <w:pPr>
              <w:spacing w:after="0"/>
              <w:rPr>
                <w:sz w:val="14"/>
                <w:szCs w:val="14"/>
                <w:color w:val="auto"/>
              </w:rPr>
            </w:pPr>
          </w:p>
        </w:tc>
        <w:tc>
          <w:tcPr>
            <w:tcW w:w="200" w:type="dxa"/>
            <w:vAlign w:val="bottom"/>
            <w:tcBorders>
              <w:top w:val="single" w:sz="8" w:color="FDFDFC"/>
            </w:tcBorders>
            <w:shd w:val="clear" w:color="auto" w:fill="FDFDFC"/>
          </w:tcPr>
          <w:p>
            <w:pPr>
              <w:spacing w:after="0"/>
              <w:rPr>
                <w:sz w:val="14"/>
                <w:szCs w:val="14"/>
                <w:color w:val="auto"/>
              </w:rPr>
            </w:pPr>
          </w:p>
        </w:tc>
        <w:tc>
          <w:tcPr>
            <w:tcW w:w="900" w:type="dxa"/>
            <w:vAlign w:val="bottom"/>
            <w:tcBorders>
              <w:top w:val="single" w:sz="8" w:color="231F20"/>
            </w:tcBorders>
            <w:shd w:val="clear" w:color="auto" w:fill="FDFDFC"/>
          </w:tcPr>
          <w:p>
            <w:pPr>
              <w:spacing w:after="0"/>
              <w:rPr>
                <w:sz w:val="14"/>
                <w:szCs w:val="14"/>
                <w:color w:val="auto"/>
              </w:rPr>
            </w:pPr>
          </w:p>
        </w:tc>
        <w:tc>
          <w:tcPr>
            <w:tcW w:w="240" w:type="dxa"/>
            <w:vAlign w:val="bottom"/>
            <w:tcBorders>
              <w:top w:val="single" w:sz="8" w:color="FDFDFC"/>
            </w:tcBorders>
            <w:shd w:val="clear" w:color="auto" w:fill="FDFDFC"/>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1460" w:type="dxa"/>
            <w:vAlign w:val="bottom"/>
            <w:shd w:val="clear" w:color="auto" w:fill="D0EBF2"/>
          </w:tcPr>
          <w:p>
            <w:pPr>
              <w:spacing w:after="0" w:line="159" w:lineRule="exact"/>
              <w:rPr>
                <w:sz w:val="20"/>
                <w:szCs w:val="20"/>
                <w:color w:val="auto"/>
              </w:rPr>
            </w:pPr>
            <w:r>
              <w:rPr>
                <w:rFonts w:ascii="Times New Roman" w:cs="Times New Roman" w:eastAsia="Times New Roman" w:hAnsi="Times New Roman"/>
                <w:sz w:val="15"/>
                <w:szCs w:val="15"/>
                <w:color w:val="231F20"/>
              </w:rPr>
              <w:t>BCTO Ace Purchaser,</w:t>
            </w:r>
          </w:p>
        </w:tc>
        <w:tc>
          <w:tcPr>
            <w:tcW w:w="2420" w:type="dxa"/>
            <w:vAlign w:val="bottom"/>
            <w:shd w:val="clear" w:color="auto" w:fill="D0EBF2"/>
          </w:tcPr>
          <w:p>
            <w:pPr>
              <w:ind w:left="60"/>
              <w:spacing w:after="0" w:line="159" w:lineRule="exact"/>
              <w:rPr>
                <w:sz w:val="20"/>
                <w:szCs w:val="20"/>
                <w:color w:val="auto"/>
              </w:rPr>
            </w:pPr>
            <w:r>
              <w:rPr>
                <w:rFonts w:ascii="Times New Roman" w:cs="Times New Roman" w:eastAsia="Times New Roman" w:hAnsi="Times New Roman"/>
                <w:sz w:val="15"/>
                <w:szCs w:val="15"/>
                <w:color w:val="231F20"/>
              </w:rPr>
              <w:t>First-lien loan ($69,231 par, due</w:t>
            </w:r>
          </w:p>
        </w:tc>
        <w:tc>
          <w:tcPr>
            <w:tcW w:w="820" w:type="dxa"/>
            <w:vAlign w:val="bottom"/>
            <w:shd w:val="clear" w:color="auto" w:fill="D0EBF2"/>
          </w:tcPr>
          <w:p>
            <w:pPr>
              <w:jc w:val="right"/>
              <w:spacing w:after="0" w:line="159" w:lineRule="exact"/>
              <w:rPr>
                <w:sz w:val="20"/>
                <w:szCs w:val="20"/>
                <w:color w:val="auto"/>
              </w:rPr>
            </w:pPr>
            <w:r>
              <w:rPr>
                <w:rFonts w:ascii="Times New Roman" w:cs="Times New Roman" w:eastAsia="Times New Roman" w:hAnsi="Times New Roman"/>
                <w:sz w:val="15"/>
                <w:szCs w:val="15"/>
                <w:color w:val="231F20"/>
              </w:rPr>
              <w:t>11/23/2020</w:t>
            </w:r>
          </w:p>
        </w:tc>
        <w:tc>
          <w:tcPr>
            <w:tcW w:w="20" w:type="dxa"/>
            <w:vAlign w:val="bottom"/>
          </w:tcPr>
          <w:p>
            <w:pPr>
              <w:spacing w:after="0"/>
              <w:rPr>
                <w:sz w:val="13"/>
                <w:szCs w:val="13"/>
                <w:color w:val="auto"/>
              </w:rPr>
            </w:pPr>
          </w:p>
        </w:tc>
        <w:tc>
          <w:tcPr>
            <w:tcW w:w="1060" w:type="dxa"/>
            <w:vAlign w:val="bottom"/>
            <w:shd w:val="clear" w:color="auto" w:fill="D0EBF2"/>
          </w:tcPr>
          <w:p>
            <w:pPr>
              <w:jc w:val="right"/>
              <w:ind w:right="124"/>
              <w:spacing w:after="0" w:line="159" w:lineRule="exact"/>
              <w:rPr>
                <w:sz w:val="20"/>
                <w:szCs w:val="20"/>
                <w:color w:val="auto"/>
              </w:rPr>
            </w:pPr>
            <w:r>
              <w:rPr>
                <w:rFonts w:ascii="Times New Roman" w:cs="Times New Roman" w:eastAsia="Times New Roman" w:hAnsi="Times New Roman"/>
                <w:sz w:val="15"/>
                <w:szCs w:val="15"/>
                <w:color w:val="231F20"/>
              </w:rPr>
              <w:t>SOFR +</w:t>
            </w:r>
          </w:p>
        </w:tc>
        <w:tc>
          <w:tcPr>
            <w:tcW w:w="1020" w:type="dxa"/>
            <w:vAlign w:val="bottom"/>
            <w:shd w:val="clear" w:color="auto" w:fill="D0EBF2"/>
          </w:tcPr>
          <w:p>
            <w:pPr>
              <w:jc w:val="right"/>
              <w:ind w:right="24"/>
              <w:spacing w:after="0" w:line="159" w:lineRule="exact"/>
              <w:rPr>
                <w:sz w:val="20"/>
                <w:szCs w:val="20"/>
                <w:color w:val="auto"/>
              </w:rPr>
            </w:pPr>
            <w:r>
              <w:rPr>
                <w:rFonts w:ascii="Times New Roman" w:cs="Times New Roman" w:eastAsia="Times New Roman" w:hAnsi="Times New Roman"/>
                <w:sz w:val="15"/>
                <w:szCs w:val="15"/>
                <w:color w:val="231F20"/>
              </w:rPr>
              <w:t>12.84%</w:t>
            </w:r>
          </w:p>
        </w:tc>
        <w:tc>
          <w:tcPr>
            <w:tcW w:w="1000" w:type="dxa"/>
            <w:vAlign w:val="bottom"/>
            <w:shd w:val="clear" w:color="auto" w:fill="D0EBF2"/>
          </w:tcPr>
          <w:p>
            <w:pPr>
              <w:jc w:val="right"/>
              <w:spacing w:after="0" w:line="159" w:lineRule="exact"/>
              <w:rPr>
                <w:sz w:val="20"/>
                <w:szCs w:val="20"/>
                <w:color w:val="auto"/>
              </w:rPr>
            </w:pPr>
            <w:r>
              <w:rPr>
                <w:rFonts w:ascii="Times New Roman" w:cs="Times New Roman" w:eastAsia="Times New Roman" w:hAnsi="Times New Roman"/>
                <w:sz w:val="15"/>
                <w:szCs w:val="15"/>
                <w:color w:val="231F20"/>
              </w:rPr>
              <w:t>68,325</w:t>
            </w:r>
          </w:p>
        </w:tc>
        <w:tc>
          <w:tcPr>
            <w:tcW w:w="180" w:type="dxa"/>
            <w:vAlign w:val="bottom"/>
            <w:shd w:val="clear" w:color="auto" w:fill="D0EBF2"/>
          </w:tcPr>
          <w:p>
            <w:pPr>
              <w:spacing w:after="0"/>
              <w:rPr>
                <w:sz w:val="13"/>
                <w:szCs w:val="13"/>
                <w:color w:val="auto"/>
              </w:rPr>
            </w:pPr>
          </w:p>
        </w:tc>
        <w:tc>
          <w:tcPr>
            <w:tcW w:w="960" w:type="dxa"/>
            <w:vAlign w:val="bottom"/>
            <w:shd w:val="clear" w:color="auto" w:fill="D0EBF2"/>
          </w:tcPr>
          <w:p>
            <w:pPr>
              <w:jc w:val="right"/>
              <w:spacing w:after="0" w:line="159" w:lineRule="exact"/>
              <w:rPr>
                <w:sz w:val="20"/>
                <w:szCs w:val="20"/>
                <w:color w:val="auto"/>
              </w:rPr>
            </w:pPr>
            <w:r>
              <w:rPr>
                <w:rFonts w:ascii="Times New Roman" w:cs="Times New Roman" w:eastAsia="Times New Roman" w:hAnsi="Times New Roman"/>
                <w:sz w:val="15"/>
                <w:szCs w:val="15"/>
                <w:color w:val="231F20"/>
              </w:rPr>
              <w:t>69,746</w:t>
            </w:r>
          </w:p>
        </w:tc>
        <w:tc>
          <w:tcPr>
            <w:tcW w:w="200" w:type="dxa"/>
            <w:vAlign w:val="bottom"/>
            <w:shd w:val="clear" w:color="auto" w:fill="D0EBF2"/>
          </w:tcPr>
          <w:p>
            <w:pPr>
              <w:spacing w:after="0"/>
              <w:rPr>
                <w:sz w:val="13"/>
                <w:szCs w:val="13"/>
                <w:color w:val="auto"/>
              </w:rPr>
            </w:pPr>
          </w:p>
        </w:tc>
        <w:tc>
          <w:tcPr>
            <w:tcW w:w="1140" w:type="dxa"/>
            <w:vAlign w:val="bottom"/>
            <w:gridSpan w:val="2"/>
            <w:shd w:val="clear" w:color="auto" w:fill="D0EBF2"/>
          </w:tcPr>
          <w:p>
            <w:pPr>
              <w:jc w:val="right"/>
              <w:ind w:right="120"/>
              <w:spacing w:after="0" w:line="159" w:lineRule="exact"/>
              <w:rPr>
                <w:sz w:val="20"/>
                <w:szCs w:val="20"/>
                <w:color w:val="auto"/>
              </w:rPr>
            </w:pPr>
            <w:r>
              <w:rPr>
                <w:rFonts w:ascii="Times New Roman" w:cs="Times New Roman" w:eastAsia="Times New Roman" w:hAnsi="Times New Roman"/>
                <w:sz w:val="15"/>
                <w:szCs w:val="15"/>
                <w:color w:val="231F20"/>
              </w:rPr>
              <w:t>4.7%</w:t>
            </w:r>
          </w:p>
        </w:tc>
        <w:tc>
          <w:tcPr>
            <w:tcW w:w="0" w:type="dxa"/>
            <w:vAlign w:val="bottom"/>
          </w:tcPr>
          <w:p>
            <w:pPr>
              <w:spacing w:after="0"/>
              <w:rPr>
                <w:sz w:val="1"/>
                <w:szCs w:val="1"/>
                <w:color w:val="auto"/>
              </w:rPr>
            </w:pPr>
          </w:p>
        </w:tc>
      </w:tr>
      <w:tr>
        <w:trPr>
          <w:trHeight w:val="189"/>
        </w:trPr>
        <w:tc>
          <w:tcPr>
            <w:tcW w:w="1460" w:type="dxa"/>
            <w:vAlign w:val="bottom"/>
            <w:shd w:val="clear" w:color="auto" w:fill="D0EBF2"/>
          </w:tcPr>
          <w:p>
            <w:pPr>
              <w:spacing w:after="0"/>
              <w:rPr>
                <w:sz w:val="20"/>
                <w:szCs w:val="20"/>
                <w:color w:val="auto"/>
              </w:rPr>
            </w:pPr>
            <w:r>
              <w:rPr>
                <w:rFonts w:ascii="Times New Roman" w:cs="Times New Roman" w:eastAsia="Times New Roman" w:hAnsi="Times New Roman"/>
                <w:sz w:val="15"/>
                <w:szCs w:val="15"/>
                <w:color w:val="231F20"/>
              </w:rPr>
              <w:t xml:space="preserve">Inc. </w:t>
            </w:r>
            <w:r>
              <w:rPr>
                <w:rFonts w:ascii="Times New Roman" w:cs="Times New Roman" w:eastAsia="Times New Roman" w:hAnsi="Times New Roman"/>
                <w:sz w:val="9"/>
                <w:szCs w:val="9"/>
                <w:color w:val="231F20"/>
              </w:rPr>
              <w:t>(3)</w:t>
            </w:r>
          </w:p>
        </w:tc>
        <w:tc>
          <w:tcPr>
            <w:tcW w:w="2420" w:type="dxa"/>
            <w:vAlign w:val="bottom"/>
            <w:shd w:val="clear" w:color="auto" w:fill="D0EBF2"/>
          </w:tcPr>
          <w:p>
            <w:pPr>
              <w:ind w:left="60"/>
              <w:spacing w:after="0"/>
              <w:rPr>
                <w:sz w:val="20"/>
                <w:szCs w:val="20"/>
                <w:color w:val="auto"/>
              </w:rPr>
            </w:pPr>
            <w:r>
              <w:rPr>
                <w:rFonts w:ascii="Times New Roman" w:cs="Times New Roman" w:eastAsia="Times New Roman" w:hAnsi="Times New Roman"/>
                <w:sz w:val="15"/>
                <w:szCs w:val="15"/>
                <w:color w:val="231F20"/>
              </w:rPr>
              <w:t xml:space="preserve">11/2027) </w:t>
            </w:r>
            <w:r>
              <w:rPr>
                <w:rFonts w:ascii="Times New Roman" w:cs="Times New Roman" w:eastAsia="Times New Roman" w:hAnsi="Times New Roman"/>
                <w:sz w:val="9"/>
                <w:szCs w:val="9"/>
                <w:color w:val="231F20"/>
              </w:rPr>
              <w:t>(5)</w:t>
            </w:r>
          </w:p>
        </w:tc>
        <w:tc>
          <w:tcPr>
            <w:tcW w:w="820" w:type="dxa"/>
            <w:vAlign w:val="bottom"/>
            <w:shd w:val="clear" w:color="auto" w:fill="D0EBF2"/>
          </w:tcPr>
          <w:p>
            <w:pPr>
              <w:spacing w:after="0"/>
              <w:rPr>
                <w:sz w:val="16"/>
                <w:szCs w:val="16"/>
                <w:color w:val="auto"/>
              </w:rPr>
            </w:pPr>
          </w:p>
        </w:tc>
        <w:tc>
          <w:tcPr>
            <w:tcW w:w="20" w:type="dxa"/>
            <w:vAlign w:val="bottom"/>
          </w:tcPr>
          <w:p>
            <w:pPr>
              <w:spacing w:after="0"/>
              <w:rPr>
                <w:sz w:val="16"/>
                <w:szCs w:val="16"/>
                <w:color w:val="auto"/>
              </w:rPr>
            </w:pPr>
          </w:p>
        </w:tc>
        <w:tc>
          <w:tcPr>
            <w:tcW w:w="1060" w:type="dxa"/>
            <w:vAlign w:val="bottom"/>
            <w:shd w:val="clear" w:color="auto" w:fill="D0EBF2"/>
          </w:tcPr>
          <w:p>
            <w:pPr>
              <w:jc w:val="right"/>
              <w:ind w:right="124"/>
              <w:spacing w:after="0"/>
              <w:rPr>
                <w:sz w:val="20"/>
                <w:szCs w:val="20"/>
                <w:color w:val="auto"/>
              </w:rPr>
            </w:pPr>
            <w:r>
              <w:rPr>
                <w:rFonts w:ascii="Times New Roman" w:cs="Times New Roman" w:eastAsia="Times New Roman" w:hAnsi="Times New Roman"/>
                <w:sz w:val="15"/>
                <w:szCs w:val="15"/>
                <w:color w:val="231F20"/>
              </w:rPr>
              <w:t>7.45%</w:t>
            </w:r>
          </w:p>
        </w:tc>
        <w:tc>
          <w:tcPr>
            <w:tcW w:w="1020" w:type="dxa"/>
            <w:vAlign w:val="bottom"/>
            <w:shd w:val="clear" w:color="auto" w:fill="D0EBF2"/>
          </w:tcPr>
          <w:p>
            <w:pPr>
              <w:spacing w:after="0"/>
              <w:rPr>
                <w:sz w:val="16"/>
                <w:szCs w:val="16"/>
                <w:color w:val="auto"/>
              </w:rPr>
            </w:pPr>
          </w:p>
        </w:tc>
        <w:tc>
          <w:tcPr>
            <w:tcW w:w="1000" w:type="dxa"/>
            <w:vAlign w:val="bottom"/>
            <w:shd w:val="clear" w:color="auto" w:fill="D0EBF2"/>
          </w:tcPr>
          <w:p>
            <w:pPr>
              <w:spacing w:after="0"/>
              <w:rPr>
                <w:sz w:val="16"/>
                <w:szCs w:val="16"/>
                <w:color w:val="auto"/>
              </w:rPr>
            </w:pPr>
          </w:p>
        </w:tc>
        <w:tc>
          <w:tcPr>
            <w:tcW w:w="180" w:type="dxa"/>
            <w:vAlign w:val="bottom"/>
            <w:shd w:val="clear" w:color="auto" w:fill="D0EBF2"/>
          </w:tcPr>
          <w:p>
            <w:pPr>
              <w:spacing w:after="0"/>
              <w:rPr>
                <w:sz w:val="16"/>
                <w:szCs w:val="16"/>
                <w:color w:val="auto"/>
              </w:rPr>
            </w:pPr>
          </w:p>
        </w:tc>
        <w:tc>
          <w:tcPr>
            <w:tcW w:w="960" w:type="dxa"/>
            <w:vAlign w:val="bottom"/>
            <w:shd w:val="clear" w:color="auto" w:fill="D0EBF2"/>
          </w:tcPr>
          <w:p>
            <w:pPr>
              <w:spacing w:after="0"/>
              <w:rPr>
                <w:sz w:val="16"/>
                <w:szCs w:val="16"/>
                <w:color w:val="auto"/>
              </w:rPr>
            </w:pPr>
          </w:p>
        </w:tc>
        <w:tc>
          <w:tcPr>
            <w:tcW w:w="200" w:type="dxa"/>
            <w:vAlign w:val="bottom"/>
            <w:shd w:val="clear" w:color="auto" w:fill="D0EBF2"/>
          </w:tcPr>
          <w:p>
            <w:pPr>
              <w:spacing w:after="0"/>
              <w:rPr>
                <w:sz w:val="16"/>
                <w:szCs w:val="16"/>
                <w:color w:val="auto"/>
              </w:rPr>
            </w:pPr>
          </w:p>
        </w:tc>
        <w:tc>
          <w:tcPr>
            <w:tcW w:w="900" w:type="dxa"/>
            <w:vAlign w:val="bottom"/>
            <w:shd w:val="clear" w:color="auto" w:fill="D0EBF2"/>
          </w:tcPr>
          <w:p>
            <w:pPr>
              <w:spacing w:after="0"/>
              <w:rPr>
                <w:sz w:val="16"/>
                <w:szCs w:val="16"/>
                <w:color w:val="auto"/>
              </w:rPr>
            </w:pPr>
          </w:p>
        </w:tc>
        <w:tc>
          <w:tcPr>
            <w:tcW w:w="240" w:type="dxa"/>
            <w:vAlign w:val="bottom"/>
            <w:shd w:val="clear" w:color="auto" w:fill="D0EBF2"/>
          </w:tcPr>
          <w:p>
            <w:pPr>
              <w:spacing w:after="0"/>
              <w:rPr>
                <w:sz w:val="16"/>
                <w:szCs w:val="16"/>
                <w:color w:val="auto"/>
              </w:rPr>
            </w:pPr>
          </w:p>
        </w:tc>
        <w:tc>
          <w:tcPr>
            <w:tcW w:w="0" w:type="dxa"/>
            <w:vAlign w:val="bottom"/>
          </w:tcPr>
          <w:p>
            <w:pPr>
              <w:spacing w:after="0"/>
              <w:rPr>
                <w:sz w:val="1"/>
                <w:szCs w:val="1"/>
                <w:color w:val="auto"/>
              </w:rPr>
            </w:pPr>
          </w:p>
        </w:tc>
      </w:tr>
      <w:tr>
        <w:trPr>
          <w:trHeight w:val="158"/>
        </w:trPr>
        <w:tc>
          <w:tcPr>
            <w:tcW w:w="1460" w:type="dxa"/>
            <w:vAlign w:val="bottom"/>
            <w:shd w:val="clear" w:color="auto" w:fill="FDFDFC"/>
          </w:tcPr>
          <w:p>
            <w:pPr>
              <w:spacing w:after="0"/>
              <w:rPr>
                <w:sz w:val="13"/>
                <w:szCs w:val="13"/>
                <w:color w:val="auto"/>
              </w:rPr>
            </w:pPr>
          </w:p>
        </w:tc>
        <w:tc>
          <w:tcPr>
            <w:tcW w:w="2420" w:type="dxa"/>
            <w:vAlign w:val="bottom"/>
            <w:shd w:val="clear" w:color="auto" w:fill="FDFDFC"/>
          </w:tcPr>
          <w:p>
            <w:pPr>
              <w:ind w:left="60"/>
              <w:spacing w:after="0" w:line="159" w:lineRule="exact"/>
              <w:rPr>
                <w:sz w:val="20"/>
                <w:szCs w:val="20"/>
                <w:color w:val="auto"/>
              </w:rPr>
            </w:pPr>
            <w:r>
              <w:rPr>
                <w:rFonts w:ascii="Times New Roman" w:cs="Times New Roman" w:eastAsia="Times New Roman" w:hAnsi="Times New Roman"/>
                <w:sz w:val="15"/>
                <w:szCs w:val="15"/>
                <w:color w:val="231F20"/>
              </w:rPr>
              <w:t>Second-lien loan ($5,623 par, due</w:t>
            </w:r>
          </w:p>
        </w:tc>
        <w:tc>
          <w:tcPr>
            <w:tcW w:w="820" w:type="dxa"/>
            <w:vAlign w:val="bottom"/>
            <w:shd w:val="clear" w:color="auto" w:fill="FDFDFC"/>
          </w:tcPr>
          <w:p>
            <w:pPr>
              <w:jc w:val="right"/>
              <w:spacing w:after="0" w:line="159" w:lineRule="exact"/>
              <w:rPr>
                <w:sz w:val="20"/>
                <w:szCs w:val="20"/>
                <w:color w:val="auto"/>
              </w:rPr>
            </w:pPr>
            <w:r>
              <w:rPr>
                <w:rFonts w:ascii="Times New Roman" w:cs="Times New Roman" w:eastAsia="Times New Roman" w:hAnsi="Times New Roman"/>
                <w:sz w:val="15"/>
                <w:szCs w:val="15"/>
                <w:color w:val="231F20"/>
              </w:rPr>
              <w:t>1/23/2023</w:t>
            </w:r>
          </w:p>
        </w:tc>
        <w:tc>
          <w:tcPr>
            <w:tcW w:w="20" w:type="dxa"/>
            <w:vAlign w:val="bottom"/>
          </w:tcPr>
          <w:p>
            <w:pPr>
              <w:spacing w:after="0"/>
              <w:rPr>
                <w:sz w:val="13"/>
                <w:szCs w:val="13"/>
                <w:color w:val="auto"/>
              </w:rPr>
            </w:pPr>
          </w:p>
        </w:tc>
        <w:tc>
          <w:tcPr>
            <w:tcW w:w="1060" w:type="dxa"/>
            <w:vAlign w:val="bottom"/>
            <w:shd w:val="clear" w:color="auto" w:fill="FDFDFC"/>
          </w:tcPr>
          <w:p>
            <w:pPr>
              <w:jc w:val="right"/>
              <w:ind w:right="124"/>
              <w:spacing w:after="0" w:line="159" w:lineRule="exact"/>
              <w:rPr>
                <w:sz w:val="20"/>
                <w:szCs w:val="20"/>
                <w:color w:val="auto"/>
              </w:rPr>
            </w:pPr>
            <w:r>
              <w:rPr>
                <w:rFonts w:ascii="Times New Roman" w:cs="Times New Roman" w:eastAsia="Times New Roman" w:hAnsi="Times New Roman"/>
                <w:sz w:val="15"/>
                <w:szCs w:val="15"/>
                <w:color w:val="231F20"/>
              </w:rPr>
              <w:t>SOFR +</w:t>
            </w:r>
          </w:p>
        </w:tc>
        <w:tc>
          <w:tcPr>
            <w:tcW w:w="1020" w:type="dxa"/>
            <w:vAlign w:val="bottom"/>
            <w:shd w:val="clear" w:color="auto" w:fill="FDFDFC"/>
          </w:tcPr>
          <w:p>
            <w:pPr>
              <w:jc w:val="right"/>
              <w:ind w:right="24"/>
              <w:spacing w:after="0" w:line="159" w:lineRule="exact"/>
              <w:rPr>
                <w:sz w:val="20"/>
                <w:szCs w:val="20"/>
                <w:color w:val="auto"/>
              </w:rPr>
            </w:pPr>
            <w:r>
              <w:rPr>
                <w:rFonts w:ascii="Times New Roman" w:cs="Times New Roman" w:eastAsia="Times New Roman" w:hAnsi="Times New Roman"/>
                <w:sz w:val="15"/>
                <w:szCs w:val="15"/>
                <w:color w:val="231F20"/>
              </w:rPr>
              <w:t>16.10%</w:t>
            </w:r>
          </w:p>
        </w:tc>
        <w:tc>
          <w:tcPr>
            <w:tcW w:w="1000" w:type="dxa"/>
            <w:vAlign w:val="bottom"/>
            <w:shd w:val="clear" w:color="auto" w:fill="FDFDFC"/>
          </w:tcPr>
          <w:p>
            <w:pPr>
              <w:jc w:val="right"/>
              <w:spacing w:after="0" w:line="159" w:lineRule="exact"/>
              <w:rPr>
                <w:sz w:val="20"/>
                <w:szCs w:val="20"/>
                <w:color w:val="auto"/>
              </w:rPr>
            </w:pPr>
            <w:r>
              <w:rPr>
                <w:rFonts w:ascii="Times New Roman" w:cs="Times New Roman" w:eastAsia="Times New Roman" w:hAnsi="Times New Roman"/>
                <w:sz w:val="15"/>
                <w:szCs w:val="15"/>
                <w:color w:val="231F20"/>
              </w:rPr>
              <w:t>5,493</w:t>
            </w:r>
          </w:p>
        </w:tc>
        <w:tc>
          <w:tcPr>
            <w:tcW w:w="1140" w:type="dxa"/>
            <w:vAlign w:val="bottom"/>
            <w:gridSpan w:val="2"/>
            <w:shd w:val="clear" w:color="auto" w:fill="FDFDFC"/>
          </w:tcPr>
          <w:p>
            <w:pPr>
              <w:jc w:val="right"/>
              <w:spacing w:after="0" w:line="159" w:lineRule="exact"/>
              <w:rPr>
                <w:sz w:val="20"/>
                <w:szCs w:val="20"/>
                <w:color w:val="auto"/>
              </w:rPr>
            </w:pPr>
            <w:r>
              <w:rPr>
                <w:rFonts w:ascii="Times New Roman" w:cs="Times New Roman" w:eastAsia="Times New Roman" w:hAnsi="Times New Roman"/>
                <w:sz w:val="15"/>
                <w:szCs w:val="15"/>
                <w:color w:val="231F20"/>
              </w:rPr>
              <w:t>5,637</w:t>
            </w:r>
          </w:p>
        </w:tc>
        <w:tc>
          <w:tcPr>
            <w:tcW w:w="1340" w:type="dxa"/>
            <w:vAlign w:val="bottom"/>
            <w:gridSpan w:val="3"/>
            <w:shd w:val="clear" w:color="auto" w:fill="FDFDFC"/>
          </w:tcPr>
          <w:p>
            <w:pPr>
              <w:jc w:val="right"/>
              <w:ind w:right="120"/>
              <w:spacing w:after="0" w:line="159" w:lineRule="exact"/>
              <w:rPr>
                <w:sz w:val="20"/>
                <w:szCs w:val="20"/>
                <w:color w:val="auto"/>
              </w:rPr>
            </w:pPr>
            <w:r>
              <w:rPr>
                <w:rFonts w:ascii="Times New Roman" w:cs="Times New Roman" w:eastAsia="Times New Roman" w:hAnsi="Times New Roman"/>
                <w:sz w:val="15"/>
                <w:szCs w:val="15"/>
                <w:color w:val="231F20"/>
              </w:rPr>
              <w:t>0.4%</w:t>
            </w:r>
          </w:p>
        </w:tc>
        <w:tc>
          <w:tcPr>
            <w:tcW w:w="0" w:type="dxa"/>
            <w:vAlign w:val="bottom"/>
          </w:tcPr>
          <w:p>
            <w:pPr>
              <w:spacing w:after="0"/>
              <w:rPr>
                <w:sz w:val="1"/>
                <w:szCs w:val="1"/>
                <w:color w:val="auto"/>
              </w:rPr>
            </w:pPr>
          </w:p>
        </w:tc>
      </w:tr>
      <w:tr>
        <w:trPr>
          <w:trHeight w:val="189"/>
        </w:trPr>
        <w:tc>
          <w:tcPr>
            <w:tcW w:w="1460" w:type="dxa"/>
            <w:vAlign w:val="bottom"/>
            <w:shd w:val="clear" w:color="auto" w:fill="FDFDFC"/>
          </w:tcPr>
          <w:p>
            <w:pPr>
              <w:spacing w:after="0"/>
              <w:rPr>
                <w:sz w:val="16"/>
                <w:szCs w:val="16"/>
                <w:color w:val="auto"/>
              </w:rPr>
            </w:pPr>
          </w:p>
        </w:tc>
        <w:tc>
          <w:tcPr>
            <w:tcW w:w="2420" w:type="dxa"/>
            <w:vAlign w:val="bottom"/>
            <w:shd w:val="clear" w:color="auto" w:fill="FDFDFC"/>
          </w:tcPr>
          <w:p>
            <w:pPr>
              <w:ind w:left="60"/>
              <w:spacing w:after="0"/>
              <w:rPr>
                <w:sz w:val="20"/>
                <w:szCs w:val="20"/>
                <w:color w:val="auto"/>
              </w:rPr>
            </w:pPr>
            <w:r>
              <w:rPr>
                <w:rFonts w:ascii="Times New Roman" w:cs="Times New Roman" w:eastAsia="Times New Roman" w:hAnsi="Times New Roman"/>
                <w:sz w:val="15"/>
                <w:szCs w:val="15"/>
                <w:color w:val="231F20"/>
              </w:rPr>
              <w:t>1/2030)</w:t>
            </w:r>
          </w:p>
        </w:tc>
        <w:tc>
          <w:tcPr>
            <w:tcW w:w="820" w:type="dxa"/>
            <w:vAlign w:val="bottom"/>
            <w:shd w:val="clear" w:color="auto" w:fill="FDFDFC"/>
          </w:tcPr>
          <w:p>
            <w:pPr>
              <w:spacing w:after="0"/>
              <w:rPr>
                <w:sz w:val="16"/>
                <w:szCs w:val="16"/>
                <w:color w:val="auto"/>
              </w:rPr>
            </w:pPr>
          </w:p>
        </w:tc>
        <w:tc>
          <w:tcPr>
            <w:tcW w:w="20" w:type="dxa"/>
            <w:vAlign w:val="bottom"/>
          </w:tcPr>
          <w:p>
            <w:pPr>
              <w:spacing w:after="0"/>
              <w:rPr>
                <w:sz w:val="16"/>
                <w:szCs w:val="16"/>
                <w:color w:val="auto"/>
              </w:rPr>
            </w:pPr>
          </w:p>
        </w:tc>
        <w:tc>
          <w:tcPr>
            <w:tcW w:w="1060" w:type="dxa"/>
            <w:vAlign w:val="bottom"/>
            <w:shd w:val="clear" w:color="auto" w:fill="FDFDFC"/>
          </w:tcPr>
          <w:p>
            <w:pPr>
              <w:jc w:val="right"/>
              <w:ind w:right="124"/>
              <w:spacing w:after="0"/>
              <w:rPr>
                <w:sz w:val="20"/>
                <w:szCs w:val="20"/>
                <w:color w:val="auto"/>
              </w:rPr>
            </w:pPr>
            <w:r>
              <w:rPr>
                <w:rFonts w:ascii="Times New Roman" w:cs="Times New Roman" w:eastAsia="Times New Roman" w:hAnsi="Times New Roman"/>
                <w:sz w:val="15"/>
                <w:szCs w:val="15"/>
                <w:color w:val="231F20"/>
              </w:rPr>
              <w:t>10.70%</w:t>
            </w:r>
          </w:p>
        </w:tc>
        <w:tc>
          <w:tcPr>
            <w:tcW w:w="1020" w:type="dxa"/>
            <w:vAlign w:val="bottom"/>
            <w:shd w:val="clear" w:color="auto" w:fill="FDFDFC"/>
          </w:tcPr>
          <w:p>
            <w:pPr>
              <w:spacing w:after="0"/>
              <w:rPr>
                <w:sz w:val="16"/>
                <w:szCs w:val="16"/>
                <w:color w:val="auto"/>
              </w:rPr>
            </w:pPr>
          </w:p>
        </w:tc>
        <w:tc>
          <w:tcPr>
            <w:tcW w:w="1000" w:type="dxa"/>
            <w:vAlign w:val="bottom"/>
            <w:shd w:val="clear" w:color="auto" w:fill="FDFDFC"/>
          </w:tcPr>
          <w:p>
            <w:pPr>
              <w:spacing w:after="0"/>
              <w:rPr>
                <w:sz w:val="16"/>
                <w:szCs w:val="16"/>
                <w:color w:val="auto"/>
              </w:rPr>
            </w:pPr>
          </w:p>
        </w:tc>
        <w:tc>
          <w:tcPr>
            <w:tcW w:w="180" w:type="dxa"/>
            <w:vAlign w:val="bottom"/>
            <w:shd w:val="clear" w:color="auto" w:fill="FDFDFC"/>
          </w:tcPr>
          <w:p>
            <w:pPr>
              <w:spacing w:after="0"/>
              <w:rPr>
                <w:sz w:val="16"/>
                <w:szCs w:val="16"/>
                <w:color w:val="auto"/>
              </w:rPr>
            </w:pPr>
          </w:p>
        </w:tc>
        <w:tc>
          <w:tcPr>
            <w:tcW w:w="960" w:type="dxa"/>
            <w:vAlign w:val="bottom"/>
            <w:shd w:val="clear" w:color="auto" w:fill="FDFDFC"/>
          </w:tcPr>
          <w:p>
            <w:pPr>
              <w:spacing w:after="0"/>
              <w:rPr>
                <w:sz w:val="16"/>
                <w:szCs w:val="16"/>
                <w:color w:val="auto"/>
              </w:rPr>
            </w:pPr>
          </w:p>
        </w:tc>
        <w:tc>
          <w:tcPr>
            <w:tcW w:w="200" w:type="dxa"/>
            <w:vAlign w:val="bottom"/>
            <w:shd w:val="clear" w:color="auto" w:fill="FDFDFC"/>
          </w:tcPr>
          <w:p>
            <w:pPr>
              <w:spacing w:after="0"/>
              <w:rPr>
                <w:sz w:val="16"/>
                <w:szCs w:val="16"/>
                <w:color w:val="auto"/>
              </w:rPr>
            </w:pPr>
          </w:p>
        </w:tc>
        <w:tc>
          <w:tcPr>
            <w:tcW w:w="900" w:type="dxa"/>
            <w:vAlign w:val="bottom"/>
            <w:shd w:val="clear" w:color="auto" w:fill="FDFDFC"/>
          </w:tcPr>
          <w:p>
            <w:pPr>
              <w:spacing w:after="0"/>
              <w:rPr>
                <w:sz w:val="16"/>
                <w:szCs w:val="16"/>
                <w:color w:val="auto"/>
              </w:rPr>
            </w:pPr>
          </w:p>
        </w:tc>
        <w:tc>
          <w:tcPr>
            <w:tcW w:w="240" w:type="dxa"/>
            <w:vAlign w:val="bottom"/>
            <w:shd w:val="clear" w:color="auto" w:fill="FDFDFC"/>
          </w:tcPr>
          <w:p>
            <w:pPr>
              <w:spacing w:after="0"/>
              <w:rPr>
                <w:sz w:val="16"/>
                <w:szCs w:val="16"/>
                <w:color w:val="auto"/>
              </w:rPr>
            </w:pPr>
          </w:p>
        </w:tc>
        <w:tc>
          <w:tcPr>
            <w:tcW w:w="0" w:type="dxa"/>
            <w:vAlign w:val="bottom"/>
          </w:tcPr>
          <w:p>
            <w:pPr>
              <w:spacing w:after="0"/>
              <w:rPr>
                <w:sz w:val="1"/>
                <w:szCs w:val="1"/>
                <w:color w:val="auto"/>
              </w:rPr>
            </w:pPr>
          </w:p>
        </w:tc>
      </w:tr>
      <w:tr>
        <w:trPr>
          <w:trHeight w:val="158"/>
        </w:trPr>
        <w:tc>
          <w:tcPr>
            <w:tcW w:w="1460" w:type="dxa"/>
            <w:vAlign w:val="bottom"/>
            <w:shd w:val="clear" w:color="auto" w:fill="D0EBF2"/>
          </w:tcPr>
          <w:p>
            <w:pPr>
              <w:spacing w:after="0" w:line="159" w:lineRule="exact"/>
              <w:rPr>
                <w:sz w:val="20"/>
                <w:szCs w:val="20"/>
                <w:color w:val="auto"/>
              </w:rPr>
            </w:pPr>
            <w:r>
              <w:rPr>
                <w:rFonts w:ascii="Times New Roman" w:cs="Times New Roman" w:eastAsia="Times New Roman" w:hAnsi="Times New Roman"/>
                <w:sz w:val="15"/>
                <w:szCs w:val="15"/>
                <w:color w:val="231F20"/>
              </w:rPr>
              <w:t xml:space="preserve">Edge Bidco B.V. </w:t>
            </w:r>
            <w:r>
              <w:rPr>
                <w:rFonts w:ascii="Times New Roman" w:cs="Times New Roman" w:eastAsia="Times New Roman" w:hAnsi="Times New Roman"/>
                <w:sz w:val="9"/>
                <w:szCs w:val="9"/>
                <w:color w:val="231F20"/>
              </w:rPr>
              <w:t>(3)(4)(5)</w:t>
            </w:r>
          </w:p>
        </w:tc>
        <w:tc>
          <w:tcPr>
            <w:tcW w:w="2420" w:type="dxa"/>
            <w:vAlign w:val="bottom"/>
            <w:shd w:val="clear" w:color="auto" w:fill="D0EBF2"/>
          </w:tcPr>
          <w:p>
            <w:pPr>
              <w:ind w:left="60"/>
              <w:spacing w:after="0" w:line="159" w:lineRule="exact"/>
              <w:rPr>
                <w:sz w:val="20"/>
                <w:szCs w:val="20"/>
                <w:color w:val="auto"/>
              </w:rPr>
            </w:pPr>
            <w:r>
              <w:rPr>
                <w:rFonts w:ascii="Times New Roman" w:cs="Times New Roman" w:eastAsia="Times New Roman" w:hAnsi="Times New Roman"/>
                <w:sz w:val="15"/>
                <w:szCs w:val="15"/>
                <w:color w:val="231F20"/>
              </w:rPr>
              <w:t>First-lien loan (EUR 3,850 par, due</w:t>
            </w:r>
          </w:p>
        </w:tc>
        <w:tc>
          <w:tcPr>
            <w:tcW w:w="820" w:type="dxa"/>
            <w:vAlign w:val="bottom"/>
            <w:shd w:val="clear" w:color="auto" w:fill="D0EBF2"/>
          </w:tcPr>
          <w:p>
            <w:pPr>
              <w:jc w:val="right"/>
              <w:spacing w:after="0" w:line="159" w:lineRule="exact"/>
              <w:rPr>
                <w:sz w:val="20"/>
                <w:szCs w:val="20"/>
                <w:color w:val="auto"/>
              </w:rPr>
            </w:pPr>
            <w:r>
              <w:rPr>
                <w:rFonts w:ascii="Times New Roman" w:cs="Times New Roman" w:eastAsia="Times New Roman" w:hAnsi="Times New Roman"/>
                <w:sz w:val="15"/>
                <w:szCs w:val="15"/>
                <w:color w:val="231F20"/>
              </w:rPr>
              <w:t>2/24/2023</w:t>
            </w:r>
          </w:p>
        </w:tc>
        <w:tc>
          <w:tcPr>
            <w:tcW w:w="20" w:type="dxa"/>
            <w:vAlign w:val="bottom"/>
          </w:tcPr>
          <w:p>
            <w:pPr>
              <w:spacing w:after="0"/>
              <w:rPr>
                <w:sz w:val="13"/>
                <w:szCs w:val="13"/>
                <w:color w:val="auto"/>
              </w:rPr>
            </w:pPr>
          </w:p>
        </w:tc>
        <w:tc>
          <w:tcPr>
            <w:tcW w:w="1060" w:type="dxa"/>
            <w:vAlign w:val="bottom"/>
            <w:shd w:val="clear" w:color="auto" w:fill="D0EBF2"/>
          </w:tcPr>
          <w:p>
            <w:pPr>
              <w:jc w:val="right"/>
              <w:ind w:right="124"/>
              <w:spacing w:after="0" w:line="159" w:lineRule="exact"/>
              <w:rPr>
                <w:sz w:val="20"/>
                <w:szCs w:val="20"/>
                <w:color w:val="auto"/>
              </w:rPr>
            </w:pPr>
            <w:r>
              <w:rPr>
                <w:rFonts w:ascii="Times New Roman" w:cs="Times New Roman" w:eastAsia="Times New Roman" w:hAnsi="Times New Roman"/>
                <w:sz w:val="15"/>
                <w:szCs w:val="15"/>
                <w:color w:val="231F20"/>
              </w:rPr>
              <w:t>E + 7.00%</w:t>
            </w:r>
          </w:p>
        </w:tc>
        <w:tc>
          <w:tcPr>
            <w:tcW w:w="1020" w:type="dxa"/>
            <w:vAlign w:val="bottom"/>
            <w:shd w:val="clear" w:color="auto" w:fill="D0EBF2"/>
          </w:tcPr>
          <w:p>
            <w:pPr>
              <w:jc w:val="right"/>
              <w:ind w:right="164"/>
              <w:spacing w:after="0" w:line="159" w:lineRule="exact"/>
              <w:rPr>
                <w:sz w:val="20"/>
                <w:szCs w:val="20"/>
                <w:color w:val="auto"/>
              </w:rPr>
            </w:pPr>
            <w:r>
              <w:rPr>
                <w:rFonts w:ascii="Times New Roman" w:cs="Times New Roman" w:eastAsia="Times New Roman" w:hAnsi="Times New Roman"/>
                <w:sz w:val="15"/>
                <w:szCs w:val="15"/>
                <w:color w:val="231F20"/>
              </w:rPr>
              <w:t>16.10%</w:t>
            </w:r>
          </w:p>
        </w:tc>
        <w:tc>
          <w:tcPr>
            <w:tcW w:w="1000" w:type="dxa"/>
            <w:vAlign w:val="bottom"/>
            <w:shd w:val="clear" w:color="auto" w:fill="D0EBF2"/>
          </w:tcPr>
          <w:p>
            <w:pPr>
              <w:jc w:val="right"/>
              <w:spacing w:after="0" w:line="159" w:lineRule="exact"/>
              <w:rPr>
                <w:sz w:val="20"/>
                <w:szCs w:val="20"/>
                <w:color w:val="auto"/>
              </w:rPr>
            </w:pPr>
            <w:r>
              <w:rPr>
                <w:rFonts w:ascii="Times New Roman" w:cs="Times New Roman" w:eastAsia="Times New Roman" w:hAnsi="Times New Roman"/>
                <w:sz w:val="15"/>
                <w:szCs w:val="15"/>
                <w:color w:val="231F20"/>
              </w:rPr>
              <w:t>3,951</w:t>
            </w:r>
          </w:p>
        </w:tc>
        <w:tc>
          <w:tcPr>
            <w:tcW w:w="1140" w:type="dxa"/>
            <w:vAlign w:val="bottom"/>
            <w:gridSpan w:val="2"/>
            <w:shd w:val="clear" w:color="auto" w:fill="D0EBF2"/>
          </w:tcPr>
          <w:p>
            <w:pPr>
              <w:jc w:val="right"/>
              <w:spacing w:after="0" w:line="159" w:lineRule="exact"/>
              <w:rPr>
                <w:sz w:val="20"/>
                <w:szCs w:val="20"/>
                <w:color w:val="auto"/>
              </w:rPr>
            </w:pPr>
            <w:r>
              <w:rPr>
                <w:rFonts w:ascii="Times New Roman" w:cs="Times New Roman" w:eastAsia="Times New Roman" w:hAnsi="Times New Roman"/>
                <w:sz w:val="15"/>
                <w:szCs w:val="15"/>
                <w:color w:val="231F20"/>
              </w:rPr>
              <w:t>4,266</w:t>
            </w:r>
          </w:p>
        </w:tc>
        <w:tc>
          <w:tcPr>
            <w:tcW w:w="1340" w:type="dxa"/>
            <w:vAlign w:val="bottom"/>
            <w:gridSpan w:val="3"/>
            <w:shd w:val="clear" w:color="auto" w:fill="D0EBF2"/>
          </w:tcPr>
          <w:p>
            <w:pPr>
              <w:jc w:val="right"/>
              <w:ind w:right="120"/>
              <w:spacing w:after="0" w:line="159" w:lineRule="exact"/>
              <w:rPr>
                <w:sz w:val="20"/>
                <w:szCs w:val="20"/>
                <w:color w:val="auto"/>
              </w:rPr>
            </w:pPr>
            <w:r>
              <w:rPr>
                <w:rFonts w:ascii="Times New Roman" w:cs="Times New Roman" w:eastAsia="Times New Roman" w:hAnsi="Times New Roman"/>
                <w:sz w:val="15"/>
                <w:szCs w:val="15"/>
                <w:color w:val="231F20"/>
              </w:rPr>
              <w:t>0.3%</w:t>
            </w:r>
          </w:p>
        </w:tc>
        <w:tc>
          <w:tcPr>
            <w:tcW w:w="0" w:type="dxa"/>
            <w:vAlign w:val="bottom"/>
          </w:tcPr>
          <w:p>
            <w:pPr>
              <w:spacing w:after="0"/>
              <w:rPr>
                <w:sz w:val="1"/>
                <w:szCs w:val="1"/>
                <w:color w:val="auto"/>
              </w:rPr>
            </w:pPr>
          </w:p>
        </w:tc>
      </w:tr>
      <w:tr>
        <w:trPr>
          <w:trHeight w:val="174"/>
        </w:trPr>
        <w:tc>
          <w:tcPr>
            <w:tcW w:w="1460" w:type="dxa"/>
            <w:vAlign w:val="bottom"/>
            <w:shd w:val="clear" w:color="auto" w:fill="D0EBF2"/>
          </w:tcPr>
          <w:p>
            <w:pPr>
              <w:spacing w:after="0"/>
              <w:rPr>
                <w:sz w:val="15"/>
                <w:szCs w:val="15"/>
                <w:color w:val="auto"/>
              </w:rPr>
            </w:pPr>
          </w:p>
        </w:tc>
        <w:tc>
          <w:tcPr>
            <w:tcW w:w="2420" w:type="dxa"/>
            <w:vAlign w:val="bottom"/>
            <w:shd w:val="clear" w:color="auto" w:fill="D0EBF2"/>
          </w:tcPr>
          <w:p>
            <w:pPr>
              <w:ind w:left="60"/>
              <w:spacing w:after="0"/>
              <w:rPr>
                <w:sz w:val="20"/>
                <w:szCs w:val="20"/>
                <w:color w:val="auto"/>
              </w:rPr>
            </w:pPr>
            <w:r>
              <w:rPr>
                <w:rFonts w:ascii="Times New Roman" w:cs="Times New Roman" w:eastAsia="Times New Roman" w:hAnsi="Times New Roman"/>
                <w:sz w:val="15"/>
                <w:szCs w:val="15"/>
                <w:color w:val="231F20"/>
              </w:rPr>
              <w:t>2/2029)</w:t>
            </w:r>
          </w:p>
        </w:tc>
        <w:tc>
          <w:tcPr>
            <w:tcW w:w="820" w:type="dxa"/>
            <w:vAlign w:val="bottom"/>
            <w:shd w:val="clear" w:color="auto" w:fill="D0EBF2"/>
          </w:tcPr>
          <w:p>
            <w:pPr>
              <w:spacing w:after="0"/>
              <w:rPr>
                <w:sz w:val="15"/>
                <w:szCs w:val="15"/>
                <w:color w:val="auto"/>
              </w:rPr>
            </w:pPr>
          </w:p>
        </w:tc>
        <w:tc>
          <w:tcPr>
            <w:tcW w:w="20" w:type="dxa"/>
            <w:vAlign w:val="bottom"/>
          </w:tcPr>
          <w:p>
            <w:pPr>
              <w:spacing w:after="0"/>
              <w:rPr>
                <w:sz w:val="15"/>
                <w:szCs w:val="15"/>
                <w:color w:val="auto"/>
              </w:rPr>
            </w:pPr>
          </w:p>
        </w:tc>
        <w:tc>
          <w:tcPr>
            <w:tcW w:w="1060" w:type="dxa"/>
            <w:vAlign w:val="bottom"/>
            <w:shd w:val="clear" w:color="auto" w:fill="D0EBF2"/>
          </w:tcPr>
          <w:p>
            <w:pPr>
              <w:spacing w:after="0"/>
              <w:rPr>
                <w:sz w:val="15"/>
                <w:szCs w:val="15"/>
                <w:color w:val="auto"/>
              </w:rPr>
            </w:pPr>
          </w:p>
        </w:tc>
        <w:tc>
          <w:tcPr>
            <w:tcW w:w="1020" w:type="dxa"/>
            <w:vAlign w:val="bottom"/>
            <w:shd w:val="clear" w:color="auto" w:fill="D0EBF2"/>
          </w:tcPr>
          <w:p>
            <w:pPr>
              <w:jc w:val="right"/>
              <w:ind w:right="164"/>
              <w:spacing w:after="0"/>
              <w:rPr>
                <w:sz w:val="20"/>
                <w:szCs w:val="20"/>
                <w:color w:val="auto"/>
              </w:rPr>
            </w:pPr>
            <w:r>
              <w:rPr>
                <w:rFonts w:ascii="Times New Roman" w:cs="Times New Roman" w:eastAsia="Times New Roman" w:hAnsi="Times New Roman"/>
                <w:sz w:val="15"/>
                <w:szCs w:val="15"/>
                <w:color w:val="231F20"/>
              </w:rPr>
              <w:t>(incl. 3.25%</w:t>
            </w:r>
          </w:p>
        </w:tc>
        <w:tc>
          <w:tcPr>
            <w:tcW w:w="1000" w:type="dxa"/>
            <w:vAlign w:val="bottom"/>
            <w:shd w:val="clear" w:color="auto" w:fill="D0EBF2"/>
          </w:tcPr>
          <w:p>
            <w:pPr>
              <w:spacing w:after="0"/>
              <w:rPr>
                <w:sz w:val="15"/>
                <w:szCs w:val="15"/>
                <w:color w:val="auto"/>
              </w:rPr>
            </w:pPr>
          </w:p>
        </w:tc>
        <w:tc>
          <w:tcPr>
            <w:tcW w:w="180" w:type="dxa"/>
            <w:vAlign w:val="bottom"/>
            <w:shd w:val="clear" w:color="auto" w:fill="D0EBF2"/>
          </w:tcPr>
          <w:p>
            <w:pPr>
              <w:spacing w:after="0"/>
              <w:rPr>
                <w:sz w:val="15"/>
                <w:szCs w:val="15"/>
                <w:color w:val="auto"/>
              </w:rPr>
            </w:pPr>
          </w:p>
        </w:tc>
        <w:tc>
          <w:tcPr>
            <w:tcW w:w="960" w:type="dxa"/>
            <w:vAlign w:val="bottom"/>
            <w:shd w:val="clear" w:color="auto" w:fill="D0EBF2"/>
          </w:tcPr>
          <w:p>
            <w:pPr>
              <w:jc w:val="right"/>
              <w:spacing w:after="0"/>
              <w:rPr>
                <w:sz w:val="20"/>
                <w:szCs w:val="20"/>
                <w:color w:val="auto"/>
              </w:rPr>
            </w:pPr>
            <w:r>
              <w:rPr>
                <w:rFonts w:ascii="Times New Roman" w:cs="Times New Roman" w:eastAsia="Times New Roman" w:hAnsi="Times New Roman"/>
                <w:sz w:val="15"/>
                <w:szCs w:val="15"/>
                <w:color w:val="231F20"/>
              </w:rPr>
              <w:t>(EUR 3,862)</w:t>
            </w:r>
          </w:p>
        </w:tc>
        <w:tc>
          <w:tcPr>
            <w:tcW w:w="200" w:type="dxa"/>
            <w:vAlign w:val="bottom"/>
            <w:shd w:val="clear" w:color="auto" w:fill="D0EBF2"/>
          </w:tcPr>
          <w:p>
            <w:pPr>
              <w:spacing w:after="0"/>
              <w:rPr>
                <w:sz w:val="15"/>
                <w:szCs w:val="15"/>
                <w:color w:val="auto"/>
              </w:rPr>
            </w:pPr>
          </w:p>
        </w:tc>
        <w:tc>
          <w:tcPr>
            <w:tcW w:w="900" w:type="dxa"/>
            <w:vAlign w:val="bottom"/>
            <w:shd w:val="clear" w:color="auto" w:fill="D0EBF2"/>
          </w:tcPr>
          <w:p>
            <w:pPr>
              <w:spacing w:after="0"/>
              <w:rPr>
                <w:sz w:val="15"/>
                <w:szCs w:val="15"/>
                <w:color w:val="auto"/>
              </w:rPr>
            </w:pPr>
          </w:p>
        </w:tc>
        <w:tc>
          <w:tcPr>
            <w:tcW w:w="240" w:type="dxa"/>
            <w:vAlign w:val="bottom"/>
            <w:shd w:val="clear" w:color="auto" w:fill="D0EBF2"/>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1460" w:type="dxa"/>
            <w:vAlign w:val="bottom"/>
            <w:shd w:val="clear" w:color="auto" w:fill="D0EBF2"/>
          </w:tcPr>
          <w:p>
            <w:pPr>
              <w:spacing w:after="0"/>
              <w:rPr>
                <w:sz w:val="16"/>
                <w:szCs w:val="16"/>
                <w:color w:val="auto"/>
              </w:rPr>
            </w:pPr>
          </w:p>
        </w:tc>
        <w:tc>
          <w:tcPr>
            <w:tcW w:w="2420" w:type="dxa"/>
            <w:vAlign w:val="bottom"/>
            <w:shd w:val="clear" w:color="auto" w:fill="D0EBF2"/>
          </w:tcPr>
          <w:p>
            <w:pPr>
              <w:spacing w:after="0"/>
              <w:rPr>
                <w:sz w:val="16"/>
                <w:szCs w:val="16"/>
                <w:color w:val="auto"/>
              </w:rPr>
            </w:pPr>
          </w:p>
        </w:tc>
        <w:tc>
          <w:tcPr>
            <w:tcW w:w="820" w:type="dxa"/>
            <w:vAlign w:val="bottom"/>
            <w:shd w:val="clear" w:color="auto" w:fill="D0EBF2"/>
          </w:tcPr>
          <w:p>
            <w:pPr>
              <w:spacing w:after="0"/>
              <w:rPr>
                <w:sz w:val="16"/>
                <w:szCs w:val="16"/>
                <w:color w:val="auto"/>
              </w:rPr>
            </w:pPr>
          </w:p>
        </w:tc>
        <w:tc>
          <w:tcPr>
            <w:tcW w:w="20" w:type="dxa"/>
            <w:vAlign w:val="bottom"/>
          </w:tcPr>
          <w:p>
            <w:pPr>
              <w:spacing w:after="0"/>
              <w:rPr>
                <w:sz w:val="16"/>
                <w:szCs w:val="16"/>
                <w:color w:val="auto"/>
              </w:rPr>
            </w:pPr>
          </w:p>
        </w:tc>
        <w:tc>
          <w:tcPr>
            <w:tcW w:w="1060" w:type="dxa"/>
            <w:vAlign w:val="bottom"/>
            <w:shd w:val="clear" w:color="auto" w:fill="D0EBF2"/>
          </w:tcPr>
          <w:p>
            <w:pPr>
              <w:spacing w:after="0"/>
              <w:rPr>
                <w:sz w:val="16"/>
                <w:szCs w:val="16"/>
                <w:color w:val="auto"/>
              </w:rPr>
            </w:pPr>
          </w:p>
        </w:tc>
        <w:tc>
          <w:tcPr>
            <w:tcW w:w="1020" w:type="dxa"/>
            <w:vAlign w:val="bottom"/>
            <w:shd w:val="clear" w:color="auto" w:fill="D0EBF2"/>
          </w:tcPr>
          <w:p>
            <w:pPr>
              <w:jc w:val="right"/>
              <w:ind w:right="164"/>
              <w:spacing w:after="0"/>
              <w:rPr>
                <w:sz w:val="20"/>
                <w:szCs w:val="20"/>
                <w:color w:val="auto"/>
              </w:rPr>
            </w:pPr>
            <w:r>
              <w:rPr>
                <w:rFonts w:ascii="Times New Roman" w:cs="Times New Roman" w:eastAsia="Times New Roman" w:hAnsi="Times New Roman"/>
                <w:sz w:val="15"/>
                <w:szCs w:val="15"/>
                <w:color w:val="231F20"/>
              </w:rPr>
              <w:t>PIK)</w:t>
            </w:r>
          </w:p>
        </w:tc>
        <w:tc>
          <w:tcPr>
            <w:tcW w:w="1000" w:type="dxa"/>
            <w:vAlign w:val="bottom"/>
            <w:shd w:val="clear" w:color="auto" w:fill="D0EBF2"/>
          </w:tcPr>
          <w:p>
            <w:pPr>
              <w:spacing w:after="0"/>
              <w:rPr>
                <w:sz w:val="16"/>
                <w:szCs w:val="16"/>
                <w:color w:val="auto"/>
              </w:rPr>
            </w:pPr>
          </w:p>
        </w:tc>
        <w:tc>
          <w:tcPr>
            <w:tcW w:w="180" w:type="dxa"/>
            <w:vAlign w:val="bottom"/>
            <w:shd w:val="clear" w:color="auto" w:fill="D0EBF2"/>
          </w:tcPr>
          <w:p>
            <w:pPr>
              <w:spacing w:after="0"/>
              <w:rPr>
                <w:sz w:val="16"/>
                <w:szCs w:val="16"/>
                <w:color w:val="auto"/>
              </w:rPr>
            </w:pPr>
          </w:p>
        </w:tc>
        <w:tc>
          <w:tcPr>
            <w:tcW w:w="960" w:type="dxa"/>
            <w:vAlign w:val="bottom"/>
            <w:shd w:val="clear" w:color="auto" w:fill="D0EBF2"/>
          </w:tcPr>
          <w:p>
            <w:pPr>
              <w:spacing w:after="0"/>
              <w:rPr>
                <w:sz w:val="16"/>
                <w:szCs w:val="16"/>
                <w:color w:val="auto"/>
              </w:rPr>
            </w:pPr>
          </w:p>
        </w:tc>
        <w:tc>
          <w:tcPr>
            <w:tcW w:w="200" w:type="dxa"/>
            <w:vAlign w:val="bottom"/>
            <w:shd w:val="clear" w:color="auto" w:fill="D0EBF2"/>
          </w:tcPr>
          <w:p>
            <w:pPr>
              <w:spacing w:after="0"/>
              <w:rPr>
                <w:sz w:val="16"/>
                <w:szCs w:val="16"/>
                <w:color w:val="auto"/>
              </w:rPr>
            </w:pPr>
          </w:p>
        </w:tc>
        <w:tc>
          <w:tcPr>
            <w:tcW w:w="900" w:type="dxa"/>
            <w:vAlign w:val="bottom"/>
            <w:shd w:val="clear" w:color="auto" w:fill="D0EBF2"/>
          </w:tcPr>
          <w:p>
            <w:pPr>
              <w:spacing w:after="0"/>
              <w:rPr>
                <w:sz w:val="16"/>
                <w:szCs w:val="16"/>
                <w:color w:val="auto"/>
              </w:rPr>
            </w:pPr>
          </w:p>
        </w:tc>
        <w:tc>
          <w:tcPr>
            <w:tcW w:w="240" w:type="dxa"/>
            <w:vAlign w:val="bottom"/>
            <w:shd w:val="clear" w:color="auto" w:fill="D0EBF2"/>
          </w:tcPr>
          <w:p>
            <w:pPr>
              <w:spacing w:after="0"/>
              <w:rPr>
                <w:sz w:val="16"/>
                <w:szCs w:val="16"/>
                <w:color w:val="auto"/>
              </w:rPr>
            </w:pPr>
          </w:p>
        </w:tc>
        <w:tc>
          <w:tcPr>
            <w:tcW w:w="0" w:type="dxa"/>
            <w:vAlign w:val="bottom"/>
          </w:tcPr>
          <w:p>
            <w:pPr>
              <w:spacing w:after="0"/>
              <w:rPr>
                <w:sz w:val="1"/>
                <w:szCs w:val="1"/>
                <w:color w:val="auto"/>
              </w:rPr>
            </w:pPr>
          </w:p>
        </w:tc>
      </w:tr>
      <w:tr>
        <w:trPr>
          <w:trHeight w:val="158"/>
        </w:trPr>
        <w:tc>
          <w:tcPr>
            <w:tcW w:w="1460" w:type="dxa"/>
            <w:vAlign w:val="bottom"/>
            <w:shd w:val="clear" w:color="auto" w:fill="FDFDFC"/>
          </w:tcPr>
          <w:p>
            <w:pPr>
              <w:spacing w:after="0" w:line="159" w:lineRule="exact"/>
              <w:rPr>
                <w:sz w:val="20"/>
                <w:szCs w:val="20"/>
                <w:color w:val="auto"/>
              </w:rPr>
            </w:pPr>
            <w:r>
              <w:rPr>
                <w:rFonts w:ascii="Times New Roman" w:cs="Times New Roman" w:eastAsia="Times New Roman" w:hAnsi="Times New Roman"/>
                <w:sz w:val="15"/>
                <w:szCs w:val="15"/>
                <w:color w:val="231F20"/>
              </w:rPr>
              <w:t>Homecare Software</w:t>
            </w:r>
          </w:p>
        </w:tc>
        <w:tc>
          <w:tcPr>
            <w:tcW w:w="2420" w:type="dxa"/>
            <w:vAlign w:val="bottom"/>
            <w:shd w:val="clear" w:color="auto" w:fill="FDFDFC"/>
          </w:tcPr>
          <w:p>
            <w:pPr>
              <w:ind w:left="60"/>
              <w:spacing w:after="0" w:line="159" w:lineRule="exact"/>
              <w:rPr>
                <w:sz w:val="20"/>
                <w:szCs w:val="20"/>
                <w:color w:val="auto"/>
              </w:rPr>
            </w:pPr>
            <w:r>
              <w:rPr>
                <w:rFonts w:ascii="Times New Roman" w:cs="Times New Roman" w:eastAsia="Times New Roman" w:hAnsi="Times New Roman"/>
                <w:sz w:val="15"/>
                <w:szCs w:val="15"/>
                <w:color w:val="231F20"/>
              </w:rPr>
              <w:t>First-lien loan ($65,000 par, due</w:t>
            </w:r>
          </w:p>
        </w:tc>
        <w:tc>
          <w:tcPr>
            <w:tcW w:w="820" w:type="dxa"/>
            <w:vAlign w:val="bottom"/>
            <w:shd w:val="clear" w:color="auto" w:fill="FDFDFC"/>
          </w:tcPr>
          <w:p>
            <w:pPr>
              <w:jc w:val="right"/>
              <w:spacing w:after="0" w:line="159" w:lineRule="exact"/>
              <w:rPr>
                <w:sz w:val="20"/>
                <w:szCs w:val="20"/>
                <w:color w:val="auto"/>
              </w:rPr>
            </w:pPr>
            <w:r>
              <w:rPr>
                <w:rFonts w:ascii="Times New Roman" w:cs="Times New Roman" w:eastAsia="Times New Roman" w:hAnsi="Times New Roman"/>
                <w:sz w:val="15"/>
                <w:szCs w:val="15"/>
                <w:color w:val="231F20"/>
              </w:rPr>
              <w:t>10/6/2021</w:t>
            </w:r>
          </w:p>
        </w:tc>
        <w:tc>
          <w:tcPr>
            <w:tcW w:w="20" w:type="dxa"/>
            <w:vAlign w:val="bottom"/>
          </w:tcPr>
          <w:p>
            <w:pPr>
              <w:spacing w:after="0"/>
              <w:rPr>
                <w:sz w:val="13"/>
                <w:szCs w:val="13"/>
                <w:color w:val="auto"/>
              </w:rPr>
            </w:pPr>
          </w:p>
        </w:tc>
        <w:tc>
          <w:tcPr>
            <w:tcW w:w="1060" w:type="dxa"/>
            <w:vAlign w:val="bottom"/>
            <w:shd w:val="clear" w:color="auto" w:fill="FDFDFC"/>
          </w:tcPr>
          <w:p>
            <w:pPr>
              <w:jc w:val="right"/>
              <w:ind w:right="124"/>
              <w:spacing w:after="0" w:line="159" w:lineRule="exact"/>
              <w:rPr>
                <w:sz w:val="20"/>
                <w:szCs w:val="20"/>
                <w:color w:val="auto"/>
              </w:rPr>
            </w:pPr>
            <w:r>
              <w:rPr>
                <w:rFonts w:ascii="Times New Roman" w:cs="Times New Roman" w:eastAsia="Times New Roman" w:hAnsi="Times New Roman"/>
                <w:sz w:val="15"/>
                <w:szCs w:val="15"/>
                <w:color w:val="231F20"/>
              </w:rPr>
              <w:t>SOFR +</w:t>
            </w:r>
          </w:p>
        </w:tc>
        <w:tc>
          <w:tcPr>
            <w:tcW w:w="1020" w:type="dxa"/>
            <w:vAlign w:val="bottom"/>
            <w:shd w:val="clear" w:color="auto" w:fill="FDFDFC"/>
          </w:tcPr>
          <w:p>
            <w:pPr>
              <w:jc w:val="right"/>
              <w:ind w:right="24"/>
              <w:spacing w:after="0" w:line="159" w:lineRule="exact"/>
              <w:rPr>
                <w:sz w:val="20"/>
                <w:szCs w:val="20"/>
                <w:color w:val="auto"/>
              </w:rPr>
            </w:pPr>
            <w:r>
              <w:rPr>
                <w:rFonts w:ascii="Times New Roman" w:cs="Times New Roman" w:eastAsia="Times New Roman" w:hAnsi="Times New Roman"/>
                <w:sz w:val="15"/>
                <w:szCs w:val="15"/>
                <w:color w:val="231F20"/>
              </w:rPr>
              <w:t>11.06%</w:t>
            </w:r>
          </w:p>
        </w:tc>
        <w:tc>
          <w:tcPr>
            <w:tcW w:w="1000" w:type="dxa"/>
            <w:vAlign w:val="bottom"/>
            <w:shd w:val="clear" w:color="auto" w:fill="FDFDFC"/>
          </w:tcPr>
          <w:p>
            <w:pPr>
              <w:jc w:val="right"/>
              <w:spacing w:after="0" w:line="159" w:lineRule="exact"/>
              <w:rPr>
                <w:sz w:val="20"/>
                <w:szCs w:val="20"/>
                <w:color w:val="auto"/>
              </w:rPr>
            </w:pPr>
            <w:r>
              <w:rPr>
                <w:rFonts w:ascii="Times New Roman" w:cs="Times New Roman" w:eastAsia="Times New Roman" w:hAnsi="Times New Roman"/>
                <w:sz w:val="15"/>
                <w:szCs w:val="15"/>
                <w:color w:val="231F20"/>
              </w:rPr>
              <w:t>64,017</w:t>
            </w:r>
          </w:p>
        </w:tc>
        <w:tc>
          <w:tcPr>
            <w:tcW w:w="1140" w:type="dxa"/>
            <w:vAlign w:val="bottom"/>
            <w:gridSpan w:val="2"/>
            <w:shd w:val="clear" w:color="auto" w:fill="FDFDFC"/>
          </w:tcPr>
          <w:p>
            <w:pPr>
              <w:jc w:val="right"/>
              <w:spacing w:after="0" w:line="159" w:lineRule="exact"/>
              <w:rPr>
                <w:sz w:val="20"/>
                <w:szCs w:val="20"/>
                <w:color w:val="auto"/>
              </w:rPr>
            </w:pPr>
            <w:r>
              <w:rPr>
                <w:rFonts w:ascii="Times New Roman" w:cs="Times New Roman" w:eastAsia="Times New Roman" w:hAnsi="Times New Roman"/>
                <w:sz w:val="15"/>
                <w:szCs w:val="15"/>
                <w:color w:val="231F20"/>
              </w:rPr>
              <w:t>64,838</w:t>
            </w:r>
          </w:p>
        </w:tc>
        <w:tc>
          <w:tcPr>
            <w:tcW w:w="1340" w:type="dxa"/>
            <w:vAlign w:val="bottom"/>
            <w:gridSpan w:val="3"/>
            <w:shd w:val="clear" w:color="auto" w:fill="FDFDFC"/>
          </w:tcPr>
          <w:p>
            <w:pPr>
              <w:jc w:val="right"/>
              <w:ind w:right="120"/>
              <w:spacing w:after="0" w:line="159" w:lineRule="exact"/>
              <w:rPr>
                <w:sz w:val="20"/>
                <w:szCs w:val="20"/>
                <w:color w:val="auto"/>
              </w:rPr>
            </w:pPr>
            <w:r>
              <w:rPr>
                <w:rFonts w:ascii="Times New Roman" w:cs="Times New Roman" w:eastAsia="Times New Roman" w:hAnsi="Times New Roman"/>
                <w:sz w:val="15"/>
                <w:szCs w:val="15"/>
                <w:color w:val="231F20"/>
              </w:rPr>
              <w:t>4.3%</w:t>
            </w:r>
          </w:p>
        </w:tc>
        <w:tc>
          <w:tcPr>
            <w:tcW w:w="0" w:type="dxa"/>
            <w:vAlign w:val="bottom"/>
          </w:tcPr>
          <w:p>
            <w:pPr>
              <w:spacing w:after="0"/>
              <w:rPr>
                <w:sz w:val="1"/>
                <w:szCs w:val="1"/>
                <w:color w:val="auto"/>
              </w:rPr>
            </w:pPr>
          </w:p>
        </w:tc>
      </w:tr>
      <w:tr>
        <w:trPr>
          <w:trHeight w:val="189"/>
        </w:trPr>
        <w:tc>
          <w:tcPr>
            <w:tcW w:w="1460" w:type="dxa"/>
            <w:vAlign w:val="bottom"/>
            <w:shd w:val="clear" w:color="auto" w:fill="FDFDFC"/>
          </w:tcPr>
          <w:p>
            <w:pPr>
              <w:spacing w:after="0"/>
              <w:rPr>
                <w:sz w:val="20"/>
                <w:szCs w:val="20"/>
                <w:color w:val="auto"/>
              </w:rPr>
            </w:pPr>
            <w:r>
              <w:rPr>
                <w:rFonts w:ascii="Times New Roman" w:cs="Times New Roman" w:eastAsia="Times New Roman" w:hAnsi="Times New Roman"/>
                <w:sz w:val="15"/>
                <w:szCs w:val="15"/>
                <w:color w:val="231F20"/>
              </w:rPr>
              <w:t xml:space="preserve">Solutions, LLC </w:t>
            </w:r>
            <w:r>
              <w:rPr>
                <w:rFonts w:ascii="Times New Roman" w:cs="Times New Roman" w:eastAsia="Times New Roman" w:hAnsi="Times New Roman"/>
                <w:sz w:val="9"/>
                <w:szCs w:val="9"/>
                <w:color w:val="231F20"/>
              </w:rPr>
              <w:t>(3)(5)</w:t>
            </w:r>
          </w:p>
        </w:tc>
        <w:tc>
          <w:tcPr>
            <w:tcW w:w="2420" w:type="dxa"/>
            <w:vAlign w:val="bottom"/>
            <w:shd w:val="clear" w:color="auto" w:fill="FDFDFC"/>
          </w:tcPr>
          <w:p>
            <w:pPr>
              <w:ind w:left="60"/>
              <w:spacing w:after="0"/>
              <w:rPr>
                <w:sz w:val="20"/>
                <w:szCs w:val="20"/>
                <w:color w:val="auto"/>
              </w:rPr>
            </w:pPr>
            <w:r>
              <w:rPr>
                <w:rFonts w:ascii="Times New Roman" w:cs="Times New Roman" w:eastAsia="Times New Roman" w:hAnsi="Times New Roman"/>
                <w:sz w:val="15"/>
                <w:szCs w:val="15"/>
                <w:color w:val="231F20"/>
              </w:rPr>
              <w:t>10/2026)</w:t>
            </w:r>
          </w:p>
        </w:tc>
        <w:tc>
          <w:tcPr>
            <w:tcW w:w="820" w:type="dxa"/>
            <w:vAlign w:val="bottom"/>
            <w:shd w:val="clear" w:color="auto" w:fill="FDFDFC"/>
          </w:tcPr>
          <w:p>
            <w:pPr>
              <w:spacing w:after="0"/>
              <w:rPr>
                <w:sz w:val="16"/>
                <w:szCs w:val="16"/>
                <w:color w:val="auto"/>
              </w:rPr>
            </w:pPr>
          </w:p>
        </w:tc>
        <w:tc>
          <w:tcPr>
            <w:tcW w:w="20" w:type="dxa"/>
            <w:vAlign w:val="bottom"/>
          </w:tcPr>
          <w:p>
            <w:pPr>
              <w:spacing w:after="0"/>
              <w:rPr>
                <w:sz w:val="16"/>
                <w:szCs w:val="16"/>
                <w:color w:val="auto"/>
              </w:rPr>
            </w:pPr>
          </w:p>
        </w:tc>
        <w:tc>
          <w:tcPr>
            <w:tcW w:w="1060" w:type="dxa"/>
            <w:vAlign w:val="bottom"/>
            <w:shd w:val="clear" w:color="auto" w:fill="FDFDFC"/>
          </w:tcPr>
          <w:p>
            <w:pPr>
              <w:jc w:val="right"/>
              <w:ind w:right="124"/>
              <w:spacing w:after="0"/>
              <w:rPr>
                <w:sz w:val="20"/>
                <w:szCs w:val="20"/>
                <w:color w:val="auto"/>
              </w:rPr>
            </w:pPr>
            <w:r>
              <w:rPr>
                <w:rFonts w:ascii="Times New Roman" w:cs="Times New Roman" w:eastAsia="Times New Roman" w:hAnsi="Times New Roman"/>
                <w:sz w:val="15"/>
                <w:szCs w:val="15"/>
                <w:color w:val="231F20"/>
              </w:rPr>
              <w:t>5.70%</w:t>
            </w:r>
          </w:p>
        </w:tc>
        <w:tc>
          <w:tcPr>
            <w:tcW w:w="1020" w:type="dxa"/>
            <w:vAlign w:val="bottom"/>
            <w:shd w:val="clear" w:color="auto" w:fill="FDFDFC"/>
          </w:tcPr>
          <w:p>
            <w:pPr>
              <w:spacing w:after="0"/>
              <w:rPr>
                <w:sz w:val="16"/>
                <w:szCs w:val="16"/>
                <w:color w:val="auto"/>
              </w:rPr>
            </w:pPr>
          </w:p>
        </w:tc>
        <w:tc>
          <w:tcPr>
            <w:tcW w:w="1000" w:type="dxa"/>
            <w:vAlign w:val="bottom"/>
            <w:shd w:val="clear" w:color="auto" w:fill="FDFDFC"/>
          </w:tcPr>
          <w:p>
            <w:pPr>
              <w:spacing w:after="0"/>
              <w:rPr>
                <w:sz w:val="16"/>
                <w:szCs w:val="16"/>
                <w:color w:val="auto"/>
              </w:rPr>
            </w:pPr>
          </w:p>
        </w:tc>
        <w:tc>
          <w:tcPr>
            <w:tcW w:w="180" w:type="dxa"/>
            <w:vAlign w:val="bottom"/>
            <w:shd w:val="clear" w:color="auto" w:fill="FDFDFC"/>
          </w:tcPr>
          <w:p>
            <w:pPr>
              <w:spacing w:after="0"/>
              <w:rPr>
                <w:sz w:val="16"/>
                <w:szCs w:val="16"/>
                <w:color w:val="auto"/>
              </w:rPr>
            </w:pPr>
          </w:p>
        </w:tc>
        <w:tc>
          <w:tcPr>
            <w:tcW w:w="960" w:type="dxa"/>
            <w:vAlign w:val="bottom"/>
            <w:shd w:val="clear" w:color="auto" w:fill="FDFDFC"/>
          </w:tcPr>
          <w:p>
            <w:pPr>
              <w:spacing w:after="0"/>
              <w:rPr>
                <w:sz w:val="16"/>
                <w:szCs w:val="16"/>
                <w:color w:val="auto"/>
              </w:rPr>
            </w:pPr>
          </w:p>
        </w:tc>
        <w:tc>
          <w:tcPr>
            <w:tcW w:w="200" w:type="dxa"/>
            <w:vAlign w:val="bottom"/>
            <w:shd w:val="clear" w:color="auto" w:fill="FDFDFC"/>
          </w:tcPr>
          <w:p>
            <w:pPr>
              <w:spacing w:after="0"/>
              <w:rPr>
                <w:sz w:val="16"/>
                <w:szCs w:val="16"/>
                <w:color w:val="auto"/>
              </w:rPr>
            </w:pPr>
          </w:p>
        </w:tc>
        <w:tc>
          <w:tcPr>
            <w:tcW w:w="900" w:type="dxa"/>
            <w:vAlign w:val="bottom"/>
            <w:shd w:val="clear" w:color="auto" w:fill="FDFDFC"/>
          </w:tcPr>
          <w:p>
            <w:pPr>
              <w:spacing w:after="0"/>
              <w:rPr>
                <w:sz w:val="16"/>
                <w:szCs w:val="16"/>
                <w:color w:val="auto"/>
              </w:rPr>
            </w:pPr>
          </w:p>
        </w:tc>
        <w:tc>
          <w:tcPr>
            <w:tcW w:w="240" w:type="dxa"/>
            <w:vAlign w:val="bottom"/>
            <w:shd w:val="clear" w:color="auto" w:fill="FDFDFC"/>
          </w:tcPr>
          <w:p>
            <w:pPr>
              <w:spacing w:after="0"/>
              <w:rPr>
                <w:sz w:val="16"/>
                <w:szCs w:val="16"/>
                <w:color w:val="auto"/>
              </w:rPr>
            </w:pPr>
          </w:p>
        </w:tc>
        <w:tc>
          <w:tcPr>
            <w:tcW w:w="0" w:type="dxa"/>
            <w:vAlign w:val="bottom"/>
          </w:tcPr>
          <w:p>
            <w:pPr>
              <w:spacing w:after="0"/>
              <w:rPr>
                <w:sz w:val="1"/>
                <w:szCs w:val="1"/>
                <w:color w:val="auto"/>
              </w:rPr>
            </w:pPr>
          </w:p>
        </w:tc>
      </w:tr>
      <w:tr>
        <w:trPr>
          <w:trHeight w:val="158"/>
        </w:trPr>
        <w:tc>
          <w:tcPr>
            <w:tcW w:w="1460" w:type="dxa"/>
            <w:vAlign w:val="bottom"/>
            <w:shd w:val="clear" w:color="auto" w:fill="D0EBF2"/>
          </w:tcPr>
          <w:p>
            <w:pPr>
              <w:spacing w:after="0" w:line="159" w:lineRule="exact"/>
              <w:rPr>
                <w:sz w:val="20"/>
                <w:szCs w:val="20"/>
                <w:color w:val="auto"/>
              </w:rPr>
            </w:pPr>
            <w:r>
              <w:rPr>
                <w:rFonts w:ascii="Times New Roman" w:cs="Times New Roman" w:eastAsia="Times New Roman" w:hAnsi="Times New Roman"/>
                <w:sz w:val="15"/>
                <w:szCs w:val="15"/>
                <w:color w:val="231F20"/>
              </w:rPr>
              <w:t xml:space="preserve">Merative L.P. </w:t>
            </w:r>
            <w:r>
              <w:rPr>
                <w:rFonts w:ascii="Times New Roman" w:cs="Times New Roman" w:eastAsia="Times New Roman" w:hAnsi="Times New Roman"/>
                <w:sz w:val="9"/>
                <w:szCs w:val="9"/>
                <w:color w:val="231F20"/>
              </w:rPr>
              <w:t>(3)(5)</w:t>
            </w:r>
          </w:p>
        </w:tc>
        <w:tc>
          <w:tcPr>
            <w:tcW w:w="2420" w:type="dxa"/>
            <w:vAlign w:val="bottom"/>
            <w:shd w:val="clear" w:color="auto" w:fill="D0EBF2"/>
          </w:tcPr>
          <w:p>
            <w:pPr>
              <w:ind w:left="60"/>
              <w:spacing w:after="0" w:line="159" w:lineRule="exact"/>
              <w:rPr>
                <w:sz w:val="20"/>
                <w:szCs w:val="20"/>
                <w:color w:val="auto"/>
              </w:rPr>
            </w:pPr>
            <w:r>
              <w:rPr>
                <w:rFonts w:ascii="Times New Roman" w:cs="Times New Roman" w:eastAsia="Times New Roman" w:hAnsi="Times New Roman"/>
                <w:sz w:val="15"/>
                <w:szCs w:val="15"/>
                <w:color w:val="231F20"/>
              </w:rPr>
              <w:t>First-lien loan ($70,103 par, due</w:t>
            </w:r>
          </w:p>
        </w:tc>
        <w:tc>
          <w:tcPr>
            <w:tcW w:w="820" w:type="dxa"/>
            <w:vAlign w:val="bottom"/>
            <w:shd w:val="clear" w:color="auto" w:fill="D0EBF2"/>
          </w:tcPr>
          <w:p>
            <w:pPr>
              <w:jc w:val="right"/>
              <w:spacing w:after="0" w:line="159" w:lineRule="exact"/>
              <w:rPr>
                <w:sz w:val="20"/>
                <w:szCs w:val="20"/>
                <w:color w:val="auto"/>
              </w:rPr>
            </w:pPr>
            <w:r>
              <w:rPr>
                <w:rFonts w:ascii="Times New Roman" w:cs="Times New Roman" w:eastAsia="Times New Roman" w:hAnsi="Times New Roman"/>
                <w:sz w:val="15"/>
                <w:szCs w:val="15"/>
                <w:color w:val="231F20"/>
              </w:rPr>
              <w:t>6/30/2022</w:t>
            </w:r>
          </w:p>
        </w:tc>
        <w:tc>
          <w:tcPr>
            <w:tcW w:w="20" w:type="dxa"/>
            <w:vAlign w:val="bottom"/>
          </w:tcPr>
          <w:p>
            <w:pPr>
              <w:spacing w:after="0"/>
              <w:rPr>
                <w:sz w:val="13"/>
                <w:szCs w:val="13"/>
                <w:color w:val="auto"/>
              </w:rPr>
            </w:pPr>
          </w:p>
        </w:tc>
        <w:tc>
          <w:tcPr>
            <w:tcW w:w="1060" w:type="dxa"/>
            <w:vAlign w:val="bottom"/>
            <w:shd w:val="clear" w:color="auto" w:fill="D0EBF2"/>
          </w:tcPr>
          <w:p>
            <w:pPr>
              <w:jc w:val="right"/>
              <w:ind w:right="124"/>
              <w:spacing w:after="0" w:line="159" w:lineRule="exact"/>
              <w:rPr>
                <w:sz w:val="20"/>
                <w:szCs w:val="20"/>
                <w:color w:val="auto"/>
              </w:rPr>
            </w:pPr>
            <w:r>
              <w:rPr>
                <w:rFonts w:ascii="Times New Roman" w:cs="Times New Roman" w:eastAsia="Times New Roman" w:hAnsi="Times New Roman"/>
                <w:sz w:val="15"/>
                <w:szCs w:val="15"/>
                <w:color w:val="231F20"/>
              </w:rPr>
              <w:t>SOFR +</w:t>
            </w:r>
          </w:p>
        </w:tc>
        <w:tc>
          <w:tcPr>
            <w:tcW w:w="1020" w:type="dxa"/>
            <w:vAlign w:val="bottom"/>
            <w:shd w:val="clear" w:color="auto" w:fill="D0EBF2"/>
          </w:tcPr>
          <w:p>
            <w:pPr>
              <w:jc w:val="right"/>
              <w:ind w:right="24"/>
              <w:spacing w:after="0" w:line="159" w:lineRule="exact"/>
              <w:rPr>
                <w:sz w:val="20"/>
                <w:szCs w:val="20"/>
                <w:color w:val="auto"/>
              </w:rPr>
            </w:pPr>
            <w:r>
              <w:rPr>
                <w:rFonts w:ascii="Times New Roman" w:cs="Times New Roman" w:eastAsia="Times New Roman" w:hAnsi="Times New Roman"/>
                <w:sz w:val="15"/>
                <w:szCs w:val="15"/>
                <w:color w:val="231F20"/>
              </w:rPr>
              <w:t>12.60%</w:t>
            </w:r>
          </w:p>
        </w:tc>
        <w:tc>
          <w:tcPr>
            <w:tcW w:w="1000" w:type="dxa"/>
            <w:vAlign w:val="bottom"/>
            <w:shd w:val="clear" w:color="auto" w:fill="D0EBF2"/>
          </w:tcPr>
          <w:p>
            <w:pPr>
              <w:jc w:val="right"/>
              <w:spacing w:after="0" w:line="159" w:lineRule="exact"/>
              <w:rPr>
                <w:sz w:val="20"/>
                <w:szCs w:val="20"/>
                <w:color w:val="auto"/>
              </w:rPr>
            </w:pPr>
            <w:r>
              <w:rPr>
                <w:rFonts w:ascii="Times New Roman" w:cs="Times New Roman" w:eastAsia="Times New Roman" w:hAnsi="Times New Roman"/>
                <w:sz w:val="15"/>
                <w:szCs w:val="15"/>
                <w:color w:val="231F20"/>
              </w:rPr>
              <w:t>68,205</w:t>
            </w:r>
          </w:p>
        </w:tc>
        <w:tc>
          <w:tcPr>
            <w:tcW w:w="1140" w:type="dxa"/>
            <w:vAlign w:val="bottom"/>
            <w:gridSpan w:val="2"/>
            <w:shd w:val="clear" w:color="auto" w:fill="D0EBF2"/>
          </w:tcPr>
          <w:p>
            <w:pPr>
              <w:jc w:val="right"/>
              <w:spacing w:after="0" w:line="159" w:lineRule="exact"/>
              <w:rPr>
                <w:sz w:val="20"/>
                <w:szCs w:val="20"/>
                <w:color w:val="auto"/>
              </w:rPr>
            </w:pPr>
            <w:r>
              <w:rPr>
                <w:rFonts w:ascii="Times New Roman" w:cs="Times New Roman" w:eastAsia="Times New Roman" w:hAnsi="Times New Roman"/>
                <w:sz w:val="15"/>
                <w:szCs w:val="15"/>
                <w:color w:val="231F20"/>
              </w:rPr>
              <w:t>69,753</w:t>
            </w:r>
          </w:p>
        </w:tc>
        <w:tc>
          <w:tcPr>
            <w:tcW w:w="1340" w:type="dxa"/>
            <w:vAlign w:val="bottom"/>
            <w:gridSpan w:val="3"/>
            <w:shd w:val="clear" w:color="auto" w:fill="D0EBF2"/>
          </w:tcPr>
          <w:p>
            <w:pPr>
              <w:jc w:val="right"/>
              <w:ind w:right="120"/>
              <w:spacing w:after="0" w:line="159" w:lineRule="exact"/>
              <w:rPr>
                <w:sz w:val="20"/>
                <w:szCs w:val="20"/>
                <w:color w:val="auto"/>
              </w:rPr>
            </w:pPr>
            <w:r>
              <w:rPr>
                <w:rFonts w:ascii="Times New Roman" w:cs="Times New Roman" w:eastAsia="Times New Roman" w:hAnsi="Times New Roman"/>
                <w:sz w:val="15"/>
                <w:szCs w:val="15"/>
                <w:color w:val="231F20"/>
              </w:rPr>
              <w:t>4.7%</w:t>
            </w:r>
          </w:p>
        </w:tc>
        <w:tc>
          <w:tcPr>
            <w:tcW w:w="0" w:type="dxa"/>
            <w:vAlign w:val="bottom"/>
          </w:tcPr>
          <w:p>
            <w:pPr>
              <w:spacing w:after="0"/>
              <w:rPr>
                <w:sz w:val="1"/>
                <w:szCs w:val="1"/>
                <w:color w:val="auto"/>
              </w:rPr>
            </w:pPr>
          </w:p>
        </w:tc>
      </w:tr>
      <w:tr>
        <w:trPr>
          <w:trHeight w:val="189"/>
        </w:trPr>
        <w:tc>
          <w:tcPr>
            <w:tcW w:w="1460" w:type="dxa"/>
            <w:vAlign w:val="bottom"/>
            <w:shd w:val="clear" w:color="auto" w:fill="D0EBF2"/>
          </w:tcPr>
          <w:p>
            <w:pPr>
              <w:spacing w:after="0"/>
              <w:rPr>
                <w:sz w:val="16"/>
                <w:szCs w:val="16"/>
                <w:color w:val="auto"/>
              </w:rPr>
            </w:pPr>
          </w:p>
        </w:tc>
        <w:tc>
          <w:tcPr>
            <w:tcW w:w="2420" w:type="dxa"/>
            <w:vAlign w:val="bottom"/>
            <w:shd w:val="clear" w:color="auto" w:fill="D0EBF2"/>
          </w:tcPr>
          <w:p>
            <w:pPr>
              <w:ind w:left="60"/>
              <w:spacing w:after="0"/>
              <w:rPr>
                <w:sz w:val="20"/>
                <w:szCs w:val="20"/>
                <w:color w:val="auto"/>
              </w:rPr>
            </w:pPr>
            <w:r>
              <w:rPr>
                <w:rFonts w:ascii="Times New Roman" w:cs="Times New Roman" w:eastAsia="Times New Roman" w:hAnsi="Times New Roman"/>
                <w:sz w:val="15"/>
                <w:szCs w:val="15"/>
                <w:color w:val="231F20"/>
              </w:rPr>
              <w:t>6/2028)</w:t>
            </w:r>
          </w:p>
        </w:tc>
        <w:tc>
          <w:tcPr>
            <w:tcW w:w="820" w:type="dxa"/>
            <w:vAlign w:val="bottom"/>
            <w:shd w:val="clear" w:color="auto" w:fill="D0EBF2"/>
          </w:tcPr>
          <w:p>
            <w:pPr>
              <w:spacing w:after="0"/>
              <w:rPr>
                <w:sz w:val="16"/>
                <w:szCs w:val="16"/>
                <w:color w:val="auto"/>
              </w:rPr>
            </w:pPr>
          </w:p>
        </w:tc>
        <w:tc>
          <w:tcPr>
            <w:tcW w:w="20" w:type="dxa"/>
            <w:vAlign w:val="bottom"/>
          </w:tcPr>
          <w:p>
            <w:pPr>
              <w:spacing w:after="0"/>
              <w:rPr>
                <w:sz w:val="16"/>
                <w:szCs w:val="16"/>
                <w:color w:val="auto"/>
              </w:rPr>
            </w:pPr>
          </w:p>
        </w:tc>
        <w:tc>
          <w:tcPr>
            <w:tcW w:w="1060" w:type="dxa"/>
            <w:vAlign w:val="bottom"/>
            <w:shd w:val="clear" w:color="auto" w:fill="D0EBF2"/>
          </w:tcPr>
          <w:p>
            <w:pPr>
              <w:jc w:val="right"/>
              <w:ind w:right="124"/>
              <w:spacing w:after="0"/>
              <w:rPr>
                <w:sz w:val="20"/>
                <w:szCs w:val="20"/>
                <w:color w:val="auto"/>
              </w:rPr>
            </w:pPr>
            <w:r>
              <w:rPr>
                <w:rFonts w:ascii="Times New Roman" w:cs="Times New Roman" w:eastAsia="Times New Roman" w:hAnsi="Times New Roman"/>
                <w:sz w:val="15"/>
                <w:szCs w:val="15"/>
                <w:color w:val="231F20"/>
              </w:rPr>
              <w:t>7.25%</w:t>
            </w:r>
          </w:p>
        </w:tc>
        <w:tc>
          <w:tcPr>
            <w:tcW w:w="1020" w:type="dxa"/>
            <w:vAlign w:val="bottom"/>
            <w:shd w:val="clear" w:color="auto" w:fill="D0EBF2"/>
          </w:tcPr>
          <w:p>
            <w:pPr>
              <w:spacing w:after="0"/>
              <w:rPr>
                <w:sz w:val="16"/>
                <w:szCs w:val="16"/>
                <w:color w:val="auto"/>
              </w:rPr>
            </w:pPr>
          </w:p>
        </w:tc>
        <w:tc>
          <w:tcPr>
            <w:tcW w:w="1000" w:type="dxa"/>
            <w:vAlign w:val="bottom"/>
            <w:shd w:val="clear" w:color="auto" w:fill="D0EBF2"/>
          </w:tcPr>
          <w:p>
            <w:pPr>
              <w:spacing w:after="0"/>
              <w:rPr>
                <w:sz w:val="16"/>
                <w:szCs w:val="16"/>
                <w:color w:val="auto"/>
              </w:rPr>
            </w:pPr>
          </w:p>
        </w:tc>
        <w:tc>
          <w:tcPr>
            <w:tcW w:w="180" w:type="dxa"/>
            <w:vAlign w:val="bottom"/>
            <w:shd w:val="clear" w:color="auto" w:fill="D0EBF2"/>
          </w:tcPr>
          <w:p>
            <w:pPr>
              <w:spacing w:after="0"/>
              <w:rPr>
                <w:sz w:val="16"/>
                <w:szCs w:val="16"/>
                <w:color w:val="auto"/>
              </w:rPr>
            </w:pPr>
          </w:p>
        </w:tc>
        <w:tc>
          <w:tcPr>
            <w:tcW w:w="960" w:type="dxa"/>
            <w:vAlign w:val="bottom"/>
            <w:shd w:val="clear" w:color="auto" w:fill="D0EBF2"/>
          </w:tcPr>
          <w:p>
            <w:pPr>
              <w:spacing w:after="0"/>
              <w:rPr>
                <w:sz w:val="16"/>
                <w:szCs w:val="16"/>
                <w:color w:val="auto"/>
              </w:rPr>
            </w:pPr>
          </w:p>
        </w:tc>
        <w:tc>
          <w:tcPr>
            <w:tcW w:w="200" w:type="dxa"/>
            <w:vAlign w:val="bottom"/>
            <w:shd w:val="clear" w:color="auto" w:fill="D0EBF2"/>
          </w:tcPr>
          <w:p>
            <w:pPr>
              <w:spacing w:after="0"/>
              <w:rPr>
                <w:sz w:val="16"/>
                <w:szCs w:val="16"/>
                <w:color w:val="auto"/>
              </w:rPr>
            </w:pPr>
          </w:p>
        </w:tc>
        <w:tc>
          <w:tcPr>
            <w:tcW w:w="900" w:type="dxa"/>
            <w:vAlign w:val="bottom"/>
            <w:shd w:val="clear" w:color="auto" w:fill="D0EBF2"/>
          </w:tcPr>
          <w:p>
            <w:pPr>
              <w:spacing w:after="0"/>
              <w:rPr>
                <w:sz w:val="16"/>
                <w:szCs w:val="16"/>
                <w:color w:val="auto"/>
              </w:rPr>
            </w:pPr>
          </w:p>
        </w:tc>
        <w:tc>
          <w:tcPr>
            <w:tcW w:w="240" w:type="dxa"/>
            <w:vAlign w:val="bottom"/>
            <w:shd w:val="clear" w:color="auto" w:fill="D0EBF2"/>
          </w:tcPr>
          <w:p>
            <w:pPr>
              <w:spacing w:after="0"/>
              <w:rPr>
                <w:sz w:val="16"/>
                <w:szCs w:val="16"/>
                <w:color w:val="auto"/>
              </w:rPr>
            </w:pPr>
          </w:p>
        </w:tc>
        <w:tc>
          <w:tcPr>
            <w:tcW w:w="0" w:type="dxa"/>
            <w:vAlign w:val="bottom"/>
          </w:tcPr>
          <w:p>
            <w:pPr>
              <w:spacing w:after="0"/>
              <w:rPr>
                <w:sz w:val="1"/>
                <w:szCs w:val="1"/>
                <w:color w:val="auto"/>
              </w:rPr>
            </w:pPr>
          </w:p>
        </w:tc>
      </w:tr>
      <w:tr>
        <w:trPr>
          <w:trHeight w:val="158"/>
        </w:trPr>
        <w:tc>
          <w:tcPr>
            <w:tcW w:w="1460" w:type="dxa"/>
            <w:vAlign w:val="bottom"/>
            <w:shd w:val="clear" w:color="auto" w:fill="FDFDFC"/>
          </w:tcPr>
          <w:p>
            <w:pPr>
              <w:spacing w:after="0" w:line="159" w:lineRule="exact"/>
              <w:rPr>
                <w:sz w:val="20"/>
                <w:szCs w:val="20"/>
                <w:color w:val="auto"/>
              </w:rPr>
            </w:pPr>
            <w:r>
              <w:rPr>
                <w:rFonts w:ascii="Times New Roman" w:cs="Times New Roman" w:eastAsia="Times New Roman" w:hAnsi="Times New Roman"/>
                <w:sz w:val="15"/>
                <w:szCs w:val="15"/>
                <w:color w:val="231F20"/>
              </w:rPr>
              <w:t>Raptor US Buyer II</w:t>
            </w:r>
          </w:p>
        </w:tc>
        <w:tc>
          <w:tcPr>
            <w:tcW w:w="2420" w:type="dxa"/>
            <w:vAlign w:val="bottom"/>
            <w:shd w:val="clear" w:color="auto" w:fill="FDFDFC"/>
          </w:tcPr>
          <w:p>
            <w:pPr>
              <w:ind w:left="60"/>
              <w:spacing w:after="0" w:line="159" w:lineRule="exact"/>
              <w:rPr>
                <w:sz w:val="20"/>
                <w:szCs w:val="20"/>
                <w:color w:val="auto"/>
              </w:rPr>
            </w:pPr>
            <w:r>
              <w:rPr>
                <w:rFonts w:ascii="Times New Roman" w:cs="Times New Roman" w:eastAsia="Times New Roman" w:hAnsi="Times New Roman"/>
                <w:sz w:val="15"/>
                <w:szCs w:val="15"/>
                <w:color w:val="231F20"/>
              </w:rPr>
              <w:t>First-lien loan ($15,569 par, due</w:t>
            </w:r>
          </w:p>
        </w:tc>
        <w:tc>
          <w:tcPr>
            <w:tcW w:w="820" w:type="dxa"/>
            <w:vAlign w:val="bottom"/>
            <w:shd w:val="clear" w:color="auto" w:fill="FDFDFC"/>
          </w:tcPr>
          <w:p>
            <w:pPr>
              <w:jc w:val="right"/>
              <w:spacing w:after="0" w:line="159" w:lineRule="exact"/>
              <w:rPr>
                <w:sz w:val="20"/>
                <w:szCs w:val="20"/>
                <w:color w:val="auto"/>
              </w:rPr>
            </w:pPr>
            <w:r>
              <w:rPr>
                <w:rFonts w:ascii="Times New Roman" w:cs="Times New Roman" w:eastAsia="Times New Roman" w:hAnsi="Times New Roman"/>
                <w:sz w:val="15"/>
                <w:szCs w:val="15"/>
                <w:color w:val="231F20"/>
              </w:rPr>
              <w:t>3/24/2023</w:t>
            </w:r>
          </w:p>
        </w:tc>
        <w:tc>
          <w:tcPr>
            <w:tcW w:w="20" w:type="dxa"/>
            <w:vAlign w:val="bottom"/>
          </w:tcPr>
          <w:p>
            <w:pPr>
              <w:spacing w:after="0"/>
              <w:rPr>
                <w:sz w:val="13"/>
                <w:szCs w:val="13"/>
                <w:color w:val="auto"/>
              </w:rPr>
            </w:pPr>
          </w:p>
        </w:tc>
        <w:tc>
          <w:tcPr>
            <w:tcW w:w="1060" w:type="dxa"/>
            <w:vAlign w:val="bottom"/>
            <w:shd w:val="clear" w:color="auto" w:fill="FDFDFC"/>
          </w:tcPr>
          <w:p>
            <w:pPr>
              <w:jc w:val="right"/>
              <w:ind w:right="124"/>
              <w:spacing w:after="0" w:line="159" w:lineRule="exact"/>
              <w:rPr>
                <w:sz w:val="20"/>
                <w:szCs w:val="20"/>
                <w:color w:val="auto"/>
              </w:rPr>
            </w:pPr>
            <w:r>
              <w:rPr>
                <w:rFonts w:ascii="Times New Roman" w:cs="Times New Roman" w:eastAsia="Times New Roman" w:hAnsi="Times New Roman"/>
                <w:sz w:val="15"/>
                <w:szCs w:val="15"/>
                <w:color w:val="231F20"/>
              </w:rPr>
              <w:t>SOFR +</w:t>
            </w:r>
          </w:p>
        </w:tc>
        <w:tc>
          <w:tcPr>
            <w:tcW w:w="1020" w:type="dxa"/>
            <w:vAlign w:val="bottom"/>
            <w:shd w:val="clear" w:color="auto" w:fill="FDFDFC"/>
          </w:tcPr>
          <w:p>
            <w:pPr>
              <w:jc w:val="right"/>
              <w:ind w:right="24"/>
              <w:spacing w:after="0" w:line="159" w:lineRule="exact"/>
              <w:rPr>
                <w:sz w:val="20"/>
                <w:szCs w:val="20"/>
                <w:color w:val="auto"/>
              </w:rPr>
            </w:pPr>
            <w:r>
              <w:rPr>
                <w:rFonts w:ascii="Times New Roman" w:cs="Times New Roman" w:eastAsia="Times New Roman" w:hAnsi="Times New Roman"/>
                <w:sz w:val="15"/>
                <w:szCs w:val="15"/>
                <w:color w:val="231F20"/>
              </w:rPr>
              <w:t>12.10%</w:t>
            </w:r>
          </w:p>
        </w:tc>
        <w:tc>
          <w:tcPr>
            <w:tcW w:w="1000" w:type="dxa"/>
            <w:vAlign w:val="bottom"/>
            <w:shd w:val="clear" w:color="auto" w:fill="FDFDFC"/>
          </w:tcPr>
          <w:p>
            <w:pPr>
              <w:jc w:val="right"/>
              <w:spacing w:after="0" w:line="159" w:lineRule="exact"/>
              <w:rPr>
                <w:sz w:val="20"/>
                <w:szCs w:val="20"/>
                <w:color w:val="auto"/>
              </w:rPr>
            </w:pPr>
            <w:r>
              <w:rPr>
                <w:rFonts w:ascii="Times New Roman" w:cs="Times New Roman" w:eastAsia="Times New Roman" w:hAnsi="Times New Roman"/>
                <w:sz w:val="15"/>
                <w:szCs w:val="15"/>
                <w:color w:val="231F20"/>
              </w:rPr>
              <w:t>15,070</w:t>
            </w:r>
          </w:p>
        </w:tc>
        <w:tc>
          <w:tcPr>
            <w:tcW w:w="1140" w:type="dxa"/>
            <w:vAlign w:val="bottom"/>
            <w:gridSpan w:val="2"/>
            <w:shd w:val="clear" w:color="auto" w:fill="FDFDFC"/>
          </w:tcPr>
          <w:p>
            <w:pPr>
              <w:jc w:val="right"/>
              <w:spacing w:after="0" w:line="159" w:lineRule="exact"/>
              <w:rPr>
                <w:sz w:val="20"/>
                <w:szCs w:val="20"/>
                <w:color w:val="auto"/>
              </w:rPr>
            </w:pPr>
            <w:r>
              <w:rPr>
                <w:rFonts w:ascii="Times New Roman" w:cs="Times New Roman" w:eastAsia="Times New Roman" w:hAnsi="Times New Roman"/>
                <w:sz w:val="15"/>
                <w:szCs w:val="15"/>
                <w:color w:val="231F20"/>
              </w:rPr>
              <w:t>15,491</w:t>
            </w:r>
          </w:p>
        </w:tc>
        <w:tc>
          <w:tcPr>
            <w:tcW w:w="1340" w:type="dxa"/>
            <w:vAlign w:val="bottom"/>
            <w:gridSpan w:val="3"/>
            <w:shd w:val="clear" w:color="auto" w:fill="FDFDFC"/>
          </w:tcPr>
          <w:p>
            <w:pPr>
              <w:jc w:val="right"/>
              <w:ind w:right="120"/>
              <w:spacing w:after="0" w:line="159" w:lineRule="exact"/>
              <w:rPr>
                <w:sz w:val="20"/>
                <w:szCs w:val="20"/>
                <w:color w:val="auto"/>
              </w:rPr>
            </w:pPr>
            <w:r>
              <w:rPr>
                <w:rFonts w:ascii="Times New Roman" w:cs="Times New Roman" w:eastAsia="Times New Roman" w:hAnsi="Times New Roman"/>
                <w:sz w:val="15"/>
                <w:szCs w:val="15"/>
                <w:color w:val="231F20"/>
              </w:rPr>
              <w:t>1.0%</w:t>
            </w:r>
          </w:p>
        </w:tc>
        <w:tc>
          <w:tcPr>
            <w:tcW w:w="0" w:type="dxa"/>
            <w:vAlign w:val="bottom"/>
          </w:tcPr>
          <w:p>
            <w:pPr>
              <w:spacing w:after="0"/>
              <w:rPr>
                <w:sz w:val="1"/>
                <w:szCs w:val="1"/>
                <w:color w:val="auto"/>
              </w:rPr>
            </w:pPr>
          </w:p>
        </w:tc>
      </w:tr>
      <w:tr>
        <w:trPr>
          <w:trHeight w:val="189"/>
        </w:trPr>
        <w:tc>
          <w:tcPr>
            <w:tcW w:w="1460" w:type="dxa"/>
            <w:vAlign w:val="bottom"/>
            <w:shd w:val="clear" w:color="auto" w:fill="FDFDFC"/>
          </w:tcPr>
          <w:p>
            <w:pPr>
              <w:spacing w:after="0"/>
              <w:rPr>
                <w:sz w:val="20"/>
                <w:szCs w:val="20"/>
                <w:color w:val="auto"/>
              </w:rPr>
            </w:pPr>
            <w:r>
              <w:rPr>
                <w:rFonts w:ascii="Times New Roman" w:cs="Times New Roman" w:eastAsia="Times New Roman" w:hAnsi="Times New Roman"/>
                <w:sz w:val="15"/>
                <w:szCs w:val="15"/>
                <w:color w:val="231F20"/>
              </w:rPr>
              <w:t xml:space="preserve">Corp. </w:t>
            </w:r>
            <w:r>
              <w:rPr>
                <w:rFonts w:ascii="Times New Roman" w:cs="Times New Roman" w:eastAsia="Times New Roman" w:hAnsi="Times New Roman"/>
                <w:sz w:val="9"/>
                <w:szCs w:val="9"/>
                <w:color w:val="231F20"/>
              </w:rPr>
              <w:t>(3)</w:t>
            </w:r>
          </w:p>
        </w:tc>
        <w:tc>
          <w:tcPr>
            <w:tcW w:w="2420" w:type="dxa"/>
            <w:vAlign w:val="bottom"/>
            <w:shd w:val="clear" w:color="auto" w:fill="FDFDFC"/>
          </w:tcPr>
          <w:p>
            <w:pPr>
              <w:ind w:left="60"/>
              <w:spacing w:after="0"/>
              <w:rPr>
                <w:sz w:val="20"/>
                <w:szCs w:val="20"/>
                <w:color w:val="auto"/>
              </w:rPr>
            </w:pPr>
            <w:r>
              <w:rPr>
                <w:rFonts w:ascii="Times New Roman" w:cs="Times New Roman" w:eastAsia="Times New Roman" w:hAnsi="Times New Roman"/>
                <w:sz w:val="15"/>
                <w:szCs w:val="15"/>
                <w:color w:val="231F20"/>
              </w:rPr>
              <w:t>3/2029)</w:t>
            </w:r>
          </w:p>
        </w:tc>
        <w:tc>
          <w:tcPr>
            <w:tcW w:w="820" w:type="dxa"/>
            <w:vAlign w:val="bottom"/>
            <w:shd w:val="clear" w:color="auto" w:fill="FDFDFC"/>
          </w:tcPr>
          <w:p>
            <w:pPr>
              <w:spacing w:after="0"/>
              <w:rPr>
                <w:sz w:val="16"/>
                <w:szCs w:val="16"/>
                <w:color w:val="auto"/>
              </w:rPr>
            </w:pPr>
          </w:p>
        </w:tc>
        <w:tc>
          <w:tcPr>
            <w:tcW w:w="20" w:type="dxa"/>
            <w:vAlign w:val="bottom"/>
          </w:tcPr>
          <w:p>
            <w:pPr>
              <w:spacing w:after="0"/>
              <w:rPr>
                <w:sz w:val="16"/>
                <w:szCs w:val="16"/>
                <w:color w:val="auto"/>
              </w:rPr>
            </w:pPr>
          </w:p>
        </w:tc>
        <w:tc>
          <w:tcPr>
            <w:tcW w:w="1060" w:type="dxa"/>
            <w:vAlign w:val="bottom"/>
            <w:shd w:val="clear" w:color="auto" w:fill="FDFDFC"/>
          </w:tcPr>
          <w:p>
            <w:pPr>
              <w:jc w:val="right"/>
              <w:ind w:right="124"/>
              <w:spacing w:after="0"/>
              <w:rPr>
                <w:sz w:val="20"/>
                <w:szCs w:val="20"/>
                <w:color w:val="auto"/>
              </w:rPr>
            </w:pPr>
            <w:r>
              <w:rPr>
                <w:rFonts w:ascii="Times New Roman" w:cs="Times New Roman" w:eastAsia="Times New Roman" w:hAnsi="Times New Roman"/>
                <w:sz w:val="15"/>
                <w:szCs w:val="15"/>
                <w:color w:val="231F20"/>
              </w:rPr>
              <w:t>6.75%</w:t>
            </w:r>
          </w:p>
        </w:tc>
        <w:tc>
          <w:tcPr>
            <w:tcW w:w="1020" w:type="dxa"/>
            <w:vAlign w:val="bottom"/>
            <w:shd w:val="clear" w:color="auto" w:fill="FDFDFC"/>
          </w:tcPr>
          <w:p>
            <w:pPr>
              <w:spacing w:after="0"/>
              <w:rPr>
                <w:sz w:val="16"/>
                <w:szCs w:val="16"/>
                <w:color w:val="auto"/>
              </w:rPr>
            </w:pPr>
          </w:p>
        </w:tc>
        <w:tc>
          <w:tcPr>
            <w:tcW w:w="1000" w:type="dxa"/>
            <w:vAlign w:val="bottom"/>
            <w:shd w:val="clear" w:color="auto" w:fill="FDFDFC"/>
          </w:tcPr>
          <w:p>
            <w:pPr>
              <w:spacing w:after="0"/>
              <w:rPr>
                <w:sz w:val="16"/>
                <w:szCs w:val="16"/>
                <w:color w:val="auto"/>
              </w:rPr>
            </w:pPr>
          </w:p>
        </w:tc>
        <w:tc>
          <w:tcPr>
            <w:tcW w:w="180" w:type="dxa"/>
            <w:vAlign w:val="bottom"/>
            <w:shd w:val="clear" w:color="auto" w:fill="FDFDFC"/>
          </w:tcPr>
          <w:p>
            <w:pPr>
              <w:spacing w:after="0"/>
              <w:rPr>
                <w:sz w:val="16"/>
                <w:szCs w:val="16"/>
                <w:color w:val="auto"/>
              </w:rPr>
            </w:pPr>
          </w:p>
        </w:tc>
        <w:tc>
          <w:tcPr>
            <w:tcW w:w="960" w:type="dxa"/>
            <w:vAlign w:val="bottom"/>
            <w:shd w:val="clear" w:color="auto" w:fill="FDFDFC"/>
          </w:tcPr>
          <w:p>
            <w:pPr>
              <w:spacing w:after="0"/>
              <w:rPr>
                <w:sz w:val="16"/>
                <w:szCs w:val="16"/>
                <w:color w:val="auto"/>
              </w:rPr>
            </w:pPr>
          </w:p>
        </w:tc>
        <w:tc>
          <w:tcPr>
            <w:tcW w:w="200" w:type="dxa"/>
            <w:vAlign w:val="bottom"/>
            <w:shd w:val="clear" w:color="auto" w:fill="FDFDFC"/>
          </w:tcPr>
          <w:p>
            <w:pPr>
              <w:spacing w:after="0"/>
              <w:rPr>
                <w:sz w:val="16"/>
                <w:szCs w:val="16"/>
                <w:color w:val="auto"/>
              </w:rPr>
            </w:pPr>
          </w:p>
        </w:tc>
        <w:tc>
          <w:tcPr>
            <w:tcW w:w="900" w:type="dxa"/>
            <w:vAlign w:val="bottom"/>
            <w:shd w:val="clear" w:color="auto" w:fill="FDFDFC"/>
          </w:tcPr>
          <w:p>
            <w:pPr>
              <w:spacing w:after="0"/>
              <w:rPr>
                <w:sz w:val="16"/>
                <w:szCs w:val="16"/>
                <w:color w:val="auto"/>
              </w:rPr>
            </w:pPr>
          </w:p>
        </w:tc>
        <w:tc>
          <w:tcPr>
            <w:tcW w:w="240" w:type="dxa"/>
            <w:vAlign w:val="bottom"/>
            <w:shd w:val="clear" w:color="auto" w:fill="FDFDFC"/>
          </w:tcPr>
          <w:p>
            <w:pPr>
              <w:spacing w:after="0"/>
              <w:rPr>
                <w:sz w:val="16"/>
                <w:szCs w:val="16"/>
                <w:color w:val="auto"/>
              </w:rPr>
            </w:pPr>
          </w:p>
        </w:tc>
        <w:tc>
          <w:tcPr>
            <w:tcW w:w="0" w:type="dxa"/>
            <w:vAlign w:val="bottom"/>
          </w:tcPr>
          <w:p>
            <w:pPr>
              <w:spacing w:after="0"/>
              <w:rPr>
                <w:sz w:val="1"/>
                <w:szCs w:val="1"/>
                <w:color w:val="auto"/>
              </w:rPr>
            </w:pPr>
          </w:p>
        </w:tc>
      </w:tr>
      <w:tr>
        <w:trPr>
          <w:trHeight w:val="158"/>
        </w:trPr>
        <w:tc>
          <w:tcPr>
            <w:tcW w:w="1460" w:type="dxa"/>
            <w:vAlign w:val="bottom"/>
            <w:shd w:val="clear" w:color="auto" w:fill="D0EBF2"/>
          </w:tcPr>
          <w:p>
            <w:pPr>
              <w:spacing w:after="0" w:line="159" w:lineRule="exact"/>
              <w:rPr>
                <w:sz w:val="20"/>
                <w:szCs w:val="20"/>
                <w:color w:val="auto"/>
              </w:rPr>
            </w:pPr>
            <w:r>
              <w:rPr>
                <w:rFonts w:ascii="Times New Roman" w:cs="Times New Roman" w:eastAsia="Times New Roman" w:hAnsi="Times New Roman"/>
                <w:sz w:val="15"/>
                <w:szCs w:val="15"/>
                <w:color w:val="231F20"/>
              </w:rPr>
              <w:t xml:space="preserve">SL Buyer Corp. </w:t>
            </w:r>
            <w:r>
              <w:rPr>
                <w:rFonts w:ascii="Times New Roman" w:cs="Times New Roman" w:eastAsia="Times New Roman" w:hAnsi="Times New Roman"/>
                <w:sz w:val="9"/>
                <w:szCs w:val="9"/>
                <w:color w:val="231F20"/>
              </w:rPr>
              <w:t>(3)(5)</w:t>
            </w:r>
          </w:p>
        </w:tc>
        <w:tc>
          <w:tcPr>
            <w:tcW w:w="2420" w:type="dxa"/>
            <w:vAlign w:val="bottom"/>
            <w:shd w:val="clear" w:color="auto" w:fill="D0EBF2"/>
          </w:tcPr>
          <w:p>
            <w:pPr>
              <w:ind w:left="60"/>
              <w:spacing w:after="0" w:line="159" w:lineRule="exact"/>
              <w:rPr>
                <w:sz w:val="20"/>
                <w:szCs w:val="20"/>
                <w:color w:val="auto"/>
              </w:rPr>
            </w:pPr>
            <w:r>
              <w:rPr>
                <w:rFonts w:ascii="Times New Roman" w:cs="Times New Roman" w:eastAsia="Times New Roman" w:hAnsi="Times New Roman"/>
                <w:sz w:val="15"/>
                <w:szCs w:val="15"/>
                <w:color w:val="231F20"/>
              </w:rPr>
              <w:t>First-lien loan ($31,475 par, due</w:t>
            </w:r>
          </w:p>
        </w:tc>
        <w:tc>
          <w:tcPr>
            <w:tcW w:w="820" w:type="dxa"/>
            <w:vAlign w:val="bottom"/>
            <w:shd w:val="clear" w:color="auto" w:fill="D0EBF2"/>
          </w:tcPr>
          <w:p>
            <w:pPr>
              <w:jc w:val="right"/>
              <w:spacing w:after="0" w:line="159" w:lineRule="exact"/>
              <w:rPr>
                <w:sz w:val="20"/>
                <w:szCs w:val="20"/>
                <w:color w:val="auto"/>
              </w:rPr>
            </w:pPr>
            <w:r>
              <w:rPr>
                <w:rFonts w:ascii="Times New Roman" w:cs="Times New Roman" w:eastAsia="Times New Roman" w:hAnsi="Times New Roman"/>
                <w:sz w:val="15"/>
                <w:szCs w:val="15"/>
                <w:color w:val="231F20"/>
              </w:rPr>
              <w:t>7/7/2023</w:t>
            </w:r>
          </w:p>
        </w:tc>
        <w:tc>
          <w:tcPr>
            <w:tcW w:w="20" w:type="dxa"/>
            <w:vAlign w:val="bottom"/>
          </w:tcPr>
          <w:p>
            <w:pPr>
              <w:spacing w:after="0"/>
              <w:rPr>
                <w:sz w:val="13"/>
                <w:szCs w:val="13"/>
                <w:color w:val="auto"/>
              </w:rPr>
            </w:pPr>
          </w:p>
        </w:tc>
        <w:tc>
          <w:tcPr>
            <w:tcW w:w="1060" w:type="dxa"/>
            <w:vAlign w:val="bottom"/>
            <w:shd w:val="clear" w:color="auto" w:fill="D0EBF2"/>
          </w:tcPr>
          <w:p>
            <w:pPr>
              <w:jc w:val="right"/>
              <w:ind w:right="124"/>
              <w:spacing w:after="0" w:line="159" w:lineRule="exact"/>
              <w:rPr>
                <w:sz w:val="20"/>
                <w:szCs w:val="20"/>
                <w:color w:val="auto"/>
              </w:rPr>
            </w:pPr>
            <w:r>
              <w:rPr>
                <w:rFonts w:ascii="Times New Roman" w:cs="Times New Roman" w:eastAsia="Times New Roman" w:hAnsi="Times New Roman"/>
                <w:sz w:val="15"/>
                <w:szCs w:val="15"/>
                <w:color w:val="231F20"/>
              </w:rPr>
              <w:t>SOFR +</w:t>
            </w:r>
          </w:p>
        </w:tc>
        <w:tc>
          <w:tcPr>
            <w:tcW w:w="1020" w:type="dxa"/>
            <w:vAlign w:val="bottom"/>
            <w:shd w:val="clear" w:color="auto" w:fill="D0EBF2"/>
          </w:tcPr>
          <w:p>
            <w:pPr>
              <w:jc w:val="right"/>
              <w:ind w:right="24"/>
              <w:spacing w:after="0" w:line="159" w:lineRule="exact"/>
              <w:rPr>
                <w:sz w:val="20"/>
                <w:szCs w:val="20"/>
                <w:color w:val="auto"/>
              </w:rPr>
            </w:pPr>
            <w:r>
              <w:rPr>
                <w:rFonts w:ascii="Times New Roman" w:cs="Times New Roman" w:eastAsia="Times New Roman" w:hAnsi="Times New Roman"/>
                <w:sz w:val="15"/>
                <w:szCs w:val="15"/>
                <w:color w:val="231F20"/>
              </w:rPr>
              <w:t>12.36%</w:t>
            </w:r>
          </w:p>
        </w:tc>
        <w:tc>
          <w:tcPr>
            <w:tcW w:w="1000" w:type="dxa"/>
            <w:vAlign w:val="bottom"/>
            <w:shd w:val="clear" w:color="auto" w:fill="D0EBF2"/>
          </w:tcPr>
          <w:p>
            <w:pPr>
              <w:jc w:val="right"/>
              <w:spacing w:after="0" w:line="159" w:lineRule="exact"/>
              <w:rPr>
                <w:sz w:val="20"/>
                <w:szCs w:val="20"/>
                <w:color w:val="auto"/>
              </w:rPr>
            </w:pPr>
            <w:r>
              <w:rPr>
                <w:rFonts w:ascii="Times New Roman" w:cs="Times New Roman" w:eastAsia="Times New Roman" w:hAnsi="Times New Roman"/>
                <w:sz w:val="15"/>
                <w:szCs w:val="15"/>
                <w:color w:val="231F20"/>
              </w:rPr>
              <w:t>30,139</w:t>
            </w:r>
          </w:p>
        </w:tc>
        <w:tc>
          <w:tcPr>
            <w:tcW w:w="1140" w:type="dxa"/>
            <w:vAlign w:val="bottom"/>
            <w:gridSpan w:val="2"/>
            <w:shd w:val="clear" w:color="auto" w:fill="D0EBF2"/>
          </w:tcPr>
          <w:p>
            <w:pPr>
              <w:jc w:val="right"/>
              <w:spacing w:after="0" w:line="159" w:lineRule="exact"/>
              <w:rPr>
                <w:sz w:val="20"/>
                <w:szCs w:val="20"/>
                <w:color w:val="auto"/>
              </w:rPr>
            </w:pPr>
            <w:r>
              <w:rPr>
                <w:rFonts w:ascii="Times New Roman" w:cs="Times New Roman" w:eastAsia="Times New Roman" w:hAnsi="Times New Roman"/>
                <w:sz w:val="15"/>
                <w:szCs w:val="15"/>
                <w:color w:val="231F20"/>
              </w:rPr>
              <w:t>30,902</w:t>
            </w:r>
          </w:p>
        </w:tc>
        <w:tc>
          <w:tcPr>
            <w:tcW w:w="1340" w:type="dxa"/>
            <w:vAlign w:val="bottom"/>
            <w:gridSpan w:val="3"/>
            <w:shd w:val="clear" w:color="auto" w:fill="D0EBF2"/>
          </w:tcPr>
          <w:p>
            <w:pPr>
              <w:jc w:val="right"/>
              <w:ind w:right="120"/>
              <w:spacing w:after="0" w:line="159" w:lineRule="exact"/>
              <w:rPr>
                <w:sz w:val="20"/>
                <w:szCs w:val="20"/>
                <w:color w:val="auto"/>
              </w:rPr>
            </w:pPr>
            <w:r>
              <w:rPr>
                <w:rFonts w:ascii="Times New Roman" w:cs="Times New Roman" w:eastAsia="Times New Roman" w:hAnsi="Times New Roman"/>
                <w:sz w:val="15"/>
                <w:szCs w:val="15"/>
                <w:color w:val="231F20"/>
              </w:rPr>
              <w:t>2.1%</w:t>
            </w:r>
          </w:p>
        </w:tc>
        <w:tc>
          <w:tcPr>
            <w:tcW w:w="0" w:type="dxa"/>
            <w:vAlign w:val="bottom"/>
          </w:tcPr>
          <w:p>
            <w:pPr>
              <w:spacing w:after="0"/>
              <w:rPr>
                <w:sz w:val="1"/>
                <w:szCs w:val="1"/>
                <w:color w:val="auto"/>
              </w:rPr>
            </w:pPr>
          </w:p>
        </w:tc>
      </w:tr>
      <w:tr>
        <w:trPr>
          <w:trHeight w:val="189"/>
        </w:trPr>
        <w:tc>
          <w:tcPr>
            <w:tcW w:w="1460" w:type="dxa"/>
            <w:vAlign w:val="bottom"/>
            <w:tcBorders>
              <w:bottom w:val="single" w:sz="8" w:color="FDFDFC"/>
            </w:tcBorders>
            <w:shd w:val="clear" w:color="auto" w:fill="D0EBF2"/>
          </w:tcPr>
          <w:p>
            <w:pPr>
              <w:spacing w:after="0"/>
              <w:rPr>
                <w:sz w:val="16"/>
                <w:szCs w:val="16"/>
                <w:color w:val="auto"/>
              </w:rPr>
            </w:pPr>
          </w:p>
        </w:tc>
        <w:tc>
          <w:tcPr>
            <w:tcW w:w="2420" w:type="dxa"/>
            <w:vAlign w:val="bottom"/>
            <w:tcBorders>
              <w:bottom w:val="single" w:sz="8" w:color="FDFDFC"/>
            </w:tcBorders>
            <w:shd w:val="clear" w:color="auto" w:fill="D0EBF2"/>
          </w:tcPr>
          <w:p>
            <w:pPr>
              <w:ind w:left="60"/>
              <w:spacing w:after="0"/>
              <w:rPr>
                <w:sz w:val="20"/>
                <w:szCs w:val="20"/>
                <w:color w:val="auto"/>
              </w:rPr>
            </w:pPr>
            <w:r>
              <w:rPr>
                <w:rFonts w:ascii="Times New Roman" w:cs="Times New Roman" w:eastAsia="Times New Roman" w:hAnsi="Times New Roman"/>
                <w:sz w:val="15"/>
                <w:szCs w:val="15"/>
                <w:color w:val="231F20"/>
              </w:rPr>
              <w:t>7/2029)</w:t>
            </w:r>
          </w:p>
        </w:tc>
        <w:tc>
          <w:tcPr>
            <w:tcW w:w="820" w:type="dxa"/>
            <w:vAlign w:val="bottom"/>
            <w:tcBorders>
              <w:bottom w:val="single" w:sz="8" w:color="FDFDFC"/>
            </w:tcBorders>
            <w:shd w:val="clear" w:color="auto" w:fill="D0EBF2"/>
          </w:tcPr>
          <w:p>
            <w:pPr>
              <w:spacing w:after="0"/>
              <w:rPr>
                <w:sz w:val="16"/>
                <w:szCs w:val="16"/>
                <w:color w:val="auto"/>
              </w:rPr>
            </w:pPr>
          </w:p>
        </w:tc>
        <w:tc>
          <w:tcPr>
            <w:tcW w:w="20" w:type="dxa"/>
            <w:vAlign w:val="bottom"/>
            <w:tcBorders>
              <w:bottom w:val="single" w:sz="8" w:color="FDFDFC"/>
            </w:tcBorders>
          </w:tcPr>
          <w:p>
            <w:pPr>
              <w:spacing w:after="0"/>
              <w:rPr>
                <w:sz w:val="16"/>
                <w:szCs w:val="16"/>
                <w:color w:val="auto"/>
              </w:rPr>
            </w:pPr>
          </w:p>
        </w:tc>
        <w:tc>
          <w:tcPr>
            <w:tcW w:w="1060" w:type="dxa"/>
            <w:vAlign w:val="bottom"/>
            <w:tcBorders>
              <w:bottom w:val="single" w:sz="8" w:color="FDFDFC"/>
            </w:tcBorders>
            <w:shd w:val="clear" w:color="auto" w:fill="D0EBF2"/>
          </w:tcPr>
          <w:p>
            <w:pPr>
              <w:jc w:val="right"/>
              <w:ind w:right="124"/>
              <w:spacing w:after="0"/>
              <w:rPr>
                <w:sz w:val="20"/>
                <w:szCs w:val="20"/>
                <w:color w:val="auto"/>
              </w:rPr>
            </w:pPr>
            <w:r>
              <w:rPr>
                <w:rFonts w:ascii="Times New Roman" w:cs="Times New Roman" w:eastAsia="Times New Roman" w:hAnsi="Times New Roman"/>
                <w:sz w:val="15"/>
                <w:szCs w:val="15"/>
                <w:color w:val="231F20"/>
              </w:rPr>
              <w:t>7.00%</w:t>
            </w:r>
          </w:p>
        </w:tc>
        <w:tc>
          <w:tcPr>
            <w:tcW w:w="1020" w:type="dxa"/>
            <w:vAlign w:val="bottom"/>
            <w:tcBorders>
              <w:bottom w:val="single" w:sz="8" w:color="FDFDFC"/>
            </w:tcBorders>
            <w:shd w:val="clear" w:color="auto" w:fill="D0EBF2"/>
          </w:tcPr>
          <w:p>
            <w:pPr>
              <w:spacing w:after="0"/>
              <w:rPr>
                <w:sz w:val="16"/>
                <w:szCs w:val="16"/>
                <w:color w:val="auto"/>
              </w:rPr>
            </w:pPr>
          </w:p>
        </w:tc>
        <w:tc>
          <w:tcPr>
            <w:tcW w:w="1000" w:type="dxa"/>
            <w:vAlign w:val="bottom"/>
            <w:tcBorders>
              <w:bottom w:val="single" w:sz="8" w:color="231F20"/>
            </w:tcBorders>
            <w:shd w:val="clear" w:color="auto" w:fill="D0EBF2"/>
          </w:tcPr>
          <w:p>
            <w:pPr>
              <w:spacing w:after="0"/>
              <w:rPr>
                <w:sz w:val="16"/>
                <w:szCs w:val="16"/>
                <w:color w:val="auto"/>
              </w:rPr>
            </w:pPr>
          </w:p>
        </w:tc>
        <w:tc>
          <w:tcPr>
            <w:tcW w:w="180" w:type="dxa"/>
            <w:vAlign w:val="bottom"/>
            <w:tcBorders>
              <w:bottom w:val="single" w:sz="8" w:color="FDFDFC"/>
            </w:tcBorders>
            <w:shd w:val="clear" w:color="auto" w:fill="D0EBF2"/>
          </w:tcPr>
          <w:p>
            <w:pPr>
              <w:spacing w:after="0"/>
              <w:rPr>
                <w:sz w:val="16"/>
                <w:szCs w:val="16"/>
                <w:color w:val="auto"/>
              </w:rPr>
            </w:pPr>
          </w:p>
        </w:tc>
        <w:tc>
          <w:tcPr>
            <w:tcW w:w="960" w:type="dxa"/>
            <w:vAlign w:val="bottom"/>
            <w:tcBorders>
              <w:bottom w:val="single" w:sz="8" w:color="231F20"/>
            </w:tcBorders>
            <w:shd w:val="clear" w:color="auto" w:fill="D0EBF2"/>
          </w:tcPr>
          <w:p>
            <w:pPr>
              <w:spacing w:after="0"/>
              <w:rPr>
                <w:sz w:val="16"/>
                <w:szCs w:val="16"/>
                <w:color w:val="auto"/>
              </w:rPr>
            </w:pPr>
          </w:p>
        </w:tc>
        <w:tc>
          <w:tcPr>
            <w:tcW w:w="200" w:type="dxa"/>
            <w:vAlign w:val="bottom"/>
            <w:tcBorders>
              <w:bottom w:val="single" w:sz="8" w:color="FDFDFC"/>
            </w:tcBorders>
            <w:shd w:val="clear" w:color="auto" w:fill="D0EBF2"/>
          </w:tcPr>
          <w:p>
            <w:pPr>
              <w:spacing w:after="0"/>
              <w:rPr>
                <w:sz w:val="16"/>
                <w:szCs w:val="16"/>
                <w:color w:val="auto"/>
              </w:rPr>
            </w:pPr>
          </w:p>
        </w:tc>
        <w:tc>
          <w:tcPr>
            <w:tcW w:w="900" w:type="dxa"/>
            <w:vAlign w:val="bottom"/>
            <w:tcBorders>
              <w:bottom w:val="single" w:sz="8" w:color="231F20"/>
            </w:tcBorders>
            <w:shd w:val="clear" w:color="auto" w:fill="D0EBF2"/>
          </w:tcPr>
          <w:p>
            <w:pPr>
              <w:spacing w:after="0"/>
              <w:rPr>
                <w:sz w:val="16"/>
                <w:szCs w:val="16"/>
                <w:color w:val="auto"/>
              </w:rPr>
            </w:pPr>
          </w:p>
        </w:tc>
        <w:tc>
          <w:tcPr>
            <w:tcW w:w="240" w:type="dxa"/>
            <w:vAlign w:val="bottom"/>
            <w:shd w:val="clear" w:color="auto" w:fill="D0EBF2"/>
          </w:tcPr>
          <w:p>
            <w:pPr>
              <w:spacing w:after="0"/>
              <w:rPr>
                <w:sz w:val="16"/>
                <w:szCs w:val="16"/>
                <w:color w:val="auto"/>
              </w:rPr>
            </w:pPr>
          </w:p>
        </w:tc>
        <w:tc>
          <w:tcPr>
            <w:tcW w:w="0" w:type="dxa"/>
            <w:vAlign w:val="bottom"/>
          </w:tcPr>
          <w:p>
            <w:pPr>
              <w:spacing w:after="0"/>
              <w:rPr>
                <w:sz w:val="1"/>
                <w:szCs w:val="1"/>
                <w:color w:val="auto"/>
              </w:rPr>
            </w:pPr>
          </w:p>
        </w:tc>
      </w:tr>
      <w:tr>
        <w:trPr>
          <w:trHeight w:val="163"/>
        </w:trPr>
        <w:tc>
          <w:tcPr>
            <w:tcW w:w="1460" w:type="dxa"/>
            <w:vAlign w:val="bottom"/>
            <w:shd w:val="clear" w:color="auto" w:fill="FDFDFC"/>
          </w:tcPr>
          <w:p>
            <w:pPr>
              <w:spacing w:after="0"/>
              <w:rPr>
                <w:sz w:val="14"/>
                <w:szCs w:val="14"/>
                <w:color w:val="auto"/>
              </w:rPr>
            </w:pPr>
          </w:p>
        </w:tc>
        <w:tc>
          <w:tcPr>
            <w:tcW w:w="2420" w:type="dxa"/>
            <w:vAlign w:val="bottom"/>
            <w:shd w:val="clear" w:color="auto" w:fill="FDFDFC"/>
          </w:tcPr>
          <w:p>
            <w:pPr>
              <w:spacing w:after="0"/>
              <w:rPr>
                <w:sz w:val="14"/>
                <w:szCs w:val="14"/>
                <w:color w:val="auto"/>
              </w:rPr>
            </w:pPr>
          </w:p>
        </w:tc>
        <w:tc>
          <w:tcPr>
            <w:tcW w:w="820" w:type="dxa"/>
            <w:vAlign w:val="bottom"/>
            <w:shd w:val="clear" w:color="auto" w:fill="FDFDFC"/>
          </w:tcPr>
          <w:p>
            <w:pPr>
              <w:spacing w:after="0"/>
              <w:rPr>
                <w:sz w:val="14"/>
                <w:szCs w:val="14"/>
                <w:color w:val="auto"/>
              </w:rPr>
            </w:pPr>
          </w:p>
        </w:tc>
        <w:tc>
          <w:tcPr>
            <w:tcW w:w="20" w:type="dxa"/>
            <w:vAlign w:val="bottom"/>
            <w:shd w:val="clear" w:color="auto" w:fill="FDFDFC"/>
          </w:tcPr>
          <w:p>
            <w:pPr>
              <w:spacing w:after="0"/>
              <w:rPr>
                <w:sz w:val="14"/>
                <w:szCs w:val="14"/>
                <w:color w:val="auto"/>
              </w:rPr>
            </w:pPr>
          </w:p>
        </w:tc>
        <w:tc>
          <w:tcPr>
            <w:tcW w:w="1060" w:type="dxa"/>
            <w:vAlign w:val="bottom"/>
            <w:shd w:val="clear" w:color="auto" w:fill="FDFDFC"/>
          </w:tcPr>
          <w:p>
            <w:pPr>
              <w:spacing w:after="0"/>
              <w:rPr>
                <w:sz w:val="14"/>
                <w:szCs w:val="14"/>
                <w:color w:val="auto"/>
              </w:rPr>
            </w:pPr>
          </w:p>
        </w:tc>
        <w:tc>
          <w:tcPr>
            <w:tcW w:w="1020" w:type="dxa"/>
            <w:vAlign w:val="bottom"/>
            <w:shd w:val="clear" w:color="auto" w:fill="FDFDFC"/>
          </w:tcPr>
          <w:p>
            <w:pPr>
              <w:spacing w:after="0"/>
              <w:rPr>
                <w:sz w:val="14"/>
                <w:szCs w:val="14"/>
                <w:color w:val="auto"/>
              </w:rPr>
            </w:pPr>
          </w:p>
        </w:tc>
        <w:tc>
          <w:tcPr>
            <w:tcW w:w="1000" w:type="dxa"/>
            <w:vAlign w:val="bottom"/>
            <w:shd w:val="clear" w:color="auto" w:fill="FDFDFC"/>
          </w:tcPr>
          <w:p>
            <w:pPr>
              <w:jc w:val="right"/>
              <w:spacing w:after="0" w:line="164" w:lineRule="exact"/>
              <w:rPr>
                <w:sz w:val="20"/>
                <w:szCs w:val="20"/>
                <w:color w:val="auto"/>
              </w:rPr>
            </w:pPr>
            <w:r>
              <w:rPr>
                <w:rFonts w:ascii="Times New Roman" w:cs="Times New Roman" w:eastAsia="Times New Roman" w:hAnsi="Times New Roman"/>
                <w:sz w:val="15"/>
                <w:szCs w:val="15"/>
                <w:color w:val="231F20"/>
              </w:rPr>
              <w:t>255,200</w:t>
            </w:r>
          </w:p>
        </w:tc>
        <w:tc>
          <w:tcPr>
            <w:tcW w:w="180" w:type="dxa"/>
            <w:vAlign w:val="bottom"/>
            <w:shd w:val="clear" w:color="auto" w:fill="FDFDFC"/>
          </w:tcPr>
          <w:p>
            <w:pPr>
              <w:spacing w:after="0"/>
              <w:rPr>
                <w:sz w:val="14"/>
                <w:szCs w:val="14"/>
                <w:color w:val="auto"/>
              </w:rPr>
            </w:pPr>
          </w:p>
        </w:tc>
        <w:tc>
          <w:tcPr>
            <w:tcW w:w="960" w:type="dxa"/>
            <w:vAlign w:val="bottom"/>
            <w:shd w:val="clear" w:color="auto" w:fill="FDFDFC"/>
          </w:tcPr>
          <w:p>
            <w:pPr>
              <w:jc w:val="right"/>
              <w:spacing w:after="0" w:line="164" w:lineRule="exact"/>
              <w:rPr>
                <w:sz w:val="20"/>
                <w:szCs w:val="20"/>
                <w:color w:val="auto"/>
              </w:rPr>
            </w:pPr>
            <w:r>
              <w:rPr>
                <w:rFonts w:ascii="Times New Roman" w:cs="Times New Roman" w:eastAsia="Times New Roman" w:hAnsi="Times New Roman"/>
                <w:sz w:val="15"/>
                <w:szCs w:val="15"/>
                <w:color w:val="231F20"/>
              </w:rPr>
              <w:t>260,633</w:t>
            </w:r>
          </w:p>
        </w:tc>
        <w:tc>
          <w:tcPr>
            <w:tcW w:w="200" w:type="dxa"/>
            <w:vAlign w:val="bottom"/>
            <w:shd w:val="clear" w:color="auto" w:fill="FDFDFC"/>
          </w:tcPr>
          <w:p>
            <w:pPr>
              <w:spacing w:after="0"/>
              <w:rPr>
                <w:sz w:val="14"/>
                <w:szCs w:val="14"/>
                <w:color w:val="auto"/>
              </w:rPr>
            </w:pPr>
          </w:p>
        </w:tc>
        <w:tc>
          <w:tcPr>
            <w:tcW w:w="1140" w:type="dxa"/>
            <w:vAlign w:val="bottom"/>
            <w:gridSpan w:val="2"/>
          </w:tcPr>
          <w:p>
            <w:pPr>
              <w:jc w:val="right"/>
              <w:ind w:right="120"/>
              <w:spacing w:after="0" w:line="164" w:lineRule="exact"/>
              <w:rPr>
                <w:sz w:val="20"/>
                <w:szCs w:val="20"/>
                <w:color w:val="auto"/>
              </w:rPr>
            </w:pPr>
            <w:r>
              <w:rPr>
                <w:rFonts w:ascii="Times New Roman" w:cs="Times New Roman" w:eastAsia="Times New Roman" w:hAnsi="Times New Roman"/>
                <w:sz w:val="15"/>
                <w:szCs w:val="15"/>
                <w:color w:val="231F20"/>
              </w:rPr>
              <w:t>17.5%</w:t>
            </w:r>
          </w:p>
        </w:tc>
        <w:tc>
          <w:tcPr>
            <w:tcW w:w="0" w:type="dxa"/>
            <w:vAlign w:val="bottom"/>
          </w:tcPr>
          <w:p>
            <w:pPr>
              <w:spacing w:after="0"/>
              <w:rPr>
                <w:sz w:val="1"/>
                <w:szCs w:val="1"/>
                <w:color w:val="auto"/>
              </w:rPr>
            </w:pPr>
          </w:p>
        </w:tc>
      </w:tr>
      <w:tr>
        <w:trPr>
          <w:trHeight w:val="146"/>
        </w:trPr>
        <w:tc>
          <w:tcPr>
            <w:tcW w:w="1460" w:type="dxa"/>
            <w:vAlign w:val="bottom"/>
            <w:tcBorders>
              <w:top w:val="single" w:sz="8" w:color="D0EBF2"/>
            </w:tcBorders>
            <w:shd w:val="clear" w:color="auto" w:fill="D0EBF2"/>
          </w:tcPr>
          <w:p>
            <w:pPr>
              <w:spacing w:after="0" w:line="146" w:lineRule="exact"/>
              <w:rPr>
                <w:sz w:val="20"/>
                <w:szCs w:val="20"/>
                <w:color w:val="auto"/>
              </w:rPr>
            </w:pPr>
            <w:r>
              <w:rPr>
                <w:rFonts w:ascii="Times New Roman" w:cs="Times New Roman" w:eastAsia="Times New Roman" w:hAnsi="Times New Roman"/>
                <w:sz w:val="15"/>
                <w:szCs w:val="15"/>
                <w:b w:val="1"/>
                <w:bCs w:val="1"/>
                <w:color w:val="231F20"/>
              </w:rPr>
              <w:t>Hotel, Gaming and</w:t>
            </w:r>
          </w:p>
        </w:tc>
        <w:tc>
          <w:tcPr>
            <w:tcW w:w="2420" w:type="dxa"/>
            <w:vAlign w:val="bottom"/>
            <w:tcBorders>
              <w:top w:val="single" w:sz="8" w:color="D0EBF2"/>
            </w:tcBorders>
            <w:shd w:val="clear" w:color="auto" w:fill="D0EBF2"/>
          </w:tcPr>
          <w:p>
            <w:pPr>
              <w:spacing w:after="0"/>
              <w:rPr>
                <w:sz w:val="12"/>
                <w:szCs w:val="12"/>
                <w:color w:val="auto"/>
              </w:rPr>
            </w:pPr>
          </w:p>
        </w:tc>
        <w:tc>
          <w:tcPr>
            <w:tcW w:w="820" w:type="dxa"/>
            <w:vAlign w:val="bottom"/>
            <w:tcBorders>
              <w:top w:val="single" w:sz="8" w:color="D0EBF2"/>
            </w:tcBorders>
            <w:shd w:val="clear" w:color="auto" w:fill="D0EBF2"/>
          </w:tcPr>
          <w:p>
            <w:pPr>
              <w:spacing w:after="0"/>
              <w:rPr>
                <w:sz w:val="12"/>
                <w:szCs w:val="12"/>
                <w:color w:val="auto"/>
              </w:rPr>
            </w:pPr>
          </w:p>
        </w:tc>
        <w:tc>
          <w:tcPr>
            <w:tcW w:w="20" w:type="dxa"/>
            <w:vAlign w:val="bottom"/>
            <w:tcBorders>
              <w:top w:val="single" w:sz="8" w:color="D0EBF2"/>
            </w:tcBorders>
            <w:shd w:val="clear" w:color="auto" w:fill="D0EBF2"/>
          </w:tcPr>
          <w:p>
            <w:pPr>
              <w:spacing w:after="0"/>
              <w:rPr>
                <w:sz w:val="12"/>
                <w:szCs w:val="12"/>
                <w:color w:val="auto"/>
              </w:rPr>
            </w:pPr>
          </w:p>
        </w:tc>
        <w:tc>
          <w:tcPr>
            <w:tcW w:w="1060" w:type="dxa"/>
            <w:vAlign w:val="bottom"/>
            <w:tcBorders>
              <w:top w:val="single" w:sz="8" w:color="D0EBF2"/>
            </w:tcBorders>
            <w:shd w:val="clear" w:color="auto" w:fill="D0EBF2"/>
          </w:tcPr>
          <w:p>
            <w:pPr>
              <w:spacing w:after="0"/>
              <w:rPr>
                <w:sz w:val="12"/>
                <w:szCs w:val="12"/>
                <w:color w:val="auto"/>
              </w:rPr>
            </w:pPr>
          </w:p>
        </w:tc>
        <w:tc>
          <w:tcPr>
            <w:tcW w:w="1020" w:type="dxa"/>
            <w:vAlign w:val="bottom"/>
            <w:tcBorders>
              <w:top w:val="single" w:sz="8" w:color="D0EBF2"/>
            </w:tcBorders>
            <w:shd w:val="clear" w:color="auto" w:fill="D0EBF2"/>
          </w:tcPr>
          <w:p>
            <w:pPr>
              <w:spacing w:after="0"/>
              <w:rPr>
                <w:sz w:val="12"/>
                <w:szCs w:val="12"/>
                <w:color w:val="auto"/>
              </w:rPr>
            </w:pPr>
          </w:p>
        </w:tc>
        <w:tc>
          <w:tcPr>
            <w:tcW w:w="1000" w:type="dxa"/>
            <w:vAlign w:val="bottom"/>
            <w:tcBorders>
              <w:top w:val="single" w:sz="8" w:color="231F20"/>
            </w:tcBorders>
            <w:shd w:val="clear" w:color="auto" w:fill="D0EBF2"/>
          </w:tcPr>
          <w:p>
            <w:pPr>
              <w:spacing w:after="0"/>
              <w:rPr>
                <w:sz w:val="12"/>
                <w:szCs w:val="12"/>
                <w:color w:val="auto"/>
              </w:rPr>
            </w:pPr>
          </w:p>
        </w:tc>
        <w:tc>
          <w:tcPr>
            <w:tcW w:w="180" w:type="dxa"/>
            <w:vAlign w:val="bottom"/>
            <w:tcBorders>
              <w:top w:val="single" w:sz="8" w:color="D0EBF2"/>
            </w:tcBorders>
            <w:shd w:val="clear" w:color="auto" w:fill="D0EBF2"/>
          </w:tcPr>
          <w:p>
            <w:pPr>
              <w:spacing w:after="0"/>
              <w:rPr>
                <w:sz w:val="12"/>
                <w:szCs w:val="12"/>
                <w:color w:val="auto"/>
              </w:rPr>
            </w:pPr>
          </w:p>
        </w:tc>
        <w:tc>
          <w:tcPr>
            <w:tcW w:w="960" w:type="dxa"/>
            <w:vAlign w:val="bottom"/>
            <w:tcBorders>
              <w:top w:val="single" w:sz="8" w:color="231F20"/>
            </w:tcBorders>
            <w:shd w:val="clear" w:color="auto" w:fill="D0EBF2"/>
          </w:tcPr>
          <w:p>
            <w:pPr>
              <w:spacing w:after="0"/>
              <w:rPr>
                <w:sz w:val="12"/>
                <w:szCs w:val="12"/>
                <w:color w:val="auto"/>
              </w:rPr>
            </w:pPr>
          </w:p>
        </w:tc>
        <w:tc>
          <w:tcPr>
            <w:tcW w:w="200" w:type="dxa"/>
            <w:vAlign w:val="bottom"/>
            <w:tcBorders>
              <w:top w:val="single" w:sz="8" w:color="D0EBF2"/>
            </w:tcBorders>
            <w:shd w:val="clear" w:color="auto" w:fill="D0EBF2"/>
          </w:tcPr>
          <w:p>
            <w:pPr>
              <w:spacing w:after="0"/>
              <w:rPr>
                <w:sz w:val="12"/>
                <w:szCs w:val="12"/>
                <w:color w:val="auto"/>
              </w:rPr>
            </w:pPr>
          </w:p>
        </w:tc>
        <w:tc>
          <w:tcPr>
            <w:tcW w:w="900" w:type="dxa"/>
            <w:vAlign w:val="bottom"/>
            <w:tcBorders>
              <w:top w:val="single" w:sz="8" w:color="231F20"/>
            </w:tcBorders>
            <w:shd w:val="clear" w:color="auto" w:fill="D0EBF2"/>
          </w:tcPr>
          <w:p>
            <w:pPr>
              <w:spacing w:after="0"/>
              <w:rPr>
                <w:sz w:val="12"/>
                <w:szCs w:val="12"/>
                <w:color w:val="auto"/>
              </w:rPr>
            </w:pPr>
          </w:p>
        </w:tc>
        <w:tc>
          <w:tcPr>
            <w:tcW w:w="240" w:type="dxa"/>
            <w:vAlign w:val="bottom"/>
            <w:tcBorders>
              <w:top w:val="single" w:sz="8" w:color="D0EBF2"/>
            </w:tcBorders>
            <w:shd w:val="clear" w:color="auto" w:fill="D0EBF2"/>
          </w:tcPr>
          <w:p>
            <w:pPr>
              <w:spacing w:after="0"/>
              <w:rPr>
                <w:sz w:val="12"/>
                <w:szCs w:val="12"/>
                <w:color w:val="auto"/>
              </w:rPr>
            </w:pPr>
          </w:p>
        </w:tc>
        <w:tc>
          <w:tcPr>
            <w:tcW w:w="0" w:type="dxa"/>
            <w:vAlign w:val="bottom"/>
          </w:tcPr>
          <w:p>
            <w:pPr>
              <w:spacing w:after="0"/>
              <w:rPr>
                <w:sz w:val="1"/>
                <w:szCs w:val="1"/>
                <w:color w:val="auto"/>
              </w:rPr>
            </w:pPr>
          </w:p>
        </w:tc>
      </w:tr>
      <w:tr>
        <w:trPr>
          <w:trHeight w:val="191"/>
        </w:trPr>
        <w:tc>
          <w:tcPr>
            <w:tcW w:w="1460" w:type="dxa"/>
            <w:vAlign w:val="bottom"/>
            <w:shd w:val="clear" w:color="auto" w:fill="D0EBF2"/>
          </w:tcPr>
          <w:p>
            <w:pPr>
              <w:spacing w:after="0"/>
              <w:rPr>
                <w:sz w:val="20"/>
                <w:szCs w:val="20"/>
                <w:color w:val="auto"/>
              </w:rPr>
            </w:pPr>
            <w:r>
              <w:rPr>
                <w:rFonts w:ascii="Times New Roman" w:cs="Times New Roman" w:eastAsia="Times New Roman" w:hAnsi="Times New Roman"/>
                <w:sz w:val="15"/>
                <w:szCs w:val="15"/>
                <w:b w:val="1"/>
                <w:bCs w:val="1"/>
                <w:color w:val="231F20"/>
              </w:rPr>
              <w:t>Leisure</w:t>
            </w:r>
          </w:p>
        </w:tc>
        <w:tc>
          <w:tcPr>
            <w:tcW w:w="2420" w:type="dxa"/>
            <w:vAlign w:val="bottom"/>
            <w:shd w:val="clear" w:color="auto" w:fill="D0EBF2"/>
          </w:tcPr>
          <w:p>
            <w:pPr>
              <w:spacing w:after="0"/>
              <w:rPr>
                <w:sz w:val="16"/>
                <w:szCs w:val="16"/>
                <w:color w:val="auto"/>
              </w:rPr>
            </w:pPr>
          </w:p>
        </w:tc>
        <w:tc>
          <w:tcPr>
            <w:tcW w:w="820" w:type="dxa"/>
            <w:vAlign w:val="bottom"/>
            <w:shd w:val="clear" w:color="auto" w:fill="D0EBF2"/>
          </w:tcPr>
          <w:p>
            <w:pPr>
              <w:spacing w:after="0"/>
              <w:rPr>
                <w:sz w:val="16"/>
                <w:szCs w:val="16"/>
                <w:color w:val="auto"/>
              </w:rPr>
            </w:pPr>
          </w:p>
        </w:tc>
        <w:tc>
          <w:tcPr>
            <w:tcW w:w="20" w:type="dxa"/>
            <w:vAlign w:val="bottom"/>
            <w:shd w:val="clear" w:color="auto" w:fill="D0EBF2"/>
          </w:tcPr>
          <w:p>
            <w:pPr>
              <w:spacing w:after="0"/>
              <w:rPr>
                <w:sz w:val="16"/>
                <w:szCs w:val="16"/>
                <w:color w:val="auto"/>
              </w:rPr>
            </w:pPr>
          </w:p>
        </w:tc>
        <w:tc>
          <w:tcPr>
            <w:tcW w:w="1060" w:type="dxa"/>
            <w:vAlign w:val="bottom"/>
            <w:shd w:val="clear" w:color="auto" w:fill="D0EBF2"/>
          </w:tcPr>
          <w:p>
            <w:pPr>
              <w:spacing w:after="0"/>
              <w:rPr>
                <w:sz w:val="16"/>
                <w:szCs w:val="16"/>
                <w:color w:val="auto"/>
              </w:rPr>
            </w:pPr>
          </w:p>
        </w:tc>
        <w:tc>
          <w:tcPr>
            <w:tcW w:w="1020" w:type="dxa"/>
            <w:vAlign w:val="bottom"/>
            <w:shd w:val="clear" w:color="auto" w:fill="D0EBF2"/>
          </w:tcPr>
          <w:p>
            <w:pPr>
              <w:spacing w:after="0"/>
              <w:rPr>
                <w:sz w:val="16"/>
                <w:szCs w:val="16"/>
                <w:color w:val="auto"/>
              </w:rPr>
            </w:pPr>
          </w:p>
        </w:tc>
        <w:tc>
          <w:tcPr>
            <w:tcW w:w="1000" w:type="dxa"/>
            <w:vAlign w:val="bottom"/>
            <w:shd w:val="clear" w:color="auto" w:fill="D0EBF2"/>
          </w:tcPr>
          <w:p>
            <w:pPr>
              <w:spacing w:after="0"/>
              <w:rPr>
                <w:sz w:val="16"/>
                <w:szCs w:val="16"/>
                <w:color w:val="auto"/>
              </w:rPr>
            </w:pPr>
          </w:p>
        </w:tc>
        <w:tc>
          <w:tcPr>
            <w:tcW w:w="180" w:type="dxa"/>
            <w:vAlign w:val="bottom"/>
            <w:shd w:val="clear" w:color="auto" w:fill="D0EBF2"/>
          </w:tcPr>
          <w:p>
            <w:pPr>
              <w:spacing w:after="0"/>
              <w:rPr>
                <w:sz w:val="16"/>
                <w:szCs w:val="16"/>
                <w:color w:val="auto"/>
              </w:rPr>
            </w:pPr>
          </w:p>
        </w:tc>
        <w:tc>
          <w:tcPr>
            <w:tcW w:w="960" w:type="dxa"/>
            <w:vAlign w:val="bottom"/>
            <w:shd w:val="clear" w:color="auto" w:fill="D0EBF2"/>
          </w:tcPr>
          <w:p>
            <w:pPr>
              <w:spacing w:after="0"/>
              <w:rPr>
                <w:sz w:val="16"/>
                <w:szCs w:val="16"/>
                <w:color w:val="auto"/>
              </w:rPr>
            </w:pPr>
          </w:p>
        </w:tc>
        <w:tc>
          <w:tcPr>
            <w:tcW w:w="200" w:type="dxa"/>
            <w:vAlign w:val="bottom"/>
            <w:shd w:val="clear" w:color="auto" w:fill="D0EBF2"/>
          </w:tcPr>
          <w:p>
            <w:pPr>
              <w:spacing w:after="0"/>
              <w:rPr>
                <w:sz w:val="16"/>
                <w:szCs w:val="16"/>
                <w:color w:val="auto"/>
              </w:rPr>
            </w:pPr>
          </w:p>
        </w:tc>
        <w:tc>
          <w:tcPr>
            <w:tcW w:w="900" w:type="dxa"/>
            <w:vAlign w:val="bottom"/>
            <w:shd w:val="clear" w:color="auto" w:fill="D0EBF2"/>
          </w:tcPr>
          <w:p>
            <w:pPr>
              <w:spacing w:after="0"/>
              <w:rPr>
                <w:sz w:val="16"/>
                <w:szCs w:val="16"/>
                <w:color w:val="auto"/>
              </w:rPr>
            </w:pPr>
          </w:p>
        </w:tc>
        <w:tc>
          <w:tcPr>
            <w:tcW w:w="240" w:type="dxa"/>
            <w:vAlign w:val="bottom"/>
            <w:shd w:val="clear" w:color="auto" w:fill="D0EBF2"/>
          </w:tcPr>
          <w:p>
            <w:pPr>
              <w:spacing w:after="0"/>
              <w:rPr>
                <w:sz w:val="16"/>
                <w:szCs w:val="16"/>
                <w:color w:val="auto"/>
              </w:rPr>
            </w:pPr>
          </w:p>
        </w:tc>
        <w:tc>
          <w:tcPr>
            <w:tcW w:w="0" w:type="dxa"/>
            <w:vAlign w:val="bottom"/>
          </w:tcPr>
          <w:p>
            <w:pPr>
              <w:spacing w:after="0"/>
              <w:rPr>
                <w:sz w:val="1"/>
                <w:szCs w:val="1"/>
                <w:color w:val="auto"/>
              </w:rPr>
            </w:pPr>
          </w:p>
        </w:tc>
      </w:tr>
      <w:tr>
        <w:trPr>
          <w:trHeight w:val="158"/>
        </w:trPr>
        <w:tc>
          <w:tcPr>
            <w:tcW w:w="1460" w:type="dxa"/>
            <w:vAlign w:val="bottom"/>
            <w:shd w:val="clear" w:color="auto" w:fill="FDFDFC"/>
          </w:tcPr>
          <w:p>
            <w:pPr>
              <w:spacing w:after="0" w:line="159" w:lineRule="exact"/>
              <w:rPr>
                <w:sz w:val="20"/>
                <w:szCs w:val="20"/>
                <w:color w:val="auto"/>
              </w:rPr>
            </w:pPr>
            <w:r>
              <w:rPr>
                <w:rFonts w:ascii="Times New Roman" w:cs="Times New Roman" w:eastAsia="Times New Roman" w:hAnsi="Times New Roman"/>
                <w:sz w:val="15"/>
                <w:szCs w:val="15"/>
                <w:color w:val="231F20"/>
              </w:rPr>
              <w:t xml:space="preserve">ASG II, LLC </w:t>
            </w:r>
            <w:r>
              <w:rPr>
                <w:rFonts w:ascii="Times New Roman" w:cs="Times New Roman" w:eastAsia="Times New Roman" w:hAnsi="Times New Roman"/>
                <w:sz w:val="9"/>
                <w:szCs w:val="9"/>
                <w:color w:val="231F20"/>
              </w:rPr>
              <w:t>(3)(5)</w:t>
            </w:r>
          </w:p>
        </w:tc>
        <w:tc>
          <w:tcPr>
            <w:tcW w:w="2420" w:type="dxa"/>
            <w:vAlign w:val="bottom"/>
            <w:shd w:val="clear" w:color="auto" w:fill="FDFDFC"/>
          </w:tcPr>
          <w:p>
            <w:pPr>
              <w:ind w:left="60"/>
              <w:spacing w:after="0" w:line="159" w:lineRule="exact"/>
              <w:rPr>
                <w:sz w:val="20"/>
                <w:szCs w:val="20"/>
                <w:color w:val="auto"/>
              </w:rPr>
            </w:pPr>
            <w:r>
              <w:rPr>
                <w:rFonts w:ascii="Times New Roman" w:cs="Times New Roman" w:eastAsia="Times New Roman" w:hAnsi="Times New Roman"/>
                <w:sz w:val="15"/>
                <w:szCs w:val="15"/>
                <w:color w:val="231F20"/>
              </w:rPr>
              <w:t>First-lien loan ($61,609 par, due</w:t>
            </w:r>
          </w:p>
        </w:tc>
        <w:tc>
          <w:tcPr>
            <w:tcW w:w="820" w:type="dxa"/>
            <w:vAlign w:val="bottom"/>
            <w:shd w:val="clear" w:color="auto" w:fill="FDFDFC"/>
          </w:tcPr>
          <w:p>
            <w:pPr>
              <w:jc w:val="right"/>
              <w:spacing w:after="0" w:line="159" w:lineRule="exact"/>
              <w:rPr>
                <w:sz w:val="20"/>
                <w:szCs w:val="20"/>
                <w:color w:val="auto"/>
              </w:rPr>
            </w:pPr>
            <w:r>
              <w:rPr>
                <w:rFonts w:ascii="Times New Roman" w:cs="Times New Roman" w:eastAsia="Times New Roman" w:hAnsi="Times New Roman"/>
                <w:sz w:val="15"/>
                <w:szCs w:val="15"/>
                <w:color w:val="231F20"/>
              </w:rPr>
              <w:t>5/25/2022</w:t>
            </w:r>
          </w:p>
        </w:tc>
        <w:tc>
          <w:tcPr>
            <w:tcW w:w="20" w:type="dxa"/>
            <w:vAlign w:val="bottom"/>
          </w:tcPr>
          <w:p>
            <w:pPr>
              <w:spacing w:after="0"/>
              <w:rPr>
                <w:sz w:val="13"/>
                <w:szCs w:val="13"/>
                <w:color w:val="auto"/>
              </w:rPr>
            </w:pPr>
          </w:p>
        </w:tc>
        <w:tc>
          <w:tcPr>
            <w:tcW w:w="1060" w:type="dxa"/>
            <w:vAlign w:val="bottom"/>
            <w:shd w:val="clear" w:color="auto" w:fill="FDFDFC"/>
          </w:tcPr>
          <w:p>
            <w:pPr>
              <w:jc w:val="right"/>
              <w:ind w:right="124"/>
              <w:spacing w:after="0" w:line="159" w:lineRule="exact"/>
              <w:rPr>
                <w:sz w:val="20"/>
                <w:szCs w:val="20"/>
                <w:color w:val="auto"/>
              </w:rPr>
            </w:pPr>
            <w:r>
              <w:rPr>
                <w:rFonts w:ascii="Times New Roman" w:cs="Times New Roman" w:eastAsia="Times New Roman" w:hAnsi="Times New Roman"/>
                <w:sz w:val="15"/>
                <w:szCs w:val="15"/>
                <w:color w:val="231F20"/>
              </w:rPr>
              <w:t>SOFR +</w:t>
            </w:r>
          </w:p>
        </w:tc>
        <w:tc>
          <w:tcPr>
            <w:tcW w:w="1020" w:type="dxa"/>
            <w:vAlign w:val="bottom"/>
            <w:shd w:val="clear" w:color="auto" w:fill="FDFDFC"/>
          </w:tcPr>
          <w:p>
            <w:pPr>
              <w:jc w:val="right"/>
              <w:ind w:right="24"/>
              <w:spacing w:after="0" w:line="159" w:lineRule="exact"/>
              <w:rPr>
                <w:sz w:val="20"/>
                <w:szCs w:val="20"/>
                <w:color w:val="auto"/>
              </w:rPr>
            </w:pPr>
            <w:r>
              <w:rPr>
                <w:rFonts w:ascii="Times New Roman" w:cs="Times New Roman" w:eastAsia="Times New Roman" w:hAnsi="Times New Roman"/>
                <w:sz w:val="15"/>
                <w:szCs w:val="15"/>
                <w:color w:val="231F20"/>
              </w:rPr>
              <w:t>11.77%</w:t>
            </w:r>
          </w:p>
        </w:tc>
        <w:tc>
          <w:tcPr>
            <w:tcW w:w="1000" w:type="dxa"/>
            <w:vAlign w:val="bottom"/>
            <w:shd w:val="clear" w:color="auto" w:fill="FDFDFC"/>
          </w:tcPr>
          <w:p>
            <w:pPr>
              <w:jc w:val="right"/>
              <w:spacing w:after="0" w:line="159" w:lineRule="exact"/>
              <w:rPr>
                <w:sz w:val="20"/>
                <w:szCs w:val="20"/>
                <w:color w:val="auto"/>
              </w:rPr>
            </w:pPr>
            <w:r>
              <w:rPr>
                <w:rFonts w:ascii="Times New Roman" w:cs="Times New Roman" w:eastAsia="Times New Roman" w:hAnsi="Times New Roman"/>
                <w:sz w:val="15"/>
                <w:szCs w:val="15"/>
                <w:color w:val="231F20"/>
              </w:rPr>
              <w:t>60,383</w:t>
            </w:r>
          </w:p>
        </w:tc>
        <w:tc>
          <w:tcPr>
            <w:tcW w:w="180" w:type="dxa"/>
            <w:vAlign w:val="bottom"/>
            <w:shd w:val="clear" w:color="auto" w:fill="FDFDFC"/>
          </w:tcPr>
          <w:p>
            <w:pPr>
              <w:spacing w:after="0"/>
              <w:rPr>
                <w:sz w:val="13"/>
                <w:szCs w:val="13"/>
                <w:color w:val="auto"/>
              </w:rPr>
            </w:pPr>
          </w:p>
        </w:tc>
        <w:tc>
          <w:tcPr>
            <w:tcW w:w="960" w:type="dxa"/>
            <w:vAlign w:val="bottom"/>
            <w:shd w:val="clear" w:color="auto" w:fill="FDFDFC"/>
          </w:tcPr>
          <w:p>
            <w:pPr>
              <w:jc w:val="right"/>
              <w:spacing w:after="0" w:line="159" w:lineRule="exact"/>
              <w:rPr>
                <w:sz w:val="20"/>
                <w:szCs w:val="20"/>
                <w:color w:val="auto"/>
              </w:rPr>
            </w:pPr>
            <w:r>
              <w:rPr>
                <w:rFonts w:ascii="Times New Roman" w:cs="Times New Roman" w:eastAsia="Times New Roman" w:hAnsi="Times New Roman"/>
                <w:sz w:val="15"/>
                <w:szCs w:val="15"/>
                <w:color w:val="231F20"/>
              </w:rPr>
              <w:t>61,934</w:t>
            </w:r>
          </w:p>
        </w:tc>
        <w:tc>
          <w:tcPr>
            <w:tcW w:w="200" w:type="dxa"/>
            <w:vAlign w:val="bottom"/>
            <w:shd w:val="clear" w:color="auto" w:fill="FDFDFC"/>
          </w:tcPr>
          <w:p>
            <w:pPr>
              <w:spacing w:after="0"/>
              <w:rPr>
                <w:sz w:val="13"/>
                <w:szCs w:val="13"/>
                <w:color w:val="auto"/>
              </w:rPr>
            </w:pPr>
          </w:p>
        </w:tc>
        <w:tc>
          <w:tcPr>
            <w:tcW w:w="1140" w:type="dxa"/>
            <w:vAlign w:val="bottom"/>
            <w:gridSpan w:val="2"/>
            <w:shd w:val="clear" w:color="auto" w:fill="FDFDFC"/>
          </w:tcPr>
          <w:p>
            <w:pPr>
              <w:jc w:val="right"/>
              <w:ind w:right="120"/>
              <w:spacing w:after="0" w:line="159" w:lineRule="exact"/>
              <w:rPr>
                <w:sz w:val="20"/>
                <w:szCs w:val="20"/>
                <w:color w:val="auto"/>
              </w:rPr>
            </w:pPr>
            <w:r>
              <w:rPr>
                <w:rFonts w:ascii="Times New Roman" w:cs="Times New Roman" w:eastAsia="Times New Roman" w:hAnsi="Times New Roman"/>
                <w:sz w:val="15"/>
                <w:szCs w:val="15"/>
                <w:color w:val="231F20"/>
              </w:rPr>
              <w:t>4.1%</w:t>
            </w:r>
          </w:p>
        </w:tc>
        <w:tc>
          <w:tcPr>
            <w:tcW w:w="0" w:type="dxa"/>
            <w:vAlign w:val="bottom"/>
          </w:tcPr>
          <w:p>
            <w:pPr>
              <w:spacing w:after="0"/>
              <w:rPr>
                <w:sz w:val="1"/>
                <w:szCs w:val="1"/>
                <w:color w:val="auto"/>
              </w:rPr>
            </w:pPr>
          </w:p>
        </w:tc>
      </w:tr>
      <w:tr>
        <w:trPr>
          <w:trHeight w:val="189"/>
        </w:trPr>
        <w:tc>
          <w:tcPr>
            <w:tcW w:w="1460" w:type="dxa"/>
            <w:vAlign w:val="bottom"/>
            <w:shd w:val="clear" w:color="auto" w:fill="FDFDFC"/>
          </w:tcPr>
          <w:p>
            <w:pPr>
              <w:spacing w:after="0"/>
              <w:rPr>
                <w:sz w:val="16"/>
                <w:szCs w:val="16"/>
                <w:color w:val="auto"/>
              </w:rPr>
            </w:pPr>
          </w:p>
        </w:tc>
        <w:tc>
          <w:tcPr>
            <w:tcW w:w="2420" w:type="dxa"/>
            <w:vAlign w:val="bottom"/>
            <w:shd w:val="clear" w:color="auto" w:fill="FDFDFC"/>
          </w:tcPr>
          <w:p>
            <w:pPr>
              <w:ind w:left="60"/>
              <w:spacing w:after="0"/>
              <w:rPr>
                <w:sz w:val="20"/>
                <w:szCs w:val="20"/>
                <w:color w:val="auto"/>
              </w:rPr>
            </w:pPr>
            <w:r>
              <w:rPr>
                <w:rFonts w:ascii="Times New Roman" w:cs="Times New Roman" w:eastAsia="Times New Roman" w:hAnsi="Times New Roman"/>
                <w:sz w:val="15"/>
                <w:szCs w:val="15"/>
                <w:color w:val="231F20"/>
              </w:rPr>
              <w:t>5/2028)</w:t>
            </w:r>
          </w:p>
        </w:tc>
        <w:tc>
          <w:tcPr>
            <w:tcW w:w="820" w:type="dxa"/>
            <w:vAlign w:val="bottom"/>
            <w:shd w:val="clear" w:color="auto" w:fill="FDFDFC"/>
          </w:tcPr>
          <w:p>
            <w:pPr>
              <w:spacing w:after="0"/>
              <w:rPr>
                <w:sz w:val="16"/>
                <w:szCs w:val="16"/>
                <w:color w:val="auto"/>
              </w:rPr>
            </w:pPr>
          </w:p>
        </w:tc>
        <w:tc>
          <w:tcPr>
            <w:tcW w:w="20" w:type="dxa"/>
            <w:vAlign w:val="bottom"/>
          </w:tcPr>
          <w:p>
            <w:pPr>
              <w:spacing w:after="0"/>
              <w:rPr>
                <w:sz w:val="16"/>
                <w:szCs w:val="16"/>
                <w:color w:val="auto"/>
              </w:rPr>
            </w:pPr>
          </w:p>
        </w:tc>
        <w:tc>
          <w:tcPr>
            <w:tcW w:w="1060" w:type="dxa"/>
            <w:vAlign w:val="bottom"/>
            <w:shd w:val="clear" w:color="auto" w:fill="FDFDFC"/>
          </w:tcPr>
          <w:p>
            <w:pPr>
              <w:jc w:val="right"/>
              <w:ind w:right="124"/>
              <w:spacing w:after="0"/>
              <w:rPr>
                <w:sz w:val="20"/>
                <w:szCs w:val="20"/>
                <w:color w:val="auto"/>
              </w:rPr>
            </w:pPr>
            <w:r>
              <w:rPr>
                <w:rFonts w:ascii="Times New Roman" w:cs="Times New Roman" w:eastAsia="Times New Roman" w:hAnsi="Times New Roman"/>
                <w:sz w:val="15"/>
                <w:szCs w:val="15"/>
                <w:color w:val="231F20"/>
              </w:rPr>
              <w:t>6.40%</w:t>
            </w:r>
          </w:p>
        </w:tc>
        <w:tc>
          <w:tcPr>
            <w:tcW w:w="1020" w:type="dxa"/>
            <w:vAlign w:val="bottom"/>
            <w:shd w:val="clear" w:color="auto" w:fill="FDFDFC"/>
          </w:tcPr>
          <w:p>
            <w:pPr>
              <w:spacing w:after="0"/>
              <w:rPr>
                <w:sz w:val="16"/>
                <w:szCs w:val="16"/>
                <w:color w:val="auto"/>
              </w:rPr>
            </w:pPr>
          </w:p>
        </w:tc>
        <w:tc>
          <w:tcPr>
            <w:tcW w:w="1000" w:type="dxa"/>
            <w:vAlign w:val="bottom"/>
            <w:shd w:val="clear" w:color="auto" w:fill="FDFDFC"/>
          </w:tcPr>
          <w:p>
            <w:pPr>
              <w:spacing w:after="0"/>
              <w:rPr>
                <w:sz w:val="16"/>
                <w:szCs w:val="16"/>
                <w:color w:val="auto"/>
              </w:rPr>
            </w:pPr>
          </w:p>
        </w:tc>
        <w:tc>
          <w:tcPr>
            <w:tcW w:w="180" w:type="dxa"/>
            <w:vAlign w:val="bottom"/>
            <w:shd w:val="clear" w:color="auto" w:fill="FDFDFC"/>
          </w:tcPr>
          <w:p>
            <w:pPr>
              <w:spacing w:after="0"/>
              <w:rPr>
                <w:sz w:val="16"/>
                <w:szCs w:val="16"/>
                <w:color w:val="auto"/>
              </w:rPr>
            </w:pPr>
          </w:p>
        </w:tc>
        <w:tc>
          <w:tcPr>
            <w:tcW w:w="960" w:type="dxa"/>
            <w:vAlign w:val="bottom"/>
            <w:shd w:val="clear" w:color="auto" w:fill="FDFDFC"/>
          </w:tcPr>
          <w:p>
            <w:pPr>
              <w:spacing w:after="0"/>
              <w:rPr>
                <w:sz w:val="16"/>
                <w:szCs w:val="16"/>
                <w:color w:val="auto"/>
              </w:rPr>
            </w:pPr>
          </w:p>
        </w:tc>
        <w:tc>
          <w:tcPr>
            <w:tcW w:w="200" w:type="dxa"/>
            <w:vAlign w:val="bottom"/>
            <w:shd w:val="clear" w:color="auto" w:fill="FDFDFC"/>
          </w:tcPr>
          <w:p>
            <w:pPr>
              <w:spacing w:after="0"/>
              <w:rPr>
                <w:sz w:val="16"/>
                <w:szCs w:val="16"/>
                <w:color w:val="auto"/>
              </w:rPr>
            </w:pPr>
          </w:p>
        </w:tc>
        <w:tc>
          <w:tcPr>
            <w:tcW w:w="900" w:type="dxa"/>
            <w:vAlign w:val="bottom"/>
            <w:shd w:val="clear" w:color="auto" w:fill="FDFDFC"/>
          </w:tcPr>
          <w:p>
            <w:pPr>
              <w:spacing w:after="0"/>
              <w:rPr>
                <w:sz w:val="16"/>
                <w:szCs w:val="16"/>
                <w:color w:val="auto"/>
              </w:rPr>
            </w:pPr>
          </w:p>
        </w:tc>
        <w:tc>
          <w:tcPr>
            <w:tcW w:w="240" w:type="dxa"/>
            <w:vAlign w:val="bottom"/>
            <w:shd w:val="clear" w:color="auto" w:fill="FDFDFC"/>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5798820</wp:posOffset>
                </wp:positionH>
                <wp:positionV relativeFrom="paragraph">
                  <wp:posOffset>-7091045</wp:posOffset>
                </wp:positionV>
                <wp:extent cx="575310" cy="109855"/>
                <wp:wrapNone/>
                <wp:docPr id="39" name="Shape 3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75310" cy="109855"/>
                        </a:xfrm>
                        <a:prstGeom prst="rect">
                          <a:avLst/>
                        </a:prstGeom>
                        <a:solidFill>
                          <a:srgbClr val="FDFDFC"/>
                        </a:solidFill>
                      </wps:spPr>
                      <wps:bodyPr/>
                    </wps:wsp>
                  </a:graphicData>
                </a:graphic>
              </wp:anchor>
            </w:drawing>
          </mc:Choice>
          <mc:Fallback>
            <w:pict>
              <v:rect id="Shape 39" o:spid="_x0000_s1064" style="position:absolute;margin-left:456.6pt;margin-top:-558.3499pt;width:45.3pt;height:8.6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FDFDFC" stroked="f"/>
            </w:pict>
          </mc:Fallback>
        </mc:AlternateContent>
        <mc:AlternateContent>
          <mc:Choice Requires="wps">
            <w:drawing>
              <wp:anchor simplePos="0" relativeHeight="251657728" behindDoc="1" locked="0" layoutInCell="0" allowOverlap="1">
                <wp:simplePos x="0" y="0"/>
                <wp:positionH relativeFrom="column">
                  <wp:posOffset>6374130</wp:posOffset>
                </wp:positionH>
                <wp:positionV relativeFrom="paragraph">
                  <wp:posOffset>-7097395</wp:posOffset>
                </wp:positionV>
                <wp:extent cx="153670" cy="116205"/>
                <wp:wrapNone/>
                <wp:docPr id="40" name="Shape 4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53670" cy="116205"/>
                        </a:xfrm>
                        <a:prstGeom prst="rect">
                          <a:avLst/>
                        </a:prstGeom>
                        <a:solidFill>
                          <a:srgbClr val="FDFDFC"/>
                        </a:solidFill>
                      </wps:spPr>
                      <wps:bodyPr/>
                    </wps:wsp>
                  </a:graphicData>
                </a:graphic>
              </wp:anchor>
            </w:drawing>
          </mc:Choice>
          <mc:Fallback>
            <w:pict>
              <v:rect id="Shape 40" o:spid="_x0000_s1065" style="position:absolute;margin-left:501.9pt;margin-top:-558.8499pt;width:12.1pt;height:9.1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FDFDFC" stroked="f"/>
            </w:pict>
          </mc:Fallback>
        </mc:AlternateContent>
        <mc:AlternateContent>
          <mc:Choice Requires="wps">
            <w:drawing>
              <wp:anchor simplePos="0" relativeHeight="251657728" behindDoc="1" locked="0" layoutInCell="0" allowOverlap="1">
                <wp:simplePos x="0" y="0"/>
                <wp:positionH relativeFrom="column">
                  <wp:posOffset>5798820</wp:posOffset>
                </wp:positionH>
                <wp:positionV relativeFrom="paragraph">
                  <wp:posOffset>-2445385</wp:posOffset>
                </wp:positionV>
                <wp:extent cx="575310" cy="110490"/>
                <wp:wrapNone/>
                <wp:docPr id="41" name="Shape 4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75310" cy="110490"/>
                        </a:xfrm>
                        <a:prstGeom prst="rect">
                          <a:avLst/>
                        </a:prstGeom>
                        <a:solidFill>
                          <a:srgbClr val="D0EBF2"/>
                        </a:solidFill>
                      </wps:spPr>
                      <wps:bodyPr/>
                    </wps:wsp>
                  </a:graphicData>
                </a:graphic>
              </wp:anchor>
            </w:drawing>
          </mc:Choice>
          <mc:Fallback>
            <w:pict>
              <v:rect id="Shape 41" o:spid="_x0000_s1066" style="position:absolute;margin-left:456.6pt;margin-top:-192.5499pt;width:45.3pt;height:8.7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0EBF2" stroked="f"/>
            </w:pict>
          </mc:Fallback>
        </mc:AlternateContent>
        <mc:AlternateContent>
          <mc:Choice Requires="wps">
            <w:drawing>
              <wp:anchor simplePos="0" relativeHeight="251657728" behindDoc="1" locked="0" layoutInCell="0" allowOverlap="1">
                <wp:simplePos x="0" y="0"/>
                <wp:positionH relativeFrom="column">
                  <wp:posOffset>6374130</wp:posOffset>
                </wp:positionH>
                <wp:positionV relativeFrom="paragraph">
                  <wp:posOffset>-2451100</wp:posOffset>
                </wp:positionV>
                <wp:extent cx="153670" cy="116205"/>
                <wp:wrapNone/>
                <wp:docPr id="42" name="Shape 4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53670" cy="116205"/>
                        </a:xfrm>
                        <a:prstGeom prst="rect">
                          <a:avLst/>
                        </a:prstGeom>
                        <a:solidFill>
                          <a:srgbClr val="D0EBF2"/>
                        </a:solidFill>
                      </wps:spPr>
                      <wps:bodyPr/>
                    </wps:wsp>
                  </a:graphicData>
                </a:graphic>
              </wp:anchor>
            </w:drawing>
          </mc:Choice>
          <mc:Fallback>
            <w:pict>
              <v:rect id="Shape 42" o:spid="_x0000_s1067" style="position:absolute;margin-left:501.9pt;margin-top:-193pt;width:12.1pt;height:9.1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0EBF2" stroked="f"/>
            </w:pict>
          </mc:Fallback>
        </mc:AlternateContent>
        <mc:AlternateContent>
          <mc:Choice Requires="wps">
            <w:drawing>
              <wp:anchor simplePos="0" relativeHeight="251657728" behindDoc="1" locked="0" layoutInCell="0" allowOverlap="1">
                <wp:simplePos x="0" y="0"/>
                <wp:positionH relativeFrom="column">
                  <wp:posOffset>5798820</wp:posOffset>
                </wp:positionH>
                <wp:positionV relativeFrom="paragraph">
                  <wp:posOffset>-557530</wp:posOffset>
                </wp:positionV>
                <wp:extent cx="575310" cy="110490"/>
                <wp:wrapNone/>
                <wp:docPr id="43" name="Shape 4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75310" cy="110490"/>
                        </a:xfrm>
                        <a:prstGeom prst="rect">
                          <a:avLst/>
                        </a:prstGeom>
                        <a:solidFill>
                          <a:srgbClr val="FDFDFC"/>
                        </a:solidFill>
                      </wps:spPr>
                      <wps:bodyPr/>
                    </wps:wsp>
                  </a:graphicData>
                </a:graphic>
              </wp:anchor>
            </w:drawing>
          </mc:Choice>
          <mc:Fallback>
            <w:pict>
              <v:rect id="Shape 43" o:spid="_x0000_s1068" style="position:absolute;margin-left:456.6pt;margin-top:-43.8999pt;width:45.3pt;height:8.7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FDFDFC" stroked="f"/>
            </w:pict>
          </mc:Fallback>
        </mc:AlternateContent>
        <mc:AlternateContent>
          <mc:Choice Requires="wps">
            <w:drawing>
              <wp:anchor simplePos="0" relativeHeight="251657728" behindDoc="1" locked="0" layoutInCell="0" allowOverlap="1">
                <wp:simplePos x="0" y="0"/>
                <wp:positionH relativeFrom="column">
                  <wp:posOffset>6374130</wp:posOffset>
                </wp:positionH>
                <wp:positionV relativeFrom="paragraph">
                  <wp:posOffset>-563245</wp:posOffset>
                </wp:positionV>
                <wp:extent cx="153670" cy="116205"/>
                <wp:wrapNone/>
                <wp:docPr id="44" name="Shape 4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53670" cy="116205"/>
                        </a:xfrm>
                        <a:prstGeom prst="rect">
                          <a:avLst/>
                        </a:prstGeom>
                        <a:solidFill>
                          <a:srgbClr val="FDFDFC"/>
                        </a:solidFill>
                      </wps:spPr>
                      <wps:bodyPr/>
                    </wps:wsp>
                  </a:graphicData>
                </a:graphic>
              </wp:anchor>
            </w:drawing>
          </mc:Choice>
          <mc:Fallback>
            <w:pict>
              <v:rect id="Shape 44" o:spid="_x0000_s1069" style="position:absolute;margin-left:501.9pt;margin-top:-44.3499pt;width:12.1pt;height:9.1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FDFDFC" stroked="f"/>
            </w:pict>
          </mc:Fallback>
        </mc:AlternateContent>
      </w:r>
    </w:p>
    <w:p>
      <w:pPr>
        <w:sectPr>
          <w:pgSz w:w="12240" w:h="15840" w:orient="portrait"/>
          <w:cols w:equalWidth="0" w:num="1">
            <w:col w:w="10280"/>
          </w:cols>
          <w:pgMar w:left="980" w:top="1317" w:right="980" w:bottom="574" w:gutter="0" w:footer="0" w:header="0"/>
        </w:sect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231F20"/>
        </w:rPr>
        <w:t>F-17</w:t>
      </w:r>
    </w:p>
    <w:p>
      <w:pPr>
        <w:sectPr>
          <w:pgSz w:w="12240" w:h="15840" w:orient="portrait"/>
          <w:cols w:equalWidth="0" w:num="1">
            <w:col w:w="10280"/>
          </w:cols>
          <w:pgMar w:left="980" w:top="1317" w:right="980" w:bottom="574" w:gutter="0" w:footer="0" w:header="0"/>
          <w:type w:val="continuous"/>
        </w:sectPr>
      </w:pPr>
    </w:p>
    <w:bookmarkStart w:id="105" w:name="page106"/>
    <w:bookmarkEnd w:id="105"/>
    <w:tbl>
      <w:tblPr>
        <w:tblLayout w:type="fixed"/>
        <w:tblInd w:w="0" w:type="dxa"/>
        <w:tblCellMar>
          <w:top w:w="0" w:type="dxa"/>
          <w:left w:w="0" w:type="dxa"/>
          <w:bottom w:w="0" w:type="dxa"/>
          <w:right w:w="0" w:type="dxa"/>
        </w:tblCellMar>
      </w:tblPr>
      <w:tr>
        <w:trPr>
          <w:trHeight w:val="172"/>
        </w:trPr>
        <w:tc>
          <w:tcPr>
            <w:tcW w:w="1440" w:type="dxa"/>
            <w:vAlign w:val="bottom"/>
            <w:shd w:val="clear" w:color="auto" w:fill="D0EBF2"/>
          </w:tcPr>
          <w:p>
            <w:pPr>
              <w:spacing w:after="0"/>
              <w:rPr>
                <w:sz w:val="20"/>
                <w:szCs w:val="20"/>
                <w:color w:val="auto"/>
              </w:rPr>
            </w:pPr>
            <w:r>
              <w:rPr>
                <w:rFonts w:ascii="Times New Roman" w:cs="Times New Roman" w:eastAsia="Times New Roman" w:hAnsi="Times New Roman"/>
                <w:sz w:val="15"/>
                <w:szCs w:val="15"/>
                <w:color w:val="231F20"/>
              </w:rPr>
              <w:t>IRGSE Holding Corp.</w:t>
            </w:r>
          </w:p>
        </w:tc>
        <w:tc>
          <w:tcPr>
            <w:tcW w:w="2480" w:type="dxa"/>
            <w:vAlign w:val="bottom"/>
            <w:shd w:val="clear" w:color="auto" w:fill="D0EBF2"/>
          </w:tcPr>
          <w:p>
            <w:pPr>
              <w:ind w:left="80"/>
              <w:spacing w:after="0"/>
              <w:rPr>
                <w:sz w:val="20"/>
                <w:szCs w:val="20"/>
                <w:color w:val="auto"/>
              </w:rPr>
            </w:pPr>
            <w:r>
              <w:rPr>
                <w:rFonts w:ascii="Times New Roman" w:cs="Times New Roman" w:eastAsia="Times New Roman" w:hAnsi="Times New Roman"/>
                <w:sz w:val="15"/>
                <w:szCs w:val="15"/>
                <w:color w:val="231F20"/>
              </w:rPr>
              <w:t>First-lien loan ($30,261 par, due</w:t>
            </w:r>
          </w:p>
        </w:tc>
        <w:tc>
          <w:tcPr>
            <w:tcW w:w="780" w:type="dxa"/>
            <w:vAlign w:val="bottom"/>
            <w:shd w:val="clear" w:color="auto" w:fill="D0EBF2"/>
          </w:tcPr>
          <w:p>
            <w:pPr>
              <w:jc w:val="right"/>
              <w:spacing w:after="0"/>
              <w:rPr>
                <w:sz w:val="20"/>
                <w:szCs w:val="20"/>
                <w:color w:val="auto"/>
              </w:rPr>
            </w:pPr>
            <w:r>
              <w:rPr>
                <w:rFonts w:ascii="Times New Roman" w:cs="Times New Roman" w:eastAsia="Times New Roman" w:hAnsi="Times New Roman"/>
                <w:sz w:val="15"/>
                <w:szCs w:val="15"/>
                <w:color w:val="231F20"/>
              </w:rPr>
              <w:t>12/21/2018</w:t>
            </w:r>
          </w:p>
        </w:tc>
        <w:tc>
          <w:tcPr>
            <w:tcW w:w="1080" w:type="dxa"/>
            <w:vAlign w:val="bottom"/>
            <w:shd w:val="clear" w:color="auto" w:fill="D0EBF2"/>
          </w:tcPr>
          <w:p>
            <w:pPr>
              <w:jc w:val="right"/>
              <w:ind w:right="124"/>
              <w:spacing w:after="0"/>
              <w:rPr>
                <w:sz w:val="20"/>
                <w:szCs w:val="20"/>
                <w:color w:val="auto"/>
              </w:rPr>
            </w:pPr>
            <w:r>
              <w:rPr>
                <w:rFonts w:ascii="Times New Roman" w:cs="Times New Roman" w:eastAsia="Times New Roman" w:hAnsi="Times New Roman"/>
                <w:sz w:val="15"/>
                <w:szCs w:val="15"/>
                <w:color w:val="231F20"/>
              </w:rPr>
              <w:t>SOFR +</w:t>
            </w:r>
          </w:p>
        </w:tc>
        <w:tc>
          <w:tcPr>
            <w:tcW w:w="1020" w:type="dxa"/>
            <w:vAlign w:val="bottom"/>
            <w:shd w:val="clear" w:color="auto" w:fill="D0EBF2"/>
          </w:tcPr>
          <w:p>
            <w:pPr>
              <w:jc w:val="right"/>
              <w:ind w:right="24"/>
              <w:spacing w:after="0"/>
              <w:rPr>
                <w:sz w:val="20"/>
                <w:szCs w:val="20"/>
                <w:color w:val="auto"/>
              </w:rPr>
            </w:pPr>
            <w:r>
              <w:rPr>
                <w:rFonts w:ascii="Times New Roman" w:cs="Times New Roman" w:eastAsia="Times New Roman" w:hAnsi="Times New Roman"/>
                <w:sz w:val="15"/>
                <w:szCs w:val="15"/>
                <w:color w:val="231F20"/>
              </w:rPr>
              <w:t>15.00%</w:t>
            </w:r>
          </w:p>
        </w:tc>
        <w:tc>
          <w:tcPr>
            <w:tcW w:w="1000" w:type="dxa"/>
            <w:vAlign w:val="bottom"/>
            <w:shd w:val="clear" w:color="auto" w:fill="D0EBF2"/>
          </w:tcPr>
          <w:p>
            <w:pPr>
              <w:jc w:val="right"/>
              <w:spacing w:after="0"/>
              <w:rPr>
                <w:sz w:val="20"/>
                <w:szCs w:val="20"/>
                <w:color w:val="auto"/>
              </w:rPr>
            </w:pPr>
            <w:r>
              <w:rPr>
                <w:rFonts w:ascii="Times New Roman" w:cs="Times New Roman" w:eastAsia="Times New Roman" w:hAnsi="Times New Roman"/>
                <w:sz w:val="15"/>
                <w:szCs w:val="15"/>
                <w:color w:val="231F20"/>
              </w:rPr>
              <w:t>28,594</w:t>
            </w:r>
          </w:p>
        </w:tc>
        <w:tc>
          <w:tcPr>
            <w:tcW w:w="1140" w:type="dxa"/>
            <w:vAlign w:val="bottom"/>
            <w:gridSpan w:val="2"/>
            <w:shd w:val="clear" w:color="auto" w:fill="D0EBF2"/>
          </w:tcPr>
          <w:p>
            <w:pPr>
              <w:jc w:val="right"/>
              <w:spacing w:after="0"/>
              <w:rPr>
                <w:sz w:val="20"/>
                <w:szCs w:val="20"/>
                <w:color w:val="auto"/>
              </w:rPr>
            </w:pPr>
            <w:r>
              <w:rPr>
                <w:rFonts w:ascii="Times New Roman" w:cs="Times New Roman" w:eastAsia="Times New Roman" w:hAnsi="Times New Roman"/>
                <w:sz w:val="15"/>
                <w:szCs w:val="15"/>
                <w:color w:val="231F20"/>
              </w:rPr>
              <w:t>30,109</w:t>
            </w:r>
          </w:p>
        </w:tc>
        <w:tc>
          <w:tcPr>
            <w:tcW w:w="1340" w:type="dxa"/>
            <w:vAlign w:val="bottom"/>
            <w:gridSpan w:val="3"/>
            <w:shd w:val="clear" w:color="auto" w:fill="D0EBF2"/>
          </w:tcPr>
          <w:p>
            <w:pPr>
              <w:jc w:val="right"/>
              <w:ind w:right="120"/>
              <w:spacing w:after="0"/>
              <w:rPr>
                <w:sz w:val="20"/>
                <w:szCs w:val="20"/>
                <w:color w:val="auto"/>
              </w:rPr>
            </w:pPr>
            <w:r>
              <w:rPr>
                <w:rFonts w:ascii="Times New Roman" w:cs="Times New Roman" w:eastAsia="Times New Roman" w:hAnsi="Times New Roman"/>
                <w:sz w:val="15"/>
                <w:szCs w:val="15"/>
                <w:color w:val="231F20"/>
              </w:rPr>
              <w:t>2.0%</w:t>
            </w:r>
          </w:p>
        </w:tc>
      </w:tr>
      <w:tr>
        <w:trPr>
          <w:trHeight w:val="189"/>
        </w:trPr>
        <w:tc>
          <w:tcPr>
            <w:tcW w:w="1440" w:type="dxa"/>
            <w:vAlign w:val="bottom"/>
            <w:shd w:val="clear" w:color="auto" w:fill="D0EBF2"/>
          </w:tcPr>
          <w:p>
            <w:pPr>
              <w:spacing w:after="0"/>
              <w:rPr>
                <w:sz w:val="20"/>
                <w:szCs w:val="20"/>
                <w:color w:val="auto"/>
              </w:rPr>
            </w:pPr>
            <w:r>
              <w:rPr>
                <w:rFonts w:ascii="Times New Roman" w:cs="Times New Roman" w:eastAsia="Times New Roman" w:hAnsi="Times New Roman"/>
                <w:sz w:val="9"/>
                <w:szCs w:val="9"/>
                <w:color w:val="231F20"/>
              </w:rPr>
              <w:t>(3)(6)</w:t>
            </w:r>
          </w:p>
        </w:tc>
        <w:tc>
          <w:tcPr>
            <w:tcW w:w="2480" w:type="dxa"/>
            <w:vAlign w:val="bottom"/>
            <w:shd w:val="clear" w:color="auto" w:fill="D0EBF2"/>
          </w:tcPr>
          <w:p>
            <w:pPr>
              <w:ind w:left="80"/>
              <w:spacing w:after="0"/>
              <w:rPr>
                <w:sz w:val="20"/>
                <w:szCs w:val="20"/>
                <w:color w:val="auto"/>
              </w:rPr>
            </w:pPr>
            <w:r>
              <w:rPr>
                <w:rFonts w:ascii="Times New Roman" w:cs="Times New Roman" w:eastAsia="Times New Roman" w:hAnsi="Times New Roman"/>
                <w:sz w:val="15"/>
                <w:szCs w:val="15"/>
                <w:color w:val="231F20"/>
              </w:rPr>
              <w:t>6/2024)</w:t>
            </w:r>
          </w:p>
        </w:tc>
        <w:tc>
          <w:tcPr>
            <w:tcW w:w="780" w:type="dxa"/>
            <w:vAlign w:val="bottom"/>
            <w:shd w:val="clear" w:color="auto" w:fill="D0EBF2"/>
          </w:tcPr>
          <w:p>
            <w:pPr>
              <w:spacing w:after="0"/>
              <w:rPr>
                <w:sz w:val="16"/>
                <w:szCs w:val="16"/>
                <w:color w:val="auto"/>
              </w:rPr>
            </w:pPr>
          </w:p>
        </w:tc>
        <w:tc>
          <w:tcPr>
            <w:tcW w:w="1080" w:type="dxa"/>
            <w:vAlign w:val="bottom"/>
            <w:shd w:val="clear" w:color="auto" w:fill="D0EBF2"/>
          </w:tcPr>
          <w:p>
            <w:pPr>
              <w:jc w:val="right"/>
              <w:ind w:right="124"/>
              <w:spacing w:after="0"/>
              <w:rPr>
                <w:sz w:val="20"/>
                <w:szCs w:val="20"/>
                <w:color w:val="auto"/>
              </w:rPr>
            </w:pPr>
            <w:r>
              <w:rPr>
                <w:rFonts w:ascii="Times New Roman" w:cs="Times New Roman" w:eastAsia="Times New Roman" w:hAnsi="Times New Roman"/>
                <w:sz w:val="15"/>
                <w:szCs w:val="15"/>
                <w:color w:val="231F20"/>
              </w:rPr>
              <w:t>9.65%</w:t>
            </w:r>
          </w:p>
        </w:tc>
        <w:tc>
          <w:tcPr>
            <w:tcW w:w="1020" w:type="dxa"/>
            <w:vAlign w:val="bottom"/>
            <w:shd w:val="clear" w:color="auto" w:fill="D0EBF2"/>
          </w:tcPr>
          <w:p>
            <w:pPr>
              <w:spacing w:after="0"/>
              <w:rPr>
                <w:sz w:val="16"/>
                <w:szCs w:val="16"/>
                <w:color w:val="auto"/>
              </w:rPr>
            </w:pPr>
          </w:p>
        </w:tc>
        <w:tc>
          <w:tcPr>
            <w:tcW w:w="1000" w:type="dxa"/>
            <w:vAlign w:val="bottom"/>
            <w:shd w:val="clear" w:color="auto" w:fill="D0EBF2"/>
          </w:tcPr>
          <w:p>
            <w:pPr>
              <w:spacing w:after="0"/>
              <w:rPr>
                <w:sz w:val="16"/>
                <w:szCs w:val="16"/>
                <w:color w:val="auto"/>
              </w:rPr>
            </w:pPr>
          </w:p>
        </w:tc>
        <w:tc>
          <w:tcPr>
            <w:tcW w:w="180" w:type="dxa"/>
            <w:vAlign w:val="bottom"/>
            <w:shd w:val="clear" w:color="auto" w:fill="D0EBF2"/>
          </w:tcPr>
          <w:p>
            <w:pPr>
              <w:spacing w:after="0"/>
              <w:rPr>
                <w:sz w:val="16"/>
                <w:szCs w:val="16"/>
                <w:color w:val="auto"/>
              </w:rPr>
            </w:pPr>
          </w:p>
        </w:tc>
        <w:tc>
          <w:tcPr>
            <w:tcW w:w="960" w:type="dxa"/>
            <w:vAlign w:val="bottom"/>
            <w:shd w:val="clear" w:color="auto" w:fill="D0EBF2"/>
          </w:tcPr>
          <w:p>
            <w:pPr>
              <w:spacing w:after="0"/>
              <w:rPr>
                <w:sz w:val="16"/>
                <w:szCs w:val="16"/>
                <w:color w:val="auto"/>
              </w:rPr>
            </w:pPr>
          </w:p>
        </w:tc>
        <w:tc>
          <w:tcPr>
            <w:tcW w:w="200" w:type="dxa"/>
            <w:vAlign w:val="bottom"/>
            <w:shd w:val="clear" w:color="auto" w:fill="D0EBF2"/>
          </w:tcPr>
          <w:p>
            <w:pPr>
              <w:spacing w:after="0"/>
              <w:rPr>
                <w:sz w:val="16"/>
                <w:szCs w:val="16"/>
                <w:color w:val="auto"/>
              </w:rPr>
            </w:pPr>
          </w:p>
        </w:tc>
        <w:tc>
          <w:tcPr>
            <w:tcW w:w="900" w:type="dxa"/>
            <w:vAlign w:val="bottom"/>
            <w:shd w:val="clear" w:color="auto" w:fill="D0EBF2"/>
          </w:tcPr>
          <w:p>
            <w:pPr>
              <w:spacing w:after="0"/>
              <w:rPr>
                <w:sz w:val="16"/>
                <w:szCs w:val="16"/>
                <w:color w:val="auto"/>
              </w:rPr>
            </w:pPr>
          </w:p>
        </w:tc>
        <w:tc>
          <w:tcPr>
            <w:tcW w:w="240" w:type="dxa"/>
            <w:vAlign w:val="bottom"/>
            <w:shd w:val="clear" w:color="auto" w:fill="D0EBF2"/>
          </w:tcPr>
          <w:p>
            <w:pPr>
              <w:spacing w:after="0"/>
              <w:rPr>
                <w:sz w:val="16"/>
                <w:szCs w:val="16"/>
                <w:color w:val="auto"/>
              </w:rPr>
            </w:pPr>
          </w:p>
        </w:tc>
      </w:tr>
      <w:tr>
        <w:trPr>
          <w:trHeight w:val="158"/>
        </w:trPr>
        <w:tc>
          <w:tcPr>
            <w:tcW w:w="1440" w:type="dxa"/>
            <w:vAlign w:val="bottom"/>
            <w:shd w:val="clear" w:color="auto" w:fill="FDFDFC"/>
          </w:tcPr>
          <w:p>
            <w:pPr>
              <w:spacing w:after="0"/>
              <w:rPr>
                <w:sz w:val="13"/>
                <w:szCs w:val="13"/>
                <w:color w:val="auto"/>
              </w:rPr>
            </w:pPr>
          </w:p>
        </w:tc>
        <w:tc>
          <w:tcPr>
            <w:tcW w:w="2480" w:type="dxa"/>
            <w:vAlign w:val="bottom"/>
            <w:shd w:val="clear" w:color="auto" w:fill="FDFDFC"/>
          </w:tcPr>
          <w:p>
            <w:pPr>
              <w:ind w:left="80"/>
              <w:spacing w:after="0" w:line="159" w:lineRule="exact"/>
              <w:rPr>
                <w:sz w:val="20"/>
                <w:szCs w:val="20"/>
                <w:color w:val="auto"/>
              </w:rPr>
            </w:pPr>
            <w:r>
              <w:rPr>
                <w:rFonts w:ascii="Times New Roman" w:cs="Times New Roman" w:eastAsia="Times New Roman" w:hAnsi="Times New Roman"/>
                <w:sz w:val="15"/>
                <w:szCs w:val="15"/>
                <w:color w:val="231F20"/>
              </w:rPr>
              <w:t>First-lien revolving loan ($27,622 par,</w:t>
            </w:r>
          </w:p>
        </w:tc>
        <w:tc>
          <w:tcPr>
            <w:tcW w:w="780" w:type="dxa"/>
            <w:vAlign w:val="bottom"/>
            <w:shd w:val="clear" w:color="auto" w:fill="FDFDFC"/>
          </w:tcPr>
          <w:p>
            <w:pPr>
              <w:jc w:val="right"/>
              <w:spacing w:after="0" w:line="159" w:lineRule="exact"/>
              <w:rPr>
                <w:sz w:val="20"/>
                <w:szCs w:val="20"/>
                <w:color w:val="auto"/>
              </w:rPr>
            </w:pPr>
            <w:r>
              <w:rPr>
                <w:rFonts w:ascii="Times New Roman" w:cs="Times New Roman" w:eastAsia="Times New Roman" w:hAnsi="Times New Roman"/>
                <w:sz w:val="15"/>
                <w:szCs w:val="15"/>
                <w:color w:val="231F20"/>
              </w:rPr>
              <w:t>12/21/2018</w:t>
            </w:r>
          </w:p>
        </w:tc>
        <w:tc>
          <w:tcPr>
            <w:tcW w:w="1080" w:type="dxa"/>
            <w:vAlign w:val="bottom"/>
            <w:shd w:val="clear" w:color="auto" w:fill="FDFDFC"/>
          </w:tcPr>
          <w:p>
            <w:pPr>
              <w:jc w:val="right"/>
              <w:ind w:right="124"/>
              <w:spacing w:after="0" w:line="159" w:lineRule="exact"/>
              <w:rPr>
                <w:sz w:val="20"/>
                <w:szCs w:val="20"/>
                <w:color w:val="auto"/>
              </w:rPr>
            </w:pPr>
            <w:r>
              <w:rPr>
                <w:rFonts w:ascii="Times New Roman" w:cs="Times New Roman" w:eastAsia="Times New Roman" w:hAnsi="Times New Roman"/>
                <w:sz w:val="15"/>
                <w:szCs w:val="15"/>
                <w:color w:val="231F20"/>
              </w:rPr>
              <w:t>SOFR</w:t>
            </w:r>
          </w:p>
        </w:tc>
        <w:tc>
          <w:tcPr>
            <w:tcW w:w="1020" w:type="dxa"/>
            <w:vAlign w:val="bottom"/>
            <w:shd w:val="clear" w:color="auto" w:fill="FDFDFC"/>
          </w:tcPr>
          <w:p>
            <w:pPr>
              <w:jc w:val="right"/>
              <w:ind w:right="24"/>
              <w:spacing w:after="0" w:line="159" w:lineRule="exact"/>
              <w:rPr>
                <w:sz w:val="20"/>
                <w:szCs w:val="20"/>
                <w:color w:val="auto"/>
              </w:rPr>
            </w:pPr>
            <w:r>
              <w:rPr>
                <w:rFonts w:ascii="Times New Roman" w:cs="Times New Roman" w:eastAsia="Times New Roman" w:hAnsi="Times New Roman"/>
                <w:sz w:val="15"/>
                <w:szCs w:val="15"/>
                <w:color w:val="231F20"/>
              </w:rPr>
              <w:t>15.03%</w:t>
            </w:r>
          </w:p>
        </w:tc>
        <w:tc>
          <w:tcPr>
            <w:tcW w:w="1000" w:type="dxa"/>
            <w:vAlign w:val="bottom"/>
            <w:shd w:val="clear" w:color="auto" w:fill="FDFDFC"/>
          </w:tcPr>
          <w:p>
            <w:pPr>
              <w:jc w:val="right"/>
              <w:spacing w:after="0" w:line="159" w:lineRule="exact"/>
              <w:rPr>
                <w:sz w:val="20"/>
                <w:szCs w:val="20"/>
                <w:color w:val="auto"/>
              </w:rPr>
            </w:pPr>
            <w:r>
              <w:rPr>
                <w:rFonts w:ascii="Times New Roman" w:cs="Times New Roman" w:eastAsia="Times New Roman" w:hAnsi="Times New Roman"/>
                <w:sz w:val="15"/>
                <w:szCs w:val="15"/>
                <w:color w:val="231F20"/>
              </w:rPr>
              <w:t>27,622</w:t>
            </w:r>
          </w:p>
        </w:tc>
        <w:tc>
          <w:tcPr>
            <w:tcW w:w="1140" w:type="dxa"/>
            <w:vAlign w:val="bottom"/>
            <w:gridSpan w:val="2"/>
            <w:shd w:val="clear" w:color="auto" w:fill="FDFDFC"/>
          </w:tcPr>
          <w:p>
            <w:pPr>
              <w:jc w:val="right"/>
              <w:spacing w:after="0" w:line="159" w:lineRule="exact"/>
              <w:rPr>
                <w:sz w:val="20"/>
                <w:szCs w:val="20"/>
                <w:color w:val="auto"/>
              </w:rPr>
            </w:pPr>
            <w:r>
              <w:rPr>
                <w:rFonts w:ascii="Times New Roman" w:cs="Times New Roman" w:eastAsia="Times New Roman" w:hAnsi="Times New Roman"/>
                <w:sz w:val="15"/>
                <w:szCs w:val="15"/>
                <w:color w:val="231F20"/>
              </w:rPr>
              <w:t>27,480</w:t>
            </w:r>
          </w:p>
        </w:tc>
        <w:tc>
          <w:tcPr>
            <w:tcW w:w="1340" w:type="dxa"/>
            <w:vAlign w:val="bottom"/>
            <w:gridSpan w:val="3"/>
            <w:shd w:val="clear" w:color="auto" w:fill="FDFDFC"/>
          </w:tcPr>
          <w:p>
            <w:pPr>
              <w:jc w:val="right"/>
              <w:ind w:right="120"/>
              <w:spacing w:after="0" w:line="159" w:lineRule="exact"/>
              <w:rPr>
                <w:sz w:val="20"/>
                <w:szCs w:val="20"/>
                <w:color w:val="auto"/>
              </w:rPr>
            </w:pPr>
            <w:r>
              <w:rPr>
                <w:rFonts w:ascii="Times New Roman" w:cs="Times New Roman" w:eastAsia="Times New Roman" w:hAnsi="Times New Roman"/>
                <w:sz w:val="15"/>
                <w:szCs w:val="15"/>
                <w:color w:val="231F20"/>
              </w:rPr>
              <w:t>1.8%</w:t>
            </w:r>
          </w:p>
        </w:tc>
      </w:tr>
      <w:tr>
        <w:trPr>
          <w:trHeight w:val="189"/>
        </w:trPr>
        <w:tc>
          <w:tcPr>
            <w:tcW w:w="1440" w:type="dxa"/>
            <w:vAlign w:val="bottom"/>
            <w:tcBorders>
              <w:bottom w:val="single" w:sz="8" w:color="D0EBF2"/>
            </w:tcBorders>
            <w:shd w:val="clear" w:color="auto" w:fill="FDFDFC"/>
          </w:tcPr>
          <w:p>
            <w:pPr>
              <w:spacing w:after="0"/>
              <w:rPr>
                <w:sz w:val="16"/>
                <w:szCs w:val="16"/>
                <w:color w:val="auto"/>
              </w:rPr>
            </w:pPr>
          </w:p>
        </w:tc>
        <w:tc>
          <w:tcPr>
            <w:tcW w:w="2480" w:type="dxa"/>
            <w:vAlign w:val="bottom"/>
            <w:tcBorders>
              <w:bottom w:val="single" w:sz="8" w:color="D0EBF2"/>
            </w:tcBorders>
            <w:shd w:val="clear" w:color="auto" w:fill="FDFDFC"/>
          </w:tcPr>
          <w:p>
            <w:pPr>
              <w:ind w:left="80"/>
              <w:spacing w:after="0"/>
              <w:rPr>
                <w:sz w:val="20"/>
                <w:szCs w:val="20"/>
                <w:color w:val="auto"/>
              </w:rPr>
            </w:pPr>
            <w:r>
              <w:rPr>
                <w:rFonts w:ascii="Times New Roman" w:cs="Times New Roman" w:eastAsia="Times New Roman" w:hAnsi="Times New Roman"/>
                <w:sz w:val="15"/>
                <w:szCs w:val="15"/>
                <w:color w:val="231F20"/>
              </w:rPr>
              <w:t>due 6/2024)</w:t>
            </w:r>
          </w:p>
        </w:tc>
        <w:tc>
          <w:tcPr>
            <w:tcW w:w="780" w:type="dxa"/>
            <w:vAlign w:val="bottom"/>
            <w:tcBorders>
              <w:bottom w:val="single" w:sz="8" w:color="D0EBF2"/>
            </w:tcBorders>
            <w:shd w:val="clear" w:color="auto" w:fill="FDFDFC"/>
          </w:tcPr>
          <w:p>
            <w:pPr>
              <w:spacing w:after="0"/>
              <w:rPr>
                <w:sz w:val="16"/>
                <w:szCs w:val="16"/>
                <w:color w:val="auto"/>
              </w:rPr>
            </w:pPr>
          </w:p>
        </w:tc>
        <w:tc>
          <w:tcPr>
            <w:tcW w:w="1080" w:type="dxa"/>
            <w:vAlign w:val="bottom"/>
            <w:tcBorders>
              <w:bottom w:val="single" w:sz="8" w:color="D0EBF2"/>
            </w:tcBorders>
            <w:shd w:val="clear" w:color="auto" w:fill="FDFDFC"/>
          </w:tcPr>
          <w:p>
            <w:pPr>
              <w:jc w:val="right"/>
              <w:ind w:right="124"/>
              <w:spacing w:after="0"/>
              <w:rPr>
                <w:sz w:val="20"/>
                <w:szCs w:val="20"/>
                <w:color w:val="auto"/>
              </w:rPr>
            </w:pPr>
            <w:r>
              <w:rPr>
                <w:rFonts w:ascii="Times New Roman" w:cs="Times New Roman" w:eastAsia="Times New Roman" w:hAnsi="Times New Roman"/>
                <w:sz w:val="15"/>
                <w:szCs w:val="15"/>
                <w:color w:val="231F20"/>
              </w:rPr>
              <w:t>+ 9.65%</w:t>
            </w:r>
          </w:p>
        </w:tc>
        <w:tc>
          <w:tcPr>
            <w:tcW w:w="1020" w:type="dxa"/>
            <w:vAlign w:val="bottom"/>
            <w:tcBorders>
              <w:bottom w:val="single" w:sz="8" w:color="D0EBF2"/>
            </w:tcBorders>
            <w:shd w:val="clear" w:color="auto" w:fill="FDFDFC"/>
          </w:tcPr>
          <w:p>
            <w:pPr>
              <w:spacing w:after="0"/>
              <w:rPr>
                <w:sz w:val="16"/>
                <w:szCs w:val="16"/>
                <w:color w:val="auto"/>
              </w:rPr>
            </w:pPr>
          </w:p>
        </w:tc>
        <w:tc>
          <w:tcPr>
            <w:tcW w:w="1000" w:type="dxa"/>
            <w:vAlign w:val="bottom"/>
            <w:tcBorders>
              <w:bottom w:val="single" w:sz="8" w:color="231F20"/>
            </w:tcBorders>
            <w:shd w:val="clear" w:color="auto" w:fill="FDFDFC"/>
          </w:tcPr>
          <w:p>
            <w:pPr>
              <w:spacing w:after="0"/>
              <w:rPr>
                <w:sz w:val="16"/>
                <w:szCs w:val="16"/>
                <w:color w:val="auto"/>
              </w:rPr>
            </w:pPr>
          </w:p>
        </w:tc>
        <w:tc>
          <w:tcPr>
            <w:tcW w:w="180" w:type="dxa"/>
            <w:vAlign w:val="bottom"/>
            <w:tcBorders>
              <w:bottom w:val="single" w:sz="8" w:color="D0EBF2"/>
            </w:tcBorders>
            <w:shd w:val="clear" w:color="auto" w:fill="FDFDFC"/>
          </w:tcPr>
          <w:p>
            <w:pPr>
              <w:spacing w:after="0"/>
              <w:rPr>
                <w:sz w:val="16"/>
                <w:szCs w:val="16"/>
                <w:color w:val="auto"/>
              </w:rPr>
            </w:pPr>
          </w:p>
        </w:tc>
        <w:tc>
          <w:tcPr>
            <w:tcW w:w="960" w:type="dxa"/>
            <w:vAlign w:val="bottom"/>
            <w:tcBorders>
              <w:bottom w:val="single" w:sz="8" w:color="231F20"/>
            </w:tcBorders>
            <w:shd w:val="clear" w:color="auto" w:fill="FDFDFC"/>
          </w:tcPr>
          <w:p>
            <w:pPr>
              <w:spacing w:after="0"/>
              <w:rPr>
                <w:sz w:val="16"/>
                <w:szCs w:val="16"/>
                <w:color w:val="auto"/>
              </w:rPr>
            </w:pPr>
          </w:p>
        </w:tc>
        <w:tc>
          <w:tcPr>
            <w:tcW w:w="200" w:type="dxa"/>
            <w:vAlign w:val="bottom"/>
            <w:tcBorders>
              <w:bottom w:val="single" w:sz="8" w:color="D0EBF2"/>
            </w:tcBorders>
            <w:shd w:val="clear" w:color="auto" w:fill="FDFDFC"/>
          </w:tcPr>
          <w:p>
            <w:pPr>
              <w:spacing w:after="0"/>
              <w:rPr>
                <w:sz w:val="16"/>
                <w:szCs w:val="16"/>
                <w:color w:val="auto"/>
              </w:rPr>
            </w:pPr>
          </w:p>
        </w:tc>
        <w:tc>
          <w:tcPr>
            <w:tcW w:w="900" w:type="dxa"/>
            <w:vAlign w:val="bottom"/>
            <w:tcBorders>
              <w:bottom w:val="single" w:sz="8" w:color="231F20"/>
            </w:tcBorders>
            <w:shd w:val="clear" w:color="auto" w:fill="FDFDFC"/>
          </w:tcPr>
          <w:p>
            <w:pPr>
              <w:spacing w:after="0"/>
              <w:rPr>
                <w:sz w:val="16"/>
                <w:szCs w:val="16"/>
                <w:color w:val="auto"/>
              </w:rPr>
            </w:pPr>
          </w:p>
        </w:tc>
        <w:tc>
          <w:tcPr>
            <w:tcW w:w="240" w:type="dxa"/>
            <w:vAlign w:val="bottom"/>
            <w:shd w:val="clear" w:color="auto" w:fill="FDFDFC"/>
          </w:tcPr>
          <w:p>
            <w:pPr>
              <w:spacing w:after="0"/>
              <w:rPr>
                <w:sz w:val="16"/>
                <w:szCs w:val="16"/>
                <w:color w:val="auto"/>
              </w:rPr>
            </w:pPr>
          </w:p>
        </w:tc>
      </w:tr>
      <w:tr>
        <w:trPr>
          <w:trHeight w:val="163"/>
        </w:trPr>
        <w:tc>
          <w:tcPr>
            <w:tcW w:w="1440" w:type="dxa"/>
            <w:vAlign w:val="bottom"/>
            <w:shd w:val="clear" w:color="auto" w:fill="D0EBF2"/>
          </w:tcPr>
          <w:p>
            <w:pPr>
              <w:spacing w:after="0"/>
              <w:rPr>
                <w:sz w:val="14"/>
                <w:szCs w:val="14"/>
                <w:color w:val="auto"/>
              </w:rPr>
            </w:pPr>
          </w:p>
        </w:tc>
        <w:tc>
          <w:tcPr>
            <w:tcW w:w="2480" w:type="dxa"/>
            <w:vAlign w:val="bottom"/>
            <w:shd w:val="clear" w:color="auto" w:fill="D0EBF2"/>
          </w:tcPr>
          <w:p>
            <w:pPr>
              <w:spacing w:after="0"/>
              <w:rPr>
                <w:sz w:val="14"/>
                <w:szCs w:val="14"/>
                <w:color w:val="auto"/>
              </w:rPr>
            </w:pPr>
          </w:p>
        </w:tc>
        <w:tc>
          <w:tcPr>
            <w:tcW w:w="780" w:type="dxa"/>
            <w:vAlign w:val="bottom"/>
            <w:shd w:val="clear" w:color="auto" w:fill="D0EBF2"/>
          </w:tcPr>
          <w:p>
            <w:pPr>
              <w:spacing w:after="0"/>
              <w:rPr>
                <w:sz w:val="14"/>
                <w:szCs w:val="14"/>
                <w:color w:val="auto"/>
              </w:rPr>
            </w:pPr>
          </w:p>
        </w:tc>
        <w:tc>
          <w:tcPr>
            <w:tcW w:w="1080" w:type="dxa"/>
            <w:vAlign w:val="bottom"/>
            <w:shd w:val="clear" w:color="auto" w:fill="D0EBF2"/>
          </w:tcPr>
          <w:p>
            <w:pPr>
              <w:spacing w:after="0"/>
              <w:rPr>
                <w:sz w:val="14"/>
                <w:szCs w:val="14"/>
                <w:color w:val="auto"/>
              </w:rPr>
            </w:pPr>
          </w:p>
        </w:tc>
        <w:tc>
          <w:tcPr>
            <w:tcW w:w="1020" w:type="dxa"/>
            <w:vAlign w:val="bottom"/>
            <w:shd w:val="clear" w:color="auto" w:fill="D0EBF2"/>
          </w:tcPr>
          <w:p>
            <w:pPr>
              <w:spacing w:after="0"/>
              <w:rPr>
                <w:sz w:val="14"/>
                <w:szCs w:val="14"/>
                <w:color w:val="auto"/>
              </w:rPr>
            </w:pPr>
          </w:p>
        </w:tc>
        <w:tc>
          <w:tcPr>
            <w:tcW w:w="1000" w:type="dxa"/>
            <w:vAlign w:val="bottom"/>
            <w:shd w:val="clear" w:color="auto" w:fill="D0EBF2"/>
          </w:tcPr>
          <w:p>
            <w:pPr>
              <w:jc w:val="right"/>
              <w:spacing w:after="0" w:line="164" w:lineRule="exact"/>
              <w:rPr>
                <w:sz w:val="20"/>
                <w:szCs w:val="20"/>
                <w:color w:val="auto"/>
              </w:rPr>
            </w:pPr>
            <w:r>
              <w:rPr>
                <w:rFonts w:ascii="Times New Roman" w:cs="Times New Roman" w:eastAsia="Times New Roman" w:hAnsi="Times New Roman"/>
                <w:sz w:val="15"/>
                <w:szCs w:val="15"/>
                <w:color w:val="231F20"/>
              </w:rPr>
              <w:t>116,599</w:t>
            </w:r>
          </w:p>
        </w:tc>
        <w:tc>
          <w:tcPr>
            <w:tcW w:w="180" w:type="dxa"/>
            <w:vAlign w:val="bottom"/>
            <w:shd w:val="clear" w:color="auto" w:fill="D0EBF2"/>
          </w:tcPr>
          <w:p>
            <w:pPr>
              <w:spacing w:after="0"/>
              <w:rPr>
                <w:sz w:val="14"/>
                <w:szCs w:val="14"/>
                <w:color w:val="auto"/>
              </w:rPr>
            </w:pPr>
          </w:p>
        </w:tc>
        <w:tc>
          <w:tcPr>
            <w:tcW w:w="960" w:type="dxa"/>
            <w:vAlign w:val="bottom"/>
            <w:shd w:val="clear" w:color="auto" w:fill="D0EBF2"/>
          </w:tcPr>
          <w:p>
            <w:pPr>
              <w:jc w:val="right"/>
              <w:spacing w:after="0" w:line="164" w:lineRule="exact"/>
              <w:rPr>
                <w:sz w:val="20"/>
                <w:szCs w:val="20"/>
                <w:color w:val="auto"/>
              </w:rPr>
            </w:pPr>
            <w:r>
              <w:rPr>
                <w:rFonts w:ascii="Times New Roman" w:cs="Times New Roman" w:eastAsia="Times New Roman" w:hAnsi="Times New Roman"/>
                <w:sz w:val="15"/>
                <w:szCs w:val="15"/>
                <w:color w:val="231F20"/>
              </w:rPr>
              <w:t>119,523</w:t>
            </w:r>
          </w:p>
        </w:tc>
        <w:tc>
          <w:tcPr>
            <w:tcW w:w="200" w:type="dxa"/>
            <w:vAlign w:val="bottom"/>
            <w:shd w:val="clear" w:color="auto" w:fill="D0EBF2"/>
          </w:tcPr>
          <w:p>
            <w:pPr>
              <w:spacing w:after="0"/>
              <w:rPr>
                <w:sz w:val="14"/>
                <w:szCs w:val="14"/>
                <w:color w:val="auto"/>
              </w:rPr>
            </w:pPr>
          </w:p>
        </w:tc>
        <w:tc>
          <w:tcPr>
            <w:tcW w:w="1140" w:type="dxa"/>
            <w:vAlign w:val="bottom"/>
            <w:gridSpan w:val="2"/>
          </w:tcPr>
          <w:p>
            <w:pPr>
              <w:jc w:val="right"/>
              <w:ind w:right="120"/>
              <w:spacing w:after="0" w:line="164" w:lineRule="exact"/>
              <w:rPr>
                <w:sz w:val="20"/>
                <w:szCs w:val="20"/>
                <w:color w:val="auto"/>
              </w:rPr>
            </w:pPr>
            <w:r>
              <w:rPr>
                <w:rFonts w:ascii="Times New Roman" w:cs="Times New Roman" w:eastAsia="Times New Roman" w:hAnsi="Times New Roman"/>
                <w:sz w:val="15"/>
                <w:szCs w:val="15"/>
                <w:color w:val="231F20"/>
              </w:rPr>
              <w:t>7.9%</w:t>
            </w:r>
          </w:p>
        </w:tc>
      </w:tr>
      <w:tr>
        <w:trPr>
          <w:trHeight w:val="146"/>
        </w:trPr>
        <w:tc>
          <w:tcPr>
            <w:tcW w:w="1440" w:type="dxa"/>
            <w:vAlign w:val="bottom"/>
            <w:tcBorders>
              <w:top w:val="single" w:sz="8" w:color="FDFDFC"/>
            </w:tcBorders>
            <w:shd w:val="clear" w:color="auto" w:fill="FDFDFC"/>
          </w:tcPr>
          <w:p>
            <w:pPr>
              <w:spacing w:after="0" w:line="146" w:lineRule="exact"/>
              <w:rPr>
                <w:sz w:val="20"/>
                <w:szCs w:val="20"/>
                <w:color w:val="auto"/>
              </w:rPr>
            </w:pPr>
            <w:r>
              <w:rPr>
                <w:rFonts w:ascii="Times New Roman" w:cs="Times New Roman" w:eastAsia="Times New Roman" w:hAnsi="Times New Roman"/>
                <w:sz w:val="15"/>
                <w:szCs w:val="15"/>
                <w:b w:val="1"/>
                <w:bCs w:val="1"/>
                <w:color w:val="231F20"/>
              </w:rPr>
              <w:t>Human Resource</w:t>
            </w:r>
          </w:p>
        </w:tc>
        <w:tc>
          <w:tcPr>
            <w:tcW w:w="2480" w:type="dxa"/>
            <w:vAlign w:val="bottom"/>
            <w:tcBorders>
              <w:top w:val="single" w:sz="8" w:color="FDFDFC"/>
            </w:tcBorders>
            <w:shd w:val="clear" w:color="auto" w:fill="FDFDFC"/>
          </w:tcPr>
          <w:p>
            <w:pPr>
              <w:spacing w:after="0"/>
              <w:rPr>
                <w:sz w:val="12"/>
                <w:szCs w:val="12"/>
                <w:color w:val="auto"/>
              </w:rPr>
            </w:pPr>
          </w:p>
        </w:tc>
        <w:tc>
          <w:tcPr>
            <w:tcW w:w="780" w:type="dxa"/>
            <w:vAlign w:val="bottom"/>
            <w:tcBorders>
              <w:top w:val="single" w:sz="8" w:color="FDFDFC"/>
            </w:tcBorders>
            <w:shd w:val="clear" w:color="auto" w:fill="FDFDFC"/>
          </w:tcPr>
          <w:p>
            <w:pPr>
              <w:spacing w:after="0"/>
              <w:rPr>
                <w:sz w:val="12"/>
                <w:szCs w:val="12"/>
                <w:color w:val="auto"/>
              </w:rPr>
            </w:pPr>
          </w:p>
        </w:tc>
        <w:tc>
          <w:tcPr>
            <w:tcW w:w="1080" w:type="dxa"/>
            <w:vAlign w:val="bottom"/>
            <w:tcBorders>
              <w:top w:val="single" w:sz="8" w:color="FDFDFC"/>
            </w:tcBorders>
            <w:shd w:val="clear" w:color="auto" w:fill="FDFDFC"/>
          </w:tcPr>
          <w:p>
            <w:pPr>
              <w:spacing w:after="0"/>
              <w:rPr>
                <w:sz w:val="12"/>
                <w:szCs w:val="12"/>
                <w:color w:val="auto"/>
              </w:rPr>
            </w:pPr>
          </w:p>
        </w:tc>
        <w:tc>
          <w:tcPr>
            <w:tcW w:w="1020" w:type="dxa"/>
            <w:vAlign w:val="bottom"/>
            <w:tcBorders>
              <w:top w:val="single" w:sz="8" w:color="FDFDFC"/>
            </w:tcBorders>
            <w:shd w:val="clear" w:color="auto" w:fill="FDFDFC"/>
          </w:tcPr>
          <w:p>
            <w:pPr>
              <w:spacing w:after="0"/>
              <w:rPr>
                <w:sz w:val="12"/>
                <w:szCs w:val="12"/>
                <w:color w:val="auto"/>
              </w:rPr>
            </w:pPr>
          </w:p>
        </w:tc>
        <w:tc>
          <w:tcPr>
            <w:tcW w:w="1000" w:type="dxa"/>
            <w:vAlign w:val="bottom"/>
            <w:tcBorders>
              <w:top w:val="single" w:sz="8" w:color="231F20"/>
            </w:tcBorders>
            <w:shd w:val="clear" w:color="auto" w:fill="FDFDFC"/>
          </w:tcPr>
          <w:p>
            <w:pPr>
              <w:spacing w:after="0"/>
              <w:rPr>
                <w:sz w:val="12"/>
                <w:szCs w:val="12"/>
                <w:color w:val="auto"/>
              </w:rPr>
            </w:pPr>
          </w:p>
        </w:tc>
        <w:tc>
          <w:tcPr>
            <w:tcW w:w="180" w:type="dxa"/>
            <w:vAlign w:val="bottom"/>
            <w:tcBorders>
              <w:top w:val="single" w:sz="8" w:color="FDFDFC"/>
            </w:tcBorders>
            <w:shd w:val="clear" w:color="auto" w:fill="FDFDFC"/>
          </w:tcPr>
          <w:p>
            <w:pPr>
              <w:spacing w:after="0"/>
              <w:rPr>
                <w:sz w:val="12"/>
                <w:szCs w:val="12"/>
                <w:color w:val="auto"/>
              </w:rPr>
            </w:pPr>
          </w:p>
        </w:tc>
        <w:tc>
          <w:tcPr>
            <w:tcW w:w="960" w:type="dxa"/>
            <w:vAlign w:val="bottom"/>
            <w:tcBorders>
              <w:top w:val="single" w:sz="8" w:color="231F20"/>
            </w:tcBorders>
            <w:shd w:val="clear" w:color="auto" w:fill="FDFDFC"/>
          </w:tcPr>
          <w:p>
            <w:pPr>
              <w:spacing w:after="0"/>
              <w:rPr>
                <w:sz w:val="12"/>
                <w:szCs w:val="12"/>
                <w:color w:val="auto"/>
              </w:rPr>
            </w:pPr>
          </w:p>
        </w:tc>
        <w:tc>
          <w:tcPr>
            <w:tcW w:w="200" w:type="dxa"/>
            <w:vAlign w:val="bottom"/>
            <w:tcBorders>
              <w:top w:val="single" w:sz="8" w:color="FDFDFC"/>
            </w:tcBorders>
            <w:shd w:val="clear" w:color="auto" w:fill="FDFDFC"/>
          </w:tcPr>
          <w:p>
            <w:pPr>
              <w:spacing w:after="0"/>
              <w:rPr>
                <w:sz w:val="12"/>
                <w:szCs w:val="12"/>
                <w:color w:val="auto"/>
              </w:rPr>
            </w:pPr>
          </w:p>
        </w:tc>
        <w:tc>
          <w:tcPr>
            <w:tcW w:w="900" w:type="dxa"/>
            <w:vAlign w:val="bottom"/>
            <w:tcBorders>
              <w:top w:val="single" w:sz="8" w:color="231F20"/>
            </w:tcBorders>
            <w:shd w:val="clear" w:color="auto" w:fill="FDFDFC"/>
          </w:tcPr>
          <w:p>
            <w:pPr>
              <w:spacing w:after="0"/>
              <w:rPr>
                <w:sz w:val="12"/>
                <w:szCs w:val="12"/>
                <w:color w:val="auto"/>
              </w:rPr>
            </w:pPr>
          </w:p>
        </w:tc>
        <w:tc>
          <w:tcPr>
            <w:tcW w:w="240" w:type="dxa"/>
            <w:vAlign w:val="bottom"/>
            <w:tcBorders>
              <w:top w:val="single" w:sz="8" w:color="FDFDFC"/>
            </w:tcBorders>
            <w:shd w:val="clear" w:color="auto" w:fill="FDFDFC"/>
          </w:tcPr>
          <w:p>
            <w:pPr>
              <w:spacing w:after="0"/>
              <w:rPr>
                <w:sz w:val="12"/>
                <w:szCs w:val="12"/>
                <w:color w:val="auto"/>
              </w:rPr>
            </w:pPr>
          </w:p>
        </w:tc>
      </w:tr>
      <w:tr>
        <w:trPr>
          <w:trHeight w:val="191"/>
        </w:trPr>
        <w:tc>
          <w:tcPr>
            <w:tcW w:w="1440" w:type="dxa"/>
            <w:vAlign w:val="bottom"/>
            <w:shd w:val="clear" w:color="auto" w:fill="FDFDFC"/>
          </w:tcPr>
          <w:p>
            <w:pPr>
              <w:spacing w:after="0"/>
              <w:rPr>
                <w:sz w:val="20"/>
                <w:szCs w:val="20"/>
                <w:color w:val="auto"/>
              </w:rPr>
            </w:pPr>
            <w:r>
              <w:rPr>
                <w:rFonts w:ascii="Times New Roman" w:cs="Times New Roman" w:eastAsia="Times New Roman" w:hAnsi="Times New Roman"/>
                <w:sz w:val="15"/>
                <w:szCs w:val="15"/>
                <w:b w:val="1"/>
                <w:bCs w:val="1"/>
                <w:color w:val="231F20"/>
              </w:rPr>
              <w:t>Support Services</w:t>
            </w:r>
          </w:p>
        </w:tc>
        <w:tc>
          <w:tcPr>
            <w:tcW w:w="2480" w:type="dxa"/>
            <w:vAlign w:val="bottom"/>
            <w:shd w:val="clear" w:color="auto" w:fill="FDFDFC"/>
          </w:tcPr>
          <w:p>
            <w:pPr>
              <w:spacing w:after="0"/>
              <w:rPr>
                <w:sz w:val="16"/>
                <w:szCs w:val="16"/>
                <w:color w:val="auto"/>
              </w:rPr>
            </w:pPr>
          </w:p>
        </w:tc>
        <w:tc>
          <w:tcPr>
            <w:tcW w:w="780" w:type="dxa"/>
            <w:vAlign w:val="bottom"/>
            <w:shd w:val="clear" w:color="auto" w:fill="FDFDFC"/>
          </w:tcPr>
          <w:p>
            <w:pPr>
              <w:spacing w:after="0"/>
              <w:rPr>
                <w:sz w:val="16"/>
                <w:szCs w:val="16"/>
                <w:color w:val="auto"/>
              </w:rPr>
            </w:pPr>
          </w:p>
        </w:tc>
        <w:tc>
          <w:tcPr>
            <w:tcW w:w="1080" w:type="dxa"/>
            <w:vAlign w:val="bottom"/>
            <w:shd w:val="clear" w:color="auto" w:fill="FDFDFC"/>
          </w:tcPr>
          <w:p>
            <w:pPr>
              <w:spacing w:after="0"/>
              <w:rPr>
                <w:sz w:val="16"/>
                <w:szCs w:val="16"/>
                <w:color w:val="auto"/>
              </w:rPr>
            </w:pPr>
          </w:p>
        </w:tc>
        <w:tc>
          <w:tcPr>
            <w:tcW w:w="1020" w:type="dxa"/>
            <w:vAlign w:val="bottom"/>
            <w:shd w:val="clear" w:color="auto" w:fill="FDFDFC"/>
          </w:tcPr>
          <w:p>
            <w:pPr>
              <w:spacing w:after="0"/>
              <w:rPr>
                <w:sz w:val="16"/>
                <w:szCs w:val="16"/>
                <w:color w:val="auto"/>
              </w:rPr>
            </w:pPr>
          </w:p>
        </w:tc>
        <w:tc>
          <w:tcPr>
            <w:tcW w:w="1000" w:type="dxa"/>
            <w:vAlign w:val="bottom"/>
            <w:shd w:val="clear" w:color="auto" w:fill="FDFDFC"/>
          </w:tcPr>
          <w:p>
            <w:pPr>
              <w:spacing w:after="0"/>
              <w:rPr>
                <w:sz w:val="16"/>
                <w:szCs w:val="16"/>
                <w:color w:val="auto"/>
              </w:rPr>
            </w:pPr>
          </w:p>
        </w:tc>
        <w:tc>
          <w:tcPr>
            <w:tcW w:w="180" w:type="dxa"/>
            <w:vAlign w:val="bottom"/>
            <w:shd w:val="clear" w:color="auto" w:fill="FDFDFC"/>
          </w:tcPr>
          <w:p>
            <w:pPr>
              <w:spacing w:after="0"/>
              <w:rPr>
                <w:sz w:val="16"/>
                <w:szCs w:val="16"/>
                <w:color w:val="auto"/>
              </w:rPr>
            </w:pPr>
          </w:p>
        </w:tc>
        <w:tc>
          <w:tcPr>
            <w:tcW w:w="960" w:type="dxa"/>
            <w:vAlign w:val="bottom"/>
            <w:shd w:val="clear" w:color="auto" w:fill="FDFDFC"/>
          </w:tcPr>
          <w:p>
            <w:pPr>
              <w:spacing w:after="0"/>
              <w:rPr>
                <w:sz w:val="16"/>
                <w:szCs w:val="16"/>
                <w:color w:val="auto"/>
              </w:rPr>
            </w:pPr>
          </w:p>
        </w:tc>
        <w:tc>
          <w:tcPr>
            <w:tcW w:w="200" w:type="dxa"/>
            <w:vAlign w:val="bottom"/>
            <w:shd w:val="clear" w:color="auto" w:fill="FDFDFC"/>
          </w:tcPr>
          <w:p>
            <w:pPr>
              <w:spacing w:after="0"/>
              <w:rPr>
                <w:sz w:val="16"/>
                <w:szCs w:val="16"/>
                <w:color w:val="auto"/>
              </w:rPr>
            </w:pPr>
          </w:p>
        </w:tc>
        <w:tc>
          <w:tcPr>
            <w:tcW w:w="900" w:type="dxa"/>
            <w:vAlign w:val="bottom"/>
            <w:shd w:val="clear" w:color="auto" w:fill="FDFDFC"/>
          </w:tcPr>
          <w:p>
            <w:pPr>
              <w:spacing w:after="0"/>
              <w:rPr>
                <w:sz w:val="16"/>
                <w:szCs w:val="16"/>
                <w:color w:val="auto"/>
              </w:rPr>
            </w:pPr>
          </w:p>
        </w:tc>
        <w:tc>
          <w:tcPr>
            <w:tcW w:w="240" w:type="dxa"/>
            <w:vAlign w:val="bottom"/>
            <w:shd w:val="clear" w:color="auto" w:fill="FDFDFC"/>
          </w:tcPr>
          <w:p>
            <w:pPr>
              <w:spacing w:after="0"/>
              <w:rPr>
                <w:sz w:val="16"/>
                <w:szCs w:val="16"/>
                <w:color w:val="auto"/>
              </w:rPr>
            </w:pPr>
          </w:p>
        </w:tc>
      </w:tr>
      <w:tr>
        <w:trPr>
          <w:trHeight w:val="158"/>
        </w:trPr>
        <w:tc>
          <w:tcPr>
            <w:tcW w:w="1440" w:type="dxa"/>
            <w:vAlign w:val="bottom"/>
            <w:shd w:val="clear" w:color="auto" w:fill="D0EBF2"/>
          </w:tcPr>
          <w:p>
            <w:pPr>
              <w:spacing w:after="0" w:line="159" w:lineRule="exact"/>
              <w:rPr>
                <w:sz w:val="20"/>
                <w:szCs w:val="20"/>
                <w:color w:val="auto"/>
              </w:rPr>
            </w:pPr>
            <w:r>
              <w:rPr>
                <w:rFonts w:ascii="Times New Roman" w:cs="Times New Roman" w:eastAsia="Times New Roman" w:hAnsi="Times New Roman"/>
                <w:sz w:val="15"/>
                <w:szCs w:val="15"/>
                <w:color w:val="231F20"/>
              </w:rPr>
              <w:t xml:space="preserve">Axonify, Inc. </w:t>
            </w:r>
            <w:r>
              <w:rPr>
                <w:rFonts w:ascii="Times New Roman" w:cs="Times New Roman" w:eastAsia="Times New Roman" w:hAnsi="Times New Roman"/>
                <w:sz w:val="9"/>
                <w:szCs w:val="9"/>
                <w:color w:val="231F20"/>
              </w:rPr>
              <w:t>(3)(4)(5)</w:t>
            </w:r>
          </w:p>
        </w:tc>
        <w:tc>
          <w:tcPr>
            <w:tcW w:w="2480" w:type="dxa"/>
            <w:vAlign w:val="bottom"/>
            <w:shd w:val="clear" w:color="auto" w:fill="D0EBF2"/>
          </w:tcPr>
          <w:p>
            <w:pPr>
              <w:ind w:left="80"/>
              <w:spacing w:after="0" w:line="159" w:lineRule="exact"/>
              <w:rPr>
                <w:sz w:val="20"/>
                <w:szCs w:val="20"/>
                <w:color w:val="auto"/>
              </w:rPr>
            </w:pPr>
            <w:r>
              <w:rPr>
                <w:rFonts w:ascii="Times New Roman" w:cs="Times New Roman" w:eastAsia="Times New Roman" w:hAnsi="Times New Roman"/>
                <w:sz w:val="15"/>
                <w:szCs w:val="15"/>
                <w:color w:val="231F20"/>
              </w:rPr>
              <w:t>First-lien loan ($41,607 par, due</w:t>
            </w:r>
          </w:p>
        </w:tc>
        <w:tc>
          <w:tcPr>
            <w:tcW w:w="780" w:type="dxa"/>
            <w:vAlign w:val="bottom"/>
            <w:shd w:val="clear" w:color="auto" w:fill="D0EBF2"/>
          </w:tcPr>
          <w:p>
            <w:pPr>
              <w:jc w:val="right"/>
              <w:spacing w:after="0" w:line="159" w:lineRule="exact"/>
              <w:rPr>
                <w:sz w:val="20"/>
                <w:szCs w:val="20"/>
                <w:color w:val="auto"/>
              </w:rPr>
            </w:pPr>
            <w:r>
              <w:rPr>
                <w:rFonts w:ascii="Times New Roman" w:cs="Times New Roman" w:eastAsia="Times New Roman" w:hAnsi="Times New Roman"/>
                <w:sz w:val="15"/>
                <w:szCs w:val="15"/>
                <w:color w:val="231F20"/>
              </w:rPr>
              <w:t>5/5/2021</w:t>
            </w:r>
          </w:p>
        </w:tc>
        <w:tc>
          <w:tcPr>
            <w:tcW w:w="1080" w:type="dxa"/>
            <w:vAlign w:val="bottom"/>
            <w:shd w:val="clear" w:color="auto" w:fill="D0EBF2"/>
          </w:tcPr>
          <w:p>
            <w:pPr>
              <w:jc w:val="right"/>
              <w:ind w:right="124"/>
              <w:spacing w:after="0" w:line="159" w:lineRule="exact"/>
              <w:rPr>
                <w:sz w:val="20"/>
                <w:szCs w:val="20"/>
                <w:color w:val="auto"/>
              </w:rPr>
            </w:pPr>
            <w:r>
              <w:rPr>
                <w:rFonts w:ascii="Times New Roman" w:cs="Times New Roman" w:eastAsia="Times New Roman" w:hAnsi="Times New Roman"/>
                <w:sz w:val="15"/>
                <w:szCs w:val="15"/>
                <w:color w:val="231F20"/>
              </w:rPr>
              <w:t>SOFR +</w:t>
            </w:r>
          </w:p>
        </w:tc>
        <w:tc>
          <w:tcPr>
            <w:tcW w:w="1020" w:type="dxa"/>
            <w:vAlign w:val="bottom"/>
            <w:shd w:val="clear" w:color="auto" w:fill="D0EBF2"/>
          </w:tcPr>
          <w:p>
            <w:pPr>
              <w:jc w:val="right"/>
              <w:ind w:right="24"/>
              <w:spacing w:after="0" w:line="159" w:lineRule="exact"/>
              <w:rPr>
                <w:sz w:val="20"/>
                <w:szCs w:val="20"/>
                <w:color w:val="auto"/>
              </w:rPr>
            </w:pPr>
            <w:r>
              <w:rPr>
                <w:rFonts w:ascii="Times New Roman" w:cs="Times New Roman" w:eastAsia="Times New Roman" w:hAnsi="Times New Roman"/>
                <w:sz w:val="15"/>
                <w:szCs w:val="15"/>
                <w:color w:val="231F20"/>
              </w:rPr>
              <w:t>13.04%</w:t>
            </w:r>
          </w:p>
        </w:tc>
        <w:tc>
          <w:tcPr>
            <w:tcW w:w="1000" w:type="dxa"/>
            <w:vAlign w:val="bottom"/>
            <w:shd w:val="clear" w:color="auto" w:fill="D0EBF2"/>
          </w:tcPr>
          <w:p>
            <w:pPr>
              <w:jc w:val="right"/>
              <w:spacing w:after="0" w:line="159" w:lineRule="exact"/>
              <w:rPr>
                <w:sz w:val="20"/>
                <w:szCs w:val="20"/>
                <w:color w:val="auto"/>
              </w:rPr>
            </w:pPr>
            <w:r>
              <w:rPr>
                <w:rFonts w:ascii="Times New Roman" w:cs="Times New Roman" w:eastAsia="Times New Roman" w:hAnsi="Times New Roman"/>
                <w:sz w:val="15"/>
                <w:szCs w:val="15"/>
                <w:color w:val="231F20"/>
              </w:rPr>
              <w:t>41,035</w:t>
            </w:r>
          </w:p>
        </w:tc>
        <w:tc>
          <w:tcPr>
            <w:tcW w:w="180" w:type="dxa"/>
            <w:vAlign w:val="bottom"/>
            <w:shd w:val="clear" w:color="auto" w:fill="D0EBF2"/>
          </w:tcPr>
          <w:p>
            <w:pPr>
              <w:spacing w:after="0"/>
              <w:rPr>
                <w:sz w:val="13"/>
                <w:szCs w:val="13"/>
                <w:color w:val="auto"/>
              </w:rPr>
            </w:pPr>
          </w:p>
        </w:tc>
        <w:tc>
          <w:tcPr>
            <w:tcW w:w="960" w:type="dxa"/>
            <w:vAlign w:val="bottom"/>
            <w:shd w:val="clear" w:color="auto" w:fill="D0EBF2"/>
          </w:tcPr>
          <w:p>
            <w:pPr>
              <w:jc w:val="right"/>
              <w:spacing w:after="0" w:line="159" w:lineRule="exact"/>
              <w:rPr>
                <w:sz w:val="20"/>
                <w:szCs w:val="20"/>
                <w:color w:val="auto"/>
              </w:rPr>
            </w:pPr>
            <w:r>
              <w:rPr>
                <w:rFonts w:ascii="Times New Roman" w:cs="Times New Roman" w:eastAsia="Times New Roman" w:hAnsi="Times New Roman"/>
                <w:sz w:val="15"/>
                <w:szCs w:val="15"/>
                <w:color w:val="231F20"/>
              </w:rPr>
              <w:t>41,718</w:t>
            </w:r>
          </w:p>
        </w:tc>
        <w:tc>
          <w:tcPr>
            <w:tcW w:w="200" w:type="dxa"/>
            <w:vAlign w:val="bottom"/>
            <w:shd w:val="clear" w:color="auto" w:fill="D0EBF2"/>
          </w:tcPr>
          <w:p>
            <w:pPr>
              <w:spacing w:after="0"/>
              <w:rPr>
                <w:sz w:val="13"/>
                <w:szCs w:val="13"/>
                <w:color w:val="auto"/>
              </w:rPr>
            </w:pPr>
          </w:p>
        </w:tc>
        <w:tc>
          <w:tcPr>
            <w:tcW w:w="1140" w:type="dxa"/>
            <w:vAlign w:val="bottom"/>
            <w:gridSpan w:val="2"/>
            <w:shd w:val="clear" w:color="auto" w:fill="D0EBF2"/>
          </w:tcPr>
          <w:p>
            <w:pPr>
              <w:jc w:val="right"/>
              <w:ind w:right="120"/>
              <w:spacing w:after="0" w:line="159" w:lineRule="exact"/>
              <w:rPr>
                <w:sz w:val="20"/>
                <w:szCs w:val="20"/>
                <w:color w:val="auto"/>
              </w:rPr>
            </w:pPr>
            <w:r>
              <w:rPr>
                <w:rFonts w:ascii="Times New Roman" w:cs="Times New Roman" w:eastAsia="Times New Roman" w:hAnsi="Times New Roman"/>
                <w:sz w:val="15"/>
                <w:szCs w:val="15"/>
                <w:color w:val="231F20"/>
              </w:rPr>
              <w:t>2.7%</w:t>
            </w:r>
          </w:p>
        </w:tc>
      </w:tr>
      <w:tr>
        <w:trPr>
          <w:trHeight w:val="189"/>
        </w:trPr>
        <w:tc>
          <w:tcPr>
            <w:tcW w:w="1440" w:type="dxa"/>
            <w:vAlign w:val="bottom"/>
            <w:shd w:val="clear" w:color="auto" w:fill="D0EBF2"/>
          </w:tcPr>
          <w:p>
            <w:pPr>
              <w:spacing w:after="0"/>
              <w:rPr>
                <w:sz w:val="16"/>
                <w:szCs w:val="16"/>
                <w:color w:val="auto"/>
              </w:rPr>
            </w:pPr>
          </w:p>
        </w:tc>
        <w:tc>
          <w:tcPr>
            <w:tcW w:w="2480" w:type="dxa"/>
            <w:vAlign w:val="bottom"/>
            <w:shd w:val="clear" w:color="auto" w:fill="D0EBF2"/>
          </w:tcPr>
          <w:p>
            <w:pPr>
              <w:ind w:left="80"/>
              <w:spacing w:after="0"/>
              <w:rPr>
                <w:sz w:val="20"/>
                <w:szCs w:val="20"/>
                <w:color w:val="auto"/>
              </w:rPr>
            </w:pPr>
            <w:r>
              <w:rPr>
                <w:rFonts w:ascii="Times New Roman" w:cs="Times New Roman" w:eastAsia="Times New Roman" w:hAnsi="Times New Roman"/>
                <w:sz w:val="15"/>
                <w:szCs w:val="15"/>
                <w:color w:val="231F20"/>
              </w:rPr>
              <w:t>5/2027)</w:t>
            </w:r>
          </w:p>
        </w:tc>
        <w:tc>
          <w:tcPr>
            <w:tcW w:w="780" w:type="dxa"/>
            <w:vAlign w:val="bottom"/>
            <w:shd w:val="clear" w:color="auto" w:fill="D0EBF2"/>
          </w:tcPr>
          <w:p>
            <w:pPr>
              <w:spacing w:after="0"/>
              <w:rPr>
                <w:sz w:val="16"/>
                <w:szCs w:val="16"/>
                <w:color w:val="auto"/>
              </w:rPr>
            </w:pPr>
          </w:p>
        </w:tc>
        <w:tc>
          <w:tcPr>
            <w:tcW w:w="1080" w:type="dxa"/>
            <w:vAlign w:val="bottom"/>
            <w:shd w:val="clear" w:color="auto" w:fill="D0EBF2"/>
          </w:tcPr>
          <w:p>
            <w:pPr>
              <w:jc w:val="right"/>
              <w:ind w:right="124"/>
              <w:spacing w:after="0"/>
              <w:rPr>
                <w:sz w:val="20"/>
                <w:szCs w:val="20"/>
                <w:color w:val="auto"/>
              </w:rPr>
            </w:pPr>
            <w:r>
              <w:rPr>
                <w:rFonts w:ascii="Times New Roman" w:cs="Times New Roman" w:eastAsia="Times New Roman" w:hAnsi="Times New Roman"/>
                <w:sz w:val="15"/>
                <w:szCs w:val="15"/>
                <w:color w:val="231F20"/>
              </w:rPr>
              <w:t>7.65%</w:t>
            </w:r>
          </w:p>
        </w:tc>
        <w:tc>
          <w:tcPr>
            <w:tcW w:w="1020" w:type="dxa"/>
            <w:vAlign w:val="bottom"/>
            <w:shd w:val="clear" w:color="auto" w:fill="D0EBF2"/>
          </w:tcPr>
          <w:p>
            <w:pPr>
              <w:spacing w:after="0"/>
              <w:rPr>
                <w:sz w:val="16"/>
                <w:szCs w:val="16"/>
                <w:color w:val="auto"/>
              </w:rPr>
            </w:pPr>
          </w:p>
        </w:tc>
        <w:tc>
          <w:tcPr>
            <w:tcW w:w="1000" w:type="dxa"/>
            <w:vAlign w:val="bottom"/>
            <w:shd w:val="clear" w:color="auto" w:fill="D0EBF2"/>
          </w:tcPr>
          <w:p>
            <w:pPr>
              <w:spacing w:after="0"/>
              <w:rPr>
                <w:sz w:val="16"/>
                <w:szCs w:val="16"/>
                <w:color w:val="auto"/>
              </w:rPr>
            </w:pPr>
          </w:p>
        </w:tc>
        <w:tc>
          <w:tcPr>
            <w:tcW w:w="180" w:type="dxa"/>
            <w:vAlign w:val="bottom"/>
            <w:shd w:val="clear" w:color="auto" w:fill="D0EBF2"/>
          </w:tcPr>
          <w:p>
            <w:pPr>
              <w:spacing w:after="0"/>
              <w:rPr>
                <w:sz w:val="16"/>
                <w:szCs w:val="16"/>
                <w:color w:val="auto"/>
              </w:rPr>
            </w:pPr>
          </w:p>
        </w:tc>
        <w:tc>
          <w:tcPr>
            <w:tcW w:w="960" w:type="dxa"/>
            <w:vAlign w:val="bottom"/>
            <w:shd w:val="clear" w:color="auto" w:fill="D0EBF2"/>
          </w:tcPr>
          <w:p>
            <w:pPr>
              <w:spacing w:after="0"/>
              <w:rPr>
                <w:sz w:val="16"/>
                <w:szCs w:val="16"/>
                <w:color w:val="auto"/>
              </w:rPr>
            </w:pPr>
          </w:p>
        </w:tc>
        <w:tc>
          <w:tcPr>
            <w:tcW w:w="200" w:type="dxa"/>
            <w:vAlign w:val="bottom"/>
            <w:shd w:val="clear" w:color="auto" w:fill="D0EBF2"/>
          </w:tcPr>
          <w:p>
            <w:pPr>
              <w:spacing w:after="0"/>
              <w:rPr>
                <w:sz w:val="16"/>
                <w:szCs w:val="16"/>
                <w:color w:val="auto"/>
              </w:rPr>
            </w:pPr>
          </w:p>
        </w:tc>
        <w:tc>
          <w:tcPr>
            <w:tcW w:w="900" w:type="dxa"/>
            <w:vAlign w:val="bottom"/>
            <w:shd w:val="clear" w:color="auto" w:fill="D0EBF2"/>
          </w:tcPr>
          <w:p>
            <w:pPr>
              <w:spacing w:after="0"/>
              <w:rPr>
                <w:sz w:val="16"/>
                <w:szCs w:val="16"/>
                <w:color w:val="auto"/>
              </w:rPr>
            </w:pPr>
          </w:p>
        </w:tc>
        <w:tc>
          <w:tcPr>
            <w:tcW w:w="240" w:type="dxa"/>
            <w:vAlign w:val="bottom"/>
            <w:shd w:val="clear" w:color="auto" w:fill="D0EBF2"/>
          </w:tcPr>
          <w:p>
            <w:pPr>
              <w:spacing w:after="0"/>
              <w:rPr>
                <w:sz w:val="16"/>
                <w:szCs w:val="16"/>
                <w:color w:val="auto"/>
              </w:rPr>
            </w:pPr>
          </w:p>
        </w:tc>
      </w:tr>
      <w:tr>
        <w:trPr>
          <w:trHeight w:val="158"/>
        </w:trPr>
        <w:tc>
          <w:tcPr>
            <w:tcW w:w="1440" w:type="dxa"/>
            <w:vAlign w:val="bottom"/>
            <w:shd w:val="clear" w:color="auto" w:fill="FDFDFC"/>
          </w:tcPr>
          <w:p>
            <w:pPr>
              <w:spacing w:after="0" w:line="159" w:lineRule="exact"/>
              <w:rPr>
                <w:sz w:val="20"/>
                <w:szCs w:val="20"/>
                <w:color w:val="auto"/>
              </w:rPr>
            </w:pPr>
            <w:r>
              <w:rPr>
                <w:rFonts w:ascii="Times New Roman" w:cs="Times New Roman" w:eastAsia="Times New Roman" w:hAnsi="Times New Roman"/>
                <w:sz w:val="15"/>
                <w:szCs w:val="15"/>
                <w:color w:val="231F20"/>
              </w:rPr>
              <w:t xml:space="preserve">bswift, LLC </w:t>
            </w:r>
            <w:r>
              <w:rPr>
                <w:rFonts w:ascii="Times New Roman" w:cs="Times New Roman" w:eastAsia="Times New Roman" w:hAnsi="Times New Roman"/>
                <w:sz w:val="9"/>
                <w:szCs w:val="9"/>
                <w:color w:val="231F20"/>
              </w:rPr>
              <w:t>(3)(5)</w:t>
            </w:r>
          </w:p>
        </w:tc>
        <w:tc>
          <w:tcPr>
            <w:tcW w:w="2480" w:type="dxa"/>
            <w:vAlign w:val="bottom"/>
            <w:shd w:val="clear" w:color="auto" w:fill="FDFDFC"/>
          </w:tcPr>
          <w:p>
            <w:pPr>
              <w:ind w:left="80"/>
              <w:spacing w:after="0" w:line="159" w:lineRule="exact"/>
              <w:rPr>
                <w:sz w:val="20"/>
                <w:szCs w:val="20"/>
                <w:color w:val="auto"/>
              </w:rPr>
            </w:pPr>
            <w:r>
              <w:rPr>
                <w:rFonts w:ascii="Times New Roman" w:cs="Times New Roman" w:eastAsia="Times New Roman" w:hAnsi="Times New Roman"/>
                <w:sz w:val="15"/>
                <w:szCs w:val="15"/>
                <w:color w:val="231F20"/>
              </w:rPr>
              <w:t>First-lien loan ($44,358 par, due</w:t>
            </w:r>
          </w:p>
        </w:tc>
        <w:tc>
          <w:tcPr>
            <w:tcW w:w="780" w:type="dxa"/>
            <w:vAlign w:val="bottom"/>
            <w:shd w:val="clear" w:color="auto" w:fill="FDFDFC"/>
          </w:tcPr>
          <w:p>
            <w:pPr>
              <w:jc w:val="right"/>
              <w:spacing w:after="0" w:line="159" w:lineRule="exact"/>
              <w:rPr>
                <w:sz w:val="20"/>
                <w:szCs w:val="20"/>
                <w:color w:val="auto"/>
              </w:rPr>
            </w:pPr>
            <w:r>
              <w:rPr>
                <w:rFonts w:ascii="Times New Roman" w:cs="Times New Roman" w:eastAsia="Times New Roman" w:hAnsi="Times New Roman"/>
                <w:sz w:val="15"/>
                <w:szCs w:val="15"/>
                <w:color w:val="231F20"/>
              </w:rPr>
              <w:t>11/7/2022</w:t>
            </w:r>
          </w:p>
        </w:tc>
        <w:tc>
          <w:tcPr>
            <w:tcW w:w="1080" w:type="dxa"/>
            <w:vAlign w:val="bottom"/>
            <w:shd w:val="clear" w:color="auto" w:fill="FDFDFC"/>
          </w:tcPr>
          <w:p>
            <w:pPr>
              <w:jc w:val="right"/>
              <w:ind w:right="124"/>
              <w:spacing w:after="0" w:line="159" w:lineRule="exact"/>
              <w:rPr>
                <w:sz w:val="20"/>
                <w:szCs w:val="20"/>
                <w:color w:val="auto"/>
              </w:rPr>
            </w:pPr>
            <w:r>
              <w:rPr>
                <w:rFonts w:ascii="Times New Roman" w:cs="Times New Roman" w:eastAsia="Times New Roman" w:hAnsi="Times New Roman"/>
                <w:sz w:val="15"/>
                <w:szCs w:val="15"/>
                <w:color w:val="231F20"/>
              </w:rPr>
              <w:t>SOFR +</w:t>
            </w:r>
          </w:p>
        </w:tc>
        <w:tc>
          <w:tcPr>
            <w:tcW w:w="1020" w:type="dxa"/>
            <w:vAlign w:val="bottom"/>
            <w:shd w:val="clear" w:color="auto" w:fill="FDFDFC"/>
          </w:tcPr>
          <w:p>
            <w:pPr>
              <w:jc w:val="right"/>
              <w:ind w:right="24"/>
              <w:spacing w:after="0" w:line="159" w:lineRule="exact"/>
              <w:rPr>
                <w:sz w:val="20"/>
                <w:szCs w:val="20"/>
                <w:color w:val="auto"/>
              </w:rPr>
            </w:pPr>
            <w:r>
              <w:rPr>
                <w:rFonts w:ascii="Times New Roman" w:cs="Times New Roman" w:eastAsia="Times New Roman" w:hAnsi="Times New Roman"/>
                <w:sz w:val="15"/>
                <w:szCs w:val="15"/>
                <w:color w:val="231F20"/>
              </w:rPr>
              <w:t>12.03%</w:t>
            </w:r>
          </w:p>
        </w:tc>
        <w:tc>
          <w:tcPr>
            <w:tcW w:w="1000" w:type="dxa"/>
            <w:vAlign w:val="bottom"/>
            <w:shd w:val="clear" w:color="auto" w:fill="FDFDFC"/>
          </w:tcPr>
          <w:p>
            <w:pPr>
              <w:jc w:val="right"/>
              <w:spacing w:after="0" w:line="159" w:lineRule="exact"/>
              <w:rPr>
                <w:sz w:val="20"/>
                <w:szCs w:val="20"/>
                <w:color w:val="auto"/>
              </w:rPr>
            </w:pPr>
            <w:r>
              <w:rPr>
                <w:rFonts w:ascii="Times New Roman" w:cs="Times New Roman" w:eastAsia="Times New Roman" w:hAnsi="Times New Roman"/>
                <w:sz w:val="15"/>
                <w:szCs w:val="15"/>
                <w:color w:val="231F20"/>
              </w:rPr>
              <w:t>43,236</w:t>
            </w:r>
          </w:p>
        </w:tc>
        <w:tc>
          <w:tcPr>
            <w:tcW w:w="1140" w:type="dxa"/>
            <w:vAlign w:val="bottom"/>
            <w:gridSpan w:val="2"/>
            <w:shd w:val="clear" w:color="auto" w:fill="FDFDFC"/>
          </w:tcPr>
          <w:p>
            <w:pPr>
              <w:jc w:val="right"/>
              <w:spacing w:after="0" w:line="159" w:lineRule="exact"/>
              <w:rPr>
                <w:sz w:val="20"/>
                <w:szCs w:val="20"/>
                <w:color w:val="auto"/>
              </w:rPr>
            </w:pPr>
            <w:r>
              <w:rPr>
                <w:rFonts w:ascii="Times New Roman" w:cs="Times New Roman" w:eastAsia="Times New Roman" w:hAnsi="Times New Roman"/>
                <w:sz w:val="15"/>
                <w:szCs w:val="15"/>
                <w:color w:val="231F20"/>
              </w:rPr>
              <w:t>44,802</w:t>
            </w:r>
          </w:p>
        </w:tc>
        <w:tc>
          <w:tcPr>
            <w:tcW w:w="1340" w:type="dxa"/>
            <w:vAlign w:val="bottom"/>
            <w:gridSpan w:val="3"/>
            <w:shd w:val="clear" w:color="auto" w:fill="FDFDFC"/>
          </w:tcPr>
          <w:p>
            <w:pPr>
              <w:jc w:val="right"/>
              <w:ind w:right="120"/>
              <w:spacing w:after="0" w:line="159" w:lineRule="exact"/>
              <w:rPr>
                <w:sz w:val="20"/>
                <w:szCs w:val="20"/>
                <w:color w:val="auto"/>
              </w:rPr>
            </w:pPr>
            <w:r>
              <w:rPr>
                <w:rFonts w:ascii="Times New Roman" w:cs="Times New Roman" w:eastAsia="Times New Roman" w:hAnsi="Times New Roman"/>
                <w:sz w:val="15"/>
                <w:szCs w:val="15"/>
                <w:color w:val="231F20"/>
              </w:rPr>
              <w:t>3.0%</w:t>
            </w:r>
          </w:p>
        </w:tc>
      </w:tr>
      <w:tr>
        <w:trPr>
          <w:trHeight w:val="189"/>
        </w:trPr>
        <w:tc>
          <w:tcPr>
            <w:tcW w:w="1440" w:type="dxa"/>
            <w:vAlign w:val="bottom"/>
            <w:shd w:val="clear" w:color="auto" w:fill="FDFDFC"/>
          </w:tcPr>
          <w:p>
            <w:pPr>
              <w:spacing w:after="0"/>
              <w:rPr>
                <w:sz w:val="16"/>
                <w:szCs w:val="16"/>
                <w:color w:val="auto"/>
              </w:rPr>
            </w:pPr>
          </w:p>
        </w:tc>
        <w:tc>
          <w:tcPr>
            <w:tcW w:w="2480" w:type="dxa"/>
            <w:vAlign w:val="bottom"/>
            <w:shd w:val="clear" w:color="auto" w:fill="FDFDFC"/>
          </w:tcPr>
          <w:p>
            <w:pPr>
              <w:ind w:left="80"/>
              <w:spacing w:after="0"/>
              <w:rPr>
                <w:sz w:val="20"/>
                <w:szCs w:val="20"/>
                <w:color w:val="auto"/>
              </w:rPr>
            </w:pPr>
            <w:r>
              <w:rPr>
                <w:rFonts w:ascii="Times New Roman" w:cs="Times New Roman" w:eastAsia="Times New Roman" w:hAnsi="Times New Roman"/>
                <w:sz w:val="15"/>
                <w:szCs w:val="15"/>
                <w:color w:val="231F20"/>
              </w:rPr>
              <w:t>11/2028)</w:t>
            </w:r>
          </w:p>
        </w:tc>
        <w:tc>
          <w:tcPr>
            <w:tcW w:w="780" w:type="dxa"/>
            <w:vAlign w:val="bottom"/>
            <w:shd w:val="clear" w:color="auto" w:fill="FDFDFC"/>
          </w:tcPr>
          <w:p>
            <w:pPr>
              <w:spacing w:after="0"/>
              <w:rPr>
                <w:sz w:val="16"/>
                <w:szCs w:val="16"/>
                <w:color w:val="auto"/>
              </w:rPr>
            </w:pPr>
          </w:p>
        </w:tc>
        <w:tc>
          <w:tcPr>
            <w:tcW w:w="1080" w:type="dxa"/>
            <w:vAlign w:val="bottom"/>
            <w:shd w:val="clear" w:color="auto" w:fill="FDFDFC"/>
          </w:tcPr>
          <w:p>
            <w:pPr>
              <w:jc w:val="right"/>
              <w:ind w:right="124"/>
              <w:spacing w:after="0"/>
              <w:rPr>
                <w:sz w:val="20"/>
                <w:szCs w:val="20"/>
                <w:color w:val="auto"/>
              </w:rPr>
            </w:pPr>
            <w:r>
              <w:rPr>
                <w:rFonts w:ascii="Times New Roman" w:cs="Times New Roman" w:eastAsia="Times New Roman" w:hAnsi="Times New Roman"/>
                <w:sz w:val="15"/>
                <w:szCs w:val="15"/>
                <w:color w:val="231F20"/>
              </w:rPr>
              <w:t>6.63%</w:t>
            </w:r>
          </w:p>
        </w:tc>
        <w:tc>
          <w:tcPr>
            <w:tcW w:w="1020" w:type="dxa"/>
            <w:vAlign w:val="bottom"/>
            <w:shd w:val="clear" w:color="auto" w:fill="FDFDFC"/>
          </w:tcPr>
          <w:p>
            <w:pPr>
              <w:spacing w:after="0"/>
              <w:rPr>
                <w:sz w:val="16"/>
                <w:szCs w:val="16"/>
                <w:color w:val="auto"/>
              </w:rPr>
            </w:pPr>
          </w:p>
        </w:tc>
        <w:tc>
          <w:tcPr>
            <w:tcW w:w="1000" w:type="dxa"/>
            <w:vAlign w:val="bottom"/>
            <w:shd w:val="clear" w:color="auto" w:fill="FDFDFC"/>
          </w:tcPr>
          <w:p>
            <w:pPr>
              <w:spacing w:after="0"/>
              <w:rPr>
                <w:sz w:val="16"/>
                <w:szCs w:val="16"/>
                <w:color w:val="auto"/>
              </w:rPr>
            </w:pPr>
          </w:p>
        </w:tc>
        <w:tc>
          <w:tcPr>
            <w:tcW w:w="180" w:type="dxa"/>
            <w:vAlign w:val="bottom"/>
            <w:shd w:val="clear" w:color="auto" w:fill="FDFDFC"/>
          </w:tcPr>
          <w:p>
            <w:pPr>
              <w:spacing w:after="0"/>
              <w:rPr>
                <w:sz w:val="16"/>
                <w:szCs w:val="16"/>
                <w:color w:val="auto"/>
              </w:rPr>
            </w:pPr>
          </w:p>
        </w:tc>
        <w:tc>
          <w:tcPr>
            <w:tcW w:w="960" w:type="dxa"/>
            <w:vAlign w:val="bottom"/>
            <w:shd w:val="clear" w:color="auto" w:fill="FDFDFC"/>
          </w:tcPr>
          <w:p>
            <w:pPr>
              <w:spacing w:after="0"/>
              <w:rPr>
                <w:sz w:val="16"/>
                <w:szCs w:val="16"/>
                <w:color w:val="auto"/>
              </w:rPr>
            </w:pPr>
          </w:p>
        </w:tc>
        <w:tc>
          <w:tcPr>
            <w:tcW w:w="200" w:type="dxa"/>
            <w:vAlign w:val="bottom"/>
            <w:shd w:val="clear" w:color="auto" w:fill="FDFDFC"/>
          </w:tcPr>
          <w:p>
            <w:pPr>
              <w:spacing w:after="0"/>
              <w:rPr>
                <w:sz w:val="16"/>
                <w:szCs w:val="16"/>
                <w:color w:val="auto"/>
              </w:rPr>
            </w:pPr>
          </w:p>
        </w:tc>
        <w:tc>
          <w:tcPr>
            <w:tcW w:w="900" w:type="dxa"/>
            <w:vAlign w:val="bottom"/>
            <w:shd w:val="clear" w:color="auto" w:fill="FDFDFC"/>
          </w:tcPr>
          <w:p>
            <w:pPr>
              <w:spacing w:after="0"/>
              <w:rPr>
                <w:sz w:val="16"/>
                <w:szCs w:val="16"/>
                <w:color w:val="auto"/>
              </w:rPr>
            </w:pPr>
          </w:p>
        </w:tc>
        <w:tc>
          <w:tcPr>
            <w:tcW w:w="240" w:type="dxa"/>
            <w:vAlign w:val="bottom"/>
            <w:shd w:val="clear" w:color="auto" w:fill="FDFDFC"/>
          </w:tcPr>
          <w:p>
            <w:pPr>
              <w:spacing w:after="0"/>
              <w:rPr>
                <w:sz w:val="16"/>
                <w:szCs w:val="16"/>
                <w:color w:val="auto"/>
              </w:rPr>
            </w:pPr>
          </w:p>
        </w:tc>
      </w:tr>
      <w:tr>
        <w:trPr>
          <w:trHeight w:val="158"/>
        </w:trPr>
        <w:tc>
          <w:tcPr>
            <w:tcW w:w="1440" w:type="dxa"/>
            <w:vAlign w:val="bottom"/>
            <w:shd w:val="clear" w:color="auto" w:fill="D0EBF2"/>
          </w:tcPr>
          <w:p>
            <w:pPr>
              <w:spacing w:after="0" w:line="159" w:lineRule="exact"/>
              <w:rPr>
                <w:sz w:val="20"/>
                <w:szCs w:val="20"/>
                <w:color w:val="auto"/>
              </w:rPr>
            </w:pPr>
            <w:r>
              <w:rPr>
                <w:rFonts w:ascii="Times New Roman" w:cs="Times New Roman" w:eastAsia="Times New Roman" w:hAnsi="Times New Roman"/>
                <w:sz w:val="15"/>
                <w:szCs w:val="15"/>
                <w:color w:val="231F20"/>
              </w:rPr>
              <w:t>Elysian Finco Ltd.</w:t>
            </w:r>
          </w:p>
        </w:tc>
        <w:tc>
          <w:tcPr>
            <w:tcW w:w="2480" w:type="dxa"/>
            <w:vAlign w:val="bottom"/>
            <w:shd w:val="clear" w:color="auto" w:fill="D0EBF2"/>
          </w:tcPr>
          <w:p>
            <w:pPr>
              <w:ind w:left="80"/>
              <w:spacing w:after="0" w:line="159" w:lineRule="exact"/>
              <w:rPr>
                <w:sz w:val="20"/>
                <w:szCs w:val="20"/>
                <w:color w:val="auto"/>
              </w:rPr>
            </w:pPr>
            <w:r>
              <w:rPr>
                <w:rFonts w:ascii="Times New Roman" w:cs="Times New Roman" w:eastAsia="Times New Roman" w:hAnsi="Times New Roman"/>
                <w:sz w:val="15"/>
                <w:szCs w:val="15"/>
                <w:color w:val="231F20"/>
              </w:rPr>
              <w:t>First-lien loan ($19,519 par, due</w:t>
            </w:r>
          </w:p>
        </w:tc>
        <w:tc>
          <w:tcPr>
            <w:tcW w:w="780" w:type="dxa"/>
            <w:vAlign w:val="bottom"/>
            <w:shd w:val="clear" w:color="auto" w:fill="D0EBF2"/>
          </w:tcPr>
          <w:p>
            <w:pPr>
              <w:jc w:val="right"/>
              <w:spacing w:after="0" w:line="159" w:lineRule="exact"/>
              <w:rPr>
                <w:sz w:val="20"/>
                <w:szCs w:val="20"/>
                <w:color w:val="auto"/>
              </w:rPr>
            </w:pPr>
            <w:r>
              <w:rPr>
                <w:rFonts w:ascii="Times New Roman" w:cs="Times New Roman" w:eastAsia="Times New Roman" w:hAnsi="Times New Roman"/>
                <w:sz w:val="15"/>
                <w:szCs w:val="15"/>
                <w:color w:val="231F20"/>
              </w:rPr>
              <w:t>1/31/2021</w:t>
            </w:r>
          </w:p>
        </w:tc>
        <w:tc>
          <w:tcPr>
            <w:tcW w:w="1080" w:type="dxa"/>
            <w:vAlign w:val="bottom"/>
            <w:shd w:val="clear" w:color="auto" w:fill="D0EBF2"/>
          </w:tcPr>
          <w:p>
            <w:pPr>
              <w:jc w:val="right"/>
              <w:ind w:right="124"/>
              <w:spacing w:after="0" w:line="159" w:lineRule="exact"/>
              <w:rPr>
                <w:sz w:val="20"/>
                <w:szCs w:val="20"/>
                <w:color w:val="auto"/>
              </w:rPr>
            </w:pPr>
            <w:r>
              <w:rPr>
                <w:rFonts w:ascii="Times New Roman" w:cs="Times New Roman" w:eastAsia="Times New Roman" w:hAnsi="Times New Roman"/>
                <w:sz w:val="15"/>
                <w:szCs w:val="15"/>
                <w:color w:val="231F20"/>
              </w:rPr>
              <w:t>SOFR +</w:t>
            </w:r>
          </w:p>
        </w:tc>
        <w:tc>
          <w:tcPr>
            <w:tcW w:w="1020" w:type="dxa"/>
            <w:vAlign w:val="bottom"/>
            <w:shd w:val="clear" w:color="auto" w:fill="D0EBF2"/>
          </w:tcPr>
          <w:p>
            <w:pPr>
              <w:jc w:val="right"/>
              <w:ind w:right="164"/>
              <w:spacing w:after="0" w:line="159" w:lineRule="exact"/>
              <w:rPr>
                <w:sz w:val="20"/>
                <w:szCs w:val="20"/>
                <w:color w:val="auto"/>
              </w:rPr>
            </w:pPr>
            <w:r>
              <w:rPr>
                <w:rFonts w:ascii="Times New Roman" w:cs="Times New Roman" w:eastAsia="Times New Roman" w:hAnsi="Times New Roman"/>
                <w:sz w:val="15"/>
                <w:szCs w:val="15"/>
                <w:color w:val="231F20"/>
              </w:rPr>
              <w:t>12.03%</w:t>
            </w:r>
          </w:p>
        </w:tc>
        <w:tc>
          <w:tcPr>
            <w:tcW w:w="1000" w:type="dxa"/>
            <w:vAlign w:val="bottom"/>
            <w:shd w:val="clear" w:color="auto" w:fill="D0EBF2"/>
          </w:tcPr>
          <w:p>
            <w:pPr>
              <w:jc w:val="right"/>
              <w:spacing w:after="0" w:line="159" w:lineRule="exact"/>
              <w:rPr>
                <w:sz w:val="20"/>
                <w:szCs w:val="20"/>
                <w:color w:val="auto"/>
              </w:rPr>
            </w:pPr>
            <w:r>
              <w:rPr>
                <w:rFonts w:ascii="Times New Roman" w:cs="Times New Roman" w:eastAsia="Times New Roman" w:hAnsi="Times New Roman"/>
                <w:sz w:val="15"/>
                <w:szCs w:val="15"/>
                <w:color w:val="231F20"/>
              </w:rPr>
              <w:t>19,112</w:t>
            </w:r>
          </w:p>
        </w:tc>
        <w:tc>
          <w:tcPr>
            <w:tcW w:w="1140" w:type="dxa"/>
            <w:vAlign w:val="bottom"/>
            <w:gridSpan w:val="2"/>
            <w:shd w:val="clear" w:color="auto" w:fill="D0EBF2"/>
          </w:tcPr>
          <w:p>
            <w:pPr>
              <w:jc w:val="right"/>
              <w:spacing w:after="0" w:line="159" w:lineRule="exact"/>
              <w:rPr>
                <w:sz w:val="20"/>
                <w:szCs w:val="20"/>
                <w:color w:val="auto"/>
              </w:rPr>
            </w:pPr>
            <w:r>
              <w:rPr>
                <w:rFonts w:ascii="Times New Roman" w:cs="Times New Roman" w:eastAsia="Times New Roman" w:hAnsi="Times New Roman"/>
                <w:sz w:val="15"/>
                <w:szCs w:val="15"/>
                <w:color w:val="231F20"/>
              </w:rPr>
              <w:t>19,987</w:t>
            </w:r>
          </w:p>
        </w:tc>
        <w:tc>
          <w:tcPr>
            <w:tcW w:w="1340" w:type="dxa"/>
            <w:vAlign w:val="bottom"/>
            <w:gridSpan w:val="3"/>
            <w:shd w:val="clear" w:color="auto" w:fill="D0EBF2"/>
          </w:tcPr>
          <w:p>
            <w:pPr>
              <w:jc w:val="right"/>
              <w:ind w:right="120"/>
              <w:spacing w:after="0" w:line="159" w:lineRule="exact"/>
              <w:rPr>
                <w:sz w:val="20"/>
                <w:szCs w:val="20"/>
                <w:color w:val="auto"/>
              </w:rPr>
            </w:pPr>
            <w:r>
              <w:rPr>
                <w:rFonts w:ascii="Times New Roman" w:cs="Times New Roman" w:eastAsia="Times New Roman" w:hAnsi="Times New Roman"/>
                <w:sz w:val="15"/>
                <w:szCs w:val="15"/>
                <w:color w:val="231F20"/>
              </w:rPr>
              <w:t>1.3%</w:t>
            </w:r>
          </w:p>
        </w:tc>
      </w:tr>
      <w:tr>
        <w:trPr>
          <w:trHeight w:val="174"/>
        </w:trPr>
        <w:tc>
          <w:tcPr>
            <w:tcW w:w="1440" w:type="dxa"/>
            <w:vAlign w:val="bottom"/>
            <w:shd w:val="clear" w:color="auto" w:fill="D0EBF2"/>
          </w:tcPr>
          <w:p>
            <w:pPr>
              <w:spacing w:after="0"/>
              <w:rPr>
                <w:sz w:val="20"/>
                <w:szCs w:val="20"/>
                <w:color w:val="auto"/>
              </w:rPr>
            </w:pPr>
            <w:r>
              <w:rPr>
                <w:rFonts w:ascii="Times New Roman" w:cs="Times New Roman" w:eastAsia="Times New Roman" w:hAnsi="Times New Roman"/>
                <w:sz w:val="9"/>
                <w:szCs w:val="9"/>
                <w:color w:val="231F20"/>
              </w:rPr>
              <w:t>(3)(4)(5)</w:t>
            </w:r>
          </w:p>
        </w:tc>
        <w:tc>
          <w:tcPr>
            <w:tcW w:w="2480" w:type="dxa"/>
            <w:vAlign w:val="bottom"/>
            <w:shd w:val="clear" w:color="auto" w:fill="D0EBF2"/>
          </w:tcPr>
          <w:p>
            <w:pPr>
              <w:ind w:left="80"/>
              <w:spacing w:after="0"/>
              <w:rPr>
                <w:sz w:val="20"/>
                <w:szCs w:val="20"/>
                <w:color w:val="auto"/>
              </w:rPr>
            </w:pPr>
            <w:r>
              <w:rPr>
                <w:rFonts w:ascii="Times New Roman" w:cs="Times New Roman" w:eastAsia="Times New Roman" w:hAnsi="Times New Roman"/>
                <w:sz w:val="15"/>
                <w:szCs w:val="15"/>
                <w:color w:val="231F20"/>
              </w:rPr>
              <w:t>1/2028)</w:t>
            </w:r>
          </w:p>
        </w:tc>
        <w:tc>
          <w:tcPr>
            <w:tcW w:w="780" w:type="dxa"/>
            <w:vAlign w:val="bottom"/>
            <w:shd w:val="clear" w:color="auto" w:fill="D0EBF2"/>
          </w:tcPr>
          <w:p>
            <w:pPr>
              <w:spacing w:after="0"/>
              <w:rPr>
                <w:sz w:val="15"/>
                <w:szCs w:val="15"/>
                <w:color w:val="auto"/>
              </w:rPr>
            </w:pPr>
          </w:p>
        </w:tc>
        <w:tc>
          <w:tcPr>
            <w:tcW w:w="1080" w:type="dxa"/>
            <w:vAlign w:val="bottom"/>
            <w:shd w:val="clear" w:color="auto" w:fill="D0EBF2"/>
          </w:tcPr>
          <w:p>
            <w:pPr>
              <w:jc w:val="right"/>
              <w:ind w:right="124"/>
              <w:spacing w:after="0"/>
              <w:rPr>
                <w:sz w:val="20"/>
                <w:szCs w:val="20"/>
                <w:color w:val="auto"/>
              </w:rPr>
            </w:pPr>
            <w:r>
              <w:rPr>
                <w:rFonts w:ascii="Times New Roman" w:cs="Times New Roman" w:eastAsia="Times New Roman" w:hAnsi="Times New Roman"/>
                <w:sz w:val="15"/>
                <w:szCs w:val="15"/>
                <w:color w:val="231F20"/>
              </w:rPr>
              <w:t>6.65%</w:t>
            </w:r>
          </w:p>
        </w:tc>
        <w:tc>
          <w:tcPr>
            <w:tcW w:w="1020" w:type="dxa"/>
            <w:vAlign w:val="bottom"/>
            <w:shd w:val="clear" w:color="auto" w:fill="D0EBF2"/>
          </w:tcPr>
          <w:p>
            <w:pPr>
              <w:jc w:val="right"/>
              <w:ind w:right="164"/>
              <w:spacing w:after="0"/>
              <w:rPr>
                <w:sz w:val="20"/>
                <w:szCs w:val="20"/>
                <w:color w:val="auto"/>
              </w:rPr>
            </w:pPr>
            <w:r>
              <w:rPr>
                <w:rFonts w:ascii="Times New Roman" w:cs="Times New Roman" w:eastAsia="Times New Roman" w:hAnsi="Times New Roman"/>
                <w:sz w:val="15"/>
                <w:szCs w:val="15"/>
                <w:color w:val="231F20"/>
              </w:rPr>
              <w:t>(incl. 6.50%</w:t>
            </w:r>
          </w:p>
        </w:tc>
        <w:tc>
          <w:tcPr>
            <w:tcW w:w="1000" w:type="dxa"/>
            <w:vAlign w:val="bottom"/>
            <w:shd w:val="clear" w:color="auto" w:fill="D0EBF2"/>
          </w:tcPr>
          <w:p>
            <w:pPr>
              <w:spacing w:after="0"/>
              <w:rPr>
                <w:sz w:val="15"/>
                <w:szCs w:val="15"/>
                <w:color w:val="auto"/>
              </w:rPr>
            </w:pPr>
          </w:p>
        </w:tc>
        <w:tc>
          <w:tcPr>
            <w:tcW w:w="180" w:type="dxa"/>
            <w:vAlign w:val="bottom"/>
            <w:shd w:val="clear" w:color="auto" w:fill="D0EBF2"/>
          </w:tcPr>
          <w:p>
            <w:pPr>
              <w:spacing w:after="0"/>
              <w:rPr>
                <w:sz w:val="15"/>
                <w:szCs w:val="15"/>
                <w:color w:val="auto"/>
              </w:rPr>
            </w:pPr>
          </w:p>
        </w:tc>
        <w:tc>
          <w:tcPr>
            <w:tcW w:w="960" w:type="dxa"/>
            <w:vAlign w:val="bottom"/>
            <w:shd w:val="clear" w:color="auto" w:fill="D0EBF2"/>
          </w:tcPr>
          <w:p>
            <w:pPr>
              <w:spacing w:after="0"/>
              <w:rPr>
                <w:sz w:val="15"/>
                <w:szCs w:val="15"/>
                <w:color w:val="auto"/>
              </w:rPr>
            </w:pPr>
          </w:p>
        </w:tc>
        <w:tc>
          <w:tcPr>
            <w:tcW w:w="200" w:type="dxa"/>
            <w:vAlign w:val="bottom"/>
            <w:shd w:val="clear" w:color="auto" w:fill="D0EBF2"/>
          </w:tcPr>
          <w:p>
            <w:pPr>
              <w:spacing w:after="0"/>
              <w:rPr>
                <w:sz w:val="15"/>
                <w:szCs w:val="15"/>
                <w:color w:val="auto"/>
              </w:rPr>
            </w:pPr>
          </w:p>
        </w:tc>
        <w:tc>
          <w:tcPr>
            <w:tcW w:w="900" w:type="dxa"/>
            <w:vAlign w:val="bottom"/>
            <w:shd w:val="clear" w:color="auto" w:fill="D0EBF2"/>
          </w:tcPr>
          <w:p>
            <w:pPr>
              <w:spacing w:after="0"/>
              <w:rPr>
                <w:sz w:val="15"/>
                <w:szCs w:val="15"/>
                <w:color w:val="auto"/>
              </w:rPr>
            </w:pPr>
          </w:p>
        </w:tc>
        <w:tc>
          <w:tcPr>
            <w:tcW w:w="240" w:type="dxa"/>
            <w:vAlign w:val="bottom"/>
            <w:shd w:val="clear" w:color="auto" w:fill="D0EBF2"/>
          </w:tcPr>
          <w:p>
            <w:pPr>
              <w:spacing w:after="0"/>
              <w:rPr>
                <w:sz w:val="15"/>
                <w:szCs w:val="15"/>
                <w:color w:val="auto"/>
              </w:rPr>
            </w:pPr>
          </w:p>
        </w:tc>
      </w:tr>
      <w:tr>
        <w:trPr>
          <w:trHeight w:val="189"/>
        </w:trPr>
        <w:tc>
          <w:tcPr>
            <w:tcW w:w="1440" w:type="dxa"/>
            <w:vAlign w:val="bottom"/>
            <w:shd w:val="clear" w:color="auto" w:fill="D0EBF2"/>
          </w:tcPr>
          <w:p>
            <w:pPr>
              <w:spacing w:after="0"/>
              <w:rPr>
                <w:sz w:val="16"/>
                <w:szCs w:val="16"/>
                <w:color w:val="auto"/>
              </w:rPr>
            </w:pPr>
          </w:p>
        </w:tc>
        <w:tc>
          <w:tcPr>
            <w:tcW w:w="2480" w:type="dxa"/>
            <w:vAlign w:val="bottom"/>
            <w:shd w:val="clear" w:color="auto" w:fill="D0EBF2"/>
          </w:tcPr>
          <w:p>
            <w:pPr>
              <w:spacing w:after="0"/>
              <w:rPr>
                <w:sz w:val="16"/>
                <w:szCs w:val="16"/>
                <w:color w:val="auto"/>
              </w:rPr>
            </w:pPr>
          </w:p>
        </w:tc>
        <w:tc>
          <w:tcPr>
            <w:tcW w:w="780" w:type="dxa"/>
            <w:vAlign w:val="bottom"/>
            <w:shd w:val="clear" w:color="auto" w:fill="D0EBF2"/>
          </w:tcPr>
          <w:p>
            <w:pPr>
              <w:spacing w:after="0"/>
              <w:rPr>
                <w:sz w:val="16"/>
                <w:szCs w:val="16"/>
                <w:color w:val="auto"/>
              </w:rPr>
            </w:pPr>
          </w:p>
        </w:tc>
        <w:tc>
          <w:tcPr>
            <w:tcW w:w="1080" w:type="dxa"/>
            <w:vAlign w:val="bottom"/>
            <w:shd w:val="clear" w:color="auto" w:fill="D0EBF2"/>
          </w:tcPr>
          <w:p>
            <w:pPr>
              <w:spacing w:after="0"/>
              <w:rPr>
                <w:sz w:val="16"/>
                <w:szCs w:val="16"/>
                <w:color w:val="auto"/>
              </w:rPr>
            </w:pPr>
          </w:p>
        </w:tc>
        <w:tc>
          <w:tcPr>
            <w:tcW w:w="1020" w:type="dxa"/>
            <w:vAlign w:val="bottom"/>
            <w:shd w:val="clear" w:color="auto" w:fill="D0EBF2"/>
          </w:tcPr>
          <w:p>
            <w:pPr>
              <w:jc w:val="right"/>
              <w:ind w:right="164"/>
              <w:spacing w:after="0"/>
              <w:rPr>
                <w:sz w:val="20"/>
                <w:szCs w:val="20"/>
                <w:color w:val="auto"/>
              </w:rPr>
            </w:pPr>
            <w:r>
              <w:rPr>
                <w:rFonts w:ascii="Times New Roman" w:cs="Times New Roman" w:eastAsia="Times New Roman" w:hAnsi="Times New Roman"/>
                <w:sz w:val="15"/>
                <w:szCs w:val="15"/>
                <w:color w:val="231F20"/>
              </w:rPr>
              <w:t>PIK)</w:t>
            </w:r>
          </w:p>
        </w:tc>
        <w:tc>
          <w:tcPr>
            <w:tcW w:w="1000" w:type="dxa"/>
            <w:vAlign w:val="bottom"/>
            <w:shd w:val="clear" w:color="auto" w:fill="D0EBF2"/>
          </w:tcPr>
          <w:p>
            <w:pPr>
              <w:spacing w:after="0"/>
              <w:rPr>
                <w:sz w:val="16"/>
                <w:szCs w:val="16"/>
                <w:color w:val="auto"/>
              </w:rPr>
            </w:pPr>
          </w:p>
        </w:tc>
        <w:tc>
          <w:tcPr>
            <w:tcW w:w="180" w:type="dxa"/>
            <w:vAlign w:val="bottom"/>
            <w:shd w:val="clear" w:color="auto" w:fill="D0EBF2"/>
          </w:tcPr>
          <w:p>
            <w:pPr>
              <w:spacing w:after="0"/>
              <w:rPr>
                <w:sz w:val="16"/>
                <w:szCs w:val="16"/>
                <w:color w:val="auto"/>
              </w:rPr>
            </w:pPr>
          </w:p>
        </w:tc>
        <w:tc>
          <w:tcPr>
            <w:tcW w:w="960" w:type="dxa"/>
            <w:vAlign w:val="bottom"/>
            <w:shd w:val="clear" w:color="auto" w:fill="D0EBF2"/>
          </w:tcPr>
          <w:p>
            <w:pPr>
              <w:spacing w:after="0"/>
              <w:rPr>
                <w:sz w:val="16"/>
                <w:szCs w:val="16"/>
                <w:color w:val="auto"/>
              </w:rPr>
            </w:pPr>
          </w:p>
        </w:tc>
        <w:tc>
          <w:tcPr>
            <w:tcW w:w="200" w:type="dxa"/>
            <w:vAlign w:val="bottom"/>
            <w:shd w:val="clear" w:color="auto" w:fill="D0EBF2"/>
          </w:tcPr>
          <w:p>
            <w:pPr>
              <w:spacing w:after="0"/>
              <w:rPr>
                <w:sz w:val="16"/>
                <w:szCs w:val="16"/>
                <w:color w:val="auto"/>
              </w:rPr>
            </w:pPr>
          </w:p>
        </w:tc>
        <w:tc>
          <w:tcPr>
            <w:tcW w:w="900" w:type="dxa"/>
            <w:vAlign w:val="bottom"/>
            <w:shd w:val="clear" w:color="auto" w:fill="D0EBF2"/>
          </w:tcPr>
          <w:p>
            <w:pPr>
              <w:spacing w:after="0"/>
              <w:rPr>
                <w:sz w:val="16"/>
                <w:szCs w:val="16"/>
                <w:color w:val="auto"/>
              </w:rPr>
            </w:pPr>
          </w:p>
        </w:tc>
        <w:tc>
          <w:tcPr>
            <w:tcW w:w="240" w:type="dxa"/>
            <w:vAlign w:val="bottom"/>
            <w:shd w:val="clear" w:color="auto" w:fill="D0EBF2"/>
          </w:tcPr>
          <w:p>
            <w:pPr>
              <w:spacing w:after="0"/>
              <w:rPr>
                <w:sz w:val="16"/>
                <w:szCs w:val="16"/>
                <w:color w:val="auto"/>
              </w:rPr>
            </w:pPr>
          </w:p>
        </w:tc>
      </w:tr>
      <w:tr>
        <w:trPr>
          <w:trHeight w:val="158"/>
        </w:trPr>
        <w:tc>
          <w:tcPr>
            <w:tcW w:w="1440" w:type="dxa"/>
            <w:vAlign w:val="bottom"/>
            <w:shd w:val="clear" w:color="auto" w:fill="FDFDFC"/>
          </w:tcPr>
          <w:p>
            <w:pPr>
              <w:spacing w:after="0" w:line="159" w:lineRule="exact"/>
              <w:rPr>
                <w:sz w:val="20"/>
                <w:szCs w:val="20"/>
                <w:color w:val="auto"/>
              </w:rPr>
            </w:pPr>
            <w:r>
              <w:rPr>
                <w:rFonts w:ascii="Times New Roman" w:cs="Times New Roman" w:eastAsia="Times New Roman" w:hAnsi="Times New Roman"/>
                <w:sz w:val="15"/>
                <w:szCs w:val="15"/>
                <w:color w:val="231F20"/>
              </w:rPr>
              <w:t>Employment Hero</w:t>
            </w:r>
          </w:p>
        </w:tc>
        <w:tc>
          <w:tcPr>
            <w:tcW w:w="2480" w:type="dxa"/>
            <w:vAlign w:val="bottom"/>
            <w:shd w:val="clear" w:color="auto" w:fill="FDFDFC"/>
          </w:tcPr>
          <w:p>
            <w:pPr>
              <w:ind w:left="80"/>
              <w:spacing w:after="0" w:line="159" w:lineRule="exact"/>
              <w:rPr>
                <w:sz w:val="20"/>
                <w:szCs w:val="20"/>
                <w:color w:val="auto"/>
              </w:rPr>
            </w:pPr>
            <w:r>
              <w:rPr>
                <w:rFonts w:ascii="Times New Roman" w:cs="Times New Roman" w:eastAsia="Times New Roman" w:hAnsi="Times New Roman"/>
                <w:sz w:val="15"/>
                <w:szCs w:val="15"/>
                <w:color w:val="231F20"/>
              </w:rPr>
              <w:t>First-lien loan (AUD 50,000 par, due</w:t>
            </w:r>
          </w:p>
        </w:tc>
        <w:tc>
          <w:tcPr>
            <w:tcW w:w="780" w:type="dxa"/>
            <w:vAlign w:val="bottom"/>
            <w:shd w:val="clear" w:color="auto" w:fill="FDFDFC"/>
          </w:tcPr>
          <w:p>
            <w:pPr>
              <w:jc w:val="right"/>
              <w:spacing w:after="0" w:line="159" w:lineRule="exact"/>
              <w:rPr>
                <w:sz w:val="20"/>
                <w:szCs w:val="20"/>
                <w:color w:val="auto"/>
              </w:rPr>
            </w:pPr>
            <w:r>
              <w:rPr>
                <w:rFonts w:ascii="Times New Roman" w:cs="Times New Roman" w:eastAsia="Times New Roman" w:hAnsi="Times New Roman"/>
                <w:sz w:val="15"/>
                <w:szCs w:val="15"/>
                <w:color w:val="231F20"/>
              </w:rPr>
              <w:t>12/6/2021</w:t>
            </w:r>
          </w:p>
        </w:tc>
        <w:tc>
          <w:tcPr>
            <w:tcW w:w="1080" w:type="dxa"/>
            <w:vAlign w:val="bottom"/>
            <w:shd w:val="clear" w:color="auto" w:fill="FDFDFC"/>
          </w:tcPr>
          <w:p>
            <w:pPr>
              <w:jc w:val="right"/>
              <w:ind w:right="124"/>
              <w:spacing w:after="0" w:line="159" w:lineRule="exact"/>
              <w:rPr>
                <w:sz w:val="20"/>
                <w:szCs w:val="20"/>
                <w:color w:val="auto"/>
              </w:rPr>
            </w:pPr>
            <w:r>
              <w:rPr>
                <w:rFonts w:ascii="Times New Roman" w:cs="Times New Roman" w:eastAsia="Times New Roman" w:hAnsi="Times New Roman"/>
                <w:sz w:val="15"/>
                <w:szCs w:val="15"/>
                <w:color w:val="231F20"/>
              </w:rPr>
              <w:t>B + 6.25%</w:t>
            </w:r>
          </w:p>
        </w:tc>
        <w:tc>
          <w:tcPr>
            <w:tcW w:w="1020" w:type="dxa"/>
            <w:vAlign w:val="bottom"/>
            <w:shd w:val="clear" w:color="auto" w:fill="FDFDFC"/>
          </w:tcPr>
          <w:p>
            <w:pPr>
              <w:jc w:val="right"/>
              <w:ind w:right="24"/>
              <w:spacing w:after="0" w:line="159" w:lineRule="exact"/>
              <w:rPr>
                <w:sz w:val="20"/>
                <w:szCs w:val="20"/>
                <w:color w:val="auto"/>
              </w:rPr>
            </w:pPr>
            <w:r>
              <w:rPr>
                <w:rFonts w:ascii="Times New Roman" w:cs="Times New Roman" w:eastAsia="Times New Roman" w:hAnsi="Times New Roman"/>
                <w:sz w:val="15"/>
                <w:szCs w:val="15"/>
                <w:color w:val="231F20"/>
              </w:rPr>
              <w:t>10.67%</w:t>
            </w:r>
          </w:p>
        </w:tc>
        <w:tc>
          <w:tcPr>
            <w:tcW w:w="1000" w:type="dxa"/>
            <w:vAlign w:val="bottom"/>
            <w:shd w:val="clear" w:color="auto" w:fill="FDFDFC"/>
          </w:tcPr>
          <w:p>
            <w:pPr>
              <w:jc w:val="right"/>
              <w:spacing w:after="0" w:line="159" w:lineRule="exact"/>
              <w:rPr>
                <w:sz w:val="20"/>
                <w:szCs w:val="20"/>
                <w:color w:val="auto"/>
              </w:rPr>
            </w:pPr>
            <w:r>
              <w:rPr>
                <w:rFonts w:ascii="Times New Roman" w:cs="Times New Roman" w:eastAsia="Times New Roman" w:hAnsi="Times New Roman"/>
                <w:sz w:val="15"/>
                <w:szCs w:val="15"/>
                <w:color w:val="231F20"/>
              </w:rPr>
              <w:t>34,834</w:t>
            </w:r>
          </w:p>
        </w:tc>
        <w:tc>
          <w:tcPr>
            <w:tcW w:w="1140" w:type="dxa"/>
            <w:vAlign w:val="bottom"/>
            <w:gridSpan w:val="2"/>
            <w:shd w:val="clear" w:color="auto" w:fill="FDFDFC"/>
          </w:tcPr>
          <w:p>
            <w:pPr>
              <w:jc w:val="right"/>
              <w:spacing w:after="0" w:line="159" w:lineRule="exact"/>
              <w:rPr>
                <w:sz w:val="20"/>
                <w:szCs w:val="20"/>
                <w:color w:val="auto"/>
              </w:rPr>
            </w:pPr>
            <w:r>
              <w:rPr>
                <w:rFonts w:ascii="Times New Roman" w:cs="Times New Roman" w:eastAsia="Times New Roman" w:hAnsi="Times New Roman"/>
                <w:sz w:val="15"/>
                <w:szCs w:val="15"/>
                <w:color w:val="231F20"/>
              </w:rPr>
              <w:t>34,117</w:t>
            </w:r>
          </w:p>
        </w:tc>
        <w:tc>
          <w:tcPr>
            <w:tcW w:w="1340" w:type="dxa"/>
            <w:vAlign w:val="bottom"/>
            <w:gridSpan w:val="3"/>
            <w:shd w:val="clear" w:color="auto" w:fill="FDFDFC"/>
          </w:tcPr>
          <w:p>
            <w:pPr>
              <w:jc w:val="right"/>
              <w:ind w:right="120"/>
              <w:spacing w:after="0" w:line="159" w:lineRule="exact"/>
              <w:rPr>
                <w:sz w:val="20"/>
                <w:szCs w:val="20"/>
                <w:color w:val="auto"/>
              </w:rPr>
            </w:pPr>
            <w:r>
              <w:rPr>
                <w:rFonts w:ascii="Times New Roman" w:cs="Times New Roman" w:eastAsia="Times New Roman" w:hAnsi="Times New Roman"/>
                <w:sz w:val="15"/>
                <w:szCs w:val="15"/>
                <w:color w:val="231F20"/>
              </w:rPr>
              <w:t>2.3%</w:t>
            </w:r>
          </w:p>
        </w:tc>
      </w:tr>
      <w:tr>
        <w:trPr>
          <w:trHeight w:val="174"/>
        </w:trPr>
        <w:tc>
          <w:tcPr>
            <w:tcW w:w="1440" w:type="dxa"/>
            <w:vAlign w:val="bottom"/>
            <w:shd w:val="clear" w:color="auto" w:fill="FDFDFC"/>
          </w:tcPr>
          <w:p>
            <w:pPr>
              <w:spacing w:after="0"/>
              <w:rPr>
                <w:sz w:val="20"/>
                <w:szCs w:val="20"/>
                <w:color w:val="auto"/>
              </w:rPr>
            </w:pPr>
            <w:r>
              <w:rPr>
                <w:rFonts w:ascii="Times New Roman" w:cs="Times New Roman" w:eastAsia="Times New Roman" w:hAnsi="Times New Roman"/>
                <w:sz w:val="15"/>
                <w:szCs w:val="15"/>
                <w:color w:val="231F20"/>
              </w:rPr>
              <w:t xml:space="preserve">Holdings Pty Ltd. </w:t>
            </w:r>
            <w:r>
              <w:rPr>
                <w:rFonts w:ascii="Times New Roman" w:cs="Times New Roman" w:eastAsia="Times New Roman" w:hAnsi="Times New Roman"/>
                <w:sz w:val="9"/>
                <w:szCs w:val="9"/>
                <w:color w:val="231F20"/>
              </w:rPr>
              <w:t>(3)(4)</w:t>
            </w:r>
          </w:p>
        </w:tc>
        <w:tc>
          <w:tcPr>
            <w:tcW w:w="2480" w:type="dxa"/>
            <w:vAlign w:val="bottom"/>
            <w:shd w:val="clear" w:color="auto" w:fill="FDFDFC"/>
          </w:tcPr>
          <w:p>
            <w:pPr>
              <w:ind w:left="80"/>
              <w:spacing w:after="0"/>
              <w:rPr>
                <w:sz w:val="20"/>
                <w:szCs w:val="20"/>
                <w:color w:val="auto"/>
              </w:rPr>
            </w:pPr>
            <w:r>
              <w:rPr>
                <w:rFonts w:ascii="Times New Roman" w:cs="Times New Roman" w:eastAsia="Times New Roman" w:hAnsi="Times New Roman"/>
                <w:sz w:val="15"/>
                <w:szCs w:val="15"/>
                <w:color w:val="231F20"/>
              </w:rPr>
              <w:t>12/2026)</w:t>
            </w:r>
          </w:p>
        </w:tc>
        <w:tc>
          <w:tcPr>
            <w:tcW w:w="780" w:type="dxa"/>
            <w:vAlign w:val="bottom"/>
            <w:shd w:val="clear" w:color="auto" w:fill="FDFDFC"/>
          </w:tcPr>
          <w:p>
            <w:pPr>
              <w:spacing w:after="0"/>
              <w:rPr>
                <w:sz w:val="15"/>
                <w:szCs w:val="15"/>
                <w:color w:val="auto"/>
              </w:rPr>
            </w:pPr>
          </w:p>
        </w:tc>
        <w:tc>
          <w:tcPr>
            <w:tcW w:w="1080" w:type="dxa"/>
            <w:vAlign w:val="bottom"/>
            <w:shd w:val="clear" w:color="auto" w:fill="FDFDFC"/>
          </w:tcPr>
          <w:p>
            <w:pPr>
              <w:spacing w:after="0"/>
              <w:rPr>
                <w:sz w:val="15"/>
                <w:szCs w:val="15"/>
                <w:color w:val="auto"/>
              </w:rPr>
            </w:pPr>
          </w:p>
        </w:tc>
        <w:tc>
          <w:tcPr>
            <w:tcW w:w="1020" w:type="dxa"/>
            <w:vAlign w:val="bottom"/>
            <w:shd w:val="clear" w:color="auto" w:fill="FDFDFC"/>
          </w:tcPr>
          <w:p>
            <w:pPr>
              <w:spacing w:after="0"/>
              <w:rPr>
                <w:sz w:val="15"/>
                <w:szCs w:val="15"/>
                <w:color w:val="auto"/>
              </w:rPr>
            </w:pPr>
          </w:p>
        </w:tc>
        <w:tc>
          <w:tcPr>
            <w:tcW w:w="1000" w:type="dxa"/>
            <w:vAlign w:val="bottom"/>
            <w:shd w:val="clear" w:color="auto" w:fill="FDFDFC"/>
          </w:tcPr>
          <w:p>
            <w:pPr>
              <w:spacing w:after="0"/>
              <w:rPr>
                <w:sz w:val="15"/>
                <w:szCs w:val="15"/>
                <w:color w:val="auto"/>
              </w:rPr>
            </w:pPr>
          </w:p>
        </w:tc>
        <w:tc>
          <w:tcPr>
            <w:tcW w:w="180" w:type="dxa"/>
            <w:vAlign w:val="bottom"/>
            <w:shd w:val="clear" w:color="auto" w:fill="FDFDFC"/>
          </w:tcPr>
          <w:p>
            <w:pPr>
              <w:spacing w:after="0"/>
              <w:rPr>
                <w:sz w:val="15"/>
                <w:szCs w:val="15"/>
                <w:color w:val="auto"/>
              </w:rPr>
            </w:pPr>
          </w:p>
        </w:tc>
        <w:tc>
          <w:tcPr>
            <w:tcW w:w="960" w:type="dxa"/>
            <w:vAlign w:val="bottom"/>
            <w:shd w:val="clear" w:color="auto" w:fill="FDFDFC"/>
          </w:tcPr>
          <w:p>
            <w:pPr>
              <w:jc w:val="right"/>
              <w:spacing w:after="0"/>
              <w:rPr>
                <w:sz w:val="20"/>
                <w:szCs w:val="20"/>
                <w:color w:val="auto"/>
              </w:rPr>
            </w:pPr>
            <w:r>
              <w:rPr>
                <w:rFonts w:ascii="Times New Roman" w:cs="Times New Roman" w:eastAsia="Times New Roman" w:hAnsi="Times New Roman"/>
                <w:sz w:val="15"/>
                <w:szCs w:val="15"/>
                <w:color w:val="231F20"/>
              </w:rPr>
              <w:t>(AUD</w:t>
            </w:r>
          </w:p>
        </w:tc>
        <w:tc>
          <w:tcPr>
            <w:tcW w:w="200" w:type="dxa"/>
            <w:vAlign w:val="bottom"/>
            <w:shd w:val="clear" w:color="auto" w:fill="FDFDFC"/>
          </w:tcPr>
          <w:p>
            <w:pPr>
              <w:spacing w:after="0"/>
              <w:rPr>
                <w:sz w:val="15"/>
                <w:szCs w:val="15"/>
                <w:color w:val="auto"/>
              </w:rPr>
            </w:pPr>
          </w:p>
        </w:tc>
        <w:tc>
          <w:tcPr>
            <w:tcW w:w="900" w:type="dxa"/>
            <w:vAlign w:val="bottom"/>
            <w:shd w:val="clear" w:color="auto" w:fill="FDFDFC"/>
          </w:tcPr>
          <w:p>
            <w:pPr>
              <w:spacing w:after="0"/>
              <w:rPr>
                <w:sz w:val="15"/>
                <w:szCs w:val="15"/>
                <w:color w:val="auto"/>
              </w:rPr>
            </w:pPr>
          </w:p>
        </w:tc>
        <w:tc>
          <w:tcPr>
            <w:tcW w:w="240" w:type="dxa"/>
            <w:vAlign w:val="bottom"/>
            <w:shd w:val="clear" w:color="auto" w:fill="FDFDFC"/>
          </w:tcPr>
          <w:p>
            <w:pPr>
              <w:spacing w:after="0"/>
              <w:rPr>
                <w:sz w:val="15"/>
                <w:szCs w:val="15"/>
                <w:color w:val="auto"/>
              </w:rPr>
            </w:pPr>
          </w:p>
        </w:tc>
      </w:tr>
      <w:tr>
        <w:trPr>
          <w:trHeight w:val="189"/>
        </w:trPr>
        <w:tc>
          <w:tcPr>
            <w:tcW w:w="1440" w:type="dxa"/>
            <w:vAlign w:val="bottom"/>
            <w:shd w:val="clear" w:color="auto" w:fill="FDFDFC"/>
          </w:tcPr>
          <w:p>
            <w:pPr>
              <w:spacing w:after="0"/>
              <w:rPr>
                <w:sz w:val="16"/>
                <w:szCs w:val="16"/>
                <w:color w:val="auto"/>
              </w:rPr>
            </w:pPr>
          </w:p>
        </w:tc>
        <w:tc>
          <w:tcPr>
            <w:tcW w:w="2480" w:type="dxa"/>
            <w:vAlign w:val="bottom"/>
            <w:shd w:val="clear" w:color="auto" w:fill="FDFDFC"/>
          </w:tcPr>
          <w:p>
            <w:pPr>
              <w:spacing w:after="0"/>
              <w:rPr>
                <w:sz w:val="16"/>
                <w:szCs w:val="16"/>
                <w:color w:val="auto"/>
              </w:rPr>
            </w:pPr>
          </w:p>
        </w:tc>
        <w:tc>
          <w:tcPr>
            <w:tcW w:w="780" w:type="dxa"/>
            <w:vAlign w:val="bottom"/>
            <w:shd w:val="clear" w:color="auto" w:fill="FDFDFC"/>
          </w:tcPr>
          <w:p>
            <w:pPr>
              <w:spacing w:after="0"/>
              <w:rPr>
                <w:sz w:val="16"/>
                <w:szCs w:val="16"/>
                <w:color w:val="auto"/>
              </w:rPr>
            </w:pPr>
          </w:p>
        </w:tc>
        <w:tc>
          <w:tcPr>
            <w:tcW w:w="1080" w:type="dxa"/>
            <w:vAlign w:val="bottom"/>
            <w:shd w:val="clear" w:color="auto" w:fill="FDFDFC"/>
          </w:tcPr>
          <w:p>
            <w:pPr>
              <w:spacing w:after="0"/>
              <w:rPr>
                <w:sz w:val="16"/>
                <w:szCs w:val="16"/>
                <w:color w:val="auto"/>
              </w:rPr>
            </w:pPr>
          </w:p>
        </w:tc>
        <w:tc>
          <w:tcPr>
            <w:tcW w:w="1020" w:type="dxa"/>
            <w:vAlign w:val="bottom"/>
            <w:shd w:val="clear" w:color="auto" w:fill="FDFDFC"/>
          </w:tcPr>
          <w:p>
            <w:pPr>
              <w:spacing w:after="0"/>
              <w:rPr>
                <w:sz w:val="16"/>
                <w:szCs w:val="16"/>
                <w:color w:val="auto"/>
              </w:rPr>
            </w:pPr>
          </w:p>
        </w:tc>
        <w:tc>
          <w:tcPr>
            <w:tcW w:w="1000" w:type="dxa"/>
            <w:vAlign w:val="bottom"/>
            <w:shd w:val="clear" w:color="auto" w:fill="FDFDFC"/>
          </w:tcPr>
          <w:p>
            <w:pPr>
              <w:spacing w:after="0"/>
              <w:rPr>
                <w:sz w:val="16"/>
                <w:szCs w:val="16"/>
                <w:color w:val="auto"/>
              </w:rPr>
            </w:pPr>
          </w:p>
        </w:tc>
        <w:tc>
          <w:tcPr>
            <w:tcW w:w="1140" w:type="dxa"/>
            <w:vAlign w:val="bottom"/>
            <w:gridSpan w:val="2"/>
            <w:shd w:val="clear" w:color="auto" w:fill="FDFDFC"/>
          </w:tcPr>
          <w:p>
            <w:pPr>
              <w:jc w:val="right"/>
              <w:spacing w:after="0"/>
              <w:rPr>
                <w:sz w:val="20"/>
                <w:szCs w:val="20"/>
                <w:color w:val="auto"/>
              </w:rPr>
            </w:pPr>
            <w:r>
              <w:rPr>
                <w:rFonts w:ascii="Times New Roman" w:cs="Times New Roman" w:eastAsia="Times New Roman" w:hAnsi="Times New Roman"/>
                <w:sz w:val="15"/>
                <w:szCs w:val="15"/>
                <w:color w:val="231F20"/>
              </w:rPr>
              <w:t>50,000)</w:t>
            </w:r>
          </w:p>
        </w:tc>
        <w:tc>
          <w:tcPr>
            <w:tcW w:w="200" w:type="dxa"/>
            <w:vAlign w:val="bottom"/>
            <w:shd w:val="clear" w:color="auto" w:fill="FDFDFC"/>
          </w:tcPr>
          <w:p>
            <w:pPr>
              <w:spacing w:after="0"/>
              <w:rPr>
                <w:sz w:val="16"/>
                <w:szCs w:val="16"/>
                <w:color w:val="auto"/>
              </w:rPr>
            </w:pPr>
          </w:p>
        </w:tc>
        <w:tc>
          <w:tcPr>
            <w:tcW w:w="900" w:type="dxa"/>
            <w:vAlign w:val="bottom"/>
            <w:shd w:val="clear" w:color="auto" w:fill="FDFDFC"/>
          </w:tcPr>
          <w:p>
            <w:pPr>
              <w:spacing w:after="0"/>
              <w:rPr>
                <w:sz w:val="16"/>
                <w:szCs w:val="16"/>
                <w:color w:val="auto"/>
              </w:rPr>
            </w:pPr>
          </w:p>
        </w:tc>
        <w:tc>
          <w:tcPr>
            <w:tcW w:w="240" w:type="dxa"/>
            <w:vAlign w:val="bottom"/>
            <w:shd w:val="clear" w:color="auto" w:fill="FDFDFC"/>
          </w:tcPr>
          <w:p>
            <w:pPr>
              <w:spacing w:after="0"/>
              <w:rPr>
                <w:sz w:val="16"/>
                <w:szCs w:val="16"/>
                <w:color w:val="auto"/>
              </w:rPr>
            </w:pPr>
          </w:p>
        </w:tc>
      </w:tr>
      <w:tr>
        <w:trPr>
          <w:trHeight w:val="158"/>
        </w:trPr>
        <w:tc>
          <w:tcPr>
            <w:tcW w:w="1440" w:type="dxa"/>
            <w:vAlign w:val="bottom"/>
            <w:shd w:val="clear" w:color="auto" w:fill="D0EBF2"/>
          </w:tcPr>
          <w:p>
            <w:pPr>
              <w:spacing w:after="0" w:line="159" w:lineRule="exact"/>
              <w:rPr>
                <w:sz w:val="20"/>
                <w:szCs w:val="20"/>
                <w:color w:val="auto"/>
              </w:rPr>
            </w:pPr>
            <w:r>
              <w:rPr>
                <w:rFonts w:ascii="Times New Roman" w:cs="Times New Roman" w:eastAsia="Times New Roman" w:hAnsi="Times New Roman"/>
                <w:sz w:val="15"/>
                <w:szCs w:val="15"/>
                <w:color w:val="231F20"/>
              </w:rPr>
              <w:t>HireVue, Inc.</w:t>
            </w:r>
            <w:r>
              <w:rPr>
                <w:rFonts w:ascii="Times New Roman" w:cs="Times New Roman" w:eastAsia="Times New Roman" w:hAnsi="Times New Roman"/>
                <w:sz w:val="9"/>
                <w:szCs w:val="9"/>
                <w:color w:val="231F20"/>
              </w:rPr>
              <w:t>(3)</w:t>
            </w:r>
          </w:p>
        </w:tc>
        <w:tc>
          <w:tcPr>
            <w:tcW w:w="2480" w:type="dxa"/>
            <w:vAlign w:val="bottom"/>
            <w:shd w:val="clear" w:color="auto" w:fill="D0EBF2"/>
          </w:tcPr>
          <w:p>
            <w:pPr>
              <w:ind w:left="80"/>
              <w:spacing w:after="0" w:line="159" w:lineRule="exact"/>
              <w:rPr>
                <w:sz w:val="20"/>
                <w:szCs w:val="20"/>
                <w:color w:val="auto"/>
              </w:rPr>
            </w:pPr>
            <w:r>
              <w:rPr>
                <w:rFonts w:ascii="Times New Roman" w:cs="Times New Roman" w:eastAsia="Times New Roman" w:hAnsi="Times New Roman"/>
                <w:sz w:val="15"/>
                <w:szCs w:val="15"/>
                <w:color w:val="231F20"/>
              </w:rPr>
              <w:t>First-lien loan ($54,113 par, due</w:t>
            </w:r>
          </w:p>
        </w:tc>
        <w:tc>
          <w:tcPr>
            <w:tcW w:w="780" w:type="dxa"/>
            <w:vAlign w:val="bottom"/>
            <w:shd w:val="clear" w:color="auto" w:fill="D0EBF2"/>
          </w:tcPr>
          <w:p>
            <w:pPr>
              <w:jc w:val="right"/>
              <w:spacing w:after="0" w:line="159" w:lineRule="exact"/>
              <w:rPr>
                <w:sz w:val="20"/>
                <w:szCs w:val="20"/>
                <w:color w:val="auto"/>
              </w:rPr>
            </w:pPr>
            <w:r>
              <w:rPr>
                <w:rFonts w:ascii="Times New Roman" w:cs="Times New Roman" w:eastAsia="Times New Roman" w:hAnsi="Times New Roman"/>
                <w:sz w:val="15"/>
                <w:szCs w:val="15"/>
                <w:color w:val="231F20"/>
              </w:rPr>
              <w:t>5/3/2023</w:t>
            </w:r>
          </w:p>
        </w:tc>
        <w:tc>
          <w:tcPr>
            <w:tcW w:w="1080" w:type="dxa"/>
            <w:vAlign w:val="bottom"/>
            <w:shd w:val="clear" w:color="auto" w:fill="D0EBF2"/>
          </w:tcPr>
          <w:p>
            <w:pPr>
              <w:jc w:val="right"/>
              <w:ind w:right="124"/>
              <w:spacing w:after="0" w:line="159" w:lineRule="exact"/>
              <w:rPr>
                <w:sz w:val="20"/>
                <w:szCs w:val="20"/>
                <w:color w:val="auto"/>
              </w:rPr>
            </w:pPr>
            <w:r>
              <w:rPr>
                <w:rFonts w:ascii="Times New Roman" w:cs="Times New Roman" w:eastAsia="Times New Roman" w:hAnsi="Times New Roman"/>
                <w:sz w:val="15"/>
                <w:szCs w:val="15"/>
                <w:color w:val="231F20"/>
              </w:rPr>
              <w:t>SOFR +</w:t>
            </w:r>
          </w:p>
        </w:tc>
        <w:tc>
          <w:tcPr>
            <w:tcW w:w="1020" w:type="dxa"/>
            <w:vAlign w:val="bottom"/>
            <w:shd w:val="clear" w:color="auto" w:fill="D0EBF2"/>
          </w:tcPr>
          <w:p>
            <w:pPr>
              <w:jc w:val="right"/>
              <w:ind w:right="24"/>
              <w:spacing w:after="0" w:line="159" w:lineRule="exact"/>
              <w:rPr>
                <w:sz w:val="20"/>
                <w:szCs w:val="20"/>
                <w:color w:val="auto"/>
              </w:rPr>
            </w:pPr>
            <w:r>
              <w:rPr>
                <w:rFonts w:ascii="Times New Roman" w:cs="Times New Roman" w:eastAsia="Times New Roman" w:hAnsi="Times New Roman"/>
                <w:sz w:val="15"/>
                <w:szCs w:val="15"/>
                <w:color w:val="231F20"/>
              </w:rPr>
              <w:t>12.63%</w:t>
            </w:r>
          </w:p>
        </w:tc>
        <w:tc>
          <w:tcPr>
            <w:tcW w:w="1000" w:type="dxa"/>
            <w:vAlign w:val="bottom"/>
            <w:shd w:val="clear" w:color="auto" w:fill="D0EBF2"/>
          </w:tcPr>
          <w:p>
            <w:pPr>
              <w:jc w:val="right"/>
              <w:spacing w:after="0" w:line="159" w:lineRule="exact"/>
              <w:rPr>
                <w:sz w:val="20"/>
                <w:szCs w:val="20"/>
                <w:color w:val="auto"/>
              </w:rPr>
            </w:pPr>
            <w:r>
              <w:rPr>
                <w:rFonts w:ascii="Times New Roman" w:cs="Times New Roman" w:eastAsia="Times New Roman" w:hAnsi="Times New Roman"/>
                <w:sz w:val="15"/>
                <w:szCs w:val="15"/>
                <w:color w:val="231F20"/>
              </w:rPr>
              <w:t>52,478</w:t>
            </w:r>
          </w:p>
        </w:tc>
        <w:tc>
          <w:tcPr>
            <w:tcW w:w="1140" w:type="dxa"/>
            <w:vAlign w:val="bottom"/>
            <w:gridSpan w:val="2"/>
            <w:shd w:val="clear" w:color="auto" w:fill="D0EBF2"/>
          </w:tcPr>
          <w:p>
            <w:pPr>
              <w:jc w:val="right"/>
              <w:spacing w:after="0" w:line="159" w:lineRule="exact"/>
              <w:rPr>
                <w:sz w:val="20"/>
                <w:szCs w:val="20"/>
                <w:color w:val="auto"/>
              </w:rPr>
            </w:pPr>
            <w:r>
              <w:rPr>
                <w:rFonts w:ascii="Times New Roman" w:cs="Times New Roman" w:eastAsia="Times New Roman" w:hAnsi="Times New Roman"/>
                <w:sz w:val="15"/>
                <w:szCs w:val="15"/>
                <w:color w:val="231F20"/>
              </w:rPr>
              <w:t>53,808</w:t>
            </w:r>
          </w:p>
        </w:tc>
        <w:tc>
          <w:tcPr>
            <w:tcW w:w="1340" w:type="dxa"/>
            <w:vAlign w:val="bottom"/>
            <w:gridSpan w:val="3"/>
            <w:shd w:val="clear" w:color="auto" w:fill="D0EBF2"/>
          </w:tcPr>
          <w:p>
            <w:pPr>
              <w:jc w:val="right"/>
              <w:ind w:right="120"/>
              <w:spacing w:after="0" w:line="159" w:lineRule="exact"/>
              <w:rPr>
                <w:sz w:val="20"/>
                <w:szCs w:val="20"/>
                <w:color w:val="auto"/>
              </w:rPr>
            </w:pPr>
            <w:r>
              <w:rPr>
                <w:rFonts w:ascii="Times New Roman" w:cs="Times New Roman" w:eastAsia="Times New Roman" w:hAnsi="Times New Roman"/>
                <w:sz w:val="15"/>
                <w:szCs w:val="15"/>
                <w:color w:val="231F20"/>
              </w:rPr>
              <w:t>3.6%</w:t>
            </w:r>
          </w:p>
        </w:tc>
      </w:tr>
      <w:tr>
        <w:trPr>
          <w:trHeight w:val="189"/>
        </w:trPr>
        <w:tc>
          <w:tcPr>
            <w:tcW w:w="1440" w:type="dxa"/>
            <w:vAlign w:val="bottom"/>
            <w:shd w:val="clear" w:color="auto" w:fill="D0EBF2"/>
          </w:tcPr>
          <w:p>
            <w:pPr>
              <w:spacing w:after="0"/>
              <w:rPr>
                <w:sz w:val="16"/>
                <w:szCs w:val="16"/>
                <w:color w:val="auto"/>
              </w:rPr>
            </w:pPr>
          </w:p>
        </w:tc>
        <w:tc>
          <w:tcPr>
            <w:tcW w:w="2480" w:type="dxa"/>
            <w:vAlign w:val="bottom"/>
            <w:shd w:val="clear" w:color="auto" w:fill="D0EBF2"/>
          </w:tcPr>
          <w:p>
            <w:pPr>
              <w:ind w:left="80"/>
              <w:spacing w:after="0"/>
              <w:rPr>
                <w:sz w:val="20"/>
                <w:szCs w:val="20"/>
                <w:color w:val="auto"/>
              </w:rPr>
            </w:pPr>
            <w:r>
              <w:rPr>
                <w:rFonts w:ascii="Times New Roman" w:cs="Times New Roman" w:eastAsia="Times New Roman" w:hAnsi="Times New Roman"/>
                <w:sz w:val="15"/>
                <w:szCs w:val="15"/>
                <w:color w:val="231F20"/>
              </w:rPr>
              <w:t>5/2029)</w:t>
            </w:r>
          </w:p>
        </w:tc>
        <w:tc>
          <w:tcPr>
            <w:tcW w:w="780" w:type="dxa"/>
            <w:vAlign w:val="bottom"/>
            <w:shd w:val="clear" w:color="auto" w:fill="D0EBF2"/>
          </w:tcPr>
          <w:p>
            <w:pPr>
              <w:spacing w:after="0"/>
              <w:rPr>
                <w:sz w:val="16"/>
                <w:szCs w:val="16"/>
                <w:color w:val="auto"/>
              </w:rPr>
            </w:pPr>
          </w:p>
        </w:tc>
        <w:tc>
          <w:tcPr>
            <w:tcW w:w="1080" w:type="dxa"/>
            <w:vAlign w:val="bottom"/>
            <w:shd w:val="clear" w:color="auto" w:fill="D0EBF2"/>
          </w:tcPr>
          <w:p>
            <w:pPr>
              <w:jc w:val="right"/>
              <w:ind w:right="124"/>
              <w:spacing w:after="0"/>
              <w:rPr>
                <w:sz w:val="20"/>
                <w:szCs w:val="20"/>
                <w:color w:val="auto"/>
              </w:rPr>
            </w:pPr>
            <w:r>
              <w:rPr>
                <w:rFonts w:ascii="Times New Roman" w:cs="Times New Roman" w:eastAsia="Times New Roman" w:hAnsi="Times New Roman"/>
                <w:sz w:val="15"/>
                <w:szCs w:val="15"/>
                <w:color w:val="231F20"/>
              </w:rPr>
              <w:t>7.25%</w:t>
            </w:r>
          </w:p>
        </w:tc>
        <w:tc>
          <w:tcPr>
            <w:tcW w:w="1020" w:type="dxa"/>
            <w:vAlign w:val="bottom"/>
            <w:shd w:val="clear" w:color="auto" w:fill="D0EBF2"/>
          </w:tcPr>
          <w:p>
            <w:pPr>
              <w:spacing w:after="0"/>
              <w:rPr>
                <w:sz w:val="16"/>
                <w:szCs w:val="16"/>
                <w:color w:val="auto"/>
              </w:rPr>
            </w:pPr>
          </w:p>
        </w:tc>
        <w:tc>
          <w:tcPr>
            <w:tcW w:w="1000" w:type="dxa"/>
            <w:vAlign w:val="bottom"/>
            <w:shd w:val="clear" w:color="auto" w:fill="D0EBF2"/>
          </w:tcPr>
          <w:p>
            <w:pPr>
              <w:spacing w:after="0"/>
              <w:rPr>
                <w:sz w:val="16"/>
                <w:szCs w:val="16"/>
                <w:color w:val="auto"/>
              </w:rPr>
            </w:pPr>
          </w:p>
        </w:tc>
        <w:tc>
          <w:tcPr>
            <w:tcW w:w="180" w:type="dxa"/>
            <w:vAlign w:val="bottom"/>
            <w:shd w:val="clear" w:color="auto" w:fill="D0EBF2"/>
          </w:tcPr>
          <w:p>
            <w:pPr>
              <w:spacing w:after="0"/>
              <w:rPr>
                <w:sz w:val="16"/>
                <w:szCs w:val="16"/>
                <w:color w:val="auto"/>
              </w:rPr>
            </w:pPr>
          </w:p>
        </w:tc>
        <w:tc>
          <w:tcPr>
            <w:tcW w:w="960" w:type="dxa"/>
            <w:vAlign w:val="bottom"/>
            <w:shd w:val="clear" w:color="auto" w:fill="D0EBF2"/>
          </w:tcPr>
          <w:p>
            <w:pPr>
              <w:spacing w:after="0"/>
              <w:rPr>
                <w:sz w:val="16"/>
                <w:szCs w:val="16"/>
                <w:color w:val="auto"/>
              </w:rPr>
            </w:pPr>
          </w:p>
        </w:tc>
        <w:tc>
          <w:tcPr>
            <w:tcW w:w="200" w:type="dxa"/>
            <w:vAlign w:val="bottom"/>
            <w:shd w:val="clear" w:color="auto" w:fill="D0EBF2"/>
          </w:tcPr>
          <w:p>
            <w:pPr>
              <w:spacing w:after="0"/>
              <w:rPr>
                <w:sz w:val="16"/>
                <w:szCs w:val="16"/>
                <w:color w:val="auto"/>
              </w:rPr>
            </w:pPr>
          </w:p>
        </w:tc>
        <w:tc>
          <w:tcPr>
            <w:tcW w:w="900" w:type="dxa"/>
            <w:vAlign w:val="bottom"/>
            <w:shd w:val="clear" w:color="auto" w:fill="D0EBF2"/>
          </w:tcPr>
          <w:p>
            <w:pPr>
              <w:spacing w:after="0"/>
              <w:rPr>
                <w:sz w:val="16"/>
                <w:szCs w:val="16"/>
                <w:color w:val="auto"/>
              </w:rPr>
            </w:pPr>
          </w:p>
        </w:tc>
        <w:tc>
          <w:tcPr>
            <w:tcW w:w="240" w:type="dxa"/>
            <w:vAlign w:val="bottom"/>
            <w:shd w:val="clear" w:color="auto" w:fill="D0EBF2"/>
          </w:tcPr>
          <w:p>
            <w:pPr>
              <w:spacing w:after="0"/>
              <w:rPr>
                <w:sz w:val="16"/>
                <w:szCs w:val="16"/>
                <w:color w:val="auto"/>
              </w:rPr>
            </w:pPr>
          </w:p>
        </w:tc>
      </w:tr>
      <w:tr>
        <w:trPr>
          <w:trHeight w:val="158"/>
        </w:trPr>
        <w:tc>
          <w:tcPr>
            <w:tcW w:w="1440" w:type="dxa"/>
            <w:vAlign w:val="bottom"/>
            <w:shd w:val="clear" w:color="auto" w:fill="FDFDFC"/>
          </w:tcPr>
          <w:p>
            <w:pPr>
              <w:spacing w:after="0" w:line="159" w:lineRule="exact"/>
              <w:rPr>
                <w:sz w:val="20"/>
                <w:szCs w:val="20"/>
                <w:color w:val="auto"/>
              </w:rPr>
            </w:pPr>
            <w:r>
              <w:rPr>
                <w:rFonts w:ascii="Times New Roman" w:cs="Times New Roman" w:eastAsia="Times New Roman" w:hAnsi="Times New Roman"/>
                <w:sz w:val="15"/>
                <w:szCs w:val="15"/>
                <w:color w:val="231F20"/>
              </w:rPr>
              <w:t>Madcap Software,</w:t>
            </w:r>
          </w:p>
        </w:tc>
        <w:tc>
          <w:tcPr>
            <w:tcW w:w="2480" w:type="dxa"/>
            <w:vAlign w:val="bottom"/>
            <w:shd w:val="clear" w:color="auto" w:fill="FDFDFC"/>
          </w:tcPr>
          <w:p>
            <w:pPr>
              <w:ind w:left="80"/>
              <w:spacing w:after="0" w:line="159" w:lineRule="exact"/>
              <w:rPr>
                <w:sz w:val="20"/>
                <w:szCs w:val="20"/>
                <w:color w:val="auto"/>
              </w:rPr>
            </w:pPr>
            <w:r>
              <w:rPr>
                <w:rFonts w:ascii="Times New Roman" w:cs="Times New Roman" w:eastAsia="Times New Roman" w:hAnsi="Times New Roman"/>
                <w:sz w:val="15"/>
                <w:szCs w:val="15"/>
                <w:color w:val="231F20"/>
              </w:rPr>
              <w:t>First-lien loan ($32,500 par, due</w:t>
            </w:r>
          </w:p>
        </w:tc>
        <w:tc>
          <w:tcPr>
            <w:tcW w:w="780" w:type="dxa"/>
            <w:vAlign w:val="bottom"/>
            <w:shd w:val="clear" w:color="auto" w:fill="FDFDFC"/>
          </w:tcPr>
          <w:p>
            <w:pPr>
              <w:jc w:val="right"/>
              <w:spacing w:after="0" w:line="159" w:lineRule="exact"/>
              <w:rPr>
                <w:sz w:val="20"/>
                <w:szCs w:val="20"/>
                <w:color w:val="auto"/>
              </w:rPr>
            </w:pPr>
            <w:r>
              <w:rPr>
                <w:rFonts w:ascii="Times New Roman" w:cs="Times New Roman" w:eastAsia="Times New Roman" w:hAnsi="Times New Roman"/>
                <w:sz w:val="15"/>
                <w:szCs w:val="15"/>
                <w:color w:val="231F20"/>
              </w:rPr>
              <w:t>12/15/2023</w:t>
            </w:r>
          </w:p>
        </w:tc>
        <w:tc>
          <w:tcPr>
            <w:tcW w:w="1080" w:type="dxa"/>
            <w:vAlign w:val="bottom"/>
            <w:shd w:val="clear" w:color="auto" w:fill="FDFDFC"/>
          </w:tcPr>
          <w:p>
            <w:pPr>
              <w:jc w:val="right"/>
              <w:ind w:right="124"/>
              <w:spacing w:after="0" w:line="159" w:lineRule="exact"/>
              <w:rPr>
                <w:sz w:val="20"/>
                <w:szCs w:val="20"/>
                <w:color w:val="auto"/>
              </w:rPr>
            </w:pPr>
            <w:r>
              <w:rPr>
                <w:rFonts w:ascii="Times New Roman" w:cs="Times New Roman" w:eastAsia="Times New Roman" w:hAnsi="Times New Roman"/>
                <w:sz w:val="15"/>
                <w:szCs w:val="15"/>
                <w:color w:val="231F20"/>
              </w:rPr>
              <w:t>SOFR +</w:t>
            </w:r>
          </w:p>
        </w:tc>
        <w:tc>
          <w:tcPr>
            <w:tcW w:w="1020" w:type="dxa"/>
            <w:vAlign w:val="bottom"/>
            <w:shd w:val="clear" w:color="auto" w:fill="FDFDFC"/>
          </w:tcPr>
          <w:p>
            <w:pPr>
              <w:jc w:val="right"/>
              <w:ind w:right="24"/>
              <w:spacing w:after="0" w:line="159" w:lineRule="exact"/>
              <w:rPr>
                <w:sz w:val="20"/>
                <w:szCs w:val="20"/>
                <w:color w:val="auto"/>
              </w:rPr>
            </w:pPr>
            <w:r>
              <w:rPr>
                <w:rFonts w:ascii="Times New Roman" w:cs="Times New Roman" w:eastAsia="Times New Roman" w:hAnsi="Times New Roman"/>
                <w:sz w:val="15"/>
                <w:szCs w:val="15"/>
                <w:color w:val="231F20"/>
              </w:rPr>
              <w:t>11.46%</w:t>
            </w:r>
          </w:p>
        </w:tc>
        <w:tc>
          <w:tcPr>
            <w:tcW w:w="1000" w:type="dxa"/>
            <w:vAlign w:val="bottom"/>
            <w:shd w:val="clear" w:color="auto" w:fill="FDFDFC"/>
          </w:tcPr>
          <w:p>
            <w:pPr>
              <w:jc w:val="right"/>
              <w:spacing w:after="0" w:line="159" w:lineRule="exact"/>
              <w:rPr>
                <w:sz w:val="20"/>
                <w:szCs w:val="20"/>
                <w:color w:val="auto"/>
              </w:rPr>
            </w:pPr>
            <w:r>
              <w:rPr>
                <w:rFonts w:ascii="Times New Roman" w:cs="Times New Roman" w:eastAsia="Times New Roman" w:hAnsi="Times New Roman"/>
                <w:sz w:val="15"/>
                <w:szCs w:val="15"/>
                <w:color w:val="231F20"/>
              </w:rPr>
              <w:t>31,713</w:t>
            </w:r>
          </w:p>
        </w:tc>
        <w:tc>
          <w:tcPr>
            <w:tcW w:w="1140" w:type="dxa"/>
            <w:vAlign w:val="bottom"/>
            <w:gridSpan w:val="2"/>
            <w:shd w:val="clear" w:color="auto" w:fill="FDFDFC"/>
          </w:tcPr>
          <w:p>
            <w:pPr>
              <w:jc w:val="right"/>
              <w:spacing w:after="0" w:line="159" w:lineRule="exact"/>
              <w:rPr>
                <w:sz w:val="20"/>
                <w:szCs w:val="20"/>
                <w:color w:val="auto"/>
              </w:rPr>
            </w:pPr>
            <w:r>
              <w:rPr>
                <w:rFonts w:ascii="Times New Roman" w:cs="Times New Roman" w:eastAsia="Times New Roman" w:hAnsi="Times New Roman"/>
                <w:sz w:val="15"/>
                <w:szCs w:val="15"/>
                <w:color w:val="231F20"/>
              </w:rPr>
              <w:t>31,769</w:t>
            </w:r>
          </w:p>
        </w:tc>
        <w:tc>
          <w:tcPr>
            <w:tcW w:w="1340" w:type="dxa"/>
            <w:vAlign w:val="bottom"/>
            <w:gridSpan w:val="3"/>
            <w:shd w:val="clear" w:color="auto" w:fill="FDFDFC"/>
          </w:tcPr>
          <w:p>
            <w:pPr>
              <w:jc w:val="right"/>
              <w:ind w:right="120"/>
              <w:spacing w:after="0" w:line="159" w:lineRule="exact"/>
              <w:rPr>
                <w:sz w:val="20"/>
                <w:szCs w:val="20"/>
                <w:color w:val="auto"/>
              </w:rPr>
            </w:pPr>
            <w:r>
              <w:rPr>
                <w:rFonts w:ascii="Times New Roman" w:cs="Times New Roman" w:eastAsia="Times New Roman" w:hAnsi="Times New Roman"/>
                <w:sz w:val="15"/>
                <w:szCs w:val="15"/>
                <w:color w:val="231F20"/>
              </w:rPr>
              <w:t>2.1%</w:t>
            </w:r>
          </w:p>
        </w:tc>
      </w:tr>
      <w:tr>
        <w:trPr>
          <w:trHeight w:val="189"/>
        </w:trPr>
        <w:tc>
          <w:tcPr>
            <w:tcW w:w="1440" w:type="dxa"/>
            <w:vAlign w:val="bottom"/>
            <w:shd w:val="clear" w:color="auto" w:fill="FDFDFC"/>
          </w:tcPr>
          <w:p>
            <w:pPr>
              <w:spacing w:after="0" w:line="190" w:lineRule="exact"/>
              <w:rPr>
                <w:sz w:val="20"/>
                <w:szCs w:val="20"/>
                <w:color w:val="auto"/>
              </w:rPr>
            </w:pPr>
            <w:r>
              <w:rPr>
                <w:rFonts w:ascii="Times New Roman" w:cs="Times New Roman" w:eastAsia="Times New Roman" w:hAnsi="Times New Roman"/>
                <w:sz w:val="21"/>
                <w:szCs w:val="21"/>
                <w:color w:val="231F20"/>
                <w:vertAlign w:val="subscript"/>
              </w:rPr>
              <w:t>Inc.</w:t>
            </w:r>
            <w:r>
              <w:rPr>
                <w:rFonts w:ascii="Times New Roman" w:cs="Times New Roman" w:eastAsia="Times New Roman" w:hAnsi="Times New Roman"/>
                <w:sz w:val="8"/>
                <w:szCs w:val="8"/>
                <w:color w:val="231F20"/>
              </w:rPr>
              <w:t>(3)(5)</w:t>
            </w:r>
          </w:p>
        </w:tc>
        <w:tc>
          <w:tcPr>
            <w:tcW w:w="2480" w:type="dxa"/>
            <w:vAlign w:val="bottom"/>
            <w:shd w:val="clear" w:color="auto" w:fill="FDFDFC"/>
          </w:tcPr>
          <w:p>
            <w:pPr>
              <w:ind w:left="80"/>
              <w:spacing w:after="0"/>
              <w:rPr>
                <w:sz w:val="20"/>
                <w:szCs w:val="20"/>
                <w:color w:val="auto"/>
              </w:rPr>
            </w:pPr>
            <w:r>
              <w:rPr>
                <w:rFonts w:ascii="Times New Roman" w:cs="Times New Roman" w:eastAsia="Times New Roman" w:hAnsi="Times New Roman"/>
                <w:sz w:val="15"/>
                <w:szCs w:val="15"/>
                <w:color w:val="231F20"/>
              </w:rPr>
              <w:t>12/2026)</w:t>
            </w:r>
          </w:p>
        </w:tc>
        <w:tc>
          <w:tcPr>
            <w:tcW w:w="780" w:type="dxa"/>
            <w:vAlign w:val="bottom"/>
            <w:shd w:val="clear" w:color="auto" w:fill="FDFDFC"/>
          </w:tcPr>
          <w:p>
            <w:pPr>
              <w:spacing w:after="0"/>
              <w:rPr>
                <w:sz w:val="16"/>
                <w:szCs w:val="16"/>
                <w:color w:val="auto"/>
              </w:rPr>
            </w:pPr>
          </w:p>
        </w:tc>
        <w:tc>
          <w:tcPr>
            <w:tcW w:w="1080" w:type="dxa"/>
            <w:vAlign w:val="bottom"/>
            <w:shd w:val="clear" w:color="auto" w:fill="FDFDFC"/>
          </w:tcPr>
          <w:p>
            <w:pPr>
              <w:jc w:val="right"/>
              <w:ind w:right="124"/>
              <w:spacing w:after="0"/>
              <w:rPr>
                <w:sz w:val="20"/>
                <w:szCs w:val="20"/>
                <w:color w:val="auto"/>
              </w:rPr>
            </w:pPr>
            <w:r>
              <w:rPr>
                <w:rFonts w:ascii="Times New Roman" w:cs="Times New Roman" w:eastAsia="Times New Roman" w:hAnsi="Times New Roman"/>
                <w:sz w:val="15"/>
                <w:szCs w:val="15"/>
                <w:color w:val="231F20"/>
              </w:rPr>
              <w:t>6.10%</w:t>
            </w:r>
          </w:p>
        </w:tc>
        <w:tc>
          <w:tcPr>
            <w:tcW w:w="1020" w:type="dxa"/>
            <w:vAlign w:val="bottom"/>
            <w:shd w:val="clear" w:color="auto" w:fill="FDFDFC"/>
          </w:tcPr>
          <w:p>
            <w:pPr>
              <w:spacing w:after="0"/>
              <w:rPr>
                <w:sz w:val="16"/>
                <w:szCs w:val="16"/>
                <w:color w:val="auto"/>
              </w:rPr>
            </w:pPr>
          </w:p>
        </w:tc>
        <w:tc>
          <w:tcPr>
            <w:tcW w:w="1000" w:type="dxa"/>
            <w:vAlign w:val="bottom"/>
            <w:shd w:val="clear" w:color="auto" w:fill="FDFDFC"/>
          </w:tcPr>
          <w:p>
            <w:pPr>
              <w:spacing w:after="0"/>
              <w:rPr>
                <w:sz w:val="16"/>
                <w:szCs w:val="16"/>
                <w:color w:val="auto"/>
              </w:rPr>
            </w:pPr>
          </w:p>
        </w:tc>
        <w:tc>
          <w:tcPr>
            <w:tcW w:w="180" w:type="dxa"/>
            <w:vAlign w:val="bottom"/>
            <w:shd w:val="clear" w:color="auto" w:fill="FDFDFC"/>
          </w:tcPr>
          <w:p>
            <w:pPr>
              <w:spacing w:after="0"/>
              <w:rPr>
                <w:sz w:val="16"/>
                <w:szCs w:val="16"/>
                <w:color w:val="auto"/>
              </w:rPr>
            </w:pPr>
          </w:p>
        </w:tc>
        <w:tc>
          <w:tcPr>
            <w:tcW w:w="960" w:type="dxa"/>
            <w:vAlign w:val="bottom"/>
            <w:shd w:val="clear" w:color="auto" w:fill="FDFDFC"/>
          </w:tcPr>
          <w:p>
            <w:pPr>
              <w:spacing w:after="0"/>
              <w:rPr>
                <w:sz w:val="16"/>
                <w:szCs w:val="16"/>
                <w:color w:val="auto"/>
              </w:rPr>
            </w:pPr>
          </w:p>
        </w:tc>
        <w:tc>
          <w:tcPr>
            <w:tcW w:w="200" w:type="dxa"/>
            <w:vAlign w:val="bottom"/>
            <w:shd w:val="clear" w:color="auto" w:fill="FDFDFC"/>
          </w:tcPr>
          <w:p>
            <w:pPr>
              <w:spacing w:after="0"/>
              <w:rPr>
                <w:sz w:val="16"/>
                <w:szCs w:val="16"/>
                <w:color w:val="auto"/>
              </w:rPr>
            </w:pPr>
          </w:p>
        </w:tc>
        <w:tc>
          <w:tcPr>
            <w:tcW w:w="900" w:type="dxa"/>
            <w:vAlign w:val="bottom"/>
            <w:shd w:val="clear" w:color="auto" w:fill="FDFDFC"/>
          </w:tcPr>
          <w:p>
            <w:pPr>
              <w:spacing w:after="0"/>
              <w:rPr>
                <w:sz w:val="16"/>
                <w:szCs w:val="16"/>
                <w:color w:val="auto"/>
              </w:rPr>
            </w:pPr>
          </w:p>
        </w:tc>
        <w:tc>
          <w:tcPr>
            <w:tcW w:w="240" w:type="dxa"/>
            <w:vAlign w:val="bottom"/>
            <w:shd w:val="clear" w:color="auto" w:fill="FDFDFC"/>
          </w:tcPr>
          <w:p>
            <w:pPr>
              <w:spacing w:after="0"/>
              <w:rPr>
                <w:sz w:val="16"/>
                <w:szCs w:val="16"/>
                <w:color w:val="auto"/>
              </w:rPr>
            </w:pPr>
          </w:p>
        </w:tc>
      </w:tr>
      <w:tr>
        <w:trPr>
          <w:trHeight w:val="158"/>
        </w:trPr>
        <w:tc>
          <w:tcPr>
            <w:tcW w:w="1440" w:type="dxa"/>
            <w:vAlign w:val="bottom"/>
            <w:shd w:val="clear" w:color="auto" w:fill="D0EBF2"/>
          </w:tcPr>
          <w:p>
            <w:pPr>
              <w:spacing w:after="0" w:line="159" w:lineRule="exact"/>
              <w:rPr>
                <w:sz w:val="20"/>
                <w:szCs w:val="20"/>
                <w:color w:val="auto"/>
              </w:rPr>
            </w:pPr>
            <w:r>
              <w:rPr>
                <w:rFonts w:ascii="Times New Roman" w:cs="Times New Roman" w:eastAsia="Times New Roman" w:hAnsi="Times New Roman"/>
                <w:sz w:val="15"/>
                <w:szCs w:val="15"/>
                <w:color w:val="231F20"/>
              </w:rPr>
              <w:t>PageUp People, Ltd.</w:t>
            </w:r>
          </w:p>
        </w:tc>
        <w:tc>
          <w:tcPr>
            <w:tcW w:w="2480" w:type="dxa"/>
            <w:vAlign w:val="bottom"/>
            <w:shd w:val="clear" w:color="auto" w:fill="D0EBF2"/>
          </w:tcPr>
          <w:p>
            <w:pPr>
              <w:ind w:left="80"/>
              <w:spacing w:after="0" w:line="159" w:lineRule="exact"/>
              <w:rPr>
                <w:sz w:val="20"/>
                <w:szCs w:val="20"/>
                <w:color w:val="auto"/>
              </w:rPr>
            </w:pPr>
            <w:r>
              <w:rPr>
                <w:rFonts w:ascii="Times New Roman" w:cs="Times New Roman" w:eastAsia="Times New Roman" w:hAnsi="Times New Roman"/>
                <w:sz w:val="15"/>
                <w:szCs w:val="15"/>
                <w:color w:val="231F20"/>
              </w:rPr>
              <w:t>First-lien loan (AUD 13,400 par, due</w:t>
            </w:r>
          </w:p>
        </w:tc>
        <w:tc>
          <w:tcPr>
            <w:tcW w:w="780" w:type="dxa"/>
            <w:vAlign w:val="bottom"/>
            <w:shd w:val="clear" w:color="auto" w:fill="D0EBF2"/>
          </w:tcPr>
          <w:p>
            <w:pPr>
              <w:jc w:val="right"/>
              <w:spacing w:after="0" w:line="159" w:lineRule="exact"/>
              <w:rPr>
                <w:sz w:val="20"/>
                <w:szCs w:val="20"/>
                <w:color w:val="auto"/>
              </w:rPr>
            </w:pPr>
            <w:r>
              <w:rPr>
                <w:rFonts w:ascii="Times New Roman" w:cs="Times New Roman" w:eastAsia="Times New Roman" w:hAnsi="Times New Roman"/>
                <w:sz w:val="15"/>
                <w:szCs w:val="15"/>
                <w:color w:val="231F20"/>
              </w:rPr>
              <w:t>1/11/2018</w:t>
            </w:r>
          </w:p>
        </w:tc>
        <w:tc>
          <w:tcPr>
            <w:tcW w:w="1080" w:type="dxa"/>
            <w:vAlign w:val="bottom"/>
            <w:shd w:val="clear" w:color="auto" w:fill="D0EBF2"/>
          </w:tcPr>
          <w:p>
            <w:pPr>
              <w:jc w:val="right"/>
              <w:ind w:right="124"/>
              <w:spacing w:after="0" w:line="159" w:lineRule="exact"/>
              <w:rPr>
                <w:sz w:val="20"/>
                <w:szCs w:val="20"/>
                <w:color w:val="auto"/>
              </w:rPr>
            </w:pPr>
            <w:r>
              <w:rPr>
                <w:rFonts w:ascii="Times New Roman" w:cs="Times New Roman" w:eastAsia="Times New Roman" w:hAnsi="Times New Roman"/>
                <w:sz w:val="15"/>
                <w:szCs w:val="15"/>
                <w:color w:val="231F20"/>
              </w:rPr>
              <w:t>B + 5.00%</w:t>
            </w:r>
          </w:p>
        </w:tc>
        <w:tc>
          <w:tcPr>
            <w:tcW w:w="1020" w:type="dxa"/>
            <w:vAlign w:val="bottom"/>
            <w:shd w:val="clear" w:color="auto" w:fill="D0EBF2"/>
          </w:tcPr>
          <w:p>
            <w:pPr>
              <w:jc w:val="right"/>
              <w:ind w:right="24"/>
              <w:spacing w:after="0" w:line="159" w:lineRule="exact"/>
              <w:rPr>
                <w:sz w:val="20"/>
                <w:szCs w:val="20"/>
                <w:color w:val="auto"/>
              </w:rPr>
            </w:pPr>
            <w:r>
              <w:rPr>
                <w:rFonts w:ascii="Times New Roman" w:cs="Times New Roman" w:eastAsia="Times New Roman" w:hAnsi="Times New Roman"/>
                <w:sz w:val="15"/>
                <w:szCs w:val="15"/>
                <w:color w:val="231F20"/>
              </w:rPr>
              <w:t>9.36%</w:t>
            </w:r>
          </w:p>
        </w:tc>
        <w:tc>
          <w:tcPr>
            <w:tcW w:w="1000" w:type="dxa"/>
            <w:vAlign w:val="bottom"/>
            <w:shd w:val="clear" w:color="auto" w:fill="D0EBF2"/>
          </w:tcPr>
          <w:p>
            <w:pPr>
              <w:jc w:val="right"/>
              <w:spacing w:after="0" w:line="159" w:lineRule="exact"/>
              <w:rPr>
                <w:sz w:val="20"/>
                <w:szCs w:val="20"/>
                <w:color w:val="auto"/>
              </w:rPr>
            </w:pPr>
            <w:r>
              <w:rPr>
                <w:rFonts w:ascii="Times New Roman" w:cs="Times New Roman" w:eastAsia="Times New Roman" w:hAnsi="Times New Roman"/>
                <w:sz w:val="15"/>
                <w:szCs w:val="15"/>
                <w:color w:val="231F20"/>
              </w:rPr>
              <w:t>10,114</w:t>
            </w:r>
          </w:p>
        </w:tc>
        <w:tc>
          <w:tcPr>
            <w:tcW w:w="1140" w:type="dxa"/>
            <w:vAlign w:val="bottom"/>
            <w:gridSpan w:val="2"/>
            <w:shd w:val="clear" w:color="auto" w:fill="D0EBF2"/>
          </w:tcPr>
          <w:p>
            <w:pPr>
              <w:jc w:val="right"/>
              <w:spacing w:after="0" w:line="159" w:lineRule="exact"/>
              <w:rPr>
                <w:sz w:val="20"/>
                <w:szCs w:val="20"/>
                <w:color w:val="auto"/>
              </w:rPr>
            </w:pPr>
            <w:r>
              <w:rPr>
                <w:rFonts w:ascii="Times New Roman" w:cs="Times New Roman" w:eastAsia="Times New Roman" w:hAnsi="Times New Roman"/>
                <w:sz w:val="15"/>
                <w:szCs w:val="15"/>
                <w:color w:val="231F20"/>
              </w:rPr>
              <w:t>9,143</w:t>
            </w:r>
          </w:p>
        </w:tc>
        <w:tc>
          <w:tcPr>
            <w:tcW w:w="1340" w:type="dxa"/>
            <w:vAlign w:val="bottom"/>
            <w:gridSpan w:val="3"/>
            <w:shd w:val="clear" w:color="auto" w:fill="D0EBF2"/>
          </w:tcPr>
          <w:p>
            <w:pPr>
              <w:jc w:val="right"/>
              <w:ind w:right="120"/>
              <w:spacing w:after="0" w:line="159" w:lineRule="exact"/>
              <w:rPr>
                <w:sz w:val="20"/>
                <w:szCs w:val="20"/>
                <w:color w:val="auto"/>
              </w:rPr>
            </w:pPr>
            <w:r>
              <w:rPr>
                <w:rFonts w:ascii="Times New Roman" w:cs="Times New Roman" w:eastAsia="Times New Roman" w:hAnsi="Times New Roman"/>
                <w:sz w:val="15"/>
                <w:szCs w:val="15"/>
                <w:color w:val="231F20"/>
              </w:rPr>
              <w:t>0.6%</w:t>
            </w:r>
          </w:p>
        </w:tc>
      </w:tr>
      <w:tr>
        <w:trPr>
          <w:trHeight w:val="174"/>
        </w:trPr>
        <w:tc>
          <w:tcPr>
            <w:tcW w:w="1440" w:type="dxa"/>
            <w:vAlign w:val="bottom"/>
            <w:shd w:val="clear" w:color="auto" w:fill="D0EBF2"/>
          </w:tcPr>
          <w:p>
            <w:pPr>
              <w:spacing w:after="0"/>
              <w:rPr>
                <w:sz w:val="20"/>
                <w:szCs w:val="20"/>
                <w:color w:val="auto"/>
              </w:rPr>
            </w:pPr>
            <w:r>
              <w:rPr>
                <w:rFonts w:ascii="Times New Roman" w:cs="Times New Roman" w:eastAsia="Times New Roman" w:hAnsi="Times New Roman"/>
                <w:sz w:val="9"/>
                <w:szCs w:val="9"/>
                <w:color w:val="231F20"/>
              </w:rPr>
              <w:t>(3)(4)(5)</w:t>
            </w:r>
          </w:p>
        </w:tc>
        <w:tc>
          <w:tcPr>
            <w:tcW w:w="2480" w:type="dxa"/>
            <w:vAlign w:val="bottom"/>
            <w:shd w:val="clear" w:color="auto" w:fill="D0EBF2"/>
          </w:tcPr>
          <w:p>
            <w:pPr>
              <w:ind w:left="80"/>
              <w:spacing w:after="0"/>
              <w:rPr>
                <w:sz w:val="20"/>
                <w:szCs w:val="20"/>
                <w:color w:val="auto"/>
              </w:rPr>
            </w:pPr>
            <w:r>
              <w:rPr>
                <w:rFonts w:ascii="Times New Roman" w:cs="Times New Roman" w:eastAsia="Times New Roman" w:hAnsi="Times New Roman"/>
                <w:sz w:val="15"/>
                <w:szCs w:val="15"/>
                <w:color w:val="231F20"/>
              </w:rPr>
              <w:t>12/2025)</w:t>
            </w:r>
          </w:p>
        </w:tc>
        <w:tc>
          <w:tcPr>
            <w:tcW w:w="780" w:type="dxa"/>
            <w:vAlign w:val="bottom"/>
            <w:shd w:val="clear" w:color="auto" w:fill="D0EBF2"/>
          </w:tcPr>
          <w:p>
            <w:pPr>
              <w:spacing w:after="0"/>
              <w:rPr>
                <w:sz w:val="15"/>
                <w:szCs w:val="15"/>
                <w:color w:val="auto"/>
              </w:rPr>
            </w:pPr>
          </w:p>
        </w:tc>
        <w:tc>
          <w:tcPr>
            <w:tcW w:w="1080" w:type="dxa"/>
            <w:vAlign w:val="bottom"/>
            <w:shd w:val="clear" w:color="auto" w:fill="D0EBF2"/>
          </w:tcPr>
          <w:p>
            <w:pPr>
              <w:spacing w:after="0"/>
              <w:rPr>
                <w:sz w:val="15"/>
                <w:szCs w:val="15"/>
                <w:color w:val="auto"/>
              </w:rPr>
            </w:pPr>
          </w:p>
        </w:tc>
        <w:tc>
          <w:tcPr>
            <w:tcW w:w="1020" w:type="dxa"/>
            <w:vAlign w:val="bottom"/>
            <w:shd w:val="clear" w:color="auto" w:fill="D0EBF2"/>
          </w:tcPr>
          <w:p>
            <w:pPr>
              <w:spacing w:after="0"/>
              <w:rPr>
                <w:sz w:val="15"/>
                <w:szCs w:val="15"/>
                <w:color w:val="auto"/>
              </w:rPr>
            </w:pPr>
          </w:p>
        </w:tc>
        <w:tc>
          <w:tcPr>
            <w:tcW w:w="1000" w:type="dxa"/>
            <w:vAlign w:val="bottom"/>
            <w:shd w:val="clear" w:color="auto" w:fill="D0EBF2"/>
          </w:tcPr>
          <w:p>
            <w:pPr>
              <w:spacing w:after="0"/>
              <w:rPr>
                <w:sz w:val="15"/>
                <w:szCs w:val="15"/>
                <w:color w:val="auto"/>
              </w:rPr>
            </w:pPr>
          </w:p>
        </w:tc>
        <w:tc>
          <w:tcPr>
            <w:tcW w:w="180" w:type="dxa"/>
            <w:vAlign w:val="bottom"/>
            <w:shd w:val="clear" w:color="auto" w:fill="D0EBF2"/>
          </w:tcPr>
          <w:p>
            <w:pPr>
              <w:spacing w:after="0"/>
              <w:rPr>
                <w:sz w:val="15"/>
                <w:szCs w:val="15"/>
                <w:color w:val="auto"/>
              </w:rPr>
            </w:pPr>
          </w:p>
        </w:tc>
        <w:tc>
          <w:tcPr>
            <w:tcW w:w="960" w:type="dxa"/>
            <w:vAlign w:val="bottom"/>
            <w:shd w:val="clear" w:color="auto" w:fill="D0EBF2"/>
          </w:tcPr>
          <w:p>
            <w:pPr>
              <w:jc w:val="right"/>
              <w:spacing w:after="0"/>
              <w:rPr>
                <w:sz w:val="20"/>
                <w:szCs w:val="20"/>
                <w:color w:val="auto"/>
              </w:rPr>
            </w:pPr>
            <w:r>
              <w:rPr>
                <w:rFonts w:ascii="Times New Roman" w:cs="Times New Roman" w:eastAsia="Times New Roman" w:hAnsi="Times New Roman"/>
                <w:sz w:val="15"/>
                <w:szCs w:val="15"/>
                <w:color w:val="231F20"/>
              </w:rPr>
              <w:t>(AUD</w:t>
            </w:r>
          </w:p>
        </w:tc>
        <w:tc>
          <w:tcPr>
            <w:tcW w:w="200" w:type="dxa"/>
            <w:vAlign w:val="bottom"/>
            <w:shd w:val="clear" w:color="auto" w:fill="D0EBF2"/>
          </w:tcPr>
          <w:p>
            <w:pPr>
              <w:spacing w:after="0"/>
              <w:rPr>
                <w:sz w:val="15"/>
                <w:szCs w:val="15"/>
                <w:color w:val="auto"/>
              </w:rPr>
            </w:pPr>
          </w:p>
        </w:tc>
        <w:tc>
          <w:tcPr>
            <w:tcW w:w="900" w:type="dxa"/>
            <w:vAlign w:val="bottom"/>
            <w:shd w:val="clear" w:color="auto" w:fill="D0EBF2"/>
          </w:tcPr>
          <w:p>
            <w:pPr>
              <w:spacing w:after="0"/>
              <w:rPr>
                <w:sz w:val="15"/>
                <w:szCs w:val="15"/>
                <w:color w:val="auto"/>
              </w:rPr>
            </w:pPr>
          </w:p>
        </w:tc>
        <w:tc>
          <w:tcPr>
            <w:tcW w:w="240" w:type="dxa"/>
            <w:vAlign w:val="bottom"/>
            <w:shd w:val="clear" w:color="auto" w:fill="D0EBF2"/>
          </w:tcPr>
          <w:p>
            <w:pPr>
              <w:spacing w:after="0"/>
              <w:rPr>
                <w:sz w:val="15"/>
                <w:szCs w:val="15"/>
                <w:color w:val="auto"/>
              </w:rPr>
            </w:pPr>
          </w:p>
        </w:tc>
      </w:tr>
      <w:tr>
        <w:trPr>
          <w:trHeight w:val="189"/>
        </w:trPr>
        <w:tc>
          <w:tcPr>
            <w:tcW w:w="1440" w:type="dxa"/>
            <w:vAlign w:val="bottom"/>
            <w:shd w:val="clear" w:color="auto" w:fill="D0EBF2"/>
          </w:tcPr>
          <w:p>
            <w:pPr>
              <w:spacing w:after="0"/>
              <w:rPr>
                <w:sz w:val="16"/>
                <w:szCs w:val="16"/>
                <w:color w:val="auto"/>
              </w:rPr>
            </w:pPr>
          </w:p>
        </w:tc>
        <w:tc>
          <w:tcPr>
            <w:tcW w:w="2480" w:type="dxa"/>
            <w:vAlign w:val="bottom"/>
            <w:shd w:val="clear" w:color="auto" w:fill="D0EBF2"/>
          </w:tcPr>
          <w:p>
            <w:pPr>
              <w:spacing w:after="0"/>
              <w:rPr>
                <w:sz w:val="16"/>
                <w:szCs w:val="16"/>
                <w:color w:val="auto"/>
              </w:rPr>
            </w:pPr>
          </w:p>
        </w:tc>
        <w:tc>
          <w:tcPr>
            <w:tcW w:w="780" w:type="dxa"/>
            <w:vAlign w:val="bottom"/>
            <w:shd w:val="clear" w:color="auto" w:fill="D0EBF2"/>
          </w:tcPr>
          <w:p>
            <w:pPr>
              <w:spacing w:after="0"/>
              <w:rPr>
                <w:sz w:val="16"/>
                <w:szCs w:val="16"/>
                <w:color w:val="auto"/>
              </w:rPr>
            </w:pPr>
          </w:p>
        </w:tc>
        <w:tc>
          <w:tcPr>
            <w:tcW w:w="1080" w:type="dxa"/>
            <w:vAlign w:val="bottom"/>
            <w:shd w:val="clear" w:color="auto" w:fill="D0EBF2"/>
          </w:tcPr>
          <w:p>
            <w:pPr>
              <w:spacing w:after="0"/>
              <w:rPr>
                <w:sz w:val="16"/>
                <w:szCs w:val="16"/>
                <w:color w:val="auto"/>
              </w:rPr>
            </w:pPr>
          </w:p>
        </w:tc>
        <w:tc>
          <w:tcPr>
            <w:tcW w:w="1020" w:type="dxa"/>
            <w:vAlign w:val="bottom"/>
            <w:shd w:val="clear" w:color="auto" w:fill="D0EBF2"/>
          </w:tcPr>
          <w:p>
            <w:pPr>
              <w:spacing w:after="0"/>
              <w:rPr>
                <w:sz w:val="16"/>
                <w:szCs w:val="16"/>
                <w:color w:val="auto"/>
              </w:rPr>
            </w:pPr>
          </w:p>
        </w:tc>
        <w:tc>
          <w:tcPr>
            <w:tcW w:w="1000" w:type="dxa"/>
            <w:vAlign w:val="bottom"/>
            <w:shd w:val="clear" w:color="auto" w:fill="D0EBF2"/>
          </w:tcPr>
          <w:p>
            <w:pPr>
              <w:spacing w:after="0"/>
              <w:rPr>
                <w:sz w:val="16"/>
                <w:szCs w:val="16"/>
                <w:color w:val="auto"/>
              </w:rPr>
            </w:pPr>
          </w:p>
        </w:tc>
        <w:tc>
          <w:tcPr>
            <w:tcW w:w="1140" w:type="dxa"/>
            <w:vAlign w:val="bottom"/>
            <w:gridSpan w:val="2"/>
            <w:shd w:val="clear" w:color="auto" w:fill="D0EBF2"/>
          </w:tcPr>
          <w:p>
            <w:pPr>
              <w:jc w:val="right"/>
              <w:spacing w:after="0"/>
              <w:rPr>
                <w:sz w:val="20"/>
                <w:szCs w:val="20"/>
                <w:color w:val="auto"/>
              </w:rPr>
            </w:pPr>
            <w:r>
              <w:rPr>
                <w:rFonts w:ascii="Times New Roman" w:cs="Times New Roman" w:eastAsia="Times New Roman" w:hAnsi="Times New Roman"/>
                <w:sz w:val="15"/>
                <w:szCs w:val="15"/>
                <w:color w:val="231F20"/>
              </w:rPr>
              <w:t>13,400)</w:t>
            </w:r>
          </w:p>
        </w:tc>
        <w:tc>
          <w:tcPr>
            <w:tcW w:w="200" w:type="dxa"/>
            <w:vAlign w:val="bottom"/>
            <w:shd w:val="clear" w:color="auto" w:fill="D0EBF2"/>
          </w:tcPr>
          <w:p>
            <w:pPr>
              <w:spacing w:after="0"/>
              <w:rPr>
                <w:sz w:val="16"/>
                <w:szCs w:val="16"/>
                <w:color w:val="auto"/>
              </w:rPr>
            </w:pPr>
          </w:p>
        </w:tc>
        <w:tc>
          <w:tcPr>
            <w:tcW w:w="900" w:type="dxa"/>
            <w:vAlign w:val="bottom"/>
            <w:shd w:val="clear" w:color="auto" w:fill="D0EBF2"/>
          </w:tcPr>
          <w:p>
            <w:pPr>
              <w:spacing w:after="0"/>
              <w:rPr>
                <w:sz w:val="16"/>
                <w:szCs w:val="16"/>
                <w:color w:val="auto"/>
              </w:rPr>
            </w:pPr>
          </w:p>
        </w:tc>
        <w:tc>
          <w:tcPr>
            <w:tcW w:w="240" w:type="dxa"/>
            <w:vAlign w:val="bottom"/>
            <w:shd w:val="clear" w:color="auto" w:fill="D0EBF2"/>
          </w:tcPr>
          <w:p>
            <w:pPr>
              <w:spacing w:after="0"/>
              <w:rPr>
                <w:sz w:val="16"/>
                <w:szCs w:val="16"/>
                <w:color w:val="auto"/>
              </w:rPr>
            </w:pPr>
          </w:p>
        </w:tc>
      </w:tr>
      <w:tr>
        <w:trPr>
          <w:trHeight w:val="158"/>
        </w:trPr>
        <w:tc>
          <w:tcPr>
            <w:tcW w:w="1440" w:type="dxa"/>
            <w:vAlign w:val="bottom"/>
            <w:shd w:val="clear" w:color="auto" w:fill="FDFDFC"/>
          </w:tcPr>
          <w:p>
            <w:pPr>
              <w:spacing w:after="0"/>
              <w:rPr>
                <w:sz w:val="13"/>
                <w:szCs w:val="13"/>
                <w:color w:val="auto"/>
              </w:rPr>
            </w:pPr>
          </w:p>
        </w:tc>
        <w:tc>
          <w:tcPr>
            <w:tcW w:w="2480" w:type="dxa"/>
            <w:vAlign w:val="bottom"/>
            <w:shd w:val="clear" w:color="auto" w:fill="FDFDFC"/>
          </w:tcPr>
          <w:p>
            <w:pPr>
              <w:ind w:left="80"/>
              <w:spacing w:after="0" w:line="159" w:lineRule="exact"/>
              <w:rPr>
                <w:sz w:val="20"/>
                <w:szCs w:val="20"/>
                <w:color w:val="auto"/>
              </w:rPr>
            </w:pPr>
            <w:r>
              <w:rPr>
                <w:rFonts w:ascii="Times New Roman" w:cs="Times New Roman" w:eastAsia="Times New Roman" w:hAnsi="Times New Roman"/>
                <w:sz w:val="15"/>
                <w:szCs w:val="15"/>
                <w:color w:val="231F20"/>
              </w:rPr>
              <w:t>First-lien loan (GBP 3,104 par, due</w:t>
            </w:r>
          </w:p>
        </w:tc>
        <w:tc>
          <w:tcPr>
            <w:tcW w:w="780" w:type="dxa"/>
            <w:vAlign w:val="bottom"/>
            <w:shd w:val="clear" w:color="auto" w:fill="FDFDFC"/>
          </w:tcPr>
          <w:p>
            <w:pPr>
              <w:jc w:val="right"/>
              <w:spacing w:after="0" w:line="159" w:lineRule="exact"/>
              <w:rPr>
                <w:sz w:val="20"/>
                <w:szCs w:val="20"/>
                <w:color w:val="auto"/>
              </w:rPr>
            </w:pPr>
            <w:r>
              <w:rPr>
                <w:rFonts w:ascii="Times New Roman" w:cs="Times New Roman" w:eastAsia="Times New Roman" w:hAnsi="Times New Roman"/>
                <w:sz w:val="15"/>
                <w:szCs w:val="15"/>
                <w:color w:val="231F20"/>
              </w:rPr>
              <w:t>10/28/2021</w:t>
            </w:r>
          </w:p>
        </w:tc>
        <w:tc>
          <w:tcPr>
            <w:tcW w:w="1080" w:type="dxa"/>
            <w:vAlign w:val="bottom"/>
            <w:shd w:val="clear" w:color="auto" w:fill="FDFDFC"/>
          </w:tcPr>
          <w:p>
            <w:pPr>
              <w:jc w:val="right"/>
              <w:ind w:right="124"/>
              <w:spacing w:after="0" w:line="159" w:lineRule="exact"/>
              <w:rPr>
                <w:sz w:val="20"/>
                <w:szCs w:val="20"/>
                <w:color w:val="auto"/>
              </w:rPr>
            </w:pPr>
            <w:r>
              <w:rPr>
                <w:rFonts w:ascii="Times New Roman" w:cs="Times New Roman" w:eastAsia="Times New Roman" w:hAnsi="Times New Roman"/>
                <w:sz w:val="15"/>
                <w:szCs w:val="15"/>
                <w:color w:val="231F20"/>
              </w:rPr>
              <w:t>S + 5.03%</w:t>
            </w:r>
          </w:p>
        </w:tc>
        <w:tc>
          <w:tcPr>
            <w:tcW w:w="1020" w:type="dxa"/>
            <w:vAlign w:val="bottom"/>
            <w:shd w:val="clear" w:color="auto" w:fill="FDFDFC"/>
          </w:tcPr>
          <w:p>
            <w:pPr>
              <w:jc w:val="right"/>
              <w:ind w:right="24"/>
              <w:spacing w:after="0" w:line="159" w:lineRule="exact"/>
              <w:rPr>
                <w:sz w:val="20"/>
                <w:szCs w:val="20"/>
                <w:color w:val="auto"/>
              </w:rPr>
            </w:pPr>
            <w:r>
              <w:rPr>
                <w:rFonts w:ascii="Times New Roman" w:cs="Times New Roman" w:eastAsia="Times New Roman" w:hAnsi="Times New Roman"/>
                <w:sz w:val="15"/>
                <w:szCs w:val="15"/>
                <w:color w:val="231F20"/>
              </w:rPr>
              <w:t>10.22%</w:t>
            </w:r>
          </w:p>
        </w:tc>
        <w:tc>
          <w:tcPr>
            <w:tcW w:w="1000" w:type="dxa"/>
            <w:vAlign w:val="bottom"/>
            <w:shd w:val="clear" w:color="auto" w:fill="FDFDFC"/>
          </w:tcPr>
          <w:p>
            <w:pPr>
              <w:jc w:val="right"/>
              <w:spacing w:after="0" w:line="159" w:lineRule="exact"/>
              <w:rPr>
                <w:sz w:val="20"/>
                <w:szCs w:val="20"/>
                <w:color w:val="auto"/>
              </w:rPr>
            </w:pPr>
            <w:r>
              <w:rPr>
                <w:rFonts w:ascii="Times New Roman" w:cs="Times New Roman" w:eastAsia="Times New Roman" w:hAnsi="Times New Roman"/>
                <w:sz w:val="15"/>
                <w:szCs w:val="15"/>
                <w:color w:val="231F20"/>
              </w:rPr>
              <w:t>4,276</w:t>
            </w:r>
          </w:p>
        </w:tc>
        <w:tc>
          <w:tcPr>
            <w:tcW w:w="1140" w:type="dxa"/>
            <w:vAlign w:val="bottom"/>
            <w:gridSpan w:val="2"/>
            <w:shd w:val="clear" w:color="auto" w:fill="FDFDFC"/>
          </w:tcPr>
          <w:p>
            <w:pPr>
              <w:jc w:val="right"/>
              <w:spacing w:after="0" w:line="159" w:lineRule="exact"/>
              <w:rPr>
                <w:sz w:val="20"/>
                <w:szCs w:val="20"/>
                <w:color w:val="auto"/>
              </w:rPr>
            </w:pPr>
            <w:r>
              <w:rPr>
                <w:rFonts w:ascii="Times New Roman" w:cs="Times New Roman" w:eastAsia="Times New Roman" w:hAnsi="Times New Roman"/>
                <w:sz w:val="15"/>
                <w:szCs w:val="15"/>
                <w:color w:val="231F20"/>
              </w:rPr>
              <w:t>3,957</w:t>
            </w:r>
          </w:p>
        </w:tc>
        <w:tc>
          <w:tcPr>
            <w:tcW w:w="1340" w:type="dxa"/>
            <w:vAlign w:val="bottom"/>
            <w:gridSpan w:val="3"/>
            <w:shd w:val="clear" w:color="auto" w:fill="FDFDFC"/>
          </w:tcPr>
          <w:p>
            <w:pPr>
              <w:jc w:val="right"/>
              <w:ind w:right="120"/>
              <w:spacing w:after="0" w:line="159" w:lineRule="exact"/>
              <w:rPr>
                <w:sz w:val="20"/>
                <w:szCs w:val="20"/>
                <w:color w:val="auto"/>
              </w:rPr>
            </w:pPr>
            <w:r>
              <w:rPr>
                <w:rFonts w:ascii="Times New Roman" w:cs="Times New Roman" w:eastAsia="Times New Roman" w:hAnsi="Times New Roman"/>
                <w:sz w:val="15"/>
                <w:szCs w:val="15"/>
                <w:color w:val="231F20"/>
              </w:rPr>
              <w:t>0.3%</w:t>
            </w:r>
          </w:p>
        </w:tc>
      </w:tr>
      <w:tr>
        <w:trPr>
          <w:trHeight w:val="189"/>
        </w:trPr>
        <w:tc>
          <w:tcPr>
            <w:tcW w:w="1440" w:type="dxa"/>
            <w:vAlign w:val="bottom"/>
            <w:shd w:val="clear" w:color="auto" w:fill="FDFDFC"/>
          </w:tcPr>
          <w:p>
            <w:pPr>
              <w:spacing w:after="0"/>
              <w:rPr>
                <w:sz w:val="16"/>
                <w:szCs w:val="16"/>
                <w:color w:val="auto"/>
              </w:rPr>
            </w:pPr>
          </w:p>
        </w:tc>
        <w:tc>
          <w:tcPr>
            <w:tcW w:w="2480" w:type="dxa"/>
            <w:vAlign w:val="bottom"/>
            <w:shd w:val="clear" w:color="auto" w:fill="FDFDFC"/>
          </w:tcPr>
          <w:p>
            <w:pPr>
              <w:ind w:left="80"/>
              <w:spacing w:after="0"/>
              <w:rPr>
                <w:sz w:val="20"/>
                <w:szCs w:val="20"/>
                <w:color w:val="auto"/>
              </w:rPr>
            </w:pPr>
            <w:r>
              <w:rPr>
                <w:rFonts w:ascii="Times New Roman" w:cs="Times New Roman" w:eastAsia="Times New Roman" w:hAnsi="Times New Roman"/>
                <w:sz w:val="15"/>
                <w:szCs w:val="15"/>
                <w:color w:val="231F20"/>
              </w:rPr>
              <w:t>12/2025)</w:t>
            </w:r>
          </w:p>
        </w:tc>
        <w:tc>
          <w:tcPr>
            <w:tcW w:w="780" w:type="dxa"/>
            <w:vAlign w:val="bottom"/>
            <w:shd w:val="clear" w:color="auto" w:fill="FDFDFC"/>
          </w:tcPr>
          <w:p>
            <w:pPr>
              <w:spacing w:after="0"/>
              <w:rPr>
                <w:sz w:val="16"/>
                <w:szCs w:val="16"/>
                <w:color w:val="auto"/>
              </w:rPr>
            </w:pPr>
          </w:p>
        </w:tc>
        <w:tc>
          <w:tcPr>
            <w:tcW w:w="1080" w:type="dxa"/>
            <w:vAlign w:val="bottom"/>
            <w:shd w:val="clear" w:color="auto" w:fill="FDFDFC"/>
          </w:tcPr>
          <w:p>
            <w:pPr>
              <w:spacing w:after="0"/>
              <w:rPr>
                <w:sz w:val="16"/>
                <w:szCs w:val="16"/>
                <w:color w:val="auto"/>
              </w:rPr>
            </w:pPr>
          </w:p>
        </w:tc>
        <w:tc>
          <w:tcPr>
            <w:tcW w:w="1020" w:type="dxa"/>
            <w:vAlign w:val="bottom"/>
            <w:shd w:val="clear" w:color="auto" w:fill="FDFDFC"/>
          </w:tcPr>
          <w:p>
            <w:pPr>
              <w:spacing w:after="0"/>
              <w:rPr>
                <w:sz w:val="16"/>
                <w:szCs w:val="16"/>
                <w:color w:val="auto"/>
              </w:rPr>
            </w:pPr>
          </w:p>
        </w:tc>
        <w:tc>
          <w:tcPr>
            <w:tcW w:w="1000" w:type="dxa"/>
            <w:vAlign w:val="bottom"/>
            <w:shd w:val="clear" w:color="auto" w:fill="FDFDFC"/>
          </w:tcPr>
          <w:p>
            <w:pPr>
              <w:spacing w:after="0"/>
              <w:rPr>
                <w:sz w:val="16"/>
                <w:szCs w:val="16"/>
                <w:color w:val="auto"/>
              </w:rPr>
            </w:pPr>
          </w:p>
        </w:tc>
        <w:tc>
          <w:tcPr>
            <w:tcW w:w="180" w:type="dxa"/>
            <w:vAlign w:val="bottom"/>
            <w:shd w:val="clear" w:color="auto" w:fill="FDFDFC"/>
          </w:tcPr>
          <w:p>
            <w:pPr>
              <w:spacing w:after="0"/>
              <w:rPr>
                <w:sz w:val="16"/>
                <w:szCs w:val="16"/>
                <w:color w:val="auto"/>
              </w:rPr>
            </w:pPr>
          </w:p>
        </w:tc>
        <w:tc>
          <w:tcPr>
            <w:tcW w:w="960" w:type="dxa"/>
            <w:vAlign w:val="bottom"/>
            <w:shd w:val="clear" w:color="auto" w:fill="FDFDFC"/>
          </w:tcPr>
          <w:p>
            <w:pPr>
              <w:jc w:val="right"/>
              <w:spacing w:after="0"/>
              <w:rPr>
                <w:sz w:val="20"/>
                <w:szCs w:val="20"/>
                <w:color w:val="auto"/>
              </w:rPr>
            </w:pPr>
            <w:r>
              <w:rPr>
                <w:rFonts w:ascii="Times New Roman" w:cs="Times New Roman" w:eastAsia="Times New Roman" w:hAnsi="Times New Roman"/>
                <w:sz w:val="15"/>
                <w:szCs w:val="15"/>
                <w:color w:val="231F20"/>
              </w:rPr>
              <w:t>(GBP 3,104)</w:t>
            </w:r>
          </w:p>
        </w:tc>
        <w:tc>
          <w:tcPr>
            <w:tcW w:w="200" w:type="dxa"/>
            <w:vAlign w:val="bottom"/>
            <w:shd w:val="clear" w:color="auto" w:fill="FDFDFC"/>
          </w:tcPr>
          <w:p>
            <w:pPr>
              <w:spacing w:after="0"/>
              <w:rPr>
                <w:sz w:val="16"/>
                <w:szCs w:val="16"/>
                <w:color w:val="auto"/>
              </w:rPr>
            </w:pPr>
          </w:p>
        </w:tc>
        <w:tc>
          <w:tcPr>
            <w:tcW w:w="900" w:type="dxa"/>
            <w:vAlign w:val="bottom"/>
            <w:shd w:val="clear" w:color="auto" w:fill="FDFDFC"/>
          </w:tcPr>
          <w:p>
            <w:pPr>
              <w:spacing w:after="0"/>
              <w:rPr>
                <w:sz w:val="16"/>
                <w:szCs w:val="16"/>
                <w:color w:val="auto"/>
              </w:rPr>
            </w:pPr>
          </w:p>
        </w:tc>
        <w:tc>
          <w:tcPr>
            <w:tcW w:w="240" w:type="dxa"/>
            <w:vAlign w:val="bottom"/>
            <w:shd w:val="clear" w:color="auto" w:fill="FDFDFC"/>
          </w:tcPr>
          <w:p>
            <w:pPr>
              <w:spacing w:after="0"/>
              <w:rPr>
                <w:sz w:val="16"/>
                <w:szCs w:val="16"/>
                <w:color w:val="auto"/>
              </w:rPr>
            </w:pPr>
          </w:p>
        </w:tc>
      </w:tr>
      <w:tr>
        <w:trPr>
          <w:trHeight w:val="158"/>
        </w:trPr>
        <w:tc>
          <w:tcPr>
            <w:tcW w:w="1440" w:type="dxa"/>
            <w:vAlign w:val="bottom"/>
            <w:shd w:val="clear" w:color="auto" w:fill="D0EBF2"/>
          </w:tcPr>
          <w:p>
            <w:pPr>
              <w:spacing w:after="0"/>
              <w:rPr>
                <w:sz w:val="13"/>
                <w:szCs w:val="13"/>
                <w:color w:val="auto"/>
              </w:rPr>
            </w:pPr>
          </w:p>
        </w:tc>
        <w:tc>
          <w:tcPr>
            <w:tcW w:w="2480" w:type="dxa"/>
            <w:vAlign w:val="bottom"/>
            <w:shd w:val="clear" w:color="auto" w:fill="D0EBF2"/>
          </w:tcPr>
          <w:p>
            <w:pPr>
              <w:ind w:left="80"/>
              <w:spacing w:after="0" w:line="159" w:lineRule="exact"/>
              <w:rPr>
                <w:sz w:val="20"/>
                <w:szCs w:val="20"/>
                <w:color w:val="auto"/>
              </w:rPr>
            </w:pPr>
            <w:r>
              <w:rPr>
                <w:rFonts w:ascii="Times New Roman" w:cs="Times New Roman" w:eastAsia="Times New Roman" w:hAnsi="Times New Roman"/>
                <w:sz w:val="15"/>
                <w:szCs w:val="15"/>
                <w:color w:val="231F20"/>
              </w:rPr>
              <w:t>First-lien loan ($10,557 par, due</w:t>
            </w:r>
          </w:p>
        </w:tc>
        <w:tc>
          <w:tcPr>
            <w:tcW w:w="780" w:type="dxa"/>
            <w:vAlign w:val="bottom"/>
            <w:shd w:val="clear" w:color="auto" w:fill="D0EBF2"/>
          </w:tcPr>
          <w:p>
            <w:pPr>
              <w:jc w:val="right"/>
              <w:spacing w:after="0" w:line="159" w:lineRule="exact"/>
              <w:rPr>
                <w:sz w:val="20"/>
                <w:szCs w:val="20"/>
                <w:color w:val="auto"/>
              </w:rPr>
            </w:pPr>
            <w:r>
              <w:rPr>
                <w:rFonts w:ascii="Times New Roman" w:cs="Times New Roman" w:eastAsia="Times New Roman" w:hAnsi="Times New Roman"/>
                <w:sz w:val="15"/>
                <w:szCs w:val="15"/>
                <w:color w:val="231F20"/>
              </w:rPr>
              <w:t>10/28/2021</w:t>
            </w:r>
          </w:p>
        </w:tc>
        <w:tc>
          <w:tcPr>
            <w:tcW w:w="1080" w:type="dxa"/>
            <w:vAlign w:val="bottom"/>
            <w:shd w:val="clear" w:color="auto" w:fill="D0EBF2"/>
          </w:tcPr>
          <w:p>
            <w:pPr>
              <w:jc w:val="right"/>
              <w:ind w:right="124"/>
              <w:spacing w:after="0" w:line="159" w:lineRule="exact"/>
              <w:rPr>
                <w:sz w:val="20"/>
                <w:szCs w:val="20"/>
                <w:color w:val="auto"/>
              </w:rPr>
            </w:pPr>
            <w:r>
              <w:rPr>
                <w:rFonts w:ascii="Times New Roman" w:cs="Times New Roman" w:eastAsia="Times New Roman" w:hAnsi="Times New Roman"/>
                <w:sz w:val="15"/>
                <w:szCs w:val="15"/>
                <w:color w:val="231F20"/>
              </w:rPr>
              <w:t>SOFR +</w:t>
            </w:r>
          </w:p>
        </w:tc>
        <w:tc>
          <w:tcPr>
            <w:tcW w:w="1020" w:type="dxa"/>
            <w:vAlign w:val="bottom"/>
            <w:shd w:val="clear" w:color="auto" w:fill="D0EBF2"/>
          </w:tcPr>
          <w:p>
            <w:pPr>
              <w:jc w:val="right"/>
              <w:ind w:right="24"/>
              <w:spacing w:after="0" w:line="159" w:lineRule="exact"/>
              <w:rPr>
                <w:sz w:val="20"/>
                <w:szCs w:val="20"/>
                <w:color w:val="auto"/>
              </w:rPr>
            </w:pPr>
            <w:r>
              <w:rPr>
                <w:rFonts w:ascii="Times New Roman" w:cs="Times New Roman" w:eastAsia="Times New Roman" w:hAnsi="Times New Roman"/>
                <w:sz w:val="15"/>
                <w:szCs w:val="15"/>
                <w:color w:val="231F20"/>
              </w:rPr>
              <w:t>10.45%</w:t>
            </w:r>
          </w:p>
        </w:tc>
        <w:tc>
          <w:tcPr>
            <w:tcW w:w="1000" w:type="dxa"/>
            <w:vAlign w:val="bottom"/>
            <w:shd w:val="clear" w:color="auto" w:fill="D0EBF2"/>
          </w:tcPr>
          <w:p>
            <w:pPr>
              <w:jc w:val="right"/>
              <w:spacing w:after="0" w:line="159" w:lineRule="exact"/>
              <w:rPr>
                <w:sz w:val="20"/>
                <w:szCs w:val="20"/>
                <w:color w:val="auto"/>
              </w:rPr>
            </w:pPr>
            <w:r>
              <w:rPr>
                <w:rFonts w:ascii="Times New Roman" w:cs="Times New Roman" w:eastAsia="Times New Roman" w:hAnsi="Times New Roman"/>
                <w:sz w:val="15"/>
                <w:szCs w:val="15"/>
                <w:color w:val="231F20"/>
              </w:rPr>
              <w:t>10,549</w:t>
            </w:r>
          </w:p>
        </w:tc>
        <w:tc>
          <w:tcPr>
            <w:tcW w:w="1140" w:type="dxa"/>
            <w:vAlign w:val="bottom"/>
            <w:gridSpan w:val="2"/>
            <w:shd w:val="clear" w:color="auto" w:fill="D0EBF2"/>
          </w:tcPr>
          <w:p>
            <w:pPr>
              <w:jc w:val="right"/>
              <w:spacing w:after="0" w:line="159" w:lineRule="exact"/>
              <w:rPr>
                <w:sz w:val="20"/>
                <w:szCs w:val="20"/>
                <w:color w:val="auto"/>
              </w:rPr>
            </w:pPr>
            <w:r>
              <w:rPr>
                <w:rFonts w:ascii="Times New Roman" w:cs="Times New Roman" w:eastAsia="Times New Roman" w:hAnsi="Times New Roman"/>
                <w:sz w:val="15"/>
                <w:szCs w:val="15"/>
                <w:color w:val="231F20"/>
              </w:rPr>
              <w:t>10,557</w:t>
            </w:r>
          </w:p>
        </w:tc>
        <w:tc>
          <w:tcPr>
            <w:tcW w:w="1340" w:type="dxa"/>
            <w:vAlign w:val="bottom"/>
            <w:gridSpan w:val="3"/>
            <w:shd w:val="clear" w:color="auto" w:fill="D0EBF2"/>
          </w:tcPr>
          <w:p>
            <w:pPr>
              <w:jc w:val="right"/>
              <w:ind w:right="120"/>
              <w:spacing w:after="0" w:line="159" w:lineRule="exact"/>
              <w:rPr>
                <w:sz w:val="20"/>
                <w:szCs w:val="20"/>
                <w:color w:val="auto"/>
              </w:rPr>
            </w:pPr>
            <w:r>
              <w:rPr>
                <w:rFonts w:ascii="Times New Roman" w:cs="Times New Roman" w:eastAsia="Times New Roman" w:hAnsi="Times New Roman"/>
                <w:sz w:val="15"/>
                <w:szCs w:val="15"/>
                <w:color w:val="231F20"/>
              </w:rPr>
              <w:t>0.7%</w:t>
            </w:r>
          </w:p>
        </w:tc>
      </w:tr>
      <w:tr>
        <w:trPr>
          <w:trHeight w:val="189"/>
        </w:trPr>
        <w:tc>
          <w:tcPr>
            <w:tcW w:w="1440" w:type="dxa"/>
            <w:vAlign w:val="bottom"/>
            <w:shd w:val="clear" w:color="auto" w:fill="D0EBF2"/>
          </w:tcPr>
          <w:p>
            <w:pPr>
              <w:spacing w:after="0"/>
              <w:rPr>
                <w:sz w:val="16"/>
                <w:szCs w:val="16"/>
                <w:color w:val="auto"/>
              </w:rPr>
            </w:pPr>
          </w:p>
        </w:tc>
        <w:tc>
          <w:tcPr>
            <w:tcW w:w="2480" w:type="dxa"/>
            <w:vAlign w:val="bottom"/>
            <w:shd w:val="clear" w:color="auto" w:fill="D0EBF2"/>
          </w:tcPr>
          <w:p>
            <w:pPr>
              <w:ind w:left="80"/>
              <w:spacing w:after="0"/>
              <w:rPr>
                <w:sz w:val="20"/>
                <w:szCs w:val="20"/>
                <w:color w:val="auto"/>
              </w:rPr>
            </w:pPr>
            <w:r>
              <w:rPr>
                <w:rFonts w:ascii="Times New Roman" w:cs="Times New Roman" w:eastAsia="Times New Roman" w:hAnsi="Times New Roman"/>
                <w:sz w:val="15"/>
                <w:szCs w:val="15"/>
                <w:color w:val="231F20"/>
              </w:rPr>
              <w:t>12/2025)</w:t>
            </w:r>
          </w:p>
        </w:tc>
        <w:tc>
          <w:tcPr>
            <w:tcW w:w="780" w:type="dxa"/>
            <w:vAlign w:val="bottom"/>
            <w:shd w:val="clear" w:color="auto" w:fill="D0EBF2"/>
          </w:tcPr>
          <w:p>
            <w:pPr>
              <w:spacing w:after="0"/>
              <w:rPr>
                <w:sz w:val="16"/>
                <w:szCs w:val="16"/>
                <w:color w:val="auto"/>
              </w:rPr>
            </w:pPr>
          </w:p>
        </w:tc>
        <w:tc>
          <w:tcPr>
            <w:tcW w:w="1080" w:type="dxa"/>
            <w:vAlign w:val="bottom"/>
            <w:shd w:val="clear" w:color="auto" w:fill="D0EBF2"/>
          </w:tcPr>
          <w:p>
            <w:pPr>
              <w:jc w:val="right"/>
              <w:ind w:right="124"/>
              <w:spacing w:after="0"/>
              <w:rPr>
                <w:sz w:val="20"/>
                <w:szCs w:val="20"/>
                <w:color w:val="auto"/>
              </w:rPr>
            </w:pPr>
            <w:r>
              <w:rPr>
                <w:rFonts w:ascii="Times New Roman" w:cs="Times New Roman" w:eastAsia="Times New Roman" w:hAnsi="Times New Roman"/>
                <w:sz w:val="15"/>
                <w:szCs w:val="15"/>
                <w:color w:val="231F20"/>
              </w:rPr>
              <w:t>5.10%</w:t>
            </w:r>
          </w:p>
        </w:tc>
        <w:tc>
          <w:tcPr>
            <w:tcW w:w="1020" w:type="dxa"/>
            <w:vAlign w:val="bottom"/>
            <w:shd w:val="clear" w:color="auto" w:fill="D0EBF2"/>
          </w:tcPr>
          <w:p>
            <w:pPr>
              <w:spacing w:after="0"/>
              <w:rPr>
                <w:sz w:val="16"/>
                <w:szCs w:val="16"/>
                <w:color w:val="auto"/>
              </w:rPr>
            </w:pPr>
          </w:p>
        </w:tc>
        <w:tc>
          <w:tcPr>
            <w:tcW w:w="1000" w:type="dxa"/>
            <w:vAlign w:val="bottom"/>
            <w:shd w:val="clear" w:color="auto" w:fill="D0EBF2"/>
          </w:tcPr>
          <w:p>
            <w:pPr>
              <w:spacing w:after="0"/>
              <w:rPr>
                <w:sz w:val="16"/>
                <w:szCs w:val="16"/>
                <w:color w:val="auto"/>
              </w:rPr>
            </w:pPr>
          </w:p>
        </w:tc>
        <w:tc>
          <w:tcPr>
            <w:tcW w:w="180" w:type="dxa"/>
            <w:vAlign w:val="bottom"/>
            <w:shd w:val="clear" w:color="auto" w:fill="D0EBF2"/>
          </w:tcPr>
          <w:p>
            <w:pPr>
              <w:spacing w:after="0"/>
              <w:rPr>
                <w:sz w:val="16"/>
                <w:szCs w:val="16"/>
                <w:color w:val="auto"/>
              </w:rPr>
            </w:pPr>
          </w:p>
        </w:tc>
        <w:tc>
          <w:tcPr>
            <w:tcW w:w="960" w:type="dxa"/>
            <w:vAlign w:val="bottom"/>
            <w:shd w:val="clear" w:color="auto" w:fill="D0EBF2"/>
          </w:tcPr>
          <w:p>
            <w:pPr>
              <w:spacing w:after="0"/>
              <w:rPr>
                <w:sz w:val="16"/>
                <w:szCs w:val="16"/>
                <w:color w:val="auto"/>
              </w:rPr>
            </w:pPr>
          </w:p>
        </w:tc>
        <w:tc>
          <w:tcPr>
            <w:tcW w:w="200" w:type="dxa"/>
            <w:vAlign w:val="bottom"/>
            <w:shd w:val="clear" w:color="auto" w:fill="D0EBF2"/>
          </w:tcPr>
          <w:p>
            <w:pPr>
              <w:spacing w:after="0"/>
              <w:rPr>
                <w:sz w:val="16"/>
                <w:szCs w:val="16"/>
                <w:color w:val="auto"/>
              </w:rPr>
            </w:pPr>
          </w:p>
        </w:tc>
        <w:tc>
          <w:tcPr>
            <w:tcW w:w="900" w:type="dxa"/>
            <w:vAlign w:val="bottom"/>
            <w:shd w:val="clear" w:color="auto" w:fill="D0EBF2"/>
          </w:tcPr>
          <w:p>
            <w:pPr>
              <w:spacing w:after="0"/>
              <w:rPr>
                <w:sz w:val="16"/>
                <w:szCs w:val="16"/>
                <w:color w:val="auto"/>
              </w:rPr>
            </w:pPr>
          </w:p>
        </w:tc>
        <w:tc>
          <w:tcPr>
            <w:tcW w:w="240" w:type="dxa"/>
            <w:vAlign w:val="bottom"/>
            <w:shd w:val="clear" w:color="auto" w:fill="D0EBF2"/>
          </w:tcPr>
          <w:p>
            <w:pPr>
              <w:spacing w:after="0"/>
              <w:rPr>
                <w:sz w:val="16"/>
                <w:szCs w:val="16"/>
                <w:color w:val="auto"/>
              </w:rPr>
            </w:pPr>
          </w:p>
        </w:tc>
      </w:tr>
      <w:tr>
        <w:trPr>
          <w:trHeight w:val="158"/>
        </w:trPr>
        <w:tc>
          <w:tcPr>
            <w:tcW w:w="1440" w:type="dxa"/>
            <w:vAlign w:val="bottom"/>
            <w:shd w:val="clear" w:color="auto" w:fill="FDFDFC"/>
          </w:tcPr>
          <w:p>
            <w:pPr>
              <w:spacing w:after="0" w:line="159" w:lineRule="exact"/>
              <w:rPr>
                <w:sz w:val="20"/>
                <w:szCs w:val="20"/>
                <w:color w:val="auto"/>
              </w:rPr>
            </w:pPr>
            <w:r>
              <w:rPr>
                <w:rFonts w:ascii="Times New Roman" w:cs="Times New Roman" w:eastAsia="Times New Roman" w:hAnsi="Times New Roman"/>
                <w:sz w:val="15"/>
                <w:szCs w:val="15"/>
                <w:color w:val="231F20"/>
              </w:rPr>
              <w:t>PayScale Holdings,</w:t>
            </w:r>
          </w:p>
        </w:tc>
        <w:tc>
          <w:tcPr>
            <w:tcW w:w="2480" w:type="dxa"/>
            <w:vAlign w:val="bottom"/>
            <w:shd w:val="clear" w:color="auto" w:fill="FDFDFC"/>
          </w:tcPr>
          <w:p>
            <w:pPr>
              <w:ind w:left="80"/>
              <w:spacing w:after="0" w:line="159" w:lineRule="exact"/>
              <w:rPr>
                <w:sz w:val="20"/>
                <w:szCs w:val="20"/>
                <w:color w:val="auto"/>
              </w:rPr>
            </w:pPr>
            <w:r>
              <w:rPr>
                <w:rFonts w:ascii="Times New Roman" w:cs="Times New Roman" w:eastAsia="Times New Roman" w:hAnsi="Times New Roman"/>
                <w:sz w:val="15"/>
                <w:szCs w:val="15"/>
                <w:color w:val="231F20"/>
              </w:rPr>
              <w:t>First-lien loan ($71,196 par, due</w:t>
            </w:r>
          </w:p>
        </w:tc>
        <w:tc>
          <w:tcPr>
            <w:tcW w:w="780" w:type="dxa"/>
            <w:vAlign w:val="bottom"/>
            <w:shd w:val="clear" w:color="auto" w:fill="FDFDFC"/>
          </w:tcPr>
          <w:p>
            <w:pPr>
              <w:jc w:val="right"/>
              <w:spacing w:after="0" w:line="159" w:lineRule="exact"/>
              <w:rPr>
                <w:sz w:val="20"/>
                <w:szCs w:val="20"/>
                <w:color w:val="auto"/>
              </w:rPr>
            </w:pPr>
            <w:r>
              <w:rPr>
                <w:rFonts w:ascii="Times New Roman" w:cs="Times New Roman" w:eastAsia="Times New Roman" w:hAnsi="Times New Roman"/>
                <w:sz w:val="15"/>
                <w:szCs w:val="15"/>
                <w:color w:val="231F20"/>
              </w:rPr>
              <w:t>5/3/2019</w:t>
            </w:r>
          </w:p>
        </w:tc>
        <w:tc>
          <w:tcPr>
            <w:tcW w:w="1080" w:type="dxa"/>
            <w:vAlign w:val="bottom"/>
            <w:shd w:val="clear" w:color="auto" w:fill="FDFDFC"/>
          </w:tcPr>
          <w:p>
            <w:pPr>
              <w:jc w:val="right"/>
              <w:ind w:right="124"/>
              <w:spacing w:after="0" w:line="159" w:lineRule="exact"/>
              <w:rPr>
                <w:sz w:val="20"/>
                <w:szCs w:val="20"/>
                <w:color w:val="auto"/>
              </w:rPr>
            </w:pPr>
            <w:r>
              <w:rPr>
                <w:rFonts w:ascii="Times New Roman" w:cs="Times New Roman" w:eastAsia="Times New Roman" w:hAnsi="Times New Roman"/>
                <w:sz w:val="15"/>
                <w:szCs w:val="15"/>
                <w:color w:val="231F20"/>
              </w:rPr>
              <w:t>SOFR +</w:t>
            </w:r>
          </w:p>
        </w:tc>
        <w:tc>
          <w:tcPr>
            <w:tcW w:w="1020" w:type="dxa"/>
            <w:vAlign w:val="bottom"/>
            <w:shd w:val="clear" w:color="auto" w:fill="FDFDFC"/>
          </w:tcPr>
          <w:p>
            <w:pPr>
              <w:jc w:val="right"/>
              <w:ind w:right="24"/>
              <w:spacing w:after="0" w:line="159" w:lineRule="exact"/>
              <w:rPr>
                <w:sz w:val="20"/>
                <w:szCs w:val="20"/>
                <w:color w:val="auto"/>
              </w:rPr>
            </w:pPr>
            <w:r>
              <w:rPr>
                <w:rFonts w:ascii="Times New Roman" w:cs="Times New Roman" w:eastAsia="Times New Roman" w:hAnsi="Times New Roman"/>
                <w:sz w:val="15"/>
                <w:szCs w:val="15"/>
                <w:color w:val="231F20"/>
              </w:rPr>
              <w:t>11.70%</w:t>
            </w:r>
          </w:p>
        </w:tc>
        <w:tc>
          <w:tcPr>
            <w:tcW w:w="1000" w:type="dxa"/>
            <w:vAlign w:val="bottom"/>
            <w:shd w:val="clear" w:color="auto" w:fill="FDFDFC"/>
          </w:tcPr>
          <w:p>
            <w:pPr>
              <w:jc w:val="right"/>
              <w:spacing w:after="0" w:line="159" w:lineRule="exact"/>
              <w:rPr>
                <w:sz w:val="20"/>
                <w:szCs w:val="20"/>
                <w:color w:val="auto"/>
              </w:rPr>
            </w:pPr>
            <w:r>
              <w:rPr>
                <w:rFonts w:ascii="Times New Roman" w:cs="Times New Roman" w:eastAsia="Times New Roman" w:hAnsi="Times New Roman"/>
                <w:sz w:val="15"/>
                <w:szCs w:val="15"/>
                <w:color w:val="231F20"/>
              </w:rPr>
              <w:t>70,826</w:t>
            </w:r>
          </w:p>
        </w:tc>
        <w:tc>
          <w:tcPr>
            <w:tcW w:w="1140" w:type="dxa"/>
            <w:vAlign w:val="bottom"/>
            <w:gridSpan w:val="2"/>
            <w:shd w:val="clear" w:color="auto" w:fill="FDFDFC"/>
          </w:tcPr>
          <w:p>
            <w:pPr>
              <w:jc w:val="right"/>
              <w:spacing w:after="0" w:line="159" w:lineRule="exact"/>
              <w:rPr>
                <w:sz w:val="20"/>
                <w:szCs w:val="20"/>
                <w:color w:val="auto"/>
              </w:rPr>
            </w:pPr>
            <w:r>
              <w:rPr>
                <w:rFonts w:ascii="Times New Roman" w:cs="Times New Roman" w:eastAsia="Times New Roman" w:hAnsi="Times New Roman"/>
                <w:sz w:val="15"/>
                <w:szCs w:val="15"/>
                <w:color w:val="231F20"/>
              </w:rPr>
              <w:t>71,374</w:t>
            </w:r>
          </w:p>
        </w:tc>
        <w:tc>
          <w:tcPr>
            <w:tcW w:w="1340" w:type="dxa"/>
            <w:vAlign w:val="bottom"/>
            <w:gridSpan w:val="3"/>
            <w:shd w:val="clear" w:color="auto" w:fill="FDFDFC"/>
          </w:tcPr>
          <w:p>
            <w:pPr>
              <w:jc w:val="right"/>
              <w:ind w:right="120"/>
              <w:spacing w:after="0" w:line="159" w:lineRule="exact"/>
              <w:rPr>
                <w:sz w:val="20"/>
                <w:szCs w:val="20"/>
                <w:color w:val="auto"/>
              </w:rPr>
            </w:pPr>
            <w:r>
              <w:rPr>
                <w:rFonts w:ascii="Times New Roman" w:cs="Times New Roman" w:eastAsia="Times New Roman" w:hAnsi="Times New Roman"/>
                <w:sz w:val="15"/>
                <w:szCs w:val="15"/>
                <w:color w:val="231F20"/>
              </w:rPr>
              <w:t>4.8%</w:t>
            </w:r>
          </w:p>
        </w:tc>
      </w:tr>
      <w:tr>
        <w:trPr>
          <w:trHeight w:val="189"/>
        </w:trPr>
        <w:tc>
          <w:tcPr>
            <w:tcW w:w="1440" w:type="dxa"/>
            <w:vAlign w:val="bottom"/>
            <w:shd w:val="clear" w:color="auto" w:fill="FDFDFC"/>
          </w:tcPr>
          <w:p>
            <w:pPr>
              <w:spacing w:after="0" w:line="190" w:lineRule="exact"/>
              <w:rPr>
                <w:sz w:val="20"/>
                <w:szCs w:val="20"/>
                <w:color w:val="auto"/>
              </w:rPr>
            </w:pPr>
            <w:r>
              <w:rPr>
                <w:rFonts w:ascii="Times New Roman" w:cs="Times New Roman" w:eastAsia="Times New Roman" w:hAnsi="Times New Roman"/>
                <w:sz w:val="21"/>
                <w:szCs w:val="21"/>
                <w:color w:val="231F20"/>
                <w:vertAlign w:val="subscript"/>
              </w:rPr>
              <w:t>Inc.</w:t>
            </w:r>
            <w:r>
              <w:rPr>
                <w:rFonts w:ascii="Times New Roman" w:cs="Times New Roman" w:eastAsia="Times New Roman" w:hAnsi="Times New Roman"/>
                <w:sz w:val="8"/>
                <w:szCs w:val="8"/>
                <w:color w:val="231F20"/>
              </w:rPr>
              <w:t xml:space="preserve"> (3)(5)</w:t>
            </w:r>
          </w:p>
        </w:tc>
        <w:tc>
          <w:tcPr>
            <w:tcW w:w="2480" w:type="dxa"/>
            <w:vAlign w:val="bottom"/>
            <w:shd w:val="clear" w:color="auto" w:fill="FDFDFC"/>
          </w:tcPr>
          <w:p>
            <w:pPr>
              <w:ind w:left="80"/>
              <w:spacing w:after="0"/>
              <w:rPr>
                <w:sz w:val="20"/>
                <w:szCs w:val="20"/>
                <w:color w:val="auto"/>
              </w:rPr>
            </w:pPr>
            <w:r>
              <w:rPr>
                <w:rFonts w:ascii="Times New Roman" w:cs="Times New Roman" w:eastAsia="Times New Roman" w:hAnsi="Times New Roman"/>
                <w:sz w:val="15"/>
                <w:szCs w:val="15"/>
                <w:color w:val="231F20"/>
              </w:rPr>
              <w:t>5/2027)</w:t>
            </w:r>
          </w:p>
        </w:tc>
        <w:tc>
          <w:tcPr>
            <w:tcW w:w="780" w:type="dxa"/>
            <w:vAlign w:val="bottom"/>
            <w:shd w:val="clear" w:color="auto" w:fill="FDFDFC"/>
          </w:tcPr>
          <w:p>
            <w:pPr>
              <w:spacing w:after="0"/>
              <w:rPr>
                <w:sz w:val="16"/>
                <w:szCs w:val="16"/>
                <w:color w:val="auto"/>
              </w:rPr>
            </w:pPr>
          </w:p>
        </w:tc>
        <w:tc>
          <w:tcPr>
            <w:tcW w:w="1080" w:type="dxa"/>
            <w:vAlign w:val="bottom"/>
            <w:shd w:val="clear" w:color="auto" w:fill="FDFDFC"/>
          </w:tcPr>
          <w:p>
            <w:pPr>
              <w:jc w:val="right"/>
              <w:ind w:right="124"/>
              <w:spacing w:after="0"/>
              <w:rPr>
                <w:sz w:val="20"/>
                <w:szCs w:val="20"/>
                <w:color w:val="auto"/>
              </w:rPr>
            </w:pPr>
            <w:r>
              <w:rPr>
                <w:rFonts w:ascii="Times New Roman" w:cs="Times New Roman" w:eastAsia="Times New Roman" w:hAnsi="Times New Roman"/>
                <w:sz w:val="15"/>
                <w:szCs w:val="15"/>
                <w:color w:val="231F20"/>
              </w:rPr>
              <w:t>6.35%</w:t>
            </w:r>
          </w:p>
        </w:tc>
        <w:tc>
          <w:tcPr>
            <w:tcW w:w="1020" w:type="dxa"/>
            <w:vAlign w:val="bottom"/>
            <w:shd w:val="clear" w:color="auto" w:fill="FDFDFC"/>
          </w:tcPr>
          <w:p>
            <w:pPr>
              <w:spacing w:after="0"/>
              <w:rPr>
                <w:sz w:val="16"/>
                <w:szCs w:val="16"/>
                <w:color w:val="auto"/>
              </w:rPr>
            </w:pPr>
          </w:p>
        </w:tc>
        <w:tc>
          <w:tcPr>
            <w:tcW w:w="1000" w:type="dxa"/>
            <w:vAlign w:val="bottom"/>
            <w:shd w:val="clear" w:color="auto" w:fill="FDFDFC"/>
          </w:tcPr>
          <w:p>
            <w:pPr>
              <w:spacing w:after="0"/>
              <w:rPr>
                <w:sz w:val="16"/>
                <w:szCs w:val="16"/>
                <w:color w:val="auto"/>
              </w:rPr>
            </w:pPr>
          </w:p>
        </w:tc>
        <w:tc>
          <w:tcPr>
            <w:tcW w:w="180" w:type="dxa"/>
            <w:vAlign w:val="bottom"/>
            <w:shd w:val="clear" w:color="auto" w:fill="FDFDFC"/>
          </w:tcPr>
          <w:p>
            <w:pPr>
              <w:spacing w:after="0"/>
              <w:rPr>
                <w:sz w:val="16"/>
                <w:szCs w:val="16"/>
                <w:color w:val="auto"/>
              </w:rPr>
            </w:pPr>
          </w:p>
        </w:tc>
        <w:tc>
          <w:tcPr>
            <w:tcW w:w="960" w:type="dxa"/>
            <w:vAlign w:val="bottom"/>
            <w:shd w:val="clear" w:color="auto" w:fill="FDFDFC"/>
          </w:tcPr>
          <w:p>
            <w:pPr>
              <w:spacing w:after="0"/>
              <w:rPr>
                <w:sz w:val="16"/>
                <w:szCs w:val="16"/>
                <w:color w:val="auto"/>
              </w:rPr>
            </w:pPr>
          </w:p>
        </w:tc>
        <w:tc>
          <w:tcPr>
            <w:tcW w:w="200" w:type="dxa"/>
            <w:vAlign w:val="bottom"/>
            <w:shd w:val="clear" w:color="auto" w:fill="FDFDFC"/>
          </w:tcPr>
          <w:p>
            <w:pPr>
              <w:spacing w:after="0"/>
              <w:rPr>
                <w:sz w:val="16"/>
                <w:szCs w:val="16"/>
                <w:color w:val="auto"/>
              </w:rPr>
            </w:pPr>
          </w:p>
        </w:tc>
        <w:tc>
          <w:tcPr>
            <w:tcW w:w="900" w:type="dxa"/>
            <w:vAlign w:val="bottom"/>
            <w:shd w:val="clear" w:color="auto" w:fill="FDFDFC"/>
          </w:tcPr>
          <w:p>
            <w:pPr>
              <w:spacing w:after="0"/>
              <w:rPr>
                <w:sz w:val="16"/>
                <w:szCs w:val="16"/>
                <w:color w:val="auto"/>
              </w:rPr>
            </w:pPr>
          </w:p>
        </w:tc>
        <w:tc>
          <w:tcPr>
            <w:tcW w:w="240" w:type="dxa"/>
            <w:vAlign w:val="bottom"/>
            <w:shd w:val="clear" w:color="auto" w:fill="FDFDFC"/>
          </w:tcPr>
          <w:p>
            <w:pPr>
              <w:spacing w:after="0"/>
              <w:rPr>
                <w:sz w:val="16"/>
                <w:szCs w:val="16"/>
                <w:color w:val="auto"/>
              </w:rPr>
            </w:pPr>
          </w:p>
        </w:tc>
      </w:tr>
      <w:tr>
        <w:trPr>
          <w:trHeight w:val="158"/>
        </w:trPr>
        <w:tc>
          <w:tcPr>
            <w:tcW w:w="1440" w:type="dxa"/>
            <w:vAlign w:val="bottom"/>
            <w:shd w:val="clear" w:color="auto" w:fill="D0EBF2"/>
          </w:tcPr>
          <w:p>
            <w:pPr>
              <w:spacing w:after="0" w:line="159" w:lineRule="exact"/>
              <w:rPr>
                <w:sz w:val="20"/>
                <w:szCs w:val="20"/>
                <w:color w:val="auto"/>
              </w:rPr>
            </w:pPr>
            <w:r>
              <w:rPr>
                <w:rFonts w:ascii="Times New Roman" w:cs="Times New Roman" w:eastAsia="Times New Roman" w:hAnsi="Times New Roman"/>
                <w:sz w:val="15"/>
                <w:szCs w:val="15"/>
                <w:color w:val="231F20"/>
              </w:rPr>
              <w:t>PrimePay</w:t>
            </w:r>
          </w:p>
        </w:tc>
        <w:tc>
          <w:tcPr>
            <w:tcW w:w="2480" w:type="dxa"/>
            <w:vAlign w:val="bottom"/>
            <w:shd w:val="clear" w:color="auto" w:fill="D0EBF2"/>
          </w:tcPr>
          <w:p>
            <w:pPr>
              <w:ind w:left="80"/>
              <w:spacing w:after="0" w:line="159" w:lineRule="exact"/>
              <w:rPr>
                <w:sz w:val="20"/>
                <w:szCs w:val="20"/>
                <w:color w:val="auto"/>
              </w:rPr>
            </w:pPr>
            <w:r>
              <w:rPr>
                <w:rFonts w:ascii="Times New Roman" w:cs="Times New Roman" w:eastAsia="Times New Roman" w:hAnsi="Times New Roman"/>
                <w:sz w:val="15"/>
                <w:szCs w:val="15"/>
                <w:color w:val="231F20"/>
              </w:rPr>
              <w:t>First-lien loan ($34,375 par, due</w:t>
            </w:r>
          </w:p>
        </w:tc>
        <w:tc>
          <w:tcPr>
            <w:tcW w:w="780" w:type="dxa"/>
            <w:vAlign w:val="bottom"/>
            <w:shd w:val="clear" w:color="auto" w:fill="D0EBF2"/>
          </w:tcPr>
          <w:p>
            <w:pPr>
              <w:jc w:val="right"/>
              <w:spacing w:after="0" w:line="159" w:lineRule="exact"/>
              <w:rPr>
                <w:sz w:val="20"/>
                <w:szCs w:val="20"/>
                <w:color w:val="auto"/>
              </w:rPr>
            </w:pPr>
            <w:r>
              <w:rPr>
                <w:rFonts w:ascii="Times New Roman" w:cs="Times New Roman" w:eastAsia="Times New Roman" w:hAnsi="Times New Roman"/>
                <w:sz w:val="15"/>
                <w:szCs w:val="15"/>
                <w:color w:val="231F20"/>
              </w:rPr>
              <w:t>12/17/2021</w:t>
            </w:r>
          </w:p>
        </w:tc>
        <w:tc>
          <w:tcPr>
            <w:tcW w:w="1080" w:type="dxa"/>
            <w:vAlign w:val="bottom"/>
            <w:shd w:val="clear" w:color="auto" w:fill="D0EBF2"/>
          </w:tcPr>
          <w:p>
            <w:pPr>
              <w:jc w:val="right"/>
              <w:ind w:right="124"/>
              <w:spacing w:after="0" w:line="159" w:lineRule="exact"/>
              <w:rPr>
                <w:sz w:val="20"/>
                <w:szCs w:val="20"/>
                <w:color w:val="auto"/>
              </w:rPr>
            </w:pPr>
            <w:r>
              <w:rPr>
                <w:rFonts w:ascii="Times New Roman" w:cs="Times New Roman" w:eastAsia="Times New Roman" w:hAnsi="Times New Roman"/>
                <w:sz w:val="15"/>
                <w:szCs w:val="15"/>
                <w:color w:val="231F20"/>
              </w:rPr>
              <w:t>SOFR +</w:t>
            </w:r>
          </w:p>
        </w:tc>
        <w:tc>
          <w:tcPr>
            <w:tcW w:w="1020" w:type="dxa"/>
            <w:vAlign w:val="bottom"/>
            <w:shd w:val="clear" w:color="auto" w:fill="D0EBF2"/>
          </w:tcPr>
          <w:p>
            <w:pPr>
              <w:jc w:val="right"/>
              <w:ind w:right="24"/>
              <w:spacing w:after="0" w:line="159" w:lineRule="exact"/>
              <w:rPr>
                <w:sz w:val="20"/>
                <w:szCs w:val="20"/>
                <w:color w:val="auto"/>
              </w:rPr>
            </w:pPr>
            <w:r>
              <w:rPr>
                <w:rFonts w:ascii="Times New Roman" w:cs="Times New Roman" w:eastAsia="Times New Roman" w:hAnsi="Times New Roman"/>
                <w:sz w:val="15"/>
                <w:szCs w:val="15"/>
                <w:color w:val="231F20"/>
              </w:rPr>
              <w:t>12.54%</w:t>
            </w:r>
          </w:p>
        </w:tc>
        <w:tc>
          <w:tcPr>
            <w:tcW w:w="1000" w:type="dxa"/>
            <w:vAlign w:val="bottom"/>
            <w:shd w:val="clear" w:color="auto" w:fill="D0EBF2"/>
          </w:tcPr>
          <w:p>
            <w:pPr>
              <w:jc w:val="right"/>
              <w:spacing w:after="0" w:line="159" w:lineRule="exact"/>
              <w:rPr>
                <w:sz w:val="20"/>
                <w:szCs w:val="20"/>
                <w:color w:val="auto"/>
              </w:rPr>
            </w:pPr>
            <w:r>
              <w:rPr>
                <w:rFonts w:ascii="Times New Roman" w:cs="Times New Roman" w:eastAsia="Times New Roman" w:hAnsi="Times New Roman"/>
                <w:sz w:val="15"/>
                <w:szCs w:val="15"/>
                <w:color w:val="231F20"/>
              </w:rPr>
              <w:t>33,672</w:t>
            </w:r>
          </w:p>
        </w:tc>
        <w:tc>
          <w:tcPr>
            <w:tcW w:w="1140" w:type="dxa"/>
            <w:vAlign w:val="bottom"/>
            <w:gridSpan w:val="2"/>
            <w:shd w:val="clear" w:color="auto" w:fill="D0EBF2"/>
          </w:tcPr>
          <w:p>
            <w:pPr>
              <w:jc w:val="right"/>
              <w:spacing w:after="0" w:line="159" w:lineRule="exact"/>
              <w:rPr>
                <w:sz w:val="20"/>
                <w:szCs w:val="20"/>
                <w:color w:val="auto"/>
              </w:rPr>
            </w:pPr>
            <w:r>
              <w:rPr>
                <w:rFonts w:ascii="Times New Roman" w:cs="Times New Roman" w:eastAsia="Times New Roman" w:hAnsi="Times New Roman"/>
                <w:sz w:val="15"/>
                <w:szCs w:val="15"/>
                <w:color w:val="231F20"/>
              </w:rPr>
              <w:t>34,375</w:t>
            </w:r>
          </w:p>
        </w:tc>
        <w:tc>
          <w:tcPr>
            <w:tcW w:w="1340" w:type="dxa"/>
            <w:vAlign w:val="bottom"/>
            <w:gridSpan w:val="3"/>
            <w:shd w:val="clear" w:color="auto" w:fill="D0EBF2"/>
          </w:tcPr>
          <w:p>
            <w:pPr>
              <w:jc w:val="right"/>
              <w:ind w:right="120"/>
              <w:spacing w:after="0" w:line="159" w:lineRule="exact"/>
              <w:rPr>
                <w:sz w:val="20"/>
                <w:szCs w:val="20"/>
                <w:color w:val="auto"/>
              </w:rPr>
            </w:pPr>
            <w:r>
              <w:rPr>
                <w:rFonts w:ascii="Times New Roman" w:cs="Times New Roman" w:eastAsia="Times New Roman" w:hAnsi="Times New Roman"/>
                <w:sz w:val="15"/>
                <w:szCs w:val="15"/>
                <w:color w:val="231F20"/>
              </w:rPr>
              <w:t>2.3%</w:t>
            </w:r>
          </w:p>
        </w:tc>
      </w:tr>
      <w:tr>
        <w:trPr>
          <w:trHeight w:val="189"/>
        </w:trPr>
        <w:tc>
          <w:tcPr>
            <w:tcW w:w="1440" w:type="dxa"/>
            <w:vAlign w:val="bottom"/>
            <w:tcBorders>
              <w:bottom w:val="single" w:sz="8" w:color="D0EBF2"/>
            </w:tcBorders>
            <w:shd w:val="clear" w:color="auto" w:fill="D0EBF2"/>
          </w:tcPr>
          <w:p>
            <w:pPr>
              <w:spacing w:after="0"/>
              <w:rPr>
                <w:sz w:val="20"/>
                <w:szCs w:val="20"/>
                <w:color w:val="auto"/>
              </w:rPr>
            </w:pPr>
            <w:r>
              <w:rPr>
                <w:rFonts w:ascii="Times New Roman" w:cs="Times New Roman" w:eastAsia="Times New Roman" w:hAnsi="Times New Roman"/>
                <w:sz w:val="15"/>
                <w:szCs w:val="15"/>
                <w:color w:val="231F20"/>
              </w:rPr>
              <w:t xml:space="preserve">Intermediate, LLC </w:t>
            </w:r>
            <w:r>
              <w:rPr>
                <w:rFonts w:ascii="Times New Roman" w:cs="Times New Roman" w:eastAsia="Times New Roman" w:hAnsi="Times New Roman"/>
                <w:sz w:val="9"/>
                <w:szCs w:val="9"/>
                <w:color w:val="231F20"/>
              </w:rPr>
              <w:t>(3)(5)</w:t>
            </w:r>
          </w:p>
        </w:tc>
        <w:tc>
          <w:tcPr>
            <w:tcW w:w="2480" w:type="dxa"/>
            <w:vAlign w:val="bottom"/>
            <w:tcBorders>
              <w:bottom w:val="single" w:sz="8" w:color="D0EBF2"/>
            </w:tcBorders>
            <w:shd w:val="clear" w:color="auto" w:fill="D0EBF2"/>
          </w:tcPr>
          <w:p>
            <w:pPr>
              <w:ind w:left="80"/>
              <w:spacing w:after="0"/>
              <w:rPr>
                <w:sz w:val="20"/>
                <w:szCs w:val="20"/>
                <w:color w:val="auto"/>
              </w:rPr>
            </w:pPr>
            <w:r>
              <w:rPr>
                <w:rFonts w:ascii="Times New Roman" w:cs="Times New Roman" w:eastAsia="Times New Roman" w:hAnsi="Times New Roman"/>
                <w:sz w:val="15"/>
                <w:szCs w:val="15"/>
                <w:color w:val="231F20"/>
              </w:rPr>
              <w:t>12/2026)</w:t>
            </w:r>
          </w:p>
        </w:tc>
        <w:tc>
          <w:tcPr>
            <w:tcW w:w="780" w:type="dxa"/>
            <w:vAlign w:val="bottom"/>
            <w:tcBorders>
              <w:bottom w:val="single" w:sz="8" w:color="D0EBF2"/>
            </w:tcBorders>
            <w:shd w:val="clear" w:color="auto" w:fill="D0EBF2"/>
          </w:tcPr>
          <w:p>
            <w:pPr>
              <w:spacing w:after="0"/>
              <w:rPr>
                <w:sz w:val="16"/>
                <w:szCs w:val="16"/>
                <w:color w:val="auto"/>
              </w:rPr>
            </w:pPr>
          </w:p>
        </w:tc>
        <w:tc>
          <w:tcPr>
            <w:tcW w:w="1080" w:type="dxa"/>
            <w:vAlign w:val="bottom"/>
            <w:tcBorders>
              <w:bottom w:val="single" w:sz="8" w:color="D0EBF2"/>
            </w:tcBorders>
            <w:shd w:val="clear" w:color="auto" w:fill="D0EBF2"/>
          </w:tcPr>
          <w:p>
            <w:pPr>
              <w:jc w:val="right"/>
              <w:ind w:right="124"/>
              <w:spacing w:after="0"/>
              <w:rPr>
                <w:sz w:val="20"/>
                <w:szCs w:val="20"/>
                <w:color w:val="auto"/>
              </w:rPr>
            </w:pPr>
            <w:r>
              <w:rPr>
                <w:rFonts w:ascii="Times New Roman" w:cs="Times New Roman" w:eastAsia="Times New Roman" w:hAnsi="Times New Roman"/>
                <w:sz w:val="15"/>
                <w:szCs w:val="15"/>
                <w:color w:val="231F20"/>
              </w:rPr>
              <w:t>7.15%</w:t>
            </w:r>
          </w:p>
        </w:tc>
        <w:tc>
          <w:tcPr>
            <w:tcW w:w="1020" w:type="dxa"/>
            <w:vAlign w:val="bottom"/>
            <w:tcBorders>
              <w:bottom w:val="single" w:sz="8" w:color="D0EBF2"/>
            </w:tcBorders>
            <w:shd w:val="clear" w:color="auto" w:fill="D0EBF2"/>
          </w:tcPr>
          <w:p>
            <w:pPr>
              <w:spacing w:after="0"/>
              <w:rPr>
                <w:sz w:val="16"/>
                <w:szCs w:val="16"/>
                <w:color w:val="auto"/>
              </w:rPr>
            </w:pPr>
          </w:p>
        </w:tc>
        <w:tc>
          <w:tcPr>
            <w:tcW w:w="1000" w:type="dxa"/>
            <w:vAlign w:val="bottom"/>
            <w:tcBorders>
              <w:bottom w:val="single" w:sz="8" w:color="231F20"/>
            </w:tcBorders>
            <w:shd w:val="clear" w:color="auto" w:fill="D0EBF2"/>
          </w:tcPr>
          <w:p>
            <w:pPr>
              <w:spacing w:after="0"/>
              <w:rPr>
                <w:sz w:val="16"/>
                <w:szCs w:val="16"/>
                <w:color w:val="auto"/>
              </w:rPr>
            </w:pPr>
          </w:p>
        </w:tc>
        <w:tc>
          <w:tcPr>
            <w:tcW w:w="180" w:type="dxa"/>
            <w:vAlign w:val="bottom"/>
            <w:tcBorders>
              <w:bottom w:val="single" w:sz="8" w:color="D0EBF2"/>
            </w:tcBorders>
            <w:shd w:val="clear" w:color="auto" w:fill="D0EBF2"/>
          </w:tcPr>
          <w:p>
            <w:pPr>
              <w:spacing w:after="0"/>
              <w:rPr>
                <w:sz w:val="16"/>
                <w:szCs w:val="16"/>
                <w:color w:val="auto"/>
              </w:rPr>
            </w:pPr>
          </w:p>
        </w:tc>
        <w:tc>
          <w:tcPr>
            <w:tcW w:w="960" w:type="dxa"/>
            <w:vAlign w:val="bottom"/>
            <w:tcBorders>
              <w:bottom w:val="single" w:sz="8" w:color="231F20"/>
            </w:tcBorders>
            <w:shd w:val="clear" w:color="auto" w:fill="D0EBF2"/>
          </w:tcPr>
          <w:p>
            <w:pPr>
              <w:spacing w:after="0"/>
              <w:rPr>
                <w:sz w:val="16"/>
                <w:szCs w:val="16"/>
                <w:color w:val="auto"/>
              </w:rPr>
            </w:pPr>
          </w:p>
        </w:tc>
        <w:tc>
          <w:tcPr>
            <w:tcW w:w="200" w:type="dxa"/>
            <w:vAlign w:val="bottom"/>
            <w:tcBorders>
              <w:bottom w:val="single" w:sz="8" w:color="D0EBF2"/>
            </w:tcBorders>
            <w:shd w:val="clear" w:color="auto" w:fill="D0EBF2"/>
          </w:tcPr>
          <w:p>
            <w:pPr>
              <w:spacing w:after="0"/>
              <w:rPr>
                <w:sz w:val="16"/>
                <w:szCs w:val="16"/>
                <w:color w:val="auto"/>
              </w:rPr>
            </w:pPr>
          </w:p>
        </w:tc>
        <w:tc>
          <w:tcPr>
            <w:tcW w:w="900" w:type="dxa"/>
            <w:vAlign w:val="bottom"/>
            <w:tcBorders>
              <w:bottom w:val="single" w:sz="8" w:color="231F20"/>
            </w:tcBorders>
            <w:shd w:val="clear" w:color="auto" w:fill="D0EBF2"/>
          </w:tcPr>
          <w:p>
            <w:pPr>
              <w:spacing w:after="0"/>
              <w:rPr>
                <w:sz w:val="16"/>
                <w:szCs w:val="16"/>
                <w:color w:val="auto"/>
              </w:rPr>
            </w:pPr>
          </w:p>
        </w:tc>
        <w:tc>
          <w:tcPr>
            <w:tcW w:w="240" w:type="dxa"/>
            <w:vAlign w:val="bottom"/>
            <w:tcBorders>
              <w:bottom w:val="single" w:sz="8" w:color="D0EBF2"/>
            </w:tcBorders>
            <w:shd w:val="clear" w:color="auto" w:fill="D0EBF2"/>
          </w:tcPr>
          <w:p>
            <w:pPr>
              <w:spacing w:after="0"/>
              <w:rPr>
                <w:sz w:val="16"/>
                <w:szCs w:val="16"/>
                <w:color w:val="auto"/>
              </w:rPr>
            </w:pPr>
          </w:p>
        </w:tc>
      </w:tr>
      <w:tr>
        <w:trPr>
          <w:trHeight w:val="163"/>
        </w:trPr>
        <w:tc>
          <w:tcPr>
            <w:tcW w:w="1440" w:type="dxa"/>
            <w:vAlign w:val="bottom"/>
            <w:shd w:val="clear" w:color="auto" w:fill="FDFDFC"/>
          </w:tcPr>
          <w:p>
            <w:pPr>
              <w:spacing w:after="0"/>
              <w:rPr>
                <w:sz w:val="14"/>
                <w:szCs w:val="14"/>
                <w:color w:val="auto"/>
              </w:rPr>
            </w:pPr>
          </w:p>
        </w:tc>
        <w:tc>
          <w:tcPr>
            <w:tcW w:w="2480" w:type="dxa"/>
            <w:vAlign w:val="bottom"/>
            <w:shd w:val="clear" w:color="auto" w:fill="FDFDFC"/>
          </w:tcPr>
          <w:p>
            <w:pPr>
              <w:spacing w:after="0"/>
              <w:rPr>
                <w:sz w:val="14"/>
                <w:szCs w:val="14"/>
                <w:color w:val="auto"/>
              </w:rPr>
            </w:pPr>
          </w:p>
        </w:tc>
        <w:tc>
          <w:tcPr>
            <w:tcW w:w="780" w:type="dxa"/>
            <w:vAlign w:val="bottom"/>
            <w:shd w:val="clear" w:color="auto" w:fill="FDFDFC"/>
          </w:tcPr>
          <w:p>
            <w:pPr>
              <w:spacing w:after="0"/>
              <w:rPr>
                <w:sz w:val="14"/>
                <w:szCs w:val="14"/>
                <w:color w:val="auto"/>
              </w:rPr>
            </w:pPr>
          </w:p>
        </w:tc>
        <w:tc>
          <w:tcPr>
            <w:tcW w:w="1080" w:type="dxa"/>
            <w:vAlign w:val="bottom"/>
            <w:shd w:val="clear" w:color="auto" w:fill="FDFDFC"/>
          </w:tcPr>
          <w:p>
            <w:pPr>
              <w:spacing w:after="0"/>
              <w:rPr>
                <w:sz w:val="14"/>
                <w:szCs w:val="14"/>
                <w:color w:val="auto"/>
              </w:rPr>
            </w:pPr>
          </w:p>
        </w:tc>
        <w:tc>
          <w:tcPr>
            <w:tcW w:w="1020" w:type="dxa"/>
            <w:vAlign w:val="bottom"/>
            <w:shd w:val="clear" w:color="auto" w:fill="FDFDFC"/>
          </w:tcPr>
          <w:p>
            <w:pPr>
              <w:spacing w:after="0"/>
              <w:rPr>
                <w:sz w:val="14"/>
                <w:szCs w:val="14"/>
                <w:color w:val="auto"/>
              </w:rPr>
            </w:pPr>
          </w:p>
        </w:tc>
        <w:tc>
          <w:tcPr>
            <w:tcW w:w="1000" w:type="dxa"/>
            <w:vAlign w:val="bottom"/>
            <w:shd w:val="clear" w:color="auto" w:fill="FDFDFC"/>
          </w:tcPr>
          <w:p>
            <w:pPr>
              <w:jc w:val="right"/>
              <w:spacing w:after="0" w:line="164" w:lineRule="exact"/>
              <w:rPr>
                <w:sz w:val="20"/>
                <w:szCs w:val="20"/>
                <w:color w:val="auto"/>
              </w:rPr>
            </w:pPr>
            <w:r>
              <w:rPr>
                <w:rFonts w:ascii="Times New Roman" w:cs="Times New Roman" w:eastAsia="Times New Roman" w:hAnsi="Times New Roman"/>
                <w:sz w:val="15"/>
                <w:szCs w:val="15"/>
                <w:color w:val="231F20"/>
              </w:rPr>
              <w:t>351,845</w:t>
            </w:r>
          </w:p>
        </w:tc>
        <w:tc>
          <w:tcPr>
            <w:tcW w:w="180" w:type="dxa"/>
            <w:vAlign w:val="bottom"/>
            <w:shd w:val="clear" w:color="auto" w:fill="FDFDFC"/>
          </w:tcPr>
          <w:p>
            <w:pPr>
              <w:spacing w:after="0"/>
              <w:rPr>
                <w:sz w:val="14"/>
                <w:szCs w:val="14"/>
                <w:color w:val="auto"/>
              </w:rPr>
            </w:pPr>
          </w:p>
        </w:tc>
        <w:tc>
          <w:tcPr>
            <w:tcW w:w="960" w:type="dxa"/>
            <w:vAlign w:val="bottom"/>
            <w:shd w:val="clear" w:color="auto" w:fill="FDFDFC"/>
          </w:tcPr>
          <w:p>
            <w:pPr>
              <w:jc w:val="right"/>
              <w:spacing w:after="0" w:line="164" w:lineRule="exact"/>
              <w:rPr>
                <w:sz w:val="20"/>
                <w:szCs w:val="20"/>
                <w:color w:val="auto"/>
              </w:rPr>
            </w:pPr>
            <w:r>
              <w:rPr>
                <w:rFonts w:ascii="Times New Roman" w:cs="Times New Roman" w:eastAsia="Times New Roman" w:hAnsi="Times New Roman"/>
                <w:sz w:val="15"/>
                <w:szCs w:val="15"/>
                <w:color w:val="231F20"/>
              </w:rPr>
              <w:t>355,607</w:t>
            </w:r>
          </w:p>
        </w:tc>
        <w:tc>
          <w:tcPr>
            <w:tcW w:w="200" w:type="dxa"/>
            <w:vAlign w:val="bottom"/>
            <w:shd w:val="clear" w:color="auto" w:fill="FDFDFC"/>
          </w:tcPr>
          <w:p>
            <w:pPr>
              <w:spacing w:after="0"/>
              <w:rPr>
                <w:sz w:val="14"/>
                <w:szCs w:val="14"/>
                <w:color w:val="auto"/>
              </w:rPr>
            </w:pPr>
          </w:p>
        </w:tc>
        <w:tc>
          <w:tcPr>
            <w:tcW w:w="1140" w:type="dxa"/>
            <w:vAlign w:val="bottom"/>
            <w:gridSpan w:val="2"/>
          </w:tcPr>
          <w:p>
            <w:pPr>
              <w:jc w:val="right"/>
              <w:ind w:right="120"/>
              <w:spacing w:after="0" w:line="164" w:lineRule="exact"/>
              <w:rPr>
                <w:sz w:val="20"/>
                <w:szCs w:val="20"/>
                <w:color w:val="auto"/>
              </w:rPr>
            </w:pPr>
            <w:r>
              <w:rPr>
                <w:rFonts w:ascii="Times New Roman" w:cs="Times New Roman" w:eastAsia="Times New Roman" w:hAnsi="Times New Roman"/>
                <w:sz w:val="15"/>
                <w:szCs w:val="15"/>
                <w:color w:val="231F20"/>
              </w:rPr>
              <w:t>23.7%</w:t>
            </w:r>
          </w:p>
        </w:tc>
      </w:tr>
      <w:tr>
        <w:trPr>
          <w:trHeight w:val="163"/>
        </w:trPr>
        <w:tc>
          <w:tcPr>
            <w:tcW w:w="1440" w:type="dxa"/>
            <w:vAlign w:val="bottom"/>
            <w:tcBorders>
              <w:top w:val="single" w:sz="8" w:color="D0EBF2"/>
            </w:tcBorders>
            <w:shd w:val="clear" w:color="auto" w:fill="D0EBF2"/>
          </w:tcPr>
          <w:p>
            <w:pPr>
              <w:spacing w:after="0" w:line="164" w:lineRule="exact"/>
              <w:rPr>
                <w:sz w:val="20"/>
                <w:szCs w:val="20"/>
                <w:color w:val="auto"/>
              </w:rPr>
            </w:pPr>
            <w:r>
              <w:rPr>
                <w:rFonts w:ascii="Times New Roman" w:cs="Times New Roman" w:eastAsia="Times New Roman" w:hAnsi="Times New Roman"/>
                <w:sz w:val="15"/>
                <w:szCs w:val="15"/>
                <w:b w:val="1"/>
                <w:bCs w:val="1"/>
                <w:color w:val="231F20"/>
              </w:rPr>
              <w:t>Insurance</w:t>
            </w:r>
          </w:p>
        </w:tc>
        <w:tc>
          <w:tcPr>
            <w:tcW w:w="2480" w:type="dxa"/>
            <w:vAlign w:val="bottom"/>
            <w:tcBorders>
              <w:top w:val="single" w:sz="8" w:color="D0EBF2"/>
            </w:tcBorders>
            <w:shd w:val="clear" w:color="auto" w:fill="D0EBF2"/>
          </w:tcPr>
          <w:p>
            <w:pPr>
              <w:spacing w:after="0"/>
              <w:rPr>
                <w:sz w:val="14"/>
                <w:szCs w:val="14"/>
                <w:color w:val="auto"/>
              </w:rPr>
            </w:pPr>
          </w:p>
        </w:tc>
        <w:tc>
          <w:tcPr>
            <w:tcW w:w="780" w:type="dxa"/>
            <w:vAlign w:val="bottom"/>
            <w:tcBorders>
              <w:top w:val="single" w:sz="8" w:color="D0EBF2"/>
            </w:tcBorders>
            <w:shd w:val="clear" w:color="auto" w:fill="D0EBF2"/>
          </w:tcPr>
          <w:p>
            <w:pPr>
              <w:spacing w:after="0"/>
              <w:rPr>
                <w:sz w:val="14"/>
                <w:szCs w:val="14"/>
                <w:color w:val="auto"/>
              </w:rPr>
            </w:pPr>
          </w:p>
        </w:tc>
        <w:tc>
          <w:tcPr>
            <w:tcW w:w="1080" w:type="dxa"/>
            <w:vAlign w:val="bottom"/>
            <w:tcBorders>
              <w:top w:val="single" w:sz="8" w:color="D0EBF2"/>
            </w:tcBorders>
            <w:shd w:val="clear" w:color="auto" w:fill="D0EBF2"/>
          </w:tcPr>
          <w:p>
            <w:pPr>
              <w:spacing w:after="0"/>
              <w:rPr>
                <w:sz w:val="14"/>
                <w:szCs w:val="14"/>
                <w:color w:val="auto"/>
              </w:rPr>
            </w:pPr>
          </w:p>
        </w:tc>
        <w:tc>
          <w:tcPr>
            <w:tcW w:w="1020" w:type="dxa"/>
            <w:vAlign w:val="bottom"/>
            <w:tcBorders>
              <w:top w:val="single" w:sz="8" w:color="D0EBF2"/>
            </w:tcBorders>
            <w:shd w:val="clear" w:color="auto" w:fill="D0EBF2"/>
          </w:tcPr>
          <w:p>
            <w:pPr>
              <w:spacing w:after="0"/>
              <w:rPr>
                <w:sz w:val="14"/>
                <w:szCs w:val="14"/>
                <w:color w:val="auto"/>
              </w:rPr>
            </w:pPr>
          </w:p>
        </w:tc>
        <w:tc>
          <w:tcPr>
            <w:tcW w:w="1000" w:type="dxa"/>
            <w:vAlign w:val="bottom"/>
            <w:tcBorders>
              <w:top w:val="single" w:sz="8" w:color="231F20"/>
            </w:tcBorders>
            <w:shd w:val="clear" w:color="auto" w:fill="D0EBF2"/>
          </w:tcPr>
          <w:p>
            <w:pPr>
              <w:spacing w:after="0"/>
              <w:rPr>
                <w:sz w:val="14"/>
                <w:szCs w:val="14"/>
                <w:color w:val="auto"/>
              </w:rPr>
            </w:pPr>
          </w:p>
        </w:tc>
        <w:tc>
          <w:tcPr>
            <w:tcW w:w="180" w:type="dxa"/>
            <w:vAlign w:val="bottom"/>
            <w:tcBorders>
              <w:top w:val="single" w:sz="8" w:color="D0EBF2"/>
            </w:tcBorders>
            <w:shd w:val="clear" w:color="auto" w:fill="D0EBF2"/>
          </w:tcPr>
          <w:p>
            <w:pPr>
              <w:spacing w:after="0"/>
              <w:rPr>
                <w:sz w:val="14"/>
                <w:szCs w:val="14"/>
                <w:color w:val="auto"/>
              </w:rPr>
            </w:pPr>
          </w:p>
        </w:tc>
        <w:tc>
          <w:tcPr>
            <w:tcW w:w="960" w:type="dxa"/>
            <w:vAlign w:val="bottom"/>
            <w:tcBorders>
              <w:top w:val="single" w:sz="8" w:color="231F20"/>
            </w:tcBorders>
            <w:shd w:val="clear" w:color="auto" w:fill="D0EBF2"/>
          </w:tcPr>
          <w:p>
            <w:pPr>
              <w:spacing w:after="0"/>
              <w:rPr>
                <w:sz w:val="14"/>
                <w:szCs w:val="14"/>
                <w:color w:val="auto"/>
              </w:rPr>
            </w:pPr>
          </w:p>
        </w:tc>
        <w:tc>
          <w:tcPr>
            <w:tcW w:w="200" w:type="dxa"/>
            <w:vAlign w:val="bottom"/>
            <w:tcBorders>
              <w:top w:val="single" w:sz="8" w:color="D0EBF2"/>
            </w:tcBorders>
            <w:shd w:val="clear" w:color="auto" w:fill="D0EBF2"/>
          </w:tcPr>
          <w:p>
            <w:pPr>
              <w:spacing w:after="0"/>
              <w:rPr>
                <w:sz w:val="14"/>
                <w:szCs w:val="14"/>
                <w:color w:val="auto"/>
              </w:rPr>
            </w:pPr>
          </w:p>
        </w:tc>
        <w:tc>
          <w:tcPr>
            <w:tcW w:w="900" w:type="dxa"/>
            <w:vAlign w:val="bottom"/>
            <w:tcBorders>
              <w:top w:val="single" w:sz="8" w:color="231F20"/>
            </w:tcBorders>
            <w:shd w:val="clear" w:color="auto" w:fill="D0EBF2"/>
          </w:tcPr>
          <w:p>
            <w:pPr>
              <w:spacing w:after="0"/>
              <w:rPr>
                <w:sz w:val="14"/>
                <w:szCs w:val="14"/>
                <w:color w:val="auto"/>
              </w:rPr>
            </w:pPr>
          </w:p>
        </w:tc>
        <w:tc>
          <w:tcPr>
            <w:tcW w:w="240" w:type="dxa"/>
            <w:vAlign w:val="bottom"/>
            <w:tcBorders>
              <w:top w:val="single" w:sz="8" w:color="D0EBF2"/>
            </w:tcBorders>
            <w:shd w:val="clear" w:color="auto" w:fill="D0EBF2"/>
          </w:tcPr>
          <w:p>
            <w:pPr>
              <w:spacing w:after="0"/>
              <w:rPr>
                <w:sz w:val="14"/>
                <w:szCs w:val="14"/>
                <w:color w:val="auto"/>
              </w:rPr>
            </w:pPr>
          </w:p>
        </w:tc>
      </w:tr>
      <w:tr>
        <w:trPr>
          <w:trHeight w:val="158"/>
        </w:trPr>
        <w:tc>
          <w:tcPr>
            <w:tcW w:w="1440" w:type="dxa"/>
            <w:vAlign w:val="bottom"/>
            <w:shd w:val="clear" w:color="auto" w:fill="FDFDFC"/>
          </w:tcPr>
          <w:p>
            <w:pPr>
              <w:spacing w:after="0" w:line="159" w:lineRule="exact"/>
              <w:rPr>
                <w:sz w:val="20"/>
                <w:szCs w:val="20"/>
                <w:color w:val="auto"/>
              </w:rPr>
            </w:pPr>
            <w:r>
              <w:rPr>
                <w:rFonts w:ascii="Times New Roman" w:cs="Times New Roman" w:eastAsia="Times New Roman" w:hAnsi="Times New Roman"/>
                <w:sz w:val="15"/>
                <w:szCs w:val="15"/>
                <w:color w:val="231F20"/>
              </w:rPr>
              <w:t xml:space="preserve">Disco Parent, Inc. </w:t>
            </w:r>
            <w:r>
              <w:rPr>
                <w:rFonts w:ascii="Times New Roman" w:cs="Times New Roman" w:eastAsia="Times New Roman" w:hAnsi="Times New Roman"/>
                <w:sz w:val="9"/>
                <w:szCs w:val="9"/>
                <w:color w:val="231F20"/>
              </w:rPr>
              <w:t>(3)</w:t>
            </w:r>
          </w:p>
        </w:tc>
        <w:tc>
          <w:tcPr>
            <w:tcW w:w="2480" w:type="dxa"/>
            <w:vAlign w:val="bottom"/>
            <w:shd w:val="clear" w:color="auto" w:fill="FDFDFC"/>
          </w:tcPr>
          <w:p>
            <w:pPr>
              <w:ind w:left="80"/>
              <w:spacing w:after="0" w:line="159" w:lineRule="exact"/>
              <w:rPr>
                <w:sz w:val="20"/>
                <w:szCs w:val="20"/>
                <w:color w:val="auto"/>
              </w:rPr>
            </w:pPr>
            <w:r>
              <w:rPr>
                <w:rFonts w:ascii="Times New Roman" w:cs="Times New Roman" w:eastAsia="Times New Roman" w:hAnsi="Times New Roman"/>
                <w:sz w:val="15"/>
                <w:szCs w:val="15"/>
                <w:color w:val="231F20"/>
              </w:rPr>
              <w:t>First-lien loan ($4,545 par, due</w:t>
            </w:r>
          </w:p>
        </w:tc>
        <w:tc>
          <w:tcPr>
            <w:tcW w:w="780" w:type="dxa"/>
            <w:vAlign w:val="bottom"/>
            <w:shd w:val="clear" w:color="auto" w:fill="FDFDFC"/>
          </w:tcPr>
          <w:p>
            <w:pPr>
              <w:jc w:val="right"/>
              <w:spacing w:after="0" w:line="159" w:lineRule="exact"/>
              <w:rPr>
                <w:sz w:val="20"/>
                <w:szCs w:val="20"/>
                <w:color w:val="auto"/>
              </w:rPr>
            </w:pPr>
            <w:r>
              <w:rPr>
                <w:rFonts w:ascii="Times New Roman" w:cs="Times New Roman" w:eastAsia="Times New Roman" w:hAnsi="Times New Roman"/>
                <w:sz w:val="15"/>
                <w:szCs w:val="15"/>
                <w:color w:val="231F20"/>
              </w:rPr>
              <w:t>3/30/2023</w:t>
            </w:r>
          </w:p>
        </w:tc>
        <w:tc>
          <w:tcPr>
            <w:tcW w:w="1080" w:type="dxa"/>
            <w:vAlign w:val="bottom"/>
            <w:shd w:val="clear" w:color="auto" w:fill="FDFDFC"/>
          </w:tcPr>
          <w:p>
            <w:pPr>
              <w:jc w:val="right"/>
              <w:ind w:right="124"/>
              <w:spacing w:after="0" w:line="159" w:lineRule="exact"/>
              <w:rPr>
                <w:sz w:val="20"/>
                <w:szCs w:val="20"/>
                <w:color w:val="auto"/>
              </w:rPr>
            </w:pPr>
            <w:r>
              <w:rPr>
                <w:rFonts w:ascii="Times New Roman" w:cs="Times New Roman" w:eastAsia="Times New Roman" w:hAnsi="Times New Roman"/>
                <w:sz w:val="15"/>
                <w:szCs w:val="15"/>
                <w:color w:val="231F20"/>
              </w:rPr>
              <w:t>SOFR +</w:t>
            </w:r>
          </w:p>
        </w:tc>
        <w:tc>
          <w:tcPr>
            <w:tcW w:w="1020" w:type="dxa"/>
            <w:vAlign w:val="bottom"/>
            <w:shd w:val="clear" w:color="auto" w:fill="FDFDFC"/>
          </w:tcPr>
          <w:p>
            <w:pPr>
              <w:jc w:val="right"/>
              <w:ind w:right="24"/>
              <w:spacing w:after="0" w:line="159" w:lineRule="exact"/>
              <w:rPr>
                <w:sz w:val="20"/>
                <w:szCs w:val="20"/>
                <w:color w:val="auto"/>
              </w:rPr>
            </w:pPr>
            <w:r>
              <w:rPr>
                <w:rFonts w:ascii="Times New Roman" w:cs="Times New Roman" w:eastAsia="Times New Roman" w:hAnsi="Times New Roman"/>
                <w:sz w:val="15"/>
                <w:szCs w:val="15"/>
                <w:color w:val="231F20"/>
              </w:rPr>
              <w:t>12.89%</w:t>
            </w:r>
          </w:p>
        </w:tc>
        <w:tc>
          <w:tcPr>
            <w:tcW w:w="1000" w:type="dxa"/>
            <w:vAlign w:val="bottom"/>
            <w:shd w:val="clear" w:color="auto" w:fill="FDFDFC"/>
          </w:tcPr>
          <w:p>
            <w:pPr>
              <w:jc w:val="right"/>
              <w:spacing w:after="0" w:line="159" w:lineRule="exact"/>
              <w:rPr>
                <w:sz w:val="20"/>
                <w:szCs w:val="20"/>
                <w:color w:val="auto"/>
              </w:rPr>
            </w:pPr>
            <w:r>
              <w:rPr>
                <w:rFonts w:ascii="Times New Roman" w:cs="Times New Roman" w:eastAsia="Times New Roman" w:hAnsi="Times New Roman"/>
                <w:sz w:val="15"/>
                <w:szCs w:val="15"/>
                <w:color w:val="231F20"/>
              </w:rPr>
              <w:t>4,436</w:t>
            </w:r>
          </w:p>
        </w:tc>
        <w:tc>
          <w:tcPr>
            <w:tcW w:w="180" w:type="dxa"/>
            <w:vAlign w:val="bottom"/>
            <w:shd w:val="clear" w:color="auto" w:fill="FDFDFC"/>
          </w:tcPr>
          <w:p>
            <w:pPr>
              <w:spacing w:after="0"/>
              <w:rPr>
                <w:sz w:val="13"/>
                <w:szCs w:val="13"/>
                <w:color w:val="auto"/>
              </w:rPr>
            </w:pPr>
          </w:p>
        </w:tc>
        <w:tc>
          <w:tcPr>
            <w:tcW w:w="960" w:type="dxa"/>
            <w:vAlign w:val="bottom"/>
            <w:shd w:val="clear" w:color="auto" w:fill="FDFDFC"/>
          </w:tcPr>
          <w:p>
            <w:pPr>
              <w:jc w:val="right"/>
              <w:spacing w:after="0" w:line="159" w:lineRule="exact"/>
              <w:rPr>
                <w:sz w:val="20"/>
                <w:szCs w:val="20"/>
                <w:color w:val="auto"/>
              </w:rPr>
            </w:pPr>
            <w:r>
              <w:rPr>
                <w:rFonts w:ascii="Times New Roman" w:cs="Times New Roman" w:eastAsia="Times New Roman" w:hAnsi="Times New Roman"/>
                <w:sz w:val="15"/>
                <w:szCs w:val="15"/>
                <w:color w:val="231F20"/>
              </w:rPr>
              <w:t>4,533</w:t>
            </w:r>
          </w:p>
        </w:tc>
        <w:tc>
          <w:tcPr>
            <w:tcW w:w="200" w:type="dxa"/>
            <w:vAlign w:val="bottom"/>
            <w:shd w:val="clear" w:color="auto" w:fill="FDFDFC"/>
          </w:tcPr>
          <w:p>
            <w:pPr>
              <w:spacing w:after="0"/>
              <w:rPr>
                <w:sz w:val="13"/>
                <w:szCs w:val="13"/>
                <w:color w:val="auto"/>
              </w:rPr>
            </w:pPr>
          </w:p>
        </w:tc>
        <w:tc>
          <w:tcPr>
            <w:tcW w:w="1140" w:type="dxa"/>
            <w:vAlign w:val="bottom"/>
            <w:gridSpan w:val="2"/>
            <w:shd w:val="clear" w:color="auto" w:fill="FDFDFC"/>
          </w:tcPr>
          <w:p>
            <w:pPr>
              <w:jc w:val="right"/>
              <w:ind w:right="120"/>
              <w:spacing w:after="0" w:line="159" w:lineRule="exact"/>
              <w:rPr>
                <w:sz w:val="20"/>
                <w:szCs w:val="20"/>
                <w:color w:val="auto"/>
              </w:rPr>
            </w:pPr>
            <w:r>
              <w:rPr>
                <w:rFonts w:ascii="Times New Roman" w:cs="Times New Roman" w:eastAsia="Times New Roman" w:hAnsi="Times New Roman"/>
                <w:sz w:val="15"/>
                <w:szCs w:val="15"/>
                <w:color w:val="231F20"/>
              </w:rPr>
              <w:t>0.3%</w:t>
            </w:r>
          </w:p>
        </w:tc>
      </w:tr>
      <w:tr>
        <w:trPr>
          <w:trHeight w:val="189"/>
        </w:trPr>
        <w:tc>
          <w:tcPr>
            <w:tcW w:w="1440" w:type="dxa"/>
            <w:vAlign w:val="bottom"/>
            <w:shd w:val="clear" w:color="auto" w:fill="FDFDFC"/>
          </w:tcPr>
          <w:p>
            <w:pPr>
              <w:spacing w:after="0"/>
              <w:rPr>
                <w:sz w:val="16"/>
                <w:szCs w:val="16"/>
                <w:color w:val="auto"/>
              </w:rPr>
            </w:pPr>
          </w:p>
        </w:tc>
        <w:tc>
          <w:tcPr>
            <w:tcW w:w="2480" w:type="dxa"/>
            <w:vAlign w:val="bottom"/>
            <w:shd w:val="clear" w:color="auto" w:fill="FDFDFC"/>
          </w:tcPr>
          <w:p>
            <w:pPr>
              <w:ind w:left="80"/>
              <w:spacing w:after="0"/>
              <w:rPr>
                <w:sz w:val="20"/>
                <w:szCs w:val="20"/>
                <w:color w:val="auto"/>
              </w:rPr>
            </w:pPr>
            <w:r>
              <w:rPr>
                <w:rFonts w:ascii="Times New Roman" w:cs="Times New Roman" w:eastAsia="Times New Roman" w:hAnsi="Times New Roman"/>
                <w:sz w:val="15"/>
                <w:szCs w:val="15"/>
                <w:color w:val="231F20"/>
              </w:rPr>
              <w:t>3/2029)</w:t>
            </w:r>
          </w:p>
        </w:tc>
        <w:tc>
          <w:tcPr>
            <w:tcW w:w="780" w:type="dxa"/>
            <w:vAlign w:val="bottom"/>
            <w:shd w:val="clear" w:color="auto" w:fill="FDFDFC"/>
          </w:tcPr>
          <w:p>
            <w:pPr>
              <w:spacing w:after="0"/>
              <w:rPr>
                <w:sz w:val="16"/>
                <w:szCs w:val="16"/>
                <w:color w:val="auto"/>
              </w:rPr>
            </w:pPr>
          </w:p>
        </w:tc>
        <w:tc>
          <w:tcPr>
            <w:tcW w:w="1080" w:type="dxa"/>
            <w:vAlign w:val="bottom"/>
            <w:shd w:val="clear" w:color="auto" w:fill="FDFDFC"/>
          </w:tcPr>
          <w:p>
            <w:pPr>
              <w:jc w:val="right"/>
              <w:ind w:right="124"/>
              <w:spacing w:after="0"/>
              <w:rPr>
                <w:sz w:val="20"/>
                <w:szCs w:val="20"/>
                <w:color w:val="auto"/>
              </w:rPr>
            </w:pPr>
            <w:r>
              <w:rPr>
                <w:rFonts w:ascii="Times New Roman" w:cs="Times New Roman" w:eastAsia="Times New Roman" w:hAnsi="Times New Roman"/>
                <w:sz w:val="15"/>
                <w:szCs w:val="15"/>
                <w:color w:val="231F20"/>
              </w:rPr>
              <w:t>7.50%</w:t>
            </w:r>
          </w:p>
        </w:tc>
        <w:tc>
          <w:tcPr>
            <w:tcW w:w="1020" w:type="dxa"/>
            <w:vAlign w:val="bottom"/>
            <w:shd w:val="clear" w:color="auto" w:fill="FDFDFC"/>
          </w:tcPr>
          <w:p>
            <w:pPr>
              <w:spacing w:after="0"/>
              <w:rPr>
                <w:sz w:val="16"/>
                <w:szCs w:val="16"/>
                <w:color w:val="auto"/>
              </w:rPr>
            </w:pPr>
          </w:p>
        </w:tc>
        <w:tc>
          <w:tcPr>
            <w:tcW w:w="1000" w:type="dxa"/>
            <w:vAlign w:val="bottom"/>
            <w:shd w:val="clear" w:color="auto" w:fill="FDFDFC"/>
          </w:tcPr>
          <w:p>
            <w:pPr>
              <w:spacing w:after="0"/>
              <w:rPr>
                <w:sz w:val="16"/>
                <w:szCs w:val="16"/>
                <w:color w:val="auto"/>
              </w:rPr>
            </w:pPr>
          </w:p>
        </w:tc>
        <w:tc>
          <w:tcPr>
            <w:tcW w:w="180" w:type="dxa"/>
            <w:vAlign w:val="bottom"/>
            <w:shd w:val="clear" w:color="auto" w:fill="FDFDFC"/>
          </w:tcPr>
          <w:p>
            <w:pPr>
              <w:spacing w:after="0"/>
              <w:rPr>
                <w:sz w:val="16"/>
                <w:szCs w:val="16"/>
                <w:color w:val="auto"/>
              </w:rPr>
            </w:pPr>
          </w:p>
        </w:tc>
        <w:tc>
          <w:tcPr>
            <w:tcW w:w="960" w:type="dxa"/>
            <w:vAlign w:val="bottom"/>
            <w:shd w:val="clear" w:color="auto" w:fill="FDFDFC"/>
          </w:tcPr>
          <w:p>
            <w:pPr>
              <w:spacing w:after="0"/>
              <w:rPr>
                <w:sz w:val="16"/>
                <w:szCs w:val="16"/>
                <w:color w:val="auto"/>
              </w:rPr>
            </w:pPr>
          </w:p>
        </w:tc>
        <w:tc>
          <w:tcPr>
            <w:tcW w:w="200" w:type="dxa"/>
            <w:vAlign w:val="bottom"/>
            <w:shd w:val="clear" w:color="auto" w:fill="FDFDFC"/>
          </w:tcPr>
          <w:p>
            <w:pPr>
              <w:spacing w:after="0"/>
              <w:rPr>
                <w:sz w:val="16"/>
                <w:szCs w:val="16"/>
                <w:color w:val="auto"/>
              </w:rPr>
            </w:pPr>
          </w:p>
        </w:tc>
        <w:tc>
          <w:tcPr>
            <w:tcW w:w="900" w:type="dxa"/>
            <w:vAlign w:val="bottom"/>
            <w:shd w:val="clear" w:color="auto" w:fill="FDFDFC"/>
          </w:tcPr>
          <w:p>
            <w:pPr>
              <w:spacing w:after="0"/>
              <w:rPr>
                <w:sz w:val="16"/>
                <w:szCs w:val="16"/>
                <w:color w:val="auto"/>
              </w:rPr>
            </w:pPr>
          </w:p>
        </w:tc>
        <w:tc>
          <w:tcPr>
            <w:tcW w:w="240" w:type="dxa"/>
            <w:vAlign w:val="bottom"/>
            <w:shd w:val="clear" w:color="auto" w:fill="FDFDFC"/>
          </w:tcPr>
          <w:p>
            <w:pPr>
              <w:spacing w:after="0"/>
              <w:rPr>
                <w:sz w:val="16"/>
                <w:szCs w:val="16"/>
                <w:color w:val="auto"/>
              </w:rPr>
            </w:pPr>
          </w:p>
        </w:tc>
      </w:tr>
      <w:tr>
        <w:trPr>
          <w:trHeight w:val="174"/>
        </w:trPr>
        <w:tc>
          <w:tcPr>
            <w:tcW w:w="1440" w:type="dxa"/>
            <w:vAlign w:val="bottom"/>
            <w:shd w:val="clear" w:color="auto" w:fill="D0EBF2"/>
          </w:tcPr>
          <w:p>
            <w:pPr>
              <w:spacing w:after="0"/>
              <w:rPr>
                <w:sz w:val="20"/>
                <w:szCs w:val="20"/>
                <w:color w:val="auto"/>
              </w:rPr>
            </w:pPr>
            <w:r>
              <w:rPr>
                <w:rFonts w:ascii="Times New Roman" w:cs="Times New Roman" w:eastAsia="Times New Roman" w:hAnsi="Times New Roman"/>
                <w:sz w:val="15"/>
                <w:szCs w:val="15"/>
                <w:b w:val="1"/>
                <w:bCs w:val="1"/>
                <w:color w:val="231F20"/>
              </w:rPr>
              <w:t>Internet Services</w:t>
            </w:r>
          </w:p>
        </w:tc>
        <w:tc>
          <w:tcPr>
            <w:tcW w:w="2480" w:type="dxa"/>
            <w:vAlign w:val="bottom"/>
            <w:shd w:val="clear" w:color="auto" w:fill="D0EBF2"/>
          </w:tcPr>
          <w:p>
            <w:pPr>
              <w:spacing w:after="0"/>
              <w:rPr>
                <w:sz w:val="15"/>
                <w:szCs w:val="15"/>
                <w:color w:val="auto"/>
              </w:rPr>
            </w:pPr>
          </w:p>
        </w:tc>
        <w:tc>
          <w:tcPr>
            <w:tcW w:w="780" w:type="dxa"/>
            <w:vAlign w:val="bottom"/>
            <w:shd w:val="clear" w:color="auto" w:fill="D0EBF2"/>
          </w:tcPr>
          <w:p>
            <w:pPr>
              <w:spacing w:after="0"/>
              <w:rPr>
                <w:sz w:val="15"/>
                <w:szCs w:val="15"/>
                <w:color w:val="auto"/>
              </w:rPr>
            </w:pPr>
          </w:p>
        </w:tc>
        <w:tc>
          <w:tcPr>
            <w:tcW w:w="1080" w:type="dxa"/>
            <w:vAlign w:val="bottom"/>
            <w:shd w:val="clear" w:color="auto" w:fill="D0EBF2"/>
          </w:tcPr>
          <w:p>
            <w:pPr>
              <w:spacing w:after="0"/>
              <w:rPr>
                <w:sz w:val="15"/>
                <w:szCs w:val="15"/>
                <w:color w:val="auto"/>
              </w:rPr>
            </w:pPr>
          </w:p>
        </w:tc>
        <w:tc>
          <w:tcPr>
            <w:tcW w:w="1020" w:type="dxa"/>
            <w:vAlign w:val="bottom"/>
            <w:shd w:val="clear" w:color="auto" w:fill="D0EBF2"/>
          </w:tcPr>
          <w:p>
            <w:pPr>
              <w:spacing w:after="0"/>
              <w:rPr>
                <w:sz w:val="15"/>
                <w:szCs w:val="15"/>
                <w:color w:val="auto"/>
              </w:rPr>
            </w:pPr>
          </w:p>
        </w:tc>
        <w:tc>
          <w:tcPr>
            <w:tcW w:w="1000" w:type="dxa"/>
            <w:vAlign w:val="bottom"/>
            <w:shd w:val="clear" w:color="auto" w:fill="D0EBF2"/>
          </w:tcPr>
          <w:p>
            <w:pPr>
              <w:spacing w:after="0"/>
              <w:rPr>
                <w:sz w:val="15"/>
                <w:szCs w:val="15"/>
                <w:color w:val="auto"/>
              </w:rPr>
            </w:pPr>
          </w:p>
        </w:tc>
        <w:tc>
          <w:tcPr>
            <w:tcW w:w="180" w:type="dxa"/>
            <w:vAlign w:val="bottom"/>
            <w:shd w:val="clear" w:color="auto" w:fill="D0EBF2"/>
          </w:tcPr>
          <w:p>
            <w:pPr>
              <w:spacing w:after="0"/>
              <w:rPr>
                <w:sz w:val="15"/>
                <w:szCs w:val="15"/>
                <w:color w:val="auto"/>
              </w:rPr>
            </w:pPr>
          </w:p>
        </w:tc>
        <w:tc>
          <w:tcPr>
            <w:tcW w:w="960" w:type="dxa"/>
            <w:vAlign w:val="bottom"/>
            <w:shd w:val="clear" w:color="auto" w:fill="D0EBF2"/>
          </w:tcPr>
          <w:p>
            <w:pPr>
              <w:spacing w:after="0"/>
              <w:rPr>
                <w:sz w:val="15"/>
                <w:szCs w:val="15"/>
                <w:color w:val="auto"/>
              </w:rPr>
            </w:pPr>
          </w:p>
        </w:tc>
        <w:tc>
          <w:tcPr>
            <w:tcW w:w="200" w:type="dxa"/>
            <w:vAlign w:val="bottom"/>
            <w:shd w:val="clear" w:color="auto" w:fill="D0EBF2"/>
          </w:tcPr>
          <w:p>
            <w:pPr>
              <w:spacing w:after="0"/>
              <w:rPr>
                <w:sz w:val="15"/>
                <w:szCs w:val="15"/>
                <w:color w:val="auto"/>
              </w:rPr>
            </w:pPr>
          </w:p>
        </w:tc>
        <w:tc>
          <w:tcPr>
            <w:tcW w:w="900" w:type="dxa"/>
            <w:vAlign w:val="bottom"/>
            <w:shd w:val="clear" w:color="auto" w:fill="D0EBF2"/>
          </w:tcPr>
          <w:p>
            <w:pPr>
              <w:spacing w:after="0"/>
              <w:rPr>
                <w:sz w:val="15"/>
                <w:szCs w:val="15"/>
                <w:color w:val="auto"/>
              </w:rPr>
            </w:pPr>
          </w:p>
        </w:tc>
        <w:tc>
          <w:tcPr>
            <w:tcW w:w="240" w:type="dxa"/>
            <w:vAlign w:val="bottom"/>
            <w:shd w:val="clear" w:color="auto" w:fill="D0EBF2"/>
          </w:tcPr>
          <w:p>
            <w:pPr>
              <w:spacing w:after="0"/>
              <w:rPr>
                <w:sz w:val="15"/>
                <w:szCs w:val="15"/>
                <w:color w:val="auto"/>
              </w:rPr>
            </w:pPr>
          </w:p>
        </w:tc>
      </w:tr>
      <w:tr>
        <w:trPr>
          <w:trHeight w:val="158"/>
        </w:trPr>
        <w:tc>
          <w:tcPr>
            <w:tcW w:w="1440" w:type="dxa"/>
            <w:vAlign w:val="bottom"/>
            <w:shd w:val="clear" w:color="auto" w:fill="FDFDFC"/>
          </w:tcPr>
          <w:p>
            <w:pPr>
              <w:spacing w:after="0" w:line="159" w:lineRule="exact"/>
              <w:rPr>
                <w:sz w:val="20"/>
                <w:szCs w:val="20"/>
                <w:color w:val="auto"/>
              </w:rPr>
            </w:pPr>
            <w:r>
              <w:rPr>
                <w:rFonts w:ascii="Times New Roman" w:cs="Times New Roman" w:eastAsia="Times New Roman" w:hAnsi="Times New Roman"/>
                <w:sz w:val="15"/>
                <w:szCs w:val="15"/>
                <w:color w:val="231F20"/>
              </w:rPr>
              <w:t xml:space="preserve">Arrow Buyer, Inc. </w:t>
            </w:r>
            <w:r>
              <w:rPr>
                <w:rFonts w:ascii="Times New Roman" w:cs="Times New Roman" w:eastAsia="Times New Roman" w:hAnsi="Times New Roman"/>
                <w:sz w:val="9"/>
                <w:szCs w:val="9"/>
                <w:color w:val="231F20"/>
              </w:rPr>
              <w:t>(3)</w:t>
            </w:r>
          </w:p>
        </w:tc>
        <w:tc>
          <w:tcPr>
            <w:tcW w:w="2480" w:type="dxa"/>
            <w:vAlign w:val="bottom"/>
            <w:shd w:val="clear" w:color="auto" w:fill="FDFDFC"/>
          </w:tcPr>
          <w:p>
            <w:pPr>
              <w:ind w:left="80"/>
              <w:spacing w:after="0" w:line="159" w:lineRule="exact"/>
              <w:rPr>
                <w:sz w:val="20"/>
                <w:szCs w:val="20"/>
                <w:color w:val="auto"/>
              </w:rPr>
            </w:pPr>
            <w:r>
              <w:rPr>
                <w:rFonts w:ascii="Times New Roman" w:cs="Times New Roman" w:eastAsia="Times New Roman" w:hAnsi="Times New Roman"/>
                <w:sz w:val="15"/>
                <w:szCs w:val="15"/>
                <w:color w:val="231F20"/>
              </w:rPr>
              <w:t>First-lien loan ($33,125 par, due</w:t>
            </w:r>
          </w:p>
        </w:tc>
        <w:tc>
          <w:tcPr>
            <w:tcW w:w="780" w:type="dxa"/>
            <w:vAlign w:val="bottom"/>
            <w:shd w:val="clear" w:color="auto" w:fill="FDFDFC"/>
          </w:tcPr>
          <w:p>
            <w:pPr>
              <w:jc w:val="right"/>
              <w:spacing w:after="0" w:line="159" w:lineRule="exact"/>
              <w:rPr>
                <w:sz w:val="20"/>
                <w:szCs w:val="20"/>
                <w:color w:val="auto"/>
              </w:rPr>
            </w:pPr>
            <w:r>
              <w:rPr>
                <w:rFonts w:ascii="Times New Roman" w:cs="Times New Roman" w:eastAsia="Times New Roman" w:hAnsi="Times New Roman"/>
                <w:sz w:val="15"/>
                <w:szCs w:val="15"/>
                <w:color w:val="231F20"/>
              </w:rPr>
              <w:t>6/30/2023</w:t>
            </w:r>
          </w:p>
        </w:tc>
        <w:tc>
          <w:tcPr>
            <w:tcW w:w="1080" w:type="dxa"/>
            <w:vAlign w:val="bottom"/>
            <w:shd w:val="clear" w:color="auto" w:fill="FDFDFC"/>
          </w:tcPr>
          <w:p>
            <w:pPr>
              <w:jc w:val="right"/>
              <w:ind w:right="124"/>
              <w:spacing w:after="0" w:line="159" w:lineRule="exact"/>
              <w:rPr>
                <w:sz w:val="20"/>
                <w:szCs w:val="20"/>
                <w:color w:val="auto"/>
              </w:rPr>
            </w:pPr>
            <w:r>
              <w:rPr>
                <w:rFonts w:ascii="Times New Roman" w:cs="Times New Roman" w:eastAsia="Times New Roman" w:hAnsi="Times New Roman"/>
                <w:sz w:val="15"/>
                <w:szCs w:val="15"/>
                <w:color w:val="231F20"/>
              </w:rPr>
              <w:t>SOFR +</w:t>
            </w:r>
          </w:p>
        </w:tc>
        <w:tc>
          <w:tcPr>
            <w:tcW w:w="1020" w:type="dxa"/>
            <w:vAlign w:val="bottom"/>
            <w:shd w:val="clear" w:color="auto" w:fill="FDFDFC"/>
          </w:tcPr>
          <w:p>
            <w:pPr>
              <w:jc w:val="right"/>
              <w:ind w:right="24"/>
              <w:spacing w:after="0" w:line="159" w:lineRule="exact"/>
              <w:rPr>
                <w:sz w:val="20"/>
                <w:szCs w:val="20"/>
                <w:color w:val="auto"/>
              </w:rPr>
            </w:pPr>
            <w:r>
              <w:rPr>
                <w:rFonts w:ascii="Times New Roman" w:cs="Times New Roman" w:eastAsia="Times New Roman" w:hAnsi="Times New Roman"/>
                <w:sz w:val="15"/>
                <w:szCs w:val="15"/>
                <w:color w:val="231F20"/>
              </w:rPr>
              <w:t>11.85%</w:t>
            </w:r>
          </w:p>
        </w:tc>
        <w:tc>
          <w:tcPr>
            <w:tcW w:w="1000" w:type="dxa"/>
            <w:vAlign w:val="bottom"/>
            <w:shd w:val="clear" w:color="auto" w:fill="FDFDFC"/>
          </w:tcPr>
          <w:p>
            <w:pPr>
              <w:jc w:val="right"/>
              <w:spacing w:after="0" w:line="159" w:lineRule="exact"/>
              <w:rPr>
                <w:sz w:val="20"/>
                <w:szCs w:val="20"/>
                <w:color w:val="auto"/>
              </w:rPr>
            </w:pPr>
            <w:r>
              <w:rPr>
                <w:rFonts w:ascii="Times New Roman" w:cs="Times New Roman" w:eastAsia="Times New Roman" w:hAnsi="Times New Roman"/>
                <w:sz w:val="15"/>
                <w:szCs w:val="15"/>
                <w:color w:val="231F20"/>
              </w:rPr>
              <w:t>32,249</w:t>
            </w:r>
          </w:p>
        </w:tc>
        <w:tc>
          <w:tcPr>
            <w:tcW w:w="1140" w:type="dxa"/>
            <w:vAlign w:val="bottom"/>
            <w:gridSpan w:val="2"/>
            <w:shd w:val="clear" w:color="auto" w:fill="FDFDFC"/>
          </w:tcPr>
          <w:p>
            <w:pPr>
              <w:jc w:val="right"/>
              <w:spacing w:after="0" w:line="159" w:lineRule="exact"/>
              <w:rPr>
                <w:sz w:val="20"/>
                <w:szCs w:val="20"/>
                <w:color w:val="auto"/>
              </w:rPr>
            </w:pPr>
            <w:r>
              <w:rPr>
                <w:rFonts w:ascii="Times New Roman" w:cs="Times New Roman" w:eastAsia="Times New Roman" w:hAnsi="Times New Roman"/>
                <w:sz w:val="15"/>
                <w:szCs w:val="15"/>
                <w:color w:val="231F20"/>
              </w:rPr>
              <w:t>32,820</w:t>
            </w:r>
          </w:p>
        </w:tc>
        <w:tc>
          <w:tcPr>
            <w:tcW w:w="1340" w:type="dxa"/>
            <w:vAlign w:val="bottom"/>
            <w:gridSpan w:val="3"/>
            <w:shd w:val="clear" w:color="auto" w:fill="FDFDFC"/>
          </w:tcPr>
          <w:p>
            <w:pPr>
              <w:jc w:val="right"/>
              <w:ind w:right="120"/>
              <w:spacing w:after="0" w:line="159" w:lineRule="exact"/>
              <w:rPr>
                <w:sz w:val="20"/>
                <w:szCs w:val="20"/>
                <w:color w:val="auto"/>
              </w:rPr>
            </w:pPr>
            <w:r>
              <w:rPr>
                <w:rFonts w:ascii="Times New Roman" w:cs="Times New Roman" w:eastAsia="Times New Roman" w:hAnsi="Times New Roman"/>
                <w:sz w:val="15"/>
                <w:szCs w:val="15"/>
                <w:color w:val="231F20"/>
              </w:rPr>
              <w:t>2.2%</w:t>
            </w:r>
          </w:p>
        </w:tc>
      </w:tr>
      <w:tr>
        <w:trPr>
          <w:trHeight w:val="189"/>
        </w:trPr>
        <w:tc>
          <w:tcPr>
            <w:tcW w:w="1440" w:type="dxa"/>
            <w:vAlign w:val="bottom"/>
            <w:shd w:val="clear" w:color="auto" w:fill="FDFDFC"/>
          </w:tcPr>
          <w:p>
            <w:pPr>
              <w:spacing w:after="0"/>
              <w:rPr>
                <w:sz w:val="16"/>
                <w:szCs w:val="16"/>
                <w:color w:val="auto"/>
              </w:rPr>
            </w:pPr>
          </w:p>
        </w:tc>
        <w:tc>
          <w:tcPr>
            <w:tcW w:w="2480" w:type="dxa"/>
            <w:vAlign w:val="bottom"/>
            <w:shd w:val="clear" w:color="auto" w:fill="FDFDFC"/>
          </w:tcPr>
          <w:p>
            <w:pPr>
              <w:ind w:left="80"/>
              <w:spacing w:after="0"/>
              <w:rPr>
                <w:sz w:val="20"/>
                <w:szCs w:val="20"/>
                <w:color w:val="auto"/>
              </w:rPr>
            </w:pPr>
            <w:r>
              <w:rPr>
                <w:rFonts w:ascii="Times New Roman" w:cs="Times New Roman" w:eastAsia="Times New Roman" w:hAnsi="Times New Roman"/>
                <w:sz w:val="15"/>
                <w:szCs w:val="15"/>
                <w:color w:val="231F20"/>
              </w:rPr>
              <w:t>7/2030)</w:t>
            </w:r>
          </w:p>
        </w:tc>
        <w:tc>
          <w:tcPr>
            <w:tcW w:w="780" w:type="dxa"/>
            <w:vAlign w:val="bottom"/>
            <w:shd w:val="clear" w:color="auto" w:fill="FDFDFC"/>
          </w:tcPr>
          <w:p>
            <w:pPr>
              <w:spacing w:after="0"/>
              <w:rPr>
                <w:sz w:val="16"/>
                <w:szCs w:val="16"/>
                <w:color w:val="auto"/>
              </w:rPr>
            </w:pPr>
          </w:p>
        </w:tc>
        <w:tc>
          <w:tcPr>
            <w:tcW w:w="1080" w:type="dxa"/>
            <w:vAlign w:val="bottom"/>
            <w:shd w:val="clear" w:color="auto" w:fill="FDFDFC"/>
          </w:tcPr>
          <w:p>
            <w:pPr>
              <w:jc w:val="right"/>
              <w:ind w:right="124"/>
              <w:spacing w:after="0"/>
              <w:rPr>
                <w:sz w:val="20"/>
                <w:szCs w:val="20"/>
                <w:color w:val="auto"/>
              </w:rPr>
            </w:pPr>
            <w:r>
              <w:rPr>
                <w:rFonts w:ascii="Times New Roman" w:cs="Times New Roman" w:eastAsia="Times New Roman" w:hAnsi="Times New Roman"/>
                <w:sz w:val="15"/>
                <w:szCs w:val="15"/>
                <w:color w:val="231F20"/>
              </w:rPr>
              <w:t>6.50%</w:t>
            </w:r>
          </w:p>
        </w:tc>
        <w:tc>
          <w:tcPr>
            <w:tcW w:w="1020" w:type="dxa"/>
            <w:vAlign w:val="bottom"/>
            <w:shd w:val="clear" w:color="auto" w:fill="FDFDFC"/>
          </w:tcPr>
          <w:p>
            <w:pPr>
              <w:spacing w:after="0"/>
              <w:rPr>
                <w:sz w:val="16"/>
                <w:szCs w:val="16"/>
                <w:color w:val="auto"/>
              </w:rPr>
            </w:pPr>
          </w:p>
        </w:tc>
        <w:tc>
          <w:tcPr>
            <w:tcW w:w="1000" w:type="dxa"/>
            <w:vAlign w:val="bottom"/>
            <w:shd w:val="clear" w:color="auto" w:fill="FDFDFC"/>
          </w:tcPr>
          <w:p>
            <w:pPr>
              <w:spacing w:after="0"/>
              <w:rPr>
                <w:sz w:val="16"/>
                <w:szCs w:val="16"/>
                <w:color w:val="auto"/>
              </w:rPr>
            </w:pPr>
          </w:p>
        </w:tc>
        <w:tc>
          <w:tcPr>
            <w:tcW w:w="180" w:type="dxa"/>
            <w:vAlign w:val="bottom"/>
            <w:shd w:val="clear" w:color="auto" w:fill="FDFDFC"/>
          </w:tcPr>
          <w:p>
            <w:pPr>
              <w:spacing w:after="0"/>
              <w:rPr>
                <w:sz w:val="16"/>
                <w:szCs w:val="16"/>
                <w:color w:val="auto"/>
              </w:rPr>
            </w:pPr>
          </w:p>
        </w:tc>
        <w:tc>
          <w:tcPr>
            <w:tcW w:w="960" w:type="dxa"/>
            <w:vAlign w:val="bottom"/>
            <w:shd w:val="clear" w:color="auto" w:fill="FDFDFC"/>
          </w:tcPr>
          <w:p>
            <w:pPr>
              <w:spacing w:after="0"/>
              <w:rPr>
                <w:sz w:val="16"/>
                <w:szCs w:val="16"/>
                <w:color w:val="auto"/>
              </w:rPr>
            </w:pPr>
          </w:p>
        </w:tc>
        <w:tc>
          <w:tcPr>
            <w:tcW w:w="200" w:type="dxa"/>
            <w:vAlign w:val="bottom"/>
            <w:shd w:val="clear" w:color="auto" w:fill="FDFDFC"/>
          </w:tcPr>
          <w:p>
            <w:pPr>
              <w:spacing w:after="0"/>
              <w:rPr>
                <w:sz w:val="16"/>
                <w:szCs w:val="16"/>
                <w:color w:val="auto"/>
              </w:rPr>
            </w:pPr>
          </w:p>
        </w:tc>
        <w:tc>
          <w:tcPr>
            <w:tcW w:w="900" w:type="dxa"/>
            <w:vAlign w:val="bottom"/>
            <w:shd w:val="clear" w:color="auto" w:fill="FDFDFC"/>
          </w:tcPr>
          <w:p>
            <w:pPr>
              <w:spacing w:after="0"/>
              <w:rPr>
                <w:sz w:val="16"/>
                <w:szCs w:val="16"/>
                <w:color w:val="auto"/>
              </w:rPr>
            </w:pPr>
          </w:p>
        </w:tc>
        <w:tc>
          <w:tcPr>
            <w:tcW w:w="240" w:type="dxa"/>
            <w:vAlign w:val="bottom"/>
            <w:shd w:val="clear" w:color="auto" w:fill="FDFDFC"/>
          </w:tcPr>
          <w:p>
            <w:pPr>
              <w:spacing w:after="0"/>
              <w:rPr>
                <w:sz w:val="16"/>
                <w:szCs w:val="16"/>
                <w:color w:val="auto"/>
              </w:rPr>
            </w:pPr>
          </w:p>
        </w:tc>
      </w:tr>
      <w:tr>
        <w:trPr>
          <w:trHeight w:val="158"/>
        </w:trPr>
        <w:tc>
          <w:tcPr>
            <w:tcW w:w="1440" w:type="dxa"/>
            <w:vAlign w:val="bottom"/>
            <w:shd w:val="clear" w:color="auto" w:fill="D0EBF2"/>
          </w:tcPr>
          <w:p>
            <w:pPr>
              <w:spacing w:after="0" w:line="159" w:lineRule="exact"/>
              <w:rPr>
                <w:sz w:val="20"/>
                <w:szCs w:val="20"/>
                <w:color w:val="auto"/>
              </w:rPr>
            </w:pPr>
            <w:r>
              <w:rPr>
                <w:rFonts w:ascii="Times New Roman" w:cs="Times New Roman" w:eastAsia="Times New Roman" w:hAnsi="Times New Roman"/>
                <w:sz w:val="15"/>
                <w:szCs w:val="15"/>
                <w:color w:val="231F20"/>
              </w:rPr>
              <w:t>Bayshore Intermediate</w:t>
            </w:r>
          </w:p>
        </w:tc>
        <w:tc>
          <w:tcPr>
            <w:tcW w:w="2480" w:type="dxa"/>
            <w:vAlign w:val="bottom"/>
            <w:shd w:val="clear" w:color="auto" w:fill="D0EBF2"/>
          </w:tcPr>
          <w:p>
            <w:pPr>
              <w:ind w:left="80"/>
              <w:spacing w:after="0" w:line="159" w:lineRule="exact"/>
              <w:rPr>
                <w:sz w:val="20"/>
                <w:szCs w:val="20"/>
                <w:color w:val="auto"/>
              </w:rPr>
            </w:pPr>
            <w:r>
              <w:rPr>
                <w:rFonts w:ascii="Times New Roman" w:cs="Times New Roman" w:eastAsia="Times New Roman" w:hAnsi="Times New Roman"/>
                <w:sz w:val="15"/>
                <w:szCs w:val="15"/>
                <w:color w:val="231F20"/>
              </w:rPr>
              <w:t>First-lien loan ($36,629 par, due</w:t>
            </w:r>
          </w:p>
        </w:tc>
        <w:tc>
          <w:tcPr>
            <w:tcW w:w="780" w:type="dxa"/>
            <w:vAlign w:val="bottom"/>
            <w:shd w:val="clear" w:color="auto" w:fill="D0EBF2"/>
          </w:tcPr>
          <w:p>
            <w:pPr>
              <w:jc w:val="right"/>
              <w:spacing w:after="0" w:line="159" w:lineRule="exact"/>
              <w:rPr>
                <w:sz w:val="20"/>
                <w:szCs w:val="20"/>
                <w:color w:val="auto"/>
              </w:rPr>
            </w:pPr>
            <w:r>
              <w:rPr>
                <w:rFonts w:ascii="Times New Roman" w:cs="Times New Roman" w:eastAsia="Times New Roman" w:hAnsi="Times New Roman"/>
                <w:sz w:val="15"/>
                <w:szCs w:val="15"/>
                <w:color w:val="231F20"/>
              </w:rPr>
              <w:t>10/1/2021</w:t>
            </w:r>
          </w:p>
        </w:tc>
        <w:tc>
          <w:tcPr>
            <w:tcW w:w="1080" w:type="dxa"/>
            <w:vAlign w:val="bottom"/>
            <w:shd w:val="clear" w:color="auto" w:fill="D0EBF2"/>
          </w:tcPr>
          <w:p>
            <w:pPr>
              <w:jc w:val="right"/>
              <w:ind w:right="124"/>
              <w:spacing w:after="0" w:line="159" w:lineRule="exact"/>
              <w:rPr>
                <w:sz w:val="20"/>
                <w:szCs w:val="20"/>
                <w:color w:val="auto"/>
              </w:rPr>
            </w:pPr>
            <w:r>
              <w:rPr>
                <w:rFonts w:ascii="Times New Roman" w:cs="Times New Roman" w:eastAsia="Times New Roman" w:hAnsi="Times New Roman"/>
                <w:sz w:val="15"/>
                <w:szCs w:val="15"/>
                <w:color w:val="231F20"/>
              </w:rPr>
              <w:t>SOFR +</w:t>
            </w:r>
          </w:p>
        </w:tc>
        <w:tc>
          <w:tcPr>
            <w:tcW w:w="1020" w:type="dxa"/>
            <w:vAlign w:val="bottom"/>
            <w:shd w:val="clear" w:color="auto" w:fill="D0EBF2"/>
          </w:tcPr>
          <w:p>
            <w:pPr>
              <w:jc w:val="right"/>
              <w:ind w:right="164"/>
              <w:spacing w:after="0" w:line="159" w:lineRule="exact"/>
              <w:rPr>
                <w:sz w:val="20"/>
                <w:szCs w:val="20"/>
                <w:color w:val="auto"/>
              </w:rPr>
            </w:pPr>
            <w:r>
              <w:rPr>
                <w:rFonts w:ascii="Times New Roman" w:cs="Times New Roman" w:eastAsia="Times New Roman" w:hAnsi="Times New Roman"/>
                <w:sz w:val="15"/>
                <w:szCs w:val="15"/>
                <w:color w:val="231F20"/>
              </w:rPr>
              <w:t>12.96%</w:t>
            </w:r>
          </w:p>
        </w:tc>
        <w:tc>
          <w:tcPr>
            <w:tcW w:w="1000" w:type="dxa"/>
            <w:vAlign w:val="bottom"/>
            <w:shd w:val="clear" w:color="auto" w:fill="D0EBF2"/>
          </w:tcPr>
          <w:p>
            <w:pPr>
              <w:jc w:val="right"/>
              <w:spacing w:after="0" w:line="159" w:lineRule="exact"/>
              <w:rPr>
                <w:sz w:val="20"/>
                <w:szCs w:val="20"/>
                <w:color w:val="auto"/>
              </w:rPr>
            </w:pPr>
            <w:r>
              <w:rPr>
                <w:rFonts w:ascii="Times New Roman" w:cs="Times New Roman" w:eastAsia="Times New Roman" w:hAnsi="Times New Roman"/>
                <w:sz w:val="15"/>
                <w:szCs w:val="15"/>
                <w:color w:val="231F20"/>
              </w:rPr>
              <w:t>36,129</w:t>
            </w:r>
          </w:p>
        </w:tc>
        <w:tc>
          <w:tcPr>
            <w:tcW w:w="1140" w:type="dxa"/>
            <w:vAlign w:val="bottom"/>
            <w:gridSpan w:val="2"/>
            <w:shd w:val="clear" w:color="auto" w:fill="D0EBF2"/>
          </w:tcPr>
          <w:p>
            <w:pPr>
              <w:jc w:val="right"/>
              <w:spacing w:after="0" w:line="159" w:lineRule="exact"/>
              <w:rPr>
                <w:sz w:val="20"/>
                <w:szCs w:val="20"/>
                <w:color w:val="auto"/>
              </w:rPr>
            </w:pPr>
            <w:r>
              <w:rPr>
                <w:rFonts w:ascii="Times New Roman" w:cs="Times New Roman" w:eastAsia="Times New Roman" w:hAnsi="Times New Roman"/>
                <w:sz w:val="15"/>
                <w:szCs w:val="15"/>
                <w:color w:val="231F20"/>
              </w:rPr>
              <w:t>36,446</w:t>
            </w:r>
          </w:p>
        </w:tc>
        <w:tc>
          <w:tcPr>
            <w:tcW w:w="1340" w:type="dxa"/>
            <w:vAlign w:val="bottom"/>
            <w:gridSpan w:val="3"/>
            <w:shd w:val="clear" w:color="auto" w:fill="D0EBF2"/>
          </w:tcPr>
          <w:p>
            <w:pPr>
              <w:jc w:val="right"/>
              <w:ind w:right="120"/>
              <w:spacing w:after="0" w:line="159" w:lineRule="exact"/>
              <w:rPr>
                <w:sz w:val="20"/>
                <w:szCs w:val="20"/>
                <w:color w:val="auto"/>
              </w:rPr>
            </w:pPr>
            <w:r>
              <w:rPr>
                <w:rFonts w:ascii="Times New Roman" w:cs="Times New Roman" w:eastAsia="Times New Roman" w:hAnsi="Times New Roman"/>
                <w:sz w:val="15"/>
                <w:szCs w:val="15"/>
                <w:color w:val="231F20"/>
              </w:rPr>
              <w:t>2.4%</w:t>
            </w:r>
          </w:p>
        </w:tc>
      </w:tr>
      <w:tr>
        <w:trPr>
          <w:trHeight w:val="189"/>
        </w:trPr>
        <w:tc>
          <w:tcPr>
            <w:tcW w:w="1440" w:type="dxa"/>
            <w:vAlign w:val="bottom"/>
            <w:shd w:val="clear" w:color="auto" w:fill="D0EBF2"/>
          </w:tcPr>
          <w:p>
            <w:pPr>
              <w:spacing w:after="0"/>
              <w:rPr>
                <w:sz w:val="20"/>
                <w:szCs w:val="20"/>
                <w:color w:val="auto"/>
              </w:rPr>
            </w:pPr>
            <w:r>
              <w:rPr>
                <w:rFonts w:ascii="Times New Roman" w:cs="Times New Roman" w:eastAsia="Times New Roman" w:hAnsi="Times New Roman"/>
                <w:sz w:val="15"/>
                <w:szCs w:val="15"/>
                <w:color w:val="231F20"/>
              </w:rPr>
              <w:t xml:space="preserve">#2, L.P. </w:t>
            </w:r>
            <w:r>
              <w:rPr>
                <w:rFonts w:ascii="Times New Roman" w:cs="Times New Roman" w:eastAsia="Times New Roman" w:hAnsi="Times New Roman"/>
                <w:sz w:val="9"/>
                <w:szCs w:val="9"/>
                <w:color w:val="231F20"/>
              </w:rPr>
              <w:t>(3)</w:t>
            </w:r>
          </w:p>
        </w:tc>
        <w:tc>
          <w:tcPr>
            <w:tcW w:w="2480" w:type="dxa"/>
            <w:vAlign w:val="bottom"/>
            <w:shd w:val="clear" w:color="auto" w:fill="D0EBF2"/>
          </w:tcPr>
          <w:p>
            <w:pPr>
              <w:ind w:left="80"/>
              <w:spacing w:after="0"/>
              <w:rPr>
                <w:sz w:val="20"/>
                <w:szCs w:val="20"/>
                <w:color w:val="auto"/>
              </w:rPr>
            </w:pPr>
            <w:r>
              <w:rPr>
                <w:rFonts w:ascii="Times New Roman" w:cs="Times New Roman" w:eastAsia="Times New Roman" w:hAnsi="Times New Roman"/>
                <w:sz w:val="15"/>
                <w:szCs w:val="15"/>
                <w:color w:val="231F20"/>
              </w:rPr>
              <w:t>10/2028)</w:t>
            </w:r>
          </w:p>
        </w:tc>
        <w:tc>
          <w:tcPr>
            <w:tcW w:w="780" w:type="dxa"/>
            <w:vAlign w:val="bottom"/>
            <w:shd w:val="clear" w:color="auto" w:fill="D0EBF2"/>
          </w:tcPr>
          <w:p>
            <w:pPr>
              <w:spacing w:after="0"/>
              <w:rPr>
                <w:sz w:val="16"/>
                <w:szCs w:val="16"/>
                <w:color w:val="auto"/>
              </w:rPr>
            </w:pPr>
          </w:p>
        </w:tc>
        <w:tc>
          <w:tcPr>
            <w:tcW w:w="1080" w:type="dxa"/>
            <w:vAlign w:val="bottom"/>
            <w:shd w:val="clear" w:color="auto" w:fill="D0EBF2"/>
          </w:tcPr>
          <w:p>
            <w:pPr>
              <w:jc w:val="right"/>
              <w:ind w:right="124"/>
              <w:spacing w:after="0"/>
              <w:rPr>
                <w:sz w:val="20"/>
                <w:szCs w:val="20"/>
                <w:color w:val="auto"/>
              </w:rPr>
            </w:pPr>
            <w:r>
              <w:rPr>
                <w:rFonts w:ascii="Times New Roman" w:cs="Times New Roman" w:eastAsia="Times New Roman" w:hAnsi="Times New Roman"/>
                <w:sz w:val="15"/>
                <w:szCs w:val="15"/>
                <w:color w:val="231F20"/>
              </w:rPr>
              <w:t>7.60%</w:t>
            </w:r>
          </w:p>
        </w:tc>
        <w:tc>
          <w:tcPr>
            <w:tcW w:w="1020" w:type="dxa"/>
            <w:vAlign w:val="bottom"/>
            <w:shd w:val="clear" w:color="auto" w:fill="D0EBF2"/>
          </w:tcPr>
          <w:p>
            <w:pPr>
              <w:jc w:val="right"/>
              <w:ind w:right="164"/>
              <w:spacing w:after="0"/>
              <w:rPr>
                <w:sz w:val="20"/>
                <w:szCs w:val="20"/>
                <w:color w:val="auto"/>
              </w:rPr>
            </w:pPr>
            <w:r>
              <w:rPr>
                <w:rFonts w:ascii="Times New Roman" w:cs="Times New Roman" w:eastAsia="Times New Roman" w:hAnsi="Times New Roman"/>
                <w:sz w:val="15"/>
                <w:szCs w:val="15"/>
                <w:color w:val="231F20"/>
              </w:rPr>
              <w:t>PIK</w:t>
            </w:r>
          </w:p>
        </w:tc>
        <w:tc>
          <w:tcPr>
            <w:tcW w:w="1000" w:type="dxa"/>
            <w:vAlign w:val="bottom"/>
            <w:shd w:val="clear" w:color="auto" w:fill="D0EBF2"/>
          </w:tcPr>
          <w:p>
            <w:pPr>
              <w:spacing w:after="0"/>
              <w:rPr>
                <w:sz w:val="16"/>
                <w:szCs w:val="16"/>
                <w:color w:val="auto"/>
              </w:rPr>
            </w:pPr>
          </w:p>
        </w:tc>
        <w:tc>
          <w:tcPr>
            <w:tcW w:w="180" w:type="dxa"/>
            <w:vAlign w:val="bottom"/>
            <w:shd w:val="clear" w:color="auto" w:fill="D0EBF2"/>
          </w:tcPr>
          <w:p>
            <w:pPr>
              <w:spacing w:after="0"/>
              <w:rPr>
                <w:sz w:val="16"/>
                <w:szCs w:val="16"/>
                <w:color w:val="auto"/>
              </w:rPr>
            </w:pPr>
          </w:p>
        </w:tc>
        <w:tc>
          <w:tcPr>
            <w:tcW w:w="960" w:type="dxa"/>
            <w:vAlign w:val="bottom"/>
            <w:shd w:val="clear" w:color="auto" w:fill="D0EBF2"/>
          </w:tcPr>
          <w:p>
            <w:pPr>
              <w:spacing w:after="0"/>
              <w:rPr>
                <w:sz w:val="16"/>
                <w:szCs w:val="16"/>
                <w:color w:val="auto"/>
              </w:rPr>
            </w:pPr>
          </w:p>
        </w:tc>
        <w:tc>
          <w:tcPr>
            <w:tcW w:w="200" w:type="dxa"/>
            <w:vAlign w:val="bottom"/>
            <w:shd w:val="clear" w:color="auto" w:fill="D0EBF2"/>
          </w:tcPr>
          <w:p>
            <w:pPr>
              <w:spacing w:after="0"/>
              <w:rPr>
                <w:sz w:val="16"/>
                <w:szCs w:val="16"/>
                <w:color w:val="auto"/>
              </w:rPr>
            </w:pPr>
          </w:p>
        </w:tc>
        <w:tc>
          <w:tcPr>
            <w:tcW w:w="900" w:type="dxa"/>
            <w:vAlign w:val="bottom"/>
            <w:shd w:val="clear" w:color="auto" w:fill="D0EBF2"/>
          </w:tcPr>
          <w:p>
            <w:pPr>
              <w:spacing w:after="0"/>
              <w:rPr>
                <w:sz w:val="16"/>
                <w:szCs w:val="16"/>
                <w:color w:val="auto"/>
              </w:rPr>
            </w:pPr>
          </w:p>
        </w:tc>
        <w:tc>
          <w:tcPr>
            <w:tcW w:w="240" w:type="dxa"/>
            <w:vAlign w:val="bottom"/>
            <w:shd w:val="clear" w:color="auto" w:fill="D0EBF2"/>
          </w:tcPr>
          <w:p>
            <w:pPr>
              <w:spacing w:after="0"/>
              <w:rPr>
                <w:sz w:val="16"/>
                <w:szCs w:val="16"/>
                <w:color w:val="auto"/>
              </w:rPr>
            </w:pPr>
          </w:p>
        </w:tc>
      </w:tr>
      <w:tr>
        <w:trPr>
          <w:trHeight w:val="158"/>
        </w:trPr>
        <w:tc>
          <w:tcPr>
            <w:tcW w:w="1440" w:type="dxa"/>
            <w:vAlign w:val="bottom"/>
            <w:shd w:val="clear" w:color="auto" w:fill="FDFDFC"/>
          </w:tcPr>
          <w:p>
            <w:pPr>
              <w:spacing w:after="0"/>
              <w:rPr>
                <w:sz w:val="13"/>
                <w:szCs w:val="13"/>
                <w:color w:val="auto"/>
              </w:rPr>
            </w:pPr>
          </w:p>
        </w:tc>
        <w:tc>
          <w:tcPr>
            <w:tcW w:w="2480" w:type="dxa"/>
            <w:vAlign w:val="bottom"/>
            <w:shd w:val="clear" w:color="auto" w:fill="FDFDFC"/>
          </w:tcPr>
          <w:p>
            <w:pPr>
              <w:ind w:left="80"/>
              <w:spacing w:after="0" w:line="159" w:lineRule="exact"/>
              <w:rPr>
                <w:sz w:val="20"/>
                <w:szCs w:val="20"/>
                <w:color w:val="auto"/>
              </w:rPr>
            </w:pPr>
            <w:r>
              <w:rPr>
                <w:rFonts w:ascii="Times New Roman" w:cs="Times New Roman" w:eastAsia="Times New Roman" w:hAnsi="Times New Roman"/>
                <w:sz w:val="15"/>
                <w:szCs w:val="15"/>
                <w:color w:val="231F20"/>
              </w:rPr>
              <w:t>First-lien revolving loan ($480 par,</w:t>
            </w:r>
          </w:p>
        </w:tc>
        <w:tc>
          <w:tcPr>
            <w:tcW w:w="780" w:type="dxa"/>
            <w:vAlign w:val="bottom"/>
            <w:shd w:val="clear" w:color="auto" w:fill="FDFDFC"/>
          </w:tcPr>
          <w:p>
            <w:pPr>
              <w:jc w:val="right"/>
              <w:spacing w:after="0" w:line="159" w:lineRule="exact"/>
              <w:rPr>
                <w:sz w:val="20"/>
                <w:szCs w:val="20"/>
                <w:color w:val="auto"/>
              </w:rPr>
            </w:pPr>
            <w:r>
              <w:rPr>
                <w:rFonts w:ascii="Times New Roman" w:cs="Times New Roman" w:eastAsia="Times New Roman" w:hAnsi="Times New Roman"/>
                <w:sz w:val="15"/>
                <w:szCs w:val="15"/>
                <w:color w:val="231F20"/>
              </w:rPr>
              <w:t>10/1/2021</w:t>
            </w:r>
          </w:p>
        </w:tc>
        <w:tc>
          <w:tcPr>
            <w:tcW w:w="1080" w:type="dxa"/>
            <w:vAlign w:val="bottom"/>
            <w:shd w:val="clear" w:color="auto" w:fill="FDFDFC"/>
          </w:tcPr>
          <w:p>
            <w:pPr>
              <w:jc w:val="right"/>
              <w:ind w:right="124"/>
              <w:spacing w:after="0" w:line="159" w:lineRule="exact"/>
              <w:rPr>
                <w:sz w:val="20"/>
                <w:szCs w:val="20"/>
                <w:color w:val="auto"/>
              </w:rPr>
            </w:pPr>
            <w:r>
              <w:rPr>
                <w:rFonts w:ascii="Times New Roman" w:cs="Times New Roman" w:eastAsia="Times New Roman" w:hAnsi="Times New Roman"/>
                <w:sz w:val="15"/>
                <w:szCs w:val="15"/>
                <w:color w:val="231F20"/>
              </w:rPr>
              <w:t>SOFR +</w:t>
            </w:r>
          </w:p>
        </w:tc>
        <w:tc>
          <w:tcPr>
            <w:tcW w:w="1020" w:type="dxa"/>
            <w:vAlign w:val="bottom"/>
            <w:shd w:val="clear" w:color="auto" w:fill="FDFDFC"/>
          </w:tcPr>
          <w:p>
            <w:pPr>
              <w:jc w:val="right"/>
              <w:ind w:right="24"/>
              <w:spacing w:after="0" w:line="159" w:lineRule="exact"/>
              <w:rPr>
                <w:sz w:val="20"/>
                <w:szCs w:val="20"/>
                <w:color w:val="auto"/>
              </w:rPr>
            </w:pPr>
            <w:r>
              <w:rPr>
                <w:rFonts w:ascii="Times New Roman" w:cs="Times New Roman" w:eastAsia="Times New Roman" w:hAnsi="Times New Roman"/>
                <w:sz w:val="15"/>
                <w:szCs w:val="15"/>
                <w:color w:val="231F20"/>
              </w:rPr>
              <w:t>12.01%</w:t>
            </w:r>
          </w:p>
        </w:tc>
        <w:tc>
          <w:tcPr>
            <w:tcW w:w="1000" w:type="dxa"/>
            <w:vAlign w:val="bottom"/>
            <w:shd w:val="clear" w:color="auto" w:fill="FDFDFC"/>
          </w:tcPr>
          <w:p>
            <w:pPr>
              <w:jc w:val="right"/>
              <w:spacing w:after="0" w:line="159" w:lineRule="exact"/>
              <w:rPr>
                <w:sz w:val="20"/>
                <w:szCs w:val="20"/>
                <w:color w:val="auto"/>
              </w:rPr>
            </w:pPr>
            <w:r>
              <w:rPr>
                <w:rFonts w:ascii="Times New Roman" w:cs="Times New Roman" w:eastAsia="Times New Roman" w:hAnsi="Times New Roman"/>
                <w:sz w:val="15"/>
                <w:szCs w:val="15"/>
                <w:color w:val="231F20"/>
              </w:rPr>
              <w:t>446</w:t>
            </w:r>
          </w:p>
        </w:tc>
        <w:tc>
          <w:tcPr>
            <w:tcW w:w="1140" w:type="dxa"/>
            <w:vAlign w:val="bottom"/>
            <w:gridSpan w:val="2"/>
            <w:shd w:val="clear" w:color="auto" w:fill="FDFDFC"/>
          </w:tcPr>
          <w:p>
            <w:pPr>
              <w:jc w:val="right"/>
              <w:spacing w:after="0" w:line="159" w:lineRule="exact"/>
              <w:rPr>
                <w:sz w:val="20"/>
                <w:szCs w:val="20"/>
                <w:color w:val="auto"/>
              </w:rPr>
            </w:pPr>
            <w:r>
              <w:rPr>
                <w:rFonts w:ascii="Times New Roman" w:cs="Times New Roman" w:eastAsia="Times New Roman" w:hAnsi="Times New Roman"/>
                <w:sz w:val="15"/>
                <w:szCs w:val="15"/>
                <w:color w:val="231F20"/>
              </w:rPr>
              <w:t>468</w:t>
            </w:r>
          </w:p>
        </w:tc>
        <w:tc>
          <w:tcPr>
            <w:tcW w:w="1340" w:type="dxa"/>
            <w:vAlign w:val="bottom"/>
            <w:gridSpan w:val="3"/>
            <w:shd w:val="clear" w:color="auto" w:fill="FDFDFC"/>
          </w:tcPr>
          <w:p>
            <w:pPr>
              <w:jc w:val="right"/>
              <w:ind w:right="120"/>
              <w:spacing w:after="0" w:line="159" w:lineRule="exact"/>
              <w:rPr>
                <w:sz w:val="20"/>
                <w:szCs w:val="20"/>
                <w:color w:val="auto"/>
              </w:rPr>
            </w:pPr>
            <w:r>
              <w:rPr>
                <w:rFonts w:ascii="Times New Roman" w:cs="Times New Roman" w:eastAsia="Times New Roman" w:hAnsi="Times New Roman"/>
                <w:sz w:val="15"/>
                <w:szCs w:val="15"/>
                <w:color w:val="231F20"/>
              </w:rPr>
              <w:t>0.0%</w:t>
            </w:r>
          </w:p>
        </w:tc>
      </w:tr>
      <w:tr>
        <w:trPr>
          <w:trHeight w:val="189"/>
        </w:trPr>
        <w:tc>
          <w:tcPr>
            <w:tcW w:w="1440" w:type="dxa"/>
            <w:vAlign w:val="bottom"/>
            <w:shd w:val="clear" w:color="auto" w:fill="FDFDFC"/>
          </w:tcPr>
          <w:p>
            <w:pPr>
              <w:spacing w:after="0"/>
              <w:rPr>
                <w:sz w:val="16"/>
                <w:szCs w:val="16"/>
                <w:color w:val="auto"/>
              </w:rPr>
            </w:pPr>
          </w:p>
        </w:tc>
        <w:tc>
          <w:tcPr>
            <w:tcW w:w="2480" w:type="dxa"/>
            <w:vAlign w:val="bottom"/>
            <w:shd w:val="clear" w:color="auto" w:fill="FDFDFC"/>
          </w:tcPr>
          <w:p>
            <w:pPr>
              <w:ind w:left="80"/>
              <w:spacing w:after="0"/>
              <w:rPr>
                <w:sz w:val="20"/>
                <w:szCs w:val="20"/>
                <w:color w:val="auto"/>
              </w:rPr>
            </w:pPr>
            <w:r>
              <w:rPr>
                <w:rFonts w:ascii="Times New Roman" w:cs="Times New Roman" w:eastAsia="Times New Roman" w:hAnsi="Times New Roman"/>
                <w:sz w:val="15"/>
                <w:szCs w:val="15"/>
                <w:color w:val="231F20"/>
              </w:rPr>
              <w:t>due 10/2027)</w:t>
            </w:r>
          </w:p>
        </w:tc>
        <w:tc>
          <w:tcPr>
            <w:tcW w:w="780" w:type="dxa"/>
            <w:vAlign w:val="bottom"/>
            <w:shd w:val="clear" w:color="auto" w:fill="FDFDFC"/>
          </w:tcPr>
          <w:p>
            <w:pPr>
              <w:spacing w:after="0"/>
              <w:rPr>
                <w:sz w:val="16"/>
                <w:szCs w:val="16"/>
                <w:color w:val="auto"/>
              </w:rPr>
            </w:pPr>
          </w:p>
        </w:tc>
        <w:tc>
          <w:tcPr>
            <w:tcW w:w="1080" w:type="dxa"/>
            <w:vAlign w:val="bottom"/>
            <w:shd w:val="clear" w:color="auto" w:fill="FDFDFC"/>
          </w:tcPr>
          <w:p>
            <w:pPr>
              <w:jc w:val="right"/>
              <w:ind w:right="124"/>
              <w:spacing w:after="0"/>
              <w:rPr>
                <w:sz w:val="20"/>
                <w:szCs w:val="20"/>
                <w:color w:val="auto"/>
              </w:rPr>
            </w:pPr>
            <w:r>
              <w:rPr>
                <w:rFonts w:ascii="Times New Roman" w:cs="Times New Roman" w:eastAsia="Times New Roman" w:hAnsi="Times New Roman"/>
                <w:sz w:val="15"/>
                <w:szCs w:val="15"/>
                <w:color w:val="231F20"/>
              </w:rPr>
              <w:t>6.60%</w:t>
            </w:r>
          </w:p>
        </w:tc>
        <w:tc>
          <w:tcPr>
            <w:tcW w:w="1020" w:type="dxa"/>
            <w:vAlign w:val="bottom"/>
            <w:shd w:val="clear" w:color="auto" w:fill="FDFDFC"/>
          </w:tcPr>
          <w:p>
            <w:pPr>
              <w:spacing w:after="0"/>
              <w:rPr>
                <w:sz w:val="16"/>
                <w:szCs w:val="16"/>
                <w:color w:val="auto"/>
              </w:rPr>
            </w:pPr>
          </w:p>
        </w:tc>
        <w:tc>
          <w:tcPr>
            <w:tcW w:w="1000" w:type="dxa"/>
            <w:vAlign w:val="bottom"/>
            <w:shd w:val="clear" w:color="auto" w:fill="FDFDFC"/>
          </w:tcPr>
          <w:p>
            <w:pPr>
              <w:spacing w:after="0"/>
              <w:rPr>
                <w:sz w:val="16"/>
                <w:szCs w:val="16"/>
                <w:color w:val="auto"/>
              </w:rPr>
            </w:pPr>
          </w:p>
        </w:tc>
        <w:tc>
          <w:tcPr>
            <w:tcW w:w="180" w:type="dxa"/>
            <w:vAlign w:val="bottom"/>
            <w:shd w:val="clear" w:color="auto" w:fill="FDFDFC"/>
          </w:tcPr>
          <w:p>
            <w:pPr>
              <w:spacing w:after="0"/>
              <w:rPr>
                <w:sz w:val="16"/>
                <w:szCs w:val="16"/>
                <w:color w:val="auto"/>
              </w:rPr>
            </w:pPr>
          </w:p>
        </w:tc>
        <w:tc>
          <w:tcPr>
            <w:tcW w:w="960" w:type="dxa"/>
            <w:vAlign w:val="bottom"/>
            <w:shd w:val="clear" w:color="auto" w:fill="FDFDFC"/>
          </w:tcPr>
          <w:p>
            <w:pPr>
              <w:spacing w:after="0"/>
              <w:rPr>
                <w:sz w:val="16"/>
                <w:szCs w:val="16"/>
                <w:color w:val="auto"/>
              </w:rPr>
            </w:pPr>
          </w:p>
        </w:tc>
        <w:tc>
          <w:tcPr>
            <w:tcW w:w="200" w:type="dxa"/>
            <w:vAlign w:val="bottom"/>
            <w:shd w:val="clear" w:color="auto" w:fill="FDFDFC"/>
          </w:tcPr>
          <w:p>
            <w:pPr>
              <w:spacing w:after="0"/>
              <w:rPr>
                <w:sz w:val="16"/>
                <w:szCs w:val="16"/>
                <w:color w:val="auto"/>
              </w:rPr>
            </w:pPr>
          </w:p>
        </w:tc>
        <w:tc>
          <w:tcPr>
            <w:tcW w:w="900" w:type="dxa"/>
            <w:vAlign w:val="bottom"/>
            <w:shd w:val="clear" w:color="auto" w:fill="FDFDFC"/>
          </w:tcPr>
          <w:p>
            <w:pPr>
              <w:spacing w:after="0"/>
              <w:rPr>
                <w:sz w:val="16"/>
                <w:szCs w:val="16"/>
                <w:color w:val="auto"/>
              </w:rPr>
            </w:pPr>
          </w:p>
        </w:tc>
        <w:tc>
          <w:tcPr>
            <w:tcW w:w="240" w:type="dxa"/>
            <w:vAlign w:val="bottom"/>
            <w:shd w:val="clear" w:color="auto" w:fill="FDFDFC"/>
          </w:tcPr>
          <w:p>
            <w:pPr>
              <w:spacing w:after="0"/>
              <w:rPr>
                <w:sz w:val="16"/>
                <w:szCs w:val="16"/>
                <w:color w:val="auto"/>
              </w:rPr>
            </w:pPr>
          </w:p>
        </w:tc>
      </w:tr>
      <w:tr>
        <w:trPr>
          <w:trHeight w:val="158"/>
        </w:trPr>
        <w:tc>
          <w:tcPr>
            <w:tcW w:w="1440" w:type="dxa"/>
            <w:vAlign w:val="bottom"/>
            <w:shd w:val="clear" w:color="auto" w:fill="D0EBF2"/>
          </w:tcPr>
          <w:p>
            <w:pPr>
              <w:spacing w:after="0" w:line="159" w:lineRule="exact"/>
              <w:rPr>
                <w:sz w:val="20"/>
                <w:szCs w:val="20"/>
                <w:color w:val="auto"/>
              </w:rPr>
            </w:pPr>
            <w:r>
              <w:rPr>
                <w:rFonts w:ascii="Times New Roman" w:cs="Times New Roman" w:eastAsia="Times New Roman" w:hAnsi="Times New Roman"/>
                <w:sz w:val="15"/>
                <w:szCs w:val="15"/>
                <w:color w:val="231F20"/>
              </w:rPr>
              <w:t>Coupa Holdings, LLC</w:t>
            </w:r>
          </w:p>
        </w:tc>
        <w:tc>
          <w:tcPr>
            <w:tcW w:w="2480" w:type="dxa"/>
            <w:vAlign w:val="bottom"/>
            <w:shd w:val="clear" w:color="auto" w:fill="D0EBF2"/>
          </w:tcPr>
          <w:p>
            <w:pPr>
              <w:ind w:left="80"/>
              <w:spacing w:after="0" w:line="159" w:lineRule="exact"/>
              <w:rPr>
                <w:sz w:val="20"/>
                <w:szCs w:val="20"/>
                <w:color w:val="auto"/>
              </w:rPr>
            </w:pPr>
            <w:r>
              <w:rPr>
                <w:rFonts w:ascii="Times New Roman" w:cs="Times New Roman" w:eastAsia="Times New Roman" w:hAnsi="Times New Roman"/>
                <w:sz w:val="15"/>
                <w:szCs w:val="15"/>
                <w:color w:val="231F20"/>
              </w:rPr>
              <w:t>First-lien loan ($43,191 par, due</w:t>
            </w:r>
          </w:p>
        </w:tc>
        <w:tc>
          <w:tcPr>
            <w:tcW w:w="780" w:type="dxa"/>
            <w:vAlign w:val="bottom"/>
            <w:shd w:val="clear" w:color="auto" w:fill="D0EBF2"/>
          </w:tcPr>
          <w:p>
            <w:pPr>
              <w:jc w:val="right"/>
              <w:spacing w:after="0" w:line="159" w:lineRule="exact"/>
              <w:rPr>
                <w:sz w:val="20"/>
                <w:szCs w:val="20"/>
                <w:color w:val="auto"/>
              </w:rPr>
            </w:pPr>
            <w:r>
              <w:rPr>
                <w:rFonts w:ascii="Times New Roman" w:cs="Times New Roman" w:eastAsia="Times New Roman" w:hAnsi="Times New Roman"/>
                <w:sz w:val="15"/>
                <w:szCs w:val="15"/>
                <w:color w:val="231F20"/>
              </w:rPr>
              <w:t>2/27/2023</w:t>
            </w:r>
          </w:p>
        </w:tc>
        <w:tc>
          <w:tcPr>
            <w:tcW w:w="1080" w:type="dxa"/>
            <w:vAlign w:val="bottom"/>
            <w:shd w:val="clear" w:color="auto" w:fill="D0EBF2"/>
          </w:tcPr>
          <w:p>
            <w:pPr>
              <w:jc w:val="right"/>
              <w:ind w:right="124"/>
              <w:spacing w:after="0" w:line="159" w:lineRule="exact"/>
              <w:rPr>
                <w:sz w:val="20"/>
                <w:szCs w:val="20"/>
                <w:color w:val="auto"/>
              </w:rPr>
            </w:pPr>
            <w:r>
              <w:rPr>
                <w:rFonts w:ascii="Times New Roman" w:cs="Times New Roman" w:eastAsia="Times New Roman" w:hAnsi="Times New Roman"/>
                <w:sz w:val="15"/>
                <w:szCs w:val="15"/>
                <w:color w:val="231F20"/>
              </w:rPr>
              <w:t>SOFR +</w:t>
            </w:r>
          </w:p>
        </w:tc>
        <w:tc>
          <w:tcPr>
            <w:tcW w:w="1020" w:type="dxa"/>
            <w:vAlign w:val="bottom"/>
            <w:shd w:val="clear" w:color="auto" w:fill="D0EBF2"/>
          </w:tcPr>
          <w:p>
            <w:pPr>
              <w:jc w:val="right"/>
              <w:ind w:right="24"/>
              <w:spacing w:after="0" w:line="159" w:lineRule="exact"/>
              <w:rPr>
                <w:sz w:val="20"/>
                <w:szCs w:val="20"/>
                <w:color w:val="auto"/>
              </w:rPr>
            </w:pPr>
            <w:r>
              <w:rPr>
                <w:rFonts w:ascii="Times New Roman" w:cs="Times New Roman" w:eastAsia="Times New Roman" w:hAnsi="Times New Roman"/>
                <w:sz w:val="15"/>
                <w:szCs w:val="15"/>
                <w:color w:val="231F20"/>
              </w:rPr>
              <w:t>12.86%</w:t>
            </w:r>
          </w:p>
        </w:tc>
        <w:tc>
          <w:tcPr>
            <w:tcW w:w="1000" w:type="dxa"/>
            <w:vAlign w:val="bottom"/>
            <w:shd w:val="clear" w:color="auto" w:fill="D0EBF2"/>
          </w:tcPr>
          <w:p>
            <w:pPr>
              <w:jc w:val="right"/>
              <w:spacing w:after="0" w:line="159" w:lineRule="exact"/>
              <w:rPr>
                <w:sz w:val="20"/>
                <w:szCs w:val="20"/>
                <w:color w:val="auto"/>
              </w:rPr>
            </w:pPr>
            <w:r>
              <w:rPr>
                <w:rFonts w:ascii="Times New Roman" w:cs="Times New Roman" w:eastAsia="Times New Roman" w:hAnsi="Times New Roman"/>
                <w:sz w:val="15"/>
                <w:szCs w:val="15"/>
                <w:color w:val="231F20"/>
              </w:rPr>
              <w:t>42,135</w:t>
            </w:r>
          </w:p>
        </w:tc>
        <w:tc>
          <w:tcPr>
            <w:tcW w:w="1140" w:type="dxa"/>
            <w:vAlign w:val="bottom"/>
            <w:gridSpan w:val="2"/>
            <w:shd w:val="clear" w:color="auto" w:fill="D0EBF2"/>
          </w:tcPr>
          <w:p>
            <w:pPr>
              <w:jc w:val="right"/>
              <w:spacing w:after="0" w:line="159" w:lineRule="exact"/>
              <w:rPr>
                <w:sz w:val="20"/>
                <w:szCs w:val="20"/>
                <w:color w:val="auto"/>
              </w:rPr>
            </w:pPr>
            <w:r>
              <w:rPr>
                <w:rFonts w:ascii="Times New Roman" w:cs="Times New Roman" w:eastAsia="Times New Roman" w:hAnsi="Times New Roman"/>
                <w:sz w:val="15"/>
                <w:szCs w:val="15"/>
                <w:color w:val="231F20"/>
              </w:rPr>
              <w:t>43,441</w:t>
            </w:r>
          </w:p>
        </w:tc>
        <w:tc>
          <w:tcPr>
            <w:tcW w:w="1340" w:type="dxa"/>
            <w:vAlign w:val="bottom"/>
            <w:gridSpan w:val="3"/>
            <w:shd w:val="clear" w:color="auto" w:fill="D0EBF2"/>
          </w:tcPr>
          <w:p>
            <w:pPr>
              <w:jc w:val="right"/>
              <w:ind w:right="120"/>
              <w:spacing w:after="0" w:line="159" w:lineRule="exact"/>
              <w:rPr>
                <w:sz w:val="20"/>
                <w:szCs w:val="20"/>
                <w:color w:val="auto"/>
              </w:rPr>
            </w:pPr>
            <w:r>
              <w:rPr>
                <w:rFonts w:ascii="Times New Roman" w:cs="Times New Roman" w:eastAsia="Times New Roman" w:hAnsi="Times New Roman"/>
                <w:sz w:val="15"/>
                <w:szCs w:val="15"/>
                <w:color w:val="231F20"/>
              </w:rPr>
              <w:t>2.9%</w:t>
            </w:r>
          </w:p>
        </w:tc>
      </w:tr>
      <w:tr>
        <w:trPr>
          <w:trHeight w:val="189"/>
        </w:trPr>
        <w:tc>
          <w:tcPr>
            <w:tcW w:w="1440" w:type="dxa"/>
            <w:vAlign w:val="bottom"/>
            <w:shd w:val="clear" w:color="auto" w:fill="D0EBF2"/>
          </w:tcPr>
          <w:p>
            <w:pPr>
              <w:spacing w:after="0"/>
              <w:rPr>
                <w:sz w:val="20"/>
                <w:szCs w:val="20"/>
                <w:color w:val="auto"/>
              </w:rPr>
            </w:pPr>
            <w:r>
              <w:rPr>
                <w:rFonts w:ascii="Times New Roman" w:cs="Times New Roman" w:eastAsia="Times New Roman" w:hAnsi="Times New Roman"/>
                <w:sz w:val="9"/>
                <w:szCs w:val="9"/>
                <w:color w:val="231F20"/>
              </w:rPr>
              <w:t>(3)</w:t>
            </w:r>
          </w:p>
        </w:tc>
        <w:tc>
          <w:tcPr>
            <w:tcW w:w="2480" w:type="dxa"/>
            <w:vAlign w:val="bottom"/>
            <w:shd w:val="clear" w:color="auto" w:fill="D0EBF2"/>
          </w:tcPr>
          <w:p>
            <w:pPr>
              <w:ind w:left="80"/>
              <w:spacing w:after="0"/>
              <w:rPr>
                <w:sz w:val="20"/>
                <w:szCs w:val="20"/>
                <w:color w:val="auto"/>
              </w:rPr>
            </w:pPr>
            <w:r>
              <w:rPr>
                <w:rFonts w:ascii="Times New Roman" w:cs="Times New Roman" w:eastAsia="Times New Roman" w:hAnsi="Times New Roman"/>
                <w:sz w:val="15"/>
                <w:szCs w:val="15"/>
                <w:color w:val="231F20"/>
              </w:rPr>
              <w:t>2/2030)</w:t>
            </w:r>
          </w:p>
        </w:tc>
        <w:tc>
          <w:tcPr>
            <w:tcW w:w="780" w:type="dxa"/>
            <w:vAlign w:val="bottom"/>
            <w:shd w:val="clear" w:color="auto" w:fill="D0EBF2"/>
          </w:tcPr>
          <w:p>
            <w:pPr>
              <w:spacing w:after="0"/>
              <w:rPr>
                <w:sz w:val="16"/>
                <w:szCs w:val="16"/>
                <w:color w:val="auto"/>
              </w:rPr>
            </w:pPr>
          </w:p>
        </w:tc>
        <w:tc>
          <w:tcPr>
            <w:tcW w:w="1080" w:type="dxa"/>
            <w:vAlign w:val="bottom"/>
            <w:shd w:val="clear" w:color="auto" w:fill="D0EBF2"/>
          </w:tcPr>
          <w:p>
            <w:pPr>
              <w:jc w:val="right"/>
              <w:ind w:right="124"/>
              <w:spacing w:after="0"/>
              <w:rPr>
                <w:sz w:val="20"/>
                <w:szCs w:val="20"/>
                <w:color w:val="auto"/>
              </w:rPr>
            </w:pPr>
            <w:r>
              <w:rPr>
                <w:rFonts w:ascii="Times New Roman" w:cs="Times New Roman" w:eastAsia="Times New Roman" w:hAnsi="Times New Roman"/>
                <w:sz w:val="15"/>
                <w:szCs w:val="15"/>
                <w:color w:val="231F20"/>
              </w:rPr>
              <w:t>7.50%</w:t>
            </w:r>
          </w:p>
        </w:tc>
        <w:tc>
          <w:tcPr>
            <w:tcW w:w="1020" w:type="dxa"/>
            <w:vAlign w:val="bottom"/>
            <w:shd w:val="clear" w:color="auto" w:fill="D0EBF2"/>
          </w:tcPr>
          <w:p>
            <w:pPr>
              <w:spacing w:after="0"/>
              <w:rPr>
                <w:sz w:val="16"/>
                <w:szCs w:val="16"/>
                <w:color w:val="auto"/>
              </w:rPr>
            </w:pPr>
          </w:p>
        </w:tc>
        <w:tc>
          <w:tcPr>
            <w:tcW w:w="1000" w:type="dxa"/>
            <w:vAlign w:val="bottom"/>
            <w:shd w:val="clear" w:color="auto" w:fill="D0EBF2"/>
          </w:tcPr>
          <w:p>
            <w:pPr>
              <w:spacing w:after="0"/>
              <w:rPr>
                <w:sz w:val="16"/>
                <w:szCs w:val="16"/>
                <w:color w:val="auto"/>
              </w:rPr>
            </w:pPr>
          </w:p>
        </w:tc>
        <w:tc>
          <w:tcPr>
            <w:tcW w:w="180" w:type="dxa"/>
            <w:vAlign w:val="bottom"/>
            <w:shd w:val="clear" w:color="auto" w:fill="D0EBF2"/>
          </w:tcPr>
          <w:p>
            <w:pPr>
              <w:spacing w:after="0"/>
              <w:rPr>
                <w:sz w:val="16"/>
                <w:szCs w:val="16"/>
                <w:color w:val="auto"/>
              </w:rPr>
            </w:pPr>
          </w:p>
        </w:tc>
        <w:tc>
          <w:tcPr>
            <w:tcW w:w="960" w:type="dxa"/>
            <w:vAlign w:val="bottom"/>
            <w:shd w:val="clear" w:color="auto" w:fill="D0EBF2"/>
          </w:tcPr>
          <w:p>
            <w:pPr>
              <w:spacing w:after="0"/>
              <w:rPr>
                <w:sz w:val="16"/>
                <w:szCs w:val="16"/>
                <w:color w:val="auto"/>
              </w:rPr>
            </w:pPr>
          </w:p>
        </w:tc>
        <w:tc>
          <w:tcPr>
            <w:tcW w:w="200" w:type="dxa"/>
            <w:vAlign w:val="bottom"/>
            <w:shd w:val="clear" w:color="auto" w:fill="D0EBF2"/>
          </w:tcPr>
          <w:p>
            <w:pPr>
              <w:spacing w:after="0"/>
              <w:rPr>
                <w:sz w:val="16"/>
                <w:szCs w:val="16"/>
                <w:color w:val="auto"/>
              </w:rPr>
            </w:pPr>
          </w:p>
        </w:tc>
        <w:tc>
          <w:tcPr>
            <w:tcW w:w="900" w:type="dxa"/>
            <w:vAlign w:val="bottom"/>
            <w:shd w:val="clear" w:color="auto" w:fill="D0EBF2"/>
          </w:tcPr>
          <w:p>
            <w:pPr>
              <w:spacing w:after="0"/>
              <w:rPr>
                <w:sz w:val="16"/>
                <w:szCs w:val="16"/>
                <w:color w:val="auto"/>
              </w:rPr>
            </w:pPr>
          </w:p>
        </w:tc>
        <w:tc>
          <w:tcPr>
            <w:tcW w:w="240" w:type="dxa"/>
            <w:vAlign w:val="bottom"/>
            <w:shd w:val="clear" w:color="auto" w:fill="D0EBF2"/>
          </w:tcPr>
          <w:p>
            <w:pPr>
              <w:spacing w:after="0"/>
              <w:rPr>
                <w:sz w:val="16"/>
                <w:szCs w:val="16"/>
                <w:color w:val="auto"/>
              </w:rPr>
            </w:pPr>
          </w:p>
        </w:tc>
      </w:tr>
      <w:tr>
        <w:trPr>
          <w:trHeight w:val="158"/>
        </w:trPr>
        <w:tc>
          <w:tcPr>
            <w:tcW w:w="1440" w:type="dxa"/>
            <w:vAlign w:val="bottom"/>
            <w:shd w:val="clear" w:color="auto" w:fill="FDFDFC"/>
          </w:tcPr>
          <w:p>
            <w:pPr>
              <w:spacing w:after="0" w:line="159" w:lineRule="exact"/>
              <w:rPr>
                <w:sz w:val="20"/>
                <w:szCs w:val="20"/>
                <w:color w:val="auto"/>
              </w:rPr>
            </w:pPr>
            <w:r>
              <w:rPr>
                <w:rFonts w:ascii="Times New Roman" w:cs="Times New Roman" w:eastAsia="Times New Roman" w:hAnsi="Times New Roman"/>
                <w:sz w:val="15"/>
                <w:szCs w:val="15"/>
                <w:color w:val="231F20"/>
              </w:rPr>
              <w:t>CrunchTime</w:t>
            </w:r>
          </w:p>
        </w:tc>
        <w:tc>
          <w:tcPr>
            <w:tcW w:w="2480" w:type="dxa"/>
            <w:vAlign w:val="bottom"/>
            <w:shd w:val="clear" w:color="auto" w:fill="FDFDFC"/>
          </w:tcPr>
          <w:p>
            <w:pPr>
              <w:ind w:left="80"/>
              <w:spacing w:after="0" w:line="159" w:lineRule="exact"/>
              <w:rPr>
                <w:sz w:val="20"/>
                <w:szCs w:val="20"/>
                <w:color w:val="auto"/>
              </w:rPr>
            </w:pPr>
            <w:r>
              <w:rPr>
                <w:rFonts w:ascii="Times New Roman" w:cs="Times New Roman" w:eastAsia="Times New Roman" w:hAnsi="Times New Roman"/>
                <w:sz w:val="15"/>
                <w:szCs w:val="15"/>
                <w:color w:val="231F20"/>
              </w:rPr>
              <w:t>First-lien loan ($59,500 par, due</w:t>
            </w:r>
          </w:p>
        </w:tc>
        <w:tc>
          <w:tcPr>
            <w:tcW w:w="780" w:type="dxa"/>
            <w:vAlign w:val="bottom"/>
            <w:shd w:val="clear" w:color="auto" w:fill="FDFDFC"/>
          </w:tcPr>
          <w:p>
            <w:pPr>
              <w:jc w:val="right"/>
              <w:spacing w:after="0" w:line="159" w:lineRule="exact"/>
              <w:rPr>
                <w:sz w:val="20"/>
                <w:szCs w:val="20"/>
                <w:color w:val="auto"/>
              </w:rPr>
            </w:pPr>
            <w:r>
              <w:rPr>
                <w:rFonts w:ascii="Times New Roman" w:cs="Times New Roman" w:eastAsia="Times New Roman" w:hAnsi="Times New Roman"/>
                <w:sz w:val="15"/>
                <w:szCs w:val="15"/>
                <w:color w:val="231F20"/>
              </w:rPr>
              <w:t>6/17/2022</w:t>
            </w:r>
          </w:p>
        </w:tc>
        <w:tc>
          <w:tcPr>
            <w:tcW w:w="1080" w:type="dxa"/>
            <w:vAlign w:val="bottom"/>
            <w:shd w:val="clear" w:color="auto" w:fill="FDFDFC"/>
          </w:tcPr>
          <w:p>
            <w:pPr>
              <w:jc w:val="right"/>
              <w:ind w:right="124"/>
              <w:spacing w:after="0" w:line="159" w:lineRule="exact"/>
              <w:rPr>
                <w:sz w:val="20"/>
                <w:szCs w:val="20"/>
                <w:color w:val="auto"/>
              </w:rPr>
            </w:pPr>
            <w:r>
              <w:rPr>
                <w:rFonts w:ascii="Times New Roman" w:cs="Times New Roman" w:eastAsia="Times New Roman" w:hAnsi="Times New Roman"/>
                <w:sz w:val="15"/>
                <w:szCs w:val="15"/>
                <w:color w:val="231F20"/>
              </w:rPr>
              <w:t>SOFR +</w:t>
            </w:r>
          </w:p>
        </w:tc>
        <w:tc>
          <w:tcPr>
            <w:tcW w:w="1020" w:type="dxa"/>
            <w:vAlign w:val="bottom"/>
            <w:shd w:val="clear" w:color="auto" w:fill="FDFDFC"/>
          </w:tcPr>
          <w:p>
            <w:pPr>
              <w:jc w:val="right"/>
              <w:ind w:right="24"/>
              <w:spacing w:after="0" w:line="159" w:lineRule="exact"/>
              <w:rPr>
                <w:sz w:val="20"/>
                <w:szCs w:val="20"/>
                <w:color w:val="auto"/>
              </w:rPr>
            </w:pPr>
            <w:r>
              <w:rPr>
                <w:rFonts w:ascii="Times New Roman" w:cs="Times New Roman" w:eastAsia="Times New Roman" w:hAnsi="Times New Roman"/>
                <w:sz w:val="15"/>
                <w:szCs w:val="15"/>
                <w:color w:val="231F20"/>
              </w:rPr>
              <w:t>11.36%</w:t>
            </w:r>
          </w:p>
        </w:tc>
        <w:tc>
          <w:tcPr>
            <w:tcW w:w="1000" w:type="dxa"/>
            <w:vAlign w:val="bottom"/>
            <w:shd w:val="clear" w:color="auto" w:fill="FDFDFC"/>
          </w:tcPr>
          <w:p>
            <w:pPr>
              <w:jc w:val="right"/>
              <w:spacing w:after="0" w:line="159" w:lineRule="exact"/>
              <w:rPr>
                <w:sz w:val="20"/>
                <w:szCs w:val="20"/>
                <w:color w:val="auto"/>
              </w:rPr>
            </w:pPr>
            <w:r>
              <w:rPr>
                <w:rFonts w:ascii="Times New Roman" w:cs="Times New Roman" w:eastAsia="Times New Roman" w:hAnsi="Times New Roman"/>
                <w:sz w:val="15"/>
                <w:szCs w:val="15"/>
                <w:color w:val="231F20"/>
              </w:rPr>
              <w:t>58,477</w:t>
            </w:r>
          </w:p>
        </w:tc>
        <w:tc>
          <w:tcPr>
            <w:tcW w:w="1140" w:type="dxa"/>
            <w:vAlign w:val="bottom"/>
            <w:gridSpan w:val="2"/>
            <w:shd w:val="clear" w:color="auto" w:fill="FDFDFC"/>
          </w:tcPr>
          <w:p>
            <w:pPr>
              <w:jc w:val="right"/>
              <w:spacing w:after="0" w:line="159" w:lineRule="exact"/>
              <w:rPr>
                <w:sz w:val="20"/>
                <w:szCs w:val="20"/>
                <w:color w:val="auto"/>
              </w:rPr>
            </w:pPr>
            <w:r>
              <w:rPr>
                <w:rFonts w:ascii="Times New Roman" w:cs="Times New Roman" w:eastAsia="Times New Roman" w:hAnsi="Times New Roman"/>
                <w:sz w:val="15"/>
                <w:szCs w:val="15"/>
                <w:color w:val="231F20"/>
              </w:rPr>
              <w:t>59,947</w:t>
            </w:r>
          </w:p>
        </w:tc>
        <w:tc>
          <w:tcPr>
            <w:tcW w:w="1340" w:type="dxa"/>
            <w:vAlign w:val="bottom"/>
            <w:gridSpan w:val="3"/>
            <w:shd w:val="clear" w:color="auto" w:fill="FDFDFC"/>
          </w:tcPr>
          <w:p>
            <w:pPr>
              <w:jc w:val="right"/>
              <w:ind w:right="120"/>
              <w:spacing w:after="0" w:line="159" w:lineRule="exact"/>
              <w:rPr>
                <w:sz w:val="20"/>
                <w:szCs w:val="20"/>
                <w:color w:val="auto"/>
              </w:rPr>
            </w:pPr>
            <w:r>
              <w:rPr>
                <w:rFonts w:ascii="Times New Roman" w:cs="Times New Roman" w:eastAsia="Times New Roman" w:hAnsi="Times New Roman"/>
                <w:sz w:val="15"/>
                <w:szCs w:val="15"/>
                <w:color w:val="231F20"/>
              </w:rPr>
              <w:t>4.0%</w:t>
            </w:r>
          </w:p>
        </w:tc>
      </w:tr>
      <w:tr>
        <w:trPr>
          <w:trHeight w:val="174"/>
        </w:trPr>
        <w:tc>
          <w:tcPr>
            <w:tcW w:w="1440" w:type="dxa"/>
            <w:vAlign w:val="bottom"/>
            <w:shd w:val="clear" w:color="auto" w:fill="FDFDFC"/>
          </w:tcPr>
          <w:p>
            <w:pPr>
              <w:spacing w:after="0"/>
              <w:rPr>
                <w:sz w:val="20"/>
                <w:szCs w:val="20"/>
                <w:color w:val="auto"/>
              </w:rPr>
            </w:pPr>
            <w:r>
              <w:rPr>
                <w:rFonts w:ascii="Times New Roman" w:cs="Times New Roman" w:eastAsia="Times New Roman" w:hAnsi="Times New Roman"/>
                <w:sz w:val="15"/>
                <w:szCs w:val="15"/>
                <w:color w:val="231F20"/>
              </w:rPr>
              <w:t>Information, Systems,</w:t>
            </w:r>
          </w:p>
        </w:tc>
        <w:tc>
          <w:tcPr>
            <w:tcW w:w="2480" w:type="dxa"/>
            <w:vAlign w:val="bottom"/>
            <w:shd w:val="clear" w:color="auto" w:fill="FDFDFC"/>
          </w:tcPr>
          <w:p>
            <w:pPr>
              <w:ind w:left="80"/>
              <w:spacing w:after="0"/>
              <w:rPr>
                <w:sz w:val="20"/>
                <w:szCs w:val="20"/>
                <w:color w:val="auto"/>
              </w:rPr>
            </w:pPr>
            <w:r>
              <w:rPr>
                <w:rFonts w:ascii="Times New Roman" w:cs="Times New Roman" w:eastAsia="Times New Roman" w:hAnsi="Times New Roman"/>
                <w:sz w:val="15"/>
                <w:szCs w:val="15"/>
                <w:color w:val="231F20"/>
              </w:rPr>
              <w:t>6/2028)</w:t>
            </w:r>
          </w:p>
        </w:tc>
        <w:tc>
          <w:tcPr>
            <w:tcW w:w="780" w:type="dxa"/>
            <w:vAlign w:val="bottom"/>
            <w:shd w:val="clear" w:color="auto" w:fill="FDFDFC"/>
          </w:tcPr>
          <w:p>
            <w:pPr>
              <w:spacing w:after="0"/>
              <w:rPr>
                <w:sz w:val="15"/>
                <w:szCs w:val="15"/>
                <w:color w:val="auto"/>
              </w:rPr>
            </w:pPr>
          </w:p>
        </w:tc>
        <w:tc>
          <w:tcPr>
            <w:tcW w:w="1080" w:type="dxa"/>
            <w:vAlign w:val="bottom"/>
            <w:shd w:val="clear" w:color="auto" w:fill="FDFDFC"/>
          </w:tcPr>
          <w:p>
            <w:pPr>
              <w:jc w:val="right"/>
              <w:ind w:right="124"/>
              <w:spacing w:after="0"/>
              <w:rPr>
                <w:sz w:val="20"/>
                <w:szCs w:val="20"/>
                <w:color w:val="auto"/>
              </w:rPr>
            </w:pPr>
            <w:r>
              <w:rPr>
                <w:rFonts w:ascii="Times New Roman" w:cs="Times New Roman" w:eastAsia="Times New Roman" w:hAnsi="Times New Roman"/>
                <w:sz w:val="15"/>
                <w:szCs w:val="15"/>
                <w:color w:val="231F20"/>
              </w:rPr>
              <w:t>6.00%</w:t>
            </w:r>
          </w:p>
        </w:tc>
        <w:tc>
          <w:tcPr>
            <w:tcW w:w="1020" w:type="dxa"/>
            <w:vAlign w:val="bottom"/>
            <w:shd w:val="clear" w:color="auto" w:fill="FDFDFC"/>
          </w:tcPr>
          <w:p>
            <w:pPr>
              <w:spacing w:after="0"/>
              <w:rPr>
                <w:sz w:val="15"/>
                <w:szCs w:val="15"/>
                <w:color w:val="auto"/>
              </w:rPr>
            </w:pPr>
          </w:p>
        </w:tc>
        <w:tc>
          <w:tcPr>
            <w:tcW w:w="1000" w:type="dxa"/>
            <w:vAlign w:val="bottom"/>
            <w:shd w:val="clear" w:color="auto" w:fill="FDFDFC"/>
          </w:tcPr>
          <w:p>
            <w:pPr>
              <w:spacing w:after="0"/>
              <w:rPr>
                <w:sz w:val="15"/>
                <w:szCs w:val="15"/>
                <w:color w:val="auto"/>
              </w:rPr>
            </w:pPr>
          </w:p>
        </w:tc>
        <w:tc>
          <w:tcPr>
            <w:tcW w:w="180" w:type="dxa"/>
            <w:vAlign w:val="bottom"/>
            <w:shd w:val="clear" w:color="auto" w:fill="FDFDFC"/>
          </w:tcPr>
          <w:p>
            <w:pPr>
              <w:spacing w:after="0"/>
              <w:rPr>
                <w:sz w:val="15"/>
                <w:szCs w:val="15"/>
                <w:color w:val="auto"/>
              </w:rPr>
            </w:pPr>
          </w:p>
        </w:tc>
        <w:tc>
          <w:tcPr>
            <w:tcW w:w="960" w:type="dxa"/>
            <w:vAlign w:val="bottom"/>
            <w:shd w:val="clear" w:color="auto" w:fill="FDFDFC"/>
          </w:tcPr>
          <w:p>
            <w:pPr>
              <w:spacing w:after="0"/>
              <w:rPr>
                <w:sz w:val="15"/>
                <w:szCs w:val="15"/>
                <w:color w:val="auto"/>
              </w:rPr>
            </w:pPr>
          </w:p>
        </w:tc>
        <w:tc>
          <w:tcPr>
            <w:tcW w:w="200" w:type="dxa"/>
            <w:vAlign w:val="bottom"/>
            <w:shd w:val="clear" w:color="auto" w:fill="FDFDFC"/>
          </w:tcPr>
          <w:p>
            <w:pPr>
              <w:spacing w:after="0"/>
              <w:rPr>
                <w:sz w:val="15"/>
                <w:szCs w:val="15"/>
                <w:color w:val="auto"/>
              </w:rPr>
            </w:pPr>
          </w:p>
        </w:tc>
        <w:tc>
          <w:tcPr>
            <w:tcW w:w="900" w:type="dxa"/>
            <w:vAlign w:val="bottom"/>
            <w:shd w:val="clear" w:color="auto" w:fill="FDFDFC"/>
          </w:tcPr>
          <w:p>
            <w:pPr>
              <w:spacing w:after="0"/>
              <w:rPr>
                <w:sz w:val="15"/>
                <w:szCs w:val="15"/>
                <w:color w:val="auto"/>
              </w:rPr>
            </w:pPr>
          </w:p>
        </w:tc>
        <w:tc>
          <w:tcPr>
            <w:tcW w:w="240" w:type="dxa"/>
            <w:vAlign w:val="bottom"/>
            <w:shd w:val="clear" w:color="auto" w:fill="FDFDFC"/>
          </w:tcPr>
          <w:p>
            <w:pPr>
              <w:spacing w:after="0"/>
              <w:rPr>
                <w:sz w:val="15"/>
                <w:szCs w:val="15"/>
                <w:color w:val="auto"/>
              </w:rPr>
            </w:pPr>
          </w:p>
        </w:tc>
      </w:tr>
      <w:tr>
        <w:trPr>
          <w:trHeight w:val="189"/>
        </w:trPr>
        <w:tc>
          <w:tcPr>
            <w:tcW w:w="1440" w:type="dxa"/>
            <w:vAlign w:val="bottom"/>
            <w:shd w:val="clear" w:color="auto" w:fill="FDFDFC"/>
          </w:tcPr>
          <w:p>
            <w:pPr>
              <w:spacing w:after="0" w:line="190" w:lineRule="exact"/>
              <w:rPr>
                <w:sz w:val="20"/>
                <w:szCs w:val="20"/>
                <w:color w:val="auto"/>
              </w:rPr>
            </w:pPr>
            <w:r>
              <w:rPr>
                <w:rFonts w:ascii="Times New Roman" w:cs="Times New Roman" w:eastAsia="Times New Roman" w:hAnsi="Times New Roman"/>
                <w:sz w:val="21"/>
                <w:szCs w:val="21"/>
                <w:color w:val="231F20"/>
                <w:vertAlign w:val="subscript"/>
              </w:rPr>
              <w:t>Inc.</w:t>
            </w:r>
            <w:r>
              <w:rPr>
                <w:rFonts w:ascii="Times New Roman" w:cs="Times New Roman" w:eastAsia="Times New Roman" w:hAnsi="Times New Roman"/>
                <w:sz w:val="8"/>
                <w:szCs w:val="8"/>
                <w:color w:val="231F20"/>
              </w:rPr>
              <w:t xml:space="preserve"> (3)(5)</w:t>
            </w:r>
          </w:p>
        </w:tc>
        <w:tc>
          <w:tcPr>
            <w:tcW w:w="2480" w:type="dxa"/>
            <w:vAlign w:val="bottom"/>
            <w:shd w:val="clear" w:color="auto" w:fill="FDFDFC"/>
          </w:tcPr>
          <w:p>
            <w:pPr>
              <w:spacing w:after="0"/>
              <w:rPr>
                <w:sz w:val="16"/>
                <w:szCs w:val="16"/>
                <w:color w:val="auto"/>
              </w:rPr>
            </w:pPr>
          </w:p>
        </w:tc>
        <w:tc>
          <w:tcPr>
            <w:tcW w:w="780" w:type="dxa"/>
            <w:vAlign w:val="bottom"/>
            <w:shd w:val="clear" w:color="auto" w:fill="FDFDFC"/>
          </w:tcPr>
          <w:p>
            <w:pPr>
              <w:spacing w:after="0"/>
              <w:rPr>
                <w:sz w:val="16"/>
                <w:szCs w:val="16"/>
                <w:color w:val="auto"/>
              </w:rPr>
            </w:pPr>
          </w:p>
        </w:tc>
        <w:tc>
          <w:tcPr>
            <w:tcW w:w="1080" w:type="dxa"/>
            <w:vAlign w:val="bottom"/>
            <w:shd w:val="clear" w:color="auto" w:fill="FDFDFC"/>
          </w:tcPr>
          <w:p>
            <w:pPr>
              <w:spacing w:after="0"/>
              <w:rPr>
                <w:sz w:val="16"/>
                <w:szCs w:val="16"/>
                <w:color w:val="auto"/>
              </w:rPr>
            </w:pPr>
          </w:p>
        </w:tc>
        <w:tc>
          <w:tcPr>
            <w:tcW w:w="1020" w:type="dxa"/>
            <w:vAlign w:val="bottom"/>
            <w:shd w:val="clear" w:color="auto" w:fill="FDFDFC"/>
          </w:tcPr>
          <w:p>
            <w:pPr>
              <w:spacing w:after="0"/>
              <w:rPr>
                <w:sz w:val="16"/>
                <w:szCs w:val="16"/>
                <w:color w:val="auto"/>
              </w:rPr>
            </w:pPr>
          </w:p>
        </w:tc>
        <w:tc>
          <w:tcPr>
            <w:tcW w:w="1000" w:type="dxa"/>
            <w:vAlign w:val="bottom"/>
            <w:shd w:val="clear" w:color="auto" w:fill="FDFDFC"/>
          </w:tcPr>
          <w:p>
            <w:pPr>
              <w:spacing w:after="0"/>
              <w:rPr>
                <w:sz w:val="16"/>
                <w:szCs w:val="16"/>
                <w:color w:val="auto"/>
              </w:rPr>
            </w:pPr>
          </w:p>
        </w:tc>
        <w:tc>
          <w:tcPr>
            <w:tcW w:w="180" w:type="dxa"/>
            <w:vAlign w:val="bottom"/>
            <w:shd w:val="clear" w:color="auto" w:fill="FDFDFC"/>
          </w:tcPr>
          <w:p>
            <w:pPr>
              <w:spacing w:after="0"/>
              <w:rPr>
                <w:sz w:val="16"/>
                <w:szCs w:val="16"/>
                <w:color w:val="auto"/>
              </w:rPr>
            </w:pPr>
          </w:p>
        </w:tc>
        <w:tc>
          <w:tcPr>
            <w:tcW w:w="960" w:type="dxa"/>
            <w:vAlign w:val="bottom"/>
            <w:shd w:val="clear" w:color="auto" w:fill="FDFDFC"/>
          </w:tcPr>
          <w:p>
            <w:pPr>
              <w:spacing w:after="0"/>
              <w:rPr>
                <w:sz w:val="16"/>
                <w:szCs w:val="16"/>
                <w:color w:val="auto"/>
              </w:rPr>
            </w:pPr>
          </w:p>
        </w:tc>
        <w:tc>
          <w:tcPr>
            <w:tcW w:w="200" w:type="dxa"/>
            <w:vAlign w:val="bottom"/>
            <w:shd w:val="clear" w:color="auto" w:fill="FDFDFC"/>
          </w:tcPr>
          <w:p>
            <w:pPr>
              <w:spacing w:after="0"/>
              <w:rPr>
                <w:sz w:val="16"/>
                <w:szCs w:val="16"/>
                <w:color w:val="auto"/>
              </w:rPr>
            </w:pPr>
          </w:p>
        </w:tc>
        <w:tc>
          <w:tcPr>
            <w:tcW w:w="900" w:type="dxa"/>
            <w:vAlign w:val="bottom"/>
            <w:shd w:val="clear" w:color="auto" w:fill="FDFDFC"/>
          </w:tcPr>
          <w:p>
            <w:pPr>
              <w:spacing w:after="0"/>
              <w:rPr>
                <w:sz w:val="16"/>
                <w:szCs w:val="16"/>
                <w:color w:val="auto"/>
              </w:rPr>
            </w:pPr>
          </w:p>
        </w:tc>
        <w:tc>
          <w:tcPr>
            <w:tcW w:w="240" w:type="dxa"/>
            <w:vAlign w:val="bottom"/>
            <w:shd w:val="clear" w:color="auto" w:fill="FDFDFC"/>
          </w:tcPr>
          <w:p>
            <w:pPr>
              <w:spacing w:after="0"/>
              <w:rPr>
                <w:sz w:val="16"/>
                <w:szCs w:val="16"/>
                <w:color w:val="auto"/>
              </w:rPr>
            </w:pPr>
          </w:p>
        </w:tc>
      </w:tr>
      <w:tr>
        <w:trPr>
          <w:trHeight w:val="158"/>
        </w:trPr>
        <w:tc>
          <w:tcPr>
            <w:tcW w:w="1440" w:type="dxa"/>
            <w:vAlign w:val="bottom"/>
            <w:shd w:val="clear" w:color="auto" w:fill="D0EBF2"/>
          </w:tcPr>
          <w:p>
            <w:pPr>
              <w:spacing w:after="0" w:line="159" w:lineRule="exact"/>
              <w:rPr>
                <w:sz w:val="20"/>
                <w:szCs w:val="20"/>
                <w:color w:val="auto"/>
              </w:rPr>
            </w:pPr>
            <w:r>
              <w:rPr>
                <w:rFonts w:ascii="Times New Roman" w:cs="Times New Roman" w:eastAsia="Times New Roman" w:hAnsi="Times New Roman"/>
                <w:sz w:val="15"/>
                <w:szCs w:val="15"/>
                <w:color w:val="231F20"/>
              </w:rPr>
              <w:t xml:space="preserve">EDB Parent, LLC </w:t>
            </w:r>
            <w:r>
              <w:rPr>
                <w:rFonts w:ascii="Times New Roman" w:cs="Times New Roman" w:eastAsia="Times New Roman" w:hAnsi="Times New Roman"/>
                <w:sz w:val="9"/>
                <w:szCs w:val="9"/>
                <w:color w:val="231F20"/>
              </w:rPr>
              <w:t>(3)(5)</w:t>
            </w:r>
          </w:p>
        </w:tc>
        <w:tc>
          <w:tcPr>
            <w:tcW w:w="2480" w:type="dxa"/>
            <w:vAlign w:val="bottom"/>
            <w:shd w:val="clear" w:color="auto" w:fill="D0EBF2"/>
          </w:tcPr>
          <w:p>
            <w:pPr>
              <w:ind w:left="80"/>
              <w:spacing w:after="0" w:line="159" w:lineRule="exact"/>
              <w:rPr>
                <w:sz w:val="20"/>
                <w:szCs w:val="20"/>
                <w:color w:val="auto"/>
              </w:rPr>
            </w:pPr>
            <w:r>
              <w:rPr>
                <w:rFonts w:ascii="Times New Roman" w:cs="Times New Roman" w:eastAsia="Times New Roman" w:hAnsi="Times New Roman"/>
                <w:sz w:val="15"/>
                <w:szCs w:val="15"/>
                <w:color w:val="231F20"/>
              </w:rPr>
              <w:t>First-lien loan ($63,508 par, due</w:t>
            </w:r>
          </w:p>
        </w:tc>
        <w:tc>
          <w:tcPr>
            <w:tcW w:w="780" w:type="dxa"/>
            <w:vAlign w:val="bottom"/>
            <w:shd w:val="clear" w:color="auto" w:fill="D0EBF2"/>
          </w:tcPr>
          <w:p>
            <w:pPr>
              <w:jc w:val="right"/>
              <w:spacing w:after="0" w:line="159" w:lineRule="exact"/>
              <w:rPr>
                <w:sz w:val="20"/>
                <w:szCs w:val="20"/>
                <w:color w:val="auto"/>
              </w:rPr>
            </w:pPr>
            <w:r>
              <w:rPr>
                <w:rFonts w:ascii="Times New Roman" w:cs="Times New Roman" w:eastAsia="Times New Roman" w:hAnsi="Times New Roman"/>
                <w:sz w:val="15"/>
                <w:szCs w:val="15"/>
                <w:color w:val="231F20"/>
              </w:rPr>
              <w:t>7/7/2022</w:t>
            </w:r>
          </w:p>
        </w:tc>
        <w:tc>
          <w:tcPr>
            <w:tcW w:w="1080" w:type="dxa"/>
            <w:vAlign w:val="bottom"/>
            <w:shd w:val="clear" w:color="auto" w:fill="D0EBF2"/>
          </w:tcPr>
          <w:p>
            <w:pPr>
              <w:jc w:val="right"/>
              <w:ind w:right="124"/>
              <w:spacing w:after="0" w:line="159" w:lineRule="exact"/>
              <w:rPr>
                <w:sz w:val="20"/>
                <w:szCs w:val="20"/>
                <w:color w:val="auto"/>
              </w:rPr>
            </w:pPr>
            <w:r>
              <w:rPr>
                <w:rFonts w:ascii="Times New Roman" w:cs="Times New Roman" w:eastAsia="Times New Roman" w:hAnsi="Times New Roman"/>
                <w:sz w:val="15"/>
                <w:szCs w:val="15"/>
                <w:color w:val="231F20"/>
              </w:rPr>
              <w:t>SOFR +</w:t>
            </w:r>
          </w:p>
        </w:tc>
        <w:tc>
          <w:tcPr>
            <w:tcW w:w="1020" w:type="dxa"/>
            <w:vAlign w:val="bottom"/>
            <w:shd w:val="clear" w:color="auto" w:fill="D0EBF2"/>
          </w:tcPr>
          <w:p>
            <w:pPr>
              <w:jc w:val="right"/>
              <w:ind w:right="24"/>
              <w:spacing w:after="0" w:line="159" w:lineRule="exact"/>
              <w:rPr>
                <w:sz w:val="20"/>
                <w:szCs w:val="20"/>
                <w:color w:val="auto"/>
              </w:rPr>
            </w:pPr>
            <w:r>
              <w:rPr>
                <w:rFonts w:ascii="Times New Roman" w:cs="Times New Roman" w:eastAsia="Times New Roman" w:hAnsi="Times New Roman"/>
                <w:sz w:val="15"/>
                <w:szCs w:val="15"/>
                <w:color w:val="231F20"/>
              </w:rPr>
              <w:t>12.10%</w:t>
            </w:r>
          </w:p>
        </w:tc>
        <w:tc>
          <w:tcPr>
            <w:tcW w:w="1000" w:type="dxa"/>
            <w:vAlign w:val="bottom"/>
            <w:shd w:val="clear" w:color="auto" w:fill="D0EBF2"/>
          </w:tcPr>
          <w:p>
            <w:pPr>
              <w:jc w:val="right"/>
              <w:spacing w:after="0" w:line="159" w:lineRule="exact"/>
              <w:rPr>
                <w:sz w:val="20"/>
                <w:szCs w:val="20"/>
                <w:color w:val="auto"/>
              </w:rPr>
            </w:pPr>
            <w:r>
              <w:rPr>
                <w:rFonts w:ascii="Times New Roman" w:cs="Times New Roman" w:eastAsia="Times New Roman" w:hAnsi="Times New Roman"/>
                <w:sz w:val="15"/>
                <w:szCs w:val="15"/>
                <w:color w:val="231F20"/>
              </w:rPr>
              <w:t>62,301</w:t>
            </w:r>
          </w:p>
        </w:tc>
        <w:tc>
          <w:tcPr>
            <w:tcW w:w="1140" w:type="dxa"/>
            <w:vAlign w:val="bottom"/>
            <w:gridSpan w:val="2"/>
            <w:shd w:val="clear" w:color="auto" w:fill="D0EBF2"/>
          </w:tcPr>
          <w:p>
            <w:pPr>
              <w:jc w:val="right"/>
              <w:spacing w:after="0" w:line="159" w:lineRule="exact"/>
              <w:rPr>
                <w:sz w:val="20"/>
                <w:szCs w:val="20"/>
                <w:color w:val="auto"/>
              </w:rPr>
            </w:pPr>
            <w:r>
              <w:rPr>
                <w:rFonts w:ascii="Times New Roman" w:cs="Times New Roman" w:eastAsia="Times New Roman" w:hAnsi="Times New Roman"/>
                <w:sz w:val="15"/>
                <w:szCs w:val="15"/>
                <w:color w:val="231F20"/>
              </w:rPr>
              <w:t>63,032</w:t>
            </w:r>
          </w:p>
        </w:tc>
        <w:tc>
          <w:tcPr>
            <w:tcW w:w="1340" w:type="dxa"/>
            <w:vAlign w:val="bottom"/>
            <w:gridSpan w:val="3"/>
            <w:shd w:val="clear" w:color="auto" w:fill="D0EBF2"/>
          </w:tcPr>
          <w:p>
            <w:pPr>
              <w:jc w:val="right"/>
              <w:ind w:right="120"/>
              <w:spacing w:after="0" w:line="159" w:lineRule="exact"/>
              <w:rPr>
                <w:sz w:val="20"/>
                <w:szCs w:val="20"/>
                <w:color w:val="auto"/>
              </w:rPr>
            </w:pPr>
            <w:r>
              <w:rPr>
                <w:rFonts w:ascii="Times New Roman" w:cs="Times New Roman" w:eastAsia="Times New Roman" w:hAnsi="Times New Roman"/>
                <w:sz w:val="15"/>
                <w:szCs w:val="15"/>
                <w:color w:val="231F20"/>
              </w:rPr>
              <w:t>4.2%</w:t>
            </w:r>
          </w:p>
        </w:tc>
      </w:tr>
      <w:tr>
        <w:trPr>
          <w:trHeight w:val="189"/>
        </w:trPr>
        <w:tc>
          <w:tcPr>
            <w:tcW w:w="1440" w:type="dxa"/>
            <w:vAlign w:val="bottom"/>
            <w:shd w:val="clear" w:color="auto" w:fill="D0EBF2"/>
          </w:tcPr>
          <w:p>
            <w:pPr>
              <w:spacing w:after="0"/>
              <w:rPr>
                <w:sz w:val="16"/>
                <w:szCs w:val="16"/>
                <w:color w:val="auto"/>
              </w:rPr>
            </w:pPr>
          </w:p>
        </w:tc>
        <w:tc>
          <w:tcPr>
            <w:tcW w:w="2480" w:type="dxa"/>
            <w:vAlign w:val="bottom"/>
            <w:shd w:val="clear" w:color="auto" w:fill="D0EBF2"/>
          </w:tcPr>
          <w:p>
            <w:pPr>
              <w:ind w:left="80"/>
              <w:spacing w:after="0"/>
              <w:rPr>
                <w:sz w:val="20"/>
                <w:szCs w:val="20"/>
                <w:color w:val="auto"/>
              </w:rPr>
            </w:pPr>
            <w:r>
              <w:rPr>
                <w:rFonts w:ascii="Times New Roman" w:cs="Times New Roman" w:eastAsia="Times New Roman" w:hAnsi="Times New Roman"/>
                <w:sz w:val="15"/>
                <w:szCs w:val="15"/>
                <w:color w:val="231F20"/>
              </w:rPr>
              <w:t>7/2028)</w:t>
            </w:r>
          </w:p>
        </w:tc>
        <w:tc>
          <w:tcPr>
            <w:tcW w:w="780" w:type="dxa"/>
            <w:vAlign w:val="bottom"/>
            <w:shd w:val="clear" w:color="auto" w:fill="D0EBF2"/>
          </w:tcPr>
          <w:p>
            <w:pPr>
              <w:spacing w:after="0"/>
              <w:rPr>
                <w:sz w:val="16"/>
                <w:szCs w:val="16"/>
                <w:color w:val="auto"/>
              </w:rPr>
            </w:pPr>
          </w:p>
        </w:tc>
        <w:tc>
          <w:tcPr>
            <w:tcW w:w="1080" w:type="dxa"/>
            <w:vAlign w:val="bottom"/>
            <w:shd w:val="clear" w:color="auto" w:fill="D0EBF2"/>
          </w:tcPr>
          <w:p>
            <w:pPr>
              <w:jc w:val="right"/>
              <w:ind w:right="124"/>
              <w:spacing w:after="0"/>
              <w:rPr>
                <w:sz w:val="20"/>
                <w:szCs w:val="20"/>
                <w:color w:val="auto"/>
              </w:rPr>
            </w:pPr>
            <w:r>
              <w:rPr>
                <w:rFonts w:ascii="Times New Roman" w:cs="Times New Roman" w:eastAsia="Times New Roman" w:hAnsi="Times New Roman"/>
                <w:sz w:val="15"/>
                <w:szCs w:val="15"/>
                <w:color w:val="231F20"/>
              </w:rPr>
              <w:t>6.75%</w:t>
            </w:r>
          </w:p>
        </w:tc>
        <w:tc>
          <w:tcPr>
            <w:tcW w:w="1020" w:type="dxa"/>
            <w:vAlign w:val="bottom"/>
            <w:shd w:val="clear" w:color="auto" w:fill="D0EBF2"/>
          </w:tcPr>
          <w:p>
            <w:pPr>
              <w:spacing w:after="0"/>
              <w:rPr>
                <w:sz w:val="16"/>
                <w:szCs w:val="16"/>
                <w:color w:val="auto"/>
              </w:rPr>
            </w:pPr>
          </w:p>
        </w:tc>
        <w:tc>
          <w:tcPr>
            <w:tcW w:w="1000" w:type="dxa"/>
            <w:vAlign w:val="bottom"/>
            <w:shd w:val="clear" w:color="auto" w:fill="D0EBF2"/>
          </w:tcPr>
          <w:p>
            <w:pPr>
              <w:spacing w:after="0"/>
              <w:rPr>
                <w:sz w:val="16"/>
                <w:szCs w:val="16"/>
                <w:color w:val="auto"/>
              </w:rPr>
            </w:pPr>
          </w:p>
        </w:tc>
        <w:tc>
          <w:tcPr>
            <w:tcW w:w="180" w:type="dxa"/>
            <w:vAlign w:val="bottom"/>
            <w:shd w:val="clear" w:color="auto" w:fill="D0EBF2"/>
          </w:tcPr>
          <w:p>
            <w:pPr>
              <w:spacing w:after="0"/>
              <w:rPr>
                <w:sz w:val="16"/>
                <w:szCs w:val="16"/>
                <w:color w:val="auto"/>
              </w:rPr>
            </w:pPr>
          </w:p>
        </w:tc>
        <w:tc>
          <w:tcPr>
            <w:tcW w:w="960" w:type="dxa"/>
            <w:vAlign w:val="bottom"/>
            <w:shd w:val="clear" w:color="auto" w:fill="D0EBF2"/>
          </w:tcPr>
          <w:p>
            <w:pPr>
              <w:spacing w:after="0"/>
              <w:rPr>
                <w:sz w:val="16"/>
                <w:szCs w:val="16"/>
                <w:color w:val="auto"/>
              </w:rPr>
            </w:pPr>
          </w:p>
        </w:tc>
        <w:tc>
          <w:tcPr>
            <w:tcW w:w="200" w:type="dxa"/>
            <w:vAlign w:val="bottom"/>
            <w:shd w:val="clear" w:color="auto" w:fill="D0EBF2"/>
          </w:tcPr>
          <w:p>
            <w:pPr>
              <w:spacing w:after="0"/>
              <w:rPr>
                <w:sz w:val="16"/>
                <w:szCs w:val="16"/>
                <w:color w:val="auto"/>
              </w:rPr>
            </w:pPr>
          </w:p>
        </w:tc>
        <w:tc>
          <w:tcPr>
            <w:tcW w:w="900" w:type="dxa"/>
            <w:vAlign w:val="bottom"/>
            <w:shd w:val="clear" w:color="auto" w:fill="D0EBF2"/>
          </w:tcPr>
          <w:p>
            <w:pPr>
              <w:spacing w:after="0"/>
              <w:rPr>
                <w:sz w:val="16"/>
                <w:szCs w:val="16"/>
                <w:color w:val="auto"/>
              </w:rPr>
            </w:pPr>
          </w:p>
        </w:tc>
        <w:tc>
          <w:tcPr>
            <w:tcW w:w="240" w:type="dxa"/>
            <w:vAlign w:val="bottom"/>
            <w:shd w:val="clear" w:color="auto" w:fill="D0EBF2"/>
          </w:tcPr>
          <w:p>
            <w:pPr>
              <w:spacing w:after="0"/>
              <w:rPr>
                <w:sz w:val="16"/>
                <w:szCs w:val="16"/>
                <w:color w:val="auto"/>
              </w:rPr>
            </w:pPr>
          </w:p>
        </w:tc>
      </w:tr>
      <w:tr>
        <w:trPr>
          <w:trHeight w:val="158"/>
        </w:trPr>
        <w:tc>
          <w:tcPr>
            <w:tcW w:w="1440" w:type="dxa"/>
            <w:vAlign w:val="bottom"/>
            <w:shd w:val="clear" w:color="auto" w:fill="FDFDFC"/>
          </w:tcPr>
          <w:p>
            <w:pPr>
              <w:spacing w:after="0" w:line="159" w:lineRule="exact"/>
              <w:rPr>
                <w:sz w:val="20"/>
                <w:szCs w:val="20"/>
                <w:color w:val="auto"/>
              </w:rPr>
            </w:pPr>
            <w:r>
              <w:rPr>
                <w:rFonts w:ascii="Times New Roman" w:cs="Times New Roman" w:eastAsia="Times New Roman" w:hAnsi="Times New Roman"/>
                <w:sz w:val="15"/>
                <w:szCs w:val="15"/>
                <w:color w:val="231F20"/>
              </w:rPr>
              <w:t>Higher Logic, LLC</w:t>
            </w:r>
          </w:p>
        </w:tc>
        <w:tc>
          <w:tcPr>
            <w:tcW w:w="2480" w:type="dxa"/>
            <w:vAlign w:val="bottom"/>
            <w:shd w:val="clear" w:color="auto" w:fill="FDFDFC"/>
          </w:tcPr>
          <w:p>
            <w:pPr>
              <w:ind w:left="80"/>
              <w:spacing w:after="0" w:line="159" w:lineRule="exact"/>
              <w:rPr>
                <w:sz w:val="20"/>
                <w:szCs w:val="20"/>
                <w:color w:val="auto"/>
              </w:rPr>
            </w:pPr>
            <w:r>
              <w:rPr>
                <w:rFonts w:ascii="Times New Roman" w:cs="Times New Roman" w:eastAsia="Times New Roman" w:hAnsi="Times New Roman"/>
                <w:sz w:val="15"/>
                <w:szCs w:val="15"/>
                <w:color w:val="231F20"/>
              </w:rPr>
              <w:t>First-lien loan ($52,937 par, due</w:t>
            </w:r>
          </w:p>
        </w:tc>
        <w:tc>
          <w:tcPr>
            <w:tcW w:w="780" w:type="dxa"/>
            <w:vAlign w:val="bottom"/>
            <w:shd w:val="clear" w:color="auto" w:fill="FDFDFC"/>
          </w:tcPr>
          <w:p>
            <w:pPr>
              <w:jc w:val="right"/>
              <w:spacing w:after="0" w:line="159" w:lineRule="exact"/>
              <w:rPr>
                <w:sz w:val="20"/>
                <w:szCs w:val="20"/>
                <w:color w:val="auto"/>
              </w:rPr>
            </w:pPr>
            <w:r>
              <w:rPr>
                <w:rFonts w:ascii="Times New Roman" w:cs="Times New Roman" w:eastAsia="Times New Roman" w:hAnsi="Times New Roman"/>
                <w:sz w:val="15"/>
                <w:szCs w:val="15"/>
                <w:color w:val="231F20"/>
              </w:rPr>
              <w:t>6/18/2018</w:t>
            </w:r>
          </w:p>
        </w:tc>
        <w:tc>
          <w:tcPr>
            <w:tcW w:w="1080" w:type="dxa"/>
            <w:vAlign w:val="bottom"/>
            <w:shd w:val="clear" w:color="auto" w:fill="FDFDFC"/>
          </w:tcPr>
          <w:p>
            <w:pPr>
              <w:jc w:val="right"/>
              <w:ind w:right="124"/>
              <w:spacing w:after="0" w:line="159" w:lineRule="exact"/>
              <w:rPr>
                <w:sz w:val="20"/>
                <w:szCs w:val="20"/>
                <w:color w:val="auto"/>
              </w:rPr>
            </w:pPr>
            <w:r>
              <w:rPr>
                <w:rFonts w:ascii="Times New Roman" w:cs="Times New Roman" w:eastAsia="Times New Roman" w:hAnsi="Times New Roman"/>
                <w:sz w:val="15"/>
                <w:szCs w:val="15"/>
                <w:color w:val="231F20"/>
              </w:rPr>
              <w:t>SOFR +</w:t>
            </w:r>
          </w:p>
        </w:tc>
        <w:tc>
          <w:tcPr>
            <w:tcW w:w="1020" w:type="dxa"/>
            <w:vAlign w:val="bottom"/>
            <w:shd w:val="clear" w:color="auto" w:fill="FDFDFC"/>
          </w:tcPr>
          <w:p>
            <w:pPr>
              <w:jc w:val="right"/>
              <w:ind w:right="24"/>
              <w:spacing w:after="0" w:line="159" w:lineRule="exact"/>
              <w:rPr>
                <w:sz w:val="20"/>
                <w:szCs w:val="20"/>
                <w:color w:val="auto"/>
              </w:rPr>
            </w:pPr>
            <w:r>
              <w:rPr>
                <w:rFonts w:ascii="Times New Roman" w:cs="Times New Roman" w:eastAsia="Times New Roman" w:hAnsi="Times New Roman"/>
                <w:sz w:val="15"/>
                <w:szCs w:val="15"/>
                <w:color w:val="231F20"/>
              </w:rPr>
              <w:t>12.10%</w:t>
            </w:r>
          </w:p>
        </w:tc>
        <w:tc>
          <w:tcPr>
            <w:tcW w:w="1000" w:type="dxa"/>
            <w:vAlign w:val="bottom"/>
            <w:shd w:val="clear" w:color="auto" w:fill="FDFDFC"/>
          </w:tcPr>
          <w:p>
            <w:pPr>
              <w:jc w:val="right"/>
              <w:spacing w:after="0" w:line="159" w:lineRule="exact"/>
              <w:rPr>
                <w:sz w:val="20"/>
                <w:szCs w:val="20"/>
                <w:color w:val="auto"/>
              </w:rPr>
            </w:pPr>
            <w:r>
              <w:rPr>
                <w:rFonts w:ascii="Times New Roman" w:cs="Times New Roman" w:eastAsia="Times New Roman" w:hAnsi="Times New Roman"/>
                <w:sz w:val="15"/>
                <w:szCs w:val="15"/>
                <w:color w:val="231F20"/>
              </w:rPr>
              <w:t>52,781</w:t>
            </w:r>
          </w:p>
        </w:tc>
        <w:tc>
          <w:tcPr>
            <w:tcW w:w="1140" w:type="dxa"/>
            <w:vAlign w:val="bottom"/>
            <w:gridSpan w:val="2"/>
            <w:shd w:val="clear" w:color="auto" w:fill="FDFDFC"/>
          </w:tcPr>
          <w:p>
            <w:pPr>
              <w:jc w:val="right"/>
              <w:spacing w:after="0" w:line="159" w:lineRule="exact"/>
              <w:rPr>
                <w:sz w:val="20"/>
                <w:szCs w:val="20"/>
                <w:color w:val="auto"/>
              </w:rPr>
            </w:pPr>
            <w:r>
              <w:rPr>
                <w:rFonts w:ascii="Times New Roman" w:cs="Times New Roman" w:eastAsia="Times New Roman" w:hAnsi="Times New Roman"/>
                <w:sz w:val="15"/>
                <w:szCs w:val="15"/>
                <w:color w:val="231F20"/>
              </w:rPr>
              <w:t>53,069</w:t>
            </w:r>
          </w:p>
        </w:tc>
        <w:tc>
          <w:tcPr>
            <w:tcW w:w="1340" w:type="dxa"/>
            <w:vAlign w:val="bottom"/>
            <w:gridSpan w:val="3"/>
            <w:shd w:val="clear" w:color="auto" w:fill="FDFDFC"/>
          </w:tcPr>
          <w:p>
            <w:pPr>
              <w:jc w:val="right"/>
              <w:ind w:right="120"/>
              <w:spacing w:after="0" w:line="159" w:lineRule="exact"/>
              <w:rPr>
                <w:sz w:val="20"/>
                <w:szCs w:val="20"/>
                <w:color w:val="auto"/>
              </w:rPr>
            </w:pPr>
            <w:r>
              <w:rPr>
                <w:rFonts w:ascii="Times New Roman" w:cs="Times New Roman" w:eastAsia="Times New Roman" w:hAnsi="Times New Roman"/>
                <w:sz w:val="15"/>
                <w:szCs w:val="15"/>
                <w:color w:val="231F20"/>
              </w:rPr>
              <w:t>3.5%</w:t>
            </w:r>
          </w:p>
        </w:tc>
      </w:tr>
      <w:tr>
        <w:trPr>
          <w:trHeight w:val="189"/>
        </w:trPr>
        <w:tc>
          <w:tcPr>
            <w:tcW w:w="1440" w:type="dxa"/>
            <w:vAlign w:val="bottom"/>
            <w:shd w:val="clear" w:color="auto" w:fill="FDFDFC"/>
          </w:tcPr>
          <w:p>
            <w:pPr>
              <w:spacing w:after="0"/>
              <w:rPr>
                <w:sz w:val="20"/>
                <w:szCs w:val="20"/>
                <w:color w:val="auto"/>
              </w:rPr>
            </w:pPr>
            <w:r>
              <w:rPr>
                <w:rFonts w:ascii="Times New Roman" w:cs="Times New Roman" w:eastAsia="Times New Roman" w:hAnsi="Times New Roman"/>
                <w:sz w:val="9"/>
                <w:szCs w:val="9"/>
                <w:color w:val="231F20"/>
              </w:rPr>
              <w:t>(3)(5)</w:t>
            </w:r>
          </w:p>
        </w:tc>
        <w:tc>
          <w:tcPr>
            <w:tcW w:w="2480" w:type="dxa"/>
            <w:vAlign w:val="bottom"/>
            <w:shd w:val="clear" w:color="auto" w:fill="FDFDFC"/>
          </w:tcPr>
          <w:p>
            <w:pPr>
              <w:ind w:left="80"/>
              <w:spacing w:after="0"/>
              <w:rPr>
                <w:sz w:val="20"/>
                <w:szCs w:val="20"/>
                <w:color w:val="auto"/>
              </w:rPr>
            </w:pPr>
            <w:r>
              <w:rPr>
                <w:rFonts w:ascii="Times New Roman" w:cs="Times New Roman" w:eastAsia="Times New Roman" w:hAnsi="Times New Roman"/>
                <w:sz w:val="15"/>
                <w:szCs w:val="15"/>
                <w:color w:val="231F20"/>
              </w:rPr>
              <w:t>1/2025)</w:t>
            </w:r>
          </w:p>
        </w:tc>
        <w:tc>
          <w:tcPr>
            <w:tcW w:w="780" w:type="dxa"/>
            <w:vAlign w:val="bottom"/>
            <w:shd w:val="clear" w:color="auto" w:fill="FDFDFC"/>
          </w:tcPr>
          <w:p>
            <w:pPr>
              <w:spacing w:after="0"/>
              <w:rPr>
                <w:sz w:val="16"/>
                <w:szCs w:val="16"/>
                <w:color w:val="auto"/>
              </w:rPr>
            </w:pPr>
          </w:p>
        </w:tc>
        <w:tc>
          <w:tcPr>
            <w:tcW w:w="1080" w:type="dxa"/>
            <w:vAlign w:val="bottom"/>
            <w:shd w:val="clear" w:color="auto" w:fill="FDFDFC"/>
          </w:tcPr>
          <w:p>
            <w:pPr>
              <w:jc w:val="right"/>
              <w:ind w:right="124"/>
              <w:spacing w:after="0"/>
              <w:rPr>
                <w:sz w:val="20"/>
                <w:szCs w:val="20"/>
                <w:color w:val="auto"/>
              </w:rPr>
            </w:pPr>
            <w:r>
              <w:rPr>
                <w:rFonts w:ascii="Times New Roman" w:cs="Times New Roman" w:eastAsia="Times New Roman" w:hAnsi="Times New Roman"/>
                <w:sz w:val="15"/>
                <w:szCs w:val="15"/>
                <w:color w:val="231F20"/>
              </w:rPr>
              <w:t>6.75%</w:t>
            </w:r>
          </w:p>
        </w:tc>
        <w:tc>
          <w:tcPr>
            <w:tcW w:w="1020" w:type="dxa"/>
            <w:vAlign w:val="bottom"/>
            <w:shd w:val="clear" w:color="auto" w:fill="FDFDFC"/>
          </w:tcPr>
          <w:p>
            <w:pPr>
              <w:spacing w:after="0"/>
              <w:rPr>
                <w:sz w:val="16"/>
                <w:szCs w:val="16"/>
                <w:color w:val="auto"/>
              </w:rPr>
            </w:pPr>
          </w:p>
        </w:tc>
        <w:tc>
          <w:tcPr>
            <w:tcW w:w="1000" w:type="dxa"/>
            <w:vAlign w:val="bottom"/>
            <w:shd w:val="clear" w:color="auto" w:fill="FDFDFC"/>
          </w:tcPr>
          <w:p>
            <w:pPr>
              <w:spacing w:after="0"/>
              <w:rPr>
                <w:sz w:val="16"/>
                <w:szCs w:val="16"/>
                <w:color w:val="auto"/>
              </w:rPr>
            </w:pPr>
          </w:p>
        </w:tc>
        <w:tc>
          <w:tcPr>
            <w:tcW w:w="180" w:type="dxa"/>
            <w:vAlign w:val="bottom"/>
            <w:shd w:val="clear" w:color="auto" w:fill="FDFDFC"/>
          </w:tcPr>
          <w:p>
            <w:pPr>
              <w:spacing w:after="0"/>
              <w:rPr>
                <w:sz w:val="16"/>
                <w:szCs w:val="16"/>
                <w:color w:val="auto"/>
              </w:rPr>
            </w:pPr>
          </w:p>
        </w:tc>
        <w:tc>
          <w:tcPr>
            <w:tcW w:w="960" w:type="dxa"/>
            <w:vAlign w:val="bottom"/>
            <w:shd w:val="clear" w:color="auto" w:fill="FDFDFC"/>
          </w:tcPr>
          <w:p>
            <w:pPr>
              <w:spacing w:after="0"/>
              <w:rPr>
                <w:sz w:val="16"/>
                <w:szCs w:val="16"/>
                <w:color w:val="auto"/>
              </w:rPr>
            </w:pPr>
          </w:p>
        </w:tc>
        <w:tc>
          <w:tcPr>
            <w:tcW w:w="200" w:type="dxa"/>
            <w:vAlign w:val="bottom"/>
            <w:shd w:val="clear" w:color="auto" w:fill="FDFDFC"/>
          </w:tcPr>
          <w:p>
            <w:pPr>
              <w:spacing w:after="0"/>
              <w:rPr>
                <w:sz w:val="16"/>
                <w:szCs w:val="16"/>
                <w:color w:val="auto"/>
              </w:rPr>
            </w:pPr>
          </w:p>
        </w:tc>
        <w:tc>
          <w:tcPr>
            <w:tcW w:w="900" w:type="dxa"/>
            <w:vAlign w:val="bottom"/>
            <w:shd w:val="clear" w:color="auto" w:fill="FDFDFC"/>
          </w:tcPr>
          <w:p>
            <w:pPr>
              <w:spacing w:after="0"/>
              <w:rPr>
                <w:sz w:val="16"/>
                <w:szCs w:val="16"/>
                <w:color w:val="auto"/>
              </w:rPr>
            </w:pPr>
          </w:p>
        </w:tc>
        <w:tc>
          <w:tcPr>
            <w:tcW w:w="240" w:type="dxa"/>
            <w:vAlign w:val="bottom"/>
            <w:shd w:val="clear" w:color="auto" w:fill="FDFDFC"/>
          </w:tcPr>
          <w:p>
            <w:pPr>
              <w:spacing w:after="0"/>
              <w:rPr>
                <w:sz w:val="16"/>
                <w:szCs w:val="16"/>
                <w:color w:val="auto"/>
              </w:rPr>
            </w:pPr>
          </w:p>
        </w:tc>
      </w:tr>
      <w:tr>
        <w:trPr>
          <w:trHeight w:val="158"/>
        </w:trPr>
        <w:tc>
          <w:tcPr>
            <w:tcW w:w="1440" w:type="dxa"/>
            <w:vAlign w:val="bottom"/>
            <w:shd w:val="clear" w:color="auto" w:fill="D0EBF2"/>
          </w:tcPr>
          <w:p>
            <w:pPr>
              <w:spacing w:after="0" w:line="159" w:lineRule="exact"/>
              <w:rPr>
                <w:sz w:val="20"/>
                <w:szCs w:val="20"/>
                <w:color w:val="auto"/>
              </w:rPr>
            </w:pPr>
            <w:r>
              <w:rPr>
                <w:rFonts w:ascii="Times New Roman" w:cs="Times New Roman" w:eastAsia="Times New Roman" w:hAnsi="Times New Roman"/>
                <w:sz w:val="15"/>
                <w:szCs w:val="15"/>
                <w:color w:val="231F20"/>
              </w:rPr>
              <w:t>LeanTaaS Holdings,</w:t>
            </w:r>
          </w:p>
        </w:tc>
        <w:tc>
          <w:tcPr>
            <w:tcW w:w="2480" w:type="dxa"/>
            <w:vAlign w:val="bottom"/>
            <w:shd w:val="clear" w:color="auto" w:fill="D0EBF2"/>
          </w:tcPr>
          <w:p>
            <w:pPr>
              <w:ind w:left="80"/>
              <w:spacing w:after="0" w:line="159" w:lineRule="exact"/>
              <w:rPr>
                <w:sz w:val="20"/>
                <w:szCs w:val="20"/>
                <w:color w:val="auto"/>
              </w:rPr>
            </w:pPr>
            <w:r>
              <w:rPr>
                <w:rFonts w:ascii="Times New Roman" w:cs="Times New Roman" w:eastAsia="Times New Roman" w:hAnsi="Times New Roman"/>
                <w:sz w:val="15"/>
                <w:szCs w:val="15"/>
                <w:color w:val="231F20"/>
              </w:rPr>
              <w:t>First-lien loan ($36,966 par, due</w:t>
            </w:r>
          </w:p>
        </w:tc>
        <w:tc>
          <w:tcPr>
            <w:tcW w:w="780" w:type="dxa"/>
            <w:vAlign w:val="bottom"/>
            <w:shd w:val="clear" w:color="auto" w:fill="D0EBF2"/>
          </w:tcPr>
          <w:p>
            <w:pPr>
              <w:jc w:val="right"/>
              <w:spacing w:after="0" w:line="159" w:lineRule="exact"/>
              <w:rPr>
                <w:sz w:val="20"/>
                <w:szCs w:val="20"/>
                <w:color w:val="auto"/>
              </w:rPr>
            </w:pPr>
            <w:r>
              <w:rPr>
                <w:rFonts w:ascii="Times New Roman" w:cs="Times New Roman" w:eastAsia="Times New Roman" w:hAnsi="Times New Roman"/>
                <w:sz w:val="15"/>
                <w:szCs w:val="15"/>
                <w:color w:val="231F20"/>
              </w:rPr>
              <w:t>7/12/2022</w:t>
            </w:r>
          </w:p>
        </w:tc>
        <w:tc>
          <w:tcPr>
            <w:tcW w:w="1080" w:type="dxa"/>
            <w:vAlign w:val="bottom"/>
            <w:shd w:val="clear" w:color="auto" w:fill="D0EBF2"/>
          </w:tcPr>
          <w:p>
            <w:pPr>
              <w:jc w:val="right"/>
              <w:ind w:right="124"/>
              <w:spacing w:after="0" w:line="159" w:lineRule="exact"/>
              <w:rPr>
                <w:sz w:val="20"/>
                <w:szCs w:val="20"/>
                <w:color w:val="auto"/>
              </w:rPr>
            </w:pPr>
            <w:r>
              <w:rPr>
                <w:rFonts w:ascii="Times New Roman" w:cs="Times New Roman" w:eastAsia="Times New Roman" w:hAnsi="Times New Roman"/>
                <w:sz w:val="15"/>
                <w:szCs w:val="15"/>
                <w:color w:val="231F20"/>
              </w:rPr>
              <w:t>SOFR +</w:t>
            </w:r>
          </w:p>
        </w:tc>
        <w:tc>
          <w:tcPr>
            <w:tcW w:w="1020" w:type="dxa"/>
            <w:vAlign w:val="bottom"/>
            <w:shd w:val="clear" w:color="auto" w:fill="D0EBF2"/>
          </w:tcPr>
          <w:p>
            <w:pPr>
              <w:jc w:val="right"/>
              <w:ind w:right="24"/>
              <w:spacing w:after="0" w:line="159" w:lineRule="exact"/>
              <w:rPr>
                <w:sz w:val="20"/>
                <w:szCs w:val="20"/>
                <w:color w:val="auto"/>
              </w:rPr>
            </w:pPr>
            <w:r>
              <w:rPr>
                <w:rFonts w:ascii="Times New Roman" w:cs="Times New Roman" w:eastAsia="Times New Roman" w:hAnsi="Times New Roman"/>
                <w:sz w:val="15"/>
                <w:szCs w:val="15"/>
                <w:color w:val="231F20"/>
              </w:rPr>
              <w:t>12.85%</w:t>
            </w:r>
          </w:p>
        </w:tc>
        <w:tc>
          <w:tcPr>
            <w:tcW w:w="1000" w:type="dxa"/>
            <w:vAlign w:val="bottom"/>
            <w:shd w:val="clear" w:color="auto" w:fill="D0EBF2"/>
          </w:tcPr>
          <w:p>
            <w:pPr>
              <w:jc w:val="right"/>
              <w:spacing w:after="0" w:line="159" w:lineRule="exact"/>
              <w:rPr>
                <w:sz w:val="20"/>
                <w:szCs w:val="20"/>
                <w:color w:val="auto"/>
              </w:rPr>
            </w:pPr>
            <w:r>
              <w:rPr>
                <w:rFonts w:ascii="Times New Roman" w:cs="Times New Roman" w:eastAsia="Times New Roman" w:hAnsi="Times New Roman"/>
                <w:sz w:val="15"/>
                <w:szCs w:val="15"/>
                <w:color w:val="231F20"/>
              </w:rPr>
              <w:t>36,190</w:t>
            </w:r>
          </w:p>
        </w:tc>
        <w:tc>
          <w:tcPr>
            <w:tcW w:w="1140" w:type="dxa"/>
            <w:vAlign w:val="bottom"/>
            <w:gridSpan w:val="2"/>
            <w:shd w:val="clear" w:color="auto" w:fill="D0EBF2"/>
          </w:tcPr>
          <w:p>
            <w:pPr>
              <w:jc w:val="right"/>
              <w:spacing w:after="0" w:line="159" w:lineRule="exact"/>
              <w:rPr>
                <w:sz w:val="20"/>
                <w:szCs w:val="20"/>
                <w:color w:val="auto"/>
              </w:rPr>
            </w:pPr>
            <w:r>
              <w:rPr>
                <w:rFonts w:ascii="Times New Roman" w:cs="Times New Roman" w:eastAsia="Times New Roman" w:hAnsi="Times New Roman"/>
                <w:sz w:val="15"/>
                <w:szCs w:val="15"/>
                <w:color w:val="231F20"/>
              </w:rPr>
              <w:t>37,411</w:t>
            </w:r>
          </w:p>
        </w:tc>
        <w:tc>
          <w:tcPr>
            <w:tcW w:w="1340" w:type="dxa"/>
            <w:vAlign w:val="bottom"/>
            <w:gridSpan w:val="3"/>
            <w:shd w:val="clear" w:color="auto" w:fill="D0EBF2"/>
          </w:tcPr>
          <w:p>
            <w:pPr>
              <w:jc w:val="right"/>
              <w:ind w:right="120"/>
              <w:spacing w:after="0" w:line="159" w:lineRule="exact"/>
              <w:rPr>
                <w:sz w:val="20"/>
                <w:szCs w:val="20"/>
                <w:color w:val="auto"/>
              </w:rPr>
            </w:pPr>
            <w:r>
              <w:rPr>
                <w:rFonts w:ascii="Times New Roman" w:cs="Times New Roman" w:eastAsia="Times New Roman" w:hAnsi="Times New Roman"/>
                <w:sz w:val="15"/>
                <w:szCs w:val="15"/>
                <w:color w:val="231F20"/>
              </w:rPr>
              <w:t>2.5%</w:t>
            </w:r>
          </w:p>
        </w:tc>
      </w:tr>
      <w:tr>
        <w:trPr>
          <w:trHeight w:val="189"/>
        </w:trPr>
        <w:tc>
          <w:tcPr>
            <w:tcW w:w="1440" w:type="dxa"/>
            <w:vAlign w:val="bottom"/>
            <w:shd w:val="clear" w:color="auto" w:fill="D0EBF2"/>
          </w:tcPr>
          <w:p>
            <w:pPr>
              <w:spacing w:after="0" w:line="190" w:lineRule="exact"/>
              <w:rPr>
                <w:sz w:val="20"/>
                <w:szCs w:val="20"/>
                <w:color w:val="auto"/>
              </w:rPr>
            </w:pPr>
            <w:r>
              <w:rPr>
                <w:rFonts w:ascii="Times New Roman" w:cs="Times New Roman" w:eastAsia="Times New Roman" w:hAnsi="Times New Roman"/>
                <w:sz w:val="21"/>
                <w:szCs w:val="21"/>
                <w:color w:val="231F20"/>
                <w:vertAlign w:val="subscript"/>
              </w:rPr>
              <w:t>Inc.</w:t>
            </w:r>
            <w:r>
              <w:rPr>
                <w:rFonts w:ascii="Times New Roman" w:cs="Times New Roman" w:eastAsia="Times New Roman" w:hAnsi="Times New Roman"/>
                <w:sz w:val="8"/>
                <w:szCs w:val="8"/>
                <w:color w:val="231F20"/>
              </w:rPr>
              <w:t xml:space="preserve"> (3)(5)</w:t>
            </w:r>
          </w:p>
        </w:tc>
        <w:tc>
          <w:tcPr>
            <w:tcW w:w="2480" w:type="dxa"/>
            <w:vAlign w:val="bottom"/>
            <w:shd w:val="clear" w:color="auto" w:fill="D0EBF2"/>
          </w:tcPr>
          <w:p>
            <w:pPr>
              <w:ind w:left="80"/>
              <w:spacing w:after="0"/>
              <w:rPr>
                <w:sz w:val="20"/>
                <w:szCs w:val="20"/>
                <w:color w:val="auto"/>
              </w:rPr>
            </w:pPr>
            <w:r>
              <w:rPr>
                <w:rFonts w:ascii="Times New Roman" w:cs="Times New Roman" w:eastAsia="Times New Roman" w:hAnsi="Times New Roman"/>
                <w:sz w:val="15"/>
                <w:szCs w:val="15"/>
                <w:color w:val="231F20"/>
              </w:rPr>
              <w:t>7/2028)</w:t>
            </w:r>
          </w:p>
        </w:tc>
        <w:tc>
          <w:tcPr>
            <w:tcW w:w="780" w:type="dxa"/>
            <w:vAlign w:val="bottom"/>
            <w:shd w:val="clear" w:color="auto" w:fill="D0EBF2"/>
          </w:tcPr>
          <w:p>
            <w:pPr>
              <w:spacing w:after="0"/>
              <w:rPr>
                <w:sz w:val="16"/>
                <w:szCs w:val="16"/>
                <w:color w:val="auto"/>
              </w:rPr>
            </w:pPr>
          </w:p>
        </w:tc>
        <w:tc>
          <w:tcPr>
            <w:tcW w:w="1080" w:type="dxa"/>
            <w:vAlign w:val="bottom"/>
            <w:shd w:val="clear" w:color="auto" w:fill="D0EBF2"/>
          </w:tcPr>
          <w:p>
            <w:pPr>
              <w:jc w:val="right"/>
              <w:ind w:right="124"/>
              <w:spacing w:after="0"/>
              <w:rPr>
                <w:sz w:val="20"/>
                <w:szCs w:val="20"/>
                <w:color w:val="auto"/>
              </w:rPr>
            </w:pPr>
            <w:r>
              <w:rPr>
                <w:rFonts w:ascii="Times New Roman" w:cs="Times New Roman" w:eastAsia="Times New Roman" w:hAnsi="Times New Roman"/>
                <w:sz w:val="15"/>
                <w:szCs w:val="15"/>
                <w:color w:val="231F20"/>
              </w:rPr>
              <w:t>7.50%</w:t>
            </w:r>
          </w:p>
        </w:tc>
        <w:tc>
          <w:tcPr>
            <w:tcW w:w="1020" w:type="dxa"/>
            <w:vAlign w:val="bottom"/>
            <w:shd w:val="clear" w:color="auto" w:fill="D0EBF2"/>
          </w:tcPr>
          <w:p>
            <w:pPr>
              <w:spacing w:after="0"/>
              <w:rPr>
                <w:sz w:val="16"/>
                <w:szCs w:val="16"/>
                <w:color w:val="auto"/>
              </w:rPr>
            </w:pPr>
          </w:p>
        </w:tc>
        <w:tc>
          <w:tcPr>
            <w:tcW w:w="1000" w:type="dxa"/>
            <w:vAlign w:val="bottom"/>
            <w:shd w:val="clear" w:color="auto" w:fill="D0EBF2"/>
          </w:tcPr>
          <w:p>
            <w:pPr>
              <w:spacing w:after="0"/>
              <w:rPr>
                <w:sz w:val="16"/>
                <w:szCs w:val="16"/>
                <w:color w:val="auto"/>
              </w:rPr>
            </w:pPr>
          </w:p>
        </w:tc>
        <w:tc>
          <w:tcPr>
            <w:tcW w:w="180" w:type="dxa"/>
            <w:vAlign w:val="bottom"/>
            <w:shd w:val="clear" w:color="auto" w:fill="D0EBF2"/>
          </w:tcPr>
          <w:p>
            <w:pPr>
              <w:spacing w:after="0"/>
              <w:rPr>
                <w:sz w:val="16"/>
                <w:szCs w:val="16"/>
                <w:color w:val="auto"/>
              </w:rPr>
            </w:pPr>
          </w:p>
        </w:tc>
        <w:tc>
          <w:tcPr>
            <w:tcW w:w="960" w:type="dxa"/>
            <w:vAlign w:val="bottom"/>
            <w:shd w:val="clear" w:color="auto" w:fill="D0EBF2"/>
          </w:tcPr>
          <w:p>
            <w:pPr>
              <w:spacing w:after="0"/>
              <w:rPr>
                <w:sz w:val="16"/>
                <w:szCs w:val="16"/>
                <w:color w:val="auto"/>
              </w:rPr>
            </w:pPr>
          </w:p>
        </w:tc>
        <w:tc>
          <w:tcPr>
            <w:tcW w:w="200" w:type="dxa"/>
            <w:vAlign w:val="bottom"/>
            <w:shd w:val="clear" w:color="auto" w:fill="D0EBF2"/>
          </w:tcPr>
          <w:p>
            <w:pPr>
              <w:spacing w:after="0"/>
              <w:rPr>
                <w:sz w:val="16"/>
                <w:szCs w:val="16"/>
                <w:color w:val="auto"/>
              </w:rPr>
            </w:pPr>
          </w:p>
        </w:tc>
        <w:tc>
          <w:tcPr>
            <w:tcW w:w="900" w:type="dxa"/>
            <w:vAlign w:val="bottom"/>
            <w:shd w:val="clear" w:color="auto" w:fill="D0EBF2"/>
          </w:tcPr>
          <w:p>
            <w:pPr>
              <w:spacing w:after="0"/>
              <w:rPr>
                <w:sz w:val="16"/>
                <w:szCs w:val="16"/>
                <w:color w:val="auto"/>
              </w:rPr>
            </w:pPr>
          </w:p>
        </w:tc>
        <w:tc>
          <w:tcPr>
            <w:tcW w:w="240" w:type="dxa"/>
            <w:vAlign w:val="bottom"/>
            <w:shd w:val="clear" w:color="auto" w:fill="D0EBF2"/>
          </w:tcPr>
          <w:p>
            <w:pPr>
              <w:spacing w:after="0"/>
              <w:rPr>
                <w:sz w:val="16"/>
                <w:szCs w:val="16"/>
                <w:color w:val="auto"/>
              </w:rPr>
            </w:pPr>
          </w:p>
        </w:tc>
      </w:tr>
      <w:tr>
        <w:trPr>
          <w:trHeight w:val="158"/>
        </w:trPr>
        <w:tc>
          <w:tcPr>
            <w:tcW w:w="1440" w:type="dxa"/>
            <w:vAlign w:val="bottom"/>
            <w:shd w:val="clear" w:color="auto" w:fill="FDFDFC"/>
          </w:tcPr>
          <w:p>
            <w:pPr>
              <w:spacing w:after="0" w:line="159" w:lineRule="exact"/>
              <w:rPr>
                <w:sz w:val="20"/>
                <w:szCs w:val="20"/>
                <w:color w:val="auto"/>
              </w:rPr>
            </w:pPr>
            <w:r>
              <w:rPr>
                <w:rFonts w:ascii="Times New Roman" w:cs="Times New Roman" w:eastAsia="Times New Roman" w:hAnsi="Times New Roman"/>
                <w:sz w:val="15"/>
                <w:szCs w:val="15"/>
                <w:color w:val="231F20"/>
              </w:rPr>
              <w:t>Lithium Technologies,</w:t>
            </w:r>
          </w:p>
        </w:tc>
        <w:tc>
          <w:tcPr>
            <w:tcW w:w="2480" w:type="dxa"/>
            <w:vAlign w:val="bottom"/>
            <w:shd w:val="clear" w:color="auto" w:fill="FDFDFC"/>
          </w:tcPr>
          <w:p>
            <w:pPr>
              <w:ind w:left="80"/>
              <w:spacing w:after="0" w:line="159" w:lineRule="exact"/>
              <w:rPr>
                <w:sz w:val="20"/>
                <w:szCs w:val="20"/>
                <w:color w:val="auto"/>
              </w:rPr>
            </w:pPr>
            <w:r>
              <w:rPr>
                <w:rFonts w:ascii="Times New Roman" w:cs="Times New Roman" w:eastAsia="Times New Roman" w:hAnsi="Times New Roman"/>
                <w:sz w:val="15"/>
                <w:szCs w:val="15"/>
                <w:color w:val="231F20"/>
              </w:rPr>
              <w:t>First-lien loan ($57,665 par, due</w:t>
            </w:r>
          </w:p>
        </w:tc>
        <w:tc>
          <w:tcPr>
            <w:tcW w:w="780" w:type="dxa"/>
            <w:vAlign w:val="bottom"/>
            <w:shd w:val="clear" w:color="auto" w:fill="FDFDFC"/>
          </w:tcPr>
          <w:p>
            <w:pPr>
              <w:jc w:val="right"/>
              <w:spacing w:after="0" w:line="159" w:lineRule="exact"/>
              <w:rPr>
                <w:sz w:val="20"/>
                <w:szCs w:val="20"/>
                <w:color w:val="auto"/>
              </w:rPr>
            </w:pPr>
            <w:r>
              <w:rPr>
                <w:rFonts w:ascii="Times New Roman" w:cs="Times New Roman" w:eastAsia="Times New Roman" w:hAnsi="Times New Roman"/>
                <w:sz w:val="15"/>
                <w:szCs w:val="15"/>
                <w:color w:val="231F20"/>
              </w:rPr>
              <w:t>10/3/2017</w:t>
            </w:r>
          </w:p>
        </w:tc>
        <w:tc>
          <w:tcPr>
            <w:tcW w:w="1080" w:type="dxa"/>
            <w:vAlign w:val="bottom"/>
            <w:shd w:val="clear" w:color="auto" w:fill="FDFDFC"/>
          </w:tcPr>
          <w:p>
            <w:pPr>
              <w:jc w:val="right"/>
              <w:ind w:right="124"/>
              <w:spacing w:after="0" w:line="159" w:lineRule="exact"/>
              <w:rPr>
                <w:sz w:val="20"/>
                <w:szCs w:val="20"/>
                <w:color w:val="auto"/>
              </w:rPr>
            </w:pPr>
            <w:r>
              <w:rPr>
                <w:rFonts w:ascii="Times New Roman" w:cs="Times New Roman" w:eastAsia="Times New Roman" w:hAnsi="Times New Roman"/>
                <w:sz w:val="15"/>
                <w:szCs w:val="15"/>
                <w:color w:val="231F20"/>
              </w:rPr>
              <w:t>SOFR +</w:t>
            </w:r>
          </w:p>
        </w:tc>
        <w:tc>
          <w:tcPr>
            <w:tcW w:w="1020" w:type="dxa"/>
            <w:vAlign w:val="bottom"/>
            <w:shd w:val="clear" w:color="auto" w:fill="FDFDFC"/>
          </w:tcPr>
          <w:p>
            <w:pPr>
              <w:jc w:val="right"/>
              <w:ind w:right="164"/>
              <w:spacing w:after="0" w:line="159" w:lineRule="exact"/>
              <w:rPr>
                <w:sz w:val="20"/>
                <w:szCs w:val="20"/>
                <w:color w:val="auto"/>
              </w:rPr>
            </w:pPr>
            <w:r>
              <w:rPr>
                <w:rFonts w:ascii="Times New Roman" w:cs="Times New Roman" w:eastAsia="Times New Roman" w:hAnsi="Times New Roman"/>
                <w:sz w:val="15"/>
                <w:szCs w:val="15"/>
                <w:color w:val="231F20"/>
              </w:rPr>
              <w:t>14.39%</w:t>
            </w:r>
          </w:p>
        </w:tc>
        <w:tc>
          <w:tcPr>
            <w:tcW w:w="1000" w:type="dxa"/>
            <w:vAlign w:val="bottom"/>
            <w:shd w:val="clear" w:color="auto" w:fill="FDFDFC"/>
          </w:tcPr>
          <w:p>
            <w:pPr>
              <w:jc w:val="right"/>
              <w:spacing w:after="0" w:line="159" w:lineRule="exact"/>
              <w:rPr>
                <w:sz w:val="20"/>
                <w:szCs w:val="20"/>
                <w:color w:val="auto"/>
              </w:rPr>
            </w:pPr>
            <w:r>
              <w:rPr>
                <w:rFonts w:ascii="Times New Roman" w:cs="Times New Roman" w:eastAsia="Times New Roman" w:hAnsi="Times New Roman"/>
                <w:sz w:val="15"/>
                <w:szCs w:val="15"/>
                <w:color w:val="231F20"/>
              </w:rPr>
              <w:t>57,673</w:t>
            </w:r>
          </w:p>
        </w:tc>
        <w:tc>
          <w:tcPr>
            <w:tcW w:w="1140" w:type="dxa"/>
            <w:vAlign w:val="bottom"/>
            <w:gridSpan w:val="2"/>
            <w:shd w:val="clear" w:color="auto" w:fill="FDFDFC"/>
          </w:tcPr>
          <w:p>
            <w:pPr>
              <w:jc w:val="right"/>
              <w:spacing w:after="0" w:line="159" w:lineRule="exact"/>
              <w:rPr>
                <w:sz w:val="20"/>
                <w:szCs w:val="20"/>
                <w:color w:val="auto"/>
              </w:rPr>
            </w:pPr>
            <w:r>
              <w:rPr>
                <w:rFonts w:ascii="Times New Roman" w:cs="Times New Roman" w:eastAsia="Times New Roman" w:hAnsi="Times New Roman"/>
                <w:sz w:val="15"/>
                <w:szCs w:val="15"/>
                <w:color w:val="231F20"/>
              </w:rPr>
              <w:t>56,367</w:t>
            </w:r>
          </w:p>
        </w:tc>
        <w:tc>
          <w:tcPr>
            <w:tcW w:w="1340" w:type="dxa"/>
            <w:vAlign w:val="bottom"/>
            <w:gridSpan w:val="3"/>
            <w:shd w:val="clear" w:color="auto" w:fill="FDFDFC"/>
          </w:tcPr>
          <w:p>
            <w:pPr>
              <w:jc w:val="right"/>
              <w:ind w:right="120"/>
              <w:spacing w:after="0" w:line="159" w:lineRule="exact"/>
              <w:rPr>
                <w:sz w:val="20"/>
                <w:szCs w:val="20"/>
                <w:color w:val="auto"/>
              </w:rPr>
            </w:pPr>
            <w:r>
              <w:rPr>
                <w:rFonts w:ascii="Times New Roman" w:cs="Times New Roman" w:eastAsia="Times New Roman" w:hAnsi="Times New Roman"/>
                <w:sz w:val="15"/>
                <w:szCs w:val="15"/>
                <w:color w:val="231F20"/>
              </w:rPr>
              <w:t>3.8%</w:t>
            </w:r>
          </w:p>
        </w:tc>
      </w:tr>
      <w:tr>
        <w:trPr>
          <w:trHeight w:val="174"/>
        </w:trPr>
        <w:tc>
          <w:tcPr>
            <w:tcW w:w="1440" w:type="dxa"/>
            <w:vAlign w:val="bottom"/>
            <w:shd w:val="clear" w:color="auto" w:fill="FDFDFC"/>
          </w:tcPr>
          <w:p>
            <w:pPr>
              <w:spacing w:after="0"/>
              <w:rPr>
                <w:sz w:val="20"/>
                <w:szCs w:val="20"/>
                <w:color w:val="auto"/>
              </w:rPr>
            </w:pPr>
            <w:r>
              <w:rPr>
                <w:rFonts w:ascii="Times New Roman" w:cs="Times New Roman" w:eastAsia="Times New Roman" w:hAnsi="Times New Roman"/>
                <w:sz w:val="15"/>
                <w:szCs w:val="15"/>
                <w:color w:val="231F20"/>
              </w:rPr>
              <w:t xml:space="preserve">LLC </w:t>
            </w:r>
            <w:r>
              <w:rPr>
                <w:rFonts w:ascii="Times New Roman" w:cs="Times New Roman" w:eastAsia="Times New Roman" w:hAnsi="Times New Roman"/>
                <w:sz w:val="9"/>
                <w:szCs w:val="9"/>
                <w:color w:val="231F20"/>
              </w:rPr>
              <w:t>(3)</w:t>
            </w:r>
          </w:p>
        </w:tc>
        <w:tc>
          <w:tcPr>
            <w:tcW w:w="2480" w:type="dxa"/>
            <w:vAlign w:val="bottom"/>
            <w:shd w:val="clear" w:color="auto" w:fill="FDFDFC"/>
          </w:tcPr>
          <w:p>
            <w:pPr>
              <w:ind w:left="80"/>
              <w:spacing w:after="0"/>
              <w:rPr>
                <w:sz w:val="20"/>
                <w:szCs w:val="20"/>
                <w:color w:val="auto"/>
              </w:rPr>
            </w:pPr>
            <w:r>
              <w:rPr>
                <w:rFonts w:ascii="Times New Roman" w:cs="Times New Roman" w:eastAsia="Times New Roman" w:hAnsi="Times New Roman"/>
                <w:sz w:val="15"/>
                <w:szCs w:val="15"/>
                <w:color w:val="231F20"/>
              </w:rPr>
              <w:t>1/2025)</w:t>
            </w:r>
          </w:p>
        </w:tc>
        <w:tc>
          <w:tcPr>
            <w:tcW w:w="780" w:type="dxa"/>
            <w:vAlign w:val="bottom"/>
            <w:shd w:val="clear" w:color="auto" w:fill="FDFDFC"/>
          </w:tcPr>
          <w:p>
            <w:pPr>
              <w:spacing w:after="0"/>
              <w:rPr>
                <w:sz w:val="15"/>
                <w:szCs w:val="15"/>
                <w:color w:val="auto"/>
              </w:rPr>
            </w:pPr>
          </w:p>
        </w:tc>
        <w:tc>
          <w:tcPr>
            <w:tcW w:w="1080" w:type="dxa"/>
            <w:vAlign w:val="bottom"/>
            <w:shd w:val="clear" w:color="auto" w:fill="FDFDFC"/>
          </w:tcPr>
          <w:p>
            <w:pPr>
              <w:jc w:val="right"/>
              <w:ind w:right="124"/>
              <w:spacing w:after="0"/>
              <w:rPr>
                <w:sz w:val="20"/>
                <w:szCs w:val="20"/>
                <w:color w:val="auto"/>
              </w:rPr>
            </w:pPr>
            <w:r>
              <w:rPr>
                <w:rFonts w:ascii="Times New Roman" w:cs="Times New Roman" w:eastAsia="Times New Roman" w:hAnsi="Times New Roman"/>
                <w:sz w:val="15"/>
                <w:szCs w:val="15"/>
                <w:color w:val="231F20"/>
              </w:rPr>
              <w:t>9.00%</w:t>
            </w:r>
          </w:p>
        </w:tc>
        <w:tc>
          <w:tcPr>
            <w:tcW w:w="1020" w:type="dxa"/>
            <w:vAlign w:val="bottom"/>
            <w:shd w:val="clear" w:color="auto" w:fill="FDFDFC"/>
          </w:tcPr>
          <w:p>
            <w:pPr>
              <w:jc w:val="right"/>
              <w:ind w:right="164"/>
              <w:spacing w:after="0"/>
              <w:rPr>
                <w:sz w:val="20"/>
                <w:szCs w:val="20"/>
                <w:color w:val="auto"/>
              </w:rPr>
            </w:pPr>
            <w:r>
              <w:rPr>
                <w:rFonts w:ascii="Times New Roman" w:cs="Times New Roman" w:eastAsia="Times New Roman" w:hAnsi="Times New Roman"/>
                <w:sz w:val="15"/>
                <w:szCs w:val="15"/>
                <w:color w:val="231F20"/>
              </w:rPr>
              <w:t>(incl. 4.50%</w:t>
            </w:r>
          </w:p>
        </w:tc>
        <w:tc>
          <w:tcPr>
            <w:tcW w:w="1000" w:type="dxa"/>
            <w:vAlign w:val="bottom"/>
            <w:shd w:val="clear" w:color="auto" w:fill="FDFDFC"/>
          </w:tcPr>
          <w:p>
            <w:pPr>
              <w:spacing w:after="0"/>
              <w:rPr>
                <w:sz w:val="15"/>
                <w:szCs w:val="15"/>
                <w:color w:val="auto"/>
              </w:rPr>
            </w:pPr>
          </w:p>
        </w:tc>
        <w:tc>
          <w:tcPr>
            <w:tcW w:w="180" w:type="dxa"/>
            <w:vAlign w:val="bottom"/>
            <w:shd w:val="clear" w:color="auto" w:fill="FDFDFC"/>
          </w:tcPr>
          <w:p>
            <w:pPr>
              <w:spacing w:after="0"/>
              <w:rPr>
                <w:sz w:val="15"/>
                <w:szCs w:val="15"/>
                <w:color w:val="auto"/>
              </w:rPr>
            </w:pPr>
          </w:p>
        </w:tc>
        <w:tc>
          <w:tcPr>
            <w:tcW w:w="960" w:type="dxa"/>
            <w:vAlign w:val="bottom"/>
            <w:shd w:val="clear" w:color="auto" w:fill="FDFDFC"/>
          </w:tcPr>
          <w:p>
            <w:pPr>
              <w:spacing w:after="0"/>
              <w:rPr>
                <w:sz w:val="15"/>
                <w:szCs w:val="15"/>
                <w:color w:val="auto"/>
              </w:rPr>
            </w:pPr>
          </w:p>
        </w:tc>
        <w:tc>
          <w:tcPr>
            <w:tcW w:w="200" w:type="dxa"/>
            <w:vAlign w:val="bottom"/>
            <w:shd w:val="clear" w:color="auto" w:fill="FDFDFC"/>
          </w:tcPr>
          <w:p>
            <w:pPr>
              <w:spacing w:after="0"/>
              <w:rPr>
                <w:sz w:val="15"/>
                <w:szCs w:val="15"/>
                <w:color w:val="auto"/>
              </w:rPr>
            </w:pPr>
          </w:p>
        </w:tc>
        <w:tc>
          <w:tcPr>
            <w:tcW w:w="900" w:type="dxa"/>
            <w:vAlign w:val="bottom"/>
            <w:shd w:val="clear" w:color="auto" w:fill="FDFDFC"/>
          </w:tcPr>
          <w:p>
            <w:pPr>
              <w:spacing w:after="0"/>
              <w:rPr>
                <w:sz w:val="15"/>
                <w:szCs w:val="15"/>
                <w:color w:val="auto"/>
              </w:rPr>
            </w:pPr>
          </w:p>
        </w:tc>
        <w:tc>
          <w:tcPr>
            <w:tcW w:w="240" w:type="dxa"/>
            <w:vAlign w:val="bottom"/>
            <w:shd w:val="clear" w:color="auto" w:fill="FDFDFC"/>
          </w:tcPr>
          <w:p>
            <w:pPr>
              <w:spacing w:after="0"/>
              <w:rPr>
                <w:sz w:val="15"/>
                <w:szCs w:val="15"/>
                <w:color w:val="auto"/>
              </w:rPr>
            </w:pPr>
          </w:p>
        </w:tc>
      </w:tr>
      <w:tr>
        <w:trPr>
          <w:trHeight w:val="189"/>
        </w:trPr>
        <w:tc>
          <w:tcPr>
            <w:tcW w:w="1440" w:type="dxa"/>
            <w:vAlign w:val="bottom"/>
            <w:shd w:val="clear" w:color="auto" w:fill="FDFDFC"/>
          </w:tcPr>
          <w:p>
            <w:pPr>
              <w:spacing w:after="0"/>
              <w:rPr>
                <w:sz w:val="16"/>
                <w:szCs w:val="16"/>
                <w:color w:val="auto"/>
              </w:rPr>
            </w:pPr>
          </w:p>
        </w:tc>
        <w:tc>
          <w:tcPr>
            <w:tcW w:w="2480" w:type="dxa"/>
            <w:vAlign w:val="bottom"/>
            <w:shd w:val="clear" w:color="auto" w:fill="FDFDFC"/>
          </w:tcPr>
          <w:p>
            <w:pPr>
              <w:spacing w:after="0"/>
              <w:rPr>
                <w:sz w:val="16"/>
                <w:szCs w:val="16"/>
                <w:color w:val="auto"/>
              </w:rPr>
            </w:pPr>
          </w:p>
        </w:tc>
        <w:tc>
          <w:tcPr>
            <w:tcW w:w="780" w:type="dxa"/>
            <w:vAlign w:val="bottom"/>
            <w:shd w:val="clear" w:color="auto" w:fill="FDFDFC"/>
          </w:tcPr>
          <w:p>
            <w:pPr>
              <w:spacing w:after="0"/>
              <w:rPr>
                <w:sz w:val="16"/>
                <w:szCs w:val="16"/>
                <w:color w:val="auto"/>
              </w:rPr>
            </w:pPr>
          </w:p>
        </w:tc>
        <w:tc>
          <w:tcPr>
            <w:tcW w:w="1080" w:type="dxa"/>
            <w:vAlign w:val="bottom"/>
            <w:shd w:val="clear" w:color="auto" w:fill="FDFDFC"/>
          </w:tcPr>
          <w:p>
            <w:pPr>
              <w:spacing w:after="0"/>
              <w:rPr>
                <w:sz w:val="16"/>
                <w:szCs w:val="16"/>
                <w:color w:val="auto"/>
              </w:rPr>
            </w:pPr>
          </w:p>
        </w:tc>
        <w:tc>
          <w:tcPr>
            <w:tcW w:w="1020" w:type="dxa"/>
            <w:vAlign w:val="bottom"/>
            <w:shd w:val="clear" w:color="auto" w:fill="FDFDFC"/>
          </w:tcPr>
          <w:p>
            <w:pPr>
              <w:jc w:val="right"/>
              <w:ind w:right="164"/>
              <w:spacing w:after="0"/>
              <w:rPr>
                <w:sz w:val="20"/>
                <w:szCs w:val="20"/>
                <w:color w:val="auto"/>
              </w:rPr>
            </w:pPr>
            <w:r>
              <w:rPr>
                <w:rFonts w:ascii="Times New Roman" w:cs="Times New Roman" w:eastAsia="Times New Roman" w:hAnsi="Times New Roman"/>
                <w:sz w:val="15"/>
                <w:szCs w:val="15"/>
                <w:color w:val="231F20"/>
              </w:rPr>
              <w:t>PIK)</w:t>
            </w:r>
          </w:p>
        </w:tc>
        <w:tc>
          <w:tcPr>
            <w:tcW w:w="1000" w:type="dxa"/>
            <w:vAlign w:val="bottom"/>
            <w:shd w:val="clear" w:color="auto" w:fill="FDFDFC"/>
          </w:tcPr>
          <w:p>
            <w:pPr>
              <w:spacing w:after="0"/>
              <w:rPr>
                <w:sz w:val="16"/>
                <w:szCs w:val="16"/>
                <w:color w:val="auto"/>
              </w:rPr>
            </w:pPr>
          </w:p>
        </w:tc>
        <w:tc>
          <w:tcPr>
            <w:tcW w:w="180" w:type="dxa"/>
            <w:vAlign w:val="bottom"/>
            <w:shd w:val="clear" w:color="auto" w:fill="FDFDFC"/>
          </w:tcPr>
          <w:p>
            <w:pPr>
              <w:spacing w:after="0"/>
              <w:rPr>
                <w:sz w:val="16"/>
                <w:szCs w:val="16"/>
                <w:color w:val="auto"/>
              </w:rPr>
            </w:pPr>
          </w:p>
        </w:tc>
        <w:tc>
          <w:tcPr>
            <w:tcW w:w="960" w:type="dxa"/>
            <w:vAlign w:val="bottom"/>
            <w:shd w:val="clear" w:color="auto" w:fill="FDFDFC"/>
          </w:tcPr>
          <w:p>
            <w:pPr>
              <w:spacing w:after="0"/>
              <w:rPr>
                <w:sz w:val="16"/>
                <w:szCs w:val="16"/>
                <w:color w:val="auto"/>
              </w:rPr>
            </w:pPr>
          </w:p>
        </w:tc>
        <w:tc>
          <w:tcPr>
            <w:tcW w:w="200" w:type="dxa"/>
            <w:vAlign w:val="bottom"/>
            <w:shd w:val="clear" w:color="auto" w:fill="FDFDFC"/>
          </w:tcPr>
          <w:p>
            <w:pPr>
              <w:spacing w:after="0"/>
              <w:rPr>
                <w:sz w:val="16"/>
                <w:szCs w:val="16"/>
                <w:color w:val="auto"/>
              </w:rPr>
            </w:pPr>
          </w:p>
        </w:tc>
        <w:tc>
          <w:tcPr>
            <w:tcW w:w="900" w:type="dxa"/>
            <w:vAlign w:val="bottom"/>
            <w:shd w:val="clear" w:color="auto" w:fill="FDFDFC"/>
          </w:tcPr>
          <w:p>
            <w:pPr>
              <w:spacing w:after="0"/>
              <w:rPr>
                <w:sz w:val="16"/>
                <w:szCs w:val="16"/>
                <w:color w:val="auto"/>
              </w:rPr>
            </w:pPr>
          </w:p>
        </w:tc>
        <w:tc>
          <w:tcPr>
            <w:tcW w:w="240" w:type="dxa"/>
            <w:vAlign w:val="bottom"/>
            <w:shd w:val="clear" w:color="auto" w:fill="FDFDFC"/>
          </w:tcPr>
          <w:p>
            <w:pPr>
              <w:spacing w:after="0"/>
              <w:rPr>
                <w:sz w:val="16"/>
                <w:szCs w:val="16"/>
                <w:color w:val="auto"/>
              </w:rPr>
            </w:pPr>
          </w:p>
        </w:tc>
      </w:tr>
      <w:tr>
        <w:trPr>
          <w:trHeight w:val="158"/>
        </w:trPr>
        <w:tc>
          <w:tcPr>
            <w:tcW w:w="1440" w:type="dxa"/>
            <w:vAlign w:val="bottom"/>
            <w:shd w:val="clear" w:color="auto" w:fill="D0EBF2"/>
          </w:tcPr>
          <w:p>
            <w:pPr>
              <w:spacing w:after="0" w:line="159" w:lineRule="exact"/>
              <w:rPr>
                <w:sz w:val="20"/>
                <w:szCs w:val="20"/>
                <w:color w:val="auto"/>
              </w:rPr>
            </w:pPr>
            <w:r>
              <w:rPr>
                <w:rFonts w:ascii="Times New Roman" w:cs="Times New Roman" w:eastAsia="Times New Roman" w:hAnsi="Times New Roman"/>
                <w:sz w:val="15"/>
                <w:szCs w:val="15"/>
                <w:color w:val="231F20"/>
              </w:rPr>
              <w:t xml:space="preserve">Lucidworks, Inc. </w:t>
            </w:r>
            <w:r>
              <w:rPr>
                <w:rFonts w:ascii="Times New Roman" w:cs="Times New Roman" w:eastAsia="Times New Roman" w:hAnsi="Times New Roman"/>
                <w:sz w:val="9"/>
                <w:szCs w:val="9"/>
                <w:color w:val="231F20"/>
              </w:rPr>
              <w:t>(3)(5)</w:t>
            </w:r>
          </w:p>
        </w:tc>
        <w:tc>
          <w:tcPr>
            <w:tcW w:w="2480" w:type="dxa"/>
            <w:vAlign w:val="bottom"/>
            <w:shd w:val="clear" w:color="auto" w:fill="D0EBF2"/>
          </w:tcPr>
          <w:p>
            <w:pPr>
              <w:ind w:left="80"/>
              <w:spacing w:after="0" w:line="159" w:lineRule="exact"/>
              <w:rPr>
                <w:sz w:val="20"/>
                <w:szCs w:val="20"/>
                <w:color w:val="auto"/>
              </w:rPr>
            </w:pPr>
            <w:r>
              <w:rPr>
                <w:rFonts w:ascii="Times New Roman" w:cs="Times New Roman" w:eastAsia="Times New Roman" w:hAnsi="Times New Roman"/>
                <w:sz w:val="15"/>
                <w:szCs w:val="15"/>
                <w:color w:val="231F20"/>
              </w:rPr>
              <w:t>First-lien loan ($8,912 par, due</w:t>
            </w:r>
          </w:p>
        </w:tc>
        <w:tc>
          <w:tcPr>
            <w:tcW w:w="780" w:type="dxa"/>
            <w:vAlign w:val="bottom"/>
            <w:shd w:val="clear" w:color="auto" w:fill="D0EBF2"/>
          </w:tcPr>
          <w:p>
            <w:pPr>
              <w:jc w:val="right"/>
              <w:spacing w:after="0" w:line="159" w:lineRule="exact"/>
              <w:rPr>
                <w:sz w:val="20"/>
                <w:szCs w:val="20"/>
                <w:color w:val="auto"/>
              </w:rPr>
            </w:pPr>
            <w:r>
              <w:rPr>
                <w:rFonts w:ascii="Times New Roman" w:cs="Times New Roman" w:eastAsia="Times New Roman" w:hAnsi="Times New Roman"/>
                <w:sz w:val="15"/>
                <w:szCs w:val="15"/>
                <w:color w:val="231F20"/>
              </w:rPr>
              <w:t>2/11/2022</w:t>
            </w:r>
          </w:p>
        </w:tc>
        <w:tc>
          <w:tcPr>
            <w:tcW w:w="1080" w:type="dxa"/>
            <w:vAlign w:val="bottom"/>
            <w:shd w:val="clear" w:color="auto" w:fill="D0EBF2"/>
          </w:tcPr>
          <w:p>
            <w:pPr>
              <w:jc w:val="right"/>
              <w:ind w:right="124"/>
              <w:spacing w:after="0" w:line="159" w:lineRule="exact"/>
              <w:rPr>
                <w:sz w:val="20"/>
                <w:szCs w:val="20"/>
                <w:color w:val="auto"/>
              </w:rPr>
            </w:pPr>
            <w:r>
              <w:rPr>
                <w:rFonts w:ascii="Times New Roman" w:cs="Times New Roman" w:eastAsia="Times New Roman" w:hAnsi="Times New Roman"/>
                <w:sz w:val="15"/>
                <w:szCs w:val="15"/>
                <w:color w:val="231F20"/>
              </w:rPr>
              <w:t>SOFR +</w:t>
            </w:r>
          </w:p>
        </w:tc>
        <w:tc>
          <w:tcPr>
            <w:tcW w:w="1020" w:type="dxa"/>
            <w:vAlign w:val="bottom"/>
            <w:shd w:val="clear" w:color="auto" w:fill="D0EBF2"/>
          </w:tcPr>
          <w:p>
            <w:pPr>
              <w:jc w:val="right"/>
              <w:ind w:right="164"/>
              <w:spacing w:after="0" w:line="159" w:lineRule="exact"/>
              <w:rPr>
                <w:sz w:val="20"/>
                <w:szCs w:val="20"/>
                <w:color w:val="auto"/>
              </w:rPr>
            </w:pPr>
            <w:r>
              <w:rPr>
                <w:rFonts w:ascii="Times New Roman" w:cs="Times New Roman" w:eastAsia="Times New Roman" w:hAnsi="Times New Roman"/>
                <w:sz w:val="15"/>
                <w:szCs w:val="15"/>
                <w:color w:val="231F20"/>
              </w:rPr>
              <w:t>12.86%</w:t>
            </w:r>
          </w:p>
        </w:tc>
        <w:tc>
          <w:tcPr>
            <w:tcW w:w="1000" w:type="dxa"/>
            <w:vAlign w:val="bottom"/>
            <w:shd w:val="clear" w:color="auto" w:fill="D0EBF2"/>
          </w:tcPr>
          <w:p>
            <w:pPr>
              <w:jc w:val="right"/>
              <w:spacing w:after="0" w:line="159" w:lineRule="exact"/>
              <w:rPr>
                <w:sz w:val="20"/>
                <w:szCs w:val="20"/>
                <w:color w:val="auto"/>
              </w:rPr>
            </w:pPr>
            <w:r>
              <w:rPr>
                <w:rFonts w:ascii="Times New Roman" w:cs="Times New Roman" w:eastAsia="Times New Roman" w:hAnsi="Times New Roman"/>
                <w:sz w:val="15"/>
                <w:szCs w:val="15"/>
                <w:color w:val="231F20"/>
              </w:rPr>
              <w:t>8,912</w:t>
            </w:r>
          </w:p>
        </w:tc>
        <w:tc>
          <w:tcPr>
            <w:tcW w:w="1140" w:type="dxa"/>
            <w:vAlign w:val="bottom"/>
            <w:gridSpan w:val="2"/>
            <w:shd w:val="clear" w:color="auto" w:fill="D0EBF2"/>
          </w:tcPr>
          <w:p>
            <w:pPr>
              <w:jc w:val="right"/>
              <w:spacing w:after="0" w:line="159" w:lineRule="exact"/>
              <w:rPr>
                <w:sz w:val="20"/>
                <w:szCs w:val="20"/>
                <w:color w:val="auto"/>
              </w:rPr>
            </w:pPr>
            <w:r>
              <w:rPr>
                <w:rFonts w:ascii="Times New Roman" w:cs="Times New Roman" w:eastAsia="Times New Roman" w:hAnsi="Times New Roman"/>
                <w:sz w:val="15"/>
                <w:szCs w:val="15"/>
                <w:color w:val="231F20"/>
              </w:rPr>
              <w:t>8,912</w:t>
            </w:r>
          </w:p>
        </w:tc>
        <w:tc>
          <w:tcPr>
            <w:tcW w:w="1340" w:type="dxa"/>
            <w:vAlign w:val="bottom"/>
            <w:gridSpan w:val="3"/>
            <w:shd w:val="clear" w:color="auto" w:fill="D0EBF2"/>
          </w:tcPr>
          <w:p>
            <w:pPr>
              <w:jc w:val="right"/>
              <w:ind w:right="120"/>
              <w:spacing w:after="0" w:line="159" w:lineRule="exact"/>
              <w:rPr>
                <w:sz w:val="20"/>
                <w:szCs w:val="20"/>
                <w:color w:val="auto"/>
              </w:rPr>
            </w:pPr>
            <w:r>
              <w:rPr>
                <w:rFonts w:ascii="Times New Roman" w:cs="Times New Roman" w:eastAsia="Times New Roman" w:hAnsi="Times New Roman"/>
                <w:sz w:val="15"/>
                <w:szCs w:val="15"/>
                <w:color w:val="231F20"/>
              </w:rPr>
              <w:t>0.6%</w:t>
            </w:r>
          </w:p>
        </w:tc>
      </w:tr>
      <w:tr>
        <w:trPr>
          <w:trHeight w:val="174"/>
        </w:trPr>
        <w:tc>
          <w:tcPr>
            <w:tcW w:w="1440" w:type="dxa"/>
            <w:vAlign w:val="bottom"/>
            <w:shd w:val="clear" w:color="auto" w:fill="D0EBF2"/>
          </w:tcPr>
          <w:p>
            <w:pPr>
              <w:spacing w:after="0"/>
              <w:rPr>
                <w:sz w:val="15"/>
                <w:szCs w:val="15"/>
                <w:color w:val="auto"/>
              </w:rPr>
            </w:pPr>
          </w:p>
        </w:tc>
        <w:tc>
          <w:tcPr>
            <w:tcW w:w="2480" w:type="dxa"/>
            <w:vAlign w:val="bottom"/>
            <w:shd w:val="clear" w:color="auto" w:fill="D0EBF2"/>
          </w:tcPr>
          <w:p>
            <w:pPr>
              <w:ind w:left="80"/>
              <w:spacing w:after="0"/>
              <w:rPr>
                <w:sz w:val="20"/>
                <w:szCs w:val="20"/>
                <w:color w:val="auto"/>
              </w:rPr>
            </w:pPr>
            <w:r>
              <w:rPr>
                <w:rFonts w:ascii="Times New Roman" w:cs="Times New Roman" w:eastAsia="Times New Roman" w:hAnsi="Times New Roman"/>
                <w:sz w:val="15"/>
                <w:szCs w:val="15"/>
                <w:color w:val="231F20"/>
              </w:rPr>
              <w:t>2/2027)</w:t>
            </w:r>
          </w:p>
        </w:tc>
        <w:tc>
          <w:tcPr>
            <w:tcW w:w="780" w:type="dxa"/>
            <w:vAlign w:val="bottom"/>
            <w:shd w:val="clear" w:color="auto" w:fill="D0EBF2"/>
          </w:tcPr>
          <w:p>
            <w:pPr>
              <w:spacing w:after="0"/>
              <w:rPr>
                <w:sz w:val="15"/>
                <w:szCs w:val="15"/>
                <w:color w:val="auto"/>
              </w:rPr>
            </w:pPr>
          </w:p>
        </w:tc>
        <w:tc>
          <w:tcPr>
            <w:tcW w:w="1080" w:type="dxa"/>
            <w:vAlign w:val="bottom"/>
            <w:shd w:val="clear" w:color="auto" w:fill="D0EBF2"/>
          </w:tcPr>
          <w:p>
            <w:pPr>
              <w:jc w:val="right"/>
              <w:ind w:right="124"/>
              <w:spacing w:after="0"/>
              <w:rPr>
                <w:sz w:val="20"/>
                <w:szCs w:val="20"/>
                <w:color w:val="auto"/>
              </w:rPr>
            </w:pPr>
            <w:r>
              <w:rPr>
                <w:rFonts w:ascii="Times New Roman" w:cs="Times New Roman" w:eastAsia="Times New Roman" w:hAnsi="Times New Roman"/>
                <w:sz w:val="15"/>
                <w:szCs w:val="15"/>
                <w:color w:val="231F20"/>
              </w:rPr>
              <w:t>7.50%</w:t>
            </w:r>
          </w:p>
        </w:tc>
        <w:tc>
          <w:tcPr>
            <w:tcW w:w="1020" w:type="dxa"/>
            <w:vAlign w:val="bottom"/>
            <w:shd w:val="clear" w:color="auto" w:fill="D0EBF2"/>
          </w:tcPr>
          <w:p>
            <w:pPr>
              <w:jc w:val="right"/>
              <w:ind w:right="164"/>
              <w:spacing w:after="0"/>
              <w:rPr>
                <w:sz w:val="20"/>
                <w:szCs w:val="20"/>
                <w:color w:val="auto"/>
              </w:rPr>
            </w:pPr>
            <w:r>
              <w:rPr>
                <w:rFonts w:ascii="Times New Roman" w:cs="Times New Roman" w:eastAsia="Times New Roman" w:hAnsi="Times New Roman"/>
                <w:sz w:val="15"/>
                <w:szCs w:val="15"/>
                <w:color w:val="231F20"/>
              </w:rPr>
              <w:t>(incl. 3.50%</w:t>
            </w:r>
          </w:p>
        </w:tc>
        <w:tc>
          <w:tcPr>
            <w:tcW w:w="1000" w:type="dxa"/>
            <w:vAlign w:val="bottom"/>
            <w:shd w:val="clear" w:color="auto" w:fill="D0EBF2"/>
          </w:tcPr>
          <w:p>
            <w:pPr>
              <w:spacing w:after="0"/>
              <w:rPr>
                <w:sz w:val="15"/>
                <w:szCs w:val="15"/>
                <w:color w:val="auto"/>
              </w:rPr>
            </w:pPr>
          </w:p>
        </w:tc>
        <w:tc>
          <w:tcPr>
            <w:tcW w:w="180" w:type="dxa"/>
            <w:vAlign w:val="bottom"/>
            <w:shd w:val="clear" w:color="auto" w:fill="D0EBF2"/>
          </w:tcPr>
          <w:p>
            <w:pPr>
              <w:spacing w:after="0"/>
              <w:rPr>
                <w:sz w:val="15"/>
                <w:szCs w:val="15"/>
                <w:color w:val="auto"/>
              </w:rPr>
            </w:pPr>
          </w:p>
        </w:tc>
        <w:tc>
          <w:tcPr>
            <w:tcW w:w="960" w:type="dxa"/>
            <w:vAlign w:val="bottom"/>
            <w:shd w:val="clear" w:color="auto" w:fill="D0EBF2"/>
          </w:tcPr>
          <w:p>
            <w:pPr>
              <w:spacing w:after="0"/>
              <w:rPr>
                <w:sz w:val="15"/>
                <w:szCs w:val="15"/>
                <w:color w:val="auto"/>
              </w:rPr>
            </w:pPr>
          </w:p>
        </w:tc>
        <w:tc>
          <w:tcPr>
            <w:tcW w:w="200" w:type="dxa"/>
            <w:vAlign w:val="bottom"/>
            <w:shd w:val="clear" w:color="auto" w:fill="D0EBF2"/>
          </w:tcPr>
          <w:p>
            <w:pPr>
              <w:spacing w:after="0"/>
              <w:rPr>
                <w:sz w:val="15"/>
                <w:szCs w:val="15"/>
                <w:color w:val="auto"/>
              </w:rPr>
            </w:pPr>
          </w:p>
        </w:tc>
        <w:tc>
          <w:tcPr>
            <w:tcW w:w="900" w:type="dxa"/>
            <w:vAlign w:val="bottom"/>
            <w:shd w:val="clear" w:color="auto" w:fill="D0EBF2"/>
          </w:tcPr>
          <w:p>
            <w:pPr>
              <w:spacing w:after="0"/>
              <w:rPr>
                <w:sz w:val="15"/>
                <w:szCs w:val="15"/>
                <w:color w:val="auto"/>
              </w:rPr>
            </w:pPr>
          </w:p>
        </w:tc>
        <w:tc>
          <w:tcPr>
            <w:tcW w:w="240" w:type="dxa"/>
            <w:vAlign w:val="bottom"/>
            <w:shd w:val="clear" w:color="auto" w:fill="D0EBF2"/>
          </w:tcPr>
          <w:p>
            <w:pPr>
              <w:spacing w:after="0"/>
              <w:rPr>
                <w:sz w:val="15"/>
                <w:szCs w:val="15"/>
                <w:color w:val="auto"/>
              </w:rPr>
            </w:pPr>
          </w:p>
        </w:tc>
      </w:tr>
      <w:tr>
        <w:trPr>
          <w:trHeight w:val="189"/>
        </w:trPr>
        <w:tc>
          <w:tcPr>
            <w:tcW w:w="1440" w:type="dxa"/>
            <w:vAlign w:val="bottom"/>
            <w:shd w:val="clear" w:color="auto" w:fill="D0EBF2"/>
          </w:tcPr>
          <w:p>
            <w:pPr>
              <w:spacing w:after="0"/>
              <w:rPr>
                <w:sz w:val="16"/>
                <w:szCs w:val="16"/>
                <w:color w:val="auto"/>
              </w:rPr>
            </w:pPr>
          </w:p>
        </w:tc>
        <w:tc>
          <w:tcPr>
            <w:tcW w:w="2480" w:type="dxa"/>
            <w:vAlign w:val="bottom"/>
            <w:shd w:val="clear" w:color="auto" w:fill="D0EBF2"/>
          </w:tcPr>
          <w:p>
            <w:pPr>
              <w:spacing w:after="0"/>
              <w:rPr>
                <w:sz w:val="16"/>
                <w:szCs w:val="16"/>
                <w:color w:val="auto"/>
              </w:rPr>
            </w:pPr>
          </w:p>
        </w:tc>
        <w:tc>
          <w:tcPr>
            <w:tcW w:w="780" w:type="dxa"/>
            <w:vAlign w:val="bottom"/>
            <w:shd w:val="clear" w:color="auto" w:fill="D0EBF2"/>
          </w:tcPr>
          <w:p>
            <w:pPr>
              <w:spacing w:after="0"/>
              <w:rPr>
                <w:sz w:val="16"/>
                <w:szCs w:val="16"/>
                <w:color w:val="auto"/>
              </w:rPr>
            </w:pPr>
          </w:p>
        </w:tc>
        <w:tc>
          <w:tcPr>
            <w:tcW w:w="1080" w:type="dxa"/>
            <w:vAlign w:val="bottom"/>
            <w:shd w:val="clear" w:color="auto" w:fill="D0EBF2"/>
          </w:tcPr>
          <w:p>
            <w:pPr>
              <w:spacing w:after="0"/>
              <w:rPr>
                <w:sz w:val="16"/>
                <w:szCs w:val="16"/>
                <w:color w:val="auto"/>
              </w:rPr>
            </w:pPr>
          </w:p>
        </w:tc>
        <w:tc>
          <w:tcPr>
            <w:tcW w:w="1020" w:type="dxa"/>
            <w:vAlign w:val="bottom"/>
            <w:shd w:val="clear" w:color="auto" w:fill="D0EBF2"/>
          </w:tcPr>
          <w:p>
            <w:pPr>
              <w:jc w:val="right"/>
              <w:ind w:right="164"/>
              <w:spacing w:after="0"/>
              <w:rPr>
                <w:sz w:val="20"/>
                <w:szCs w:val="20"/>
                <w:color w:val="auto"/>
              </w:rPr>
            </w:pPr>
            <w:r>
              <w:rPr>
                <w:rFonts w:ascii="Times New Roman" w:cs="Times New Roman" w:eastAsia="Times New Roman" w:hAnsi="Times New Roman"/>
                <w:sz w:val="15"/>
                <w:szCs w:val="15"/>
                <w:color w:val="231F20"/>
              </w:rPr>
              <w:t>PIK)</w:t>
            </w:r>
          </w:p>
        </w:tc>
        <w:tc>
          <w:tcPr>
            <w:tcW w:w="1000" w:type="dxa"/>
            <w:vAlign w:val="bottom"/>
            <w:shd w:val="clear" w:color="auto" w:fill="D0EBF2"/>
          </w:tcPr>
          <w:p>
            <w:pPr>
              <w:spacing w:after="0"/>
              <w:rPr>
                <w:sz w:val="16"/>
                <w:szCs w:val="16"/>
                <w:color w:val="auto"/>
              </w:rPr>
            </w:pPr>
          </w:p>
        </w:tc>
        <w:tc>
          <w:tcPr>
            <w:tcW w:w="180" w:type="dxa"/>
            <w:vAlign w:val="bottom"/>
            <w:shd w:val="clear" w:color="auto" w:fill="D0EBF2"/>
          </w:tcPr>
          <w:p>
            <w:pPr>
              <w:spacing w:after="0"/>
              <w:rPr>
                <w:sz w:val="16"/>
                <w:szCs w:val="16"/>
                <w:color w:val="auto"/>
              </w:rPr>
            </w:pPr>
          </w:p>
        </w:tc>
        <w:tc>
          <w:tcPr>
            <w:tcW w:w="960" w:type="dxa"/>
            <w:vAlign w:val="bottom"/>
            <w:shd w:val="clear" w:color="auto" w:fill="D0EBF2"/>
          </w:tcPr>
          <w:p>
            <w:pPr>
              <w:spacing w:after="0"/>
              <w:rPr>
                <w:sz w:val="16"/>
                <w:szCs w:val="16"/>
                <w:color w:val="auto"/>
              </w:rPr>
            </w:pPr>
          </w:p>
        </w:tc>
        <w:tc>
          <w:tcPr>
            <w:tcW w:w="200" w:type="dxa"/>
            <w:vAlign w:val="bottom"/>
            <w:shd w:val="clear" w:color="auto" w:fill="D0EBF2"/>
          </w:tcPr>
          <w:p>
            <w:pPr>
              <w:spacing w:after="0"/>
              <w:rPr>
                <w:sz w:val="16"/>
                <w:szCs w:val="16"/>
                <w:color w:val="auto"/>
              </w:rPr>
            </w:pPr>
          </w:p>
        </w:tc>
        <w:tc>
          <w:tcPr>
            <w:tcW w:w="900" w:type="dxa"/>
            <w:vAlign w:val="bottom"/>
            <w:shd w:val="clear" w:color="auto" w:fill="D0EBF2"/>
          </w:tcPr>
          <w:p>
            <w:pPr>
              <w:spacing w:after="0"/>
              <w:rPr>
                <w:sz w:val="16"/>
                <w:szCs w:val="16"/>
                <w:color w:val="auto"/>
              </w:rPr>
            </w:pPr>
          </w:p>
        </w:tc>
        <w:tc>
          <w:tcPr>
            <w:tcW w:w="240" w:type="dxa"/>
            <w:vAlign w:val="bottom"/>
            <w:shd w:val="clear" w:color="auto" w:fill="D0EBF2"/>
          </w:tcPr>
          <w:p>
            <w:pPr>
              <w:spacing w:after="0"/>
              <w:rPr>
                <w:sz w:val="16"/>
                <w:szCs w:val="16"/>
                <w:color w:val="auto"/>
              </w:rPr>
            </w:pPr>
          </w:p>
        </w:tc>
      </w:tr>
      <w:tr>
        <w:trPr>
          <w:trHeight w:val="158"/>
        </w:trPr>
        <w:tc>
          <w:tcPr>
            <w:tcW w:w="1440" w:type="dxa"/>
            <w:vAlign w:val="bottom"/>
            <w:shd w:val="clear" w:color="auto" w:fill="FDFDFC"/>
          </w:tcPr>
          <w:p>
            <w:pPr>
              <w:spacing w:after="0" w:line="159" w:lineRule="exact"/>
              <w:rPr>
                <w:sz w:val="20"/>
                <w:szCs w:val="20"/>
                <w:color w:val="auto"/>
              </w:rPr>
            </w:pPr>
            <w:r>
              <w:rPr>
                <w:rFonts w:ascii="Times New Roman" w:cs="Times New Roman" w:eastAsia="Times New Roman" w:hAnsi="Times New Roman"/>
                <w:sz w:val="15"/>
                <w:szCs w:val="15"/>
                <w:color w:val="231F20"/>
              </w:rPr>
              <w:t>Piano Software, Inc.</w:t>
            </w:r>
          </w:p>
        </w:tc>
        <w:tc>
          <w:tcPr>
            <w:tcW w:w="2480" w:type="dxa"/>
            <w:vAlign w:val="bottom"/>
            <w:shd w:val="clear" w:color="auto" w:fill="FDFDFC"/>
          </w:tcPr>
          <w:p>
            <w:pPr>
              <w:ind w:left="80"/>
              <w:spacing w:after="0" w:line="159" w:lineRule="exact"/>
              <w:rPr>
                <w:sz w:val="20"/>
                <w:szCs w:val="20"/>
                <w:color w:val="auto"/>
              </w:rPr>
            </w:pPr>
            <w:r>
              <w:rPr>
                <w:rFonts w:ascii="Times New Roman" w:cs="Times New Roman" w:eastAsia="Times New Roman" w:hAnsi="Times New Roman"/>
                <w:sz w:val="15"/>
                <w:szCs w:val="15"/>
                <w:color w:val="231F20"/>
              </w:rPr>
              <w:t>First-lien loan ($50,889 par, due</w:t>
            </w:r>
          </w:p>
        </w:tc>
        <w:tc>
          <w:tcPr>
            <w:tcW w:w="780" w:type="dxa"/>
            <w:vAlign w:val="bottom"/>
            <w:shd w:val="clear" w:color="auto" w:fill="FDFDFC"/>
          </w:tcPr>
          <w:p>
            <w:pPr>
              <w:jc w:val="right"/>
              <w:spacing w:after="0" w:line="159" w:lineRule="exact"/>
              <w:rPr>
                <w:sz w:val="20"/>
                <w:szCs w:val="20"/>
                <w:color w:val="auto"/>
              </w:rPr>
            </w:pPr>
            <w:r>
              <w:rPr>
                <w:rFonts w:ascii="Times New Roman" w:cs="Times New Roman" w:eastAsia="Times New Roman" w:hAnsi="Times New Roman"/>
                <w:sz w:val="15"/>
                <w:szCs w:val="15"/>
                <w:color w:val="231F20"/>
              </w:rPr>
              <w:t>2/25/2021</w:t>
            </w:r>
          </w:p>
        </w:tc>
        <w:tc>
          <w:tcPr>
            <w:tcW w:w="1080" w:type="dxa"/>
            <w:vAlign w:val="bottom"/>
            <w:shd w:val="clear" w:color="auto" w:fill="FDFDFC"/>
          </w:tcPr>
          <w:p>
            <w:pPr>
              <w:jc w:val="right"/>
              <w:ind w:right="124"/>
              <w:spacing w:after="0" w:line="159" w:lineRule="exact"/>
              <w:rPr>
                <w:sz w:val="20"/>
                <w:szCs w:val="20"/>
                <w:color w:val="auto"/>
              </w:rPr>
            </w:pPr>
            <w:r>
              <w:rPr>
                <w:rFonts w:ascii="Times New Roman" w:cs="Times New Roman" w:eastAsia="Times New Roman" w:hAnsi="Times New Roman"/>
                <w:sz w:val="15"/>
                <w:szCs w:val="15"/>
                <w:color w:val="231F20"/>
              </w:rPr>
              <w:t>SOFR +</w:t>
            </w:r>
          </w:p>
        </w:tc>
        <w:tc>
          <w:tcPr>
            <w:tcW w:w="1020" w:type="dxa"/>
            <w:vAlign w:val="bottom"/>
            <w:shd w:val="clear" w:color="auto" w:fill="FDFDFC"/>
          </w:tcPr>
          <w:p>
            <w:pPr>
              <w:jc w:val="right"/>
              <w:ind w:right="24"/>
              <w:spacing w:after="0" w:line="159" w:lineRule="exact"/>
              <w:rPr>
                <w:sz w:val="20"/>
                <w:szCs w:val="20"/>
                <w:color w:val="auto"/>
              </w:rPr>
            </w:pPr>
            <w:r>
              <w:rPr>
                <w:rFonts w:ascii="Times New Roman" w:cs="Times New Roman" w:eastAsia="Times New Roman" w:hAnsi="Times New Roman"/>
                <w:sz w:val="15"/>
                <w:szCs w:val="15"/>
                <w:color w:val="231F20"/>
              </w:rPr>
              <w:t>12.45%</w:t>
            </w:r>
          </w:p>
        </w:tc>
        <w:tc>
          <w:tcPr>
            <w:tcW w:w="1000" w:type="dxa"/>
            <w:vAlign w:val="bottom"/>
            <w:shd w:val="clear" w:color="auto" w:fill="FDFDFC"/>
          </w:tcPr>
          <w:p>
            <w:pPr>
              <w:jc w:val="right"/>
              <w:spacing w:after="0" w:line="159" w:lineRule="exact"/>
              <w:rPr>
                <w:sz w:val="20"/>
                <w:szCs w:val="20"/>
                <w:color w:val="auto"/>
              </w:rPr>
            </w:pPr>
            <w:r>
              <w:rPr>
                <w:rFonts w:ascii="Times New Roman" w:cs="Times New Roman" w:eastAsia="Times New Roman" w:hAnsi="Times New Roman"/>
                <w:sz w:val="15"/>
                <w:szCs w:val="15"/>
                <w:color w:val="231F20"/>
              </w:rPr>
              <w:t>50,282</w:t>
            </w:r>
          </w:p>
        </w:tc>
        <w:tc>
          <w:tcPr>
            <w:tcW w:w="1140" w:type="dxa"/>
            <w:vAlign w:val="bottom"/>
            <w:gridSpan w:val="2"/>
            <w:shd w:val="clear" w:color="auto" w:fill="FDFDFC"/>
          </w:tcPr>
          <w:p>
            <w:pPr>
              <w:jc w:val="right"/>
              <w:spacing w:after="0" w:line="159" w:lineRule="exact"/>
              <w:rPr>
                <w:sz w:val="20"/>
                <w:szCs w:val="20"/>
                <w:color w:val="auto"/>
              </w:rPr>
            </w:pPr>
            <w:r>
              <w:rPr>
                <w:rFonts w:ascii="Times New Roman" w:cs="Times New Roman" w:eastAsia="Times New Roman" w:hAnsi="Times New Roman"/>
                <w:sz w:val="15"/>
                <w:szCs w:val="15"/>
                <w:color w:val="231F20"/>
              </w:rPr>
              <w:t>50,508</w:t>
            </w:r>
          </w:p>
        </w:tc>
        <w:tc>
          <w:tcPr>
            <w:tcW w:w="1340" w:type="dxa"/>
            <w:vAlign w:val="bottom"/>
            <w:gridSpan w:val="3"/>
            <w:shd w:val="clear" w:color="auto" w:fill="FDFDFC"/>
          </w:tcPr>
          <w:p>
            <w:pPr>
              <w:jc w:val="right"/>
              <w:ind w:right="120"/>
              <w:spacing w:after="0" w:line="159" w:lineRule="exact"/>
              <w:rPr>
                <w:sz w:val="20"/>
                <w:szCs w:val="20"/>
                <w:color w:val="auto"/>
              </w:rPr>
            </w:pPr>
            <w:r>
              <w:rPr>
                <w:rFonts w:ascii="Times New Roman" w:cs="Times New Roman" w:eastAsia="Times New Roman" w:hAnsi="Times New Roman"/>
                <w:sz w:val="15"/>
                <w:szCs w:val="15"/>
                <w:color w:val="231F20"/>
              </w:rPr>
              <w:t>3.3%</w:t>
            </w:r>
          </w:p>
        </w:tc>
      </w:tr>
      <w:tr>
        <w:trPr>
          <w:trHeight w:val="189"/>
        </w:trPr>
        <w:tc>
          <w:tcPr>
            <w:tcW w:w="1440" w:type="dxa"/>
            <w:vAlign w:val="bottom"/>
            <w:shd w:val="clear" w:color="auto" w:fill="FDFDFC"/>
          </w:tcPr>
          <w:p>
            <w:pPr>
              <w:spacing w:after="0"/>
              <w:rPr>
                <w:sz w:val="20"/>
                <w:szCs w:val="20"/>
                <w:color w:val="auto"/>
              </w:rPr>
            </w:pPr>
            <w:r>
              <w:rPr>
                <w:rFonts w:ascii="Times New Roman" w:cs="Times New Roman" w:eastAsia="Times New Roman" w:hAnsi="Times New Roman"/>
                <w:sz w:val="9"/>
                <w:szCs w:val="9"/>
                <w:color w:val="231F20"/>
              </w:rPr>
              <w:t>(3)(5)</w:t>
            </w:r>
          </w:p>
        </w:tc>
        <w:tc>
          <w:tcPr>
            <w:tcW w:w="2480" w:type="dxa"/>
            <w:vAlign w:val="bottom"/>
            <w:shd w:val="clear" w:color="auto" w:fill="FDFDFC"/>
          </w:tcPr>
          <w:p>
            <w:pPr>
              <w:ind w:left="80"/>
              <w:spacing w:after="0"/>
              <w:rPr>
                <w:sz w:val="20"/>
                <w:szCs w:val="20"/>
                <w:color w:val="auto"/>
              </w:rPr>
            </w:pPr>
            <w:r>
              <w:rPr>
                <w:rFonts w:ascii="Times New Roman" w:cs="Times New Roman" w:eastAsia="Times New Roman" w:hAnsi="Times New Roman"/>
                <w:sz w:val="15"/>
                <w:szCs w:val="15"/>
                <w:color w:val="231F20"/>
              </w:rPr>
              <w:t>2/2026)</w:t>
            </w:r>
          </w:p>
        </w:tc>
        <w:tc>
          <w:tcPr>
            <w:tcW w:w="780" w:type="dxa"/>
            <w:vAlign w:val="bottom"/>
            <w:shd w:val="clear" w:color="auto" w:fill="FDFDFC"/>
          </w:tcPr>
          <w:p>
            <w:pPr>
              <w:spacing w:after="0"/>
              <w:rPr>
                <w:sz w:val="16"/>
                <w:szCs w:val="16"/>
                <w:color w:val="auto"/>
              </w:rPr>
            </w:pPr>
          </w:p>
        </w:tc>
        <w:tc>
          <w:tcPr>
            <w:tcW w:w="1080" w:type="dxa"/>
            <w:vAlign w:val="bottom"/>
            <w:shd w:val="clear" w:color="auto" w:fill="FDFDFC"/>
          </w:tcPr>
          <w:p>
            <w:pPr>
              <w:jc w:val="right"/>
              <w:ind w:right="124"/>
              <w:spacing w:after="0"/>
              <w:rPr>
                <w:sz w:val="20"/>
                <w:szCs w:val="20"/>
                <w:color w:val="auto"/>
              </w:rPr>
            </w:pPr>
            <w:r>
              <w:rPr>
                <w:rFonts w:ascii="Times New Roman" w:cs="Times New Roman" w:eastAsia="Times New Roman" w:hAnsi="Times New Roman"/>
                <w:sz w:val="15"/>
                <w:szCs w:val="15"/>
                <w:color w:val="231F20"/>
              </w:rPr>
              <w:t>7.10%</w:t>
            </w:r>
          </w:p>
        </w:tc>
        <w:tc>
          <w:tcPr>
            <w:tcW w:w="1020" w:type="dxa"/>
            <w:vAlign w:val="bottom"/>
            <w:shd w:val="clear" w:color="auto" w:fill="FDFDFC"/>
          </w:tcPr>
          <w:p>
            <w:pPr>
              <w:spacing w:after="0"/>
              <w:rPr>
                <w:sz w:val="16"/>
                <w:szCs w:val="16"/>
                <w:color w:val="auto"/>
              </w:rPr>
            </w:pPr>
          </w:p>
        </w:tc>
        <w:tc>
          <w:tcPr>
            <w:tcW w:w="1000" w:type="dxa"/>
            <w:vAlign w:val="bottom"/>
            <w:shd w:val="clear" w:color="auto" w:fill="FDFDFC"/>
          </w:tcPr>
          <w:p>
            <w:pPr>
              <w:spacing w:after="0"/>
              <w:rPr>
                <w:sz w:val="16"/>
                <w:szCs w:val="16"/>
                <w:color w:val="auto"/>
              </w:rPr>
            </w:pPr>
          </w:p>
        </w:tc>
        <w:tc>
          <w:tcPr>
            <w:tcW w:w="180" w:type="dxa"/>
            <w:vAlign w:val="bottom"/>
            <w:shd w:val="clear" w:color="auto" w:fill="FDFDFC"/>
          </w:tcPr>
          <w:p>
            <w:pPr>
              <w:spacing w:after="0"/>
              <w:rPr>
                <w:sz w:val="16"/>
                <w:szCs w:val="16"/>
                <w:color w:val="auto"/>
              </w:rPr>
            </w:pPr>
          </w:p>
        </w:tc>
        <w:tc>
          <w:tcPr>
            <w:tcW w:w="960" w:type="dxa"/>
            <w:vAlign w:val="bottom"/>
            <w:shd w:val="clear" w:color="auto" w:fill="FDFDFC"/>
          </w:tcPr>
          <w:p>
            <w:pPr>
              <w:spacing w:after="0"/>
              <w:rPr>
                <w:sz w:val="16"/>
                <w:szCs w:val="16"/>
                <w:color w:val="auto"/>
              </w:rPr>
            </w:pPr>
          </w:p>
        </w:tc>
        <w:tc>
          <w:tcPr>
            <w:tcW w:w="200" w:type="dxa"/>
            <w:vAlign w:val="bottom"/>
            <w:shd w:val="clear" w:color="auto" w:fill="FDFDFC"/>
          </w:tcPr>
          <w:p>
            <w:pPr>
              <w:spacing w:after="0"/>
              <w:rPr>
                <w:sz w:val="16"/>
                <w:szCs w:val="16"/>
                <w:color w:val="auto"/>
              </w:rPr>
            </w:pPr>
          </w:p>
        </w:tc>
        <w:tc>
          <w:tcPr>
            <w:tcW w:w="900" w:type="dxa"/>
            <w:vAlign w:val="bottom"/>
            <w:shd w:val="clear" w:color="auto" w:fill="FDFDFC"/>
          </w:tcPr>
          <w:p>
            <w:pPr>
              <w:spacing w:after="0"/>
              <w:rPr>
                <w:sz w:val="16"/>
                <w:szCs w:val="16"/>
                <w:color w:val="auto"/>
              </w:rPr>
            </w:pPr>
          </w:p>
        </w:tc>
        <w:tc>
          <w:tcPr>
            <w:tcW w:w="240" w:type="dxa"/>
            <w:vAlign w:val="bottom"/>
            <w:shd w:val="clear" w:color="auto" w:fill="FDFDFC"/>
          </w:tcPr>
          <w:p>
            <w:pPr>
              <w:spacing w:after="0"/>
              <w:rPr>
                <w:sz w:val="16"/>
                <w:szCs w:val="16"/>
                <w:color w:val="auto"/>
              </w:rPr>
            </w:pPr>
          </w:p>
        </w:tc>
      </w:tr>
      <w:tr>
        <w:trPr>
          <w:trHeight w:val="158"/>
        </w:trPr>
        <w:tc>
          <w:tcPr>
            <w:tcW w:w="1440" w:type="dxa"/>
            <w:vAlign w:val="bottom"/>
            <w:shd w:val="clear" w:color="auto" w:fill="D0EBF2"/>
          </w:tcPr>
          <w:p>
            <w:pPr>
              <w:spacing w:after="0" w:line="159" w:lineRule="exact"/>
              <w:rPr>
                <w:sz w:val="20"/>
                <w:szCs w:val="20"/>
                <w:color w:val="auto"/>
              </w:rPr>
            </w:pPr>
            <w:r>
              <w:rPr>
                <w:rFonts w:ascii="Times New Roman" w:cs="Times New Roman" w:eastAsia="Times New Roman" w:hAnsi="Times New Roman"/>
                <w:sz w:val="15"/>
                <w:szCs w:val="15"/>
                <w:color w:val="231F20"/>
              </w:rPr>
              <w:t>SMA Technologies</w:t>
            </w:r>
          </w:p>
        </w:tc>
        <w:tc>
          <w:tcPr>
            <w:tcW w:w="2480" w:type="dxa"/>
            <w:vAlign w:val="bottom"/>
            <w:shd w:val="clear" w:color="auto" w:fill="D0EBF2"/>
          </w:tcPr>
          <w:p>
            <w:pPr>
              <w:ind w:left="80"/>
              <w:spacing w:after="0" w:line="159" w:lineRule="exact"/>
              <w:rPr>
                <w:sz w:val="20"/>
                <w:szCs w:val="20"/>
                <w:color w:val="auto"/>
              </w:rPr>
            </w:pPr>
            <w:r>
              <w:rPr>
                <w:rFonts w:ascii="Times New Roman" w:cs="Times New Roman" w:eastAsia="Times New Roman" w:hAnsi="Times New Roman"/>
                <w:sz w:val="15"/>
                <w:szCs w:val="15"/>
                <w:color w:val="231F20"/>
              </w:rPr>
              <w:t>First-lien loan ($36,833 par, due</w:t>
            </w:r>
          </w:p>
        </w:tc>
        <w:tc>
          <w:tcPr>
            <w:tcW w:w="780" w:type="dxa"/>
            <w:vAlign w:val="bottom"/>
            <w:shd w:val="clear" w:color="auto" w:fill="D0EBF2"/>
          </w:tcPr>
          <w:p>
            <w:pPr>
              <w:jc w:val="right"/>
              <w:spacing w:after="0" w:line="159" w:lineRule="exact"/>
              <w:rPr>
                <w:sz w:val="20"/>
                <w:szCs w:val="20"/>
                <w:color w:val="auto"/>
              </w:rPr>
            </w:pPr>
            <w:r>
              <w:rPr>
                <w:rFonts w:ascii="Times New Roman" w:cs="Times New Roman" w:eastAsia="Times New Roman" w:hAnsi="Times New Roman"/>
                <w:sz w:val="15"/>
                <w:szCs w:val="15"/>
                <w:color w:val="231F20"/>
              </w:rPr>
              <w:t>10/31/2022</w:t>
            </w:r>
          </w:p>
        </w:tc>
        <w:tc>
          <w:tcPr>
            <w:tcW w:w="1080" w:type="dxa"/>
            <w:vAlign w:val="bottom"/>
            <w:shd w:val="clear" w:color="auto" w:fill="D0EBF2"/>
          </w:tcPr>
          <w:p>
            <w:pPr>
              <w:jc w:val="right"/>
              <w:ind w:right="124"/>
              <w:spacing w:after="0" w:line="159" w:lineRule="exact"/>
              <w:rPr>
                <w:sz w:val="20"/>
                <w:szCs w:val="20"/>
                <w:color w:val="auto"/>
              </w:rPr>
            </w:pPr>
            <w:r>
              <w:rPr>
                <w:rFonts w:ascii="Times New Roman" w:cs="Times New Roman" w:eastAsia="Times New Roman" w:hAnsi="Times New Roman"/>
                <w:sz w:val="15"/>
                <w:szCs w:val="15"/>
                <w:color w:val="231F20"/>
              </w:rPr>
              <w:t>SOFR +</w:t>
            </w:r>
          </w:p>
        </w:tc>
        <w:tc>
          <w:tcPr>
            <w:tcW w:w="1020" w:type="dxa"/>
            <w:vAlign w:val="bottom"/>
            <w:shd w:val="clear" w:color="auto" w:fill="D0EBF2"/>
          </w:tcPr>
          <w:p>
            <w:pPr>
              <w:jc w:val="right"/>
              <w:ind w:right="24"/>
              <w:spacing w:after="0" w:line="159" w:lineRule="exact"/>
              <w:rPr>
                <w:sz w:val="20"/>
                <w:szCs w:val="20"/>
                <w:color w:val="auto"/>
              </w:rPr>
            </w:pPr>
            <w:r>
              <w:rPr>
                <w:rFonts w:ascii="Times New Roman" w:cs="Times New Roman" w:eastAsia="Times New Roman" w:hAnsi="Times New Roman"/>
                <w:sz w:val="15"/>
                <w:szCs w:val="15"/>
                <w:color w:val="231F20"/>
              </w:rPr>
              <w:t>12.11%</w:t>
            </w:r>
          </w:p>
        </w:tc>
        <w:tc>
          <w:tcPr>
            <w:tcW w:w="1000" w:type="dxa"/>
            <w:vAlign w:val="bottom"/>
            <w:shd w:val="clear" w:color="auto" w:fill="D0EBF2"/>
          </w:tcPr>
          <w:p>
            <w:pPr>
              <w:jc w:val="right"/>
              <w:spacing w:after="0" w:line="159" w:lineRule="exact"/>
              <w:rPr>
                <w:sz w:val="20"/>
                <w:szCs w:val="20"/>
                <w:color w:val="auto"/>
              </w:rPr>
            </w:pPr>
            <w:r>
              <w:rPr>
                <w:rFonts w:ascii="Times New Roman" w:cs="Times New Roman" w:eastAsia="Times New Roman" w:hAnsi="Times New Roman"/>
                <w:sz w:val="15"/>
                <w:szCs w:val="15"/>
                <w:color w:val="231F20"/>
              </w:rPr>
              <w:t>35,459</w:t>
            </w:r>
          </w:p>
        </w:tc>
        <w:tc>
          <w:tcPr>
            <w:tcW w:w="1140" w:type="dxa"/>
            <w:vAlign w:val="bottom"/>
            <w:gridSpan w:val="2"/>
            <w:shd w:val="clear" w:color="auto" w:fill="D0EBF2"/>
          </w:tcPr>
          <w:p>
            <w:pPr>
              <w:jc w:val="right"/>
              <w:spacing w:after="0" w:line="159" w:lineRule="exact"/>
              <w:rPr>
                <w:sz w:val="20"/>
                <w:szCs w:val="20"/>
                <w:color w:val="auto"/>
              </w:rPr>
            </w:pPr>
            <w:r>
              <w:rPr>
                <w:rFonts w:ascii="Times New Roman" w:cs="Times New Roman" w:eastAsia="Times New Roman" w:hAnsi="Times New Roman"/>
                <w:sz w:val="15"/>
                <w:szCs w:val="15"/>
                <w:color w:val="231F20"/>
              </w:rPr>
              <w:t>37,110</w:t>
            </w:r>
          </w:p>
        </w:tc>
        <w:tc>
          <w:tcPr>
            <w:tcW w:w="1340" w:type="dxa"/>
            <w:vAlign w:val="bottom"/>
            <w:gridSpan w:val="3"/>
            <w:shd w:val="clear" w:color="auto" w:fill="D0EBF2"/>
          </w:tcPr>
          <w:p>
            <w:pPr>
              <w:jc w:val="right"/>
              <w:ind w:right="120"/>
              <w:spacing w:after="0" w:line="159" w:lineRule="exact"/>
              <w:rPr>
                <w:sz w:val="20"/>
                <w:szCs w:val="20"/>
                <w:color w:val="auto"/>
              </w:rPr>
            </w:pPr>
            <w:r>
              <w:rPr>
                <w:rFonts w:ascii="Times New Roman" w:cs="Times New Roman" w:eastAsia="Times New Roman" w:hAnsi="Times New Roman"/>
                <w:sz w:val="15"/>
                <w:szCs w:val="15"/>
                <w:color w:val="231F20"/>
              </w:rPr>
              <w:t>2.5%</w:t>
            </w:r>
          </w:p>
        </w:tc>
      </w:tr>
      <w:tr>
        <w:trPr>
          <w:trHeight w:val="189"/>
        </w:trPr>
        <w:tc>
          <w:tcPr>
            <w:tcW w:w="1440" w:type="dxa"/>
            <w:vAlign w:val="bottom"/>
            <w:tcBorders>
              <w:bottom w:val="single" w:sz="8" w:color="FDFDFC"/>
            </w:tcBorders>
            <w:shd w:val="clear" w:color="auto" w:fill="D0EBF2"/>
          </w:tcPr>
          <w:p>
            <w:pPr>
              <w:spacing w:after="0"/>
              <w:rPr>
                <w:sz w:val="20"/>
                <w:szCs w:val="20"/>
                <w:color w:val="auto"/>
              </w:rPr>
            </w:pPr>
            <w:r>
              <w:rPr>
                <w:rFonts w:ascii="Times New Roman" w:cs="Times New Roman" w:eastAsia="Times New Roman" w:hAnsi="Times New Roman"/>
                <w:sz w:val="15"/>
                <w:szCs w:val="15"/>
                <w:color w:val="231F20"/>
              </w:rPr>
              <w:t>Holdings, LLC</w:t>
            </w:r>
            <w:r>
              <w:rPr>
                <w:rFonts w:ascii="Times New Roman" w:cs="Times New Roman" w:eastAsia="Times New Roman" w:hAnsi="Times New Roman"/>
                <w:sz w:val="9"/>
                <w:szCs w:val="9"/>
                <w:color w:val="231F20"/>
              </w:rPr>
              <w:t>(3)(5)</w:t>
            </w:r>
          </w:p>
        </w:tc>
        <w:tc>
          <w:tcPr>
            <w:tcW w:w="2480" w:type="dxa"/>
            <w:vAlign w:val="bottom"/>
            <w:tcBorders>
              <w:bottom w:val="single" w:sz="8" w:color="FDFDFC"/>
            </w:tcBorders>
            <w:shd w:val="clear" w:color="auto" w:fill="D0EBF2"/>
          </w:tcPr>
          <w:p>
            <w:pPr>
              <w:ind w:left="80"/>
              <w:spacing w:after="0"/>
              <w:rPr>
                <w:sz w:val="20"/>
                <w:szCs w:val="20"/>
                <w:color w:val="auto"/>
              </w:rPr>
            </w:pPr>
            <w:r>
              <w:rPr>
                <w:rFonts w:ascii="Times New Roman" w:cs="Times New Roman" w:eastAsia="Times New Roman" w:hAnsi="Times New Roman"/>
                <w:sz w:val="15"/>
                <w:szCs w:val="15"/>
                <w:color w:val="231F20"/>
              </w:rPr>
              <w:t>10/2028)</w:t>
            </w:r>
          </w:p>
        </w:tc>
        <w:tc>
          <w:tcPr>
            <w:tcW w:w="780" w:type="dxa"/>
            <w:vAlign w:val="bottom"/>
            <w:tcBorders>
              <w:bottom w:val="single" w:sz="8" w:color="FDFDFC"/>
            </w:tcBorders>
            <w:shd w:val="clear" w:color="auto" w:fill="D0EBF2"/>
          </w:tcPr>
          <w:p>
            <w:pPr>
              <w:spacing w:after="0"/>
              <w:rPr>
                <w:sz w:val="16"/>
                <w:szCs w:val="16"/>
                <w:color w:val="auto"/>
              </w:rPr>
            </w:pPr>
          </w:p>
        </w:tc>
        <w:tc>
          <w:tcPr>
            <w:tcW w:w="1080" w:type="dxa"/>
            <w:vAlign w:val="bottom"/>
            <w:tcBorders>
              <w:bottom w:val="single" w:sz="8" w:color="FDFDFC"/>
            </w:tcBorders>
            <w:shd w:val="clear" w:color="auto" w:fill="D0EBF2"/>
          </w:tcPr>
          <w:p>
            <w:pPr>
              <w:jc w:val="right"/>
              <w:ind w:right="124"/>
              <w:spacing w:after="0"/>
              <w:rPr>
                <w:sz w:val="20"/>
                <w:szCs w:val="20"/>
                <w:color w:val="auto"/>
              </w:rPr>
            </w:pPr>
            <w:r>
              <w:rPr>
                <w:rFonts w:ascii="Times New Roman" w:cs="Times New Roman" w:eastAsia="Times New Roman" w:hAnsi="Times New Roman"/>
                <w:sz w:val="15"/>
                <w:szCs w:val="15"/>
                <w:color w:val="231F20"/>
              </w:rPr>
              <w:t>6.75%</w:t>
            </w:r>
          </w:p>
        </w:tc>
        <w:tc>
          <w:tcPr>
            <w:tcW w:w="1020" w:type="dxa"/>
            <w:vAlign w:val="bottom"/>
            <w:tcBorders>
              <w:bottom w:val="single" w:sz="8" w:color="FDFDFC"/>
            </w:tcBorders>
            <w:shd w:val="clear" w:color="auto" w:fill="D0EBF2"/>
          </w:tcPr>
          <w:p>
            <w:pPr>
              <w:spacing w:after="0"/>
              <w:rPr>
                <w:sz w:val="16"/>
                <w:szCs w:val="16"/>
                <w:color w:val="auto"/>
              </w:rPr>
            </w:pPr>
          </w:p>
        </w:tc>
        <w:tc>
          <w:tcPr>
            <w:tcW w:w="1000" w:type="dxa"/>
            <w:vAlign w:val="bottom"/>
            <w:tcBorders>
              <w:bottom w:val="single" w:sz="8" w:color="231F20"/>
            </w:tcBorders>
            <w:shd w:val="clear" w:color="auto" w:fill="D0EBF2"/>
          </w:tcPr>
          <w:p>
            <w:pPr>
              <w:spacing w:after="0"/>
              <w:rPr>
                <w:sz w:val="16"/>
                <w:szCs w:val="16"/>
                <w:color w:val="auto"/>
              </w:rPr>
            </w:pPr>
          </w:p>
        </w:tc>
        <w:tc>
          <w:tcPr>
            <w:tcW w:w="180" w:type="dxa"/>
            <w:vAlign w:val="bottom"/>
            <w:tcBorders>
              <w:bottom w:val="single" w:sz="8" w:color="FDFDFC"/>
            </w:tcBorders>
            <w:shd w:val="clear" w:color="auto" w:fill="D0EBF2"/>
          </w:tcPr>
          <w:p>
            <w:pPr>
              <w:spacing w:after="0"/>
              <w:rPr>
                <w:sz w:val="16"/>
                <w:szCs w:val="16"/>
                <w:color w:val="auto"/>
              </w:rPr>
            </w:pPr>
          </w:p>
        </w:tc>
        <w:tc>
          <w:tcPr>
            <w:tcW w:w="960" w:type="dxa"/>
            <w:vAlign w:val="bottom"/>
            <w:tcBorders>
              <w:bottom w:val="single" w:sz="8" w:color="231F20"/>
            </w:tcBorders>
            <w:shd w:val="clear" w:color="auto" w:fill="D0EBF2"/>
          </w:tcPr>
          <w:p>
            <w:pPr>
              <w:spacing w:after="0"/>
              <w:rPr>
                <w:sz w:val="16"/>
                <w:szCs w:val="16"/>
                <w:color w:val="auto"/>
              </w:rPr>
            </w:pPr>
          </w:p>
        </w:tc>
        <w:tc>
          <w:tcPr>
            <w:tcW w:w="200" w:type="dxa"/>
            <w:vAlign w:val="bottom"/>
            <w:tcBorders>
              <w:bottom w:val="single" w:sz="8" w:color="FDFDFC"/>
            </w:tcBorders>
            <w:shd w:val="clear" w:color="auto" w:fill="D0EBF2"/>
          </w:tcPr>
          <w:p>
            <w:pPr>
              <w:spacing w:after="0"/>
              <w:rPr>
                <w:sz w:val="16"/>
                <w:szCs w:val="16"/>
                <w:color w:val="auto"/>
              </w:rPr>
            </w:pPr>
          </w:p>
        </w:tc>
        <w:tc>
          <w:tcPr>
            <w:tcW w:w="900" w:type="dxa"/>
            <w:vAlign w:val="bottom"/>
            <w:tcBorders>
              <w:bottom w:val="single" w:sz="8" w:color="231F20"/>
            </w:tcBorders>
            <w:shd w:val="clear" w:color="auto" w:fill="D0EBF2"/>
          </w:tcPr>
          <w:p>
            <w:pPr>
              <w:spacing w:after="0"/>
              <w:rPr>
                <w:sz w:val="16"/>
                <w:szCs w:val="16"/>
                <w:color w:val="auto"/>
              </w:rPr>
            </w:pPr>
          </w:p>
        </w:tc>
        <w:tc>
          <w:tcPr>
            <w:tcW w:w="240" w:type="dxa"/>
            <w:vAlign w:val="bottom"/>
            <w:shd w:val="clear" w:color="auto" w:fill="D0EBF2"/>
          </w:tcPr>
          <w:p>
            <w:pPr>
              <w:spacing w:after="0"/>
              <w:rPr>
                <w:sz w:val="16"/>
                <w:szCs w:val="16"/>
                <w:color w:val="auto"/>
              </w:rPr>
            </w:pPr>
          </w:p>
        </w:tc>
      </w:tr>
      <w:tr>
        <w:trPr>
          <w:trHeight w:val="163"/>
        </w:trPr>
        <w:tc>
          <w:tcPr>
            <w:tcW w:w="1440" w:type="dxa"/>
            <w:vAlign w:val="bottom"/>
            <w:shd w:val="clear" w:color="auto" w:fill="FDFDFC"/>
          </w:tcPr>
          <w:p>
            <w:pPr>
              <w:spacing w:after="0"/>
              <w:rPr>
                <w:sz w:val="14"/>
                <w:szCs w:val="14"/>
                <w:color w:val="auto"/>
              </w:rPr>
            </w:pPr>
          </w:p>
        </w:tc>
        <w:tc>
          <w:tcPr>
            <w:tcW w:w="2480" w:type="dxa"/>
            <w:vAlign w:val="bottom"/>
            <w:shd w:val="clear" w:color="auto" w:fill="FDFDFC"/>
          </w:tcPr>
          <w:p>
            <w:pPr>
              <w:spacing w:after="0"/>
              <w:rPr>
                <w:sz w:val="14"/>
                <w:szCs w:val="14"/>
                <w:color w:val="auto"/>
              </w:rPr>
            </w:pPr>
          </w:p>
        </w:tc>
        <w:tc>
          <w:tcPr>
            <w:tcW w:w="780" w:type="dxa"/>
            <w:vAlign w:val="bottom"/>
            <w:shd w:val="clear" w:color="auto" w:fill="FDFDFC"/>
          </w:tcPr>
          <w:p>
            <w:pPr>
              <w:spacing w:after="0"/>
              <w:rPr>
                <w:sz w:val="14"/>
                <w:szCs w:val="14"/>
                <w:color w:val="auto"/>
              </w:rPr>
            </w:pPr>
          </w:p>
        </w:tc>
        <w:tc>
          <w:tcPr>
            <w:tcW w:w="1080" w:type="dxa"/>
            <w:vAlign w:val="bottom"/>
            <w:shd w:val="clear" w:color="auto" w:fill="FDFDFC"/>
          </w:tcPr>
          <w:p>
            <w:pPr>
              <w:spacing w:after="0"/>
              <w:rPr>
                <w:sz w:val="14"/>
                <w:szCs w:val="14"/>
                <w:color w:val="auto"/>
              </w:rPr>
            </w:pPr>
          </w:p>
        </w:tc>
        <w:tc>
          <w:tcPr>
            <w:tcW w:w="1020" w:type="dxa"/>
            <w:vAlign w:val="bottom"/>
            <w:shd w:val="clear" w:color="auto" w:fill="FDFDFC"/>
          </w:tcPr>
          <w:p>
            <w:pPr>
              <w:spacing w:after="0"/>
              <w:rPr>
                <w:sz w:val="14"/>
                <w:szCs w:val="14"/>
                <w:color w:val="auto"/>
              </w:rPr>
            </w:pPr>
          </w:p>
        </w:tc>
        <w:tc>
          <w:tcPr>
            <w:tcW w:w="1000" w:type="dxa"/>
            <w:vAlign w:val="bottom"/>
            <w:shd w:val="clear" w:color="auto" w:fill="FDFDFC"/>
          </w:tcPr>
          <w:p>
            <w:pPr>
              <w:jc w:val="right"/>
              <w:spacing w:after="0" w:line="164" w:lineRule="exact"/>
              <w:rPr>
                <w:sz w:val="20"/>
                <w:szCs w:val="20"/>
                <w:color w:val="auto"/>
              </w:rPr>
            </w:pPr>
            <w:r>
              <w:rPr>
                <w:rFonts w:ascii="Times New Roman" w:cs="Times New Roman" w:eastAsia="Times New Roman" w:hAnsi="Times New Roman"/>
                <w:sz w:val="15"/>
                <w:szCs w:val="15"/>
                <w:color w:val="231F20"/>
              </w:rPr>
              <w:t>473,034</w:t>
            </w:r>
          </w:p>
        </w:tc>
        <w:tc>
          <w:tcPr>
            <w:tcW w:w="180" w:type="dxa"/>
            <w:vAlign w:val="bottom"/>
            <w:shd w:val="clear" w:color="auto" w:fill="FDFDFC"/>
          </w:tcPr>
          <w:p>
            <w:pPr>
              <w:spacing w:after="0"/>
              <w:rPr>
                <w:sz w:val="14"/>
                <w:szCs w:val="14"/>
                <w:color w:val="auto"/>
              </w:rPr>
            </w:pPr>
          </w:p>
        </w:tc>
        <w:tc>
          <w:tcPr>
            <w:tcW w:w="960" w:type="dxa"/>
            <w:vAlign w:val="bottom"/>
            <w:shd w:val="clear" w:color="auto" w:fill="FDFDFC"/>
          </w:tcPr>
          <w:p>
            <w:pPr>
              <w:jc w:val="right"/>
              <w:spacing w:after="0" w:line="164" w:lineRule="exact"/>
              <w:rPr>
                <w:sz w:val="20"/>
                <w:szCs w:val="20"/>
                <w:color w:val="auto"/>
              </w:rPr>
            </w:pPr>
            <w:r>
              <w:rPr>
                <w:rFonts w:ascii="Times New Roman" w:cs="Times New Roman" w:eastAsia="Times New Roman" w:hAnsi="Times New Roman"/>
                <w:sz w:val="15"/>
                <w:szCs w:val="15"/>
                <w:color w:val="231F20"/>
              </w:rPr>
              <w:t>479,531</w:t>
            </w:r>
          </w:p>
        </w:tc>
        <w:tc>
          <w:tcPr>
            <w:tcW w:w="200" w:type="dxa"/>
            <w:vAlign w:val="bottom"/>
            <w:shd w:val="clear" w:color="auto" w:fill="FDFDFC"/>
          </w:tcPr>
          <w:p>
            <w:pPr>
              <w:spacing w:after="0"/>
              <w:rPr>
                <w:sz w:val="14"/>
                <w:szCs w:val="14"/>
                <w:color w:val="auto"/>
              </w:rPr>
            </w:pPr>
          </w:p>
        </w:tc>
        <w:tc>
          <w:tcPr>
            <w:tcW w:w="1140" w:type="dxa"/>
            <w:vAlign w:val="bottom"/>
            <w:gridSpan w:val="2"/>
          </w:tcPr>
          <w:p>
            <w:pPr>
              <w:jc w:val="right"/>
              <w:ind w:right="120"/>
              <w:spacing w:after="0" w:line="164" w:lineRule="exact"/>
              <w:rPr>
                <w:sz w:val="20"/>
                <w:szCs w:val="20"/>
                <w:color w:val="auto"/>
              </w:rPr>
            </w:pPr>
            <w:r>
              <w:rPr>
                <w:rFonts w:ascii="Times New Roman" w:cs="Times New Roman" w:eastAsia="Times New Roman" w:hAnsi="Times New Roman"/>
                <w:sz w:val="15"/>
                <w:szCs w:val="15"/>
                <w:color w:val="231F20"/>
              </w:rPr>
              <w:t>31.9%</w:t>
            </w:r>
          </w:p>
        </w:tc>
      </w:tr>
      <w:tr>
        <w:trPr>
          <w:trHeight w:val="163"/>
        </w:trPr>
        <w:tc>
          <w:tcPr>
            <w:tcW w:w="1440" w:type="dxa"/>
            <w:vAlign w:val="bottom"/>
            <w:tcBorders>
              <w:top w:val="single" w:sz="8" w:color="D0EBF2"/>
            </w:tcBorders>
            <w:shd w:val="clear" w:color="auto" w:fill="D0EBF2"/>
          </w:tcPr>
          <w:p>
            <w:pPr>
              <w:spacing w:after="0" w:line="164" w:lineRule="exact"/>
              <w:rPr>
                <w:sz w:val="20"/>
                <w:szCs w:val="20"/>
                <w:color w:val="auto"/>
              </w:rPr>
            </w:pPr>
            <w:r>
              <w:rPr>
                <w:rFonts w:ascii="Times New Roman" w:cs="Times New Roman" w:eastAsia="Times New Roman" w:hAnsi="Times New Roman"/>
                <w:sz w:val="15"/>
                <w:szCs w:val="15"/>
                <w:b w:val="1"/>
                <w:bCs w:val="1"/>
                <w:color w:val="231F20"/>
              </w:rPr>
              <w:t>Manufacturing</w:t>
            </w:r>
          </w:p>
        </w:tc>
        <w:tc>
          <w:tcPr>
            <w:tcW w:w="2480" w:type="dxa"/>
            <w:vAlign w:val="bottom"/>
            <w:tcBorders>
              <w:top w:val="single" w:sz="8" w:color="D0EBF2"/>
            </w:tcBorders>
            <w:shd w:val="clear" w:color="auto" w:fill="D0EBF2"/>
          </w:tcPr>
          <w:p>
            <w:pPr>
              <w:spacing w:after="0"/>
              <w:rPr>
                <w:sz w:val="14"/>
                <w:szCs w:val="14"/>
                <w:color w:val="auto"/>
              </w:rPr>
            </w:pPr>
          </w:p>
        </w:tc>
        <w:tc>
          <w:tcPr>
            <w:tcW w:w="780" w:type="dxa"/>
            <w:vAlign w:val="bottom"/>
            <w:tcBorders>
              <w:top w:val="single" w:sz="8" w:color="D0EBF2"/>
            </w:tcBorders>
            <w:shd w:val="clear" w:color="auto" w:fill="D0EBF2"/>
          </w:tcPr>
          <w:p>
            <w:pPr>
              <w:spacing w:after="0"/>
              <w:rPr>
                <w:sz w:val="14"/>
                <w:szCs w:val="14"/>
                <w:color w:val="auto"/>
              </w:rPr>
            </w:pPr>
          </w:p>
        </w:tc>
        <w:tc>
          <w:tcPr>
            <w:tcW w:w="1080" w:type="dxa"/>
            <w:vAlign w:val="bottom"/>
            <w:tcBorders>
              <w:top w:val="single" w:sz="8" w:color="D0EBF2"/>
            </w:tcBorders>
            <w:shd w:val="clear" w:color="auto" w:fill="D0EBF2"/>
          </w:tcPr>
          <w:p>
            <w:pPr>
              <w:spacing w:after="0"/>
              <w:rPr>
                <w:sz w:val="14"/>
                <w:szCs w:val="14"/>
                <w:color w:val="auto"/>
              </w:rPr>
            </w:pPr>
          </w:p>
        </w:tc>
        <w:tc>
          <w:tcPr>
            <w:tcW w:w="1020" w:type="dxa"/>
            <w:vAlign w:val="bottom"/>
            <w:tcBorders>
              <w:top w:val="single" w:sz="8" w:color="D0EBF2"/>
            </w:tcBorders>
            <w:shd w:val="clear" w:color="auto" w:fill="D0EBF2"/>
          </w:tcPr>
          <w:p>
            <w:pPr>
              <w:spacing w:after="0"/>
              <w:rPr>
                <w:sz w:val="14"/>
                <w:szCs w:val="14"/>
                <w:color w:val="auto"/>
              </w:rPr>
            </w:pPr>
          </w:p>
        </w:tc>
        <w:tc>
          <w:tcPr>
            <w:tcW w:w="1000" w:type="dxa"/>
            <w:vAlign w:val="bottom"/>
            <w:tcBorders>
              <w:top w:val="single" w:sz="8" w:color="231F20"/>
            </w:tcBorders>
            <w:shd w:val="clear" w:color="auto" w:fill="D0EBF2"/>
          </w:tcPr>
          <w:p>
            <w:pPr>
              <w:spacing w:after="0"/>
              <w:rPr>
                <w:sz w:val="14"/>
                <w:szCs w:val="14"/>
                <w:color w:val="auto"/>
              </w:rPr>
            </w:pPr>
          </w:p>
        </w:tc>
        <w:tc>
          <w:tcPr>
            <w:tcW w:w="180" w:type="dxa"/>
            <w:vAlign w:val="bottom"/>
            <w:tcBorders>
              <w:top w:val="single" w:sz="8" w:color="D0EBF2"/>
            </w:tcBorders>
            <w:shd w:val="clear" w:color="auto" w:fill="D0EBF2"/>
          </w:tcPr>
          <w:p>
            <w:pPr>
              <w:spacing w:after="0"/>
              <w:rPr>
                <w:sz w:val="14"/>
                <w:szCs w:val="14"/>
                <w:color w:val="auto"/>
              </w:rPr>
            </w:pPr>
          </w:p>
        </w:tc>
        <w:tc>
          <w:tcPr>
            <w:tcW w:w="960" w:type="dxa"/>
            <w:vAlign w:val="bottom"/>
            <w:tcBorders>
              <w:top w:val="single" w:sz="8" w:color="231F20"/>
            </w:tcBorders>
            <w:shd w:val="clear" w:color="auto" w:fill="D0EBF2"/>
          </w:tcPr>
          <w:p>
            <w:pPr>
              <w:spacing w:after="0"/>
              <w:rPr>
                <w:sz w:val="14"/>
                <w:szCs w:val="14"/>
                <w:color w:val="auto"/>
              </w:rPr>
            </w:pPr>
          </w:p>
        </w:tc>
        <w:tc>
          <w:tcPr>
            <w:tcW w:w="200" w:type="dxa"/>
            <w:vAlign w:val="bottom"/>
            <w:tcBorders>
              <w:top w:val="single" w:sz="8" w:color="D0EBF2"/>
            </w:tcBorders>
            <w:shd w:val="clear" w:color="auto" w:fill="D0EBF2"/>
          </w:tcPr>
          <w:p>
            <w:pPr>
              <w:spacing w:after="0"/>
              <w:rPr>
                <w:sz w:val="14"/>
                <w:szCs w:val="14"/>
                <w:color w:val="auto"/>
              </w:rPr>
            </w:pPr>
          </w:p>
        </w:tc>
        <w:tc>
          <w:tcPr>
            <w:tcW w:w="900" w:type="dxa"/>
            <w:vAlign w:val="bottom"/>
            <w:tcBorders>
              <w:top w:val="single" w:sz="8" w:color="231F20"/>
            </w:tcBorders>
            <w:shd w:val="clear" w:color="auto" w:fill="D0EBF2"/>
          </w:tcPr>
          <w:p>
            <w:pPr>
              <w:spacing w:after="0"/>
              <w:rPr>
                <w:sz w:val="14"/>
                <w:szCs w:val="14"/>
                <w:color w:val="auto"/>
              </w:rPr>
            </w:pPr>
          </w:p>
        </w:tc>
        <w:tc>
          <w:tcPr>
            <w:tcW w:w="240" w:type="dxa"/>
            <w:vAlign w:val="bottom"/>
            <w:tcBorders>
              <w:top w:val="single" w:sz="8" w:color="D0EBF2"/>
            </w:tcBorders>
            <w:shd w:val="clear" w:color="auto" w:fill="D0EBF2"/>
          </w:tcPr>
          <w:p>
            <w:pPr>
              <w:spacing w:after="0"/>
              <w:rPr>
                <w:sz w:val="14"/>
                <w:szCs w:val="14"/>
                <w:color w:val="auto"/>
              </w:rPr>
            </w:pPr>
          </w:p>
        </w:tc>
      </w:tr>
      <w:tr>
        <w:trPr>
          <w:trHeight w:val="158"/>
        </w:trPr>
        <w:tc>
          <w:tcPr>
            <w:tcW w:w="1440" w:type="dxa"/>
            <w:vAlign w:val="bottom"/>
            <w:shd w:val="clear" w:color="auto" w:fill="FDFDFC"/>
          </w:tcPr>
          <w:p>
            <w:pPr>
              <w:spacing w:after="0" w:line="159" w:lineRule="exact"/>
              <w:rPr>
                <w:sz w:val="20"/>
                <w:szCs w:val="20"/>
                <w:color w:val="auto"/>
              </w:rPr>
            </w:pPr>
            <w:r>
              <w:rPr>
                <w:rFonts w:ascii="Times New Roman" w:cs="Times New Roman" w:eastAsia="Times New Roman" w:hAnsi="Times New Roman"/>
                <w:sz w:val="15"/>
                <w:szCs w:val="15"/>
                <w:color w:val="231F20"/>
              </w:rPr>
              <w:t>ASP Unifrax</w:t>
            </w:r>
          </w:p>
        </w:tc>
        <w:tc>
          <w:tcPr>
            <w:tcW w:w="2480" w:type="dxa"/>
            <w:vAlign w:val="bottom"/>
            <w:shd w:val="clear" w:color="auto" w:fill="FDFDFC"/>
          </w:tcPr>
          <w:p>
            <w:pPr>
              <w:ind w:left="80"/>
              <w:spacing w:after="0" w:line="159" w:lineRule="exact"/>
              <w:rPr>
                <w:sz w:val="20"/>
                <w:szCs w:val="20"/>
                <w:color w:val="auto"/>
              </w:rPr>
            </w:pPr>
            <w:r>
              <w:rPr>
                <w:rFonts w:ascii="Times New Roman" w:cs="Times New Roman" w:eastAsia="Times New Roman" w:hAnsi="Times New Roman"/>
                <w:sz w:val="15"/>
                <w:szCs w:val="15"/>
                <w:color w:val="231F20"/>
              </w:rPr>
              <w:t>First-lien loan ($1,130 par, due</w:t>
            </w:r>
          </w:p>
        </w:tc>
        <w:tc>
          <w:tcPr>
            <w:tcW w:w="780" w:type="dxa"/>
            <w:vAlign w:val="bottom"/>
            <w:shd w:val="clear" w:color="auto" w:fill="FDFDFC"/>
          </w:tcPr>
          <w:p>
            <w:pPr>
              <w:jc w:val="right"/>
              <w:spacing w:after="0" w:line="159" w:lineRule="exact"/>
              <w:rPr>
                <w:sz w:val="20"/>
                <w:szCs w:val="20"/>
                <w:color w:val="auto"/>
              </w:rPr>
            </w:pPr>
            <w:r>
              <w:rPr>
                <w:rFonts w:ascii="Times New Roman" w:cs="Times New Roman" w:eastAsia="Times New Roman" w:hAnsi="Times New Roman"/>
                <w:sz w:val="15"/>
                <w:szCs w:val="15"/>
                <w:color w:val="231F20"/>
              </w:rPr>
              <w:t>8/25/2023</w:t>
            </w:r>
          </w:p>
        </w:tc>
        <w:tc>
          <w:tcPr>
            <w:tcW w:w="1080" w:type="dxa"/>
            <w:vAlign w:val="bottom"/>
            <w:shd w:val="clear" w:color="auto" w:fill="FDFDFC"/>
          </w:tcPr>
          <w:p>
            <w:pPr>
              <w:jc w:val="right"/>
              <w:ind w:right="124"/>
              <w:spacing w:after="0" w:line="159" w:lineRule="exact"/>
              <w:rPr>
                <w:sz w:val="20"/>
                <w:szCs w:val="20"/>
                <w:color w:val="auto"/>
              </w:rPr>
            </w:pPr>
            <w:r>
              <w:rPr>
                <w:rFonts w:ascii="Times New Roman" w:cs="Times New Roman" w:eastAsia="Times New Roman" w:hAnsi="Times New Roman"/>
                <w:sz w:val="15"/>
                <w:szCs w:val="15"/>
                <w:color w:val="231F20"/>
              </w:rPr>
              <w:t>SOFR +</w:t>
            </w:r>
          </w:p>
        </w:tc>
        <w:tc>
          <w:tcPr>
            <w:tcW w:w="1020" w:type="dxa"/>
            <w:vAlign w:val="bottom"/>
            <w:shd w:val="clear" w:color="auto" w:fill="FDFDFC"/>
          </w:tcPr>
          <w:p>
            <w:pPr>
              <w:jc w:val="right"/>
              <w:ind w:right="24"/>
              <w:spacing w:after="0" w:line="159" w:lineRule="exact"/>
              <w:rPr>
                <w:sz w:val="20"/>
                <w:szCs w:val="20"/>
                <w:color w:val="auto"/>
              </w:rPr>
            </w:pPr>
            <w:r>
              <w:rPr>
                <w:rFonts w:ascii="Times New Roman" w:cs="Times New Roman" w:eastAsia="Times New Roman" w:hAnsi="Times New Roman"/>
                <w:sz w:val="15"/>
                <w:szCs w:val="15"/>
                <w:color w:val="231F20"/>
              </w:rPr>
              <w:t>9.25%</w:t>
            </w:r>
          </w:p>
        </w:tc>
        <w:tc>
          <w:tcPr>
            <w:tcW w:w="1000" w:type="dxa"/>
            <w:vAlign w:val="bottom"/>
            <w:shd w:val="clear" w:color="auto" w:fill="FDFDFC"/>
          </w:tcPr>
          <w:p>
            <w:pPr>
              <w:jc w:val="right"/>
              <w:spacing w:after="0" w:line="159" w:lineRule="exact"/>
              <w:rPr>
                <w:sz w:val="20"/>
                <w:szCs w:val="20"/>
                <w:color w:val="auto"/>
              </w:rPr>
            </w:pPr>
            <w:r>
              <w:rPr>
                <w:rFonts w:ascii="Times New Roman" w:cs="Times New Roman" w:eastAsia="Times New Roman" w:hAnsi="Times New Roman"/>
                <w:sz w:val="15"/>
                <w:szCs w:val="15"/>
                <w:color w:val="231F20"/>
              </w:rPr>
              <w:t>1,053</w:t>
            </w:r>
          </w:p>
        </w:tc>
        <w:tc>
          <w:tcPr>
            <w:tcW w:w="180" w:type="dxa"/>
            <w:vAlign w:val="bottom"/>
            <w:shd w:val="clear" w:color="auto" w:fill="FDFDFC"/>
          </w:tcPr>
          <w:p>
            <w:pPr>
              <w:spacing w:after="0"/>
              <w:rPr>
                <w:sz w:val="13"/>
                <w:szCs w:val="13"/>
                <w:color w:val="auto"/>
              </w:rPr>
            </w:pPr>
          </w:p>
        </w:tc>
        <w:tc>
          <w:tcPr>
            <w:tcW w:w="960" w:type="dxa"/>
            <w:vAlign w:val="bottom"/>
            <w:shd w:val="clear" w:color="auto" w:fill="FDFDFC"/>
          </w:tcPr>
          <w:p>
            <w:pPr>
              <w:jc w:val="right"/>
              <w:spacing w:after="0" w:line="159" w:lineRule="exact"/>
              <w:rPr>
                <w:sz w:val="20"/>
                <w:szCs w:val="20"/>
                <w:color w:val="auto"/>
              </w:rPr>
            </w:pPr>
            <w:r>
              <w:rPr>
                <w:rFonts w:ascii="Times New Roman" w:cs="Times New Roman" w:eastAsia="Times New Roman" w:hAnsi="Times New Roman"/>
                <w:sz w:val="15"/>
                <w:szCs w:val="15"/>
                <w:color w:val="231F20"/>
              </w:rPr>
              <w:t>1,051</w:t>
            </w:r>
          </w:p>
        </w:tc>
        <w:tc>
          <w:tcPr>
            <w:tcW w:w="200" w:type="dxa"/>
            <w:vAlign w:val="bottom"/>
            <w:shd w:val="clear" w:color="auto" w:fill="FDFDFC"/>
          </w:tcPr>
          <w:p>
            <w:pPr>
              <w:spacing w:after="0"/>
              <w:rPr>
                <w:sz w:val="13"/>
                <w:szCs w:val="13"/>
                <w:color w:val="auto"/>
              </w:rPr>
            </w:pPr>
          </w:p>
        </w:tc>
        <w:tc>
          <w:tcPr>
            <w:tcW w:w="1140" w:type="dxa"/>
            <w:vAlign w:val="bottom"/>
            <w:gridSpan w:val="2"/>
            <w:shd w:val="clear" w:color="auto" w:fill="FDFDFC"/>
          </w:tcPr>
          <w:p>
            <w:pPr>
              <w:jc w:val="right"/>
              <w:ind w:right="120"/>
              <w:spacing w:after="0" w:line="159" w:lineRule="exact"/>
              <w:rPr>
                <w:sz w:val="20"/>
                <w:szCs w:val="20"/>
                <w:color w:val="auto"/>
              </w:rPr>
            </w:pPr>
            <w:r>
              <w:rPr>
                <w:rFonts w:ascii="Times New Roman" w:cs="Times New Roman" w:eastAsia="Times New Roman" w:hAnsi="Times New Roman"/>
                <w:sz w:val="15"/>
                <w:szCs w:val="15"/>
                <w:color w:val="231F20"/>
              </w:rPr>
              <w:t>0.1%</w:t>
            </w:r>
          </w:p>
        </w:tc>
      </w:tr>
      <w:tr>
        <w:trPr>
          <w:trHeight w:val="189"/>
        </w:trPr>
        <w:tc>
          <w:tcPr>
            <w:tcW w:w="1440" w:type="dxa"/>
            <w:vAlign w:val="bottom"/>
            <w:shd w:val="clear" w:color="auto" w:fill="FDFDFC"/>
          </w:tcPr>
          <w:p>
            <w:pPr>
              <w:spacing w:after="0"/>
              <w:rPr>
                <w:sz w:val="20"/>
                <w:szCs w:val="20"/>
                <w:color w:val="auto"/>
              </w:rPr>
            </w:pPr>
            <w:r>
              <w:rPr>
                <w:rFonts w:ascii="Times New Roman" w:cs="Times New Roman" w:eastAsia="Times New Roman" w:hAnsi="Times New Roman"/>
                <w:sz w:val="15"/>
                <w:szCs w:val="15"/>
                <w:color w:val="231F20"/>
              </w:rPr>
              <w:t xml:space="preserve">Holdings, Inc. </w:t>
            </w:r>
            <w:r>
              <w:rPr>
                <w:rFonts w:ascii="Times New Roman" w:cs="Times New Roman" w:eastAsia="Times New Roman" w:hAnsi="Times New Roman"/>
                <w:sz w:val="9"/>
                <w:szCs w:val="9"/>
                <w:color w:val="231F20"/>
              </w:rPr>
              <w:t>(9)</w:t>
            </w:r>
          </w:p>
        </w:tc>
        <w:tc>
          <w:tcPr>
            <w:tcW w:w="2480" w:type="dxa"/>
            <w:vAlign w:val="bottom"/>
            <w:shd w:val="clear" w:color="auto" w:fill="FDFDFC"/>
          </w:tcPr>
          <w:p>
            <w:pPr>
              <w:ind w:left="80"/>
              <w:spacing w:after="0"/>
              <w:rPr>
                <w:sz w:val="20"/>
                <w:szCs w:val="20"/>
                <w:color w:val="auto"/>
              </w:rPr>
            </w:pPr>
            <w:r>
              <w:rPr>
                <w:rFonts w:ascii="Times New Roman" w:cs="Times New Roman" w:eastAsia="Times New Roman" w:hAnsi="Times New Roman"/>
                <w:sz w:val="15"/>
                <w:szCs w:val="15"/>
                <w:color w:val="231F20"/>
              </w:rPr>
              <w:t xml:space="preserve">12/2025) </w:t>
            </w:r>
            <w:r>
              <w:rPr>
                <w:rFonts w:ascii="Times New Roman" w:cs="Times New Roman" w:eastAsia="Times New Roman" w:hAnsi="Times New Roman"/>
                <w:sz w:val="9"/>
                <w:szCs w:val="9"/>
                <w:color w:val="231F20"/>
              </w:rPr>
              <w:t>(3)</w:t>
            </w:r>
          </w:p>
        </w:tc>
        <w:tc>
          <w:tcPr>
            <w:tcW w:w="780" w:type="dxa"/>
            <w:vAlign w:val="bottom"/>
            <w:shd w:val="clear" w:color="auto" w:fill="FDFDFC"/>
          </w:tcPr>
          <w:p>
            <w:pPr>
              <w:spacing w:after="0"/>
              <w:rPr>
                <w:sz w:val="16"/>
                <w:szCs w:val="16"/>
                <w:color w:val="auto"/>
              </w:rPr>
            </w:pPr>
          </w:p>
        </w:tc>
        <w:tc>
          <w:tcPr>
            <w:tcW w:w="1080" w:type="dxa"/>
            <w:vAlign w:val="bottom"/>
            <w:shd w:val="clear" w:color="auto" w:fill="FDFDFC"/>
          </w:tcPr>
          <w:p>
            <w:pPr>
              <w:jc w:val="right"/>
              <w:ind w:right="124"/>
              <w:spacing w:after="0"/>
              <w:rPr>
                <w:sz w:val="20"/>
                <w:szCs w:val="20"/>
                <w:color w:val="auto"/>
              </w:rPr>
            </w:pPr>
            <w:r>
              <w:rPr>
                <w:rFonts w:ascii="Times New Roman" w:cs="Times New Roman" w:eastAsia="Times New Roman" w:hAnsi="Times New Roman"/>
                <w:sz w:val="15"/>
                <w:szCs w:val="15"/>
                <w:color w:val="231F20"/>
              </w:rPr>
              <w:t>3.90%</w:t>
            </w:r>
          </w:p>
        </w:tc>
        <w:tc>
          <w:tcPr>
            <w:tcW w:w="1020" w:type="dxa"/>
            <w:vAlign w:val="bottom"/>
            <w:shd w:val="clear" w:color="auto" w:fill="FDFDFC"/>
          </w:tcPr>
          <w:p>
            <w:pPr>
              <w:spacing w:after="0"/>
              <w:rPr>
                <w:sz w:val="16"/>
                <w:szCs w:val="16"/>
                <w:color w:val="auto"/>
              </w:rPr>
            </w:pPr>
          </w:p>
        </w:tc>
        <w:tc>
          <w:tcPr>
            <w:tcW w:w="1000" w:type="dxa"/>
            <w:vAlign w:val="bottom"/>
            <w:shd w:val="clear" w:color="auto" w:fill="FDFDFC"/>
          </w:tcPr>
          <w:p>
            <w:pPr>
              <w:spacing w:after="0"/>
              <w:rPr>
                <w:sz w:val="16"/>
                <w:szCs w:val="16"/>
                <w:color w:val="auto"/>
              </w:rPr>
            </w:pPr>
          </w:p>
        </w:tc>
        <w:tc>
          <w:tcPr>
            <w:tcW w:w="180" w:type="dxa"/>
            <w:vAlign w:val="bottom"/>
            <w:shd w:val="clear" w:color="auto" w:fill="FDFDFC"/>
          </w:tcPr>
          <w:p>
            <w:pPr>
              <w:spacing w:after="0"/>
              <w:rPr>
                <w:sz w:val="16"/>
                <w:szCs w:val="16"/>
                <w:color w:val="auto"/>
              </w:rPr>
            </w:pPr>
          </w:p>
        </w:tc>
        <w:tc>
          <w:tcPr>
            <w:tcW w:w="960" w:type="dxa"/>
            <w:vAlign w:val="bottom"/>
            <w:shd w:val="clear" w:color="auto" w:fill="FDFDFC"/>
          </w:tcPr>
          <w:p>
            <w:pPr>
              <w:spacing w:after="0"/>
              <w:rPr>
                <w:sz w:val="16"/>
                <w:szCs w:val="16"/>
                <w:color w:val="auto"/>
              </w:rPr>
            </w:pPr>
          </w:p>
        </w:tc>
        <w:tc>
          <w:tcPr>
            <w:tcW w:w="200" w:type="dxa"/>
            <w:vAlign w:val="bottom"/>
            <w:shd w:val="clear" w:color="auto" w:fill="FDFDFC"/>
          </w:tcPr>
          <w:p>
            <w:pPr>
              <w:spacing w:after="0"/>
              <w:rPr>
                <w:sz w:val="16"/>
                <w:szCs w:val="16"/>
                <w:color w:val="auto"/>
              </w:rPr>
            </w:pPr>
          </w:p>
        </w:tc>
        <w:tc>
          <w:tcPr>
            <w:tcW w:w="900" w:type="dxa"/>
            <w:vAlign w:val="bottom"/>
            <w:shd w:val="clear" w:color="auto" w:fill="FDFDFC"/>
          </w:tcPr>
          <w:p>
            <w:pPr>
              <w:spacing w:after="0"/>
              <w:rPr>
                <w:sz w:val="16"/>
                <w:szCs w:val="16"/>
                <w:color w:val="auto"/>
              </w:rPr>
            </w:pPr>
          </w:p>
        </w:tc>
        <w:tc>
          <w:tcPr>
            <w:tcW w:w="240" w:type="dxa"/>
            <w:vAlign w:val="bottom"/>
            <w:shd w:val="clear" w:color="auto" w:fill="FDFDFC"/>
          </w:tcPr>
          <w:p>
            <w:pPr>
              <w:spacing w:after="0"/>
              <w:rPr>
                <w:sz w:val="16"/>
                <w:szCs w:val="16"/>
                <w:color w:val="auto"/>
              </w:rPr>
            </w:pPr>
          </w:p>
        </w:tc>
      </w:tr>
      <w:tr>
        <w:trPr>
          <w:trHeight w:val="158"/>
        </w:trPr>
        <w:tc>
          <w:tcPr>
            <w:tcW w:w="1440" w:type="dxa"/>
            <w:vAlign w:val="bottom"/>
            <w:shd w:val="clear" w:color="auto" w:fill="D0EBF2"/>
          </w:tcPr>
          <w:p>
            <w:pPr>
              <w:spacing w:after="0"/>
              <w:rPr>
                <w:sz w:val="13"/>
                <w:szCs w:val="13"/>
                <w:color w:val="auto"/>
              </w:rPr>
            </w:pPr>
          </w:p>
        </w:tc>
        <w:tc>
          <w:tcPr>
            <w:tcW w:w="2480" w:type="dxa"/>
            <w:vAlign w:val="bottom"/>
            <w:shd w:val="clear" w:color="auto" w:fill="D0EBF2"/>
          </w:tcPr>
          <w:p>
            <w:pPr>
              <w:ind w:left="80"/>
              <w:spacing w:after="0" w:line="159" w:lineRule="exact"/>
              <w:rPr>
                <w:sz w:val="20"/>
                <w:szCs w:val="20"/>
                <w:color w:val="auto"/>
              </w:rPr>
            </w:pPr>
            <w:r>
              <w:rPr>
                <w:rFonts w:ascii="Times New Roman" w:cs="Times New Roman" w:eastAsia="Times New Roman" w:hAnsi="Times New Roman"/>
                <w:sz w:val="15"/>
                <w:szCs w:val="15"/>
                <w:color w:val="231F20"/>
              </w:rPr>
              <w:t>First-lien loan (EUR 1,023 par, due</w:t>
            </w:r>
          </w:p>
        </w:tc>
        <w:tc>
          <w:tcPr>
            <w:tcW w:w="780" w:type="dxa"/>
            <w:vAlign w:val="bottom"/>
            <w:shd w:val="clear" w:color="auto" w:fill="D0EBF2"/>
          </w:tcPr>
          <w:p>
            <w:pPr>
              <w:jc w:val="right"/>
              <w:spacing w:after="0" w:line="159" w:lineRule="exact"/>
              <w:rPr>
                <w:sz w:val="20"/>
                <w:szCs w:val="20"/>
                <w:color w:val="auto"/>
              </w:rPr>
            </w:pPr>
            <w:r>
              <w:rPr>
                <w:rFonts w:ascii="Times New Roman" w:cs="Times New Roman" w:eastAsia="Times New Roman" w:hAnsi="Times New Roman"/>
                <w:sz w:val="15"/>
                <w:szCs w:val="15"/>
                <w:color w:val="231F20"/>
              </w:rPr>
              <w:t>9/14/2023</w:t>
            </w:r>
          </w:p>
        </w:tc>
        <w:tc>
          <w:tcPr>
            <w:tcW w:w="1080" w:type="dxa"/>
            <w:vAlign w:val="bottom"/>
            <w:shd w:val="clear" w:color="auto" w:fill="D0EBF2"/>
          </w:tcPr>
          <w:p>
            <w:pPr>
              <w:jc w:val="right"/>
              <w:ind w:right="124"/>
              <w:spacing w:after="0" w:line="159" w:lineRule="exact"/>
              <w:rPr>
                <w:sz w:val="20"/>
                <w:szCs w:val="20"/>
                <w:color w:val="auto"/>
              </w:rPr>
            </w:pPr>
            <w:r>
              <w:rPr>
                <w:rFonts w:ascii="Times New Roman" w:cs="Times New Roman" w:eastAsia="Times New Roman" w:hAnsi="Times New Roman"/>
                <w:sz w:val="15"/>
                <w:szCs w:val="15"/>
                <w:color w:val="231F20"/>
              </w:rPr>
              <w:t>E + 3.75%</w:t>
            </w:r>
          </w:p>
        </w:tc>
        <w:tc>
          <w:tcPr>
            <w:tcW w:w="1020" w:type="dxa"/>
            <w:vAlign w:val="bottom"/>
            <w:shd w:val="clear" w:color="auto" w:fill="D0EBF2"/>
          </w:tcPr>
          <w:p>
            <w:pPr>
              <w:jc w:val="right"/>
              <w:ind w:right="24"/>
              <w:spacing w:after="0" w:line="159" w:lineRule="exact"/>
              <w:rPr>
                <w:sz w:val="20"/>
                <w:szCs w:val="20"/>
                <w:color w:val="auto"/>
              </w:rPr>
            </w:pPr>
            <w:r>
              <w:rPr>
                <w:rFonts w:ascii="Times New Roman" w:cs="Times New Roman" w:eastAsia="Times New Roman" w:hAnsi="Times New Roman"/>
                <w:sz w:val="15"/>
                <w:szCs w:val="15"/>
                <w:color w:val="231F20"/>
              </w:rPr>
              <w:t>7.68%</w:t>
            </w:r>
          </w:p>
        </w:tc>
        <w:tc>
          <w:tcPr>
            <w:tcW w:w="1000" w:type="dxa"/>
            <w:vAlign w:val="bottom"/>
            <w:shd w:val="clear" w:color="auto" w:fill="D0EBF2"/>
          </w:tcPr>
          <w:p>
            <w:pPr>
              <w:jc w:val="right"/>
              <w:spacing w:after="0" w:line="159" w:lineRule="exact"/>
              <w:rPr>
                <w:sz w:val="20"/>
                <w:szCs w:val="20"/>
                <w:color w:val="auto"/>
              </w:rPr>
            </w:pPr>
            <w:r>
              <w:rPr>
                <w:rFonts w:ascii="Times New Roman" w:cs="Times New Roman" w:eastAsia="Times New Roman" w:hAnsi="Times New Roman"/>
                <w:sz w:val="15"/>
                <w:szCs w:val="15"/>
                <w:color w:val="231F20"/>
              </w:rPr>
              <w:t>998</w:t>
            </w:r>
          </w:p>
        </w:tc>
        <w:tc>
          <w:tcPr>
            <w:tcW w:w="1140" w:type="dxa"/>
            <w:vAlign w:val="bottom"/>
            <w:gridSpan w:val="2"/>
            <w:shd w:val="clear" w:color="auto" w:fill="D0EBF2"/>
          </w:tcPr>
          <w:p>
            <w:pPr>
              <w:jc w:val="right"/>
              <w:spacing w:after="0" w:line="159" w:lineRule="exact"/>
              <w:rPr>
                <w:sz w:val="20"/>
                <w:szCs w:val="20"/>
                <w:color w:val="auto"/>
              </w:rPr>
            </w:pPr>
            <w:r>
              <w:rPr>
                <w:rFonts w:ascii="Times New Roman" w:cs="Times New Roman" w:eastAsia="Times New Roman" w:hAnsi="Times New Roman"/>
                <w:sz w:val="15"/>
                <w:szCs w:val="15"/>
                <w:color w:val="231F20"/>
              </w:rPr>
              <w:t>1,030</w:t>
            </w:r>
          </w:p>
        </w:tc>
        <w:tc>
          <w:tcPr>
            <w:tcW w:w="1340" w:type="dxa"/>
            <w:vAlign w:val="bottom"/>
            <w:gridSpan w:val="3"/>
            <w:shd w:val="clear" w:color="auto" w:fill="D0EBF2"/>
          </w:tcPr>
          <w:p>
            <w:pPr>
              <w:jc w:val="right"/>
              <w:ind w:right="120"/>
              <w:spacing w:after="0" w:line="159" w:lineRule="exact"/>
              <w:rPr>
                <w:sz w:val="20"/>
                <w:szCs w:val="20"/>
                <w:color w:val="auto"/>
              </w:rPr>
            </w:pPr>
            <w:r>
              <w:rPr>
                <w:rFonts w:ascii="Times New Roman" w:cs="Times New Roman" w:eastAsia="Times New Roman" w:hAnsi="Times New Roman"/>
                <w:sz w:val="15"/>
                <w:szCs w:val="15"/>
                <w:color w:val="231F20"/>
              </w:rPr>
              <w:t>0.1%</w:t>
            </w:r>
          </w:p>
        </w:tc>
      </w:tr>
      <w:tr>
        <w:trPr>
          <w:trHeight w:val="189"/>
        </w:trPr>
        <w:tc>
          <w:tcPr>
            <w:tcW w:w="1440" w:type="dxa"/>
            <w:vAlign w:val="bottom"/>
            <w:shd w:val="clear" w:color="auto" w:fill="D0EBF2"/>
          </w:tcPr>
          <w:p>
            <w:pPr>
              <w:spacing w:after="0"/>
              <w:rPr>
                <w:sz w:val="16"/>
                <w:szCs w:val="16"/>
                <w:color w:val="auto"/>
              </w:rPr>
            </w:pPr>
          </w:p>
        </w:tc>
        <w:tc>
          <w:tcPr>
            <w:tcW w:w="2480" w:type="dxa"/>
            <w:vAlign w:val="bottom"/>
            <w:shd w:val="clear" w:color="auto" w:fill="D0EBF2"/>
          </w:tcPr>
          <w:p>
            <w:pPr>
              <w:ind w:left="80"/>
              <w:spacing w:after="0"/>
              <w:rPr>
                <w:sz w:val="20"/>
                <w:szCs w:val="20"/>
                <w:color w:val="auto"/>
              </w:rPr>
            </w:pPr>
            <w:r>
              <w:rPr>
                <w:rFonts w:ascii="Times New Roman" w:cs="Times New Roman" w:eastAsia="Times New Roman" w:hAnsi="Times New Roman"/>
                <w:sz w:val="15"/>
                <w:szCs w:val="15"/>
                <w:color w:val="231F20"/>
              </w:rPr>
              <w:t xml:space="preserve">12/2025) </w:t>
            </w:r>
            <w:r>
              <w:rPr>
                <w:rFonts w:ascii="Times New Roman" w:cs="Times New Roman" w:eastAsia="Times New Roman" w:hAnsi="Times New Roman"/>
                <w:sz w:val="9"/>
                <w:szCs w:val="9"/>
                <w:color w:val="231F20"/>
              </w:rPr>
              <w:t>(3)</w:t>
            </w:r>
          </w:p>
        </w:tc>
        <w:tc>
          <w:tcPr>
            <w:tcW w:w="780" w:type="dxa"/>
            <w:vAlign w:val="bottom"/>
            <w:shd w:val="clear" w:color="auto" w:fill="D0EBF2"/>
          </w:tcPr>
          <w:p>
            <w:pPr>
              <w:spacing w:after="0"/>
              <w:rPr>
                <w:sz w:val="16"/>
                <w:szCs w:val="16"/>
                <w:color w:val="auto"/>
              </w:rPr>
            </w:pPr>
          </w:p>
        </w:tc>
        <w:tc>
          <w:tcPr>
            <w:tcW w:w="1080" w:type="dxa"/>
            <w:vAlign w:val="bottom"/>
            <w:shd w:val="clear" w:color="auto" w:fill="D0EBF2"/>
          </w:tcPr>
          <w:p>
            <w:pPr>
              <w:spacing w:after="0"/>
              <w:rPr>
                <w:sz w:val="16"/>
                <w:szCs w:val="16"/>
                <w:color w:val="auto"/>
              </w:rPr>
            </w:pPr>
          </w:p>
        </w:tc>
        <w:tc>
          <w:tcPr>
            <w:tcW w:w="1020" w:type="dxa"/>
            <w:vAlign w:val="bottom"/>
            <w:shd w:val="clear" w:color="auto" w:fill="D0EBF2"/>
          </w:tcPr>
          <w:p>
            <w:pPr>
              <w:spacing w:after="0"/>
              <w:rPr>
                <w:sz w:val="16"/>
                <w:szCs w:val="16"/>
                <w:color w:val="auto"/>
              </w:rPr>
            </w:pPr>
          </w:p>
        </w:tc>
        <w:tc>
          <w:tcPr>
            <w:tcW w:w="1000" w:type="dxa"/>
            <w:vAlign w:val="bottom"/>
            <w:shd w:val="clear" w:color="auto" w:fill="D0EBF2"/>
          </w:tcPr>
          <w:p>
            <w:pPr>
              <w:spacing w:after="0"/>
              <w:rPr>
                <w:sz w:val="16"/>
                <w:szCs w:val="16"/>
                <w:color w:val="auto"/>
              </w:rPr>
            </w:pPr>
          </w:p>
        </w:tc>
        <w:tc>
          <w:tcPr>
            <w:tcW w:w="180" w:type="dxa"/>
            <w:vAlign w:val="bottom"/>
            <w:shd w:val="clear" w:color="auto" w:fill="D0EBF2"/>
          </w:tcPr>
          <w:p>
            <w:pPr>
              <w:spacing w:after="0"/>
              <w:rPr>
                <w:sz w:val="16"/>
                <w:szCs w:val="16"/>
                <w:color w:val="auto"/>
              </w:rPr>
            </w:pPr>
          </w:p>
        </w:tc>
        <w:tc>
          <w:tcPr>
            <w:tcW w:w="960" w:type="dxa"/>
            <w:vAlign w:val="bottom"/>
            <w:shd w:val="clear" w:color="auto" w:fill="D0EBF2"/>
          </w:tcPr>
          <w:p>
            <w:pPr>
              <w:jc w:val="right"/>
              <w:spacing w:after="0"/>
              <w:rPr>
                <w:sz w:val="20"/>
                <w:szCs w:val="20"/>
                <w:color w:val="auto"/>
              </w:rPr>
            </w:pPr>
            <w:r>
              <w:rPr>
                <w:rFonts w:ascii="Times New Roman" w:cs="Times New Roman" w:eastAsia="Times New Roman" w:hAnsi="Times New Roman"/>
                <w:sz w:val="15"/>
                <w:szCs w:val="15"/>
                <w:color w:val="231F20"/>
              </w:rPr>
              <w:t>(EUR 932)</w:t>
            </w:r>
          </w:p>
        </w:tc>
        <w:tc>
          <w:tcPr>
            <w:tcW w:w="200" w:type="dxa"/>
            <w:vAlign w:val="bottom"/>
            <w:shd w:val="clear" w:color="auto" w:fill="D0EBF2"/>
          </w:tcPr>
          <w:p>
            <w:pPr>
              <w:spacing w:after="0"/>
              <w:rPr>
                <w:sz w:val="16"/>
                <w:szCs w:val="16"/>
                <w:color w:val="auto"/>
              </w:rPr>
            </w:pPr>
          </w:p>
        </w:tc>
        <w:tc>
          <w:tcPr>
            <w:tcW w:w="900" w:type="dxa"/>
            <w:vAlign w:val="bottom"/>
            <w:shd w:val="clear" w:color="auto" w:fill="D0EBF2"/>
          </w:tcPr>
          <w:p>
            <w:pPr>
              <w:spacing w:after="0"/>
              <w:rPr>
                <w:sz w:val="16"/>
                <w:szCs w:val="16"/>
                <w:color w:val="auto"/>
              </w:rPr>
            </w:pPr>
          </w:p>
        </w:tc>
        <w:tc>
          <w:tcPr>
            <w:tcW w:w="240" w:type="dxa"/>
            <w:vAlign w:val="bottom"/>
            <w:shd w:val="clear" w:color="auto" w:fill="D0EBF2"/>
          </w:tcPr>
          <w:p>
            <w:pPr>
              <w:spacing w:after="0"/>
              <w:rPr>
                <w:sz w:val="16"/>
                <w:szCs w:val="16"/>
                <w:color w:val="auto"/>
              </w:rPr>
            </w:pPr>
          </w:p>
        </w:tc>
      </w:tr>
      <w:tr>
        <w:trPr>
          <w:trHeight w:val="174"/>
        </w:trPr>
        <w:tc>
          <w:tcPr>
            <w:tcW w:w="1440" w:type="dxa"/>
            <w:vAlign w:val="bottom"/>
            <w:shd w:val="clear" w:color="auto" w:fill="FDFDFC"/>
          </w:tcPr>
          <w:p>
            <w:pPr>
              <w:spacing w:after="0"/>
              <w:rPr>
                <w:sz w:val="15"/>
                <w:szCs w:val="15"/>
                <w:color w:val="auto"/>
              </w:rPr>
            </w:pPr>
          </w:p>
        </w:tc>
        <w:tc>
          <w:tcPr>
            <w:tcW w:w="2480" w:type="dxa"/>
            <w:vAlign w:val="bottom"/>
            <w:shd w:val="clear" w:color="auto" w:fill="FDFDFC"/>
          </w:tcPr>
          <w:p>
            <w:pPr>
              <w:ind w:left="80"/>
              <w:spacing w:after="0"/>
              <w:rPr>
                <w:sz w:val="20"/>
                <w:szCs w:val="20"/>
                <w:color w:val="auto"/>
              </w:rPr>
            </w:pPr>
            <w:r>
              <w:rPr>
                <w:rFonts w:ascii="Times New Roman" w:cs="Times New Roman" w:eastAsia="Times New Roman" w:hAnsi="Times New Roman"/>
                <w:sz w:val="15"/>
                <w:szCs w:val="15"/>
                <w:color w:val="231F20"/>
              </w:rPr>
              <w:t>Secured Note ($91 par, due 9/2028)</w:t>
            </w:r>
          </w:p>
        </w:tc>
        <w:tc>
          <w:tcPr>
            <w:tcW w:w="780" w:type="dxa"/>
            <w:vAlign w:val="bottom"/>
            <w:shd w:val="clear" w:color="auto" w:fill="FDFDFC"/>
          </w:tcPr>
          <w:p>
            <w:pPr>
              <w:jc w:val="right"/>
              <w:spacing w:after="0"/>
              <w:rPr>
                <w:sz w:val="20"/>
                <w:szCs w:val="20"/>
                <w:color w:val="auto"/>
              </w:rPr>
            </w:pPr>
            <w:r>
              <w:rPr>
                <w:rFonts w:ascii="Times New Roman" w:cs="Times New Roman" w:eastAsia="Times New Roman" w:hAnsi="Times New Roman"/>
                <w:sz w:val="15"/>
                <w:szCs w:val="15"/>
                <w:color w:val="231F20"/>
              </w:rPr>
              <w:t>12/19/2023</w:t>
            </w:r>
          </w:p>
        </w:tc>
        <w:tc>
          <w:tcPr>
            <w:tcW w:w="1080" w:type="dxa"/>
            <w:vAlign w:val="bottom"/>
            <w:shd w:val="clear" w:color="auto" w:fill="FDFDFC"/>
          </w:tcPr>
          <w:p>
            <w:pPr>
              <w:jc w:val="right"/>
              <w:spacing w:after="0"/>
              <w:rPr>
                <w:sz w:val="20"/>
                <w:szCs w:val="20"/>
                <w:color w:val="auto"/>
              </w:rPr>
            </w:pPr>
            <w:r>
              <w:rPr>
                <w:rFonts w:ascii="Times New Roman" w:cs="Times New Roman" w:eastAsia="Times New Roman" w:hAnsi="Times New Roman"/>
                <w:sz w:val="15"/>
                <w:szCs w:val="15"/>
                <w:color w:val="231F20"/>
              </w:rPr>
              <w:t>5.25%</w:t>
            </w:r>
          </w:p>
        </w:tc>
        <w:tc>
          <w:tcPr>
            <w:tcW w:w="1020" w:type="dxa"/>
            <w:vAlign w:val="bottom"/>
            <w:shd w:val="clear" w:color="auto" w:fill="FDFDFC"/>
          </w:tcPr>
          <w:p>
            <w:pPr>
              <w:jc w:val="right"/>
              <w:ind w:right="24"/>
              <w:spacing w:after="0"/>
              <w:rPr>
                <w:sz w:val="20"/>
                <w:szCs w:val="20"/>
                <w:color w:val="auto"/>
              </w:rPr>
            </w:pPr>
            <w:r>
              <w:rPr>
                <w:rFonts w:ascii="Times New Roman" w:cs="Times New Roman" w:eastAsia="Times New Roman" w:hAnsi="Times New Roman"/>
                <w:sz w:val="15"/>
                <w:szCs w:val="15"/>
                <w:color w:val="231F20"/>
              </w:rPr>
              <w:t>5.25%</w:t>
            </w:r>
          </w:p>
        </w:tc>
        <w:tc>
          <w:tcPr>
            <w:tcW w:w="1000" w:type="dxa"/>
            <w:vAlign w:val="bottom"/>
            <w:shd w:val="clear" w:color="auto" w:fill="FDFDFC"/>
          </w:tcPr>
          <w:p>
            <w:pPr>
              <w:jc w:val="right"/>
              <w:spacing w:after="0"/>
              <w:rPr>
                <w:sz w:val="20"/>
                <w:szCs w:val="20"/>
                <w:color w:val="auto"/>
              </w:rPr>
            </w:pPr>
            <w:r>
              <w:rPr>
                <w:rFonts w:ascii="Times New Roman" w:cs="Times New Roman" w:eastAsia="Times New Roman" w:hAnsi="Times New Roman"/>
                <w:sz w:val="15"/>
                <w:szCs w:val="15"/>
                <w:color w:val="231F20"/>
              </w:rPr>
              <w:t>62</w:t>
            </w:r>
          </w:p>
        </w:tc>
        <w:tc>
          <w:tcPr>
            <w:tcW w:w="1140" w:type="dxa"/>
            <w:vAlign w:val="bottom"/>
            <w:gridSpan w:val="2"/>
            <w:shd w:val="clear" w:color="auto" w:fill="FDFDFC"/>
          </w:tcPr>
          <w:p>
            <w:pPr>
              <w:jc w:val="right"/>
              <w:spacing w:after="0"/>
              <w:rPr>
                <w:sz w:val="20"/>
                <w:szCs w:val="20"/>
                <w:color w:val="auto"/>
              </w:rPr>
            </w:pPr>
            <w:r>
              <w:rPr>
                <w:rFonts w:ascii="Times New Roman" w:cs="Times New Roman" w:eastAsia="Times New Roman" w:hAnsi="Times New Roman"/>
                <w:sz w:val="15"/>
                <w:szCs w:val="15"/>
                <w:color w:val="231F20"/>
              </w:rPr>
              <w:t>66</w:t>
            </w:r>
          </w:p>
        </w:tc>
        <w:tc>
          <w:tcPr>
            <w:tcW w:w="1340" w:type="dxa"/>
            <w:vAlign w:val="bottom"/>
            <w:gridSpan w:val="3"/>
            <w:shd w:val="clear" w:color="auto" w:fill="FDFDFC"/>
          </w:tcPr>
          <w:p>
            <w:pPr>
              <w:jc w:val="right"/>
              <w:ind w:right="120"/>
              <w:spacing w:after="0"/>
              <w:rPr>
                <w:sz w:val="20"/>
                <w:szCs w:val="20"/>
                <w:color w:val="auto"/>
              </w:rPr>
            </w:pPr>
            <w:r>
              <w:rPr>
                <w:rFonts w:ascii="Times New Roman" w:cs="Times New Roman" w:eastAsia="Times New Roman" w:hAnsi="Times New Roman"/>
                <w:sz w:val="15"/>
                <w:szCs w:val="15"/>
                <w:color w:val="231F20"/>
              </w:rPr>
              <w:t>0.0%</w:t>
            </w:r>
          </w:p>
        </w:tc>
      </w:tr>
      <w:tr>
        <w:trPr>
          <w:trHeight w:val="158"/>
        </w:trPr>
        <w:tc>
          <w:tcPr>
            <w:tcW w:w="1440" w:type="dxa"/>
            <w:vAlign w:val="bottom"/>
            <w:shd w:val="clear" w:color="auto" w:fill="D0EBF2"/>
          </w:tcPr>
          <w:p>
            <w:pPr>
              <w:spacing w:after="0"/>
              <w:rPr>
                <w:sz w:val="13"/>
                <w:szCs w:val="13"/>
                <w:color w:val="auto"/>
              </w:rPr>
            </w:pPr>
          </w:p>
        </w:tc>
        <w:tc>
          <w:tcPr>
            <w:tcW w:w="2480" w:type="dxa"/>
            <w:vAlign w:val="bottom"/>
            <w:shd w:val="clear" w:color="auto" w:fill="D0EBF2"/>
          </w:tcPr>
          <w:p>
            <w:pPr>
              <w:ind w:left="80"/>
              <w:spacing w:after="0" w:line="159" w:lineRule="exact"/>
              <w:rPr>
                <w:sz w:val="20"/>
                <w:szCs w:val="20"/>
                <w:color w:val="auto"/>
              </w:rPr>
            </w:pPr>
            <w:r>
              <w:rPr>
                <w:rFonts w:ascii="Times New Roman" w:cs="Times New Roman" w:eastAsia="Times New Roman" w:hAnsi="Times New Roman"/>
                <w:sz w:val="15"/>
                <w:szCs w:val="15"/>
                <w:color w:val="231F20"/>
              </w:rPr>
              <w:t>Unsecured Note ($1,059 par, due</w:t>
            </w:r>
          </w:p>
        </w:tc>
        <w:tc>
          <w:tcPr>
            <w:tcW w:w="780" w:type="dxa"/>
            <w:vAlign w:val="bottom"/>
            <w:shd w:val="clear" w:color="auto" w:fill="D0EBF2"/>
          </w:tcPr>
          <w:p>
            <w:pPr>
              <w:jc w:val="right"/>
              <w:spacing w:after="0" w:line="159" w:lineRule="exact"/>
              <w:rPr>
                <w:sz w:val="20"/>
                <w:szCs w:val="20"/>
                <w:color w:val="auto"/>
              </w:rPr>
            </w:pPr>
            <w:r>
              <w:rPr>
                <w:rFonts w:ascii="Times New Roman" w:cs="Times New Roman" w:eastAsia="Times New Roman" w:hAnsi="Times New Roman"/>
                <w:sz w:val="15"/>
                <w:szCs w:val="15"/>
                <w:color w:val="231F20"/>
              </w:rPr>
              <w:t>8/31/2023</w:t>
            </w:r>
          </w:p>
        </w:tc>
        <w:tc>
          <w:tcPr>
            <w:tcW w:w="1080" w:type="dxa"/>
            <w:vAlign w:val="bottom"/>
            <w:shd w:val="clear" w:color="auto" w:fill="D0EBF2"/>
          </w:tcPr>
          <w:p>
            <w:pPr>
              <w:jc w:val="right"/>
              <w:spacing w:after="0" w:line="159" w:lineRule="exact"/>
              <w:rPr>
                <w:sz w:val="20"/>
                <w:szCs w:val="20"/>
                <w:color w:val="auto"/>
              </w:rPr>
            </w:pPr>
            <w:r>
              <w:rPr>
                <w:rFonts w:ascii="Times New Roman" w:cs="Times New Roman" w:eastAsia="Times New Roman" w:hAnsi="Times New Roman"/>
                <w:sz w:val="15"/>
                <w:szCs w:val="15"/>
                <w:color w:val="231F20"/>
              </w:rPr>
              <w:t>7.50%</w:t>
            </w:r>
          </w:p>
        </w:tc>
        <w:tc>
          <w:tcPr>
            <w:tcW w:w="1020" w:type="dxa"/>
            <w:vAlign w:val="bottom"/>
            <w:shd w:val="clear" w:color="auto" w:fill="D0EBF2"/>
          </w:tcPr>
          <w:p>
            <w:pPr>
              <w:jc w:val="right"/>
              <w:ind w:right="24"/>
              <w:spacing w:after="0" w:line="159" w:lineRule="exact"/>
              <w:rPr>
                <w:sz w:val="20"/>
                <w:szCs w:val="20"/>
                <w:color w:val="auto"/>
              </w:rPr>
            </w:pPr>
            <w:r>
              <w:rPr>
                <w:rFonts w:ascii="Times New Roman" w:cs="Times New Roman" w:eastAsia="Times New Roman" w:hAnsi="Times New Roman"/>
                <w:sz w:val="15"/>
                <w:szCs w:val="15"/>
                <w:color w:val="231F20"/>
              </w:rPr>
              <w:t>7.50%</w:t>
            </w:r>
          </w:p>
        </w:tc>
        <w:tc>
          <w:tcPr>
            <w:tcW w:w="1000" w:type="dxa"/>
            <w:vAlign w:val="bottom"/>
            <w:shd w:val="clear" w:color="auto" w:fill="D0EBF2"/>
          </w:tcPr>
          <w:p>
            <w:pPr>
              <w:jc w:val="right"/>
              <w:spacing w:after="0" w:line="159" w:lineRule="exact"/>
              <w:rPr>
                <w:sz w:val="20"/>
                <w:szCs w:val="20"/>
                <w:color w:val="auto"/>
              </w:rPr>
            </w:pPr>
            <w:r>
              <w:rPr>
                <w:rFonts w:ascii="Times New Roman" w:cs="Times New Roman" w:eastAsia="Times New Roman" w:hAnsi="Times New Roman"/>
                <w:sz w:val="15"/>
                <w:szCs w:val="15"/>
                <w:color w:val="231F20"/>
              </w:rPr>
              <w:t>570</w:t>
            </w:r>
          </w:p>
        </w:tc>
        <w:tc>
          <w:tcPr>
            <w:tcW w:w="1140" w:type="dxa"/>
            <w:vAlign w:val="bottom"/>
            <w:gridSpan w:val="2"/>
            <w:shd w:val="clear" w:color="auto" w:fill="D0EBF2"/>
          </w:tcPr>
          <w:p>
            <w:pPr>
              <w:jc w:val="right"/>
              <w:spacing w:after="0" w:line="159" w:lineRule="exact"/>
              <w:rPr>
                <w:sz w:val="20"/>
                <w:szCs w:val="20"/>
                <w:color w:val="auto"/>
              </w:rPr>
            </w:pPr>
            <w:r>
              <w:rPr>
                <w:rFonts w:ascii="Times New Roman" w:cs="Times New Roman" w:eastAsia="Times New Roman" w:hAnsi="Times New Roman"/>
                <w:sz w:val="15"/>
                <w:szCs w:val="15"/>
                <w:color w:val="231F20"/>
              </w:rPr>
              <w:t>540</w:t>
            </w:r>
          </w:p>
        </w:tc>
        <w:tc>
          <w:tcPr>
            <w:tcW w:w="1340" w:type="dxa"/>
            <w:vAlign w:val="bottom"/>
            <w:gridSpan w:val="3"/>
            <w:shd w:val="clear" w:color="auto" w:fill="D0EBF2"/>
          </w:tcPr>
          <w:p>
            <w:pPr>
              <w:jc w:val="right"/>
              <w:ind w:right="120"/>
              <w:spacing w:after="0" w:line="159" w:lineRule="exact"/>
              <w:rPr>
                <w:sz w:val="20"/>
                <w:szCs w:val="20"/>
                <w:color w:val="auto"/>
              </w:rPr>
            </w:pPr>
            <w:r>
              <w:rPr>
                <w:rFonts w:ascii="Times New Roman" w:cs="Times New Roman" w:eastAsia="Times New Roman" w:hAnsi="Times New Roman"/>
                <w:sz w:val="15"/>
                <w:szCs w:val="15"/>
                <w:color w:val="231F20"/>
              </w:rPr>
              <w:t>0.0%</w:t>
            </w:r>
          </w:p>
        </w:tc>
      </w:tr>
      <w:tr>
        <w:trPr>
          <w:trHeight w:val="189"/>
        </w:trPr>
        <w:tc>
          <w:tcPr>
            <w:tcW w:w="1440" w:type="dxa"/>
            <w:vAlign w:val="bottom"/>
            <w:shd w:val="clear" w:color="auto" w:fill="D0EBF2"/>
          </w:tcPr>
          <w:p>
            <w:pPr>
              <w:spacing w:after="0"/>
              <w:rPr>
                <w:sz w:val="16"/>
                <w:szCs w:val="16"/>
                <w:color w:val="auto"/>
              </w:rPr>
            </w:pPr>
          </w:p>
        </w:tc>
        <w:tc>
          <w:tcPr>
            <w:tcW w:w="2480" w:type="dxa"/>
            <w:vAlign w:val="bottom"/>
            <w:shd w:val="clear" w:color="auto" w:fill="D0EBF2"/>
          </w:tcPr>
          <w:p>
            <w:pPr>
              <w:ind w:left="80"/>
              <w:spacing w:after="0"/>
              <w:rPr>
                <w:sz w:val="20"/>
                <w:szCs w:val="20"/>
                <w:color w:val="auto"/>
              </w:rPr>
            </w:pPr>
            <w:r>
              <w:rPr>
                <w:rFonts w:ascii="Times New Roman" w:cs="Times New Roman" w:eastAsia="Times New Roman" w:hAnsi="Times New Roman"/>
                <w:sz w:val="15"/>
                <w:szCs w:val="15"/>
                <w:color w:val="231F20"/>
              </w:rPr>
              <w:t>9/2029)</w:t>
            </w:r>
          </w:p>
        </w:tc>
        <w:tc>
          <w:tcPr>
            <w:tcW w:w="780" w:type="dxa"/>
            <w:vAlign w:val="bottom"/>
            <w:shd w:val="clear" w:color="auto" w:fill="D0EBF2"/>
          </w:tcPr>
          <w:p>
            <w:pPr>
              <w:spacing w:after="0"/>
              <w:rPr>
                <w:sz w:val="16"/>
                <w:szCs w:val="16"/>
                <w:color w:val="auto"/>
              </w:rPr>
            </w:pPr>
          </w:p>
        </w:tc>
        <w:tc>
          <w:tcPr>
            <w:tcW w:w="1080" w:type="dxa"/>
            <w:vAlign w:val="bottom"/>
            <w:shd w:val="clear" w:color="auto" w:fill="D0EBF2"/>
          </w:tcPr>
          <w:p>
            <w:pPr>
              <w:spacing w:after="0"/>
              <w:rPr>
                <w:sz w:val="16"/>
                <w:szCs w:val="16"/>
                <w:color w:val="auto"/>
              </w:rPr>
            </w:pPr>
          </w:p>
        </w:tc>
        <w:tc>
          <w:tcPr>
            <w:tcW w:w="1020" w:type="dxa"/>
            <w:vAlign w:val="bottom"/>
            <w:shd w:val="clear" w:color="auto" w:fill="D0EBF2"/>
          </w:tcPr>
          <w:p>
            <w:pPr>
              <w:spacing w:after="0"/>
              <w:rPr>
                <w:sz w:val="16"/>
                <w:szCs w:val="16"/>
                <w:color w:val="auto"/>
              </w:rPr>
            </w:pPr>
          </w:p>
        </w:tc>
        <w:tc>
          <w:tcPr>
            <w:tcW w:w="1000" w:type="dxa"/>
            <w:vAlign w:val="bottom"/>
            <w:shd w:val="clear" w:color="auto" w:fill="D0EBF2"/>
          </w:tcPr>
          <w:p>
            <w:pPr>
              <w:spacing w:after="0"/>
              <w:rPr>
                <w:sz w:val="16"/>
                <w:szCs w:val="16"/>
                <w:color w:val="auto"/>
              </w:rPr>
            </w:pPr>
          </w:p>
        </w:tc>
        <w:tc>
          <w:tcPr>
            <w:tcW w:w="180" w:type="dxa"/>
            <w:vAlign w:val="bottom"/>
            <w:shd w:val="clear" w:color="auto" w:fill="D0EBF2"/>
          </w:tcPr>
          <w:p>
            <w:pPr>
              <w:spacing w:after="0"/>
              <w:rPr>
                <w:sz w:val="16"/>
                <w:szCs w:val="16"/>
                <w:color w:val="auto"/>
              </w:rPr>
            </w:pPr>
          </w:p>
        </w:tc>
        <w:tc>
          <w:tcPr>
            <w:tcW w:w="960" w:type="dxa"/>
            <w:vAlign w:val="bottom"/>
            <w:shd w:val="clear" w:color="auto" w:fill="D0EBF2"/>
          </w:tcPr>
          <w:p>
            <w:pPr>
              <w:spacing w:after="0"/>
              <w:rPr>
                <w:sz w:val="16"/>
                <w:szCs w:val="16"/>
                <w:color w:val="auto"/>
              </w:rPr>
            </w:pPr>
          </w:p>
        </w:tc>
        <w:tc>
          <w:tcPr>
            <w:tcW w:w="200" w:type="dxa"/>
            <w:vAlign w:val="bottom"/>
            <w:shd w:val="clear" w:color="auto" w:fill="D0EBF2"/>
          </w:tcPr>
          <w:p>
            <w:pPr>
              <w:spacing w:after="0"/>
              <w:rPr>
                <w:sz w:val="16"/>
                <w:szCs w:val="16"/>
                <w:color w:val="auto"/>
              </w:rPr>
            </w:pPr>
          </w:p>
        </w:tc>
        <w:tc>
          <w:tcPr>
            <w:tcW w:w="900" w:type="dxa"/>
            <w:vAlign w:val="bottom"/>
            <w:shd w:val="clear" w:color="auto" w:fill="D0EBF2"/>
          </w:tcPr>
          <w:p>
            <w:pPr>
              <w:spacing w:after="0"/>
              <w:rPr>
                <w:sz w:val="16"/>
                <w:szCs w:val="16"/>
                <w:color w:val="auto"/>
              </w:rPr>
            </w:pPr>
          </w:p>
        </w:tc>
        <w:tc>
          <w:tcPr>
            <w:tcW w:w="240" w:type="dxa"/>
            <w:vAlign w:val="bottom"/>
            <w:shd w:val="clear" w:color="auto" w:fill="D0EBF2"/>
          </w:tcPr>
          <w:p>
            <w:pPr>
              <w:spacing w:after="0"/>
              <w:rPr>
                <w:sz w:val="16"/>
                <w:szCs w:val="16"/>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5798820</wp:posOffset>
                </wp:positionH>
                <wp:positionV relativeFrom="paragraph">
                  <wp:posOffset>-7642860</wp:posOffset>
                </wp:positionV>
                <wp:extent cx="575310" cy="110490"/>
                <wp:wrapNone/>
                <wp:docPr id="45" name="Shape 4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75310" cy="110490"/>
                        </a:xfrm>
                        <a:prstGeom prst="rect">
                          <a:avLst/>
                        </a:prstGeom>
                        <a:solidFill>
                          <a:srgbClr val="D0EBF2"/>
                        </a:solidFill>
                      </wps:spPr>
                      <wps:bodyPr/>
                    </wps:wsp>
                  </a:graphicData>
                </a:graphic>
              </wp:anchor>
            </w:drawing>
          </mc:Choice>
          <mc:Fallback>
            <w:pict>
              <v:rect id="Shape 45" o:spid="_x0000_s1070" style="position:absolute;margin-left:456.6pt;margin-top:-601.7999pt;width:45.3pt;height:8.7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0EBF2" stroked="f"/>
            </w:pict>
          </mc:Fallback>
        </mc:AlternateContent>
        <mc:AlternateContent>
          <mc:Choice Requires="wps">
            <w:drawing>
              <wp:anchor simplePos="0" relativeHeight="251657728" behindDoc="1" locked="0" layoutInCell="0" allowOverlap="1">
                <wp:simplePos x="0" y="0"/>
                <wp:positionH relativeFrom="column">
                  <wp:posOffset>6374130</wp:posOffset>
                </wp:positionH>
                <wp:positionV relativeFrom="paragraph">
                  <wp:posOffset>-7649210</wp:posOffset>
                </wp:positionV>
                <wp:extent cx="153670" cy="116840"/>
                <wp:wrapNone/>
                <wp:docPr id="46" name="Shape 4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53670" cy="116840"/>
                        </a:xfrm>
                        <a:prstGeom prst="rect">
                          <a:avLst/>
                        </a:prstGeom>
                        <a:solidFill>
                          <a:srgbClr val="D0EBF2"/>
                        </a:solidFill>
                      </wps:spPr>
                      <wps:bodyPr/>
                    </wps:wsp>
                  </a:graphicData>
                </a:graphic>
              </wp:anchor>
            </w:drawing>
          </mc:Choice>
          <mc:Fallback>
            <w:pict>
              <v:rect id="Shape 46" o:spid="_x0000_s1071" style="position:absolute;margin-left:501.9pt;margin-top:-602.2999pt;width:12.1pt;height:9.2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0EBF2" stroked="f"/>
            </w:pict>
          </mc:Fallback>
        </mc:AlternateContent>
        <mc:AlternateContent>
          <mc:Choice Requires="wps">
            <w:drawing>
              <wp:anchor simplePos="0" relativeHeight="251657728" behindDoc="1" locked="0" layoutInCell="0" allowOverlap="1">
                <wp:simplePos x="0" y="0"/>
                <wp:positionH relativeFrom="column">
                  <wp:posOffset>5798820</wp:posOffset>
                </wp:positionH>
                <wp:positionV relativeFrom="paragraph">
                  <wp:posOffset>-4541520</wp:posOffset>
                </wp:positionV>
                <wp:extent cx="575310" cy="110490"/>
                <wp:wrapNone/>
                <wp:docPr id="47" name="Shape 4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75310" cy="110490"/>
                        </a:xfrm>
                        <a:prstGeom prst="rect">
                          <a:avLst/>
                        </a:prstGeom>
                        <a:solidFill>
                          <a:srgbClr val="FDFDFC"/>
                        </a:solidFill>
                      </wps:spPr>
                      <wps:bodyPr/>
                    </wps:wsp>
                  </a:graphicData>
                </a:graphic>
              </wp:anchor>
            </w:drawing>
          </mc:Choice>
          <mc:Fallback>
            <w:pict>
              <v:rect id="Shape 47" o:spid="_x0000_s1072" style="position:absolute;margin-left:456.6pt;margin-top:-357.5999pt;width:45.3pt;height:8.7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FDFDFC" stroked="f"/>
            </w:pict>
          </mc:Fallback>
        </mc:AlternateContent>
        <mc:AlternateContent>
          <mc:Choice Requires="wps">
            <w:drawing>
              <wp:anchor simplePos="0" relativeHeight="251657728" behindDoc="1" locked="0" layoutInCell="0" allowOverlap="1">
                <wp:simplePos x="0" y="0"/>
                <wp:positionH relativeFrom="column">
                  <wp:posOffset>6374130</wp:posOffset>
                </wp:positionH>
                <wp:positionV relativeFrom="paragraph">
                  <wp:posOffset>-4547235</wp:posOffset>
                </wp:positionV>
                <wp:extent cx="153670" cy="116205"/>
                <wp:wrapNone/>
                <wp:docPr id="48" name="Shape 4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53670" cy="116205"/>
                        </a:xfrm>
                        <a:prstGeom prst="rect">
                          <a:avLst/>
                        </a:prstGeom>
                        <a:solidFill>
                          <a:srgbClr val="FDFDFC"/>
                        </a:solidFill>
                      </wps:spPr>
                      <wps:bodyPr/>
                    </wps:wsp>
                  </a:graphicData>
                </a:graphic>
              </wp:anchor>
            </w:drawing>
          </mc:Choice>
          <mc:Fallback>
            <w:pict>
              <v:rect id="Shape 48" o:spid="_x0000_s1073" style="position:absolute;margin-left:501.9pt;margin-top:-358.0499pt;width:12.1pt;height:9.1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FDFDFC" stroked="f"/>
            </w:pict>
          </mc:Fallback>
        </mc:AlternateContent>
        <mc:AlternateContent>
          <mc:Choice Requires="wps">
            <w:drawing>
              <wp:anchor simplePos="0" relativeHeight="251657728" behindDoc="1" locked="0" layoutInCell="0" allowOverlap="1">
                <wp:simplePos x="0" y="0"/>
                <wp:positionH relativeFrom="column">
                  <wp:posOffset>5798820</wp:posOffset>
                </wp:positionH>
                <wp:positionV relativeFrom="paragraph">
                  <wp:posOffset>-998855</wp:posOffset>
                </wp:positionV>
                <wp:extent cx="575310" cy="110490"/>
                <wp:wrapNone/>
                <wp:docPr id="49" name="Shape 4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75310" cy="110490"/>
                        </a:xfrm>
                        <a:prstGeom prst="rect">
                          <a:avLst/>
                        </a:prstGeom>
                        <a:solidFill>
                          <a:srgbClr val="FDFDFC"/>
                        </a:solidFill>
                      </wps:spPr>
                      <wps:bodyPr/>
                    </wps:wsp>
                  </a:graphicData>
                </a:graphic>
              </wp:anchor>
            </w:drawing>
          </mc:Choice>
          <mc:Fallback>
            <w:pict>
              <v:rect id="Shape 49" o:spid="_x0000_s1074" style="position:absolute;margin-left:456.6pt;margin-top:-78.6499pt;width:45.3pt;height:8.7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FDFDFC" stroked="f"/>
            </w:pict>
          </mc:Fallback>
        </mc:AlternateContent>
        <mc:AlternateContent>
          <mc:Choice Requires="wps">
            <w:drawing>
              <wp:anchor simplePos="0" relativeHeight="251657728" behindDoc="1" locked="0" layoutInCell="0" allowOverlap="1">
                <wp:simplePos x="0" y="0"/>
                <wp:positionH relativeFrom="column">
                  <wp:posOffset>6374130</wp:posOffset>
                </wp:positionH>
                <wp:positionV relativeFrom="paragraph">
                  <wp:posOffset>-1004570</wp:posOffset>
                </wp:positionV>
                <wp:extent cx="153670" cy="116205"/>
                <wp:wrapNone/>
                <wp:docPr id="50" name="Shape 5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53670" cy="116205"/>
                        </a:xfrm>
                        <a:prstGeom prst="rect">
                          <a:avLst/>
                        </a:prstGeom>
                        <a:solidFill>
                          <a:srgbClr val="FDFDFC"/>
                        </a:solidFill>
                      </wps:spPr>
                      <wps:bodyPr/>
                    </wps:wsp>
                  </a:graphicData>
                </a:graphic>
              </wp:anchor>
            </w:drawing>
          </mc:Choice>
          <mc:Fallback>
            <w:pict>
              <v:rect id="Shape 50" o:spid="_x0000_s1075" style="position:absolute;margin-left:501.9pt;margin-top:-79.0999pt;width:12.1pt;height:9.1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FDFDFC" stroked="f"/>
            </w:pict>
          </mc:Fallback>
        </mc:AlternateContent>
      </w:r>
    </w:p>
    <w:p>
      <w:pPr>
        <w:sectPr>
          <w:pgSz w:w="12240" w:h="15840" w:orient="portrait"/>
          <w:cols w:equalWidth="0" w:num="1">
            <w:col w:w="10280"/>
          </w:cols>
          <w:pgMar w:left="980" w:top="1322" w:right="980" w:bottom="574" w:gutter="0" w:footer="0" w:header="0"/>
        </w:sect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231F20"/>
        </w:rPr>
        <w:t>F-18</w:t>
      </w:r>
    </w:p>
    <w:p>
      <w:pPr>
        <w:sectPr>
          <w:pgSz w:w="12240" w:h="15840" w:orient="portrait"/>
          <w:cols w:equalWidth="0" w:num="1">
            <w:col w:w="10280"/>
          </w:cols>
          <w:pgMar w:left="980" w:top="1322" w:right="980" w:bottom="574" w:gutter="0" w:footer="0" w:header="0"/>
          <w:type w:val="continuous"/>
        </w:sectPr>
      </w:pPr>
    </w:p>
    <w:bookmarkStart w:id="106" w:name="page107"/>
    <w:bookmarkEnd w:id="106"/>
    <w:tbl>
      <w:tblPr>
        <w:tblLayout w:type="fixed"/>
        <w:tblInd w:w="0" w:type="dxa"/>
        <w:tblCellMar>
          <w:top w:w="0" w:type="dxa"/>
          <w:left w:w="0" w:type="dxa"/>
          <w:bottom w:w="0" w:type="dxa"/>
          <w:right w:w="0" w:type="dxa"/>
        </w:tblCellMar>
      </w:tblPr>
      <w:tr>
        <w:trPr>
          <w:trHeight w:val="172"/>
        </w:trPr>
        <w:tc>
          <w:tcPr>
            <w:tcW w:w="1460" w:type="dxa"/>
            <w:vAlign w:val="bottom"/>
            <w:shd w:val="clear" w:color="auto" w:fill="FDFDFC"/>
          </w:tcPr>
          <w:p>
            <w:pPr>
              <w:spacing w:after="0"/>
              <w:rPr>
                <w:sz w:val="20"/>
                <w:szCs w:val="20"/>
                <w:color w:val="auto"/>
              </w:rPr>
            </w:pPr>
            <w:r>
              <w:rPr>
                <w:rFonts w:ascii="Times New Roman" w:cs="Times New Roman" w:eastAsia="Times New Roman" w:hAnsi="Times New Roman"/>
                <w:sz w:val="15"/>
                <w:szCs w:val="15"/>
                <w:color w:val="231F20"/>
              </w:rPr>
              <w:t xml:space="preserve">Avalara, Inc. </w:t>
            </w:r>
            <w:r>
              <w:rPr>
                <w:rFonts w:ascii="Times New Roman" w:cs="Times New Roman" w:eastAsia="Times New Roman" w:hAnsi="Times New Roman"/>
                <w:sz w:val="9"/>
                <w:szCs w:val="9"/>
                <w:color w:val="231F20"/>
              </w:rPr>
              <w:t>(3)</w:t>
            </w:r>
          </w:p>
        </w:tc>
        <w:tc>
          <w:tcPr>
            <w:tcW w:w="2420" w:type="dxa"/>
            <w:vAlign w:val="bottom"/>
            <w:shd w:val="clear" w:color="auto" w:fill="FDFDFC"/>
          </w:tcPr>
          <w:p>
            <w:pPr>
              <w:ind w:left="60"/>
              <w:spacing w:after="0"/>
              <w:rPr>
                <w:sz w:val="20"/>
                <w:szCs w:val="20"/>
                <w:color w:val="auto"/>
              </w:rPr>
            </w:pPr>
            <w:r>
              <w:rPr>
                <w:rFonts w:ascii="Times New Roman" w:cs="Times New Roman" w:eastAsia="Times New Roman" w:hAnsi="Times New Roman"/>
                <w:sz w:val="15"/>
                <w:szCs w:val="15"/>
                <w:color w:val="231F20"/>
              </w:rPr>
              <w:t>First-lien loan ($38,636 par, due</w:t>
            </w:r>
          </w:p>
        </w:tc>
        <w:tc>
          <w:tcPr>
            <w:tcW w:w="820" w:type="dxa"/>
            <w:vAlign w:val="bottom"/>
            <w:shd w:val="clear" w:color="auto" w:fill="FDFDFC"/>
          </w:tcPr>
          <w:p>
            <w:pPr>
              <w:jc w:val="right"/>
              <w:spacing w:after="0"/>
              <w:rPr>
                <w:sz w:val="20"/>
                <w:szCs w:val="20"/>
                <w:color w:val="auto"/>
              </w:rPr>
            </w:pPr>
            <w:r>
              <w:rPr>
                <w:rFonts w:ascii="Times New Roman" w:cs="Times New Roman" w:eastAsia="Times New Roman" w:hAnsi="Times New Roman"/>
                <w:sz w:val="15"/>
                <w:szCs w:val="15"/>
                <w:color w:val="231F20"/>
              </w:rPr>
              <w:t>10/19/2022</w:t>
            </w:r>
          </w:p>
        </w:tc>
        <w:tc>
          <w:tcPr>
            <w:tcW w:w="1040" w:type="dxa"/>
            <w:vAlign w:val="bottom"/>
            <w:shd w:val="clear" w:color="auto" w:fill="FDFDFC"/>
          </w:tcPr>
          <w:p>
            <w:pPr>
              <w:jc w:val="right"/>
              <w:ind w:right="84"/>
              <w:spacing w:after="0"/>
              <w:rPr>
                <w:sz w:val="20"/>
                <w:szCs w:val="20"/>
                <w:color w:val="auto"/>
              </w:rPr>
            </w:pPr>
            <w:r>
              <w:rPr>
                <w:rFonts w:ascii="Times New Roman" w:cs="Times New Roman" w:eastAsia="Times New Roman" w:hAnsi="Times New Roman"/>
                <w:sz w:val="15"/>
                <w:szCs w:val="15"/>
                <w:color w:val="231F20"/>
              </w:rPr>
              <w:t>SOFR +</w:t>
            </w:r>
          </w:p>
        </w:tc>
        <w:tc>
          <w:tcPr>
            <w:tcW w:w="1060" w:type="dxa"/>
            <w:vAlign w:val="bottom"/>
            <w:shd w:val="clear" w:color="auto" w:fill="FDFDFC"/>
          </w:tcPr>
          <w:p>
            <w:pPr>
              <w:jc w:val="right"/>
              <w:ind w:right="24"/>
              <w:spacing w:after="0"/>
              <w:rPr>
                <w:sz w:val="20"/>
                <w:szCs w:val="20"/>
                <w:color w:val="auto"/>
              </w:rPr>
            </w:pPr>
            <w:r>
              <w:rPr>
                <w:rFonts w:ascii="Times New Roman" w:cs="Times New Roman" w:eastAsia="Times New Roman" w:hAnsi="Times New Roman"/>
                <w:sz w:val="15"/>
                <w:szCs w:val="15"/>
                <w:color w:val="231F20"/>
              </w:rPr>
              <w:t>12.60%</w:t>
            </w:r>
          </w:p>
        </w:tc>
        <w:tc>
          <w:tcPr>
            <w:tcW w:w="100" w:type="dxa"/>
            <w:vAlign w:val="bottom"/>
            <w:shd w:val="clear" w:color="auto" w:fill="FDFDFC"/>
          </w:tcPr>
          <w:p>
            <w:pPr>
              <w:spacing w:after="0"/>
              <w:rPr>
                <w:sz w:val="15"/>
                <w:szCs w:val="15"/>
                <w:color w:val="auto"/>
              </w:rPr>
            </w:pPr>
          </w:p>
        </w:tc>
        <w:tc>
          <w:tcPr>
            <w:tcW w:w="900" w:type="dxa"/>
            <w:vAlign w:val="bottom"/>
            <w:shd w:val="clear" w:color="auto" w:fill="FDFDFC"/>
          </w:tcPr>
          <w:p>
            <w:pPr>
              <w:jc w:val="right"/>
              <w:spacing w:after="0"/>
              <w:rPr>
                <w:sz w:val="20"/>
                <w:szCs w:val="20"/>
                <w:color w:val="auto"/>
              </w:rPr>
            </w:pPr>
            <w:r>
              <w:rPr>
                <w:rFonts w:ascii="Times New Roman" w:cs="Times New Roman" w:eastAsia="Times New Roman" w:hAnsi="Times New Roman"/>
                <w:sz w:val="15"/>
                <w:szCs w:val="15"/>
                <w:color w:val="231F20"/>
              </w:rPr>
              <w:t>37,736</w:t>
            </w:r>
          </w:p>
        </w:tc>
        <w:tc>
          <w:tcPr>
            <w:tcW w:w="1140" w:type="dxa"/>
            <w:vAlign w:val="bottom"/>
            <w:gridSpan w:val="3"/>
            <w:shd w:val="clear" w:color="auto" w:fill="FDFDFC"/>
          </w:tcPr>
          <w:p>
            <w:pPr>
              <w:jc w:val="right"/>
              <w:spacing w:after="0"/>
              <w:rPr>
                <w:sz w:val="20"/>
                <w:szCs w:val="20"/>
                <w:color w:val="auto"/>
              </w:rPr>
            </w:pPr>
            <w:r>
              <w:rPr>
                <w:rFonts w:ascii="Times New Roman" w:cs="Times New Roman" w:eastAsia="Times New Roman" w:hAnsi="Times New Roman"/>
                <w:sz w:val="15"/>
                <w:szCs w:val="15"/>
                <w:color w:val="231F20"/>
              </w:rPr>
              <w:t>38,743</w:t>
            </w:r>
          </w:p>
        </w:tc>
        <w:tc>
          <w:tcPr>
            <w:tcW w:w="1340" w:type="dxa"/>
            <w:vAlign w:val="bottom"/>
            <w:gridSpan w:val="3"/>
            <w:shd w:val="clear" w:color="auto" w:fill="FDFDFC"/>
          </w:tcPr>
          <w:p>
            <w:pPr>
              <w:jc w:val="right"/>
              <w:ind w:right="120"/>
              <w:spacing w:after="0"/>
              <w:rPr>
                <w:sz w:val="20"/>
                <w:szCs w:val="20"/>
                <w:color w:val="auto"/>
              </w:rPr>
            </w:pPr>
            <w:r>
              <w:rPr>
                <w:rFonts w:ascii="Times New Roman" w:cs="Times New Roman" w:eastAsia="Times New Roman" w:hAnsi="Times New Roman"/>
                <w:sz w:val="15"/>
                <w:szCs w:val="15"/>
                <w:color w:val="231F20"/>
              </w:rPr>
              <w:t>2.6%</w:t>
            </w:r>
          </w:p>
        </w:tc>
        <w:tc>
          <w:tcPr>
            <w:tcW w:w="0" w:type="dxa"/>
            <w:vAlign w:val="bottom"/>
          </w:tcPr>
          <w:p>
            <w:pPr>
              <w:spacing w:after="0"/>
              <w:rPr>
                <w:sz w:val="1"/>
                <w:szCs w:val="1"/>
                <w:color w:val="auto"/>
              </w:rPr>
            </w:pPr>
          </w:p>
        </w:tc>
      </w:tr>
      <w:tr>
        <w:trPr>
          <w:trHeight w:val="189"/>
        </w:trPr>
        <w:tc>
          <w:tcPr>
            <w:tcW w:w="1460" w:type="dxa"/>
            <w:vAlign w:val="bottom"/>
            <w:shd w:val="clear" w:color="auto" w:fill="FDFDFC"/>
          </w:tcPr>
          <w:p>
            <w:pPr>
              <w:spacing w:after="0"/>
              <w:rPr>
                <w:sz w:val="16"/>
                <w:szCs w:val="16"/>
                <w:color w:val="auto"/>
              </w:rPr>
            </w:pPr>
          </w:p>
        </w:tc>
        <w:tc>
          <w:tcPr>
            <w:tcW w:w="2420" w:type="dxa"/>
            <w:vAlign w:val="bottom"/>
            <w:shd w:val="clear" w:color="auto" w:fill="FDFDFC"/>
          </w:tcPr>
          <w:p>
            <w:pPr>
              <w:ind w:left="60"/>
              <w:spacing w:after="0"/>
              <w:rPr>
                <w:sz w:val="20"/>
                <w:szCs w:val="20"/>
                <w:color w:val="auto"/>
              </w:rPr>
            </w:pPr>
            <w:r>
              <w:rPr>
                <w:rFonts w:ascii="Times New Roman" w:cs="Times New Roman" w:eastAsia="Times New Roman" w:hAnsi="Times New Roman"/>
                <w:sz w:val="15"/>
                <w:szCs w:val="15"/>
                <w:color w:val="231F20"/>
              </w:rPr>
              <w:t>10/2028)</w:t>
            </w:r>
          </w:p>
        </w:tc>
        <w:tc>
          <w:tcPr>
            <w:tcW w:w="820" w:type="dxa"/>
            <w:vAlign w:val="bottom"/>
            <w:shd w:val="clear" w:color="auto" w:fill="FDFDFC"/>
          </w:tcPr>
          <w:p>
            <w:pPr>
              <w:spacing w:after="0"/>
              <w:rPr>
                <w:sz w:val="16"/>
                <w:szCs w:val="16"/>
                <w:color w:val="auto"/>
              </w:rPr>
            </w:pPr>
          </w:p>
        </w:tc>
        <w:tc>
          <w:tcPr>
            <w:tcW w:w="1040" w:type="dxa"/>
            <w:vAlign w:val="bottom"/>
            <w:shd w:val="clear" w:color="auto" w:fill="FDFDFC"/>
          </w:tcPr>
          <w:p>
            <w:pPr>
              <w:jc w:val="right"/>
              <w:ind w:right="84"/>
              <w:spacing w:after="0"/>
              <w:rPr>
                <w:sz w:val="20"/>
                <w:szCs w:val="20"/>
                <w:color w:val="auto"/>
              </w:rPr>
            </w:pPr>
            <w:r>
              <w:rPr>
                <w:rFonts w:ascii="Times New Roman" w:cs="Times New Roman" w:eastAsia="Times New Roman" w:hAnsi="Times New Roman"/>
                <w:sz w:val="15"/>
                <w:szCs w:val="15"/>
                <w:color w:val="231F20"/>
              </w:rPr>
              <w:t>7.25%</w:t>
            </w:r>
          </w:p>
        </w:tc>
        <w:tc>
          <w:tcPr>
            <w:tcW w:w="1060" w:type="dxa"/>
            <w:vAlign w:val="bottom"/>
            <w:shd w:val="clear" w:color="auto" w:fill="FDFDFC"/>
          </w:tcPr>
          <w:p>
            <w:pPr>
              <w:spacing w:after="0"/>
              <w:rPr>
                <w:sz w:val="16"/>
                <w:szCs w:val="16"/>
                <w:color w:val="auto"/>
              </w:rPr>
            </w:pPr>
          </w:p>
        </w:tc>
        <w:tc>
          <w:tcPr>
            <w:tcW w:w="100" w:type="dxa"/>
            <w:vAlign w:val="bottom"/>
            <w:shd w:val="clear" w:color="auto" w:fill="FDFDFC"/>
          </w:tcPr>
          <w:p>
            <w:pPr>
              <w:spacing w:after="0"/>
              <w:rPr>
                <w:sz w:val="16"/>
                <w:szCs w:val="16"/>
                <w:color w:val="auto"/>
              </w:rPr>
            </w:pPr>
          </w:p>
        </w:tc>
        <w:tc>
          <w:tcPr>
            <w:tcW w:w="900" w:type="dxa"/>
            <w:vAlign w:val="bottom"/>
            <w:shd w:val="clear" w:color="auto" w:fill="FDFDFC"/>
          </w:tcPr>
          <w:p>
            <w:pPr>
              <w:spacing w:after="0"/>
              <w:rPr>
                <w:sz w:val="16"/>
                <w:szCs w:val="16"/>
                <w:color w:val="auto"/>
              </w:rPr>
            </w:pPr>
          </w:p>
        </w:tc>
        <w:tc>
          <w:tcPr>
            <w:tcW w:w="180" w:type="dxa"/>
            <w:vAlign w:val="bottom"/>
            <w:shd w:val="clear" w:color="auto" w:fill="FDFDFC"/>
          </w:tcPr>
          <w:p>
            <w:pPr>
              <w:spacing w:after="0"/>
              <w:rPr>
                <w:sz w:val="16"/>
                <w:szCs w:val="16"/>
                <w:color w:val="auto"/>
              </w:rPr>
            </w:pPr>
          </w:p>
        </w:tc>
        <w:tc>
          <w:tcPr>
            <w:tcW w:w="100" w:type="dxa"/>
            <w:vAlign w:val="bottom"/>
            <w:shd w:val="clear" w:color="auto" w:fill="FDFDFC"/>
          </w:tcPr>
          <w:p>
            <w:pPr>
              <w:spacing w:after="0"/>
              <w:rPr>
                <w:sz w:val="16"/>
                <w:szCs w:val="16"/>
                <w:color w:val="auto"/>
              </w:rPr>
            </w:pPr>
          </w:p>
        </w:tc>
        <w:tc>
          <w:tcPr>
            <w:tcW w:w="860" w:type="dxa"/>
            <w:vAlign w:val="bottom"/>
            <w:shd w:val="clear" w:color="auto" w:fill="FDFDFC"/>
          </w:tcPr>
          <w:p>
            <w:pPr>
              <w:spacing w:after="0"/>
              <w:rPr>
                <w:sz w:val="16"/>
                <w:szCs w:val="16"/>
                <w:color w:val="auto"/>
              </w:rPr>
            </w:pPr>
          </w:p>
        </w:tc>
        <w:tc>
          <w:tcPr>
            <w:tcW w:w="200" w:type="dxa"/>
            <w:vAlign w:val="bottom"/>
            <w:shd w:val="clear" w:color="auto" w:fill="FDFDFC"/>
          </w:tcPr>
          <w:p>
            <w:pPr>
              <w:spacing w:after="0"/>
              <w:rPr>
                <w:sz w:val="16"/>
                <w:szCs w:val="16"/>
                <w:color w:val="auto"/>
              </w:rPr>
            </w:pPr>
          </w:p>
        </w:tc>
        <w:tc>
          <w:tcPr>
            <w:tcW w:w="900" w:type="dxa"/>
            <w:vAlign w:val="bottom"/>
            <w:shd w:val="clear" w:color="auto" w:fill="FDFDFC"/>
          </w:tcPr>
          <w:p>
            <w:pPr>
              <w:spacing w:after="0"/>
              <w:rPr>
                <w:sz w:val="16"/>
                <w:szCs w:val="16"/>
                <w:color w:val="auto"/>
              </w:rPr>
            </w:pPr>
          </w:p>
        </w:tc>
        <w:tc>
          <w:tcPr>
            <w:tcW w:w="240" w:type="dxa"/>
            <w:vAlign w:val="bottom"/>
            <w:shd w:val="clear" w:color="auto" w:fill="FDFDFC"/>
          </w:tcPr>
          <w:p>
            <w:pPr>
              <w:spacing w:after="0"/>
              <w:rPr>
                <w:sz w:val="16"/>
                <w:szCs w:val="16"/>
                <w:color w:val="auto"/>
              </w:rPr>
            </w:pPr>
          </w:p>
        </w:tc>
        <w:tc>
          <w:tcPr>
            <w:tcW w:w="0" w:type="dxa"/>
            <w:vAlign w:val="bottom"/>
          </w:tcPr>
          <w:p>
            <w:pPr>
              <w:spacing w:after="0"/>
              <w:rPr>
                <w:sz w:val="1"/>
                <w:szCs w:val="1"/>
                <w:color w:val="auto"/>
              </w:rPr>
            </w:pPr>
          </w:p>
        </w:tc>
      </w:tr>
      <w:tr>
        <w:trPr>
          <w:trHeight w:val="158"/>
        </w:trPr>
        <w:tc>
          <w:tcPr>
            <w:tcW w:w="1460" w:type="dxa"/>
            <w:vAlign w:val="bottom"/>
            <w:shd w:val="clear" w:color="auto" w:fill="D0EBF2"/>
          </w:tcPr>
          <w:p>
            <w:pPr>
              <w:spacing w:after="0" w:line="159" w:lineRule="exact"/>
              <w:rPr>
                <w:sz w:val="20"/>
                <w:szCs w:val="20"/>
                <w:color w:val="auto"/>
              </w:rPr>
            </w:pPr>
            <w:r>
              <w:rPr>
                <w:rFonts w:ascii="Times New Roman" w:cs="Times New Roman" w:eastAsia="Times New Roman" w:hAnsi="Times New Roman"/>
                <w:sz w:val="15"/>
                <w:szCs w:val="15"/>
                <w:color w:val="231F20"/>
              </w:rPr>
              <w:t>Skylark UK DebtCo</w:t>
            </w:r>
          </w:p>
        </w:tc>
        <w:tc>
          <w:tcPr>
            <w:tcW w:w="2420" w:type="dxa"/>
            <w:vAlign w:val="bottom"/>
            <w:shd w:val="clear" w:color="auto" w:fill="D0EBF2"/>
          </w:tcPr>
          <w:p>
            <w:pPr>
              <w:ind w:left="60"/>
              <w:spacing w:after="0" w:line="159" w:lineRule="exact"/>
              <w:rPr>
                <w:sz w:val="20"/>
                <w:szCs w:val="20"/>
                <w:color w:val="auto"/>
              </w:rPr>
            </w:pPr>
            <w:r>
              <w:rPr>
                <w:rFonts w:ascii="Times New Roman" w:cs="Times New Roman" w:eastAsia="Times New Roman" w:hAnsi="Times New Roman"/>
                <w:sz w:val="15"/>
                <w:szCs w:val="15"/>
                <w:color w:val="231F20"/>
              </w:rPr>
              <w:t>First-lien loan ($16,340 par, due</w:t>
            </w:r>
          </w:p>
        </w:tc>
        <w:tc>
          <w:tcPr>
            <w:tcW w:w="820" w:type="dxa"/>
            <w:vAlign w:val="bottom"/>
            <w:shd w:val="clear" w:color="auto" w:fill="D0EBF2"/>
          </w:tcPr>
          <w:p>
            <w:pPr>
              <w:jc w:val="right"/>
              <w:spacing w:after="0" w:line="159" w:lineRule="exact"/>
              <w:rPr>
                <w:sz w:val="20"/>
                <w:szCs w:val="20"/>
                <w:color w:val="auto"/>
              </w:rPr>
            </w:pPr>
            <w:r>
              <w:rPr>
                <w:rFonts w:ascii="Times New Roman" w:cs="Times New Roman" w:eastAsia="Times New Roman" w:hAnsi="Times New Roman"/>
                <w:sz w:val="15"/>
                <w:szCs w:val="15"/>
                <w:color w:val="231F20"/>
              </w:rPr>
              <w:t>9/7/2023</w:t>
            </w:r>
          </w:p>
        </w:tc>
        <w:tc>
          <w:tcPr>
            <w:tcW w:w="1040" w:type="dxa"/>
            <w:vAlign w:val="bottom"/>
            <w:shd w:val="clear" w:color="auto" w:fill="D0EBF2"/>
          </w:tcPr>
          <w:p>
            <w:pPr>
              <w:jc w:val="right"/>
              <w:ind w:right="84"/>
              <w:spacing w:after="0" w:line="159" w:lineRule="exact"/>
              <w:rPr>
                <w:sz w:val="20"/>
                <w:szCs w:val="20"/>
                <w:color w:val="auto"/>
              </w:rPr>
            </w:pPr>
            <w:r>
              <w:rPr>
                <w:rFonts w:ascii="Times New Roman" w:cs="Times New Roman" w:eastAsia="Times New Roman" w:hAnsi="Times New Roman"/>
                <w:sz w:val="15"/>
                <w:szCs w:val="15"/>
                <w:color w:val="231F20"/>
              </w:rPr>
              <w:t>SOFR +</w:t>
            </w:r>
          </w:p>
        </w:tc>
        <w:tc>
          <w:tcPr>
            <w:tcW w:w="1060" w:type="dxa"/>
            <w:vAlign w:val="bottom"/>
            <w:shd w:val="clear" w:color="auto" w:fill="D0EBF2"/>
          </w:tcPr>
          <w:p>
            <w:pPr>
              <w:jc w:val="right"/>
              <w:ind w:right="24"/>
              <w:spacing w:after="0" w:line="159" w:lineRule="exact"/>
              <w:rPr>
                <w:sz w:val="20"/>
                <w:szCs w:val="20"/>
                <w:color w:val="auto"/>
              </w:rPr>
            </w:pPr>
            <w:r>
              <w:rPr>
                <w:rFonts w:ascii="Times New Roman" w:cs="Times New Roman" w:eastAsia="Times New Roman" w:hAnsi="Times New Roman"/>
                <w:sz w:val="15"/>
                <w:szCs w:val="15"/>
                <w:color w:val="231F20"/>
              </w:rPr>
              <w:t>11.60%</w:t>
            </w:r>
          </w:p>
        </w:tc>
        <w:tc>
          <w:tcPr>
            <w:tcW w:w="100" w:type="dxa"/>
            <w:vAlign w:val="bottom"/>
            <w:shd w:val="clear" w:color="auto" w:fill="D0EBF2"/>
          </w:tcPr>
          <w:p>
            <w:pPr>
              <w:spacing w:after="0"/>
              <w:rPr>
                <w:sz w:val="13"/>
                <w:szCs w:val="13"/>
                <w:color w:val="auto"/>
              </w:rPr>
            </w:pPr>
          </w:p>
        </w:tc>
        <w:tc>
          <w:tcPr>
            <w:tcW w:w="900" w:type="dxa"/>
            <w:vAlign w:val="bottom"/>
            <w:shd w:val="clear" w:color="auto" w:fill="D0EBF2"/>
          </w:tcPr>
          <w:p>
            <w:pPr>
              <w:jc w:val="right"/>
              <w:spacing w:after="0" w:line="159" w:lineRule="exact"/>
              <w:rPr>
                <w:sz w:val="20"/>
                <w:szCs w:val="20"/>
                <w:color w:val="auto"/>
              </w:rPr>
            </w:pPr>
            <w:r>
              <w:rPr>
                <w:rFonts w:ascii="Times New Roman" w:cs="Times New Roman" w:eastAsia="Times New Roman" w:hAnsi="Times New Roman"/>
                <w:sz w:val="15"/>
                <w:szCs w:val="15"/>
                <w:color w:val="231F20"/>
              </w:rPr>
              <w:t>15,722</w:t>
            </w:r>
          </w:p>
        </w:tc>
        <w:tc>
          <w:tcPr>
            <w:tcW w:w="1140" w:type="dxa"/>
            <w:vAlign w:val="bottom"/>
            <w:gridSpan w:val="3"/>
            <w:shd w:val="clear" w:color="auto" w:fill="D0EBF2"/>
          </w:tcPr>
          <w:p>
            <w:pPr>
              <w:jc w:val="right"/>
              <w:spacing w:after="0" w:line="159" w:lineRule="exact"/>
              <w:rPr>
                <w:sz w:val="20"/>
                <w:szCs w:val="20"/>
                <w:color w:val="auto"/>
              </w:rPr>
            </w:pPr>
            <w:r>
              <w:rPr>
                <w:rFonts w:ascii="Times New Roman" w:cs="Times New Roman" w:eastAsia="Times New Roman" w:hAnsi="Times New Roman"/>
                <w:sz w:val="15"/>
                <w:szCs w:val="15"/>
                <w:color w:val="231F20"/>
              </w:rPr>
              <w:t>15,812</w:t>
            </w:r>
          </w:p>
        </w:tc>
        <w:tc>
          <w:tcPr>
            <w:tcW w:w="1340" w:type="dxa"/>
            <w:vAlign w:val="bottom"/>
            <w:gridSpan w:val="3"/>
            <w:shd w:val="clear" w:color="auto" w:fill="D0EBF2"/>
          </w:tcPr>
          <w:p>
            <w:pPr>
              <w:jc w:val="right"/>
              <w:ind w:right="120"/>
              <w:spacing w:after="0" w:line="159" w:lineRule="exact"/>
              <w:rPr>
                <w:sz w:val="20"/>
                <w:szCs w:val="20"/>
                <w:color w:val="auto"/>
              </w:rPr>
            </w:pPr>
            <w:r>
              <w:rPr>
                <w:rFonts w:ascii="Times New Roman" w:cs="Times New Roman" w:eastAsia="Times New Roman" w:hAnsi="Times New Roman"/>
                <w:sz w:val="15"/>
                <w:szCs w:val="15"/>
                <w:color w:val="231F20"/>
              </w:rPr>
              <w:t>1.1%</w:t>
            </w:r>
          </w:p>
        </w:tc>
        <w:tc>
          <w:tcPr>
            <w:tcW w:w="0" w:type="dxa"/>
            <w:vAlign w:val="bottom"/>
          </w:tcPr>
          <w:p>
            <w:pPr>
              <w:spacing w:after="0"/>
              <w:rPr>
                <w:sz w:val="1"/>
                <w:szCs w:val="1"/>
                <w:color w:val="auto"/>
              </w:rPr>
            </w:pPr>
          </w:p>
        </w:tc>
      </w:tr>
      <w:tr>
        <w:trPr>
          <w:trHeight w:val="189"/>
        </w:trPr>
        <w:tc>
          <w:tcPr>
            <w:tcW w:w="1460" w:type="dxa"/>
            <w:vAlign w:val="bottom"/>
            <w:shd w:val="clear" w:color="auto" w:fill="D0EBF2"/>
          </w:tcPr>
          <w:p>
            <w:pPr>
              <w:spacing w:after="0"/>
              <w:rPr>
                <w:sz w:val="20"/>
                <w:szCs w:val="20"/>
                <w:color w:val="auto"/>
              </w:rPr>
            </w:pPr>
            <w:r>
              <w:rPr>
                <w:rFonts w:ascii="Times New Roman" w:cs="Times New Roman" w:eastAsia="Times New Roman" w:hAnsi="Times New Roman"/>
                <w:sz w:val="15"/>
                <w:szCs w:val="15"/>
                <w:color w:val="231F20"/>
              </w:rPr>
              <w:t xml:space="preserve">Limited </w:t>
            </w:r>
            <w:r>
              <w:rPr>
                <w:rFonts w:ascii="Times New Roman" w:cs="Times New Roman" w:eastAsia="Times New Roman" w:hAnsi="Times New Roman"/>
                <w:sz w:val="9"/>
                <w:szCs w:val="9"/>
                <w:color w:val="231F20"/>
              </w:rPr>
              <w:t>(3)(4)</w:t>
            </w:r>
          </w:p>
        </w:tc>
        <w:tc>
          <w:tcPr>
            <w:tcW w:w="2420" w:type="dxa"/>
            <w:vAlign w:val="bottom"/>
            <w:shd w:val="clear" w:color="auto" w:fill="D0EBF2"/>
          </w:tcPr>
          <w:p>
            <w:pPr>
              <w:ind w:left="60"/>
              <w:spacing w:after="0"/>
              <w:rPr>
                <w:sz w:val="20"/>
                <w:szCs w:val="20"/>
                <w:color w:val="auto"/>
              </w:rPr>
            </w:pPr>
            <w:r>
              <w:rPr>
                <w:rFonts w:ascii="Times New Roman" w:cs="Times New Roman" w:eastAsia="Times New Roman" w:hAnsi="Times New Roman"/>
                <w:sz w:val="15"/>
                <w:szCs w:val="15"/>
                <w:color w:val="231F20"/>
              </w:rPr>
              <w:t>9/2030)</w:t>
            </w:r>
          </w:p>
        </w:tc>
        <w:tc>
          <w:tcPr>
            <w:tcW w:w="820" w:type="dxa"/>
            <w:vAlign w:val="bottom"/>
            <w:shd w:val="clear" w:color="auto" w:fill="D0EBF2"/>
          </w:tcPr>
          <w:p>
            <w:pPr>
              <w:spacing w:after="0"/>
              <w:rPr>
                <w:sz w:val="16"/>
                <w:szCs w:val="16"/>
                <w:color w:val="auto"/>
              </w:rPr>
            </w:pPr>
          </w:p>
        </w:tc>
        <w:tc>
          <w:tcPr>
            <w:tcW w:w="1040" w:type="dxa"/>
            <w:vAlign w:val="bottom"/>
            <w:shd w:val="clear" w:color="auto" w:fill="D0EBF2"/>
          </w:tcPr>
          <w:p>
            <w:pPr>
              <w:jc w:val="right"/>
              <w:ind w:right="84"/>
              <w:spacing w:after="0"/>
              <w:rPr>
                <w:sz w:val="20"/>
                <w:szCs w:val="20"/>
                <w:color w:val="auto"/>
              </w:rPr>
            </w:pPr>
            <w:r>
              <w:rPr>
                <w:rFonts w:ascii="Times New Roman" w:cs="Times New Roman" w:eastAsia="Times New Roman" w:hAnsi="Times New Roman"/>
                <w:sz w:val="15"/>
                <w:szCs w:val="15"/>
                <w:color w:val="231F20"/>
              </w:rPr>
              <w:t>6.25%</w:t>
            </w:r>
          </w:p>
        </w:tc>
        <w:tc>
          <w:tcPr>
            <w:tcW w:w="1060" w:type="dxa"/>
            <w:vAlign w:val="bottom"/>
            <w:shd w:val="clear" w:color="auto" w:fill="D0EBF2"/>
          </w:tcPr>
          <w:p>
            <w:pPr>
              <w:spacing w:after="0"/>
              <w:rPr>
                <w:sz w:val="16"/>
                <w:szCs w:val="16"/>
                <w:color w:val="auto"/>
              </w:rPr>
            </w:pPr>
          </w:p>
        </w:tc>
        <w:tc>
          <w:tcPr>
            <w:tcW w:w="100" w:type="dxa"/>
            <w:vAlign w:val="bottom"/>
            <w:shd w:val="clear" w:color="auto" w:fill="D0EBF2"/>
          </w:tcPr>
          <w:p>
            <w:pPr>
              <w:spacing w:after="0"/>
              <w:rPr>
                <w:sz w:val="16"/>
                <w:szCs w:val="16"/>
                <w:color w:val="auto"/>
              </w:rPr>
            </w:pPr>
          </w:p>
        </w:tc>
        <w:tc>
          <w:tcPr>
            <w:tcW w:w="900" w:type="dxa"/>
            <w:vAlign w:val="bottom"/>
            <w:shd w:val="clear" w:color="auto" w:fill="D0EBF2"/>
          </w:tcPr>
          <w:p>
            <w:pPr>
              <w:spacing w:after="0"/>
              <w:rPr>
                <w:sz w:val="16"/>
                <w:szCs w:val="16"/>
                <w:color w:val="auto"/>
              </w:rPr>
            </w:pPr>
          </w:p>
        </w:tc>
        <w:tc>
          <w:tcPr>
            <w:tcW w:w="180" w:type="dxa"/>
            <w:vAlign w:val="bottom"/>
            <w:shd w:val="clear" w:color="auto" w:fill="D0EBF2"/>
          </w:tcPr>
          <w:p>
            <w:pPr>
              <w:spacing w:after="0"/>
              <w:rPr>
                <w:sz w:val="16"/>
                <w:szCs w:val="16"/>
                <w:color w:val="auto"/>
              </w:rPr>
            </w:pPr>
          </w:p>
        </w:tc>
        <w:tc>
          <w:tcPr>
            <w:tcW w:w="100" w:type="dxa"/>
            <w:vAlign w:val="bottom"/>
            <w:shd w:val="clear" w:color="auto" w:fill="D0EBF2"/>
          </w:tcPr>
          <w:p>
            <w:pPr>
              <w:spacing w:after="0"/>
              <w:rPr>
                <w:sz w:val="16"/>
                <w:szCs w:val="16"/>
                <w:color w:val="auto"/>
              </w:rPr>
            </w:pPr>
          </w:p>
        </w:tc>
        <w:tc>
          <w:tcPr>
            <w:tcW w:w="860" w:type="dxa"/>
            <w:vAlign w:val="bottom"/>
            <w:shd w:val="clear" w:color="auto" w:fill="D0EBF2"/>
          </w:tcPr>
          <w:p>
            <w:pPr>
              <w:spacing w:after="0"/>
              <w:rPr>
                <w:sz w:val="16"/>
                <w:szCs w:val="16"/>
                <w:color w:val="auto"/>
              </w:rPr>
            </w:pPr>
          </w:p>
        </w:tc>
        <w:tc>
          <w:tcPr>
            <w:tcW w:w="200" w:type="dxa"/>
            <w:vAlign w:val="bottom"/>
            <w:shd w:val="clear" w:color="auto" w:fill="D0EBF2"/>
          </w:tcPr>
          <w:p>
            <w:pPr>
              <w:spacing w:after="0"/>
              <w:rPr>
                <w:sz w:val="16"/>
                <w:szCs w:val="16"/>
                <w:color w:val="auto"/>
              </w:rPr>
            </w:pPr>
          </w:p>
        </w:tc>
        <w:tc>
          <w:tcPr>
            <w:tcW w:w="900" w:type="dxa"/>
            <w:vAlign w:val="bottom"/>
            <w:shd w:val="clear" w:color="auto" w:fill="D0EBF2"/>
          </w:tcPr>
          <w:p>
            <w:pPr>
              <w:spacing w:after="0"/>
              <w:rPr>
                <w:sz w:val="16"/>
                <w:szCs w:val="16"/>
                <w:color w:val="auto"/>
              </w:rPr>
            </w:pPr>
          </w:p>
        </w:tc>
        <w:tc>
          <w:tcPr>
            <w:tcW w:w="240" w:type="dxa"/>
            <w:vAlign w:val="bottom"/>
            <w:shd w:val="clear" w:color="auto" w:fill="D0EBF2"/>
          </w:tcPr>
          <w:p>
            <w:pPr>
              <w:spacing w:after="0"/>
              <w:rPr>
                <w:sz w:val="16"/>
                <w:szCs w:val="16"/>
                <w:color w:val="auto"/>
              </w:rPr>
            </w:pPr>
          </w:p>
        </w:tc>
        <w:tc>
          <w:tcPr>
            <w:tcW w:w="0" w:type="dxa"/>
            <w:vAlign w:val="bottom"/>
          </w:tcPr>
          <w:p>
            <w:pPr>
              <w:spacing w:after="0"/>
              <w:rPr>
                <w:sz w:val="1"/>
                <w:szCs w:val="1"/>
                <w:color w:val="auto"/>
              </w:rPr>
            </w:pPr>
          </w:p>
        </w:tc>
      </w:tr>
      <w:tr>
        <w:trPr>
          <w:trHeight w:val="158"/>
        </w:trPr>
        <w:tc>
          <w:tcPr>
            <w:tcW w:w="1460" w:type="dxa"/>
            <w:vAlign w:val="bottom"/>
            <w:shd w:val="clear" w:color="auto" w:fill="FDFDFC"/>
          </w:tcPr>
          <w:p>
            <w:pPr>
              <w:spacing w:after="0"/>
              <w:rPr>
                <w:sz w:val="13"/>
                <w:szCs w:val="13"/>
                <w:color w:val="auto"/>
              </w:rPr>
            </w:pPr>
          </w:p>
        </w:tc>
        <w:tc>
          <w:tcPr>
            <w:tcW w:w="2420" w:type="dxa"/>
            <w:vAlign w:val="bottom"/>
            <w:shd w:val="clear" w:color="auto" w:fill="FDFDFC"/>
          </w:tcPr>
          <w:p>
            <w:pPr>
              <w:ind w:left="60"/>
              <w:spacing w:after="0" w:line="159" w:lineRule="exact"/>
              <w:rPr>
                <w:sz w:val="20"/>
                <w:szCs w:val="20"/>
                <w:color w:val="auto"/>
              </w:rPr>
            </w:pPr>
            <w:r>
              <w:rPr>
                <w:rFonts w:ascii="Times New Roman" w:cs="Times New Roman" w:eastAsia="Times New Roman" w:hAnsi="Times New Roman"/>
                <w:sz w:val="15"/>
                <w:szCs w:val="15"/>
                <w:color w:val="231F20"/>
              </w:rPr>
              <w:t>First-lien loan (EUR 4,851 par, due</w:t>
            </w:r>
          </w:p>
        </w:tc>
        <w:tc>
          <w:tcPr>
            <w:tcW w:w="820" w:type="dxa"/>
            <w:vAlign w:val="bottom"/>
            <w:shd w:val="clear" w:color="auto" w:fill="FDFDFC"/>
          </w:tcPr>
          <w:p>
            <w:pPr>
              <w:jc w:val="right"/>
              <w:spacing w:after="0" w:line="159" w:lineRule="exact"/>
              <w:rPr>
                <w:sz w:val="20"/>
                <w:szCs w:val="20"/>
                <w:color w:val="auto"/>
              </w:rPr>
            </w:pPr>
            <w:r>
              <w:rPr>
                <w:rFonts w:ascii="Times New Roman" w:cs="Times New Roman" w:eastAsia="Times New Roman" w:hAnsi="Times New Roman"/>
                <w:sz w:val="15"/>
                <w:szCs w:val="15"/>
                <w:color w:val="231F20"/>
              </w:rPr>
              <w:t>9/7/2023</w:t>
            </w:r>
          </w:p>
        </w:tc>
        <w:tc>
          <w:tcPr>
            <w:tcW w:w="1040" w:type="dxa"/>
            <w:vAlign w:val="bottom"/>
            <w:shd w:val="clear" w:color="auto" w:fill="FDFDFC"/>
          </w:tcPr>
          <w:p>
            <w:pPr>
              <w:jc w:val="right"/>
              <w:ind w:right="84"/>
              <w:spacing w:after="0" w:line="159" w:lineRule="exact"/>
              <w:rPr>
                <w:sz w:val="20"/>
                <w:szCs w:val="20"/>
                <w:color w:val="auto"/>
              </w:rPr>
            </w:pPr>
            <w:r>
              <w:rPr>
                <w:rFonts w:ascii="Times New Roman" w:cs="Times New Roman" w:eastAsia="Times New Roman" w:hAnsi="Times New Roman"/>
                <w:sz w:val="15"/>
                <w:szCs w:val="15"/>
                <w:color w:val="231F20"/>
              </w:rPr>
              <w:t>E + 6.25%</w:t>
            </w:r>
          </w:p>
        </w:tc>
        <w:tc>
          <w:tcPr>
            <w:tcW w:w="1060" w:type="dxa"/>
            <w:vAlign w:val="bottom"/>
            <w:shd w:val="clear" w:color="auto" w:fill="FDFDFC"/>
          </w:tcPr>
          <w:p>
            <w:pPr>
              <w:jc w:val="right"/>
              <w:ind w:right="24"/>
              <w:spacing w:after="0" w:line="159" w:lineRule="exact"/>
              <w:rPr>
                <w:sz w:val="20"/>
                <w:szCs w:val="20"/>
                <w:color w:val="auto"/>
              </w:rPr>
            </w:pPr>
            <w:r>
              <w:rPr>
                <w:rFonts w:ascii="Times New Roman" w:cs="Times New Roman" w:eastAsia="Times New Roman" w:hAnsi="Times New Roman"/>
                <w:sz w:val="15"/>
                <w:szCs w:val="15"/>
                <w:color w:val="231F20"/>
              </w:rPr>
              <w:t>10.18%</w:t>
            </w:r>
          </w:p>
        </w:tc>
        <w:tc>
          <w:tcPr>
            <w:tcW w:w="100" w:type="dxa"/>
            <w:vAlign w:val="bottom"/>
            <w:shd w:val="clear" w:color="auto" w:fill="FDFDFC"/>
          </w:tcPr>
          <w:p>
            <w:pPr>
              <w:spacing w:after="0"/>
              <w:rPr>
                <w:sz w:val="13"/>
                <w:szCs w:val="13"/>
                <w:color w:val="auto"/>
              </w:rPr>
            </w:pPr>
          </w:p>
        </w:tc>
        <w:tc>
          <w:tcPr>
            <w:tcW w:w="900" w:type="dxa"/>
            <w:vAlign w:val="bottom"/>
            <w:shd w:val="clear" w:color="auto" w:fill="FDFDFC"/>
          </w:tcPr>
          <w:p>
            <w:pPr>
              <w:jc w:val="right"/>
              <w:spacing w:after="0" w:line="159" w:lineRule="exact"/>
              <w:rPr>
                <w:sz w:val="20"/>
                <w:szCs w:val="20"/>
                <w:color w:val="auto"/>
              </w:rPr>
            </w:pPr>
            <w:r>
              <w:rPr>
                <w:rFonts w:ascii="Times New Roman" w:cs="Times New Roman" w:eastAsia="Times New Roman" w:hAnsi="Times New Roman"/>
                <w:sz w:val="15"/>
                <w:szCs w:val="15"/>
                <w:color w:val="231F20"/>
              </w:rPr>
              <w:t>5,055</w:t>
            </w:r>
          </w:p>
        </w:tc>
        <w:tc>
          <w:tcPr>
            <w:tcW w:w="1140" w:type="dxa"/>
            <w:vAlign w:val="bottom"/>
            <w:gridSpan w:val="3"/>
            <w:shd w:val="clear" w:color="auto" w:fill="FDFDFC"/>
          </w:tcPr>
          <w:p>
            <w:pPr>
              <w:jc w:val="right"/>
              <w:spacing w:after="0" w:line="159" w:lineRule="exact"/>
              <w:rPr>
                <w:sz w:val="20"/>
                <w:szCs w:val="20"/>
                <w:color w:val="auto"/>
              </w:rPr>
            </w:pPr>
            <w:r>
              <w:rPr>
                <w:rFonts w:ascii="Times New Roman" w:cs="Times New Roman" w:eastAsia="Times New Roman" w:hAnsi="Times New Roman"/>
                <w:sz w:val="15"/>
                <w:szCs w:val="15"/>
                <w:color w:val="231F20"/>
              </w:rPr>
              <w:t>5,238</w:t>
            </w:r>
          </w:p>
        </w:tc>
        <w:tc>
          <w:tcPr>
            <w:tcW w:w="1340" w:type="dxa"/>
            <w:vAlign w:val="bottom"/>
            <w:gridSpan w:val="3"/>
            <w:shd w:val="clear" w:color="auto" w:fill="FDFDFC"/>
          </w:tcPr>
          <w:p>
            <w:pPr>
              <w:jc w:val="right"/>
              <w:ind w:right="120"/>
              <w:spacing w:after="0" w:line="159" w:lineRule="exact"/>
              <w:rPr>
                <w:sz w:val="20"/>
                <w:szCs w:val="20"/>
                <w:color w:val="auto"/>
              </w:rPr>
            </w:pPr>
            <w:r>
              <w:rPr>
                <w:rFonts w:ascii="Times New Roman" w:cs="Times New Roman" w:eastAsia="Times New Roman" w:hAnsi="Times New Roman"/>
                <w:sz w:val="15"/>
                <w:szCs w:val="15"/>
                <w:color w:val="231F20"/>
              </w:rPr>
              <w:t>0.4%</w:t>
            </w:r>
          </w:p>
        </w:tc>
        <w:tc>
          <w:tcPr>
            <w:tcW w:w="0" w:type="dxa"/>
            <w:vAlign w:val="bottom"/>
          </w:tcPr>
          <w:p>
            <w:pPr>
              <w:spacing w:after="0"/>
              <w:rPr>
                <w:sz w:val="1"/>
                <w:szCs w:val="1"/>
                <w:color w:val="auto"/>
              </w:rPr>
            </w:pPr>
          </w:p>
        </w:tc>
      </w:tr>
      <w:tr>
        <w:trPr>
          <w:trHeight w:val="189"/>
        </w:trPr>
        <w:tc>
          <w:tcPr>
            <w:tcW w:w="1460" w:type="dxa"/>
            <w:vAlign w:val="bottom"/>
            <w:shd w:val="clear" w:color="auto" w:fill="FDFDFC"/>
          </w:tcPr>
          <w:p>
            <w:pPr>
              <w:spacing w:after="0"/>
              <w:rPr>
                <w:sz w:val="16"/>
                <w:szCs w:val="16"/>
                <w:color w:val="auto"/>
              </w:rPr>
            </w:pPr>
          </w:p>
        </w:tc>
        <w:tc>
          <w:tcPr>
            <w:tcW w:w="2420" w:type="dxa"/>
            <w:vAlign w:val="bottom"/>
            <w:shd w:val="clear" w:color="auto" w:fill="FDFDFC"/>
          </w:tcPr>
          <w:p>
            <w:pPr>
              <w:ind w:left="60"/>
              <w:spacing w:after="0"/>
              <w:rPr>
                <w:sz w:val="20"/>
                <w:szCs w:val="20"/>
                <w:color w:val="auto"/>
              </w:rPr>
            </w:pPr>
            <w:r>
              <w:rPr>
                <w:rFonts w:ascii="Times New Roman" w:cs="Times New Roman" w:eastAsia="Times New Roman" w:hAnsi="Times New Roman"/>
                <w:sz w:val="15"/>
                <w:szCs w:val="15"/>
                <w:color w:val="231F20"/>
              </w:rPr>
              <w:t>9/2030)</w:t>
            </w:r>
          </w:p>
        </w:tc>
        <w:tc>
          <w:tcPr>
            <w:tcW w:w="820" w:type="dxa"/>
            <w:vAlign w:val="bottom"/>
            <w:shd w:val="clear" w:color="auto" w:fill="FDFDFC"/>
          </w:tcPr>
          <w:p>
            <w:pPr>
              <w:spacing w:after="0"/>
              <w:rPr>
                <w:sz w:val="16"/>
                <w:szCs w:val="16"/>
                <w:color w:val="auto"/>
              </w:rPr>
            </w:pPr>
          </w:p>
        </w:tc>
        <w:tc>
          <w:tcPr>
            <w:tcW w:w="1040" w:type="dxa"/>
            <w:vAlign w:val="bottom"/>
            <w:shd w:val="clear" w:color="auto" w:fill="FDFDFC"/>
          </w:tcPr>
          <w:p>
            <w:pPr>
              <w:spacing w:after="0"/>
              <w:rPr>
                <w:sz w:val="16"/>
                <w:szCs w:val="16"/>
                <w:color w:val="auto"/>
              </w:rPr>
            </w:pPr>
          </w:p>
        </w:tc>
        <w:tc>
          <w:tcPr>
            <w:tcW w:w="1060" w:type="dxa"/>
            <w:vAlign w:val="bottom"/>
            <w:shd w:val="clear" w:color="auto" w:fill="FDFDFC"/>
          </w:tcPr>
          <w:p>
            <w:pPr>
              <w:spacing w:after="0"/>
              <w:rPr>
                <w:sz w:val="16"/>
                <w:szCs w:val="16"/>
                <w:color w:val="auto"/>
              </w:rPr>
            </w:pPr>
          </w:p>
        </w:tc>
        <w:tc>
          <w:tcPr>
            <w:tcW w:w="100" w:type="dxa"/>
            <w:vAlign w:val="bottom"/>
            <w:shd w:val="clear" w:color="auto" w:fill="FDFDFC"/>
          </w:tcPr>
          <w:p>
            <w:pPr>
              <w:spacing w:after="0"/>
              <w:rPr>
                <w:sz w:val="16"/>
                <w:szCs w:val="16"/>
                <w:color w:val="auto"/>
              </w:rPr>
            </w:pPr>
          </w:p>
        </w:tc>
        <w:tc>
          <w:tcPr>
            <w:tcW w:w="900" w:type="dxa"/>
            <w:vAlign w:val="bottom"/>
            <w:shd w:val="clear" w:color="auto" w:fill="FDFDFC"/>
          </w:tcPr>
          <w:p>
            <w:pPr>
              <w:spacing w:after="0"/>
              <w:rPr>
                <w:sz w:val="16"/>
                <w:szCs w:val="16"/>
                <w:color w:val="auto"/>
              </w:rPr>
            </w:pPr>
          </w:p>
        </w:tc>
        <w:tc>
          <w:tcPr>
            <w:tcW w:w="180" w:type="dxa"/>
            <w:vAlign w:val="bottom"/>
            <w:shd w:val="clear" w:color="auto" w:fill="FDFDFC"/>
          </w:tcPr>
          <w:p>
            <w:pPr>
              <w:spacing w:after="0"/>
              <w:rPr>
                <w:sz w:val="16"/>
                <w:szCs w:val="16"/>
                <w:color w:val="auto"/>
              </w:rPr>
            </w:pPr>
          </w:p>
        </w:tc>
        <w:tc>
          <w:tcPr>
            <w:tcW w:w="100" w:type="dxa"/>
            <w:vAlign w:val="bottom"/>
            <w:shd w:val="clear" w:color="auto" w:fill="FDFDFC"/>
          </w:tcPr>
          <w:p>
            <w:pPr>
              <w:spacing w:after="0"/>
              <w:rPr>
                <w:sz w:val="16"/>
                <w:szCs w:val="16"/>
                <w:color w:val="auto"/>
              </w:rPr>
            </w:pPr>
          </w:p>
        </w:tc>
        <w:tc>
          <w:tcPr>
            <w:tcW w:w="860" w:type="dxa"/>
            <w:vAlign w:val="bottom"/>
            <w:shd w:val="clear" w:color="auto" w:fill="FDFDFC"/>
          </w:tcPr>
          <w:p>
            <w:pPr>
              <w:jc w:val="right"/>
              <w:spacing w:after="0"/>
              <w:rPr>
                <w:sz w:val="20"/>
                <w:szCs w:val="20"/>
                <w:color w:val="auto"/>
              </w:rPr>
            </w:pPr>
            <w:r>
              <w:rPr>
                <w:rFonts w:ascii="Times New Roman" w:cs="Times New Roman" w:eastAsia="Times New Roman" w:hAnsi="Times New Roman"/>
                <w:sz w:val="15"/>
                <w:szCs w:val="15"/>
                <w:color w:val="231F20"/>
              </w:rPr>
              <w:t>(EUR 4,742)</w:t>
            </w:r>
          </w:p>
        </w:tc>
        <w:tc>
          <w:tcPr>
            <w:tcW w:w="200" w:type="dxa"/>
            <w:vAlign w:val="bottom"/>
            <w:shd w:val="clear" w:color="auto" w:fill="FDFDFC"/>
          </w:tcPr>
          <w:p>
            <w:pPr>
              <w:spacing w:after="0"/>
              <w:rPr>
                <w:sz w:val="16"/>
                <w:szCs w:val="16"/>
                <w:color w:val="auto"/>
              </w:rPr>
            </w:pPr>
          </w:p>
        </w:tc>
        <w:tc>
          <w:tcPr>
            <w:tcW w:w="900" w:type="dxa"/>
            <w:vAlign w:val="bottom"/>
            <w:shd w:val="clear" w:color="auto" w:fill="FDFDFC"/>
          </w:tcPr>
          <w:p>
            <w:pPr>
              <w:spacing w:after="0"/>
              <w:rPr>
                <w:sz w:val="16"/>
                <w:szCs w:val="16"/>
                <w:color w:val="auto"/>
              </w:rPr>
            </w:pPr>
          </w:p>
        </w:tc>
        <w:tc>
          <w:tcPr>
            <w:tcW w:w="240" w:type="dxa"/>
            <w:vAlign w:val="bottom"/>
            <w:shd w:val="clear" w:color="auto" w:fill="FDFDFC"/>
          </w:tcPr>
          <w:p>
            <w:pPr>
              <w:spacing w:after="0"/>
              <w:rPr>
                <w:sz w:val="16"/>
                <w:szCs w:val="16"/>
                <w:color w:val="auto"/>
              </w:rPr>
            </w:pPr>
          </w:p>
        </w:tc>
        <w:tc>
          <w:tcPr>
            <w:tcW w:w="0" w:type="dxa"/>
            <w:vAlign w:val="bottom"/>
          </w:tcPr>
          <w:p>
            <w:pPr>
              <w:spacing w:after="0"/>
              <w:rPr>
                <w:sz w:val="1"/>
                <w:szCs w:val="1"/>
                <w:color w:val="auto"/>
              </w:rPr>
            </w:pPr>
          </w:p>
        </w:tc>
      </w:tr>
      <w:tr>
        <w:trPr>
          <w:trHeight w:val="158"/>
        </w:trPr>
        <w:tc>
          <w:tcPr>
            <w:tcW w:w="1460" w:type="dxa"/>
            <w:vAlign w:val="bottom"/>
            <w:shd w:val="clear" w:color="auto" w:fill="D0EBF2"/>
          </w:tcPr>
          <w:p>
            <w:pPr>
              <w:spacing w:after="0"/>
              <w:rPr>
                <w:sz w:val="13"/>
                <w:szCs w:val="13"/>
                <w:color w:val="auto"/>
              </w:rPr>
            </w:pPr>
          </w:p>
        </w:tc>
        <w:tc>
          <w:tcPr>
            <w:tcW w:w="2420" w:type="dxa"/>
            <w:vAlign w:val="bottom"/>
            <w:shd w:val="clear" w:color="auto" w:fill="D0EBF2"/>
          </w:tcPr>
          <w:p>
            <w:pPr>
              <w:ind w:left="60"/>
              <w:spacing w:after="0" w:line="159" w:lineRule="exact"/>
              <w:rPr>
                <w:sz w:val="20"/>
                <w:szCs w:val="20"/>
                <w:color w:val="auto"/>
              </w:rPr>
            </w:pPr>
            <w:r>
              <w:rPr>
                <w:rFonts w:ascii="Times New Roman" w:cs="Times New Roman" w:eastAsia="Times New Roman" w:hAnsi="Times New Roman"/>
                <w:sz w:val="15"/>
                <w:szCs w:val="15"/>
                <w:color w:val="231F20"/>
              </w:rPr>
              <w:t>First-lien loan (GBP 16,640 par, due</w:t>
            </w:r>
          </w:p>
        </w:tc>
        <w:tc>
          <w:tcPr>
            <w:tcW w:w="820" w:type="dxa"/>
            <w:vAlign w:val="bottom"/>
            <w:shd w:val="clear" w:color="auto" w:fill="D0EBF2"/>
          </w:tcPr>
          <w:p>
            <w:pPr>
              <w:jc w:val="right"/>
              <w:spacing w:after="0" w:line="159" w:lineRule="exact"/>
              <w:rPr>
                <w:sz w:val="20"/>
                <w:szCs w:val="20"/>
                <w:color w:val="auto"/>
              </w:rPr>
            </w:pPr>
            <w:r>
              <w:rPr>
                <w:rFonts w:ascii="Times New Roman" w:cs="Times New Roman" w:eastAsia="Times New Roman" w:hAnsi="Times New Roman"/>
                <w:sz w:val="15"/>
                <w:szCs w:val="15"/>
                <w:color w:val="231F20"/>
              </w:rPr>
              <w:t>9/7/2023</w:t>
            </w:r>
          </w:p>
        </w:tc>
        <w:tc>
          <w:tcPr>
            <w:tcW w:w="1040" w:type="dxa"/>
            <w:vAlign w:val="bottom"/>
            <w:shd w:val="clear" w:color="auto" w:fill="D0EBF2"/>
          </w:tcPr>
          <w:p>
            <w:pPr>
              <w:jc w:val="right"/>
              <w:ind w:right="84"/>
              <w:spacing w:after="0" w:line="159" w:lineRule="exact"/>
              <w:rPr>
                <w:sz w:val="20"/>
                <w:szCs w:val="20"/>
                <w:color w:val="auto"/>
              </w:rPr>
            </w:pPr>
            <w:r>
              <w:rPr>
                <w:rFonts w:ascii="Times New Roman" w:cs="Times New Roman" w:eastAsia="Times New Roman" w:hAnsi="Times New Roman"/>
                <w:sz w:val="15"/>
                <w:szCs w:val="15"/>
                <w:color w:val="231F20"/>
              </w:rPr>
              <w:t>S + 6.25%</w:t>
            </w:r>
          </w:p>
        </w:tc>
        <w:tc>
          <w:tcPr>
            <w:tcW w:w="1060" w:type="dxa"/>
            <w:vAlign w:val="bottom"/>
            <w:shd w:val="clear" w:color="auto" w:fill="D0EBF2"/>
          </w:tcPr>
          <w:p>
            <w:pPr>
              <w:jc w:val="right"/>
              <w:ind w:right="24"/>
              <w:spacing w:after="0" w:line="159" w:lineRule="exact"/>
              <w:rPr>
                <w:sz w:val="20"/>
                <w:szCs w:val="20"/>
                <w:color w:val="auto"/>
              </w:rPr>
            </w:pPr>
            <w:r>
              <w:rPr>
                <w:rFonts w:ascii="Times New Roman" w:cs="Times New Roman" w:eastAsia="Times New Roman" w:hAnsi="Times New Roman"/>
                <w:sz w:val="15"/>
                <w:szCs w:val="15"/>
                <w:color w:val="231F20"/>
              </w:rPr>
              <w:t>11.52%</w:t>
            </w:r>
          </w:p>
        </w:tc>
        <w:tc>
          <w:tcPr>
            <w:tcW w:w="100" w:type="dxa"/>
            <w:vAlign w:val="bottom"/>
            <w:shd w:val="clear" w:color="auto" w:fill="D0EBF2"/>
          </w:tcPr>
          <w:p>
            <w:pPr>
              <w:spacing w:after="0"/>
              <w:rPr>
                <w:sz w:val="13"/>
                <w:szCs w:val="13"/>
                <w:color w:val="auto"/>
              </w:rPr>
            </w:pPr>
          </w:p>
        </w:tc>
        <w:tc>
          <w:tcPr>
            <w:tcW w:w="900" w:type="dxa"/>
            <w:vAlign w:val="bottom"/>
            <w:shd w:val="clear" w:color="auto" w:fill="D0EBF2"/>
          </w:tcPr>
          <w:p>
            <w:pPr>
              <w:jc w:val="right"/>
              <w:spacing w:after="0" w:line="159" w:lineRule="exact"/>
              <w:rPr>
                <w:sz w:val="20"/>
                <w:szCs w:val="20"/>
                <w:color w:val="auto"/>
              </w:rPr>
            </w:pPr>
            <w:r>
              <w:rPr>
                <w:rFonts w:ascii="Times New Roman" w:cs="Times New Roman" w:eastAsia="Times New Roman" w:hAnsi="Times New Roman"/>
                <w:sz w:val="15"/>
                <w:szCs w:val="15"/>
                <w:color w:val="231F20"/>
              </w:rPr>
              <w:t>20,207</w:t>
            </w:r>
          </w:p>
        </w:tc>
        <w:tc>
          <w:tcPr>
            <w:tcW w:w="1140" w:type="dxa"/>
            <w:vAlign w:val="bottom"/>
            <w:gridSpan w:val="3"/>
            <w:shd w:val="clear" w:color="auto" w:fill="D0EBF2"/>
          </w:tcPr>
          <w:p>
            <w:pPr>
              <w:jc w:val="right"/>
              <w:spacing w:after="0" w:line="159" w:lineRule="exact"/>
              <w:rPr>
                <w:sz w:val="20"/>
                <w:szCs w:val="20"/>
                <w:color w:val="auto"/>
              </w:rPr>
            </w:pPr>
            <w:r>
              <w:rPr>
                <w:rFonts w:ascii="Times New Roman" w:cs="Times New Roman" w:eastAsia="Times New Roman" w:hAnsi="Times New Roman"/>
                <w:sz w:val="15"/>
                <w:szCs w:val="15"/>
                <w:color w:val="231F20"/>
              </w:rPr>
              <w:t>20,735</w:t>
            </w:r>
          </w:p>
        </w:tc>
        <w:tc>
          <w:tcPr>
            <w:tcW w:w="1340" w:type="dxa"/>
            <w:vAlign w:val="bottom"/>
            <w:gridSpan w:val="3"/>
            <w:shd w:val="clear" w:color="auto" w:fill="D0EBF2"/>
          </w:tcPr>
          <w:p>
            <w:pPr>
              <w:jc w:val="right"/>
              <w:ind w:right="120"/>
              <w:spacing w:after="0" w:line="159" w:lineRule="exact"/>
              <w:rPr>
                <w:sz w:val="20"/>
                <w:szCs w:val="20"/>
                <w:color w:val="auto"/>
              </w:rPr>
            </w:pPr>
            <w:r>
              <w:rPr>
                <w:rFonts w:ascii="Times New Roman" w:cs="Times New Roman" w:eastAsia="Times New Roman" w:hAnsi="Times New Roman"/>
                <w:sz w:val="15"/>
                <w:szCs w:val="15"/>
                <w:color w:val="231F20"/>
              </w:rPr>
              <w:t>1.4%</w:t>
            </w:r>
          </w:p>
        </w:tc>
        <w:tc>
          <w:tcPr>
            <w:tcW w:w="0" w:type="dxa"/>
            <w:vAlign w:val="bottom"/>
          </w:tcPr>
          <w:p>
            <w:pPr>
              <w:spacing w:after="0"/>
              <w:rPr>
                <w:sz w:val="1"/>
                <w:szCs w:val="1"/>
                <w:color w:val="auto"/>
              </w:rPr>
            </w:pPr>
          </w:p>
        </w:tc>
      </w:tr>
      <w:tr>
        <w:trPr>
          <w:trHeight w:val="174"/>
        </w:trPr>
        <w:tc>
          <w:tcPr>
            <w:tcW w:w="1460" w:type="dxa"/>
            <w:vAlign w:val="bottom"/>
            <w:shd w:val="clear" w:color="auto" w:fill="D0EBF2"/>
          </w:tcPr>
          <w:p>
            <w:pPr>
              <w:spacing w:after="0"/>
              <w:rPr>
                <w:sz w:val="15"/>
                <w:szCs w:val="15"/>
                <w:color w:val="auto"/>
              </w:rPr>
            </w:pPr>
          </w:p>
        </w:tc>
        <w:tc>
          <w:tcPr>
            <w:tcW w:w="2420" w:type="dxa"/>
            <w:vAlign w:val="bottom"/>
            <w:shd w:val="clear" w:color="auto" w:fill="D0EBF2"/>
          </w:tcPr>
          <w:p>
            <w:pPr>
              <w:ind w:left="60"/>
              <w:spacing w:after="0"/>
              <w:rPr>
                <w:sz w:val="20"/>
                <w:szCs w:val="20"/>
                <w:color w:val="auto"/>
              </w:rPr>
            </w:pPr>
            <w:r>
              <w:rPr>
                <w:rFonts w:ascii="Times New Roman" w:cs="Times New Roman" w:eastAsia="Times New Roman" w:hAnsi="Times New Roman"/>
                <w:sz w:val="15"/>
                <w:szCs w:val="15"/>
                <w:color w:val="231F20"/>
              </w:rPr>
              <w:t>9/2030)</w:t>
            </w:r>
          </w:p>
        </w:tc>
        <w:tc>
          <w:tcPr>
            <w:tcW w:w="820" w:type="dxa"/>
            <w:vAlign w:val="bottom"/>
            <w:shd w:val="clear" w:color="auto" w:fill="D0EBF2"/>
          </w:tcPr>
          <w:p>
            <w:pPr>
              <w:spacing w:after="0"/>
              <w:rPr>
                <w:sz w:val="15"/>
                <w:szCs w:val="15"/>
                <w:color w:val="auto"/>
              </w:rPr>
            </w:pPr>
          </w:p>
        </w:tc>
        <w:tc>
          <w:tcPr>
            <w:tcW w:w="1040" w:type="dxa"/>
            <w:vAlign w:val="bottom"/>
            <w:shd w:val="clear" w:color="auto" w:fill="D0EBF2"/>
          </w:tcPr>
          <w:p>
            <w:pPr>
              <w:spacing w:after="0"/>
              <w:rPr>
                <w:sz w:val="15"/>
                <w:szCs w:val="15"/>
                <w:color w:val="auto"/>
              </w:rPr>
            </w:pPr>
          </w:p>
        </w:tc>
        <w:tc>
          <w:tcPr>
            <w:tcW w:w="1060" w:type="dxa"/>
            <w:vAlign w:val="bottom"/>
            <w:shd w:val="clear" w:color="auto" w:fill="D0EBF2"/>
          </w:tcPr>
          <w:p>
            <w:pPr>
              <w:spacing w:after="0"/>
              <w:rPr>
                <w:sz w:val="15"/>
                <w:szCs w:val="15"/>
                <w:color w:val="auto"/>
              </w:rPr>
            </w:pPr>
          </w:p>
        </w:tc>
        <w:tc>
          <w:tcPr>
            <w:tcW w:w="100" w:type="dxa"/>
            <w:vAlign w:val="bottom"/>
            <w:shd w:val="clear" w:color="auto" w:fill="D0EBF2"/>
          </w:tcPr>
          <w:p>
            <w:pPr>
              <w:spacing w:after="0"/>
              <w:rPr>
                <w:sz w:val="15"/>
                <w:szCs w:val="15"/>
                <w:color w:val="auto"/>
              </w:rPr>
            </w:pPr>
          </w:p>
        </w:tc>
        <w:tc>
          <w:tcPr>
            <w:tcW w:w="900" w:type="dxa"/>
            <w:vAlign w:val="bottom"/>
            <w:shd w:val="clear" w:color="auto" w:fill="D0EBF2"/>
          </w:tcPr>
          <w:p>
            <w:pPr>
              <w:spacing w:after="0"/>
              <w:rPr>
                <w:sz w:val="15"/>
                <w:szCs w:val="15"/>
                <w:color w:val="auto"/>
              </w:rPr>
            </w:pPr>
          </w:p>
        </w:tc>
        <w:tc>
          <w:tcPr>
            <w:tcW w:w="180" w:type="dxa"/>
            <w:vAlign w:val="bottom"/>
            <w:shd w:val="clear" w:color="auto" w:fill="D0EBF2"/>
          </w:tcPr>
          <w:p>
            <w:pPr>
              <w:spacing w:after="0"/>
              <w:rPr>
                <w:sz w:val="15"/>
                <w:szCs w:val="15"/>
                <w:color w:val="auto"/>
              </w:rPr>
            </w:pPr>
          </w:p>
        </w:tc>
        <w:tc>
          <w:tcPr>
            <w:tcW w:w="100" w:type="dxa"/>
            <w:vAlign w:val="bottom"/>
            <w:shd w:val="clear" w:color="auto" w:fill="D0EBF2"/>
          </w:tcPr>
          <w:p>
            <w:pPr>
              <w:spacing w:after="0"/>
              <w:rPr>
                <w:sz w:val="15"/>
                <w:szCs w:val="15"/>
                <w:color w:val="auto"/>
              </w:rPr>
            </w:pPr>
          </w:p>
        </w:tc>
        <w:tc>
          <w:tcPr>
            <w:tcW w:w="860" w:type="dxa"/>
            <w:vAlign w:val="bottom"/>
            <w:shd w:val="clear" w:color="auto" w:fill="D0EBF2"/>
          </w:tcPr>
          <w:p>
            <w:pPr>
              <w:jc w:val="right"/>
              <w:spacing w:after="0"/>
              <w:rPr>
                <w:sz w:val="20"/>
                <w:szCs w:val="20"/>
                <w:color w:val="auto"/>
              </w:rPr>
            </w:pPr>
            <w:r>
              <w:rPr>
                <w:rFonts w:ascii="Times New Roman" w:cs="Times New Roman" w:eastAsia="Times New Roman" w:hAnsi="Times New Roman"/>
                <w:sz w:val="15"/>
                <w:szCs w:val="15"/>
                <w:color w:val="231F20"/>
              </w:rPr>
              <w:t>(GBP</w:t>
            </w:r>
          </w:p>
        </w:tc>
        <w:tc>
          <w:tcPr>
            <w:tcW w:w="200" w:type="dxa"/>
            <w:vAlign w:val="bottom"/>
            <w:shd w:val="clear" w:color="auto" w:fill="D0EBF2"/>
          </w:tcPr>
          <w:p>
            <w:pPr>
              <w:spacing w:after="0"/>
              <w:rPr>
                <w:sz w:val="15"/>
                <w:szCs w:val="15"/>
                <w:color w:val="auto"/>
              </w:rPr>
            </w:pPr>
          </w:p>
        </w:tc>
        <w:tc>
          <w:tcPr>
            <w:tcW w:w="900" w:type="dxa"/>
            <w:vAlign w:val="bottom"/>
            <w:shd w:val="clear" w:color="auto" w:fill="D0EBF2"/>
          </w:tcPr>
          <w:p>
            <w:pPr>
              <w:spacing w:after="0"/>
              <w:rPr>
                <w:sz w:val="15"/>
                <w:szCs w:val="15"/>
                <w:color w:val="auto"/>
              </w:rPr>
            </w:pPr>
          </w:p>
        </w:tc>
        <w:tc>
          <w:tcPr>
            <w:tcW w:w="240" w:type="dxa"/>
            <w:vAlign w:val="bottom"/>
            <w:shd w:val="clear" w:color="auto" w:fill="D0EBF2"/>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1460" w:type="dxa"/>
            <w:vAlign w:val="bottom"/>
            <w:tcBorders>
              <w:bottom w:val="single" w:sz="8" w:color="FDFDFC"/>
            </w:tcBorders>
            <w:shd w:val="clear" w:color="auto" w:fill="D0EBF2"/>
          </w:tcPr>
          <w:p>
            <w:pPr>
              <w:spacing w:after="0"/>
              <w:rPr>
                <w:sz w:val="16"/>
                <w:szCs w:val="16"/>
                <w:color w:val="auto"/>
              </w:rPr>
            </w:pPr>
          </w:p>
        </w:tc>
        <w:tc>
          <w:tcPr>
            <w:tcW w:w="2420" w:type="dxa"/>
            <w:vAlign w:val="bottom"/>
            <w:tcBorders>
              <w:bottom w:val="single" w:sz="8" w:color="FDFDFC"/>
            </w:tcBorders>
            <w:shd w:val="clear" w:color="auto" w:fill="D0EBF2"/>
          </w:tcPr>
          <w:p>
            <w:pPr>
              <w:spacing w:after="0"/>
              <w:rPr>
                <w:sz w:val="16"/>
                <w:szCs w:val="16"/>
                <w:color w:val="auto"/>
              </w:rPr>
            </w:pPr>
          </w:p>
        </w:tc>
        <w:tc>
          <w:tcPr>
            <w:tcW w:w="820" w:type="dxa"/>
            <w:vAlign w:val="bottom"/>
            <w:tcBorders>
              <w:bottom w:val="single" w:sz="8" w:color="FDFDFC"/>
            </w:tcBorders>
            <w:shd w:val="clear" w:color="auto" w:fill="D0EBF2"/>
          </w:tcPr>
          <w:p>
            <w:pPr>
              <w:spacing w:after="0"/>
              <w:rPr>
                <w:sz w:val="16"/>
                <w:szCs w:val="16"/>
                <w:color w:val="auto"/>
              </w:rPr>
            </w:pPr>
          </w:p>
        </w:tc>
        <w:tc>
          <w:tcPr>
            <w:tcW w:w="1040" w:type="dxa"/>
            <w:vAlign w:val="bottom"/>
            <w:tcBorders>
              <w:bottom w:val="single" w:sz="8" w:color="FDFDFC"/>
            </w:tcBorders>
            <w:shd w:val="clear" w:color="auto" w:fill="D0EBF2"/>
          </w:tcPr>
          <w:p>
            <w:pPr>
              <w:spacing w:after="0"/>
              <w:rPr>
                <w:sz w:val="16"/>
                <w:szCs w:val="16"/>
                <w:color w:val="auto"/>
              </w:rPr>
            </w:pPr>
          </w:p>
        </w:tc>
        <w:tc>
          <w:tcPr>
            <w:tcW w:w="1060" w:type="dxa"/>
            <w:vAlign w:val="bottom"/>
            <w:tcBorders>
              <w:bottom w:val="single" w:sz="8" w:color="FDFDFC"/>
            </w:tcBorders>
            <w:shd w:val="clear" w:color="auto" w:fill="D0EBF2"/>
          </w:tcPr>
          <w:p>
            <w:pPr>
              <w:spacing w:after="0"/>
              <w:rPr>
                <w:sz w:val="16"/>
                <w:szCs w:val="16"/>
                <w:color w:val="auto"/>
              </w:rPr>
            </w:pPr>
          </w:p>
        </w:tc>
        <w:tc>
          <w:tcPr>
            <w:tcW w:w="100" w:type="dxa"/>
            <w:vAlign w:val="bottom"/>
            <w:tcBorders>
              <w:bottom w:val="single" w:sz="8" w:color="FDFDFC"/>
            </w:tcBorders>
            <w:shd w:val="clear" w:color="auto" w:fill="D0EBF2"/>
          </w:tcPr>
          <w:p>
            <w:pPr>
              <w:spacing w:after="0"/>
              <w:rPr>
                <w:sz w:val="16"/>
                <w:szCs w:val="16"/>
                <w:color w:val="auto"/>
              </w:rPr>
            </w:pPr>
          </w:p>
        </w:tc>
        <w:tc>
          <w:tcPr>
            <w:tcW w:w="900" w:type="dxa"/>
            <w:vAlign w:val="bottom"/>
            <w:tcBorders>
              <w:bottom w:val="single" w:sz="8" w:color="231F20"/>
            </w:tcBorders>
            <w:shd w:val="clear" w:color="auto" w:fill="D0EBF2"/>
          </w:tcPr>
          <w:p>
            <w:pPr>
              <w:spacing w:after="0"/>
              <w:rPr>
                <w:sz w:val="16"/>
                <w:szCs w:val="16"/>
                <w:color w:val="auto"/>
              </w:rPr>
            </w:pPr>
          </w:p>
        </w:tc>
        <w:tc>
          <w:tcPr>
            <w:tcW w:w="180" w:type="dxa"/>
            <w:vAlign w:val="bottom"/>
            <w:tcBorders>
              <w:bottom w:val="single" w:sz="8" w:color="FDFDFC"/>
            </w:tcBorders>
            <w:shd w:val="clear" w:color="auto" w:fill="D0EBF2"/>
          </w:tcPr>
          <w:p>
            <w:pPr>
              <w:spacing w:after="0"/>
              <w:rPr>
                <w:sz w:val="16"/>
                <w:szCs w:val="16"/>
                <w:color w:val="auto"/>
              </w:rPr>
            </w:pPr>
          </w:p>
        </w:tc>
        <w:tc>
          <w:tcPr>
            <w:tcW w:w="960" w:type="dxa"/>
            <w:vAlign w:val="bottom"/>
            <w:tcBorders>
              <w:bottom w:val="single" w:sz="8" w:color="231F20"/>
            </w:tcBorders>
            <w:gridSpan w:val="2"/>
            <w:shd w:val="clear" w:color="auto" w:fill="D0EBF2"/>
          </w:tcPr>
          <w:p>
            <w:pPr>
              <w:jc w:val="right"/>
              <w:spacing w:after="0"/>
              <w:rPr>
                <w:sz w:val="20"/>
                <w:szCs w:val="20"/>
                <w:color w:val="auto"/>
              </w:rPr>
            </w:pPr>
            <w:r>
              <w:rPr>
                <w:rFonts w:ascii="Times New Roman" w:cs="Times New Roman" w:eastAsia="Times New Roman" w:hAnsi="Times New Roman"/>
                <w:sz w:val="15"/>
                <w:szCs w:val="15"/>
                <w:color w:val="231F20"/>
              </w:rPr>
              <w:t>16,265)</w:t>
            </w:r>
          </w:p>
        </w:tc>
        <w:tc>
          <w:tcPr>
            <w:tcW w:w="200" w:type="dxa"/>
            <w:vAlign w:val="bottom"/>
            <w:tcBorders>
              <w:bottom w:val="single" w:sz="8" w:color="FDFDFC"/>
            </w:tcBorders>
            <w:shd w:val="clear" w:color="auto" w:fill="D0EBF2"/>
          </w:tcPr>
          <w:p>
            <w:pPr>
              <w:spacing w:after="0"/>
              <w:rPr>
                <w:sz w:val="16"/>
                <w:szCs w:val="16"/>
                <w:color w:val="auto"/>
              </w:rPr>
            </w:pPr>
          </w:p>
        </w:tc>
        <w:tc>
          <w:tcPr>
            <w:tcW w:w="900" w:type="dxa"/>
            <w:vAlign w:val="bottom"/>
            <w:tcBorders>
              <w:bottom w:val="single" w:sz="8" w:color="231F20"/>
            </w:tcBorders>
            <w:shd w:val="clear" w:color="auto" w:fill="D0EBF2"/>
          </w:tcPr>
          <w:p>
            <w:pPr>
              <w:spacing w:after="0"/>
              <w:rPr>
                <w:sz w:val="16"/>
                <w:szCs w:val="16"/>
                <w:color w:val="auto"/>
              </w:rPr>
            </w:pPr>
          </w:p>
        </w:tc>
        <w:tc>
          <w:tcPr>
            <w:tcW w:w="240" w:type="dxa"/>
            <w:vAlign w:val="bottom"/>
            <w:shd w:val="clear" w:color="auto" w:fill="D0EBF2"/>
          </w:tcPr>
          <w:p>
            <w:pPr>
              <w:spacing w:after="0"/>
              <w:rPr>
                <w:sz w:val="16"/>
                <w:szCs w:val="16"/>
                <w:color w:val="auto"/>
              </w:rPr>
            </w:pPr>
          </w:p>
        </w:tc>
        <w:tc>
          <w:tcPr>
            <w:tcW w:w="0" w:type="dxa"/>
            <w:vAlign w:val="bottom"/>
          </w:tcPr>
          <w:p>
            <w:pPr>
              <w:spacing w:after="0"/>
              <w:rPr>
                <w:sz w:val="1"/>
                <w:szCs w:val="1"/>
                <w:color w:val="auto"/>
              </w:rPr>
            </w:pPr>
          </w:p>
        </w:tc>
      </w:tr>
      <w:tr>
        <w:trPr>
          <w:trHeight w:val="163"/>
        </w:trPr>
        <w:tc>
          <w:tcPr>
            <w:tcW w:w="1460" w:type="dxa"/>
            <w:vAlign w:val="bottom"/>
            <w:shd w:val="clear" w:color="auto" w:fill="FDFDFC"/>
          </w:tcPr>
          <w:p>
            <w:pPr>
              <w:spacing w:after="0"/>
              <w:rPr>
                <w:sz w:val="14"/>
                <w:szCs w:val="14"/>
                <w:color w:val="auto"/>
              </w:rPr>
            </w:pPr>
          </w:p>
        </w:tc>
        <w:tc>
          <w:tcPr>
            <w:tcW w:w="2420" w:type="dxa"/>
            <w:vAlign w:val="bottom"/>
            <w:shd w:val="clear" w:color="auto" w:fill="FDFDFC"/>
          </w:tcPr>
          <w:p>
            <w:pPr>
              <w:spacing w:after="0"/>
              <w:rPr>
                <w:sz w:val="14"/>
                <w:szCs w:val="14"/>
                <w:color w:val="auto"/>
              </w:rPr>
            </w:pPr>
          </w:p>
        </w:tc>
        <w:tc>
          <w:tcPr>
            <w:tcW w:w="820" w:type="dxa"/>
            <w:vAlign w:val="bottom"/>
            <w:shd w:val="clear" w:color="auto" w:fill="FDFDFC"/>
          </w:tcPr>
          <w:p>
            <w:pPr>
              <w:spacing w:after="0"/>
              <w:rPr>
                <w:sz w:val="14"/>
                <w:szCs w:val="14"/>
                <w:color w:val="auto"/>
              </w:rPr>
            </w:pPr>
          </w:p>
        </w:tc>
        <w:tc>
          <w:tcPr>
            <w:tcW w:w="1040" w:type="dxa"/>
            <w:vAlign w:val="bottom"/>
            <w:shd w:val="clear" w:color="auto" w:fill="FDFDFC"/>
          </w:tcPr>
          <w:p>
            <w:pPr>
              <w:spacing w:after="0"/>
              <w:rPr>
                <w:sz w:val="14"/>
                <w:szCs w:val="14"/>
                <w:color w:val="auto"/>
              </w:rPr>
            </w:pPr>
          </w:p>
        </w:tc>
        <w:tc>
          <w:tcPr>
            <w:tcW w:w="1060" w:type="dxa"/>
            <w:vAlign w:val="bottom"/>
            <w:shd w:val="clear" w:color="auto" w:fill="FDFDFC"/>
          </w:tcPr>
          <w:p>
            <w:pPr>
              <w:spacing w:after="0"/>
              <w:rPr>
                <w:sz w:val="14"/>
                <w:szCs w:val="14"/>
                <w:color w:val="auto"/>
              </w:rPr>
            </w:pPr>
          </w:p>
        </w:tc>
        <w:tc>
          <w:tcPr>
            <w:tcW w:w="100" w:type="dxa"/>
            <w:vAlign w:val="bottom"/>
            <w:shd w:val="clear" w:color="auto" w:fill="FDFDFC"/>
          </w:tcPr>
          <w:p>
            <w:pPr>
              <w:spacing w:after="0"/>
              <w:rPr>
                <w:sz w:val="14"/>
                <w:szCs w:val="14"/>
                <w:color w:val="auto"/>
              </w:rPr>
            </w:pPr>
          </w:p>
        </w:tc>
        <w:tc>
          <w:tcPr>
            <w:tcW w:w="900" w:type="dxa"/>
            <w:vAlign w:val="bottom"/>
            <w:shd w:val="clear" w:color="auto" w:fill="FDFDFC"/>
          </w:tcPr>
          <w:p>
            <w:pPr>
              <w:jc w:val="right"/>
              <w:spacing w:after="0" w:line="164" w:lineRule="exact"/>
              <w:rPr>
                <w:sz w:val="20"/>
                <w:szCs w:val="20"/>
                <w:color w:val="auto"/>
              </w:rPr>
            </w:pPr>
            <w:r>
              <w:rPr>
                <w:rFonts w:ascii="Times New Roman" w:cs="Times New Roman" w:eastAsia="Times New Roman" w:hAnsi="Times New Roman"/>
                <w:sz w:val="15"/>
                <w:szCs w:val="15"/>
                <w:color w:val="231F20"/>
              </w:rPr>
              <w:t>81,403</w:t>
            </w:r>
          </w:p>
        </w:tc>
        <w:tc>
          <w:tcPr>
            <w:tcW w:w="180" w:type="dxa"/>
            <w:vAlign w:val="bottom"/>
            <w:shd w:val="clear" w:color="auto" w:fill="FDFDFC"/>
          </w:tcPr>
          <w:p>
            <w:pPr>
              <w:spacing w:after="0"/>
              <w:rPr>
                <w:sz w:val="14"/>
                <w:szCs w:val="14"/>
                <w:color w:val="auto"/>
              </w:rPr>
            </w:pPr>
          </w:p>
        </w:tc>
        <w:tc>
          <w:tcPr>
            <w:tcW w:w="960" w:type="dxa"/>
            <w:vAlign w:val="bottom"/>
            <w:gridSpan w:val="2"/>
            <w:shd w:val="clear" w:color="auto" w:fill="FDFDFC"/>
          </w:tcPr>
          <w:p>
            <w:pPr>
              <w:jc w:val="right"/>
              <w:spacing w:after="0" w:line="164" w:lineRule="exact"/>
              <w:rPr>
                <w:sz w:val="20"/>
                <w:szCs w:val="20"/>
                <w:color w:val="auto"/>
              </w:rPr>
            </w:pPr>
            <w:r>
              <w:rPr>
                <w:rFonts w:ascii="Times New Roman" w:cs="Times New Roman" w:eastAsia="Times New Roman" w:hAnsi="Times New Roman"/>
                <w:sz w:val="15"/>
                <w:szCs w:val="15"/>
                <w:color w:val="231F20"/>
              </w:rPr>
              <w:t>83,215</w:t>
            </w:r>
          </w:p>
        </w:tc>
        <w:tc>
          <w:tcPr>
            <w:tcW w:w="200" w:type="dxa"/>
            <w:vAlign w:val="bottom"/>
            <w:shd w:val="clear" w:color="auto" w:fill="FDFDFC"/>
          </w:tcPr>
          <w:p>
            <w:pPr>
              <w:spacing w:after="0"/>
              <w:rPr>
                <w:sz w:val="14"/>
                <w:szCs w:val="14"/>
                <w:color w:val="auto"/>
              </w:rPr>
            </w:pPr>
          </w:p>
        </w:tc>
        <w:tc>
          <w:tcPr>
            <w:tcW w:w="1140" w:type="dxa"/>
            <w:vAlign w:val="bottom"/>
            <w:gridSpan w:val="2"/>
          </w:tcPr>
          <w:p>
            <w:pPr>
              <w:jc w:val="right"/>
              <w:ind w:right="120"/>
              <w:spacing w:after="0" w:line="164" w:lineRule="exact"/>
              <w:rPr>
                <w:sz w:val="20"/>
                <w:szCs w:val="20"/>
                <w:color w:val="auto"/>
              </w:rPr>
            </w:pPr>
            <w:r>
              <w:rPr>
                <w:rFonts w:ascii="Times New Roman" w:cs="Times New Roman" w:eastAsia="Times New Roman" w:hAnsi="Times New Roman"/>
                <w:sz w:val="15"/>
                <w:szCs w:val="15"/>
                <w:color w:val="231F20"/>
              </w:rPr>
              <w:t>5.7%</w:t>
            </w:r>
          </w:p>
        </w:tc>
        <w:tc>
          <w:tcPr>
            <w:tcW w:w="0" w:type="dxa"/>
            <w:vAlign w:val="bottom"/>
          </w:tcPr>
          <w:p>
            <w:pPr>
              <w:spacing w:after="0"/>
              <w:rPr>
                <w:sz w:val="1"/>
                <w:szCs w:val="1"/>
                <w:color w:val="auto"/>
              </w:rPr>
            </w:pPr>
          </w:p>
        </w:tc>
      </w:tr>
      <w:tr>
        <w:trPr>
          <w:trHeight w:val="163"/>
        </w:trPr>
        <w:tc>
          <w:tcPr>
            <w:tcW w:w="1460" w:type="dxa"/>
            <w:vAlign w:val="bottom"/>
            <w:tcBorders>
              <w:top w:val="single" w:sz="8" w:color="D0EBF2"/>
            </w:tcBorders>
            <w:shd w:val="clear" w:color="auto" w:fill="D0EBF2"/>
          </w:tcPr>
          <w:p>
            <w:pPr>
              <w:spacing w:after="0" w:line="164" w:lineRule="exact"/>
              <w:rPr>
                <w:sz w:val="20"/>
                <w:szCs w:val="20"/>
                <w:color w:val="auto"/>
              </w:rPr>
            </w:pPr>
            <w:r>
              <w:rPr>
                <w:rFonts w:ascii="Times New Roman" w:cs="Times New Roman" w:eastAsia="Times New Roman" w:hAnsi="Times New Roman"/>
                <w:sz w:val="15"/>
                <w:szCs w:val="15"/>
                <w:b w:val="1"/>
                <w:bCs w:val="1"/>
                <w:color w:val="231F20"/>
              </w:rPr>
              <w:t>Office Products</w:t>
            </w:r>
          </w:p>
        </w:tc>
        <w:tc>
          <w:tcPr>
            <w:tcW w:w="2420" w:type="dxa"/>
            <w:vAlign w:val="bottom"/>
            <w:tcBorders>
              <w:top w:val="single" w:sz="8" w:color="D0EBF2"/>
            </w:tcBorders>
            <w:shd w:val="clear" w:color="auto" w:fill="D0EBF2"/>
          </w:tcPr>
          <w:p>
            <w:pPr>
              <w:spacing w:after="0"/>
              <w:rPr>
                <w:sz w:val="14"/>
                <w:szCs w:val="14"/>
                <w:color w:val="auto"/>
              </w:rPr>
            </w:pPr>
          </w:p>
        </w:tc>
        <w:tc>
          <w:tcPr>
            <w:tcW w:w="820" w:type="dxa"/>
            <w:vAlign w:val="bottom"/>
            <w:tcBorders>
              <w:top w:val="single" w:sz="8" w:color="D0EBF2"/>
            </w:tcBorders>
            <w:shd w:val="clear" w:color="auto" w:fill="D0EBF2"/>
          </w:tcPr>
          <w:p>
            <w:pPr>
              <w:spacing w:after="0"/>
              <w:rPr>
                <w:sz w:val="14"/>
                <w:szCs w:val="14"/>
                <w:color w:val="auto"/>
              </w:rPr>
            </w:pPr>
          </w:p>
        </w:tc>
        <w:tc>
          <w:tcPr>
            <w:tcW w:w="1040" w:type="dxa"/>
            <w:vAlign w:val="bottom"/>
            <w:tcBorders>
              <w:top w:val="single" w:sz="8" w:color="D0EBF2"/>
            </w:tcBorders>
            <w:shd w:val="clear" w:color="auto" w:fill="D0EBF2"/>
          </w:tcPr>
          <w:p>
            <w:pPr>
              <w:spacing w:after="0"/>
              <w:rPr>
                <w:sz w:val="14"/>
                <w:szCs w:val="14"/>
                <w:color w:val="auto"/>
              </w:rPr>
            </w:pPr>
          </w:p>
        </w:tc>
        <w:tc>
          <w:tcPr>
            <w:tcW w:w="1060" w:type="dxa"/>
            <w:vAlign w:val="bottom"/>
            <w:tcBorders>
              <w:top w:val="single" w:sz="8" w:color="D0EBF2"/>
            </w:tcBorders>
            <w:shd w:val="clear" w:color="auto" w:fill="D0EBF2"/>
          </w:tcPr>
          <w:p>
            <w:pPr>
              <w:spacing w:after="0"/>
              <w:rPr>
                <w:sz w:val="14"/>
                <w:szCs w:val="14"/>
                <w:color w:val="auto"/>
              </w:rPr>
            </w:pPr>
          </w:p>
        </w:tc>
        <w:tc>
          <w:tcPr>
            <w:tcW w:w="100" w:type="dxa"/>
            <w:vAlign w:val="bottom"/>
            <w:tcBorders>
              <w:top w:val="single" w:sz="8" w:color="D0EBF2"/>
            </w:tcBorders>
            <w:shd w:val="clear" w:color="auto" w:fill="D0EBF2"/>
          </w:tcPr>
          <w:p>
            <w:pPr>
              <w:spacing w:after="0"/>
              <w:rPr>
                <w:sz w:val="14"/>
                <w:szCs w:val="14"/>
                <w:color w:val="auto"/>
              </w:rPr>
            </w:pPr>
          </w:p>
        </w:tc>
        <w:tc>
          <w:tcPr>
            <w:tcW w:w="900" w:type="dxa"/>
            <w:vAlign w:val="bottom"/>
            <w:tcBorders>
              <w:top w:val="single" w:sz="8" w:color="231F20"/>
            </w:tcBorders>
            <w:shd w:val="clear" w:color="auto" w:fill="D0EBF2"/>
          </w:tcPr>
          <w:p>
            <w:pPr>
              <w:spacing w:after="0"/>
              <w:rPr>
                <w:sz w:val="14"/>
                <w:szCs w:val="14"/>
                <w:color w:val="auto"/>
              </w:rPr>
            </w:pPr>
          </w:p>
        </w:tc>
        <w:tc>
          <w:tcPr>
            <w:tcW w:w="180" w:type="dxa"/>
            <w:vAlign w:val="bottom"/>
            <w:tcBorders>
              <w:top w:val="single" w:sz="8" w:color="D0EBF2"/>
            </w:tcBorders>
            <w:shd w:val="clear" w:color="auto" w:fill="D0EBF2"/>
          </w:tcPr>
          <w:p>
            <w:pPr>
              <w:spacing w:after="0"/>
              <w:rPr>
                <w:sz w:val="14"/>
                <w:szCs w:val="14"/>
                <w:color w:val="auto"/>
              </w:rPr>
            </w:pPr>
          </w:p>
        </w:tc>
        <w:tc>
          <w:tcPr>
            <w:tcW w:w="100" w:type="dxa"/>
            <w:vAlign w:val="bottom"/>
            <w:tcBorders>
              <w:top w:val="single" w:sz="8" w:color="231F20"/>
            </w:tcBorders>
            <w:shd w:val="clear" w:color="auto" w:fill="D0EBF2"/>
          </w:tcPr>
          <w:p>
            <w:pPr>
              <w:spacing w:after="0"/>
              <w:rPr>
                <w:sz w:val="14"/>
                <w:szCs w:val="14"/>
                <w:color w:val="auto"/>
              </w:rPr>
            </w:pPr>
          </w:p>
        </w:tc>
        <w:tc>
          <w:tcPr>
            <w:tcW w:w="860" w:type="dxa"/>
            <w:vAlign w:val="bottom"/>
            <w:tcBorders>
              <w:top w:val="single" w:sz="8" w:color="231F20"/>
            </w:tcBorders>
            <w:shd w:val="clear" w:color="auto" w:fill="D0EBF2"/>
          </w:tcPr>
          <w:p>
            <w:pPr>
              <w:spacing w:after="0"/>
              <w:rPr>
                <w:sz w:val="14"/>
                <w:szCs w:val="14"/>
                <w:color w:val="auto"/>
              </w:rPr>
            </w:pPr>
          </w:p>
        </w:tc>
        <w:tc>
          <w:tcPr>
            <w:tcW w:w="200" w:type="dxa"/>
            <w:vAlign w:val="bottom"/>
            <w:tcBorders>
              <w:top w:val="single" w:sz="8" w:color="D0EBF2"/>
            </w:tcBorders>
            <w:shd w:val="clear" w:color="auto" w:fill="D0EBF2"/>
          </w:tcPr>
          <w:p>
            <w:pPr>
              <w:spacing w:after="0"/>
              <w:rPr>
                <w:sz w:val="14"/>
                <w:szCs w:val="14"/>
                <w:color w:val="auto"/>
              </w:rPr>
            </w:pPr>
          </w:p>
        </w:tc>
        <w:tc>
          <w:tcPr>
            <w:tcW w:w="900" w:type="dxa"/>
            <w:vAlign w:val="bottom"/>
            <w:tcBorders>
              <w:top w:val="single" w:sz="8" w:color="231F20"/>
            </w:tcBorders>
            <w:shd w:val="clear" w:color="auto" w:fill="D0EBF2"/>
          </w:tcPr>
          <w:p>
            <w:pPr>
              <w:spacing w:after="0"/>
              <w:rPr>
                <w:sz w:val="14"/>
                <w:szCs w:val="14"/>
                <w:color w:val="auto"/>
              </w:rPr>
            </w:pPr>
          </w:p>
        </w:tc>
        <w:tc>
          <w:tcPr>
            <w:tcW w:w="240" w:type="dxa"/>
            <w:vAlign w:val="bottom"/>
            <w:tcBorders>
              <w:top w:val="single" w:sz="8" w:color="D0EBF2"/>
            </w:tcBorders>
            <w:shd w:val="clear" w:color="auto" w:fill="D0EBF2"/>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1460" w:type="dxa"/>
            <w:vAlign w:val="bottom"/>
            <w:shd w:val="clear" w:color="auto" w:fill="FDFDFC"/>
          </w:tcPr>
          <w:p>
            <w:pPr>
              <w:spacing w:after="0" w:line="159" w:lineRule="exact"/>
              <w:rPr>
                <w:sz w:val="20"/>
                <w:szCs w:val="20"/>
                <w:color w:val="auto"/>
              </w:rPr>
            </w:pPr>
            <w:r>
              <w:rPr>
                <w:rFonts w:ascii="Times New Roman" w:cs="Times New Roman" w:eastAsia="Times New Roman" w:hAnsi="Times New Roman"/>
                <w:sz w:val="15"/>
                <w:szCs w:val="15"/>
                <w:color w:val="231F20"/>
              </w:rPr>
              <w:t xml:space="preserve">USR Parent, Inc. </w:t>
            </w:r>
            <w:r>
              <w:rPr>
                <w:rFonts w:ascii="Times New Roman" w:cs="Times New Roman" w:eastAsia="Times New Roman" w:hAnsi="Times New Roman"/>
                <w:sz w:val="9"/>
                <w:szCs w:val="9"/>
                <w:color w:val="231F20"/>
              </w:rPr>
              <w:t>(3)(5)</w:t>
            </w:r>
          </w:p>
        </w:tc>
        <w:tc>
          <w:tcPr>
            <w:tcW w:w="2420" w:type="dxa"/>
            <w:vAlign w:val="bottom"/>
            <w:shd w:val="clear" w:color="auto" w:fill="FDFDFC"/>
          </w:tcPr>
          <w:p>
            <w:pPr>
              <w:ind w:left="60"/>
              <w:spacing w:after="0" w:line="159" w:lineRule="exact"/>
              <w:rPr>
                <w:sz w:val="20"/>
                <w:szCs w:val="20"/>
                <w:color w:val="auto"/>
              </w:rPr>
            </w:pPr>
            <w:r>
              <w:rPr>
                <w:rFonts w:ascii="Times New Roman" w:cs="Times New Roman" w:eastAsia="Times New Roman" w:hAnsi="Times New Roman"/>
                <w:sz w:val="15"/>
                <w:szCs w:val="15"/>
                <w:color w:val="231F20"/>
              </w:rPr>
              <w:t>ABL FILO term loan ($17,000 par,</w:t>
            </w:r>
          </w:p>
        </w:tc>
        <w:tc>
          <w:tcPr>
            <w:tcW w:w="820" w:type="dxa"/>
            <w:vAlign w:val="bottom"/>
            <w:shd w:val="clear" w:color="auto" w:fill="FDFDFC"/>
          </w:tcPr>
          <w:p>
            <w:pPr>
              <w:jc w:val="right"/>
              <w:spacing w:after="0" w:line="159" w:lineRule="exact"/>
              <w:rPr>
                <w:sz w:val="20"/>
                <w:szCs w:val="20"/>
                <w:color w:val="auto"/>
              </w:rPr>
            </w:pPr>
            <w:r>
              <w:rPr>
                <w:rFonts w:ascii="Times New Roman" w:cs="Times New Roman" w:eastAsia="Times New Roman" w:hAnsi="Times New Roman"/>
                <w:sz w:val="15"/>
                <w:szCs w:val="15"/>
                <w:color w:val="231F20"/>
              </w:rPr>
              <w:t>4/25/2022</w:t>
            </w:r>
          </w:p>
        </w:tc>
        <w:tc>
          <w:tcPr>
            <w:tcW w:w="1040" w:type="dxa"/>
            <w:vAlign w:val="bottom"/>
            <w:shd w:val="clear" w:color="auto" w:fill="FDFDFC"/>
          </w:tcPr>
          <w:p>
            <w:pPr>
              <w:jc w:val="right"/>
              <w:ind w:right="84"/>
              <w:spacing w:after="0" w:line="159" w:lineRule="exact"/>
              <w:rPr>
                <w:sz w:val="20"/>
                <w:szCs w:val="20"/>
                <w:color w:val="auto"/>
              </w:rPr>
            </w:pPr>
            <w:r>
              <w:rPr>
                <w:rFonts w:ascii="Times New Roman" w:cs="Times New Roman" w:eastAsia="Times New Roman" w:hAnsi="Times New Roman"/>
                <w:sz w:val="15"/>
                <w:szCs w:val="15"/>
                <w:color w:val="231F20"/>
              </w:rPr>
              <w:t>SOFR +</w:t>
            </w:r>
          </w:p>
        </w:tc>
        <w:tc>
          <w:tcPr>
            <w:tcW w:w="1060" w:type="dxa"/>
            <w:vAlign w:val="bottom"/>
            <w:shd w:val="clear" w:color="auto" w:fill="FDFDFC"/>
          </w:tcPr>
          <w:p>
            <w:pPr>
              <w:jc w:val="right"/>
              <w:ind w:right="24"/>
              <w:spacing w:after="0" w:line="159" w:lineRule="exact"/>
              <w:rPr>
                <w:sz w:val="20"/>
                <w:szCs w:val="20"/>
                <w:color w:val="auto"/>
              </w:rPr>
            </w:pPr>
            <w:r>
              <w:rPr>
                <w:rFonts w:ascii="Times New Roman" w:cs="Times New Roman" w:eastAsia="Times New Roman" w:hAnsi="Times New Roman"/>
                <w:sz w:val="15"/>
                <w:szCs w:val="15"/>
                <w:color w:val="231F20"/>
              </w:rPr>
              <w:t>11.84%</w:t>
            </w:r>
          </w:p>
        </w:tc>
        <w:tc>
          <w:tcPr>
            <w:tcW w:w="100" w:type="dxa"/>
            <w:vAlign w:val="bottom"/>
            <w:shd w:val="clear" w:color="auto" w:fill="FDFDFC"/>
          </w:tcPr>
          <w:p>
            <w:pPr>
              <w:spacing w:after="0"/>
              <w:rPr>
                <w:sz w:val="13"/>
                <w:szCs w:val="13"/>
                <w:color w:val="auto"/>
              </w:rPr>
            </w:pPr>
          </w:p>
        </w:tc>
        <w:tc>
          <w:tcPr>
            <w:tcW w:w="900" w:type="dxa"/>
            <w:vAlign w:val="bottom"/>
            <w:shd w:val="clear" w:color="auto" w:fill="FDFDFC"/>
          </w:tcPr>
          <w:p>
            <w:pPr>
              <w:jc w:val="right"/>
              <w:spacing w:after="0" w:line="159" w:lineRule="exact"/>
              <w:rPr>
                <w:sz w:val="20"/>
                <w:szCs w:val="20"/>
                <w:color w:val="auto"/>
              </w:rPr>
            </w:pPr>
            <w:r>
              <w:rPr>
                <w:rFonts w:ascii="Times New Roman" w:cs="Times New Roman" w:eastAsia="Times New Roman" w:hAnsi="Times New Roman"/>
                <w:sz w:val="15"/>
                <w:szCs w:val="15"/>
                <w:color w:val="231F20"/>
              </w:rPr>
              <w:t>16,703</w:t>
            </w:r>
          </w:p>
        </w:tc>
        <w:tc>
          <w:tcPr>
            <w:tcW w:w="180" w:type="dxa"/>
            <w:vAlign w:val="bottom"/>
            <w:shd w:val="clear" w:color="auto" w:fill="FDFDFC"/>
          </w:tcPr>
          <w:p>
            <w:pPr>
              <w:spacing w:after="0"/>
              <w:rPr>
                <w:sz w:val="13"/>
                <w:szCs w:val="13"/>
                <w:color w:val="auto"/>
              </w:rPr>
            </w:pPr>
          </w:p>
        </w:tc>
        <w:tc>
          <w:tcPr>
            <w:tcW w:w="960" w:type="dxa"/>
            <w:vAlign w:val="bottom"/>
            <w:gridSpan w:val="2"/>
            <w:shd w:val="clear" w:color="auto" w:fill="FDFDFC"/>
          </w:tcPr>
          <w:p>
            <w:pPr>
              <w:jc w:val="right"/>
              <w:spacing w:after="0" w:line="159" w:lineRule="exact"/>
              <w:rPr>
                <w:sz w:val="20"/>
                <w:szCs w:val="20"/>
                <w:color w:val="auto"/>
              </w:rPr>
            </w:pPr>
            <w:r>
              <w:rPr>
                <w:rFonts w:ascii="Times New Roman" w:cs="Times New Roman" w:eastAsia="Times New Roman" w:hAnsi="Times New Roman"/>
                <w:sz w:val="15"/>
                <w:szCs w:val="15"/>
                <w:color w:val="231F20"/>
              </w:rPr>
              <w:t>16,914</w:t>
            </w:r>
          </w:p>
        </w:tc>
        <w:tc>
          <w:tcPr>
            <w:tcW w:w="200" w:type="dxa"/>
            <w:vAlign w:val="bottom"/>
            <w:shd w:val="clear" w:color="auto" w:fill="FDFDFC"/>
          </w:tcPr>
          <w:p>
            <w:pPr>
              <w:spacing w:after="0"/>
              <w:rPr>
                <w:sz w:val="13"/>
                <w:szCs w:val="13"/>
                <w:color w:val="auto"/>
              </w:rPr>
            </w:pPr>
          </w:p>
        </w:tc>
        <w:tc>
          <w:tcPr>
            <w:tcW w:w="1140" w:type="dxa"/>
            <w:vAlign w:val="bottom"/>
            <w:gridSpan w:val="2"/>
            <w:shd w:val="clear" w:color="auto" w:fill="FDFDFC"/>
          </w:tcPr>
          <w:p>
            <w:pPr>
              <w:jc w:val="right"/>
              <w:ind w:right="120"/>
              <w:spacing w:after="0" w:line="159" w:lineRule="exact"/>
              <w:rPr>
                <w:sz w:val="20"/>
                <w:szCs w:val="20"/>
                <w:color w:val="auto"/>
              </w:rPr>
            </w:pPr>
            <w:r>
              <w:rPr>
                <w:rFonts w:ascii="Times New Roman" w:cs="Times New Roman" w:eastAsia="Times New Roman" w:hAnsi="Times New Roman"/>
                <w:sz w:val="15"/>
                <w:szCs w:val="15"/>
                <w:color w:val="231F20"/>
              </w:rPr>
              <w:t>1.1%</w:t>
            </w:r>
          </w:p>
        </w:tc>
        <w:tc>
          <w:tcPr>
            <w:tcW w:w="0" w:type="dxa"/>
            <w:vAlign w:val="bottom"/>
          </w:tcPr>
          <w:p>
            <w:pPr>
              <w:spacing w:after="0"/>
              <w:rPr>
                <w:sz w:val="1"/>
                <w:szCs w:val="1"/>
                <w:color w:val="auto"/>
              </w:rPr>
            </w:pPr>
          </w:p>
        </w:tc>
      </w:tr>
      <w:tr>
        <w:trPr>
          <w:trHeight w:val="189"/>
        </w:trPr>
        <w:tc>
          <w:tcPr>
            <w:tcW w:w="1460" w:type="dxa"/>
            <w:vAlign w:val="bottom"/>
            <w:shd w:val="clear" w:color="auto" w:fill="FDFDFC"/>
          </w:tcPr>
          <w:p>
            <w:pPr>
              <w:spacing w:after="0"/>
              <w:rPr>
                <w:sz w:val="16"/>
                <w:szCs w:val="16"/>
                <w:color w:val="auto"/>
              </w:rPr>
            </w:pPr>
          </w:p>
        </w:tc>
        <w:tc>
          <w:tcPr>
            <w:tcW w:w="2420" w:type="dxa"/>
            <w:vAlign w:val="bottom"/>
            <w:shd w:val="clear" w:color="auto" w:fill="FDFDFC"/>
          </w:tcPr>
          <w:p>
            <w:pPr>
              <w:ind w:left="60"/>
              <w:spacing w:after="0"/>
              <w:rPr>
                <w:sz w:val="20"/>
                <w:szCs w:val="20"/>
                <w:color w:val="auto"/>
              </w:rPr>
            </w:pPr>
            <w:r>
              <w:rPr>
                <w:rFonts w:ascii="Times New Roman" w:cs="Times New Roman" w:eastAsia="Times New Roman" w:hAnsi="Times New Roman"/>
                <w:sz w:val="15"/>
                <w:szCs w:val="15"/>
                <w:color w:val="231F20"/>
              </w:rPr>
              <w:t>due 4/2027)</w:t>
            </w:r>
          </w:p>
        </w:tc>
        <w:tc>
          <w:tcPr>
            <w:tcW w:w="820" w:type="dxa"/>
            <w:vAlign w:val="bottom"/>
            <w:shd w:val="clear" w:color="auto" w:fill="FDFDFC"/>
          </w:tcPr>
          <w:p>
            <w:pPr>
              <w:spacing w:after="0"/>
              <w:rPr>
                <w:sz w:val="16"/>
                <w:szCs w:val="16"/>
                <w:color w:val="auto"/>
              </w:rPr>
            </w:pPr>
          </w:p>
        </w:tc>
        <w:tc>
          <w:tcPr>
            <w:tcW w:w="1040" w:type="dxa"/>
            <w:vAlign w:val="bottom"/>
            <w:shd w:val="clear" w:color="auto" w:fill="FDFDFC"/>
          </w:tcPr>
          <w:p>
            <w:pPr>
              <w:jc w:val="right"/>
              <w:ind w:right="84"/>
              <w:spacing w:after="0"/>
              <w:rPr>
                <w:sz w:val="20"/>
                <w:szCs w:val="20"/>
                <w:color w:val="auto"/>
              </w:rPr>
            </w:pPr>
            <w:r>
              <w:rPr>
                <w:rFonts w:ascii="Times New Roman" w:cs="Times New Roman" w:eastAsia="Times New Roman" w:hAnsi="Times New Roman"/>
                <w:sz w:val="15"/>
                <w:szCs w:val="15"/>
                <w:color w:val="231F20"/>
              </w:rPr>
              <w:t>6.50%</w:t>
            </w:r>
          </w:p>
        </w:tc>
        <w:tc>
          <w:tcPr>
            <w:tcW w:w="1060" w:type="dxa"/>
            <w:vAlign w:val="bottom"/>
            <w:shd w:val="clear" w:color="auto" w:fill="FDFDFC"/>
          </w:tcPr>
          <w:p>
            <w:pPr>
              <w:spacing w:after="0"/>
              <w:rPr>
                <w:sz w:val="16"/>
                <w:szCs w:val="16"/>
                <w:color w:val="auto"/>
              </w:rPr>
            </w:pPr>
          </w:p>
        </w:tc>
        <w:tc>
          <w:tcPr>
            <w:tcW w:w="100" w:type="dxa"/>
            <w:vAlign w:val="bottom"/>
            <w:shd w:val="clear" w:color="auto" w:fill="FDFDFC"/>
          </w:tcPr>
          <w:p>
            <w:pPr>
              <w:spacing w:after="0"/>
              <w:rPr>
                <w:sz w:val="16"/>
                <w:szCs w:val="16"/>
                <w:color w:val="auto"/>
              </w:rPr>
            </w:pPr>
          </w:p>
        </w:tc>
        <w:tc>
          <w:tcPr>
            <w:tcW w:w="900" w:type="dxa"/>
            <w:vAlign w:val="bottom"/>
            <w:shd w:val="clear" w:color="auto" w:fill="FDFDFC"/>
          </w:tcPr>
          <w:p>
            <w:pPr>
              <w:spacing w:after="0"/>
              <w:rPr>
                <w:sz w:val="16"/>
                <w:szCs w:val="16"/>
                <w:color w:val="auto"/>
              </w:rPr>
            </w:pPr>
          </w:p>
        </w:tc>
        <w:tc>
          <w:tcPr>
            <w:tcW w:w="180" w:type="dxa"/>
            <w:vAlign w:val="bottom"/>
            <w:shd w:val="clear" w:color="auto" w:fill="FDFDFC"/>
          </w:tcPr>
          <w:p>
            <w:pPr>
              <w:spacing w:after="0"/>
              <w:rPr>
                <w:sz w:val="16"/>
                <w:szCs w:val="16"/>
                <w:color w:val="auto"/>
              </w:rPr>
            </w:pPr>
          </w:p>
        </w:tc>
        <w:tc>
          <w:tcPr>
            <w:tcW w:w="100" w:type="dxa"/>
            <w:vAlign w:val="bottom"/>
            <w:shd w:val="clear" w:color="auto" w:fill="FDFDFC"/>
          </w:tcPr>
          <w:p>
            <w:pPr>
              <w:spacing w:after="0"/>
              <w:rPr>
                <w:sz w:val="16"/>
                <w:szCs w:val="16"/>
                <w:color w:val="auto"/>
              </w:rPr>
            </w:pPr>
          </w:p>
        </w:tc>
        <w:tc>
          <w:tcPr>
            <w:tcW w:w="860" w:type="dxa"/>
            <w:vAlign w:val="bottom"/>
            <w:shd w:val="clear" w:color="auto" w:fill="FDFDFC"/>
          </w:tcPr>
          <w:p>
            <w:pPr>
              <w:spacing w:after="0"/>
              <w:rPr>
                <w:sz w:val="16"/>
                <w:szCs w:val="16"/>
                <w:color w:val="auto"/>
              </w:rPr>
            </w:pPr>
          </w:p>
        </w:tc>
        <w:tc>
          <w:tcPr>
            <w:tcW w:w="200" w:type="dxa"/>
            <w:vAlign w:val="bottom"/>
            <w:shd w:val="clear" w:color="auto" w:fill="FDFDFC"/>
          </w:tcPr>
          <w:p>
            <w:pPr>
              <w:spacing w:after="0"/>
              <w:rPr>
                <w:sz w:val="16"/>
                <w:szCs w:val="16"/>
                <w:color w:val="auto"/>
              </w:rPr>
            </w:pPr>
          </w:p>
        </w:tc>
        <w:tc>
          <w:tcPr>
            <w:tcW w:w="900" w:type="dxa"/>
            <w:vAlign w:val="bottom"/>
            <w:shd w:val="clear" w:color="auto" w:fill="FDFDFC"/>
          </w:tcPr>
          <w:p>
            <w:pPr>
              <w:spacing w:after="0"/>
              <w:rPr>
                <w:sz w:val="16"/>
                <w:szCs w:val="16"/>
                <w:color w:val="auto"/>
              </w:rPr>
            </w:pPr>
          </w:p>
        </w:tc>
        <w:tc>
          <w:tcPr>
            <w:tcW w:w="240" w:type="dxa"/>
            <w:vAlign w:val="bottom"/>
            <w:shd w:val="clear" w:color="auto" w:fill="FDFDFC"/>
          </w:tcPr>
          <w:p>
            <w:pPr>
              <w:spacing w:after="0"/>
              <w:rPr>
                <w:sz w:val="16"/>
                <w:szCs w:val="16"/>
                <w:color w:val="auto"/>
              </w:rPr>
            </w:pPr>
          </w:p>
        </w:tc>
        <w:tc>
          <w:tcPr>
            <w:tcW w:w="0" w:type="dxa"/>
            <w:vAlign w:val="bottom"/>
          </w:tcPr>
          <w:p>
            <w:pPr>
              <w:spacing w:after="0"/>
              <w:rPr>
                <w:sz w:val="1"/>
                <w:szCs w:val="1"/>
                <w:color w:val="auto"/>
              </w:rPr>
            </w:pPr>
          </w:p>
        </w:tc>
      </w:tr>
      <w:tr>
        <w:trPr>
          <w:trHeight w:val="156"/>
        </w:trPr>
        <w:tc>
          <w:tcPr>
            <w:tcW w:w="1460" w:type="dxa"/>
            <w:vAlign w:val="bottom"/>
            <w:shd w:val="clear" w:color="auto" w:fill="D0EBF2"/>
          </w:tcPr>
          <w:p>
            <w:pPr>
              <w:spacing w:after="0" w:line="156" w:lineRule="exact"/>
              <w:rPr>
                <w:sz w:val="20"/>
                <w:szCs w:val="20"/>
                <w:color w:val="auto"/>
              </w:rPr>
            </w:pPr>
            <w:r>
              <w:rPr>
                <w:rFonts w:ascii="Times New Roman" w:cs="Times New Roman" w:eastAsia="Times New Roman" w:hAnsi="Times New Roman"/>
                <w:sz w:val="15"/>
                <w:szCs w:val="15"/>
                <w:b w:val="1"/>
                <w:bCs w:val="1"/>
                <w:color w:val="231F20"/>
              </w:rPr>
              <w:t>Oil, Gas and</w:t>
            </w:r>
          </w:p>
        </w:tc>
        <w:tc>
          <w:tcPr>
            <w:tcW w:w="2420" w:type="dxa"/>
            <w:vAlign w:val="bottom"/>
            <w:shd w:val="clear" w:color="auto" w:fill="D0EBF2"/>
          </w:tcPr>
          <w:p>
            <w:pPr>
              <w:spacing w:after="0"/>
              <w:rPr>
                <w:sz w:val="13"/>
                <w:szCs w:val="13"/>
                <w:color w:val="auto"/>
              </w:rPr>
            </w:pPr>
          </w:p>
        </w:tc>
        <w:tc>
          <w:tcPr>
            <w:tcW w:w="820" w:type="dxa"/>
            <w:vAlign w:val="bottom"/>
            <w:shd w:val="clear" w:color="auto" w:fill="D0EBF2"/>
          </w:tcPr>
          <w:p>
            <w:pPr>
              <w:spacing w:after="0"/>
              <w:rPr>
                <w:sz w:val="13"/>
                <w:szCs w:val="13"/>
                <w:color w:val="auto"/>
              </w:rPr>
            </w:pPr>
          </w:p>
        </w:tc>
        <w:tc>
          <w:tcPr>
            <w:tcW w:w="1040" w:type="dxa"/>
            <w:vAlign w:val="bottom"/>
            <w:shd w:val="clear" w:color="auto" w:fill="D0EBF2"/>
          </w:tcPr>
          <w:p>
            <w:pPr>
              <w:spacing w:after="0"/>
              <w:rPr>
                <w:sz w:val="13"/>
                <w:szCs w:val="13"/>
                <w:color w:val="auto"/>
              </w:rPr>
            </w:pPr>
          </w:p>
        </w:tc>
        <w:tc>
          <w:tcPr>
            <w:tcW w:w="1060" w:type="dxa"/>
            <w:vAlign w:val="bottom"/>
            <w:shd w:val="clear" w:color="auto" w:fill="D0EBF2"/>
          </w:tcPr>
          <w:p>
            <w:pPr>
              <w:spacing w:after="0"/>
              <w:rPr>
                <w:sz w:val="13"/>
                <w:szCs w:val="13"/>
                <w:color w:val="auto"/>
              </w:rPr>
            </w:pPr>
          </w:p>
        </w:tc>
        <w:tc>
          <w:tcPr>
            <w:tcW w:w="100" w:type="dxa"/>
            <w:vAlign w:val="bottom"/>
            <w:shd w:val="clear" w:color="auto" w:fill="D0EBF2"/>
          </w:tcPr>
          <w:p>
            <w:pPr>
              <w:spacing w:after="0"/>
              <w:rPr>
                <w:sz w:val="13"/>
                <w:szCs w:val="13"/>
                <w:color w:val="auto"/>
              </w:rPr>
            </w:pPr>
          </w:p>
        </w:tc>
        <w:tc>
          <w:tcPr>
            <w:tcW w:w="900" w:type="dxa"/>
            <w:vAlign w:val="bottom"/>
            <w:shd w:val="clear" w:color="auto" w:fill="D0EBF2"/>
          </w:tcPr>
          <w:p>
            <w:pPr>
              <w:spacing w:after="0"/>
              <w:rPr>
                <w:sz w:val="13"/>
                <w:szCs w:val="13"/>
                <w:color w:val="auto"/>
              </w:rPr>
            </w:pPr>
          </w:p>
        </w:tc>
        <w:tc>
          <w:tcPr>
            <w:tcW w:w="180" w:type="dxa"/>
            <w:vAlign w:val="bottom"/>
            <w:shd w:val="clear" w:color="auto" w:fill="D0EBF2"/>
          </w:tcPr>
          <w:p>
            <w:pPr>
              <w:spacing w:after="0"/>
              <w:rPr>
                <w:sz w:val="13"/>
                <w:szCs w:val="13"/>
                <w:color w:val="auto"/>
              </w:rPr>
            </w:pPr>
          </w:p>
        </w:tc>
        <w:tc>
          <w:tcPr>
            <w:tcW w:w="100" w:type="dxa"/>
            <w:vAlign w:val="bottom"/>
            <w:shd w:val="clear" w:color="auto" w:fill="D0EBF2"/>
          </w:tcPr>
          <w:p>
            <w:pPr>
              <w:spacing w:after="0"/>
              <w:rPr>
                <w:sz w:val="13"/>
                <w:szCs w:val="13"/>
                <w:color w:val="auto"/>
              </w:rPr>
            </w:pPr>
          </w:p>
        </w:tc>
        <w:tc>
          <w:tcPr>
            <w:tcW w:w="860" w:type="dxa"/>
            <w:vAlign w:val="bottom"/>
            <w:shd w:val="clear" w:color="auto" w:fill="D0EBF2"/>
          </w:tcPr>
          <w:p>
            <w:pPr>
              <w:spacing w:after="0"/>
              <w:rPr>
                <w:sz w:val="13"/>
                <w:szCs w:val="13"/>
                <w:color w:val="auto"/>
              </w:rPr>
            </w:pPr>
          </w:p>
        </w:tc>
        <w:tc>
          <w:tcPr>
            <w:tcW w:w="200" w:type="dxa"/>
            <w:vAlign w:val="bottom"/>
            <w:shd w:val="clear" w:color="auto" w:fill="D0EBF2"/>
          </w:tcPr>
          <w:p>
            <w:pPr>
              <w:spacing w:after="0"/>
              <w:rPr>
                <w:sz w:val="13"/>
                <w:szCs w:val="13"/>
                <w:color w:val="auto"/>
              </w:rPr>
            </w:pPr>
          </w:p>
        </w:tc>
        <w:tc>
          <w:tcPr>
            <w:tcW w:w="900" w:type="dxa"/>
            <w:vAlign w:val="bottom"/>
            <w:shd w:val="clear" w:color="auto" w:fill="D0EBF2"/>
          </w:tcPr>
          <w:p>
            <w:pPr>
              <w:spacing w:after="0"/>
              <w:rPr>
                <w:sz w:val="13"/>
                <w:szCs w:val="13"/>
                <w:color w:val="auto"/>
              </w:rPr>
            </w:pPr>
          </w:p>
        </w:tc>
        <w:tc>
          <w:tcPr>
            <w:tcW w:w="240" w:type="dxa"/>
            <w:vAlign w:val="bottom"/>
            <w:shd w:val="clear" w:color="auto" w:fill="D0EBF2"/>
          </w:tcPr>
          <w:p>
            <w:pPr>
              <w:spacing w:after="0"/>
              <w:rPr>
                <w:sz w:val="13"/>
                <w:szCs w:val="13"/>
                <w:color w:val="auto"/>
              </w:rPr>
            </w:pPr>
          </w:p>
        </w:tc>
        <w:tc>
          <w:tcPr>
            <w:tcW w:w="0" w:type="dxa"/>
            <w:vAlign w:val="bottom"/>
          </w:tcPr>
          <w:p>
            <w:pPr>
              <w:spacing w:after="0"/>
              <w:rPr>
                <w:sz w:val="1"/>
                <w:szCs w:val="1"/>
                <w:color w:val="auto"/>
              </w:rPr>
            </w:pPr>
          </w:p>
        </w:tc>
      </w:tr>
      <w:tr>
        <w:trPr>
          <w:trHeight w:val="191"/>
        </w:trPr>
        <w:tc>
          <w:tcPr>
            <w:tcW w:w="1460" w:type="dxa"/>
            <w:vAlign w:val="bottom"/>
            <w:shd w:val="clear" w:color="auto" w:fill="D0EBF2"/>
          </w:tcPr>
          <w:p>
            <w:pPr>
              <w:spacing w:after="0"/>
              <w:rPr>
                <w:sz w:val="20"/>
                <w:szCs w:val="20"/>
                <w:color w:val="auto"/>
              </w:rPr>
            </w:pPr>
            <w:r>
              <w:rPr>
                <w:rFonts w:ascii="Times New Roman" w:cs="Times New Roman" w:eastAsia="Times New Roman" w:hAnsi="Times New Roman"/>
                <w:sz w:val="15"/>
                <w:szCs w:val="15"/>
                <w:b w:val="1"/>
                <w:bCs w:val="1"/>
                <w:color w:val="231F20"/>
              </w:rPr>
              <w:t>Consumable Fuels</w:t>
            </w:r>
          </w:p>
        </w:tc>
        <w:tc>
          <w:tcPr>
            <w:tcW w:w="2420" w:type="dxa"/>
            <w:vAlign w:val="bottom"/>
            <w:shd w:val="clear" w:color="auto" w:fill="D0EBF2"/>
          </w:tcPr>
          <w:p>
            <w:pPr>
              <w:spacing w:after="0"/>
              <w:rPr>
                <w:sz w:val="16"/>
                <w:szCs w:val="16"/>
                <w:color w:val="auto"/>
              </w:rPr>
            </w:pPr>
          </w:p>
        </w:tc>
        <w:tc>
          <w:tcPr>
            <w:tcW w:w="820" w:type="dxa"/>
            <w:vAlign w:val="bottom"/>
            <w:shd w:val="clear" w:color="auto" w:fill="D0EBF2"/>
          </w:tcPr>
          <w:p>
            <w:pPr>
              <w:spacing w:after="0"/>
              <w:rPr>
                <w:sz w:val="16"/>
                <w:szCs w:val="16"/>
                <w:color w:val="auto"/>
              </w:rPr>
            </w:pPr>
          </w:p>
        </w:tc>
        <w:tc>
          <w:tcPr>
            <w:tcW w:w="1040" w:type="dxa"/>
            <w:vAlign w:val="bottom"/>
            <w:shd w:val="clear" w:color="auto" w:fill="D0EBF2"/>
          </w:tcPr>
          <w:p>
            <w:pPr>
              <w:spacing w:after="0"/>
              <w:rPr>
                <w:sz w:val="16"/>
                <w:szCs w:val="16"/>
                <w:color w:val="auto"/>
              </w:rPr>
            </w:pPr>
          </w:p>
        </w:tc>
        <w:tc>
          <w:tcPr>
            <w:tcW w:w="1060" w:type="dxa"/>
            <w:vAlign w:val="bottom"/>
            <w:shd w:val="clear" w:color="auto" w:fill="D0EBF2"/>
          </w:tcPr>
          <w:p>
            <w:pPr>
              <w:spacing w:after="0"/>
              <w:rPr>
                <w:sz w:val="16"/>
                <w:szCs w:val="16"/>
                <w:color w:val="auto"/>
              </w:rPr>
            </w:pPr>
          </w:p>
        </w:tc>
        <w:tc>
          <w:tcPr>
            <w:tcW w:w="100" w:type="dxa"/>
            <w:vAlign w:val="bottom"/>
            <w:shd w:val="clear" w:color="auto" w:fill="D0EBF2"/>
          </w:tcPr>
          <w:p>
            <w:pPr>
              <w:spacing w:after="0"/>
              <w:rPr>
                <w:sz w:val="16"/>
                <w:szCs w:val="16"/>
                <w:color w:val="auto"/>
              </w:rPr>
            </w:pPr>
          </w:p>
        </w:tc>
        <w:tc>
          <w:tcPr>
            <w:tcW w:w="900" w:type="dxa"/>
            <w:vAlign w:val="bottom"/>
            <w:shd w:val="clear" w:color="auto" w:fill="D0EBF2"/>
          </w:tcPr>
          <w:p>
            <w:pPr>
              <w:spacing w:after="0"/>
              <w:rPr>
                <w:sz w:val="16"/>
                <w:szCs w:val="16"/>
                <w:color w:val="auto"/>
              </w:rPr>
            </w:pPr>
          </w:p>
        </w:tc>
        <w:tc>
          <w:tcPr>
            <w:tcW w:w="180" w:type="dxa"/>
            <w:vAlign w:val="bottom"/>
            <w:shd w:val="clear" w:color="auto" w:fill="D0EBF2"/>
          </w:tcPr>
          <w:p>
            <w:pPr>
              <w:spacing w:after="0"/>
              <w:rPr>
                <w:sz w:val="16"/>
                <w:szCs w:val="16"/>
                <w:color w:val="auto"/>
              </w:rPr>
            </w:pPr>
          </w:p>
        </w:tc>
        <w:tc>
          <w:tcPr>
            <w:tcW w:w="100" w:type="dxa"/>
            <w:vAlign w:val="bottom"/>
            <w:shd w:val="clear" w:color="auto" w:fill="D0EBF2"/>
          </w:tcPr>
          <w:p>
            <w:pPr>
              <w:spacing w:after="0"/>
              <w:rPr>
                <w:sz w:val="16"/>
                <w:szCs w:val="16"/>
                <w:color w:val="auto"/>
              </w:rPr>
            </w:pPr>
          </w:p>
        </w:tc>
        <w:tc>
          <w:tcPr>
            <w:tcW w:w="860" w:type="dxa"/>
            <w:vAlign w:val="bottom"/>
            <w:shd w:val="clear" w:color="auto" w:fill="D0EBF2"/>
          </w:tcPr>
          <w:p>
            <w:pPr>
              <w:spacing w:after="0"/>
              <w:rPr>
                <w:sz w:val="16"/>
                <w:szCs w:val="16"/>
                <w:color w:val="auto"/>
              </w:rPr>
            </w:pPr>
          </w:p>
        </w:tc>
        <w:tc>
          <w:tcPr>
            <w:tcW w:w="200" w:type="dxa"/>
            <w:vAlign w:val="bottom"/>
            <w:shd w:val="clear" w:color="auto" w:fill="D0EBF2"/>
          </w:tcPr>
          <w:p>
            <w:pPr>
              <w:spacing w:after="0"/>
              <w:rPr>
                <w:sz w:val="16"/>
                <w:szCs w:val="16"/>
                <w:color w:val="auto"/>
              </w:rPr>
            </w:pPr>
          </w:p>
        </w:tc>
        <w:tc>
          <w:tcPr>
            <w:tcW w:w="900" w:type="dxa"/>
            <w:vAlign w:val="bottom"/>
            <w:shd w:val="clear" w:color="auto" w:fill="D0EBF2"/>
          </w:tcPr>
          <w:p>
            <w:pPr>
              <w:spacing w:after="0"/>
              <w:rPr>
                <w:sz w:val="16"/>
                <w:szCs w:val="16"/>
                <w:color w:val="auto"/>
              </w:rPr>
            </w:pPr>
          </w:p>
        </w:tc>
        <w:tc>
          <w:tcPr>
            <w:tcW w:w="240" w:type="dxa"/>
            <w:vAlign w:val="bottom"/>
            <w:shd w:val="clear" w:color="auto" w:fill="D0EBF2"/>
          </w:tcPr>
          <w:p>
            <w:pPr>
              <w:spacing w:after="0"/>
              <w:rPr>
                <w:sz w:val="16"/>
                <w:szCs w:val="16"/>
                <w:color w:val="auto"/>
              </w:rPr>
            </w:pPr>
          </w:p>
        </w:tc>
        <w:tc>
          <w:tcPr>
            <w:tcW w:w="0" w:type="dxa"/>
            <w:vAlign w:val="bottom"/>
          </w:tcPr>
          <w:p>
            <w:pPr>
              <w:spacing w:after="0"/>
              <w:rPr>
                <w:sz w:val="1"/>
                <w:szCs w:val="1"/>
                <w:color w:val="auto"/>
              </w:rPr>
            </w:pPr>
          </w:p>
        </w:tc>
      </w:tr>
      <w:tr>
        <w:trPr>
          <w:trHeight w:val="158"/>
        </w:trPr>
        <w:tc>
          <w:tcPr>
            <w:tcW w:w="1460" w:type="dxa"/>
            <w:vAlign w:val="bottom"/>
            <w:shd w:val="clear" w:color="auto" w:fill="FDFDFC"/>
          </w:tcPr>
          <w:p>
            <w:pPr>
              <w:spacing w:after="0" w:line="159" w:lineRule="exact"/>
              <w:rPr>
                <w:sz w:val="20"/>
                <w:szCs w:val="20"/>
                <w:color w:val="auto"/>
              </w:rPr>
            </w:pPr>
            <w:r>
              <w:rPr>
                <w:rFonts w:ascii="Times New Roman" w:cs="Times New Roman" w:eastAsia="Times New Roman" w:hAnsi="Times New Roman"/>
                <w:sz w:val="15"/>
                <w:szCs w:val="15"/>
                <w:color w:val="231F20"/>
              </w:rPr>
              <w:t>Laramie Energy, LLC</w:t>
            </w:r>
          </w:p>
        </w:tc>
        <w:tc>
          <w:tcPr>
            <w:tcW w:w="2420" w:type="dxa"/>
            <w:vAlign w:val="bottom"/>
            <w:shd w:val="clear" w:color="auto" w:fill="FDFDFC"/>
          </w:tcPr>
          <w:p>
            <w:pPr>
              <w:ind w:left="60"/>
              <w:spacing w:after="0" w:line="159" w:lineRule="exact"/>
              <w:rPr>
                <w:sz w:val="20"/>
                <w:szCs w:val="20"/>
                <w:color w:val="auto"/>
              </w:rPr>
            </w:pPr>
            <w:r>
              <w:rPr>
                <w:rFonts w:ascii="Times New Roman" w:cs="Times New Roman" w:eastAsia="Times New Roman" w:hAnsi="Times New Roman"/>
                <w:sz w:val="15"/>
                <w:szCs w:val="15"/>
                <w:color w:val="231F20"/>
              </w:rPr>
              <w:t>First-lien loan ($27,317 par, due</w:t>
            </w:r>
          </w:p>
        </w:tc>
        <w:tc>
          <w:tcPr>
            <w:tcW w:w="820" w:type="dxa"/>
            <w:vAlign w:val="bottom"/>
            <w:shd w:val="clear" w:color="auto" w:fill="FDFDFC"/>
          </w:tcPr>
          <w:p>
            <w:pPr>
              <w:jc w:val="right"/>
              <w:spacing w:after="0" w:line="159" w:lineRule="exact"/>
              <w:rPr>
                <w:sz w:val="20"/>
                <w:szCs w:val="20"/>
                <w:color w:val="auto"/>
              </w:rPr>
            </w:pPr>
            <w:r>
              <w:rPr>
                <w:rFonts w:ascii="Times New Roman" w:cs="Times New Roman" w:eastAsia="Times New Roman" w:hAnsi="Times New Roman"/>
                <w:sz w:val="15"/>
                <w:szCs w:val="15"/>
                <w:color w:val="231F20"/>
              </w:rPr>
              <w:t>2/21/2023</w:t>
            </w:r>
          </w:p>
        </w:tc>
        <w:tc>
          <w:tcPr>
            <w:tcW w:w="1040" w:type="dxa"/>
            <w:vAlign w:val="bottom"/>
            <w:shd w:val="clear" w:color="auto" w:fill="FDFDFC"/>
          </w:tcPr>
          <w:p>
            <w:pPr>
              <w:jc w:val="right"/>
              <w:ind w:right="84"/>
              <w:spacing w:after="0" w:line="159" w:lineRule="exact"/>
              <w:rPr>
                <w:sz w:val="20"/>
                <w:szCs w:val="20"/>
                <w:color w:val="auto"/>
              </w:rPr>
            </w:pPr>
            <w:r>
              <w:rPr>
                <w:rFonts w:ascii="Times New Roman" w:cs="Times New Roman" w:eastAsia="Times New Roman" w:hAnsi="Times New Roman"/>
                <w:sz w:val="15"/>
                <w:szCs w:val="15"/>
                <w:color w:val="231F20"/>
              </w:rPr>
              <w:t>SOFR</w:t>
            </w:r>
          </w:p>
        </w:tc>
        <w:tc>
          <w:tcPr>
            <w:tcW w:w="1060" w:type="dxa"/>
            <w:vAlign w:val="bottom"/>
            <w:shd w:val="clear" w:color="auto" w:fill="FDFDFC"/>
          </w:tcPr>
          <w:p>
            <w:pPr>
              <w:jc w:val="right"/>
              <w:ind w:right="24"/>
              <w:spacing w:after="0" w:line="159" w:lineRule="exact"/>
              <w:rPr>
                <w:sz w:val="20"/>
                <w:szCs w:val="20"/>
                <w:color w:val="auto"/>
              </w:rPr>
            </w:pPr>
            <w:r>
              <w:rPr>
                <w:rFonts w:ascii="Times New Roman" w:cs="Times New Roman" w:eastAsia="Times New Roman" w:hAnsi="Times New Roman"/>
                <w:sz w:val="15"/>
                <w:szCs w:val="15"/>
                <w:color w:val="231F20"/>
              </w:rPr>
              <w:t>12.46%</w:t>
            </w:r>
          </w:p>
        </w:tc>
        <w:tc>
          <w:tcPr>
            <w:tcW w:w="100" w:type="dxa"/>
            <w:vAlign w:val="bottom"/>
            <w:shd w:val="clear" w:color="auto" w:fill="FDFDFC"/>
          </w:tcPr>
          <w:p>
            <w:pPr>
              <w:spacing w:after="0"/>
              <w:rPr>
                <w:sz w:val="13"/>
                <w:szCs w:val="13"/>
                <w:color w:val="auto"/>
              </w:rPr>
            </w:pPr>
          </w:p>
        </w:tc>
        <w:tc>
          <w:tcPr>
            <w:tcW w:w="900" w:type="dxa"/>
            <w:vAlign w:val="bottom"/>
            <w:shd w:val="clear" w:color="auto" w:fill="FDFDFC"/>
          </w:tcPr>
          <w:p>
            <w:pPr>
              <w:jc w:val="right"/>
              <w:spacing w:after="0" w:line="159" w:lineRule="exact"/>
              <w:rPr>
                <w:sz w:val="20"/>
                <w:szCs w:val="20"/>
                <w:color w:val="auto"/>
              </w:rPr>
            </w:pPr>
            <w:r>
              <w:rPr>
                <w:rFonts w:ascii="Times New Roman" w:cs="Times New Roman" w:eastAsia="Times New Roman" w:hAnsi="Times New Roman"/>
                <w:sz w:val="15"/>
                <w:szCs w:val="15"/>
                <w:color w:val="231F20"/>
              </w:rPr>
              <w:t>26,768</w:t>
            </w:r>
          </w:p>
        </w:tc>
        <w:tc>
          <w:tcPr>
            <w:tcW w:w="1140" w:type="dxa"/>
            <w:vAlign w:val="bottom"/>
            <w:gridSpan w:val="3"/>
            <w:shd w:val="clear" w:color="auto" w:fill="FDFDFC"/>
          </w:tcPr>
          <w:p>
            <w:pPr>
              <w:jc w:val="right"/>
              <w:spacing w:after="0" w:line="159" w:lineRule="exact"/>
              <w:rPr>
                <w:sz w:val="20"/>
                <w:szCs w:val="20"/>
                <w:color w:val="auto"/>
              </w:rPr>
            </w:pPr>
            <w:r>
              <w:rPr>
                <w:rFonts w:ascii="Times New Roman" w:cs="Times New Roman" w:eastAsia="Times New Roman" w:hAnsi="Times New Roman"/>
                <w:sz w:val="15"/>
                <w:szCs w:val="15"/>
                <w:color w:val="231F20"/>
              </w:rPr>
              <w:t>27,142</w:t>
            </w:r>
          </w:p>
        </w:tc>
        <w:tc>
          <w:tcPr>
            <w:tcW w:w="1340" w:type="dxa"/>
            <w:vAlign w:val="bottom"/>
            <w:gridSpan w:val="3"/>
            <w:shd w:val="clear" w:color="auto" w:fill="FDFDFC"/>
          </w:tcPr>
          <w:p>
            <w:pPr>
              <w:jc w:val="right"/>
              <w:ind w:right="120"/>
              <w:spacing w:after="0" w:line="159" w:lineRule="exact"/>
              <w:rPr>
                <w:sz w:val="20"/>
                <w:szCs w:val="20"/>
                <w:color w:val="auto"/>
              </w:rPr>
            </w:pPr>
            <w:r>
              <w:rPr>
                <w:rFonts w:ascii="Times New Roman" w:cs="Times New Roman" w:eastAsia="Times New Roman" w:hAnsi="Times New Roman"/>
                <w:sz w:val="15"/>
                <w:szCs w:val="15"/>
                <w:color w:val="231F20"/>
              </w:rPr>
              <w:t>1.8%</w:t>
            </w:r>
          </w:p>
        </w:tc>
        <w:tc>
          <w:tcPr>
            <w:tcW w:w="0" w:type="dxa"/>
            <w:vAlign w:val="bottom"/>
          </w:tcPr>
          <w:p>
            <w:pPr>
              <w:spacing w:after="0"/>
              <w:rPr>
                <w:sz w:val="1"/>
                <w:szCs w:val="1"/>
                <w:color w:val="auto"/>
              </w:rPr>
            </w:pPr>
          </w:p>
        </w:tc>
      </w:tr>
      <w:tr>
        <w:trPr>
          <w:trHeight w:val="189"/>
        </w:trPr>
        <w:tc>
          <w:tcPr>
            <w:tcW w:w="1460" w:type="dxa"/>
            <w:vAlign w:val="bottom"/>
            <w:shd w:val="clear" w:color="auto" w:fill="FDFDFC"/>
          </w:tcPr>
          <w:p>
            <w:pPr>
              <w:spacing w:after="0"/>
              <w:rPr>
                <w:sz w:val="20"/>
                <w:szCs w:val="20"/>
                <w:color w:val="auto"/>
              </w:rPr>
            </w:pPr>
            <w:r>
              <w:rPr>
                <w:rFonts w:ascii="Times New Roman" w:cs="Times New Roman" w:eastAsia="Times New Roman" w:hAnsi="Times New Roman"/>
                <w:sz w:val="9"/>
                <w:szCs w:val="9"/>
                <w:color w:val="231F20"/>
              </w:rPr>
              <w:t>(3)</w:t>
            </w:r>
          </w:p>
        </w:tc>
        <w:tc>
          <w:tcPr>
            <w:tcW w:w="2420" w:type="dxa"/>
            <w:vAlign w:val="bottom"/>
            <w:shd w:val="clear" w:color="auto" w:fill="FDFDFC"/>
          </w:tcPr>
          <w:p>
            <w:pPr>
              <w:ind w:left="60"/>
              <w:spacing w:after="0"/>
              <w:rPr>
                <w:sz w:val="20"/>
                <w:szCs w:val="20"/>
                <w:color w:val="auto"/>
              </w:rPr>
            </w:pPr>
            <w:r>
              <w:rPr>
                <w:rFonts w:ascii="Times New Roman" w:cs="Times New Roman" w:eastAsia="Times New Roman" w:hAnsi="Times New Roman"/>
                <w:sz w:val="15"/>
                <w:szCs w:val="15"/>
                <w:color w:val="231F20"/>
              </w:rPr>
              <w:t>2/2027)</w:t>
            </w:r>
          </w:p>
        </w:tc>
        <w:tc>
          <w:tcPr>
            <w:tcW w:w="820" w:type="dxa"/>
            <w:vAlign w:val="bottom"/>
            <w:shd w:val="clear" w:color="auto" w:fill="FDFDFC"/>
          </w:tcPr>
          <w:p>
            <w:pPr>
              <w:spacing w:after="0"/>
              <w:rPr>
                <w:sz w:val="16"/>
                <w:szCs w:val="16"/>
                <w:color w:val="auto"/>
              </w:rPr>
            </w:pPr>
          </w:p>
        </w:tc>
        <w:tc>
          <w:tcPr>
            <w:tcW w:w="1040" w:type="dxa"/>
            <w:vAlign w:val="bottom"/>
            <w:shd w:val="clear" w:color="auto" w:fill="FDFDFC"/>
          </w:tcPr>
          <w:p>
            <w:pPr>
              <w:jc w:val="right"/>
              <w:ind w:right="84"/>
              <w:spacing w:after="0"/>
              <w:rPr>
                <w:sz w:val="20"/>
                <w:szCs w:val="20"/>
                <w:color w:val="auto"/>
              </w:rPr>
            </w:pPr>
            <w:r>
              <w:rPr>
                <w:rFonts w:ascii="Times New Roman" w:cs="Times New Roman" w:eastAsia="Times New Roman" w:hAnsi="Times New Roman"/>
                <w:sz w:val="15"/>
                <w:szCs w:val="15"/>
                <w:color w:val="231F20"/>
              </w:rPr>
              <w:t>+ 7.10%</w:t>
            </w:r>
          </w:p>
        </w:tc>
        <w:tc>
          <w:tcPr>
            <w:tcW w:w="1060" w:type="dxa"/>
            <w:vAlign w:val="bottom"/>
            <w:shd w:val="clear" w:color="auto" w:fill="FDFDFC"/>
          </w:tcPr>
          <w:p>
            <w:pPr>
              <w:spacing w:after="0"/>
              <w:rPr>
                <w:sz w:val="16"/>
                <w:szCs w:val="16"/>
                <w:color w:val="auto"/>
              </w:rPr>
            </w:pPr>
          </w:p>
        </w:tc>
        <w:tc>
          <w:tcPr>
            <w:tcW w:w="100" w:type="dxa"/>
            <w:vAlign w:val="bottom"/>
            <w:shd w:val="clear" w:color="auto" w:fill="FDFDFC"/>
          </w:tcPr>
          <w:p>
            <w:pPr>
              <w:spacing w:after="0"/>
              <w:rPr>
                <w:sz w:val="16"/>
                <w:szCs w:val="16"/>
                <w:color w:val="auto"/>
              </w:rPr>
            </w:pPr>
          </w:p>
        </w:tc>
        <w:tc>
          <w:tcPr>
            <w:tcW w:w="900" w:type="dxa"/>
            <w:vAlign w:val="bottom"/>
            <w:shd w:val="clear" w:color="auto" w:fill="FDFDFC"/>
          </w:tcPr>
          <w:p>
            <w:pPr>
              <w:spacing w:after="0"/>
              <w:rPr>
                <w:sz w:val="16"/>
                <w:szCs w:val="16"/>
                <w:color w:val="auto"/>
              </w:rPr>
            </w:pPr>
          </w:p>
        </w:tc>
        <w:tc>
          <w:tcPr>
            <w:tcW w:w="180" w:type="dxa"/>
            <w:vAlign w:val="bottom"/>
            <w:shd w:val="clear" w:color="auto" w:fill="FDFDFC"/>
          </w:tcPr>
          <w:p>
            <w:pPr>
              <w:spacing w:after="0"/>
              <w:rPr>
                <w:sz w:val="16"/>
                <w:szCs w:val="16"/>
                <w:color w:val="auto"/>
              </w:rPr>
            </w:pPr>
          </w:p>
        </w:tc>
        <w:tc>
          <w:tcPr>
            <w:tcW w:w="100" w:type="dxa"/>
            <w:vAlign w:val="bottom"/>
            <w:shd w:val="clear" w:color="auto" w:fill="FDFDFC"/>
          </w:tcPr>
          <w:p>
            <w:pPr>
              <w:spacing w:after="0"/>
              <w:rPr>
                <w:sz w:val="16"/>
                <w:szCs w:val="16"/>
                <w:color w:val="auto"/>
              </w:rPr>
            </w:pPr>
          </w:p>
        </w:tc>
        <w:tc>
          <w:tcPr>
            <w:tcW w:w="860" w:type="dxa"/>
            <w:vAlign w:val="bottom"/>
            <w:shd w:val="clear" w:color="auto" w:fill="FDFDFC"/>
          </w:tcPr>
          <w:p>
            <w:pPr>
              <w:spacing w:after="0"/>
              <w:rPr>
                <w:sz w:val="16"/>
                <w:szCs w:val="16"/>
                <w:color w:val="auto"/>
              </w:rPr>
            </w:pPr>
          </w:p>
        </w:tc>
        <w:tc>
          <w:tcPr>
            <w:tcW w:w="200" w:type="dxa"/>
            <w:vAlign w:val="bottom"/>
            <w:shd w:val="clear" w:color="auto" w:fill="FDFDFC"/>
          </w:tcPr>
          <w:p>
            <w:pPr>
              <w:spacing w:after="0"/>
              <w:rPr>
                <w:sz w:val="16"/>
                <w:szCs w:val="16"/>
                <w:color w:val="auto"/>
              </w:rPr>
            </w:pPr>
          </w:p>
        </w:tc>
        <w:tc>
          <w:tcPr>
            <w:tcW w:w="900" w:type="dxa"/>
            <w:vAlign w:val="bottom"/>
            <w:shd w:val="clear" w:color="auto" w:fill="FDFDFC"/>
          </w:tcPr>
          <w:p>
            <w:pPr>
              <w:spacing w:after="0"/>
              <w:rPr>
                <w:sz w:val="16"/>
                <w:szCs w:val="16"/>
                <w:color w:val="auto"/>
              </w:rPr>
            </w:pPr>
          </w:p>
        </w:tc>
        <w:tc>
          <w:tcPr>
            <w:tcW w:w="240" w:type="dxa"/>
            <w:vAlign w:val="bottom"/>
            <w:shd w:val="clear" w:color="auto" w:fill="FDFDFC"/>
          </w:tcPr>
          <w:p>
            <w:pPr>
              <w:spacing w:after="0"/>
              <w:rPr>
                <w:sz w:val="16"/>
                <w:szCs w:val="16"/>
                <w:color w:val="auto"/>
              </w:rPr>
            </w:pPr>
          </w:p>
        </w:tc>
        <w:tc>
          <w:tcPr>
            <w:tcW w:w="0" w:type="dxa"/>
            <w:vAlign w:val="bottom"/>
          </w:tcPr>
          <w:p>
            <w:pPr>
              <w:spacing w:after="0"/>
              <w:rPr>
                <w:sz w:val="1"/>
                <w:szCs w:val="1"/>
                <w:color w:val="auto"/>
              </w:rPr>
            </w:pPr>
          </w:p>
        </w:tc>
      </w:tr>
      <w:tr>
        <w:trPr>
          <w:trHeight w:val="158"/>
        </w:trPr>
        <w:tc>
          <w:tcPr>
            <w:tcW w:w="1460" w:type="dxa"/>
            <w:vAlign w:val="bottom"/>
            <w:shd w:val="clear" w:color="auto" w:fill="D0EBF2"/>
          </w:tcPr>
          <w:p>
            <w:pPr>
              <w:spacing w:after="0" w:line="159" w:lineRule="exact"/>
              <w:rPr>
                <w:sz w:val="20"/>
                <w:szCs w:val="20"/>
                <w:color w:val="auto"/>
              </w:rPr>
            </w:pPr>
            <w:r>
              <w:rPr>
                <w:rFonts w:ascii="Times New Roman" w:cs="Times New Roman" w:eastAsia="Times New Roman" w:hAnsi="Times New Roman"/>
                <w:sz w:val="15"/>
                <w:szCs w:val="15"/>
                <w:color w:val="231F20"/>
              </w:rPr>
              <w:t>Mach Natural</w:t>
            </w:r>
          </w:p>
        </w:tc>
        <w:tc>
          <w:tcPr>
            <w:tcW w:w="2420" w:type="dxa"/>
            <w:vAlign w:val="bottom"/>
            <w:shd w:val="clear" w:color="auto" w:fill="D0EBF2"/>
          </w:tcPr>
          <w:p>
            <w:pPr>
              <w:ind w:left="60"/>
              <w:spacing w:after="0" w:line="159" w:lineRule="exact"/>
              <w:rPr>
                <w:sz w:val="20"/>
                <w:szCs w:val="20"/>
                <w:color w:val="auto"/>
              </w:rPr>
            </w:pPr>
            <w:r>
              <w:rPr>
                <w:rFonts w:ascii="Times New Roman" w:cs="Times New Roman" w:eastAsia="Times New Roman" w:hAnsi="Times New Roman"/>
                <w:sz w:val="15"/>
                <w:szCs w:val="15"/>
                <w:color w:val="231F20"/>
              </w:rPr>
              <w:t>First-lien loan ($5,000 par, due</w:t>
            </w:r>
          </w:p>
        </w:tc>
        <w:tc>
          <w:tcPr>
            <w:tcW w:w="820" w:type="dxa"/>
            <w:vAlign w:val="bottom"/>
            <w:shd w:val="clear" w:color="auto" w:fill="D0EBF2"/>
          </w:tcPr>
          <w:p>
            <w:pPr>
              <w:jc w:val="right"/>
              <w:spacing w:after="0" w:line="159" w:lineRule="exact"/>
              <w:rPr>
                <w:sz w:val="20"/>
                <w:szCs w:val="20"/>
                <w:color w:val="auto"/>
              </w:rPr>
            </w:pPr>
            <w:r>
              <w:rPr>
                <w:rFonts w:ascii="Times New Roman" w:cs="Times New Roman" w:eastAsia="Times New Roman" w:hAnsi="Times New Roman"/>
                <w:sz w:val="15"/>
                <w:szCs w:val="15"/>
                <w:color w:val="231F20"/>
              </w:rPr>
              <w:t>12/28/2023</w:t>
            </w:r>
          </w:p>
        </w:tc>
        <w:tc>
          <w:tcPr>
            <w:tcW w:w="1040" w:type="dxa"/>
            <w:vAlign w:val="bottom"/>
            <w:shd w:val="clear" w:color="auto" w:fill="D0EBF2"/>
          </w:tcPr>
          <w:p>
            <w:pPr>
              <w:jc w:val="right"/>
              <w:ind w:right="84"/>
              <w:spacing w:after="0" w:line="159" w:lineRule="exact"/>
              <w:rPr>
                <w:sz w:val="20"/>
                <w:szCs w:val="20"/>
                <w:color w:val="auto"/>
              </w:rPr>
            </w:pPr>
            <w:r>
              <w:rPr>
                <w:rFonts w:ascii="Times New Roman" w:cs="Times New Roman" w:eastAsia="Times New Roman" w:hAnsi="Times New Roman"/>
                <w:sz w:val="15"/>
                <w:szCs w:val="15"/>
                <w:color w:val="231F20"/>
              </w:rPr>
              <w:t>SOFR +</w:t>
            </w:r>
          </w:p>
        </w:tc>
        <w:tc>
          <w:tcPr>
            <w:tcW w:w="1060" w:type="dxa"/>
            <w:vAlign w:val="bottom"/>
            <w:shd w:val="clear" w:color="auto" w:fill="D0EBF2"/>
          </w:tcPr>
          <w:p>
            <w:pPr>
              <w:jc w:val="right"/>
              <w:ind w:right="24"/>
              <w:spacing w:after="0" w:line="159" w:lineRule="exact"/>
              <w:rPr>
                <w:sz w:val="20"/>
                <w:szCs w:val="20"/>
                <w:color w:val="auto"/>
              </w:rPr>
            </w:pPr>
            <w:r>
              <w:rPr>
                <w:rFonts w:ascii="Times New Roman" w:cs="Times New Roman" w:eastAsia="Times New Roman" w:hAnsi="Times New Roman"/>
                <w:sz w:val="15"/>
                <w:szCs w:val="15"/>
                <w:color w:val="231F20"/>
              </w:rPr>
              <w:t>12.00%</w:t>
            </w:r>
          </w:p>
        </w:tc>
        <w:tc>
          <w:tcPr>
            <w:tcW w:w="100" w:type="dxa"/>
            <w:vAlign w:val="bottom"/>
            <w:shd w:val="clear" w:color="auto" w:fill="D0EBF2"/>
          </w:tcPr>
          <w:p>
            <w:pPr>
              <w:spacing w:after="0"/>
              <w:rPr>
                <w:sz w:val="13"/>
                <w:szCs w:val="13"/>
                <w:color w:val="auto"/>
              </w:rPr>
            </w:pPr>
          </w:p>
        </w:tc>
        <w:tc>
          <w:tcPr>
            <w:tcW w:w="900" w:type="dxa"/>
            <w:vAlign w:val="bottom"/>
            <w:shd w:val="clear" w:color="auto" w:fill="D0EBF2"/>
          </w:tcPr>
          <w:p>
            <w:pPr>
              <w:jc w:val="right"/>
              <w:spacing w:after="0" w:line="159" w:lineRule="exact"/>
              <w:rPr>
                <w:sz w:val="20"/>
                <w:szCs w:val="20"/>
                <w:color w:val="auto"/>
              </w:rPr>
            </w:pPr>
            <w:r>
              <w:rPr>
                <w:rFonts w:ascii="Times New Roman" w:cs="Times New Roman" w:eastAsia="Times New Roman" w:hAnsi="Times New Roman"/>
                <w:sz w:val="15"/>
                <w:szCs w:val="15"/>
                <w:color w:val="231F20"/>
              </w:rPr>
              <w:t>4,900</w:t>
            </w:r>
          </w:p>
        </w:tc>
        <w:tc>
          <w:tcPr>
            <w:tcW w:w="1140" w:type="dxa"/>
            <w:vAlign w:val="bottom"/>
            <w:gridSpan w:val="3"/>
            <w:shd w:val="clear" w:color="auto" w:fill="D0EBF2"/>
          </w:tcPr>
          <w:p>
            <w:pPr>
              <w:jc w:val="right"/>
              <w:spacing w:after="0" w:line="159" w:lineRule="exact"/>
              <w:rPr>
                <w:sz w:val="20"/>
                <w:szCs w:val="20"/>
                <w:color w:val="auto"/>
              </w:rPr>
            </w:pPr>
            <w:r>
              <w:rPr>
                <w:rFonts w:ascii="Times New Roman" w:cs="Times New Roman" w:eastAsia="Times New Roman" w:hAnsi="Times New Roman"/>
                <w:sz w:val="15"/>
                <w:szCs w:val="15"/>
                <w:color w:val="231F20"/>
              </w:rPr>
              <w:t>4,900</w:t>
            </w:r>
          </w:p>
        </w:tc>
        <w:tc>
          <w:tcPr>
            <w:tcW w:w="1340" w:type="dxa"/>
            <w:vAlign w:val="bottom"/>
            <w:gridSpan w:val="3"/>
            <w:shd w:val="clear" w:color="auto" w:fill="D0EBF2"/>
          </w:tcPr>
          <w:p>
            <w:pPr>
              <w:jc w:val="right"/>
              <w:ind w:right="120"/>
              <w:spacing w:after="0" w:line="159" w:lineRule="exact"/>
              <w:rPr>
                <w:sz w:val="20"/>
                <w:szCs w:val="20"/>
                <w:color w:val="auto"/>
              </w:rPr>
            </w:pPr>
            <w:r>
              <w:rPr>
                <w:rFonts w:ascii="Times New Roman" w:cs="Times New Roman" w:eastAsia="Times New Roman" w:hAnsi="Times New Roman"/>
                <w:sz w:val="15"/>
                <w:szCs w:val="15"/>
                <w:color w:val="231F20"/>
              </w:rPr>
              <w:t>0.3%</w:t>
            </w:r>
          </w:p>
        </w:tc>
        <w:tc>
          <w:tcPr>
            <w:tcW w:w="0" w:type="dxa"/>
            <w:vAlign w:val="bottom"/>
          </w:tcPr>
          <w:p>
            <w:pPr>
              <w:spacing w:after="0"/>
              <w:rPr>
                <w:sz w:val="1"/>
                <w:szCs w:val="1"/>
                <w:color w:val="auto"/>
              </w:rPr>
            </w:pPr>
          </w:p>
        </w:tc>
      </w:tr>
      <w:tr>
        <w:trPr>
          <w:trHeight w:val="189"/>
        </w:trPr>
        <w:tc>
          <w:tcPr>
            <w:tcW w:w="1460" w:type="dxa"/>
            <w:vAlign w:val="bottom"/>
            <w:shd w:val="clear" w:color="auto" w:fill="D0EBF2"/>
          </w:tcPr>
          <w:p>
            <w:pPr>
              <w:spacing w:after="0"/>
              <w:rPr>
                <w:sz w:val="20"/>
                <w:szCs w:val="20"/>
                <w:color w:val="auto"/>
              </w:rPr>
            </w:pPr>
            <w:r>
              <w:rPr>
                <w:rFonts w:ascii="Times New Roman" w:cs="Times New Roman" w:eastAsia="Times New Roman" w:hAnsi="Times New Roman"/>
                <w:sz w:val="15"/>
                <w:szCs w:val="15"/>
                <w:color w:val="231F20"/>
              </w:rPr>
              <w:t>Resources LP</w:t>
            </w:r>
            <w:r>
              <w:rPr>
                <w:rFonts w:ascii="Times New Roman" w:cs="Times New Roman" w:eastAsia="Times New Roman" w:hAnsi="Times New Roman"/>
                <w:sz w:val="9"/>
                <w:szCs w:val="9"/>
                <w:color w:val="231F20"/>
              </w:rPr>
              <w:t>(3)(4)</w:t>
            </w:r>
          </w:p>
        </w:tc>
        <w:tc>
          <w:tcPr>
            <w:tcW w:w="2420" w:type="dxa"/>
            <w:vAlign w:val="bottom"/>
            <w:shd w:val="clear" w:color="auto" w:fill="D0EBF2"/>
          </w:tcPr>
          <w:p>
            <w:pPr>
              <w:ind w:left="60"/>
              <w:spacing w:after="0"/>
              <w:rPr>
                <w:sz w:val="20"/>
                <w:szCs w:val="20"/>
                <w:color w:val="auto"/>
              </w:rPr>
            </w:pPr>
            <w:r>
              <w:rPr>
                <w:rFonts w:ascii="Times New Roman" w:cs="Times New Roman" w:eastAsia="Times New Roman" w:hAnsi="Times New Roman"/>
                <w:sz w:val="15"/>
                <w:szCs w:val="15"/>
                <w:color w:val="231F20"/>
              </w:rPr>
              <w:t>12/2026)</w:t>
            </w:r>
          </w:p>
        </w:tc>
        <w:tc>
          <w:tcPr>
            <w:tcW w:w="820" w:type="dxa"/>
            <w:vAlign w:val="bottom"/>
            <w:shd w:val="clear" w:color="auto" w:fill="D0EBF2"/>
          </w:tcPr>
          <w:p>
            <w:pPr>
              <w:spacing w:after="0"/>
              <w:rPr>
                <w:sz w:val="16"/>
                <w:szCs w:val="16"/>
                <w:color w:val="auto"/>
              </w:rPr>
            </w:pPr>
          </w:p>
        </w:tc>
        <w:tc>
          <w:tcPr>
            <w:tcW w:w="1040" w:type="dxa"/>
            <w:vAlign w:val="bottom"/>
            <w:shd w:val="clear" w:color="auto" w:fill="D0EBF2"/>
          </w:tcPr>
          <w:p>
            <w:pPr>
              <w:jc w:val="right"/>
              <w:ind w:right="84"/>
              <w:spacing w:after="0"/>
              <w:rPr>
                <w:sz w:val="20"/>
                <w:szCs w:val="20"/>
                <w:color w:val="auto"/>
              </w:rPr>
            </w:pPr>
            <w:r>
              <w:rPr>
                <w:rFonts w:ascii="Times New Roman" w:cs="Times New Roman" w:eastAsia="Times New Roman" w:hAnsi="Times New Roman"/>
                <w:sz w:val="15"/>
                <w:szCs w:val="15"/>
                <w:color w:val="231F20"/>
              </w:rPr>
              <w:t>6.65%</w:t>
            </w:r>
          </w:p>
        </w:tc>
        <w:tc>
          <w:tcPr>
            <w:tcW w:w="1060" w:type="dxa"/>
            <w:vAlign w:val="bottom"/>
            <w:shd w:val="clear" w:color="auto" w:fill="D0EBF2"/>
          </w:tcPr>
          <w:p>
            <w:pPr>
              <w:spacing w:after="0"/>
              <w:rPr>
                <w:sz w:val="16"/>
                <w:szCs w:val="16"/>
                <w:color w:val="auto"/>
              </w:rPr>
            </w:pPr>
          </w:p>
        </w:tc>
        <w:tc>
          <w:tcPr>
            <w:tcW w:w="100" w:type="dxa"/>
            <w:vAlign w:val="bottom"/>
            <w:shd w:val="clear" w:color="auto" w:fill="D0EBF2"/>
          </w:tcPr>
          <w:p>
            <w:pPr>
              <w:spacing w:after="0"/>
              <w:rPr>
                <w:sz w:val="16"/>
                <w:szCs w:val="16"/>
                <w:color w:val="auto"/>
              </w:rPr>
            </w:pPr>
          </w:p>
        </w:tc>
        <w:tc>
          <w:tcPr>
            <w:tcW w:w="900" w:type="dxa"/>
            <w:vAlign w:val="bottom"/>
            <w:shd w:val="clear" w:color="auto" w:fill="D0EBF2"/>
          </w:tcPr>
          <w:p>
            <w:pPr>
              <w:spacing w:after="0"/>
              <w:rPr>
                <w:sz w:val="16"/>
                <w:szCs w:val="16"/>
                <w:color w:val="auto"/>
              </w:rPr>
            </w:pPr>
          </w:p>
        </w:tc>
        <w:tc>
          <w:tcPr>
            <w:tcW w:w="180" w:type="dxa"/>
            <w:vAlign w:val="bottom"/>
            <w:shd w:val="clear" w:color="auto" w:fill="D0EBF2"/>
          </w:tcPr>
          <w:p>
            <w:pPr>
              <w:spacing w:after="0"/>
              <w:rPr>
                <w:sz w:val="16"/>
                <w:szCs w:val="16"/>
                <w:color w:val="auto"/>
              </w:rPr>
            </w:pPr>
          </w:p>
        </w:tc>
        <w:tc>
          <w:tcPr>
            <w:tcW w:w="100" w:type="dxa"/>
            <w:vAlign w:val="bottom"/>
            <w:shd w:val="clear" w:color="auto" w:fill="D0EBF2"/>
          </w:tcPr>
          <w:p>
            <w:pPr>
              <w:spacing w:after="0"/>
              <w:rPr>
                <w:sz w:val="16"/>
                <w:szCs w:val="16"/>
                <w:color w:val="auto"/>
              </w:rPr>
            </w:pPr>
          </w:p>
        </w:tc>
        <w:tc>
          <w:tcPr>
            <w:tcW w:w="860" w:type="dxa"/>
            <w:vAlign w:val="bottom"/>
            <w:shd w:val="clear" w:color="auto" w:fill="D0EBF2"/>
          </w:tcPr>
          <w:p>
            <w:pPr>
              <w:spacing w:after="0"/>
              <w:rPr>
                <w:sz w:val="16"/>
                <w:szCs w:val="16"/>
                <w:color w:val="auto"/>
              </w:rPr>
            </w:pPr>
          </w:p>
        </w:tc>
        <w:tc>
          <w:tcPr>
            <w:tcW w:w="200" w:type="dxa"/>
            <w:vAlign w:val="bottom"/>
            <w:shd w:val="clear" w:color="auto" w:fill="D0EBF2"/>
          </w:tcPr>
          <w:p>
            <w:pPr>
              <w:spacing w:after="0"/>
              <w:rPr>
                <w:sz w:val="16"/>
                <w:szCs w:val="16"/>
                <w:color w:val="auto"/>
              </w:rPr>
            </w:pPr>
          </w:p>
        </w:tc>
        <w:tc>
          <w:tcPr>
            <w:tcW w:w="900" w:type="dxa"/>
            <w:vAlign w:val="bottom"/>
            <w:shd w:val="clear" w:color="auto" w:fill="D0EBF2"/>
          </w:tcPr>
          <w:p>
            <w:pPr>
              <w:spacing w:after="0"/>
              <w:rPr>
                <w:sz w:val="16"/>
                <w:szCs w:val="16"/>
                <w:color w:val="auto"/>
              </w:rPr>
            </w:pPr>
          </w:p>
        </w:tc>
        <w:tc>
          <w:tcPr>
            <w:tcW w:w="240" w:type="dxa"/>
            <w:vAlign w:val="bottom"/>
            <w:shd w:val="clear" w:color="auto" w:fill="D0EBF2"/>
          </w:tcPr>
          <w:p>
            <w:pPr>
              <w:spacing w:after="0"/>
              <w:rPr>
                <w:sz w:val="16"/>
                <w:szCs w:val="16"/>
                <w:color w:val="auto"/>
              </w:rPr>
            </w:pPr>
          </w:p>
        </w:tc>
        <w:tc>
          <w:tcPr>
            <w:tcW w:w="0" w:type="dxa"/>
            <w:vAlign w:val="bottom"/>
          </w:tcPr>
          <w:p>
            <w:pPr>
              <w:spacing w:after="0"/>
              <w:rPr>
                <w:sz w:val="1"/>
                <w:szCs w:val="1"/>
                <w:color w:val="auto"/>
              </w:rPr>
            </w:pPr>
          </w:p>
        </w:tc>
      </w:tr>
      <w:tr>
        <w:trPr>
          <w:trHeight w:val="158"/>
        </w:trPr>
        <w:tc>
          <w:tcPr>
            <w:tcW w:w="1460" w:type="dxa"/>
            <w:vAlign w:val="bottom"/>
            <w:shd w:val="clear" w:color="auto" w:fill="FDFDFC"/>
          </w:tcPr>
          <w:p>
            <w:pPr>
              <w:spacing w:after="0" w:line="159" w:lineRule="exact"/>
              <w:rPr>
                <w:sz w:val="20"/>
                <w:szCs w:val="20"/>
                <w:color w:val="auto"/>
              </w:rPr>
            </w:pPr>
            <w:r>
              <w:rPr>
                <w:rFonts w:ascii="Times New Roman" w:cs="Times New Roman" w:eastAsia="Times New Roman" w:hAnsi="Times New Roman"/>
                <w:sz w:val="15"/>
                <w:szCs w:val="15"/>
                <w:color w:val="231F20"/>
              </w:rPr>
              <w:t>Murchison Oil and</w:t>
            </w:r>
          </w:p>
        </w:tc>
        <w:tc>
          <w:tcPr>
            <w:tcW w:w="2420" w:type="dxa"/>
            <w:vAlign w:val="bottom"/>
            <w:shd w:val="clear" w:color="auto" w:fill="FDFDFC"/>
          </w:tcPr>
          <w:p>
            <w:pPr>
              <w:ind w:left="60"/>
              <w:spacing w:after="0" w:line="159" w:lineRule="exact"/>
              <w:rPr>
                <w:sz w:val="20"/>
                <w:szCs w:val="20"/>
                <w:color w:val="auto"/>
              </w:rPr>
            </w:pPr>
            <w:r>
              <w:rPr>
                <w:rFonts w:ascii="Times New Roman" w:cs="Times New Roman" w:eastAsia="Times New Roman" w:hAnsi="Times New Roman"/>
                <w:sz w:val="15"/>
                <w:szCs w:val="15"/>
                <w:color w:val="231F20"/>
              </w:rPr>
              <w:t>First-lien loan ($27,849 par, due</w:t>
            </w:r>
          </w:p>
        </w:tc>
        <w:tc>
          <w:tcPr>
            <w:tcW w:w="820" w:type="dxa"/>
            <w:vAlign w:val="bottom"/>
            <w:shd w:val="clear" w:color="auto" w:fill="FDFDFC"/>
          </w:tcPr>
          <w:p>
            <w:pPr>
              <w:jc w:val="right"/>
              <w:spacing w:after="0" w:line="159" w:lineRule="exact"/>
              <w:rPr>
                <w:sz w:val="20"/>
                <w:szCs w:val="20"/>
                <w:color w:val="auto"/>
              </w:rPr>
            </w:pPr>
            <w:r>
              <w:rPr>
                <w:rFonts w:ascii="Times New Roman" w:cs="Times New Roman" w:eastAsia="Times New Roman" w:hAnsi="Times New Roman"/>
                <w:sz w:val="15"/>
                <w:szCs w:val="15"/>
                <w:color w:val="231F20"/>
              </w:rPr>
              <w:t>6/30/2022</w:t>
            </w:r>
          </w:p>
        </w:tc>
        <w:tc>
          <w:tcPr>
            <w:tcW w:w="1040" w:type="dxa"/>
            <w:vAlign w:val="bottom"/>
            <w:shd w:val="clear" w:color="auto" w:fill="FDFDFC"/>
          </w:tcPr>
          <w:p>
            <w:pPr>
              <w:jc w:val="right"/>
              <w:ind w:right="84"/>
              <w:spacing w:after="0" w:line="159" w:lineRule="exact"/>
              <w:rPr>
                <w:sz w:val="20"/>
                <w:szCs w:val="20"/>
                <w:color w:val="auto"/>
              </w:rPr>
            </w:pPr>
            <w:r>
              <w:rPr>
                <w:rFonts w:ascii="Times New Roman" w:cs="Times New Roman" w:eastAsia="Times New Roman" w:hAnsi="Times New Roman"/>
                <w:sz w:val="15"/>
                <w:szCs w:val="15"/>
                <w:color w:val="231F20"/>
              </w:rPr>
              <w:t>SOFR +</w:t>
            </w:r>
          </w:p>
        </w:tc>
        <w:tc>
          <w:tcPr>
            <w:tcW w:w="1060" w:type="dxa"/>
            <w:vAlign w:val="bottom"/>
            <w:shd w:val="clear" w:color="auto" w:fill="FDFDFC"/>
          </w:tcPr>
          <w:p>
            <w:pPr>
              <w:jc w:val="right"/>
              <w:ind w:right="24"/>
              <w:spacing w:after="0" w:line="159" w:lineRule="exact"/>
              <w:rPr>
                <w:sz w:val="20"/>
                <w:szCs w:val="20"/>
                <w:color w:val="auto"/>
              </w:rPr>
            </w:pPr>
            <w:r>
              <w:rPr>
                <w:rFonts w:ascii="Times New Roman" w:cs="Times New Roman" w:eastAsia="Times New Roman" w:hAnsi="Times New Roman"/>
                <w:sz w:val="15"/>
                <w:szCs w:val="15"/>
                <w:color w:val="231F20"/>
              </w:rPr>
              <w:t>14.00%</w:t>
            </w:r>
          </w:p>
        </w:tc>
        <w:tc>
          <w:tcPr>
            <w:tcW w:w="100" w:type="dxa"/>
            <w:vAlign w:val="bottom"/>
            <w:shd w:val="clear" w:color="auto" w:fill="FDFDFC"/>
          </w:tcPr>
          <w:p>
            <w:pPr>
              <w:spacing w:after="0"/>
              <w:rPr>
                <w:sz w:val="13"/>
                <w:szCs w:val="13"/>
                <w:color w:val="auto"/>
              </w:rPr>
            </w:pPr>
          </w:p>
        </w:tc>
        <w:tc>
          <w:tcPr>
            <w:tcW w:w="900" w:type="dxa"/>
            <w:vAlign w:val="bottom"/>
            <w:shd w:val="clear" w:color="auto" w:fill="FDFDFC"/>
          </w:tcPr>
          <w:p>
            <w:pPr>
              <w:jc w:val="right"/>
              <w:spacing w:after="0" w:line="159" w:lineRule="exact"/>
              <w:rPr>
                <w:sz w:val="20"/>
                <w:szCs w:val="20"/>
                <w:color w:val="auto"/>
              </w:rPr>
            </w:pPr>
            <w:r>
              <w:rPr>
                <w:rFonts w:ascii="Times New Roman" w:cs="Times New Roman" w:eastAsia="Times New Roman" w:hAnsi="Times New Roman"/>
                <w:sz w:val="15"/>
                <w:szCs w:val="15"/>
                <w:color w:val="231F20"/>
              </w:rPr>
              <w:t>27,453</w:t>
            </w:r>
          </w:p>
        </w:tc>
        <w:tc>
          <w:tcPr>
            <w:tcW w:w="1140" w:type="dxa"/>
            <w:vAlign w:val="bottom"/>
            <w:gridSpan w:val="3"/>
            <w:shd w:val="clear" w:color="auto" w:fill="FDFDFC"/>
          </w:tcPr>
          <w:p>
            <w:pPr>
              <w:jc w:val="right"/>
              <w:spacing w:after="0" w:line="159" w:lineRule="exact"/>
              <w:rPr>
                <w:sz w:val="20"/>
                <w:szCs w:val="20"/>
                <w:color w:val="auto"/>
              </w:rPr>
            </w:pPr>
            <w:r>
              <w:rPr>
                <w:rFonts w:ascii="Times New Roman" w:cs="Times New Roman" w:eastAsia="Times New Roman" w:hAnsi="Times New Roman"/>
                <w:sz w:val="15"/>
                <w:szCs w:val="15"/>
                <w:color w:val="231F20"/>
              </w:rPr>
              <w:t>28,267</w:t>
            </w:r>
          </w:p>
        </w:tc>
        <w:tc>
          <w:tcPr>
            <w:tcW w:w="1340" w:type="dxa"/>
            <w:vAlign w:val="bottom"/>
            <w:gridSpan w:val="3"/>
            <w:shd w:val="clear" w:color="auto" w:fill="FDFDFC"/>
          </w:tcPr>
          <w:p>
            <w:pPr>
              <w:jc w:val="right"/>
              <w:ind w:right="120"/>
              <w:spacing w:after="0" w:line="159" w:lineRule="exact"/>
              <w:rPr>
                <w:sz w:val="20"/>
                <w:szCs w:val="20"/>
                <w:color w:val="auto"/>
              </w:rPr>
            </w:pPr>
            <w:r>
              <w:rPr>
                <w:rFonts w:ascii="Times New Roman" w:cs="Times New Roman" w:eastAsia="Times New Roman" w:hAnsi="Times New Roman"/>
                <w:sz w:val="15"/>
                <w:szCs w:val="15"/>
                <w:color w:val="231F20"/>
              </w:rPr>
              <w:t>1.9%</w:t>
            </w:r>
          </w:p>
        </w:tc>
        <w:tc>
          <w:tcPr>
            <w:tcW w:w="0" w:type="dxa"/>
            <w:vAlign w:val="bottom"/>
          </w:tcPr>
          <w:p>
            <w:pPr>
              <w:spacing w:after="0"/>
              <w:rPr>
                <w:sz w:val="1"/>
                <w:szCs w:val="1"/>
                <w:color w:val="auto"/>
              </w:rPr>
            </w:pPr>
          </w:p>
        </w:tc>
      </w:tr>
      <w:tr>
        <w:trPr>
          <w:trHeight w:val="189"/>
        </w:trPr>
        <w:tc>
          <w:tcPr>
            <w:tcW w:w="1460" w:type="dxa"/>
            <w:vAlign w:val="bottom"/>
            <w:shd w:val="clear" w:color="auto" w:fill="FDFDFC"/>
          </w:tcPr>
          <w:p>
            <w:pPr>
              <w:spacing w:after="0"/>
              <w:rPr>
                <w:sz w:val="20"/>
                <w:szCs w:val="20"/>
                <w:color w:val="auto"/>
              </w:rPr>
            </w:pPr>
            <w:r>
              <w:rPr>
                <w:rFonts w:ascii="Times New Roman" w:cs="Times New Roman" w:eastAsia="Times New Roman" w:hAnsi="Times New Roman"/>
                <w:sz w:val="15"/>
                <w:szCs w:val="15"/>
                <w:color w:val="231F20"/>
              </w:rPr>
              <w:t xml:space="preserve">Gas, LLC </w:t>
            </w:r>
            <w:r>
              <w:rPr>
                <w:rFonts w:ascii="Times New Roman" w:cs="Times New Roman" w:eastAsia="Times New Roman" w:hAnsi="Times New Roman"/>
                <w:sz w:val="9"/>
                <w:szCs w:val="9"/>
                <w:color w:val="231F20"/>
              </w:rPr>
              <w:t>(3)</w:t>
            </w:r>
          </w:p>
        </w:tc>
        <w:tc>
          <w:tcPr>
            <w:tcW w:w="2420" w:type="dxa"/>
            <w:vAlign w:val="bottom"/>
            <w:shd w:val="clear" w:color="auto" w:fill="FDFDFC"/>
          </w:tcPr>
          <w:p>
            <w:pPr>
              <w:ind w:left="60"/>
              <w:spacing w:after="0"/>
              <w:rPr>
                <w:sz w:val="20"/>
                <w:szCs w:val="20"/>
                <w:color w:val="auto"/>
              </w:rPr>
            </w:pPr>
            <w:r>
              <w:rPr>
                <w:rFonts w:ascii="Times New Roman" w:cs="Times New Roman" w:eastAsia="Times New Roman" w:hAnsi="Times New Roman"/>
                <w:sz w:val="15"/>
                <w:szCs w:val="15"/>
                <w:color w:val="231F20"/>
              </w:rPr>
              <w:t>6/2026)</w:t>
            </w:r>
          </w:p>
        </w:tc>
        <w:tc>
          <w:tcPr>
            <w:tcW w:w="820" w:type="dxa"/>
            <w:vAlign w:val="bottom"/>
            <w:shd w:val="clear" w:color="auto" w:fill="FDFDFC"/>
          </w:tcPr>
          <w:p>
            <w:pPr>
              <w:spacing w:after="0"/>
              <w:rPr>
                <w:sz w:val="16"/>
                <w:szCs w:val="16"/>
                <w:color w:val="auto"/>
              </w:rPr>
            </w:pPr>
          </w:p>
        </w:tc>
        <w:tc>
          <w:tcPr>
            <w:tcW w:w="1040" w:type="dxa"/>
            <w:vAlign w:val="bottom"/>
            <w:shd w:val="clear" w:color="auto" w:fill="FDFDFC"/>
          </w:tcPr>
          <w:p>
            <w:pPr>
              <w:jc w:val="right"/>
              <w:ind w:right="84"/>
              <w:spacing w:after="0"/>
              <w:rPr>
                <w:sz w:val="20"/>
                <w:szCs w:val="20"/>
                <w:color w:val="auto"/>
              </w:rPr>
            </w:pPr>
            <w:r>
              <w:rPr>
                <w:rFonts w:ascii="Times New Roman" w:cs="Times New Roman" w:eastAsia="Times New Roman" w:hAnsi="Times New Roman"/>
                <w:sz w:val="15"/>
                <w:szCs w:val="15"/>
                <w:color w:val="231F20"/>
              </w:rPr>
              <w:t>8.65%</w:t>
            </w:r>
          </w:p>
        </w:tc>
        <w:tc>
          <w:tcPr>
            <w:tcW w:w="1060" w:type="dxa"/>
            <w:vAlign w:val="bottom"/>
            <w:shd w:val="clear" w:color="auto" w:fill="FDFDFC"/>
          </w:tcPr>
          <w:p>
            <w:pPr>
              <w:spacing w:after="0"/>
              <w:rPr>
                <w:sz w:val="16"/>
                <w:szCs w:val="16"/>
                <w:color w:val="auto"/>
              </w:rPr>
            </w:pPr>
          </w:p>
        </w:tc>
        <w:tc>
          <w:tcPr>
            <w:tcW w:w="100" w:type="dxa"/>
            <w:vAlign w:val="bottom"/>
            <w:shd w:val="clear" w:color="auto" w:fill="FDFDFC"/>
          </w:tcPr>
          <w:p>
            <w:pPr>
              <w:spacing w:after="0"/>
              <w:rPr>
                <w:sz w:val="16"/>
                <w:szCs w:val="16"/>
                <w:color w:val="auto"/>
              </w:rPr>
            </w:pPr>
          </w:p>
        </w:tc>
        <w:tc>
          <w:tcPr>
            <w:tcW w:w="900" w:type="dxa"/>
            <w:vAlign w:val="bottom"/>
            <w:shd w:val="clear" w:color="auto" w:fill="FDFDFC"/>
          </w:tcPr>
          <w:p>
            <w:pPr>
              <w:spacing w:after="0"/>
              <w:rPr>
                <w:sz w:val="16"/>
                <w:szCs w:val="16"/>
                <w:color w:val="auto"/>
              </w:rPr>
            </w:pPr>
          </w:p>
        </w:tc>
        <w:tc>
          <w:tcPr>
            <w:tcW w:w="180" w:type="dxa"/>
            <w:vAlign w:val="bottom"/>
            <w:shd w:val="clear" w:color="auto" w:fill="FDFDFC"/>
          </w:tcPr>
          <w:p>
            <w:pPr>
              <w:spacing w:after="0"/>
              <w:rPr>
                <w:sz w:val="16"/>
                <w:szCs w:val="16"/>
                <w:color w:val="auto"/>
              </w:rPr>
            </w:pPr>
          </w:p>
        </w:tc>
        <w:tc>
          <w:tcPr>
            <w:tcW w:w="100" w:type="dxa"/>
            <w:vAlign w:val="bottom"/>
            <w:shd w:val="clear" w:color="auto" w:fill="FDFDFC"/>
          </w:tcPr>
          <w:p>
            <w:pPr>
              <w:spacing w:after="0"/>
              <w:rPr>
                <w:sz w:val="16"/>
                <w:szCs w:val="16"/>
                <w:color w:val="auto"/>
              </w:rPr>
            </w:pPr>
          </w:p>
        </w:tc>
        <w:tc>
          <w:tcPr>
            <w:tcW w:w="860" w:type="dxa"/>
            <w:vAlign w:val="bottom"/>
            <w:shd w:val="clear" w:color="auto" w:fill="FDFDFC"/>
          </w:tcPr>
          <w:p>
            <w:pPr>
              <w:spacing w:after="0"/>
              <w:rPr>
                <w:sz w:val="16"/>
                <w:szCs w:val="16"/>
                <w:color w:val="auto"/>
              </w:rPr>
            </w:pPr>
          </w:p>
        </w:tc>
        <w:tc>
          <w:tcPr>
            <w:tcW w:w="200" w:type="dxa"/>
            <w:vAlign w:val="bottom"/>
            <w:shd w:val="clear" w:color="auto" w:fill="FDFDFC"/>
          </w:tcPr>
          <w:p>
            <w:pPr>
              <w:spacing w:after="0"/>
              <w:rPr>
                <w:sz w:val="16"/>
                <w:szCs w:val="16"/>
                <w:color w:val="auto"/>
              </w:rPr>
            </w:pPr>
          </w:p>
        </w:tc>
        <w:tc>
          <w:tcPr>
            <w:tcW w:w="900" w:type="dxa"/>
            <w:vAlign w:val="bottom"/>
            <w:shd w:val="clear" w:color="auto" w:fill="FDFDFC"/>
          </w:tcPr>
          <w:p>
            <w:pPr>
              <w:spacing w:after="0"/>
              <w:rPr>
                <w:sz w:val="16"/>
                <w:szCs w:val="16"/>
                <w:color w:val="auto"/>
              </w:rPr>
            </w:pPr>
          </w:p>
        </w:tc>
        <w:tc>
          <w:tcPr>
            <w:tcW w:w="240" w:type="dxa"/>
            <w:vAlign w:val="bottom"/>
            <w:shd w:val="clear" w:color="auto" w:fill="FDFDFC"/>
          </w:tcPr>
          <w:p>
            <w:pPr>
              <w:spacing w:after="0"/>
              <w:rPr>
                <w:sz w:val="16"/>
                <w:szCs w:val="16"/>
                <w:color w:val="auto"/>
              </w:rPr>
            </w:pPr>
          </w:p>
        </w:tc>
        <w:tc>
          <w:tcPr>
            <w:tcW w:w="0" w:type="dxa"/>
            <w:vAlign w:val="bottom"/>
          </w:tcPr>
          <w:p>
            <w:pPr>
              <w:spacing w:after="0"/>
              <w:rPr>
                <w:sz w:val="1"/>
                <w:szCs w:val="1"/>
                <w:color w:val="auto"/>
              </w:rPr>
            </w:pPr>
          </w:p>
        </w:tc>
      </w:tr>
      <w:tr>
        <w:trPr>
          <w:trHeight w:val="158"/>
        </w:trPr>
        <w:tc>
          <w:tcPr>
            <w:tcW w:w="1460" w:type="dxa"/>
            <w:vAlign w:val="bottom"/>
            <w:shd w:val="clear" w:color="auto" w:fill="D0EBF2"/>
          </w:tcPr>
          <w:p>
            <w:pPr>
              <w:spacing w:after="0" w:line="159" w:lineRule="exact"/>
              <w:rPr>
                <w:sz w:val="20"/>
                <w:szCs w:val="20"/>
                <w:color w:val="auto"/>
              </w:rPr>
            </w:pPr>
            <w:r>
              <w:rPr>
                <w:rFonts w:ascii="Times New Roman" w:cs="Times New Roman" w:eastAsia="Times New Roman" w:hAnsi="Times New Roman"/>
                <w:sz w:val="15"/>
                <w:szCs w:val="15"/>
                <w:color w:val="231F20"/>
              </w:rPr>
              <w:t xml:space="preserve">TRP Assets, LLC </w:t>
            </w:r>
            <w:r>
              <w:rPr>
                <w:rFonts w:ascii="Times New Roman" w:cs="Times New Roman" w:eastAsia="Times New Roman" w:hAnsi="Times New Roman"/>
                <w:sz w:val="9"/>
                <w:szCs w:val="9"/>
                <w:color w:val="231F20"/>
              </w:rPr>
              <w:t>(3)</w:t>
            </w:r>
          </w:p>
        </w:tc>
        <w:tc>
          <w:tcPr>
            <w:tcW w:w="2420" w:type="dxa"/>
            <w:vAlign w:val="bottom"/>
            <w:shd w:val="clear" w:color="auto" w:fill="D0EBF2"/>
          </w:tcPr>
          <w:p>
            <w:pPr>
              <w:ind w:left="60"/>
              <w:spacing w:after="0" w:line="159" w:lineRule="exact"/>
              <w:rPr>
                <w:sz w:val="20"/>
                <w:szCs w:val="20"/>
                <w:color w:val="auto"/>
              </w:rPr>
            </w:pPr>
            <w:r>
              <w:rPr>
                <w:rFonts w:ascii="Times New Roman" w:cs="Times New Roman" w:eastAsia="Times New Roman" w:hAnsi="Times New Roman"/>
                <w:sz w:val="15"/>
                <w:szCs w:val="15"/>
                <w:color w:val="231F20"/>
              </w:rPr>
              <w:t>First-lien loan ($65,000 par, due</w:t>
            </w:r>
          </w:p>
        </w:tc>
        <w:tc>
          <w:tcPr>
            <w:tcW w:w="820" w:type="dxa"/>
            <w:vAlign w:val="bottom"/>
            <w:shd w:val="clear" w:color="auto" w:fill="D0EBF2"/>
          </w:tcPr>
          <w:p>
            <w:pPr>
              <w:jc w:val="right"/>
              <w:spacing w:after="0" w:line="159" w:lineRule="exact"/>
              <w:rPr>
                <w:sz w:val="20"/>
                <w:szCs w:val="20"/>
                <w:color w:val="auto"/>
              </w:rPr>
            </w:pPr>
            <w:r>
              <w:rPr>
                <w:rFonts w:ascii="Times New Roman" w:cs="Times New Roman" w:eastAsia="Times New Roman" w:hAnsi="Times New Roman"/>
                <w:sz w:val="15"/>
                <w:szCs w:val="15"/>
                <w:color w:val="231F20"/>
              </w:rPr>
              <w:t>12/3/2021</w:t>
            </w:r>
          </w:p>
        </w:tc>
        <w:tc>
          <w:tcPr>
            <w:tcW w:w="1040" w:type="dxa"/>
            <w:vAlign w:val="bottom"/>
            <w:shd w:val="clear" w:color="auto" w:fill="D0EBF2"/>
          </w:tcPr>
          <w:p>
            <w:pPr>
              <w:jc w:val="right"/>
              <w:ind w:right="84"/>
              <w:spacing w:after="0" w:line="159" w:lineRule="exact"/>
              <w:rPr>
                <w:sz w:val="20"/>
                <w:szCs w:val="20"/>
                <w:color w:val="auto"/>
              </w:rPr>
            </w:pPr>
            <w:r>
              <w:rPr>
                <w:rFonts w:ascii="Times New Roman" w:cs="Times New Roman" w:eastAsia="Times New Roman" w:hAnsi="Times New Roman"/>
                <w:sz w:val="15"/>
                <w:szCs w:val="15"/>
                <w:color w:val="231F20"/>
              </w:rPr>
              <w:t>SOFR +</w:t>
            </w:r>
          </w:p>
        </w:tc>
        <w:tc>
          <w:tcPr>
            <w:tcW w:w="1060" w:type="dxa"/>
            <w:vAlign w:val="bottom"/>
            <w:shd w:val="clear" w:color="auto" w:fill="D0EBF2"/>
          </w:tcPr>
          <w:p>
            <w:pPr>
              <w:jc w:val="right"/>
              <w:ind w:right="24"/>
              <w:spacing w:after="0" w:line="159" w:lineRule="exact"/>
              <w:rPr>
                <w:sz w:val="20"/>
                <w:szCs w:val="20"/>
                <w:color w:val="auto"/>
              </w:rPr>
            </w:pPr>
            <w:r>
              <w:rPr>
                <w:rFonts w:ascii="Times New Roman" w:cs="Times New Roman" w:eastAsia="Times New Roman" w:hAnsi="Times New Roman"/>
                <w:sz w:val="15"/>
                <w:szCs w:val="15"/>
                <w:color w:val="231F20"/>
              </w:rPr>
              <w:t>13.11%</w:t>
            </w:r>
          </w:p>
        </w:tc>
        <w:tc>
          <w:tcPr>
            <w:tcW w:w="100" w:type="dxa"/>
            <w:vAlign w:val="bottom"/>
            <w:shd w:val="clear" w:color="auto" w:fill="D0EBF2"/>
          </w:tcPr>
          <w:p>
            <w:pPr>
              <w:spacing w:after="0"/>
              <w:rPr>
                <w:sz w:val="13"/>
                <w:szCs w:val="13"/>
                <w:color w:val="auto"/>
              </w:rPr>
            </w:pPr>
          </w:p>
        </w:tc>
        <w:tc>
          <w:tcPr>
            <w:tcW w:w="900" w:type="dxa"/>
            <w:vAlign w:val="bottom"/>
            <w:shd w:val="clear" w:color="auto" w:fill="D0EBF2"/>
          </w:tcPr>
          <w:p>
            <w:pPr>
              <w:jc w:val="right"/>
              <w:spacing w:after="0" w:line="159" w:lineRule="exact"/>
              <w:rPr>
                <w:sz w:val="20"/>
                <w:szCs w:val="20"/>
                <w:color w:val="auto"/>
              </w:rPr>
            </w:pPr>
            <w:r>
              <w:rPr>
                <w:rFonts w:ascii="Times New Roman" w:cs="Times New Roman" w:eastAsia="Times New Roman" w:hAnsi="Times New Roman"/>
                <w:sz w:val="15"/>
                <w:szCs w:val="15"/>
                <w:color w:val="231F20"/>
              </w:rPr>
              <w:t>64,372</w:t>
            </w:r>
          </w:p>
        </w:tc>
        <w:tc>
          <w:tcPr>
            <w:tcW w:w="1140" w:type="dxa"/>
            <w:vAlign w:val="bottom"/>
            <w:gridSpan w:val="3"/>
            <w:shd w:val="clear" w:color="auto" w:fill="D0EBF2"/>
          </w:tcPr>
          <w:p>
            <w:pPr>
              <w:jc w:val="right"/>
              <w:spacing w:after="0" w:line="159" w:lineRule="exact"/>
              <w:rPr>
                <w:sz w:val="20"/>
                <w:szCs w:val="20"/>
                <w:color w:val="auto"/>
              </w:rPr>
            </w:pPr>
            <w:r>
              <w:rPr>
                <w:rFonts w:ascii="Times New Roman" w:cs="Times New Roman" w:eastAsia="Times New Roman" w:hAnsi="Times New Roman"/>
                <w:sz w:val="15"/>
                <w:szCs w:val="15"/>
                <w:color w:val="231F20"/>
              </w:rPr>
              <w:t>66,980</w:t>
            </w:r>
          </w:p>
        </w:tc>
        <w:tc>
          <w:tcPr>
            <w:tcW w:w="1340" w:type="dxa"/>
            <w:vAlign w:val="bottom"/>
            <w:gridSpan w:val="3"/>
            <w:shd w:val="clear" w:color="auto" w:fill="D0EBF2"/>
          </w:tcPr>
          <w:p>
            <w:pPr>
              <w:jc w:val="right"/>
              <w:ind w:right="120"/>
              <w:spacing w:after="0" w:line="159" w:lineRule="exact"/>
              <w:rPr>
                <w:sz w:val="20"/>
                <w:szCs w:val="20"/>
                <w:color w:val="auto"/>
              </w:rPr>
            </w:pPr>
            <w:r>
              <w:rPr>
                <w:rFonts w:ascii="Times New Roman" w:cs="Times New Roman" w:eastAsia="Times New Roman" w:hAnsi="Times New Roman"/>
                <w:sz w:val="15"/>
                <w:szCs w:val="15"/>
                <w:color w:val="231F20"/>
              </w:rPr>
              <w:t>4.5%</w:t>
            </w:r>
          </w:p>
        </w:tc>
        <w:tc>
          <w:tcPr>
            <w:tcW w:w="0" w:type="dxa"/>
            <w:vAlign w:val="bottom"/>
          </w:tcPr>
          <w:p>
            <w:pPr>
              <w:spacing w:after="0"/>
              <w:rPr>
                <w:sz w:val="1"/>
                <w:szCs w:val="1"/>
                <w:color w:val="auto"/>
              </w:rPr>
            </w:pPr>
          </w:p>
        </w:tc>
      </w:tr>
      <w:tr>
        <w:trPr>
          <w:trHeight w:val="189"/>
        </w:trPr>
        <w:tc>
          <w:tcPr>
            <w:tcW w:w="1460" w:type="dxa"/>
            <w:vAlign w:val="bottom"/>
            <w:tcBorders>
              <w:bottom w:val="single" w:sz="8" w:color="D0EBF2"/>
            </w:tcBorders>
            <w:shd w:val="clear" w:color="auto" w:fill="D0EBF2"/>
          </w:tcPr>
          <w:p>
            <w:pPr>
              <w:spacing w:after="0"/>
              <w:rPr>
                <w:sz w:val="16"/>
                <w:szCs w:val="16"/>
                <w:color w:val="auto"/>
              </w:rPr>
            </w:pPr>
          </w:p>
        </w:tc>
        <w:tc>
          <w:tcPr>
            <w:tcW w:w="2420" w:type="dxa"/>
            <w:vAlign w:val="bottom"/>
            <w:tcBorders>
              <w:bottom w:val="single" w:sz="8" w:color="D0EBF2"/>
            </w:tcBorders>
            <w:shd w:val="clear" w:color="auto" w:fill="D0EBF2"/>
          </w:tcPr>
          <w:p>
            <w:pPr>
              <w:ind w:left="60"/>
              <w:spacing w:after="0"/>
              <w:rPr>
                <w:sz w:val="20"/>
                <w:szCs w:val="20"/>
                <w:color w:val="auto"/>
              </w:rPr>
            </w:pPr>
            <w:r>
              <w:rPr>
                <w:rFonts w:ascii="Times New Roman" w:cs="Times New Roman" w:eastAsia="Times New Roman" w:hAnsi="Times New Roman"/>
                <w:sz w:val="15"/>
                <w:szCs w:val="15"/>
                <w:color w:val="231F20"/>
              </w:rPr>
              <w:t>12/2025)</w:t>
            </w:r>
          </w:p>
        </w:tc>
        <w:tc>
          <w:tcPr>
            <w:tcW w:w="820" w:type="dxa"/>
            <w:vAlign w:val="bottom"/>
            <w:tcBorders>
              <w:bottom w:val="single" w:sz="8" w:color="D0EBF2"/>
            </w:tcBorders>
            <w:shd w:val="clear" w:color="auto" w:fill="D0EBF2"/>
          </w:tcPr>
          <w:p>
            <w:pPr>
              <w:spacing w:after="0"/>
              <w:rPr>
                <w:sz w:val="16"/>
                <w:szCs w:val="16"/>
                <w:color w:val="auto"/>
              </w:rPr>
            </w:pPr>
          </w:p>
        </w:tc>
        <w:tc>
          <w:tcPr>
            <w:tcW w:w="1040" w:type="dxa"/>
            <w:vAlign w:val="bottom"/>
            <w:tcBorders>
              <w:bottom w:val="single" w:sz="8" w:color="D0EBF2"/>
            </w:tcBorders>
            <w:shd w:val="clear" w:color="auto" w:fill="D0EBF2"/>
          </w:tcPr>
          <w:p>
            <w:pPr>
              <w:jc w:val="right"/>
              <w:ind w:right="84"/>
              <w:spacing w:after="0"/>
              <w:rPr>
                <w:sz w:val="20"/>
                <w:szCs w:val="20"/>
                <w:color w:val="auto"/>
              </w:rPr>
            </w:pPr>
            <w:r>
              <w:rPr>
                <w:rFonts w:ascii="Times New Roman" w:cs="Times New Roman" w:eastAsia="Times New Roman" w:hAnsi="Times New Roman"/>
                <w:sz w:val="15"/>
                <w:szCs w:val="15"/>
                <w:color w:val="231F20"/>
              </w:rPr>
              <w:t>7.76%</w:t>
            </w:r>
          </w:p>
        </w:tc>
        <w:tc>
          <w:tcPr>
            <w:tcW w:w="1060" w:type="dxa"/>
            <w:vAlign w:val="bottom"/>
            <w:tcBorders>
              <w:bottom w:val="single" w:sz="8" w:color="D0EBF2"/>
            </w:tcBorders>
            <w:shd w:val="clear" w:color="auto" w:fill="D0EBF2"/>
          </w:tcPr>
          <w:p>
            <w:pPr>
              <w:spacing w:after="0"/>
              <w:rPr>
                <w:sz w:val="16"/>
                <w:szCs w:val="16"/>
                <w:color w:val="auto"/>
              </w:rPr>
            </w:pPr>
          </w:p>
        </w:tc>
        <w:tc>
          <w:tcPr>
            <w:tcW w:w="100" w:type="dxa"/>
            <w:vAlign w:val="bottom"/>
            <w:tcBorders>
              <w:bottom w:val="single" w:sz="8" w:color="231F20"/>
            </w:tcBorders>
            <w:shd w:val="clear" w:color="auto" w:fill="D0EBF2"/>
          </w:tcPr>
          <w:p>
            <w:pPr>
              <w:spacing w:after="0"/>
              <w:rPr>
                <w:sz w:val="16"/>
                <w:szCs w:val="16"/>
                <w:color w:val="auto"/>
              </w:rPr>
            </w:pPr>
          </w:p>
        </w:tc>
        <w:tc>
          <w:tcPr>
            <w:tcW w:w="900" w:type="dxa"/>
            <w:vAlign w:val="bottom"/>
            <w:tcBorders>
              <w:bottom w:val="single" w:sz="8" w:color="231F20"/>
            </w:tcBorders>
            <w:shd w:val="clear" w:color="auto" w:fill="D0EBF2"/>
          </w:tcPr>
          <w:p>
            <w:pPr>
              <w:spacing w:after="0"/>
              <w:rPr>
                <w:sz w:val="16"/>
                <w:szCs w:val="16"/>
                <w:color w:val="auto"/>
              </w:rPr>
            </w:pPr>
          </w:p>
        </w:tc>
        <w:tc>
          <w:tcPr>
            <w:tcW w:w="180" w:type="dxa"/>
            <w:vAlign w:val="bottom"/>
            <w:tcBorders>
              <w:bottom w:val="single" w:sz="8" w:color="D0EBF2"/>
            </w:tcBorders>
            <w:shd w:val="clear" w:color="auto" w:fill="D0EBF2"/>
          </w:tcPr>
          <w:p>
            <w:pPr>
              <w:spacing w:after="0"/>
              <w:rPr>
                <w:sz w:val="16"/>
                <w:szCs w:val="16"/>
                <w:color w:val="auto"/>
              </w:rPr>
            </w:pPr>
          </w:p>
        </w:tc>
        <w:tc>
          <w:tcPr>
            <w:tcW w:w="100" w:type="dxa"/>
            <w:vAlign w:val="bottom"/>
            <w:tcBorders>
              <w:bottom w:val="single" w:sz="8" w:color="231F20"/>
            </w:tcBorders>
            <w:shd w:val="clear" w:color="auto" w:fill="D0EBF2"/>
          </w:tcPr>
          <w:p>
            <w:pPr>
              <w:spacing w:after="0"/>
              <w:rPr>
                <w:sz w:val="16"/>
                <w:szCs w:val="16"/>
                <w:color w:val="auto"/>
              </w:rPr>
            </w:pPr>
          </w:p>
        </w:tc>
        <w:tc>
          <w:tcPr>
            <w:tcW w:w="860" w:type="dxa"/>
            <w:vAlign w:val="bottom"/>
            <w:tcBorders>
              <w:bottom w:val="single" w:sz="8" w:color="231F20"/>
            </w:tcBorders>
            <w:shd w:val="clear" w:color="auto" w:fill="D0EBF2"/>
          </w:tcPr>
          <w:p>
            <w:pPr>
              <w:spacing w:after="0"/>
              <w:rPr>
                <w:sz w:val="16"/>
                <w:szCs w:val="16"/>
                <w:color w:val="auto"/>
              </w:rPr>
            </w:pPr>
          </w:p>
        </w:tc>
        <w:tc>
          <w:tcPr>
            <w:tcW w:w="200" w:type="dxa"/>
            <w:vAlign w:val="bottom"/>
            <w:tcBorders>
              <w:bottom w:val="single" w:sz="8" w:color="D0EBF2"/>
            </w:tcBorders>
            <w:shd w:val="clear" w:color="auto" w:fill="D0EBF2"/>
          </w:tcPr>
          <w:p>
            <w:pPr>
              <w:spacing w:after="0"/>
              <w:rPr>
                <w:sz w:val="16"/>
                <w:szCs w:val="16"/>
                <w:color w:val="auto"/>
              </w:rPr>
            </w:pPr>
          </w:p>
        </w:tc>
        <w:tc>
          <w:tcPr>
            <w:tcW w:w="900" w:type="dxa"/>
            <w:vAlign w:val="bottom"/>
            <w:tcBorders>
              <w:bottom w:val="single" w:sz="8" w:color="231F20"/>
            </w:tcBorders>
            <w:shd w:val="clear" w:color="auto" w:fill="D0EBF2"/>
          </w:tcPr>
          <w:p>
            <w:pPr>
              <w:spacing w:after="0"/>
              <w:rPr>
                <w:sz w:val="16"/>
                <w:szCs w:val="16"/>
                <w:color w:val="auto"/>
              </w:rPr>
            </w:pPr>
          </w:p>
        </w:tc>
        <w:tc>
          <w:tcPr>
            <w:tcW w:w="240" w:type="dxa"/>
            <w:vAlign w:val="bottom"/>
            <w:tcBorders>
              <w:bottom w:val="single" w:sz="8" w:color="D0EBF2"/>
            </w:tcBorders>
            <w:shd w:val="clear" w:color="auto" w:fill="D0EBF2"/>
          </w:tcPr>
          <w:p>
            <w:pPr>
              <w:spacing w:after="0"/>
              <w:rPr>
                <w:sz w:val="16"/>
                <w:szCs w:val="16"/>
                <w:color w:val="auto"/>
              </w:rPr>
            </w:pPr>
          </w:p>
        </w:tc>
        <w:tc>
          <w:tcPr>
            <w:tcW w:w="0" w:type="dxa"/>
            <w:vAlign w:val="bottom"/>
          </w:tcPr>
          <w:p>
            <w:pPr>
              <w:spacing w:after="0"/>
              <w:rPr>
                <w:sz w:val="1"/>
                <w:szCs w:val="1"/>
                <w:color w:val="auto"/>
              </w:rPr>
            </w:pPr>
          </w:p>
        </w:tc>
      </w:tr>
      <w:tr>
        <w:trPr>
          <w:trHeight w:val="163"/>
        </w:trPr>
        <w:tc>
          <w:tcPr>
            <w:tcW w:w="1460" w:type="dxa"/>
            <w:vAlign w:val="bottom"/>
            <w:shd w:val="clear" w:color="auto" w:fill="FDFDFC"/>
          </w:tcPr>
          <w:p>
            <w:pPr>
              <w:spacing w:after="0"/>
              <w:rPr>
                <w:sz w:val="14"/>
                <w:szCs w:val="14"/>
                <w:color w:val="auto"/>
              </w:rPr>
            </w:pPr>
          </w:p>
        </w:tc>
        <w:tc>
          <w:tcPr>
            <w:tcW w:w="2420" w:type="dxa"/>
            <w:vAlign w:val="bottom"/>
            <w:shd w:val="clear" w:color="auto" w:fill="FDFDFC"/>
          </w:tcPr>
          <w:p>
            <w:pPr>
              <w:spacing w:after="0"/>
              <w:rPr>
                <w:sz w:val="14"/>
                <w:szCs w:val="14"/>
                <w:color w:val="auto"/>
              </w:rPr>
            </w:pPr>
          </w:p>
        </w:tc>
        <w:tc>
          <w:tcPr>
            <w:tcW w:w="820" w:type="dxa"/>
            <w:vAlign w:val="bottom"/>
            <w:shd w:val="clear" w:color="auto" w:fill="FDFDFC"/>
          </w:tcPr>
          <w:p>
            <w:pPr>
              <w:spacing w:after="0"/>
              <w:rPr>
                <w:sz w:val="14"/>
                <w:szCs w:val="14"/>
                <w:color w:val="auto"/>
              </w:rPr>
            </w:pPr>
          </w:p>
        </w:tc>
        <w:tc>
          <w:tcPr>
            <w:tcW w:w="1040" w:type="dxa"/>
            <w:vAlign w:val="bottom"/>
            <w:shd w:val="clear" w:color="auto" w:fill="FDFDFC"/>
          </w:tcPr>
          <w:p>
            <w:pPr>
              <w:spacing w:after="0"/>
              <w:rPr>
                <w:sz w:val="14"/>
                <w:szCs w:val="14"/>
                <w:color w:val="auto"/>
              </w:rPr>
            </w:pPr>
          </w:p>
        </w:tc>
        <w:tc>
          <w:tcPr>
            <w:tcW w:w="1060" w:type="dxa"/>
            <w:vAlign w:val="bottom"/>
            <w:shd w:val="clear" w:color="auto" w:fill="FDFDFC"/>
          </w:tcPr>
          <w:p>
            <w:pPr>
              <w:spacing w:after="0"/>
              <w:rPr>
                <w:sz w:val="14"/>
                <w:szCs w:val="14"/>
                <w:color w:val="auto"/>
              </w:rPr>
            </w:pPr>
          </w:p>
        </w:tc>
        <w:tc>
          <w:tcPr>
            <w:tcW w:w="100" w:type="dxa"/>
            <w:vAlign w:val="bottom"/>
            <w:shd w:val="clear" w:color="auto" w:fill="FDFDFC"/>
          </w:tcPr>
          <w:p>
            <w:pPr>
              <w:spacing w:after="0"/>
              <w:rPr>
                <w:sz w:val="14"/>
                <w:szCs w:val="14"/>
                <w:color w:val="auto"/>
              </w:rPr>
            </w:pPr>
          </w:p>
        </w:tc>
        <w:tc>
          <w:tcPr>
            <w:tcW w:w="900" w:type="dxa"/>
            <w:vAlign w:val="bottom"/>
            <w:shd w:val="clear" w:color="auto" w:fill="FDFDFC"/>
          </w:tcPr>
          <w:p>
            <w:pPr>
              <w:jc w:val="right"/>
              <w:spacing w:after="0" w:line="164" w:lineRule="exact"/>
              <w:rPr>
                <w:sz w:val="20"/>
                <w:szCs w:val="20"/>
                <w:color w:val="auto"/>
              </w:rPr>
            </w:pPr>
            <w:r>
              <w:rPr>
                <w:rFonts w:ascii="Times New Roman" w:cs="Times New Roman" w:eastAsia="Times New Roman" w:hAnsi="Times New Roman"/>
                <w:sz w:val="15"/>
                <w:szCs w:val="15"/>
                <w:color w:val="231F20"/>
              </w:rPr>
              <w:t>123,493</w:t>
            </w:r>
          </w:p>
        </w:tc>
        <w:tc>
          <w:tcPr>
            <w:tcW w:w="180" w:type="dxa"/>
            <w:vAlign w:val="bottom"/>
            <w:shd w:val="clear" w:color="auto" w:fill="FDFDFC"/>
          </w:tcPr>
          <w:p>
            <w:pPr>
              <w:spacing w:after="0"/>
              <w:rPr>
                <w:sz w:val="14"/>
                <w:szCs w:val="14"/>
                <w:color w:val="auto"/>
              </w:rPr>
            </w:pPr>
          </w:p>
        </w:tc>
        <w:tc>
          <w:tcPr>
            <w:tcW w:w="960" w:type="dxa"/>
            <w:vAlign w:val="bottom"/>
            <w:gridSpan w:val="2"/>
            <w:shd w:val="clear" w:color="auto" w:fill="FDFDFC"/>
          </w:tcPr>
          <w:p>
            <w:pPr>
              <w:jc w:val="right"/>
              <w:spacing w:after="0" w:line="164" w:lineRule="exact"/>
              <w:rPr>
                <w:sz w:val="20"/>
                <w:szCs w:val="20"/>
                <w:color w:val="auto"/>
              </w:rPr>
            </w:pPr>
            <w:r>
              <w:rPr>
                <w:rFonts w:ascii="Times New Roman" w:cs="Times New Roman" w:eastAsia="Times New Roman" w:hAnsi="Times New Roman"/>
                <w:sz w:val="15"/>
                <w:szCs w:val="15"/>
                <w:color w:val="231F20"/>
              </w:rPr>
              <w:t>127,289</w:t>
            </w:r>
          </w:p>
        </w:tc>
        <w:tc>
          <w:tcPr>
            <w:tcW w:w="200" w:type="dxa"/>
            <w:vAlign w:val="bottom"/>
            <w:shd w:val="clear" w:color="auto" w:fill="FDFDFC"/>
          </w:tcPr>
          <w:p>
            <w:pPr>
              <w:spacing w:after="0"/>
              <w:rPr>
                <w:sz w:val="14"/>
                <w:szCs w:val="14"/>
                <w:color w:val="auto"/>
              </w:rPr>
            </w:pPr>
          </w:p>
        </w:tc>
        <w:tc>
          <w:tcPr>
            <w:tcW w:w="1140" w:type="dxa"/>
            <w:vAlign w:val="bottom"/>
            <w:gridSpan w:val="2"/>
          </w:tcPr>
          <w:p>
            <w:pPr>
              <w:jc w:val="right"/>
              <w:ind w:right="120"/>
              <w:spacing w:after="0" w:line="164" w:lineRule="exact"/>
              <w:rPr>
                <w:sz w:val="20"/>
                <w:szCs w:val="20"/>
                <w:color w:val="auto"/>
              </w:rPr>
            </w:pPr>
            <w:r>
              <w:rPr>
                <w:rFonts w:ascii="Times New Roman" w:cs="Times New Roman" w:eastAsia="Times New Roman" w:hAnsi="Times New Roman"/>
                <w:sz w:val="15"/>
                <w:szCs w:val="15"/>
                <w:color w:val="231F20"/>
              </w:rPr>
              <w:t>8.5%</w:t>
            </w:r>
          </w:p>
        </w:tc>
        <w:tc>
          <w:tcPr>
            <w:tcW w:w="0" w:type="dxa"/>
            <w:vAlign w:val="bottom"/>
          </w:tcPr>
          <w:p>
            <w:pPr>
              <w:spacing w:after="0"/>
              <w:rPr>
                <w:sz w:val="1"/>
                <w:szCs w:val="1"/>
                <w:color w:val="auto"/>
              </w:rPr>
            </w:pPr>
          </w:p>
        </w:tc>
      </w:tr>
      <w:tr>
        <w:trPr>
          <w:trHeight w:val="163"/>
        </w:trPr>
        <w:tc>
          <w:tcPr>
            <w:tcW w:w="1460" w:type="dxa"/>
            <w:vAlign w:val="bottom"/>
            <w:tcBorders>
              <w:top w:val="single" w:sz="8" w:color="D0EBF2"/>
            </w:tcBorders>
            <w:shd w:val="clear" w:color="auto" w:fill="D0EBF2"/>
          </w:tcPr>
          <w:p>
            <w:pPr>
              <w:spacing w:after="0" w:line="164" w:lineRule="exact"/>
              <w:rPr>
                <w:sz w:val="20"/>
                <w:szCs w:val="20"/>
                <w:color w:val="auto"/>
              </w:rPr>
            </w:pPr>
            <w:r>
              <w:rPr>
                <w:rFonts w:ascii="Times New Roman" w:cs="Times New Roman" w:eastAsia="Times New Roman" w:hAnsi="Times New Roman"/>
                <w:sz w:val="15"/>
                <w:szCs w:val="15"/>
                <w:b w:val="1"/>
                <w:bCs w:val="1"/>
                <w:color w:val="231F20"/>
              </w:rPr>
              <w:t>Other</w:t>
            </w:r>
          </w:p>
        </w:tc>
        <w:tc>
          <w:tcPr>
            <w:tcW w:w="2420" w:type="dxa"/>
            <w:vAlign w:val="bottom"/>
            <w:tcBorders>
              <w:top w:val="single" w:sz="8" w:color="D0EBF2"/>
            </w:tcBorders>
            <w:shd w:val="clear" w:color="auto" w:fill="D0EBF2"/>
          </w:tcPr>
          <w:p>
            <w:pPr>
              <w:spacing w:after="0"/>
              <w:rPr>
                <w:sz w:val="14"/>
                <w:szCs w:val="14"/>
                <w:color w:val="auto"/>
              </w:rPr>
            </w:pPr>
          </w:p>
        </w:tc>
        <w:tc>
          <w:tcPr>
            <w:tcW w:w="820" w:type="dxa"/>
            <w:vAlign w:val="bottom"/>
            <w:tcBorders>
              <w:top w:val="single" w:sz="8" w:color="D0EBF2"/>
            </w:tcBorders>
            <w:shd w:val="clear" w:color="auto" w:fill="D0EBF2"/>
          </w:tcPr>
          <w:p>
            <w:pPr>
              <w:spacing w:after="0"/>
              <w:rPr>
                <w:sz w:val="14"/>
                <w:szCs w:val="14"/>
                <w:color w:val="auto"/>
              </w:rPr>
            </w:pPr>
          </w:p>
        </w:tc>
        <w:tc>
          <w:tcPr>
            <w:tcW w:w="1040" w:type="dxa"/>
            <w:vAlign w:val="bottom"/>
            <w:tcBorders>
              <w:top w:val="single" w:sz="8" w:color="D0EBF2"/>
            </w:tcBorders>
            <w:shd w:val="clear" w:color="auto" w:fill="D0EBF2"/>
          </w:tcPr>
          <w:p>
            <w:pPr>
              <w:spacing w:after="0"/>
              <w:rPr>
                <w:sz w:val="14"/>
                <w:szCs w:val="14"/>
                <w:color w:val="auto"/>
              </w:rPr>
            </w:pPr>
          </w:p>
        </w:tc>
        <w:tc>
          <w:tcPr>
            <w:tcW w:w="1060" w:type="dxa"/>
            <w:vAlign w:val="bottom"/>
            <w:tcBorders>
              <w:top w:val="single" w:sz="8" w:color="D0EBF2"/>
            </w:tcBorders>
            <w:shd w:val="clear" w:color="auto" w:fill="D0EBF2"/>
          </w:tcPr>
          <w:p>
            <w:pPr>
              <w:spacing w:after="0"/>
              <w:rPr>
                <w:sz w:val="14"/>
                <w:szCs w:val="14"/>
                <w:color w:val="auto"/>
              </w:rPr>
            </w:pPr>
          </w:p>
        </w:tc>
        <w:tc>
          <w:tcPr>
            <w:tcW w:w="100" w:type="dxa"/>
            <w:vAlign w:val="bottom"/>
            <w:tcBorders>
              <w:top w:val="single" w:sz="8" w:color="231F20"/>
            </w:tcBorders>
            <w:shd w:val="clear" w:color="auto" w:fill="D0EBF2"/>
          </w:tcPr>
          <w:p>
            <w:pPr>
              <w:spacing w:after="0"/>
              <w:rPr>
                <w:sz w:val="14"/>
                <w:szCs w:val="14"/>
                <w:color w:val="auto"/>
              </w:rPr>
            </w:pPr>
          </w:p>
        </w:tc>
        <w:tc>
          <w:tcPr>
            <w:tcW w:w="900" w:type="dxa"/>
            <w:vAlign w:val="bottom"/>
            <w:tcBorders>
              <w:top w:val="single" w:sz="8" w:color="231F20"/>
            </w:tcBorders>
            <w:shd w:val="clear" w:color="auto" w:fill="D0EBF2"/>
          </w:tcPr>
          <w:p>
            <w:pPr>
              <w:spacing w:after="0"/>
              <w:rPr>
                <w:sz w:val="14"/>
                <w:szCs w:val="14"/>
                <w:color w:val="auto"/>
              </w:rPr>
            </w:pPr>
          </w:p>
        </w:tc>
        <w:tc>
          <w:tcPr>
            <w:tcW w:w="180" w:type="dxa"/>
            <w:vAlign w:val="bottom"/>
            <w:tcBorders>
              <w:top w:val="single" w:sz="8" w:color="D0EBF2"/>
            </w:tcBorders>
            <w:shd w:val="clear" w:color="auto" w:fill="D0EBF2"/>
          </w:tcPr>
          <w:p>
            <w:pPr>
              <w:spacing w:after="0"/>
              <w:rPr>
                <w:sz w:val="14"/>
                <w:szCs w:val="14"/>
                <w:color w:val="auto"/>
              </w:rPr>
            </w:pPr>
          </w:p>
        </w:tc>
        <w:tc>
          <w:tcPr>
            <w:tcW w:w="100" w:type="dxa"/>
            <w:vAlign w:val="bottom"/>
            <w:tcBorders>
              <w:top w:val="single" w:sz="8" w:color="231F20"/>
            </w:tcBorders>
            <w:shd w:val="clear" w:color="auto" w:fill="D0EBF2"/>
          </w:tcPr>
          <w:p>
            <w:pPr>
              <w:spacing w:after="0"/>
              <w:rPr>
                <w:sz w:val="14"/>
                <w:szCs w:val="14"/>
                <w:color w:val="auto"/>
              </w:rPr>
            </w:pPr>
          </w:p>
        </w:tc>
        <w:tc>
          <w:tcPr>
            <w:tcW w:w="860" w:type="dxa"/>
            <w:vAlign w:val="bottom"/>
            <w:tcBorders>
              <w:top w:val="single" w:sz="8" w:color="231F20"/>
            </w:tcBorders>
            <w:shd w:val="clear" w:color="auto" w:fill="D0EBF2"/>
          </w:tcPr>
          <w:p>
            <w:pPr>
              <w:spacing w:after="0"/>
              <w:rPr>
                <w:sz w:val="14"/>
                <w:szCs w:val="14"/>
                <w:color w:val="auto"/>
              </w:rPr>
            </w:pPr>
          </w:p>
        </w:tc>
        <w:tc>
          <w:tcPr>
            <w:tcW w:w="200" w:type="dxa"/>
            <w:vAlign w:val="bottom"/>
            <w:tcBorders>
              <w:top w:val="single" w:sz="8" w:color="D0EBF2"/>
            </w:tcBorders>
            <w:shd w:val="clear" w:color="auto" w:fill="D0EBF2"/>
          </w:tcPr>
          <w:p>
            <w:pPr>
              <w:spacing w:after="0"/>
              <w:rPr>
                <w:sz w:val="14"/>
                <w:szCs w:val="14"/>
                <w:color w:val="auto"/>
              </w:rPr>
            </w:pPr>
          </w:p>
        </w:tc>
        <w:tc>
          <w:tcPr>
            <w:tcW w:w="900" w:type="dxa"/>
            <w:vAlign w:val="bottom"/>
            <w:tcBorders>
              <w:top w:val="single" w:sz="8" w:color="231F20"/>
            </w:tcBorders>
            <w:shd w:val="clear" w:color="auto" w:fill="D0EBF2"/>
          </w:tcPr>
          <w:p>
            <w:pPr>
              <w:spacing w:after="0"/>
              <w:rPr>
                <w:sz w:val="14"/>
                <w:szCs w:val="14"/>
                <w:color w:val="auto"/>
              </w:rPr>
            </w:pPr>
          </w:p>
        </w:tc>
        <w:tc>
          <w:tcPr>
            <w:tcW w:w="240" w:type="dxa"/>
            <w:vAlign w:val="bottom"/>
            <w:tcBorders>
              <w:top w:val="single" w:sz="8" w:color="D0EBF2"/>
            </w:tcBorders>
            <w:shd w:val="clear" w:color="auto" w:fill="D0EBF2"/>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1460" w:type="dxa"/>
            <w:vAlign w:val="bottom"/>
            <w:shd w:val="clear" w:color="auto" w:fill="FDFDFC"/>
          </w:tcPr>
          <w:p>
            <w:pPr>
              <w:spacing w:after="0" w:line="159" w:lineRule="exact"/>
              <w:rPr>
                <w:sz w:val="20"/>
                <w:szCs w:val="20"/>
                <w:color w:val="auto"/>
              </w:rPr>
            </w:pPr>
            <w:r>
              <w:rPr>
                <w:rFonts w:ascii="Times New Roman" w:cs="Times New Roman" w:eastAsia="Times New Roman" w:hAnsi="Times New Roman"/>
                <w:sz w:val="15"/>
                <w:szCs w:val="15"/>
                <w:color w:val="231F20"/>
              </w:rPr>
              <w:t>Omnigo Software,</w:t>
            </w:r>
          </w:p>
        </w:tc>
        <w:tc>
          <w:tcPr>
            <w:tcW w:w="2420" w:type="dxa"/>
            <w:vAlign w:val="bottom"/>
            <w:shd w:val="clear" w:color="auto" w:fill="FDFDFC"/>
          </w:tcPr>
          <w:p>
            <w:pPr>
              <w:ind w:left="60"/>
              <w:spacing w:after="0" w:line="159" w:lineRule="exact"/>
              <w:rPr>
                <w:sz w:val="20"/>
                <w:szCs w:val="20"/>
                <w:color w:val="auto"/>
              </w:rPr>
            </w:pPr>
            <w:r>
              <w:rPr>
                <w:rFonts w:ascii="Times New Roman" w:cs="Times New Roman" w:eastAsia="Times New Roman" w:hAnsi="Times New Roman"/>
                <w:sz w:val="15"/>
                <w:szCs w:val="15"/>
                <w:color w:val="231F20"/>
              </w:rPr>
              <w:t>First-lien loan ($39,943 par, due</w:t>
            </w:r>
          </w:p>
        </w:tc>
        <w:tc>
          <w:tcPr>
            <w:tcW w:w="820" w:type="dxa"/>
            <w:vAlign w:val="bottom"/>
            <w:shd w:val="clear" w:color="auto" w:fill="FDFDFC"/>
          </w:tcPr>
          <w:p>
            <w:pPr>
              <w:jc w:val="right"/>
              <w:spacing w:after="0" w:line="159" w:lineRule="exact"/>
              <w:rPr>
                <w:sz w:val="20"/>
                <w:szCs w:val="20"/>
                <w:color w:val="auto"/>
              </w:rPr>
            </w:pPr>
            <w:r>
              <w:rPr>
                <w:rFonts w:ascii="Times New Roman" w:cs="Times New Roman" w:eastAsia="Times New Roman" w:hAnsi="Times New Roman"/>
                <w:sz w:val="15"/>
                <w:szCs w:val="15"/>
                <w:color w:val="231F20"/>
              </w:rPr>
              <w:t>3/31/2021</w:t>
            </w:r>
          </w:p>
        </w:tc>
        <w:tc>
          <w:tcPr>
            <w:tcW w:w="1040" w:type="dxa"/>
            <w:vAlign w:val="bottom"/>
            <w:shd w:val="clear" w:color="auto" w:fill="FDFDFC"/>
          </w:tcPr>
          <w:p>
            <w:pPr>
              <w:jc w:val="right"/>
              <w:ind w:right="84"/>
              <w:spacing w:after="0" w:line="159" w:lineRule="exact"/>
              <w:rPr>
                <w:sz w:val="20"/>
                <w:szCs w:val="20"/>
                <w:color w:val="auto"/>
              </w:rPr>
            </w:pPr>
            <w:r>
              <w:rPr>
                <w:rFonts w:ascii="Times New Roman" w:cs="Times New Roman" w:eastAsia="Times New Roman" w:hAnsi="Times New Roman"/>
                <w:sz w:val="15"/>
                <w:szCs w:val="15"/>
                <w:color w:val="231F20"/>
              </w:rPr>
              <w:t>SOFR +</w:t>
            </w:r>
          </w:p>
        </w:tc>
        <w:tc>
          <w:tcPr>
            <w:tcW w:w="1060" w:type="dxa"/>
            <w:vAlign w:val="bottom"/>
            <w:shd w:val="clear" w:color="auto" w:fill="FDFDFC"/>
          </w:tcPr>
          <w:p>
            <w:pPr>
              <w:jc w:val="right"/>
              <w:ind w:right="24"/>
              <w:spacing w:after="0" w:line="159" w:lineRule="exact"/>
              <w:rPr>
                <w:sz w:val="20"/>
                <w:szCs w:val="20"/>
                <w:color w:val="auto"/>
              </w:rPr>
            </w:pPr>
            <w:r>
              <w:rPr>
                <w:rFonts w:ascii="Times New Roman" w:cs="Times New Roman" w:eastAsia="Times New Roman" w:hAnsi="Times New Roman"/>
                <w:sz w:val="15"/>
                <w:szCs w:val="15"/>
                <w:color w:val="231F20"/>
              </w:rPr>
              <w:t>11.96%</w:t>
            </w:r>
          </w:p>
        </w:tc>
        <w:tc>
          <w:tcPr>
            <w:tcW w:w="100" w:type="dxa"/>
            <w:vAlign w:val="bottom"/>
            <w:shd w:val="clear" w:color="auto" w:fill="FDFDFC"/>
          </w:tcPr>
          <w:p>
            <w:pPr>
              <w:spacing w:after="0"/>
              <w:rPr>
                <w:sz w:val="13"/>
                <w:szCs w:val="13"/>
                <w:color w:val="auto"/>
              </w:rPr>
            </w:pPr>
          </w:p>
        </w:tc>
        <w:tc>
          <w:tcPr>
            <w:tcW w:w="900" w:type="dxa"/>
            <w:vAlign w:val="bottom"/>
            <w:shd w:val="clear" w:color="auto" w:fill="FDFDFC"/>
          </w:tcPr>
          <w:p>
            <w:pPr>
              <w:jc w:val="right"/>
              <w:spacing w:after="0" w:line="159" w:lineRule="exact"/>
              <w:rPr>
                <w:sz w:val="20"/>
                <w:szCs w:val="20"/>
                <w:color w:val="auto"/>
              </w:rPr>
            </w:pPr>
            <w:r>
              <w:rPr>
                <w:rFonts w:ascii="Times New Roman" w:cs="Times New Roman" w:eastAsia="Times New Roman" w:hAnsi="Times New Roman"/>
                <w:sz w:val="15"/>
                <w:szCs w:val="15"/>
                <w:color w:val="231F20"/>
              </w:rPr>
              <w:t>39,440</w:t>
            </w:r>
          </w:p>
        </w:tc>
        <w:tc>
          <w:tcPr>
            <w:tcW w:w="180" w:type="dxa"/>
            <w:vAlign w:val="bottom"/>
            <w:shd w:val="clear" w:color="auto" w:fill="FDFDFC"/>
          </w:tcPr>
          <w:p>
            <w:pPr>
              <w:spacing w:after="0"/>
              <w:rPr>
                <w:sz w:val="13"/>
                <w:szCs w:val="13"/>
                <w:color w:val="auto"/>
              </w:rPr>
            </w:pPr>
          </w:p>
        </w:tc>
        <w:tc>
          <w:tcPr>
            <w:tcW w:w="960" w:type="dxa"/>
            <w:vAlign w:val="bottom"/>
            <w:gridSpan w:val="2"/>
            <w:shd w:val="clear" w:color="auto" w:fill="FDFDFC"/>
          </w:tcPr>
          <w:p>
            <w:pPr>
              <w:jc w:val="right"/>
              <w:spacing w:after="0" w:line="159" w:lineRule="exact"/>
              <w:rPr>
                <w:sz w:val="20"/>
                <w:szCs w:val="20"/>
                <w:color w:val="auto"/>
              </w:rPr>
            </w:pPr>
            <w:r>
              <w:rPr>
                <w:rFonts w:ascii="Times New Roman" w:cs="Times New Roman" w:eastAsia="Times New Roman" w:hAnsi="Times New Roman"/>
                <w:sz w:val="15"/>
                <w:szCs w:val="15"/>
                <w:color w:val="231F20"/>
              </w:rPr>
              <w:t>39,743</w:t>
            </w:r>
          </w:p>
        </w:tc>
        <w:tc>
          <w:tcPr>
            <w:tcW w:w="200" w:type="dxa"/>
            <w:vAlign w:val="bottom"/>
            <w:shd w:val="clear" w:color="auto" w:fill="FDFDFC"/>
          </w:tcPr>
          <w:p>
            <w:pPr>
              <w:spacing w:after="0"/>
              <w:rPr>
                <w:sz w:val="13"/>
                <w:szCs w:val="13"/>
                <w:color w:val="auto"/>
              </w:rPr>
            </w:pPr>
          </w:p>
        </w:tc>
        <w:tc>
          <w:tcPr>
            <w:tcW w:w="1140" w:type="dxa"/>
            <w:vAlign w:val="bottom"/>
            <w:gridSpan w:val="2"/>
            <w:shd w:val="clear" w:color="auto" w:fill="FDFDFC"/>
          </w:tcPr>
          <w:p>
            <w:pPr>
              <w:jc w:val="right"/>
              <w:ind w:right="120"/>
              <w:spacing w:after="0" w:line="159" w:lineRule="exact"/>
              <w:rPr>
                <w:sz w:val="20"/>
                <w:szCs w:val="20"/>
                <w:color w:val="auto"/>
              </w:rPr>
            </w:pPr>
            <w:r>
              <w:rPr>
                <w:rFonts w:ascii="Times New Roman" w:cs="Times New Roman" w:eastAsia="Times New Roman" w:hAnsi="Times New Roman"/>
                <w:sz w:val="15"/>
                <w:szCs w:val="15"/>
                <w:color w:val="231F20"/>
              </w:rPr>
              <w:t>2.7%</w:t>
            </w:r>
          </w:p>
        </w:tc>
        <w:tc>
          <w:tcPr>
            <w:tcW w:w="0" w:type="dxa"/>
            <w:vAlign w:val="bottom"/>
          </w:tcPr>
          <w:p>
            <w:pPr>
              <w:spacing w:after="0"/>
              <w:rPr>
                <w:sz w:val="1"/>
                <w:szCs w:val="1"/>
                <w:color w:val="auto"/>
              </w:rPr>
            </w:pPr>
          </w:p>
        </w:tc>
      </w:tr>
      <w:tr>
        <w:trPr>
          <w:trHeight w:val="189"/>
        </w:trPr>
        <w:tc>
          <w:tcPr>
            <w:tcW w:w="1460" w:type="dxa"/>
            <w:vAlign w:val="bottom"/>
            <w:shd w:val="clear" w:color="auto" w:fill="FDFDFC"/>
          </w:tcPr>
          <w:p>
            <w:pPr>
              <w:spacing w:after="0" w:line="190" w:lineRule="exact"/>
              <w:rPr>
                <w:sz w:val="20"/>
                <w:szCs w:val="20"/>
                <w:color w:val="auto"/>
              </w:rPr>
            </w:pPr>
            <w:r>
              <w:rPr>
                <w:rFonts w:ascii="Times New Roman" w:cs="Times New Roman" w:eastAsia="Times New Roman" w:hAnsi="Times New Roman"/>
                <w:sz w:val="21"/>
                <w:szCs w:val="21"/>
                <w:color w:val="231F20"/>
                <w:vertAlign w:val="subscript"/>
              </w:rPr>
              <w:t>LLC</w:t>
            </w:r>
            <w:r>
              <w:rPr>
                <w:rFonts w:ascii="Times New Roman" w:cs="Times New Roman" w:eastAsia="Times New Roman" w:hAnsi="Times New Roman"/>
                <w:sz w:val="8"/>
                <w:szCs w:val="8"/>
                <w:color w:val="231F20"/>
              </w:rPr>
              <w:t xml:space="preserve"> (3)(5)</w:t>
            </w:r>
          </w:p>
        </w:tc>
        <w:tc>
          <w:tcPr>
            <w:tcW w:w="2420" w:type="dxa"/>
            <w:vAlign w:val="bottom"/>
            <w:shd w:val="clear" w:color="auto" w:fill="FDFDFC"/>
          </w:tcPr>
          <w:p>
            <w:pPr>
              <w:ind w:left="60"/>
              <w:spacing w:after="0"/>
              <w:rPr>
                <w:sz w:val="20"/>
                <w:szCs w:val="20"/>
                <w:color w:val="auto"/>
              </w:rPr>
            </w:pPr>
            <w:r>
              <w:rPr>
                <w:rFonts w:ascii="Times New Roman" w:cs="Times New Roman" w:eastAsia="Times New Roman" w:hAnsi="Times New Roman"/>
                <w:sz w:val="15"/>
                <w:szCs w:val="15"/>
                <w:color w:val="231F20"/>
              </w:rPr>
              <w:t>3/2026)</w:t>
            </w:r>
          </w:p>
        </w:tc>
        <w:tc>
          <w:tcPr>
            <w:tcW w:w="820" w:type="dxa"/>
            <w:vAlign w:val="bottom"/>
            <w:shd w:val="clear" w:color="auto" w:fill="FDFDFC"/>
          </w:tcPr>
          <w:p>
            <w:pPr>
              <w:spacing w:after="0"/>
              <w:rPr>
                <w:sz w:val="16"/>
                <w:szCs w:val="16"/>
                <w:color w:val="auto"/>
              </w:rPr>
            </w:pPr>
          </w:p>
        </w:tc>
        <w:tc>
          <w:tcPr>
            <w:tcW w:w="1040" w:type="dxa"/>
            <w:vAlign w:val="bottom"/>
            <w:shd w:val="clear" w:color="auto" w:fill="FDFDFC"/>
          </w:tcPr>
          <w:p>
            <w:pPr>
              <w:jc w:val="right"/>
              <w:ind w:right="84"/>
              <w:spacing w:after="0"/>
              <w:rPr>
                <w:sz w:val="20"/>
                <w:szCs w:val="20"/>
                <w:color w:val="auto"/>
              </w:rPr>
            </w:pPr>
            <w:r>
              <w:rPr>
                <w:rFonts w:ascii="Times New Roman" w:cs="Times New Roman" w:eastAsia="Times New Roman" w:hAnsi="Times New Roman"/>
                <w:sz w:val="15"/>
                <w:szCs w:val="15"/>
                <w:color w:val="231F20"/>
              </w:rPr>
              <w:t>6.60%</w:t>
            </w:r>
          </w:p>
        </w:tc>
        <w:tc>
          <w:tcPr>
            <w:tcW w:w="1060" w:type="dxa"/>
            <w:vAlign w:val="bottom"/>
            <w:shd w:val="clear" w:color="auto" w:fill="FDFDFC"/>
          </w:tcPr>
          <w:p>
            <w:pPr>
              <w:spacing w:after="0"/>
              <w:rPr>
                <w:sz w:val="16"/>
                <w:szCs w:val="16"/>
                <w:color w:val="auto"/>
              </w:rPr>
            </w:pPr>
          </w:p>
        </w:tc>
        <w:tc>
          <w:tcPr>
            <w:tcW w:w="100" w:type="dxa"/>
            <w:vAlign w:val="bottom"/>
            <w:shd w:val="clear" w:color="auto" w:fill="FDFDFC"/>
          </w:tcPr>
          <w:p>
            <w:pPr>
              <w:spacing w:after="0"/>
              <w:rPr>
                <w:sz w:val="16"/>
                <w:szCs w:val="16"/>
                <w:color w:val="auto"/>
              </w:rPr>
            </w:pPr>
          </w:p>
        </w:tc>
        <w:tc>
          <w:tcPr>
            <w:tcW w:w="900" w:type="dxa"/>
            <w:vAlign w:val="bottom"/>
            <w:shd w:val="clear" w:color="auto" w:fill="FDFDFC"/>
          </w:tcPr>
          <w:p>
            <w:pPr>
              <w:spacing w:after="0"/>
              <w:rPr>
                <w:sz w:val="16"/>
                <w:szCs w:val="16"/>
                <w:color w:val="auto"/>
              </w:rPr>
            </w:pPr>
          </w:p>
        </w:tc>
        <w:tc>
          <w:tcPr>
            <w:tcW w:w="180" w:type="dxa"/>
            <w:vAlign w:val="bottom"/>
            <w:shd w:val="clear" w:color="auto" w:fill="FDFDFC"/>
          </w:tcPr>
          <w:p>
            <w:pPr>
              <w:spacing w:after="0"/>
              <w:rPr>
                <w:sz w:val="16"/>
                <w:szCs w:val="16"/>
                <w:color w:val="auto"/>
              </w:rPr>
            </w:pPr>
          </w:p>
        </w:tc>
        <w:tc>
          <w:tcPr>
            <w:tcW w:w="100" w:type="dxa"/>
            <w:vAlign w:val="bottom"/>
            <w:shd w:val="clear" w:color="auto" w:fill="FDFDFC"/>
          </w:tcPr>
          <w:p>
            <w:pPr>
              <w:spacing w:after="0"/>
              <w:rPr>
                <w:sz w:val="16"/>
                <w:szCs w:val="16"/>
                <w:color w:val="auto"/>
              </w:rPr>
            </w:pPr>
          </w:p>
        </w:tc>
        <w:tc>
          <w:tcPr>
            <w:tcW w:w="860" w:type="dxa"/>
            <w:vAlign w:val="bottom"/>
            <w:shd w:val="clear" w:color="auto" w:fill="FDFDFC"/>
          </w:tcPr>
          <w:p>
            <w:pPr>
              <w:spacing w:after="0"/>
              <w:rPr>
                <w:sz w:val="16"/>
                <w:szCs w:val="16"/>
                <w:color w:val="auto"/>
              </w:rPr>
            </w:pPr>
          </w:p>
        </w:tc>
        <w:tc>
          <w:tcPr>
            <w:tcW w:w="200" w:type="dxa"/>
            <w:vAlign w:val="bottom"/>
            <w:shd w:val="clear" w:color="auto" w:fill="FDFDFC"/>
          </w:tcPr>
          <w:p>
            <w:pPr>
              <w:spacing w:after="0"/>
              <w:rPr>
                <w:sz w:val="16"/>
                <w:szCs w:val="16"/>
                <w:color w:val="auto"/>
              </w:rPr>
            </w:pPr>
          </w:p>
        </w:tc>
        <w:tc>
          <w:tcPr>
            <w:tcW w:w="900" w:type="dxa"/>
            <w:vAlign w:val="bottom"/>
            <w:shd w:val="clear" w:color="auto" w:fill="FDFDFC"/>
          </w:tcPr>
          <w:p>
            <w:pPr>
              <w:spacing w:after="0"/>
              <w:rPr>
                <w:sz w:val="16"/>
                <w:szCs w:val="16"/>
                <w:color w:val="auto"/>
              </w:rPr>
            </w:pPr>
          </w:p>
        </w:tc>
        <w:tc>
          <w:tcPr>
            <w:tcW w:w="240" w:type="dxa"/>
            <w:vAlign w:val="bottom"/>
            <w:shd w:val="clear" w:color="auto" w:fill="FDFDFC"/>
          </w:tcPr>
          <w:p>
            <w:pPr>
              <w:spacing w:after="0"/>
              <w:rPr>
                <w:sz w:val="16"/>
                <w:szCs w:val="16"/>
                <w:color w:val="auto"/>
              </w:rPr>
            </w:pPr>
          </w:p>
        </w:tc>
        <w:tc>
          <w:tcPr>
            <w:tcW w:w="0" w:type="dxa"/>
            <w:vAlign w:val="bottom"/>
          </w:tcPr>
          <w:p>
            <w:pPr>
              <w:spacing w:after="0"/>
              <w:rPr>
                <w:sz w:val="1"/>
                <w:szCs w:val="1"/>
                <w:color w:val="auto"/>
              </w:rPr>
            </w:pPr>
          </w:p>
        </w:tc>
      </w:tr>
      <w:tr>
        <w:trPr>
          <w:trHeight w:val="156"/>
        </w:trPr>
        <w:tc>
          <w:tcPr>
            <w:tcW w:w="1460" w:type="dxa"/>
            <w:vAlign w:val="bottom"/>
            <w:shd w:val="clear" w:color="auto" w:fill="D0EBF2"/>
          </w:tcPr>
          <w:p>
            <w:pPr>
              <w:spacing w:after="0" w:line="156" w:lineRule="exact"/>
              <w:rPr>
                <w:sz w:val="20"/>
                <w:szCs w:val="20"/>
                <w:color w:val="auto"/>
              </w:rPr>
            </w:pPr>
            <w:r>
              <w:rPr>
                <w:rFonts w:ascii="Times New Roman" w:cs="Times New Roman" w:eastAsia="Times New Roman" w:hAnsi="Times New Roman"/>
                <w:sz w:val="15"/>
                <w:szCs w:val="15"/>
                <w:b w:val="1"/>
                <w:bCs w:val="1"/>
                <w:color w:val="231F20"/>
              </w:rPr>
              <w:t>Retail and Consumer</w:t>
            </w:r>
          </w:p>
        </w:tc>
        <w:tc>
          <w:tcPr>
            <w:tcW w:w="2420" w:type="dxa"/>
            <w:vAlign w:val="bottom"/>
            <w:shd w:val="clear" w:color="auto" w:fill="D0EBF2"/>
          </w:tcPr>
          <w:p>
            <w:pPr>
              <w:spacing w:after="0"/>
              <w:rPr>
                <w:sz w:val="13"/>
                <w:szCs w:val="13"/>
                <w:color w:val="auto"/>
              </w:rPr>
            </w:pPr>
          </w:p>
        </w:tc>
        <w:tc>
          <w:tcPr>
            <w:tcW w:w="820" w:type="dxa"/>
            <w:vAlign w:val="bottom"/>
            <w:shd w:val="clear" w:color="auto" w:fill="D0EBF2"/>
          </w:tcPr>
          <w:p>
            <w:pPr>
              <w:spacing w:after="0"/>
              <w:rPr>
                <w:sz w:val="13"/>
                <w:szCs w:val="13"/>
                <w:color w:val="auto"/>
              </w:rPr>
            </w:pPr>
          </w:p>
        </w:tc>
        <w:tc>
          <w:tcPr>
            <w:tcW w:w="1040" w:type="dxa"/>
            <w:vAlign w:val="bottom"/>
            <w:shd w:val="clear" w:color="auto" w:fill="D0EBF2"/>
          </w:tcPr>
          <w:p>
            <w:pPr>
              <w:spacing w:after="0"/>
              <w:rPr>
                <w:sz w:val="13"/>
                <w:szCs w:val="13"/>
                <w:color w:val="auto"/>
              </w:rPr>
            </w:pPr>
          </w:p>
        </w:tc>
        <w:tc>
          <w:tcPr>
            <w:tcW w:w="1060" w:type="dxa"/>
            <w:vAlign w:val="bottom"/>
            <w:shd w:val="clear" w:color="auto" w:fill="D0EBF2"/>
          </w:tcPr>
          <w:p>
            <w:pPr>
              <w:spacing w:after="0"/>
              <w:rPr>
                <w:sz w:val="13"/>
                <w:szCs w:val="13"/>
                <w:color w:val="auto"/>
              </w:rPr>
            </w:pPr>
          </w:p>
        </w:tc>
        <w:tc>
          <w:tcPr>
            <w:tcW w:w="100" w:type="dxa"/>
            <w:vAlign w:val="bottom"/>
            <w:shd w:val="clear" w:color="auto" w:fill="D0EBF2"/>
          </w:tcPr>
          <w:p>
            <w:pPr>
              <w:spacing w:after="0"/>
              <w:rPr>
                <w:sz w:val="13"/>
                <w:szCs w:val="13"/>
                <w:color w:val="auto"/>
              </w:rPr>
            </w:pPr>
          </w:p>
        </w:tc>
        <w:tc>
          <w:tcPr>
            <w:tcW w:w="900" w:type="dxa"/>
            <w:vAlign w:val="bottom"/>
            <w:shd w:val="clear" w:color="auto" w:fill="D0EBF2"/>
          </w:tcPr>
          <w:p>
            <w:pPr>
              <w:spacing w:after="0"/>
              <w:rPr>
                <w:sz w:val="13"/>
                <w:szCs w:val="13"/>
                <w:color w:val="auto"/>
              </w:rPr>
            </w:pPr>
          </w:p>
        </w:tc>
        <w:tc>
          <w:tcPr>
            <w:tcW w:w="180" w:type="dxa"/>
            <w:vAlign w:val="bottom"/>
            <w:shd w:val="clear" w:color="auto" w:fill="D0EBF2"/>
          </w:tcPr>
          <w:p>
            <w:pPr>
              <w:spacing w:after="0"/>
              <w:rPr>
                <w:sz w:val="13"/>
                <w:szCs w:val="13"/>
                <w:color w:val="auto"/>
              </w:rPr>
            </w:pPr>
          </w:p>
        </w:tc>
        <w:tc>
          <w:tcPr>
            <w:tcW w:w="100" w:type="dxa"/>
            <w:vAlign w:val="bottom"/>
            <w:shd w:val="clear" w:color="auto" w:fill="D0EBF2"/>
          </w:tcPr>
          <w:p>
            <w:pPr>
              <w:spacing w:after="0"/>
              <w:rPr>
                <w:sz w:val="13"/>
                <w:szCs w:val="13"/>
                <w:color w:val="auto"/>
              </w:rPr>
            </w:pPr>
          </w:p>
        </w:tc>
        <w:tc>
          <w:tcPr>
            <w:tcW w:w="860" w:type="dxa"/>
            <w:vAlign w:val="bottom"/>
            <w:shd w:val="clear" w:color="auto" w:fill="D0EBF2"/>
          </w:tcPr>
          <w:p>
            <w:pPr>
              <w:spacing w:after="0"/>
              <w:rPr>
                <w:sz w:val="13"/>
                <w:szCs w:val="13"/>
                <w:color w:val="auto"/>
              </w:rPr>
            </w:pPr>
          </w:p>
        </w:tc>
        <w:tc>
          <w:tcPr>
            <w:tcW w:w="200" w:type="dxa"/>
            <w:vAlign w:val="bottom"/>
            <w:shd w:val="clear" w:color="auto" w:fill="D0EBF2"/>
          </w:tcPr>
          <w:p>
            <w:pPr>
              <w:spacing w:after="0"/>
              <w:rPr>
                <w:sz w:val="13"/>
                <w:szCs w:val="13"/>
                <w:color w:val="auto"/>
              </w:rPr>
            </w:pPr>
          </w:p>
        </w:tc>
        <w:tc>
          <w:tcPr>
            <w:tcW w:w="900" w:type="dxa"/>
            <w:vAlign w:val="bottom"/>
            <w:shd w:val="clear" w:color="auto" w:fill="D0EBF2"/>
          </w:tcPr>
          <w:p>
            <w:pPr>
              <w:spacing w:after="0"/>
              <w:rPr>
                <w:sz w:val="13"/>
                <w:szCs w:val="13"/>
                <w:color w:val="auto"/>
              </w:rPr>
            </w:pPr>
          </w:p>
        </w:tc>
        <w:tc>
          <w:tcPr>
            <w:tcW w:w="240" w:type="dxa"/>
            <w:vAlign w:val="bottom"/>
            <w:shd w:val="clear" w:color="auto" w:fill="D0EBF2"/>
          </w:tcPr>
          <w:p>
            <w:pPr>
              <w:spacing w:after="0"/>
              <w:rPr>
                <w:sz w:val="13"/>
                <w:szCs w:val="13"/>
                <w:color w:val="auto"/>
              </w:rPr>
            </w:pPr>
          </w:p>
        </w:tc>
        <w:tc>
          <w:tcPr>
            <w:tcW w:w="0" w:type="dxa"/>
            <w:vAlign w:val="bottom"/>
          </w:tcPr>
          <w:p>
            <w:pPr>
              <w:spacing w:after="0"/>
              <w:rPr>
                <w:sz w:val="1"/>
                <w:szCs w:val="1"/>
                <w:color w:val="auto"/>
              </w:rPr>
            </w:pPr>
          </w:p>
        </w:tc>
      </w:tr>
      <w:tr>
        <w:trPr>
          <w:trHeight w:val="191"/>
        </w:trPr>
        <w:tc>
          <w:tcPr>
            <w:tcW w:w="1460" w:type="dxa"/>
            <w:vAlign w:val="bottom"/>
            <w:shd w:val="clear" w:color="auto" w:fill="D0EBF2"/>
          </w:tcPr>
          <w:p>
            <w:pPr>
              <w:spacing w:after="0"/>
              <w:rPr>
                <w:sz w:val="20"/>
                <w:szCs w:val="20"/>
                <w:color w:val="auto"/>
              </w:rPr>
            </w:pPr>
            <w:r>
              <w:rPr>
                <w:rFonts w:ascii="Times New Roman" w:cs="Times New Roman" w:eastAsia="Times New Roman" w:hAnsi="Times New Roman"/>
                <w:sz w:val="15"/>
                <w:szCs w:val="15"/>
                <w:b w:val="1"/>
                <w:bCs w:val="1"/>
                <w:color w:val="231F20"/>
              </w:rPr>
              <w:t>Products</w:t>
            </w:r>
          </w:p>
        </w:tc>
        <w:tc>
          <w:tcPr>
            <w:tcW w:w="2420" w:type="dxa"/>
            <w:vAlign w:val="bottom"/>
            <w:shd w:val="clear" w:color="auto" w:fill="D0EBF2"/>
          </w:tcPr>
          <w:p>
            <w:pPr>
              <w:spacing w:after="0"/>
              <w:rPr>
                <w:sz w:val="16"/>
                <w:szCs w:val="16"/>
                <w:color w:val="auto"/>
              </w:rPr>
            </w:pPr>
          </w:p>
        </w:tc>
        <w:tc>
          <w:tcPr>
            <w:tcW w:w="820" w:type="dxa"/>
            <w:vAlign w:val="bottom"/>
            <w:shd w:val="clear" w:color="auto" w:fill="D0EBF2"/>
          </w:tcPr>
          <w:p>
            <w:pPr>
              <w:spacing w:after="0"/>
              <w:rPr>
                <w:sz w:val="16"/>
                <w:szCs w:val="16"/>
                <w:color w:val="auto"/>
              </w:rPr>
            </w:pPr>
          </w:p>
        </w:tc>
        <w:tc>
          <w:tcPr>
            <w:tcW w:w="1040" w:type="dxa"/>
            <w:vAlign w:val="bottom"/>
            <w:shd w:val="clear" w:color="auto" w:fill="D0EBF2"/>
          </w:tcPr>
          <w:p>
            <w:pPr>
              <w:spacing w:after="0"/>
              <w:rPr>
                <w:sz w:val="16"/>
                <w:szCs w:val="16"/>
                <w:color w:val="auto"/>
              </w:rPr>
            </w:pPr>
          </w:p>
        </w:tc>
        <w:tc>
          <w:tcPr>
            <w:tcW w:w="1060" w:type="dxa"/>
            <w:vAlign w:val="bottom"/>
            <w:shd w:val="clear" w:color="auto" w:fill="D0EBF2"/>
          </w:tcPr>
          <w:p>
            <w:pPr>
              <w:spacing w:after="0"/>
              <w:rPr>
                <w:sz w:val="16"/>
                <w:szCs w:val="16"/>
                <w:color w:val="auto"/>
              </w:rPr>
            </w:pPr>
          </w:p>
        </w:tc>
        <w:tc>
          <w:tcPr>
            <w:tcW w:w="100" w:type="dxa"/>
            <w:vAlign w:val="bottom"/>
            <w:shd w:val="clear" w:color="auto" w:fill="D0EBF2"/>
          </w:tcPr>
          <w:p>
            <w:pPr>
              <w:spacing w:after="0"/>
              <w:rPr>
                <w:sz w:val="16"/>
                <w:szCs w:val="16"/>
                <w:color w:val="auto"/>
              </w:rPr>
            </w:pPr>
          </w:p>
        </w:tc>
        <w:tc>
          <w:tcPr>
            <w:tcW w:w="900" w:type="dxa"/>
            <w:vAlign w:val="bottom"/>
            <w:shd w:val="clear" w:color="auto" w:fill="D0EBF2"/>
          </w:tcPr>
          <w:p>
            <w:pPr>
              <w:spacing w:after="0"/>
              <w:rPr>
                <w:sz w:val="16"/>
                <w:szCs w:val="16"/>
                <w:color w:val="auto"/>
              </w:rPr>
            </w:pPr>
          </w:p>
        </w:tc>
        <w:tc>
          <w:tcPr>
            <w:tcW w:w="180" w:type="dxa"/>
            <w:vAlign w:val="bottom"/>
            <w:shd w:val="clear" w:color="auto" w:fill="D0EBF2"/>
          </w:tcPr>
          <w:p>
            <w:pPr>
              <w:spacing w:after="0"/>
              <w:rPr>
                <w:sz w:val="16"/>
                <w:szCs w:val="16"/>
                <w:color w:val="auto"/>
              </w:rPr>
            </w:pPr>
          </w:p>
        </w:tc>
        <w:tc>
          <w:tcPr>
            <w:tcW w:w="100" w:type="dxa"/>
            <w:vAlign w:val="bottom"/>
            <w:shd w:val="clear" w:color="auto" w:fill="D0EBF2"/>
          </w:tcPr>
          <w:p>
            <w:pPr>
              <w:spacing w:after="0"/>
              <w:rPr>
                <w:sz w:val="16"/>
                <w:szCs w:val="16"/>
                <w:color w:val="auto"/>
              </w:rPr>
            </w:pPr>
          </w:p>
        </w:tc>
        <w:tc>
          <w:tcPr>
            <w:tcW w:w="860" w:type="dxa"/>
            <w:vAlign w:val="bottom"/>
            <w:shd w:val="clear" w:color="auto" w:fill="D0EBF2"/>
          </w:tcPr>
          <w:p>
            <w:pPr>
              <w:spacing w:after="0"/>
              <w:rPr>
                <w:sz w:val="16"/>
                <w:szCs w:val="16"/>
                <w:color w:val="auto"/>
              </w:rPr>
            </w:pPr>
          </w:p>
        </w:tc>
        <w:tc>
          <w:tcPr>
            <w:tcW w:w="200" w:type="dxa"/>
            <w:vAlign w:val="bottom"/>
            <w:shd w:val="clear" w:color="auto" w:fill="D0EBF2"/>
          </w:tcPr>
          <w:p>
            <w:pPr>
              <w:spacing w:after="0"/>
              <w:rPr>
                <w:sz w:val="16"/>
                <w:szCs w:val="16"/>
                <w:color w:val="auto"/>
              </w:rPr>
            </w:pPr>
          </w:p>
        </w:tc>
        <w:tc>
          <w:tcPr>
            <w:tcW w:w="900" w:type="dxa"/>
            <w:vAlign w:val="bottom"/>
            <w:shd w:val="clear" w:color="auto" w:fill="D0EBF2"/>
          </w:tcPr>
          <w:p>
            <w:pPr>
              <w:spacing w:after="0"/>
              <w:rPr>
                <w:sz w:val="16"/>
                <w:szCs w:val="16"/>
                <w:color w:val="auto"/>
              </w:rPr>
            </w:pPr>
          </w:p>
        </w:tc>
        <w:tc>
          <w:tcPr>
            <w:tcW w:w="240" w:type="dxa"/>
            <w:vAlign w:val="bottom"/>
            <w:shd w:val="clear" w:color="auto" w:fill="D0EBF2"/>
          </w:tcPr>
          <w:p>
            <w:pPr>
              <w:spacing w:after="0"/>
              <w:rPr>
                <w:sz w:val="16"/>
                <w:szCs w:val="16"/>
                <w:color w:val="auto"/>
              </w:rPr>
            </w:pPr>
          </w:p>
        </w:tc>
        <w:tc>
          <w:tcPr>
            <w:tcW w:w="0" w:type="dxa"/>
            <w:vAlign w:val="bottom"/>
          </w:tcPr>
          <w:p>
            <w:pPr>
              <w:spacing w:after="0"/>
              <w:rPr>
                <w:sz w:val="1"/>
                <w:szCs w:val="1"/>
                <w:color w:val="auto"/>
              </w:rPr>
            </w:pPr>
          </w:p>
        </w:tc>
      </w:tr>
      <w:tr>
        <w:trPr>
          <w:trHeight w:val="158"/>
        </w:trPr>
        <w:tc>
          <w:tcPr>
            <w:tcW w:w="1460" w:type="dxa"/>
            <w:vAlign w:val="bottom"/>
            <w:shd w:val="clear" w:color="auto" w:fill="FDFDFC"/>
          </w:tcPr>
          <w:p>
            <w:pPr>
              <w:spacing w:after="0" w:line="159" w:lineRule="exact"/>
              <w:rPr>
                <w:sz w:val="20"/>
                <w:szCs w:val="20"/>
                <w:color w:val="auto"/>
              </w:rPr>
            </w:pPr>
            <w:r>
              <w:rPr>
                <w:rFonts w:ascii="Times New Roman" w:cs="Times New Roman" w:eastAsia="Times New Roman" w:hAnsi="Times New Roman"/>
                <w:sz w:val="15"/>
                <w:szCs w:val="15"/>
                <w:color w:val="231F20"/>
              </w:rPr>
              <w:t>99 Cents Only Stores</w:t>
            </w:r>
          </w:p>
        </w:tc>
        <w:tc>
          <w:tcPr>
            <w:tcW w:w="2420" w:type="dxa"/>
            <w:vAlign w:val="bottom"/>
            <w:shd w:val="clear" w:color="auto" w:fill="FDFDFC"/>
          </w:tcPr>
          <w:p>
            <w:pPr>
              <w:ind w:left="60"/>
              <w:spacing w:after="0" w:line="159" w:lineRule="exact"/>
              <w:rPr>
                <w:sz w:val="20"/>
                <w:szCs w:val="20"/>
                <w:color w:val="auto"/>
              </w:rPr>
            </w:pPr>
            <w:r>
              <w:rPr>
                <w:rFonts w:ascii="Times New Roman" w:cs="Times New Roman" w:eastAsia="Times New Roman" w:hAnsi="Times New Roman"/>
                <w:sz w:val="15"/>
                <w:szCs w:val="15"/>
                <w:color w:val="231F20"/>
              </w:rPr>
              <w:t>ABL FILO term loan ($25,000 par,</w:t>
            </w:r>
          </w:p>
        </w:tc>
        <w:tc>
          <w:tcPr>
            <w:tcW w:w="820" w:type="dxa"/>
            <w:vAlign w:val="bottom"/>
            <w:shd w:val="clear" w:color="auto" w:fill="FDFDFC"/>
          </w:tcPr>
          <w:p>
            <w:pPr>
              <w:jc w:val="right"/>
              <w:spacing w:after="0" w:line="159" w:lineRule="exact"/>
              <w:rPr>
                <w:sz w:val="20"/>
                <w:szCs w:val="20"/>
                <w:color w:val="auto"/>
              </w:rPr>
            </w:pPr>
            <w:r>
              <w:rPr>
                <w:rFonts w:ascii="Times New Roman" w:cs="Times New Roman" w:eastAsia="Times New Roman" w:hAnsi="Times New Roman"/>
                <w:sz w:val="15"/>
                <w:szCs w:val="15"/>
                <w:color w:val="231F20"/>
              </w:rPr>
              <w:t>9/6/2017</w:t>
            </w:r>
          </w:p>
        </w:tc>
        <w:tc>
          <w:tcPr>
            <w:tcW w:w="1040" w:type="dxa"/>
            <w:vAlign w:val="bottom"/>
            <w:shd w:val="clear" w:color="auto" w:fill="FDFDFC"/>
          </w:tcPr>
          <w:p>
            <w:pPr>
              <w:jc w:val="right"/>
              <w:ind w:right="84"/>
              <w:spacing w:after="0" w:line="159" w:lineRule="exact"/>
              <w:rPr>
                <w:sz w:val="20"/>
                <w:szCs w:val="20"/>
                <w:color w:val="auto"/>
              </w:rPr>
            </w:pPr>
            <w:r>
              <w:rPr>
                <w:rFonts w:ascii="Times New Roman" w:cs="Times New Roman" w:eastAsia="Times New Roman" w:hAnsi="Times New Roman"/>
                <w:sz w:val="15"/>
                <w:szCs w:val="15"/>
                <w:color w:val="231F20"/>
              </w:rPr>
              <w:t>SOFR +</w:t>
            </w:r>
          </w:p>
        </w:tc>
        <w:tc>
          <w:tcPr>
            <w:tcW w:w="1060" w:type="dxa"/>
            <w:vAlign w:val="bottom"/>
            <w:shd w:val="clear" w:color="auto" w:fill="FDFDFC"/>
          </w:tcPr>
          <w:p>
            <w:pPr>
              <w:jc w:val="right"/>
              <w:ind w:right="24"/>
              <w:spacing w:after="0" w:line="159" w:lineRule="exact"/>
              <w:rPr>
                <w:sz w:val="20"/>
                <w:szCs w:val="20"/>
                <w:color w:val="auto"/>
              </w:rPr>
            </w:pPr>
            <w:r>
              <w:rPr>
                <w:rFonts w:ascii="Times New Roman" w:cs="Times New Roman" w:eastAsia="Times New Roman" w:hAnsi="Times New Roman"/>
                <w:sz w:val="15"/>
                <w:szCs w:val="15"/>
                <w:color w:val="231F20"/>
              </w:rPr>
              <w:t>14.03%</w:t>
            </w:r>
          </w:p>
        </w:tc>
        <w:tc>
          <w:tcPr>
            <w:tcW w:w="100" w:type="dxa"/>
            <w:vAlign w:val="bottom"/>
            <w:shd w:val="clear" w:color="auto" w:fill="FDFDFC"/>
          </w:tcPr>
          <w:p>
            <w:pPr>
              <w:spacing w:after="0"/>
              <w:rPr>
                <w:sz w:val="13"/>
                <w:szCs w:val="13"/>
                <w:color w:val="auto"/>
              </w:rPr>
            </w:pPr>
          </w:p>
        </w:tc>
        <w:tc>
          <w:tcPr>
            <w:tcW w:w="900" w:type="dxa"/>
            <w:vAlign w:val="bottom"/>
            <w:shd w:val="clear" w:color="auto" w:fill="FDFDFC"/>
          </w:tcPr>
          <w:p>
            <w:pPr>
              <w:jc w:val="right"/>
              <w:spacing w:after="0" w:line="159" w:lineRule="exact"/>
              <w:rPr>
                <w:sz w:val="20"/>
                <w:szCs w:val="20"/>
                <w:color w:val="auto"/>
              </w:rPr>
            </w:pPr>
            <w:r>
              <w:rPr>
                <w:rFonts w:ascii="Times New Roman" w:cs="Times New Roman" w:eastAsia="Times New Roman" w:hAnsi="Times New Roman"/>
                <w:sz w:val="15"/>
                <w:szCs w:val="15"/>
                <w:color w:val="231F20"/>
              </w:rPr>
              <w:t>24,868</w:t>
            </w:r>
          </w:p>
        </w:tc>
        <w:tc>
          <w:tcPr>
            <w:tcW w:w="1140" w:type="dxa"/>
            <w:vAlign w:val="bottom"/>
            <w:gridSpan w:val="3"/>
            <w:shd w:val="clear" w:color="auto" w:fill="FDFDFC"/>
          </w:tcPr>
          <w:p>
            <w:pPr>
              <w:jc w:val="right"/>
              <w:spacing w:after="0" w:line="159" w:lineRule="exact"/>
              <w:rPr>
                <w:sz w:val="20"/>
                <w:szCs w:val="20"/>
                <w:color w:val="auto"/>
              </w:rPr>
            </w:pPr>
            <w:r>
              <w:rPr>
                <w:rFonts w:ascii="Times New Roman" w:cs="Times New Roman" w:eastAsia="Times New Roman" w:hAnsi="Times New Roman"/>
                <w:sz w:val="15"/>
                <w:szCs w:val="15"/>
                <w:color w:val="231F20"/>
              </w:rPr>
              <w:t>25,000</w:t>
            </w:r>
          </w:p>
        </w:tc>
        <w:tc>
          <w:tcPr>
            <w:tcW w:w="1340" w:type="dxa"/>
            <w:vAlign w:val="bottom"/>
            <w:gridSpan w:val="3"/>
            <w:shd w:val="clear" w:color="auto" w:fill="FDFDFC"/>
          </w:tcPr>
          <w:p>
            <w:pPr>
              <w:jc w:val="right"/>
              <w:ind w:right="120"/>
              <w:spacing w:after="0" w:line="159" w:lineRule="exact"/>
              <w:rPr>
                <w:sz w:val="20"/>
                <w:szCs w:val="20"/>
                <w:color w:val="auto"/>
              </w:rPr>
            </w:pPr>
            <w:r>
              <w:rPr>
                <w:rFonts w:ascii="Times New Roman" w:cs="Times New Roman" w:eastAsia="Times New Roman" w:hAnsi="Times New Roman"/>
                <w:sz w:val="15"/>
                <w:szCs w:val="15"/>
                <w:color w:val="231F20"/>
              </w:rPr>
              <w:t>1.7%</w:t>
            </w:r>
          </w:p>
        </w:tc>
        <w:tc>
          <w:tcPr>
            <w:tcW w:w="0" w:type="dxa"/>
            <w:vAlign w:val="bottom"/>
          </w:tcPr>
          <w:p>
            <w:pPr>
              <w:spacing w:after="0"/>
              <w:rPr>
                <w:sz w:val="1"/>
                <w:szCs w:val="1"/>
                <w:color w:val="auto"/>
              </w:rPr>
            </w:pPr>
          </w:p>
        </w:tc>
      </w:tr>
      <w:tr>
        <w:trPr>
          <w:trHeight w:val="189"/>
        </w:trPr>
        <w:tc>
          <w:tcPr>
            <w:tcW w:w="1460" w:type="dxa"/>
            <w:vAlign w:val="bottom"/>
            <w:shd w:val="clear" w:color="auto" w:fill="FDFDFC"/>
          </w:tcPr>
          <w:p>
            <w:pPr>
              <w:spacing w:after="0"/>
              <w:rPr>
                <w:sz w:val="20"/>
                <w:szCs w:val="20"/>
                <w:color w:val="auto"/>
              </w:rPr>
            </w:pPr>
            <w:r>
              <w:rPr>
                <w:rFonts w:ascii="Times New Roman" w:cs="Times New Roman" w:eastAsia="Times New Roman" w:hAnsi="Times New Roman"/>
                <w:sz w:val="15"/>
                <w:szCs w:val="15"/>
                <w:color w:val="231F20"/>
              </w:rPr>
              <w:t xml:space="preserve">LLC </w:t>
            </w:r>
            <w:r>
              <w:rPr>
                <w:rFonts w:ascii="Times New Roman" w:cs="Times New Roman" w:eastAsia="Times New Roman" w:hAnsi="Times New Roman"/>
                <w:sz w:val="9"/>
                <w:szCs w:val="9"/>
                <w:color w:val="231F20"/>
              </w:rPr>
              <w:t>(3)</w:t>
            </w:r>
          </w:p>
        </w:tc>
        <w:tc>
          <w:tcPr>
            <w:tcW w:w="2420" w:type="dxa"/>
            <w:vAlign w:val="bottom"/>
            <w:shd w:val="clear" w:color="auto" w:fill="FDFDFC"/>
          </w:tcPr>
          <w:p>
            <w:pPr>
              <w:ind w:left="60"/>
              <w:spacing w:after="0"/>
              <w:rPr>
                <w:sz w:val="20"/>
                <w:szCs w:val="20"/>
                <w:color w:val="auto"/>
              </w:rPr>
            </w:pPr>
            <w:r>
              <w:rPr>
                <w:rFonts w:ascii="Times New Roman" w:cs="Times New Roman" w:eastAsia="Times New Roman" w:hAnsi="Times New Roman"/>
                <w:sz w:val="15"/>
                <w:szCs w:val="15"/>
                <w:color w:val="231F20"/>
              </w:rPr>
              <w:t>due 5/2025)</w:t>
            </w:r>
          </w:p>
        </w:tc>
        <w:tc>
          <w:tcPr>
            <w:tcW w:w="820" w:type="dxa"/>
            <w:vAlign w:val="bottom"/>
            <w:shd w:val="clear" w:color="auto" w:fill="FDFDFC"/>
          </w:tcPr>
          <w:p>
            <w:pPr>
              <w:spacing w:after="0"/>
              <w:rPr>
                <w:sz w:val="16"/>
                <w:szCs w:val="16"/>
                <w:color w:val="auto"/>
              </w:rPr>
            </w:pPr>
          </w:p>
        </w:tc>
        <w:tc>
          <w:tcPr>
            <w:tcW w:w="1040" w:type="dxa"/>
            <w:vAlign w:val="bottom"/>
            <w:shd w:val="clear" w:color="auto" w:fill="FDFDFC"/>
          </w:tcPr>
          <w:p>
            <w:pPr>
              <w:jc w:val="right"/>
              <w:ind w:right="84"/>
              <w:spacing w:after="0"/>
              <w:rPr>
                <w:sz w:val="20"/>
                <w:szCs w:val="20"/>
                <w:color w:val="auto"/>
              </w:rPr>
            </w:pPr>
            <w:r>
              <w:rPr>
                <w:rFonts w:ascii="Times New Roman" w:cs="Times New Roman" w:eastAsia="Times New Roman" w:hAnsi="Times New Roman"/>
                <w:sz w:val="15"/>
                <w:szCs w:val="15"/>
                <w:color w:val="231F20"/>
              </w:rPr>
              <w:t>8.65%</w:t>
            </w:r>
          </w:p>
        </w:tc>
        <w:tc>
          <w:tcPr>
            <w:tcW w:w="1060" w:type="dxa"/>
            <w:vAlign w:val="bottom"/>
            <w:shd w:val="clear" w:color="auto" w:fill="FDFDFC"/>
          </w:tcPr>
          <w:p>
            <w:pPr>
              <w:spacing w:after="0"/>
              <w:rPr>
                <w:sz w:val="16"/>
                <w:szCs w:val="16"/>
                <w:color w:val="auto"/>
              </w:rPr>
            </w:pPr>
          </w:p>
        </w:tc>
        <w:tc>
          <w:tcPr>
            <w:tcW w:w="100" w:type="dxa"/>
            <w:vAlign w:val="bottom"/>
            <w:shd w:val="clear" w:color="auto" w:fill="FDFDFC"/>
          </w:tcPr>
          <w:p>
            <w:pPr>
              <w:spacing w:after="0"/>
              <w:rPr>
                <w:sz w:val="16"/>
                <w:szCs w:val="16"/>
                <w:color w:val="auto"/>
              </w:rPr>
            </w:pPr>
          </w:p>
        </w:tc>
        <w:tc>
          <w:tcPr>
            <w:tcW w:w="900" w:type="dxa"/>
            <w:vAlign w:val="bottom"/>
            <w:shd w:val="clear" w:color="auto" w:fill="FDFDFC"/>
          </w:tcPr>
          <w:p>
            <w:pPr>
              <w:spacing w:after="0"/>
              <w:rPr>
                <w:sz w:val="16"/>
                <w:szCs w:val="16"/>
                <w:color w:val="auto"/>
              </w:rPr>
            </w:pPr>
          </w:p>
        </w:tc>
        <w:tc>
          <w:tcPr>
            <w:tcW w:w="180" w:type="dxa"/>
            <w:vAlign w:val="bottom"/>
            <w:shd w:val="clear" w:color="auto" w:fill="FDFDFC"/>
          </w:tcPr>
          <w:p>
            <w:pPr>
              <w:spacing w:after="0"/>
              <w:rPr>
                <w:sz w:val="16"/>
                <w:szCs w:val="16"/>
                <w:color w:val="auto"/>
              </w:rPr>
            </w:pPr>
          </w:p>
        </w:tc>
        <w:tc>
          <w:tcPr>
            <w:tcW w:w="100" w:type="dxa"/>
            <w:vAlign w:val="bottom"/>
            <w:shd w:val="clear" w:color="auto" w:fill="FDFDFC"/>
          </w:tcPr>
          <w:p>
            <w:pPr>
              <w:spacing w:after="0"/>
              <w:rPr>
                <w:sz w:val="16"/>
                <w:szCs w:val="16"/>
                <w:color w:val="auto"/>
              </w:rPr>
            </w:pPr>
          </w:p>
        </w:tc>
        <w:tc>
          <w:tcPr>
            <w:tcW w:w="860" w:type="dxa"/>
            <w:vAlign w:val="bottom"/>
            <w:shd w:val="clear" w:color="auto" w:fill="FDFDFC"/>
          </w:tcPr>
          <w:p>
            <w:pPr>
              <w:spacing w:after="0"/>
              <w:rPr>
                <w:sz w:val="16"/>
                <w:szCs w:val="16"/>
                <w:color w:val="auto"/>
              </w:rPr>
            </w:pPr>
          </w:p>
        </w:tc>
        <w:tc>
          <w:tcPr>
            <w:tcW w:w="200" w:type="dxa"/>
            <w:vAlign w:val="bottom"/>
            <w:shd w:val="clear" w:color="auto" w:fill="FDFDFC"/>
          </w:tcPr>
          <w:p>
            <w:pPr>
              <w:spacing w:after="0"/>
              <w:rPr>
                <w:sz w:val="16"/>
                <w:szCs w:val="16"/>
                <w:color w:val="auto"/>
              </w:rPr>
            </w:pPr>
          </w:p>
        </w:tc>
        <w:tc>
          <w:tcPr>
            <w:tcW w:w="900" w:type="dxa"/>
            <w:vAlign w:val="bottom"/>
            <w:shd w:val="clear" w:color="auto" w:fill="FDFDFC"/>
          </w:tcPr>
          <w:p>
            <w:pPr>
              <w:spacing w:after="0"/>
              <w:rPr>
                <w:sz w:val="16"/>
                <w:szCs w:val="16"/>
                <w:color w:val="auto"/>
              </w:rPr>
            </w:pPr>
          </w:p>
        </w:tc>
        <w:tc>
          <w:tcPr>
            <w:tcW w:w="240" w:type="dxa"/>
            <w:vAlign w:val="bottom"/>
            <w:shd w:val="clear" w:color="auto" w:fill="FDFDFC"/>
          </w:tcPr>
          <w:p>
            <w:pPr>
              <w:spacing w:after="0"/>
              <w:rPr>
                <w:sz w:val="16"/>
                <w:szCs w:val="16"/>
                <w:color w:val="auto"/>
              </w:rPr>
            </w:pPr>
          </w:p>
        </w:tc>
        <w:tc>
          <w:tcPr>
            <w:tcW w:w="0" w:type="dxa"/>
            <w:vAlign w:val="bottom"/>
          </w:tcPr>
          <w:p>
            <w:pPr>
              <w:spacing w:after="0"/>
              <w:rPr>
                <w:sz w:val="1"/>
                <w:szCs w:val="1"/>
                <w:color w:val="auto"/>
              </w:rPr>
            </w:pPr>
          </w:p>
        </w:tc>
      </w:tr>
      <w:tr>
        <w:trPr>
          <w:trHeight w:val="158"/>
        </w:trPr>
        <w:tc>
          <w:tcPr>
            <w:tcW w:w="1460" w:type="dxa"/>
            <w:vAlign w:val="bottom"/>
            <w:shd w:val="clear" w:color="auto" w:fill="D0EBF2"/>
          </w:tcPr>
          <w:p>
            <w:pPr>
              <w:spacing w:after="0" w:line="159" w:lineRule="exact"/>
              <w:rPr>
                <w:sz w:val="20"/>
                <w:szCs w:val="20"/>
                <w:color w:val="auto"/>
              </w:rPr>
            </w:pPr>
            <w:r>
              <w:rPr>
                <w:rFonts w:ascii="Times New Roman" w:cs="Times New Roman" w:eastAsia="Times New Roman" w:hAnsi="Times New Roman"/>
                <w:sz w:val="15"/>
                <w:szCs w:val="15"/>
                <w:color w:val="231F20"/>
              </w:rPr>
              <w:t>American</w:t>
            </w:r>
          </w:p>
        </w:tc>
        <w:tc>
          <w:tcPr>
            <w:tcW w:w="2420" w:type="dxa"/>
            <w:vAlign w:val="bottom"/>
            <w:shd w:val="clear" w:color="auto" w:fill="D0EBF2"/>
          </w:tcPr>
          <w:p>
            <w:pPr>
              <w:ind w:left="60"/>
              <w:spacing w:after="0" w:line="159" w:lineRule="exact"/>
              <w:rPr>
                <w:sz w:val="20"/>
                <w:szCs w:val="20"/>
                <w:color w:val="auto"/>
              </w:rPr>
            </w:pPr>
            <w:r>
              <w:rPr>
                <w:rFonts w:ascii="Times New Roman" w:cs="Times New Roman" w:eastAsia="Times New Roman" w:hAnsi="Times New Roman"/>
                <w:sz w:val="15"/>
                <w:szCs w:val="15"/>
                <w:color w:val="231F20"/>
              </w:rPr>
              <w:t>First-lien loan ($27,046 par, due</w:t>
            </w:r>
          </w:p>
        </w:tc>
        <w:tc>
          <w:tcPr>
            <w:tcW w:w="820" w:type="dxa"/>
            <w:vAlign w:val="bottom"/>
            <w:shd w:val="clear" w:color="auto" w:fill="D0EBF2"/>
          </w:tcPr>
          <w:p>
            <w:pPr>
              <w:jc w:val="right"/>
              <w:spacing w:after="0" w:line="159" w:lineRule="exact"/>
              <w:rPr>
                <w:sz w:val="20"/>
                <w:szCs w:val="20"/>
                <w:color w:val="auto"/>
              </w:rPr>
            </w:pPr>
            <w:r>
              <w:rPr>
                <w:rFonts w:ascii="Times New Roman" w:cs="Times New Roman" w:eastAsia="Times New Roman" w:hAnsi="Times New Roman"/>
                <w:sz w:val="15"/>
                <w:szCs w:val="15"/>
                <w:color w:val="231F20"/>
              </w:rPr>
              <w:t>9/30/2015</w:t>
            </w:r>
          </w:p>
        </w:tc>
        <w:tc>
          <w:tcPr>
            <w:tcW w:w="1040" w:type="dxa"/>
            <w:vAlign w:val="bottom"/>
            <w:shd w:val="clear" w:color="auto" w:fill="D0EBF2"/>
          </w:tcPr>
          <w:p>
            <w:pPr>
              <w:jc w:val="right"/>
              <w:ind w:right="84"/>
              <w:spacing w:after="0" w:line="159" w:lineRule="exact"/>
              <w:rPr>
                <w:sz w:val="20"/>
                <w:szCs w:val="20"/>
                <w:color w:val="auto"/>
              </w:rPr>
            </w:pPr>
            <w:r>
              <w:rPr>
                <w:rFonts w:ascii="Times New Roman" w:cs="Times New Roman" w:eastAsia="Times New Roman" w:hAnsi="Times New Roman"/>
                <w:sz w:val="15"/>
                <w:szCs w:val="15"/>
                <w:color w:val="231F20"/>
              </w:rPr>
              <w:t>SOFR +</w:t>
            </w:r>
          </w:p>
        </w:tc>
        <w:tc>
          <w:tcPr>
            <w:tcW w:w="1060" w:type="dxa"/>
            <w:vAlign w:val="bottom"/>
            <w:shd w:val="clear" w:color="auto" w:fill="D0EBF2"/>
          </w:tcPr>
          <w:p>
            <w:pPr>
              <w:jc w:val="right"/>
              <w:ind w:right="164"/>
              <w:spacing w:after="0" w:line="159" w:lineRule="exact"/>
              <w:rPr>
                <w:sz w:val="20"/>
                <w:szCs w:val="20"/>
                <w:color w:val="auto"/>
              </w:rPr>
            </w:pPr>
            <w:r>
              <w:rPr>
                <w:rFonts w:ascii="Times New Roman" w:cs="Times New Roman" w:eastAsia="Times New Roman" w:hAnsi="Times New Roman"/>
                <w:sz w:val="15"/>
                <w:szCs w:val="15"/>
                <w:color w:val="231F20"/>
              </w:rPr>
              <w:t>11.19%</w:t>
            </w:r>
          </w:p>
        </w:tc>
        <w:tc>
          <w:tcPr>
            <w:tcW w:w="100" w:type="dxa"/>
            <w:vAlign w:val="bottom"/>
            <w:shd w:val="clear" w:color="auto" w:fill="D0EBF2"/>
          </w:tcPr>
          <w:p>
            <w:pPr>
              <w:spacing w:after="0"/>
              <w:rPr>
                <w:sz w:val="13"/>
                <w:szCs w:val="13"/>
                <w:color w:val="auto"/>
              </w:rPr>
            </w:pPr>
          </w:p>
        </w:tc>
        <w:tc>
          <w:tcPr>
            <w:tcW w:w="900" w:type="dxa"/>
            <w:vAlign w:val="bottom"/>
            <w:shd w:val="clear" w:color="auto" w:fill="D0EBF2"/>
          </w:tcPr>
          <w:p>
            <w:pPr>
              <w:jc w:val="right"/>
              <w:spacing w:after="0" w:line="159" w:lineRule="exact"/>
              <w:rPr>
                <w:sz w:val="20"/>
                <w:szCs w:val="20"/>
                <w:color w:val="auto"/>
              </w:rPr>
            </w:pPr>
            <w:r>
              <w:rPr>
                <w:rFonts w:ascii="Times New Roman" w:cs="Times New Roman" w:eastAsia="Times New Roman" w:hAnsi="Times New Roman"/>
                <w:sz w:val="15"/>
                <w:szCs w:val="15"/>
                <w:color w:val="231F20"/>
              </w:rPr>
              <w:t>26,219</w:t>
            </w:r>
          </w:p>
        </w:tc>
        <w:tc>
          <w:tcPr>
            <w:tcW w:w="1140" w:type="dxa"/>
            <w:vAlign w:val="bottom"/>
            <w:gridSpan w:val="3"/>
            <w:shd w:val="clear" w:color="auto" w:fill="D0EBF2"/>
          </w:tcPr>
          <w:p>
            <w:pPr>
              <w:jc w:val="right"/>
              <w:spacing w:after="0" w:line="159" w:lineRule="exact"/>
              <w:rPr>
                <w:sz w:val="20"/>
                <w:szCs w:val="20"/>
                <w:color w:val="auto"/>
              </w:rPr>
            </w:pPr>
            <w:r>
              <w:rPr>
                <w:rFonts w:ascii="Times New Roman" w:cs="Times New Roman" w:eastAsia="Times New Roman" w:hAnsi="Times New Roman"/>
                <w:sz w:val="15"/>
                <w:szCs w:val="15"/>
                <w:color w:val="231F20"/>
              </w:rPr>
              <w:t>20,488</w:t>
            </w:r>
          </w:p>
        </w:tc>
        <w:tc>
          <w:tcPr>
            <w:tcW w:w="1340" w:type="dxa"/>
            <w:vAlign w:val="bottom"/>
            <w:gridSpan w:val="3"/>
            <w:shd w:val="clear" w:color="auto" w:fill="D0EBF2"/>
          </w:tcPr>
          <w:p>
            <w:pPr>
              <w:jc w:val="right"/>
              <w:ind w:right="120"/>
              <w:spacing w:after="0" w:line="159" w:lineRule="exact"/>
              <w:rPr>
                <w:sz w:val="20"/>
                <w:szCs w:val="20"/>
                <w:color w:val="auto"/>
              </w:rPr>
            </w:pPr>
            <w:r>
              <w:rPr>
                <w:rFonts w:ascii="Times New Roman" w:cs="Times New Roman" w:eastAsia="Times New Roman" w:hAnsi="Times New Roman"/>
                <w:sz w:val="15"/>
                <w:szCs w:val="15"/>
                <w:color w:val="231F20"/>
              </w:rPr>
              <w:t>1.4%</w:t>
            </w:r>
          </w:p>
        </w:tc>
        <w:tc>
          <w:tcPr>
            <w:tcW w:w="0" w:type="dxa"/>
            <w:vAlign w:val="bottom"/>
          </w:tcPr>
          <w:p>
            <w:pPr>
              <w:spacing w:after="0"/>
              <w:rPr>
                <w:sz w:val="1"/>
                <w:szCs w:val="1"/>
                <w:color w:val="auto"/>
              </w:rPr>
            </w:pPr>
          </w:p>
        </w:tc>
      </w:tr>
      <w:tr>
        <w:trPr>
          <w:trHeight w:val="186"/>
        </w:trPr>
        <w:tc>
          <w:tcPr>
            <w:tcW w:w="1460" w:type="dxa"/>
            <w:vAlign w:val="bottom"/>
            <w:shd w:val="clear" w:color="auto" w:fill="D0EBF2"/>
          </w:tcPr>
          <w:p>
            <w:pPr>
              <w:spacing w:after="0"/>
              <w:rPr>
                <w:sz w:val="20"/>
                <w:szCs w:val="20"/>
                <w:color w:val="auto"/>
              </w:rPr>
            </w:pPr>
            <w:r>
              <w:rPr>
                <w:rFonts w:ascii="Times New Roman" w:cs="Times New Roman" w:eastAsia="Times New Roman" w:hAnsi="Times New Roman"/>
                <w:sz w:val="15"/>
                <w:szCs w:val="15"/>
                <w:color w:val="231F20"/>
              </w:rPr>
              <w:t>Achievement, Corp.</w:t>
            </w:r>
          </w:p>
        </w:tc>
        <w:tc>
          <w:tcPr>
            <w:tcW w:w="2420" w:type="dxa"/>
            <w:vAlign w:val="bottom"/>
            <w:shd w:val="clear" w:color="auto" w:fill="D0EBF2"/>
          </w:tcPr>
          <w:p>
            <w:pPr>
              <w:ind w:left="60"/>
              <w:spacing w:after="0"/>
              <w:rPr>
                <w:sz w:val="20"/>
                <w:szCs w:val="20"/>
                <w:color w:val="auto"/>
              </w:rPr>
            </w:pPr>
            <w:r>
              <w:rPr>
                <w:rFonts w:ascii="Times New Roman" w:cs="Times New Roman" w:eastAsia="Times New Roman" w:hAnsi="Times New Roman"/>
                <w:sz w:val="15"/>
                <w:szCs w:val="15"/>
                <w:color w:val="231F20"/>
              </w:rPr>
              <w:t>9/2026)</w:t>
            </w:r>
          </w:p>
        </w:tc>
        <w:tc>
          <w:tcPr>
            <w:tcW w:w="820" w:type="dxa"/>
            <w:vAlign w:val="bottom"/>
            <w:shd w:val="clear" w:color="auto" w:fill="D0EBF2"/>
          </w:tcPr>
          <w:p>
            <w:pPr>
              <w:spacing w:after="0"/>
              <w:rPr>
                <w:sz w:val="16"/>
                <w:szCs w:val="16"/>
                <w:color w:val="auto"/>
              </w:rPr>
            </w:pPr>
          </w:p>
        </w:tc>
        <w:tc>
          <w:tcPr>
            <w:tcW w:w="1040" w:type="dxa"/>
            <w:vAlign w:val="bottom"/>
            <w:shd w:val="clear" w:color="auto" w:fill="D0EBF2"/>
          </w:tcPr>
          <w:p>
            <w:pPr>
              <w:jc w:val="right"/>
              <w:ind w:right="84"/>
              <w:spacing w:after="0"/>
              <w:rPr>
                <w:sz w:val="20"/>
                <w:szCs w:val="20"/>
                <w:color w:val="auto"/>
              </w:rPr>
            </w:pPr>
            <w:r>
              <w:rPr>
                <w:rFonts w:ascii="Times New Roman" w:cs="Times New Roman" w:eastAsia="Times New Roman" w:hAnsi="Times New Roman"/>
                <w:sz w:val="15"/>
                <w:szCs w:val="15"/>
                <w:color w:val="231F20"/>
              </w:rPr>
              <w:t>6.35%</w:t>
            </w:r>
          </w:p>
        </w:tc>
        <w:tc>
          <w:tcPr>
            <w:tcW w:w="1160" w:type="dxa"/>
            <w:vAlign w:val="bottom"/>
            <w:gridSpan w:val="2"/>
            <w:shd w:val="clear" w:color="auto" w:fill="D0EBF2"/>
          </w:tcPr>
          <w:p>
            <w:pPr>
              <w:jc w:val="right"/>
              <w:ind w:right="340"/>
              <w:spacing w:after="0"/>
              <w:rPr>
                <w:sz w:val="20"/>
                <w:szCs w:val="20"/>
                <w:color w:val="auto"/>
              </w:rPr>
            </w:pPr>
            <w:r>
              <w:rPr>
                <w:rFonts w:ascii="Times New Roman" w:cs="Times New Roman" w:eastAsia="Times New Roman" w:hAnsi="Times New Roman"/>
                <w:sz w:val="15"/>
                <w:szCs w:val="15"/>
                <w:color w:val="231F20"/>
              </w:rPr>
              <w:t>PIK</w:t>
            </w:r>
          </w:p>
        </w:tc>
        <w:tc>
          <w:tcPr>
            <w:tcW w:w="900" w:type="dxa"/>
            <w:vAlign w:val="bottom"/>
            <w:shd w:val="clear" w:color="auto" w:fill="D0EBF2"/>
          </w:tcPr>
          <w:p>
            <w:pPr>
              <w:spacing w:after="0"/>
              <w:rPr>
                <w:sz w:val="16"/>
                <w:szCs w:val="16"/>
                <w:color w:val="auto"/>
              </w:rPr>
            </w:pPr>
          </w:p>
        </w:tc>
        <w:tc>
          <w:tcPr>
            <w:tcW w:w="180" w:type="dxa"/>
            <w:vAlign w:val="bottom"/>
            <w:shd w:val="clear" w:color="auto" w:fill="D0EBF2"/>
          </w:tcPr>
          <w:p>
            <w:pPr>
              <w:spacing w:after="0"/>
              <w:rPr>
                <w:sz w:val="16"/>
                <w:szCs w:val="16"/>
                <w:color w:val="auto"/>
              </w:rPr>
            </w:pPr>
          </w:p>
        </w:tc>
        <w:tc>
          <w:tcPr>
            <w:tcW w:w="100" w:type="dxa"/>
            <w:vAlign w:val="bottom"/>
            <w:shd w:val="clear" w:color="auto" w:fill="D0EBF2"/>
          </w:tcPr>
          <w:p>
            <w:pPr>
              <w:spacing w:after="0"/>
              <w:rPr>
                <w:sz w:val="16"/>
                <w:szCs w:val="16"/>
                <w:color w:val="auto"/>
              </w:rPr>
            </w:pPr>
          </w:p>
        </w:tc>
        <w:tc>
          <w:tcPr>
            <w:tcW w:w="860" w:type="dxa"/>
            <w:vAlign w:val="bottom"/>
            <w:shd w:val="clear" w:color="auto" w:fill="D0EBF2"/>
          </w:tcPr>
          <w:p>
            <w:pPr>
              <w:spacing w:after="0"/>
              <w:rPr>
                <w:sz w:val="16"/>
                <w:szCs w:val="16"/>
                <w:color w:val="auto"/>
              </w:rPr>
            </w:pPr>
          </w:p>
        </w:tc>
        <w:tc>
          <w:tcPr>
            <w:tcW w:w="200" w:type="dxa"/>
            <w:vAlign w:val="bottom"/>
            <w:shd w:val="clear" w:color="auto" w:fill="D0EBF2"/>
          </w:tcPr>
          <w:p>
            <w:pPr>
              <w:spacing w:after="0"/>
              <w:rPr>
                <w:sz w:val="16"/>
                <w:szCs w:val="16"/>
                <w:color w:val="auto"/>
              </w:rPr>
            </w:pPr>
          </w:p>
        </w:tc>
        <w:tc>
          <w:tcPr>
            <w:tcW w:w="900" w:type="dxa"/>
            <w:vAlign w:val="bottom"/>
            <w:shd w:val="clear" w:color="auto" w:fill="D0EBF2"/>
          </w:tcPr>
          <w:p>
            <w:pPr>
              <w:spacing w:after="0"/>
              <w:rPr>
                <w:sz w:val="16"/>
                <w:szCs w:val="16"/>
                <w:color w:val="auto"/>
              </w:rPr>
            </w:pPr>
          </w:p>
        </w:tc>
        <w:tc>
          <w:tcPr>
            <w:tcW w:w="240" w:type="dxa"/>
            <w:vAlign w:val="bottom"/>
            <w:shd w:val="clear" w:color="auto" w:fill="D0EBF2"/>
          </w:tcPr>
          <w:p>
            <w:pPr>
              <w:spacing w:after="0"/>
              <w:rPr>
                <w:sz w:val="16"/>
                <w:szCs w:val="16"/>
                <w:color w:val="auto"/>
              </w:rPr>
            </w:pPr>
          </w:p>
        </w:tc>
        <w:tc>
          <w:tcPr>
            <w:tcW w:w="0" w:type="dxa"/>
            <w:vAlign w:val="bottom"/>
          </w:tcPr>
          <w:p>
            <w:pPr>
              <w:spacing w:after="0"/>
              <w:rPr>
                <w:sz w:val="1"/>
                <w:szCs w:val="1"/>
                <w:color w:val="auto"/>
              </w:rPr>
            </w:pPr>
          </w:p>
        </w:tc>
      </w:tr>
      <w:tr>
        <w:trPr>
          <w:trHeight w:val="157"/>
        </w:trPr>
        <w:tc>
          <w:tcPr>
            <w:tcW w:w="1460" w:type="dxa"/>
            <w:vAlign w:val="bottom"/>
            <w:tcBorders>
              <w:bottom w:val="single" w:sz="8" w:color="D0EBF2"/>
            </w:tcBorders>
            <w:shd w:val="clear" w:color="auto" w:fill="D0EBF2"/>
          </w:tcPr>
          <w:p>
            <w:pPr>
              <w:spacing w:after="0"/>
              <w:rPr>
                <w:sz w:val="20"/>
                <w:szCs w:val="20"/>
                <w:color w:val="auto"/>
              </w:rPr>
            </w:pPr>
            <w:r>
              <w:rPr>
                <w:rFonts w:ascii="Times New Roman" w:cs="Times New Roman" w:eastAsia="Times New Roman" w:hAnsi="Times New Roman"/>
                <w:sz w:val="9"/>
                <w:szCs w:val="9"/>
                <w:color w:val="231F20"/>
              </w:rPr>
              <w:t>(3)(14)</w:t>
            </w:r>
          </w:p>
        </w:tc>
        <w:tc>
          <w:tcPr>
            <w:tcW w:w="2420" w:type="dxa"/>
            <w:vAlign w:val="bottom"/>
            <w:tcBorders>
              <w:bottom w:val="single" w:sz="8" w:color="D0EBF2"/>
            </w:tcBorders>
            <w:shd w:val="clear" w:color="auto" w:fill="D0EBF2"/>
          </w:tcPr>
          <w:p>
            <w:pPr>
              <w:spacing w:after="0"/>
              <w:rPr>
                <w:sz w:val="13"/>
                <w:szCs w:val="13"/>
                <w:color w:val="auto"/>
              </w:rPr>
            </w:pPr>
          </w:p>
        </w:tc>
        <w:tc>
          <w:tcPr>
            <w:tcW w:w="820" w:type="dxa"/>
            <w:vAlign w:val="bottom"/>
            <w:tcBorders>
              <w:bottom w:val="single" w:sz="8" w:color="D0EBF2"/>
            </w:tcBorders>
            <w:shd w:val="clear" w:color="auto" w:fill="D0EBF2"/>
          </w:tcPr>
          <w:p>
            <w:pPr>
              <w:spacing w:after="0"/>
              <w:rPr>
                <w:sz w:val="13"/>
                <w:szCs w:val="13"/>
                <w:color w:val="auto"/>
              </w:rPr>
            </w:pPr>
          </w:p>
        </w:tc>
        <w:tc>
          <w:tcPr>
            <w:tcW w:w="1040" w:type="dxa"/>
            <w:vAlign w:val="bottom"/>
            <w:tcBorders>
              <w:bottom w:val="single" w:sz="8" w:color="D0EBF2"/>
            </w:tcBorders>
            <w:shd w:val="clear" w:color="auto" w:fill="D0EBF2"/>
          </w:tcPr>
          <w:p>
            <w:pPr>
              <w:spacing w:after="0"/>
              <w:rPr>
                <w:sz w:val="13"/>
                <w:szCs w:val="13"/>
                <w:color w:val="auto"/>
              </w:rPr>
            </w:pPr>
          </w:p>
        </w:tc>
        <w:tc>
          <w:tcPr>
            <w:tcW w:w="1060" w:type="dxa"/>
            <w:vAlign w:val="bottom"/>
            <w:tcBorders>
              <w:bottom w:val="single" w:sz="8" w:color="D0EBF2"/>
            </w:tcBorders>
            <w:shd w:val="clear" w:color="auto" w:fill="D0EBF2"/>
          </w:tcPr>
          <w:p>
            <w:pPr>
              <w:spacing w:after="0"/>
              <w:rPr>
                <w:sz w:val="13"/>
                <w:szCs w:val="13"/>
                <w:color w:val="auto"/>
              </w:rPr>
            </w:pPr>
          </w:p>
        </w:tc>
        <w:tc>
          <w:tcPr>
            <w:tcW w:w="100" w:type="dxa"/>
            <w:vAlign w:val="bottom"/>
            <w:tcBorders>
              <w:bottom w:val="single" w:sz="8" w:color="D0EBF2"/>
            </w:tcBorders>
            <w:shd w:val="clear" w:color="auto" w:fill="D0EBF2"/>
          </w:tcPr>
          <w:p>
            <w:pPr>
              <w:spacing w:after="0"/>
              <w:rPr>
                <w:sz w:val="13"/>
                <w:szCs w:val="13"/>
                <w:color w:val="auto"/>
              </w:rPr>
            </w:pPr>
          </w:p>
        </w:tc>
        <w:tc>
          <w:tcPr>
            <w:tcW w:w="900" w:type="dxa"/>
            <w:vAlign w:val="bottom"/>
            <w:tcBorders>
              <w:bottom w:val="single" w:sz="8" w:color="D0EBF2"/>
            </w:tcBorders>
            <w:shd w:val="clear" w:color="auto" w:fill="D0EBF2"/>
          </w:tcPr>
          <w:p>
            <w:pPr>
              <w:spacing w:after="0"/>
              <w:rPr>
                <w:sz w:val="13"/>
                <w:szCs w:val="13"/>
                <w:color w:val="auto"/>
              </w:rPr>
            </w:pPr>
          </w:p>
        </w:tc>
        <w:tc>
          <w:tcPr>
            <w:tcW w:w="180" w:type="dxa"/>
            <w:vAlign w:val="bottom"/>
            <w:tcBorders>
              <w:bottom w:val="single" w:sz="8" w:color="D0EBF2"/>
            </w:tcBorders>
            <w:shd w:val="clear" w:color="auto" w:fill="D0EBF2"/>
          </w:tcPr>
          <w:p>
            <w:pPr>
              <w:spacing w:after="0"/>
              <w:rPr>
                <w:sz w:val="13"/>
                <w:szCs w:val="13"/>
                <w:color w:val="auto"/>
              </w:rPr>
            </w:pPr>
          </w:p>
        </w:tc>
        <w:tc>
          <w:tcPr>
            <w:tcW w:w="100" w:type="dxa"/>
            <w:vAlign w:val="bottom"/>
            <w:tcBorders>
              <w:bottom w:val="single" w:sz="8" w:color="D0EBF2"/>
            </w:tcBorders>
            <w:shd w:val="clear" w:color="auto" w:fill="D0EBF2"/>
          </w:tcPr>
          <w:p>
            <w:pPr>
              <w:spacing w:after="0"/>
              <w:rPr>
                <w:sz w:val="13"/>
                <w:szCs w:val="13"/>
                <w:color w:val="auto"/>
              </w:rPr>
            </w:pPr>
          </w:p>
        </w:tc>
        <w:tc>
          <w:tcPr>
            <w:tcW w:w="860" w:type="dxa"/>
            <w:vAlign w:val="bottom"/>
            <w:tcBorders>
              <w:bottom w:val="single" w:sz="8" w:color="D0EBF2"/>
            </w:tcBorders>
            <w:shd w:val="clear" w:color="auto" w:fill="D0EBF2"/>
          </w:tcPr>
          <w:p>
            <w:pPr>
              <w:spacing w:after="0"/>
              <w:rPr>
                <w:sz w:val="13"/>
                <w:szCs w:val="13"/>
                <w:color w:val="auto"/>
              </w:rPr>
            </w:pPr>
          </w:p>
        </w:tc>
        <w:tc>
          <w:tcPr>
            <w:tcW w:w="200" w:type="dxa"/>
            <w:vAlign w:val="bottom"/>
            <w:tcBorders>
              <w:bottom w:val="single" w:sz="8" w:color="D0EBF2"/>
            </w:tcBorders>
            <w:shd w:val="clear" w:color="auto" w:fill="D0EBF2"/>
          </w:tcPr>
          <w:p>
            <w:pPr>
              <w:spacing w:after="0"/>
              <w:rPr>
                <w:sz w:val="13"/>
                <w:szCs w:val="13"/>
                <w:color w:val="auto"/>
              </w:rPr>
            </w:pPr>
          </w:p>
        </w:tc>
        <w:tc>
          <w:tcPr>
            <w:tcW w:w="900" w:type="dxa"/>
            <w:vAlign w:val="bottom"/>
            <w:tcBorders>
              <w:bottom w:val="single" w:sz="8" w:color="D0EBF2"/>
            </w:tcBorders>
            <w:shd w:val="clear" w:color="auto" w:fill="D0EBF2"/>
          </w:tcPr>
          <w:p>
            <w:pPr>
              <w:spacing w:after="0"/>
              <w:rPr>
                <w:sz w:val="13"/>
                <w:szCs w:val="13"/>
                <w:color w:val="auto"/>
              </w:rPr>
            </w:pPr>
          </w:p>
        </w:tc>
        <w:tc>
          <w:tcPr>
            <w:tcW w:w="240" w:type="dxa"/>
            <w:vAlign w:val="bottom"/>
            <w:tcBorders>
              <w:bottom w:val="single" w:sz="8" w:color="D0EBF2"/>
            </w:tcBorders>
            <w:shd w:val="clear" w:color="auto" w:fill="D0EBF2"/>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1460" w:type="dxa"/>
            <w:vAlign w:val="bottom"/>
            <w:shd w:val="clear" w:color="auto" w:fill="FDFDFC"/>
          </w:tcPr>
          <w:p>
            <w:pPr>
              <w:spacing w:after="0"/>
              <w:rPr>
                <w:sz w:val="13"/>
                <w:szCs w:val="13"/>
                <w:color w:val="auto"/>
              </w:rPr>
            </w:pPr>
          </w:p>
        </w:tc>
        <w:tc>
          <w:tcPr>
            <w:tcW w:w="2420" w:type="dxa"/>
            <w:vAlign w:val="bottom"/>
            <w:shd w:val="clear" w:color="auto" w:fill="FDFDFC"/>
          </w:tcPr>
          <w:p>
            <w:pPr>
              <w:ind w:left="60"/>
              <w:spacing w:after="0" w:line="159" w:lineRule="exact"/>
              <w:rPr>
                <w:sz w:val="20"/>
                <w:szCs w:val="20"/>
                <w:color w:val="auto"/>
              </w:rPr>
            </w:pPr>
            <w:r>
              <w:rPr>
                <w:rFonts w:ascii="Times New Roman" w:cs="Times New Roman" w:eastAsia="Times New Roman" w:hAnsi="Times New Roman"/>
                <w:sz w:val="15"/>
                <w:szCs w:val="15"/>
                <w:color w:val="231F20"/>
              </w:rPr>
              <w:t>First-lien loan ($1,352 par, due</w:t>
            </w:r>
          </w:p>
        </w:tc>
        <w:tc>
          <w:tcPr>
            <w:tcW w:w="820" w:type="dxa"/>
            <w:vAlign w:val="bottom"/>
            <w:shd w:val="clear" w:color="auto" w:fill="FDFDFC"/>
          </w:tcPr>
          <w:p>
            <w:pPr>
              <w:jc w:val="right"/>
              <w:spacing w:after="0" w:line="159" w:lineRule="exact"/>
              <w:rPr>
                <w:sz w:val="20"/>
                <w:szCs w:val="20"/>
                <w:color w:val="auto"/>
              </w:rPr>
            </w:pPr>
            <w:r>
              <w:rPr>
                <w:rFonts w:ascii="Times New Roman" w:cs="Times New Roman" w:eastAsia="Times New Roman" w:hAnsi="Times New Roman"/>
                <w:sz w:val="15"/>
                <w:szCs w:val="15"/>
                <w:color w:val="231F20"/>
              </w:rPr>
              <w:t>6/10/2021</w:t>
            </w:r>
          </w:p>
        </w:tc>
        <w:tc>
          <w:tcPr>
            <w:tcW w:w="1040" w:type="dxa"/>
            <w:vAlign w:val="bottom"/>
            <w:shd w:val="clear" w:color="auto" w:fill="FDFDFC"/>
          </w:tcPr>
          <w:p>
            <w:pPr>
              <w:jc w:val="right"/>
              <w:ind w:right="84"/>
              <w:spacing w:after="0" w:line="159" w:lineRule="exact"/>
              <w:rPr>
                <w:sz w:val="20"/>
                <w:szCs w:val="20"/>
                <w:color w:val="auto"/>
              </w:rPr>
            </w:pPr>
            <w:r>
              <w:rPr>
                <w:rFonts w:ascii="Times New Roman" w:cs="Times New Roman" w:eastAsia="Times New Roman" w:hAnsi="Times New Roman"/>
                <w:sz w:val="15"/>
                <w:szCs w:val="15"/>
                <w:color w:val="231F20"/>
              </w:rPr>
              <w:t>SOFR +</w:t>
            </w:r>
          </w:p>
        </w:tc>
        <w:tc>
          <w:tcPr>
            <w:tcW w:w="1060" w:type="dxa"/>
            <w:vAlign w:val="bottom"/>
            <w:shd w:val="clear" w:color="auto" w:fill="FDFDFC"/>
          </w:tcPr>
          <w:p>
            <w:pPr>
              <w:jc w:val="right"/>
              <w:ind w:right="164"/>
              <w:spacing w:after="0" w:line="159" w:lineRule="exact"/>
              <w:rPr>
                <w:sz w:val="20"/>
                <w:szCs w:val="20"/>
                <w:color w:val="auto"/>
              </w:rPr>
            </w:pPr>
            <w:r>
              <w:rPr>
                <w:rFonts w:ascii="Times New Roman" w:cs="Times New Roman" w:eastAsia="Times New Roman" w:hAnsi="Times New Roman"/>
                <w:sz w:val="15"/>
                <w:szCs w:val="15"/>
                <w:color w:val="231F20"/>
              </w:rPr>
              <w:t>18.94%</w:t>
            </w:r>
          </w:p>
        </w:tc>
        <w:tc>
          <w:tcPr>
            <w:tcW w:w="100" w:type="dxa"/>
            <w:vAlign w:val="bottom"/>
            <w:shd w:val="clear" w:color="auto" w:fill="FDFDFC"/>
          </w:tcPr>
          <w:p>
            <w:pPr>
              <w:spacing w:after="0"/>
              <w:rPr>
                <w:sz w:val="13"/>
                <w:szCs w:val="13"/>
                <w:color w:val="auto"/>
              </w:rPr>
            </w:pPr>
          </w:p>
        </w:tc>
        <w:tc>
          <w:tcPr>
            <w:tcW w:w="900" w:type="dxa"/>
            <w:vAlign w:val="bottom"/>
            <w:shd w:val="clear" w:color="auto" w:fill="FDFDFC"/>
          </w:tcPr>
          <w:p>
            <w:pPr>
              <w:jc w:val="right"/>
              <w:spacing w:after="0" w:line="159" w:lineRule="exact"/>
              <w:rPr>
                <w:sz w:val="20"/>
                <w:szCs w:val="20"/>
                <w:color w:val="auto"/>
              </w:rPr>
            </w:pPr>
            <w:r>
              <w:rPr>
                <w:rFonts w:ascii="Times New Roman" w:cs="Times New Roman" w:eastAsia="Times New Roman" w:hAnsi="Times New Roman"/>
                <w:sz w:val="15"/>
                <w:szCs w:val="15"/>
                <w:color w:val="231F20"/>
              </w:rPr>
              <w:t>1,352</w:t>
            </w:r>
          </w:p>
        </w:tc>
        <w:tc>
          <w:tcPr>
            <w:tcW w:w="1140" w:type="dxa"/>
            <w:vAlign w:val="bottom"/>
            <w:gridSpan w:val="3"/>
            <w:shd w:val="clear" w:color="auto" w:fill="FDFDFC"/>
          </w:tcPr>
          <w:p>
            <w:pPr>
              <w:jc w:val="right"/>
              <w:spacing w:after="0" w:line="159" w:lineRule="exact"/>
              <w:rPr>
                <w:sz w:val="20"/>
                <w:szCs w:val="20"/>
                <w:color w:val="auto"/>
              </w:rPr>
            </w:pPr>
            <w:r>
              <w:rPr>
                <w:rFonts w:ascii="Times New Roman" w:cs="Times New Roman" w:eastAsia="Times New Roman" w:hAnsi="Times New Roman"/>
                <w:sz w:val="15"/>
                <w:szCs w:val="15"/>
                <w:color w:val="231F20"/>
              </w:rPr>
              <w:t>101</w:t>
            </w:r>
          </w:p>
        </w:tc>
        <w:tc>
          <w:tcPr>
            <w:tcW w:w="1340" w:type="dxa"/>
            <w:vAlign w:val="bottom"/>
            <w:gridSpan w:val="3"/>
            <w:shd w:val="clear" w:color="auto" w:fill="FDFDFC"/>
          </w:tcPr>
          <w:p>
            <w:pPr>
              <w:jc w:val="right"/>
              <w:ind w:right="120"/>
              <w:spacing w:after="0" w:line="159" w:lineRule="exact"/>
              <w:rPr>
                <w:sz w:val="20"/>
                <w:szCs w:val="20"/>
                <w:color w:val="auto"/>
              </w:rPr>
            </w:pPr>
            <w:r>
              <w:rPr>
                <w:rFonts w:ascii="Times New Roman" w:cs="Times New Roman" w:eastAsia="Times New Roman" w:hAnsi="Times New Roman"/>
                <w:sz w:val="15"/>
                <w:szCs w:val="15"/>
                <w:color w:val="231F20"/>
              </w:rPr>
              <w:t>0.0%</w:t>
            </w:r>
          </w:p>
        </w:tc>
        <w:tc>
          <w:tcPr>
            <w:tcW w:w="0" w:type="dxa"/>
            <w:vAlign w:val="bottom"/>
          </w:tcPr>
          <w:p>
            <w:pPr>
              <w:spacing w:after="0"/>
              <w:rPr>
                <w:sz w:val="1"/>
                <w:szCs w:val="1"/>
                <w:color w:val="auto"/>
              </w:rPr>
            </w:pPr>
          </w:p>
        </w:tc>
      </w:tr>
      <w:tr>
        <w:trPr>
          <w:trHeight w:val="189"/>
        </w:trPr>
        <w:tc>
          <w:tcPr>
            <w:tcW w:w="1460" w:type="dxa"/>
            <w:vAlign w:val="bottom"/>
            <w:shd w:val="clear" w:color="auto" w:fill="FDFDFC"/>
          </w:tcPr>
          <w:p>
            <w:pPr>
              <w:spacing w:after="0"/>
              <w:rPr>
                <w:sz w:val="16"/>
                <w:szCs w:val="16"/>
                <w:color w:val="auto"/>
              </w:rPr>
            </w:pPr>
          </w:p>
        </w:tc>
        <w:tc>
          <w:tcPr>
            <w:tcW w:w="2420" w:type="dxa"/>
            <w:vAlign w:val="bottom"/>
            <w:shd w:val="clear" w:color="auto" w:fill="FDFDFC"/>
          </w:tcPr>
          <w:p>
            <w:pPr>
              <w:ind w:left="60"/>
              <w:spacing w:after="0"/>
              <w:rPr>
                <w:sz w:val="20"/>
                <w:szCs w:val="20"/>
                <w:color w:val="auto"/>
              </w:rPr>
            </w:pPr>
            <w:r>
              <w:rPr>
                <w:rFonts w:ascii="Times New Roman" w:cs="Times New Roman" w:eastAsia="Times New Roman" w:hAnsi="Times New Roman"/>
                <w:sz w:val="15"/>
                <w:szCs w:val="15"/>
                <w:color w:val="231F20"/>
              </w:rPr>
              <w:t>9/2026)</w:t>
            </w:r>
          </w:p>
        </w:tc>
        <w:tc>
          <w:tcPr>
            <w:tcW w:w="820" w:type="dxa"/>
            <w:vAlign w:val="bottom"/>
            <w:shd w:val="clear" w:color="auto" w:fill="FDFDFC"/>
          </w:tcPr>
          <w:p>
            <w:pPr>
              <w:spacing w:after="0"/>
              <w:rPr>
                <w:sz w:val="16"/>
                <w:szCs w:val="16"/>
                <w:color w:val="auto"/>
              </w:rPr>
            </w:pPr>
          </w:p>
        </w:tc>
        <w:tc>
          <w:tcPr>
            <w:tcW w:w="1040" w:type="dxa"/>
            <w:vAlign w:val="bottom"/>
            <w:shd w:val="clear" w:color="auto" w:fill="FDFDFC"/>
          </w:tcPr>
          <w:p>
            <w:pPr>
              <w:jc w:val="right"/>
              <w:ind w:right="84"/>
              <w:spacing w:after="0"/>
              <w:rPr>
                <w:sz w:val="20"/>
                <w:szCs w:val="20"/>
                <w:color w:val="auto"/>
              </w:rPr>
            </w:pPr>
            <w:r>
              <w:rPr>
                <w:rFonts w:ascii="Times New Roman" w:cs="Times New Roman" w:eastAsia="Times New Roman" w:hAnsi="Times New Roman"/>
                <w:sz w:val="15"/>
                <w:szCs w:val="15"/>
                <w:color w:val="231F20"/>
              </w:rPr>
              <w:t>14.10%</w:t>
            </w:r>
          </w:p>
        </w:tc>
        <w:tc>
          <w:tcPr>
            <w:tcW w:w="1160" w:type="dxa"/>
            <w:vAlign w:val="bottom"/>
            <w:gridSpan w:val="2"/>
            <w:shd w:val="clear" w:color="auto" w:fill="FDFDFC"/>
          </w:tcPr>
          <w:p>
            <w:pPr>
              <w:jc w:val="right"/>
              <w:ind w:right="340"/>
              <w:spacing w:after="0"/>
              <w:rPr>
                <w:sz w:val="20"/>
                <w:szCs w:val="20"/>
                <w:color w:val="auto"/>
              </w:rPr>
            </w:pPr>
            <w:r>
              <w:rPr>
                <w:rFonts w:ascii="Times New Roman" w:cs="Times New Roman" w:eastAsia="Times New Roman" w:hAnsi="Times New Roman"/>
                <w:sz w:val="15"/>
                <w:szCs w:val="15"/>
                <w:color w:val="231F20"/>
              </w:rPr>
              <w:t>PIK</w:t>
            </w:r>
          </w:p>
        </w:tc>
        <w:tc>
          <w:tcPr>
            <w:tcW w:w="900" w:type="dxa"/>
            <w:vAlign w:val="bottom"/>
            <w:shd w:val="clear" w:color="auto" w:fill="FDFDFC"/>
          </w:tcPr>
          <w:p>
            <w:pPr>
              <w:spacing w:after="0"/>
              <w:rPr>
                <w:sz w:val="16"/>
                <w:szCs w:val="16"/>
                <w:color w:val="auto"/>
              </w:rPr>
            </w:pPr>
          </w:p>
        </w:tc>
        <w:tc>
          <w:tcPr>
            <w:tcW w:w="180" w:type="dxa"/>
            <w:vAlign w:val="bottom"/>
            <w:shd w:val="clear" w:color="auto" w:fill="FDFDFC"/>
          </w:tcPr>
          <w:p>
            <w:pPr>
              <w:spacing w:after="0"/>
              <w:rPr>
                <w:sz w:val="16"/>
                <w:szCs w:val="16"/>
                <w:color w:val="auto"/>
              </w:rPr>
            </w:pPr>
          </w:p>
        </w:tc>
        <w:tc>
          <w:tcPr>
            <w:tcW w:w="100" w:type="dxa"/>
            <w:vAlign w:val="bottom"/>
            <w:shd w:val="clear" w:color="auto" w:fill="FDFDFC"/>
          </w:tcPr>
          <w:p>
            <w:pPr>
              <w:spacing w:after="0"/>
              <w:rPr>
                <w:sz w:val="16"/>
                <w:szCs w:val="16"/>
                <w:color w:val="auto"/>
              </w:rPr>
            </w:pPr>
          </w:p>
        </w:tc>
        <w:tc>
          <w:tcPr>
            <w:tcW w:w="860" w:type="dxa"/>
            <w:vAlign w:val="bottom"/>
            <w:shd w:val="clear" w:color="auto" w:fill="FDFDFC"/>
          </w:tcPr>
          <w:p>
            <w:pPr>
              <w:spacing w:after="0"/>
              <w:rPr>
                <w:sz w:val="16"/>
                <w:szCs w:val="16"/>
                <w:color w:val="auto"/>
              </w:rPr>
            </w:pPr>
          </w:p>
        </w:tc>
        <w:tc>
          <w:tcPr>
            <w:tcW w:w="200" w:type="dxa"/>
            <w:vAlign w:val="bottom"/>
            <w:shd w:val="clear" w:color="auto" w:fill="FDFDFC"/>
          </w:tcPr>
          <w:p>
            <w:pPr>
              <w:spacing w:after="0"/>
              <w:rPr>
                <w:sz w:val="16"/>
                <w:szCs w:val="16"/>
                <w:color w:val="auto"/>
              </w:rPr>
            </w:pPr>
          </w:p>
        </w:tc>
        <w:tc>
          <w:tcPr>
            <w:tcW w:w="900" w:type="dxa"/>
            <w:vAlign w:val="bottom"/>
            <w:shd w:val="clear" w:color="auto" w:fill="FDFDFC"/>
          </w:tcPr>
          <w:p>
            <w:pPr>
              <w:spacing w:after="0"/>
              <w:rPr>
                <w:sz w:val="16"/>
                <w:szCs w:val="16"/>
                <w:color w:val="auto"/>
              </w:rPr>
            </w:pPr>
          </w:p>
        </w:tc>
        <w:tc>
          <w:tcPr>
            <w:tcW w:w="240" w:type="dxa"/>
            <w:vAlign w:val="bottom"/>
            <w:shd w:val="clear" w:color="auto" w:fill="FDFDFC"/>
          </w:tcPr>
          <w:p>
            <w:pPr>
              <w:spacing w:after="0"/>
              <w:rPr>
                <w:sz w:val="16"/>
                <w:szCs w:val="16"/>
                <w:color w:val="auto"/>
              </w:rPr>
            </w:pPr>
          </w:p>
        </w:tc>
        <w:tc>
          <w:tcPr>
            <w:tcW w:w="0" w:type="dxa"/>
            <w:vAlign w:val="bottom"/>
          </w:tcPr>
          <w:p>
            <w:pPr>
              <w:spacing w:after="0"/>
              <w:rPr>
                <w:sz w:val="1"/>
                <w:szCs w:val="1"/>
                <w:color w:val="auto"/>
              </w:rPr>
            </w:pPr>
          </w:p>
        </w:tc>
      </w:tr>
      <w:tr>
        <w:trPr>
          <w:trHeight w:val="158"/>
        </w:trPr>
        <w:tc>
          <w:tcPr>
            <w:tcW w:w="1460" w:type="dxa"/>
            <w:vAlign w:val="bottom"/>
            <w:shd w:val="clear" w:color="auto" w:fill="D0EBF2"/>
          </w:tcPr>
          <w:p>
            <w:pPr>
              <w:spacing w:after="0"/>
              <w:rPr>
                <w:sz w:val="13"/>
                <w:szCs w:val="13"/>
                <w:color w:val="auto"/>
              </w:rPr>
            </w:pPr>
          </w:p>
        </w:tc>
        <w:tc>
          <w:tcPr>
            <w:tcW w:w="2420" w:type="dxa"/>
            <w:vAlign w:val="bottom"/>
            <w:shd w:val="clear" w:color="auto" w:fill="D0EBF2"/>
          </w:tcPr>
          <w:p>
            <w:pPr>
              <w:ind w:left="60"/>
              <w:spacing w:after="0" w:line="159" w:lineRule="exact"/>
              <w:rPr>
                <w:sz w:val="20"/>
                <w:szCs w:val="20"/>
                <w:color w:val="auto"/>
              </w:rPr>
            </w:pPr>
            <w:r>
              <w:rPr>
                <w:rFonts w:ascii="Times New Roman" w:cs="Times New Roman" w:eastAsia="Times New Roman" w:hAnsi="Times New Roman"/>
                <w:sz w:val="15"/>
                <w:szCs w:val="15"/>
                <w:color w:val="231F20"/>
              </w:rPr>
              <w:t>Subordinated note ($4,740 par, due</w:t>
            </w:r>
          </w:p>
        </w:tc>
        <w:tc>
          <w:tcPr>
            <w:tcW w:w="820" w:type="dxa"/>
            <w:vAlign w:val="bottom"/>
            <w:shd w:val="clear" w:color="auto" w:fill="D0EBF2"/>
          </w:tcPr>
          <w:p>
            <w:pPr>
              <w:jc w:val="right"/>
              <w:spacing w:after="0" w:line="159" w:lineRule="exact"/>
              <w:rPr>
                <w:sz w:val="20"/>
                <w:szCs w:val="20"/>
                <w:color w:val="auto"/>
              </w:rPr>
            </w:pPr>
            <w:r>
              <w:rPr>
                <w:rFonts w:ascii="Times New Roman" w:cs="Times New Roman" w:eastAsia="Times New Roman" w:hAnsi="Times New Roman"/>
                <w:sz w:val="15"/>
                <w:szCs w:val="15"/>
                <w:color w:val="231F20"/>
              </w:rPr>
              <w:t>3/16/2021</w:t>
            </w:r>
          </w:p>
        </w:tc>
        <w:tc>
          <w:tcPr>
            <w:tcW w:w="1040" w:type="dxa"/>
            <w:vAlign w:val="bottom"/>
            <w:shd w:val="clear" w:color="auto" w:fill="D0EBF2"/>
          </w:tcPr>
          <w:p>
            <w:pPr>
              <w:jc w:val="right"/>
              <w:ind w:right="84"/>
              <w:spacing w:after="0" w:line="159" w:lineRule="exact"/>
              <w:rPr>
                <w:sz w:val="20"/>
                <w:szCs w:val="20"/>
                <w:color w:val="auto"/>
              </w:rPr>
            </w:pPr>
            <w:r>
              <w:rPr>
                <w:rFonts w:ascii="Times New Roman" w:cs="Times New Roman" w:eastAsia="Times New Roman" w:hAnsi="Times New Roman"/>
                <w:sz w:val="15"/>
                <w:szCs w:val="15"/>
                <w:color w:val="231F20"/>
              </w:rPr>
              <w:t>SOFR +</w:t>
            </w:r>
          </w:p>
        </w:tc>
        <w:tc>
          <w:tcPr>
            <w:tcW w:w="1160" w:type="dxa"/>
            <w:vAlign w:val="bottom"/>
            <w:gridSpan w:val="2"/>
            <w:shd w:val="clear" w:color="auto" w:fill="D0EBF2"/>
          </w:tcPr>
          <w:p>
            <w:pPr>
              <w:jc w:val="right"/>
              <w:ind w:right="340"/>
              <w:spacing w:after="0" w:line="159" w:lineRule="exact"/>
              <w:rPr>
                <w:sz w:val="20"/>
                <w:szCs w:val="20"/>
                <w:color w:val="auto"/>
              </w:rPr>
            </w:pPr>
            <w:r>
              <w:rPr>
                <w:rFonts w:ascii="Times New Roman" w:cs="Times New Roman" w:eastAsia="Times New Roman" w:hAnsi="Times New Roman"/>
                <w:sz w:val="15"/>
                <w:szCs w:val="15"/>
                <w:color w:val="231F20"/>
              </w:rPr>
              <w:t>6.54% PIK</w:t>
            </w:r>
          </w:p>
        </w:tc>
        <w:tc>
          <w:tcPr>
            <w:tcW w:w="900" w:type="dxa"/>
            <w:vAlign w:val="bottom"/>
            <w:shd w:val="clear" w:color="auto" w:fill="D0EBF2"/>
          </w:tcPr>
          <w:p>
            <w:pPr>
              <w:jc w:val="right"/>
              <w:spacing w:after="0" w:line="159" w:lineRule="exact"/>
              <w:rPr>
                <w:sz w:val="20"/>
                <w:szCs w:val="20"/>
                <w:color w:val="auto"/>
              </w:rPr>
            </w:pPr>
            <w:r>
              <w:rPr>
                <w:rFonts w:ascii="Times New Roman" w:cs="Times New Roman" w:eastAsia="Times New Roman" w:hAnsi="Times New Roman"/>
                <w:sz w:val="15"/>
                <w:szCs w:val="15"/>
                <w:color w:val="231F20"/>
              </w:rPr>
              <w:t>545</w:t>
            </w:r>
          </w:p>
        </w:tc>
        <w:tc>
          <w:tcPr>
            <w:tcW w:w="1140" w:type="dxa"/>
            <w:vAlign w:val="bottom"/>
            <w:gridSpan w:val="3"/>
            <w:shd w:val="clear" w:color="auto" w:fill="D0EBF2"/>
          </w:tcPr>
          <w:p>
            <w:pPr>
              <w:jc w:val="right"/>
              <w:spacing w:after="0" w:line="159" w:lineRule="exact"/>
              <w:rPr>
                <w:sz w:val="20"/>
                <w:szCs w:val="20"/>
                <w:color w:val="auto"/>
              </w:rPr>
            </w:pPr>
            <w:r>
              <w:rPr>
                <w:rFonts w:ascii="Times New Roman" w:cs="Times New Roman" w:eastAsia="Times New Roman" w:hAnsi="Times New Roman"/>
                <w:sz w:val="15"/>
                <w:szCs w:val="15"/>
                <w:color w:val="231F20"/>
              </w:rPr>
              <w:t>71</w:t>
            </w:r>
          </w:p>
        </w:tc>
        <w:tc>
          <w:tcPr>
            <w:tcW w:w="1340" w:type="dxa"/>
            <w:vAlign w:val="bottom"/>
            <w:gridSpan w:val="3"/>
            <w:shd w:val="clear" w:color="auto" w:fill="D0EBF2"/>
          </w:tcPr>
          <w:p>
            <w:pPr>
              <w:jc w:val="right"/>
              <w:ind w:right="120"/>
              <w:spacing w:after="0" w:line="159" w:lineRule="exact"/>
              <w:rPr>
                <w:sz w:val="20"/>
                <w:szCs w:val="20"/>
                <w:color w:val="auto"/>
              </w:rPr>
            </w:pPr>
            <w:r>
              <w:rPr>
                <w:rFonts w:ascii="Times New Roman" w:cs="Times New Roman" w:eastAsia="Times New Roman" w:hAnsi="Times New Roman"/>
                <w:sz w:val="15"/>
                <w:szCs w:val="15"/>
                <w:color w:val="231F20"/>
              </w:rPr>
              <w:t>0.0%</w:t>
            </w:r>
          </w:p>
        </w:tc>
        <w:tc>
          <w:tcPr>
            <w:tcW w:w="0" w:type="dxa"/>
            <w:vAlign w:val="bottom"/>
          </w:tcPr>
          <w:p>
            <w:pPr>
              <w:spacing w:after="0"/>
              <w:rPr>
                <w:sz w:val="1"/>
                <w:szCs w:val="1"/>
                <w:color w:val="auto"/>
              </w:rPr>
            </w:pPr>
          </w:p>
        </w:tc>
      </w:tr>
      <w:tr>
        <w:trPr>
          <w:trHeight w:val="189"/>
        </w:trPr>
        <w:tc>
          <w:tcPr>
            <w:tcW w:w="1460" w:type="dxa"/>
            <w:vAlign w:val="bottom"/>
            <w:shd w:val="clear" w:color="auto" w:fill="D0EBF2"/>
          </w:tcPr>
          <w:p>
            <w:pPr>
              <w:spacing w:after="0"/>
              <w:rPr>
                <w:sz w:val="16"/>
                <w:szCs w:val="16"/>
                <w:color w:val="auto"/>
              </w:rPr>
            </w:pPr>
          </w:p>
        </w:tc>
        <w:tc>
          <w:tcPr>
            <w:tcW w:w="2420" w:type="dxa"/>
            <w:vAlign w:val="bottom"/>
            <w:shd w:val="clear" w:color="auto" w:fill="D0EBF2"/>
          </w:tcPr>
          <w:p>
            <w:pPr>
              <w:ind w:left="60"/>
              <w:spacing w:after="0"/>
              <w:rPr>
                <w:sz w:val="20"/>
                <w:szCs w:val="20"/>
                <w:color w:val="auto"/>
              </w:rPr>
            </w:pPr>
            <w:r>
              <w:rPr>
                <w:rFonts w:ascii="Times New Roman" w:cs="Times New Roman" w:eastAsia="Times New Roman" w:hAnsi="Times New Roman"/>
                <w:sz w:val="15"/>
                <w:szCs w:val="15"/>
                <w:color w:val="231F20"/>
              </w:rPr>
              <w:t>9/2026)</w:t>
            </w:r>
          </w:p>
        </w:tc>
        <w:tc>
          <w:tcPr>
            <w:tcW w:w="820" w:type="dxa"/>
            <w:vAlign w:val="bottom"/>
            <w:shd w:val="clear" w:color="auto" w:fill="D0EBF2"/>
          </w:tcPr>
          <w:p>
            <w:pPr>
              <w:spacing w:after="0"/>
              <w:rPr>
                <w:sz w:val="16"/>
                <w:szCs w:val="16"/>
                <w:color w:val="auto"/>
              </w:rPr>
            </w:pPr>
          </w:p>
        </w:tc>
        <w:tc>
          <w:tcPr>
            <w:tcW w:w="1040" w:type="dxa"/>
            <w:vAlign w:val="bottom"/>
            <w:shd w:val="clear" w:color="auto" w:fill="D0EBF2"/>
          </w:tcPr>
          <w:p>
            <w:pPr>
              <w:jc w:val="right"/>
              <w:ind w:right="84"/>
              <w:spacing w:after="0"/>
              <w:rPr>
                <w:sz w:val="20"/>
                <w:szCs w:val="20"/>
                <w:color w:val="auto"/>
              </w:rPr>
            </w:pPr>
            <w:r>
              <w:rPr>
                <w:rFonts w:ascii="Times New Roman" w:cs="Times New Roman" w:eastAsia="Times New Roman" w:hAnsi="Times New Roman"/>
                <w:sz w:val="15"/>
                <w:szCs w:val="15"/>
                <w:color w:val="231F20"/>
              </w:rPr>
              <w:t>1.15%</w:t>
            </w:r>
          </w:p>
        </w:tc>
        <w:tc>
          <w:tcPr>
            <w:tcW w:w="1060" w:type="dxa"/>
            <w:vAlign w:val="bottom"/>
            <w:shd w:val="clear" w:color="auto" w:fill="D0EBF2"/>
          </w:tcPr>
          <w:p>
            <w:pPr>
              <w:spacing w:after="0"/>
              <w:rPr>
                <w:sz w:val="16"/>
                <w:szCs w:val="16"/>
                <w:color w:val="auto"/>
              </w:rPr>
            </w:pPr>
          </w:p>
        </w:tc>
        <w:tc>
          <w:tcPr>
            <w:tcW w:w="100" w:type="dxa"/>
            <w:vAlign w:val="bottom"/>
            <w:shd w:val="clear" w:color="auto" w:fill="D0EBF2"/>
          </w:tcPr>
          <w:p>
            <w:pPr>
              <w:spacing w:after="0"/>
              <w:rPr>
                <w:sz w:val="16"/>
                <w:szCs w:val="16"/>
                <w:color w:val="auto"/>
              </w:rPr>
            </w:pPr>
          </w:p>
        </w:tc>
        <w:tc>
          <w:tcPr>
            <w:tcW w:w="900" w:type="dxa"/>
            <w:vAlign w:val="bottom"/>
            <w:shd w:val="clear" w:color="auto" w:fill="D0EBF2"/>
          </w:tcPr>
          <w:p>
            <w:pPr>
              <w:spacing w:after="0"/>
              <w:rPr>
                <w:sz w:val="16"/>
                <w:szCs w:val="16"/>
                <w:color w:val="auto"/>
              </w:rPr>
            </w:pPr>
          </w:p>
        </w:tc>
        <w:tc>
          <w:tcPr>
            <w:tcW w:w="180" w:type="dxa"/>
            <w:vAlign w:val="bottom"/>
            <w:shd w:val="clear" w:color="auto" w:fill="D0EBF2"/>
          </w:tcPr>
          <w:p>
            <w:pPr>
              <w:spacing w:after="0"/>
              <w:rPr>
                <w:sz w:val="16"/>
                <w:szCs w:val="16"/>
                <w:color w:val="auto"/>
              </w:rPr>
            </w:pPr>
          </w:p>
        </w:tc>
        <w:tc>
          <w:tcPr>
            <w:tcW w:w="100" w:type="dxa"/>
            <w:vAlign w:val="bottom"/>
            <w:shd w:val="clear" w:color="auto" w:fill="D0EBF2"/>
          </w:tcPr>
          <w:p>
            <w:pPr>
              <w:spacing w:after="0"/>
              <w:rPr>
                <w:sz w:val="16"/>
                <w:szCs w:val="16"/>
                <w:color w:val="auto"/>
              </w:rPr>
            </w:pPr>
          </w:p>
        </w:tc>
        <w:tc>
          <w:tcPr>
            <w:tcW w:w="860" w:type="dxa"/>
            <w:vAlign w:val="bottom"/>
            <w:shd w:val="clear" w:color="auto" w:fill="D0EBF2"/>
          </w:tcPr>
          <w:p>
            <w:pPr>
              <w:spacing w:after="0"/>
              <w:rPr>
                <w:sz w:val="16"/>
                <w:szCs w:val="16"/>
                <w:color w:val="auto"/>
              </w:rPr>
            </w:pPr>
          </w:p>
        </w:tc>
        <w:tc>
          <w:tcPr>
            <w:tcW w:w="200" w:type="dxa"/>
            <w:vAlign w:val="bottom"/>
            <w:shd w:val="clear" w:color="auto" w:fill="D0EBF2"/>
          </w:tcPr>
          <w:p>
            <w:pPr>
              <w:spacing w:after="0"/>
              <w:rPr>
                <w:sz w:val="16"/>
                <w:szCs w:val="16"/>
                <w:color w:val="auto"/>
              </w:rPr>
            </w:pPr>
          </w:p>
        </w:tc>
        <w:tc>
          <w:tcPr>
            <w:tcW w:w="900" w:type="dxa"/>
            <w:vAlign w:val="bottom"/>
            <w:shd w:val="clear" w:color="auto" w:fill="D0EBF2"/>
          </w:tcPr>
          <w:p>
            <w:pPr>
              <w:spacing w:after="0"/>
              <w:rPr>
                <w:sz w:val="16"/>
                <w:szCs w:val="16"/>
                <w:color w:val="auto"/>
              </w:rPr>
            </w:pPr>
          </w:p>
        </w:tc>
        <w:tc>
          <w:tcPr>
            <w:tcW w:w="240" w:type="dxa"/>
            <w:vAlign w:val="bottom"/>
            <w:shd w:val="clear" w:color="auto" w:fill="D0EBF2"/>
          </w:tcPr>
          <w:p>
            <w:pPr>
              <w:spacing w:after="0"/>
              <w:rPr>
                <w:sz w:val="16"/>
                <w:szCs w:val="16"/>
                <w:color w:val="auto"/>
              </w:rPr>
            </w:pPr>
          </w:p>
        </w:tc>
        <w:tc>
          <w:tcPr>
            <w:tcW w:w="0" w:type="dxa"/>
            <w:vAlign w:val="bottom"/>
          </w:tcPr>
          <w:p>
            <w:pPr>
              <w:spacing w:after="0"/>
              <w:rPr>
                <w:sz w:val="1"/>
                <w:szCs w:val="1"/>
                <w:color w:val="auto"/>
              </w:rPr>
            </w:pPr>
          </w:p>
        </w:tc>
      </w:tr>
      <w:tr>
        <w:trPr>
          <w:trHeight w:val="158"/>
        </w:trPr>
        <w:tc>
          <w:tcPr>
            <w:tcW w:w="1460" w:type="dxa"/>
            <w:vAlign w:val="bottom"/>
            <w:shd w:val="clear" w:color="auto" w:fill="FDFDFC"/>
          </w:tcPr>
          <w:p>
            <w:pPr>
              <w:spacing w:after="0" w:line="159" w:lineRule="exact"/>
              <w:rPr>
                <w:sz w:val="20"/>
                <w:szCs w:val="20"/>
                <w:color w:val="auto"/>
              </w:rPr>
            </w:pPr>
            <w:r>
              <w:rPr>
                <w:rFonts w:ascii="Times New Roman" w:cs="Times New Roman" w:eastAsia="Times New Roman" w:hAnsi="Times New Roman"/>
                <w:sz w:val="15"/>
                <w:szCs w:val="15"/>
                <w:color w:val="231F20"/>
              </w:rPr>
              <w:t>Bed Bath and Beyond</w:t>
            </w:r>
          </w:p>
        </w:tc>
        <w:tc>
          <w:tcPr>
            <w:tcW w:w="2420" w:type="dxa"/>
            <w:vAlign w:val="bottom"/>
            <w:shd w:val="clear" w:color="auto" w:fill="FDFDFC"/>
          </w:tcPr>
          <w:p>
            <w:pPr>
              <w:ind w:left="60"/>
              <w:spacing w:after="0" w:line="159" w:lineRule="exact"/>
              <w:rPr>
                <w:sz w:val="20"/>
                <w:szCs w:val="20"/>
                <w:color w:val="auto"/>
              </w:rPr>
            </w:pPr>
            <w:r>
              <w:rPr>
                <w:rFonts w:ascii="Times New Roman" w:cs="Times New Roman" w:eastAsia="Times New Roman" w:hAnsi="Times New Roman"/>
                <w:sz w:val="15"/>
                <w:szCs w:val="15"/>
                <w:color w:val="231F20"/>
              </w:rPr>
              <w:t>ABL FILO term loan ($14,065 par,</w:t>
            </w:r>
          </w:p>
        </w:tc>
        <w:tc>
          <w:tcPr>
            <w:tcW w:w="820" w:type="dxa"/>
            <w:vAlign w:val="bottom"/>
            <w:shd w:val="clear" w:color="auto" w:fill="FDFDFC"/>
          </w:tcPr>
          <w:p>
            <w:pPr>
              <w:jc w:val="right"/>
              <w:spacing w:after="0" w:line="159" w:lineRule="exact"/>
              <w:rPr>
                <w:sz w:val="20"/>
                <w:szCs w:val="20"/>
                <w:color w:val="auto"/>
              </w:rPr>
            </w:pPr>
            <w:r>
              <w:rPr>
                <w:rFonts w:ascii="Times New Roman" w:cs="Times New Roman" w:eastAsia="Times New Roman" w:hAnsi="Times New Roman"/>
                <w:sz w:val="15"/>
                <w:szCs w:val="15"/>
                <w:color w:val="231F20"/>
              </w:rPr>
              <w:t>9/2/2022</w:t>
            </w:r>
          </w:p>
        </w:tc>
        <w:tc>
          <w:tcPr>
            <w:tcW w:w="1040" w:type="dxa"/>
            <w:vAlign w:val="bottom"/>
            <w:shd w:val="clear" w:color="auto" w:fill="FDFDFC"/>
          </w:tcPr>
          <w:p>
            <w:pPr>
              <w:jc w:val="right"/>
              <w:ind w:right="84"/>
              <w:spacing w:after="0" w:line="159" w:lineRule="exact"/>
              <w:rPr>
                <w:sz w:val="20"/>
                <w:szCs w:val="20"/>
                <w:color w:val="auto"/>
              </w:rPr>
            </w:pPr>
            <w:r>
              <w:rPr>
                <w:rFonts w:ascii="Times New Roman" w:cs="Times New Roman" w:eastAsia="Times New Roman" w:hAnsi="Times New Roman"/>
                <w:sz w:val="15"/>
                <w:szCs w:val="15"/>
                <w:color w:val="231F20"/>
              </w:rPr>
              <w:t>SOFR +</w:t>
            </w:r>
          </w:p>
        </w:tc>
        <w:tc>
          <w:tcPr>
            <w:tcW w:w="1060" w:type="dxa"/>
            <w:vAlign w:val="bottom"/>
            <w:shd w:val="clear" w:color="auto" w:fill="FDFDFC"/>
          </w:tcPr>
          <w:p>
            <w:pPr>
              <w:jc w:val="right"/>
              <w:ind w:right="24"/>
              <w:spacing w:after="0" w:line="159" w:lineRule="exact"/>
              <w:rPr>
                <w:sz w:val="20"/>
                <w:szCs w:val="20"/>
                <w:color w:val="auto"/>
              </w:rPr>
            </w:pPr>
            <w:r>
              <w:rPr>
                <w:rFonts w:ascii="Times New Roman" w:cs="Times New Roman" w:eastAsia="Times New Roman" w:hAnsi="Times New Roman"/>
                <w:sz w:val="15"/>
                <w:szCs w:val="15"/>
                <w:color w:val="231F20"/>
              </w:rPr>
              <w:t>15.26%</w:t>
            </w:r>
          </w:p>
        </w:tc>
        <w:tc>
          <w:tcPr>
            <w:tcW w:w="100" w:type="dxa"/>
            <w:vAlign w:val="bottom"/>
            <w:shd w:val="clear" w:color="auto" w:fill="FDFDFC"/>
          </w:tcPr>
          <w:p>
            <w:pPr>
              <w:spacing w:after="0"/>
              <w:rPr>
                <w:sz w:val="13"/>
                <w:szCs w:val="13"/>
                <w:color w:val="auto"/>
              </w:rPr>
            </w:pPr>
          </w:p>
        </w:tc>
        <w:tc>
          <w:tcPr>
            <w:tcW w:w="900" w:type="dxa"/>
            <w:vAlign w:val="bottom"/>
            <w:shd w:val="clear" w:color="auto" w:fill="FDFDFC"/>
          </w:tcPr>
          <w:p>
            <w:pPr>
              <w:jc w:val="right"/>
              <w:spacing w:after="0" w:line="159" w:lineRule="exact"/>
              <w:rPr>
                <w:sz w:val="20"/>
                <w:szCs w:val="20"/>
                <w:color w:val="auto"/>
              </w:rPr>
            </w:pPr>
            <w:r>
              <w:rPr>
                <w:rFonts w:ascii="Times New Roman" w:cs="Times New Roman" w:eastAsia="Times New Roman" w:hAnsi="Times New Roman"/>
                <w:sz w:val="15"/>
                <w:szCs w:val="15"/>
                <w:color w:val="231F20"/>
              </w:rPr>
              <w:t>13,787</w:t>
            </w:r>
          </w:p>
        </w:tc>
        <w:tc>
          <w:tcPr>
            <w:tcW w:w="1140" w:type="dxa"/>
            <w:vAlign w:val="bottom"/>
            <w:gridSpan w:val="3"/>
            <w:shd w:val="clear" w:color="auto" w:fill="FDFDFC"/>
          </w:tcPr>
          <w:p>
            <w:pPr>
              <w:jc w:val="right"/>
              <w:spacing w:after="0" w:line="159" w:lineRule="exact"/>
              <w:rPr>
                <w:sz w:val="20"/>
                <w:szCs w:val="20"/>
                <w:color w:val="auto"/>
              </w:rPr>
            </w:pPr>
            <w:r>
              <w:rPr>
                <w:rFonts w:ascii="Times New Roman" w:cs="Times New Roman" w:eastAsia="Times New Roman" w:hAnsi="Times New Roman"/>
                <w:sz w:val="15"/>
                <w:szCs w:val="15"/>
                <w:color w:val="231F20"/>
              </w:rPr>
              <w:t>13,468</w:t>
            </w:r>
          </w:p>
        </w:tc>
        <w:tc>
          <w:tcPr>
            <w:tcW w:w="1340" w:type="dxa"/>
            <w:vAlign w:val="bottom"/>
            <w:gridSpan w:val="3"/>
            <w:shd w:val="clear" w:color="auto" w:fill="FDFDFC"/>
          </w:tcPr>
          <w:p>
            <w:pPr>
              <w:jc w:val="right"/>
              <w:ind w:right="120"/>
              <w:spacing w:after="0" w:line="159" w:lineRule="exact"/>
              <w:rPr>
                <w:sz w:val="20"/>
                <w:szCs w:val="20"/>
                <w:color w:val="auto"/>
              </w:rPr>
            </w:pPr>
            <w:r>
              <w:rPr>
                <w:rFonts w:ascii="Times New Roman" w:cs="Times New Roman" w:eastAsia="Times New Roman" w:hAnsi="Times New Roman"/>
                <w:sz w:val="15"/>
                <w:szCs w:val="15"/>
                <w:color w:val="231F20"/>
              </w:rPr>
              <w:t>0.9%</w:t>
            </w:r>
          </w:p>
        </w:tc>
        <w:tc>
          <w:tcPr>
            <w:tcW w:w="0" w:type="dxa"/>
            <w:vAlign w:val="bottom"/>
          </w:tcPr>
          <w:p>
            <w:pPr>
              <w:spacing w:after="0"/>
              <w:rPr>
                <w:sz w:val="1"/>
                <w:szCs w:val="1"/>
                <w:color w:val="auto"/>
              </w:rPr>
            </w:pPr>
          </w:p>
        </w:tc>
      </w:tr>
      <w:tr>
        <w:trPr>
          <w:trHeight w:val="189"/>
        </w:trPr>
        <w:tc>
          <w:tcPr>
            <w:tcW w:w="1460" w:type="dxa"/>
            <w:vAlign w:val="bottom"/>
            <w:shd w:val="clear" w:color="auto" w:fill="FDFDFC"/>
          </w:tcPr>
          <w:p>
            <w:pPr>
              <w:spacing w:after="0" w:line="190" w:lineRule="exact"/>
              <w:rPr>
                <w:sz w:val="20"/>
                <w:szCs w:val="20"/>
                <w:color w:val="auto"/>
              </w:rPr>
            </w:pPr>
            <w:r>
              <w:rPr>
                <w:rFonts w:ascii="Times New Roman" w:cs="Times New Roman" w:eastAsia="Times New Roman" w:hAnsi="Times New Roman"/>
                <w:sz w:val="21"/>
                <w:szCs w:val="21"/>
                <w:color w:val="231F20"/>
                <w:vertAlign w:val="subscript"/>
              </w:rPr>
              <w:t>Inc.</w:t>
            </w:r>
            <w:r>
              <w:rPr>
                <w:rFonts w:ascii="Times New Roman" w:cs="Times New Roman" w:eastAsia="Times New Roman" w:hAnsi="Times New Roman"/>
                <w:sz w:val="8"/>
                <w:szCs w:val="8"/>
                <w:color w:val="231F20"/>
              </w:rPr>
              <w:t xml:space="preserve"> (3)(15)</w:t>
            </w:r>
          </w:p>
        </w:tc>
        <w:tc>
          <w:tcPr>
            <w:tcW w:w="2420" w:type="dxa"/>
            <w:vAlign w:val="bottom"/>
            <w:shd w:val="clear" w:color="auto" w:fill="FDFDFC"/>
          </w:tcPr>
          <w:p>
            <w:pPr>
              <w:ind w:left="60"/>
              <w:spacing w:after="0"/>
              <w:rPr>
                <w:sz w:val="20"/>
                <w:szCs w:val="20"/>
                <w:color w:val="auto"/>
              </w:rPr>
            </w:pPr>
            <w:r>
              <w:rPr>
                <w:rFonts w:ascii="Times New Roman" w:cs="Times New Roman" w:eastAsia="Times New Roman" w:hAnsi="Times New Roman"/>
                <w:sz w:val="15"/>
                <w:szCs w:val="15"/>
                <w:color w:val="231F20"/>
              </w:rPr>
              <w:t>due 8/2027)</w:t>
            </w:r>
          </w:p>
        </w:tc>
        <w:tc>
          <w:tcPr>
            <w:tcW w:w="820" w:type="dxa"/>
            <w:vAlign w:val="bottom"/>
            <w:shd w:val="clear" w:color="auto" w:fill="FDFDFC"/>
          </w:tcPr>
          <w:p>
            <w:pPr>
              <w:spacing w:after="0"/>
              <w:rPr>
                <w:sz w:val="16"/>
                <w:szCs w:val="16"/>
                <w:color w:val="auto"/>
              </w:rPr>
            </w:pPr>
          </w:p>
        </w:tc>
        <w:tc>
          <w:tcPr>
            <w:tcW w:w="1040" w:type="dxa"/>
            <w:vAlign w:val="bottom"/>
            <w:shd w:val="clear" w:color="auto" w:fill="FDFDFC"/>
          </w:tcPr>
          <w:p>
            <w:pPr>
              <w:jc w:val="right"/>
              <w:ind w:right="84"/>
              <w:spacing w:after="0"/>
              <w:rPr>
                <w:sz w:val="20"/>
                <w:szCs w:val="20"/>
                <w:color w:val="auto"/>
              </w:rPr>
            </w:pPr>
            <w:r>
              <w:rPr>
                <w:rFonts w:ascii="Times New Roman" w:cs="Times New Roman" w:eastAsia="Times New Roman" w:hAnsi="Times New Roman"/>
                <w:sz w:val="15"/>
                <w:szCs w:val="15"/>
                <w:color w:val="231F20"/>
              </w:rPr>
              <w:t>9.90%</w:t>
            </w:r>
          </w:p>
        </w:tc>
        <w:tc>
          <w:tcPr>
            <w:tcW w:w="1060" w:type="dxa"/>
            <w:vAlign w:val="bottom"/>
            <w:shd w:val="clear" w:color="auto" w:fill="FDFDFC"/>
          </w:tcPr>
          <w:p>
            <w:pPr>
              <w:spacing w:after="0"/>
              <w:rPr>
                <w:sz w:val="16"/>
                <w:szCs w:val="16"/>
                <w:color w:val="auto"/>
              </w:rPr>
            </w:pPr>
          </w:p>
        </w:tc>
        <w:tc>
          <w:tcPr>
            <w:tcW w:w="100" w:type="dxa"/>
            <w:vAlign w:val="bottom"/>
            <w:shd w:val="clear" w:color="auto" w:fill="FDFDFC"/>
          </w:tcPr>
          <w:p>
            <w:pPr>
              <w:spacing w:after="0"/>
              <w:rPr>
                <w:sz w:val="16"/>
                <w:szCs w:val="16"/>
                <w:color w:val="auto"/>
              </w:rPr>
            </w:pPr>
          </w:p>
        </w:tc>
        <w:tc>
          <w:tcPr>
            <w:tcW w:w="900" w:type="dxa"/>
            <w:vAlign w:val="bottom"/>
            <w:shd w:val="clear" w:color="auto" w:fill="FDFDFC"/>
          </w:tcPr>
          <w:p>
            <w:pPr>
              <w:spacing w:after="0"/>
              <w:rPr>
                <w:sz w:val="16"/>
                <w:szCs w:val="16"/>
                <w:color w:val="auto"/>
              </w:rPr>
            </w:pPr>
          </w:p>
        </w:tc>
        <w:tc>
          <w:tcPr>
            <w:tcW w:w="180" w:type="dxa"/>
            <w:vAlign w:val="bottom"/>
            <w:shd w:val="clear" w:color="auto" w:fill="FDFDFC"/>
          </w:tcPr>
          <w:p>
            <w:pPr>
              <w:spacing w:after="0"/>
              <w:rPr>
                <w:sz w:val="16"/>
                <w:szCs w:val="16"/>
                <w:color w:val="auto"/>
              </w:rPr>
            </w:pPr>
          </w:p>
        </w:tc>
        <w:tc>
          <w:tcPr>
            <w:tcW w:w="100" w:type="dxa"/>
            <w:vAlign w:val="bottom"/>
            <w:shd w:val="clear" w:color="auto" w:fill="FDFDFC"/>
          </w:tcPr>
          <w:p>
            <w:pPr>
              <w:spacing w:after="0"/>
              <w:rPr>
                <w:sz w:val="16"/>
                <w:szCs w:val="16"/>
                <w:color w:val="auto"/>
              </w:rPr>
            </w:pPr>
          </w:p>
        </w:tc>
        <w:tc>
          <w:tcPr>
            <w:tcW w:w="860" w:type="dxa"/>
            <w:vAlign w:val="bottom"/>
            <w:shd w:val="clear" w:color="auto" w:fill="FDFDFC"/>
          </w:tcPr>
          <w:p>
            <w:pPr>
              <w:spacing w:after="0"/>
              <w:rPr>
                <w:sz w:val="16"/>
                <w:szCs w:val="16"/>
                <w:color w:val="auto"/>
              </w:rPr>
            </w:pPr>
          </w:p>
        </w:tc>
        <w:tc>
          <w:tcPr>
            <w:tcW w:w="200" w:type="dxa"/>
            <w:vAlign w:val="bottom"/>
            <w:shd w:val="clear" w:color="auto" w:fill="FDFDFC"/>
          </w:tcPr>
          <w:p>
            <w:pPr>
              <w:spacing w:after="0"/>
              <w:rPr>
                <w:sz w:val="16"/>
                <w:szCs w:val="16"/>
                <w:color w:val="auto"/>
              </w:rPr>
            </w:pPr>
          </w:p>
        </w:tc>
        <w:tc>
          <w:tcPr>
            <w:tcW w:w="900" w:type="dxa"/>
            <w:vAlign w:val="bottom"/>
            <w:shd w:val="clear" w:color="auto" w:fill="FDFDFC"/>
          </w:tcPr>
          <w:p>
            <w:pPr>
              <w:spacing w:after="0"/>
              <w:rPr>
                <w:sz w:val="16"/>
                <w:szCs w:val="16"/>
                <w:color w:val="auto"/>
              </w:rPr>
            </w:pPr>
          </w:p>
        </w:tc>
        <w:tc>
          <w:tcPr>
            <w:tcW w:w="240" w:type="dxa"/>
            <w:vAlign w:val="bottom"/>
            <w:shd w:val="clear" w:color="auto" w:fill="FDFDFC"/>
          </w:tcPr>
          <w:p>
            <w:pPr>
              <w:spacing w:after="0"/>
              <w:rPr>
                <w:sz w:val="16"/>
                <w:szCs w:val="16"/>
                <w:color w:val="auto"/>
              </w:rPr>
            </w:pPr>
          </w:p>
        </w:tc>
        <w:tc>
          <w:tcPr>
            <w:tcW w:w="0" w:type="dxa"/>
            <w:vAlign w:val="bottom"/>
          </w:tcPr>
          <w:p>
            <w:pPr>
              <w:spacing w:after="0"/>
              <w:rPr>
                <w:sz w:val="1"/>
                <w:szCs w:val="1"/>
                <w:color w:val="auto"/>
              </w:rPr>
            </w:pPr>
          </w:p>
        </w:tc>
      </w:tr>
      <w:tr>
        <w:trPr>
          <w:trHeight w:val="158"/>
        </w:trPr>
        <w:tc>
          <w:tcPr>
            <w:tcW w:w="1460" w:type="dxa"/>
            <w:vAlign w:val="bottom"/>
            <w:shd w:val="clear" w:color="auto" w:fill="D0EBF2"/>
          </w:tcPr>
          <w:p>
            <w:pPr>
              <w:spacing w:after="0"/>
              <w:rPr>
                <w:sz w:val="13"/>
                <w:szCs w:val="13"/>
                <w:color w:val="auto"/>
              </w:rPr>
            </w:pPr>
          </w:p>
        </w:tc>
        <w:tc>
          <w:tcPr>
            <w:tcW w:w="2420" w:type="dxa"/>
            <w:vAlign w:val="bottom"/>
            <w:shd w:val="clear" w:color="auto" w:fill="D0EBF2"/>
          </w:tcPr>
          <w:p>
            <w:pPr>
              <w:ind w:left="60"/>
              <w:spacing w:after="0" w:line="159" w:lineRule="exact"/>
              <w:rPr>
                <w:sz w:val="20"/>
                <w:szCs w:val="20"/>
                <w:color w:val="auto"/>
              </w:rPr>
            </w:pPr>
            <w:r>
              <w:rPr>
                <w:rFonts w:ascii="Times New Roman" w:cs="Times New Roman" w:eastAsia="Times New Roman" w:hAnsi="Times New Roman"/>
                <w:sz w:val="15"/>
                <w:szCs w:val="15"/>
                <w:color w:val="231F20"/>
              </w:rPr>
              <w:t>Roll Up DIP term loan ($25,931 par,</w:t>
            </w:r>
          </w:p>
        </w:tc>
        <w:tc>
          <w:tcPr>
            <w:tcW w:w="820" w:type="dxa"/>
            <w:vAlign w:val="bottom"/>
            <w:shd w:val="clear" w:color="auto" w:fill="D0EBF2"/>
          </w:tcPr>
          <w:p>
            <w:pPr>
              <w:jc w:val="right"/>
              <w:spacing w:after="0" w:line="159" w:lineRule="exact"/>
              <w:rPr>
                <w:sz w:val="20"/>
                <w:szCs w:val="20"/>
                <w:color w:val="auto"/>
              </w:rPr>
            </w:pPr>
            <w:r>
              <w:rPr>
                <w:rFonts w:ascii="Times New Roman" w:cs="Times New Roman" w:eastAsia="Times New Roman" w:hAnsi="Times New Roman"/>
                <w:sz w:val="15"/>
                <w:szCs w:val="15"/>
                <w:color w:val="231F20"/>
              </w:rPr>
              <w:t>4/24/2023</w:t>
            </w:r>
          </w:p>
        </w:tc>
        <w:tc>
          <w:tcPr>
            <w:tcW w:w="1040" w:type="dxa"/>
            <w:vAlign w:val="bottom"/>
            <w:shd w:val="clear" w:color="auto" w:fill="D0EBF2"/>
          </w:tcPr>
          <w:p>
            <w:pPr>
              <w:jc w:val="right"/>
              <w:ind w:right="84"/>
              <w:spacing w:after="0" w:line="159" w:lineRule="exact"/>
              <w:rPr>
                <w:sz w:val="20"/>
                <w:szCs w:val="20"/>
                <w:color w:val="auto"/>
              </w:rPr>
            </w:pPr>
            <w:r>
              <w:rPr>
                <w:rFonts w:ascii="Times New Roman" w:cs="Times New Roman" w:eastAsia="Times New Roman" w:hAnsi="Times New Roman"/>
                <w:sz w:val="15"/>
                <w:szCs w:val="15"/>
                <w:color w:val="231F20"/>
              </w:rPr>
              <w:t>SOFR +</w:t>
            </w:r>
          </w:p>
        </w:tc>
        <w:tc>
          <w:tcPr>
            <w:tcW w:w="1060" w:type="dxa"/>
            <w:vAlign w:val="bottom"/>
            <w:shd w:val="clear" w:color="auto" w:fill="D0EBF2"/>
          </w:tcPr>
          <w:p>
            <w:pPr>
              <w:jc w:val="right"/>
              <w:ind w:right="164"/>
              <w:spacing w:after="0" w:line="159" w:lineRule="exact"/>
              <w:rPr>
                <w:sz w:val="20"/>
                <w:szCs w:val="20"/>
                <w:color w:val="auto"/>
              </w:rPr>
            </w:pPr>
            <w:r>
              <w:rPr>
                <w:rFonts w:ascii="Times New Roman" w:cs="Times New Roman" w:eastAsia="Times New Roman" w:hAnsi="Times New Roman"/>
                <w:sz w:val="15"/>
                <w:szCs w:val="15"/>
                <w:color w:val="231F20"/>
              </w:rPr>
              <w:t>13.26%</w:t>
            </w:r>
          </w:p>
        </w:tc>
        <w:tc>
          <w:tcPr>
            <w:tcW w:w="100" w:type="dxa"/>
            <w:vAlign w:val="bottom"/>
            <w:shd w:val="clear" w:color="auto" w:fill="D0EBF2"/>
          </w:tcPr>
          <w:p>
            <w:pPr>
              <w:spacing w:after="0"/>
              <w:rPr>
                <w:sz w:val="13"/>
                <w:szCs w:val="13"/>
                <w:color w:val="auto"/>
              </w:rPr>
            </w:pPr>
          </w:p>
        </w:tc>
        <w:tc>
          <w:tcPr>
            <w:tcW w:w="900" w:type="dxa"/>
            <w:vAlign w:val="bottom"/>
            <w:shd w:val="clear" w:color="auto" w:fill="D0EBF2"/>
          </w:tcPr>
          <w:p>
            <w:pPr>
              <w:jc w:val="right"/>
              <w:spacing w:after="0" w:line="159" w:lineRule="exact"/>
              <w:rPr>
                <w:sz w:val="20"/>
                <w:szCs w:val="20"/>
                <w:color w:val="auto"/>
              </w:rPr>
            </w:pPr>
            <w:r>
              <w:rPr>
                <w:rFonts w:ascii="Times New Roman" w:cs="Times New Roman" w:eastAsia="Times New Roman" w:hAnsi="Times New Roman"/>
                <w:sz w:val="15"/>
                <w:szCs w:val="15"/>
                <w:color w:val="231F20"/>
              </w:rPr>
              <w:t>25,931</w:t>
            </w:r>
          </w:p>
        </w:tc>
        <w:tc>
          <w:tcPr>
            <w:tcW w:w="1140" w:type="dxa"/>
            <w:vAlign w:val="bottom"/>
            <w:gridSpan w:val="3"/>
            <w:shd w:val="clear" w:color="auto" w:fill="D0EBF2"/>
          </w:tcPr>
          <w:p>
            <w:pPr>
              <w:jc w:val="right"/>
              <w:spacing w:after="0" w:line="159" w:lineRule="exact"/>
              <w:rPr>
                <w:sz w:val="20"/>
                <w:szCs w:val="20"/>
                <w:color w:val="auto"/>
              </w:rPr>
            </w:pPr>
            <w:r>
              <w:rPr>
                <w:rFonts w:ascii="Times New Roman" w:cs="Times New Roman" w:eastAsia="Times New Roman" w:hAnsi="Times New Roman"/>
                <w:sz w:val="15"/>
                <w:szCs w:val="15"/>
                <w:color w:val="231F20"/>
              </w:rPr>
              <w:t>24,828</w:t>
            </w:r>
          </w:p>
        </w:tc>
        <w:tc>
          <w:tcPr>
            <w:tcW w:w="1340" w:type="dxa"/>
            <w:vAlign w:val="bottom"/>
            <w:gridSpan w:val="3"/>
            <w:shd w:val="clear" w:color="auto" w:fill="D0EBF2"/>
          </w:tcPr>
          <w:p>
            <w:pPr>
              <w:jc w:val="right"/>
              <w:ind w:right="120"/>
              <w:spacing w:after="0" w:line="159" w:lineRule="exact"/>
              <w:rPr>
                <w:sz w:val="20"/>
                <w:szCs w:val="20"/>
                <w:color w:val="auto"/>
              </w:rPr>
            </w:pPr>
            <w:r>
              <w:rPr>
                <w:rFonts w:ascii="Times New Roman" w:cs="Times New Roman" w:eastAsia="Times New Roman" w:hAnsi="Times New Roman"/>
                <w:sz w:val="15"/>
                <w:szCs w:val="15"/>
                <w:color w:val="231F20"/>
              </w:rPr>
              <w:t>1.7%</w:t>
            </w:r>
          </w:p>
        </w:tc>
        <w:tc>
          <w:tcPr>
            <w:tcW w:w="0" w:type="dxa"/>
            <w:vAlign w:val="bottom"/>
          </w:tcPr>
          <w:p>
            <w:pPr>
              <w:spacing w:after="0"/>
              <w:rPr>
                <w:sz w:val="1"/>
                <w:szCs w:val="1"/>
                <w:color w:val="auto"/>
              </w:rPr>
            </w:pPr>
          </w:p>
        </w:tc>
      </w:tr>
      <w:tr>
        <w:trPr>
          <w:trHeight w:val="174"/>
        </w:trPr>
        <w:tc>
          <w:tcPr>
            <w:tcW w:w="1460" w:type="dxa"/>
            <w:vAlign w:val="bottom"/>
            <w:shd w:val="clear" w:color="auto" w:fill="D0EBF2"/>
          </w:tcPr>
          <w:p>
            <w:pPr>
              <w:spacing w:after="0"/>
              <w:rPr>
                <w:sz w:val="15"/>
                <w:szCs w:val="15"/>
                <w:color w:val="auto"/>
              </w:rPr>
            </w:pPr>
          </w:p>
        </w:tc>
        <w:tc>
          <w:tcPr>
            <w:tcW w:w="2420" w:type="dxa"/>
            <w:vAlign w:val="bottom"/>
            <w:shd w:val="clear" w:color="auto" w:fill="D0EBF2"/>
          </w:tcPr>
          <w:p>
            <w:pPr>
              <w:ind w:left="60"/>
              <w:spacing w:after="0"/>
              <w:rPr>
                <w:sz w:val="20"/>
                <w:szCs w:val="20"/>
                <w:color w:val="auto"/>
              </w:rPr>
            </w:pPr>
            <w:r>
              <w:rPr>
                <w:rFonts w:ascii="Times New Roman" w:cs="Times New Roman" w:eastAsia="Times New Roman" w:hAnsi="Times New Roman"/>
                <w:sz w:val="15"/>
                <w:szCs w:val="15"/>
                <w:color w:val="231F20"/>
              </w:rPr>
              <w:t>due 9/2024)</w:t>
            </w:r>
          </w:p>
        </w:tc>
        <w:tc>
          <w:tcPr>
            <w:tcW w:w="820" w:type="dxa"/>
            <w:vAlign w:val="bottom"/>
            <w:shd w:val="clear" w:color="auto" w:fill="D0EBF2"/>
          </w:tcPr>
          <w:p>
            <w:pPr>
              <w:spacing w:after="0"/>
              <w:rPr>
                <w:sz w:val="15"/>
                <w:szCs w:val="15"/>
                <w:color w:val="auto"/>
              </w:rPr>
            </w:pPr>
          </w:p>
        </w:tc>
        <w:tc>
          <w:tcPr>
            <w:tcW w:w="1040" w:type="dxa"/>
            <w:vAlign w:val="bottom"/>
            <w:shd w:val="clear" w:color="auto" w:fill="D0EBF2"/>
          </w:tcPr>
          <w:p>
            <w:pPr>
              <w:jc w:val="right"/>
              <w:ind w:right="84"/>
              <w:spacing w:after="0"/>
              <w:rPr>
                <w:sz w:val="20"/>
                <w:szCs w:val="20"/>
                <w:color w:val="auto"/>
              </w:rPr>
            </w:pPr>
            <w:r>
              <w:rPr>
                <w:rFonts w:ascii="Times New Roman" w:cs="Times New Roman" w:eastAsia="Times New Roman" w:hAnsi="Times New Roman"/>
                <w:sz w:val="15"/>
                <w:szCs w:val="15"/>
                <w:color w:val="231F20"/>
              </w:rPr>
              <w:t>7.90%</w:t>
            </w:r>
          </w:p>
        </w:tc>
        <w:tc>
          <w:tcPr>
            <w:tcW w:w="1160" w:type="dxa"/>
            <w:vAlign w:val="bottom"/>
            <w:gridSpan w:val="2"/>
            <w:shd w:val="clear" w:color="auto" w:fill="D0EBF2"/>
          </w:tcPr>
          <w:p>
            <w:pPr>
              <w:jc w:val="right"/>
              <w:ind w:right="340"/>
              <w:spacing w:after="0"/>
              <w:rPr>
                <w:sz w:val="20"/>
                <w:szCs w:val="20"/>
                <w:color w:val="auto"/>
              </w:rPr>
            </w:pPr>
            <w:r>
              <w:rPr>
                <w:rFonts w:ascii="Times New Roman" w:cs="Times New Roman" w:eastAsia="Times New Roman" w:hAnsi="Times New Roman"/>
                <w:sz w:val="15"/>
                <w:szCs w:val="15"/>
                <w:color w:val="231F20"/>
              </w:rPr>
              <w:t>(incl.</w:t>
            </w:r>
          </w:p>
        </w:tc>
        <w:tc>
          <w:tcPr>
            <w:tcW w:w="900" w:type="dxa"/>
            <w:vAlign w:val="bottom"/>
            <w:shd w:val="clear" w:color="auto" w:fill="D0EBF2"/>
          </w:tcPr>
          <w:p>
            <w:pPr>
              <w:spacing w:after="0"/>
              <w:rPr>
                <w:sz w:val="15"/>
                <w:szCs w:val="15"/>
                <w:color w:val="auto"/>
              </w:rPr>
            </w:pPr>
          </w:p>
        </w:tc>
        <w:tc>
          <w:tcPr>
            <w:tcW w:w="180" w:type="dxa"/>
            <w:vAlign w:val="bottom"/>
            <w:shd w:val="clear" w:color="auto" w:fill="D0EBF2"/>
          </w:tcPr>
          <w:p>
            <w:pPr>
              <w:spacing w:after="0"/>
              <w:rPr>
                <w:sz w:val="15"/>
                <w:szCs w:val="15"/>
                <w:color w:val="auto"/>
              </w:rPr>
            </w:pPr>
          </w:p>
        </w:tc>
        <w:tc>
          <w:tcPr>
            <w:tcW w:w="100" w:type="dxa"/>
            <w:vAlign w:val="bottom"/>
            <w:shd w:val="clear" w:color="auto" w:fill="D0EBF2"/>
          </w:tcPr>
          <w:p>
            <w:pPr>
              <w:spacing w:after="0"/>
              <w:rPr>
                <w:sz w:val="15"/>
                <w:szCs w:val="15"/>
                <w:color w:val="auto"/>
              </w:rPr>
            </w:pPr>
          </w:p>
        </w:tc>
        <w:tc>
          <w:tcPr>
            <w:tcW w:w="860" w:type="dxa"/>
            <w:vAlign w:val="bottom"/>
            <w:shd w:val="clear" w:color="auto" w:fill="D0EBF2"/>
          </w:tcPr>
          <w:p>
            <w:pPr>
              <w:spacing w:after="0"/>
              <w:rPr>
                <w:sz w:val="15"/>
                <w:szCs w:val="15"/>
                <w:color w:val="auto"/>
              </w:rPr>
            </w:pPr>
          </w:p>
        </w:tc>
        <w:tc>
          <w:tcPr>
            <w:tcW w:w="200" w:type="dxa"/>
            <w:vAlign w:val="bottom"/>
            <w:shd w:val="clear" w:color="auto" w:fill="D0EBF2"/>
          </w:tcPr>
          <w:p>
            <w:pPr>
              <w:spacing w:after="0"/>
              <w:rPr>
                <w:sz w:val="15"/>
                <w:szCs w:val="15"/>
                <w:color w:val="auto"/>
              </w:rPr>
            </w:pPr>
          </w:p>
        </w:tc>
        <w:tc>
          <w:tcPr>
            <w:tcW w:w="900" w:type="dxa"/>
            <w:vAlign w:val="bottom"/>
            <w:shd w:val="clear" w:color="auto" w:fill="D0EBF2"/>
          </w:tcPr>
          <w:p>
            <w:pPr>
              <w:spacing w:after="0"/>
              <w:rPr>
                <w:sz w:val="15"/>
                <w:szCs w:val="15"/>
                <w:color w:val="auto"/>
              </w:rPr>
            </w:pPr>
          </w:p>
        </w:tc>
        <w:tc>
          <w:tcPr>
            <w:tcW w:w="240" w:type="dxa"/>
            <w:vAlign w:val="bottom"/>
            <w:shd w:val="clear" w:color="auto" w:fill="D0EBF2"/>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1460" w:type="dxa"/>
            <w:vAlign w:val="bottom"/>
            <w:shd w:val="clear" w:color="auto" w:fill="D0EBF2"/>
          </w:tcPr>
          <w:p>
            <w:pPr>
              <w:spacing w:after="0"/>
              <w:rPr>
                <w:sz w:val="15"/>
                <w:szCs w:val="15"/>
                <w:color w:val="auto"/>
              </w:rPr>
            </w:pPr>
          </w:p>
        </w:tc>
        <w:tc>
          <w:tcPr>
            <w:tcW w:w="2420" w:type="dxa"/>
            <w:vAlign w:val="bottom"/>
            <w:shd w:val="clear" w:color="auto" w:fill="D0EBF2"/>
          </w:tcPr>
          <w:p>
            <w:pPr>
              <w:spacing w:after="0"/>
              <w:rPr>
                <w:sz w:val="15"/>
                <w:szCs w:val="15"/>
                <w:color w:val="auto"/>
              </w:rPr>
            </w:pPr>
          </w:p>
        </w:tc>
        <w:tc>
          <w:tcPr>
            <w:tcW w:w="820" w:type="dxa"/>
            <w:vAlign w:val="bottom"/>
            <w:shd w:val="clear" w:color="auto" w:fill="D0EBF2"/>
          </w:tcPr>
          <w:p>
            <w:pPr>
              <w:spacing w:after="0"/>
              <w:rPr>
                <w:sz w:val="15"/>
                <w:szCs w:val="15"/>
                <w:color w:val="auto"/>
              </w:rPr>
            </w:pPr>
          </w:p>
        </w:tc>
        <w:tc>
          <w:tcPr>
            <w:tcW w:w="1040" w:type="dxa"/>
            <w:vAlign w:val="bottom"/>
            <w:shd w:val="clear" w:color="auto" w:fill="D0EBF2"/>
          </w:tcPr>
          <w:p>
            <w:pPr>
              <w:spacing w:after="0"/>
              <w:rPr>
                <w:sz w:val="15"/>
                <w:szCs w:val="15"/>
                <w:color w:val="auto"/>
              </w:rPr>
            </w:pPr>
          </w:p>
        </w:tc>
        <w:tc>
          <w:tcPr>
            <w:tcW w:w="1060" w:type="dxa"/>
            <w:vAlign w:val="bottom"/>
            <w:shd w:val="clear" w:color="auto" w:fill="D0EBF2"/>
          </w:tcPr>
          <w:p>
            <w:pPr>
              <w:jc w:val="right"/>
              <w:ind w:right="164"/>
              <w:spacing w:after="0"/>
              <w:rPr>
                <w:sz w:val="20"/>
                <w:szCs w:val="20"/>
                <w:color w:val="auto"/>
              </w:rPr>
            </w:pPr>
            <w:r>
              <w:rPr>
                <w:rFonts w:ascii="Times New Roman" w:cs="Times New Roman" w:eastAsia="Times New Roman" w:hAnsi="Times New Roman"/>
                <w:sz w:val="15"/>
                <w:szCs w:val="15"/>
                <w:color w:val="231F20"/>
              </w:rPr>
              <w:t>13.26%</w:t>
            </w:r>
          </w:p>
        </w:tc>
        <w:tc>
          <w:tcPr>
            <w:tcW w:w="100" w:type="dxa"/>
            <w:vAlign w:val="bottom"/>
            <w:shd w:val="clear" w:color="auto" w:fill="D0EBF2"/>
          </w:tcPr>
          <w:p>
            <w:pPr>
              <w:spacing w:after="0"/>
              <w:rPr>
                <w:sz w:val="15"/>
                <w:szCs w:val="15"/>
                <w:color w:val="auto"/>
              </w:rPr>
            </w:pPr>
          </w:p>
        </w:tc>
        <w:tc>
          <w:tcPr>
            <w:tcW w:w="900" w:type="dxa"/>
            <w:vAlign w:val="bottom"/>
            <w:shd w:val="clear" w:color="auto" w:fill="D0EBF2"/>
          </w:tcPr>
          <w:p>
            <w:pPr>
              <w:spacing w:after="0"/>
              <w:rPr>
                <w:sz w:val="15"/>
                <w:szCs w:val="15"/>
                <w:color w:val="auto"/>
              </w:rPr>
            </w:pPr>
          </w:p>
        </w:tc>
        <w:tc>
          <w:tcPr>
            <w:tcW w:w="180" w:type="dxa"/>
            <w:vAlign w:val="bottom"/>
            <w:shd w:val="clear" w:color="auto" w:fill="D0EBF2"/>
          </w:tcPr>
          <w:p>
            <w:pPr>
              <w:spacing w:after="0"/>
              <w:rPr>
                <w:sz w:val="15"/>
                <w:szCs w:val="15"/>
                <w:color w:val="auto"/>
              </w:rPr>
            </w:pPr>
          </w:p>
        </w:tc>
        <w:tc>
          <w:tcPr>
            <w:tcW w:w="100" w:type="dxa"/>
            <w:vAlign w:val="bottom"/>
            <w:shd w:val="clear" w:color="auto" w:fill="D0EBF2"/>
          </w:tcPr>
          <w:p>
            <w:pPr>
              <w:spacing w:after="0"/>
              <w:rPr>
                <w:sz w:val="15"/>
                <w:szCs w:val="15"/>
                <w:color w:val="auto"/>
              </w:rPr>
            </w:pPr>
          </w:p>
        </w:tc>
        <w:tc>
          <w:tcPr>
            <w:tcW w:w="860" w:type="dxa"/>
            <w:vAlign w:val="bottom"/>
            <w:shd w:val="clear" w:color="auto" w:fill="D0EBF2"/>
          </w:tcPr>
          <w:p>
            <w:pPr>
              <w:spacing w:after="0"/>
              <w:rPr>
                <w:sz w:val="15"/>
                <w:szCs w:val="15"/>
                <w:color w:val="auto"/>
              </w:rPr>
            </w:pPr>
          </w:p>
        </w:tc>
        <w:tc>
          <w:tcPr>
            <w:tcW w:w="200" w:type="dxa"/>
            <w:vAlign w:val="bottom"/>
            <w:shd w:val="clear" w:color="auto" w:fill="D0EBF2"/>
          </w:tcPr>
          <w:p>
            <w:pPr>
              <w:spacing w:after="0"/>
              <w:rPr>
                <w:sz w:val="15"/>
                <w:szCs w:val="15"/>
                <w:color w:val="auto"/>
              </w:rPr>
            </w:pPr>
          </w:p>
        </w:tc>
        <w:tc>
          <w:tcPr>
            <w:tcW w:w="900" w:type="dxa"/>
            <w:vAlign w:val="bottom"/>
            <w:shd w:val="clear" w:color="auto" w:fill="D0EBF2"/>
          </w:tcPr>
          <w:p>
            <w:pPr>
              <w:spacing w:after="0"/>
              <w:rPr>
                <w:sz w:val="15"/>
                <w:szCs w:val="15"/>
                <w:color w:val="auto"/>
              </w:rPr>
            </w:pPr>
          </w:p>
        </w:tc>
        <w:tc>
          <w:tcPr>
            <w:tcW w:w="240" w:type="dxa"/>
            <w:vAlign w:val="bottom"/>
            <w:shd w:val="clear" w:color="auto" w:fill="D0EBF2"/>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1460" w:type="dxa"/>
            <w:vAlign w:val="bottom"/>
            <w:shd w:val="clear" w:color="auto" w:fill="D0EBF2"/>
          </w:tcPr>
          <w:p>
            <w:pPr>
              <w:spacing w:after="0"/>
              <w:rPr>
                <w:sz w:val="16"/>
                <w:szCs w:val="16"/>
                <w:color w:val="auto"/>
              </w:rPr>
            </w:pPr>
          </w:p>
        </w:tc>
        <w:tc>
          <w:tcPr>
            <w:tcW w:w="2420" w:type="dxa"/>
            <w:vAlign w:val="bottom"/>
            <w:shd w:val="clear" w:color="auto" w:fill="D0EBF2"/>
          </w:tcPr>
          <w:p>
            <w:pPr>
              <w:spacing w:after="0"/>
              <w:rPr>
                <w:sz w:val="16"/>
                <w:szCs w:val="16"/>
                <w:color w:val="auto"/>
              </w:rPr>
            </w:pPr>
          </w:p>
        </w:tc>
        <w:tc>
          <w:tcPr>
            <w:tcW w:w="820" w:type="dxa"/>
            <w:vAlign w:val="bottom"/>
            <w:shd w:val="clear" w:color="auto" w:fill="D0EBF2"/>
          </w:tcPr>
          <w:p>
            <w:pPr>
              <w:spacing w:after="0"/>
              <w:rPr>
                <w:sz w:val="16"/>
                <w:szCs w:val="16"/>
                <w:color w:val="auto"/>
              </w:rPr>
            </w:pPr>
          </w:p>
        </w:tc>
        <w:tc>
          <w:tcPr>
            <w:tcW w:w="1040" w:type="dxa"/>
            <w:vAlign w:val="bottom"/>
            <w:shd w:val="clear" w:color="auto" w:fill="D0EBF2"/>
          </w:tcPr>
          <w:p>
            <w:pPr>
              <w:spacing w:after="0"/>
              <w:rPr>
                <w:sz w:val="16"/>
                <w:szCs w:val="16"/>
                <w:color w:val="auto"/>
              </w:rPr>
            </w:pPr>
          </w:p>
        </w:tc>
        <w:tc>
          <w:tcPr>
            <w:tcW w:w="1160" w:type="dxa"/>
            <w:vAlign w:val="bottom"/>
            <w:gridSpan w:val="2"/>
            <w:shd w:val="clear" w:color="auto" w:fill="D0EBF2"/>
          </w:tcPr>
          <w:p>
            <w:pPr>
              <w:jc w:val="right"/>
              <w:ind w:right="340"/>
              <w:spacing w:after="0"/>
              <w:rPr>
                <w:sz w:val="20"/>
                <w:szCs w:val="20"/>
                <w:color w:val="auto"/>
              </w:rPr>
            </w:pPr>
            <w:r>
              <w:rPr>
                <w:rFonts w:ascii="Times New Roman" w:cs="Times New Roman" w:eastAsia="Times New Roman" w:hAnsi="Times New Roman"/>
                <w:sz w:val="15"/>
                <w:szCs w:val="15"/>
                <w:color w:val="231F20"/>
              </w:rPr>
              <w:t>PIK)</w:t>
            </w:r>
          </w:p>
        </w:tc>
        <w:tc>
          <w:tcPr>
            <w:tcW w:w="900" w:type="dxa"/>
            <w:vAlign w:val="bottom"/>
            <w:shd w:val="clear" w:color="auto" w:fill="D0EBF2"/>
          </w:tcPr>
          <w:p>
            <w:pPr>
              <w:spacing w:after="0"/>
              <w:rPr>
                <w:sz w:val="16"/>
                <w:szCs w:val="16"/>
                <w:color w:val="auto"/>
              </w:rPr>
            </w:pPr>
          </w:p>
        </w:tc>
        <w:tc>
          <w:tcPr>
            <w:tcW w:w="180" w:type="dxa"/>
            <w:vAlign w:val="bottom"/>
            <w:shd w:val="clear" w:color="auto" w:fill="D0EBF2"/>
          </w:tcPr>
          <w:p>
            <w:pPr>
              <w:spacing w:after="0"/>
              <w:rPr>
                <w:sz w:val="16"/>
                <w:szCs w:val="16"/>
                <w:color w:val="auto"/>
              </w:rPr>
            </w:pPr>
          </w:p>
        </w:tc>
        <w:tc>
          <w:tcPr>
            <w:tcW w:w="100" w:type="dxa"/>
            <w:vAlign w:val="bottom"/>
            <w:shd w:val="clear" w:color="auto" w:fill="D0EBF2"/>
          </w:tcPr>
          <w:p>
            <w:pPr>
              <w:spacing w:after="0"/>
              <w:rPr>
                <w:sz w:val="16"/>
                <w:szCs w:val="16"/>
                <w:color w:val="auto"/>
              </w:rPr>
            </w:pPr>
          </w:p>
        </w:tc>
        <w:tc>
          <w:tcPr>
            <w:tcW w:w="860" w:type="dxa"/>
            <w:vAlign w:val="bottom"/>
            <w:shd w:val="clear" w:color="auto" w:fill="D0EBF2"/>
          </w:tcPr>
          <w:p>
            <w:pPr>
              <w:spacing w:after="0"/>
              <w:rPr>
                <w:sz w:val="16"/>
                <w:szCs w:val="16"/>
                <w:color w:val="auto"/>
              </w:rPr>
            </w:pPr>
          </w:p>
        </w:tc>
        <w:tc>
          <w:tcPr>
            <w:tcW w:w="200" w:type="dxa"/>
            <w:vAlign w:val="bottom"/>
            <w:shd w:val="clear" w:color="auto" w:fill="D0EBF2"/>
          </w:tcPr>
          <w:p>
            <w:pPr>
              <w:spacing w:after="0"/>
              <w:rPr>
                <w:sz w:val="16"/>
                <w:szCs w:val="16"/>
                <w:color w:val="auto"/>
              </w:rPr>
            </w:pPr>
          </w:p>
        </w:tc>
        <w:tc>
          <w:tcPr>
            <w:tcW w:w="900" w:type="dxa"/>
            <w:vAlign w:val="bottom"/>
            <w:shd w:val="clear" w:color="auto" w:fill="D0EBF2"/>
          </w:tcPr>
          <w:p>
            <w:pPr>
              <w:spacing w:after="0"/>
              <w:rPr>
                <w:sz w:val="16"/>
                <w:szCs w:val="16"/>
                <w:color w:val="auto"/>
              </w:rPr>
            </w:pPr>
          </w:p>
        </w:tc>
        <w:tc>
          <w:tcPr>
            <w:tcW w:w="240" w:type="dxa"/>
            <w:vAlign w:val="bottom"/>
            <w:shd w:val="clear" w:color="auto" w:fill="D0EBF2"/>
          </w:tcPr>
          <w:p>
            <w:pPr>
              <w:spacing w:after="0"/>
              <w:rPr>
                <w:sz w:val="16"/>
                <w:szCs w:val="16"/>
                <w:color w:val="auto"/>
              </w:rPr>
            </w:pPr>
          </w:p>
        </w:tc>
        <w:tc>
          <w:tcPr>
            <w:tcW w:w="0" w:type="dxa"/>
            <w:vAlign w:val="bottom"/>
          </w:tcPr>
          <w:p>
            <w:pPr>
              <w:spacing w:after="0"/>
              <w:rPr>
                <w:sz w:val="1"/>
                <w:szCs w:val="1"/>
                <w:color w:val="auto"/>
              </w:rPr>
            </w:pPr>
          </w:p>
        </w:tc>
      </w:tr>
      <w:tr>
        <w:trPr>
          <w:trHeight w:val="158"/>
        </w:trPr>
        <w:tc>
          <w:tcPr>
            <w:tcW w:w="1460" w:type="dxa"/>
            <w:vAlign w:val="bottom"/>
            <w:shd w:val="clear" w:color="auto" w:fill="FDFDFC"/>
          </w:tcPr>
          <w:p>
            <w:pPr>
              <w:spacing w:after="0"/>
              <w:rPr>
                <w:sz w:val="13"/>
                <w:szCs w:val="13"/>
                <w:color w:val="auto"/>
              </w:rPr>
            </w:pPr>
          </w:p>
        </w:tc>
        <w:tc>
          <w:tcPr>
            <w:tcW w:w="2420" w:type="dxa"/>
            <w:vAlign w:val="bottom"/>
            <w:shd w:val="clear" w:color="auto" w:fill="FDFDFC"/>
          </w:tcPr>
          <w:p>
            <w:pPr>
              <w:ind w:left="60"/>
              <w:spacing w:after="0" w:line="159" w:lineRule="exact"/>
              <w:rPr>
                <w:sz w:val="20"/>
                <w:szCs w:val="20"/>
                <w:color w:val="auto"/>
              </w:rPr>
            </w:pPr>
            <w:r>
              <w:rPr>
                <w:rFonts w:ascii="Times New Roman" w:cs="Times New Roman" w:eastAsia="Times New Roman" w:hAnsi="Times New Roman"/>
                <w:sz w:val="15"/>
                <w:szCs w:val="15"/>
                <w:color w:val="231F20"/>
              </w:rPr>
              <w:t>Super-Priority DIP term loan ($4,739</w:t>
            </w:r>
          </w:p>
        </w:tc>
        <w:tc>
          <w:tcPr>
            <w:tcW w:w="820" w:type="dxa"/>
            <w:vAlign w:val="bottom"/>
            <w:shd w:val="clear" w:color="auto" w:fill="FDFDFC"/>
          </w:tcPr>
          <w:p>
            <w:pPr>
              <w:jc w:val="right"/>
              <w:spacing w:after="0" w:line="159" w:lineRule="exact"/>
              <w:rPr>
                <w:sz w:val="20"/>
                <w:szCs w:val="20"/>
                <w:color w:val="auto"/>
              </w:rPr>
            </w:pPr>
            <w:r>
              <w:rPr>
                <w:rFonts w:ascii="Times New Roman" w:cs="Times New Roman" w:eastAsia="Times New Roman" w:hAnsi="Times New Roman"/>
                <w:sz w:val="15"/>
                <w:szCs w:val="15"/>
                <w:color w:val="231F20"/>
              </w:rPr>
              <w:t>4/24/2023</w:t>
            </w:r>
          </w:p>
        </w:tc>
        <w:tc>
          <w:tcPr>
            <w:tcW w:w="1040" w:type="dxa"/>
            <w:vAlign w:val="bottom"/>
            <w:shd w:val="clear" w:color="auto" w:fill="FDFDFC"/>
          </w:tcPr>
          <w:p>
            <w:pPr>
              <w:jc w:val="right"/>
              <w:ind w:right="84"/>
              <w:spacing w:after="0" w:line="159" w:lineRule="exact"/>
              <w:rPr>
                <w:sz w:val="20"/>
                <w:szCs w:val="20"/>
                <w:color w:val="auto"/>
              </w:rPr>
            </w:pPr>
            <w:r>
              <w:rPr>
                <w:rFonts w:ascii="Times New Roman" w:cs="Times New Roman" w:eastAsia="Times New Roman" w:hAnsi="Times New Roman"/>
                <w:sz w:val="15"/>
                <w:szCs w:val="15"/>
                <w:color w:val="231F20"/>
              </w:rPr>
              <w:t>SOFR +</w:t>
            </w:r>
          </w:p>
        </w:tc>
        <w:tc>
          <w:tcPr>
            <w:tcW w:w="1060" w:type="dxa"/>
            <w:vAlign w:val="bottom"/>
            <w:shd w:val="clear" w:color="auto" w:fill="FDFDFC"/>
          </w:tcPr>
          <w:p>
            <w:pPr>
              <w:jc w:val="right"/>
              <w:ind w:right="24"/>
              <w:spacing w:after="0" w:line="159" w:lineRule="exact"/>
              <w:rPr>
                <w:sz w:val="20"/>
                <w:szCs w:val="20"/>
                <w:color w:val="auto"/>
              </w:rPr>
            </w:pPr>
            <w:r>
              <w:rPr>
                <w:rFonts w:ascii="Times New Roman" w:cs="Times New Roman" w:eastAsia="Times New Roman" w:hAnsi="Times New Roman"/>
                <w:sz w:val="15"/>
                <w:szCs w:val="15"/>
                <w:color w:val="231F20"/>
              </w:rPr>
              <w:t>13.26%</w:t>
            </w:r>
          </w:p>
        </w:tc>
        <w:tc>
          <w:tcPr>
            <w:tcW w:w="100" w:type="dxa"/>
            <w:vAlign w:val="bottom"/>
            <w:shd w:val="clear" w:color="auto" w:fill="FDFDFC"/>
          </w:tcPr>
          <w:p>
            <w:pPr>
              <w:spacing w:after="0"/>
              <w:rPr>
                <w:sz w:val="13"/>
                <w:szCs w:val="13"/>
                <w:color w:val="auto"/>
              </w:rPr>
            </w:pPr>
          </w:p>
        </w:tc>
        <w:tc>
          <w:tcPr>
            <w:tcW w:w="900" w:type="dxa"/>
            <w:vAlign w:val="bottom"/>
            <w:shd w:val="clear" w:color="auto" w:fill="FDFDFC"/>
          </w:tcPr>
          <w:p>
            <w:pPr>
              <w:jc w:val="right"/>
              <w:spacing w:after="0" w:line="159" w:lineRule="exact"/>
              <w:rPr>
                <w:sz w:val="20"/>
                <w:szCs w:val="20"/>
                <w:color w:val="auto"/>
              </w:rPr>
            </w:pPr>
            <w:r>
              <w:rPr>
                <w:rFonts w:ascii="Times New Roman" w:cs="Times New Roman" w:eastAsia="Times New Roman" w:hAnsi="Times New Roman"/>
                <w:sz w:val="15"/>
                <w:szCs w:val="15"/>
                <w:color w:val="231F20"/>
              </w:rPr>
              <w:t>4,739</w:t>
            </w:r>
          </w:p>
        </w:tc>
        <w:tc>
          <w:tcPr>
            <w:tcW w:w="1140" w:type="dxa"/>
            <w:vAlign w:val="bottom"/>
            <w:gridSpan w:val="3"/>
            <w:shd w:val="clear" w:color="auto" w:fill="FDFDFC"/>
          </w:tcPr>
          <w:p>
            <w:pPr>
              <w:jc w:val="right"/>
              <w:spacing w:after="0" w:line="159" w:lineRule="exact"/>
              <w:rPr>
                <w:sz w:val="20"/>
                <w:szCs w:val="20"/>
                <w:color w:val="auto"/>
              </w:rPr>
            </w:pPr>
            <w:r>
              <w:rPr>
                <w:rFonts w:ascii="Times New Roman" w:cs="Times New Roman" w:eastAsia="Times New Roman" w:hAnsi="Times New Roman"/>
                <w:sz w:val="15"/>
                <w:szCs w:val="15"/>
                <w:color w:val="231F20"/>
              </w:rPr>
              <w:t>4,538</w:t>
            </w:r>
          </w:p>
        </w:tc>
        <w:tc>
          <w:tcPr>
            <w:tcW w:w="1340" w:type="dxa"/>
            <w:vAlign w:val="bottom"/>
            <w:gridSpan w:val="3"/>
            <w:shd w:val="clear" w:color="auto" w:fill="FDFDFC"/>
          </w:tcPr>
          <w:p>
            <w:pPr>
              <w:jc w:val="right"/>
              <w:ind w:right="120"/>
              <w:spacing w:after="0" w:line="159" w:lineRule="exact"/>
              <w:rPr>
                <w:sz w:val="20"/>
                <w:szCs w:val="20"/>
                <w:color w:val="auto"/>
              </w:rPr>
            </w:pPr>
            <w:r>
              <w:rPr>
                <w:rFonts w:ascii="Times New Roman" w:cs="Times New Roman" w:eastAsia="Times New Roman" w:hAnsi="Times New Roman"/>
                <w:sz w:val="15"/>
                <w:szCs w:val="15"/>
                <w:color w:val="231F20"/>
              </w:rPr>
              <w:t>0.3%</w:t>
            </w:r>
          </w:p>
        </w:tc>
        <w:tc>
          <w:tcPr>
            <w:tcW w:w="0" w:type="dxa"/>
            <w:vAlign w:val="bottom"/>
          </w:tcPr>
          <w:p>
            <w:pPr>
              <w:spacing w:after="0"/>
              <w:rPr>
                <w:sz w:val="1"/>
                <w:szCs w:val="1"/>
                <w:color w:val="auto"/>
              </w:rPr>
            </w:pPr>
          </w:p>
        </w:tc>
      </w:tr>
      <w:tr>
        <w:trPr>
          <w:trHeight w:val="189"/>
        </w:trPr>
        <w:tc>
          <w:tcPr>
            <w:tcW w:w="1460" w:type="dxa"/>
            <w:vAlign w:val="bottom"/>
            <w:shd w:val="clear" w:color="auto" w:fill="FDFDFC"/>
          </w:tcPr>
          <w:p>
            <w:pPr>
              <w:spacing w:after="0"/>
              <w:rPr>
                <w:sz w:val="16"/>
                <w:szCs w:val="16"/>
                <w:color w:val="auto"/>
              </w:rPr>
            </w:pPr>
          </w:p>
        </w:tc>
        <w:tc>
          <w:tcPr>
            <w:tcW w:w="2420" w:type="dxa"/>
            <w:vAlign w:val="bottom"/>
            <w:shd w:val="clear" w:color="auto" w:fill="FDFDFC"/>
          </w:tcPr>
          <w:p>
            <w:pPr>
              <w:ind w:left="60"/>
              <w:spacing w:after="0"/>
              <w:rPr>
                <w:sz w:val="20"/>
                <w:szCs w:val="20"/>
                <w:color w:val="auto"/>
              </w:rPr>
            </w:pPr>
            <w:r>
              <w:rPr>
                <w:rFonts w:ascii="Times New Roman" w:cs="Times New Roman" w:eastAsia="Times New Roman" w:hAnsi="Times New Roman"/>
                <w:sz w:val="15"/>
                <w:szCs w:val="15"/>
                <w:color w:val="231F20"/>
              </w:rPr>
              <w:t>par, due 9/2024)</w:t>
            </w:r>
          </w:p>
        </w:tc>
        <w:tc>
          <w:tcPr>
            <w:tcW w:w="820" w:type="dxa"/>
            <w:vAlign w:val="bottom"/>
            <w:shd w:val="clear" w:color="auto" w:fill="FDFDFC"/>
          </w:tcPr>
          <w:p>
            <w:pPr>
              <w:spacing w:after="0"/>
              <w:rPr>
                <w:sz w:val="16"/>
                <w:szCs w:val="16"/>
                <w:color w:val="auto"/>
              </w:rPr>
            </w:pPr>
          </w:p>
        </w:tc>
        <w:tc>
          <w:tcPr>
            <w:tcW w:w="1040" w:type="dxa"/>
            <w:vAlign w:val="bottom"/>
            <w:shd w:val="clear" w:color="auto" w:fill="FDFDFC"/>
          </w:tcPr>
          <w:p>
            <w:pPr>
              <w:jc w:val="right"/>
              <w:ind w:right="84"/>
              <w:spacing w:after="0"/>
              <w:rPr>
                <w:sz w:val="20"/>
                <w:szCs w:val="20"/>
                <w:color w:val="auto"/>
              </w:rPr>
            </w:pPr>
            <w:r>
              <w:rPr>
                <w:rFonts w:ascii="Times New Roman" w:cs="Times New Roman" w:eastAsia="Times New Roman" w:hAnsi="Times New Roman"/>
                <w:sz w:val="15"/>
                <w:szCs w:val="15"/>
                <w:color w:val="231F20"/>
              </w:rPr>
              <w:t>7.90%</w:t>
            </w:r>
          </w:p>
        </w:tc>
        <w:tc>
          <w:tcPr>
            <w:tcW w:w="1060" w:type="dxa"/>
            <w:vAlign w:val="bottom"/>
            <w:shd w:val="clear" w:color="auto" w:fill="FDFDFC"/>
          </w:tcPr>
          <w:p>
            <w:pPr>
              <w:spacing w:after="0"/>
              <w:rPr>
                <w:sz w:val="16"/>
                <w:szCs w:val="16"/>
                <w:color w:val="auto"/>
              </w:rPr>
            </w:pPr>
          </w:p>
        </w:tc>
        <w:tc>
          <w:tcPr>
            <w:tcW w:w="100" w:type="dxa"/>
            <w:vAlign w:val="bottom"/>
            <w:shd w:val="clear" w:color="auto" w:fill="FDFDFC"/>
          </w:tcPr>
          <w:p>
            <w:pPr>
              <w:spacing w:after="0"/>
              <w:rPr>
                <w:sz w:val="16"/>
                <w:szCs w:val="16"/>
                <w:color w:val="auto"/>
              </w:rPr>
            </w:pPr>
          </w:p>
        </w:tc>
        <w:tc>
          <w:tcPr>
            <w:tcW w:w="900" w:type="dxa"/>
            <w:vAlign w:val="bottom"/>
            <w:shd w:val="clear" w:color="auto" w:fill="FDFDFC"/>
          </w:tcPr>
          <w:p>
            <w:pPr>
              <w:spacing w:after="0"/>
              <w:rPr>
                <w:sz w:val="16"/>
                <w:szCs w:val="16"/>
                <w:color w:val="auto"/>
              </w:rPr>
            </w:pPr>
          </w:p>
        </w:tc>
        <w:tc>
          <w:tcPr>
            <w:tcW w:w="180" w:type="dxa"/>
            <w:vAlign w:val="bottom"/>
            <w:shd w:val="clear" w:color="auto" w:fill="FDFDFC"/>
          </w:tcPr>
          <w:p>
            <w:pPr>
              <w:spacing w:after="0"/>
              <w:rPr>
                <w:sz w:val="16"/>
                <w:szCs w:val="16"/>
                <w:color w:val="auto"/>
              </w:rPr>
            </w:pPr>
          </w:p>
        </w:tc>
        <w:tc>
          <w:tcPr>
            <w:tcW w:w="100" w:type="dxa"/>
            <w:vAlign w:val="bottom"/>
            <w:shd w:val="clear" w:color="auto" w:fill="FDFDFC"/>
          </w:tcPr>
          <w:p>
            <w:pPr>
              <w:spacing w:after="0"/>
              <w:rPr>
                <w:sz w:val="16"/>
                <w:szCs w:val="16"/>
                <w:color w:val="auto"/>
              </w:rPr>
            </w:pPr>
          </w:p>
        </w:tc>
        <w:tc>
          <w:tcPr>
            <w:tcW w:w="860" w:type="dxa"/>
            <w:vAlign w:val="bottom"/>
            <w:shd w:val="clear" w:color="auto" w:fill="FDFDFC"/>
          </w:tcPr>
          <w:p>
            <w:pPr>
              <w:spacing w:after="0"/>
              <w:rPr>
                <w:sz w:val="16"/>
                <w:szCs w:val="16"/>
                <w:color w:val="auto"/>
              </w:rPr>
            </w:pPr>
          </w:p>
        </w:tc>
        <w:tc>
          <w:tcPr>
            <w:tcW w:w="200" w:type="dxa"/>
            <w:vAlign w:val="bottom"/>
            <w:shd w:val="clear" w:color="auto" w:fill="FDFDFC"/>
          </w:tcPr>
          <w:p>
            <w:pPr>
              <w:spacing w:after="0"/>
              <w:rPr>
                <w:sz w:val="16"/>
                <w:szCs w:val="16"/>
                <w:color w:val="auto"/>
              </w:rPr>
            </w:pPr>
          </w:p>
        </w:tc>
        <w:tc>
          <w:tcPr>
            <w:tcW w:w="900" w:type="dxa"/>
            <w:vAlign w:val="bottom"/>
            <w:shd w:val="clear" w:color="auto" w:fill="FDFDFC"/>
          </w:tcPr>
          <w:p>
            <w:pPr>
              <w:spacing w:after="0"/>
              <w:rPr>
                <w:sz w:val="16"/>
                <w:szCs w:val="16"/>
                <w:color w:val="auto"/>
              </w:rPr>
            </w:pPr>
          </w:p>
        </w:tc>
        <w:tc>
          <w:tcPr>
            <w:tcW w:w="240" w:type="dxa"/>
            <w:vAlign w:val="bottom"/>
            <w:shd w:val="clear" w:color="auto" w:fill="FDFDFC"/>
          </w:tcPr>
          <w:p>
            <w:pPr>
              <w:spacing w:after="0"/>
              <w:rPr>
                <w:sz w:val="16"/>
                <w:szCs w:val="16"/>
                <w:color w:val="auto"/>
              </w:rPr>
            </w:pPr>
          </w:p>
        </w:tc>
        <w:tc>
          <w:tcPr>
            <w:tcW w:w="0" w:type="dxa"/>
            <w:vAlign w:val="bottom"/>
          </w:tcPr>
          <w:p>
            <w:pPr>
              <w:spacing w:after="0"/>
              <w:rPr>
                <w:sz w:val="1"/>
                <w:szCs w:val="1"/>
                <w:color w:val="auto"/>
              </w:rPr>
            </w:pPr>
          </w:p>
        </w:tc>
      </w:tr>
      <w:tr>
        <w:trPr>
          <w:trHeight w:val="158"/>
        </w:trPr>
        <w:tc>
          <w:tcPr>
            <w:tcW w:w="1460" w:type="dxa"/>
            <w:vAlign w:val="bottom"/>
            <w:shd w:val="clear" w:color="auto" w:fill="D0EBF2"/>
          </w:tcPr>
          <w:p>
            <w:pPr>
              <w:spacing w:after="0" w:line="159" w:lineRule="exact"/>
              <w:rPr>
                <w:sz w:val="20"/>
                <w:szCs w:val="20"/>
                <w:color w:val="auto"/>
              </w:rPr>
            </w:pPr>
            <w:r>
              <w:rPr>
                <w:rFonts w:ascii="Times New Roman" w:cs="Times New Roman" w:eastAsia="Times New Roman" w:hAnsi="Times New Roman"/>
                <w:sz w:val="15"/>
                <w:szCs w:val="15"/>
                <w:color w:val="231F20"/>
              </w:rPr>
              <w:t>Cordance Operations,</w:t>
            </w:r>
          </w:p>
        </w:tc>
        <w:tc>
          <w:tcPr>
            <w:tcW w:w="2420" w:type="dxa"/>
            <w:vAlign w:val="bottom"/>
            <w:shd w:val="clear" w:color="auto" w:fill="D0EBF2"/>
          </w:tcPr>
          <w:p>
            <w:pPr>
              <w:ind w:left="60"/>
              <w:spacing w:after="0" w:line="159" w:lineRule="exact"/>
              <w:rPr>
                <w:sz w:val="20"/>
                <w:szCs w:val="20"/>
                <w:color w:val="auto"/>
              </w:rPr>
            </w:pPr>
            <w:r>
              <w:rPr>
                <w:rFonts w:ascii="Times New Roman" w:cs="Times New Roman" w:eastAsia="Times New Roman" w:hAnsi="Times New Roman"/>
                <w:sz w:val="15"/>
                <w:szCs w:val="15"/>
                <w:color w:val="231F20"/>
              </w:rPr>
              <w:t>First-lien loan ($49,543 par, due</w:t>
            </w:r>
          </w:p>
        </w:tc>
        <w:tc>
          <w:tcPr>
            <w:tcW w:w="820" w:type="dxa"/>
            <w:vAlign w:val="bottom"/>
            <w:shd w:val="clear" w:color="auto" w:fill="D0EBF2"/>
          </w:tcPr>
          <w:p>
            <w:pPr>
              <w:jc w:val="right"/>
              <w:spacing w:after="0" w:line="159" w:lineRule="exact"/>
              <w:rPr>
                <w:sz w:val="20"/>
                <w:szCs w:val="20"/>
                <w:color w:val="auto"/>
              </w:rPr>
            </w:pPr>
            <w:r>
              <w:rPr>
                <w:rFonts w:ascii="Times New Roman" w:cs="Times New Roman" w:eastAsia="Times New Roman" w:hAnsi="Times New Roman"/>
                <w:sz w:val="15"/>
                <w:szCs w:val="15"/>
                <w:color w:val="231F20"/>
              </w:rPr>
              <w:t>7/25/2022</w:t>
            </w:r>
          </w:p>
        </w:tc>
        <w:tc>
          <w:tcPr>
            <w:tcW w:w="1040" w:type="dxa"/>
            <w:vAlign w:val="bottom"/>
            <w:shd w:val="clear" w:color="auto" w:fill="D0EBF2"/>
          </w:tcPr>
          <w:p>
            <w:pPr>
              <w:jc w:val="right"/>
              <w:ind w:right="84"/>
              <w:spacing w:after="0" w:line="159" w:lineRule="exact"/>
              <w:rPr>
                <w:sz w:val="20"/>
                <w:szCs w:val="20"/>
                <w:color w:val="auto"/>
              </w:rPr>
            </w:pPr>
            <w:r>
              <w:rPr>
                <w:rFonts w:ascii="Times New Roman" w:cs="Times New Roman" w:eastAsia="Times New Roman" w:hAnsi="Times New Roman"/>
                <w:sz w:val="15"/>
                <w:szCs w:val="15"/>
                <w:color w:val="231F20"/>
              </w:rPr>
              <w:t>SOFR +</w:t>
            </w:r>
          </w:p>
        </w:tc>
        <w:tc>
          <w:tcPr>
            <w:tcW w:w="1060" w:type="dxa"/>
            <w:vAlign w:val="bottom"/>
            <w:shd w:val="clear" w:color="auto" w:fill="D0EBF2"/>
          </w:tcPr>
          <w:p>
            <w:pPr>
              <w:jc w:val="right"/>
              <w:ind w:right="24"/>
              <w:spacing w:after="0" w:line="159" w:lineRule="exact"/>
              <w:rPr>
                <w:sz w:val="20"/>
                <w:szCs w:val="20"/>
                <w:color w:val="auto"/>
              </w:rPr>
            </w:pPr>
            <w:r>
              <w:rPr>
                <w:rFonts w:ascii="Times New Roman" w:cs="Times New Roman" w:eastAsia="Times New Roman" w:hAnsi="Times New Roman"/>
                <w:sz w:val="15"/>
                <w:szCs w:val="15"/>
                <w:color w:val="231F20"/>
              </w:rPr>
              <w:t>14.66%</w:t>
            </w:r>
          </w:p>
        </w:tc>
        <w:tc>
          <w:tcPr>
            <w:tcW w:w="100" w:type="dxa"/>
            <w:vAlign w:val="bottom"/>
            <w:shd w:val="clear" w:color="auto" w:fill="D0EBF2"/>
          </w:tcPr>
          <w:p>
            <w:pPr>
              <w:spacing w:after="0"/>
              <w:rPr>
                <w:sz w:val="13"/>
                <w:szCs w:val="13"/>
                <w:color w:val="auto"/>
              </w:rPr>
            </w:pPr>
          </w:p>
        </w:tc>
        <w:tc>
          <w:tcPr>
            <w:tcW w:w="900" w:type="dxa"/>
            <w:vAlign w:val="bottom"/>
            <w:shd w:val="clear" w:color="auto" w:fill="D0EBF2"/>
          </w:tcPr>
          <w:p>
            <w:pPr>
              <w:jc w:val="right"/>
              <w:spacing w:after="0" w:line="159" w:lineRule="exact"/>
              <w:rPr>
                <w:sz w:val="20"/>
                <w:szCs w:val="20"/>
                <w:color w:val="auto"/>
              </w:rPr>
            </w:pPr>
            <w:r>
              <w:rPr>
                <w:rFonts w:ascii="Times New Roman" w:cs="Times New Roman" w:eastAsia="Times New Roman" w:hAnsi="Times New Roman"/>
                <w:sz w:val="15"/>
                <w:szCs w:val="15"/>
                <w:color w:val="231F20"/>
              </w:rPr>
              <w:t>48,641</w:t>
            </w:r>
          </w:p>
        </w:tc>
        <w:tc>
          <w:tcPr>
            <w:tcW w:w="1140" w:type="dxa"/>
            <w:vAlign w:val="bottom"/>
            <w:gridSpan w:val="3"/>
            <w:shd w:val="clear" w:color="auto" w:fill="D0EBF2"/>
          </w:tcPr>
          <w:p>
            <w:pPr>
              <w:jc w:val="right"/>
              <w:spacing w:after="0" w:line="159" w:lineRule="exact"/>
              <w:rPr>
                <w:sz w:val="20"/>
                <w:szCs w:val="20"/>
                <w:color w:val="auto"/>
              </w:rPr>
            </w:pPr>
            <w:r>
              <w:rPr>
                <w:rFonts w:ascii="Times New Roman" w:cs="Times New Roman" w:eastAsia="Times New Roman" w:hAnsi="Times New Roman"/>
                <w:sz w:val="15"/>
                <w:szCs w:val="15"/>
                <w:color w:val="231F20"/>
              </w:rPr>
              <w:t>49,801</w:t>
            </w:r>
          </w:p>
        </w:tc>
        <w:tc>
          <w:tcPr>
            <w:tcW w:w="1340" w:type="dxa"/>
            <w:vAlign w:val="bottom"/>
            <w:gridSpan w:val="3"/>
            <w:shd w:val="clear" w:color="auto" w:fill="D0EBF2"/>
          </w:tcPr>
          <w:p>
            <w:pPr>
              <w:jc w:val="right"/>
              <w:ind w:right="120"/>
              <w:spacing w:after="0" w:line="159" w:lineRule="exact"/>
              <w:rPr>
                <w:sz w:val="20"/>
                <w:szCs w:val="20"/>
                <w:color w:val="auto"/>
              </w:rPr>
            </w:pPr>
            <w:r>
              <w:rPr>
                <w:rFonts w:ascii="Times New Roman" w:cs="Times New Roman" w:eastAsia="Times New Roman" w:hAnsi="Times New Roman"/>
                <w:sz w:val="15"/>
                <w:szCs w:val="15"/>
                <w:color w:val="231F20"/>
              </w:rPr>
              <w:t>3.2%</w:t>
            </w:r>
          </w:p>
        </w:tc>
        <w:tc>
          <w:tcPr>
            <w:tcW w:w="0" w:type="dxa"/>
            <w:vAlign w:val="bottom"/>
          </w:tcPr>
          <w:p>
            <w:pPr>
              <w:spacing w:after="0"/>
              <w:rPr>
                <w:sz w:val="1"/>
                <w:szCs w:val="1"/>
                <w:color w:val="auto"/>
              </w:rPr>
            </w:pPr>
          </w:p>
        </w:tc>
      </w:tr>
      <w:tr>
        <w:trPr>
          <w:trHeight w:val="189"/>
        </w:trPr>
        <w:tc>
          <w:tcPr>
            <w:tcW w:w="1460" w:type="dxa"/>
            <w:vAlign w:val="bottom"/>
            <w:shd w:val="clear" w:color="auto" w:fill="D0EBF2"/>
          </w:tcPr>
          <w:p>
            <w:pPr>
              <w:spacing w:after="0"/>
              <w:rPr>
                <w:sz w:val="20"/>
                <w:szCs w:val="20"/>
                <w:color w:val="auto"/>
              </w:rPr>
            </w:pPr>
            <w:r>
              <w:rPr>
                <w:rFonts w:ascii="Times New Roman" w:cs="Times New Roman" w:eastAsia="Times New Roman" w:hAnsi="Times New Roman"/>
                <w:sz w:val="15"/>
                <w:szCs w:val="15"/>
                <w:color w:val="231F20"/>
              </w:rPr>
              <w:t xml:space="preserve">LLC </w:t>
            </w:r>
            <w:r>
              <w:rPr>
                <w:rFonts w:ascii="Times New Roman" w:cs="Times New Roman" w:eastAsia="Times New Roman" w:hAnsi="Times New Roman"/>
                <w:sz w:val="9"/>
                <w:szCs w:val="9"/>
                <w:color w:val="231F20"/>
              </w:rPr>
              <w:t>(3)</w:t>
            </w:r>
          </w:p>
        </w:tc>
        <w:tc>
          <w:tcPr>
            <w:tcW w:w="2420" w:type="dxa"/>
            <w:vAlign w:val="bottom"/>
            <w:shd w:val="clear" w:color="auto" w:fill="D0EBF2"/>
          </w:tcPr>
          <w:p>
            <w:pPr>
              <w:ind w:left="60"/>
              <w:spacing w:after="0"/>
              <w:rPr>
                <w:sz w:val="20"/>
                <w:szCs w:val="20"/>
                <w:color w:val="auto"/>
              </w:rPr>
            </w:pPr>
            <w:r>
              <w:rPr>
                <w:rFonts w:ascii="Times New Roman" w:cs="Times New Roman" w:eastAsia="Times New Roman" w:hAnsi="Times New Roman"/>
                <w:sz w:val="15"/>
                <w:szCs w:val="15"/>
                <w:color w:val="231F20"/>
              </w:rPr>
              <w:t>7/2028)</w:t>
            </w:r>
          </w:p>
        </w:tc>
        <w:tc>
          <w:tcPr>
            <w:tcW w:w="820" w:type="dxa"/>
            <w:vAlign w:val="bottom"/>
            <w:shd w:val="clear" w:color="auto" w:fill="D0EBF2"/>
          </w:tcPr>
          <w:p>
            <w:pPr>
              <w:spacing w:after="0"/>
              <w:rPr>
                <w:sz w:val="16"/>
                <w:szCs w:val="16"/>
                <w:color w:val="auto"/>
              </w:rPr>
            </w:pPr>
          </w:p>
        </w:tc>
        <w:tc>
          <w:tcPr>
            <w:tcW w:w="1040" w:type="dxa"/>
            <w:vAlign w:val="bottom"/>
            <w:shd w:val="clear" w:color="auto" w:fill="D0EBF2"/>
          </w:tcPr>
          <w:p>
            <w:pPr>
              <w:jc w:val="right"/>
              <w:ind w:right="84"/>
              <w:spacing w:after="0"/>
              <w:rPr>
                <w:sz w:val="20"/>
                <w:szCs w:val="20"/>
                <w:color w:val="auto"/>
              </w:rPr>
            </w:pPr>
            <w:r>
              <w:rPr>
                <w:rFonts w:ascii="Times New Roman" w:cs="Times New Roman" w:eastAsia="Times New Roman" w:hAnsi="Times New Roman"/>
                <w:sz w:val="15"/>
                <w:szCs w:val="15"/>
                <w:color w:val="231F20"/>
              </w:rPr>
              <w:t>9.25%</w:t>
            </w:r>
          </w:p>
        </w:tc>
        <w:tc>
          <w:tcPr>
            <w:tcW w:w="1060" w:type="dxa"/>
            <w:vAlign w:val="bottom"/>
            <w:shd w:val="clear" w:color="auto" w:fill="D0EBF2"/>
          </w:tcPr>
          <w:p>
            <w:pPr>
              <w:spacing w:after="0"/>
              <w:rPr>
                <w:sz w:val="16"/>
                <w:szCs w:val="16"/>
                <w:color w:val="auto"/>
              </w:rPr>
            </w:pPr>
          </w:p>
        </w:tc>
        <w:tc>
          <w:tcPr>
            <w:tcW w:w="100" w:type="dxa"/>
            <w:vAlign w:val="bottom"/>
            <w:shd w:val="clear" w:color="auto" w:fill="D0EBF2"/>
          </w:tcPr>
          <w:p>
            <w:pPr>
              <w:spacing w:after="0"/>
              <w:rPr>
                <w:sz w:val="16"/>
                <w:szCs w:val="16"/>
                <w:color w:val="auto"/>
              </w:rPr>
            </w:pPr>
          </w:p>
        </w:tc>
        <w:tc>
          <w:tcPr>
            <w:tcW w:w="900" w:type="dxa"/>
            <w:vAlign w:val="bottom"/>
            <w:shd w:val="clear" w:color="auto" w:fill="D0EBF2"/>
          </w:tcPr>
          <w:p>
            <w:pPr>
              <w:spacing w:after="0"/>
              <w:rPr>
                <w:sz w:val="16"/>
                <w:szCs w:val="16"/>
                <w:color w:val="auto"/>
              </w:rPr>
            </w:pPr>
          </w:p>
        </w:tc>
        <w:tc>
          <w:tcPr>
            <w:tcW w:w="180" w:type="dxa"/>
            <w:vAlign w:val="bottom"/>
            <w:shd w:val="clear" w:color="auto" w:fill="D0EBF2"/>
          </w:tcPr>
          <w:p>
            <w:pPr>
              <w:spacing w:after="0"/>
              <w:rPr>
                <w:sz w:val="16"/>
                <w:szCs w:val="16"/>
                <w:color w:val="auto"/>
              </w:rPr>
            </w:pPr>
          </w:p>
        </w:tc>
        <w:tc>
          <w:tcPr>
            <w:tcW w:w="100" w:type="dxa"/>
            <w:vAlign w:val="bottom"/>
            <w:shd w:val="clear" w:color="auto" w:fill="D0EBF2"/>
          </w:tcPr>
          <w:p>
            <w:pPr>
              <w:spacing w:after="0"/>
              <w:rPr>
                <w:sz w:val="16"/>
                <w:szCs w:val="16"/>
                <w:color w:val="auto"/>
              </w:rPr>
            </w:pPr>
          </w:p>
        </w:tc>
        <w:tc>
          <w:tcPr>
            <w:tcW w:w="860" w:type="dxa"/>
            <w:vAlign w:val="bottom"/>
            <w:shd w:val="clear" w:color="auto" w:fill="D0EBF2"/>
          </w:tcPr>
          <w:p>
            <w:pPr>
              <w:spacing w:after="0"/>
              <w:rPr>
                <w:sz w:val="16"/>
                <w:szCs w:val="16"/>
                <w:color w:val="auto"/>
              </w:rPr>
            </w:pPr>
          </w:p>
        </w:tc>
        <w:tc>
          <w:tcPr>
            <w:tcW w:w="200" w:type="dxa"/>
            <w:vAlign w:val="bottom"/>
            <w:shd w:val="clear" w:color="auto" w:fill="D0EBF2"/>
          </w:tcPr>
          <w:p>
            <w:pPr>
              <w:spacing w:after="0"/>
              <w:rPr>
                <w:sz w:val="16"/>
                <w:szCs w:val="16"/>
                <w:color w:val="auto"/>
              </w:rPr>
            </w:pPr>
          </w:p>
        </w:tc>
        <w:tc>
          <w:tcPr>
            <w:tcW w:w="900" w:type="dxa"/>
            <w:vAlign w:val="bottom"/>
            <w:shd w:val="clear" w:color="auto" w:fill="D0EBF2"/>
          </w:tcPr>
          <w:p>
            <w:pPr>
              <w:spacing w:after="0"/>
              <w:rPr>
                <w:sz w:val="16"/>
                <w:szCs w:val="16"/>
                <w:color w:val="auto"/>
              </w:rPr>
            </w:pPr>
          </w:p>
        </w:tc>
        <w:tc>
          <w:tcPr>
            <w:tcW w:w="240" w:type="dxa"/>
            <w:vAlign w:val="bottom"/>
            <w:shd w:val="clear" w:color="auto" w:fill="D0EBF2"/>
          </w:tcPr>
          <w:p>
            <w:pPr>
              <w:spacing w:after="0"/>
              <w:rPr>
                <w:sz w:val="16"/>
                <w:szCs w:val="16"/>
                <w:color w:val="auto"/>
              </w:rPr>
            </w:pPr>
          </w:p>
        </w:tc>
        <w:tc>
          <w:tcPr>
            <w:tcW w:w="0" w:type="dxa"/>
            <w:vAlign w:val="bottom"/>
          </w:tcPr>
          <w:p>
            <w:pPr>
              <w:spacing w:after="0"/>
              <w:rPr>
                <w:sz w:val="1"/>
                <w:szCs w:val="1"/>
                <w:color w:val="auto"/>
              </w:rPr>
            </w:pPr>
          </w:p>
        </w:tc>
      </w:tr>
      <w:tr>
        <w:trPr>
          <w:trHeight w:val="158"/>
        </w:trPr>
        <w:tc>
          <w:tcPr>
            <w:tcW w:w="1460" w:type="dxa"/>
            <w:vAlign w:val="bottom"/>
            <w:shd w:val="clear" w:color="auto" w:fill="FDFDFC"/>
          </w:tcPr>
          <w:p>
            <w:pPr>
              <w:spacing w:after="0" w:line="159" w:lineRule="exact"/>
              <w:rPr>
                <w:sz w:val="20"/>
                <w:szCs w:val="20"/>
                <w:color w:val="auto"/>
              </w:rPr>
            </w:pPr>
            <w:r>
              <w:rPr>
                <w:rFonts w:ascii="Times New Roman" w:cs="Times New Roman" w:eastAsia="Times New Roman" w:hAnsi="Times New Roman"/>
                <w:sz w:val="15"/>
                <w:szCs w:val="15"/>
                <w:color w:val="231F20"/>
              </w:rPr>
              <w:t xml:space="preserve">Neuintel, LLC </w:t>
            </w:r>
            <w:r>
              <w:rPr>
                <w:rFonts w:ascii="Times New Roman" w:cs="Times New Roman" w:eastAsia="Times New Roman" w:hAnsi="Times New Roman"/>
                <w:sz w:val="9"/>
                <w:szCs w:val="9"/>
                <w:color w:val="231F20"/>
              </w:rPr>
              <w:t>(3)(5)</w:t>
            </w:r>
          </w:p>
        </w:tc>
        <w:tc>
          <w:tcPr>
            <w:tcW w:w="2420" w:type="dxa"/>
            <w:vAlign w:val="bottom"/>
            <w:shd w:val="clear" w:color="auto" w:fill="FDFDFC"/>
          </w:tcPr>
          <w:p>
            <w:pPr>
              <w:ind w:left="60"/>
              <w:spacing w:after="0" w:line="159" w:lineRule="exact"/>
              <w:rPr>
                <w:sz w:val="20"/>
                <w:szCs w:val="20"/>
                <w:color w:val="auto"/>
              </w:rPr>
            </w:pPr>
            <w:r>
              <w:rPr>
                <w:rFonts w:ascii="Times New Roman" w:cs="Times New Roman" w:eastAsia="Times New Roman" w:hAnsi="Times New Roman"/>
                <w:sz w:val="15"/>
                <w:szCs w:val="15"/>
                <w:color w:val="231F20"/>
              </w:rPr>
              <w:t>First-lien loan ($57,701 par, due</w:t>
            </w:r>
          </w:p>
        </w:tc>
        <w:tc>
          <w:tcPr>
            <w:tcW w:w="820" w:type="dxa"/>
            <w:vAlign w:val="bottom"/>
            <w:shd w:val="clear" w:color="auto" w:fill="FDFDFC"/>
          </w:tcPr>
          <w:p>
            <w:pPr>
              <w:jc w:val="right"/>
              <w:spacing w:after="0" w:line="159" w:lineRule="exact"/>
              <w:rPr>
                <w:sz w:val="20"/>
                <w:szCs w:val="20"/>
                <w:color w:val="auto"/>
              </w:rPr>
            </w:pPr>
            <w:r>
              <w:rPr>
                <w:rFonts w:ascii="Times New Roman" w:cs="Times New Roman" w:eastAsia="Times New Roman" w:hAnsi="Times New Roman"/>
                <w:sz w:val="15"/>
                <w:szCs w:val="15"/>
                <w:color w:val="231F20"/>
              </w:rPr>
              <w:t>12/20/2021</w:t>
            </w:r>
          </w:p>
        </w:tc>
        <w:tc>
          <w:tcPr>
            <w:tcW w:w="1040" w:type="dxa"/>
            <w:vAlign w:val="bottom"/>
            <w:shd w:val="clear" w:color="auto" w:fill="FDFDFC"/>
          </w:tcPr>
          <w:p>
            <w:pPr>
              <w:jc w:val="right"/>
              <w:ind w:right="84"/>
              <w:spacing w:after="0" w:line="159" w:lineRule="exact"/>
              <w:rPr>
                <w:sz w:val="20"/>
                <w:szCs w:val="20"/>
                <w:color w:val="auto"/>
              </w:rPr>
            </w:pPr>
            <w:r>
              <w:rPr>
                <w:rFonts w:ascii="Times New Roman" w:cs="Times New Roman" w:eastAsia="Times New Roman" w:hAnsi="Times New Roman"/>
                <w:sz w:val="15"/>
                <w:szCs w:val="15"/>
                <w:color w:val="231F20"/>
              </w:rPr>
              <w:t>SOFR +</w:t>
            </w:r>
          </w:p>
        </w:tc>
        <w:tc>
          <w:tcPr>
            <w:tcW w:w="1060" w:type="dxa"/>
            <w:vAlign w:val="bottom"/>
            <w:shd w:val="clear" w:color="auto" w:fill="FDFDFC"/>
          </w:tcPr>
          <w:p>
            <w:pPr>
              <w:jc w:val="right"/>
              <w:ind w:right="24"/>
              <w:spacing w:after="0" w:line="159" w:lineRule="exact"/>
              <w:rPr>
                <w:sz w:val="20"/>
                <w:szCs w:val="20"/>
                <w:color w:val="auto"/>
              </w:rPr>
            </w:pPr>
            <w:r>
              <w:rPr>
                <w:rFonts w:ascii="Times New Roman" w:cs="Times New Roman" w:eastAsia="Times New Roman" w:hAnsi="Times New Roman"/>
                <w:sz w:val="15"/>
                <w:szCs w:val="15"/>
                <w:color w:val="231F20"/>
              </w:rPr>
              <w:t>13.03%</w:t>
            </w:r>
          </w:p>
        </w:tc>
        <w:tc>
          <w:tcPr>
            <w:tcW w:w="100" w:type="dxa"/>
            <w:vAlign w:val="bottom"/>
            <w:shd w:val="clear" w:color="auto" w:fill="FDFDFC"/>
          </w:tcPr>
          <w:p>
            <w:pPr>
              <w:spacing w:after="0"/>
              <w:rPr>
                <w:sz w:val="13"/>
                <w:szCs w:val="13"/>
                <w:color w:val="auto"/>
              </w:rPr>
            </w:pPr>
          </w:p>
        </w:tc>
        <w:tc>
          <w:tcPr>
            <w:tcW w:w="900" w:type="dxa"/>
            <w:vAlign w:val="bottom"/>
            <w:shd w:val="clear" w:color="auto" w:fill="FDFDFC"/>
          </w:tcPr>
          <w:p>
            <w:pPr>
              <w:jc w:val="right"/>
              <w:spacing w:after="0" w:line="159" w:lineRule="exact"/>
              <w:rPr>
                <w:sz w:val="20"/>
                <w:szCs w:val="20"/>
                <w:color w:val="auto"/>
              </w:rPr>
            </w:pPr>
            <w:r>
              <w:rPr>
                <w:rFonts w:ascii="Times New Roman" w:cs="Times New Roman" w:eastAsia="Times New Roman" w:hAnsi="Times New Roman"/>
                <w:sz w:val="15"/>
                <w:szCs w:val="15"/>
                <w:color w:val="231F20"/>
              </w:rPr>
              <w:t>56,923</w:t>
            </w:r>
          </w:p>
        </w:tc>
        <w:tc>
          <w:tcPr>
            <w:tcW w:w="1140" w:type="dxa"/>
            <w:vAlign w:val="bottom"/>
            <w:gridSpan w:val="3"/>
            <w:shd w:val="clear" w:color="auto" w:fill="FDFDFC"/>
          </w:tcPr>
          <w:p>
            <w:pPr>
              <w:jc w:val="right"/>
              <w:spacing w:after="0" w:line="159" w:lineRule="exact"/>
              <w:rPr>
                <w:sz w:val="20"/>
                <w:szCs w:val="20"/>
                <w:color w:val="auto"/>
              </w:rPr>
            </w:pPr>
            <w:r>
              <w:rPr>
                <w:rFonts w:ascii="Times New Roman" w:cs="Times New Roman" w:eastAsia="Times New Roman" w:hAnsi="Times New Roman"/>
                <w:sz w:val="15"/>
                <w:szCs w:val="15"/>
                <w:color w:val="231F20"/>
              </w:rPr>
              <w:t>58,134</w:t>
            </w:r>
          </w:p>
        </w:tc>
        <w:tc>
          <w:tcPr>
            <w:tcW w:w="1340" w:type="dxa"/>
            <w:vAlign w:val="bottom"/>
            <w:gridSpan w:val="3"/>
            <w:shd w:val="clear" w:color="auto" w:fill="FDFDFC"/>
          </w:tcPr>
          <w:p>
            <w:pPr>
              <w:jc w:val="right"/>
              <w:ind w:right="120"/>
              <w:spacing w:after="0" w:line="159" w:lineRule="exact"/>
              <w:rPr>
                <w:sz w:val="20"/>
                <w:szCs w:val="20"/>
                <w:color w:val="auto"/>
              </w:rPr>
            </w:pPr>
            <w:r>
              <w:rPr>
                <w:rFonts w:ascii="Times New Roman" w:cs="Times New Roman" w:eastAsia="Times New Roman" w:hAnsi="Times New Roman"/>
                <w:sz w:val="15"/>
                <w:szCs w:val="15"/>
                <w:color w:val="231F20"/>
              </w:rPr>
              <w:t>3.9%</w:t>
            </w:r>
          </w:p>
        </w:tc>
        <w:tc>
          <w:tcPr>
            <w:tcW w:w="0" w:type="dxa"/>
            <w:vAlign w:val="bottom"/>
          </w:tcPr>
          <w:p>
            <w:pPr>
              <w:spacing w:after="0"/>
              <w:rPr>
                <w:sz w:val="1"/>
                <w:szCs w:val="1"/>
                <w:color w:val="auto"/>
              </w:rPr>
            </w:pPr>
          </w:p>
        </w:tc>
      </w:tr>
      <w:tr>
        <w:trPr>
          <w:trHeight w:val="189"/>
        </w:trPr>
        <w:tc>
          <w:tcPr>
            <w:tcW w:w="1460" w:type="dxa"/>
            <w:vAlign w:val="bottom"/>
            <w:shd w:val="clear" w:color="auto" w:fill="FDFDFC"/>
          </w:tcPr>
          <w:p>
            <w:pPr>
              <w:spacing w:after="0"/>
              <w:rPr>
                <w:sz w:val="16"/>
                <w:szCs w:val="16"/>
                <w:color w:val="auto"/>
              </w:rPr>
            </w:pPr>
          </w:p>
        </w:tc>
        <w:tc>
          <w:tcPr>
            <w:tcW w:w="2420" w:type="dxa"/>
            <w:vAlign w:val="bottom"/>
            <w:shd w:val="clear" w:color="auto" w:fill="FDFDFC"/>
          </w:tcPr>
          <w:p>
            <w:pPr>
              <w:ind w:left="60"/>
              <w:spacing w:after="0"/>
              <w:rPr>
                <w:sz w:val="20"/>
                <w:szCs w:val="20"/>
                <w:color w:val="auto"/>
              </w:rPr>
            </w:pPr>
            <w:r>
              <w:rPr>
                <w:rFonts w:ascii="Times New Roman" w:cs="Times New Roman" w:eastAsia="Times New Roman" w:hAnsi="Times New Roman"/>
                <w:sz w:val="15"/>
                <w:szCs w:val="15"/>
                <w:color w:val="231F20"/>
              </w:rPr>
              <w:t>12/2026)</w:t>
            </w:r>
          </w:p>
        </w:tc>
        <w:tc>
          <w:tcPr>
            <w:tcW w:w="820" w:type="dxa"/>
            <w:vAlign w:val="bottom"/>
            <w:shd w:val="clear" w:color="auto" w:fill="FDFDFC"/>
          </w:tcPr>
          <w:p>
            <w:pPr>
              <w:spacing w:after="0"/>
              <w:rPr>
                <w:sz w:val="16"/>
                <w:szCs w:val="16"/>
                <w:color w:val="auto"/>
              </w:rPr>
            </w:pPr>
          </w:p>
        </w:tc>
        <w:tc>
          <w:tcPr>
            <w:tcW w:w="1040" w:type="dxa"/>
            <w:vAlign w:val="bottom"/>
            <w:shd w:val="clear" w:color="auto" w:fill="FDFDFC"/>
          </w:tcPr>
          <w:p>
            <w:pPr>
              <w:jc w:val="right"/>
              <w:ind w:right="84"/>
              <w:spacing w:after="0"/>
              <w:rPr>
                <w:sz w:val="20"/>
                <w:szCs w:val="20"/>
                <w:color w:val="auto"/>
              </w:rPr>
            </w:pPr>
            <w:r>
              <w:rPr>
                <w:rFonts w:ascii="Times New Roman" w:cs="Times New Roman" w:eastAsia="Times New Roman" w:hAnsi="Times New Roman"/>
                <w:sz w:val="15"/>
                <w:szCs w:val="15"/>
                <w:color w:val="231F20"/>
              </w:rPr>
              <w:t>7.65%</w:t>
            </w:r>
          </w:p>
        </w:tc>
        <w:tc>
          <w:tcPr>
            <w:tcW w:w="1060" w:type="dxa"/>
            <w:vAlign w:val="bottom"/>
            <w:shd w:val="clear" w:color="auto" w:fill="FDFDFC"/>
          </w:tcPr>
          <w:p>
            <w:pPr>
              <w:spacing w:after="0"/>
              <w:rPr>
                <w:sz w:val="16"/>
                <w:szCs w:val="16"/>
                <w:color w:val="auto"/>
              </w:rPr>
            </w:pPr>
          </w:p>
        </w:tc>
        <w:tc>
          <w:tcPr>
            <w:tcW w:w="100" w:type="dxa"/>
            <w:vAlign w:val="bottom"/>
            <w:shd w:val="clear" w:color="auto" w:fill="FDFDFC"/>
          </w:tcPr>
          <w:p>
            <w:pPr>
              <w:spacing w:after="0"/>
              <w:rPr>
                <w:sz w:val="16"/>
                <w:szCs w:val="16"/>
                <w:color w:val="auto"/>
              </w:rPr>
            </w:pPr>
          </w:p>
        </w:tc>
        <w:tc>
          <w:tcPr>
            <w:tcW w:w="900" w:type="dxa"/>
            <w:vAlign w:val="bottom"/>
            <w:shd w:val="clear" w:color="auto" w:fill="FDFDFC"/>
          </w:tcPr>
          <w:p>
            <w:pPr>
              <w:spacing w:after="0"/>
              <w:rPr>
                <w:sz w:val="16"/>
                <w:szCs w:val="16"/>
                <w:color w:val="auto"/>
              </w:rPr>
            </w:pPr>
          </w:p>
        </w:tc>
        <w:tc>
          <w:tcPr>
            <w:tcW w:w="180" w:type="dxa"/>
            <w:vAlign w:val="bottom"/>
            <w:shd w:val="clear" w:color="auto" w:fill="FDFDFC"/>
          </w:tcPr>
          <w:p>
            <w:pPr>
              <w:spacing w:after="0"/>
              <w:rPr>
                <w:sz w:val="16"/>
                <w:szCs w:val="16"/>
                <w:color w:val="auto"/>
              </w:rPr>
            </w:pPr>
          </w:p>
        </w:tc>
        <w:tc>
          <w:tcPr>
            <w:tcW w:w="100" w:type="dxa"/>
            <w:vAlign w:val="bottom"/>
            <w:shd w:val="clear" w:color="auto" w:fill="FDFDFC"/>
          </w:tcPr>
          <w:p>
            <w:pPr>
              <w:spacing w:after="0"/>
              <w:rPr>
                <w:sz w:val="16"/>
                <w:szCs w:val="16"/>
                <w:color w:val="auto"/>
              </w:rPr>
            </w:pPr>
          </w:p>
        </w:tc>
        <w:tc>
          <w:tcPr>
            <w:tcW w:w="860" w:type="dxa"/>
            <w:vAlign w:val="bottom"/>
            <w:shd w:val="clear" w:color="auto" w:fill="FDFDFC"/>
          </w:tcPr>
          <w:p>
            <w:pPr>
              <w:spacing w:after="0"/>
              <w:rPr>
                <w:sz w:val="16"/>
                <w:szCs w:val="16"/>
                <w:color w:val="auto"/>
              </w:rPr>
            </w:pPr>
          </w:p>
        </w:tc>
        <w:tc>
          <w:tcPr>
            <w:tcW w:w="200" w:type="dxa"/>
            <w:vAlign w:val="bottom"/>
            <w:shd w:val="clear" w:color="auto" w:fill="FDFDFC"/>
          </w:tcPr>
          <w:p>
            <w:pPr>
              <w:spacing w:after="0"/>
              <w:rPr>
                <w:sz w:val="16"/>
                <w:szCs w:val="16"/>
                <w:color w:val="auto"/>
              </w:rPr>
            </w:pPr>
          </w:p>
        </w:tc>
        <w:tc>
          <w:tcPr>
            <w:tcW w:w="900" w:type="dxa"/>
            <w:vAlign w:val="bottom"/>
            <w:shd w:val="clear" w:color="auto" w:fill="FDFDFC"/>
          </w:tcPr>
          <w:p>
            <w:pPr>
              <w:spacing w:after="0"/>
              <w:rPr>
                <w:sz w:val="16"/>
                <w:szCs w:val="16"/>
                <w:color w:val="auto"/>
              </w:rPr>
            </w:pPr>
          </w:p>
        </w:tc>
        <w:tc>
          <w:tcPr>
            <w:tcW w:w="240" w:type="dxa"/>
            <w:vAlign w:val="bottom"/>
            <w:shd w:val="clear" w:color="auto" w:fill="FDFDFC"/>
          </w:tcPr>
          <w:p>
            <w:pPr>
              <w:spacing w:after="0"/>
              <w:rPr>
                <w:sz w:val="16"/>
                <w:szCs w:val="16"/>
                <w:color w:val="auto"/>
              </w:rPr>
            </w:pPr>
          </w:p>
        </w:tc>
        <w:tc>
          <w:tcPr>
            <w:tcW w:w="0" w:type="dxa"/>
            <w:vAlign w:val="bottom"/>
          </w:tcPr>
          <w:p>
            <w:pPr>
              <w:spacing w:after="0"/>
              <w:rPr>
                <w:sz w:val="1"/>
                <w:szCs w:val="1"/>
                <w:color w:val="auto"/>
              </w:rPr>
            </w:pPr>
          </w:p>
        </w:tc>
      </w:tr>
      <w:tr>
        <w:trPr>
          <w:trHeight w:val="158"/>
        </w:trPr>
        <w:tc>
          <w:tcPr>
            <w:tcW w:w="1460" w:type="dxa"/>
            <w:vAlign w:val="bottom"/>
            <w:shd w:val="clear" w:color="auto" w:fill="D0EBF2"/>
          </w:tcPr>
          <w:p>
            <w:pPr>
              <w:spacing w:after="0" w:line="159" w:lineRule="exact"/>
              <w:rPr>
                <w:sz w:val="20"/>
                <w:szCs w:val="20"/>
                <w:color w:val="auto"/>
              </w:rPr>
            </w:pPr>
            <w:r>
              <w:rPr>
                <w:rFonts w:ascii="Times New Roman" w:cs="Times New Roman" w:eastAsia="Times New Roman" w:hAnsi="Times New Roman"/>
                <w:sz w:val="15"/>
                <w:szCs w:val="15"/>
                <w:color w:val="231F20"/>
              </w:rPr>
              <w:t>Rapid Data GmbH</w:t>
            </w:r>
          </w:p>
        </w:tc>
        <w:tc>
          <w:tcPr>
            <w:tcW w:w="2420" w:type="dxa"/>
            <w:vAlign w:val="bottom"/>
            <w:shd w:val="clear" w:color="auto" w:fill="D0EBF2"/>
          </w:tcPr>
          <w:p>
            <w:pPr>
              <w:ind w:left="60"/>
              <w:spacing w:after="0" w:line="159" w:lineRule="exact"/>
              <w:rPr>
                <w:sz w:val="20"/>
                <w:szCs w:val="20"/>
                <w:color w:val="auto"/>
              </w:rPr>
            </w:pPr>
            <w:r>
              <w:rPr>
                <w:rFonts w:ascii="Times New Roman" w:cs="Times New Roman" w:eastAsia="Times New Roman" w:hAnsi="Times New Roman"/>
                <w:sz w:val="15"/>
                <w:szCs w:val="15"/>
                <w:color w:val="231F20"/>
              </w:rPr>
              <w:t>First-lien loan (EUR 4,495 par, due</w:t>
            </w:r>
          </w:p>
        </w:tc>
        <w:tc>
          <w:tcPr>
            <w:tcW w:w="820" w:type="dxa"/>
            <w:vAlign w:val="bottom"/>
            <w:shd w:val="clear" w:color="auto" w:fill="D0EBF2"/>
          </w:tcPr>
          <w:p>
            <w:pPr>
              <w:jc w:val="right"/>
              <w:spacing w:after="0" w:line="159" w:lineRule="exact"/>
              <w:rPr>
                <w:sz w:val="20"/>
                <w:szCs w:val="20"/>
                <w:color w:val="auto"/>
              </w:rPr>
            </w:pPr>
            <w:r>
              <w:rPr>
                <w:rFonts w:ascii="Times New Roman" w:cs="Times New Roman" w:eastAsia="Times New Roman" w:hAnsi="Times New Roman"/>
                <w:sz w:val="15"/>
                <w:szCs w:val="15"/>
                <w:color w:val="231F20"/>
              </w:rPr>
              <w:t>7/11/2023</w:t>
            </w:r>
          </w:p>
        </w:tc>
        <w:tc>
          <w:tcPr>
            <w:tcW w:w="1040" w:type="dxa"/>
            <w:vAlign w:val="bottom"/>
            <w:shd w:val="clear" w:color="auto" w:fill="D0EBF2"/>
          </w:tcPr>
          <w:p>
            <w:pPr>
              <w:jc w:val="right"/>
              <w:ind w:right="84"/>
              <w:spacing w:after="0" w:line="159" w:lineRule="exact"/>
              <w:rPr>
                <w:sz w:val="20"/>
                <w:szCs w:val="20"/>
                <w:color w:val="auto"/>
              </w:rPr>
            </w:pPr>
            <w:r>
              <w:rPr>
                <w:rFonts w:ascii="Times New Roman" w:cs="Times New Roman" w:eastAsia="Times New Roman" w:hAnsi="Times New Roman"/>
                <w:sz w:val="15"/>
                <w:szCs w:val="15"/>
                <w:color w:val="231F20"/>
              </w:rPr>
              <w:t>E + 6.50%</w:t>
            </w:r>
          </w:p>
        </w:tc>
        <w:tc>
          <w:tcPr>
            <w:tcW w:w="1060" w:type="dxa"/>
            <w:vAlign w:val="bottom"/>
            <w:shd w:val="clear" w:color="auto" w:fill="D0EBF2"/>
          </w:tcPr>
          <w:p>
            <w:pPr>
              <w:jc w:val="right"/>
              <w:ind w:right="24"/>
              <w:spacing w:after="0" w:line="159" w:lineRule="exact"/>
              <w:rPr>
                <w:sz w:val="20"/>
                <w:szCs w:val="20"/>
                <w:color w:val="auto"/>
              </w:rPr>
            </w:pPr>
            <w:r>
              <w:rPr>
                <w:rFonts w:ascii="Times New Roman" w:cs="Times New Roman" w:eastAsia="Times New Roman" w:hAnsi="Times New Roman"/>
                <w:sz w:val="15"/>
                <w:szCs w:val="15"/>
                <w:color w:val="231F20"/>
              </w:rPr>
              <w:t>10.48%</w:t>
            </w:r>
          </w:p>
        </w:tc>
        <w:tc>
          <w:tcPr>
            <w:tcW w:w="100" w:type="dxa"/>
            <w:vAlign w:val="bottom"/>
            <w:shd w:val="clear" w:color="auto" w:fill="D0EBF2"/>
          </w:tcPr>
          <w:p>
            <w:pPr>
              <w:spacing w:after="0"/>
              <w:rPr>
                <w:sz w:val="13"/>
                <w:szCs w:val="13"/>
                <w:color w:val="auto"/>
              </w:rPr>
            </w:pPr>
          </w:p>
        </w:tc>
        <w:tc>
          <w:tcPr>
            <w:tcW w:w="900" w:type="dxa"/>
            <w:vAlign w:val="bottom"/>
            <w:shd w:val="clear" w:color="auto" w:fill="D0EBF2"/>
          </w:tcPr>
          <w:p>
            <w:pPr>
              <w:jc w:val="right"/>
              <w:spacing w:after="0" w:line="159" w:lineRule="exact"/>
              <w:rPr>
                <w:sz w:val="20"/>
                <w:szCs w:val="20"/>
                <w:color w:val="auto"/>
              </w:rPr>
            </w:pPr>
            <w:r>
              <w:rPr>
                <w:rFonts w:ascii="Times New Roman" w:cs="Times New Roman" w:eastAsia="Times New Roman" w:hAnsi="Times New Roman"/>
                <w:sz w:val="15"/>
                <w:szCs w:val="15"/>
                <w:color w:val="231F20"/>
              </w:rPr>
              <w:t>4,676</w:t>
            </w:r>
          </w:p>
        </w:tc>
        <w:tc>
          <w:tcPr>
            <w:tcW w:w="1140" w:type="dxa"/>
            <w:vAlign w:val="bottom"/>
            <w:gridSpan w:val="3"/>
            <w:shd w:val="clear" w:color="auto" w:fill="D0EBF2"/>
          </w:tcPr>
          <w:p>
            <w:pPr>
              <w:jc w:val="right"/>
              <w:spacing w:after="0" w:line="159" w:lineRule="exact"/>
              <w:rPr>
                <w:sz w:val="20"/>
                <w:szCs w:val="20"/>
                <w:color w:val="auto"/>
              </w:rPr>
            </w:pPr>
            <w:r>
              <w:rPr>
                <w:rFonts w:ascii="Times New Roman" w:cs="Times New Roman" w:eastAsia="Times New Roman" w:hAnsi="Times New Roman"/>
                <w:sz w:val="15"/>
                <w:szCs w:val="15"/>
                <w:color w:val="231F20"/>
              </w:rPr>
              <w:t>4,853</w:t>
            </w:r>
          </w:p>
        </w:tc>
        <w:tc>
          <w:tcPr>
            <w:tcW w:w="1340" w:type="dxa"/>
            <w:vAlign w:val="bottom"/>
            <w:gridSpan w:val="3"/>
            <w:shd w:val="clear" w:color="auto" w:fill="D0EBF2"/>
          </w:tcPr>
          <w:p>
            <w:pPr>
              <w:jc w:val="right"/>
              <w:ind w:right="120"/>
              <w:spacing w:after="0" w:line="159" w:lineRule="exact"/>
              <w:rPr>
                <w:sz w:val="20"/>
                <w:szCs w:val="20"/>
                <w:color w:val="auto"/>
              </w:rPr>
            </w:pPr>
            <w:r>
              <w:rPr>
                <w:rFonts w:ascii="Times New Roman" w:cs="Times New Roman" w:eastAsia="Times New Roman" w:hAnsi="Times New Roman"/>
                <w:sz w:val="15"/>
                <w:szCs w:val="15"/>
                <w:color w:val="231F20"/>
              </w:rPr>
              <w:t>0.3%</w:t>
            </w:r>
          </w:p>
        </w:tc>
        <w:tc>
          <w:tcPr>
            <w:tcW w:w="0" w:type="dxa"/>
            <w:vAlign w:val="bottom"/>
          </w:tcPr>
          <w:p>
            <w:pPr>
              <w:spacing w:after="0"/>
              <w:rPr>
                <w:sz w:val="1"/>
                <w:szCs w:val="1"/>
                <w:color w:val="auto"/>
              </w:rPr>
            </w:pPr>
          </w:p>
        </w:tc>
      </w:tr>
      <w:tr>
        <w:trPr>
          <w:trHeight w:val="186"/>
        </w:trPr>
        <w:tc>
          <w:tcPr>
            <w:tcW w:w="1460" w:type="dxa"/>
            <w:vAlign w:val="bottom"/>
            <w:shd w:val="clear" w:color="auto" w:fill="D0EBF2"/>
          </w:tcPr>
          <w:p>
            <w:pPr>
              <w:spacing w:after="0"/>
              <w:rPr>
                <w:sz w:val="20"/>
                <w:szCs w:val="20"/>
                <w:color w:val="auto"/>
              </w:rPr>
            </w:pPr>
            <w:r>
              <w:rPr>
                <w:rFonts w:ascii="Times New Roman" w:cs="Times New Roman" w:eastAsia="Times New Roman" w:hAnsi="Times New Roman"/>
                <w:sz w:val="15"/>
                <w:szCs w:val="15"/>
                <w:color w:val="231F20"/>
              </w:rPr>
              <w:t>Unternehmensberatung</w:t>
            </w:r>
          </w:p>
        </w:tc>
        <w:tc>
          <w:tcPr>
            <w:tcW w:w="2420" w:type="dxa"/>
            <w:vAlign w:val="bottom"/>
            <w:shd w:val="clear" w:color="auto" w:fill="D0EBF2"/>
          </w:tcPr>
          <w:p>
            <w:pPr>
              <w:ind w:left="60"/>
              <w:spacing w:after="0"/>
              <w:rPr>
                <w:sz w:val="20"/>
                <w:szCs w:val="20"/>
                <w:color w:val="auto"/>
              </w:rPr>
            </w:pPr>
            <w:r>
              <w:rPr>
                <w:rFonts w:ascii="Times New Roman" w:cs="Times New Roman" w:eastAsia="Times New Roman" w:hAnsi="Times New Roman"/>
                <w:sz w:val="15"/>
                <w:szCs w:val="15"/>
                <w:color w:val="231F20"/>
              </w:rPr>
              <w:t>7/2029)</w:t>
            </w:r>
          </w:p>
        </w:tc>
        <w:tc>
          <w:tcPr>
            <w:tcW w:w="820" w:type="dxa"/>
            <w:vAlign w:val="bottom"/>
            <w:shd w:val="clear" w:color="auto" w:fill="D0EBF2"/>
          </w:tcPr>
          <w:p>
            <w:pPr>
              <w:spacing w:after="0"/>
              <w:rPr>
                <w:sz w:val="16"/>
                <w:szCs w:val="16"/>
                <w:color w:val="auto"/>
              </w:rPr>
            </w:pPr>
          </w:p>
        </w:tc>
        <w:tc>
          <w:tcPr>
            <w:tcW w:w="1040" w:type="dxa"/>
            <w:vAlign w:val="bottom"/>
            <w:shd w:val="clear" w:color="auto" w:fill="D0EBF2"/>
          </w:tcPr>
          <w:p>
            <w:pPr>
              <w:spacing w:after="0"/>
              <w:rPr>
                <w:sz w:val="16"/>
                <w:szCs w:val="16"/>
                <w:color w:val="auto"/>
              </w:rPr>
            </w:pPr>
          </w:p>
        </w:tc>
        <w:tc>
          <w:tcPr>
            <w:tcW w:w="1060" w:type="dxa"/>
            <w:vAlign w:val="bottom"/>
            <w:shd w:val="clear" w:color="auto" w:fill="D0EBF2"/>
          </w:tcPr>
          <w:p>
            <w:pPr>
              <w:spacing w:after="0"/>
              <w:rPr>
                <w:sz w:val="16"/>
                <w:szCs w:val="16"/>
                <w:color w:val="auto"/>
              </w:rPr>
            </w:pPr>
          </w:p>
        </w:tc>
        <w:tc>
          <w:tcPr>
            <w:tcW w:w="100" w:type="dxa"/>
            <w:vAlign w:val="bottom"/>
            <w:shd w:val="clear" w:color="auto" w:fill="D0EBF2"/>
          </w:tcPr>
          <w:p>
            <w:pPr>
              <w:spacing w:after="0"/>
              <w:rPr>
                <w:sz w:val="16"/>
                <w:szCs w:val="16"/>
                <w:color w:val="auto"/>
              </w:rPr>
            </w:pPr>
          </w:p>
        </w:tc>
        <w:tc>
          <w:tcPr>
            <w:tcW w:w="900" w:type="dxa"/>
            <w:vAlign w:val="bottom"/>
            <w:shd w:val="clear" w:color="auto" w:fill="D0EBF2"/>
          </w:tcPr>
          <w:p>
            <w:pPr>
              <w:spacing w:after="0"/>
              <w:rPr>
                <w:sz w:val="16"/>
                <w:szCs w:val="16"/>
                <w:color w:val="auto"/>
              </w:rPr>
            </w:pPr>
          </w:p>
        </w:tc>
        <w:tc>
          <w:tcPr>
            <w:tcW w:w="180" w:type="dxa"/>
            <w:vAlign w:val="bottom"/>
            <w:shd w:val="clear" w:color="auto" w:fill="D0EBF2"/>
          </w:tcPr>
          <w:p>
            <w:pPr>
              <w:spacing w:after="0"/>
              <w:rPr>
                <w:sz w:val="16"/>
                <w:szCs w:val="16"/>
                <w:color w:val="auto"/>
              </w:rPr>
            </w:pPr>
          </w:p>
        </w:tc>
        <w:tc>
          <w:tcPr>
            <w:tcW w:w="100" w:type="dxa"/>
            <w:vAlign w:val="bottom"/>
            <w:shd w:val="clear" w:color="auto" w:fill="D0EBF2"/>
          </w:tcPr>
          <w:p>
            <w:pPr>
              <w:spacing w:after="0"/>
              <w:rPr>
                <w:sz w:val="16"/>
                <w:szCs w:val="16"/>
                <w:color w:val="auto"/>
              </w:rPr>
            </w:pPr>
          </w:p>
        </w:tc>
        <w:tc>
          <w:tcPr>
            <w:tcW w:w="860" w:type="dxa"/>
            <w:vAlign w:val="bottom"/>
            <w:shd w:val="clear" w:color="auto" w:fill="D0EBF2"/>
          </w:tcPr>
          <w:p>
            <w:pPr>
              <w:jc w:val="right"/>
              <w:spacing w:after="0"/>
              <w:rPr>
                <w:sz w:val="20"/>
                <w:szCs w:val="20"/>
                <w:color w:val="auto"/>
              </w:rPr>
            </w:pPr>
            <w:r>
              <w:rPr>
                <w:rFonts w:ascii="Times New Roman" w:cs="Times New Roman" w:eastAsia="Times New Roman" w:hAnsi="Times New Roman"/>
                <w:sz w:val="15"/>
                <w:szCs w:val="15"/>
                <w:color w:val="231F20"/>
              </w:rPr>
              <w:t>(EUR 4,393)</w:t>
            </w:r>
          </w:p>
        </w:tc>
        <w:tc>
          <w:tcPr>
            <w:tcW w:w="200" w:type="dxa"/>
            <w:vAlign w:val="bottom"/>
            <w:shd w:val="clear" w:color="auto" w:fill="D0EBF2"/>
          </w:tcPr>
          <w:p>
            <w:pPr>
              <w:spacing w:after="0"/>
              <w:rPr>
                <w:sz w:val="16"/>
                <w:szCs w:val="16"/>
                <w:color w:val="auto"/>
              </w:rPr>
            </w:pPr>
          </w:p>
        </w:tc>
        <w:tc>
          <w:tcPr>
            <w:tcW w:w="900" w:type="dxa"/>
            <w:vAlign w:val="bottom"/>
            <w:shd w:val="clear" w:color="auto" w:fill="D0EBF2"/>
          </w:tcPr>
          <w:p>
            <w:pPr>
              <w:spacing w:after="0"/>
              <w:rPr>
                <w:sz w:val="16"/>
                <w:szCs w:val="16"/>
                <w:color w:val="auto"/>
              </w:rPr>
            </w:pPr>
          </w:p>
        </w:tc>
        <w:tc>
          <w:tcPr>
            <w:tcW w:w="240" w:type="dxa"/>
            <w:vAlign w:val="bottom"/>
            <w:shd w:val="clear" w:color="auto" w:fill="D0EBF2"/>
          </w:tcPr>
          <w:p>
            <w:pPr>
              <w:spacing w:after="0"/>
              <w:rPr>
                <w:sz w:val="16"/>
                <w:szCs w:val="16"/>
                <w:color w:val="auto"/>
              </w:rPr>
            </w:pPr>
          </w:p>
        </w:tc>
        <w:tc>
          <w:tcPr>
            <w:tcW w:w="0" w:type="dxa"/>
            <w:vAlign w:val="bottom"/>
          </w:tcPr>
          <w:p>
            <w:pPr>
              <w:spacing w:after="0"/>
              <w:rPr>
                <w:sz w:val="1"/>
                <w:szCs w:val="1"/>
                <w:color w:val="auto"/>
              </w:rPr>
            </w:pPr>
          </w:p>
        </w:tc>
      </w:tr>
      <w:tr>
        <w:trPr>
          <w:trHeight w:val="157"/>
        </w:trPr>
        <w:tc>
          <w:tcPr>
            <w:tcW w:w="1460" w:type="dxa"/>
            <w:vAlign w:val="bottom"/>
            <w:tcBorders>
              <w:bottom w:val="single" w:sz="8" w:color="D0EBF2"/>
            </w:tcBorders>
            <w:shd w:val="clear" w:color="auto" w:fill="D0EBF2"/>
          </w:tcPr>
          <w:p>
            <w:pPr>
              <w:spacing w:after="0"/>
              <w:rPr>
                <w:sz w:val="20"/>
                <w:szCs w:val="20"/>
                <w:color w:val="auto"/>
              </w:rPr>
            </w:pPr>
            <w:r>
              <w:rPr>
                <w:rFonts w:ascii="Times New Roman" w:cs="Times New Roman" w:eastAsia="Times New Roman" w:hAnsi="Times New Roman"/>
                <w:sz w:val="9"/>
                <w:szCs w:val="9"/>
                <w:color w:val="231F20"/>
              </w:rPr>
              <w:t>(3)(4)</w:t>
            </w:r>
          </w:p>
        </w:tc>
        <w:tc>
          <w:tcPr>
            <w:tcW w:w="2420" w:type="dxa"/>
            <w:vAlign w:val="bottom"/>
            <w:tcBorders>
              <w:bottom w:val="single" w:sz="8" w:color="D0EBF2"/>
            </w:tcBorders>
            <w:shd w:val="clear" w:color="auto" w:fill="D0EBF2"/>
          </w:tcPr>
          <w:p>
            <w:pPr>
              <w:spacing w:after="0"/>
              <w:rPr>
                <w:sz w:val="13"/>
                <w:szCs w:val="13"/>
                <w:color w:val="auto"/>
              </w:rPr>
            </w:pPr>
          </w:p>
        </w:tc>
        <w:tc>
          <w:tcPr>
            <w:tcW w:w="820" w:type="dxa"/>
            <w:vAlign w:val="bottom"/>
            <w:tcBorders>
              <w:bottom w:val="single" w:sz="8" w:color="D0EBF2"/>
            </w:tcBorders>
            <w:shd w:val="clear" w:color="auto" w:fill="D0EBF2"/>
          </w:tcPr>
          <w:p>
            <w:pPr>
              <w:spacing w:after="0"/>
              <w:rPr>
                <w:sz w:val="13"/>
                <w:szCs w:val="13"/>
                <w:color w:val="auto"/>
              </w:rPr>
            </w:pPr>
          </w:p>
        </w:tc>
        <w:tc>
          <w:tcPr>
            <w:tcW w:w="1040" w:type="dxa"/>
            <w:vAlign w:val="bottom"/>
            <w:tcBorders>
              <w:bottom w:val="single" w:sz="8" w:color="D0EBF2"/>
            </w:tcBorders>
            <w:shd w:val="clear" w:color="auto" w:fill="D0EBF2"/>
          </w:tcPr>
          <w:p>
            <w:pPr>
              <w:spacing w:after="0"/>
              <w:rPr>
                <w:sz w:val="13"/>
                <w:szCs w:val="13"/>
                <w:color w:val="auto"/>
              </w:rPr>
            </w:pPr>
          </w:p>
        </w:tc>
        <w:tc>
          <w:tcPr>
            <w:tcW w:w="1060" w:type="dxa"/>
            <w:vAlign w:val="bottom"/>
            <w:tcBorders>
              <w:bottom w:val="single" w:sz="8" w:color="D0EBF2"/>
            </w:tcBorders>
            <w:shd w:val="clear" w:color="auto" w:fill="D0EBF2"/>
          </w:tcPr>
          <w:p>
            <w:pPr>
              <w:spacing w:after="0"/>
              <w:rPr>
                <w:sz w:val="13"/>
                <w:szCs w:val="13"/>
                <w:color w:val="auto"/>
              </w:rPr>
            </w:pPr>
          </w:p>
        </w:tc>
        <w:tc>
          <w:tcPr>
            <w:tcW w:w="100" w:type="dxa"/>
            <w:vAlign w:val="bottom"/>
            <w:tcBorders>
              <w:bottom w:val="single" w:sz="8" w:color="D0EBF2"/>
            </w:tcBorders>
            <w:shd w:val="clear" w:color="auto" w:fill="D0EBF2"/>
          </w:tcPr>
          <w:p>
            <w:pPr>
              <w:spacing w:after="0"/>
              <w:rPr>
                <w:sz w:val="13"/>
                <w:szCs w:val="13"/>
                <w:color w:val="auto"/>
              </w:rPr>
            </w:pPr>
          </w:p>
        </w:tc>
        <w:tc>
          <w:tcPr>
            <w:tcW w:w="900" w:type="dxa"/>
            <w:vAlign w:val="bottom"/>
            <w:tcBorders>
              <w:bottom w:val="single" w:sz="8" w:color="D0EBF2"/>
            </w:tcBorders>
            <w:shd w:val="clear" w:color="auto" w:fill="D0EBF2"/>
          </w:tcPr>
          <w:p>
            <w:pPr>
              <w:spacing w:after="0"/>
              <w:rPr>
                <w:sz w:val="13"/>
                <w:szCs w:val="13"/>
                <w:color w:val="auto"/>
              </w:rPr>
            </w:pPr>
          </w:p>
        </w:tc>
        <w:tc>
          <w:tcPr>
            <w:tcW w:w="180" w:type="dxa"/>
            <w:vAlign w:val="bottom"/>
            <w:tcBorders>
              <w:bottom w:val="single" w:sz="8" w:color="D0EBF2"/>
            </w:tcBorders>
            <w:shd w:val="clear" w:color="auto" w:fill="D0EBF2"/>
          </w:tcPr>
          <w:p>
            <w:pPr>
              <w:spacing w:after="0"/>
              <w:rPr>
                <w:sz w:val="13"/>
                <w:szCs w:val="13"/>
                <w:color w:val="auto"/>
              </w:rPr>
            </w:pPr>
          </w:p>
        </w:tc>
        <w:tc>
          <w:tcPr>
            <w:tcW w:w="100" w:type="dxa"/>
            <w:vAlign w:val="bottom"/>
            <w:tcBorders>
              <w:bottom w:val="single" w:sz="8" w:color="D0EBF2"/>
            </w:tcBorders>
            <w:shd w:val="clear" w:color="auto" w:fill="D0EBF2"/>
          </w:tcPr>
          <w:p>
            <w:pPr>
              <w:spacing w:after="0"/>
              <w:rPr>
                <w:sz w:val="13"/>
                <w:szCs w:val="13"/>
                <w:color w:val="auto"/>
              </w:rPr>
            </w:pPr>
          </w:p>
        </w:tc>
        <w:tc>
          <w:tcPr>
            <w:tcW w:w="860" w:type="dxa"/>
            <w:vAlign w:val="bottom"/>
            <w:tcBorders>
              <w:bottom w:val="single" w:sz="8" w:color="D0EBF2"/>
            </w:tcBorders>
            <w:shd w:val="clear" w:color="auto" w:fill="D0EBF2"/>
          </w:tcPr>
          <w:p>
            <w:pPr>
              <w:spacing w:after="0"/>
              <w:rPr>
                <w:sz w:val="13"/>
                <w:szCs w:val="13"/>
                <w:color w:val="auto"/>
              </w:rPr>
            </w:pPr>
          </w:p>
        </w:tc>
        <w:tc>
          <w:tcPr>
            <w:tcW w:w="200" w:type="dxa"/>
            <w:vAlign w:val="bottom"/>
            <w:tcBorders>
              <w:bottom w:val="single" w:sz="8" w:color="D0EBF2"/>
            </w:tcBorders>
            <w:shd w:val="clear" w:color="auto" w:fill="D0EBF2"/>
          </w:tcPr>
          <w:p>
            <w:pPr>
              <w:spacing w:after="0"/>
              <w:rPr>
                <w:sz w:val="13"/>
                <w:szCs w:val="13"/>
                <w:color w:val="auto"/>
              </w:rPr>
            </w:pPr>
          </w:p>
        </w:tc>
        <w:tc>
          <w:tcPr>
            <w:tcW w:w="900" w:type="dxa"/>
            <w:vAlign w:val="bottom"/>
            <w:tcBorders>
              <w:bottom w:val="single" w:sz="8" w:color="D0EBF2"/>
            </w:tcBorders>
            <w:shd w:val="clear" w:color="auto" w:fill="D0EBF2"/>
          </w:tcPr>
          <w:p>
            <w:pPr>
              <w:spacing w:after="0"/>
              <w:rPr>
                <w:sz w:val="13"/>
                <w:szCs w:val="13"/>
                <w:color w:val="auto"/>
              </w:rPr>
            </w:pPr>
          </w:p>
        </w:tc>
        <w:tc>
          <w:tcPr>
            <w:tcW w:w="240" w:type="dxa"/>
            <w:vAlign w:val="bottom"/>
            <w:tcBorders>
              <w:bottom w:val="single" w:sz="8" w:color="D0EBF2"/>
            </w:tcBorders>
            <w:shd w:val="clear" w:color="auto" w:fill="D0EBF2"/>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1460" w:type="dxa"/>
            <w:vAlign w:val="bottom"/>
            <w:shd w:val="clear" w:color="auto" w:fill="FDFDFC"/>
          </w:tcPr>
          <w:p>
            <w:pPr>
              <w:spacing w:after="0" w:line="159" w:lineRule="exact"/>
              <w:rPr>
                <w:sz w:val="20"/>
                <w:szCs w:val="20"/>
                <w:color w:val="auto"/>
              </w:rPr>
            </w:pPr>
            <w:r>
              <w:rPr>
                <w:rFonts w:ascii="Times New Roman" w:cs="Times New Roman" w:eastAsia="Times New Roman" w:hAnsi="Times New Roman"/>
                <w:sz w:val="15"/>
                <w:szCs w:val="15"/>
                <w:color w:val="231F20"/>
              </w:rPr>
              <w:t>Tango Management</w:t>
            </w:r>
          </w:p>
        </w:tc>
        <w:tc>
          <w:tcPr>
            <w:tcW w:w="2420" w:type="dxa"/>
            <w:vAlign w:val="bottom"/>
            <w:shd w:val="clear" w:color="auto" w:fill="FDFDFC"/>
          </w:tcPr>
          <w:p>
            <w:pPr>
              <w:ind w:left="60"/>
              <w:spacing w:after="0" w:line="159" w:lineRule="exact"/>
              <w:rPr>
                <w:sz w:val="20"/>
                <w:szCs w:val="20"/>
                <w:color w:val="auto"/>
              </w:rPr>
            </w:pPr>
            <w:r>
              <w:rPr>
                <w:rFonts w:ascii="Times New Roman" w:cs="Times New Roman" w:eastAsia="Times New Roman" w:hAnsi="Times New Roman"/>
                <w:sz w:val="15"/>
                <w:szCs w:val="15"/>
                <w:color w:val="231F20"/>
              </w:rPr>
              <w:t>First-lien loan ($57,007 par, due</w:t>
            </w:r>
          </w:p>
        </w:tc>
        <w:tc>
          <w:tcPr>
            <w:tcW w:w="820" w:type="dxa"/>
            <w:vAlign w:val="bottom"/>
            <w:shd w:val="clear" w:color="auto" w:fill="FDFDFC"/>
          </w:tcPr>
          <w:p>
            <w:pPr>
              <w:jc w:val="right"/>
              <w:spacing w:after="0" w:line="159" w:lineRule="exact"/>
              <w:rPr>
                <w:sz w:val="20"/>
                <w:szCs w:val="20"/>
                <w:color w:val="auto"/>
              </w:rPr>
            </w:pPr>
            <w:r>
              <w:rPr>
                <w:rFonts w:ascii="Times New Roman" w:cs="Times New Roman" w:eastAsia="Times New Roman" w:hAnsi="Times New Roman"/>
                <w:sz w:val="15"/>
                <w:szCs w:val="15"/>
                <w:color w:val="231F20"/>
              </w:rPr>
              <w:t>12/1/2021</w:t>
            </w:r>
          </w:p>
        </w:tc>
        <w:tc>
          <w:tcPr>
            <w:tcW w:w="1040" w:type="dxa"/>
            <w:vAlign w:val="bottom"/>
            <w:shd w:val="clear" w:color="auto" w:fill="FDFDFC"/>
          </w:tcPr>
          <w:p>
            <w:pPr>
              <w:jc w:val="right"/>
              <w:ind w:right="84"/>
              <w:spacing w:after="0" w:line="159" w:lineRule="exact"/>
              <w:rPr>
                <w:sz w:val="20"/>
                <w:szCs w:val="20"/>
                <w:color w:val="auto"/>
              </w:rPr>
            </w:pPr>
            <w:r>
              <w:rPr>
                <w:rFonts w:ascii="Times New Roman" w:cs="Times New Roman" w:eastAsia="Times New Roman" w:hAnsi="Times New Roman"/>
                <w:sz w:val="15"/>
                <w:szCs w:val="15"/>
                <w:color w:val="231F20"/>
              </w:rPr>
              <w:t>SOFR +</w:t>
            </w:r>
          </w:p>
        </w:tc>
        <w:tc>
          <w:tcPr>
            <w:tcW w:w="1060" w:type="dxa"/>
            <w:vAlign w:val="bottom"/>
            <w:shd w:val="clear" w:color="auto" w:fill="FDFDFC"/>
          </w:tcPr>
          <w:p>
            <w:pPr>
              <w:jc w:val="right"/>
              <w:ind w:right="24"/>
              <w:spacing w:after="0" w:line="159" w:lineRule="exact"/>
              <w:rPr>
                <w:sz w:val="20"/>
                <w:szCs w:val="20"/>
                <w:color w:val="auto"/>
              </w:rPr>
            </w:pPr>
            <w:r>
              <w:rPr>
                <w:rFonts w:ascii="Times New Roman" w:cs="Times New Roman" w:eastAsia="Times New Roman" w:hAnsi="Times New Roman"/>
                <w:sz w:val="15"/>
                <w:szCs w:val="15"/>
                <w:color w:val="231F20"/>
              </w:rPr>
              <w:t>12.20%</w:t>
            </w:r>
          </w:p>
        </w:tc>
        <w:tc>
          <w:tcPr>
            <w:tcW w:w="100" w:type="dxa"/>
            <w:vAlign w:val="bottom"/>
            <w:shd w:val="clear" w:color="auto" w:fill="FDFDFC"/>
          </w:tcPr>
          <w:p>
            <w:pPr>
              <w:spacing w:after="0"/>
              <w:rPr>
                <w:sz w:val="13"/>
                <w:szCs w:val="13"/>
                <w:color w:val="auto"/>
              </w:rPr>
            </w:pPr>
          </w:p>
        </w:tc>
        <w:tc>
          <w:tcPr>
            <w:tcW w:w="900" w:type="dxa"/>
            <w:vAlign w:val="bottom"/>
            <w:shd w:val="clear" w:color="auto" w:fill="FDFDFC"/>
          </w:tcPr>
          <w:p>
            <w:pPr>
              <w:jc w:val="right"/>
              <w:spacing w:after="0" w:line="159" w:lineRule="exact"/>
              <w:rPr>
                <w:sz w:val="20"/>
                <w:szCs w:val="20"/>
                <w:color w:val="auto"/>
              </w:rPr>
            </w:pPr>
            <w:r>
              <w:rPr>
                <w:rFonts w:ascii="Times New Roman" w:cs="Times New Roman" w:eastAsia="Times New Roman" w:hAnsi="Times New Roman"/>
                <w:sz w:val="15"/>
                <w:szCs w:val="15"/>
                <w:color w:val="231F20"/>
              </w:rPr>
              <w:t>56,247</w:t>
            </w:r>
          </w:p>
        </w:tc>
        <w:tc>
          <w:tcPr>
            <w:tcW w:w="1140" w:type="dxa"/>
            <w:vAlign w:val="bottom"/>
            <w:gridSpan w:val="3"/>
            <w:shd w:val="clear" w:color="auto" w:fill="FDFDFC"/>
          </w:tcPr>
          <w:p>
            <w:pPr>
              <w:jc w:val="right"/>
              <w:spacing w:after="0" w:line="159" w:lineRule="exact"/>
              <w:rPr>
                <w:sz w:val="20"/>
                <w:szCs w:val="20"/>
                <w:color w:val="auto"/>
              </w:rPr>
            </w:pPr>
            <w:r>
              <w:rPr>
                <w:rFonts w:ascii="Times New Roman" w:cs="Times New Roman" w:eastAsia="Times New Roman" w:hAnsi="Times New Roman"/>
                <w:sz w:val="15"/>
                <w:szCs w:val="15"/>
                <w:color w:val="231F20"/>
              </w:rPr>
              <w:t>56,703</w:t>
            </w:r>
          </w:p>
        </w:tc>
        <w:tc>
          <w:tcPr>
            <w:tcW w:w="1340" w:type="dxa"/>
            <w:vAlign w:val="bottom"/>
            <w:gridSpan w:val="3"/>
            <w:shd w:val="clear" w:color="auto" w:fill="FDFDFC"/>
          </w:tcPr>
          <w:p>
            <w:pPr>
              <w:jc w:val="right"/>
              <w:ind w:right="120"/>
              <w:spacing w:after="0" w:line="159" w:lineRule="exact"/>
              <w:rPr>
                <w:sz w:val="20"/>
                <w:szCs w:val="20"/>
                <w:color w:val="auto"/>
              </w:rPr>
            </w:pPr>
            <w:r>
              <w:rPr>
                <w:rFonts w:ascii="Times New Roman" w:cs="Times New Roman" w:eastAsia="Times New Roman" w:hAnsi="Times New Roman"/>
                <w:sz w:val="15"/>
                <w:szCs w:val="15"/>
                <w:color w:val="231F20"/>
              </w:rPr>
              <w:t>3.8%</w:t>
            </w:r>
          </w:p>
        </w:tc>
        <w:tc>
          <w:tcPr>
            <w:tcW w:w="0" w:type="dxa"/>
            <w:vAlign w:val="bottom"/>
          </w:tcPr>
          <w:p>
            <w:pPr>
              <w:spacing w:after="0"/>
              <w:rPr>
                <w:sz w:val="1"/>
                <w:szCs w:val="1"/>
                <w:color w:val="auto"/>
              </w:rPr>
            </w:pPr>
          </w:p>
        </w:tc>
      </w:tr>
      <w:tr>
        <w:trPr>
          <w:trHeight w:val="189"/>
        </w:trPr>
        <w:tc>
          <w:tcPr>
            <w:tcW w:w="1460" w:type="dxa"/>
            <w:vAlign w:val="bottom"/>
            <w:tcBorders>
              <w:bottom w:val="single" w:sz="8" w:color="D0EBF2"/>
            </w:tcBorders>
            <w:shd w:val="clear" w:color="auto" w:fill="FDFDFC"/>
          </w:tcPr>
          <w:p>
            <w:pPr>
              <w:spacing w:after="0"/>
              <w:rPr>
                <w:sz w:val="20"/>
                <w:szCs w:val="20"/>
                <w:color w:val="auto"/>
              </w:rPr>
            </w:pPr>
            <w:r>
              <w:rPr>
                <w:rFonts w:ascii="Times New Roman" w:cs="Times New Roman" w:eastAsia="Times New Roman" w:hAnsi="Times New Roman"/>
                <w:sz w:val="15"/>
                <w:szCs w:val="15"/>
                <w:color w:val="231F20"/>
              </w:rPr>
              <w:t xml:space="preserve">Consulting, LLC </w:t>
            </w:r>
            <w:r>
              <w:rPr>
                <w:rFonts w:ascii="Times New Roman" w:cs="Times New Roman" w:eastAsia="Times New Roman" w:hAnsi="Times New Roman"/>
                <w:sz w:val="9"/>
                <w:szCs w:val="9"/>
                <w:color w:val="231F20"/>
              </w:rPr>
              <w:t>(3)(5)</w:t>
            </w:r>
          </w:p>
        </w:tc>
        <w:tc>
          <w:tcPr>
            <w:tcW w:w="2420" w:type="dxa"/>
            <w:vAlign w:val="bottom"/>
            <w:tcBorders>
              <w:bottom w:val="single" w:sz="8" w:color="D0EBF2"/>
            </w:tcBorders>
            <w:shd w:val="clear" w:color="auto" w:fill="FDFDFC"/>
          </w:tcPr>
          <w:p>
            <w:pPr>
              <w:ind w:left="60"/>
              <w:spacing w:after="0"/>
              <w:rPr>
                <w:sz w:val="20"/>
                <w:szCs w:val="20"/>
                <w:color w:val="auto"/>
              </w:rPr>
            </w:pPr>
            <w:r>
              <w:rPr>
                <w:rFonts w:ascii="Times New Roman" w:cs="Times New Roman" w:eastAsia="Times New Roman" w:hAnsi="Times New Roman"/>
                <w:sz w:val="15"/>
                <w:szCs w:val="15"/>
                <w:color w:val="231F20"/>
              </w:rPr>
              <w:t>12/2027)</w:t>
            </w:r>
          </w:p>
        </w:tc>
        <w:tc>
          <w:tcPr>
            <w:tcW w:w="820" w:type="dxa"/>
            <w:vAlign w:val="bottom"/>
            <w:tcBorders>
              <w:bottom w:val="single" w:sz="8" w:color="D0EBF2"/>
            </w:tcBorders>
            <w:shd w:val="clear" w:color="auto" w:fill="FDFDFC"/>
          </w:tcPr>
          <w:p>
            <w:pPr>
              <w:spacing w:after="0"/>
              <w:rPr>
                <w:sz w:val="16"/>
                <w:szCs w:val="16"/>
                <w:color w:val="auto"/>
              </w:rPr>
            </w:pPr>
          </w:p>
        </w:tc>
        <w:tc>
          <w:tcPr>
            <w:tcW w:w="1040" w:type="dxa"/>
            <w:vAlign w:val="bottom"/>
            <w:tcBorders>
              <w:bottom w:val="single" w:sz="8" w:color="D0EBF2"/>
            </w:tcBorders>
            <w:shd w:val="clear" w:color="auto" w:fill="FDFDFC"/>
          </w:tcPr>
          <w:p>
            <w:pPr>
              <w:jc w:val="right"/>
              <w:ind w:right="84"/>
              <w:spacing w:after="0"/>
              <w:rPr>
                <w:sz w:val="20"/>
                <w:szCs w:val="20"/>
                <w:color w:val="auto"/>
              </w:rPr>
            </w:pPr>
            <w:r>
              <w:rPr>
                <w:rFonts w:ascii="Times New Roman" w:cs="Times New Roman" w:eastAsia="Times New Roman" w:hAnsi="Times New Roman"/>
                <w:sz w:val="15"/>
                <w:szCs w:val="15"/>
                <w:color w:val="231F20"/>
              </w:rPr>
              <w:t>6.85%</w:t>
            </w:r>
          </w:p>
        </w:tc>
        <w:tc>
          <w:tcPr>
            <w:tcW w:w="1060" w:type="dxa"/>
            <w:vAlign w:val="bottom"/>
            <w:tcBorders>
              <w:bottom w:val="single" w:sz="8" w:color="D0EBF2"/>
            </w:tcBorders>
            <w:shd w:val="clear" w:color="auto" w:fill="FDFDFC"/>
          </w:tcPr>
          <w:p>
            <w:pPr>
              <w:spacing w:after="0"/>
              <w:rPr>
                <w:sz w:val="16"/>
                <w:szCs w:val="16"/>
                <w:color w:val="auto"/>
              </w:rPr>
            </w:pPr>
          </w:p>
        </w:tc>
        <w:tc>
          <w:tcPr>
            <w:tcW w:w="100" w:type="dxa"/>
            <w:vAlign w:val="bottom"/>
            <w:tcBorders>
              <w:bottom w:val="single" w:sz="8" w:color="D0EBF2"/>
            </w:tcBorders>
            <w:shd w:val="clear" w:color="auto" w:fill="FDFDFC"/>
          </w:tcPr>
          <w:p>
            <w:pPr>
              <w:spacing w:after="0"/>
              <w:rPr>
                <w:sz w:val="16"/>
                <w:szCs w:val="16"/>
                <w:color w:val="auto"/>
              </w:rPr>
            </w:pPr>
          </w:p>
        </w:tc>
        <w:tc>
          <w:tcPr>
            <w:tcW w:w="900" w:type="dxa"/>
            <w:vAlign w:val="bottom"/>
            <w:tcBorders>
              <w:bottom w:val="single" w:sz="8" w:color="231F20"/>
            </w:tcBorders>
            <w:shd w:val="clear" w:color="auto" w:fill="FDFDFC"/>
          </w:tcPr>
          <w:p>
            <w:pPr>
              <w:spacing w:after="0"/>
              <w:rPr>
                <w:sz w:val="16"/>
                <w:szCs w:val="16"/>
                <w:color w:val="auto"/>
              </w:rPr>
            </w:pPr>
          </w:p>
        </w:tc>
        <w:tc>
          <w:tcPr>
            <w:tcW w:w="180" w:type="dxa"/>
            <w:vAlign w:val="bottom"/>
            <w:tcBorders>
              <w:bottom w:val="single" w:sz="8" w:color="D0EBF2"/>
            </w:tcBorders>
            <w:shd w:val="clear" w:color="auto" w:fill="FDFDFC"/>
          </w:tcPr>
          <w:p>
            <w:pPr>
              <w:spacing w:after="0"/>
              <w:rPr>
                <w:sz w:val="16"/>
                <w:szCs w:val="16"/>
                <w:color w:val="auto"/>
              </w:rPr>
            </w:pPr>
          </w:p>
        </w:tc>
        <w:tc>
          <w:tcPr>
            <w:tcW w:w="100" w:type="dxa"/>
            <w:vAlign w:val="bottom"/>
            <w:tcBorders>
              <w:bottom w:val="single" w:sz="8" w:color="D0EBF2"/>
            </w:tcBorders>
            <w:shd w:val="clear" w:color="auto" w:fill="FDFDFC"/>
          </w:tcPr>
          <w:p>
            <w:pPr>
              <w:spacing w:after="0"/>
              <w:rPr>
                <w:sz w:val="16"/>
                <w:szCs w:val="16"/>
                <w:color w:val="auto"/>
              </w:rPr>
            </w:pPr>
          </w:p>
        </w:tc>
        <w:tc>
          <w:tcPr>
            <w:tcW w:w="860" w:type="dxa"/>
            <w:vAlign w:val="bottom"/>
            <w:tcBorders>
              <w:bottom w:val="single" w:sz="8" w:color="231F20"/>
            </w:tcBorders>
            <w:shd w:val="clear" w:color="auto" w:fill="FDFDFC"/>
          </w:tcPr>
          <w:p>
            <w:pPr>
              <w:spacing w:after="0"/>
              <w:rPr>
                <w:sz w:val="16"/>
                <w:szCs w:val="16"/>
                <w:color w:val="auto"/>
              </w:rPr>
            </w:pPr>
          </w:p>
        </w:tc>
        <w:tc>
          <w:tcPr>
            <w:tcW w:w="200" w:type="dxa"/>
            <w:vAlign w:val="bottom"/>
            <w:tcBorders>
              <w:bottom w:val="single" w:sz="8" w:color="D0EBF2"/>
            </w:tcBorders>
            <w:shd w:val="clear" w:color="auto" w:fill="FDFDFC"/>
          </w:tcPr>
          <w:p>
            <w:pPr>
              <w:spacing w:after="0"/>
              <w:rPr>
                <w:sz w:val="16"/>
                <w:szCs w:val="16"/>
                <w:color w:val="auto"/>
              </w:rPr>
            </w:pPr>
          </w:p>
        </w:tc>
        <w:tc>
          <w:tcPr>
            <w:tcW w:w="900" w:type="dxa"/>
            <w:vAlign w:val="bottom"/>
            <w:tcBorders>
              <w:bottom w:val="single" w:sz="8" w:color="231F20"/>
            </w:tcBorders>
            <w:shd w:val="clear" w:color="auto" w:fill="FDFDFC"/>
          </w:tcPr>
          <w:p>
            <w:pPr>
              <w:spacing w:after="0"/>
              <w:rPr>
                <w:sz w:val="16"/>
                <w:szCs w:val="16"/>
                <w:color w:val="auto"/>
              </w:rPr>
            </w:pPr>
          </w:p>
        </w:tc>
        <w:tc>
          <w:tcPr>
            <w:tcW w:w="240" w:type="dxa"/>
            <w:vAlign w:val="bottom"/>
            <w:shd w:val="clear" w:color="auto" w:fill="FDFDFC"/>
          </w:tcPr>
          <w:p>
            <w:pPr>
              <w:spacing w:after="0"/>
              <w:rPr>
                <w:sz w:val="16"/>
                <w:szCs w:val="16"/>
                <w:color w:val="auto"/>
              </w:rPr>
            </w:pPr>
          </w:p>
        </w:tc>
        <w:tc>
          <w:tcPr>
            <w:tcW w:w="0" w:type="dxa"/>
            <w:vAlign w:val="bottom"/>
          </w:tcPr>
          <w:p>
            <w:pPr>
              <w:spacing w:after="0"/>
              <w:rPr>
                <w:sz w:val="1"/>
                <w:szCs w:val="1"/>
                <w:color w:val="auto"/>
              </w:rPr>
            </w:pPr>
          </w:p>
        </w:tc>
      </w:tr>
      <w:tr>
        <w:trPr>
          <w:trHeight w:val="163"/>
        </w:trPr>
        <w:tc>
          <w:tcPr>
            <w:tcW w:w="1460" w:type="dxa"/>
            <w:vAlign w:val="bottom"/>
            <w:shd w:val="clear" w:color="auto" w:fill="D0EBF2"/>
          </w:tcPr>
          <w:p>
            <w:pPr>
              <w:spacing w:after="0"/>
              <w:rPr>
                <w:sz w:val="14"/>
                <w:szCs w:val="14"/>
                <w:color w:val="auto"/>
              </w:rPr>
            </w:pPr>
          </w:p>
        </w:tc>
        <w:tc>
          <w:tcPr>
            <w:tcW w:w="2420" w:type="dxa"/>
            <w:vAlign w:val="bottom"/>
            <w:shd w:val="clear" w:color="auto" w:fill="D0EBF2"/>
          </w:tcPr>
          <w:p>
            <w:pPr>
              <w:spacing w:after="0"/>
              <w:rPr>
                <w:sz w:val="14"/>
                <w:szCs w:val="14"/>
                <w:color w:val="auto"/>
              </w:rPr>
            </w:pPr>
          </w:p>
        </w:tc>
        <w:tc>
          <w:tcPr>
            <w:tcW w:w="820" w:type="dxa"/>
            <w:vAlign w:val="bottom"/>
            <w:shd w:val="clear" w:color="auto" w:fill="D0EBF2"/>
          </w:tcPr>
          <w:p>
            <w:pPr>
              <w:spacing w:after="0"/>
              <w:rPr>
                <w:sz w:val="14"/>
                <w:szCs w:val="14"/>
                <w:color w:val="auto"/>
              </w:rPr>
            </w:pPr>
          </w:p>
        </w:tc>
        <w:tc>
          <w:tcPr>
            <w:tcW w:w="1040" w:type="dxa"/>
            <w:vAlign w:val="bottom"/>
            <w:shd w:val="clear" w:color="auto" w:fill="D0EBF2"/>
          </w:tcPr>
          <w:p>
            <w:pPr>
              <w:spacing w:after="0"/>
              <w:rPr>
                <w:sz w:val="14"/>
                <w:szCs w:val="14"/>
                <w:color w:val="auto"/>
              </w:rPr>
            </w:pPr>
          </w:p>
        </w:tc>
        <w:tc>
          <w:tcPr>
            <w:tcW w:w="1060" w:type="dxa"/>
            <w:vAlign w:val="bottom"/>
            <w:shd w:val="clear" w:color="auto" w:fill="D0EBF2"/>
          </w:tcPr>
          <w:p>
            <w:pPr>
              <w:spacing w:after="0"/>
              <w:rPr>
                <w:sz w:val="14"/>
                <w:szCs w:val="14"/>
                <w:color w:val="auto"/>
              </w:rPr>
            </w:pPr>
          </w:p>
        </w:tc>
        <w:tc>
          <w:tcPr>
            <w:tcW w:w="100" w:type="dxa"/>
            <w:vAlign w:val="bottom"/>
            <w:shd w:val="clear" w:color="auto" w:fill="D0EBF2"/>
          </w:tcPr>
          <w:p>
            <w:pPr>
              <w:spacing w:after="0"/>
              <w:rPr>
                <w:sz w:val="14"/>
                <w:szCs w:val="14"/>
                <w:color w:val="auto"/>
              </w:rPr>
            </w:pPr>
          </w:p>
        </w:tc>
        <w:tc>
          <w:tcPr>
            <w:tcW w:w="900" w:type="dxa"/>
            <w:vAlign w:val="bottom"/>
            <w:shd w:val="clear" w:color="auto" w:fill="D0EBF2"/>
          </w:tcPr>
          <w:p>
            <w:pPr>
              <w:jc w:val="right"/>
              <w:spacing w:after="0" w:line="164" w:lineRule="exact"/>
              <w:rPr>
                <w:sz w:val="20"/>
                <w:szCs w:val="20"/>
                <w:color w:val="auto"/>
              </w:rPr>
            </w:pPr>
            <w:r>
              <w:rPr>
                <w:rFonts w:ascii="Times New Roman" w:cs="Times New Roman" w:eastAsia="Times New Roman" w:hAnsi="Times New Roman"/>
                <w:sz w:val="15"/>
                <w:szCs w:val="15"/>
                <w:color w:val="231F20"/>
              </w:rPr>
              <w:t>263,928</w:t>
            </w:r>
          </w:p>
        </w:tc>
        <w:tc>
          <w:tcPr>
            <w:tcW w:w="280" w:type="dxa"/>
            <w:vAlign w:val="bottom"/>
            <w:gridSpan w:val="2"/>
            <w:shd w:val="clear" w:color="auto" w:fill="D0EBF2"/>
          </w:tcPr>
          <w:p>
            <w:pPr>
              <w:spacing w:after="0"/>
              <w:rPr>
                <w:sz w:val="14"/>
                <w:szCs w:val="14"/>
                <w:color w:val="auto"/>
              </w:rPr>
            </w:pPr>
          </w:p>
        </w:tc>
        <w:tc>
          <w:tcPr>
            <w:tcW w:w="860" w:type="dxa"/>
            <w:vAlign w:val="bottom"/>
            <w:shd w:val="clear" w:color="auto" w:fill="D0EBF2"/>
          </w:tcPr>
          <w:p>
            <w:pPr>
              <w:jc w:val="right"/>
              <w:spacing w:after="0" w:line="164" w:lineRule="exact"/>
              <w:rPr>
                <w:sz w:val="20"/>
                <w:szCs w:val="20"/>
                <w:color w:val="auto"/>
              </w:rPr>
            </w:pPr>
            <w:r>
              <w:rPr>
                <w:rFonts w:ascii="Times New Roman" w:cs="Times New Roman" w:eastAsia="Times New Roman" w:hAnsi="Times New Roman"/>
                <w:sz w:val="15"/>
                <w:szCs w:val="15"/>
                <w:color w:val="231F20"/>
              </w:rPr>
              <w:t>257,985</w:t>
            </w:r>
          </w:p>
        </w:tc>
        <w:tc>
          <w:tcPr>
            <w:tcW w:w="200" w:type="dxa"/>
            <w:vAlign w:val="bottom"/>
            <w:shd w:val="clear" w:color="auto" w:fill="D0EBF2"/>
          </w:tcPr>
          <w:p>
            <w:pPr>
              <w:spacing w:after="0"/>
              <w:rPr>
                <w:sz w:val="14"/>
                <w:szCs w:val="14"/>
                <w:color w:val="auto"/>
              </w:rPr>
            </w:pPr>
          </w:p>
        </w:tc>
        <w:tc>
          <w:tcPr>
            <w:tcW w:w="1140" w:type="dxa"/>
            <w:vAlign w:val="bottom"/>
            <w:gridSpan w:val="2"/>
          </w:tcPr>
          <w:p>
            <w:pPr>
              <w:jc w:val="right"/>
              <w:ind w:right="120"/>
              <w:spacing w:after="0" w:line="164" w:lineRule="exact"/>
              <w:rPr>
                <w:sz w:val="20"/>
                <w:szCs w:val="20"/>
                <w:color w:val="auto"/>
              </w:rPr>
            </w:pPr>
            <w:r>
              <w:rPr>
                <w:rFonts w:ascii="Times New Roman" w:cs="Times New Roman" w:eastAsia="Times New Roman" w:hAnsi="Times New Roman"/>
                <w:sz w:val="15"/>
                <w:szCs w:val="15"/>
                <w:color w:val="231F20"/>
              </w:rPr>
              <w:t>17.2%</w:t>
            </w:r>
          </w:p>
        </w:tc>
        <w:tc>
          <w:tcPr>
            <w:tcW w:w="0" w:type="dxa"/>
            <w:vAlign w:val="bottom"/>
          </w:tcPr>
          <w:p>
            <w:pPr>
              <w:spacing w:after="0"/>
              <w:rPr>
                <w:sz w:val="1"/>
                <w:szCs w:val="1"/>
                <w:color w:val="auto"/>
              </w:rPr>
            </w:pPr>
          </w:p>
        </w:tc>
      </w:tr>
      <w:tr>
        <w:trPr>
          <w:trHeight w:val="174"/>
        </w:trPr>
        <w:tc>
          <w:tcPr>
            <w:tcW w:w="1460" w:type="dxa"/>
            <w:vAlign w:val="bottom"/>
            <w:shd w:val="clear" w:color="auto" w:fill="FDFDFC"/>
          </w:tcPr>
          <w:p>
            <w:pPr>
              <w:spacing w:after="0"/>
              <w:rPr>
                <w:sz w:val="20"/>
                <w:szCs w:val="20"/>
                <w:color w:val="auto"/>
              </w:rPr>
            </w:pPr>
            <w:r>
              <w:rPr>
                <w:rFonts w:ascii="Times New Roman" w:cs="Times New Roman" w:eastAsia="Times New Roman" w:hAnsi="Times New Roman"/>
                <w:sz w:val="15"/>
                <w:szCs w:val="15"/>
                <w:b w:val="1"/>
                <w:bCs w:val="1"/>
                <w:color w:val="231F20"/>
              </w:rPr>
              <w:t>Transportation</w:t>
            </w:r>
          </w:p>
        </w:tc>
        <w:tc>
          <w:tcPr>
            <w:tcW w:w="2420" w:type="dxa"/>
            <w:vAlign w:val="bottom"/>
            <w:shd w:val="clear" w:color="auto" w:fill="FDFDFC"/>
          </w:tcPr>
          <w:p>
            <w:pPr>
              <w:spacing w:after="0"/>
              <w:rPr>
                <w:sz w:val="15"/>
                <w:szCs w:val="15"/>
                <w:color w:val="auto"/>
              </w:rPr>
            </w:pPr>
          </w:p>
        </w:tc>
        <w:tc>
          <w:tcPr>
            <w:tcW w:w="820" w:type="dxa"/>
            <w:vAlign w:val="bottom"/>
            <w:shd w:val="clear" w:color="auto" w:fill="FDFDFC"/>
          </w:tcPr>
          <w:p>
            <w:pPr>
              <w:spacing w:after="0"/>
              <w:rPr>
                <w:sz w:val="15"/>
                <w:szCs w:val="15"/>
                <w:color w:val="auto"/>
              </w:rPr>
            </w:pPr>
          </w:p>
        </w:tc>
        <w:tc>
          <w:tcPr>
            <w:tcW w:w="1040" w:type="dxa"/>
            <w:vAlign w:val="bottom"/>
            <w:shd w:val="clear" w:color="auto" w:fill="FDFDFC"/>
          </w:tcPr>
          <w:p>
            <w:pPr>
              <w:spacing w:after="0"/>
              <w:rPr>
                <w:sz w:val="15"/>
                <w:szCs w:val="15"/>
                <w:color w:val="auto"/>
              </w:rPr>
            </w:pPr>
          </w:p>
        </w:tc>
        <w:tc>
          <w:tcPr>
            <w:tcW w:w="1060" w:type="dxa"/>
            <w:vAlign w:val="bottom"/>
            <w:shd w:val="clear" w:color="auto" w:fill="FDFDFC"/>
          </w:tcPr>
          <w:p>
            <w:pPr>
              <w:spacing w:after="0"/>
              <w:rPr>
                <w:sz w:val="15"/>
                <w:szCs w:val="15"/>
                <w:color w:val="auto"/>
              </w:rPr>
            </w:pPr>
          </w:p>
        </w:tc>
        <w:tc>
          <w:tcPr>
            <w:tcW w:w="100" w:type="dxa"/>
            <w:vAlign w:val="bottom"/>
            <w:shd w:val="clear" w:color="auto" w:fill="FDFDFC"/>
          </w:tcPr>
          <w:p>
            <w:pPr>
              <w:spacing w:after="0"/>
              <w:rPr>
                <w:sz w:val="15"/>
                <w:szCs w:val="15"/>
                <w:color w:val="auto"/>
              </w:rPr>
            </w:pPr>
          </w:p>
        </w:tc>
        <w:tc>
          <w:tcPr>
            <w:tcW w:w="900" w:type="dxa"/>
            <w:vAlign w:val="bottom"/>
            <w:shd w:val="clear" w:color="auto" w:fill="FDFDFC"/>
          </w:tcPr>
          <w:p>
            <w:pPr>
              <w:spacing w:after="0"/>
              <w:rPr>
                <w:sz w:val="15"/>
                <w:szCs w:val="15"/>
                <w:color w:val="auto"/>
              </w:rPr>
            </w:pPr>
          </w:p>
        </w:tc>
        <w:tc>
          <w:tcPr>
            <w:tcW w:w="180" w:type="dxa"/>
            <w:vAlign w:val="bottom"/>
            <w:shd w:val="clear" w:color="auto" w:fill="FDFDFC"/>
          </w:tcPr>
          <w:p>
            <w:pPr>
              <w:spacing w:after="0"/>
              <w:rPr>
                <w:sz w:val="15"/>
                <w:szCs w:val="15"/>
                <w:color w:val="auto"/>
              </w:rPr>
            </w:pPr>
          </w:p>
        </w:tc>
        <w:tc>
          <w:tcPr>
            <w:tcW w:w="100" w:type="dxa"/>
            <w:vAlign w:val="bottom"/>
            <w:shd w:val="clear" w:color="auto" w:fill="FDFDFC"/>
          </w:tcPr>
          <w:p>
            <w:pPr>
              <w:spacing w:after="0"/>
              <w:rPr>
                <w:sz w:val="15"/>
                <w:szCs w:val="15"/>
                <w:color w:val="auto"/>
              </w:rPr>
            </w:pPr>
          </w:p>
        </w:tc>
        <w:tc>
          <w:tcPr>
            <w:tcW w:w="860" w:type="dxa"/>
            <w:vAlign w:val="bottom"/>
            <w:shd w:val="clear" w:color="auto" w:fill="FDFDFC"/>
          </w:tcPr>
          <w:p>
            <w:pPr>
              <w:spacing w:after="0"/>
              <w:rPr>
                <w:sz w:val="15"/>
                <w:szCs w:val="15"/>
                <w:color w:val="auto"/>
              </w:rPr>
            </w:pPr>
          </w:p>
        </w:tc>
        <w:tc>
          <w:tcPr>
            <w:tcW w:w="200" w:type="dxa"/>
            <w:vAlign w:val="bottom"/>
            <w:shd w:val="clear" w:color="auto" w:fill="FDFDFC"/>
          </w:tcPr>
          <w:p>
            <w:pPr>
              <w:spacing w:after="0"/>
              <w:rPr>
                <w:sz w:val="15"/>
                <w:szCs w:val="15"/>
                <w:color w:val="auto"/>
              </w:rPr>
            </w:pPr>
          </w:p>
        </w:tc>
        <w:tc>
          <w:tcPr>
            <w:tcW w:w="900" w:type="dxa"/>
            <w:vAlign w:val="bottom"/>
            <w:shd w:val="clear" w:color="auto" w:fill="FDFDFC"/>
          </w:tcPr>
          <w:p>
            <w:pPr>
              <w:spacing w:after="0"/>
              <w:rPr>
                <w:sz w:val="15"/>
                <w:szCs w:val="15"/>
                <w:color w:val="auto"/>
              </w:rPr>
            </w:pPr>
          </w:p>
        </w:tc>
        <w:tc>
          <w:tcPr>
            <w:tcW w:w="240" w:type="dxa"/>
            <w:vAlign w:val="bottom"/>
            <w:shd w:val="clear" w:color="auto" w:fill="FDFDFC"/>
          </w:tcPr>
          <w:p>
            <w:pPr>
              <w:spacing w:after="0"/>
              <w:rPr>
                <w:sz w:val="15"/>
                <w:szCs w:val="15"/>
                <w:color w:val="auto"/>
              </w:rPr>
            </w:pPr>
          </w:p>
        </w:tc>
        <w:tc>
          <w:tcPr>
            <w:tcW w:w="0" w:type="dxa"/>
            <w:vAlign w:val="bottom"/>
          </w:tcPr>
          <w:p>
            <w:pPr>
              <w:spacing w:after="0"/>
              <w:rPr>
                <w:sz w:val="1"/>
                <w:szCs w:val="1"/>
                <w:color w:val="auto"/>
              </w:rPr>
            </w:pPr>
          </w:p>
        </w:tc>
      </w:tr>
      <w:tr>
        <w:trPr>
          <w:trHeight w:val="158"/>
        </w:trPr>
        <w:tc>
          <w:tcPr>
            <w:tcW w:w="1460" w:type="dxa"/>
            <w:vAlign w:val="bottom"/>
            <w:shd w:val="clear" w:color="auto" w:fill="D0EBF2"/>
          </w:tcPr>
          <w:p>
            <w:pPr>
              <w:spacing w:after="0" w:line="159" w:lineRule="exact"/>
              <w:rPr>
                <w:sz w:val="20"/>
                <w:szCs w:val="20"/>
                <w:color w:val="auto"/>
              </w:rPr>
            </w:pPr>
            <w:r>
              <w:rPr>
                <w:rFonts w:ascii="Times New Roman" w:cs="Times New Roman" w:eastAsia="Times New Roman" w:hAnsi="Times New Roman"/>
                <w:sz w:val="15"/>
                <w:szCs w:val="15"/>
                <w:color w:val="231F20"/>
              </w:rPr>
              <w:t xml:space="preserve">Project44, Inc. </w:t>
            </w:r>
            <w:r>
              <w:rPr>
                <w:rFonts w:ascii="Times New Roman" w:cs="Times New Roman" w:eastAsia="Times New Roman" w:hAnsi="Times New Roman"/>
                <w:sz w:val="9"/>
                <w:szCs w:val="9"/>
                <w:color w:val="231F20"/>
              </w:rPr>
              <w:t>(3)(5)</w:t>
            </w:r>
          </w:p>
        </w:tc>
        <w:tc>
          <w:tcPr>
            <w:tcW w:w="2420" w:type="dxa"/>
            <w:vAlign w:val="bottom"/>
            <w:shd w:val="clear" w:color="auto" w:fill="D0EBF2"/>
          </w:tcPr>
          <w:p>
            <w:pPr>
              <w:ind w:left="60"/>
              <w:spacing w:after="0" w:line="159" w:lineRule="exact"/>
              <w:rPr>
                <w:sz w:val="20"/>
                <w:szCs w:val="20"/>
                <w:color w:val="auto"/>
              </w:rPr>
            </w:pPr>
            <w:r>
              <w:rPr>
                <w:rFonts w:ascii="Times New Roman" w:cs="Times New Roman" w:eastAsia="Times New Roman" w:hAnsi="Times New Roman"/>
                <w:sz w:val="15"/>
                <w:szCs w:val="15"/>
                <w:color w:val="231F20"/>
              </w:rPr>
              <w:t>First-lien loan ($35,139 par, due</w:t>
            </w:r>
          </w:p>
        </w:tc>
        <w:tc>
          <w:tcPr>
            <w:tcW w:w="820" w:type="dxa"/>
            <w:vAlign w:val="bottom"/>
            <w:shd w:val="clear" w:color="auto" w:fill="D0EBF2"/>
          </w:tcPr>
          <w:p>
            <w:pPr>
              <w:jc w:val="right"/>
              <w:spacing w:after="0" w:line="159" w:lineRule="exact"/>
              <w:rPr>
                <w:sz w:val="20"/>
                <w:szCs w:val="20"/>
                <w:color w:val="auto"/>
              </w:rPr>
            </w:pPr>
            <w:r>
              <w:rPr>
                <w:rFonts w:ascii="Times New Roman" w:cs="Times New Roman" w:eastAsia="Times New Roman" w:hAnsi="Times New Roman"/>
                <w:sz w:val="15"/>
                <w:szCs w:val="15"/>
                <w:color w:val="231F20"/>
              </w:rPr>
              <w:t>11/12/2021</w:t>
            </w:r>
          </w:p>
        </w:tc>
        <w:tc>
          <w:tcPr>
            <w:tcW w:w="1040" w:type="dxa"/>
            <w:vAlign w:val="bottom"/>
            <w:shd w:val="clear" w:color="auto" w:fill="D0EBF2"/>
          </w:tcPr>
          <w:p>
            <w:pPr>
              <w:jc w:val="right"/>
              <w:ind w:right="84"/>
              <w:spacing w:after="0" w:line="159" w:lineRule="exact"/>
              <w:rPr>
                <w:sz w:val="20"/>
                <w:szCs w:val="20"/>
                <w:color w:val="auto"/>
              </w:rPr>
            </w:pPr>
            <w:r>
              <w:rPr>
                <w:rFonts w:ascii="Times New Roman" w:cs="Times New Roman" w:eastAsia="Times New Roman" w:hAnsi="Times New Roman"/>
                <w:sz w:val="15"/>
                <w:szCs w:val="15"/>
                <w:color w:val="231F20"/>
              </w:rPr>
              <w:t>SOFR +</w:t>
            </w:r>
          </w:p>
        </w:tc>
        <w:tc>
          <w:tcPr>
            <w:tcW w:w="1060" w:type="dxa"/>
            <w:vAlign w:val="bottom"/>
            <w:shd w:val="clear" w:color="auto" w:fill="D0EBF2"/>
          </w:tcPr>
          <w:p>
            <w:pPr>
              <w:jc w:val="right"/>
              <w:ind w:right="24"/>
              <w:spacing w:after="0" w:line="159" w:lineRule="exact"/>
              <w:rPr>
                <w:sz w:val="20"/>
                <w:szCs w:val="20"/>
                <w:color w:val="auto"/>
              </w:rPr>
            </w:pPr>
            <w:r>
              <w:rPr>
                <w:rFonts w:ascii="Times New Roman" w:cs="Times New Roman" w:eastAsia="Times New Roman" w:hAnsi="Times New Roman"/>
                <w:sz w:val="15"/>
                <w:szCs w:val="15"/>
                <w:color w:val="231F20"/>
              </w:rPr>
              <w:t>11.78%</w:t>
            </w:r>
          </w:p>
        </w:tc>
        <w:tc>
          <w:tcPr>
            <w:tcW w:w="100" w:type="dxa"/>
            <w:vAlign w:val="bottom"/>
            <w:shd w:val="clear" w:color="auto" w:fill="D0EBF2"/>
          </w:tcPr>
          <w:p>
            <w:pPr>
              <w:spacing w:after="0"/>
              <w:rPr>
                <w:sz w:val="13"/>
                <w:szCs w:val="13"/>
                <w:color w:val="auto"/>
              </w:rPr>
            </w:pPr>
          </w:p>
        </w:tc>
        <w:tc>
          <w:tcPr>
            <w:tcW w:w="900" w:type="dxa"/>
            <w:vAlign w:val="bottom"/>
            <w:shd w:val="clear" w:color="auto" w:fill="D0EBF2"/>
          </w:tcPr>
          <w:p>
            <w:pPr>
              <w:jc w:val="right"/>
              <w:spacing w:after="0" w:line="159" w:lineRule="exact"/>
              <w:rPr>
                <w:sz w:val="20"/>
                <w:szCs w:val="20"/>
                <w:color w:val="auto"/>
              </w:rPr>
            </w:pPr>
            <w:r>
              <w:rPr>
                <w:rFonts w:ascii="Times New Roman" w:cs="Times New Roman" w:eastAsia="Times New Roman" w:hAnsi="Times New Roman"/>
                <w:sz w:val="15"/>
                <w:szCs w:val="15"/>
                <w:color w:val="231F20"/>
              </w:rPr>
              <w:t>34,139</w:t>
            </w:r>
          </w:p>
        </w:tc>
        <w:tc>
          <w:tcPr>
            <w:tcW w:w="1140" w:type="dxa"/>
            <w:vAlign w:val="bottom"/>
            <w:gridSpan w:val="3"/>
            <w:shd w:val="clear" w:color="auto" w:fill="D0EBF2"/>
          </w:tcPr>
          <w:p>
            <w:pPr>
              <w:jc w:val="right"/>
              <w:spacing w:after="0" w:line="159" w:lineRule="exact"/>
              <w:rPr>
                <w:sz w:val="20"/>
                <w:szCs w:val="20"/>
                <w:color w:val="auto"/>
              </w:rPr>
            </w:pPr>
            <w:r>
              <w:rPr>
                <w:rFonts w:ascii="Times New Roman" w:cs="Times New Roman" w:eastAsia="Times New Roman" w:hAnsi="Times New Roman"/>
                <w:sz w:val="15"/>
                <w:szCs w:val="15"/>
                <w:color w:val="231F20"/>
              </w:rPr>
              <w:t>35,001</w:t>
            </w:r>
          </w:p>
        </w:tc>
        <w:tc>
          <w:tcPr>
            <w:tcW w:w="1340" w:type="dxa"/>
            <w:vAlign w:val="bottom"/>
            <w:gridSpan w:val="3"/>
            <w:shd w:val="clear" w:color="auto" w:fill="D0EBF2"/>
          </w:tcPr>
          <w:p>
            <w:pPr>
              <w:jc w:val="right"/>
              <w:ind w:right="120"/>
              <w:spacing w:after="0" w:line="159" w:lineRule="exact"/>
              <w:rPr>
                <w:sz w:val="20"/>
                <w:szCs w:val="20"/>
                <w:color w:val="auto"/>
              </w:rPr>
            </w:pPr>
            <w:r>
              <w:rPr>
                <w:rFonts w:ascii="Times New Roman" w:cs="Times New Roman" w:eastAsia="Times New Roman" w:hAnsi="Times New Roman"/>
                <w:sz w:val="15"/>
                <w:szCs w:val="15"/>
                <w:color w:val="231F20"/>
              </w:rPr>
              <w:t>2.3%</w:t>
            </w:r>
          </w:p>
        </w:tc>
        <w:tc>
          <w:tcPr>
            <w:tcW w:w="0" w:type="dxa"/>
            <w:vAlign w:val="bottom"/>
          </w:tcPr>
          <w:p>
            <w:pPr>
              <w:spacing w:after="0"/>
              <w:rPr>
                <w:sz w:val="1"/>
                <w:szCs w:val="1"/>
                <w:color w:val="auto"/>
              </w:rPr>
            </w:pPr>
          </w:p>
        </w:tc>
      </w:tr>
      <w:tr>
        <w:trPr>
          <w:trHeight w:val="189"/>
        </w:trPr>
        <w:tc>
          <w:tcPr>
            <w:tcW w:w="1460" w:type="dxa"/>
            <w:vAlign w:val="bottom"/>
            <w:shd w:val="clear" w:color="auto" w:fill="D0EBF2"/>
          </w:tcPr>
          <w:p>
            <w:pPr>
              <w:spacing w:after="0"/>
              <w:rPr>
                <w:sz w:val="16"/>
                <w:szCs w:val="16"/>
                <w:color w:val="auto"/>
              </w:rPr>
            </w:pPr>
          </w:p>
        </w:tc>
        <w:tc>
          <w:tcPr>
            <w:tcW w:w="2420" w:type="dxa"/>
            <w:vAlign w:val="bottom"/>
            <w:shd w:val="clear" w:color="auto" w:fill="D0EBF2"/>
          </w:tcPr>
          <w:p>
            <w:pPr>
              <w:ind w:left="60"/>
              <w:spacing w:after="0"/>
              <w:rPr>
                <w:sz w:val="20"/>
                <w:szCs w:val="20"/>
                <w:color w:val="auto"/>
              </w:rPr>
            </w:pPr>
            <w:r>
              <w:rPr>
                <w:rFonts w:ascii="Times New Roman" w:cs="Times New Roman" w:eastAsia="Times New Roman" w:hAnsi="Times New Roman"/>
                <w:sz w:val="15"/>
                <w:szCs w:val="15"/>
                <w:color w:val="231F20"/>
              </w:rPr>
              <w:t>11/2027)</w:t>
            </w:r>
          </w:p>
        </w:tc>
        <w:tc>
          <w:tcPr>
            <w:tcW w:w="820" w:type="dxa"/>
            <w:vAlign w:val="bottom"/>
            <w:shd w:val="clear" w:color="auto" w:fill="D0EBF2"/>
          </w:tcPr>
          <w:p>
            <w:pPr>
              <w:spacing w:after="0"/>
              <w:rPr>
                <w:sz w:val="16"/>
                <w:szCs w:val="16"/>
                <w:color w:val="auto"/>
              </w:rPr>
            </w:pPr>
          </w:p>
        </w:tc>
        <w:tc>
          <w:tcPr>
            <w:tcW w:w="1040" w:type="dxa"/>
            <w:vAlign w:val="bottom"/>
            <w:shd w:val="clear" w:color="auto" w:fill="D0EBF2"/>
          </w:tcPr>
          <w:p>
            <w:pPr>
              <w:jc w:val="right"/>
              <w:ind w:right="84"/>
              <w:spacing w:after="0"/>
              <w:rPr>
                <w:sz w:val="20"/>
                <w:szCs w:val="20"/>
                <w:color w:val="auto"/>
              </w:rPr>
            </w:pPr>
            <w:r>
              <w:rPr>
                <w:rFonts w:ascii="Times New Roman" w:cs="Times New Roman" w:eastAsia="Times New Roman" w:hAnsi="Times New Roman"/>
                <w:sz w:val="15"/>
                <w:szCs w:val="15"/>
                <w:color w:val="231F20"/>
              </w:rPr>
              <w:t>6.40%</w:t>
            </w:r>
          </w:p>
        </w:tc>
        <w:tc>
          <w:tcPr>
            <w:tcW w:w="1060" w:type="dxa"/>
            <w:vAlign w:val="bottom"/>
            <w:shd w:val="clear" w:color="auto" w:fill="D0EBF2"/>
          </w:tcPr>
          <w:p>
            <w:pPr>
              <w:spacing w:after="0"/>
              <w:rPr>
                <w:sz w:val="16"/>
                <w:szCs w:val="16"/>
                <w:color w:val="auto"/>
              </w:rPr>
            </w:pPr>
          </w:p>
        </w:tc>
        <w:tc>
          <w:tcPr>
            <w:tcW w:w="100" w:type="dxa"/>
            <w:vAlign w:val="bottom"/>
            <w:shd w:val="clear" w:color="auto" w:fill="D0EBF2"/>
          </w:tcPr>
          <w:p>
            <w:pPr>
              <w:spacing w:after="0"/>
              <w:rPr>
                <w:sz w:val="16"/>
                <w:szCs w:val="16"/>
                <w:color w:val="auto"/>
              </w:rPr>
            </w:pPr>
          </w:p>
        </w:tc>
        <w:tc>
          <w:tcPr>
            <w:tcW w:w="900" w:type="dxa"/>
            <w:vAlign w:val="bottom"/>
            <w:shd w:val="clear" w:color="auto" w:fill="D0EBF2"/>
          </w:tcPr>
          <w:p>
            <w:pPr>
              <w:spacing w:after="0"/>
              <w:rPr>
                <w:sz w:val="16"/>
                <w:szCs w:val="16"/>
                <w:color w:val="auto"/>
              </w:rPr>
            </w:pPr>
          </w:p>
        </w:tc>
        <w:tc>
          <w:tcPr>
            <w:tcW w:w="180" w:type="dxa"/>
            <w:vAlign w:val="bottom"/>
            <w:shd w:val="clear" w:color="auto" w:fill="D0EBF2"/>
          </w:tcPr>
          <w:p>
            <w:pPr>
              <w:spacing w:after="0"/>
              <w:rPr>
                <w:sz w:val="16"/>
                <w:szCs w:val="16"/>
                <w:color w:val="auto"/>
              </w:rPr>
            </w:pPr>
          </w:p>
        </w:tc>
        <w:tc>
          <w:tcPr>
            <w:tcW w:w="100" w:type="dxa"/>
            <w:vAlign w:val="bottom"/>
            <w:shd w:val="clear" w:color="auto" w:fill="D0EBF2"/>
          </w:tcPr>
          <w:p>
            <w:pPr>
              <w:spacing w:after="0"/>
              <w:rPr>
                <w:sz w:val="16"/>
                <w:szCs w:val="16"/>
                <w:color w:val="auto"/>
              </w:rPr>
            </w:pPr>
          </w:p>
        </w:tc>
        <w:tc>
          <w:tcPr>
            <w:tcW w:w="860" w:type="dxa"/>
            <w:vAlign w:val="bottom"/>
            <w:shd w:val="clear" w:color="auto" w:fill="D0EBF2"/>
          </w:tcPr>
          <w:p>
            <w:pPr>
              <w:spacing w:after="0"/>
              <w:rPr>
                <w:sz w:val="16"/>
                <w:szCs w:val="16"/>
                <w:color w:val="auto"/>
              </w:rPr>
            </w:pPr>
          </w:p>
        </w:tc>
        <w:tc>
          <w:tcPr>
            <w:tcW w:w="200" w:type="dxa"/>
            <w:vAlign w:val="bottom"/>
            <w:shd w:val="clear" w:color="auto" w:fill="D0EBF2"/>
          </w:tcPr>
          <w:p>
            <w:pPr>
              <w:spacing w:after="0"/>
              <w:rPr>
                <w:sz w:val="16"/>
                <w:szCs w:val="16"/>
                <w:color w:val="auto"/>
              </w:rPr>
            </w:pPr>
          </w:p>
        </w:tc>
        <w:tc>
          <w:tcPr>
            <w:tcW w:w="900" w:type="dxa"/>
            <w:vAlign w:val="bottom"/>
            <w:shd w:val="clear" w:color="auto" w:fill="D0EBF2"/>
          </w:tcPr>
          <w:p>
            <w:pPr>
              <w:spacing w:after="0"/>
              <w:rPr>
                <w:sz w:val="16"/>
                <w:szCs w:val="16"/>
                <w:color w:val="auto"/>
              </w:rPr>
            </w:pPr>
          </w:p>
        </w:tc>
        <w:tc>
          <w:tcPr>
            <w:tcW w:w="240" w:type="dxa"/>
            <w:vAlign w:val="bottom"/>
            <w:shd w:val="clear" w:color="auto" w:fill="D0EBF2"/>
          </w:tcPr>
          <w:p>
            <w:pPr>
              <w:spacing w:after="0"/>
              <w:rPr>
                <w:sz w:val="16"/>
                <w:szCs w:val="16"/>
                <w:color w:val="auto"/>
              </w:rPr>
            </w:pPr>
          </w:p>
        </w:tc>
        <w:tc>
          <w:tcPr>
            <w:tcW w:w="0" w:type="dxa"/>
            <w:vAlign w:val="bottom"/>
          </w:tcPr>
          <w:p>
            <w:pPr>
              <w:spacing w:after="0"/>
              <w:rPr>
                <w:sz w:val="1"/>
                <w:szCs w:val="1"/>
                <w:color w:val="auto"/>
              </w:rPr>
            </w:pPr>
          </w:p>
        </w:tc>
      </w:tr>
      <w:tr>
        <w:trPr>
          <w:trHeight w:val="158"/>
        </w:trPr>
        <w:tc>
          <w:tcPr>
            <w:tcW w:w="1460" w:type="dxa"/>
            <w:vAlign w:val="bottom"/>
            <w:shd w:val="clear" w:color="auto" w:fill="FDFDFC"/>
          </w:tcPr>
          <w:p>
            <w:pPr>
              <w:spacing w:after="0" w:line="159" w:lineRule="exact"/>
              <w:rPr>
                <w:sz w:val="20"/>
                <w:szCs w:val="20"/>
                <w:color w:val="auto"/>
              </w:rPr>
            </w:pPr>
            <w:r>
              <w:rPr>
                <w:rFonts w:ascii="Times New Roman" w:cs="Times New Roman" w:eastAsia="Times New Roman" w:hAnsi="Times New Roman"/>
                <w:sz w:val="15"/>
                <w:szCs w:val="15"/>
                <w:color w:val="231F20"/>
              </w:rPr>
              <w:t>Marcura Equities LTD</w:t>
            </w:r>
          </w:p>
        </w:tc>
        <w:tc>
          <w:tcPr>
            <w:tcW w:w="2420" w:type="dxa"/>
            <w:vAlign w:val="bottom"/>
            <w:shd w:val="clear" w:color="auto" w:fill="FDFDFC"/>
          </w:tcPr>
          <w:p>
            <w:pPr>
              <w:ind w:left="60"/>
              <w:spacing w:after="0" w:line="159" w:lineRule="exact"/>
              <w:rPr>
                <w:sz w:val="20"/>
                <w:szCs w:val="20"/>
                <w:color w:val="auto"/>
              </w:rPr>
            </w:pPr>
            <w:r>
              <w:rPr>
                <w:rFonts w:ascii="Times New Roman" w:cs="Times New Roman" w:eastAsia="Times New Roman" w:hAnsi="Times New Roman"/>
                <w:sz w:val="15"/>
                <w:szCs w:val="15"/>
                <w:color w:val="231F20"/>
              </w:rPr>
              <w:t>First-lien loan ($32,007 par, due</w:t>
            </w:r>
          </w:p>
        </w:tc>
        <w:tc>
          <w:tcPr>
            <w:tcW w:w="820" w:type="dxa"/>
            <w:vAlign w:val="bottom"/>
            <w:shd w:val="clear" w:color="auto" w:fill="FDFDFC"/>
          </w:tcPr>
          <w:p>
            <w:pPr>
              <w:jc w:val="right"/>
              <w:spacing w:after="0" w:line="159" w:lineRule="exact"/>
              <w:rPr>
                <w:sz w:val="20"/>
                <w:szCs w:val="20"/>
                <w:color w:val="auto"/>
              </w:rPr>
            </w:pPr>
            <w:r>
              <w:rPr>
                <w:rFonts w:ascii="Times New Roman" w:cs="Times New Roman" w:eastAsia="Times New Roman" w:hAnsi="Times New Roman"/>
                <w:sz w:val="15"/>
                <w:szCs w:val="15"/>
                <w:color w:val="231F20"/>
              </w:rPr>
              <w:t>8/11/2023</w:t>
            </w:r>
          </w:p>
        </w:tc>
        <w:tc>
          <w:tcPr>
            <w:tcW w:w="1040" w:type="dxa"/>
            <w:vAlign w:val="bottom"/>
            <w:shd w:val="clear" w:color="auto" w:fill="FDFDFC"/>
          </w:tcPr>
          <w:p>
            <w:pPr>
              <w:jc w:val="right"/>
              <w:ind w:right="84"/>
              <w:spacing w:after="0" w:line="159" w:lineRule="exact"/>
              <w:rPr>
                <w:sz w:val="20"/>
                <w:szCs w:val="20"/>
                <w:color w:val="auto"/>
              </w:rPr>
            </w:pPr>
            <w:r>
              <w:rPr>
                <w:rFonts w:ascii="Times New Roman" w:cs="Times New Roman" w:eastAsia="Times New Roman" w:hAnsi="Times New Roman"/>
                <w:sz w:val="15"/>
                <w:szCs w:val="15"/>
                <w:color w:val="231F20"/>
              </w:rPr>
              <w:t>SOFR +</w:t>
            </w:r>
          </w:p>
        </w:tc>
        <w:tc>
          <w:tcPr>
            <w:tcW w:w="1060" w:type="dxa"/>
            <w:vAlign w:val="bottom"/>
            <w:shd w:val="clear" w:color="auto" w:fill="FDFDFC"/>
          </w:tcPr>
          <w:p>
            <w:pPr>
              <w:jc w:val="right"/>
              <w:ind w:right="24"/>
              <w:spacing w:after="0" w:line="159" w:lineRule="exact"/>
              <w:rPr>
                <w:sz w:val="20"/>
                <w:szCs w:val="20"/>
                <w:color w:val="auto"/>
              </w:rPr>
            </w:pPr>
            <w:r>
              <w:rPr>
                <w:rFonts w:ascii="Times New Roman" w:cs="Times New Roman" w:eastAsia="Times New Roman" w:hAnsi="Times New Roman"/>
                <w:sz w:val="15"/>
                <w:szCs w:val="15"/>
                <w:color w:val="231F20"/>
              </w:rPr>
              <w:t>12.18%</w:t>
            </w:r>
          </w:p>
        </w:tc>
        <w:tc>
          <w:tcPr>
            <w:tcW w:w="100" w:type="dxa"/>
            <w:vAlign w:val="bottom"/>
            <w:shd w:val="clear" w:color="auto" w:fill="FDFDFC"/>
          </w:tcPr>
          <w:p>
            <w:pPr>
              <w:spacing w:after="0"/>
              <w:rPr>
                <w:sz w:val="13"/>
                <w:szCs w:val="13"/>
                <w:color w:val="auto"/>
              </w:rPr>
            </w:pPr>
          </w:p>
        </w:tc>
        <w:tc>
          <w:tcPr>
            <w:tcW w:w="900" w:type="dxa"/>
            <w:vAlign w:val="bottom"/>
            <w:shd w:val="clear" w:color="auto" w:fill="FDFDFC"/>
          </w:tcPr>
          <w:p>
            <w:pPr>
              <w:jc w:val="right"/>
              <w:spacing w:after="0" w:line="159" w:lineRule="exact"/>
              <w:rPr>
                <w:sz w:val="20"/>
                <w:szCs w:val="20"/>
                <w:color w:val="auto"/>
              </w:rPr>
            </w:pPr>
            <w:r>
              <w:rPr>
                <w:rFonts w:ascii="Times New Roman" w:cs="Times New Roman" w:eastAsia="Times New Roman" w:hAnsi="Times New Roman"/>
                <w:sz w:val="15"/>
                <w:szCs w:val="15"/>
                <w:color w:val="231F20"/>
              </w:rPr>
              <w:t>31,020</w:t>
            </w:r>
          </w:p>
        </w:tc>
        <w:tc>
          <w:tcPr>
            <w:tcW w:w="1140" w:type="dxa"/>
            <w:vAlign w:val="bottom"/>
            <w:gridSpan w:val="3"/>
            <w:shd w:val="clear" w:color="auto" w:fill="FDFDFC"/>
          </w:tcPr>
          <w:p>
            <w:pPr>
              <w:jc w:val="right"/>
              <w:spacing w:after="0" w:line="159" w:lineRule="exact"/>
              <w:rPr>
                <w:sz w:val="20"/>
                <w:szCs w:val="20"/>
                <w:color w:val="auto"/>
              </w:rPr>
            </w:pPr>
            <w:r>
              <w:rPr>
                <w:rFonts w:ascii="Times New Roman" w:cs="Times New Roman" w:eastAsia="Times New Roman" w:hAnsi="Times New Roman"/>
                <w:sz w:val="15"/>
                <w:szCs w:val="15"/>
                <w:color w:val="231F20"/>
              </w:rPr>
              <w:t>31,482</w:t>
            </w:r>
          </w:p>
        </w:tc>
        <w:tc>
          <w:tcPr>
            <w:tcW w:w="1340" w:type="dxa"/>
            <w:vAlign w:val="bottom"/>
            <w:gridSpan w:val="3"/>
            <w:shd w:val="clear" w:color="auto" w:fill="FDFDFC"/>
          </w:tcPr>
          <w:p>
            <w:pPr>
              <w:jc w:val="right"/>
              <w:ind w:right="120"/>
              <w:spacing w:after="0" w:line="159" w:lineRule="exact"/>
              <w:rPr>
                <w:sz w:val="20"/>
                <w:szCs w:val="20"/>
                <w:color w:val="auto"/>
              </w:rPr>
            </w:pPr>
            <w:r>
              <w:rPr>
                <w:rFonts w:ascii="Times New Roman" w:cs="Times New Roman" w:eastAsia="Times New Roman" w:hAnsi="Times New Roman"/>
                <w:sz w:val="15"/>
                <w:szCs w:val="15"/>
                <w:color w:val="231F20"/>
              </w:rPr>
              <w:t>2.1%</w:t>
            </w:r>
          </w:p>
        </w:tc>
        <w:tc>
          <w:tcPr>
            <w:tcW w:w="0" w:type="dxa"/>
            <w:vAlign w:val="bottom"/>
          </w:tcPr>
          <w:p>
            <w:pPr>
              <w:spacing w:after="0"/>
              <w:rPr>
                <w:sz w:val="1"/>
                <w:szCs w:val="1"/>
                <w:color w:val="auto"/>
              </w:rPr>
            </w:pPr>
          </w:p>
        </w:tc>
      </w:tr>
      <w:tr>
        <w:trPr>
          <w:trHeight w:val="189"/>
        </w:trPr>
        <w:tc>
          <w:tcPr>
            <w:tcW w:w="1460" w:type="dxa"/>
            <w:vAlign w:val="bottom"/>
            <w:shd w:val="clear" w:color="auto" w:fill="FDFDFC"/>
          </w:tcPr>
          <w:p>
            <w:pPr>
              <w:spacing w:after="0"/>
              <w:rPr>
                <w:sz w:val="20"/>
                <w:szCs w:val="20"/>
                <w:color w:val="auto"/>
              </w:rPr>
            </w:pPr>
            <w:r>
              <w:rPr>
                <w:rFonts w:ascii="Times New Roman" w:cs="Times New Roman" w:eastAsia="Times New Roman" w:hAnsi="Times New Roman"/>
                <w:sz w:val="9"/>
                <w:szCs w:val="9"/>
                <w:color w:val="231F20"/>
              </w:rPr>
              <w:t>(3)(4)</w:t>
            </w:r>
          </w:p>
        </w:tc>
        <w:tc>
          <w:tcPr>
            <w:tcW w:w="2420" w:type="dxa"/>
            <w:vAlign w:val="bottom"/>
            <w:shd w:val="clear" w:color="auto" w:fill="FDFDFC"/>
          </w:tcPr>
          <w:p>
            <w:pPr>
              <w:ind w:left="60"/>
              <w:spacing w:after="0"/>
              <w:rPr>
                <w:sz w:val="20"/>
                <w:szCs w:val="20"/>
                <w:color w:val="auto"/>
              </w:rPr>
            </w:pPr>
            <w:r>
              <w:rPr>
                <w:rFonts w:ascii="Times New Roman" w:cs="Times New Roman" w:eastAsia="Times New Roman" w:hAnsi="Times New Roman"/>
                <w:sz w:val="15"/>
                <w:szCs w:val="15"/>
                <w:color w:val="231F20"/>
              </w:rPr>
              <w:t>8/2029)</w:t>
            </w:r>
          </w:p>
        </w:tc>
        <w:tc>
          <w:tcPr>
            <w:tcW w:w="820" w:type="dxa"/>
            <w:vAlign w:val="bottom"/>
            <w:shd w:val="clear" w:color="auto" w:fill="FDFDFC"/>
          </w:tcPr>
          <w:p>
            <w:pPr>
              <w:spacing w:after="0"/>
              <w:rPr>
                <w:sz w:val="16"/>
                <w:szCs w:val="16"/>
                <w:color w:val="auto"/>
              </w:rPr>
            </w:pPr>
          </w:p>
        </w:tc>
        <w:tc>
          <w:tcPr>
            <w:tcW w:w="1040" w:type="dxa"/>
            <w:vAlign w:val="bottom"/>
            <w:shd w:val="clear" w:color="auto" w:fill="FDFDFC"/>
          </w:tcPr>
          <w:p>
            <w:pPr>
              <w:jc w:val="right"/>
              <w:ind w:right="84"/>
              <w:spacing w:after="0"/>
              <w:rPr>
                <w:sz w:val="20"/>
                <w:szCs w:val="20"/>
                <w:color w:val="auto"/>
              </w:rPr>
            </w:pPr>
            <w:r>
              <w:rPr>
                <w:rFonts w:ascii="Times New Roman" w:cs="Times New Roman" w:eastAsia="Times New Roman" w:hAnsi="Times New Roman"/>
                <w:sz w:val="15"/>
                <w:szCs w:val="15"/>
                <w:color w:val="231F20"/>
              </w:rPr>
              <w:t>7.00%</w:t>
            </w:r>
          </w:p>
        </w:tc>
        <w:tc>
          <w:tcPr>
            <w:tcW w:w="1060" w:type="dxa"/>
            <w:vAlign w:val="bottom"/>
            <w:shd w:val="clear" w:color="auto" w:fill="FDFDFC"/>
          </w:tcPr>
          <w:p>
            <w:pPr>
              <w:spacing w:after="0"/>
              <w:rPr>
                <w:sz w:val="16"/>
                <w:szCs w:val="16"/>
                <w:color w:val="auto"/>
              </w:rPr>
            </w:pPr>
          </w:p>
        </w:tc>
        <w:tc>
          <w:tcPr>
            <w:tcW w:w="100" w:type="dxa"/>
            <w:vAlign w:val="bottom"/>
            <w:shd w:val="clear" w:color="auto" w:fill="FDFDFC"/>
          </w:tcPr>
          <w:p>
            <w:pPr>
              <w:spacing w:after="0"/>
              <w:rPr>
                <w:sz w:val="16"/>
                <w:szCs w:val="16"/>
                <w:color w:val="auto"/>
              </w:rPr>
            </w:pPr>
          </w:p>
        </w:tc>
        <w:tc>
          <w:tcPr>
            <w:tcW w:w="900" w:type="dxa"/>
            <w:vAlign w:val="bottom"/>
            <w:shd w:val="clear" w:color="auto" w:fill="FDFDFC"/>
          </w:tcPr>
          <w:p>
            <w:pPr>
              <w:spacing w:after="0"/>
              <w:rPr>
                <w:sz w:val="16"/>
                <w:szCs w:val="16"/>
                <w:color w:val="auto"/>
              </w:rPr>
            </w:pPr>
          </w:p>
        </w:tc>
        <w:tc>
          <w:tcPr>
            <w:tcW w:w="180" w:type="dxa"/>
            <w:vAlign w:val="bottom"/>
            <w:shd w:val="clear" w:color="auto" w:fill="FDFDFC"/>
          </w:tcPr>
          <w:p>
            <w:pPr>
              <w:spacing w:after="0"/>
              <w:rPr>
                <w:sz w:val="16"/>
                <w:szCs w:val="16"/>
                <w:color w:val="auto"/>
              </w:rPr>
            </w:pPr>
          </w:p>
        </w:tc>
        <w:tc>
          <w:tcPr>
            <w:tcW w:w="100" w:type="dxa"/>
            <w:vAlign w:val="bottom"/>
            <w:shd w:val="clear" w:color="auto" w:fill="FDFDFC"/>
          </w:tcPr>
          <w:p>
            <w:pPr>
              <w:spacing w:after="0"/>
              <w:rPr>
                <w:sz w:val="16"/>
                <w:szCs w:val="16"/>
                <w:color w:val="auto"/>
              </w:rPr>
            </w:pPr>
          </w:p>
        </w:tc>
        <w:tc>
          <w:tcPr>
            <w:tcW w:w="860" w:type="dxa"/>
            <w:vAlign w:val="bottom"/>
            <w:shd w:val="clear" w:color="auto" w:fill="FDFDFC"/>
          </w:tcPr>
          <w:p>
            <w:pPr>
              <w:spacing w:after="0"/>
              <w:rPr>
                <w:sz w:val="16"/>
                <w:szCs w:val="16"/>
                <w:color w:val="auto"/>
              </w:rPr>
            </w:pPr>
          </w:p>
        </w:tc>
        <w:tc>
          <w:tcPr>
            <w:tcW w:w="200" w:type="dxa"/>
            <w:vAlign w:val="bottom"/>
            <w:shd w:val="clear" w:color="auto" w:fill="FDFDFC"/>
          </w:tcPr>
          <w:p>
            <w:pPr>
              <w:spacing w:after="0"/>
              <w:rPr>
                <w:sz w:val="16"/>
                <w:szCs w:val="16"/>
                <w:color w:val="auto"/>
              </w:rPr>
            </w:pPr>
          </w:p>
        </w:tc>
        <w:tc>
          <w:tcPr>
            <w:tcW w:w="900" w:type="dxa"/>
            <w:vAlign w:val="bottom"/>
            <w:shd w:val="clear" w:color="auto" w:fill="FDFDFC"/>
          </w:tcPr>
          <w:p>
            <w:pPr>
              <w:spacing w:after="0"/>
              <w:rPr>
                <w:sz w:val="16"/>
                <w:szCs w:val="16"/>
                <w:color w:val="auto"/>
              </w:rPr>
            </w:pPr>
          </w:p>
        </w:tc>
        <w:tc>
          <w:tcPr>
            <w:tcW w:w="240" w:type="dxa"/>
            <w:vAlign w:val="bottom"/>
            <w:shd w:val="clear" w:color="auto" w:fill="FDFDFC"/>
          </w:tcPr>
          <w:p>
            <w:pPr>
              <w:spacing w:after="0"/>
              <w:rPr>
                <w:sz w:val="16"/>
                <w:szCs w:val="16"/>
                <w:color w:val="auto"/>
              </w:rPr>
            </w:pPr>
          </w:p>
        </w:tc>
        <w:tc>
          <w:tcPr>
            <w:tcW w:w="0" w:type="dxa"/>
            <w:vAlign w:val="bottom"/>
          </w:tcPr>
          <w:p>
            <w:pPr>
              <w:spacing w:after="0"/>
              <w:rPr>
                <w:sz w:val="1"/>
                <w:szCs w:val="1"/>
                <w:color w:val="auto"/>
              </w:rPr>
            </w:pPr>
          </w:p>
        </w:tc>
      </w:tr>
      <w:tr>
        <w:trPr>
          <w:trHeight w:val="158"/>
        </w:trPr>
        <w:tc>
          <w:tcPr>
            <w:tcW w:w="1460" w:type="dxa"/>
            <w:vAlign w:val="bottom"/>
            <w:shd w:val="clear" w:color="auto" w:fill="D0EBF2"/>
          </w:tcPr>
          <w:p>
            <w:pPr>
              <w:spacing w:after="0"/>
              <w:rPr>
                <w:sz w:val="13"/>
                <w:szCs w:val="13"/>
                <w:color w:val="auto"/>
              </w:rPr>
            </w:pPr>
          </w:p>
        </w:tc>
        <w:tc>
          <w:tcPr>
            <w:tcW w:w="2420" w:type="dxa"/>
            <w:vAlign w:val="bottom"/>
            <w:shd w:val="clear" w:color="auto" w:fill="D0EBF2"/>
          </w:tcPr>
          <w:p>
            <w:pPr>
              <w:ind w:left="60"/>
              <w:spacing w:after="0" w:line="159" w:lineRule="exact"/>
              <w:rPr>
                <w:sz w:val="20"/>
                <w:szCs w:val="20"/>
                <w:color w:val="auto"/>
              </w:rPr>
            </w:pPr>
            <w:r>
              <w:rPr>
                <w:rFonts w:ascii="Times New Roman" w:cs="Times New Roman" w:eastAsia="Times New Roman" w:hAnsi="Times New Roman"/>
                <w:sz w:val="15"/>
                <w:szCs w:val="15"/>
                <w:color w:val="231F20"/>
              </w:rPr>
              <w:t>First-lien revolving loan ($1,667 par,</w:t>
            </w:r>
          </w:p>
        </w:tc>
        <w:tc>
          <w:tcPr>
            <w:tcW w:w="820" w:type="dxa"/>
            <w:vAlign w:val="bottom"/>
            <w:shd w:val="clear" w:color="auto" w:fill="D0EBF2"/>
          </w:tcPr>
          <w:p>
            <w:pPr>
              <w:jc w:val="right"/>
              <w:spacing w:after="0" w:line="159" w:lineRule="exact"/>
              <w:rPr>
                <w:sz w:val="20"/>
                <w:szCs w:val="20"/>
                <w:color w:val="auto"/>
              </w:rPr>
            </w:pPr>
            <w:r>
              <w:rPr>
                <w:rFonts w:ascii="Times New Roman" w:cs="Times New Roman" w:eastAsia="Times New Roman" w:hAnsi="Times New Roman"/>
                <w:sz w:val="15"/>
                <w:szCs w:val="15"/>
                <w:color w:val="231F20"/>
              </w:rPr>
              <w:t>8/11/2023</w:t>
            </w:r>
          </w:p>
        </w:tc>
        <w:tc>
          <w:tcPr>
            <w:tcW w:w="1040" w:type="dxa"/>
            <w:vAlign w:val="bottom"/>
            <w:shd w:val="clear" w:color="auto" w:fill="D0EBF2"/>
          </w:tcPr>
          <w:p>
            <w:pPr>
              <w:jc w:val="right"/>
              <w:ind w:right="84"/>
              <w:spacing w:after="0" w:line="159" w:lineRule="exact"/>
              <w:rPr>
                <w:sz w:val="20"/>
                <w:szCs w:val="20"/>
                <w:color w:val="auto"/>
              </w:rPr>
            </w:pPr>
            <w:r>
              <w:rPr>
                <w:rFonts w:ascii="Times New Roman" w:cs="Times New Roman" w:eastAsia="Times New Roman" w:hAnsi="Times New Roman"/>
                <w:sz w:val="15"/>
                <w:szCs w:val="15"/>
                <w:color w:val="231F20"/>
              </w:rPr>
              <w:t>SOFR +</w:t>
            </w:r>
          </w:p>
        </w:tc>
        <w:tc>
          <w:tcPr>
            <w:tcW w:w="1060" w:type="dxa"/>
            <w:vAlign w:val="bottom"/>
            <w:shd w:val="clear" w:color="auto" w:fill="D0EBF2"/>
          </w:tcPr>
          <w:p>
            <w:pPr>
              <w:jc w:val="right"/>
              <w:ind w:right="24"/>
              <w:spacing w:after="0" w:line="159" w:lineRule="exact"/>
              <w:rPr>
                <w:sz w:val="20"/>
                <w:szCs w:val="20"/>
                <w:color w:val="auto"/>
              </w:rPr>
            </w:pPr>
            <w:r>
              <w:rPr>
                <w:rFonts w:ascii="Times New Roman" w:cs="Times New Roman" w:eastAsia="Times New Roman" w:hAnsi="Times New Roman"/>
                <w:sz w:val="15"/>
                <w:szCs w:val="15"/>
                <w:color w:val="231F20"/>
              </w:rPr>
              <w:t>12.18%</w:t>
            </w:r>
          </w:p>
        </w:tc>
        <w:tc>
          <w:tcPr>
            <w:tcW w:w="100" w:type="dxa"/>
            <w:vAlign w:val="bottom"/>
            <w:shd w:val="clear" w:color="auto" w:fill="D0EBF2"/>
          </w:tcPr>
          <w:p>
            <w:pPr>
              <w:spacing w:after="0"/>
              <w:rPr>
                <w:sz w:val="13"/>
                <w:szCs w:val="13"/>
                <w:color w:val="auto"/>
              </w:rPr>
            </w:pPr>
          </w:p>
        </w:tc>
        <w:tc>
          <w:tcPr>
            <w:tcW w:w="900" w:type="dxa"/>
            <w:vAlign w:val="bottom"/>
            <w:shd w:val="clear" w:color="auto" w:fill="D0EBF2"/>
          </w:tcPr>
          <w:p>
            <w:pPr>
              <w:jc w:val="right"/>
              <w:spacing w:after="0" w:line="159" w:lineRule="exact"/>
              <w:rPr>
                <w:sz w:val="20"/>
                <w:szCs w:val="20"/>
                <w:color w:val="auto"/>
              </w:rPr>
            </w:pPr>
            <w:r>
              <w:rPr>
                <w:rFonts w:ascii="Times New Roman" w:cs="Times New Roman" w:eastAsia="Times New Roman" w:hAnsi="Times New Roman"/>
                <w:sz w:val="15"/>
                <w:szCs w:val="15"/>
                <w:color w:val="231F20"/>
              </w:rPr>
              <w:t>1,589</w:t>
            </w:r>
          </w:p>
        </w:tc>
        <w:tc>
          <w:tcPr>
            <w:tcW w:w="1140" w:type="dxa"/>
            <w:vAlign w:val="bottom"/>
            <w:gridSpan w:val="3"/>
            <w:shd w:val="clear" w:color="auto" w:fill="D0EBF2"/>
          </w:tcPr>
          <w:p>
            <w:pPr>
              <w:jc w:val="right"/>
              <w:spacing w:after="0" w:line="159" w:lineRule="exact"/>
              <w:rPr>
                <w:sz w:val="20"/>
                <w:szCs w:val="20"/>
                <w:color w:val="auto"/>
              </w:rPr>
            </w:pPr>
            <w:r>
              <w:rPr>
                <w:rFonts w:ascii="Times New Roman" w:cs="Times New Roman" w:eastAsia="Times New Roman" w:hAnsi="Times New Roman"/>
                <w:sz w:val="15"/>
                <w:szCs w:val="15"/>
                <w:color w:val="231F20"/>
              </w:rPr>
              <w:t>1,625</w:t>
            </w:r>
          </w:p>
        </w:tc>
        <w:tc>
          <w:tcPr>
            <w:tcW w:w="1340" w:type="dxa"/>
            <w:vAlign w:val="bottom"/>
            <w:gridSpan w:val="3"/>
            <w:shd w:val="clear" w:color="auto" w:fill="D0EBF2"/>
          </w:tcPr>
          <w:p>
            <w:pPr>
              <w:jc w:val="right"/>
              <w:ind w:right="120"/>
              <w:spacing w:after="0" w:line="159" w:lineRule="exact"/>
              <w:rPr>
                <w:sz w:val="20"/>
                <w:szCs w:val="20"/>
                <w:color w:val="auto"/>
              </w:rPr>
            </w:pPr>
            <w:r>
              <w:rPr>
                <w:rFonts w:ascii="Times New Roman" w:cs="Times New Roman" w:eastAsia="Times New Roman" w:hAnsi="Times New Roman"/>
                <w:sz w:val="15"/>
                <w:szCs w:val="15"/>
                <w:color w:val="231F20"/>
              </w:rPr>
              <w:t>0.1%</w:t>
            </w:r>
          </w:p>
        </w:tc>
        <w:tc>
          <w:tcPr>
            <w:tcW w:w="0" w:type="dxa"/>
            <w:vAlign w:val="bottom"/>
          </w:tcPr>
          <w:p>
            <w:pPr>
              <w:spacing w:after="0"/>
              <w:rPr>
                <w:sz w:val="1"/>
                <w:szCs w:val="1"/>
                <w:color w:val="auto"/>
              </w:rPr>
            </w:pPr>
          </w:p>
        </w:tc>
      </w:tr>
      <w:tr>
        <w:trPr>
          <w:trHeight w:val="189"/>
        </w:trPr>
        <w:tc>
          <w:tcPr>
            <w:tcW w:w="1460" w:type="dxa"/>
            <w:vAlign w:val="bottom"/>
            <w:tcBorders>
              <w:bottom w:val="single" w:sz="8" w:color="FDFDFC"/>
            </w:tcBorders>
            <w:shd w:val="clear" w:color="auto" w:fill="D0EBF2"/>
          </w:tcPr>
          <w:p>
            <w:pPr>
              <w:spacing w:after="0"/>
              <w:rPr>
                <w:sz w:val="16"/>
                <w:szCs w:val="16"/>
                <w:color w:val="auto"/>
              </w:rPr>
            </w:pPr>
          </w:p>
        </w:tc>
        <w:tc>
          <w:tcPr>
            <w:tcW w:w="2420" w:type="dxa"/>
            <w:vAlign w:val="bottom"/>
            <w:tcBorders>
              <w:bottom w:val="single" w:sz="8" w:color="FDFDFC"/>
            </w:tcBorders>
            <w:shd w:val="clear" w:color="auto" w:fill="D0EBF2"/>
          </w:tcPr>
          <w:p>
            <w:pPr>
              <w:ind w:left="60"/>
              <w:spacing w:after="0"/>
              <w:rPr>
                <w:sz w:val="20"/>
                <w:szCs w:val="20"/>
                <w:color w:val="auto"/>
              </w:rPr>
            </w:pPr>
            <w:r>
              <w:rPr>
                <w:rFonts w:ascii="Times New Roman" w:cs="Times New Roman" w:eastAsia="Times New Roman" w:hAnsi="Times New Roman"/>
                <w:sz w:val="15"/>
                <w:szCs w:val="15"/>
                <w:color w:val="231F20"/>
              </w:rPr>
              <w:t>due 8/2029)</w:t>
            </w:r>
          </w:p>
        </w:tc>
        <w:tc>
          <w:tcPr>
            <w:tcW w:w="820" w:type="dxa"/>
            <w:vAlign w:val="bottom"/>
            <w:tcBorders>
              <w:bottom w:val="single" w:sz="8" w:color="FDFDFC"/>
            </w:tcBorders>
            <w:shd w:val="clear" w:color="auto" w:fill="D0EBF2"/>
          </w:tcPr>
          <w:p>
            <w:pPr>
              <w:spacing w:after="0"/>
              <w:rPr>
                <w:sz w:val="16"/>
                <w:szCs w:val="16"/>
                <w:color w:val="auto"/>
              </w:rPr>
            </w:pPr>
          </w:p>
        </w:tc>
        <w:tc>
          <w:tcPr>
            <w:tcW w:w="1040" w:type="dxa"/>
            <w:vAlign w:val="bottom"/>
            <w:tcBorders>
              <w:bottom w:val="single" w:sz="8" w:color="FDFDFC"/>
            </w:tcBorders>
            <w:shd w:val="clear" w:color="auto" w:fill="D0EBF2"/>
          </w:tcPr>
          <w:p>
            <w:pPr>
              <w:jc w:val="right"/>
              <w:ind w:right="84"/>
              <w:spacing w:after="0"/>
              <w:rPr>
                <w:sz w:val="20"/>
                <w:szCs w:val="20"/>
                <w:color w:val="auto"/>
              </w:rPr>
            </w:pPr>
            <w:r>
              <w:rPr>
                <w:rFonts w:ascii="Times New Roman" w:cs="Times New Roman" w:eastAsia="Times New Roman" w:hAnsi="Times New Roman"/>
                <w:sz w:val="15"/>
                <w:szCs w:val="15"/>
                <w:color w:val="231F20"/>
              </w:rPr>
              <w:t>7.00%</w:t>
            </w:r>
          </w:p>
        </w:tc>
        <w:tc>
          <w:tcPr>
            <w:tcW w:w="1060" w:type="dxa"/>
            <w:vAlign w:val="bottom"/>
            <w:tcBorders>
              <w:bottom w:val="single" w:sz="8" w:color="FDFDFC"/>
            </w:tcBorders>
            <w:shd w:val="clear" w:color="auto" w:fill="D0EBF2"/>
          </w:tcPr>
          <w:p>
            <w:pPr>
              <w:spacing w:after="0"/>
              <w:rPr>
                <w:sz w:val="16"/>
                <w:szCs w:val="16"/>
                <w:color w:val="auto"/>
              </w:rPr>
            </w:pPr>
          </w:p>
        </w:tc>
        <w:tc>
          <w:tcPr>
            <w:tcW w:w="100" w:type="dxa"/>
            <w:vAlign w:val="bottom"/>
            <w:tcBorders>
              <w:bottom w:val="single" w:sz="8" w:color="FDFDFC"/>
            </w:tcBorders>
            <w:shd w:val="clear" w:color="auto" w:fill="D0EBF2"/>
          </w:tcPr>
          <w:p>
            <w:pPr>
              <w:spacing w:after="0"/>
              <w:rPr>
                <w:sz w:val="16"/>
                <w:szCs w:val="16"/>
                <w:color w:val="auto"/>
              </w:rPr>
            </w:pPr>
          </w:p>
        </w:tc>
        <w:tc>
          <w:tcPr>
            <w:tcW w:w="900" w:type="dxa"/>
            <w:vAlign w:val="bottom"/>
            <w:tcBorders>
              <w:bottom w:val="single" w:sz="8" w:color="231F20"/>
            </w:tcBorders>
            <w:shd w:val="clear" w:color="auto" w:fill="D0EBF2"/>
          </w:tcPr>
          <w:p>
            <w:pPr>
              <w:spacing w:after="0"/>
              <w:rPr>
                <w:sz w:val="16"/>
                <w:szCs w:val="16"/>
                <w:color w:val="auto"/>
              </w:rPr>
            </w:pPr>
          </w:p>
        </w:tc>
        <w:tc>
          <w:tcPr>
            <w:tcW w:w="180" w:type="dxa"/>
            <w:vAlign w:val="bottom"/>
            <w:tcBorders>
              <w:bottom w:val="single" w:sz="8" w:color="FDFDFC"/>
            </w:tcBorders>
            <w:shd w:val="clear" w:color="auto" w:fill="D0EBF2"/>
          </w:tcPr>
          <w:p>
            <w:pPr>
              <w:spacing w:after="0"/>
              <w:rPr>
                <w:sz w:val="16"/>
                <w:szCs w:val="16"/>
                <w:color w:val="auto"/>
              </w:rPr>
            </w:pPr>
          </w:p>
        </w:tc>
        <w:tc>
          <w:tcPr>
            <w:tcW w:w="100" w:type="dxa"/>
            <w:vAlign w:val="bottom"/>
            <w:tcBorders>
              <w:bottom w:val="single" w:sz="8" w:color="FDFDFC"/>
            </w:tcBorders>
            <w:shd w:val="clear" w:color="auto" w:fill="D0EBF2"/>
          </w:tcPr>
          <w:p>
            <w:pPr>
              <w:spacing w:after="0"/>
              <w:rPr>
                <w:sz w:val="16"/>
                <w:szCs w:val="16"/>
                <w:color w:val="auto"/>
              </w:rPr>
            </w:pPr>
          </w:p>
        </w:tc>
        <w:tc>
          <w:tcPr>
            <w:tcW w:w="860" w:type="dxa"/>
            <w:vAlign w:val="bottom"/>
            <w:tcBorders>
              <w:bottom w:val="single" w:sz="8" w:color="231F20"/>
            </w:tcBorders>
            <w:shd w:val="clear" w:color="auto" w:fill="D0EBF2"/>
          </w:tcPr>
          <w:p>
            <w:pPr>
              <w:spacing w:after="0"/>
              <w:rPr>
                <w:sz w:val="16"/>
                <w:szCs w:val="16"/>
                <w:color w:val="auto"/>
              </w:rPr>
            </w:pPr>
          </w:p>
        </w:tc>
        <w:tc>
          <w:tcPr>
            <w:tcW w:w="200" w:type="dxa"/>
            <w:vAlign w:val="bottom"/>
            <w:tcBorders>
              <w:bottom w:val="single" w:sz="8" w:color="FDFDFC"/>
            </w:tcBorders>
            <w:shd w:val="clear" w:color="auto" w:fill="D0EBF2"/>
          </w:tcPr>
          <w:p>
            <w:pPr>
              <w:spacing w:after="0"/>
              <w:rPr>
                <w:sz w:val="16"/>
                <w:szCs w:val="16"/>
                <w:color w:val="auto"/>
              </w:rPr>
            </w:pPr>
          </w:p>
        </w:tc>
        <w:tc>
          <w:tcPr>
            <w:tcW w:w="900" w:type="dxa"/>
            <w:vAlign w:val="bottom"/>
            <w:tcBorders>
              <w:bottom w:val="single" w:sz="8" w:color="231F20"/>
            </w:tcBorders>
            <w:shd w:val="clear" w:color="auto" w:fill="D0EBF2"/>
          </w:tcPr>
          <w:p>
            <w:pPr>
              <w:spacing w:after="0"/>
              <w:rPr>
                <w:sz w:val="16"/>
                <w:szCs w:val="16"/>
                <w:color w:val="auto"/>
              </w:rPr>
            </w:pPr>
          </w:p>
        </w:tc>
        <w:tc>
          <w:tcPr>
            <w:tcW w:w="240" w:type="dxa"/>
            <w:vAlign w:val="bottom"/>
            <w:shd w:val="clear" w:color="auto" w:fill="D0EBF2"/>
          </w:tcPr>
          <w:p>
            <w:pPr>
              <w:spacing w:after="0"/>
              <w:rPr>
                <w:sz w:val="16"/>
                <w:szCs w:val="16"/>
                <w:color w:val="auto"/>
              </w:rPr>
            </w:pPr>
          </w:p>
        </w:tc>
        <w:tc>
          <w:tcPr>
            <w:tcW w:w="0" w:type="dxa"/>
            <w:vAlign w:val="bottom"/>
          </w:tcPr>
          <w:p>
            <w:pPr>
              <w:spacing w:after="0"/>
              <w:rPr>
                <w:sz w:val="1"/>
                <w:szCs w:val="1"/>
                <w:color w:val="auto"/>
              </w:rPr>
            </w:pPr>
          </w:p>
        </w:tc>
      </w:tr>
      <w:tr>
        <w:trPr>
          <w:trHeight w:val="163"/>
        </w:trPr>
        <w:tc>
          <w:tcPr>
            <w:tcW w:w="1460" w:type="dxa"/>
            <w:vAlign w:val="bottom"/>
            <w:shd w:val="clear" w:color="auto" w:fill="FDFDFC"/>
          </w:tcPr>
          <w:p>
            <w:pPr>
              <w:spacing w:after="0"/>
              <w:rPr>
                <w:sz w:val="14"/>
                <w:szCs w:val="14"/>
                <w:color w:val="auto"/>
              </w:rPr>
            </w:pPr>
          </w:p>
        </w:tc>
        <w:tc>
          <w:tcPr>
            <w:tcW w:w="2420" w:type="dxa"/>
            <w:vAlign w:val="bottom"/>
            <w:shd w:val="clear" w:color="auto" w:fill="FDFDFC"/>
          </w:tcPr>
          <w:p>
            <w:pPr>
              <w:spacing w:after="0"/>
              <w:rPr>
                <w:sz w:val="14"/>
                <w:szCs w:val="14"/>
                <w:color w:val="auto"/>
              </w:rPr>
            </w:pPr>
          </w:p>
        </w:tc>
        <w:tc>
          <w:tcPr>
            <w:tcW w:w="820" w:type="dxa"/>
            <w:vAlign w:val="bottom"/>
            <w:shd w:val="clear" w:color="auto" w:fill="FDFDFC"/>
          </w:tcPr>
          <w:p>
            <w:pPr>
              <w:spacing w:after="0"/>
              <w:rPr>
                <w:sz w:val="14"/>
                <w:szCs w:val="14"/>
                <w:color w:val="auto"/>
              </w:rPr>
            </w:pPr>
          </w:p>
        </w:tc>
        <w:tc>
          <w:tcPr>
            <w:tcW w:w="1040" w:type="dxa"/>
            <w:vAlign w:val="bottom"/>
            <w:shd w:val="clear" w:color="auto" w:fill="FDFDFC"/>
          </w:tcPr>
          <w:p>
            <w:pPr>
              <w:spacing w:after="0"/>
              <w:rPr>
                <w:sz w:val="14"/>
                <w:szCs w:val="14"/>
                <w:color w:val="auto"/>
              </w:rPr>
            </w:pPr>
          </w:p>
        </w:tc>
        <w:tc>
          <w:tcPr>
            <w:tcW w:w="1060" w:type="dxa"/>
            <w:vAlign w:val="bottom"/>
            <w:shd w:val="clear" w:color="auto" w:fill="FDFDFC"/>
          </w:tcPr>
          <w:p>
            <w:pPr>
              <w:spacing w:after="0"/>
              <w:rPr>
                <w:sz w:val="14"/>
                <w:szCs w:val="14"/>
                <w:color w:val="auto"/>
              </w:rPr>
            </w:pPr>
          </w:p>
        </w:tc>
        <w:tc>
          <w:tcPr>
            <w:tcW w:w="100" w:type="dxa"/>
            <w:vAlign w:val="bottom"/>
            <w:shd w:val="clear" w:color="auto" w:fill="FDFDFC"/>
          </w:tcPr>
          <w:p>
            <w:pPr>
              <w:spacing w:after="0"/>
              <w:rPr>
                <w:sz w:val="14"/>
                <w:szCs w:val="14"/>
                <w:color w:val="auto"/>
              </w:rPr>
            </w:pPr>
          </w:p>
        </w:tc>
        <w:tc>
          <w:tcPr>
            <w:tcW w:w="900" w:type="dxa"/>
            <w:vAlign w:val="bottom"/>
            <w:shd w:val="clear" w:color="auto" w:fill="FDFDFC"/>
          </w:tcPr>
          <w:p>
            <w:pPr>
              <w:jc w:val="right"/>
              <w:spacing w:after="0" w:line="164" w:lineRule="exact"/>
              <w:rPr>
                <w:sz w:val="20"/>
                <w:szCs w:val="20"/>
                <w:color w:val="auto"/>
              </w:rPr>
            </w:pPr>
            <w:r>
              <w:rPr>
                <w:rFonts w:ascii="Times New Roman" w:cs="Times New Roman" w:eastAsia="Times New Roman" w:hAnsi="Times New Roman"/>
                <w:sz w:val="15"/>
                <w:szCs w:val="15"/>
                <w:color w:val="231F20"/>
              </w:rPr>
              <w:t>66,748</w:t>
            </w:r>
          </w:p>
        </w:tc>
        <w:tc>
          <w:tcPr>
            <w:tcW w:w="180" w:type="dxa"/>
            <w:vAlign w:val="bottom"/>
            <w:shd w:val="clear" w:color="auto" w:fill="FDFDFC"/>
          </w:tcPr>
          <w:p>
            <w:pPr>
              <w:spacing w:after="0"/>
              <w:rPr>
                <w:sz w:val="14"/>
                <w:szCs w:val="14"/>
                <w:color w:val="auto"/>
              </w:rPr>
            </w:pPr>
          </w:p>
        </w:tc>
        <w:tc>
          <w:tcPr>
            <w:tcW w:w="100" w:type="dxa"/>
            <w:vAlign w:val="bottom"/>
            <w:shd w:val="clear" w:color="auto" w:fill="FDFDFC"/>
          </w:tcPr>
          <w:p>
            <w:pPr>
              <w:spacing w:after="0"/>
              <w:rPr>
                <w:sz w:val="14"/>
                <w:szCs w:val="14"/>
                <w:color w:val="auto"/>
              </w:rPr>
            </w:pPr>
          </w:p>
        </w:tc>
        <w:tc>
          <w:tcPr>
            <w:tcW w:w="860" w:type="dxa"/>
            <w:vAlign w:val="bottom"/>
            <w:shd w:val="clear" w:color="auto" w:fill="FDFDFC"/>
          </w:tcPr>
          <w:p>
            <w:pPr>
              <w:jc w:val="right"/>
              <w:spacing w:after="0" w:line="164" w:lineRule="exact"/>
              <w:rPr>
                <w:sz w:val="20"/>
                <w:szCs w:val="20"/>
                <w:color w:val="auto"/>
              </w:rPr>
            </w:pPr>
            <w:r>
              <w:rPr>
                <w:rFonts w:ascii="Times New Roman" w:cs="Times New Roman" w:eastAsia="Times New Roman" w:hAnsi="Times New Roman"/>
                <w:sz w:val="15"/>
                <w:szCs w:val="15"/>
                <w:color w:val="231F20"/>
              </w:rPr>
              <w:t>68,108</w:t>
            </w:r>
          </w:p>
        </w:tc>
        <w:tc>
          <w:tcPr>
            <w:tcW w:w="200" w:type="dxa"/>
            <w:vAlign w:val="bottom"/>
            <w:shd w:val="clear" w:color="auto" w:fill="FDFDFC"/>
          </w:tcPr>
          <w:p>
            <w:pPr>
              <w:spacing w:after="0"/>
              <w:rPr>
                <w:sz w:val="14"/>
                <w:szCs w:val="14"/>
                <w:color w:val="auto"/>
              </w:rPr>
            </w:pPr>
          </w:p>
        </w:tc>
        <w:tc>
          <w:tcPr>
            <w:tcW w:w="1140" w:type="dxa"/>
            <w:vAlign w:val="bottom"/>
            <w:gridSpan w:val="2"/>
          </w:tcPr>
          <w:p>
            <w:pPr>
              <w:jc w:val="right"/>
              <w:ind w:right="120"/>
              <w:spacing w:after="0" w:line="164" w:lineRule="exact"/>
              <w:rPr>
                <w:sz w:val="20"/>
                <w:szCs w:val="20"/>
                <w:color w:val="auto"/>
              </w:rPr>
            </w:pPr>
            <w:r>
              <w:rPr>
                <w:rFonts w:ascii="Times New Roman" w:cs="Times New Roman" w:eastAsia="Times New Roman" w:hAnsi="Times New Roman"/>
                <w:sz w:val="15"/>
                <w:szCs w:val="15"/>
                <w:color w:val="231F20"/>
              </w:rPr>
              <w:t>4.5%</w:t>
            </w:r>
          </w:p>
        </w:tc>
        <w:tc>
          <w:tcPr>
            <w:tcW w:w="0" w:type="dxa"/>
            <w:vAlign w:val="bottom"/>
          </w:tcPr>
          <w:p>
            <w:pPr>
              <w:spacing w:after="0"/>
              <w:rPr>
                <w:sz w:val="1"/>
                <w:szCs w:val="1"/>
                <w:color w:val="auto"/>
              </w:rPr>
            </w:pPr>
          </w:p>
        </w:tc>
      </w:tr>
      <w:tr>
        <w:trPr>
          <w:trHeight w:val="20"/>
        </w:trPr>
        <w:tc>
          <w:tcPr>
            <w:tcW w:w="1460" w:type="dxa"/>
            <w:vAlign w:val="bottom"/>
            <w:vMerge w:val="restart"/>
            <w:shd w:val="clear" w:color="auto" w:fill="D0EBF2"/>
          </w:tcPr>
          <w:p>
            <w:pPr>
              <w:spacing w:after="0" w:line="166" w:lineRule="exact"/>
              <w:rPr>
                <w:sz w:val="20"/>
                <w:szCs w:val="20"/>
                <w:color w:val="auto"/>
              </w:rPr>
            </w:pPr>
            <w:r>
              <w:rPr>
                <w:rFonts w:ascii="Times New Roman" w:cs="Times New Roman" w:eastAsia="Times New Roman" w:hAnsi="Times New Roman"/>
                <w:sz w:val="15"/>
                <w:szCs w:val="15"/>
                <w:b w:val="1"/>
                <w:bCs w:val="1"/>
                <w:color w:val="231F20"/>
              </w:rPr>
              <w:t>Total Debt</w:t>
            </w:r>
          </w:p>
        </w:tc>
        <w:tc>
          <w:tcPr>
            <w:tcW w:w="2420" w:type="dxa"/>
            <w:vAlign w:val="bottom"/>
            <w:shd w:val="clear" w:color="auto" w:fill="D0EBF2"/>
          </w:tcPr>
          <w:p>
            <w:pPr>
              <w:spacing w:after="0" w:line="20" w:lineRule="exact"/>
              <w:rPr>
                <w:sz w:val="1"/>
                <w:szCs w:val="1"/>
                <w:color w:val="auto"/>
              </w:rPr>
            </w:pPr>
          </w:p>
        </w:tc>
        <w:tc>
          <w:tcPr>
            <w:tcW w:w="820" w:type="dxa"/>
            <w:vAlign w:val="bottom"/>
            <w:shd w:val="clear" w:color="auto" w:fill="D0EBF2"/>
          </w:tcPr>
          <w:p>
            <w:pPr>
              <w:spacing w:after="0" w:line="20" w:lineRule="exact"/>
              <w:rPr>
                <w:sz w:val="1"/>
                <w:szCs w:val="1"/>
                <w:color w:val="auto"/>
              </w:rPr>
            </w:pPr>
          </w:p>
        </w:tc>
        <w:tc>
          <w:tcPr>
            <w:tcW w:w="1040" w:type="dxa"/>
            <w:vAlign w:val="bottom"/>
            <w:shd w:val="clear" w:color="auto" w:fill="D0EBF2"/>
          </w:tcPr>
          <w:p>
            <w:pPr>
              <w:spacing w:after="0" w:line="20" w:lineRule="exact"/>
              <w:rPr>
                <w:sz w:val="1"/>
                <w:szCs w:val="1"/>
                <w:color w:val="auto"/>
              </w:rPr>
            </w:pPr>
          </w:p>
        </w:tc>
        <w:tc>
          <w:tcPr>
            <w:tcW w:w="1060" w:type="dxa"/>
            <w:vAlign w:val="bottom"/>
            <w:shd w:val="clear" w:color="auto" w:fill="D0EBF2"/>
          </w:tcPr>
          <w:p>
            <w:pPr>
              <w:spacing w:after="0" w:line="20" w:lineRule="exact"/>
              <w:rPr>
                <w:sz w:val="1"/>
                <w:szCs w:val="1"/>
                <w:color w:val="auto"/>
              </w:rPr>
            </w:pPr>
          </w:p>
        </w:tc>
        <w:tc>
          <w:tcPr>
            <w:tcW w:w="100" w:type="dxa"/>
            <w:vAlign w:val="bottom"/>
            <w:shd w:val="clear" w:color="auto" w:fill="231F20"/>
          </w:tcPr>
          <w:p>
            <w:pPr>
              <w:spacing w:after="0" w:line="20" w:lineRule="exact"/>
              <w:rPr>
                <w:sz w:val="1"/>
                <w:szCs w:val="1"/>
                <w:color w:val="auto"/>
              </w:rPr>
            </w:pPr>
          </w:p>
        </w:tc>
        <w:tc>
          <w:tcPr>
            <w:tcW w:w="900" w:type="dxa"/>
            <w:vAlign w:val="bottom"/>
            <w:shd w:val="clear" w:color="auto" w:fill="231F20"/>
          </w:tcPr>
          <w:p>
            <w:pPr>
              <w:spacing w:after="0" w:line="20" w:lineRule="exact"/>
              <w:rPr>
                <w:sz w:val="1"/>
                <w:szCs w:val="1"/>
                <w:color w:val="auto"/>
              </w:rPr>
            </w:pPr>
          </w:p>
        </w:tc>
        <w:tc>
          <w:tcPr>
            <w:tcW w:w="180" w:type="dxa"/>
            <w:vAlign w:val="bottom"/>
            <w:shd w:val="clear" w:color="auto" w:fill="D0EBF2"/>
          </w:tcPr>
          <w:p>
            <w:pPr>
              <w:spacing w:after="0" w:line="20" w:lineRule="exact"/>
              <w:rPr>
                <w:sz w:val="1"/>
                <w:szCs w:val="1"/>
                <w:color w:val="auto"/>
              </w:rPr>
            </w:pPr>
          </w:p>
        </w:tc>
        <w:tc>
          <w:tcPr>
            <w:tcW w:w="100" w:type="dxa"/>
            <w:vAlign w:val="bottom"/>
            <w:shd w:val="clear" w:color="auto" w:fill="231F20"/>
          </w:tcPr>
          <w:p>
            <w:pPr>
              <w:spacing w:after="0" w:line="20" w:lineRule="exact"/>
              <w:rPr>
                <w:sz w:val="1"/>
                <w:szCs w:val="1"/>
                <w:color w:val="auto"/>
              </w:rPr>
            </w:pPr>
          </w:p>
        </w:tc>
        <w:tc>
          <w:tcPr>
            <w:tcW w:w="860" w:type="dxa"/>
            <w:vAlign w:val="bottom"/>
            <w:shd w:val="clear" w:color="auto" w:fill="231F20"/>
          </w:tcPr>
          <w:p>
            <w:pPr>
              <w:spacing w:after="0" w:line="20" w:lineRule="exact"/>
              <w:rPr>
                <w:sz w:val="1"/>
                <w:szCs w:val="1"/>
                <w:color w:val="auto"/>
              </w:rPr>
            </w:pPr>
          </w:p>
        </w:tc>
        <w:tc>
          <w:tcPr>
            <w:tcW w:w="200" w:type="dxa"/>
            <w:vAlign w:val="bottom"/>
            <w:shd w:val="clear" w:color="auto" w:fill="D0EBF2"/>
          </w:tcPr>
          <w:p>
            <w:pPr>
              <w:spacing w:after="0" w:line="20" w:lineRule="exact"/>
              <w:rPr>
                <w:sz w:val="1"/>
                <w:szCs w:val="1"/>
                <w:color w:val="auto"/>
              </w:rPr>
            </w:pPr>
          </w:p>
        </w:tc>
        <w:tc>
          <w:tcPr>
            <w:tcW w:w="900" w:type="dxa"/>
            <w:vAlign w:val="bottom"/>
            <w:shd w:val="clear" w:color="auto" w:fill="231F2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6"/>
        </w:trPr>
        <w:tc>
          <w:tcPr>
            <w:tcW w:w="1460" w:type="dxa"/>
            <w:vAlign w:val="bottom"/>
            <w:vMerge w:val="continue"/>
            <w:shd w:val="clear" w:color="auto" w:fill="D0EBF2"/>
          </w:tcPr>
          <w:p>
            <w:pPr>
              <w:spacing w:after="0"/>
              <w:rPr>
                <w:sz w:val="12"/>
                <w:szCs w:val="12"/>
                <w:color w:val="auto"/>
              </w:rPr>
            </w:pPr>
          </w:p>
        </w:tc>
        <w:tc>
          <w:tcPr>
            <w:tcW w:w="2420" w:type="dxa"/>
            <w:vAlign w:val="bottom"/>
            <w:shd w:val="clear" w:color="auto" w:fill="D0EBF2"/>
          </w:tcPr>
          <w:p>
            <w:pPr>
              <w:spacing w:after="0"/>
              <w:rPr>
                <w:sz w:val="12"/>
                <w:szCs w:val="12"/>
                <w:color w:val="auto"/>
              </w:rPr>
            </w:pPr>
          </w:p>
        </w:tc>
        <w:tc>
          <w:tcPr>
            <w:tcW w:w="820" w:type="dxa"/>
            <w:vAlign w:val="bottom"/>
            <w:shd w:val="clear" w:color="auto" w:fill="D0EBF2"/>
          </w:tcPr>
          <w:p>
            <w:pPr>
              <w:spacing w:after="0"/>
              <w:rPr>
                <w:sz w:val="12"/>
                <w:szCs w:val="12"/>
                <w:color w:val="auto"/>
              </w:rPr>
            </w:pPr>
          </w:p>
        </w:tc>
        <w:tc>
          <w:tcPr>
            <w:tcW w:w="1040" w:type="dxa"/>
            <w:vAlign w:val="bottom"/>
            <w:shd w:val="clear" w:color="auto" w:fill="D0EBF2"/>
          </w:tcPr>
          <w:p>
            <w:pPr>
              <w:spacing w:after="0"/>
              <w:rPr>
                <w:sz w:val="12"/>
                <w:szCs w:val="12"/>
                <w:color w:val="auto"/>
              </w:rPr>
            </w:pPr>
          </w:p>
        </w:tc>
        <w:tc>
          <w:tcPr>
            <w:tcW w:w="1060" w:type="dxa"/>
            <w:vAlign w:val="bottom"/>
            <w:shd w:val="clear" w:color="auto" w:fill="D0EBF2"/>
          </w:tcPr>
          <w:p>
            <w:pPr>
              <w:spacing w:after="0"/>
              <w:rPr>
                <w:sz w:val="12"/>
                <w:szCs w:val="12"/>
                <w:color w:val="auto"/>
              </w:rPr>
            </w:pPr>
          </w:p>
        </w:tc>
        <w:tc>
          <w:tcPr>
            <w:tcW w:w="100" w:type="dxa"/>
            <w:vAlign w:val="bottom"/>
            <w:shd w:val="clear" w:color="auto" w:fill="D0EBF2"/>
          </w:tcPr>
          <w:p>
            <w:pPr>
              <w:spacing w:after="0"/>
              <w:rPr>
                <w:sz w:val="12"/>
                <w:szCs w:val="12"/>
                <w:color w:val="auto"/>
              </w:rPr>
            </w:pPr>
          </w:p>
        </w:tc>
        <w:tc>
          <w:tcPr>
            <w:tcW w:w="900" w:type="dxa"/>
            <w:vAlign w:val="bottom"/>
            <w:shd w:val="clear" w:color="auto" w:fill="D0EBF2"/>
          </w:tcPr>
          <w:p>
            <w:pPr>
              <w:jc w:val="right"/>
              <w:spacing w:after="0" w:line="146" w:lineRule="exact"/>
              <w:rPr>
                <w:sz w:val="20"/>
                <w:szCs w:val="20"/>
                <w:color w:val="auto"/>
              </w:rPr>
            </w:pPr>
            <w:r>
              <w:rPr>
                <w:rFonts w:ascii="Times New Roman" w:cs="Times New Roman" w:eastAsia="Times New Roman" w:hAnsi="Times New Roman"/>
                <w:sz w:val="15"/>
                <w:szCs w:val="15"/>
                <w:color w:val="231F20"/>
              </w:rPr>
              <w:t>3,045,524</w:t>
            </w:r>
          </w:p>
        </w:tc>
        <w:tc>
          <w:tcPr>
            <w:tcW w:w="180" w:type="dxa"/>
            <w:vAlign w:val="bottom"/>
            <w:shd w:val="clear" w:color="auto" w:fill="D0EBF2"/>
          </w:tcPr>
          <w:p>
            <w:pPr>
              <w:spacing w:after="0"/>
              <w:rPr>
                <w:sz w:val="12"/>
                <w:szCs w:val="12"/>
                <w:color w:val="auto"/>
              </w:rPr>
            </w:pPr>
          </w:p>
        </w:tc>
        <w:tc>
          <w:tcPr>
            <w:tcW w:w="100" w:type="dxa"/>
            <w:vAlign w:val="bottom"/>
            <w:shd w:val="clear" w:color="auto" w:fill="D0EBF2"/>
          </w:tcPr>
          <w:p>
            <w:pPr>
              <w:spacing w:after="0"/>
              <w:rPr>
                <w:sz w:val="12"/>
                <w:szCs w:val="12"/>
                <w:color w:val="auto"/>
              </w:rPr>
            </w:pPr>
          </w:p>
        </w:tc>
        <w:tc>
          <w:tcPr>
            <w:tcW w:w="860" w:type="dxa"/>
            <w:vAlign w:val="bottom"/>
            <w:shd w:val="clear" w:color="auto" w:fill="D0EBF2"/>
          </w:tcPr>
          <w:p>
            <w:pPr>
              <w:jc w:val="right"/>
              <w:spacing w:after="0" w:line="146" w:lineRule="exact"/>
              <w:rPr>
                <w:sz w:val="20"/>
                <w:szCs w:val="20"/>
                <w:color w:val="auto"/>
              </w:rPr>
            </w:pPr>
            <w:r>
              <w:rPr>
                <w:rFonts w:ascii="Times New Roman" w:cs="Times New Roman" w:eastAsia="Times New Roman" w:hAnsi="Times New Roman"/>
                <w:sz w:val="15"/>
                <w:szCs w:val="15"/>
                <w:color w:val="231F20"/>
              </w:rPr>
              <w:t>3,071,623</w:t>
            </w:r>
          </w:p>
        </w:tc>
        <w:tc>
          <w:tcPr>
            <w:tcW w:w="200" w:type="dxa"/>
            <w:vAlign w:val="bottom"/>
            <w:shd w:val="clear" w:color="auto" w:fill="D0EBF2"/>
          </w:tcPr>
          <w:p>
            <w:pPr>
              <w:spacing w:after="0"/>
              <w:rPr>
                <w:sz w:val="12"/>
                <w:szCs w:val="12"/>
                <w:color w:val="auto"/>
              </w:rPr>
            </w:pPr>
          </w:p>
        </w:tc>
        <w:tc>
          <w:tcPr>
            <w:tcW w:w="1140" w:type="dxa"/>
            <w:vAlign w:val="bottom"/>
            <w:gridSpan w:val="2"/>
          </w:tcPr>
          <w:p>
            <w:pPr>
              <w:jc w:val="right"/>
              <w:ind w:right="120"/>
              <w:spacing w:after="0" w:line="146" w:lineRule="exact"/>
              <w:rPr>
                <w:sz w:val="20"/>
                <w:szCs w:val="20"/>
                <w:color w:val="auto"/>
              </w:rPr>
            </w:pPr>
            <w:r>
              <w:rPr>
                <w:rFonts w:ascii="Times New Roman" w:cs="Times New Roman" w:eastAsia="Times New Roman" w:hAnsi="Times New Roman"/>
                <w:sz w:val="15"/>
                <w:szCs w:val="15"/>
                <w:color w:val="231F20"/>
              </w:rPr>
              <w:t>205.3%</w:t>
            </w:r>
          </w:p>
        </w:tc>
        <w:tc>
          <w:tcPr>
            <w:tcW w:w="0" w:type="dxa"/>
            <w:vAlign w:val="bottom"/>
          </w:tcPr>
          <w:p>
            <w:pPr>
              <w:spacing w:after="0"/>
              <w:rPr>
                <w:sz w:val="1"/>
                <w:szCs w:val="1"/>
                <w:color w:val="auto"/>
              </w:rPr>
            </w:pPr>
          </w:p>
        </w:tc>
      </w:tr>
      <w:tr>
        <w:trPr>
          <w:trHeight w:val="191"/>
        </w:trPr>
        <w:tc>
          <w:tcPr>
            <w:tcW w:w="1460" w:type="dxa"/>
            <w:vAlign w:val="bottom"/>
            <w:tcBorders>
              <w:bottom w:val="single" w:sz="8" w:color="FDFDFC"/>
            </w:tcBorders>
            <w:shd w:val="clear" w:color="auto" w:fill="D0EBF2"/>
          </w:tcPr>
          <w:p>
            <w:pPr>
              <w:spacing w:after="0"/>
              <w:rPr>
                <w:sz w:val="20"/>
                <w:szCs w:val="20"/>
                <w:color w:val="auto"/>
              </w:rPr>
            </w:pPr>
            <w:r>
              <w:rPr>
                <w:rFonts w:ascii="Times New Roman" w:cs="Times New Roman" w:eastAsia="Times New Roman" w:hAnsi="Times New Roman"/>
                <w:sz w:val="15"/>
                <w:szCs w:val="15"/>
                <w:b w:val="1"/>
                <w:bCs w:val="1"/>
                <w:color w:val="231F20"/>
              </w:rPr>
              <w:t>Investments</w:t>
            </w:r>
          </w:p>
        </w:tc>
        <w:tc>
          <w:tcPr>
            <w:tcW w:w="2420" w:type="dxa"/>
            <w:vAlign w:val="bottom"/>
            <w:tcBorders>
              <w:bottom w:val="single" w:sz="8" w:color="FDFDFC"/>
            </w:tcBorders>
            <w:shd w:val="clear" w:color="auto" w:fill="D0EBF2"/>
          </w:tcPr>
          <w:p>
            <w:pPr>
              <w:spacing w:after="0"/>
              <w:rPr>
                <w:sz w:val="16"/>
                <w:szCs w:val="16"/>
                <w:color w:val="auto"/>
              </w:rPr>
            </w:pPr>
          </w:p>
        </w:tc>
        <w:tc>
          <w:tcPr>
            <w:tcW w:w="820" w:type="dxa"/>
            <w:vAlign w:val="bottom"/>
            <w:tcBorders>
              <w:bottom w:val="single" w:sz="8" w:color="FDFDFC"/>
            </w:tcBorders>
            <w:shd w:val="clear" w:color="auto" w:fill="D0EBF2"/>
          </w:tcPr>
          <w:p>
            <w:pPr>
              <w:spacing w:after="0"/>
              <w:rPr>
                <w:sz w:val="16"/>
                <w:szCs w:val="16"/>
                <w:color w:val="auto"/>
              </w:rPr>
            </w:pPr>
          </w:p>
        </w:tc>
        <w:tc>
          <w:tcPr>
            <w:tcW w:w="1040" w:type="dxa"/>
            <w:vAlign w:val="bottom"/>
            <w:tcBorders>
              <w:bottom w:val="single" w:sz="8" w:color="FDFDFC"/>
            </w:tcBorders>
            <w:shd w:val="clear" w:color="auto" w:fill="D0EBF2"/>
          </w:tcPr>
          <w:p>
            <w:pPr>
              <w:spacing w:after="0"/>
              <w:rPr>
                <w:sz w:val="16"/>
                <w:szCs w:val="16"/>
                <w:color w:val="auto"/>
              </w:rPr>
            </w:pPr>
          </w:p>
        </w:tc>
        <w:tc>
          <w:tcPr>
            <w:tcW w:w="1060" w:type="dxa"/>
            <w:vAlign w:val="bottom"/>
            <w:tcBorders>
              <w:bottom w:val="single" w:sz="8" w:color="FDFDFC"/>
            </w:tcBorders>
            <w:shd w:val="clear" w:color="auto" w:fill="D0EBF2"/>
          </w:tcPr>
          <w:p>
            <w:pPr>
              <w:spacing w:after="0"/>
              <w:rPr>
                <w:sz w:val="16"/>
                <w:szCs w:val="16"/>
                <w:color w:val="auto"/>
              </w:rPr>
            </w:pPr>
          </w:p>
        </w:tc>
        <w:tc>
          <w:tcPr>
            <w:tcW w:w="100" w:type="dxa"/>
            <w:vAlign w:val="bottom"/>
            <w:tcBorders>
              <w:bottom w:val="single" w:sz="8" w:color="231F20"/>
            </w:tcBorders>
            <w:shd w:val="clear" w:color="auto" w:fill="D0EBF2"/>
          </w:tcPr>
          <w:p>
            <w:pPr>
              <w:spacing w:after="0"/>
              <w:rPr>
                <w:sz w:val="16"/>
                <w:szCs w:val="16"/>
                <w:color w:val="auto"/>
              </w:rPr>
            </w:pPr>
          </w:p>
        </w:tc>
        <w:tc>
          <w:tcPr>
            <w:tcW w:w="900" w:type="dxa"/>
            <w:vAlign w:val="bottom"/>
            <w:tcBorders>
              <w:bottom w:val="single" w:sz="8" w:color="231F20"/>
            </w:tcBorders>
            <w:shd w:val="clear" w:color="auto" w:fill="D0EBF2"/>
          </w:tcPr>
          <w:p>
            <w:pPr>
              <w:spacing w:after="0"/>
              <w:rPr>
                <w:sz w:val="16"/>
                <w:szCs w:val="16"/>
                <w:color w:val="auto"/>
              </w:rPr>
            </w:pPr>
          </w:p>
        </w:tc>
        <w:tc>
          <w:tcPr>
            <w:tcW w:w="180" w:type="dxa"/>
            <w:vAlign w:val="bottom"/>
            <w:tcBorders>
              <w:bottom w:val="single" w:sz="8" w:color="FDFDFC"/>
            </w:tcBorders>
            <w:shd w:val="clear" w:color="auto" w:fill="D0EBF2"/>
          </w:tcPr>
          <w:p>
            <w:pPr>
              <w:spacing w:after="0"/>
              <w:rPr>
                <w:sz w:val="16"/>
                <w:szCs w:val="16"/>
                <w:color w:val="auto"/>
              </w:rPr>
            </w:pPr>
          </w:p>
        </w:tc>
        <w:tc>
          <w:tcPr>
            <w:tcW w:w="100" w:type="dxa"/>
            <w:vAlign w:val="bottom"/>
            <w:tcBorders>
              <w:bottom w:val="single" w:sz="8" w:color="231F20"/>
            </w:tcBorders>
            <w:shd w:val="clear" w:color="auto" w:fill="D0EBF2"/>
          </w:tcPr>
          <w:p>
            <w:pPr>
              <w:spacing w:after="0"/>
              <w:rPr>
                <w:sz w:val="16"/>
                <w:szCs w:val="16"/>
                <w:color w:val="auto"/>
              </w:rPr>
            </w:pPr>
          </w:p>
        </w:tc>
        <w:tc>
          <w:tcPr>
            <w:tcW w:w="860" w:type="dxa"/>
            <w:vAlign w:val="bottom"/>
            <w:tcBorders>
              <w:bottom w:val="single" w:sz="8" w:color="231F20"/>
            </w:tcBorders>
            <w:shd w:val="clear" w:color="auto" w:fill="D0EBF2"/>
          </w:tcPr>
          <w:p>
            <w:pPr>
              <w:spacing w:after="0"/>
              <w:rPr>
                <w:sz w:val="16"/>
                <w:szCs w:val="16"/>
                <w:color w:val="auto"/>
              </w:rPr>
            </w:pPr>
          </w:p>
        </w:tc>
        <w:tc>
          <w:tcPr>
            <w:tcW w:w="200" w:type="dxa"/>
            <w:vAlign w:val="bottom"/>
            <w:tcBorders>
              <w:bottom w:val="single" w:sz="8" w:color="FDFDFC"/>
            </w:tcBorders>
            <w:shd w:val="clear" w:color="auto" w:fill="D0EBF2"/>
          </w:tcPr>
          <w:p>
            <w:pPr>
              <w:spacing w:after="0"/>
              <w:rPr>
                <w:sz w:val="16"/>
                <w:szCs w:val="16"/>
                <w:color w:val="auto"/>
              </w:rPr>
            </w:pPr>
          </w:p>
        </w:tc>
        <w:tc>
          <w:tcPr>
            <w:tcW w:w="900" w:type="dxa"/>
            <w:vAlign w:val="bottom"/>
            <w:tcBorders>
              <w:bottom w:val="single" w:sz="8" w:color="231F20"/>
            </w:tcBorders>
          </w:tcPr>
          <w:p>
            <w:pPr>
              <w:spacing w:after="0"/>
              <w:rPr>
                <w:sz w:val="16"/>
                <w:szCs w:val="16"/>
                <w:color w:val="auto"/>
              </w:rPr>
            </w:pPr>
          </w:p>
        </w:tc>
        <w:tc>
          <w:tcPr>
            <w:tcW w:w="240" w:type="dxa"/>
            <w:vAlign w:val="bottom"/>
            <w:tcBorders>
              <w:bottom w:val="single" w:sz="8" w:color="FDFDFC"/>
            </w:tcBorders>
          </w:tcPr>
          <w:p>
            <w:pPr>
              <w:spacing w:after="0"/>
              <w:rPr>
                <w:sz w:val="16"/>
                <w:szCs w:val="16"/>
                <w:color w:val="auto"/>
              </w:rPr>
            </w:pPr>
          </w:p>
        </w:tc>
        <w:tc>
          <w:tcPr>
            <w:tcW w:w="0" w:type="dxa"/>
            <w:vAlign w:val="bottom"/>
          </w:tcPr>
          <w:p>
            <w:pPr>
              <w:spacing w:after="0"/>
              <w:rPr>
                <w:sz w:val="1"/>
                <w:szCs w:val="1"/>
                <w:color w:val="auto"/>
              </w:rPr>
            </w:pPr>
          </w:p>
        </w:tc>
      </w:tr>
      <w:tr>
        <w:trPr>
          <w:trHeight w:val="163"/>
        </w:trPr>
        <w:tc>
          <w:tcPr>
            <w:tcW w:w="1460" w:type="dxa"/>
            <w:vAlign w:val="bottom"/>
            <w:shd w:val="clear" w:color="auto" w:fill="FDFDFC"/>
          </w:tcPr>
          <w:p>
            <w:pPr>
              <w:spacing w:after="0"/>
              <w:rPr>
                <w:sz w:val="14"/>
                <w:szCs w:val="14"/>
                <w:color w:val="auto"/>
              </w:rPr>
            </w:pPr>
          </w:p>
        </w:tc>
        <w:tc>
          <w:tcPr>
            <w:tcW w:w="2420" w:type="dxa"/>
            <w:vAlign w:val="bottom"/>
            <w:shd w:val="clear" w:color="auto" w:fill="FDFDFC"/>
          </w:tcPr>
          <w:p>
            <w:pPr>
              <w:spacing w:after="0"/>
              <w:rPr>
                <w:sz w:val="14"/>
                <w:szCs w:val="14"/>
                <w:color w:val="auto"/>
              </w:rPr>
            </w:pPr>
          </w:p>
        </w:tc>
        <w:tc>
          <w:tcPr>
            <w:tcW w:w="820" w:type="dxa"/>
            <w:vAlign w:val="bottom"/>
            <w:shd w:val="clear" w:color="auto" w:fill="FDFDFC"/>
          </w:tcPr>
          <w:p>
            <w:pPr>
              <w:spacing w:after="0"/>
              <w:rPr>
                <w:sz w:val="14"/>
                <w:szCs w:val="14"/>
                <w:color w:val="auto"/>
              </w:rPr>
            </w:pPr>
          </w:p>
        </w:tc>
        <w:tc>
          <w:tcPr>
            <w:tcW w:w="1040" w:type="dxa"/>
            <w:vAlign w:val="bottom"/>
            <w:shd w:val="clear" w:color="auto" w:fill="FDFDFC"/>
          </w:tcPr>
          <w:p>
            <w:pPr>
              <w:spacing w:after="0"/>
              <w:rPr>
                <w:sz w:val="14"/>
                <w:szCs w:val="14"/>
                <w:color w:val="auto"/>
              </w:rPr>
            </w:pPr>
          </w:p>
        </w:tc>
        <w:tc>
          <w:tcPr>
            <w:tcW w:w="1060" w:type="dxa"/>
            <w:vAlign w:val="bottom"/>
            <w:shd w:val="clear" w:color="auto" w:fill="FDFDFC"/>
          </w:tcPr>
          <w:p>
            <w:pPr>
              <w:spacing w:after="0"/>
              <w:rPr>
                <w:sz w:val="14"/>
                <w:szCs w:val="14"/>
                <w:color w:val="auto"/>
              </w:rPr>
            </w:pPr>
          </w:p>
        </w:tc>
        <w:tc>
          <w:tcPr>
            <w:tcW w:w="100" w:type="dxa"/>
            <w:vAlign w:val="bottom"/>
            <w:shd w:val="clear" w:color="auto" w:fill="FDFDFC"/>
          </w:tcPr>
          <w:p>
            <w:pPr>
              <w:spacing w:after="0"/>
              <w:rPr>
                <w:sz w:val="14"/>
                <w:szCs w:val="14"/>
                <w:color w:val="auto"/>
              </w:rPr>
            </w:pPr>
          </w:p>
        </w:tc>
        <w:tc>
          <w:tcPr>
            <w:tcW w:w="900" w:type="dxa"/>
            <w:vAlign w:val="bottom"/>
            <w:shd w:val="clear" w:color="auto" w:fill="FDFDFC"/>
          </w:tcPr>
          <w:p>
            <w:pPr>
              <w:spacing w:after="0"/>
              <w:rPr>
                <w:sz w:val="14"/>
                <w:szCs w:val="14"/>
                <w:color w:val="auto"/>
              </w:rPr>
            </w:pPr>
          </w:p>
        </w:tc>
        <w:tc>
          <w:tcPr>
            <w:tcW w:w="180" w:type="dxa"/>
            <w:vAlign w:val="bottom"/>
            <w:shd w:val="clear" w:color="auto" w:fill="FDFDFC"/>
          </w:tcPr>
          <w:p>
            <w:pPr>
              <w:spacing w:after="0"/>
              <w:rPr>
                <w:sz w:val="14"/>
                <w:szCs w:val="14"/>
                <w:color w:val="auto"/>
              </w:rPr>
            </w:pPr>
          </w:p>
        </w:tc>
        <w:tc>
          <w:tcPr>
            <w:tcW w:w="100" w:type="dxa"/>
            <w:vAlign w:val="bottom"/>
            <w:shd w:val="clear" w:color="auto" w:fill="FDFDFC"/>
          </w:tcPr>
          <w:p>
            <w:pPr>
              <w:spacing w:after="0"/>
              <w:rPr>
                <w:sz w:val="14"/>
                <w:szCs w:val="14"/>
                <w:color w:val="auto"/>
              </w:rPr>
            </w:pPr>
          </w:p>
        </w:tc>
        <w:tc>
          <w:tcPr>
            <w:tcW w:w="860" w:type="dxa"/>
            <w:vAlign w:val="bottom"/>
            <w:shd w:val="clear" w:color="auto" w:fill="FDFDFC"/>
          </w:tcPr>
          <w:p>
            <w:pPr>
              <w:spacing w:after="0"/>
              <w:rPr>
                <w:sz w:val="14"/>
                <w:szCs w:val="14"/>
                <w:color w:val="auto"/>
              </w:rPr>
            </w:pPr>
          </w:p>
        </w:tc>
        <w:tc>
          <w:tcPr>
            <w:tcW w:w="200" w:type="dxa"/>
            <w:vAlign w:val="bottom"/>
            <w:shd w:val="clear" w:color="auto" w:fill="FDFDFC"/>
          </w:tcPr>
          <w:p>
            <w:pPr>
              <w:spacing w:after="0"/>
              <w:rPr>
                <w:sz w:val="14"/>
                <w:szCs w:val="14"/>
                <w:color w:val="auto"/>
              </w:rPr>
            </w:pPr>
          </w:p>
        </w:tc>
        <w:tc>
          <w:tcPr>
            <w:tcW w:w="900" w:type="dxa"/>
            <w:vAlign w:val="bottom"/>
            <w:shd w:val="clear" w:color="auto" w:fill="FDFDFC"/>
          </w:tcPr>
          <w:p>
            <w:pPr>
              <w:spacing w:after="0"/>
              <w:rPr>
                <w:sz w:val="14"/>
                <w:szCs w:val="14"/>
                <w:color w:val="auto"/>
              </w:rPr>
            </w:pPr>
          </w:p>
        </w:tc>
        <w:tc>
          <w:tcPr>
            <w:tcW w:w="240" w:type="dxa"/>
            <w:vAlign w:val="bottom"/>
            <w:shd w:val="clear" w:color="auto" w:fill="FDFDFC"/>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1460" w:type="dxa"/>
            <w:vAlign w:val="bottom"/>
            <w:shd w:val="clear" w:color="auto" w:fill="D0EBF2"/>
          </w:tcPr>
          <w:p>
            <w:pPr>
              <w:spacing w:after="0" w:line="156" w:lineRule="exact"/>
              <w:rPr>
                <w:sz w:val="20"/>
                <w:szCs w:val="20"/>
                <w:color w:val="auto"/>
              </w:rPr>
            </w:pPr>
            <w:r>
              <w:rPr>
                <w:rFonts w:ascii="Times New Roman" w:cs="Times New Roman" w:eastAsia="Times New Roman" w:hAnsi="Times New Roman"/>
                <w:sz w:val="15"/>
                <w:szCs w:val="15"/>
                <w:b w:val="1"/>
                <w:bCs w:val="1"/>
                <w:color w:val="231F20"/>
              </w:rPr>
              <w:t>Equity and Other</w:t>
            </w:r>
          </w:p>
        </w:tc>
        <w:tc>
          <w:tcPr>
            <w:tcW w:w="2420" w:type="dxa"/>
            <w:vAlign w:val="bottom"/>
            <w:shd w:val="clear" w:color="auto" w:fill="D0EBF2"/>
          </w:tcPr>
          <w:p>
            <w:pPr>
              <w:spacing w:after="0"/>
              <w:rPr>
                <w:sz w:val="13"/>
                <w:szCs w:val="13"/>
                <w:color w:val="auto"/>
              </w:rPr>
            </w:pPr>
          </w:p>
        </w:tc>
        <w:tc>
          <w:tcPr>
            <w:tcW w:w="820" w:type="dxa"/>
            <w:vAlign w:val="bottom"/>
            <w:shd w:val="clear" w:color="auto" w:fill="D0EBF2"/>
          </w:tcPr>
          <w:p>
            <w:pPr>
              <w:spacing w:after="0"/>
              <w:rPr>
                <w:sz w:val="13"/>
                <w:szCs w:val="13"/>
                <w:color w:val="auto"/>
              </w:rPr>
            </w:pPr>
          </w:p>
        </w:tc>
        <w:tc>
          <w:tcPr>
            <w:tcW w:w="1040" w:type="dxa"/>
            <w:vAlign w:val="bottom"/>
            <w:shd w:val="clear" w:color="auto" w:fill="D0EBF2"/>
          </w:tcPr>
          <w:p>
            <w:pPr>
              <w:spacing w:after="0"/>
              <w:rPr>
                <w:sz w:val="13"/>
                <w:szCs w:val="13"/>
                <w:color w:val="auto"/>
              </w:rPr>
            </w:pPr>
          </w:p>
        </w:tc>
        <w:tc>
          <w:tcPr>
            <w:tcW w:w="1060" w:type="dxa"/>
            <w:vAlign w:val="bottom"/>
            <w:shd w:val="clear" w:color="auto" w:fill="D0EBF2"/>
          </w:tcPr>
          <w:p>
            <w:pPr>
              <w:spacing w:after="0"/>
              <w:rPr>
                <w:sz w:val="13"/>
                <w:szCs w:val="13"/>
                <w:color w:val="auto"/>
              </w:rPr>
            </w:pPr>
          </w:p>
        </w:tc>
        <w:tc>
          <w:tcPr>
            <w:tcW w:w="100" w:type="dxa"/>
            <w:vAlign w:val="bottom"/>
            <w:shd w:val="clear" w:color="auto" w:fill="D0EBF2"/>
          </w:tcPr>
          <w:p>
            <w:pPr>
              <w:spacing w:after="0"/>
              <w:rPr>
                <w:sz w:val="13"/>
                <w:szCs w:val="13"/>
                <w:color w:val="auto"/>
              </w:rPr>
            </w:pPr>
          </w:p>
        </w:tc>
        <w:tc>
          <w:tcPr>
            <w:tcW w:w="900" w:type="dxa"/>
            <w:vAlign w:val="bottom"/>
            <w:shd w:val="clear" w:color="auto" w:fill="D0EBF2"/>
          </w:tcPr>
          <w:p>
            <w:pPr>
              <w:spacing w:after="0"/>
              <w:rPr>
                <w:sz w:val="13"/>
                <w:szCs w:val="13"/>
                <w:color w:val="auto"/>
              </w:rPr>
            </w:pPr>
          </w:p>
        </w:tc>
        <w:tc>
          <w:tcPr>
            <w:tcW w:w="180" w:type="dxa"/>
            <w:vAlign w:val="bottom"/>
            <w:shd w:val="clear" w:color="auto" w:fill="D0EBF2"/>
          </w:tcPr>
          <w:p>
            <w:pPr>
              <w:spacing w:after="0"/>
              <w:rPr>
                <w:sz w:val="13"/>
                <w:szCs w:val="13"/>
                <w:color w:val="auto"/>
              </w:rPr>
            </w:pPr>
          </w:p>
        </w:tc>
        <w:tc>
          <w:tcPr>
            <w:tcW w:w="100" w:type="dxa"/>
            <w:vAlign w:val="bottom"/>
            <w:shd w:val="clear" w:color="auto" w:fill="D0EBF2"/>
          </w:tcPr>
          <w:p>
            <w:pPr>
              <w:spacing w:after="0"/>
              <w:rPr>
                <w:sz w:val="13"/>
                <w:szCs w:val="13"/>
                <w:color w:val="auto"/>
              </w:rPr>
            </w:pPr>
          </w:p>
        </w:tc>
        <w:tc>
          <w:tcPr>
            <w:tcW w:w="860" w:type="dxa"/>
            <w:vAlign w:val="bottom"/>
            <w:shd w:val="clear" w:color="auto" w:fill="D0EBF2"/>
          </w:tcPr>
          <w:p>
            <w:pPr>
              <w:spacing w:after="0"/>
              <w:rPr>
                <w:sz w:val="13"/>
                <w:szCs w:val="13"/>
                <w:color w:val="auto"/>
              </w:rPr>
            </w:pPr>
          </w:p>
        </w:tc>
        <w:tc>
          <w:tcPr>
            <w:tcW w:w="200" w:type="dxa"/>
            <w:vAlign w:val="bottom"/>
            <w:shd w:val="clear" w:color="auto" w:fill="D0EBF2"/>
          </w:tcPr>
          <w:p>
            <w:pPr>
              <w:spacing w:after="0"/>
              <w:rPr>
                <w:sz w:val="13"/>
                <w:szCs w:val="13"/>
                <w:color w:val="auto"/>
              </w:rPr>
            </w:pPr>
          </w:p>
        </w:tc>
        <w:tc>
          <w:tcPr>
            <w:tcW w:w="900" w:type="dxa"/>
            <w:vAlign w:val="bottom"/>
            <w:shd w:val="clear" w:color="auto" w:fill="D0EBF2"/>
          </w:tcPr>
          <w:p>
            <w:pPr>
              <w:spacing w:after="0"/>
              <w:rPr>
                <w:sz w:val="13"/>
                <w:szCs w:val="13"/>
                <w:color w:val="auto"/>
              </w:rPr>
            </w:pPr>
          </w:p>
        </w:tc>
        <w:tc>
          <w:tcPr>
            <w:tcW w:w="240" w:type="dxa"/>
            <w:vAlign w:val="bottom"/>
            <w:shd w:val="clear" w:color="auto" w:fill="D0EBF2"/>
          </w:tcPr>
          <w:p>
            <w:pPr>
              <w:spacing w:after="0"/>
              <w:rPr>
                <w:sz w:val="13"/>
                <w:szCs w:val="13"/>
                <w:color w:val="auto"/>
              </w:rPr>
            </w:pPr>
          </w:p>
        </w:tc>
        <w:tc>
          <w:tcPr>
            <w:tcW w:w="0" w:type="dxa"/>
            <w:vAlign w:val="bottom"/>
          </w:tcPr>
          <w:p>
            <w:pPr>
              <w:spacing w:after="0"/>
              <w:rPr>
                <w:sz w:val="1"/>
                <w:szCs w:val="1"/>
                <w:color w:val="auto"/>
              </w:rPr>
            </w:pPr>
          </w:p>
        </w:tc>
      </w:tr>
      <w:tr>
        <w:trPr>
          <w:trHeight w:val="191"/>
        </w:trPr>
        <w:tc>
          <w:tcPr>
            <w:tcW w:w="1460" w:type="dxa"/>
            <w:vAlign w:val="bottom"/>
            <w:shd w:val="clear" w:color="auto" w:fill="D0EBF2"/>
          </w:tcPr>
          <w:p>
            <w:pPr>
              <w:spacing w:after="0"/>
              <w:rPr>
                <w:sz w:val="20"/>
                <w:szCs w:val="20"/>
                <w:color w:val="auto"/>
              </w:rPr>
            </w:pPr>
            <w:r>
              <w:rPr>
                <w:rFonts w:ascii="Times New Roman" w:cs="Times New Roman" w:eastAsia="Times New Roman" w:hAnsi="Times New Roman"/>
                <w:sz w:val="15"/>
                <w:szCs w:val="15"/>
                <w:b w:val="1"/>
                <w:bCs w:val="1"/>
                <w:color w:val="231F20"/>
              </w:rPr>
              <w:t>Investments</w:t>
            </w:r>
          </w:p>
        </w:tc>
        <w:tc>
          <w:tcPr>
            <w:tcW w:w="2420" w:type="dxa"/>
            <w:vAlign w:val="bottom"/>
            <w:shd w:val="clear" w:color="auto" w:fill="D0EBF2"/>
          </w:tcPr>
          <w:p>
            <w:pPr>
              <w:spacing w:after="0"/>
              <w:rPr>
                <w:sz w:val="16"/>
                <w:szCs w:val="16"/>
                <w:color w:val="auto"/>
              </w:rPr>
            </w:pPr>
          </w:p>
        </w:tc>
        <w:tc>
          <w:tcPr>
            <w:tcW w:w="820" w:type="dxa"/>
            <w:vAlign w:val="bottom"/>
            <w:shd w:val="clear" w:color="auto" w:fill="D0EBF2"/>
          </w:tcPr>
          <w:p>
            <w:pPr>
              <w:spacing w:after="0"/>
              <w:rPr>
                <w:sz w:val="16"/>
                <w:szCs w:val="16"/>
                <w:color w:val="auto"/>
              </w:rPr>
            </w:pPr>
          </w:p>
        </w:tc>
        <w:tc>
          <w:tcPr>
            <w:tcW w:w="1040" w:type="dxa"/>
            <w:vAlign w:val="bottom"/>
            <w:shd w:val="clear" w:color="auto" w:fill="D0EBF2"/>
          </w:tcPr>
          <w:p>
            <w:pPr>
              <w:spacing w:after="0"/>
              <w:rPr>
                <w:sz w:val="16"/>
                <w:szCs w:val="16"/>
                <w:color w:val="auto"/>
              </w:rPr>
            </w:pPr>
          </w:p>
        </w:tc>
        <w:tc>
          <w:tcPr>
            <w:tcW w:w="1060" w:type="dxa"/>
            <w:vAlign w:val="bottom"/>
            <w:shd w:val="clear" w:color="auto" w:fill="D0EBF2"/>
          </w:tcPr>
          <w:p>
            <w:pPr>
              <w:spacing w:after="0"/>
              <w:rPr>
                <w:sz w:val="16"/>
                <w:szCs w:val="16"/>
                <w:color w:val="auto"/>
              </w:rPr>
            </w:pPr>
          </w:p>
        </w:tc>
        <w:tc>
          <w:tcPr>
            <w:tcW w:w="100" w:type="dxa"/>
            <w:vAlign w:val="bottom"/>
            <w:shd w:val="clear" w:color="auto" w:fill="D0EBF2"/>
          </w:tcPr>
          <w:p>
            <w:pPr>
              <w:spacing w:after="0"/>
              <w:rPr>
                <w:sz w:val="16"/>
                <w:szCs w:val="16"/>
                <w:color w:val="auto"/>
              </w:rPr>
            </w:pPr>
          </w:p>
        </w:tc>
        <w:tc>
          <w:tcPr>
            <w:tcW w:w="900" w:type="dxa"/>
            <w:vAlign w:val="bottom"/>
            <w:shd w:val="clear" w:color="auto" w:fill="D0EBF2"/>
          </w:tcPr>
          <w:p>
            <w:pPr>
              <w:spacing w:after="0"/>
              <w:rPr>
                <w:sz w:val="16"/>
                <w:szCs w:val="16"/>
                <w:color w:val="auto"/>
              </w:rPr>
            </w:pPr>
          </w:p>
        </w:tc>
        <w:tc>
          <w:tcPr>
            <w:tcW w:w="180" w:type="dxa"/>
            <w:vAlign w:val="bottom"/>
            <w:shd w:val="clear" w:color="auto" w:fill="D0EBF2"/>
          </w:tcPr>
          <w:p>
            <w:pPr>
              <w:spacing w:after="0"/>
              <w:rPr>
                <w:sz w:val="16"/>
                <w:szCs w:val="16"/>
                <w:color w:val="auto"/>
              </w:rPr>
            </w:pPr>
          </w:p>
        </w:tc>
        <w:tc>
          <w:tcPr>
            <w:tcW w:w="100" w:type="dxa"/>
            <w:vAlign w:val="bottom"/>
            <w:shd w:val="clear" w:color="auto" w:fill="D0EBF2"/>
          </w:tcPr>
          <w:p>
            <w:pPr>
              <w:spacing w:after="0"/>
              <w:rPr>
                <w:sz w:val="16"/>
                <w:szCs w:val="16"/>
                <w:color w:val="auto"/>
              </w:rPr>
            </w:pPr>
          </w:p>
        </w:tc>
        <w:tc>
          <w:tcPr>
            <w:tcW w:w="860" w:type="dxa"/>
            <w:vAlign w:val="bottom"/>
            <w:shd w:val="clear" w:color="auto" w:fill="D0EBF2"/>
          </w:tcPr>
          <w:p>
            <w:pPr>
              <w:spacing w:after="0"/>
              <w:rPr>
                <w:sz w:val="16"/>
                <w:szCs w:val="16"/>
                <w:color w:val="auto"/>
              </w:rPr>
            </w:pPr>
          </w:p>
        </w:tc>
        <w:tc>
          <w:tcPr>
            <w:tcW w:w="200" w:type="dxa"/>
            <w:vAlign w:val="bottom"/>
            <w:shd w:val="clear" w:color="auto" w:fill="D0EBF2"/>
          </w:tcPr>
          <w:p>
            <w:pPr>
              <w:spacing w:after="0"/>
              <w:rPr>
                <w:sz w:val="16"/>
                <w:szCs w:val="16"/>
                <w:color w:val="auto"/>
              </w:rPr>
            </w:pPr>
          </w:p>
        </w:tc>
        <w:tc>
          <w:tcPr>
            <w:tcW w:w="900" w:type="dxa"/>
            <w:vAlign w:val="bottom"/>
            <w:shd w:val="clear" w:color="auto" w:fill="D0EBF2"/>
          </w:tcPr>
          <w:p>
            <w:pPr>
              <w:spacing w:after="0"/>
              <w:rPr>
                <w:sz w:val="16"/>
                <w:szCs w:val="16"/>
                <w:color w:val="auto"/>
              </w:rPr>
            </w:pPr>
          </w:p>
        </w:tc>
        <w:tc>
          <w:tcPr>
            <w:tcW w:w="240" w:type="dxa"/>
            <w:vAlign w:val="bottom"/>
            <w:shd w:val="clear" w:color="auto" w:fill="D0EBF2"/>
          </w:tcPr>
          <w:p>
            <w:pPr>
              <w:spacing w:after="0"/>
              <w:rPr>
                <w:sz w:val="16"/>
                <w:szCs w:val="16"/>
                <w:color w:val="auto"/>
              </w:rPr>
            </w:pPr>
          </w:p>
        </w:tc>
        <w:tc>
          <w:tcPr>
            <w:tcW w:w="0" w:type="dxa"/>
            <w:vAlign w:val="bottom"/>
          </w:tcPr>
          <w:p>
            <w:pPr>
              <w:spacing w:after="0"/>
              <w:rPr>
                <w:sz w:val="1"/>
                <w:szCs w:val="1"/>
                <w:color w:val="auto"/>
              </w:rPr>
            </w:pPr>
          </w:p>
        </w:tc>
      </w:tr>
      <w:tr>
        <w:trPr>
          <w:trHeight w:val="174"/>
        </w:trPr>
        <w:tc>
          <w:tcPr>
            <w:tcW w:w="1460" w:type="dxa"/>
            <w:vAlign w:val="bottom"/>
            <w:shd w:val="clear" w:color="auto" w:fill="FDFDFC"/>
          </w:tcPr>
          <w:p>
            <w:pPr>
              <w:spacing w:after="0"/>
              <w:rPr>
                <w:sz w:val="20"/>
                <w:szCs w:val="20"/>
                <w:color w:val="auto"/>
              </w:rPr>
            </w:pPr>
            <w:r>
              <w:rPr>
                <w:rFonts w:ascii="Times New Roman" w:cs="Times New Roman" w:eastAsia="Times New Roman" w:hAnsi="Times New Roman"/>
                <w:sz w:val="15"/>
                <w:szCs w:val="15"/>
                <w:b w:val="1"/>
                <w:bCs w:val="1"/>
                <w:color w:val="231F20"/>
              </w:rPr>
              <w:t>Business Services</w:t>
            </w:r>
          </w:p>
        </w:tc>
        <w:tc>
          <w:tcPr>
            <w:tcW w:w="2420" w:type="dxa"/>
            <w:vAlign w:val="bottom"/>
            <w:shd w:val="clear" w:color="auto" w:fill="FDFDFC"/>
          </w:tcPr>
          <w:p>
            <w:pPr>
              <w:spacing w:after="0"/>
              <w:rPr>
                <w:sz w:val="15"/>
                <w:szCs w:val="15"/>
                <w:color w:val="auto"/>
              </w:rPr>
            </w:pPr>
          </w:p>
        </w:tc>
        <w:tc>
          <w:tcPr>
            <w:tcW w:w="820" w:type="dxa"/>
            <w:vAlign w:val="bottom"/>
            <w:shd w:val="clear" w:color="auto" w:fill="FDFDFC"/>
          </w:tcPr>
          <w:p>
            <w:pPr>
              <w:spacing w:after="0"/>
              <w:rPr>
                <w:sz w:val="15"/>
                <w:szCs w:val="15"/>
                <w:color w:val="auto"/>
              </w:rPr>
            </w:pPr>
          </w:p>
        </w:tc>
        <w:tc>
          <w:tcPr>
            <w:tcW w:w="1040" w:type="dxa"/>
            <w:vAlign w:val="bottom"/>
            <w:shd w:val="clear" w:color="auto" w:fill="FDFDFC"/>
          </w:tcPr>
          <w:p>
            <w:pPr>
              <w:spacing w:after="0"/>
              <w:rPr>
                <w:sz w:val="15"/>
                <w:szCs w:val="15"/>
                <w:color w:val="auto"/>
              </w:rPr>
            </w:pPr>
          </w:p>
        </w:tc>
        <w:tc>
          <w:tcPr>
            <w:tcW w:w="1060" w:type="dxa"/>
            <w:vAlign w:val="bottom"/>
            <w:shd w:val="clear" w:color="auto" w:fill="FDFDFC"/>
          </w:tcPr>
          <w:p>
            <w:pPr>
              <w:spacing w:after="0"/>
              <w:rPr>
                <w:sz w:val="15"/>
                <w:szCs w:val="15"/>
                <w:color w:val="auto"/>
              </w:rPr>
            </w:pPr>
          </w:p>
        </w:tc>
        <w:tc>
          <w:tcPr>
            <w:tcW w:w="100" w:type="dxa"/>
            <w:vAlign w:val="bottom"/>
            <w:shd w:val="clear" w:color="auto" w:fill="FDFDFC"/>
          </w:tcPr>
          <w:p>
            <w:pPr>
              <w:spacing w:after="0"/>
              <w:rPr>
                <w:sz w:val="15"/>
                <w:szCs w:val="15"/>
                <w:color w:val="auto"/>
              </w:rPr>
            </w:pPr>
          </w:p>
        </w:tc>
        <w:tc>
          <w:tcPr>
            <w:tcW w:w="900" w:type="dxa"/>
            <w:vAlign w:val="bottom"/>
            <w:shd w:val="clear" w:color="auto" w:fill="FDFDFC"/>
          </w:tcPr>
          <w:p>
            <w:pPr>
              <w:spacing w:after="0"/>
              <w:rPr>
                <w:sz w:val="15"/>
                <w:szCs w:val="15"/>
                <w:color w:val="auto"/>
              </w:rPr>
            </w:pPr>
          </w:p>
        </w:tc>
        <w:tc>
          <w:tcPr>
            <w:tcW w:w="180" w:type="dxa"/>
            <w:vAlign w:val="bottom"/>
            <w:shd w:val="clear" w:color="auto" w:fill="FDFDFC"/>
          </w:tcPr>
          <w:p>
            <w:pPr>
              <w:spacing w:after="0"/>
              <w:rPr>
                <w:sz w:val="15"/>
                <w:szCs w:val="15"/>
                <w:color w:val="auto"/>
              </w:rPr>
            </w:pPr>
          </w:p>
        </w:tc>
        <w:tc>
          <w:tcPr>
            <w:tcW w:w="100" w:type="dxa"/>
            <w:vAlign w:val="bottom"/>
            <w:shd w:val="clear" w:color="auto" w:fill="FDFDFC"/>
          </w:tcPr>
          <w:p>
            <w:pPr>
              <w:spacing w:after="0"/>
              <w:rPr>
                <w:sz w:val="15"/>
                <w:szCs w:val="15"/>
                <w:color w:val="auto"/>
              </w:rPr>
            </w:pPr>
          </w:p>
        </w:tc>
        <w:tc>
          <w:tcPr>
            <w:tcW w:w="860" w:type="dxa"/>
            <w:vAlign w:val="bottom"/>
            <w:shd w:val="clear" w:color="auto" w:fill="FDFDFC"/>
          </w:tcPr>
          <w:p>
            <w:pPr>
              <w:spacing w:after="0"/>
              <w:rPr>
                <w:sz w:val="15"/>
                <w:szCs w:val="15"/>
                <w:color w:val="auto"/>
              </w:rPr>
            </w:pPr>
          </w:p>
        </w:tc>
        <w:tc>
          <w:tcPr>
            <w:tcW w:w="200" w:type="dxa"/>
            <w:vAlign w:val="bottom"/>
            <w:shd w:val="clear" w:color="auto" w:fill="FDFDFC"/>
          </w:tcPr>
          <w:p>
            <w:pPr>
              <w:spacing w:after="0"/>
              <w:rPr>
                <w:sz w:val="15"/>
                <w:szCs w:val="15"/>
                <w:color w:val="auto"/>
              </w:rPr>
            </w:pPr>
          </w:p>
        </w:tc>
        <w:tc>
          <w:tcPr>
            <w:tcW w:w="900" w:type="dxa"/>
            <w:vAlign w:val="bottom"/>
            <w:shd w:val="clear" w:color="auto" w:fill="FDFDFC"/>
          </w:tcPr>
          <w:p>
            <w:pPr>
              <w:spacing w:after="0"/>
              <w:rPr>
                <w:sz w:val="15"/>
                <w:szCs w:val="15"/>
                <w:color w:val="auto"/>
              </w:rPr>
            </w:pPr>
          </w:p>
        </w:tc>
        <w:tc>
          <w:tcPr>
            <w:tcW w:w="240" w:type="dxa"/>
            <w:vAlign w:val="bottom"/>
            <w:shd w:val="clear" w:color="auto" w:fill="FDFDFC"/>
          </w:tcPr>
          <w:p>
            <w:pPr>
              <w:spacing w:after="0"/>
              <w:rPr>
                <w:sz w:val="15"/>
                <w:szCs w:val="15"/>
                <w:color w:val="auto"/>
              </w:rPr>
            </w:pPr>
          </w:p>
        </w:tc>
        <w:tc>
          <w:tcPr>
            <w:tcW w:w="0" w:type="dxa"/>
            <w:vAlign w:val="bottom"/>
          </w:tcPr>
          <w:p>
            <w:pPr>
              <w:spacing w:after="0"/>
              <w:rPr>
                <w:sz w:val="1"/>
                <w:szCs w:val="1"/>
                <w:color w:val="auto"/>
              </w:rPr>
            </w:pPr>
          </w:p>
        </w:tc>
      </w:tr>
      <w:tr>
        <w:trPr>
          <w:trHeight w:val="158"/>
        </w:trPr>
        <w:tc>
          <w:tcPr>
            <w:tcW w:w="1460" w:type="dxa"/>
            <w:vAlign w:val="bottom"/>
            <w:shd w:val="clear" w:color="auto" w:fill="D0EBF2"/>
          </w:tcPr>
          <w:p>
            <w:pPr>
              <w:spacing w:after="0" w:line="159" w:lineRule="exact"/>
              <w:rPr>
                <w:sz w:val="20"/>
                <w:szCs w:val="20"/>
                <w:color w:val="auto"/>
              </w:rPr>
            </w:pPr>
            <w:r>
              <w:rPr>
                <w:rFonts w:ascii="Times New Roman" w:cs="Times New Roman" w:eastAsia="Times New Roman" w:hAnsi="Times New Roman"/>
                <w:sz w:val="15"/>
                <w:szCs w:val="15"/>
                <w:color w:val="231F20"/>
              </w:rPr>
              <w:t>Artisan Topco LP</w:t>
            </w:r>
            <w:r>
              <w:rPr>
                <w:rFonts w:ascii="Times New Roman" w:cs="Times New Roman" w:eastAsia="Times New Roman" w:hAnsi="Times New Roman"/>
                <w:sz w:val="9"/>
                <w:szCs w:val="9"/>
                <w:color w:val="231F20"/>
              </w:rPr>
              <w:t>(11)(12)</w:t>
            </w:r>
          </w:p>
        </w:tc>
        <w:tc>
          <w:tcPr>
            <w:tcW w:w="2420" w:type="dxa"/>
            <w:vAlign w:val="bottom"/>
            <w:shd w:val="clear" w:color="auto" w:fill="D0EBF2"/>
          </w:tcPr>
          <w:p>
            <w:pPr>
              <w:ind w:left="60"/>
              <w:spacing w:after="0" w:line="159" w:lineRule="exact"/>
              <w:rPr>
                <w:sz w:val="20"/>
                <w:szCs w:val="20"/>
                <w:color w:val="auto"/>
              </w:rPr>
            </w:pPr>
            <w:r>
              <w:rPr>
                <w:rFonts w:ascii="Times New Roman" w:cs="Times New Roman" w:eastAsia="Times New Roman" w:hAnsi="Times New Roman"/>
                <w:sz w:val="15"/>
                <w:szCs w:val="15"/>
                <w:color w:val="231F20"/>
              </w:rPr>
              <w:t>Class A Preferred Units (2,117,264</w:t>
            </w:r>
          </w:p>
        </w:tc>
        <w:tc>
          <w:tcPr>
            <w:tcW w:w="820" w:type="dxa"/>
            <w:vAlign w:val="bottom"/>
            <w:shd w:val="clear" w:color="auto" w:fill="D0EBF2"/>
          </w:tcPr>
          <w:p>
            <w:pPr>
              <w:jc w:val="right"/>
              <w:spacing w:after="0" w:line="159" w:lineRule="exact"/>
              <w:rPr>
                <w:sz w:val="20"/>
                <w:szCs w:val="20"/>
                <w:color w:val="auto"/>
              </w:rPr>
            </w:pPr>
            <w:r>
              <w:rPr>
                <w:rFonts w:ascii="Times New Roman" w:cs="Times New Roman" w:eastAsia="Times New Roman" w:hAnsi="Times New Roman"/>
                <w:sz w:val="15"/>
                <w:szCs w:val="15"/>
                <w:color w:val="231F20"/>
              </w:rPr>
              <w:t>11/7/2023</w:t>
            </w:r>
          </w:p>
        </w:tc>
        <w:tc>
          <w:tcPr>
            <w:tcW w:w="1040" w:type="dxa"/>
            <w:vAlign w:val="bottom"/>
            <w:shd w:val="clear" w:color="auto" w:fill="D0EBF2"/>
          </w:tcPr>
          <w:p>
            <w:pPr>
              <w:spacing w:after="0"/>
              <w:rPr>
                <w:sz w:val="13"/>
                <w:szCs w:val="13"/>
                <w:color w:val="auto"/>
              </w:rPr>
            </w:pPr>
          </w:p>
        </w:tc>
        <w:tc>
          <w:tcPr>
            <w:tcW w:w="1060" w:type="dxa"/>
            <w:vAlign w:val="bottom"/>
            <w:shd w:val="clear" w:color="auto" w:fill="D0EBF2"/>
          </w:tcPr>
          <w:p>
            <w:pPr>
              <w:spacing w:after="0"/>
              <w:rPr>
                <w:sz w:val="13"/>
                <w:szCs w:val="13"/>
                <w:color w:val="auto"/>
              </w:rPr>
            </w:pPr>
          </w:p>
        </w:tc>
        <w:tc>
          <w:tcPr>
            <w:tcW w:w="100" w:type="dxa"/>
            <w:vAlign w:val="bottom"/>
            <w:shd w:val="clear" w:color="auto" w:fill="D0EBF2"/>
          </w:tcPr>
          <w:p>
            <w:pPr>
              <w:spacing w:after="0"/>
              <w:rPr>
                <w:sz w:val="13"/>
                <w:szCs w:val="13"/>
                <w:color w:val="auto"/>
              </w:rPr>
            </w:pPr>
          </w:p>
        </w:tc>
        <w:tc>
          <w:tcPr>
            <w:tcW w:w="900" w:type="dxa"/>
            <w:vAlign w:val="bottom"/>
            <w:shd w:val="clear" w:color="auto" w:fill="D0EBF2"/>
          </w:tcPr>
          <w:p>
            <w:pPr>
              <w:jc w:val="right"/>
              <w:spacing w:after="0" w:line="159" w:lineRule="exact"/>
              <w:rPr>
                <w:sz w:val="20"/>
                <w:szCs w:val="20"/>
                <w:color w:val="auto"/>
              </w:rPr>
            </w:pPr>
            <w:r>
              <w:rPr>
                <w:rFonts w:ascii="Times New Roman" w:cs="Times New Roman" w:eastAsia="Times New Roman" w:hAnsi="Times New Roman"/>
                <w:sz w:val="15"/>
                <w:szCs w:val="15"/>
                <w:color w:val="231F20"/>
              </w:rPr>
              <w:t>2,117</w:t>
            </w:r>
          </w:p>
        </w:tc>
        <w:tc>
          <w:tcPr>
            <w:tcW w:w="1140" w:type="dxa"/>
            <w:vAlign w:val="bottom"/>
            <w:gridSpan w:val="3"/>
            <w:shd w:val="clear" w:color="auto" w:fill="D0EBF2"/>
          </w:tcPr>
          <w:p>
            <w:pPr>
              <w:jc w:val="right"/>
              <w:spacing w:after="0" w:line="159" w:lineRule="exact"/>
              <w:rPr>
                <w:sz w:val="20"/>
                <w:szCs w:val="20"/>
                <w:color w:val="auto"/>
              </w:rPr>
            </w:pPr>
            <w:r>
              <w:rPr>
                <w:rFonts w:ascii="Times New Roman" w:cs="Times New Roman" w:eastAsia="Times New Roman" w:hAnsi="Times New Roman"/>
                <w:sz w:val="15"/>
                <w:szCs w:val="15"/>
                <w:color w:val="231F20"/>
              </w:rPr>
              <w:t>2,117</w:t>
            </w:r>
          </w:p>
        </w:tc>
        <w:tc>
          <w:tcPr>
            <w:tcW w:w="1340" w:type="dxa"/>
            <w:vAlign w:val="bottom"/>
            <w:gridSpan w:val="3"/>
            <w:shd w:val="clear" w:color="auto" w:fill="D0EBF2"/>
          </w:tcPr>
          <w:p>
            <w:pPr>
              <w:jc w:val="right"/>
              <w:ind w:right="120"/>
              <w:spacing w:after="0" w:line="159" w:lineRule="exact"/>
              <w:rPr>
                <w:sz w:val="20"/>
                <w:szCs w:val="20"/>
                <w:color w:val="auto"/>
              </w:rPr>
            </w:pPr>
            <w:r>
              <w:rPr>
                <w:rFonts w:ascii="Times New Roman" w:cs="Times New Roman" w:eastAsia="Times New Roman" w:hAnsi="Times New Roman"/>
                <w:sz w:val="15"/>
                <w:szCs w:val="15"/>
                <w:color w:val="231F20"/>
              </w:rPr>
              <w:t>0.1%</w:t>
            </w:r>
          </w:p>
        </w:tc>
        <w:tc>
          <w:tcPr>
            <w:tcW w:w="0" w:type="dxa"/>
            <w:vAlign w:val="bottom"/>
          </w:tcPr>
          <w:p>
            <w:pPr>
              <w:spacing w:after="0"/>
              <w:rPr>
                <w:sz w:val="1"/>
                <w:szCs w:val="1"/>
                <w:color w:val="auto"/>
              </w:rPr>
            </w:pPr>
          </w:p>
        </w:tc>
      </w:tr>
      <w:tr>
        <w:trPr>
          <w:trHeight w:val="189"/>
        </w:trPr>
        <w:tc>
          <w:tcPr>
            <w:tcW w:w="1460" w:type="dxa"/>
            <w:vAlign w:val="bottom"/>
            <w:shd w:val="clear" w:color="auto" w:fill="D0EBF2"/>
          </w:tcPr>
          <w:p>
            <w:pPr>
              <w:spacing w:after="0"/>
              <w:rPr>
                <w:sz w:val="16"/>
                <w:szCs w:val="16"/>
                <w:color w:val="auto"/>
              </w:rPr>
            </w:pPr>
          </w:p>
        </w:tc>
        <w:tc>
          <w:tcPr>
            <w:tcW w:w="2420" w:type="dxa"/>
            <w:vAlign w:val="bottom"/>
            <w:shd w:val="clear" w:color="auto" w:fill="D0EBF2"/>
          </w:tcPr>
          <w:p>
            <w:pPr>
              <w:ind w:left="60"/>
              <w:spacing w:after="0"/>
              <w:rPr>
                <w:sz w:val="20"/>
                <w:szCs w:val="20"/>
                <w:color w:val="auto"/>
              </w:rPr>
            </w:pPr>
            <w:r>
              <w:rPr>
                <w:rFonts w:ascii="Times New Roman" w:cs="Times New Roman" w:eastAsia="Times New Roman" w:hAnsi="Times New Roman"/>
                <w:sz w:val="15"/>
                <w:szCs w:val="15"/>
                <w:color w:val="231F20"/>
              </w:rPr>
              <w:t>units)</w:t>
            </w:r>
          </w:p>
        </w:tc>
        <w:tc>
          <w:tcPr>
            <w:tcW w:w="820" w:type="dxa"/>
            <w:vAlign w:val="bottom"/>
            <w:shd w:val="clear" w:color="auto" w:fill="D0EBF2"/>
          </w:tcPr>
          <w:p>
            <w:pPr>
              <w:spacing w:after="0"/>
              <w:rPr>
                <w:sz w:val="16"/>
                <w:szCs w:val="16"/>
                <w:color w:val="auto"/>
              </w:rPr>
            </w:pPr>
          </w:p>
        </w:tc>
        <w:tc>
          <w:tcPr>
            <w:tcW w:w="1040" w:type="dxa"/>
            <w:vAlign w:val="bottom"/>
            <w:shd w:val="clear" w:color="auto" w:fill="D0EBF2"/>
          </w:tcPr>
          <w:p>
            <w:pPr>
              <w:spacing w:after="0"/>
              <w:rPr>
                <w:sz w:val="16"/>
                <w:szCs w:val="16"/>
                <w:color w:val="auto"/>
              </w:rPr>
            </w:pPr>
          </w:p>
        </w:tc>
        <w:tc>
          <w:tcPr>
            <w:tcW w:w="1060" w:type="dxa"/>
            <w:vAlign w:val="bottom"/>
            <w:shd w:val="clear" w:color="auto" w:fill="D0EBF2"/>
          </w:tcPr>
          <w:p>
            <w:pPr>
              <w:spacing w:after="0"/>
              <w:rPr>
                <w:sz w:val="16"/>
                <w:szCs w:val="16"/>
                <w:color w:val="auto"/>
              </w:rPr>
            </w:pPr>
          </w:p>
        </w:tc>
        <w:tc>
          <w:tcPr>
            <w:tcW w:w="100" w:type="dxa"/>
            <w:vAlign w:val="bottom"/>
            <w:shd w:val="clear" w:color="auto" w:fill="D0EBF2"/>
          </w:tcPr>
          <w:p>
            <w:pPr>
              <w:spacing w:after="0"/>
              <w:rPr>
                <w:sz w:val="16"/>
                <w:szCs w:val="16"/>
                <w:color w:val="auto"/>
              </w:rPr>
            </w:pPr>
          </w:p>
        </w:tc>
        <w:tc>
          <w:tcPr>
            <w:tcW w:w="900" w:type="dxa"/>
            <w:vAlign w:val="bottom"/>
            <w:shd w:val="clear" w:color="auto" w:fill="D0EBF2"/>
          </w:tcPr>
          <w:p>
            <w:pPr>
              <w:spacing w:after="0"/>
              <w:rPr>
                <w:sz w:val="16"/>
                <w:szCs w:val="16"/>
                <w:color w:val="auto"/>
              </w:rPr>
            </w:pPr>
          </w:p>
        </w:tc>
        <w:tc>
          <w:tcPr>
            <w:tcW w:w="180" w:type="dxa"/>
            <w:vAlign w:val="bottom"/>
            <w:shd w:val="clear" w:color="auto" w:fill="D0EBF2"/>
          </w:tcPr>
          <w:p>
            <w:pPr>
              <w:spacing w:after="0"/>
              <w:rPr>
                <w:sz w:val="16"/>
                <w:szCs w:val="16"/>
                <w:color w:val="auto"/>
              </w:rPr>
            </w:pPr>
          </w:p>
        </w:tc>
        <w:tc>
          <w:tcPr>
            <w:tcW w:w="100" w:type="dxa"/>
            <w:vAlign w:val="bottom"/>
            <w:shd w:val="clear" w:color="auto" w:fill="D0EBF2"/>
          </w:tcPr>
          <w:p>
            <w:pPr>
              <w:spacing w:after="0"/>
              <w:rPr>
                <w:sz w:val="16"/>
                <w:szCs w:val="16"/>
                <w:color w:val="auto"/>
              </w:rPr>
            </w:pPr>
          </w:p>
        </w:tc>
        <w:tc>
          <w:tcPr>
            <w:tcW w:w="860" w:type="dxa"/>
            <w:vAlign w:val="bottom"/>
            <w:shd w:val="clear" w:color="auto" w:fill="D0EBF2"/>
          </w:tcPr>
          <w:p>
            <w:pPr>
              <w:spacing w:after="0"/>
              <w:rPr>
                <w:sz w:val="16"/>
                <w:szCs w:val="16"/>
                <w:color w:val="auto"/>
              </w:rPr>
            </w:pPr>
          </w:p>
        </w:tc>
        <w:tc>
          <w:tcPr>
            <w:tcW w:w="200" w:type="dxa"/>
            <w:vAlign w:val="bottom"/>
            <w:shd w:val="clear" w:color="auto" w:fill="D0EBF2"/>
          </w:tcPr>
          <w:p>
            <w:pPr>
              <w:spacing w:after="0"/>
              <w:rPr>
                <w:sz w:val="16"/>
                <w:szCs w:val="16"/>
                <w:color w:val="auto"/>
              </w:rPr>
            </w:pPr>
          </w:p>
        </w:tc>
        <w:tc>
          <w:tcPr>
            <w:tcW w:w="900" w:type="dxa"/>
            <w:vAlign w:val="bottom"/>
            <w:shd w:val="clear" w:color="auto" w:fill="D0EBF2"/>
          </w:tcPr>
          <w:p>
            <w:pPr>
              <w:spacing w:after="0"/>
              <w:rPr>
                <w:sz w:val="16"/>
                <w:szCs w:val="16"/>
                <w:color w:val="auto"/>
              </w:rPr>
            </w:pPr>
          </w:p>
        </w:tc>
        <w:tc>
          <w:tcPr>
            <w:tcW w:w="240" w:type="dxa"/>
            <w:vAlign w:val="bottom"/>
            <w:shd w:val="clear" w:color="auto" w:fill="D0EBF2"/>
          </w:tcPr>
          <w:p>
            <w:pPr>
              <w:spacing w:after="0"/>
              <w:rPr>
                <w:sz w:val="16"/>
                <w:szCs w:val="16"/>
                <w:color w:val="auto"/>
              </w:rPr>
            </w:pPr>
          </w:p>
        </w:tc>
        <w:tc>
          <w:tcPr>
            <w:tcW w:w="0" w:type="dxa"/>
            <w:vAlign w:val="bottom"/>
          </w:tcPr>
          <w:p>
            <w:pPr>
              <w:spacing w:after="0"/>
              <w:rPr>
                <w:sz w:val="1"/>
                <w:szCs w:val="1"/>
                <w:color w:val="auto"/>
              </w:rPr>
            </w:pPr>
          </w:p>
        </w:tc>
      </w:tr>
      <w:tr>
        <w:trPr>
          <w:trHeight w:val="158"/>
        </w:trPr>
        <w:tc>
          <w:tcPr>
            <w:tcW w:w="1460" w:type="dxa"/>
            <w:vAlign w:val="bottom"/>
            <w:shd w:val="clear" w:color="auto" w:fill="FDFDFC"/>
          </w:tcPr>
          <w:p>
            <w:pPr>
              <w:spacing w:after="0" w:line="159" w:lineRule="exact"/>
              <w:rPr>
                <w:sz w:val="20"/>
                <w:szCs w:val="20"/>
                <w:color w:val="auto"/>
              </w:rPr>
            </w:pPr>
            <w:r>
              <w:rPr>
                <w:rFonts w:ascii="Times New Roman" w:cs="Times New Roman" w:eastAsia="Times New Roman" w:hAnsi="Times New Roman"/>
                <w:sz w:val="15"/>
                <w:szCs w:val="15"/>
                <w:color w:val="231F20"/>
              </w:rPr>
              <w:t>Newark FP Co-Invest,</w:t>
            </w:r>
          </w:p>
        </w:tc>
        <w:tc>
          <w:tcPr>
            <w:tcW w:w="2420" w:type="dxa"/>
            <w:vAlign w:val="bottom"/>
            <w:shd w:val="clear" w:color="auto" w:fill="FDFDFC"/>
          </w:tcPr>
          <w:p>
            <w:pPr>
              <w:ind w:left="60"/>
              <w:spacing w:after="0" w:line="159" w:lineRule="exact"/>
              <w:rPr>
                <w:sz w:val="20"/>
                <w:szCs w:val="20"/>
                <w:color w:val="auto"/>
              </w:rPr>
            </w:pPr>
            <w:r>
              <w:rPr>
                <w:rFonts w:ascii="Times New Roman" w:cs="Times New Roman" w:eastAsia="Times New Roman" w:hAnsi="Times New Roman"/>
                <w:sz w:val="15"/>
                <w:szCs w:val="15"/>
                <w:color w:val="231F20"/>
              </w:rPr>
              <w:t>Partnership (2,527,719 units)</w:t>
            </w:r>
          </w:p>
        </w:tc>
        <w:tc>
          <w:tcPr>
            <w:tcW w:w="820" w:type="dxa"/>
            <w:vAlign w:val="bottom"/>
            <w:shd w:val="clear" w:color="auto" w:fill="FDFDFC"/>
          </w:tcPr>
          <w:p>
            <w:pPr>
              <w:jc w:val="right"/>
              <w:spacing w:after="0" w:line="159" w:lineRule="exact"/>
              <w:rPr>
                <w:sz w:val="20"/>
                <w:szCs w:val="20"/>
                <w:color w:val="auto"/>
              </w:rPr>
            </w:pPr>
            <w:r>
              <w:rPr>
                <w:rFonts w:ascii="Times New Roman" w:cs="Times New Roman" w:eastAsia="Times New Roman" w:hAnsi="Times New Roman"/>
                <w:sz w:val="15"/>
                <w:szCs w:val="15"/>
                <w:color w:val="231F20"/>
              </w:rPr>
              <w:t>11/8/2023</w:t>
            </w:r>
          </w:p>
        </w:tc>
        <w:tc>
          <w:tcPr>
            <w:tcW w:w="1040" w:type="dxa"/>
            <w:vAlign w:val="bottom"/>
            <w:shd w:val="clear" w:color="auto" w:fill="FDFDFC"/>
          </w:tcPr>
          <w:p>
            <w:pPr>
              <w:spacing w:after="0"/>
              <w:rPr>
                <w:sz w:val="13"/>
                <w:szCs w:val="13"/>
                <w:color w:val="auto"/>
              </w:rPr>
            </w:pPr>
          </w:p>
        </w:tc>
        <w:tc>
          <w:tcPr>
            <w:tcW w:w="1060" w:type="dxa"/>
            <w:vAlign w:val="bottom"/>
            <w:shd w:val="clear" w:color="auto" w:fill="FDFDFC"/>
          </w:tcPr>
          <w:p>
            <w:pPr>
              <w:spacing w:after="0"/>
              <w:rPr>
                <w:sz w:val="13"/>
                <w:szCs w:val="13"/>
                <w:color w:val="auto"/>
              </w:rPr>
            </w:pPr>
          </w:p>
        </w:tc>
        <w:tc>
          <w:tcPr>
            <w:tcW w:w="100" w:type="dxa"/>
            <w:vAlign w:val="bottom"/>
            <w:shd w:val="clear" w:color="auto" w:fill="FDFDFC"/>
          </w:tcPr>
          <w:p>
            <w:pPr>
              <w:spacing w:after="0"/>
              <w:rPr>
                <w:sz w:val="13"/>
                <w:szCs w:val="13"/>
                <w:color w:val="auto"/>
              </w:rPr>
            </w:pPr>
          </w:p>
        </w:tc>
        <w:tc>
          <w:tcPr>
            <w:tcW w:w="900" w:type="dxa"/>
            <w:vAlign w:val="bottom"/>
            <w:shd w:val="clear" w:color="auto" w:fill="FDFDFC"/>
          </w:tcPr>
          <w:p>
            <w:pPr>
              <w:jc w:val="right"/>
              <w:spacing w:after="0" w:line="159" w:lineRule="exact"/>
              <w:rPr>
                <w:sz w:val="20"/>
                <w:szCs w:val="20"/>
                <w:color w:val="auto"/>
              </w:rPr>
            </w:pPr>
            <w:r>
              <w:rPr>
                <w:rFonts w:ascii="Times New Roman" w:cs="Times New Roman" w:eastAsia="Times New Roman" w:hAnsi="Times New Roman"/>
                <w:sz w:val="15"/>
                <w:szCs w:val="15"/>
                <w:color w:val="231F20"/>
              </w:rPr>
              <w:t>2,532</w:t>
            </w:r>
          </w:p>
        </w:tc>
        <w:tc>
          <w:tcPr>
            <w:tcW w:w="1140" w:type="dxa"/>
            <w:vAlign w:val="bottom"/>
            <w:gridSpan w:val="3"/>
            <w:shd w:val="clear" w:color="auto" w:fill="FDFDFC"/>
          </w:tcPr>
          <w:p>
            <w:pPr>
              <w:jc w:val="right"/>
              <w:spacing w:after="0" w:line="159" w:lineRule="exact"/>
              <w:rPr>
                <w:sz w:val="20"/>
                <w:szCs w:val="20"/>
                <w:color w:val="auto"/>
              </w:rPr>
            </w:pPr>
            <w:r>
              <w:rPr>
                <w:rFonts w:ascii="Times New Roman" w:cs="Times New Roman" w:eastAsia="Times New Roman" w:hAnsi="Times New Roman"/>
                <w:sz w:val="15"/>
                <w:szCs w:val="15"/>
                <w:color w:val="231F20"/>
              </w:rPr>
              <w:t>2,532</w:t>
            </w:r>
          </w:p>
        </w:tc>
        <w:tc>
          <w:tcPr>
            <w:tcW w:w="1340" w:type="dxa"/>
            <w:vAlign w:val="bottom"/>
            <w:gridSpan w:val="3"/>
            <w:shd w:val="clear" w:color="auto" w:fill="FDFDFC"/>
          </w:tcPr>
          <w:p>
            <w:pPr>
              <w:jc w:val="right"/>
              <w:ind w:right="120"/>
              <w:spacing w:after="0" w:line="159" w:lineRule="exact"/>
              <w:rPr>
                <w:sz w:val="20"/>
                <w:szCs w:val="20"/>
                <w:color w:val="auto"/>
              </w:rPr>
            </w:pPr>
            <w:r>
              <w:rPr>
                <w:rFonts w:ascii="Times New Roman" w:cs="Times New Roman" w:eastAsia="Times New Roman" w:hAnsi="Times New Roman"/>
                <w:sz w:val="15"/>
                <w:szCs w:val="15"/>
                <w:color w:val="231F20"/>
              </w:rPr>
              <w:t>0.2%</w:t>
            </w:r>
          </w:p>
        </w:tc>
        <w:tc>
          <w:tcPr>
            <w:tcW w:w="0" w:type="dxa"/>
            <w:vAlign w:val="bottom"/>
          </w:tcPr>
          <w:p>
            <w:pPr>
              <w:spacing w:after="0"/>
              <w:rPr>
                <w:sz w:val="1"/>
                <w:szCs w:val="1"/>
                <w:color w:val="auto"/>
              </w:rPr>
            </w:pPr>
          </w:p>
        </w:tc>
      </w:tr>
      <w:tr>
        <w:trPr>
          <w:trHeight w:val="189"/>
        </w:trPr>
        <w:tc>
          <w:tcPr>
            <w:tcW w:w="1460" w:type="dxa"/>
            <w:vAlign w:val="bottom"/>
            <w:shd w:val="clear" w:color="auto" w:fill="FDFDFC"/>
          </w:tcPr>
          <w:p>
            <w:pPr>
              <w:spacing w:after="0" w:line="190" w:lineRule="exact"/>
              <w:rPr>
                <w:sz w:val="20"/>
                <w:szCs w:val="20"/>
                <w:color w:val="auto"/>
              </w:rPr>
            </w:pPr>
            <w:r>
              <w:rPr>
                <w:rFonts w:ascii="Times New Roman" w:cs="Times New Roman" w:eastAsia="Times New Roman" w:hAnsi="Times New Roman"/>
                <w:sz w:val="21"/>
                <w:szCs w:val="21"/>
                <w:color w:val="231F20"/>
                <w:vertAlign w:val="subscript"/>
              </w:rPr>
              <w:t>L.P.</w:t>
            </w:r>
            <w:r>
              <w:rPr>
                <w:rFonts w:ascii="Times New Roman" w:cs="Times New Roman" w:eastAsia="Times New Roman" w:hAnsi="Times New Roman"/>
                <w:sz w:val="8"/>
                <w:szCs w:val="8"/>
                <w:color w:val="231F20"/>
              </w:rPr>
              <w:t>(11)(12)</w:t>
            </w:r>
          </w:p>
        </w:tc>
        <w:tc>
          <w:tcPr>
            <w:tcW w:w="2420" w:type="dxa"/>
            <w:vAlign w:val="bottom"/>
            <w:shd w:val="clear" w:color="auto" w:fill="FDFDFC"/>
          </w:tcPr>
          <w:p>
            <w:pPr>
              <w:spacing w:after="0"/>
              <w:rPr>
                <w:sz w:val="16"/>
                <w:szCs w:val="16"/>
                <w:color w:val="auto"/>
              </w:rPr>
            </w:pPr>
          </w:p>
        </w:tc>
        <w:tc>
          <w:tcPr>
            <w:tcW w:w="820" w:type="dxa"/>
            <w:vAlign w:val="bottom"/>
            <w:shd w:val="clear" w:color="auto" w:fill="FDFDFC"/>
          </w:tcPr>
          <w:p>
            <w:pPr>
              <w:spacing w:after="0"/>
              <w:rPr>
                <w:sz w:val="16"/>
                <w:szCs w:val="16"/>
                <w:color w:val="auto"/>
              </w:rPr>
            </w:pPr>
          </w:p>
        </w:tc>
        <w:tc>
          <w:tcPr>
            <w:tcW w:w="1040" w:type="dxa"/>
            <w:vAlign w:val="bottom"/>
            <w:shd w:val="clear" w:color="auto" w:fill="FDFDFC"/>
          </w:tcPr>
          <w:p>
            <w:pPr>
              <w:spacing w:after="0"/>
              <w:rPr>
                <w:sz w:val="16"/>
                <w:szCs w:val="16"/>
                <w:color w:val="auto"/>
              </w:rPr>
            </w:pPr>
          </w:p>
        </w:tc>
        <w:tc>
          <w:tcPr>
            <w:tcW w:w="1060" w:type="dxa"/>
            <w:vAlign w:val="bottom"/>
            <w:shd w:val="clear" w:color="auto" w:fill="FDFDFC"/>
          </w:tcPr>
          <w:p>
            <w:pPr>
              <w:spacing w:after="0"/>
              <w:rPr>
                <w:sz w:val="16"/>
                <w:szCs w:val="16"/>
                <w:color w:val="auto"/>
              </w:rPr>
            </w:pPr>
          </w:p>
        </w:tc>
        <w:tc>
          <w:tcPr>
            <w:tcW w:w="100" w:type="dxa"/>
            <w:vAlign w:val="bottom"/>
            <w:shd w:val="clear" w:color="auto" w:fill="FDFDFC"/>
          </w:tcPr>
          <w:p>
            <w:pPr>
              <w:spacing w:after="0"/>
              <w:rPr>
                <w:sz w:val="16"/>
                <w:szCs w:val="16"/>
                <w:color w:val="auto"/>
              </w:rPr>
            </w:pPr>
          </w:p>
        </w:tc>
        <w:tc>
          <w:tcPr>
            <w:tcW w:w="900" w:type="dxa"/>
            <w:vAlign w:val="bottom"/>
            <w:shd w:val="clear" w:color="auto" w:fill="FDFDFC"/>
          </w:tcPr>
          <w:p>
            <w:pPr>
              <w:spacing w:after="0"/>
              <w:rPr>
                <w:sz w:val="16"/>
                <w:szCs w:val="16"/>
                <w:color w:val="auto"/>
              </w:rPr>
            </w:pPr>
          </w:p>
        </w:tc>
        <w:tc>
          <w:tcPr>
            <w:tcW w:w="180" w:type="dxa"/>
            <w:vAlign w:val="bottom"/>
            <w:shd w:val="clear" w:color="auto" w:fill="FDFDFC"/>
          </w:tcPr>
          <w:p>
            <w:pPr>
              <w:spacing w:after="0"/>
              <w:rPr>
                <w:sz w:val="16"/>
                <w:szCs w:val="16"/>
                <w:color w:val="auto"/>
              </w:rPr>
            </w:pPr>
          </w:p>
        </w:tc>
        <w:tc>
          <w:tcPr>
            <w:tcW w:w="100" w:type="dxa"/>
            <w:vAlign w:val="bottom"/>
            <w:shd w:val="clear" w:color="auto" w:fill="FDFDFC"/>
          </w:tcPr>
          <w:p>
            <w:pPr>
              <w:spacing w:after="0"/>
              <w:rPr>
                <w:sz w:val="16"/>
                <w:szCs w:val="16"/>
                <w:color w:val="auto"/>
              </w:rPr>
            </w:pPr>
          </w:p>
        </w:tc>
        <w:tc>
          <w:tcPr>
            <w:tcW w:w="860" w:type="dxa"/>
            <w:vAlign w:val="bottom"/>
            <w:shd w:val="clear" w:color="auto" w:fill="FDFDFC"/>
          </w:tcPr>
          <w:p>
            <w:pPr>
              <w:spacing w:after="0"/>
              <w:rPr>
                <w:sz w:val="16"/>
                <w:szCs w:val="16"/>
                <w:color w:val="auto"/>
              </w:rPr>
            </w:pPr>
          </w:p>
        </w:tc>
        <w:tc>
          <w:tcPr>
            <w:tcW w:w="200" w:type="dxa"/>
            <w:vAlign w:val="bottom"/>
            <w:shd w:val="clear" w:color="auto" w:fill="FDFDFC"/>
          </w:tcPr>
          <w:p>
            <w:pPr>
              <w:spacing w:after="0"/>
              <w:rPr>
                <w:sz w:val="16"/>
                <w:szCs w:val="16"/>
                <w:color w:val="auto"/>
              </w:rPr>
            </w:pPr>
          </w:p>
        </w:tc>
        <w:tc>
          <w:tcPr>
            <w:tcW w:w="900" w:type="dxa"/>
            <w:vAlign w:val="bottom"/>
            <w:shd w:val="clear" w:color="auto" w:fill="FDFDFC"/>
          </w:tcPr>
          <w:p>
            <w:pPr>
              <w:spacing w:after="0"/>
              <w:rPr>
                <w:sz w:val="16"/>
                <w:szCs w:val="16"/>
                <w:color w:val="auto"/>
              </w:rPr>
            </w:pPr>
          </w:p>
        </w:tc>
        <w:tc>
          <w:tcPr>
            <w:tcW w:w="240" w:type="dxa"/>
            <w:vAlign w:val="bottom"/>
            <w:shd w:val="clear" w:color="auto" w:fill="FDFDFC"/>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5798820</wp:posOffset>
                </wp:positionH>
                <wp:positionV relativeFrom="paragraph">
                  <wp:posOffset>-7213600</wp:posOffset>
                </wp:positionV>
                <wp:extent cx="575310" cy="110490"/>
                <wp:wrapNone/>
                <wp:docPr id="51" name="Shape 5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75310" cy="110490"/>
                        </a:xfrm>
                        <a:prstGeom prst="rect">
                          <a:avLst/>
                        </a:prstGeom>
                        <a:solidFill>
                          <a:srgbClr val="FDFDFC"/>
                        </a:solidFill>
                      </wps:spPr>
                      <wps:bodyPr/>
                    </wps:wsp>
                  </a:graphicData>
                </a:graphic>
              </wp:anchor>
            </w:drawing>
          </mc:Choice>
          <mc:Fallback>
            <w:pict>
              <v:rect id="Shape 51" o:spid="_x0000_s1076" style="position:absolute;margin-left:456.6pt;margin-top:-568pt;width:45.3pt;height:8.7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FDFDFC" stroked="f"/>
            </w:pict>
          </mc:Fallback>
        </mc:AlternateContent>
        <mc:AlternateContent>
          <mc:Choice Requires="wps">
            <w:drawing>
              <wp:anchor simplePos="0" relativeHeight="251657728" behindDoc="1" locked="0" layoutInCell="0" allowOverlap="1">
                <wp:simplePos x="0" y="0"/>
                <wp:positionH relativeFrom="column">
                  <wp:posOffset>6374130</wp:posOffset>
                </wp:positionH>
                <wp:positionV relativeFrom="paragraph">
                  <wp:posOffset>-7219315</wp:posOffset>
                </wp:positionV>
                <wp:extent cx="153670" cy="116205"/>
                <wp:wrapNone/>
                <wp:docPr id="52" name="Shape 5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53670" cy="116205"/>
                        </a:xfrm>
                        <a:prstGeom prst="rect">
                          <a:avLst/>
                        </a:prstGeom>
                        <a:solidFill>
                          <a:srgbClr val="FDFDFC"/>
                        </a:solidFill>
                      </wps:spPr>
                      <wps:bodyPr/>
                    </wps:wsp>
                  </a:graphicData>
                </a:graphic>
              </wp:anchor>
            </w:drawing>
          </mc:Choice>
          <mc:Fallback>
            <w:pict>
              <v:rect id="Shape 52" o:spid="_x0000_s1077" style="position:absolute;margin-left:501.9pt;margin-top:-568.4499pt;width:12.1pt;height:9.1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FDFDFC" stroked="f"/>
            </w:pict>
          </mc:Fallback>
        </mc:AlternateContent>
        <mc:AlternateContent>
          <mc:Choice Requires="wps">
            <w:drawing>
              <wp:anchor simplePos="0" relativeHeight="251657728" behindDoc="1" locked="0" layoutInCell="0" allowOverlap="1">
                <wp:simplePos x="0" y="0"/>
                <wp:positionH relativeFrom="column">
                  <wp:posOffset>5798820</wp:posOffset>
                </wp:positionH>
                <wp:positionV relativeFrom="paragraph">
                  <wp:posOffset>-5656580</wp:posOffset>
                </wp:positionV>
                <wp:extent cx="575310" cy="109855"/>
                <wp:wrapNone/>
                <wp:docPr id="53" name="Shape 5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75310" cy="109855"/>
                        </a:xfrm>
                        <a:prstGeom prst="rect">
                          <a:avLst/>
                        </a:prstGeom>
                        <a:solidFill>
                          <a:srgbClr val="FDFDFC"/>
                        </a:solidFill>
                      </wps:spPr>
                      <wps:bodyPr/>
                    </wps:wsp>
                  </a:graphicData>
                </a:graphic>
              </wp:anchor>
            </w:drawing>
          </mc:Choice>
          <mc:Fallback>
            <w:pict>
              <v:rect id="Shape 53" o:spid="_x0000_s1078" style="position:absolute;margin-left:456.6pt;margin-top:-445.3999pt;width:45.3pt;height:8.6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FDFDFC" stroked="f"/>
            </w:pict>
          </mc:Fallback>
        </mc:AlternateContent>
        <mc:AlternateContent>
          <mc:Choice Requires="wps">
            <w:drawing>
              <wp:anchor simplePos="0" relativeHeight="251657728" behindDoc="1" locked="0" layoutInCell="0" allowOverlap="1">
                <wp:simplePos x="0" y="0"/>
                <wp:positionH relativeFrom="column">
                  <wp:posOffset>6374130</wp:posOffset>
                </wp:positionH>
                <wp:positionV relativeFrom="paragraph">
                  <wp:posOffset>-5662930</wp:posOffset>
                </wp:positionV>
                <wp:extent cx="153670" cy="116205"/>
                <wp:wrapNone/>
                <wp:docPr id="54" name="Shape 5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53670" cy="116205"/>
                        </a:xfrm>
                        <a:prstGeom prst="rect">
                          <a:avLst/>
                        </a:prstGeom>
                        <a:solidFill>
                          <a:srgbClr val="FDFDFC"/>
                        </a:solidFill>
                      </wps:spPr>
                      <wps:bodyPr/>
                    </wps:wsp>
                  </a:graphicData>
                </a:graphic>
              </wp:anchor>
            </w:drawing>
          </mc:Choice>
          <mc:Fallback>
            <w:pict>
              <v:rect id="Shape 54" o:spid="_x0000_s1079" style="position:absolute;margin-left:501.9pt;margin-top:-445.8999pt;width:12.1pt;height:9.1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FDFDFC" stroked="f"/>
            </w:pict>
          </mc:Fallback>
        </mc:AlternateContent>
        <mc:AlternateContent>
          <mc:Choice Requires="wps">
            <w:drawing>
              <wp:anchor simplePos="0" relativeHeight="251657728" behindDoc="1" locked="0" layoutInCell="0" allowOverlap="1">
                <wp:simplePos x="0" y="0"/>
                <wp:positionH relativeFrom="column">
                  <wp:posOffset>5798820</wp:posOffset>
                </wp:positionH>
                <wp:positionV relativeFrom="paragraph">
                  <wp:posOffset>-2113915</wp:posOffset>
                </wp:positionV>
                <wp:extent cx="575310" cy="109855"/>
                <wp:wrapNone/>
                <wp:docPr id="55" name="Shape 5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75310" cy="109855"/>
                        </a:xfrm>
                        <a:prstGeom prst="rect">
                          <a:avLst/>
                        </a:prstGeom>
                        <a:solidFill>
                          <a:srgbClr val="D0EBF2"/>
                        </a:solidFill>
                      </wps:spPr>
                      <wps:bodyPr/>
                    </wps:wsp>
                  </a:graphicData>
                </a:graphic>
              </wp:anchor>
            </w:drawing>
          </mc:Choice>
          <mc:Fallback>
            <w:pict>
              <v:rect id="Shape 55" o:spid="_x0000_s1080" style="position:absolute;margin-left:456.6pt;margin-top:-166.4499pt;width:45.3pt;height:8.6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0EBF2" stroked="f"/>
            </w:pict>
          </mc:Fallback>
        </mc:AlternateContent>
        <mc:AlternateContent>
          <mc:Choice Requires="wps">
            <w:drawing>
              <wp:anchor simplePos="0" relativeHeight="251657728" behindDoc="1" locked="0" layoutInCell="0" allowOverlap="1">
                <wp:simplePos x="0" y="0"/>
                <wp:positionH relativeFrom="column">
                  <wp:posOffset>6374130</wp:posOffset>
                </wp:positionH>
                <wp:positionV relativeFrom="paragraph">
                  <wp:posOffset>-2120265</wp:posOffset>
                </wp:positionV>
                <wp:extent cx="153670" cy="116205"/>
                <wp:wrapNone/>
                <wp:docPr id="56" name="Shape 5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53670" cy="116205"/>
                        </a:xfrm>
                        <a:prstGeom prst="rect">
                          <a:avLst/>
                        </a:prstGeom>
                        <a:solidFill>
                          <a:srgbClr val="D0EBF2"/>
                        </a:solidFill>
                      </wps:spPr>
                      <wps:bodyPr/>
                    </wps:wsp>
                  </a:graphicData>
                </a:graphic>
              </wp:anchor>
            </w:drawing>
          </mc:Choice>
          <mc:Fallback>
            <w:pict>
              <v:rect id="Shape 56" o:spid="_x0000_s1081" style="position:absolute;margin-left:501.9pt;margin-top:-166.9499pt;width:12.1pt;height:9.1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0EBF2" stroked="f"/>
            </w:pict>
          </mc:Fallback>
        </mc:AlternateContent>
        <mc:AlternateContent>
          <mc:Choice Requires="wps">
            <w:drawing>
              <wp:anchor simplePos="0" relativeHeight="251657728" behindDoc="1" locked="0" layoutInCell="0" allowOverlap="1">
                <wp:simplePos x="0" y="0"/>
                <wp:positionH relativeFrom="column">
                  <wp:posOffset>5798820</wp:posOffset>
                </wp:positionH>
                <wp:positionV relativeFrom="paragraph">
                  <wp:posOffset>-1225550</wp:posOffset>
                </wp:positionV>
                <wp:extent cx="575310" cy="110490"/>
                <wp:wrapNone/>
                <wp:docPr id="57" name="Shape 5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75310" cy="110490"/>
                        </a:xfrm>
                        <a:prstGeom prst="rect">
                          <a:avLst/>
                        </a:prstGeom>
                        <a:solidFill>
                          <a:srgbClr val="FDFDFC"/>
                        </a:solidFill>
                      </wps:spPr>
                      <wps:bodyPr/>
                    </wps:wsp>
                  </a:graphicData>
                </a:graphic>
              </wp:anchor>
            </w:drawing>
          </mc:Choice>
          <mc:Fallback>
            <w:pict>
              <v:rect id="Shape 57" o:spid="_x0000_s1082" style="position:absolute;margin-left:456.6pt;margin-top:-96.4999pt;width:45.3pt;height:8.7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FDFDFC" stroked="f"/>
            </w:pict>
          </mc:Fallback>
        </mc:AlternateContent>
        <mc:AlternateContent>
          <mc:Choice Requires="wps">
            <w:drawing>
              <wp:anchor simplePos="0" relativeHeight="251657728" behindDoc="1" locked="0" layoutInCell="0" allowOverlap="1">
                <wp:simplePos x="0" y="0"/>
                <wp:positionH relativeFrom="column">
                  <wp:posOffset>6374130</wp:posOffset>
                </wp:positionH>
                <wp:positionV relativeFrom="paragraph">
                  <wp:posOffset>-1231265</wp:posOffset>
                </wp:positionV>
                <wp:extent cx="153670" cy="116205"/>
                <wp:wrapNone/>
                <wp:docPr id="58" name="Shape 5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53670" cy="116205"/>
                        </a:xfrm>
                        <a:prstGeom prst="rect">
                          <a:avLst/>
                        </a:prstGeom>
                        <a:solidFill>
                          <a:srgbClr val="FDFDFC"/>
                        </a:solidFill>
                      </wps:spPr>
                      <wps:bodyPr/>
                    </wps:wsp>
                  </a:graphicData>
                </a:graphic>
              </wp:anchor>
            </w:drawing>
          </mc:Choice>
          <mc:Fallback>
            <w:pict>
              <v:rect id="Shape 58" o:spid="_x0000_s1083" style="position:absolute;margin-left:501.9pt;margin-top:-96.9499pt;width:12.1pt;height:9.1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FDFDFC" stroked="f"/>
            </w:pict>
          </mc:Fallback>
        </mc:AlternateContent>
        <mc:AlternateContent>
          <mc:Choice Requires="wps">
            <w:drawing>
              <wp:anchor simplePos="0" relativeHeight="251657728" behindDoc="1" locked="0" layoutInCell="0" allowOverlap="1">
                <wp:simplePos x="0" y="0"/>
                <wp:positionH relativeFrom="column">
                  <wp:posOffset>5798820</wp:posOffset>
                </wp:positionH>
                <wp:positionV relativeFrom="paragraph">
                  <wp:posOffset>-1108710</wp:posOffset>
                </wp:positionV>
                <wp:extent cx="575945" cy="220345"/>
                <wp:wrapNone/>
                <wp:docPr id="59" name="Shape 5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75945" cy="220345"/>
                        </a:xfrm>
                        <a:prstGeom prst="rect">
                          <a:avLst/>
                        </a:prstGeom>
                        <a:solidFill>
                          <a:srgbClr val="D0EBF2"/>
                        </a:solidFill>
                      </wps:spPr>
                      <wps:bodyPr/>
                    </wps:wsp>
                  </a:graphicData>
                </a:graphic>
              </wp:anchor>
            </w:drawing>
          </mc:Choice>
          <mc:Fallback>
            <w:pict>
              <v:rect id="Shape 59" o:spid="_x0000_s1084" style="position:absolute;margin-left:456.6pt;margin-top:-87.2999pt;width:45.35pt;height:17.3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0EBF2" stroked="f"/>
            </w:pict>
          </mc:Fallback>
        </mc:AlternateContent>
        <mc:AlternateContent>
          <mc:Choice Requires="wps">
            <w:drawing>
              <wp:anchor simplePos="0" relativeHeight="251657728" behindDoc="1" locked="0" layoutInCell="0" allowOverlap="1">
                <wp:simplePos x="0" y="0"/>
                <wp:positionH relativeFrom="column">
                  <wp:posOffset>6374765</wp:posOffset>
                </wp:positionH>
                <wp:positionV relativeFrom="paragraph">
                  <wp:posOffset>-1114425</wp:posOffset>
                </wp:positionV>
                <wp:extent cx="153670" cy="226060"/>
                <wp:wrapNone/>
                <wp:docPr id="60" name="Shape 6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53670" cy="226060"/>
                        </a:xfrm>
                        <a:prstGeom prst="rect">
                          <a:avLst/>
                        </a:prstGeom>
                        <a:solidFill>
                          <a:srgbClr val="D0EBF2"/>
                        </a:solidFill>
                      </wps:spPr>
                      <wps:bodyPr/>
                    </wps:wsp>
                  </a:graphicData>
                </a:graphic>
              </wp:anchor>
            </w:drawing>
          </mc:Choice>
          <mc:Fallback>
            <w:pict>
              <v:rect id="Shape 60" o:spid="_x0000_s1085" style="position:absolute;margin-left:501.95pt;margin-top:-87.7499pt;width:12.1pt;height:17.8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0EBF2" stroked="f"/>
            </w:pict>
          </mc:Fallback>
        </mc:AlternateContent>
      </w:r>
    </w:p>
    <w:p>
      <w:pPr>
        <w:sectPr>
          <w:pgSz w:w="12240" w:h="15840" w:orient="portrait"/>
          <w:cols w:equalWidth="0" w:num="1">
            <w:col w:w="10280"/>
          </w:cols>
          <w:pgMar w:left="980" w:top="1322" w:right="980" w:bottom="574" w:gutter="0" w:footer="0" w:header="0"/>
        </w:sect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231F20"/>
        </w:rPr>
        <w:t>F-19</w:t>
      </w:r>
    </w:p>
    <w:p>
      <w:pPr>
        <w:sectPr>
          <w:pgSz w:w="12240" w:h="15840" w:orient="portrait"/>
          <w:cols w:equalWidth="0" w:num="1">
            <w:col w:w="10280"/>
          </w:cols>
          <w:pgMar w:left="980" w:top="1322" w:right="980" w:bottom="574" w:gutter="0" w:footer="0" w:header="0"/>
          <w:type w:val="continuous"/>
        </w:sectPr>
      </w:pPr>
    </w:p>
    <w:bookmarkStart w:id="107" w:name="page108"/>
    <w:bookmarkEnd w:id="107"/>
    <w:tbl>
      <w:tblPr>
        <w:tblLayout w:type="fixed"/>
        <w:tblInd w:w="0" w:type="dxa"/>
        <w:tblCellMar>
          <w:top w:w="0" w:type="dxa"/>
          <w:left w:w="0" w:type="dxa"/>
          <w:bottom w:w="0" w:type="dxa"/>
          <w:right w:w="0" w:type="dxa"/>
        </w:tblCellMar>
      </w:tblPr>
      <w:tr>
        <w:trPr>
          <w:trHeight w:val="172"/>
        </w:trPr>
        <w:tc>
          <w:tcPr>
            <w:tcW w:w="1440" w:type="dxa"/>
            <w:vAlign w:val="bottom"/>
            <w:shd w:val="clear" w:color="auto" w:fill="D0EBF2"/>
          </w:tcPr>
          <w:p>
            <w:pPr>
              <w:spacing w:after="0"/>
              <w:rPr>
                <w:sz w:val="20"/>
                <w:szCs w:val="20"/>
                <w:color w:val="auto"/>
              </w:rPr>
            </w:pPr>
            <w:r>
              <w:rPr>
                <w:rFonts w:ascii="Times New Roman" w:cs="Times New Roman" w:eastAsia="Times New Roman" w:hAnsi="Times New Roman"/>
                <w:sz w:val="15"/>
                <w:szCs w:val="15"/>
                <w:color w:val="231F20"/>
              </w:rPr>
              <w:t>Dye &amp; Durham, Ltd.</w:t>
            </w:r>
          </w:p>
        </w:tc>
        <w:tc>
          <w:tcPr>
            <w:tcW w:w="2440" w:type="dxa"/>
            <w:vAlign w:val="bottom"/>
            <w:shd w:val="clear" w:color="auto" w:fill="D0EBF2"/>
          </w:tcPr>
          <w:p>
            <w:pPr>
              <w:ind w:left="80"/>
              <w:spacing w:after="0"/>
              <w:rPr>
                <w:sz w:val="20"/>
                <w:szCs w:val="20"/>
                <w:color w:val="auto"/>
              </w:rPr>
            </w:pPr>
            <w:r>
              <w:rPr>
                <w:rFonts w:ascii="Times New Roman" w:cs="Times New Roman" w:eastAsia="Times New Roman" w:hAnsi="Times New Roman"/>
                <w:sz w:val="15"/>
                <w:szCs w:val="15"/>
                <w:color w:val="231F20"/>
              </w:rPr>
              <w:t>Common Shares (126,968 shares)</w:t>
            </w:r>
          </w:p>
        </w:tc>
        <w:tc>
          <w:tcPr>
            <w:tcW w:w="820" w:type="dxa"/>
            <w:vAlign w:val="bottom"/>
            <w:shd w:val="clear" w:color="auto" w:fill="D0EBF2"/>
          </w:tcPr>
          <w:p>
            <w:pPr>
              <w:jc w:val="right"/>
              <w:spacing w:after="0"/>
              <w:rPr>
                <w:sz w:val="20"/>
                <w:szCs w:val="20"/>
                <w:color w:val="auto"/>
              </w:rPr>
            </w:pPr>
            <w:r>
              <w:rPr>
                <w:rFonts w:ascii="Times New Roman" w:cs="Times New Roman" w:eastAsia="Times New Roman" w:hAnsi="Times New Roman"/>
                <w:sz w:val="15"/>
                <w:szCs w:val="15"/>
                <w:color w:val="231F20"/>
              </w:rPr>
              <w:t>12/3/2021</w:t>
            </w:r>
          </w:p>
        </w:tc>
        <w:tc>
          <w:tcPr>
            <w:tcW w:w="20" w:type="dxa"/>
            <w:vAlign w:val="bottom"/>
          </w:tcPr>
          <w:p>
            <w:pPr>
              <w:spacing w:after="0"/>
              <w:rPr>
                <w:sz w:val="15"/>
                <w:szCs w:val="15"/>
                <w:color w:val="auto"/>
              </w:rPr>
            </w:pPr>
          </w:p>
        </w:tc>
        <w:tc>
          <w:tcPr>
            <w:tcW w:w="3080" w:type="dxa"/>
            <w:vAlign w:val="bottom"/>
            <w:gridSpan w:val="2"/>
            <w:shd w:val="clear" w:color="auto" w:fill="D0EBF2"/>
          </w:tcPr>
          <w:p>
            <w:pPr>
              <w:jc w:val="right"/>
              <w:spacing w:after="0"/>
              <w:rPr>
                <w:sz w:val="20"/>
                <w:szCs w:val="20"/>
                <w:color w:val="auto"/>
              </w:rPr>
            </w:pPr>
            <w:r>
              <w:rPr>
                <w:rFonts w:ascii="Times New Roman" w:cs="Times New Roman" w:eastAsia="Times New Roman" w:hAnsi="Times New Roman"/>
                <w:sz w:val="15"/>
                <w:szCs w:val="15"/>
                <w:color w:val="231F20"/>
              </w:rPr>
              <w:t>3,909</w:t>
            </w:r>
          </w:p>
        </w:tc>
        <w:tc>
          <w:tcPr>
            <w:tcW w:w="1140" w:type="dxa"/>
            <w:vAlign w:val="bottom"/>
            <w:gridSpan w:val="2"/>
            <w:shd w:val="clear" w:color="auto" w:fill="D0EBF2"/>
          </w:tcPr>
          <w:p>
            <w:pPr>
              <w:jc w:val="right"/>
              <w:spacing w:after="0"/>
              <w:rPr>
                <w:sz w:val="20"/>
                <w:szCs w:val="20"/>
                <w:color w:val="auto"/>
              </w:rPr>
            </w:pPr>
            <w:r>
              <w:rPr>
                <w:rFonts w:ascii="Times New Roman" w:cs="Times New Roman" w:eastAsia="Times New Roman" w:hAnsi="Times New Roman"/>
                <w:sz w:val="15"/>
                <w:szCs w:val="15"/>
                <w:color w:val="231F20"/>
              </w:rPr>
              <w:t>1,383</w:t>
            </w:r>
          </w:p>
        </w:tc>
        <w:tc>
          <w:tcPr>
            <w:tcW w:w="1340" w:type="dxa"/>
            <w:vAlign w:val="bottom"/>
            <w:gridSpan w:val="3"/>
            <w:shd w:val="clear" w:color="auto" w:fill="D0EBF2"/>
          </w:tcPr>
          <w:p>
            <w:pPr>
              <w:jc w:val="right"/>
              <w:ind w:right="120"/>
              <w:spacing w:after="0"/>
              <w:rPr>
                <w:sz w:val="20"/>
                <w:szCs w:val="20"/>
                <w:color w:val="auto"/>
              </w:rPr>
            </w:pPr>
            <w:r>
              <w:rPr>
                <w:rFonts w:ascii="Times New Roman" w:cs="Times New Roman" w:eastAsia="Times New Roman" w:hAnsi="Times New Roman"/>
                <w:sz w:val="15"/>
                <w:szCs w:val="15"/>
                <w:color w:val="231F20"/>
              </w:rPr>
              <w:t>0.1%</w:t>
            </w:r>
          </w:p>
        </w:tc>
        <w:tc>
          <w:tcPr>
            <w:tcW w:w="0" w:type="dxa"/>
            <w:vAlign w:val="bottom"/>
          </w:tcPr>
          <w:p>
            <w:pPr>
              <w:spacing w:after="0"/>
              <w:rPr>
                <w:sz w:val="1"/>
                <w:szCs w:val="1"/>
                <w:color w:val="auto"/>
              </w:rPr>
            </w:pPr>
          </w:p>
        </w:tc>
      </w:tr>
      <w:tr>
        <w:trPr>
          <w:trHeight w:val="189"/>
        </w:trPr>
        <w:tc>
          <w:tcPr>
            <w:tcW w:w="1440" w:type="dxa"/>
            <w:vAlign w:val="bottom"/>
            <w:shd w:val="clear" w:color="auto" w:fill="D0EBF2"/>
          </w:tcPr>
          <w:p>
            <w:pPr>
              <w:spacing w:after="0"/>
              <w:rPr>
                <w:sz w:val="20"/>
                <w:szCs w:val="20"/>
                <w:color w:val="auto"/>
              </w:rPr>
            </w:pPr>
            <w:r>
              <w:rPr>
                <w:rFonts w:ascii="Times New Roman" w:cs="Times New Roman" w:eastAsia="Times New Roman" w:hAnsi="Times New Roman"/>
                <w:sz w:val="9"/>
                <w:szCs w:val="9"/>
                <w:color w:val="231F20"/>
              </w:rPr>
              <w:t>(4)(10)</w:t>
            </w:r>
          </w:p>
        </w:tc>
        <w:tc>
          <w:tcPr>
            <w:tcW w:w="2440" w:type="dxa"/>
            <w:vAlign w:val="bottom"/>
            <w:shd w:val="clear" w:color="auto" w:fill="D0EBF2"/>
          </w:tcPr>
          <w:p>
            <w:pPr>
              <w:spacing w:after="0"/>
              <w:rPr>
                <w:sz w:val="16"/>
                <w:szCs w:val="16"/>
                <w:color w:val="auto"/>
              </w:rPr>
            </w:pPr>
          </w:p>
        </w:tc>
        <w:tc>
          <w:tcPr>
            <w:tcW w:w="820" w:type="dxa"/>
            <w:vAlign w:val="bottom"/>
            <w:shd w:val="clear" w:color="auto" w:fill="D0EBF2"/>
          </w:tcPr>
          <w:p>
            <w:pPr>
              <w:spacing w:after="0"/>
              <w:rPr>
                <w:sz w:val="16"/>
                <w:szCs w:val="16"/>
                <w:color w:val="auto"/>
              </w:rPr>
            </w:pPr>
          </w:p>
        </w:tc>
        <w:tc>
          <w:tcPr>
            <w:tcW w:w="20" w:type="dxa"/>
            <w:vAlign w:val="bottom"/>
          </w:tcPr>
          <w:p>
            <w:pPr>
              <w:spacing w:after="0"/>
              <w:rPr>
                <w:sz w:val="16"/>
                <w:szCs w:val="16"/>
                <w:color w:val="auto"/>
              </w:rPr>
            </w:pPr>
          </w:p>
        </w:tc>
        <w:tc>
          <w:tcPr>
            <w:tcW w:w="2080" w:type="dxa"/>
            <w:vAlign w:val="bottom"/>
            <w:shd w:val="clear" w:color="auto" w:fill="D0EBF2"/>
          </w:tcPr>
          <w:p>
            <w:pPr>
              <w:spacing w:after="0"/>
              <w:rPr>
                <w:sz w:val="16"/>
                <w:szCs w:val="16"/>
                <w:color w:val="auto"/>
              </w:rPr>
            </w:pPr>
          </w:p>
        </w:tc>
        <w:tc>
          <w:tcPr>
            <w:tcW w:w="1000" w:type="dxa"/>
            <w:vAlign w:val="bottom"/>
            <w:shd w:val="clear" w:color="auto" w:fill="D0EBF2"/>
          </w:tcPr>
          <w:p>
            <w:pPr>
              <w:spacing w:after="0"/>
              <w:rPr>
                <w:sz w:val="16"/>
                <w:szCs w:val="16"/>
                <w:color w:val="auto"/>
              </w:rPr>
            </w:pPr>
          </w:p>
        </w:tc>
        <w:tc>
          <w:tcPr>
            <w:tcW w:w="180" w:type="dxa"/>
            <w:vAlign w:val="bottom"/>
            <w:shd w:val="clear" w:color="auto" w:fill="D0EBF2"/>
          </w:tcPr>
          <w:p>
            <w:pPr>
              <w:spacing w:after="0"/>
              <w:rPr>
                <w:sz w:val="16"/>
                <w:szCs w:val="16"/>
                <w:color w:val="auto"/>
              </w:rPr>
            </w:pPr>
          </w:p>
        </w:tc>
        <w:tc>
          <w:tcPr>
            <w:tcW w:w="960" w:type="dxa"/>
            <w:vAlign w:val="bottom"/>
            <w:shd w:val="clear" w:color="auto" w:fill="D0EBF2"/>
          </w:tcPr>
          <w:p>
            <w:pPr>
              <w:jc w:val="right"/>
              <w:spacing w:after="0"/>
              <w:rPr>
                <w:sz w:val="20"/>
                <w:szCs w:val="20"/>
                <w:color w:val="auto"/>
              </w:rPr>
            </w:pPr>
            <w:r>
              <w:rPr>
                <w:rFonts w:ascii="Times New Roman" w:cs="Times New Roman" w:eastAsia="Times New Roman" w:hAnsi="Times New Roman"/>
                <w:sz w:val="15"/>
                <w:szCs w:val="15"/>
                <w:color w:val="231F20"/>
              </w:rPr>
              <w:t>(CAD 1,823)</w:t>
            </w:r>
          </w:p>
        </w:tc>
        <w:tc>
          <w:tcPr>
            <w:tcW w:w="200" w:type="dxa"/>
            <w:vAlign w:val="bottom"/>
            <w:shd w:val="clear" w:color="auto" w:fill="D0EBF2"/>
          </w:tcPr>
          <w:p>
            <w:pPr>
              <w:spacing w:after="0"/>
              <w:rPr>
                <w:sz w:val="16"/>
                <w:szCs w:val="16"/>
                <w:color w:val="auto"/>
              </w:rPr>
            </w:pPr>
          </w:p>
        </w:tc>
        <w:tc>
          <w:tcPr>
            <w:tcW w:w="900" w:type="dxa"/>
            <w:vAlign w:val="bottom"/>
            <w:shd w:val="clear" w:color="auto" w:fill="D0EBF2"/>
          </w:tcPr>
          <w:p>
            <w:pPr>
              <w:spacing w:after="0"/>
              <w:rPr>
                <w:sz w:val="16"/>
                <w:szCs w:val="16"/>
                <w:color w:val="auto"/>
              </w:rPr>
            </w:pPr>
          </w:p>
        </w:tc>
        <w:tc>
          <w:tcPr>
            <w:tcW w:w="240" w:type="dxa"/>
            <w:vAlign w:val="bottom"/>
            <w:shd w:val="clear" w:color="auto" w:fill="D0EBF2"/>
          </w:tcPr>
          <w:p>
            <w:pPr>
              <w:spacing w:after="0"/>
              <w:rPr>
                <w:sz w:val="16"/>
                <w:szCs w:val="16"/>
                <w:color w:val="auto"/>
              </w:rPr>
            </w:pPr>
          </w:p>
        </w:tc>
        <w:tc>
          <w:tcPr>
            <w:tcW w:w="0" w:type="dxa"/>
            <w:vAlign w:val="bottom"/>
          </w:tcPr>
          <w:p>
            <w:pPr>
              <w:spacing w:after="0"/>
              <w:rPr>
                <w:sz w:val="1"/>
                <w:szCs w:val="1"/>
                <w:color w:val="auto"/>
              </w:rPr>
            </w:pPr>
          </w:p>
        </w:tc>
      </w:tr>
      <w:tr>
        <w:trPr>
          <w:trHeight w:val="158"/>
        </w:trPr>
        <w:tc>
          <w:tcPr>
            <w:tcW w:w="1440" w:type="dxa"/>
            <w:vAlign w:val="bottom"/>
            <w:shd w:val="clear" w:color="auto" w:fill="FDFDFC"/>
          </w:tcPr>
          <w:p>
            <w:pPr>
              <w:spacing w:after="0" w:line="159" w:lineRule="exact"/>
              <w:rPr>
                <w:sz w:val="20"/>
                <w:szCs w:val="20"/>
                <w:color w:val="auto"/>
              </w:rPr>
            </w:pPr>
            <w:r>
              <w:rPr>
                <w:rFonts w:ascii="Times New Roman" w:cs="Times New Roman" w:eastAsia="Times New Roman" w:hAnsi="Times New Roman"/>
                <w:sz w:val="15"/>
                <w:szCs w:val="15"/>
                <w:color w:val="231F20"/>
              </w:rPr>
              <w:t>Mitnick TA</w:t>
            </w:r>
          </w:p>
        </w:tc>
        <w:tc>
          <w:tcPr>
            <w:tcW w:w="2440" w:type="dxa"/>
            <w:vAlign w:val="bottom"/>
            <w:shd w:val="clear" w:color="auto" w:fill="FDFDFC"/>
          </w:tcPr>
          <w:p>
            <w:pPr>
              <w:ind w:left="80"/>
              <w:spacing w:after="0" w:line="159" w:lineRule="exact"/>
              <w:rPr>
                <w:sz w:val="20"/>
                <w:szCs w:val="20"/>
                <w:color w:val="auto"/>
              </w:rPr>
            </w:pPr>
            <w:r>
              <w:rPr>
                <w:rFonts w:ascii="Times New Roman" w:cs="Times New Roman" w:eastAsia="Times New Roman" w:hAnsi="Times New Roman"/>
                <w:sz w:val="15"/>
                <w:szCs w:val="15"/>
                <w:color w:val="231F20"/>
              </w:rPr>
              <w:t>Membership Interest (0.43%</w:t>
            </w:r>
          </w:p>
        </w:tc>
        <w:tc>
          <w:tcPr>
            <w:tcW w:w="820" w:type="dxa"/>
            <w:vAlign w:val="bottom"/>
            <w:shd w:val="clear" w:color="auto" w:fill="FDFDFC"/>
          </w:tcPr>
          <w:p>
            <w:pPr>
              <w:jc w:val="right"/>
              <w:spacing w:after="0" w:line="159" w:lineRule="exact"/>
              <w:rPr>
                <w:sz w:val="20"/>
                <w:szCs w:val="20"/>
                <w:color w:val="auto"/>
              </w:rPr>
            </w:pPr>
            <w:r>
              <w:rPr>
                <w:rFonts w:ascii="Times New Roman" w:cs="Times New Roman" w:eastAsia="Times New Roman" w:hAnsi="Times New Roman"/>
                <w:sz w:val="15"/>
                <w:szCs w:val="15"/>
                <w:color w:val="231F20"/>
              </w:rPr>
              <w:t>5/2/2022</w:t>
            </w:r>
          </w:p>
        </w:tc>
        <w:tc>
          <w:tcPr>
            <w:tcW w:w="20" w:type="dxa"/>
            <w:vAlign w:val="bottom"/>
          </w:tcPr>
          <w:p>
            <w:pPr>
              <w:spacing w:after="0"/>
              <w:rPr>
                <w:sz w:val="13"/>
                <w:szCs w:val="13"/>
                <w:color w:val="auto"/>
              </w:rPr>
            </w:pPr>
          </w:p>
        </w:tc>
        <w:tc>
          <w:tcPr>
            <w:tcW w:w="3080" w:type="dxa"/>
            <w:vAlign w:val="bottom"/>
            <w:gridSpan w:val="2"/>
            <w:shd w:val="clear" w:color="auto" w:fill="FDFDFC"/>
          </w:tcPr>
          <w:p>
            <w:pPr>
              <w:jc w:val="right"/>
              <w:spacing w:after="0" w:line="159" w:lineRule="exact"/>
              <w:rPr>
                <w:sz w:val="20"/>
                <w:szCs w:val="20"/>
                <w:color w:val="auto"/>
              </w:rPr>
            </w:pPr>
            <w:r>
              <w:rPr>
                <w:rFonts w:ascii="Times New Roman" w:cs="Times New Roman" w:eastAsia="Times New Roman" w:hAnsi="Times New Roman"/>
                <w:sz w:val="15"/>
                <w:szCs w:val="15"/>
                <w:color w:val="231F20"/>
              </w:rPr>
              <w:t>5,243</w:t>
            </w:r>
          </w:p>
        </w:tc>
        <w:tc>
          <w:tcPr>
            <w:tcW w:w="1140" w:type="dxa"/>
            <w:vAlign w:val="bottom"/>
            <w:gridSpan w:val="2"/>
            <w:shd w:val="clear" w:color="auto" w:fill="FDFDFC"/>
          </w:tcPr>
          <w:p>
            <w:pPr>
              <w:jc w:val="right"/>
              <w:spacing w:after="0" w:line="159" w:lineRule="exact"/>
              <w:rPr>
                <w:sz w:val="20"/>
                <w:szCs w:val="20"/>
                <w:color w:val="auto"/>
              </w:rPr>
            </w:pPr>
            <w:r>
              <w:rPr>
                <w:rFonts w:ascii="Times New Roman" w:cs="Times New Roman" w:eastAsia="Times New Roman" w:hAnsi="Times New Roman"/>
                <w:sz w:val="15"/>
                <w:szCs w:val="15"/>
                <w:color w:val="231F20"/>
              </w:rPr>
              <w:t>4,496</w:t>
            </w:r>
          </w:p>
        </w:tc>
        <w:tc>
          <w:tcPr>
            <w:tcW w:w="1340" w:type="dxa"/>
            <w:vAlign w:val="bottom"/>
            <w:gridSpan w:val="3"/>
            <w:shd w:val="clear" w:color="auto" w:fill="FDFDFC"/>
          </w:tcPr>
          <w:p>
            <w:pPr>
              <w:jc w:val="right"/>
              <w:ind w:right="120"/>
              <w:spacing w:after="0" w:line="159" w:lineRule="exact"/>
              <w:rPr>
                <w:sz w:val="20"/>
                <w:szCs w:val="20"/>
                <w:color w:val="auto"/>
              </w:rPr>
            </w:pPr>
            <w:r>
              <w:rPr>
                <w:rFonts w:ascii="Times New Roman" w:cs="Times New Roman" w:eastAsia="Times New Roman" w:hAnsi="Times New Roman"/>
                <w:sz w:val="15"/>
                <w:szCs w:val="15"/>
                <w:color w:val="231F20"/>
              </w:rPr>
              <w:t>0.3%</w:t>
            </w:r>
          </w:p>
        </w:tc>
        <w:tc>
          <w:tcPr>
            <w:tcW w:w="0" w:type="dxa"/>
            <w:vAlign w:val="bottom"/>
          </w:tcPr>
          <w:p>
            <w:pPr>
              <w:spacing w:after="0"/>
              <w:rPr>
                <w:sz w:val="1"/>
                <w:szCs w:val="1"/>
                <w:color w:val="auto"/>
              </w:rPr>
            </w:pPr>
          </w:p>
        </w:tc>
      </w:tr>
      <w:tr>
        <w:trPr>
          <w:trHeight w:val="189"/>
        </w:trPr>
        <w:tc>
          <w:tcPr>
            <w:tcW w:w="1440" w:type="dxa"/>
            <w:vAlign w:val="bottom"/>
            <w:shd w:val="clear" w:color="auto" w:fill="FDFDFC"/>
          </w:tcPr>
          <w:p>
            <w:pPr>
              <w:spacing w:after="0"/>
              <w:rPr>
                <w:sz w:val="20"/>
                <w:szCs w:val="20"/>
                <w:color w:val="auto"/>
              </w:rPr>
            </w:pPr>
            <w:r>
              <w:rPr>
                <w:rFonts w:ascii="Times New Roman" w:cs="Times New Roman" w:eastAsia="Times New Roman" w:hAnsi="Times New Roman"/>
                <w:sz w:val="15"/>
                <w:szCs w:val="15"/>
                <w:color w:val="231F20"/>
              </w:rPr>
              <w:t xml:space="preserve">Aggregator, L.P. </w:t>
            </w:r>
            <w:r>
              <w:rPr>
                <w:rFonts w:ascii="Times New Roman" w:cs="Times New Roman" w:eastAsia="Times New Roman" w:hAnsi="Times New Roman"/>
                <w:sz w:val="9"/>
                <w:szCs w:val="9"/>
                <w:color w:val="231F20"/>
              </w:rPr>
              <w:t>(11)</w:t>
            </w:r>
          </w:p>
        </w:tc>
        <w:tc>
          <w:tcPr>
            <w:tcW w:w="2440" w:type="dxa"/>
            <w:vAlign w:val="bottom"/>
            <w:shd w:val="clear" w:color="auto" w:fill="FDFDFC"/>
          </w:tcPr>
          <w:p>
            <w:pPr>
              <w:ind w:left="80"/>
              <w:spacing w:after="0"/>
              <w:rPr>
                <w:sz w:val="20"/>
                <w:szCs w:val="20"/>
                <w:color w:val="auto"/>
              </w:rPr>
            </w:pPr>
            <w:r>
              <w:rPr>
                <w:rFonts w:ascii="Times New Roman" w:cs="Times New Roman" w:eastAsia="Times New Roman" w:hAnsi="Times New Roman"/>
                <w:sz w:val="15"/>
                <w:szCs w:val="15"/>
                <w:color w:val="231F20"/>
              </w:rPr>
              <w:t>ownership)</w:t>
            </w:r>
          </w:p>
        </w:tc>
        <w:tc>
          <w:tcPr>
            <w:tcW w:w="820" w:type="dxa"/>
            <w:vAlign w:val="bottom"/>
            <w:shd w:val="clear" w:color="auto" w:fill="FDFDFC"/>
          </w:tcPr>
          <w:p>
            <w:pPr>
              <w:spacing w:after="0"/>
              <w:rPr>
                <w:sz w:val="16"/>
                <w:szCs w:val="16"/>
                <w:color w:val="auto"/>
              </w:rPr>
            </w:pPr>
          </w:p>
        </w:tc>
        <w:tc>
          <w:tcPr>
            <w:tcW w:w="20" w:type="dxa"/>
            <w:vAlign w:val="bottom"/>
          </w:tcPr>
          <w:p>
            <w:pPr>
              <w:spacing w:after="0"/>
              <w:rPr>
                <w:sz w:val="16"/>
                <w:szCs w:val="16"/>
                <w:color w:val="auto"/>
              </w:rPr>
            </w:pPr>
          </w:p>
        </w:tc>
        <w:tc>
          <w:tcPr>
            <w:tcW w:w="2080" w:type="dxa"/>
            <w:vAlign w:val="bottom"/>
            <w:shd w:val="clear" w:color="auto" w:fill="FDFDFC"/>
          </w:tcPr>
          <w:p>
            <w:pPr>
              <w:spacing w:after="0"/>
              <w:rPr>
                <w:sz w:val="16"/>
                <w:szCs w:val="16"/>
                <w:color w:val="auto"/>
              </w:rPr>
            </w:pPr>
          </w:p>
        </w:tc>
        <w:tc>
          <w:tcPr>
            <w:tcW w:w="1000" w:type="dxa"/>
            <w:vAlign w:val="bottom"/>
            <w:shd w:val="clear" w:color="auto" w:fill="FDFDFC"/>
          </w:tcPr>
          <w:p>
            <w:pPr>
              <w:spacing w:after="0"/>
              <w:rPr>
                <w:sz w:val="16"/>
                <w:szCs w:val="16"/>
                <w:color w:val="auto"/>
              </w:rPr>
            </w:pPr>
          </w:p>
        </w:tc>
        <w:tc>
          <w:tcPr>
            <w:tcW w:w="180" w:type="dxa"/>
            <w:vAlign w:val="bottom"/>
            <w:shd w:val="clear" w:color="auto" w:fill="FDFDFC"/>
          </w:tcPr>
          <w:p>
            <w:pPr>
              <w:spacing w:after="0"/>
              <w:rPr>
                <w:sz w:val="16"/>
                <w:szCs w:val="16"/>
                <w:color w:val="auto"/>
              </w:rPr>
            </w:pPr>
          </w:p>
        </w:tc>
        <w:tc>
          <w:tcPr>
            <w:tcW w:w="960" w:type="dxa"/>
            <w:vAlign w:val="bottom"/>
            <w:shd w:val="clear" w:color="auto" w:fill="FDFDFC"/>
          </w:tcPr>
          <w:p>
            <w:pPr>
              <w:spacing w:after="0"/>
              <w:rPr>
                <w:sz w:val="16"/>
                <w:szCs w:val="16"/>
                <w:color w:val="auto"/>
              </w:rPr>
            </w:pPr>
          </w:p>
        </w:tc>
        <w:tc>
          <w:tcPr>
            <w:tcW w:w="200" w:type="dxa"/>
            <w:vAlign w:val="bottom"/>
            <w:shd w:val="clear" w:color="auto" w:fill="FDFDFC"/>
          </w:tcPr>
          <w:p>
            <w:pPr>
              <w:spacing w:after="0"/>
              <w:rPr>
                <w:sz w:val="16"/>
                <w:szCs w:val="16"/>
                <w:color w:val="auto"/>
              </w:rPr>
            </w:pPr>
          </w:p>
        </w:tc>
        <w:tc>
          <w:tcPr>
            <w:tcW w:w="900" w:type="dxa"/>
            <w:vAlign w:val="bottom"/>
            <w:shd w:val="clear" w:color="auto" w:fill="FDFDFC"/>
          </w:tcPr>
          <w:p>
            <w:pPr>
              <w:spacing w:after="0"/>
              <w:rPr>
                <w:sz w:val="16"/>
                <w:szCs w:val="16"/>
                <w:color w:val="auto"/>
              </w:rPr>
            </w:pPr>
          </w:p>
        </w:tc>
        <w:tc>
          <w:tcPr>
            <w:tcW w:w="240" w:type="dxa"/>
            <w:vAlign w:val="bottom"/>
            <w:shd w:val="clear" w:color="auto" w:fill="FDFDFC"/>
          </w:tcPr>
          <w:p>
            <w:pPr>
              <w:spacing w:after="0"/>
              <w:rPr>
                <w:sz w:val="16"/>
                <w:szCs w:val="16"/>
                <w:color w:val="auto"/>
              </w:rPr>
            </w:pPr>
          </w:p>
        </w:tc>
        <w:tc>
          <w:tcPr>
            <w:tcW w:w="0" w:type="dxa"/>
            <w:vAlign w:val="bottom"/>
          </w:tcPr>
          <w:p>
            <w:pPr>
              <w:spacing w:after="0"/>
              <w:rPr>
                <w:sz w:val="1"/>
                <w:szCs w:val="1"/>
                <w:color w:val="auto"/>
              </w:rPr>
            </w:pPr>
          </w:p>
        </w:tc>
      </w:tr>
      <w:tr>
        <w:trPr>
          <w:trHeight w:val="174"/>
        </w:trPr>
        <w:tc>
          <w:tcPr>
            <w:tcW w:w="1440" w:type="dxa"/>
            <w:vAlign w:val="bottom"/>
            <w:shd w:val="clear" w:color="auto" w:fill="D0EBF2"/>
          </w:tcPr>
          <w:p>
            <w:pPr>
              <w:spacing w:after="0"/>
              <w:rPr>
                <w:sz w:val="20"/>
                <w:szCs w:val="20"/>
                <w:color w:val="auto"/>
              </w:rPr>
            </w:pPr>
            <w:r>
              <w:rPr>
                <w:rFonts w:ascii="Times New Roman" w:cs="Times New Roman" w:eastAsia="Times New Roman" w:hAnsi="Times New Roman"/>
                <w:sz w:val="15"/>
                <w:szCs w:val="15"/>
                <w:color w:val="231F20"/>
              </w:rPr>
              <w:t xml:space="preserve">ReliaQuest, LLC </w:t>
            </w:r>
            <w:r>
              <w:rPr>
                <w:rFonts w:ascii="Times New Roman" w:cs="Times New Roman" w:eastAsia="Times New Roman" w:hAnsi="Times New Roman"/>
                <w:sz w:val="9"/>
                <w:szCs w:val="9"/>
                <w:color w:val="231F20"/>
              </w:rPr>
              <w:t>(13)</w:t>
            </w:r>
          </w:p>
        </w:tc>
        <w:tc>
          <w:tcPr>
            <w:tcW w:w="2440" w:type="dxa"/>
            <w:vAlign w:val="bottom"/>
            <w:shd w:val="clear" w:color="auto" w:fill="D0EBF2"/>
          </w:tcPr>
          <w:p>
            <w:pPr>
              <w:ind w:left="80"/>
              <w:spacing w:after="0"/>
              <w:rPr>
                <w:sz w:val="20"/>
                <w:szCs w:val="20"/>
                <w:color w:val="auto"/>
              </w:rPr>
            </w:pPr>
            <w:r>
              <w:rPr>
                <w:rFonts w:ascii="Times New Roman" w:cs="Times New Roman" w:eastAsia="Times New Roman" w:hAnsi="Times New Roman"/>
                <w:sz w:val="15"/>
                <w:szCs w:val="15"/>
                <w:color w:val="231F20"/>
              </w:rPr>
              <w:t xml:space="preserve">Class A-1 Units (637,713 units) </w:t>
            </w:r>
            <w:r>
              <w:rPr>
                <w:rFonts w:ascii="Times New Roman" w:cs="Times New Roman" w:eastAsia="Times New Roman" w:hAnsi="Times New Roman"/>
                <w:sz w:val="9"/>
                <w:szCs w:val="9"/>
                <w:color w:val="231F20"/>
              </w:rPr>
              <w:t>(11)</w:t>
            </w:r>
          </w:p>
        </w:tc>
        <w:tc>
          <w:tcPr>
            <w:tcW w:w="820" w:type="dxa"/>
            <w:vAlign w:val="bottom"/>
            <w:shd w:val="clear" w:color="auto" w:fill="D0EBF2"/>
          </w:tcPr>
          <w:p>
            <w:pPr>
              <w:jc w:val="right"/>
              <w:spacing w:after="0"/>
              <w:rPr>
                <w:sz w:val="20"/>
                <w:szCs w:val="20"/>
                <w:color w:val="auto"/>
              </w:rPr>
            </w:pPr>
            <w:r>
              <w:rPr>
                <w:rFonts w:ascii="Times New Roman" w:cs="Times New Roman" w:eastAsia="Times New Roman" w:hAnsi="Times New Roman"/>
                <w:sz w:val="15"/>
                <w:szCs w:val="15"/>
                <w:color w:val="231F20"/>
              </w:rPr>
              <w:t>11/23/2021</w:t>
            </w:r>
          </w:p>
        </w:tc>
        <w:tc>
          <w:tcPr>
            <w:tcW w:w="20" w:type="dxa"/>
            <w:vAlign w:val="bottom"/>
          </w:tcPr>
          <w:p>
            <w:pPr>
              <w:spacing w:after="0"/>
              <w:rPr>
                <w:sz w:val="15"/>
                <w:szCs w:val="15"/>
                <w:color w:val="auto"/>
              </w:rPr>
            </w:pPr>
          </w:p>
        </w:tc>
        <w:tc>
          <w:tcPr>
            <w:tcW w:w="3080" w:type="dxa"/>
            <w:vAlign w:val="bottom"/>
            <w:gridSpan w:val="2"/>
            <w:shd w:val="clear" w:color="auto" w:fill="D0EBF2"/>
          </w:tcPr>
          <w:p>
            <w:pPr>
              <w:jc w:val="right"/>
              <w:spacing w:after="0"/>
              <w:rPr>
                <w:sz w:val="20"/>
                <w:szCs w:val="20"/>
                <w:color w:val="auto"/>
              </w:rPr>
            </w:pPr>
            <w:r>
              <w:rPr>
                <w:rFonts w:ascii="Times New Roman" w:cs="Times New Roman" w:eastAsia="Times New Roman" w:hAnsi="Times New Roman"/>
                <w:sz w:val="15"/>
                <w:szCs w:val="15"/>
                <w:color w:val="231F20"/>
              </w:rPr>
              <w:t>1,120</w:t>
            </w:r>
          </w:p>
        </w:tc>
        <w:tc>
          <w:tcPr>
            <w:tcW w:w="1140" w:type="dxa"/>
            <w:vAlign w:val="bottom"/>
            <w:gridSpan w:val="2"/>
            <w:shd w:val="clear" w:color="auto" w:fill="D0EBF2"/>
          </w:tcPr>
          <w:p>
            <w:pPr>
              <w:jc w:val="right"/>
              <w:spacing w:after="0"/>
              <w:rPr>
                <w:sz w:val="20"/>
                <w:szCs w:val="20"/>
                <w:color w:val="auto"/>
              </w:rPr>
            </w:pPr>
            <w:r>
              <w:rPr>
                <w:rFonts w:ascii="Times New Roman" w:cs="Times New Roman" w:eastAsia="Times New Roman" w:hAnsi="Times New Roman"/>
                <w:sz w:val="15"/>
                <w:szCs w:val="15"/>
                <w:color w:val="231F20"/>
              </w:rPr>
              <w:t>1,414</w:t>
            </w:r>
          </w:p>
        </w:tc>
        <w:tc>
          <w:tcPr>
            <w:tcW w:w="1340" w:type="dxa"/>
            <w:vAlign w:val="bottom"/>
            <w:gridSpan w:val="3"/>
            <w:shd w:val="clear" w:color="auto" w:fill="D0EBF2"/>
          </w:tcPr>
          <w:p>
            <w:pPr>
              <w:jc w:val="right"/>
              <w:ind w:right="120"/>
              <w:spacing w:after="0"/>
              <w:rPr>
                <w:sz w:val="20"/>
                <w:szCs w:val="20"/>
                <w:color w:val="auto"/>
              </w:rPr>
            </w:pPr>
            <w:r>
              <w:rPr>
                <w:rFonts w:ascii="Times New Roman" w:cs="Times New Roman" w:eastAsia="Times New Roman" w:hAnsi="Times New Roman"/>
                <w:sz w:val="15"/>
                <w:szCs w:val="15"/>
                <w:color w:val="231F20"/>
              </w:rPr>
              <w:t>0.1%</w:t>
            </w:r>
          </w:p>
        </w:tc>
        <w:tc>
          <w:tcPr>
            <w:tcW w:w="0" w:type="dxa"/>
            <w:vAlign w:val="bottom"/>
          </w:tcPr>
          <w:p>
            <w:pPr>
              <w:spacing w:after="0"/>
              <w:rPr>
                <w:sz w:val="1"/>
                <w:szCs w:val="1"/>
                <w:color w:val="auto"/>
              </w:rPr>
            </w:pPr>
          </w:p>
        </w:tc>
      </w:tr>
      <w:tr>
        <w:trPr>
          <w:trHeight w:val="174"/>
        </w:trPr>
        <w:tc>
          <w:tcPr>
            <w:tcW w:w="1440" w:type="dxa"/>
            <w:vAlign w:val="bottom"/>
            <w:shd w:val="clear" w:color="auto" w:fill="FDFDFC"/>
          </w:tcPr>
          <w:p>
            <w:pPr>
              <w:spacing w:after="0"/>
              <w:rPr>
                <w:sz w:val="15"/>
                <w:szCs w:val="15"/>
                <w:color w:val="auto"/>
              </w:rPr>
            </w:pPr>
          </w:p>
        </w:tc>
        <w:tc>
          <w:tcPr>
            <w:tcW w:w="2440" w:type="dxa"/>
            <w:vAlign w:val="bottom"/>
            <w:shd w:val="clear" w:color="auto" w:fill="FDFDFC"/>
          </w:tcPr>
          <w:p>
            <w:pPr>
              <w:ind w:left="80"/>
              <w:spacing w:after="0"/>
              <w:rPr>
                <w:sz w:val="20"/>
                <w:szCs w:val="20"/>
                <w:color w:val="auto"/>
              </w:rPr>
            </w:pPr>
            <w:r>
              <w:rPr>
                <w:rFonts w:ascii="Times New Roman" w:cs="Times New Roman" w:eastAsia="Times New Roman" w:hAnsi="Times New Roman"/>
                <w:sz w:val="15"/>
                <w:szCs w:val="15"/>
                <w:color w:val="231F20"/>
              </w:rPr>
              <w:t xml:space="preserve">Class A-2 Units (2,989 units) </w:t>
            </w:r>
            <w:r>
              <w:rPr>
                <w:rFonts w:ascii="Times New Roman" w:cs="Times New Roman" w:eastAsia="Times New Roman" w:hAnsi="Times New Roman"/>
                <w:sz w:val="9"/>
                <w:szCs w:val="9"/>
                <w:color w:val="231F20"/>
              </w:rPr>
              <w:t>(11)</w:t>
            </w:r>
          </w:p>
        </w:tc>
        <w:tc>
          <w:tcPr>
            <w:tcW w:w="820" w:type="dxa"/>
            <w:vAlign w:val="bottom"/>
            <w:shd w:val="clear" w:color="auto" w:fill="FDFDFC"/>
          </w:tcPr>
          <w:p>
            <w:pPr>
              <w:jc w:val="right"/>
              <w:spacing w:after="0"/>
              <w:rPr>
                <w:sz w:val="20"/>
                <w:szCs w:val="20"/>
                <w:color w:val="auto"/>
              </w:rPr>
            </w:pPr>
            <w:r>
              <w:rPr>
                <w:rFonts w:ascii="Times New Roman" w:cs="Times New Roman" w:eastAsia="Times New Roman" w:hAnsi="Times New Roman"/>
                <w:sz w:val="15"/>
                <w:szCs w:val="15"/>
                <w:color w:val="231F20"/>
              </w:rPr>
              <w:t>6/21/2022</w:t>
            </w:r>
          </w:p>
        </w:tc>
        <w:tc>
          <w:tcPr>
            <w:tcW w:w="20" w:type="dxa"/>
            <w:vAlign w:val="bottom"/>
          </w:tcPr>
          <w:p>
            <w:pPr>
              <w:spacing w:after="0"/>
              <w:rPr>
                <w:sz w:val="15"/>
                <w:szCs w:val="15"/>
                <w:color w:val="auto"/>
              </w:rPr>
            </w:pPr>
          </w:p>
        </w:tc>
        <w:tc>
          <w:tcPr>
            <w:tcW w:w="3080" w:type="dxa"/>
            <w:vAlign w:val="bottom"/>
            <w:gridSpan w:val="2"/>
            <w:shd w:val="clear" w:color="auto" w:fill="FDFDFC"/>
          </w:tcPr>
          <w:p>
            <w:pPr>
              <w:jc w:val="right"/>
              <w:spacing w:after="0"/>
              <w:rPr>
                <w:sz w:val="20"/>
                <w:szCs w:val="20"/>
                <w:color w:val="auto"/>
              </w:rPr>
            </w:pPr>
            <w:r>
              <w:rPr>
                <w:rFonts w:ascii="Times New Roman" w:cs="Times New Roman" w:eastAsia="Times New Roman" w:hAnsi="Times New Roman"/>
                <w:sz w:val="15"/>
                <w:szCs w:val="15"/>
                <w:color w:val="231F20"/>
              </w:rPr>
              <w:t>6</w:t>
            </w:r>
          </w:p>
        </w:tc>
        <w:tc>
          <w:tcPr>
            <w:tcW w:w="1140" w:type="dxa"/>
            <w:vAlign w:val="bottom"/>
            <w:gridSpan w:val="2"/>
            <w:shd w:val="clear" w:color="auto" w:fill="FDFDFC"/>
          </w:tcPr>
          <w:p>
            <w:pPr>
              <w:jc w:val="right"/>
              <w:spacing w:after="0"/>
              <w:rPr>
                <w:sz w:val="20"/>
                <w:szCs w:val="20"/>
                <w:color w:val="auto"/>
              </w:rPr>
            </w:pPr>
            <w:r>
              <w:rPr>
                <w:rFonts w:ascii="Times New Roman" w:cs="Times New Roman" w:eastAsia="Times New Roman" w:hAnsi="Times New Roman"/>
                <w:sz w:val="15"/>
                <w:szCs w:val="15"/>
                <w:color w:val="231F20"/>
              </w:rPr>
              <w:t>8</w:t>
            </w:r>
          </w:p>
        </w:tc>
        <w:tc>
          <w:tcPr>
            <w:tcW w:w="1340" w:type="dxa"/>
            <w:vAlign w:val="bottom"/>
            <w:gridSpan w:val="3"/>
            <w:shd w:val="clear" w:color="auto" w:fill="FDFDFC"/>
          </w:tcPr>
          <w:p>
            <w:pPr>
              <w:jc w:val="right"/>
              <w:ind w:right="120"/>
              <w:spacing w:after="0"/>
              <w:rPr>
                <w:sz w:val="20"/>
                <w:szCs w:val="20"/>
                <w:color w:val="auto"/>
              </w:rPr>
            </w:pPr>
            <w:r>
              <w:rPr>
                <w:rFonts w:ascii="Times New Roman" w:cs="Times New Roman" w:eastAsia="Times New Roman" w:hAnsi="Times New Roman"/>
                <w:sz w:val="15"/>
                <w:szCs w:val="15"/>
                <w:color w:val="231F20"/>
              </w:rPr>
              <w:t>0.0%</w:t>
            </w:r>
          </w:p>
        </w:tc>
        <w:tc>
          <w:tcPr>
            <w:tcW w:w="0" w:type="dxa"/>
            <w:vAlign w:val="bottom"/>
          </w:tcPr>
          <w:p>
            <w:pPr>
              <w:spacing w:after="0"/>
              <w:rPr>
                <w:sz w:val="1"/>
                <w:szCs w:val="1"/>
                <w:color w:val="auto"/>
              </w:rPr>
            </w:pPr>
          </w:p>
        </w:tc>
      </w:tr>
      <w:tr>
        <w:trPr>
          <w:trHeight w:val="174"/>
        </w:trPr>
        <w:tc>
          <w:tcPr>
            <w:tcW w:w="1440" w:type="dxa"/>
            <w:vAlign w:val="bottom"/>
            <w:shd w:val="clear" w:color="auto" w:fill="D0EBF2"/>
          </w:tcPr>
          <w:p>
            <w:pPr>
              <w:spacing w:after="0"/>
              <w:rPr>
                <w:sz w:val="15"/>
                <w:szCs w:val="15"/>
                <w:color w:val="auto"/>
              </w:rPr>
            </w:pPr>
          </w:p>
        </w:tc>
        <w:tc>
          <w:tcPr>
            <w:tcW w:w="2440" w:type="dxa"/>
            <w:vAlign w:val="bottom"/>
            <w:shd w:val="clear" w:color="auto" w:fill="D0EBF2"/>
          </w:tcPr>
          <w:p>
            <w:pPr>
              <w:ind w:left="80"/>
              <w:spacing w:after="0"/>
              <w:rPr>
                <w:sz w:val="20"/>
                <w:szCs w:val="20"/>
                <w:color w:val="auto"/>
              </w:rPr>
            </w:pPr>
            <w:r>
              <w:rPr>
                <w:rFonts w:ascii="Times New Roman" w:cs="Times New Roman" w:eastAsia="Times New Roman" w:hAnsi="Times New Roman"/>
                <w:sz w:val="15"/>
                <w:szCs w:val="15"/>
                <w:color w:val="231F20"/>
              </w:rPr>
              <w:t xml:space="preserve">Class A-3 Units (16,957 units) </w:t>
            </w:r>
            <w:r>
              <w:rPr>
                <w:rFonts w:ascii="Times New Roman" w:cs="Times New Roman" w:eastAsia="Times New Roman" w:hAnsi="Times New Roman"/>
                <w:sz w:val="9"/>
                <w:szCs w:val="9"/>
                <w:color w:val="231F20"/>
              </w:rPr>
              <w:t>(11)(12)</w:t>
            </w:r>
          </w:p>
        </w:tc>
        <w:tc>
          <w:tcPr>
            <w:tcW w:w="820" w:type="dxa"/>
            <w:vAlign w:val="bottom"/>
            <w:shd w:val="clear" w:color="auto" w:fill="D0EBF2"/>
          </w:tcPr>
          <w:p>
            <w:pPr>
              <w:jc w:val="right"/>
              <w:spacing w:after="0"/>
              <w:rPr>
                <w:sz w:val="20"/>
                <w:szCs w:val="20"/>
                <w:color w:val="auto"/>
              </w:rPr>
            </w:pPr>
            <w:r>
              <w:rPr>
                <w:rFonts w:ascii="Times New Roman" w:cs="Times New Roman" w:eastAsia="Times New Roman" w:hAnsi="Times New Roman"/>
                <w:sz w:val="15"/>
                <w:szCs w:val="15"/>
                <w:color w:val="231F20"/>
              </w:rPr>
              <w:t>11/10/2023</w:t>
            </w:r>
          </w:p>
        </w:tc>
        <w:tc>
          <w:tcPr>
            <w:tcW w:w="20" w:type="dxa"/>
            <w:vAlign w:val="bottom"/>
          </w:tcPr>
          <w:p>
            <w:pPr>
              <w:spacing w:after="0"/>
              <w:rPr>
                <w:sz w:val="15"/>
                <w:szCs w:val="15"/>
                <w:color w:val="auto"/>
              </w:rPr>
            </w:pPr>
          </w:p>
        </w:tc>
        <w:tc>
          <w:tcPr>
            <w:tcW w:w="3080" w:type="dxa"/>
            <w:vAlign w:val="bottom"/>
            <w:gridSpan w:val="2"/>
            <w:shd w:val="clear" w:color="auto" w:fill="D0EBF2"/>
          </w:tcPr>
          <w:p>
            <w:pPr>
              <w:jc w:val="right"/>
              <w:spacing w:after="0"/>
              <w:rPr>
                <w:sz w:val="20"/>
                <w:szCs w:val="20"/>
                <w:color w:val="auto"/>
              </w:rPr>
            </w:pPr>
            <w:r>
              <w:rPr>
                <w:rFonts w:ascii="Times New Roman" w:cs="Times New Roman" w:eastAsia="Times New Roman" w:hAnsi="Times New Roman"/>
                <w:sz w:val="15"/>
                <w:szCs w:val="15"/>
                <w:color w:val="231F20"/>
              </w:rPr>
              <w:t>36</w:t>
            </w:r>
          </w:p>
        </w:tc>
        <w:tc>
          <w:tcPr>
            <w:tcW w:w="1140" w:type="dxa"/>
            <w:vAlign w:val="bottom"/>
            <w:gridSpan w:val="2"/>
            <w:shd w:val="clear" w:color="auto" w:fill="D0EBF2"/>
          </w:tcPr>
          <w:p>
            <w:pPr>
              <w:jc w:val="right"/>
              <w:spacing w:after="0"/>
              <w:rPr>
                <w:sz w:val="20"/>
                <w:szCs w:val="20"/>
                <w:color w:val="auto"/>
              </w:rPr>
            </w:pPr>
            <w:r>
              <w:rPr>
                <w:rFonts w:ascii="Times New Roman" w:cs="Times New Roman" w:eastAsia="Times New Roman" w:hAnsi="Times New Roman"/>
                <w:sz w:val="15"/>
                <w:szCs w:val="15"/>
                <w:color w:val="231F20"/>
              </w:rPr>
              <w:t>46</w:t>
            </w:r>
          </w:p>
        </w:tc>
        <w:tc>
          <w:tcPr>
            <w:tcW w:w="1340" w:type="dxa"/>
            <w:vAlign w:val="bottom"/>
            <w:gridSpan w:val="3"/>
            <w:shd w:val="clear" w:color="auto" w:fill="D0EBF2"/>
          </w:tcPr>
          <w:p>
            <w:pPr>
              <w:jc w:val="right"/>
              <w:ind w:right="120"/>
              <w:spacing w:after="0"/>
              <w:rPr>
                <w:sz w:val="20"/>
                <w:szCs w:val="20"/>
                <w:color w:val="auto"/>
              </w:rPr>
            </w:pPr>
            <w:r>
              <w:rPr>
                <w:rFonts w:ascii="Times New Roman" w:cs="Times New Roman" w:eastAsia="Times New Roman" w:hAnsi="Times New Roman"/>
                <w:sz w:val="15"/>
                <w:szCs w:val="15"/>
                <w:color w:val="231F20"/>
              </w:rPr>
              <w:t>0.0%</w:t>
            </w:r>
          </w:p>
        </w:tc>
        <w:tc>
          <w:tcPr>
            <w:tcW w:w="0" w:type="dxa"/>
            <w:vAlign w:val="bottom"/>
          </w:tcPr>
          <w:p>
            <w:pPr>
              <w:spacing w:after="0"/>
              <w:rPr>
                <w:sz w:val="1"/>
                <w:szCs w:val="1"/>
                <w:color w:val="auto"/>
              </w:rPr>
            </w:pPr>
          </w:p>
        </w:tc>
      </w:tr>
      <w:tr>
        <w:trPr>
          <w:trHeight w:val="158"/>
        </w:trPr>
        <w:tc>
          <w:tcPr>
            <w:tcW w:w="1440" w:type="dxa"/>
            <w:vAlign w:val="bottom"/>
            <w:shd w:val="clear" w:color="auto" w:fill="FDFDFC"/>
          </w:tcPr>
          <w:p>
            <w:pPr>
              <w:spacing w:after="0"/>
              <w:rPr>
                <w:sz w:val="13"/>
                <w:szCs w:val="13"/>
                <w:color w:val="auto"/>
              </w:rPr>
            </w:pPr>
          </w:p>
        </w:tc>
        <w:tc>
          <w:tcPr>
            <w:tcW w:w="2440" w:type="dxa"/>
            <w:vAlign w:val="bottom"/>
            <w:shd w:val="clear" w:color="auto" w:fill="FDFDFC"/>
          </w:tcPr>
          <w:p>
            <w:pPr>
              <w:ind w:left="80"/>
              <w:spacing w:after="0" w:line="159" w:lineRule="exact"/>
              <w:rPr>
                <w:sz w:val="20"/>
                <w:szCs w:val="20"/>
                <w:color w:val="auto"/>
              </w:rPr>
            </w:pPr>
            <w:r>
              <w:rPr>
                <w:rFonts w:ascii="Times New Roman" w:cs="Times New Roman" w:eastAsia="Times New Roman" w:hAnsi="Times New Roman"/>
                <w:sz w:val="15"/>
                <w:szCs w:val="15"/>
                <w:color w:val="231F20"/>
              </w:rPr>
              <w:t>Series A Preferred Stock (1,667</w:t>
            </w:r>
          </w:p>
        </w:tc>
        <w:tc>
          <w:tcPr>
            <w:tcW w:w="820" w:type="dxa"/>
            <w:vAlign w:val="bottom"/>
            <w:shd w:val="clear" w:color="auto" w:fill="FDFDFC"/>
          </w:tcPr>
          <w:p>
            <w:pPr>
              <w:jc w:val="right"/>
              <w:spacing w:after="0" w:line="159" w:lineRule="exact"/>
              <w:rPr>
                <w:sz w:val="20"/>
                <w:szCs w:val="20"/>
                <w:color w:val="auto"/>
              </w:rPr>
            </w:pPr>
            <w:r>
              <w:rPr>
                <w:rFonts w:ascii="Times New Roman" w:cs="Times New Roman" w:eastAsia="Times New Roman" w:hAnsi="Times New Roman"/>
                <w:sz w:val="15"/>
                <w:szCs w:val="15"/>
                <w:color w:val="231F20"/>
              </w:rPr>
              <w:t>12/20/2023</w:t>
            </w:r>
          </w:p>
        </w:tc>
        <w:tc>
          <w:tcPr>
            <w:tcW w:w="20" w:type="dxa"/>
            <w:vAlign w:val="bottom"/>
          </w:tcPr>
          <w:p>
            <w:pPr>
              <w:spacing w:after="0"/>
              <w:rPr>
                <w:sz w:val="13"/>
                <w:szCs w:val="13"/>
                <w:color w:val="auto"/>
              </w:rPr>
            </w:pPr>
          </w:p>
        </w:tc>
        <w:tc>
          <w:tcPr>
            <w:tcW w:w="3080" w:type="dxa"/>
            <w:vAlign w:val="bottom"/>
            <w:gridSpan w:val="2"/>
            <w:shd w:val="clear" w:color="auto" w:fill="FDFDFC"/>
          </w:tcPr>
          <w:p>
            <w:pPr>
              <w:jc w:val="right"/>
              <w:spacing w:after="0" w:line="159" w:lineRule="exact"/>
              <w:rPr>
                <w:sz w:val="20"/>
                <w:szCs w:val="20"/>
                <w:color w:val="auto"/>
              </w:rPr>
            </w:pPr>
            <w:r>
              <w:rPr>
                <w:rFonts w:ascii="Times New Roman" w:cs="Times New Roman" w:eastAsia="Times New Roman" w:hAnsi="Times New Roman"/>
                <w:sz w:val="15"/>
                <w:szCs w:val="15"/>
                <w:color w:val="231F20"/>
              </w:rPr>
              <w:t>1,502</w:t>
            </w:r>
          </w:p>
        </w:tc>
        <w:tc>
          <w:tcPr>
            <w:tcW w:w="1140" w:type="dxa"/>
            <w:vAlign w:val="bottom"/>
            <w:gridSpan w:val="2"/>
            <w:shd w:val="clear" w:color="auto" w:fill="FDFDFC"/>
          </w:tcPr>
          <w:p>
            <w:pPr>
              <w:jc w:val="right"/>
              <w:spacing w:after="0" w:line="159" w:lineRule="exact"/>
              <w:rPr>
                <w:sz w:val="20"/>
                <w:szCs w:val="20"/>
                <w:color w:val="auto"/>
              </w:rPr>
            </w:pPr>
            <w:r>
              <w:rPr>
                <w:rFonts w:ascii="Times New Roman" w:cs="Times New Roman" w:eastAsia="Times New Roman" w:hAnsi="Times New Roman"/>
                <w:sz w:val="15"/>
                <w:szCs w:val="15"/>
                <w:color w:val="231F20"/>
              </w:rPr>
              <w:t>1,504</w:t>
            </w:r>
          </w:p>
        </w:tc>
        <w:tc>
          <w:tcPr>
            <w:tcW w:w="1340" w:type="dxa"/>
            <w:vAlign w:val="bottom"/>
            <w:gridSpan w:val="3"/>
            <w:shd w:val="clear" w:color="auto" w:fill="FDFDFC"/>
          </w:tcPr>
          <w:p>
            <w:pPr>
              <w:jc w:val="right"/>
              <w:ind w:right="120"/>
              <w:spacing w:after="0" w:line="159" w:lineRule="exact"/>
              <w:rPr>
                <w:sz w:val="20"/>
                <w:szCs w:val="20"/>
                <w:color w:val="auto"/>
              </w:rPr>
            </w:pPr>
            <w:r>
              <w:rPr>
                <w:rFonts w:ascii="Times New Roman" w:cs="Times New Roman" w:eastAsia="Times New Roman" w:hAnsi="Times New Roman"/>
                <w:sz w:val="15"/>
                <w:szCs w:val="15"/>
                <w:color w:val="231F20"/>
              </w:rPr>
              <w:t>0.1%</w:t>
            </w:r>
          </w:p>
        </w:tc>
        <w:tc>
          <w:tcPr>
            <w:tcW w:w="0" w:type="dxa"/>
            <w:vAlign w:val="bottom"/>
          </w:tcPr>
          <w:p>
            <w:pPr>
              <w:spacing w:after="0"/>
              <w:rPr>
                <w:sz w:val="1"/>
                <w:szCs w:val="1"/>
                <w:color w:val="auto"/>
              </w:rPr>
            </w:pPr>
          </w:p>
        </w:tc>
      </w:tr>
      <w:tr>
        <w:trPr>
          <w:trHeight w:val="189"/>
        </w:trPr>
        <w:tc>
          <w:tcPr>
            <w:tcW w:w="1440" w:type="dxa"/>
            <w:vAlign w:val="bottom"/>
            <w:shd w:val="clear" w:color="auto" w:fill="FDFDFC"/>
          </w:tcPr>
          <w:p>
            <w:pPr>
              <w:spacing w:after="0"/>
              <w:rPr>
                <w:sz w:val="16"/>
                <w:szCs w:val="16"/>
                <w:color w:val="auto"/>
              </w:rPr>
            </w:pPr>
          </w:p>
        </w:tc>
        <w:tc>
          <w:tcPr>
            <w:tcW w:w="2440" w:type="dxa"/>
            <w:vAlign w:val="bottom"/>
            <w:shd w:val="clear" w:color="auto" w:fill="FDFDFC"/>
          </w:tcPr>
          <w:p>
            <w:pPr>
              <w:ind w:left="80"/>
              <w:spacing w:after="0"/>
              <w:rPr>
                <w:sz w:val="20"/>
                <w:szCs w:val="20"/>
                <w:color w:val="auto"/>
              </w:rPr>
            </w:pPr>
            <w:r>
              <w:rPr>
                <w:rFonts w:ascii="Times New Roman" w:cs="Times New Roman" w:eastAsia="Times New Roman" w:hAnsi="Times New Roman"/>
                <w:sz w:val="15"/>
                <w:szCs w:val="15"/>
                <w:color w:val="231F20"/>
              </w:rPr>
              <w:t xml:space="preserve">Units) </w:t>
            </w:r>
            <w:r>
              <w:rPr>
                <w:rFonts w:ascii="Times New Roman" w:cs="Times New Roman" w:eastAsia="Times New Roman" w:hAnsi="Times New Roman"/>
                <w:sz w:val="9"/>
                <w:szCs w:val="9"/>
                <w:color w:val="231F20"/>
              </w:rPr>
              <w:t>(12)</w:t>
            </w:r>
          </w:p>
        </w:tc>
        <w:tc>
          <w:tcPr>
            <w:tcW w:w="820" w:type="dxa"/>
            <w:vAlign w:val="bottom"/>
            <w:shd w:val="clear" w:color="auto" w:fill="FDFDFC"/>
          </w:tcPr>
          <w:p>
            <w:pPr>
              <w:spacing w:after="0"/>
              <w:rPr>
                <w:sz w:val="16"/>
                <w:szCs w:val="16"/>
                <w:color w:val="auto"/>
              </w:rPr>
            </w:pPr>
          </w:p>
        </w:tc>
        <w:tc>
          <w:tcPr>
            <w:tcW w:w="20" w:type="dxa"/>
            <w:vAlign w:val="bottom"/>
          </w:tcPr>
          <w:p>
            <w:pPr>
              <w:spacing w:after="0"/>
              <w:rPr>
                <w:sz w:val="16"/>
                <w:szCs w:val="16"/>
                <w:color w:val="auto"/>
              </w:rPr>
            </w:pPr>
          </w:p>
        </w:tc>
        <w:tc>
          <w:tcPr>
            <w:tcW w:w="2080" w:type="dxa"/>
            <w:vAlign w:val="bottom"/>
            <w:shd w:val="clear" w:color="auto" w:fill="FDFDFC"/>
          </w:tcPr>
          <w:p>
            <w:pPr>
              <w:spacing w:after="0"/>
              <w:rPr>
                <w:sz w:val="16"/>
                <w:szCs w:val="16"/>
                <w:color w:val="auto"/>
              </w:rPr>
            </w:pPr>
          </w:p>
        </w:tc>
        <w:tc>
          <w:tcPr>
            <w:tcW w:w="1000" w:type="dxa"/>
            <w:vAlign w:val="bottom"/>
            <w:shd w:val="clear" w:color="auto" w:fill="FDFDFC"/>
          </w:tcPr>
          <w:p>
            <w:pPr>
              <w:spacing w:after="0"/>
              <w:rPr>
                <w:sz w:val="16"/>
                <w:szCs w:val="16"/>
                <w:color w:val="auto"/>
              </w:rPr>
            </w:pPr>
          </w:p>
        </w:tc>
        <w:tc>
          <w:tcPr>
            <w:tcW w:w="180" w:type="dxa"/>
            <w:vAlign w:val="bottom"/>
            <w:shd w:val="clear" w:color="auto" w:fill="FDFDFC"/>
          </w:tcPr>
          <w:p>
            <w:pPr>
              <w:spacing w:after="0"/>
              <w:rPr>
                <w:sz w:val="16"/>
                <w:szCs w:val="16"/>
                <w:color w:val="auto"/>
              </w:rPr>
            </w:pPr>
          </w:p>
        </w:tc>
        <w:tc>
          <w:tcPr>
            <w:tcW w:w="960" w:type="dxa"/>
            <w:vAlign w:val="bottom"/>
            <w:shd w:val="clear" w:color="auto" w:fill="FDFDFC"/>
          </w:tcPr>
          <w:p>
            <w:pPr>
              <w:spacing w:after="0"/>
              <w:rPr>
                <w:sz w:val="16"/>
                <w:szCs w:val="16"/>
                <w:color w:val="auto"/>
              </w:rPr>
            </w:pPr>
          </w:p>
        </w:tc>
        <w:tc>
          <w:tcPr>
            <w:tcW w:w="200" w:type="dxa"/>
            <w:vAlign w:val="bottom"/>
            <w:shd w:val="clear" w:color="auto" w:fill="FDFDFC"/>
          </w:tcPr>
          <w:p>
            <w:pPr>
              <w:spacing w:after="0"/>
              <w:rPr>
                <w:sz w:val="16"/>
                <w:szCs w:val="16"/>
                <w:color w:val="auto"/>
              </w:rPr>
            </w:pPr>
          </w:p>
        </w:tc>
        <w:tc>
          <w:tcPr>
            <w:tcW w:w="900" w:type="dxa"/>
            <w:vAlign w:val="bottom"/>
            <w:shd w:val="clear" w:color="auto" w:fill="FDFDFC"/>
          </w:tcPr>
          <w:p>
            <w:pPr>
              <w:spacing w:after="0"/>
              <w:rPr>
                <w:sz w:val="16"/>
                <w:szCs w:val="16"/>
                <w:color w:val="auto"/>
              </w:rPr>
            </w:pPr>
          </w:p>
        </w:tc>
        <w:tc>
          <w:tcPr>
            <w:tcW w:w="240" w:type="dxa"/>
            <w:vAlign w:val="bottom"/>
            <w:shd w:val="clear" w:color="auto" w:fill="FDFDFC"/>
          </w:tcPr>
          <w:p>
            <w:pPr>
              <w:spacing w:after="0"/>
              <w:rPr>
                <w:sz w:val="16"/>
                <w:szCs w:val="16"/>
                <w:color w:val="auto"/>
              </w:rPr>
            </w:pPr>
          </w:p>
        </w:tc>
        <w:tc>
          <w:tcPr>
            <w:tcW w:w="0" w:type="dxa"/>
            <w:vAlign w:val="bottom"/>
          </w:tcPr>
          <w:p>
            <w:pPr>
              <w:spacing w:after="0"/>
              <w:rPr>
                <w:sz w:val="1"/>
                <w:szCs w:val="1"/>
                <w:color w:val="auto"/>
              </w:rPr>
            </w:pPr>
          </w:p>
        </w:tc>
      </w:tr>
      <w:tr>
        <w:trPr>
          <w:trHeight w:val="174"/>
        </w:trPr>
        <w:tc>
          <w:tcPr>
            <w:tcW w:w="1440" w:type="dxa"/>
            <w:vAlign w:val="bottom"/>
            <w:shd w:val="clear" w:color="auto" w:fill="D0EBF2"/>
          </w:tcPr>
          <w:p>
            <w:pPr>
              <w:spacing w:after="0"/>
              <w:rPr>
                <w:sz w:val="15"/>
                <w:szCs w:val="15"/>
                <w:color w:val="auto"/>
              </w:rPr>
            </w:pPr>
          </w:p>
        </w:tc>
        <w:tc>
          <w:tcPr>
            <w:tcW w:w="2440" w:type="dxa"/>
            <w:vAlign w:val="bottom"/>
            <w:shd w:val="clear" w:color="auto" w:fill="D0EBF2"/>
          </w:tcPr>
          <w:p>
            <w:pPr>
              <w:ind w:left="80"/>
              <w:spacing w:after="0"/>
              <w:rPr>
                <w:sz w:val="20"/>
                <w:szCs w:val="20"/>
                <w:color w:val="auto"/>
              </w:rPr>
            </w:pPr>
            <w:r>
              <w:rPr>
                <w:rFonts w:ascii="Times New Roman" w:cs="Times New Roman" w:eastAsia="Times New Roman" w:hAnsi="Times New Roman"/>
                <w:sz w:val="15"/>
                <w:szCs w:val="15"/>
                <w:color w:val="231F20"/>
              </w:rPr>
              <w:t xml:space="preserve">90,634 Warrants </w:t>
            </w:r>
            <w:r>
              <w:rPr>
                <w:rFonts w:ascii="Times New Roman" w:cs="Times New Roman" w:eastAsia="Times New Roman" w:hAnsi="Times New Roman"/>
                <w:sz w:val="9"/>
                <w:szCs w:val="9"/>
                <w:color w:val="231F20"/>
              </w:rPr>
              <w:t>(11)(12)</w:t>
            </w:r>
          </w:p>
        </w:tc>
        <w:tc>
          <w:tcPr>
            <w:tcW w:w="820" w:type="dxa"/>
            <w:vAlign w:val="bottom"/>
            <w:shd w:val="clear" w:color="auto" w:fill="D0EBF2"/>
          </w:tcPr>
          <w:p>
            <w:pPr>
              <w:jc w:val="right"/>
              <w:spacing w:after="0"/>
              <w:rPr>
                <w:sz w:val="20"/>
                <w:szCs w:val="20"/>
                <w:color w:val="auto"/>
              </w:rPr>
            </w:pPr>
            <w:r>
              <w:rPr>
                <w:rFonts w:ascii="Times New Roman" w:cs="Times New Roman" w:eastAsia="Times New Roman" w:hAnsi="Times New Roman"/>
                <w:sz w:val="15"/>
                <w:szCs w:val="15"/>
                <w:color w:val="231F20"/>
              </w:rPr>
              <w:t>12/20/2023</w:t>
            </w:r>
          </w:p>
        </w:tc>
        <w:tc>
          <w:tcPr>
            <w:tcW w:w="20" w:type="dxa"/>
            <w:vAlign w:val="bottom"/>
          </w:tcPr>
          <w:p>
            <w:pPr>
              <w:spacing w:after="0"/>
              <w:rPr>
                <w:sz w:val="15"/>
                <w:szCs w:val="15"/>
                <w:color w:val="auto"/>
              </w:rPr>
            </w:pPr>
          </w:p>
        </w:tc>
        <w:tc>
          <w:tcPr>
            <w:tcW w:w="3080" w:type="dxa"/>
            <w:vAlign w:val="bottom"/>
            <w:gridSpan w:val="2"/>
            <w:shd w:val="clear" w:color="auto" w:fill="D0EBF2"/>
          </w:tcPr>
          <w:p>
            <w:pPr>
              <w:jc w:val="right"/>
              <w:spacing w:after="0"/>
              <w:rPr>
                <w:sz w:val="20"/>
                <w:szCs w:val="20"/>
                <w:color w:val="auto"/>
              </w:rPr>
            </w:pPr>
            <w:r>
              <w:rPr>
                <w:rFonts w:ascii="Times New Roman" w:cs="Times New Roman" w:eastAsia="Times New Roman" w:hAnsi="Times New Roman"/>
                <w:sz w:val="15"/>
                <w:szCs w:val="15"/>
                <w:color w:val="231F20"/>
              </w:rPr>
              <w:t>102</w:t>
            </w:r>
          </w:p>
        </w:tc>
        <w:tc>
          <w:tcPr>
            <w:tcW w:w="1140" w:type="dxa"/>
            <w:vAlign w:val="bottom"/>
            <w:gridSpan w:val="2"/>
            <w:shd w:val="clear" w:color="auto" w:fill="D0EBF2"/>
          </w:tcPr>
          <w:p>
            <w:pPr>
              <w:jc w:val="right"/>
              <w:spacing w:after="0"/>
              <w:rPr>
                <w:sz w:val="20"/>
                <w:szCs w:val="20"/>
                <w:color w:val="auto"/>
              </w:rPr>
            </w:pPr>
            <w:r>
              <w:rPr>
                <w:rFonts w:ascii="Times New Roman" w:cs="Times New Roman" w:eastAsia="Times New Roman" w:hAnsi="Times New Roman"/>
                <w:sz w:val="15"/>
                <w:szCs w:val="15"/>
                <w:color w:val="231F20"/>
              </w:rPr>
              <w:t>102</w:t>
            </w:r>
          </w:p>
        </w:tc>
        <w:tc>
          <w:tcPr>
            <w:tcW w:w="1340" w:type="dxa"/>
            <w:vAlign w:val="bottom"/>
            <w:gridSpan w:val="3"/>
            <w:shd w:val="clear" w:color="auto" w:fill="D0EBF2"/>
          </w:tcPr>
          <w:p>
            <w:pPr>
              <w:jc w:val="right"/>
              <w:ind w:right="120"/>
              <w:spacing w:after="0"/>
              <w:rPr>
                <w:sz w:val="20"/>
                <w:szCs w:val="20"/>
                <w:color w:val="auto"/>
              </w:rPr>
            </w:pPr>
            <w:r>
              <w:rPr>
                <w:rFonts w:ascii="Times New Roman" w:cs="Times New Roman" w:eastAsia="Times New Roman" w:hAnsi="Times New Roman"/>
                <w:sz w:val="15"/>
                <w:szCs w:val="15"/>
                <w:color w:val="231F20"/>
              </w:rPr>
              <w:t>0.0%</w:t>
            </w:r>
          </w:p>
        </w:tc>
        <w:tc>
          <w:tcPr>
            <w:tcW w:w="0" w:type="dxa"/>
            <w:vAlign w:val="bottom"/>
          </w:tcPr>
          <w:p>
            <w:pPr>
              <w:spacing w:after="0"/>
              <w:rPr>
                <w:sz w:val="1"/>
                <w:szCs w:val="1"/>
                <w:color w:val="auto"/>
              </w:rPr>
            </w:pPr>
          </w:p>
        </w:tc>
      </w:tr>
      <w:tr>
        <w:trPr>
          <w:trHeight w:val="174"/>
        </w:trPr>
        <w:tc>
          <w:tcPr>
            <w:tcW w:w="1440" w:type="dxa"/>
            <w:vAlign w:val="bottom"/>
            <w:shd w:val="clear" w:color="auto" w:fill="FDFDFC"/>
          </w:tcPr>
          <w:p>
            <w:pPr>
              <w:spacing w:after="0"/>
              <w:rPr>
                <w:sz w:val="20"/>
                <w:szCs w:val="20"/>
                <w:color w:val="auto"/>
              </w:rPr>
            </w:pPr>
            <w:r>
              <w:rPr>
                <w:rFonts w:ascii="Times New Roman" w:cs="Times New Roman" w:eastAsia="Times New Roman" w:hAnsi="Times New Roman"/>
                <w:sz w:val="15"/>
                <w:szCs w:val="15"/>
                <w:color w:val="231F20"/>
              </w:rPr>
              <w:t xml:space="preserve">Sprinklr, Inc. </w:t>
            </w:r>
            <w:r>
              <w:rPr>
                <w:rFonts w:ascii="Times New Roman" w:cs="Times New Roman" w:eastAsia="Times New Roman" w:hAnsi="Times New Roman"/>
                <w:sz w:val="9"/>
                <w:szCs w:val="9"/>
                <w:color w:val="231F20"/>
              </w:rPr>
              <w:t>(10)(11)</w:t>
            </w:r>
          </w:p>
        </w:tc>
        <w:tc>
          <w:tcPr>
            <w:tcW w:w="2440" w:type="dxa"/>
            <w:vAlign w:val="bottom"/>
            <w:shd w:val="clear" w:color="auto" w:fill="FDFDFC"/>
          </w:tcPr>
          <w:p>
            <w:pPr>
              <w:ind w:left="80"/>
              <w:spacing w:after="0"/>
              <w:rPr>
                <w:sz w:val="20"/>
                <w:szCs w:val="20"/>
                <w:color w:val="auto"/>
              </w:rPr>
            </w:pPr>
            <w:r>
              <w:rPr>
                <w:rFonts w:ascii="Times New Roman" w:cs="Times New Roman" w:eastAsia="Times New Roman" w:hAnsi="Times New Roman"/>
                <w:sz w:val="15"/>
                <w:szCs w:val="15"/>
                <w:color w:val="231F20"/>
              </w:rPr>
              <w:t>Common Shares (315,005 shares)</w:t>
            </w:r>
          </w:p>
        </w:tc>
        <w:tc>
          <w:tcPr>
            <w:tcW w:w="820" w:type="dxa"/>
            <w:vAlign w:val="bottom"/>
            <w:shd w:val="clear" w:color="auto" w:fill="FDFDFC"/>
          </w:tcPr>
          <w:p>
            <w:pPr>
              <w:jc w:val="right"/>
              <w:spacing w:after="0"/>
              <w:rPr>
                <w:sz w:val="20"/>
                <w:szCs w:val="20"/>
                <w:color w:val="auto"/>
              </w:rPr>
            </w:pPr>
            <w:r>
              <w:rPr>
                <w:rFonts w:ascii="Times New Roman" w:cs="Times New Roman" w:eastAsia="Times New Roman" w:hAnsi="Times New Roman"/>
                <w:sz w:val="15"/>
                <w:szCs w:val="15"/>
                <w:color w:val="231F20"/>
              </w:rPr>
              <w:t>6/24/2021</w:t>
            </w:r>
          </w:p>
        </w:tc>
        <w:tc>
          <w:tcPr>
            <w:tcW w:w="20" w:type="dxa"/>
            <w:vAlign w:val="bottom"/>
          </w:tcPr>
          <w:p>
            <w:pPr>
              <w:spacing w:after="0"/>
              <w:rPr>
                <w:sz w:val="15"/>
                <w:szCs w:val="15"/>
                <w:color w:val="auto"/>
              </w:rPr>
            </w:pPr>
          </w:p>
        </w:tc>
        <w:tc>
          <w:tcPr>
            <w:tcW w:w="3080" w:type="dxa"/>
            <w:vAlign w:val="bottom"/>
            <w:gridSpan w:val="2"/>
            <w:shd w:val="clear" w:color="auto" w:fill="FDFDFC"/>
          </w:tcPr>
          <w:p>
            <w:pPr>
              <w:jc w:val="right"/>
              <w:spacing w:after="0"/>
              <w:rPr>
                <w:sz w:val="20"/>
                <w:szCs w:val="20"/>
                <w:color w:val="auto"/>
              </w:rPr>
            </w:pPr>
            <w:r>
              <w:rPr>
                <w:rFonts w:ascii="Times New Roman" w:cs="Times New Roman" w:eastAsia="Times New Roman" w:hAnsi="Times New Roman"/>
                <w:sz w:val="15"/>
                <w:szCs w:val="15"/>
                <w:color w:val="231F20"/>
              </w:rPr>
              <w:t>2,716</w:t>
            </w:r>
          </w:p>
        </w:tc>
        <w:tc>
          <w:tcPr>
            <w:tcW w:w="1140" w:type="dxa"/>
            <w:vAlign w:val="bottom"/>
            <w:gridSpan w:val="2"/>
            <w:shd w:val="clear" w:color="auto" w:fill="FDFDFC"/>
          </w:tcPr>
          <w:p>
            <w:pPr>
              <w:jc w:val="right"/>
              <w:spacing w:after="0"/>
              <w:rPr>
                <w:sz w:val="20"/>
                <w:szCs w:val="20"/>
                <w:color w:val="auto"/>
              </w:rPr>
            </w:pPr>
            <w:r>
              <w:rPr>
                <w:rFonts w:ascii="Times New Roman" w:cs="Times New Roman" w:eastAsia="Times New Roman" w:hAnsi="Times New Roman"/>
                <w:sz w:val="15"/>
                <w:szCs w:val="15"/>
                <w:color w:val="231F20"/>
              </w:rPr>
              <w:t>3,793</w:t>
            </w:r>
          </w:p>
        </w:tc>
        <w:tc>
          <w:tcPr>
            <w:tcW w:w="1340" w:type="dxa"/>
            <w:vAlign w:val="bottom"/>
            <w:gridSpan w:val="3"/>
            <w:shd w:val="clear" w:color="auto" w:fill="FDFDFC"/>
          </w:tcPr>
          <w:p>
            <w:pPr>
              <w:jc w:val="right"/>
              <w:ind w:right="120"/>
              <w:spacing w:after="0"/>
              <w:rPr>
                <w:sz w:val="20"/>
                <w:szCs w:val="20"/>
                <w:color w:val="auto"/>
              </w:rPr>
            </w:pPr>
            <w:r>
              <w:rPr>
                <w:rFonts w:ascii="Times New Roman" w:cs="Times New Roman" w:eastAsia="Times New Roman" w:hAnsi="Times New Roman"/>
                <w:sz w:val="15"/>
                <w:szCs w:val="15"/>
                <w:color w:val="231F20"/>
              </w:rPr>
              <w:t>0.3%</w:t>
            </w:r>
          </w:p>
        </w:tc>
        <w:tc>
          <w:tcPr>
            <w:tcW w:w="0" w:type="dxa"/>
            <w:vAlign w:val="bottom"/>
          </w:tcPr>
          <w:p>
            <w:pPr>
              <w:spacing w:after="0"/>
              <w:rPr>
                <w:sz w:val="1"/>
                <w:szCs w:val="1"/>
                <w:color w:val="auto"/>
              </w:rPr>
            </w:pPr>
          </w:p>
        </w:tc>
      </w:tr>
      <w:tr>
        <w:trPr>
          <w:trHeight w:val="171"/>
        </w:trPr>
        <w:tc>
          <w:tcPr>
            <w:tcW w:w="1440" w:type="dxa"/>
            <w:vAlign w:val="bottom"/>
            <w:shd w:val="clear" w:color="auto" w:fill="D0EBF2"/>
          </w:tcPr>
          <w:p>
            <w:pPr>
              <w:spacing w:after="0" w:line="171" w:lineRule="exact"/>
              <w:rPr>
                <w:sz w:val="20"/>
                <w:szCs w:val="20"/>
                <w:color w:val="auto"/>
              </w:rPr>
            </w:pPr>
            <w:r>
              <w:rPr>
                <w:rFonts w:ascii="Times New Roman" w:cs="Times New Roman" w:eastAsia="Times New Roman" w:hAnsi="Times New Roman"/>
                <w:sz w:val="15"/>
                <w:szCs w:val="15"/>
                <w:color w:val="231F20"/>
              </w:rPr>
              <w:t>Warrior TopCo LP</w:t>
            </w:r>
          </w:p>
        </w:tc>
        <w:tc>
          <w:tcPr>
            <w:tcW w:w="2440" w:type="dxa"/>
            <w:vAlign w:val="bottom"/>
            <w:shd w:val="clear" w:color="auto" w:fill="D0EBF2"/>
          </w:tcPr>
          <w:p>
            <w:pPr>
              <w:ind w:left="80"/>
              <w:spacing w:after="0" w:line="171" w:lineRule="exact"/>
              <w:rPr>
                <w:sz w:val="20"/>
                <w:szCs w:val="20"/>
                <w:color w:val="auto"/>
              </w:rPr>
            </w:pPr>
            <w:r>
              <w:rPr>
                <w:rFonts w:ascii="Times New Roman" w:cs="Times New Roman" w:eastAsia="Times New Roman" w:hAnsi="Times New Roman"/>
                <w:sz w:val="15"/>
                <w:szCs w:val="15"/>
                <w:color w:val="231F20"/>
              </w:rPr>
              <w:t>Class A Units (423,728 units)</w:t>
            </w:r>
          </w:p>
        </w:tc>
        <w:tc>
          <w:tcPr>
            <w:tcW w:w="820" w:type="dxa"/>
            <w:vAlign w:val="bottom"/>
            <w:shd w:val="clear" w:color="auto" w:fill="D0EBF2"/>
          </w:tcPr>
          <w:p>
            <w:pPr>
              <w:jc w:val="right"/>
              <w:spacing w:after="0" w:line="171" w:lineRule="exact"/>
              <w:rPr>
                <w:sz w:val="20"/>
                <w:szCs w:val="20"/>
                <w:color w:val="auto"/>
              </w:rPr>
            </w:pPr>
            <w:r>
              <w:rPr>
                <w:rFonts w:ascii="Times New Roman" w:cs="Times New Roman" w:eastAsia="Times New Roman" w:hAnsi="Times New Roman"/>
                <w:sz w:val="15"/>
                <w:szCs w:val="15"/>
                <w:color w:val="231F20"/>
              </w:rPr>
              <w:t>7/7/2023</w:t>
            </w:r>
          </w:p>
        </w:tc>
        <w:tc>
          <w:tcPr>
            <w:tcW w:w="20" w:type="dxa"/>
            <w:vAlign w:val="bottom"/>
          </w:tcPr>
          <w:p>
            <w:pPr>
              <w:spacing w:after="0"/>
              <w:rPr>
                <w:sz w:val="14"/>
                <w:szCs w:val="14"/>
                <w:color w:val="auto"/>
              </w:rPr>
            </w:pPr>
          </w:p>
        </w:tc>
        <w:tc>
          <w:tcPr>
            <w:tcW w:w="3080" w:type="dxa"/>
            <w:vAlign w:val="bottom"/>
            <w:gridSpan w:val="2"/>
            <w:shd w:val="clear" w:color="auto" w:fill="D0EBF2"/>
          </w:tcPr>
          <w:p>
            <w:pPr>
              <w:jc w:val="right"/>
              <w:spacing w:after="0" w:line="171" w:lineRule="exact"/>
              <w:rPr>
                <w:sz w:val="20"/>
                <w:szCs w:val="20"/>
                <w:color w:val="auto"/>
              </w:rPr>
            </w:pPr>
            <w:r>
              <w:rPr>
                <w:rFonts w:ascii="Times New Roman" w:cs="Times New Roman" w:eastAsia="Times New Roman" w:hAnsi="Times New Roman"/>
                <w:sz w:val="15"/>
                <w:szCs w:val="15"/>
                <w:color w:val="231F20"/>
              </w:rPr>
              <w:t>424</w:t>
            </w:r>
          </w:p>
        </w:tc>
        <w:tc>
          <w:tcPr>
            <w:tcW w:w="1140" w:type="dxa"/>
            <w:vAlign w:val="bottom"/>
            <w:gridSpan w:val="2"/>
            <w:shd w:val="clear" w:color="auto" w:fill="D0EBF2"/>
          </w:tcPr>
          <w:p>
            <w:pPr>
              <w:jc w:val="right"/>
              <w:spacing w:after="0" w:line="171" w:lineRule="exact"/>
              <w:rPr>
                <w:sz w:val="20"/>
                <w:szCs w:val="20"/>
                <w:color w:val="auto"/>
              </w:rPr>
            </w:pPr>
            <w:r>
              <w:rPr>
                <w:rFonts w:ascii="Times New Roman" w:cs="Times New Roman" w:eastAsia="Times New Roman" w:hAnsi="Times New Roman"/>
                <w:sz w:val="15"/>
                <w:szCs w:val="15"/>
                <w:color w:val="231F20"/>
              </w:rPr>
              <w:t>424</w:t>
            </w:r>
          </w:p>
        </w:tc>
        <w:tc>
          <w:tcPr>
            <w:tcW w:w="1340" w:type="dxa"/>
            <w:vAlign w:val="bottom"/>
            <w:gridSpan w:val="3"/>
            <w:shd w:val="clear" w:color="auto" w:fill="D0EBF2"/>
          </w:tcPr>
          <w:p>
            <w:pPr>
              <w:jc w:val="right"/>
              <w:ind w:right="120"/>
              <w:spacing w:after="0" w:line="171" w:lineRule="exact"/>
              <w:rPr>
                <w:sz w:val="20"/>
                <w:szCs w:val="20"/>
                <w:color w:val="auto"/>
              </w:rPr>
            </w:pPr>
            <w:r>
              <w:rPr>
                <w:rFonts w:ascii="Times New Roman" w:cs="Times New Roman" w:eastAsia="Times New Roman" w:hAnsi="Times New Roman"/>
                <w:sz w:val="15"/>
                <w:szCs w:val="15"/>
                <w:color w:val="231F20"/>
              </w:rPr>
              <w:t>0.0%</w:t>
            </w:r>
          </w:p>
        </w:tc>
        <w:tc>
          <w:tcPr>
            <w:tcW w:w="0" w:type="dxa"/>
            <w:vAlign w:val="bottom"/>
          </w:tcPr>
          <w:p>
            <w:pPr>
              <w:spacing w:after="0"/>
              <w:rPr>
                <w:sz w:val="1"/>
                <w:szCs w:val="1"/>
                <w:color w:val="auto"/>
              </w:rPr>
            </w:pPr>
          </w:p>
        </w:tc>
      </w:tr>
      <w:tr>
        <w:trPr>
          <w:trHeight w:val="157"/>
        </w:trPr>
        <w:tc>
          <w:tcPr>
            <w:tcW w:w="1440" w:type="dxa"/>
            <w:vAlign w:val="bottom"/>
            <w:tcBorders>
              <w:bottom w:val="single" w:sz="8" w:color="D0EBF2"/>
            </w:tcBorders>
            <w:shd w:val="clear" w:color="auto" w:fill="D0EBF2"/>
          </w:tcPr>
          <w:p>
            <w:pPr>
              <w:spacing w:after="0"/>
              <w:rPr>
                <w:sz w:val="20"/>
                <w:szCs w:val="20"/>
                <w:color w:val="auto"/>
              </w:rPr>
            </w:pPr>
            <w:r>
              <w:rPr>
                <w:rFonts w:ascii="Times New Roman" w:cs="Times New Roman" w:eastAsia="Times New Roman" w:hAnsi="Times New Roman"/>
                <w:sz w:val="9"/>
                <w:szCs w:val="9"/>
                <w:color w:val="231F20"/>
              </w:rPr>
              <w:t>(11)(12)</w:t>
            </w:r>
          </w:p>
        </w:tc>
        <w:tc>
          <w:tcPr>
            <w:tcW w:w="2440" w:type="dxa"/>
            <w:vAlign w:val="bottom"/>
            <w:tcBorders>
              <w:bottom w:val="single" w:sz="8" w:color="D0EBF2"/>
            </w:tcBorders>
            <w:shd w:val="clear" w:color="auto" w:fill="D0EBF2"/>
          </w:tcPr>
          <w:p>
            <w:pPr>
              <w:spacing w:after="0"/>
              <w:rPr>
                <w:sz w:val="13"/>
                <w:szCs w:val="13"/>
                <w:color w:val="auto"/>
              </w:rPr>
            </w:pPr>
          </w:p>
        </w:tc>
        <w:tc>
          <w:tcPr>
            <w:tcW w:w="820" w:type="dxa"/>
            <w:vAlign w:val="bottom"/>
            <w:tcBorders>
              <w:bottom w:val="single" w:sz="8" w:color="D0EBF2"/>
            </w:tcBorders>
            <w:shd w:val="clear" w:color="auto" w:fill="D0EBF2"/>
          </w:tcPr>
          <w:p>
            <w:pPr>
              <w:spacing w:after="0"/>
              <w:rPr>
                <w:sz w:val="13"/>
                <w:szCs w:val="13"/>
                <w:color w:val="auto"/>
              </w:rPr>
            </w:pPr>
          </w:p>
        </w:tc>
        <w:tc>
          <w:tcPr>
            <w:tcW w:w="20" w:type="dxa"/>
            <w:vAlign w:val="bottom"/>
          </w:tcPr>
          <w:p>
            <w:pPr>
              <w:spacing w:after="0"/>
              <w:rPr>
                <w:sz w:val="13"/>
                <w:szCs w:val="13"/>
                <w:color w:val="auto"/>
              </w:rPr>
            </w:pPr>
          </w:p>
        </w:tc>
        <w:tc>
          <w:tcPr>
            <w:tcW w:w="2080" w:type="dxa"/>
            <w:vAlign w:val="bottom"/>
            <w:tcBorders>
              <w:bottom w:val="single" w:sz="8" w:color="D0EBF2"/>
            </w:tcBorders>
            <w:shd w:val="clear" w:color="auto" w:fill="D0EBF2"/>
          </w:tcPr>
          <w:p>
            <w:pPr>
              <w:spacing w:after="0"/>
              <w:rPr>
                <w:sz w:val="13"/>
                <w:szCs w:val="13"/>
                <w:color w:val="auto"/>
              </w:rPr>
            </w:pPr>
          </w:p>
        </w:tc>
        <w:tc>
          <w:tcPr>
            <w:tcW w:w="1000" w:type="dxa"/>
            <w:vAlign w:val="bottom"/>
            <w:tcBorders>
              <w:bottom w:val="single" w:sz="8" w:color="D0EBF2"/>
            </w:tcBorders>
            <w:shd w:val="clear" w:color="auto" w:fill="D0EBF2"/>
          </w:tcPr>
          <w:p>
            <w:pPr>
              <w:spacing w:after="0"/>
              <w:rPr>
                <w:sz w:val="13"/>
                <w:szCs w:val="13"/>
                <w:color w:val="auto"/>
              </w:rPr>
            </w:pPr>
          </w:p>
        </w:tc>
        <w:tc>
          <w:tcPr>
            <w:tcW w:w="180" w:type="dxa"/>
            <w:vAlign w:val="bottom"/>
            <w:tcBorders>
              <w:bottom w:val="single" w:sz="8" w:color="D0EBF2"/>
            </w:tcBorders>
            <w:shd w:val="clear" w:color="auto" w:fill="D0EBF2"/>
          </w:tcPr>
          <w:p>
            <w:pPr>
              <w:spacing w:after="0"/>
              <w:rPr>
                <w:sz w:val="13"/>
                <w:szCs w:val="13"/>
                <w:color w:val="auto"/>
              </w:rPr>
            </w:pPr>
          </w:p>
        </w:tc>
        <w:tc>
          <w:tcPr>
            <w:tcW w:w="960" w:type="dxa"/>
            <w:vAlign w:val="bottom"/>
            <w:tcBorders>
              <w:bottom w:val="single" w:sz="8" w:color="D0EBF2"/>
            </w:tcBorders>
            <w:shd w:val="clear" w:color="auto" w:fill="D0EBF2"/>
          </w:tcPr>
          <w:p>
            <w:pPr>
              <w:spacing w:after="0"/>
              <w:rPr>
                <w:sz w:val="13"/>
                <w:szCs w:val="13"/>
                <w:color w:val="auto"/>
              </w:rPr>
            </w:pPr>
          </w:p>
        </w:tc>
        <w:tc>
          <w:tcPr>
            <w:tcW w:w="200" w:type="dxa"/>
            <w:vAlign w:val="bottom"/>
            <w:tcBorders>
              <w:bottom w:val="single" w:sz="8" w:color="D0EBF2"/>
            </w:tcBorders>
            <w:shd w:val="clear" w:color="auto" w:fill="D0EBF2"/>
          </w:tcPr>
          <w:p>
            <w:pPr>
              <w:spacing w:after="0"/>
              <w:rPr>
                <w:sz w:val="13"/>
                <w:szCs w:val="13"/>
                <w:color w:val="auto"/>
              </w:rPr>
            </w:pPr>
          </w:p>
        </w:tc>
        <w:tc>
          <w:tcPr>
            <w:tcW w:w="900" w:type="dxa"/>
            <w:vAlign w:val="bottom"/>
            <w:tcBorders>
              <w:bottom w:val="single" w:sz="8" w:color="D0EBF2"/>
            </w:tcBorders>
            <w:shd w:val="clear" w:color="auto" w:fill="D0EBF2"/>
          </w:tcPr>
          <w:p>
            <w:pPr>
              <w:spacing w:after="0"/>
              <w:rPr>
                <w:sz w:val="13"/>
                <w:szCs w:val="13"/>
                <w:color w:val="auto"/>
              </w:rPr>
            </w:pPr>
          </w:p>
        </w:tc>
        <w:tc>
          <w:tcPr>
            <w:tcW w:w="240" w:type="dxa"/>
            <w:vAlign w:val="bottom"/>
            <w:tcBorders>
              <w:bottom w:val="single" w:sz="8" w:color="D0EBF2"/>
            </w:tcBorders>
            <w:shd w:val="clear" w:color="auto" w:fill="D0EBF2"/>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440" w:type="dxa"/>
            <w:vAlign w:val="bottom"/>
            <w:shd w:val="clear" w:color="auto" w:fill="FDFDFC"/>
          </w:tcPr>
          <w:p>
            <w:pPr>
              <w:spacing w:after="0" w:line="20" w:lineRule="exact"/>
              <w:rPr>
                <w:sz w:val="1"/>
                <w:szCs w:val="1"/>
                <w:color w:val="auto"/>
              </w:rPr>
            </w:pPr>
          </w:p>
        </w:tc>
        <w:tc>
          <w:tcPr>
            <w:tcW w:w="2440" w:type="dxa"/>
            <w:vAlign w:val="bottom"/>
            <w:shd w:val="clear" w:color="auto" w:fill="FDFDFC"/>
          </w:tcPr>
          <w:p>
            <w:pPr>
              <w:spacing w:after="0" w:line="20" w:lineRule="exact"/>
              <w:rPr>
                <w:sz w:val="1"/>
                <w:szCs w:val="1"/>
                <w:color w:val="auto"/>
              </w:rPr>
            </w:pPr>
          </w:p>
        </w:tc>
        <w:tc>
          <w:tcPr>
            <w:tcW w:w="820" w:type="dxa"/>
            <w:vAlign w:val="bottom"/>
            <w:shd w:val="clear" w:color="auto" w:fill="FDFDFC"/>
          </w:tcPr>
          <w:p>
            <w:pPr>
              <w:spacing w:after="0" w:line="20" w:lineRule="exact"/>
              <w:rPr>
                <w:sz w:val="1"/>
                <w:szCs w:val="1"/>
                <w:color w:val="auto"/>
              </w:rPr>
            </w:pPr>
          </w:p>
        </w:tc>
        <w:tc>
          <w:tcPr>
            <w:tcW w:w="20" w:type="dxa"/>
            <w:vAlign w:val="bottom"/>
            <w:shd w:val="clear" w:color="auto" w:fill="FDFDFC"/>
          </w:tcPr>
          <w:p>
            <w:pPr>
              <w:spacing w:after="0" w:line="20" w:lineRule="exact"/>
              <w:rPr>
                <w:sz w:val="1"/>
                <w:szCs w:val="1"/>
                <w:color w:val="auto"/>
              </w:rPr>
            </w:pPr>
          </w:p>
        </w:tc>
        <w:tc>
          <w:tcPr>
            <w:tcW w:w="2080" w:type="dxa"/>
            <w:vAlign w:val="bottom"/>
            <w:shd w:val="clear" w:color="auto" w:fill="FDFDFC"/>
          </w:tcPr>
          <w:p>
            <w:pPr>
              <w:spacing w:after="0" w:line="20" w:lineRule="exact"/>
              <w:rPr>
                <w:sz w:val="1"/>
                <w:szCs w:val="1"/>
                <w:color w:val="auto"/>
              </w:rPr>
            </w:pPr>
          </w:p>
        </w:tc>
        <w:tc>
          <w:tcPr>
            <w:tcW w:w="1000" w:type="dxa"/>
            <w:vAlign w:val="bottom"/>
            <w:shd w:val="clear" w:color="auto" w:fill="231F20"/>
          </w:tcPr>
          <w:p>
            <w:pPr>
              <w:spacing w:after="0" w:line="20" w:lineRule="exact"/>
              <w:rPr>
                <w:sz w:val="1"/>
                <w:szCs w:val="1"/>
                <w:color w:val="auto"/>
              </w:rPr>
            </w:pPr>
          </w:p>
        </w:tc>
        <w:tc>
          <w:tcPr>
            <w:tcW w:w="180" w:type="dxa"/>
            <w:vAlign w:val="bottom"/>
            <w:vMerge w:val="restart"/>
            <w:shd w:val="clear" w:color="auto" w:fill="FDFDFC"/>
          </w:tcPr>
          <w:p>
            <w:pPr>
              <w:spacing w:after="0" w:line="20" w:lineRule="exact"/>
              <w:rPr>
                <w:sz w:val="1"/>
                <w:szCs w:val="1"/>
                <w:color w:val="auto"/>
              </w:rPr>
            </w:pPr>
          </w:p>
        </w:tc>
        <w:tc>
          <w:tcPr>
            <w:tcW w:w="960" w:type="dxa"/>
            <w:vAlign w:val="bottom"/>
            <w:shd w:val="clear" w:color="auto" w:fill="231F20"/>
          </w:tcPr>
          <w:p>
            <w:pPr>
              <w:spacing w:after="0" w:line="20" w:lineRule="exact"/>
              <w:rPr>
                <w:sz w:val="1"/>
                <w:szCs w:val="1"/>
                <w:color w:val="auto"/>
              </w:rPr>
            </w:pPr>
          </w:p>
        </w:tc>
        <w:tc>
          <w:tcPr>
            <w:tcW w:w="200" w:type="dxa"/>
            <w:vAlign w:val="bottom"/>
            <w:vMerge w:val="restart"/>
            <w:shd w:val="clear" w:color="auto" w:fill="FDFDFC"/>
          </w:tcPr>
          <w:p>
            <w:pPr>
              <w:spacing w:after="0" w:line="20" w:lineRule="exact"/>
              <w:rPr>
                <w:sz w:val="1"/>
                <w:szCs w:val="1"/>
                <w:color w:val="auto"/>
              </w:rPr>
            </w:pPr>
          </w:p>
        </w:tc>
        <w:tc>
          <w:tcPr>
            <w:tcW w:w="900" w:type="dxa"/>
            <w:vAlign w:val="bottom"/>
            <w:shd w:val="clear" w:color="auto" w:fill="231F2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1440" w:type="dxa"/>
            <w:vAlign w:val="bottom"/>
            <w:shd w:val="clear" w:color="auto" w:fill="FDFDFC"/>
          </w:tcPr>
          <w:p>
            <w:pPr>
              <w:spacing w:after="0"/>
              <w:rPr>
                <w:sz w:val="14"/>
                <w:szCs w:val="14"/>
                <w:color w:val="auto"/>
              </w:rPr>
            </w:pPr>
          </w:p>
        </w:tc>
        <w:tc>
          <w:tcPr>
            <w:tcW w:w="2440" w:type="dxa"/>
            <w:vAlign w:val="bottom"/>
            <w:shd w:val="clear" w:color="auto" w:fill="FDFDFC"/>
          </w:tcPr>
          <w:p>
            <w:pPr>
              <w:spacing w:after="0"/>
              <w:rPr>
                <w:sz w:val="14"/>
                <w:szCs w:val="14"/>
                <w:color w:val="auto"/>
              </w:rPr>
            </w:pPr>
          </w:p>
        </w:tc>
        <w:tc>
          <w:tcPr>
            <w:tcW w:w="820" w:type="dxa"/>
            <w:vAlign w:val="bottom"/>
            <w:shd w:val="clear" w:color="auto" w:fill="FDFDFC"/>
          </w:tcPr>
          <w:p>
            <w:pPr>
              <w:spacing w:after="0"/>
              <w:rPr>
                <w:sz w:val="14"/>
                <w:szCs w:val="14"/>
                <w:color w:val="auto"/>
              </w:rPr>
            </w:pPr>
          </w:p>
        </w:tc>
        <w:tc>
          <w:tcPr>
            <w:tcW w:w="20" w:type="dxa"/>
            <w:vAlign w:val="bottom"/>
            <w:shd w:val="clear" w:color="auto" w:fill="FDFDFC"/>
          </w:tcPr>
          <w:p>
            <w:pPr>
              <w:spacing w:after="0"/>
              <w:rPr>
                <w:sz w:val="14"/>
                <w:szCs w:val="14"/>
                <w:color w:val="auto"/>
              </w:rPr>
            </w:pPr>
          </w:p>
        </w:tc>
        <w:tc>
          <w:tcPr>
            <w:tcW w:w="2080" w:type="dxa"/>
            <w:vAlign w:val="bottom"/>
            <w:shd w:val="clear" w:color="auto" w:fill="FDFDFC"/>
          </w:tcPr>
          <w:p>
            <w:pPr>
              <w:spacing w:after="0"/>
              <w:rPr>
                <w:sz w:val="14"/>
                <w:szCs w:val="14"/>
                <w:color w:val="auto"/>
              </w:rPr>
            </w:pPr>
          </w:p>
        </w:tc>
        <w:tc>
          <w:tcPr>
            <w:tcW w:w="1000" w:type="dxa"/>
            <w:vAlign w:val="bottom"/>
            <w:shd w:val="clear" w:color="auto" w:fill="FDFDFC"/>
          </w:tcPr>
          <w:p>
            <w:pPr>
              <w:jc w:val="right"/>
              <w:spacing w:after="0" w:line="164" w:lineRule="exact"/>
              <w:rPr>
                <w:sz w:val="20"/>
                <w:szCs w:val="20"/>
                <w:color w:val="auto"/>
              </w:rPr>
            </w:pPr>
            <w:r>
              <w:rPr>
                <w:rFonts w:ascii="Times New Roman" w:cs="Times New Roman" w:eastAsia="Times New Roman" w:hAnsi="Times New Roman"/>
                <w:sz w:val="15"/>
                <w:szCs w:val="15"/>
                <w:color w:val="231F20"/>
              </w:rPr>
              <w:t>19,707</w:t>
            </w:r>
          </w:p>
        </w:tc>
        <w:tc>
          <w:tcPr>
            <w:tcW w:w="180" w:type="dxa"/>
            <w:vAlign w:val="bottom"/>
            <w:vMerge w:val="continue"/>
            <w:shd w:val="clear" w:color="auto" w:fill="FDFDFC"/>
          </w:tcPr>
          <w:p>
            <w:pPr>
              <w:spacing w:after="0"/>
              <w:rPr>
                <w:sz w:val="14"/>
                <w:szCs w:val="14"/>
                <w:color w:val="auto"/>
              </w:rPr>
            </w:pPr>
          </w:p>
        </w:tc>
        <w:tc>
          <w:tcPr>
            <w:tcW w:w="960" w:type="dxa"/>
            <w:vAlign w:val="bottom"/>
            <w:shd w:val="clear" w:color="auto" w:fill="FDFDFC"/>
          </w:tcPr>
          <w:p>
            <w:pPr>
              <w:jc w:val="right"/>
              <w:spacing w:after="0" w:line="164" w:lineRule="exact"/>
              <w:rPr>
                <w:sz w:val="20"/>
                <w:szCs w:val="20"/>
                <w:color w:val="auto"/>
              </w:rPr>
            </w:pPr>
            <w:r>
              <w:rPr>
                <w:rFonts w:ascii="Times New Roman" w:cs="Times New Roman" w:eastAsia="Times New Roman" w:hAnsi="Times New Roman"/>
                <w:sz w:val="15"/>
                <w:szCs w:val="15"/>
                <w:color w:val="231F20"/>
              </w:rPr>
              <w:t>17,819</w:t>
            </w:r>
          </w:p>
        </w:tc>
        <w:tc>
          <w:tcPr>
            <w:tcW w:w="200" w:type="dxa"/>
            <w:vAlign w:val="bottom"/>
            <w:vMerge w:val="continue"/>
            <w:shd w:val="clear" w:color="auto" w:fill="FDFDFC"/>
          </w:tcPr>
          <w:p>
            <w:pPr>
              <w:spacing w:after="0"/>
              <w:rPr>
                <w:sz w:val="14"/>
                <w:szCs w:val="14"/>
                <w:color w:val="auto"/>
              </w:rPr>
            </w:pPr>
          </w:p>
        </w:tc>
        <w:tc>
          <w:tcPr>
            <w:tcW w:w="1140" w:type="dxa"/>
            <w:vAlign w:val="bottom"/>
            <w:gridSpan w:val="2"/>
          </w:tcPr>
          <w:p>
            <w:pPr>
              <w:jc w:val="right"/>
              <w:ind w:right="120"/>
              <w:spacing w:after="0" w:line="164" w:lineRule="exact"/>
              <w:rPr>
                <w:sz w:val="20"/>
                <w:szCs w:val="20"/>
                <w:color w:val="auto"/>
              </w:rPr>
            </w:pPr>
            <w:r>
              <w:rPr>
                <w:rFonts w:ascii="Times New Roman" w:cs="Times New Roman" w:eastAsia="Times New Roman" w:hAnsi="Times New Roman"/>
                <w:sz w:val="15"/>
                <w:szCs w:val="15"/>
                <w:color w:val="231F20"/>
              </w:rPr>
              <w:t>1.2%</w:t>
            </w:r>
          </w:p>
        </w:tc>
        <w:tc>
          <w:tcPr>
            <w:tcW w:w="0" w:type="dxa"/>
            <w:vAlign w:val="bottom"/>
          </w:tcPr>
          <w:p>
            <w:pPr>
              <w:spacing w:after="0"/>
              <w:rPr>
                <w:sz w:val="1"/>
                <w:szCs w:val="1"/>
                <w:color w:val="auto"/>
              </w:rPr>
            </w:pPr>
          </w:p>
        </w:tc>
      </w:tr>
      <w:tr>
        <w:trPr>
          <w:trHeight w:val="163"/>
        </w:trPr>
        <w:tc>
          <w:tcPr>
            <w:tcW w:w="1440" w:type="dxa"/>
            <w:vAlign w:val="bottom"/>
            <w:tcBorders>
              <w:top w:val="single" w:sz="8" w:color="D0EBF2"/>
            </w:tcBorders>
            <w:shd w:val="clear" w:color="auto" w:fill="D0EBF2"/>
          </w:tcPr>
          <w:p>
            <w:pPr>
              <w:spacing w:after="0" w:line="164" w:lineRule="exact"/>
              <w:rPr>
                <w:sz w:val="20"/>
                <w:szCs w:val="20"/>
                <w:color w:val="auto"/>
              </w:rPr>
            </w:pPr>
            <w:r>
              <w:rPr>
                <w:rFonts w:ascii="Times New Roman" w:cs="Times New Roman" w:eastAsia="Times New Roman" w:hAnsi="Times New Roman"/>
                <w:sz w:val="15"/>
                <w:szCs w:val="15"/>
                <w:b w:val="1"/>
                <w:bCs w:val="1"/>
                <w:color w:val="231F20"/>
              </w:rPr>
              <w:t>Communications</w:t>
            </w:r>
          </w:p>
        </w:tc>
        <w:tc>
          <w:tcPr>
            <w:tcW w:w="2440" w:type="dxa"/>
            <w:vAlign w:val="bottom"/>
            <w:tcBorders>
              <w:top w:val="single" w:sz="8" w:color="D0EBF2"/>
            </w:tcBorders>
            <w:shd w:val="clear" w:color="auto" w:fill="D0EBF2"/>
          </w:tcPr>
          <w:p>
            <w:pPr>
              <w:spacing w:after="0"/>
              <w:rPr>
                <w:sz w:val="14"/>
                <w:szCs w:val="14"/>
                <w:color w:val="auto"/>
              </w:rPr>
            </w:pPr>
          </w:p>
        </w:tc>
        <w:tc>
          <w:tcPr>
            <w:tcW w:w="820" w:type="dxa"/>
            <w:vAlign w:val="bottom"/>
            <w:tcBorders>
              <w:top w:val="single" w:sz="8" w:color="D0EBF2"/>
            </w:tcBorders>
            <w:shd w:val="clear" w:color="auto" w:fill="D0EBF2"/>
          </w:tcPr>
          <w:p>
            <w:pPr>
              <w:spacing w:after="0"/>
              <w:rPr>
                <w:sz w:val="14"/>
                <w:szCs w:val="14"/>
                <w:color w:val="auto"/>
              </w:rPr>
            </w:pPr>
          </w:p>
        </w:tc>
        <w:tc>
          <w:tcPr>
            <w:tcW w:w="20" w:type="dxa"/>
            <w:vAlign w:val="bottom"/>
            <w:tcBorders>
              <w:top w:val="single" w:sz="8" w:color="D0EBF2"/>
            </w:tcBorders>
            <w:shd w:val="clear" w:color="auto" w:fill="D0EBF2"/>
          </w:tcPr>
          <w:p>
            <w:pPr>
              <w:spacing w:after="0"/>
              <w:rPr>
                <w:sz w:val="14"/>
                <w:szCs w:val="14"/>
                <w:color w:val="auto"/>
              </w:rPr>
            </w:pPr>
          </w:p>
        </w:tc>
        <w:tc>
          <w:tcPr>
            <w:tcW w:w="2080" w:type="dxa"/>
            <w:vAlign w:val="bottom"/>
            <w:tcBorders>
              <w:top w:val="single" w:sz="8" w:color="D0EBF2"/>
            </w:tcBorders>
            <w:shd w:val="clear" w:color="auto" w:fill="D0EBF2"/>
          </w:tcPr>
          <w:p>
            <w:pPr>
              <w:spacing w:after="0"/>
              <w:rPr>
                <w:sz w:val="14"/>
                <w:szCs w:val="14"/>
                <w:color w:val="auto"/>
              </w:rPr>
            </w:pPr>
          </w:p>
        </w:tc>
        <w:tc>
          <w:tcPr>
            <w:tcW w:w="1000" w:type="dxa"/>
            <w:vAlign w:val="bottom"/>
            <w:tcBorders>
              <w:top w:val="single" w:sz="8" w:color="231F20"/>
            </w:tcBorders>
            <w:shd w:val="clear" w:color="auto" w:fill="D0EBF2"/>
          </w:tcPr>
          <w:p>
            <w:pPr>
              <w:spacing w:after="0"/>
              <w:rPr>
                <w:sz w:val="14"/>
                <w:szCs w:val="14"/>
                <w:color w:val="auto"/>
              </w:rPr>
            </w:pPr>
          </w:p>
        </w:tc>
        <w:tc>
          <w:tcPr>
            <w:tcW w:w="180" w:type="dxa"/>
            <w:vAlign w:val="bottom"/>
            <w:tcBorders>
              <w:top w:val="single" w:sz="8" w:color="D0EBF2"/>
            </w:tcBorders>
            <w:shd w:val="clear" w:color="auto" w:fill="D0EBF2"/>
          </w:tcPr>
          <w:p>
            <w:pPr>
              <w:spacing w:after="0"/>
              <w:rPr>
                <w:sz w:val="14"/>
                <w:szCs w:val="14"/>
                <w:color w:val="auto"/>
              </w:rPr>
            </w:pPr>
          </w:p>
        </w:tc>
        <w:tc>
          <w:tcPr>
            <w:tcW w:w="960" w:type="dxa"/>
            <w:vAlign w:val="bottom"/>
            <w:tcBorders>
              <w:top w:val="single" w:sz="8" w:color="231F20"/>
            </w:tcBorders>
            <w:shd w:val="clear" w:color="auto" w:fill="D0EBF2"/>
          </w:tcPr>
          <w:p>
            <w:pPr>
              <w:spacing w:after="0"/>
              <w:rPr>
                <w:sz w:val="14"/>
                <w:szCs w:val="14"/>
                <w:color w:val="auto"/>
              </w:rPr>
            </w:pPr>
          </w:p>
        </w:tc>
        <w:tc>
          <w:tcPr>
            <w:tcW w:w="200" w:type="dxa"/>
            <w:vAlign w:val="bottom"/>
            <w:tcBorders>
              <w:top w:val="single" w:sz="8" w:color="D0EBF2"/>
            </w:tcBorders>
            <w:shd w:val="clear" w:color="auto" w:fill="D0EBF2"/>
          </w:tcPr>
          <w:p>
            <w:pPr>
              <w:spacing w:after="0"/>
              <w:rPr>
                <w:sz w:val="14"/>
                <w:szCs w:val="14"/>
                <w:color w:val="auto"/>
              </w:rPr>
            </w:pPr>
          </w:p>
        </w:tc>
        <w:tc>
          <w:tcPr>
            <w:tcW w:w="900" w:type="dxa"/>
            <w:vAlign w:val="bottom"/>
            <w:tcBorders>
              <w:top w:val="single" w:sz="8" w:color="231F20"/>
            </w:tcBorders>
            <w:shd w:val="clear" w:color="auto" w:fill="D0EBF2"/>
          </w:tcPr>
          <w:p>
            <w:pPr>
              <w:spacing w:after="0"/>
              <w:rPr>
                <w:sz w:val="14"/>
                <w:szCs w:val="14"/>
                <w:color w:val="auto"/>
              </w:rPr>
            </w:pPr>
          </w:p>
        </w:tc>
        <w:tc>
          <w:tcPr>
            <w:tcW w:w="240" w:type="dxa"/>
            <w:vAlign w:val="bottom"/>
            <w:tcBorders>
              <w:top w:val="single" w:sz="8" w:color="D0EBF2"/>
            </w:tcBorders>
            <w:shd w:val="clear" w:color="auto" w:fill="D0EBF2"/>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1440" w:type="dxa"/>
            <w:vAlign w:val="bottom"/>
            <w:shd w:val="clear" w:color="auto" w:fill="FDFDFC"/>
          </w:tcPr>
          <w:p>
            <w:pPr>
              <w:spacing w:after="0" w:line="159" w:lineRule="exact"/>
              <w:rPr>
                <w:sz w:val="20"/>
                <w:szCs w:val="20"/>
                <w:color w:val="auto"/>
              </w:rPr>
            </w:pPr>
            <w:r>
              <w:rPr>
                <w:rFonts w:ascii="Times New Roman" w:cs="Times New Roman" w:eastAsia="Times New Roman" w:hAnsi="Times New Roman"/>
                <w:sz w:val="15"/>
                <w:szCs w:val="15"/>
                <w:color w:val="231F20"/>
              </w:rPr>
              <w:t>Celtra Technologies,</w:t>
            </w:r>
          </w:p>
        </w:tc>
        <w:tc>
          <w:tcPr>
            <w:tcW w:w="2440" w:type="dxa"/>
            <w:vAlign w:val="bottom"/>
            <w:shd w:val="clear" w:color="auto" w:fill="FDFDFC"/>
          </w:tcPr>
          <w:p>
            <w:pPr>
              <w:ind w:left="80"/>
              <w:spacing w:after="0" w:line="159" w:lineRule="exact"/>
              <w:rPr>
                <w:sz w:val="20"/>
                <w:szCs w:val="20"/>
                <w:color w:val="auto"/>
              </w:rPr>
            </w:pPr>
            <w:r>
              <w:rPr>
                <w:rFonts w:ascii="Times New Roman" w:cs="Times New Roman" w:eastAsia="Times New Roman" w:hAnsi="Times New Roman"/>
                <w:sz w:val="15"/>
                <w:szCs w:val="15"/>
                <w:color w:val="231F20"/>
              </w:rPr>
              <w:t>Class A Units (1,250,000 units)</w:t>
            </w:r>
          </w:p>
        </w:tc>
        <w:tc>
          <w:tcPr>
            <w:tcW w:w="820" w:type="dxa"/>
            <w:vAlign w:val="bottom"/>
            <w:shd w:val="clear" w:color="auto" w:fill="FDFDFC"/>
          </w:tcPr>
          <w:p>
            <w:pPr>
              <w:jc w:val="right"/>
              <w:spacing w:after="0" w:line="159" w:lineRule="exact"/>
              <w:rPr>
                <w:sz w:val="20"/>
                <w:szCs w:val="20"/>
                <w:color w:val="auto"/>
              </w:rPr>
            </w:pPr>
            <w:r>
              <w:rPr>
                <w:rFonts w:ascii="Times New Roman" w:cs="Times New Roman" w:eastAsia="Times New Roman" w:hAnsi="Times New Roman"/>
                <w:sz w:val="15"/>
                <w:szCs w:val="15"/>
                <w:color w:val="231F20"/>
              </w:rPr>
              <w:t>11/19/2021</w:t>
            </w:r>
          </w:p>
        </w:tc>
        <w:tc>
          <w:tcPr>
            <w:tcW w:w="20" w:type="dxa"/>
            <w:vAlign w:val="bottom"/>
          </w:tcPr>
          <w:p>
            <w:pPr>
              <w:spacing w:after="0"/>
              <w:rPr>
                <w:sz w:val="13"/>
                <w:szCs w:val="13"/>
                <w:color w:val="auto"/>
              </w:rPr>
            </w:pPr>
          </w:p>
        </w:tc>
        <w:tc>
          <w:tcPr>
            <w:tcW w:w="2080" w:type="dxa"/>
            <w:vAlign w:val="bottom"/>
            <w:shd w:val="clear" w:color="auto" w:fill="FDFDFC"/>
          </w:tcPr>
          <w:p>
            <w:pPr>
              <w:spacing w:after="0"/>
              <w:rPr>
                <w:sz w:val="13"/>
                <w:szCs w:val="13"/>
                <w:color w:val="auto"/>
              </w:rPr>
            </w:pPr>
          </w:p>
        </w:tc>
        <w:tc>
          <w:tcPr>
            <w:tcW w:w="1000" w:type="dxa"/>
            <w:vAlign w:val="bottom"/>
            <w:shd w:val="clear" w:color="auto" w:fill="FDFDFC"/>
          </w:tcPr>
          <w:p>
            <w:pPr>
              <w:jc w:val="right"/>
              <w:spacing w:after="0" w:line="159" w:lineRule="exact"/>
              <w:rPr>
                <w:sz w:val="20"/>
                <w:szCs w:val="20"/>
                <w:color w:val="auto"/>
              </w:rPr>
            </w:pPr>
            <w:r>
              <w:rPr>
                <w:rFonts w:ascii="Times New Roman" w:cs="Times New Roman" w:eastAsia="Times New Roman" w:hAnsi="Times New Roman"/>
                <w:sz w:val="15"/>
                <w:szCs w:val="15"/>
                <w:color w:val="231F20"/>
              </w:rPr>
              <w:t>1,250</w:t>
            </w:r>
          </w:p>
        </w:tc>
        <w:tc>
          <w:tcPr>
            <w:tcW w:w="180" w:type="dxa"/>
            <w:vAlign w:val="bottom"/>
            <w:shd w:val="clear" w:color="auto" w:fill="FDFDFC"/>
          </w:tcPr>
          <w:p>
            <w:pPr>
              <w:spacing w:after="0"/>
              <w:rPr>
                <w:sz w:val="13"/>
                <w:szCs w:val="13"/>
                <w:color w:val="auto"/>
              </w:rPr>
            </w:pPr>
          </w:p>
        </w:tc>
        <w:tc>
          <w:tcPr>
            <w:tcW w:w="960" w:type="dxa"/>
            <w:vAlign w:val="bottom"/>
            <w:shd w:val="clear" w:color="auto" w:fill="FDFDFC"/>
          </w:tcPr>
          <w:p>
            <w:pPr>
              <w:jc w:val="right"/>
              <w:spacing w:after="0" w:line="159" w:lineRule="exact"/>
              <w:rPr>
                <w:sz w:val="20"/>
                <w:szCs w:val="20"/>
                <w:color w:val="auto"/>
              </w:rPr>
            </w:pPr>
            <w:r>
              <w:rPr>
                <w:rFonts w:ascii="Times New Roman" w:cs="Times New Roman" w:eastAsia="Times New Roman" w:hAnsi="Times New Roman"/>
                <w:sz w:val="15"/>
                <w:szCs w:val="15"/>
                <w:color w:val="231F20"/>
              </w:rPr>
              <w:t>1,250</w:t>
            </w:r>
          </w:p>
        </w:tc>
        <w:tc>
          <w:tcPr>
            <w:tcW w:w="200" w:type="dxa"/>
            <w:vAlign w:val="bottom"/>
            <w:shd w:val="clear" w:color="auto" w:fill="FDFDFC"/>
          </w:tcPr>
          <w:p>
            <w:pPr>
              <w:spacing w:after="0"/>
              <w:rPr>
                <w:sz w:val="13"/>
                <w:szCs w:val="13"/>
                <w:color w:val="auto"/>
              </w:rPr>
            </w:pPr>
          </w:p>
        </w:tc>
        <w:tc>
          <w:tcPr>
            <w:tcW w:w="1140" w:type="dxa"/>
            <w:vAlign w:val="bottom"/>
            <w:gridSpan w:val="2"/>
            <w:shd w:val="clear" w:color="auto" w:fill="FDFDFC"/>
          </w:tcPr>
          <w:p>
            <w:pPr>
              <w:jc w:val="right"/>
              <w:ind w:right="120"/>
              <w:spacing w:after="0" w:line="159" w:lineRule="exact"/>
              <w:rPr>
                <w:sz w:val="20"/>
                <w:szCs w:val="20"/>
                <w:color w:val="auto"/>
              </w:rPr>
            </w:pPr>
            <w:r>
              <w:rPr>
                <w:rFonts w:ascii="Times New Roman" w:cs="Times New Roman" w:eastAsia="Times New Roman" w:hAnsi="Times New Roman"/>
                <w:sz w:val="15"/>
                <w:szCs w:val="15"/>
                <w:color w:val="231F20"/>
              </w:rPr>
              <w:t>0.1%</w:t>
            </w:r>
          </w:p>
        </w:tc>
        <w:tc>
          <w:tcPr>
            <w:tcW w:w="0" w:type="dxa"/>
            <w:vAlign w:val="bottom"/>
          </w:tcPr>
          <w:p>
            <w:pPr>
              <w:spacing w:after="0"/>
              <w:rPr>
                <w:sz w:val="1"/>
                <w:szCs w:val="1"/>
                <w:color w:val="auto"/>
              </w:rPr>
            </w:pPr>
          </w:p>
        </w:tc>
      </w:tr>
      <w:tr>
        <w:trPr>
          <w:trHeight w:val="189"/>
        </w:trPr>
        <w:tc>
          <w:tcPr>
            <w:tcW w:w="1440" w:type="dxa"/>
            <w:vAlign w:val="bottom"/>
            <w:shd w:val="clear" w:color="auto" w:fill="FDFDFC"/>
          </w:tcPr>
          <w:p>
            <w:pPr>
              <w:spacing w:after="0" w:line="189" w:lineRule="exact"/>
              <w:rPr>
                <w:sz w:val="20"/>
                <w:szCs w:val="20"/>
                <w:color w:val="auto"/>
              </w:rPr>
            </w:pPr>
            <w:r>
              <w:rPr>
                <w:rFonts w:ascii="Times New Roman" w:cs="Times New Roman" w:eastAsia="Times New Roman" w:hAnsi="Times New Roman"/>
                <w:sz w:val="15"/>
                <w:szCs w:val="15"/>
                <w:color w:val="231F20"/>
              </w:rPr>
              <w:t xml:space="preserve">Inc. </w:t>
            </w:r>
            <w:r>
              <w:rPr>
                <w:rFonts w:ascii="Times New Roman" w:cs="Times New Roman" w:eastAsia="Times New Roman" w:hAnsi="Times New Roman"/>
                <w:sz w:val="18"/>
                <w:szCs w:val="18"/>
                <w:color w:val="231F20"/>
                <w:vertAlign w:val="superscript"/>
              </w:rPr>
              <w:t>(11)</w:t>
            </w:r>
          </w:p>
        </w:tc>
        <w:tc>
          <w:tcPr>
            <w:tcW w:w="2440" w:type="dxa"/>
            <w:vAlign w:val="bottom"/>
            <w:shd w:val="clear" w:color="auto" w:fill="FDFDFC"/>
          </w:tcPr>
          <w:p>
            <w:pPr>
              <w:spacing w:after="0"/>
              <w:rPr>
                <w:sz w:val="16"/>
                <w:szCs w:val="16"/>
                <w:color w:val="auto"/>
              </w:rPr>
            </w:pPr>
          </w:p>
        </w:tc>
        <w:tc>
          <w:tcPr>
            <w:tcW w:w="820" w:type="dxa"/>
            <w:vAlign w:val="bottom"/>
            <w:shd w:val="clear" w:color="auto" w:fill="FDFDFC"/>
          </w:tcPr>
          <w:p>
            <w:pPr>
              <w:spacing w:after="0"/>
              <w:rPr>
                <w:sz w:val="16"/>
                <w:szCs w:val="16"/>
                <w:color w:val="auto"/>
              </w:rPr>
            </w:pPr>
          </w:p>
        </w:tc>
        <w:tc>
          <w:tcPr>
            <w:tcW w:w="20" w:type="dxa"/>
            <w:vAlign w:val="bottom"/>
          </w:tcPr>
          <w:p>
            <w:pPr>
              <w:spacing w:after="0"/>
              <w:rPr>
                <w:sz w:val="16"/>
                <w:szCs w:val="16"/>
                <w:color w:val="auto"/>
              </w:rPr>
            </w:pPr>
          </w:p>
        </w:tc>
        <w:tc>
          <w:tcPr>
            <w:tcW w:w="2080" w:type="dxa"/>
            <w:vAlign w:val="bottom"/>
            <w:shd w:val="clear" w:color="auto" w:fill="FDFDFC"/>
          </w:tcPr>
          <w:p>
            <w:pPr>
              <w:spacing w:after="0"/>
              <w:rPr>
                <w:sz w:val="16"/>
                <w:szCs w:val="16"/>
                <w:color w:val="auto"/>
              </w:rPr>
            </w:pPr>
          </w:p>
        </w:tc>
        <w:tc>
          <w:tcPr>
            <w:tcW w:w="1000" w:type="dxa"/>
            <w:vAlign w:val="bottom"/>
            <w:shd w:val="clear" w:color="auto" w:fill="FDFDFC"/>
          </w:tcPr>
          <w:p>
            <w:pPr>
              <w:spacing w:after="0"/>
              <w:rPr>
                <w:sz w:val="16"/>
                <w:szCs w:val="16"/>
                <w:color w:val="auto"/>
              </w:rPr>
            </w:pPr>
          </w:p>
        </w:tc>
        <w:tc>
          <w:tcPr>
            <w:tcW w:w="180" w:type="dxa"/>
            <w:vAlign w:val="bottom"/>
            <w:shd w:val="clear" w:color="auto" w:fill="FDFDFC"/>
          </w:tcPr>
          <w:p>
            <w:pPr>
              <w:spacing w:after="0"/>
              <w:rPr>
                <w:sz w:val="16"/>
                <w:szCs w:val="16"/>
                <w:color w:val="auto"/>
              </w:rPr>
            </w:pPr>
          </w:p>
        </w:tc>
        <w:tc>
          <w:tcPr>
            <w:tcW w:w="960" w:type="dxa"/>
            <w:vAlign w:val="bottom"/>
            <w:shd w:val="clear" w:color="auto" w:fill="FDFDFC"/>
          </w:tcPr>
          <w:p>
            <w:pPr>
              <w:spacing w:after="0"/>
              <w:rPr>
                <w:sz w:val="16"/>
                <w:szCs w:val="16"/>
                <w:color w:val="auto"/>
              </w:rPr>
            </w:pPr>
          </w:p>
        </w:tc>
        <w:tc>
          <w:tcPr>
            <w:tcW w:w="200" w:type="dxa"/>
            <w:vAlign w:val="bottom"/>
            <w:shd w:val="clear" w:color="auto" w:fill="FDFDFC"/>
          </w:tcPr>
          <w:p>
            <w:pPr>
              <w:spacing w:after="0"/>
              <w:rPr>
                <w:sz w:val="16"/>
                <w:szCs w:val="16"/>
                <w:color w:val="auto"/>
              </w:rPr>
            </w:pPr>
          </w:p>
        </w:tc>
        <w:tc>
          <w:tcPr>
            <w:tcW w:w="900" w:type="dxa"/>
            <w:vAlign w:val="bottom"/>
            <w:shd w:val="clear" w:color="auto" w:fill="FDFDFC"/>
          </w:tcPr>
          <w:p>
            <w:pPr>
              <w:spacing w:after="0"/>
              <w:rPr>
                <w:sz w:val="16"/>
                <w:szCs w:val="16"/>
                <w:color w:val="auto"/>
              </w:rPr>
            </w:pPr>
          </w:p>
        </w:tc>
        <w:tc>
          <w:tcPr>
            <w:tcW w:w="240" w:type="dxa"/>
            <w:vAlign w:val="bottom"/>
            <w:shd w:val="clear" w:color="auto" w:fill="FDFDFC"/>
          </w:tcPr>
          <w:p>
            <w:pPr>
              <w:spacing w:after="0"/>
              <w:rPr>
                <w:sz w:val="16"/>
                <w:szCs w:val="16"/>
                <w:color w:val="auto"/>
              </w:rPr>
            </w:pPr>
          </w:p>
        </w:tc>
        <w:tc>
          <w:tcPr>
            <w:tcW w:w="0" w:type="dxa"/>
            <w:vAlign w:val="bottom"/>
          </w:tcPr>
          <w:p>
            <w:pPr>
              <w:spacing w:after="0"/>
              <w:rPr>
                <w:sz w:val="1"/>
                <w:szCs w:val="1"/>
                <w:color w:val="auto"/>
              </w:rPr>
            </w:pPr>
          </w:p>
        </w:tc>
      </w:tr>
      <w:tr>
        <w:trPr>
          <w:trHeight w:val="158"/>
        </w:trPr>
        <w:tc>
          <w:tcPr>
            <w:tcW w:w="1440" w:type="dxa"/>
            <w:vAlign w:val="bottom"/>
            <w:shd w:val="clear" w:color="auto" w:fill="D0EBF2"/>
          </w:tcPr>
          <w:p>
            <w:pPr>
              <w:spacing w:after="0" w:line="159" w:lineRule="exact"/>
              <w:rPr>
                <w:sz w:val="20"/>
                <w:szCs w:val="20"/>
                <w:color w:val="auto"/>
              </w:rPr>
            </w:pPr>
            <w:r>
              <w:rPr>
                <w:rFonts w:ascii="Times New Roman" w:cs="Times New Roman" w:eastAsia="Times New Roman" w:hAnsi="Times New Roman"/>
                <w:sz w:val="15"/>
                <w:szCs w:val="15"/>
                <w:color w:val="231F20"/>
              </w:rPr>
              <w:t>IntelePeer Holdings,</w:t>
            </w:r>
          </w:p>
        </w:tc>
        <w:tc>
          <w:tcPr>
            <w:tcW w:w="2440" w:type="dxa"/>
            <w:vAlign w:val="bottom"/>
            <w:shd w:val="clear" w:color="auto" w:fill="D0EBF2"/>
          </w:tcPr>
          <w:p>
            <w:pPr>
              <w:ind w:left="80"/>
              <w:spacing w:after="0" w:line="159" w:lineRule="exact"/>
              <w:rPr>
                <w:sz w:val="20"/>
                <w:szCs w:val="20"/>
                <w:color w:val="auto"/>
              </w:rPr>
            </w:pPr>
            <w:r>
              <w:rPr>
                <w:rFonts w:ascii="Times New Roman" w:cs="Times New Roman" w:eastAsia="Times New Roman" w:hAnsi="Times New Roman"/>
                <w:sz w:val="15"/>
                <w:szCs w:val="15"/>
                <w:color w:val="231F20"/>
              </w:rPr>
              <w:t>Series C Preferred Shares (1,816,295</w:t>
            </w:r>
          </w:p>
        </w:tc>
        <w:tc>
          <w:tcPr>
            <w:tcW w:w="820" w:type="dxa"/>
            <w:vAlign w:val="bottom"/>
            <w:shd w:val="clear" w:color="auto" w:fill="D0EBF2"/>
          </w:tcPr>
          <w:p>
            <w:pPr>
              <w:jc w:val="right"/>
              <w:spacing w:after="0" w:line="159" w:lineRule="exact"/>
              <w:rPr>
                <w:sz w:val="20"/>
                <w:szCs w:val="20"/>
                <w:color w:val="auto"/>
              </w:rPr>
            </w:pPr>
            <w:r>
              <w:rPr>
                <w:rFonts w:ascii="Times New Roman" w:cs="Times New Roman" w:eastAsia="Times New Roman" w:hAnsi="Times New Roman"/>
                <w:sz w:val="15"/>
                <w:szCs w:val="15"/>
                <w:color w:val="231F20"/>
              </w:rPr>
              <w:t>4/8/2021</w:t>
            </w:r>
          </w:p>
        </w:tc>
        <w:tc>
          <w:tcPr>
            <w:tcW w:w="20" w:type="dxa"/>
            <w:vAlign w:val="bottom"/>
          </w:tcPr>
          <w:p>
            <w:pPr>
              <w:spacing w:after="0"/>
              <w:rPr>
                <w:sz w:val="13"/>
                <w:szCs w:val="13"/>
                <w:color w:val="auto"/>
              </w:rPr>
            </w:pPr>
          </w:p>
        </w:tc>
        <w:tc>
          <w:tcPr>
            <w:tcW w:w="3080" w:type="dxa"/>
            <w:vAlign w:val="bottom"/>
            <w:gridSpan w:val="2"/>
            <w:shd w:val="clear" w:color="auto" w:fill="D0EBF2"/>
          </w:tcPr>
          <w:p>
            <w:pPr>
              <w:jc w:val="right"/>
              <w:spacing w:after="0" w:line="159" w:lineRule="exact"/>
              <w:rPr>
                <w:sz w:val="20"/>
                <w:szCs w:val="20"/>
                <w:color w:val="auto"/>
              </w:rPr>
            </w:pPr>
            <w:r>
              <w:rPr>
                <w:rFonts w:ascii="Times New Roman" w:cs="Times New Roman" w:eastAsia="Times New Roman" w:hAnsi="Times New Roman"/>
                <w:sz w:val="15"/>
                <w:szCs w:val="15"/>
                <w:color w:val="231F20"/>
              </w:rPr>
              <w:t>1,816</w:t>
            </w:r>
          </w:p>
        </w:tc>
        <w:tc>
          <w:tcPr>
            <w:tcW w:w="1140" w:type="dxa"/>
            <w:vAlign w:val="bottom"/>
            <w:gridSpan w:val="2"/>
            <w:shd w:val="clear" w:color="auto" w:fill="D0EBF2"/>
          </w:tcPr>
          <w:p>
            <w:pPr>
              <w:jc w:val="right"/>
              <w:spacing w:after="0" w:line="159" w:lineRule="exact"/>
              <w:rPr>
                <w:sz w:val="20"/>
                <w:szCs w:val="20"/>
                <w:color w:val="auto"/>
              </w:rPr>
            </w:pPr>
            <w:r>
              <w:rPr>
                <w:rFonts w:ascii="Times New Roman" w:cs="Times New Roman" w:eastAsia="Times New Roman" w:hAnsi="Times New Roman"/>
                <w:sz w:val="15"/>
                <w:szCs w:val="15"/>
                <w:color w:val="231F20"/>
              </w:rPr>
              <w:t>1,957</w:t>
            </w:r>
          </w:p>
        </w:tc>
        <w:tc>
          <w:tcPr>
            <w:tcW w:w="1340" w:type="dxa"/>
            <w:vAlign w:val="bottom"/>
            <w:gridSpan w:val="3"/>
            <w:shd w:val="clear" w:color="auto" w:fill="D0EBF2"/>
          </w:tcPr>
          <w:p>
            <w:pPr>
              <w:jc w:val="right"/>
              <w:ind w:right="120"/>
              <w:spacing w:after="0" w:line="159" w:lineRule="exact"/>
              <w:rPr>
                <w:sz w:val="20"/>
                <w:szCs w:val="20"/>
                <w:color w:val="auto"/>
              </w:rPr>
            </w:pPr>
            <w:r>
              <w:rPr>
                <w:rFonts w:ascii="Times New Roman" w:cs="Times New Roman" w:eastAsia="Times New Roman" w:hAnsi="Times New Roman"/>
                <w:sz w:val="15"/>
                <w:szCs w:val="15"/>
                <w:color w:val="231F20"/>
              </w:rPr>
              <w:t>0.1%</w:t>
            </w:r>
          </w:p>
        </w:tc>
        <w:tc>
          <w:tcPr>
            <w:tcW w:w="0" w:type="dxa"/>
            <w:vAlign w:val="bottom"/>
          </w:tcPr>
          <w:p>
            <w:pPr>
              <w:spacing w:after="0"/>
              <w:rPr>
                <w:sz w:val="1"/>
                <w:szCs w:val="1"/>
                <w:color w:val="auto"/>
              </w:rPr>
            </w:pPr>
          </w:p>
        </w:tc>
      </w:tr>
      <w:tr>
        <w:trPr>
          <w:trHeight w:val="189"/>
        </w:trPr>
        <w:tc>
          <w:tcPr>
            <w:tcW w:w="1440" w:type="dxa"/>
            <w:vAlign w:val="bottom"/>
            <w:shd w:val="clear" w:color="auto" w:fill="D0EBF2"/>
          </w:tcPr>
          <w:p>
            <w:pPr>
              <w:spacing w:after="0"/>
              <w:rPr>
                <w:sz w:val="20"/>
                <w:szCs w:val="20"/>
                <w:color w:val="auto"/>
              </w:rPr>
            </w:pPr>
            <w:r>
              <w:rPr>
                <w:rFonts w:ascii="Times New Roman" w:cs="Times New Roman" w:eastAsia="Times New Roman" w:hAnsi="Times New Roman"/>
                <w:sz w:val="15"/>
                <w:szCs w:val="15"/>
                <w:color w:val="231F20"/>
              </w:rPr>
              <w:t xml:space="preserve">Inc. </w:t>
            </w:r>
            <w:r>
              <w:rPr>
                <w:rFonts w:ascii="Times New Roman" w:cs="Times New Roman" w:eastAsia="Times New Roman" w:hAnsi="Times New Roman"/>
                <w:sz w:val="9"/>
                <w:szCs w:val="9"/>
                <w:color w:val="231F20"/>
              </w:rPr>
              <w:t>(11)</w:t>
            </w:r>
          </w:p>
        </w:tc>
        <w:tc>
          <w:tcPr>
            <w:tcW w:w="2440" w:type="dxa"/>
            <w:vAlign w:val="bottom"/>
            <w:shd w:val="clear" w:color="auto" w:fill="D0EBF2"/>
          </w:tcPr>
          <w:p>
            <w:pPr>
              <w:ind w:left="80"/>
              <w:spacing w:after="0"/>
              <w:rPr>
                <w:sz w:val="20"/>
                <w:szCs w:val="20"/>
                <w:color w:val="auto"/>
              </w:rPr>
            </w:pPr>
            <w:r>
              <w:rPr>
                <w:rFonts w:ascii="Times New Roman" w:cs="Times New Roman" w:eastAsia="Times New Roman" w:hAnsi="Times New Roman"/>
                <w:sz w:val="15"/>
                <w:szCs w:val="15"/>
                <w:color w:val="231F20"/>
              </w:rPr>
              <w:t>shares)</w:t>
            </w:r>
          </w:p>
        </w:tc>
        <w:tc>
          <w:tcPr>
            <w:tcW w:w="820" w:type="dxa"/>
            <w:vAlign w:val="bottom"/>
            <w:shd w:val="clear" w:color="auto" w:fill="D0EBF2"/>
          </w:tcPr>
          <w:p>
            <w:pPr>
              <w:spacing w:after="0"/>
              <w:rPr>
                <w:sz w:val="16"/>
                <w:szCs w:val="16"/>
                <w:color w:val="auto"/>
              </w:rPr>
            </w:pPr>
          </w:p>
        </w:tc>
        <w:tc>
          <w:tcPr>
            <w:tcW w:w="20" w:type="dxa"/>
            <w:vAlign w:val="bottom"/>
          </w:tcPr>
          <w:p>
            <w:pPr>
              <w:spacing w:after="0"/>
              <w:rPr>
                <w:sz w:val="16"/>
                <w:szCs w:val="16"/>
                <w:color w:val="auto"/>
              </w:rPr>
            </w:pPr>
          </w:p>
        </w:tc>
        <w:tc>
          <w:tcPr>
            <w:tcW w:w="2080" w:type="dxa"/>
            <w:vAlign w:val="bottom"/>
            <w:shd w:val="clear" w:color="auto" w:fill="D0EBF2"/>
          </w:tcPr>
          <w:p>
            <w:pPr>
              <w:spacing w:after="0"/>
              <w:rPr>
                <w:sz w:val="16"/>
                <w:szCs w:val="16"/>
                <w:color w:val="auto"/>
              </w:rPr>
            </w:pPr>
          </w:p>
        </w:tc>
        <w:tc>
          <w:tcPr>
            <w:tcW w:w="1000" w:type="dxa"/>
            <w:vAlign w:val="bottom"/>
            <w:shd w:val="clear" w:color="auto" w:fill="D0EBF2"/>
          </w:tcPr>
          <w:p>
            <w:pPr>
              <w:spacing w:after="0"/>
              <w:rPr>
                <w:sz w:val="16"/>
                <w:szCs w:val="16"/>
                <w:color w:val="auto"/>
              </w:rPr>
            </w:pPr>
          </w:p>
        </w:tc>
        <w:tc>
          <w:tcPr>
            <w:tcW w:w="180" w:type="dxa"/>
            <w:vAlign w:val="bottom"/>
            <w:shd w:val="clear" w:color="auto" w:fill="D0EBF2"/>
          </w:tcPr>
          <w:p>
            <w:pPr>
              <w:spacing w:after="0"/>
              <w:rPr>
                <w:sz w:val="16"/>
                <w:szCs w:val="16"/>
                <w:color w:val="auto"/>
              </w:rPr>
            </w:pPr>
          </w:p>
        </w:tc>
        <w:tc>
          <w:tcPr>
            <w:tcW w:w="960" w:type="dxa"/>
            <w:vAlign w:val="bottom"/>
            <w:shd w:val="clear" w:color="auto" w:fill="D0EBF2"/>
          </w:tcPr>
          <w:p>
            <w:pPr>
              <w:spacing w:after="0"/>
              <w:rPr>
                <w:sz w:val="16"/>
                <w:szCs w:val="16"/>
                <w:color w:val="auto"/>
              </w:rPr>
            </w:pPr>
          </w:p>
        </w:tc>
        <w:tc>
          <w:tcPr>
            <w:tcW w:w="200" w:type="dxa"/>
            <w:vAlign w:val="bottom"/>
            <w:shd w:val="clear" w:color="auto" w:fill="D0EBF2"/>
          </w:tcPr>
          <w:p>
            <w:pPr>
              <w:spacing w:after="0"/>
              <w:rPr>
                <w:sz w:val="16"/>
                <w:szCs w:val="16"/>
                <w:color w:val="auto"/>
              </w:rPr>
            </w:pPr>
          </w:p>
        </w:tc>
        <w:tc>
          <w:tcPr>
            <w:tcW w:w="900" w:type="dxa"/>
            <w:vAlign w:val="bottom"/>
            <w:shd w:val="clear" w:color="auto" w:fill="D0EBF2"/>
          </w:tcPr>
          <w:p>
            <w:pPr>
              <w:spacing w:after="0"/>
              <w:rPr>
                <w:sz w:val="16"/>
                <w:szCs w:val="16"/>
                <w:color w:val="auto"/>
              </w:rPr>
            </w:pPr>
          </w:p>
        </w:tc>
        <w:tc>
          <w:tcPr>
            <w:tcW w:w="240" w:type="dxa"/>
            <w:vAlign w:val="bottom"/>
            <w:shd w:val="clear" w:color="auto" w:fill="D0EBF2"/>
          </w:tcPr>
          <w:p>
            <w:pPr>
              <w:spacing w:after="0"/>
              <w:rPr>
                <w:sz w:val="16"/>
                <w:szCs w:val="16"/>
                <w:color w:val="auto"/>
              </w:rPr>
            </w:pPr>
          </w:p>
        </w:tc>
        <w:tc>
          <w:tcPr>
            <w:tcW w:w="0" w:type="dxa"/>
            <w:vAlign w:val="bottom"/>
          </w:tcPr>
          <w:p>
            <w:pPr>
              <w:spacing w:after="0"/>
              <w:rPr>
                <w:sz w:val="1"/>
                <w:szCs w:val="1"/>
                <w:color w:val="auto"/>
              </w:rPr>
            </w:pPr>
          </w:p>
        </w:tc>
      </w:tr>
      <w:tr>
        <w:trPr>
          <w:trHeight w:val="158"/>
        </w:trPr>
        <w:tc>
          <w:tcPr>
            <w:tcW w:w="1440" w:type="dxa"/>
            <w:vAlign w:val="bottom"/>
            <w:shd w:val="clear" w:color="auto" w:fill="FDFDFC"/>
          </w:tcPr>
          <w:p>
            <w:pPr>
              <w:spacing w:after="0"/>
              <w:rPr>
                <w:sz w:val="13"/>
                <w:szCs w:val="13"/>
                <w:color w:val="auto"/>
              </w:rPr>
            </w:pPr>
          </w:p>
        </w:tc>
        <w:tc>
          <w:tcPr>
            <w:tcW w:w="2440" w:type="dxa"/>
            <w:vAlign w:val="bottom"/>
            <w:shd w:val="clear" w:color="auto" w:fill="FDFDFC"/>
          </w:tcPr>
          <w:p>
            <w:pPr>
              <w:ind w:left="80"/>
              <w:spacing w:after="0" w:line="159" w:lineRule="exact"/>
              <w:rPr>
                <w:sz w:val="20"/>
                <w:szCs w:val="20"/>
                <w:color w:val="auto"/>
              </w:rPr>
            </w:pPr>
            <w:r>
              <w:rPr>
                <w:rFonts w:ascii="Times New Roman" w:cs="Times New Roman" w:eastAsia="Times New Roman" w:hAnsi="Times New Roman"/>
                <w:sz w:val="15"/>
                <w:szCs w:val="15"/>
                <w:color w:val="231F20"/>
              </w:rPr>
              <w:t>Series D Preferred Shares (1,598,874</w:t>
            </w:r>
          </w:p>
        </w:tc>
        <w:tc>
          <w:tcPr>
            <w:tcW w:w="820" w:type="dxa"/>
            <w:vAlign w:val="bottom"/>
            <w:shd w:val="clear" w:color="auto" w:fill="FDFDFC"/>
          </w:tcPr>
          <w:p>
            <w:pPr>
              <w:jc w:val="right"/>
              <w:spacing w:after="0" w:line="159" w:lineRule="exact"/>
              <w:rPr>
                <w:sz w:val="20"/>
                <w:szCs w:val="20"/>
                <w:color w:val="auto"/>
              </w:rPr>
            </w:pPr>
            <w:r>
              <w:rPr>
                <w:rFonts w:ascii="Times New Roman" w:cs="Times New Roman" w:eastAsia="Times New Roman" w:hAnsi="Times New Roman"/>
                <w:sz w:val="15"/>
                <w:szCs w:val="15"/>
                <w:color w:val="231F20"/>
              </w:rPr>
              <w:t>4/8/2021</w:t>
            </w:r>
          </w:p>
        </w:tc>
        <w:tc>
          <w:tcPr>
            <w:tcW w:w="20" w:type="dxa"/>
            <w:vAlign w:val="bottom"/>
          </w:tcPr>
          <w:p>
            <w:pPr>
              <w:spacing w:after="0"/>
              <w:rPr>
                <w:sz w:val="13"/>
                <w:szCs w:val="13"/>
                <w:color w:val="auto"/>
              </w:rPr>
            </w:pPr>
          </w:p>
        </w:tc>
        <w:tc>
          <w:tcPr>
            <w:tcW w:w="3080" w:type="dxa"/>
            <w:vAlign w:val="bottom"/>
            <w:gridSpan w:val="2"/>
            <w:shd w:val="clear" w:color="auto" w:fill="FDFDFC"/>
          </w:tcPr>
          <w:p>
            <w:pPr>
              <w:jc w:val="right"/>
              <w:spacing w:after="0" w:line="159" w:lineRule="exact"/>
              <w:rPr>
                <w:sz w:val="20"/>
                <w:szCs w:val="20"/>
                <w:color w:val="auto"/>
              </w:rPr>
            </w:pPr>
            <w:r>
              <w:rPr>
                <w:rFonts w:ascii="Times New Roman" w:cs="Times New Roman" w:eastAsia="Times New Roman" w:hAnsi="Times New Roman"/>
                <w:sz w:val="15"/>
                <w:szCs w:val="15"/>
                <w:color w:val="231F20"/>
              </w:rPr>
              <w:t>2,925</w:t>
            </w:r>
          </w:p>
        </w:tc>
        <w:tc>
          <w:tcPr>
            <w:tcW w:w="1140" w:type="dxa"/>
            <w:vAlign w:val="bottom"/>
            <w:gridSpan w:val="2"/>
            <w:shd w:val="clear" w:color="auto" w:fill="FDFDFC"/>
          </w:tcPr>
          <w:p>
            <w:pPr>
              <w:jc w:val="right"/>
              <w:spacing w:after="0" w:line="159" w:lineRule="exact"/>
              <w:rPr>
                <w:sz w:val="20"/>
                <w:szCs w:val="20"/>
                <w:color w:val="auto"/>
              </w:rPr>
            </w:pPr>
            <w:r>
              <w:rPr>
                <w:rFonts w:ascii="Times New Roman" w:cs="Times New Roman" w:eastAsia="Times New Roman" w:hAnsi="Times New Roman"/>
                <w:sz w:val="15"/>
                <w:szCs w:val="15"/>
                <w:color w:val="231F20"/>
              </w:rPr>
              <w:t>2,099</w:t>
            </w:r>
          </w:p>
        </w:tc>
        <w:tc>
          <w:tcPr>
            <w:tcW w:w="1340" w:type="dxa"/>
            <w:vAlign w:val="bottom"/>
            <w:gridSpan w:val="3"/>
            <w:shd w:val="clear" w:color="auto" w:fill="FDFDFC"/>
          </w:tcPr>
          <w:p>
            <w:pPr>
              <w:jc w:val="right"/>
              <w:ind w:right="120"/>
              <w:spacing w:after="0" w:line="159" w:lineRule="exact"/>
              <w:rPr>
                <w:sz w:val="20"/>
                <w:szCs w:val="20"/>
                <w:color w:val="auto"/>
              </w:rPr>
            </w:pPr>
            <w:r>
              <w:rPr>
                <w:rFonts w:ascii="Times New Roman" w:cs="Times New Roman" w:eastAsia="Times New Roman" w:hAnsi="Times New Roman"/>
                <w:sz w:val="15"/>
                <w:szCs w:val="15"/>
                <w:color w:val="231F20"/>
              </w:rPr>
              <w:t>0.1%</w:t>
            </w:r>
          </w:p>
        </w:tc>
        <w:tc>
          <w:tcPr>
            <w:tcW w:w="0" w:type="dxa"/>
            <w:vAlign w:val="bottom"/>
          </w:tcPr>
          <w:p>
            <w:pPr>
              <w:spacing w:after="0"/>
              <w:rPr>
                <w:sz w:val="1"/>
                <w:szCs w:val="1"/>
                <w:color w:val="auto"/>
              </w:rPr>
            </w:pPr>
          </w:p>
        </w:tc>
      </w:tr>
      <w:tr>
        <w:trPr>
          <w:trHeight w:val="189"/>
        </w:trPr>
        <w:tc>
          <w:tcPr>
            <w:tcW w:w="1440" w:type="dxa"/>
            <w:vAlign w:val="bottom"/>
            <w:shd w:val="clear" w:color="auto" w:fill="FDFDFC"/>
          </w:tcPr>
          <w:p>
            <w:pPr>
              <w:spacing w:after="0"/>
              <w:rPr>
                <w:sz w:val="16"/>
                <w:szCs w:val="16"/>
                <w:color w:val="auto"/>
              </w:rPr>
            </w:pPr>
          </w:p>
        </w:tc>
        <w:tc>
          <w:tcPr>
            <w:tcW w:w="2440" w:type="dxa"/>
            <w:vAlign w:val="bottom"/>
            <w:shd w:val="clear" w:color="auto" w:fill="FDFDFC"/>
          </w:tcPr>
          <w:p>
            <w:pPr>
              <w:ind w:left="80"/>
              <w:spacing w:after="0"/>
              <w:rPr>
                <w:sz w:val="20"/>
                <w:szCs w:val="20"/>
                <w:color w:val="auto"/>
              </w:rPr>
            </w:pPr>
            <w:r>
              <w:rPr>
                <w:rFonts w:ascii="Times New Roman" w:cs="Times New Roman" w:eastAsia="Times New Roman" w:hAnsi="Times New Roman"/>
                <w:sz w:val="15"/>
                <w:szCs w:val="15"/>
                <w:color w:val="231F20"/>
              </w:rPr>
              <w:t>shares)</w:t>
            </w:r>
          </w:p>
        </w:tc>
        <w:tc>
          <w:tcPr>
            <w:tcW w:w="820" w:type="dxa"/>
            <w:vAlign w:val="bottom"/>
            <w:shd w:val="clear" w:color="auto" w:fill="FDFDFC"/>
          </w:tcPr>
          <w:p>
            <w:pPr>
              <w:spacing w:after="0"/>
              <w:rPr>
                <w:sz w:val="16"/>
                <w:szCs w:val="16"/>
                <w:color w:val="auto"/>
              </w:rPr>
            </w:pPr>
          </w:p>
        </w:tc>
        <w:tc>
          <w:tcPr>
            <w:tcW w:w="20" w:type="dxa"/>
            <w:vAlign w:val="bottom"/>
          </w:tcPr>
          <w:p>
            <w:pPr>
              <w:spacing w:after="0"/>
              <w:rPr>
                <w:sz w:val="16"/>
                <w:szCs w:val="16"/>
                <w:color w:val="auto"/>
              </w:rPr>
            </w:pPr>
          </w:p>
        </w:tc>
        <w:tc>
          <w:tcPr>
            <w:tcW w:w="2080" w:type="dxa"/>
            <w:vAlign w:val="bottom"/>
            <w:shd w:val="clear" w:color="auto" w:fill="FDFDFC"/>
          </w:tcPr>
          <w:p>
            <w:pPr>
              <w:spacing w:after="0"/>
              <w:rPr>
                <w:sz w:val="16"/>
                <w:szCs w:val="16"/>
                <w:color w:val="auto"/>
              </w:rPr>
            </w:pPr>
          </w:p>
        </w:tc>
        <w:tc>
          <w:tcPr>
            <w:tcW w:w="1000" w:type="dxa"/>
            <w:vAlign w:val="bottom"/>
            <w:shd w:val="clear" w:color="auto" w:fill="FDFDFC"/>
          </w:tcPr>
          <w:p>
            <w:pPr>
              <w:spacing w:after="0"/>
              <w:rPr>
                <w:sz w:val="16"/>
                <w:szCs w:val="16"/>
                <w:color w:val="auto"/>
              </w:rPr>
            </w:pPr>
          </w:p>
        </w:tc>
        <w:tc>
          <w:tcPr>
            <w:tcW w:w="180" w:type="dxa"/>
            <w:vAlign w:val="bottom"/>
            <w:shd w:val="clear" w:color="auto" w:fill="FDFDFC"/>
          </w:tcPr>
          <w:p>
            <w:pPr>
              <w:spacing w:after="0"/>
              <w:rPr>
                <w:sz w:val="16"/>
                <w:szCs w:val="16"/>
                <w:color w:val="auto"/>
              </w:rPr>
            </w:pPr>
          </w:p>
        </w:tc>
        <w:tc>
          <w:tcPr>
            <w:tcW w:w="960" w:type="dxa"/>
            <w:vAlign w:val="bottom"/>
            <w:shd w:val="clear" w:color="auto" w:fill="FDFDFC"/>
          </w:tcPr>
          <w:p>
            <w:pPr>
              <w:spacing w:after="0"/>
              <w:rPr>
                <w:sz w:val="16"/>
                <w:szCs w:val="16"/>
                <w:color w:val="auto"/>
              </w:rPr>
            </w:pPr>
          </w:p>
        </w:tc>
        <w:tc>
          <w:tcPr>
            <w:tcW w:w="200" w:type="dxa"/>
            <w:vAlign w:val="bottom"/>
            <w:shd w:val="clear" w:color="auto" w:fill="FDFDFC"/>
          </w:tcPr>
          <w:p>
            <w:pPr>
              <w:spacing w:after="0"/>
              <w:rPr>
                <w:sz w:val="16"/>
                <w:szCs w:val="16"/>
                <w:color w:val="auto"/>
              </w:rPr>
            </w:pPr>
          </w:p>
        </w:tc>
        <w:tc>
          <w:tcPr>
            <w:tcW w:w="900" w:type="dxa"/>
            <w:vAlign w:val="bottom"/>
            <w:shd w:val="clear" w:color="auto" w:fill="FDFDFC"/>
          </w:tcPr>
          <w:p>
            <w:pPr>
              <w:spacing w:after="0"/>
              <w:rPr>
                <w:sz w:val="16"/>
                <w:szCs w:val="16"/>
                <w:color w:val="auto"/>
              </w:rPr>
            </w:pPr>
          </w:p>
        </w:tc>
        <w:tc>
          <w:tcPr>
            <w:tcW w:w="240" w:type="dxa"/>
            <w:vAlign w:val="bottom"/>
            <w:shd w:val="clear" w:color="auto" w:fill="FDFDFC"/>
          </w:tcPr>
          <w:p>
            <w:pPr>
              <w:spacing w:after="0"/>
              <w:rPr>
                <w:sz w:val="16"/>
                <w:szCs w:val="16"/>
                <w:color w:val="auto"/>
              </w:rPr>
            </w:pPr>
          </w:p>
        </w:tc>
        <w:tc>
          <w:tcPr>
            <w:tcW w:w="0" w:type="dxa"/>
            <w:vAlign w:val="bottom"/>
          </w:tcPr>
          <w:p>
            <w:pPr>
              <w:spacing w:after="0"/>
              <w:rPr>
                <w:sz w:val="1"/>
                <w:szCs w:val="1"/>
                <w:color w:val="auto"/>
              </w:rPr>
            </w:pPr>
          </w:p>
        </w:tc>
      </w:tr>
      <w:tr>
        <w:trPr>
          <w:trHeight w:val="174"/>
        </w:trPr>
        <w:tc>
          <w:tcPr>
            <w:tcW w:w="1440" w:type="dxa"/>
            <w:vAlign w:val="bottom"/>
            <w:shd w:val="clear" w:color="auto" w:fill="D0EBF2"/>
          </w:tcPr>
          <w:p>
            <w:pPr>
              <w:spacing w:after="0"/>
              <w:rPr>
                <w:sz w:val="15"/>
                <w:szCs w:val="15"/>
                <w:color w:val="auto"/>
              </w:rPr>
            </w:pPr>
          </w:p>
        </w:tc>
        <w:tc>
          <w:tcPr>
            <w:tcW w:w="2440" w:type="dxa"/>
            <w:vAlign w:val="bottom"/>
            <w:shd w:val="clear" w:color="auto" w:fill="D0EBF2"/>
          </w:tcPr>
          <w:p>
            <w:pPr>
              <w:ind w:left="80"/>
              <w:spacing w:after="0"/>
              <w:rPr>
                <w:sz w:val="20"/>
                <w:szCs w:val="20"/>
                <w:color w:val="auto"/>
              </w:rPr>
            </w:pPr>
            <w:r>
              <w:rPr>
                <w:rFonts w:ascii="Times New Roman" w:cs="Times New Roman" w:eastAsia="Times New Roman" w:hAnsi="Times New Roman"/>
                <w:sz w:val="15"/>
                <w:szCs w:val="15"/>
                <w:color w:val="231F20"/>
              </w:rPr>
              <w:t>280,000 Series C Warrants</w:t>
            </w:r>
          </w:p>
        </w:tc>
        <w:tc>
          <w:tcPr>
            <w:tcW w:w="820" w:type="dxa"/>
            <w:vAlign w:val="bottom"/>
            <w:shd w:val="clear" w:color="auto" w:fill="D0EBF2"/>
          </w:tcPr>
          <w:p>
            <w:pPr>
              <w:jc w:val="right"/>
              <w:spacing w:after="0"/>
              <w:rPr>
                <w:sz w:val="20"/>
                <w:szCs w:val="20"/>
                <w:color w:val="auto"/>
              </w:rPr>
            </w:pPr>
            <w:r>
              <w:rPr>
                <w:rFonts w:ascii="Times New Roman" w:cs="Times New Roman" w:eastAsia="Times New Roman" w:hAnsi="Times New Roman"/>
                <w:sz w:val="15"/>
                <w:szCs w:val="15"/>
                <w:color w:val="231F20"/>
              </w:rPr>
              <w:t>2/28/2020</w:t>
            </w:r>
          </w:p>
        </w:tc>
        <w:tc>
          <w:tcPr>
            <w:tcW w:w="20" w:type="dxa"/>
            <w:vAlign w:val="bottom"/>
          </w:tcPr>
          <w:p>
            <w:pPr>
              <w:spacing w:after="0"/>
              <w:rPr>
                <w:sz w:val="15"/>
                <w:szCs w:val="15"/>
                <w:color w:val="auto"/>
              </w:rPr>
            </w:pPr>
          </w:p>
        </w:tc>
        <w:tc>
          <w:tcPr>
            <w:tcW w:w="3080" w:type="dxa"/>
            <w:vAlign w:val="bottom"/>
            <w:gridSpan w:val="2"/>
            <w:shd w:val="clear" w:color="auto" w:fill="D0EBF2"/>
          </w:tcPr>
          <w:p>
            <w:pPr>
              <w:jc w:val="right"/>
              <w:spacing w:after="0"/>
              <w:rPr>
                <w:sz w:val="20"/>
                <w:szCs w:val="20"/>
                <w:color w:val="auto"/>
              </w:rPr>
            </w:pPr>
            <w:r>
              <w:rPr>
                <w:rFonts w:ascii="Times New Roman" w:cs="Times New Roman" w:eastAsia="Times New Roman" w:hAnsi="Times New Roman"/>
                <w:sz w:val="15"/>
                <w:szCs w:val="15"/>
                <w:color w:val="231F20"/>
              </w:rPr>
              <w:t>183</w:t>
            </w:r>
          </w:p>
        </w:tc>
        <w:tc>
          <w:tcPr>
            <w:tcW w:w="180" w:type="dxa"/>
            <w:vAlign w:val="bottom"/>
            <w:shd w:val="clear" w:color="auto" w:fill="D0EBF2"/>
          </w:tcPr>
          <w:p>
            <w:pPr>
              <w:spacing w:after="0"/>
              <w:rPr>
                <w:sz w:val="15"/>
                <w:szCs w:val="15"/>
                <w:color w:val="auto"/>
              </w:rPr>
            </w:pPr>
          </w:p>
        </w:tc>
        <w:tc>
          <w:tcPr>
            <w:tcW w:w="960" w:type="dxa"/>
            <w:vAlign w:val="bottom"/>
            <w:shd w:val="clear" w:color="auto" w:fill="D0EBF2"/>
          </w:tcPr>
          <w:p>
            <w:pPr>
              <w:jc w:val="right"/>
              <w:spacing w:after="0"/>
              <w:rPr>
                <w:sz w:val="20"/>
                <w:szCs w:val="20"/>
                <w:color w:val="auto"/>
              </w:rPr>
            </w:pPr>
            <w:r>
              <w:rPr>
                <w:rFonts w:ascii="Times New Roman" w:cs="Times New Roman" w:eastAsia="Times New Roman" w:hAnsi="Times New Roman"/>
                <w:sz w:val="15"/>
                <w:szCs w:val="15"/>
                <w:color w:val="231F20"/>
              </w:rPr>
              <w:t>—</w:t>
            </w:r>
          </w:p>
        </w:tc>
        <w:tc>
          <w:tcPr>
            <w:tcW w:w="1340" w:type="dxa"/>
            <w:vAlign w:val="bottom"/>
            <w:gridSpan w:val="3"/>
            <w:shd w:val="clear" w:color="auto" w:fill="D0EBF2"/>
          </w:tcPr>
          <w:p>
            <w:pPr>
              <w:jc w:val="right"/>
              <w:ind w:right="120"/>
              <w:spacing w:after="0"/>
              <w:rPr>
                <w:sz w:val="20"/>
                <w:szCs w:val="20"/>
                <w:color w:val="auto"/>
              </w:rPr>
            </w:pPr>
            <w:r>
              <w:rPr>
                <w:rFonts w:ascii="Times New Roman" w:cs="Times New Roman" w:eastAsia="Times New Roman" w:hAnsi="Times New Roman"/>
                <w:sz w:val="15"/>
                <w:szCs w:val="15"/>
                <w:color w:val="231F20"/>
              </w:rPr>
              <w:t>0.0%</w:t>
            </w:r>
          </w:p>
        </w:tc>
        <w:tc>
          <w:tcPr>
            <w:tcW w:w="0" w:type="dxa"/>
            <w:vAlign w:val="bottom"/>
          </w:tcPr>
          <w:p>
            <w:pPr>
              <w:spacing w:after="0"/>
              <w:rPr>
                <w:sz w:val="1"/>
                <w:szCs w:val="1"/>
                <w:color w:val="auto"/>
              </w:rPr>
            </w:pPr>
          </w:p>
        </w:tc>
      </w:tr>
      <w:tr>
        <w:trPr>
          <w:trHeight w:val="174"/>
        </w:trPr>
        <w:tc>
          <w:tcPr>
            <w:tcW w:w="1440" w:type="dxa"/>
            <w:vAlign w:val="bottom"/>
            <w:shd w:val="clear" w:color="auto" w:fill="FDFDFC"/>
          </w:tcPr>
          <w:p>
            <w:pPr>
              <w:spacing w:after="0"/>
              <w:rPr>
                <w:sz w:val="15"/>
                <w:szCs w:val="15"/>
                <w:color w:val="auto"/>
              </w:rPr>
            </w:pPr>
          </w:p>
        </w:tc>
        <w:tc>
          <w:tcPr>
            <w:tcW w:w="2440" w:type="dxa"/>
            <w:vAlign w:val="bottom"/>
            <w:shd w:val="clear" w:color="auto" w:fill="FDFDFC"/>
          </w:tcPr>
          <w:p>
            <w:pPr>
              <w:ind w:left="80"/>
              <w:spacing w:after="0"/>
              <w:rPr>
                <w:sz w:val="20"/>
                <w:szCs w:val="20"/>
                <w:color w:val="auto"/>
              </w:rPr>
            </w:pPr>
            <w:r>
              <w:rPr>
                <w:rFonts w:ascii="Times New Roman" w:cs="Times New Roman" w:eastAsia="Times New Roman" w:hAnsi="Times New Roman"/>
                <w:sz w:val="15"/>
                <w:szCs w:val="15"/>
                <w:color w:val="231F20"/>
              </w:rPr>
              <w:t>106,592 Series D Warrants</w:t>
            </w:r>
          </w:p>
        </w:tc>
        <w:tc>
          <w:tcPr>
            <w:tcW w:w="820" w:type="dxa"/>
            <w:vAlign w:val="bottom"/>
            <w:shd w:val="clear" w:color="auto" w:fill="FDFDFC"/>
          </w:tcPr>
          <w:p>
            <w:pPr>
              <w:jc w:val="right"/>
              <w:spacing w:after="0"/>
              <w:rPr>
                <w:sz w:val="20"/>
                <w:szCs w:val="20"/>
                <w:color w:val="auto"/>
              </w:rPr>
            </w:pPr>
            <w:r>
              <w:rPr>
                <w:rFonts w:ascii="Times New Roman" w:cs="Times New Roman" w:eastAsia="Times New Roman" w:hAnsi="Times New Roman"/>
                <w:sz w:val="15"/>
                <w:szCs w:val="15"/>
                <w:color w:val="231F20"/>
              </w:rPr>
              <w:t>4/8/2021</w:t>
            </w:r>
          </w:p>
        </w:tc>
        <w:tc>
          <w:tcPr>
            <w:tcW w:w="20" w:type="dxa"/>
            <w:vAlign w:val="bottom"/>
          </w:tcPr>
          <w:p>
            <w:pPr>
              <w:spacing w:after="0"/>
              <w:rPr>
                <w:sz w:val="15"/>
                <w:szCs w:val="15"/>
                <w:color w:val="auto"/>
              </w:rPr>
            </w:pPr>
          </w:p>
        </w:tc>
        <w:tc>
          <w:tcPr>
            <w:tcW w:w="2080" w:type="dxa"/>
            <w:vAlign w:val="bottom"/>
            <w:shd w:val="clear" w:color="auto" w:fill="FDFDFC"/>
          </w:tcPr>
          <w:p>
            <w:pPr>
              <w:spacing w:after="0"/>
              <w:rPr>
                <w:sz w:val="15"/>
                <w:szCs w:val="15"/>
                <w:color w:val="auto"/>
              </w:rPr>
            </w:pPr>
          </w:p>
        </w:tc>
        <w:tc>
          <w:tcPr>
            <w:tcW w:w="1000" w:type="dxa"/>
            <w:vAlign w:val="bottom"/>
            <w:shd w:val="clear" w:color="auto" w:fill="FDFDFC"/>
          </w:tcPr>
          <w:p>
            <w:pPr>
              <w:jc w:val="right"/>
              <w:spacing w:after="0"/>
              <w:rPr>
                <w:sz w:val="20"/>
                <w:szCs w:val="20"/>
                <w:color w:val="auto"/>
              </w:rPr>
            </w:pPr>
            <w:r>
              <w:rPr>
                <w:rFonts w:ascii="Times New Roman" w:cs="Times New Roman" w:eastAsia="Times New Roman" w:hAnsi="Times New Roman"/>
                <w:sz w:val="15"/>
                <w:szCs w:val="15"/>
                <w:color w:val="231F20"/>
              </w:rPr>
              <w:t>—</w:t>
            </w:r>
          </w:p>
        </w:tc>
        <w:tc>
          <w:tcPr>
            <w:tcW w:w="180" w:type="dxa"/>
            <w:vAlign w:val="bottom"/>
            <w:shd w:val="clear" w:color="auto" w:fill="FDFDFC"/>
          </w:tcPr>
          <w:p>
            <w:pPr>
              <w:spacing w:after="0"/>
              <w:rPr>
                <w:sz w:val="15"/>
                <w:szCs w:val="15"/>
                <w:color w:val="auto"/>
              </w:rPr>
            </w:pPr>
          </w:p>
        </w:tc>
        <w:tc>
          <w:tcPr>
            <w:tcW w:w="960" w:type="dxa"/>
            <w:vAlign w:val="bottom"/>
            <w:shd w:val="clear" w:color="auto" w:fill="FDFDFC"/>
          </w:tcPr>
          <w:p>
            <w:pPr>
              <w:jc w:val="right"/>
              <w:spacing w:after="0"/>
              <w:rPr>
                <w:sz w:val="20"/>
                <w:szCs w:val="20"/>
                <w:color w:val="auto"/>
              </w:rPr>
            </w:pPr>
            <w:r>
              <w:rPr>
                <w:rFonts w:ascii="Times New Roman" w:cs="Times New Roman" w:eastAsia="Times New Roman" w:hAnsi="Times New Roman"/>
                <w:sz w:val="15"/>
                <w:szCs w:val="15"/>
                <w:color w:val="231F20"/>
              </w:rPr>
              <w:t>—</w:t>
            </w:r>
          </w:p>
        </w:tc>
        <w:tc>
          <w:tcPr>
            <w:tcW w:w="200" w:type="dxa"/>
            <w:vAlign w:val="bottom"/>
            <w:shd w:val="clear" w:color="auto" w:fill="FDFDFC"/>
          </w:tcPr>
          <w:p>
            <w:pPr>
              <w:spacing w:after="0"/>
              <w:rPr>
                <w:sz w:val="15"/>
                <w:szCs w:val="15"/>
                <w:color w:val="auto"/>
              </w:rPr>
            </w:pPr>
          </w:p>
        </w:tc>
        <w:tc>
          <w:tcPr>
            <w:tcW w:w="1140" w:type="dxa"/>
            <w:vAlign w:val="bottom"/>
            <w:gridSpan w:val="2"/>
            <w:shd w:val="clear" w:color="auto" w:fill="FDFDFC"/>
          </w:tcPr>
          <w:p>
            <w:pPr>
              <w:jc w:val="right"/>
              <w:ind w:right="120"/>
              <w:spacing w:after="0"/>
              <w:rPr>
                <w:sz w:val="20"/>
                <w:szCs w:val="20"/>
                <w:color w:val="auto"/>
              </w:rPr>
            </w:pPr>
            <w:r>
              <w:rPr>
                <w:rFonts w:ascii="Times New Roman" w:cs="Times New Roman" w:eastAsia="Times New Roman" w:hAnsi="Times New Roman"/>
                <w:sz w:val="15"/>
                <w:szCs w:val="15"/>
                <w:color w:val="231F20"/>
              </w:rPr>
              <w:t>0.0%</w:t>
            </w:r>
          </w:p>
        </w:tc>
        <w:tc>
          <w:tcPr>
            <w:tcW w:w="0" w:type="dxa"/>
            <w:vAlign w:val="bottom"/>
          </w:tcPr>
          <w:p>
            <w:pPr>
              <w:spacing w:after="0"/>
              <w:rPr>
                <w:sz w:val="1"/>
                <w:szCs w:val="1"/>
                <w:color w:val="auto"/>
              </w:rPr>
            </w:pPr>
          </w:p>
        </w:tc>
      </w:tr>
      <w:tr>
        <w:trPr>
          <w:trHeight w:val="20"/>
        </w:trPr>
        <w:tc>
          <w:tcPr>
            <w:tcW w:w="1440" w:type="dxa"/>
            <w:vAlign w:val="bottom"/>
            <w:shd w:val="clear" w:color="auto" w:fill="D0EBF2"/>
          </w:tcPr>
          <w:p>
            <w:pPr>
              <w:spacing w:after="0" w:line="20" w:lineRule="exact"/>
              <w:rPr>
                <w:sz w:val="1"/>
                <w:szCs w:val="1"/>
                <w:color w:val="auto"/>
              </w:rPr>
            </w:pPr>
          </w:p>
        </w:tc>
        <w:tc>
          <w:tcPr>
            <w:tcW w:w="2440" w:type="dxa"/>
            <w:vAlign w:val="bottom"/>
            <w:shd w:val="clear" w:color="auto" w:fill="D0EBF2"/>
          </w:tcPr>
          <w:p>
            <w:pPr>
              <w:spacing w:after="0" w:line="20" w:lineRule="exact"/>
              <w:rPr>
                <w:sz w:val="1"/>
                <w:szCs w:val="1"/>
                <w:color w:val="auto"/>
              </w:rPr>
            </w:pPr>
          </w:p>
        </w:tc>
        <w:tc>
          <w:tcPr>
            <w:tcW w:w="820" w:type="dxa"/>
            <w:vAlign w:val="bottom"/>
            <w:shd w:val="clear" w:color="auto" w:fill="D0EBF2"/>
          </w:tcPr>
          <w:p>
            <w:pPr>
              <w:spacing w:after="0" w:line="20" w:lineRule="exact"/>
              <w:rPr>
                <w:sz w:val="1"/>
                <w:szCs w:val="1"/>
                <w:color w:val="auto"/>
              </w:rPr>
            </w:pPr>
          </w:p>
        </w:tc>
        <w:tc>
          <w:tcPr>
            <w:tcW w:w="20" w:type="dxa"/>
            <w:vAlign w:val="bottom"/>
            <w:shd w:val="clear" w:color="auto" w:fill="D0EBF2"/>
          </w:tcPr>
          <w:p>
            <w:pPr>
              <w:spacing w:after="0" w:line="20" w:lineRule="exact"/>
              <w:rPr>
                <w:sz w:val="1"/>
                <w:szCs w:val="1"/>
                <w:color w:val="auto"/>
              </w:rPr>
            </w:pPr>
          </w:p>
        </w:tc>
        <w:tc>
          <w:tcPr>
            <w:tcW w:w="2080" w:type="dxa"/>
            <w:vAlign w:val="bottom"/>
            <w:shd w:val="clear" w:color="auto" w:fill="D0EBF2"/>
          </w:tcPr>
          <w:p>
            <w:pPr>
              <w:spacing w:after="0" w:line="20" w:lineRule="exact"/>
              <w:rPr>
                <w:sz w:val="1"/>
                <w:szCs w:val="1"/>
                <w:color w:val="auto"/>
              </w:rPr>
            </w:pPr>
          </w:p>
        </w:tc>
        <w:tc>
          <w:tcPr>
            <w:tcW w:w="1000" w:type="dxa"/>
            <w:vAlign w:val="bottom"/>
            <w:shd w:val="clear" w:color="auto" w:fill="231F20"/>
          </w:tcPr>
          <w:p>
            <w:pPr>
              <w:spacing w:after="0" w:line="20" w:lineRule="exact"/>
              <w:rPr>
                <w:sz w:val="1"/>
                <w:szCs w:val="1"/>
                <w:color w:val="auto"/>
              </w:rPr>
            </w:pPr>
          </w:p>
        </w:tc>
        <w:tc>
          <w:tcPr>
            <w:tcW w:w="180" w:type="dxa"/>
            <w:vAlign w:val="bottom"/>
            <w:shd w:val="clear" w:color="auto" w:fill="D0EBF2"/>
          </w:tcPr>
          <w:p>
            <w:pPr>
              <w:spacing w:after="0" w:line="20" w:lineRule="exact"/>
              <w:rPr>
                <w:sz w:val="1"/>
                <w:szCs w:val="1"/>
                <w:color w:val="auto"/>
              </w:rPr>
            </w:pPr>
          </w:p>
        </w:tc>
        <w:tc>
          <w:tcPr>
            <w:tcW w:w="960" w:type="dxa"/>
            <w:vAlign w:val="bottom"/>
            <w:shd w:val="clear" w:color="auto" w:fill="231F20"/>
          </w:tcPr>
          <w:p>
            <w:pPr>
              <w:spacing w:after="0" w:line="20" w:lineRule="exact"/>
              <w:rPr>
                <w:sz w:val="1"/>
                <w:szCs w:val="1"/>
                <w:color w:val="auto"/>
              </w:rPr>
            </w:pPr>
          </w:p>
        </w:tc>
        <w:tc>
          <w:tcPr>
            <w:tcW w:w="200" w:type="dxa"/>
            <w:vAlign w:val="bottom"/>
            <w:shd w:val="clear" w:color="auto" w:fill="D0EBF2"/>
          </w:tcPr>
          <w:p>
            <w:pPr>
              <w:spacing w:after="0" w:line="20" w:lineRule="exact"/>
              <w:rPr>
                <w:sz w:val="1"/>
                <w:szCs w:val="1"/>
                <w:color w:val="auto"/>
              </w:rPr>
            </w:pPr>
          </w:p>
        </w:tc>
        <w:tc>
          <w:tcPr>
            <w:tcW w:w="900" w:type="dxa"/>
            <w:vAlign w:val="bottom"/>
            <w:shd w:val="clear" w:color="auto" w:fill="231F20"/>
          </w:tcPr>
          <w:p>
            <w:pPr>
              <w:spacing w:after="0" w:line="20" w:lineRule="exact"/>
              <w:rPr>
                <w:sz w:val="1"/>
                <w:szCs w:val="1"/>
                <w:color w:val="auto"/>
              </w:rPr>
            </w:pPr>
          </w:p>
        </w:tc>
        <w:tc>
          <w:tcPr>
            <w:tcW w:w="240" w:type="dxa"/>
            <w:vAlign w:val="bottom"/>
            <w:shd w:val="clear" w:color="auto" w:fill="FDFD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440" w:type="dxa"/>
            <w:vAlign w:val="bottom"/>
            <w:shd w:val="clear" w:color="auto" w:fill="D0EBF2"/>
          </w:tcPr>
          <w:p>
            <w:pPr>
              <w:spacing w:after="0"/>
              <w:rPr>
                <w:sz w:val="15"/>
                <w:szCs w:val="15"/>
                <w:color w:val="auto"/>
              </w:rPr>
            </w:pPr>
          </w:p>
        </w:tc>
        <w:tc>
          <w:tcPr>
            <w:tcW w:w="2440" w:type="dxa"/>
            <w:vAlign w:val="bottom"/>
            <w:shd w:val="clear" w:color="auto" w:fill="D0EBF2"/>
          </w:tcPr>
          <w:p>
            <w:pPr>
              <w:spacing w:after="0"/>
              <w:rPr>
                <w:sz w:val="15"/>
                <w:szCs w:val="15"/>
                <w:color w:val="auto"/>
              </w:rPr>
            </w:pPr>
          </w:p>
        </w:tc>
        <w:tc>
          <w:tcPr>
            <w:tcW w:w="820" w:type="dxa"/>
            <w:vAlign w:val="bottom"/>
            <w:shd w:val="clear" w:color="auto" w:fill="D0EBF2"/>
          </w:tcPr>
          <w:p>
            <w:pPr>
              <w:spacing w:after="0"/>
              <w:rPr>
                <w:sz w:val="15"/>
                <w:szCs w:val="15"/>
                <w:color w:val="auto"/>
              </w:rPr>
            </w:pPr>
          </w:p>
        </w:tc>
        <w:tc>
          <w:tcPr>
            <w:tcW w:w="20" w:type="dxa"/>
            <w:vAlign w:val="bottom"/>
            <w:shd w:val="clear" w:color="auto" w:fill="D0EBF2"/>
          </w:tcPr>
          <w:p>
            <w:pPr>
              <w:spacing w:after="0"/>
              <w:rPr>
                <w:sz w:val="15"/>
                <w:szCs w:val="15"/>
                <w:color w:val="auto"/>
              </w:rPr>
            </w:pPr>
          </w:p>
        </w:tc>
        <w:tc>
          <w:tcPr>
            <w:tcW w:w="2080" w:type="dxa"/>
            <w:vAlign w:val="bottom"/>
            <w:shd w:val="clear" w:color="auto" w:fill="D0EBF2"/>
          </w:tcPr>
          <w:p>
            <w:pPr>
              <w:spacing w:after="0"/>
              <w:rPr>
                <w:sz w:val="15"/>
                <w:szCs w:val="15"/>
                <w:color w:val="auto"/>
              </w:rPr>
            </w:pPr>
          </w:p>
        </w:tc>
        <w:tc>
          <w:tcPr>
            <w:tcW w:w="1000" w:type="dxa"/>
            <w:vAlign w:val="bottom"/>
            <w:shd w:val="clear" w:color="auto" w:fill="D0EBF2"/>
          </w:tcPr>
          <w:p>
            <w:pPr>
              <w:jc w:val="right"/>
              <w:spacing w:after="0" w:line="164" w:lineRule="exact"/>
              <w:rPr>
                <w:sz w:val="20"/>
                <w:szCs w:val="20"/>
                <w:color w:val="auto"/>
              </w:rPr>
            </w:pPr>
            <w:r>
              <w:rPr>
                <w:rFonts w:ascii="Times New Roman" w:cs="Times New Roman" w:eastAsia="Times New Roman" w:hAnsi="Times New Roman"/>
                <w:sz w:val="15"/>
                <w:szCs w:val="15"/>
                <w:color w:val="231F20"/>
              </w:rPr>
              <w:t>6,174</w:t>
            </w:r>
          </w:p>
        </w:tc>
        <w:tc>
          <w:tcPr>
            <w:tcW w:w="180" w:type="dxa"/>
            <w:vAlign w:val="bottom"/>
            <w:shd w:val="clear" w:color="auto" w:fill="D0EBF2"/>
          </w:tcPr>
          <w:p>
            <w:pPr>
              <w:spacing w:after="0"/>
              <w:rPr>
                <w:sz w:val="15"/>
                <w:szCs w:val="15"/>
                <w:color w:val="auto"/>
              </w:rPr>
            </w:pPr>
          </w:p>
        </w:tc>
        <w:tc>
          <w:tcPr>
            <w:tcW w:w="960" w:type="dxa"/>
            <w:vAlign w:val="bottom"/>
            <w:shd w:val="clear" w:color="auto" w:fill="D0EBF2"/>
          </w:tcPr>
          <w:p>
            <w:pPr>
              <w:jc w:val="right"/>
              <w:spacing w:after="0" w:line="164" w:lineRule="exact"/>
              <w:rPr>
                <w:sz w:val="20"/>
                <w:szCs w:val="20"/>
                <w:color w:val="auto"/>
              </w:rPr>
            </w:pPr>
            <w:r>
              <w:rPr>
                <w:rFonts w:ascii="Times New Roman" w:cs="Times New Roman" w:eastAsia="Times New Roman" w:hAnsi="Times New Roman"/>
                <w:sz w:val="15"/>
                <w:szCs w:val="15"/>
                <w:color w:val="231F20"/>
              </w:rPr>
              <w:t>5,306</w:t>
            </w:r>
          </w:p>
        </w:tc>
        <w:tc>
          <w:tcPr>
            <w:tcW w:w="200" w:type="dxa"/>
            <w:vAlign w:val="bottom"/>
            <w:shd w:val="clear" w:color="auto" w:fill="D0EBF2"/>
          </w:tcPr>
          <w:p>
            <w:pPr>
              <w:spacing w:after="0"/>
              <w:rPr>
                <w:sz w:val="15"/>
                <w:szCs w:val="15"/>
                <w:color w:val="auto"/>
              </w:rPr>
            </w:pPr>
          </w:p>
        </w:tc>
        <w:tc>
          <w:tcPr>
            <w:tcW w:w="1140" w:type="dxa"/>
            <w:vAlign w:val="bottom"/>
            <w:gridSpan w:val="2"/>
          </w:tcPr>
          <w:p>
            <w:pPr>
              <w:jc w:val="right"/>
              <w:ind w:right="120"/>
              <w:spacing w:after="0" w:line="164" w:lineRule="exact"/>
              <w:rPr>
                <w:sz w:val="20"/>
                <w:szCs w:val="20"/>
                <w:color w:val="auto"/>
              </w:rPr>
            </w:pPr>
            <w:r>
              <w:rPr>
                <w:rFonts w:ascii="Times New Roman" w:cs="Times New Roman" w:eastAsia="Times New Roman" w:hAnsi="Times New Roman"/>
                <w:sz w:val="15"/>
                <w:szCs w:val="15"/>
                <w:color w:val="231F20"/>
              </w:rPr>
              <w:t>0.3%</w:t>
            </w:r>
          </w:p>
        </w:tc>
        <w:tc>
          <w:tcPr>
            <w:tcW w:w="0" w:type="dxa"/>
            <w:vAlign w:val="bottom"/>
          </w:tcPr>
          <w:p>
            <w:pPr>
              <w:spacing w:after="0"/>
              <w:rPr>
                <w:sz w:val="1"/>
                <w:szCs w:val="1"/>
                <w:color w:val="auto"/>
              </w:rPr>
            </w:pPr>
          </w:p>
        </w:tc>
      </w:tr>
      <w:tr>
        <w:trPr>
          <w:trHeight w:val="143"/>
        </w:trPr>
        <w:tc>
          <w:tcPr>
            <w:tcW w:w="1440" w:type="dxa"/>
            <w:vAlign w:val="bottom"/>
            <w:tcBorders>
              <w:top w:val="single" w:sz="8" w:color="D0EBF2"/>
            </w:tcBorders>
            <w:shd w:val="clear" w:color="auto" w:fill="FDFDFC"/>
          </w:tcPr>
          <w:p>
            <w:pPr>
              <w:spacing w:after="0" w:line="144" w:lineRule="exact"/>
              <w:rPr>
                <w:sz w:val="20"/>
                <w:szCs w:val="20"/>
                <w:color w:val="auto"/>
              </w:rPr>
            </w:pPr>
            <w:r>
              <w:rPr>
                <w:rFonts w:ascii="Times New Roman" w:cs="Times New Roman" w:eastAsia="Times New Roman" w:hAnsi="Times New Roman"/>
                <w:sz w:val="15"/>
                <w:szCs w:val="15"/>
                <w:b w:val="1"/>
                <w:bCs w:val="1"/>
                <w:color w:val="231F20"/>
              </w:rPr>
              <w:t>Education</w:t>
            </w:r>
          </w:p>
        </w:tc>
        <w:tc>
          <w:tcPr>
            <w:tcW w:w="2440" w:type="dxa"/>
            <w:vAlign w:val="bottom"/>
            <w:tcBorders>
              <w:top w:val="single" w:sz="8" w:color="D0EBF2"/>
            </w:tcBorders>
            <w:shd w:val="clear" w:color="auto" w:fill="FDFDFC"/>
          </w:tcPr>
          <w:p>
            <w:pPr>
              <w:spacing w:after="0"/>
              <w:rPr>
                <w:sz w:val="12"/>
                <w:szCs w:val="12"/>
                <w:color w:val="auto"/>
              </w:rPr>
            </w:pPr>
          </w:p>
        </w:tc>
        <w:tc>
          <w:tcPr>
            <w:tcW w:w="820" w:type="dxa"/>
            <w:vAlign w:val="bottom"/>
            <w:tcBorders>
              <w:top w:val="single" w:sz="8" w:color="D0EBF2"/>
            </w:tcBorders>
            <w:shd w:val="clear" w:color="auto" w:fill="FDFDFC"/>
          </w:tcPr>
          <w:p>
            <w:pPr>
              <w:spacing w:after="0"/>
              <w:rPr>
                <w:sz w:val="12"/>
                <w:szCs w:val="12"/>
                <w:color w:val="auto"/>
              </w:rPr>
            </w:pPr>
          </w:p>
        </w:tc>
        <w:tc>
          <w:tcPr>
            <w:tcW w:w="20" w:type="dxa"/>
            <w:vAlign w:val="bottom"/>
            <w:tcBorders>
              <w:top w:val="single" w:sz="8" w:color="D0EBF2"/>
            </w:tcBorders>
            <w:shd w:val="clear" w:color="auto" w:fill="FDFDFC"/>
          </w:tcPr>
          <w:p>
            <w:pPr>
              <w:spacing w:after="0"/>
              <w:rPr>
                <w:sz w:val="12"/>
                <w:szCs w:val="12"/>
                <w:color w:val="auto"/>
              </w:rPr>
            </w:pPr>
          </w:p>
        </w:tc>
        <w:tc>
          <w:tcPr>
            <w:tcW w:w="2080" w:type="dxa"/>
            <w:vAlign w:val="bottom"/>
            <w:tcBorders>
              <w:top w:val="single" w:sz="8" w:color="D0EBF2"/>
            </w:tcBorders>
            <w:shd w:val="clear" w:color="auto" w:fill="FDFDFC"/>
          </w:tcPr>
          <w:p>
            <w:pPr>
              <w:spacing w:after="0"/>
              <w:rPr>
                <w:sz w:val="12"/>
                <w:szCs w:val="12"/>
                <w:color w:val="auto"/>
              </w:rPr>
            </w:pPr>
          </w:p>
        </w:tc>
        <w:tc>
          <w:tcPr>
            <w:tcW w:w="1000" w:type="dxa"/>
            <w:vAlign w:val="bottom"/>
            <w:tcBorders>
              <w:top w:val="single" w:sz="8" w:color="231F20"/>
            </w:tcBorders>
            <w:shd w:val="clear" w:color="auto" w:fill="FDFDFC"/>
          </w:tcPr>
          <w:p>
            <w:pPr>
              <w:spacing w:after="0"/>
              <w:rPr>
                <w:sz w:val="12"/>
                <w:szCs w:val="12"/>
                <w:color w:val="auto"/>
              </w:rPr>
            </w:pPr>
          </w:p>
        </w:tc>
        <w:tc>
          <w:tcPr>
            <w:tcW w:w="180" w:type="dxa"/>
            <w:vAlign w:val="bottom"/>
            <w:tcBorders>
              <w:top w:val="single" w:sz="8" w:color="D0EBF2"/>
            </w:tcBorders>
            <w:shd w:val="clear" w:color="auto" w:fill="FDFDFC"/>
          </w:tcPr>
          <w:p>
            <w:pPr>
              <w:spacing w:after="0"/>
              <w:rPr>
                <w:sz w:val="12"/>
                <w:szCs w:val="12"/>
                <w:color w:val="auto"/>
              </w:rPr>
            </w:pPr>
          </w:p>
        </w:tc>
        <w:tc>
          <w:tcPr>
            <w:tcW w:w="960" w:type="dxa"/>
            <w:vAlign w:val="bottom"/>
            <w:tcBorders>
              <w:top w:val="single" w:sz="8" w:color="231F20"/>
            </w:tcBorders>
            <w:shd w:val="clear" w:color="auto" w:fill="FDFDFC"/>
          </w:tcPr>
          <w:p>
            <w:pPr>
              <w:spacing w:after="0"/>
              <w:rPr>
                <w:sz w:val="12"/>
                <w:szCs w:val="12"/>
                <w:color w:val="auto"/>
              </w:rPr>
            </w:pPr>
          </w:p>
        </w:tc>
        <w:tc>
          <w:tcPr>
            <w:tcW w:w="200" w:type="dxa"/>
            <w:vAlign w:val="bottom"/>
            <w:tcBorders>
              <w:top w:val="single" w:sz="8" w:color="D0EBF2"/>
            </w:tcBorders>
            <w:shd w:val="clear" w:color="auto" w:fill="FDFDFC"/>
          </w:tcPr>
          <w:p>
            <w:pPr>
              <w:spacing w:after="0"/>
              <w:rPr>
                <w:sz w:val="12"/>
                <w:szCs w:val="12"/>
                <w:color w:val="auto"/>
              </w:rPr>
            </w:pPr>
          </w:p>
        </w:tc>
        <w:tc>
          <w:tcPr>
            <w:tcW w:w="900" w:type="dxa"/>
            <w:vAlign w:val="bottom"/>
            <w:tcBorders>
              <w:top w:val="single" w:sz="8" w:color="231F20"/>
            </w:tcBorders>
            <w:shd w:val="clear" w:color="auto" w:fill="FDFDFC"/>
          </w:tcPr>
          <w:p>
            <w:pPr>
              <w:spacing w:after="0"/>
              <w:rPr>
                <w:sz w:val="12"/>
                <w:szCs w:val="12"/>
                <w:color w:val="auto"/>
              </w:rPr>
            </w:pPr>
          </w:p>
        </w:tc>
        <w:tc>
          <w:tcPr>
            <w:tcW w:w="240" w:type="dxa"/>
            <w:vAlign w:val="bottom"/>
            <w:tcBorders>
              <w:top w:val="single" w:sz="8" w:color="FDFDFC"/>
            </w:tcBorders>
            <w:shd w:val="clear" w:color="auto" w:fill="FDFDFC"/>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1440" w:type="dxa"/>
            <w:vAlign w:val="bottom"/>
            <w:shd w:val="clear" w:color="auto" w:fill="D0EBF2"/>
          </w:tcPr>
          <w:p>
            <w:pPr>
              <w:spacing w:after="0" w:line="159" w:lineRule="exact"/>
              <w:rPr>
                <w:sz w:val="20"/>
                <w:szCs w:val="20"/>
                <w:color w:val="auto"/>
              </w:rPr>
            </w:pPr>
            <w:r>
              <w:rPr>
                <w:rFonts w:ascii="Times New Roman" w:cs="Times New Roman" w:eastAsia="Times New Roman" w:hAnsi="Times New Roman"/>
                <w:sz w:val="15"/>
                <w:szCs w:val="15"/>
                <w:color w:val="231F20"/>
              </w:rPr>
              <w:t>Astra 2L Holdings II</w:t>
            </w:r>
          </w:p>
        </w:tc>
        <w:tc>
          <w:tcPr>
            <w:tcW w:w="2440" w:type="dxa"/>
            <w:vAlign w:val="bottom"/>
            <w:shd w:val="clear" w:color="auto" w:fill="D0EBF2"/>
          </w:tcPr>
          <w:p>
            <w:pPr>
              <w:ind w:left="80"/>
              <w:spacing w:after="0" w:line="159" w:lineRule="exact"/>
              <w:rPr>
                <w:sz w:val="20"/>
                <w:szCs w:val="20"/>
                <w:color w:val="auto"/>
              </w:rPr>
            </w:pPr>
            <w:r>
              <w:rPr>
                <w:rFonts w:ascii="Times New Roman" w:cs="Times New Roman" w:eastAsia="Times New Roman" w:hAnsi="Times New Roman"/>
                <w:sz w:val="15"/>
                <w:szCs w:val="15"/>
                <w:color w:val="231F20"/>
              </w:rPr>
              <w:t>Membership Interest (10.17%</w:t>
            </w:r>
          </w:p>
        </w:tc>
        <w:tc>
          <w:tcPr>
            <w:tcW w:w="820" w:type="dxa"/>
            <w:vAlign w:val="bottom"/>
            <w:shd w:val="clear" w:color="auto" w:fill="D0EBF2"/>
          </w:tcPr>
          <w:p>
            <w:pPr>
              <w:jc w:val="right"/>
              <w:spacing w:after="0" w:line="159" w:lineRule="exact"/>
              <w:rPr>
                <w:sz w:val="20"/>
                <w:szCs w:val="20"/>
                <w:color w:val="auto"/>
              </w:rPr>
            </w:pPr>
            <w:r>
              <w:rPr>
                <w:rFonts w:ascii="Times New Roman" w:cs="Times New Roman" w:eastAsia="Times New Roman" w:hAnsi="Times New Roman"/>
                <w:sz w:val="15"/>
                <w:szCs w:val="15"/>
                <w:color w:val="231F20"/>
              </w:rPr>
              <w:t>1/13/2022</w:t>
            </w:r>
          </w:p>
        </w:tc>
        <w:tc>
          <w:tcPr>
            <w:tcW w:w="20" w:type="dxa"/>
            <w:vAlign w:val="bottom"/>
          </w:tcPr>
          <w:p>
            <w:pPr>
              <w:spacing w:after="0"/>
              <w:rPr>
                <w:sz w:val="13"/>
                <w:szCs w:val="13"/>
                <w:color w:val="auto"/>
              </w:rPr>
            </w:pPr>
          </w:p>
        </w:tc>
        <w:tc>
          <w:tcPr>
            <w:tcW w:w="2080" w:type="dxa"/>
            <w:vAlign w:val="bottom"/>
            <w:shd w:val="clear" w:color="auto" w:fill="D0EBF2"/>
          </w:tcPr>
          <w:p>
            <w:pPr>
              <w:spacing w:after="0"/>
              <w:rPr>
                <w:sz w:val="13"/>
                <w:szCs w:val="13"/>
                <w:color w:val="auto"/>
              </w:rPr>
            </w:pPr>
          </w:p>
        </w:tc>
        <w:tc>
          <w:tcPr>
            <w:tcW w:w="1000" w:type="dxa"/>
            <w:vAlign w:val="bottom"/>
            <w:shd w:val="clear" w:color="auto" w:fill="D0EBF2"/>
          </w:tcPr>
          <w:p>
            <w:pPr>
              <w:jc w:val="right"/>
              <w:spacing w:after="0" w:line="159" w:lineRule="exact"/>
              <w:rPr>
                <w:sz w:val="20"/>
                <w:szCs w:val="20"/>
                <w:color w:val="auto"/>
              </w:rPr>
            </w:pPr>
            <w:r>
              <w:rPr>
                <w:rFonts w:ascii="Times New Roman" w:cs="Times New Roman" w:eastAsia="Times New Roman" w:hAnsi="Times New Roman"/>
                <w:sz w:val="15"/>
                <w:szCs w:val="15"/>
                <w:color w:val="231F20"/>
              </w:rPr>
              <w:t>3,255</w:t>
            </w:r>
          </w:p>
        </w:tc>
        <w:tc>
          <w:tcPr>
            <w:tcW w:w="180" w:type="dxa"/>
            <w:vAlign w:val="bottom"/>
            <w:shd w:val="clear" w:color="auto" w:fill="D0EBF2"/>
          </w:tcPr>
          <w:p>
            <w:pPr>
              <w:spacing w:after="0"/>
              <w:rPr>
                <w:sz w:val="13"/>
                <w:szCs w:val="13"/>
                <w:color w:val="auto"/>
              </w:rPr>
            </w:pPr>
          </w:p>
        </w:tc>
        <w:tc>
          <w:tcPr>
            <w:tcW w:w="960" w:type="dxa"/>
            <w:vAlign w:val="bottom"/>
            <w:shd w:val="clear" w:color="auto" w:fill="D0EBF2"/>
          </w:tcPr>
          <w:p>
            <w:pPr>
              <w:jc w:val="right"/>
              <w:spacing w:after="0" w:line="159" w:lineRule="exact"/>
              <w:rPr>
                <w:sz w:val="20"/>
                <w:szCs w:val="20"/>
                <w:color w:val="auto"/>
              </w:rPr>
            </w:pPr>
            <w:r>
              <w:rPr>
                <w:rFonts w:ascii="Times New Roman" w:cs="Times New Roman" w:eastAsia="Times New Roman" w:hAnsi="Times New Roman"/>
                <w:sz w:val="15"/>
                <w:szCs w:val="15"/>
                <w:color w:val="231F20"/>
              </w:rPr>
              <w:t>309</w:t>
            </w:r>
          </w:p>
        </w:tc>
        <w:tc>
          <w:tcPr>
            <w:tcW w:w="200" w:type="dxa"/>
            <w:vAlign w:val="bottom"/>
            <w:shd w:val="clear" w:color="auto" w:fill="D0EBF2"/>
          </w:tcPr>
          <w:p>
            <w:pPr>
              <w:spacing w:after="0"/>
              <w:rPr>
                <w:sz w:val="13"/>
                <w:szCs w:val="13"/>
                <w:color w:val="auto"/>
              </w:rPr>
            </w:pPr>
          </w:p>
        </w:tc>
        <w:tc>
          <w:tcPr>
            <w:tcW w:w="1140" w:type="dxa"/>
            <w:vAlign w:val="bottom"/>
            <w:gridSpan w:val="2"/>
            <w:shd w:val="clear" w:color="auto" w:fill="D0EBF2"/>
          </w:tcPr>
          <w:p>
            <w:pPr>
              <w:jc w:val="right"/>
              <w:ind w:right="120"/>
              <w:spacing w:after="0" w:line="159" w:lineRule="exact"/>
              <w:rPr>
                <w:sz w:val="20"/>
                <w:szCs w:val="20"/>
                <w:color w:val="auto"/>
              </w:rPr>
            </w:pPr>
            <w:r>
              <w:rPr>
                <w:rFonts w:ascii="Times New Roman" w:cs="Times New Roman" w:eastAsia="Times New Roman" w:hAnsi="Times New Roman"/>
                <w:sz w:val="15"/>
                <w:szCs w:val="15"/>
                <w:color w:val="231F20"/>
              </w:rPr>
              <w:t>0.0%</w:t>
            </w:r>
          </w:p>
        </w:tc>
        <w:tc>
          <w:tcPr>
            <w:tcW w:w="0" w:type="dxa"/>
            <w:vAlign w:val="bottom"/>
          </w:tcPr>
          <w:p>
            <w:pPr>
              <w:spacing w:after="0"/>
              <w:rPr>
                <w:sz w:val="1"/>
                <w:szCs w:val="1"/>
                <w:color w:val="auto"/>
              </w:rPr>
            </w:pPr>
          </w:p>
        </w:tc>
      </w:tr>
      <w:tr>
        <w:trPr>
          <w:trHeight w:val="189"/>
        </w:trPr>
        <w:tc>
          <w:tcPr>
            <w:tcW w:w="1440" w:type="dxa"/>
            <w:vAlign w:val="bottom"/>
            <w:shd w:val="clear" w:color="auto" w:fill="D0EBF2"/>
          </w:tcPr>
          <w:p>
            <w:pPr>
              <w:spacing w:after="0" w:line="190" w:lineRule="exact"/>
              <w:rPr>
                <w:sz w:val="20"/>
                <w:szCs w:val="20"/>
                <w:color w:val="auto"/>
              </w:rPr>
            </w:pPr>
            <w:r>
              <w:rPr>
                <w:rFonts w:ascii="Times New Roman" w:cs="Times New Roman" w:eastAsia="Times New Roman" w:hAnsi="Times New Roman"/>
                <w:sz w:val="21"/>
                <w:szCs w:val="21"/>
                <w:color w:val="231F20"/>
                <w:vertAlign w:val="subscript"/>
              </w:rPr>
              <w:t>LLC</w:t>
            </w:r>
            <w:r>
              <w:rPr>
                <w:rFonts w:ascii="Times New Roman" w:cs="Times New Roman" w:eastAsia="Times New Roman" w:hAnsi="Times New Roman"/>
                <w:sz w:val="8"/>
                <w:szCs w:val="8"/>
                <w:color w:val="231F20"/>
              </w:rPr>
              <w:t xml:space="preserve"> (11)</w:t>
            </w:r>
          </w:p>
        </w:tc>
        <w:tc>
          <w:tcPr>
            <w:tcW w:w="2440" w:type="dxa"/>
            <w:vAlign w:val="bottom"/>
            <w:shd w:val="clear" w:color="auto" w:fill="D0EBF2"/>
          </w:tcPr>
          <w:p>
            <w:pPr>
              <w:ind w:left="80"/>
              <w:spacing w:after="0"/>
              <w:rPr>
                <w:sz w:val="20"/>
                <w:szCs w:val="20"/>
                <w:color w:val="auto"/>
              </w:rPr>
            </w:pPr>
            <w:r>
              <w:rPr>
                <w:rFonts w:ascii="Times New Roman" w:cs="Times New Roman" w:eastAsia="Times New Roman" w:hAnsi="Times New Roman"/>
                <w:sz w:val="15"/>
                <w:szCs w:val="15"/>
                <w:color w:val="231F20"/>
              </w:rPr>
              <w:t>ownership)</w:t>
            </w:r>
          </w:p>
        </w:tc>
        <w:tc>
          <w:tcPr>
            <w:tcW w:w="820" w:type="dxa"/>
            <w:vAlign w:val="bottom"/>
            <w:shd w:val="clear" w:color="auto" w:fill="D0EBF2"/>
          </w:tcPr>
          <w:p>
            <w:pPr>
              <w:spacing w:after="0"/>
              <w:rPr>
                <w:sz w:val="16"/>
                <w:szCs w:val="16"/>
                <w:color w:val="auto"/>
              </w:rPr>
            </w:pPr>
          </w:p>
        </w:tc>
        <w:tc>
          <w:tcPr>
            <w:tcW w:w="20" w:type="dxa"/>
            <w:vAlign w:val="bottom"/>
          </w:tcPr>
          <w:p>
            <w:pPr>
              <w:spacing w:after="0"/>
              <w:rPr>
                <w:sz w:val="16"/>
                <w:szCs w:val="16"/>
                <w:color w:val="auto"/>
              </w:rPr>
            </w:pPr>
          </w:p>
        </w:tc>
        <w:tc>
          <w:tcPr>
            <w:tcW w:w="2080" w:type="dxa"/>
            <w:vAlign w:val="bottom"/>
            <w:shd w:val="clear" w:color="auto" w:fill="D0EBF2"/>
          </w:tcPr>
          <w:p>
            <w:pPr>
              <w:spacing w:after="0"/>
              <w:rPr>
                <w:sz w:val="16"/>
                <w:szCs w:val="16"/>
                <w:color w:val="auto"/>
              </w:rPr>
            </w:pPr>
          </w:p>
        </w:tc>
        <w:tc>
          <w:tcPr>
            <w:tcW w:w="1000" w:type="dxa"/>
            <w:vAlign w:val="bottom"/>
            <w:shd w:val="clear" w:color="auto" w:fill="D0EBF2"/>
          </w:tcPr>
          <w:p>
            <w:pPr>
              <w:spacing w:after="0"/>
              <w:rPr>
                <w:sz w:val="16"/>
                <w:szCs w:val="16"/>
                <w:color w:val="auto"/>
              </w:rPr>
            </w:pPr>
          </w:p>
        </w:tc>
        <w:tc>
          <w:tcPr>
            <w:tcW w:w="180" w:type="dxa"/>
            <w:vAlign w:val="bottom"/>
            <w:shd w:val="clear" w:color="auto" w:fill="D0EBF2"/>
          </w:tcPr>
          <w:p>
            <w:pPr>
              <w:spacing w:after="0"/>
              <w:rPr>
                <w:sz w:val="16"/>
                <w:szCs w:val="16"/>
                <w:color w:val="auto"/>
              </w:rPr>
            </w:pPr>
          </w:p>
        </w:tc>
        <w:tc>
          <w:tcPr>
            <w:tcW w:w="960" w:type="dxa"/>
            <w:vAlign w:val="bottom"/>
            <w:shd w:val="clear" w:color="auto" w:fill="D0EBF2"/>
          </w:tcPr>
          <w:p>
            <w:pPr>
              <w:spacing w:after="0"/>
              <w:rPr>
                <w:sz w:val="16"/>
                <w:szCs w:val="16"/>
                <w:color w:val="auto"/>
              </w:rPr>
            </w:pPr>
          </w:p>
        </w:tc>
        <w:tc>
          <w:tcPr>
            <w:tcW w:w="200" w:type="dxa"/>
            <w:vAlign w:val="bottom"/>
            <w:shd w:val="clear" w:color="auto" w:fill="D0EBF2"/>
          </w:tcPr>
          <w:p>
            <w:pPr>
              <w:spacing w:after="0"/>
              <w:rPr>
                <w:sz w:val="16"/>
                <w:szCs w:val="16"/>
                <w:color w:val="auto"/>
              </w:rPr>
            </w:pPr>
          </w:p>
        </w:tc>
        <w:tc>
          <w:tcPr>
            <w:tcW w:w="900" w:type="dxa"/>
            <w:vAlign w:val="bottom"/>
            <w:shd w:val="clear" w:color="auto" w:fill="D0EBF2"/>
          </w:tcPr>
          <w:p>
            <w:pPr>
              <w:spacing w:after="0"/>
              <w:rPr>
                <w:sz w:val="16"/>
                <w:szCs w:val="16"/>
                <w:color w:val="auto"/>
              </w:rPr>
            </w:pPr>
          </w:p>
        </w:tc>
        <w:tc>
          <w:tcPr>
            <w:tcW w:w="240" w:type="dxa"/>
            <w:vAlign w:val="bottom"/>
            <w:shd w:val="clear" w:color="auto" w:fill="D0EBF2"/>
          </w:tcPr>
          <w:p>
            <w:pPr>
              <w:spacing w:after="0"/>
              <w:rPr>
                <w:sz w:val="16"/>
                <w:szCs w:val="16"/>
                <w:color w:val="auto"/>
              </w:rPr>
            </w:pPr>
          </w:p>
        </w:tc>
        <w:tc>
          <w:tcPr>
            <w:tcW w:w="0" w:type="dxa"/>
            <w:vAlign w:val="bottom"/>
          </w:tcPr>
          <w:p>
            <w:pPr>
              <w:spacing w:after="0"/>
              <w:rPr>
                <w:sz w:val="1"/>
                <w:szCs w:val="1"/>
                <w:color w:val="auto"/>
              </w:rPr>
            </w:pPr>
          </w:p>
        </w:tc>
      </w:tr>
      <w:tr>
        <w:trPr>
          <w:trHeight w:val="174"/>
        </w:trPr>
        <w:tc>
          <w:tcPr>
            <w:tcW w:w="1440" w:type="dxa"/>
            <w:vAlign w:val="bottom"/>
            <w:shd w:val="clear" w:color="auto" w:fill="FDFDFC"/>
          </w:tcPr>
          <w:p>
            <w:pPr>
              <w:spacing w:after="0"/>
              <w:rPr>
                <w:sz w:val="20"/>
                <w:szCs w:val="20"/>
                <w:color w:val="auto"/>
              </w:rPr>
            </w:pPr>
            <w:r>
              <w:rPr>
                <w:rFonts w:ascii="Times New Roman" w:cs="Times New Roman" w:eastAsia="Times New Roman" w:hAnsi="Times New Roman"/>
                <w:sz w:val="15"/>
                <w:szCs w:val="15"/>
                <w:color w:val="231F20"/>
              </w:rPr>
              <w:t xml:space="preserve">EMS Linq, Inc. </w:t>
            </w:r>
            <w:r>
              <w:rPr>
                <w:rFonts w:ascii="Times New Roman" w:cs="Times New Roman" w:eastAsia="Times New Roman" w:hAnsi="Times New Roman"/>
                <w:sz w:val="9"/>
                <w:szCs w:val="9"/>
                <w:color w:val="231F20"/>
              </w:rPr>
              <w:t>(11)</w:t>
            </w:r>
          </w:p>
        </w:tc>
        <w:tc>
          <w:tcPr>
            <w:tcW w:w="2440" w:type="dxa"/>
            <w:vAlign w:val="bottom"/>
            <w:shd w:val="clear" w:color="auto" w:fill="FDFDFC"/>
          </w:tcPr>
          <w:p>
            <w:pPr>
              <w:ind w:left="80"/>
              <w:spacing w:after="0"/>
              <w:rPr>
                <w:sz w:val="20"/>
                <w:szCs w:val="20"/>
                <w:color w:val="auto"/>
              </w:rPr>
            </w:pPr>
            <w:r>
              <w:rPr>
                <w:rFonts w:ascii="Times New Roman" w:cs="Times New Roman" w:eastAsia="Times New Roman" w:hAnsi="Times New Roman"/>
                <w:sz w:val="15"/>
                <w:szCs w:val="15"/>
                <w:color w:val="231F20"/>
              </w:rPr>
              <w:t>Class B Units (5,522,526 units)</w:t>
            </w:r>
          </w:p>
        </w:tc>
        <w:tc>
          <w:tcPr>
            <w:tcW w:w="820" w:type="dxa"/>
            <w:vAlign w:val="bottom"/>
            <w:shd w:val="clear" w:color="auto" w:fill="FDFDFC"/>
          </w:tcPr>
          <w:p>
            <w:pPr>
              <w:jc w:val="right"/>
              <w:spacing w:after="0"/>
              <w:rPr>
                <w:sz w:val="20"/>
                <w:szCs w:val="20"/>
                <w:color w:val="auto"/>
              </w:rPr>
            </w:pPr>
            <w:r>
              <w:rPr>
                <w:rFonts w:ascii="Times New Roman" w:cs="Times New Roman" w:eastAsia="Times New Roman" w:hAnsi="Times New Roman"/>
                <w:sz w:val="15"/>
                <w:szCs w:val="15"/>
                <w:color w:val="231F20"/>
              </w:rPr>
              <w:t>12/22/2021</w:t>
            </w:r>
          </w:p>
        </w:tc>
        <w:tc>
          <w:tcPr>
            <w:tcW w:w="20" w:type="dxa"/>
            <w:vAlign w:val="bottom"/>
          </w:tcPr>
          <w:p>
            <w:pPr>
              <w:spacing w:after="0"/>
              <w:rPr>
                <w:sz w:val="15"/>
                <w:szCs w:val="15"/>
                <w:color w:val="auto"/>
              </w:rPr>
            </w:pPr>
          </w:p>
        </w:tc>
        <w:tc>
          <w:tcPr>
            <w:tcW w:w="3080" w:type="dxa"/>
            <w:vAlign w:val="bottom"/>
            <w:gridSpan w:val="2"/>
            <w:shd w:val="clear" w:color="auto" w:fill="FDFDFC"/>
          </w:tcPr>
          <w:p>
            <w:pPr>
              <w:jc w:val="right"/>
              <w:spacing w:after="0"/>
              <w:rPr>
                <w:sz w:val="20"/>
                <w:szCs w:val="20"/>
                <w:color w:val="auto"/>
              </w:rPr>
            </w:pPr>
            <w:r>
              <w:rPr>
                <w:rFonts w:ascii="Times New Roman" w:cs="Times New Roman" w:eastAsia="Times New Roman" w:hAnsi="Times New Roman"/>
                <w:sz w:val="15"/>
                <w:szCs w:val="15"/>
                <w:color w:val="231F20"/>
              </w:rPr>
              <w:t>5,522</w:t>
            </w:r>
          </w:p>
        </w:tc>
        <w:tc>
          <w:tcPr>
            <w:tcW w:w="1140" w:type="dxa"/>
            <w:vAlign w:val="bottom"/>
            <w:gridSpan w:val="2"/>
            <w:shd w:val="clear" w:color="auto" w:fill="FDFDFC"/>
          </w:tcPr>
          <w:p>
            <w:pPr>
              <w:jc w:val="right"/>
              <w:spacing w:after="0"/>
              <w:rPr>
                <w:sz w:val="20"/>
                <w:szCs w:val="20"/>
                <w:color w:val="auto"/>
              </w:rPr>
            </w:pPr>
            <w:r>
              <w:rPr>
                <w:rFonts w:ascii="Times New Roman" w:cs="Times New Roman" w:eastAsia="Times New Roman" w:hAnsi="Times New Roman"/>
                <w:sz w:val="15"/>
                <w:szCs w:val="15"/>
                <w:color w:val="231F20"/>
              </w:rPr>
              <w:t>4,762</w:t>
            </w:r>
          </w:p>
        </w:tc>
        <w:tc>
          <w:tcPr>
            <w:tcW w:w="1340" w:type="dxa"/>
            <w:vAlign w:val="bottom"/>
            <w:gridSpan w:val="3"/>
            <w:shd w:val="clear" w:color="auto" w:fill="FDFDFC"/>
          </w:tcPr>
          <w:p>
            <w:pPr>
              <w:jc w:val="right"/>
              <w:ind w:right="120"/>
              <w:spacing w:after="0"/>
              <w:rPr>
                <w:sz w:val="20"/>
                <w:szCs w:val="20"/>
                <w:color w:val="auto"/>
              </w:rPr>
            </w:pPr>
            <w:r>
              <w:rPr>
                <w:rFonts w:ascii="Times New Roman" w:cs="Times New Roman" w:eastAsia="Times New Roman" w:hAnsi="Times New Roman"/>
                <w:sz w:val="15"/>
                <w:szCs w:val="15"/>
                <w:color w:val="231F20"/>
              </w:rPr>
              <w:t>0.4%</w:t>
            </w:r>
          </w:p>
        </w:tc>
        <w:tc>
          <w:tcPr>
            <w:tcW w:w="0" w:type="dxa"/>
            <w:vAlign w:val="bottom"/>
          </w:tcPr>
          <w:p>
            <w:pPr>
              <w:spacing w:after="0"/>
              <w:rPr>
                <w:sz w:val="1"/>
                <w:szCs w:val="1"/>
                <w:color w:val="auto"/>
              </w:rPr>
            </w:pPr>
          </w:p>
        </w:tc>
      </w:tr>
      <w:tr>
        <w:trPr>
          <w:trHeight w:val="158"/>
        </w:trPr>
        <w:tc>
          <w:tcPr>
            <w:tcW w:w="1440" w:type="dxa"/>
            <w:vAlign w:val="bottom"/>
            <w:shd w:val="clear" w:color="auto" w:fill="D0EBF2"/>
          </w:tcPr>
          <w:p>
            <w:pPr>
              <w:spacing w:after="0" w:line="159" w:lineRule="exact"/>
              <w:rPr>
                <w:sz w:val="20"/>
                <w:szCs w:val="20"/>
                <w:color w:val="auto"/>
              </w:rPr>
            </w:pPr>
            <w:r>
              <w:rPr>
                <w:rFonts w:ascii="Times New Roman" w:cs="Times New Roman" w:eastAsia="Times New Roman" w:hAnsi="Times New Roman"/>
                <w:sz w:val="15"/>
                <w:szCs w:val="15"/>
                <w:color w:val="231F20"/>
              </w:rPr>
              <w:t>RMCF IV CIV</w:t>
            </w:r>
          </w:p>
        </w:tc>
        <w:tc>
          <w:tcPr>
            <w:tcW w:w="2440" w:type="dxa"/>
            <w:vAlign w:val="bottom"/>
            <w:shd w:val="clear" w:color="auto" w:fill="D0EBF2"/>
          </w:tcPr>
          <w:p>
            <w:pPr>
              <w:ind w:left="80"/>
              <w:spacing w:after="0" w:line="159" w:lineRule="exact"/>
              <w:rPr>
                <w:sz w:val="20"/>
                <w:szCs w:val="20"/>
                <w:color w:val="auto"/>
              </w:rPr>
            </w:pPr>
            <w:r>
              <w:rPr>
                <w:rFonts w:ascii="Times New Roman" w:cs="Times New Roman" w:eastAsia="Times New Roman" w:hAnsi="Times New Roman"/>
                <w:sz w:val="15"/>
                <w:szCs w:val="15"/>
                <w:color w:val="231F20"/>
              </w:rPr>
              <w:t>Partnership Interest (11.94%</w:t>
            </w:r>
          </w:p>
        </w:tc>
        <w:tc>
          <w:tcPr>
            <w:tcW w:w="820" w:type="dxa"/>
            <w:vAlign w:val="bottom"/>
            <w:shd w:val="clear" w:color="auto" w:fill="D0EBF2"/>
          </w:tcPr>
          <w:p>
            <w:pPr>
              <w:jc w:val="right"/>
              <w:spacing w:after="0" w:line="159" w:lineRule="exact"/>
              <w:rPr>
                <w:sz w:val="20"/>
                <w:szCs w:val="20"/>
                <w:color w:val="auto"/>
              </w:rPr>
            </w:pPr>
            <w:r>
              <w:rPr>
                <w:rFonts w:ascii="Times New Roman" w:cs="Times New Roman" w:eastAsia="Times New Roman" w:hAnsi="Times New Roman"/>
                <w:sz w:val="15"/>
                <w:szCs w:val="15"/>
                <w:color w:val="231F20"/>
              </w:rPr>
              <w:t>6/8/2021</w:t>
            </w:r>
          </w:p>
        </w:tc>
        <w:tc>
          <w:tcPr>
            <w:tcW w:w="20" w:type="dxa"/>
            <w:vAlign w:val="bottom"/>
          </w:tcPr>
          <w:p>
            <w:pPr>
              <w:spacing w:after="0"/>
              <w:rPr>
                <w:sz w:val="13"/>
                <w:szCs w:val="13"/>
                <w:color w:val="auto"/>
              </w:rPr>
            </w:pPr>
          </w:p>
        </w:tc>
        <w:tc>
          <w:tcPr>
            <w:tcW w:w="3080" w:type="dxa"/>
            <w:vAlign w:val="bottom"/>
            <w:gridSpan w:val="2"/>
            <w:shd w:val="clear" w:color="auto" w:fill="D0EBF2"/>
          </w:tcPr>
          <w:p>
            <w:pPr>
              <w:jc w:val="right"/>
              <w:spacing w:after="0" w:line="159" w:lineRule="exact"/>
              <w:rPr>
                <w:sz w:val="20"/>
                <w:szCs w:val="20"/>
                <w:color w:val="auto"/>
              </w:rPr>
            </w:pPr>
            <w:r>
              <w:rPr>
                <w:rFonts w:ascii="Times New Roman" w:cs="Times New Roman" w:eastAsia="Times New Roman" w:hAnsi="Times New Roman"/>
                <w:sz w:val="15"/>
                <w:szCs w:val="15"/>
                <w:color w:val="231F20"/>
              </w:rPr>
              <w:t>1,000</w:t>
            </w:r>
          </w:p>
        </w:tc>
        <w:tc>
          <w:tcPr>
            <w:tcW w:w="1140" w:type="dxa"/>
            <w:vAlign w:val="bottom"/>
            <w:gridSpan w:val="2"/>
            <w:shd w:val="clear" w:color="auto" w:fill="D0EBF2"/>
          </w:tcPr>
          <w:p>
            <w:pPr>
              <w:jc w:val="right"/>
              <w:spacing w:after="0" w:line="159" w:lineRule="exact"/>
              <w:rPr>
                <w:sz w:val="20"/>
                <w:szCs w:val="20"/>
                <w:color w:val="auto"/>
              </w:rPr>
            </w:pPr>
            <w:r>
              <w:rPr>
                <w:rFonts w:ascii="Times New Roman" w:cs="Times New Roman" w:eastAsia="Times New Roman" w:hAnsi="Times New Roman"/>
                <w:sz w:val="15"/>
                <w:szCs w:val="15"/>
                <w:color w:val="231F20"/>
              </w:rPr>
              <w:t>1,455</w:t>
            </w:r>
          </w:p>
        </w:tc>
        <w:tc>
          <w:tcPr>
            <w:tcW w:w="1340" w:type="dxa"/>
            <w:vAlign w:val="bottom"/>
            <w:gridSpan w:val="3"/>
            <w:shd w:val="clear" w:color="auto" w:fill="D0EBF2"/>
          </w:tcPr>
          <w:p>
            <w:pPr>
              <w:jc w:val="right"/>
              <w:ind w:right="120"/>
              <w:spacing w:after="0" w:line="159" w:lineRule="exact"/>
              <w:rPr>
                <w:sz w:val="20"/>
                <w:szCs w:val="20"/>
                <w:color w:val="auto"/>
              </w:rPr>
            </w:pPr>
            <w:r>
              <w:rPr>
                <w:rFonts w:ascii="Times New Roman" w:cs="Times New Roman" w:eastAsia="Times New Roman" w:hAnsi="Times New Roman"/>
                <w:sz w:val="15"/>
                <w:szCs w:val="15"/>
                <w:color w:val="231F20"/>
              </w:rPr>
              <w:t>0.1%</w:t>
            </w:r>
          </w:p>
        </w:tc>
        <w:tc>
          <w:tcPr>
            <w:tcW w:w="0" w:type="dxa"/>
            <w:vAlign w:val="bottom"/>
          </w:tcPr>
          <w:p>
            <w:pPr>
              <w:spacing w:after="0"/>
              <w:rPr>
                <w:sz w:val="1"/>
                <w:szCs w:val="1"/>
                <w:color w:val="auto"/>
              </w:rPr>
            </w:pPr>
          </w:p>
        </w:tc>
      </w:tr>
      <w:tr>
        <w:trPr>
          <w:trHeight w:val="189"/>
        </w:trPr>
        <w:tc>
          <w:tcPr>
            <w:tcW w:w="1440" w:type="dxa"/>
            <w:vAlign w:val="bottom"/>
            <w:tcBorders>
              <w:bottom w:val="single" w:sz="8" w:color="FDFDFC"/>
            </w:tcBorders>
            <w:shd w:val="clear" w:color="auto" w:fill="D0EBF2"/>
          </w:tcPr>
          <w:p>
            <w:pPr>
              <w:spacing w:after="0"/>
              <w:rPr>
                <w:sz w:val="20"/>
                <w:szCs w:val="20"/>
                <w:color w:val="auto"/>
              </w:rPr>
            </w:pPr>
            <w:r>
              <w:rPr>
                <w:rFonts w:ascii="Times New Roman" w:cs="Times New Roman" w:eastAsia="Times New Roman" w:hAnsi="Times New Roman"/>
                <w:sz w:val="15"/>
                <w:szCs w:val="15"/>
                <w:color w:val="231F20"/>
              </w:rPr>
              <w:t xml:space="preserve">XXXV, LP. </w:t>
            </w:r>
            <w:r>
              <w:rPr>
                <w:rFonts w:ascii="Times New Roman" w:cs="Times New Roman" w:eastAsia="Times New Roman" w:hAnsi="Times New Roman"/>
                <w:sz w:val="9"/>
                <w:szCs w:val="9"/>
                <w:color w:val="231F20"/>
              </w:rPr>
              <w:t>(11)</w:t>
            </w:r>
          </w:p>
        </w:tc>
        <w:tc>
          <w:tcPr>
            <w:tcW w:w="2440" w:type="dxa"/>
            <w:vAlign w:val="bottom"/>
            <w:tcBorders>
              <w:bottom w:val="single" w:sz="8" w:color="FDFDFC"/>
            </w:tcBorders>
            <w:shd w:val="clear" w:color="auto" w:fill="D0EBF2"/>
          </w:tcPr>
          <w:p>
            <w:pPr>
              <w:ind w:left="80"/>
              <w:spacing w:after="0"/>
              <w:rPr>
                <w:sz w:val="20"/>
                <w:szCs w:val="20"/>
                <w:color w:val="auto"/>
              </w:rPr>
            </w:pPr>
            <w:r>
              <w:rPr>
                <w:rFonts w:ascii="Times New Roman" w:cs="Times New Roman" w:eastAsia="Times New Roman" w:hAnsi="Times New Roman"/>
                <w:sz w:val="15"/>
                <w:szCs w:val="15"/>
                <w:color w:val="231F20"/>
              </w:rPr>
              <w:t>ownership)</w:t>
            </w:r>
          </w:p>
        </w:tc>
        <w:tc>
          <w:tcPr>
            <w:tcW w:w="820" w:type="dxa"/>
            <w:vAlign w:val="bottom"/>
            <w:tcBorders>
              <w:bottom w:val="single" w:sz="8" w:color="FDFDFC"/>
            </w:tcBorders>
            <w:shd w:val="clear" w:color="auto" w:fill="D0EBF2"/>
          </w:tcPr>
          <w:p>
            <w:pPr>
              <w:spacing w:after="0"/>
              <w:rPr>
                <w:sz w:val="16"/>
                <w:szCs w:val="16"/>
                <w:color w:val="auto"/>
              </w:rPr>
            </w:pPr>
          </w:p>
        </w:tc>
        <w:tc>
          <w:tcPr>
            <w:tcW w:w="20" w:type="dxa"/>
            <w:vAlign w:val="bottom"/>
            <w:tcBorders>
              <w:bottom w:val="single" w:sz="8" w:color="FDFDFC"/>
            </w:tcBorders>
          </w:tcPr>
          <w:p>
            <w:pPr>
              <w:spacing w:after="0"/>
              <w:rPr>
                <w:sz w:val="16"/>
                <w:szCs w:val="16"/>
                <w:color w:val="auto"/>
              </w:rPr>
            </w:pPr>
          </w:p>
        </w:tc>
        <w:tc>
          <w:tcPr>
            <w:tcW w:w="2080" w:type="dxa"/>
            <w:vAlign w:val="bottom"/>
            <w:tcBorders>
              <w:bottom w:val="single" w:sz="8" w:color="FDFDFC"/>
            </w:tcBorders>
            <w:shd w:val="clear" w:color="auto" w:fill="D0EBF2"/>
          </w:tcPr>
          <w:p>
            <w:pPr>
              <w:spacing w:after="0"/>
              <w:rPr>
                <w:sz w:val="16"/>
                <w:szCs w:val="16"/>
                <w:color w:val="auto"/>
              </w:rPr>
            </w:pPr>
          </w:p>
        </w:tc>
        <w:tc>
          <w:tcPr>
            <w:tcW w:w="1000" w:type="dxa"/>
            <w:vAlign w:val="bottom"/>
            <w:tcBorders>
              <w:bottom w:val="single" w:sz="8" w:color="231F20"/>
            </w:tcBorders>
            <w:shd w:val="clear" w:color="auto" w:fill="D0EBF2"/>
          </w:tcPr>
          <w:p>
            <w:pPr>
              <w:spacing w:after="0"/>
              <w:rPr>
                <w:sz w:val="16"/>
                <w:szCs w:val="16"/>
                <w:color w:val="auto"/>
              </w:rPr>
            </w:pPr>
          </w:p>
        </w:tc>
        <w:tc>
          <w:tcPr>
            <w:tcW w:w="180" w:type="dxa"/>
            <w:vAlign w:val="bottom"/>
            <w:tcBorders>
              <w:bottom w:val="single" w:sz="8" w:color="FDFDFC"/>
            </w:tcBorders>
            <w:shd w:val="clear" w:color="auto" w:fill="D0EBF2"/>
          </w:tcPr>
          <w:p>
            <w:pPr>
              <w:spacing w:after="0"/>
              <w:rPr>
                <w:sz w:val="16"/>
                <w:szCs w:val="16"/>
                <w:color w:val="auto"/>
              </w:rPr>
            </w:pPr>
          </w:p>
        </w:tc>
        <w:tc>
          <w:tcPr>
            <w:tcW w:w="960" w:type="dxa"/>
            <w:vAlign w:val="bottom"/>
            <w:tcBorders>
              <w:bottom w:val="single" w:sz="8" w:color="231F20"/>
            </w:tcBorders>
            <w:shd w:val="clear" w:color="auto" w:fill="D0EBF2"/>
          </w:tcPr>
          <w:p>
            <w:pPr>
              <w:spacing w:after="0"/>
              <w:rPr>
                <w:sz w:val="16"/>
                <w:szCs w:val="16"/>
                <w:color w:val="auto"/>
              </w:rPr>
            </w:pPr>
          </w:p>
        </w:tc>
        <w:tc>
          <w:tcPr>
            <w:tcW w:w="200" w:type="dxa"/>
            <w:vAlign w:val="bottom"/>
            <w:tcBorders>
              <w:bottom w:val="single" w:sz="8" w:color="FDFDFC"/>
            </w:tcBorders>
            <w:shd w:val="clear" w:color="auto" w:fill="D0EBF2"/>
          </w:tcPr>
          <w:p>
            <w:pPr>
              <w:spacing w:after="0"/>
              <w:rPr>
                <w:sz w:val="16"/>
                <w:szCs w:val="16"/>
                <w:color w:val="auto"/>
              </w:rPr>
            </w:pPr>
          </w:p>
        </w:tc>
        <w:tc>
          <w:tcPr>
            <w:tcW w:w="900" w:type="dxa"/>
            <w:vAlign w:val="bottom"/>
            <w:tcBorders>
              <w:bottom w:val="single" w:sz="8" w:color="231F20"/>
            </w:tcBorders>
            <w:shd w:val="clear" w:color="auto" w:fill="D0EBF2"/>
          </w:tcPr>
          <w:p>
            <w:pPr>
              <w:spacing w:after="0"/>
              <w:rPr>
                <w:sz w:val="16"/>
                <w:szCs w:val="16"/>
                <w:color w:val="auto"/>
              </w:rPr>
            </w:pPr>
          </w:p>
        </w:tc>
        <w:tc>
          <w:tcPr>
            <w:tcW w:w="240" w:type="dxa"/>
            <w:vAlign w:val="bottom"/>
            <w:shd w:val="clear" w:color="auto" w:fill="D0EBF2"/>
          </w:tcPr>
          <w:p>
            <w:pPr>
              <w:spacing w:after="0"/>
              <w:rPr>
                <w:sz w:val="16"/>
                <w:szCs w:val="16"/>
                <w:color w:val="auto"/>
              </w:rPr>
            </w:pPr>
          </w:p>
        </w:tc>
        <w:tc>
          <w:tcPr>
            <w:tcW w:w="0" w:type="dxa"/>
            <w:vAlign w:val="bottom"/>
          </w:tcPr>
          <w:p>
            <w:pPr>
              <w:spacing w:after="0"/>
              <w:rPr>
                <w:sz w:val="1"/>
                <w:szCs w:val="1"/>
                <w:color w:val="auto"/>
              </w:rPr>
            </w:pPr>
          </w:p>
        </w:tc>
      </w:tr>
      <w:tr>
        <w:trPr>
          <w:trHeight w:val="163"/>
        </w:trPr>
        <w:tc>
          <w:tcPr>
            <w:tcW w:w="1440" w:type="dxa"/>
            <w:vAlign w:val="bottom"/>
            <w:shd w:val="clear" w:color="auto" w:fill="FDFDFC"/>
          </w:tcPr>
          <w:p>
            <w:pPr>
              <w:spacing w:after="0"/>
              <w:rPr>
                <w:sz w:val="14"/>
                <w:szCs w:val="14"/>
                <w:color w:val="auto"/>
              </w:rPr>
            </w:pPr>
          </w:p>
        </w:tc>
        <w:tc>
          <w:tcPr>
            <w:tcW w:w="2440" w:type="dxa"/>
            <w:vAlign w:val="bottom"/>
            <w:shd w:val="clear" w:color="auto" w:fill="FDFDFC"/>
          </w:tcPr>
          <w:p>
            <w:pPr>
              <w:spacing w:after="0"/>
              <w:rPr>
                <w:sz w:val="14"/>
                <w:szCs w:val="14"/>
                <w:color w:val="auto"/>
              </w:rPr>
            </w:pPr>
          </w:p>
        </w:tc>
        <w:tc>
          <w:tcPr>
            <w:tcW w:w="820" w:type="dxa"/>
            <w:vAlign w:val="bottom"/>
            <w:shd w:val="clear" w:color="auto" w:fill="FDFDFC"/>
          </w:tcPr>
          <w:p>
            <w:pPr>
              <w:spacing w:after="0"/>
              <w:rPr>
                <w:sz w:val="14"/>
                <w:szCs w:val="14"/>
                <w:color w:val="auto"/>
              </w:rPr>
            </w:pPr>
          </w:p>
        </w:tc>
        <w:tc>
          <w:tcPr>
            <w:tcW w:w="20" w:type="dxa"/>
            <w:vAlign w:val="bottom"/>
            <w:shd w:val="clear" w:color="auto" w:fill="FDFDFC"/>
          </w:tcPr>
          <w:p>
            <w:pPr>
              <w:spacing w:after="0"/>
              <w:rPr>
                <w:sz w:val="14"/>
                <w:szCs w:val="14"/>
                <w:color w:val="auto"/>
              </w:rPr>
            </w:pPr>
          </w:p>
        </w:tc>
        <w:tc>
          <w:tcPr>
            <w:tcW w:w="2080" w:type="dxa"/>
            <w:vAlign w:val="bottom"/>
            <w:shd w:val="clear" w:color="auto" w:fill="FDFDFC"/>
          </w:tcPr>
          <w:p>
            <w:pPr>
              <w:spacing w:after="0"/>
              <w:rPr>
                <w:sz w:val="14"/>
                <w:szCs w:val="14"/>
                <w:color w:val="auto"/>
              </w:rPr>
            </w:pPr>
          </w:p>
        </w:tc>
        <w:tc>
          <w:tcPr>
            <w:tcW w:w="1000" w:type="dxa"/>
            <w:vAlign w:val="bottom"/>
            <w:shd w:val="clear" w:color="auto" w:fill="FDFDFC"/>
          </w:tcPr>
          <w:p>
            <w:pPr>
              <w:jc w:val="right"/>
              <w:spacing w:after="0" w:line="164" w:lineRule="exact"/>
              <w:rPr>
                <w:sz w:val="20"/>
                <w:szCs w:val="20"/>
                <w:color w:val="auto"/>
              </w:rPr>
            </w:pPr>
            <w:r>
              <w:rPr>
                <w:rFonts w:ascii="Times New Roman" w:cs="Times New Roman" w:eastAsia="Times New Roman" w:hAnsi="Times New Roman"/>
                <w:sz w:val="15"/>
                <w:szCs w:val="15"/>
                <w:color w:val="231F20"/>
              </w:rPr>
              <w:t>9,777</w:t>
            </w:r>
          </w:p>
        </w:tc>
        <w:tc>
          <w:tcPr>
            <w:tcW w:w="180" w:type="dxa"/>
            <w:vAlign w:val="bottom"/>
            <w:shd w:val="clear" w:color="auto" w:fill="FDFDFC"/>
          </w:tcPr>
          <w:p>
            <w:pPr>
              <w:spacing w:after="0"/>
              <w:rPr>
                <w:sz w:val="14"/>
                <w:szCs w:val="14"/>
                <w:color w:val="auto"/>
              </w:rPr>
            </w:pPr>
          </w:p>
        </w:tc>
        <w:tc>
          <w:tcPr>
            <w:tcW w:w="960" w:type="dxa"/>
            <w:vAlign w:val="bottom"/>
            <w:shd w:val="clear" w:color="auto" w:fill="FDFDFC"/>
          </w:tcPr>
          <w:p>
            <w:pPr>
              <w:jc w:val="right"/>
              <w:spacing w:after="0" w:line="164" w:lineRule="exact"/>
              <w:rPr>
                <w:sz w:val="20"/>
                <w:szCs w:val="20"/>
                <w:color w:val="auto"/>
              </w:rPr>
            </w:pPr>
            <w:r>
              <w:rPr>
                <w:rFonts w:ascii="Times New Roman" w:cs="Times New Roman" w:eastAsia="Times New Roman" w:hAnsi="Times New Roman"/>
                <w:sz w:val="15"/>
                <w:szCs w:val="15"/>
                <w:color w:val="231F20"/>
              </w:rPr>
              <w:t>6,526</w:t>
            </w:r>
          </w:p>
        </w:tc>
        <w:tc>
          <w:tcPr>
            <w:tcW w:w="200" w:type="dxa"/>
            <w:vAlign w:val="bottom"/>
            <w:shd w:val="clear" w:color="auto" w:fill="FDFDFC"/>
          </w:tcPr>
          <w:p>
            <w:pPr>
              <w:spacing w:after="0"/>
              <w:rPr>
                <w:sz w:val="14"/>
                <w:szCs w:val="14"/>
                <w:color w:val="auto"/>
              </w:rPr>
            </w:pPr>
          </w:p>
        </w:tc>
        <w:tc>
          <w:tcPr>
            <w:tcW w:w="1140" w:type="dxa"/>
            <w:vAlign w:val="bottom"/>
            <w:gridSpan w:val="2"/>
          </w:tcPr>
          <w:p>
            <w:pPr>
              <w:jc w:val="right"/>
              <w:ind w:right="120"/>
              <w:spacing w:after="0" w:line="164" w:lineRule="exact"/>
              <w:rPr>
                <w:sz w:val="20"/>
                <w:szCs w:val="20"/>
                <w:color w:val="auto"/>
              </w:rPr>
            </w:pPr>
            <w:r>
              <w:rPr>
                <w:rFonts w:ascii="Times New Roman" w:cs="Times New Roman" w:eastAsia="Times New Roman" w:hAnsi="Times New Roman"/>
                <w:sz w:val="15"/>
                <w:szCs w:val="15"/>
                <w:color w:val="231F20"/>
              </w:rPr>
              <w:t>0.5%</w:t>
            </w:r>
          </w:p>
        </w:tc>
        <w:tc>
          <w:tcPr>
            <w:tcW w:w="0" w:type="dxa"/>
            <w:vAlign w:val="bottom"/>
          </w:tcPr>
          <w:p>
            <w:pPr>
              <w:spacing w:after="0"/>
              <w:rPr>
                <w:sz w:val="1"/>
                <w:szCs w:val="1"/>
                <w:color w:val="auto"/>
              </w:rPr>
            </w:pPr>
          </w:p>
        </w:tc>
      </w:tr>
      <w:tr>
        <w:trPr>
          <w:trHeight w:val="163"/>
        </w:trPr>
        <w:tc>
          <w:tcPr>
            <w:tcW w:w="1440" w:type="dxa"/>
            <w:vAlign w:val="bottom"/>
            <w:tcBorders>
              <w:top w:val="single" w:sz="8" w:color="D0EBF2"/>
            </w:tcBorders>
            <w:shd w:val="clear" w:color="auto" w:fill="D0EBF2"/>
          </w:tcPr>
          <w:p>
            <w:pPr>
              <w:spacing w:after="0" w:line="164" w:lineRule="exact"/>
              <w:rPr>
                <w:sz w:val="20"/>
                <w:szCs w:val="20"/>
                <w:color w:val="auto"/>
              </w:rPr>
            </w:pPr>
            <w:r>
              <w:rPr>
                <w:rFonts w:ascii="Times New Roman" w:cs="Times New Roman" w:eastAsia="Times New Roman" w:hAnsi="Times New Roman"/>
                <w:sz w:val="15"/>
                <w:szCs w:val="15"/>
                <w:b w:val="1"/>
                <w:bCs w:val="1"/>
                <w:color w:val="231F20"/>
              </w:rPr>
              <w:t>Financial Services</w:t>
            </w:r>
          </w:p>
        </w:tc>
        <w:tc>
          <w:tcPr>
            <w:tcW w:w="2440" w:type="dxa"/>
            <w:vAlign w:val="bottom"/>
            <w:tcBorders>
              <w:top w:val="single" w:sz="8" w:color="D0EBF2"/>
            </w:tcBorders>
            <w:shd w:val="clear" w:color="auto" w:fill="D0EBF2"/>
          </w:tcPr>
          <w:p>
            <w:pPr>
              <w:spacing w:after="0"/>
              <w:rPr>
                <w:sz w:val="14"/>
                <w:szCs w:val="14"/>
                <w:color w:val="auto"/>
              </w:rPr>
            </w:pPr>
          </w:p>
        </w:tc>
        <w:tc>
          <w:tcPr>
            <w:tcW w:w="820" w:type="dxa"/>
            <w:vAlign w:val="bottom"/>
            <w:tcBorders>
              <w:top w:val="single" w:sz="8" w:color="D0EBF2"/>
            </w:tcBorders>
            <w:shd w:val="clear" w:color="auto" w:fill="D0EBF2"/>
          </w:tcPr>
          <w:p>
            <w:pPr>
              <w:spacing w:after="0"/>
              <w:rPr>
                <w:sz w:val="14"/>
                <w:szCs w:val="14"/>
                <w:color w:val="auto"/>
              </w:rPr>
            </w:pPr>
          </w:p>
        </w:tc>
        <w:tc>
          <w:tcPr>
            <w:tcW w:w="20" w:type="dxa"/>
            <w:vAlign w:val="bottom"/>
            <w:tcBorders>
              <w:top w:val="single" w:sz="8" w:color="D0EBF2"/>
            </w:tcBorders>
            <w:shd w:val="clear" w:color="auto" w:fill="D0EBF2"/>
          </w:tcPr>
          <w:p>
            <w:pPr>
              <w:spacing w:after="0"/>
              <w:rPr>
                <w:sz w:val="14"/>
                <w:szCs w:val="14"/>
                <w:color w:val="auto"/>
              </w:rPr>
            </w:pPr>
          </w:p>
        </w:tc>
        <w:tc>
          <w:tcPr>
            <w:tcW w:w="2080" w:type="dxa"/>
            <w:vAlign w:val="bottom"/>
            <w:tcBorders>
              <w:top w:val="single" w:sz="8" w:color="D0EBF2"/>
            </w:tcBorders>
            <w:shd w:val="clear" w:color="auto" w:fill="D0EBF2"/>
          </w:tcPr>
          <w:p>
            <w:pPr>
              <w:spacing w:after="0"/>
              <w:rPr>
                <w:sz w:val="14"/>
                <w:szCs w:val="14"/>
                <w:color w:val="auto"/>
              </w:rPr>
            </w:pPr>
          </w:p>
        </w:tc>
        <w:tc>
          <w:tcPr>
            <w:tcW w:w="1000" w:type="dxa"/>
            <w:vAlign w:val="bottom"/>
            <w:tcBorders>
              <w:top w:val="single" w:sz="8" w:color="231F20"/>
            </w:tcBorders>
            <w:shd w:val="clear" w:color="auto" w:fill="D0EBF2"/>
          </w:tcPr>
          <w:p>
            <w:pPr>
              <w:spacing w:after="0"/>
              <w:rPr>
                <w:sz w:val="14"/>
                <w:szCs w:val="14"/>
                <w:color w:val="auto"/>
              </w:rPr>
            </w:pPr>
          </w:p>
        </w:tc>
        <w:tc>
          <w:tcPr>
            <w:tcW w:w="180" w:type="dxa"/>
            <w:vAlign w:val="bottom"/>
            <w:tcBorders>
              <w:top w:val="single" w:sz="8" w:color="D0EBF2"/>
            </w:tcBorders>
            <w:shd w:val="clear" w:color="auto" w:fill="D0EBF2"/>
          </w:tcPr>
          <w:p>
            <w:pPr>
              <w:spacing w:after="0"/>
              <w:rPr>
                <w:sz w:val="14"/>
                <w:szCs w:val="14"/>
                <w:color w:val="auto"/>
              </w:rPr>
            </w:pPr>
          </w:p>
        </w:tc>
        <w:tc>
          <w:tcPr>
            <w:tcW w:w="960" w:type="dxa"/>
            <w:vAlign w:val="bottom"/>
            <w:tcBorders>
              <w:top w:val="single" w:sz="8" w:color="231F20"/>
            </w:tcBorders>
            <w:shd w:val="clear" w:color="auto" w:fill="D0EBF2"/>
          </w:tcPr>
          <w:p>
            <w:pPr>
              <w:spacing w:after="0"/>
              <w:rPr>
                <w:sz w:val="14"/>
                <w:szCs w:val="14"/>
                <w:color w:val="auto"/>
              </w:rPr>
            </w:pPr>
          </w:p>
        </w:tc>
        <w:tc>
          <w:tcPr>
            <w:tcW w:w="200" w:type="dxa"/>
            <w:vAlign w:val="bottom"/>
            <w:tcBorders>
              <w:top w:val="single" w:sz="8" w:color="D0EBF2"/>
            </w:tcBorders>
            <w:shd w:val="clear" w:color="auto" w:fill="D0EBF2"/>
          </w:tcPr>
          <w:p>
            <w:pPr>
              <w:spacing w:after="0"/>
              <w:rPr>
                <w:sz w:val="14"/>
                <w:szCs w:val="14"/>
                <w:color w:val="auto"/>
              </w:rPr>
            </w:pPr>
          </w:p>
        </w:tc>
        <w:tc>
          <w:tcPr>
            <w:tcW w:w="900" w:type="dxa"/>
            <w:vAlign w:val="bottom"/>
            <w:tcBorders>
              <w:top w:val="single" w:sz="8" w:color="231F20"/>
            </w:tcBorders>
            <w:shd w:val="clear" w:color="auto" w:fill="D0EBF2"/>
          </w:tcPr>
          <w:p>
            <w:pPr>
              <w:spacing w:after="0"/>
              <w:rPr>
                <w:sz w:val="14"/>
                <w:szCs w:val="14"/>
                <w:color w:val="auto"/>
              </w:rPr>
            </w:pPr>
          </w:p>
        </w:tc>
        <w:tc>
          <w:tcPr>
            <w:tcW w:w="240" w:type="dxa"/>
            <w:vAlign w:val="bottom"/>
            <w:tcBorders>
              <w:top w:val="single" w:sz="8" w:color="D0EBF2"/>
            </w:tcBorders>
            <w:shd w:val="clear" w:color="auto" w:fill="D0EBF2"/>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1440" w:type="dxa"/>
            <w:vAlign w:val="bottom"/>
            <w:shd w:val="clear" w:color="auto" w:fill="FDFDFC"/>
          </w:tcPr>
          <w:p>
            <w:pPr>
              <w:spacing w:after="0" w:line="159" w:lineRule="exact"/>
              <w:rPr>
                <w:sz w:val="20"/>
                <w:szCs w:val="20"/>
                <w:color w:val="auto"/>
              </w:rPr>
            </w:pPr>
            <w:r>
              <w:rPr>
                <w:rFonts w:ascii="Times New Roman" w:cs="Times New Roman" w:eastAsia="Times New Roman" w:hAnsi="Times New Roman"/>
                <w:sz w:val="15"/>
                <w:szCs w:val="15"/>
                <w:color w:val="231F20"/>
              </w:rPr>
              <w:t>AF Eagle Parent,</w:t>
            </w:r>
          </w:p>
        </w:tc>
        <w:tc>
          <w:tcPr>
            <w:tcW w:w="2440" w:type="dxa"/>
            <w:vAlign w:val="bottom"/>
            <w:shd w:val="clear" w:color="auto" w:fill="FDFDFC"/>
          </w:tcPr>
          <w:p>
            <w:pPr>
              <w:ind w:left="80"/>
              <w:spacing w:after="0" w:line="159" w:lineRule="exact"/>
              <w:rPr>
                <w:sz w:val="20"/>
                <w:szCs w:val="20"/>
                <w:color w:val="auto"/>
              </w:rPr>
            </w:pPr>
            <w:r>
              <w:rPr>
                <w:rFonts w:ascii="Times New Roman" w:cs="Times New Roman" w:eastAsia="Times New Roman" w:hAnsi="Times New Roman"/>
                <w:sz w:val="15"/>
                <w:szCs w:val="15"/>
                <w:color w:val="231F20"/>
              </w:rPr>
              <w:t>Partnership (121,329 units)</w:t>
            </w:r>
          </w:p>
        </w:tc>
        <w:tc>
          <w:tcPr>
            <w:tcW w:w="820" w:type="dxa"/>
            <w:vAlign w:val="bottom"/>
            <w:shd w:val="clear" w:color="auto" w:fill="FDFDFC"/>
          </w:tcPr>
          <w:p>
            <w:pPr>
              <w:jc w:val="right"/>
              <w:spacing w:after="0" w:line="159" w:lineRule="exact"/>
              <w:rPr>
                <w:sz w:val="20"/>
                <w:szCs w:val="20"/>
                <w:color w:val="auto"/>
              </w:rPr>
            </w:pPr>
            <w:r>
              <w:rPr>
                <w:rFonts w:ascii="Times New Roman" w:cs="Times New Roman" w:eastAsia="Times New Roman" w:hAnsi="Times New Roman"/>
                <w:sz w:val="15"/>
                <w:szCs w:val="15"/>
                <w:color w:val="231F20"/>
              </w:rPr>
              <w:t>11/27/2023</w:t>
            </w:r>
          </w:p>
        </w:tc>
        <w:tc>
          <w:tcPr>
            <w:tcW w:w="20" w:type="dxa"/>
            <w:vAlign w:val="bottom"/>
          </w:tcPr>
          <w:p>
            <w:pPr>
              <w:spacing w:after="0"/>
              <w:rPr>
                <w:sz w:val="13"/>
                <w:szCs w:val="13"/>
                <w:color w:val="auto"/>
              </w:rPr>
            </w:pPr>
          </w:p>
        </w:tc>
        <w:tc>
          <w:tcPr>
            <w:tcW w:w="2080" w:type="dxa"/>
            <w:vAlign w:val="bottom"/>
            <w:shd w:val="clear" w:color="auto" w:fill="FDFDFC"/>
          </w:tcPr>
          <w:p>
            <w:pPr>
              <w:spacing w:after="0"/>
              <w:rPr>
                <w:sz w:val="13"/>
                <w:szCs w:val="13"/>
                <w:color w:val="auto"/>
              </w:rPr>
            </w:pPr>
          </w:p>
        </w:tc>
        <w:tc>
          <w:tcPr>
            <w:tcW w:w="1000" w:type="dxa"/>
            <w:vAlign w:val="bottom"/>
            <w:shd w:val="clear" w:color="auto" w:fill="FDFDFC"/>
          </w:tcPr>
          <w:p>
            <w:pPr>
              <w:jc w:val="right"/>
              <w:spacing w:after="0" w:line="159" w:lineRule="exact"/>
              <w:rPr>
                <w:sz w:val="20"/>
                <w:szCs w:val="20"/>
                <w:color w:val="auto"/>
              </w:rPr>
            </w:pPr>
            <w:r>
              <w:rPr>
                <w:rFonts w:ascii="Times New Roman" w:cs="Times New Roman" w:eastAsia="Times New Roman" w:hAnsi="Times New Roman"/>
                <w:sz w:val="15"/>
                <w:szCs w:val="15"/>
                <w:color w:val="231F20"/>
              </w:rPr>
              <w:t>4,091</w:t>
            </w:r>
          </w:p>
        </w:tc>
        <w:tc>
          <w:tcPr>
            <w:tcW w:w="180" w:type="dxa"/>
            <w:vAlign w:val="bottom"/>
            <w:shd w:val="clear" w:color="auto" w:fill="FDFDFC"/>
          </w:tcPr>
          <w:p>
            <w:pPr>
              <w:spacing w:after="0"/>
              <w:rPr>
                <w:sz w:val="13"/>
                <w:szCs w:val="13"/>
                <w:color w:val="auto"/>
              </w:rPr>
            </w:pPr>
          </w:p>
        </w:tc>
        <w:tc>
          <w:tcPr>
            <w:tcW w:w="960" w:type="dxa"/>
            <w:vAlign w:val="bottom"/>
            <w:shd w:val="clear" w:color="auto" w:fill="FDFDFC"/>
          </w:tcPr>
          <w:p>
            <w:pPr>
              <w:jc w:val="right"/>
              <w:spacing w:after="0" w:line="159" w:lineRule="exact"/>
              <w:rPr>
                <w:sz w:val="20"/>
                <w:szCs w:val="20"/>
                <w:color w:val="auto"/>
              </w:rPr>
            </w:pPr>
            <w:r>
              <w:rPr>
                <w:rFonts w:ascii="Times New Roman" w:cs="Times New Roman" w:eastAsia="Times New Roman" w:hAnsi="Times New Roman"/>
                <w:sz w:val="15"/>
                <w:szCs w:val="15"/>
                <w:color w:val="231F20"/>
              </w:rPr>
              <w:t>4,091</w:t>
            </w:r>
          </w:p>
        </w:tc>
        <w:tc>
          <w:tcPr>
            <w:tcW w:w="200" w:type="dxa"/>
            <w:vAlign w:val="bottom"/>
            <w:shd w:val="clear" w:color="auto" w:fill="FDFDFC"/>
          </w:tcPr>
          <w:p>
            <w:pPr>
              <w:spacing w:after="0"/>
              <w:rPr>
                <w:sz w:val="13"/>
                <w:szCs w:val="13"/>
                <w:color w:val="auto"/>
              </w:rPr>
            </w:pPr>
          </w:p>
        </w:tc>
        <w:tc>
          <w:tcPr>
            <w:tcW w:w="1140" w:type="dxa"/>
            <w:vAlign w:val="bottom"/>
            <w:gridSpan w:val="2"/>
            <w:shd w:val="clear" w:color="auto" w:fill="FDFDFC"/>
          </w:tcPr>
          <w:p>
            <w:pPr>
              <w:jc w:val="right"/>
              <w:ind w:right="120"/>
              <w:spacing w:after="0" w:line="159" w:lineRule="exact"/>
              <w:rPr>
                <w:sz w:val="20"/>
                <w:szCs w:val="20"/>
                <w:color w:val="auto"/>
              </w:rPr>
            </w:pPr>
            <w:r>
              <w:rPr>
                <w:rFonts w:ascii="Times New Roman" w:cs="Times New Roman" w:eastAsia="Times New Roman" w:hAnsi="Times New Roman"/>
                <w:sz w:val="15"/>
                <w:szCs w:val="15"/>
                <w:color w:val="231F20"/>
              </w:rPr>
              <w:t>0.3%</w:t>
            </w:r>
          </w:p>
        </w:tc>
        <w:tc>
          <w:tcPr>
            <w:tcW w:w="0" w:type="dxa"/>
            <w:vAlign w:val="bottom"/>
          </w:tcPr>
          <w:p>
            <w:pPr>
              <w:spacing w:after="0"/>
              <w:rPr>
                <w:sz w:val="1"/>
                <w:szCs w:val="1"/>
                <w:color w:val="auto"/>
              </w:rPr>
            </w:pPr>
          </w:p>
        </w:tc>
      </w:tr>
      <w:tr>
        <w:trPr>
          <w:trHeight w:val="189"/>
        </w:trPr>
        <w:tc>
          <w:tcPr>
            <w:tcW w:w="1440" w:type="dxa"/>
            <w:vAlign w:val="bottom"/>
            <w:shd w:val="clear" w:color="auto" w:fill="FDFDFC"/>
          </w:tcPr>
          <w:p>
            <w:pPr>
              <w:spacing w:after="0" w:line="190" w:lineRule="exact"/>
              <w:rPr>
                <w:sz w:val="20"/>
                <w:szCs w:val="20"/>
                <w:color w:val="auto"/>
              </w:rPr>
            </w:pPr>
            <w:r>
              <w:rPr>
                <w:rFonts w:ascii="Times New Roman" w:cs="Times New Roman" w:eastAsia="Times New Roman" w:hAnsi="Times New Roman"/>
                <w:sz w:val="21"/>
                <w:szCs w:val="21"/>
                <w:color w:val="231F20"/>
                <w:vertAlign w:val="subscript"/>
              </w:rPr>
              <w:t>L.P.</w:t>
            </w:r>
            <w:r>
              <w:rPr>
                <w:rFonts w:ascii="Times New Roman" w:cs="Times New Roman" w:eastAsia="Times New Roman" w:hAnsi="Times New Roman"/>
                <w:sz w:val="8"/>
                <w:szCs w:val="8"/>
                <w:color w:val="231F20"/>
              </w:rPr>
              <w:t>(11)(12)</w:t>
            </w:r>
          </w:p>
        </w:tc>
        <w:tc>
          <w:tcPr>
            <w:tcW w:w="2440" w:type="dxa"/>
            <w:vAlign w:val="bottom"/>
            <w:shd w:val="clear" w:color="auto" w:fill="FDFDFC"/>
          </w:tcPr>
          <w:p>
            <w:pPr>
              <w:spacing w:after="0"/>
              <w:rPr>
                <w:sz w:val="16"/>
                <w:szCs w:val="16"/>
                <w:color w:val="auto"/>
              </w:rPr>
            </w:pPr>
          </w:p>
        </w:tc>
        <w:tc>
          <w:tcPr>
            <w:tcW w:w="820" w:type="dxa"/>
            <w:vAlign w:val="bottom"/>
            <w:shd w:val="clear" w:color="auto" w:fill="FDFDFC"/>
          </w:tcPr>
          <w:p>
            <w:pPr>
              <w:spacing w:after="0"/>
              <w:rPr>
                <w:sz w:val="16"/>
                <w:szCs w:val="16"/>
                <w:color w:val="auto"/>
              </w:rPr>
            </w:pPr>
          </w:p>
        </w:tc>
        <w:tc>
          <w:tcPr>
            <w:tcW w:w="20" w:type="dxa"/>
            <w:vAlign w:val="bottom"/>
          </w:tcPr>
          <w:p>
            <w:pPr>
              <w:spacing w:after="0"/>
              <w:rPr>
                <w:sz w:val="16"/>
                <w:szCs w:val="16"/>
                <w:color w:val="auto"/>
              </w:rPr>
            </w:pPr>
          </w:p>
        </w:tc>
        <w:tc>
          <w:tcPr>
            <w:tcW w:w="2080" w:type="dxa"/>
            <w:vAlign w:val="bottom"/>
            <w:shd w:val="clear" w:color="auto" w:fill="FDFDFC"/>
          </w:tcPr>
          <w:p>
            <w:pPr>
              <w:spacing w:after="0"/>
              <w:rPr>
                <w:sz w:val="16"/>
                <w:szCs w:val="16"/>
                <w:color w:val="auto"/>
              </w:rPr>
            </w:pPr>
          </w:p>
        </w:tc>
        <w:tc>
          <w:tcPr>
            <w:tcW w:w="1000" w:type="dxa"/>
            <w:vAlign w:val="bottom"/>
            <w:shd w:val="clear" w:color="auto" w:fill="FDFDFC"/>
          </w:tcPr>
          <w:p>
            <w:pPr>
              <w:spacing w:after="0"/>
              <w:rPr>
                <w:sz w:val="16"/>
                <w:szCs w:val="16"/>
                <w:color w:val="auto"/>
              </w:rPr>
            </w:pPr>
          </w:p>
        </w:tc>
        <w:tc>
          <w:tcPr>
            <w:tcW w:w="180" w:type="dxa"/>
            <w:vAlign w:val="bottom"/>
            <w:shd w:val="clear" w:color="auto" w:fill="FDFDFC"/>
          </w:tcPr>
          <w:p>
            <w:pPr>
              <w:spacing w:after="0"/>
              <w:rPr>
                <w:sz w:val="16"/>
                <w:szCs w:val="16"/>
                <w:color w:val="auto"/>
              </w:rPr>
            </w:pPr>
          </w:p>
        </w:tc>
        <w:tc>
          <w:tcPr>
            <w:tcW w:w="960" w:type="dxa"/>
            <w:vAlign w:val="bottom"/>
            <w:shd w:val="clear" w:color="auto" w:fill="FDFDFC"/>
          </w:tcPr>
          <w:p>
            <w:pPr>
              <w:spacing w:after="0"/>
              <w:rPr>
                <w:sz w:val="16"/>
                <w:szCs w:val="16"/>
                <w:color w:val="auto"/>
              </w:rPr>
            </w:pPr>
          </w:p>
        </w:tc>
        <w:tc>
          <w:tcPr>
            <w:tcW w:w="200" w:type="dxa"/>
            <w:vAlign w:val="bottom"/>
            <w:shd w:val="clear" w:color="auto" w:fill="FDFDFC"/>
          </w:tcPr>
          <w:p>
            <w:pPr>
              <w:spacing w:after="0"/>
              <w:rPr>
                <w:sz w:val="16"/>
                <w:szCs w:val="16"/>
                <w:color w:val="auto"/>
              </w:rPr>
            </w:pPr>
          </w:p>
        </w:tc>
        <w:tc>
          <w:tcPr>
            <w:tcW w:w="900" w:type="dxa"/>
            <w:vAlign w:val="bottom"/>
            <w:shd w:val="clear" w:color="auto" w:fill="FDFDFC"/>
          </w:tcPr>
          <w:p>
            <w:pPr>
              <w:spacing w:after="0"/>
              <w:rPr>
                <w:sz w:val="16"/>
                <w:szCs w:val="16"/>
                <w:color w:val="auto"/>
              </w:rPr>
            </w:pPr>
          </w:p>
        </w:tc>
        <w:tc>
          <w:tcPr>
            <w:tcW w:w="240" w:type="dxa"/>
            <w:vAlign w:val="bottom"/>
            <w:shd w:val="clear" w:color="auto" w:fill="FDFDFC"/>
          </w:tcPr>
          <w:p>
            <w:pPr>
              <w:spacing w:after="0"/>
              <w:rPr>
                <w:sz w:val="16"/>
                <w:szCs w:val="16"/>
                <w:color w:val="auto"/>
              </w:rPr>
            </w:pPr>
          </w:p>
        </w:tc>
        <w:tc>
          <w:tcPr>
            <w:tcW w:w="0" w:type="dxa"/>
            <w:vAlign w:val="bottom"/>
          </w:tcPr>
          <w:p>
            <w:pPr>
              <w:spacing w:after="0"/>
              <w:rPr>
                <w:sz w:val="1"/>
                <w:szCs w:val="1"/>
                <w:color w:val="auto"/>
              </w:rPr>
            </w:pPr>
          </w:p>
        </w:tc>
      </w:tr>
      <w:tr>
        <w:trPr>
          <w:trHeight w:val="158"/>
        </w:trPr>
        <w:tc>
          <w:tcPr>
            <w:tcW w:w="1440" w:type="dxa"/>
            <w:vAlign w:val="bottom"/>
            <w:shd w:val="clear" w:color="auto" w:fill="D0EBF2"/>
          </w:tcPr>
          <w:p>
            <w:pPr>
              <w:spacing w:after="0" w:line="159" w:lineRule="exact"/>
              <w:rPr>
                <w:sz w:val="20"/>
                <w:szCs w:val="20"/>
                <w:color w:val="auto"/>
              </w:rPr>
            </w:pPr>
            <w:r>
              <w:rPr>
                <w:rFonts w:ascii="Times New Roman" w:cs="Times New Roman" w:eastAsia="Times New Roman" w:hAnsi="Times New Roman"/>
                <w:sz w:val="15"/>
                <w:szCs w:val="15"/>
                <w:color w:val="231F20"/>
              </w:rPr>
              <w:t>CLGF Holdco 2,</w:t>
            </w:r>
          </w:p>
        </w:tc>
        <w:tc>
          <w:tcPr>
            <w:tcW w:w="2440" w:type="dxa"/>
            <w:vAlign w:val="bottom"/>
            <w:shd w:val="clear" w:color="auto" w:fill="D0EBF2"/>
          </w:tcPr>
          <w:p>
            <w:pPr>
              <w:ind w:left="80"/>
              <w:spacing w:after="0" w:line="159" w:lineRule="exact"/>
              <w:rPr>
                <w:sz w:val="20"/>
                <w:szCs w:val="20"/>
                <w:color w:val="auto"/>
              </w:rPr>
            </w:pPr>
            <w:r>
              <w:rPr>
                <w:rFonts w:ascii="Times New Roman" w:cs="Times New Roman" w:eastAsia="Times New Roman" w:hAnsi="Times New Roman"/>
                <w:sz w:val="15"/>
                <w:szCs w:val="15"/>
                <w:color w:val="231F20"/>
              </w:rPr>
              <w:t>334,682 Warrants</w:t>
            </w:r>
          </w:p>
        </w:tc>
        <w:tc>
          <w:tcPr>
            <w:tcW w:w="820" w:type="dxa"/>
            <w:vAlign w:val="bottom"/>
            <w:shd w:val="clear" w:color="auto" w:fill="D0EBF2"/>
          </w:tcPr>
          <w:p>
            <w:pPr>
              <w:jc w:val="right"/>
              <w:spacing w:after="0" w:line="159" w:lineRule="exact"/>
              <w:rPr>
                <w:sz w:val="20"/>
                <w:szCs w:val="20"/>
                <w:color w:val="auto"/>
              </w:rPr>
            </w:pPr>
            <w:r>
              <w:rPr>
                <w:rFonts w:ascii="Times New Roman" w:cs="Times New Roman" w:eastAsia="Times New Roman" w:hAnsi="Times New Roman"/>
                <w:sz w:val="15"/>
                <w:szCs w:val="15"/>
                <w:color w:val="231F20"/>
              </w:rPr>
              <w:t>11/7/2023</w:t>
            </w:r>
          </w:p>
        </w:tc>
        <w:tc>
          <w:tcPr>
            <w:tcW w:w="20" w:type="dxa"/>
            <w:vAlign w:val="bottom"/>
          </w:tcPr>
          <w:p>
            <w:pPr>
              <w:spacing w:after="0"/>
              <w:rPr>
                <w:sz w:val="13"/>
                <w:szCs w:val="13"/>
                <w:color w:val="auto"/>
              </w:rPr>
            </w:pPr>
          </w:p>
        </w:tc>
        <w:tc>
          <w:tcPr>
            <w:tcW w:w="3080" w:type="dxa"/>
            <w:vAlign w:val="bottom"/>
            <w:gridSpan w:val="2"/>
            <w:shd w:val="clear" w:color="auto" w:fill="D0EBF2"/>
          </w:tcPr>
          <w:p>
            <w:pPr>
              <w:jc w:val="right"/>
              <w:spacing w:after="0" w:line="159" w:lineRule="exact"/>
              <w:rPr>
                <w:sz w:val="20"/>
                <w:szCs w:val="20"/>
                <w:color w:val="auto"/>
              </w:rPr>
            </w:pPr>
            <w:r>
              <w:rPr>
                <w:rFonts w:ascii="Times New Roman" w:cs="Times New Roman" w:eastAsia="Times New Roman" w:hAnsi="Times New Roman"/>
                <w:sz w:val="15"/>
                <w:szCs w:val="15"/>
                <w:color w:val="231F20"/>
              </w:rPr>
              <w:t>183</w:t>
            </w:r>
          </w:p>
        </w:tc>
        <w:tc>
          <w:tcPr>
            <w:tcW w:w="1140" w:type="dxa"/>
            <w:vAlign w:val="bottom"/>
            <w:gridSpan w:val="2"/>
            <w:shd w:val="clear" w:color="auto" w:fill="D0EBF2"/>
          </w:tcPr>
          <w:p>
            <w:pPr>
              <w:jc w:val="right"/>
              <w:spacing w:after="0" w:line="159" w:lineRule="exact"/>
              <w:rPr>
                <w:sz w:val="20"/>
                <w:szCs w:val="20"/>
                <w:color w:val="auto"/>
              </w:rPr>
            </w:pPr>
            <w:r>
              <w:rPr>
                <w:rFonts w:ascii="Times New Roman" w:cs="Times New Roman" w:eastAsia="Times New Roman" w:hAnsi="Times New Roman"/>
                <w:sz w:val="15"/>
                <w:szCs w:val="15"/>
                <w:color w:val="231F20"/>
              </w:rPr>
              <w:t>183</w:t>
            </w:r>
          </w:p>
        </w:tc>
        <w:tc>
          <w:tcPr>
            <w:tcW w:w="1340" w:type="dxa"/>
            <w:vAlign w:val="bottom"/>
            <w:gridSpan w:val="3"/>
            <w:shd w:val="clear" w:color="auto" w:fill="D0EBF2"/>
          </w:tcPr>
          <w:p>
            <w:pPr>
              <w:jc w:val="right"/>
              <w:ind w:right="120"/>
              <w:spacing w:after="0" w:line="159" w:lineRule="exact"/>
              <w:rPr>
                <w:sz w:val="20"/>
                <w:szCs w:val="20"/>
                <w:color w:val="auto"/>
              </w:rPr>
            </w:pPr>
            <w:r>
              <w:rPr>
                <w:rFonts w:ascii="Times New Roman" w:cs="Times New Roman" w:eastAsia="Times New Roman" w:hAnsi="Times New Roman"/>
                <w:sz w:val="15"/>
                <w:szCs w:val="15"/>
                <w:color w:val="231F20"/>
              </w:rPr>
              <w:t>0.0%</w:t>
            </w:r>
          </w:p>
        </w:tc>
        <w:tc>
          <w:tcPr>
            <w:tcW w:w="0" w:type="dxa"/>
            <w:vAlign w:val="bottom"/>
          </w:tcPr>
          <w:p>
            <w:pPr>
              <w:spacing w:after="0"/>
              <w:rPr>
                <w:sz w:val="1"/>
                <w:szCs w:val="1"/>
                <w:color w:val="auto"/>
              </w:rPr>
            </w:pPr>
          </w:p>
        </w:tc>
      </w:tr>
      <w:tr>
        <w:trPr>
          <w:trHeight w:val="189"/>
        </w:trPr>
        <w:tc>
          <w:tcPr>
            <w:tcW w:w="1440" w:type="dxa"/>
            <w:vAlign w:val="bottom"/>
            <w:shd w:val="clear" w:color="auto" w:fill="D0EBF2"/>
          </w:tcPr>
          <w:p>
            <w:pPr>
              <w:spacing w:after="0" w:line="190" w:lineRule="exact"/>
              <w:rPr>
                <w:sz w:val="20"/>
                <w:szCs w:val="20"/>
                <w:color w:val="auto"/>
              </w:rPr>
            </w:pPr>
            <w:r>
              <w:rPr>
                <w:rFonts w:ascii="Times New Roman" w:cs="Times New Roman" w:eastAsia="Times New Roman" w:hAnsi="Times New Roman"/>
                <w:sz w:val="21"/>
                <w:szCs w:val="21"/>
                <w:color w:val="231F20"/>
                <w:vertAlign w:val="subscript"/>
              </w:rPr>
              <w:t>LLC</w:t>
            </w:r>
            <w:r>
              <w:rPr>
                <w:rFonts w:ascii="Times New Roman" w:cs="Times New Roman" w:eastAsia="Times New Roman" w:hAnsi="Times New Roman"/>
                <w:sz w:val="8"/>
                <w:szCs w:val="8"/>
                <w:color w:val="231F20"/>
              </w:rPr>
              <w:t>(4)(11)(12)</w:t>
            </w:r>
          </w:p>
        </w:tc>
        <w:tc>
          <w:tcPr>
            <w:tcW w:w="2440" w:type="dxa"/>
            <w:vAlign w:val="bottom"/>
            <w:shd w:val="clear" w:color="auto" w:fill="D0EBF2"/>
          </w:tcPr>
          <w:p>
            <w:pPr>
              <w:spacing w:after="0"/>
              <w:rPr>
                <w:sz w:val="16"/>
                <w:szCs w:val="16"/>
                <w:color w:val="auto"/>
              </w:rPr>
            </w:pPr>
          </w:p>
        </w:tc>
        <w:tc>
          <w:tcPr>
            <w:tcW w:w="820" w:type="dxa"/>
            <w:vAlign w:val="bottom"/>
            <w:shd w:val="clear" w:color="auto" w:fill="D0EBF2"/>
          </w:tcPr>
          <w:p>
            <w:pPr>
              <w:spacing w:after="0"/>
              <w:rPr>
                <w:sz w:val="16"/>
                <w:szCs w:val="16"/>
                <w:color w:val="auto"/>
              </w:rPr>
            </w:pPr>
          </w:p>
        </w:tc>
        <w:tc>
          <w:tcPr>
            <w:tcW w:w="20" w:type="dxa"/>
            <w:vAlign w:val="bottom"/>
          </w:tcPr>
          <w:p>
            <w:pPr>
              <w:spacing w:after="0"/>
              <w:rPr>
                <w:sz w:val="16"/>
                <w:szCs w:val="16"/>
                <w:color w:val="auto"/>
              </w:rPr>
            </w:pPr>
          </w:p>
        </w:tc>
        <w:tc>
          <w:tcPr>
            <w:tcW w:w="2080" w:type="dxa"/>
            <w:vAlign w:val="bottom"/>
            <w:shd w:val="clear" w:color="auto" w:fill="D0EBF2"/>
          </w:tcPr>
          <w:p>
            <w:pPr>
              <w:spacing w:after="0"/>
              <w:rPr>
                <w:sz w:val="16"/>
                <w:szCs w:val="16"/>
                <w:color w:val="auto"/>
              </w:rPr>
            </w:pPr>
          </w:p>
        </w:tc>
        <w:tc>
          <w:tcPr>
            <w:tcW w:w="1000" w:type="dxa"/>
            <w:vAlign w:val="bottom"/>
            <w:shd w:val="clear" w:color="auto" w:fill="D0EBF2"/>
          </w:tcPr>
          <w:p>
            <w:pPr>
              <w:spacing w:after="0"/>
              <w:rPr>
                <w:sz w:val="16"/>
                <w:szCs w:val="16"/>
                <w:color w:val="auto"/>
              </w:rPr>
            </w:pPr>
          </w:p>
        </w:tc>
        <w:tc>
          <w:tcPr>
            <w:tcW w:w="180" w:type="dxa"/>
            <w:vAlign w:val="bottom"/>
            <w:shd w:val="clear" w:color="auto" w:fill="D0EBF2"/>
          </w:tcPr>
          <w:p>
            <w:pPr>
              <w:spacing w:after="0"/>
              <w:rPr>
                <w:sz w:val="16"/>
                <w:szCs w:val="16"/>
                <w:color w:val="auto"/>
              </w:rPr>
            </w:pPr>
          </w:p>
        </w:tc>
        <w:tc>
          <w:tcPr>
            <w:tcW w:w="960" w:type="dxa"/>
            <w:vAlign w:val="bottom"/>
            <w:shd w:val="clear" w:color="auto" w:fill="D0EBF2"/>
          </w:tcPr>
          <w:p>
            <w:pPr>
              <w:spacing w:after="0"/>
              <w:rPr>
                <w:sz w:val="16"/>
                <w:szCs w:val="16"/>
                <w:color w:val="auto"/>
              </w:rPr>
            </w:pPr>
          </w:p>
        </w:tc>
        <w:tc>
          <w:tcPr>
            <w:tcW w:w="200" w:type="dxa"/>
            <w:vAlign w:val="bottom"/>
            <w:shd w:val="clear" w:color="auto" w:fill="D0EBF2"/>
          </w:tcPr>
          <w:p>
            <w:pPr>
              <w:spacing w:after="0"/>
              <w:rPr>
                <w:sz w:val="16"/>
                <w:szCs w:val="16"/>
                <w:color w:val="auto"/>
              </w:rPr>
            </w:pPr>
          </w:p>
        </w:tc>
        <w:tc>
          <w:tcPr>
            <w:tcW w:w="900" w:type="dxa"/>
            <w:vAlign w:val="bottom"/>
            <w:shd w:val="clear" w:color="auto" w:fill="D0EBF2"/>
          </w:tcPr>
          <w:p>
            <w:pPr>
              <w:spacing w:after="0"/>
              <w:rPr>
                <w:sz w:val="16"/>
                <w:szCs w:val="16"/>
                <w:color w:val="auto"/>
              </w:rPr>
            </w:pPr>
          </w:p>
        </w:tc>
        <w:tc>
          <w:tcPr>
            <w:tcW w:w="240" w:type="dxa"/>
            <w:vAlign w:val="bottom"/>
            <w:shd w:val="clear" w:color="auto" w:fill="D0EBF2"/>
          </w:tcPr>
          <w:p>
            <w:pPr>
              <w:spacing w:after="0"/>
              <w:rPr>
                <w:sz w:val="16"/>
                <w:szCs w:val="16"/>
                <w:color w:val="auto"/>
              </w:rPr>
            </w:pPr>
          </w:p>
        </w:tc>
        <w:tc>
          <w:tcPr>
            <w:tcW w:w="0" w:type="dxa"/>
            <w:vAlign w:val="bottom"/>
          </w:tcPr>
          <w:p>
            <w:pPr>
              <w:spacing w:after="0"/>
              <w:rPr>
                <w:sz w:val="1"/>
                <w:szCs w:val="1"/>
                <w:color w:val="auto"/>
              </w:rPr>
            </w:pPr>
          </w:p>
        </w:tc>
      </w:tr>
      <w:tr>
        <w:trPr>
          <w:trHeight w:val="158"/>
        </w:trPr>
        <w:tc>
          <w:tcPr>
            <w:tcW w:w="1440" w:type="dxa"/>
            <w:vAlign w:val="bottom"/>
            <w:shd w:val="clear" w:color="auto" w:fill="FDFDFC"/>
          </w:tcPr>
          <w:p>
            <w:pPr>
              <w:spacing w:after="0" w:line="159" w:lineRule="exact"/>
              <w:rPr>
                <w:sz w:val="20"/>
                <w:szCs w:val="20"/>
                <w:color w:val="auto"/>
              </w:rPr>
            </w:pPr>
            <w:r>
              <w:rPr>
                <w:rFonts w:ascii="Times New Roman" w:cs="Times New Roman" w:eastAsia="Times New Roman" w:hAnsi="Times New Roman"/>
                <w:sz w:val="15"/>
                <w:szCs w:val="15"/>
                <w:color w:val="231F20"/>
              </w:rPr>
              <w:t>Newport Parent</w:t>
            </w:r>
          </w:p>
        </w:tc>
        <w:tc>
          <w:tcPr>
            <w:tcW w:w="2440" w:type="dxa"/>
            <w:vAlign w:val="bottom"/>
            <w:shd w:val="clear" w:color="auto" w:fill="FDFDFC"/>
          </w:tcPr>
          <w:p>
            <w:pPr>
              <w:ind w:left="80"/>
              <w:spacing w:after="0" w:line="159" w:lineRule="exact"/>
              <w:rPr>
                <w:sz w:val="20"/>
                <w:szCs w:val="20"/>
                <w:color w:val="auto"/>
              </w:rPr>
            </w:pPr>
            <w:r>
              <w:rPr>
                <w:rFonts w:ascii="Times New Roman" w:cs="Times New Roman" w:eastAsia="Times New Roman" w:hAnsi="Times New Roman"/>
                <w:sz w:val="15"/>
                <w:szCs w:val="15"/>
                <w:color w:val="231F20"/>
              </w:rPr>
              <w:t>Class A-2 Units (131,569 units)</w:t>
            </w:r>
          </w:p>
        </w:tc>
        <w:tc>
          <w:tcPr>
            <w:tcW w:w="820" w:type="dxa"/>
            <w:vAlign w:val="bottom"/>
            <w:shd w:val="clear" w:color="auto" w:fill="FDFDFC"/>
          </w:tcPr>
          <w:p>
            <w:pPr>
              <w:jc w:val="right"/>
              <w:spacing w:after="0" w:line="159" w:lineRule="exact"/>
              <w:rPr>
                <w:sz w:val="20"/>
                <w:szCs w:val="20"/>
                <w:color w:val="auto"/>
              </w:rPr>
            </w:pPr>
            <w:r>
              <w:rPr>
                <w:rFonts w:ascii="Times New Roman" w:cs="Times New Roman" w:eastAsia="Times New Roman" w:hAnsi="Times New Roman"/>
                <w:sz w:val="15"/>
                <w:szCs w:val="15"/>
                <w:color w:val="231F20"/>
              </w:rPr>
              <w:t>12/10/2020</w:t>
            </w:r>
          </w:p>
        </w:tc>
        <w:tc>
          <w:tcPr>
            <w:tcW w:w="20" w:type="dxa"/>
            <w:vAlign w:val="bottom"/>
          </w:tcPr>
          <w:p>
            <w:pPr>
              <w:spacing w:after="0"/>
              <w:rPr>
                <w:sz w:val="13"/>
                <w:szCs w:val="13"/>
                <w:color w:val="auto"/>
              </w:rPr>
            </w:pPr>
          </w:p>
        </w:tc>
        <w:tc>
          <w:tcPr>
            <w:tcW w:w="3080" w:type="dxa"/>
            <w:vAlign w:val="bottom"/>
            <w:gridSpan w:val="2"/>
            <w:shd w:val="clear" w:color="auto" w:fill="FDFDFC"/>
          </w:tcPr>
          <w:p>
            <w:pPr>
              <w:jc w:val="right"/>
              <w:spacing w:after="0" w:line="159" w:lineRule="exact"/>
              <w:rPr>
                <w:sz w:val="20"/>
                <w:szCs w:val="20"/>
                <w:color w:val="auto"/>
              </w:rPr>
            </w:pPr>
            <w:r>
              <w:rPr>
                <w:rFonts w:ascii="Times New Roman" w:cs="Times New Roman" w:eastAsia="Times New Roman" w:hAnsi="Times New Roman"/>
                <w:sz w:val="15"/>
                <w:szCs w:val="15"/>
                <w:color w:val="231F20"/>
              </w:rPr>
              <w:t>4,177</w:t>
            </w:r>
          </w:p>
        </w:tc>
        <w:tc>
          <w:tcPr>
            <w:tcW w:w="1140" w:type="dxa"/>
            <w:vAlign w:val="bottom"/>
            <w:gridSpan w:val="2"/>
            <w:shd w:val="clear" w:color="auto" w:fill="FDFDFC"/>
          </w:tcPr>
          <w:p>
            <w:pPr>
              <w:jc w:val="right"/>
              <w:spacing w:after="0" w:line="159" w:lineRule="exact"/>
              <w:rPr>
                <w:sz w:val="20"/>
                <w:szCs w:val="20"/>
                <w:color w:val="auto"/>
              </w:rPr>
            </w:pPr>
            <w:r>
              <w:rPr>
                <w:rFonts w:ascii="Times New Roman" w:cs="Times New Roman" w:eastAsia="Times New Roman" w:hAnsi="Times New Roman"/>
                <w:sz w:val="15"/>
                <w:szCs w:val="15"/>
                <w:color w:val="231F20"/>
              </w:rPr>
              <w:t>11,591</w:t>
            </w:r>
          </w:p>
        </w:tc>
        <w:tc>
          <w:tcPr>
            <w:tcW w:w="1340" w:type="dxa"/>
            <w:vAlign w:val="bottom"/>
            <w:gridSpan w:val="3"/>
            <w:shd w:val="clear" w:color="auto" w:fill="FDFDFC"/>
          </w:tcPr>
          <w:p>
            <w:pPr>
              <w:jc w:val="right"/>
              <w:ind w:right="120"/>
              <w:spacing w:after="0" w:line="159" w:lineRule="exact"/>
              <w:rPr>
                <w:sz w:val="20"/>
                <w:szCs w:val="20"/>
                <w:color w:val="auto"/>
              </w:rPr>
            </w:pPr>
            <w:r>
              <w:rPr>
                <w:rFonts w:ascii="Times New Roman" w:cs="Times New Roman" w:eastAsia="Times New Roman" w:hAnsi="Times New Roman"/>
                <w:sz w:val="15"/>
                <w:szCs w:val="15"/>
                <w:color w:val="231F20"/>
              </w:rPr>
              <w:t>0.8%</w:t>
            </w:r>
          </w:p>
        </w:tc>
        <w:tc>
          <w:tcPr>
            <w:tcW w:w="0" w:type="dxa"/>
            <w:vAlign w:val="bottom"/>
          </w:tcPr>
          <w:p>
            <w:pPr>
              <w:spacing w:after="0"/>
              <w:rPr>
                <w:sz w:val="1"/>
                <w:szCs w:val="1"/>
                <w:color w:val="auto"/>
              </w:rPr>
            </w:pPr>
          </w:p>
        </w:tc>
      </w:tr>
      <w:tr>
        <w:trPr>
          <w:trHeight w:val="189"/>
        </w:trPr>
        <w:tc>
          <w:tcPr>
            <w:tcW w:w="1440" w:type="dxa"/>
            <w:vAlign w:val="bottom"/>
            <w:shd w:val="clear" w:color="auto" w:fill="FDFDFC"/>
          </w:tcPr>
          <w:p>
            <w:pPr>
              <w:spacing w:after="0"/>
              <w:rPr>
                <w:sz w:val="20"/>
                <w:szCs w:val="20"/>
                <w:color w:val="auto"/>
              </w:rPr>
            </w:pPr>
            <w:r>
              <w:rPr>
                <w:rFonts w:ascii="Times New Roman" w:cs="Times New Roman" w:eastAsia="Times New Roman" w:hAnsi="Times New Roman"/>
                <w:sz w:val="15"/>
                <w:szCs w:val="15"/>
                <w:color w:val="231F20"/>
              </w:rPr>
              <w:t xml:space="preserve">Holdings, L.P. </w:t>
            </w:r>
            <w:r>
              <w:rPr>
                <w:rFonts w:ascii="Times New Roman" w:cs="Times New Roman" w:eastAsia="Times New Roman" w:hAnsi="Times New Roman"/>
                <w:sz w:val="9"/>
                <w:szCs w:val="9"/>
                <w:color w:val="231F20"/>
              </w:rPr>
              <w:t>(11)</w:t>
            </w:r>
          </w:p>
        </w:tc>
        <w:tc>
          <w:tcPr>
            <w:tcW w:w="2440" w:type="dxa"/>
            <w:vAlign w:val="bottom"/>
            <w:shd w:val="clear" w:color="auto" w:fill="FDFDFC"/>
          </w:tcPr>
          <w:p>
            <w:pPr>
              <w:spacing w:after="0"/>
              <w:rPr>
                <w:sz w:val="16"/>
                <w:szCs w:val="16"/>
                <w:color w:val="auto"/>
              </w:rPr>
            </w:pPr>
          </w:p>
        </w:tc>
        <w:tc>
          <w:tcPr>
            <w:tcW w:w="820" w:type="dxa"/>
            <w:vAlign w:val="bottom"/>
            <w:shd w:val="clear" w:color="auto" w:fill="FDFDFC"/>
          </w:tcPr>
          <w:p>
            <w:pPr>
              <w:spacing w:after="0"/>
              <w:rPr>
                <w:sz w:val="16"/>
                <w:szCs w:val="16"/>
                <w:color w:val="auto"/>
              </w:rPr>
            </w:pPr>
          </w:p>
        </w:tc>
        <w:tc>
          <w:tcPr>
            <w:tcW w:w="20" w:type="dxa"/>
            <w:vAlign w:val="bottom"/>
          </w:tcPr>
          <w:p>
            <w:pPr>
              <w:spacing w:after="0"/>
              <w:rPr>
                <w:sz w:val="16"/>
                <w:szCs w:val="16"/>
                <w:color w:val="auto"/>
              </w:rPr>
            </w:pPr>
          </w:p>
        </w:tc>
        <w:tc>
          <w:tcPr>
            <w:tcW w:w="2080" w:type="dxa"/>
            <w:vAlign w:val="bottom"/>
            <w:shd w:val="clear" w:color="auto" w:fill="FDFDFC"/>
          </w:tcPr>
          <w:p>
            <w:pPr>
              <w:spacing w:after="0"/>
              <w:rPr>
                <w:sz w:val="16"/>
                <w:szCs w:val="16"/>
                <w:color w:val="auto"/>
              </w:rPr>
            </w:pPr>
          </w:p>
        </w:tc>
        <w:tc>
          <w:tcPr>
            <w:tcW w:w="1000" w:type="dxa"/>
            <w:vAlign w:val="bottom"/>
            <w:shd w:val="clear" w:color="auto" w:fill="FDFDFC"/>
          </w:tcPr>
          <w:p>
            <w:pPr>
              <w:spacing w:after="0"/>
              <w:rPr>
                <w:sz w:val="16"/>
                <w:szCs w:val="16"/>
                <w:color w:val="auto"/>
              </w:rPr>
            </w:pPr>
          </w:p>
        </w:tc>
        <w:tc>
          <w:tcPr>
            <w:tcW w:w="180" w:type="dxa"/>
            <w:vAlign w:val="bottom"/>
            <w:shd w:val="clear" w:color="auto" w:fill="FDFDFC"/>
          </w:tcPr>
          <w:p>
            <w:pPr>
              <w:spacing w:after="0"/>
              <w:rPr>
                <w:sz w:val="16"/>
                <w:szCs w:val="16"/>
                <w:color w:val="auto"/>
              </w:rPr>
            </w:pPr>
          </w:p>
        </w:tc>
        <w:tc>
          <w:tcPr>
            <w:tcW w:w="960" w:type="dxa"/>
            <w:vAlign w:val="bottom"/>
            <w:shd w:val="clear" w:color="auto" w:fill="FDFDFC"/>
          </w:tcPr>
          <w:p>
            <w:pPr>
              <w:spacing w:after="0"/>
              <w:rPr>
                <w:sz w:val="16"/>
                <w:szCs w:val="16"/>
                <w:color w:val="auto"/>
              </w:rPr>
            </w:pPr>
          </w:p>
        </w:tc>
        <w:tc>
          <w:tcPr>
            <w:tcW w:w="200" w:type="dxa"/>
            <w:vAlign w:val="bottom"/>
            <w:shd w:val="clear" w:color="auto" w:fill="FDFDFC"/>
          </w:tcPr>
          <w:p>
            <w:pPr>
              <w:spacing w:after="0"/>
              <w:rPr>
                <w:sz w:val="16"/>
                <w:szCs w:val="16"/>
                <w:color w:val="auto"/>
              </w:rPr>
            </w:pPr>
          </w:p>
        </w:tc>
        <w:tc>
          <w:tcPr>
            <w:tcW w:w="900" w:type="dxa"/>
            <w:vAlign w:val="bottom"/>
            <w:shd w:val="clear" w:color="auto" w:fill="FDFDFC"/>
          </w:tcPr>
          <w:p>
            <w:pPr>
              <w:spacing w:after="0"/>
              <w:rPr>
                <w:sz w:val="16"/>
                <w:szCs w:val="16"/>
                <w:color w:val="auto"/>
              </w:rPr>
            </w:pPr>
          </w:p>
        </w:tc>
        <w:tc>
          <w:tcPr>
            <w:tcW w:w="240" w:type="dxa"/>
            <w:vAlign w:val="bottom"/>
            <w:shd w:val="clear" w:color="auto" w:fill="FDFDFC"/>
          </w:tcPr>
          <w:p>
            <w:pPr>
              <w:spacing w:after="0"/>
              <w:rPr>
                <w:sz w:val="16"/>
                <w:szCs w:val="16"/>
                <w:color w:val="auto"/>
              </w:rPr>
            </w:pPr>
          </w:p>
        </w:tc>
        <w:tc>
          <w:tcPr>
            <w:tcW w:w="0" w:type="dxa"/>
            <w:vAlign w:val="bottom"/>
          </w:tcPr>
          <w:p>
            <w:pPr>
              <w:spacing w:after="0"/>
              <w:rPr>
                <w:sz w:val="1"/>
                <w:szCs w:val="1"/>
                <w:color w:val="auto"/>
              </w:rPr>
            </w:pPr>
          </w:p>
        </w:tc>
      </w:tr>
      <w:tr>
        <w:trPr>
          <w:trHeight w:val="158"/>
        </w:trPr>
        <w:tc>
          <w:tcPr>
            <w:tcW w:w="1440" w:type="dxa"/>
            <w:vAlign w:val="bottom"/>
            <w:shd w:val="clear" w:color="auto" w:fill="D0EBF2"/>
          </w:tcPr>
          <w:p>
            <w:pPr>
              <w:spacing w:after="0" w:line="159" w:lineRule="exact"/>
              <w:rPr>
                <w:sz w:val="20"/>
                <w:szCs w:val="20"/>
                <w:color w:val="auto"/>
              </w:rPr>
            </w:pPr>
            <w:r>
              <w:rPr>
                <w:rFonts w:ascii="Times New Roman" w:cs="Times New Roman" w:eastAsia="Times New Roman" w:hAnsi="Times New Roman"/>
                <w:sz w:val="15"/>
                <w:szCs w:val="15"/>
                <w:color w:val="231F20"/>
              </w:rPr>
              <w:t>Oxford Square Capital</w:t>
            </w:r>
          </w:p>
        </w:tc>
        <w:tc>
          <w:tcPr>
            <w:tcW w:w="2440" w:type="dxa"/>
            <w:vAlign w:val="bottom"/>
            <w:shd w:val="clear" w:color="auto" w:fill="D0EBF2"/>
          </w:tcPr>
          <w:p>
            <w:pPr>
              <w:ind w:left="80"/>
              <w:spacing w:after="0" w:line="159" w:lineRule="exact"/>
              <w:rPr>
                <w:sz w:val="20"/>
                <w:szCs w:val="20"/>
                <w:color w:val="auto"/>
              </w:rPr>
            </w:pPr>
            <w:r>
              <w:rPr>
                <w:rFonts w:ascii="Times New Roman" w:cs="Times New Roman" w:eastAsia="Times New Roman" w:hAnsi="Times New Roman"/>
                <w:sz w:val="15"/>
                <w:szCs w:val="15"/>
                <w:color w:val="231F20"/>
              </w:rPr>
              <w:t>Common Shares (1,620 shares)</w:t>
            </w:r>
          </w:p>
        </w:tc>
        <w:tc>
          <w:tcPr>
            <w:tcW w:w="820" w:type="dxa"/>
            <w:vAlign w:val="bottom"/>
            <w:shd w:val="clear" w:color="auto" w:fill="D0EBF2"/>
          </w:tcPr>
          <w:p>
            <w:pPr>
              <w:jc w:val="right"/>
              <w:spacing w:after="0" w:line="159" w:lineRule="exact"/>
              <w:rPr>
                <w:sz w:val="20"/>
                <w:szCs w:val="20"/>
                <w:color w:val="auto"/>
              </w:rPr>
            </w:pPr>
            <w:r>
              <w:rPr>
                <w:rFonts w:ascii="Times New Roman" w:cs="Times New Roman" w:eastAsia="Times New Roman" w:hAnsi="Times New Roman"/>
                <w:sz w:val="15"/>
                <w:szCs w:val="15"/>
                <w:color w:val="231F20"/>
              </w:rPr>
              <w:t>8/5/2015</w:t>
            </w:r>
          </w:p>
        </w:tc>
        <w:tc>
          <w:tcPr>
            <w:tcW w:w="20" w:type="dxa"/>
            <w:vAlign w:val="bottom"/>
          </w:tcPr>
          <w:p>
            <w:pPr>
              <w:spacing w:after="0"/>
              <w:rPr>
                <w:sz w:val="13"/>
                <w:szCs w:val="13"/>
                <w:color w:val="auto"/>
              </w:rPr>
            </w:pPr>
          </w:p>
        </w:tc>
        <w:tc>
          <w:tcPr>
            <w:tcW w:w="3080" w:type="dxa"/>
            <w:vAlign w:val="bottom"/>
            <w:gridSpan w:val="2"/>
            <w:shd w:val="clear" w:color="auto" w:fill="D0EBF2"/>
          </w:tcPr>
          <w:p>
            <w:pPr>
              <w:jc w:val="right"/>
              <w:spacing w:after="0" w:line="159" w:lineRule="exact"/>
              <w:rPr>
                <w:sz w:val="20"/>
                <w:szCs w:val="20"/>
                <w:color w:val="auto"/>
              </w:rPr>
            </w:pPr>
            <w:r>
              <w:rPr>
                <w:rFonts w:ascii="Times New Roman" w:cs="Times New Roman" w:eastAsia="Times New Roman" w:hAnsi="Times New Roman"/>
                <w:sz w:val="15"/>
                <w:szCs w:val="15"/>
                <w:color w:val="231F20"/>
              </w:rPr>
              <w:t>6</w:t>
            </w:r>
          </w:p>
        </w:tc>
        <w:tc>
          <w:tcPr>
            <w:tcW w:w="1140" w:type="dxa"/>
            <w:vAlign w:val="bottom"/>
            <w:gridSpan w:val="2"/>
            <w:shd w:val="clear" w:color="auto" w:fill="D0EBF2"/>
          </w:tcPr>
          <w:p>
            <w:pPr>
              <w:jc w:val="right"/>
              <w:spacing w:after="0" w:line="159" w:lineRule="exact"/>
              <w:rPr>
                <w:sz w:val="20"/>
                <w:szCs w:val="20"/>
                <w:color w:val="auto"/>
              </w:rPr>
            </w:pPr>
            <w:r>
              <w:rPr>
                <w:rFonts w:ascii="Times New Roman" w:cs="Times New Roman" w:eastAsia="Times New Roman" w:hAnsi="Times New Roman"/>
                <w:sz w:val="15"/>
                <w:szCs w:val="15"/>
                <w:color w:val="231F20"/>
              </w:rPr>
              <w:t>5</w:t>
            </w:r>
          </w:p>
        </w:tc>
        <w:tc>
          <w:tcPr>
            <w:tcW w:w="1340" w:type="dxa"/>
            <w:vAlign w:val="bottom"/>
            <w:gridSpan w:val="3"/>
            <w:shd w:val="clear" w:color="auto" w:fill="D0EBF2"/>
          </w:tcPr>
          <w:p>
            <w:pPr>
              <w:jc w:val="right"/>
              <w:ind w:right="120"/>
              <w:spacing w:after="0" w:line="159" w:lineRule="exact"/>
              <w:rPr>
                <w:sz w:val="20"/>
                <w:szCs w:val="20"/>
                <w:color w:val="auto"/>
              </w:rPr>
            </w:pPr>
            <w:r>
              <w:rPr>
                <w:rFonts w:ascii="Times New Roman" w:cs="Times New Roman" w:eastAsia="Times New Roman" w:hAnsi="Times New Roman"/>
                <w:sz w:val="15"/>
                <w:szCs w:val="15"/>
                <w:color w:val="231F20"/>
              </w:rPr>
              <w:t>0.0%</w:t>
            </w:r>
          </w:p>
        </w:tc>
        <w:tc>
          <w:tcPr>
            <w:tcW w:w="0" w:type="dxa"/>
            <w:vAlign w:val="bottom"/>
          </w:tcPr>
          <w:p>
            <w:pPr>
              <w:spacing w:after="0"/>
              <w:rPr>
                <w:sz w:val="1"/>
                <w:szCs w:val="1"/>
                <w:color w:val="auto"/>
              </w:rPr>
            </w:pPr>
          </w:p>
        </w:tc>
      </w:tr>
      <w:tr>
        <w:trPr>
          <w:trHeight w:val="189"/>
        </w:trPr>
        <w:tc>
          <w:tcPr>
            <w:tcW w:w="1440" w:type="dxa"/>
            <w:vAlign w:val="bottom"/>
            <w:shd w:val="clear" w:color="auto" w:fill="D0EBF2"/>
          </w:tcPr>
          <w:p>
            <w:pPr>
              <w:spacing w:after="0" w:line="190" w:lineRule="exact"/>
              <w:rPr>
                <w:sz w:val="20"/>
                <w:szCs w:val="20"/>
                <w:color w:val="auto"/>
              </w:rPr>
            </w:pPr>
            <w:r>
              <w:rPr>
                <w:rFonts w:ascii="Times New Roman" w:cs="Times New Roman" w:eastAsia="Times New Roman" w:hAnsi="Times New Roman"/>
                <w:sz w:val="21"/>
                <w:szCs w:val="21"/>
                <w:color w:val="231F20"/>
                <w:vertAlign w:val="subscript"/>
              </w:rPr>
              <w:t>Corp.</w:t>
            </w:r>
            <w:r>
              <w:rPr>
                <w:rFonts w:ascii="Times New Roman" w:cs="Times New Roman" w:eastAsia="Times New Roman" w:hAnsi="Times New Roman"/>
                <w:sz w:val="8"/>
                <w:szCs w:val="8"/>
                <w:color w:val="231F20"/>
              </w:rPr>
              <w:t xml:space="preserve"> (4)(10)</w:t>
            </w:r>
          </w:p>
        </w:tc>
        <w:tc>
          <w:tcPr>
            <w:tcW w:w="2440" w:type="dxa"/>
            <w:vAlign w:val="bottom"/>
            <w:shd w:val="clear" w:color="auto" w:fill="D0EBF2"/>
          </w:tcPr>
          <w:p>
            <w:pPr>
              <w:spacing w:after="0"/>
              <w:rPr>
                <w:sz w:val="16"/>
                <w:szCs w:val="16"/>
                <w:color w:val="auto"/>
              </w:rPr>
            </w:pPr>
          </w:p>
        </w:tc>
        <w:tc>
          <w:tcPr>
            <w:tcW w:w="820" w:type="dxa"/>
            <w:vAlign w:val="bottom"/>
            <w:shd w:val="clear" w:color="auto" w:fill="D0EBF2"/>
          </w:tcPr>
          <w:p>
            <w:pPr>
              <w:spacing w:after="0"/>
              <w:rPr>
                <w:sz w:val="16"/>
                <w:szCs w:val="16"/>
                <w:color w:val="auto"/>
              </w:rPr>
            </w:pPr>
          </w:p>
        </w:tc>
        <w:tc>
          <w:tcPr>
            <w:tcW w:w="20" w:type="dxa"/>
            <w:vAlign w:val="bottom"/>
          </w:tcPr>
          <w:p>
            <w:pPr>
              <w:spacing w:after="0"/>
              <w:rPr>
                <w:sz w:val="16"/>
                <w:szCs w:val="16"/>
                <w:color w:val="auto"/>
              </w:rPr>
            </w:pPr>
          </w:p>
        </w:tc>
        <w:tc>
          <w:tcPr>
            <w:tcW w:w="2080" w:type="dxa"/>
            <w:vAlign w:val="bottom"/>
            <w:shd w:val="clear" w:color="auto" w:fill="D0EBF2"/>
          </w:tcPr>
          <w:p>
            <w:pPr>
              <w:spacing w:after="0"/>
              <w:rPr>
                <w:sz w:val="16"/>
                <w:szCs w:val="16"/>
                <w:color w:val="auto"/>
              </w:rPr>
            </w:pPr>
          </w:p>
        </w:tc>
        <w:tc>
          <w:tcPr>
            <w:tcW w:w="1000" w:type="dxa"/>
            <w:vAlign w:val="bottom"/>
            <w:shd w:val="clear" w:color="auto" w:fill="D0EBF2"/>
          </w:tcPr>
          <w:p>
            <w:pPr>
              <w:spacing w:after="0"/>
              <w:rPr>
                <w:sz w:val="16"/>
                <w:szCs w:val="16"/>
                <w:color w:val="auto"/>
              </w:rPr>
            </w:pPr>
          </w:p>
        </w:tc>
        <w:tc>
          <w:tcPr>
            <w:tcW w:w="180" w:type="dxa"/>
            <w:vAlign w:val="bottom"/>
            <w:shd w:val="clear" w:color="auto" w:fill="D0EBF2"/>
          </w:tcPr>
          <w:p>
            <w:pPr>
              <w:spacing w:after="0"/>
              <w:rPr>
                <w:sz w:val="16"/>
                <w:szCs w:val="16"/>
                <w:color w:val="auto"/>
              </w:rPr>
            </w:pPr>
          </w:p>
        </w:tc>
        <w:tc>
          <w:tcPr>
            <w:tcW w:w="960" w:type="dxa"/>
            <w:vAlign w:val="bottom"/>
            <w:shd w:val="clear" w:color="auto" w:fill="D0EBF2"/>
          </w:tcPr>
          <w:p>
            <w:pPr>
              <w:spacing w:after="0"/>
              <w:rPr>
                <w:sz w:val="16"/>
                <w:szCs w:val="16"/>
                <w:color w:val="auto"/>
              </w:rPr>
            </w:pPr>
          </w:p>
        </w:tc>
        <w:tc>
          <w:tcPr>
            <w:tcW w:w="200" w:type="dxa"/>
            <w:vAlign w:val="bottom"/>
            <w:shd w:val="clear" w:color="auto" w:fill="D0EBF2"/>
          </w:tcPr>
          <w:p>
            <w:pPr>
              <w:spacing w:after="0"/>
              <w:rPr>
                <w:sz w:val="16"/>
                <w:szCs w:val="16"/>
                <w:color w:val="auto"/>
              </w:rPr>
            </w:pPr>
          </w:p>
        </w:tc>
        <w:tc>
          <w:tcPr>
            <w:tcW w:w="900" w:type="dxa"/>
            <w:vAlign w:val="bottom"/>
            <w:shd w:val="clear" w:color="auto" w:fill="D0EBF2"/>
          </w:tcPr>
          <w:p>
            <w:pPr>
              <w:spacing w:after="0"/>
              <w:rPr>
                <w:sz w:val="16"/>
                <w:szCs w:val="16"/>
                <w:color w:val="auto"/>
              </w:rPr>
            </w:pPr>
          </w:p>
        </w:tc>
        <w:tc>
          <w:tcPr>
            <w:tcW w:w="240" w:type="dxa"/>
            <w:vAlign w:val="bottom"/>
            <w:shd w:val="clear" w:color="auto" w:fill="D0EBF2"/>
          </w:tcPr>
          <w:p>
            <w:pPr>
              <w:spacing w:after="0"/>
              <w:rPr>
                <w:sz w:val="16"/>
                <w:szCs w:val="16"/>
                <w:color w:val="auto"/>
              </w:rPr>
            </w:pPr>
          </w:p>
        </w:tc>
        <w:tc>
          <w:tcPr>
            <w:tcW w:w="0" w:type="dxa"/>
            <w:vAlign w:val="bottom"/>
          </w:tcPr>
          <w:p>
            <w:pPr>
              <w:spacing w:after="0"/>
              <w:rPr>
                <w:sz w:val="1"/>
                <w:szCs w:val="1"/>
                <w:color w:val="auto"/>
              </w:rPr>
            </w:pPr>
          </w:p>
        </w:tc>
      </w:tr>
      <w:tr>
        <w:trPr>
          <w:trHeight w:val="174"/>
        </w:trPr>
        <w:tc>
          <w:tcPr>
            <w:tcW w:w="1440" w:type="dxa"/>
            <w:vAlign w:val="bottom"/>
            <w:shd w:val="clear" w:color="auto" w:fill="FDFDFC"/>
          </w:tcPr>
          <w:p>
            <w:pPr>
              <w:spacing w:after="0"/>
              <w:rPr>
                <w:sz w:val="20"/>
                <w:szCs w:val="20"/>
                <w:color w:val="auto"/>
              </w:rPr>
            </w:pPr>
            <w:r>
              <w:rPr>
                <w:rFonts w:ascii="Times New Roman" w:cs="Times New Roman" w:eastAsia="Times New Roman" w:hAnsi="Times New Roman"/>
                <w:sz w:val="15"/>
                <w:szCs w:val="15"/>
                <w:color w:val="231F20"/>
              </w:rPr>
              <w:t xml:space="preserve">Passport Labs, Inc. </w:t>
            </w:r>
            <w:r>
              <w:rPr>
                <w:rFonts w:ascii="Times New Roman" w:cs="Times New Roman" w:eastAsia="Times New Roman" w:hAnsi="Times New Roman"/>
                <w:sz w:val="9"/>
                <w:szCs w:val="9"/>
                <w:color w:val="231F20"/>
              </w:rPr>
              <w:t>(11)</w:t>
            </w:r>
          </w:p>
        </w:tc>
        <w:tc>
          <w:tcPr>
            <w:tcW w:w="2440" w:type="dxa"/>
            <w:vAlign w:val="bottom"/>
            <w:shd w:val="clear" w:color="auto" w:fill="FDFDFC"/>
          </w:tcPr>
          <w:p>
            <w:pPr>
              <w:ind w:left="80"/>
              <w:spacing w:after="0"/>
              <w:rPr>
                <w:sz w:val="20"/>
                <w:szCs w:val="20"/>
                <w:color w:val="auto"/>
              </w:rPr>
            </w:pPr>
            <w:r>
              <w:rPr>
                <w:rFonts w:ascii="Times New Roman" w:cs="Times New Roman" w:eastAsia="Times New Roman" w:hAnsi="Times New Roman"/>
                <w:sz w:val="15"/>
                <w:szCs w:val="15"/>
                <w:color w:val="231F20"/>
              </w:rPr>
              <w:t>17,534 Warrants</w:t>
            </w:r>
          </w:p>
        </w:tc>
        <w:tc>
          <w:tcPr>
            <w:tcW w:w="820" w:type="dxa"/>
            <w:vAlign w:val="bottom"/>
            <w:shd w:val="clear" w:color="auto" w:fill="FDFDFC"/>
          </w:tcPr>
          <w:p>
            <w:pPr>
              <w:jc w:val="right"/>
              <w:spacing w:after="0"/>
              <w:rPr>
                <w:sz w:val="20"/>
                <w:szCs w:val="20"/>
                <w:color w:val="auto"/>
              </w:rPr>
            </w:pPr>
            <w:r>
              <w:rPr>
                <w:rFonts w:ascii="Times New Roman" w:cs="Times New Roman" w:eastAsia="Times New Roman" w:hAnsi="Times New Roman"/>
                <w:sz w:val="15"/>
                <w:szCs w:val="15"/>
                <w:color w:val="231F20"/>
              </w:rPr>
              <w:t>4/28/2021</w:t>
            </w:r>
          </w:p>
        </w:tc>
        <w:tc>
          <w:tcPr>
            <w:tcW w:w="20" w:type="dxa"/>
            <w:vAlign w:val="bottom"/>
          </w:tcPr>
          <w:p>
            <w:pPr>
              <w:spacing w:after="0"/>
              <w:rPr>
                <w:sz w:val="15"/>
                <w:szCs w:val="15"/>
                <w:color w:val="auto"/>
              </w:rPr>
            </w:pPr>
          </w:p>
        </w:tc>
        <w:tc>
          <w:tcPr>
            <w:tcW w:w="3080" w:type="dxa"/>
            <w:vAlign w:val="bottom"/>
            <w:gridSpan w:val="2"/>
            <w:shd w:val="clear" w:color="auto" w:fill="FDFDFC"/>
          </w:tcPr>
          <w:p>
            <w:pPr>
              <w:jc w:val="right"/>
              <w:spacing w:after="0"/>
              <w:rPr>
                <w:sz w:val="20"/>
                <w:szCs w:val="20"/>
                <w:color w:val="auto"/>
              </w:rPr>
            </w:pPr>
            <w:r>
              <w:rPr>
                <w:rFonts w:ascii="Times New Roman" w:cs="Times New Roman" w:eastAsia="Times New Roman" w:hAnsi="Times New Roman"/>
                <w:sz w:val="15"/>
                <w:szCs w:val="15"/>
                <w:color w:val="231F20"/>
              </w:rPr>
              <w:t>192</w:t>
            </w:r>
          </w:p>
        </w:tc>
        <w:tc>
          <w:tcPr>
            <w:tcW w:w="180" w:type="dxa"/>
            <w:vAlign w:val="bottom"/>
            <w:shd w:val="clear" w:color="auto" w:fill="FDFDFC"/>
          </w:tcPr>
          <w:p>
            <w:pPr>
              <w:spacing w:after="0"/>
              <w:rPr>
                <w:sz w:val="15"/>
                <w:szCs w:val="15"/>
                <w:color w:val="auto"/>
              </w:rPr>
            </w:pPr>
          </w:p>
        </w:tc>
        <w:tc>
          <w:tcPr>
            <w:tcW w:w="960" w:type="dxa"/>
            <w:vAlign w:val="bottom"/>
            <w:shd w:val="clear" w:color="auto" w:fill="FDFDFC"/>
          </w:tcPr>
          <w:p>
            <w:pPr>
              <w:jc w:val="right"/>
              <w:spacing w:after="0"/>
              <w:rPr>
                <w:sz w:val="20"/>
                <w:szCs w:val="20"/>
                <w:color w:val="auto"/>
              </w:rPr>
            </w:pPr>
            <w:r>
              <w:rPr>
                <w:rFonts w:ascii="Times New Roman" w:cs="Times New Roman" w:eastAsia="Times New Roman" w:hAnsi="Times New Roman"/>
                <w:sz w:val="15"/>
                <w:szCs w:val="15"/>
                <w:color w:val="231F20"/>
              </w:rPr>
              <w:t>—</w:t>
            </w:r>
          </w:p>
        </w:tc>
        <w:tc>
          <w:tcPr>
            <w:tcW w:w="1340" w:type="dxa"/>
            <w:vAlign w:val="bottom"/>
            <w:gridSpan w:val="3"/>
            <w:shd w:val="clear" w:color="auto" w:fill="FDFDFC"/>
          </w:tcPr>
          <w:p>
            <w:pPr>
              <w:jc w:val="right"/>
              <w:ind w:right="120"/>
              <w:spacing w:after="0"/>
              <w:rPr>
                <w:sz w:val="20"/>
                <w:szCs w:val="20"/>
                <w:color w:val="auto"/>
              </w:rPr>
            </w:pPr>
            <w:r>
              <w:rPr>
                <w:rFonts w:ascii="Times New Roman" w:cs="Times New Roman" w:eastAsia="Times New Roman" w:hAnsi="Times New Roman"/>
                <w:sz w:val="15"/>
                <w:szCs w:val="15"/>
                <w:color w:val="231F20"/>
              </w:rPr>
              <w:t>0.0%</w:t>
            </w:r>
          </w:p>
        </w:tc>
        <w:tc>
          <w:tcPr>
            <w:tcW w:w="0" w:type="dxa"/>
            <w:vAlign w:val="bottom"/>
          </w:tcPr>
          <w:p>
            <w:pPr>
              <w:spacing w:after="0"/>
              <w:rPr>
                <w:sz w:val="1"/>
                <w:szCs w:val="1"/>
                <w:color w:val="auto"/>
              </w:rPr>
            </w:pPr>
          </w:p>
        </w:tc>
      </w:tr>
      <w:tr>
        <w:trPr>
          <w:trHeight w:val="171"/>
        </w:trPr>
        <w:tc>
          <w:tcPr>
            <w:tcW w:w="1440" w:type="dxa"/>
            <w:vAlign w:val="bottom"/>
            <w:shd w:val="clear" w:color="auto" w:fill="D0EBF2"/>
          </w:tcPr>
          <w:p>
            <w:pPr>
              <w:spacing w:after="0" w:line="171" w:lineRule="exact"/>
              <w:rPr>
                <w:sz w:val="20"/>
                <w:szCs w:val="20"/>
                <w:color w:val="auto"/>
              </w:rPr>
            </w:pPr>
            <w:r>
              <w:rPr>
                <w:rFonts w:ascii="Times New Roman" w:cs="Times New Roman" w:eastAsia="Times New Roman" w:hAnsi="Times New Roman"/>
                <w:sz w:val="15"/>
                <w:szCs w:val="15"/>
                <w:color w:val="231F20"/>
              </w:rPr>
              <w:t>TradingScreen, Inc.</w:t>
            </w:r>
          </w:p>
        </w:tc>
        <w:tc>
          <w:tcPr>
            <w:tcW w:w="2440" w:type="dxa"/>
            <w:vAlign w:val="bottom"/>
            <w:shd w:val="clear" w:color="auto" w:fill="D0EBF2"/>
          </w:tcPr>
          <w:p>
            <w:pPr>
              <w:ind w:left="80"/>
              <w:spacing w:after="0" w:line="171" w:lineRule="exact"/>
              <w:rPr>
                <w:sz w:val="20"/>
                <w:szCs w:val="20"/>
                <w:color w:val="auto"/>
              </w:rPr>
            </w:pPr>
            <w:r>
              <w:rPr>
                <w:rFonts w:ascii="Times New Roman" w:cs="Times New Roman" w:eastAsia="Times New Roman" w:hAnsi="Times New Roman"/>
                <w:sz w:val="15"/>
                <w:szCs w:val="15"/>
                <w:color w:val="231F20"/>
              </w:rPr>
              <w:t>Class A Units (600,000 units)</w:t>
            </w:r>
          </w:p>
        </w:tc>
        <w:tc>
          <w:tcPr>
            <w:tcW w:w="820" w:type="dxa"/>
            <w:vAlign w:val="bottom"/>
            <w:shd w:val="clear" w:color="auto" w:fill="D0EBF2"/>
          </w:tcPr>
          <w:p>
            <w:pPr>
              <w:jc w:val="right"/>
              <w:spacing w:after="0" w:line="171" w:lineRule="exact"/>
              <w:rPr>
                <w:sz w:val="20"/>
                <w:szCs w:val="20"/>
                <w:color w:val="auto"/>
              </w:rPr>
            </w:pPr>
            <w:r>
              <w:rPr>
                <w:rFonts w:ascii="Times New Roman" w:cs="Times New Roman" w:eastAsia="Times New Roman" w:hAnsi="Times New Roman"/>
                <w:sz w:val="15"/>
                <w:szCs w:val="15"/>
                <w:color w:val="231F20"/>
              </w:rPr>
              <w:t>5/14/2021</w:t>
            </w:r>
          </w:p>
        </w:tc>
        <w:tc>
          <w:tcPr>
            <w:tcW w:w="20" w:type="dxa"/>
            <w:vAlign w:val="bottom"/>
          </w:tcPr>
          <w:p>
            <w:pPr>
              <w:spacing w:after="0"/>
              <w:rPr>
                <w:sz w:val="14"/>
                <w:szCs w:val="14"/>
                <w:color w:val="auto"/>
              </w:rPr>
            </w:pPr>
          </w:p>
        </w:tc>
        <w:tc>
          <w:tcPr>
            <w:tcW w:w="3080" w:type="dxa"/>
            <w:vAlign w:val="bottom"/>
            <w:gridSpan w:val="2"/>
            <w:shd w:val="clear" w:color="auto" w:fill="D0EBF2"/>
          </w:tcPr>
          <w:p>
            <w:pPr>
              <w:jc w:val="right"/>
              <w:spacing w:after="0" w:line="171" w:lineRule="exact"/>
              <w:rPr>
                <w:sz w:val="20"/>
                <w:szCs w:val="20"/>
                <w:color w:val="auto"/>
              </w:rPr>
            </w:pPr>
            <w:r>
              <w:rPr>
                <w:rFonts w:ascii="Times New Roman" w:cs="Times New Roman" w:eastAsia="Times New Roman" w:hAnsi="Times New Roman"/>
                <w:sz w:val="15"/>
                <w:szCs w:val="15"/>
                <w:color w:val="231F20"/>
              </w:rPr>
              <w:t>600</w:t>
            </w:r>
          </w:p>
        </w:tc>
        <w:tc>
          <w:tcPr>
            <w:tcW w:w="1140" w:type="dxa"/>
            <w:vAlign w:val="bottom"/>
            <w:gridSpan w:val="2"/>
            <w:shd w:val="clear" w:color="auto" w:fill="D0EBF2"/>
          </w:tcPr>
          <w:p>
            <w:pPr>
              <w:jc w:val="right"/>
              <w:spacing w:after="0" w:line="171" w:lineRule="exact"/>
              <w:rPr>
                <w:sz w:val="20"/>
                <w:szCs w:val="20"/>
                <w:color w:val="auto"/>
              </w:rPr>
            </w:pPr>
            <w:r>
              <w:rPr>
                <w:rFonts w:ascii="Times New Roman" w:cs="Times New Roman" w:eastAsia="Times New Roman" w:hAnsi="Times New Roman"/>
                <w:sz w:val="15"/>
                <w:szCs w:val="15"/>
                <w:color w:val="231F20"/>
              </w:rPr>
              <w:t>600</w:t>
            </w:r>
          </w:p>
        </w:tc>
        <w:tc>
          <w:tcPr>
            <w:tcW w:w="1340" w:type="dxa"/>
            <w:vAlign w:val="bottom"/>
            <w:gridSpan w:val="3"/>
            <w:shd w:val="clear" w:color="auto" w:fill="D0EBF2"/>
          </w:tcPr>
          <w:p>
            <w:pPr>
              <w:jc w:val="right"/>
              <w:ind w:right="120"/>
              <w:spacing w:after="0" w:line="171" w:lineRule="exact"/>
              <w:rPr>
                <w:sz w:val="20"/>
                <w:szCs w:val="20"/>
                <w:color w:val="auto"/>
              </w:rPr>
            </w:pPr>
            <w:r>
              <w:rPr>
                <w:rFonts w:ascii="Times New Roman" w:cs="Times New Roman" w:eastAsia="Times New Roman" w:hAnsi="Times New Roman"/>
                <w:sz w:val="15"/>
                <w:szCs w:val="15"/>
                <w:color w:val="231F20"/>
              </w:rPr>
              <w:t>0.0%</w:t>
            </w:r>
          </w:p>
        </w:tc>
        <w:tc>
          <w:tcPr>
            <w:tcW w:w="0" w:type="dxa"/>
            <w:vAlign w:val="bottom"/>
          </w:tcPr>
          <w:p>
            <w:pPr>
              <w:spacing w:after="0"/>
              <w:rPr>
                <w:sz w:val="1"/>
                <w:szCs w:val="1"/>
                <w:color w:val="auto"/>
              </w:rPr>
            </w:pPr>
          </w:p>
        </w:tc>
      </w:tr>
      <w:tr>
        <w:trPr>
          <w:trHeight w:val="126"/>
        </w:trPr>
        <w:tc>
          <w:tcPr>
            <w:tcW w:w="1440" w:type="dxa"/>
            <w:vAlign w:val="bottom"/>
            <w:shd w:val="clear" w:color="auto" w:fill="D0EBF2"/>
          </w:tcPr>
          <w:p>
            <w:pPr>
              <w:spacing w:after="0"/>
              <w:rPr>
                <w:sz w:val="20"/>
                <w:szCs w:val="20"/>
                <w:color w:val="auto"/>
              </w:rPr>
            </w:pPr>
            <w:r>
              <w:rPr>
                <w:rFonts w:ascii="Times New Roman" w:cs="Times New Roman" w:eastAsia="Times New Roman" w:hAnsi="Times New Roman"/>
                <w:sz w:val="9"/>
                <w:szCs w:val="9"/>
                <w:color w:val="231F20"/>
              </w:rPr>
              <w:t>(11)(13)</w:t>
            </w:r>
          </w:p>
        </w:tc>
        <w:tc>
          <w:tcPr>
            <w:tcW w:w="2440" w:type="dxa"/>
            <w:vAlign w:val="bottom"/>
            <w:shd w:val="clear" w:color="auto" w:fill="D0EBF2"/>
          </w:tcPr>
          <w:p>
            <w:pPr>
              <w:spacing w:after="0"/>
              <w:rPr>
                <w:sz w:val="10"/>
                <w:szCs w:val="10"/>
                <w:color w:val="auto"/>
              </w:rPr>
            </w:pPr>
          </w:p>
        </w:tc>
        <w:tc>
          <w:tcPr>
            <w:tcW w:w="820" w:type="dxa"/>
            <w:vAlign w:val="bottom"/>
            <w:shd w:val="clear" w:color="auto" w:fill="D0EBF2"/>
          </w:tcPr>
          <w:p>
            <w:pPr>
              <w:spacing w:after="0"/>
              <w:rPr>
                <w:sz w:val="10"/>
                <w:szCs w:val="10"/>
                <w:color w:val="auto"/>
              </w:rPr>
            </w:pPr>
          </w:p>
        </w:tc>
        <w:tc>
          <w:tcPr>
            <w:tcW w:w="20" w:type="dxa"/>
            <w:vAlign w:val="bottom"/>
          </w:tcPr>
          <w:p>
            <w:pPr>
              <w:spacing w:after="0"/>
              <w:rPr>
                <w:sz w:val="10"/>
                <w:szCs w:val="10"/>
                <w:color w:val="auto"/>
              </w:rPr>
            </w:pPr>
          </w:p>
        </w:tc>
        <w:tc>
          <w:tcPr>
            <w:tcW w:w="2080" w:type="dxa"/>
            <w:vAlign w:val="bottom"/>
            <w:shd w:val="clear" w:color="auto" w:fill="D0EBF2"/>
          </w:tcPr>
          <w:p>
            <w:pPr>
              <w:spacing w:after="0"/>
              <w:rPr>
                <w:sz w:val="10"/>
                <w:szCs w:val="10"/>
                <w:color w:val="auto"/>
              </w:rPr>
            </w:pPr>
          </w:p>
        </w:tc>
        <w:tc>
          <w:tcPr>
            <w:tcW w:w="1000" w:type="dxa"/>
            <w:vAlign w:val="bottom"/>
            <w:shd w:val="clear" w:color="auto" w:fill="D0EBF2"/>
          </w:tcPr>
          <w:p>
            <w:pPr>
              <w:spacing w:after="0"/>
              <w:rPr>
                <w:sz w:val="10"/>
                <w:szCs w:val="10"/>
                <w:color w:val="auto"/>
              </w:rPr>
            </w:pPr>
          </w:p>
        </w:tc>
        <w:tc>
          <w:tcPr>
            <w:tcW w:w="180" w:type="dxa"/>
            <w:vAlign w:val="bottom"/>
            <w:shd w:val="clear" w:color="auto" w:fill="D0EBF2"/>
          </w:tcPr>
          <w:p>
            <w:pPr>
              <w:spacing w:after="0"/>
              <w:rPr>
                <w:sz w:val="10"/>
                <w:szCs w:val="10"/>
                <w:color w:val="auto"/>
              </w:rPr>
            </w:pPr>
          </w:p>
        </w:tc>
        <w:tc>
          <w:tcPr>
            <w:tcW w:w="960" w:type="dxa"/>
            <w:vAlign w:val="bottom"/>
            <w:shd w:val="clear" w:color="auto" w:fill="D0EBF2"/>
          </w:tcPr>
          <w:p>
            <w:pPr>
              <w:spacing w:after="0"/>
              <w:rPr>
                <w:sz w:val="10"/>
                <w:szCs w:val="10"/>
                <w:color w:val="auto"/>
              </w:rPr>
            </w:pPr>
          </w:p>
        </w:tc>
        <w:tc>
          <w:tcPr>
            <w:tcW w:w="200" w:type="dxa"/>
            <w:vAlign w:val="bottom"/>
            <w:shd w:val="clear" w:color="auto" w:fill="D0EBF2"/>
          </w:tcPr>
          <w:p>
            <w:pPr>
              <w:spacing w:after="0"/>
              <w:rPr>
                <w:sz w:val="10"/>
                <w:szCs w:val="10"/>
                <w:color w:val="auto"/>
              </w:rPr>
            </w:pPr>
          </w:p>
        </w:tc>
        <w:tc>
          <w:tcPr>
            <w:tcW w:w="900" w:type="dxa"/>
            <w:vAlign w:val="bottom"/>
            <w:shd w:val="clear" w:color="auto" w:fill="D0EBF2"/>
          </w:tcPr>
          <w:p>
            <w:pPr>
              <w:spacing w:after="0"/>
              <w:rPr>
                <w:sz w:val="10"/>
                <w:szCs w:val="10"/>
                <w:color w:val="auto"/>
              </w:rPr>
            </w:pPr>
          </w:p>
        </w:tc>
        <w:tc>
          <w:tcPr>
            <w:tcW w:w="240" w:type="dxa"/>
            <w:vAlign w:val="bottom"/>
            <w:shd w:val="clear" w:color="auto" w:fill="D0EBF2"/>
          </w:tcPr>
          <w:p>
            <w:pPr>
              <w:spacing w:after="0"/>
              <w:rPr>
                <w:sz w:val="10"/>
                <w:szCs w:val="10"/>
                <w:color w:val="auto"/>
              </w:rPr>
            </w:pPr>
          </w:p>
        </w:tc>
        <w:tc>
          <w:tcPr>
            <w:tcW w:w="0" w:type="dxa"/>
            <w:vAlign w:val="bottom"/>
          </w:tcPr>
          <w:p>
            <w:pPr>
              <w:spacing w:after="0"/>
              <w:rPr>
                <w:sz w:val="1"/>
                <w:szCs w:val="1"/>
                <w:color w:val="auto"/>
              </w:rPr>
            </w:pPr>
          </w:p>
        </w:tc>
      </w:tr>
      <w:tr>
        <w:trPr>
          <w:trHeight w:val="50"/>
        </w:trPr>
        <w:tc>
          <w:tcPr>
            <w:tcW w:w="1440" w:type="dxa"/>
            <w:vAlign w:val="bottom"/>
            <w:tcBorders>
              <w:bottom w:val="single" w:sz="8" w:color="D0EBF2"/>
            </w:tcBorders>
            <w:shd w:val="clear" w:color="auto" w:fill="D0EBF2"/>
          </w:tcPr>
          <w:p>
            <w:pPr>
              <w:spacing w:after="0"/>
              <w:rPr>
                <w:sz w:val="4"/>
                <w:szCs w:val="4"/>
                <w:color w:val="auto"/>
              </w:rPr>
            </w:pPr>
          </w:p>
        </w:tc>
        <w:tc>
          <w:tcPr>
            <w:tcW w:w="2440" w:type="dxa"/>
            <w:vAlign w:val="bottom"/>
            <w:tcBorders>
              <w:bottom w:val="single" w:sz="8" w:color="D0EBF2"/>
            </w:tcBorders>
            <w:shd w:val="clear" w:color="auto" w:fill="D0EBF2"/>
          </w:tcPr>
          <w:p>
            <w:pPr>
              <w:spacing w:after="0"/>
              <w:rPr>
                <w:sz w:val="4"/>
                <w:szCs w:val="4"/>
                <w:color w:val="auto"/>
              </w:rPr>
            </w:pPr>
          </w:p>
        </w:tc>
        <w:tc>
          <w:tcPr>
            <w:tcW w:w="820" w:type="dxa"/>
            <w:vAlign w:val="bottom"/>
            <w:tcBorders>
              <w:bottom w:val="single" w:sz="8" w:color="D0EBF2"/>
            </w:tcBorders>
            <w:shd w:val="clear" w:color="auto" w:fill="D0EBF2"/>
          </w:tcPr>
          <w:p>
            <w:pPr>
              <w:spacing w:after="0"/>
              <w:rPr>
                <w:sz w:val="4"/>
                <w:szCs w:val="4"/>
                <w:color w:val="auto"/>
              </w:rPr>
            </w:pPr>
          </w:p>
        </w:tc>
        <w:tc>
          <w:tcPr>
            <w:tcW w:w="20" w:type="dxa"/>
            <w:vAlign w:val="bottom"/>
            <w:tcBorders>
              <w:bottom w:val="single" w:sz="8" w:color="FDFDFC"/>
            </w:tcBorders>
          </w:tcPr>
          <w:p>
            <w:pPr>
              <w:spacing w:after="0"/>
              <w:rPr>
                <w:sz w:val="4"/>
                <w:szCs w:val="4"/>
                <w:color w:val="auto"/>
              </w:rPr>
            </w:pPr>
          </w:p>
        </w:tc>
        <w:tc>
          <w:tcPr>
            <w:tcW w:w="2080" w:type="dxa"/>
            <w:vAlign w:val="bottom"/>
            <w:tcBorders>
              <w:bottom w:val="single" w:sz="8" w:color="D0EBF2"/>
            </w:tcBorders>
            <w:shd w:val="clear" w:color="auto" w:fill="D0EBF2"/>
          </w:tcPr>
          <w:p>
            <w:pPr>
              <w:spacing w:after="0"/>
              <w:rPr>
                <w:sz w:val="4"/>
                <w:szCs w:val="4"/>
                <w:color w:val="auto"/>
              </w:rPr>
            </w:pPr>
          </w:p>
        </w:tc>
        <w:tc>
          <w:tcPr>
            <w:tcW w:w="1000" w:type="dxa"/>
            <w:vAlign w:val="bottom"/>
            <w:tcBorders>
              <w:bottom w:val="single" w:sz="8" w:color="231F20"/>
            </w:tcBorders>
            <w:shd w:val="clear" w:color="auto" w:fill="D0EBF2"/>
          </w:tcPr>
          <w:p>
            <w:pPr>
              <w:spacing w:after="0"/>
              <w:rPr>
                <w:sz w:val="4"/>
                <w:szCs w:val="4"/>
                <w:color w:val="auto"/>
              </w:rPr>
            </w:pPr>
          </w:p>
        </w:tc>
        <w:tc>
          <w:tcPr>
            <w:tcW w:w="180" w:type="dxa"/>
            <w:vAlign w:val="bottom"/>
            <w:tcBorders>
              <w:bottom w:val="single" w:sz="8" w:color="D0EBF2"/>
            </w:tcBorders>
            <w:shd w:val="clear" w:color="auto" w:fill="D0EBF2"/>
          </w:tcPr>
          <w:p>
            <w:pPr>
              <w:spacing w:after="0"/>
              <w:rPr>
                <w:sz w:val="4"/>
                <w:szCs w:val="4"/>
                <w:color w:val="auto"/>
              </w:rPr>
            </w:pPr>
          </w:p>
        </w:tc>
        <w:tc>
          <w:tcPr>
            <w:tcW w:w="960" w:type="dxa"/>
            <w:vAlign w:val="bottom"/>
            <w:tcBorders>
              <w:bottom w:val="single" w:sz="8" w:color="231F20"/>
            </w:tcBorders>
            <w:shd w:val="clear" w:color="auto" w:fill="D0EBF2"/>
          </w:tcPr>
          <w:p>
            <w:pPr>
              <w:spacing w:after="0"/>
              <w:rPr>
                <w:sz w:val="4"/>
                <w:szCs w:val="4"/>
                <w:color w:val="auto"/>
              </w:rPr>
            </w:pPr>
          </w:p>
        </w:tc>
        <w:tc>
          <w:tcPr>
            <w:tcW w:w="200" w:type="dxa"/>
            <w:vAlign w:val="bottom"/>
            <w:tcBorders>
              <w:bottom w:val="single" w:sz="8" w:color="D0EBF2"/>
            </w:tcBorders>
            <w:shd w:val="clear" w:color="auto" w:fill="D0EBF2"/>
          </w:tcPr>
          <w:p>
            <w:pPr>
              <w:spacing w:after="0"/>
              <w:rPr>
                <w:sz w:val="4"/>
                <w:szCs w:val="4"/>
                <w:color w:val="auto"/>
              </w:rPr>
            </w:pPr>
          </w:p>
        </w:tc>
        <w:tc>
          <w:tcPr>
            <w:tcW w:w="900" w:type="dxa"/>
            <w:vAlign w:val="bottom"/>
            <w:tcBorders>
              <w:bottom w:val="single" w:sz="8" w:color="231F20"/>
            </w:tcBorders>
            <w:shd w:val="clear" w:color="auto" w:fill="D0EBF2"/>
          </w:tcPr>
          <w:p>
            <w:pPr>
              <w:spacing w:after="0"/>
              <w:rPr>
                <w:sz w:val="4"/>
                <w:szCs w:val="4"/>
                <w:color w:val="auto"/>
              </w:rPr>
            </w:pPr>
          </w:p>
        </w:tc>
        <w:tc>
          <w:tcPr>
            <w:tcW w:w="240" w:type="dxa"/>
            <w:vAlign w:val="bottom"/>
            <w:tcBorders>
              <w:bottom w:val="single" w:sz="8" w:color="D0EBF2"/>
            </w:tcBorders>
            <w:shd w:val="clear" w:color="auto" w:fill="D0EBF2"/>
          </w:tcPr>
          <w:p>
            <w:pPr>
              <w:spacing w:after="0"/>
              <w:rPr>
                <w:sz w:val="4"/>
                <w:szCs w:val="4"/>
                <w:color w:val="auto"/>
              </w:rPr>
            </w:pPr>
          </w:p>
        </w:tc>
        <w:tc>
          <w:tcPr>
            <w:tcW w:w="0" w:type="dxa"/>
            <w:vAlign w:val="bottom"/>
          </w:tcPr>
          <w:p>
            <w:pPr>
              <w:spacing w:after="0"/>
              <w:rPr>
                <w:sz w:val="1"/>
                <w:szCs w:val="1"/>
                <w:color w:val="auto"/>
              </w:rPr>
            </w:pPr>
          </w:p>
        </w:tc>
      </w:tr>
      <w:tr>
        <w:trPr>
          <w:trHeight w:val="163"/>
        </w:trPr>
        <w:tc>
          <w:tcPr>
            <w:tcW w:w="1440" w:type="dxa"/>
            <w:vAlign w:val="bottom"/>
            <w:shd w:val="clear" w:color="auto" w:fill="FDFDFC"/>
          </w:tcPr>
          <w:p>
            <w:pPr>
              <w:spacing w:after="0"/>
              <w:rPr>
                <w:sz w:val="14"/>
                <w:szCs w:val="14"/>
                <w:color w:val="auto"/>
              </w:rPr>
            </w:pPr>
          </w:p>
        </w:tc>
        <w:tc>
          <w:tcPr>
            <w:tcW w:w="2440" w:type="dxa"/>
            <w:vAlign w:val="bottom"/>
            <w:shd w:val="clear" w:color="auto" w:fill="FDFDFC"/>
          </w:tcPr>
          <w:p>
            <w:pPr>
              <w:spacing w:after="0"/>
              <w:rPr>
                <w:sz w:val="14"/>
                <w:szCs w:val="14"/>
                <w:color w:val="auto"/>
              </w:rPr>
            </w:pPr>
          </w:p>
        </w:tc>
        <w:tc>
          <w:tcPr>
            <w:tcW w:w="820" w:type="dxa"/>
            <w:vAlign w:val="bottom"/>
            <w:shd w:val="clear" w:color="auto" w:fill="FDFDFC"/>
          </w:tcPr>
          <w:p>
            <w:pPr>
              <w:spacing w:after="0"/>
              <w:rPr>
                <w:sz w:val="14"/>
                <w:szCs w:val="14"/>
                <w:color w:val="auto"/>
              </w:rPr>
            </w:pPr>
          </w:p>
        </w:tc>
        <w:tc>
          <w:tcPr>
            <w:tcW w:w="20" w:type="dxa"/>
            <w:vAlign w:val="bottom"/>
            <w:shd w:val="clear" w:color="auto" w:fill="FDFDFC"/>
          </w:tcPr>
          <w:p>
            <w:pPr>
              <w:spacing w:after="0"/>
              <w:rPr>
                <w:sz w:val="14"/>
                <w:szCs w:val="14"/>
                <w:color w:val="auto"/>
              </w:rPr>
            </w:pPr>
          </w:p>
        </w:tc>
        <w:tc>
          <w:tcPr>
            <w:tcW w:w="2080" w:type="dxa"/>
            <w:vAlign w:val="bottom"/>
            <w:shd w:val="clear" w:color="auto" w:fill="FDFDFC"/>
          </w:tcPr>
          <w:p>
            <w:pPr>
              <w:spacing w:after="0"/>
              <w:rPr>
                <w:sz w:val="14"/>
                <w:szCs w:val="14"/>
                <w:color w:val="auto"/>
              </w:rPr>
            </w:pPr>
          </w:p>
        </w:tc>
        <w:tc>
          <w:tcPr>
            <w:tcW w:w="1000" w:type="dxa"/>
            <w:vAlign w:val="bottom"/>
            <w:shd w:val="clear" w:color="auto" w:fill="FDFDFC"/>
          </w:tcPr>
          <w:p>
            <w:pPr>
              <w:jc w:val="right"/>
              <w:spacing w:after="0" w:line="164" w:lineRule="exact"/>
              <w:rPr>
                <w:sz w:val="20"/>
                <w:szCs w:val="20"/>
                <w:color w:val="auto"/>
              </w:rPr>
            </w:pPr>
            <w:r>
              <w:rPr>
                <w:rFonts w:ascii="Times New Roman" w:cs="Times New Roman" w:eastAsia="Times New Roman" w:hAnsi="Times New Roman"/>
                <w:sz w:val="15"/>
                <w:szCs w:val="15"/>
                <w:color w:val="231F20"/>
              </w:rPr>
              <w:t>9,249</w:t>
            </w:r>
          </w:p>
        </w:tc>
        <w:tc>
          <w:tcPr>
            <w:tcW w:w="180" w:type="dxa"/>
            <w:vAlign w:val="bottom"/>
            <w:shd w:val="clear" w:color="auto" w:fill="FDFDFC"/>
          </w:tcPr>
          <w:p>
            <w:pPr>
              <w:spacing w:after="0"/>
              <w:rPr>
                <w:sz w:val="14"/>
                <w:szCs w:val="14"/>
                <w:color w:val="auto"/>
              </w:rPr>
            </w:pPr>
          </w:p>
        </w:tc>
        <w:tc>
          <w:tcPr>
            <w:tcW w:w="960" w:type="dxa"/>
            <w:vAlign w:val="bottom"/>
            <w:shd w:val="clear" w:color="auto" w:fill="FDFDFC"/>
          </w:tcPr>
          <w:p>
            <w:pPr>
              <w:jc w:val="right"/>
              <w:spacing w:after="0" w:line="164" w:lineRule="exact"/>
              <w:rPr>
                <w:sz w:val="20"/>
                <w:szCs w:val="20"/>
                <w:color w:val="auto"/>
              </w:rPr>
            </w:pPr>
            <w:r>
              <w:rPr>
                <w:rFonts w:ascii="Times New Roman" w:cs="Times New Roman" w:eastAsia="Times New Roman" w:hAnsi="Times New Roman"/>
                <w:sz w:val="15"/>
                <w:szCs w:val="15"/>
                <w:color w:val="231F20"/>
              </w:rPr>
              <w:t>16,470</w:t>
            </w:r>
          </w:p>
        </w:tc>
        <w:tc>
          <w:tcPr>
            <w:tcW w:w="200" w:type="dxa"/>
            <w:vAlign w:val="bottom"/>
            <w:shd w:val="clear" w:color="auto" w:fill="FDFDFC"/>
          </w:tcPr>
          <w:p>
            <w:pPr>
              <w:spacing w:after="0"/>
              <w:rPr>
                <w:sz w:val="14"/>
                <w:szCs w:val="14"/>
                <w:color w:val="auto"/>
              </w:rPr>
            </w:pPr>
          </w:p>
        </w:tc>
        <w:tc>
          <w:tcPr>
            <w:tcW w:w="1140" w:type="dxa"/>
            <w:vAlign w:val="bottom"/>
            <w:gridSpan w:val="2"/>
          </w:tcPr>
          <w:p>
            <w:pPr>
              <w:jc w:val="right"/>
              <w:ind w:right="120"/>
              <w:spacing w:after="0" w:line="164" w:lineRule="exact"/>
              <w:rPr>
                <w:sz w:val="20"/>
                <w:szCs w:val="20"/>
                <w:color w:val="auto"/>
              </w:rPr>
            </w:pPr>
            <w:r>
              <w:rPr>
                <w:rFonts w:ascii="Times New Roman" w:cs="Times New Roman" w:eastAsia="Times New Roman" w:hAnsi="Times New Roman"/>
                <w:sz w:val="15"/>
                <w:szCs w:val="15"/>
                <w:color w:val="231F20"/>
              </w:rPr>
              <w:t>1.1%</w:t>
            </w:r>
          </w:p>
        </w:tc>
        <w:tc>
          <w:tcPr>
            <w:tcW w:w="0" w:type="dxa"/>
            <w:vAlign w:val="bottom"/>
          </w:tcPr>
          <w:p>
            <w:pPr>
              <w:spacing w:after="0"/>
              <w:rPr>
                <w:sz w:val="1"/>
                <w:szCs w:val="1"/>
                <w:color w:val="auto"/>
              </w:rPr>
            </w:pPr>
          </w:p>
        </w:tc>
      </w:tr>
      <w:tr>
        <w:trPr>
          <w:trHeight w:val="163"/>
        </w:trPr>
        <w:tc>
          <w:tcPr>
            <w:tcW w:w="1440" w:type="dxa"/>
            <w:vAlign w:val="bottom"/>
            <w:tcBorders>
              <w:top w:val="single" w:sz="8" w:color="D0EBF2"/>
            </w:tcBorders>
            <w:shd w:val="clear" w:color="auto" w:fill="D0EBF2"/>
          </w:tcPr>
          <w:p>
            <w:pPr>
              <w:spacing w:after="0" w:line="164" w:lineRule="exact"/>
              <w:rPr>
                <w:sz w:val="20"/>
                <w:szCs w:val="20"/>
                <w:color w:val="auto"/>
              </w:rPr>
            </w:pPr>
            <w:r>
              <w:rPr>
                <w:rFonts w:ascii="Times New Roman" w:cs="Times New Roman" w:eastAsia="Times New Roman" w:hAnsi="Times New Roman"/>
                <w:sz w:val="15"/>
                <w:szCs w:val="15"/>
                <w:b w:val="1"/>
                <w:bCs w:val="1"/>
                <w:color w:val="231F20"/>
              </w:rPr>
              <w:t>Healthcare</w:t>
            </w:r>
          </w:p>
        </w:tc>
        <w:tc>
          <w:tcPr>
            <w:tcW w:w="2440" w:type="dxa"/>
            <w:vAlign w:val="bottom"/>
            <w:tcBorders>
              <w:top w:val="single" w:sz="8" w:color="D0EBF2"/>
            </w:tcBorders>
            <w:shd w:val="clear" w:color="auto" w:fill="D0EBF2"/>
          </w:tcPr>
          <w:p>
            <w:pPr>
              <w:spacing w:after="0"/>
              <w:rPr>
                <w:sz w:val="14"/>
                <w:szCs w:val="14"/>
                <w:color w:val="auto"/>
              </w:rPr>
            </w:pPr>
          </w:p>
        </w:tc>
        <w:tc>
          <w:tcPr>
            <w:tcW w:w="820" w:type="dxa"/>
            <w:vAlign w:val="bottom"/>
            <w:tcBorders>
              <w:top w:val="single" w:sz="8" w:color="D0EBF2"/>
            </w:tcBorders>
            <w:shd w:val="clear" w:color="auto" w:fill="D0EBF2"/>
          </w:tcPr>
          <w:p>
            <w:pPr>
              <w:spacing w:after="0"/>
              <w:rPr>
                <w:sz w:val="14"/>
                <w:szCs w:val="14"/>
                <w:color w:val="auto"/>
              </w:rPr>
            </w:pPr>
          </w:p>
        </w:tc>
        <w:tc>
          <w:tcPr>
            <w:tcW w:w="20" w:type="dxa"/>
            <w:vAlign w:val="bottom"/>
            <w:tcBorders>
              <w:top w:val="single" w:sz="8" w:color="D0EBF2"/>
            </w:tcBorders>
            <w:shd w:val="clear" w:color="auto" w:fill="D0EBF2"/>
          </w:tcPr>
          <w:p>
            <w:pPr>
              <w:spacing w:after="0"/>
              <w:rPr>
                <w:sz w:val="14"/>
                <w:szCs w:val="14"/>
                <w:color w:val="auto"/>
              </w:rPr>
            </w:pPr>
          </w:p>
        </w:tc>
        <w:tc>
          <w:tcPr>
            <w:tcW w:w="2080" w:type="dxa"/>
            <w:vAlign w:val="bottom"/>
            <w:tcBorders>
              <w:top w:val="single" w:sz="8" w:color="D0EBF2"/>
            </w:tcBorders>
            <w:shd w:val="clear" w:color="auto" w:fill="D0EBF2"/>
          </w:tcPr>
          <w:p>
            <w:pPr>
              <w:spacing w:after="0"/>
              <w:rPr>
                <w:sz w:val="14"/>
                <w:szCs w:val="14"/>
                <w:color w:val="auto"/>
              </w:rPr>
            </w:pPr>
          </w:p>
        </w:tc>
        <w:tc>
          <w:tcPr>
            <w:tcW w:w="1000" w:type="dxa"/>
            <w:vAlign w:val="bottom"/>
            <w:tcBorders>
              <w:top w:val="single" w:sz="8" w:color="231F20"/>
            </w:tcBorders>
            <w:shd w:val="clear" w:color="auto" w:fill="D0EBF2"/>
          </w:tcPr>
          <w:p>
            <w:pPr>
              <w:spacing w:after="0"/>
              <w:rPr>
                <w:sz w:val="14"/>
                <w:szCs w:val="14"/>
                <w:color w:val="auto"/>
              </w:rPr>
            </w:pPr>
          </w:p>
        </w:tc>
        <w:tc>
          <w:tcPr>
            <w:tcW w:w="180" w:type="dxa"/>
            <w:vAlign w:val="bottom"/>
            <w:tcBorders>
              <w:top w:val="single" w:sz="8" w:color="D0EBF2"/>
            </w:tcBorders>
            <w:shd w:val="clear" w:color="auto" w:fill="D0EBF2"/>
          </w:tcPr>
          <w:p>
            <w:pPr>
              <w:spacing w:after="0"/>
              <w:rPr>
                <w:sz w:val="14"/>
                <w:szCs w:val="14"/>
                <w:color w:val="auto"/>
              </w:rPr>
            </w:pPr>
          </w:p>
        </w:tc>
        <w:tc>
          <w:tcPr>
            <w:tcW w:w="960" w:type="dxa"/>
            <w:vAlign w:val="bottom"/>
            <w:tcBorders>
              <w:top w:val="single" w:sz="8" w:color="231F20"/>
            </w:tcBorders>
            <w:shd w:val="clear" w:color="auto" w:fill="D0EBF2"/>
          </w:tcPr>
          <w:p>
            <w:pPr>
              <w:spacing w:after="0"/>
              <w:rPr>
                <w:sz w:val="14"/>
                <w:szCs w:val="14"/>
                <w:color w:val="auto"/>
              </w:rPr>
            </w:pPr>
          </w:p>
        </w:tc>
        <w:tc>
          <w:tcPr>
            <w:tcW w:w="200" w:type="dxa"/>
            <w:vAlign w:val="bottom"/>
            <w:tcBorders>
              <w:top w:val="single" w:sz="8" w:color="D0EBF2"/>
            </w:tcBorders>
            <w:shd w:val="clear" w:color="auto" w:fill="D0EBF2"/>
          </w:tcPr>
          <w:p>
            <w:pPr>
              <w:spacing w:after="0"/>
              <w:rPr>
                <w:sz w:val="14"/>
                <w:szCs w:val="14"/>
                <w:color w:val="auto"/>
              </w:rPr>
            </w:pPr>
          </w:p>
        </w:tc>
        <w:tc>
          <w:tcPr>
            <w:tcW w:w="900" w:type="dxa"/>
            <w:vAlign w:val="bottom"/>
            <w:tcBorders>
              <w:top w:val="single" w:sz="8" w:color="231F20"/>
            </w:tcBorders>
            <w:shd w:val="clear" w:color="auto" w:fill="D0EBF2"/>
          </w:tcPr>
          <w:p>
            <w:pPr>
              <w:spacing w:after="0"/>
              <w:rPr>
                <w:sz w:val="14"/>
                <w:szCs w:val="14"/>
                <w:color w:val="auto"/>
              </w:rPr>
            </w:pPr>
          </w:p>
        </w:tc>
        <w:tc>
          <w:tcPr>
            <w:tcW w:w="240" w:type="dxa"/>
            <w:vAlign w:val="bottom"/>
            <w:tcBorders>
              <w:top w:val="single" w:sz="8" w:color="D0EBF2"/>
            </w:tcBorders>
            <w:shd w:val="clear" w:color="auto" w:fill="D0EBF2"/>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1440" w:type="dxa"/>
            <w:vAlign w:val="bottom"/>
            <w:shd w:val="clear" w:color="auto" w:fill="FDFDFC"/>
          </w:tcPr>
          <w:p>
            <w:pPr>
              <w:spacing w:after="0" w:line="159" w:lineRule="exact"/>
              <w:rPr>
                <w:sz w:val="20"/>
                <w:szCs w:val="20"/>
                <w:color w:val="auto"/>
              </w:rPr>
            </w:pPr>
            <w:r>
              <w:rPr>
                <w:rFonts w:ascii="Times New Roman" w:cs="Times New Roman" w:eastAsia="Times New Roman" w:hAnsi="Times New Roman"/>
                <w:sz w:val="15"/>
                <w:szCs w:val="15"/>
                <w:color w:val="231F20"/>
              </w:rPr>
              <w:t>Caris Life Sciences,</w:t>
            </w:r>
          </w:p>
        </w:tc>
        <w:tc>
          <w:tcPr>
            <w:tcW w:w="2440" w:type="dxa"/>
            <w:vAlign w:val="bottom"/>
            <w:shd w:val="clear" w:color="auto" w:fill="FDFDFC"/>
          </w:tcPr>
          <w:p>
            <w:pPr>
              <w:ind w:left="80"/>
              <w:spacing w:after="0" w:line="159" w:lineRule="exact"/>
              <w:rPr>
                <w:sz w:val="20"/>
                <w:szCs w:val="20"/>
                <w:color w:val="auto"/>
              </w:rPr>
            </w:pPr>
            <w:r>
              <w:rPr>
                <w:rFonts w:ascii="Times New Roman" w:cs="Times New Roman" w:eastAsia="Times New Roman" w:hAnsi="Times New Roman"/>
                <w:sz w:val="15"/>
                <w:szCs w:val="15"/>
                <w:color w:val="231F20"/>
              </w:rPr>
              <w:t>Series C Preferred Shares (1,915,114</w:t>
            </w:r>
          </w:p>
        </w:tc>
        <w:tc>
          <w:tcPr>
            <w:tcW w:w="820" w:type="dxa"/>
            <w:vAlign w:val="bottom"/>
            <w:shd w:val="clear" w:color="auto" w:fill="FDFDFC"/>
          </w:tcPr>
          <w:p>
            <w:pPr>
              <w:jc w:val="right"/>
              <w:spacing w:after="0" w:line="159" w:lineRule="exact"/>
              <w:rPr>
                <w:sz w:val="20"/>
                <w:szCs w:val="20"/>
                <w:color w:val="auto"/>
              </w:rPr>
            </w:pPr>
            <w:r>
              <w:rPr>
                <w:rFonts w:ascii="Times New Roman" w:cs="Times New Roman" w:eastAsia="Times New Roman" w:hAnsi="Times New Roman"/>
                <w:sz w:val="15"/>
                <w:szCs w:val="15"/>
                <w:color w:val="231F20"/>
              </w:rPr>
              <w:t>10/13/2020</w:t>
            </w:r>
          </w:p>
        </w:tc>
        <w:tc>
          <w:tcPr>
            <w:tcW w:w="20" w:type="dxa"/>
            <w:vAlign w:val="bottom"/>
          </w:tcPr>
          <w:p>
            <w:pPr>
              <w:spacing w:after="0"/>
              <w:rPr>
                <w:sz w:val="13"/>
                <w:szCs w:val="13"/>
                <w:color w:val="auto"/>
              </w:rPr>
            </w:pPr>
          </w:p>
        </w:tc>
        <w:tc>
          <w:tcPr>
            <w:tcW w:w="2080" w:type="dxa"/>
            <w:vAlign w:val="bottom"/>
            <w:shd w:val="clear" w:color="auto" w:fill="FDFDFC"/>
          </w:tcPr>
          <w:p>
            <w:pPr>
              <w:spacing w:after="0"/>
              <w:rPr>
                <w:sz w:val="13"/>
                <w:szCs w:val="13"/>
                <w:color w:val="auto"/>
              </w:rPr>
            </w:pPr>
          </w:p>
        </w:tc>
        <w:tc>
          <w:tcPr>
            <w:tcW w:w="1000" w:type="dxa"/>
            <w:vAlign w:val="bottom"/>
            <w:shd w:val="clear" w:color="auto" w:fill="FDFDFC"/>
          </w:tcPr>
          <w:p>
            <w:pPr>
              <w:jc w:val="right"/>
              <w:spacing w:after="0" w:line="159" w:lineRule="exact"/>
              <w:rPr>
                <w:sz w:val="20"/>
                <w:szCs w:val="20"/>
                <w:color w:val="auto"/>
              </w:rPr>
            </w:pPr>
            <w:r>
              <w:rPr>
                <w:rFonts w:ascii="Times New Roman" w:cs="Times New Roman" w:eastAsia="Times New Roman" w:hAnsi="Times New Roman"/>
                <w:sz w:val="15"/>
                <w:szCs w:val="15"/>
                <w:color w:val="231F20"/>
              </w:rPr>
              <w:t>3,500</w:t>
            </w:r>
          </w:p>
        </w:tc>
        <w:tc>
          <w:tcPr>
            <w:tcW w:w="180" w:type="dxa"/>
            <w:vAlign w:val="bottom"/>
            <w:shd w:val="clear" w:color="auto" w:fill="FDFDFC"/>
          </w:tcPr>
          <w:p>
            <w:pPr>
              <w:spacing w:after="0"/>
              <w:rPr>
                <w:sz w:val="13"/>
                <w:szCs w:val="13"/>
                <w:color w:val="auto"/>
              </w:rPr>
            </w:pPr>
          </w:p>
        </w:tc>
        <w:tc>
          <w:tcPr>
            <w:tcW w:w="960" w:type="dxa"/>
            <w:vAlign w:val="bottom"/>
            <w:shd w:val="clear" w:color="auto" w:fill="FDFDFC"/>
          </w:tcPr>
          <w:p>
            <w:pPr>
              <w:jc w:val="right"/>
              <w:spacing w:after="0" w:line="159" w:lineRule="exact"/>
              <w:rPr>
                <w:sz w:val="20"/>
                <w:szCs w:val="20"/>
                <w:color w:val="auto"/>
              </w:rPr>
            </w:pPr>
            <w:r>
              <w:rPr>
                <w:rFonts w:ascii="Times New Roman" w:cs="Times New Roman" w:eastAsia="Times New Roman" w:hAnsi="Times New Roman"/>
                <w:sz w:val="15"/>
                <w:szCs w:val="15"/>
                <w:color w:val="231F20"/>
              </w:rPr>
              <w:t>6,676</w:t>
            </w:r>
          </w:p>
        </w:tc>
        <w:tc>
          <w:tcPr>
            <w:tcW w:w="200" w:type="dxa"/>
            <w:vAlign w:val="bottom"/>
            <w:shd w:val="clear" w:color="auto" w:fill="FDFDFC"/>
          </w:tcPr>
          <w:p>
            <w:pPr>
              <w:spacing w:after="0"/>
              <w:rPr>
                <w:sz w:val="13"/>
                <w:szCs w:val="13"/>
                <w:color w:val="auto"/>
              </w:rPr>
            </w:pPr>
          </w:p>
        </w:tc>
        <w:tc>
          <w:tcPr>
            <w:tcW w:w="1140" w:type="dxa"/>
            <w:vAlign w:val="bottom"/>
            <w:gridSpan w:val="2"/>
            <w:shd w:val="clear" w:color="auto" w:fill="FDFDFC"/>
          </w:tcPr>
          <w:p>
            <w:pPr>
              <w:jc w:val="right"/>
              <w:ind w:right="120"/>
              <w:spacing w:after="0" w:line="159" w:lineRule="exact"/>
              <w:rPr>
                <w:sz w:val="20"/>
                <w:szCs w:val="20"/>
                <w:color w:val="auto"/>
              </w:rPr>
            </w:pPr>
            <w:r>
              <w:rPr>
                <w:rFonts w:ascii="Times New Roman" w:cs="Times New Roman" w:eastAsia="Times New Roman" w:hAnsi="Times New Roman"/>
                <w:sz w:val="15"/>
                <w:szCs w:val="15"/>
                <w:color w:val="231F20"/>
              </w:rPr>
              <w:t>0.4%</w:t>
            </w:r>
          </w:p>
        </w:tc>
        <w:tc>
          <w:tcPr>
            <w:tcW w:w="0" w:type="dxa"/>
            <w:vAlign w:val="bottom"/>
          </w:tcPr>
          <w:p>
            <w:pPr>
              <w:spacing w:after="0"/>
              <w:rPr>
                <w:sz w:val="1"/>
                <w:szCs w:val="1"/>
                <w:color w:val="auto"/>
              </w:rPr>
            </w:pPr>
          </w:p>
        </w:tc>
      </w:tr>
      <w:tr>
        <w:trPr>
          <w:trHeight w:val="189"/>
        </w:trPr>
        <w:tc>
          <w:tcPr>
            <w:tcW w:w="1440" w:type="dxa"/>
            <w:vAlign w:val="bottom"/>
            <w:shd w:val="clear" w:color="auto" w:fill="FDFDFC"/>
          </w:tcPr>
          <w:p>
            <w:pPr>
              <w:spacing w:after="0" w:line="189" w:lineRule="exact"/>
              <w:rPr>
                <w:sz w:val="20"/>
                <w:szCs w:val="20"/>
                <w:color w:val="auto"/>
              </w:rPr>
            </w:pPr>
            <w:r>
              <w:rPr>
                <w:rFonts w:ascii="Times New Roman" w:cs="Times New Roman" w:eastAsia="Times New Roman" w:hAnsi="Times New Roman"/>
                <w:sz w:val="15"/>
                <w:szCs w:val="15"/>
                <w:color w:val="231F20"/>
              </w:rPr>
              <w:t xml:space="preserve">Inc. </w:t>
            </w:r>
            <w:r>
              <w:rPr>
                <w:rFonts w:ascii="Times New Roman" w:cs="Times New Roman" w:eastAsia="Times New Roman" w:hAnsi="Times New Roman"/>
                <w:sz w:val="18"/>
                <w:szCs w:val="18"/>
                <w:color w:val="231F20"/>
                <w:vertAlign w:val="superscript"/>
              </w:rPr>
              <w:t>(11)</w:t>
            </w:r>
          </w:p>
        </w:tc>
        <w:tc>
          <w:tcPr>
            <w:tcW w:w="2440" w:type="dxa"/>
            <w:vAlign w:val="bottom"/>
            <w:shd w:val="clear" w:color="auto" w:fill="FDFDFC"/>
          </w:tcPr>
          <w:p>
            <w:pPr>
              <w:ind w:left="80"/>
              <w:spacing w:after="0"/>
              <w:rPr>
                <w:sz w:val="20"/>
                <w:szCs w:val="20"/>
                <w:color w:val="auto"/>
              </w:rPr>
            </w:pPr>
            <w:r>
              <w:rPr>
                <w:rFonts w:ascii="Times New Roman" w:cs="Times New Roman" w:eastAsia="Times New Roman" w:hAnsi="Times New Roman"/>
                <w:sz w:val="15"/>
                <w:szCs w:val="15"/>
                <w:color w:val="231F20"/>
              </w:rPr>
              <w:t>shares)</w:t>
            </w:r>
          </w:p>
        </w:tc>
        <w:tc>
          <w:tcPr>
            <w:tcW w:w="820" w:type="dxa"/>
            <w:vAlign w:val="bottom"/>
            <w:shd w:val="clear" w:color="auto" w:fill="FDFDFC"/>
          </w:tcPr>
          <w:p>
            <w:pPr>
              <w:spacing w:after="0"/>
              <w:rPr>
                <w:sz w:val="16"/>
                <w:szCs w:val="16"/>
                <w:color w:val="auto"/>
              </w:rPr>
            </w:pPr>
          </w:p>
        </w:tc>
        <w:tc>
          <w:tcPr>
            <w:tcW w:w="20" w:type="dxa"/>
            <w:vAlign w:val="bottom"/>
          </w:tcPr>
          <w:p>
            <w:pPr>
              <w:spacing w:after="0"/>
              <w:rPr>
                <w:sz w:val="16"/>
                <w:szCs w:val="16"/>
                <w:color w:val="auto"/>
              </w:rPr>
            </w:pPr>
          </w:p>
        </w:tc>
        <w:tc>
          <w:tcPr>
            <w:tcW w:w="2080" w:type="dxa"/>
            <w:vAlign w:val="bottom"/>
            <w:shd w:val="clear" w:color="auto" w:fill="FDFDFC"/>
          </w:tcPr>
          <w:p>
            <w:pPr>
              <w:spacing w:after="0"/>
              <w:rPr>
                <w:sz w:val="16"/>
                <w:szCs w:val="16"/>
                <w:color w:val="auto"/>
              </w:rPr>
            </w:pPr>
          </w:p>
        </w:tc>
        <w:tc>
          <w:tcPr>
            <w:tcW w:w="1000" w:type="dxa"/>
            <w:vAlign w:val="bottom"/>
            <w:shd w:val="clear" w:color="auto" w:fill="FDFDFC"/>
          </w:tcPr>
          <w:p>
            <w:pPr>
              <w:spacing w:after="0"/>
              <w:rPr>
                <w:sz w:val="16"/>
                <w:szCs w:val="16"/>
                <w:color w:val="auto"/>
              </w:rPr>
            </w:pPr>
          </w:p>
        </w:tc>
        <w:tc>
          <w:tcPr>
            <w:tcW w:w="180" w:type="dxa"/>
            <w:vAlign w:val="bottom"/>
            <w:shd w:val="clear" w:color="auto" w:fill="FDFDFC"/>
          </w:tcPr>
          <w:p>
            <w:pPr>
              <w:spacing w:after="0"/>
              <w:rPr>
                <w:sz w:val="16"/>
                <w:szCs w:val="16"/>
                <w:color w:val="auto"/>
              </w:rPr>
            </w:pPr>
          </w:p>
        </w:tc>
        <w:tc>
          <w:tcPr>
            <w:tcW w:w="960" w:type="dxa"/>
            <w:vAlign w:val="bottom"/>
            <w:shd w:val="clear" w:color="auto" w:fill="FDFDFC"/>
          </w:tcPr>
          <w:p>
            <w:pPr>
              <w:spacing w:after="0"/>
              <w:rPr>
                <w:sz w:val="16"/>
                <w:szCs w:val="16"/>
                <w:color w:val="auto"/>
              </w:rPr>
            </w:pPr>
          </w:p>
        </w:tc>
        <w:tc>
          <w:tcPr>
            <w:tcW w:w="200" w:type="dxa"/>
            <w:vAlign w:val="bottom"/>
            <w:shd w:val="clear" w:color="auto" w:fill="FDFDFC"/>
          </w:tcPr>
          <w:p>
            <w:pPr>
              <w:spacing w:after="0"/>
              <w:rPr>
                <w:sz w:val="16"/>
                <w:szCs w:val="16"/>
                <w:color w:val="auto"/>
              </w:rPr>
            </w:pPr>
          </w:p>
        </w:tc>
        <w:tc>
          <w:tcPr>
            <w:tcW w:w="900" w:type="dxa"/>
            <w:vAlign w:val="bottom"/>
            <w:shd w:val="clear" w:color="auto" w:fill="FDFDFC"/>
          </w:tcPr>
          <w:p>
            <w:pPr>
              <w:spacing w:after="0"/>
              <w:rPr>
                <w:sz w:val="16"/>
                <w:szCs w:val="16"/>
                <w:color w:val="auto"/>
              </w:rPr>
            </w:pPr>
          </w:p>
        </w:tc>
        <w:tc>
          <w:tcPr>
            <w:tcW w:w="240" w:type="dxa"/>
            <w:vAlign w:val="bottom"/>
            <w:shd w:val="clear" w:color="auto" w:fill="FDFDFC"/>
          </w:tcPr>
          <w:p>
            <w:pPr>
              <w:spacing w:after="0"/>
              <w:rPr>
                <w:sz w:val="16"/>
                <w:szCs w:val="16"/>
                <w:color w:val="auto"/>
              </w:rPr>
            </w:pPr>
          </w:p>
        </w:tc>
        <w:tc>
          <w:tcPr>
            <w:tcW w:w="0" w:type="dxa"/>
            <w:vAlign w:val="bottom"/>
          </w:tcPr>
          <w:p>
            <w:pPr>
              <w:spacing w:after="0"/>
              <w:rPr>
                <w:sz w:val="1"/>
                <w:szCs w:val="1"/>
                <w:color w:val="auto"/>
              </w:rPr>
            </w:pPr>
          </w:p>
        </w:tc>
      </w:tr>
      <w:tr>
        <w:trPr>
          <w:trHeight w:val="158"/>
        </w:trPr>
        <w:tc>
          <w:tcPr>
            <w:tcW w:w="1440" w:type="dxa"/>
            <w:vAlign w:val="bottom"/>
            <w:shd w:val="clear" w:color="auto" w:fill="D0EBF2"/>
          </w:tcPr>
          <w:p>
            <w:pPr>
              <w:spacing w:after="0"/>
              <w:rPr>
                <w:sz w:val="13"/>
                <w:szCs w:val="13"/>
                <w:color w:val="auto"/>
              </w:rPr>
            </w:pPr>
          </w:p>
        </w:tc>
        <w:tc>
          <w:tcPr>
            <w:tcW w:w="2440" w:type="dxa"/>
            <w:vAlign w:val="bottom"/>
            <w:shd w:val="clear" w:color="auto" w:fill="D0EBF2"/>
          </w:tcPr>
          <w:p>
            <w:pPr>
              <w:ind w:left="80"/>
              <w:spacing w:after="0" w:line="159" w:lineRule="exact"/>
              <w:rPr>
                <w:sz w:val="20"/>
                <w:szCs w:val="20"/>
                <w:color w:val="auto"/>
              </w:rPr>
            </w:pPr>
            <w:r>
              <w:rPr>
                <w:rFonts w:ascii="Times New Roman" w:cs="Times New Roman" w:eastAsia="Times New Roman" w:hAnsi="Times New Roman"/>
                <w:sz w:val="15"/>
                <w:szCs w:val="15"/>
                <w:color w:val="231F20"/>
              </w:rPr>
              <w:t>Series D Preferred Shares (1,240,740</w:t>
            </w:r>
          </w:p>
        </w:tc>
        <w:tc>
          <w:tcPr>
            <w:tcW w:w="820" w:type="dxa"/>
            <w:vAlign w:val="bottom"/>
            <w:shd w:val="clear" w:color="auto" w:fill="D0EBF2"/>
          </w:tcPr>
          <w:p>
            <w:pPr>
              <w:jc w:val="right"/>
              <w:spacing w:after="0" w:line="159" w:lineRule="exact"/>
              <w:rPr>
                <w:sz w:val="20"/>
                <w:szCs w:val="20"/>
                <w:color w:val="auto"/>
              </w:rPr>
            </w:pPr>
            <w:r>
              <w:rPr>
                <w:rFonts w:ascii="Times New Roman" w:cs="Times New Roman" w:eastAsia="Times New Roman" w:hAnsi="Times New Roman"/>
                <w:sz w:val="15"/>
                <w:szCs w:val="15"/>
                <w:color w:val="231F20"/>
              </w:rPr>
              <w:t>5/11/2021</w:t>
            </w:r>
          </w:p>
        </w:tc>
        <w:tc>
          <w:tcPr>
            <w:tcW w:w="20" w:type="dxa"/>
            <w:vAlign w:val="bottom"/>
          </w:tcPr>
          <w:p>
            <w:pPr>
              <w:spacing w:after="0"/>
              <w:rPr>
                <w:sz w:val="13"/>
                <w:szCs w:val="13"/>
                <w:color w:val="auto"/>
              </w:rPr>
            </w:pPr>
          </w:p>
        </w:tc>
        <w:tc>
          <w:tcPr>
            <w:tcW w:w="3080" w:type="dxa"/>
            <w:vAlign w:val="bottom"/>
            <w:gridSpan w:val="2"/>
            <w:shd w:val="clear" w:color="auto" w:fill="D0EBF2"/>
          </w:tcPr>
          <w:p>
            <w:pPr>
              <w:jc w:val="right"/>
              <w:spacing w:after="0" w:line="159" w:lineRule="exact"/>
              <w:rPr>
                <w:sz w:val="20"/>
                <w:szCs w:val="20"/>
                <w:color w:val="auto"/>
              </w:rPr>
            </w:pPr>
            <w:r>
              <w:rPr>
                <w:rFonts w:ascii="Times New Roman" w:cs="Times New Roman" w:eastAsia="Times New Roman" w:hAnsi="Times New Roman"/>
                <w:sz w:val="15"/>
                <w:szCs w:val="15"/>
                <w:color w:val="231F20"/>
              </w:rPr>
              <w:t>10,050</w:t>
            </w:r>
          </w:p>
        </w:tc>
        <w:tc>
          <w:tcPr>
            <w:tcW w:w="1140" w:type="dxa"/>
            <w:vAlign w:val="bottom"/>
            <w:gridSpan w:val="2"/>
            <w:shd w:val="clear" w:color="auto" w:fill="D0EBF2"/>
          </w:tcPr>
          <w:p>
            <w:pPr>
              <w:jc w:val="right"/>
              <w:spacing w:after="0" w:line="159" w:lineRule="exact"/>
              <w:rPr>
                <w:sz w:val="20"/>
                <w:szCs w:val="20"/>
                <w:color w:val="auto"/>
              </w:rPr>
            </w:pPr>
            <w:r>
              <w:rPr>
                <w:rFonts w:ascii="Times New Roman" w:cs="Times New Roman" w:eastAsia="Times New Roman" w:hAnsi="Times New Roman"/>
                <w:sz w:val="15"/>
                <w:szCs w:val="15"/>
                <w:color w:val="231F20"/>
              </w:rPr>
              <w:t>9,899</w:t>
            </w:r>
          </w:p>
        </w:tc>
        <w:tc>
          <w:tcPr>
            <w:tcW w:w="1340" w:type="dxa"/>
            <w:vAlign w:val="bottom"/>
            <w:gridSpan w:val="3"/>
            <w:shd w:val="clear" w:color="auto" w:fill="D0EBF2"/>
          </w:tcPr>
          <w:p>
            <w:pPr>
              <w:jc w:val="right"/>
              <w:ind w:right="120"/>
              <w:spacing w:after="0" w:line="159" w:lineRule="exact"/>
              <w:rPr>
                <w:sz w:val="20"/>
                <w:szCs w:val="20"/>
                <w:color w:val="auto"/>
              </w:rPr>
            </w:pPr>
            <w:r>
              <w:rPr>
                <w:rFonts w:ascii="Times New Roman" w:cs="Times New Roman" w:eastAsia="Times New Roman" w:hAnsi="Times New Roman"/>
                <w:sz w:val="15"/>
                <w:szCs w:val="15"/>
                <w:color w:val="231F20"/>
              </w:rPr>
              <w:t>0.7%</w:t>
            </w:r>
          </w:p>
        </w:tc>
        <w:tc>
          <w:tcPr>
            <w:tcW w:w="0" w:type="dxa"/>
            <w:vAlign w:val="bottom"/>
          </w:tcPr>
          <w:p>
            <w:pPr>
              <w:spacing w:after="0"/>
              <w:rPr>
                <w:sz w:val="1"/>
                <w:szCs w:val="1"/>
                <w:color w:val="auto"/>
              </w:rPr>
            </w:pPr>
          </w:p>
        </w:tc>
      </w:tr>
      <w:tr>
        <w:trPr>
          <w:trHeight w:val="189"/>
        </w:trPr>
        <w:tc>
          <w:tcPr>
            <w:tcW w:w="1440" w:type="dxa"/>
            <w:vAlign w:val="bottom"/>
            <w:shd w:val="clear" w:color="auto" w:fill="D0EBF2"/>
          </w:tcPr>
          <w:p>
            <w:pPr>
              <w:spacing w:after="0"/>
              <w:rPr>
                <w:sz w:val="16"/>
                <w:szCs w:val="16"/>
                <w:color w:val="auto"/>
              </w:rPr>
            </w:pPr>
          </w:p>
        </w:tc>
        <w:tc>
          <w:tcPr>
            <w:tcW w:w="2440" w:type="dxa"/>
            <w:vAlign w:val="bottom"/>
            <w:shd w:val="clear" w:color="auto" w:fill="D0EBF2"/>
          </w:tcPr>
          <w:p>
            <w:pPr>
              <w:ind w:left="80"/>
              <w:spacing w:after="0"/>
              <w:rPr>
                <w:sz w:val="20"/>
                <w:szCs w:val="20"/>
                <w:color w:val="auto"/>
              </w:rPr>
            </w:pPr>
            <w:r>
              <w:rPr>
                <w:rFonts w:ascii="Times New Roman" w:cs="Times New Roman" w:eastAsia="Times New Roman" w:hAnsi="Times New Roman"/>
                <w:sz w:val="15"/>
                <w:szCs w:val="15"/>
                <w:color w:val="231F20"/>
              </w:rPr>
              <w:t>shares)</w:t>
            </w:r>
          </w:p>
        </w:tc>
        <w:tc>
          <w:tcPr>
            <w:tcW w:w="820" w:type="dxa"/>
            <w:vAlign w:val="bottom"/>
            <w:shd w:val="clear" w:color="auto" w:fill="D0EBF2"/>
          </w:tcPr>
          <w:p>
            <w:pPr>
              <w:spacing w:after="0"/>
              <w:rPr>
                <w:sz w:val="16"/>
                <w:szCs w:val="16"/>
                <w:color w:val="auto"/>
              </w:rPr>
            </w:pPr>
          </w:p>
        </w:tc>
        <w:tc>
          <w:tcPr>
            <w:tcW w:w="20" w:type="dxa"/>
            <w:vAlign w:val="bottom"/>
          </w:tcPr>
          <w:p>
            <w:pPr>
              <w:spacing w:after="0"/>
              <w:rPr>
                <w:sz w:val="16"/>
                <w:szCs w:val="16"/>
                <w:color w:val="auto"/>
              </w:rPr>
            </w:pPr>
          </w:p>
        </w:tc>
        <w:tc>
          <w:tcPr>
            <w:tcW w:w="2080" w:type="dxa"/>
            <w:vAlign w:val="bottom"/>
            <w:shd w:val="clear" w:color="auto" w:fill="D0EBF2"/>
          </w:tcPr>
          <w:p>
            <w:pPr>
              <w:spacing w:after="0"/>
              <w:rPr>
                <w:sz w:val="16"/>
                <w:szCs w:val="16"/>
                <w:color w:val="auto"/>
              </w:rPr>
            </w:pPr>
          </w:p>
        </w:tc>
        <w:tc>
          <w:tcPr>
            <w:tcW w:w="1000" w:type="dxa"/>
            <w:vAlign w:val="bottom"/>
            <w:shd w:val="clear" w:color="auto" w:fill="D0EBF2"/>
          </w:tcPr>
          <w:p>
            <w:pPr>
              <w:spacing w:after="0"/>
              <w:rPr>
                <w:sz w:val="16"/>
                <w:szCs w:val="16"/>
                <w:color w:val="auto"/>
              </w:rPr>
            </w:pPr>
          </w:p>
        </w:tc>
        <w:tc>
          <w:tcPr>
            <w:tcW w:w="180" w:type="dxa"/>
            <w:vAlign w:val="bottom"/>
            <w:shd w:val="clear" w:color="auto" w:fill="D0EBF2"/>
          </w:tcPr>
          <w:p>
            <w:pPr>
              <w:spacing w:after="0"/>
              <w:rPr>
                <w:sz w:val="16"/>
                <w:szCs w:val="16"/>
                <w:color w:val="auto"/>
              </w:rPr>
            </w:pPr>
          </w:p>
        </w:tc>
        <w:tc>
          <w:tcPr>
            <w:tcW w:w="960" w:type="dxa"/>
            <w:vAlign w:val="bottom"/>
            <w:shd w:val="clear" w:color="auto" w:fill="D0EBF2"/>
          </w:tcPr>
          <w:p>
            <w:pPr>
              <w:spacing w:after="0"/>
              <w:rPr>
                <w:sz w:val="16"/>
                <w:szCs w:val="16"/>
                <w:color w:val="auto"/>
              </w:rPr>
            </w:pPr>
          </w:p>
        </w:tc>
        <w:tc>
          <w:tcPr>
            <w:tcW w:w="200" w:type="dxa"/>
            <w:vAlign w:val="bottom"/>
            <w:shd w:val="clear" w:color="auto" w:fill="D0EBF2"/>
          </w:tcPr>
          <w:p>
            <w:pPr>
              <w:spacing w:after="0"/>
              <w:rPr>
                <w:sz w:val="16"/>
                <w:szCs w:val="16"/>
                <w:color w:val="auto"/>
              </w:rPr>
            </w:pPr>
          </w:p>
        </w:tc>
        <w:tc>
          <w:tcPr>
            <w:tcW w:w="900" w:type="dxa"/>
            <w:vAlign w:val="bottom"/>
            <w:shd w:val="clear" w:color="auto" w:fill="D0EBF2"/>
          </w:tcPr>
          <w:p>
            <w:pPr>
              <w:spacing w:after="0"/>
              <w:rPr>
                <w:sz w:val="16"/>
                <w:szCs w:val="16"/>
                <w:color w:val="auto"/>
              </w:rPr>
            </w:pPr>
          </w:p>
        </w:tc>
        <w:tc>
          <w:tcPr>
            <w:tcW w:w="240" w:type="dxa"/>
            <w:vAlign w:val="bottom"/>
            <w:shd w:val="clear" w:color="auto" w:fill="D0EBF2"/>
          </w:tcPr>
          <w:p>
            <w:pPr>
              <w:spacing w:after="0"/>
              <w:rPr>
                <w:sz w:val="16"/>
                <w:szCs w:val="16"/>
                <w:color w:val="auto"/>
              </w:rPr>
            </w:pPr>
          </w:p>
        </w:tc>
        <w:tc>
          <w:tcPr>
            <w:tcW w:w="0" w:type="dxa"/>
            <w:vAlign w:val="bottom"/>
          </w:tcPr>
          <w:p>
            <w:pPr>
              <w:spacing w:after="0"/>
              <w:rPr>
                <w:sz w:val="1"/>
                <w:szCs w:val="1"/>
                <w:color w:val="auto"/>
              </w:rPr>
            </w:pPr>
          </w:p>
        </w:tc>
      </w:tr>
      <w:tr>
        <w:trPr>
          <w:trHeight w:val="174"/>
        </w:trPr>
        <w:tc>
          <w:tcPr>
            <w:tcW w:w="1440" w:type="dxa"/>
            <w:vAlign w:val="bottom"/>
            <w:shd w:val="clear" w:color="auto" w:fill="FDFDFC"/>
          </w:tcPr>
          <w:p>
            <w:pPr>
              <w:spacing w:after="0"/>
              <w:rPr>
                <w:sz w:val="15"/>
                <w:szCs w:val="15"/>
                <w:color w:val="auto"/>
              </w:rPr>
            </w:pPr>
          </w:p>
        </w:tc>
        <w:tc>
          <w:tcPr>
            <w:tcW w:w="2440" w:type="dxa"/>
            <w:vAlign w:val="bottom"/>
            <w:shd w:val="clear" w:color="auto" w:fill="FDFDFC"/>
          </w:tcPr>
          <w:p>
            <w:pPr>
              <w:ind w:left="80"/>
              <w:spacing w:after="0"/>
              <w:rPr>
                <w:sz w:val="20"/>
                <w:szCs w:val="20"/>
                <w:color w:val="auto"/>
              </w:rPr>
            </w:pPr>
            <w:r>
              <w:rPr>
                <w:rFonts w:ascii="Times New Roman" w:cs="Times New Roman" w:eastAsia="Times New Roman" w:hAnsi="Times New Roman"/>
                <w:sz w:val="15"/>
                <w:szCs w:val="15"/>
                <w:color w:val="231F20"/>
              </w:rPr>
              <w:t>633,376 Warrants</w:t>
            </w:r>
          </w:p>
        </w:tc>
        <w:tc>
          <w:tcPr>
            <w:tcW w:w="820" w:type="dxa"/>
            <w:vAlign w:val="bottom"/>
            <w:shd w:val="clear" w:color="auto" w:fill="FDFDFC"/>
          </w:tcPr>
          <w:p>
            <w:pPr>
              <w:jc w:val="right"/>
              <w:spacing w:after="0"/>
              <w:rPr>
                <w:sz w:val="20"/>
                <w:szCs w:val="20"/>
                <w:color w:val="auto"/>
              </w:rPr>
            </w:pPr>
            <w:r>
              <w:rPr>
                <w:rFonts w:ascii="Times New Roman" w:cs="Times New Roman" w:eastAsia="Times New Roman" w:hAnsi="Times New Roman"/>
                <w:sz w:val="15"/>
                <w:szCs w:val="15"/>
                <w:color w:val="231F20"/>
              </w:rPr>
              <w:t>9/21/2018</w:t>
            </w:r>
          </w:p>
        </w:tc>
        <w:tc>
          <w:tcPr>
            <w:tcW w:w="20" w:type="dxa"/>
            <w:vAlign w:val="bottom"/>
          </w:tcPr>
          <w:p>
            <w:pPr>
              <w:spacing w:after="0"/>
              <w:rPr>
                <w:sz w:val="15"/>
                <w:szCs w:val="15"/>
                <w:color w:val="auto"/>
              </w:rPr>
            </w:pPr>
          </w:p>
        </w:tc>
        <w:tc>
          <w:tcPr>
            <w:tcW w:w="3080" w:type="dxa"/>
            <w:vAlign w:val="bottom"/>
            <w:gridSpan w:val="2"/>
            <w:shd w:val="clear" w:color="auto" w:fill="FDFDFC"/>
          </w:tcPr>
          <w:p>
            <w:pPr>
              <w:jc w:val="right"/>
              <w:spacing w:after="0"/>
              <w:rPr>
                <w:sz w:val="20"/>
                <w:szCs w:val="20"/>
                <w:color w:val="auto"/>
              </w:rPr>
            </w:pPr>
            <w:r>
              <w:rPr>
                <w:rFonts w:ascii="Times New Roman" w:cs="Times New Roman" w:eastAsia="Times New Roman" w:hAnsi="Times New Roman"/>
                <w:sz w:val="15"/>
                <w:szCs w:val="15"/>
                <w:color w:val="231F20"/>
              </w:rPr>
              <w:t>192</w:t>
            </w:r>
          </w:p>
        </w:tc>
        <w:tc>
          <w:tcPr>
            <w:tcW w:w="1140" w:type="dxa"/>
            <w:vAlign w:val="bottom"/>
            <w:gridSpan w:val="2"/>
            <w:shd w:val="clear" w:color="auto" w:fill="FDFDFC"/>
          </w:tcPr>
          <w:p>
            <w:pPr>
              <w:jc w:val="right"/>
              <w:spacing w:after="0"/>
              <w:rPr>
                <w:sz w:val="20"/>
                <w:szCs w:val="20"/>
                <w:color w:val="auto"/>
              </w:rPr>
            </w:pPr>
            <w:r>
              <w:rPr>
                <w:rFonts w:ascii="Times New Roman" w:cs="Times New Roman" w:eastAsia="Times New Roman" w:hAnsi="Times New Roman"/>
                <w:sz w:val="15"/>
                <w:szCs w:val="15"/>
                <w:color w:val="231F20"/>
              </w:rPr>
              <w:t>1,187</w:t>
            </w:r>
          </w:p>
        </w:tc>
        <w:tc>
          <w:tcPr>
            <w:tcW w:w="1340" w:type="dxa"/>
            <w:vAlign w:val="bottom"/>
            <w:gridSpan w:val="3"/>
            <w:shd w:val="clear" w:color="auto" w:fill="FDFDFC"/>
          </w:tcPr>
          <w:p>
            <w:pPr>
              <w:jc w:val="right"/>
              <w:ind w:right="120"/>
              <w:spacing w:after="0"/>
              <w:rPr>
                <w:sz w:val="20"/>
                <w:szCs w:val="20"/>
                <w:color w:val="auto"/>
              </w:rPr>
            </w:pPr>
            <w:r>
              <w:rPr>
                <w:rFonts w:ascii="Times New Roman" w:cs="Times New Roman" w:eastAsia="Times New Roman" w:hAnsi="Times New Roman"/>
                <w:sz w:val="15"/>
                <w:szCs w:val="15"/>
                <w:color w:val="231F20"/>
              </w:rPr>
              <w:t>0.1%</w:t>
            </w:r>
          </w:p>
        </w:tc>
        <w:tc>
          <w:tcPr>
            <w:tcW w:w="0" w:type="dxa"/>
            <w:vAlign w:val="bottom"/>
          </w:tcPr>
          <w:p>
            <w:pPr>
              <w:spacing w:after="0"/>
              <w:rPr>
                <w:sz w:val="1"/>
                <w:szCs w:val="1"/>
                <w:color w:val="auto"/>
              </w:rPr>
            </w:pPr>
          </w:p>
        </w:tc>
      </w:tr>
      <w:tr>
        <w:trPr>
          <w:trHeight w:val="174"/>
        </w:trPr>
        <w:tc>
          <w:tcPr>
            <w:tcW w:w="1440" w:type="dxa"/>
            <w:vAlign w:val="bottom"/>
            <w:shd w:val="clear" w:color="auto" w:fill="D0EBF2"/>
          </w:tcPr>
          <w:p>
            <w:pPr>
              <w:spacing w:after="0"/>
              <w:rPr>
                <w:sz w:val="15"/>
                <w:szCs w:val="15"/>
                <w:color w:val="auto"/>
              </w:rPr>
            </w:pPr>
          </w:p>
        </w:tc>
        <w:tc>
          <w:tcPr>
            <w:tcW w:w="2440" w:type="dxa"/>
            <w:vAlign w:val="bottom"/>
            <w:shd w:val="clear" w:color="auto" w:fill="D0EBF2"/>
          </w:tcPr>
          <w:p>
            <w:pPr>
              <w:ind w:left="80"/>
              <w:spacing w:after="0"/>
              <w:rPr>
                <w:sz w:val="20"/>
                <w:szCs w:val="20"/>
                <w:color w:val="auto"/>
              </w:rPr>
            </w:pPr>
            <w:r>
              <w:rPr>
                <w:rFonts w:ascii="Times New Roman" w:cs="Times New Roman" w:eastAsia="Times New Roman" w:hAnsi="Times New Roman"/>
                <w:sz w:val="15"/>
                <w:szCs w:val="15"/>
                <w:color w:val="231F20"/>
              </w:rPr>
              <w:t>569,991 Warrants</w:t>
            </w:r>
          </w:p>
        </w:tc>
        <w:tc>
          <w:tcPr>
            <w:tcW w:w="820" w:type="dxa"/>
            <w:vAlign w:val="bottom"/>
            <w:shd w:val="clear" w:color="auto" w:fill="D0EBF2"/>
          </w:tcPr>
          <w:p>
            <w:pPr>
              <w:jc w:val="right"/>
              <w:spacing w:after="0"/>
              <w:rPr>
                <w:sz w:val="20"/>
                <w:szCs w:val="20"/>
                <w:color w:val="auto"/>
              </w:rPr>
            </w:pPr>
            <w:r>
              <w:rPr>
                <w:rFonts w:ascii="Times New Roman" w:cs="Times New Roman" w:eastAsia="Times New Roman" w:hAnsi="Times New Roman"/>
                <w:sz w:val="15"/>
                <w:szCs w:val="15"/>
                <w:color w:val="231F20"/>
              </w:rPr>
              <w:t>4/2/2020</w:t>
            </w:r>
          </w:p>
        </w:tc>
        <w:tc>
          <w:tcPr>
            <w:tcW w:w="20" w:type="dxa"/>
            <w:vAlign w:val="bottom"/>
          </w:tcPr>
          <w:p>
            <w:pPr>
              <w:spacing w:after="0"/>
              <w:rPr>
                <w:sz w:val="15"/>
                <w:szCs w:val="15"/>
                <w:color w:val="auto"/>
              </w:rPr>
            </w:pPr>
          </w:p>
        </w:tc>
        <w:tc>
          <w:tcPr>
            <w:tcW w:w="3080" w:type="dxa"/>
            <w:vAlign w:val="bottom"/>
            <w:gridSpan w:val="2"/>
            <w:shd w:val="clear" w:color="auto" w:fill="D0EBF2"/>
          </w:tcPr>
          <w:p>
            <w:pPr>
              <w:jc w:val="right"/>
              <w:spacing w:after="0"/>
              <w:rPr>
                <w:sz w:val="20"/>
                <w:szCs w:val="20"/>
                <w:color w:val="auto"/>
              </w:rPr>
            </w:pPr>
            <w:r>
              <w:rPr>
                <w:rFonts w:ascii="Times New Roman" w:cs="Times New Roman" w:eastAsia="Times New Roman" w:hAnsi="Times New Roman"/>
                <w:sz w:val="15"/>
                <w:szCs w:val="15"/>
                <w:color w:val="231F20"/>
              </w:rPr>
              <w:t>250</w:t>
            </w:r>
          </w:p>
        </w:tc>
        <w:tc>
          <w:tcPr>
            <w:tcW w:w="1140" w:type="dxa"/>
            <w:vAlign w:val="bottom"/>
            <w:gridSpan w:val="2"/>
            <w:shd w:val="clear" w:color="auto" w:fill="D0EBF2"/>
          </w:tcPr>
          <w:p>
            <w:pPr>
              <w:jc w:val="right"/>
              <w:spacing w:after="0"/>
              <w:rPr>
                <w:sz w:val="20"/>
                <w:szCs w:val="20"/>
                <w:color w:val="auto"/>
              </w:rPr>
            </w:pPr>
            <w:r>
              <w:rPr>
                <w:rFonts w:ascii="Times New Roman" w:cs="Times New Roman" w:eastAsia="Times New Roman" w:hAnsi="Times New Roman"/>
                <w:sz w:val="15"/>
                <w:szCs w:val="15"/>
                <w:color w:val="231F20"/>
              </w:rPr>
              <w:t>885</w:t>
            </w:r>
          </w:p>
        </w:tc>
        <w:tc>
          <w:tcPr>
            <w:tcW w:w="1340" w:type="dxa"/>
            <w:vAlign w:val="bottom"/>
            <w:gridSpan w:val="3"/>
            <w:shd w:val="clear" w:color="auto" w:fill="D0EBF2"/>
          </w:tcPr>
          <w:p>
            <w:pPr>
              <w:jc w:val="right"/>
              <w:ind w:right="120"/>
              <w:spacing w:after="0"/>
              <w:rPr>
                <w:sz w:val="20"/>
                <w:szCs w:val="20"/>
                <w:color w:val="auto"/>
              </w:rPr>
            </w:pPr>
            <w:r>
              <w:rPr>
                <w:rFonts w:ascii="Times New Roman" w:cs="Times New Roman" w:eastAsia="Times New Roman" w:hAnsi="Times New Roman"/>
                <w:sz w:val="15"/>
                <w:szCs w:val="15"/>
                <w:color w:val="231F20"/>
              </w:rPr>
              <w:t>0.1%</w:t>
            </w:r>
          </w:p>
        </w:tc>
        <w:tc>
          <w:tcPr>
            <w:tcW w:w="0" w:type="dxa"/>
            <w:vAlign w:val="bottom"/>
          </w:tcPr>
          <w:p>
            <w:pPr>
              <w:spacing w:after="0"/>
              <w:rPr>
                <w:sz w:val="1"/>
                <w:szCs w:val="1"/>
                <w:color w:val="auto"/>
              </w:rPr>
            </w:pPr>
          </w:p>
        </w:tc>
      </w:tr>
      <w:tr>
        <w:trPr>
          <w:trHeight w:val="171"/>
        </w:trPr>
        <w:tc>
          <w:tcPr>
            <w:tcW w:w="1440" w:type="dxa"/>
            <w:vAlign w:val="bottom"/>
            <w:shd w:val="clear" w:color="auto" w:fill="FDFDFC"/>
          </w:tcPr>
          <w:p>
            <w:pPr>
              <w:spacing w:after="0" w:line="171" w:lineRule="exact"/>
              <w:rPr>
                <w:sz w:val="20"/>
                <w:szCs w:val="20"/>
                <w:color w:val="auto"/>
              </w:rPr>
            </w:pPr>
            <w:r>
              <w:rPr>
                <w:rFonts w:ascii="Times New Roman" w:cs="Times New Roman" w:eastAsia="Times New Roman" w:hAnsi="Times New Roman"/>
                <w:sz w:val="15"/>
                <w:szCs w:val="15"/>
                <w:color w:val="231F20"/>
              </w:rPr>
              <w:t>Merative Topco L.P.</w:t>
            </w:r>
          </w:p>
        </w:tc>
        <w:tc>
          <w:tcPr>
            <w:tcW w:w="2440" w:type="dxa"/>
            <w:vAlign w:val="bottom"/>
            <w:shd w:val="clear" w:color="auto" w:fill="FDFDFC"/>
          </w:tcPr>
          <w:p>
            <w:pPr>
              <w:ind w:left="80"/>
              <w:spacing w:after="0" w:line="171" w:lineRule="exact"/>
              <w:rPr>
                <w:sz w:val="20"/>
                <w:szCs w:val="20"/>
                <w:color w:val="auto"/>
              </w:rPr>
            </w:pPr>
            <w:r>
              <w:rPr>
                <w:rFonts w:ascii="Times New Roman" w:cs="Times New Roman" w:eastAsia="Times New Roman" w:hAnsi="Times New Roman"/>
                <w:sz w:val="15"/>
                <w:szCs w:val="15"/>
                <w:color w:val="231F20"/>
              </w:rPr>
              <w:t>989,691 Class A-1 Units</w:t>
            </w:r>
          </w:p>
        </w:tc>
        <w:tc>
          <w:tcPr>
            <w:tcW w:w="820" w:type="dxa"/>
            <w:vAlign w:val="bottom"/>
            <w:shd w:val="clear" w:color="auto" w:fill="FDFDFC"/>
          </w:tcPr>
          <w:p>
            <w:pPr>
              <w:jc w:val="right"/>
              <w:spacing w:after="0" w:line="171" w:lineRule="exact"/>
              <w:rPr>
                <w:sz w:val="20"/>
                <w:szCs w:val="20"/>
                <w:color w:val="auto"/>
              </w:rPr>
            </w:pPr>
            <w:r>
              <w:rPr>
                <w:rFonts w:ascii="Times New Roman" w:cs="Times New Roman" w:eastAsia="Times New Roman" w:hAnsi="Times New Roman"/>
                <w:sz w:val="15"/>
                <w:szCs w:val="15"/>
                <w:color w:val="231F20"/>
              </w:rPr>
              <w:t>6/30/2022</w:t>
            </w:r>
          </w:p>
        </w:tc>
        <w:tc>
          <w:tcPr>
            <w:tcW w:w="20" w:type="dxa"/>
            <w:vAlign w:val="bottom"/>
          </w:tcPr>
          <w:p>
            <w:pPr>
              <w:spacing w:after="0"/>
              <w:rPr>
                <w:sz w:val="14"/>
                <w:szCs w:val="14"/>
                <w:color w:val="auto"/>
              </w:rPr>
            </w:pPr>
          </w:p>
        </w:tc>
        <w:tc>
          <w:tcPr>
            <w:tcW w:w="3080" w:type="dxa"/>
            <w:vAlign w:val="bottom"/>
            <w:gridSpan w:val="2"/>
            <w:shd w:val="clear" w:color="auto" w:fill="FDFDFC"/>
          </w:tcPr>
          <w:p>
            <w:pPr>
              <w:jc w:val="right"/>
              <w:spacing w:after="0" w:line="171" w:lineRule="exact"/>
              <w:rPr>
                <w:sz w:val="20"/>
                <w:szCs w:val="20"/>
                <w:color w:val="auto"/>
              </w:rPr>
            </w:pPr>
            <w:r>
              <w:rPr>
                <w:rFonts w:ascii="Times New Roman" w:cs="Times New Roman" w:eastAsia="Times New Roman" w:hAnsi="Times New Roman"/>
                <w:sz w:val="15"/>
                <w:szCs w:val="15"/>
                <w:color w:val="231F20"/>
              </w:rPr>
              <w:t>9,897</w:t>
            </w:r>
          </w:p>
        </w:tc>
        <w:tc>
          <w:tcPr>
            <w:tcW w:w="1140" w:type="dxa"/>
            <w:vAlign w:val="bottom"/>
            <w:gridSpan w:val="2"/>
            <w:shd w:val="clear" w:color="auto" w:fill="FDFDFC"/>
          </w:tcPr>
          <w:p>
            <w:pPr>
              <w:jc w:val="right"/>
              <w:spacing w:after="0" w:line="171" w:lineRule="exact"/>
              <w:rPr>
                <w:sz w:val="20"/>
                <w:szCs w:val="20"/>
                <w:color w:val="auto"/>
              </w:rPr>
            </w:pPr>
            <w:r>
              <w:rPr>
                <w:rFonts w:ascii="Times New Roman" w:cs="Times New Roman" w:eastAsia="Times New Roman" w:hAnsi="Times New Roman"/>
                <w:sz w:val="15"/>
                <w:szCs w:val="15"/>
                <w:color w:val="231F20"/>
              </w:rPr>
              <w:t>9,600</w:t>
            </w:r>
          </w:p>
        </w:tc>
        <w:tc>
          <w:tcPr>
            <w:tcW w:w="1340" w:type="dxa"/>
            <w:vAlign w:val="bottom"/>
            <w:gridSpan w:val="3"/>
            <w:shd w:val="clear" w:color="auto" w:fill="FDFDFC"/>
          </w:tcPr>
          <w:p>
            <w:pPr>
              <w:jc w:val="right"/>
              <w:ind w:right="120"/>
              <w:spacing w:after="0" w:line="171" w:lineRule="exact"/>
              <w:rPr>
                <w:sz w:val="20"/>
                <w:szCs w:val="20"/>
                <w:color w:val="auto"/>
              </w:rPr>
            </w:pPr>
            <w:r>
              <w:rPr>
                <w:rFonts w:ascii="Times New Roman" w:cs="Times New Roman" w:eastAsia="Times New Roman" w:hAnsi="Times New Roman"/>
                <w:sz w:val="15"/>
                <w:szCs w:val="15"/>
                <w:color w:val="231F20"/>
              </w:rPr>
              <w:t>0.6%</w:t>
            </w:r>
          </w:p>
        </w:tc>
        <w:tc>
          <w:tcPr>
            <w:tcW w:w="0" w:type="dxa"/>
            <w:vAlign w:val="bottom"/>
          </w:tcPr>
          <w:p>
            <w:pPr>
              <w:spacing w:after="0"/>
              <w:rPr>
                <w:sz w:val="1"/>
                <w:szCs w:val="1"/>
                <w:color w:val="auto"/>
              </w:rPr>
            </w:pPr>
          </w:p>
        </w:tc>
      </w:tr>
      <w:tr>
        <w:trPr>
          <w:trHeight w:val="157"/>
        </w:trPr>
        <w:tc>
          <w:tcPr>
            <w:tcW w:w="1440" w:type="dxa"/>
            <w:vAlign w:val="bottom"/>
            <w:tcBorders>
              <w:bottom w:val="single" w:sz="8" w:color="FDFDFC"/>
            </w:tcBorders>
            <w:shd w:val="clear" w:color="auto" w:fill="FDFDFC"/>
          </w:tcPr>
          <w:p>
            <w:pPr>
              <w:spacing w:after="0"/>
              <w:rPr>
                <w:sz w:val="20"/>
                <w:szCs w:val="20"/>
                <w:color w:val="auto"/>
              </w:rPr>
            </w:pPr>
            <w:r>
              <w:rPr>
                <w:rFonts w:ascii="Times New Roman" w:cs="Times New Roman" w:eastAsia="Times New Roman" w:hAnsi="Times New Roman"/>
                <w:sz w:val="9"/>
                <w:szCs w:val="9"/>
                <w:color w:val="231F20"/>
              </w:rPr>
              <w:t>(11)</w:t>
            </w:r>
          </w:p>
        </w:tc>
        <w:tc>
          <w:tcPr>
            <w:tcW w:w="2440" w:type="dxa"/>
            <w:vAlign w:val="bottom"/>
            <w:tcBorders>
              <w:bottom w:val="single" w:sz="8" w:color="FDFDFC"/>
            </w:tcBorders>
            <w:shd w:val="clear" w:color="auto" w:fill="FDFDFC"/>
          </w:tcPr>
          <w:p>
            <w:pPr>
              <w:spacing w:after="0"/>
              <w:rPr>
                <w:sz w:val="13"/>
                <w:szCs w:val="13"/>
                <w:color w:val="auto"/>
              </w:rPr>
            </w:pPr>
          </w:p>
        </w:tc>
        <w:tc>
          <w:tcPr>
            <w:tcW w:w="820" w:type="dxa"/>
            <w:vAlign w:val="bottom"/>
            <w:tcBorders>
              <w:bottom w:val="single" w:sz="8" w:color="FDFDFC"/>
            </w:tcBorders>
            <w:shd w:val="clear" w:color="auto" w:fill="FDFDFC"/>
          </w:tcPr>
          <w:p>
            <w:pPr>
              <w:spacing w:after="0"/>
              <w:rPr>
                <w:sz w:val="13"/>
                <w:szCs w:val="13"/>
                <w:color w:val="auto"/>
              </w:rPr>
            </w:pPr>
          </w:p>
        </w:tc>
        <w:tc>
          <w:tcPr>
            <w:tcW w:w="20" w:type="dxa"/>
            <w:vAlign w:val="bottom"/>
          </w:tcPr>
          <w:p>
            <w:pPr>
              <w:spacing w:after="0"/>
              <w:rPr>
                <w:sz w:val="13"/>
                <w:szCs w:val="13"/>
                <w:color w:val="auto"/>
              </w:rPr>
            </w:pPr>
          </w:p>
        </w:tc>
        <w:tc>
          <w:tcPr>
            <w:tcW w:w="2080" w:type="dxa"/>
            <w:vAlign w:val="bottom"/>
            <w:tcBorders>
              <w:bottom w:val="single" w:sz="8" w:color="FDFDFC"/>
            </w:tcBorders>
            <w:shd w:val="clear" w:color="auto" w:fill="FDFDFC"/>
          </w:tcPr>
          <w:p>
            <w:pPr>
              <w:spacing w:after="0"/>
              <w:rPr>
                <w:sz w:val="13"/>
                <w:szCs w:val="13"/>
                <w:color w:val="auto"/>
              </w:rPr>
            </w:pPr>
          </w:p>
        </w:tc>
        <w:tc>
          <w:tcPr>
            <w:tcW w:w="1000" w:type="dxa"/>
            <w:vAlign w:val="bottom"/>
            <w:tcBorders>
              <w:bottom w:val="single" w:sz="8" w:color="FDFDFC"/>
            </w:tcBorders>
            <w:shd w:val="clear" w:color="auto" w:fill="FDFDFC"/>
          </w:tcPr>
          <w:p>
            <w:pPr>
              <w:spacing w:after="0"/>
              <w:rPr>
                <w:sz w:val="13"/>
                <w:szCs w:val="13"/>
                <w:color w:val="auto"/>
              </w:rPr>
            </w:pPr>
          </w:p>
        </w:tc>
        <w:tc>
          <w:tcPr>
            <w:tcW w:w="180" w:type="dxa"/>
            <w:vAlign w:val="bottom"/>
            <w:tcBorders>
              <w:bottom w:val="single" w:sz="8" w:color="FDFDFC"/>
            </w:tcBorders>
            <w:shd w:val="clear" w:color="auto" w:fill="FDFDFC"/>
          </w:tcPr>
          <w:p>
            <w:pPr>
              <w:spacing w:after="0"/>
              <w:rPr>
                <w:sz w:val="13"/>
                <w:szCs w:val="13"/>
                <w:color w:val="auto"/>
              </w:rPr>
            </w:pPr>
          </w:p>
        </w:tc>
        <w:tc>
          <w:tcPr>
            <w:tcW w:w="960" w:type="dxa"/>
            <w:vAlign w:val="bottom"/>
            <w:tcBorders>
              <w:bottom w:val="single" w:sz="8" w:color="FDFDFC"/>
            </w:tcBorders>
            <w:shd w:val="clear" w:color="auto" w:fill="FDFDFC"/>
          </w:tcPr>
          <w:p>
            <w:pPr>
              <w:spacing w:after="0"/>
              <w:rPr>
                <w:sz w:val="13"/>
                <w:szCs w:val="13"/>
                <w:color w:val="auto"/>
              </w:rPr>
            </w:pPr>
          </w:p>
        </w:tc>
        <w:tc>
          <w:tcPr>
            <w:tcW w:w="200" w:type="dxa"/>
            <w:vAlign w:val="bottom"/>
            <w:tcBorders>
              <w:bottom w:val="single" w:sz="8" w:color="FDFDFC"/>
            </w:tcBorders>
            <w:shd w:val="clear" w:color="auto" w:fill="FDFDFC"/>
          </w:tcPr>
          <w:p>
            <w:pPr>
              <w:spacing w:after="0"/>
              <w:rPr>
                <w:sz w:val="13"/>
                <w:szCs w:val="13"/>
                <w:color w:val="auto"/>
              </w:rPr>
            </w:pPr>
          </w:p>
        </w:tc>
        <w:tc>
          <w:tcPr>
            <w:tcW w:w="900" w:type="dxa"/>
            <w:vAlign w:val="bottom"/>
            <w:tcBorders>
              <w:bottom w:val="single" w:sz="8" w:color="FDFDFC"/>
            </w:tcBorders>
            <w:shd w:val="clear" w:color="auto" w:fill="FDFDFC"/>
          </w:tcPr>
          <w:p>
            <w:pPr>
              <w:spacing w:after="0"/>
              <w:rPr>
                <w:sz w:val="13"/>
                <w:szCs w:val="13"/>
                <w:color w:val="auto"/>
              </w:rPr>
            </w:pPr>
          </w:p>
        </w:tc>
        <w:tc>
          <w:tcPr>
            <w:tcW w:w="240" w:type="dxa"/>
            <w:vAlign w:val="bottom"/>
            <w:tcBorders>
              <w:bottom w:val="single" w:sz="8" w:color="FDFDFC"/>
            </w:tcBorders>
            <w:shd w:val="clear" w:color="auto" w:fill="FDFDFC"/>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1440" w:type="dxa"/>
            <w:vAlign w:val="bottom"/>
            <w:shd w:val="clear" w:color="auto" w:fill="D0EBF2"/>
          </w:tcPr>
          <w:p>
            <w:pPr>
              <w:spacing w:after="0" w:line="159" w:lineRule="exact"/>
              <w:rPr>
                <w:sz w:val="20"/>
                <w:szCs w:val="20"/>
                <w:color w:val="auto"/>
              </w:rPr>
            </w:pPr>
            <w:r>
              <w:rPr>
                <w:rFonts w:ascii="Times New Roman" w:cs="Times New Roman" w:eastAsia="Times New Roman" w:hAnsi="Times New Roman"/>
                <w:sz w:val="15"/>
                <w:szCs w:val="15"/>
                <w:color w:val="231F20"/>
              </w:rPr>
              <w:t>Raptor US Buyer II</w:t>
            </w:r>
          </w:p>
        </w:tc>
        <w:tc>
          <w:tcPr>
            <w:tcW w:w="2440" w:type="dxa"/>
            <w:vAlign w:val="bottom"/>
            <w:shd w:val="clear" w:color="auto" w:fill="D0EBF2"/>
          </w:tcPr>
          <w:p>
            <w:pPr>
              <w:ind w:left="80"/>
              <w:spacing w:after="0" w:line="159" w:lineRule="exact"/>
              <w:rPr>
                <w:sz w:val="20"/>
                <w:szCs w:val="20"/>
                <w:color w:val="auto"/>
              </w:rPr>
            </w:pPr>
            <w:r>
              <w:rPr>
                <w:rFonts w:ascii="Times New Roman" w:cs="Times New Roman" w:eastAsia="Times New Roman" w:hAnsi="Times New Roman"/>
                <w:sz w:val="15"/>
                <w:szCs w:val="15"/>
                <w:color w:val="231F20"/>
              </w:rPr>
              <w:t>20,268 Ordinary Shares</w:t>
            </w:r>
          </w:p>
        </w:tc>
        <w:tc>
          <w:tcPr>
            <w:tcW w:w="820" w:type="dxa"/>
            <w:vAlign w:val="bottom"/>
            <w:shd w:val="clear" w:color="auto" w:fill="D0EBF2"/>
          </w:tcPr>
          <w:p>
            <w:pPr>
              <w:jc w:val="right"/>
              <w:spacing w:after="0" w:line="159" w:lineRule="exact"/>
              <w:rPr>
                <w:sz w:val="20"/>
                <w:szCs w:val="20"/>
                <w:color w:val="auto"/>
              </w:rPr>
            </w:pPr>
            <w:r>
              <w:rPr>
                <w:rFonts w:ascii="Times New Roman" w:cs="Times New Roman" w:eastAsia="Times New Roman" w:hAnsi="Times New Roman"/>
                <w:sz w:val="15"/>
                <w:szCs w:val="15"/>
                <w:color w:val="231F20"/>
              </w:rPr>
              <w:t>3/24/2023</w:t>
            </w:r>
          </w:p>
        </w:tc>
        <w:tc>
          <w:tcPr>
            <w:tcW w:w="20" w:type="dxa"/>
            <w:vAlign w:val="bottom"/>
          </w:tcPr>
          <w:p>
            <w:pPr>
              <w:spacing w:after="0"/>
              <w:rPr>
                <w:sz w:val="13"/>
                <w:szCs w:val="13"/>
                <w:color w:val="auto"/>
              </w:rPr>
            </w:pPr>
          </w:p>
        </w:tc>
        <w:tc>
          <w:tcPr>
            <w:tcW w:w="3080" w:type="dxa"/>
            <w:vAlign w:val="bottom"/>
            <w:gridSpan w:val="2"/>
            <w:shd w:val="clear" w:color="auto" w:fill="D0EBF2"/>
          </w:tcPr>
          <w:p>
            <w:pPr>
              <w:jc w:val="right"/>
              <w:spacing w:after="0" w:line="159" w:lineRule="exact"/>
              <w:rPr>
                <w:sz w:val="20"/>
                <w:szCs w:val="20"/>
                <w:color w:val="auto"/>
              </w:rPr>
            </w:pPr>
            <w:r>
              <w:rPr>
                <w:rFonts w:ascii="Times New Roman" w:cs="Times New Roman" w:eastAsia="Times New Roman" w:hAnsi="Times New Roman"/>
                <w:sz w:val="15"/>
                <w:szCs w:val="15"/>
                <w:color w:val="231F20"/>
              </w:rPr>
              <w:t>2,033</w:t>
            </w:r>
          </w:p>
        </w:tc>
        <w:tc>
          <w:tcPr>
            <w:tcW w:w="1140" w:type="dxa"/>
            <w:vAlign w:val="bottom"/>
            <w:gridSpan w:val="2"/>
            <w:shd w:val="clear" w:color="auto" w:fill="D0EBF2"/>
          </w:tcPr>
          <w:p>
            <w:pPr>
              <w:jc w:val="right"/>
              <w:spacing w:after="0" w:line="159" w:lineRule="exact"/>
              <w:rPr>
                <w:sz w:val="20"/>
                <w:szCs w:val="20"/>
                <w:color w:val="auto"/>
              </w:rPr>
            </w:pPr>
            <w:r>
              <w:rPr>
                <w:rFonts w:ascii="Times New Roman" w:cs="Times New Roman" w:eastAsia="Times New Roman" w:hAnsi="Times New Roman"/>
                <w:sz w:val="15"/>
                <w:szCs w:val="15"/>
                <w:color w:val="231F20"/>
              </w:rPr>
              <w:t>2,033</w:t>
            </w:r>
          </w:p>
        </w:tc>
        <w:tc>
          <w:tcPr>
            <w:tcW w:w="1340" w:type="dxa"/>
            <w:vAlign w:val="bottom"/>
            <w:gridSpan w:val="3"/>
            <w:shd w:val="clear" w:color="auto" w:fill="D0EBF2"/>
          </w:tcPr>
          <w:p>
            <w:pPr>
              <w:jc w:val="right"/>
              <w:ind w:right="120"/>
              <w:spacing w:after="0" w:line="159" w:lineRule="exact"/>
              <w:rPr>
                <w:sz w:val="20"/>
                <w:szCs w:val="20"/>
                <w:color w:val="auto"/>
              </w:rPr>
            </w:pPr>
            <w:r>
              <w:rPr>
                <w:rFonts w:ascii="Times New Roman" w:cs="Times New Roman" w:eastAsia="Times New Roman" w:hAnsi="Times New Roman"/>
                <w:sz w:val="15"/>
                <w:szCs w:val="15"/>
                <w:color w:val="231F20"/>
              </w:rPr>
              <w:t>0.1%</w:t>
            </w:r>
          </w:p>
        </w:tc>
        <w:tc>
          <w:tcPr>
            <w:tcW w:w="0" w:type="dxa"/>
            <w:vAlign w:val="bottom"/>
          </w:tcPr>
          <w:p>
            <w:pPr>
              <w:spacing w:after="0"/>
              <w:rPr>
                <w:sz w:val="1"/>
                <w:szCs w:val="1"/>
                <w:color w:val="auto"/>
              </w:rPr>
            </w:pPr>
          </w:p>
        </w:tc>
      </w:tr>
      <w:tr>
        <w:trPr>
          <w:trHeight w:val="189"/>
        </w:trPr>
        <w:tc>
          <w:tcPr>
            <w:tcW w:w="1440" w:type="dxa"/>
            <w:vAlign w:val="bottom"/>
            <w:tcBorders>
              <w:bottom w:val="single" w:sz="8" w:color="D0EBF2"/>
            </w:tcBorders>
            <w:shd w:val="clear" w:color="auto" w:fill="D0EBF2"/>
          </w:tcPr>
          <w:p>
            <w:pPr>
              <w:spacing w:after="0" w:line="190" w:lineRule="exact"/>
              <w:rPr>
                <w:sz w:val="20"/>
                <w:szCs w:val="20"/>
                <w:color w:val="auto"/>
              </w:rPr>
            </w:pPr>
            <w:r>
              <w:rPr>
                <w:rFonts w:ascii="Times New Roman" w:cs="Times New Roman" w:eastAsia="Times New Roman" w:hAnsi="Times New Roman"/>
                <w:sz w:val="21"/>
                <w:szCs w:val="21"/>
                <w:color w:val="231F20"/>
                <w:vertAlign w:val="subscript"/>
              </w:rPr>
              <w:t>Corp.</w:t>
            </w:r>
            <w:r>
              <w:rPr>
                <w:rFonts w:ascii="Times New Roman" w:cs="Times New Roman" w:eastAsia="Times New Roman" w:hAnsi="Times New Roman"/>
                <w:sz w:val="8"/>
                <w:szCs w:val="8"/>
                <w:color w:val="231F20"/>
              </w:rPr>
              <w:t xml:space="preserve"> (11)(12)</w:t>
            </w:r>
          </w:p>
        </w:tc>
        <w:tc>
          <w:tcPr>
            <w:tcW w:w="2440" w:type="dxa"/>
            <w:vAlign w:val="bottom"/>
            <w:tcBorders>
              <w:bottom w:val="single" w:sz="8" w:color="D0EBF2"/>
            </w:tcBorders>
            <w:shd w:val="clear" w:color="auto" w:fill="D0EBF2"/>
          </w:tcPr>
          <w:p>
            <w:pPr>
              <w:spacing w:after="0"/>
              <w:rPr>
                <w:sz w:val="16"/>
                <w:szCs w:val="16"/>
                <w:color w:val="auto"/>
              </w:rPr>
            </w:pPr>
          </w:p>
        </w:tc>
        <w:tc>
          <w:tcPr>
            <w:tcW w:w="820" w:type="dxa"/>
            <w:vAlign w:val="bottom"/>
            <w:tcBorders>
              <w:bottom w:val="single" w:sz="8" w:color="D0EBF2"/>
            </w:tcBorders>
            <w:shd w:val="clear" w:color="auto" w:fill="D0EBF2"/>
          </w:tcPr>
          <w:p>
            <w:pPr>
              <w:spacing w:after="0"/>
              <w:rPr>
                <w:sz w:val="16"/>
                <w:szCs w:val="16"/>
                <w:color w:val="auto"/>
              </w:rPr>
            </w:pPr>
          </w:p>
        </w:tc>
        <w:tc>
          <w:tcPr>
            <w:tcW w:w="20" w:type="dxa"/>
            <w:vAlign w:val="bottom"/>
            <w:tcBorders>
              <w:bottom w:val="single" w:sz="8" w:color="FDFDFC"/>
            </w:tcBorders>
          </w:tcPr>
          <w:p>
            <w:pPr>
              <w:spacing w:after="0"/>
              <w:rPr>
                <w:sz w:val="16"/>
                <w:szCs w:val="16"/>
                <w:color w:val="auto"/>
              </w:rPr>
            </w:pPr>
          </w:p>
        </w:tc>
        <w:tc>
          <w:tcPr>
            <w:tcW w:w="2080" w:type="dxa"/>
            <w:vAlign w:val="bottom"/>
            <w:tcBorders>
              <w:bottom w:val="single" w:sz="8" w:color="D0EBF2"/>
            </w:tcBorders>
            <w:shd w:val="clear" w:color="auto" w:fill="D0EBF2"/>
          </w:tcPr>
          <w:p>
            <w:pPr>
              <w:spacing w:after="0"/>
              <w:rPr>
                <w:sz w:val="16"/>
                <w:szCs w:val="16"/>
                <w:color w:val="auto"/>
              </w:rPr>
            </w:pPr>
          </w:p>
        </w:tc>
        <w:tc>
          <w:tcPr>
            <w:tcW w:w="1000" w:type="dxa"/>
            <w:vAlign w:val="bottom"/>
            <w:tcBorders>
              <w:bottom w:val="single" w:sz="8" w:color="231F20"/>
            </w:tcBorders>
            <w:shd w:val="clear" w:color="auto" w:fill="D0EBF2"/>
          </w:tcPr>
          <w:p>
            <w:pPr>
              <w:spacing w:after="0"/>
              <w:rPr>
                <w:sz w:val="16"/>
                <w:szCs w:val="16"/>
                <w:color w:val="auto"/>
              </w:rPr>
            </w:pPr>
          </w:p>
        </w:tc>
        <w:tc>
          <w:tcPr>
            <w:tcW w:w="180" w:type="dxa"/>
            <w:vAlign w:val="bottom"/>
            <w:tcBorders>
              <w:bottom w:val="single" w:sz="8" w:color="D0EBF2"/>
            </w:tcBorders>
            <w:shd w:val="clear" w:color="auto" w:fill="D0EBF2"/>
          </w:tcPr>
          <w:p>
            <w:pPr>
              <w:spacing w:after="0"/>
              <w:rPr>
                <w:sz w:val="16"/>
                <w:szCs w:val="16"/>
                <w:color w:val="auto"/>
              </w:rPr>
            </w:pPr>
          </w:p>
        </w:tc>
        <w:tc>
          <w:tcPr>
            <w:tcW w:w="960" w:type="dxa"/>
            <w:vAlign w:val="bottom"/>
            <w:tcBorders>
              <w:bottom w:val="single" w:sz="8" w:color="231F20"/>
            </w:tcBorders>
            <w:shd w:val="clear" w:color="auto" w:fill="D0EBF2"/>
          </w:tcPr>
          <w:p>
            <w:pPr>
              <w:spacing w:after="0"/>
              <w:rPr>
                <w:sz w:val="16"/>
                <w:szCs w:val="16"/>
                <w:color w:val="auto"/>
              </w:rPr>
            </w:pPr>
          </w:p>
        </w:tc>
        <w:tc>
          <w:tcPr>
            <w:tcW w:w="200" w:type="dxa"/>
            <w:vAlign w:val="bottom"/>
            <w:tcBorders>
              <w:bottom w:val="single" w:sz="8" w:color="D0EBF2"/>
            </w:tcBorders>
            <w:shd w:val="clear" w:color="auto" w:fill="D0EBF2"/>
          </w:tcPr>
          <w:p>
            <w:pPr>
              <w:spacing w:after="0"/>
              <w:rPr>
                <w:sz w:val="16"/>
                <w:szCs w:val="16"/>
                <w:color w:val="auto"/>
              </w:rPr>
            </w:pPr>
          </w:p>
        </w:tc>
        <w:tc>
          <w:tcPr>
            <w:tcW w:w="900" w:type="dxa"/>
            <w:vAlign w:val="bottom"/>
            <w:tcBorders>
              <w:bottom w:val="single" w:sz="8" w:color="231F20"/>
            </w:tcBorders>
            <w:shd w:val="clear" w:color="auto" w:fill="D0EBF2"/>
          </w:tcPr>
          <w:p>
            <w:pPr>
              <w:spacing w:after="0"/>
              <w:rPr>
                <w:sz w:val="16"/>
                <w:szCs w:val="16"/>
                <w:color w:val="auto"/>
              </w:rPr>
            </w:pPr>
          </w:p>
        </w:tc>
        <w:tc>
          <w:tcPr>
            <w:tcW w:w="240" w:type="dxa"/>
            <w:vAlign w:val="bottom"/>
            <w:tcBorders>
              <w:bottom w:val="single" w:sz="8" w:color="D0EBF2"/>
            </w:tcBorders>
            <w:shd w:val="clear" w:color="auto" w:fill="D0EBF2"/>
          </w:tcPr>
          <w:p>
            <w:pPr>
              <w:spacing w:after="0"/>
              <w:rPr>
                <w:sz w:val="16"/>
                <w:szCs w:val="16"/>
                <w:color w:val="auto"/>
              </w:rPr>
            </w:pPr>
          </w:p>
        </w:tc>
        <w:tc>
          <w:tcPr>
            <w:tcW w:w="0" w:type="dxa"/>
            <w:vAlign w:val="bottom"/>
          </w:tcPr>
          <w:p>
            <w:pPr>
              <w:spacing w:after="0"/>
              <w:rPr>
                <w:sz w:val="1"/>
                <w:szCs w:val="1"/>
                <w:color w:val="auto"/>
              </w:rPr>
            </w:pPr>
          </w:p>
        </w:tc>
      </w:tr>
      <w:tr>
        <w:trPr>
          <w:trHeight w:val="163"/>
        </w:trPr>
        <w:tc>
          <w:tcPr>
            <w:tcW w:w="1440" w:type="dxa"/>
            <w:vAlign w:val="bottom"/>
            <w:shd w:val="clear" w:color="auto" w:fill="FDFDFC"/>
          </w:tcPr>
          <w:p>
            <w:pPr>
              <w:spacing w:after="0"/>
              <w:rPr>
                <w:sz w:val="14"/>
                <w:szCs w:val="14"/>
                <w:color w:val="auto"/>
              </w:rPr>
            </w:pPr>
          </w:p>
        </w:tc>
        <w:tc>
          <w:tcPr>
            <w:tcW w:w="2440" w:type="dxa"/>
            <w:vAlign w:val="bottom"/>
            <w:shd w:val="clear" w:color="auto" w:fill="FDFDFC"/>
          </w:tcPr>
          <w:p>
            <w:pPr>
              <w:spacing w:after="0"/>
              <w:rPr>
                <w:sz w:val="14"/>
                <w:szCs w:val="14"/>
                <w:color w:val="auto"/>
              </w:rPr>
            </w:pPr>
          </w:p>
        </w:tc>
        <w:tc>
          <w:tcPr>
            <w:tcW w:w="820" w:type="dxa"/>
            <w:vAlign w:val="bottom"/>
            <w:shd w:val="clear" w:color="auto" w:fill="FDFDFC"/>
          </w:tcPr>
          <w:p>
            <w:pPr>
              <w:spacing w:after="0"/>
              <w:rPr>
                <w:sz w:val="14"/>
                <w:szCs w:val="14"/>
                <w:color w:val="auto"/>
              </w:rPr>
            </w:pPr>
          </w:p>
        </w:tc>
        <w:tc>
          <w:tcPr>
            <w:tcW w:w="20" w:type="dxa"/>
            <w:vAlign w:val="bottom"/>
            <w:shd w:val="clear" w:color="auto" w:fill="FDFDFC"/>
          </w:tcPr>
          <w:p>
            <w:pPr>
              <w:spacing w:after="0"/>
              <w:rPr>
                <w:sz w:val="14"/>
                <w:szCs w:val="14"/>
                <w:color w:val="auto"/>
              </w:rPr>
            </w:pPr>
          </w:p>
        </w:tc>
        <w:tc>
          <w:tcPr>
            <w:tcW w:w="2080" w:type="dxa"/>
            <w:vAlign w:val="bottom"/>
            <w:shd w:val="clear" w:color="auto" w:fill="FDFDFC"/>
          </w:tcPr>
          <w:p>
            <w:pPr>
              <w:spacing w:after="0"/>
              <w:rPr>
                <w:sz w:val="14"/>
                <w:szCs w:val="14"/>
                <w:color w:val="auto"/>
              </w:rPr>
            </w:pPr>
          </w:p>
        </w:tc>
        <w:tc>
          <w:tcPr>
            <w:tcW w:w="1000" w:type="dxa"/>
            <w:vAlign w:val="bottom"/>
            <w:shd w:val="clear" w:color="auto" w:fill="FDFDFC"/>
          </w:tcPr>
          <w:p>
            <w:pPr>
              <w:jc w:val="right"/>
              <w:spacing w:after="0" w:line="164" w:lineRule="exact"/>
              <w:rPr>
                <w:sz w:val="20"/>
                <w:szCs w:val="20"/>
                <w:color w:val="auto"/>
              </w:rPr>
            </w:pPr>
            <w:r>
              <w:rPr>
                <w:rFonts w:ascii="Times New Roman" w:cs="Times New Roman" w:eastAsia="Times New Roman" w:hAnsi="Times New Roman"/>
                <w:sz w:val="15"/>
                <w:szCs w:val="15"/>
                <w:color w:val="231F20"/>
              </w:rPr>
              <w:t>25,922</w:t>
            </w:r>
          </w:p>
        </w:tc>
        <w:tc>
          <w:tcPr>
            <w:tcW w:w="180" w:type="dxa"/>
            <w:vAlign w:val="bottom"/>
            <w:shd w:val="clear" w:color="auto" w:fill="FDFDFC"/>
          </w:tcPr>
          <w:p>
            <w:pPr>
              <w:spacing w:after="0"/>
              <w:rPr>
                <w:sz w:val="14"/>
                <w:szCs w:val="14"/>
                <w:color w:val="auto"/>
              </w:rPr>
            </w:pPr>
          </w:p>
        </w:tc>
        <w:tc>
          <w:tcPr>
            <w:tcW w:w="960" w:type="dxa"/>
            <w:vAlign w:val="bottom"/>
            <w:shd w:val="clear" w:color="auto" w:fill="FDFDFC"/>
          </w:tcPr>
          <w:p>
            <w:pPr>
              <w:jc w:val="right"/>
              <w:spacing w:after="0" w:line="164" w:lineRule="exact"/>
              <w:rPr>
                <w:sz w:val="20"/>
                <w:szCs w:val="20"/>
                <w:color w:val="auto"/>
              </w:rPr>
            </w:pPr>
            <w:r>
              <w:rPr>
                <w:rFonts w:ascii="Times New Roman" w:cs="Times New Roman" w:eastAsia="Times New Roman" w:hAnsi="Times New Roman"/>
                <w:sz w:val="15"/>
                <w:szCs w:val="15"/>
                <w:color w:val="231F20"/>
              </w:rPr>
              <w:t>30,280</w:t>
            </w:r>
          </w:p>
        </w:tc>
        <w:tc>
          <w:tcPr>
            <w:tcW w:w="200" w:type="dxa"/>
            <w:vAlign w:val="bottom"/>
            <w:shd w:val="clear" w:color="auto" w:fill="FDFDFC"/>
          </w:tcPr>
          <w:p>
            <w:pPr>
              <w:spacing w:after="0"/>
              <w:rPr>
                <w:sz w:val="14"/>
                <w:szCs w:val="14"/>
                <w:color w:val="auto"/>
              </w:rPr>
            </w:pPr>
          </w:p>
        </w:tc>
        <w:tc>
          <w:tcPr>
            <w:tcW w:w="1140" w:type="dxa"/>
            <w:vAlign w:val="bottom"/>
            <w:gridSpan w:val="2"/>
          </w:tcPr>
          <w:p>
            <w:pPr>
              <w:jc w:val="right"/>
              <w:ind w:right="120"/>
              <w:spacing w:after="0" w:line="164" w:lineRule="exact"/>
              <w:rPr>
                <w:sz w:val="20"/>
                <w:szCs w:val="20"/>
                <w:color w:val="auto"/>
              </w:rPr>
            </w:pPr>
            <w:r>
              <w:rPr>
                <w:rFonts w:ascii="Times New Roman" w:cs="Times New Roman" w:eastAsia="Times New Roman" w:hAnsi="Times New Roman"/>
                <w:sz w:val="15"/>
                <w:szCs w:val="15"/>
                <w:color w:val="231F20"/>
              </w:rPr>
              <w:t>2.0%</w:t>
            </w:r>
          </w:p>
        </w:tc>
        <w:tc>
          <w:tcPr>
            <w:tcW w:w="0" w:type="dxa"/>
            <w:vAlign w:val="bottom"/>
          </w:tcPr>
          <w:p>
            <w:pPr>
              <w:spacing w:after="0"/>
              <w:rPr>
                <w:sz w:val="1"/>
                <w:szCs w:val="1"/>
                <w:color w:val="auto"/>
              </w:rPr>
            </w:pPr>
          </w:p>
        </w:tc>
      </w:tr>
      <w:tr>
        <w:trPr>
          <w:trHeight w:val="146"/>
        </w:trPr>
        <w:tc>
          <w:tcPr>
            <w:tcW w:w="1440" w:type="dxa"/>
            <w:vAlign w:val="bottom"/>
            <w:tcBorders>
              <w:top w:val="single" w:sz="8" w:color="D0EBF2"/>
            </w:tcBorders>
            <w:shd w:val="clear" w:color="auto" w:fill="D0EBF2"/>
          </w:tcPr>
          <w:p>
            <w:pPr>
              <w:spacing w:after="0" w:line="146" w:lineRule="exact"/>
              <w:rPr>
                <w:sz w:val="20"/>
                <w:szCs w:val="20"/>
                <w:color w:val="auto"/>
              </w:rPr>
            </w:pPr>
            <w:r>
              <w:rPr>
                <w:rFonts w:ascii="Times New Roman" w:cs="Times New Roman" w:eastAsia="Times New Roman" w:hAnsi="Times New Roman"/>
                <w:sz w:val="15"/>
                <w:szCs w:val="15"/>
                <w:b w:val="1"/>
                <w:bCs w:val="1"/>
                <w:color w:val="231F20"/>
              </w:rPr>
              <w:t>Hotel, Gaming and</w:t>
            </w:r>
          </w:p>
        </w:tc>
        <w:tc>
          <w:tcPr>
            <w:tcW w:w="2440" w:type="dxa"/>
            <w:vAlign w:val="bottom"/>
            <w:tcBorders>
              <w:top w:val="single" w:sz="8" w:color="D0EBF2"/>
            </w:tcBorders>
            <w:shd w:val="clear" w:color="auto" w:fill="D0EBF2"/>
          </w:tcPr>
          <w:p>
            <w:pPr>
              <w:spacing w:after="0"/>
              <w:rPr>
                <w:sz w:val="12"/>
                <w:szCs w:val="12"/>
                <w:color w:val="auto"/>
              </w:rPr>
            </w:pPr>
          </w:p>
        </w:tc>
        <w:tc>
          <w:tcPr>
            <w:tcW w:w="820" w:type="dxa"/>
            <w:vAlign w:val="bottom"/>
            <w:tcBorders>
              <w:top w:val="single" w:sz="8" w:color="D0EBF2"/>
            </w:tcBorders>
            <w:shd w:val="clear" w:color="auto" w:fill="D0EBF2"/>
          </w:tcPr>
          <w:p>
            <w:pPr>
              <w:spacing w:after="0"/>
              <w:rPr>
                <w:sz w:val="12"/>
                <w:szCs w:val="12"/>
                <w:color w:val="auto"/>
              </w:rPr>
            </w:pPr>
          </w:p>
        </w:tc>
        <w:tc>
          <w:tcPr>
            <w:tcW w:w="20" w:type="dxa"/>
            <w:vAlign w:val="bottom"/>
            <w:tcBorders>
              <w:top w:val="single" w:sz="8" w:color="D0EBF2"/>
            </w:tcBorders>
            <w:shd w:val="clear" w:color="auto" w:fill="D0EBF2"/>
          </w:tcPr>
          <w:p>
            <w:pPr>
              <w:spacing w:after="0"/>
              <w:rPr>
                <w:sz w:val="12"/>
                <w:szCs w:val="12"/>
                <w:color w:val="auto"/>
              </w:rPr>
            </w:pPr>
          </w:p>
        </w:tc>
        <w:tc>
          <w:tcPr>
            <w:tcW w:w="2080" w:type="dxa"/>
            <w:vAlign w:val="bottom"/>
            <w:tcBorders>
              <w:top w:val="single" w:sz="8" w:color="D0EBF2"/>
            </w:tcBorders>
            <w:shd w:val="clear" w:color="auto" w:fill="D0EBF2"/>
          </w:tcPr>
          <w:p>
            <w:pPr>
              <w:spacing w:after="0"/>
              <w:rPr>
                <w:sz w:val="12"/>
                <w:szCs w:val="12"/>
                <w:color w:val="auto"/>
              </w:rPr>
            </w:pPr>
          </w:p>
        </w:tc>
        <w:tc>
          <w:tcPr>
            <w:tcW w:w="1000" w:type="dxa"/>
            <w:vAlign w:val="bottom"/>
            <w:tcBorders>
              <w:top w:val="single" w:sz="8" w:color="231F20"/>
            </w:tcBorders>
            <w:shd w:val="clear" w:color="auto" w:fill="D0EBF2"/>
          </w:tcPr>
          <w:p>
            <w:pPr>
              <w:spacing w:after="0"/>
              <w:rPr>
                <w:sz w:val="12"/>
                <w:szCs w:val="12"/>
                <w:color w:val="auto"/>
              </w:rPr>
            </w:pPr>
          </w:p>
        </w:tc>
        <w:tc>
          <w:tcPr>
            <w:tcW w:w="180" w:type="dxa"/>
            <w:vAlign w:val="bottom"/>
            <w:tcBorders>
              <w:top w:val="single" w:sz="8" w:color="D0EBF2"/>
            </w:tcBorders>
            <w:shd w:val="clear" w:color="auto" w:fill="D0EBF2"/>
          </w:tcPr>
          <w:p>
            <w:pPr>
              <w:spacing w:after="0"/>
              <w:rPr>
                <w:sz w:val="12"/>
                <w:szCs w:val="12"/>
                <w:color w:val="auto"/>
              </w:rPr>
            </w:pPr>
          </w:p>
        </w:tc>
        <w:tc>
          <w:tcPr>
            <w:tcW w:w="960" w:type="dxa"/>
            <w:vAlign w:val="bottom"/>
            <w:tcBorders>
              <w:top w:val="single" w:sz="8" w:color="231F20"/>
            </w:tcBorders>
            <w:shd w:val="clear" w:color="auto" w:fill="D0EBF2"/>
          </w:tcPr>
          <w:p>
            <w:pPr>
              <w:spacing w:after="0"/>
              <w:rPr>
                <w:sz w:val="12"/>
                <w:szCs w:val="12"/>
                <w:color w:val="auto"/>
              </w:rPr>
            </w:pPr>
          </w:p>
        </w:tc>
        <w:tc>
          <w:tcPr>
            <w:tcW w:w="200" w:type="dxa"/>
            <w:vAlign w:val="bottom"/>
            <w:tcBorders>
              <w:top w:val="single" w:sz="8" w:color="D0EBF2"/>
            </w:tcBorders>
            <w:shd w:val="clear" w:color="auto" w:fill="D0EBF2"/>
          </w:tcPr>
          <w:p>
            <w:pPr>
              <w:spacing w:after="0"/>
              <w:rPr>
                <w:sz w:val="12"/>
                <w:szCs w:val="12"/>
                <w:color w:val="auto"/>
              </w:rPr>
            </w:pPr>
          </w:p>
        </w:tc>
        <w:tc>
          <w:tcPr>
            <w:tcW w:w="900" w:type="dxa"/>
            <w:vAlign w:val="bottom"/>
            <w:tcBorders>
              <w:top w:val="single" w:sz="8" w:color="231F20"/>
            </w:tcBorders>
            <w:shd w:val="clear" w:color="auto" w:fill="D0EBF2"/>
          </w:tcPr>
          <w:p>
            <w:pPr>
              <w:spacing w:after="0"/>
              <w:rPr>
                <w:sz w:val="12"/>
                <w:szCs w:val="12"/>
                <w:color w:val="auto"/>
              </w:rPr>
            </w:pPr>
          </w:p>
        </w:tc>
        <w:tc>
          <w:tcPr>
            <w:tcW w:w="240" w:type="dxa"/>
            <w:vAlign w:val="bottom"/>
            <w:tcBorders>
              <w:top w:val="single" w:sz="8" w:color="D0EBF2"/>
            </w:tcBorders>
            <w:shd w:val="clear" w:color="auto" w:fill="D0EBF2"/>
          </w:tcPr>
          <w:p>
            <w:pPr>
              <w:spacing w:after="0"/>
              <w:rPr>
                <w:sz w:val="12"/>
                <w:szCs w:val="12"/>
                <w:color w:val="auto"/>
              </w:rPr>
            </w:pPr>
          </w:p>
        </w:tc>
        <w:tc>
          <w:tcPr>
            <w:tcW w:w="0" w:type="dxa"/>
            <w:vAlign w:val="bottom"/>
          </w:tcPr>
          <w:p>
            <w:pPr>
              <w:spacing w:after="0"/>
              <w:rPr>
                <w:sz w:val="1"/>
                <w:szCs w:val="1"/>
                <w:color w:val="auto"/>
              </w:rPr>
            </w:pPr>
          </w:p>
        </w:tc>
      </w:tr>
      <w:tr>
        <w:trPr>
          <w:trHeight w:val="191"/>
        </w:trPr>
        <w:tc>
          <w:tcPr>
            <w:tcW w:w="1440" w:type="dxa"/>
            <w:vAlign w:val="bottom"/>
            <w:shd w:val="clear" w:color="auto" w:fill="D0EBF2"/>
          </w:tcPr>
          <w:p>
            <w:pPr>
              <w:spacing w:after="0"/>
              <w:rPr>
                <w:sz w:val="20"/>
                <w:szCs w:val="20"/>
                <w:color w:val="auto"/>
              </w:rPr>
            </w:pPr>
            <w:r>
              <w:rPr>
                <w:rFonts w:ascii="Times New Roman" w:cs="Times New Roman" w:eastAsia="Times New Roman" w:hAnsi="Times New Roman"/>
                <w:sz w:val="15"/>
                <w:szCs w:val="15"/>
                <w:b w:val="1"/>
                <w:bCs w:val="1"/>
                <w:color w:val="231F20"/>
              </w:rPr>
              <w:t>Leisure</w:t>
            </w:r>
          </w:p>
        </w:tc>
        <w:tc>
          <w:tcPr>
            <w:tcW w:w="2440" w:type="dxa"/>
            <w:vAlign w:val="bottom"/>
            <w:shd w:val="clear" w:color="auto" w:fill="D0EBF2"/>
          </w:tcPr>
          <w:p>
            <w:pPr>
              <w:spacing w:after="0"/>
              <w:rPr>
                <w:sz w:val="16"/>
                <w:szCs w:val="16"/>
                <w:color w:val="auto"/>
              </w:rPr>
            </w:pPr>
          </w:p>
        </w:tc>
        <w:tc>
          <w:tcPr>
            <w:tcW w:w="820" w:type="dxa"/>
            <w:vAlign w:val="bottom"/>
            <w:shd w:val="clear" w:color="auto" w:fill="D0EBF2"/>
          </w:tcPr>
          <w:p>
            <w:pPr>
              <w:spacing w:after="0"/>
              <w:rPr>
                <w:sz w:val="16"/>
                <w:szCs w:val="16"/>
                <w:color w:val="auto"/>
              </w:rPr>
            </w:pPr>
          </w:p>
        </w:tc>
        <w:tc>
          <w:tcPr>
            <w:tcW w:w="20" w:type="dxa"/>
            <w:vAlign w:val="bottom"/>
            <w:shd w:val="clear" w:color="auto" w:fill="D0EBF2"/>
          </w:tcPr>
          <w:p>
            <w:pPr>
              <w:spacing w:after="0"/>
              <w:rPr>
                <w:sz w:val="16"/>
                <w:szCs w:val="16"/>
                <w:color w:val="auto"/>
              </w:rPr>
            </w:pPr>
          </w:p>
        </w:tc>
        <w:tc>
          <w:tcPr>
            <w:tcW w:w="2080" w:type="dxa"/>
            <w:vAlign w:val="bottom"/>
            <w:shd w:val="clear" w:color="auto" w:fill="D0EBF2"/>
          </w:tcPr>
          <w:p>
            <w:pPr>
              <w:spacing w:after="0"/>
              <w:rPr>
                <w:sz w:val="16"/>
                <w:szCs w:val="16"/>
                <w:color w:val="auto"/>
              </w:rPr>
            </w:pPr>
          </w:p>
        </w:tc>
        <w:tc>
          <w:tcPr>
            <w:tcW w:w="1000" w:type="dxa"/>
            <w:vAlign w:val="bottom"/>
            <w:shd w:val="clear" w:color="auto" w:fill="D0EBF2"/>
          </w:tcPr>
          <w:p>
            <w:pPr>
              <w:spacing w:after="0"/>
              <w:rPr>
                <w:sz w:val="16"/>
                <w:szCs w:val="16"/>
                <w:color w:val="auto"/>
              </w:rPr>
            </w:pPr>
          </w:p>
        </w:tc>
        <w:tc>
          <w:tcPr>
            <w:tcW w:w="180" w:type="dxa"/>
            <w:vAlign w:val="bottom"/>
            <w:shd w:val="clear" w:color="auto" w:fill="D0EBF2"/>
          </w:tcPr>
          <w:p>
            <w:pPr>
              <w:spacing w:after="0"/>
              <w:rPr>
                <w:sz w:val="16"/>
                <w:szCs w:val="16"/>
                <w:color w:val="auto"/>
              </w:rPr>
            </w:pPr>
          </w:p>
        </w:tc>
        <w:tc>
          <w:tcPr>
            <w:tcW w:w="960" w:type="dxa"/>
            <w:vAlign w:val="bottom"/>
            <w:shd w:val="clear" w:color="auto" w:fill="D0EBF2"/>
          </w:tcPr>
          <w:p>
            <w:pPr>
              <w:spacing w:after="0"/>
              <w:rPr>
                <w:sz w:val="16"/>
                <w:szCs w:val="16"/>
                <w:color w:val="auto"/>
              </w:rPr>
            </w:pPr>
          </w:p>
        </w:tc>
        <w:tc>
          <w:tcPr>
            <w:tcW w:w="200" w:type="dxa"/>
            <w:vAlign w:val="bottom"/>
            <w:shd w:val="clear" w:color="auto" w:fill="D0EBF2"/>
          </w:tcPr>
          <w:p>
            <w:pPr>
              <w:spacing w:after="0"/>
              <w:rPr>
                <w:sz w:val="16"/>
                <w:szCs w:val="16"/>
                <w:color w:val="auto"/>
              </w:rPr>
            </w:pPr>
          </w:p>
        </w:tc>
        <w:tc>
          <w:tcPr>
            <w:tcW w:w="900" w:type="dxa"/>
            <w:vAlign w:val="bottom"/>
            <w:shd w:val="clear" w:color="auto" w:fill="D0EBF2"/>
          </w:tcPr>
          <w:p>
            <w:pPr>
              <w:spacing w:after="0"/>
              <w:rPr>
                <w:sz w:val="16"/>
                <w:szCs w:val="16"/>
                <w:color w:val="auto"/>
              </w:rPr>
            </w:pPr>
          </w:p>
        </w:tc>
        <w:tc>
          <w:tcPr>
            <w:tcW w:w="240" w:type="dxa"/>
            <w:vAlign w:val="bottom"/>
            <w:shd w:val="clear" w:color="auto" w:fill="D0EBF2"/>
          </w:tcPr>
          <w:p>
            <w:pPr>
              <w:spacing w:after="0"/>
              <w:rPr>
                <w:sz w:val="16"/>
                <w:szCs w:val="16"/>
                <w:color w:val="auto"/>
              </w:rPr>
            </w:pPr>
          </w:p>
        </w:tc>
        <w:tc>
          <w:tcPr>
            <w:tcW w:w="0" w:type="dxa"/>
            <w:vAlign w:val="bottom"/>
          </w:tcPr>
          <w:p>
            <w:pPr>
              <w:spacing w:after="0"/>
              <w:rPr>
                <w:sz w:val="1"/>
                <w:szCs w:val="1"/>
                <w:color w:val="auto"/>
              </w:rPr>
            </w:pPr>
          </w:p>
        </w:tc>
      </w:tr>
      <w:tr>
        <w:trPr>
          <w:trHeight w:val="171"/>
        </w:trPr>
        <w:tc>
          <w:tcPr>
            <w:tcW w:w="1440" w:type="dxa"/>
            <w:vAlign w:val="bottom"/>
            <w:shd w:val="clear" w:color="auto" w:fill="FDFDFC"/>
          </w:tcPr>
          <w:p>
            <w:pPr>
              <w:spacing w:after="0" w:line="171" w:lineRule="exact"/>
              <w:rPr>
                <w:sz w:val="20"/>
                <w:szCs w:val="20"/>
                <w:color w:val="auto"/>
              </w:rPr>
            </w:pPr>
            <w:r>
              <w:rPr>
                <w:rFonts w:ascii="Times New Roman" w:cs="Times New Roman" w:eastAsia="Times New Roman" w:hAnsi="Times New Roman"/>
                <w:sz w:val="15"/>
                <w:szCs w:val="15"/>
                <w:color w:val="231F20"/>
              </w:rPr>
              <w:t>IRGSE Holding Corp.</w:t>
            </w:r>
          </w:p>
        </w:tc>
        <w:tc>
          <w:tcPr>
            <w:tcW w:w="2440" w:type="dxa"/>
            <w:vAlign w:val="bottom"/>
            <w:shd w:val="clear" w:color="auto" w:fill="FDFDFC"/>
          </w:tcPr>
          <w:p>
            <w:pPr>
              <w:ind w:left="80"/>
              <w:spacing w:after="0" w:line="171" w:lineRule="exact"/>
              <w:rPr>
                <w:sz w:val="20"/>
                <w:szCs w:val="20"/>
                <w:color w:val="auto"/>
              </w:rPr>
            </w:pPr>
            <w:r>
              <w:rPr>
                <w:rFonts w:ascii="Times New Roman" w:cs="Times New Roman" w:eastAsia="Times New Roman" w:hAnsi="Times New Roman"/>
                <w:sz w:val="15"/>
                <w:szCs w:val="15"/>
                <w:color w:val="231F20"/>
              </w:rPr>
              <w:t>Class A Units (33,790,171 units)</w:t>
            </w:r>
          </w:p>
        </w:tc>
        <w:tc>
          <w:tcPr>
            <w:tcW w:w="820" w:type="dxa"/>
            <w:vAlign w:val="bottom"/>
            <w:shd w:val="clear" w:color="auto" w:fill="FDFDFC"/>
          </w:tcPr>
          <w:p>
            <w:pPr>
              <w:jc w:val="right"/>
              <w:spacing w:after="0" w:line="171" w:lineRule="exact"/>
              <w:rPr>
                <w:sz w:val="20"/>
                <w:szCs w:val="20"/>
                <w:color w:val="auto"/>
              </w:rPr>
            </w:pPr>
            <w:r>
              <w:rPr>
                <w:rFonts w:ascii="Times New Roman" w:cs="Times New Roman" w:eastAsia="Times New Roman" w:hAnsi="Times New Roman"/>
                <w:sz w:val="15"/>
                <w:szCs w:val="15"/>
                <w:color w:val="231F20"/>
              </w:rPr>
              <w:t>12/21/2018</w:t>
            </w:r>
          </w:p>
        </w:tc>
        <w:tc>
          <w:tcPr>
            <w:tcW w:w="20" w:type="dxa"/>
            <w:vAlign w:val="bottom"/>
          </w:tcPr>
          <w:p>
            <w:pPr>
              <w:spacing w:after="0"/>
              <w:rPr>
                <w:sz w:val="14"/>
                <w:szCs w:val="14"/>
                <w:color w:val="auto"/>
              </w:rPr>
            </w:pPr>
          </w:p>
        </w:tc>
        <w:tc>
          <w:tcPr>
            <w:tcW w:w="2080" w:type="dxa"/>
            <w:vAlign w:val="bottom"/>
            <w:shd w:val="clear" w:color="auto" w:fill="FDFDFC"/>
          </w:tcPr>
          <w:p>
            <w:pPr>
              <w:spacing w:after="0"/>
              <w:rPr>
                <w:sz w:val="14"/>
                <w:szCs w:val="14"/>
                <w:color w:val="auto"/>
              </w:rPr>
            </w:pPr>
          </w:p>
        </w:tc>
        <w:tc>
          <w:tcPr>
            <w:tcW w:w="1000" w:type="dxa"/>
            <w:vAlign w:val="bottom"/>
            <w:shd w:val="clear" w:color="auto" w:fill="FDFDFC"/>
          </w:tcPr>
          <w:p>
            <w:pPr>
              <w:jc w:val="right"/>
              <w:spacing w:after="0" w:line="171" w:lineRule="exact"/>
              <w:rPr>
                <w:sz w:val="20"/>
                <w:szCs w:val="20"/>
                <w:color w:val="auto"/>
              </w:rPr>
            </w:pPr>
            <w:r>
              <w:rPr>
                <w:rFonts w:ascii="Times New Roman" w:cs="Times New Roman" w:eastAsia="Times New Roman" w:hAnsi="Times New Roman"/>
                <w:sz w:val="15"/>
                <w:szCs w:val="15"/>
                <w:color w:val="231F20"/>
              </w:rPr>
              <w:t>21,842</w:t>
            </w:r>
          </w:p>
        </w:tc>
        <w:tc>
          <w:tcPr>
            <w:tcW w:w="180" w:type="dxa"/>
            <w:vAlign w:val="bottom"/>
            <w:shd w:val="clear" w:color="auto" w:fill="FDFDFC"/>
          </w:tcPr>
          <w:p>
            <w:pPr>
              <w:spacing w:after="0"/>
              <w:rPr>
                <w:sz w:val="14"/>
                <w:szCs w:val="14"/>
                <w:color w:val="auto"/>
              </w:rPr>
            </w:pPr>
          </w:p>
        </w:tc>
        <w:tc>
          <w:tcPr>
            <w:tcW w:w="960" w:type="dxa"/>
            <w:vAlign w:val="bottom"/>
            <w:shd w:val="clear" w:color="auto" w:fill="FDFDFC"/>
          </w:tcPr>
          <w:p>
            <w:pPr>
              <w:jc w:val="right"/>
              <w:spacing w:after="0" w:line="171" w:lineRule="exact"/>
              <w:rPr>
                <w:sz w:val="20"/>
                <w:szCs w:val="20"/>
                <w:color w:val="auto"/>
              </w:rPr>
            </w:pPr>
            <w:r>
              <w:rPr>
                <w:rFonts w:ascii="Times New Roman" w:cs="Times New Roman" w:eastAsia="Times New Roman" w:hAnsi="Times New Roman"/>
                <w:sz w:val="15"/>
                <w:szCs w:val="15"/>
                <w:color w:val="231F20"/>
              </w:rPr>
              <w:t>2,281</w:t>
            </w:r>
          </w:p>
        </w:tc>
        <w:tc>
          <w:tcPr>
            <w:tcW w:w="200" w:type="dxa"/>
            <w:vAlign w:val="bottom"/>
            <w:shd w:val="clear" w:color="auto" w:fill="FDFDFC"/>
          </w:tcPr>
          <w:p>
            <w:pPr>
              <w:spacing w:after="0"/>
              <w:rPr>
                <w:sz w:val="14"/>
                <w:szCs w:val="14"/>
                <w:color w:val="auto"/>
              </w:rPr>
            </w:pPr>
          </w:p>
        </w:tc>
        <w:tc>
          <w:tcPr>
            <w:tcW w:w="1140" w:type="dxa"/>
            <w:vAlign w:val="bottom"/>
            <w:gridSpan w:val="2"/>
            <w:shd w:val="clear" w:color="auto" w:fill="FDFDFC"/>
          </w:tcPr>
          <w:p>
            <w:pPr>
              <w:jc w:val="right"/>
              <w:ind w:right="120"/>
              <w:spacing w:after="0" w:line="171" w:lineRule="exact"/>
              <w:rPr>
                <w:sz w:val="20"/>
                <w:szCs w:val="20"/>
                <w:color w:val="auto"/>
              </w:rPr>
            </w:pPr>
            <w:r>
              <w:rPr>
                <w:rFonts w:ascii="Times New Roman" w:cs="Times New Roman" w:eastAsia="Times New Roman" w:hAnsi="Times New Roman"/>
                <w:sz w:val="15"/>
                <w:szCs w:val="15"/>
                <w:color w:val="231F20"/>
              </w:rPr>
              <w:t>0.2%</w:t>
            </w:r>
          </w:p>
        </w:tc>
        <w:tc>
          <w:tcPr>
            <w:tcW w:w="0" w:type="dxa"/>
            <w:vAlign w:val="bottom"/>
          </w:tcPr>
          <w:p>
            <w:pPr>
              <w:spacing w:after="0"/>
              <w:rPr>
                <w:sz w:val="1"/>
                <w:szCs w:val="1"/>
                <w:color w:val="auto"/>
              </w:rPr>
            </w:pPr>
          </w:p>
        </w:tc>
      </w:tr>
      <w:tr>
        <w:trPr>
          <w:trHeight w:val="157"/>
        </w:trPr>
        <w:tc>
          <w:tcPr>
            <w:tcW w:w="1440" w:type="dxa"/>
            <w:vAlign w:val="bottom"/>
            <w:tcBorders>
              <w:bottom w:val="single" w:sz="8" w:color="FDFDFC"/>
            </w:tcBorders>
            <w:shd w:val="clear" w:color="auto" w:fill="FDFDFC"/>
          </w:tcPr>
          <w:p>
            <w:pPr>
              <w:spacing w:after="0"/>
              <w:rPr>
                <w:sz w:val="20"/>
                <w:szCs w:val="20"/>
                <w:color w:val="auto"/>
              </w:rPr>
            </w:pPr>
            <w:r>
              <w:rPr>
                <w:rFonts w:ascii="Times New Roman" w:cs="Times New Roman" w:eastAsia="Times New Roman" w:hAnsi="Times New Roman"/>
                <w:sz w:val="9"/>
                <w:szCs w:val="9"/>
                <w:color w:val="231F20"/>
              </w:rPr>
              <w:t>(7)(11)</w:t>
            </w:r>
          </w:p>
        </w:tc>
        <w:tc>
          <w:tcPr>
            <w:tcW w:w="2440" w:type="dxa"/>
            <w:vAlign w:val="bottom"/>
            <w:tcBorders>
              <w:bottom w:val="single" w:sz="8" w:color="FDFDFC"/>
            </w:tcBorders>
            <w:shd w:val="clear" w:color="auto" w:fill="FDFDFC"/>
          </w:tcPr>
          <w:p>
            <w:pPr>
              <w:spacing w:after="0"/>
              <w:rPr>
                <w:sz w:val="13"/>
                <w:szCs w:val="13"/>
                <w:color w:val="auto"/>
              </w:rPr>
            </w:pPr>
          </w:p>
        </w:tc>
        <w:tc>
          <w:tcPr>
            <w:tcW w:w="820" w:type="dxa"/>
            <w:vAlign w:val="bottom"/>
            <w:tcBorders>
              <w:bottom w:val="single" w:sz="8" w:color="FDFDFC"/>
            </w:tcBorders>
            <w:shd w:val="clear" w:color="auto" w:fill="FDFDFC"/>
          </w:tcPr>
          <w:p>
            <w:pPr>
              <w:spacing w:after="0"/>
              <w:rPr>
                <w:sz w:val="13"/>
                <w:szCs w:val="13"/>
                <w:color w:val="auto"/>
              </w:rPr>
            </w:pPr>
          </w:p>
        </w:tc>
        <w:tc>
          <w:tcPr>
            <w:tcW w:w="20" w:type="dxa"/>
            <w:vAlign w:val="bottom"/>
          </w:tcPr>
          <w:p>
            <w:pPr>
              <w:spacing w:after="0"/>
              <w:rPr>
                <w:sz w:val="13"/>
                <w:szCs w:val="13"/>
                <w:color w:val="auto"/>
              </w:rPr>
            </w:pPr>
          </w:p>
        </w:tc>
        <w:tc>
          <w:tcPr>
            <w:tcW w:w="2080" w:type="dxa"/>
            <w:vAlign w:val="bottom"/>
            <w:tcBorders>
              <w:bottom w:val="single" w:sz="8" w:color="FDFDFC"/>
            </w:tcBorders>
            <w:shd w:val="clear" w:color="auto" w:fill="FDFDFC"/>
          </w:tcPr>
          <w:p>
            <w:pPr>
              <w:spacing w:after="0"/>
              <w:rPr>
                <w:sz w:val="13"/>
                <w:szCs w:val="13"/>
                <w:color w:val="auto"/>
              </w:rPr>
            </w:pPr>
          </w:p>
        </w:tc>
        <w:tc>
          <w:tcPr>
            <w:tcW w:w="1000" w:type="dxa"/>
            <w:vAlign w:val="bottom"/>
            <w:tcBorders>
              <w:bottom w:val="single" w:sz="8" w:color="FDFDFC"/>
            </w:tcBorders>
            <w:shd w:val="clear" w:color="auto" w:fill="FDFDFC"/>
          </w:tcPr>
          <w:p>
            <w:pPr>
              <w:spacing w:after="0"/>
              <w:rPr>
                <w:sz w:val="13"/>
                <w:szCs w:val="13"/>
                <w:color w:val="auto"/>
              </w:rPr>
            </w:pPr>
          </w:p>
        </w:tc>
        <w:tc>
          <w:tcPr>
            <w:tcW w:w="180" w:type="dxa"/>
            <w:vAlign w:val="bottom"/>
            <w:tcBorders>
              <w:bottom w:val="single" w:sz="8" w:color="FDFDFC"/>
            </w:tcBorders>
            <w:shd w:val="clear" w:color="auto" w:fill="FDFDFC"/>
          </w:tcPr>
          <w:p>
            <w:pPr>
              <w:spacing w:after="0"/>
              <w:rPr>
                <w:sz w:val="13"/>
                <w:szCs w:val="13"/>
                <w:color w:val="auto"/>
              </w:rPr>
            </w:pPr>
          </w:p>
        </w:tc>
        <w:tc>
          <w:tcPr>
            <w:tcW w:w="960" w:type="dxa"/>
            <w:vAlign w:val="bottom"/>
            <w:tcBorders>
              <w:bottom w:val="single" w:sz="8" w:color="FDFDFC"/>
            </w:tcBorders>
            <w:shd w:val="clear" w:color="auto" w:fill="FDFDFC"/>
          </w:tcPr>
          <w:p>
            <w:pPr>
              <w:spacing w:after="0"/>
              <w:rPr>
                <w:sz w:val="13"/>
                <w:szCs w:val="13"/>
                <w:color w:val="auto"/>
              </w:rPr>
            </w:pPr>
          </w:p>
        </w:tc>
        <w:tc>
          <w:tcPr>
            <w:tcW w:w="200" w:type="dxa"/>
            <w:vAlign w:val="bottom"/>
            <w:tcBorders>
              <w:bottom w:val="single" w:sz="8" w:color="FDFDFC"/>
            </w:tcBorders>
            <w:shd w:val="clear" w:color="auto" w:fill="FDFDFC"/>
          </w:tcPr>
          <w:p>
            <w:pPr>
              <w:spacing w:after="0"/>
              <w:rPr>
                <w:sz w:val="13"/>
                <w:szCs w:val="13"/>
                <w:color w:val="auto"/>
              </w:rPr>
            </w:pPr>
          </w:p>
        </w:tc>
        <w:tc>
          <w:tcPr>
            <w:tcW w:w="900" w:type="dxa"/>
            <w:vAlign w:val="bottom"/>
            <w:tcBorders>
              <w:bottom w:val="single" w:sz="8" w:color="FDFDFC"/>
            </w:tcBorders>
            <w:shd w:val="clear" w:color="auto" w:fill="FDFDFC"/>
          </w:tcPr>
          <w:p>
            <w:pPr>
              <w:spacing w:after="0"/>
              <w:rPr>
                <w:sz w:val="13"/>
                <w:szCs w:val="13"/>
                <w:color w:val="auto"/>
              </w:rPr>
            </w:pPr>
          </w:p>
        </w:tc>
        <w:tc>
          <w:tcPr>
            <w:tcW w:w="240" w:type="dxa"/>
            <w:vAlign w:val="bottom"/>
            <w:tcBorders>
              <w:bottom w:val="single" w:sz="8" w:color="FDFDFC"/>
            </w:tcBorders>
            <w:shd w:val="clear" w:color="auto" w:fill="FDFDFC"/>
          </w:tcPr>
          <w:p>
            <w:pPr>
              <w:spacing w:after="0"/>
              <w:rPr>
                <w:sz w:val="13"/>
                <w:szCs w:val="13"/>
                <w:color w:val="auto"/>
              </w:rPr>
            </w:pPr>
          </w:p>
        </w:tc>
        <w:tc>
          <w:tcPr>
            <w:tcW w:w="0" w:type="dxa"/>
            <w:vAlign w:val="bottom"/>
          </w:tcPr>
          <w:p>
            <w:pPr>
              <w:spacing w:after="0"/>
              <w:rPr>
                <w:sz w:val="1"/>
                <w:szCs w:val="1"/>
                <w:color w:val="auto"/>
              </w:rPr>
            </w:pPr>
          </w:p>
        </w:tc>
      </w:tr>
      <w:tr>
        <w:trPr>
          <w:trHeight w:val="174"/>
        </w:trPr>
        <w:tc>
          <w:tcPr>
            <w:tcW w:w="1440" w:type="dxa"/>
            <w:vAlign w:val="bottom"/>
            <w:shd w:val="clear" w:color="auto" w:fill="D0EBF2"/>
          </w:tcPr>
          <w:p>
            <w:pPr>
              <w:spacing w:after="0"/>
              <w:rPr>
                <w:sz w:val="15"/>
                <w:szCs w:val="15"/>
                <w:color w:val="auto"/>
              </w:rPr>
            </w:pPr>
          </w:p>
        </w:tc>
        <w:tc>
          <w:tcPr>
            <w:tcW w:w="2440" w:type="dxa"/>
            <w:vAlign w:val="bottom"/>
            <w:shd w:val="clear" w:color="auto" w:fill="D0EBF2"/>
          </w:tcPr>
          <w:p>
            <w:pPr>
              <w:ind w:left="80"/>
              <w:spacing w:after="0"/>
              <w:rPr>
                <w:sz w:val="20"/>
                <w:szCs w:val="20"/>
                <w:color w:val="auto"/>
              </w:rPr>
            </w:pPr>
            <w:r>
              <w:rPr>
                <w:rFonts w:ascii="Times New Roman" w:cs="Times New Roman" w:eastAsia="Times New Roman" w:hAnsi="Times New Roman"/>
                <w:sz w:val="15"/>
                <w:szCs w:val="15"/>
                <w:color w:val="231F20"/>
              </w:rPr>
              <w:t>Class C-1 Units (8,800,000 units)</w:t>
            </w:r>
          </w:p>
        </w:tc>
        <w:tc>
          <w:tcPr>
            <w:tcW w:w="820" w:type="dxa"/>
            <w:vAlign w:val="bottom"/>
            <w:shd w:val="clear" w:color="auto" w:fill="D0EBF2"/>
          </w:tcPr>
          <w:p>
            <w:pPr>
              <w:jc w:val="right"/>
              <w:spacing w:after="0"/>
              <w:rPr>
                <w:sz w:val="20"/>
                <w:szCs w:val="20"/>
                <w:color w:val="auto"/>
              </w:rPr>
            </w:pPr>
            <w:r>
              <w:rPr>
                <w:rFonts w:ascii="Times New Roman" w:cs="Times New Roman" w:eastAsia="Times New Roman" w:hAnsi="Times New Roman"/>
                <w:sz w:val="15"/>
                <w:szCs w:val="15"/>
                <w:color w:val="231F20"/>
              </w:rPr>
              <w:t>12/21/2018</w:t>
            </w:r>
          </w:p>
        </w:tc>
        <w:tc>
          <w:tcPr>
            <w:tcW w:w="20" w:type="dxa"/>
            <w:vAlign w:val="bottom"/>
          </w:tcPr>
          <w:p>
            <w:pPr>
              <w:spacing w:after="0"/>
              <w:rPr>
                <w:sz w:val="15"/>
                <w:szCs w:val="15"/>
                <w:color w:val="auto"/>
              </w:rPr>
            </w:pPr>
          </w:p>
        </w:tc>
        <w:tc>
          <w:tcPr>
            <w:tcW w:w="2080" w:type="dxa"/>
            <w:vAlign w:val="bottom"/>
            <w:shd w:val="clear" w:color="auto" w:fill="D0EBF2"/>
          </w:tcPr>
          <w:p>
            <w:pPr>
              <w:spacing w:after="0"/>
              <w:rPr>
                <w:sz w:val="15"/>
                <w:szCs w:val="15"/>
                <w:color w:val="auto"/>
              </w:rPr>
            </w:pPr>
          </w:p>
        </w:tc>
        <w:tc>
          <w:tcPr>
            <w:tcW w:w="1000" w:type="dxa"/>
            <w:vAlign w:val="bottom"/>
            <w:shd w:val="clear" w:color="auto" w:fill="D0EBF2"/>
          </w:tcPr>
          <w:p>
            <w:pPr>
              <w:jc w:val="right"/>
              <w:spacing w:after="0"/>
              <w:rPr>
                <w:sz w:val="20"/>
                <w:szCs w:val="20"/>
                <w:color w:val="auto"/>
              </w:rPr>
            </w:pPr>
            <w:r>
              <w:rPr>
                <w:rFonts w:ascii="Times New Roman" w:cs="Times New Roman" w:eastAsia="Times New Roman" w:hAnsi="Times New Roman"/>
                <w:sz w:val="15"/>
                <w:szCs w:val="15"/>
                <w:color w:val="231F20"/>
              </w:rPr>
              <w:t>100</w:t>
            </w:r>
          </w:p>
        </w:tc>
        <w:tc>
          <w:tcPr>
            <w:tcW w:w="180" w:type="dxa"/>
            <w:vAlign w:val="bottom"/>
            <w:shd w:val="clear" w:color="auto" w:fill="D0EBF2"/>
          </w:tcPr>
          <w:p>
            <w:pPr>
              <w:spacing w:after="0"/>
              <w:rPr>
                <w:sz w:val="15"/>
                <w:szCs w:val="15"/>
                <w:color w:val="auto"/>
              </w:rPr>
            </w:pPr>
          </w:p>
        </w:tc>
        <w:tc>
          <w:tcPr>
            <w:tcW w:w="960" w:type="dxa"/>
            <w:vAlign w:val="bottom"/>
            <w:shd w:val="clear" w:color="auto" w:fill="D0EBF2"/>
          </w:tcPr>
          <w:p>
            <w:pPr>
              <w:jc w:val="right"/>
              <w:spacing w:after="0"/>
              <w:rPr>
                <w:sz w:val="20"/>
                <w:szCs w:val="20"/>
                <w:color w:val="auto"/>
              </w:rPr>
            </w:pPr>
            <w:r>
              <w:rPr>
                <w:rFonts w:ascii="Times New Roman" w:cs="Times New Roman" w:eastAsia="Times New Roman" w:hAnsi="Times New Roman"/>
                <w:sz w:val="15"/>
                <w:szCs w:val="15"/>
                <w:color w:val="231F20"/>
              </w:rPr>
              <w:t>43</w:t>
            </w:r>
          </w:p>
        </w:tc>
        <w:tc>
          <w:tcPr>
            <w:tcW w:w="200" w:type="dxa"/>
            <w:vAlign w:val="bottom"/>
            <w:shd w:val="clear" w:color="auto" w:fill="D0EBF2"/>
          </w:tcPr>
          <w:p>
            <w:pPr>
              <w:spacing w:after="0"/>
              <w:rPr>
                <w:sz w:val="15"/>
                <w:szCs w:val="15"/>
                <w:color w:val="auto"/>
              </w:rPr>
            </w:pPr>
          </w:p>
        </w:tc>
        <w:tc>
          <w:tcPr>
            <w:tcW w:w="1140" w:type="dxa"/>
            <w:vAlign w:val="bottom"/>
            <w:gridSpan w:val="2"/>
            <w:shd w:val="clear" w:color="auto" w:fill="D0EBF2"/>
          </w:tcPr>
          <w:p>
            <w:pPr>
              <w:jc w:val="right"/>
              <w:ind w:right="120"/>
              <w:spacing w:after="0"/>
              <w:rPr>
                <w:sz w:val="20"/>
                <w:szCs w:val="20"/>
                <w:color w:val="auto"/>
              </w:rPr>
            </w:pPr>
            <w:r>
              <w:rPr>
                <w:rFonts w:ascii="Times New Roman" w:cs="Times New Roman" w:eastAsia="Times New Roman" w:hAnsi="Times New Roman"/>
                <w:sz w:val="15"/>
                <w:szCs w:val="15"/>
                <w:color w:val="231F20"/>
              </w:rPr>
              <w:t>0.0%</w:t>
            </w:r>
          </w:p>
        </w:tc>
        <w:tc>
          <w:tcPr>
            <w:tcW w:w="0" w:type="dxa"/>
            <w:vAlign w:val="bottom"/>
          </w:tcPr>
          <w:p>
            <w:pPr>
              <w:spacing w:after="0"/>
              <w:rPr>
                <w:sz w:val="1"/>
                <w:szCs w:val="1"/>
                <w:color w:val="auto"/>
              </w:rPr>
            </w:pPr>
          </w:p>
        </w:tc>
      </w:tr>
      <w:tr>
        <w:trPr>
          <w:trHeight w:val="20"/>
        </w:trPr>
        <w:tc>
          <w:tcPr>
            <w:tcW w:w="1440" w:type="dxa"/>
            <w:vAlign w:val="bottom"/>
            <w:shd w:val="clear" w:color="auto" w:fill="D0EBF2"/>
          </w:tcPr>
          <w:p>
            <w:pPr>
              <w:spacing w:after="0" w:line="20" w:lineRule="exact"/>
              <w:rPr>
                <w:sz w:val="1"/>
                <w:szCs w:val="1"/>
                <w:color w:val="auto"/>
              </w:rPr>
            </w:pPr>
          </w:p>
        </w:tc>
        <w:tc>
          <w:tcPr>
            <w:tcW w:w="2440" w:type="dxa"/>
            <w:vAlign w:val="bottom"/>
            <w:shd w:val="clear" w:color="auto" w:fill="D0EBF2"/>
          </w:tcPr>
          <w:p>
            <w:pPr>
              <w:spacing w:after="0" w:line="20" w:lineRule="exact"/>
              <w:rPr>
                <w:sz w:val="1"/>
                <w:szCs w:val="1"/>
                <w:color w:val="auto"/>
              </w:rPr>
            </w:pPr>
          </w:p>
        </w:tc>
        <w:tc>
          <w:tcPr>
            <w:tcW w:w="820" w:type="dxa"/>
            <w:vAlign w:val="bottom"/>
            <w:shd w:val="clear" w:color="auto" w:fill="D0EBF2"/>
          </w:tcPr>
          <w:p>
            <w:pPr>
              <w:spacing w:after="0" w:line="20" w:lineRule="exact"/>
              <w:rPr>
                <w:sz w:val="1"/>
                <w:szCs w:val="1"/>
                <w:color w:val="auto"/>
              </w:rPr>
            </w:pPr>
          </w:p>
        </w:tc>
        <w:tc>
          <w:tcPr>
            <w:tcW w:w="20" w:type="dxa"/>
            <w:vAlign w:val="bottom"/>
            <w:shd w:val="clear" w:color="auto" w:fill="FDFDFC"/>
          </w:tcPr>
          <w:p>
            <w:pPr>
              <w:spacing w:after="0" w:line="20" w:lineRule="exact"/>
              <w:rPr>
                <w:sz w:val="1"/>
                <w:szCs w:val="1"/>
                <w:color w:val="auto"/>
              </w:rPr>
            </w:pPr>
          </w:p>
        </w:tc>
        <w:tc>
          <w:tcPr>
            <w:tcW w:w="2080" w:type="dxa"/>
            <w:vAlign w:val="bottom"/>
            <w:shd w:val="clear" w:color="auto" w:fill="D0EBF2"/>
          </w:tcPr>
          <w:p>
            <w:pPr>
              <w:spacing w:after="0" w:line="20" w:lineRule="exact"/>
              <w:rPr>
                <w:sz w:val="1"/>
                <w:szCs w:val="1"/>
                <w:color w:val="auto"/>
              </w:rPr>
            </w:pPr>
          </w:p>
        </w:tc>
        <w:tc>
          <w:tcPr>
            <w:tcW w:w="1000" w:type="dxa"/>
            <w:vAlign w:val="bottom"/>
            <w:shd w:val="clear" w:color="auto" w:fill="231F20"/>
          </w:tcPr>
          <w:p>
            <w:pPr>
              <w:spacing w:after="0" w:line="20" w:lineRule="exact"/>
              <w:rPr>
                <w:sz w:val="1"/>
                <w:szCs w:val="1"/>
                <w:color w:val="auto"/>
              </w:rPr>
            </w:pPr>
          </w:p>
        </w:tc>
        <w:tc>
          <w:tcPr>
            <w:tcW w:w="180" w:type="dxa"/>
            <w:vAlign w:val="bottom"/>
            <w:shd w:val="clear" w:color="auto" w:fill="D0EBF2"/>
          </w:tcPr>
          <w:p>
            <w:pPr>
              <w:spacing w:after="0" w:line="20" w:lineRule="exact"/>
              <w:rPr>
                <w:sz w:val="1"/>
                <w:szCs w:val="1"/>
                <w:color w:val="auto"/>
              </w:rPr>
            </w:pPr>
          </w:p>
        </w:tc>
        <w:tc>
          <w:tcPr>
            <w:tcW w:w="960" w:type="dxa"/>
            <w:vAlign w:val="bottom"/>
            <w:shd w:val="clear" w:color="auto" w:fill="231F20"/>
          </w:tcPr>
          <w:p>
            <w:pPr>
              <w:spacing w:after="0" w:line="20" w:lineRule="exact"/>
              <w:rPr>
                <w:sz w:val="1"/>
                <w:szCs w:val="1"/>
                <w:color w:val="auto"/>
              </w:rPr>
            </w:pPr>
          </w:p>
        </w:tc>
        <w:tc>
          <w:tcPr>
            <w:tcW w:w="200" w:type="dxa"/>
            <w:vAlign w:val="bottom"/>
            <w:shd w:val="clear" w:color="auto" w:fill="D0EBF2"/>
          </w:tcPr>
          <w:p>
            <w:pPr>
              <w:spacing w:after="0" w:line="20" w:lineRule="exact"/>
              <w:rPr>
                <w:sz w:val="1"/>
                <w:szCs w:val="1"/>
                <w:color w:val="auto"/>
              </w:rPr>
            </w:pPr>
          </w:p>
        </w:tc>
        <w:tc>
          <w:tcPr>
            <w:tcW w:w="900" w:type="dxa"/>
            <w:vAlign w:val="bottom"/>
            <w:shd w:val="clear" w:color="auto" w:fill="231F20"/>
          </w:tcPr>
          <w:p>
            <w:pPr>
              <w:spacing w:after="0" w:line="20" w:lineRule="exact"/>
              <w:rPr>
                <w:sz w:val="1"/>
                <w:szCs w:val="1"/>
                <w:color w:val="auto"/>
              </w:rPr>
            </w:pPr>
          </w:p>
        </w:tc>
        <w:tc>
          <w:tcPr>
            <w:tcW w:w="240" w:type="dxa"/>
            <w:vAlign w:val="bottom"/>
            <w:shd w:val="clear" w:color="auto" w:fill="D0EBF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1440" w:type="dxa"/>
            <w:vAlign w:val="bottom"/>
            <w:shd w:val="clear" w:color="auto" w:fill="FDFDFC"/>
          </w:tcPr>
          <w:p>
            <w:pPr>
              <w:spacing w:after="0"/>
              <w:rPr>
                <w:sz w:val="14"/>
                <w:szCs w:val="14"/>
                <w:color w:val="auto"/>
              </w:rPr>
            </w:pPr>
          </w:p>
        </w:tc>
        <w:tc>
          <w:tcPr>
            <w:tcW w:w="2440" w:type="dxa"/>
            <w:vAlign w:val="bottom"/>
            <w:shd w:val="clear" w:color="auto" w:fill="FDFDFC"/>
          </w:tcPr>
          <w:p>
            <w:pPr>
              <w:spacing w:after="0"/>
              <w:rPr>
                <w:sz w:val="14"/>
                <w:szCs w:val="14"/>
                <w:color w:val="auto"/>
              </w:rPr>
            </w:pPr>
          </w:p>
        </w:tc>
        <w:tc>
          <w:tcPr>
            <w:tcW w:w="820" w:type="dxa"/>
            <w:vAlign w:val="bottom"/>
            <w:shd w:val="clear" w:color="auto" w:fill="FDFDFC"/>
          </w:tcPr>
          <w:p>
            <w:pPr>
              <w:spacing w:after="0"/>
              <w:rPr>
                <w:sz w:val="14"/>
                <w:szCs w:val="14"/>
                <w:color w:val="auto"/>
              </w:rPr>
            </w:pPr>
          </w:p>
        </w:tc>
        <w:tc>
          <w:tcPr>
            <w:tcW w:w="20" w:type="dxa"/>
            <w:vAlign w:val="bottom"/>
            <w:shd w:val="clear" w:color="auto" w:fill="FDFDFC"/>
          </w:tcPr>
          <w:p>
            <w:pPr>
              <w:spacing w:after="0"/>
              <w:rPr>
                <w:sz w:val="14"/>
                <w:szCs w:val="14"/>
                <w:color w:val="auto"/>
              </w:rPr>
            </w:pPr>
          </w:p>
        </w:tc>
        <w:tc>
          <w:tcPr>
            <w:tcW w:w="2080" w:type="dxa"/>
            <w:vAlign w:val="bottom"/>
            <w:shd w:val="clear" w:color="auto" w:fill="FDFDFC"/>
          </w:tcPr>
          <w:p>
            <w:pPr>
              <w:spacing w:after="0"/>
              <w:rPr>
                <w:sz w:val="14"/>
                <w:szCs w:val="14"/>
                <w:color w:val="auto"/>
              </w:rPr>
            </w:pPr>
          </w:p>
        </w:tc>
        <w:tc>
          <w:tcPr>
            <w:tcW w:w="1000" w:type="dxa"/>
            <w:vAlign w:val="bottom"/>
            <w:shd w:val="clear" w:color="auto" w:fill="FDFDFC"/>
          </w:tcPr>
          <w:p>
            <w:pPr>
              <w:jc w:val="right"/>
              <w:spacing w:after="0" w:line="164" w:lineRule="exact"/>
              <w:rPr>
                <w:sz w:val="20"/>
                <w:szCs w:val="20"/>
                <w:color w:val="auto"/>
              </w:rPr>
            </w:pPr>
            <w:r>
              <w:rPr>
                <w:rFonts w:ascii="Times New Roman" w:cs="Times New Roman" w:eastAsia="Times New Roman" w:hAnsi="Times New Roman"/>
                <w:sz w:val="15"/>
                <w:szCs w:val="15"/>
                <w:color w:val="231F20"/>
              </w:rPr>
              <w:t>21,942</w:t>
            </w:r>
          </w:p>
        </w:tc>
        <w:tc>
          <w:tcPr>
            <w:tcW w:w="180" w:type="dxa"/>
            <w:vAlign w:val="bottom"/>
            <w:shd w:val="clear" w:color="auto" w:fill="FDFDFC"/>
          </w:tcPr>
          <w:p>
            <w:pPr>
              <w:spacing w:after="0"/>
              <w:rPr>
                <w:sz w:val="14"/>
                <w:szCs w:val="14"/>
                <w:color w:val="auto"/>
              </w:rPr>
            </w:pPr>
          </w:p>
        </w:tc>
        <w:tc>
          <w:tcPr>
            <w:tcW w:w="960" w:type="dxa"/>
            <w:vAlign w:val="bottom"/>
            <w:shd w:val="clear" w:color="auto" w:fill="FDFDFC"/>
          </w:tcPr>
          <w:p>
            <w:pPr>
              <w:jc w:val="right"/>
              <w:spacing w:after="0" w:line="164" w:lineRule="exact"/>
              <w:rPr>
                <w:sz w:val="20"/>
                <w:szCs w:val="20"/>
                <w:color w:val="auto"/>
              </w:rPr>
            </w:pPr>
            <w:r>
              <w:rPr>
                <w:rFonts w:ascii="Times New Roman" w:cs="Times New Roman" w:eastAsia="Times New Roman" w:hAnsi="Times New Roman"/>
                <w:sz w:val="15"/>
                <w:szCs w:val="15"/>
                <w:color w:val="231F20"/>
              </w:rPr>
              <w:t>2,324</w:t>
            </w:r>
          </w:p>
        </w:tc>
        <w:tc>
          <w:tcPr>
            <w:tcW w:w="200" w:type="dxa"/>
            <w:vAlign w:val="bottom"/>
            <w:shd w:val="clear" w:color="auto" w:fill="FDFDFC"/>
          </w:tcPr>
          <w:p>
            <w:pPr>
              <w:spacing w:after="0"/>
              <w:rPr>
                <w:sz w:val="14"/>
                <w:szCs w:val="14"/>
                <w:color w:val="auto"/>
              </w:rPr>
            </w:pPr>
          </w:p>
        </w:tc>
        <w:tc>
          <w:tcPr>
            <w:tcW w:w="1140" w:type="dxa"/>
            <w:vAlign w:val="bottom"/>
            <w:gridSpan w:val="2"/>
          </w:tcPr>
          <w:p>
            <w:pPr>
              <w:jc w:val="right"/>
              <w:ind w:right="120"/>
              <w:spacing w:after="0" w:line="164" w:lineRule="exact"/>
              <w:rPr>
                <w:sz w:val="20"/>
                <w:szCs w:val="20"/>
                <w:color w:val="auto"/>
              </w:rPr>
            </w:pPr>
            <w:r>
              <w:rPr>
                <w:rFonts w:ascii="Times New Roman" w:cs="Times New Roman" w:eastAsia="Times New Roman" w:hAnsi="Times New Roman"/>
                <w:sz w:val="15"/>
                <w:szCs w:val="15"/>
                <w:color w:val="231F20"/>
              </w:rPr>
              <w:t>0.2%</w:t>
            </w:r>
          </w:p>
        </w:tc>
        <w:tc>
          <w:tcPr>
            <w:tcW w:w="0" w:type="dxa"/>
            <w:vAlign w:val="bottom"/>
          </w:tcPr>
          <w:p>
            <w:pPr>
              <w:spacing w:after="0"/>
              <w:rPr>
                <w:sz w:val="1"/>
                <w:szCs w:val="1"/>
                <w:color w:val="auto"/>
              </w:rPr>
            </w:pPr>
          </w:p>
        </w:tc>
      </w:tr>
      <w:tr>
        <w:trPr>
          <w:trHeight w:val="146"/>
        </w:trPr>
        <w:tc>
          <w:tcPr>
            <w:tcW w:w="1440" w:type="dxa"/>
            <w:vAlign w:val="bottom"/>
            <w:tcBorders>
              <w:top w:val="single" w:sz="8" w:color="D0EBF2"/>
            </w:tcBorders>
            <w:shd w:val="clear" w:color="auto" w:fill="D0EBF2"/>
          </w:tcPr>
          <w:p>
            <w:pPr>
              <w:spacing w:after="0" w:line="146" w:lineRule="exact"/>
              <w:rPr>
                <w:sz w:val="20"/>
                <w:szCs w:val="20"/>
                <w:color w:val="auto"/>
              </w:rPr>
            </w:pPr>
            <w:r>
              <w:rPr>
                <w:rFonts w:ascii="Times New Roman" w:cs="Times New Roman" w:eastAsia="Times New Roman" w:hAnsi="Times New Roman"/>
                <w:sz w:val="15"/>
                <w:szCs w:val="15"/>
                <w:b w:val="1"/>
                <w:bCs w:val="1"/>
                <w:color w:val="231F20"/>
              </w:rPr>
              <w:t>Human Resource</w:t>
            </w:r>
          </w:p>
        </w:tc>
        <w:tc>
          <w:tcPr>
            <w:tcW w:w="2440" w:type="dxa"/>
            <w:vAlign w:val="bottom"/>
            <w:tcBorders>
              <w:top w:val="single" w:sz="8" w:color="D0EBF2"/>
            </w:tcBorders>
            <w:shd w:val="clear" w:color="auto" w:fill="D0EBF2"/>
          </w:tcPr>
          <w:p>
            <w:pPr>
              <w:spacing w:after="0"/>
              <w:rPr>
                <w:sz w:val="12"/>
                <w:szCs w:val="12"/>
                <w:color w:val="auto"/>
              </w:rPr>
            </w:pPr>
          </w:p>
        </w:tc>
        <w:tc>
          <w:tcPr>
            <w:tcW w:w="820" w:type="dxa"/>
            <w:vAlign w:val="bottom"/>
            <w:tcBorders>
              <w:top w:val="single" w:sz="8" w:color="D0EBF2"/>
            </w:tcBorders>
            <w:shd w:val="clear" w:color="auto" w:fill="D0EBF2"/>
          </w:tcPr>
          <w:p>
            <w:pPr>
              <w:spacing w:after="0"/>
              <w:rPr>
                <w:sz w:val="12"/>
                <w:szCs w:val="12"/>
                <w:color w:val="auto"/>
              </w:rPr>
            </w:pPr>
          </w:p>
        </w:tc>
        <w:tc>
          <w:tcPr>
            <w:tcW w:w="20" w:type="dxa"/>
            <w:vAlign w:val="bottom"/>
            <w:tcBorders>
              <w:top w:val="single" w:sz="8" w:color="D0EBF2"/>
            </w:tcBorders>
            <w:shd w:val="clear" w:color="auto" w:fill="D0EBF2"/>
          </w:tcPr>
          <w:p>
            <w:pPr>
              <w:spacing w:after="0"/>
              <w:rPr>
                <w:sz w:val="12"/>
                <w:szCs w:val="12"/>
                <w:color w:val="auto"/>
              </w:rPr>
            </w:pPr>
          </w:p>
        </w:tc>
        <w:tc>
          <w:tcPr>
            <w:tcW w:w="2080" w:type="dxa"/>
            <w:vAlign w:val="bottom"/>
            <w:tcBorders>
              <w:top w:val="single" w:sz="8" w:color="D0EBF2"/>
            </w:tcBorders>
            <w:shd w:val="clear" w:color="auto" w:fill="D0EBF2"/>
          </w:tcPr>
          <w:p>
            <w:pPr>
              <w:spacing w:after="0"/>
              <w:rPr>
                <w:sz w:val="12"/>
                <w:szCs w:val="12"/>
                <w:color w:val="auto"/>
              </w:rPr>
            </w:pPr>
          </w:p>
        </w:tc>
        <w:tc>
          <w:tcPr>
            <w:tcW w:w="1000" w:type="dxa"/>
            <w:vAlign w:val="bottom"/>
            <w:tcBorders>
              <w:top w:val="single" w:sz="8" w:color="231F20"/>
            </w:tcBorders>
            <w:shd w:val="clear" w:color="auto" w:fill="D0EBF2"/>
          </w:tcPr>
          <w:p>
            <w:pPr>
              <w:spacing w:after="0"/>
              <w:rPr>
                <w:sz w:val="12"/>
                <w:szCs w:val="12"/>
                <w:color w:val="auto"/>
              </w:rPr>
            </w:pPr>
          </w:p>
        </w:tc>
        <w:tc>
          <w:tcPr>
            <w:tcW w:w="180" w:type="dxa"/>
            <w:vAlign w:val="bottom"/>
            <w:tcBorders>
              <w:top w:val="single" w:sz="8" w:color="D0EBF2"/>
            </w:tcBorders>
            <w:shd w:val="clear" w:color="auto" w:fill="D0EBF2"/>
          </w:tcPr>
          <w:p>
            <w:pPr>
              <w:spacing w:after="0"/>
              <w:rPr>
                <w:sz w:val="12"/>
                <w:szCs w:val="12"/>
                <w:color w:val="auto"/>
              </w:rPr>
            </w:pPr>
          </w:p>
        </w:tc>
        <w:tc>
          <w:tcPr>
            <w:tcW w:w="960" w:type="dxa"/>
            <w:vAlign w:val="bottom"/>
            <w:tcBorders>
              <w:top w:val="single" w:sz="8" w:color="231F20"/>
            </w:tcBorders>
            <w:shd w:val="clear" w:color="auto" w:fill="D0EBF2"/>
          </w:tcPr>
          <w:p>
            <w:pPr>
              <w:spacing w:after="0"/>
              <w:rPr>
                <w:sz w:val="12"/>
                <w:szCs w:val="12"/>
                <w:color w:val="auto"/>
              </w:rPr>
            </w:pPr>
          </w:p>
        </w:tc>
        <w:tc>
          <w:tcPr>
            <w:tcW w:w="200" w:type="dxa"/>
            <w:vAlign w:val="bottom"/>
            <w:tcBorders>
              <w:top w:val="single" w:sz="8" w:color="D0EBF2"/>
            </w:tcBorders>
            <w:shd w:val="clear" w:color="auto" w:fill="D0EBF2"/>
          </w:tcPr>
          <w:p>
            <w:pPr>
              <w:spacing w:after="0"/>
              <w:rPr>
                <w:sz w:val="12"/>
                <w:szCs w:val="12"/>
                <w:color w:val="auto"/>
              </w:rPr>
            </w:pPr>
          </w:p>
        </w:tc>
        <w:tc>
          <w:tcPr>
            <w:tcW w:w="900" w:type="dxa"/>
            <w:vAlign w:val="bottom"/>
            <w:tcBorders>
              <w:top w:val="single" w:sz="8" w:color="231F20"/>
            </w:tcBorders>
            <w:shd w:val="clear" w:color="auto" w:fill="D0EBF2"/>
          </w:tcPr>
          <w:p>
            <w:pPr>
              <w:spacing w:after="0"/>
              <w:rPr>
                <w:sz w:val="12"/>
                <w:szCs w:val="12"/>
                <w:color w:val="auto"/>
              </w:rPr>
            </w:pPr>
          </w:p>
        </w:tc>
        <w:tc>
          <w:tcPr>
            <w:tcW w:w="240" w:type="dxa"/>
            <w:vAlign w:val="bottom"/>
            <w:tcBorders>
              <w:top w:val="single" w:sz="8" w:color="D0EBF2"/>
            </w:tcBorders>
            <w:shd w:val="clear" w:color="auto" w:fill="D0EBF2"/>
          </w:tcPr>
          <w:p>
            <w:pPr>
              <w:spacing w:after="0"/>
              <w:rPr>
                <w:sz w:val="12"/>
                <w:szCs w:val="12"/>
                <w:color w:val="auto"/>
              </w:rPr>
            </w:pPr>
          </w:p>
        </w:tc>
        <w:tc>
          <w:tcPr>
            <w:tcW w:w="0" w:type="dxa"/>
            <w:vAlign w:val="bottom"/>
          </w:tcPr>
          <w:p>
            <w:pPr>
              <w:spacing w:after="0"/>
              <w:rPr>
                <w:sz w:val="1"/>
                <w:szCs w:val="1"/>
                <w:color w:val="auto"/>
              </w:rPr>
            </w:pPr>
          </w:p>
        </w:tc>
      </w:tr>
      <w:tr>
        <w:trPr>
          <w:trHeight w:val="191"/>
        </w:trPr>
        <w:tc>
          <w:tcPr>
            <w:tcW w:w="1440" w:type="dxa"/>
            <w:vAlign w:val="bottom"/>
            <w:shd w:val="clear" w:color="auto" w:fill="D0EBF2"/>
          </w:tcPr>
          <w:p>
            <w:pPr>
              <w:spacing w:after="0"/>
              <w:rPr>
                <w:sz w:val="20"/>
                <w:szCs w:val="20"/>
                <w:color w:val="auto"/>
              </w:rPr>
            </w:pPr>
            <w:r>
              <w:rPr>
                <w:rFonts w:ascii="Times New Roman" w:cs="Times New Roman" w:eastAsia="Times New Roman" w:hAnsi="Times New Roman"/>
                <w:sz w:val="15"/>
                <w:szCs w:val="15"/>
                <w:b w:val="1"/>
                <w:bCs w:val="1"/>
                <w:color w:val="231F20"/>
              </w:rPr>
              <w:t>Support Services</w:t>
            </w:r>
          </w:p>
        </w:tc>
        <w:tc>
          <w:tcPr>
            <w:tcW w:w="2440" w:type="dxa"/>
            <w:vAlign w:val="bottom"/>
            <w:shd w:val="clear" w:color="auto" w:fill="D0EBF2"/>
          </w:tcPr>
          <w:p>
            <w:pPr>
              <w:spacing w:after="0"/>
              <w:rPr>
                <w:sz w:val="16"/>
                <w:szCs w:val="16"/>
                <w:color w:val="auto"/>
              </w:rPr>
            </w:pPr>
          </w:p>
        </w:tc>
        <w:tc>
          <w:tcPr>
            <w:tcW w:w="820" w:type="dxa"/>
            <w:vAlign w:val="bottom"/>
            <w:shd w:val="clear" w:color="auto" w:fill="D0EBF2"/>
          </w:tcPr>
          <w:p>
            <w:pPr>
              <w:spacing w:after="0"/>
              <w:rPr>
                <w:sz w:val="16"/>
                <w:szCs w:val="16"/>
                <w:color w:val="auto"/>
              </w:rPr>
            </w:pPr>
          </w:p>
        </w:tc>
        <w:tc>
          <w:tcPr>
            <w:tcW w:w="20" w:type="dxa"/>
            <w:vAlign w:val="bottom"/>
            <w:shd w:val="clear" w:color="auto" w:fill="D0EBF2"/>
          </w:tcPr>
          <w:p>
            <w:pPr>
              <w:spacing w:after="0"/>
              <w:rPr>
                <w:sz w:val="16"/>
                <w:szCs w:val="16"/>
                <w:color w:val="auto"/>
              </w:rPr>
            </w:pPr>
          </w:p>
        </w:tc>
        <w:tc>
          <w:tcPr>
            <w:tcW w:w="2080" w:type="dxa"/>
            <w:vAlign w:val="bottom"/>
            <w:shd w:val="clear" w:color="auto" w:fill="D0EBF2"/>
          </w:tcPr>
          <w:p>
            <w:pPr>
              <w:spacing w:after="0"/>
              <w:rPr>
                <w:sz w:val="16"/>
                <w:szCs w:val="16"/>
                <w:color w:val="auto"/>
              </w:rPr>
            </w:pPr>
          </w:p>
        </w:tc>
        <w:tc>
          <w:tcPr>
            <w:tcW w:w="1000" w:type="dxa"/>
            <w:vAlign w:val="bottom"/>
            <w:shd w:val="clear" w:color="auto" w:fill="D0EBF2"/>
          </w:tcPr>
          <w:p>
            <w:pPr>
              <w:spacing w:after="0"/>
              <w:rPr>
                <w:sz w:val="16"/>
                <w:szCs w:val="16"/>
                <w:color w:val="auto"/>
              </w:rPr>
            </w:pPr>
          </w:p>
        </w:tc>
        <w:tc>
          <w:tcPr>
            <w:tcW w:w="180" w:type="dxa"/>
            <w:vAlign w:val="bottom"/>
            <w:shd w:val="clear" w:color="auto" w:fill="D0EBF2"/>
          </w:tcPr>
          <w:p>
            <w:pPr>
              <w:spacing w:after="0"/>
              <w:rPr>
                <w:sz w:val="16"/>
                <w:szCs w:val="16"/>
                <w:color w:val="auto"/>
              </w:rPr>
            </w:pPr>
          </w:p>
        </w:tc>
        <w:tc>
          <w:tcPr>
            <w:tcW w:w="960" w:type="dxa"/>
            <w:vAlign w:val="bottom"/>
            <w:shd w:val="clear" w:color="auto" w:fill="D0EBF2"/>
          </w:tcPr>
          <w:p>
            <w:pPr>
              <w:spacing w:after="0"/>
              <w:rPr>
                <w:sz w:val="16"/>
                <w:szCs w:val="16"/>
                <w:color w:val="auto"/>
              </w:rPr>
            </w:pPr>
          </w:p>
        </w:tc>
        <w:tc>
          <w:tcPr>
            <w:tcW w:w="200" w:type="dxa"/>
            <w:vAlign w:val="bottom"/>
            <w:shd w:val="clear" w:color="auto" w:fill="D0EBF2"/>
          </w:tcPr>
          <w:p>
            <w:pPr>
              <w:spacing w:after="0"/>
              <w:rPr>
                <w:sz w:val="16"/>
                <w:szCs w:val="16"/>
                <w:color w:val="auto"/>
              </w:rPr>
            </w:pPr>
          </w:p>
        </w:tc>
        <w:tc>
          <w:tcPr>
            <w:tcW w:w="900" w:type="dxa"/>
            <w:vAlign w:val="bottom"/>
            <w:shd w:val="clear" w:color="auto" w:fill="D0EBF2"/>
          </w:tcPr>
          <w:p>
            <w:pPr>
              <w:spacing w:after="0"/>
              <w:rPr>
                <w:sz w:val="16"/>
                <w:szCs w:val="16"/>
                <w:color w:val="auto"/>
              </w:rPr>
            </w:pPr>
          </w:p>
        </w:tc>
        <w:tc>
          <w:tcPr>
            <w:tcW w:w="240" w:type="dxa"/>
            <w:vAlign w:val="bottom"/>
            <w:shd w:val="clear" w:color="auto" w:fill="D0EBF2"/>
          </w:tcPr>
          <w:p>
            <w:pPr>
              <w:spacing w:after="0"/>
              <w:rPr>
                <w:sz w:val="16"/>
                <w:szCs w:val="16"/>
                <w:color w:val="auto"/>
              </w:rPr>
            </w:pPr>
          </w:p>
        </w:tc>
        <w:tc>
          <w:tcPr>
            <w:tcW w:w="0" w:type="dxa"/>
            <w:vAlign w:val="bottom"/>
          </w:tcPr>
          <w:p>
            <w:pPr>
              <w:spacing w:after="0"/>
              <w:rPr>
                <w:sz w:val="1"/>
                <w:szCs w:val="1"/>
                <w:color w:val="auto"/>
              </w:rPr>
            </w:pPr>
          </w:p>
        </w:tc>
      </w:tr>
      <w:tr>
        <w:trPr>
          <w:trHeight w:val="174"/>
        </w:trPr>
        <w:tc>
          <w:tcPr>
            <w:tcW w:w="1440" w:type="dxa"/>
            <w:vAlign w:val="bottom"/>
            <w:shd w:val="clear" w:color="auto" w:fill="FDFDFC"/>
          </w:tcPr>
          <w:p>
            <w:pPr>
              <w:spacing w:after="0"/>
              <w:rPr>
                <w:sz w:val="20"/>
                <w:szCs w:val="20"/>
                <w:color w:val="auto"/>
              </w:rPr>
            </w:pPr>
            <w:r>
              <w:rPr>
                <w:rFonts w:ascii="Times New Roman" w:cs="Times New Roman" w:eastAsia="Times New Roman" w:hAnsi="Times New Roman"/>
                <w:sz w:val="15"/>
                <w:szCs w:val="15"/>
                <w:color w:val="231F20"/>
              </w:rPr>
              <w:t xml:space="preserve">Axonify, Inc. </w:t>
            </w:r>
            <w:r>
              <w:rPr>
                <w:rFonts w:ascii="Times New Roman" w:cs="Times New Roman" w:eastAsia="Times New Roman" w:hAnsi="Times New Roman"/>
                <w:sz w:val="9"/>
                <w:szCs w:val="9"/>
                <w:color w:val="231F20"/>
              </w:rPr>
              <w:t>(4)(11)(13)</w:t>
            </w:r>
          </w:p>
        </w:tc>
        <w:tc>
          <w:tcPr>
            <w:tcW w:w="2440" w:type="dxa"/>
            <w:vAlign w:val="bottom"/>
            <w:shd w:val="clear" w:color="auto" w:fill="FDFDFC"/>
          </w:tcPr>
          <w:p>
            <w:pPr>
              <w:ind w:left="80"/>
              <w:spacing w:after="0"/>
              <w:rPr>
                <w:sz w:val="20"/>
                <w:szCs w:val="20"/>
                <w:color w:val="auto"/>
              </w:rPr>
            </w:pPr>
            <w:r>
              <w:rPr>
                <w:rFonts w:ascii="Times New Roman" w:cs="Times New Roman" w:eastAsia="Times New Roman" w:hAnsi="Times New Roman"/>
                <w:sz w:val="15"/>
                <w:szCs w:val="15"/>
                <w:color w:val="231F20"/>
              </w:rPr>
              <w:t>Class A-1 Units (3,780,000 units)</w:t>
            </w:r>
          </w:p>
        </w:tc>
        <w:tc>
          <w:tcPr>
            <w:tcW w:w="820" w:type="dxa"/>
            <w:vAlign w:val="bottom"/>
            <w:shd w:val="clear" w:color="auto" w:fill="FDFDFC"/>
          </w:tcPr>
          <w:p>
            <w:pPr>
              <w:jc w:val="right"/>
              <w:spacing w:after="0"/>
              <w:rPr>
                <w:sz w:val="20"/>
                <w:szCs w:val="20"/>
                <w:color w:val="auto"/>
              </w:rPr>
            </w:pPr>
            <w:r>
              <w:rPr>
                <w:rFonts w:ascii="Times New Roman" w:cs="Times New Roman" w:eastAsia="Times New Roman" w:hAnsi="Times New Roman"/>
                <w:sz w:val="15"/>
                <w:szCs w:val="15"/>
                <w:color w:val="231F20"/>
              </w:rPr>
              <w:t>5/5/2021</w:t>
            </w:r>
          </w:p>
        </w:tc>
        <w:tc>
          <w:tcPr>
            <w:tcW w:w="20" w:type="dxa"/>
            <w:vAlign w:val="bottom"/>
          </w:tcPr>
          <w:p>
            <w:pPr>
              <w:spacing w:after="0"/>
              <w:rPr>
                <w:sz w:val="15"/>
                <w:szCs w:val="15"/>
                <w:color w:val="auto"/>
              </w:rPr>
            </w:pPr>
          </w:p>
        </w:tc>
        <w:tc>
          <w:tcPr>
            <w:tcW w:w="2080" w:type="dxa"/>
            <w:vAlign w:val="bottom"/>
            <w:shd w:val="clear" w:color="auto" w:fill="FDFDFC"/>
          </w:tcPr>
          <w:p>
            <w:pPr>
              <w:spacing w:after="0"/>
              <w:rPr>
                <w:sz w:val="15"/>
                <w:szCs w:val="15"/>
                <w:color w:val="auto"/>
              </w:rPr>
            </w:pPr>
          </w:p>
        </w:tc>
        <w:tc>
          <w:tcPr>
            <w:tcW w:w="1000" w:type="dxa"/>
            <w:vAlign w:val="bottom"/>
            <w:shd w:val="clear" w:color="auto" w:fill="FDFDFC"/>
          </w:tcPr>
          <w:p>
            <w:pPr>
              <w:jc w:val="right"/>
              <w:spacing w:after="0"/>
              <w:rPr>
                <w:sz w:val="20"/>
                <w:szCs w:val="20"/>
                <w:color w:val="auto"/>
              </w:rPr>
            </w:pPr>
            <w:r>
              <w:rPr>
                <w:rFonts w:ascii="Times New Roman" w:cs="Times New Roman" w:eastAsia="Times New Roman" w:hAnsi="Times New Roman"/>
                <w:sz w:val="15"/>
                <w:szCs w:val="15"/>
                <w:color w:val="231F20"/>
              </w:rPr>
              <w:t>3,780</w:t>
            </w:r>
          </w:p>
        </w:tc>
        <w:tc>
          <w:tcPr>
            <w:tcW w:w="180" w:type="dxa"/>
            <w:vAlign w:val="bottom"/>
            <w:shd w:val="clear" w:color="auto" w:fill="FDFDFC"/>
          </w:tcPr>
          <w:p>
            <w:pPr>
              <w:spacing w:after="0"/>
              <w:rPr>
                <w:sz w:val="15"/>
                <w:szCs w:val="15"/>
                <w:color w:val="auto"/>
              </w:rPr>
            </w:pPr>
          </w:p>
        </w:tc>
        <w:tc>
          <w:tcPr>
            <w:tcW w:w="960" w:type="dxa"/>
            <w:vAlign w:val="bottom"/>
            <w:shd w:val="clear" w:color="auto" w:fill="FDFDFC"/>
          </w:tcPr>
          <w:p>
            <w:pPr>
              <w:jc w:val="right"/>
              <w:spacing w:after="0"/>
              <w:rPr>
                <w:sz w:val="20"/>
                <w:szCs w:val="20"/>
                <w:color w:val="auto"/>
              </w:rPr>
            </w:pPr>
            <w:r>
              <w:rPr>
                <w:rFonts w:ascii="Times New Roman" w:cs="Times New Roman" w:eastAsia="Times New Roman" w:hAnsi="Times New Roman"/>
                <w:sz w:val="15"/>
                <w:szCs w:val="15"/>
                <w:color w:val="231F20"/>
              </w:rPr>
              <w:t>4,026</w:t>
            </w:r>
          </w:p>
        </w:tc>
        <w:tc>
          <w:tcPr>
            <w:tcW w:w="200" w:type="dxa"/>
            <w:vAlign w:val="bottom"/>
            <w:shd w:val="clear" w:color="auto" w:fill="FDFDFC"/>
          </w:tcPr>
          <w:p>
            <w:pPr>
              <w:spacing w:after="0"/>
              <w:rPr>
                <w:sz w:val="15"/>
                <w:szCs w:val="15"/>
                <w:color w:val="auto"/>
              </w:rPr>
            </w:pPr>
          </w:p>
        </w:tc>
        <w:tc>
          <w:tcPr>
            <w:tcW w:w="1140" w:type="dxa"/>
            <w:vAlign w:val="bottom"/>
            <w:gridSpan w:val="2"/>
            <w:shd w:val="clear" w:color="auto" w:fill="FDFDFC"/>
          </w:tcPr>
          <w:p>
            <w:pPr>
              <w:jc w:val="right"/>
              <w:ind w:right="120"/>
              <w:spacing w:after="0"/>
              <w:rPr>
                <w:sz w:val="20"/>
                <w:szCs w:val="20"/>
                <w:color w:val="auto"/>
              </w:rPr>
            </w:pPr>
            <w:r>
              <w:rPr>
                <w:rFonts w:ascii="Times New Roman" w:cs="Times New Roman" w:eastAsia="Times New Roman" w:hAnsi="Times New Roman"/>
                <w:sz w:val="15"/>
                <w:szCs w:val="15"/>
                <w:color w:val="231F20"/>
              </w:rPr>
              <w:t>0.3%</w:t>
            </w:r>
          </w:p>
        </w:tc>
        <w:tc>
          <w:tcPr>
            <w:tcW w:w="0" w:type="dxa"/>
            <w:vAlign w:val="bottom"/>
          </w:tcPr>
          <w:p>
            <w:pPr>
              <w:spacing w:after="0"/>
              <w:rPr>
                <w:sz w:val="1"/>
                <w:szCs w:val="1"/>
                <w:color w:val="auto"/>
              </w:rPr>
            </w:pPr>
          </w:p>
        </w:tc>
      </w:tr>
      <w:tr>
        <w:trPr>
          <w:trHeight w:val="174"/>
        </w:trPr>
        <w:tc>
          <w:tcPr>
            <w:tcW w:w="1440" w:type="dxa"/>
            <w:vAlign w:val="bottom"/>
            <w:shd w:val="clear" w:color="auto" w:fill="D0EBF2"/>
          </w:tcPr>
          <w:p>
            <w:pPr>
              <w:spacing w:after="0"/>
              <w:rPr>
                <w:sz w:val="20"/>
                <w:szCs w:val="20"/>
                <w:color w:val="auto"/>
              </w:rPr>
            </w:pPr>
            <w:r>
              <w:rPr>
                <w:rFonts w:ascii="Times New Roman" w:cs="Times New Roman" w:eastAsia="Times New Roman" w:hAnsi="Times New Roman"/>
                <w:sz w:val="15"/>
                <w:szCs w:val="15"/>
                <w:color w:val="231F20"/>
              </w:rPr>
              <w:t xml:space="preserve">bswift, LLC </w:t>
            </w:r>
            <w:r>
              <w:rPr>
                <w:rFonts w:ascii="Times New Roman" w:cs="Times New Roman" w:eastAsia="Times New Roman" w:hAnsi="Times New Roman"/>
                <w:sz w:val="9"/>
                <w:szCs w:val="9"/>
                <w:color w:val="231F20"/>
              </w:rPr>
              <w:t>(11)(12)</w:t>
            </w:r>
          </w:p>
        </w:tc>
        <w:tc>
          <w:tcPr>
            <w:tcW w:w="2440" w:type="dxa"/>
            <w:vAlign w:val="bottom"/>
            <w:shd w:val="clear" w:color="auto" w:fill="D0EBF2"/>
          </w:tcPr>
          <w:p>
            <w:pPr>
              <w:ind w:left="80"/>
              <w:spacing w:after="0"/>
              <w:rPr>
                <w:sz w:val="20"/>
                <w:szCs w:val="20"/>
                <w:color w:val="auto"/>
              </w:rPr>
            </w:pPr>
            <w:r>
              <w:rPr>
                <w:rFonts w:ascii="Times New Roman" w:cs="Times New Roman" w:eastAsia="Times New Roman" w:hAnsi="Times New Roman"/>
                <w:sz w:val="15"/>
                <w:szCs w:val="15"/>
                <w:color w:val="231F20"/>
              </w:rPr>
              <w:t>Class A-1 Units (2,393,509 units)</w:t>
            </w:r>
          </w:p>
        </w:tc>
        <w:tc>
          <w:tcPr>
            <w:tcW w:w="820" w:type="dxa"/>
            <w:vAlign w:val="bottom"/>
            <w:shd w:val="clear" w:color="auto" w:fill="D0EBF2"/>
          </w:tcPr>
          <w:p>
            <w:pPr>
              <w:jc w:val="right"/>
              <w:spacing w:after="0"/>
              <w:rPr>
                <w:sz w:val="20"/>
                <w:szCs w:val="20"/>
                <w:color w:val="auto"/>
              </w:rPr>
            </w:pPr>
            <w:r>
              <w:rPr>
                <w:rFonts w:ascii="Times New Roman" w:cs="Times New Roman" w:eastAsia="Times New Roman" w:hAnsi="Times New Roman"/>
                <w:sz w:val="15"/>
                <w:szCs w:val="15"/>
                <w:color w:val="231F20"/>
              </w:rPr>
              <w:t>11/7/2022</w:t>
            </w:r>
          </w:p>
        </w:tc>
        <w:tc>
          <w:tcPr>
            <w:tcW w:w="20" w:type="dxa"/>
            <w:vAlign w:val="bottom"/>
          </w:tcPr>
          <w:p>
            <w:pPr>
              <w:spacing w:after="0"/>
              <w:rPr>
                <w:sz w:val="15"/>
                <w:szCs w:val="15"/>
                <w:color w:val="auto"/>
              </w:rPr>
            </w:pPr>
          </w:p>
        </w:tc>
        <w:tc>
          <w:tcPr>
            <w:tcW w:w="3080" w:type="dxa"/>
            <w:vAlign w:val="bottom"/>
            <w:gridSpan w:val="2"/>
            <w:shd w:val="clear" w:color="auto" w:fill="D0EBF2"/>
          </w:tcPr>
          <w:p>
            <w:pPr>
              <w:jc w:val="right"/>
              <w:spacing w:after="0"/>
              <w:rPr>
                <w:sz w:val="20"/>
                <w:szCs w:val="20"/>
                <w:color w:val="auto"/>
              </w:rPr>
            </w:pPr>
            <w:r>
              <w:rPr>
                <w:rFonts w:ascii="Times New Roman" w:cs="Times New Roman" w:eastAsia="Times New Roman" w:hAnsi="Times New Roman"/>
                <w:sz w:val="15"/>
                <w:szCs w:val="15"/>
                <w:color w:val="231F20"/>
              </w:rPr>
              <w:t>2,394</w:t>
            </w:r>
          </w:p>
        </w:tc>
        <w:tc>
          <w:tcPr>
            <w:tcW w:w="1140" w:type="dxa"/>
            <w:vAlign w:val="bottom"/>
            <w:gridSpan w:val="2"/>
            <w:shd w:val="clear" w:color="auto" w:fill="D0EBF2"/>
          </w:tcPr>
          <w:p>
            <w:pPr>
              <w:jc w:val="right"/>
              <w:spacing w:after="0"/>
              <w:rPr>
                <w:sz w:val="20"/>
                <w:szCs w:val="20"/>
                <w:color w:val="auto"/>
              </w:rPr>
            </w:pPr>
            <w:r>
              <w:rPr>
                <w:rFonts w:ascii="Times New Roman" w:cs="Times New Roman" w:eastAsia="Times New Roman" w:hAnsi="Times New Roman"/>
                <w:sz w:val="15"/>
                <w:szCs w:val="15"/>
                <w:color w:val="231F20"/>
              </w:rPr>
              <w:t>2,394</w:t>
            </w:r>
          </w:p>
        </w:tc>
        <w:tc>
          <w:tcPr>
            <w:tcW w:w="1340" w:type="dxa"/>
            <w:vAlign w:val="bottom"/>
            <w:gridSpan w:val="3"/>
            <w:shd w:val="clear" w:color="auto" w:fill="D0EBF2"/>
          </w:tcPr>
          <w:p>
            <w:pPr>
              <w:jc w:val="right"/>
              <w:ind w:right="120"/>
              <w:spacing w:after="0"/>
              <w:rPr>
                <w:sz w:val="20"/>
                <w:szCs w:val="20"/>
                <w:color w:val="auto"/>
              </w:rPr>
            </w:pPr>
            <w:r>
              <w:rPr>
                <w:rFonts w:ascii="Times New Roman" w:cs="Times New Roman" w:eastAsia="Times New Roman" w:hAnsi="Times New Roman"/>
                <w:sz w:val="15"/>
                <w:szCs w:val="15"/>
                <w:color w:val="231F20"/>
              </w:rPr>
              <w:t>0.2%</w:t>
            </w:r>
          </w:p>
        </w:tc>
        <w:tc>
          <w:tcPr>
            <w:tcW w:w="0" w:type="dxa"/>
            <w:vAlign w:val="bottom"/>
          </w:tcPr>
          <w:p>
            <w:pPr>
              <w:spacing w:after="0"/>
              <w:rPr>
                <w:sz w:val="1"/>
                <w:szCs w:val="1"/>
                <w:color w:val="auto"/>
              </w:rPr>
            </w:pPr>
          </w:p>
        </w:tc>
      </w:tr>
      <w:tr>
        <w:trPr>
          <w:trHeight w:val="158"/>
        </w:trPr>
        <w:tc>
          <w:tcPr>
            <w:tcW w:w="1440" w:type="dxa"/>
            <w:vAlign w:val="bottom"/>
            <w:shd w:val="clear" w:color="auto" w:fill="FDFDFC"/>
          </w:tcPr>
          <w:p>
            <w:pPr>
              <w:spacing w:after="0" w:line="159" w:lineRule="exact"/>
              <w:rPr>
                <w:sz w:val="20"/>
                <w:szCs w:val="20"/>
                <w:color w:val="auto"/>
              </w:rPr>
            </w:pPr>
            <w:r>
              <w:rPr>
                <w:rFonts w:ascii="Times New Roman" w:cs="Times New Roman" w:eastAsia="Times New Roman" w:hAnsi="Times New Roman"/>
                <w:sz w:val="15"/>
                <w:szCs w:val="15"/>
                <w:color w:val="231F20"/>
              </w:rPr>
              <w:t>DaySmart Holdings,</w:t>
            </w:r>
          </w:p>
        </w:tc>
        <w:tc>
          <w:tcPr>
            <w:tcW w:w="2440" w:type="dxa"/>
            <w:vAlign w:val="bottom"/>
            <w:shd w:val="clear" w:color="auto" w:fill="FDFDFC"/>
          </w:tcPr>
          <w:p>
            <w:pPr>
              <w:ind w:left="80"/>
              <w:spacing w:after="0" w:line="159" w:lineRule="exact"/>
              <w:rPr>
                <w:sz w:val="20"/>
                <w:szCs w:val="20"/>
                <w:color w:val="auto"/>
              </w:rPr>
            </w:pPr>
            <w:r>
              <w:rPr>
                <w:rFonts w:ascii="Times New Roman" w:cs="Times New Roman" w:eastAsia="Times New Roman" w:hAnsi="Times New Roman"/>
                <w:sz w:val="15"/>
                <w:szCs w:val="15"/>
                <w:color w:val="231F20"/>
              </w:rPr>
              <w:t>Class A Units (166,811 units)</w:t>
            </w:r>
          </w:p>
        </w:tc>
        <w:tc>
          <w:tcPr>
            <w:tcW w:w="820" w:type="dxa"/>
            <w:vAlign w:val="bottom"/>
            <w:shd w:val="clear" w:color="auto" w:fill="FDFDFC"/>
          </w:tcPr>
          <w:p>
            <w:pPr>
              <w:jc w:val="right"/>
              <w:spacing w:after="0" w:line="159" w:lineRule="exact"/>
              <w:rPr>
                <w:sz w:val="20"/>
                <w:szCs w:val="20"/>
                <w:color w:val="auto"/>
              </w:rPr>
            </w:pPr>
            <w:r>
              <w:rPr>
                <w:rFonts w:ascii="Times New Roman" w:cs="Times New Roman" w:eastAsia="Times New Roman" w:hAnsi="Times New Roman"/>
                <w:sz w:val="15"/>
                <w:szCs w:val="15"/>
                <w:color w:val="231F20"/>
              </w:rPr>
              <w:t>12/18/2020</w:t>
            </w:r>
          </w:p>
        </w:tc>
        <w:tc>
          <w:tcPr>
            <w:tcW w:w="20" w:type="dxa"/>
            <w:vAlign w:val="bottom"/>
          </w:tcPr>
          <w:p>
            <w:pPr>
              <w:spacing w:after="0"/>
              <w:rPr>
                <w:sz w:val="13"/>
                <w:szCs w:val="13"/>
                <w:color w:val="auto"/>
              </w:rPr>
            </w:pPr>
          </w:p>
        </w:tc>
        <w:tc>
          <w:tcPr>
            <w:tcW w:w="3080" w:type="dxa"/>
            <w:vAlign w:val="bottom"/>
            <w:gridSpan w:val="2"/>
            <w:shd w:val="clear" w:color="auto" w:fill="FDFDFC"/>
          </w:tcPr>
          <w:p>
            <w:pPr>
              <w:jc w:val="right"/>
              <w:spacing w:after="0" w:line="159" w:lineRule="exact"/>
              <w:rPr>
                <w:sz w:val="20"/>
                <w:szCs w:val="20"/>
                <w:color w:val="auto"/>
              </w:rPr>
            </w:pPr>
            <w:r>
              <w:rPr>
                <w:rFonts w:ascii="Times New Roman" w:cs="Times New Roman" w:eastAsia="Times New Roman" w:hAnsi="Times New Roman"/>
                <w:sz w:val="15"/>
                <w:szCs w:val="15"/>
                <w:color w:val="231F20"/>
              </w:rPr>
              <w:t>1,347</w:t>
            </w:r>
          </w:p>
        </w:tc>
        <w:tc>
          <w:tcPr>
            <w:tcW w:w="1140" w:type="dxa"/>
            <w:vAlign w:val="bottom"/>
            <w:gridSpan w:val="2"/>
            <w:shd w:val="clear" w:color="auto" w:fill="FDFDFC"/>
          </w:tcPr>
          <w:p>
            <w:pPr>
              <w:jc w:val="right"/>
              <w:spacing w:after="0" w:line="159" w:lineRule="exact"/>
              <w:rPr>
                <w:sz w:val="20"/>
                <w:szCs w:val="20"/>
                <w:color w:val="auto"/>
              </w:rPr>
            </w:pPr>
            <w:r>
              <w:rPr>
                <w:rFonts w:ascii="Times New Roman" w:cs="Times New Roman" w:eastAsia="Times New Roman" w:hAnsi="Times New Roman"/>
                <w:sz w:val="15"/>
                <w:szCs w:val="15"/>
                <w:color w:val="231F20"/>
              </w:rPr>
              <w:t>2,138</w:t>
            </w:r>
          </w:p>
        </w:tc>
        <w:tc>
          <w:tcPr>
            <w:tcW w:w="1340" w:type="dxa"/>
            <w:vAlign w:val="bottom"/>
            <w:gridSpan w:val="3"/>
            <w:shd w:val="clear" w:color="auto" w:fill="FDFDFC"/>
          </w:tcPr>
          <w:p>
            <w:pPr>
              <w:jc w:val="right"/>
              <w:ind w:right="120"/>
              <w:spacing w:after="0" w:line="159" w:lineRule="exact"/>
              <w:rPr>
                <w:sz w:val="20"/>
                <w:szCs w:val="20"/>
                <w:color w:val="auto"/>
              </w:rPr>
            </w:pPr>
            <w:r>
              <w:rPr>
                <w:rFonts w:ascii="Times New Roman" w:cs="Times New Roman" w:eastAsia="Times New Roman" w:hAnsi="Times New Roman"/>
                <w:sz w:val="15"/>
                <w:szCs w:val="15"/>
                <w:color w:val="231F20"/>
              </w:rPr>
              <w:t>0.1%</w:t>
            </w:r>
          </w:p>
        </w:tc>
        <w:tc>
          <w:tcPr>
            <w:tcW w:w="0" w:type="dxa"/>
            <w:vAlign w:val="bottom"/>
          </w:tcPr>
          <w:p>
            <w:pPr>
              <w:spacing w:after="0"/>
              <w:rPr>
                <w:sz w:val="1"/>
                <w:szCs w:val="1"/>
                <w:color w:val="auto"/>
              </w:rPr>
            </w:pPr>
          </w:p>
        </w:tc>
      </w:tr>
      <w:tr>
        <w:trPr>
          <w:trHeight w:val="189"/>
        </w:trPr>
        <w:tc>
          <w:tcPr>
            <w:tcW w:w="1440" w:type="dxa"/>
            <w:vAlign w:val="bottom"/>
            <w:shd w:val="clear" w:color="auto" w:fill="FDFDFC"/>
          </w:tcPr>
          <w:p>
            <w:pPr>
              <w:spacing w:after="0" w:line="190" w:lineRule="exact"/>
              <w:rPr>
                <w:sz w:val="20"/>
                <w:szCs w:val="20"/>
                <w:color w:val="auto"/>
              </w:rPr>
            </w:pPr>
            <w:r>
              <w:rPr>
                <w:rFonts w:ascii="Times New Roman" w:cs="Times New Roman" w:eastAsia="Times New Roman" w:hAnsi="Times New Roman"/>
                <w:sz w:val="21"/>
                <w:szCs w:val="21"/>
                <w:color w:val="231F20"/>
                <w:vertAlign w:val="subscript"/>
              </w:rPr>
              <w:t>LLC</w:t>
            </w:r>
            <w:r>
              <w:rPr>
                <w:rFonts w:ascii="Times New Roman" w:cs="Times New Roman" w:eastAsia="Times New Roman" w:hAnsi="Times New Roman"/>
                <w:sz w:val="8"/>
                <w:szCs w:val="8"/>
                <w:color w:val="231F20"/>
              </w:rPr>
              <w:t xml:space="preserve"> (11)</w:t>
            </w:r>
          </w:p>
        </w:tc>
        <w:tc>
          <w:tcPr>
            <w:tcW w:w="2440" w:type="dxa"/>
            <w:vAlign w:val="bottom"/>
            <w:shd w:val="clear" w:color="auto" w:fill="FDFDFC"/>
          </w:tcPr>
          <w:p>
            <w:pPr>
              <w:spacing w:after="0"/>
              <w:rPr>
                <w:sz w:val="16"/>
                <w:szCs w:val="16"/>
                <w:color w:val="auto"/>
              </w:rPr>
            </w:pPr>
          </w:p>
        </w:tc>
        <w:tc>
          <w:tcPr>
            <w:tcW w:w="820" w:type="dxa"/>
            <w:vAlign w:val="bottom"/>
            <w:shd w:val="clear" w:color="auto" w:fill="FDFDFC"/>
          </w:tcPr>
          <w:p>
            <w:pPr>
              <w:spacing w:after="0"/>
              <w:rPr>
                <w:sz w:val="16"/>
                <w:szCs w:val="16"/>
                <w:color w:val="auto"/>
              </w:rPr>
            </w:pPr>
          </w:p>
        </w:tc>
        <w:tc>
          <w:tcPr>
            <w:tcW w:w="20" w:type="dxa"/>
            <w:vAlign w:val="bottom"/>
          </w:tcPr>
          <w:p>
            <w:pPr>
              <w:spacing w:after="0"/>
              <w:rPr>
                <w:sz w:val="16"/>
                <w:szCs w:val="16"/>
                <w:color w:val="auto"/>
              </w:rPr>
            </w:pPr>
          </w:p>
        </w:tc>
        <w:tc>
          <w:tcPr>
            <w:tcW w:w="2080" w:type="dxa"/>
            <w:vAlign w:val="bottom"/>
            <w:shd w:val="clear" w:color="auto" w:fill="FDFDFC"/>
          </w:tcPr>
          <w:p>
            <w:pPr>
              <w:spacing w:after="0"/>
              <w:rPr>
                <w:sz w:val="16"/>
                <w:szCs w:val="16"/>
                <w:color w:val="auto"/>
              </w:rPr>
            </w:pPr>
          </w:p>
        </w:tc>
        <w:tc>
          <w:tcPr>
            <w:tcW w:w="1000" w:type="dxa"/>
            <w:vAlign w:val="bottom"/>
            <w:shd w:val="clear" w:color="auto" w:fill="FDFDFC"/>
          </w:tcPr>
          <w:p>
            <w:pPr>
              <w:spacing w:after="0"/>
              <w:rPr>
                <w:sz w:val="16"/>
                <w:szCs w:val="16"/>
                <w:color w:val="auto"/>
              </w:rPr>
            </w:pPr>
          </w:p>
        </w:tc>
        <w:tc>
          <w:tcPr>
            <w:tcW w:w="180" w:type="dxa"/>
            <w:vAlign w:val="bottom"/>
            <w:shd w:val="clear" w:color="auto" w:fill="FDFDFC"/>
          </w:tcPr>
          <w:p>
            <w:pPr>
              <w:spacing w:after="0"/>
              <w:rPr>
                <w:sz w:val="16"/>
                <w:szCs w:val="16"/>
                <w:color w:val="auto"/>
              </w:rPr>
            </w:pPr>
          </w:p>
        </w:tc>
        <w:tc>
          <w:tcPr>
            <w:tcW w:w="960" w:type="dxa"/>
            <w:vAlign w:val="bottom"/>
            <w:shd w:val="clear" w:color="auto" w:fill="FDFDFC"/>
          </w:tcPr>
          <w:p>
            <w:pPr>
              <w:spacing w:after="0"/>
              <w:rPr>
                <w:sz w:val="16"/>
                <w:szCs w:val="16"/>
                <w:color w:val="auto"/>
              </w:rPr>
            </w:pPr>
          </w:p>
        </w:tc>
        <w:tc>
          <w:tcPr>
            <w:tcW w:w="200" w:type="dxa"/>
            <w:vAlign w:val="bottom"/>
            <w:shd w:val="clear" w:color="auto" w:fill="FDFDFC"/>
          </w:tcPr>
          <w:p>
            <w:pPr>
              <w:spacing w:after="0"/>
              <w:rPr>
                <w:sz w:val="16"/>
                <w:szCs w:val="16"/>
                <w:color w:val="auto"/>
              </w:rPr>
            </w:pPr>
          </w:p>
        </w:tc>
        <w:tc>
          <w:tcPr>
            <w:tcW w:w="900" w:type="dxa"/>
            <w:vAlign w:val="bottom"/>
            <w:shd w:val="clear" w:color="auto" w:fill="FDFDFC"/>
          </w:tcPr>
          <w:p>
            <w:pPr>
              <w:spacing w:after="0"/>
              <w:rPr>
                <w:sz w:val="16"/>
                <w:szCs w:val="16"/>
                <w:color w:val="auto"/>
              </w:rPr>
            </w:pPr>
          </w:p>
        </w:tc>
        <w:tc>
          <w:tcPr>
            <w:tcW w:w="240" w:type="dxa"/>
            <w:vAlign w:val="bottom"/>
            <w:shd w:val="clear" w:color="auto" w:fill="FDFDFC"/>
          </w:tcPr>
          <w:p>
            <w:pPr>
              <w:spacing w:after="0"/>
              <w:rPr>
                <w:sz w:val="16"/>
                <w:szCs w:val="16"/>
                <w:color w:val="auto"/>
              </w:rPr>
            </w:pPr>
          </w:p>
        </w:tc>
        <w:tc>
          <w:tcPr>
            <w:tcW w:w="0" w:type="dxa"/>
            <w:vAlign w:val="bottom"/>
          </w:tcPr>
          <w:p>
            <w:pPr>
              <w:spacing w:after="0"/>
              <w:rPr>
                <w:sz w:val="1"/>
                <w:szCs w:val="1"/>
                <w:color w:val="auto"/>
              </w:rPr>
            </w:pPr>
          </w:p>
        </w:tc>
      </w:tr>
      <w:tr>
        <w:trPr>
          <w:trHeight w:val="158"/>
        </w:trPr>
        <w:tc>
          <w:tcPr>
            <w:tcW w:w="1440" w:type="dxa"/>
            <w:vAlign w:val="bottom"/>
            <w:shd w:val="clear" w:color="auto" w:fill="D0EBF2"/>
          </w:tcPr>
          <w:p>
            <w:pPr>
              <w:spacing w:after="0" w:line="159" w:lineRule="exact"/>
              <w:rPr>
                <w:sz w:val="20"/>
                <w:szCs w:val="20"/>
                <w:color w:val="auto"/>
              </w:rPr>
            </w:pPr>
            <w:r>
              <w:rPr>
                <w:rFonts w:ascii="Times New Roman" w:cs="Times New Roman" w:eastAsia="Times New Roman" w:hAnsi="Times New Roman"/>
                <w:sz w:val="15"/>
                <w:szCs w:val="15"/>
                <w:color w:val="231F20"/>
              </w:rPr>
              <w:t>Employment Hero</w:t>
            </w:r>
          </w:p>
        </w:tc>
        <w:tc>
          <w:tcPr>
            <w:tcW w:w="2440" w:type="dxa"/>
            <w:vAlign w:val="bottom"/>
            <w:shd w:val="clear" w:color="auto" w:fill="D0EBF2"/>
          </w:tcPr>
          <w:p>
            <w:pPr>
              <w:ind w:left="80"/>
              <w:spacing w:after="0" w:line="159" w:lineRule="exact"/>
              <w:rPr>
                <w:sz w:val="20"/>
                <w:szCs w:val="20"/>
                <w:color w:val="auto"/>
              </w:rPr>
            </w:pPr>
            <w:r>
              <w:rPr>
                <w:rFonts w:ascii="Times New Roman" w:cs="Times New Roman" w:eastAsia="Times New Roman" w:hAnsi="Times New Roman"/>
                <w:sz w:val="15"/>
                <w:szCs w:val="15"/>
                <w:color w:val="231F20"/>
              </w:rPr>
              <w:t>Series E Preferred Shares (113,250</w:t>
            </w:r>
          </w:p>
        </w:tc>
        <w:tc>
          <w:tcPr>
            <w:tcW w:w="820" w:type="dxa"/>
            <w:vAlign w:val="bottom"/>
            <w:shd w:val="clear" w:color="auto" w:fill="D0EBF2"/>
          </w:tcPr>
          <w:p>
            <w:pPr>
              <w:jc w:val="right"/>
              <w:spacing w:after="0" w:line="159" w:lineRule="exact"/>
              <w:rPr>
                <w:sz w:val="20"/>
                <w:szCs w:val="20"/>
                <w:color w:val="auto"/>
              </w:rPr>
            </w:pPr>
            <w:r>
              <w:rPr>
                <w:rFonts w:ascii="Times New Roman" w:cs="Times New Roman" w:eastAsia="Times New Roman" w:hAnsi="Times New Roman"/>
                <w:sz w:val="15"/>
                <w:szCs w:val="15"/>
                <w:color w:val="231F20"/>
              </w:rPr>
              <w:t>3/1/2022</w:t>
            </w:r>
          </w:p>
        </w:tc>
        <w:tc>
          <w:tcPr>
            <w:tcW w:w="20" w:type="dxa"/>
            <w:vAlign w:val="bottom"/>
          </w:tcPr>
          <w:p>
            <w:pPr>
              <w:spacing w:after="0"/>
              <w:rPr>
                <w:sz w:val="13"/>
                <w:szCs w:val="13"/>
                <w:color w:val="auto"/>
              </w:rPr>
            </w:pPr>
          </w:p>
        </w:tc>
        <w:tc>
          <w:tcPr>
            <w:tcW w:w="3080" w:type="dxa"/>
            <w:vAlign w:val="bottom"/>
            <w:gridSpan w:val="2"/>
            <w:shd w:val="clear" w:color="auto" w:fill="D0EBF2"/>
          </w:tcPr>
          <w:p>
            <w:pPr>
              <w:jc w:val="right"/>
              <w:spacing w:after="0" w:line="159" w:lineRule="exact"/>
              <w:rPr>
                <w:sz w:val="20"/>
                <w:szCs w:val="20"/>
                <w:color w:val="auto"/>
              </w:rPr>
            </w:pPr>
            <w:r>
              <w:rPr>
                <w:rFonts w:ascii="Times New Roman" w:cs="Times New Roman" w:eastAsia="Times New Roman" w:hAnsi="Times New Roman"/>
                <w:sz w:val="15"/>
                <w:szCs w:val="15"/>
                <w:color w:val="231F20"/>
              </w:rPr>
              <w:t>2,134</w:t>
            </w:r>
          </w:p>
        </w:tc>
        <w:tc>
          <w:tcPr>
            <w:tcW w:w="1140" w:type="dxa"/>
            <w:vAlign w:val="bottom"/>
            <w:gridSpan w:val="2"/>
            <w:shd w:val="clear" w:color="auto" w:fill="D0EBF2"/>
          </w:tcPr>
          <w:p>
            <w:pPr>
              <w:jc w:val="right"/>
              <w:spacing w:after="0" w:line="159" w:lineRule="exact"/>
              <w:rPr>
                <w:sz w:val="20"/>
                <w:szCs w:val="20"/>
                <w:color w:val="auto"/>
              </w:rPr>
            </w:pPr>
            <w:r>
              <w:rPr>
                <w:rFonts w:ascii="Times New Roman" w:cs="Times New Roman" w:eastAsia="Times New Roman" w:hAnsi="Times New Roman"/>
                <w:sz w:val="15"/>
                <w:szCs w:val="15"/>
                <w:color w:val="231F20"/>
              </w:rPr>
              <w:t>2,605</w:t>
            </w:r>
          </w:p>
        </w:tc>
        <w:tc>
          <w:tcPr>
            <w:tcW w:w="1340" w:type="dxa"/>
            <w:vAlign w:val="bottom"/>
            <w:gridSpan w:val="3"/>
            <w:shd w:val="clear" w:color="auto" w:fill="D0EBF2"/>
          </w:tcPr>
          <w:p>
            <w:pPr>
              <w:jc w:val="right"/>
              <w:ind w:right="120"/>
              <w:spacing w:after="0" w:line="159" w:lineRule="exact"/>
              <w:rPr>
                <w:sz w:val="20"/>
                <w:szCs w:val="20"/>
                <w:color w:val="auto"/>
              </w:rPr>
            </w:pPr>
            <w:r>
              <w:rPr>
                <w:rFonts w:ascii="Times New Roman" w:cs="Times New Roman" w:eastAsia="Times New Roman" w:hAnsi="Times New Roman"/>
                <w:sz w:val="15"/>
                <w:szCs w:val="15"/>
                <w:color w:val="231F20"/>
              </w:rPr>
              <w:t>0.2%</w:t>
            </w:r>
          </w:p>
        </w:tc>
        <w:tc>
          <w:tcPr>
            <w:tcW w:w="0" w:type="dxa"/>
            <w:vAlign w:val="bottom"/>
          </w:tcPr>
          <w:p>
            <w:pPr>
              <w:spacing w:after="0"/>
              <w:rPr>
                <w:sz w:val="1"/>
                <w:szCs w:val="1"/>
                <w:color w:val="auto"/>
              </w:rPr>
            </w:pPr>
          </w:p>
        </w:tc>
      </w:tr>
      <w:tr>
        <w:trPr>
          <w:trHeight w:val="189"/>
        </w:trPr>
        <w:tc>
          <w:tcPr>
            <w:tcW w:w="1440" w:type="dxa"/>
            <w:vAlign w:val="bottom"/>
            <w:tcBorders>
              <w:bottom w:val="single" w:sz="8" w:color="D0EBF2"/>
            </w:tcBorders>
            <w:shd w:val="clear" w:color="auto" w:fill="D0EBF2"/>
          </w:tcPr>
          <w:p>
            <w:pPr>
              <w:spacing w:after="0"/>
              <w:rPr>
                <w:sz w:val="20"/>
                <w:szCs w:val="20"/>
                <w:color w:val="auto"/>
              </w:rPr>
            </w:pPr>
            <w:r>
              <w:rPr>
                <w:rFonts w:ascii="Times New Roman" w:cs="Times New Roman" w:eastAsia="Times New Roman" w:hAnsi="Times New Roman"/>
                <w:sz w:val="15"/>
                <w:szCs w:val="15"/>
                <w:color w:val="231F20"/>
              </w:rPr>
              <w:t xml:space="preserve">Holdings Pty Ltd. </w:t>
            </w:r>
            <w:r>
              <w:rPr>
                <w:rFonts w:ascii="Times New Roman" w:cs="Times New Roman" w:eastAsia="Times New Roman" w:hAnsi="Times New Roman"/>
                <w:sz w:val="9"/>
                <w:szCs w:val="9"/>
                <w:color w:val="231F20"/>
              </w:rPr>
              <w:t>(4)(11)</w:t>
            </w:r>
          </w:p>
        </w:tc>
        <w:tc>
          <w:tcPr>
            <w:tcW w:w="2440" w:type="dxa"/>
            <w:vAlign w:val="bottom"/>
            <w:tcBorders>
              <w:bottom w:val="single" w:sz="8" w:color="D0EBF2"/>
            </w:tcBorders>
            <w:shd w:val="clear" w:color="auto" w:fill="D0EBF2"/>
          </w:tcPr>
          <w:p>
            <w:pPr>
              <w:ind w:left="80"/>
              <w:spacing w:after="0"/>
              <w:rPr>
                <w:sz w:val="20"/>
                <w:szCs w:val="20"/>
                <w:color w:val="auto"/>
              </w:rPr>
            </w:pPr>
            <w:r>
              <w:rPr>
                <w:rFonts w:ascii="Times New Roman" w:cs="Times New Roman" w:eastAsia="Times New Roman" w:hAnsi="Times New Roman"/>
                <w:sz w:val="15"/>
                <w:szCs w:val="15"/>
                <w:color w:val="231F20"/>
              </w:rPr>
              <w:t>shares)</w:t>
            </w:r>
          </w:p>
        </w:tc>
        <w:tc>
          <w:tcPr>
            <w:tcW w:w="820" w:type="dxa"/>
            <w:vAlign w:val="bottom"/>
            <w:tcBorders>
              <w:bottom w:val="single" w:sz="8" w:color="D0EBF2"/>
            </w:tcBorders>
            <w:shd w:val="clear" w:color="auto" w:fill="D0EBF2"/>
          </w:tcPr>
          <w:p>
            <w:pPr>
              <w:spacing w:after="0"/>
              <w:rPr>
                <w:sz w:val="16"/>
                <w:szCs w:val="16"/>
                <w:color w:val="auto"/>
              </w:rPr>
            </w:pPr>
          </w:p>
        </w:tc>
        <w:tc>
          <w:tcPr>
            <w:tcW w:w="20" w:type="dxa"/>
            <w:vAlign w:val="bottom"/>
            <w:tcBorders>
              <w:bottom w:val="single" w:sz="8" w:color="FDFDFC"/>
            </w:tcBorders>
          </w:tcPr>
          <w:p>
            <w:pPr>
              <w:spacing w:after="0"/>
              <w:rPr>
                <w:sz w:val="16"/>
                <w:szCs w:val="16"/>
                <w:color w:val="auto"/>
              </w:rPr>
            </w:pPr>
          </w:p>
        </w:tc>
        <w:tc>
          <w:tcPr>
            <w:tcW w:w="2080" w:type="dxa"/>
            <w:vAlign w:val="bottom"/>
            <w:tcBorders>
              <w:bottom w:val="single" w:sz="8" w:color="D0EBF2"/>
            </w:tcBorders>
            <w:shd w:val="clear" w:color="auto" w:fill="D0EBF2"/>
          </w:tcPr>
          <w:p>
            <w:pPr>
              <w:spacing w:after="0"/>
              <w:rPr>
                <w:sz w:val="16"/>
                <w:szCs w:val="16"/>
                <w:color w:val="auto"/>
              </w:rPr>
            </w:pPr>
          </w:p>
        </w:tc>
        <w:tc>
          <w:tcPr>
            <w:tcW w:w="1000" w:type="dxa"/>
            <w:vAlign w:val="bottom"/>
            <w:tcBorders>
              <w:bottom w:val="single" w:sz="8" w:color="231F20"/>
            </w:tcBorders>
            <w:shd w:val="clear" w:color="auto" w:fill="D0EBF2"/>
          </w:tcPr>
          <w:p>
            <w:pPr>
              <w:spacing w:after="0"/>
              <w:rPr>
                <w:sz w:val="16"/>
                <w:szCs w:val="16"/>
                <w:color w:val="auto"/>
              </w:rPr>
            </w:pPr>
          </w:p>
        </w:tc>
        <w:tc>
          <w:tcPr>
            <w:tcW w:w="180" w:type="dxa"/>
            <w:vAlign w:val="bottom"/>
            <w:tcBorders>
              <w:bottom w:val="single" w:sz="8" w:color="D0EBF2"/>
            </w:tcBorders>
            <w:shd w:val="clear" w:color="auto" w:fill="D0EBF2"/>
          </w:tcPr>
          <w:p>
            <w:pPr>
              <w:spacing w:after="0"/>
              <w:rPr>
                <w:sz w:val="16"/>
                <w:szCs w:val="16"/>
                <w:color w:val="auto"/>
              </w:rPr>
            </w:pPr>
          </w:p>
        </w:tc>
        <w:tc>
          <w:tcPr>
            <w:tcW w:w="960" w:type="dxa"/>
            <w:vAlign w:val="bottom"/>
            <w:tcBorders>
              <w:bottom w:val="single" w:sz="8" w:color="231F20"/>
            </w:tcBorders>
            <w:shd w:val="clear" w:color="auto" w:fill="D0EBF2"/>
          </w:tcPr>
          <w:p>
            <w:pPr>
              <w:jc w:val="right"/>
              <w:spacing w:after="0"/>
              <w:rPr>
                <w:sz w:val="20"/>
                <w:szCs w:val="20"/>
                <w:color w:val="auto"/>
              </w:rPr>
            </w:pPr>
            <w:r>
              <w:rPr>
                <w:rFonts w:ascii="Times New Roman" w:cs="Times New Roman" w:eastAsia="Times New Roman" w:hAnsi="Times New Roman"/>
                <w:sz w:val="15"/>
                <w:szCs w:val="15"/>
                <w:color w:val="231F20"/>
              </w:rPr>
              <w:t>(AUD 3,817)</w:t>
            </w:r>
          </w:p>
        </w:tc>
        <w:tc>
          <w:tcPr>
            <w:tcW w:w="200" w:type="dxa"/>
            <w:vAlign w:val="bottom"/>
            <w:tcBorders>
              <w:bottom w:val="single" w:sz="8" w:color="D0EBF2"/>
            </w:tcBorders>
            <w:shd w:val="clear" w:color="auto" w:fill="D0EBF2"/>
          </w:tcPr>
          <w:p>
            <w:pPr>
              <w:spacing w:after="0"/>
              <w:rPr>
                <w:sz w:val="16"/>
                <w:szCs w:val="16"/>
                <w:color w:val="auto"/>
              </w:rPr>
            </w:pPr>
          </w:p>
        </w:tc>
        <w:tc>
          <w:tcPr>
            <w:tcW w:w="900" w:type="dxa"/>
            <w:vAlign w:val="bottom"/>
            <w:tcBorders>
              <w:bottom w:val="single" w:sz="8" w:color="231F20"/>
            </w:tcBorders>
            <w:shd w:val="clear" w:color="auto" w:fill="D0EBF2"/>
          </w:tcPr>
          <w:p>
            <w:pPr>
              <w:spacing w:after="0"/>
              <w:rPr>
                <w:sz w:val="16"/>
                <w:szCs w:val="16"/>
                <w:color w:val="auto"/>
              </w:rPr>
            </w:pPr>
          </w:p>
        </w:tc>
        <w:tc>
          <w:tcPr>
            <w:tcW w:w="240" w:type="dxa"/>
            <w:vAlign w:val="bottom"/>
            <w:tcBorders>
              <w:bottom w:val="single" w:sz="8" w:color="D0EBF2"/>
            </w:tcBorders>
            <w:shd w:val="clear" w:color="auto" w:fill="D0EBF2"/>
          </w:tcPr>
          <w:p>
            <w:pPr>
              <w:spacing w:after="0"/>
              <w:rPr>
                <w:sz w:val="16"/>
                <w:szCs w:val="16"/>
                <w:color w:val="auto"/>
              </w:rPr>
            </w:pPr>
          </w:p>
        </w:tc>
        <w:tc>
          <w:tcPr>
            <w:tcW w:w="0" w:type="dxa"/>
            <w:vAlign w:val="bottom"/>
          </w:tcPr>
          <w:p>
            <w:pPr>
              <w:spacing w:after="0"/>
              <w:rPr>
                <w:sz w:val="1"/>
                <w:szCs w:val="1"/>
                <w:color w:val="auto"/>
              </w:rPr>
            </w:pPr>
          </w:p>
        </w:tc>
      </w:tr>
      <w:tr>
        <w:trPr>
          <w:trHeight w:val="163"/>
        </w:trPr>
        <w:tc>
          <w:tcPr>
            <w:tcW w:w="1440" w:type="dxa"/>
            <w:vAlign w:val="bottom"/>
            <w:shd w:val="clear" w:color="auto" w:fill="FDFDFC"/>
          </w:tcPr>
          <w:p>
            <w:pPr>
              <w:spacing w:after="0"/>
              <w:rPr>
                <w:sz w:val="14"/>
                <w:szCs w:val="14"/>
                <w:color w:val="auto"/>
              </w:rPr>
            </w:pPr>
          </w:p>
        </w:tc>
        <w:tc>
          <w:tcPr>
            <w:tcW w:w="2440" w:type="dxa"/>
            <w:vAlign w:val="bottom"/>
            <w:shd w:val="clear" w:color="auto" w:fill="FDFDFC"/>
          </w:tcPr>
          <w:p>
            <w:pPr>
              <w:spacing w:after="0"/>
              <w:rPr>
                <w:sz w:val="14"/>
                <w:szCs w:val="14"/>
                <w:color w:val="auto"/>
              </w:rPr>
            </w:pPr>
          </w:p>
        </w:tc>
        <w:tc>
          <w:tcPr>
            <w:tcW w:w="820" w:type="dxa"/>
            <w:vAlign w:val="bottom"/>
            <w:shd w:val="clear" w:color="auto" w:fill="FDFDFC"/>
          </w:tcPr>
          <w:p>
            <w:pPr>
              <w:spacing w:after="0"/>
              <w:rPr>
                <w:sz w:val="14"/>
                <w:szCs w:val="14"/>
                <w:color w:val="auto"/>
              </w:rPr>
            </w:pPr>
          </w:p>
        </w:tc>
        <w:tc>
          <w:tcPr>
            <w:tcW w:w="20" w:type="dxa"/>
            <w:vAlign w:val="bottom"/>
            <w:shd w:val="clear" w:color="auto" w:fill="FDFDFC"/>
          </w:tcPr>
          <w:p>
            <w:pPr>
              <w:spacing w:after="0"/>
              <w:rPr>
                <w:sz w:val="14"/>
                <w:szCs w:val="14"/>
                <w:color w:val="auto"/>
              </w:rPr>
            </w:pPr>
          </w:p>
        </w:tc>
        <w:tc>
          <w:tcPr>
            <w:tcW w:w="2080" w:type="dxa"/>
            <w:vAlign w:val="bottom"/>
            <w:shd w:val="clear" w:color="auto" w:fill="FDFDFC"/>
          </w:tcPr>
          <w:p>
            <w:pPr>
              <w:spacing w:after="0"/>
              <w:rPr>
                <w:sz w:val="14"/>
                <w:szCs w:val="14"/>
                <w:color w:val="auto"/>
              </w:rPr>
            </w:pPr>
          </w:p>
        </w:tc>
        <w:tc>
          <w:tcPr>
            <w:tcW w:w="1000" w:type="dxa"/>
            <w:vAlign w:val="bottom"/>
            <w:shd w:val="clear" w:color="auto" w:fill="FDFDFC"/>
          </w:tcPr>
          <w:p>
            <w:pPr>
              <w:jc w:val="right"/>
              <w:spacing w:after="0" w:line="164" w:lineRule="exact"/>
              <w:rPr>
                <w:sz w:val="20"/>
                <w:szCs w:val="20"/>
                <w:color w:val="auto"/>
              </w:rPr>
            </w:pPr>
            <w:r>
              <w:rPr>
                <w:rFonts w:ascii="Times New Roman" w:cs="Times New Roman" w:eastAsia="Times New Roman" w:hAnsi="Times New Roman"/>
                <w:sz w:val="15"/>
                <w:szCs w:val="15"/>
                <w:color w:val="231F20"/>
              </w:rPr>
              <w:t>9,655</w:t>
            </w:r>
          </w:p>
        </w:tc>
        <w:tc>
          <w:tcPr>
            <w:tcW w:w="180" w:type="dxa"/>
            <w:vAlign w:val="bottom"/>
            <w:shd w:val="clear" w:color="auto" w:fill="FDFDFC"/>
          </w:tcPr>
          <w:p>
            <w:pPr>
              <w:spacing w:after="0"/>
              <w:rPr>
                <w:sz w:val="14"/>
                <w:szCs w:val="14"/>
                <w:color w:val="auto"/>
              </w:rPr>
            </w:pPr>
          </w:p>
        </w:tc>
        <w:tc>
          <w:tcPr>
            <w:tcW w:w="960" w:type="dxa"/>
            <w:vAlign w:val="bottom"/>
            <w:shd w:val="clear" w:color="auto" w:fill="FDFDFC"/>
          </w:tcPr>
          <w:p>
            <w:pPr>
              <w:jc w:val="right"/>
              <w:spacing w:after="0" w:line="164" w:lineRule="exact"/>
              <w:rPr>
                <w:sz w:val="20"/>
                <w:szCs w:val="20"/>
                <w:color w:val="auto"/>
              </w:rPr>
            </w:pPr>
            <w:r>
              <w:rPr>
                <w:rFonts w:ascii="Times New Roman" w:cs="Times New Roman" w:eastAsia="Times New Roman" w:hAnsi="Times New Roman"/>
                <w:sz w:val="15"/>
                <w:szCs w:val="15"/>
                <w:color w:val="231F20"/>
              </w:rPr>
              <w:t>11,163</w:t>
            </w:r>
          </w:p>
        </w:tc>
        <w:tc>
          <w:tcPr>
            <w:tcW w:w="200" w:type="dxa"/>
            <w:vAlign w:val="bottom"/>
            <w:shd w:val="clear" w:color="auto" w:fill="FDFDFC"/>
          </w:tcPr>
          <w:p>
            <w:pPr>
              <w:spacing w:after="0"/>
              <w:rPr>
                <w:sz w:val="14"/>
                <w:szCs w:val="14"/>
                <w:color w:val="auto"/>
              </w:rPr>
            </w:pPr>
          </w:p>
        </w:tc>
        <w:tc>
          <w:tcPr>
            <w:tcW w:w="1140" w:type="dxa"/>
            <w:vAlign w:val="bottom"/>
            <w:gridSpan w:val="2"/>
          </w:tcPr>
          <w:p>
            <w:pPr>
              <w:jc w:val="right"/>
              <w:ind w:right="120"/>
              <w:spacing w:after="0" w:line="164" w:lineRule="exact"/>
              <w:rPr>
                <w:sz w:val="20"/>
                <w:szCs w:val="20"/>
                <w:color w:val="auto"/>
              </w:rPr>
            </w:pPr>
            <w:r>
              <w:rPr>
                <w:rFonts w:ascii="Times New Roman" w:cs="Times New Roman" w:eastAsia="Times New Roman" w:hAnsi="Times New Roman"/>
                <w:sz w:val="15"/>
                <w:szCs w:val="15"/>
                <w:color w:val="231F20"/>
              </w:rPr>
              <w:t>0.8%</w:t>
            </w:r>
          </w:p>
        </w:tc>
        <w:tc>
          <w:tcPr>
            <w:tcW w:w="0" w:type="dxa"/>
            <w:vAlign w:val="bottom"/>
          </w:tcPr>
          <w:p>
            <w:pPr>
              <w:spacing w:after="0"/>
              <w:rPr>
                <w:sz w:val="1"/>
                <w:szCs w:val="1"/>
                <w:color w:val="auto"/>
              </w:rPr>
            </w:pPr>
          </w:p>
        </w:tc>
      </w:tr>
      <w:tr>
        <w:trPr>
          <w:trHeight w:val="163"/>
        </w:trPr>
        <w:tc>
          <w:tcPr>
            <w:tcW w:w="1440" w:type="dxa"/>
            <w:vAlign w:val="bottom"/>
            <w:tcBorders>
              <w:top w:val="single" w:sz="8" w:color="D0EBF2"/>
            </w:tcBorders>
            <w:shd w:val="clear" w:color="auto" w:fill="D0EBF2"/>
          </w:tcPr>
          <w:p>
            <w:pPr>
              <w:spacing w:after="0" w:line="164" w:lineRule="exact"/>
              <w:rPr>
                <w:sz w:val="20"/>
                <w:szCs w:val="20"/>
                <w:color w:val="auto"/>
              </w:rPr>
            </w:pPr>
            <w:r>
              <w:rPr>
                <w:rFonts w:ascii="Times New Roman" w:cs="Times New Roman" w:eastAsia="Times New Roman" w:hAnsi="Times New Roman"/>
                <w:sz w:val="15"/>
                <w:szCs w:val="15"/>
                <w:b w:val="1"/>
                <w:bCs w:val="1"/>
                <w:color w:val="231F20"/>
              </w:rPr>
              <w:t>Internet Services</w:t>
            </w:r>
          </w:p>
        </w:tc>
        <w:tc>
          <w:tcPr>
            <w:tcW w:w="2440" w:type="dxa"/>
            <w:vAlign w:val="bottom"/>
            <w:tcBorders>
              <w:top w:val="single" w:sz="8" w:color="D0EBF2"/>
            </w:tcBorders>
            <w:shd w:val="clear" w:color="auto" w:fill="D0EBF2"/>
          </w:tcPr>
          <w:p>
            <w:pPr>
              <w:spacing w:after="0"/>
              <w:rPr>
                <w:sz w:val="14"/>
                <w:szCs w:val="14"/>
                <w:color w:val="auto"/>
              </w:rPr>
            </w:pPr>
          </w:p>
        </w:tc>
        <w:tc>
          <w:tcPr>
            <w:tcW w:w="820" w:type="dxa"/>
            <w:vAlign w:val="bottom"/>
            <w:tcBorders>
              <w:top w:val="single" w:sz="8" w:color="D0EBF2"/>
            </w:tcBorders>
            <w:shd w:val="clear" w:color="auto" w:fill="D0EBF2"/>
          </w:tcPr>
          <w:p>
            <w:pPr>
              <w:spacing w:after="0"/>
              <w:rPr>
                <w:sz w:val="14"/>
                <w:szCs w:val="14"/>
                <w:color w:val="auto"/>
              </w:rPr>
            </w:pPr>
          </w:p>
        </w:tc>
        <w:tc>
          <w:tcPr>
            <w:tcW w:w="20" w:type="dxa"/>
            <w:vAlign w:val="bottom"/>
            <w:tcBorders>
              <w:top w:val="single" w:sz="8" w:color="D0EBF2"/>
            </w:tcBorders>
            <w:shd w:val="clear" w:color="auto" w:fill="D0EBF2"/>
          </w:tcPr>
          <w:p>
            <w:pPr>
              <w:spacing w:after="0"/>
              <w:rPr>
                <w:sz w:val="14"/>
                <w:szCs w:val="14"/>
                <w:color w:val="auto"/>
              </w:rPr>
            </w:pPr>
          </w:p>
        </w:tc>
        <w:tc>
          <w:tcPr>
            <w:tcW w:w="2080" w:type="dxa"/>
            <w:vAlign w:val="bottom"/>
            <w:tcBorders>
              <w:top w:val="single" w:sz="8" w:color="D0EBF2"/>
            </w:tcBorders>
            <w:shd w:val="clear" w:color="auto" w:fill="D0EBF2"/>
          </w:tcPr>
          <w:p>
            <w:pPr>
              <w:spacing w:after="0"/>
              <w:rPr>
                <w:sz w:val="14"/>
                <w:szCs w:val="14"/>
                <w:color w:val="auto"/>
              </w:rPr>
            </w:pPr>
          </w:p>
        </w:tc>
        <w:tc>
          <w:tcPr>
            <w:tcW w:w="1000" w:type="dxa"/>
            <w:vAlign w:val="bottom"/>
            <w:tcBorders>
              <w:top w:val="single" w:sz="8" w:color="231F20"/>
            </w:tcBorders>
            <w:shd w:val="clear" w:color="auto" w:fill="D0EBF2"/>
          </w:tcPr>
          <w:p>
            <w:pPr>
              <w:spacing w:after="0"/>
              <w:rPr>
                <w:sz w:val="14"/>
                <w:szCs w:val="14"/>
                <w:color w:val="auto"/>
              </w:rPr>
            </w:pPr>
          </w:p>
        </w:tc>
        <w:tc>
          <w:tcPr>
            <w:tcW w:w="180" w:type="dxa"/>
            <w:vAlign w:val="bottom"/>
            <w:tcBorders>
              <w:top w:val="single" w:sz="8" w:color="D0EBF2"/>
            </w:tcBorders>
            <w:shd w:val="clear" w:color="auto" w:fill="D0EBF2"/>
          </w:tcPr>
          <w:p>
            <w:pPr>
              <w:spacing w:after="0"/>
              <w:rPr>
                <w:sz w:val="14"/>
                <w:szCs w:val="14"/>
                <w:color w:val="auto"/>
              </w:rPr>
            </w:pPr>
          </w:p>
        </w:tc>
        <w:tc>
          <w:tcPr>
            <w:tcW w:w="960" w:type="dxa"/>
            <w:vAlign w:val="bottom"/>
            <w:tcBorders>
              <w:top w:val="single" w:sz="8" w:color="231F20"/>
            </w:tcBorders>
            <w:shd w:val="clear" w:color="auto" w:fill="D0EBF2"/>
          </w:tcPr>
          <w:p>
            <w:pPr>
              <w:spacing w:after="0"/>
              <w:rPr>
                <w:sz w:val="14"/>
                <w:szCs w:val="14"/>
                <w:color w:val="auto"/>
              </w:rPr>
            </w:pPr>
          </w:p>
        </w:tc>
        <w:tc>
          <w:tcPr>
            <w:tcW w:w="200" w:type="dxa"/>
            <w:vAlign w:val="bottom"/>
            <w:tcBorders>
              <w:top w:val="single" w:sz="8" w:color="D0EBF2"/>
            </w:tcBorders>
            <w:shd w:val="clear" w:color="auto" w:fill="D0EBF2"/>
          </w:tcPr>
          <w:p>
            <w:pPr>
              <w:spacing w:after="0"/>
              <w:rPr>
                <w:sz w:val="14"/>
                <w:szCs w:val="14"/>
                <w:color w:val="auto"/>
              </w:rPr>
            </w:pPr>
          </w:p>
        </w:tc>
        <w:tc>
          <w:tcPr>
            <w:tcW w:w="900" w:type="dxa"/>
            <w:vAlign w:val="bottom"/>
            <w:tcBorders>
              <w:top w:val="single" w:sz="8" w:color="231F20"/>
            </w:tcBorders>
            <w:shd w:val="clear" w:color="auto" w:fill="D0EBF2"/>
          </w:tcPr>
          <w:p>
            <w:pPr>
              <w:spacing w:after="0"/>
              <w:rPr>
                <w:sz w:val="14"/>
                <w:szCs w:val="14"/>
                <w:color w:val="auto"/>
              </w:rPr>
            </w:pPr>
          </w:p>
        </w:tc>
        <w:tc>
          <w:tcPr>
            <w:tcW w:w="240" w:type="dxa"/>
            <w:vAlign w:val="bottom"/>
            <w:tcBorders>
              <w:top w:val="single" w:sz="8" w:color="D0EBF2"/>
            </w:tcBorders>
            <w:shd w:val="clear" w:color="auto" w:fill="D0EBF2"/>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5798820</wp:posOffset>
                </wp:positionH>
                <wp:positionV relativeFrom="paragraph">
                  <wp:posOffset>-6587490</wp:posOffset>
                </wp:positionV>
                <wp:extent cx="575310" cy="110490"/>
                <wp:wrapNone/>
                <wp:docPr id="61" name="Shape 6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75310" cy="110490"/>
                        </a:xfrm>
                        <a:prstGeom prst="rect">
                          <a:avLst/>
                        </a:prstGeom>
                        <a:solidFill>
                          <a:srgbClr val="FDFDFC"/>
                        </a:solidFill>
                      </wps:spPr>
                      <wps:bodyPr/>
                    </wps:wsp>
                  </a:graphicData>
                </a:graphic>
              </wp:anchor>
            </w:drawing>
          </mc:Choice>
          <mc:Fallback>
            <w:pict>
              <v:rect id="Shape 61" o:spid="_x0000_s1086" style="position:absolute;margin-left:456.6pt;margin-top:-518.6999pt;width:45.3pt;height:8.7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FDFDFC" stroked="f"/>
            </w:pict>
          </mc:Fallback>
        </mc:AlternateContent>
        <mc:AlternateContent>
          <mc:Choice Requires="wps">
            <w:drawing>
              <wp:anchor simplePos="0" relativeHeight="251657728" behindDoc="1" locked="0" layoutInCell="0" allowOverlap="1">
                <wp:simplePos x="0" y="0"/>
                <wp:positionH relativeFrom="column">
                  <wp:posOffset>6374130</wp:posOffset>
                </wp:positionH>
                <wp:positionV relativeFrom="paragraph">
                  <wp:posOffset>-6593840</wp:posOffset>
                </wp:positionV>
                <wp:extent cx="153670" cy="116840"/>
                <wp:wrapNone/>
                <wp:docPr id="62" name="Shape 6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53670" cy="116840"/>
                        </a:xfrm>
                        <a:prstGeom prst="rect">
                          <a:avLst/>
                        </a:prstGeom>
                        <a:solidFill>
                          <a:srgbClr val="FDFDFC"/>
                        </a:solidFill>
                      </wps:spPr>
                      <wps:bodyPr/>
                    </wps:wsp>
                  </a:graphicData>
                </a:graphic>
              </wp:anchor>
            </w:drawing>
          </mc:Choice>
          <mc:Fallback>
            <w:pict>
              <v:rect id="Shape 62" o:spid="_x0000_s1087" style="position:absolute;margin-left:501.9pt;margin-top:-519.1999pt;width:12.1pt;height:9.2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FDFDFC" stroked="f"/>
            </w:pict>
          </mc:Fallback>
        </mc:AlternateContent>
        <mc:AlternateContent>
          <mc:Choice Requires="wps">
            <w:drawing>
              <wp:anchor simplePos="0" relativeHeight="251657728" behindDoc="1" locked="0" layoutInCell="0" allowOverlap="1">
                <wp:simplePos x="0" y="0"/>
                <wp:positionH relativeFrom="column">
                  <wp:posOffset>5798820</wp:posOffset>
                </wp:positionH>
                <wp:positionV relativeFrom="paragraph">
                  <wp:posOffset>-5472430</wp:posOffset>
                </wp:positionV>
                <wp:extent cx="575310" cy="110490"/>
                <wp:wrapNone/>
                <wp:docPr id="63" name="Shape 6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75310" cy="110490"/>
                        </a:xfrm>
                        <a:prstGeom prst="rect">
                          <a:avLst/>
                        </a:prstGeom>
                        <a:solidFill>
                          <a:srgbClr val="D0EBF2"/>
                        </a:solidFill>
                      </wps:spPr>
                      <wps:bodyPr/>
                    </wps:wsp>
                  </a:graphicData>
                </a:graphic>
              </wp:anchor>
            </w:drawing>
          </mc:Choice>
          <mc:Fallback>
            <w:pict>
              <v:rect id="Shape 63" o:spid="_x0000_s1088" style="position:absolute;margin-left:456.6pt;margin-top:-430.8999pt;width:45.3pt;height:8.7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0EBF2" stroked="f"/>
            </w:pict>
          </mc:Fallback>
        </mc:AlternateContent>
        <mc:AlternateContent>
          <mc:Choice Requires="wps">
            <w:drawing>
              <wp:anchor simplePos="0" relativeHeight="251657728" behindDoc="1" locked="0" layoutInCell="0" allowOverlap="1">
                <wp:simplePos x="0" y="0"/>
                <wp:positionH relativeFrom="column">
                  <wp:posOffset>6374130</wp:posOffset>
                </wp:positionH>
                <wp:positionV relativeFrom="paragraph">
                  <wp:posOffset>-5478145</wp:posOffset>
                </wp:positionV>
                <wp:extent cx="153670" cy="116205"/>
                <wp:wrapNone/>
                <wp:docPr id="64" name="Shape 6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53670" cy="116205"/>
                        </a:xfrm>
                        <a:prstGeom prst="rect">
                          <a:avLst/>
                        </a:prstGeom>
                        <a:solidFill>
                          <a:srgbClr val="D0EBF2"/>
                        </a:solidFill>
                      </wps:spPr>
                      <wps:bodyPr/>
                    </wps:wsp>
                  </a:graphicData>
                </a:graphic>
              </wp:anchor>
            </w:drawing>
          </mc:Choice>
          <mc:Fallback>
            <w:pict>
              <v:rect id="Shape 64" o:spid="_x0000_s1089" style="position:absolute;margin-left:501.9pt;margin-top:-431.3499pt;width:12.1pt;height:9.1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0EBF2" stroked="f"/>
            </w:pict>
          </mc:Fallback>
        </mc:AlternateContent>
        <mc:AlternateContent>
          <mc:Choice Requires="wps">
            <w:drawing>
              <wp:anchor simplePos="0" relativeHeight="251657728" behindDoc="1" locked="0" layoutInCell="0" allowOverlap="1">
                <wp:simplePos x="0" y="0"/>
                <wp:positionH relativeFrom="column">
                  <wp:posOffset>5798820</wp:posOffset>
                </wp:positionH>
                <wp:positionV relativeFrom="paragraph">
                  <wp:posOffset>-4687570</wp:posOffset>
                </wp:positionV>
                <wp:extent cx="575310" cy="109855"/>
                <wp:wrapNone/>
                <wp:docPr id="65" name="Shape 6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75310" cy="109855"/>
                        </a:xfrm>
                        <a:prstGeom prst="rect">
                          <a:avLst/>
                        </a:prstGeom>
                        <a:solidFill>
                          <a:srgbClr val="FDFDFC"/>
                        </a:solidFill>
                      </wps:spPr>
                      <wps:bodyPr/>
                    </wps:wsp>
                  </a:graphicData>
                </a:graphic>
              </wp:anchor>
            </w:drawing>
          </mc:Choice>
          <mc:Fallback>
            <w:pict>
              <v:rect id="Shape 65" o:spid="_x0000_s1090" style="position:absolute;margin-left:456.6pt;margin-top:-369.0999pt;width:45.3pt;height:8.6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FDFDFC" stroked="f"/>
            </w:pict>
          </mc:Fallback>
        </mc:AlternateContent>
        <mc:AlternateContent>
          <mc:Choice Requires="wps">
            <w:drawing>
              <wp:anchor simplePos="0" relativeHeight="251657728" behindDoc="1" locked="0" layoutInCell="0" allowOverlap="1">
                <wp:simplePos x="0" y="0"/>
                <wp:positionH relativeFrom="column">
                  <wp:posOffset>6374130</wp:posOffset>
                </wp:positionH>
                <wp:positionV relativeFrom="paragraph">
                  <wp:posOffset>-4693920</wp:posOffset>
                </wp:positionV>
                <wp:extent cx="153670" cy="116205"/>
                <wp:wrapNone/>
                <wp:docPr id="66" name="Shape 6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53670" cy="116205"/>
                        </a:xfrm>
                        <a:prstGeom prst="rect">
                          <a:avLst/>
                        </a:prstGeom>
                        <a:solidFill>
                          <a:srgbClr val="FDFDFC"/>
                        </a:solidFill>
                      </wps:spPr>
                      <wps:bodyPr/>
                    </wps:wsp>
                  </a:graphicData>
                </a:graphic>
              </wp:anchor>
            </w:drawing>
          </mc:Choice>
          <mc:Fallback>
            <w:pict>
              <v:rect id="Shape 66" o:spid="_x0000_s1091" style="position:absolute;margin-left:501.9pt;margin-top:-369.5999pt;width:12.1pt;height:9.1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FDFDFC" stroked="f"/>
            </w:pict>
          </mc:Fallback>
        </mc:AlternateContent>
        <mc:AlternateContent>
          <mc:Choice Requires="wps">
            <w:drawing>
              <wp:anchor simplePos="0" relativeHeight="251657728" behindDoc="1" locked="0" layoutInCell="0" allowOverlap="1">
                <wp:simplePos x="0" y="0"/>
                <wp:positionH relativeFrom="column">
                  <wp:posOffset>5798820</wp:posOffset>
                </wp:positionH>
                <wp:positionV relativeFrom="paragraph">
                  <wp:posOffset>-3241675</wp:posOffset>
                </wp:positionV>
                <wp:extent cx="575310" cy="110490"/>
                <wp:wrapNone/>
                <wp:docPr id="67" name="Shape 6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75310" cy="110490"/>
                        </a:xfrm>
                        <a:prstGeom prst="rect">
                          <a:avLst/>
                        </a:prstGeom>
                        <a:solidFill>
                          <a:srgbClr val="FDFDFC"/>
                        </a:solidFill>
                      </wps:spPr>
                      <wps:bodyPr/>
                    </wps:wsp>
                  </a:graphicData>
                </a:graphic>
              </wp:anchor>
            </w:drawing>
          </mc:Choice>
          <mc:Fallback>
            <w:pict>
              <v:rect id="Shape 67" o:spid="_x0000_s1092" style="position:absolute;margin-left:456.6pt;margin-top:-255.2499pt;width:45.3pt;height:8.7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FDFDFC" stroked="f"/>
            </w:pict>
          </mc:Fallback>
        </mc:AlternateContent>
        <mc:AlternateContent>
          <mc:Choice Requires="wps">
            <w:drawing>
              <wp:anchor simplePos="0" relativeHeight="251657728" behindDoc="1" locked="0" layoutInCell="0" allowOverlap="1">
                <wp:simplePos x="0" y="0"/>
                <wp:positionH relativeFrom="column">
                  <wp:posOffset>6374130</wp:posOffset>
                </wp:positionH>
                <wp:positionV relativeFrom="paragraph">
                  <wp:posOffset>-3247390</wp:posOffset>
                </wp:positionV>
                <wp:extent cx="153670" cy="116205"/>
                <wp:wrapNone/>
                <wp:docPr id="68" name="Shape 6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53670" cy="116205"/>
                        </a:xfrm>
                        <a:prstGeom prst="rect">
                          <a:avLst/>
                        </a:prstGeom>
                        <a:solidFill>
                          <a:srgbClr val="FDFDFC"/>
                        </a:solidFill>
                      </wps:spPr>
                      <wps:bodyPr/>
                    </wps:wsp>
                  </a:graphicData>
                </a:graphic>
              </wp:anchor>
            </w:drawing>
          </mc:Choice>
          <mc:Fallback>
            <w:pict>
              <v:rect id="Shape 68" o:spid="_x0000_s1093" style="position:absolute;margin-left:501.9pt;margin-top:-255.6999pt;width:12.1pt;height:9.1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FDFDFC" stroked="f"/>
            </w:pict>
          </mc:Fallback>
        </mc:AlternateContent>
        <mc:AlternateContent>
          <mc:Choice Requires="wps">
            <w:drawing>
              <wp:anchor simplePos="0" relativeHeight="251657728" behindDoc="1" locked="0" layoutInCell="0" allowOverlap="1">
                <wp:simplePos x="0" y="0"/>
                <wp:positionH relativeFrom="column">
                  <wp:posOffset>5798820</wp:posOffset>
                </wp:positionH>
                <wp:positionV relativeFrom="paragraph">
                  <wp:posOffset>-1905635</wp:posOffset>
                </wp:positionV>
                <wp:extent cx="575310" cy="110490"/>
                <wp:wrapNone/>
                <wp:docPr id="69" name="Shape 6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75310" cy="110490"/>
                        </a:xfrm>
                        <a:prstGeom prst="rect">
                          <a:avLst/>
                        </a:prstGeom>
                        <a:solidFill>
                          <a:srgbClr val="FDFDFC"/>
                        </a:solidFill>
                      </wps:spPr>
                      <wps:bodyPr/>
                    </wps:wsp>
                  </a:graphicData>
                </a:graphic>
              </wp:anchor>
            </w:drawing>
          </mc:Choice>
          <mc:Fallback>
            <w:pict>
              <v:rect id="Shape 69" o:spid="_x0000_s1094" style="position:absolute;margin-left:456.6pt;margin-top:-150.0499pt;width:45.3pt;height:8.7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FDFDFC" stroked="f"/>
            </w:pict>
          </mc:Fallback>
        </mc:AlternateContent>
        <mc:AlternateContent>
          <mc:Choice Requires="wps">
            <w:drawing>
              <wp:anchor simplePos="0" relativeHeight="251657728" behindDoc="1" locked="0" layoutInCell="0" allowOverlap="1">
                <wp:simplePos x="0" y="0"/>
                <wp:positionH relativeFrom="column">
                  <wp:posOffset>6374130</wp:posOffset>
                </wp:positionH>
                <wp:positionV relativeFrom="paragraph">
                  <wp:posOffset>-1911350</wp:posOffset>
                </wp:positionV>
                <wp:extent cx="153670" cy="116205"/>
                <wp:wrapNone/>
                <wp:docPr id="70" name="Shape 7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53670" cy="116205"/>
                        </a:xfrm>
                        <a:prstGeom prst="rect">
                          <a:avLst/>
                        </a:prstGeom>
                        <a:solidFill>
                          <a:srgbClr val="FDFDFC"/>
                        </a:solidFill>
                      </wps:spPr>
                      <wps:bodyPr/>
                    </wps:wsp>
                  </a:graphicData>
                </a:graphic>
              </wp:anchor>
            </w:drawing>
          </mc:Choice>
          <mc:Fallback>
            <w:pict>
              <v:rect id="Shape 70" o:spid="_x0000_s1095" style="position:absolute;margin-left:501.9pt;margin-top:-150.4999pt;width:12.1pt;height:9.1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FDFDFC" stroked="f"/>
            </w:pict>
          </mc:Fallback>
        </mc:AlternateContent>
        <mc:AlternateContent>
          <mc:Choice Requires="wps">
            <w:drawing>
              <wp:anchor simplePos="0" relativeHeight="251657728" behindDoc="1" locked="0" layoutInCell="0" allowOverlap="1">
                <wp:simplePos x="0" y="0"/>
                <wp:positionH relativeFrom="column">
                  <wp:posOffset>5798820</wp:posOffset>
                </wp:positionH>
                <wp:positionV relativeFrom="paragraph">
                  <wp:posOffset>-1231265</wp:posOffset>
                </wp:positionV>
                <wp:extent cx="575310" cy="110490"/>
                <wp:wrapNone/>
                <wp:docPr id="71" name="Shape 7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75310" cy="110490"/>
                        </a:xfrm>
                        <a:prstGeom prst="rect">
                          <a:avLst/>
                        </a:prstGeom>
                        <a:solidFill>
                          <a:srgbClr val="FDFDFC"/>
                        </a:solidFill>
                      </wps:spPr>
                      <wps:bodyPr/>
                    </wps:wsp>
                  </a:graphicData>
                </a:graphic>
              </wp:anchor>
            </w:drawing>
          </mc:Choice>
          <mc:Fallback>
            <w:pict>
              <v:rect id="Shape 71" o:spid="_x0000_s1096" style="position:absolute;margin-left:456.6pt;margin-top:-96.9499pt;width:45.3pt;height:8.7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FDFDFC" stroked="f"/>
            </w:pict>
          </mc:Fallback>
        </mc:AlternateContent>
        <mc:AlternateContent>
          <mc:Choice Requires="wps">
            <w:drawing>
              <wp:anchor simplePos="0" relativeHeight="251657728" behindDoc="1" locked="0" layoutInCell="0" allowOverlap="1">
                <wp:simplePos x="0" y="0"/>
                <wp:positionH relativeFrom="column">
                  <wp:posOffset>6374130</wp:posOffset>
                </wp:positionH>
                <wp:positionV relativeFrom="paragraph">
                  <wp:posOffset>-1237615</wp:posOffset>
                </wp:positionV>
                <wp:extent cx="153670" cy="116840"/>
                <wp:wrapNone/>
                <wp:docPr id="72" name="Shape 7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53670" cy="116840"/>
                        </a:xfrm>
                        <a:prstGeom prst="rect">
                          <a:avLst/>
                        </a:prstGeom>
                        <a:solidFill>
                          <a:srgbClr val="FDFDFC"/>
                        </a:solidFill>
                      </wps:spPr>
                      <wps:bodyPr/>
                    </wps:wsp>
                  </a:graphicData>
                </a:graphic>
              </wp:anchor>
            </w:drawing>
          </mc:Choice>
          <mc:Fallback>
            <w:pict>
              <v:rect id="Shape 72" o:spid="_x0000_s1097" style="position:absolute;margin-left:501.9pt;margin-top:-97.4499pt;width:12.1pt;height:9.2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FDFDFC" stroked="f"/>
            </w:pict>
          </mc:Fallback>
        </mc:AlternateContent>
        <mc:AlternateContent>
          <mc:Choice Requires="wps">
            <w:drawing>
              <wp:anchor simplePos="0" relativeHeight="251657728" behindDoc="1" locked="0" layoutInCell="0" allowOverlap="1">
                <wp:simplePos x="0" y="0"/>
                <wp:positionH relativeFrom="column">
                  <wp:posOffset>5798820</wp:posOffset>
                </wp:positionH>
                <wp:positionV relativeFrom="paragraph">
                  <wp:posOffset>-226060</wp:posOffset>
                </wp:positionV>
                <wp:extent cx="575310" cy="109855"/>
                <wp:wrapNone/>
                <wp:docPr id="73" name="Shape 7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75310" cy="109855"/>
                        </a:xfrm>
                        <a:prstGeom prst="rect">
                          <a:avLst/>
                        </a:prstGeom>
                        <a:solidFill>
                          <a:srgbClr val="FDFDFC"/>
                        </a:solidFill>
                      </wps:spPr>
                      <wps:bodyPr/>
                    </wps:wsp>
                  </a:graphicData>
                </a:graphic>
              </wp:anchor>
            </w:drawing>
          </mc:Choice>
          <mc:Fallback>
            <w:pict>
              <v:rect id="Shape 73" o:spid="_x0000_s1098" style="position:absolute;margin-left:456.6pt;margin-top:-17.7999pt;width:45.3pt;height:8.6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FDFDFC" stroked="f"/>
            </w:pict>
          </mc:Fallback>
        </mc:AlternateContent>
        <mc:AlternateContent>
          <mc:Choice Requires="wps">
            <w:drawing>
              <wp:anchor simplePos="0" relativeHeight="251657728" behindDoc="1" locked="0" layoutInCell="0" allowOverlap="1">
                <wp:simplePos x="0" y="0"/>
                <wp:positionH relativeFrom="column">
                  <wp:posOffset>6374130</wp:posOffset>
                </wp:positionH>
                <wp:positionV relativeFrom="paragraph">
                  <wp:posOffset>-232410</wp:posOffset>
                </wp:positionV>
                <wp:extent cx="153670" cy="116205"/>
                <wp:wrapNone/>
                <wp:docPr id="74" name="Shape 7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53670" cy="116205"/>
                        </a:xfrm>
                        <a:prstGeom prst="rect">
                          <a:avLst/>
                        </a:prstGeom>
                        <a:solidFill>
                          <a:srgbClr val="FDFDFC"/>
                        </a:solidFill>
                      </wps:spPr>
                      <wps:bodyPr/>
                    </wps:wsp>
                  </a:graphicData>
                </a:graphic>
              </wp:anchor>
            </w:drawing>
          </mc:Choice>
          <mc:Fallback>
            <w:pict>
              <v:rect id="Shape 74" o:spid="_x0000_s1099" style="position:absolute;margin-left:501.9pt;margin-top:-18.2999pt;width:12.1pt;height:9.1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FDFDFC" stroked="f"/>
            </w:pict>
          </mc:Fallback>
        </mc:AlternateContent>
      </w:r>
    </w:p>
    <w:p>
      <w:pPr>
        <w:sectPr>
          <w:pgSz w:w="12240" w:h="15840" w:orient="portrait"/>
          <w:cols w:equalWidth="0" w:num="1">
            <w:col w:w="10280"/>
          </w:cols>
          <w:pgMar w:left="980" w:top="1322" w:right="980" w:bottom="574" w:gutter="0" w:footer="0" w:header="0"/>
        </w:sectPr>
      </w:pP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231F20"/>
        </w:rPr>
        <w:t>F-20</w:t>
      </w:r>
    </w:p>
    <w:p>
      <w:pPr>
        <w:sectPr>
          <w:pgSz w:w="12240" w:h="15840" w:orient="portrait"/>
          <w:cols w:equalWidth="0" w:num="1">
            <w:col w:w="10280"/>
          </w:cols>
          <w:pgMar w:left="980" w:top="1322" w:right="980" w:bottom="574" w:gutter="0" w:footer="0" w:header="0"/>
          <w:type w:val="continuous"/>
        </w:sectPr>
      </w:pPr>
    </w:p>
    <w:bookmarkStart w:id="108" w:name="page109"/>
    <w:bookmarkEnd w:id="108"/>
    <w:tbl>
      <w:tblPr>
        <w:tblLayout w:type="fixed"/>
        <w:tblInd w:w="0" w:type="dxa"/>
        <w:tblCellMar>
          <w:top w:w="0" w:type="dxa"/>
          <w:left w:w="0" w:type="dxa"/>
          <w:bottom w:w="0" w:type="dxa"/>
          <w:right w:w="0" w:type="dxa"/>
        </w:tblCellMar>
      </w:tblPr>
      <w:tr>
        <w:trPr>
          <w:trHeight w:val="172"/>
        </w:trPr>
        <w:tc>
          <w:tcPr>
            <w:tcW w:w="1460" w:type="dxa"/>
            <w:vAlign w:val="bottom"/>
            <w:shd w:val="clear" w:color="auto" w:fill="FDFDFC"/>
          </w:tcPr>
          <w:p>
            <w:pPr>
              <w:spacing w:after="0"/>
              <w:rPr>
                <w:sz w:val="20"/>
                <w:szCs w:val="20"/>
                <w:color w:val="auto"/>
              </w:rPr>
            </w:pPr>
            <w:r>
              <w:rPr>
                <w:rFonts w:ascii="Times New Roman" w:cs="Times New Roman" w:eastAsia="Times New Roman" w:hAnsi="Times New Roman"/>
                <w:sz w:val="15"/>
                <w:szCs w:val="15"/>
                <w:color w:val="231F20"/>
              </w:rPr>
              <w:t>Bayshore Intermediate</w:t>
            </w:r>
          </w:p>
        </w:tc>
        <w:tc>
          <w:tcPr>
            <w:tcW w:w="2420" w:type="dxa"/>
            <w:vAlign w:val="bottom"/>
            <w:shd w:val="clear" w:color="auto" w:fill="FDFDFC"/>
          </w:tcPr>
          <w:p>
            <w:pPr>
              <w:ind w:left="60"/>
              <w:spacing w:after="0"/>
              <w:rPr>
                <w:sz w:val="20"/>
                <w:szCs w:val="20"/>
                <w:color w:val="auto"/>
              </w:rPr>
            </w:pPr>
            <w:r>
              <w:rPr>
                <w:rFonts w:ascii="Times New Roman" w:cs="Times New Roman" w:eastAsia="Times New Roman" w:hAnsi="Times New Roman"/>
                <w:sz w:val="15"/>
                <w:szCs w:val="15"/>
                <w:color w:val="231F20"/>
              </w:rPr>
              <w:t>Co-Invest Common Units (8,837,008</w:t>
            </w:r>
          </w:p>
        </w:tc>
        <w:tc>
          <w:tcPr>
            <w:tcW w:w="820" w:type="dxa"/>
            <w:vAlign w:val="bottom"/>
            <w:shd w:val="clear" w:color="auto" w:fill="FDFDFC"/>
          </w:tcPr>
          <w:p>
            <w:pPr>
              <w:jc w:val="right"/>
              <w:spacing w:after="0"/>
              <w:rPr>
                <w:sz w:val="20"/>
                <w:szCs w:val="20"/>
                <w:color w:val="auto"/>
              </w:rPr>
            </w:pPr>
            <w:r>
              <w:rPr>
                <w:rFonts w:ascii="Times New Roman" w:cs="Times New Roman" w:eastAsia="Times New Roman" w:hAnsi="Times New Roman"/>
                <w:sz w:val="15"/>
                <w:szCs w:val="15"/>
                <w:color w:val="231F20"/>
              </w:rPr>
              <w:t>10/1/2021</w:t>
            </w:r>
          </w:p>
        </w:tc>
        <w:tc>
          <w:tcPr>
            <w:tcW w:w="1200" w:type="dxa"/>
            <w:vAlign w:val="bottom"/>
            <w:shd w:val="clear" w:color="auto" w:fill="FDFDFC"/>
          </w:tcPr>
          <w:p>
            <w:pPr>
              <w:spacing w:after="0"/>
              <w:rPr>
                <w:sz w:val="15"/>
                <w:szCs w:val="15"/>
                <w:color w:val="auto"/>
              </w:rPr>
            </w:pPr>
          </w:p>
        </w:tc>
        <w:tc>
          <w:tcPr>
            <w:tcW w:w="900" w:type="dxa"/>
            <w:vAlign w:val="bottom"/>
            <w:shd w:val="clear" w:color="auto" w:fill="FDFDFC"/>
          </w:tcPr>
          <w:p>
            <w:pPr>
              <w:spacing w:after="0"/>
              <w:rPr>
                <w:sz w:val="15"/>
                <w:szCs w:val="15"/>
                <w:color w:val="auto"/>
              </w:rPr>
            </w:pPr>
          </w:p>
        </w:tc>
        <w:tc>
          <w:tcPr>
            <w:tcW w:w="1000" w:type="dxa"/>
            <w:vAlign w:val="bottom"/>
            <w:shd w:val="clear" w:color="auto" w:fill="FDFDFC"/>
          </w:tcPr>
          <w:p>
            <w:pPr>
              <w:jc w:val="right"/>
              <w:spacing w:after="0"/>
              <w:rPr>
                <w:sz w:val="20"/>
                <w:szCs w:val="20"/>
                <w:color w:val="auto"/>
              </w:rPr>
            </w:pPr>
            <w:r>
              <w:rPr>
                <w:rFonts w:ascii="Times New Roman" w:cs="Times New Roman" w:eastAsia="Times New Roman" w:hAnsi="Times New Roman"/>
                <w:sz w:val="15"/>
                <w:szCs w:val="15"/>
                <w:color w:val="231F20"/>
              </w:rPr>
              <w:t>8,837</w:t>
            </w:r>
          </w:p>
        </w:tc>
        <w:tc>
          <w:tcPr>
            <w:tcW w:w="1140" w:type="dxa"/>
            <w:vAlign w:val="bottom"/>
            <w:gridSpan w:val="2"/>
            <w:shd w:val="clear" w:color="auto" w:fill="FDFDFC"/>
          </w:tcPr>
          <w:p>
            <w:pPr>
              <w:jc w:val="right"/>
              <w:spacing w:after="0"/>
              <w:rPr>
                <w:sz w:val="20"/>
                <w:szCs w:val="20"/>
                <w:color w:val="auto"/>
              </w:rPr>
            </w:pPr>
            <w:r>
              <w:rPr>
                <w:rFonts w:ascii="Times New Roman" w:cs="Times New Roman" w:eastAsia="Times New Roman" w:hAnsi="Times New Roman"/>
                <w:sz w:val="15"/>
                <w:szCs w:val="15"/>
                <w:color w:val="231F20"/>
              </w:rPr>
              <w:t>8,461</w:t>
            </w:r>
          </w:p>
        </w:tc>
        <w:tc>
          <w:tcPr>
            <w:tcW w:w="1340" w:type="dxa"/>
            <w:vAlign w:val="bottom"/>
            <w:gridSpan w:val="3"/>
            <w:shd w:val="clear" w:color="auto" w:fill="FDFDFC"/>
          </w:tcPr>
          <w:p>
            <w:pPr>
              <w:jc w:val="right"/>
              <w:ind w:right="120"/>
              <w:spacing w:after="0"/>
              <w:rPr>
                <w:sz w:val="20"/>
                <w:szCs w:val="20"/>
                <w:color w:val="auto"/>
              </w:rPr>
            </w:pPr>
            <w:r>
              <w:rPr>
                <w:rFonts w:ascii="Times New Roman" w:cs="Times New Roman" w:eastAsia="Times New Roman" w:hAnsi="Times New Roman"/>
                <w:sz w:val="15"/>
                <w:szCs w:val="15"/>
                <w:color w:val="231F20"/>
              </w:rPr>
              <w:t>0.5%</w:t>
            </w:r>
          </w:p>
        </w:tc>
        <w:tc>
          <w:tcPr>
            <w:tcW w:w="0" w:type="dxa"/>
            <w:vAlign w:val="bottom"/>
          </w:tcPr>
          <w:p>
            <w:pPr>
              <w:spacing w:after="0"/>
              <w:rPr>
                <w:sz w:val="1"/>
                <w:szCs w:val="1"/>
                <w:color w:val="auto"/>
              </w:rPr>
            </w:pPr>
          </w:p>
        </w:tc>
      </w:tr>
      <w:tr>
        <w:trPr>
          <w:trHeight w:val="189"/>
        </w:trPr>
        <w:tc>
          <w:tcPr>
            <w:tcW w:w="1460" w:type="dxa"/>
            <w:vAlign w:val="bottom"/>
            <w:shd w:val="clear" w:color="auto" w:fill="FDFDFC"/>
          </w:tcPr>
          <w:p>
            <w:pPr>
              <w:spacing w:after="0" w:line="190" w:lineRule="exact"/>
              <w:rPr>
                <w:sz w:val="20"/>
                <w:szCs w:val="20"/>
                <w:color w:val="auto"/>
              </w:rPr>
            </w:pPr>
            <w:r>
              <w:rPr>
                <w:rFonts w:ascii="Times New Roman" w:cs="Times New Roman" w:eastAsia="Times New Roman" w:hAnsi="Times New Roman"/>
                <w:sz w:val="21"/>
                <w:szCs w:val="21"/>
                <w:color w:val="231F20"/>
                <w:vertAlign w:val="subscript"/>
              </w:rPr>
              <w:t>#2, L.P.</w:t>
            </w:r>
            <w:r>
              <w:rPr>
                <w:rFonts w:ascii="Times New Roman" w:cs="Times New Roman" w:eastAsia="Times New Roman" w:hAnsi="Times New Roman"/>
                <w:sz w:val="8"/>
                <w:szCs w:val="8"/>
                <w:color w:val="231F20"/>
              </w:rPr>
              <w:t xml:space="preserve"> (11)(13)</w:t>
            </w:r>
          </w:p>
        </w:tc>
        <w:tc>
          <w:tcPr>
            <w:tcW w:w="2420" w:type="dxa"/>
            <w:vAlign w:val="bottom"/>
            <w:shd w:val="clear" w:color="auto" w:fill="FDFDFC"/>
          </w:tcPr>
          <w:p>
            <w:pPr>
              <w:ind w:left="60"/>
              <w:spacing w:after="0"/>
              <w:rPr>
                <w:sz w:val="20"/>
                <w:szCs w:val="20"/>
                <w:color w:val="auto"/>
              </w:rPr>
            </w:pPr>
            <w:r>
              <w:rPr>
                <w:rFonts w:ascii="Times New Roman" w:cs="Times New Roman" w:eastAsia="Times New Roman" w:hAnsi="Times New Roman"/>
                <w:sz w:val="15"/>
                <w:szCs w:val="15"/>
                <w:color w:val="231F20"/>
              </w:rPr>
              <w:t>units)</w:t>
            </w:r>
          </w:p>
        </w:tc>
        <w:tc>
          <w:tcPr>
            <w:tcW w:w="820" w:type="dxa"/>
            <w:vAlign w:val="bottom"/>
            <w:shd w:val="clear" w:color="auto" w:fill="FDFDFC"/>
          </w:tcPr>
          <w:p>
            <w:pPr>
              <w:spacing w:after="0"/>
              <w:rPr>
                <w:sz w:val="16"/>
                <w:szCs w:val="16"/>
                <w:color w:val="auto"/>
              </w:rPr>
            </w:pPr>
          </w:p>
        </w:tc>
        <w:tc>
          <w:tcPr>
            <w:tcW w:w="1200" w:type="dxa"/>
            <w:vAlign w:val="bottom"/>
            <w:shd w:val="clear" w:color="auto" w:fill="FDFDFC"/>
          </w:tcPr>
          <w:p>
            <w:pPr>
              <w:spacing w:after="0"/>
              <w:rPr>
                <w:sz w:val="16"/>
                <w:szCs w:val="16"/>
                <w:color w:val="auto"/>
              </w:rPr>
            </w:pPr>
          </w:p>
        </w:tc>
        <w:tc>
          <w:tcPr>
            <w:tcW w:w="900" w:type="dxa"/>
            <w:vAlign w:val="bottom"/>
            <w:shd w:val="clear" w:color="auto" w:fill="FDFDFC"/>
          </w:tcPr>
          <w:p>
            <w:pPr>
              <w:spacing w:after="0"/>
              <w:rPr>
                <w:sz w:val="16"/>
                <w:szCs w:val="16"/>
                <w:color w:val="auto"/>
              </w:rPr>
            </w:pPr>
          </w:p>
        </w:tc>
        <w:tc>
          <w:tcPr>
            <w:tcW w:w="1000" w:type="dxa"/>
            <w:vAlign w:val="bottom"/>
            <w:shd w:val="clear" w:color="auto" w:fill="FDFDFC"/>
          </w:tcPr>
          <w:p>
            <w:pPr>
              <w:spacing w:after="0"/>
              <w:rPr>
                <w:sz w:val="16"/>
                <w:szCs w:val="16"/>
                <w:color w:val="auto"/>
              </w:rPr>
            </w:pPr>
          </w:p>
        </w:tc>
        <w:tc>
          <w:tcPr>
            <w:tcW w:w="180" w:type="dxa"/>
            <w:vAlign w:val="bottom"/>
            <w:shd w:val="clear" w:color="auto" w:fill="FDFDFC"/>
          </w:tcPr>
          <w:p>
            <w:pPr>
              <w:spacing w:after="0"/>
              <w:rPr>
                <w:sz w:val="16"/>
                <w:szCs w:val="16"/>
                <w:color w:val="auto"/>
              </w:rPr>
            </w:pPr>
          </w:p>
        </w:tc>
        <w:tc>
          <w:tcPr>
            <w:tcW w:w="960" w:type="dxa"/>
            <w:vAlign w:val="bottom"/>
            <w:shd w:val="clear" w:color="auto" w:fill="FDFDFC"/>
          </w:tcPr>
          <w:p>
            <w:pPr>
              <w:spacing w:after="0"/>
              <w:rPr>
                <w:sz w:val="16"/>
                <w:szCs w:val="16"/>
                <w:color w:val="auto"/>
              </w:rPr>
            </w:pPr>
          </w:p>
        </w:tc>
        <w:tc>
          <w:tcPr>
            <w:tcW w:w="200" w:type="dxa"/>
            <w:vAlign w:val="bottom"/>
            <w:shd w:val="clear" w:color="auto" w:fill="FDFDFC"/>
          </w:tcPr>
          <w:p>
            <w:pPr>
              <w:spacing w:after="0"/>
              <w:rPr>
                <w:sz w:val="16"/>
                <w:szCs w:val="16"/>
                <w:color w:val="auto"/>
              </w:rPr>
            </w:pPr>
          </w:p>
        </w:tc>
        <w:tc>
          <w:tcPr>
            <w:tcW w:w="900" w:type="dxa"/>
            <w:vAlign w:val="bottom"/>
            <w:shd w:val="clear" w:color="auto" w:fill="FDFDFC"/>
          </w:tcPr>
          <w:p>
            <w:pPr>
              <w:spacing w:after="0"/>
              <w:rPr>
                <w:sz w:val="16"/>
                <w:szCs w:val="16"/>
                <w:color w:val="auto"/>
              </w:rPr>
            </w:pPr>
          </w:p>
        </w:tc>
        <w:tc>
          <w:tcPr>
            <w:tcW w:w="240" w:type="dxa"/>
            <w:vAlign w:val="bottom"/>
            <w:shd w:val="clear" w:color="auto" w:fill="FDFDFC"/>
          </w:tcPr>
          <w:p>
            <w:pPr>
              <w:spacing w:after="0"/>
              <w:rPr>
                <w:sz w:val="16"/>
                <w:szCs w:val="16"/>
                <w:color w:val="auto"/>
              </w:rPr>
            </w:pPr>
          </w:p>
        </w:tc>
        <w:tc>
          <w:tcPr>
            <w:tcW w:w="0" w:type="dxa"/>
            <w:vAlign w:val="bottom"/>
          </w:tcPr>
          <w:p>
            <w:pPr>
              <w:spacing w:after="0"/>
              <w:rPr>
                <w:sz w:val="1"/>
                <w:szCs w:val="1"/>
                <w:color w:val="auto"/>
              </w:rPr>
            </w:pPr>
          </w:p>
        </w:tc>
      </w:tr>
      <w:tr>
        <w:trPr>
          <w:trHeight w:val="158"/>
        </w:trPr>
        <w:tc>
          <w:tcPr>
            <w:tcW w:w="1460" w:type="dxa"/>
            <w:vAlign w:val="bottom"/>
            <w:shd w:val="clear" w:color="auto" w:fill="D0EBF2"/>
          </w:tcPr>
          <w:p>
            <w:pPr>
              <w:spacing w:after="0"/>
              <w:rPr>
                <w:sz w:val="13"/>
                <w:szCs w:val="13"/>
                <w:color w:val="auto"/>
              </w:rPr>
            </w:pPr>
          </w:p>
        </w:tc>
        <w:tc>
          <w:tcPr>
            <w:tcW w:w="2420" w:type="dxa"/>
            <w:vAlign w:val="bottom"/>
            <w:shd w:val="clear" w:color="auto" w:fill="D0EBF2"/>
          </w:tcPr>
          <w:p>
            <w:pPr>
              <w:ind w:left="60"/>
              <w:spacing w:after="0" w:line="159" w:lineRule="exact"/>
              <w:rPr>
                <w:sz w:val="20"/>
                <w:szCs w:val="20"/>
                <w:color w:val="auto"/>
              </w:rPr>
            </w:pPr>
            <w:r>
              <w:rPr>
                <w:rFonts w:ascii="Times New Roman" w:cs="Times New Roman" w:eastAsia="Times New Roman" w:hAnsi="Times New Roman"/>
                <w:sz w:val="15"/>
                <w:szCs w:val="15"/>
                <w:color w:val="231F20"/>
              </w:rPr>
              <w:t>Co-Invest 2 Common Units</w:t>
            </w:r>
          </w:p>
        </w:tc>
        <w:tc>
          <w:tcPr>
            <w:tcW w:w="820" w:type="dxa"/>
            <w:vAlign w:val="bottom"/>
            <w:shd w:val="clear" w:color="auto" w:fill="D0EBF2"/>
          </w:tcPr>
          <w:p>
            <w:pPr>
              <w:jc w:val="right"/>
              <w:spacing w:after="0" w:line="159" w:lineRule="exact"/>
              <w:rPr>
                <w:sz w:val="20"/>
                <w:szCs w:val="20"/>
                <w:color w:val="auto"/>
              </w:rPr>
            </w:pPr>
            <w:r>
              <w:rPr>
                <w:rFonts w:ascii="Times New Roman" w:cs="Times New Roman" w:eastAsia="Times New Roman" w:hAnsi="Times New Roman"/>
                <w:sz w:val="15"/>
                <w:szCs w:val="15"/>
                <w:color w:val="231F20"/>
              </w:rPr>
              <w:t>10/1/2021</w:t>
            </w:r>
          </w:p>
        </w:tc>
        <w:tc>
          <w:tcPr>
            <w:tcW w:w="1200" w:type="dxa"/>
            <w:vAlign w:val="bottom"/>
            <w:shd w:val="clear" w:color="auto" w:fill="D0EBF2"/>
          </w:tcPr>
          <w:p>
            <w:pPr>
              <w:spacing w:after="0"/>
              <w:rPr>
                <w:sz w:val="13"/>
                <w:szCs w:val="13"/>
                <w:color w:val="auto"/>
              </w:rPr>
            </w:pPr>
          </w:p>
        </w:tc>
        <w:tc>
          <w:tcPr>
            <w:tcW w:w="900" w:type="dxa"/>
            <w:vAlign w:val="bottom"/>
            <w:shd w:val="clear" w:color="auto" w:fill="D0EBF2"/>
          </w:tcPr>
          <w:p>
            <w:pPr>
              <w:spacing w:after="0"/>
              <w:rPr>
                <w:sz w:val="13"/>
                <w:szCs w:val="13"/>
                <w:color w:val="auto"/>
              </w:rPr>
            </w:pPr>
          </w:p>
        </w:tc>
        <w:tc>
          <w:tcPr>
            <w:tcW w:w="1000" w:type="dxa"/>
            <w:vAlign w:val="bottom"/>
            <w:shd w:val="clear" w:color="auto" w:fill="D0EBF2"/>
          </w:tcPr>
          <w:p>
            <w:pPr>
              <w:jc w:val="right"/>
              <w:spacing w:after="0" w:line="159" w:lineRule="exact"/>
              <w:rPr>
                <w:sz w:val="20"/>
                <w:szCs w:val="20"/>
                <w:color w:val="auto"/>
              </w:rPr>
            </w:pPr>
            <w:r>
              <w:rPr>
                <w:rFonts w:ascii="Times New Roman" w:cs="Times New Roman" w:eastAsia="Times New Roman" w:hAnsi="Times New Roman"/>
                <w:sz w:val="15"/>
                <w:szCs w:val="15"/>
                <w:color w:val="231F20"/>
              </w:rPr>
              <w:t>3,494</w:t>
            </w:r>
          </w:p>
        </w:tc>
        <w:tc>
          <w:tcPr>
            <w:tcW w:w="1140" w:type="dxa"/>
            <w:vAlign w:val="bottom"/>
            <w:gridSpan w:val="2"/>
            <w:shd w:val="clear" w:color="auto" w:fill="D0EBF2"/>
          </w:tcPr>
          <w:p>
            <w:pPr>
              <w:jc w:val="right"/>
              <w:spacing w:after="0" w:line="159" w:lineRule="exact"/>
              <w:rPr>
                <w:sz w:val="20"/>
                <w:szCs w:val="20"/>
                <w:color w:val="auto"/>
              </w:rPr>
            </w:pPr>
            <w:r>
              <w:rPr>
                <w:rFonts w:ascii="Times New Roman" w:cs="Times New Roman" w:eastAsia="Times New Roman" w:hAnsi="Times New Roman"/>
                <w:sz w:val="15"/>
                <w:szCs w:val="15"/>
                <w:color w:val="231F20"/>
              </w:rPr>
              <w:t>3,345</w:t>
            </w:r>
          </w:p>
        </w:tc>
        <w:tc>
          <w:tcPr>
            <w:tcW w:w="1340" w:type="dxa"/>
            <w:vAlign w:val="bottom"/>
            <w:gridSpan w:val="3"/>
            <w:shd w:val="clear" w:color="auto" w:fill="D0EBF2"/>
          </w:tcPr>
          <w:p>
            <w:pPr>
              <w:jc w:val="right"/>
              <w:ind w:right="120"/>
              <w:spacing w:after="0" w:line="159" w:lineRule="exact"/>
              <w:rPr>
                <w:sz w:val="20"/>
                <w:szCs w:val="20"/>
                <w:color w:val="auto"/>
              </w:rPr>
            </w:pPr>
            <w:r>
              <w:rPr>
                <w:rFonts w:ascii="Times New Roman" w:cs="Times New Roman" w:eastAsia="Times New Roman" w:hAnsi="Times New Roman"/>
                <w:sz w:val="15"/>
                <w:szCs w:val="15"/>
                <w:color w:val="231F20"/>
              </w:rPr>
              <w:t>0.2%</w:t>
            </w:r>
          </w:p>
        </w:tc>
        <w:tc>
          <w:tcPr>
            <w:tcW w:w="0" w:type="dxa"/>
            <w:vAlign w:val="bottom"/>
          </w:tcPr>
          <w:p>
            <w:pPr>
              <w:spacing w:after="0"/>
              <w:rPr>
                <w:sz w:val="1"/>
                <w:szCs w:val="1"/>
                <w:color w:val="auto"/>
              </w:rPr>
            </w:pPr>
          </w:p>
        </w:tc>
      </w:tr>
      <w:tr>
        <w:trPr>
          <w:trHeight w:val="189"/>
        </w:trPr>
        <w:tc>
          <w:tcPr>
            <w:tcW w:w="1460" w:type="dxa"/>
            <w:vAlign w:val="bottom"/>
            <w:shd w:val="clear" w:color="auto" w:fill="D0EBF2"/>
          </w:tcPr>
          <w:p>
            <w:pPr>
              <w:spacing w:after="0"/>
              <w:rPr>
                <w:sz w:val="16"/>
                <w:szCs w:val="16"/>
                <w:color w:val="auto"/>
              </w:rPr>
            </w:pPr>
          </w:p>
        </w:tc>
        <w:tc>
          <w:tcPr>
            <w:tcW w:w="2420" w:type="dxa"/>
            <w:vAlign w:val="bottom"/>
            <w:shd w:val="clear" w:color="auto" w:fill="D0EBF2"/>
          </w:tcPr>
          <w:p>
            <w:pPr>
              <w:ind w:left="60"/>
              <w:spacing w:after="0"/>
              <w:rPr>
                <w:sz w:val="20"/>
                <w:szCs w:val="20"/>
                <w:color w:val="auto"/>
              </w:rPr>
            </w:pPr>
            <w:r>
              <w:rPr>
                <w:rFonts w:ascii="Times New Roman" w:cs="Times New Roman" w:eastAsia="Times New Roman" w:hAnsi="Times New Roman"/>
                <w:sz w:val="15"/>
                <w:szCs w:val="15"/>
                <w:color w:val="231F20"/>
              </w:rPr>
              <w:t>(3,493,701 units)</w:t>
            </w:r>
          </w:p>
        </w:tc>
        <w:tc>
          <w:tcPr>
            <w:tcW w:w="820" w:type="dxa"/>
            <w:vAlign w:val="bottom"/>
            <w:shd w:val="clear" w:color="auto" w:fill="D0EBF2"/>
          </w:tcPr>
          <w:p>
            <w:pPr>
              <w:spacing w:after="0"/>
              <w:rPr>
                <w:sz w:val="16"/>
                <w:szCs w:val="16"/>
                <w:color w:val="auto"/>
              </w:rPr>
            </w:pPr>
          </w:p>
        </w:tc>
        <w:tc>
          <w:tcPr>
            <w:tcW w:w="1200" w:type="dxa"/>
            <w:vAlign w:val="bottom"/>
            <w:shd w:val="clear" w:color="auto" w:fill="D0EBF2"/>
          </w:tcPr>
          <w:p>
            <w:pPr>
              <w:spacing w:after="0"/>
              <w:rPr>
                <w:sz w:val="16"/>
                <w:szCs w:val="16"/>
                <w:color w:val="auto"/>
              </w:rPr>
            </w:pPr>
          </w:p>
        </w:tc>
        <w:tc>
          <w:tcPr>
            <w:tcW w:w="900" w:type="dxa"/>
            <w:vAlign w:val="bottom"/>
            <w:shd w:val="clear" w:color="auto" w:fill="D0EBF2"/>
          </w:tcPr>
          <w:p>
            <w:pPr>
              <w:spacing w:after="0"/>
              <w:rPr>
                <w:sz w:val="16"/>
                <w:szCs w:val="16"/>
                <w:color w:val="auto"/>
              </w:rPr>
            </w:pPr>
          </w:p>
        </w:tc>
        <w:tc>
          <w:tcPr>
            <w:tcW w:w="1000" w:type="dxa"/>
            <w:vAlign w:val="bottom"/>
            <w:shd w:val="clear" w:color="auto" w:fill="D0EBF2"/>
          </w:tcPr>
          <w:p>
            <w:pPr>
              <w:spacing w:after="0"/>
              <w:rPr>
                <w:sz w:val="16"/>
                <w:szCs w:val="16"/>
                <w:color w:val="auto"/>
              </w:rPr>
            </w:pPr>
          </w:p>
        </w:tc>
        <w:tc>
          <w:tcPr>
            <w:tcW w:w="180" w:type="dxa"/>
            <w:vAlign w:val="bottom"/>
            <w:shd w:val="clear" w:color="auto" w:fill="D0EBF2"/>
          </w:tcPr>
          <w:p>
            <w:pPr>
              <w:spacing w:after="0"/>
              <w:rPr>
                <w:sz w:val="16"/>
                <w:szCs w:val="16"/>
                <w:color w:val="auto"/>
              </w:rPr>
            </w:pPr>
          </w:p>
        </w:tc>
        <w:tc>
          <w:tcPr>
            <w:tcW w:w="960" w:type="dxa"/>
            <w:vAlign w:val="bottom"/>
            <w:shd w:val="clear" w:color="auto" w:fill="D0EBF2"/>
          </w:tcPr>
          <w:p>
            <w:pPr>
              <w:spacing w:after="0"/>
              <w:rPr>
                <w:sz w:val="16"/>
                <w:szCs w:val="16"/>
                <w:color w:val="auto"/>
              </w:rPr>
            </w:pPr>
          </w:p>
        </w:tc>
        <w:tc>
          <w:tcPr>
            <w:tcW w:w="200" w:type="dxa"/>
            <w:vAlign w:val="bottom"/>
            <w:shd w:val="clear" w:color="auto" w:fill="D0EBF2"/>
          </w:tcPr>
          <w:p>
            <w:pPr>
              <w:spacing w:after="0"/>
              <w:rPr>
                <w:sz w:val="16"/>
                <w:szCs w:val="16"/>
                <w:color w:val="auto"/>
              </w:rPr>
            </w:pPr>
          </w:p>
        </w:tc>
        <w:tc>
          <w:tcPr>
            <w:tcW w:w="900" w:type="dxa"/>
            <w:vAlign w:val="bottom"/>
            <w:shd w:val="clear" w:color="auto" w:fill="D0EBF2"/>
          </w:tcPr>
          <w:p>
            <w:pPr>
              <w:spacing w:after="0"/>
              <w:rPr>
                <w:sz w:val="16"/>
                <w:szCs w:val="16"/>
                <w:color w:val="auto"/>
              </w:rPr>
            </w:pPr>
          </w:p>
        </w:tc>
        <w:tc>
          <w:tcPr>
            <w:tcW w:w="240" w:type="dxa"/>
            <w:vAlign w:val="bottom"/>
            <w:shd w:val="clear" w:color="auto" w:fill="D0EBF2"/>
          </w:tcPr>
          <w:p>
            <w:pPr>
              <w:spacing w:after="0"/>
              <w:rPr>
                <w:sz w:val="16"/>
                <w:szCs w:val="16"/>
                <w:color w:val="auto"/>
              </w:rPr>
            </w:pPr>
          </w:p>
        </w:tc>
        <w:tc>
          <w:tcPr>
            <w:tcW w:w="0" w:type="dxa"/>
            <w:vAlign w:val="bottom"/>
          </w:tcPr>
          <w:p>
            <w:pPr>
              <w:spacing w:after="0"/>
              <w:rPr>
                <w:sz w:val="1"/>
                <w:szCs w:val="1"/>
                <w:color w:val="auto"/>
              </w:rPr>
            </w:pPr>
          </w:p>
        </w:tc>
      </w:tr>
      <w:tr>
        <w:trPr>
          <w:trHeight w:val="158"/>
        </w:trPr>
        <w:tc>
          <w:tcPr>
            <w:tcW w:w="1460" w:type="dxa"/>
            <w:vAlign w:val="bottom"/>
            <w:shd w:val="clear" w:color="auto" w:fill="FDFDFC"/>
          </w:tcPr>
          <w:p>
            <w:pPr>
              <w:spacing w:after="0" w:line="159" w:lineRule="exact"/>
              <w:rPr>
                <w:sz w:val="20"/>
                <w:szCs w:val="20"/>
                <w:color w:val="auto"/>
              </w:rPr>
            </w:pPr>
            <w:r>
              <w:rPr>
                <w:rFonts w:ascii="Times New Roman" w:cs="Times New Roman" w:eastAsia="Times New Roman" w:hAnsi="Times New Roman"/>
                <w:sz w:val="15"/>
                <w:szCs w:val="15"/>
                <w:color w:val="231F20"/>
              </w:rPr>
              <w:t xml:space="preserve">Lucidworks, Inc. </w:t>
            </w:r>
            <w:r>
              <w:rPr>
                <w:rFonts w:ascii="Times New Roman" w:cs="Times New Roman" w:eastAsia="Times New Roman" w:hAnsi="Times New Roman"/>
                <w:sz w:val="9"/>
                <w:szCs w:val="9"/>
                <w:color w:val="231F20"/>
              </w:rPr>
              <w:t>(11)</w:t>
            </w:r>
          </w:p>
        </w:tc>
        <w:tc>
          <w:tcPr>
            <w:tcW w:w="2420" w:type="dxa"/>
            <w:vAlign w:val="bottom"/>
            <w:shd w:val="clear" w:color="auto" w:fill="FDFDFC"/>
          </w:tcPr>
          <w:p>
            <w:pPr>
              <w:ind w:left="60"/>
              <w:spacing w:after="0" w:line="159" w:lineRule="exact"/>
              <w:rPr>
                <w:sz w:val="20"/>
                <w:szCs w:val="20"/>
                <w:color w:val="auto"/>
              </w:rPr>
            </w:pPr>
            <w:r>
              <w:rPr>
                <w:rFonts w:ascii="Times New Roman" w:cs="Times New Roman" w:eastAsia="Times New Roman" w:hAnsi="Times New Roman"/>
                <w:sz w:val="15"/>
                <w:szCs w:val="15"/>
                <w:color w:val="231F20"/>
              </w:rPr>
              <w:t>Series F Preferred Shares (199,054</w:t>
            </w:r>
          </w:p>
        </w:tc>
        <w:tc>
          <w:tcPr>
            <w:tcW w:w="820" w:type="dxa"/>
            <w:vAlign w:val="bottom"/>
            <w:shd w:val="clear" w:color="auto" w:fill="FDFDFC"/>
          </w:tcPr>
          <w:p>
            <w:pPr>
              <w:jc w:val="right"/>
              <w:spacing w:after="0" w:line="159" w:lineRule="exact"/>
              <w:rPr>
                <w:sz w:val="20"/>
                <w:szCs w:val="20"/>
                <w:color w:val="auto"/>
              </w:rPr>
            </w:pPr>
            <w:r>
              <w:rPr>
                <w:rFonts w:ascii="Times New Roman" w:cs="Times New Roman" w:eastAsia="Times New Roman" w:hAnsi="Times New Roman"/>
                <w:sz w:val="15"/>
                <w:szCs w:val="15"/>
                <w:color w:val="231F20"/>
              </w:rPr>
              <w:t>8/2/2019</w:t>
            </w:r>
          </w:p>
        </w:tc>
        <w:tc>
          <w:tcPr>
            <w:tcW w:w="1200" w:type="dxa"/>
            <w:vAlign w:val="bottom"/>
            <w:shd w:val="clear" w:color="auto" w:fill="FDFDFC"/>
          </w:tcPr>
          <w:p>
            <w:pPr>
              <w:spacing w:after="0"/>
              <w:rPr>
                <w:sz w:val="13"/>
                <w:szCs w:val="13"/>
                <w:color w:val="auto"/>
              </w:rPr>
            </w:pPr>
          </w:p>
        </w:tc>
        <w:tc>
          <w:tcPr>
            <w:tcW w:w="900" w:type="dxa"/>
            <w:vAlign w:val="bottom"/>
            <w:shd w:val="clear" w:color="auto" w:fill="FDFDFC"/>
          </w:tcPr>
          <w:p>
            <w:pPr>
              <w:spacing w:after="0"/>
              <w:rPr>
                <w:sz w:val="13"/>
                <w:szCs w:val="13"/>
                <w:color w:val="auto"/>
              </w:rPr>
            </w:pPr>
          </w:p>
        </w:tc>
        <w:tc>
          <w:tcPr>
            <w:tcW w:w="1000" w:type="dxa"/>
            <w:vAlign w:val="bottom"/>
            <w:shd w:val="clear" w:color="auto" w:fill="FDFDFC"/>
          </w:tcPr>
          <w:p>
            <w:pPr>
              <w:jc w:val="right"/>
              <w:spacing w:after="0" w:line="159" w:lineRule="exact"/>
              <w:rPr>
                <w:sz w:val="20"/>
                <w:szCs w:val="20"/>
                <w:color w:val="auto"/>
              </w:rPr>
            </w:pPr>
            <w:r>
              <w:rPr>
                <w:rFonts w:ascii="Times New Roman" w:cs="Times New Roman" w:eastAsia="Times New Roman" w:hAnsi="Times New Roman"/>
                <w:sz w:val="15"/>
                <w:szCs w:val="15"/>
                <w:color w:val="231F20"/>
              </w:rPr>
              <w:t>800</w:t>
            </w:r>
          </w:p>
        </w:tc>
        <w:tc>
          <w:tcPr>
            <w:tcW w:w="1140" w:type="dxa"/>
            <w:vAlign w:val="bottom"/>
            <w:gridSpan w:val="2"/>
            <w:shd w:val="clear" w:color="auto" w:fill="FDFDFC"/>
          </w:tcPr>
          <w:p>
            <w:pPr>
              <w:jc w:val="right"/>
              <w:spacing w:after="0" w:line="159" w:lineRule="exact"/>
              <w:rPr>
                <w:sz w:val="20"/>
                <w:szCs w:val="20"/>
                <w:color w:val="auto"/>
              </w:rPr>
            </w:pPr>
            <w:r>
              <w:rPr>
                <w:rFonts w:ascii="Times New Roman" w:cs="Times New Roman" w:eastAsia="Times New Roman" w:hAnsi="Times New Roman"/>
                <w:sz w:val="15"/>
                <w:szCs w:val="15"/>
                <w:color w:val="231F20"/>
              </w:rPr>
              <w:t>800</w:t>
            </w:r>
          </w:p>
        </w:tc>
        <w:tc>
          <w:tcPr>
            <w:tcW w:w="1340" w:type="dxa"/>
            <w:vAlign w:val="bottom"/>
            <w:gridSpan w:val="3"/>
            <w:shd w:val="clear" w:color="auto" w:fill="FDFDFC"/>
          </w:tcPr>
          <w:p>
            <w:pPr>
              <w:jc w:val="right"/>
              <w:ind w:right="120"/>
              <w:spacing w:after="0" w:line="159" w:lineRule="exact"/>
              <w:rPr>
                <w:sz w:val="20"/>
                <w:szCs w:val="20"/>
                <w:color w:val="auto"/>
              </w:rPr>
            </w:pPr>
            <w:r>
              <w:rPr>
                <w:rFonts w:ascii="Times New Roman" w:cs="Times New Roman" w:eastAsia="Times New Roman" w:hAnsi="Times New Roman"/>
                <w:sz w:val="15"/>
                <w:szCs w:val="15"/>
                <w:color w:val="231F20"/>
              </w:rPr>
              <w:t>0.1%</w:t>
            </w:r>
          </w:p>
        </w:tc>
        <w:tc>
          <w:tcPr>
            <w:tcW w:w="0" w:type="dxa"/>
            <w:vAlign w:val="bottom"/>
          </w:tcPr>
          <w:p>
            <w:pPr>
              <w:spacing w:after="0"/>
              <w:rPr>
                <w:sz w:val="1"/>
                <w:szCs w:val="1"/>
                <w:color w:val="auto"/>
              </w:rPr>
            </w:pPr>
          </w:p>
        </w:tc>
      </w:tr>
      <w:tr>
        <w:trPr>
          <w:trHeight w:val="189"/>
        </w:trPr>
        <w:tc>
          <w:tcPr>
            <w:tcW w:w="1460" w:type="dxa"/>
            <w:vAlign w:val="bottom"/>
            <w:shd w:val="clear" w:color="auto" w:fill="FDFDFC"/>
          </w:tcPr>
          <w:p>
            <w:pPr>
              <w:spacing w:after="0"/>
              <w:rPr>
                <w:sz w:val="16"/>
                <w:szCs w:val="16"/>
                <w:color w:val="auto"/>
              </w:rPr>
            </w:pPr>
          </w:p>
        </w:tc>
        <w:tc>
          <w:tcPr>
            <w:tcW w:w="2420" w:type="dxa"/>
            <w:vAlign w:val="bottom"/>
            <w:shd w:val="clear" w:color="auto" w:fill="FDFDFC"/>
          </w:tcPr>
          <w:p>
            <w:pPr>
              <w:ind w:left="60"/>
              <w:spacing w:after="0"/>
              <w:rPr>
                <w:sz w:val="20"/>
                <w:szCs w:val="20"/>
                <w:color w:val="auto"/>
              </w:rPr>
            </w:pPr>
            <w:r>
              <w:rPr>
                <w:rFonts w:ascii="Times New Roman" w:cs="Times New Roman" w:eastAsia="Times New Roman" w:hAnsi="Times New Roman"/>
                <w:sz w:val="15"/>
                <w:szCs w:val="15"/>
                <w:color w:val="231F20"/>
              </w:rPr>
              <w:t>shares)</w:t>
            </w:r>
          </w:p>
        </w:tc>
        <w:tc>
          <w:tcPr>
            <w:tcW w:w="820" w:type="dxa"/>
            <w:vAlign w:val="bottom"/>
            <w:shd w:val="clear" w:color="auto" w:fill="FDFDFC"/>
          </w:tcPr>
          <w:p>
            <w:pPr>
              <w:spacing w:after="0"/>
              <w:rPr>
                <w:sz w:val="16"/>
                <w:szCs w:val="16"/>
                <w:color w:val="auto"/>
              </w:rPr>
            </w:pPr>
          </w:p>
        </w:tc>
        <w:tc>
          <w:tcPr>
            <w:tcW w:w="1200" w:type="dxa"/>
            <w:vAlign w:val="bottom"/>
            <w:shd w:val="clear" w:color="auto" w:fill="FDFDFC"/>
          </w:tcPr>
          <w:p>
            <w:pPr>
              <w:spacing w:after="0"/>
              <w:rPr>
                <w:sz w:val="16"/>
                <w:szCs w:val="16"/>
                <w:color w:val="auto"/>
              </w:rPr>
            </w:pPr>
          </w:p>
        </w:tc>
        <w:tc>
          <w:tcPr>
            <w:tcW w:w="900" w:type="dxa"/>
            <w:vAlign w:val="bottom"/>
            <w:shd w:val="clear" w:color="auto" w:fill="FDFDFC"/>
          </w:tcPr>
          <w:p>
            <w:pPr>
              <w:spacing w:after="0"/>
              <w:rPr>
                <w:sz w:val="16"/>
                <w:szCs w:val="16"/>
                <w:color w:val="auto"/>
              </w:rPr>
            </w:pPr>
          </w:p>
        </w:tc>
        <w:tc>
          <w:tcPr>
            <w:tcW w:w="1000" w:type="dxa"/>
            <w:vAlign w:val="bottom"/>
            <w:shd w:val="clear" w:color="auto" w:fill="FDFDFC"/>
          </w:tcPr>
          <w:p>
            <w:pPr>
              <w:spacing w:after="0"/>
              <w:rPr>
                <w:sz w:val="16"/>
                <w:szCs w:val="16"/>
                <w:color w:val="auto"/>
              </w:rPr>
            </w:pPr>
          </w:p>
        </w:tc>
        <w:tc>
          <w:tcPr>
            <w:tcW w:w="180" w:type="dxa"/>
            <w:vAlign w:val="bottom"/>
            <w:shd w:val="clear" w:color="auto" w:fill="FDFDFC"/>
          </w:tcPr>
          <w:p>
            <w:pPr>
              <w:spacing w:after="0"/>
              <w:rPr>
                <w:sz w:val="16"/>
                <w:szCs w:val="16"/>
                <w:color w:val="auto"/>
              </w:rPr>
            </w:pPr>
          </w:p>
        </w:tc>
        <w:tc>
          <w:tcPr>
            <w:tcW w:w="960" w:type="dxa"/>
            <w:vAlign w:val="bottom"/>
            <w:shd w:val="clear" w:color="auto" w:fill="FDFDFC"/>
          </w:tcPr>
          <w:p>
            <w:pPr>
              <w:spacing w:after="0"/>
              <w:rPr>
                <w:sz w:val="16"/>
                <w:szCs w:val="16"/>
                <w:color w:val="auto"/>
              </w:rPr>
            </w:pPr>
          </w:p>
        </w:tc>
        <w:tc>
          <w:tcPr>
            <w:tcW w:w="200" w:type="dxa"/>
            <w:vAlign w:val="bottom"/>
            <w:shd w:val="clear" w:color="auto" w:fill="FDFDFC"/>
          </w:tcPr>
          <w:p>
            <w:pPr>
              <w:spacing w:after="0"/>
              <w:rPr>
                <w:sz w:val="16"/>
                <w:szCs w:val="16"/>
                <w:color w:val="auto"/>
              </w:rPr>
            </w:pPr>
          </w:p>
        </w:tc>
        <w:tc>
          <w:tcPr>
            <w:tcW w:w="900" w:type="dxa"/>
            <w:vAlign w:val="bottom"/>
            <w:shd w:val="clear" w:color="auto" w:fill="FDFDFC"/>
          </w:tcPr>
          <w:p>
            <w:pPr>
              <w:spacing w:after="0"/>
              <w:rPr>
                <w:sz w:val="16"/>
                <w:szCs w:val="16"/>
                <w:color w:val="auto"/>
              </w:rPr>
            </w:pPr>
          </w:p>
        </w:tc>
        <w:tc>
          <w:tcPr>
            <w:tcW w:w="240" w:type="dxa"/>
            <w:vAlign w:val="bottom"/>
            <w:shd w:val="clear" w:color="auto" w:fill="FDFDFC"/>
          </w:tcPr>
          <w:p>
            <w:pPr>
              <w:spacing w:after="0"/>
              <w:rPr>
                <w:sz w:val="16"/>
                <w:szCs w:val="16"/>
                <w:color w:val="auto"/>
              </w:rPr>
            </w:pPr>
          </w:p>
        </w:tc>
        <w:tc>
          <w:tcPr>
            <w:tcW w:w="0" w:type="dxa"/>
            <w:vAlign w:val="bottom"/>
          </w:tcPr>
          <w:p>
            <w:pPr>
              <w:spacing w:after="0"/>
              <w:rPr>
                <w:sz w:val="1"/>
                <w:szCs w:val="1"/>
                <w:color w:val="auto"/>
              </w:rPr>
            </w:pPr>
          </w:p>
        </w:tc>
      </w:tr>
      <w:tr>
        <w:trPr>
          <w:trHeight w:val="158"/>
        </w:trPr>
        <w:tc>
          <w:tcPr>
            <w:tcW w:w="1460" w:type="dxa"/>
            <w:vAlign w:val="bottom"/>
            <w:shd w:val="clear" w:color="auto" w:fill="D0EBF2"/>
          </w:tcPr>
          <w:p>
            <w:pPr>
              <w:spacing w:after="0" w:line="159" w:lineRule="exact"/>
              <w:rPr>
                <w:sz w:val="20"/>
                <w:szCs w:val="20"/>
                <w:color w:val="auto"/>
              </w:rPr>
            </w:pPr>
            <w:r>
              <w:rPr>
                <w:rFonts w:ascii="Times New Roman" w:cs="Times New Roman" w:eastAsia="Times New Roman" w:hAnsi="Times New Roman"/>
                <w:sz w:val="15"/>
                <w:szCs w:val="15"/>
                <w:color w:val="231F20"/>
              </w:rPr>
              <w:t>Piano Software, Inc.</w:t>
            </w:r>
          </w:p>
        </w:tc>
        <w:tc>
          <w:tcPr>
            <w:tcW w:w="2420" w:type="dxa"/>
            <w:vAlign w:val="bottom"/>
            <w:shd w:val="clear" w:color="auto" w:fill="D0EBF2"/>
          </w:tcPr>
          <w:p>
            <w:pPr>
              <w:ind w:left="60"/>
              <w:spacing w:after="0" w:line="159" w:lineRule="exact"/>
              <w:rPr>
                <w:sz w:val="20"/>
                <w:szCs w:val="20"/>
                <w:color w:val="auto"/>
              </w:rPr>
            </w:pPr>
            <w:r>
              <w:rPr>
                <w:rFonts w:ascii="Times New Roman" w:cs="Times New Roman" w:eastAsia="Times New Roman" w:hAnsi="Times New Roman"/>
                <w:sz w:val="15"/>
                <w:szCs w:val="15"/>
                <w:color w:val="231F20"/>
              </w:rPr>
              <w:t>Series C-1 Preferred Shares (418,527</w:t>
            </w:r>
          </w:p>
        </w:tc>
        <w:tc>
          <w:tcPr>
            <w:tcW w:w="820" w:type="dxa"/>
            <w:vAlign w:val="bottom"/>
            <w:shd w:val="clear" w:color="auto" w:fill="D0EBF2"/>
          </w:tcPr>
          <w:p>
            <w:pPr>
              <w:jc w:val="right"/>
              <w:spacing w:after="0" w:line="159" w:lineRule="exact"/>
              <w:rPr>
                <w:sz w:val="20"/>
                <w:szCs w:val="20"/>
                <w:color w:val="auto"/>
              </w:rPr>
            </w:pPr>
            <w:r>
              <w:rPr>
                <w:rFonts w:ascii="Times New Roman" w:cs="Times New Roman" w:eastAsia="Times New Roman" w:hAnsi="Times New Roman"/>
                <w:sz w:val="15"/>
                <w:szCs w:val="15"/>
                <w:color w:val="231F20"/>
              </w:rPr>
              <w:t>12/22/2021</w:t>
            </w:r>
          </w:p>
        </w:tc>
        <w:tc>
          <w:tcPr>
            <w:tcW w:w="1200" w:type="dxa"/>
            <w:vAlign w:val="bottom"/>
            <w:shd w:val="clear" w:color="auto" w:fill="D0EBF2"/>
          </w:tcPr>
          <w:p>
            <w:pPr>
              <w:spacing w:after="0"/>
              <w:rPr>
                <w:sz w:val="13"/>
                <w:szCs w:val="13"/>
                <w:color w:val="auto"/>
              </w:rPr>
            </w:pPr>
          </w:p>
        </w:tc>
        <w:tc>
          <w:tcPr>
            <w:tcW w:w="900" w:type="dxa"/>
            <w:vAlign w:val="bottom"/>
            <w:shd w:val="clear" w:color="auto" w:fill="D0EBF2"/>
          </w:tcPr>
          <w:p>
            <w:pPr>
              <w:spacing w:after="0"/>
              <w:rPr>
                <w:sz w:val="13"/>
                <w:szCs w:val="13"/>
                <w:color w:val="auto"/>
              </w:rPr>
            </w:pPr>
          </w:p>
        </w:tc>
        <w:tc>
          <w:tcPr>
            <w:tcW w:w="1000" w:type="dxa"/>
            <w:vAlign w:val="bottom"/>
            <w:shd w:val="clear" w:color="auto" w:fill="D0EBF2"/>
          </w:tcPr>
          <w:p>
            <w:pPr>
              <w:jc w:val="right"/>
              <w:spacing w:after="0" w:line="159" w:lineRule="exact"/>
              <w:rPr>
                <w:sz w:val="20"/>
                <w:szCs w:val="20"/>
                <w:color w:val="auto"/>
              </w:rPr>
            </w:pPr>
            <w:r>
              <w:rPr>
                <w:rFonts w:ascii="Times New Roman" w:cs="Times New Roman" w:eastAsia="Times New Roman" w:hAnsi="Times New Roman"/>
                <w:sz w:val="15"/>
                <w:szCs w:val="15"/>
                <w:color w:val="231F20"/>
              </w:rPr>
              <w:t>3,000</w:t>
            </w:r>
          </w:p>
        </w:tc>
        <w:tc>
          <w:tcPr>
            <w:tcW w:w="1140" w:type="dxa"/>
            <w:vAlign w:val="bottom"/>
            <w:gridSpan w:val="2"/>
            <w:shd w:val="clear" w:color="auto" w:fill="D0EBF2"/>
          </w:tcPr>
          <w:p>
            <w:pPr>
              <w:jc w:val="right"/>
              <w:spacing w:after="0" w:line="159" w:lineRule="exact"/>
              <w:rPr>
                <w:sz w:val="20"/>
                <w:szCs w:val="20"/>
                <w:color w:val="auto"/>
              </w:rPr>
            </w:pPr>
            <w:r>
              <w:rPr>
                <w:rFonts w:ascii="Times New Roman" w:cs="Times New Roman" w:eastAsia="Times New Roman" w:hAnsi="Times New Roman"/>
                <w:sz w:val="15"/>
                <w:szCs w:val="15"/>
                <w:color w:val="231F20"/>
              </w:rPr>
              <w:t>3,000</w:t>
            </w:r>
          </w:p>
        </w:tc>
        <w:tc>
          <w:tcPr>
            <w:tcW w:w="1340" w:type="dxa"/>
            <w:vAlign w:val="bottom"/>
            <w:gridSpan w:val="3"/>
            <w:shd w:val="clear" w:color="auto" w:fill="D0EBF2"/>
          </w:tcPr>
          <w:p>
            <w:pPr>
              <w:jc w:val="right"/>
              <w:ind w:right="120"/>
              <w:spacing w:after="0" w:line="159" w:lineRule="exact"/>
              <w:rPr>
                <w:sz w:val="20"/>
                <w:szCs w:val="20"/>
                <w:color w:val="auto"/>
              </w:rPr>
            </w:pPr>
            <w:r>
              <w:rPr>
                <w:rFonts w:ascii="Times New Roman" w:cs="Times New Roman" w:eastAsia="Times New Roman" w:hAnsi="Times New Roman"/>
                <w:sz w:val="15"/>
                <w:szCs w:val="15"/>
                <w:color w:val="231F20"/>
              </w:rPr>
              <w:t>0.2%</w:t>
            </w:r>
          </w:p>
        </w:tc>
        <w:tc>
          <w:tcPr>
            <w:tcW w:w="0" w:type="dxa"/>
            <w:vAlign w:val="bottom"/>
          </w:tcPr>
          <w:p>
            <w:pPr>
              <w:spacing w:after="0"/>
              <w:rPr>
                <w:sz w:val="1"/>
                <w:szCs w:val="1"/>
                <w:color w:val="auto"/>
              </w:rPr>
            </w:pPr>
          </w:p>
        </w:tc>
      </w:tr>
      <w:tr>
        <w:trPr>
          <w:trHeight w:val="189"/>
        </w:trPr>
        <w:tc>
          <w:tcPr>
            <w:tcW w:w="1460" w:type="dxa"/>
            <w:vAlign w:val="bottom"/>
            <w:shd w:val="clear" w:color="auto" w:fill="D0EBF2"/>
          </w:tcPr>
          <w:p>
            <w:pPr>
              <w:spacing w:after="0"/>
              <w:rPr>
                <w:sz w:val="20"/>
                <w:szCs w:val="20"/>
                <w:color w:val="auto"/>
              </w:rPr>
            </w:pPr>
            <w:r>
              <w:rPr>
                <w:rFonts w:ascii="Times New Roman" w:cs="Times New Roman" w:eastAsia="Times New Roman" w:hAnsi="Times New Roman"/>
                <w:sz w:val="9"/>
                <w:szCs w:val="9"/>
                <w:color w:val="231F20"/>
              </w:rPr>
              <w:t>(11)</w:t>
            </w:r>
          </w:p>
        </w:tc>
        <w:tc>
          <w:tcPr>
            <w:tcW w:w="2420" w:type="dxa"/>
            <w:vAlign w:val="bottom"/>
            <w:shd w:val="clear" w:color="auto" w:fill="D0EBF2"/>
          </w:tcPr>
          <w:p>
            <w:pPr>
              <w:ind w:left="60"/>
              <w:spacing w:after="0"/>
              <w:rPr>
                <w:sz w:val="20"/>
                <w:szCs w:val="20"/>
                <w:color w:val="auto"/>
              </w:rPr>
            </w:pPr>
            <w:r>
              <w:rPr>
                <w:rFonts w:ascii="Times New Roman" w:cs="Times New Roman" w:eastAsia="Times New Roman" w:hAnsi="Times New Roman"/>
                <w:sz w:val="15"/>
                <w:szCs w:val="15"/>
                <w:color w:val="231F20"/>
              </w:rPr>
              <w:t>shares)</w:t>
            </w:r>
          </w:p>
        </w:tc>
        <w:tc>
          <w:tcPr>
            <w:tcW w:w="820" w:type="dxa"/>
            <w:vAlign w:val="bottom"/>
            <w:shd w:val="clear" w:color="auto" w:fill="D0EBF2"/>
          </w:tcPr>
          <w:p>
            <w:pPr>
              <w:spacing w:after="0"/>
              <w:rPr>
                <w:sz w:val="16"/>
                <w:szCs w:val="16"/>
                <w:color w:val="auto"/>
              </w:rPr>
            </w:pPr>
          </w:p>
        </w:tc>
        <w:tc>
          <w:tcPr>
            <w:tcW w:w="1200" w:type="dxa"/>
            <w:vAlign w:val="bottom"/>
            <w:shd w:val="clear" w:color="auto" w:fill="D0EBF2"/>
          </w:tcPr>
          <w:p>
            <w:pPr>
              <w:spacing w:after="0"/>
              <w:rPr>
                <w:sz w:val="16"/>
                <w:szCs w:val="16"/>
                <w:color w:val="auto"/>
              </w:rPr>
            </w:pPr>
          </w:p>
        </w:tc>
        <w:tc>
          <w:tcPr>
            <w:tcW w:w="900" w:type="dxa"/>
            <w:vAlign w:val="bottom"/>
            <w:shd w:val="clear" w:color="auto" w:fill="D0EBF2"/>
          </w:tcPr>
          <w:p>
            <w:pPr>
              <w:spacing w:after="0"/>
              <w:rPr>
                <w:sz w:val="16"/>
                <w:szCs w:val="16"/>
                <w:color w:val="auto"/>
              </w:rPr>
            </w:pPr>
          </w:p>
        </w:tc>
        <w:tc>
          <w:tcPr>
            <w:tcW w:w="1000" w:type="dxa"/>
            <w:vAlign w:val="bottom"/>
            <w:shd w:val="clear" w:color="auto" w:fill="D0EBF2"/>
          </w:tcPr>
          <w:p>
            <w:pPr>
              <w:spacing w:after="0"/>
              <w:rPr>
                <w:sz w:val="16"/>
                <w:szCs w:val="16"/>
                <w:color w:val="auto"/>
              </w:rPr>
            </w:pPr>
          </w:p>
        </w:tc>
        <w:tc>
          <w:tcPr>
            <w:tcW w:w="180" w:type="dxa"/>
            <w:vAlign w:val="bottom"/>
            <w:shd w:val="clear" w:color="auto" w:fill="D0EBF2"/>
          </w:tcPr>
          <w:p>
            <w:pPr>
              <w:spacing w:after="0"/>
              <w:rPr>
                <w:sz w:val="16"/>
                <w:szCs w:val="16"/>
                <w:color w:val="auto"/>
              </w:rPr>
            </w:pPr>
          </w:p>
        </w:tc>
        <w:tc>
          <w:tcPr>
            <w:tcW w:w="960" w:type="dxa"/>
            <w:vAlign w:val="bottom"/>
            <w:shd w:val="clear" w:color="auto" w:fill="D0EBF2"/>
          </w:tcPr>
          <w:p>
            <w:pPr>
              <w:spacing w:after="0"/>
              <w:rPr>
                <w:sz w:val="16"/>
                <w:szCs w:val="16"/>
                <w:color w:val="auto"/>
              </w:rPr>
            </w:pPr>
          </w:p>
        </w:tc>
        <w:tc>
          <w:tcPr>
            <w:tcW w:w="200" w:type="dxa"/>
            <w:vAlign w:val="bottom"/>
            <w:shd w:val="clear" w:color="auto" w:fill="D0EBF2"/>
          </w:tcPr>
          <w:p>
            <w:pPr>
              <w:spacing w:after="0"/>
              <w:rPr>
                <w:sz w:val="16"/>
                <w:szCs w:val="16"/>
                <w:color w:val="auto"/>
              </w:rPr>
            </w:pPr>
          </w:p>
        </w:tc>
        <w:tc>
          <w:tcPr>
            <w:tcW w:w="900" w:type="dxa"/>
            <w:vAlign w:val="bottom"/>
            <w:shd w:val="clear" w:color="auto" w:fill="D0EBF2"/>
          </w:tcPr>
          <w:p>
            <w:pPr>
              <w:spacing w:after="0"/>
              <w:rPr>
                <w:sz w:val="16"/>
                <w:szCs w:val="16"/>
                <w:color w:val="auto"/>
              </w:rPr>
            </w:pPr>
          </w:p>
        </w:tc>
        <w:tc>
          <w:tcPr>
            <w:tcW w:w="240" w:type="dxa"/>
            <w:vAlign w:val="bottom"/>
            <w:shd w:val="clear" w:color="auto" w:fill="D0EBF2"/>
          </w:tcPr>
          <w:p>
            <w:pPr>
              <w:spacing w:after="0"/>
              <w:rPr>
                <w:sz w:val="16"/>
                <w:szCs w:val="16"/>
                <w:color w:val="auto"/>
              </w:rPr>
            </w:pPr>
          </w:p>
        </w:tc>
        <w:tc>
          <w:tcPr>
            <w:tcW w:w="0" w:type="dxa"/>
            <w:vAlign w:val="bottom"/>
          </w:tcPr>
          <w:p>
            <w:pPr>
              <w:spacing w:after="0"/>
              <w:rPr>
                <w:sz w:val="1"/>
                <w:szCs w:val="1"/>
                <w:color w:val="auto"/>
              </w:rPr>
            </w:pPr>
          </w:p>
        </w:tc>
      </w:tr>
      <w:tr>
        <w:trPr>
          <w:trHeight w:val="158"/>
        </w:trPr>
        <w:tc>
          <w:tcPr>
            <w:tcW w:w="1460" w:type="dxa"/>
            <w:vAlign w:val="bottom"/>
            <w:shd w:val="clear" w:color="auto" w:fill="FDFDFC"/>
          </w:tcPr>
          <w:p>
            <w:pPr>
              <w:spacing w:after="0"/>
              <w:rPr>
                <w:sz w:val="13"/>
                <w:szCs w:val="13"/>
                <w:color w:val="auto"/>
              </w:rPr>
            </w:pPr>
          </w:p>
        </w:tc>
        <w:tc>
          <w:tcPr>
            <w:tcW w:w="2420" w:type="dxa"/>
            <w:vAlign w:val="bottom"/>
            <w:shd w:val="clear" w:color="auto" w:fill="FDFDFC"/>
          </w:tcPr>
          <w:p>
            <w:pPr>
              <w:ind w:left="60"/>
              <w:spacing w:after="0" w:line="159" w:lineRule="exact"/>
              <w:rPr>
                <w:sz w:val="20"/>
                <w:szCs w:val="20"/>
                <w:color w:val="auto"/>
              </w:rPr>
            </w:pPr>
            <w:r>
              <w:rPr>
                <w:rFonts w:ascii="Times New Roman" w:cs="Times New Roman" w:eastAsia="Times New Roman" w:hAnsi="Times New Roman"/>
                <w:sz w:val="15"/>
                <w:szCs w:val="15"/>
                <w:color w:val="231F20"/>
              </w:rPr>
              <w:t>Series C-2 Preferred Shares (27,588</w:t>
            </w:r>
          </w:p>
        </w:tc>
        <w:tc>
          <w:tcPr>
            <w:tcW w:w="820" w:type="dxa"/>
            <w:vAlign w:val="bottom"/>
            <w:shd w:val="clear" w:color="auto" w:fill="FDFDFC"/>
          </w:tcPr>
          <w:p>
            <w:pPr>
              <w:jc w:val="right"/>
              <w:spacing w:after="0" w:line="159" w:lineRule="exact"/>
              <w:rPr>
                <w:sz w:val="20"/>
                <w:szCs w:val="20"/>
                <w:color w:val="auto"/>
              </w:rPr>
            </w:pPr>
            <w:r>
              <w:rPr>
                <w:rFonts w:ascii="Times New Roman" w:cs="Times New Roman" w:eastAsia="Times New Roman" w:hAnsi="Times New Roman"/>
                <w:sz w:val="15"/>
                <w:szCs w:val="15"/>
                <w:color w:val="231F20"/>
              </w:rPr>
              <w:t>11/18/2022</w:t>
            </w:r>
          </w:p>
        </w:tc>
        <w:tc>
          <w:tcPr>
            <w:tcW w:w="1200" w:type="dxa"/>
            <w:vAlign w:val="bottom"/>
            <w:shd w:val="clear" w:color="auto" w:fill="FDFDFC"/>
          </w:tcPr>
          <w:p>
            <w:pPr>
              <w:spacing w:after="0"/>
              <w:rPr>
                <w:sz w:val="13"/>
                <w:szCs w:val="13"/>
                <w:color w:val="auto"/>
              </w:rPr>
            </w:pPr>
          </w:p>
        </w:tc>
        <w:tc>
          <w:tcPr>
            <w:tcW w:w="900" w:type="dxa"/>
            <w:vAlign w:val="bottom"/>
            <w:shd w:val="clear" w:color="auto" w:fill="FDFDFC"/>
          </w:tcPr>
          <w:p>
            <w:pPr>
              <w:spacing w:after="0"/>
              <w:rPr>
                <w:sz w:val="13"/>
                <w:szCs w:val="13"/>
                <w:color w:val="auto"/>
              </w:rPr>
            </w:pPr>
          </w:p>
        </w:tc>
        <w:tc>
          <w:tcPr>
            <w:tcW w:w="1000" w:type="dxa"/>
            <w:vAlign w:val="bottom"/>
            <w:shd w:val="clear" w:color="auto" w:fill="FDFDFC"/>
          </w:tcPr>
          <w:p>
            <w:pPr>
              <w:jc w:val="right"/>
              <w:spacing w:after="0" w:line="159" w:lineRule="exact"/>
              <w:rPr>
                <w:sz w:val="20"/>
                <w:szCs w:val="20"/>
                <w:color w:val="auto"/>
              </w:rPr>
            </w:pPr>
            <w:r>
              <w:rPr>
                <w:rFonts w:ascii="Times New Roman" w:cs="Times New Roman" w:eastAsia="Times New Roman" w:hAnsi="Times New Roman"/>
                <w:sz w:val="15"/>
                <w:szCs w:val="15"/>
                <w:color w:val="231F20"/>
              </w:rPr>
              <w:t>198</w:t>
            </w:r>
          </w:p>
        </w:tc>
        <w:tc>
          <w:tcPr>
            <w:tcW w:w="1140" w:type="dxa"/>
            <w:vAlign w:val="bottom"/>
            <w:gridSpan w:val="2"/>
            <w:shd w:val="clear" w:color="auto" w:fill="FDFDFC"/>
          </w:tcPr>
          <w:p>
            <w:pPr>
              <w:jc w:val="right"/>
              <w:spacing w:after="0" w:line="159" w:lineRule="exact"/>
              <w:rPr>
                <w:sz w:val="20"/>
                <w:szCs w:val="20"/>
                <w:color w:val="auto"/>
              </w:rPr>
            </w:pPr>
            <w:r>
              <w:rPr>
                <w:rFonts w:ascii="Times New Roman" w:cs="Times New Roman" w:eastAsia="Times New Roman" w:hAnsi="Times New Roman"/>
                <w:sz w:val="15"/>
                <w:szCs w:val="15"/>
                <w:color w:val="231F20"/>
              </w:rPr>
              <w:t>198</w:t>
            </w:r>
          </w:p>
        </w:tc>
        <w:tc>
          <w:tcPr>
            <w:tcW w:w="1340" w:type="dxa"/>
            <w:vAlign w:val="bottom"/>
            <w:gridSpan w:val="3"/>
            <w:shd w:val="clear" w:color="auto" w:fill="FDFDFC"/>
          </w:tcPr>
          <w:p>
            <w:pPr>
              <w:jc w:val="right"/>
              <w:ind w:right="120"/>
              <w:spacing w:after="0" w:line="159" w:lineRule="exact"/>
              <w:rPr>
                <w:sz w:val="20"/>
                <w:szCs w:val="20"/>
                <w:color w:val="auto"/>
              </w:rPr>
            </w:pPr>
            <w:r>
              <w:rPr>
                <w:rFonts w:ascii="Times New Roman" w:cs="Times New Roman" w:eastAsia="Times New Roman" w:hAnsi="Times New Roman"/>
                <w:sz w:val="15"/>
                <w:szCs w:val="15"/>
                <w:color w:val="231F20"/>
              </w:rPr>
              <w:t>0.0%</w:t>
            </w:r>
          </w:p>
        </w:tc>
        <w:tc>
          <w:tcPr>
            <w:tcW w:w="0" w:type="dxa"/>
            <w:vAlign w:val="bottom"/>
          </w:tcPr>
          <w:p>
            <w:pPr>
              <w:spacing w:after="0"/>
              <w:rPr>
                <w:sz w:val="1"/>
                <w:szCs w:val="1"/>
                <w:color w:val="auto"/>
              </w:rPr>
            </w:pPr>
          </w:p>
        </w:tc>
      </w:tr>
      <w:tr>
        <w:trPr>
          <w:trHeight w:val="189"/>
        </w:trPr>
        <w:tc>
          <w:tcPr>
            <w:tcW w:w="1460" w:type="dxa"/>
            <w:vAlign w:val="bottom"/>
            <w:shd w:val="clear" w:color="auto" w:fill="FDFDFC"/>
          </w:tcPr>
          <w:p>
            <w:pPr>
              <w:spacing w:after="0"/>
              <w:rPr>
                <w:sz w:val="16"/>
                <w:szCs w:val="16"/>
                <w:color w:val="auto"/>
              </w:rPr>
            </w:pPr>
          </w:p>
        </w:tc>
        <w:tc>
          <w:tcPr>
            <w:tcW w:w="2420" w:type="dxa"/>
            <w:vAlign w:val="bottom"/>
            <w:shd w:val="clear" w:color="auto" w:fill="FDFDFC"/>
          </w:tcPr>
          <w:p>
            <w:pPr>
              <w:ind w:left="60"/>
              <w:spacing w:after="0"/>
              <w:rPr>
                <w:sz w:val="20"/>
                <w:szCs w:val="20"/>
                <w:color w:val="auto"/>
              </w:rPr>
            </w:pPr>
            <w:r>
              <w:rPr>
                <w:rFonts w:ascii="Times New Roman" w:cs="Times New Roman" w:eastAsia="Times New Roman" w:hAnsi="Times New Roman"/>
                <w:sz w:val="15"/>
                <w:szCs w:val="15"/>
                <w:color w:val="231F20"/>
              </w:rPr>
              <w:t>shares)</w:t>
            </w:r>
            <w:r>
              <w:rPr>
                <w:rFonts w:ascii="Times New Roman" w:cs="Times New Roman" w:eastAsia="Times New Roman" w:hAnsi="Times New Roman"/>
                <w:sz w:val="9"/>
                <w:szCs w:val="9"/>
                <w:color w:val="231F20"/>
              </w:rPr>
              <w:t>(12)</w:t>
            </w:r>
          </w:p>
        </w:tc>
        <w:tc>
          <w:tcPr>
            <w:tcW w:w="820" w:type="dxa"/>
            <w:vAlign w:val="bottom"/>
            <w:shd w:val="clear" w:color="auto" w:fill="FDFDFC"/>
          </w:tcPr>
          <w:p>
            <w:pPr>
              <w:spacing w:after="0"/>
              <w:rPr>
                <w:sz w:val="16"/>
                <w:szCs w:val="16"/>
                <w:color w:val="auto"/>
              </w:rPr>
            </w:pPr>
          </w:p>
        </w:tc>
        <w:tc>
          <w:tcPr>
            <w:tcW w:w="1200" w:type="dxa"/>
            <w:vAlign w:val="bottom"/>
            <w:shd w:val="clear" w:color="auto" w:fill="FDFDFC"/>
          </w:tcPr>
          <w:p>
            <w:pPr>
              <w:spacing w:after="0"/>
              <w:rPr>
                <w:sz w:val="16"/>
                <w:szCs w:val="16"/>
                <w:color w:val="auto"/>
              </w:rPr>
            </w:pPr>
          </w:p>
        </w:tc>
        <w:tc>
          <w:tcPr>
            <w:tcW w:w="900" w:type="dxa"/>
            <w:vAlign w:val="bottom"/>
            <w:shd w:val="clear" w:color="auto" w:fill="FDFDFC"/>
          </w:tcPr>
          <w:p>
            <w:pPr>
              <w:spacing w:after="0"/>
              <w:rPr>
                <w:sz w:val="16"/>
                <w:szCs w:val="16"/>
                <w:color w:val="auto"/>
              </w:rPr>
            </w:pPr>
          </w:p>
        </w:tc>
        <w:tc>
          <w:tcPr>
            <w:tcW w:w="1000" w:type="dxa"/>
            <w:vAlign w:val="bottom"/>
            <w:shd w:val="clear" w:color="auto" w:fill="FDFDFC"/>
          </w:tcPr>
          <w:p>
            <w:pPr>
              <w:spacing w:after="0"/>
              <w:rPr>
                <w:sz w:val="16"/>
                <w:szCs w:val="16"/>
                <w:color w:val="auto"/>
              </w:rPr>
            </w:pPr>
          </w:p>
        </w:tc>
        <w:tc>
          <w:tcPr>
            <w:tcW w:w="180" w:type="dxa"/>
            <w:vAlign w:val="bottom"/>
            <w:shd w:val="clear" w:color="auto" w:fill="FDFDFC"/>
          </w:tcPr>
          <w:p>
            <w:pPr>
              <w:spacing w:after="0"/>
              <w:rPr>
                <w:sz w:val="16"/>
                <w:szCs w:val="16"/>
                <w:color w:val="auto"/>
              </w:rPr>
            </w:pPr>
          </w:p>
        </w:tc>
        <w:tc>
          <w:tcPr>
            <w:tcW w:w="960" w:type="dxa"/>
            <w:vAlign w:val="bottom"/>
            <w:shd w:val="clear" w:color="auto" w:fill="FDFDFC"/>
          </w:tcPr>
          <w:p>
            <w:pPr>
              <w:spacing w:after="0"/>
              <w:rPr>
                <w:sz w:val="16"/>
                <w:szCs w:val="16"/>
                <w:color w:val="auto"/>
              </w:rPr>
            </w:pPr>
          </w:p>
        </w:tc>
        <w:tc>
          <w:tcPr>
            <w:tcW w:w="200" w:type="dxa"/>
            <w:vAlign w:val="bottom"/>
            <w:shd w:val="clear" w:color="auto" w:fill="FDFDFC"/>
          </w:tcPr>
          <w:p>
            <w:pPr>
              <w:spacing w:after="0"/>
              <w:rPr>
                <w:sz w:val="16"/>
                <w:szCs w:val="16"/>
                <w:color w:val="auto"/>
              </w:rPr>
            </w:pPr>
          </w:p>
        </w:tc>
        <w:tc>
          <w:tcPr>
            <w:tcW w:w="900" w:type="dxa"/>
            <w:vAlign w:val="bottom"/>
            <w:shd w:val="clear" w:color="auto" w:fill="FDFDFC"/>
          </w:tcPr>
          <w:p>
            <w:pPr>
              <w:spacing w:after="0"/>
              <w:rPr>
                <w:sz w:val="16"/>
                <w:szCs w:val="16"/>
                <w:color w:val="auto"/>
              </w:rPr>
            </w:pPr>
          </w:p>
        </w:tc>
        <w:tc>
          <w:tcPr>
            <w:tcW w:w="240" w:type="dxa"/>
            <w:vAlign w:val="bottom"/>
            <w:shd w:val="clear" w:color="auto" w:fill="FDFDFC"/>
          </w:tcPr>
          <w:p>
            <w:pPr>
              <w:spacing w:after="0"/>
              <w:rPr>
                <w:sz w:val="16"/>
                <w:szCs w:val="16"/>
                <w:color w:val="auto"/>
              </w:rPr>
            </w:pPr>
          </w:p>
        </w:tc>
        <w:tc>
          <w:tcPr>
            <w:tcW w:w="0" w:type="dxa"/>
            <w:vAlign w:val="bottom"/>
          </w:tcPr>
          <w:p>
            <w:pPr>
              <w:spacing w:after="0"/>
              <w:rPr>
                <w:sz w:val="1"/>
                <w:szCs w:val="1"/>
                <w:color w:val="auto"/>
              </w:rPr>
            </w:pPr>
          </w:p>
        </w:tc>
      </w:tr>
      <w:tr>
        <w:trPr>
          <w:trHeight w:val="158"/>
        </w:trPr>
        <w:tc>
          <w:tcPr>
            <w:tcW w:w="1460" w:type="dxa"/>
            <w:vAlign w:val="bottom"/>
            <w:shd w:val="clear" w:color="auto" w:fill="D0EBF2"/>
          </w:tcPr>
          <w:p>
            <w:pPr>
              <w:spacing w:after="0" w:line="159" w:lineRule="exact"/>
              <w:rPr>
                <w:sz w:val="20"/>
                <w:szCs w:val="20"/>
                <w:color w:val="auto"/>
              </w:rPr>
            </w:pPr>
            <w:r>
              <w:rPr>
                <w:rFonts w:ascii="Times New Roman" w:cs="Times New Roman" w:eastAsia="Times New Roman" w:hAnsi="Times New Roman"/>
                <w:sz w:val="15"/>
                <w:szCs w:val="15"/>
                <w:color w:val="231F20"/>
              </w:rPr>
              <w:t>SMA Technologies</w:t>
            </w:r>
          </w:p>
        </w:tc>
        <w:tc>
          <w:tcPr>
            <w:tcW w:w="2420" w:type="dxa"/>
            <w:vAlign w:val="bottom"/>
            <w:shd w:val="clear" w:color="auto" w:fill="D0EBF2"/>
          </w:tcPr>
          <w:p>
            <w:pPr>
              <w:ind w:left="60"/>
              <w:spacing w:after="0" w:line="159" w:lineRule="exact"/>
              <w:rPr>
                <w:sz w:val="20"/>
                <w:szCs w:val="20"/>
                <w:color w:val="auto"/>
              </w:rPr>
            </w:pPr>
            <w:r>
              <w:rPr>
                <w:rFonts w:ascii="Times New Roman" w:cs="Times New Roman" w:eastAsia="Times New Roman" w:hAnsi="Times New Roman"/>
                <w:sz w:val="15"/>
                <w:szCs w:val="15"/>
                <w:color w:val="231F20"/>
              </w:rPr>
              <w:t>Class A Units (1,300 shares)</w:t>
            </w:r>
          </w:p>
        </w:tc>
        <w:tc>
          <w:tcPr>
            <w:tcW w:w="820" w:type="dxa"/>
            <w:vAlign w:val="bottom"/>
            <w:shd w:val="clear" w:color="auto" w:fill="D0EBF2"/>
          </w:tcPr>
          <w:p>
            <w:pPr>
              <w:jc w:val="right"/>
              <w:spacing w:after="0" w:line="159" w:lineRule="exact"/>
              <w:rPr>
                <w:sz w:val="20"/>
                <w:szCs w:val="20"/>
                <w:color w:val="auto"/>
              </w:rPr>
            </w:pPr>
            <w:r>
              <w:rPr>
                <w:rFonts w:ascii="Times New Roman" w:cs="Times New Roman" w:eastAsia="Times New Roman" w:hAnsi="Times New Roman"/>
                <w:sz w:val="15"/>
                <w:szCs w:val="15"/>
                <w:color w:val="231F20"/>
              </w:rPr>
              <w:t>11/21/2022</w:t>
            </w:r>
          </w:p>
        </w:tc>
        <w:tc>
          <w:tcPr>
            <w:tcW w:w="1200" w:type="dxa"/>
            <w:vAlign w:val="bottom"/>
            <w:shd w:val="clear" w:color="auto" w:fill="D0EBF2"/>
          </w:tcPr>
          <w:p>
            <w:pPr>
              <w:spacing w:after="0"/>
              <w:rPr>
                <w:sz w:val="13"/>
                <w:szCs w:val="13"/>
                <w:color w:val="auto"/>
              </w:rPr>
            </w:pPr>
          </w:p>
        </w:tc>
        <w:tc>
          <w:tcPr>
            <w:tcW w:w="900" w:type="dxa"/>
            <w:vAlign w:val="bottom"/>
            <w:shd w:val="clear" w:color="auto" w:fill="D0EBF2"/>
          </w:tcPr>
          <w:p>
            <w:pPr>
              <w:spacing w:after="0"/>
              <w:rPr>
                <w:sz w:val="13"/>
                <w:szCs w:val="13"/>
                <w:color w:val="auto"/>
              </w:rPr>
            </w:pPr>
          </w:p>
        </w:tc>
        <w:tc>
          <w:tcPr>
            <w:tcW w:w="1000" w:type="dxa"/>
            <w:vAlign w:val="bottom"/>
            <w:shd w:val="clear" w:color="auto" w:fill="D0EBF2"/>
          </w:tcPr>
          <w:p>
            <w:pPr>
              <w:jc w:val="right"/>
              <w:spacing w:after="0" w:line="159" w:lineRule="exact"/>
              <w:rPr>
                <w:sz w:val="20"/>
                <w:szCs w:val="20"/>
                <w:color w:val="auto"/>
              </w:rPr>
            </w:pPr>
            <w:r>
              <w:rPr>
                <w:rFonts w:ascii="Times New Roman" w:cs="Times New Roman" w:eastAsia="Times New Roman" w:hAnsi="Times New Roman"/>
                <w:sz w:val="15"/>
                <w:szCs w:val="15"/>
                <w:color w:val="231F20"/>
              </w:rPr>
              <w:t>1,300</w:t>
            </w:r>
          </w:p>
        </w:tc>
        <w:tc>
          <w:tcPr>
            <w:tcW w:w="1140" w:type="dxa"/>
            <w:vAlign w:val="bottom"/>
            <w:gridSpan w:val="2"/>
            <w:shd w:val="clear" w:color="auto" w:fill="D0EBF2"/>
          </w:tcPr>
          <w:p>
            <w:pPr>
              <w:jc w:val="right"/>
              <w:spacing w:after="0" w:line="159" w:lineRule="exact"/>
              <w:rPr>
                <w:sz w:val="20"/>
                <w:szCs w:val="20"/>
                <w:color w:val="auto"/>
              </w:rPr>
            </w:pPr>
            <w:r>
              <w:rPr>
                <w:rFonts w:ascii="Times New Roman" w:cs="Times New Roman" w:eastAsia="Times New Roman" w:hAnsi="Times New Roman"/>
                <w:sz w:val="15"/>
                <w:szCs w:val="15"/>
                <w:color w:val="231F20"/>
              </w:rPr>
              <w:t>1,300</w:t>
            </w:r>
          </w:p>
        </w:tc>
        <w:tc>
          <w:tcPr>
            <w:tcW w:w="1340" w:type="dxa"/>
            <w:vAlign w:val="bottom"/>
            <w:gridSpan w:val="3"/>
            <w:shd w:val="clear" w:color="auto" w:fill="D0EBF2"/>
          </w:tcPr>
          <w:p>
            <w:pPr>
              <w:jc w:val="right"/>
              <w:ind w:right="120"/>
              <w:spacing w:after="0" w:line="159" w:lineRule="exact"/>
              <w:rPr>
                <w:sz w:val="20"/>
                <w:szCs w:val="20"/>
                <w:color w:val="auto"/>
              </w:rPr>
            </w:pPr>
            <w:r>
              <w:rPr>
                <w:rFonts w:ascii="Times New Roman" w:cs="Times New Roman" w:eastAsia="Times New Roman" w:hAnsi="Times New Roman"/>
                <w:sz w:val="15"/>
                <w:szCs w:val="15"/>
                <w:color w:val="231F20"/>
              </w:rPr>
              <w:t>0.1%</w:t>
            </w:r>
          </w:p>
        </w:tc>
        <w:tc>
          <w:tcPr>
            <w:tcW w:w="0" w:type="dxa"/>
            <w:vAlign w:val="bottom"/>
          </w:tcPr>
          <w:p>
            <w:pPr>
              <w:spacing w:after="0"/>
              <w:rPr>
                <w:sz w:val="1"/>
                <w:szCs w:val="1"/>
                <w:color w:val="auto"/>
              </w:rPr>
            </w:pPr>
          </w:p>
        </w:tc>
      </w:tr>
      <w:tr>
        <w:trPr>
          <w:trHeight w:val="189"/>
        </w:trPr>
        <w:tc>
          <w:tcPr>
            <w:tcW w:w="1460" w:type="dxa"/>
            <w:vAlign w:val="bottom"/>
            <w:shd w:val="clear" w:color="auto" w:fill="D0EBF2"/>
          </w:tcPr>
          <w:p>
            <w:pPr>
              <w:spacing w:after="0"/>
              <w:rPr>
                <w:sz w:val="20"/>
                <w:szCs w:val="20"/>
                <w:color w:val="auto"/>
              </w:rPr>
            </w:pPr>
            <w:r>
              <w:rPr>
                <w:rFonts w:ascii="Times New Roman" w:cs="Times New Roman" w:eastAsia="Times New Roman" w:hAnsi="Times New Roman"/>
                <w:sz w:val="15"/>
                <w:szCs w:val="15"/>
                <w:color w:val="231F20"/>
              </w:rPr>
              <w:t xml:space="preserve">Holdings, LLC </w:t>
            </w:r>
            <w:r>
              <w:rPr>
                <w:rFonts w:ascii="Times New Roman" w:cs="Times New Roman" w:eastAsia="Times New Roman" w:hAnsi="Times New Roman"/>
                <w:sz w:val="9"/>
                <w:szCs w:val="9"/>
                <w:color w:val="231F20"/>
              </w:rPr>
              <w:t>(11)(12)</w:t>
            </w:r>
          </w:p>
        </w:tc>
        <w:tc>
          <w:tcPr>
            <w:tcW w:w="2420" w:type="dxa"/>
            <w:vAlign w:val="bottom"/>
            <w:shd w:val="clear" w:color="auto" w:fill="D0EBF2"/>
          </w:tcPr>
          <w:p>
            <w:pPr>
              <w:spacing w:after="0"/>
              <w:rPr>
                <w:sz w:val="16"/>
                <w:szCs w:val="16"/>
                <w:color w:val="auto"/>
              </w:rPr>
            </w:pPr>
          </w:p>
        </w:tc>
        <w:tc>
          <w:tcPr>
            <w:tcW w:w="820" w:type="dxa"/>
            <w:vAlign w:val="bottom"/>
            <w:shd w:val="clear" w:color="auto" w:fill="D0EBF2"/>
          </w:tcPr>
          <w:p>
            <w:pPr>
              <w:spacing w:after="0"/>
              <w:rPr>
                <w:sz w:val="16"/>
                <w:szCs w:val="16"/>
                <w:color w:val="auto"/>
              </w:rPr>
            </w:pPr>
          </w:p>
        </w:tc>
        <w:tc>
          <w:tcPr>
            <w:tcW w:w="1200" w:type="dxa"/>
            <w:vAlign w:val="bottom"/>
            <w:shd w:val="clear" w:color="auto" w:fill="D0EBF2"/>
          </w:tcPr>
          <w:p>
            <w:pPr>
              <w:spacing w:after="0"/>
              <w:rPr>
                <w:sz w:val="16"/>
                <w:szCs w:val="16"/>
                <w:color w:val="auto"/>
              </w:rPr>
            </w:pPr>
          </w:p>
        </w:tc>
        <w:tc>
          <w:tcPr>
            <w:tcW w:w="900" w:type="dxa"/>
            <w:vAlign w:val="bottom"/>
            <w:shd w:val="clear" w:color="auto" w:fill="D0EBF2"/>
          </w:tcPr>
          <w:p>
            <w:pPr>
              <w:spacing w:after="0"/>
              <w:rPr>
                <w:sz w:val="16"/>
                <w:szCs w:val="16"/>
                <w:color w:val="auto"/>
              </w:rPr>
            </w:pPr>
          </w:p>
        </w:tc>
        <w:tc>
          <w:tcPr>
            <w:tcW w:w="1000" w:type="dxa"/>
            <w:vAlign w:val="bottom"/>
            <w:shd w:val="clear" w:color="auto" w:fill="D0EBF2"/>
          </w:tcPr>
          <w:p>
            <w:pPr>
              <w:spacing w:after="0"/>
              <w:rPr>
                <w:sz w:val="16"/>
                <w:szCs w:val="16"/>
                <w:color w:val="auto"/>
              </w:rPr>
            </w:pPr>
          </w:p>
        </w:tc>
        <w:tc>
          <w:tcPr>
            <w:tcW w:w="180" w:type="dxa"/>
            <w:vAlign w:val="bottom"/>
            <w:shd w:val="clear" w:color="auto" w:fill="D0EBF2"/>
          </w:tcPr>
          <w:p>
            <w:pPr>
              <w:spacing w:after="0"/>
              <w:rPr>
                <w:sz w:val="16"/>
                <w:szCs w:val="16"/>
                <w:color w:val="auto"/>
              </w:rPr>
            </w:pPr>
          </w:p>
        </w:tc>
        <w:tc>
          <w:tcPr>
            <w:tcW w:w="960" w:type="dxa"/>
            <w:vAlign w:val="bottom"/>
            <w:shd w:val="clear" w:color="auto" w:fill="D0EBF2"/>
          </w:tcPr>
          <w:p>
            <w:pPr>
              <w:spacing w:after="0"/>
              <w:rPr>
                <w:sz w:val="16"/>
                <w:szCs w:val="16"/>
                <w:color w:val="auto"/>
              </w:rPr>
            </w:pPr>
          </w:p>
        </w:tc>
        <w:tc>
          <w:tcPr>
            <w:tcW w:w="200" w:type="dxa"/>
            <w:vAlign w:val="bottom"/>
            <w:shd w:val="clear" w:color="auto" w:fill="D0EBF2"/>
          </w:tcPr>
          <w:p>
            <w:pPr>
              <w:spacing w:after="0"/>
              <w:rPr>
                <w:sz w:val="16"/>
                <w:szCs w:val="16"/>
                <w:color w:val="auto"/>
              </w:rPr>
            </w:pPr>
          </w:p>
        </w:tc>
        <w:tc>
          <w:tcPr>
            <w:tcW w:w="900" w:type="dxa"/>
            <w:vAlign w:val="bottom"/>
            <w:shd w:val="clear" w:color="auto" w:fill="D0EBF2"/>
          </w:tcPr>
          <w:p>
            <w:pPr>
              <w:spacing w:after="0"/>
              <w:rPr>
                <w:sz w:val="16"/>
                <w:szCs w:val="16"/>
                <w:color w:val="auto"/>
              </w:rPr>
            </w:pPr>
          </w:p>
        </w:tc>
        <w:tc>
          <w:tcPr>
            <w:tcW w:w="240" w:type="dxa"/>
            <w:vAlign w:val="bottom"/>
            <w:shd w:val="clear" w:color="auto" w:fill="D0EBF2"/>
          </w:tcPr>
          <w:p>
            <w:pPr>
              <w:spacing w:after="0"/>
              <w:rPr>
                <w:sz w:val="16"/>
                <w:szCs w:val="16"/>
                <w:color w:val="auto"/>
              </w:rPr>
            </w:pPr>
          </w:p>
        </w:tc>
        <w:tc>
          <w:tcPr>
            <w:tcW w:w="0" w:type="dxa"/>
            <w:vAlign w:val="bottom"/>
          </w:tcPr>
          <w:p>
            <w:pPr>
              <w:spacing w:after="0"/>
              <w:rPr>
                <w:sz w:val="1"/>
                <w:szCs w:val="1"/>
                <w:color w:val="auto"/>
              </w:rPr>
            </w:pPr>
          </w:p>
        </w:tc>
      </w:tr>
      <w:tr>
        <w:trPr>
          <w:trHeight w:val="174"/>
        </w:trPr>
        <w:tc>
          <w:tcPr>
            <w:tcW w:w="1460" w:type="dxa"/>
            <w:vAlign w:val="bottom"/>
            <w:shd w:val="clear" w:color="auto" w:fill="FDFDFC"/>
          </w:tcPr>
          <w:p>
            <w:pPr>
              <w:spacing w:after="0"/>
              <w:rPr>
                <w:sz w:val="15"/>
                <w:szCs w:val="15"/>
                <w:color w:val="auto"/>
              </w:rPr>
            </w:pPr>
          </w:p>
        </w:tc>
        <w:tc>
          <w:tcPr>
            <w:tcW w:w="2420" w:type="dxa"/>
            <w:vAlign w:val="bottom"/>
            <w:shd w:val="clear" w:color="auto" w:fill="FDFDFC"/>
          </w:tcPr>
          <w:p>
            <w:pPr>
              <w:ind w:left="60"/>
              <w:spacing w:after="0"/>
              <w:rPr>
                <w:sz w:val="20"/>
                <w:szCs w:val="20"/>
                <w:color w:val="auto"/>
              </w:rPr>
            </w:pPr>
            <w:r>
              <w:rPr>
                <w:rFonts w:ascii="Times New Roman" w:cs="Times New Roman" w:eastAsia="Times New Roman" w:hAnsi="Times New Roman"/>
                <w:sz w:val="15"/>
                <w:szCs w:val="15"/>
                <w:color w:val="231F20"/>
              </w:rPr>
              <w:t>Class B Units (923,250 shares)</w:t>
            </w:r>
          </w:p>
        </w:tc>
        <w:tc>
          <w:tcPr>
            <w:tcW w:w="820" w:type="dxa"/>
            <w:vAlign w:val="bottom"/>
            <w:shd w:val="clear" w:color="auto" w:fill="FDFDFC"/>
          </w:tcPr>
          <w:p>
            <w:pPr>
              <w:jc w:val="right"/>
              <w:spacing w:after="0"/>
              <w:rPr>
                <w:sz w:val="20"/>
                <w:szCs w:val="20"/>
                <w:color w:val="auto"/>
              </w:rPr>
            </w:pPr>
            <w:r>
              <w:rPr>
                <w:rFonts w:ascii="Times New Roman" w:cs="Times New Roman" w:eastAsia="Times New Roman" w:hAnsi="Times New Roman"/>
                <w:sz w:val="15"/>
                <w:szCs w:val="15"/>
                <w:color w:val="231F20"/>
              </w:rPr>
              <w:t>11/21/2022</w:t>
            </w:r>
          </w:p>
        </w:tc>
        <w:tc>
          <w:tcPr>
            <w:tcW w:w="1200" w:type="dxa"/>
            <w:vAlign w:val="bottom"/>
            <w:shd w:val="clear" w:color="auto" w:fill="FDFDFC"/>
          </w:tcPr>
          <w:p>
            <w:pPr>
              <w:spacing w:after="0"/>
              <w:rPr>
                <w:sz w:val="15"/>
                <w:szCs w:val="15"/>
                <w:color w:val="auto"/>
              </w:rPr>
            </w:pPr>
          </w:p>
        </w:tc>
        <w:tc>
          <w:tcPr>
            <w:tcW w:w="900" w:type="dxa"/>
            <w:vAlign w:val="bottom"/>
            <w:shd w:val="clear" w:color="auto" w:fill="FDFDFC"/>
          </w:tcPr>
          <w:p>
            <w:pPr>
              <w:spacing w:after="0"/>
              <w:rPr>
                <w:sz w:val="15"/>
                <w:szCs w:val="15"/>
                <w:color w:val="auto"/>
              </w:rPr>
            </w:pPr>
          </w:p>
        </w:tc>
        <w:tc>
          <w:tcPr>
            <w:tcW w:w="1000" w:type="dxa"/>
            <w:vAlign w:val="bottom"/>
            <w:shd w:val="clear" w:color="auto" w:fill="FDFDFC"/>
          </w:tcPr>
          <w:p>
            <w:pPr>
              <w:jc w:val="right"/>
              <w:spacing w:after="0"/>
              <w:rPr>
                <w:sz w:val="20"/>
                <w:szCs w:val="20"/>
                <w:color w:val="auto"/>
              </w:rPr>
            </w:pPr>
            <w:r>
              <w:rPr>
                <w:rFonts w:ascii="Times New Roman" w:cs="Times New Roman" w:eastAsia="Times New Roman" w:hAnsi="Times New Roman"/>
                <w:sz w:val="15"/>
                <w:szCs w:val="15"/>
                <w:color w:val="231F20"/>
              </w:rPr>
              <w:t>—</w:t>
            </w:r>
          </w:p>
        </w:tc>
        <w:tc>
          <w:tcPr>
            <w:tcW w:w="180" w:type="dxa"/>
            <w:vAlign w:val="bottom"/>
            <w:shd w:val="clear" w:color="auto" w:fill="FDFDFC"/>
          </w:tcPr>
          <w:p>
            <w:pPr>
              <w:spacing w:after="0"/>
              <w:rPr>
                <w:sz w:val="15"/>
                <w:szCs w:val="15"/>
                <w:color w:val="auto"/>
              </w:rPr>
            </w:pPr>
          </w:p>
        </w:tc>
        <w:tc>
          <w:tcPr>
            <w:tcW w:w="960" w:type="dxa"/>
            <w:vAlign w:val="bottom"/>
            <w:shd w:val="clear" w:color="auto" w:fill="FDFDFC"/>
          </w:tcPr>
          <w:p>
            <w:pPr>
              <w:jc w:val="right"/>
              <w:spacing w:after="0"/>
              <w:rPr>
                <w:sz w:val="20"/>
                <w:szCs w:val="20"/>
                <w:color w:val="auto"/>
              </w:rPr>
            </w:pPr>
            <w:r>
              <w:rPr>
                <w:rFonts w:ascii="Times New Roman" w:cs="Times New Roman" w:eastAsia="Times New Roman" w:hAnsi="Times New Roman"/>
                <w:sz w:val="15"/>
                <w:szCs w:val="15"/>
                <w:color w:val="231F20"/>
              </w:rPr>
              <w:t>—</w:t>
            </w:r>
          </w:p>
        </w:tc>
        <w:tc>
          <w:tcPr>
            <w:tcW w:w="200" w:type="dxa"/>
            <w:vAlign w:val="bottom"/>
            <w:shd w:val="clear" w:color="auto" w:fill="FDFDFC"/>
          </w:tcPr>
          <w:p>
            <w:pPr>
              <w:spacing w:after="0"/>
              <w:rPr>
                <w:sz w:val="15"/>
                <w:szCs w:val="15"/>
                <w:color w:val="auto"/>
              </w:rPr>
            </w:pPr>
          </w:p>
        </w:tc>
        <w:tc>
          <w:tcPr>
            <w:tcW w:w="1140" w:type="dxa"/>
            <w:vAlign w:val="bottom"/>
            <w:gridSpan w:val="2"/>
            <w:shd w:val="clear" w:color="auto" w:fill="FDFDFC"/>
          </w:tcPr>
          <w:p>
            <w:pPr>
              <w:jc w:val="right"/>
              <w:ind w:right="120"/>
              <w:spacing w:after="0"/>
              <w:rPr>
                <w:sz w:val="20"/>
                <w:szCs w:val="20"/>
                <w:color w:val="auto"/>
              </w:rPr>
            </w:pPr>
            <w:r>
              <w:rPr>
                <w:rFonts w:ascii="Times New Roman" w:cs="Times New Roman" w:eastAsia="Times New Roman" w:hAnsi="Times New Roman"/>
                <w:sz w:val="15"/>
                <w:szCs w:val="15"/>
                <w:color w:val="231F20"/>
              </w:rPr>
              <w:t>0.0%</w:t>
            </w:r>
          </w:p>
        </w:tc>
        <w:tc>
          <w:tcPr>
            <w:tcW w:w="0" w:type="dxa"/>
            <w:vAlign w:val="bottom"/>
          </w:tcPr>
          <w:p>
            <w:pPr>
              <w:spacing w:after="0"/>
              <w:rPr>
                <w:sz w:val="1"/>
                <w:szCs w:val="1"/>
                <w:color w:val="auto"/>
              </w:rPr>
            </w:pPr>
          </w:p>
        </w:tc>
      </w:tr>
      <w:tr>
        <w:trPr>
          <w:trHeight w:val="20"/>
        </w:trPr>
        <w:tc>
          <w:tcPr>
            <w:tcW w:w="1460" w:type="dxa"/>
            <w:vAlign w:val="bottom"/>
            <w:shd w:val="clear" w:color="auto" w:fill="D0EBF2"/>
          </w:tcPr>
          <w:p>
            <w:pPr>
              <w:spacing w:after="0" w:line="20" w:lineRule="exact"/>
              <w:rPr>
                <w:sz w:val="1"/>
                <w:szCs w:val="1"/>
                <w:color w:val="auto"/>
              </w:rPr>
            </w:pPr>
          </w:p>
        </w:tc>
        <w:tc>
          <w:tcPr>
            <w:tcW w:w="2420" w:type="dxa"/>
            <w:vAlign w:val="bottom"/>
            <w:shd w:val="clear" w:color="auto" w:fill="D0EBF2"/>
          </w:tcPr>
          <w:p>
            <w:pPr>
              <w:spacing w:after="0" w:line="20" w:lineRule="exact"/>
              <w:rPr>
                <w:sz w:val="1"/>
                <w:szCs w:val="1"/>
                <w:color w:val="auto"/>
              </w:rPr>
            </w:pPr>
          </w:p>
        </w:tc>
        <w:tc>
          <w:tcPr>
            <w:tcW w:w="820" w:type="dxa"/>
            <w:vAlign w:val="bottom"/>
            <w:shd w:val="clear" w:color="auto" w:fill="D0EBF2"/>
          </w:tcPr>
          <w:p>
            <w:pPr>
              <w:spacing w:after="0" w:line="20" w:lineRule="exact"/>
              <w:rPr>
                <w:sz w:val="1"/>
                <w:szCs w:val="1"/>
                <w:color w:val="auto"/>
              </w:rPr>
            </w:pPr>
          </w:p>
        </w:tc>
        <w:tc>
          <w:tcPr>
            <w:tcW w:w="1200" w:type="dxa"/>
            <w:vAlign w:val="bottom"/>
            <w:shd w:val="clear" w:color="auto" w:fill="D0EBF2"/>
          </w:tcPr>
          <w:p>
            <w:pPr>
              <w:spacing w:after="0" w:line="20" w:lineRule="exact"/>
              <w:rPr>
                <w:sz w:val="1"/>
                <w:szCs w:val="1"/>
                <w:color w:val="auto"/>
              </w:rPr>
            </w:pPr>
          </w:p>
        </w:tc>
        <w:tc>
          <w:tcPr>
            <w:tcW w:w="900" w:type="dxa"/>
            <w:vAlign w:val="bottom"/>
            <w:shd w:val="clear" w:color="auto" w:fill="D0EBF2"/>
          </w:tcPr>
          <w:p>
            <w:pPr>
              <w:spacing w:after="0" w:line="20" w:lineRule="exact"/>
              <w:rPr>
                <w:sz w:val="1"/>
                <w:szCs w:val="1"/>
                <w:color w:val="auto"/>
              </w:rPr>
            </w:pPr>
          </w:p>
        </w:tc>
        <w:tc>
          <w:tcPr>
            <w:tcW w:w="1000" w:type="dxa"/>
            <w:vAlign w:val="bottom"/>
            <w:shd w:val="clear" w:color="auto" w:fill="231F20"/>
          </w:tcPr>
          <w:p>
            <w:pPr>
              <w:spacing w:after="0" w:line="20" w:lineRule="exact"/>
              <w:rPr>
                <w:sz w:val="1"/>
                <w:szCs w:val="1"/>
                <w:color w:val="auto"/>
              </w:rPr>
            </w:pPr>
          </w:p>
        </w:tc>
        <w:tc>
          <w:tcPr>
            <w:tcW w:w="180" w:type="dxa"/>
            <w:vAlign w:val="bottom"/>
            <w:vMerge w:val="restart"/>
            <w:shd w:val="clear" w:color="auto" w:fill="D0EBF2"/>
          </w:tcPr>
          <w:p>
            <w:pPr>
              <w:spacing w:after="0" w:line="20" w:lineRule="exact"/>
              <w:rPr>
                <w:sz w:val="1"/>
                <w:szCs w:val="1"/>
                <w:color w:val="auto"/>
              </w:rPr>
            </w:pPr>
          </w:p>
        </w:tc>
        <w:tc>
          <w:tcPr>
            <w:tcW w:w="960" w:type="dxa"/>
            <w:vAlign w:val="bottom"/>
            <w:shd w:val="clear" w:color="auto" w:fill="231F20"/>
          </w:tcPr>
          <w:p>
            <w:pPr>
              <w:spacing w:after="0" w:line="20" w:lineRule="exact"/>
              <w:rPr>
                <w:sz w:val="1"/>
                <w:szCs w:val="1"/>
                <w:color w:val="auto"/>
              </w:rPr>
            </w:pPr>
          </w:p>
        </w:tc>
        <w:tc>
          <w:tcPr>
            <w:tcW w:w="200" w:type="dxa"/>
            <w:vAlign w:val="bottom"/>
            <w:vMerge w:val="restart"/>
            <w:shd w:val="clear" w:color="auto" w:fill="D0EBF2"/>
          </w:tcPr>
          <w:p>
            <w:pPr>
              <w:spacing w:after="0" w:line="20" w:lineRule="exact"/>
              <w:rPr>
                <w:sz w:val="1"/>
                <w:szCs w:val="1"/>
                <w:color w:val="auto"/>
              </w:rPr>
            </w:pPr>
          </w:p>
        </w:tc>
        <w:tc>
          <w:tcPr>
            <w:tcW w:w="900" w:type="dxa"/>
            <w:vAlign w:val="bottom"/>
            <w:shd w:val="clear" w:color="auto" w:fill="231F2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1460" w:type="dxa"/>
            <w:vAlign w:val="bottom"/>
            <w:shd w:val="clear" w:color="auto" w:fill="D0EBF2"/>
          </w:tcPr>
          <w:p>
            <w:pPr>
              <w:spacing w:after="0"/>
              <w:rPr>
                <w:sz w:val="14"/>
                <w:szCs w:val="14"/>
                <w:color w:val="auto"/>
              </w:rPr>
            </w:pPr>
          </w:p>
        </w:tc>
        <w:tc>
          <w:tcPr>
            <w:tcW w:w="2420" w:type="dxa"/>
            <w:vAlign w:val="bottom"/>
            <w:shd w:val="clear" w:color="auto" w:fill="D0EBF2"/>
          </w:tcPr>
          <w:p>
            <w:pPr>
              <w:spacing w:after="0"/>
              <w:rPr>
                <w:sz w:val="14"/>
                <w:szCs w:val="14"/>
                <w:color w:val="auto"/>
              </w:rPr>
            </w:pPr>
          </w:p>
        </w:tc>
        <w:tc>
          <w:tcPr>
            <w:tcW w:w="820" w:type="dxa"/>
            <w:vAlign w:val="bottom"/>
            <w:shd w:val="clear" w:color="auto" w:fill="D0EBF2"/>
          </w:tcPr>
          <w:p>
            <w:pPr>
              <w:spacing w:after="0"/>
              <w:rPr>
                <w:sz w:val="14"/>
                <w:szCs w:val="14"/>
                <w:color w:val="auto"/>
              </w:rPr>
            </w:pPr>
          </w:p>
        </w:tc>
        <w:tc>
          <w:tcPr>
            <w:tcW w:w="1200" w:type="dxa"/>
            <w:vAlign w:val="bottom"/>
            <w:shd w:val="clear" w:color="auto" w:fill="D0EBF2"/>
          </w:tcPr>
          <w:p>
            <w:pPr>
              <w:spacing w:after="0"/>
              <w:rPr>
                <w:sz w:val="14"/>
                <w:szCs w:val="14"/>
                <w:color w:val="auto"/>
              </w:rPr>
            </w:pPr>
          </w:p>
        </w:tc>
        <w:tc>
          <w:tcPr>
            <w:tcW w:w="900" w:type="dxa"/>
            <w:vAlign w:val="bottom"/>
            <w:shd w:val="clear" w:color="auto" w:fill="D0EBF2"/>
          </w:tcPr>
          <w:p>
            <w:pPr>
              <w:spacing w:after="0"/>
              <w:rPr>
                <w:sz w:val="14"/>
                <w:szCs w:val="14"/>
                <w:color w:val="auto"/>
              </w:rPr>
            </w:pPr>
          </w:p>
        </w:tc>
        <w:tc>
          <w:tcPr>
            <w:tcW w:w="1000" w:type="dxa"/>
            <w:vAlign w:val="bottom"/>
            <w:shd w:val="clear" w:color="auto" w:fill="D0EBF2"/>
          </w:tcPr>
          <w:p>
            <w:pPr>
              <w:jc w:val="right"/>
              <w:spacing w:after="0" w:line="164" w:lineRule="exact"/>
              <w:rPr>
                <w:sz w:val="20"/>
                <w:szCs w:val="20"/>
                <w:color w:val="auto"/>
              </w:rPr>
            </w:pPr>
            <w:r>
              <w:rPr>
                <w:rFonts w:ascii="Times New Roman" w:cs="Times New Roman" w:eastAsia="Times New Roman" w:hAnsi="Times New Roman"/>
                <w:sz w:val="15"/>
                <w:szCs w:val="15"/>
                <w:color w:val="231F20"/>
              </w:rPr>
              <w:t>17,629</w:t>
            </w:r>
          </w:p>
        </w:tc>
        <w:tc>
          <w:tcPr>
            <w:tcW w:w="180" w:type="dxa"/>
            <w:vAlign w:val="bottom"/>
            <w:vMerge w:val="continue"/>
            <w:shd w:val="clear" w:color="auto" w:fill="D0EBF2"/>
          </w:tcPr>
          <w:p>
            <w:pPr>
              <w:spacing w:after="0"/>
              <w:rPr>
                <w:sz w:val="14"/>
                <w:szCs w:val="14"/>
                <w:color w:val="auto"/>
              </w:rPr>
            </w:pPr>
          </w:p>
        </w:tc>
        <w:tc>
          <w:tcPr>
            <w:tcW w:w="960" w:type="dxa"/>
            <w:vAlign w:val="bottom"/>
            <w:shd w:val="clear" w:color="auto" w:fill="D0EBF2"/>
          </w:tcPr>
          <w:p>
            <w:pPr>
              <w:jc w:val="right"/>
              <w:spacing w:after="0" w:line="164" w:lineRule="exact"/>
              <w:rPr>
                <w:sz w:val="20"/>
                <w:szCs w:val="20"/>
                <w:color w:val="auto"/>
              </w:rPr>
            </w:pPr>
            <w:r>
              <w:rPr>
                <w:rFonts w:ascii="Times New Roman" w:cs="Times New Roman" w:eastAsia="Times New Roman" w:hAnsi="Times New Roman"/>
                <w:sz w:val="15"/>
                <w:szCs w:val="15"/>
                <w:color w:val="231F20"/>
              </w:rPr>
              <w:t>17,104</w:t>
            </w:r>
          </w:p>
        </w:tc>
        <w:tc>
          <w:tcPr>
            <w:tcW w:w="200" w:type="dxa"/>
            <w:vAlign w:val="bottom"/>
            <w:vMerge w:val="continue"/>
            <w:shd w:val="clear" w:color="auto" w:fill="D0EBF2"/>
          </w:tcPr>
          <w:p>
            <w:pPr>
              <w:spacing w:after="0"/>
              <w:rPr>
                <w:sz w:val="14"/>
                <w:szCs w:val="14"/>
                <w:color w:val="auto"/>
              </w:rPr>
            </w:pPr>
          </w:p>
        </w:tc>
        <w:tc>
          <w:tcPr>
            <w:tcW w:w="1140" w:type="dxa"/>
            <w:vAlign w:val="bottom"/>
            <w:gridSpan w:val="2"/>
          </w:tcPr>
          <w:p>
            <w:pPr>
              <w:jc w:val="right"/>
              <w:ind w:right="120"/>
              <w:spacing w:after="0" w:line="164" w:lineRule="exact"/>
              <w:rPr>
                <w:sz w:val="20"/>
                <w:szCs w:val="20"/>
                <w:color w:val="auto"/>
              </w:rPr>
            </w:pPr>
            <w:r>
              <w:rPr>
                <w:rFonts w:ascii="Times New Roman" w:cs="Times New Roman" w:eastAsia="Times New Roman" w:hAnsi="Times New Roman"/>
                <w:sz w:val="15"/>
                <w:szCs w:val="15"/>
                <w:color w:val="231F20"/>
              </w:rPr>
              <w:t>1.1%</w:t>
            </w:r>
          </w:p>
        </w:tc>
        <w:tc>
          <w:tcPr>
            <w:tcW w:w="0" w:type="dxa"/>
            <w:vAlign w:val="bottom"/>
          </w:tcPr>
          <w:p>
            <w:pPr>
              <w:spacing w:after="0"/>
              <w:rPr>
                <w:sz w:val="1"/>
                <w:szCs w:val="1"/>
                <w:color w:val="auto"/>
              </w:rPr>
            </w:pPr>
          </w:p>
        </w:tc>
      </w:tr>
      <w:tr>
        <w:trPr>
          <w:trHeight w:val="163"/>
        </w:trPr>
        <w:tc>
          <w:tcPr>
            <w:tcW w:w="1460" w:type="dxa"/>
            <w:vAlign w:val="bottom"/>
            <w:tcBorders>
              <w:top w:val="single" w:sz="8" w:color="FDFDFC"/>
            </w:tcBorders>
            <w:shd w:val="clear" w:color="auto" w:fill="FDFDFC"/>
          </w:tcPr>
          <w:p>
            <w:pPr>
              <w:spacing w:after="0" w:line="164" w:lineRule="exact"/>
              <w:rPr>
                <w:sz w:val="20"/>
                <w:szCs w:val="20"/>
                <w:color w:val="auto"/>
              </w:rPr>
            </w:pPr>
            <w:r>
              <w:rPr>
                <w:rFonts w:ascii="Times New Roman" w:cs="Times New Roman" w:eastAsia="Times New Roman" w:hAnsi="Times New Roman"/>
                <w:sz w:val="15"/>
                <w:szCs w:val="15"/>
                <w:b w:val="1"/>
                <w:bCs w:val="1"/>
                <w:color w:val="231F20"/>
              </w:rPr>
              <w:t>Marketing Services</w:t>
            </w:r>
          </w:p>
        </w:tc>
        <w:tc>
          <w:tcPr>
            <w:tcW w:w="2420" w:type="dxa"/>
            <w:vAlign w:val="bottom"/>
            <w:tcBorders>
              <w:top w:val="single" w:sz="8" w:color="FDFDFC"/>
            </w:tcBorders>
            <w:shd w:val="clear" w:color="auto" w:fill="FDFDFC"/>
          </w:tcPr>
          <w:p>
            <w:pPr>
              <w:spacing w:after="0"/>
              <w:rPr>
                <w:sz w:val="14"/>
                <w:szCs w:val="14"/>
                <w:color w:val="auto"/>
              </w:rPr>
            </w:pPr>
          </w:p>
        </w:tc>
        <w:tc>
          <w:tcPr>
            <w:tcW w:w="820" w:type="dxa"/>
            <w:vAlign w:val="bottom"/>
            <w:tcBorders>
              <w:top w:val="single" w:sz="8" w:color="FDFDFC"/>
            </w:tcBorders>
            <w:shd w:val="clear" w:color="auto" w:fill="FDFDFC"/>
          </w:tcPr>
          <w:p>
            <w:pPr>
              <w:spacing w:after="0"/>
              <w:rPr>
                <w:sz w:val="14"/>
                <w:szCs w:val="14"/>
                <w:color w:val="auto"/>
              </w:rPr>
            </w:pPr>
          </w:p>
        </w:tc>
        <w:tc>
          <w:tcPr>
            <w:tcW w:w="1200" w:type="dxa"/>
            <w:vAlign w:val="bottom"/>
            <w:tcBorders>
              <w:top w:val="single" w:sz="8" w:color="FDFDFC"/>
            </w:tcBorders>
            <w:shd w:val="clear" w:color="auto" w:fill="FDFDFC"/>
          </w:tcPr>
          <w:p>
            <w:pPr>
              <w:spacing w:after="0"/>
              <w:rPr>
                <w:sz w:val="14"/>
                <w:szCs w:val="14"/>
                <w:color w:val="auto"/>
              </w:rPr>
            </w:pPr>
          </w:p>
        </w:tc>
        <w:tc>
          <w:tcPr>
            <w:tcW w:w="900" w:type="dxa"/>
            <w:vAlign w:val="bottom"/>
            <w:tcBorders>
              <w:top w:val="single" w:sz="8" w:color="FDFDFC"/>
            </w:tcBorders>
            <w:shd w:val="clear" w:color="auto" w:fill="FDFDFC"/>
          </w:tcPr>
          <w:p>
            <w:pPr>
              <w:spacing w:after="0"/>
              <w:rPr>
                <w:sz w:val="14"/>
                <w:szCs w:val="14"/>
                <w:color w:val="auto"/>
              </w:rPr>
            </w:pPr>
          </w:p>
        </w:tc>
        <w:tc>
          <w:tcPr>
            <w:tcW w:w="1000" w:type="dxa"/>
            <w:vAlign w:val="bottom"/>
            <w:tcBorders>
              <w:top w:val="single" w:sz="8" w:color="231F20"/>
            </w:tcBorders>
            <w:shd w:val="clear" w:color="auto" w:fill="FDFDFC"/>
          </w:tcPr>
          <w:p>
            <w:pPr>
              <w:spacing w:after="0"/>
              <w:rPr>
                <w:sz w:val="14"/>
                <w:szCs w:val="14"/>
                <w:color w:val="auto"/>
              </w:rPr>
            </w:pPr>
          </w:p>
        </w:tc>
        <w:tc>
          <w:tcPr>
            <w:tcW w:w="180" w:type="dxa"/>
            <w:vAlign w:val="bottom"/>
            <w:tcBorders>
              <w:top w:val="single" w:sz="8" w:color="FDFDFC"/>
            </w:tcBorders>
            <w:shd w:val="clear" w:color="auto" w:fill="FDFDFC"/>
          </w:tcPr>
          <w:p>
            <w:pPr>
              <w:spacing w:after="0"/>
              <w:rPr>
                <w:sz w:val="14"/>
                <w:szCs w:val="14"/>
                <w:color w:val="auto"/>
              </w:rPr>
            </w:pPr>
          </w:p>
        </w:tc>
        <w:tc>
          <w:tcPr>
            <w:tcW w:w="960" w:type="dxa"/>
            <w:vAlign w:val="bottom"/>
            <w:tcBorders>
              <w:top w:val="single" w:sz="8" w:color="231F20"/>
            </w:tcBorders>
            <w:shd w:val="clear" w:color="auto" w:fill="FDFDFC"/>
          </w:tcPr>
          <w:p>
            <w:pPr>
              <w:spacing w:after="0"/>
              <w:rPr>
                <w:sz w:val="14"/>
                <w:szCs w:val="14"/>
                <w:color w:val="auto"/>
              </w:rPr>
            </w:pPr>
          </w:p>
        </w:tc>
        <w:tc>
          <w:tcPr>
            <w:tcW w:w="200" w:type="dxa"/>
            <w:vAlign w:val="bottom"/>
            <w:tcBorders>
              <w:top w:val="single" w:sz="8" w:color="FDFDFC"/>
            </w:tcBorders>
            <w:shd w:val="clear" w:color="auto" w:fill="FDFDFC"/>
          </w:tcPr>
          <w:p>
            <w:pPr>
              <w:spacing w:after="0"/>
              <w:rPr>
                <w:sz w:val="14"/>
                <w:szCs w:val="14"/>
                <w:color w:val="auto"/>
              </w:rPr>
            </w:pPr>
          </w:p>
        </w:tc>
        <w:tc>
          <w:tcPr>
            <w:tcW w:w="900" w:type="dxa"/>
            <w:vAlign w:val="bottom"/>
            <w:tcBorders>
              <w:top w:val="single" w:sz="8" w:color="231F20"/>
            </w:tcBorders>
            <w:shd w:val="clear" w:color="auto" w:fill="FDFDFC"/>
          </w:tcPr>
          <w:p>
            <w:pPr>
              <w:spacing w:after="0"/>
              <w:rPr>
                <w:sz w:val="14"/>
                <w:szCs w:val="14"/>
                <w:color w:val="auto"/>
              </w:rPr>
            </w:pPr>
          </w:p>
        </w:tc>
        <w:tc>
          <w:tcPr>
            <w:tcW w:w="240" w:type="dxa"/>
            <w:vAlign w:val="bottom"/>
            <w:tcBorders>
              <w:top w:val="single" w:sz="8" w:color="FDFDFC"/>
            </w:tcBorders>
            <w:shd w:val="clear" w:color="auto" w:fill="FDFDFC"/>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1460" w:type="dxa"/>
            <w:vAlign w:val="bottom"/>
            <w:shd w:val="clear" w:color="auto" w:fill="D0EBF2"/>
          </w:tcPr>
          <w:p>
            <w:pPr>
              <w:spacing w:after="0" w:line="159" w:lineRule="exact"/>
              <w:rPr>
                <w:sz w:val="20"/>
                <w:szCs w:val="20"/>
                <w:color w:val="auto"/>
              </w:rPr>
            </w:pPr>
            <w:r>
              <w:rPr>
                <w:rFonts w:ascii="Times New Roman" w:cs="Times New Roman" w:eastAsia="Times New Roman" w:hAnsi="Times New Roman"/>
                <w:sz w:val="15"/>
                <w:szCs w:val="15"/>
                <w:color w:val="231F20"/>
              </w:rPr>
              <w:t>Validity, Inc.</w:t>
            </w:r>
          </w:p>
        </w:tc>
        <w:tc>
          <w:tcPr>
            <w:tcW w:w="2420" w:type="dxa"/>
            <w:vAlign w:val="bottom"/>
            <w:shd w:val="clear" w:color="auto" w:fill="D0EBF2"/>
          </w:tcPr>
          <w:p>
            <w:pPr>
              <w:ind w:left="60"/>
              <w:spacing w:after="0" w:line="159" w:lineRule="exact"/>
              <w:rPr>
                <w:sz w:val="20"/>
                <w:szCs w:val="20"/>
                <w:color w:val="auto"/>
              </w:rPr>
            </w:pPr>
            <w:r>
              <w:rPr>
                <w:rFonts w:ascii="Times New Roman" w:cs="Times New Roman" w:eastAsia="Times New Roman" w:hAnsi="Times New Roman"/>
                <w:sz w:val="15"/>
                <w:szCs w:val="15"/>
                <w:color w:val="231F20"/>
              </w:rPr>
              <w:t>Series A Preferred Shares (3,840,000</w:t>
            </w:r>
          </w:p>
        </w:tc>
        <w:tc>
          <w:tcPr>
            <w:tcW w:w="820" w:type="dxa"/>
            <w:vAlign w:val="bottom"/>
            <w:shd w:val="clear" w:color="auto" w:fill="D0EBF2"/>
          </w:tcPr>
          <w:p>
            <w:pPr>
              <w:jc w:val="right"/>
              <w:spacing w:after="0" w:line="159" w:lineRule="exact"/>
              <w:rPr>
                <w:sz w:val="20"/>
                <w:szCs w:val="20"/>
                <w:color w:val="auto"/>
              </w:rPr>
            </w:pPr>
            <w:r>
              <w:rPr>
                <w:rFonts w:ascii="Times New Roman" w:cs="Times New Roman" w:eastAsia="Times New Roman" w:hAnsi="Times New Roman"/>
                <w:sz w:val="15"/>
                <w:szCs w:val="15"/>
                <w:color w:val="231F20"/>
              </w:rPr>
              <w:t>5/31/2018</w:t>
            </w:r>
          </w:p>
        </w:tc>
        <w:tc>
          <w:tcPr>
            <w:tcW w:w="1200" w:type="dxa"/>
            <w:vAlign w:val="bottom"/>
            <w:shd w:val="clear" w:color="auto" w:fill="D0EBF2"/>
          </w:tcPr>
          <w:p>
            <w:pPr>
              <w:spacing w:after="0"/>
              <w:rPr>
                <w:sz w:val="13"/>
                <w:szCs w:val="13"/>
                <w:color w:val="auto"/>
              </w:rPr>
            </w:pPr>
          </w:p>
        </w:tc>
        <w:tc>
          <w:tcPr>
            <w:tcW w:w="900" w:type="dxa"/>
            <w:vAlign w:val="bottom"/>
            <w:shd w:val="clear" w:color="auto" w:fill="D0EBF2"/>
          </w:tcPr>
          <w:p>
            <w:pPr>
              <w:spacing w:after="0"/>
              <w:rPr>
                <w:sz w:val="13"/>
                <w:szCs w:val="13"/>
                <w:color w:val="auto"/>
              </w:rPr>
            </w:pPr>
          </w:p>
        </w:tc>
        <w:tc>
          <w:tcPr>
            <w:tcW w:w="1000" w:type="dxa"/>
            <w:vAlign w:val="bottom"/>
            <w:shd w:val="clear" w:color="auto" w:fill="D0EBF2"/>
          </w:tcPr>
          <w:p>
            <w:pPr>
              <w:jc w:val="right"/>
              <w:spacing w:after="0" w:line="159" w:lineRule="exact"/>
              <w:rPr>
                <w:sz w:val="20"/>
                <w:szCs w:val="20"/>
                <w:color w:val="auto"/>
              </w:rPr>
            </w:pPr>
            <w:r>
              <w:rPr>
                <w:rFonts w:ascii="Times New Roman" w:cs="Times New Roman" w:eastAsia="Times New Roman" w:hAnsi="Times New Roman"/>
                <w:sz w:val="15"/>
                <w:szCs w:val="15"/>
                <w:color w:val="231F20"/>
              </w:rPr>
              <w:t>3,840</w:t>
            </w:r>
          </w:p>
        </w:tc>
        <w:tc>
          <w:tcPr>
            <w:tcW w:w="180" w:type="dxa"/>
            <w:vAlign w:val="bottom"/>
            <w:shd w:val="clear" w:color="auto" w:fill="D0EBF2"/>
          </w:tcPr>
          <w:p>
            <w:pPr>
              <w:spacing w:after="0"/>
              <w:rPr>
                <w:sz w:val="13"/>
                <w:szCs w:val="13"/>
                <w:color w:val="auto"/>
              </w:rPr>
            </w:pPr>
          </w:p>
        </w:tc>
        <w:tc>
          <w:tcPr>
            <w:tcW w:w="960" w:type="dxa"/>
            <w:vAlign w:val="bottom"/>
            <w:shd w:val="clear" w:color="auto" w:fill="D0EBF2"/>
          </w:tcPr>
          <w:p>
            <w:pPr>
              <w:jc w:val="right"/>
              <w:spacing w:after="0" w:line="159" w:lineRule="exact"/>
              <w:rPr>
                <w:sz w:val="20"/>
                <w:szCs w:val="20"/>
                <w:color w:val="auto"/>
              </w:rPr>
            </w:pPr>
            <w:r>
              <w:rPr>
                <w:rFonts w:ascii="Times New Roman" w:cs="Times New Roman" w:eastAsia="Times New Roman" w:hAnsi="Times New Roman"/>
                <w:sz w:val="15"/>
                <w:szCs w:val="15"/>
                <w:color w:val="231F20"/>
              </w:rPr>
              <w:t>10,368</w:t>
            </w:r>
          </w:p>
        </w:tc>
        <w:tc>
          <w:tcPr>
            <w:tcW w:w="200" w:type="dxa"/>
            <w:vAlign w:val="bottom"/>
            <w:shd w:val="clear" w:color="auto" w:fill="D0EBF2"/>
          </w:tcPr>
          <w:p>
            <w:pPr>
              <w:spacing w:after="0"/>
              <w:rPr>
                <w:sz w:val="13"/>
                <w:szCs w:val="13"/>
                <w:color w:val="auto"/>
              </w:rPr>
            </w:pPr>
          </w:p>
        </w:tc>
        <w:tc>
          <w:tcPr>
            <w:tcW w:w="1140" w:type="dxa"/>
            <w:vAlign w:val="bottom"/>
            <w:gridSpan w:val="2"/>
            <w:shd w:val="clear" w:color="auto" w:fill="D0EBF2"/>
          </w:tcPr>
          <w:p>
            <w:pPr>
              <w:jc w:val="right"/>
              <w:ind w:right="120"/>
              <w:spacing w:after="0" w:line="159" w:lineRule="exact"/>
              <w:rPr>
                <w:sz w:val="20"/>
                <w:szCs w:val="20"/>
                <w:color w:val="auto"/>
              </w:rPr>
            </w:pPr>
            <w:r>
              <w:rPr>
                <w:rFonts w:ascii="Times New Roman" w:cs="Times New Roman" w:eastAsia="Times New Roman" w:hAnsi="Times New Roman"/>
                <w:sz w:val="15"/>
                <w:szCs w:val="15"/>
                <w:color w:val="231F20"/>
              </w:rPr>
              <w:t>0.7%</w:t>
            </w:r>
          </w:p>
        </w:tc>
        <w:tc>
          <w:tcPr>
            <w:tcW w:w="0" w:type="dxa"/>
            <w:vAlign w:val="bottom"/>
          </w:tcPr>
          <w:p>
            <w:pPr>
              <w:spacing w:after="0"/>
              <w:rPr>
                <w:sz w:val="1"/>
                <w:szCs w:val="1"/>
                <w:color w:val="auto"/>
              </w:rPr>
            </w:pPr>
          </w:p>
        </w:tc>
      </w:tr>
      <w:tr>
        <w:trPr>
          <w:trHeight w:val="189"/>
        </w:trPr>
        <w:tc>
          <w:tcPr>
            <w:tcW w:w="1460" w:type="dxa"/>
            <w:vAlign w:val="bottom"/>
            <w:shd w:val="clear" w:color="auto" w:fill="D0EBF2"/>
          </w:tcPr>
          <w:p>
            <w:pPr>
              <w:spacing w:after="0"/>
              <w:rPr>
                <w:sz w:val="16"/>
                <w:szCs w:val="16"/>
                <w:color w:val="auto"/>
              </w:rPr>
            </w:pPr>
          </w:p>
        </w:tc>
        <w:tc>
          <w:tcPr>
            <w:tcW w:w="2420" w:type="dxa"/>
            <w:vAlign w:val="bottom"/>
            <w:shd w:val="clear" w:color="auto" w:fill="D0EBF2"/>
          </w:tcPr>
          <w:p>
            <w:pPr>
              <w:ind w:left="60"/>
              <w:spacing w:after="0"/>
              <w:rPr>
                <w:sz w:val="20"/>
                <w:szCs w:val="20"/>
                <w:color w:val="auto"/>
              </w:rPr>
            </w:pPr>
            <w:r>
              <w:rPr>
                <w:rFonts w:ascii="Times New Roman" w:cs="Times New Roman" w:eastAsia="Times New Roman" w:hAnsi="Times New Roman"/>
                <w:sz w:val="15"/>
                <w:szCs w:val="15"/>
                <w:color w:val="231F20"/>
              </w:rPr>
              <w:t>shares)</w:t>
            </w:r>
          </w:p>
        </w:tc>
        <w:tc>
          <w:tcPr>
            <w:tcW w:w="820" w:type="dxa"/>
            <w:vAlign w:val="bottom"/>
            <w:shd w:val="clear" w:color="auto" w:fill="D0EBF2"/>
          </w:tcPr>
          <w:p>
            <w:pPr>
              <w:spacing w:after="0"/>
              <w:rPr>
                <w:sz w:val="16"/>
                <w:szCs w:val="16"/>
                <w:color w:val="auto"/>
              </w:rPr>
            </w:pPr>
          </w:p>
        </w:tc>
        <w:tc>
          <w:tcPr>
            <w:tcW w:w="1200" w:type="dxa"/>
            <w:vAlign w:val="bottom"/>
            <w:shd w:val="clear" w:color="auto" w:fill="D0EBF2"/>
          </w:tcPr>
          <w:p>
            <w:pPr>
              <w:spacing w:after="0"/>
              <w:rPr>
                <w:sz w:val="16"/>
                <w:szCs w:val="16"/>
                <w:color w:val="auto"/>
              </w:rPr>
            </w:pPr>
          </w:p>
        </w:tc>
        <w:tc>
          <w:tcPr>
            <w:tcW w:w="900" w:type="dxa"/>
            <w:vAlign w:val="bottom"/>
            <w:shd w:val="clear" w:color="auto" w:fill="D0EBF2"/>
          </w:tcPr>
          <w:p>
            <w:pPr>
              <w:spacing w:after="0"/>
              <w:rPr>
                <w:sz w:val="16"/>
                <w:szCs w:val="16"/>
                <w:color w:val="auto"/>
              </w:rPr>
            </w:pPr>
          </w:p>
        </w:tc>
        <w:tc>
          <w:tcPr>
            <w:tcW w:w="1000" w:type="dxa"/>
            <w:vAlign w:val="bottom"/>
            <w:shd w:val="clear" w:color="auto" w:fill="D0EBF2"/>
          </w:tcPr>
          <w:p>
            <w:pPr>
              <w:spacing w:after="0"/>
              <w:rPr>
                <w:sz w:val="16"/>
                <w:szCs w:val="16"/>
                <w:color w:val="auto"/>
              </w:rPr>
            </w:pPr>
          </w:p>
        </w:tc>
        <w:tc>
          <w:tcPr>
            <w:tcW w:w="180" w:type="dxa"/>
            <w:vAlign w:val="bottom"/>
            <w:shd w:val="clear" w:color="auto" w:fill="D0EBF2"/>
          </w:tcPr>
          <w:p>
            <w:pPr>
              <w:spacing w:after="0"/>
              <w:rPr>
                <w:sz w:val="16"/>
                <w:szCs w:val="16"/>
                <w:color w:val="auto"/>
              </w:rPr>
            </w:pPr>
          </w:p>
        </w:tc>
        <w:tc>
          <w:tcPr>
            <w:tcW w:w="960" w:type="dxa"/>
            <w:vAlign w:val="bottom"/>
            <w:shd w:val="clear" w:color="auto" w:fill="D0EBF2"/>
          </w:tcPr>
          <w:p>
            <w:pPr>
              <w:spacing w:after="0"/>
              <w:rPr>
                <w:sz w:val="16"/>
                <w:szCs w:val="16"/>
                <w:color w:val="auto"/>
              </w:rPr>
            </w:pPr>
          </w:p>
        </w:tc>
        <w:tc>
          <w:tcPr>
            <w:tcW w:w="200" w:type="dxa"/>
            <w:vAlign w:val="bottom"/>
            <w:shd w:val="clear" w:color="auto" w:fill="D0EBF2"/>
          </w:tcPr>
          <w:p>
            <w:pPr>
              <w:spacing w:after="0"/>
              <w:rPr>
                <w:sz w:val="16"/>
                <w:szCs w:val="16"/>
                <w:color w:val="auto"/>
              </w:rPr>
            </w:pPr>
          </w:p>
        </w:tc>
        <w:tc>
          <w:tcPr>
            <w:tcW w:w="900" w:type="dxa"/>
            <w:vAlign w:val="bottom"/>
            <w:shd w:val="clear" w:color="auto" w:fill="D0EBF2"/>
          </w:tcPr>
          <w:p>
            <w:pPr>
              <w:spacing w:after="0"/>
              <w:rPr>
                <w:sz w:val="16"/>
                <w:szCs w:val="16"/>
                <w:color w:val="auto"/>
              </w:rPr>
            </w:pPr>
          </w:p>
        </w:tc>
        <w:tc>
          <w:tcPr>
            <w:tcW w:w="240" w:type="dxa"/>
            <w:vAlign w:val="bottom"/>
            <w:shd w:val="clear" w:color="auto" w:fill="D0EBF2"/>
          </w:tcPr>
          <w:p>
            <w:pPr>
              <w:spacing w:after="0"/>
              <w:rPr>
                <w:sz w:val="16"/>
                <w:szCs w:val="16"/>
                <w:color w:val="auto"/>
              </w:rPr>
            </w:pPr>
          </w:p>
        </w:tc>
        <w:tc>
          <w:tcPr>
            <w:tcW w:w="0" w:type="dxa"/>
            <w:vAlign w:val="bottom"/>
          </w:tcPr>
          <w:p>
            <w:pPr>
              <w:spacing w:after="0"/>
              <w:rPr>
                <w:sz w:val="1"/>
                <w:szCs w:val="1"/>
                <w:color w:val="auto"/>
              </w:rPr>
            </w:pPr>
          </w:p>
        </w:tc>
      </w:tr>
      <w:tr>
        <w:trPr>
          <w:trHeight w:val="156"/>
        </w:trPr>
        <w:tc>
          <w:tcPr>
            <w:tcW w:w="1460" w:type="dxa"/>
            <w:vAlign w:val="bottom"/>
            <w:shd w:val="clear" w:color="auto" w:fill="FDFDFC"/>
          </w:tcPr>
          <w:p>
            <w:pPr>
              <w:spacing w:after="0" w:line="156" w:lineRule="exact"/>
              <w:rPr>
                <w:sz w:val="20"/>
                <w:szCs w:val="20"/>
                <w:color w:val="auto"/>
              </w:rPr>
            </w:pPr>
            <w:r>
              <w:rPr>
                <w:rFonts w:ascii="Times New Roman" w:cs="Times New Roman" w:eastAsia="Times New Roman" w:hAnsi="Times New Roman"/>
                <w:sz w:val="15"/>
                <w:szCs w:val="15"/>
                <w:b w:val="1"/>
                <w:bCs w:val="1"/>
                <w:color w:val="231F20"/>
              </w:rPr>
              <w:t>Oil, Gas and</w:t>
            </w:r>
          </w:p>
        </w:tc>
        <w:tc>
          <w:tcPr>
            <w:tcW w:w="2420" w:type="dxa"/>
            <w:vAlign w:val="bottom"/>
            <w:shd w:val="clear" w:color="auto" w:fill="FDFDFC"/>
          </w:tcPr>
          <w:p>
            <w:pPr>
              <w:spacing w:after="0"/>
              <w:rPr>
                <w:sz w:val="13"/>
                <w:szCs w:val="13"/>
                <w:color w:val="auto"/>
              </w:rPr>
            </w:pPr>
          </w:p>
        </w:tc>
        <w:tc>
          <w:tcPr>
            <w:tcW w:w="820" w:type="dxa"/>
            <w:vAlign w:val="bottom"/>
            <w:shd w:val="clear" w:color="auto" w:fill="FDFDFC"/>
          </w:tcPr>
          <w:p>
            <w:pPr>
              <w:spacing w:after="0"/>
              <w:rPr>
                <w:sz w:val="13"/>
                <w:szCs w:val="13"/>
                <w:color w:val="auto"/>
              </w:rPr>
            </w:pPr>
          </w:p>
        </w:tc>
        <w:tc>
          <w:tcPr>
            <w:tcW w:w="1200" w:type="dxa"/>
            <w:vAlign w:val="bottom"/>
            <w:shd w:val="clear" w:color="auto" w:fill="FDFDFC"/>
          </w:tcPr>
          <w:p>
            <w:pPr>
              <w:spacing w:after="0"/>
              <w:rPr>
                <w:sz w:val="13"/>
                <w:szCs w:val="13"/>
                <w:color w:val="auto"/>
              </w:rPr>
            </w:pPr>
          </w:p>
        </w:tc>
        <w:tc>
          <w:tcPr>
            <w:tcW w:w="900" w:type="dxa"/>
            <w:vAlign w:val="bottom"/>
            <w:shd w:val="clear" w:color="auto" w:fill="FDFDFC"/>
          </w:tcPr>
          <w:p>
            <w:pPr>
              <w:spacing w:after="0"/>
              <w:rPr>
                <w:sz w:val="13"/>
                <w:szCs w:val="13"/>
                <w:color w:val="auto"/>
              </w:rPr>
            </w:pPr>
          </w:p>
        </w:tc>
        <w:tc>
          <w:tcPr>
            <w:tcW w:w="1000" w:type="dxa"/>
            <w:vAlign w:val="bottom"/>
            <w:shd w:val="clear" w:color="auto" w:fill="FDFDFC"/>
          </w:tcPr>
          <w:p>
            <w:pPr>
              <w:spacing w:after="0"/>
              <w:rPr>
                <w:sz w:val="13"/>
                <w:szCs w:val="13"/>
                <w:color w:val="auto"/>
              </w:rPr>
            </w:pPr>
          </w:p>
        </w:tc>
        <w:tc>
          <w:tcPr>
            <w:tcW w:w="180" w:type="dxa"/>
            <w:vAlign w:val="bottom"/>
            <w:shd w:val="clear" w:color="auto" w:fill="FDFDFC"/>
          </w:tcPr>
          <w:p>
            <w:pPr>
              <w:spacing w:after="0"/>
              <w:rPr>
                <w:sz w:val="13"/>
                <w:szCs w:val="13"/>
                <w:color w:val="auto"/>
              </w:rPr>
            </w:pPr>
          </w:p>
        </w:tc>
        <w:tc>
          <w:tcPr>
            <w:tcW w:w="960" w:type="dxa"/>
            <w:vAlign w:val="bottom"/>
            <w:shd w:val="clear" w:color="auto" w:fill="FDFDFC"/>
          </w:tcPr>
          <w:p>
            <w:pPr>
              <w:spacing w:after="0"/>
              <w:rPr>
                <w:sz w:val="13"/>
                <w:szCs w:val="13"/>
                <w:color w:val="auto"/>
              </w:rPr>
            </w:pPr>
          </w:p>
        </w:tc>
        <w:tc>
          <w:tcPr>
            <w:tcW w:w="200" w:type="dxa"/>
            <w:vAlign w:val="bottom"/>
            <w:shd w:val="clear" w:color="auto" w:fill="FDFDFC"/>
          </w:tcPr>
          <w:p>
            <w:pPr>
              <w:spacing w:after="0"/>
              <w:rPr>
                <w:sz w:val="13"/>
                <w:szCs w:val="13"/>
                <w:color w:val="auto"/>
              </w:rPr>
            </w:pPr>
          </w:p>
        </w:tc>
        <w:tc>
          <w:tcPr>
            <w:tcW w:w="900" w:type="dxa"/>
            <w:vAlign w:val="bottom"/>
            <w:shd w:val="clear" w:color="auto" w:fill="FDFDFC"/>
          </w:tcPr>
          <w:p>
            <w:pPr>
              <w:spacing w:after="0"/>
              <w:rPr>
                <w:sz w:val="13"/>
                <w:szCs w:val="13"/>
                <w:color w:val="auto"/>
              </w:rPr>
            </w:pPr>
          </w:p>
        </w:tc>
        <w:tc>
          <w:tcPr>
            <w:tcW w:w="240" w:type="dxa"/>
            <w:vAlign w:val="bottom"/>
            <w:shd w:val="clear" w:color="auto" w:fill="FDFDFC"/>
          </w:tcPr>
          <w:p>
            <w:pPr>
              <w:spacing w:after="0"/>
              <w:rPr>
                <w:sz w:val="13"/>
                <w:szCs w:val="13"/>
                <w:color w:val="auto"/>
              </w:rPr>
            </w:pPr>
          </w:p>
        </w:tc>
        <w:tc>
          <w:tcPr>
            <w:tcW w:w="0" w:type="dxa"/>
            <w:vAlign w:val="bottom"/>
          </w:tcPr>
          <w:p>
            <w:pPr>
              <w:spacing w:after="0"/>
              <w:rPr>
                <w:sz w:val="1"/>
                <w:szCs w:val="1"/>
                <w:color w:val="auto"/>
              </w:rPr>
            </w:pPr>
          </w:p>
        </w:tc>
      </w:tr>
      <w:tr>
        <w:trPr>
          <w:trHeight w:val="191"/>
        </w:trPr>
        <w:tc>
          <w:tcPr>
            <w:tcW w:w="1460" w:type="dxa"/>
            <w:vAlign w:val="bottom"/>
            <w:shd w:val="clear" w:color="auto" w:fill="FDFDFC"/>
          </w:tcPr>
          <w:p>
            <w:pPr>
              <w:spacing w:after="0"/>
              <w:rPr>
                <w:sz w:val="20"/>
                <w:szCs w:val="20"/>
                <w:color w:val="auto"/>
              </w:rPr>
            </w:pPr>
            <w:r>
              <w:rPr>
                <w:rFonts w:ascii="Times New Roman" w:cs="Times New Roman" w:eastAsia="Times New Roman" w:hAnsi="Times New Roman"/>
                <w:sz w:val="15"/>
                <w:szCs w:val="15"/>
                <w:b w:val="1"/>
                <w:bCs w:val="1"/>
                <w:color w:val="231F20"/>
              </w:rPr>
              <w:t>Consumable Fuels</w:t>
            </w:r>
          </w:p>
        </w:tc>
        <w:tc>
          <w:tcPr>
            <w:tcW w:w="2420" w:type="dxa"/>
            <w:vAlign w:val="bottom"/>
            <w:shd w:val="clear" w:color="auto" w:fill="FDFDFC"/>
          </w:tcPr>
          <w:p>
            <w:pPr>
              <w:spacing w:after="0"/>
              <w:rPr>
                <w:sz w:val="16"/>
                <w:szCs w:val="16"/>
                <w:color w:val="auto"/>
              </w:rPr>
            </w:pPr>
          </w:p>
        </w:tc>
        <w:tc>
          <w:tcPr>
            <w:tcW w:w="820" w:type="dxa"/>
            <w:vAlign w:val="bottom"/>
            <w:shd w:val="clear" w:color="auto" w:fill="FDFDFC"/>
          </w:tcPr>
          <w:p>
            <w:pPr>
              <w:spacing w:after="0"/>
              <w:rPr>
                <w:sz w:val="16"/>
                <w:szCs w:val="16"/>
                <w:color w:val="auto"/>
              </w:rPr>
            </w:pPr>
          </w:p>
        </w:tc>
        <w:tc>
          <w:tcPr>
            <w:tcW w:w="1200" w:type="dxa"/>
            <w:vAlign w:val="bottom"/>
            <w:shd w:val="clear" w:color="auto" w:fill="FDFDFC"/>
          </w:tcPr>
          <w:p>
            <w:pPr>
              <w:spacing w:after="0"/>
              <w:rPr>
                <w:sz w:val="16"/>
                <w:szCs w:val="16"/>
                <w:color w:val="auto"/>
              </w:rPr>
            </w:pPr>
          </w:p>
        </w:tc>
        <w:tc>
          <w:tcPr>
            <w:tcW w:w="900" w:type="dxa"/>
            <w:vAlign w:val="bottom"/>
            <w:shd w:val="clear" w:color="auto" w:fill="FDFDFC"/>
          </w:tcPr>
          <w:p>
            <w:pPr>
              <w:spacing w:after="0"/>
              <w:rPr>
                <w:sz w:val="16"/>
                <w:szCs w:val="16"/>
                <w:color w:val="auto"/>
              </w:rPr>
            </w:pPr>
          </w:p>
        </w:tc>
        <w:tc>
          <w:tcPr>
            <w:tcW w:w="1000" w:type="dxa"/>
            <w:vAlign w:val="bottom"/>
            <w:shd w:val="clear" w:color="auto" w:fill="FDFDFC"/>
          </w:tcPr>
          <w:p>
            <w:pPr>
              <w:spacing w:after="0"/>
              <w:rPr>
                <w:sz w:val="16"/>
                <w:szCs w:val="16"/>
                <w:color w:val="auto"/>
              </w:rPr>
            </w:pPr>
          </w:p>
        </w:tc>
        <w:tc>
          <w:tcPr>
            <w:tcW w:w="180" w:type="dxa"/>
            <w:vAlign w:val="bottom"/>
            <w:shd w:val="clear" w:color="auto" w:fill="FDFDFC"/>
          </w:tcPr>
          <w:p>
            <w:pPr>
              <w:spacing w:after="0"/>
              <w:rPr>
                <w:sz w:val="16"/>
                <w:szCs w:val="16"/>
                <w:color w:val="auto"/>
              </w:rPr>
            </w:pPr>
          </w:p>
        </w:tc>
        <w:tc>
          <w:tcPr>
            <w:tcW w:w="960" w:type="dxa"/>
            <w:vAlign w:val="bottom"/>
            <w:shd w:val="clear" w:color="auto" w:fill="FDFDFC"/>
          </w:tcPr>
          <w:p>
            <w:pPr>
              <w:spacing w:after="0"/>
              <w:rPr>
                <w:sz w:val="16"/>
                <w:szCs w:val="16"/>
                <w:color w:val="auto"/>
              </w:rPr>
            </w:pPr>
          </w:p>
        </w:tc>
        <w:tc>
          <w:tcPr>
            <w:tcW w:w="200" w:type="dxa"/>
            <w:vAlign w:val="bottom"/>
            <w:shd w:val="clear" w:color="auto" w:fill="FDFDFC"/>
          </w:tcPr>
          <w:p>
            <w:pPr>
              <w:spacing w:after="0"/>
              <w:rPr>
                <w:sz w:val="16"/>
                <w:szCs w:val="16"/>
                <w:color w:val="auto"/>
              </w:rPr>
            </w:pPr>
          </w:p>
        </w:tc>
        <w:tc>
          <w:tcPr>
            <w:tcW w:w="900" w:type="dxa"/>
            <w:vAlign w:val="bottom"/>
            <w:shd w:val="clear" w:color="auto" w:fill="FDFDFC"/>
          </w:tcPr>
          <w:p>
            <w:pPr>
              <w:spacing w:after="0"/>
              <w:rPr>
                <w:sz w:val="16"/>
                <w:szCs w:val="16"/>
                <w:color w:val="auto"/>
              </w:rPr>
            </w:pPr>
          </w:p>
        </w:tc>
        <w:tc>
          <w:tcPr>
            <w:tcW w:w="240" w:type="dxa"/>
            <w:vAlign w:val="bottom"/>
            <w:shd w:val="clear" w:color="auto" w:fill="FDFDFC"/>
          </w:tcPr>
          <w:p>
            <w:pPr>
              <w:spacing w:after="0"/>
              <w:rPr>
                <w:sz w:val="16"/>
                <w:szCs w:val="16"/>
                <w:color w:val="auto"/>
              </w:rPr>
            </w:pPr>
          </w:p>
        </w:tc>
        <w:tc>
          <w:tcPr>
            <w:tcW w:w="0" w:type="dxa"/>
            <w:vAlign w:val="bottom"/>
          </w:tcPr>
          <w:p>
            <w:pPr>
              <w:spacing w:after="0"/>
              <w:rPr>
                <w:sz w:val="1"/>
                <w:szCs w:val="1"/>
                <w:color w:val="auto"/>
              </w:rPr>
            </w:pPr>
          </w:p>
        </w:tc>
      </w:tr>
      <w:tr>
        <w:trPr>
          <w:trHeight w:val="158"/>
        </w:trPr>
        <w:tc>
          <w:tcPr>
            <w:tcW w:w="1460" w:type="dxa"/>
            <w:vAlign w:val="bottom"/>
            <w:shd w:val="clear" w:color="auto" w:fill="D0EBF2"/>
          </w:tcPr>
          <w:p>
            <w:pPr>
              <w:spacing w:after="0" w:line="159" w:lineRule="exact"/>
              <w:rPr>
                <w:sz w:val="20"/>
                <w:szCs w:val="20"/>
                <w:color w:val="auto"/>
              </w:rPr>
            </w:pPr>
            <w:r>
              <w:rPr>
                <w:rFonts w:ascii="Times New Roman" w:cs="Times New Roman" w:eastAsia="Times New Roman" w:hAnsi="Times New Roman"/>
                <w:sz w:val="15"/>
                <w:szCs w:val="15"/>
                <w:color w:val="231F20"/>
              </w:rPr>
              <w:t>Murchison Oil and</w:t>
            </w:r>
          </w:p>
        </w:tc>
        <w:tc>
          <w:tcPr>
            <w:tcW w:w="2420" w:type="dxa"/>
            <w:vAlign w:val="bottom"/>
            <w:shd w:val="clear" w:color="auto" w:fill="D0EBF2"/>
          </w:tcPr>
          <w:p>
            <w:pPr>
              <w:ind w:left="60"/>
              <w:spacing w:after="0" w:line="159" w:lineRule="exact"/>
              <w:rPr>
                <w:sz w:val="20"/>
                <w:szCs w:val="20"/>
                <w:color w:val="auto"/>
              </w:rPr>
            </w:pPr>
            <w:r>
              <w:rPr>
                <w:rFonts w:ascii="Times New Roman" w:cs="Times New Roman" w:eastAsia="Times New Roman" w:hAnsi="Times New Roman"/>
                <w:sz w:val="15"/>
                <w:szCs w:val="15"/>
                <w:color w:val="231F20"/>
              </w:rPr>
              <w:t>13,355 Preferred Units</w:t>
            </w:r>
          </w:p>
        </w:tc>
        <w:tc>
          <w:tcPr>
            <w:tcW w:w="820" w:type="dxa"/>
            <w:vAlign w:val="bottom"/>
            <w:shd w:val="clear" w:color="auto" w:fill="D0EBF2"/>
          </w:tcPr>
          <w:p>
            <w:pPr>
              <w:jc w:val="right"/>
              <w:spacing w:after="0" w:line="159" w:lineRule="exact"/>
              <w:rPr>
                <w:sz w:val="20"/>
                <w:szCs w:val="20"/>
                <w:color w:val="auto"/>
              </w:rPr>
            </w:pPr>
            <w:r>
              <w:rPr>
                <w:rFonts w:ascii="Times New Roman" w:cs="Times New Roman" w:eastAsia="Times New Roman" w:hAnsi="Times New Roman"/>
                <w:sz w:val="15"/>
                <w:szCs w:val="15"/>
                <w:color w:val="231F20"/>
              </w:rPr>
              <w:t>6/30/2022</w:t>
            </w:r>
          </w:p>
        </w:tc>
        <w:tc>
          <w:tcPr>
            <w:tcW w:w="1200" w:type="dxa"/>
            <w:vAlign w:val="bottom"/>
            <w:shd w:val="clear" w:color="auto" w:fill="D0EBF2"/>
          </w:tcPr>
          <w:p>
            <w:pPr>
              <w:spacing w:after="0"/>
              <w:rPr>
                <w:sz w:val="13"/>
                <w:szCs w:val="13"/>
                <w:color w:val="auto"/>
              </w:rPr>
            </w:pPr>
          </w:p>
        </w:tc>
        <w:tc>
          <w:tcPr>
            <w:tcW w:w="900" w:type="dxa"/>
            <w:vAlign w:val="bottom"/>
            <w:shd w:val="clear" w:color="auto" w:fill="D0EBF2"/>
          </w:tcPr>
          <w:p>
            <w:pPr>
              <w:spacing w:after="0"/>
              <w:rPr>
                <w:sz w:val="13"/>
                <w:szCs w:val="13"/>
                <w:color w:val="auto"/>
              </w:rPr>
            </w:pPr>
          </w:p>
        </w:tc>
        <w:tc>
          <w:tcPr>
            <w:tcW w:w="1000" w:type="dxa"/>
            <w:vAlign w:val="bottom"/>
            <w:shd w:val="clear" w:color="auto" w:fill="D0EBF2"/>
          </w:tcPr>
          <w:p>
            <w:pPr>
              <w:jc w:val="right"/>
              <w:spacing w:after="0" w:line="159" w:lineRule="exact"/>
              <w:rPr>
                <w:sz w:val="20"/>
                <w:szCs w:val="20"/>
                <w:color w:val="auto"/>
              </w:rPr>
            </w:pPr>
            <w:r>
              <w:rPr>
                <w:rFonts w:ascii="Times New Roman" w:cs="Times New Roman" w:eastAsia="Times New Roman" w:hAnsi="Times New Roman"/>
                <w:sz w:val="15"/>
                <w:szCs w:val="15"/>
                <w:color w:val="231F20"/>
              </w:rPr>
              <w:t>13,355</w:t>
            </w:r>
          </w:p>
        </w:tc>
        <w:tc>
          <w:tcPr>
            <w:tcW w:w="1140" w:type="dxa"/>
            <w:vAlign w:val="bottom"/>
            <w:gridSpan w:val="2"/>
            <w:shd w:val="clear" w:color="auto" w:fill="D0EBF2"/>
          </w:tcPr>
          <w:p>
            <w:pPr>
              <w:jc w:val="right"/>
              <w:spacing w:after="0" w:line="159" w:lineRule="exact"/>
              <w:rPr>
                <w:sz w:val="20"/>
                <w:szCs w:val="20"/>
                <w:color w:val="auto"/>
              </w:rPr>
            </w:pPr>
            <w:r>
              <w:rPr>
                <w:rFonts w:ascii="Times New Roman" w:cs="Times New Roman" w:eastAsia="Times New Roman" w:hAnsi="Times New Roman"/>
                <w:sz w:val="15"/>
                <w:szCs w:val="15"/>
                <w:color w:val="231F20"/>
              </w:rPr>
              <w:t>14,156</w:t>
            </w:r>
          </w:p>
        </w:tc>
        <w:tc>
          <w:tcPr>
            <w:tcW w:w="1340" w:type="dxa"/>
            <w:vAlign w:val="bottom"/>
            <w:gridSpan w:val="3"/>
            <w:shd w:val="clear" w:color="auto" w:fill="D0EBF2"/>
          </w:tcPr>
          <w:p>
            <w:pPr>
              <w:jc w:val="right"/>
              <w:ind w:right="120"/>
              <w:spacing w:after="0" w:line="159" w:lineRule="exact"/>
              <w:rPr>
                <w:sz w:val="20"/>
                <w:szCs w:val="20"/>
                <w:color w:val="auto"/>
              </w:rPr>
            </w:pPr>
            <w:r>
              <w:rPr>
                <w:rFonts w:ascii="Times New Roman" w:cs="Times New Roman" w:eastAsia="Times New Roman" w:hAnsi="Times New Roman"/>
                <w:sz w:val="15"/>
                <w:szCs w:val="15"/>
                <w:color w:val="231F20"/>
              </w:rPr>
              <w:t>0.9%</w:t>
            </w:r>
          </w:p>
        </w:tc>
        <w:tc>
          <w:tcPr>
            <w:tcW w:w="0" w:type="dxa"/>
            <w:vAlign w:val="bottom"/>
          </w:tcPr>
          <w:p>
            <w:pPr>
              <w:spacing w:after="0"/>
              <w:rPr>
                <w:sz w:val="1"/>
                <w:szCs w:val="1"/>
                <w:color w:val="auto"/>
              </w:rPr>
            </w:pPr>
          </w:p>
        </w:tc>
      </w:tr>
      <w:tr>
        <w:trPr>
          <w:trHeight w:val="189"/>
        </w:trPr>
        <w:tc>
          <w:tcPr>
            <w:tcW w:w="1460" w:type="dxa"/>
            <w:vAlign w:val="bottom"/>
            <w:shd w:val="clear" w:color="auto" w:fill="D0EBF2"/>
          </w:tcPr>
          <w:p>
            <w:pPr>
              <w:spacing w:after="0"/>
              <w:rPr>
                <w:sz w:val="20"/>
                <w:szCs w:val="20"/>
                <w:color w:val="auto"/>
              </w:rPr>
            </w:pPr>
            <w:r>
              <w:rPr>
                <w:rFonts w:ascii="Times New Roman" w:cs="Times New Roman" w:eastAsia="Times New Roman" w:hAnsi="Times New Roman"/>
                <w:sz w:val="15"/>
                <w:szCs w:val="15"/>
                <w:color w:val="231F20"/>
              </w:rPr>
              <w:t xml:space="preserve">Gas, LLC </w:t>
            </w:r>
            <w:r>
              <w:rPr>
                <w:rFonts w:ascii="Times New Roman" w:cs="Times New Roman" w:eastAsia="Times New Roman" w:hAnsi="Times New Roman"/>
                <w:sz w:val="9"/>
                <w:szCs w:val="9"/>
                <w:color w:val="231F20"/>
              </w:rPr>
              <w:t>(13)</w:t>
            </w:r>
          </w:p>
        </w:tc>
        <w:tc>
          <w:tcPr>
            <w:tcW w:w="2420" w:type="dxa"/>
            <w:vAlign w:val="bottom"/>
            <w:shd w:val="clear" w:color="auto" w:fill="D0EBF2"/>
          </w:tcPr>
          <w:p>
            <w:pPr>
              <w:spacing w:after="0"/>
              <w:rPr>
                <w:sz w:val="16"/>
                <w:szCs w:val="16"/>
                <w:color w:val="auto"/>
              </w:rPr>
            </w:pPr>
          </w:p>
        </w:tc>
        <w:tc>
          <w:tcPr>
            <w:tcW w:w="820" w:type="dxa"/>
            <w:vAlign w:val="bottom"/>
            <w:shd w:val="clear" w:color="auto" w:fill="D0EBF2"/>
          </w:tcPr>
          <w:p>
            <w:pPr>
              <w:spacing w:after="0"/>
              <w:rPr>
                <w:sz w:val="16"/>
                <w:szCs w:val="16"/>
                <w:color w:val="auto"/>
              </w:rPr>
            </w:pPr>
          </w:p>
        </w:tc>
        <w:tc>
          <w:tcPr>
            <w:tcW w:w="1200" w:type="dxa"/>
            <w:vAlign w:val="bottom"/>
            <w:shd w:val="clear" w:color="auto" w:fill="D0EBF2"/>
          </w:tcPr>
          <w:p>
            <w:pPr>
              <w:spacing w:after="0"/>
              <w:rPr>
                <w:sz w:val="16"/>
                <w:szCs w:val="16"/>
                <w:color w:val="auto"/>
              </w:rPr>
            </w:pPr>
          </w:p>
        </w:tc>
        <w:tc>
          <w:tcPr>
            <w:tcW w:w="900" w:type="dxa"/>
            <w:vAlign w:val="bottom"/>
            <w:shd w:val="clear" w:color="auto" w:fill="D0EBF2"/>
          </w:tcPr>
          <w:p>
            <w:pPr>
              <w:spacing w:after="0"/>
              <w:rPr>
                <w:sz w:val="16"/>
                <w:szCs w:val="16"/>
                <w:color w:val="auto"/>
              </w:rPr>
            </w:pPr>
          </w:p>
        </w:tc>
        <w:tc>
          <w:tcPr>
            <w:tcW w:w="1000" w:type="dxa"/>
            <w:vAlign w:val="bottom"/>
            <w:shd w:val="clear" w:color="auto" w:fill="D0EBF2"/>
          </w:tcPr>
          <w:p>
            <w:pPr>
              <w:spacing w:after="0"/>
              <w:rPr>
                <w:sz w:val="16"/>
                <w:szCs w:val="16"/>
                <w:color w:val="auto"/>
              </w:rPr>
            </w:pPr>
          </w:p>
        </w:tc>
        <w:tc>
          <w:tcPr>
            <w:tcW w:w="180" w:type="dxa"/>
            <w:vAlign w:val="bottom"/>
            <w:shd w:val="clear" w:color="auto" w:fill="D0EBF2"/>
          </w:tcPr>
          <w:p>
            <w:pPr>
              <w:spacing w:after="0"/>
              <w:rPr>
                <w:sz w:val="16"/>
                <w:szCs w:val="16"/>
                <w:color w:val="auto"/>
              </w:rPr>
            </w:pPr>
          </w:p>
        </w:tc>
        <w:tc>
          <w:tcPr>
            <w:tcW w:w="960" w:type="dxa"/>
            <w:vAlign w:val="bottom"/>
            <w:shd w:val="clear" w:color="auto" w:fill="D0EBF2"/>
          </w:tcPr>
          <w:p>
            <w:pPr>
              <w:spacing w:after="0"/>
              <w:rPr>
                <w:sz w:val="16"/>
                <w:szCs w:val="16"/>
                <w:color w:val="auto"/>
              </w:rPr>
            </w:pPr>
          </w:p>
        </w:tc>
        <w:tc>
          <w:tcPr>
            <w:tcW w:w="200" w:type="dxa"/>
            <w:vAlign w:val="bottom"/>
            <w:shd w:val="clear" w:color="auto" w:fill="D0EBF2"/>
          </w:tcPr>
          <w:p>
            <w:pPr>
              <w:spacing w:after="0"/>
              <w:rPr>
                <w:sz w:val="16"/>
                <w:szCs w:val="16"/>
                <w:color w:val="auto"/>
              </w:rPr>
            </w:pPr>
          </w:p>
        </w:tc>
        <w:tc>
          <w:tcPr>
            <w:tcW w:w="900" w:type="dxa"/>
            <w:vAlign w:val="bottom"/>
            <w:shd w:val="clear" w:color="auto" w:fill="D0EBF2"/>
          </w:tcPr>
          <w:p>
            <w:pPr>
              <w:spacing w:after="0"/>
              <w:rPr>
                <w:sz w:val="16"/>
                <w:szCs w:val="16"/>
                <w:color w:val="auto"/>
              </w:rPr>
            </w:pPr>
          </w:p>
        </w:tc>
        <w:tc>
          <w:tcPr>
            <w:tcW w:w="240" w:type="dxa"/>
            <w:vAlign w:val="bottom"/>
            <w:shd w:val="clear" w:color="auto" w:fill="D0EBF2"/>
          </w:tcPr>
          <w:p>
            <w:pPr>
              <w:spacing w:after="0"/>
              <w:rPr>
                <w:sz w:val="16"/>
                <w:szCs w:val="16"/>
                <w:color w:val="auto"/>
              </w:rPr>
            </w:pPr>
          </w:p>
        </w:tc>
        <w:tc>
          <w:tcPr>
            <w:tcW w:w="0" w:type="dxa"/>
            <w:vAlign w:val="bottom"/>
          </w:tcPr>
          <w:p>
            <w:pPr>
              <w:spacing w:after="0"/>
              <w:rPr>
                <w:sz w:val="1"/>
                <w:szCs w:val="1"/>
                <w:color w:val="auto"/>
              </w:rPr>
            </w:pPr>
          </w:p>
        </w:tc>
      </w:tr>
      <w:tr>
        <w:trPr>
          <w:trHeight w:val="158"/>
        </w:trPr>
        <w:tc>
          <w:tcPr>
            <w:tcW w:w="1460" w:type="dxa"/>
            <w:vAlign w:val="bottom"/>
            <w:shd w:val="clear" w:color="auto" w:fill="FDFDFC"/>
          </w:tcPr>
          <w:p>
            <w:pPr>
              <w:spacing w:after="0" w:line="159" w:lineRule="exact"/>
              <w:rPr>
                <w:sz w:val="20"/>
                <w:szCs w:val="20"/>
                <w:color w:val="auto"/>
              </w:rPr>
            </w:pPr>
            <w:r>
              <w:rPr>
                <w:rFonts w:ascii="Times New Roman" w:cs="Times New Roman" w:eastAsia="Times New Roman" w:hAnsi="Times New Roman"/>
                <w:sz w:val="15"/>
                <w:szCs w:val="15"/>
                <w:color w:val="231F20"/>
              </w:rPr>
              <w:t>TRP Assets, LLC</w:t>
            </w:r>
          </w:p>
        </w:tc>
        <w:tc>
          <w:tcPr>
            <w:tcW w:w="2420" w:type="dxa"/>
            <w:vAlign w:val="bottom"/>
            <w:shd w:val="clear" w:color="auto" w:fill="FDFDFC"/>
          </w:tcPr>
          <w:p>
            <w:pPr>
              <w:ind w:left="60"/>
              <w:spacing w:after="0" w:line="159" w:lineRule="exact"/>
              <w:rPr>
                <w:sz w:val="20"/>
                <w:szCs w:val="20"/>
                <w:color w:val="auto"/>
              </w:rPr>
            </w:pPr>
            <w:r>
              <w:rPr>
                <w:rFonts w:ascii="Times New Roman" w:cs="Times New Roman" w:eastAsia="Times New Roman" w:hAnsi="Times New Roman"/>
                <w:sz w:val="15"/>
                <w:szCs w:val="15"/>
                <w:color w:val="231F20"/>
              </w:rPr>
              <w:t>Partnership Interest (1.89%</w:t>
            </w:r>
          </w:p>
        </w:tc>
        <w:tc>
          <w:tcPr>
            <w:tcW w:w="820" w:type="dxa"/>
            <w:vAlign w:val="bottom"/>
            <w:shd w:val="clear" w:color="auto" w:fill="FDFDFC"/>
          </w:tcPr>
          <w:p>
            <w:pPr>
              <w:jc w:val="right"/>
              <w:spacing w:after="0" w:line="159" w:lineRule="exact"/>
              <w:rPr>
                <w:sz w:val="20"/>
                <w:szCs w:val="20"/>
                <w:color w:val="auto"/>
              </w:rPr>
            </w:pPr>
            <w:r>
              <w:rPr>
                <w:rFonts w:ascii="Times New Roman" w:cs="Times New Roman" w:eastAsia="Times New Roman" w:hAnsi="Times New Roman"/>
                <w:sz w:val="15"/>
                <w:szCs w:val="15"/>
                <w:color w:val="231F20"/>
              </w:rPr>
              <w:t>8/25/2022</w:t>
            </w:r>
          </w:p>
        </w:tc>
        <w:tc>
          <w:tcPr>
            <w:tcW w:w="1200" w:type="dxa"/>
            <w:vAlign w:val="bottom"/>
            <w:shd w:val="clear" w:color="auto" w:fill="FDFDFC"/>
          </w:tcPr>
          <w:p>
            <w:pPr>
              <w:spacing w:after="0"/>
              <w:rPr>
                <w:sz w:val="13"/>
                <w:szCs w:val="13"/>
                <w:color w:val="auto"/>
              </w:rPr>
            </w:pPr>
          </w:p>
        </w:tc>
        <w:tc>
          <w:tcPr>
            <w:tcW w:w="900" w:type="dxa"/>
            <w:vAlign w:val="bottom"/>
            <w:shd w:val="clear" w:color="auto" w:fill="FDFDFC"/>
          </w:tcPr>
          <w:p>
            <w:pPr>
              <w:spacing w:after="0"/>
              <w:rPr>
                <w:sz w:val="13"/>
                <w:szCs w:val="13"/>
                <w:color w:val="auto"/>
              </w:rPr>
            </w:pPr>
          </w:p>
        </w:tc>
        <w:tc>
          <w:tcPr>
            <w:tcW w:w="1000" w:type="dxa"/>
            <w:vAlign w:val="bottom"/>
            <w:shd w:val="clear" w:color="auto" w:fill="FDFDFC"/>
          </w:tcPr>
          <w:p>
            <w:pPr>
              <w:jc w:val="right"/>
              <w:spacing w:after="0" w:line="159" w:lineRule="exact"/>
              <w:rPr>
                <w:sz w:val="20"/>
                <w:szCs w:val="20"/>
                <w:color w:val="auto"/>
              </w:rPr>
            </w:pPr>
            <w:r>
              <w:rPr>
                <w:rFonts w:ascii="Times New Roman" w:cs="Times New Roman" w:eastAsia="Times New Roman" w:hAnsi="Times New Roman"/>
                <w:sz w:val="15"/>
                <w:szCs w:val="15"/>
                <w:color w:val="231F20"/>
              </w:rPr>
              <w:t>8,755</w:t>
            </w:r>
          </w:p>
        </w:tc>
        <w:tc>
          <w:tcPr>
            <w:tcW w:w="1140" w:type="dxa"/>
            <w:vAlign w:val="bottom"/>
            <w:gridSpan w:val="2"/>
            <w:shd w:val="clear" w:color="auto" w:fill="FDFDFC"/>
          </w:tcPr>
          <w:p>
            <w:pPr>
              <w:jc w:val="right"/>
              <w:spacing w:after="0" w:line="159" w:lineRule="exact"/>
              <w:rPr>
                <w:sz w:val="20"/>
                <w:szCs w:val="20"/>
                <w:color w:val="auto"/>
              </w:rPr>
            </w:pPr>
            <w:r>
              <w:rPr>
                <w:rFonts w:ascii="Times New Roman" w:cs="Times New Roman" w:eastAsia="Times New Roman" w:hAnsi="Times New Roman"/>
                <w:sz w:val="15"/>
                <w:szCs w:val="15"/>
                <w:color w:val="231F20"/>
              </w:rPr>
              <w:t>11,513</w:t>
            </w:r>
          </w:p>
        </w:tc>
        <w:tc>
          <w:tcPr>
            <w:tcW w:w="1340" w:type="dxa"/>
            <w:vAlign w:val="bottom"/>
            <w:gridSpan w:val="3"/>
            <w:shd w:val="clear" w:color="auto" w:fill="FDFDFC"/>
          </w:tcPr>
          <w:p>
            <w:pPr>
              <w:jc w:val="right"/>
              <w:ind w:right="120"/>
              <w:spacing w:after="0" w:line="159" w:lineRule="exact"/>
              <w:rPr>
                <w:sz w:val="20"/>
                <w:szCs w:val="20"/>
                <w:color w:val="auto"/>
              </w:rPr>
            </w:pPr>
            <w:r>
              <w:rPr>
                <w:rFonts w:ascii="Times New Roman" w:cs="Times New Roman" w:eastAsia="Times New Roman" w:hAnsi="Times New Roman"/>
                <w:sz w:val="15"/>
                <w:szCs w:val="15"/>
                <w:color w:val="231F20"/>
              </w:rPr>
              <w:t>0.8%</w:t>
            </w:r>
          </w:p>
        </w:tc>
        <w:tc>
          <w:tcPr>
            <w:tcW w:w="0" w:type="dxa"/>
            <w:vAlign w:val="bottom"/>
          </w:tcPr>
          <w:p>
            <w:pPr>
              <w:spacing w:after="0"/>
              <w:rPr>
                <w:sz w:val="1"/>
                <w:szCs w:val="1"/>
                <w:color w:val="auto"/>
              </w:rPr>
            </w:pPr>
          </w:p>
        </w:tc>
      </w:tr>
      <w:tr>
        <w:trPr>
          <w:trHeight w:val="169"/>
        </w:trPr>
        <w:tc>
          <w:tcPr>
            <w:tcW w:w="1460" w:type="dxa"/>
            <w:vAlign w:val="bottom"/>
            <w:tcBorders>
              <w:bottom w:val="single" w:sz="8" w:color="FDFDFC"/>
            </w:tcBorders>
            <w:shd w:val="clear" w:color="auto" w:fill="FDFDFC"/>
          </w:tcPr>
          <w:p>
            <w:pPr>
              <w:spacing w:after="0"/>
              <w:rPr>
                <w:sz w:val="20"/>
                <w:szCs w:val="20"/>
                <w:color w:val="auto"/>
              </w:rPr>
            </w:pPr>
            <w:r>
              <w:rPr>
                <w:rFonts w:ascii="Times New Roman" w:cs="Times New Roman" w:eastAsia="Times New Roman" w:hAnsi="Times New Roman"/>
                <w:sz w:val="9"/>
                <w:szCs w:val="9"/>
                <w:color w:val="231F20"/>
              </w:rPr>
              <w:t>(11)(13)</w:t>
            </w:r>
          </w:p>
        </w:tc>
        <w:tc>
          <w:tcPr>
            <w:tcW w:w="2420" w:type="dxa"/>
            <w:vAlign w:val="bottom"/>
            <w:tcBorders>
              <w:bottom w:val="single" w:sz="8" w:color="FDFDFC"/>
            </w:tcBorders>
            <w:shd w:val="clear" w:color="auto" w:fill="FDFDFC"/>
          </w:tcPr>
          <w:p>
            <w:pPr>
              <w:ind w:left="60"/>
              <w:spacing w:after="0" w:line="169" w:lineRule="exact"/>
              <w:rPr>
                <w:sz w:val="20"/>
                <w:szCs w:val="20"/>
                <w:color w:val="auto"/>
              </w:rPr>
            </w:pPr>
            <w:r>
              <w:rPr>
                <w:rFonts w:ascii="Times New Roman" w:cs="Times New Roman" w:eastAsia="Times New Roman" w:hAnsi="Times New Roman"/>
                <w:sz w:val="15"/>
                <w:szCs w:val="15"/>
                <w:color w:val="231F20"/>
              </w:rPr>
              <w:t>ownership)</w:t>
            </w:r>
          </w:p>
        </w:tc>
        <w:tc>
          <w:tcPr>
            <w:tcW w:w="820" w:type="dxa"/>
            <w:vAlign w:val="bottom"/>
            <w:tcBorders>
              <w:bottom w:val="single" w:sz="8" w:color="FDFDFC"/>
            </w:tcBorders>
            <w:shd w:val="clear" w:color="auto" w:fill="FDFDFC"/>
          </w:tcPr>
          <w:p>
            <w:pPr>
              <w:spacing w:after="0"/>
              <w:rPr>
                <w:sz w:val="14"/>
                <w:szCs w:val="14"/>
                <w:color w:val="auto"/>
              </w:rPr>
            </w:pPr>
          </w:p>
        </w:tc>
        <w:tc>
          <w:tcPr>
            <w:tcW w:w="1200" w:type="dxa"/>
            <w:vAlign w:val="bottom"/>
            <w:tcBorders>
              <w:bottom w:val="single" w:sz="8" w:color="FDFDFC"/>
            </w:tcBorders>
            <w:shd w:val="clear" w:color="auto" w:fill="FDFDFC"/>
          </w:tcPr>
          <w:p>
            <w:pPr>
              <w:spacing w:after="0"/>
              <w:rPr>
                <w:sz w:val="14"/>
                <w:szCs w:val="14"/>
                <w:color w:val="auto"/>
              </w:rPr>
            </w:pPr>
          </w:p>
        </w:tc>
        <w:tc>
          <w:tcPr>
            <w:tcW w:w="900" w:type="dxa"/>
            <w:vAlign w:val="bottom"/>
            <w:tcBorders>
              <w:bottom w:val="single" w:sz="8" w:color="FDFDFC"/>
            </w:tcBorders>
            <w:shd w:val="clear" w:color="auto" w:fill="FDFDFC"/>
          </w:tcPr>
          <w:p>
            <w:pPr>
              <w:spacing w:after="0"/>
              <w:rPr>
                <w:sz w:val="14"/>
                <w:szCs w:val="14"/>
                <w:color w:val="auto"/>
              </w:rPr>
            </w:pPr>
          </w:p>
        </w:tc>
        <w:tc>
          <w:tcPr>
            <w:tcW w:w="1000" w:type="dxa"/>
            <w:vAlign w:val="bottom"/>
            <w:tcBorders>
              <w:bottom w:val="single" w:sz="8" w:color="FDFDFC"/>
            </w:tcBorders>
            <w:shd w:val="clear" w:color="auto" w:fill="FDFDFC"/>
          </w:tcPr>
          <w:p>
            <w:pPr>
              <w:spacing w:after="0"/>
              <w:rPr>
                <w:sz w:val="14"/>
                <w:szCs w:val="14"/>
                <w:color w:val="auto"/>
              </w:rPr>
            </w:pPr>
          </w:p>
        </w:tc>
        <w:tc>
          <w:tcPr>
            <w:tcW w:w="180" w:type="dxa"/>
            <w:vAlign w:val="bottom"/>
            <w:tcBorders>
              <w:bottom w:val="single" w:sz="8" w:color="FDFDFC"/>
            </w:tcBorders>
            <w:shd w:val="clear" w:color="auto" w:fill="FDFDFC"/>
          </w:tcPr>
          <w:p>
            <w:pPr>
              <w:spacing w:after="0"/>
              <w:rPr>
                <w:sz w:val="14"/>
                <w:szCs w:val="14"/>
                <w:color w:val="auto"/>
              </w:rPr>
            </w:pPr>
          </w:p>
        </w:tc>
        <w:tc>
          <w:tcPr>
            <w:tcW w:w="960" w:type="dxa"/>
            <w:vAlign w:val="bottom"/>
            <w:tcBorders>
              <w:bottom w:val="single" w:sz="8" w:color="FDFDFC"/>
            </w:tcBorders>
            <w:shd w:val="clear" w:color="auto" w:fill="FDFDFC"/>
          </w:tcPr>
          <w:p>
            <w:pPr>
              <w:spacing w:after="0"/>
              <w:rPr>
                <w:sz w:val="14"/>
                <w:szCs w:val="14"/>
                <w:color w:val="auto"/>
              </w:rPr>
            </w:pPr>
          </w:p>
        </w:tc>
        <w:tc>
          <w:tcPr>
            <w:tcW w:w="200" w:type="dxa"/>
            <w:vAlign w:val="bottom"/>
            <w:tcBorders>
              <w:bottom w:val="single" w:sz="8" w:color="FDFDFC"/>
            </w:tcBorders>
            <w:shd w:val="clear" w:color="auto" w:fill="FDFDFC"/>
          </w:tcPr>
          <w:p>
            <w:pPr>
              <w:spacing w:after="0"/>
              <w:rPr>
                <w:sz w:val="14"/>
                <w:szCs w:val="14"/>
                <w:color w:val="auto"/>
              </w:rPr>
            </w:pPr>
          </w:p>
        </w:tc>
        <w:tc>
          <w:tcPr>
            <w:tcW w:w="900" w:type="dxa"/>
            <w:vAlign w:val="bottom"/>
            <w:tcBorders>
              <w:bottom w:val="single" w:sz="8" w:color="FDFDFC"/>
            </w:tcBorders>
            <w:shd w:val="clear" w:color="auto" w:fill="FDFDFC"/>
          </w:tcPr>
          <w:p>
            <w:pPr>
              <w:spacing w:after="0"/>
              <w:rPr>
                <w:sz w:val="14"/>
                <w:szCs w:val="14"/>
                <w:color w:val="auto"/>
              </w:rPr>
            </w:pPr>
          </w:p>
        </w:tc>
        <w:tc>
          <w:tcPr>
            <w:tcW w:w="240" w:type="dxa"/>
            <w:vAlign w:val="bottom"/>
            <w:tcBorders>
              <w:bottom w:val="single" w:sz="8" w:color="FDFDFC"/>
            </w:tcBorders>
            <w:shd w:val="clear" w:color="auto" w:fill="FDFDFC"/>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460" w:type="dxa"/>
            <w:vAlign w:val="bottom"/>
            <w:shd w:val="clear" w:color="auto" w:fill="D0EBF2"/>
          </w:tcPr>
          <w:p>
            <w:pPr>
              <w:spacing w:after="0" w:line="20" w:lineRule="exact"/>
              <w:rPr>
                <w:sz w:val="1"/>
                <w:szCs w:val="1"/>
                <w:color w:val="auto"/>
              </w:rPr>
            </w:pPr>
          </w:p>
        </w:tc>
        <w:tc>
          <w:tcPr>
            <w:tcW w:w="2420" w:type="dxa"/>
            <w:vAlign w:val="bottom"/>
            <w:shd w:val="clear" w:color="auto" w:fill="D0EBF2"/>
          </w:tcPr>
          <w:p>
            <w:pPr>
              <w:spacing w:after="0" w:line="20" w:lineRule="exact"/>
              <w:rPr>
                <w:sz w:val="1"/>
                <w:szCs w:val="1"/>
                <w:color w:val="auto"/>
              </w:rPr>
            </w:pPr>
          </w:p>
        </w:tc>
        <w:tc>
          <w:tcPr>
            <w:tcW w:w="820" w:type="dxa"/>
            <w:vAlign w:val="bottom"/>
            <w:shd w:val="clear" w:color="auto" w:fill="D0EBF2"/>
          </w:tcPr>
          <w:p>
            <w:pPr>
              <w:spacing w:after="0" w:line="20" w:lineRule="exact"/>
              <w:rPr>
                <w:sz w:val="1"/>
                <w:szCs w:val="1"/>
                <w:color w:val="auto"/>
              </w:rPr>
            </w:pPr>
          </w:p>
        </w:tc>
        <w:tc>
          <w:tcPr>
            <w:tcW w:w="1200" w:type="dxa"/>
            <w:vAlign w:val="bottom"/>
            <w:shd w:val="clear" w:color="auto" w:fill="D0EBF2"/>
          </w:tcPr>
          <w:p>
            <w:pPr>
              <w:spacing w:after="0" w:line="20" w:lineRule="exact"/>
              <w:rPr>
                <w:sz w:val="1"/>
                <w:szCs w:val="1"/>
                <w:color w:val="auto"/>
              </w:rPr>
            </w:pPr>
          </w:p>
        </w:tc>
        <w:tc>
          <w:tcPr>
            <w:tcW w:w="900" w:type="dxa"/>
            <w:vAlign w:val="bottom"/>
            <w:shd w:val="clear" w:color="auto" w:fill="D0EBF2"/>
          </w:tcPr>
          <w:p>
            <w:pPr>
              <w:spacing w:after="0" w:line="20" w:lineRule="exact"/>
              <w:rPr>
                <w:sz w:val="1"/>
                <w:szCs w:val="1"/>
                <w:color w:val="auto"/>
              </w:rPr>
            </w:pPr>
          </w:p>
        </w:tc>
        <w:tc>
          <w:tcPr>
            <w:tcW w:w="1000" w:type="dxa"/>
            <w:vAlign w:val="bottom"/>
            <w:shd w:val="clear" w:color="auto" w:fill="231F20"/>
          </w:tcPr>
          <w:p>
            <w:pPr>
              <w:spacing w:after="0" w:line="20" w:lineRule="exact"/>
              <w:rPr>
                <w:sz w:val="1"/>
                <w:szCs w:val="1"/>
                <w:color w:val="auto"/>
              </w:rPr>
            </w:pPr>
          </w:p>
        </w:tc>
        <w:tc>
          <w:tcPr>
            <w:tcW w:w="180" w:type="dxa"/>
            <w:vAlign w:val="bottom"/>
            <w:shd w:val="clear" w:color="auto" w:fill="D0EBF2"/>
          </w:tcPr>
          <w:p>
            <w:pPr>
              <w:spacing w:after="0" w:line="20" w:lineRule="exact"/>
              <w:rPr>
                <w:sz w:val="1"/>
                <w:szCs w:val="1"/>
                <w:color w:val="auto"/>
              </w:rPr>
            </w:pPr>
          </w:p>
        </w:tc>
        <w:tc>
          <w:tcPr>
            <w:tcW w:w="960" w:type="dxa"/>
            <w:vAlign w:val="bottom"/>
            <w:shd w:val="clear" w:color="auto" w:fill="231F20"/>
          </w:tcPr>
          <w:p>
            <w:pPr>
              <w:spacing w:after="0" w:line="20" w:lineRule="exact"/>
              <w:rPr>
                <w:sz w:val="1"/>
                <w:szCs w:val="1"/>
                <w:color w:val="auto"/>
              </w:rPr>
            </w:pPr>
          </w:p>
        </w:tc>
        <w:tc>
          <w:tcPr>
            <w:tcW w:w="200" w:type="dxa"/>
            <w:vAlign w:val="bottom"/>
            <w:shd w:val="clear" w:color="auto" w:fill="D0EBF2"/>
          </w:tcPr>
          <w:p>
            <w:pPr>
              <w:spacing w:after="0" w:line="20" w:lineRule="exact"/>
              <w:rPr>
                <w:sz w:val="1"/>
                <w:szCs w:val="1"/>
                <w:color w:val="auto"/>
              </w:rPr>
            </w:pPr>
          </w:p>
        </w:tc>
        <w:tc>
          <w:tcPr>
            <w:tcW w:w="900" w:type="dxa"/>
            <w:vAlign w:val="bottom"/>
            <w:shd w:val="clear" w:color="auto" w:fill="231F20"/>
          </w:tcPr>
          <w:p>
            <w:pPr>
              <w:spacing w:after="0" w:line="20" w:lineRule="exact"/>
              <w:rPr>
                <w:sz w:val="1"/>
                <w:szCs w:val="1"/>
                <w:color w:val="auto"/>
              </w:rPr>
            </w:pPr>
          </w:p>
        </w:tc>
        <w:tc>
          <w:tcPr>
            <w:tcW w:w="240" w:type="dxa"/>
            <w:vAlign w:val="bottom"/>
            <w:shd w:val="clear" w:color="auto" w:fill="FDFD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460" w:type="dxa"/>
            <w:vAlign w:val="bottom"/>
            <w:shd w:val="clear" w:color="auto" w:fill="D0EBF2"/>
          </w:tcPr>
          <w:p>
            <w:pPr>
              <w:spacing w:after="0"/>
              <w:rPr>
                <w:sz w:val="15"/>
                <w:szCs w:val="15"/>
                <w:color w:val="auto"/>
              </w:rPr>
            </w:pPr>
          </w:p>
        </w:tc>
        <w:tc>
          <w:tcPr>
            <w:tcW w:w="2420" w:type="dxa"/>
            <w:vAlign w:val="bottom"/>
            <w:shd w:val="clear" w:color="auto" w:fill="D0EBF2"/>
          </w:tcPr>
          <w:p>
            <w:pPr>
              <w:spacing w:after="0"/>
              <w:rPr>
                <w:sz w:val="15"/>
                <w:szCs w:val="15"/>
                <w:color w:val="auto"/>
              </w:rPr>
            </w:pPr>
          </w:p>
        </w:tc>
        <w:tc>
          <w:tcPr>
            <w:tcW w:w="820" w:type="dxa"/>
            <w:vAlign w:val="bottom"/>
            <w:shd w:val="clear" w:color="auto" w:fill="D0EBF2"/>
          </w:tcPr>
          <w:p>
            <w:pPr>
              <w:spacing w:after="0"/>
              <w:rPr>
                <w:sz w:val="15"/>
                <w:szCs w:val="15"/>
                <w:color w:val="auto"/>
              </w:rPr>
            </w:pPr>
          </w:p>
        </w:tc>
        <w:tc>
          <w:tcPr>
            <w:tcW w:w="1200" w:type="dxa"/>
            <w:vAlign w:val="bottom"/>
            <w:shd w:val="clear" w:color="auto" w:fill="D0EBF2"/>
          </w:tcPr>
          <w:p>
            <w:pPr>
              <w:spacing w:after="0"/>
              <w:rPr>
                <w:sz w:val="15"/>
                <w:szCs w:val="15"/>
                <w:color w:val="auto"/>
              </w:rPr>
            </w:pPr>
          </w:p>
        </w:tc>
        <w:tc>
          <w:tcPr>
            <w:tcW w:w="900" w:type="dxa"/>
            <w:vAlign w:val="bottom"/>
            <w:shd w:val="clear" w:color="auto" w:fill="D0EBF2"/>
          </w:tcPr>
          <w:p>
            <w:pPr>
              <w:spacing w:after="0"/>
              <w:rPr>
                <w:sz w:val="15"/>
                <w:szCs w:val="15"/>
                <w:color w:val="auto"/>
              </w:rPr>
            </w:pPr>
          </w:p>
        </w:tc>
        <w:tc>
          <w:tcPr>
            <w:tcW w:w="1000" w:type="dxa"/>
            <w:vAlign w:val="bottom"/>
            <w:shd w:val="clear" w:color="auto" w:fill="D0EBF2"/>
          </w:tcPr>
          <w:p>
            <w:pPr>
              <w:jc w:val="right"/>
              <w:spacing w:after="0" w:line="164" w:lineRule="exact"/>
              <w:rPr>
                <w:sz w:val="20"/>
                <w:szCs w:val="20"/>
                <w:color w:val="auto"/>
              </w:rPr>
            </w:pPr>
            <w:r>
              <w:rPr>
                <w:rFonts w:ascii="Times New Roman" w:cs="Times New Roman" w:eastAsia="Times New Roman" w:hAnsi="Times New Roman"/>
                <w:sz w:val="15"/>
                <w:szCs w:val="15"/>
                <w:color w:val="231F20"/>
              </w:rPr>
              <w:t>22,110</w:t>
            </w:r>
          </w:p>
        </w:tc>
        <w:tc>
          <w:tcPr>
            <w:tcW w:w="180" w:type="dxa"/>
            <w:vAlign w:val="bottom"/>
            <w:shd w:val="clear" w:color="auto" w:fill="D0EBF2"/>
          </w:tcPr>
          <w:p>
            <w:pPr>
              <w:spacing w:after="0"/>
              <w:rPr>
                <w:sz w:val="15"/>
                <w:szCs w:val="15"/>
                <w:color w:val="auto"/>
              </w:rPr>
            </w:pPr>
          </w:p>
        </w:tc>
        <w:tc>
          <w:tcPr>
            <w:tcW w:w="960" w:type="dxa"/>
            <w:vAlign w:val="bottom"/>
            <w:shd w:val="clear" w:color="auto" w:fill="D0EBF2"/>
          </w:tcPr>
          <w:p>
            <w:pPr>
              <w:jc w:val="right"/>
              <w:spacing w:after="0" w:line="164" w:lineRule="exact"/>
              <w:rPr>
                <w:sz w:val="20"/>
                <w:szCs w:val="20"/>
                <w:color w:val="auto"/>
              </w:rPr>
            </w:pPr>
            <w:r>
              <w:rPr>
                <w:rFonts w:ascii="Times New Roman" w:cs="Times New Roman" w:eastAsia="Times New Roman" w:hAnsi="Times New Roman"/>
                <w:sz w:val="15"/>
                <w:szCs w:val="15"/>
                <w:color w:val="231F20"/>
              </w:rPr>
              <w:t>25,669</w:t>
            </w:r>
          </w:p>
        </w:tc>
        <w:tc>
          <w:tcPr>
            <w:tcW w:w="200" w:type="dxa"/>
            <w:vAlign w:val="bottom"/>
            <w:shd w:val="clear" w:color="auto" w:fill="D0EBF2"/>
          </w:tcPr>
          <w:p>
            <w:pPr>
              <w:spacing w:after="0"/>
              <w:rPr>
                <w:sz w:val="15"/>
                <w:szCs w:val="15"/>
                <w:color w:val="auto"/>
              </w:rPr>
            </w:pPr>
          </w:p>
        </w:tc>
        <w:tc>
          <w:tcPr>
            <w:tcW w:w="1140" w:type="dxa"/>
            <w:vAlign w:val="bottom"/>
            <w:gridSpan w:val="2"/>
          </w:tcPr>
          <w:p>
            <w:pPr>
              <w:jc w:val="right"/>
              <w:ind w:right="120"/>
              <w:spacing w:after="0" w:line="164" w:lineRule="exact"/>
              <w:rPr>
                <w:sz w:val="20"/>
                <w:szCs w:val="20"/>
                <w:color w:val="auto"/>
              </w:rPr>
            </w:pPr>
            <w:r>
              <w:rPr>
                <w:rFonts w:ascii="Times New Roman" w:cs="Times New Roman" w:eastAsia="Times New Roman" w:hAnsi="Times New Roman"/>
                <w:sz w:val="15"/>
                <w:szCs w:val="15"/>
                <w:color w:val="231F20"/>
              </w:rPr>
              <w:t>1.7%</w:t>
            </w:r>
          </w:p>
        </w:tc>
        <w:tc>
          <w:tcPr>
            <w:tcW w:w="0" w:type="dxa"/>
            <w:vAlign w:val="bottom"/>
          </w:tcPr>
          <w:p>
            <w:pPr>
              <w:spacing w:after="0"/>
              <w:rPr>
                <w:sz w:val="1"/>
                <w:szCs w:val="1"/>
                <w:color w:val="auto"/>
              </w:rPr>
            </w:pPr>
          </w:p>
        </w:tc>
      </w:tr>
      <w:tr>
        <w:trPr>
          <w:trHeight w:val="143"/>
        </w:trPr>
        <w:tc>
          <w:tcPr>
            <w:tcW w:w="1460" w:type="dxa"/>
            <w:vAlign w:val="bottom"/>
            <w:tcBorders>
              <w:top w:val="single" w:sz="8" w:color="D0EBF2"/>
            </w:tcBorders>
            <w:shd w:val="clear" w:color="auto" w:fill="FDFDFC"/>
          </w:tcPr>
          <w:p>
            <w:pPr>
              <w:spacing w:after="0" w:line="144" w:lineRule="exact"/>
              <w:rPr>
                <w:sz w:val="20"/>
                <w:szCs w:val="20"/>
                <w:color w:val="auto"/>
              </w:rPr>
            </w:pPr>
            <w:r>
              <w:rPr>
                <w:rFonts w:ascii="Times New Roman" w:cs="Times New Roman" w:eastAsia="Times New Roman" w:hAnsi="Times New Roman"/>
                <w:sz w:val="15"/>
                <w:szCs w:val="15"/>
                <w:b w:val="1"/>
                <w:bCs w:val="1"/>
                <w:color w:val="231F20"/>
              </w:rPr>
              <w:t>Pharmaceuticals</w:t>
            </w:r>
          </w:p>
        </w:tc>
        <w:tc>
          <w:tcPr>
            <w:tcW w:w="2420" w:type="dxa"/>
            <w:vAlign w:val="bottom"/>
            <w:tcBorders>
              <w:top w:val="single" w:sz="8" w:color="D0EBF2"/>
            </w:tcBorders>
            <w:shd w:val="clear" w:color="auto" w:fill="FDFDFC"/>
          </w:tcPr>
          <w:p>
            <w:pPr>
              <w:spacing w:after="0"/>
              <w:rPr>
                <w:sz w:val="12"/>
                <w:szCs w:val="12"/>
                <w:color w:val="auto"/>
              </w:rPr>
            </w:pPr>
          </w:p>
        </w:tc>
        <w:tc>
          <w:tcPr>
            <w:tcW w:w="820" w:type="dxa"/>
            <w:vAlign w:val="bottom"/>
            <w:tcBorders>
              <w:top w:val="single" w:sz="8" w:color="D0EBF2"/>
            </w:tcBorders>
            <w:shd w:val="clear" w:color="auto" w:fill="FDFDFC"/>
          </w:tcPr>
          <w:p>
            <w:pPr>
              <w:spacing w:after="0"/>
              <w:rPr>
                <w:sz w:val="12"/>
                <w:szCs w:val="12"/>
                <w:color w:val="auto"/>
              </w:rPr>
            </w:pPr>
          </w:p>
        </w:tc>
        <w:tc>
          <w:tcPr>
            <w:tcW w:w="1200" w:type="dxa"/>
            <w:vAlign w:val="bottom"/>
            <w:tcBorders>
              <w:top w:val="single" w:sz="8" w:color="D0EBF2"/>
            </w:tcBorders>
            <w:shd w:val="clear" w:color="auto" w:fill="FDFDFC"/>
          </w:tcPr>
          <w:p>
            <w:pPr>
              <w:spacing w:after="0"/>
              <w:rPr>
                <w:sz w:val="12"/>
                <w:szCs w:val="12"/>
                <w:color w:val="auto"/>
              </w:rPr>
            </w:pPr>
          </w:p>
        </w:tc>
        <w:tc>
          <w:tcPr>
            <w:tcW w:w="900" w:type="dxa"/>
            <w:vAlign w:val="bottom"/>
            <w:tcBorders>
              <w:top w:val="single" w:sz="8" w:color="D0EBF2"/>
            </w:tcBorders>
            <w:shd w:val="clear" w:color="auto" w:fill="FDFDFC"/>
          </w:tcPr>
          <w:p>
            <w:pPr>
              <w:spacing w:after="0"/>
              <w:rPr>
                <w:sz w:val="12"/>
                <w:szCs w:val="12"/>
                <w:color w:val="auto"/>
              </w:rPr>
            </w:pPr>
          </w:p>
        </w:tc>
        <w:tc>
          <w:tcPr>
            <w:tcW w:w="1000" w:type="dxa"/>
            <w:vAlign w:val="bottom"/>
            <w:tcBorders>
              <w:top w:val="single" w:sz="8" w:color="231F20"/>
            </w:tcBorders>
            <w:shd w:val="clear" w:color="auto" w:fill="FDFDFC"/>
          </w:tcPr>
          <w:p>
            <w:pPr>
              <w:spacing w:after="0"/>
              <w:rPr>
                <w:sz w:val="12"/>
                <w:szCs w:val="12"/>
                <w:color w:val="auto"/>
              </w:rPr>
            </w:pPr>
          </w:p>
        </w:tc>
        <w:tc>
          <w:tcPr>
            <w:tcW w:w="180" w:type="dxa"/>
            <w:vAlign w:val="bottom"/>
            <w:tcBorders>
              <w:top w:val="single" w:sz="8" w:color="D0EBF2"/>
            </w:tcBorders>
            <w:shd w:val="clear" w:color="auto" w:fill="FDFDFC"/>
          </w:tcPr>
          <w:p>
            <w:pPr>
              <w:spacing w:after="0"/>
              <w:rPr>
                <w:sz w:val="12"/>
                <w:szCs w:val="12"/>
                <w:color w:val="auto"/>
              </w:rPr>
            </w:pPr>
          </w:p>
        </w:tc>
        <w:tc>
          <w:tcPr>
            <w:tcW w:w="960" w:type="dxa"/>
            <w:vAlign w:val="bottom"/>
            <w:tcBorders>
              <w:top w:val="single" w:sz="8" w:color="231F20"/>
            </w:tcBorders>
            <w:shd w:val="clear" w:color="auto" w:fill="FDFDFC"/>
          </w:tcPr>
          <w:p>
            <w:pPr>
              <w:spacing w:after="0"/>
              <w:rPr>
                <w:sz w:val="12"/>
                <w:szCs w:val="12"/>
                <w:color w:val="auto"/>
              </w:rPr>
            </w:pPr>
          </w:p>
        </w:tc>
        <w:tc>
          <w:tcPr>
            <w:tcW w:w="200" w:type="dxa"/>
            <w:vAlign w:val="bottom"/>
            <w:tcBorders>
              <w:top w:val="single" w:sz="8" w:color="D0EBF2"/>
            </w:tcBorders>
            <w:shd w:val="clear" w:color="auto" w:fill="FDFDFC"/>
          </w:tcPr>
          <w:p>
            <w:pPr>
              <w:spacing w:after="0"/>
              <w:rPr>
                <w:sz w:val="12"/>
                <w:szCs w:val="12"/>
                <w:color w:val="auto"/>
              </w:rPr>
            </w:pPr>
          </w:p>
        </w:tc>
        <w:tc>
          <w:tcPr>
            <w:tcW w:w="900" w:type="dxa"/>
            <w:vAlign w:val="bottom"/>
            <w:tcBorders>
              <w:top w:val="single" w:sz="8" w:color="231F20"/>
            </w:tcBorders>
            <w:shd w:val="clear" w:color="auto" w:fill="FDFDFC"/>
          </w:tcPr>
          <w:p>
            <w:pPr>
              <w:spacing w:after="0"/>
              <w:rPr>
                <w:sz w:val="12"/>
                <w:szCs w:val="12"/>
                <w:color w:val="auto"/>
              </w:rPr>
            </w:pPr>
          </w:p>
        </w:tc>
        <w:tc>
          <w:tcPr>
            <w:tcW w:w="240" w:type="dxa"/>
            <w:vAlign w:val="bottom"/>
            <w:tcBorders>
              <w:top w:val="single" w:sz="8" w:color="FDFDFC"/>
            </w:tcBorders>
            <w:shd w:val="clear" w:color="auto" w:fill="FDFDFC"/>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1460" w:type="dxa"/>
            <w:vAlign w:val="bottom"/>
            <w:shd w:val="clear" w:color="auto" w:fill="D0EBF2"/>
          </w:tcPr>
          <w:p>
            <w:pPr>
              <w:spacing w:after="0" w:line="171" w:lineRule="exact"/>
              <w:rPr>
                <w:sz w:val="20"/>
                <w:szCs w:val="20"/>
                <w:color w:val="auto"/>
              </w:rPr>
            </w:pPr>
            <w:r>
              <w:rPr>
                <w:rFonts w:ascii="Times New Roman" w:cs="Times New Roman" w:eastAsia="Times New Roman" w:hAnsi="Times New Roman"/>
                <w:sz w:val="15"/>
                <w:szCs w:val="15"/>
                <w:color w:val="231F20"/>
              </w:rPr>
              <w:t>TherapeuticsMD, Inc.</w:t>
            </w:r>
          </w:p>
        </w:tc>
        <w:tc>
          <w:tcPr>
            <w:tcW w:w="2420" w:type="dxa"/>
            <w:vAlign w:val="bottom"/>
            <w:shd w:val="clear" w:color="auto" w:fill="D0EBF2"/>
          </w:tcPr>
          <w:p>
            <w:pPr>
              <w:ind w:left="60"/>
              <w:spacing w:after="0" w:line="171" w:lineRule="exact"/>
              <w:rPr>
                <w:sz w:val="20"/>
                <w:szCs w:val="20"/>
                <w:color w:val="auto"/>
              </w:rPr>
            </w:pPr>
            <w:r>
              <w:rPr>
                <w:rFonts w:ascii="Times New Roman" w:cs="Times New Roman" w:eastAsia="Times New Roman" w:hAnsi="Times New Roman"/>
                <w:sz w:val="15"/>
                <w:szCs w:val="15"/>
                <w:color w:val="231F20"/>
              </w:rPr>
              <w:t>14,256 Warrants</w:t>
            </w:r>
          </w:p>
        </w:tc>
        <w:tc>
          <w:tcPr>
            <w:tcW w:w="820" w:type="dxa"/>
            <w:vAlign w:val="bottom"/>
            <w:shd w:val="clear" w:color="auto" w:fill="D0EBF2"/>
          </w:tcPr>
          <w:p>
            <w:pPr>
              <w:jc w:val="right"/>
              <w:spacing w:after="0" w:line="171" w:lineRule="exact"/>
              <w:rPr>
                <w:sz w:val="20"/>
                <w:szCs w:val="20"/>
                <w:color w:val="auto"/>
              </w:rPr>
            </w:pPr>
            <w:r>
              <w:rPr>
                <w:rFonts w:ascii="Times New Roman" w:cs="Times New Roman" w:eastAsia="Times New Roman" w:hAnsi="Times New Roman"/>
                <w:sz w:val="15"/>
                <w:szCs w:val="15"/>
                <w:color w:val="231F20"/>
              </w:rPr>
              <w:t>8/5/2020</w:t>
            </w:r>
          </w:p>
        </w:tc>
        <w:tc>
          <w:tcPr>
            <w:tcW w:w="1200" w:type="dxa"/>
            <w:vAlign w:val="bottom"/>
            <w:shd w:val="clear" w:color="auto" w:fill="D0EBF2"/>
          </w:tcPr>
          <w:p>
            <w:pPr>
              <w:spacing w:after="0"/>
              <w:rPr>
                <w:sz w:val="14"/>
                <w:szCs w:val="14"/>
                <w:color w:val="auto"/>
              </w:rPr>
            </w:pPr>
          </w:p>
        </w:tc>
        <w:tc>
          <w:tcPr>
            <w:tcW w:w="900" w:type="dxa"/>
            <w:vAlign w:val="bottom"/>
            <w:shd w:val="clear" w:color="auto" w:fill="D0EBF2"/>
          </w:tcPr>
          <w:p>
            <w:pPr>
              <w:spacing w:after="0"/>
              <w:rPr>
                <w:sz w:val="14"/>
                <w:szCs w:val="14"/>
                <w:color w:val="auto"/>
              </w:rPr>
            </w:pPr>
          </w:p>
        </w:tc>
        <w:tc>
          <w:tcPr>
            <w:tcW w:w="1000" w:type="dxa"/>
            <w:vAlign w:val="bottom"/>
            <w:shd w:val="clear" w:color="auto" w:fill="D0EBF2"/>
          </w:tcPr>
          <w:p>
            <w:pPr>
              <w:jc w:val="right"/>
              <w:spacing w:after="0" w:line="171" w:lineRule="exact"/>
              <w:rPr>
                <w:sz w:val="20"/>
                <w:szCs w:val="20"/>
                <w:color w:val="auto"/>
              </w:rPr>
            </w:pPr>
            <w:r>
              <w:rPr>
                <w:rFonts w:ascii="Times New Roman" w:cs="Times New Roman" w:eastAsia="Times New Roman" w:hAnsi="Times New Roman"/>
                <w:sz w:val="15"/>
                <w:szCs w:val="15"/>
                <w:color w:val="231F20"/>
              </w:rPr>
              <w:t>1,029</w:t>
            </w:r>
          </w:p>
        </w:tc>
        <w:tc>
          <w:tcPr>
            <w:tcW w:w="180" w:type="dxa"/>
            <w:vAlign w:val="bottom"/>
            <w:shd w:val="clear" w:color="auto" w:fill="D0EBF2"/>
          </w:tcPr>
          <w:p>
            <w:pPr>
              <w:spacing w:after="0"/>
              <w:rPr>
                <w:sz w:val="14"/>
                <w:szCs w:val="14"/>
                <w:color w:val="auto"/>
              </w:rPr>
            </w:pPr>
          </w:p>
        </w:tc>
        <w:tc>
          <w:tcPr>
            <w:tcW w:w="960" w:type="dxa"/>
            <w:vAlign w:val="bottom"/>
            <w:shd w:val="clear" w:color="auto" w:fill="D0EBF2"/>
          </w:tcPr>
          <w:p>
            <w:pPr>
              <w:jc w:val="right"/>
              <w:spacing w:after="0" w:line="171" w:lineRule="exact"/>
              <w:rPr>
                <w:sz w:val="20"/>
                <w:szCs w:val="20"/>
                <w:color w:val="auto"/>
              </w:rPr>
            </w:pPr>
            <w:r>
              <w:rPr>
                <w:rFonts w:ascii="Times New Roman" w:cs="Times New Roman" w:eastAsia="Times New Roman" w:hAnsi="Times New Roman"/>
                <w:sz w:val="15"/>
                <w:szCs w:val="15"/>
                <w:color w:val="231F20"/>
              </w:rPr>
              <w:t>—</w:t>
            </w:r>
          </w:p>
        </w:tc>
        <w:tc>
          <w:tcPr>
            <w:tcW w:w="200" w:type="dxa"/>
            <w:vAlign w:val="bottom"/>
            <w:shd w:val="clear" w:color="auto" w:fill="D0EBF2"/>
          </w:tcPr>
          <w:p>
            <w:pPr>
              <w:spacing w:after="0"/>
              <w:rPr>
                <w:sz w:val="14"/>
                <w:szCs w:val="14"/>
                <w:color w:val="auto"/>
              </w:rPr>
            </w:pPr>
          </w:p>
        </w:tc>
        <w:tc>
          <w:tcPr>
            <w:tcW w:w="1140" w:type="dxa"/>
            <w:vAlign w:val="bottom"/>
            <w:gridSpan w:val="2"/>
            <w:shd w:val="clear" w:color="auto" w:fill="D0EBF2"/>
          </w:tcPr>
          <w:p>
            <w:pPr>
              <w:jc w:val="right"/>
              <w:ind w:right="120"/>
              <w:spacing w:after="0" w:line="171" w:lineRule="exact"/>
              <w:rPr>
                <w:sz w:val="20"/>
                <w:szCs w:val="20"/>
                <w:color w:val="auto"/>
              </w:rPr>
            </w:pPr>
            <w:r>
              <w:rPr>
                <w:rFonts w:ascii="Times New Roman" w:cs="Times New Roman" w:eastAsia="Times New Roman" w:hAnsi="Times New Roman"/>
                <w:sz w:val="15"/>
                <w:szCs w:val="15"/>
                <w:color w:val="231F20"/>
              </w:rPr>
              <w:t>0.0%</w:t>
            </w:r>
          </w:p>
        </w:tc>
        <w:tc>
          <w:tcPr>
            <w:tcW w:w="0" w:type="dxa"/>
            <w:vAlign w:val="bottom"/>
          </w:tcPr>
          <w:p>
            <w:pPr>
              <w:spacing w:after="0"/>
              <w:rPr>
                <w:sz w:val="1"/>
                <w:szCs w:val="1"/>
                <w:color w:val="auto"/>
              </w:rPr>
            </w:pPr>
          </w:p>
        </w:tc>
      </w:tr>
      <w:tr>
        <w:trPr>
          <w:trHeight w:val="157"/>
        </w:trPr>
        <w:tc>
          <w:tcPr>
            <w:tcW w:w="1460" w:type="dxa"/>
            <w:vAlign w:val="bottom"/>
            <w:tcBorders>
              <w:bottom w:val="single" w:sz="8" w:color="D0EBF2"/>
            </w:tcBorders>
            <w:shd w:val="clear" w:color="auto" w:fill="D0EBF2"/>
          </w:tcPr>
          <w:p>
            <w:pPr>
              <w:spacing w:after="0"/>
              <w:rPr>
                <w:sz w:val="20"/>
                <w:szCs w:val="20"/>
                <w:color w:val="auto"/>
              </w:rPr>
            </w:pPr>
            <w:r>
              <w:rPr>
                <w:rFonts w:ascii="Times New Roman" w:cs="Times New Roman" w:eastAsia="Times New Roman" w:hAnsi="Times New Roman"/>
                <w:sz w:val="9"/>
                <w:szCs w:val="9"/>
                <w:color w:val="231F20"/>
              </w:rPr>
              <w:t>(4)(11)</w:t>
            </w:r>
          </w:p>
        </w:tc>
        <w:tc>
          <w:tcPr>
            <w:tcW w:w="2420" w:type="dxa"/>
            <w:vAlign w:val="bottom"/>
            <w:tcBorders>
              <w:bottom w:val="single" w:sz="8" w:color="D0EBF2"/>
            </w:tcBorders>
            <w:shd w:val="clear" w:color="auto" w:fill="D0EBF2"/>
          </w:tcPr>
          <w:p>
            <w:pPr>
              <w:spacing w:after="0"/>
              <w:rPr>
                <w:sz w:val="13"/>
                <w:szCs w:val="13"/>
                <w:color w:val="auto"/>
              </w:rPr>
            </w:pPr>
          </w:p>
        </w:tc>
        <w:tc>
          <w:tcPr>
            <w:tcW w:w="820" w:type="dxa"/>
            <w:vAlign w:val="bottom"/>
            <w:tcBorders>
              <w:bottom w:val="single" w:sz="8" w:color="D0EBF2"/>
            </w:tcBorders>
            <w:shd w:val="clear" w:color="auto" w:fill="D0EBF2"/>
          </w:tcPr>
          <w:p>
            <w:pPr>
              <w:spacing w:after="0"/>
              <w:rPr>
                <w:sz w:val="13"/>
                <w:szCs w:val="13"/>
                <w:color w:val="auto"/>
              </w:rPr>
            </w:pPr>
          </w:p>
        </w:tc>
        <w:tc>
          <w:tcPr>
            <w:tcW w:w="1200" w:type="dxa"/>
            <w:vAlign w:val="bottom"/>
            <w:tcBorders>
              <w:bottom w:val="single" w:sz="8" w:color="D0EBF2"/>
            </w:tcBorders>
            <w:shd w:val="clear" w:color="auto" w:fill="D0EBF2"/>
          </w:tcPr>
          <w:p>
            <w:pPr>
              <w:spacing w:after="0"/>
              <w:rPr>
                <w:sz w:val="13"/>
                <w:szCs w:val="13"/>
                <w:color w:val="auto"/>
              </w:rPr>
            </w:pPr>
          </w:p>
        </w:tc>
        <w:tc>
          <w:tcPr>
            <w:tcW w:w="900" w:type="dxa"/>
            <w:vAlign w:val="bottom"/>
            <w:tcBorders>
              <w:bottom w:val="single" w:sz="8" w:color="D0EBF2"/>
            </w:tcBorders>
            <w:shd w:val="clear" w:color="auto" w:fill="D0EBF2"/>
          </w:tcPr>
          <w:p>
            <w:pPr>
              <w:spacing w:after="0"/>
              <w:rPr>
                <w:sz w:val="13"/>
                <w:szCs w:val="13"/>
                <w:color w:val="auto"/>
              </w:rPr>
            </w:pPr>
          </w:p>
        </w:tc>
        <w:tc>
          <w:tcPr>
            <w:tcW w:w="1000" w:type="dxa"/>
            <w:vAlign w:val="bottom"/>
            <w:tcBorders>
              <w:bottom w:val="single" w:sz="8" w:color="D0EBF2"/>
            </w:tcBorders>
            <w:shd w:val="clear" w:color="auto" w:fill="D0EBF2"/>
          </w:tcPr>
          <w:p>
            <w:pPr>
              <w:spacing w:after="0"/>
              <w:rPr>
                <w:sz w:val="13"/>
                <w:szCs w:val="13"/>
                <w:color w:val="auto"/>
              </w:rPr>
            </w:pPr>
          </w:p>
        </w:tc>
        <w:tc>
          <w:tcPr>
            <w:tcW w:w="180" w:type="dxa"/>
            <w:vAlign w:val="bottom"/>
            <w:tcBorders>
              <w:bottom w:val="single" w:sz="8" w:color="D0EBF2"/>
            </w:tcBorders>
            <w:shd w:val="clear" w:color="auto" w:fill="D0EBF2"/>
          </w:tcPr>
          <w:p>
            <w:pPr>
              <w:spacing w:after="0"/>
              <w:rPr>
                <w:sz w:val="13"/>
                <w:szCs w:val="13"/>
                <w:color w:val="auto"/>
              </w:rPr>
            </w:pPr>
          </w:p>
        </w:tc>
        <w:tc>
          <w:tcPr>
            <w:tcW w:w="960" w:type="dxa"/>
            <w:vAlign w:val="bottom"/>
            <w:tcBorders>
              <w:bottom w:val="single" w:sz="8" w:color="D0EBF2"/>
            </w:tcBorders>
            <w:shd w:val="clear" w:color="auto" w:fill="D0EBF2"/>
          </w:tcPr>
          <w:p>
            <w:pPr>
              <w:spacing w:after="0"/>
              <w:rPr>
                <w:sz w:val="13"/>
                <w:szCs w:val="13"/>
                <w:color w:val="auto"/>
              </w:rPr>
            </w:pPr>
          </w:p>
        </w:tc>
        <w:tc>
          <w:tcPr>
            <w:tcW w:w="200" w:type="dxa"/>
            <w:vAlign w:val="bottom"/>
            <w:tcBorders>
              <w:bottom w:val="single" w:sz="8" w:color="D0EBF2"/>
            </w:tcBorders>
            <w:shd w:val="clear" w:color="auto" w:fill="D0EBF2"/>
          </w:tcPr>
          <w:p>
            <w:pPr>
              <w:spacing w:after="0"/>
              <w:rPr>
                <w:sz w:val="13"/>
                <w:szCs w:val="13"/>
                <w:color w:val="auto"/>
              </w:rPr>
            </w:pPr>
          </w:p>
        </w:tc>
        <w:tc>
          <w:tcPr>
            <w:tcW w:w="900" w:type="dxa"/>
            <w:vAlign w:val="bottom"/>
            <w:tcBorders>
              <w:bottom w:val="single" w:sz="8" w:color="D0EBF2"/>
            </w:tcBorders>
            <w:shd w:val="clear" w:color="auto" w:fill="D0EBF2"/>
          </w:tcPr>
          <w:p>
            <w:pPr>
              <w:spacing w:after="0"/>
              <w:rPr>
                <w:sz w:val="13"/>
                <w:szCs w:val="13"/>
                <w:color w:val="auto"/>
              </w:rPr>
            </w:pPr>
          </w:p>
        </w:tc>
        <w:tc>
          <w:tcPr>
            <w:tcW w:w="240" w:type="dxa"/>
            <w:vAlign w:val="bottom"/>
            <w:tcBorders>
              <w:bottom w:val="single" w:sz="8" w:color="D0EBF2"/>
            </w:tcBorders>
            <w:shd w:val="clear" w:color="auto" w:fill="D0EBF2"/>
          </w:tcPr>
          <w:p>
            <w:pPr>
              <w:spacing w:after="0"/>
              <w:rPr>
                <w:sz w:val="13"/>
                <w:szCs w:val="13"/>
                <w:color w:val="auto"/>
              </w:rPr>
            </w:pPr>
          </w:p>
        </w:tc>
        <w:tc>
          <w:tcPr>
            <w:tcW w:w="0" w:type="dxa"/>
            <w:vAlign w:val="bottom"/>
          </w:tcPr>
          <w:p>
            <w:pPr>
              <w:spacing w:after="0"/>
              <w:rPr>
                <w:sz w:val="1"/>
                <w:szCs w:val="1"/>
                <w:color w:val="auto"/>
              </w:rPr>
            </w:pPr>
          </w:p>
        </w:tc>
      </w:tr>
      <w:tr>
        <w:trPr>
          <w:trHeight w:val="174"/>
        </w:trPr>
        <w:tc>
          <w:tcPr>
            <w:tcW w:w="1460" w:type="dxa"/>
            <w:vAlign w:val="bottom"/>
            <w:shd w:val="clear" w:color="auto" w:fill="FDFDFC"/>
          </w:tcPr>
          <w:p>
            <w:pPr>
              <w:spacing w:after="0"/>
              <w:rPr>
                <w:sz w:val="15"/>
                <w:szCs w:val="15"/>
                <w:color w:val="auto"/>
              </w:rPr>
            </w:pPr>
          </w:p>
        </w:tc>
        <w:tc>
          <w:tcPr>
            <w:tcW w:w="2420" w:type="dxa"/>
            <w:vAlign w:val="bottom"/>
            <w:shd w:val="clear" w:color="auto" w:fill="FDFDFC"/>
          </w:tcPr>
          <w:p>
            <w:pPr>
              <w:spacing w:after="0"/>
              <w:rPr>
                <w:sz w:val="15"/>
                <w:szCs w:val="15"/>
                <w:color w:val="auto"/>
              </w:rPr>
            </w:pPr>
          </w:p>
        </w:tc>
        <w:tc>
          <w:tcPr>
            <w:tcW w:w="820" w:type="dxa"/>
            <w:vAlign w:val="bottom"/>
            <w:shd w:val="clear" w:color="auto" w:fill="FDFDFC"/>
          </w:tcPr>
          <w:p>
            <w:pPr>
              <w:spacing w:after="0"/>
              <w:rPr>
                <w:sz w:val="15"/>
                <w:szCs w:val="15"/>
                <w:color w:val="auto"/>
              </w:rPr>
            </w:pPr>
          </w:p>
        </w:tc>
        <w:tc>
          <w:tcPr>
            <w:tcW w:w="1200" w:type="dxa"/>
            <w:vAlign w:val="bottom"/>
            <w:shd w:val="clear" w:color="auto" w:fill="FDFDFC"/>
          </w:tcPr>
          <w:p>
            <w:pPr>
              <w:spacing w:after="0"/>
              <w:rPr>
                <w:sz w:val="15"/>
                <w:szCs w:val="15"/>
                <w:color w:val="auto"/>
              </w:rPr>
            </w:pPr>
          </w:p>
        </w:tc>
        <w:tc>
          <w:tcPr>
            <w:tcW w:w="900" w:type="dxa"/>
            <w:vAlign w:val="bottom"/>
            <w:shd w:val="clear" w:color="auto" w:fill="FDFDFC"/>
          </w:tcPr>
          <w:p>
            <w:pPr>
              <w:spacing w:after="0"/>
              <w:rPr>
                <w:sz w:val="15"/>
                <w:szCs w:val="15"/>
                <w:color w:val="auto"/>
              </w:rPr>
            </w:pPr>
          </w:p>
        </w:tc>
        <w:tc>
          <w:tcPr>
            <w:tcW w:w="1000" w:type="dxa"/>
            <w:vAlign w:val="bottom"/>
            <w:shd w:val="clear" w:color="auto" w:fill="FDFDFC"/>
          </w:tcPr>
          <w:p>
            <w:pPr>
              <w:spacing w:after="0"/>
              <w:rPr>
                <w:sz w:val="15"/>
                <w:szCs w:val="15"/>
                <w:color w:val="auto"/>
              </w:rPr>
            </w:pPr>
          </w:p>
        </w:tc>
        <w:tc>
          <w:tcPr>
            <w:tcW w:w="180" w:type="dxa"/>
            <w:vAlign w:val="bottom"/>
            <w:shd w:val="clear" w:color="auto" w:fill="FDFDFC"/>
          </w:tcPr>
          <w:p>
            <w:pPr>
              <w:spacing w:after="0"/>
              <w:rPr>
                <w:sz w:val="15"/>
                <w:szCs w:val="15"/>
                <w:color w:val="auto"/>
              </w:rPr>
            </w:pPr>
          </w:p>
        </w:tc>
        <w:tc>
          <w:tcPr>
            <w:tcW w:w="960" w:type="dxa"/>
            <w:vAlign w:val="bottom"/>
            <w:shd w:val="clear" w:color="auto" w:fill="FDFDFC"/>
          </w:tcPr>
          <w:p>
            <w:pPr>
              <w:spacing w:after="0"/>
              <w:rPr>
                <w:sz w:val="15"/>
                <w:szCs w:val="15"/>
                <w:color w:val="auto"/>
              </w:rPr>
            </w:pPr>
          </w:p>
        </w:tc>
        <w:tc>
          <w:tcPr>
            <w:tcW w:w="200" w:type="dxa"/>
            <w:vAlign w:val="bottom"/>
            <w:shd w:val="clear" w:color="auto" w:fill="FDFDFC"/>
          </w:tcPr>
          <w:p>
            <w:pPr>
              <w:spacing w:after="0"/>
              <w:rPr>
                <w:sz w:val="15"/>
                <w:szCs w:val="15"/>
                <w:color w:val="auto"/>
              </w:rPr>
            </w:pPr>
          </w:p>
        </w:tc>
        <w:tc>
          <w:tcPr>
            <w:tcW w:w="900" w:type="dxa"/>
            <w:vAlign w:val="bottom"/>
            <w:shd w:val="clear" w:color="auto" w:fill="FDFDFC"/>
          </w:tcPr>
          <w:p>
            <w:pPr>
              <w:spacing w:after="0"/>
              <w:rPr>
                <w:sz w:val="15"/>
                <w:szCs w:val="15"/>
                <w:color w:val="auto"/>
              </w:rPr>
            </w:pPr>
          </w:p>
        </w:tc>
        <w:tc>
          <w:tcPr>
            <w:tcW w:w="240" w:type="dxa"/>
            <w:vAlign w:val="bottom"/>
            <w:shd w:val="clear" w:color="auto" w:fill="FDFDFC"/>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1460" w:type="dxa"/>
            <w:vAlign w:val="bottom"/>
            <w:shd w:val="clear" w:color="auto" w:fill="D0EBF2"/>
          </w:tcPr>
          <w:p>
            <w:pPr>
              <w:spacing w:after="0" w:line="156" w:lineRule="exact"/>
              <w:rPr>
                <w:sz w:val="20"/>
                <w:szCs w:val="20"/>
                <w:color w:val="auto"/>
              </w:rPr>
            </w:pPr>
            <w:r>
              <w:rPr>
                <w:rFonts w:ascii="Times New Roman" w:cs="Times New Roman" w:eastAsia="Times New Roman" w:hAnsi="Times New Roman"/>
                <w:sz w:val="15"/>
                <w:szCs w:val="15"/>
                <w:b w:val="1"/>
                <w:bCs w:val="1"/>
                <w:color w:val="231F20"/>
              </w:rPr>
              <w:t>Retail and Consumer</w:t>
            </w:r>
          </w:p>
        </w:tc>
        <w:tc>
          <w:tcPr>
            <w:tcW w:w="2420" w:type="dxa"/>
            <w:vAlign w:val="bottom"/>
            <w:shd w:val="clear" w:color="auto" w:fill="D0EBF2"/>
          </w:tcPr>
          <w:p>
            <w:pPr>
              <w:spacing w:after="0"/>
              <w:rPr>
                <w:sz w:val="13"/>
                <w:szCs w:val="13"/>
                <w:color w:val="auto"/>
              </w:rPr>
            </w:pPr>
          </w:p>
        </w:tc>
        <w:tc>
          <w:tcPr>
            <w:tcW w:w="820" w:type="dxa"/>
            <w:vAlign w:val="bottom"/>
            <w:shd w:val="clear" w:color="auto" w:fill="D0EBF2"/>
          </w:tcPr>
          <w:p>
            <w:pPr>
              <w:spacing w:after="0"/>
              <w:rPr>
                <w:sz w:val="13"/>
                <w:szCs w:val="13"/>
                <w:color w:val="auto"/>
              </w:rPr>
            </w:pPr>
          </w:p>
        </w:tc>
        <w:tc>
          <w:tcPr>
            <w:tcW w:w="1200" w:type="dxa"/>
            <w:vAlign w:val="bottom"/>
            <w:shd w:val="clear" w:color="auto" w:fill="D0EBF2"/>
          </w:tcPr>
          <w:p>
            <w:pPr>
              <w:spacing w:after="0"/>
              <w:rPr>
                <w:sz w:val="13"/>
                <w:szCs w:val="13"/>
                <w:color w:val="auto"/>
              </w:rPr>
            </w:pPr>
          </w:p>
        </w:tc>
        <w:tc>
          <w:tcPr>
            <w:tcW w:w="900" w:type="dxa"/>
            <w:vAlign w:val="bottom"/>
            <w:shd w:val="clear" w:color="auto" w:fill="D0EBF2"/>
          </w:tcPr>
          <w:p>
            <w:pPr>
              <w:spacing w:after="0"/>
              <w:rPr>
                <w:sz w:val="13"/>
                <w:szCs w:val="13"/>
                <w:color w:val="auto"/>
              </w:rPr>
            </w:pPr>
          </w:p>
        </w:tc>
        <w:tc>
          <w:tcPr>
            <w:tcW w:w="1000" w:type="dxa"/>
            <w:vAlign w:val="bottom"/>
            <w:shd w:val="clear" w:color="auto" w:fill="D0EBF2"/>
          </w:tcPr>
          <w:p>
            <w:pPr>
              <w:spacing w:after="0"/>
              <w:rPr>
                <w:sz w:val="13"/>
                <w:szCs w:val="13"/>
                <w:color w:val="auto"/>
              </w:rPr>
            </w:pPr>
          </w:p>
        </w:tc>
        <w:tc>
          <w:tcPr>
            <w:tcW w:w="180" w:type="dxa"/>
            <w:vAlign w:val="bottom"/>
            <w:shd w:val="clear" w:color="auto" w:fill="D0EBF2"/>
          </w:tcPr>
          <w:p>
            <w:pPr>
              <w:spacing w:after="0"/>
              <w:rPr>
                <w:sz w:val="13"/>
                <w:szCs w:val="13"/>
                <w:color w:val="auto"/>
              </w:rPr>
            </w:pPr>
          </w:p>
        </w:tc>
        <w:tc>
          <w:tcPr>
            <w:tcW w:w="960" w:type="dxa"/>
            <w:vAlign w:val="bottom"/>
            <w:shd w:val="clear" w:color="auto" w:fill="D0EBF2"/>
          </w:tcPr>
          <w:p>
            <w:pPr>
              <w:spacing w:after="0"/>
              <w:rPr>
                <w:sz w:val="13"/>
                <w:szCs w:val="13"/>
                <w:color w:val="auto"/>
              </w:rPr>
            </w:pPr>
          </w:p>
        </w:tc>
        <w:tc>
          <w:tcPr>
            <w:tcW w:w="200" w:type="dxa"/>
            <w:vAlign w:val="bottom"/>
            <w:shd w:val="clear" w:color="auto" w:fill="D0EBF2"/>
          </w:tcPr>
          <w:p>
            <w:pPr>
              <w:spacing w:after="0"/>
              <w:rPr>
                <w:sz w:val="13"/>
                <w:szCs w:val="13"/>
                <w:color w:val="auto"/>
              </w:rPr>
            </w:pPr>
          </w:p>
        </w:tc>
        <w:tc>
          <w:tcPr>
            <w:tcW w:w="900" w:type="dxa"/>
            <w:vAlign w:val="bottom"/>
            <w:shd w:val="clear" w:color="auto" w:fill="D0EBF2"/>
          </w:tcPr>
          <w:p>
            <w:pPr>
              <w:spacing w:after="0"/>
              <w:rPr>
                <w:sz w:val="13"/>
                <w:szCs w:val="13"/>
                <w:color w:val="auto"/>
              </w:rPr>
            </w:pPr>
          </w:p>
        </w:tc>
        <w:tc>
          <w:tcPr>
            <w:tcW w:w="240" w:type="dxa"/>
            <w:vAlign w:val="bottom"/>
            <w:shd w:val="clear" w:color="auto" w:fill="D0EBF2"/>
          </w:tcPr>
          <w:p>
            <w:pPr>
              <w:spacing w:after="0"/>
              <w:rPr>
                <w:sz w:val="13"/>
                <w:szCs w:val="13"/>
                <w:color w:val="auto"/>
              </w:rPr>
            </w:pPr>
          </w:p>
        </w:tc>
        <w:tc>
          <w:tcPr>
            <w:tcW w:w="0" w:type="dxa"/>
            <w:vAlign w:val="bottom"/>
          </w:tcPr>
          <w:p>
            <w:pPr>
              <w:spacing w:after="0"/>
              <w:rPr>
                <w:sz w:val="1"/>
                <w:szCs w:val="1"/>
                <w:color w:val="auto"/>
              </w:rPr>
            </w:pPr>
          </w:p>
        </w:tc>
      </w:tr>
      <w:tr>
        <w:trPr>
          <w:trHeight w:val="191"/>
        </w:trPr>
        <w:tc>
          <w:tcPr>
            <w:tcW w:w="1460" w:type="dxa"/>
            <w:vAlign w:val="bottom"/>
            <w:shd w:val="clear" w:color="auto" w:fill="D0EBF2"/>
          </w:tcPr>
          <w:p>
            <w:pPr>
              <w:spacing w:after="0"/>
              <w:rPr>
                <w:sz w:val="20"/>
                <w:szCs w:val="20"/>
                <w:color w:val="auto"/>
              </w:rPr>
            </w:pPr>
            <w:r>
              <w:rPr>
                <w:rFonts w:ascii="Times New Roman" w:cs="Times New Roman" w:eastAsia="Times New Roman" w:hAnsi="Times New Roman"/>
                <w:sz w:val="15"/>
                <w:szCs w:val="15"/>
                <w:b w:val="1"/>
                <w:bCs w:val="1"/>
                <w:color w:val="231F20"/>
              </w:rPr>
              <w:t>Products</w:t>
            </w:r>
          </w:p>
        </w:tc>
        <w:tc>
          <w:tcPr>
            <w:tcW w:w="2420" w:type="dxa"/>
            <w:vAlign w:val="bottom"/>
            <w:shd w:val="clear" w:color="auto" w:fill="D0EBF2"/>
          </w:tcPr>
          <w:p>
            <w:pPr>
              <w:spacing w:after="0"/>
              <w:rPr>
                <w:sz w:val="16"/>
                <w:szCs w:val="16"/>
                <w:color w:val="auto"/>
              </w:rPr>
            </w:pPr>
          </w:p>
        </w:tc>
        <w:tc>
          <w:tcPr>
            <w:tcW w:w="820" w:type="dxa"/>
            <w:vAlign w:val="bottom"/>
            <w:shd w:val="clear" w:color="auto" w:fill="D0EBF2"/>
          </w:tcPr>
          <w:p>
            <w:pPr>
              <w:spacing w:after="0"/>
              <w:rPr>
                <w:sz w:val="16"/>
                <w:szCs w:val="16"/>
                <w:color w:val="auto"/>
              </w:rPr>
            </w:pPr>
          </w:p>
        </w:tc>
        <w:tc>
          <w:tcPr>
            <w:tcW w:w="1200" w:type="dxa"/>
            <w:vAlign w:val="bottom"/>
            <w:shd w:val="clear" w:color="auto" w:fill="D0EBF2"/>
          </w:tcPr>
          <w:p>
            <w:pPr>
              <w:spacing w:after="0"/>
              <w:rPr>
                <w:sz w:val="16"/>
                <w:szCs w:val="16"/>
                <w:color w:val="auto"/>
              </w:rPr>
            </w:pPr>
          </w:p>
        </w:tc>
        <w:tc>
          <w:tcPr>
            <w:tcW w:w="900" w:type="dxa"/>
            <w:vAlign w:val="bottom"/>
            <w:shd w:val="clear" w:color="auto" w:fill="D0EBF2"/>
          </w:tcPr>
          <w:p>
            <w:pPr>
              <w:spacing w:after="0"/>
              <w:rPr>
                <w:sz w:val="16"/>
                <w:szCs w:val="16"/>
                <w:color w:val="auto"/>
              </w:rPr>
            </w:pPr>
          </w:p>
        </w:tc>
        <w:tc>
          <w:tcPr>
            <w:tcW w:w="1000" w:type="dxa"/>
            <w:vAlign w:val="bottom"/>
            <w:shd w:val="clear" w:color="auto" w:fill="D0EBF2"/>
          </w:tcPr>
          <w:p>
            <w:pPr>
              <w:spacing w:after="0"/>
              <w:rPr>
                <w:sz w:val="16"/>
                <w:szCs w:val="16"/>
                <w:color w:val="auto"/>
              </w:rPr>
            </w:pPr>
          </w:p>
        </w:tc>
        <w:tc>
          <w:tcPr>
            <w:tcW w:w="180" w:type="dxa"/>
            <w:vAlign w:val="bottom"/>
            <w:shd w:val="clear" w:color="auto" w:fill="D0EBF2"/>
          </w:tcPr>
          <w:p>
            <w:pPr>
              <w:spacing w:after="0"/>
              <w:rPr>
                <w:sz w:val="16"/>
                <w:szCs w:val="16"/>
                <w:color w:val="auto"/>
              </w:rPr>
            </w:pPr>
          </w:p>
        </w:tc>
        <w:tc>
          <w:tcPr>
            <w:tcW w:w="960" w:type="dxa"/>
            <w:vAlign w:val="bottom"/>
            <w:shd w:val="clear" w:color="auto" w:fill="D0EBF2"/>
          </w:tcPr>
          <w:p>
            <w:pPr>
              <w:spacing w:after="0"/>
              <w:rPr>
                <w:sz w:val="16"/>
                <w:szCs w:val="16"/>
                <w:color w:val="auto"/>
              </w:rPr>
            </w:pPr>
          </w:p>
        </w:tc>
        <w:tc>
          <w:tcPr>
            <w:tcW w:w="200" w:type="dxa"/>
            <w:vAlign w:val="bottom"/>
            <w:shd w:val="clear" w:color="auto" w:fill="D0EBF2"/>
          </w:tcPr>
          <w:p>
            <w:pPr>
              <w:spacing w:after="0"/>
              <w:rPr>
                <w:sz w:val="16"/>
                <w:szCs w:val="16"/>
                <w:color w:val="auto"/>
              </w:rPr>
            </w:pPr>
          </w:p>
        </w:tc>
        <w:tc>
          <w:tcPr>
            <w:tcW w:w="900" w:type="dxa"/>
            <w:vAlign w:val="bottom"/>
            <w:shd w:val="clear" w:color="auto" w:fill="D0EBF2"/>
          </w:tcPr>
          <w:p>
            <w:pPr>
              <w:spacing w:after="0"/>
              <w:rPr>
                <w:sz w:val="16"/>
                <w:szCs w:val="16"/>
                <w:color w:val="auto"/>
              </w:rPr>
            </w:pPr>
          </w:p>
        </w:tc>
        <w:tc>
          <w:tcPr>
            <w:tcW w:w="240" w:type="dxa"/>
            <w:vAlign w:val="bottom"/>
            <w:shd w:val="clear" w:color="auto" w:fill="D0EBF2"/>
          </w:tcPr>
          <w:p>
            <w:pPr>
              <w:spacing w:after="0"/>
              <w:rPr>
                <w:sz w:val="16"/>
                <w:szCs w:val="16"/>
                <w:color w:val="auto"/>
              </w:rPr>
            </w:pPr>
          </w:p>
        </w:tc>
        <w:tc>
          <w:tcPr>
            <w:tcW w:w="0" w:type="dxa"/>
            <w:vAlign w:val="bottom"/>
          </w:tcPr>
          <w:p>
            <w:pPr>
              <w:spacing w:after="0"/>
              <w:rPr>
                <w:sz w:val="1"/>
                <w:szCs w:val="1"/>
                <w:color w:val="auto"/>
              </w:rPr>
            </w:pPr>
          </w:p>
        </w:tc>
      </w:tr>
      <w:tr>
        <w:trPr>
          <w:trHeight w:val="158"/>
        </w:trPr>
        <w:tc>
          <w:tcPr>
            <w:tcW w:w="1460" w:type="dxa"/>
            <w:vAlign w:val="bottom"/>
            <w:shd w:val="clear" w:color="auto" w:fill="FDFDFC"/>
          </w:tcPr>
          <w:p>
            <w:pPr>
              <w:spacing w:after="0" w:line="159" w:lineRule="exact"/>
              <w:rPr>
                <w:sz w:val="20"/>
                <w:szCs w:val="20"/>
                <w:color w:val="auto"/>
              </w:rPr>
            </w:pPr>
            <w:r>
              <w:rPr>
                <w:rFonts w:ascii="Times New Roman" w:cs="Times New Roman" w:eastAsia="Times New Roman" w:hAnsi="Times New Roman"/>
                <w:sz w:val="15"/>
                <w:szCs w:val="15"/>
                <w:color w:val="231F20"/>
              </w:rPr>
              <w:t>American</w:t>
            </w:r>
          </w:p>
        </w:tc>
        <w:tc>
          <w:tcPr>
            <w:tcW w:w="2420" w:type="dxa"/>
            <w:vAlign w:val="bottom"/>
            <w:shd w:val="clear" w:color="auto" w:fill="FDFDFC"/>
          </w:tcPr>
          <w:p>
            <w:pPr>
              <w:ind w:left="60"/>
              <w:spacing w:after="0" w:line="159" w:lineRule="exact"/>
              <w:rPr>
                <w:sz w:val="20"/>
                <w:szCs w:val="20"/>
                <w:color w:val="auto"/>
              </w:rPr>
            </w:pPr>
            <w:r>
              <w:rPr>
                <w:rFonts w:ascii="Times New Roman" w:cs="Times New Roman" w:eastAsia="Times New Roman" w:hAnsi="Times New Roman"/>
                <w:sz w:val="15"/>
                <w:szCs w:val="15"/>
                <w:color w:val="231F20"/>
              </w:rPr>
              <w:t>Class A Units (687 units)</w:t>
            </w:r>
          </w:p>
        </w:tc>
        <w:tc>
          <w:tcPr>
            <w:tcW w:w="820" w:type="dxa"/>
            <w:vAlign w:val="bottom"/>
            <w:shd w:val="clear" w:color="auto" w:fill="FDFDFC"/>
          </w:tcPr>
          <w:p>
            <w:pPr>
              <w:jc w:val="right"/>
              <w:spacing w:after="0" w:line="159" w:lineRule="exact"/>
              <w:rPr>
                <w:sz w:val="20"/>
                <w:szCs w:val="20"/>
                <w:color w:val="auto"/>
              </w:rPr>
            </w:pPr>
            <w:r>
              <w:rPr>
                <w:rFonts w:ascii="Times New Roman" w:cs="Times New Roman" w:eastAsia="Times New Roman" w:hAnsi="Times New Roman"/>
                <w:sz w:val="15"/>
                <w:szCs w:val="15"/>
                <w:color w:val="231F20"/>
              </w:rPr>
              <w:t>3/16/2021</w:t>
            </w:r>
          </w:p>
        </w:tc>
        <w:tc>
          <w:tcPr>
            <w:tcW w:w="1200" w:type="dxa"/>
            <w:vAlign w:val="bottom"/>
            <w:shd w:val="clear" w:color="auto" w:fill="FDFDFC"/>
          </w:tcPr>
          <w:p>
            <w:pPr>
              <w:spacing w:after="0"/>
              <w:rPr>
                <w:sz w:val="13"/>
                <w:szCs w:val="13"/>
                <w:color w:val="auto"/>
              </w:rPr>
            </w:pPr>
          </w:p>
        </w:tc>
        <w:tc>
          <w:tcPr>
            <w:tcW w:w="900" w:type="dxa"/>
            <w:vAlign w:val="bottom"/>
            <w:shd w:val="clear" w:color="auto" w:fill="FDFDFC"/>
          </w:tcPr>
          <w:p>
            <w:pPr>
              <w:spacing w:after="0"/>
              <w:rPr>
                <w:sz w:val="13"/>
                <w:szCs w:val="13"/>
                <w:color w:val="auto"/>
              </w:rPr>
            </w:pPr>
          </w:p>
        </w:tc>
        <w:tc>
          <w:tcPr>
            <w:tcW w:w="1000" w:type="dxa"/>
            <w:vAlign w:val="bottom"/>
            <w:shd w:val="clear" w:color="auto" w:fill="FDFDFC"/>
          </w:tcPr>
          <w:p>
            <w:pPr>
              <w:jc w:val="right"/>
              <w:spacing w:after="0" w:line="159" w:lineRule="exact"/>
              <w:rPr>
                <w:sz w:val="20"/>
                <w:szCs w:val="20"/>
                <w:color w:val="auto"/>
              </w:rPr>
            </w:pPr>
            <w:r>
              <w:rPr>
                <w:rFonts w:ascii="Times New Roman" w:cs="Times New Roman" w:eastAsia="Times New Roman" w:hAnsi="Times New Roman"/>
                <w:sz w:val="15"/>
                <w:szCs w:val="15"/>
                <w:color w:val="231F20"/>
              </w:rPr>
              <w:t>—</w:t>
            </w:r>
          </w:p>
        </w:tc>
        <w:tc>
          <w:tcPr>
            <w:tcW w:w="1140" w:type="dxa"/>
            <w:vAlign w:val="bottom"/>
            <w:gridSpan w:val="2"/>
            <w:shd w:val="clear" w:color="auto" w:fill="FDFDFC"/>
          </w:tcPr>
          <w:p>
            <w:pPr>
              <w:jc w:val="right"/>
              <w:spacing w:after="0" w:line="159" w:lineRule="exact"/>
              <w:rPr>
                <w:sz w:val="20"/>
                <w:szCs w:val="20"/>
                <w:color w:val="auto"/>
              </w:rPr>
            </w:pPr>
            <w:r>
              <w:rPr>
                <w:rFonts w:ascii="Times New Roman" w:cs="Times New Roman" w:eastAsia="Times New Roman" w:hAnsi="Times New Roman"/>
                <w:sz w:val="15"/>
                <w:szCs w:val="15"/>
                <w:color w:val="231F20"/>
              </w:rPr>
              <w:t>50</w:t>
            </w:r>
          </w:p>
        </w:tc>
        <w:tc>
          <w:tcPr>
            <w:tcW w:w="1340" w:type="dxa"/>
            <w:vAlign w:val="bottom"/>
            <w:gridSpan w:val="3"/>
            <w:shd w:val="clear" w:color="auto" w:fill="FDFDFC"/>
          </w:tcPr>
          <w:p>
            <w:pPr>
              <w:jc w:val="right"/>
              <w:ind w:right="120"/>
              <w:spacing w:after="0" w:line="159" w:lineRule="exact"/>
              <w:rPr>
                <w:sz w:val="20"/>
                <w:szCs w:val="20"/>
                <w:color w:val="auto"/>
              </w:rPr>
            </w:pPr>
            <w:r>
              <w:rPr>
                <w:rFonts w:ascii="Times New Roman" w:cs="Times New Roman" w:eastAsia="Times New Roman" w:hAnsi="Times New Roman"/>
                <w:sz w:val="15"/>
                <w:szCs w:val="15"/>
                <w:color w:val="231F20"/>
              </w:rPr>
              <w:t>0.0%</w:t>
            </w:r>
          </w:p>
        </w:tc>
        <w:tc>
          <w:tcPr>
            <w:tcW w:w="0" w:type="dxa"/>
            <w:vAlign w:val="bottom"/>
          </w:tcPr>
          <w:p>
            <w:pPr>
              <w:spacing w:after="0"/>
              <w:rPr>
                <w:sz w:val="1"/>
                <w:szCs w:val="1"/>
                <w:color w:val="auto"/>
              </w:rPr>
            </w:pPr>
          </w:p>
        </w:tc>
      </w:tr>
      <w:tr>
        <w:trPr>
          <w:trHeight w:val="186"/>
        </w:trPr>
        <w:tc>
          <w:tcPr>
            <w:tcW w:w="1460" w:type="dxa"/>
            <w:vAlign w:val="bottom"/>
            <w:shd w:val="clear" w:color="auto" w:fill="FDFDFC"/>
          </w:tcPr>
          <w:p>
            <w:pPr>
              <w:spacing w:after="0"/>
              <w:rPr>
                <w:sz w:val="20"/>
                <w:szCs w:val="20"/>
                <w:color w:val="auto"/>
              </w:rPr>
            </w:pPr>
            <w:r>
              <w:rPr>
                <w:rFonts w:ascii="Times New Roman" w:cs="Times New Roman" w:eastAsia="Times New Roman" w:hAnsi="Times New Roman"/>
                <w:sz w:val="15"/>
                <w:szCs w:val="15"/>
                <w:color w:val="231F20"/>
              </w:rPr>
              <w:t>Achievement, Corp.</w:t>
            </w:r>
          </w:p>
        </w:tc>
        <w:tc>
          <w:tcPr>
            <w:tcW w:w="2420" w:type="dxa"/>
            <w:vAlign w:val="bottom"/>
            <w:shd w:val="clear" w:color="auto" w:fill="FDFDFC"/>
          </w:tcPr>
          <w:p>
            <w:pPr>
              <w:spacing w:after="0"/>
              <w:rPr>
                <w:sz w:val="16"/>
                <w:szCs w:val="16"/>
                <w:color w:val="auto"/>
              </w:rPr>
            </w:pPr>
          </w:p>
        </w:tc>
        <w:tc>
          <w:tcPr>
            <w:tcW w:w="820" w:type="dxa"/>
            <w:vAlign w:val="bottom"/>
            <w:shd w:val="clear" w:color="auto" w:fill="FDFDFC"/>
          </w:tcPr>
          <w:p>
            <w:pPr>
              <w:spacing w:after="0"/>
              <w:rPr>
                <w:sz w:val="16"/>
                <w:szCs w:val="16"/>
                <w:color w:val="auto"/>
              </w:rPr>
            </w:pPr>
          </w:p>
        </w:tc>
        <w:tc>
          <w:tcPr>
            <w:tcW w:w="1200" w:type="dxa"/>
            <w:vAlign w:val="bottom"/>
            <w:shd w:val="clear" w:color="auto" w:fill="FDFDFC"/>
          </w:tcPr>
          <w:p>
            <w:pPr>
              <w:spacing w:after="0"/>
              <w:rPr>
                <w:sz w:val="16"/>
                <w:szCs w:val="16"/>
                <w:color w:val="auto"/>
              </w:rPr>
            </w:pPr>
          </w:p>
        </w:tc>
        <w:tc>
          <w:tcPr>
            <w:tcW w:w="900" w:type="dxa"/>
            <w:vAlign w:val="bottom"/>
            <w:shd w:val="clear" w:color="auto" w:fill="FDFDFC"/>
          </w:tcPr>
          <w:p>
            <w:pPr>
              <w:spacing w:after="0"/>
              <w:rPr>
                <w:sz w:val="16"/>
                <w:szCs w:val="16"/>
                <w:color w:val="auto"/>
              </w:rPr>
            </w:pPr>
          </w:p>
        </w:tc>
        <w:tc>
          <w:tcPr>
            <w:tcW w:w="1000" w:type="dxa"/>
            <w:vAlign w:val="bottom"/>
            <w:shd w:val="clear" w:color="auto" w:fill="FDFDFC"/>
          </w:tcPr>
          <w:p>
            <w:pPr>
              <w:spacing w:after="0"/>
              <w:rPr>
                <w:sz w:val="16"/>
                <w:szCs w:val="16"/>
                <w:color w:val="auto"/>
              </w:rPr>
            </w:pPr>
          </w:p>
        </w:tc>
        <w:tc>
          <w:tcPr>
            <w:tcW w:w="180" w:type="dxa"/>
            <w:vAlign w:val="bottom"/>
            <w:shd w:val="clear" w:color="auto" w:fill="FDFDFC"/>
          </w:tcPr>
          <w:p>
            <w:pPr>
              <w:spacing w:after="0"/>
              <w:rPr>
                <w:sz w:val="16"/>
                <w:szCs w:val="16"/>
                <w:color w:val="auto"/>
              </w:rPr>
            </w:pPr>
          </w:p>
        </w:tc>
        <w:tc>
          <w:tcPr>
            <w:tcW w:w="960" w:type="dxa"/>
            <w:vAlign w:val="bottom"/>
            <w:shd w:val="clear" w:color="auto" w:fill="FDFDFC"/>
          </w:tcPr>
          <w:p>
            <w:pPr>
              <w:spacing w:after="0"/>
              <w:rPr>
                <w:sz w:val="16"/>
                <w:szCs w:val="16"/>
                <w:color w:val="auto"/>
              </w:rPr>
            </w:pPr>
          </w:p>
        </w:tc>
        <w:tc>
          <w:tcPr>
            <w:tcW w:w="200" w:type="dxa"/>
            <w:vAlign w:val="bottom"/>
            <w:shd w:val="clear" w:color="auto" w:fill="FDFDFC"/>
          </w:tcPr>
          <w:p>
            <w:pPr>
              <w:spacing w:after="0"/>
              <w:rPr>
                <w:sz w:val="16"/>
                <w:szCs w:val="16"/>
                <w:color w:val="auto"/>
              </w:rPr>
            </w:pPr>
          </w:p>
        </w:tc>
        <w:tc>
          <w:tcPr>
            <w:tcW w:w="900" w:type="dxa"/>
            <w:vAlign w:val="bottom"/>
            <w:shd w:val="clear" w:color="auto" w:fill="FDFDFC"/>
          </w:tcPr>
          <w:p>
            <w:pPr>
              <w:spacing w:after="0"/>
              <w:rPr>
                <w:sz w:val="16"/>
                <w:szCs w:val="16"/>
                <w:color w:val="auto"/>
              </w:rPr>
            </w:pPr>
          </w:p>
        </w:tc>
        <w:tc>
          <w:tcPr>
            <w:tcW w:w="240" w:type="dxa"/>
            <w:vAlign w:val="bottom"/>
            <w:shd w:val="clear" w:color="auto" w:fill="FDFDFC"/>
          </w:tcPr>
          <w:p>
            <w:pPr>
              <w:spacing w:after="0"/>
              <w:rPr>
                <w:sz w:val="16"/>
                <w:szCs w:val="16"/>
                <w:color w:val="auto"/>
              </w:rPr>
            </w:pPr>
          </w:p>
        </w:tc>
        <w:tc>
          <w:tcPr>
            <w:tcW w:w="0" w:type="dxa"/>
            <w:vAlign w:val="bottom"/>
          </w:tcPr>
          <w:p>
            <w:pPr>
              <w:spacing w:after="0"/>
              <w:rPr>
                <w:sz w:val="1"/>
                <w:szCs w:val="1"/>
                <w:color w:val="auto"/>
              </w:rPr>
            </w:pPr>
          </w:p>
        </w:tc>
      </w:tr>
      <w:tr>
        <w:trPr>
          <w:trHeight w:val="157"/>
        </w:trPr>
        <w:tc>
          <w:tcPr>
            <w:tcW w:w="1460" w:type="dxa"/>
            <w:vAlign w:val="bottom"/>
            <w:tcBorders>
              <w:bottom w:val="single" w:sz="8" w:color="FDFDFC"/>
            </w:tcBorders>
            <w:shd w:val="clear" w:color="auto" w:fill="FDFDFC"/>
          </w:tcPr>
          <w:p>
            <w:pPr>
              <w:spacing w:after="0"/>
              <w:rPr>
                <w:sz w:val="20"/>
                <w:szCs w:val="20"/>
                <w:color w:val="auto"/>
              </w:rPr>
            </w:pPr>
            <w:r>
              <w:rPr>
                <w:rFonts w:ascii="Times New Roman" w:cs="Times New Roman" w:eastAsia="Times New Roman" w:hAnsi="Times New Roman"/>
                <w:sz w:val="9"/>
                <w:szCs w:val="9"/>
                <w:color w:val="231F20"/>
              </w:rPr>
              <w:t>(11)</w:t>
            </w:r>
          </w:p>
        </w:tc>
        <w:tc>
          <w:tcPr>
            <w:tcW w:w="2420" w:type="dxa"/>
            <w:vAlign w:val="bottom"/>
            <w:tcBorders>
              <w:bottom w:val="single" w:sz="8" w:color="FDFDFC"/>
            </w:tcBorders>
            <w:shd w:val="clear" w:color="auto" w:fill="FDFDFC"/>
          </w:tcPr>
          <w:p>
            <w:pPr>
              <w:spacing w:after="0"/>
              <w:rPr>
                <w:sz w:val="13"/>
                <w:szCs w:val="13"/>
                <w:color w:val="auto"/>
              </w:rPr>
            </w:pPr>
          </w:p>
        </w:tc>
        <w:tc>
          <w:tcPr>
            <w:tcW w:w="820" w:type="dxa"/>
            <w:vAlign w:val="bottom"/>
            <w:tcBorders>
              <w:bottom w:val="single" w:sz="8" w:color="FDFDFC"/>
            </w:tcBorders>
            <w:shd w:val="clear" w:color="auto" w:fill="FDFDFC"/>
          </w:tcPr>
          <w:p>
            <w:pPr>
              <w:spacing w:after="0"/>
              <w:rPr>
                <w:sz w:val="13"/>
                <w:szCs w:val="13"/>
                <w:color w:val="auto"/>
              </w:rPr>
            </w:pPr>
          </w:p>
        </w:tc>
        <w:tc>
          <w:tcPr>
            <w:tcW w:w="1200" w:type="dxa"/>
            <w:vAlign w:val="bottom"/>
            <w:tcBorders>
              <w:bottom w:val="single" w:sz="8" w:color="FDFDFC"/>
            </w:tcBorders>
            <w:shd w:val="clear" w:color="auto" w:fill="FDFDFC"/>
          </w:tcPr>
          <w:p>
            <w:pPr>
              <w:spacing w:after="0"/>
              <w:rPr>
                <w:sz w:val="13"/>
                <w:szCs w:val="13"/>
                <w:color w:val="auto"/>
              </w:rPr>
            </w:pPr>
          </w:p>
        </w:tc>
        <w:tc>
          <w:tcPr>
            <w:tcW w:w="900" w:type="dxa"/>
            <w:vAlign w:val="bottom"/>
            <w:tcBorders>
              <w:bottom w:val="single" w:sz="8" w:color="FDFDFC"/>
            </w:tcBorders>
            <w:shd w:val="clear" w:color="auto" w:fill="FDFDFC"/>
          </w:tcPr>
          <w:p>
            <w:pPr>
              <w:spacing w:after="0"/>
              <w:rPr>
                <w:sz w:val="13"/>
                <w:szCs w:val="13"/>
                <w:color w:val="auto"/>
              </w:rPr>
            </w:pPr>
          </w:p>
        </w:tc>
        <w:tc>
          <w:tcPr>
            <w:tcW w:w="1000" w:type="dxa"/>
            <w:vAlign w:val="bottom"/>
            <w:tcBorders>
              <w:bottom w:val="single" w:sz="8" w:color="FDFDFC"/>
            </w:tcBorders>
            <w:shd w:val="clear" w:color="auto" w:fill="FDFDFC"/>
          </w:tcPr>
          <w:p>
            <w:pPr>
              <w:spacing w:after="0"/>
              <w:rPr>
                <w:sz w:val="13"/>
                <w:szCs w:val="13"/>
                <w:color w:val="auto"/>
              </w:rPr>
            </w:pPr>
          </w:p>
        </w:tc>
        <w:tc>
          <w:tcPr>
            <w:tcW w:w="180" w:type="dxa"/>
            <w:vAlign w:val="bottom"/>
            <w:tcBorders>
              <w:bottom w:val="single" w:sz="8" w:color="FDFDFC"/>
            </w:tcBorders>
            <w:shd w:val="clear" w:color="auto" w:fill="FDFDFC"/>
          </w:tcPr>
          <w:p>
            <w:pPr>
              <w:spacing w:after="0"/>
              <w:rPr>
                <w:sz w:val="13"/>
                <w:szCs w:val="13"/>
                <w:color w:val="auto"/>
              </w:rPr>
            </w:pPr>
          </w:p>
        </w:tc>
        <w:tc>
          <w:tcPr>
            <w:tcW w:w="960" w:type="dxa"/>
            <w:vAlign w:val="bottom"/>
            <w:tcBorders>
              <w:bottom w:val="single" w:sz="8" w:color="FDFDFC"/>
            </w:tcBorders>
            <w:shd w:val="clear" w:color="auto" w:fill="FDFDFC"/>
          </w:tcPr>
          <w:p>
            <w:pPr>
              <w:spacing w:after="0"/>
              <w:rPr>
                <w:sz w:val="13"/>
                <w:szCs w:val="13"/>
                <w:color w:val="auto"/>
              </w:rPr>
            </w:pPr>
          </w:p>
        </w:tc>
        <w:tc>
          <w:tcPr>
            <w:tcW w:w="200" w:type="dxa"/>
            <w:vAlign w:val="bottom"/>
            <w:tcBorders>
              <w:bottom w:val="single" w:sz="8" w:color="FDFDFC"/>
            </w:tcBorders>
            <w:shd w:val="clear" w:color="auto" w:fill="FDFDFC"/>
          </w:tcPr>
          <w:p>
            <w:pPr>
              <w:spacing w:after="0"/>
              <w:rPr>
                <w:sz w:val="13"/>
                <w:szCs w:val="13"/>
                <w:color w:val="auto"/>
              </w:rPr>
            </w:pPr>
          </w:p>
        </w:tc>
        <w:tc>
          <w:tcPr>
            <w:tcW w:w="900" w:type="dxa"/>
            <w:vAlign w:val="bottom"/>
            <w:tcBorders>
              <w:bottom w:val="single" w:sz="8" w:color="FDFDFC"/>
            </w:tcBorders>
            <w:shd w:val="clear" w:color="auto" w:fill="FDFDFC"/>
          </w:tcPr>
          <w:p>
            <w:pPr>
              <w:spacing w:after="0"/>
              <w:rPr>
                <w:sz w:val="13"/>
                <w:szCs w:val="13"/>
                <w:color w:val="auto"/>
              </w:rPr>
            </w:pPr>
          </w:p>
        </w:tc>
        <w:tc>
          <w:tcPr>
            <w:tcW w:w="240" w:type="dxa"/>
            <w:vAlign w:val="bottom"/>
            <w:tcBorders>
              <w:bottom w:val="single" w:sz="8" w:color="FDFDFC"/>
            </w:tcBorders>
            <w:shd w:val="clear" w:color="auto" w:fill="FDFDFC"/>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1460" w:type="dxa"/>
            <w:vAlign w:val="bottom"/>
            <w:shd w:val="clear" w:color="auto" w:fill="D0EBF2"/>
          </w:tcPr>
          <w:p>
            <w:pPr>
              <w:spacing w:after="0" w:line="159" w:lineRule="exact"/>
              <w:rPr>
                <w:sz w:val="20"/>
                <w:szCs w:val="20"/>
                <w:color w:val="auto"/>
              </w:rPr>
            </w:pPr>
            <w:r>
              <w:rPr>
                <w:rFonts w:ascii="Times New Roman" w:cs="Times New Roman" w:eastAsia="Times New Roman" w:hAnsi="Times New Roman"/>
                <w:sz w:val="15"/>
                <w:szCs w:val="15"/>
                <w:color w:val="231F20"/>
              </w:rPr>
              <w:t>Copper Bidco, LLC</w:t>
            </w:r>
          </w:p>
        </w:tc>
        <w:tc>
          <w:tcPr>
            <w:tcW w:w="2420" w:type="dxa"/>
            <w:vAlign w:val="bottom"/>
            <w:shd w:val="clear" w:color="auto" w:fill="D0EBF2"/>
          </w:tcPr>
          <w:p>
            <w:pPr>
              <w:ind w:left="60"/>
              <w:spacing w:after="0" w:line="159" w:lineRule="exact"/>
              <w:rPr>
                <w:sz w:val="20"/>
                <w:szCs w:val="20"/>
                <w:color w:val="auto"/>
              </w:rPr>
            </w:pPr>
            <w:r>
              <w:rPr>
                <w:rFonts w:ascii="Times New Roman" w:cs="Times New Roman" w:eastAsia="Times New Roman" w:hAnsi="Times New Roman"/>
                <w:sz w:val="15"/>
                <w:szCs w:val="15"/>
                <w:color w:val="231F20"/>
              </w:rPr>
              <w:t>Trust Certificates (132,928</w:t>
            </w:r>
          </w:p>
        </w:tc>
        <w:tc>
          <w:tcPr>
            <w:tcW w:w="820" w:type="dxa"/>
            <w:vAlign w:val="bottom"/>
            <w:shd w:val="clear" w:color="auto" w:fill="D0EBF2"/>
          </w:tcPr>
          <w:p>
            <w:pPr>
              <w:jc w:val="right"/>
              <w:spacing w:after="0" w:line="159" w:lineRule="exact"/>
              <w:rPr>
                <w:sz w:val="20"/>
                <w:szCs w:val="20"/>
                <w:color w:val="auto"/>
              </w:rPr>
            </w:pPr>
            <w:r>
              <w:rPr>
                <w:rFonts w:ascii="Times New Roman" w:cs="Times New Roman" w:eastAsia="Times New Roman" w:hAnsi="Times New Roman"/>
                <w:sz w:val="15"/>
                <w:szCs w:val="15"/>
                <w:color w:val="231F20"/>
              </w:rPr>
              <w:t>12/7/2020</w:t>
            </w:r>
          </w:p>
        </w:tc>
        <w:tc>
          <w:tcPr>
            <w:tcW w:w="1200" w:type="dxa"/>
            <w:vAlign w:val="bottom"/>
            <w:shd w:val="clear" w:color="auto" w:fill="D0EBF2"/>
          </w:tcPr>
          <w:p>
            <w:pPr>
              <w:spacing w:after="0"/>
              <w:rPr>
                <w:sz w:val="13"/>
                <w:szCs w:val="13"/>
                <w:color w:val="auto"/>
              </w:rPr>
            </w:pPr>
          </w:p>
        </w:tc>
        <w:tc>
          <w:tcPr>
            <w:tcW w:w="900" w:type="dxa"/>
            <w:vAlign w:val="bottom"/>
            <w:shd w:val="clear" w:color="auto" w:fill="D0EBF2"/>
          </w:tcPr>
          <w:p>
            <w:pPr>
              <w:spacing w:after="0"/>
              <w:rPr>
                <w:sz w:val="13"/>
                <w:szCs w:val="13"/>
                <w:color w:val="auto"/>
              </w:rPr>
            </w:pPr>
          </w:p>
        </w:tc>
        <w:tc>
          <w:tcPr>
            <w:tcW w:w="1000" w:type="dxa"/>
            <w:vAlign w:val="bottom"/>
            <w:shd w:val="clear" w:color="auto" w:fill="D0EBF2"/>
          </w:tcPr>
          <w:p>
            <w:pPr>
              <w:jc w:val="right"/>
              <w:spacing w:after="0" w:line="159" w:lineRule="exact"/>
              <w:rPr>
                <w:sz w:val="20"/>
                <w:szCs w:val="20"/>
                <w:color w:val="auto"/>
              </w:rPr>
            </w:pPr>
            <w:r>
              <w:rPr>
                <w:rFonts w:ascii="Times New Roman" w:cs="Times New Roman" w:eastAsia="Times New Roman" w:hAnsi="Times New Roman"/>
                <w:sz w:val="15"/>
                <w:szCs w:val="15"/>
                <w:color w:val="231F20"/>
              </w:rPr>
              <w:t>—</w:t>
            </w:r>
          </w:p>
        </w:tc>
        <w:tc>
          <w:tcPr>
            <w:tcW w:w="180" w:type="dxa"/>
            <w:vAlign w:val="bottom"/>
            <w:shd w:val="clear" w:color="auto" w:fill="D0EBF2"/>
          </w:tcPr>
          <w:p>
            <w:pPr>
              <w:spacing w:after="0"/>
              <w:rPr>
                <w:sz w:val="13"/>
                <w:szCs w:val="13"/>
                <w:color w:val="auto"/>
              </w:rPr>
            </w:pPr>
          </w:p>
        </w:tc>
        <w:tc>
          <w:tcPr>
            <w:tcW w:w="960" w:type="dxa"/>
            <w:vAlign w:val="bottom"/>
            <w:shd w:val="clear" w:color="auto" w:fill="D0EBF2"/>
          </w:tcPr>
          <w:p>
            <w:pPr>
              <w:jc w:val="right"/>
              <w:spacing w:after="0" w:line="159" w:lineRule="exact"/>
              <w:rPr>
                <w:sz w:val="20"/>
                <w:szCs w:val="20"/>
                <w:color w:val="auto"/>
              </w:rPr>
            </w:pPr>
            <w:r>
              <w:rPr>
                <w:rFonts w:ascii="Times New Roman" w:cs="Times New Roman" w:eastAsia="Times New Roman" w:hAnsi="Times New Roman"/>
                <w:sz w:val="15"/>
                <w:szCs w:val="15"/>
                <w:color w:val="231F20"/>
              </w:rPr>
              <w:t>—</w:t>
            </w:r>
          </w:p>
        </w:tc>
        <w:tc>
          <w:tcPr>
            <w:tcW w:w="1340" w:type="dxa"/>
            <w:vAlign w:val="bottom"/>
            <w:gridSpan w:val="3"/>
            <w:shd w:val="clear" w:color="auto" w:fill="D0EBF2"/>
          </w:tcPr>
          <w:p>
            <w:pPr>
              <w:jc w:val="right"/>
              <w:ind w:right="120"/>
              <w:spacing w:after="0" w:line="159" w:lineRule="exact"/>
              <w:rPr>
                <w:sz w:val="20"/>
                <w:szCs w:val="20"/>
                <w:color w:val="auto"/>
              </w:rPr>
            </w:pPr>
            <w:r>
              <w:rPr>
                <w:rFonts w:ascii="Times New Roman" w:cs="Times New Roman" w:eastAsia="Times New Roman" w:hAnsi="Times New Roman"/>
                <w:sz w:val="15"/>
                <w:szCs w:val="15"/>
                <w:color w:val="231F20"/>
              </w:rPr>
              <w:t>0.0%</w:t>
            </w:r>
          </w:p>
        </w:tc>
        <w:tc>
          <w:tcPr>
            <w:tcW w:w="0" w:type="dxa"/>
            <w:vAlign w:val="bottom"/>
          </w:tcPr>
          <w:p>
            <w:pPr>
              <w:spacing w:after="0"/>
              <w:rPr>
                <w:sz w:val="1"/>
                <w:szCs w:val="1"/>
                <w:color w:val="auto"/>
              </w:rPr>
            </w:pPr>
          </w:p>
        </w:tc>
      </w:tr>
      <w:tr>
        <w:trPr>
          <w:trHeight w:val="189"/>
        </w:trPr>
        <w:tc>
          <w:tcPr>
            <w:tcW w:w="1460" w:type="dxa"/>
            <w:vAlign w:val="bottom"/>
            <w:shd w:val="clear" w:color="auto" w:fill="D0EBF2"/>
          </w:tcPr>
          <w:p>
            <w:pPr>
              <w:spacing w:after="0"/>
              <w:rPr>
                <w:sz w:val="16"/>
                <w:szCs w:val="16"/>
                <w:color w:val="auto"/>
              </w:rPr>
            </w:pPr>
          </w:p>
        </w:tc>
        <w:tc>
          <w:tcPr>
            <w:tcW w:w="2420" w:type="dxa"/>
            <w:vAlign w:val="bottom"/>
            <w:shd w:val="clear" w:color="auto" w:fill="D0EBF2"/>
          </w:tcPr>
          <w:p>
            <w:pPr>
              <w:ind w:left="60"/>
              <w:spacing w:after="0"/>
              <w:rPr>
                <w:sz w:val="20"/>
                <w:szCs w:val="20"/>
                <w:color w:val="auto"/>
              </w:rPr>
            </w:pPr>
            <w:r>
              <w:rPr>
                <w:rFonts w:ascii="Times New Roman" w:cs="Times New Roman" w:eastAsia="Times New Roman" w:hAnsi="Times New Roman"/>
                <w:sz w:val="15"/>
                <w:szCs w:val="15"/>
                <w:color w:val="231F20"/>
              </w:rPr>
              <w:t>Certificates)</w:t>
            </w:r>
          </w:p>
        </w:tc>
        <w:tc>
          <w:tcPr>
            <w:tcW w:w="820" w:type="dxa"/>
            <w:vAlign w:val="bottom"/>
            <w:shd w:val="clear" w:color="auto" w:fill="D0EBF2"/>
          </w:tcPr>
          <w:p>
            <w:pPr>
              <w:spacing w:after="0"/>
              <w:rPr>
                <w:sz w:val="16"/>
                <w:szCs w:val="16"/>
                <w:color w:val="auto"/>
              </w:rPr>
            </w:pPr>
          </w:p>
        </w:tc>
        <w:tc>
          <w:tcPr>
            <w:tcW w:w="1200" w:type="dxa"/>
            <w:vAlign w:val="bottom"/>
            <w:shd w:val="clear" w:color="auto" w:fill="D0EBF2"/>
          </w:tcPr>
          <w:p>
            <w:pPr>
              <w:spacing w:after="0"/>
              <w:rPr>
                <w:sz w:val="16"/>
                <w:szCs w:val="16"/>
                <w:color w:val="auto"/>
              </w:rPr>
            </w:pPr>
          </w:p>
        </w:tc>
        <w:tc>
          <w:tcPr>
            <w:tcW w:w="900" w:type="dxa"/>
            <w:vAlign w:val="bottom"/>
            <w:shd w:val="clear" w:color="auto" w:fill="D0EBF2"/>
          </w:tcPr>
          <w:p>
            <w:pPr>
              <w:spacing w:after="0"/>
              <w:rPr>
                <w:sz w:val="16"/>
                <w:szCs w:val="16"/>
                <w:color w:val="auto"/>
              </w:rPr>
            </w:pPr>
          </w:p>
        </w:tc>
        <w:tc>
          <w:tcPr>
            <w:tcW w:w="1000" w:type="dxa"/>
            <w:vAlign w:val="bottom"/>
            <w:shd w:val="clear" w:color="auto" w:fill="D0EBF2"/>
          </w:tcPr>
          <w:p>
            <w:pPr>
              <w:spacing w:after="0"/>
              <w:rPr>
                <w:sz w:val="16"/>
                <w:szCs w:val="16"/>
                <w:color w:val="auto"/>
              </w:rPr>
            </w:pPr>
          </w:p>
        </w:tc>
        <w:tc>
          <w:tcPr>
            <w:tcW w:w="180" w:type="dxa"/>
            <w:vAlign w:val="bottom"/>
            <w:shd w:val="clear" w:color="auto" w:fill="D0EBF2"/>
          </w:tcPr>
          <w:p>
            <w:pPr>
              <w:spacing w:after="0"/>
              <w:rPr>
                <w:sz w:val="16"/>
                <w:szCs w:val="16"/>
                <w:color w:val="auto"/>
              </w:rPr>
            </w:pPr>
          </w:p>
        </w:tc>
        <w:tc>
          <w:tcPr>
            <w:tcW w:w="960" w:type="dxa"/>
            <w:vAlign w:val="bottom"/>
            <w:shd w:val="clear" w:color="auto" w:fill="D0EBF2"/>
          </w:tcPr>
          <w:p>
            <w:pPr>
              <w:spacing w:after="0"/>
              <w:rPr>
                <w:sz w:val="16"/>
                <w:szCs w:val="16"/>
                <w:color w:val="auto"/>
              </w:rPr>
            </w:pPr>
          </w:p>
        </w:tc>
        <w:tc>
          <w:tcPr>
            <w:tcW w:w="200" w:type="dxa"/>
            <w:vAlign w:val="bottom"/>
            <w:shd w:val="clear" w:color="auto" w:fill="D0EBF2"/>
          </w:tcPr>
          <w:p>
            <w:pPr>
              <w:spacing w:after="0"/>
              <w:rPr>
                <w:sz w:val="16"/>
                <w:szCs w:val="16"/>
                <w:color w:val="auto"/>
              </w:rPr>
            </w:pPr>
          </w:p>
        </w:tc>
        <w:tc>
          <w:tcPr>
            <w:tcW w:w="900" w:type="dxa"/>
            <w:vAlign w:val="bottom"/>
            <w:shd w:val="clear" w:color="auto" w:fill="D0EBF2"/>
          </w:tcPr>
          <w:p>
            <w:pPr>
              <w:spacing w:after="0"/>
              <w:rPr>
                <w:sz w:val="16"/>
                <w:szCs w:val="16"/>
                <w:color w:val="auto"/>
              </w:rPr>
            </w:pPr>
          </w:p>
        </w:tc>
        <w:tc>
          <w:tcPr>
            <w:tcW w:w="240" w:type="dxa"/>
            <w:vAlign w:val="bottom"/>
            <w:shd w:val="clear" w:color="auto" w:fill="D0EBF2"/>
          </w:tcPr>
          <w:p>
            <w:pPr>
              <w:spacing w:after="0"/>
              <w:rPr>
                <w:sz w:val="16"/>
                <w:szCs w:val="16"/>
                <w:color w:val="auto"/>
              </w:rPr>
            </w:pPr>
          </w:p>
        </w:tc>
        <w:tc>
          <w:tcPr>
            <w:tcW w:w="0" w:type="dxa"/>
            <w:vAlign w:val="bottom"/>
          </w:tcPr>
          <w:p>
            <w:pPr>
              <w:spacing w:after="0"/>
              <w:rPr>
                <w:sz w:val="1"/>
                <w:szCs w:val="1"/>
                <w:color w:val="auto"/>
              </w:rPr>
            </w:pPr>
          </w:p>
        </w:tc>
      </w:tr>
      <w:tr>
        <w:trPr>
          <w:trHeight w:val="158"/>
        </w:trPr>
        <w:tc>
          <w:tcPr>
            <w:tcW w:w="1460" w:type="dxa"/>
            <w:vAlign w:val="bottom"/>
            <w:shd w:val="clear" w:color="auto" w:fill="FDFDFC"/>
          </w:tcPr>
          <w:p>
            <w:pPr>
              <w:spacing w:after="0"/>
              <w:rPr>
                <w:sz w:val="13"/>
                <w:szCs w:val="13"/>
                <w:color w:val="auto"/>
              </w:rPr>
            </w:pPr>
          </w:p>
        </w:tc>
        <w:tc>
          <w:tcPr>
            <w:tcW w:w="2420" w:type="dxa"/>
            <w:vAlign w:val="bottom"/>
            <w:shd w:val="clear" w:color="auto" w:fill="FDFDFC"/>
          </w:tcPr>
          <w:p>
            <w:pPr>
              <w:ind w:left="60"/>
              <w:spacing w:after="0" w:line="159" w:lineRule="exact"/>
              <w:rPr>
                <w:sz w:val="20"/>
                <w:szCs w:val="20"/>
                <w:color w:val="auto"/>
              </w:rPr>
            </w:pPr>
            <w:r>
              <w:rPr>
                <w:rFonts w:ascii="Times New Roman" w:cs="Times New Roman" w:eastAsia="Times New Roman" w:hAnsi="Times New Roman"/>
                <w:sz w:val="15"/>
                <w:szCs w:val="15"/>
                <w:color w:val="231F20"/>
              </w:rPr>
              <w:t>Trust Certificates (996,958</w:t>
            </w:r>
          </w:p>
        </w:tc>
        <w:tc>
          <w:tcPr>
            <w:tcW w:w="820" w:type="dxa"/>
            <w:vAlign w:val="bottom"/>
            <w:shd w:val="clear" w:color="auto" w:fill="FDFDFC"/>
          </w:tcPr>
          <w:p>
            <w:pPr>
              <w:jc w:val="right"/>
              <w:spacing w:after="0" w:line="159" w:lineRule="exact"/>
              <w:rPr>
                <w:sz w:val="20"/>
                <w:szCs w:val="20"/>
                <w:color w:val="auto"/>
              </w:rPr>
            </w:pPr>
            <w:r>
              <w:rPr>
                <w:rFonts w:ascii="Times New Roman" w:cs="Times New Roman" w:eastAsia="Times New Roman" w:hAnsi="Times New Roman"/>
                <w:sz w:val="15"/>
                <w:szCs w:val="15"/>
                <w:color w:val="231F20"/>
              </w:rPr>
              <w:t>1/30/2021</w:t>
            </w:r>
          </w:p>
        </w:tc>
        <w:tc>
          <w:tcPr>
            <w:tcW w:w="1200" w:type="dxa"/>
            <w:vAlign w:val="bottom"/>
            <w:shd w:val="clear" w:color="auto" w:fill="FDFDFC"/>
          </w:tcPr>
          <w:p>
            <w:pPr>
              <w:spacing w:after="0"/>
              <w:rPr>
                <w:sz w:val="13"/>
                <w:szCs w:val="13"/>
                <w:color w:val="auto"/>
              </w:rPr>
            </w:pPr>
          </w:p>
        </w:tc>
        <w:tc>
          <w:tcPr>
            <w:tcW w:w="900" w:type="dxa"/>
            <w:vAlign w:val="bottom"/>
            <w:shd w:val="clear" w:color="auto" w:fill="FDFDFC"/>
          </w:tcPr>
          <w:p>
            <w:pPr>
              <w:spacing w:after="0"/>
              <w:rPr>
                <w:sz w:val="13"/>
                <w:szCs w:val="13"/>
                <w:color w:val="auto"/>
              </w:rPr>
            </w:pPr>
          </w:p>
        </w:tc>
        <w:tc>
          <w:tcPr>
            <w:tcW w:w="1000" w:type="dxa"/>
            <w:vAlign w:val="bottom"/>
            <w:shd w:val="clear" w:color="auto" w:fill="FDFDFC"/>
          </w:tcPr>
          <w:p>
            <w:pPr>
              <w:jc w:val="right"/>
              <w:spacing w:after="0" w:line="159" w:lineRule="exact"/>
              <w:rPr>
                <w:sz w:val="20"/>
                <w:szCs w:val="20"/>
                <w:color w:val="auto"/>
              </w:rPr>
            </w:pPr>
            <w:r>
              <w:rPr>
                <w:rFonts w:ascii="Times New Roman" w:cs="Times New Roman" w:eastAsia="Times New Roman" w:hAnsi="Times New Roman"/>
                <w:sz w:val="15"/>
                <w:szCs w:val="15"/>
                <w:color w:val="231F20"/>
              </w:rPr>
              <w:t>2,589</w:t>
            </w:r>
          </w:p>
        </w:tc>
        <w:tc>
          <w:tcPr>
            <w:tcW w:w="1140" w:type="dxa"/>
            <w:vAlign w:val="bottom"/>
            <w:gridSpan w:val="2"/>
            <w:shd w:val="clear" w:color="auto" w:fill="FDFDFC"/>
          </w:tcPr>
          <w:p>
            <w:pPr>
              <w:jc w:val="right"/>
              <w:spacing w:after="0" w:line="159" w:lineRule="exact"/>
              <w:rPr>
                <w:sz w:val="20"/>
                <w:szCs w:val="20"/>
                <w:color w:val="auto"/>
              </w:rPr>
            </w:pPr>
            <w:r>
              <w:rPr>
                <w:rFonts w:ascii="Times New Roman" w:cs="Times New Roman" w:eastAsia="Times New Roman" w:hAnsi="Times New Roman"/>
                <w:sz w:val="15"/>
                <w:szCs w:val="15"/>
                <w:color w:val="231F20"/>
              </w:rPr>
              <w:t>10,089</w:t>
            </w:r>
          </w:p>
        </w:tc>
        <w:tc>
          <w:tcPr>
            <w:tcW w:w="1340" w:type="dxa"/>
            <w:vAlign w:val="bottom"/>
            <w:gridSpan w:val="3"/>
            <w:shd w:val="clear" w:color="auto" w:fill="FDFDFC"/>
          </w:tcPr>
          <w:p>
            <w:pPr>
              <w:jc w:val="right"/>
              <w:ind w:right="120"/>
              <w:spacing w:after="0" w:line="159" w:lineRule="exact"/>
              <w:rPr>
                <w:sz w:val="20"/>
                <w:szCs w:val="20"/>
                <w:color w:val="auto"/>
              </w:rPr>
            </w:pPr>
            <w:r>
              <w:rPr>
                <w:rFonts w:ascii="Times New Roman" w:cs="Times New Roman" w:eastAsia="Times New Roman" w:hAnsi="Times New Roman"/>
                <w:sz w:val="15"/>
                <w:szCs w:val="15"/>
                <w:color w:val="231F20"/>
              </w:rPr>
              <w:t>0.6%</w:t>
            </w:r>
          </w:p>
        </w:tc>
        <w:tc>
          <w:tcPr>
            <w:tcW w:w="0" w:type="dxa"/>
            <w:vAlign w:val="bottom"/>
          </w:tcPr>
          <w:p>
            <w:pPr>
              <w:spacing w:after="0"/>
              <w:rPr>
                <w:sz w:val="1"/>
                <w:szCs w:val="1"/>
                <w:color w:val="auto"/>
              </w:rPr>
            </w:pPr>
          </w:p>
        </w:tc>
      </w:tr>
      <w:tr>
        <w:trPr>
          <w:trHeight w:val="189"/>
        </w:trPr>
        <w:tc>
          <w:tcPr>
            <w:tcW w:w="1460" w:type="dxa"/>
            <w:vAlign w:val="bottom"/>
            <w:shd w:val="clear" w:color="auto" w:fill="FDFDFC"/>
          </w:tcPr>
          <w:p>
            <w:pPr>
              <w:spacing w:after="0"/>
              <w:rPr>
                <w:sz w:val="16"/>
                <w:szCs w:val="16"/>
                <w:color w:val="auto"/>
              </w:rPr>
            </w:pPr>
          </w:p>
        </w:tc>
        <w:tc>
          <w:tcPr>
            <w:tcW w:w="2420" w:type="dxa"/>
            <w:vAlign w:val="bottom"/>
            <w:shd w:val="clear" w:color="auto" w:fill="FDFDFC"/>
          </w:tcPr>
          <w:p>
            <w:pPr>
              <w:ind w:left="60"/>
              <w:spacing w:after="0"/>
              <w:rPr>
                <w:sz w:val="20"/>
                <w:szCs w:val="20"/>
                <w:color w:val="auto"/>
              </w:rPr>
            </w:pPr>
            <w:r>
              <w:rPr>
                <w:rFonts w:ascii="Times New Roman" w:cs="Times New Roman" w:eastAsia="Times New Roman" w:hAnsi="Times New Roman"/>
                <w:sz w:val="15"/>
                <w:szCs w:val="15"/>
                <w:color w:val="231F20"/>
              </w:rPr>
              <w:t xml:space="preserve">Certificates) </w:t>
            </w:r>
            <w:r>
              <w:rPr>
                <w:rFonts w:ascii="Times New Roman" w:cs="Times New Roman" w:eastAsia="Times New Roman" w:hAnsi="Times New Roman"/>
                <w:sz w:val="9"/>
                <w:szCs w:val="9"/>
                <w:color w:val="231F20"/>
              </w:rPr>
              <w:t>(9)</w:t>
            </w:r>
          </w:p>
        </w:tc>
        <w:tc>
          <w:tcPr>
            <w:tcW w:w="820" w:type="dxa"/>
            <w:vAlign w:val="bottom"/>
            <w:shd w:val="clear" w:color="auto" w:fill="FDFDFC"/>
          </w:tcPr>
          <w:p>
            <w:pPr>
              <w:spacing w:after="0"/>
              <w:rPr>
                <w:sz w:val="16"/>
                <w:szCs w:val="16"/>
                <w:color w:val="auto"/>
              </w:rPr>
            </w:pPr>
          </w:p>
        </w:tc>
        <w:tc>
          <w:tcPr>
            <w:tcW w:w="1200" w:type="dxa"/>
            <w:vAlign w:val="bottom"/>
            <w:shd w:val="clear" w:color="auto" w:fill="FDFDFC"/>
          </w:tcPr>
          <w:p>
            <w:pPr>
              <w:spacing w:after="0"/>
              <w:rPr>
                <w:sz w:val="16"/>
                <w:szCs w:val="16"/>
                <w:color w:val="auto"/>
              </w:rPr>
            </w:pPr>
          </w:p>
        </w:tc>
        <w:tc>
          <w:tcPr>
            <w:tcW w:w="900" w:type="dxa"/>
            <w:vAlign w:val="bottom"/>
            <w:shd w:val="clear" w:color="auto" w:fill="FDFDFC"/>
          </w:tcPr>
          <w:p>
            <w:pPr>
              <w:spacing w:after="0"/>
              <w:rPr>
                <w:sz w:val="16"/>
                <w:szCs w:val="16"/>
                <w:color w:val="auto"/>
              </w:rPr>
            </w:pPr>
          </w:p>
        </w:tc>
        <w:tc>
          <w:tcPr>
            <w:tcW w:w="1000" w:type="dxa"/>
            <w:vAlign w:val="bottom"/>
            <w:shd w:val="clear" w:color="auto" w:fill="FDFDFC"/>
          </w:tcPr>
          <w:p>
            <w:pPr>
              <w:spacing w:after="0"/>
              <w:rPr>
                <w:sz w:val="16"/>
                <w:szCs w:val="16"/>
                <w:color w:val="auto"/>
              </w:rPr>
            </w:pPr>
          </w:p>
        </w:tc>
        <w:tc>
          <w:tcPr>
            <w:tcW w:w="180" w:type="dxa"/>
            <w:vAlign w:val="bottom"/>
            <w:shd w:val="clear" w:color="auto" w:fill="FDFDFC"/>
          </w:tcPr>
          <w:p>
            <w:pPr>
              <w:spacing w:after="0"/>
              <w:rPr>
                <w:sz w:val="16"/>
                <w:szCs w:val="16"/>
                <w:color w:val="auto"/>
              </w:rPr>
            </w:pPr>
          </w:p>
        </w:tc>
        <w:tc>
          <w:tcPr>
            <w:tcW w:w="960" w:type="dxa"/>
            <w:vAlign w:val="bottom"/>
            <w:shd w:val="clear" w:color="auto" w:fill="FDFDFC"/>
          </w:tcPr>
          <w:p>
            <w:pPr>
              <w:spacing w:after="0"/>
              <w:rPr>
                <w:sz w:val="16"/>
                <w:szCs w:val="16"/>
                <w:color w:val="auto"/>
              </w:rPr>
            </w:pPr>
          </w:p>
        </w:tc>
        <w:tc>
          <w:tcPr>
            <w:tcW w:w="200" w:type="dxa"/>
            <w:vAlign w:val="bottom"/>
            <w:shd w:val="clear" w:color="auto" w:fill="FDFDFC"/>
          </w:tcPr>
          <w:p>
            <w:pPr>
              <w:spacing w:after="0"/>
              <w:rPr>
                <w:sz w:val="16"/>
                <w:szCs w:val="16"/>
                <w:color w:val="auto"/>
              </w:rPr>
            </w:pPr>
          </w:p>
        </w:tc>
        <w:tc>
          <w:tcPr>
            <w:tcW w:w="900" w:type="dxa"/>
            <w:vAlign w:val="bottom"/>
            <w:shd w:val="clear" w:color="auto" w:fill="FDFDFC"/>
          </w:tcPr>
          <w:p>
            <w:pPr>
              <w:spacing w:after="0"/>
              <w:rPr>
                <w:sz w:val="16"/>
                <w:szCs w:val="16"/>
                <w:color w:val="auto"/>
              </w:rPr>
            </w:pPr>
          </w:p>
        </w:tc>
        <w:tc>
          <w:tcPr>
            <w:tcW w:w="240" w:type="dxa"/>
            <w:vAlign w:val="bottom"/>
            <w:shd w:val="clear" w:color="auto" w:fill="FDFDFC"/>
          </w:tcPr>
          <w:p>
            <w:pPr>
              <w:spacing w:after="0"/>
              <w:rPr>
                <w:sz w:val="16"/>
                <w:szCs w:val="16"/>
                <w:color w:val="auto"/>
              </w:rPr>
            </w:pPr>
          </w:p>
        </w:tc>
        <w:tc>
          <w:tcPr>
            <w:tcW w:w="0" w:type="dxa"/>
            <w:vAlign w:val="bottom"/>
          </w:tcPr>
          <w:p>
            <w:pPr>
              <w:spacing w:after="0"/>
              <w:rPr>
                <w:sz w:val="1"/>
                <w:szCs w:val="1"/>
                <w:color w:val="auto"/>
              </w:rPr>
            </w:pPr>
          </w:p>
        </w:tc>
      </w:tr>
      <w:tr>
        <w:trPr>
          <w:trHeight w:val="174"/>
        </w:trPr>
        <w:tc>
          <w:tcPr>
            <w:tcW w:w="1460" w:type="dxa"/>
            <w:vAlign w:val="bottom"/>
            <w:shd w:val="clear" w:color="auto" w:fill="D0EBF2"/>
          </w:tcPr>
          <w:p>
            <w:pPr>
              <w:spacing w:after="0"/>
              <w:rPr>
                <w:sz w:val="20"/>
                <w:szCs w:val="20"/>
                <w:color w:val="auto"/>
              </w:rPr>
            </w:pPr>
            <w:r>
              <w:rPr>
                <w:rFonts w:ascii="Times New Roman" w:cs="Times New Roman" w:eastAsia="Times New Roman" w:hAnsi="Times New Roman"/>
                <w:sz w:val="15"/>
                <w:szCs w:val="15"/>
                <w:color w:val="231F20"/>
              </w:rPr>
              <w:t xml:space="preserve">Neuintel, LLC </w:t>
            </w:r>
            <w:r>
              <w:rPr>
                <w:rFonts w:ascii="Times New Roman" w:cs="Times New Roman" w:eastAsia="Times New Roman" w:hAnsi="Times New Roman"/>
                <w:sz w:val="9"/>
                <w:szCs w:val="9"/>
                <w:color w:val="231F20"/>
              </w:rPr>
              <w:t>(11)(13)</w:t>
            </w:r>
          </w:p>
        </w:tc>
        <w:tc>
          <w:tcPr>
            <w:tcW w:w="2420" w:type="dxa"/>
            <w:vAlign w:val="bottom"/>
            <w:shd w:val="clear" w:color="auto" w:fill="D0EBF2"/>
          </w:tcPr>
          <w:p>
            <w:pPr>
              <w:ind w:left="60"/>
              <w:spacing w:after="0"/>
              <w:rPr>
                <w:sz w:val="20"/>
                <w:szCs w:val="20"/>
                <w:color w:val="auto"/>
              </w:rPr>
            </w:pPr>
            <w:r>
              <w:rPr>
                <w:rFonts w:ascii="Times New Roman" w:cs="Times New Roman" w:eastAsia="Times New Roman" w:hAnsi="Times New Roman"/>
                <w:sz w:val="15"/>
                <w:szCs w:val="15"/>
                <w:color w:val="231F20"/>
              </w:rPr>
              <w:t>Class A Units (1,176,494 units)</w:t>
            </w:r>
          </w:p>
        </w:tc>
        <w:tc>
          <w:tcPr>
            <w:tcW w:w="820" w:type="dxa"/>
            <w:vAlign w:val="bottom"/>
            <w:shd w:val="clear" w:color="auto" w:fill="D0EBF2"/>
          </w:tcPr>
          <w:p>
            <w:pPr>
              <w:jc w:val="right"/>
              <w:spacing w:after="0"/>
              <w:rPr>
                <w:sz w:val="20"/>
                <w:szCs w:val="20"/>
                <w:color w:val="auto"/>
              </w:rPr>
            </w:pPr>
            <w:r>
              <w:rPr>
                <w:rFonts w:ascii="Times New Roman" w:cs="Times New Roman" w:eastAsia="Times New Roman" w:hAnsi="Times New Roman"/>
                <w:sz w:val="15"/>
                <w:szCs w:val="15"/>
                <w:color w:val="231F20"/>
              </w:rPr>
              <w:t>12/21/2021</w:t>
            </w:r>
          </w:p>
        </w:tc>
        <w:tc>
          <w:tcPr>
            <w:tcW w:w="1200" w:type="dxa"/>
            <w:vAlign w:val="bottom"/>
            <w:shd w:val="clear" w:color="auto" w:fill="D0EBF2"/>
          </w:tcPr>
          <w:p>
            <w:pPr>
              <w:spacing w:after="0"/>
              <w:rPr>
                <w:sz w:val="15"/>
                <w:szCs w:val="15"/>
                <w:color w:val="auto"/>
              </w:rPr>
            </w:pPr>
          </w:p>
        </w:tc>
        <w:tc>
          <w:tcPr>
            <w:tcW w:w="900" w:type="dxa"/>
            <w:vAlign w:val="bottom"/>
            <w:shd w:val="clear" w:color="auto" w:fill="D0EBF2"/>
          </w:tcPr>
          <w:p>
            <w:pPr>
              <w:spacing w:after="0"/>
              <w:rPr>
                <w:sz w:val="15"/>
                <w:szCs w:val="15"/>
                <w:color w:val="auto"/>
              </w:rPr>
            </w:pPr>
          </w:p>
        </w:tc>
        <w:tc>
          <w:tcPr>
            <w:tcW w:w="1000" w:type="dxa"/>
            <w:vAlign w:val="bottom"/>
            <w:shd w:val="clear" w:color="auto" w:fill="D0EBF2"/>
          </w:tcPr>
          <w:p>
            <w:pPr>
              <w:jc w:val="right"/>
              <w:spacing w:after="0"/>
              <w:rPr>
                <w:sz w:val="20"/>
                <w:szCs w:val="20"/>
                <w:color w:val="auto"/>
              </w:rPr>
            </w:pPr>
            <w:r>
              <w:rPr>
                <w:rFonts w:ascii="Times New Roman" w:cs="Times New Roman" w:eastAsia="Times New Roman" w:hAnsi="Times New Roman"/>
                <w:sz w:val="15"/>
                <w:szCs w:val="15"/>
                <w:color w:val="231F20"/>
              </w:rPr>
              <w:t>3,000</w:t>
            </w:r>
          </w:p>
        </w:tc>
        <w:tc>
          <w:tcPr>
            <w:tcW w:w="180" w:type="dxa"/>
            <w:vAlign w:val="bottom"/>
            <w:shd w:val="clear" w:color="auto" w:fill="D0EBF2"/>
          </w:tcPr>
          <w:p>
            <w:pPr>
              <w:spacing w:after="0"/>
              <w:rPr>
                <w:sz w:val="15"/>
                <w:szCs w:val="15"/>
                <w:color w:val="auto"/>
              </w:rPr>
            </w:pPr>
          </w:p>
        </w:tc>
        <w:tc>
          <w:tcPr>
            <w:tcW w:w="960" w:type="dxa"/>
            <w:vAlign w:val="bottom"/>
            <w:shd w:val="clear" w:color="auto" w:fill="D0EBF2"/>
          </w:tcPr>
          <w:p>
            <w:pPr>
              <w:jc w:val="right"/>
              <w:spacing w:after="0"/>
              <w:rPr>
                <w:sz w:val="20"/>
                <w:szCs w:val="20"/>
                <w:color w:val="auto"/>
              </w:rPr>
            </w:pPr>
            <w:r>
              <w:rPr>
                <w:rFonts w:ascii="Times New Roman" w:cs="Times New Roman" w:eastAsia="Times New Roman" w:hAnsi="Times New Roman"/>
                <w:sz w:val="15"/>
                <w:szCs w:val="15"/>
                <w:color w:val="231F20"/>
              </w:rPr>
              <w:t>2,430</w:t>
            </w:r>
          </w:p>
        </w:tc>
        <w:tc>
          <w:tcPr>
            <w:tcW w:w="200" w:type="dxa"/>
            <w:vAlign w:val="bottom"/>
            <w:shd w:val="clear" w:color="auto" w:fill="D0EBF2"/>
          </w:tcPr>
          <w:p>
            <w:pPr>
              <w:spacing w:after="0"/>
              <w:rPr>
                <w:sz w:val="15"/>
                <w:szCs w:val="15"/>
                <w:color w:val="auto"/>
              </w:rPr>
            </w:pPr>
          </w:p>
        </w:tc>
        <w:tc>
          <w:tcPr>
            <w:tcW w:w="1140" w:type="dxa"/>
            <w:vAlign w:val="bottom"/>
            <w:gridSpan w:val="2"/>
            <w:shd w:val="clear" w:color="auto" w:fill="D0EBF2"/>
          </w:tcPr>
          <w:p>
            <w:pPr>
              <w:jc w:val="right"/>
              <w:ind w:right="120"/>
              <w:spacing w:after="0"/>
              <w:rPr>
                <w:sz w:val="20"/>
                <w:szCs w:val="20"/>
                <w:color w:val="auto"/>
              </w:rPr>
            </w:pPr>
            <w:r>
              <w:rPr>
                <w:rFonts w:ascii="Times New Roman" w:cs="Times New Roman" w:eastAsia="Times New Roman" w:hAnsi="Times New Roman"/>
                <w:sz w:val="15"/>
                <w:szCs w:val="15"/>
                <w:color w:val="231F20"/>
              </w:rPr>
              <w:t>0.2%</w:t>
            </w:r>
          </w:p>
        </w:tc>
        <w:tc>
          <w:tcPr>
            <w:tcW w:w="0" w:type="dxa"/>
            <w:vAlign w:val="bottom"/>
          </w:tcPr>
          <w:p>
            <w:pPr>
              <w:spacing w:after="0"/>
              <w:rPr>
                <w:sz w:val="1"/>
                <w:szCs w:val="1"/>
                <w:color w:val="auto"/>
              </w:rPr>
            </w:pPr>
          </w:p>
        </w:tc>
      </w:tr>
      <w:tr>
        <w:trPr>
          <w:trHeight w:val="20"/>
        </w:trPr>
        <w:tc>
          <w:tcPr>
            <w:tcW w:w="1460" w:type="dxa"/>
            <w:vAlign w:val="bottom"/>
            <w:shd w:val="clear" w:color="auto" w:fill="D0EBF2"/>
          </w:tcPr>
          <w:p>
            <w:pPr>
              <w:spacing w:after="0" w:line="20" w:lineRule="exact"/>
              <w:rPr>
                <w:sz w:val="1"/>
                <w:szCs w:val="1"/>
                <w:color w:val="auto"/>
              </w:rPr>
            </w:pPr>
          </w:p>
        </w:tc>
        <w:tc>
          <w:tcPr>
            <w:tcW w:w="2420" w:type="dxa"/>
            <w:vAlign w:val="bottom"/>
            <w:shd w:val="clear" w:color="auto" w:fill="D0EBF2"/>
          </w:tcPr>
          <w:p>
            <w:pPr>
              <w:spacing w:after="0" w:line="20" w:lineRule="exact"/>
              <w:rPr>
                <w:sz w:val="1"/>
                <w:szCs w:val="1"/>
                <w:color w:val="auto"/>
              </w:rPr>
            </w:pPr>
          </w:p>
        </w:tc>
        <w:tc>
          <w:tcPr>
            <w:tcW w:w="820" w:type="dxa"/>
            <w:vAlign w:val="bottom"/>
            <w:shd w:val="clear" w:color="auto" w:fill="D0EBF2"/>
          </w:tcPr>
          <w:p>
            <w:pPr>
              <w:spacing w:after="0" w:line="20" w:lineRule="exact"/>
              <w:rPr>
                <w:sz w:val="1"/>
                <w:szCs w:val="1"/>
                <w:color w:val="auto"/>
              </w:rPr>
            </w:pPr>
          </w:p>
        </w:tc>
        <w:tc>
          <w:tcPr>
            <w:tcW w:w="1200" w:type="dxa"/>
            <w:vAlign w:val="bottom"/>
            <w:shd w:val="clear" w:color="auto" w:fill="D0EBF2"/>
          </w:tcPr>
          <w:p>
            <w:pPr>
              <w:spacing w:after="0" w:line="20" w:lineRule="exact"/>
              <w:rPr>
                <w:sz w:val="1"/>
                <w:szCs w:val="1"/>
                <w:color w:val="auto"/>
              </w:rPr>
            </w:pPr>
          </w:p>
        </w:tc>
        <w:tc>
          <w:tcPr>
            <w:tcW w:w="900" w:type="dxa"/>
            <w:vAlign w:val="bottom"/>
            <w:shd w:val="clear" w:color="auto" w:fill="D0EBF2"/>
          </w:tcPr>
          <w:p>
            <w:pPr>
              <w:spacing w:after="0" w:line="20" w:lineRule="exact"/>
              <w:rPr>
                <w:sz w:val="1"/>
                <w:szCs w:val="1"/>
                <w:color w:val="auto"/>
              </w:rPr>
            </w:pPr>
          </w:p>
        </w:tc>
        <w:tc>
          <w:tcPr>
            <w:tcW w:w="1000" w:type="dxa"/>
            <w:vAlign w:val="bottom"/>
            <w:shd w:val="clear" w:color="auto" w:fill="231F20"/>
          </w:tcPr>
          <w:p>
            <w:pPr>
              <w:spacing w:after="0" w:line="20" w:lineRule="exact"/>
              <w:rPr>
                <w:sz w:val="1"/>
                <w:szCs w:val="1"/>
                <w:color w:val="auto"/>
              </w:rPr>
            </w:pPr>
          </w:p>
        </w:tc>
        <w:tc>
          <w:tcPr>
            <w:tcW w:w="180" w:type="dxa"/>
            <w:vAlign w:val="bottom"/>
            <w:shd w:val="clear" w:color="auto" w:fill="D0EBF2"/>
          </w:tcPr>
          <w:p>
            <w:pPr>
              <w:spacing w:after="0" w:line="20" w:lineRule="exact"/>
              <w:rPr>
                <w:sz w:val="1"/>
                <w:szCs w:val="1"/>
                <w:color w:val="auto"/>
              </w:rPr>
            </w:pPr>
          </w:p>
        </w:tc>
        <w:tc>
          <w:tcPr>
            <w:tcW w:w="960" w:type="dxa"/>
            <w:vAlign w:val="bottom"/>
            <w:shd w:val="clear" w:color="auto" w:fill="231F20"/>
          </w:tcPr>
          <w:p>
            <w:pPr>
              <w:spacing w:after="0" w:line="20" w:lineRule="exact"/>
              <w:rPr>
                <w:sz w:val="1"/>
                <w:szCs w:val="1"/>
                <w:color w:val="auto"/>
              </w:rPr>
            </w:pPr>
          </w:p>
        </w:tc>
        <w:tc>
          <w:tcPr>
            <w:tcW w:w="200" w:type="dxa"/>
            <w:vAlign w:val="bottom"/>
            <w:shd w:val="clear" w:color="auto" w:fill="D0EBF2"/>
          </w:tcPr>
          <w:p>
            <w:pPr>
              <w:spacing w:after="0" w:line="20" w:lineRule="exact"/>
              <w:rPr>
                <w:sz w:val="1"/>
                <w:szCs w:val="1"/>
                <w:color w:val="auto"/>
              </w:rPr>
            </w:pPr>
          </w:p>
        </w:tc>
        <w:tc>
          <w:tcPr>
            <w:tcW w:w="900" w:type="dxa"/>
            <w:vAlign w:val="bottom"/>
            <w:shd w:val="clear" w:color="auto" w:fill="231F20"/>
          </w:tcPr>
          <w:p>
            <w:pPr>
              <w:spacing w:after="0" w:line="20" w:lineRule="exact"/>
              <w:rPr>
                <w:sz w:val="1"/>
                <w:szCs w:val="1"/>
                <w:color w:val="auto"/>
              </w:rPr>
            </w:pPr>
          </w:p>
        </w:tc>
        <w:tc>
          <w:tcPr>
            <w:tcW w:w="240" w:type="dxa"/>
            <w:vAlign w:val="bottom"/>
            <w:shd w:val="clear" w:color="auto" w:fill="D0EBF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1460" w:type="dxa"/>
            <w:vAlign w:val="bottom"/>
            <w:shd w:val="clear" w:color="auto" w:fill="FDFDFC"/>
          </w:tcPr>
          <w:p>
            <w:pPr>
              <w:spacing w:after="0"/>
              <w:rPr>
                <w:sz w:val="14"/>
                <w:szCs w:val="14"/>
                <w:color w:val="auto"/>
              </w:rPr>
            </w:pPr>
          </w:p>
        </w:tc>
        <w:tc>
          <w:tcPr>
            <w:tcW w:w="2420" w:type="dxa"/>
            <w:vAlign w:val="bottom"/>
            <w:shd w:val="clear" w:color="auto" w:fill="FDFDFC"/>
          </w:tcPr>
          <w:p>
            <w:pPr>
              <w:spacing w:after="0"/>
              <w:rPr>
                <w:sz w:val="14"/>
                <w:szCs w:val="14"/>
                <w:color w:val="auto"/>
              </w:rPr>
            </w:pPr>
          </w:p>
        </w:tc>
        <w:tc>
          <w:tcPr>
            <w:tcW w:w="820" w:type="dxa"/>
            <w:vAlign w:val="bottom"/>
            <w:shd w:val="clear" w:color="auto" w:fill="FDFDFC"/>
          </w:tcPr>
          <w:p>
            <w:pPr>
              <w:spacing w:after="0"/>
              <w:rPr>
                <w:sz w:val="14"/>
                <w:szCs w:val="14"/>
                <w:color w:val="auto"/>
              </w:rPr>
            </w:pPr>
          </w:p>
        </w:tc>
        <w:tc>
          <w:tcPr>
            <w:tcW w:w="1200" w:type="dxa"/>
            <w:vAlign w:val="bottom"/>
            <w:shd w:val="clear" w:color="auto" w:fill="FDFDFC"/>
          </w:tcPr>
          <w:p>
            <w:pPr>
              <w:spacing w:after="0"/>
              <w:rPr>
                <w:sz w:val="14"/>
                <w:szCs w:val="14"/>
                <w:color w:val="auto"/>
              </w:rPr>
            </w:pPr>
          </w:p>
        </w:tc>
        <w:tc>
          <w:tcPr>
            <w:tcW w:w="900" w:type="dxa"/>
            <w:vAlign w:val="bottom"/>
            <w:shd w:val="clear" w:color="auto" w:fill="FDFDFC"/>
          </w:tcPr>
          <w:p>
            <w:pPr>
              <w:spacing w:after="0"/>
              <w:rPr>
                <w:sz w:val="14"/>
                <w:szCs w:val="14"/>
                <w:color w:val="auto"/>
              </w:rPr>
            </w:pPr>
          </w:p>
        </w:tc>
        <w:tc>
          <w:tcPr>
            <w:tcW w:w="1000" w:type="dxa"/>
            <w:vAlign w:val="bottom"/>
            <w:shd w:val="clear" w:color="auto" w:fill="FDFDFC"/>
          </w:tcPr>
          <w:p>
            <w:pPr>
              <w:jc w:val="right"/>
              <w:spacing w:after="0" w:line="164" w:lineRule="exact"/>
              <w:rPr>
                <w:sz w:val="20"/>
                <w:szCs w:val="20"/>
                <w:color w:val="auto"/>
              </w:rPr>
            </w:pPr>
            <w:r>
              <w:rPr>
                <w:rFonts w:ascii="Times New Roman" w:cs="Times New Roman" w:eastAsia="Times New Roman" w:hAnsi="Times New Roman"/>
                <w:sz w:val="15"/>
                <w:szCs w:val="15"/>
                <w:color w:val="231F20"/>
              </w:rPr>
              <w:t>5,589</w:t>
            </w:r>
          </w:p>
        </w:tc>
        <w:tc>
          <w:tcPr>
            <w:tcW w:w="180" w:type="dxa"/>
            <w:vAlign w:val="bottom"/>
            <w:shd w:val="clear" w:color="auto" w:fill="FDFDFC"/>
          </w:tcPr>
          <w:p>
            <w:pPr>
              <w:spacing w:after="0"/>
              <w:rPr>
                <w:sz w:val="14"/>
                <w:szCs w:val="14"/>
                <w:color w:val="auto"/>
              </w:rPr>
            </w:pPr>
          </w:p>
        </w:tc>
        <w:tc>
          <w:tcPr>
            <w:tcW w:w="960" w:type="dxa"/>
            <w:vAlign w:val="bottom"/>
            <w:shd w:val="clear" w:color="auto" w:fill="FDFDFC"/>
          </w:tcPr>
          <w:p>
            <w:pPr>
              <w:jc w:val="right"/>
              <w:spacing w:after="0" w:line="164" w:lineRule="exact"/>
              <w:rPr>
                <w:sz w:val="20"/>
                <w:szCs w:val="20"/>
                <w:color w:val="auto"/>
              </w:rPr>
            </w:pPr>
            <w:r>
              <w:rPr>
                <w:rFonts w:ascii="Times New Roman" w:cs="Times New Roman" w:eastAsia="Times New Roman" w:hAnsi="Times New Roman"/>
                <w:sz w:val="15"/>
                <w:szCs w:val="15"/>
                <w:color w:val="231F20"/>
              </w:rPr>
              <w:t>12,569</w:t>
            </w:r>
          </w:p>
        </w:tc>
        <w:tc>
          <w:tcPr>
            <w:tcW w:w="200" w:type="dxa"/>
            <w:vAlign w:val="bottom"/>
            <w:shd w:val="clear" w:color="auto" w:fill="FDFDFC"/>
          </w:tcPr>
          <w:p>
            <w:pPr>
              <w:spacing w:after="0"/>
              <w:rPr>
                <w:sz w:val="14"/>
                <w:szCs w:val="14"/>
                <w:color w:val="auto"/>
              </w:rPr>
            </w:pPr>
          </w:p>
        </w:tc>
        <w:tc>
          <w:tcPr>
            <w:tcW w:w="1140" w:type="dxa"/>
            <w:vAlign w:val="bottom"/>
            <w:gridSpan w:val="2"/>
          </w:tcPr>
          <w:p>
            <w:pPr>
              <w:jc w:val="right"/>
              <w:ind w:right="120"/>
              <w:spacing w:after="0" w:line="164" w:lineRule="exact"/>
              <w:rPr>
                <w:sz w:val="20"/>
                <w:szCs w:val="20"/>
                <w:color w:val="auto"/>
              </w:rPr>
            </w:pPr>
            <w:r>
              <w:rPr>
                <w:rFonts w:ascii="Times New Roman" w:cs="Times New Roman" w:eastAsia="Times New Roman" w:hAnsi="Times New Roman"/>
                <w:sz w:val="15"/>
                <w:szCs w:val="15"/>
                <w:color w:val="231F20"/>
              </w:rPr>
              <w:t>0.8%</w:t>
            </w:r>
          </w:p>
        </w:tc>
        <w:tc>
          <w:tcPr>
            <w:tcW w:w="0" w:type="dxa"/>
            <w:vAlign w:val="bottom"/>
          </w:tcPr>
          <w:p>
            <w:pPr>
              <w:spacing w:after="0"/>
              <w:rPr>
                <w:sz w:val="1"/>
                <w:szCs w:val="1"/>
                <w:color w:val="auto"/>
              </w:rPr>
            </w:pPr>
          </w:p>
        </w:tc>
      </w:tr>
      <w:tr>
        <w:trPr>
          <w:trHeight w:val="163"/>
        </w:trPr>
        <w:tc>
          <w:tcPr>
            <w:tcW w:w="1460" w:type="dxa"/>
            <w:vAlign w:val="bottom"/>
            <w:tcBorders>
              <w:top w:val="single" w:sz="8" w:color="D0EBF2"/>
            </w:tcBorders>
            <w:shd w:val="clear" w:color="auto" w:fill="D0EBF2"/>
          </w:tcPr>
          <w:p>
            <w:pPr>
              <w:spacing w:after="0" w:line="164" w:lineRule="exact"/>
              <w:rPr>
                <w:sz w:val="20"/>
                <w:szCs w:val="20"/>
                <w:color w:val="auto"/>
              </w:rPr>
            </w:pPr>
            <w:r>
              <w:rPr>
                <w:rFonts w:ascii="Times New Roman" w:cs="Times New Roman" w:eastAsia="Times New Roman" w:hAnsi="Times New Roman"/>
                <w:sz w:val="15"/>
                <w:szCs w:val="15"/>
                <w:b w:val="1"/>
                <w:bCs w:val="1"/>
                <w:color w:val="231F20"/>
              </w:rPr>
              <w:t>Structured Credit</w:t>
            </w:r>
          </w:p>
        </w:tc>
        <w:tc>
          <w:tcPr>
            <w:tcW w:w="2420" w:type="dxa"/>
            <w:vAlign w:val="bottom"/>
            <w:tcBorders>
              <w:top w:val="single" w:sz="8" w:color="D0EBF2"/>
            </w:tcBorders>
            <w:shd w:val="clear" w:color="auto" w:fill="D0EBF2"/>
          </w:tcPr>
          <w:p>
            <w:pPr>
              <w:spacing w:after="0"/>
              <w:rPr>
                <w:sz w:val="14"/>
                <w:szCs w:val="14"/>
                <w:color w:val="auto"/>
              </w:rPr>
            </w:pPr>
          </w:p>
        </w:tc>
        <w:tc>
          <w:tcPr>
            <w:tcW w:w="820" w:type="dxa"/>
            <w:vAlign w:val="bottom"/>
            <w:tcBorders>
              <w:top w:val="single" w:sz="8" w:color="D0EBF2"/>
            </w:tcBorders>
            <w:shd w:val="clear" w:color="auto" w:fill="D0EBF2"/>
          </w:tcPr>
          <w:p>
            <w:pPr>
              <w:spacing w:after="0"/>
              <w:rPr>
                <w:sz w:val="14"/>
                <w:szCs w:val="14"/>
                <w:color w:val="auto"/>
              </w:rPr>
            </w:pPr>
          </w:p>
        </w:tc>
        <w:tc>
          <w:tcPr>
            <w:tcW w:w="1200" w:type="dxa"/>
            <w:vAlign w:val="bottom"/>
            <w:tcBorders>
              <w:top w:val="single" w:sz="8" w:color="D0EBF2"/>
            </w:tcBorders>
            <w:shd w:val="clear" w:color="auto" w:fill="D0EBF2"/>
          </w:tcPr>
          <w:p>
            <w:pPr>
              <w:spacing w:after="0"/>
              <w:rPr>
                <w:sz w:val="14"/>
                <w:szCs w:val="14"/>
                <w:color w:val="auto"/>
              </w:rPr>
            </w:pPr>
          </w:p>
        </w:tc>
        <w:tc>
          <w:tcPr>
            <w:tcW w:w="900" w:type="dxa"/>
            <w:vAlign w:val="bottom"/>
            <w:tcBorders>
              <w:top w:val="single" w:sz="8" w:color="D0EBF2"/>
            </w:tcBorders>
            <w:shd w:val="clear" w:color="auto" w:fill="D0EBF2"/>
          </w:tcPr>
          <w:p>
            <w:pPr>
              <w:spacing w:after="0"/>
              <w:rPr>
                <w:sz w:val="14"/>
                <w:szCs w:val="14"/>
                <w:color w:val="auto"/>
              </w:rPr>
            </w:pPr>
          </w:p>
        </w:tc>
        <w:tc>
          <w:tcPr>
            <w:tcW w:w="1000" w:type="dxa"/>
            <w:vAlign w:val="bottom"/>
            <w:tcBorders>
              <w:top w:val="single" w:sz="8" w:color="231F20"/>
            </w:tcBorders>
            <w:shd w:val="clear" w:color="auto" w:fill="D0EBF2"/>
          </w:tcPr>
          <w:p>
            <w:pPr>
              <w:spacing w:after="0"/>
              <w:rPr>
                <w:sz w:val="14"/>
                <w:szCs w:val="14"/>
                <w:color w:val="auto"/>
              </w:rPr>
            </w:pPr>
          </w:p>
        </w:tc>
        <w:tc>
          <w:tcPr>
            <w:tcW w:w="180" w:type="dxa"/>
            <w:vAlign w:val="bottom"/>
            <w:tcBorders>
              <w:top w:val="single" w:sz="8" w:color="D0EBF2"/>
            </w:tcBorders>
            <w:shd w:val="clear" w:color="auto" w:fill="D0EBF2"/>
          </w:tcPr>
          <w:p>
            <w:pPr>
              <w:spacing w:after="0"/>
              <w:rPr>
                <w:sz w:val="14"/>
                <w:szCs w:val="14"/>
                <w:color w:val="auto"/>
              </w:rPr>
            </w:pPr>
          </w:p>
        </w:tc>
        <w:tc>
          <w:tcPr>
            <w:tcW w:w="960" w:type="dxa"/>
            <w:vAlign w:val="bottom"/>
            <w:tcBorders>
              <w:top w:val="single" w:sz="8" w:color="231F20"/>
            </w:tcBorders>
            <w:shd w:val="clear" w:color="auto" w:fill="D0EBF2"/>
          </w:tcPr>
          <w:p>
            <w:pPr>
              <w:spacing w:after="0"/>
              <w:rPr>
                <w:sz w:val="14"/>
                <w:szCs w:val="14"/>
                <w:color w:val="auto"/>
              </w:rPr>
            </w:pPr>
          </w:p>
        </w:tc>
        <w:tc>
          <w:tcPr>
            <w:tcW w:w="200" w:type="dxa"/>
            <w:vAlign w:val="bottom"/>
            <w:tcBorders>
              <w:top w:val="single" w:sz="8" w:color="D0EBF2"/>
            </w:tcBorders>
            <w:shd w:val="clear" w:color="auto" w:fill="D0EBF2"/>
          </w:tcPr>
          <w:p>
            <w:pPr>
              <w:spacing w:after="0"/>
              <w:rPr>
                <w:sz w:val="14"/>
                <w:szCs w:val="14"/>
                <w:color w:val="auto"/>
              </w:rPr>
            </w:pPr>
          </w:p>
        </w:tc>
        <w:tc>
          <w:tcPr>
            <w:tcW w:w="900" w:type="dxa"/>
            <w:vAlign w:val="bottom"/>
            <w:tcBorders>
              <w:top w:val="single" w:sz="8" w:color="231F20"/>
            </w:tcBorders>
            <w:shd w:val="clear" w:color="auto" w:fill="D0EBF2"/>
          </w:tcPr>
          <w:p>
            <w:pPr>
              <w:spacing w:after="0"/>
              <w:rPr>
                <w:sz w:val="14"/>
                <w:szCs w:val="14"/>
                <w:color w:val="auto"/>
              </w:rPr>
            </w:pPr>
          </w:p>
        </w:tc>
        <w:tc>
          <w:tcPr>
            <w:tcW w:w="240" w:type="dxa"/>
            <w:vAlign w:val="bottom"/>
            <w:tcBorders>
              <w:top w:val="single" w:sz="8" w:color="D0EBF2"/>
            </w:tcBorders>
            <w:shd w:val="clear" w:color="auto" w:fill="D0EBF2"/>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1460" w:type="dxa"/>
            <w:vAlign w:val="bottom"/>
            <w:shd w:val="clear" w:color="auto" w:fill="FDFDFC"/>
          </w:tcPr>
          <w:p>
            <w:pPr>
              <w:spacing w:after="0" w:line="159" w:lineRule="exact"/>
              <w:rPr>
                <w:sz w:val="20"/>
                <w:szCs w:val="20"/>
                <w:color w:val="auto"/>
              </w:rPr>
            </w:pPr>
            <w:r>
              <w:rPr>
                <w:rFonts w:ascii="Times New Roman" w:cs="Times New Roman" w:eastAsia="Times New Roman" w:hAnsi="Times New Roman"/>
                <w:sz w:val="15"/>
                <w:szCs w:val="15"/>
                <w:color w:val="231F20"/>
              </w:rPr>
              <w:t>Allegro CLO Ltd,</w:t>
            </w:r>
          </w:p>
        </w:tc>
        <w:tc>
          <w:tcPr>
            <w:tcW w:w="2420" w:type="dxa"/>
            <w:vAlign w:val="bottom"/>
            <w:shd w:val="clear" w:color="auto" w:fill="FDFDFC"/>
          </w:tcPr>
          <w:p>
            <w:pPr>
              <w:ind w:left="60"/>
              <w:spacing w:after="0" w:line="159" w:lineRule="exact"/>
              <w:rPr>
                <w:sz w:val="20"/>
                <w:szCs w:val="20"/>
                <w:color w:val="auto"/>
              </w:rPr>
            </w:pPr>
            <w:r>
              <w:rPr>
                <w:rFonts w:ascii="Times New Roman" w:cs="Times New Roman" w:eastAsia="Times New Roman" w:hAnsi="Times New Roman"/>
                <w:sz w:val="15"/>
                <w:szCs w:val="15"/>
                <w:color w:val="231F20"/>
              </w:rPr>
              <w:t>Structured Credit ($1,000 par, due</w:t>
            </w:r>
          </w:p>
        </w:tc>
        <w:tc>
          <w:tcPr>
            <w:tcW w:w="820" w:type="dxa"/>
            <w:vAlign w:val="bottom"/>
            <w:shd w:val="clear" w:color="auto" w:fill="FDFDFC"/>
          </w:tcPr>
          <w:p>
            <w:pPr>
              <w:jc w:val="right"/>
              <w:spacing w:after="0" w:line="159" w:lineRule="exact"/>
              <w:rPr>
                <w:sz w:val="20"/>
                <w:szCs w:val="20"/>
                <w:color w:val="auto"/>
              </w:rPr>
            </w:pPr>
            <w:r>
              <w:rPr>
                <w:rFonts w:ascii="Times New Roman" w:cs="Times New Roman" w:eastAsia="Times New Roman" w:hAnsi="Times New Roman"/>
                <w:sz w:val="15"/>
                <w:szCs w:val="15"/>
                <w:color w:val="231F20"/>
              </w:rPr>
              <w:t>5/26/2022</w:t>
            </w:r>
          </w:p>
        </w:tc>
        <w:tc>
          <w:tcPr>
            <w:tcW w:w="1200" w:type="dxa"/>
            <w:vAlign w:val="bottom"/>
            <w:shd w:val="clear" w:color="auto" w:fill="FDFDFC"/>
          </w:tcPr>
          <w:p>
            <w:pPr>
              <w:jc w:val="right"/>
              <w:ind w:right="244"/>
              <w:spacing w:after="0" w:line="159" w:lineRule="exact"/>
              <w:rPr>
                <w:sz w:val="20"/>
                <w:szCs w:val="20"/>
                <w:color w:val="auto"/>
              </w:rPr>
            </w:pPr>
            <w:r>
              <w:rPr>
                <w:rFonts w:ascii="Times New Roman" w:cs="Times New Roman" w:eastAsia="Times New Roman" w:hAnsi="Times New Roman"/>
                <w:sz w:val="15"/>
                <w:szCs w:val="15"/>
                <w:color w:val="231F20"/>
              </w:rPr>
              <w:t>SOFR +</w:t>
            </w:r>
          </w:p>
        </w:tc>
        <w:tc>
          <w:tcPr>
            <w:tcW w:w="900" w:type="dxa"/>
            <w:vAlign w:val="bottom"/>
            <w:shd w:val="clear" w:color="auto" w:fill="FDFDFC"/>
          </w:tcPr>
          <w:p>
            <w:pPr>
              <w:jc w:val="right"/>
              <w:ind w:right="24"/>
              <w:spacing w:after="0" w:line="159" w:lineRule="exact"/>
              <w:rPr>
                <w:sz w:val="20"/>
                <w:szCs w:val="20"/>
                <w:color w:val="auto"/>
              </w:rPr>
            </w:pPr>
            <w:r>
              <w:rPr>
                <w:rFonts w:ascii="Times New Roman" w:cs="Times New Roman" w:eastAsia="Times New Roman" w:hAnsi="Times New Roman"/>
                <w:sz w:val="15"/>
                <w:szCs w:val="15"/>
                <w:color w:val="231F20"/>
              </w:rPr>
              <w:t>8.51%</w:t>
            </w:r>
          </w:p>
        </w:tc>
        <w:tc>
          <w:tcPr>
            <w:tcW w:w="1000" w:type="dxa"/>
            <w:vAlign w:val="bottom"/>
            <w:shd w:val="clear" w:color="auto" w:fill="FDFDFC"/>
          </w:tcPr>
          <w:p>
            <w:pPr>
              <w:jc w:val="right"/>
              <w:spacing w:after="0" w:line="159" w:lineRule="exact"/>
              <w:rPr>
                <w:sz w:val="20"/>
                <w:szCs w:val="20"/>
                <w:color w:val="auto"/>
              </w:rPr>
            </w:pPr>
            <w:r>
              <w:rPr>
                <w:rFonts w:ascii="Times New Roman" w:cs="Times New Roman" w:eastAsia="Times New Roman" w:hAnsi="Times New Roman"/>
                <w:sz w:val="15"/>
                <w:szCs w:val="15"/>
                <w:color w:val="231F20"/>
              </w:rPr>
              <w:t>983</w:t>
            </w:r>
          </w:p>
        </w:tc>
        <w:tc>
          <w:tcPr>
            <w:tcW w:w="180" w:type="dxa"/>
            <w:vAlign w:val="bottom"/>
            <w:shd w:val="clear" w:color="auto" w:fill="FDFDFC"/>
          </w:tcPr>
          <w:p>
            <w:pPr>
              <w:spacing w:after="0"/>
              <w:rPr>
                <w:sz w:val="13"/>
                <w:szCs w:val="13"/>
                <w:color w:val="auto"/>
              </w:rPr>
            </w:pPr>
          </w:p>
        </w:tc>
        <w:tc>
          <w:tcPr>
            <w:tcW w:w="960" w:type="dxa"/>
            <w:vAlign w:val="bottom"/>
            <w:shd w:val="clear" w:color="auto" w:fill="FDFDFC"/>
          </w:tcPr>
          <w:p>
            <w:pPr>
              <w:jc w:val="right"/>
              <w:spacing w:after="0" w:line="159" w:lineRule="exact"/>
              <w:rPr>
                <w:sz w:val="20"/>
                <w:szCs w:val="20"/>
                <w:color w:val="auto"/>
              </w:rPr>
            </w:pPr>
            <w:r>
              <w:rPr>
                <w:rFonts w:ascii="Times New Roman" w:cs="Times New Roman" w:eastAsia="Times New Roman" w:hAnsi="Times New Roman"/>
                <w:sz w:val="15"/>
                <w:szCs w:val="15"/>
                <w:color w:val="231F20"/>
              </w:rPr>
              <w:t>971</w:t>
            </w:r>
          </w:p>
        </w:tc>
        <w:tc>
          <w:tcPr>
            <w:tcW w:w="200" w:type="dxa"/>
            <w:vAlign w:val="bottom"/>
            <w:shd w:val="clear" w:color="auto" w:fill="FDFDFC"/>
          </w:tcPr>
          <w:p>
            <w:pPr>
              <w:spacing w:after="0"/>
              <w:rPr>
                <w:sz w:val="13"/>
                <w:szCs w:val="13"/>
                <w:color w:val="auto"/>
              </w:rPr>
            </w:pPr>
          </w:p>
        </w:tc>
        <w:tc>
          <w:tcPr>
            <w:tcW w:w="1140" w:type="dxa"/>
            <w:vAlign w:val="bottom"/>
            <w:gridSpan w:val="2"/>
            <w:shd w:val="clear" w:color="auto" w:fill="FDFDFC"/>
          </w:tcPr>
          <w:p>
            <w:pPr>
              <w:jc w:val="right"/>
              <w:ind w:right="120"/>
              <w:spacing w:after="0" w:line="159" w:lineRule="exact"/>
              <w:rPr>
                <w:sz w:val="20"/>
                <w:szCs w:val="20"/>
                <w:color w:val="auto"/>
              </w:rPr>
            </w:pPr>
            <w:r>
              <w:rPr>
                <w:rFonts w:ascii="Times New Roman" w:cs="Times New Roman" w:eastAsia="Times New Roman" w:hAnsi="Times New Roman"/>
                <w:sz w:val="15"/>
                <w:szCs w:val="15"/>
                <w:color w:val="231F20"/>
              </w:rPr>
              <w:t>0.0%</w:t>
            </w:r>
          </w:p>
        </w:tc>
        <w:tc>
          <w:tcPr>
            <w:tcW w:w="0" w:type="dxa"/>
            <w:vAlign w:val="bottom"/>
          </w:tcPr>
          <w:p>
            <w:pPr>
              <w:spacing w:after="0"/>
              <w:rPr>
                <w:sz w:val="1"/>
                <w:szCs w:val="1"/>
                <w:color w:val="auto"/>
              </w:rPr>
            </w:pPr>
          </w:p>
        </w:tc>
      </w:tr>
      <w:tr>
        <w:trPr>
          <w:trHeight w:val="189"/>
        </w:trPr>
        <w:tc>
          <w:tcPr>
            <w:tcW w:w="1460" w:type="dxa"/>
            <w:vAlign w:val="bottom"/>
            <w:shd w:val="clear" w:color="auto" w:fill="FDFDFC"/>
          </w:tcPr>
          <w:p>
            <w:pPr>
              <w:spacing w:after="0"/>
              <w:rPr>
                <w:sz w:val="20"/>
                <w:szCs w:val="20"/>
                <w:color w:val="auto"/>
              </w:rPr>
            </w:pPr>
            <w:r>
              <w:rPr>
                <w:rFonts w:ascii="Times New Roman" w:cs="Times New Roman" w:eastAsia="Times New Roman" w:hAnsi="Times New Roman"/>
                <w:sz w:val="15"/>
                <w:szCs w:val="15"/>
                <w:color w:val="231F20"/>
              </w:rPr>
              <w:t xml:space="preserve">Series 2018-1A, </w:t>
            </w:r>
            <w:r>
              <w:rPr>
                <w:rFonts w:ascii="Times New Roman" w:cs="Times New Roman" w:eastAsia="Times New Roman" w:hAnsi="Times New Roman"/>
                <w:sz w:val="9"/>
                <w:szCs w:val="9"/>
                <w:color w:val="231F20"/>
              </w:rPr>
              <w:t>(3)(4)(9)</w:t>
            </w:r>
          </w:p>
        </w:tc>
        <w:tc>
          <w:tcPr>
            <w:tcW w:w="2420" w:type="dxa"/>
            <w:vAlign w:val="bottom"/>
            <w:shd w:val="clear" w:color="auto" w:fill="FDFDFC"/>
          </w:tcPr>
          <w:p>
            <w:pPr>
              <w:ind w:left="60"/>
              <w:spacing w:after="0"/>
              <w:rPr>
                <w:sz w:val="20"/>
                <w:szCs w:val="20"/>
                <w:color w:val="auto"/>
              </w:rPr>
            </w:pPr>
            <w:r>
              <w:rPr>
                <w:rFonts w:ascii="Times New Roman" w:cs="Times New Roman" w:eastAsia="Times New Roman" w:hAnsi="Times New Roman"/>
                <w:sz w:val="15"/>
                <w:szCs w:val="15"/>
                <w:color w:val="231F20"/>
              </w:rPr>
              <w:t>6/2031)</w:t>
            </w:r>
          </w:p>
        </w:tc>
        <w:tc>
          <w:tcPr>
            <w:tcW w:w="820" w:type="dxa"/>
            <w:vAlign w:val="bottom"/>
            <w:shd w:val="clear" w:color="auto" w:fill="FDFDFC"/>
          </w:tcPr>
          <w:p>
            <w:pPr>
              <w:spacing w:after="0"/>
              <w:rPr>
                <w:sz w:val="16"/>
                <w:szCs w:val="16"/>
                <w:color w:val="auto"/>
              </w:rPr>
            </w:pPr>
          </w:p>
        </w:tc>
        <w:tc>
          <w:tcPr>
            <w:tcW w:w="1200" w:type="dxa"/>
            <w:vAlign w:val="bottom"/>
            <w:shd w:val="clear" w:color="auto" w:fill="FDFDFC"/>
          </w:tcPr>
          <w:p>
            <w:pPr>
              <w:jc w:val="right"/>
              <w:ind w:right="244"/>
              <w:spacing w:after="0"/>
              <w:rPr>
                <w:sz w:val="20"/>
                <w:szCs w:val="20"/>
                <w:color w:val="auto"/>
              </w:rPr>
            </w:pPr>
            <w:r>
              <w:rPr>
                <w:rFonts w:ascii="Times New Roman" w:cs="Times New Roman" w:eastAsia="Times New Roman" w:hAnsi="Times New Roman"/>
                <w:sz w:val="15"/>
                <w:szCs w:val="15"/>
                <w:color w:val="231F20"/>
              </w:rPr>
              <w:t>3.11%</w:t>
            </w:r>
          </w:p>
        </w:tc>
        <w:tc>
          <w:tcPr>
            <w:tcW w:w="900" w:type="dxa"/>
            <w:vAlign w:val="bottom"/>
            <w:shd w:val="clear" w:color="auto" w:fill="FDFDFC"/>
          </w:tcPr>
          <w:p>
            <w:pPr>
              <w:spacing w:after="0"/>
              <w:rPr>
                <w:sz w:val="16"/>
                <w:szCs w:val="16"/>
                <w:color w:val="auto"/>
              </w:rPr>
            </w:pPr>
          </w:p>
        </w:tc>
        <w:tc>
          <w:tcPr>
            <w:tcW w:w="1000" w:type="dxa"/>
            <w:vAlign w:val="bottom"/>
            <w:shd w:val="clear" w:color="auto" w:fill="FDFDFC"/>
          </w:tcPr>
          <w:p>
            <w:pPr>
              <w:spacing w:after="0"/>
              <w:rPr>
                <w:sz w:val="16"/>
                <w:szCs w:val="16"/>
                <w:color w:val="auto"/>
              </w:rPr>
            </w:pPr>
          </w:p>
        </w:tc>
        <w:tc>
          <w:tcPr>
            <w:tcW w:w="180" w:type="dxa"/>
            <w:vAlign w:val="bottom"/>
            <w:shd w:val="clear" w:color="auto" w:fill="FDFDFC"/>
          </w:tcPr>
          <w:p>
            <w:pPr>
              <w:spacing w:after="0"/>
              <w:rPr>
                <w:sz w:val="16"/>
                <w:szCs w:val="16"/>
                <w:color w:val="auto"/>
              </w:rPr>
            </w:pPr>
          </w:p>
        </w:tc>
        <w:tc>
          <w:tcPr>
            <w:tcW w:w="960" w:type="dxa"/>
            <w:vAlign w:val="bottom"/>
            <w:shd w:val="clear" w:color="auto" w:fill="FDFDFC"/>
          </w:tcPr>
          <w:p>
            <w:pPr>
              <w:spacing w:after="0"/>
              <w:rPr>
                <w:sz w:val="16"/>
                <w:szCs w:val="16"/>
                <w:color w:val="auto"/>
              </w:rPr>
            </w:pPr>
          </w:p>
        </w:tc>
        <w:tc>
          <w:tcPr>
            <w:tcW w:w="200" w:type="dxa"/>
            <w:vAlign w:val="bottom"/>
            <w:shd w:val="clear" w:color="auto" w:fill="FDFDFC"/>
          </w:tcPr>
          <w:p>
            <w:pPr>
              <w:spacing w:after="0"/>
              <w:rPr>
                <w:sz w:val="16"/>
                <w:szCs w:val="16"/>
                <w:color w:val="auto"/>
              </w:rPr>
            </w:pPr>
          </w:p>
        </w:tc>
        <w:tc>
          <w:tcPr>
            <w:tcW w:w="900" w:type="dxa"/>
            <w:vAlign w:val="bottom"/>
            <w:shd w:val="clear" w:color="auto" w:fill="FDFDFC"/>
          </w:tcPr>
          <w:p>
            <w:pPr>
              <w:spacing w:after="0"/>
              <w:rPr>
                <w:sz w:val="16"/>
                <w:szCs w:val="16"/>
                <w:color w:val="auto"/>
              </w:rPr>
            </w:pPr>
          </w:p>
        </w:tc>
        <w:tc>
          <w:tcPr>
            <w:tcW w:w="240" w:type="dxa"/>
            <w:vAlign w:val="bottom"/>
            <w:shd w:val="clear" w:color="auto" w:fill="FDFDFC"/>
          </w:tcPr>
          <w:p>
            <w:pPr>
              <w:spacing w:after="0"/>
              <w:rPr>
                <w:sz w:val="16"/>
                <w:szCs w:val="16"/>
                <w:color w:val="auto"/>
              </w:rPr>
            </w:pPr>
          </w:p>
        </w:tc>
        <w:tc>
          <w:tcPr>
            <w:tcW w:w="0" w:type="dxa"/>
            <w:vAlign w:val="bottom"/>
          </w:tcPr>
          <w:p>
            <w:pPr>
              <w:spacing w:after="0"/>
              <w:rPr>
                <w:sz w:val="1"/>
                <w:szCs w:val="1"/>
                <w:color w:val="auto"/>
              </w:rPr>
            </w:pPr>
          </w:p>
        </w:tc>
      </w:tr>
      <w:tr>
        <w:trPr>
          <w:trHeight w:val="158"/>
        </w:trPr>
        <w:tc>
          <w:tcPr>
            <w:tcW w:w="1460" w:type="dxa"/>
            <w:vAlign w:val="bottom"/>
            <w:shd w:val="clear" w:color="auto" w:fill="D0EBF2"/>
          </w:tcPr>
          <w:p>
            <w:pPr>
              <w:spacing w:after="0" w:line="159" w:lineRule="exact"/>
              <w:rPr>
                <w:sz w:val="20"/>
                <w:szCs w:val="20"/>
                <w:color w:val="auto"/>
              </w:rPr>
            </w:pPr>
            <w:r>
              <w:rPr>
                <w:rFonts w:ascii="Times New Roman" w:cs="Times New Roman" w:eastAsia="Times New Roman" w:hAnsi="Times New Roman"/>
                <w:sz w:val="15"/>
                <w:szCs w:val="15"/>
                <w:color w:val="231F20"/>
              </w:rPr>
              <w:t>American Money</w:t>
            </w:r>
          </w:p>
        </w:tc>
        <w:tc>
          <w:tcPr>
            <w:tcW w:w="2420" w:type="dxa"/>
            <w:vAlign w:val="bottom"/>
            <w:shd w:val="clear" w:color="auto" w:fill="D0EBF2"/>
          </w:tcPr>
          <w:p>
            <w:pPr>
              <w:ind w:left="60"/>
              <w:spacing w:after="0" w:line="159" w:lineRule="exact"/>
              <w:rPr>
                <w:sz w:val="20"/>
                <w:szCs w:val="20"/>
                <w:color w:val="auto"/>
              </w:rPr>
            </w:pPr>
            <w:r>
              <w:rPr>
                <w:rFonts w:ascii="Times New Roman" w:cs="Times New Roman" w:eastAsia="Times New Roman" w:hAnsi="Times New Roman"/>
                <w:sz w:val="15"/>
                <w:szCs w:val="15"/>
                <w:color w:val="231F20"/>
              </w:rPr>
              <w:t>Structured Credit ($1,500 par, due</w:t>
            </w:r>
          </w:p>
        </w:tc>
        <w:tc>
          <w:tcPr>
            <w:tcW w:w="820" w:type="dxa"/>
            <w:vAlign w:val="bottom"/>
            <w:shd w:val="clear" w:color="auto" w:fill="D0EBF2"/>
          </w:tcPr>
          <w:p>
            <w:pPr>
              <w:jc w:val="right"/>
              <w:spacing w:after="0" w:line="159" w:lineRule="exact"/>
              <w:rPr>
                <w:sz w:val="20"/>
                <w:szCs w:val="20"/>
                <w:color w:val="auto"/>
              </w:rPr>
            </w:pPr>
            <w:r>
              <w:rPr>
                <w:rFonts w:ascii="Times New Roman" w:cs="Times New Roman" w:eastAsia="Times New Roman" w:hAnsi="Times New Roman"/>
                <w:sz w:val="15"/>
                <w:szCs w:val="15"/>
                <w:color w:val="231F20"/>
              </w:rPr>
              <w:t>6/22/2022</w:t>
            </w:r>
          </w:p>
        </w:tc>
        <w:tc>
          <w:tcPr>
            <w:tcW w:w="1200" w:type="dxa"/>
            <w:vAlign w:val="bottom"/>
            <w:shd w:val="clear" w:color="auto" w:fill="D0EBF2"/>
          </w:tcPr>
          <w:p>
            <w:pPr>
              <w:jc w:val="right"/>
              <w:ind w:right="244"/>
              <w:spacing w:after="0" w:line="159" w:lineRule="exact"/>
              <w:rPr>
                <w:sz w:val="20"/>
                <w:szCs w:val="20"/>
                <w:color w:val="auto"/>
              </w:rPr>
            </w:pPr>
            <w:r>
              <w:rPr>
                <w:rFonts w:ascii="Times New Roman" w:cs="Times New Roman" w:eastAsia="Times New Roman" w:hAnsi="Times New Roman"/>
                <w:sz w:val="15"/>
                <w:szCs w:val="15"/>
                <w:color w:val="231F20"/>
              </w:rPr>
              <w:t>SOFR +</w:t>
            </w:r>
          </w:p>
        </w:tc>
        <w:tc>
          <w:tcPr>
            <w:tcW w:w="900" w:type="dxa"/>
            <w:vAlign w:val="bottom"/>
            <w:shd w:val="clear" w:color="auto" w:fill="D0EBF2"/>
          </w:tcPr>
          <w:p>
            <w:pPr>
              <w:jc w:val="right"/>
              <w:ind w:right="24"/>
              <w:spacing w:after="0" w:line="159" w:lineRule="exact"/>
              <w:rPr>
                <w:sz w:val="20"/>
                <w:szCs w:val="20"/>
                <w:color w:val="auto"/>
              </w:rPr>
            </w:pPr>
            <w:r>
              <w:rPr>
                <w:rFonts w:ascii="Times New Roman" w:cs="Times New Roman" w:eastAsia="Times New Roman" w:hAnsi="Times New Roman"/>
                <w:sz w:val="15"/>
                <w:szCs w:val="15"/>
                <w:color w:val="231F20"/>
              </w:rPr>
              <w:t>8.70%</w:t>
            </w:r>
          </w:p>
        </w:tc>
        <w:tc>
          <w:tcPr>
            <w:tcW w:w="1000" w:type="dxa"/>
            <w:vAlign w:val="bottom"/>
            <w:shd w:val="clear" w:color="auto" w:fill="D0EBF2"/>
          </w:tcPr>
          <w:p>
            <w:pPr>
              <w:jc w:val="right"/>
              <w:spacing w:after="0" w:line="159" w:lineRule="exact"/>
              <w:rPr>
                <w:sz w:val="20"/>
                <w:szCs w:val="20"/>
                <w:color w:val="auto"/>
              </w:rPr>
            </w:pPr>
            <w:r>
              <w:rPr>
                <w:rFonts w:ascii="Times New Roman" w:cs="Times New Roman" w:eastAsia="Times New Roman" w:hAnsi="Times New Roman"/>
                <w:sz w:val="15"/>
                <w:szCs w:val="15"/>
                <w:color w:val="231F20"/>
              </w:rPr>
              <w:t>1,359</w:t>
            </w:r>
          </w:p>
        </w:tc>
        <w:tc>
          <w:tcPr>
            <w:tcW w:w="1140" w:type="dxa"/>
            <w:vAlign w:val="bottom"/>
            <w:gridSpan w:val="2"/>
            <w:shd w:val="clear" w:color="auto" w:fill="D0EBF2"/>
          </w:tcPr>
          <w:p>
            <w:pPr>
              <w:jc w:val="right"/>
              <w:spacing w:after="0" w:line="159" w:lineRule="exact"/>
              <w:rPr>
                <w:sz w:val="20"/>
                <w:szCs w:val="20"/>
                <w:color w:val="auto"/>
              </w:rPr>
            </w:pPr>
            <w:r>
              <w:rPr>
                <w:rFonts w:ascii="Times New Roman" w:cs="Times New Roman" w:eastAsia="Times New Roman" w:hAnsi="Times New Roman"/>
                <w:sz w:val="15"/>
                <w:szCs w:val="15"/>
                <w:color w:val="231F20"/>
              </w:rPr>
              <w:t>1,475</w:t>
            </w:r>
          </w:p>
        </w:tc>
        <w:tc>
          <w:tcPr>
            <w:tcW w:w="1340" w:type="dxa"/>
            <w:vAlign w:val="bottom"/>
            <w:gridSpan w:val="3"/>
            <w:shd w:val="clear" w:color="auto" w:fill="D0EBF2"/>
          </w:tcPr>
          <w:p>
            <w:pPr>
              <w:jc w:val="right"/>
              <w:ind w:right="120"/>
              <w:spacing w:after="0" w:line="159" w:lineRule="exact"/>
              <w:rPr>
                <w:sz w:val="20"/>
                <w:szCs w:val="20"/>
                <w:color w:val="auto"/>
              </w:rPr>
            </w:pPr>
            <w:r>
              <w:rPr>
                <w:rFonts w:ascii="Times New Roman" w:cs="Times New Roman" w:eastAsia="Times New Roman" w:hAnsi="Times New Roman"/>
                <w:sz w:val="15"/>
                <w:szCs w:val="15"/>
                <w:color w:val="231F20"/>
              </w:rPr>
              <w:t>0.1%</w:t>
            </w:r>
          </w:p>
        </w:tc>
        <w:tc>
          <w:tcPr>
            <w:tcW w:w="0" w:type="dxa"/>
            <w:vAlign w:val="bottom"/>
          </w:tcPr>
          <w:p>
            <w:pPr>
              <w:spacing w:after="0"/>
              <w:rPr>
                <w:sz w:val="1"/>
                <w:szCs w:val="1"/>
                <w:color w:val="auto"/>
              </w:rPr>
            </w:pPr>
          </w:p>
        </w:tc>
      </w:tr>
      <w:tr>
        <w:trPr>
          <w:trHeight w:val="174"/>
        </w:trPr>
        <w:tc>
          <w:tcPr>
            <w:tcW w:w="1460" w:type="dxa"/>
            <w:vAlign w:val="bottom"/>
            <w:shd w:val="clear" w:color="auto" w:fill="D0EBF2"/>
          </w:tcPr>
          <w:p>
            <w:pPr>
              <w:spacing w:after="0"/>
              <w:rPr>
                <w:sz w:val="20"/>
                <w:szCs w:val="20"/>
                <w:color w:val="auto"/>
              </w:rPr>
            </w:pPr>
            <w:r>
              <w:rPr>
                <w:rFonts w:ascii="Times New Roman" w:cs="Times New Roman" w:eastAsia="Times New Roman" w:hAnsi="Times New Roman"/>
                <w:sz w:val="15"/>
                <w:szCs w:val="15"/>
                <w:color w:val="231F20"/>
              </w:rPr>
              <w:t>Management Corp</w:t>
            </w:r>
          </w:p>
        </w:tc>
        <w:tc>
          <w:tcPr>
            <w:tcW w:w="2420" w:type="dxa"/>
            <w:vAlign w:val="bottom"/>
            <w:shd w:val="clear" w:color="auto" w:fill="D0EBF2"/>
          </w:tcPr>
          <w:p>
            <w:pPr>
              <w:ind w:left="60"/>
              <w:spacing w:after="0"/>
              <w:rPr>
                <w:sz w:val="20"/>
                <w:szCs w:val="20"/>
                <w:color w:val="auto"/>
              </w:rPr>
            </w:pPr>
            <w:r>
              <w:rPr>
                <w:rFonts w:ascii="Times New Roman" w:cs="Times New Roman" w:eastAsia="Times New Roman" w:hAnsi="Times New Roman"/>
                <w:sz w:val="15"/>
                <w:szCs w:val="15"/>
                <w:color w:val="231F20"/>
              </w:rPr>
              <w:t>5/2031)</w:t>
            </w:r>
          </w:p>
        </w:tc>
        <w:tc>
          <w:tcPr>
            <w:tcW w:w="820" w:type="dxa"/>
            <w:vAlign w:val="bottom"/>
            <w:shd w:val="clear" w:color="auto" w:fill="D0EBF2"/>
          </w:tcPr>
          <w:p>
            <w:pPr>
              <w:spacing w:after="0"/>
              <w:rPr>
                <w:sz w:val="15"/>
                <w:szCs w:val="15"/>
                <w:color w:val="auto"/>
              </w:rPr>
            </w:pPr>
          </w:p>
        </w:tc>
        <w:tc>
          <w:tcPr>
            <w:tcW w:w="1200" w:type="dxa"/>
            <w:vAlign w:val="bottom"/>
            <w:shd w:val="clear" w:color="auto" w:fill="D0EBF2"/>
          </w:tcPr>
          <w:p>
            <w:pPr>
              <w:jc w:val="right"/>
              <w:ind w:right="244"/>
              <w:spacing w:after="0"/>
              <w:rPr>
                <w:sz w:val="20"/>
                <w:szCs w:val="20"/>
                <w:color w:val="auto"/>
              </w:rPr>
            </w:pPr>
            <w:r>
              <w:rPr>
                <w:rFonts w:ascii="Times New Roman" w:cs="Times New Roman" w:eastAsia="Times New Roman" w:hAnsi="Times New Roman"/>
                <w:sz w:val="15"/>
                <w:szCs w:val="15"/>
                <w:color w:val="231F20"/>
              </w:rPr>
              <w:t>3.31%</w:t>
            </w:r>
          </w:p>
        </w:tc>
        <w:tc>
          <w:tcPr>
            <w:tcW w:w="900" w:type="dxa"/>
            <w:vAlign w:val="bottom"/>
            <w:shd w:val="clear" w:color="auto" w:fill="D0EBF2"/>
          </w:tcPr>
          <w:p>
            <w:pPr>
              <w:spacing w:after="0"/>
              <w:rPr>
                <w:sz w:val="15"/>
                <w:szCs w:val="15"/>
                <w:color w:val="auto"/>
              </w:rPr>
            </w:pPr>
          </w:p>
        </w:tc>
        <w:tc>
          <w:tcPr>
            <w:tcW w:w="1000" w:type="dxa"/>
            <w:vAlign w:val="bottom"/>
            <w:shd w:val="clear" w:color="auto" w:fill="D0EBF2"/>
          </w:tcPr>
          <w:p>
            <w:pPr>
              <w:spacing w:after="0"/>
              <w:rPr>
                <w:sz w:val="15"/>
                <w:szCs w:val="15"/>
                <w:color w:val="auto"/>
              </w:rPr>
            </w:pPr>
          </w:p>
        </w:tc>
        <w:tc>
          <w:tcPr>
            <w:tcW w:w="180" w:type="dxa"/>
            <w:vAlign w:val="bottom"/>
            <w:shd w:val="clear" w:color="auto" w:fill="D0EBF2"/>
          </w:tcPr>
          <w:p>
            <w:pPr>
              <w:spacing w:after="0"/>
              <w:rPr>
                <w:sz w:val="15"/>
                <w:szCs w:val="15"/>
                <w:color w:val="auto"/>
              </w:rPr>
            </w:pPr>
          </w:p>
        </w:tc>
        <w:tc>
          <w:tcPr>
            <w:tcW w:w="960" w:type="dxa"/>
            <w:vAlign w:val="bottom"/>
            <w:shd w:val="clear" w:color="auto" w:fill="D0EBF2"/>
          </w:tcPr>
          <w:p>
            <w:pPr>
              <w:spacing w:after="0"/>
              <w:rPr>
                <w:sz w:val="15"/>
                <w:szCs w:val="15"/>
                <w:color w:val="auto"/>
              </w:rPr>
            </w:pPr>
          </w:p>
        </w:tc>
        <w:tc>
          <w:tcPr>
            <w:tcW w:w="200" w:type="dxa"/>
            <w:vAlign w:val="bottom"/>
            <w:shd w:val="clear" w:color="auto" w:fill="D0EBF2"/>
          </w:tcPr>
          <w:p>
            <w:pPr>
              <w:spacing w:after="0"/>
              <w:rPr>
                <w:sz w:val="15"/>
                <w:szCs w:val="15"/>
                <w:color w:val="auto"/>
              </w:rPr>
            </w:pPr>
          </w:p>
        </w:tc>
        <w:tc>
          <w:tcPr>
            <w:tcW w:w="900" w:type="dxa"/>
            <w:vAlign w:val="bottom"/>
            <w:shd w:val="clear" w:color="auto" w:fill="D0EBF2"/>
          </w:tcPr>
          <w:p>
            <w:pPr>
              <w:spacing w:after="0"/>
              <w:rPr>
                <w:sz w:val="15"/>
                <w:szCs w:val="15"/>
                <w:color w:val="auto"/>
              </w:rPr>
            </w:pPr>
          </w:p>
        </w:tc>
        <w:tc>
          <w:tcPr>
            <w:tcW w:w="240" w:type="dxa"/>
            <w:vAlign w:val="bottom"/>
            <w:shd w:val="clear" w:color="auto" w:fill="D0EBF2"/>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1460" w:type="dxa"/>
            <w:vAlign w:val="bottom"/>
            <w:shd w:val="clear" w:color="auto" w:fill="D0EBF2"/>
          </w:tcPr>
          <w:p>
            <w:pPr>
              <w:spacing w:after="0"/>
              <w:rPr>
                <w:sz w:val="20"/>
                <w:szCs w:val="20"/>
                <w:color w:val="auto"/>
              </w:rPr>
            </w:pPr>
            <w:r>
              <w:rPr>
                <w:rFonts w:ascii="Times New Roman" w:cs="Times New Roman" w:eastAsia="Times New Roman" w:hAnsi="Times New Roman"/>
                <w:sz w:val="15"/>
                <w:szCs w:val="15"/>
                <w:color w:val="231F20"/>
              </w:rPr>
              <w:t>CLO Ltd, Series 2016-</w:t>
            </w:r>
          </w:p>
        </w:tc>
        <w:tc>
          <w:tcPr>
            <w:tcW w:w="2420" w:type="dxa"/>
            <w:vAlign w:val="bottom"/>
            <w:shd w:val="clear" w:color="auto" w:fill="D0EBF2"/>
          </w:tcPr>
          <w:p>
            <w:pPr>
              <w:spacing w:after="0"/>
              <w:rPr>
                <w:sz w:val="15"/>
                <w:szCs w:val="15"/>
                <w:color w:val="auto"/>
              </w:rPr>
            </w:pPr>
          </w:p>
        </w:tc>
        <w:tc>
          <w:tcPr>
            <w:tcW w:w="820" w:type="dxa"/>
            <w:vAlign w:val="bottom"/>
            <w:shd w:val="clear" w:color="auto" w:fill="D0EBF2"/>
          </w:tcPr>
          <w:p>
            <w:pPr>
              <w:spacing w:after="0"/>
              <w:rPr>
                <w:sz w:val="15"/>
                <w:szCs w:val="15"/>
                <w:color w:val="auto"/>
              </w:rPr>
            </w:pPr>
          </w:p>
        </w:tc>
        <w:tc>
          <w:tcPr>
            <w:tcW w:w="1200" w:type="dxa"/>
            <w:vAlign w:val="bottom"/>
            <w:shd w:val="clear" w:color="auto" w:fill="D0EBF2"/>
          </w:tcPr>
          <w:p>
            <w:pPr>
              <w:spacing w:after="0"/>
              <w:rPr>
                <w:sz w:val="15"/>
                <w:szCs w:val="15"/>
                <w:color w:val="auto"/>
              </w:rPr>
            </w:pPr>
          </w:p>
        </w:tc>
        <w:tc>
          <w:tcPr>
            <w:tcW w:w="900" w:type="dxa"/>
            <w:vAlign w:val="bottom"/>
            <w:shd w:val="clear" w:color="auto" w:fill="D0EBF2"/>
          </w:tcPr>
          <w:p>
            <w:pPr>
              <w:spacing w:after="0"/>
              <w:rPr>
                <w:sz w:val="15"/>
                <w:szCs w:val="15"/>
                <w:color w:val="auto"/>
              </w:rPr>
            </w:pPr>
          </w:p>
        </w:tc>
        <w:tc>
          <w:tcPr>
            <w:tcW w:w="1000" w:type="dxa"/>
            <w:vAlign w:val="bottom"/>
            <w:shd w:val="clear" w:color="auto" w:fill="D0EBF2"/>
          </w:tcPr>
          <w:p>
            <w:pPr>
              <w:spacing w:after="0"/>
              <w:rPr>
                <w:sz w:val="15"/>
                <w:szCs w:val="15"/>
                <w:color w:val="auto"/>
              </w:rPr>
            </w:pPr>
          </w:p>
        </w:tc>
        <w:tc>
          <w:tcPr>
            <w:tcW w:w="180" w:type="dxa"/>
            <w:vAlign w:val="bottom"/>
            <w:shd w:val="clear" w:color="auto" w:fill="D0EBF2"/>
          </w:tcPr>
          <w:p>
            <w:pPr>
              <w:spacing w:after="0"/>
              <w:rPr>
                <w:sz w:val="15"/>
                <w:szCs w:val="15"/>
                <w:color w:val="auto"/>
              </w:rPr>
            </w:pPr>
          </w:p>
        </w:tc>
        <w:tc>
          <w:tcPr>
            <w:tcW w:w="960" w:type="dxa"/>
            <w:vAlign w:val="bottom"/>
            <w:shd w:val="clear" w:color="auto" w:fill="D0EBF2"/>
          </w:tcPr>
          <w:p>
            <w:pPr>
              <w:spacing w:after="0"/>
              <w:rPr>
                <w:sz w:val="15"/>
                <w:szCs w:val="15"/>
                <w:color w:val="auto"/>
              </w:rPr>
            </w:pPr>
          </w:p>
        </w:tc>
        <w:tc>
          <w:tcPr>
            <w:tcW w:w="200" w:type="dxa"/>
            <w:vAlign w:val="bottom"/>
            <w:shd w:val="clear" w:color="auto" w:fill="D0EBF2"/>
          </w:tcPr>
          <w:p>
            <w:pPr>
              <w:spacing w:after="0"/>
              <w:rPr>
                <w:sz w:val="15"/>
                <w:szCs w:val="15"/>
                <w:color w:val="auto"/>
              </w:rPr>
            </w:pPr>
          </w:p>
        </w:tc>
        <w:tc>
          <w:tcPr>
            <w:tcW w:w="900" w:type="dxa"/>
            <w:vAlign w:val="bottom"/>
            <w:shd w:val="clear" w:color="auto" w:fill="D0EBF2"/>
          </w:tcPr>
          <w:p>
            <w:pPr>
              <w:spacing w:after="0"/>
              <w:rPr>
                <w:sz w:val="15"/>
                <w:szCs w:val="15"/>
                <w:color w:val="auto"/>
              </w:rPr>
            </w:pPr>
          </w:p>
        </w:tc>
        <w:tc>
          <w:tcPr>
            <w:tcW w:w="240" w:type="dxa"/>
            <w:vAlign w:val="bottom"/>
            <w:shd w:val="clear" w:color="auto" w:fill="D0EBF2"/>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1460" w:type="dxa"/>
            <w:vAlign w:val="bottom"/>
            <w:shd w:val="clear" w:color="auto" w:fill="D0EBF2"/>
          </w:tcPr>
          <w:p>
            <w:pPr>
              <w:spacing w:after="0" w:line="190" w:lineRule="exact"/>
              <w:rPr>
                <w:sz w:val="20"/>
                <w:szCs w:val="20"/>
                <w:color w:val="auto"/>
              </w:rPr>
            </w:pPr>
            <w:r>
              <w:rPr>
                <w:rFonts w:ascii="Times New Roman" w:cs="Times New Roman" w:eastAsia="Times New Roman" w:hAnsi="Times New Roman"/>
                <w:sz w:val="21"/>
                <w:szCs w:val="21"/>
                <w:color w:val="231F20"/>
                <w:vertAlign w:val="subscript"/>
              </w:rPr>
              <w:t>18A</w:t>
            </w:r>
            <w:r>
              <w:rPr>
                <w:rFonts w:ascii="Times New Roman" w:cs="Times New Roman" w:eastAsia="Times New Roman" w:hAnsi="Times New Roman"/>
                <w:sz w:val="8"/>
                <w:szCs w:val="8"/>
                <w:color w:val="231F20"/>
              </w:rPr>
              <w:t xml:space="preserve"> (3)(4)(9)</w:t>
            </w:r>
          </w:p>
        </w:tc>
        <w:tc>
          <w:tcPr>
            <w:tcW w:w="2420" w:type="dxa"/>
            <w:vAlign w:val="bottom"/>
            <w:shd w:val="clear" w:color="auto" w:fill="D0EBF2"/>
          </w:tcPr>
          <w:p>
            <w:pPr>
              <w:spacing w:after="0"/>
              <w:rPr>
                <w:sz w:val="16"/>
                <w:szCs w:val="16"/>
                <w:color w:val="auto"/>
              </w:rPr>
            </w:pPr>
          </w:p>
        </w:tc>
        <w:tc>
          <w:tcPr>
            <w:tcW w:w="820" w:type="dxa"/>
            <w:vAlign w:val="bottom"/>
            <w:shd w:val="clear" w:color="auto" w:fill="D0EBF2"/>
          </w:tcPr>
          <w:p>
            <w:pPr>
              <w:spacing w:after="0"/>
              <w:rPr>
                <w:sz w:val="16"/>
                <w:szCs w:val="16"/>
                <w:color w:val="auto"/>
              </w:rPr>
            </w:pPr>
          </w:p>
        </w:tc>
        <w:tc>
          <w:tcPr>
            <w:tcW w:w="1200" w:type="dxa"/>
            <w:vAlign w:val="bottom"/>
            <w:shd w:val="clear" w:color="auto" w:fill="D0EBF2"/>
          </w:tcPr>
          <w:p>
            <w:pPr>
              <w:spacing w:after="0"/>
              <w:rPr>
                <w:sz w:val="16"/>
                <w:szCs w:val="16"/>
                <w:color w:val="auto"/>
              </w:rPr>
            </w:pPr>
          </w:p>
        </w:tc>
        <w:tc>
          <w:tcPr>
            <w:tcW w:w="900" w:type="dxa"/>
            <w:vAlign w:val="bottom"/>
            <w:shd w:val="clear" w:color="auto" w:fill="D0EBF2"/>
          </w:tcPr>
          <w:p>
            <w:pPr>
              <w:spacing w:after="0"/>
              <w:rPr>
                <w:sz w:val="16"/>
                <w:szCs w:val="16"/>
                <w:color w:val="auto"/>
              </w:rPr>
            </w:pPr>
          </w:p>
        </w:tc>
        <w:tc>
          <w:tcPr>
            <w:tcW w:w="1000" w:type="dxa"/>
            <w:vAlign w:val="bottom"/>
            <w:shd w:val="clear" w:color="auto" w:fill="D0EBF2"/>
          </w:tcPr>
          <w:p>
            <w:pPr>
              <w:spacing w:after="0"/>
              <w:rPr>
                <w:sz w:val="16"/>
                <w:szCs w:val="16"/>
                <w:color w:val="auto"/>
              </w:rPr>
            </w:pPr>
          </w:p>
        </w:tc>
        <w:tc>
          <w:tcPr>
            <w:tcW w:w="180" w:type="dxa"/>
            <w:vAlign w:val="bottom"/>
            <w:shd w:val="clear" w:color="auto" w:fill="D0EBF2"/>
          </w:tcPr>
          <w:p>
            <w:pPr>
              <w:spacing w:after="0"/>
              <w:rPr>
                <w:sz w:val="16"/>
                <w:szCs w:val="16"/>
                <w:color w:val="auto"/>
              </w:rPr>
            </w:pPr>
          </w:p>
        </w:tc>
        <w:tc>
          <w:tcPr>
            <w:tcW w:w="960" w:type="dxa"/>
            <w:vAlign w:val="bottom"/>
            <w:shd w:val="clear" w:color="auto" w:fill="D0EBF2"/>
          </w:tcPr>
          <w:p>
            <w:pPr>
              <w:spacing w:after="0"/>
              <w:rPr>
                <w:sz w:val="16"/>
                <w:szCs w:val="16"/>
                <w:color w:val="auto"/>
              </w:rPr>
            </w:pPr>
          </w:p>
        </w:tc>
        <w:tc>
          <w:tcPr>
            <w:tcW w:w="200" w:type="dxa"/>
            <w:vAlign w:val="bottom"/>
            <w:shd w:val="clear" w:color="auto" w:fill="D0EBF2"/>
          </w:tcPr>
          <w:p>
            <w:pPr>
              <w:spacing w:after="0"/>
              <w:rPr>
                <w:sz w:val="16"/>
                <w:szCs w:val="16"/>
                <w:color w:val="auto"/>
              </w:rPr>
            </w:pPr>
          </w:p>
        </w:tc>
        <w:tc>
          <w:tcPr>
            <w:tcW w:w="900" w:type="dxa"/>
            <w:vAlign w:val="bottom"/>
            <w:shd w:val="clear" w:color="auto" w:fill="D0EBF2"/>
          </w:tcPr>
          <w:p>
            <w:pPr>
              <w:spacing w:after="0"/>
              <w:rPr>
                <w:sz w:val="16"/>
                <w:szCs w:val="16"/>
                <w:color w:val="auto"/>
              </w:rPr>
            </w:pPr>
          </w:p>
        </w:tc>
        <w:tc>
          <w:tcPr>
            <w:tcW w:w="240" w:type="dxa"/>
            <w:vAlign w:val="bottom"/>
            <w:shd w:val="clear" w:color="auto" w:fill="D0EBF2"/>
          </w:tcPr>
          <w:p>
            <w:pPr>
              <w:spacing w:after="0"/>
              <w:rPr>
                <w:sz w:val="16"/>
                <w:szCs w:val="16"/>
                <w:color w:val="auto"/>
              </w:rPr>
            </w:pPr>
          </w:p>
        </w:tc>
        <w:tc>
          <w:tcPr>
            <w:tcW w:w="0" w:type="dxa"/>
            <w:vAlign w:val="bottom"/>
          </w:tcPr>
          <w:p>
            <w:pPr>
              <w:spacing w:after="0"/>
              <w:rPr>
                <w:sz w:val="1"/>
                <w:szCs w:val="1"/>
                <w:color w:val="auto"/>
              </w:rPr>
            </w:pPr>
          </w:p>
        </w:tc>
      </w:tr>
      <w:tr>
        <w:trPr>
          <w:trHeight w:val="158"/>
        </w:trPr>
        <w:tc>
          <w:tcPr>
            <w:tcW w:w="1460" w:type="dxa"/>
            <w:vAlign w:val="bottom"/>
            <w:shd w:val="clear" w:color="auto" w:fill="FDFDFC"/>
          </w:tcPr>
          <w:p>
            <w:pPr>
              <w:spacing w:after="0" w:line="159" w:lineRule="exact"/>
              <w:rPr>
                <w:sz w:val="20"/>
                <w:szCs w:val="20"/>
                <w:color w:val="auto"/>
              </w:rPr>
            </w:pPr>
            <w:r>
              <w:rPr>
                <w:rFonts w:ascii="Times New Roman" w:cs="Times New Roman" w:eastAsia="Times New Roman" w:hAnsi="Times New Roman"/>
                <w:sz w:val="15"/>
                <w:szCs w:val="15"/>
                <w:color w:val="231F20"/>
              </w:rPr>
              <w:t>Ares CLO Ltd, Series</w:t>
            </w:r>
          </w:p>
        </w:tc>
        <w:tc>
          <w:tcPr>
            <w:tcW w:w="2420" w:type="dxa"/>
            <w:vAlign w:val="bottom"/>
            <w:shd w:val="clear" w:color="auto" w:fill="FDFDFC"/>
          </w:tcPr>
          <w:p>
            <w:pPr>
              <w:ind w:left="60"/>
              <w:spacing w:after="0" w:line="159" w:lineRule="exact"/>
              <w:rPr>
                <w:sz w:val="20"/>
                <w:szCs w:val="20"/>
                <w:color w:val="auto"/>
              </w:rPr>
            </w:pPr>
            <w:r>
              <w:rPr>
                <w:rFonts w:ascii="Times New Roman" w:cs="Times New Roman" w:eastAsia="Times New Roman" w:hAnsi="Times New Roman"/>
                <w:sz w:val="15"/>
                <w:szCs w:val="15"/>
                <w:color w:val="231F20"/>
              </w:rPr>
              <w:t>Structured Credit ($1,000 par, due</w:t>
            </w:r>
          </w:p>
        </w:tc>
        <w:tc>
          <w:tcPr>
            <w:tcW w:w="820" w:type="dxa"/>
            <w:vAlign w:val="bottom"/>
            <w:shd w:val="clear" w:color="auto" w:fill="FDFDFC"/>
          </w:tcPr>
          <w:p>
            <w:pPr>
              <w:jc w:val="right"/>
              <w:spacing w:after="0" w:line="159" w:lineRule="exact"/>
              <w:rPr>
                <w:sz w:val="20"/>
                <w:szCs w:val="20"/>
                <w:color w:val="auto"/>
              </w:rPr>
            </w:pPr>
            <w:r>
              <w:rPr>
                <w:rFonts w:ascii="Times New Roman" w:cs="Times New Roman" w:eastAsia="Times New Roman" w:hAnsi="Times New Roman"/>
                <w:sz w:val="15"/>
                <w:szCs w:val="15"/>
                <w:color w:val="231F20"/>
              </w:rPr>
              <w:t>6/23/2022</w:t>
            </w:r>
          </w:p>
        </w:tc>
        <w:tc>
          <w:tcPr>
            <w:tcW w:w="1200" w:type="dxa"/>
            <w:vAlign w:val="bottom"/>
            <w:shd w:val="clear" w:color="auto" w:fill="FDFDFC"/>
          </w:tcPr>
          <w:p>
            <w:pPr>
              <w:jc w:val="right"/>
              <w:ind w:right="244"/>
              <w:spacing w:after="0" w:line="159" w:lineRule="exact"/>
              <w:rPr>
                <w:sz w:val="20"/>
                <w:szCs w:val="20"/>
                <w:color w:val="auto"/>
              </w:rPr>
            </w:pPr>
            <w:r>
              <w:rPr>
                <w:rFonts w:ascii="Times New Roman" w:cs="Times New Roman" w:eastAsia="Times New Roman" w:hAnsi="Times New Roman"/>
                <w:sz w:val="15"/>
                <w:szCs w:val="15"/>
                <w:color w:val="231F20"/>
              </w:rPr>
              <w:t>SOFR +</w:t>
            </w:r>
          </w:p>
        </w:tc>
        <w:tc>
          <w:tcPr>
            <w:tcW w:w="900" w:type="dxa"/>
            <w:vAlign w:val="bottom"/>
            <w:shd w:val="clear" w:color="auto" w:fill="FDFDFC"/>
          </w:tcPr>
          <w:p>
            <w:pPr>
              <w:jc w:val="right"/>
              <w:ind w:right="24"/>
              <w:spacing w:after="0" w:line="159" w:lineRule="exact"/>
              <w:rPr>
                <w:sz w:val="20"/>
                <w:szCs w:val="20"/>
                <w:color w:val="auto"/>
              </w:rPr>
            </w:pPr>
            <w:r>
              <w:rPr>
                <w:rFonts w:ascii="Times New Roman" w:cs="Times New Roman" w:eastAsia="Times New Roman" w:hAnsi="Times New Roman"/>
                <w:sz w:val="15"/>
                <w:szCs w:val="15"/>
                <w:color w:val="231F20"/>
              </w:rPr>
              <w:t>11.89%</w:t>
            </w:r>
          </w:p>
        </w:tc>
        <w:tc>
          <w:tcPr>
            <w:tcW w:w="1000" w:type="dxa"/>
            <w:vAlign w:val="bottom"/>
            <w:shd w:val="clear" w:color="auto" w:fill="FDFDFC"/>
          </w:tcPr>
          <w:p>
            <w:pPr>
              <w:jc w:val="right"/>
              <w:spacing w:after="0" w:line="159" w:lineRule="exact"/>
              <w:rPr>
                <w:sz w:val="20"/>
                <w:szCs w:val="20"/>
                <w:color w:val="auto"/>
              </w:rPr>
            </w:pPr>
            <w:r>
              <w:rPr>
                <w:rFonts w:ascii="Times New Roman" w:cs="Times New Roman" w:eastAsia="Times New Roman" w:hAnsi="Times New Roman"/>
                <w:sz w:val="15"/>
                <w:szCs w:val="15"/>
                <w:color w:val="231F20"/>
              </w:rPr>
              <w:t>898</w:t>
            </w:r>
          </w:p>
        </w:tc>
        <w:tc>
          <w:tcPr>
            <w:tcW w:w="1140" w:type="dxa"/>
            <w:vAlign w:val="bottom"/>
            <w:gridSpan w:val="2"/>
            <w:shd w:val="clear" w:color="auto" w:fill="FDFDFC"/>
          </w:tcPr>
          <w:p>
            <w:pPr>
              <w:jc w:val="right"/>
              <w:spacing w:after="0" w:line="159" w:lineRule="exact"/>
              <w:rPr>
                <w:sz w:val="20"/>
                <w:szCs w:val="20"/>
                <w:color w:val="auto"/>
              </w:rPr>
            </w:pPr>
            <w:r>
              <w:rPr>
                <w:rFonts w:ascii="Times New Roman" w:cs="Times New Roman" w:eastAsia="Times New Roman" w:hAnsi="Times New Roman"/>
                <w:sz w:val="15"/>
                <w:szCs w:val="15"/>
                <w:color w:val="231F20"/>
              </w:rPr>
              <w:t>967</w:t>
            </w:r>
          </w:p>
        </w:tc>
        <w:tc>
          <w:tcPr>
            <w:tcW w:w="1340" w:type="dxa"/>
            <w:vAlign w:val="bottom"/>
            <w:gridSpan w:val="3"/>
            <w:shd w:val="clear" w:color="auto" w:fill="FDFDFC"/>
          </w:tcPr>
          <w:p>
            <w:pPr>
              <w:jc w:val="right"/>
              <w:ind w:right="120"/>
              <w:spacing w:after="0" w:line="159" w:lineRule="exact"/>
              <w:rPr>
                <w:sz w:val="20"/>
                <w:szCs w:val="20"/>
                <w:color w:val="auto"/>
              </w:rPr>
            </w:pPr>
            <w:r>
              <w:rPr>
                <w:rFonts w:ascii="Times New Roman" w:cs="Times New Roman" w:eastAsia="Times New Roman" w:hAnsi="Times New Roman"/>
                <w:sz w:val="15"/>
                <w:szCs w:val="15"/>
                <w:color w:val="231F20"/>
              </w:rPr>
              <w:t>0.0%</w:t>
            </w:r>
          </w:p>
        </w:tc>
        <w:tc>
          <w:tcPr>
            <w:tcW w:w="0" w:type="dxa"/>
            <w:vAlign w:val="bottom"/>
          </w:tcPr>
          <w:p>
            <w:pPr>
              <w:spacing w:after="0"/>
              <w:rPr>
                <w:sz w:val="1"/>
                <w:szCs w:val="1"/>
                <w:color w:val="auto"/>
              </w:rPr>
            </w:pPr>
          </w:p>
        </w:tc>
      </w:tr>
      <w:tr>
        <w:trPr>
          <w:trHeight w:val="189"/>
        </w:trPr>
        <w:tc>
          <w:tcPr>
            <w:tcW w:w="1460" w:type="dxa"/>
            <w:vAlign w:val="bottom"/>
            <w:shd w:val="clear" w:color="auto" w:fill="FDFDFC"/>
          </w:tcPr>
          <w:p>
            <w:pPr>
              <w:spacing w:after="0" w:line="190" w:lineRule="exact"/>
              <w:rPr>
                <w:sz w:val="20"/>
                <w:szCs w:val="20"/>
                <w:color w:val="auto"/>
              </w:rPr>
            </w:pPr>
            <w:r>
              <w:rPr>
                <w:rFonts w:ascii="Times New Roman" w:cs="Times New Roman" w:eastAsia="Times New Roman" w:hAnsi="Times New Roman"/>
                <w:sz w:val="21"/>
                <w:szCs w:val="21"/>
                <w:color w:val="231F20"/>
                <w:vertAlign w:val="subscript"/>
              </w:rPr>
              <w:t>2021-59A</w:t>
            </w:r>
            <w:r>
              <w:rPr>
                <w:rFonts w:ascii="Times New Roman" w:cs="Times New Roman" w:eastAsia="Times New Roman" w:hAnsi="Times New Roman"/>
                <w:sz w:val="8"/>
                <w:szCs w:val="8"/>
                <w:color w:val="231F20"/>
              </w:rPr>
              <w:t xml:space="preserve"> (3)(4)(9)</w:t>
            </w:r>
          </w:p>
        </w:tc>
        <w:tc>
          <w:tcPr>
            <w:tcW w:w="2420" w:type="dxa"/>
            <w:vAlign w:val="bottom"/>
            <w:shd w:val="clear" w:color="auto" w:fill="FDFDFC"/>
          </w:tcPr>
          <w:p>
            <w:pPr>
              <w:ind w:left="60"/>
              <w:spacing w:after="0"/>
              <w:rPr>
                <w:sz w:val="20"/>
                <w:szCs w:val="20"/>
                <w:color w:val="auto"/>
              </w:rPr>
            </w:pPr>
            <w:r>
              <w:rPr>
                <w:rFonts w:ascii="Times New Roman" w:cs="Times New Roman" w:eastAsia="Times New Roman" w:hAnsi="Times New Roman"/>
                <w:sz w:val="15"/>
                <w:szCs w:val="15"/>
                <w:color w:val="231F20"/>
              </w:rPr>
              <w:t>4/2034)</w:t>
            </w:r>
          </w:p>
        </w:tc>
        <w:tc>
          <w:tcPr>
            <w:tcW w:w="820" w:type="dxa"/>
            <w:vAlign w:val="bottom"/>
            <w:shd w:val="clear" w:color="auto" w:fill="FDFDFC"/>
          </w:tcPr>
          <w:p>
            <w:pPr>
              <w:spacing w:after="0"/>
              <w:rPr>
                <w:sz w:val="16"/>
                <w:szCs w:val="16"/>
                <w:color w:val="auto"/>
              </w:rPr>
            </w:pPr>
          </w:p>
        </w:tc>
        <w:tc>
          <w:tcPr>
            <w:tcW w:w="1200" w:type="dxa"/>
            <w:vAlign w:val="bottom"/>
            <w:shd w:val="clear" w:color="auto" w:fill="FDFDFC"/>
          </w:tcPr>
          <w:p>
            <w:pPr>
              <w:jc w:val="right"/>
              <w:ind w:right="244"/>
              <w:spacing w:after="0"/>
              <w:rPr>
                <w:sz w:val="20"/>
                <w:szCs w:val="20"/>
                <w:color w:val="auto"/>
              </w:rPr>
            </w:pPr>
            <w:r>
              <w:rPr>
                <w:rFonts w:ascii="Times New Roman" w:cs="Times New Roman" w:eastAsia="Times New Roman" w:hAnsi="Times New Roman"/>
                <w:sz w:val="15"/>
                <w:szCs w:val="15"/>
                <w:color w:val="231F20"/>
              </w:rPr>
              <w:t>6.51%</w:t>
            </w:r>
          </w:p>
        </w:tc>
        <w:tc>
          <w:tcPr>
            <w:tcW w:w="900" w:type="dxa"/>
            <w:vAlign w:val="bottom"/>
            <w:shd w:val="clear" w:color="auto" w:fill="FDFDFC"/>
          </w:tcPr>
          <w:p>
            <w:pPr>
              <w:spacing w:after="0"/>
              <w:rPr>
                <w:sz w:val="16"/>
                <w:szCs w:val="16"/>
                <w:color w:val="auto"/>
              </w:rPr>
            </w:pPr>
          </w:p>
        </w:tc>
        <w:tc>
          <w:tcPr>
            <w:tcW w:w="1000" w:type="dxa"/>
            <w:vAlign w:val="bottom"/>
            <w:shd w:val="clear" w:color="auto" w:fill="FDFDFC"/>
          </w:tcPr>
          <w:p>
            <w:pPr>
              <w:spacing w:after="0"/>
              <w:rPr>
                <w:sz w:val="16"/>
                <w:szCs w:val="16"/>
                <w:color w:val="auto"/>
              </w:rPr>
            </w:pPr>
          </w:p>
        </w:tc>
        <w:tc>
          <w:tcPr>
            <w:tcW w:w="180" w:type="dxa"/>
            <w:vAlign w:val="bottom"/>
            <w:shd w:val="clear" w:color="auto" w:fill="FDFDFC"/>
          </w:tcPr>
          <w:p>
            <w:pPr>
              <w:spacing w:after="0"/>
              <w:rPr>
                <w:sz w:val="16"/>
                <w:szCs w:val="16"/>
                <w:color w:val="auto"/>
              </w:rPr>
            </w:pPr>
          </w:p>
        </w:tc>
        <w:tc>
          <w:tcPr>
            <w:tcW w:w="960" w:type="dxa"/>
            <w:vAlign w:val="bottom"/>
            <w:shd w:val="clear" w:color="auto" w:fill="FDFDFC"/>
          </w:tcPr>
          <w:p>
            <w:pPr>
              <w:spacing w:after="0"/>
              <w:rPr>
                <w:sz w:val="16"/>
                <w:szCs w:val="16"/>
                <w:color w:val="auto"/>
              </w:rPr>
            </w:pPr>
          </w:p>
        </w:tc>
        <w:tc>
          <w:tcPr>
            <w:tcW w:w="200" w:type="dxa"/>
            <w:vAlign w:val="bottom"/>
            <w:shd w:val="clear" w:color="auto" w:fill="FDFDFC"/>
          </w:tcPr>
          <w:p>
            <w:pPr>
              <w:spacing w:after="0"/>
              <w:rPr>
                <w:sz w:val="16"/>
                <w:szCs w:val="16"/>
                <w:color w:val="auto"/>
              </w:rPr>
            </w:pPr>
          </w:p>
        </w:tc>
        <w:tc>
          <w:tcPr>
            <w:tcW w:w="900" w:type="dxa"/>
            <w:vAlign w:val="bottom"/>
            <w:shd w:val="clear" w:color="auto" w:fill="FDFDFC"/>
          </w:tcPr>
          <w:p>
            <w:pPr>
              <w:spacing w:after="0"/>
              <w:rPr>
                <w:sz w:val="16"/>
                <w:szCs w:val="16"/>
                <w:color w:val="auto"/>
              </w:rPr>
            </w:pPr>
          </w:p>
        </w:tc>
        <w:tc>
          <w:tcPr>
            <w:tcW w:w="240" w:type="dxa"/>
            <w:vAlign w:val="bottom"/>
            <w:shd w:val="clear" w:color="auto" w:fill="FDFDFC"/>
          </w:tcPr>
          <w:p>
            <w:pPr>
              <w:spacing w:after="0"/>
              <w:rPr>
                <w:sz w:val="16"/>
                <w:szCs w:val="16"/>
                <w:color w:val="auto"/>
              </w:rPr>
            </w:pPr>
          </w:p>
        </w:tc>
        <w:tc>
          <w:tcPr>
            <w:tcW w:w="0" w:type="dxa"/>
            <w:vAlign w:val="bottom"/>
          </w:tcPr>
          <w:p>
            <w:pPr>
              <w:spacing w:after="0"/>
              <w:rPr>
                <w:sz w:val="1"/>
                <w:szCs w:val="1"/>
                <w:color w:val="auto"/>
              </w:rPr>
            </w:pPr>
          </w:p>
        </w:tc>
      </w:tr>
      <w:tr>
        <w:trPr>
          <w:trHeight w:val="158"/>
        </w:trPr>
        <w:tc>
          <w:tcPr>
            <w:tcW w:w="1460" w:type="dxa"/>
            <w:vAlign w:val="bottom"/>
            <w:shd w:val="clear" w:color="auto" w:fill="D0EBF2"/>
          </w:tcPr>
          <w:p>
            <w:pPr>
              <w:spacing w:after="0" w:line="159" w:lineRule="exact"/>
              <w:rPr>
                <w:sz w:val="20"/>
                <w:szCs w:val="20"/>
                <w:color w:val="auto"/>
              </w:rPr>
            </w:pPr>
            <w:r>
              <w:rPr>
                <w:rFonts w:ascii="Times New Roman" w:cs="Times New Roman" w:eastAsia="Times New Roman" w:hAnsi="Times New Roman"/>
                <w:sz w:val="15"/>
                <w:szCs w:val="15"/>
                <w:color w:val="231F20"/>
              </w:rPr>
              <w:t>Ares Loan Funding I</w:t>
            </w:r>
          </w:p>
        </w:tc>
        <w:tc>
          <w:tcPr>
            <w:tcW w:w="2420" w:type="dxa"/>
            <w:vAlign w:val="bottom"/>
            <w:shd w:val="clear" w:color="auto" w:fill="D0EBF2"/>
          </w:tcPr>
          <w:p>
            <w:pPr>
              <w:ind w:left="60"/>
              <w:spacing w:after="0" w:line="159" w:lineRule="exact"/>
              <w:rPr>
                <w:sz w:val="20"/>
                <w:szCs w:val="20"/>
                <w:color w:val="auto"/>
              </w:rPr>
            </w:pPr>
            <w:r>
              <w:rPr>
                <w:rFonts w:ascii="Times New Roman" w:cs="Times New Roman" w:eastAsia="Times New Roman" w:hAnsi="Times New Roman"/>
                <w:sz w:val="15"/>
                <w:szCs w:val="15"/>
                <w:color w:val="231F20"/>
              </w:rPr>
              <w:t>Structured Credit ($1,000 par, due</w:t>
            </w:r>
          </w:p>
        </w:tc>
        <w:tc>
          <w:tcPr>
            <w:tcW w:w="820" w:type="dxa"/>
            <w:vAlign w:val="bottom"/>
            <w:shd w:val="clear" w:color="auto" w:fill="D0EBF2"/>
          </w:tcPr>
          <w:p>
            <w:pPr>
              <w:jc w:val="right"/>
              <w:spacing w:after="0" w:line="159" w:lineRule="exact"/>
              <w:rPr>
                <w:sz w:val="20"/>
                <w:szCs w:val="20"/>
                <w:color w:val="auto"/>
              </w:rPr>
            </w:pPr>
            <w:r>
              <w:rPr>
                <w:rFonts w:ascii="Times New Roman" w:cs="Times New Roman" w:eastAsia="Times New Roman" w:hAnsi="Times New Roman"/>
                <w:sz w:val="15"/>
                <w:szCs w:val="15"/>
                <w:color w:val="231F20"/>
              </w:rPr>
              <w:t>6/24/2022</w:t>
            </w:r>
          </w:p>
        </w:tc>
        <w:tc>
          <w:tcPr>
            <w:tcW w:w="1200" w:type="dxa"/>
            <w:vAlign w:val="bottom"/>
            <w:shd w:val="clear" w:color="auto" w:fill="D0EBF2"/>
          </w:tcPr>
          <w:p>
            <w:pPr>
              <w:jc w:val="right"/>
              <w:ind w:right="244"/>
              <w:spacing w:after="0" w:line="159" w:lineRule="exact"/>
              <w:rPr>
                <w:sz w:val="20"/>
                <w:szCs w:val="20"/>
                <w:color w:val="auto"/>
              </w:rPr>
            </w:pPr>
            <w:r>
              <w:rPr>
                <w:rFonts w:ascii="Times New Roman" w:cs="Times New Roman" w:eastAsia="Times New Roman" w:hAnsi="Times New Roman"/>
                <w:sz w:val="15"/>
                <w:szCs w:val="15"/>
                <w:color w:val="231F20"/>
              </w:rPr>
              <w:t>SOFR +</w:t>
            </w:r>
          </w:p>
        </w:tc>
        <w:tc>
          <w:tcPr>
            <w:tcW w:w="900" w:type="dxa"/>
            <w:vAlign w:val="bottom"/>
            <w:shd w:val="clear" w:color="auto" w:fill="D0EBF2"/>
          </w:tcPr>
          <w:p>
            <w:pPr>
              <w:jc w:val="right"/>
              <w:ind w:right="24"/>
              <w:spacing w:after="0" w:line="159" w:lineRule="exact"/>
              <w:rPr>
                <w:sz w:val="20"/>
                <w:szCs w:val="20"/>
                <w:color w:val="auto"/>
              </w:rPr>
            </w:pPr>
            <w:r>
              <w:rPr>
                <w:rFonts w:ascii="Times New Roman" w:cs="Times New Roman" w:eastAsia="Times New Roman" w:hAnsi="Times New Roman"/>
                <w:sz w:val="15"/>
                <w:szCs w:val="15"/>
                <w:color w:val="231F20"/>
              </w:rPr>
              <w:t>12.36%</w:t>
            </w:r>
          </w:p>
        </w:tc>
        <w:tc>
          <w:tcPr>
            <w:tcW w:w="1000" w:type="dxa"/>
            <w:vAlign w:val="bottom"/>
            <w:shd w:val="clear" w:color="auto" w:fill="D0EBF2"/>
          </w:tcPr>
          <w:p>
            <w:pPr>
              <w:jc w:val="right"/>
              <w:spacing w:after="0" w:line="159" w:lineRule="exact"/>
              <w:rPr>
                <w:sz w:val="20"/>
                <w:szCs w:val="20"/>
                <w:color w:val="auto"/>
              </w:rPr>
            </w:pPr>
            <w:r>
              <w:rPr>
                <w:rFonts w:ascii="Times New Roman" w:cs="Times New Roman" w:eastAsia="Times New Roman" w:hAnsi="Times New Roman"/>
                <w:sz w:val="15"/>
                <w:szCs w:val="15"/>
                <w:color w:val="231F20"/>
              </w:rPr>
              <w:t>944</w:t>
            </w:r>
          </w:p>
        </w:tc>
        <w:tc>
          <w:tcPr>
            <w:tcW w:w="1140" w:type="dxa"/>
            <w:vAlign w:val="bottom"/>
            <w:gridSpan w:val="2"/>
            <w:shd w:val="clear" w:color="auto" w:fill="D0EBF2"/>
          </w:tcPr>
          <w:p>
            <w:pPr>
              <w:jc w:val="right"/>
              <w:spacing w:after="0" w:line="159" w:lineRule="exact"/>
              <w:rPr>
                <w:sz w:val="20"/>
                <w:szCs w:val="20"/>
                <w:color w:val="auto"/>
              </w:rPr>
            </w:pPr>
            <w:r>
              <w:rPr>
                <w:rFonts w:ascii="Times New Roman" w:cs="Times New Roman" w:eastAsia="Times New Roman" w:hAnsi="Times New Roman"/>
                <w:sz w:val="15"/>
                <w:szCs w:val="15"/>
                <w:color w:val="231F20"/>
              </w:rPr>
              <w:t>988</w:t>
            </w:r>
          </w:p>
        </w:tc>
        <w:tc>
          <w:tcPr>
            <w:tcW w:w="1340" w:type="dxa"/>
            <w:vAlign w:val="bottom"/>
            <w:gridSpan w:val="3"/>
            <w:shd w:val="clear" w:color="auto" w:fill="D0EBF2"/>
          </w:tcPr>
          <w:p>
            <w:pPr>
              <w:jc w:val="right"/>
              <w:ind w:right="120"/>
              <w:spacing w:after="0" w:line="159" w:lineRule="exact"/>
              <w:rPr>
                <w:sz w:val="20"/>
                <w:szCs w:val="20"/>
                <w:color w:val="auto"/>
              </w:rPr>
            </w:pPr>
            <w:r>
              <w:rPr>
                <w:rFonts w:ascii="Times New Roman" w:cs="Times New Roman" w:eastAsia="Times New Roman" w:hAnsi="Times New Roman"/>
                <w:sz w:val="15"/>
                <w:szCs w:val="15"/>
                <w:color w:val="231F20"/>
              </w:rPr>
              <w:t>0.0%</w:t>
            </w:r>
          </w:p>
        </w:tc>
        <w:tc>
          <w:tcPr>
            <w:tcW w:w="0" w:type="dxa"/>
            <w:vAlign w:val="bottom"/>
          </w:tcPr>
          <w:p>
            <w:pPr>
              <w:spacing w:after="0"/>
              <w:rPr>
                <w:sz w:val="1"/>
                <w:szCs w:val="1"/>
                <w:color w:val="auto"/>
              </w:rPr>
            </w:pPr>
          </w:p>
        </w:tc>
      </w:tr>
      <w:tr>
        <w:trPr>
          <w:trHeight w:val="174"/>
        </w:trPr>
        <w:tc>
          <w:tcPr>
            <w:tcW w:w="1460" w:type="dxa"/>
            <w:vAlign w:val="bottom"/>
            <w:shd w:val="clear" w:color="auto" w:fill="D0EBF2"/>
          </w:tcPr>
          <w:p>
            <w:pPr>
              <w:spacing w:after="0"/>
              <w:rPr>
                <w:sz w:val="20"/>
                <w:szCs w:val="20"/>
                <w:color w:val="auto"/>
              </w:rPr>
            </w:pPr>
            <w:r>
              <w:rPr>
                <w:rFonts w:ascii="Times New Roman" w:cs="Times New Roman" w:eastAsia="Times New Roman" w:hAnsi="Times New Roman"/>
                <w:sz w:val="15"/>
                <w:szCs w:val="15"/>
                <w:color w:val="231F20"/>
              </w:rPr>
              <w:t>Ltd, Series 2021-</w:t>
            </w:r>
          </w:p>
        </w:tc>
        <w:tc>
          <w:tcPr>
            <w:tcW w:w="2420" w:type="dxa"/>
            <w:vAlign w:val="bottom"/>
            <w:shd w:val="clear" w:color="auto" w:fill="D0EBF2"/>
          </w:tcPr>
          <w:p>
            <w:pPr>
              <w:ind w:left="60"/>
              <w:spacing w:after="0"/>
              <w:rPr>
                <w:sz w:val="20"/>
                <w:szCs w:val="20"/>
                <w:color w:val="auto"/>
              </w:rPr>
            </w:pPr>
            <w:r>
              <w:rPr>
                <w:rFonts w:ascii="Times New Roman" w:cs="Times New Roman" w:eastAsia="Times New Roman" w:hAnsi="Times New Roman"/>
                <w:sz w:val="15"/>
                <w:szCs w:val="15"/>
                <w:color w:val="231F20"/>
              </w:rPr>
              <w:t>10/2034)</w:t>
            </w:r>
          </w:p>
        </w:tc>
        <w:tc>
          <w:tcPr>
            <w:tcW w:w="820" w:type="dxa"/>
            <w:vAlign w:val="bottom"/>
            <w:shd w:val="clear" w:color="auto" w:fill="D0EBF2"/>
          </w:tcPr>
          <w:p>
            <w:pPr>
              <w:spacing w:after="0"/>
              <w:rPr>
                <w:sz w:val="15"/>
                <w:szCs w:val="15"/>
                <w:color w:val="auto"/>
              </w:rPr>
            </w:pPr>
          </w:p>
        </w:tc>
        <w:tc>
          <w:tcPr>
            <w:tcW w:w="1200" w:type="dxa"/>
            <w:vAlign w:val="bottom"/>
            <w:shd w:val="clear" w:color="auto" w:fill="D0EBF2"/>
          </w:tcPr>
          <w:p>
            <w:pPr>
              <w:jc w:val="right"/>
              <w:ind w:right="244"/>
              <w:spacing w:after="0"/>
              <w:rPr>
                <w:sz w:val="20"/>
                <w:szCs w:val="20"/>
                <w:color w:val="auto"/>
              </w:rPr>
            </w:pPr>
            <w:r>
              <w:rPr>
                <w:rFonts w:ascii="Times New Roman" w:cs="Times New Roman" w:eastAsia="Times New Roman" w:hAnsi="Times New Roman"/>
                <w:sz w:val="15"/>
                <w:szCs w:val="15"/>
                <w:color w:val="231F20"/>
              </w:rPr>
              <w:t>6.96%</w:t>
            </w:r>
          </w:p>
        </w:tc>
        <w:tc>
          <w:tcPr>
            <w:tcW w:w="900" w:type="dxa"/>
            <w:vAlign w:val="bottom"/>
            <w:shd w:val="clear" w:color="auto" w:fill="D0EBF2"/>
          </w:tcPr>
          <w:p>
            <w:pPr>
              <w:spacing w:after="0"/>
              <w:rPr>
                <w:sz w:val="15"/>
                <w:szCs w:val="15"/>
                <w:color w:val="auto"/>
              </w:rPr>
            </w:pPr>
          </w:p>
        </w:tc>
        <w:tc>
          <w:tcPr>
            <w:tcW w:w="1000" w:type="dxa"/>
            <w:vAlign w:val="bottom"/>
            <w:shd w:val="clear" w:color="auto" w:fill="D0EBF2"/>
          </w:tcPr>
          <w:p>
            <w:pPr>
              <w:spacing w:after="0"/>
              <w:rPr>
                <w:sz w:val="15"/>
                <w:szCs w:val="15"/>
                <w:color w:val="auto"/>
              </w:rPr>
            </w:pPr>
          </w:p>
        </w:tc>
        <w:tc>
          <w:tcPr>
            <w:tcW w:w="180" w:type="dxa"/>
            <w:vAlign w:val="bottom"/>
            <w:shd w:val="clear" w:color="auto" w:fill="D0EBF2"/>
          </w:tcPr>
          <w:p>
            <w:pPr>
              <w:spacing w:after="0"/>
              <w:rPr>
                <w:sz w:val="15"/>
                <w:szCs w:val="15"/>
                <w:color w:val="auto"/>
              </w:rPr>
            </w:pPr>
          </w:p>
        </w:tc>
        <w:tc>
          <w:tcPr>
            <w:tcW w:w="960" w:type="dxa"/>
            <w:vAlign w:val="bottom"/>
            <w:shd w:val="clear" w:color="auto" w:fill="D0EBF2"/>
          </w:tcPr>
          <w:p>
            <w:pPr>
              <w:spacing w:after="0"/>
              <w:rPr>
                <w:sz w:val="15"/>
                <w:szCs w:val="15"/>
                <w:color w:val="auto"/>
              </w:rPr>
            </w:pPr>
          </w:p>
        </w:tc>
        <w:tc>
          <w:tcPr>
            <w:tcW w:w="200" w:type="dxa"/>
            <w:vAlign w:val="bottom"/>
            <w:shd w:val="clear" w:color="auto" w:fill="D0EBF2"/>
          </w:tcPr>
          <w:p>
            <w:pPr>
              <w:spacing w:after="0"/>
              <w:rPr>
                <w:sz w:val="15"/>
                <w:szCs w:val="15"/>
                <w:color w:val="auto"/>
              </w:rPr>
            </w:pPr>
          </w:p>
        </w:tc>
        <w:tc>
          <w:tcPr>
            <w:tcW w:w="900" w:type="dxa"/>
            <w:vAlign w:val="bottom"/>
            <w:shd w:val="clear" w:color="auto" w:fill="D0EBF2"/>
          </w:tcPr>
          <w:p>
            <w:pPr>
              <w:spacing w:after="0"/>
              <w:rPr>
                <w:sz w:val="15"/>
                <w:szCs w:val="15"/>
                <w:color w:val="auto"/>
              </w:rPr>
            </w:pPr>
          </w:p>
        </w:tc>
        <w:tc>
          <w:tcPr>
            <w:tcW w:w="240" w:type="dxa"/>
            <w:vAlign w:val="bottom"/>
            <w:shd w:val="clear" w:color="auto" w:fill="D0EBF2"/>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1460" w:type="dxa"/>
            <w:vAlign w:val="bottom"/>
            <w:shd w:val="clear" w:color="auto" w:fill="D0EBF2"/>
          </w:tcPr>
          <w:p>
            <w:pPr>
              <w:spacing w:after="0"/>
              <w:rPr>
                <w:sz w:val="20"/>
                <w:szCs w:val="20"/>
                <w:color w:val="auto"/>
              </w:rPr>
            </w:pPr>
            <w:r>
              <w:rPr>
                <w:rFonts w:ascii="Times New Roman" w:cs="Times New Roman" w:eastAsia="Times New Roman" w:hAnsi="Times New Roman"/>
                <w:sz w:val="15"/>
                <w:szCs w:val="15"/>
                <w:color w:val="231F20"/>
              </w:rPr>
              <w:t xml:space="preserve">ALFA, Class E </w:t>
            </w:r>
            <w:r>
              <w:rPr>
                <w:rFonts w:ascii="Times New Roman" w:cs="Times New Roman" w:eastAsia="Times New Roman" w:hAnsi="Times New Roman"/>
                <w:sz w:val="9"/>
                <w:szCs w:val="9"/>
                <w:color w:val="231F20"/>
              </w:rPr>
              <w:t>(3)(4)(9)</w:t>
            </w:r>
          </w:p>
        </w:tc>
        <w:tc>
          <w:tcPr>
            <w:tcW w:w="2420" w:type="dxa"/>
            <w:vAlign w:val="bottom"/>
            <w:shd w:val="clear" w:color="auto" w:fill="D0EBF2"/>
          </w:tcPr>
          <w:p>
            <w:pPr>
              <w:spacing w:after="0"/>
              <w:rPr>
                <w:sz w:val="16"/>
                <w:szCs w:val="16"/>
                <w:color w:val="auto"/>
              </w:rPr>
            </w:pPr>
          </w:p>
        </w:tc>
        <w:tc>
          <w:tcPr>
            <w:tcW w:w="820" w:type="dxa"/>
            <w:vAlign w:val="bottom"/>
            <w:shd w:val="clear" w:color="auto" w:fill="D0EBF2"/>
          </w:tcPr>
          <w:p>
            <w:pPr>
              <w:spacing w:after="0"/>
              <w:rPr>
                <w:sz w:val="16"/>
                <w:szCs w:val="16"/>
                <w:color w:val="auto"/>
              </w:rPr>
            </w:pPr>
          </w:p>
        </w:tc>
        <w:tc>
          <w:tcPr>
            <w:tcW w:w="1200" w:type="dxa"/>
            <w:vAlign w:val="bottom"/>
            <w:shd w:val="clear" w:color="auto" w:fill="D0EBF2"/>
          </w:tcPr>
          <w:p>
            <w:pPr>
              <w:spacing w:after="0"/>
              <w:rPr>
                <w:sz w:val="16"/>
                <w:szCs w:val="16"/>
                <w:color w:val="auto"/>
              </w:rPr>
            </w:pPr>
          </w:p>
        </w:tc>
        <w:tc>
          <w:tcPr>
            <w:tcW w:w="900" w:type="dxa"/>
            <w:vAlign w:val="bottom"/>
            <w:shd w:val="clear" w:color="auto" w:fill="D0EBF2"/>
          </w:tcPr>
          <w:p>
            <w:pPr>
              <w:spacing w:after="0"/>
              <w:rPr>
                <w:sz w:val="16"/>
                <w:szCs w:val="16"/>
                <w:color w:val="auto"/>
              </w:rPr>
            </w:pPr>
          </w:p>
        </w:tc>
        <w:tc>
          <w:tcPr>
            <w:tcW w:w="1000" w:type="dxa"/>
            <w:vAlign w:val="bottom"/>
            <w:shd w:val="clear" w:color="auto" w:fill="D0EBF2"/>
          </w:tcPr>
          <w:p>
            <w:pPr>
              <w:spacing w:after="0"/>
              <w:rPr>
                <w:sz w:val="16"/>
                <w:szCs w:val="16"/>
                <w:color w:val="auto"/>
              </w:rPr>
            </w:pPr>
          </w:p>
        </w:tc>
        <w:tc>
          <w:tcPr>
            <w:tcW w:w="180" w:type="dxa"/>
            <w:vAlign w:val="bottom"/>
            <w:shd w:val="clear" w:color="auto" w:fill="D0EBF2"/>
          </w:tcPr>
          <w:p>
            <w:pPr>
              <w:spacing w:after="0"/>
              <w:rPr>
                <w:sz w:val="16"/>
                <w:szCs w:val="16"/>
                <w:color w:val="auto"/>
              </w:rPr>
            </w:pPr>
          </w:p>
        </w:tc>
        <w:tc>
          <w:tcPr>
            <w:tcW w:w="960" w:type="dxa"/>
            <w:vAlign w:val="bottom"/>
            <w:shd w:val="clear" w:color="auto" w:fill="D0EBF2"/>
          </w:tcPr>
          <w:p>
            <w:pPr>
              <w:spacing w:after="0"/>
              <w:rPr>
                <w:sz w:val="16"/>
                <w:szCs w:val="16"/>
                <w:color w:val="auto"/>
              </w:rPr>
            </w:pPr>
          </w:p>
        </w:tc>
        <w:tc>
          <w:tcPr>
            <w:tcW w:w="200" w:type="dxa"/>
            <w:vAlign w:val="bottom"/>
            <w:shd w:val="clear" w:color="auto" w:fill="D0EBF2"/>
          </w:tcPr>
          <w:p>
            <w:pPr>
              <w:spacing w:after="0"/>
              <w:rPr>
                <w:sz w:val="16"/>
                <w:szCs w:val="16"/>
                <w:color w:val="auto"/>
              </w:rPr>
            </w:pPr>
          </w:p>
        </w:tc>
        <w:tc>
          <w:tcPr>
            <w:tcW w:w="900" w:type="dxa"/>
            <w:vAlign w:val="bottom"/>
            <w:shd w:val="clear" w:color="auto" w:fill="D0EBF2"/>
          </w:tcPr>
          <w:p>
            <w:pPr>
              <w:spacing w:after="0"/>
              <w:rPr>
                <w:sz w:val="16"/>
                <w:szCs w:val="16"/>
                <w:color w:val="auto"/>
              </w:rPr>
            </w:pPr>
          </w:p>
        </w:tc>
        <w:tc>
          <w:tcPr>
            <w:tcW w:w="240" w:type="dxa"/>
            <w:vAlign w:val="bottom"/>
            <w:shd w:val="clear" w:color="auto" w:fill="D0EBF2"/>
          </w:tcPr>
          <w:p>
            <w:pPr>
              <w:spacing w:after="0"/>
              <w:rPr>
                <w:sz w:val="16"/>
                <w:szCs w:val="16"/>
                <w:color w:val="auto"/>
              </w:rPr>
            </w:pPr>
          </w:p>
        </w:tc>
        <w:tc>
          <w:tcPr>
            <w:tcW w:w="0" w:type="dxa"/>
            <w:vAlign w:val="bottom"/>
          </w:tcPr>
          <w:p>
            <w:pPr>
              <w:spacing w:after="0"/>
              <w:rPr>
                <w:sz w:val="1"/>
                <w:szCs w:val="1"/>
                <w:color w:val="auto"/>
              </w:rPr>
            </w:pPr>
          </w:p>
        </w:tc>
      </w:tr>
      <w:tr>
        <w:trPr>
          <w:trHeight w:val="158"/>
        </w:trPr>
        <w:tc>
          <w:tcPr>
            <w:tcW w:w="1460" w:type="dxa"/>
            <w:vAlign w:val="bottom"/>
            <w:shd w:val="clear" w:color="auto" w:fill="FDFDFC"/>
          </w:tcPr>
          <w:p>
            <w:pPr>
              <w:spacing w:after="0" w:line="159" w:lineRule="exact"/>
              <w:rPr>
                <w:sz w:val="20"/>
                <w:szCs w:val="20"/>
                <w:color w:val="auto"/>
              </w:rPr>
            </w:pPr>
            <w:r>
              <w:rPr>
                <w:rFonts w:ascii="Times New Roman" w:cs="Times New Roman" w:eastAsia="Times New Roman" w:hAnsi="Times New Roman"/>
                <w:sz w:val="15"/>
                <w:szCs w:val="15"/>
                <w:color w:val="231F20"/>
              </w:rPr>
              <w:t>Bain Capital Credit</w:t>
            </w:r>
          </w:p>
        </w:tc>
        <w:tc>
          <w:tcPr>
            <w:tcW w:w="2420" w:type="dxa"/>
            <w:vAlign w:val="bottom"/>
            <w:shd w:val="clear" w:color="auto" w:fill="FDFDFC"/>
          </w:tcPr>
          <w:p>
            <w:pPr>
              <w:ind w:left="60"/>
              <w:spacing w:after="0" w:line="159" w:lineRule="exact"/>
              <w:rPr>
                <w:sz w:val="20"/>
                <w:szCs w:val="20"/>
                <w:color w:val="auto"/>
              </w:rPr>
            </w:pPr>
            <w:r>
              <w:rPr>
                <w:rFonts w:ascii="Times New Roman" w:cs="Times New Roman" w:eastAsia="Times New Roman" w:hAnsi="Times New Roman"/>
                <w:sz w:val="15"/>
                <w:szCs w:val="15"/>
                <w:color w:val="231F20"/>
              </w:rPr>
              <w:t>Structured Credit ($500 par, due</w:t>
            </w:r>
          </w:p>
        </w:tc>
        <w:tc>
          <w:tcPr>
            <w:tcW w:w="820" w:type="dxa"/>
            <w:vAlign w:val="bottom"/>
            <w:shd w:val="clear" w:color="auto" w:fill="FDFDFC"/>
          </w:tcPr>
          <w:p>
            <w:pPr>
              <w:jc w:val="right"/>
              <w:spacing w:after="0" w:line="159" w:lineRule="exact"/>
              <w:rPr>
                <w:sz w:val="20"/>
                <w:szCs w:val="20"/>
                <w:color w:val="auto"/>
              </w:rPr>
            </w:pPr>
            <w:r>
              <w:rPr>
                <w:rFonts w:ascii="Times New Roman" w:cs="Times New Roman" w:eastAsia="Times New Roman" w:hAnsi="Times New Roman"/>
                <w:sz w:val="15"/>
                <w:szCs w:val="15"/>
                <w:color w:val="231F20"/>
              </w:rPr>
              <w:t>10/15/2020</w:t>
            </w:r>
          </w:p>
        </w:tc>
        <w:tc>
          <w:tcPr>
            <w:tcW w:w="1200" w:type="dxa"/>
            <w:vAlign w:val="bottom"/>
            <w:shd w:val="clear" w:color="auto" w:fill="FDFDFC"/>
          </w:tcPr>
          <w:p>
            <w:pPr>
              <w:jc w:val="right"/>
              <w:ind w:right="244"/>
              <w:spacing w:after="0" w:line="159" w:lineRule="exact"/>
              <w:rPr>
                <w:sz w:val="20"/>
                <w:szCs w:val="20"/>
                <w:color w:val="auto"/>
              </w:rPr>
            </w:pPr>
            <w:r>
              <w:rPr>
                <w:rFonts w:ascii="Times New Roman" w:cs="Times New Roman" w:eastAsia="Times New Roman" w:hAnsi="Times New Roman"/>
                <w:sz w:val="15"/>
                <w:szCs w:val="15"/>
                <w:color w:val="231F20"/>
              </w:rPr>
              <w:t>SOFR +</w:t>
            </w:r>
          </w:p>
        </w:tc>
        <w:tc>
          <w:tcPr>
            <w:tcW w:w="900" w:type="dxa"/>
            <w:vAlign w:val="bottom"/>
            <w:shd w:val="clear" w:color="auto" w:fill="FDFDFC"/>
          </w:tcPr>
          <w:p>
            <w:pPr>
              <w:jc w:val="right"/>
              <w:ind w:right="24"/>
              <w:spacing w:after="0" w:line="159" w:lineRule="exact"/>
              <w:rPr>
                <w:sz w:val="20"/>
                <w:szCs w:val="20"/>
                <w:color w:val="auto"/>
              </w:rPr>
            </w:pPr>
            <w:r>
              <w:rPr>
                <w:rFonts w:ascii="Times New Roman" w:cs="Times New Roman" w:eastAsia="Times New Roman" w:hAnsi="Times New Roman"/>
                <w:sz w:val="15"/>
                <w:szCs w:val="15"/>
                <w:color w:val="231F20"/>
              </w:rPr>
              <w:t>11.02%</w:t>
            </w:r>
          </w:p>
        </w:tc>
        <w:tc>
          <w:tcPr>
            <w:tcW w:w="1000" w:type="dxa"/>
            <w:vAlign w:val="bottom"/>
            <w:shd w:val="clear" w:color="auto" w:fill="FDFDFC"/>
          </w:tcPr>
          <w:p>
            <w:pPr>
              <w:jc w:val="right"/>
              <w:spacing w:after="0" w:line="159" w:lineRule="exact"/>
              <w:rPr>
                <w:sz w:val="20"/>
                <w:szCs w:val="20"/>
                <w:color w:val="auto"/>
              </w:rPr>
            </w:pPr>
            <w:r>
              <w:rPr>
                <w:rFonts w:ascii="Times New Roman" w:cs="Times New Roman" w:eastAsia="Times New Roman" w:hAnsi="Times New Roman"/>
                <w:sz w:val="15"/>
                <w:szCs w:val="15"/>
                <w:color w:val="231F20"/>
              </w:rPr>
              <w:t>429</w:t>
            </w:r>
          </w:p>
        </w:tc>
        <w:tc>
          <w:tcPr>
            <w:tcW w:w="1140" w:type="dxa"/>
            <w:vAlign w:val="bottom"/>
            <w:gridSpan w:val="2"/>
            <w:shd w:val="clear" w:color="auto" w:fill="FDFDFC"/>
          </w:tcPr>
          <w:p>
            <w:pPr>
              <w:jc w:val="right"/>
              <w:spacing w:after="0" w:line="159" w:lineRule="exact"/>
              <w:rPr>
                <w:sz w:val="20"/>
                <w:szCs w:val="20"/>
                <w:color w:val="auto"/>
              </w:rPr>
            </w:pPr>
            <w:r>
              <w:rPr>
                <w:rFonts w:ascii="Times New Roman" w:cs="Times New Roman" w:eastAsia="Times New Roman" w:hAnsi="Times New Roman"/>
                <w:sz w:val="15"/>
                <w:szCs w:val="15"/>
                <w:color w:val="231F20"/>
              </w:rPr>
              <w:t>445</w:t>
            </w:r>
          </w:p>
        </w:tc>
        <w:tc>
          <w:tcPr>
            <w:tcW w:w="1340" w:type="dxa"/>
            <w:vAlign w:val="bottom"/>
            <w:gridSpan w:val="3"/>
            <w:shd w:val="clear" w:color="auto" w:fill="FDFDFC"/>
          </w:tcPr>
          <w:p>
            <w:pPr>
              <w:jc w:val="right"/>
              <w:ind w:right="120"/>
              <w:spacing w:after="0" w:line="159" w:lineRule="exact"/>
              <w:rPr>
                <w:sz w:val="20"/>
                <w:szCs w:val="20"/>
                <w:color w:val="auto"/>
              </w:rPr>
            </w:pPr>
            <w:r>
              <w:rPr>
                <w:rFonts w:ascii="Times New Roman" w:cs="Times New Roman" w:eastAsia="Times New Roman" w:hAnsi="Times New Roman"/>
                <w:sz w:val="15"/>
                <w:szCs w:val="15"/>
                <w:color w:val="231F20"/>
              </w:rPr>
              <w:t>0.0%</w:t>
            </w:r>
          </w:p>
        </w:tc>
        <w:tc>
          <w:tcPr>
            <w:tcW w:w="0" w:type="dxa"/>
            <w:vAlign w:val="bottom"/>
          </w:tcPr>
          <w:p>
            <w:pPr>
              <w:spacing w:after="0"/>
              <w:rPr>
                <w:sz w:val="1"/>
                <w:szCs w:val="1"/>
                <w:color w:val="auto"/>
              </w:rPr>
            </w:pPr>
          </w:p>
        </w:tc>
      </w:tr>
      <w:tr>
        <w:trPr>
          <w:trHeight w:val="174"/>
        </w:trPr>
        <w:tc>
          <w:tcPr>
            <w:tcW w:w="1460" w:type="dxa"/>
            <w:vAlign w:val="bottom"/>
            <w:shd w:val="clear" w:color="auto" w:fill="FDFDFC"/>
          </w:tcPr>
          <w:p>
            <w:pPr>
              <w:spacing w:after="0"/>
              <w:rPr>
                <w:sz w:val="20"/>
                <w:szCs w:val="20"/>
                <w:color w:val="auto"/>
              </w:rPr>
            </w:pPr>
            <w:r>
              <w:rPr>
                <w:rFonts w:ascii="Times New Roman" w:cs="Times New Roman" w:eastAsia="Times New Roman" w:hAnsi="Times New Roman"/>
                <w:sz w:val="15"/>
                <w:szCs w:val="15"/>
                <w:color w:val="231F20"/>
              </w:rPr>
              <w:t>CLO Ltd, Series 2018-</w:t>
            </w:r>
          </w:p>
        </w:tc>
        <w:tc>
          <w:tcPr>
            <w:tcW w:w="2420" w:type="dxa"/>
            <w:vAlign w:val="bottom"/>
            <w:shd w:val="clear" w:color="auto" w:fill="FDFDFC"/>
          </w:tcPr>
          <w:p>
            <w:pPr>
              <w:ind w:left="60"/>
              <w:spacing w:after="0"/>
              <w:rPr>
                <w:sz w:val="20"/>
                <w:szCs w:val="20"/>
                <w:color w:val="auto"/>
              </w:rPr>
            </w:pPr>
            <w:r>
              <w:rPr>
                <w:rFonts w:ascii="Times New Roman" w:cs="Times New Roman" w:eastAsia="Times New Roman" w:hAnsi="Times New Roman"/>
                <w:sz w:val="15"/>
                <w:szCs w:val="15"/>
                <w:color w:val="231F20"/>
              </w:rPr>
              <w:t>4/2031)</w:t>
            </w:r>
          </w:p>
        </w:tc>
        <w:tc>
          <w:tcPr>
            <w:tcW w:w="820" w:type="dxa"/>
            <w:vAlign w:val="bottom"/>
            <w:shd w:val="clear" w:color="auto" w:fill="FDFDFC"/>
          </w:tcPr>
          <w:p>
            <w:pPr>
              <w:spacing w:after="0"/>
              <w:rPr>
                <w:sz w:val="15"/>
                <w:szCs w:val="15"/>
                <w:color w:val="auto"/>
              </w:rPr>
            </w:pPr>
          </w:p>
        </w:tc>
        <w:tc>
          <w:tcPr>
            <w:tcW w:w="1200" w:type="dxa"/>
            <w:vAlign w:val="bottom"/>
            <w:shd w:val="clear" w:color="auto" w:fill="FDFDFC"/>
          </w:tcPr>
          <w:p>
            <w:pPr>
              <w:jc w:val="right"/>
              <w:ind w:right="244"/>
              <w:spacing w:after="0"/>
              <w:rPr>
                <w:sz w:val="20"/>
                <w:szCs w:val="20"/>
                <w:color w:val="auto"/>
              </w:rPr>
            </w:pPr>
            <w:r>
              <w:rPr>
                <w:rFonts w:ascii="Times New Roman" w:cs="Times New Roman" w:eastAsia="Times New Roman" w:hAnsi="Times New Roman"/>
                <w:sz w:val="15"/>
                <w:szCs w:val="15"/>
                <w:color w:val="231F20"/>
              </w:rPr>
              <w:t>5.61%</w:t>
            </w:r>
          </w:p>
        </w:tc>
        <w:tc>
          <w:tcPr>
            <w:tcW w:w="900" w:type="dxa"/>
            <w:vAlign w:val="bottom"/>
            <w:shd w:val="clear" w:color="auto" w:fill="FDFDFC"/>
          </w:tcPr>
          <w:p>
            <w:pPr>
              <w:spacing w:after="0"/>
              <w:rPr>
                <w:sz w:val="15"/>
                <w:szCs w:val="15"/>
                <w:color w:val="auto"/>
              </w:rPr>
            </w:pPr>
          </w:p>
        </w:tc>
        <w:tc>
          <w:tcPr>
            <w:tcW w:w="1000" w:type="dxa"/>
            <w:vAlign w:val="bottom"/>
            <w:shd w:val="clear" w:color="auto" w:fill="FDFDFC"/>
          </w:tcPr>
          <w:p>
            <w:pPr>
              <w:spacing w:after="0"/>
              <w:rPr>
                <w:sz w:val="15"/>
                <w:szCs w:val="15"/>
                <w:color w:val="auto"/>
              </w:rPr>
            </w:pPr>
          </w:p>
        </w:tc>
        <w:tc>
          <w:tcPr>
            <w:tcW w:w="180" w:type="dxa"/>
            <w:vAlign w:val="bottom"/>
            <w:shd w:val="clear" w:color="auto" w:fill="FDFDFC"/>
          </w:tcPr>
          <w:p>
            <w:pPr>
              <w:spacing w:after="0"/>
              <w:rPr>
                <w:sz w:val="15"/>
                <w:szCs w:val="15"/>
                <w:color w:val="auto"/>
              </w:rPr>
            </w:pPr>
          </w:p>
        </w:tc>
        <w:tc>
          <w:tcPr>
            <w:tcW w:w="960" w:type="dxa"/>
            <w:vAlign w:val="bottom"/>
            <w:shd w:val="clear" w:color="auto" w:fill="FDFDFC"/>
          </w:tcPr>
          <w:p>
            <w:pPr>
              <w:spacing w:after="0"/>
              <w:rPr>
                <w:sz w:val="15"/>
                <w:szCs w:val="15"/>
                <w:color w:val="auto"/>
              </w:rPr>
            </w:pPr>
          </w:p>
        </w:tc>
        <w:tc>
          <w:tcPr>
            <w:tcW w:w="200" w:type="dxa"/>
            <w:vAlign w:val="bottom"/>
            <w:shd w:val="clear" w:color="auto" w:fill="FDFDFC"/>
          </w:tcPr>
          <w:p>
            <w:pPr>
              <w:spacing w:after="0"/>
              <w:rPr>
                <w:sz w:val="15"/>
                <w:szCs w:val="15"/>
                <w:color w:val="auto"/>
              </w:rPr>
            </w:pPr>
          </w:p>
        </w:tc>
        <w:tc>
          <w:tcPr>
            <w:tcW w:w="900" w:type="dxa"/>
            <w:vAlign w:val="bottom"/>
            <w:shd w:val="clear" w:color="auto" w:fill="FDFDFC"/>
          </w:tcPr>
          <w:p>
            <w:pPr>
              <w:spacing w:after="0"/>
              <w:rPr>
                <w:sz w:val="15"/>
                <w:szCs w:val="15"/>
                <w:color w:val="auto"/>
              </w:rPr>
            </w:pPr>
          </w:p>
        </w:tc>
        <w:tc>
          <w:tcPr>
            <w:tcW w:w="240" w:type="dxa"/>
            <w:vAlign w:val="bottom"/>
            <w:shd w:val="clear" w:color="auto" w:fill="FDFDFC"/>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1460" w:type="dxa"/>
            <w:vAlign w:val="bottom"/>
            <w:shd w:val="clear" w:color="auto" w:fill="FDFDFC"/>
          </w:tcPr>
          <w:p>
            <w:pPr>
              <w:spacing w:after="0" w:line="190" w:lineRule="exact"/>
              <w:rPr>
                <w:sz w:val="20"/>
                <w:szCs w:val="20"/>
                <w:color w:val="auto"/>
              </w:rPr>
            </w:pPr>
            <w:r>
              <w:rPr>
                <w:rFonts w:ascii="Times New Roman" w:cs="Times New Roman" w:eastAsia="Times New Roman" w:hAnsi="Times New Roman"/>
                <w:sz w:val="21"/>
                <w:szCs w:val="21"/>
                <w:color w:val="231F20"/>
                <w:vertAlign w:val="subscript"/>
              </w:rPr>
              <w:t>1A</w:t>
            </w:r>
            <w:r>
              <w:rPr>
                <w:rFonts w:ascii="Times New Roman" w:cs="Times New Roman" w:eastAsia="Times New Roman" w:hAnsi="Times New Roman"/>
                <w:sz w:val="8"/>
                <w:szCs w:val="8"/>
                <w:color w:val="231F20"/>
              </w:rPr>
              <w:t xml:space="preserve"> (3)(4)(9)</w:t>
            </w:r>
          </w:p>
        </w:tc>
        <w:tc>
          <w:tcPr>
            <w:tcW w:w="2420" w:type="dxa"/>
            <w:vAlign w:val="bottom"/>
            <w:shd w:val="clear" w:color="auto" w:fill="FDFDFC"/>
          </w:tcPr>
          <w:p>
            <w:pPr>
              <w:spacing w:after="0"/>
              <w:rPr>
                <w:sz w:val="16"/>
                <w:szCs w:val="16"/>
                <w:color w:val="auto"/>
              </w:rPr>
            </w:pPr>
          </w:p>
        </w:tc>
        <w:tc>
          <w:tcPr>
            <w:tcW w:w="820" w:type="dxa"/>
            <w:vAlign w:val="bottom"/>
            <w:shd w:val="clear" w:color="auto" w:fill="FDFDFC"/>
          </w:tcPr>
          <w:p>
            <w:pPr>
              <w:spacing w:after="0"/>
              <w:rPr>
                <w:sz w:val="16"/>
                <w:szCs w:val="16"/>
                <w:color w:val="auto"/>
              </w:rPr>
            </w:pPr>
          </w:p>
        </w:tc>
        <w:tc>
          <w:tcPr>
            <w:tcW w:w="1200" w:type="dxa"/>
            <w:vAlign w:val="bottom"/>
            <w:shd w:val="clear" w:color="auto" w:fill="FDFDFC"/>
          </w:tcPr>
          <w:p>
            <w:pPr>
              <w:spacing w:after="0"/>
              <w:rPr>
                <w:sz w:val="16"/>
                <w:szCs w:val="16"/>
                <w:color w:val="auto"/>
              </w:rPr>
            </w:pPr>
          </w:p>
        </w:tc>
        <w:tc>
          <w:tcPr>
            <w:tcW w:w="900" w:type="dxa"/>
            <w:vAlign w:val="bottom"/>
            <w:shd w:val="clear" w:color="auto" w:fill="FDFDFC"/>
          </w:tcPr>
          <w:p>
            <w:pPr>
              <w:spacing w:after="0"/>
              <w:rPr>
                <w:sz w:val="16"/>
                <w:szCs w:val="16"/>
                <w:color w:val="auto"/>
              </w:rPr>
            </w:pPr>
          </w:p>
        </w:tc>
        <w:tc>
          <w:tcPr>
            <w:tcW w:w="1000" w:type="dxa"/>
            <w:vAlign w:val="bottom"/>
            <w:shd w:val="clear" w:color="auto" w:fill="FDFDFC"/>
          </w:tcPr>
          <w:p>
            <w:pPr>
              <w:spacing w:after="0"/>
              <w:rPr>
                <w:sz w:val="16"/>
                <w:szCs w:val="16"/>
                <w:color w:val="auto"/>
              </w:rPr>
            </w:pPr>
          </w:p>
        </w:tc>
        <w:tc>
          <w:tcPr>
            <w:tcW w:w="180" w:type="dxa"/>
            <w:vAlign w:val="bottom"/>
            <w:shd w:val="clear" w:color="auto" w:fill="FDFDFC"/>
          </w:tcPr>
          <w:p>
            <w:pPr>
              <w:spacing w:after="0"/>
              <w:rPr>
                <w:sz w:val="16"/>
                <w:szCs w:val="16"/>
                <w:color w:val="auto"/>
              </w:rPr>
            </w:pPr>
          </w:p>
        </w:tc>
        <w:tc>
          <w:tcPr>
            <w:tcW w:w="960" w:type="dxa"/>
            <w:vAlign w:val="bottom"/>
            <w:shd w:val="clear" w:color="auto" w:fill="FDFDFC"/>
          </w:tcPr>
          <w:p>
            <w:pPr>
              <w:spacing w:after="0"/>
              <w:rPr>
                <w:sz w:val="16"/>
                <w:szCs w:val="16"/>
                <w:color w:val="auto"/>
              </w:rPr>
            </w:pPr>
          </w:p>
        </w:tc>
        <w:tc>
          <w:tcPr>
            <w:tcW w:w="200" w:type="dxa"/>
            <w:vAlign w:val="bottom"/>
            <w:shd w:val="clear" w:color="auto" w:fill="FDFDFC"/>
          </w:tcPr>
          <w:p>
            <w:pPr>
              <w:spacing w:after="0"/>
              <w:rPr>
                <w:sz w:val="16"/>
                <w:szCs w:val="16"/>
                <w:color w:val="auto"/>
              </w:rPr>
            </w:pPr>
          </w:p>
        </w:tc>
        <w:tc>
          <w:tcPr>
            <w:tcW w:w="900" w:type="dxa"/>
            <w:vAlign w:val="bottom"/>
            <w:shd w:val="clear" w:color="auto" w:fill="FDFDFC"/>
          </w:tcPr>
          <w:p>
            <w:pPr>
              <w:spacing w:after="0"/>
              <w:rPr>
                <w:sz w:val="16"/>
                <w:szCs w:val="16"/>
                <w:color w:val="auto"/>
              </w:rPr>
            </w:pPr>
          </w:p>
        </w:tc>
        <w:tc>
          <w:tcPr>
            <w:tcW w:w="240" w:type="dxa"/>
            <w:vAlign w:val="bottom"/>
            <w:shd w:val="clear" w:color="auto" w:fill="FDFDFC"/>
          </w:tcPr>
          <w:p>
            <w:pPr>
              <w:spacing w:after="0"/>
              <w:rPr>
                <w:sz w:val="16"/>
                <w:szCs w:val="16"/>
                <w:color w:val="auto"/>
              </w:rPr>
            </w:pPr>
          </w:p>
        </w:tc>
        <w:tc>
          <w:tcPr>
            <w:tcW w:w="0" w:type="dxa"/>
            <w:vAlign w:val="bottom"/>
          </w:tcPr>
          <w:p>
            <w:pPr>
              <w:spacing w:after="0"/>
              <w:rPr>
                <w:sz w:val="1"/>
                <w:szCs w:val="1"/>
                <w:color w:val="auto"/>
              </w:rPr>
            </w:pPr>
          </w:p>
        </w:tc>
      </w:tr>
      <w:tr>
        <w:trPr>
          <w:trHeight w:val="158"/>
        </w:trPr>
        <w:tc>
          <w:tcPr>
            <w:tcW w:w="1460" w:type="dxa"/>
            <w:vAlign w:val="bottom"/>
            <w:shd w:val="clear" w:color="auto" w:fill="D0EBF2"/>
          </w:tcPr>
          <w:p>
            <w:pPr>
              <w:spacing w:after="0" w:line="159" w:lineRule="exact"/>
              <w:rPr>
                <w:sz w:val="20"/>
                <w:szCs w:val="20"/>
                <w:color w:val="auto"/>
              </w:rPr>
            </w:pPr>
            <w:r>
              <w:rPr>
                <w:rFonts w:ascii="Times New Roman" w:cs="Times New Roman" w:eastAsia="Times New Roman" w:hAnsi="Times New Roman"/>
                <w:sz w:val="15"/>
                <w:szCs w:val="15"/>
                <w:color w:val="231F20"/>
              </w:rPr>
              <w:t>Battalion CLO Ltd,</w:t>
            </w:r>
          </w:p>
        </w:tc>
        <w:tc>
          <w:tcPr>
            <w:tcW w:w="2420" w:type="dxa"/>
            <w:vAlign w:val="bottom"/>
            <w:shd w:val="clear" w:color="auto" w:fill="D0EBF2"/>
          </w:tcPr>
          <w:p>
            <w:pPr>
              <w:ind w:left="60"/>
              <w:spacing w:after="0" w:line="159" w:lineRule="exact"/>
              <w:rPr>
                <w:sz w:val="20"/>
                <w:szCs w:val="20"/>
                <w:color w:val="auto"/>
              </w:rPr>
            </w:pPr>
            <w:r>
              <w:rPr>
                <w:rFonts w:ascii="Times New Roman" w:cs="Times New Roman" w:eastAsia="Times New Roman" w:hAnsi="Times New Roman"/>
                <w:sz w:val="15"/>
                <w:szCs w:val="15"/>
                <w:color w:val="231F20"/>
              </w:rPr>
              <w:t>Structured Credit ($1,300 par, due</w:t>
            </w:r>
          </w:p>
        </w:tc>
        <w:tc>
          <w:tcPr>
            <w:tcW w:w="820" w:type="dxa"/>
            <w:vAlign w:val="bottom"/>
            <w:shd w:val="clear" w:color="auto" w:fill="D0EBF2"/>
          </w:tcPr>
          <w:p>
            <w:pPr>
              <w:jc w:val="right"/>
              <w:spacing w:after="0" w:line="159" w:lineRule="exact"/>
              <w:rPr>
                <w:sz w:val="20"/>
                <w:szCs w:val="20"/>
                <w:color w:val="auto"/>
              </w:rPr>
            </w:pPr>
            <w:r>
              <w:rPr>
                <w:rFonts w:ascii="Times New Roman" w:cs="Times New Roman" w:eastAsia="Times New Roman" w:hAnsi="Times New Roman"/>
                <w:sz w:val="15"/>
                <w:szCs w:val="15"/>
                <w:color w:val="231F20"/>
              </w:rPr>
              <w:t>7/13/2022</w:t>
            </w:r>
          </w:p>
        </w:tc>
        <w:tc>
          <w:tcPr>
            <w:tcW w:w="1200" w:type="dxa"/>
            <w:vAlign w:val="bottom"/>
            <w:shd w:val="clear" w:color="auto" w:fill="D0EBF2"/>
          </w:tcPr>
          <w:p>
            <w:pPr>
              <w:jc w:val="right"/>
              <w:ind w:right="244"/>
              <w:spacing w:after="0" w:line="159" w:lineRule="exact"/>
              <w:rPr>
                <w:sz w:val="20"/>
                <w:szCs w:val="20"/>
                <w:color w:val="auto"/>
              </w:rPr>
            </w:pPr>
            <w:r>
              <w:rPr>
                <w:rFonts w:ascii="Times New Roman" w:cs="Times New Roman" w:eastAsia="Times New Roman" w:hAnsi="Times New Roman"/>
                <w:sz w:val="15"/>
                <w:szCs w:val="15"/>
                <w:color w:val="231F20"/>
              </w:rPr>
              <w:t>SOFR +</w:t>
            </w:r>
          </w:p>
        </w:tc>
        <w:tc>
          <w:tcPr>
            <w:tcW w:w="900" w:type="dxa"/>
            <w:vAlign w:val="bottom"/>
            <w:shd w:val="clear" w:color="auto" w:fill="D0EBF2"/>
          </w:tcPr>
          <w:p>
            <w:pPr>
              <w:jc w:val="right"/>
              <w:ind w:right="24"/>
              <w:spacing w:after="0" w:line="159" w:lineRule="exact"/>
              <w:rPr>
                <w:sz w:val="20"/>
                <w:szCs w:val="20"/>
                <w:color w:val="auto"/>
              </w:rPr>
            </w:pPr>
            <w:r>
              <w:rPr>
                <w:rFonts w:ascii="Times New Roman" w:cs="Times New Roman" w:eastAsia="Times New Roman" w:hAnsi="Times New Roman"/>
                <w:sz w:val="15"/>
                <w:szCs w:val="15"/>
                <w:color w:val="231F20"/>
              </w:rPr>
              <w:t>8.96%</w:t>
            </w:r>
          </w:p>
        </w:tc>
        <w:tc>
          <w:tcPr>
            <w:tcW w:w="1000" w:type="dxa"/>
            <w:vAlign w:val="bottom"/>
            <w:shd w:val="clear" w:color="auto" w:fill="D0EBF2"/>
          </w:tcPr>
          <w:p>
            <w:pPr>
              <w:jc w:val="right"/>
              <w:spacing w:after="0" w:line="159" w:lineRule="exact"/>
              <w:rPr>
                <w:sz w:val="20"/>
                <w:szCs w:val="20"/>
                <w:color w:val="auto"/>
              </w:rPr>
            </w:pPr>
            <w:r>
              <w:rPr>
                <w:rFonts w:ascii="Times New Roman" w:cs="Times New Roman" w:eastAsia="Times New Roman" w:hAnsi="Times New Roman"/>
                <w:sz w:val="15"/>
                <w:szCs w:val="15"/>
                <w:color w:val="231F20"/>
              </w:rPr>
              <w:t>1,170</w:t>
            </w:r>
          </w:p>
        </w:tc>
        <w:tc>
          <w:tcPr>
            <w:tcW w:w="1140" w:type="dxa"/>
            <w:vAlign w:val="bottom"/>
            <w:gridSpan w:val="2"/>
            <w:shd w:val="clear" w:color="auto" w:fill="D0EBF2"/>
          </w:tcPr>
          <w:p>
            <w:pPr>
              <w:jc w:val="right"/>
              <w:spacing w:after="0" w:line="159" w:lineRule="exact"/>
              <w:rPr>
                <w:sz w:val="20"/>
                <w:szCs w:val="20"/>
                <w:color w:val="auto"/>
              </w:rPr>
            </w:pPr>
            <w:r>
              <w:rPr>
                <w:rFonts w:ascii="Times New Roman" w:cs="Times New Roman" w:eastAsia="Times New Roman" w:hAnsi="Times New Roman"/>
                <w:sz w:val="15"/>
                <w:szCs w:val="15"/>
                <w:color w:val="231F20"/>
              </w:rPr>
              <w:t>1,252</w:t>
            </w:r>
          </w:p>
        </w:tc>
        <w:tc>
          <w:tcPr>
            <w:tcW w:w="1340" w:type="dxa"/>
            <w:vAlign w:val="bottom"/>
            <w:gridSpan w:val="3"/>
            <w:shd w:val="clear" w:color="auto" w:fill="D0EBF2"/>
          </w:tcPr>
          <w:p>
            <w:pPr>
              <w:jc w:val="right"/>
              <w:ind w:right="120"/>
              <w:spacing w:after="0" w:line="159" w:lineRule="exact"/>
              <w:rPr>
                <w:sz w:val="20"/>
                <w:szCs w:val="20"/>
                <w:color w:val="auto"/>
              </w:rPr>
            </w:pPr>
            <w:r>
              <w:rPr>
                <w:rFonts w:ascii="Times New Roman" w:cs="Times New Roman" w:eastAsia="Times New Roman" w:hAnsi="Times New Roman"/>
                <w:sz w:val="15"/>
                <w:szCs w:val="15"/>
                <w:color w:val="231F20"/>
              </w:rPr>
              <w:t>0.1%</w:t>
            </w:r>
          </w:p>
        </w:tc>
        <w:tc>
          <w:tcPr>
            <w:tcW w:w="0" w:type="dxa"/>
            <w:vAlign w:val="bottom"/>
          </w:tcPr>
          <w:p>
            <w:pPr>
              <w:spacing w:after="0"/>
              <w:rPr>
                <w:sz w:val="1"/>
                <w:szCs w:val="1"/>
                <w:color w:val="auto"/>
              </w:rPr>
            </w:pPr>
          </w:p>
        </w:tc>
      </w:tr>
      <w:tr>
        <w:trPr>
          <w:trHeight w:val="189"/>
        </w:trPr>
        <w:tc>
          <w:tcPr>
            <w:tcW w:w="1460" w:type="dxa"/>
            <w:vAlign w:val="bottom"/>
            <w:shd w:val="clear" w:color="auto" w:fill="D0EBF2"/>
          </w:tcPr>
          <w:p>
            <w:pPr>
              <w:spacing w:after="0"/>
              <w:rPr>
                <w:sz w:val="20"/>
                <w:szCs w:val="20"/>
                <w:color w:val="auto"/>
              </w:rPr>
            </w:pPr>
            <w:r>
              <w:rPr>
                <w:rFonts w:ascii="Times New Roman" w:cs="Times New Roman" w:eastAsia="Times New Roman" w:hAnsi="Times New Roman"/>
                <w:sz w:val="15"/>
                <w:szCs w:val="15"/>
                <w:color w:val="231F20"/>
              </w:rPr>
              <w:t xml:space="preserve">Series 2021-21A </w:t>
            </w:r>
            <w:r>
              <w:rPr>
                <w:rFonts w:ascii="Times New Roman" w:cs="Times New Roman" w:eastAsia="Times New Roman" w:hAnsi="Times New Roman"/>
                <w:sz w:val="9"/>
                <w:szCs w:val="9"/>
                <w:color w:val="231F20"/>
              </w:rPr>
              <w:t>(3)(4)(9)</w:t>
            </w:r>
          </w:p>
        </w:tc>
        <w:tc>
          <w:tcPr>
            <w:tcW w:w="2420" w:type="dxa"/>
            <w:vAlign w:val="bottom"/>
            <w:shd w:val="clear" w:color="auto" w:fill="D0EBF2"/>
          </w:tcPr>
          <w:p>
            <w:pPr>
              <w:ind w:left="60"/>
              <w:spacing w:after="0"/>
              <w:rPr>
                <w:sz w:val="20"/>
                <w:szCs w:val="20"/>
                <w:color w:val="auto"/>
              </w:rPr>
            </w:pPr>
            <w:r>
              <w:rPr>
                <w:rFonts w:ascii="Times New Roman" w:cs="Times New Roman" w:eastAsia="Times New Roman" w:hAnsi="Times New Roman"/>
                <w:sz w:val="15"/>
                <w:szCs w:val="15"/>
                <w:color w:val="231F20"/>
              </w:rPr>
              <w:t>7/2034)</w:t>
            </w:r>
          </w:p>
        </w:tc>
        <w:tc>
          <w:tcPr>
            <w:tcW w:w="820" w:type="dxa"/>
            <w:vAlign w:val="bottom"/>
            <w:shd w:val="clear" w:color="auto" w:fill="D0EBF2"/>
          </w:tcPr>
          <w:p>
            <w:pPr>
              <w:spacing w:after="0"/>
              <w:rPr>
                <w:sz w:val="16"/>
                <w:szCs w:val="16"/>
                <w:color w:val="auto"/>
              </w:rPr>
            </w:pPr>
          </w:p>
        </w:tc>
        <w:tc>
          <w:tcPr>
            <w:tcW w:w="1200" w:type="dxa"/>
            <w:vAlign w:val="bottom"/>
            <w:shd w:val="clear" w:color="auto" w:fill="D0EBF2"/>
          </w:tcPr>
          <w:p>
            <w:pPr>
              <w:jc w:val="right"/>
              <w:ind w:right="244"/>
              <w:spacing w:after="0"/>
              <w:rPr>
                <w:sz w:val="20"/>
                <w:szCs w:val="20"/>
                <w:color w:val="auto"/>
              </w:rPr>
            </w:pPr>
            <w:r>
              <w:rPr>
                <w:rFonts w:ascii="Times New Roman" w:cs="Times New Roman" w:eastAsia="Times New Roman" w:hAnsi="Times New Roman"/>
                <w:sz w:val="15"/>
                <w:szCs w:val="15"/>
                <w:color w:val="231F20"/>
              </w:rPr>
              <w:t>3.56%</w:t>
            </w:r>
          </w:p>
        </w:tc>
        <w:tc>
          <w:tcPr>
            <w:tcW w:w="900" w:type="dxa"/>
            <w:vAlign w:val="bottom"/>
            <w:shd w:val="clear" w:color="auto" w:fill="D0EBF2"/>
          </w:tcPr>
          <w:p>
            <w:pPr>
              <w:spacing w:after="0"/>
              <w:rPr>
                <w:sz w:val="16"/>
                <w:szCs w:val="16"/>
                <w:color w:val="auto"/>
              </w:rPr>
            </w:pPr>
          </w:p>
        </w:tc>
        <w:tc>
          <w:tcPr>
            <w:tcW w:w="1000" w:type="dxa"/>
            <w:vAlign w:val="bottom"/>
            <w:shd w:val="clear" w:color="auto" w:fill="D0EBF2"/>
          </w:tcPr>
          <w:p>
            <w:pPr>
              <w:spacing w:after="0"/>
              <w:rPr>
                <w:sz w:val="16"/>
                <w:szCs w:val="16"/>
                <w:color w:val="auto"/>
              </w:rPr>
            </w:pPr>
          </w:p>
        </w:tc>
        <w:tc>
          <w:tcPr>
            <w:tcW w:w="180" w:type="dxa"/>
            <w:vAlign w:val="bottom"/>
            <w:shd w:val="clear" w:color="auto" w:fill="D0EBF2"/>
          </w:tcPr>
          <w:p>
            <w:pPr>
              <w:spacing w:after="0"/>
              <w:rPr>
                <w:sz w:val="16"/>
                <w:szCs w:val="16"/>
                <w:color w:val="auto"/>
              </w:rPr>
            </w:pPr>
          </w:p>
        </w:tc>
        <w:tc>
          <w:tcPr>
            <w:tcW w:w="960" w:type="dxa"/>
            <w:vAlign w:val="bottom"/>
            <w:shd w:val="clear" w:color="auto" w:fill="D0EBF2"/>
          </w:tcPr>
          <w:p>
            <w:pPr>
              <w:spacing w:after="0"/>
              <w:rPr>
                <w:sz w:val="16"/>
                <w:szCs w:val="16"/>
                <w:color w:val="auto"/>
              </w:rPr>
            </w:pPr>
          </w:p>
        </w:tc>
        <w:tc>
          <w:tcPr>
            <w:tcW w:w="200" w:type="dxa"/>
            <w:vAlign w:val="bottom"/>
            <w:shd w:val="clear" w:color="auto" w:fill="D0EBF2"/>
          </w:tcPr>
          <w:p>
            <w:pPr>
              <w:spacing w:after="0"/>
              <w:rPr>
                <w:sz w:val="16"/>
                <w:szCs w:val="16"/>
                <w:color w:val="auto"/>
              </w:rPr>
            </w:pPr>
          </w:p>
        </w:tc>
        <w:tc>
          <w:tcPr>
            <w:tcW w:w="900" w:type="dxa"/>
            <w:vAlign w:val="bottom"/>
            <w:shd w:val="clear" w:color="auto" w:fill="D0EBF2"/>
          </w:tcPr>
          <w:p>
            <w:pPr>
              <w:spacing w:after="0"/>
              <w:rPr>
                <w:sz w:val="16"/>
                <w:szCs w:val="16"/>
                <w:color w:val="auto"/>
              </w:rPr>
            </w:pPr>
          </w:p>
        </w:tc>
        <w:tc>
          <w:tcPr>
            <w:tcW w:w="240" w:type="dxa"/>
            <w:vAlign w:val="bottom"/>
            <w:shd w:val="clear" w:color="auto" w:fill="D0EBF2"/>
          </w:tcPr>
          <w:p>
            <w:pPr>
              <w:spacing w:after="0"/>
              <w:rPr>
                <w:sz w:val="16"/>
                <w:szCs w:val="16"/>
                <w:color w:val="auto"/>
              </w:rPr>
            </w:pPr>
          </w:p>
        </w:tc>
        <w:tc>
          <w:tcPr>
            <w:tcW w:w="0" w:type="dxa"/>
            <w:vAlign w:val="bottom"/>
          </w:tcPr>
          <w:p>
            <w:pPr>
              <w:spacing w:after="0"/>
              <w:rPr>
                <w:sz w:val="1"/>
                <w:szCs w:val="1"/>
                <w:color w:val="auto"/>
              </w:rPr>
            </w:pPr>
          </w:p>
        </w:tc>
      </w:tr>
      <w:tr>
        <w:trPr>
          <w:trHeight w:val="158"/>
        </w:trPr>
        <w:tc>
          <w:tcPr>
            <w:tcW w:w="1460" w:type="dxa"/>
            <w:vAlign w:val="bottom"/>
            <w:shd w:val="clear" w:color="auto" w:fill="FDFDFC"/>
          </w:tcPr>
          <w:p>
            <w:pPr>
              <w:spacing w:after="0" w:line="159" w:lineRule="exact"/>
              <w:rPr>
                <w:sz w:val="20"/>
                <w:szCs w:val="20"/>
                <w:color w:val="auto"/>
              </w:rPr>
            </w:pPr>
            <w:r>
              <w:rPr>
                <w:rFonts w:ascii="Times New Roman" w:cs="Times New Roman" w:eastAsia="Times New Roman" w:hAnsi="Times New Roman"/>
                <w:sz w:val="15"/>
                <w:szCs w:val="15"/>
                <w:color w:val="231F20"/>
              </w:rPr>
              <w:t>Benefit Street Partners</w:t>
            </w:r>
          </w:p>
        </w:tc>
        <w:tc>
          <w:tcPr>
            <w:tcW w:w="2420" w:type="dxa"/>
            <w:vAlign w:val="bottom"/>
            <w:shd w:val="clear" w:color="auto" w:fill="FDFDFC"/>
          </w:tcPr>
          <w:p>
            <w:pPr>
              <w:ind w:left="60"/>
              <w:spacing w:after="0" w:line="159" w:lineRule="exact"/>
              <w:rPr>
                <w:sz w:val="20"/>
                <w:szCs w:val="20"/>
                <w:color w:val="auto"/>
              </w:rPr>
            </w:pPr>
            <w:r>
              <w:rPr>
                <w:rFonts w:ascii="Times New Roman" w:cs="Times New Roman" w:eastAsia="Times New Roman" w:hAnsi="Times New Roman"/>
                <w:sz w:val="15"/>
                <w:szCs w:val="15"/>
                <w:color w:val="231F20"/>
              </w:rPr>
              <w:t>Structured Credit ($2,500 par, due</w:t>
            </w:r>
          </w:p>
        </w:tc>
        <w:tc>
          <w:tcPr>
            <w:tcW w:w="820" w:type="dxa"/>
            <w:vAlign w:val="bottom"/>
            <w:shd w:val="clear" w:color="auto" w:fill="FDFDFC"/>
          </w:tcPr>
          <w:p>
            <w:pPr>
              <w:jc w:val="right"/>
              <w:spacing w:after="0" w:line="159" w:lineRule="exact"/>
              <w:rPr>
                <w:sz w:val="20"/>
                <w:szCs w:val="20"/>
                <w:color w:val="auto"/>
              </w:rPr>
            </w:pPr>
            <w:r>
              <w:rPr>
                <w:rFonts w:ascii="Times New Roman" w:cs="Times New Roman" w:eastAsia="Times New Roman" w:hAnsi="Times New Roman"/>
                <w:sz w:val="15"/>
                <w:szCs w:val="15"/>
                <w:color w:val="231F20"/>
              </w:rPr>
              <w:t>7/13/2022</w:t>
            </w:r>
          </w:p>
        </w:tc>
        <w:tc>
          <w:tcPr>
            <w:tcW w:w="1200" w:type="dxa"/>
            <w:vAlign w:val="bottom"/>
            <w:shd w:val="clear" w:color="auto" w:fill="FDFDFC"/>
          </w:tcPr>
          <w:p>
            <w:pPr>
              <w:jc w:val="right"/>
              <w:ind w:right="244"/>
              <w:spacing w:after="0" w:line="159" w:lineRule="exact"/>
              <w:rPr>
                <w:sz w:val="20"/>
                <w:szCs w:val="20"/>
                <w:color w:val="auto"/>
              </w:rPr>
            </w:pPr>
            <w:r>
              <w:rPr>
                <w:rFonts w:ascii="Times New Roman" w:cs="Times New Roman" w:eastAsia="Times New Roman" w:hAnsi="Times New Roman"/>
                <w:sz w:val="15"/>
                <w:szCs w:val="15"/>
                <w:color w:val="231F20"/>
              </w:rPr>
              <w:t>SOFR +</w:t>
            </w:r>
          </w:p>
        </w:tc>
        <w:tc>
          <w:tcPr>
            <w:tcW w:w="900" w:type="dxa"/>
            <w:vAlign w:val="bottom"/>
            <w:shd w:val="clear" w:color="auto" w:fill="FDFDFC"/>
          </w:tcPr>
          <w:p>
            <w:pPr>
              <w:jc w:val="right"/>
              <w:ind w:right="24"/>
              <w:spacing w:after="0" w:line="159" w:lineRule="exact"/>
              <w:rPr>
                <w:sz w:val="20"/>
                <w:szCs w:val="20"/>
                <w:color w:val="auto"/>
              </w:rPr>
            </w:pPr>
            <w:r>
              <w:rPr>
                <w:rFonts w:ascii="Times New Roman" w:cs="Times New Roman" w:eastAsia="Times New Roman" w:hAnsi="Times New Roman"/>
                <w:sz w:val="15"/>
                <w:szCs w:val="15"/>
                <w:color w:val="231F20"/>
              </w:rPr>
              <w:t>9.53%</w:t>
            </w:r>
          </w:p>
        </w:tc>
        <w:tc>
          <w:tcPr>
            <w:tcW w:w="1000" w:type="dxa"/>
            <w:vAlign w:val="bottom"/>
            <w:shd w:val="clear" w:color="auto" w:fill="FDFDFC"/>
          </w:tcPr>
          <w:p>
            <w:pPr>
              <w:jc w:val="right"/>
              <w:spacing w:after="0" w:line="159" w:lineRule="exact"/>
              <w:rPr>
                <w:sz w:val="20"/>
                <w:szCs w:val="20"/>
                <w:color w:val="auto"/>
              </w:rPr>
            </w:pPr>
            <w:r>
              <w:rPr>
                <w:rFonts w:ascii="Times New Roman" w:cs="Times New Roman" w:eastAsia="Times New Roman" w:hAnsi="Times New Roman"/>
                <w:sz w:val="15"/>
                <w:szCs w:val="15"/>
                <w:color w:val="231F20"/>
              </w:rPr>
              <w:t>2,194</w:t>
            </w:r>
          </w:p>
        </w:tc>
        <w:tc>
          <w:tcPr>
            <w:tcW w:w="1140" w:type="dxa"/>
            <w:vAlign w:val="bottom"/>
            <w:gridSpan w:val="2"/>
            <w:shd w:val="clear" w:color="auto" w:fill="FDFDFC"/>
          </w:tcPr>
          <w:p>
            <w:pPr>
              <w:jc w:val="right"/>
              <w:spacing w:after="0" w:line="159" w:lineRule="exact"/>
              <w:rPr>
                <w:sz w:val="20"/>
                <w:szCs w:val="20"/>
                <w:color w:val="auto"/>
              </w:rPr>
            </w:pPr>
            <w:r>
              <w:rPr>
                <w:rFonts w:ascii="Times New Roman" w:cs="Times New Roman" w:eastAsia="Times New Roman" w:hAnsi="Times New Roman"/>
                <w:sz w:val="15"/>
                <w:szCs w:val="15"/>
                <w:color w:val="231F20"/>
              </w:rPr>
              <w:t>2,465</w:t>
            </w:r>
          </w:p>
        </w:tc>
        <w:tc>
          <w:tcPr>
            <w:tcW w:w="1340" w:type="dxa"/>
            <w:vAlign w:val="bottom"/>
            <w:gridSpan w:val="3"/>
            <w:shd w:val="clear" w:color="auto" w:fill="FDFDFC"/>
          </w:tcPr>
          <w:p>
            <w:pPr>
              <w:jc w:val="right"/>
              <w:ind w:right="120"/>
              <w:spacing w:after="0" w:line="159" w:lineRule="exact"/>
              <w:rPr>
                <w:sz w:val="20"/>
                <w:szCs w:val="20"/>
                <w:color w:val="auto"/>
              </w:rPr>
            </w:pPr>
            <w:r>
              <w:rPr>
                <w:rFonts w:ascii="Times New Roman" w:cs="Times New Roman" w:eastAsia="Times New Roman" w:hAnsi="Times New Roman"/>
                <w:sz w:val="15"/>
                <w:szCs w:val="15"/>
                <w:color w:val="231F20"/>
              </w:rPr>
              <w:t>0.2%</w:t>
            </w:r>
          </w:p>
        </w:tc>
        <w:tc>
          <w:tcPr>
            <w:tcW w:w="0" w:type="dxa"/>
            <w:vAlign w:val="bottom"/>
          </w:tcPr>
          <w:p>
            <w:pPr>
              <w:spacing w:after="0"/>
              <w:rPr>
                <w:sz w:val="1"/>
                <w:szCs w:val="1"/>
                <w:color w:val="auto"/>
              </w:rPr>
            </w:pPr>
          </w:p>
        </w:tc>
      </w:tr>
      <w:tr>
        <w:trPr>
          <w:trHeight w:val="174"/>
        </w:trPr>
        <w:tc>
          <w:tcPr>
            <w:tcW w:w="1460" w:type="dxa"/>
            <w:vAlign w:val="bottom"/>
            <w:shd w:val="clear" w:color="auto" w:fill="FDFDFC"/>
          </w:tcPr>
          <w:p>
            <w:pPr>
              <w:spacing w:after="0"/>
              <w:rPr>
                <w:sz w:val="20"/>
                <w:szCs w:val="20"/>
                <w:color w:val="auto"/>
              </w:rPr>
            </w:pPr>
            <w:r>
              <w:rPr>
                <w:rFonts w:ascii="Times New Roman" w:cs="Times New Roman" w:eastAsia="Times New Roman" w:hAnsi="Times New Roman"/>
                <w:sz w:val="15"/>
                <w:szCs w:val="15"/>
                <w:color w:val="231F20"/>
              </w:rPr>
              <w:t>CLO Ltd, Series 2015-</w:t>
            </w:r>
          </w:p>
        </w:tc>
        <w:tc>
          <w:tcPr>
            <w:tcW w:w="2420" w:type="dxa"/>
            <w:vAlign w:val="bottom"/>
            <w:shd w:val="clear" w:color="auto" w:fill="FDFDFC"/>
          </w:tcPr>
          <w:p>
            <w:pPr>
              <w:ind w:left="60"/>
              <w:spacing w:after="0"/>
              <w:rPr>
                <w:sz w:val="20"/>
                <w:szCs w:val="20"/>
                <w:color w:val="auto"/>
              </w:rPr>
            </w:pPr>
            <w:r>
              <w:rPr>
                <w:rFonts w:ascii="Times New Roman" w:cs="Times New Roman" w:eastAsia="Times New Roman" w:hAnsi="Times New Roman"/>
                <w:sz w:val="15"/>
                <w:szCs w:val="15"/>
                <w:color w:val="231F20"/>
              </w:rPr>
              <w:t>7/2034)</w:t>
            </w:r>
          </w:p>
        </w:tc>
        <w:tc>
          <w:tcPr>
            <w:tcW w:w="820" w:type="dxa"/>
            <w:vAlign w:val="bottom"/>
            <w:shd w:val="clear" w:color="auto" w:fill="FDFDFC"/>
          </w:tcPr>
          <w:p>
            <w:pPr>
              <w:spacing w:after="0"/>
              <w:rPr>
                <w:sz w:val="15"/>
                <w:szCs w:val="15"/>
                <w:color w:val="auto"/>
              </w:rPr>
            </w:pPr>
          </w:p>
        </w:tc>
        <w:tc>
          <w:tcPr>
            <w:tcW w:w="1200" w:type="dxa"/>
            <w:vAlign w:val="bottom"/>
            <w:shd w:val="clear" w:color="auto" w:fill="FDFDFC"/>
          </w:tcPr>
          <w:p>
            <w:pPr>
              <w:jc w:val="right"/>
              <w:ind w:right="244"/>
              <w:spacing w:after="0"/>
              <w:rPr>
                <w:sz w:val="20"/>
                <w:szCs w:val="20"/>
                <w:color w:val="auto"/>
              </w:rPr>
            </w:pPr>
            <w:r>
              <w:rPr>
                <w:rFonts w:ascii="Times New Roman" w:cs="Times New Roman" w:eastAsia="Times New Roman" w:hAnsi="Times New Roman"/>
                <w:sz w:val="15"/>
                <w:szCs w:val="15"/>
                <w:color w:val="231F20"/>
              </w:rPr>
              <w:t>4.11%</w:t>
            </w:r>
          </w:p>
        </w:tc>
        <w:tc>
          <w:tcPr>
            <w:tcW w:w="900" w:type="dxa"/>
            <w:vAlign w:val="bottom"/>
            <w:shd w:val="clear" w:color="auto" w:fill="FDFDFC"/>
          </w:tcPr>
          <w:p>
            <w:pPr>
              <w:spacing w:after="0"/>
              <w:rPr>
                <w:sz w:val="15"/>
                <w:szCs w:val="15"/>
                <w:color w:val="auto"/>
              </w:rPr>
            </w:pPr>
          </w:p>
        </w:tc>
        <w:tc>
          <w:tcPr>
            <w:tcW w:w="1000" w:type="dxa"/>
            <w:vAlign w:val="bottom"/>
            <w:shd w:val="clear" w:color="auto" w:fill="FDFDFC"/>
          </w:tcPr>
          <w:p>
            <w:pPr>
              <w:spacing w:after="0"/>
              <w:rPr>
                <w:sz w:val="15"/>
                <w:szCs w:val="15"/>
                <w:color w:val="auto"/>
              </w:rPr>
            </w:pPr>
          </w:p>
        </w:tc>
        <w:tc>
          <w:tcPr>
            <w:tcW w:w="180" w:type="dxa"/>
            <w:vAlign w:val="bottom"/>
            <w:shd w:val="clear" w:color="auto" w:fill="FDFDFC"/>
          </w:tcPr>
          <w:p>
            <w:pPr>
              <w:spacing w:after="0"/>
              <w:rPr>
                <w:sz w:val="15"/>
                <w:szCs w:val="15"/>
                <w:color w:val="auto"/>
              </w:rPr>
            </w:pPr>
          </w:p>
        </w:tc>
        <w:tc>
          <w:tcPr>
            <w:tcW w:w="960" w:type="dxa"/>
            <w:vAlign w:val="bottom"/>
            <w:shd w:val="clear" w:color="auto" w:fill="FDFDFC"/>
          </w:tcPr>
          <w:p>
            <w:pPr>
              <w:spacing w:after="0"/>
              <w:rPr>
                <w:sz w:val="15"/>
                <w:szCs w:val="15"/>
                <w:color w:val="auto"/>
              </w:rPr>
            </w:pPr>
          </w:p>
        </w:tc>
        <w:tc>
          <w:tcPr>
            <w:tcW w:w="200" w:type="dxa"/>
            <w:vAlign w:val="bottom"/>
            <w:shd w:val="clear" w:color="auto" w:fill="FDFDFC"/>
          </w:tcPr>
          <w:p>
            <w:pPr>
              <w:spacing w:after="0"/>
              <w:rPr>
                <w:sz w:val="15"/>
                <w:szCs w:val="15"/>
                <w:color w:val="auto"/>
              </w:rPr>
            </w:pPr>
          </w:p>
        </w:tc>
        <w:tc>
          <w:tcPr>
            <w:tcW w:w="900" w:type="dxa"/>
            <w:vAlign w:val="bottom"/>
            <w:shd w:val="clear" w:color="auto" w:fill="FDFDFC"/>
          </w:tcPr>
          <w:p>
            <w:pPr>
              <w:spacing w:after="0"/>
              <w:rPr>
                <w:sz w:val="15"/>
                <w:szCs w:val="15"/>
                <w:color w:val="auto"/>
              </w:rPr>
            </w:pPr>
          </w:p>
        </w:tc>
        <w:tc>
          <w:tcPr>
            <w:tcW w:w="240" w:type="dxa"/>
            <w:vAlign w:val="bottom"/>
            <w:shd w:val="clear" w:color="auto" w:fill="FDFDFC"/>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1460" w:type="dxa"/>
            <w:vAlign w:val="bottom"/>
            <w:shd w:val="clear" w:color="auto" w:fill="FDFDFC"/>
          </w:tcPr>
          <w:p>
            <w:pPr>
              <w:spacing w:after="0" w:line="190" w:lineRule="exact"/>
              <w:rPr>
                <w:sz w:val="20"/>
                <w:szCs w:val="20"/>
                <w:color w:val="auto"/>
              </w:rPr>
            </w:pPr>
            <w:r>
              <w:rPr>
                <w:rFonts w:ascii="Times New Roman" w:cs="Times New Roman" w:eastAsia="Times New Roman" w:hAnsi="Times New Roman"/>
                <w:sz w:val="21"/>
                <w:szCs w:val="21"/>
                <w:color w:val="231F20"/>
                <w:vertAlign w:val="subscript"/>
              </w:rPr>
              <w:t>BR</w:t>
            </w:r>
            <w:r>
              <w:rPr>
                <w:rFonts w:ascii="Times New Roman" w:cs="Times New Roman" w:eastAsia="Times New Roman" w:hAnsi="Times New Roman"/>
                <w:sz w:val="8"/>
                <w:szCs w:val="8"/>
                <w:color w:val="231F20"/>
              </w:rPr>
              <w:t xml:space="preserve"> (3)(4)(9)</w:t>
            </w:r>
          </w:p>
        </w:tc>
        <w:tc>
          <w:tcPr>
            <w:tcW w:w="2420" w:type="dxa"/>
            <w:vAlign w:val="bottom"/>
            <w:shd w:val="clear" w:color="auto" w:fill="FDFDFC"/>
          </w:tcPr>
          <w:p>
            <w:pPr>
              <w:spacing w:after="0"/>
              <w:rPr>
                <w:sz w:val="16"/>
                <w:szCs w:val="16"/>
                <w:color w:val="auto"/>
              </w:rPr>
            </w:pPr>
          </w:p>
        </w:tc>
        <w:tc>
          <w:tcPr>
            <w:tcW w:w="820" w:type="dxa"/>
            <w:vAlign w:val="bottom"/>
            <w:shd w:val="clear" w:color="auto" w:fill="FDFDFC"/>
          </w:tcPr>
          <w:p>
            <w:pPr>
              <w:spacing w:after="0"/>
              <w:rPr>
                <w:sz w:val="16"/>
                <w:szCs w:val="16"/>
                <w:color w:val="auto"/>
              </w:rPr>
            </w:pPr>
          </w:p>
        </w:tc>
        <w:tc>
          <w:tcPr>
            <w:tcW w:w="1200" w:type="dxa"/>
            <w:vAlign w:val="bottom"/>
            <w:shd w:val="clear" w:color="auto" w:fill="FDFDFC"/>
          </w:tcPr>
          <w:p>
            <w:pPr>
              <w:spacing w:after="0"/>
              <w:rPr>
                <w:sz w:val="16"/>
                <w:szCs w:val="16"/>
                <w:color w:val="auto"/>
              </w:rPr>
            </w:pPr>
          </w:p>
        </w:tc>
        <w:tc>
          <w:tcPr>
            <w:tcW w:w="900" w:type="dxa"/>
            <w:vAlign w:val="bottom"/>
            <w:shd w:val="clear" w:color="auto" w:fill="FDFDFC"/>
          </w:tcPr>
          <w:p>
            <w:pPr>
              <w:spacing w:after="0"/>
              <w:rPr>
                <w:sz w:val="16"/>
                <w:szCs w:val="16"/>
                <w:color w:val="auto"/>
              </w:rPr>
            </w:pPr>
          </w:p>
        </w:tc>
        <w:tc>
          <w:tcPr>
            <w:tcW w:w="1000" w:type="dxa"/>
            <w:vAlign w:val="bottom"/>
            <w:shd w:val="clear" w:color="auto" w:fill="FDFDFC"/>
          </w:tcPr>
          <w:p>
            <w:pPr>
              <w:spacing w:after="0"/>
              <w:rPr>
                <w:sz w:val="16"/>
                <w:szCs w:val="16"/>
                <w:color w:val="auto"/>
              </w:rPr>
            </w:pPr>
          </w:p>
        </w:tc>
        <w:tc>
          <w:tcPr>
            <w:tcW w:w="180" w:type="dxa"/>
            <w:vAlign w:val="bottom"/>
            <w:shd w:val="clear" w:color="auto" w:fill="FDFDFC"/>
          </w:tcPr>
          <w:p>
            <w:pPr>
              <w:spacing w:after="0"/>
              <w:rPr>
                <w:sz w:val="16"/>
                <w:szCs w:val="16"/>
                <w:color w:val="auto"/>
              </w:rPr>
            </w:pPr>
          </w:p>
        </w:tc>
        <w:tc>
          <w:tcPr>
            <w:tcW w:w="960" w:type="dxa"/>
            <w:vAlign w:val="bottom"/>
            <w:shd w:val="clear" w:color="auto" w:fill="FDFDFC"/>
          </w:tcPr>
          <w:p>
            <w:pPr>
              <w:spacing w:after="0"/>
              <w:rPr>
                <w:sz w:val="16"/>
                <w:szCs w:val="16"/>
                <w:color w:val="auto"/>
              </w:rPr>
            </w:pPr>
          </w:p>
        </w:tc>
        <w:tc>
          <w:tcPr>
            <w:tcW w:w="200" w:type="dxa"/>
            <w:vAlign w:val="bottom"/>
            <w:shd w:val="clear" w:color="auto" w:fill="FDFDFC"/>
          </w:tcPr>
          <w:p>
            <w:pPr>
              <w:spacing w:after="0"/>
              <w:rPr>
                <w:sz w:val="16"/>
                <w:szCs w:val="16"/>
                <w:color w:val="auto"/>
              </w:rPr>
            </w:pPr>
          </w:p>
        </w:tc>
        <w:tc>
          <w:tcPr>
            <w:tcW w:w="900" w:type="dxa"/>
            <w:vAlign w:val="bottom"/>
            <w:shd w:val="clear" w:color="auto" w:fill="FDFDFC"/>
          </w:tcPr>
          <w:p>
            <w:pPr>
              <w:spacing w:after="0"/>
              <w:rPr>
                <w:sz w:val="16"/>
                <w:szCs w:val="16"/>
                <w:color w:val="auto"/>
              </w:rPr>
            </w:pPr>
          </w:p>
        </w:tc>
        <w:tc>
          <w:tcPr>
            <w:tcW w:w="240" w:type="dxa"/>
            <w:vAlign w:val="bottom"/>
            <w:shd w:val="clear" w:color="auto" w:fill="FDFDFC"/>
          </w:tcPr>
          <w:p>
            <w:pPr>
              <w:spacing w:after="0"/>
              <w:rPr>
                <w:sz w:val="16"/>
                <w:szCs w:val="16"/>
                <w:color w:val="auto"/>
              </w:rPr>
            </w:pPr>
          </w:p>
        </w:tc>
        <w:tc>
          <w:tcPr>
            <w:tcW w:w="0" w:type="dxa"/>
            <w:vAlign w:val="bottom"/>
          </w:tcPr>
          <w:p>
            <w:pPr>
              <w:spacing w:after="0"/>
              <w:rPr>
                <w:sz w:val="1"/>
                <w:szCs w:val="1"/>
                <w:color w:val="auto"/>
              </w:rPr>
            </w:pPr>
          </w:p>
        </w:tc>
      </w:tr>
      <w:tr>
        <w:trPr>
          <w:trHeight w:val="158"/>
        </w:trPr>
        <w:tc>
          <w:tcPr>
            <w:tcW w:w="1460" w:type="dxa"/>
            <w:vAlign w:val="bottom"/>
            <w:shd w:val="clear" w:color="auto" w:fill="D0EBF2"/>
          </w:tcPr>
          <w:p>
            <w:pPr>
              <w:spacing w:after="0" w:line="159" w:lineRule="exact"/>
              <w:rPr>
                <w:sz w:val="20"/>
                <w:szCs w:val="20"/>
                <w:color w:val="auto"/>
              </w:rPr>
            </w:pPr>
            <w:r>
              <w:rPr>
                <w:rFonts w:ascii="Times New Roman" w:cs="Times New Roman" w:eastAsia="Times New Roman" w:hAnsi="Times New Roman"/>
                <w:sz w:val="15"/>
                <w:szCs w:val="15"/>
                <w:color w:val="231F20"/>
              </w:rPr>
              <w:t>Benefit Street Partners</w:t>
            </w:r>
          </w:p>
        </w:tc>
        <w:tc>
          <w:tcPr>
            <w:tcW w:w="2420" w:type="dxa"/>
            <w:vAlign w:val="bottom"/>
            <w:shd w:val="clear" w:color="auto" w:fill="D0EBF2"/>
          </w:tcPr>
          <w:p>
            <w:pPr>
              <w:ind w:left="60"/>
              <w:spacing w:after="0" w:line="159" w:lineRule="exact"/>
              <w:rPr>
                <w:sz w:val="20"/>
                <w:szCs w:val="20"/>
                <w:color w:val="auto"/>
              </w:rPr>
            </w:pPr>
            <w:r>
              <w:rPr>
                <w:rFonts w:ascii="Times New Roman" w:cs="Times New Roman" w:eastAsia="Times New Roman" w:hAnsi="Times New Roman"/>
                <w:sz w:val="15"/>
                <w:szCs w:val="15"/>
                <w:color w:val="231F20"/>
              </w:rPr>
              <w:t>Structured Credit ($1,425 par, due</w:t>
            </w:r>
          </w:p>
        </w:tc>
        <w:tc>
          <w:tcPr>
            <w:tcW w:w="820" w:type="dxa"/>
            <w:vAlign w:val="bottom"/>
            <w:shd w:val="clear" w:color="auto" w:fill="D0EBF2"/>
          </w:tcPr>
          <w:p>
            <w:pPr>
              <w:jc w:val="right"/>
              <w:spacing w:after="0" w:line="159" w:lineRule="exact"/>
              <w:rPr>
                <w:sz w:val="20"/>
                <w:szCs w:val="20"/>
                <w:color w:val="auto"/>
              </w:rPr>
            </w:pPr>
            <w:r>
              <w:rPr>
                <w:rFonts w:ascii="Times New Roman" w:cs="Times New Roman" w:eastAsia="Times New Roman" w:hAnsi="Times New Roman"/>
                <w:sz w:val="15"/>
                <w:szCs w:val="15"/>
                <w:color w:val="231F20"/>
              </w:rPr>
              <w:t>9/13/2022</w:t>
            </w:r>
          </w:p>
        </w:tc>
        <w:tc>
          <w:tcPr>
            <w:tcW w:w="1200" w:type="dxa"/>
            <w:vAlign w:val="bottom"/>
            <w:shd w:val="clear" w:color="auto" w:fill="D0EBF2"/>
          </w:tcPr>
          <w:p>
            <w:pPr>
              <w:jc w:val="right"/>
              <w:ind w:right="244"/>
              <w:spacing w:after="0" w:line="159" w:lineRule="exact"/>
              <w:rPr>
                <w:sz w:val="20"/>
                <w:szCs w:val="20"/>
                <w:color w:val="auto"/>
              </w:rPr>
            </w:pPr>
            <w:r>
              <w:rPr>
                <w:rFonts w:ascii="Times New Roman" w:cs="Times New Roman" w:eastAsia="Times New Roman" w:hAnsi="Times New Roman"/>
                <w:sz w:val="15"/>
                <w:szCs w:val="15"/>
                <w:color w:val="231F20"/>
              </w:rPr>
              <w:t>SOFR +</w:t>
            </w:r>
          </w:p>
        </w:tc>
        <w:tc>
          <w:tcPr>
            <w:tcW w:w="900" w:type="dxa"/>
            <w:vAlign w:val="bottom"/>
            <w:shd w:val="clear" w:color="auto" w:fill="D0EBF2"/>
          </w:tcPr>
          <w:p>
            <w:pPr>
              <w:jc w:val="right"/>
              <w:ind w:right="24"/>
              <w:spacing w:after="0" w:line="159" w:lineRule="exact"/>
              <w:rPr>
                <w:sz w:val="20"/>
                <w:szCs w:val="20"/>
                <w:color w:val="auto"/>
              </w:rPr>
            </w:pPr>
            <w:r>
              <w:rPr>
                <w:rFonts w:ascii="Times New Roman" w:cs="Times New Roman" w:eastAsia="Times New Roman" w:hAnsi="Times New Roman"/>
                <w:sz w:val="15"/>
                <w:szCs w:val="15"/>
                <w:color w:val="231F20"/>
              </w:rPr>
              <w:t>8.43%</w:t>
            </w:r>
          </w:p>
        </w:tc>
        <w:tc>
          <w:tcPr>
            <w:tcW w:w="1000" w:type="dxa"/>
            <w:vAlign w:val="bottom"/>
            <w:shd w:val="clear" w:color="auto" w:fill="D0EBF2"/>
          </w:tcPr>
          <w:p>
            <w:pPr>
              <w:jc w:val="right"/>
              <w:spacing w:after="0" w:line="159" w:lineRule="exact"/>
              <w:rPr>
                <w:sz w:val="20"/>
                <w:szCs w:val="20"/>
                <w:color w:val="auto"/>
              </w:rPr>
            </w:pPr>
            <w:r>
              <w:rPr>
                <w:rFonts w:ascii="Times New Roman" w:cs="Times New Roman" w:eastAsia="Times New Roman" w:hAnsi="Times New Roman"/>
                <w:sz w:val="15"/>
                <w:szCs w:val="15"/>
                <w:color w:val="231F20"/>
              </w:rPr>
              <w:t>1,289</w:t>
            </w:r>
          </w:p>
        </w:tc>
        <w:tc>
          <w:tcPr>
            <w:tcW w:w="1140" w:type="dxa"/>
            <w:vAlign w:val="bottom"/>
            <w:gridSpan w:val="2"/>
            <w:shd w:val="clear" w:color="auto" w:fill="D0EBF2"/>
          </w:tcPr>
          <w:p>
            <w:pPr>
              <w:jc w:val="right"/>
              <w:spacing w:after="0" w:line="159" w:lineRule="exact"/>
              <w:rPr>
                <w:sz w:val="20"/>
                <w:szCs w:val="20"/>
                <w:color w:val="auto"/>
              </w:rPr>
            </w:pPr>
            <w:r>
              <w:rPr>
                <w:rFonts w:ascii="Times New Roman" w:cs="Times New Roman" w:eastAsia="Times New Roman" w:hAnsi="Times New Roman"/>
                <w:sz w:val="15"/>
                <w:szCs w:val="15"/>
                <w:color w:val="231F20"/>
              </w:rPr>
              <w:t>1,367</w:t>
            </w:r>
          </w:p>
        </w:tc>
        <w:tc>
          <w:tcPr>
            <w:tcW w:w="1340" w:type="dxa"/>
            <w:vAlign w:val="bottom"/>
            <w:gridSpan w:val="3"/>
            <w:shd w:val="clear" w:color="auto" w:fill="D0EBF2"/>
          </w:tcPr>
          <w:p>
            <w:pPr>
              <w:jc w:val="right"/>
              <w:ind w:right="120"/>
              <w:spacing w:after="0" w:line="159" w:lineRule="exact"/>
              <w:rPr>
                <w:sz w:val="20"/>
                <w:szCs w:val="20"/>
                <w:color w:val="auto"/>
              </w:rPr>
            </w:pPr>
            <w:r>
              <w:rPr>
                <w:rFonts w:ascii="Times New Roman" w:cs="Times New Roman" w:eastAsia="Times New Roman" w:hAnsi="Times New Roman"/>
                <w:sz w:val="15"/>
                <w:szCs w:val="15"/>
                <w:color w:val="231F20"/>
              </w:rPr>
              <w:t>0.1%</w:t>
            </w:r>
          </w:p>
        </w:tc>
        <w:tc>
          <w:tcPr>
            <w:tcW w:w="0" w:type="dxa"/>
            <w:vAlign w:val="bottom"/>
          </w:tcPr>
          <w:p>
            <w:pPr>
              <w:spacing w:after="0"/>
              <w:rPr>
                <w:sz w:val="1"/>
                <w:szCs w:val="1"/>
                <w:color w:val="auto"/>
              </w:rPr>
            </w:pPr>
          </w:p>
        </w:tc>
      </w:tr>
      <w:tr>
        <w:trPr>
          <w:trHeight w:val="174"/>
        </w:trPr>
        <w:tc>
          <w:tcPr>
            <w:tcW w:w="1460" w:type="dxa"/>
            <w:vAlign w:val="bottom"/>
            <w:shd w:val="clear" w:color="auto" w:fill="D0EBF2"/>
          </w:tcPr>
          <w:p>
            <w:pPr>
              <w:spacing w:after="0"/>
              <w:rPr>
                <w:sz w:val="20"/>
                <w:szCs w:val="20"/>
                <w:color w:val="auto"/>
              </w:rPr>
            </w:pPr>
            <w:r>
              <w:rPr>
                <w:rFonts w:ascii="Times New Roman" w:cs="Times New Roman" w:eastAsia="Times New Roman" w:hAnsi="Times New Roman"/>
                <w:sz w:val="15"/>
                <w:szCs w:val="15"/>
                <w:color w:val="231F20"/>
              </w:rPr>
              <w:t>CLO Ltd, Series 2015-</w:t>
            </w:r>
          </w:p>
        </w:tc>
        <w:tc>
          <w:tcPr>
            <w:tcW w:w="2420" w:type="dxa"/>
            <w:vAlign w:val="bottom"/>
            <w:shd w:val="clear" w:color="auto" w:fill="D0EBF2"/>
          </w:tcPr>
          <w:p>
            <w:pPr>
              <w:ind w:left="60"/>
              <w:spacing w:after="0"/>
              <w:rPr>
                <w:sz w:val="20"/>
                <w:szCs w:val="20"/>
                <w:color w:val="auto"/>
              </w:rPr>
            </w:pPr>
            <w:r>
              <w:rPr>
                <w:rFonts w:ascii="Times New Roman" w:cs="Times New Roman" w:eastAsia="Times New Roman" w:hAnsi="Times New Roman"/>
                <w:sz w:val="15"/>
                <w:szCs w:val="15"/>
                <w:color w:val="231F20"/>
              </w:rPr>
              <w:t>1/2031)</w:t>
            </w:r>
          </w:p>
        </w:tc>
        <w:tc>
          <w:tcPr>
            <w:tcW w:w="820" w:type="dxa"/>
            <w:vAlign w:val="bottom"/>
            <w:shd w:val="clear" w:color="auto" w:fill="D0EBF2"/>
          </w:tcPr>
          <w:p>
            <w:pPr>
              <w:spacing w:after="0"/>
              <w:rPr>
                <w:sz w:val="15"/>
                <w:szCs w:val="15"/>
                <w:color w:val="auto"/>
              </w:rPr>
            </w:pPr>
          </w:p>
        </w:tc>
        <w:tc>
          <w:tcPr>
            <w:tcW w:w="1200" w:type="dxa"/>
            <w:vAlign w:val="bottom"/>
            <w:shd w:val="clear" w:color="auto" w:fill="D0EBF2"/>
          </w:tcPr>
          <w:p>
            <w:pPr>
              <w:jc w:val="right"/>
              <w:ind w:right="244"/>
              <w:spacing w:after="0"/>
              <w:rPr>
                <w:sz w:val="20"/>
                <w:szCs w:val="20"/>
                <w:color w:val="auto"/>
              </w:rPr>
            </w:pPr>
            <w:r>
              <w:rPr>
                <w:rFonts w:ascii="Times New Roman" w:cs="Times New Roman" w:eastAsia="Times New Roman" w:hAnsi="Times New Roman"/>
                <w:sz w:val="15"/>
                <w:szCs w:val="15"/>
                <w:color w:val="231F20"/>
              </w:rPr>
              <w:t>3.01%</w:t>
            </w:r>
          </w:p>
        </w:tc>
        <w:tc>
          <w:tcPr>
            <w:tcW w:w="900" w:type="dxa"/>
            <w:vAlign w:val="bottom"/>
            <w:shd w:val="clear" w:color="auto" w:fill="D0EBF2"/>
          </w:tcPr>
          <w:p>
            <w:pPr>
              <w:spacing w:after="0"/>
              <w:rPr>
                <w:sz w:val="15"/>
                <w:szCs w:val="15"/>
                <w:color w:val="auto"/>
              </w:rPr>
            </w:pPr>
          </w:p>
        </w:tc>
        <w:tc>
          <w:tcPr>
            <w:tcW w:w="1000" w:type="dxa"/>
            <w:vAlign w:val="bottom"/>
            <w:shd w:val="clear" w:color="auto" w:fill="D0EBF2"/>
          </w:tcPr>
          <w:p>
            <w:pPr>
              <w:spacing w:after="0"/>
              <w:rPr>
                <w:sz w:val="15"/>
                <w:szCs w:val="15"/>
                <w:color w:val="auto"/>
              </w:rPr>
            </w:pPr>
          </w:p>
        </w:tc>
        <w:tc>
          <w:tcPr>
            <w:tcW w:w="180" w:type="dxa"/>
            <w:vAlign w:val="bottom"/>
            <w:shd w:val="clear" w:color="auto" w:fill="D0EBF2"/>
          </w:tcPr>
          <w:p>
            <w:pPr>
              <w:spacing w:after="0"/>
              <w:rPr>
                <w:sz w:val="15"/>
                <w:szCs w:val="15"/>
                <w:color w:val="auto"/>
              </w:rPr>
            </w:pPr>
          </w:p>
        </w:tc>
        <w:tc>
          <w:tcPr>
            <w:tcW w:w="960" w:type="dxa"/>
            <w:vAlign w:val="bottom"/>
            <w:shd w:val="clear" w:color="auto" w:fill="D0EBF2"/>
          </w:tcPr>
          <w:p>
            <w:pPr>
              <w:spacing w:after="0"/>
              <w:rPr>
                <w:sz w:val="15"/>
                <w:szCs w:val="15"/>
                <w:color w:val="auto"/>
              </w:rPr>
            </w:pPr>
          </w:p>
        </w:tc>
        <w:tc>
          <w:tcPr>
            <w:tcW w:w="200" w:type="dxa"/>
            <w:vAlign w:val="bottom"/>
            <w:shd w:val="clear" w:color="auto" w:fill="D0EBF2"/>
          </w:tcPr>
          <w:p>
            <w:pPr>
              <w:spacing w:after="0"/>
              <w:rPr>
                <w:sz w:val="15"/>
                <w:szCs w:val="15"/>
                <w:color w:val="auto"/>
              </w:rPr>
            </w:pPr>
          </w:p>
        </w:tc>
        <w:tc>
          <w:tcPr>
            <w:tcW w:w="900" w:type="dxa"/>
            <w:vAlign w:val="bottom"/>
            <w:shd w:val="clear" w:color="auto" w:fill="D0EBF2"/>
          </w:tcPr>
          <w:p>
            <w:pPr>
              <w:spacing w:after="0"/>
              <w:rPr>
                <w:sz w:val="15"/>
                <w:szCs w:val="15"/>
                <w:color w:val="auto"/>
              </w:rPr>
            </w:pPr>
          </w:p>
        </w:tc>
        <w:tc>
          <w:tcPr>
            <w:tcW w:w="240" w:type="dxa"/>
            <w:vAlign w:val="bottom"/>
            <w:shd w:val="clear" w:color="auto" w:fill="D0EBF2"/>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1460" w:type="dxa"/>
            <w:vAlign w:val="bottom"/>
            <w:shd w:val="clear" w:color="auto" w:fill="D0EBF2"/>
          </w:tcPr>
          <w:p>
            <w:pPr>
              <w:spacing w:after="0" w:line="190" w:lineRule="exact"/>
              <w:rPr>
                <w:sz w:val="20"/>
                <w:szCs w:val="20"/>
                <w:color w:val="auto"/>
              </w:rPr>
            </w:pPr>
            <w:r>
              <w:rPr>
                <w:rFonts w:ascii="Times New Roman" w:cs="Times New Roman" w:eastAsia="Times New Roman" w:hAnsi="Times New Roman"/>
                <w:sz w:val="21"/>
                <w:szCs w:val="21"/>
                <w:color w:val="231F20"/>
                <w:vertAlign w:val="subscript"/>
              </w:rPr>
              <w:t>8A</w:t>
            </w:r>
            <w:r>
              <w:rPr>
                <w:rFonts w:ascii="Times New Roman" w:cs="Times New Roman" w:eastAsia="Times New Roman" w:hAnsi="Times New Roman"/>
                <w:sz w:val="8"/>
                <w:szCs w:val="8"/>
                <w:color w:val="231F20"/>
              </w:rPr>
              <w:t xml:space="preserve"> (3)(4)(9)</w:t>
            </w:r>
          </w:p>
        </w:tc>
        <w:tc>
          <w:tcPr>
            <w:tcW w:w="2420" w:type="dxa"/>
            <w:vAlign w:val="bottom"/>
            <w:shd w:val="clear" w:color="auto" w:fill="D0EBF2"/>
          </w:tcPr>
          <w:p>
            <w:pPr>
              <w:spacing w:after="0"/>
              <w:rPr>
                <w:sz w:val="16"/>
                <w:szCs w:val="16"/>
                <w:color w:val="auto"/>
              </w:rPr>
            </w:pPr>
          </w:p>
        </w:tc>
        <w:tc>
          <w:tcPr>
            <w:tcW w:w="820" w:type="dxa"/>
            <w:vAlign w:val="bottom"/>
            <w:shd w:val="clear" w:color="auto" w:fill="D0EBF2"/>
          </w:tcPr>
          <w:p>
            <w:pPr>
              <w:spacing w:after="0"/>
              <w:rPr>
                <w:sz w:val="16"/>
                <w:szCs w:val="16"/>
                <w:color w:val="auto"/>
              </w:rPr>
            </w:pPr>
          </w:p>
        </w:tc>
        <w:tc>
          <w:tcPr>
            <w:tcW w:w="1200" w:type="dxa"/>
            <w:vAlign w:val="bottom"/>
            <w:shd w:val="clear" w:color="auto" w:fill="D0EBF2"/>
          </w:tcPr>
          <w:p>
            <w:pPr>
              <w:spacing w:after="0"/>
              <w:rPr>
                <w:sz w:val="16"/>
                <w:szCs w:val="16"/>
                <w:color w:val="auto"/>
              </w:rPr>
            </w:pPr>
          </w:p>
        </w:tc>
        <w:tc>
          <w:tcPr>
            <w:tcW w:w="900" w:type="dxa"/>
            <w:vAlign w:val="bottom"/>
            <w:shd w:val="clear" w:color="auto" w:fill="D0EBF2"/>
          </w:tcPr>
          <w:p>
            <w:pPr>
              <w:spacing w:after="0"/>
              <w:rPr>
                <w:sz w:val="16"/>
                <w:szCs w:val="16"/>
                <w:color w:val="auto"/>
              </w:rPr>
            </w:pPr>
          </w:p>
        </w:tc>
        <w:tc>
          <w:tcPr>
            <w:tcW w:w="1000" w:type="dxa"/>
            <w:vAlign w:val="bottom"/>
            <w:shd w:val="clear" w:color="auto" w:fill="D0EBF2"/>
          </w:tcPr>
          <w:p>
            <w:pPr>
              <w:spacing w:after="0"/>
              <w:rPr>
                <w:sz w:val="16"/>
                <w:szCs w:val="16"/>
                <w:color w:val="auto"/>
              </w:rPr>
            </w:pPr>
          </w:p>
        </w:tc>
        <w:tc>
          <w:tcPr>
            <w:tcW w:w="180" w:type="dxa"/>
            <w:vAlign w:val="bottom"/>
            <w:shd w:val="clear" w:color="auto" w:fill="D0EBF2"/>
          </w:tcPr>
          <w:p>
            <w:pPr>
              <w:spacing w:after="0"/>
              <w:rPr>
                <w:sz w:val="16"/>
                <w:szCs w:val="16"/>
                <w:color w:val="auto"/>
              </w:rPr>
            </w:pPr>
          </w:p>
        </w:tc>
        <w:tc>
          <w:tcPr>
            <w:tcW w:w="960" w:type="dxa"/>
            <w:vAlign w:val="bottom"/>
            <w:shd w:val="clear" w:color="auto" w:fill="D0EBF2"/>
          </w:tcPr>
          <w:p>
            <w:pPr>
              <w:spacing w:after="0"/>
              <w:rPr>
                <w:sz w:val="16"/>
                <w:szCs w:val="16"/>
                <w:color w:val="auto"/>
              </w:rPr>
            </w:pPr>
          </w:p>
        </w:tc>
        <w:tc>
          <w:tcPr>
            <w:tcW w:w="200" w:type="dxa"/>
            <w:vAlign w:val="bottom"/>
            <w:shd w:val="clear" w:color="auto" w:fill="D0EBF2"/>
          </w:tcPr>
          <w:p>
            <w:pPr>
              <w:spacing w:after="0"/>
              <w:rPr>
                <w:sz w:val="16"/>
                <w:szCs w:val="16"/>
                <w:color w:val="auto"/>
              </w:rPr>
            </w:pPr>
          </w:p>
        </w:tc>
        <w:tc>
          <w:tcPr>
            <w:tcW w:w="900" w:type="dxa"/>
            <w:vAlign w:val="bottom"/>
            <w:shd w:val="clear" w:color="auto" w:fill="D0EBF2"/>
          </w:tcPr>
          <w:p>
            <w:pPr>
              <w:spacing w:after="0"/>
              <w:rPr>
                <w:sz w:val="16"/>
                <w:szCs w:val="16"/>
                <w:color w:val="auto"/>
              </w:rPr>
            </w:pPr>
          </w:p>
        </w:tc>
        <w:tc>
          <w:tcPr>
            <w:tcW w:w="240" w:type="dxa"/>
            <w:vAlign w:val="bottom"/>
            <w:shd w:val="clear" w:color="auto" w:fill="D0EBF2"/>
          </w:tcPr>
          <w:p>
            <w:pPr>
              <w:spacing w:after="0"/>
              <w:rPr>
                <w:sz w:val="16"/>
                <w:szCs w:val="16"/>
                <w:color w:val="auto"/>
              </w:rPr>
            </w:pPr>
          </w:p>
        </w:tc>
        <w:tc>
          <w:tcPr>
            <w:tcW w:w="0" w:type="dxa"/>
            <w:vAlign w:val="bottom"/>
          </w:tcPr>
          <w:p>
            <w:pPr>
              <w:spacing w:after="0"/>
              <w:rPr>
                <w:sz w:val="1"/>
                <w:szCs w:val="1"/>
                <w:color w:val="auto"/>
              </w:rPr>
            </w:pPr>
          </w:p>
        </w:tc>
      </w:tr>
      <w:tr>
        <w:trPr>
          <w:trHeight w:val="158"/>
        </w:trPr>
        <w:tc>
          <w:tcPr>
            <w:tcW w:w="1460" w:type="dxa"/>
            <w:vAlign w:val="bottom"/>
            <w:shd w:val="clear" w:color="auto" w:fill="FDFDFC"/>
          </w:tcPr>
          <w:p>
            <w:pPr>
              <w:spacing w:after="0" w:line="159" w:lineRule="exact"/>
              <w:rPr>
                <w:sz w:val="20"/>
                <w:szCs w:val="20"/>
                <w:color w:val="auto"/>
              </w:rPr>
            </w:pPr>
            <w:r>
              <w:rPr>
                <w:rFonts w:ascii="Times New Roman" w:cs="Times New Roman" w:eastAsia="Times New Roman" w:hAnsi="Times New Roman"/>
                <w:sz w:val="15"/>
                <w:szCs w:val="15"/>
                <w:color w:val="231F20"/>
              </w:rPr>
              <w:t>Carlyle Global Market</w:t>
            </w:r>
          </w:p>
        </w:tc>
        <w:tc>
          <w:tcPr>
            <w:tcW w:w="2420" w:type="dxa"/>
            <w:vAlign w:val="bottom"/>
            <w:shd w:val="clear" w:color="auto" w:fill="FDFDFC"/>
          </w:tcPr>
          <w:p>
            <w:pPr>
              <w:ind w:left="60"/>
              <w:spacing w:after="0" w:line="159" w:lineRule="exact"/>
              <w:rPr>
                <w:sz w:val="20"/>
                <w:szCs w:val="20"/>
                <w:color w:val="auto"/>
              </w:rPr>
            </w:pPr>
            <w:r>
              <w:rPr>
                <w:rFonts w:ascii="Times New Roman" w:cs="Times New Roman" w:eastAsia="Times New Roman" w:hAnsi="Times New Roman"/>
                <w:sz w:val="15"/>
                <w:szCs w:val="15"/>
                <w:color w:val="231F20"/>
              </w:rPr>
              <w:t>Structured Credit ($1,000 par, due</w:t>
            </w:r>
          </w:p>
        </w:tc>
        <w:tc>
          <w:tcPr>
            <w:tcW w:w="820" w:type="dxa"/>
            <w:vAlign w:val="bottom"/>
            <w:shd w:val="clear" w:color="auto" w:fill="FDFDFC"/>
          </w:tcPr>
          <w:p>
            <w:pPr>
              <w:jc w:val="right"/>
              <w:spacing w:after="0" w:line="159" w:lineRule="exact"/>
              <w:rPr>
                <w:sz w:val="20"/>
                <w:szCs w:val="20"/>
                <w:color w:val="auto"/>
              </w:rPr>
            </w:pPr>
            <w:r>
              <w:rPr>
                <w:rFonts w:ascii="Times New Roman" w:cs="Times New Roman" w:eastAsia="Times New Roman" w:hAnsi="Times New Roman"/>
                <w:sz w:val="15"/>
                <w:szCs w:val="15"/>
                <w:color w:val="231F20"/>
              </w:rPr>
              <w:t>5/26/2022</w:t>
            </w:r>
          </w:p>
        </w:tc>
        <w:tc>
          <w:tcPr>
            <w:tcW w:w="1200" w:type="dxa"/>
            <w:vAlign w:val="bottom"/>
            <w:shd w:val="clear" w:color="auto" w:fill="FDFDFC"/>
          </w:tcPr>
          <w:p>
            <w:pPr>
              <w:jc w:val="right"/>
              <w:ind w:right="244"/>
              <w:spacing w:after="0" w:line="159" w:lineRule="exact"/>
              <w:rPr>
                <w:sz w:val="20"/>
                <w:szCs w:val="20"/>
                <w:color w:val="auto"/>
              </w:rPr>
            </w:pPr>
            <w:r>
              <w:rPr>
                <w:rFonts w:ascii="Times New Roman" w:cs="Times New Roman" w:eastAsia="Times New Roman" w:hAnsi="Times New Roman"/>
                <w:sz w:val="15"/>
                <w:szCs w:val="15"/>
                <w:color w:val="231F20"/>
              </w:rPr>
              <w:t>SOFR +</w:t>
            </w:r>
          </w:p>
        </w:tc>
        <w:tc>
          <w:tcPr>
            <w:tcW w:w="900" w:type="dxa"/>
            <w:vAlign w:val="bottom"/>
            <w:shd w:val="clear" w:color="auto" w:fill="FDFDFC"/>
          </w:tcPr>
          <w:p>
            <w:pPr>
              <w:jc w:val="right"/>
              <w:ind w:right="24"/>
              <w:spacing w:after="0" w:line="159" w:lineRule="exact"/>
              <w:rPr>
                <w:sz w:val="20"/>
                <w:szCs w:val="20"/>
                <w:color w:val="auto"/>
              </w:rPr>
            </w:pPr>
            <w:r>
              <w:rPr>
                <w:rFonts w:ascii="Times New Roman" w:cs="Times New Roman" w:eastAsia="Times New Roman" w:hAnsi="Times New Roman"/>
                <w:sz w:val="15"/>
                <w:szCs w:val="15"/>
                <w:color w:val="231F20"/>
              </w:rPr>
              <w:t>8.56%</w:t>
            </w:r>
          </w:p>
        </w:tc>
        <w:tc>
          <w:tcPr>
            <w:tcW w:w="1000" w:type="dxa"/>
            <w:vAlign w:val="bottom"/>
            <w:shd w:val="clear" w:color="auto" w:fill="FDFDFC"/>
          </w:tcPr>
          <w:p>
            <w:pPr>
              <w:jc w:val="right"/>
              <w:spacing w:after="0" w:line="159" w:lineRule="exact"/>
              <w:rPr>
                <w:sz w:val="20"/>
                <w:szCs w:val="20"/>
                <w:color w:val="auto"/>
              </w:rPr>
            </w:pPr>
            <w:r>
              <w:rPr>
                <w:rFonts w:ascii="Times New Roman" w:cs="Times New Roman" w:eastAsia="Times New Roman" w:hAnsi="Times New Roman"/>
                <w:sz w:val="15"/>
                <w:szCs w:val="15"/>
                <w:color w:val="231F20"/>
              </w:rPr>
              <w:t>920</w:t>
            </w:r>
          </w:p>
        </w:tc>
        <w:tc>
          <w:tcPr>
            <w:tcW w:w="1140" w:type="dxa"/>
            <w:vAlign w:val="bottom"/>
            <w:gridSpan w:val="2"/>
            <w:shd w:val="clear" w:color="auto" w:fill="FDFDFC"/>
          </w:tcPr>
          <w:p>
            <w:pPr>
              <w:jc w:val="right"/>
              <w:spacing w:after="0" w:line="159" w:lineRule="exact"/>
              <w:rPr>
                <w:sz w:val="20"/>
                <w:szCs w:val="20"/>
                <w:color w:val="auto"/>
              </w:rPr>
            </w:pPr>
            <w:r>
              <w:rPr>
                <w:rFonts w:ascii="Times New Roman" w:cs="Times New Roman" w:eastAsia="Times New Roman" w:hAnsi="Times New Roman"/>
                <w:sz w:val="15"/>
                <w:szCs w:val="15"/>
                <w:color w:val="231F20"/>
              </w:rPr>
              <w:t>962</w:t>
            </w:r>
          </w:p>
        </w:tc>
        <w:tc>
          <w:tcPr>
            <w:tcW w:w="1340" w:type="dxa"/>
            <w:vAlign w:val="bottom"/>
            <w:gridSpan w:val="3"/>
            <w:shd w:val="clear" w:color="auto" w:fill="FDFDFC"/>
          </w:tcPr>
          <w:p>
            <w:pPr>
              <w:jc w:val="right"/>
              <w:ind w:right="120"/>
              <w:spacing w:after="0" w:line="159" w:lineRule="exact"/>
              <w:rPr>
                <w:sz w:val="20"/>
                <w:szCs w:val="20"/>
                <w:color w:val="auto"/>
              </w:rPr>
            </w:pPr>
            <w:r>
              <w:rPr>
                <w:rFonts w:ascii="Times New Roman" w:cs="Times New Roman" w:eastAsia="Times New Roman" w:hAnsi="Times New Roman"/>
                <w:sz w:val="15"/>
                <w:szCs w:val="15"/>
                <w:color w:val="231F20"/>
              </w:rPr>
              <w:t>0.1%</w:t>
            </w:r>
          </w:p>
        </w:tc>
        <w:tc>
          <w:tcPr>
            <w:tcW w:w="0" w:type="dxa"/>
            <w:vAlign w:val="bottom"/>
          </w:tcPr>
          <w:p>
            <w:pPr>
              <w:spacing w:after="0"/>
              <w:rPr>
                <w:sz w:val="1"/>
                <w:szCs w:val="1"/>
                <w:color w:val="auto"/>
              </w:rPr>
            </w:pPr>
          </w:p>
        </w:tc>
      </w:tr>
      <w:tr>
        <w:trPr>
          <w:trHeight w:val="174"/>
        </w:trPr>
        <w:tc>
          <w:tcPr>
            <w:tcW w:w="1460" w:type="dxa"/>
            <w:vAlign w:val="bottom"/>
            <w:shd w:val="clear" w:color="auto" w:fill="FDFDFC"/>
          </w:tcPr>
          <w:p>
            <w:pPr>
              <w:spacing w:after="0"/>
              <w:rPr>
                <w:sz w:val="20"/>
                <w:szCs w:val="20"/>
                <w:color w:val="auto"/>
              </w:rPr>
            </w:pPr>
            <w:r>
              <w:rPr>
                <w:rFonts w:ascii="Times New Roman" w:cs="Times New Roman" w:eastAsia="Times New Roman" w:hAnsi="Times New Roman"/>
                <w:sz w:val="15"/>
                <w:szCs w:val="15"/>
                <w:color w:val="231F20"/>
              </w:rPr>
              <w:t>Strategies CLO Ltd,</w:t>
            </w:r>
          </w:p>
        </w:tc>
        <w:tc>
          <w:tcPr>
            <w:tcW w:w="2420" w:type="dxa"/>
            <w:vAlign w:val="bottom"/>
            <w:shd w:val="clear" w:color="auto" w:fill="FDFDFC"/>
          </w:tcPr>
          <w:p>
            <w:pPr>
              <w:ind w:left="60"/>
              <w:spacing w:after="0"/>
              <w:rPr>
                <w:sz w:val="20"/>
                <w:szCs w:val="20"/>
                <w:color w:val="auto"/>
              </w:rPr>
            </w:pPr>
            <w:r>
              <w:rPr>
                <w:rFonts w:ascii="Times New Roman" w:cs="Times New Roman" w:eastAsia="Times New Roman" w:hAnsi="Times New Roman"/>
                <w:sz w:val="15"/>
                <w:szCs w:val="15"/>
                <w:color w:val="231F20"/>
              </w:rPr>
              <w:t>7/2030)</w:t>
            </w:r>
          </w:p>
        </w:tc>
        <w:tc>
          <w:tcPr>
            <w:tcW w:w="820" w:type="dxa"/>
            <w:vAlign w:val="bottom"/>
            <w:shd w:val="clear" w:color="auto" w:fill="FDFDFC"/>
          </w:tcPr>
          <w:p>
            <w:pPr>
              <w:spacing w:after="0"/>
              <w:rPr>
                <w:sz w:val="15"/>
                <w:szCs w:val="15"/>
                <w:color w:val="auto"/>
              </w:rPr>
            </w:pPr>
          </w:p>
        </w:tc>
        <w:tc>
          <w:tcPr>
            <w:tcW w:w="1200" w:type="dxa"/>
            <w:vAlign w:val="bottom"/>
            <w:shd w:val="clear" w:color="auto" w:fill="FDFDFC"/>
          </w:tcPr>
          <w:p>
            <w:pPr>
              <w:jc w:val="right"/>
              <w:ind w:right="244"/>
              <w:spacing w:after="0"/>
              <w:rPr>
                <w:sz w:val="20"/>
                <w:szCs w:val="20"/>
                <w:color w:val="auto"/>
              </w:rPr>
            </w:pPr>
            <w:r>
              <w:rPr>
                <w:rFonts w:ascii="Times New Roman" w:cs="Times New Roman" w:eastAsia="Times New Roman" w:hAnsi="Times New Roman"/>
                <w:sz w:val="15"/>
                <w:szCs w:val="15"/>
                <w:color w:val="231F20"/>
              </w:rPr>
              <w:t>3.16%</w:t>
            </w:r>
          </w:p>
        </w:tc>
        <w:tc>
          <w:tcPr>
            <w:tcW w:w="900" w:type="dxa"/>
            <w:vAlign w:val="bottom"/>
            <w:shd w:val="clear" w:color="auto" w:fill="FDFDFC"/>
          </w:tcPr>
          <w:p>
            <w:pPr>
              <w:spacing w:after="0"/>
              <w:rPr>
                <w:sz w:val="15"/>
                <w:szCs w:val="15"/>
                <w:color w:val="auto"/>
              </w:rPr>
            </w:pPr>
          </w:p>
        </w:tc>
        <w:tc>
          <w:tcPr>
            <w:tcW w:w="1000" w:type="dxa"/>
            <w:vAlign w:val="bottom"/>
            <w:shd w:val="clear" w:color="auto" w:fill="FDFDFC"/>
          </w:tcPr>
          <w:p>
            <w:pPr>
              <w:spacing w:after="0"/>
              <w:rPr>
                <w:sz w:val="15"/>
                <w:szCs w:val="15"/>
                <w:color w:val="auto"/>
              </w:rPr>
            </w:pPr>
          </w:p>
        </w:tc>
        <w:tc>
          <w:tcPr>
            <w:tcW w:w="180" w:type="dxa"/>
            <w:vAlign w:val="bottom"/>
            <w:shd w:val="clear" w:color="auto" w:fill="FDFDFC"/>
          </w:tcPr>
          <w:p>
            <w:pPr>
              <w:spacing w:after="0"/>
              <w:rPr>
                <w:sz w:val="15"/>
                <w:szCs w:val="15"/>
                <w:color w:val="auto"/>
              </w:rPr>
            </w:pPr>
          </w:p>
        </w:tc>
        <w:tc>
          <w:tcPr>
            <w:tcW w:w="960" w:type="dxa"/>
            <w:vAlign w:val="bottom"/>
            <w:shd w:val="clear" w:color="auto" w:fill="FDFDFC"/>
          </w:tcPr>
          <w:p>
            <w:pPr>
              <w:spacing w:after="0"/>
              <w:rPr>
                <w:sz w:val="15"/>
                <w:szCs w:val="15"/>
                <w:color w:val="auto"/>
              </w:rPr>
            </w:pPr>
          </w:p>
        </w:tc>
        <w:tc>
          <w:tcPr>
            <w:tcW w:w="200" w:type="dxa"/>
            <w:vAlign w:val="bottom"/>
            <w:shd w:val="clear" w:color="auto" w:fill="FDFDFC"/>
          </w:tcPr>
          <w:p>
            <w:pPr>
              <w:spacing w:after="0"/>
              <w:rPr>
                <w:sz w:val="15"/>
                <w:szCs w:val="15"/>
                <w:color w:val="auto"/>
              </w:rPr>
            </w:pPr>
          </w:p>
        </w:tc>
        <w:tc>
          <w:tcPr>
            <w:tcW w:w="900" w:type="dxa"/>
            <w:vAlign w:val="bottom"/>
            <w:shd w:val="clear" w:color="auto" w:fill="FDFDFC"/>
          </w:tcPr>
          <w:p>
            <w:pPr>
              <w:spacing w:after="0"/>
              <w:rPr>
                <w:sz w:val="15"/>
                <w:szCs w:val="15"/>
                <w:color w:val="auto"/>
              </w:rPr>
            </w:pPr>
          </w:p>
        </w:tc>
        <w:tc>
          <w:tcPr>
            <w:tcW w:w="240" w:type="dxa"/>
            <w:vAlign w:val="bottom"/>
            <w:shd w:val="clear" w:color="auto" w:fill="FDFDFC"/>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1460" w:type="dxa"/>
            <w:vAlign w:val="bottom"/>
            <w:shd w:val="clear" w:color="auto" w:fill="FDFDFC"/>
          </w:tcPr>
          <w:p>
            <w:pPr>
              <w:spacing w:after="0"/>
              <w:rPr>
                <w:sz w:val="20"/>
                <w:szCs w:val="20"/>
                <w:color w:val="auto"/>
              </w:rPr>
            </w:pPr>
            <w:r>
              <w:rPr>
                <w:rFonts w:ascii="Times New Roman" w:cs="Times New Roman" w:eastAsia="Times New Roman" w:hAnsi="Times New Roman"/>
                <w:sz w:val="15"/>
                <w:szCs w:val="15"/>
                <w:color w:val="231F20"/>
              </w:rPr>
              <w:t>Series 2014-4RA</w:t>
            </w:r>
          </w:p>
        </w:tc>
        <w:tc>
          <w:tcPr>
            <w:tcW w:w="2420" w:type="dxa"/>
            <w:vAlign w:val="bottom"/>
            <w:shd w:val="clear" w:color="auto" w:fill="FDFDFC"/>
          </w:tcPr>
          <w:p>
            <w:pPr>
              <w:spacing w:after="0"/>
              <w:rPr>
                <w:sz w:val="16"/>
                <w:szCs w:val="16"/>
                <w:color w:val="auto"/>
              </w:rPr>
            </w:pPr>
          </w:p>
        </w:tc>
        <w:tc>
          <w:tcPr>
            <w:tcW w:w="820" w:type="dxa"/>
            <w:vAlign w:val="bottom"/>
            <w:shd w:val="clear" w:color="auto" w:fill="FDFDFC"/>
          </w:tcPr>
          <w:p>
            <w:pPr>
              <w:spacing w:after="0"/>
              <w:rPr>
                <w:sz w:val="16"/>
                <w:szCs w:val="16"/>
                <w:color w:val="auto"/>
              </w:rPr>
            </w:pPr>
          </w:p>
        </w:tc>
        <w:tc>
          <w:tcPr>
            <w:tcW w:w="1200" w:type="dxa"/>
            <w:vAlign w:val="bottom"/>
            <w:shd w:val="clear" w:color="auto" w:fill="FDFDFC"/>
          </w:tcPr>
          <w:p>
            <w:pPr>
              <w:spacing w:after="0"/>
              <w:rPr>
                <w:sz w:val="16"/>
                <w:szCs w:val="16"/>
                <w:color w:val="auto"/>
              </w:rPr>
            </w:pPr>
          </w:p>
        </w:tc>
        <w:tc>
          <w:tcPr>
            <w:tcW w:w="900" w:type="dxa"/>
            <w:vAlign w:val="bottom"/>
            <w:shd w:val="clear" w:color="auto" w:fill="FDFDFC"/>
          </w:tcPr>
          <w:p>
            <w:pPr>
              <w:spacing w:after="0"/>
              <w:rPr>
                <w:sz w:val="16"/>
                <w:szCs w:val="16"/>
                <w:color w:val="auto"/>
              </w:rPr>
            </w:pPr>
          </w:p>
        </w:tc>
        <w:tc>
          <w:tcPr>
            <w:tcW w:w="1000" w:type="dxa"/>
            <w:vAlign w:val="bottom"/>
            <w:shd w:val="clear" w:color="auto" w:fill="FDFDFC"/>
          </w:tcPr>
          <w:p>
            <w:pPr>
              <w:spacing w:after="0"/>
              <w:rPr>
                <w:sz w:val="16"/>
                <w:szCs w:val="16"/>
                <w:color w:val="auto"/>
              </w:rPr>
            </w:pPr>
          </w:p>
        </w:tc>
        <w:tc>
          <w:tcPr>
            <w:tcW w:w="180" w:type="dxa"/>
            <w:vAlign w:val="bottom"/>
            <w:shd w:val="clear" w:color="auto" w:fill="FDFDFC"/>
          </w:tcPr>
          <w:p>
            <w:pPr>
              <w:spacing w:after="0"/>
              <w:rPr>
                <w:sz w:val="16"/>
                <w:szCs w:val="16"/>
                <w:color w:val="auto"/>
              </w:rPr>
            </w:pPr>
          </w:p>
        </w:tc>
        <w:tc>
          <w:tcPr>
            <w:tcW w:w="960" w:type="dxa"/>
            <w:vAlign w:val="bottom"/>
            <w:shd w:val="clear" w:color="auto" w:fill="FDFDFC"/>
          </w:tcPr>
          <w:p>
            <w:pPr>
              <w:spacing w:after="0"/>
              <w:rPr>
                <w:sz w:val="16"/>
                <w:szCs w:val="16"/>
                <w:color w:val="auto"/>
              </w:rPr>
            </w:pPr>
          </w:p>
        </w:tc>
        <w:tc>
          <w:tcPr>
            <w:tcW w:w="200" w:type="dxa"/>
            <w:vAlign w:val="bottom"/>
            <w:shd w:val="clear" w:color="auto" w:fill="FDFDFC"/>
          </w:tcPr>
          <w:p>
            <w:pPr>
              <w:spacing w:after="0"/>
              <w:rPr>
                <w:sz w:val="16"/>
                <w:szCs w:val="16"/>
                <w:color w:val="auto"/>
              </w:rPr>
            </w:pPr>
          </w:p>
        </w:tc>
        <w:tc>
          <w:tcPr>
            <w:tcW w:w="900" w:type="dxa"/>
            <w:vAlign w:val="bottom"/>
            <w:shd w:val="clear" w:color="auto" w:fill="FDFDFC"/>
          </w:tcPr>
          <w:p>
            <w:pPr>
              <w:spacing w:after="0"/>
              <w:rPr>
                <w:sz w:val="16"/>
                <w:szCs w:val="16"/>
                <w:color w:val="auto"/>
              </w:rPr>
            </w:pPr>
          </w:p>
        </w:tc>
        <w:tc>
          <w:tcPr>
            <w:tcW w:w="240" w:type="dxa"/>
            <w:vAlign w:val="bottom"/>
            <w:shd w:val="clear" w:color="auto" w:fill="FDFDFC"/>
          </w:tcPr>
          <w:p>
            <w:pPr>
              <w:spacing w:after="0"/>
              <w:rPr>
                <w:sz w:val="16"/>
                <w:szCs w:val="16"/>
                <w:color w:val="auto"/>
              </w:rPr>
            </w:pPr>
          </w:p>
        </w:tc>
        <w:tc>
          <w:tcPr>
            <w:tcW w:w="0" w:type="dxa"/>
            <w:vAlign w:val="bottom"/>
          </w:tcPr>
          <w:p>
            <w:pPr>
              <w:spacing w:after="0"/>
              <w:rPr>
                <w:sz w:val="1"/>
                <w:szCs w:val="1"/>
                <w:color w:val="auto"/>
              </w:rPr>
            </w:pPr>
          </w:p>
        </w:tc>
      </w:tr>
      <w:tr>
        <w:trPr>
          <w:trHeight w:val="157"/>
        </w:trPr>
        <w:tc>
          <w:tcPr>
            <w:tcW w:w="1460" w:type="dxa"/>
            <w:vAlign w:val="bottom"/>
            <w:tcBorders>
              <w:bottom w:val="single" w:sz="8" w:color="FDFDFC"/>
            </w:tcBorders>
            <w:shd w:val="clear" w:color="auto" w:fill="FDFDFC"/>
          </w:tcPr>
          <w:p>
            <w:pPr>
              <w:spacing w:after="0"/>
              <w:rPr>
                <w:sz w:val="20"/>
                <w:szCs w:val="20"/>
                <w:color w:val="auto"/>
              </w:rPr>
            </w:pPr>
            <w:r>
              <w:rPr>
                <w:rFonts w:ascii="Times New Roman" w:cs="Times New Roman" w:eastAsia="Times New Roman" w:hAnsi="Times New Roman"/>
                <w:sz w:val="9"/>
                <w:szCs w:val="9"/>
                <w:color w:val="231F20"/>
              </w:rPr>
              <w:t>(3)(4)(9)</w:t>
            </w:r>
          </w:p>
        </w:tc>
        <w:tc>
          <w:tcPr>
            <w:tcW w:w="2420" w:type="dxa"/>
            <w:vAlign w:val="bottom"/>
            <w:tcBorders>
              <w:bottom w:val="single" w:sz="8" w:color="FDFDFC"/>
            </w:tcBorders>
            <w:shd w:val="clear" w:color="auto" w:fill="FDFDFC"/>
          </w:tcPr>
          <w:p>
            <w:pPr>
              <w:spacing w:after="0"/>
              <w:rPr>
                <w:sz w:val="13"/>
                <w:szCs w:val="13"/>
                <w:color w:val="auto"/>
              </w:rPr>
            </w:pPr>
          </w:p>
        </w:tc>
        <w:tc>
          <w:tcPr>
            <w:tcW w:w="820" w:type="dxa"/>
            <w:vAlign w:val="bottom"/>
            <w:tcBorders>
              <w:bottom w:val="single" w:sz="8" w:color="FDFDFC"/>
            </w:tcBorders>
            <w:shd w:val="clear" w:color="auto" w:fill="FDFDFC"/>
          </w:tcPr>
          <w:p>
            <w:pPr>
              <w:spacing w:after="0"/>
              <w:rPr>
                <w:sz w:val="13"/>
                <w:szCs w:val="13"/>
                <w:color w:val="auto"/>
              </w:rPr>
            </w:pPr>
          </w:p>
        </w:tc>
        <w:tc>
          <w:tcPr>
            <w:tcW w:w="1200" w:type="dxa"/>
            <w:vAlign w:val="bottom"/>
            <w:tcBorders>
              <w:bottom w:val="single" w:sz="8" w:color="FDFDFC"/>
            </w:tcBorders>
            <w:shd w:val="clear" w:color="auto" w:fill="FDFDFC"/>
          </w:tcPr>
          <w:p>
            <w:pPr>
              <w:spacing w:after="0"/>
              <w:rPr>
                <w:sz w:val="13"/>
                <w:szCs w:val="13"/>
                <w:color w:val="auto"/>
              </w:rPr>
            </w:pPr>
          </w:p>
        </w:tc>
        <w:tc>
          <w:tcPr>
            <w:tcW w:w="900" w:type="dxa"/>
            <w:vAlign w:val="bottom"/>
            <w:tcBorders>
              <w:bottom w:val="single" w:sz="8" w:color="FDFDFC"/>
            </w:tcBorders>
            <w:shd w:val="clear" w:color="auto" w:fill="FDFDFC"/>
          </w:tcPr>
          <w:p>
            <w:pPr>
              <w:spacing w:after="0"/>
              <w:rPr>
                <w:sz w:val="13"/>
                <w:szCs w:val="13"/>
                <w:color w:val="auto"/>
              </w:rPr>
            </w:pPr>
          </w:p>
        </w:tc>
        <w:tc>
          <w:tcPr>
            <w:tcW w:w="1000" w:type="dxa"/>
            <w:vAlign w:val="bottom"/>
            <w:tcBorders>
              <w:bottom w:val="single" w:sz="8" w:color="FDFDFC"/>
            </w:tcBorders>
            <w:shd w:val="clear" w:color="auto" w:fill="FDFDFC"/>
          </w:tcPr>
          <w:p>
            <w:pPr>
              <w:spacing w:after="0"/>
              <w:rPr>
                <w:sz w:val="13"/>
                <w:szCs w:val="13"/>
                <w:color w:val="auto"/>
              </w:rPr>
            </w:pPr>
          </w:p>
        </w:tc>
        <w:tc>
          <w:tcPr>
            <w:tcW w:w="180" w:type="dxa"/>
            <w:vAlign w:val="bottom"/>
            <w:tcBorders>
              <w:bottom w:val="single" w:sz="8" w:color="FDFDFC"/>
            </w:tcBorders>
            <w:shd w:val="clear" w:color="auto" w:fill="FDFDFC"/>
          </w:tcPr>
          <w:p>
            <w:pPr>
              <w:spacing w:after="0"/>
              <w:rPr>
                <w:sz w:val="13"/>
                <w:szCs w:val="13"/>
                <w:color w:val="auto"/>
              </w:rPr>
            </w:pPr>
          </w:p>
        </w:tc>
        <w:tc>
          <w:tcPr>
            <w:tcW w:w="960" w:type="dxa"/>
            <w:vAlign w:val="bottom"/>
            <w:tcBorders>
              <w:bottom w:val="single" w:sz="8" w:color="FDFDFC"/>
            </w:tcBorders>
            <w:shd w:val="clear" w:color="auto" w:fill="FDFDFC"/>
          </w:tcPr>
          <w:p>
            <w:pPr>
              <w:spacing w:after="0"/>
              <w:rPr>
                <w:sz w:val="13"/>
                <w:szCs w:val="13"/>
                <w:color w:val="auto"/>
              </w:rPr>
            </w:pPr>
          </w:p>
        </w:tc>
        <w:tc>
          <w:tcPr>
            <w:tcW w:w="200" w:type="dxa"/>
            <w:vAlign w:val="bottom"/>
            <w:tcBorders>
              <w:bottom w:val="single" w:sz="8" w:color="FDFDFC"/>
            </w:tcBorders>
            <w:shd w:val="clear" w:color="auto" w:fill="FDFDFC"/>
          </w:tcPr>
          <w:p>
            <w:pPr>
              <w:spacing w:after="0"/>
              <w:rPr>
                <w:sz w:val="13"/>
                <w:szCs w:val="13"/>
                <w:color w:val="auto"/>
              </w:rPr>
            </w:pPr>
          </w:p>
        </w:tc>
        <w:tc>
          <w:tcPr>
            <w:tcW w:w="900" w:type="dxa"/>
            <w:vAlign w:val="bottom"/>
            <w:tcBorders>
              <w:bottom w:val="single" w:sz="8" w:color="FDFDFC"/>
            </w:tcBorders>
            <w:shd w:val="clear" w:color="auto" w:fill="FDFDFC"/>
          </w:tcPr>
          <w:p>
            <w:pPr>
              <w:spacing w:after="0"/>
              <w:rPr>
                <w:sz w:val="13"/>
                <w:szCs w:val="13"/>
                <w:color w:val="auto"/>
              </w:rPr>
            </w:pPr>
          </w:p>
        </w:tc>
        <w:tc>
          <w:tcPr>
            <w:tcW w:w="240" w:type="dxa"/>
            <w:vAlign w:val="bottom"/>
            <w:tcBorders>
              <w:bottom w:val="single" w:sz="8" w:color="FDFDFC"/>
            </w:tcBorders>
            <w:shd w:val="clear" w:color="auto" w:fill="FDFDFC"/>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1460" w:type="dxa"/>
            <w:vAlign w:val="bottom"/>
            <w:shd w:val="clear" w:color="auto" w:fill="D0EBF2"/>
          </w:tcPr>
          <w:p>
            <w:pPr>
              <w:spacing w:after="0" w:line="159" w:lineRule="exact"/>
              <w:rPr>
                <w:sz w:val="20"/>
                <w:szCs w:val="20"/>
                <w:color w:val="auto"/>
              </w:rPr>
            </w:pPr>
            <w:r>
              <w:rPr>
                <w:rFonts w:ascii="Times New Roman" w:cs="Times New Roman" w:eastAsia="Times New Roman" w:hAnsi="Times New Roman"/>
                <w:sz w:val="15"/>
                <w:szCs w:val="15"/>
                <w:color w:val="231F20"/>
              </w:rPr>
              <w:t>Carlyle Global Market</w:t>
            </w:r>
          </w:p>
        </w:tc>
        <w:tc>
          <w:tcPr>
            <w:tcW w:w="2420" w:type="dxa"/>
            <w:vAlign w:val="bottom"/>
            <w:shd w:val="clear" w:color="auto" w:fill="D0EBF2"/>
          </w:tcPr>
          <w:p>
            <w:pPr>
              <w:ind w:left="60"/>
              <w:spacing w:after="0" w:line="159" w:lineRule="exact"/>
              <w:rPr>
                <w:sz w:val="20"/>
                <w:szCs w:val="20"/>
                <w:color w:val="auto"/>
              </w:rPr>
            </w:pPr>
            <w:r>
              <w:rPr>
                <w:rFonts w:ascii="Times New Roman" w:cs="Times New Roman" w:eastAsia="Times New Roman" w:hAnsi="Times New Roman"/>
                <w:sz w:val="15"/>
                <w:szCs w:val="15"/>
                <w:color w:val="231F20"/>
              </w:rPr>
              <w:t>Structured Credit ($1,600 par, due</w:t>
            </w:r>
          </w:p>
        </w:tc>
        <w:tc>
          <w:tcPr>
            <w:tcW w:w="820" w:type="dxa"/>
            <w:vAlign w:val="bottom"/>
            <w:shd w:val="clear" w:color="auto" w:fill="D0EBF2"/>
          </w:tcPr>
          <w:p>
            <w:pPr>
              <w:jc w:val="right"/>
              <w:spacing w:after="0" w:line="159" w:lineRule="exact"/>
              <w:rPr>
                <w:sz w:val="20"/>
                <w:szCs w:val="20"/>
                <w:color w:val="auto"/>
              </w:rPr>
            </w:pPr>
            <w:r>
              <w:rPr>
                <w:rFonts w:ascii="Times New Roman" w:cs="Times New Roman" w:eastAsia="Times New Roman" w:hAnsi="Times New Roman"/>
                <w:sz w:val="15"/>
                <w:szCs w:val="15"/>
                <w:color w:val="231F20"/>
              </w:rPr>
              <w:t>2/15/2023</w:t>
            </w:r>
          </w:p>
        </w:tc>
        <w:tc>
          <w:tcPr>
            <w:tcW w:w="1200" w:type="dxa"/>
            <w:vAlign w:val="bottom"/>
            <w:shd w:val="clear" w:color="auto" w:fill="D0EBF2"/>
          </w:tcPr>
          <w:p>
            <w:pPr>
              <w:jc w:val="right"/>
              <w:ind w:right="244"/>
              <w:spacing w:after="0" w:line="159" w:lineRule="exact"/>
              <w:rPr>
                <w:sz w:val="20"/>
                <w:szCs w:val="20"/>
                <w:color w:val="auto"/>
              </w:rPr>
            </w:pPr>
            <w:r>
              <w:rPr>
                <w:rFonts w:ascii="Times New Roman" w:cs="Times New Roman" w:eastAsia="Times New Roman" w:hAnsi="Times New Roman"/>
                <w:sz w:val="15"/>
                <w:szCs w:val="15"/>
                <w:color w:val="231F20"/>
              </w:rPr>
              <w:t>SOFR +</w:t>
            </w:r>
          </w:p>
        </w:tc>
        <w:tc>
          <w:tcPr>
            <w:tcW w:w="900" w:type="dxa"/>
            <w:vAlign w:val="bottom"/>
            <w:shd w:val="clear" w:color="auto" w:fill="D0EBF2"/>
          </w:tcPr>
          <w:p>
            <w:pPr>
              <w:jc w:val="right"/>
              <w:ind w:right="24"/>
              <w:spacing w:after="0" w:line="159" w:lineRule="exact"/>
              <w:rPr>
                <w:sz w:val="20"/>
                <w:szCs w:val="20"/>
                <w:color w:val="auto"/>
              </w:rPr>
            </w:pPr>
            <w:r>
              <w:rPr>
                <w:rFonts w:ascii="Times New Roman" w:cs="Times New Roman" w:eastAsia="Times New Roman" w:hAnsi="Times New Roman"/>
                <w:sz w:val="15"/>
                <w:szCs w:val="15"/>
                <w:color w:val="231F20"/>
              </w:rPr>
              <w:t>12.28%</w:t>
            </w:r>
          </w:p>
        </w:tc>
        <w:tc>
          <w:tcPr>
            <w:tcW w:w="1000" w:type="dxa"/>
            <w:vAlign w:val="bottom"/>
            <w:shd w:val="clear" w:color="auto" w:fill="D0EBF2"/>
          </w:tcPr>
          <w:p>
            <w:pPr>
              <w:jc w:val="right"/>
              <w:spacing w:after="0" w:line="159" w:lineRule="exact"/>
              <w:rPr>
                <w:sz w:val="20"/>
                <w:szCs w:val="20"/>
                <w:color w:val="auto"/>
              </w:rPr>
            </w:pPr>
            <w:r>
              <w:rPr>
                <w:rFonts w:ascii="Times New Roman" w:cs="Times New Roman" w:eastAsia="Times New Roman" w:hAnsi="Times New Roman"/>
                <w:sz w:val="15"/>
                <w:szCs w:val="15"/>
                <w:color w:val="231F20"/>
              </w:rPr>
              <w:t>1,430</w:t>
            </w:r>
          </w:p>
        </w:tc>
        <w:tc>
          <w:tcPr>
            <w:tcW w:w="1140" w:type="dxa"/>
            <w:vAlign w:val="bottom"/>
            <w:gridSpan w:val="2"/>
            <w:shd w:val="clear" w:color="auto" w:fill="D0EBF2"/>
          </w:tcPr>
          <w:p>
            <w:pPr>
              <w:jc w:val="right"/>
              <w:spacing w:after="0" w:line="159" w:lineRule="exact"/>
              <w:rPr>
                <w:sz w:val="20"/>
                <w:szCs w:val="20"/>
                <w:color w:val="auto"/>
              </w:rPr>
            </w:pPr>
            <w:r>
              <w:rPr>
                <w:rFonts w:ascii="Times New Roman" w:cs="Times New Roman" w:eastAsia="Times New Roman" w:hAnsi="Times New Roman"/>
                <w:sz w:val="15"/>
                <w:szCs w:val="15"/>
                <w:color w:val="231F20"/>
              </w:rPr>
              <w:t>1,521</w:t>
            </w:r>
          </w:p>
        </w:tc>
        <w:tc>
          <w:tcPr>
            <w:tcW w:w="1340" w:type="dxa"/>
            <w:vAlign w:val="bottom"/>
            <w:gridSpan w:val="3"/>
            <w:shd w:val="clear" w:color="auto" w:fill="D0EBF2"/>
          </w:tcPr>
          <w:p>
            <w:pPr>
              <w:jc w:val="right"/>
              <w:ind w:right="120"/>
              <w:spacing w:after="0" w:line="159" w:lineRule="exact"/>
              <w:rPr>
                <w:sz w:val="20"/>
                <w:szCs w:val="20"/>
                <w:color w:val="auto"/>
              </w:rPr>
            </w:pPr>
            <w:r>
              <w:rPr>
                <w:rFonts w:ascii="Times New Roman" w:cs="Times New Roman" w:eastAsia="Times New Roman" w:hAnsi="Times New Roman"/>
                <w:sz w:val="15"/>
                <w:szCs w:val="15"/>
                <w:color w:val="231F20"/>
              </w:rPr>
              <w:t>0.1%</w:t>
            </w:r>
          </w:p>
        </w:tc>
        <w:tc>
          <w:tcPr>
            <w:tcW w:w="0" w:type="dxa"/>
            <w:vAlign w:val="bottom"/>
          </w:tcPr>
          <w:p>
            <w:pPr>
              <w:spacing w:after="0"/>
              <w:rPr>
                <w:sz w:val="1"/>
                <w:szCs w:val="1"/>
                <w:color w:val="auto"/>
              </w:rPr>
            </w:pPr>
          </w:p>
        </w:tc>
      </w:tr>
      <w:tr>
        <w:trPr>
          <w:trHeight w:val="174"/>
        </w:trPr>
        <w:tc>
          <w:tcPr>
            <w:tcW w:w="1460" w:type="dxa"/>
            <w:vAlign w:val="bottom"/>
            <w:shd w:val="clear" w:color="auto" w:fill="D0EBF2"/>
          </w:tcPr>
          <w:p>
            <w:pPr>
              <w:spacing w:after="0"/>
              <w:rPr>
                <w:sz w:val="20"/>
                <w:szCs w:val="20"/>
                <w:color w:val="auto"/>
              </w:rPr>
            </w:pPr>
            <w:r>
              <w:rPr>
                <w:rFonts w:ascii="Times New Roman" w:cs="Times New Roman" w:eastAsia="Times New Roman" w:hAnsi="Times New Roman"/>
                <w:sz w:val="15"/>
                <w:szCs w:val="15"/>
                <w:color w:val="231F20"/>
              </w:rPr>
              <w:t>Strategies CLO Ltd,</w:t>
            </w:r>
          </w:p>
        </w:tc>
        <w:tc>
          <w:tcPr>
            <w:tcW w:w="2420" w:type="dxa"/>
            <w:vAlign w:val="bottom"/>
            <w:shd w:val="clear" w:color="auto" w:fill="D0EBF2"/>
          </w:tcPr>
          <w:p>
            <w:pPr>
              <w:ind w:left="60"/>
              <w:spacing w:after="0"/>
              <w:rPr>
                <w:sz w:val="20"/>
                <w:szCs w:val="20"/>
                <w:color w:val="auto"/>
              </w:rPr>
            </w:pPr>
            <w:r>
              <w:rPr>
                <w:rFonts w:ascii="Times New Roman" w:cs="Times New Roman" w:eastAsia="Times New Roman" w:hAnsi="Times New Roman"/>
                <w:sz w:val="15"/>
                <w:szCs w:val="15"/>
                <w:color w:val="231F20"/>
              </w:rPr>
              <w:t>4/2034)</w:t>
            </w:r>
          </w:p>
        </w:tc>
        <w:tc>
          <w:tcPr>
            <w:tcW w:w="820" w:type="dxa"/>
            <w:vAlign w:val="bottom"/>
            <w:shd w:val="clear" w:color="auto" w:fill="D0EBF2"/>
          </w:tcPr>
          <w:p>
            <w:pPr>
              <w:spacing w:after="0"/>
              <w:rPr>
                <w:sz w:val="15"/>
                <w:szCs w:val="15"/>
                <w:color w:val="auto"/>
              </w:rPr>
            </w:pPr>
          </w:p>
        </w:tc>
        <w:tc>
          <w:tcPr>
            <w:tcW w:w="1200" w:type="dxa"/>
            <w:vAlign w:val="bottom"/>
            <w:shd w:val="clear" w:color="auto" w:fill="D0EBF2"/>
          </w:tcPr>
          <w:p>
            <w:pPr>
              <w:jc w:val="right"/>
              <w:ind w:right="244"/>
              <w:spacing w:after="0"/>
              <w:rPr>
                <w:sz w:val="20"/>
                <w:szCs w:val="20"/>
                <w:color w:val="auto"/>
              </w:rPr>
            </w:pPr>
            <w:r>
              <w:rPr>
                <w:rFonts w:ascii="Times New Roman" w:cs="Times New Roman" w:eastAsia="Times New Roman" w:hAnsi="Times New Roman"/>
                <w:sz w:val="15"/>
                <w:szCs w:val="15"/>
                <w:color w:val="231F20"/>
              </w:rPr>
              <w:t>6.86%</w:t>
            </w:r>
          </w:p>
        </w:tc>
        <w:tc>
          <w:tcPr>
            <w:tcW w:w="900" w:type="dxa"/>
            <w:vAlign w:val="bottom"/>
            <w:shd w:val="clear" w:color="auto" w:fill="D0EBF2"/>
          </w:tcPr>
          <w:p>
            <w:pPr>
              <w:spacing w:after="0"/>
              <w:rPr>
                <w:sz w:val="15"/>
                <w:szCs w:val="15"/>
                <w:color w:val="auto"/>
              </w:rPr>
            </w:pPr>
          </w:p>
        </w:tc>
        <w:tc>
          <w:tcPr>
            <w:tcW w:w="1000" w:type="dxa"/>
            <w:vAlign w:val="bottom"/>
            <w:shd w:val="clear" w:color="auto" w:fill="D0EBF2"/>
          </w:tcPr>
          <w:p>
            <w:pPr>
              <w:spacing w:after="0"/>
              <w:rPr>
                <w:sz w:val="15"/>
                <w:szCs w:val="15"/>
                <w:color w:val="auto"/>
              </w:rPr>
            </w:pPr>
          </w:p>
        </w:tc>
        <w:tc>
          <w:tcPr>
            <w:tcW w:w="180" w:type="dxa"/>
            <w:vAlign w:val="bottom"/>
            <w:shd w:val="clear" w:color="auto" w:fill="D0EBF2"/>
          </w:tcPr>
          <w:p>
            <w:pPr>
              <w:spacing w:after="0"/>
              <w:rPr>
                <w:sz w:val="15"/>
                <w:szCs w:val="15"/>
                <w:color w:val="auto"/>
              </w:rPr>
            </w:pPr>
          </w:p>
        </w:tc>
        <w:tc>
          <w:tcPr>
            <w:tcW w:w="960" w:type="dxa"/>
            <w:vAlign w:val="bottom"/>
            <w:shd w:val="clear" w:color="auto" w:fill="D0EBF2"/>
          </w:tcPr>
          <w:p>
            <w:pPr>
              <w:spacing w:after="0"/>
              <w:rPr>
                <w:sz w:val="15"/>
                <w:szCs w:val="15"/>
                <w:color w:val="auto"/>
              </w:rPr>
            </w:pPr>
          </w:p>
        </w:tc>
        <w:tc>
          <w:tcPr>
            <w:tcW w:w="200" w:type="dxa"/>
            <w:vAlign w:val="bottom"/>
            <w:shd w:val="clear" w:color="auto" w:fill="D0EBF2"/>
          </w:tcPr>
          <w:p>
            <w:pPr>
              <w:spacing w:after="0"/>
              <w:rPr>
                <w:sz w:val="15"/>
                <w:szCs w:val="15"/>
                <w:color w:val="auto"/>
              </w:rPr>
            </w:pPr>
          </w:p>
        </w:tc>
        <w:tc>
          <w:tcPr>
            <w:tcW w:w="900" w:type="dxa"/>
            <w:vAlign w:val="bottom"/>
            <w:shd w:val="clear" w:color="auto" w:fill="D0EBF2"/>
          </w:tcPr>
          <w:p>
            <w:pPr>
              <w:spacing w:after="0"/>
              <w:rPr>
                <w:sz w:val="15"/>
                <w:szCs w:val="15"/>
                <w:color w:val="auto"/>
              </w:rPr>
            </w:pPr>
          </w:p>
        </w:tc>
        <w:tc>
          <w:tcPr>
            <w:tcW w:w="240" w:type="dxa"/>
            <w:vAlign w:val="bottom"/>
            <w:shd w:val="clear" w:color="auto" w:fill="D0EBF2"/>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1460" w:type="dxa"/>
            <w:vAlign w:val="bottom"/>
            <w:shd w:val="clear" w:color="auto" w:fill="D0EBF2"/>
          </w:tcPr>
          <w:p>
            <w:pPr>
              <w:spacing w:after="0"/>
              <w:rPr>
                <w:sz w:val="20"/>
                <w:szCs w:val="20"/>
                <w:color w:val="auto"/>
              </w:rPr>
            </w:pPr>
            <w:r>
              <w:rPr>
                <w:rFonts w:ascii="Times New Roman" w:cs="Times New Roman" w:eastAsia="Times New Roman" w:hAnsi="Times New Roman"/>
                <w:sz w:val="15"/>
                <w:szCs w:val="15"/>
                <w:color w:val="231F20"/>
              </w:rPr>
              <w:t>Series 2016-1, Ltd</w:t>
            </w:r>
          </w:p>
        </w:tc>
        <w:tc>
          <w:tcPr>
            <w:tcW w:w="2420" w:type="dxa"/>
            <w:vAlign w:val="bottom"/>
            <w:shd w:val="clear" w:color="auto" w:fill="D0EBF2"/>
          </w:tcPr>
          <w:p>
            <w:pPr>
              <w:spacing w:after="0"/>
              <w:rPr>
                <w:sz w:val="16"/>
                <w:szCs w:val="16"/>
                <w:color w:val="auto"/>
              </w:rPr>
            </w:pPr>
          </w:p>
        </w:tc>
        <w:tc>
          <w:tcPr>
            <w:tcW w:w="820" w:type="dxa"/>
            <w:vAlign w:val="bottom"/>
            <w:shd w:val="clear" w:color="auto" w:fill="D0EBF2"/>
          </w:tcPr>
          <w:p>
            <w:pPr>
              <w:spacing w:after="0"/>
              <w:rPr>
                <w:sz w:val="16"/>
                <w:szCs w:val="16"/>
                <w:color w:val="auto"/>
              </w:rPr>
            </w:pPr>
          </w:p>
        </w:tc>
        <w:tc>
          <w:tcPr>
            <w:tcW w:w="1200" w:type="dxa"/>
            <w:vAlign w:val="bottom"/>
            <w:shd w:val="clear" w:color="auto" w:fill="D0EBF2"/>
          </w:tcPr>
          <w:p>
            <w:pPr>
              <w:spacing w:after="0"/>
              <w:rPr>
                <w:sz w:val="16"/>
                <w:szCs w:val="16"/>
                <w:color w:val="auto"/>
              </w:rPr>
            </w:pPr>
          </w:p>
        </w:tc>
        <w:tc>
          <w:tcPr>
            <w:tcW w:w="900" w:type="dxa"/>
            <w:vAlign w:val="bottom"/>
            <w:shd w:val="clear" w:color="auto" w:fill="D0EBF2"/>
          </w:tcPr>
          <w:p>
            <w:pPr>
              <w:spacing w:after="0"/>
              <w:rPr>
                <w:sz w:val="16"/>
                <w:szCs w:val="16"/>
                <w:color w:val="auto"/>
              </w:rPr>
            </w:pPr>
          </w:p>
        </w:tc>
        <w:tc>
          <w:tcPr>
            <w:tcW w:w="1000" w:type="dxa"/>
            <w:vAlign w:val="bottom"/>
            <w:shd w:val="clear" w:color="auto" w:fill="D0EBF2"/>
          </w:tcPr>
          <w:p>
            <w:pPr>
              <w:spacing w:after="0"/>
              <w:rPr>
                <w:sz w:val="16"/>
                <w:szCs w:val="16"/>
                <w:color w:val="auto"/>
              </w:rPr>
            </w:pPr>
          </w:p>
        </w:tc>
        <w:tc>
          <w:tcPr>
            <w:tcW w:w="180" w:type="dxa"/>
            <w:vAlign w:val="bottom"/>
            <w:shd w:val="clear" w:color="auto" w:fill="D0EBF2"/>
          </w:tcPr>
          <w:p>
            <w:pPr>
              <w:spacing w:after="0"/>
              <w:rPr>
                <w:sz w:val="16"/>
                <w:szCs w:val="16"/>
                <w:color w:val="auto"/>
              </w:rPr>
            </w:pPr>
          </w:p>
        </w:tc>
        <w:tc>
          <w:tcPr>
            <w:tcW w:w="960" w:type="dxa"/>
            <w:vAlign w:val="bottom"/>
            <w:shd w:val="clear" w:color="auto" w:fill="D0EBF2"/>
          </w:tcPr>
          <w:p>
            <w:pPr>
              <w:spacing w:after="0"/>
              <w:rPr>
                <w:sz w:val="16"/>
                <w:szCs w:val="16"/>
                <w:color w:val="auto"/>
              </w:rPr>
            </w:pPr>
          </w:p>
        </w:tc>
        <w:tc>
          <w:tcPr>
            <w:tcW w:w="200" w:type="dxa"/>
            <w:vAlign w:val="bottom"/>
            <w:shd w:val="clear" w:color="auto" w:fill="D0EBF2"/>
          </w:tcPr>
          <w:p>
            <w:pPr>
              <w:spacing w:after="0"/>
              <w:rPr>
                <w:sz w:val="16"/>
                <w:szCs w:val="16"/>
                <w:color w:val="auto"/>
              </w:rPr>
            </w:pPr>
          </w:p>
        </w:tc>
        <w:tc>
          <w:tcPr>
            <w:tcW w:w="900" w:type="dxa"/>
            <w:vAlign w:val="bottom"/>
            <w:shd w:val="clear" w:color="auto" w:fill="D0EBF2"/>
          </w:tcPr>
          <w:p>
            <w:pPr>
              <w:spacing w:after="0"/>
              <w:rPr>
                <w:sz w:val="16"/>
                <w:szCs w:val="16"/>
                <w:color w:val="auto"/>
              </w:rPr>
            </w:pPr>
          </w:p>
        </w:tc>
        <w:tc>
          <w:tcPr>
            <w:tcW w:w="240" w:type="dxa"/>
            <w:vAlign w:val="bottom"/>
            <w:shd w:val="clear" w:color="auto" w:fill="D0EBF2"/>
          </w:tcPr>
          <w:p>
            <w:pPr>
              <w:spacing w:after="0"/>
              <w:rPr>
                <w:sz w:val="16"/>
                <w:szCs w:val="16"/>
                <w:color w:val="auto"/>
              </w:rPr>
            </w:pPr>
          </w:p>
        </w:tc>
        <w:tc>
          <w:tcPr>
            <w:tcW w:w="0" w:type="dxa"/>
            <w:vAlign w:val="bottom"/>
          </w:tcPr>
          <w:p>
            <w:pPr>
              <w:spacing w:after="0"/>
              <w:rPr>
                <w:sz w:val="1"/>
                <w:szCs w:val="1"/>
                <w:color w:val="auto"/>
              </w:rPr>
            </w:pPr>
          </w:p>
        </w:tc>
      </w:tr>
      <w:tr>
        <w:trPr>
          <w:trHeight w:val="157"/>
        </w:trPr>
        <w:tc>
          <w:tcPr>
            <w:tcW w:w="1460" w:type="dxa"/>
            <w:vAlign w:val="bottom"/>
            <w:tcBorders>
              <w:bottom w:val="single" w:sz="8" w:color="D0EBF2"/>
            </w:tcBorders>
            <w:shd w:val="clear" w:color="auto" w:fill="D0EBF2"/>
          </w:tcPr>
          <w:p>
            <w:pPr>
              <w:spacing w:after="0"/>
              <w:rPr>
                <w:sz w:val="20"/>
                <w:szCs w:val="20"/>
                <w:color w:val="auto"/>
              </w:rPr>
            </w:pPr>
            <w:r>
              <w:rPr>
                <w:rFonts w:ascii="Times New Roman" w:cs="Times New Roman" w:eastAsia="Times New Roman" w:hAnsi="Times New Roman"/>
                <w:sz w:val="9"/>
                <w:szCs w:val="9"/>
                <w:color w:val="231F20"/>
              </w:rPr>
              <w:t>(3)(4)(9)</w:t>
            </w:r>
          </w:p>
        </w:tc>
        <w:tc>
          <w:tcPr>
            <w:tcW w:w="2420" w:type="dxa"/>
            <w:vAlign w:val="bottom"/>
            <w:tcBorders>
              <w:bottom w:val="single" w:sz="8" w:color="D0EBF2"/>
            </w:tcBorders>
            <w:shd w:val="clear" w:color="auto" w:fill="D0EBF2"/>
          </w:tcPr>
          <w:p>
            <w:pPr>
              <w:spacing w:after="0"/>
              <w:rPr>
                <w:sz w:val="13"/>
                <w:szCs w:val="13"/>
                <w:color w:val="auto"/>
              </w:rPr>
            </w:pPr>
          </w:p>
        </w:tc>
        <w:tc>
          <w:tcPr>
            <w:tcW w:w="820" w:type="dxa"/>
            <w:vAlign w:val="bottom"/>
            <w:tcBorders>
              <w:bottom w:val="single" w:sz="8" w:color="D0EBF2"/>
            </w:tcBorders>
            <w:shd w:val="clear" w:color="auto" w:fill="D0EBF2"/>
          </w:tcPr>
          <w:p>
            <w:pPr>
              <w:spacing w:after="0"/>
              <w:rPr>
                <w:sz w:val="13"/>
                <w:szCs w:val="13"/>
                <w:color w:val="auto"/>
              </w:rPr>
            </w:pPr>
          </w:p>
        </w:tc>
        <w:tc>
          <w:tcPr>
            <w:tcW w:w="1200" w:type="dxa"/>
            <w:vAlign w:val="bottom"/>
            <w:tcBorders>
              <w:bottom w:val="single" w:sz="8" w:color="D0EBF2"/>
            </w:tcBorders>
            <w:shd w:val="clear" w:color="auto" w:fill="D0EBF2"/>
          </w:tcPr>
          <w:p>
            <w:pPr>
              <w:spacing w:after="0"/>
              <w:rPr>
                <w:sz w:val="13"/>
                <w:szCs w:val="13"/>
                <w:color w:val="auto"/>
              </w:rPr>
            </w:pPr>
          </w:p>
        </w:tc>
        <w:tc>
          <w:tcPr>
            <w:tcW w:w="900" w:type="dxa"/>
            <w:vAlign w:val="bottom"/>
            <w:tcBorders>
              <w:bottom w:val="single" w:sz="8" w:color="D0EBF2"/>
            </w:tcBorders>
            <w:shd w:val="clear" w:color="auto" w:fill="D0EBF2"/>
          </w:tcPr>
          <w:p>
            <w:pPr>
              <w:spacing w:after="0"/>
              <w:rPr>
                <w:sz w:val="13"/>
                <w:szCs w:val="13"/>
                <w:color w:val="auto"/>
              </w:rPr>
            </w:pPr>
          </w:p>
        </w:tc>
        <w:tc>
          <w:tcPr>
            <w:tcW w:w="1000" w:type="dxa"/>
            <w:vAlign w:val="bottom"/>
            <w:tcBorders>
              <w:bottom w:val="single" w:sz="8" w:color="D0EBF2"/>
            </w:tcBorders>
            <w:shd w:val="clear" w:color="auto" w:fill="D0EBF2"/>
          </w:tcPr>
          <w:p>
            <w:pPr>
              <w:spacing w:after="0"/>
              <w:rPr>
                <w:sz w:val="13"/>
                <w:szCs w:val="13"/>
                <w:color w:val="auto"/>
              </w:rPr>
            </w:pPr>
          </w:p>
        </w:tc>
        <w:tc>
          <w:tcPr>
            <w:tcW w:w="180" w:type="dxa"/>
            <w:vAlign w:val="bottom"/>
            <w:tcBorders>
              <w:bottom w:val="single" w:sz="8" w:color="D0EBF2"/>
            </w:tcBorders>
            <w:shd w:val="clear" w:color="auto" w:fill="D0EBF2"/>
          </w:tcPr>
          <w:p>
            <w:pPr>
              <w:spacing w:after="0"/>
              <w:rPr>
                <w:sz w:val="13"/>
                <w:szCs w:val="13"/>
                <w:color w:val="auto"/>
              </w:rPr>
            </w:pPr>
          </w:p>
        </w:tc>
        <w:tc>
          <w:tcPr>
            <w:tcW w:w="960" w:type="dxa"/>
            <w:vAlign w:val="bottom"/>
            <w:tcBorders>
              <w:bottom w:val="single" w:sz="8" w:color="D0EBF2"/>
            </w:tcBorders>
            <w:shd w:val="clear" w:color="auto" w:fill="D0EBF2"/>
          </w:tcPr>
          <w:p>
            <w:pPr>
              <w:spacing w:after="0"/>
              <w:rPr>
                <w:sz w:val="13"/>
                <w:szCs w:val="13"/>
                <w:color w:val="auto"/>
              </w:rPr>
            </w:pPr>
          </w:p>
        </w:tc>
        <w:tc>
          <w:tcPr>
            <w:tcW w:w="200" w:type="dxa"/>
            <w:vAlign w:val="bottom"/>
            <w:tcBorders>
              <w:bottom w:val="single" w:sz="8" w:color="D0EBF2"/>
            </w:tcBorders>
            <w:shd w:val="clear" w:color="auto" w:fill="D0EBF2"/>
          </w:tcPr>
          <w:p>
            <w:pPr>
              <w:spacing w:after="0"/>
              <w:rPr>
                <w:sz w:val="13"/>
                <w:szCs w:val="13"/>
                <w:color w:val="auto"/>
              </w:rPr>
            </w:pPr>
          </w:p>
        </w:tc>
        <w:tc>
          <w:tcPr>
            <w:tcW w:w="900" w:type="dxa"/>
            <w:vAlign w:val="bottom"/>
            <w:tcBorders>
              <w:bottom w:val="single" w:sz="8" w:color="D0EBF2"/>
            </w:tcBorders>
            <w:shd w:val="clear" w:color="auto" w:fill="D0EBF2"/>
          </w:tcPr>
          <w:p>
            <w:pPr>
              <w:spacing w:after="0"/>
              <w:rPr>
                <w:sz w:val="13"/>
                <w:szCs w:val="13"/>
                <w:color w:val="auto"/>
              </w:rPr>
            </w:pPr>
          </w:p>
        </w:tc>
        <w:tc>
          <w:tcPr>
            <w:tcW w:w="240" w:type="dxa"/>
            <w:vAlign w:val="bottom"/>
            <w:tcBorders>
              <w:bottom w:val="single" w:sz="8" w:color="D0EBF2"/>
            </w:tcBorders>
            <w:shd w:val="clear" w:color="auto" w:fill="D0EBF2"/>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1460" w:type="dxa"/>
            <w:vAlign w:val="bottom"/>
            <w:shd w:val="clear" w:color="auto" w:fill="FDFDFC"/>
          </w:tcPr>
          <w:p>
            <w:pPr>
              <w:spacing w:after="0" w:line="159" w:lineRule="exact"/>
              <w:rPr>
                <w:sz w:val="20"/>
                <w:szCs w:val="20"/>
                <w:color w:val="auto"/>
              </w:rPr>
            </w:pPr>
            <w:r>
              <w:rPr>
                <w:rFonts w:ascii="Times New Roman" w:cs="Times New Roman" w:eastAsia="Times New Roman" w:hAnsi="Times New Roman"/>
                <w:sz w:val="15"/>
                <w:szCs w:val="15"/>
                <w:color w:val="231F20"/>
              </w:rPr>
              <w:t>Carlyle Global Market</w:t>
            </w:r>
          </w:p>
        </w:tc>
        <w:tc>
          <w:tcPr>
            <w:tcW w:w="2420" w:type="dxa"/>
            <w:vAlign w:val="bottom"/>
            <w:shd w:val="clear" w:color="auto" w:fill="FDFDFC"/>
          </w:tcPr>
          <w:p>
            <w:pPr>
              <w:ind w:left="60"/>
              <w:spacing w:after="0" w:line="159" w:lineRule="exact"/>
              <w:rPr>
                <w:sz w:val="20"/>
                <w:szCs w:val="20"/>
                <w:color w:val="auto"/>
              </w:rPr>
            </w:pPr>
            <w:r>
              <w:rPr>
                <w:rFonts w:ascii="Times New Roman" w:cs="Times New Roman" w:eastAsia="Times New Roman" w:hAnsi="Times New Roman"/>
                <w:sz w:val="15"/>
                <w:szCs w:val="15"/>
                <w:color w:val="231F20"/>
              </w:rPr>
              <w:t>Structured Credit ($1,550 par, due</w:t>
            </w:r>
          </w:p>
        </w:tc>
        <w:tc>
          <w:tcPr>
            <w:tcW w:w="820" w:type="dxa"/>
            <w:vAlign w:val="bottom"/>
            <w:shd w:val="clear" w:color="auto" w:fill="FDFDFC"/>
          </w:tcPr>
          <w:p>
            <w:pPr>
              <w:jc w:val="right"/>
              <w:spacing w:after="0" w:line="159" w:lineRule="exact"/>
              <w:rPr>
                <w:sz w:val="20"/>
                <w:szCs w:val="20"/>
                <w:color w:val="auto"/>
              </w:rPr>
            </w:pPr>
            <w:r>
              <w:rPr>
                <w:rFonts w:ascii="Times New Roman" w:cs="Times New Roman" w:eastAsia="Times New Roman" w:hAnsi="Times New Roman"/>
                <w:sz w:val="15"/>
                <w:szCs w:val="15"/>
                <w:color w:val="231F20"/>
              </w:rPr>
              <w:t>8/11/2020</w:t>
            </w:r>
          </w:p>
        </w:tc>
        <w:tc>
          <w:tcPr>
            <w:tcW w:w="1200" w:type="dxa"/>
            <w:vAlign w:val="bottom"/>
            <w:shd w:val="clear" w:color="auto" w:fill="FDFDFC"/>
          </w:tcPr>
          <w:p>
            <w:pPr>
              <w:jc w:val="right"/>
              <w:ind w:right="244"/>
              <w:spacing w:after="0" w:line="159" w:lineRule="exact"/>
              <w:rPr>
                <w:sz w:val="20"/>
                <w:szCs w:val="20"/>
                <w:color w:val="auto"/>
              </w:rPr>
            </w:pPr>
            <w:r>
              <w:rPr>
                <w:rFonts w:ascii="Times New Roman" w:cs="Times New Roman" w:eastAsia="Times New Roman" w:hAnsi="Times New Roman"/>
                <w:sz w:val="15"/>
                <w:szCs w:val="15"/>
                <w:color w:val="231F20"/>
              </w:rPr>
              <w:t>SOFR +</w:t>
            </w:r>
          </w:p>
        </w:tc>
        <w:tc>
          <w:tcPr>
            <w:tcW w:w="900" w:type="dxa"/>
            <w:vAlign w:val="bottom"/>
            <w:shd w:val="clear" w:color="auto" w:fill="FDFDFC"/>
          </w:tcPr>
          <w:p>
            <w:pPr>
              <w:jc w:val="right"/>
              <w:ind w:right="24"/>
              <w:spacing w:after="0" w:line="159" w:lineRule="exact"/>
              <w:rPr>
                <w:sz w:val="20"/>
                <w:szCs w:val="20"/>
                <w:color w:val="auto"/>
              </w:rPr>
            </w:pPr>
            <w:r>
              <w:rPr>
                <w:rFonts w:ascii="Times New Roman" w:cs="Times New Roman" w:eastAsia="Times New Roman" w:hAnsi="Times New Roman"/>
                <w:sz w:val="15"/>
                <w:szCs w:val="15"/>
                <w:color w:val="231F20"/>
              </w:rPr>
              <w:t>11.42%</w:t>
            </w:r>
          </w:p>
        </w:tc>
        <w:tc>
          <w:tcPr>
            <w:tcW w:w="1000" w:type="dxa"/>
            <w:vAlign w:val="bottom"/>
            <w:shd w:val="clear" w:color="auto" w:fill="FDFDFC"/>
          </w:tcPr>
          <w:p>
            <w:pPr>
              <w:jc w:val="right"/>
              <w:spacing w:after="0" w:line="159" w:lineRule="exact"/>
              <w:rPr>
                <w:sz w:val="20"/>
                <w:szCs w:val="20"/>
                <w:color w:val="auto"/>
              </w:rPr>
            </w:pPr>
            <w:r>
              <w:rPr>
                <w:rFonts w:ascii="Times New Roman" w:cs="Times New Roman" w:eastAsia="Times New Roman" w:hAnsi="Times New Roman"/>
                <w:sz w:val="15"/>
                <w:szCs w:val="15"/>
                <w:color w:val="231F20"/>
              </w:rPr>
              <w:t>1,264</w:t>
            </w:r>
          </w:p>
        </w:tc>
        <w:tc>
          <w:tcPr>
            <w:tcW w:w="1140" w:type="dxa"/>
            <w:vAlign w:val="bottom"/>
            <w:gridSpan w:val="2"/>
            <w:shd w:val="clear" w:color="auto" w:fill="FDFDFC"/>
          </w:tcPr>
          <w:p>
            <w:pPr>
              <w:jc w:val="right"/>
              <w:spacing w:after="0" w:line="159" w:lineRule="exact"/>
              <w:rPr>
                <w:sz w:val="20"/>
                <w:szCs w:val="20"/>
                <w:color w:val="auto"/>
              </w:rPr>
            </w:pPr>
            <w:r>
              <w:rPr>
                <w:rFonts w:ascii="Times New Roman" w:cs="Times New Roman" w:eastAsia="Times New Roman" w:hAnsi="Times New Roman"/>
                <w:sz w:val="15"/>
                <w:szCs w:val="15"/>
                <w:color w:val="231F20"/>
              </w:rPr>
              <w:t>1,442</w:t>
            </w:r>
          </w:p>
        </w:tc>
        <w:tc>
          <w:tcPr>
            <w:tcW w:w="1340" w:type="dxa"/>
            <w:vAlign w:val="bottom"/>
            <w:gridSpan w:val="3"/>
            <w:shd w:val="clear" w:color="auto" w:fill="FDFDFC"/>
          </w:tcPr>
          <w:p>
            <w:pPr>
              <w:jc w:val="right"/>
              <w:ind w:right="120"/>
              <w:spacing w:after="0" w:line="159" w:lineRule="exact"/>
              <w:rPr>
                <w:sz w:val="20"/>
                <w:szCs w:val="20"/>
                <w:color w:val="auto"/>
              </w:rPr>
            </w:pPr>
            <w:r>
              <w:rPr>
                <w:rFonts w:ascii="Times New Roman" w:cs="Times New Roman" w:eastAsia="Times New Roman" w:hAnsi="Times New Roman"/>
                <w:sz w:val="15"/>
                <w:szCs w:val="15"/>
                <w:color w:val="231F20"/>
              </w:rPr>
              <w:t>0.1%</w:t>
            </w:r>
          </w:p>
        </w:tc>
        <w:tc>
          <w:tcPr>
            <w:tcW w:w="0" w:type="dxa"/>
            <w:vAlign w:val="bottom"/>
          </w:tcPr>
          <w:p>
            <w:pPr>
              <w:spacing w:after="0"/>
              <w:rPr>
                <w:sz w:val="1"/>
                <w:szCs w:val="1"/>
                <w:color w:val="auto"/>
              </w:rPr>
            </w:pPr>
          </w:p>
        </w:tc>
      </w:tr>
      <w:tr>
        <w:trPr>
          <w:trHeight w:val="174"/>
        </w:trPr>
        <w:tc>
          <w:tcPr>
            <w:tcW w:w="1460" w:type="dxa"/>
            <w:vAlign w:val="bottom"/>
            <w:shd w:val="clear" w:color="auto" w:fill="FDFDFC"/>
          </w:tcPr>
          <w:p>
            <w:pPr>
              <w:spacing w:after="0"/>
              <w:rPr>
                <w:sz w:val="20"/>
                <w:szCs w:val="20"/>
                <w:color w:val="auto"/>
              </w:rPr>
            </w:pPr>
            <w:r>
              <w:rPr>
                <w:rFonts w:ascii="Times New Roman" w:cs="Times New Roman" w:eastAsia="Times New Roman" w:hAnsi="Times New Roman"/>
                <w:sz w:val="15"/>
                <w:szCs w:val="15"/>
                <w:color w:val="231F20"/>
              </w:rPr>
              <w:t>Strategies CLO Ltd,</w:t>
            </w:r>
          </w:p>
        </w:tc>
        <w:tc>
          <w:tcPr>
            <w:tcW w:w="2420" w:type="dxa"/>
            <w:vAlign w:val="bottom"/>
            <w:shd w:val="clear" w:color="auto" w:fill="FDFDFC"/>
          </w:tcPr>
          <w:p>
            <w:pPr>
              <w:ind w:left="60"/>
              <w:spacing w:after="0"/>
              <w:rPr>
                <w:sz w:val="20"/>
                <w:szCs w:val="20"/>
                <w:color w:val="auto"/>
              </w:rPr>
            </w:pPr>
            <w:r>
              <w:rPr>
                <w:rFonts w:ascii="Times New Roman" w:cs="Times New Roman" w:eastAsia="Times New Roman" w:hAnsi="Times New Roman"/>
                <w:sz w:val="15"/>
                <w:szCs w:val="15"/>
                <w:color w:val="231F20"/>
              </w:rPr>
              <w:t>4/2031)</w:t>
            </w:r>
          </w:p>
        </w:tc>
        <w:tc>
          <w:tcPr>
            <w:tcW w:w="820" w:type="dxa"/>
            <w:vAlign w:val="bottom"/>
            <w:shd w:val="clear" w:color="auto" w:fill="FDFDFC"/>
          </w:tcPr>
          <w:p>
            <w:pPr>
              <w:spacing w:after="0"/>
              <w:rPr>
                <w:sz w:val="15"/>
                <w:szCs w:val="15"/>
                <w:color w:val="auto"/>
              </w:rPr>
            </w:pPr>
          </w:p>
        </w:tc>
        <w:tc>
          <w:tcPr>
            <w:tcW w:w="1200" w:type="dxa"/>
            <w:vAlign w:val="bottom"/>
            <w:shd w:val="clear" w:color="auto" w:fill="FDFDFC"/>
          </w:tcPr>
          <w:p>
            <w:pPr>
              <w:jc w:val="right"/>
              <w:ind w:right="244"/>
              <w:spacing w:after="0"/>
              <w:rPr>
                <w:sz w:val="20"/>
                <w:szCs w:val="20"/>
                <w:color w:val="auto"/>
              </w:rPr>
            </w:pPr>
            <w:r>
              <w:rPr>
                <w:rFonts w:ascii="Times New Roman" w:cs="Times New Roman" w:eastAsia="Times New Roman" w:hAnsi="Times New Roman"/>
                <w:sz w:val="15"/>
                <w:szCs w:val="15"/>
                <w:color w:val="231F20"/>
              </w:rPr>
              <w:t>6.01%</w:t>
            </w:r>
          </w:p>
        </w:tc>
        <w:tc>
          <w:tcPr>
            <w:tcW w:w="900" w:type="dxa"/>
            <w:vAlign w:val="bottom"/>
            <w:shd w:val="clear" w:color="auto" w:fill="FDFDFC"/>
          </w:tcPr>
          <w:p>
            <w:pPr>
              <w:spacing w:after="0"/>
              <w:rPr>
                <w:sz w:val="15"/>
                <w:szCs w:val="15"/>
                <w:color w:val="auto"/>
              </w:rPr>
            </w:pPr>
          </w:p>
        </w:tc>
        <w:tc>
          <w:tcPr>
            <w:tcW w:w="1000" w:type="dxa"/>
            <w:vAlign w:val="bottom"/>
            <w:shd w:val="clear" w:color="auto" w:fill="FDFDFC"/>
          </w:tcPr>
          <w:p>
            <w:pPr>
              <w:spacing w:after="0"/>
              <w:rPr>
                <w:sz w:val="15"/>
                <w:szCs w:val="15"/>
                <w:color w:val="auto"/>
              </w:rPr>
            </w:pPr>
          </w:p>
        </w:tc>
        <w:tc>
          <w:tcPr>
            <w:tcW w:w="180" w:type="dxa"/>
            <w:vAlign w:val="bottom"/>
            <w:shd w:val="clear" w:color="auto" w:fill="FDFDFC"/>
          </w:tcPr>
          <w:p>
            <w:pPr>
              <w:spacing w:after="0"/>
              <w:rPr>
                <w:sz w:val="15"/>
                <w:szCs w:val="15"/>
                <w:color w:val="auto"/>
              </w:rPr>
            </w:pPr>
          </w:p>
        </w:tc>
        <w:tc>
          <w:tcPr>
            <w:tcW w:w="960" w:type="dxa"/>
            <w:vAlign w:val="bottom"/>
            <w:shd w:val="clear" w:color="auto" w:fill="FDFDFC"/>
          </w:tcPr>
          <w:p>
            <w:pPr>
              <w:spacing w:after="0"/>
              <w:rPr>
                <w:sz w:val="15"/>
                <w:szCs w:val="15"/>
                <w:color w:val="auto"/>
              </w:rPr>
            </w:pPr>
          </w:p>
        </w:tc>
        <w:tc>
          <w:tcPr>
            <w:tcW w:w="200" w:type="dxa"/>
            <w:vAlign w:val="bottom"/>
            <w:shd w:val="clear" w:color="auto" w:fill="FDFDFC"/>
          </w:tcPr>
          <w:p>
            <w:pPr>
              <w:spacing w:after="0"/>
              <w:rPr>
                <w:sz w:val="15"/>
                <w:szCs w:val="15"/>
                <w:color w:val="auto"/>
              </w:rPr>
            </w:pPr>
          </w:p>
        </w:tc>
        <w:tc>
          <w:tcPr>
            <w:tcW w:w="900" w:type="dxa"/>
            <w:vAlign w:val="bottom"/>
            <w:shd w:val="clear" w:color="auto" w:fill="FDFDFC"/>
          </w:tcPr>
          <w:p>
            <w:pPr>
              <w:spacing w:after="0"/>
              <w:rPr>
                <w:sz w:val="15"/>
                <w:szCs w:val="15"/>
                <w:color w:val="auto"/>
              </w:rPr>
            </w:pPr>
          </w:p>
        </w:tc>
        <w:tc>
          <w:tcPr>
            <w:tcW w:w="240" w:type="dxa"/>
            <w:vAlign w:val="bottom"/>
            <w:shd w:val="clear" w:color="auto" w:fill="FDFDFC"/>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1460" w:type="dxa"/>
            <w:vAlign w:val="bottom"/>
            <w:shd w:val="clear" w:color="auto" w:fill="FDFDFC"/>
          </w:tcPr>
          <w:p>
            <w:pPr>
              <w:spacing w:after="0"/>
              <w:rPr>
                <w:sz w:val="20"/>
                <w:szCs w:val="20"/>
                <w:color w:val="auto"/>
              </w:rPr>
            </w:pPr>
            <w:r>
              <w:rPr>
                <w:rFonts w:ascii="Times New Roman" w:cs="Times New Roman" w:eastAsia="Times New Roman" w:hAnsi="Times New Roman"/>
                <w:sz w:val="15"/>
                <w:szCs w:val="15"/>
                <w:color w:val="231F20"/>
              </w:rPr>
              <w:t xml:space="preserve">Series 2018-1A </w:t>
            </w:r>
            <w:r>
              <w:rPr>
                <w:rFonts w:ascii="Times New Roman" w:cs="Times New Roman" w:eastAsia="Times New Roman" w:hAnsi="Times New Roman"/>
                <w:sz w:val="9"/>
                <w:szCs w:val="9"/>
                <w:color w:val="231F20"/>
              </w:rPr>
              <w:t>(3)(4)(9)</w:t>
            </w:r>
          </w:p>
        </w:tc>
        <w:tc>
          <w:tcPr>
            <w:tcW w:w="2420" w:type="dxa"/>
            <w:vAlign w:val="bottom"/>
            <w:shd w:val="clear" w:color="auto" w:fill="FDFDFC"/>
          </w:tcPr>
          <w:p>
            <w:pPr>
              <w:spacing w:after="0"/>
              <w:rPr>
                <w:sz w:val="16"/>
                <w:szCs w:val="16"/>
                <w:color w:val="auto"/>
              </w:rPr>
            </w:pPr>
          </w:p>
        </w:tc>
        <w:tc>
          <w:tcPr>
            <w:tcW w:w="820" w:type="dxa"/>
            <w:vAlign w:val="bottom"/>
            <w:shd w:val="clear" w:color="auto" w:fill="FDFDFC"/>
          </w:tcPr>
          <w:p>
            <w:pPr>
              <w:spacing w:after="0"/>
              <w:rPr>
                <w:sz w:val="16"/>
                <w:szCs w:val="16"/>
                <w:color w:val="auto"/>
              </w:rPr>
            </w:pPr>
          </w:p>
        </w:tc>
        <w:tc>
          <w:tcPr>
            <w:tcW w:w="1200" w:type="dxa"/>
            <w:vAlign w:val="bottom"/>
            <w:shd w:val="clear" w:color="auto" w:fill="FDFDFC"/>
          </w:tcPr>
          <w:p>
            <w:pPr>
              <w:spacing w:after="0"/>
              <w:rPr>
                <w:sz w:val="16"/>
                <w:szCs w:val="16"/>
                <w:color w:val="auto"/>
              </w:rPr>
            </w:pPr>
          </w:p>
        </w:tc>
        <w:tc>
          <w:tcPr>
            <w:tcW w:w="900" w:type="dxa"/>
            <w:vAlign w:val="bottom"/>
            <w:shd w:val="clear" w:color="auto" w:fill="FDFDFC"/>
          </w:tcPr>
          <w:p>
            <w:pPr>
              <w:spacing w:after="0"/>
              <w:rPr>
                <w:sz w:val="16"/>
                <w:szCs w:val="16"/>
                <w:color w:val="auto"/>
              </w:rPr>
            </w:pPr>
          </w:p>
        </w:tc>
        <w:tc>
          <w:tcPr>
            <w:tcW w:w="1000" w:type="dxa"/>
            <w:vAlign w:val="bottom"/>
            <w:shd w:val="clear" w:color="auto" w:fill="FDFDFC"/>
          </w:tcPr>
          <w:p>
            <w:pPr>
              <w:spacing w:after="0"/>
              <w:rPr>
                <w:sz w:val="16"/>
                <w:szCs w:val="16"/>
                <w:color w:val="auto"/>
              </w:rPr>
            </w:pPr>
          </w:p>
        </w:tc>
        <w:tc>
          <w:tcPr>
            <w:tcW w:w="180" w:type="dxa"/>
            <w:vAlign w:val="bottom"/>
            <w:shd w:val="clear" w:color="auto" w:fill="FDFDFC"/>
          </w:tcPr>
          <w:p>
            <w:pPr>
              <w:spacing w:after="0"/>
              <w:rPr>
                <w:sz w:val="16"/>
                <w:szCs w:val="16"/>
                <w:color w:val="auto"/>
              </w:rPr>
            </w:pPr>
          </w:p>
        </w:tc>
        <w:tc>
          <w:tcPr>
            <w:tcW w:w="960" w:type="dxa"/>
            <w:vAlign w:val="bottom"/>
            <w:shd w:val="clear" w:color="auto" w:fill="FDFDFC"/>
          </w:tcPr>
          <w:p>
            <w:pPr>
              <w:spacing w:after="0"/>
              <w:rPr>
                <w:sz w:val="16"/>
                <w:szCs w:val="16"/>
                <w:color w:val="auto"/>
              </w:rPr>
            </w:pPr>
          </w:p>
        </w:tc>
        <w:tc>
          <w:tcPr>
            <w:tcW w:w="200" w:type="dxa"/>
            <w:vAlign w:val="bottom"/>
            <w:shd w:val="clear" w:color="auto" w:fill="FDFDFC"/>
          </w:tcPr>
          <w:p>
            <w:pPr>
              <w:spacing w:after="0"/>
              <w:rPr>
                <w:sz w:val="16"/>
                <w:szCs w:val="16"/>
                <w:color w:val="auto"/>
              </w:rPr>
            </w:pPr>
          </w:p>
        </w:tc>
        <w:tc>
          <w:tcPr>
            <w:tcW w:w="900" w:type="dxa"/>
            <w:vAlign w:val="bottom"/>
            <w:shd w:val="clear" w:color="auto" w:fill="FDFDFC"/>
          </w:tcPr>
          <w:p>
            <w:pPr>
              <w:spacing w:after="0"/>
              <w:rPr>
                <w:sz w:val="16"/>
                <w:szCs w:val="16"/>
                <w:color w:val="auto"/>
              </w:rPr>
            </w:pPr>
          </w:p>
        </w:tc>
        <w:tc>
          <w:tcPr>
            <w:tcW w:w="240" w:type="dxa"/>
            <w:vAlign w:val="bottom"/>
            <w:shd w:val="clear" w:color="auto" w:fill="FDFDFC"/>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5798820</wp:posOffset>
                </wp:positionH>
                <wp:positionV relativeFrom="paragraph">
                  <wp:posOffset>-6649720</wp:posOffset>
                </wp:positionV>
                <wp:extent cx="575310" cy="109855"/>
                <wp:wrapNone/>
                <wp:docPr id="75" name="Shape 7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75310" cy="109855"/>
                        </a:xfrm>
                        <a:prstGeom prst="rect">
                          <a:avLst/>
                        </a:prstGeom>
                        <a:solidFill>
                          <a:srgbClr val="D0EBF2"/>
                        </a:solidFill>
                      </wps:spPr>
                      <wps:bodyPr/>
                    </wps:wsp>
                  </a:graphicData>
                </a:graphic>
              </wp:anchor>
            </w:drawing>
          </mc:Choice>
          <mc:Fallback>
            <w:pict>
              <v:rect id="Shape 75" o:spid="_x0000_s1100" style="position:absolute;margin-left:456.6pt;margin-top:-523.5999pt;width:45.3pt;height:8.6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0EBF2" stroked="f"/>
            </w:pict>
          </mc:Fallback>
        </mc:AlternateContent>
        <mc:AlternateContent>
          <mc:Choice Requires="wps">
            <w:drawing>
              <wp:anchor simplePos="0" relativeHeight="251657728" behindDoc="1" locked="0" layoutInCell="0" allowOverlap="1">
                <wp:simplePos x="0" y="0"/>
                <wp:positionH relativeFrom="column">
                  <wp:posOffset>6374130</wp:posOffset>
                </wp:positionH>
                <wp:positionV relativeFrom="paragraph">
                  <wp:posOffset>-6656070</wp:posOffset>
                </wp:positionV>
                <wp:extent cx="153670" cy="116205"/>
                <wp:wrapNone/>
                <wp:docPr id="76" name="Shape 7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53670" cy="116205"/>
                        </a:xfrm>
                        <a:prstGeom prst="rect">
                          <a:avLst/>
                        </a:prstGeom>
                        <a:solidFill>
                          <a:srgbClr val="D0EBF2"/>
                        </a:solidFill>
                      </wps:spPr>
                      <wps:bodyPr/>
                    </wps:wsp>
                  </a:graphicData>
                </a:graphic>
              </wp:anchor>
            </w:drawing>
          </mc:Choice>
          <mc:Fallback>
            <w:pict>
              <v:rect id="Shape 76" o:spid="_x0000_s1101" style="position:absolute;margin-left:501.9pt;margin-top:-524.0999pt;width:12.1pt;height:9.1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0EBF2" stroked="f"/>
            </w:pict>
          </mc:Fallback>
        </mc:AlternateContent>
        <mc:AlternateContent>
          <mc:Choice Requires="wps">
            <w:drawing>
              <wp:anchor simplePos="0" relativeHeight="251657728" behindDoc="1" locked="0" layoutInCell="0" allowOverlap="1">
                <wp:simplePos x="0" y="0"/>
                <wp:positionH relativeFrom="column">
                  <wp:posOffset>5798820</wp:posOffset>
                </wp:positionH>
                <wp:positionV relativeFrom="paragraph">
                  <wp:posOffset>-5534660</wp:posOffset>
                </wp:positionV>
                <wp:extent cx="575310" cy="110490"/>
                <wp:wrapNone/>
                <wp:docPr id="77" name="Shape 7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75310" cy="110490"/>
                        </a:xfrm>
                        <a:prstGeom prst="rect">
                          <a:avLst/>
                        </a:prstGeom>
                        <a:solidFill>
                          <a:srgbClr val="D0EBF2"/>
                        </a:solidFill>
                      </wps:spPr>
                      <wps:bodyPr/>
                    </wps:wsp>
                  </a:graphicData>
                </a:graphic>
              </wp:anchor>
            </w:drawing>
          </mc:Choice>
          <mc:Fallback>
            <w:pict>
              <v:rect id="Shape 77" o:spid="_x0000_s1102" style="position:absolute;margin-left:456.6pt;margin-top:-435.7999pt;width:45.3pt;height:8.7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0EBF2" stroked="f"/>
            </w:pict>
          </mc:Fallback>
        </mc:AlternateContent>
        <mc:AlternateContent>
          <mc:Choice Requires="wps">
            <w:drawing>
              <wp:anchor simplePos="0" relativeHeight="251657728" behindDoc="1" locked="0" layoutInCell="0" allowOverlap="1">
                <wp:simplePos x="0" y="0"/>
                <wp:positionH relativeFrom="column">
                  <wp:posOffset>6374130</wp:posOffset>
                </wp:positionH>
                <wp:positionV relativeFrom="paragraph">
                  <wp:posOffset>-5540375</wp:posOffset>
                </wp:positionV>
                <wp:extent cx="153670" cy="116205"/>
                <wp:wrapNone/>
                <wp:docPr id="78" name="Shape 7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53670" cy="116205"/>
                        </a:xfrm>
                        <a:prstGeom prst="rect">
                          <a:avLst/>
                        </a:prstGeom>
                        <a:solidFill>
                          <a:srgbClr val="D0EBF2"/>
                        </a:solidFill>
                      </wps:spPr>
                      <wps:bodyPr/>
                    </wps:wsp>
                  </a:graphicData>
                </a:graphic>
              </wp:anchor>
            </w:drawing>
          </mc:Choice>
          <mc:Fallback>
            <w:pict>
              <v:rect id="Shape 78" o:spid="_x0000_s1103" style="position:absolute;margin-left:501.9pt;margin-top:-436.2499pt;width:12.1pt;height:9.1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0EBF2" stroked="f"/>
            </w:pict>
          </mc:Fallback>
        </mc:AlternateContent>
        <mc:AlternateContent>
          <mc:Choice Requires="wps">
            <w:drawing>
              <wp:anchor simplePos="0" relativeHeight="251657728" behindDoc="1" locked="0" layoutInCell="0" allowOverlap="1">
                <wp:simplePos x="0" y="0"/>
                <wp:positionH relativeFrom="column">
                  <wp:posOffset>5798820</wp:posOffset>
                </wp:positionH>
                <wp:positionV relativeFrom="paragraph">
                  <wp:posOffset>-3867785</wp:posOffset>
                </wp:positionV>
                <wp:extent cx="575310" cy="110490"/>
                <wp:wrapNone/>
                <wp:docPr id="79" name="Shape 7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75310" cy="110490"/>
                        </a:xfrm>
                        <a:prstGeom prst="rect">
                          <a:avLst/>
                        </a:prstGeom>
                        <a:solidFill>
                          <a:srgbClr val="FDFDFC"/>
                        </a:solidFill>
                      </wps:spPr>
                      <wps:bodyPr/>
                    </wps:wsp>
                  </a:graphicData>
                </a:graphic>
              </wp:anchor>
            </w:drawing>
          </mc:Choice>
          <mc:Fallback>
            <w:pict>
              <v:rect id="Shape 79" o:spid="_x0000_s1104" style="position:absolute;margin-left:456.6pt;margin-top:-304.5499pt;width:45.3pt;height:8.7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FDFDFC" stroked="f"/>
            </w:pict>
          </mc:Fallback>
        </mc:AlternateContent>
        <mc:AlternateContent>
          <mc:Choice Requires="wps">
            <w:drawing>
              <wp:anchor simplePos="0" relativeHeight="251657728" behindDoc="1" locked="0" layoutInCell="0" allowOverlap="1">
                <wp:simplePos x="0" y="0"/>
                <wp:positionH relativeFrom="column">
                  <wp:posOffset>6374130</wp:posOffset>
                </wp:positionH>
                <wp:positionV relativeFrom="paragraph">
                  <wp:posOffset>-3873500</wp:posOffset>
                </wp:positionV>
                <wp:extent cx="153670" cy="116205"/>
                <wp:wrapNone/>
                <wp:docPr id="80" name="Shape 8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53670" cy="116205"/>
                        </a:xfrm>
                        <a:prstGeom prst="rect">
                          <a:avLst/>
                        </a:prstGeom>
                        <a:solidFill>
                          <a:srgbClr val="FDFDFC"/>
                        </a:solidFill>
                      </wps:spPr>
                      <wps:bodyPr/>
                    </wps:wsp>
                  </a:graphicData>
                </a:graphic>
              </wp:anchor>
            </w:drawing>
          </mc:Choice>
          <mc:Fallback>
            <w:pict>
              <v:rect id="Shape 80" o:spid="_x0000_s1105" style="position:absolute;margin-left:501.9pt;margin-top:-305pt;width:12.1pt;height:9.1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FDFDFC" stroked="f"/>
            </w:pict>
          </mc:Fallback>
        </mc:AlternateContent>
      </w:r>
    </w:p>
    <w:p>
      <w:pPr>
        <w:sectPr>
          <w:pgSz w:w="12240" w:h="15840" w:orient="portrait"/>
          <w:cols w:equalWidth="0" w:num="1">
            <w:col w:w="10280"/>
          </w:cols>
          <w:pgMar w:left="980" w:top="1322" w:right="980" w:bottom="574" w:gutter="0" w:footer="0" w:header="0"/>
        </w:sect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231F20"/>
        </w:rPr>
        <w:t>F-21</w:t>
      </w:r>
    </w:p>
    <w:p>
      <w:pPr>
        <w:sectPr>
          <w:pgSz w:w="12240" w:h="15840" w:orient="portrait"/>
          <w:cols w:equalWidth="0" w:num="1">
            <w:col w:w="10280"/>
          </w:cols>
          <w:pgMar w:left="980" w:top="1322" w:right="980" w:bottom="574" w:gutter="0" w:footer="0" w:header="0"/>
          <w:type w:val="continuous"/>
        </w:sectPr>
      </w:pPr>
    </w:p>
    <w:bookmarkStart w:id="109" w:name="page110"/>
    <w:bookmarkEnd w:id="109"/>
    <w:tbl>
      <w:tblPr>
        <w:tblLayout w:type="fixed"/>
        <w:tblInd w:w="0" w:type="dxa"/>
        <w:tblCellMar>
          <w:top w:w="0" w:type="dxa"/>
          <w:left w:w="0" w:type="dxa"/>
          <w:bottom w:w="0" w:type="dxa"/>
          <w:right w:w="0" w:type="dxa"/>
        </w:tblCellMar>
      </w:tblPr>
      <w:tr>
        <w:trPr>
          <w:trHeight w:val="172"/>
        </w:trPr>
        <w:tc>
          <w:tcPr>
            <w:tcW w:w="1460" w:type="dxa"/>
            <w:vAlign w:val="bottom"/>
            <w:shd w:val="clear" w:color="auto" w:fill="D0EBF2"/>
          </w:tcPr>
          <w:p>
            <w:pPr>
              <w:spacing w:after="0"/>
              <w:rPr>
                <w:sz w:val="20"/>
                <w:szCs w:val="20"/>
                <w:color w:val="auto"/>
              </w:rPr>
            </w:pPr>
            <w:r>
              <w:rPr>
                <w:rFonts w:ascii="Times New Roman" w:cs="Times New Roman" w:eastAsia="Times New Roman" w:hAnsi="Times New Roman"/>
                <w:sz w:val="15"/>
                <w:szCs w:val="15"/>
                <w:color w:val="231F20"/>
              </w:rPr>
              <w:t>CarVal CLO III Ltd,</w:t>
            </w:r>
          </w:p>
        </w:tc>
        <w:tc>
          <w:tcPr>
            <w:tcW w:w="2340" w:type="dxa"/>
            <w:vAlign w:val="bottom"/>
            <w:shd w:val="clear" w:color="auto" w:fill="D0EBF2"/>
          </w:tcPr>
          <w:p>
            <w:pPr>
              <w:ind w:left="60"/>
              <w:spacing w:after="0"/>
              <w:rPr>
                <w:sz w:val="20"/>
                <w:szCs w:val="20"/>
                <w:color w:val="auto"/>
              </w:rPr>
            </w:pPr>
            <w:r>
              <w:rPr>
                <w:rFonts w:ascii="Times New Roman" w:cs="Times New Roman" w:eastAsia="Times New Roman" w:hAnsi="Times New Roman"/>
                <w:sz w:val="15"/>
                <w:szCs w:val="15"/>
                <w:color w:val="231F20"/>
              </w:rPr>
              <w:t>Structured Credit ($1,000 par, due</w:t>
            </w:r>
          </w:p>
        </w:tc>
        <w:tc>
          <w:tcPr>
            <w:tcW w:w="900" w:type="dxa"/>
            <w:vAlign w:val="bottom"/>
            <w:shd w:val="clear" w:color="auto" w:fill="D0EBF2"/>
          </w:tcPr>
          <w:p>
            <w:pPr>
              <w:jc w:val="right"/>
              <w:spacing w:after="0"/>
              <w:rPr>
                <w:sz w:val="20"/>
                <w:szCs w:val="20"/>
                <w:color w:val="auto"/>
              </w:rPr>
            </w:pPr>
            <w:r>
              <w:rPr>
                <w:rFonts w:ascii="Times New Roman" w:cs="Times New Roman" w:eastAsia="Times New Roman" w:hAnsi="Times New Roman"/>
                <w:sz w:val="15"/>
                <w:szCs w:val="15"/>
                <w:color w:val="231F20"/>
              </w:rPr>
              <w:t>6/30/2022</w:t>
            </w:r>
          </w:p>
        </w:tc>
        <w:tc>
          <w:tcPr>
            <w:tcW w:w="1200" w:type="dxa"/>
            <w:vAlign w:val="bottom"/>
            <w:shd w:val="clear" w:color="auto" w:fill="D0EBF2"/>
          </w:tcPr>
          <w:p>
            <w:pPr>
              <w:jc w:val="right"/>
              <w:ind w:right="244"/>
              <w:spacing w:after="0"/>
              <w:rPr>
                <w:sz w:val="20"/>
                <w:szCs w:val="20"/>
                <w:color w:val="auto"/>
              </w:rPr>
            </w:pPr>
            <w:r>
              <w:rPr>
                <w:rFonts w:ascii="Times New Roman" w:cs="Times New Roman" w:eastAsia="Times New Roman" w:hAnsi="Times New Roman"/>
                <w:sz w:val="15"/>
                <w:szCs w:val="15"/>
                <w:color w:val="231F20"/>
              </w:rPr>
              <w:t>SOFR +</w:t>
            </w:r>
          </w:p>
        </w:tc>
        <w:tc>
          <w:tcPr>
            <w:tcW w:w="900" w:type="dxa"/>
            <w:vAlign w:val="bottom"/>
            <w:shd w:val="clear" w:color="auto" w:fill="D0EBF2"/>
          </w:tcPr>
          <w:p>
            <w:pPr>
              <w:jc w:val="right"/>
              <w:ind w:right="24"/>
              <w:spacing w:after="0"/>
              <w:rPr>
                <w:sz w:val="20"/>
                <w:szCs w:val="20"/>
                <w:color w:val="auto"/>
              </w:rPr>
            </w:pPr>
            <w:r>
              <w:rPr>
                <w:rFonts w:ascii="Times New Roman" w:cs="Times New Roman" w:eastAsia="Times New Roman" w:hAnsi="Times New Roman"/>
                <w:sz w:val="15"/>
                <w:szCs w:val="15"/>
                <w:color w:val="231F20"/>
              </w:rPr>
              <w:t>12.11%</w:t>
            </w:r>
          </w:p>
        </w:tc>
        <w:tc>
          <w:tcPr>
            <w:tcW w:w="1000" w:type="dxa"/>
            <w:vAlign w:val="bottom"/>
            <w:shd w:val="clear" w:color="auto" w:fill="D0EBF2"/>
          </w:tcPr>
          <w:p>
            <w:pPr>
              <w:jc w:val="right"/>
              <w:spacing w:after="0"/>
              <w:rPr>
                <w:sz w:val="20"/>
                <w:szCs w:val="20"/>
                <w:color w:val="auto"/>
              </w:rPr>
            </w:pPr>
            <w:r>
              <w:rPr>
                <w:rFonts w:ascii="Times New Roman" w:cs="Times New Roman" w:eastAsia="Times New Roman" w:hAnsi="Times New Roman"/>
                <w:sz w:val="15"/>
                <w:szCs w:val="15"/>
                <w:color w:val="231F20"/>
              </w:rPr>
              <w:t>903</w:t>
            </w:r>
          </w:p>
        </w:tc>
        <w:tc>
          <w:tcPr>
            <w:tcW w:w="1140" w:type="dxa"/>
            <w:vAlign w:val="bottom"/>
            <w:gridSpan w:val="2"/>
            <w:shd w:val="clear" w:color="auto" w:fill="D0EBF2"/>
          </w:tcPr>
          <w:p>
            <w:pPr>
              <w:jc w:val="right"/>
              <w:spacing w:after="0"/>
              <w:rPr>
                <w:sz w:val="20"/>
                <w:szCs w:val="20"/>
                <w:color w:val="auto"/>
              </w:rPr>
            </w:pPr>
            <w:r>
              <w:rPr>
                <w:rFonts w:ascii="Times New Roman" w:cs="Times New Roman" w:eastAsia="Times New Roman" w:hAnsi="Times New Roman"/>
                <w:sz w:val="15"/>
                <w:szCs w:val="15"/>
                <w:color w:val="231F20"/>
              </w:rPr>
              <w:t>971</w:t>
            </w:r>
          </w:p>
        </w:tc>
        <w:tc>
          <w:tcPr>
            <w:tcW w:w="1340" w:type="dxa"/>
            <w:vAlign w:val="bottom"/>
            <w:gridSpan w:val="3"/>
            <w:shd w:val="clear" w:color="auto" w:fill="D0EBF2"/>
          </w:tcPr>
          <w:p>
            <w:pPr>
              <w:jc w:val="right"/>
              <w:ind w:right="120"/>
              <w:spacing w:after="0"/>
              <w:rPr>
                <w:sz w:val="20"/>
                <w:szCs w:val="20"/>
                <w:color w:val="auto"/>
              </w:rPr>
            </w:pPr>
            <w:r>
              <w:rPr>
                <w:rFonts w:ascii="Times New Roman" w:cs="Times New Roman" w:eastAsia="Times New Roman" w:hAnsi="Times New Roman"/>
                <w:sz w:val="15"/>
                <w:szCs w:val="15"/>
                <w:color w:val="231F20"/>
              </w:rPr>
              <w:t>0.1%</w:t>
            </w:r>
          </w:p>
        </w:tc>
      </w:tr>
      <w:tr>
        <w:trPr>
          <w:trHeight w:val="189"/>
        </w:trPr>
        <w:tc>
          <w:tcPr>
            <w:tcW w:w="1460" w:type="dxa"/>
            <w:vAlign w:val="bottom"/>
            <w:shd w:val="clear" w:color="auto" w:fill="D0EBF2"/>
          </w:tcPr>
          <w:p>
            <w:pPr>
              <w:spacing w:after="0"/>
              <w:rPr>
                <w:sz w:val="20"/>
                <w:szCs w:val="20"/>
                <w:color w:val="auto"/>
              </w:rPr>
            </w:pPr>
            <w:r>
              <w:rPr>
                <w:rFonts w:ascii="Times New Roman" w:cs="Times New Roman" w:eastAsia="Times New Roman" w:hAnsi="Times New Roman"/>
                <w:sz w:val="15"/>
                <w:szCs w:val="15"/>
                <w:color w:val="231F20"/>
              </w:rPr>
              <w:t xml:space="preserve">Series 2019-2A </w:t>
            </w:r>
            <w:r>
              <w:rPr>
                <w:rFonts w:ascii="Times New Roman" w:cs="Times New Roman" w:eastAsia="Times New Roman" w:hAnsi="Times New Roman"/>
                <w:sz w:val="9"/>
                <w:szCs w:val="9"/>
                <w:color w:val="231F20"/>
              </w:rPr>
              <w:t>(3)(4)(9)</w:t>
            </w:r>
          </w:p>
        </w:tc>
        <w:tc>
          <w:tcPr>
            <w:tcW w:w="2340" w:type="dxa"/>
            <w:vAlign w:val="bottom"/>
            <w:shd w:val="clear" w:color="auto" w:fill="D0EBF2"/>
          </w:tcPr>
          <w:p>
            <w:pPr>
              <w:ind w:left="60"/>
              <w:spacing w:after="0"/>
              <w:rPr>
                <w:sz w:val="20"/>
                <w:szCs w:val="20"/>
                <w:color w:val="auto"/>
              </w:rPr>
            </w:pPr>
            <w:r>
              <w:rPr>
                <w:rFonts w:ascii="Times New Roman" w:cs="Times New Roman" w:eastAsia="Times New Roman" w:hAnsi="Times New Roman"/>
                <w:sz w:val="15"/>
                <w:szCs w:val="15"/>
                <w:color w:val="231F20"/>
              </w:rPr>
              <w:t>7/2032)</w:t>
            </w:r>
          </w:p>
        </w:tc>
        <w:tc>
          <w:tcPr>
            <w:tcW w:w="900" w:type="dxa"/>
            <w:vAlign w:val="bottom"/>
            <w:shd w:val="clear" w:color="auto" w:fill="D0EBF2"/>
          </w:tcPr>
          <w:p>
            <w:pPr>
              <w:spacing w:after="0"/>
              <w:rPr>
                <w:sz w:val="16"/>
                <w:szCs w:val="16"/>
                <w:color w:val="auto"/>
              </w:rPr>
            </w:pPr>
          </w:p>
        </w:tc>
        <w:tc>
          <w:tcPr>
            <w:tcW w:w="1200" w:type="dxa"/>
            <w:vAlign w:val="bottom"/>
            <w:shd w:val="clear" w:color="auto" w:fill="D0EBF2"/>
          </w:tcPr>
          <w:p>
            <w:pPr>
              <w:jc w:val="right"/>
              <w:ind w:right="244"/>
              <w:spacing w:after="0"/>
              <w:rPr>
                <w:sz w:val="20"/>
                <w:szCs w:val="20"/>
                <w:color w:val="auto"/>
              </w:rPr>
            </w:pPr>
            <w:r>
              <w:rPr>
                <w:rFonts w:ascii="Times New Roman" w:cs="Times New Roman" w:eastAsia="Times New Roman" w:hAnsi="Times New Roman"/>
                <w:sz w:val="15"/>
                <w:szCs w:val="15"/>
                <w:color w:val="231F20"/>
              </w:rPr>
              <w:t>6.70%</w:t>
            </w:r>
          </w:p>
        </w:tc>
        <w:tc>
          <w:tcPr>
            <w:tcW w:w="900" w:type="dxa"/>
            <w:vAlign w:val="bottom"/>
            <w:shd w:val="clear" w:color="auto" w:fill="D0EBF2"/>
          </w:tcPr>
          <w:p>
            <w:pPr>
              <w:spacing w:after="0"/>
              <w:rPr>
                <w:sz w:val="16"/>
                <w:szCs w:val="16"/>
                <w:color w:val="auto"/>
              </w:rPr>
            </w:pPr>
          </w:p>
        </w:tc>
        <w:tc>
          <w:tcPr>
            <w:tcW w:w="1000" w:type="dxa"/>
            <w:vAlign w:val="bottom"/>
            <w:shd w:val="clear" w:color="auto" w:fill="D0EBF2"/>
          </w:tcPr>
          <w:p>
            <w:pPr>
              <w:spacing w:after="0"/>
              <w:rPr>
                <w:sz w:val="16"/>
                <w:szCs w:val="16"/>
                <w:color w:val="auto"/>
              </w:rPr>
            </w:pPr>
          </w:p>
        </w:tc>
        <w:tc>
          <w:tcPr>
            <w:tcW w:w="180" w:type="dxa"/>
            <w:vAlign w:val="bottom"/>
            <w:shd w:val="clear" w:color="auto" w:fill="D0EBF2"/>
          </w:tcPr>
          <w:p>
            <w:pPr>
              <w:spacing w:after="0"/>
              <w:rPr>
                <w:sz w:val="16"/>
                <w:szCs w:val="16"/>
                <w:color w:val="auto"/>
              </w:rPr>
            </w:pPr>
          </w:p>
        </w:tc>
        <w:tc>
          <w:tcPr>
            <w:tcW w:w="960" w:type="dxa"/>
            <w:vAlign w:val="bottom"/>
            <w:shd w:val="clear" w:color="auto" w:fill="D0EBF2"/>
          </w:tcPr>
          <w:p>
            <w:pPr>
              <w:spacing w:after="0"/>
              <w:rPr>
                <w:sz w:val="16"/>
                <w:szCs w:val="16"/>
                <w:color w:val="auto"/>
              </w:rPr>
            </w:pPr>
          </w:p>
        </w:tc>
        <w:tc>
          <w:tcPr>
            <w:tcW w:w="200" w:type="dxa"/>
            <w:vAlign w:val="bottom"/>
            <w:shd w:val="clear" w:color="auto" w:fill="D0EBF2"/>
          </w:tcPr>
          <w:p>
            <w:pPr>
              <w:spacing w:after="0"/>
              <w:rPr>
                <w:sz w:val="16"/>
                <w:szCs w:val="16"/>
                <w:color w:val="auto"/>
              </w:rPr>
            </w:pPr>
          </w:p>
        </w:tc>
        <w:tc>
          <w:tcPr>
            <w:tcW w:w="900" w:type="dxa"/>
            <w:vAlign w:val="bottom"/>
            <w:shd w:val="clear" w:color="auto" w:fill="D0EBF2"/>
          </w:tcPr>
          <w:p>
            <w:pPr>
              <w:spacing w:after="0"/>
              <w:rPr>
                <w:sz w:val="16"/>
                <w:szCs w:val="16"/>
                <w:color w:val="auto"/>
              </w:rPr>
            </w:pPr>
          </w:p>
        </w:tc>
        <w:tc>
          <w:tcPr>
            <w:tcW w:w="240" w:type="dxa"/>
            <w:vAlign w:val="bottom"/>
            <w:shd w:val="clear" w:color="auto" w:fill="D0EBF2"/>
          </w:tcPr>
          <w:p>
            <w:pPr>
              <w:spacing w:after="0"/>
              <w:rPr>
                <w:sz w:val="16"/>
                <w:szCs w:val="16"/>
                <w:color w:val="auto"/>
              </w:rPr>
            </w:pPr>
          </w:p>
        </w:tc>
      </w:tr>
      <w:tr>
        <w:trPr>
          <w:trHeight w:val="158"/>
        </w:trPr>
        <w:tc>
          <w:tcPr>
            <w:tcW w:w="1460" w:type="dxa"/>
            <w:vAlign w:val="bottom"/>
            <w:shd w:val="clear" w:color="auto" w:fill="FDFDFC"/>
          </w:tcPr>
          <w:p>
            <w:pPr>
              <w:spacing w:after="0" w:line="159" w:lineRule="exact"/>
              <w:rPr>
                <w:sz w:val="20"/>
                <w:szCs w:val="20"/>
                <w:color w:val="auto"/>
              </w:rPr>
            </w:pPr>
            <w:r>
              <w:rPr>
                <w:rFonts w:ascii="Times New Roman" w:cs="Times New Roman" w:eastAsia="Times New Roman" w:hAnsi="Times New Roman"/>
                <w:sz w:val="15"/>
                <w:szCs w:val="15"/>
                <w:color w:val="231F20"/>
              </w:rPr>
              <w:t>Cedar Funding CLO</w:t>
            </w:r>
          </w:p>
        </w:tc>
        <w:tc>
          <w:tcPr>
            <w:tcW w:w="2340" w:type="dxa"/>
            <w:vAlign w:val="bottom"/>
            <w:shd w:val="clear" w:color="auto" w:fill="FDFDFC"/>
          </w:tcPr>
          <w:p>
            <w:pPr>
              <w:ind w:left="60"/>
              <w:spacing w:after="0" w:line="159" w:lineRule="exact"/>
              <w:rPr>
                <w:sz w:val="20"/>
                <w:szCs w:val="20"/>
                <w:color w:val="auto"/>
              </w:rPr>
            </w:pPr>
            <w:r>
              <w:rPr>
                <w:rFonts w:ascii="Times New Roman" w:cs="Times New Roman" w:eastAsia="Times New Roman" w:hAnsi="Times New Roman"/>
                <w:sz w:val="15"/>
                <w:szCs w:val="15"/>
                <w:color w:val="231F20"/>
              </w:rPr>
              <w:t>Structured Credit ($1,000 par, due</w:t>
            </w:r>
          </w:p>
        </w:tc>
        <w:tc>
          <w:tcPr>
            <w:tcW w:w="900" w:type="dxa"/>
            <w:vAlign w:val="bottom"/>
            <w:shd w:val="clear" w:color="auto" w:fill="FDFDFC"/>
          </w:tcPr>
          <w:p>
            <w:pPr>
              <w:jc w:val="right"/>
              <w:spacing w:after="0" w:line="159" w:lineRule="exact"/>
              <w:rPr>
                <w:sz w:val="20"/>
                <w:szCs w:val="20"/>
                <w:color w:val="auto"/>
              </w:rPr>
            </w:pPr>
            <w:r>
              <w:rPr>
                <w:rFonts w:ascii="Times New Roman" w:cs="Times New Roman" w:eastAsia="Times New Roman" w:hAnsi="Times New Roman"/>
                <w:sz w:val="15"/>
                <w:szCs w:val="15"/>
                <w:color w:val="231F20"/>
              </w:rPr>
              <w:t>7/21/2022</w:t>
            </w:r>
          </w:p>
        </w:tc>
        <w:tc>
          <w:tcPr>
            <w:tcW w:w="1200" w:type="dxa"/>
            <w:vAlign w:val="bottom"/>
            <w:shd w:val="clear" w:color="auto" w:fill="FDFDFC"/>
          </w:tcPr>
          <w:p>
            <w:pPr>
              <w:jc w:val="right"/>
              <w:ind w:right="244"/>
              <w:spacing w:after="0" w:line="159" w:lineRule="exact"/>
              <w:rPr>
                <w:sz w:val="20"/>
                <w:szCs w:val="20"/>
                <w:color w:val="auto"/>
              </w:rPr>
            </w:pPr>
            <w:r>
              <w:rPr>
                <w:rFonts w:ascii="Times New Roman" w:cs="Times New Roman" w:eastAsia="Times New Roman" w:hAnsi="Times New Roman"/>
                <w:sz w:val="15"/>
                <w:szCs w:val="15"/>
                <w:color w:val="231F20"/>
              </w:rPr>
              <w:t>SOFR +</w:t>
            </w:r>
          </w:p>
        </w:tc>
        <w:tc>
          <w:tcPr>
            <w:tcW w:w="900" w:type="dxa"/>
            <w:vAlign w:val="bottom"/>
            <w:shd w:val="clear" w:color="auto" w:fill="FDFDFC"/>
          </w:tcPr>
          <w:p>
            <w:pPr>
              <w:jc w:val="right"/>
              <w:ind w:right="24"/>
              <w:spacing w:after="0" w:line="159" w:lineRule="exact"/>
              <w:rPr>
                <w:sz w:val="20"/>
                <w:szCs w:val="20"/>
                <w:color w:val="auto"/>
              </w:rPr>
            </w:pPr>
            <w:r>
              <w:rPr>
                <w:rFonts w:ascii="Times New Roman" w:cs="Times New Roman" w:eastAsia="Times New Roman" w:hAnsi="Times New Roman"/>
                <w:sz w:val="15"/>
                <w:szCs w:val="15"/>
                <w:color w:val="231F20"/>
              </w:rPr>
              <w:t>10.23%</w:t>
            </w:r>
          </w:p>
        </w:tc>
        <w:tc>
          <w:tcPr>
            <w:tcW w:w="1000" w:type="dxa"/>
            <w:vAlign w:val="bottom"/>
            <w:shd w:val="clear" w:color="auto" w:fill="FDFDFC"/>
          </w:tcPr>
          <w:p>
            <w:pPr>
              <w:jc w:val="right"/>
              <w:spacing w:after="0" w:line="159" w:lineRule="exact"/>
              <w:rPr>
                <w:sz w:val="20"/>
                <w:szCs w:val="20"/>
                <w:color w:val="auto"/>
              </w:rPr>
            </w:pPr>
            <w:r>
              <w:rPr>
                <w:rFonts w:ascii="Times New Roman" w:cs="Times New Roman" w:eastAsia="Times New Roman" w:hAnsi="Times New Roman"/>
                <w:sz w:val="15"/>
                <w:szCs w:val="15"/>
                <w:color w:val="231F20"/>
              </w:rPr>
              <w:t>874</w:t>
            </w:r>
          </w:p>
        </w:tc>
        <w:tc>
          <w:tcPr>
            <w:tcW w:w="1140" w:type="dxa"/>
            <w:vAlign w:val="bottom"/>
            <w:gridSpan w:val="2"/>
            <w:shd w:val="clear" w:color="auto" w:fill="FDFDFC"/>
          </w:tcPr>
          <w:p>
            <w:pPr>
              <w:jc w:val="right"/>
              <w:spacing w:after="0" w:line="159" w:lineRule="exact"/>
              <w:rPr>
                <w:sz w:val="20"/>
                <w:szCs w:val="20"/>
                <w:color w:val="auto"/>
              </w:rPr>
            </w:pPr>
            <w:r>
              <w:rPr>
                <w:rFonts w:ascii="Times New Roman" w:cs="Times New Roman" w:eastAsia="Times New Roman" w:hAnsi="Times New Roman"/>
                <w:sz w:val="15"/>
                <w:szCs w:val="15"/>
                <w:color w:val="231F20"/>
              </w:rPr>
              <w:t>934</w:t>
            </w:r>
          </w:p>
        </w:tc>
        <w:tc>
          <w:tcPr>
            <w:tcW w:w="1340" w:type="dxa"/>
            <w:vAlign w:val="bottom"/>
            <w:gridSpan w:val="3"/>
            <w:shd w:val="clear" w:color="auto" w:fill="FDFDFC"/>
          </w:tcPr>
          <w:p>
            <w:pPr>
              <w:jc w:val="right"/>
              <w:ind w:right="120"/>
              <w:spacing w:after="0" w:line="159" w:lineRule="exact"/>
              <w:rPr>
                <w:sz w:val="20"/>
                <w:szCs w:val="20"/>
                <w:color w:val="auto"/>
              </w:rPr>
            </w:pPr>
            <w:r>
              <w:rPr>
                <w:rFonts w:ascii="Times New Roman" w:cs="Times New Roman" w:eastAsia="Times New Roman" w:hAnsi="Times New Roman"/>
                <w:sz w:val="15"/>
                <w:szCs w:val="15"/>
                <w:color w:val="231F20"/>
              </w:rPr>
              <w:t>0.0%</w:t>
            </w:r>
          </w:p>
        </w:tc>
      </w:tr>
      <w:tr>
        <w:trPr>
          <w:trHeight w:val="186"/>
        </w:trPr>
        <w:tc>
          <w:tcPr>
            <w:tcW w:w="1460" w:type="dxa"/>
            <w:vAlign w:val="bottom"/>
            <w:shd w:val="clear" w:color="auto" w:fill="FDFDFC"/>
          </w:tcPr>
          <w:p>
            <w:pPr>
              <w:spacing w:after="0"/>
              <w:rPr>
                <w:sz w:val="20"/>
                <w:szCs w:val="20"/>
                <w:color w:val="auto"/>
              </w:rPr>
            </w:pPr>
            <w:r>
              <w:rPr>
                <w:rFonts w:ascii="Times New Roman" w:cs="Times New Roman" w:eastAsia="Times New Roman" w:hAnsi="Times New Roman"/>
                <w:sz w:val="15"/>
                <w:szCs w:val="15"/>
                <w:color w:val="231F20"/>
              </w:rPr>
              <w:t>Ltd, Series 2018-7A</w:t>
            </w:r>
          </w:p>
        </w:tc>
        <w:tc>
          <w:tcPr>
            <w:tcW w:w="2340" w:type="dxa"/>
            <w:vAlign w:val="bottom"/>
            <w:shd w:val="clear" w:color="auto" w:fill="FDFDFC"/>
          </w:tcPr>
          <w:p>
            <w:pPr>
              <w:ind w:left="60"/>
              <w:spacing w:after="0"/>
              <w:rPr>
                <w:sz w:val="20"/>
                <w:szCs w:val="20"/>
                <w:color w:val="auto"/>
              </w:rPr>
            </w:pPr>
            <w:r>
              <w:rPr>
                <w:rFonts w:ascii="Times New Roman" w:cs="Times New Roman" w:eastAsia="Times New Roman" w:hAnsi="Times New Roman"/>
                <w:sz w:val="15"/>
                <w:szCs w:val="15"/>
                <w:color w:val="231F20"/>
              </w:rPr>
              <w:t>1/2031)</w:t>
            </w:r>
          </w:p>
        </w:tc>
        <w:tc>
          <w:tcPr>
            <w:tcW w:w="900" w:type="dxa"/>
            <w:vAlign w:val="bottom"/>
            <w:shd w:val="clear" w:color="auto" w:fill="FDFDFC"/>
          </w:tcPr>
          <w:p>
            <w:pPr>
              <w:spacing w:after="0"/>
              <w:rPr>
                <w:sz w:val="16"/>
                <w:szCs w:val="16"/>
                <w:color w:val="auto"/>
              </w:rPr>
            </w:pPr>
          </w:p>
        </w:tc>
        <w:tc>
          <w:tcPr>
            <w:tcW w:w="1200" w:type="dxa"/>
            <w:vAlign w:val="bottom"/>
            <w:shd w:val="clear" w:color="auto" w:fill="FDFDFC"/>
          </w:tcPr>
          <w:p>
            <w:pPr>
              <w:jc w:val="right"/>
              <w:ind w:right="244"/>
              <w:spacing w:after="0"/>
              <w:rPr>
                <w:sz w:val="20"/>
                <w:szCs w:val="20"/>
                <w:color w:val="auto"/>
              </w:rPr>
            </w:pPr>
            <w:r>
              <w:rPr>
                <w:rFonts w:ascii="Times New Roman" w:cs="Times New Roman" w:eastAsia="Times New Roman" w:hAnsi="Times New Roman"/>
                <w:sz w:val="15"/>
                <w:szCs w:val="15"/>
                <w:color w:val="231F20"/>
              </w:rPr>
              <w:t>4.81%</w:t>
            </w:r>
          </w:p>
        </w:tc>
        <w:tc>
          <w:tcPr>
            <w:tcW w:w="900" w:type="dxa"/>
            <w:vAlign w:val="bottom"/>
            <w:shd w:val="clear" w:color="auto" w:fill="FDFDFC"/>
          </w:tcPr>
          <w:p>
            <w:pPr>
              <w:spacing w:after="0"/>
              <w:rPr>
                <w:sz w:val="16"/>
                <w:szCs w:val="16"/>
                <w:color w:val="auto"/>
              </w:rPr>
            </w:pPr>
          </w:p>
        </w:tc>
        <w:tc>
          <w:tcPr>
            <w:tcW w:w="1000" w:type="dxa"/>
            <w:vAlign w:val="bottom"/>
            <w:shd w:val="clear" w:color="auto" w:fill="FDFDFC"/>
          </w:tcPr>
          <w:p>
            <w:pPr>
              <w:spacing w:after="0"/>
              <w:rPr>
                <w:sz w:val="16"/>
                <w:szCs w:val="16"/>
                <w:color w:val="auto"/>
              </w:rPr>
            </w:pPr>
          </w:p>
        </w:tc>
        <w:tc>
          <w:tcPr>
            <w:tcW w:w="180" w:type="dxa"/>
            <w:vAlign w:val="bottom"/>
            <w:shd w:val="clear" w:color="auto" w:fill="FDFDFC"/>
          </w:tcPr>
          <w:p>
            <w:pPr>
              <w:spacing w:after="0"/>
              <w:rPr>
                <w:sz w:val="16"/>
                <w:szCs w:val="16"/>
                <w:color w:val="auto"/>
              </w:rPr>
            </w:pPr>
          </w:p>
        </w:tc>
        <w:tc>
          <w:tcPr>
            <w:tcW w:w="960" w:type="dxa"/>
            <w:vAlign w:val="bottom"/>
            <w:shd w:val="clear" w:color="auto" w:fill="FDFDFC"/>
          </w:tcPr>
          <w:p>
            <w:pPr>
              <w:spacing w:after="0"/>
              <w:rPr>
                <w:sz w:val="16"/>
                <w:szCs w:val="16"/>
                <w:color w:val="auto"/>
              </w:rPr>
            </w:pPr>
          </w:p>
        </w:tc>
        <w:tc>
          <w:tcPr>
            <w:tcW w:w="200" w:type="dxa"/>
            <w:vAlign w:val="bottom"/>
            <w:shd w:val="clear" w:color="auto" w:fill="FDFDFC"/>
          </w:tcPr>
          <w:p>
            <w:pPr>
              <w:spacing w:after="0"/>
              <w:rPr>
                <w:sz w:val="16"/>
                <w:szCs w:val="16"/>
                <w:color w:val="auto"/>
              </w:rPr>
            </w:pPr>
          </w:p>
        </w:tc>
        <w:tc>
          <w:tcPr>
            <w:tcW w:w="900" w:type="dxa"/>
            <w:vAlign w:val="bottom"/>
            <w:shd w:val="clear" w:color="auto" w:fill="FDFDFC"/>
          </w:tcPr>
          <w:p>
            <w:pPr>
              <w:spacing w:after="0"/>
              <w:rPr>
                <w:sz w:val="16"/>
                <w:szCs w:val="16"/>
                <w:color w:val="auto"/>
              </w:rPr>
            </w:pPr>
          </w:p>
        </w:tc>
        <w:tc>
          <w:tcPr>
            <w:tcW w:w="240" w:type="dxa"/>
            <w:vAlign w:val="bottom"/>
            <w:shd w:val="clear" w:color="auto" w:fill="FDFDFC"/>
          </w:tcPr>
          <w:p>
            <w:pPr>
              <w:spacing w:after="0"/>
              <w:rPr>
                <w:sz w:val="16"/>
                <w:szCs w:val="16"/>
                <w:color w:val="auto"/>
              </w:rPr>
            </w:pPr>
          </w:p>
        </w:tc>
      </w:tr>
      <w:tr>
        <w:trPr>
          <w:trHeight w:val="157"/>
        </w:trPr>
        <w:tc>
          <w:tcPr>
            <w:tcW w:w="1460" w:type="dxa"/>
            <w:vAlign w:val="bottom"/>
            <w:tcBorders>
              <w:bottom w:val="single" w:sz="8" w:color="FDFDFC"/>
            </w:tcBorders>
            <w:shd w:val="clear" w:color="auto" w:fill="FDFDFC"/>
          </w:tcPr>
          <w:p>
            <w:pPr>
              <w:spacing w:after="0"/>
              <w:rPr>
                <w:sz w:val="20"/>
                <w:szCs w:val="20"/>
                <w:color w:val="auto"/>
              </w:rPr>
            </w:pPr>
            <w:r>
              <w:rPr>
                <w:rFonts w:ascii="Times New Roman" w:cs="Times New Roman" w:eastAsia="Times New Roman" w:hAnsi="Times New Roman"/>
                <w:sz w:val="9"/>
                <w:szCs w:val="9"/>
                <w:color w:val="231F20"/>
              </w:rPr>
              <w:t>(3)(4)(9)</w:t>
            </w:r>
          </w:p>
        </w:tc>
        <w:tc>
          <w:tcPr>
            <w:tcW w:w="2340" w:type="dxa"/>
            <w:vAlign w:val="bottom"/>
            <w:tcBorders>
              <w:bottom w:val="single" w:sz="8" w:color="FDFDFC"/>
            </w:tcBorders>
            <w:shd w:val="clear" w:color="auto" w:fill="FDFDFC"/>
          </w:tcPr>
          <w:p>
            <w:pPr>
              <w:spacing w:after="0"/>
              <w:rPr>
                <w:sz w:val="13"/>
                <w:szCs w:val="13"/>
                <w:color w:val="auto"/>
              </w:rPr>
            </w:pPr>
          </w:p>
        </w:tc>
        <w:tc>
          <w:tcPr>
            <w:tcW w:w="900" w:type="dxa"/>
            <w:vAlign w:val="bottom"/>
            <w:tcBorders>
              <w:bottom w:val="single" w:sz="8" w:color="FDFDFC"/>
            </w:tcBorders>
            <w:shd w:val="clear" w:color="auto" w:fill="FDFDFC"/>
          </w:tcPr>
          <w:p>
            <w:pPr>
              <w:spacing w:after="0"/>
              <w:rPr>
                <w:sz w:val="13"/>
                <w:szCs w:val="13"/>
                <w:color w:val="auto"/>
              </w:rPr>
            </w:pPr>
          </w:p>
        </w:tc>
        <w:tc>
          <w:tcPr>
            <w:tcW w:w="1200" w:type="dxa"/>
            <w:vAlign w:val="bottom"/>
            <w:tcBorders>
              <w:bottom w:val="single" w:sz="8" w:color="FDFDFC"/>
            </w:tcBorders>
            <w:shd w:val="clear" w:color="auto" w:fill="FDFDFC"/>
          </w:tcPr>
          <w:p>
            <w:pPr>
              <w:spacing w:after="0"/>
              <w:rPr>
                <w:sz w:val="13"/>
                <w:szCs w:val="13"/>
                <w:color w:val="auto"/>
              </w:rPr>
            </w:pPr>
          </w:p>
        </w:tc>
        <w:tc>
          <w:tcPr>
            <w:tcW w:w="900" w:type="dxa"/>
            <w:vAlign w:val="bottom"/>
            <w:tcBorders>
              <w:bottom w:val="single" w:sz="8" w:color="FDFDFC"/>
            </w:tcBorders>
            <w:shd w:val="clear" w:color="auto" w:fill="FDFDFC"/>
          </w:tcPr>
          <w:p>
            <w:pPr>
              <w:spacing w:after="0"/>
              <w:rPr>
                <w:sz w:val="13"/>
                <w:szCs w:val="13"/>
                <w:color w:val="auto"/>
              </w:rPr>
            </w:pPr>
          </w:p>
        </w:tc>
        <w:tc>
          <w:tcPr>
            <w:tcW w:w="1000" w:type="dxa"/>
            <w:vAlign w:val="bottom"/>
            <w:tcBorders>
              <w:bottom w:val="single" w:sz="8" w:color="FDFDFC"/>
            </w:tcBorders>
            <w:shd w:val="clear" w:color="auto" w:fill="FDFDFC"/>
          </w:tcPr>
          <w:p>
            <w:pPr>
              <w:spacing w:after="0"/>
              <w:rPr>
                <w:sz w:val="13"/>
                <w:szCs w:val="13"/>
                <w:color w:val="auto"/>
              </w:rPr>
            </w:pPr>
          </w:p>
        </w:tc>
        <w:tc>
          <w:tcPr>
            <w:tcW w:w="180" w:type="dxa"/>
            <w:vAlign w:val="bottom"/>
            <w:tcBorders>
              <w:bottom w:val="single" w:sz="8" w:color="FDFDFC"/>
            </w:tcBorders>
            <w:shd w:val="clear" w:color="auto" w:fill="FDFDFC"/>
          </w:tcPr>
          <w:p>
            <w:pPr>
              <w:spacing w:after="0"/>
              <w:rPr>
                <w:sz w:val="13"/>
                <w:szCs w:val="13"/>
                <w:color w:val="auto"/>
              </w:rPr>
            </w:pPr>
          </w:p>
        </w:tc>
        <w:tc>
          <w:tcPr>
            <w:tcW w:w="960" w:type="dxa"/>
            <w:vAlign w:val="bottom"/>
            <w:tcBorders>
              <w:bottom w:val="single" w:sz="8" w:color="FDFDFC"/>
            </w:tcBorders>
            <w:shd w:val="clear" w:color="auto" w:fill="FDFDFC"/>
          </w:tcPr>
          <w:p>
            <w:pPr>
              <w:spacing w:after="0"/>
              <w:rPr>
                <w:sz w:val="13"/>
                <w:szCs w:val="13"/>
                <w:color w:val="auto"/>
              </w:rPr>
            </w:pPr>
          </w:p>
        </w:tc>
        <w:tc>
          <w:tcPr>
            <w:tcW w:w="200" w:type="dxa"/>
            <w:vAlign w:val="bottom"/>
            <w:tcBorders>
              <w:bottom w:val="single" w:sz="8" w:color="FDFDFC"/>
            </w:tcBorders>
            <w:shd w:val="clear" w:color="auto" w:fill="FDFDFC"/>
          </w:tcPr>
          <w:p>
            <w:pPr>
              <w:spacing w:after="0"/>
              <w:rPr>
                <w:sz w:val="13"/>
                <w:szCs w:val="13"/>
                <w:color w:val="auto"/>
              </w:rPr>
            </w:pPr>
          </w:p>
        </w:tc>
        <w:tc>
          <w:tcPr>
            <w:tcW w:w="900" w:type="dxa"/>
            <w:vAlign w:val="bottom"/>
            <w:tcBorders>
              <w:bottom w:val="single" w:sz="8" w:color="FDFDFC"/>
            </w:tcBorders>
            <w:shd w:val="clear" w:color="auto" w:fill="FDFDFC"/>
          </w:tcPr>
          <w:p>
            <w:pPr>
              <w:spacing w:after="0"/>
              <w:rPr>
                <w:sz w:val="13"/>
                <w:szCs w:val="13"/>
                <w:color w:val="auto"/>
              </w:rPr>
            </w:pPr>
          </w:p>
        </w:tc>
        <w:tc>
          <w:tcPr>
            <w:tcW w:w="240" w:type="dxa"/>
            <w:vAlign w:val="bottom"/>
            <w:tcBorders>
              <w:bottom w:val="single" w:sz="8" w:color="FDFDFC"/>
            </w:tcBorders>
            <w:shd w:val="clear" w:color="auto" w:fill="FDFDFC"/>
          </w:tcPr>
          <w:p>
            <w:pPr>
              <w:spacing w:after="0"/>
              <w:rPr>
                <w:sz w:val="13"/>
                <w:szCs w:val="13"/>
                <w:color w:val="auto"/>
              </w:rPr>
            </w:pPr>
          </w:p>
        </w:tc>
      </w:tr>
      <w:tr>
        <w:trPr>
          <w:trHeight w:val="158"/>
        </w:trPr>
        <w:tc>
          <w:tcPr>
            <w:tcW w:w="1460" w:type="dxa"/>
            <w:vAlign w:val="bottom"/>
            <w:shd w:val="clear" w:color="auto" w:fill="D0EBF2"/>
          </w:tcPr>
          <w:p>
            <w:pPr>
              <w:spacing w:after="0" w:line="159" w:lineRule="exact"/>
              <w:rPr>
                <w:sz w:val="20"/>
                <w:szCs w:val="20"/>
                <w:color w:val="auto"/>
              </w:rPr>
            </w:pPr>
            <w:r>
              <w:rPr>
                <w:rFonts w:ascii="Times New Roman" w:cs="Times New Roman" w:eastAsia="Times New Roman" w:hAnsi="Times New Roman"/>
                <w:sz w:val="15"/>
                <w:szCs w:val="15"/>
                <w:color w:val="231F20"/>
              </w:rPr>
              <w:t>CIFC CLO Ltd, Series</w:t>
            </w:r>
          </w:p>
        </w:tc>
        <w:tc>
          <w:tcPr>
            <w:tcW w:w="2340" w:type="dxa"/>
            <w:vAlign w:val="bottom"/>
            <w:shd w:val="clear" w:color="auto" w:fill="D0EBF2"/>
          </w:tcPr>
          <w:p>
            <w:pPr>
              <w:ind w:left="60"/>
              <w:spacing w:after="0" w:line="159" w:lineRule="exact"/>
              <w:rPr>
                <w:sz w:val="20"/>
                <w:szCs w:val="20"/>
                <w:color w:val="auto"/>
              </w:rPr>
            </w:pPr>
            <w:r>
              <w:rPr>
                <w:rFonts w:ascii="Times New Roman" w:cs="Times New Roman" w:eastAsia="Times New Roman" w:hAnsi="Times New Roman"/>
                <w:sz w:val="15"/>
                <w:szCs w:val="15"/>
                <w:color w:val="231F20"/>
              </w:rPr>
              <w:t>Structured Credit ($1,000 par, due</w:t>
            </w:r>
          </w:p>
        </w:tc>
        <w:tc>
          <w:tcPr>
            <w:tcW w:w="900" w:type="dxa"/>
            <w:vAlign w:val="bottom"/>
            <w:shd w:val="clear" w:color="auto" w:fill="D0EBF2"/>
          </w:tcPr>
          <w:p>
            <w:pPr>
              <w:jc w:val="right"/>
              <w:spacing w:after="0" w:line="159" w:lineRule="exact"/>
              <w:rPr>
                <w:sz w:val="20"/>
                <w:szCs w:val="20"/>
                <w:color w:val="auto"/>
              </w:rPr>
            </w:pPr>
            <w:r>
              <w:rPr>
                <w:rFonts w:ascii="Times New Roman" w:cs="Times New Roman" w:eastAsia="Times New Roman" w:hAnsi="Times New Roman"/>
                <w:sz w:val="15"/>
                <w:szCs w:val="15"/>
                <w:color w:val="231F20"/>
              </w:rPr>
              <w:t>6/16/2022</w:t>
            </w:r>
          </w:p>
        </w:tc>
        <w:tc>
          <w:tcPr>
            <w:tcW w:w="1200" w:type="dxa"/>
            <w:vAlign w:val="bottom"/>
            <w:shd w:val="clear" w:color="auto" w:fill="D0EBF2"/>
          </w:tcPr>
          <w:p>
            <w:pPr>
              <w:jc w:val="right"/>
              <w:ind w:right="244"/>
              <w:spacing w:after="0" w:line="159" w:lineRule="exact"/>
              <w:rPr>
                <w:sz w:val="20"/>
                <w:szCs w:val="20"/>
                <w:color w:val="auto"/>
              </w:rPr>
            </w:pPr>
            <w:r>
              <w:rPr>
                <w:rFonts w:ascii="Times New Roman" w:cs="Times New Roman" w:eastAsia="Times New Roman" w:hAnsi="Times New Roman"/>
                <w:sz w:val="15"/>
                <w:szCs w:val="15"/>
                <w:color w:val="231F20"/>
              </w:rPr>
              <w:t>SOFR +</w:t>
            </w:r>
          </w:p>
        </w:tc>
        <w:tc>
          <w:tcPr>
            <w:tcW w:w="900" w:type="dxa"/>
            <w:vAlign w:val="bottom"/>
            <w:shd w:val="clear" w:color="auto" w:fill="D0EBF2"/>
          </w:tcPr>
          <w:p>
            <w:pPr>
              <w:jc w:val="right"/>
              <w:ind w:right="24"/>
              <w:spacing w:after="0" w:line="159" w:lineRule="exact"/>
              <w:rPr>
                <w:sz w:val="20"/>
                <w:szCs w:val="20"/>
                <w:color w:val="auto"/>
              </w:rPr>
            </w:pPr>
            <w:r>
              <w:rPr>
                <w:rFonts w:ascii="Times New Roman" w:cs="Times New Roman" w:eastAsia="Times New Roman" w:hAnsi="Times New Roman"/>
                <w:sz w:val="15"/>
                <w:szCs w:val="15"/>
                <w:color w:val="231F20"/>
              </w:rPr>
              <w:t>11.16%</w:t>
            </w:r>
          </w:p>
        </w:tc>
        <w:tc>
          <w:tcPr>
            <w:tcW w:w="1000" w:type="dxa"/>
            <w:vAlign w:val="bottom"/>
            <w:shd w:val="clear" w:color="auto" w:fill="D0EBF2"/>
          </w:tcPr>
          <w:p>
            <w:pPr>
              <w:jc w:val="right"/>
              <w:spacing w:after="0" w:line="159" w:lineRule="exact"/>
              <w:rPr>
                <w:sz w:val="20"/>
                <w:szCs w:val="20"/>
                <w:color w:val="auto"/>
              </w:rPr>
            </w:pPr>
            <w:r>
              <w:rPr>
                <w:rFonts w:ascii="Times New Roman" w:cs="Times New Roman" w:eastAsia="Times New Roman" w:hAnsi="Times New Roman"/>
                <w:sz w:val="15"/>
                <w:szCs w:val="15"/>
                <w:color w:val="231F20"/>
              </w:rPr>
              <w:t>904</w:t>
            </w:r>
          </w:p>
        </w:tc>
        <w:tc>
          <w:tcPr>
            <w:tcW w:w="1140" w:type="dxa"/>
            <w:vAlign w:val="bottom"/>
            <w:gridSpan w:val="2"/>
            <w:shd w:val="clear" w:color="auto" w:fill="D0EBF2"/>
          </w:tcPr>
          <w:p>
            <w:pPr>
              <w:jc w:val="right"/>
              <w:spacing w:after="0" w:line="159" w:lineRule="exact"/>
              <w:rPr>
                <w:sz w:val="20"/>
                <w:szCs w:val="20"/>
                <w:color w:val="auto"/>
              </w:rPr>
            </w:pPr>
            <w:r>
              <w:rPr>
                <w:rFonts w:ascii="Times New Roman" w:cs="Times New Roman" w:eastAsia="Times New Roman" w:hAnsi="Times New Roman"/>
                <w:sz w:val="15"/>
                <w:szCs w:val="15"/>
                <w:color w:val="231F20"/>
              </w:rPr>
              <w:t>956</w:t>
            </w:r>
          </w:p>
        </w:tc>
        <w:tc>
          <w:tcPr>
            <w:tcW w:w="1340" w:type="dxa"/>
            <w:vAlign w:val="bottom"/>
            <w:gridSpan w:val="3"/>
            <w:shd w:val="clear" w:color="auto" w:fill="D0EBF2"/>
          </w:tcPr>
          <w:p>
            <w:pPr>
              <w:jc w:val="right"/>
              <w:ind w:right="120"/>
              <w:spacing w:after="0" w:line="159" w:lineRule="exact"/>
              <w:rPr>
                <w:sz w:val="20"/>
                <w:szCs w:val="20"/>
                <w:color w:val="auto"/>
              </w:rPr>
            </w:pPr>
            <w:r>
              <w:rPr>
                <w:rFonts w:ascii="Times New Roman" w:cs="Times New Roman" w:eastAsia="Times New Roman" w:hAnsi="Times New Roman"/>
                <w:sz w:val="15"/>
                <w:szCs w:val="15"/>
                <w:color w:val="231F20"/>
              </w:rPr>
              <w:t>0.0%</w:t>
            </w:r>
          </w:p>
        </w:tc>
      </w:tr>
      <w:tr>
        <w:trPr>
          <w:trHeight w:val="189"/>
        </w:trPr>
        <w:tc>
          <w:tcPr>
            <w:tcW w:w="1460" w:type="dxa"/>
            <w:vAlign w:val="bottom"/>
            <w:shd w:val="clear" w:color="auto" w:fill="D0EBF2"/>
          </w:tcPr>
          <w:p>
            <w:pPr>
              <w:spacing w:after="0" w:line="190" w:lineRule="exact"/>
              <w:rPr>
                <w:sz w:val="20"/>
                <w:szCs w:val="20"/>
                <w:color w:val="auto"/>
              </w:rPr>
            </w:pPr>
            <w:r>
              <w:rPr>
                <w:rFonts w:ascii="Times New Roman" w:cs="Times New Roman" w:eastAsia="Times New Roman" w:hAnsi="Times New Roman"/>
                <w:sz w:val="21"/>
                <w:szCs w:val="21"/>
                <w:color w:val="231F20"/>
                <w:vertAlign w:val="subscript"/>
              </w:rPr>
              <w:t>2018-3A</w:t>
            </w:r>
            <w:r>
              <w:rPr>
                <w:rFonts w:ascii="Times New Roman" w:cs="Times New Roman" w:eastAsia="Times New Roman" w:hAnsi="Times New Roman"/>
                <w:sz w:val="8"/>
                <w:szCs w:val="8"/>
                <w:color w:val="231F20"/>
              </w:rPr>
              <w:t xml:space="preserve"> (3)(4)(9)</w:t>
            </w:r>
          </w:p>
        </w:tc>
        <w:tc>
          <w:tcPr>
            <w:tcW w:w="2340" w:type="dxa"/>
            <w:vAlign w:val="bottom"/>
            <w:shd w:val="clear" w:color="auto" w:fill="D0EBF2"/>
          </w:tcPr>
          <w:p>
            <w:pPr>
              <w:ind w:left="60"/>
              <w:spacing w:after="0"/>
              <w:rPr>
                <w:sz w:val="20"/>
                <w:szCs w:val="20"/>
                <w:color w:val="auto"/>
              </w:rPr>
            </w:pPr>
            <w:r>
              <w:rPr>
                <w:rFonts w:ascii="Times New Roman" w:cs="Times New Roman" w:eastAsia="Times New Roman" w:hAnsi="Times New Roman"/>
                <w:sz w:val="15"/>
                <w:szCs w:val="15"/>
                <w:color w:val="231F20"/>
              </w:rPr>
              <w:t>7/2031)</w:t>
            </w:r>
          </w:p>
        </w:tc>
        <w:tc>
          <w:tcPr>
            <w:tcW w:w="900" w:type="dxa"/>
            <w:vAlign w:val="bottom"/>
            <w:shd w:val="clear" w:color="auto" w:fill="D0EBF2"/>
          </w:tcPr>
          <w:p>
            <w:pPr>
              <w:spacing w:after="0"/>
              <w:rPr>
                <w:sz w:val="16"/>
                <w:szCs w:val="16"/>
                <w:color w:val="auto"/>
              </w:rPr>
            </w:pPr>
          </w:p>
        </w:tc>
        <w:tc>
          <w:tcPr>
            <w:tcW w:w="1200" w:type="dxa"/>
            <w:vAlign w:val="bottom"/>
            <w:shd w:val="clear" w:color="auto" w:fill="D0EBF2"/>
          </w:tcPr>
          <w:p>
            <w:pPr>
              <w:jc w:val="right"/>
              <w:ind w:right="244"/>
              <w:spacing w:after="0"/>
              <w:rPr>
                <w:sz w:val="20"/>
                <w:szCs w:val="20"/>
                <w:color w:val="auto"/>
              </w:rPr>
            </w:pPr>
            <w:r>
              <w:rPr>
                <w:rFonts w:ascii="Times New Roman" w:cs="Times New Roman" w:eastAsia="Times New Roman" w:hAnsi="Times New Roman"/>
                <w:sz w:val="15"/>
                <w:szCs w:val="15"/>
                <w:color w:val="231F20"/>
              </w:rPr>
              <w:t>5.76%</w:t>
            </w:r>
          </w:p>
        </w:tc>
        <w:tc>
          <w:tcPr>
            <w:tcW w:w="900" w:type="dxa"/>
            <w:vAlign w:val="bottom"/>
            <w:shd w:val="clear" w:color="auto" w:fill="D0EBF2"/>
          </w:tcPr>
          <w:p>
            <w:pPr>
              <w:spacing w:after="0"/>
              <w:rPr>
                <w:sz w:val="16"/>
                <w:szCs w:val="16"/>
                <w:color w:val="auto"/>
              </w:rPr>
            </w:pPr>
          </w:p>
        </w:tc>
        <w:tc>
          <w:tcPr>
            <w:tcW w:w="1000" w:type="dxa"/>
            <w:vAlign w:val="bottom"/>
            <w:shd w:val="clear" w:color="auto" w:fill="D0EBF2"/>
          </w:tcPr>
          <w:p>
            <w:pPr>
              <w:spacing w:after="0"/>
              <w:rPr>
                <w:sz w:val="16"/>
                <w:szCs w:val="16"/>
                <w:color w:val="auto"/>
              </w:rPr>
            </w:pPr>
          </w:p>
        </w:tc>
        <w:tc>
          <w:tcPr>
            <w:tcW w:w="180" w:type="dxa"/>
            <w:vAlign w:val="bottom"/>
            <w:shd w:val="clear" w:color="auto" w:fill="D0EBF2"/>
          </w:tcPr>
          <w:p>
            <w:pPr>
              <w:spacing w:after="0"/>
              <w:rPr>
                <w:sz w:val="16"/>
                <w:szCs w:val="16"/>
                <w:color w:val="auto"/>
              </w:rPr>
            </w:pPr>
          </w:p>
        </w:tc>
        <w:tc>
          <w:tcPr>
            <w:tcW w:w="960" w:type="dxa"/>
            <w:vAlign w:val="bottom"/>
            <w:shd w:val="clear" w:color="auto" w:fill="D0EBF2"/>
          </w:tcPr>
          <w:p>
            <w:pPr>
              <w:spacing w:after="0"/>
              <w:rPr>
                <w:sz w:val="16"/>
                <w:szCs w:val="16"/>
                <w:color w:val="auto"/>
              </w:rPr>
            </w:pPr>
          </w:p>
        </w:tc>
        <w:tc>
          <w:tcPr>
            <w:tcW w:w="200" w:type="dxa"/>
            <w:vAlign w:val="bottom"/>
            <w:shd w:val="clear" w:color="auto" w:fill="D0EBF2"/>
          </w:tcPr>
          <w:p>
            <w:pPr>
              <w:spacing w:after="0"/>
              <w:rPr>
                <w:sz w:val="16"/>
                <w:szCs w:val="16"/>
                <w:color w:val="auto"/>
              </w:rPr>
            </w:pPr>
          </w:p>
        </w:tc>
        <w:tc>
          <w:tcPr>
            <w:tcW w:w="900" w:type="dxa"/>
            <w:vAlign w:val="bottom"/>
            <w:shd w:val="clear" w:color="auto" w:fill="D0EBF2"/>
          </w:tcPr>
          <w:p>
            <w:pPr>
              <w:spacing w:after="0"/>
              <w:rPr>
                <w:sz w:val="16"/>
                <w:szCs w:val="16"/>
                <w:color w:val="auto"/>
              </w:rPr>
            </w:pPr>
          </w:p>
        </w:tc>
        <w:tc>
          <w:tcPr>
            <w:tcW w:w="240" w:type="dxa"/>
            <w:vAlign w:val="bottom"/>
            <w:shd w:val="clear" w:color="auto" w:fill="D0EBF2"/>
          </w:tcPr>
          <w:p>
            <w:pPr>
              <w:spacing w:after="0"/>
              <w:rPr>
                <w:sz w:val="16"/>
                <w:szCs w:val="16"/>
                <w:color w:val="auto"/>
              </w:rPr>
            </w:pPr>
          </w:p>
        </w:tc>
      </w:tr>
      <w:tr>
        <w:trPr>
          <w:trHeight w:val="158"/>
        </w:trPr>
        <w:tc>
          <w:tcPr>
            <w:tcW w:w="1460" w:type="dxa"/>
            <w:vAlign w:val="bottom"/>
            <w:shd w:val="clear" w:color="auto" w:fill="FDFDFC"/>
          </w:tcPr>
          <w:p>
            <w:pPr>
              <w:spacing w:after="0" w:line="159" w:lineRule="exact"/>
              <w:rPr>
                <w:sz w:val="20"/>
                <w:szCs w:val="20"/>
                <w:color w:val="auto"/>
              </w:rPr>
            </w:pPr>
            <w:r>
              <w:rPr>
                <w:rFonts w:ascii="Times New Roman" w:cs="Times New Roman" w:eastAsia="Times New Roman" w:hAnsi="Times New Roman"/>
                <w:sz w:val="15"/>
                <w:szCs w:val="15"/>
                <w:color w:val="231F20"/>
              </w:rPr>
              <w:t>CIFC CLO Ltd, Series</w:t>
            </w:r>
          </w:p>
        </w:tc>
        <w:tc>
          <w:tcPr>
            <w:tcW w:w="2340" w:type="dxa"/>
            <w:vAlign w:val="bottom"/>
            <w:shd w:val="clear" w:color="auto" w:fill="FDFDFC"/>
          </w:tcPr>
          <w:p>
            <w:pPr>
              <w:ind w:left="60"/>
              <w:spacing w:after="0" w:line="159" w:lineRule="exact"/>
              <w:rPr>
                <w:sz w:val="20"/>
                <w:szCs w:val="20"/>
                <w:color w:val="auto"/>
              </w:rPr>
            </w:pPr>
            <w:r>
              <w:rPr>
                <w:rFonts w:ascii="Times New Roman" w:cs="Times New Roman" w:eastAsia="Times New Roman" w:hAnsi="Times New Roman"/>
                <w:sz w:val="15"/>
                <w:szCs w:val="15"/>
                <w:color w:val="231F20"/>
              </w:rPr>
              <w:t>Structured Credit ($1,000 par, due</w:t>
            </w:r>
          </w:p>
        </w:tc>
        <w:tc>
          <w:tcPr>
            <w:tcW w:w="900" w:type="dxa"/>
            <w:vAlign w:val="bottom"/>
            <w:shd w:val="clear" w:color="auto" w:fill="FDFDFC"/>
          </w:tcPr>
          <w:p>
            <w:pPr>
              <w:jc w:val="right"/>
              <w:spacing w:after="0" w:line="159" w:lineRule="exact"/>
              <w:rPr>
                <w:sz w:val="20"/>
                <w:szCs w:val="20"/>
                <w:color w:val="auto"/>
              </w:rPr>
            </w:pPr>
            <w:r>
              <w:rPr>
                <w:rFonts w:ascii="Times New Roman" w:cs="Times New Roman" w:eastAsia="Times New Roman" w:hAnsi="Times New Roman"/>
                <w:sz w:val="15"/>
                <w:szCs w:val="15"/>
                <w:color w:val="231F20"/>
              </w:rPr>
              <w:t>7/14/2022</w:t>
            </w:r>
          </w:p>
        </w:tc>
        <w:tc>
          <w:tcPr>
            <w:tcW w:w="1200" w:type="dxa"/>
            <w:vAlign w:val="bottom"/>
            <w:shd w:val="clear" w:color="auto" w:fill="FDFDFC"/>
          </w:tcPr>
          <w:p>
            <w:pPr>
              <w:jc w:val="right"/>
              <w:ind w:right="244"/>
              <w:spacing w:after="0" w:line="159" w:lineRule="exact"/>
              <w:rPr>
                <w:sz w:val="20"/>
                <w:szCs w:val="20"/>
                <w:color w:val="auto"/>
              </w:rPr>
            </w:pPr>
            <w:r>
              <w:rPr>
                <w:rFonts w:ascii="Times New Roman" w:cs="Times New Roman" w:eastAsia="Times New Roman" w:hAnsi="Times New Roman"/>
                <w:sz w:val="15"/>
                <w:szCs w:val="15"/>
                <w:color w:val="231F20"/>
              </w:rPr>
              <w:t>SOFR +</w:t>
            </w:r>
          </w:p>
        </w:tc>
        <w:tc>
          <w:tcPr>
            <w:tcW w:w="900" w:type="dxa"/>
            <w:vAlign w:val="bottom"/>
            <w:shd w:val="clear" w:color="auto" w:fill="FDFDFC"/>
          </w:tcPr>
          <w:p>
            <w:pPr>
              <w:jc w:val="right"/>
              <w:ind w:right="24"/>
              <w:spacing w:after="0" w:line="159" w:lineRule="exact"/>
              <w:rPr>
                <w:sz w:val="20"/>
                <w:szCs w:val="20"/>
                <w:color w:val="auto"/>
              </w:rPr>
            </w:pPr>
            <w:r>
              <w:rPr>
                <w:rFonts w:ascii="Times New Roman" w:cs="Times New Roman" w:eastAsia="Times New Roman" w:hAnsi="Times New Roman"/>
                <w:sz w:val="15"/>
                <w:szCs w:val="15"/>
                <w:color w:val="231F20"/>
              </w:rPr>
              <w:t>11.66%</w:t>
            </w:r>
          </w:p>
        </w:tc>
        <w:tc>
          <w:tcPr>
            <w:tcW w:w="1000" w:type="dxa"/>
            <w:vAlign w:val="bottom"/>
            <w:shd w:val="clear" w:color="auto" w:fill="FDFDFC"/>
          </w:tcPr>
          <w:p>
            <w:pPr>
              <w:jc w:val="right"/>
              <w:spacing w:after="0" w:line="159" w:lineRule="exact"/>
              <w:rPr>
                <w:sz w:val="20"/>
                <w:szCs w:val="20"/>
                <w:color w:val="auto"/>
              </w:rPr>
            </w:pPr>
            <w:r>
              <w:rPr>
                <w:rFonts w:ascii="Times New Roman" w:cs="Times New Roman" w:eastAsia="Times New Roman" w:hAnsi="Times New Roman"/>
                <w:sz w:val="15"/>
                <w:szCs w:val="15"/>
                <w:color w:val="231F20"/>
              </w:rPr>
              <w:t>900</w:t>
            </w:r>
          </w:p>
        </w:tc>
        <w:tc>
          <w:tcPr>
            <w:tcW w:w="1140" w:type="dxa"/>
            <w:vAlign w:val="bottom"/>
            <w:gridSpan w:val="2"/>
            <w:shd w:val="clear" w:color="auto" w:fill="FDFDFC"/>
          </w:tcPr>
          <w:p>
            <w:pPr>
              <w:jc w:val="right"/>
              <w:spacing w:after="0" w:line="159" w:lineRule="exact"/>
              <w:rPr>
                <w:sz w:val="20"/>
                <w:szCs w:val="20"/>
                <w:color w:val="auto"/>
              </w:rPr>
            </w:pPr>
            <w:r>
              <w:rPr>
                <w:rFonts w:ascii="Times New Roman" w:cs="Times New Roman" w:eastAsia="Times New Roman" w:hAnsi="Times New Roman"/>
                <w:sz w:val="15"/>
                <w:szCs w:val="15"/>
                <w:color w:val="231F20"/>
              </w:rPr>
              <w:t>991</w:t>
            </w:r>
          </w:p>
        </w:tc>
        <w:tc>
          <w:tcPr>
            <w:tcW w:w="1340" w:type="dxa"/>
            <w:vAlign w:val="bottom"/>
            <w:gridSpan w:val="3"/>
            <w:shd w:val="clear" w:color="auto" w:fill="FDFDFC"/>
          </w:tcPr>
          <w:p>
            <w:pPr>
              <w:jc w:val="right"/>
              <w:ind w:right="120"/>
              <w:spacing w:after="0" w:line="159" w:lineRule="exact"/>
              <w:rPr>
                <w:sz w:val="20"/>
                <w:szCs w:val="20"/>
                <w:color w:val="auto"/>
              </w:rPr>
            </w:pPr>
            <w:r>
              <w:rPr>
                <w:rFonts w:ascii="Times New Roman" w:cs="Times New Roman" w:eastAsia="Times New Roman" w:hAnsi="Times New Roman"/>
                <w:sz w:val="15"/>
                <w:szCs w:val="15"/>
                <w:color w:val="231F20"/>
              </w:rPr>
              <w:t>0.1%</w:t>
            </w:r>
          </w:p>
        </w:tc>
      </w:tr>
      <w:tr>
        <w:trPr>
          <w:trHeight w:val="189"/>
        </w:trPr>
        <w:tc>
          <w:tcPr>
            <w:tcW w:w="1460" w:type="dxa"/>
            <w:vAlign w:val="bottom"/>
            <w:shd w:val="clear" w:color="auto" w:fill="FDFDFC"/>
          </w:tcPr>
          <w:p>
            <w:pPr>
              <w:spacing w:after="0" w:line="190" w:lineRule="exact"/>
              <w:rPr>
                <w:sz w:val="20"/>
                <w:szCs w:val="20"/>
                <w:color w:val="auto"/>
              </w:rPr>
            </w:pPr>
            <w:r>
              <w:rPr>
                <w:rFonts w:ascii="Times New Roman" w:cs="Times New Roman" w:eastAsia="Times New Roman" w:hAnsi="Times New Roman"/>
                <w:sz w:val="21"/>
                <w:szCs w:val="21"/>
                <w:color w:val="231F20"/>
                <w:vertAlign w:val="subscript"/>
              </w:rPr>
              <w:t>2021-4A</w:t>
            </w:r>
            <w:r>
              <w:rPr>
                <w:rFonts w:ascii="Times New Roman" w:cs="Times New Roman" w:eastAsia="Times New Roman" w:hAnsi="Times New Roman"/>
                <w:sz w:val="8"/>
                <w:szCs w:val="8"/>
                <w:color w:val="231F20"/>
              </w:rPr>
              <w:t xml:space="preserve"> (3)(4)(9)</w:t>
            </w:r>
          </w:p>
        </w:tc>
        <w:tc>
          <w:tcPr>
            <w:tcW w:w="2340" w:type="dxa"/>
            <w:vAlign w:val="bottom"/>
            <w:shd w:val="clear" w:color="auto" w:fill="FDFDFC"/>
          </w:tcPr>
          <w:p>
            <w:pPr>
              <w:ind w:left="60"/>
              <w:spacing w:after="0"/>
              <w:rPr>
                <w:sz w:val="20"/>
                <w:szCs w:val="20"/>
                <w:color w:val="auto"/>
              </w:rPr>
            </w:pPr>
            <w:r>
              <w:rPr>
                <w:rFonts w:ascii="Times New Roman" w:cs="Times New Roman" w:eastAsia="Times New Roman" w:hAnsi="Times New Roman"/>
                <w:sz w:val="15"/>
                <w:szCs w:val="15"/>
                <w:color w:val="231F20"/>
              </w:rPr>
              <w:t>7/2033)</w:t>
            </w:r>
          </w:p>
        </w:tc>
        <w:tc>
          <w:tcPr>
            <w:tcW w:w="900" w:type="dxa"/>
            <w:vAlign w:val="bottom"/>
            <w:shd w:val="clear" w:color="auto" w:fill="FDFDFC"/>
          </w:tcPr>
          <w:p>
            <w:pPr>
              <w:spacing w:after="0"/>
              <w:rPr>
                <w:sz w:val="16"/>
                <w:szCs w:val="16"/>
                <w:color w:val="auto"/>
              </w:rPr>
            </w:pPr>
          </w:p>
        </w:tc>
        <w:tc>
          <w:tcPr>
            <w:tcW w:w="1200" w:type="dxa"/>
            <w:vAlign w:val="bottom"/>
            <w:shd w:val="clear" w:color="auto" w:fill="FDFDFC"/>
          </w:tcPr>
          <w:p>
            <w:pPr>
              <w:jc w:val="right"/>
              <w:ind w:right="244"/>
              <w:spacing w:after="0"/>
              <w:rPr>
                <w:sz w:val="20"/>
                <w:szCs w:val="20"/>
                <w:color w:val="auto"/>
              </w:rPr>
            </w:pPr>
            <w:r>
              <w:rPr>
                <w:rFonts w:ascii="Times New Roman" w:cs="Times New Roman" w:eastAsia="Times New Roman" w:hAnsi="Times New Roman"/>
                <w:sz w:val="15"/>
                <w:szCs w:val="15"/>
                <w:color w:val="231F20"/>
              </w:rPr>
              <w:t>6.26%</w:t>
            </w:r>
          </w:p>
        </w:tc>
        <w:tc>
          <w:tcPr>
            <w:tcW w:w="900" w:type="dxa"/>
            <w:vAlign w:val="bottom"/>
            <w:shd w:val="clear" w:color="auto" w:fill="FDFDFC"/>
          </w:tcPr>
          <w:p>
            <w:pPr>
              <w:spacing w:after="0"/>
              <w:rPr>
                <w:sz w:val="16"/>
                <w:szCs w:val="16"/>
                <w:color w:val="auto"/>
              </w:rPr>
            </w:pPr>
          </w:p>
        </w:tc>
        <w:tc>
          <w:tcPr>
            <w:tcW w:w="1000" w:type="dxa"/>
            <w:vAlign w:val="bottom"/>
            <w:shd w:val="clear" w:color="auto" w:fill="FDFDFC"/>
          </w:tcPr>
          <w:p>
            <w:pPr>
              <w:spacing w:after="0"/>
              <w:rPr>
                <w:sz w:val="16"/>
                <w:szCs w:val="16"/>
                <w:color w:val="auto"/>
              </w:rPr>
            </w:pPr>
          </w:p>
        </w:tc>
        <w:tc>
          <w:tcPr>
            <w:tcW w:w="180" w:type="dxa"/>
            <w:vAlign w:val="bottom"/>
            <w:shd w:val="clear" w:color="auto" w:fill="FDFDFC"/>
          </w:tcPr>
          <w:p>
            <w:pPr>
              <w:spacing w:after="0"/>
              <w:rPr>
                <w:sz w:val="16"/>
                <w:szCs w:val="16"/>
                <w:color w:val="auto"/>
              </w:rPr>
            </w:pPr>
          </w:p>
        </w:tc>
        <w:tc>
          <w:tcPr>
            <w:tcW w:w="960" w:type="dxa"/>
            <w:vAlign w:val="bottom"/>
            <w:shd w:val="clear" w:color="auto" w:fill="FDFDFC"/>
          </w:tcPr>
          <w:p>
            <w:pPr>
              <w:spacing w:after="0"/>
              <w:rPr>
                <w:sz w:val="16"/>
                <w:szCs w:val="16"/>
                <w:color w:val="auto"/>
              </w:rPr>
            </w:pPr>
          </w:p>
        </w:tc>
        <w:tc>
          <w:tcPr>
            <w:tcW w:w="200" w:type="dxa"/>
            <w:vAlign w:val="bottom"/>
            <w:shd w:val="clear" w:color="auto" w:fill="FDFDFC"/>
          </w:tcPr>
          <w:p>
            <w:pPr>
              <w:spacing w:after="0"/>
              <w:rPr>
                <w:sz w:val="16"/>
                <w:szCs w:val="16"/>
                <w:color w:val="auto"/>
              </w:rPr>
            </w:pPr>
          </w:p>
        </w:tc>
        <w:tc>
          <w:tcPr>
            <w:tcW w:w="900" w:type="dxa"/>
            <w:vAlign w:val="bottom"/>
            <w:shd w:val="clear" w:color="auto" w:fill="FDFDFC"/>
          </w:tcPr>
          <w:p>
            <w:pPr>
              <w:spacing w:after="0"/>
              <w:rPr>
                <w:sz w:val="16"/>
                <w:szCs w:val="16"/>
                <w:color w:val="auto"/>
              </w:rPr>
            </w:pPr>
          </w:p>
        </w:tc>
        <w:tc>
          <w:tcPr>
            <w:tcW w:w="240" w:type="dxa"/>
            <w:vAlign w:val="bottom"/>
            <w:shd w:val="clear" w:color="auto" w:fill="FDFDFC"/>
          </w:tcPr>
          <w:p>
            <w:pPr>
              <w:spacing w:after="0"/>
              <w:rPr>
                <w:sz w:val="16"/>
                <w:szCs w:val="16"/>
                <w:color w:val="auto"/>
              </w:rPr>
            </w:pPr>
          </w:p>
        </w:tc>
      </w:tr>
      <w:tr>
        <w:trPr>
          <w:trHeight w:val="158"/>
        </w:trPr>
        <w:tc>
          <w:tcPr>
            <w:tcW w:w="1460" w:type="dxa"/>
            <w:vAlign w:val="bottom"/>
            <w:shd w:val="clear" w:color="auto" w:fill="D0EBF2"/>
          </w:tcPr>
          <w:p>
            <w:pPr>
              <w:spacing w:after="0" w:line="159" w:lineRule="exact"/>
              <w:rPr>
                <w:sz w:val="20"/>
                <w:szCs w:val="20"/>
                <w:color w:val="auto"/>
              </w:rPr>
            </w:pPr>
            <w:r>
              <w:rPr>
                <w:rFonts w:ascii="Times New Roman" w:cs="Times New Roman" w:eastAsia="Times New Roman" w:hAnsi="Times New Roman"/>
                <w:sz w:val="15"/>
                <w:szCs w:val="15"/>
                <w:color w:val="231F20"/>
              </w:rPr>
              <w:t>Crown Point CLO Ltd,</w:t>
            </w:r>
          </w:p>
        </w:tc>
        <w:tc>
          <w:tcPr>
            <w:tcW w:w="2340" w:type="dxa"/>
            <w:vAlign w:val="bottom"/>
            <w:shd w:val="clear" w:color="auto" w:fill="D0EBF2"/>
          </w:tcPr>
          <w:p>
            <w:pPr>
              <w:ind w:left="60"/>
              <w:spacing w:after="0" w:line="159" w:lineRule="exact"/>
              <w:rPr>
                <w:sz w:val="20"/>
                <w:szCs w:val="20"/>
                <w:color w:val="auto"/>
              </w:rPr>
            </w:pPr>
            <w:r>
              <w:rPr>
                <w:rFonts w:ascii="Times New Roman" w:cs="Times New Roman" w:eastAsia="Times New Roman" w:hAnsi="Times New Roman"/>
                <w:sz w:val="15"/>
                <w:szCs w:val="15"/>
                <w:color w:val="231F20"/>
              </w:rPr>
              <w:t>Structured Credit ($1,000 par, due</w:t>
            </w:r>
          </w:p>
        </w:tc>
        <w:tc>
          <w:tcPr>
            <w:tcW w:w="900" w:type="dxa"/>
            <w:vAlign w:val="bottom"/>
            <w:shd w:val="clear" w:color="auto" w:fill="D0EBF2"/>
          </w:tcPr>
          <w:p>
            <w:pPr>
              <w:jc w:val="right"/>
              <w:spacing w:after="0" w:line="159" w:lineRule="exact"/>
              <w:rPr>
                <w:sz w:val="20"/>
                <w:szCs w:val="20"/>
                <w:color w:val="auto"/>
              </w:rPr>
            </w:pPr>
            <w:r>
              <w:rPr>
                <w:rFonts w:ascii="Times New Roman" w:cs="Times New Roman" w:eastAsia="Times New Roman" w:hAnsi="Times New Roman"/>
                <w:sz w:val="15"/>
                <w:szCs w:val="15"/>
                <w:color w:val="231F20"/>
              </w:rPr>
              <w:t>6/14/2022</w:t>
            </w:r>
          </w:p>
        </w:tc>
        <w:tc>
          <w:tcPr>
            <w:tcW w:w="1200" w:type="dxa"/>
            <w:vAlign w:val="bottom"/>
            <w:shd w:val="clear" w:color="auto" w:fill="D0EBF2"/>
          </w:tcPr>
          <w:p>
            <w:pPr>
              <w:jc w:val="right"/>
              <w:ind w:right="244"/>
              <w:spacing w:after="0" w:line="159" w:lineRule="exact"/>
              <w:rPr>
                <w:sz w:val="20"/>
                <w:szCs w:val="20"/>
                <w:color w:val="auto"/>
              </w:rPr>
            </w:pPr>
            <w:r>
              <w:rPr>
                <w:rFonts w:ascii="Times New Roman" w:cs="Times New Roman" w:eastAsia="Times New Roman" w:hAnsi="Times New Roman"/>
                <w:sz w:val="15"/>
                <w:szCs w:val="15"/>
                <w:color w:val="231F20"/>
              </w:rPr>
              <w:t>SOFR +</w:t>
            </w:r>
          </w:p>
        </w:tc>
        <w:tc>
          <w:tcPr>
            <w:tcW w:w="900" w:type="dxa"/>
            <w:vAlign w:val="bottom"/>
            <w:shd w:val="clear" w:color="auto" w:fill="D0EBF2"/>
          </w:tcPr>
          <w:p>
            <w:pPr>
              <w:jc w:val="right"/>
              <w:ind w:right="24"/>
              <w:spacing w:after="0" w:line="159" w:lineRule="exact"/>
              <w:rPr>
                <w:sz w:val="20"/>
                <w:szCs w:val="20"/>
                <w:color w:val="auto"/>
              </w:rPr>
            </w:pPr>
            <w:r>
              <w:rPr>
                <w:rFonts w:ascii="Times New Roman" w:cs="Times New Roman" w:eastAsia="Times New Roman" w:hAnsi="Times New Roman"/>
                <w:sz w:val="15"/>
                <w:szCs w:val="15"/>
                <w:color w:val="231F20"/>
              </w:rPr>
              <w:t>12.53%</w:t>
            </w:r>
          </w:p>
        </w:tc>
        <w:tc>
          <w:tcPr>
            <w:tcW w:w="1000" w:type="dxa"/>
            <w:vAlign w:val="bottom"/>
            <w:shd w:val="clear" w:color="auto" w:fill="D0EBF2"/>
          </w:tcPr>
          <w:p>
            <w:pPr>
              <w:jc w:val="right"/>
              <w:spacing w:after="0" w:line="159" w:lineRule="exact"/>
              <w:rPr>
                <w:sz w:val="20"/>
                <w:szCs w:val="20"/>
                <w:color w:val="auto"/>
              </w:rPr>
            </w:pPr>
            <w:r>
              <w:rPr>
                <w:rFonts w:ascii="Times New Roman" w:cs="Times New Roman" w:eastAsia="Times New Roman" w:hAnsi="Times New Roman"/>
                <w:sz w:val="15"/>
                <w:szCs w:val="15"/>
                <w:color w:val="231F20"/>
              </w:rPr>
              <w:t>903</w:t>
            </w:r>
          </w:p>
        </w:tc>
        <w:tc>
          <w:tcPr>
            <w:tcW w:w="1140" w:type="dxa"/>
            <w:vAlign w:val="bottom"/>
            <w:gridSpan w:val="2"/>
            <w:shd w:val="clear" w:color="auto" w:fill="D0EBF2"/>
          </w:tcPr>
          <w:p>
            <w:pPr>
              <w:jc w:val="right"/>
              <w:spacing w:after="0" w:line="159" w:lineRule="exact"/>
              <w:rPr>
                <w:sz w:val="20"/>
                <w:szCs w:val="20"/>
                <w:color w:val="auto"/>
              </w:rPr>
            </w:pPr>
            <w:r>
              <w:rPr>
                <w:rFonts w:ascii="Times New Roman" w:cs="Times New Roman" w:eastAsia="Times New Roman" w:hAnsi="Times New Roman"/>
                <w:sz w:val="15"/>
                <w:szCs w:val="15"/>
                <w:color w:val="231F20"/>
              </w:rPr>
              <w:t>953</w:t>
            </w:r>
          </w:p>
        </w:tc>
        <w:tc>
          <w:tcPr>
            <w:tcW w:w="1340" w:type="dxa"/>
            <w:vAlign w:val="bottom"/>
            <w:gridSpan w:val="3"/>
            <w:shd w:val="clear" w:color="auto" w:fill="D0EBF2"/>
          </w:tcPr>
          <w:p>
            <w:pPr>
              <w:jc w:val="right"/>
              <w:ind w:right="120"/>
              <w:spacing w:after="0" w:line="159" w:lineRule="exact"/>
              <w:rPr>
                <w:sz w:val="20"/>
                <w:szCs w:val="20"/>
                <w:color w:val="auto"/>
              </w:rPr>
            </w:pPr>
            <w:r>
              <w:rPr>
                <w:rFonts w:ascii="Times New Roman" w:cs="Times New Roman" w:eastAsia="Times New Roman" w:hAnsi="Times New Roman"/>
                <w:sz w:val="15"/>
                <w:szCs w:val="15"/>
                <w:color w:val="231F20"/>
              </w:rPr>
              <w:t>0.1%</w:t>
            </w:r>
          </w:p>
        </w:tc>
      </w:tr>
      <w:tr>
        <w:trPr>
          <w:trHeight w:val="189"/>
        </w:trPr>
        <w:tc>
          <w:tcPr>
            <w:tcW w:w="1460" w:type="dxa"/>
            <w:vAlign w:val="bottom"/>
            <w:shd w:val="clear" w:color="auto" w:fill="D0EBF2"/>
          </w:tcPr>
          <w:p>
            <w:pPr>
              <w:spacing w:after="0"/>
              <w:rPr>
                <w:sz w:val="20"/>
                <w:szCs w:val="20"/>
                <w:color w:val="auto"/>
              </w:rPr>
            </w:pPr>
            <w:r>
              <w:rPr>
                <w:rFonts w:ascii="Times New Roman" w:cs="Times New Roman" w:eastAsia="Times New Roman" w:hAnsi="Times New Roman"/>
                <w:sz w:val="15"/>
                <w:szCs w:val="15"/>
                <w:color w:val="231F20"/>
              </w:rPr>
              <w:t xml:space="preserve">Series 2021-10A </w:t>
            </w:r>
            <w:r>
              <w:rPr>
                <w:rFonts w:ascii="Times New Roman" w:cs="Times New Roman" w:eastAsia="Times New Roman" w:hAnsi="Times New Roman"/>
                <w:sz w:val="9"/>
                <w:szCs w:val="9"/>
                <w:color w:val="231F20"/>
              </w:rPr>
              <w:t>(3)(4)(9)</w:t>
            </w:r>
          </w:p>
        </w:tc>
        <w:tc>
          <w:tcPr>
            <w:tcW w:w="2340" w:type="dxa"/>
            <w:vAlign w:val="bottom"/>
            <w:shd w:val="clear" w:color="auto" w:fill="D0EBF2"/>
          </w:tcPr>
          <w:p>
            <w:pPr>
              <w:ind w:left="60"/>
              <w:spacing w:after="0"/>
              <w:rPr>
                <w:sz w:val="20"/>
                <w:szCs w:val="20"/>
                <w:color w:val="auto"/>
              </w:rPr>
            </w:pPr>
            <w:r>
              <w:rPr>
                <w:rFonts w:ascii="Times New Roman" w:cs="Times New Roman" w:eastAsia="Times New Roman" w:hAnsi="Times New Roman"/>
                <w:sz w:val="15"/>
                <w:szCs w:val="15"/>
                <w:color w:val="231F20"/>
              </w:rPr>
              <w:t>7/2034)</w:t>
            </w:r>
          </w:p>
        </w:tc>
        <w:tc>
          <w:tcPr>
            <w:tcW w:w="900" w:type="dxa"/>
            <w:vAlign w:val="bottom"/>
            <w:shd w:val="clear" w:color="auto" w:fill="D0EBF2"/>
          </w:tcPr>
          <w:p>
            <w:pPr>
              <w:spacing w:after="0"/>
              <w:rPr>
                <w:sz w:val="16"/>
                <w:szCs w:val="16"/>
                <w:color w:val="auto"/>
              </w:rPr>
            </w:pPr>
          </w:p>
        </w:tc>
        <w:tc>
          <w:tcPr>
            <w:tcW w:w="1200" w:type="dxa"/>
            <w:vAlign w:val="bottom"/>
            <w:shd w:val="clear" w:color="auto" w:fill="D0EBF2"/>
          </w:tcPr>
          <w:p>
            <w:pPr>
              <w:jc w:val="right"/>
              <w:ind w:right="244"/>
              <w:spacing w:after="0"/>
              <w:rPr>
                <w:sz w:val="20"/>
                <w:szCs w:val="20"/>
                <w:color w:val="auto"/>
              </w:rPr>
            </w:pPr>
            <w:r>
              <w:rPr>
                <w:rFonts w:ascii="Times New Roman" w:cs="Times New Roman" w:eastAsia="Times New Roman" w:hAnsi="Times New Roman"/>
                <w:sz w:val="15"/>
                <w:szCs w:val="15"/>
                <w:color w:val="231F20"/>
              </w:rPr>
              <w:t>7.11%</w:t>
            </w:r>
          </w:p>
        </w:tc>
        <w:tc>
          <w:tcPr>
            <w:tcW w:w="900" w:type="dxa"/>
            <w:vAlign w:val="bottom"/>
            <w:shd w:val="clear" w:color="auto" w:fill="D0EBF2"/>
          </w:tcPr>
          <w:p>
            <w:pPr>
              <w:spacing w:after="0"/>
              <w:rPr>
                <w:sz w:val="16"/>
                <w:szCs w:val="16"/>
                <w:color w:val="auto"/>
              </w:rPr>
            </w:pPr>
          </w:p>
        </w:tc>
        <w:tc>
          <w:tcPr>
            <w:tcW w:w="1000" w:type="dxa"/>
            <w:vAlign w:val="bottom"/>
            <w:shd w:val="clear" w:color="auto" w:fill="D0EBF2"/>
          </w:tcPr>
          <w:p>
            <w:pPr>
              <w:spacing w:after="0"/>
              <w:rPr>
                <w:sz w:val="16"/>
                <w:szCs w:val="16"/>
                <w:color w:val="auto"/>
              </w:rPr>
            </w:pPr>
          </w:p>
        </w:tc>
        <w:tc>
          <w:tcPr>
            <w:tcW w:w="180" w:type="dxa"/>
            <w:vAlign w:val="bottom"/>
            <w:shd w:val="clear" w:color="auto" w:fill="D0EBF2"/>
          </w:tcPr>
          <w:p>
            <w:pPr>
              <w:spacing w:after="0"/>
              <w:rPr>
                <w:sz w:val="16"/>
                <w:szCs w:val="16"/>
                <w:color w:val="auto"/>
              </w:rPr>
            </w:pPr>
          </w:p>
        </w:tc>
        <w:tc>
          <w:tcPr>
            <w:tcW w:w="960" w:type="dxa"/>
            <w:vAlign w:val="bottom"/>
            <w:shd w:val="clear" w:color="auto" w:fill="D0EBF2"/>
          </w:tcPr>
          <w:p>
            <w:pPr>
              <w:spacing w:after="0"/>
              <w:rPr>
                <w:sz w:val="16"/>
                <w:szCs w:val="16"/>
                <w:color w:val="auto"/>
              </w:rPr>
            </w:pPr>
          </w:p>
        </w:tc>
        <w:tc>
          <w:tcPr>
            <w:tcW w:w="200" w:type="dxa"/>
            <w:vAlign w:val="bottom"/>
            <w:shd w:val="clear" w:color="auto" w:fill="D0EBF2"/>
          </w:tcPr>
          <w:p>
            <w:pPr>
              <w:spacing w:after="0"/>
              <w:rPr>
                <w:sz w:val="16"/>
                <w:szCs w:val="16"/>
                <w:color w:val="auto"/>
              </w:rPr>
            </w:pPr>
          </w:p>
        </w:tc>
        <w:tc>
          <w:tcPr>
            <w:tcW w:w="900" w:type="dxa"/>
            <w:vAlign w:val="bottom"/>
            <w:shd w:val="clear" w:color="auto" w:fill="D0EBF2"/>
          </w:tcPr>
          <w:p>
            <w:pPr>
              <w:spacing w:after="0"/>
              <w:rPr>
                <w:sz w:val="16"/>
                <w:szCs w:val="16"/>
                <w:color w:val="auto"/>
              </w:rPr>
            </w:pPr>
          </w:p>
        </w:tc>
        <w:tc>
          <w:tcPr>
            <w:tcW w:w="240" w:type="dxa"/>
            <w:vAlign w:val="bottom"/>
            <w:shd w:val="clear" w:color="auto" w:fill="D0EBF2"/>
          </w:tcPr>
          <w:p>
            <w:pPr>
              <w:spacing w:after="0"/>
              <w:rPr>
                <w:sz w:val="16"/>
                <w:szCs w:val="16"/>
                <w:color w:val="auto"/>
              </w:rPr>
            </w:pPr>
          </w:p>
        </w:tc>
      </w:tr>
      <w:tr>
        <w:trPr>
          <w:trHeight w:val="158"/>
        </w:trPr>
        <w:tc>
          <w:tcPr>
            <w:tcW w:w="1460" w:type="dxa"/>
            <w:vAlign w:val="bottom"/>
            <w:shd w:val="clear" w:color="auto" w:fill="FDFDFC"/>
          </w:tcPr>
          <w:p>
            <w:pPr>
              <w:spacing w:after="0" w:line="159" w:lineRule="exact"/>
              <w:rPr>
                <w:sz w:val="20"/>
                <w:szCs w:val="20"/>
                <w:color w:val="auto"/>
              </w:rPr>
            </w:pPr>
            <w:r>
              <w:rPr>
                <w:rFonts w:ascii="Times New Roman" w:cs="Times New Roman" w:eastAsia="Times New Roman" w:hAnsi="Times New Roman"/>
                <w:sz w:val="15"/>
                <w:szCs w:val="15"/>
                <w:color w:val="231F20"/>
              </w:rPr>
              <w:t>Dryden Senior Loan</w:t>
            </w:r>
          </w:p>
        </w:tc>
        <w:tc>
          <w:tcPr>
            <w:tcW w:w="2340" w:type="dxa"/>
            <w:vAlign w:val="bottom"/>
            <w:shd w:val="clear" w:color="auto" w:fill="FDFDFC"/>
          </w:tcPr>
          <w:p>
            <w:pPr>
              <w:ind w:left="60"/>
              <w:spacing w:after="0" w:line="159" w:lineRule="exact"/>
              <w:rPr>
                <w:sz w:val="20"/>
                <w:szCs w:val="20"/>
                <w:color w:val="auto"/>
              </w:rPr>
            </w:pPr>
            <w:r>
              <w:rPr>
                <w:rFonts w:ascii="Times New Roman" w:cs="Times New Roman" w:eastAsia="Times New Roman" w:hAnsi="Times New Roman"/>
                <w:sz w:val="15"/>
                <w:szCs w:val="15"/>
                <w:color w:val="231F20"/>
              </w:rPr>
              <w:t>Structured Credit ($1,000 par, due</w:t>
            </w:r>
          </w:p>
        </w:tc>
        <w:tc>
          <w:tcPr>
            <w:tcW w:w="900" w:type="dxa"/>
            <w:vAlign w:val="bottom"/>
            <w:shd w:val="clear" w:color="auto" w:fill="FDFDFC"/>
          </w:tcPr>
          <w:p>
            <w:pPr>
              <w:jc w:val="right"/>
              <w:spacing w:after="0" w:line="159" w:lineRule="exact"/>
              <w:rPr>
                <w:sz w:val="20"/>
                <w:szCs w:val="20"/>
                <w:color w:val="auto"/>
              </w:rPr>
            </w:pPr>
            <w:r>
              <w:rPr>
                <w:rFonts w:ascii="Times New Roman" w:cs="Times New Roman" w:eastAsia="Times New Roman" w:hAnsi="Times New Roman"/>
                <w:sz w:val="15"/>
                <w:szCs w:val="15"/>
                <w:color w:val="231F20"/>
              </w:rPr>
              <w:t>7/25/2022</w:t>
            </w:r>
          </w:p>
        </w:tc>
        <w:tc>
          <w:tcPr>
            <w:tcW w:w="1200" w:type="dxa"/>
            <w:vAlign w:val="bottom"/>
            <w:shd w:val="clear" w:color="auto" w:fill="FDFDFC"/>
          </w:tcPr>
          <w:p>
            <w:pPr>
              <w:jc w:val="right"/>
              <w:ind w:right="244"/>
              <w:spacing w:after="0" w:line="159" w:lineRule="exact"/>
              <w:rPr>
                <w:sz w:val="20"/>
                <w:szCs w:val="20"/>
                <w:color w:val="auto"/>
              </w:rPr>
            </w:pPr>
            <w:r>
              <w:rPr>
                <w:rFonts w:ascii="Times New Roman" w:cs="Times New Roman" w:eastAsia="Times New Roman" w:hAnsi="Times New Roman"/>
                <w:sz w:val="15"/>
                <w:szCs w:val="15"/>
                <w:color w:val="231F20"/>
              </w:rPr>
              <w:t>SOFR +</w:t>
            </w:r>
          </w:p>
        </w:tc>
        <w:tc>
          <w:tcPr>
            <w:tcW w:w="900" w:type="dxa"/>
            <w:vAlign w:val="bottom"/>
            <w:shd w:val="clear" w:color="auto" w:fill="FDFDFC"/>
          </w:tcPr>
          <w:p>
            <w:pPr>
              <w:jc w:val="right"/>
              <w:ind w:right="24"/>
              <w:spacing w:after="0" w:line="159" w:lineRule="exact"/>
              <w:rPr>
                <w:sz w:val="20"/>
                <w:szCs w:val="20"/>
                <w:color w:val="auto"/>
              </w:rPr>
            </w:pPr>
            <w:r>
              <w:rPr>
                <w:rFonts w:ascii="Times New Roman" w:cs="Times New Roman" w:eastAsia="Times New Roman" w:hAnsi="Times New Roman"/>
                <w:sz w:val="15"/>
                <w:szCs w:val="15"/>
                <w:color w:val="231F20"/>
              </w:rPr>
              <w:t>8.51%</w:t>
            </w:r>
          </w:p>
        </w:tc>
        <w:tc>
          <w:tcPr>
            <w:tcW w:w="1000" w:type="dxa"/>
            <w:vAlign w:val="bottom"/>
            <w:shd w:val="clear" w:color="auto" w:fill="FDFDFC"/>
          </w:tcPr>
          <w:p>
            <w:pPr>
              <w:jc w:val="right"/>
              <w:spacing w:after="0" w:line="159" w:lineRule="exact"/>
              <w:rPr>
                <w:sz w:val="20"/>
                <w:szCs w:val="20"/>
                <w:color w:val="auto"/>
              </w:rPr>
            </w:pPr>
            <w:r>
              <w:rPr>
                <w:rFonts w:ascii="Times New Roman" w:cs="Times New Roman" w:eastAsia="Times New Roman" w:hAnsi="Times New Roman"/>
                <w:sz w:val="15"/>
                <w:szCs w:val="15"/>
                <w:color w:val="231F20"/>
              </w:rPr>
              <w:t>927</w:t>
            </w:r>
          </w:p>
        </w:tc>
        <w:tc>
          <w:tcPr>
            <w:tcW w:w="1140" w:type="dxa"/>
            <w:vAlign w:val="bottom"/>
            <w:gridSpan w:val="2"/>
            <w:shd w:val="clear" w:color="auto" w:fill="FDFDFC"/>
          </w:tcPr>
          <w:p>
            <w:pPr>
              <w:jc w:val="right"/>
              <w:spacing w:after="0" w:line="159" w:lineRule="exact"/>
              <w:rPr>
                <w:sz w:val="20"/>
                <w:szCs w:val="20"/>
                <w:color w:val="auto"/>
              </w:rPr>
            </w:pPr>
            <w:r>
              <w:rPr>
                <w:rFonts w:ascii="Times New Roman" w:cs="Times New Roman" w:eastAsia="Times New Roman" w:hAnsi="Times New Roman"/>
                <w:sz w:val="15"/>
                <w:szCs w:val="15"/>
                <w:color w:val="231F20"/>
              </w:rPr>
              <w:t>959</w:t>
            </w:r>
          </w:p>
        </w:tc>
        <w:tc>
          <w:tcPr>
            <w:tcW w:w="1340" w:type="dxa"/>
            <w:vAlign w:val="bottom"/>
            <w:gridSpan w:val="3"/>
            <w:shd w:val="clear" w:color="auto" w:fill="FDFDFC"/>
          </w:tcPr>
          <w:p>
            <w:pPr>
              <w:jc w:val="right"/>
              <w:ind w:right="120"/>
              <w:spacing w:after="0" w:line="159" w:lineRule="exact"/>
              <w:rPr>
                <w:sz w:val="20"/>
                <w:szCs w:val="20"/>
                <w:color w:val="auto"/>
              </w:rPr>
            </w:pPr>
            <w:r>
              <w:rPr>
                <w:rFonts w:ascii="Times New Roman" w:cs="Times New Roman" w:eastAsia="Times New Roman" w:hAnsi="Times New Roman"/>
                <w:sz w:val="15"/>
                <w:szCs w:val="15"/>
                <w:color w:val="231F20"/>
              </w:rPr>
              <w:t>0.1%</w:t>
            </w:r>
          </w:p>
        </w:tc>
      </w:tr>
      <w:tr>
        <w:trPr>
          <w:trHeight w:val="186"/>
        </w:trPr>
        <w:tc>
          <w:tcPr>
            <w:tcW w:w="1460" w:type="dxa"/>
            <w:vAlign w:val="bottom"/>
            <w:shd w:val="clear" w:color="auto" w:fill="FDFDFC"/>
          </w:tcPr>
          <w:p>
            <w:pPr>
              <w:spacing w:after="0"/>
              <w:rPr>
                <w:sz w:val="20"/>
                <w:szCs w:val="20"/>
                <w:color w:val="auto"/>
              </w:rPr>
            </w:pPr>
            <w:r>
              <w:rPr>
                <w:rFonts w:ascii="Times New Roman" w:cs="Times New Roman" w:eastAsia="Times New Roman" w:hAnsi="Times New Roman"/>
                <w:sz w:val="15"/>
                <w:szCs w:val="15"/>
                <w:color w:val="231F20"/>
              </w:rPr>
              <w:t>Fund, Series 2018-55A</w:t>
            </w:r>
          </w:p>
        </w:tc>
        <w:tc>
          <w:tcPr>
            <w:tcW w:w="2340" w:type="dxa"/>
            <w:vAlign w:val="bottom"/>
            <w:shd w:val="clear" w:color="auto" w:fill="FDFDFC"/>
          </w:tcPr>
          <w:p>
            <w:pPr>
              <w:ind w:left="60"/>
              <w:spacing w:after="0"/>
              <w:rPr>
                <w:sz w:val="20"/>
                <w:szCs w:val="20"/>
                <w:color w:val="auto"/>
              </w:rPr>
            </w:pPr>
            <w:r>
              <w:rPr>
                <w:rFonts w:ascii="Times New Roman" w:cs="Times New Roman" w:eastAsia="Times New Roman" w:hAnsi="Times New Roman"/>
                <w:sz w:val="15"/>
                <w:szCs w:val="15"/>
                <w:color w:val="231F20"/>
              </w:rPr>
              <w:t>4/2031)</w:t>
            </w:r>
          </w:p>
        </w:tc>
        <w:tc>
          <w:tcPr>
            <w:tcW w:w="900" w:type="dxa"/>
            <w:vAlign w:val="bottom"/>
            <w:shd w:val="clear" w:color="auto" w:fill="FDFDFC"/>
          </w:tcPr>
          <w:p>
            <w:pPr>
              <w:spacing w:after="0"/>
              <w:rPr>
                <w:sz w:val="16"/>
                <w:szCs w:val="16"/>
                <w:color w:val="auto"/>
              </w:rPr>
            </w:pPr>
          </w:p>
        </w:tc>
        <w:tc>
          <w:tcPr>
            <w:tcW w:w="1200" w:type="dxa"/>
            <w:vAlign w:val="bottom"/>
            <w:shd w:val="clear" w:color="auto" w:fill="FDFDFC"/>
          </w:tcPr>
          <w:p>
            <w:pPr>
              <w:jc w:val="right"/>
              <w:ind w:right="244"/>
              <w:spacing w:after="0"/>
              <w:rPr>
                <w:sz w:val="20"/>
                <w:szCs w:val="20"/>
                <w:color w:val="auto"/>
              </w:rPr>
            </w:pPr>
            <w:r>
              <w:rPr>
                <w:rFonts w:ascii="Times New Roman" w:cs="Times New Roman" w:eastAsia="Times New Roman" w:hAnsi="Times New Roman"/>
                <w:sz w:val="15"/>
                <w:szCs w:val="15"/>
                <w:color w:val="231F20"/>
              </w:rPr>
              <w:t>3.11%</w:t>
            </w:r>
          </w:p>
        </w:tc>
        <w:tc>
          <w:tcPr>
            <w:tcW w:w="900" w:type="dxa"/>
            <w:vAlign w:val="bottom"/>
            <w:shd w:val="clear" w:color="auto" w:fill="FDFDFC"/>
          </w:tcPr>
          <w:p>
            <w:pPr>
              <w:spacing w:after="0"/>
              <w:rPr>
                <w:sz w:val="16"/>
                <w:szCs w:val="16"/>
                <w:color w:val="auto"/>
              </w:rPr>
            </w:pPr>
          </w:p>
        </w:tc>
        <w:tc>
          <w:tcPr>
            <w:tcW w:w="1000" w:type="dxa"/>
            <w:vAlign w:val="bottom"/>
            <w:shd w:val="clear" w:color="auto" w:fill="FDFDFC"/>
          </w:tcPr>
          <w:p>
            <w:pPr>
              <w:spacing w:after="0"/>
              <w:rPr>
                <w:sz w:val="16"/>
                <w:szCs w:val="16"/>
                <w:color w:val="auto"/>
              </w:rPr>
            </w:pPr>
          </w:p>
        </w:tc>
        <w:tc>
          <w:tcPr>
            <w:tcW w:w="180" w:type="dxa"/>
            <w:vAlign w:val="bottom"/>
            <w:shd w:val="clear" w:color="auto" w:fill="FDFDFC"/>
          </w:tcPr>
          <w:p>
            <w:pPr>
              <w:spacing w:after="0"/>
              <w:rPr>
                <w:sz w:val="16"/>
                <w:szCs w:val="16"/>
                <w:color w:val="auto"/>
              </w:rPr>
            </w:pPr>
          </w:p>
        </w:tc>
        <w:tc>
          <w:tcPr>
            <w:tcW w:w="960" w:type="dxa"/>
            <w:vAlign w:val="bottom"/>
            <w:shd w:val="clear" w:color="auto" w:fill="FDFDFC"/>
          </w:tcPr>
          <w:p>
            <w:pPr>
              <w:spacing w:after="0"/>
              <w:rPr>
                <w:sz w:val="16"/>
                <w:szCs w:val="16"/>
                <w:color w:val="auto"/>
              </w:rPr>
            </w:pPr>
          </w:p>
        </w:tc>
        <w:tc>
          <w:tcPr>
            <w:tcW w:w="200" w:type="dxa"/>
            <w:vAlign w:val="bottom"/>
            <w:shd w:val="clear" w:color="auto" w:fill="FDFDFC"/>
          </w:tcPr>
          <w:p>
            <w:pPr>
              <w:spacing w:after="0"/>
              <w:rPr>
                <w:sz w:val="16"/>
                <w:szCs w:val="16"/>
                <w:color w:val="auto"/>
              </w:rPr>
            </w:pPr>
          </w:p>
        </w:tc>
        <w:tc>
          <w:tcPr>
            <w:tcW w:w="900" w:type="dxa"/>
            <w:vAlign w:val="bottom"/>
            <w:shd w:val="clear" w:color="auto" w:fill="FDFDFC"/>
          </w:tcPr>
          <w:p>
            <w:pPr>
              <w:spacing w:after="0"/>
              <w:rPr>
                <w:sz w:val="16"/>
                <w:szCs w:val="16"/>
                <w:color w:val="auto"/>
              </w:rPr>
            </w:pPr>
          </w:p>
        </w:tc>
        <w:tc>
          <w:tcPr>
            <w:tcW w:w="240" w:type="dxa"/>
            <w:vAlign w:val="bottom"/>
            <w:shd w:val="clear" w:color="auto" w:fill="FDFDFC"/>
          </w:tcPr>
          <w:p>
            <w:pPr>
              <w:spacing w:after="0"/>
              <w:rPr>
                <w:sz w:val="16"/>
                <w:szCs w:val="16"/>
                <w:color w:val="auto"/>
              </w:rPr>
            </w:pPr>
          </w:p>
        </w:tc>
      </w:tr>
      <w:tr>
        <w:trPr>
          <w:trHeight w:val="157"/>
        </w:trPr>
        <w:tc>
          <w:tcPr>
            <w:tcW w:w="1460" w:type="dxa"/>
            <w:vAlign w:val="bottom"/>
            <w:tcBorders>
              <w:bottom w:val="single" w:sz="8" w:color="FDFDFC"/>
            </w:tcBorders>
            <w:shd w:val="clear" w:color="auto" w:fill="FDFDFC"/>
          </w:tcPr>
          <w:p>
            <w:pPr>
              <w:spacing w:after="0"/>
              <w:rPr>
                <w:sz w:val="20"/>
                <w:szCs w:val="20"/>
                <w:color w:val="auto"/>
              </w:rPr>
            </w:pPr>
            <w:r>
              <w:rPr>
                <w:rFonts w:ascii="Times New Roman" w:cs="Times New Roman" w:eastAsia="Times New Roman" w:hAnsi="Times New Roman"/>
                <w:sz w:val="9"/>
                <w:szCs w:val="9"/>
                <w:color w:val="231F20"/>
              </w:rPr>
              <w:t>(3)(4)(9)</w:t>
            </w:r>
          </w:p>
        </w:tc>
        <w:tc>
          <w:tcPr>
            <w:tcW w:w="2340" w:type="dxa"/>
            <w:vAlign w:val="bottom"/>
            <w:tcBorders>
              <w:bottom w:val="single" w:sz="8" w:color="FDFDFC"/>
            </w:tcBorders>
            <w:shd w:val="clear" w:color="auto" w:fill="FDFDFC"/>
          </w:tcPr>
          <w:p>
            <w:pPr>
              <w:spacing w:after="0"/>
              <w:rPr>
                <w:sz w:val="13"/>
                <w:szCs w:val="13"/>
                <w:color w:val="auto"/>
              </w:rPr>
            </w:pPr>
          </w:p>
        </w:tc>
        <w:tc>
          <w:tcPr>
            <w:tcW w:w="900" w:type="dxa"/>
            <w:vAlign w:val="bottom"/>
            <w:tcBorders>
              <w:bottom w:val="single" w:sz="8" w:color="FDFDFC"/>
            </w:tcBorders>
            <w:shd w:val="clear" w:color="auto" w:fill="FDFDFC"/>
          </w:tcPr>
          <w:p>
            <w:pPr>
              <w:spacing w:after="0"/>
              <w:rPr>
                <w:sz w:val="13"/>
                <w:szCs w:val="13"/>
                <w:color w:val="auto"/>
              </w:rPr>
            </w:pPr>
          </w:p>
        </w:tc>
        <w:tc>
          <w:tcPr>
            <w:tcW w:w="1200" w:type="dxa"/>
            <w:vAlign w:val="bottom"/>
            <w:tcBorders>
              <w:bottom w:val="single" w:sz="8" w:color="FDFDFC"/>
            </w:tcBorders>
            <w:shd w:val="clear" w:color="auto" w:fill="FDFDFC"/>
          </w:tcPr>
          <w:p>
            <w:pPr>
              <w:spacing w:after="0"/>
              <w:rPr>
                <w:sz w:val="13"/>
                <w:szCs w:val="13"/>
                <w:color w:val="auto"/>
              </w:rPr>
            </w:pPr>
          </w:p>
        </w:tc>
        <w:tc>
          <w:tcPr>
            <w:tcW w:w="900" w:type="dxa"/>
            <w:vAlign w:val="bottom"/>
            <w:tcBorders>
              <w:bottom w:val="single" w:sz="8" w:color="FDFDFC"/>
            </w:tcBorders>
            <w:shd w:val="clear" w:color="auto" w:fill="FDFDFC"/>
          </w:tcPr>
          <w:p>
            <w:pPr>
              <w:spacing w:after="0"/>
              <w:rPr>
                <w:sz w:val="13"/>
                <w:szCs w:val="13"/>
                <w:color w:val="auto"/>
              </w:rPr>
            </w:pPr>
          </w:p>
        </w:tc>
        <w:tc>
          <w:tcPr>
            <w:tcW w:w="1000" w:type="dxa"/>
            <w:vAlign w:val="bottom"/>
            <w:tcBorders>
              <w:bottom w:val="single" w:sz="8" w:color="FDFDFC"/>
            </w:tcBorders>
            <w:shd w:val="clear" w:color="auto" w:fill="FDFDFC"/>
          </w:tcPr>
          <w:p>
            <w:pPr>
              <w:spacing w:after="0"/>
              <w:rPr>
                <w:sz w:val="13"/>
                <w:szCs w:val="13"/>
                <w:color w:val="auto"/>
              </w:rPr>
            </w:pPr>
          </w:p>
        </w:tc>
        <w:tc>
          <w:tcPr>
            <w:tcW w:w="180" w:type="dxa"/>
            <w:vAlign w:val="bottom"/>
            <w:tcBorders>
              <w:bottom w:val="single" w:sz="8" w:color="FDFDFC"/>
            </w:tcBorders>
            <w:shd w:val="clear" w:color="auto" w:fill="FDFDFC"/>
          </w:tcPr>
          <w:p>
            <w:pPr>
              <w:spacing w:after="0"/>
              <w:rPr>
                <w:sz w:val="13"/>
                <w:szCs w:val="13"/>
                <w:color w:val="auto"/>
              </w:rPr>
            </w:pPr>
          </w:p>
        </w:tc>
        <w:tc>
          <w:tcPr>
            <w:tcW w:w="960" w:type="dxa"/>
            <w:vAlign w:val="bottom"/>
            <w:tcBorders>
              <w:bottom w:val="single" w:sz="8" w:color="FDFDFC"/>
            </w:tcBorders>
            <w:shd w:val="clear" w:color="auto" w:fill="FDFDFC"/>
          </w:tcPr>
          <w:p>
            <w:pPr>
              <w:spacing w:after="0"/>
              <w:rPr>
                <w:sz w:val="13"/>
                <w:szCs w:val="13"/>
                <w:color w:val="auto"/>
              </w:rPr>
            </w:pPr>
          </w:p>
        </w:tc>
        <w:tc>
          <w:tcPr>
            <w:tcW w:w="200" w:type="dxa"/>
            <w:vAlign w:val="bottom"/>
            <w:tcBorders>
              <w:bottom w:val="single" w:sz="8" w:color="FDFDFC"/>
            </w:tcBorders>
            <w:shd w:val="clear" w:color="auto" w:fill="FDFDFC"/>
          </w:tcPr>
          <w:p>
            <w:pPr>
              <w:spacing w:after="0"/>
              <w:rPr>
                <w:sz w:val="13"/>
                <w:szCs w:val="13"/>
                <w:color w:val="auto"/>
              </w:rPr>
            </w:pPr>
          </w:p>
        </w:tc>
        <w:tc>
          <w:tcPr>
            <w:tcW w:w="900" w:type="dxa"/>
            <w:vAlign w:val="bottom"/>
            <w:tcBorders>
              <w:bottom w:val="single" w:sz="8" w:color="FDFDFC"/>
            </w:tcBorders>
            <w:shd w:val="clear" w:color="auto" w:fill="FDFDFC"/>
          </w:tcPr>
          <w:p>
            <w:pPr>
              <w:spacing w:after="0"/>
              <w:rPr>
                <w:sz w:val="13"/>
                <w:szCs w:val="13"/>
                <w:color w:val="auto"/>
              </w:rPr>
            </w:pPr>
          </w:p>
        </w:tc>
        <w:tc>
          <w:tcPr>
            <w:tcW w:w="240" w:type="dxa"/>
            <w:vAlign w:val="bottom"/>
            <w:tcBorders>
              <w:bottom w:val="single" w:sz="8" w:color="FDFDFC"/>
            </w:tcBorders>
            <w:shd w:val="clear" w:color="auto" w:fill="FDFDFC"/>
          </w:tcPr>
          <w:p>
            <w:pPr>
              <w:spacing w:after="0"/>
              <w:rPr>
                <w:sz w:val="13"/>
                <w:szCs w:val="13"/>
                <w:color w:val="auto"/>
              </w:rPr>
            </w:pPr>
          </w:p>
        </w:tc>
      </w:tr>
      <w:tr>
        <w:trPr>
          <w:trHeight w:val="158"/>
        </w:trPr>
        <w:tc>
          <w:tcPr>
            <w:tcW w:w="1460" w:type="dxa"/>
            <w:vAlign w:val="bottom"/>
            <w:shd w:val="clear" w:color="auto" w:fill="D0EBF2"/>
          </w:tcPr>
          <w:p>
            <w:pPr>
              <w:spacing w:after="0" w:line="159" w:lineRule="exact"/>
              <w:rPr>
                <w:sz w:val="20"/>
                <w:szCs w:val="20"/>
                <w:color w:val="auto"/>
              </w:rPr>
            </w:pPr>
            <w:r>
              <w:rPr>
                <w:rFonts w:ascii="Times New Roman" w:cs="Times New Roman" w:eastAsia="Times New Roman" w:hAnsi="Times New Roman"/>
                <w:sz w:val="15"/>
                <w:szCs w:val="15"/>
                <w:color w:val="231F20"/>
              </w:rPr>
              <w:t>Dryden Senior Loan</w:t>
            </w:r>
          </w:p>
        </w:tc>
        <w:tc>
          <w:tcPr>
            <w:tcW w:w="2340" w:type="dxa"/>
            <w:vAlign w:val="bottom"/>
            <w:shd w:val="clear" w:color="auto" w:fill="D0EBF2"/>
          </w:tcPr>
          <w:p>
            <w:pPr>
              <w:ind w:left="60"/>
              <w:spacing w:after="0" w:line="159" w:lineRule="exact"/>
              <w:rPr>
                <w:sz w:val="20"/>
                <w:szCs w:val="20"/>
                <w:color w:val="auto"/>
              </w:rPr>
            </w:pPr>
            <w:r>
              <w:rPr>
                <w:rFonts w:ascii="Times New Roman" w:cs="Times New Roman" w:eastAsia="Times New Roman" w:hAnsi="Times New Roman"/>
                <w:sz w:val="15"/>
                <w:szCs w:val="15"/>
                <w:color w:val="231F20"/>
              </w:rPr>
              <w:t>Structured Credit ($1,500 par, due</w:t>
            </w:r>
          </w:p>
        </w:tc>
        <w:tc>
          <w:tcPr>
            <w:tcW w:w="900" w:type="dxa"/>
            <w:vAlign w:val="bottom"/>
            <w:shd w:val="clear" w:color="auto" w:fill="D0EBF2"/>
          </w:tcPr>
          <w:p>
            <w:pPr>
              <w:jc w:val="right"/>
              <w:spacing w:after="0" w:line="159" w:lineRule="exact"/>
              <w:rPr>
                <w:sz w:val="20"/>
                <w:szCs w:val="20"/>
                <w:color w:val="auto"/>
              </w:rPr>
            </w:pPr>
            <w:r>
              <w:rPr>
                <w:rFonts w:ascii="Times New Roman" w:cs="Times New Roman" w:eastAsia="Times New Roman" w:hAnsi="Times New Roman"/>
                <w:sz w:val="15"/>
                <w:szCs w:val="15"/>
                <w:color w:val="231F20"/>
              </w:rPr>
              <w:t>8/17/2022</w:t>
            </w:r>
          </w:p>
        </w:tc>
        <w:tc>
          <w:tcPr>
            <w:tcW w:w="1200" w:type="dxa"/>
            <w:vAlign w:val="bottom"/>
            <w:shd w:val="clear" w:color="auto" w:fill="D0EBF2"/>
          </w:tcPr>
          <w:p>
            <w:pPr>
              <w:jc w:val="right"/>
              <w:ind w:right="244"/>
              <w:spacing w:after="0" w:line="159" w:lineRule="exact"/>
              <w:rPr>
                <w:sz w:val="20"/>
                <w:szCs w:val="20"/>
                <w:color w:val="auto"/>
              </w:rPr>
            </w:pPr>
            <w:r>
              <w:rPr>
                <w:rFonts w:ascii="Times New Roman" w:cs="Times New Roman" w:eastAsia="Times New Roman" w:hAnsi="Times New Roman"/>
                <w:sz w:val="15"/>
                <w:szCs w:val="15"/>
                <w:color w:val="231F20"/>
              </w:rPr>
              <w:t>SOFR +</w:t>
            </w:r>
          </w:p>
        </w:tc>
        <w:tc>
          <w:tcPr>
            <w:tcW w:w="900" w:type="dxa"/>
            <w:vAlign w:val="bottom"/>
            <w:shd w:val="clear" w:color="auto" w:fill="D0EBF2"/>
          </w:tcPr>
          <w:p>
            <w:pPr>
              <w:jc w:val="right"/>
              <w:ind w:right="24"/>
              <w:spacing w:after="0" w:line="159" w:lineRule="exact"/>
              <w:rPr>
                <w:sz w:val="20"/>
                <w:szCs w:val="20"/>
                <w:color w:val="auto"/>
              </w:rPr>
            </w:pPr>
            <w:r>
              <w:rPr>
                <w:rFonts w:ascii="Times New Roman" w:cs="Times New Roman" w:eastAsia="Times New Roman" w:hAnsi="Times New Roman"/>
                <w:sz w:val="15"/>
                <w:szCs w:val="15"/>
                <w:color w:val="231F20"/>
              </w:rPr>
              <w:t>12.16%</w:t>
            </w:r>
          </w:p>
        </w:tc>
        <w:tc>
          <w:tcPr>
            <w:tcW w:w="1000" w:type="dxa"/>
            <w:vAlign w:val="bottom"/>
            <w:shd w:val="clear" w:color="auto" w:fill="D0EBF2"/>
          </w:tcPr>
          <w:p>
            <w:pPr>
              <w:jc w:val="right"/>
              <w:spacing w:after="0" w:line="159" w:lineRule="exact"/>
              <w:rPr>
                <w:sz w:val="20"/>
                <w:szCs w:val="20"/>
                <w:color w:val="auto"/>
              </w:rPr>
            </w:pPr>
            <w:r>
              <w:rPr>
                <w:rFonts w:ascii="Times New Roman" w:cs="Times New Roman" w:eastAsia="Times New Roman" w:hAnsi="Times New Roman"/>
                <w:sz w:val="15"/>
                <w:szCs w:val="15"/>
                <w:color w:val="231F20"/>
              </w:rPr>
              <w:t>1,463</w:t>
            </w:r>
          </w:p>
        </w:tc>
        <w:tc>
          <w:tcPr>
            <w:tcW w:w="1140" w:type="dxa"/>
            <w:vAlign w:val="bottom"/>
            <w:gridSpan w:val="2"/>
            <w:shd w:val="clear" w:color="auto" w:fill="D0EBF2"/>
          </w:tcPr>
          <w:p>
            <w:pPr>
              <w:jc w:val="right"/>
              <w:spacing w:after="0" w:line="159" w:lineRule="exact"/>
              <w:rPr>
                <w:sz w:val="20"/>
                <w:szCs w:val="20"/>
                <w:color w:val="auto"/>
              </w:rPr>
            </w:pPr>
            <w:r>
              <w:rPr>
                <w:rFonts w:ascii="Times New Roman" w:cs="Times New Roman" w:eastAsia="Times New Roman" w:hAnsi="Times New Roman"/>
                <w:sz w:val="15"/>
                <w:szCs w:val="15"/>
                <w:color w:val="231F20"/>
              </w:rPr>
              <w:t>1,433</w:t>
            </w:r>
          </w:p>
        </w:tc>
        <w:tc>
          <w:tcPr>
            <w:tcW w:w="1340" w:type="dxa"/>
            <w:vAlign w:val="bottom"/>
            <w:gridSpan w:val="3"/>
            <w:shd w:val="clear" w:color="auto" w:fill="D0EBF2"/>
          </w:tcPr>
          <w:p>
            <w:pPr>
              <w:jc w:val="right"/>
              <w:ind w:right="120"/>
              <w:spacing w:after="0" w:line="159" w:lineRule="exact"/>
              <w:rPr>
                <w:sz w:val="20"/>
                <w:szCs w:val="20"/>
                <w:color w:val="auto"/>
              </w:rPr>
            </w:pPr>
            <w:r>
              <w:rPr>
                <w:rFonts w:ascii="Times New Roman" w:cs="Times New Roman" w:eastAsia="Times New Roman" w:hAnsi="Times New Roman"/>
                <w:sz w:val="15"/>
                <w:szCs w:val="15"/>
                <w:color w:val="231F20"/>
              </w:rPr>
              <w:t>0.1%</w:t>
            </w:r>
          </w:p>
        </w:tc>
      </w:tr>
      <w:tr>
        <w:trPr>
          <w:trHeight w:val="186"/>
        </w:trPr>
        <w:tc>
          <w:tcPr>
            <w:tcW w:w="1460" w:type="dxa"/>
            <w:vAlign w:val="bottom"/>
            <w:shd w:val="clear" w:color="auto" w:fill="D0EBF2"/>
          </w:tcPr>
          <w:p>
            <w:pPr>
              <w:spacing w:after="0"/>
              <w:rPr>
                <w:sz w:val="20"/>
                <w:szCs w:val="20"/>
                <w:color w:val="auto"/>
              </w:rPr>
            </w:pPr>
            <w:r>
              <w:rPr>
                <w:rFonts w:ascii="Times New Roman" w:cs="Times New Roman" w:eastAsia="Times New Roman" w:hAnsi="Times New Roman"/>
                <w:sz w:val="15"/>
                <w:szCs w:val="15"/>
                <w:color w:val="231F20"/>
              </w:rPr>
              <w:t>Fund, Series 2020-86A</w:t>
            </w:r>
          </w:p>
        </w:tc>
        <w:tc>
          <w:tcPr>
            <w:tcW w:w="2340" w:type="dxa"/>
            <w:vAlign w:val="bottom"/>
            <w:shd w:val="clear" w:color="auto" w:fill="D0EBF2"/>
          </w:tcPr>
          <w:p>
            <w:pPr>
              <w:ind w:left="60"/>
              <w:spacing w:after="0"/>
              <w:rPr>
                <w:sz w:val="20"/>
                <w:szCs w:val="20"/>
                <w:color w:val="auto"/>
              </w:rPr>
            </w:pPr>
            <w:r>
              <w:rPr>
                <w:rFonts w:ascii="Times New Roman" w:cs="Times New Roman" w:eastAsia="Times New Roman" w:hAnsi="Times New Roman"/>
                <w:sz w:val="15"/>
                <w:szCs w:val="15"/>
                <w:color w:val="231F20"/>
              </w:rPr>
              <w:t>7/2034)</w:t>
            </w:r>
          </w:p>
        </w:tc>
        <w:tc>
          <w:tcPr>
            <w:tcW w:w="900" w:type="dxa"/>
            <w:vAlign w:val="bottom"/>
            <w:shd w:val="clear" w:color="auto" w:fill="D0EBF2"/>
          </w:tcPr>
          <w:p>
            <w:pPr>
              <w:spacing w:after="0"/>
              <w:rPr>
                <w:sz w:val="16"/>
                <w:szCs w:val="16"/>
                <w:color w:val="auto"/>
              </w:rPr>
            </w:pPr>
          </w:p>
        </w:tc>
        <w:tc>
          <w:tcPr>
            <w:tcW w:w="1200" w:type="dxa"/>
            <w:vAlign w:val="bottom"/>
            <w:shd w:val="clear" w:color="auto" w:fill="D0EBF2"/>
          </w:tcPr>
          <w:p>
            <w:pPr>
              <w:jc w:val="right"/>
              <w:ind w:right="244"/>
              <w:spacing w:after="0"/>
              <w:rPr>
                <w:sz w:val="20"/>
                <w:szCs w:val="20"/>
                <w:color w:val="auto"/>
              </w:rPr>
            </w:pPr>
            <w:r>
              <w:rPr>
                <w:rFonts w:ascii="Times New Roman" w:cs="Times New Roman" w:eastAsia="Times New Roman" w:hAnsi="Times New Roman"/>
                <w:sz w:val="15"/>
                <w:szCs w:val="15"/>
                <w:color w:val="231F20"/>
              </w:rPr>
              <w:t>6.76%</w:t>
            </w:r>
          </w:p>
        </w:tc>
        <w:tc>
          <w:tcPr>
            <w:tcW w:w="900" w:type="dxa"/>
            <w:vAlign w:val="bottom"/>
            <w:shd w:val="clear" w:color="auto" w:fill="D0EBF2"/>
          </w:tcPr>
          <w:p>
            <w:pPr>
              <w:spacing w:after="0"/>
              <w:rPr>
                <w:sz w:val="16"/>
                <w:szCs w:val="16"/>
                <w:color w:val="auto"/>
              </w:rPr>
            </w:pPr>
          </w:p>
        </w:tc>
        <w:tc>
          <w:tcPr>
            <w:tcW w:w="1000" w:type="dxa"/>
            <w:vAlign w:val="bottom"/>
            <w:shd w:val="clear" w:color="auto" w:fill="D0EBF2"/>
          </w:tcPr>
          <w:p>
            <w:pPr>
              <w:spacing w:after="0"/>
              <w:rPr>
                <w:sz w:val="16"/>
                <w:szCs w:val="16"/>
                <w:color w:val="auto"/>
              </w:rPr>
            </w:pPr>
          </w:p>
        </w:tc>
        <w:tc>
          <w:tcPr>
            <w:tcW w:w="180" w:type="dxa"/>
            <w:vAlign w:val="bottom"/>
            <w:shd w:val="clear" w:color="auto" w:fill="D0EBF2"/>
          </w:tcPr>
          <w:p>
            <w:pPr>
              <w:spacing w:after="0"/>
              <w:rPr>
                <w:sz w:val="16"/>
                <w:szCs w:val="16"/>
                <w:color w:val="auto"/>
              </w:rPr>
            </w:pPr>
          </w:p>
        </w:tc>
        <w:tc>
          <w:tcPr>
            <w:tcW w:w="960" w:type="dxa"/>
            <w:vAlign w:val="bottom"/>
            <w:shd w:val="clear" w:color="auto" w:fill="D0EBF2"/>
          </w:tcPr>
          <w:p>
            <w:pPr>
              <w:spacing w:after="0"/>
              <w:rPr>
                <w:sz w:val="16"/>
                <w:szCs w:val="16"/>
                <w:color w:val="auto"/>
              </w:rPr>
            </w:pPr>
          </w:p>
        </w:tc>
        <w:tc>
          <w:tcPr>
            <w:tcW w:w="200" w:type="dxa"/>
            <w:vAlign w:val="bottom"/>
            <w:shd w:val="clear" w:color="auto" w:fill="D0EBF2"/>
          </w:tcPr>
          <w:p>
            <w:pPr>
              <w:spacing w:after="0"/>
              <w:rPr>
                <w:sz w:val="16"/>
                <w:szCs w:val="16"/>
                <w:color w:val="auto"/>
              </w:rPr>
            </w:pPr>
          </w:p>
        </w:tc>
        <w:tc>
          <w:tcPr>
            <w:tcW w:w="900" w:type="dxa"/>
            <w:vAlign w:val="bottom"/>
            <w:shd w:val="clear" w:color="auto" w:fill="D0EBF2"/>
          </w:tcPr>
          <w:p>
            <w:pPr>
              <w:spacing w:after="0"/>
              <w:rPr>
                <w:sz w:val="16"/>
                <w:szCs w:val="16"/>
                <w:color w:val="auto"/>
              </w:rPr>
            </w:pPr>
          </w:p>
        </w:tc>
        <w:tc>
          <w:tcPr>
            <w:tcW w:w="240" w:type="dxa"/>
            <w:vAlign w:val="bottom"/>
            <w:shd w:val="clear" w:color="auto" w:fill="D0EBF2"/>
          </w:tcPr>
          <w:p>
            <w:pPr>
              <w:spacing w:after="0"/>
              <w:rPr>
                <w:sz w:val="16"/>
                <w:szCs w:val="16"/>
                <w:color w:val="auto"/>
              </w:rPr>
            </w:pPr>
          </w:p>
        </w:tc>
      </w:tr>
      <w:tr>
        <w:trPr>
          <w:trHeight w:val="157"/>
        </w:trPr>
        <w:tc>
          <w:tcPr>
            <w:tcW w:w="1460" w:type="dxa"/>
            <w:vAlign w:val="bottom"/>
            <w:tcBorders>
              <w:bottom w:val="single" w:sz="8" w:color="D0EBF2"/>
            </w:tcBorders>
            <w:shd w:val="clear" w:color="auto" w:fill="D0EBF2"/>
          </w:tcPr>
          <w:p>
            <w:pPr>
              <w:spacing w:after="0"/>
              <w:rPr>
                <w:sz w:val="20"/>
                <w:szCs w:val="20"/>
                <w:color w:val="auto"/>
              </w:rPr>
            </w:pPr>
            <w:r>
              <w:rPr>
                <w:rFonts w:ascii="Times New Roman" w:cs="Times New Roman" w:eastAsia="Times New Roman" w:hAnsi="Times New Roman"/>
                <w:sz w:val="9"/>
                <w:szCs w:val="9"/>
                <w:color w:val="231F20"/>
              </w:rPr>
              <w:t>(3)(4)(9)</w:t>
            </w:r>
          </w:p>
        </w:tc>
        <w:tc>
          <w:tcPr>
            <w:tcW w:w="2340" w:type="dxa"/>
            <w:vAlign w:val="bottom"/>
            <w:tcBorders>
              <w:bottom w:val="single" w:sz="8" w:color="D0EBF2"/>
            </w:tcBorders>
            <w:shd w:val="clear" w:color="auto" w:fill="D0EBF2"/>
          </w:tcPr>
          <w:p>
            <w:pPr>
              <w:spacing w:after="0"/>
              <w:rPr>
                <w:sz w:val="13"/>
                <w:szCs w:val="13"/>
                <w:color w:val="auto"/>
              </w:rPr>
            </w:pPr>
          </w:p>
        </w:tc>
        <w:tc>
          <w:tcPr>
            <w:tcW w:w="900" w:type="dxa"/>
            <w:vAlign w:val="bottom"/>
            <w:tcBorders>
              <w:bottom w:val="single" w:sz="8" w:color="D0EBF2"/>
            </w:tcBorders>
            <w:shd w:val="clear" w:color="auto" w:fill="D0EBF2"/>
          </w:tcPr>
          <w:p>
            <w:pPr>
              <w:spacing w:after="0"/>
              <w:rPr>
                <w:sz w:val="13"/>
                <w:szCs w:val="13"/>
                <w:color w:val="auto"/>
              </w:rPr>
            </w:pPr>
          </w:p>
        </w:tc>
        <w:tc>
          <w:tcPr>
            <w:tcW w:w="1200" w:type="dxa"/>
            <w:vAlign w:val="bottom"/>
            <w:tcBorders>
              <w:bottom w:val="single" w:sz="8" w:color="D0EBF2"/>
            </w:tcBorders>
            <w:shd w:val="clear" w:color="auto" w:fill="D0EBF2"/>
          </w:tcPr>
          <w:p>
            <w:pPr>
              <w:spacing w:after="0"/>
              <w:rPr>
                <w:sz w:val="13"/>
                <w:szCs w:val="13"/>
                <w:color w:val="auto"/>
              </w:rPr>
            </w:pPr>
          </w:p>
        </w:tc>
        <w:tc>
          <w:tcPr>
            <w:tcW w:w="900" w:type="dxa"/>
            <w:vAlign w:val="bottom"/>
            <w:tcBorders>
              <w:bottom w:val="single" w:sz="8" w:color="D0EBF2"/>
            </w:tcBorders>
            <w:shd w:val="clear" w:color="auto" w:fill="D0EBF2"/>
          </w:tcPr>
          <w:p>
            <w:pPr>
              <w:spacing w:after="0"/>
              <w:rPr>
                <w:sz w:val="13"/>
                <w:szCs w:val="13"/>
                <w:color w:val="auto"/>
              </w:rPr>
            </w:pPr>
          </w:p>
        </w:tc>
        <w:tc>
          <w:tcPr>
            <w:tcW w:w="1000" w:type="dxa"/>
            <w:vAlign w:val="bottom"/>
            <w:tcBorders>
              <w:bottom w:val="single" w:sz="8" w:color="D0EBF2"/>
            </w:tcBorders>
            <w:shd w:val="clear" w:color="auto" w:fill="D0EBF2"/>
          </w:tcPr>
          <w:p>
            <w:pPr>
              <w:spacing w:after="0"/>
              <w:rPr>
                <w:sz w:val="13"/>
                <w:szCs w:val="13"/>
                <w:color w:val="auto"/>
              </w:rPr>
            </w:pPr>
          </w:p>
        </w:tc>
        <w:tc>
          <w:tcPr>
            <w:tcW w:w="180" w:type="dxa"/>
            <w:vAlign w:val="bottom"/>
            <w:tcBorders>
              <w:bottom w:val="single" w:sz="8" w:color="D0EBF2"/>
            </w:tcBorders>
            <w:shd w:val="clear" w:color="auto" w:fill="D0EBF2"/>
          </w:tcPr>
          <w:p>
            <w:pPr>
              <w:spacing w:after="0"/>
              <w:rPr>
                <w:sz w:val="13"/>
                <w:szCs w:val="13"/>
                <w:color w:val="auto"/>
              </w:rPr>
            </w:pPr>
          </w:p>
        </w:tc>
        <w:tc>
          <w:tcPr>
            <w:tcW w:w="960" w:type="dxa"/>
            <w:vAlign w:val="bottom"/>
            <w:tcBorders>
              <w:bottom w:val="single" w:sz="8" w:color="D0EBF2"/>
            </w:tcBorders>
            <w:shd w:val="clear" w:color="auto" w:fill="D0EBF2"/>
          </w:tcPr>
          <w:p>
            <w:pPr>
              <w:spacing w:after="0"/>
              <w:rPr>
                <w:sz w:val="13"/>
                <w:szCs w:val="13"/>
                <w:color w:val="auto"/>
              </w:rPr>
            </w:pPr>
          </w:p>
        </w:tc>
        <w:tc>
          <w:tcPr>
            <w:tcW w:w="200" w:type="dxa"/>
            <w:vAlign w:val="bottom"/>
            <w:tcBorders>
              <w:bottom w:val="single" w:sz="8" w:color="D0EBF2"/>
            </w:tcBorders>
            <w:shd w:val="clear" w:color="auto" w:fill="D0EBF2"/>
          </w:tcPr>
          <w:p>
            <w:pPr>
              <w:spacing w:after="0"/>
              <w:rPr>
                <w:sz w:val="13"/>
                <w:szCs w:val="13"/>
                <w:color w:val="auto"/>
              </w:rPr>
            </w:pPr>
          </w:p>
        </w:tc>
        <w:tc>
          <w:tcPr>
            <w:tcW w:w="900" w:type="dxa"/>
            <w:vAlign w:val="bottom"/>
            <w:tcBorders>
              <w:bottom w:val="single" w:sz="8" w:color="D0EBF2"/>
            </w:tcBorders>
            <w:shd w:val="clear" w:color="auto" w:fill="D0EBF2"/>
          </w:tcPr>
          <w:p>
            <w:pPr>
              <w:spacing w:after="0"/>
              <w:rPr>
                <w:sz w:val="13"/>
                <w:szCs w:val="13"/>
                <w:color w:val="auto"/>
              </w:rPr>
            </w:pPr>
          </w:p>
        </w:tc>
        <w:tc>
          <w:tcPr>
            <w:tcW w:w="240" w:type="dxa"/>
            <w:vAlign w:val="bottom"/>
            <w:tcBorders>
              <w:bottom w:val="single" w:sz="8" w:color="D0EBF2"/>
            </w:tcBorders>
            <w:shd w:val="clear" w:color="auto" w:fill="D0EBF2"/>
          </w:tcPr>
          <w:p>
            <w:pPr>
              <w:spacing w:after="0"/>
              <w:rPr>
                <w:sz w:val="13"/>
                <w:szCs w:val="13"/>
                <w:color w:val="auto"/>
              </w:rPr>
            </w:pPr>
          </w:p>
        </w:tc>
      </w:tr>
      <w:tr>
        <w:trPr>
          <w:trHeight w:val="158"/>
        </w:trPr>
        <w:tc>
          <w:tcPr>
            <w:tcW w:w="1460" w:type="dxa"/>
            <w:vAlign w:val="bottom"/>
            <w:shd w:val="clear" w:color="auto" w:fill="FDFDFC"/>
          </w:tcPr>
          <w:p>
            <w:pPr>
              <w:spacing w:after="0" w:line="159" w:lineRule="exact"/>
              <w:rPr>
                <w:sz w:val="20"/>
                <w:szCs w:val="20"/>
                <w:color w:val="auto"/>
              </w:rPr>
            </w:pPr>
            <w:r>
              <w:rPr>
                <w:rFonts w:ascii="Times New Roman" w:cs="Times New Roman" w:eastAsia="Times New Roman" w:hAnsi="Times New Roman"/>
                <w:sz w:val="15"/>
                <w:szCs w:val="15"/>
                <w:color w:val="231F20"/>
              </w:rPr>
              <w:t>Eaton CLO Ltd, Series</w:t>
            </w:r>
          </w:p>
        </w:tc>
        <w:tc>
          <w:tcPr>
            <w:tcW w:w="2340" w:type="dxa"/>
            <w:vAlign w:val="bottom"/>
            <w:shd w:val="clear" w:color="auto" w:fill="FDFDFC"/>
          </w:tcPr>
          <w:p>
            <w:pPr>
              <w:ind w:left="60"/>
              <w:spacing w:after="0" w:line="159" w:lineRule="exact"/>
              <w:rPr>
                <w:sz w:val="20"/>
                <w:szCs w:val="20"/>
                <w:color w:val="auto"/>
              </w:rPr>
            </w:pPr>
            <w:r>
              <w:rPr>
                <w:rFonts w:ascii="Times New Roman" w:cs="Times New Roman" w:eastAsia="Times New Roman" w:hAnsi="Times New Roman"/>
                <w:sz w:val="15"/>
                <w:szCs w:val="15"/>
                <w:color w:val="231F20"/>
              </w:rPr>
              <w:t>Structured Credit ($2,500 par, due</w:t>
            </w:r>
          </w:p>
        </w:tc>
        <w:tc>
          <w:tcPr>
            <w:tcW w:w="900" w:type="dxa"/>
            <w:vAlign w:val="bottom"/>
            <w:shd w:val="clear" w:color="auto" w:fill="FDFDFC"/>
          </w:tcPr>
          <w:p>
            <w:pPr>
              <w:jc w:val="right"/>
              <w:spacing w:after="0" w:line="159" w:lineRule="exact"/>
              <w:rPr>
                <w:sz w:val="20"/>
                <w:szCs w:val="20"/>
                <w:color w:val="auto"/>
              </w:rPr>
            </w:pPr>
            <w:r>
              <w:rPr>
                <w:rFonts w:ascii="Times New Roman" w:cs="Times New Roman" w:eastAsia="Times New Roman" w:hAnsi="Times New Roman"/>
                <w:sz w:val="15"/>
                <w:szCs w:val="15"/>
                <w:color w:val="231F20"/>
              </w:rPr>
              <w:t>6/23/2022</w:t>
            </w:r>
          </w:p>
        </w:tc>
        <w:tc>
          <w:tcPr>
            <w:tcW w:w="1200" w:type="dxa"/>
            <w:vAlign w:val="bottom"/>
            <w:shd w:val="clear" w:color="auto" w:fill="FDFDFC"/>
          </w:tcPr>
          <w:p>
            <w:pPr>
              <w:jc w:val="right"/>
              <w:ind w:right="244"/>
              <w:spacing w:after="0" w:line="159" w:lineRule="exact"/>
              <w:rPr>
                <w:sz w:val="20"/>
                <w:szCs w:val="20"/>
                <w:color w:val="auto"/>
              </w:rPr>
            </w:pPr>
            <w:r>
              <w:rPr>
                <w:rFonts w:ascii="Times New Roman" w:cs="Times New Roman" w:eastAsia="Times New Roman" w:hAnsi="Times New Roman"/>
                <w:sz w:val="15"/>
                <w:szCs w:val="15"/>
                <w:color w:val="231F20"/>
              </w:rPr>
              <w:t>SOFR +</w:t>
            </w:r>
          </w:p>
        </w:tc>
        <w:tc>
          <w:tcPr>
            <w:tcW w:w="900" w:type="dxa"/>
            <w:vAlign w:val="bottom"/>
            <w:shd w:val="clear" w:color="auto" w:fill="FDFDFC"/>
          </w:tcPr>
          <w:p>
            <w:pPr>
              <w:jc w:val="right"/>
              <w:ind w:right="24"/>
              <w:spacing w:after="0" w:line="159" w:lineRule="exact"/>
              <w:rPr>
                <w:sz w:val="20"/>
                <w:szCs w:val="20"/>
                <w:color w:val="auto"/>
              </w:rPr>
            </w:pPr>
            <w:r>
              <w:rPr>
                <w:rFonts w:ascii="Times New Roman" w:cs="Times New Roman" w:eastAsia="Times New Roman" w:hAnsi="Times New Roman"/>
                <w:sz w:val="15"/>
                <w:szCs w:val="15"/>
                <w:color w:val="231F20"/>
              </w:rPr>
              <w:t>8.18%</w:t>
            </w:r>
          </w:p>
        </w:tc>
        <w:tc>
          <w:tcPr>
            <w:tcW w:w="1000" w:type="dxa"/>
            <w:vAlign w:val="bottom"/>
            <w:shd w:val="clear" w:color="auto" w:fill="FDFDFC"/>
          </w:tcPr>
          <w:p>
            <w:pPr>
              <w:jc w:val="right"/>
              <w:spacing w:after="0" w:line="159" w:lineRule="exact"/>
              <w:rPr>
                <w:sz w:val="20"/>
                <w:szCs w:val="20"/>
                <w:color w:val="auto"/>
              </w:rPr>
            </w:pPr>
            <w:r>
              <w:rPr>
                <w:rFonts w:ascii="Times New Roman" w:cs="Times New Roman" w:eastAsia="Times New Roman" w:hAnsi="Times New Roman"/>
                <w:sz w:val="15"/>
                <w:szCs w:val="15"/>
                <w:color w:val="231F20"/>
              </w:rPr>
              <w:t>2,260</w:t>
            </w:r>
          </w:p>
        </w:tc>
        <w:tc>
          <w:tcPr>
            <w:tcW w:w="1140" w:type="dxa"/>
            <w:vAlign w:val="bottom"/>
            <w:gridSpan w:val="2"/>
            <w:shd w:val="clear" w:color="auto" w:fill="FDFDFC"/>
          </w:tcPr>
          <w:p>
            <w:pPr>
              <w:jc w:val="right"/>
              <w:spacing w:after="0" w:line="159" w:lineRule="exact"/>
              <w:rPr>
                <w:sz w:val="20"/>
                <w:szCs w:val="20"/>
                <w:color w:val="auto"/>
              </w:rPr>
            </w:pPr>
            <w:r>
              <w:rPr>
                <w:rFonts w:ascii="Times New Roman" w:cs="Times New Roman" w:eastAsia="Times New Roman" w:hAnsi="Times New Roman"/>
                <w:sz w:val="15"/>
                <w:szCs w:val="15"/>
                <w:color w:val="231F20"/>
              </w:rPr>
              <w:t>2,410</w:t>
            </w:r>
          </w:p>
        </w:tc>
        <w:tc>
          <w:tcPr>
            <w:tcW w:w="1340" w:type="dxa"/>
            <w:vAlign w:val="bottom"/>
            <w:gridSpan w:val="3"/>
            <w:shd w:val="clear" w:color="auto" w:fill="FDFDFC"/>
          </w:tcPr>
          <w:p>
            <w:pPr>
              <w:jc w:val="right"/>
              <w:ind w:right="120"/>
              <w:spacing w:after="0" w:line="159" w:lineRule="exact"/>
              <w:rPr>
                <w:sz w:val="20"/>
                <w:szCs w:val="20"/>
                <w:color w:val="auto"/>
              </w:rPr>
            </w:pPr>
            <w:r>
              <w:rPr>
                <w:rFonts w:ascii="Times New Roman" w:cs="Times New Roman" w:eastAsia="Times New Roman" w:hAnsi="Times New Roman"/>
                <w:sz w:val="15"/>
                <w:szCs w:val="15"/>
                <w:color w:val="231F20"/>
              </w:rPr>
              <w:t>0.2%</w:t>
            </w:r>
          </w:p>
        </w:tc>
      </w:tr>
      <w:tr>
        <w:trPr>
          <w:trHeight w:val="189"/>
        </w:trPr>
        <w:tc>
          <w:tcPr>
            <w:tcW w:w="1460" w:type="dxa"/>
            <w:vAlign w:val="bottom"/>
            <w:shd w:val="clear" w:color="auto" w:fill="FDFDFC"/>
          </w:tcPr>
          <w:p>
            <w:pPr>
              <w:spacing w:after="0" w:line="190" w:lineRule="exact"/>
              <w:rPr>
                <w:sz w:val="20"/>
                <w:szCs w:val="20"/>
                <w:color w:val="auto"/>
              </w:rPr>
            </w:pPr>
            <w:r>
              <w:rPr>
                <w:rFonts w:ascii="Times New Roman" w:cs="Times New Roman" w:eastAsia="Times New Roman" w:hAnsi="Times New Roman"/>
                <w:sz w:val="21"/>
                <w:szCs w:val="21"/>
                <w:color w:val="231F20"/>
                <w:vertAlign w:val="subscript"/>
              </w:rPr>
              <w:t>2015-1A</w:t>
            </w:r>
            <w:r>
              <w:rPr>
                <w:rFonts w:ascii="Times New Roman" w:cs="Times New Roman" w:eastAsia="Times New Roman" w:hAnsi="Times New Roman"/>
                <w:sz w:val="8"/>
                <w:szCs w:val="8"/>
                <w:color w:val="231F20"/>
              </w:rPr>
              <w:t xml:space="preserve"> (3)(4)(9)</w:t>
            </w:r>
          </w:p>
        </w:tc>
        <w:tc>
          <w:tcPr>
            <w:tcW w:w="2340" w:type="dxa"/>
            <w:vAlign w:val="bottom"/>
            <w:shd w:val="clear" w:color="auto" w:fill="FDFDFC"/>
          </w:tcPr>
          <w:p>
            <w:pPr>
              <w:ind w:left="60"/>
              <w:spacing w:after="0"/>
              <w:rPr>
                <w:sz w:val="20"/>
                <w:szCs w:val="20"/>
                <w:color w:val="auto"/>
              </w:rPr>
            </w:pPr>
            <w:r>
              <w:rPr>
                <w:rFonts w:ascii="Times New Roman" w:cs="Times New Roman" w:eastAsia="Times New Roman" w:hAnsi="Times New Roman"/>
                <w:sz w:val="15"/>
                <w:szCs w:val="15"/>
                <w:color w:val="231F20"/>
              </w:rPr>
              <w:t>1/2030)</w:t>
            </w:r>
          </w:p>
        </w:tc>
        <w:tc>
          <w:tcPr>
            <w:tcW w:w="900" w:type="dxa"/>
            <w:vAlign w:val="bottom"/>
            <w:shd w:val="clear" w:color="auto" w:fill="FDFDFC"/>
          </w:tcPr>
          <w:p>
            <w:pPr>
              <w:spacing w:after="0"/>
              <w:rPr>
                <w:sz w:val="16"/>
                <w:szCs w:val="16"/>
                <w:color w:val="auto"/>
              </w:rPr>
            </w:pPr>
          </w:p>
        </w:tc>
        <w:tc>
          <w:tcPr>
            <w:tcW w:w="1200" w:type="dxa"/>
            <w:vAlign w:val="bottom"/>
            <w:shd w:val="clear" w:color="auto" w:fill="FDFDFC"/>
          </w:tcPr>
          <w:p>
            <w:pPr>
              <w:jc w:val="right"/>
              <w:ind w:right="244"/>
              <w:spacing w:after="0"/>
              <w:rPr>
                <w:sz w:val="20"/>
                <w:szCs w:val="20"/>
                <w:color w:val="auto"/>
              </w:rPr>
            </w:pPr>
            <w:r>
              <w:rPr>
                <w:rFonts w:ascii="Times New Roman" w:cs="Times New Roman" w:eastAsia="Times New Roman" w:hAnsi="Times New Roman"/>
                <w:sz w:val="15"/>
                <w:szCs w:val="15"/>
                <w:color w:val="231F20"/>
              </w:rPr>
              <w:t>2.76%</w:t>
            </w:r>
          </w:p>
        </w:tc>
        <w:tc>
          <w:tcPr>
            <w:tcW w:w="900" w:type="dxa"/>
            <w:vAlign w:val="bottom"/>
            <w:shd w:val="clear" w:color="auto" w:fill="FDFDFC"/>
          </w:tcPr>
          <w:p>
            <w:pPr>
              <w:spacing w:after="0"/>
              <w:rPr>
                <w:sz w:val="16"/>
                <w:szCs w:val="16"/>
                <w:color w:val="auto"/>
              </w:rPr>
            </w:pPr>
          </w:p>
        </w:tc>
        <w:tc>
          <w:tcPr>
            <w:tcW w:w="1000" w:type="dxa"/>
            <w:vAlign w:val="bottom"/>
            <w:shd w:val="clear" w:color="auto" w:fill="FDFDFC"/>
          </w:tcPr>
          <w:p>
            <w:pPr>
              <w:spacing w:after="0"/>
              <w:rPr>
                <w:sz w:val="16"/>
                <w:szCs w:val="16"/>
                <w:color w:val="auto"/>
              </w:rPr>
            </w:pPr>
          </w:p>
        </w:tc>
        <w:tc>
          <w:tcPr>
            <w:tcW w:w="180" w:type="dxa"/>
            <w:vAlign w:val="bottom"/>
            <w:shd w:val="clear" w:color="auto" w:fill="FDFDFC"/>
          </w:tcPr>
          <w:p>
            <w:pPr>
              <w:spacing w:after="0"/>
              <w:rPr>
                <w:sz w:val="16"/>
                <w:szCs w:val="16"/>
                <w:color w:val="auto"/>
              </w:rPr>
            </w:pPr>
          </w:p>
        </w:tc>
        <w:tc>
          <w:tcPr>
            <w:tcW w:w="960" w:type="dxa"/>
            <w:vAlign w:val="bottom"/>
            <w:shd w:val="clear" w:color="auto" w:fill="FDFDFC"/>
          </w:tcPr>
          <w:p>
            <w:pPr>
              <w:spacing w:after="0"/>
              <w:rPr>
                <w:sz w:val="16"/>
                <w:szCs w:val="16"/>
                <w:color w:val="auto"/>
              </w:rPr>
            </w:pPr>
          </w:p>
        </w:tc>
        <w:tc>
          <w:tcPr>
            <w:tcW w:w="200" w:type="dxa"/>
            <w:vAlign w:val="bottom"/>
            <w:shd w:val="clear" w:color="auto" w:fill="FDFDFC"/>
          </w:tcPr>
          <w:p>
            <w:pPr>
              <w:spacing w:after="0"/>
              <w:rPr>
                <w:sz w:val="16"/>
                <w:szCs w:val="16"/>
                <w:color w:val="auto"/>
              </w:rPr>
            </w:pPr>
          </w:p>
        </w:tc>
        <w:tc>
          <w:tcPr>
            <w:tcW w:w="900" w:type="dxa"/>
            <w:vAlign w:val="bottom"/>
            <w:shd w:val="clear" w:color="auto" w:fill="FDFDFC"/>
          </w:tcPr>
          <w:p>
            <w:pPr>
              <w:spacing w:after="0"/>
              <w:rPr>
                <w:sz w:val="16"/>
                <w:szCs w:val="16"/>
                <w:color w:val="auto"/>
              </w:rPr>
            </w:pPr>
          </w:p>
        </w:tc>
        <w:tc>
          <w:tcPr>
            <w:tcW w:w="240" w:type="dxa"/>
            <w:vAlign w:val="bottom"/>
            <w:shd w:val="clear" w:color="auto" w:fill="FDFDFC"/>
          </w:tcPr>
          <w:p>
            <w:pPr>
              <w:spacing w:after="0"/>
              <w:rPr>
                <w:sz w:val="16"/>
                <w:szCs w:val="16"/>
                <w:color w:val="auto"/>
              </w:rPr>
            </w:pPr>
          </w:p>
        </w:tc>
      </w:tr>
      <w:tr>
        <w:trPr>
          <w:trHeight w:val="158"/>
        </w:trPr>
        <w:tc>
          <w:tcPr>
            <w:tcW w:w="1460" w:type="dxa"/>
            <w:vAlign w:val="bottom"/>
            <w:shd w:val="clear" w:color="auto" w:fill="D0EBF2"/>
          </w:tcPr>
          <w:p>
            <w:pPr>
              <w:spacing w:after="0" w:line="159" w:lineRule="exact"/>
              <w:rPr>
                <w:sz w:val="20"/>
                <w:szCs w:val="20"/>
                <w:color w:val="auto"/>
              </w:rPr>
            </w:pPr>
            <w:r>
              <w:rPr>
                <w:rFonts w:ascii="Times New Roman" w:cs="Times New Roman" w:eastAsia="Times New Roman" w:hAnsi="Times New Roman"/>
                <w:sz w:val="15"/>
                <w:szCs w:val="15"/>
                <w:color w:val="231F20"/>
              </w:rPr>
              <w:t>Eaton CLO Ltd, Series</w:t>
            </w:r>
          </w:p>
        </w:tc>
        <w:tc>
          <w:tcPr>
            <w:tcW w:w="2340" w:type="dxa"/>
            <w:vAlign w:val="bottom"/>
            <w:shd w:val="clear" w:color="auto" w:fill="D0EBF2"/>
          </w:tcPr>
          <w:p>
            <w:pPr>
              <w:ind w:left="60"/>
              <w:spacing w:after="0" w:line="159" w:lineRule="exact"/>
              <w:rPr>
                <w:sz w:val="20"/>
                <w:szCs w:val="20"/>
                <w:color w:val="auto"/>
              </w:rPr>
            </w:pPr>
            <w:r>
              <w:rPr>
                <w:rFonts w:ascii="Times New Roman" w:cs="Times New Roman" w:eastAsia="Times New Roman" w:hAnsi="Times New Roman"/>
                <w:sz w:val="15"/>
                <w:szCs w:val="15"/>
                <w:color w:val="231F20"/>
              </w:rPr>
              <w:t>Structured Credit ($1,000 par, due</w:t>
            </w:r>
          </w:p>
        </w:tc>
        <w:tc>
          <w:tcPr>
            <w:tcW w:w="900" w:type="dxa"/>
            <w:vAlign w:val="bottom"/>
            <w:shd w:val="clear" w:color="auto" w:fill="D0EBF2"/>
          </w:tcPr>
          <w:p>
            <w:pPr>
              <w:jc w:val="right"/>
              <w:spacing w:after="0" w:line="159" w:lineRule="exact"/>
              <w:rPr>
                <w:sz w:val="20"/>
                <w:szCs w:val="20"/>
                <w:color w:val="auto"/>
              </w:rPr>
            </w:pPr>
            <w:r>
              <w:rPr>
                <w:rFonts w:ascii="Times New Roman" w:cs="Times New Roman" w:eastAsia="Times New Roman" w:hAnsi="Times New Roman"/>
                <w:sz w:val="15"/>
                <w:szCs w:val="15"/>
                <w:color w:val="231F20"/>
              </w:rPr>
              <w:t>8/11/2022</w:t>
            </w:r>
          </w:p>
        </w:tc>
        <w:tc>
          <w:tcPr>
            <w:tcW w:w="1200" w:type="dxa"/>
            <w:vAlign w:val="bottom"/>
            <w:shd w:val="clear" w:color="auto" w:fill="D0EBF2"/>
          </w:tcPr>
          <w:p>
            <w:pPr>
              <w:jc w:val="right"/>
              <w:ind w:right="244"/>
              <w:spacing w:after="0" w:line="159" w:lineRule="exact"/>
              <w:rPr>
                <w:sz w:val="20"/>
                <w:szCs w:val="20"/>
                <w:color w:val="auto"/>
              </w:rPr>
            </w:pPr>
            <w:r>
              <w:rPr>
                <w:rFonts w:ascii="Times New Roman" w:cs="Times New Roman" w:eastAsia="Times New Roman" w:hAnsi="Times New Roman"/>
                <w:sz w:val="15"/>
                <w:szCs w:val="15"/>
                <w:color w:val="231F20"/>
              </w:rPr>
              <w:t>SOFR +</w:t>
            </w:r>
          </w:p>
        </w:tc>
        <w:tc>
          <w:tcPr>
            <w:tcW w:w="900" w:type="dxa"/>
            <w:vAlign w:val="bottom"/>
            <w:shd w:val="clear" w:color="auto" w:fill="D0EBF2"/>
          </w:tcPr>
          <w:p>
            <w:pPr>
              <w:jc w:val="right"/>
              <w:ind w:right="24"/>
              <w:spacing w:after="0" w:line="159" w:lineRule="exact"/>
              <w:rPr>
                <w:sz w:val="20"/>
                <w:szCs w:val="20"/>
                <w:color w:val="auto"/>
              </w:rPr>
            </w:pPr>
            <w:r>
              <w:rPr>
                <w:rFonts w:ascii="Times New Roman" w:cs="Times New Roman" w:eastAsia="Times New Roman" w:hAnsi="Times New Roman"/>
                <w:sz w:val="15"/>
                <w:szCs w:val="15"/>
                <w:color w:val="231F20"/>
              </w:rPr>
              <w:t>11.91%</w:t>
            </w:r>
          </w:p>
        </w:tc>
        <w:tc>
          <w:tcPr>
            <w:tcW w:w="1000" w:type="dxa"/>
            <w:vAlign w:val="bottom"/>
            <w:shd w:val="clear" w:color="auto" w:fill="D0EBF2"/>
          </w:tcPr>
          <w:p>
            <w:pPr>
              <w:jc w:val="right"/>
              <w:spacing w:after="0" w:line="159" w:lineRule="exact"/>
              <w:rPr>
                <w:sz w:val="20"/>
                <w:szCs w:val="20"/>
                <w:color w:val="auto"/>
              </w:rPr>
            </w:pPr>
            <w:r>
              <w:rPr>
                <w:rFonts w:ascii="Times New Roman" w:cs="Times New Roman" w:eastAsia="Times New Roman" w:hAnsi="Times New Roman"/>
                <w:sz w:val="15"/>
                <w:szCs w:val="15"/>
                <w:color w:val="231F20"/>
              </w:rPr>
              <w:t>936</w:t>
            </w:r>
          </w:p>
        </w:tc>
        <w:tc>
          <w:tcPr>
            <w:tcW w:w="1140" w:type="dxa"/>
            <w:vAlign w:val="bottom"/>
            <w:gridSpan w:val="2"/>
            <w:shd w:val="clear" w:color="auto" w:fill="D0EBF2"/>
          </w:tcPr>
          <w:p>
            <w:pPr>
              <w:jc w:val="right"/>
              <w:spacing w:after="0" w:line="159" w:lineRule="exact"/>
              <w:rPr>
                <w:sz w:val="20"/>
                <w:szCs w:val="20"/>
                <w:color w:val="auto"/>
              </w:rPr>
            </w:pPr>
            <w:r>
              <w:rPr>
                <w:rFonts w:ascii="Times New Roman" w:cs="Times New Roman" w:eastAsia="Times New Roman" w:hAnsi="Times New Roman"/>
                <w:sz w:val="15"/>
                <w:szCs w:val="15"/>
                <w:color w:val="231F20"/>
              </w:rPr>
              <w:t>970</w:t>
            </w:r>
          </w:p>
        </w:tc>
        <w:tc>
          <w:tcPr>
            <w:tcW w:w="1340" w:type="dxa"/>
            <w:vAlign w:val="bottom"/>
            <w:gridSpan w:val="3"/>
            <w:shd w:val="clear" w:color="auto" w:fill="D0EBF2"/>
          </w:tcPr>
          <w:p>
            <w:pPr>
              <w:jc w:val="right"/>
              <w:ind w:right="120"/>
              <w:spacing w:after="0" w:line="159" w:lineRule="exact"/>
              <w:rPr>
                <w:sz w:val="20"/>
                <w:szCs w:val="20"/>
                <w:color w:val="auto"/>
              </w:rPr>
            </w:pPr>
            <w:r>
              <w:rPr>
                <w:rFonts w:ascii="Times New Roman" w:cs="Times New Roman" w:eastAsia="Times New Roman" w:hAnsi="Times New Roman"/>
                <w:sz w:val="15"/>
                <w:szCs w:val="15"/>
                <w:color w:val="231F20"/>
              </w:rPr>
              <w:t>0.1%</w:t>
            </w:r>
          </w:p>
        </w:tc>
      </w:tr>
      <w:tr>
        <w:trPr>
          <w:trHeight w:val="189"/>
        </w:trPr>
        <w:tc>
          <w:tcPr>
            <w:tcW w:w="1460" w:type="dxa"/>
            <w:vAlign w:val="bottom"/>
            <w:shd w:val="clear" w:color="auto" w:fill="D0EBF2"/>
          </w:tcPr>
          <w:p>
            <w:pPr>
              <w:spacing w:after="0" w:line="190" w:lineRule="exact"/>
              <w:rPr>
                <w:sz w:val="20"/>
                <w:szCs w:val="20"/>
                <w:color w:val="auto"/>
              </w:rPr>
            </w:pPr>
            <w:r>
              <w:rPr>
                <w:rFonts w:ascii="Times New Roman" w:cs="Times New Roman" w:eastAsia="Times New Roman" w:hAnsi="Times New Roman"/>
                <w:sz w:val="21"/>
                <w:szCs w:val="21"/>
                <w:color w:val="231F20"/>
                <w:vertAlign w:val="subscript"/>
              </w:rPr>
              <w:t>2020-1A</w:t>
            </w:r>
            <w:r>
              <w:rPr>
                <w:rFonts w:ascii="Times New Roman" w:cs="Times New Roman" w:eastAsia="Times New Roman" w:hAnsi="Times New Roman"/>
                <w:sz w:val="8"/>
                <w:szCs w:val="8"/>
                <w:color w:val="231F20"/>
              </w:rPr>
              <w:t xml:space="preserve"> (3)(4)(9)</w:t>
            </w:r>
          </w:p>
        </w:tc>
        <w:tc>
          <w:tcPr>
            <w:tcW w:w="2340" w:type="dxa"/>
            <w:vAlign w:val="bottom"/>
            <w:shd w:val="clear" w:color="auto" w:fill="D0EBF2"/>
          </w:tcPr>
          <w:p>
            <w:pPr>
              <w:ind w:left="60"/>
              <w:spacing w:after="0"/>
              <w:rPr>
                <w:sz w:val="20"/>
                <w:szCs w:val="20"/>
                <w:color w:val="auto"/>
              </w:rPr>
            </w:pPr>
            <w:r>
              <w:rPr>
                <w:rFonts w:ascii="Times New Roman" w:cs="Times New Roman" w:eastAsia="Times New Roman" w:hAnsi="Times New Roman"/>
                <w:sz w:val="15"/>
                <w:szCs w:val="15"/>
                <w:color w:val="231F20"/>
              </w:rPr>
              <w:t>10/2034)</w:t>
            </w:r>
          </w:p>
        </w:tc>
        <w:tc>
          <w:tcPr>
            <w:tcW w:w="900" w:type="dxa"/>
            <w:vAlign w:val="bottom"/>
            <w:shd w:val="clear" w:color="auto" w:fill="D0EBF2"/>
          </w:tcPr>
          <w:p>
            <w:pPr>
              <w:spacing w:after="0"/>
              <w:rPr>
                <w:sz w:val="16"/>
                <w:szCs w:val="16"/>
                <w:color w:val="auto"/>
              </w:rPr>
            </w:pPr>
          </w:p>
        </w:tc>
        <w:tc>
          <w:tcPr>
            <w:tcW w:w="1200" w:type="dxa"/>
            <w:vAlign w:val="bottom"/>
            <w:shd w:val="clear" w:color="auto" w:fill="D0EBF2"/>
          </w:tcPr>
          <w:p>
            <w:pPr>
              <w:jc w:val="right"/>
              <w:ind w:right="244"/>
              <w:spacing w:after="0"/>
              <w:rPr>
                <w:sz w:val="20"/>
                <w:szCs w:val="20"/>
                <w:color w:val="auto"/>
              </w:rPr>
            </w:pPr>
            <w:r>
              <w:rPr>
                <w:rFonts w:ascii="Times New Roman" w:cs="Times New Roman" w:eastAsia="Times New Roman" w:hAnsi="Times New Roman"/>
                <w:sz w:val="15"/>
                <w:szCs w:val="15"/>
                <w:color w:val="231F20"/>
              </w:rPr>
              <w:t>6.51%</w:t>
            </w:r>
          </w:p>
        </w:tc>
        <w:tc>
          <w:tcPr>
            <w:tcW w:w="900" w:type="dxa"/>
            <w:vAlign w:val="bottom"/>
            <w:shd w:val="clear" w:color="auto" w:fill="D0EBF2"/>
          </w:tcPr>
          <w:p>
            <w:pPr>
              <w:spacing w:after="0"/>
              <w:rPr>
                <w:sz w:val="16"/>
                <w:szCs w:val="16"/>
                <w:color w:val="auto"/>
              </w:rPr>
            </w:pPr>
          </w:p>
        </w:tc>
        <w:tc>
          <w:tcPr>
            <w:tcW w:w="1000" w:type="dxa"/>
            <w:vAlign w:val="bottom"/>
            <w:shd w:val="clear" w:color="auto" w:fill="D0EBF2"/>
          </w:tcPr>
          <w:p>
            <w:pPr>
              <w:spacing w:after="0"/>
              <w:rPr>
                <w:sz w:val="16"/>
                <w:szCs w:val="16"/>
                <w:color w:val="auto"/>
              </w:rPr>
            </w:pPr>
          </w:p>
        </w:tc>
        <w:tc>
          <w:tcPr>
            <w:tcW w:w="180" w:type="dxa"/>
            <w:vAlign w:val="bottom"/>
            <w:shd w:val="clear" w:color="auto" w:fill="D0EBF2"/>
          </w:tcPr>
          <w:p>
            <w:pPr>
              <w:spacing w:after="0"/>
              <w:rPr>
                <w:sz w:val="16"/>
                <w:szCs w:val="16"/>
                <w:color w:val="auto"/>
              </w:rPr>
            </w:pPr>
          </w:p>
        </w:tc>
        <w:tc>
          <w:tcPr>
            <w:tcW w:w="960" w:type="dxa"/>
            <w:vAlign w:val="bottom"/>
            <w:shd w:val="clear" w:color="auto" w:fill="D0EBF2"/>
          </w:tcPr>
          <w:p>
            <w:pPr>
              <w:spacing w:after="0"/>
              <w:rPr>
                <w:sz w:val="16"/>
                <w:szCs w:val="16"/>
                <w:color w:val="auto"/>
              </w:rPr>
            </w:pPr>
          </w:p>
        </w:tc>
        <w:tc>
          <w:tcPr>
            <w:tcW w:w="200" w:type="dxa"/>
            <w:vAlign w:val="bottom"/>
            <w:shd w:val="clear" w:color="auto" w:fill="D0EBF2"/>
          </w:tcPr>
          <w:p>
            <w:pPr>
              <w:spacing w:after="0"/>
              <w:rPr>
                <w:sz w:val="16"/>
                <w:szCs w:val="16"/>
                <w:color w:val="auto"/>
              </w:rPr>
            </w:pPr>
          </w:p>
        </w:tc>
        <w:tc>
          <w:tcPr>
            <w:tcW w:w="900" w:type="dxa"/>
            <w:vAlign w:val="bottom"/>
            <w:shd w:val="clear" w:color="auto" w:fill="D0EBF2"/>
          </w:tcPr>
          <w:p>
            <w:pPr>
              <w:spacing w:after="0"/>
              <w:rPr>
                <w:sz w:val="16"/>
                <w:szCs w:val="16"/>
                <w:color w:val="auto"/>
              </w:rPr>
            </w:pPr>
          </w:p>
        </w:tc>
        <w:tc>
          <w:tcPr>
            <w:tcW w:w="240" w:type="dxa"/>
            <w:vAlign w:val="bottom"/>
            <w:shd w:val="clear" w:color="auto" w:fill="D0EBF2"/>
          </w:tcPr>
          <w:p>
            <w:pPr>
              <w:spacing w:after="0"/>
              <w:rPr>
                <w:sz w:val="16"/>
                <w:szCs w:val="16"/>
                <w:color w:val="auto"/>
              </w:rPr>
            </w:pPr>
          </w:p>
        </w:tc>
      </w:tr>
      <w:tr>
        <w:trPr>
          <w:trHeight w:val="158"/>
        </w:trPr>
        <w:tc>
          <w:tcPr>
            <w:tcW w:w="1460" w:type="dxa"/>
            <w:vAlign w:val="bottom"/>
            <w:shd w:val="clear" w:color="auto" w:fill="FDFDFC"/>
          </w:tcPr>
          <w:p>
            <w:pPr>
              <w:spacing w:after="0" w:line="159" w:lineRule="exact"/>
              <w:rPr>
                <w:sz w:val="20"/>
                <w:szCs w:val="20"/>
                <w:color w:val="auto"/>
              </w:rPr>
            </w:pPr>
            <w:r>
              <w:rPr>
                <w:rFonts w:ascii="Times New Roman" w:cs="Times New Roman" w:eastAsia="Times New Roman" w:hAnsi="Times New Roman"/>
                <w:sz w:val="15"/>
                <w:szCs w:val="15"/>
                <w:color w:val="231F20"/>
              </w:rPr>
              <w:t>GoldenTree CLO Ltd,</w:t>
            </w:r>
          </w:p>
        </w:tc>
        <w:tc>
          <w:tcPr>
            <w:tcW w:w="2340" w:type="dxa"/>
            <w:vAlign w:val="bottom"/>
            <w:shd w:val="clear" w:color="auto" w:fill="FDFDFC"/>
          </w:tcPr>
          <w:p>
            <w:pPr>
              <w:ind w:left="60"/>
              <w:spacing w:after="0" w:line="159" w:lineRule="exact"/>
              <w:rPr>
                <w:sz w:val="20"/>
                <w:szCs w:val="20"/>
                <w:color w:val="auto"/>
              </w:rPr>
            </w:pPr>
            <w:r>
              <w:rPr>
                <w:rFonts w:ascii="Times New Roman" w:cs="Times New Roman" w:eastAsia="Times New Roman" w:hAnsi="Times New Roman"/>
                <w:sz w:val="15"/>
                <w:szCs w:val="15"/>
                <w:color w:val="231F20"/>
              </w:rPr>
              <w:t>Structured Credit ($1,000 par, due</w:t>
            </w:r>
          </w:p>
        </w:tc>
        <w:tc>
          <w:tcPr>
            <w:tcW w:w="900" w:type="dxa"/>
            <w:vAlign w:val="bottom"/>
            <w:shd w:val="clear" w:color="auto" w:fill="FDFDFC"/>
          </w:tcPr>
          <w:p>
            <w:pPr>
              <w:jc w:val="right"/>
              <w:spacing w:after="0" w:line="159" w:lineRule="exact"/>
              <w:rPr>
                <w:sz w:val="20"/>
                <w:szCs w:val="20"/>
                <w:color w:val="auto"/>
              </w:rPr>
            </w:pPr>
            <w:r>
              <w:rPr>
                <w:rFonts w:ascii="Times New Roman" w:cs="Times New Roman" w:eastAsia="Times New Roman" w:hAnsi="Times New Roman"/>
                <w:sz w:val="15"/>
                <w:szCs w:val="15"/>
                <w:color w:val="231F20"/>
              </w:rPr>
              <w:t>6/17/2022</w:t>
            </w:r>
          </w:p>
        </w:tc>
        <w:tc>
          <w:tcPr>
            <w:tcW w:w="1200" w:type="dxa"/>
            <w:vAlign w:val="bottom"/>
            <w:shd w:val="clear" w:color="auto" w:fill="FDFDFC"/>
          </w:tcPr>
          <w:p>
            <w:pPr>
              <w:jc w:val="right"/>
              <w:ind w:right="244"/>
              <w:spacing w:after="0" w:line="159" w:lineRule="exact"/>
              <w:rPr>
                <w:sz w:val="20"/>
                <w:szCs w:val="20"/>
                <w:color w:val="auto"/>
              </w:rPr>
            </w:pPr>
            <w:r>
              <w:rPr>
                <w:rFonts w:ascii="Times New Roman" w:cs="Times New Roman" w:eastAsia="Times New Roman" w:hAnsi="Times New Roman"/>
                <w:sz w:val="15"/>
                <w:szCs w:val="15"/>
                <w:color w:val="231F20"/>
              </w:rPr>
              <w:t>SOFR +</w:t>
            </w:r>
          </w:p>
        </w:tc>
        <w:tc>
          <w:tcPr>
            <w:tcW w:w="900" w:type="dxa"/>
            <w:vAlign w:val="bottom"/>
            <w:shd w:val="clear" w:color="auto" w:fill="FDFDFC"/>
          </w:tcPr>
          <w:p>
            <w:pPr>
              <w:jc w:val="right"/>
              <w:ind w:right="24"/>
              <w:spacing w:after="0" w:line="159" w:lineRule="exact"/>
              <w:rPr>
                <w:sz w:val="20"/>
                <w:szCs w:val="20"/>
                <w:color w:val="auto"/>
              </w:rPr>
            </w:pPr>
            <w:r>
              <w:rPr>
                <w:rFonts w:ascii="Times New Roman" w:cs="Times New Roman" w:eastAsia="Times New Roman" w:hAnsi="Times New Roman"/>
                <w:sz w:val="15"/>
                <w:szCs w:val="15"/>
                <w:color w:val="231F20"/>
              </w:rPr>
              <w:t>12.18%</w:t>
            </w:r>
          </w:p>
        </w:tc>
        <w:tc>
          <w:tcPr>
            <w:tcW w:w="1000" w:type="dxa"/>
            <w:vAlign w:val="bottom"/>
            <w:shd w:val="clear" w:color="auto" w:fill="FDFDFC"/>
          </w:tcPr>
          <w:p>
            <w:pPr>
              <w:jc w:val="right"/>
              <w:spacing w:after="0" w:line="159" w:lineRule="exact"/>
              <w:rPr>
                <w:sz w:val="20"/>
                <w:szCs w:val="20"/>
                <w:color w:val="auto"/>
              </w:rPr>
            </w:pPr>
            <w:r>
              <w:rPr>
                <w:rFonts w:ascii="Times New Roman" w:cs="Times New Roman" w:eastAsia="Times New Roman" w:hAnsi="Times New Roman"/>
                <w:sz w:val="15"/>
                <w:szCs w:val="15"/>
                <w:color w:val="231F20"/>
              </w:rPr>
              <w:t>921</w:t>
            </w:r>
          </w:p>
        </w:tc>
        <w:tc>
          <w:tcPr>
            <w:tcW w:w="1140" w:type="dxa"/>
            <w:vAlign w:val="bottom"/>
            <w:gridSpan w:val="2"/>
            <w:shd w:val="clear" w:color="auto" w:fill="FDFDFC"/>
          </w:tcPr>
          <w:p>
            <w:pPr>
              <w:jc w:val="right"/>
              <w:spacing w:after="0" w:line="159" w:lineRule="exact"/>
              <w:rPr>
                <w:sz w:val="20"/>
                <w:szCs w:val="20"/>
                <w:color w:val="auto"/>
              </w:rPr>
            </w:pPr>
            <w:r>
              <w:rPr>
                <w:rFonts w:ascii="Times New Roman" w:cs="Times New Roman" w:eastAsia="Times New Roman" w:hAnsi="Times New Roman"/>
                <w:sz w:val="15"/>
                <w:szCs w:val="15"/>
                <w:color w:val="231F20"/>
              </w:rPr>
              <w:t>994</w:t>
            </w:r>
          </w:p>
        </w:tc>
        <w:tc>
          <w:tcPr>
            <w:tcW w:w="1340" w:type="dxa"/>
            <w:vAlign w:val="bottom"/>
            <w:gridSpan w:val="3"/>
            <w:shd w:val="clear" w:color="auto" w:fill="FDFDFC"/>
          </w:tcPr>
          <w:p>
            <w:pPr>
              <w:jc w:val="right"/>
              <w:ind w:right="120"/>
              <w:spacing w:after="0" w:line="159" w:lineRule="exact"/>
              <w:rPr>
                <w:sz w:val="20"/>
                <w:szCs w:val="20"/>
                <w:color w:val="auto"/>
              </w:rPr>
            </w:pPr>
            <w:r>
              <w:rPr>
                <w:rFonts w:ascii="Times New Roman" w:cs="Times New Roman" w:eastAsia="Times New Roman" w:hAnsi="Times New Roman"/>
                <w:sz w:val="15"/>
                <w:szCs w:val="15"/>
                <w:color w:val="231F20"/>
              </w:rPr>
              <w:t>0.1%</w:t>
            </w:r>
          </w:p>
        </w:tc>
      </w:tr>
      <w:tr>
        <w:trPr>
          <w:trHeight w:val="189"/>
        </w:trPr>
        <w:tc>
          <w:tcPr>
            <w:tcW w:w="1460" w:type="dxa"/>
            <w:vAlign w:val="bottom"/>
            <w:shd w:val="clear" w:color="auto" w:fill="FDFDFC"/>
          </w:tcPr>
          <w:p>
            <w:pPr>
              <w:spacing w:after="0"/>
              <w:rPr>
                <w:sz w:val="20"/>
                <w:szCs w:val="20"/>
                <w:color w:val="auto"/>
              </w:rPr>
            </w:pPr>
            <w:r>
              <w:rPr>
                <w:rFonts w:ascii="Times New Roman" w:cs="Times New Roman" w:eastAsia="Times New Roman" w:hAnsi="Times New Roman"/>
                <w:sz w:val="15"/>
                <w:szCs w:val="15"/>
                <w:color w:val="231F20"/>
              </w:rPr>
              <w:t xml:space="preserve">Series 2020-7A </w:t>
            </w:r>
            <w:r>
              <w:rPr>
                <w:rFonts w:ascii="Times New Roman" w:cs="Times New Roman" w:eastAsia="Times New Roman" w:hAnsi="Times New Roman"/>
                <w:sz w:val="9"/>
                <w:szCs w:val="9"/>
                <w:color w:val="231F20"/>
              </w:rPr>
              <w:t>(3)(4)(9)</w:t>
            </w:r>
          </w:p>
        </w:tc>
        <w:tc>
          <w:tcPr>
            <w:tcW w:w="2340" w:type="dxa"/>
            <w:vAlign w:val="bottom"/>
            <w:shd w:val="clear" w:color="auto" w:fill="FDFDFC"/>
          </w:tcPr>
          <w:p>
            <w:pPr>
              <w:ind w:left="60"/>
              <w:spacing w:after="0"/>
              <w:rPr>
                <w:sz w:val="20"/>
                <w:szCs w:val="20"/>
                <w:color w:val="auto"/>
              </w:rPr>
            </w:pPr>
            <w:r>
              <w:rPr>
                <w:rFonts w:ascii="Times New Roman" w:cs="Times New Roman" w:eastAsia="Times New Roman" w:hAnsi="Times New Roman"/>
                <w:sz w:val="15"/>
                <w:szCs w:val="15"/>
                <w:color w:val="231F20"/>
              </w:rPr>
              <w:t>4/2034)</w:t>
            </w:r>
          </w:p>
        </w:tc>
        <w:tc>
          <w:tcPr>
            <w:tcW w:w="900" w:type="dxa"/>
            <w:vAlign w:val="bottom"/>
            <w:shd w:val="clear" w:color="auto" w:fill="FDFDFC"/>
          </w:tcPr>
          <w:p>
            <w:pPr>
              <w:spacing w:after="0"/>
              <w:rPr>
                <w:sz w:val="16"/>
                <w:szCs w:val="16"/>
                <w:color w:val="auto"/>
              </w:rPr>
            </w:pPr>
          </w:p>
        </w:tc>
        <w:tc>
          <w:tcPr>
            <w:tcW w:w="1200" w:type="dxa"/>
            <w:vAlign w:val="bottom"/>
            <w:shd w:val="clear" w:color="auto" w:fill="FDFDFC"/>
          </w:tcPr>
          <w:p>
            <w:pPr>
              <w:jc w:val="right"/>
              <w:ind w:right="244"/>
              <w:spacing w:after="0"/>
              <w:rPr>
                <w:sz w:val="20"/>
                <w:szCs w:val="20"/>
                <w:color w:val="auto"/>
              </w:rPr>
            </w:pPr>
            <w:r>
              <w:rPr>
                <w:rFonts w:ascii="Times New Roman" w:cs="Times New Roman" w:eastAsia="Times New Roman" w:hAnsi="Times New Roman"/>
                <w:sz w:val="15"/>
                <w:szCs w:val="15"/>
                <w:color w:val="231F20"/>
              </w:rPr>
              <w:t>6.76%</w:t>
            </w:r>
          </w:p>
        </w:tc>
        <w:tc>
          <w:tcPr>
            <w:tcW w:w="900" w:type="dxa"/>
            <w:vAlign w:val="bottom"/>
            <w:shd w:val="clear" w:color="auto" w:fill="FDFDFC"/>
          </w:tcPr>
          <w:p>
            <w:pPr>
              <w:spacing w:after="0"/>
              <w:rPr>
                <w:sz w:val="16"/>
                <w:szCs w:val="16"/>
                <w:color w:val="auto"/>
              </w:rPr>
            </w:pPr>
          </w:p>
        </w:tc>
        <w:tc>
          <w:tcPr>
            <w:tcW w:w="1000" w:type="dxa"/>
            <w:vAlign w:val="bottom"/>
            <w:shd w:val="clear" w:color="auto" w:fill="FDFDFC"/>
          </w:tcPr>
          <w:p>
            <w:pPr>
              <w:spacing w:after="0"/>
              <w:rPr>
                <w:sz w:val="16"/>
                <w:szCs w:val="16"/>
                <w:color w:val="auto"/>
              </w:rPr>
            </w:pPr>
          </w:p>
        </w:tc>
        <w:tc>
          <w:tcPr>
            <w:tcW w:w="180" w:type="dxa"/>
            <w:vAlign w:val="bottom"/>
            <w:shd w:val="clear" w:color="auto" w:fill="FDFDFC"/>
          </w:tcPr>
          <w:p>
            <w:pPr>
              <w:spacing w:after="0"/>
              <w:rPr>
                <w:sz w:val="16"/>
                <w:szCs w:val="16"/>
                <w:color w:val="auto"/>
              </w:rPr>
            </w:pPr>
          </w:p>
        </w:tc>
        <w:tc>
          <w:tcPr>
            <w:tcW w:w="960" w:type="dxa"/>
            <w:vAlign w:val="bottom"/>
            <w:shd w:val="clear" w:color="auto" w:fill="FDFDFC"/>
          </w:tcPr>
          <w:p>
            <w:pPr>
              <w:spacing w:after="0"/>
              <w:rPr>
                <w:sz w:val="16"/>
                <w:szCs w:val="16"/>
                <w:color w:val="auto"/>
              </w:rPr>
            </w:pPr>
          </w:p>
        </w:tc>
        <w:tc>
          <w:tcPr>
            <w:tcW w:w="200" w:type="dxa"/>
            <w:vAlign w:val="bottom"/>
            <w:shd w:val="clear" w:color="auto" w:fill="FDFDFC"/>
          </w:tcPr>
          <w:p>
            <w:pPr>
              <w:spacing w:after="0"/>
              <w:rPr>
                <w:sz w:val="16"/>
                <w:szCs w:val="16"/>
                <w:color w:val="auto"/>
              </w:rPr>
            </w:pPr>
          </w:p>
        </w:tc>
        <w:tc>
          <w:tcPr>
            <w:tcW w:w="900" w:type="dxa"/>
            <w:vAlign w:val="bottom"/>
            <w:shd w:val="clear" w:color="auto" w:fill="FDFDFC"/>
          </w:tcPr>
          <w:p>
            <w:pPr>
              <w:spacing w:after="0"/>
              <w:rPr>
                <w:sz w:val="16"/>
                <w:szCs w:val="16"/>
                <w:color w:val="auto"/>
              </w:rPr>
            </w:pPr>
          </w:p>
        </w:tc>
        <w:tc>
          <w:tcPr>
            <w:tcW w:w="240" w:type="dxa"/>
            <w:vAlign w:val="bottom"/>
            <w:shd w:val="clear" w:color="auto" w:fill="FDFDFC"/>
          </w:tcPr>
          <w:p>
            <w:pPr>
              <w:spacing w:after="0"/>
              <w:rPr>
                <w:sz w:val="16"/>
                <w:szCs w:val="16"/>
                <w:color w:val="auto"/>
              </w:rPr>
            </w:pPr>
          </w:p>
        </w:tc>
      </w:tr>
      <w:tr>
        <w:trPr>
          <w:trHeight w:val="158"/>
        </w:trPr>
        <w:tc>
          <w:tcPr>
            <w:tcW w:w="1460" w:type="dxa"/>
            <w:vAlign w:val="bottom"/>
            <w:shd w:val="clear" w:color="auto" w:fill="D0EBF2"/>
          </w:tcPr>
          <w:p>
            <w:pPr>
              <w:spacing w:after="0" w:line="159" w:lineRule="exact"/>
              <w:rPr>
                <w:sz w:val="20"/>
                <w:szCs w:val="20"/>
                <w:color w:val="auto"/>
              </w:rPr>
            </w:pPr>
            <w:r>
              <w:rPr>
                <w:rFonts w:ascii="Times New Roman" w:cs="Times New Roman" w:eastAsia="Times New Roman" w:hAnsi="Times New Roman"/>
                <w:sz w:val="15"/>
                <w:szCs w:val="15"/>
                <w:color w:val="231F20"/>
              </w:rPr>
              <w:t>Gulf Stream Meridian,</w:t>
            </w:r>
          </w:p>
        </w:tc>
        <w:tc>
          <w:tcPr>
            <w:tcW w:w="2340" w:type="dxa"/>
            <w:vAlign w:val="bottom"/>
            <w:shd w:val="clear" w:color="auto" w:fill="D0EBF2"/>
          </w:tcPr>
          <w:p>
            <w:pPr>
              <w:ind w:left="60"/>
              <w:spacing w:after="0" w:line="159" w:lineRule="exact"/>
              <w:rPr>
                <w:sz w:val="20"/>
                <w:szCs w:val="20"/>
                <w:color w:val="auto"/>
              </w:rPr>
            </w:pPr>
            <w:r>
              <w:rPr>
                <w:rFonts w:ascii="Times New Roman" w:cs="Times New Roman" w:eastAsia="Times New Roman" w:hAnsi="Times New Roman"/>
                <w:sz w:val="15"/>
                <w:szCs w:val="15"/>
                <w:color w:val="231F20"/>
              </w:rPr>
              <w:t>Structured Credit ($1,015 par, due</w:t>
            </w:r>
          </w:p>
        </w:tc>
        <w:tc>
          <w:tcPr>
            <w:tcW w:w="900" w:type="dxa"/>
            <w:vAlign w:val="bottom"/>
            <w:shd w:val="clear" w:color="auto" w:fill="D0EBF2"/>
          </w:tcPr>
          <w:p>
            <w:pPr>
              <w:jc w:val="right"/>
              <w:spacing w:after="0" w:line="159" w:lineRule="exact"/>
              <w:rPr>
                <w:sz w:val="20"/>
                <w:szCs w:val="20"/>
                <w:color w:val="auto"/>
              </w:rPr>
            </w:pPr>
            <w:r>
              <w:rPr>
                <w:rFonts w:ascii="Times New Roman" w:cs="Times New Roman" w:eastAsia="Times New Roman" w:hAnsi="Times New Roman"/>
                <w:sz w:val="15"/>
                <w:szCs w:val="15"/>
                <w:color w:val="231F20"/>
              </w:rPr>
              <w:t>6/3/2022</w:t>
            </w:r>
          </w:p>
        </w:tc>
        <w:tc>
          <w:tcPr>
            <w:tcW w:w="1200" w:type="dxa"/>
            <w:vAlign w:val="bottom"/>
            <w:shd w:val="clear" w:color="auto" w:fill="D0EBF2"/>
          </w:tcPr>
          <w:p>
            <w:pPr>
              <w:jc w:val="right"/>
              <w:ind w:right="244"/>
              <w:spacing w:after="0" w:line="159" w:lineRule="exact"/>
              <w:rPr>
                <w:sz w:val="20"/>
                <w:szCs w:val="20"/>
                <w:color w:val="auto"/>
              </w:rPr>
            </w:pPr>
            <w:r>
              <w:rPr>
                <w:rFonts w:ascii="Times New Roman" w:cs="Times New Roman" w:eastAsia="Times New Roman" w:hAnsi="Times New Roman"/>
                <w:sz w:val="15"/>
                <w:szCs w:val="15"/>
                <w:color w:val="231F20"/>
              </w:rPr>
              <w:t>SOFR +</w:t>
            </w:r>
          </w:p>
        </w:tc>
        <w:tc>
          <w:tcPr>
            <w:tcW w:w="900" w:type="dxa"/>
            <w:vAlign w:val="bottom"/>
            <w:shd w:val="clear" w:color="auto" w:fill="D0EBF2"/>
          </w:tcPr>
          <w:p>
            <w:pPr>
              <w:jc w:val="right"/>
              <w:ind w:right="24"/>
              <w:spacing w:after="0" w:line="159" w:lineRule="exact"/>
              <w:rPr>
                <w:sz w:val="20"/>
                <w:szCs w:val="20"/>
                <w:color w:val="auto"/>
              </w:rPr>
            </w:pPr>
            <w:r>
              <w:rPr>
                <w:rFonts w:ascii="Times New Roman" w:cs="Times New Roman" w:eastAsia="Times New Roman" w:hAnsi="Times New Roman"/>
                <w:sz w:val="15"/>
                <w:szCs w:val="15"/>
                <w:color w:val="231F20"/>
              </w:rPr>
              <w:t>12.01%</w:t>
            </w:r>
          </w:p>
        </w:tc>
        <w:tc>
          <w:tcPr>
            <w:tcW w:w="1000" w:type="dxa"/>
            <w:vAlign w:val="bottom"/>
            <w:shd w:val="clear" w:color="auto" w:fill="D0EBF2"/>
          </w:tcPr>
          <w:p>
            <w:pPr>
              <w:jc w:val="right"/>
              <w:spacing w:after="0" w:line="159" w:lineRule="exact"/>
              <w:rPr>
                <w:sz w:val="20"/>
                <w:szCs w:val="20"/>
                <w:color w:val="auto"/>
              </w:rPr>
            </w:pPr>
            <w:r>
              <w:rPr>
                <w:rFonts w:ascii="Times New Roman" w:cs="Times New Roman" w:eastAsia="Times New Roman" w:hAnsi="Times New Roman"/>
                <w:sz w:val="15"/>
                <w:szCs w:val="15"/>
                <w:color w:val="231F20"/>
              </w:rPr>
              <w:t>942</w:t>
            </w:r>
          </w:p>
        </w:tc>
        <w:tc>
          <w:tcPr>
            <w:tcW w:w="1140" w:type="dxa"/>
            <w:vAlign w:val="bottom"/>
            <w:gridSpan w:val="2"/>
            <w:shd w:val="clear" w:color="auto" w:fill="D0EBF2"/>
          </w:tcPr>
          <w:p>
            <w:pPr>
              <w:jc w:val="right"/>
              <w:spacing w:after="0" w:line="159" w:lineRule="exact"/>
              <w:rPr>
                <w:sz w:val="20"/>
                <w:szCs w:val="20"/>
                <w:color w:val="auto"/>
              </w:rPr>
            </w:pPr>
            <w:r>
              <w:rPr>
                <w:rFonts w:ascii="Times New Roman" w:cs="Times New Roman" w:eastAsia="Times New Roman" w:hAnsi="Times New Roman"/>
                <w:sz w:val="15"/>
                <w:szCs w:val="15"/>
                <w:color w:val="231F20"/>
              </w:rPr>
              <w:t>968</w:t>
            </w:r>
          </w:p>
        </w:tc>
        <w:tc>
          <w:tcPr>
            <w:tcW w:w="1340" w:type="dxa"/>
            <w:vAlign w:val="bottom"/>
            <w:gridSpan w:val="3"/>
            <w:shd w:val="clear" w:color="auto" w:fill="D0EBF2"/>
          </w:tcPr>
          <w:p>
            <w:pPr>
              <w:jc w:val="right"/>
              <w:ind w:right="120"/>
              <w:spacing w:after="0" w:line="159" w:lineRule="exact"/>
              <w:rPr>
                <w:sz w:val="20"/>
                <w:szCs w:val="20"/>
                <w:color w:val="auto"/>
              </w:rPr>
            </w:pPr>
            <w:r>
              <w:rPr>
                <w:rFonts w:ascii="Times New Roman" w:cs="Times New Roman" w:eastAsia="Times New Roman" w:hAnsi="Times New Roman"/>
                <w:sz w:val="15"/>
                <w:szCs w:val="15"/>
                <w:color w:val="231F20"/>
              </w:rPr>
              <w:t>0.0%</w:t>
            </w:r>
          </w:p>
        </w:tc>
      </w:tr>
      <w:tr>
        <w:trPr>
          <w:trHeight w:val="189"/>
        </w:trPr>
        <w:tc>
          <w:tcPr>
            <w:tcW w:w="1460" w:type="dxa"/>
            <w:vAlign w:val="bottom"/>
            <w:shd w:val="clear" w:color="auto" w:fill="D0EBF2"/>
          </w:tcPr>
          <w:p>
            <w:pPr>
              <w:spacing w:after="0"/>
              <w:rPr>
                <w:sz w:val="20"/>
                <w:szCs w:val="20"/>
                <w:color w:val="auto"/>
              </w:rPr>
            </w:pPr>
            <w:r>
              <w:rPr>
                <w:rFonts w:ascii="Times New Roman" w:cs="Times New Roman" w:eastAsia="Times New Roman" w:hAnsi="Times New Roman"/>
                <w:sz w:val="15"/>
                <w:szCs w:val="15"/>
                <w:color w:val="231F20"/>
              </w:rPr>
              <w:t xml:space="preserve">Series 2021-4A </w:t>
            </w:r>
            <w:r>
              <w:rPr>
                <w:rFonts w:ascii="Times New Roman" w:cs="Times New Roman" w:eastAsia="Times New Roman" w:hAnsi="Times New Roman"/>
                <w:sz w:val="9"/>
                <w:szCs w:val="9"/>
                <w:color w:val="231F20"/>
              </w:rPr>
              <w:t>(3)(4)(9)</w:t>
            </w:r>
          </w:p>
        </w:tc>
        <w:tc>
          <w:tcPr>
            <w:tcW w:w="2340" w:type="dxa"/>
            <w:vAlign w:val="bottom"/>
            <w:shd w:val="clear" w:color="auto" w:fill="D0EBF2"/>
          </w:tcPr>
          <w:p>
            <w:pPr>
              <w:ind w:left="60"/>
              <w:spacing w:after="0"/>
              <w:rPr>
                <w:sz w:val="20"/>
                <w:szCs w:val="20"/>
                <w:color w:val="auto"/>
              </w:rPr>
            </w:pPr>
            <w:r>
              <w:rPr>
                <w:rFonts w:ascii="Times New Roman" w:cs="Times New Roman" w:eastAsia="Times New Roman" w:hAnsi="Times New Roman"/>
                <w:sz w:val="15"/>
                <w:szCs w:val="15"/>
                <w:color w:val="231F20"/>
              </w:rPr>
              <w:t>7/2034)</w:t>
            </w:r>
          </w:p>
        </w:tc>
        <w:tc>
          <w:tcPr>
            <w:tcW w:w="900" w:type="dxa"/>
            <w:vAlign w:val="bottom"/>
            <w:shd w:val="clear" w:color="auto" w:fill="D0EBF2"/>
          </w:tcPr>
          <w:p>
            <w:pPr>
              <w:spacing w:after="0"/>
              <w:rPr>
                <w:sz w:val="16"/>
                <w:szCs w:val="16"/>
                <w:color w:val="auto"/>
              </w:rPr>
            </w:pPr>
          </w:p>
        </w:tc>
        <w:tc>
          <w:tcPr>
            <w:tcW w:w="1200" w:type="dxa"/>
            <w:vAlign w:val="bottom"/>
            <w:shd w:val="clear" w:color="auto" w:fill="D0EBF2"/>
          </w:tcPr>
          <w:p>
            <w:pPr>
              <w:jc w:val="right"/>
              <w:ind w:right="244"/>
              <w:spacing w:after="0"/>
              <w:rPr>
                <w:sz w:val="20"/>
                <w:szCs w:val="20"/>
                <w:color w:val="auto"/>
              </w:rPr>
            </w:pPr>
            <w:r>
              <w:rPr>
                <w:rFonts w:ascii="Times New Roman" w:cs="Times New Roman" w:eastAsia="Times New Roman" w:hAnsi="Times New Roman"/>
                <w:sz w:val="15"/>
                <w:szCs w:val="15"/>
                <w:color w:val="231F20"/>
              </w:rPr>
              <w:t>6.61%</w:t>
            </w:r>
          </w:p>
        </w:tc>
        <w:tc>
          <w:tcPr>
            <w:tcW w:w="900" w:type="dxa"/>
            <w:vAlign w:val="bottom"/>
            <w:shd w:val="clear" w:color="auto" w:fill="D0EBF2"/>
          </w:tcPr>
          <w:p>
            <w:pPr>
              <w:spacing w:after="0"/>
              <w:rPr>
                <w:sz w:val="16"/>
                <w:szCs w:val="16"/>
                <w:color w:val="auto"/>
              </w:rPr>
            </w:pPr>
          </w:p>
        </w:tc>
        <w:tc>
          <w:tcPr>
            <w:tcW w:w="1000" w:type="dxa"/>
            <w:vAlign w:val="bottom"/>
            <w:shd w:val="clear" w:color="auto" w:fill="D0EBF2"/>
          </w:tcPr>
          <w:p>
            <w:pPr>
              <w:spacing w:after="0"/>
              <w:rPr>
                <w:sz w:val="16"/>
                <w:szCs w:val="16"/>
                <w:color w:val="auto"/>
              </w:rPr>
            </w:pPr>
          </w:p>
        </w:tc>
        <w:tc>
          <w:tcPr>
            <w:tcW w:w="180" w:type="dxa"/>
            <w:vAlign w:val="bottom"/>
            <w:shd w:val="clear" w:color="auto" w:fill="D0EBF2"/>
          </w:tcPr>
          <w:p>
            <w:pPr>
              <w:spacing w:after="0"/>
              <w:rPr>
                <w:sz w:val="16"/>
                <w:szCs w:val="16"/>
                <w:color w:val="auto"/>
              </w:rPr>
            </w:pPr>
          </w:p>
        </w:tc>
        <w:tc>
          <w:tcPr>
            <w:tcW w:w="960" w:type="dxa"/>
            <w:vAlign w:val="bottom"/>
            <w:shd w:val="clear" w:color="auto" w:fill="D0EBF2"/>
          </w:tcPr>
          <w:p>
            <w:pPr>
              <w:spacing w:after="0"/>
              <w:rPr>
                <w:sz w:val="16"/>
                <w:szCs w:val="16"/>
                <w:color w:val="auto"/>
              </w:rPr>
            </w:pPr>
          </w:p>
        </w:tc>
        <w:tc>
          <w:tcPr>
            <w:tcW w:w="200" w:type="dxa"/>
            <w:vAlign w:val="bottom"/>
            <w:shd w:val="clear" w:color="auto" w:fill="D0EBF2"/>
          </w:tcPr>
          <w:p>
            <w:pPr>
              <w:spacing w:after="0"/>
              <w:rPr>
                <w:sz w:val="16"/>
                <w:szCs w:val="16"/>
                <w:color w:val="auto"/>
              </w:rPr>
            </w:pPr>
          </w:p>
        </w:tc>
        <w:tc>
          <w:tcPr>
            <w:tcW w:w="900" w:type="dxa"/>
            <w:vAlign w:val="bottom"/>
            <w:shd w:val="clear" w:color="auto" w:fill="D0EBF2"/>
          </w:tcPr>
          <w:p>
            <w:pPr>
              <w:spacing w:after="0"/>
              <w:rPr>
                <w:sz w:val="16"/>
                <w:szCs w:val="16"/>
                <w:color w:val="auto"/>
              </w:rPr>
            </w:pPr>
          </w:p>
        </w:tc>
        <w:tc>
          <w:tcPr>
            <w:tcW w:w="240" w:type="dxa"/>
            <w:vAlign w:val="bottom"/>
            <w:shd w:val="clear" w:color="auto" w:fill="D0EBF2"/>
          </w:tcPr>
          <w:p>
            <w:pPr>
              <w:spacing w:after="0"/>
              <w:rPr>
                <w:sz w:val="16"/>
                <w:szCs w:val="16"/>
                <w:color w:val="auto"/>
              </w:rPr>
            </w:pPr>
          </w:p>
        </w:tc>
      </w:tr>
      <w:tr>
        <w:trPr>
          <w:trHeight w:val="158"/>
        </w:trPr>
        <w:tc>
          <w:tcPr>
            <w:tcW w:w="1460" w:type="dxa"/>
            <w:vAlign w:val="bottom"/>
            <w:shd w:val="clear" w:color="auto" w:fill="FDFDFC"/>
          </w:tcPr>
          <w:p>
            <w:pPr>
              <w:spacing w:after="0" w:line="159" w:lineRule="exact"/>
              <w:rPr>
                <w:sz w:val="20"/>
                <w:szCs w:val="20"/>
                <w:color w:val="auto"/>
              </w:rPr>
            </w:pPr>
            <w:r>
              <w:rPr>
                <w:rFonts w:ascii="Times New Roman" w:cs="Times New Roman" w:eastAsia="Times New Roman" w:hAnsi="Times New Roman"/>
                <w:sz w:val="15"/>
                <w:szCs w:val="15"/>
                <w:color w:val="231F20"/>
              </w:rPr>
              <w:t>Gulf Stream Meridian,</w:t>
            </w:r>
          </w:p>
        </w:tc>
        <w:tc>
          <w:tcPr>
            <w:tcW w:w="2340" w:type="dxa"/>
            <w:vAlign w:val="bottom"/>
            <w:shd w:val="clear" w:color="auto" w:fill="FDFDFC"/>
          </w:tcPr>
          <w:p>
            <w:pPr>
              <w:ind w:left="60"/>
              <w:spacing w:after="0" w:line="159" w:lineRule="exact"/>
              <w:rPr>
                <w:sz w:val="20"/>
                <w:szCs w:val="20"/>
                <w:color w:val="auto"/>
              </w:rPr>
            </w:pPr>
            <w:r>
              <w:rPr>
                <w:rFonts w:ascii="Times New Roman" w:cs="Times New Roman" w:eastAsia="Times New Roman" w:hAnsi="Times New Roman"/>
                <w:sz w:val="15"/>
                <w:szCs w:val="15"/>
                <w:color w:val="231F20"/>
              </w:rPr>
              <w:t>Structured Credit ($2,000 par, due</w:t>
            </w:r>
          </w:p>
        </w:tc>
        <w:tc>
          <w:tcPr>
            <w:tcW w:w="900" w:type="dxa"/>
            <w:vAlign w:val="bottom"/>
            <w:shd w:val="clear" w:color="auto" w:fill="FDFDFC"/>
          </w:tcPr>
          <w:p>
            <w:pPr>
              <w:jc w:val="right"/>
              <w:spacing w:after="0" w:line="159" w:lineRule="exact"/>
              <w:rPr>
                <w:sz w:val="20"/>
                <w:szCs w:val="20"/>
                <w:color w:val="auto"/>
              </w:rPr>
            </w:pPr>
            <w:r>
              <w:rPr>
                <w:rFonts w:ascii="Times New Roman" w:cs="Times New Roman" w:eastAsia="Times New Roman" w:hAnsi="Times New Roman"/>
                <w:sz w:val="15"/>
                <w:szCs w:val="15"/>
                <w:color w:val="231F20"/>
              </w:rPr>
              <w:t>9/12/2022</w:t>
            </w:r>
          </w:p>
        </w:tc>
        <w:tc>
          <w:tcPr>
            <w:tcW w:w="1200" w:type="dxa"/>
            <w:vAlign w:val="bottom"/>
            <w:shd w:val="clear" w:color="auto" w:fill="FDFDFC"/>
          </w:tcPr>
          <w:p>
            <w:pPr>
              <w:jc w:val="right"/>
              <w:ind w:right="244"/>
              <w:spacing w:after="0" w:line="159" w:lineRule="exact"/>
              <w:rPr>
                <w:sz w:val="20"/>
                <w:szCs w:val="20"/>
                <w:color w:val="auto"/>
              </w:rPr>
            </w:pPr>
            <w:r>
              <w:rPr>
                <w:rFonts w:ascii="Times New Roman" w:cs="Times New Roman" w:eastAsia="Times New Roman" w:hAnsi="Times New Roman"/>
                <w:sz w:val="15"/>
                <w:szCs w:val="15"/>
                <w:color w:val="231F20"/>
              </w:rPr>
              <w:t>SOFR +</w:t>
            </w:r>
          </w:p>
        </w:tc>
        <w:tc>
          <w:tcPr>
            <w:tcW w:w="900" w:type="dxa"/>
            <w:vAlign w:val="bottom"/>
            <w:shd w:val="clear" w:color="auto" w:fill="FDFDFC"/>
          </w:tcPr>
          <w:p>
            <w:pPr>
              <w:jc w:val="right"/>
              <w:ind w:right="24"/>
              <w:spacing w:after="0" w:line="159" w:lineRule="exact"/>
              <w:rPr>
                <w:sz w:val="20"/>
                <w:szCs w:val="20"/>
                <w:color w:val="auto"/>
              </w:rPr>
            </w:pPr>
            <w:r>
              <w:rPr>
                <w:rFonts w:ascii="Times New Roman" w:cs="Times New Roman" w:eastAsia="Times New Roman" w:hAnsi="Times New Roman"/>
                <w:sz w:val="15"/>
                <w:szCs w:val="15"/>
                <w:color w:val="231F20"/>
              </w:rPr>
              <w:t>11.93%</w:t>
            </w:r>
          </w:p>
        </w:tc>
        <w:tc>
          <w:tcPr>
            <w:tcW w:w="1000" w:type="dxa"/>
            <w:vAlign w:val="bottom"/>
            <w:shd w:val="clear" w:color="auto" w:fill="FDFDFC"/>
          </w:tcPr>
          <w:p>
            <w:pPr>
              <w:jc w:val="right"/>
              <w:spacing w:after="0" w:line="159" w:lineRule="exact"/>
              <w:rPr>
                <w:sz w:val="20"/>
                <w:szCs w:val="20"/>
                <w:color w:val="auto"/>
              </w:rPr>
            </w:pPr>
            <w:r>
              <w:rPr>
                <w:rFonts w:ascii="Times New Roman" w:cs="Times New Roman" w:eastAsia="Times New Roman" w:hAnsi="Times New Roman"/>
                <w:sz w:val="15"/>
                <w:szCs w:val="15"/>
                <w:color w:val="231F20"/>
              </w:rPr>
              <w:t>1,851</w:t>
            </w:r>
          </w:p>
        </w:tc>
        <w:tc>
          <w:tcPr>
            <w:tcW w:w="1140" w:type="dxa"/>
            <w:vAlign w:val="bottom"/>
            <w:gridSpan w:val="2"/>
            <w:shd w:val="clear" w:color="auto" w:fill="FDFDFC"/>
          </w:tcPr>
          <w:p>
            <w:pPr>
              <w:jc w:val="right"/>
              <w:spacing w:after="0" w:line="159" w:lineRule="exact"/>
              <w:rPr>
                <w:sz w:val="20"/>
                <w:szCs w:val="20"/>
                <w:color w:val="auto"/>
              </w:rPr>
            </w:pPr>
            <w:r>
              <w:rPr>
                <w:rFonts w:ascii="Times New Roman" w:cs="Times New Roman" w:eastAsia="Times New Roman" w:hAnsi="Times New Roman"/>
                <w:sz w:val="15"/>
                <w:szCs w:val="15"/>
                <w:color w:val="231F20"/>
              </w:rPr>
              <w:t>1,928</w:t>
            </w:r>
          </w:p>
        </w:tc>
        <w:tc>
          <w:tcPr>
            <w:tcW w:w="1340" w:type="dxa"/>
            <w:vAlign w:val="bottom"/>
            <w:gridSpan w:val="3"/>
            <w:shd w:val="clear" w:color="auto" w:fill="FDFDFC"/>
          </w:tcPr>
          <w:p>
            <w:pPr>
              <w:jc w:val="right"/>
              <w:ind w:right="120"/>
              <w:spacing w:after="0" w:line="159" w:lineRule="exact"/>
              <w:rPr>
                <w:sz w:val="20"/>
                <w:szCs w:val="20"/>
                <w:color w:val="auto"/>
              </w:rPr>
            </w:pPr>
            <w:r>
              <w:rPr>
                <w:rFonts w:ascii="Times New Roman" w:cs="Times New Roman" w:eastAsia="Times New Roman" w:hAnsi="Times New Roman"/>
                <w:sz w:val="15"/>
                <w:szCs w:val="15"/>
                <w:color w:val="231F20"/>
              </w:rPr>
              <w:t>0.1%</w:t>
            </w:r>
          </w:p>
        </w:tc>
      </w:tr>
      <w:tr>
        <w:trPr>
          <w:trHeight w:val="189"/>
        </w:trPr>
        <w:tc>
          <w:tcPr>
            <w:tcW w:w="1460" w:type="dxa"/>
            <w:vAlign w:val="bottom"/>
            <w:shd w:val="clear" w:color="auto" w:fill="FDFDFC"/>
          </w:tcPr>
          <w:p>
            <w:pPr>
              <w:spacing w:after="0"/>
              <w:rPr>
                <w:sz w:val="20"/>
                <w:szCs w:val="20"/>
                <w:color w:val="auto"/>
              </w:rPr>
            </w:pPr>
            <w:r>
              <w:rPr>
                <w:rFonts w:ascii="Times New Roman" w:cs="Times New Roman" w:eastAsia="Times New Roman" w:hAnsi="Times New Roman"/>
                <w:sz w:val="15"/>
                <w:szCs w:val="15"/>
                <w:color w:val="231F20"/>
              </w:rPr>
              <w:t xml:space="preserve">Series 2021-6A </w:t>
            </w:r>
            <w:r>
              <w:rPr>
                <w:rFonts w:ascii="Times New Roman" w:cs="Times New Roman" w:eastAsia="Times New Roman" w:hAnsi="Times New Roman"/>
                <w:sz w:val="9"/>
                <w:szCs w:val="9"/>
                <w:color w:val="231F20"/>
              </w:rPr>
              <w:t>(3)(4)(9)</w:t>
            </w:r>
          </w:p>
        </w:tc>
        <w:tc>
          <w:tcPr>
            <w:tcW w:w="2340" w:type="dxa"/>
            <w:vAlign w:val="bottom"/>
            <w:shd w:val="clear" w:color="auto" w:fill="FDFDFC"/>
          </w:tcPr>
          <w:p>
            <w:pPr>
              <w:ind w:left="60"/>
              <w:spacing w:after="0"/>
              <w:rPr>
                <w:sz w:val="20"/>
                <w:szCs w:val="20"/>
                <w:color w:val="auto"/>
              </w:rPr>
            </w:pPr>
            <w:r>
              <w:rPr>
                <w:rFonts w:ascii="Times New Roman" w:cs="Times New Roman" w:eastAsia="Times New Roman" w:hAnsi="Times New Roman"/>
                <w:sz w:val="15"/>
                <w:szCs w:val="15"/>
                <w:color w:val="231F20"/>
              </w:rPr>
              <w:t>1/2037)</w:t>
            </w:r>
          </w:p>
        </w:tc>
        <w:tc>
          <w:tcPr>
            <w:tcW w:w="900" w:type="dxa"/>
            <w:vAlign w:val="bottom"/>
            <w:shd w:val="clear" w:color="auto" w:fill="FDFDFC"/>
          </w:tcPr>
          <w:p>
            <w:pPr>
              <w:spacing w:after="0"/>
              <w:rPr>
                <w:sz w:val="16"/>
                <w:szCs w:val="16"/>
                <w:color w:val="auto"/>
              </w:rPr>
            </w:pPr>
          </w:p>
        </w:tc>
        <w:tc>
          <w:tcPr>
            <w:tcW w:w="1200" w:type="dxa"/>
            <w:vAlign w:val="bottom"/>
            <w:shd w:val="clear" w:color="auto" w:fill="FDFDFC"/>
          </w:tcPr>
          <w:p>
            <w:pPr>
              <w:jc w:val="right"/>
              <w:ind w:right="244"/>
              <w:spacing w:after="0"/>
              <w:rPr>
                <w:sz w:val="20"/>
                <w:szCs w:val="20"/>
                <w:color w:val="auto"/>
              </w:rPr>
            </w:pPr>
            <w:r>
              <w:rPr>
                <w:rFonts w:ascii="Times New Roman" w:cs="Times New Roman" w:eastAsia="Times New Roman" w:hAnsi="Times New Roman"/>
                <w:sz w:val="15"/>
                <w:szCs w:val="15"/>
                <w:color w:val="231F20"/>
              </w:rPr>
              <w:t>6.62%</w:t>
            </w:r>
          </w:p>
        </w:tc>
        <w:tc>
          <w:tcPr>
            <w:tcW w:w="900" w:type="dxa"/>
            <w:vAlign w:val="bottom"/>
            <w:shd w:val="clear" w:color="auto" w:fill="FDFDFC"/>
          </w:tcPr>
          <w:p>
            <w:pPr>
              <w:spacing w:after="0"/>
              <w:rPr>
                <w:sz w:val="16"/>
                <w:szCs w:val="16"/>
                <w:color w:val="auto"/>
              </w:rPr>
            </w:pPr>
          </w:p>
        </w:tc>
        <w:tc>
          <w:tcPr>
            <w:tcW w:w="1000" w:type="dxa"/>
            <w:vAlign w:val="bottom"/>
            <w:shd w:val="clear" w:color="auto" w:fill="FDFDFC"/>
          </w:tcPr>
          <w:p>
            <w:pPr>
              <w:spacing w:after="0"/>
              <w:rPr>
                <w:sz w:val="16"/>
                <w:szCs w:val="16"/>
                <w:color w:val="auto"/>
              </w:rPr>
            </w:pPr>
          </w:p>
        </w:tc>
        <w:tc>
          <w:tcPr>
            <w:tcW w:w="180" w:type="dxa"/>
            <w:vAlign w:val="bottom"/>
            <w:shd w:val="clear" w:color="auto" w:fill="FDFDFC"/>
          </w:tcPr>
          <w:p>
            <w:pPr>
              <w:spacing w:after="0"/>
              <w:rPr>
                <w:sz w:val="16"/>
                <w:szCs w:val="16"/>
                <w:color w:val="auto"/>
              </w:rPr>
            </w:pPr>
          </w:p>
        </w:tc>
        <w:tc>
          <w:tcPr>
            <w:tcW w:w="960" w:type="dxa"/>
            <w:vAlign w:val="bottom"/>
            <w:shd w:val="clear" w:color="auto" w:fill="FDFDFC"/>
          </w:tcPr>
          <w:p>
            <w:pPr>
              <w:spacing w:after="0"/>
              <w:rPr>
                <w:sz w:val="16"/>
                <w:szCs w:val="16"/>
                <w:color w:val="auto"/>
              </w:rPr>
            </w:pPr>
          </w:p>
        </w:tc>
        <w:tc>
          <w:tcPr>
            <w:tcW w:w="200" w:type="dxa"/>
            <w:vAlign w:val="bottom"/>
            <w:shd w:val="clear" w:color="auto" w:fill="FDFDFC"/>
          </w:tcPr>
          <w:p>
            <w:pPr>
              <w:spacing w:after="0"/>
              <w:rPr>
                <w:sz w:val="16"/>
                <w:szCs w:val="16"/>
                <w:color w:val="auto"/>
              </w:rPr>
            </w:pPr>
          </w:p>
        </w:tc>
        <w:tc>
          <w:tcPr>
            <w:tcW w:w="900" w:type="dxa"/>
            <w:vAlign w:val="bottom"/>
            <w:shd w:val="clear" w:color="auto" w:fill="FDFDFC"/>
          </w:tcPr>
          <w:p>
            <w:pPr>
              <w:spacing w:after="0"/>
              <w:rPr>
                <w:sz w:val="16"/>
                <w:szCs w:val="16"/>
                <w:color w:val="auto"/>
              </w:rPr>
            </w:pPr>
          </w:p>
        </w:tc>
        <w:tc>
          <w:tcPr>
            <w:tcW w:w="240" w:type="dxa"/>
            <w:vAlign w:val="bottom"/>
            <w:shd w:val="clear" w:color="auto" w:fill="FDFDFC"/>
          </w:tcPr>
          <w:p>
            <w:pPr>
              <w:spacing w:after="0"/>
              <w:rPr>
                <w:sz w:val="16"/>
                <w:szCs w:val="16"/>
                <w:color w:val="auto"/>
              </w:rPr>
            </w:pPr>
          </w:p>
        </w:tc>
      </w:tr>
      <w:tr>
        <w:trPr>
          <w:trHeight w:val="158"/>
        </w:trPr>
        <w:tc>
          <w:tcPr>
            <w:tcW w:w="1460" w:type="dxa"/>
            <w:vAlign w:val="bottom"/>
            <w:shd w:val="clear" w:color="auto" w:fill="D0EBF2"/>
          </w:tcPr>
          <w:p>
            <w:pPr>
              <w:spacing w:after="0" w:line="159" w:lineRule="exact"/>
              <w:rPr>
                <w:sz w:val="20"/>
                <w:szCs w:val="20"/>
                <w:color w:val="auto"/>
              </w:rPr>
            </w:pPr>
            <w:r>
              <w:rPr>
                <w:rFonts w:ascii="Times New Roman" w:cs="Times New Roman" w:eastAsia="Times New Roman" w:hAnsi="Times New Roman"/>
                <w:sz w:val="15"/>
                <w:szCs w:val="15"/>
                <w:color w:val="231F20"/>
              </w:rPr>
              <w:t>Jefferson Mill CLO</w:t>
            </w:r>
          </w:p>
        </w:tc>
        <w:tc>
          <w:tcPr>
            <w:tcW w:w="2340" w:type="dxa"/>
            <w:vAlign w:val="bottom"/>
            <w:shd w:val="clear" w:color="auto" w:fill="D0EBF2"/>
          </w:tcPr>
          <w:p>
            <w:pPr>
              <w:ind w:left="60"/>
              <w:spacing w:after="0" w:line="159" w:lineRule="exact"/>
              <w:rPr>
                <w:sz w:val="20"/>
                <w:szCs w:val="20"/>
                <w:color w:val="auto"/>
              </w:rPr>
            </w:pPr>
            <w:r>
              <w:rPr>
                <w:rFonts w:ascii="Times New Roman" w:cs="Times New Roman" w:eastAsia="Times New Roman" w:hAnsi="Times New Roman"/>
                <w:sz w:val="15"/>
                <w:szCs w:val="15"/>
                <w:color w:val="231F20"/>
              </w:rPr>
              <w:t>Structured Credit ($1,000 par, due</w:t>
            </w:r>
          </w:p>
        </w:tc>
        <w:tc>
          <w:tcPr>
            <w:tcW w:w="900" w:type="dxa"/>
            <w:vAlign w:val="bottom"/>
            <w:shd w:val="clear" w:color="auto" w:fill="D0EBF2"/>
          </w:tcPr>
          <w:p>
            <w:pPr>
              <w:jc w:val="right"/>
              <w:spacing w:after="0" w:line="159" w:lineRule="exact"/>
              <w:rPr>
                <w:sz w:val="20"/>
                <w:szCs w:val="20"/>
                <w:color w:val="auto"/>
              </w:rPr>
            </w:pPr>
            <w:r>
              <w:rPr>
                <w:rFonts w:ascii="Times New Roman" w:cs="Times New Roman" w:eastAsia="Times New Roman" w:hAnsi="Times New Roman"/>
                <w:sz w:val="15"/>
                <w:szCs w:val="15"/>
                <w:color w:val="231F20"/>
              </w:rPr>
              <w:t>5/23/2022</w:t>
            </w:r>
          </w:p>
        </w:tc>
        <w:tc>
          <w:tcPr>
            <w:tcW w:w="1200" w:type="dxa"/>
            <w:vAlign w:val="bottom"/>
            <w:shd w:val="clear" w:color="auto" w:fill="D0EBF2"/>
          </w:tcPr>
          <w:p>
            <w:pPr>
              <w:jc w:val="right"/>
              <w:ind w:right="244"/>
              <w:spacing w:after="0" w:line="159" w:lineRule="exact"/>
              <w:rPr>
                <w:sz w:val="20"/>
                <w:szCs w:val="20"/>
                <w:color w:val="auto"/>
              </w:rPr>
            </w:pPr>
            <w:r>
              <w:rPr>
                <w:rFonts w:ascii="Times New Roman" w:cs="Times New Roman" w:eastAsia="Times New Roman" w:hAnsi="Times New Roman"/>
                <w:sz w:val="15"/>
                <w:szCs w:val="15"/>
                <w:color w:val="231F20"/>
              </w:rPr>
              <w:t>SOFR +</w:t>
            </w:r>
          </w:p>
        </w:tc>
        <w:tc>
          <w:tcPr>
            <w:tcW w:w="900" w:type="dxa"/>
            <w:vAlign w:val="bottom"/>
            <w:shd w:val="clear" w:color="auto" w:fill="D0EBF2"/>
          </w:tcPr>
          <w:p>
            <w:pPr>
              <w:jc w:val="right"/>
              <w:ind w:right="24"/>
              <w:spacing w:after="0" w:line="159" w:lineRule="exact"/>
              <w:rPr>
                <w:sz w:val="20"/>
                <w:szCs w:val="20"/>
                <w:color w:val="auto"/>
              </w:rPr>
            </w:pPr>
            <w:r>
              <w:rPr>
                <w:rFonts w:ascii="Times New Roman" w:cs="Times New Roman" w:eastAsia="Times New Roman" w:hAnsi="Times New Roman"/>
                <w:sz w:val="15"/>
                <w:szCs w:val="15"/>
                <w:color w:val="231F20"/>
              </w:rPr>
              <w:t>9.22%</w:t>
            </w:r>
          </w:p>
        </w:tc>
        <w:tc>
          <w:tcPr>
            <w:tcW w:w="1000" w:type="dxa"/>
            <w:vAlign w:val="bottom"/>
            <w:shd w:val="clear" w:color="auto" w:fill="D0EBF2"/>
          </w:tcPr>
          <w:p>
            <w:pPr>
              <w:jc w:val="right"/>
              <w:spacing w:after="0" w:line="159" w:lineRule="exact"/>
              <w:rPr>
                <w:sz w:val="20"/>
                <w:szCs w:val="20"/>
                <w:color w:val="auto"/>
              </w:rPr>
            </w:pPr>
            <w:r>
              <w:rPr>
                <w:rFonts w:ascii="Times New Roman" w:cs="Times New Roman" w:eastAsia="Times New Roman" w:hAnsi="Times New Roman"/>
                <w:sz w:val="15"/>
                <w:szCs w:val="15"/>
                <w:color w:val="231F20"/>
              </w:rPr>
              <w:t>908</w:t>
            </w:r>
          </w:p>
        </w:tc>
        <w:tc>
          <w:tcPr>
            <w:tcW w:w="1140" w:type="dxa"/>
            <w:vAlign w:val="bottom"/>
            <w:gridSpan w:val="2"/>
            <w:shd w:val="clear" w:color="auto" w:fill="D0EBF2"/>
          </w:tcPr>
          <w:p>
            <w:pPr>
              <w:jc w:val="right"/>
              <w:spacing w:after="0" w:line="159" w:lineRule="exact"/>
              <w:rPr>
                <w:sz w:val="20"/>
                <w:szCs w:val="20"/>
                <w:color w:val="auto"/>
              </w:rPr>
            </w:pPr>
            <w:r>
              <w:rPr>
                <w:rFonts w:ascii="Times New Roman" w:cs="Times New Roman" w:eastAsia="Times New Roman" w:hAnsi="Times New Roman"/>
                <w:sz w:val="15"/>
                <w:szCs w:val="15"/>
                <w:color w:val="231F20"/>
              </w:rPr>
              <w:t>965</w:t>
            </w:r>
          </w:p>
        </w:tc>
        <w:tc>
          <w:tcPr>
            <w:tcW w:w="1340" w:type="dxa"/>
            <w:vAlign w:val="bottom"/>
            <w:gridSpan w:val="3"/>
            <w:shd w:val="clear" w:color="auto" w:fill="D0EBF2"/>
          </w:tcPr>
          <w:p>
            <w:pPr>
              <w:jc w:val="right"/>
              <w:ind w:right="120"/>
              <w:spacing w:after="0" w:line="159" w:lineRule="exact"/>
              <w:rPr>
                <w:sz w:val="20"/>
                <w:szCs w:val="20"/>
                <w:color w:val="auto"/>
              </w:rPr>
            </w:pPr>
            <w:r>
              <w:rPr>
                <w:rFonts w:ascii="Times New Roman" w:cs="Times New Roman" w:eastAsia="Times New Roman" w:hAnsi="Times New Roman"/>
                <w:sz w:val="15"/>
                <w:szCs w:val="15"/>
                <w:color w:val="231F20"/>
              </w:rPr>
              <w:t>0.0%</w:t>
            </w:r>
          </w:p>
        </w:tc>
      </w:tr>
      <w:tr>
        <w:trPr>
          <w:trHeight w:val="186"/>
        </w:trPr>
        <w:tc>
          <w:tcPr>
            <w:tcW w:w="1460" w:type="dxa"/>
            <w:vAlign w:val="bottom"/>
            <w:shd w:val="clear" w:color="auto" w:fill="D0EBF2"/>
          </w:tcPr>
          <w:p>
            <w:pPr>
              <w:spacing w:after="0"/>
              <w:rPr>
                <w:sz w:val="20"/>
                <w:szCs w:val="20"/>
                <w:color w:val="auto"/>
              </w:rPr>
            </w:pPr>
            <w:r>
              <w:rPr>
                <w:rFonts w:ascii="Times New Roman" w:cs="Times New Roman" w:eastAsia="Times New Roman" w:hAnsi="Times New Roman"/>
                <w:sz w:val="15"/>
                <w:szCs w:val="15"/>
                <w:color w:val="231F20"/>
              </w:rPr>
              <w:t>Ltd, Series 2015-1A</w:t>
            </w:r>
          </w:p>
        </w:tc>
        <w:tc>
          <w:tcPr>
            <w:tcW w:w="2340" w:type="dxa"/>
            <w:vAlign w:val="bottom"/>
            <w:shd w:val="clear" w:color="auto" w:fill="D0EBF2"/>
          </w:tcPr>
          <w:p>
            <w:pPr>
              <w:ind w:left="60"/>
              <w:spacing w:after="0"/>
              <w:rPr>
                <w:sz w:val="20"/>
                <w:szCs w:val="20"/>
                <w:color w:val="auto"/>
              </w:rPr>
            </w:pPr>
            <w:r>
              <w:rPr>
                <w:rFonts w:ascii="Times New Roman" w:cs="Times New Roman" w:eastAsia="Times New Roman" w:hAnsi="Times New Roman"/>
                <w:sz w:val="15"/>
                <w:szCs w:val="15"/>
                <w:color w:val="231F20"/>
              </w:rPr>
              <w:t>10/2031)</w:t>
            </w:r>
          </w:p>
        </w:tc>
        <w:tc>
          <w:tcPr>
            <w:tcW w:w="900" w:type="dxa"/>
            <w:vAlign w:val="bottom"/>
            <w:shd w:val="clear" w:color="auto" w:fill="D0EBF2"/>
          </w:tcPr>
          <w:p>
            <w:pPr>
              <w:spacing w:after="0"/>
              <w:rPr>
                <w:sz w:val="16"/>
                <w:szCs w:val="16"/>
                <w:color w:val="auto"/>
              </w:rPr>
            </w:pPr>
          </w:p>
        </w:tc>
        <w:tc>
          <w:tcPr>
            <w:tcW w:w="1200" w:type="dxa"/>
            <w:vAlign w:val="bottom"/>
            <w:shd w:val="clear" w:color="auto" w:fill="D0EBF2"/>
          </w:tcPr>
          <w:p>
            <w:pPr>
              <w:jc w:val="right"/>
              <w:ind w:right="244"/>
              <w:spacing w:after="0"/>
              <w:rPr>
                <w:sz w:val="20"/>
                <w:szCs w:val="20"/>
                <w:color w:val="auto"/>
              </w:rPr>
            </w:pPr>
            <w:r>
              <w:rPr>
                <w:rFonts w:ascii="Times New Roman" w:cs="Times New Roman" w:eastAsia="Times New Roman" w:hAnsi="Times New Roman"/>
                <w:sz w:val="15"/>
                <w:szCs w:val="15"/>
                <w:color w:val="231F20"/>
              </w:rPr>
              <w:t>3.81%</w:t>
            </w:r>
          </w:p>
        </w:tc>
        <w:tc>
          <w:tcPr>
            <w:tcW w:w="900" w:type="dxa"/>
            <w:vAlign w:val="bottom"/>
            <w:shd w:val="clear" w:color="auto" w:fill="D0EBF2"/>
          </w:tcPr>
          <w:p>
            <w:pPr>
              <w:spacing w:after="0"/>
              <w:rPr>
                <w:sz w:val="16"/>
                <w:szCs w:val="16"/>
                <w:color w:val="auto"/>
              </w:rPr>
            </w:pPr>
          </w:p>
        </w:tc>
        <w:tc>
          <w:tcPr>
            <w:tcW w:w="1000" w:type="dxa"/>
            <w:vAlign w:val="bottom"/>
            <w:shd w:val="clear" w:color="auto" w:fill="D0EBF2"/>
          </w:tcPr>
          <w:p>
            <w:pPr>
              <w:spacing w:after="0"/>
              <w:rPr>
                <w:sz w:val="16"/>
                <w:szCs w:val="16"/>
                <w:color w:val="auto"/>
              </w:rPr>
            </w:pPr>
          </w:p>
        </w:tc>
        <w:tc>
          <w:tcPr>
            <w:tcW w:w="180" w:type="dxa"/>
            <w:vAlign w:val="bottom"/>
            <w:shd w:val="clear" w:color="auto" w:fill="D0EBF2"/>
          </w:tcPr>
          <w:p>
            <w:pPr>
              <w:spacing w:after="0"/>
              <w:rPr>
                <w:sz w:val="16"/>
                <w:szCs w:val="16"/>
                <w:color w:val="auto"/>
              </w:rPr>
            </w:pPr>
          </w:p>
        </w:tc>
        <w:tc>
          <w:tcPr>
            <w:tcW w:w="960" w:type="dxa"/>
            <w:vAlign w:val="bottom"/>
            <w:shd w:val="clear" w:color="auto" w:fill="D0EBF2"/>
          </w:tcPr>
          <w:p>
            <w:pPr>
              <w:spacing w:after="0"/>
              <w:rPr>
                <w:sz w:val="16"/>
                <w:szCs w:val="16"/>
                <w:color w:val="auto"/>
              </w:rPr>
            </w:pPr>
          </w:p>
        </w:tc>
        <w:tc>
          <w:tcPr>
            <w:tcW w:w="200" w:type="dxa"/>
            <w:vAlign w:val="bottom"/>
            <w:shd w:val="clear" w:color="auto" w:fill="D0EBF2"/>
          </w:tcPr>
          <w:p>
            <w:pPr>
              <w:spacing w:after="0"/>
              <w:rPr>
                <w:sz w:val="16"/>
                <w:szCs w:val="16"/>
                <w:color w:val="auto"/>
              </w:rPr>
            </w:pPr>
          </w:p>
        </w:tc>
        <w:tc>
          <w:tcPr>
            <w:tcW w:w="900" w:type="dxa"/>
            <w:vAlign w:val="bottom"/>
            <w:shd w:val="clear" w:color="auto" w:fill="D0EBF2"/>
          </w:tcPr>
          <w:p>
            <w:pPr>
              <w:spacing w:after="0"/>
              <w:rPr>
                <w:sz w:val="16"/>
                <w:szCs w:val="16"/>
                <w:color w:val="auto"/>
              </w:rPr>
            </w:pPr>
          </w:p>
        </w:tc>
        <w:tc>
          <w:tcPr>
            <w:tcW w:w="240" w:type="dxa"/>
            <w:vAlign w:val="bottom"/>
            <w:shd w:val="clear" w:color="auto" w:fill="D0EBF2"/>
          </w:tcPr>
          <w:p>
            <w:pPr>
              <w:spacing w:after="0"/>
              <w:rPr>
                <w:sz w:val="16"/>
                <w:szCs w:val="16"/>
                <w:color w:val="auto"/>
              </w:rPr>
            </w:pPr>
          </w:p>
        </w:tc>
      </w:tr>
      <w:tr>
        <w:trPr>
          <w:trHeight w:val="157"/>
        </w:trPr>
        <w:tc>
          <w:tcPr>
            <w:tcW w:w="1460" w:type="dxa"/>
            <w:vAlign w:val="bottom"/>
            <w:tcBorders>
              <w:bottom w:val="single" w:sz="8" w:color="D0EBF2"/>
            </w:tcBorders>
            <w:shd w:val="clear" w:color="auto" w:fill="D0EBF2"/>
          </w:tcPr>
          <w:p>
            <w:pPr>
              <w:spacing w:after="0"/>
              <w:rPr>
                <w:sz w:val="20"/>
                <w:szCs w:val="20"/>
                <w:color w:val="auto"/>
              </w:rPr>
            </w:pPr>
            <w:r>
              <w:rPr>
                <w:rFonts w:ascii="Times New Roman" w:cs="Times New Roman" w:eastAsia="Times New Roman" w:hAnsi="Times New Roman"/>
                <w:sz w:val="9"/>
                <w:szCs w:val="9"/>
                <w:color w:val="231F20"/>
              </w:rPr>
              <w:t>(3)(4)(9)</w:t>
            </w:r>
          </w:p>
        </w:tc>
        <w:tc>
          <w:tcPr>
            <w:tcW w:w="2340" w:type="dxa"/>
            <w:vAlign w:val="bottom"/>
            <w:tcBorders>
              <w:bottom w:val="single" w:sz="8" w:color="D0EBF2"/>
            </w:tcBorders>
            <w:shd w:val="clear" w:color="auto" w:fill="D0EBF2"/>
          </w:tcPr>
          <w:p>
            <w:pPr>
              <w:spacing w:after="0"/>
              <w:rPr>
                <w:sz w:val="13"/>
                <w:szCs w:val="13"/>
                <w:color w:val="auto"/>
              </w:rPr>
            </w:pPr>
          </w:p>
        </w:tc>
        <w:tc>
          <w:tcPr>
            <w:tcW w:w="900" w:type="dxa"/>
            <w:vAlign w:val="bottom"/>
            <w:tcBorders>
              <w:bottom w:val="single" w:sz="8" w:color="D0EBF2"/>
            </w:tcBorders>
            <w:shd w:val="clear" w:color="auto" w:fill="D0EBF2"/>
          </w:tcPr>
          <w:p>
            <w:pPr>
              <w:spacing w:after="0"/>
              <w:rPr>
                <w:sz w:val="13"/>
                <w:szCs w:val="13"/>
                <w:color w:val="auto"/>
              </w:rPr>
            </w:pPr>
          </w:p>
        </w:tc>
        <w:tc>
          <w:tcPr>
            <w:tcW w:w="1200" w:type="dxa"/>
            <w:vAlign w:val="bottom"/>
            <w:tcBorders>
              <w:bottom w:val="single" w:sz="8" w:color="D0EBF2"/>
            </w:tcBorders>
            <w:shd w:val="clear" w:color="auto" w:fill="D0EBF2"/>
          </w:tcPr>
          <w:p>
            <w:pPr>
              <w:spacing w:after="0"/>
              <w:rPr>
                <w:sz w:val="13"/>
                <w:szCs w:val="13"/>
                <w:color w:val="auto"/>
              </w:rPr>
            </w:pPr>
          </w:p>
        </w:tc>
        <w:tc>
          <w:tcPr>
            <w:tcW w:w="900" w:type="dxa"/>
            <w:vAlign w:val="bottom"/>
            <w:tcBorders>
              <w:bottom w:val="single" w:sz="8" w:color="D0EBF2"/>
            </w:tcBorders>
            <w:shd w:val="clear" w:color="auto" w:fill="D0EBF2"/>
          </w:tcPr>
          <w:p>
            <w:pPr>
              <w:spacing w:after="0"/>
              <w:rPr>
                <w:sz w:val="13"/>
                <w:szCs w:val="13"/>
                <w:color w:val="auto"/>
              </w:rPr>
            </w:pPr>
          </w:p>
        </w:tc>
        <w:tc>
          <w:tcPr>
            <w:tcW w:w="1000" w:type="dxa"/>
            <w:vAlign w:val="bottom"/>
            <w:tcBorders>
              <w:bottom w:val="single" w:sz="8" w:color="D0EBF2"/>
            </w:tcBorders>
            <w:shd w:val="clear" w:color="auto" w:fill="D0EBF2"/>
          </w:tcPr>
          <w:p>
            <w:pPr>
              <w:spacing w:after="0"/>
              <w:rPr>
                <w:sz w:val="13"/>
                <w:szCs w:val="13"/>
                <w:color w:val="auto"/>
              </w:rPr>
            </w:pPr>
          </w:p>
        </w:tc>
        <w:tc>
          <w:tcPr>
            <w:tcW w:w="180" w:type="dxa"/>
            <w:vAlign w:val="bottom"/>
            <w:tcBorders>
              <w:bottom w:val="single" w:sz="8" w:color="D0EBF2"/>
            </w:tcBorders>
            <w:shd w:val="clear" w:color="auto" w:fill="D0EBF2"/>
          </w:tcPr>
          <w:p>
            <w:pPr>
              <w:spacing w:after="0"/>
              <w:rPr>
                <w:sz w:val="13"/>
                <w:szCs w:val="13"/>
                <w:color w:val="auto"/>
              </w:rPr>
            </w:pPr>
          </w:p>
        </w:tc>
        <w:tc>
          <w:tcPr>
            <w:tcW w:w="960" w:type="dxa"/>
            <w:vAlign w:val="bottom"/>
            <w:tcBorders>
              <w:bottom w:val="single" w:sz="8" w:color="D0EBF2"/>
            </w:tcBorders>
            <w:shd w:val="clear" w:color="auto" w:fill="D0EBF2"/>
          </w:tcPr>
          <w:p>
            <w:pPr>
              <w:spacing w:after="0"/>
              <w:rPr>
                <w:sz w:val="13"/>
                <w:szCs w:val="13"/>
                <w:color w:val="auto"/>
              </w:rPr>
            </w:pPr>
          </w:p>
        </w:tc>
        <w:tc>
          <w:tcPr>
            <w:tcW w:w="200" w:type="dxa"/>
            <w:vAlign w:val="bottom"/>
            <w:tcBorders>
              <w:bottom w:val="single" w:sz="8" w:color="D0EBF2"/>
            </w:tcBorders>
            <w:shd w:val="clear" w:color="auto" w:fill="D0EBF2"/>
          </w:tcPr>
          <w:p>
            <w:pPr>
              <w:spacing w:after="0"/>
              <w:rPr>
                <w:sz w:val="13"/>
                <w:szCs w:val="13"/>
                <w:color w:val="auto"/>
              </w:rPr>
            </w:pPr>
          </w:p>
        </w:tc>
        <w:tc>
          <w:tcPr>
            <w:tcW w:w="900" w:type="dxa"/>
            <w:vAlign w:val="bottom"/>
            <w:tcBorders>
              <w:bottom w:val="single" w:sz="8" w:color="D0EBF2"/>
            </w:tcBorders>
            <w:shd w:val="clear" w:color="auto" w:fill="D0EBF2"/>
          </w:tcPr>
          <w:p>
            <w:pPr>
              <w:spacing w:after="0"/>
              <w:rPr>
                <w:sz w:val="13"/>
                <w:szCs w:val="13"/>
                <w:color w:val="auto"/>
              </w:rPr>
            </w:pPr>
          </w:p>
        </w:tc>
        <w:tc>
          <w:tcPr>
            <w:tcW w:w="240" w:type="dxa"/>
            <w:vAlign w:val="bottom"/>
            <w:tcBorders>
              <w:bottom w:val="single" w:sz="8" w:color="D0EBF2"/>
            </w:tcBorders>
            <w:shd w:val="clear" w:color="auto" w:fill="D0EBF2"/>
          </w:tcPr>
          <w:p>
            <w:pPr>
              <w:spacing w:after="0"/>
              <w:rPr>
                <w:sz w:val="13"/>
                <w:szCs w:val="13"/>
                <w:color w:val="auto"/>
              </w:rPr>
            </w:pPr>
          </w:p>
        </w:tc>
      </w:tr>
      <w:tr>
        <w:trPr>
          <w:trHeight w:val="158"/>
        </w:trPr>
        <w:tc>
          <w:tcPr>
            <w:tcW w:w="1460" w:type="dxa"/>
            <w:vAlign w:val="bottom"/>
            <w:shd w:val="clear" w:color="auto" w:fill="FDFDFC"/>
          </w:tcPr>
          <w:p>
            <w:pPr>
              <w:spacing w:after="0" w:line="159" w:lineRule="exact"/>
              <w:rPr>
                <w:sz w:val="20"/>
                <w:szCs w:val="20"/>
                <w:color w:val="auto"/>
              </w:rPr>
            </w:pPr>
            <w:r>
              <w:rPr>
                <w:rFonts w:ascii="Times New Roman" w:cs="Times New Roman" w:eastAsia="Times New Roman" w:hAnsi="Times New Roman"/>
                <w:sz w:val="15"/>
                <w:szCs w:val="15"/>
                <w:color w:val="231F20"/>
              </w:rPr>
              <w:t>KKR CLO Ltd, 49A</w:t>
            </w:r>
          </w:p>
        </w:tc>
        <w:tc>
          <w:tcPr>
            <w:tcW w:w="2340" w:type="dxa"/>
            <w:vAlign w:val="bottom"/>
            <w:shd w:val="clear" w:color="auto" w:fill="FDFDFC"/>
          </w:tcPr>
          <w:p>
            <w:pPr>
              <w:ind w:left="60"/>
              <w:spacing w:after="0" w:line="159" w:lineRule="exact"/>
              <w:rPr>
                <w:sz w:val="20"/>
                <w:szCs w:val="20"/>
                <w:color w:val="auto"/>
              </w:rPr>
            </w:pPr>
            <w:r>
              <w:rPr>
                <w:rFonts w:ascii="Times New Roman" w:cs="Times New Roman" w:eastAsia="Times New Roman" w:hAnsi="Times New Roman"/>
                <w:sz w:val="15"/>
                <w:szCs w:val="15"/>
                <w:color w:val="231F20"/>
              </w:rPr>
              <w:t>Structured Credit ($1,000 par, due</w:t>
            </w:r>
          </w:p>
        </w:tc>
        <w:tc>
          <w:tcPr>
            <w:tcW w:w="900" w:type="dxa"/>
            <w:vAlign w:val="bottom"/>
            <w:shd w:val="clear" w:color="auto" w:fill="FDFDFC"/>
          </w:tcPr>
          <w:p>
            <w:pPr>
              <w:jc w:val="right"/>
              <w:spacing w:after="0" w:line="159" w:lineRule="exact"/>
              <w:rPr>
                <w:sz w:val="20"/>
                <w:szCs w:val="20"/>
                <w:color w:val="auto"/>
              </w:rPr>
            </w:pPr>
            <w:r>
              <w:rPr>
                <w:rFonts w:ascii="Times New Roman" w:cs="Times New Roman" w:eastAsia="Times New Roman" w:hAnsi="Times New Roman"/>
                <w:sz w:val="15"/>
                <w:szCs w:val="15"/>
                <w:color w:val="231F20"/>
              </w:rPr>
              <w:t>6/2/2022</w:t>
            </w:r>
          </w:p>
        </w:tc>
        <w:tc>
          <w:tcPr>
            <w:tcW w:w="1200" w:type="dxa"/>
            <w:vAlign w:val="bottom"/>
            <w:shd w:val="clear" w:color="auto" w:fill="FDFDFC"/>
          </w:tcPr>
          <w:p>
            <w:pPr>
              <w:jc w:val="right"/>
              <w:ind w:right="244"/>
              <w:spacing w:after="0" w:line="159" w:lineRule="exact"/>
              <w:rPr>
                <w:sz w:val="20"/>
                <w:szCs w:val="20"/>
                <w:color w:val="auto"/>
              </w:rPr>
            </w:pPr>
            <w:r>
              <w:rPr>
                <w:rFonts w:ascii="Times New Roman" w:cs="Times New Roman" w:eastAsia="Times New Roman" w:hAnsi="Times New Roman"/>
                <w:sz w:val="15"/>
                <w:szCs w:val="15"/>
                <w:color w:val="231F20"/>
              </w:rPr>
              <w:t>SOFR +</w:t>
            </w:r>
          </w:p>
        </w:tc>
        <w:tc>
          <w:tcPr>
            <w:tcW w:w="900" w:type="dxa"/>
            <w:vAlign w:val="bottom"/>
            <w:shd w:val="clear" w:color="auto" w:fill="FDFDFC"/>
          </w:tcPr>
          <w:p>
            <w:pPr>
              <w:jc w:val="right"/>
              <w:ind w:right="24"/>
              <w:spacing w:after="0" w:line="159" w:lineRule="exact"/>
              <w:rPr>
                <w:sz w:val="20"/>
                <w:szCs w:val="20"/>
                <w:color w:val="auto"/>
              </w:rPr>
            </w:pPr>
            <w:r>
              <w:rPr>
                <w:rFonts w:ascii="Times New Roman" w:cs="Times New Roman" w:eastAsia="Times New Roman" w:hAnsi="Times New Roman"/>
                <w:sz w:val="15"/>
                <w:szCs w:val="15"/>
                <w:color w:val="231F20"/>
              </w:rPr>
              <w:t>13.42%</w:t>
            </w:r>
          </w:p>
        </w:tc>
        <w:tc>
          <w:tcPr>
            <w:tcW w:w="1000" w:type="dxa"/>
            <w:vAlign w:val="bottom"/>
            <w:shd w:val="clear" w:color="auto" w:fill="FDFDFC"/>
          </w:tcPr>
          <w:p>
            <w:pPr>
              <w:jc w:val="right"/>
              <w:spacing w:after="0" w:line="159" w:lineRule="exact"/>
              <w:rPr>
                <w:sz w:val="20"/>
                <w:szCs w:val="20"/>
                <w:color w:val="auto"/>
              </w:rPr>
            </w:pPr>
            <w:r>
              <w:rPr>
                <w:rFonts w:ascii="Times New Roman" w:cs="Times New Roman" w:eastAsia="Times New Roman" w:hAnsi="Times New Roman"/>
                <w:sz w:val="15"/>
                <w:szCs w:val="15"/>
                <w:color w:val="231F20"/>
              </w:rPr>
              <w:t>978</w:t>
            </w:r>
          </w:p>
        </w:tc>
        <w:tc>
          <w:tcPr>
            <w:tcW w:w="1140" w:type="dxa"/>
            <w:vAlign w:val="bottom"/>
            <w:gridSpan w:val="2"/>
            <w:shd w:val="clear" w:color="auto" w:fill="FDFDFC"/>
          </w:tcPr>
          <w:p>
            <w:pPr>
              <w:jc w:val="right"/>
              <w:spacing w:after="0" w:line="159" w:lineRule="exact"/>
              <w:rPr>
                <w:sz w:val="20"/>
                <w:szCs w:val="20"/>
                <w:color w:val="auto"/>
              </w:rPr>
            </w:pPr>
            <w:r>
              <w:rPr>
                <w:rFonts w:ascii="Times New Roman" w:cs="Times New Roman" w:eastAsia="Times New Roman" w:hAnsi="Times New Roman"/>
                <w:sz w:val="15"/>
                <w:szCs w:val="15"/>
                <w:color w:val="231F20"/>
              </w:rPr>
              <w:t>987</w:t>
            </w:r>
          </w:p>
        </w:tc>
        <w:tc>
          <w:tcPr>
            <w:tcW w:w="1340" w:type="dxa"/>
            <w:vAlign w:val="bottom"/>
            <w:gridSpan w:val="3"/>
            <w:shd w:val="clear" w:color="auto" w:fill="FDFDFC"/>
          </w:tcPr>
          <w:p>
            <w:pPr>
              <w:jc w:val="right"/>
              <w:ind w:right="120"/>
              <w:spacing w:after="0" w:line="159" w:lineRule="exact"/>
              <w:rPr>
                <w:sz w:val="20"/>
                <w:szCs w:val="20"/>
                <w:color w:val="auto"/>
              </w:rPr>
            </w:pPr>
            <w:r>
              <w:rPr>
                <w:rFonts w:ascii="Times New Roman" w:cs="Times New Roman" w:eastAsia="Times New Roman" w:hAnsi="Times New Roman"/>
                <w:sz w:val="15"/>
                <w:szCs w:val="15"/>
                <w:color w:val="231F20"/>
              </w:rPr>
              <w:t>0.1%</w:t>
            </w:r>
          </w:p>
        </w:tc>
      </w:tr>
      <w:tr>
        <w:trPr>
          <w:trHeight w:val="189"/>
        </w:trPr>
        <w:tc>
          <w:tcPr>
            <w:tcW w:w="1460" w:type="dxa"/>
            <w:vAlign w:val="bottom"/>
            <w:shd w:val="clear" w:color="auto" w:fill="FDFDFC"/>
          </w:tcPr>
          <w:p>
            <w:pPr>
              <w:spacing w:after="0"/>
              <w:rPr>
                <w:sz w:val="20"/>
                <w:szCs w:val="20"/>
                <w:color w:val="auto"/>
              </w:rPr>
            </w:pPr>
            <w:r>
              <w:rPr>
                <w:rFonts w:ascii="Times New Roman" w:cs="Times New Roman" w:eastAsia="Times New Roman" w:hAnsi="Times New Roman"/>
                <w:sz w:val="9"/>
                <w:szCs w:val="9"/>
                <w:color w:val="231F20"/>
              </w:rPr>
              <w:t>(3)(4)(9)</w:t>
            </w:r>
          </w:p>
        </w:tc>
        <w:tc>
          <w:tcPr>
            <w:tcW w:w="2340" w:type="dxa"/>
            <w:vAlign w:val="bottom"/>
            <w:shd w:val="clear" w:color="auto" w:fill="FDFDFC"/>
          </w:tcPr>
          <w:p>
            <w:pPr>
              <w:ind w:left="60"/>
              <w:spacing w:after="0"/>
              <w:rPr>
                <w:sz w:val="20"/>
                <w:szCs w:val="20"/>
                <w:color w:val="auto"/>
              </w:rPr>
            </w:pPr>
            <w:r>
              <w:rPr>
                <w:rFonts w:ascii="Times New Roman" w:cs="Times New Roman" w:eastAsia="Times New Roman" w:hAnsi="Times New Roman"/>
                <w:sz w:val="15"/>
                <w:szCs w:val="15"/>
                <w:color w:val="231F20"/>
              </w:rPr>
              <w:t>7/2035)</w:t>
            </w:r>
          </w:p>
        </w:tc>
        <w:tc>
          <w:tcPr>
            <w:tcW w:w="900" w:type="dxa"/>
            <w:vAlign w:val="bottom"/>
            <w:shd w:val="clear" w:color="auto" w:fill="FDFDFC"/>
          </w:tcPr>
          <w:p>
            <w:pPr>
              <w:spacing w:after="0"/>
              <w:rPr>
                <w:sz w:val="16"/>
                <w:szCs w:val="16"/>
                <w:color w:val="auto"/>
              </w:rPr>
            </w:pPr>
          </w:p>
        </w:tc>
        <w:tc>
          <w:tcPr>
            <w:tcW w:w="1200" w:type="dxa"/>
            <w:vAlign w:val="bottom"/>
            <w:shd w:val="clear" w:color="auto" w:fill="FDFDFC"/>
          </w:tcPr>
          <w:p>
            <w:pPr>
              <w:jc w:val="right"/>
              <w:ind w:right="244"/>
              <w:spacing w:after="0"/>
              <w:rPr>
                <w:sz w:val="20"/>
                <w:szCs w:val="20"/>
                <w:color w:val="auto"/>
              </w:rPr>
            </w:pPr>
            <w:r>
              <w:rPr>
                <w:rFonts w:ascii="Times New Roman" w:cs="Times New Roman" w:eastAsia="Times New Roman" w:hAnsi="Times New Roman"/>
                <w:sz w:val="15"/>
                <w:szCs w:val="15"/>
                <w:color w:val="231F20"/>
              </w:rPr>
              <w:t>8.26%</w:t>
            </w:r>
          </w:p>
        </w:tc>
        <w:tc>
          <w:tcPr>
            <w:tcW w:w="900" w:type="dxa"/>
            <w:vAlign w:val="bottom"/>
            <w:shd w:val="clear" w:color="auto" w:fill="FDFDFC"/>
          </w:tcPr>
          <w:p>
            <w:pPr>
              <w:spacing w:after="0"/>
              <w:rPr>
                <w:sz w:val="16"/>
                <w:szCs w:val="16"/>
                <w:color w:val="auto"/>
              </w:rPr>
            </w:pPr>
          </w:p>
        </w:tc>
        <w:tc>
          <w:tcPr>
            <w:tcW w:w="1000" w:type="dxa"/>
            <w:vAlign w:val="bottom"/>
            <w:shd w:val="clear" w:color="auto" w:fill="FDFDFC"/>
          </w:tcPr>
          <w:p>
            <w:pPr>
              <w:spacing w:after="0"/>
              <w:rPr>
                <w:sz w:val="16"/>
                <w:szCs w:val="16"/>
                <w:color w:val="auto"/>
              </w:rPr>
            </w:pPr>
          </w:p>
        </w:tc>
        <w:tc>
          <w:tcPr>
            <w:tcW w:w="180" w:type="dxa"/>
            <w:vAlign w:val="bottom"/>
            <w:shd w:val="clear" w:color="auto" w:fill="FDFDFC"/>
          </w:tcPr>
          <w:p>
            <w:pPr>
              <w:spacing w:after="0"/>
              <w:rPr>
                <w:sz w:val="16"/>
                <w:szCs w:val="16"/>
                <w:color w:val="auto"/>
              </w:rPr>
            </w:pPr>
          </w:p>
        </w:tc>
        <w:tc>
          <w:tcPr>
            <w:tcW w:w="960" w:type="dxa"/>
            <w:vAlign w:val="bottom"/>
            <w:shd w:val="clear" w:color="auto" w:fill="FDFDFC"/>
          </w:tcPr>
          <w:p>
            <w:pPr>
              <w:spacing w:after="0"/>
              <w:rPr>
                <w:sz w:val="16"/>
                <w:szCs w:val="16"/>
                <w:color w:val="auto"/>
              </w:rPr>
            </w:pPr>
          </w:p>
        </w:tc>
        <w:tc>
          <w:tcPr>
            <w:tcW w:w="200" w:type="dxa"/>
            <w:vAlign w:val="bottom"/>
            <w:shd w:val="clear" w:color="auto" w:fill="FDFDFC"/>
          </w:tcPr>
          <w:p>
            <w:pPr>
              <w:spacing w:after="0"/>
              <w:rPr>
                <w:sz w:val="16"/>
                <w:szCs w:val="16"/>
                <w:color w:val="auto"/>
              </w:rPr>
            </w:pPr>
          </w:p>
        </w:tc>
        <w:tc>
          <w:tcPr>
            <w:tcW w:w="900" w:type="dxa"/>
            <w:vAlign w:val="bottom"/>
            <w:shd w:val="clear" w:color="auto" w:fill="FDFDFC"/>
          </w:tcPr>
          <w:p>
            <w:pPr>
              <w:spacing w:after="0"/>
              <w:rPr>
                <w:sz w:val="16"/>
                <w:szCs w:val="16"/>
                <w:color w:val="auto"/>
              </w:rPr>
            </w:pPr>
          </w:p>
        </w:tc>
        <w:tc>
          <w:tcPr>
            <w:tcW w:w="240" w:type="dxa"/>
            <w:vAlign w:val="bottom"/>
            <w:shd w:val="clear" w:color="auto" w:fill="FDFDFC"/>
          </w:tcPr>
          <w:p>
            <w:pPr>
              <w:spacing w:after="0"/>
              <w:rPr>
                <w:sz w:val="16"/>
                <w:szCs w:val="16"/>
                <w:color w:val="auto"/>
              </w:rPr>
            </w:pPr>
          </w:p>
        </w:tc>
      </w:tr>
      <w:tr>
        <w:trPr>
          <w:trHeight w:val="158"/>
        </w:trPr>
        <w:tc>
          <w:tcPr>
            <w:tcW w:w="1460" w:type="dxa"/>
            <w:vAlign w:val="bottom"/>
            <w:shd w:val="clear" w:color="auto" w:fill="D0EBF2"/>
          </w:tcPr>
          <w:p>
            <w:pPr>
              <w:spacing w:after="0" w:line="159" w:lineRule="exact"/>
              <w:rPr>
                <w:sz w:val="20"/>
                <w:szCs w:val="20"/>
                <w:color w:val="auto"/>
              </w:rPr>
            </w:pPr>
            <w:r>
              <w:rPr>
                <w:rFonts w:ascii="Times New Roman" w:cs="Times New Roman" w:eastAsia="Times New Roman" w:hAnsi="Times New Roman"/>
                <w:sz w:val="15"/>
                <w:szCs w:val="15"/>
                <w:color w:val="231F20"/>
              </w:rPr>
              <w:t>Madison Park CLO,</w:t>
            </w:r>
          </w:p>
        </w:tc>
        <w:tc>
          <w:tcPr>
            <w:tcW w:w="2340" w:type="dxa"/>
            <w:vAlign w:val="bottom"/>
            <w:shd w:val="clear" w:color="auto" w:fill="D0EBF2"/>
          </w:tcPr>
          <w:p>
            <w:pPr>
              <w:ind w:left="60"/>
              <w:spacing w:after="0" w:line="159" w:lineRule="exact"/>
              <w:rPr>
                <w:sz w:val="20"/>
                <w:szCs w:val="20"/>
                <w:color w:val="auto"/>
              </w:rPr>
            </w:pPr>
            <w:r>
              <w:rPr>
                <w:rFonts w:ascii="Times New Roman" w:cs="Times New Roman" w:eastAsia="Times New Roman" w:hAnsi="Times New Roman"/>
                <w:sz w:val="15"/>
                <w:szCs w:val="15"/>
                <w:color w:val="231F20"/>
              </w:rPr>
              <w:t>Structured Credit ($1,000 par, due</w:t>
            </w:r>
          </w:p>
        </w:tc>
        <w:tc>
          <w:tcPr>
            <w:tcW w:w="900" w:type="dxa"/>
            <w:vAlign w:val="bottom"/>
            <w:shd w:val="clear" w:color="auto" w:fill="D0EBF2"/>
          </w:tcPr>
          <w:p>
            <w:pPr>
              <w:jc w:val="right"/>
              <w:spacing w:after="0" w:line="159" w:lineRule="exact"/>
              <w:rPr>
                <w:sz w:val="20"/>
                <w:szCs w:val="20"/>
                <w:color w:val="auto"/>
              </w:rPr>
            </w:pPr>
            <w:r>
              <w:rPr>
                <w:rFonts w:ascii="Times New Roman" w:cs="Times New Roman" w:eastAsia="Times New Roman" w:hAnsi="Times New Roman"/>
                <w:sz w:val="15"/>
                <w:szCs w:val="15"/>
                <w:color w:val="231F20"/>
              </w:rPr>
              <w:t>6/28/2022</w:t>
            </w:r>
          </w:p>
        </w:tc>
        <w:tc>
          <w:tcPr>
            <w:tcW w:w="1200" w:type="dxa"/>
            <w:vAlign w:val="bottom"/>
            <w:shd w:val="clear" w:color="auto" w:fill="D0EBF2"/>
          </w:tcPr>
          <w:p>
            <w:pPr>
              <w:jc w:val="right"/>
              <w:ind w:right="244"/>
              <w:spacing w:after="0" w:line="159" w:lineRule="exact"/>
              <w:rPr>
                <w:sz w:val="20"/>
                <w:szCs w:val="20"/>
                <w:color w:val="auto"/>
              </w:rPr>
            </w:pPr>
            <w:r>
              <w:rPr>
                <w:rFonts w:ascii="Times New Roman" w:cs="Times New Roman" w:eastAsia="Times New Roman" w:hAnsi="Times New Roman"/>
                <w:sz w:val="15"/>
                <w:szCs w:val="15"/>
                <w:color w:val="231F20"/>
              </w:rPr>
              <w:t>SOFR +</w:t>
            </w:r>
          </w:p>
        </w:tc>
        <w:tc>
          <w:tcPr>
            <w:tcW w:w="900" w:type="dxa"/>
            <w:vAlign w:val="bottom"/>
            <w:shd w:val="clear" w:color="auto" w:fill="D0EBF2"/>
          </w:tcPr>
          <w:p>
            <w:pPr>
              <w:jc w:val="right"/>
              <w:ind w:right="24"/>
              <w:spacing w:after="0" w:line="159" w:lineRule="exact"/>
              <w:rPr>
                <w:sz w:val="20"/>
                <w:szCs w:val="20"/>
                <w:color w:val="auto"/>
              </w:rPr>
            </w:pPr>
            <w:r>
              <w:rPr>
                <w:rFonts w:ascii="Times New Roman" w:cs="Times New Roman" w:eastAsia="Times New Roman" w:hAnsi="Times New Roman"/>
                <w:sz w:val="15"/>
                <w:szCs w:val="15"/>
                <w:color w:val="231F20"/>
              </w:rPr>
              <w:t>10.91%</w:t>
            </w:r>
          </w:p>
        </w:tc>
        <w:tc>
          <w:tcPr>
            <w:tcW w:w="1000" w:type="dxa"/>
            <w:vAlign w:val="bottom"/>
            <w:shd w:val="clear" w:color="auto" w:fill="D0EBF2"/>
          </w:tcPr>
          <w:p>
            <w:pPr>
              <w:jc w:val="right"/>
              <w:spacing w:after="0" w:line="159" w:lineRule="exact"/>
              <w:rPr>
                <w:sz w:val="20"/>
                <w:szCs w:val="20"/>
                <w:color w:val="auto"/>
              </w:rPr>
            </w:pPr>
            <w:r>
              <w:rPr>
                <w:rFonts w:ascii="Times New Roman" w:cs="Times New Roman" w:eastAsia="Times New Roman" w:hAnsi="Times New Roman"/>
                <w:sz w:val="15"/>
                <w:szCs w:val="15"/>
                <w:color w:val="231F20"/>
              </w:rPr>
              <w:t>911</w:t>
            </w:r>
          </w:p>
        </w:tc>
        <w:tc>
          <w:tcPr>
            <w:tcW w:w="1140" w:type="dxa"/>
            <w:vAlign w:val="bottom"/>
            <w:gridSpan w:val="2"/>
            <w:shd w:val="clear" w:color="auto" w:fill="D0EBF2"/>
          </w:tcPr>
          <w:p>
            <w:pPr>
              <w:jc w:val="right"/>
              <w:spacing w:after="0" w:line="159" w:lineRule="exact"/>
              <w:rPr>
                <w:sz w:val="20"/>
                <w:szCs w:val="20"/>
                <w:color w:val="auto"/>
              </w:rPr>
            </w:pPr>
            <w:r>
              <w:rPr>
                <w:rFonts w:ascii="Times New Roman" w:cs="Times New Roman" w:eastAsia="Times New Roman" w:hAnsi="Times New Roman"/>
                <w:sz w:val="15"/>
                <w:szCs w:val="15"/>
                <w:color w:val="231F20"/>
              </w:rPr>
              <w:t>963</w:t>
            </w:r>
          </w:p>
        </w:tc>
        <w:tc>
          <w:tcPr>
            <w:tcW w:w="1340" w:type="dxa"/>
            <w:vAlign w:val="bottom"/>
            <w:gridSpan w:val="3"/>
            <w:shd w:val="clear" w:color="auto" w:fill="D0EBF2"/>
          </w:tcPr>
          <w:p>
            <w:pPr>
              <w:jc w:val="right"/>
              <w:ind w:right="120"/>
              <w:spacing w:after="0" w:line="159" w:lineRule="exact"/>
              <w:rPr>
                <w:sz w:val="20"/>
                <w:szCs w:val="20"/>
                <w:color w:val="auto"/>
              </w:rPr>
            </w:pPr>
            <w:r>
              <w:rPr>
                <w:rFonts w:ascii="Times New Roman" w:cs="Times New Roman" w:eastAsia="Times New Roman" w:hAnsi="Times New Roman"/>
                <w:sz w:val="15"/>
                <w:szCs w:val="15"/>
                <w:color w:val="231F20"/>
              </w:rPr>
              <w:t>0.0%</w:t>
            </w:r>
          </w:p>
        </w:tc>
      </w:tr>
      <w:tr>
        <w:trPr>
          <w:trHeight w:val="189"/>
        </w:trPr>
        <w:tc>
          <w:tcPr>
            <w:tcW w:w="1460" w:type="dxa"/>
            <w:vAlign w:val="bottom"/>
            <w:shd w:val="clear" w:color="auto" w:fill="D0EBF2"/>
          </w:tcPr>
          <w:p>
            <w:pPr>
              <w:spacing w:after="0"/>
              <w:rPr>
                <w:sz w:val="20"/>
                <w:szCs w:val="20"/>
                <w:color w:val="auto"/>
              </w:rPr>
            </w:pPr>
            <w:r>
              <w:rPr>
                <w:rFonts w:ascii="Times New Roman" w:cs="Times New Roman" w:eastAsia="Times New Roman" w:hAnsi="Times New Roman"/>
                <w:sz w:val="15"/>
                <w:szCs w:val="15"/>
                <w:color w:val="231F20"/>
              </w:rPr>
              <w:t xml:space="preserve">Series 2018-28A </w:t>
            </w:r>
            <w:r>
              <w:rPr>
                <w:rFonts w:ascii="Times New Roman" w:cs="Times New Roman" w:eastAsia="Times New Roman" w:hAnsi="Times New Roman"/>
                <w:sz w:val="9"/>
                <w:szCs w:val="9"/>
                <w:color w:val="231F20"/>
              </w:rPr>
              <w:t>(3)(4)(9)</w:t>
            </w:r>
          </w:p>
        </w:tc>
        <w:tc>
          <w:tcPr>
            <w:tcW w:w="2340" w:type="dxa"/>
            <w:vAlign w:val="bottom"/>
            <w:shd w:val="clear" w:color="auto" w:fill="D0EBF2"/>
          </w:tcPr>
          <w:p>
            <w:pPr>
              <w:ind w:left="60"/>
              <w:spacing w:after="0"/>
              <w:rPr>
                <w:sz w:val="20"/>
                <w:szCs w:val="20"/>
                <w:color w:val="auto"/>
              </w:rPr>
            </w:pPr>
            <w:r>
              <w:rPr>
                <w:rFonts w:ascii="Times New Roman" w:cs="Times New Roman" w:eastAsia="Times New Roman" w:hAnsi="Times New Roman"/>
                <w:sz w:val="15"/>
                <w:szCs w:val="15"/>
                <w:color w:val="231F20"/>
              </w:rPr>
              <w:t>7/2030)</w:t>
            </w:r>
          </w:p>
        </w:tc>
        <w:tc>
          <w:tcPr>
            <w:tcW w:w="900" w:type="dxa"/>
            <w:vAlign w:val="bottom"/>
            <w:shd w:val="clear" w:color="auto" w:fill="D0EBF2"/>
          </w:tcPr>
          <w:p>
            <w:pPr>
              <w:spacing w:after="0"/>
              <w:rPr>
                <w:sz w:val="16"/>
                <w:szCs w:val="16"/>
                <w:color w:val="auto"/>
              </w:rPr>
            </w:pPr>
          </w:p>
        </w:tc>
        <w:tc>
          <w:tcPr>
            <w:tcW w:w="1200" w:type="dxa"/>
            <w:vAlign w:val="bottom"/>
            <w:shd w:val="clear" w:color="auto" w:fill="D0EBF2"/>
          </w:tcPr>
          <w:p>
            <w:pPr>
              <w:jc w:val="right"/>
              <w:ind w:right="244"/>
              <w:spacing w:after="0"/>
              <w:rPr>
                <w:sz w:val="20"/>
                <w:szCs w:val="20"/>
                <w:color w:val="auto"/>
              </w:rPr>
            </w:pPr>
            <w:r>
              <w:rPr>
                <w:rFonts w:ascii="Times New Roman" w:cs="Times New Roman" w:eastAsia="Times New Roman" w:hAnsi="Times New Roman"/>
                <w:sz w:val="15"/>
                <w:szCs w:val="15"/>
                <w:color w:val="231F20"/>
              </w:rPr>
              <w:t>5.51%</w:t>
            </w:r>
          </w:p>
        </w:tc>
        <w:tc>
          <w:tcPr>
            <w:tcW w:w="900" w:type="dxa"/>
            <w:vAlign w:val="bottom"/>
            <w:shd w:val="clear" w:color="auto" w:fill="D0EBF2"/>
          </w:tcPr>
          <w:p>
            <w:pPr>
              <w:spacing w:after="0"/>
              <w:rPr>
                <w:sz w:val="16"/>
                <w:szCs w:val="16"/>
                <w:color w:val="auto"/>
              </w:rPr>
            </w:pPr>
          </w:p>
        </w:tc>
        <w:tc>
          <w:tcPr>
            <w:tcW w:w="1000" w:type="dxa"/>
            <w:vAlign w:val="bottom"/>
            <w:shd w:val="clear" w:color="auto" w:fill="D0EBF2"/>
          </w:tcPr>
          <w:p>
            <w:pPr>
              <w:spacing w:after="0"/>
              <w:rPr>
                <w:sz w:val="16"/>
                <w:szCs w:val="16"/>
                <w:color w:val="auto"/>
              </w:rPr>
            </w:pPr>
          </w:p>
        </w:tc>
        <w:tc>
          <w:tcPr>
            <w:tcW w:w="180" w:type="dxa"/>
            <w:vAlign w:val="bottom"/>
            <w:shd w:val="clear" w:color="auto" w:fill="D0EBF2"/>
          </w:tcPr>
          <w:p>
            <w:pPr>
              <w:spacing w:after="0"/>
              <w:rPr>
                <w:sz w:val="16"/>
                <w:szCs w:val="16"/>
                <w:color w:val="auto"/>
              </w:rPr>
            </w:pPr>
          </w:p>
        </w:tc>
        <w:tc>
          <w:tcPr>
            <w:tcW w:w="960" w:type="dxa"/>
            <w:vAlign w:val="bottom"/>
            <w:shd w:val="clear" w:color="auto" w:fill="D0EBF2"/>
          </w:tcPr>
          <w:p>
            <w:pPr>
              <w:spacing w:after="0"/>
              <w:rPr>
                <w:sz w:val="16"/>
                <w:szCs w:val="16"/>
                <w:color w:val="auto"/>
              </w:rPr>
            </w:pPr>
          </w:p>
        </w:tc>
        <w:tc>
          <w:tcPr>
            <w:tcW w:w="200" w:type="dxa"/>
            <w:vAlign w:val="bottom"/>
            <w:shd w:val="clear" w:color="auto" w:fill="D0EBF2"/>
          </w:tcPr>
          <w:p>
            <w:pPr>
              <w:spacing w:after="0"/>
              <w:rPr>
                <w:sz w:val="16"/>
                <w:szCs w:val="16"/>
                <w:color w:val="auto"/>
              </w:rPr>
            </w:pPr>
          </w:p>
        </w:tc>
        <w:tc>
          <w:tcPr>
            <w:tcW w:w="900" w:type="dxa"/>
            <w:vAlign w:val="bottom"/>
            <w:shd w:val="clear" w:color="auto" w:fill="D0EBF2"/>
          </w:tcPr>
          <w:p>
            <w:pPr>
              <w:spacing w:after="0"/>
              <w:rPr>
                <w:sz w:val="16"/>
                <w:szCs w:val="16"/>
                <w:color w:val="auto"/>
              </w:rPr>
            </w:pPr>
          </w:p>
        </w:tc>
        <w:tc>
          <w:tcPr>
            <w:tcW w:w="240" w:type="dxa"/>
            <w:vAlign w:val="bottom"/>
            <w:shd w:val="clear" w:color="auto" w:fill="D0EBF2"/>
          </w:tcPr>
          <w:p>
            <w:pPr>
              <w:spacing w:after="0"/>
              <w:rPr>
                <w:sz w:val="16"/>
                <w:szCs w:val="16"/>
                <w:color w:val="auto"/>
              </w:rPr>
            </w:pPr>
          </w:p>
        </w:tc>
      </w:tr>
      <w:tr>
        <w:trPr>
          <w:trHeight w:val="158"/>
        </w:trPr>
        <w:tc>
          <w:tcPr>
            <w:tcW w:w="1460" w:type="dxa"/>
            <w:vAlign w:val="bottom"/>
            <w:shd w:val="clear" w:color="auto" w:fill="FDFDFC"/>
          </w:tcPr>
          <w:p>
            <w:pPr>
              <w:spacing w:after="0" w:line="159" w:lineRule="exact"/>
              <w:rPr>
                <w:sz w:val="20"/>
                <w:szCs w:val="20"/>
                <w:color w:val="auto"/>
              </w:rPr>
            </w:pPr>
            <w:r>
              <w:rPr>
                <w:rFonts w:ascii="Times New Roman" w:cs="Times New Roman" w:eastAsia="Times New Roman" w:hAnsi="Times New Roman"/>
                <w:sz w:val="15"/>
                <w:szCs w:val="15"/>
                <w:color w:val="231F20"/>
              </w:rPr>
              <w:t>Magnetite CLO Ltd,</w:t>
            </w:r>
          </w:p>
        </w:tc>
        <w:tc>
          <w:tcPr>
            <w:tcW w:w="2340" w:type="dxa"/>
            <w:vAlign w:val="bottom"/>
            <w:shd w:val="clear" w:color="auto" w:fill="FDFDFC"/>
          </w:tcPr>
          <w:p>
            <w:pPr>
              <w:ind w:left="60"/>
              <w:spacing w:after="0" w:line="159" w:lineRule="exact"/>
              <w:rPr>
                <w:sz w:val="20"/>
                <w:szCs w:val="20"/>
                <w:color w:val="auto"/>
              </w:rPr>
            </w:pPr>
            <w:r>
              <w:rPr>
                <w:rFonts w:ascii="Times New Roman" w:cs="Times New Roman" w:eastAsia="Times New Roman" w:hAnsi="Times New Roman"/>
                <w:sz w:val="15"/>
                <w:szCs w:val="15"/>
                <w:color w:val="231F20"/>
              </w:rPr>
              <w:t>Structured Credit ($1,000 par, due</w:t>
            </w:r>
          </w:p>
        </w:tc>
        <w:tc>
          <w:tcPr>
            <w:tcW w:w="900" w:type="dxa"/>
            <w:vAlign w:val="bottom"/>
            <w:shd w:val="clear" w:color="auto" w:fill="FDFDFC"/>
          </w:tcPr>
          <w:p>
            <w:pPr>
              <w:jc w:val="right"/>
              <w:spacing w:after="0" w:line="159" w:lineRule="exact"/>
              <w:rPr>
                <w:sz w:val="20"/>
                <w:szCs w:val="20"/>
                <w:color w:val="auto"/>
              </w:rPr>
            </w:pPr>
            <w:r>
              <w:rPr>
                <w:rFonts w:ascii="Times New Roman" w:cs="Times New Roman" w:eastAsia="Times New Roman" w:hAnsi="Times New Roman"/>
                <w:sz w:val="15"/>
                <w:szCs w:val="15"/>
                <w:color w:val="231F20"/>
              </w:rPr>
              <w:t>6/13/2022</w:t>
            </w:r>
          </w:p>
        </w:tc>
        <w:tc>
          <w:tcPr>
            <w:tcW w:w="1200" w:type="dxa"/>
            <w:vAlign w:val="bottom"/>
            <w:shd w:val="clear" w:color="auto" w:fill="FDFDFC"/>
          </w:tcPr>
          <w:p>
            <w:pPr>
              <w:jc w:val="right"/>
              <w:ind w:right="244"/>
              <w:spacing w:after="0" w:line="159" w:lineRule="exact"/>
              <w:rPr>
                <w:sz w:val="20"/>
                <w:szCs w:val="20"/>
                <w:color w:val="auto"/>
              </w:rPr>
            </w:pPr>
            <w:r>
              <w:rPr>
                <w:rFonts w:ascii="Times New Roman" w:cs="Times New Roman" w:eastAsia="Times New Roman" w:hAnsi="Times New Roman"/>
                <w:sz w:val="15"/>
                <w:szCs w:val="15"/>
                <w:color w:val="231F20"/>
              </w:rPr>
              <w:t>SOFR +</w:t>
            </w:r>
          </w:p>
        </w:tc>
        <w:tc>
          <w:tcPr>
            <w:tcW w:w="900" w:type="dxa"/>
            <w:vAlign w:val="bottom"/>
            <w:shd w:val="clear" w:color="auto" w:fill="FDFDFC"/>
          </w:tcPr>
          <w:p>
            <w:pPr>
              <w:jc w:val="right"/>
              <w:ind w:right="24"/>
              <w:spacing w:after="0" w:line="159" w:lineRule="exact"/>
              <w:rPr>
                <w:sz w:val="20"/>
                <w:szCs w:val="20"/>
                <w:color w:val="auto"/>
              </w:rPr>
            </w:pPr>
            <w:r>
              <w:rPr>
                <w:rFonts w:ascii="Times New Roman" w:cs="Times New Roman" w:eastAsia="Times New Roman" w:hAnsi="Times New Roman"/>
                <w:sz w:val="15"/>
                <w:szCs w:val="15"/>
                <w:color w:val="231F20"/>
              </w:rPr>
              <w:t>11.84%</w:t>
            </w:r>
          </w:p>
        </w:tc>
        <w:tc>
          <w:tcPr>
            <w:tcW w:w="1000" w:type="dxa"/>
            <w:vAlign w:val="bottom"/>
            <w:shd w:val="clear" w:color="auto" w:fill="FDFDFC"/>
          </w:tcPr>
          <w:p>
            <w:pPr>
              <w:jc w:val="right"/>
              <w:spacing w:after="0" w:line="159" w:lineRule="exact"/>
              <w:rPr>
                <w:sz w:val="20"/>
                <w:szCs w:val="20"/>
                <w:color w:val="auto"/>
              </w:rPr>
            </w:pPr>
            <w:r>
              <w:rPr>
                <w:rFonts w:ascii="Times New Roman" w:cs="Times New Roman" w:eastAsia="Times New Roman" w:hAnsi="Times New Roman"/>
                <w:sz w:val="15"/>
                <w:szCs w:val="15"/>
                <w:color w:val="231F20"/>
              </w:rPr>
              <w:t>920</w:t>
            </w:r>
          </w:p>
        </w:tc>
        <w:tc>
          <w:tcPr>
            <w:tcW w:w="1140" w:type="dxa"/>
            <w:vAlign w:val="bottom"/>
            <w:gridSpan w:val="2"/>
            <w:shd w:val="clear" w:color="auto" w:fill="FDFDFC"/>
          </w:tcPr>
          <w:p>
            <w:pPr>
              <w:jc w:val="right"/>
              <w:spacing w:after="0" w:line="159" w:lineRule="exact"/>
              <w:rPr>
                <w:sz w:val="20"/>
                <w:szCs w:val="20"/>
                <w:color w:val="auto"/>
              </w:rPr>
            </w:pPr>
            <w:r>
              <w:rPr>
                <w:rFonts w:ascii="Times New Roman" w:cs="Times New Roman" w:eastAsia="Times New Roman" w:hAnsi="Times New Roman"/>
                <w:sz w:val="15"/>
                <w:szCs w:val="15"/>
                <w:color w:val="231F20"/>
              </w:rPr>
              <w:t>988</w:t>
            </w:r>
          </w:p>
        </w:tc>
        <w:tc>
          <w:tcPr>
            <w:tcW w:w="1340" w:type="dxa"/>
            <w:vAlign w:val="bottom"/>
            <w:gridSpan w:val="3"/>
            <w:shd w:val="clear" w:color="auto" w:fill="FDFDFC"/>
          </w:tcPr>
          <w:p>
            <w:pPr>
              <w:jc w:val="right"/>
              <w:ind w:right="120"/>
              <w:spacing w:after="0" w:line="159" w:lineRule="exact"/>
              <w:rPr>
                <w:sz w:val="20"/>
                <w:szCs w:val="20"/>
                <w:color w:val="auto"/>
              </w:rPr>
            </w:pPr>
            <w:r>
              <w:rPr>
                <w:rFonts w:ascii="Times New Roman" w:cs="Times New Roman" w:eastAsia="Times New Roman" w:hAnsi="Times New Roman"/>
                <w:sz w:val="15"/>
                <w:szCs w:val="15"/>
                <w:color w:val="231F20"/>
              </w:rPr>
              <w:t>0.1%</w:t>
            </w:r>
          </w:p>
        </w:tc>
      </w:tr>
      <w:tr>
        <w:trPr>
          <w:trHeight w:val="189"/>
        </w:trPr>
        <w:tc>
          <w:tcPr>
            <w:tcW w:w="1460" w:type="dxa"/>
            <w:vAlign w:val="bottom"/>
            <w:shd w:val="clear" w:color="auto" w:fill="FDFDFC"/>
          </w:tcPr>
          <w:p>
            <w:pPr>
              <w:spacing w:after="0"/>
              <w:rPr>
                <w:sz w:val="20"/>
                <w:szCs w:val="20"/>
                <w:color w:val="auto"/>
              </w:rPr>
            </w:pPr>
            <w:r>
              <w:rPr>
                <w:rFonts w:ascii="Times New Roman" w:cs="Times New Roman" w:eastAsia="Times New Roman" w:hAnsi="Times New Roman"/>
                <w:sz w:val="15"/>
                <w:szCs w:val="15"/>
                <w:color w:val="231F20"/>
              </w:rPr>
              <w:t xml:space="preserve">Series 2021-30A </w:t>
            </w:r>
            <w:r>
              <w:rPr>
                <w:rFonts w:ascii="Times New Roman" w:cs="Times New Roman" w:eastAsia="Times New Roman" w:hAnsi="Times New Roman"/>
                <w:sz w:val="9"/>
                <w:szCs w:val="9"/>
                <w:color w:val="231F20"/>
              </w:rPr>
              <w:t>(3)(4)(9)</w:t>
            </w:r>
          </w:p>
        </w:tc>
        <w:tc>
          <w:tcPr>
            <w:tcW w:w="2340" w:type="dxa"/>
            <w:vAlign w:val="bottom"/>
            <w:shd w:val="clear" w:color="auto" w:fill="FDFDFC"/>
          </w:tcPr>
          <w:p>
            <w:pPr>
              <w:ind w:left="60"/>
              <w:spacing w:after="0"/>
              <w:rPr>
                <w:sz w:val="20"/>
                <w:szCs w:val="20"/>
                <w:color w:val="auto"/>
              </w:rPr>
            </w:pPr>
            <w:r>
              <w:rPr>
                <w:rFonts w:ascii="Times New Roman" w:cs="Times New Roman" w:eastAsia="Times New Roman" w:hAnsi="Times New Roman"/>
                <w:sz w:val="15"/>
                <w:szCs w:val="15"/>
                <w:color w:val="231F20"/>
              </w:rPr>
              <w:t>10/2034)</w:t>
            </w:r>
          </w:p>
        </w:tc>
        <w:tc>
          <w:tcPr>
            <w:tcW w:w="900" w:type="dxa"/>
            <w:vAlign w:val="bottom"/>
            <w:shd w:val="clear" w:color="auto" w:fill="FDFDFC"/>
          </w:tcPr>
          <w:p>
            <w:pPr>
              <w:spacing w:after="0"/>
              <w:rPr>
                <w:sz w:val="16"/>
                <w:szCs w:val="16"/>
                <w:color w:val="auto"/>
              </w:rPr>
            </w:pPr>
          </w:p>
        </w:tc>
        <w:tc>
          <w:tcPr>
            <w:tcW w:w="1200" w:type="dxa"/>
            <w:vAlign w:val="bottom"/>
            <w:shd w:val="clear" w:color="auto" w:fill="FDFDFC"/>
          </w:tcPr>
          <w:p>
            <w:pPr>
              <w:jc w:val="right"/>
              <w:ind w:right="244"/>
              <w:spacing w:after="0"/>
              <w:rPr>
                <w:sz w:val="20"/>
                <w:szCs w:val="20"/>
                <w:color w:val="auto"/>
              </w:rPr>
            </w:pPr>
            <w:r>
              <w:rPr>
                <w:rFonts w:ascii="Times New Roman" w:cs="Times New Roman" w:eastAsia="Times New Roman" w:hAnsi="Times New Roman"/>
                <w:sz w:val="15"/>
                <w:szCs w:val="15"/>
                <w:color w:val="231F20"/>
              </w:rPr>
              <w:t>6.46%</w:t>
            </w:r>
          </w:p>
        </w:tc>
        <w:tc>
          <w:tcPr>
            <w:tcW w:w="900" w:type="dxa"/>
            <w:vAlign w:val="bottom"/>
            <w:shd w:val="clear" w:color="auto" w:fill="FDFDFC"/>
          </w:tcPr>
          <w:p>
            <w:pPr>
              <w:spacing w:after="0"/>
              <w:rPr>
                <w:sz w:val="16"/>
                <w:szCs w:val="16"/>
                <w:color w:val="auto"/>
              </w:rPr>
            </w:pPr>
          </w:p>
        </w:tc>
        <w:tc>
          <w:tcPr>
            <w:tcW w:w="1000" w:type="dxa"/>
            <w:vAlign w:val="bottom"/>
            <w:shd w:val="clear" w:color="auto" w:fill="FDFDFC"/>
          </w:tcPr>
          <w:p>
            <w:pPr>
              <w:spacing w:after="0"/>
              <w:rPr>
                <w:sz w:val="16"/>
                <w:szCs w:val="16"/>
                <w:color w:val="auto"/>
              </w:rPr>
            </w:pPr>
          </w:p>
        </w:tc>
        <w:tc>
          <w:tcPr>
            <w:tcW w:w="180" w:type="dxa"/>
            <w:vAlign w:val="bottom"/>
            <w:shd w:val="clear" w:color="auto" w:fill="FDFDFC"/>
          </w:tcPr>
          <w:p>
            <w:pPr>
              <w:spacing w:after="0"/>
              <w:rPr>
                <w:sz w:val="16"/>
                <w:szCs w:val="16"/>
                <w:color w:val="auto"/>
              </w:rPr>
            </w:pPr>
          </w:p>
        </w:tc>
        <w:tc>
          <w:tcPr>
            <w:tcW w:w="960" w:type="dxa"/>
            <w:vAlign w:val="bottom"/>
            <w:shd w:val="clear" w:color="auto" w:fill="FDFDFC"/>
          </w:tcPr>
          <w:p>
            <w:pPr>
              <w:spacing w:after="0"/>
              <w:rPr>
                <w:sz w:val="16"/>
                <w:szCs w:val="16"/>
                <w:color w:val="auto"/>
              </w:rPr>
            </w:pPr>
          </w:p>
        </w:tc>
        <w:tc>
          <w:tcPr>
            <w:tcW w:w="200" w:type="dxa"/>
            <w:vAlign w:val="bottom"/>
            <w:shd w:val="clear" w:color="auto" w:fill="FDFDFC"/>
          </w:tcPr>
          <w:p>
            <w:pPr>
              <w:spacing w:after="0"/>
              <w:rPr>
                <w:sz w:val="16"/>
                <w:szCs w:val="16"/>
                <w:color w:val="auto"/>
              </w:rPr>
            </w:pPr>
          </w:p>
        </w:tc>
        <w:tc>
          <w:tcPr>
            <w:tcW w:w="900" w:type="dxa"/>
            <w:vAlign w:val="bottom"/>
            <w:shd w:val="clear" w:color="auto" w:fill="FDFDFC"/>
          </w:tcPr>
          <w:p>
            <w:pPr>
              <w:spacing w:after="0"/>
              <w:rPr>
                <w:sz w:val="16"/>
                <w:szCs w:val="16"/>
                <w:color w:val="auto"/>
              </w:rPr>
            </w:pPr>
          </w:p>
        </w:tc>
        <w:tc>
          <w:tcPr>
            <w:tcW w:w="240" w:type="dxa"/>
            <w:vAlign w:val="bottom"/>
            <w:shd w:val="clear" w:color="auto" w:fill="FDFDFC"/>
          </w:tcPr>
          <w:p>
            <w:pPr>
              <w:spacing w:after="0"/>
              <w:rPr>
                <w:sz w:val="16"/>
                <w:szCs w:val="16"/>
                <w:color w:val="auto"/>
              </w:rPr>
            </w:pPr>
          </w:p>
        </w:tc>
      </w:tr>
      <w:tr>
        <w:trPr>
          <w:trHeight w:val="158"/>
        </w:trPr>
        <w:tc>
          <w:tcPr>
            <w:tcW w:w="1460" w:type="dxa"/>
            <w:vAlign w:val="bottom"/>
            <w:shd w:val="clear" w:color="auto" w:fill="D0EBF2"/>
          </w:tcPr>
          <w:p>
            <w:pPr>
              <w:spacing w:after="0" w:line="159" w:lineRule="exact"/>
              <w:rPr>
                <w:sz w:val="20"/>
                <w:szCs w:val="20"/>
                <w:color w:val="auto"/>
              </w:rPr>
            </w:pPr>
            <w:r>
              <w:rPr>
                <w:rFonts w:ascii="Times New Roman" w:cs="Times New Roman" w:eastAsia="Times New Roman" w:hAnsi="Times New Roman"/>
                <w:sz w:val="15"/>
                <w:szCs w:val="15"/>
                <w:color w:val="231F20"/>
              </w:rPr>
              <w:t>MidOcean Credit CLO</w:t>
            </w:r>
          </w:p>
        </w:tc>
        <w:tc>
          <w:tcPr>
            <w:tcW w:w="2340" w:type="dxa"/>
            <w:vAlign w:val="bottom"/>
            <w:shd w:val="clear" w:color="auto" w:fill="D0EBF2"/>
          </w:tcPr>
          <w:p>
            <w:pPr>
              <w:ind w:left="60"/>
              <w:spacing w:after="0" w:line="159" w:lineRule="exact"/>
              <w:rPr>
                <w:sz w:val="20"/>
                <w:szCs w:val="20"/>
                <w:color w:val="auto"/>
              </w:rPr>
            </w:pPr>
            <w:r>
              <w:rPr>
                <w:rFonts w:ascii="Times New Roman" w:cs="Times New Roman" w:eastAsia="Times New Roman" w:hAnsi="Times New Roman"/>
                <w:sz w:val="15"/>
                <w:szCs w:val="15"/>
                <w:color w:val="231F20"/>
              </w:rPr>
              <w:t>Structured Credit ($3,500 par, due</w:t>
            </w:r>
          </w:p>
        </w:tc>
        <w:tc>
          <w:tcPr>
            <w:tcW w:w="900" w:type="dxa"/>
            <w:vAlign w:val="bottom"/>
            <w:shd w:val="clear" w:color="auto" w:fill="D0EBF2"/>
          </w:tcPr>
          <w:p>
            <w:pPr>
              <w:jc w:val="right"/>
              <w:spacing w:after="0" w:line="159" w:lineRule="exact"/>
              <w:rPr>
                <w:sz w:val="20"/>
                <w:szCs w:val="20"/>
                <w:color w:val="auto"/>
              </w:rPr>
            </w:pPr>
            <w:r>
              <w:rPr>
                <w:rFonts w:ascii="Times New Roman" w:cs="Times New Roman" w:eastAsia="Times New Roman" w:hAnsi="Times New Roman"/>
                <w:sz w:val="15"/>
                <w:szCs w:val="15"/>
                <w:color w:val="231F20"/>
              </w:rPr>
              <w:t>5/23/2022</w:t>
            </w:r>
          </w:p>
        </w:tc>
        <w:tc>
          <w:tcPr>
            <w:tcW w:w="1200" w:type="dxa"/>
            <w:vAlign w:val="bottom"/>
            <w:shd w:val="clear" w:color="auto" w:fill="D0EBF2"/>
          </w:tcPr>
          <w:p>
            <w:pPr>
              <w:jc w:val="right"/>
              <w:ind w:right="244"/>
              <w:spacing w:after="0" w:line="159" w:lineRule="exact"/>
              <w:rPr>
                <w:sz w:val="20"/>
                <w:szCs w:val="20"/>
                <w:color w:val="auto"/>
              </w:rPr>
            </w:pPr>
            <w:r>
              <w:rPr>
                <w:rFonts w:ascii="Times New Roman" w:cs="Times New Roman" w:eastAsia="Times New Roman" w:hAnsi="Times New Roman"/>
                <w:sz w:val="15"/>
                <w:szCs w:val="15"/>
                <w:color w:val="231F20"/>
              </w:rPr>
              <w:t>SOFR +</w:t>
            </w:r>
          </w:p>
        </w:tc>
        <w:tc>
          <w:tcPr>
            <w:tcW w:w="900" w:type="dxa"/>
            <w:vAlign w:val="bottom"/>
            <w:shd w:val="clear" w:color="auto" w:fill="D0EBF2"/>
          </w:tcPr>
          <w:p>
            <w:pPr>
              <w:jc w:val="right"/>
              <w:ind w:right="24"/>
              <w:spacing w:after="0" w:line="159" w:lineRule="exact"/>
              <w:rPr>
                <w:sz w:val="20"/>
                <w:szCs w:val="20"/>
                <w:color w:val="auto"/>
              </w:rPr>
            </w:pPr>
            <w:r>
              <w:rPr>
                <w:rFonts w:ascii="Times New Roman" w:cs="Times New Roman" w:eastAsia="Times New Roman" w:hAnsi="Times New Roman"/>
                <w:sz w:val="15"/>
                <w:szCs w:val="15"/>
                <w:color w:val="231F20"/>
              </w:rPr>
              <w:t>9.20%</w:t>
            </w:r>
          </w:p>
        </w:tc>
        <w:tc>
          <w:tcPr>
            <w:tcW w:w="1000" w:type="dxa"/>
            <w:vAlign w:val="bottom"/>
            <w:shd w:val="clear" w:color="auto" w:fill="D0EBF2"/>
          </w:tcPr>
          <w:p>
            <w:pPr>
              <w:jc w:val="right"/>
              <w:spacing w:after="0" w:line="159" w:lineRule="exact"/>
              <w:rPr>
                <w:sz w:val="20"/>
                <w:szCs w:val="20"/>
                <w:color w:val="auto"/>
              </w:rPr>
            </w:pPr>
            <w:r>
              <w:rPr>
                <w:rFonts w:ascii="Times New Roman" w:cs="Times New Roman" w:eastAsia="Times New Roman" w:hAnsi="Times New Roman"/>
                <w:sz w:val="15"/>
                <w:szCs w:val="15"/>
                <w:color w:val="231F20"/>
              </w:rPr>
              <w:t>3,170</w:t>
            </w:r>
          </w:p>
        </w:tc>
        <w:tc>
          <w:tcPr>
            <w:tcW w:w="1140" w:type="dxa"/>
            <w:vAlign w:val="bottom"/>
            <w:gridSpan w:val="2"/>
            <w:shd w:val="clear" w:color="auto" w:fill="D0EBF2"/>
          </w:tcPr>
          <w:p>
            <w:pPr>
              <w:jc w:val="right"/>
              <w:spacing w:after="0" w:line="159" w:lineRule="exact"/>
              <w:rPr>
                <w:sz w:val="20"/>
                <w:szCs w:val="20"/>
                <w:color w:val="auto"/>
              </w:rPr>
            </w:pPr>
            <w:r>
              <w:rPr>
                <w:rFonts w:ascii="Times New Roman" w:cs="Times New Roman" w:eastAsia="Times New Roman" w:hAnsi="Times New Roman"/>
                <w:sz w:val="15"/>
                <w:szCs w:val="15"/>
                <w:color w:val="231F20"/>
              </w:rPr>
              <w:t>3,274</w:t>
            </w:r>
          </w:p>
        </w:tc>
        <w:tc>
          <w:tcPr>
            <w:tcW w:w="1340" w:type="dxa"/>
            <w:vAlign w:val="bottom"/>
            <w:gridSpan w:val="3"/>
            <w:shd w:val="clear" w:color="auto" w:fill="D0EBF2"/>
          </w:tcPr>
          <w:p>
            <w:pPr>
              <w:jc w:val="right"/>
              <w:ind w:right="120"/>
              <w:spacing w:after="0" w:line="159" w:lineRule="exact"/>
              <w:rPr>
                <w:sz w:val="20"/>
                <w:szCs w:val="20"/>
                <w:color w:val="auto"/>
              </w:rPr>
            </w:pPr>
            <w:r>
              <w:rPr>
                <w:rFonts w:ascii="Times New Roman" w:cs="Times New Roman" w:eastAsia="Times New Roman" w:hAnsi="Times New Roman"/>
                <w:sz w:val="15"/>
                <w:szCs w:val="15"/>
                <w:color w:val="231F20"/>
              </w:rPr>
              <w:t>0.2%</w:t>
            </w:r>
          </w:p>
        </w:tc>
      </w:tr>
      <w:tr>
        <w:trPr>
          <w:trHeight w:val="186"/>
        </w:trPr>
        <w:tc>
          <w:tcPr>
            <w:tcW w:w="1460" w:type="dxa"/>
            <w:vAlign w:val="bottom"/>
            <w:shd w:val="clear" w:color="auto" w:fill="D0EBF2"/>
          </w:tcPr>
          <w:p>
            <w:pPr>
              <w:spacing w:after="0"/>
              <w:rPr>
                <w:sz w:val="20"/>
                <w:szCs w:val="20"/>
                <w:color w:val="auto"/>
              </w:rPr>
            </w:pPr>
            <w:r>
              <w:rPr>
                <w:rFonts w:ascii="Times New Roman" w:cs="Times New Roman" w:eastAsia="Times New Roman" w:hAnsi="Times New Roman"/>
                <w:sz w:val="15"/>
                <w:szCs w:val="15"/>
                <w:color w:val="231F20"/>
              </w:rPr>
              <w:t>Ltd, Series 2016-6A</w:t>
            </w:r>
          </w:p>
        </w:tc>
        <w:tc>
          <w:tcPr>
            <w:tcW w:w="2340" w:type="dxa"/>
            <w:vAlign w:val="bottom"/>
            <w:shd w:val="clear" w:color="auto" w:fill="D0EBF2"/>
          </w:tcPr>
          <w:p>
            <w:pPr>
              <w:ind w:left="60"/>
              <w:spacing w:after="0"/>
              <w:rPr>
                <w:sz w:val="20"/>
                <w:szCs w:val="20"/>
                <w:color w:val="auto"/>
              </w:rPr>
            </w:pPr>
            <w:r>
              <w:rPr>
                <w:rFonts w:ascii="Times New Roman" w:cs="Times New Roman" w:eastAsia="Times New Roman" w:hAnsi="Times New Roman"/>
                <w:sz w:val="15"/>
                <w:szCs w:val="15"/>
                <w:color w:val="231F20"/>
              </w:rPr>
              <w:t>4/2033)</w:t>
            </w:r>
          </w:p>
        </w:tc>
        <w:tc>
          <w:tcPr>
            <w:tcW w:w="900" w:type="dxa"/>
            <w:vAlign w:val="bottom"/>
            <w:shd w:val="clear" w:color="auto" w:fill="D0EBF2"/>
          </w:tcPr>
          <w:p>
            <w:pPr>
              <w:spacing w:after="0"/>
              <w:rPr>
                <w:sz w:val="16"/>
                <w:szCs w:val="16"/>
                <w:color w:val="auto"/>
              </w:rPr>
            </w:pPr>
          </w:p>
        </w:tc>
        <w:tc>
          <w:tcPr>
            <w:tcW w:w="1200" w:type="dxa"/>
            <w:vAlign w:val="bottom"/>
            <w:shd w:val="clear" w:color="auto" w:fill="D0EBF2"/>
          </w:tcPr>
          <w:p>
            <w:pPr>
              <w:jc w:val="right"/>
              <w:ind w:right="244"/>
              <w:spacing w:after="0"/>
              <w:rPr>
                <w:sz w:val="20"/>
                <w:szCs w:val="20"/>
                <w:color w:val="auto"/>
              </w:rPr>
            </w:pPr>
            <w:r>
              <w:rPr>
                <w:rFonts w:ascii="Times New Roman" w:cs="Times New Roman" w:eastAsia="Times New Roman" w:hAnsi="Times New Roman"/>
                <w:sz w:val="15"/>
                <w:szCs w:val="15"/>
                <w:color w:val="231F20"/>
              </w:rPr>
              <w:t>3.78%</w:t>
            </w:r>
          </w:p>
        </w:tc>
        <w:tc>
          <w:tcPr>
            <w:tcW w:w="900" w:type="dxa"/>
            <w:vAlign w:val="bottom"/>
            <w:shd w:val="clear" w:color="auto" w:fill="D0EBF2"/>
          </w:tcPr>
          <w:p>
            <w:pPr>
              <w:spacing w:after="0"/>
              <w:rPr>
                <w:sz w:val="16"/>
                <w:szCs w:val="16"/>
                <w:color w:val="auto"/>
              </w:rPr>
            </w:pPr>
          </w:p>
        </w:tc>
        <w:tc>
          <w:tcPr>
            <w:tcW w:w="1000" w:type="dxa"/>
            <w:vAlign w:val="bottom"/>
            <w:shd w:val="clear" w:color="auto" w:fill="D0EBF2"/>
          </w:tcPr>
          <w:p>
            <w:pPr>
              <w:spacing w:after="0"/>
              <w:rPr>
                <w:sz w:val="16"/>
                <w:szCs w:val="16"/>
                <w:color w:val="auto"/>
              </w:rPr>
            </w:pPr>
          </w:p>
        </w:tc>
        <w:tc>
          <w:tcPr>
            <w:tcW w:w="180" w:type="dxa"/>
            <w:vAlign w:val="bottom"/>
            <w:shd w:val="clear" w:color="auto" w:fill="D0EBF2"/>
          </w:tcPr>
          <w:p>
            <w:pPr>
              <w:spacing w:after="0"/>
              <w:rPr>
                <w:sz w:val="16"/>
                <w:szCs w:val="16"/>
                <w:color w:val="auto"/>
              </w:rPr>
            </w:pPr>
          </w:p>
        </w:tc>
        <w:tc>
          <w:tcPr>
            <w:tcW w:w="960" w:type="dxa"/>
            <w:vAlign w:val="bottom"/>
            <w:shd w:val="clear" w:color="auto" w:fill="D0EBF2"/>
          </w:tcPr>
          <w:p>
            <w:pPr>
              <w:spacing w:after="0"/>
              <w:rPr>
                <w:sz w:val="16"/>
                <w:szCs w:val="16"/>
                <w:color w:val="auto"/>
              </w:rPr>
            </w:pPr>
          </w:p>
        </w:tc>
        <w:tc>
          <w:tcPr>
            <w:tcW w:w="200" w:type="dxa"/>
            <w:vAlign w:val="bottom"/>
            <w:shd w:val="clear" w:color="auto" w:fill="D0EBF2"/>
          </w:tcPr>
          <w:p>
            <w:pPr>
              <w:spacing w:after="0"/>
              <w:rPr>
                <w:sz w:val="16"/>
                <w:szCs w:val="16"/>
                <w:color w:val="auto"/>
              </w:rPr>
            </w:pPr>
          </w:p>
        </w:tc>
        <w:tc>
          <w:tcPr>
            <w:tcW w:w="900" w:type="dxa"/>
            <w:vAlign w:val="bottom"/>
            <w:shd w:val="clear" w:color="auto" w:fill="D0EBF2"/>
          </w:tcPr>
          <w:p>
            <w:pPr>
              <w:spacing w:after="0"/>
              <w:rPr>
                <w:sz w:val="16"/>
                <w:szCs w:val="16"/>
                <w:color w:val="auto"/>
              </w:rPr>
            </w:pPr>
          </w:p>
        </w:tc>
        <w:tc>
          <w:tcPr>
            <w:tcW w:w="240" w:type="dxa"/>
            <w:vAlign w:val="bottom"/>
            <w:shd w:val="clear" w:color="auto" w:fill="D0EBF2"/>
          </w:tcPr>
          <w:p>
            <w:pPr>
              <w:spacing w:after="0"/>
              <w:rPr>
                <w:sz w:val="16"/>
                <w:szCs w:val="16"/>
                <w:color w:val="auto"/>
              </w:rPr>
            </w:pPr>
          </w:p>
        </w:tc>
      </w:tr>
      <w:tr>
        <w:trPr>
          <w:trHeight w:val="157"/>
        </w:trPr>
        <w:tc>
          <w:tcPr>
            <w:tcW w:w="1460" w:type="dxa"/>
            <w:vAlign w:val="bottom"/>
            <w:tcBorders>
              <w:bottom w:val="single" w:sz="8" w:color="D0EBF2"/>
            </w:tcBorders>
            <w:shd w:val="clear" w:color="auto" w:fill="D0EBF2"/>
          </w:tcPr>
          <w:p>
            <w:pPr>
              <w:spacing w:after="0"/>
              <w:rPr>
                <w:sz w:val="20"/>
                <w:szCs w:val="20"/>
                <w:color w:val="auto"/>
              </w:rPr>
            </w:pPr>
            <w:r>
              <w:rPr>
                <w:rFonts w:ascii="Times New Roman" w:cs="Times New Roman" w:eastAsia="Times New Roman" w:hAnsi="Times New Roman"/>
                <w:sz w:val="9"/>
                <w:szCs w:val="9"/>
                <w:color w:val="231F20"/>
              </w:rPr>
              <w:t>(3)(4)(9)</w:t>
            </w:r>
          </w:p>
        </w:tc>
        <w:tc>
          <w:tcPr>
            <w:tcW w:w="2340" w:type="dxa"/>
            <w:vAlign w:val="bottom"/>
            <w:tcBorders>
              <w:bottom w:val="single" w:sz="8" w:color="D0EBF2"/>
            </w:tcBorders>
            <w:shd w:val="clear" w:color="auto" w:fill="D0EBF2"/>
          </w:tcPr>
          <w:p>
            <w:pPr>
              <w:spacing w:after="0"/>
              <w:rPr>
                <w:sz w:val="13"/>
                <w:szCs w:val="13"/>
                <w:color w:val="auto"/>
              </w:rPr>
            </w:pPr>
          </w:p>
        </w:tc>
        <w:tc>
          <w:tcPr>
            <w:tcW w:w="900" w:type="dxa"/>
            <w:vAlign w:val="bottom"/>
            <w:tcBorders>
              <w:bottom w:val="single" w:sz="8" w:color="D0EBF2"/>
            </w:tcBorders>
            <w:shd w:val="clear" w:color="auto" w:fill="D0EBF2"/>
          </w:tcPr>
          <w:p>
            <w:pPr>
              <w:spacing w:after="0"/>
              <w:rPr>
                <w:sz w:val="13"/>
                <w:szCs w:val="13"/>
                <w:color w:val="auto"/>
              </w:rPr>
            </w:pPr>
          </w:p>
        </w:tc>
        <w:tc>
          <w:tcPr>
            <w:tcW w:w="1200" w:type="dxa"/>
            <w:vAlign w:val="bottom"/>
            <w:tcBorders>
              <w:bottom w:val="single" w:sz="8" w:color="D0EBF2"/>
            </w:tcBorders>
            <w:shd w:val="clear" w:color="auto" w:fill="D0EBF2"/>
          </w:tcPr>
          <w:p>
            <w:pPr>
              <w:spacing w:after="0"/>
              <w:rPr>
                <w:sz w:val="13"/>
                <w:szCs w:val="13"/>
                <w:color w:val="auto"/>
              </w:rPr>
            </w:pPr>
          </w:p>
        </w:tc>
        <w:tc>
          <w:tcPr>
            <w:tcW w:w="900" w:type="dxa"/>
            <w:vAlign w:val="bottom"/>
            <w:tcBorders>
              <w:bottom w:val="single" w:sz="8" w:color="D0EBF2"/>
            </w:tcBorders>
            <w:shd w:val="clear" w:color="auto" w:fill="D0EBF2"/>
          </w:tcPr>
          <w:p>
            <w:pPr>
              <w:spacing w:after="0"/>
              <w:rPr>
                <w:sz w:val="13"/>
                <w:szCs w:val="13"/>
                <w:color w:val="auto"/>
              </w:rPr>
            </w:pPr>
          </w:p>
        </w:tc>
        <w:tc>
          <w:tcPr>
            <w:tcW w:w="1000" w:type="dxa"/>
            <w:vAlign w:val="bottom"/>
            <w:tcBorders>
              <w:bottom w:val="single" w:sz="8" w:color="D0EBF2"/>
            </w:tcBorders>
            <w:shd w:val="clear" w:color="auto" w:fill="D0EBF2"/>
          </w:tcPr>
          <w:p>
            <w:pPr>
              <w:spacing w:after="0"/>
              <w:rPr>
                <w:sz w:val="13"/>
                <w:szCs w:val="13"/>
                <w:color w:val="auto"/>
              </w:rPr>
            </w:pPr>
          </w:p>
        </w:tc>
        <w:tc>
          <w:tcPr>
            <w:tcW w:w="180" w:type="dxa"/>
            <w:vAlign w:val="bottom"/>
            <w:tcBorders>
              <w:bottom w:val="single" w:sz="8" w:color="D0EBF2"/>
            </w:tcBorders>
            <w:shd w:val="clear" w:color="auto" w:fill="D0EBF2"/>
          </w:tcPr>
          <w:p>
            <w:pPr>
              <w:spacing w:after="0"/>
              <w:rPr>
                <w:sz w:val="13"/>
                <w:szCs w:val="13"/>
                <w:color w:val="auto"/>
              </w:rPr>
            </w:pPr>
          </w:p>
        </w:tc>
        <w:tc>
          <w:tcPr>
            <w:tcW w:w="960" w:type="dxa"/>
            <w:vAlign w:val="bottom"/>
            <w:tcBorders>
              <w:bottom w:val="single" w:sz="8" w:color="D0EBF2"/>
            </w:tcBorders>
            <w:shd w:val="clear" w:color="auto" w:fill="D0EBF2"/>
          </w:tcPr>
          <w:p>
            <w:pPr>
              <w:spacing w:after="0"/>
              <w:rPr>
                <w:sz w:val="13"/>
                <w:szCs w:val="13"/>
                <w:color w:val="auto"/>
              </w:rPr>
            </w:pPr>
          </w:p>
        </w:tc>
        <w:tc>
          <w:tcPr>
            <w:tcW w:w="200" w:type="dxa"/>
            <w:vAlign w:val="bottom"/>
            <w:tcBorders>
              <w:bottom w:val="single" w:sz="8" w:color="D0EBF2"/>
            </w:tcBorders>
            <w:shd w:val="clear" w:color="auto" w:fill="D0EBF2"/>
          </w:tcPr>
          <w:p>
            <w:pPr>
              <w:spacing w:after="0"/>
              <w:rPr>
                <w:sz w:val="13"/>
                <w:szCs w:val="13"/>
                <w:color w:val="auto"/>
              </w:rPr>
            </w:pPr>
          </w:p>
        </w:tc>
        <w:tc>
          <w:tcPr>
            <w:tcW w:w="900" w:type="dxa"/>
            <w:vAlign w:val="bottom"/>
            <w:tcBorders>
              <w:bottom w:val="single" w:sz="8" w:color="D0EBF2"/>
            </w:tcBorders>
            <w:shd w:val="clear" w:color="auto" w:fill="D0EBF2"/>
          </w:tcPr>
          <w:p>
            <w:pPr>
              <w:spacing w:after="0"/>
              <w:rPr>
                <w:sz w:val="13"/>
                <w:szCs w:val="13"/>
                <w:color w:val="auto"/>
              </w:rPr>
            </w:pPr>
          </w:p>
        </w:tc>
        <w:tc>
          <w:tcPr>
            <w:tcW w:w="240" w:type="dxa"/>
            <w:vAlign w:val="bottom"/>
            <w:tcBorders>
              <w:bottom w:val="single" w:sz="8" w:color="D0EBF2"/>
            </w:tcBorders>
            <w:shd w:val="clear" w:color="auto" w:fill="D0EBF2"/>
          </w:tcPr>
          <w:p>
            <w:pPr>
              <w:spacing w:after="0"/>
              <w:rPr>
                <w:sz w:val="13"/>
                <w:szCs w:val="13"/>
                <w:color w:val="auto"/>
              </w:rPr>
            </w:pPr>
          </w:p>
        </w:tc>
      </w:tr>
      <w:tr>
        <w:trPr>
          <w:trHeight w:val="158"/>
        </w:trPr>
        <w:tc>
          <w:tcPr>
            <w:tcW w:w="1460" w:type="dxa"/>
            <w:vAlign w:val="bottom"/>
            <w:shd w:val="clear" w:color="auto" w:fill="FDFDFC"/>
          </w:tcPr>
          <w:p>
            <w:pPr>
              <w:spacing w:after="0" w:line="159" w:lineRule="exact"/>
              <w:rPr>
                <w:sz w:val="20"/>
                <w:szCs w:val="20"/>
                <w:color w:val="auto"/>
              </w:rPr>
            </w:pPr>
            <w:r>
              <w:rPr>
                <w:rFonts w:ascii="Times New Roman" w:cs="Times New Roman" w:eastAsia="Times New Roman" w:hAnsi="Times New Roman"/>
                <w:sz w:val="15"/>
                <w:szCs w:val="15"/>
                <w:color w:val="231F20"/>
              </w:rPr>
              <w:t>MidOcean Credit CLO</w:t>
            </w:r>
          </w:p>
        </w:tc>
        <w:tc>
          <w:tcPr>
            <w:tcW w:w="2340" w:type="dxa"/>
            <w:vAlign w:val="bottom"/>
            <w:shd w:val="clear" w:color="auto" w:fill="FDFDFC"/>
          </w:tcPr>
          <w:p>
            <w:pPr>
              <w:ind w:left="60"/>
              <w:spacing w:after="0" w:line="159" w:lineRule="exact"/>
              <w:rPr>
                <w:sz w:val="20"/>
                <w:szCs w:val="20"/>
                <w:color w:val="auto"/>
              </w:rPr>
            </w:pPr>
            <w:r>
              <w:rPr>
                <w:rFonts w:ascii="Times New Roman" w:cs="Times New Roman" w:eastAsia="Times New Roman" w:hAnsi="Times New Roman"/>
                <w:sz w:val="15"/>
                <w:szCs w:val="15"/>
                <w:color w:val="231F20"/>
              </w:rPr>
              <w:t>Structured Credit ($1,100 par, due</w:t>
            </w:r>
          </w:p>
        </w:tc>
        <w:tc>
          <w:tcPr>
            <w:tcW w:w="900" w:type="dxa"/>
            <w:vAlign w:val="bottom"/>
            <w:shd w:val="clear" w:color="auto" w:fill="FDFDFC"/>
          </w:tcPr>
          <w:p>
            <w:pPr>
              <w:jc w:val="right"/>
              <w:spacing w:after="0" w:line="159" w:lineRule="exact"/>
              <w:rPr>
                <w:sz w:val="20"/>
                <w:szCs w:val="20"/>
                <w:color w:val="auto"/>
              </w:rPr>
            </w:pPr>
            <w:r>
              <w:rPr>
                <w:rFonts w:ascii="Times New Roman" w:cs="Times New Roman" w:eastAsia="Times New Roman" w:hAnsi="Times New Roman"/>
                <w:sz w:val="15"/>
                <w:szCs w:val="15"/>
                <w:color w:val="231F20"/>
              </w:rPr>
              <w:t>6/1/2022</w:t>
            </w:r>
          </w:p>
        </w:tc>
        <w:tc>
          <w:tcPr>
            <w:tcW w:w="1200" w:type="dxa"/>
            <w:vAlign w:val="bottom"/>
            <w:shd w:val="clear" w:color="auto" w:fill="FDFDFC"/>
          </w:tcPr>
          <w:p>
            <w:pPr>
              <w:jc w:val="right"/>
              <w:ind w:right="244"/>
              <w:spacing w:after="0" w:line="159" w:lineRule="exact"/>
              <w:rPr>
                <w:sz w:val="20"/>
                <w:szCs w:val="20"/>
                <w:color w:val="auto"/>
              </w:rPr>
            </w:pPr>
            <w:r>
              <w:rPr>
                <w:rFonts w:ascii="Times New Roman" w:cs="Times New Roman" w:eastAsia="Times New Roman" w:hAnsi="Times New Roman"/>
                <w:sz w:val="15"/>
                <w:szCs w:val="15"/>
                <w:color w:val="231F20"/>
              </w:rPr>
              <w:t>SOFR +</w:t>
            </w:r>
          </w:p>
        </w:tc>
        <w:tc>
          <w:tcPr>
            <w:tcW w:w="900" w:type="dxa"/>
            <w:vAlign w:val="bottom"/>
            <w:shd w:val="clear" w:color="auto" w:fill="FDFDFC"/>
          </w:tcPr>
          <w:p>
            <w:pPr>
              <w:jc w:val="right"/>
              <w:ind w:right="24"/>
              <w:spacing w:after="0" w:line="159" w:lineRule="exact"/>
              <w:rPr>
                <w:sz w:val="20"/>
                <w:szCs w:val="20"/>
                <w:color w:val="auto"/>
              </w:rPr>
            </w:pPr>
            <w:r>
              <w:rPr>
                <w:rFonts w:ascii="Times New Roman" w:cs="Times New Roman" w:eastAsia="Times New Roman" w:hAnsi="Times New Roman"/>
                <w:sz w:val="15"/>
                <w:szCs w:val="15"/>
                <w:color w:val="231F20"/>
              </w:rPr>
              <w:t>11.73%</w:t>
            </w:r>
          </w:p>
        </w:tc>
        <w:tc>
          <w:tcPr>
            <w:tcW w:w="1000" w:type="dxa"/>
            <w:vAlign w:val="bottom"/>
            <w:shd w:val="clear" w:color="auto" w:fill="FDFDFC"/>
          </w:tcPr>
          <w:p>
            <w:pPr>
              <w:jc w:val="right"/>
              <w:spacing w:after="0" w:line="159" w:lineRule="exact"/>
              <w:rPr>
                <w:sz w:val="20"/>
                <w:szCs w:val="20"/>
                <w:color w:val="auto"/>
              </w:rPr>
            </w:pPr>
            <w:r>
              <w:rPr>
                <w:rFonts w:ascii="Times New Roman" w:cs="Times New Roman" w:eastAsia="Times New Roman" w:hAnsi="Times New Roman"/>
                <w:sz w:val="15"/>
                <w:szCs w:val="15"/>
                <w:color w:val="231F20"/>
              </w:rPr>
              <w:t>970</w:t>
            </w:r>
          </w:p>
        </w:tc>
        <w:tc>
          <w:tcPr>
            <w:tcW w:w="1140" w:type="dxa"/>
            <w:vAlign w:val="bottom"/>
            <w:gridSpan w:val="2"/>
            <w:shd w:val="clear" w:color="auto" w:fill="FDFDFC"/>
          </w:tcPr>
          <w:p>
            <w:pPr>
              <w:jc w:val="right"/>
              <w:spacing w:after="0" w:line="159" w:lineRule="exact"/>
              <w:rPr>
                <w:sz w:val="20"/>
                <w:szCs w:val="20"/>
                <w:color w:val="auto"/>
              </w:rPr>
            </w:pPr>
            <w:r>
              <w:rPr>
                <w:rFonts w:ascii="Times New Roman" w:cs="Times New Roman" w:eastAsia="Times New Roman" w:hAnsi="Times New Roman"/>
                <w:sz w:val="15"/>
                <w:szCs w:val="15"/>
                <w:color w:val="231F20"/>
              </w:rPr>
              <w:t>1,012</w:t>
            </w:r>
          </w:p>
        </w:tc>
        <w:tc>
          <w:tcPr>
            <w:tcW w:w="1340" w:type="dxa"/>
            <w:vAlign w:val="bottom"/>
            <w:gridSpan w:val="3"/>
            <w:shd w:val="clear" w:color="auto" w:fill="FDFDFC"/>
          </w:tcPr>
          <w:p>
            <w:pPr>
              <w:jc w:val="right"/>
              <w:ind w:right="120"/>
              <w:spacing w:after="0" w:line="159" w:lineRule="exact"/>
              <w:rPr>
                <w:sz w:val="20"/>
                <w:szCs w:val="20"/>
                <w:color w:val="auto"/>
              </w:rPr>
            </w:pPr>
            <w:r>
              <w:rPr>
                <w:rFonts w:ascii="Times New Roman" w:cs="Times New Roman" w:eastAsia="Times New Roman" w:hAnsi="Times New Roman"/>
                <w:sz w:val="15"/>
                <w:szCs w:val="15"/>
                <w:color w:val="231F20"/>
              </w:rPr>
              <w:t>0.1%</w:t>
            </w:r>
          </w:p>
        </w:tc>
      </w:tr>
      <w:tr>
        <w:trPr>
          <w:trHeight w:val="186"/>
        </w:trPr>
        <w:tc>
          <w:tcPr>
            <w:tcW w:w="1460" w:type="dxa"/>
            <w:vAlign w:val="bottom"/>
            <w:shd w:val="clear" w:color="auto" w:fill="FDFDFC"/>
          </w:tcPr>
          <w:p>
            <w:pPr>
              <w:spacing w:after="0"/>
              <w:rPr>
                <w:sz w:val="20"/>
                <w:szCs w:val="20"/>
                <w:color w:val="auto"/>
              </w:rPr>
            </w:pPr>
            <w:r>
              <w:rPr>
                <w:rFonts w:ascii="Times New Roman" w:cs="Times New Roman" w:eastAsia="Times New Roman" w:hAnsi="Times New Roman"/>
                <w:sz w:val="15"/>
                <w:szCs w:val="15"/>
                <w:color w:val="231F20"/>
              </w:rPr>
              <w:t>Ltd, Series 2018-9A</w:t>
            </w:r>
          </w:p>
        </w:tc>
        <w:tc>
          <w:tcPr>
            <w:tcW w:w="2340" w:type="dxa"/>
            <w:vAlign w:val="bottom"/>
            <w:shd w:val="clear" w:color="auto" w:fill="FDFDFC"/>
          </w:tcPr>
          <w:p>
            <w:pPr>
              <w:ind w:left="60"/>
              <w:spacing w:after="0"/>
              <w:rPr>
                <w:sz w:val="20"/>
                <w:szCs w:val="20"/>
                <w:color w:val="auto"/>
              </w:rPr>
            </w:pPr>
            <w:r>
              <w:rPr>
                <w:rFonts w:ascii="Times New Roman" w:cs="Times New Roman" w:eastAsia="Times New Roman" w:hAnsi="Times New Roman"/>
                <w:sz w:val="15"/>
                <w:szCs w:val="15"/>
                <w:color w:val="231F20"/>
              </w:rPr>
              <w:t>7/2031)</w:t>
            </w:r>
          </w:p>
        </w:tc>
        <w:tc>
          <w:tcPr>
            <w:tcW w:w="900" w:type="dxa"/>
            <w:vAlign w:val="bottom"/>
            <w:shd w:val="clear" w:color="auto" w:fill="FDFDFC"/>
          </w:tcPr>
          <w:p>
            <w:pPr>
              <w:spacing w:after="0"/>
              <w:rPr>
                <w:sz w:val="16"/>
                <w:szCs w:val="16"/>
                <w:color w:val="auto"/>
              </w:rPr>
            </w:pPr>
          </w:p>
        </w:tc>
        <w:tc>
          <w:tcPr>
            <w:tcW w:w="1200" w:type="dxa"/>
            <w:vAlign w:val="bottom"/>
            <w:shd w:val="clear" w:color="auto" w:fill="FDFDFC"/>
          </w:tcPr>
          <w:p>
            <w:pPr>
              <w:jc w:val="right"/>
              <w:ind w:right="244"/>
              <w:spacing w:after="0"/>
              <w:rPr>
                <w:sz w:val="20"/>
                <w:szCs w:val="20"/>
                <w:color w:val="auto"/>
              </w:rPr>
            </w:pPr>
            <w:r>
              <w:rPr>
                <w:rFonts w:ascii="Times New Roman" w:cs="Times New Roman" w:eastAsia="Times New Roman" w:hAnsi="Times New Roman"/>
                <w:sz w:val="15"/>
                <w:szCs w:val="15"/>
                <w:color w:val="231F20"/>
              </w:rPr>
              <w:t>6.31%</w:t>
            </w:r>
          </w:p>
        </w:tc>
        <w:tc>
          <w:tcPr>
            <w:tcW w:w="900" w:type="dxa"/>
            <w:vAlign w:val="bottom"/>
            <w:shd w:val="clear" w:color="auto" w:fill="FDFDFC"/>
          </w:tcPr>
          <w:p>
            <w:pPr>
              <w:spacing w:after="0"/>
              <w:rPr>
                <w:sz w:val="16"/>
                <w:szCs w:val="16"/>
                <w:color w:val="auto"/>
              </w:rPr>
            </w:pPr>
          </w:p>
        </w:tc>
        <w:tc>
          <w:tcPr>
            <w:tcW w:w="1000" w:type="dxa"/>
            <w:vAlign w:val="bottom"/>
            <w:shd w:val="clear" w:color="auto" w:fill="FDFDFC"/>
          </w:tcPr>
          <w:p>
            <w:pPr>
              <w:spacing w:after="0"/>
              <w:rPr>
                <w:sz w:val="16"/>
                <w:szCs w:val="16"/>
                <w:color w:val="auto"/>
              </w:rPr>
            </w:pPr>
          </w:p>
        </w:tc>
        <w:tc>
          <w:tcPr>
            <w:tcW w:w="180" w:type="dxa"/>
            <w:vAlign w:val="bottom"/>
            <w:shd w:val="clear" w:color="auto" w:fill="FDFDFC"/>
          </w:tcPr>
          <w:p>
            <w:pPr>
              <w:spacing w:after="0"/>
              <w:rPr>
                <w:sz w:val="16"/>
                <w:szCs w:val="16"/>
                <w:color w:val="auto"/>
              </w:rPr>
            </w:pPr>
          </w:p>
        </w:tc>
        <w:tc>
          <w:tcPr>
            <w:tcW w:w="960" w:type="dxa"/>
            <w:vAlign w:val="bottom"/>
            <w:shd w:val="clear" w:color="auto" w:fill="FDFDFC"/>
          </w:tcPr>
          <w:p>
            <w:pPr>
              <w:spacing w:after="0"/>
              <w:rPr>
                <w:sz w:val="16"/>
                <w:szCs w:val="16"/>
                <w:color w:val="auto"/>
              </w:rPr>
            </w:pPr>
          </w:p>
        </w:tc>
        <w:tc>
          <w:tcPr>
            <w:tcW w:w="200" w:type="dxa"/>
            <w:vAlign w:val="bottom"/>
            <w:shd w:val="clear" w:color="auto" w:fill="FDFDFC"/>
          </w:tcPr>
          <w:p>
            <w:pPr>
              <w:spacing w:after="0"/>
              <w:rPr>
                <w:sz w:val="16"/>
                <w:szCs w:val="16"/>
                <w:color w:val="auto"/>
              </w:rPr>
            </w:pPr>
          </w:p>
        </w:tc>
        <w:tc>
          <w:tcPr>
            <w:tcW w:w="900" w:type="dxa"/>
            <w:vAlign w:val="bottom"/>
            <w:shd w:val="clear" w:color="auto" w:fill="FDFDFC"/>
          </w:tcPr>
          <w:p>
            <w:pPr>
              <w:spacing w:after="0"/>
              <w:rPr>
                <w:sz w:val="16"/>
                <w:szCs w:val="16"/>
                <w:color w:val="auto"/>
              </w:rPr>
            </w:pPr>
          </w:p>
        </w:tc>
        <w:tc>
          <w:tcPr>
            <w:tcW w:w="240" w:type="dxa"/>
            <w:vAlign w:val="bottom"/>
            <w:shd w:val="clear" w:color="auto" w:fill="FDFDFC"/>
          </w:tcPr>
          <w:p>
            <w:pPr>
              <w:spacing w:after="0"/>
              <w:rPr>
                <w:sz w:val="16"/>
                <w:szCs w:val="16"/>
                <w:color w:val="auto"/>
              </w:rPr>
            </w:pPr>
          </w:p>
        </w:tc>
      </w:tr>
      <w:tr>
        <w:trPr>
          <w:trHeight w:val="157"/>
        </w:trPr>
        <w:tc>
          <w:tcPr>
            <w:tcW w:w="1460" w:type="dxa"/>
            <w:vAlign w:val="bottom"/>
            <w:tcBorders>
              <w:bottom w:val="single" w:sz="8" w:color="FDFDFC"/>
            </w:tcBorders>
            <w:shd w:val="clear" w:color="auto" w:fill="FDFDFC"/>
          </w:tcPr>
          <w:p>
            <w:pPr>
              <w:spacing w:after="0"/>
              <w:rPr>
                <w:sz w:val="20"/>
                <w:szCs w:val="20"/>
                <w:color w:val="auto"/>
              </w:rPr>
            </w:pPr>
            <w:r>
              <w:rPr>
                <w:rFonts w:ascii="Times New Roman" w:cs="Times New Roman" w:eastAsia="Times New Roman" w:hAnsi="Times New Roman"/>
                <w:sz w:val="9"/>
                <w:szCs w:val="9"/>
                <w:color w:val="231F20"/>
              </w:rPr>
              <w:t>(3)(4)(9)</w:t>
            </w:r>
          </w:p>
        </w:tc>
        <w:tc>
          <w:tcPr>
            <w:tcW w:w="2340" w:type="dxa"/>
            <w:vAlign w:val="bottom"/>
            <w:tcBorders>
              <w:bottom w:val="single" w:sz="8" w:color="FDFDFC"/>
            </w:tcBorders>
            <w:shd w:val="clear" w:color="auto" w:fill="FDFDFC"/>
          </w:tcPr>
          <w:p>
            <w:pPr>
              <w:spacing w:after="0"/>
              <w:rPr>
                <w:sz w:val="13"/>
                <w:szCs w:val="13"/>
                <w:color w:val="auto"/>
              </w:rPr>
            </w:pPr>
          </w:p>
        </w:tc>
        <w:tc>
          <w:tcPr>
            <w:tcW w:w="900" w:type="dxa"/>
            <w:vAlign w:val="bottom"/>
            <w:tcBorders>
              <w:bottom w:val="single" w:sz="8" w:color="FDFDFC"/>
            </w:tcBorders>
            <w:shd w:val="clear" w:color="auto" w:fill="FDFDFC"/>
          </w:tcPr>
          <w:p>
            <w:pPr>
              <w:spacing w:after="0"/>
              <w:rPr>
                <w:sz w:val="13"/>
                <w:szCs w:val="13"/>
                <w:color w:val="auto"/>
              </w:rPr>
            </w:pPr>
          </w:p>
        </w:tc>
        <w:tc>
          <w:tcPr>
            <w:tcW w:w="1200" w:type="dxa"/>
            <w:vAlign w:val="bottom"/>
            <w:tcBorders>
              <w:bottom w:val="single" w:sz="8" w:color="FDFDFC"/>
            </w:tcBorders>
            <w:shd w:val="clear" w:color="auto" w:fill="FDFDFC"/>
          </w:tcPr>
          <w:p>
            <w:pPr>
              <w:spacing w:after="0"/>
              <w:rPr>
                <w:sz w:val="13"/>
                <w:szCs w:val="13"/>
                <w:color w:val="auto"/>
              </w:rPr>
            </w:pPr>
          </w:p>
        </w:tc>
        <w:tc>
          <w:tcPr>
            <w:tcW w:w="900" w:type="dxa"/>
            <w:vAlign w:val="bottom"/>
            <w:tcBorders>
              <w:bottom w:val="single" w:sz="8" w:color="FDFDFC"/>
            </w:tcBorders>
            <w:shd w:val="clear" w:color="auto" w:fill="FDFDFC"/>
          </w:tcPr>
          <w:p>
            <w:pPr>
              <w:spacing w:after="0"/>
              <w:rPr>
                <w:sz w:val="13"/>
                <w:szCs w:val="13"/>
                <w:color w:val="auto"/>
              </w:rPr>
            </w:pPr>
          </w:p>
        </w:tc>
        <w:tc>
          <w:tcPr>
            <w:tcW w:w="1000" w:type="dxa"/>
            <w:vAlign w:val="bottom"/>
            <w:tcBorders>
              <w:bottom w:val="single" w:sz="8" w:color="FDFDFC"/>
            </w:tcBorders>
            <w:shd w:val="clear" w:color="auto" w:fill="FDFDFC"/>
          </w:tcPr>
          <w:p>
            <w:pPr>
              <w:spacing w:after="0"/>
              <w:rPr>
                <w:sz w:val="13"/>
                <w:szCs w:val="13"/>
                <w:color w:val="auto"/>
              </w:rPr>
            </w:pPr>
          </w:p>
        </w:tc>
        <w:tc>
          <w:tcPr>
            <w:tcW w:w="180" w:type="dxa"/>
            <w:vAlign w:val="bottom"/>
            <w:tcBorders>
              <w:bottom w:val="single" w:sz="8" w:color="FDFDFC"/>
            </w:tcBorders>
            <w:shd w:val="clear" w:color="auto" w:fill="FDFDFC"/>
          </w:tcPr>
          <w:p>
            <w:pPr>
              <w:spacing w:after="0"/>
              <w:rPr>
                <w:sz w:val="13"/>
                <w:szCs w:val="13"/>
                <w:color w:val="auto"/>
              </w:rPr>
            </w:pPr>
          </w:p>
        </w:tc>
        <w:tc>
          <w:tcPr>
            <w:tcW w:w="960" w:type="dxa"/>
            <w:vAlign w:val="bottom"/>
            <w:tcBorders>
              <w:bottom w:val="single" w:sz="8" w:color="FDFDFC"/>
            </w:tcBorders>
            <w:shd w:val="clear" w:color="auto" w:fill="FDFDFC"/>
          </w:tcPr>
          <w:p>
            <w:pPr>
              <w:spacing w:after="0"/>
              <w:rPr>
                <w:sz w:val="13"/>
                <w:szCs w:val="13"/>
                <w:color w:val="auto"/>
              </w:rPr>
            </w:pPr>
          </w:p>
        </w:tc>
        <w:tc>
          <w:tcPr>
            <w:tcW w:w="200" w:type="dxa"/>
            <w:vAlign w:val="bottom"/>
            <w:tcBorders>
              <w:bottom w:val="single" w:sz="8" w:color="FDFDFC"/>
            </w:tcBorders>
            <w:shd w:val="clear" w:color="auto" w:fill="FDFDFC"/>
          </w:tcPr>
          <w:p>
            <w:pPr>
              <w:spacing w:after="0"/>
              <w:rPr>
                <w:sz w:val="13"/>
                <w:szCs w:val="13"/>
                <w:color w:val="auto"/>
              </w:rPr>
            </w:pPr>
          </w:p>
        </w:tc>
        <w:tc>
          <w:tcPr>
            <w:tcW w:w="900" w:type="dxa"/>
            <w:vAlign w:val="bottom"/>
            <w:tcBorders>
              <w:bottom w:val="single" w:sz="8" w:color="FDFDFC"/>
            </w:tcBorders>
            <w:shd w:val="clear" w:color="auto" w:fill="FDFDFC"/>
          </w:tcPr>
          <w:p>
            <w:pPr>
              <w:spacing w:after="0"/>
              <w:rPr>
                <w:sz w:val="13"/>
                <w:szCs w:val="13"/>
                <w:color w:val="auto"/>
              </w:rPr>
            </w:pPr>
          </w:p>
        </w:tc>
        <w:tc>
          <w:tcPr>
            <w:tcW w:w="240" w:type="dxa"/>
            <w:vAlign w:val="bottom"/>
            <w:tcBorders>
              <w:bottom w:val="single" w:sz="8" w:color="FDFDFC"/>
            </w:tcBorders>
            <w:shd w:val="clear" w:color="auto" w:fill="FDFDFC"/>
          </w:tcPr>
          <w:p>
            <w:pPr>
              <w:spacing w:after="0"/>
              <w:rPr>
                <w:sz w:val="13"/>
                <w:szCs w:val="13"/>
                <w:color w:val="auto"/>
              </w:rPr>
            </w:pPr>
          </w:p>
        </w:tc>
      </w:tr>
      <w:tr>
        <w:trPr>
          <w:trHeight w:val="158"/>
        </w:trPr>
        <w:tc>
          <w:tcPr>
            <w:tcW w:w="1460" w:type="dxa"/>
            <w:vAlign w:val="bottom"/>
            <w:shd w:val="clear" w:color="auto" w:fill="D0EBF2"/>
          </w:tcPr>
          <w:p>
            <w:pPr>
              <w:spacing w:after="0" w:line="159" w:lineRule="exact"/>
              <w:rPr>
                <w:sz w:val="20"/>
                <w:szCs w:val="20"/>
                <w:color w:val="auto"/>
              </w:rPr>
            </w:pPr>
            <w:r>
              <w:rPr>
                <w:rFonts w:ascii="Times New Roman" w:cs="Times New Roman" w:eastAsia="Times New Roman" w:hAnsi="Times New Roman"/>
                <w:sz w:val="15"/>
                <w:szCs w:val="15"/>
                <w:color w:val="231F20"/>
              </w:rPr>
              <w:t>Octagon 57 LLC,</w:t>
            </w:r>
          </w:p>
        </w:tc>
        <w:tc>
          <w:tcPr>
            <w:tcW w:w="2340" w:type="dxa"/>
            <w:vAlign w:val="bottom"/>
            <w:shd w:val="clear" w:color="auto" w:fill="D0EBF2"/>
          </w:tcPr>
          <w:p>
            <w:pPr>
              <w:ind w:left="60"/>
              <w:spacing w:after="0" w:line="159" w:lineRule="exact"/>
              <w:rPr>
                <w:sz w:val="20"/>
                <w:szCs w:val="20"/>
                <w:color w:val="auto"/>
              </w:rPr>
            </w:pPr>
            <w:r>
              <w:rPr>
                <w:rFonts w:ascii="Times New Roman" w:cs="Times New Roman" w:eastAsia="Times New Roman" w:hAnsi="Times New Roman"/>
                <w:sz w:val="15"/>
                <w:szCs w:val="15"/>
                <w:color w:val="231F20"/>
              </w:rPr>
              <w:t>Structured Credit ($1,000 par, due</w:t>
            </w:r>
          </w:p>
        </w:tc>
        <w:tc>
          <w:tcPr>
            <w:tcW w:w="900" w:type="dxa"/>
            <w:vAlign w:val="bottom"/>
            <w:shd w:val="clear" w:color="auto" w:fill="D0EBF2"/>
          </w:tcPr>
          <w:p>
            <w:pPr>
              <w:jc w:val="right"/>
              <w:spacing w:after="0" w:line="159" w:lineRule="exact"/>
              <w:rPr>
                <w:sz w:val="20"/>
                <w:szCs w:val="20"/>
                <w:color w:val="auto"/>
              </w:rPr>
            </w:pPr>
            <w:r>
              <w:rPr>
                <w:rFonts w:ascii="Times New Roman" w:cs="Times New Roman" w:eastAsia="Times New Roman" w:hAnsi="Times New Roman"/>
                <w:sz w:val="15"/>
                <w:szCs w:val="15"/>
                <w:color w:val="231F20"/>
              </w:rPr>
              <w:t>5/24/2022</w:t>
            </w:r>
          </w:p>
        </w:tc>
        <w:tc>
          <w:tcPr>
            <w:tcW w:w="1200" w:type="dxa"/>
            <w:vAlign w:val="bottom"/>
            <w:shd w:val="clear" w:color="auto" w:fill="D0EBF2"/>
          </w:tcPr>
          <w:p>
            <w:pPr>
              <w:jc w:val="right"/>
              <w:ind w:right="244"/>
              <w:spacing w:after="0" w:line="159" w:lineRule="exact"/>
              <w:rPr>
                <w:sz w:val="20"/>
                <w:szCs w:val="20"/>
                <w:color w:val="auto"/>
              </w:rPr>
            </w:pPr>
            <w:r>
              <w:rPr>
                <w:rFonts w:ascii="Times New Roman" w:cs="Times New Roman" w:eastAsia="Times New Roman" w:hAnsi="Times New Roman"/>
                <w:sz w:val="15"/>
                <w:szCs w:val="15"/>
                <w:color w:val="231F20"/>
              </w:rPr>
              <w:t>SOFR +</w:t>
            </w:r>
          </w:p>
        </w:tc>
        <w:tc>
          <w:tcPr>
            <w:tcW w:w="900" w:type="dxa"/>
            <w:vAlign w:val="bottom"/>
            <w:shd w:val="clear" w:color="auto" w:fill="D0EBF2"/>
          </w:tcPr>
          <w:p>
            <w:pPr>
              <w:jc w:val="right"/>
              <w:ind w:right="24"/>
              <w:spacing w:after="0" w:line="159" w:lineRule="exact"/>
              <w:rPr>
                <w:sz w:val="20"/>
                <w:szCs w:val="20"/>
                <w:color w:val="auto"/>
              </w:rPr>
            </w:pPr>
            <w:r>
              <w:rPr>
                <w:rFonts w:ascii="Times New Roman" w:cs="Times New Roman" w:eastAsia="Times New Roman" w:hAnsi="Times New Roman"/>
                <w:sz w:val="15"/>
                <w:szCs w:val="15"/>
                <w:color w:val="231F20"/>
              </w:rPr>
              <w:t>12.26%</w:t>
            </w:r>
          </w:p>
        </w:tc>
        <w:tc>
          <w:tcPr>
            <w:tcW w:w="1000" w:type="dxa"/>
            <w:vAlign w:val="bottom"/>
            <w:shd w:val="clear" w:color="auto" w:fill="D0EBF2"/>
          </w:tcPr>
          <w:p>
            <w:pPr>
              <w:jc w:val="right"/>
              <w:spacing w:after="0" w:line="159" w:lineRule="exact"/>
              <w:rPr>
                <w:sz w:val="20"/>
                <w:szCs w:val="20"/>
                <w:color w:val="auto"/>
              </w:rPr>
            </w:pPr>
            <w:r>
              <w:rPr>
                <w:rFonts w:ascii="Times New Roman" w:cs="Times New Roman" w:eastAsia="Times New Roman" w:hAnsi="Times New Roman"/>
                <w:sz w:val="15"/>
                <w:szCs w:val="15"/>
                <w:color w:val="231F20"/>
              </w:rPr>
              <w:t>951</w:t>
            </w:r>
          </w:p>
        </w:tc>
        <w:tc>
          <w:tcPr>
            <w:tcW w:w="1140" w:type="dxa"/>
            <w:vAlign w:val="bottom"/>
            <w:gridSpan w:val="2"/>
            <w:shd w:val="clear" w:color="auto" w:fill="D0EBF2"/>
          </w:tcPr>
          <w:p>
            <w:pPr>
              <w:jc w:val="right"/>
              <w:spacing w:after="0" w:line="159" w:lineRule="exact"/>
              <w:rPr>
                <w:sz w:val="20"/>
                <w:szCs w:val="20"/>
                <w:color w:val="auto"/>
              </w:rPr>
            </w:pPr>
            <w:r>
              <w:rPr>
                <w:rFonts w:ascii="Times New Roman" w:cs="Times New Roman" w:eastAsia="Times New Roman" w:hAnsi="Times New Roman"/>
                <w:sz w:val="15"/>
                <w:szCs w:val="15"/>
                <w:color w:val="231F20"/>
              </w:rPr>
              <w:t>940</w:t>
            </w:r>
          </w:p>
        </w:tc>
        <w:tc>
          <w:tcPr>
            <w:tcW w:w="1340" w:type="dxa"/>
            <w:vAlign w:val="bottom"/>
            <w:gridSpan w:val="3"/>
            <w:shd w:val="clear" w:color="auto" w:fill="D0EBF2"/>
          </w:tcPr>
          <w:p>
            <w:pPr>
              <w:jc w:val="right"/>
              <w:ind w:right="120"/>
              <w:spacing w:after="0" w:line="159" w:lineRule="exact"/>
              <w:rPr>
                <w:sz w:val="20"/>
                <w:szCs w:val="20"/>
                <w:color w:val="auto"/>
              </w:rPr>
            </w:pPr>
            <w:r>
              <w:rPr>
                <w:rFonts w:ascii="Times New Roman" w:cs="Times New Roman" w:eastAsia="Times New Roman" w:hAnsi="Times New Roman"/>
                <w:sz w:val="15"/>
                <w:szCs w:val="15"/>
                <w:color w:val="231F20"/>
              </w:rPr>
              <w:t>0.0%</w:t>
            </w:r>
          </w:p>
        </w:tc>
      </w:tr>
      <w:tr>
        <w:trPr>
          <w:trHeight w:val="189"/>
        </w:trPr>
        <w:tc>
          <w:tcPr>
            <w:tcW w:w="1460" w:type="dxa"/>
            <w:vAlign w:val="bottom"/>
            <w:shd w:val="clear" w:color="auto" w:fill="D0EBF2"/>
          </w:tcPr>
          <w:p>
            <w:pPr>
              <w:spacing w:after="0"/>
              <w:rPr>
                <w:sz w:val="20"/>
                <w:szCs w:val="20"/>
                <w:color w:val="auto"/>
              </w:rPr>
            </w:pPr>
            <w:r>
              <w:rPr>
                <w:rFonts w:ascii="Times New Roman" w:cs="Times New Roman" w:eastAsia="Times New Roman" w:hAnsi="Times New Roman"/>
                <w:sz w:val="15"/>
                <w:szCs w:val="15"/>
                <w:color w:val="231F20"/>
              </w:rPr>
              <w:t xml:space="preserve">Series 2021-1A </w:t>
            </w:r>
            <w:r>
              <w:rPr>
                <w:rFonts w:ascii="Times New Roman" w:cs="Times New Roman" w:eastAsia="Times New Roman" w:hAnsi="Times New Roman"/>
                <w:sz w:val="9"/>
                <w:szCs w:val="9"/>
                <w:color w:val="231F20"/>
              </w:rPr>
              <w:t>(3)(4)(9)</w:t>
            </w:r>
          </w:p>
        </w:tc>
        <w:tc>
          <w:tcPr>
            <w:tcW w:w="2340" w:type="dxa"/>
            <w:vAlign w:val="bottom"/>
            <w:shd w:val="clear" w:color="auto" w:fill="D0EBF2"/>
          </w:tcPr>
          <w:p>
            <w:pPr>
              <w:ind w:left="60"/>
              <w:spacing w:after="0"/>
              <w:rPr>
                <w:sz w:val="20"/>
                <w:szCs w:val="20"/>
                <w:color w:val="auto"/>
              </w:rPr>
            </w:pPr>
            <w:r>
              <w:rPr>
                <w:rFonts w:ascii="Times New Roman" w:cs="Times New Roman" w:eastAsia="Times New Roman" w:hAnsi="Times New Roman"/>
                <w:sz w:val="15"/>
                <w:szCs w:val="15"/>
                <w:color w:val="231F20"/>
              </w:rPr>
              <w:t>10/2034)</w:t>
            </w:r>
          </w:p>
        </w:tc>
        <w:tc>
          <w:tcPr>
            <w:tcW w:w="900" w:type="dxa"/>
            <w:vAlign w:val="bottom"/>
            <w:shd w:val="clear" w:color="auto" w:fill="D0EBF2"/>
          </w:tcPr>
          <w:p>
            <w:pPr>
              <w:spacing w:after="0"/>
              <w:rPr>
                <w:sz w:val="16"/>
                <w:szCs w:val="16"/>
                <w:color w:val="auto"/>
              </w:rPr>
            </w:pPr>
          </w:p>
        </w:tc>
        <w:tc>
          <w:tcPr>
            <w:tcW w:w="1200" w:type="dxa"/>
            <w:vAlign w:val="bottom"/>
            <w:shd w:val="clear" w:color="auto" w:fill="D0EBF2"/>
          </w:tcPr>
          <w:p>
            <w:pPr>
              <w:jc w:val="right"/>
              <w:ind w:right="244"/>
              <w:spacing w:after="0"/>
              <w:rPr>
                <w:sz w:val="20"/>
                <w:szCs w:val="20"/>
                <w:color w:val="auto"/>
              </w:rPr>
            </w:pPr>
            <w:r>
              <w:rPr>
                <w:rFonts w:ascii="Times New Roman" w:cs="Times New Roman" w:eastAsia="Times New Roman" w:hAnsi="Times New Roman"/>
                <w:sz w:val="15"/>
                <w:szCs w:val="15"/>
                <w:color w:val="231F20"/>
              </w:rPr>
              <w:t>6.86%</w:t>
            </w:r>
          </w:p>
        </w:tc>
        <w:tc>
          <w:tcPr>
            <w:tcW w:w="900" w:type="dxa"/>
            <w:vAlign w:val="bottom"/>
            <w:shd w:val="clear" w:color="auto" w:fill="D0EBF2"/>
          </w:tcPr>
          <w:p>
            <w:pPr>
              <w:spacing w:after="0"/>
              <w:rPr>
                <w:sz w:val="16"/>
                <w:szCs w:val="16"/>
                <w:color w:val="auto"/>
              </w:rPr>
            </w:pPr>
          </w:p>
        </w:tc>
        <w:tc>
          <w:tcPr>
            <w:tcW w:w="1000" w:type="dxa"/>
            <w:vAlign w:val="bottom"/>
            <w:shd w:val="clear" w:color="auto" w:fill="D0EBF2"/>
          </w:tcPr>
          <w:p>
            <w:pPr>
              <w:spacing w:after="0"/>
              <w:rPr>
                <w:sz w:val="16"/>
                <w:szCs w:val="16"/>
                <w:color w:val="auto"/>
              </w:rPr>
            </w:pPr>
          </w:p>
        </w:tc>
        <w:tc>
          <w:tcPr>
            <w:tcW w:w="180" w:type="dxa"/>
            <w:vAlign w:val="bottom"/>
            <w:shd w:val="clear" w:color="auto" w:fill="D0EBF2"/>
          </w:tcPr>
          <w:p>
            <w:pPr>
              <w:spacing w:after="0"/>
              <w:rPr>
                <w:sz w:val="16"/>
                <w:szCs w:val="16"/>
                <w:color w:val="auto"/>
              </w:rPr>
            </w:pPr>
          </w:p>
        </w:tc>
        <w:tc>
          <w:tcPr>
            <w:tcW w:w="960" w:type="dxa"/>
            <w:vAlign w:val="bottom"/>
            <w:shd w:val="clear" w:color="auto" w:fill="D0EBF2"/>
          </w:tcPr>
          <w:p>
            <w:pPr>
              <w:spacing w:after="0"/>
              <w:rPr>
                <w:sz w:val="16"/>
                <w:szCs w:val="16"/>
                <w:color w:val="auto"/>
              </w:rPr>
            </w:pPr>
          </w:p>
        </w:tc>
        <w:tc>
          <w:tcPr>
            <w:tcW w:w="200" w:type="dxa"/>
            <w:vAlign w:val="bottom"/>
            <w:shd w:val="clear" w:color="auto" w:fill="D0EBF2"/>
          </w:tcPr>
          <w:p>
            <w:pPr>
              <w:spacing w:after="0"/>
              <w:rPr>
                <w:sz w:val="16"/>
                <w:szCs w:val="16"/>
                <w:color w:val="auto"/>
              </w:rPr>
            </w:pPr>
          </w:p>
        </w:tc>
        <w:tc>
          <w:tcPr>
            <w:tcW w:w="900" w:type="dxa"/>
            <w:vAlign w:val="bottom"/>
            <w:shd w:val="clear" w:color="auto" w:fill="D0EBF2"/>
          </w:tcPr>
          <w:p>
            <w:pPr>
              <w:spacing w:after="0"/>
              <w:rPr>
                <w:sz w:val="16"/>
                <w:szCs w:val="16"/>
                <w:color w:val="auto"/>
              </w:rPr>
            </w:pPr>
          </w:p>
        </w:tc>
        <w:tc>
          <w:tcPr>
            <w:tcW w:w="240" w:type="dxa"/>
            <w:vAlign w:val="bottom"/>
            <w:shd w:val="clear" w:color="auto" w:fill="D0EBF2"/>
          </w:tcPr>
          <w:p>
            <w:pPr>
              <w:spacing w:after="0"/>
              <w:rPr>
                <w:sz w:val="16"/>
                <w:szCs w:val="16"/>
                <w:color w:val="auto"/>
              </w:rPr>
            </w:pPr>
          </w:p>
        </w:tc>
      </w:tr>
      <w:tr>
        <w:trPr>
          <w:trHeight w:val="158"/>
        </w:trPr>
        <w:tc>
          <w:tcPr>
            <w:tcW w:w="1460" w:type="dxa"/>
            <w:vAlign w:val="bottom"/>
            <w:shd w:val="clear" w:color="auto" w:fill="FDFDFC"/>
          </w:tcPr>
          <w:p>
            <w:pPr>
              <w:spacing w:after="0" w:line="159" w:lineRule="exact"/>
              <w:rPr>
                <w:sz w:val="20"/>
                <w:szCs w:val="20"/>
                <w:color w:val="auto"/>
              </w:rPr>
            </w:pPr>
            <w:r>
              <w:rPr>
                <w:rFonts w:ascii="Times New Roman" w:cs="Times New Roman" w:eastAsia="Times New Roman" w:hAnsi="Times New Roman"/>
                <w:sz w:val="15"/>
                <w:szCs w:val="15"/>
                <w:color w:val="231F20"/>
              </w:rPr>
              <w:t>Octagon Investment</w:t>
            </w:r>
          </w:p>
        </w:tc>
        <w:tc>
          <w:tcPr>
            <w:tcW w:w="2340" w:type="dxa"/>
            <w:vAlign w:val="bottom"/>
            <w:shd w:val="clear" w:color="auto" w:fill="FDFDFC"/>
          </w:tcPr>
          <w:p>
            <w:pPr>
              <w:ind w:left="60"/>
              <w:spacing w:after="0" w:line="159" w:lineRule="exact"/>
              <w:rPr>
                <w:sz w:val="20"/>
                <w:szCs w:val="20"/>
                <w:color w:val="auto"/>
              </w:rPr>
            </w:pPr>
            <w:r>
              <w:rPr>
                <w:rFonts w:ascii="Times New Roman" w:cs="Times New Roman" w:eastAsia="Times New Roman" w:hAnsi="Times New Roman"/>
                <w:sz w:val="15"/>
                <w:szCs w:val="15"/>
                <w:color w:val="231F20"/>
              </w:rPr>
              <w:t>Structured Credit ($1,000 par, due</w:t>
            </w:r>
          </w:p>
        </w:tc>
        <w:tc>
          <w:tcPr>
            <w:tcW w:w="900" w:type="dxa"/>
            <w:vAlign w:val="bottom"/>
            <w:shd w:val="clear" w:color="auto" w:fill="FDFDFC"/>
          </w:tcPr>
          <w:p>
            <w:pPr>
              <w:jc w:val="right"/>
              <w:spacing w:after="0" w:line="159" w:lineRule="exact"/>
              <w:rPr>
                <w:sz w:val="20"/>
                <w:szCs w:val="20"/>
                <w:color w:val="auto"/>
              </w:rPr>
            </w:pPr>
            <w:r>
              <w:rPr>
                <w:rFonts w:ascii="Times New Roman" w:cs="Times New Roman" w:eastAsia="Times New Roman" w:hAnsi="Times New Roman"/>
                <w:sz w:val="15"/>
                <w:szCs w:val="15"/>
                <w:color w:val="231F20"/>
              </w:rPr>
              <w:t>7/26/2022</w:t>
            </w:r>
          </w:p>
        </w:tc>
        <w:tc>
          <w:tcPr>
            <w:tcW w:w="1200" w:type="dxa"/>
            <w:vAlign w:val="bottom"/>
            <w:shd w:val="clear" w:color="auto" w:fill="FDFDFC"/>
          </w:tcPr>
          <w:p>
            <w:pPr>
              <w:jc w:val="right"/>
              <w:ind w:right="244"/>
              <w:spacing w:after="0" w:line="159" w:lineRule="exact"/>
              <w:rPr>
                <w:sz w:val="20"/>
                <w:szCs w:val="20"/>
                <w:color w:val="auto"/>
              </w:rPr>
            </w:pPr>
            <w:r>
              <w:rPr>
                <w:rFonts w:ascii="Times New Roman" w:cs="Times New Roman" w:eastAsia="Times New Roman" w:hAnsi="Times New Roman"/>
                <w:sz w:val="15"/>
                <w:szCs w:val="15"/>
                <w:color w:val="231F20"/>
              </w:rPr>
              <w:t>SOFR +</w:t>
            </w:r>
          </w:p>
        </w:tc>
        <w:tc>
          <w:tcPr>
            <w:tcW w:w="900" w:type="dxa"/>
            <w:vAlign w:val="bottom"/>
            <w:shd w:val="clear" w:color="auto" w:fill="FDFDFC"/>
          </w:tcPr>
          <w:p>
            <w:pPr>
              <w:jc w:val="right"/>
              <w:ind w:right="24"/>
              <w:spacing w:after="0" w:line="159" w:lineRule="exact"/>
              <w:rPr>
                <w:sz w:val="20"/>
                <w:szCs w:val="20"/>
                <w:color w:val="auto"/>
              </w:rPr>
            </w:pPr>
            <w:r>
              <w:rPr>
                <w:rFonts w:ascii="Times New Roman" w:cs="Times New Roman" w:eastAsia="Times New Roman" w:hAnsi="Times New Roman"/>
                <w:sz w:val="15"/>
                <w:szCs w:val="15"/>
                <w:color w:val="231F20"/>
              </w:rPr>
              <w:t>8.36%</w:t>
            </w:r>
          </w:p>
        </w:tc>
        <w:tc>
          <w:tcPr>
            <w:tcW w:w="1000" w:type="dxa"/>
            <w:vAlign w:val="bottom"/>
            <w:shd w:val="clear" w:color="auto" w:fill="FDFDFC"/>
          </w:tcPr>
          <w:p>
            <w:pPr>
              <w:jc w:val="right"/>
              <w:spacing w:after="0" w:line="159" w:lineRule="exact"/>
              <w:rPr>
                <w:sz w:val="20"/>
                <w:szCs w:val="20"/>
                <w:color w:val="auto"/>
              </w:rPr>
            </w:pPr>
            <w:r>
              <w:rPr>
                <w:rFonts w:ascii="Times New Roman" w:cs="Times New Roman" w:eastAsia="Times New Roman" w:hAnsi="Times New Roman"/>
                <w:sz w:val="15"/>
                <w:szCs w:val="15"/>
                <w:color w:val="231F20"/>
              </w:rPr>
              <w:t>913</w:t>
            </w:r>
          </w:p>
        </w:tc>
        <w:tc>
          <w:tcPr>
            <w:tcW w:w="1140" w:type="dxa"/>
            <w:vAlign w:val="bottom"/>
            <w:gridSpan w:val="2"/>
            <w:shd w:val="clear" w:color="auto" w:fill="FDFDFC"/>
          </w:tcPr>
          <w:p>
            <w:pPr>
              <w:jc w:val="right"/>
              <w:spacing w:after="0" w:line="159" w:lineRule="exact"/>
              <w:rPr>
                <w:sz w:val="20"/>
                <w:szCs w:val="20"/>
                <w:color w:val="auto"/>
              </w:rPr>
            </w:pPr>
            <w:r>
              <w:rPr>
                <w:rFonts w:ascii="Times New Roman" w:cs="Times New Roman" w:eastAsia="Times New Roman" w:hAnsi="Times New Roman"/>
                <w:sz w:val="15"/>
                <w:szCs w:val="15"/>
                <w:color w:val="231F20"/>
              </w:rPr>
              <w:t>959</w:t>
            </w:r>
          </w:p>
        </w:tc>
        <w:tc>
          <w:tcPr>
            <w:tcW w:w="1340" w:type="dxa"/>
            <w:vAlign w:val="bottom"/>
            <w:gridSpan w:val="3"/>
            <w:shd w:val="clear" w:color="auto" w:fill="FDFDFC"/>
          </w:tcPr>
          <w:p>
            <w:pPr>
              <w:jc w:val="right"/>
              <w:ind w:right="120"/>
              <w:spacing w:after="0" w:line="159" w:lineRule="exact"/>
              <w:rPr>
                <w:sz w:val="20"/>
                <w:szCs w:val="20"/>
                <w:color w:val="auto"/>
              </w:rPr>
            </w:pPr>
            <w:r>
              <w:rPr>
                <w:rFonts w:ascii="Times New Roman" w:cs="Times New Roman" w:eastAsia="Times New Roman" w:hAnsi="Times New Roman"/>
                <w:sz w:val="15"/>
                <w:szCs w:val="15"/>
                <w:color w:val="231F20"/>
              </w:rPr>
              <w:t>0.1%</w:t>
            </w:r>
          </w:p>
        </w:tc>
      </w:tr>
      <w:tr>
        <w:trPr>
          <w:trHeight w:val="174"/>
        </w:trPr>
        <w:tc>
          <w:tcPr>
            <w:tcW w:w="1460" w:type="dxa"/>
            <w:vAlign w:val="bottom"/>
            <w:shd w:val="clear" w:color="auto" w:fill="FDFDFC"/>
          </w:tcPr>
          <w:p>
            <w:pPr>
              <w:spacing w:after="0"/>
              <w:rPr>
                <w:sz w:val="20"/>
                <w:szCs w:val="20"/>
                <w:color w:val="auto"/>
              </w:rPr>
            </w:pPr>
            <w:r>
              <w:rPr>
                <w:rFonts w:ascii="Times New Roman" w:cs="Times New Roman" w:eastAsia="Times New Roman" w:hAnsi="Times New Roman"/>
                <w:sz w:val="15"/>
                <w:szCs w:val="15"/>
                <w:color w:val="231F20"/>
              </w:rPr>
              <w:t>Partners 18 Ltd, Series</w:t>
            </w:r>
          </w:p>
        </w:tc>
        <w:tc>
          <w:tcPr>
            <w:tcW w:w="2340" w:type="dxa"/>
            <w:vAlign w:val="bottom"/>
            <w:shd w:val="clear" w:color="auto" w:fill="FDFDFC"/>
          </w:tcPr>
          <w:p>
            <w:pPr>
              <w:ind w:left="60"/>
              <w:spacing w:after="0"/>
              <w:rPr>
                <w:sz w:val="20"/>
                <w:szCs w:val="20"/>
                <w:color w:val="auto"/>
              </w:rPr>
            </w:pPr>
            <w:r>
              <w:rPr>
                <w:rFonts w:ascii="Times New Roman" w:cs="Times New Roman" w:eastAsia="Times New Roman" w:hAnsi="Times New Roman"/>
                <w:sz w:val="15"/>
                <w:szCs w:val="15"/>
                <w:color w:val="231F20"/>
              </w:rPr>
              <w:t>4/2031)</w:t>
            </w:r>
          </w:p>
        </w:tc>
        <w:tc>
          <w:tcPr>
            <w:tcW w:w="900" w:type="dxa"/>
            <w:vAlign w:val="bottom"/>
            <w:shd w:val="clear" w:color="auto" w:fill="FDFDFC"/>
          </w:tcPr>
          <w:p>
            <w:pPr>
              <w:spacing w:after="0"/>
              <w:rPr>
                <w:sz w:val="15"/>
                <w:szCs w:val="15"/>
                <w:color w:val="auto"/>
              </w:rPr>
            </w:pPr>
          </w:p>
        </w:tc>
        <w:tc>
          <w:tcPr>
            <w:tcW w:w="1200" w:type="dxa"/>
            <w:vAlign w:val="bottom"/>
            <w:shd w:val="clear" w:color="auto" w:fill="FDFDFC"/>
          </w:tcPr>
          <w:p>
            <w:pPr>
              <w:jc w:val="right"/>
              <w:ind w:right="244"/>
              <w:spacing w:after="0"/>
              <w:rPr>
                <w:sz w:val="20"/>
                <w:szCs w:val="20"/>
                <w:color w:val="auto"/>
              </w:rPr>
            </w:pPr>
            <w:r>
              <w:rPr>
                <w:rFonts w:ascii="Times New Roman" w:cs="Times New Roman" w:eastAsia="Times New Roman" w:hAnsi="Times New Roman"/>
                <w:sz w:val="15"/>
                <w:szCs w:val="15"/>
                <w:color w:val="231F20"/>
              </w:rPr>
              <w:t>2.96%</w:t>
            </w:r>
          </w:p>
        </w:tc>
        <w:tc>
          <w:tcPr>
            <w:tcW w:w="900" w:type="dxa"/>
            <w:vAlign w:val="bottom"/>
            <w:shd w:val="clear" w:color="auto" w:fill="FDFDFC"/>
          </w:tcPr>
          <w:p>
            <w:pPr>
              <w:spacing w:after="0"/>
              <w:rPr>
                <w:sz w:val="15"/>
                <w:szCs w:val="15"/>
                <w:color w:val="auto"/>
              </w:rPr>
            </w:pPr>
          </w:p>
        </w:tc>
        <w:tc>
          <w:tcPr>
            <w:tcW w:w="1000" w:type="dxa"/>
            <w:vAlign w:val="bottom"/>
            <w:shd w:val="clear" w:color="auto" w:fill="FDFDFC"/>
          </w:tcPr>
          <w:p>
            <w:pPr>
              <w:spacing w:after="0"/>
              <w:rPr>
                <w:sz w:val="15"/>
                <w:szCs w:val="15"/>
                <w:color w:val="auto"/>
              </w:rPr>
            </w:pPr>
          </w:p>
        </w:tc>
        <w:tc>
          <w:tcPr>
            <w:tcW w:w="180" w:type="dxa"/>
            <w:vAlign w:val="bottom"/>
            <w:shd w:val="clear" w:color="auto" w:fill="FDFDFC"/>
          </w:tcPr>
          <w:p>
            <w:pPr>
              <w:spacing w:after="0"/>
              <w:rPr>
                <w:sz w:val="15"/>
                <w:szCs w:val="15"/>
                <w:color w:val="auto"/>
              </w:rPr>
            </w:pPr>
          </w:p>
        </w:tc>
        <w:tc>
          <w:tcPr>
            <w:tcW w:w="960" w:type="dxa"/>
            <w:vAlign w:val="bottom"/>
            <w:shd w:val="clear" w:color="auto" w:fill="FDFDFC"/>
          </w:tcPr>
          <w:p>
            <w:pPr>
              <w:spacing w:after="0"/>
              <w:rPr>
                <w:sz w:val="15"/>
                <w:szCs w:val="15"/>
                <w:color w:val="auto"/>
              </w:rPr>
            </w:pPr>
          </w:p>
        </w:tc>
        <w:tc>
          <w:tcPr>
            <w:tcW w:w="200" w:type="dxa"/>
            <w:vAlign w:val="bottom"/>
            <w:shd w:val="clear" w:color="auto" w:fill="FDFDFC"/>
          </w:tcPr>
          <w:p>
            <w:pPr>
              <w:spacing w:after="0"/>
              <w:rPr>
                <w:sz w:val="15"/>
                <w:szCs w:val="15"/>
                <w:color w:val="auto"/>
              </w:rPr>
            </w:pPr>
          </w:p>
        </w:tc>
        <w:tc>
          <w:tcPr>
            <w:tcW w:w="900" w:type="dxa"/>
            <w:vAlign w:val="bottom"/>
            <w:shd w:val="clear" w:color="auto" w:fill="FDFDFC"/>
          </w:tcPr>
          <w:p>
            <w:pPr>
              <w:spacing w:after="0"/>
              <w:rPr>
                <w:sz w:val="15"/>
                <w:szCs w:val="15"/>
                <w:color w:val="auto"/>
              </w:rPr>
            </w:pPr>
          </w:p>
        </w:tc>
        <w:tc>
          <w:tcPr>
            <w:tcW w:w="240" w:type="dxa"/>
            <w:vAlign w:val="bottom"/>
            <w:shd w:val="clear" w:color="auto" w:fill="FDFDFC"/>
          </w:tcPr>
          <w:p>
            <w:pPr>
              <w:spacing w:after="0"/>
              <w:rPr>
                <w:sz w:val="15"/>
                <w:szCs w:val="15"/>
                <w:color w:val="auto"/>
              </w:rPr>
            </w:pPr>
          </w:p>
        </w:tc>
      </w:tr>
      <w:tr>
        <w:trPr>
          <w:trHeight w:val="189"/>
        </w:trPr>
        <w:tc>
          <w:tcPr>
            <w:tcW w:w="1460" w:type="dxa"/>
            <w:vAlign w:val="bottom"/>
            <w:shd w:val="clear" w:color="auto" w:fill="FDFDFC"/>
          </w:tcPr>
          <w:p>
            <w:pPr>
              <w:spacing w:after="0" w:line="190" w:lineRule="exact"/>
              <w:rPr>
                <w:sz w:val="20"/>
                <w:szCs w:val="20"/>
                <w:color w:val="auto"/>
              </w:rPr>
            </w:pPr>
            <w:r>
              <w:rPr>
                <w:rFonts w:ascii="Times New Roman" w:cs="Times New Roman" w:eastAsia="Times New Roman" w:hAnsi="Times New Roman"/>
                <w:sz w:val="21"/>
                <w:szCs w:val="21"/>
                <w:color w:val="231F20"/>
                <w:vertAlign w:val="subscript"/>
              </w:rPr>
              <w:t>2018-18A</w:t>
            </w:r>
            <w:r>
              <w:rPr>
                <w:rFonts w:ascii="Times New Roman" w:cs="Times New Roman" w:eastAsia="Times New Roman" w:hAnsi="Times New Roman"/>
                <w:sz w:val="8"/>
                <w:szCs w:val="8"/>
                <w:color w:val="231F20"/>
              </w:rPr>
              <w:t xml:space="preserve"> (3)(4)(9)</w:t>
            </w:r>
          </w:p>
        </w:tc>
        <w:tc>
          <w:tcPr>
            <w:tcW w:w="2340" w:type="dxa"/>
            <w:vAlign w:val="bottom"/>
            <w:shd w:val="clear" w:color="auto" w:fill="FDFDFC"/>
          </w:tcPr>
          <w:p>
            <w:pPr>
              <w:spacing w:after="0"/>
              <w:rPr>
                <w:sz w:val="16"/>
                <w:szCs w:val="16"/>
                <w:color w:val="auto"/>
              </w:rPr>
            </w:pPr>
          </w:p>
        </w:tc>
        <w:tc>
          <w:tcPr>
            <w:tcW w:w="900" w:type="dxa"/>
            <w:vAlign w:val="bottom"/>
            <w:shd w:val="clear" w:color="auto" w:fill="FDFDFC"/>
          </w:tcPr>
          <w:p>
            <w:pPr>
              <w:spacing w:after="0"/>
              <w:rPr>
                <w:sz w:val="16"/>
                <w:szCs w:val="16"/>
                <w:color w:val="auto"/>
              </w:rPr>
            </w:pPr>
          </w:p>
        </w:tc>
        <w:tc>
          <w:tcPr>
            <w:tcW w:w="1200" w:type="dxa"/>
            <w:vAlign w:val="bottom"/>
            <w:shd w:val="clear" w:color="auto" w:fill="FDFDFC"/>
          </w:tcPr>
          <w:p>
            <w:pPr>
              <w:spacing w:after="0"/>
              <w:rPr>
                <w:sz w:val="16"/>
                <w:szCs w:val="16"/>
                <w:color w:val="auto"/>
              </w:rPr>
            </w:pPr>
          </w:p>
        </w:tc>
        <w:tc>
          <w:tcPr>
            <w:tcW w:w="900" w:type="dxa"/>
            <w:vAlign w:val="bottom"/>
            <w:shd w:val="clear" w:color="auto" w:fill="FDFDFC"/>
          </w:tcPr>
          <w:p>
            <w:pPr>
              <w:spacing w:after="0"/>
              <w:rPr>
                <w:sz w:val="16"/>
                <w:szCs w:val="16"/>
                <w:color w:val="auto"/>
              </w:rPr>
            </w:pPr>
          </w:p>
        </w:tc>
        <w:tc>
          <w:tcPr>
            <w:tcW w:w="1000" w:type="dxa"/>
            <w:vAlign w:val="bottom"/>
            <w:shd w:val="clear" w:color="auto" w:fill="FDFDFC"/>
          </w:tcPr>
          <w:p>
            <w:pPr>
              <w:spacing w:after="0"/>
              <w:rPr>
                <w:sz w:val="16"/>
                <w:szCs w:val="16"/>
                <w:color w:val="auto"/>
              </w:rPr>
            </w:pPr>
          </w:p>
        </w:tc>
        <w:tc>
          <w:tcPr>
            <w:tcW w:w="180" w:type="dxa"/>
            <w:vAlign w:val="bottom"/>
            <w:shd w:val="clear" w:color="auto" w:fill="FDFDFC"/>
          </w:tcPr>
          <w:p>
            <w:pPr>
              <w:spacing w:after="0"/>
              <w:rPr>
                <w:sz w:val="16"/>
                <w:szCs w:val="16"/>
                <w:color w:val="auto"/>
              </w:rPr>
            </w:pPr>
          </w:p>
        </w:tc>
        <w:tc>
          <w:tcPr>
            <w:tcW w:w="960" w:type="dxa"/>
            <w:vAlign w:val="bottom"/>
            <w:shd w:val="clear" w:color="auto" w:fill="FDFDFC"/>
          </w:tcPr>
          <w:p>
            <w:pPr>
              <w:spacing w:after="0"/>
              <w:rPr>
                <w:sz w:val="16"/>
                <w:szCs w:val="16"/>
                <w:color w:val="auto"/>
              </w:rPr>
            </w:pPr>
          </w:p>
        </w:tc>
        <w:tc>
          <w:tcPr>
            <w:tcW w:w="200" w:type="dxa"/>
            <w:vAlign w:val="bottom"/>
            <w:shd w:val="clear" w:color="auto" w:fill="FDFDFC"/>
          </w:tcPr>
          <w:p>
            <w:pPr>
              <w:spacing w:after="0"/>
              <w:rPr>
                <w:sz w:val="16"/>
                <w:szCs w:val="16"/>
                <w:color w:val="auto"/>
              </w:rPr>
            </w:pPr>
          </w:p>
        </w:tc>
        <w:tc>
          <w:tcPr>
            <w:tcW w:w="900" w:type="dxa"/>
            <w:vAlign w:val="bottom"/>
            <w:shd w:val="clear" w:color="auto" w:fill="FDFDFC"/>
          </w:tcPr>
          <w:p>
            <w:pPr>
              <w:spacing w:after="0"/>
              <w:rPr>
                <w:sz w:val="16"/>
                <w:szCs w:val="16"/>
                <w:color w:val="auto"/>
              </w:rPr>
            </w:pPr>
          </w:p>
        </w:tc>
        <w:tc>
          <w:tcPr>
            <w:tcW w:w="240" w:type="dxa"/>
            <w:vAlign w:val="bottom"/>
            <w:shd w:val="clear" w:color="auto" w:fill="FDFDFC"/>
          </w:tcPr>
          <w:p>
            <w:pPr>
              <w:spacing w:after="0"/>
              <w:rPr>
                <w:sz w:val="16"/>
                <w:szCs w:val="16"/>
                <w:color w:val="auto"/>
              </w:rPr>
            </w:pPr>
          </w:p>
        </w:tc>
      </w:tr>
      <w:tr>
        <w:trPr>
          <w:trHeight w:val="158"/>
        </w:trPr>
        <w:tc>
          <w:tcPr>
            <w:tcW w:w="1460" w:type="dxa"/>
            <w:vAlign w:val="bottom"/>
            <w:shd w:val="clear" w:color="auto" w:fill="D0EBF2"/>
          </w:tcPr>
          <w:p>
            <w:pPr>
              <w:spacing w:after="0" w:line="159" w:lineRule="exact"/>
              <w:rPr>
                <w:sz w:val="20"/>
                <w:szCs w:val="20"/>
                <w:color w:val="auto"/>
              </w:rPr>
            </w:pPr>
            <w:r>
              <w:rPr>
                <w:rFonts w:ascii="Times New Roman" w:cs="Times New Roman" w:eastAsia="Times New Roman" w:hAnsi="Times New Roman"/>
                <w:sz w:val="15"/>
                <w:szCs w:val="15"/>
                <w:color w:val="231F20"/>
              </w:rPr>
              <w:t>Octagon Investment</w:t>
            </w:r>
          </w:p>
        </w:tc>
        <w:tc>
          <w:tcPr>
            <w:tcW w:w="2340" w:type="dxa"/>
            <w:vAlign w:val="bottom"/>
            <w:shd w:val="clear" w:color="auto" w:fill="D0EBF2"/>
          </w:tcPr>
          <w:p>
            <w:pPr>
              <w:ind w:left="60"/>
              <w:spacing w:after="0" w:line="159" w:lineRule="exact"/>
              <w:rPr>
                <w:sz w:val="20"/>
                <w:szCs w:val="20"/>
                <w:color w:val="auto"/>
              </w:rPr>
            </w:pPr>
            <w:r>
              <w:rPr>
                <w:rFonts w:ascii="Times New Roman" w:cs="Times New Roman" w:eastAsia="Times New Roman" w:hAnsi="Times New Roman"/>
                <w:sz w:val="15"/>
                <w:szCs w:val="15"/>
                <w:color w:val="231F20"/>
              </w:rPr>
              <w:t>Structured Credit ($2,800 par, due</w:t>
            </w:r>
          </w:p>
        </w:tc>
        <w:tc>
          <w:tcPr>
            <w:tcW w:w="900" w:type="dxa"/>
            <w:vAlign w:val="bottom"/>
            <w:shd w:val="clear" w:color="auto" w:fill="D0EBF2"/>
          </w:tcPr>
          <w:p>
            <w:pPr>
              <w:jc w:val="right"/>
              <w:spacing w:after="0" w:line="159" w:lineRule="exact"/>
              <w:rPr>
                <w:sz w:val="20"/>
                <w:szCs w:val="20"/>
                <w:color w:val="auto"/>
              </w:rPr>
            </w:pPr>
            <w:r>
              <w:rPr>
                <w:rFonts w:ascii="Times New Roman" w:cs="Times New Roman" w:eastAsia="Times New Roman" w:hAnsi="Times New Roman"/>
                <w:sz w:val="15"/>
                <w:szCs w:val="15"/>
                <w:color w:val="231F20"/>
              </w:rPr>
              <w:t>9/20/2022</w:t>
            </w:r>
          </w:p>
        </w:tc>
        <w:tc>
          <w:tcPr>
            <w:tcW w:w="1200" w:type="dxa"/>
            <w:vAlign w:val="bottom"/>
            <w:shd w:val="clear" w:color="auto" w:fill="D0EBF2"/>
          </w:tcPr>
          <w:p>
            <w:pPr>
              <w:jc w:val="right"/>
              <w:ind w:right="244"/>
              <w:spacing w:after="0" w:line="159" w:lineRule="exact"/>
              <w:rPr>
                <w:sz w:val="20"/>
                <w:szCs w:val="20"/>
                <w:color w:val="auto"/>
              </w:rPr>
            </w:pPr>
            <w:r>
              <w:rPr>
                <w:rFonts w:ascii="Times New Roman" w:cs="Times New Roman" w:eastAsia="Times New Roman" w:hAnsi="Times New Roman"/>
                <w:sz w:val="15"/>
                <w:szCs w:val="15"/>
                <w:color w:val="231F20"/>
              </w:rPr>
              <w:t>SOFR +</w:t>
            </w:r>
          </w:p>
        </w:tc>
        <w:tc>
          <w:tcPr>
            <w:tcW w:w="900" w:type="dxa"/>
            <w:vAlign w:val="bottom"/>
            <w:shd w:val="clear" w:color="auto" w:fill="D0EBF2"/>
          </w:tcPr>
          <w:p>
            <w:pPr>
              <w:jc w:val="right"/>
              <w:ind w:right="24"/>
              <w:spacing w:after="0" w:line="159" w:lineRule="exact"/>
              <w:rPr>
                <w:sz w:val="20"/>
                <w:szCs w:val="20"/>
                <w:color w:val="auto"/>
              </w:rPr>
            </w:pPr>
            <w:r>
              <w:rPr>
                <w:rFonts w:ascii="Times New Roman" w:cs="Times New Roman" w:eastAsia="Times New Roman" w:hAnsi="Times New Roman"/>
                <w:sz w:val="15"/>
                <w:szCs w:val="15"/>
                <w:color w:val="231F20"/>
              </w:rPr>
              <w:t>8.63%</w:t>
            </w:r>
          </w:p>
        </w:tc>
        <w:tc>
          <w:tcPr>
            <w:tcW w:w="1000" w:type="dxa"/>
            <w:vAlign w:val="bottom"/>
            <w:shd w:val="clear" w:color="auto" w:fill="D0EBF2"/>
          </w:tcPr>
          <w:p>
            <w:pPr>
              <w:jc w:val="right"/>
              <w:spacing w:after="0" w:line="159" w:lineRule="exact"/>
              <w:rPr>
                <w:sz w:val="20"/>
                <w:szCs w:val="20"/>
                <w:color w:val="auto"/>
              </w:rPr>
            </w:pPr>
            <w:r>
              <w:rPr>
                <w:rFonts w:ascii="Times New Roman" w:cs="Times New Roman" w:eastAsia="Times New Roman" w:hAnsi="Times New Roman"/>
                <w:sz w:val="15"/>
                <w:szCs w:val="15"/>
                <w:color w:val="231F20"/>
              </w:rPr>
              <w:t>2,505</w:t>
            </w:r>
          </w:p>
        </w:tc>
        <w:tc>
          <w:tcPr>
            <w:tcW w:w="1140" w:type="dxa"/>
            <w:vAlign w:val="bottom"/>
            <w:gridSpan w:val="2"/>
            <w:shd w:val="clear" w:color="auto" w:fill="D0EBF2"/>
          </w:tcPr>
          <w:p>
            <w:pPr>
              <w:jc w:val="right"/>
              <w:spacing w:after="0" w:line="159" w:lineRule="exact"/>
              <w:rPr>
                <w:sz w:val="20"/>
                <w:szCs w:val="20"/>
                <w:color w:val="auto"/>
              </w:rPr>
            </w:pPr>
            <w:r>
              <w:rPr>
                <w:rFonts w:ascii="Times New Roman" w:cs="Times New Roman" w:eastAsia="Times New Roman" w:hAnsi="Times New Roman"/>
                <w:sz w:val="15"/>
                <w:szCs w:val="15"/>
                <w:color w:val="231F20"/>
              </w:rPr>
              <w:t>2,713</w:t>
            </w:r>
          </w:p>
        </w:tc>
        <w:tc>
          <w:tcPr>
            <w:tcW w:w="1340" w:type="dxa"/>
            <w:vAlign w:val="bottom"/>
            <w:gridSpan w:val="3"/>
            <w:shd w:val="clear" w:color="auto" w:fill="D0EBF2"/>
          </w:tcPr>
          <w:p>
            <w:pPr>
              <w:jc w:val="right"/>
              <w:ind w:right="120"/>
              <w:spacing w:after="0" w:line="159" w:lineRule="exact"/>
              <w:rPr>
                <w:sz w:val="20"/>
                <w:szCs w:val="20"/>
                <w:color w:val="auto"/>
              </w:rPr>
            </w:pPr>
            <w:r>
              <w:rPr>
                <w:rFonts w:ascii="Times New Roman" w:cs="Times New Roman" w:eastAsia="Times New Roman" w:hAnsi="Times New Roman"/>
                <w:sz w:val="15"/>
                <w:szCs w:val="15"/>
                <w:color w:val="231F20"/>
              </w:rPr>
              <w:t>0.2%</w:t>
            </w:r>
          </w:p>
        </w:tc>
      </w:tr>
      <w:tr>
        <w:trPr>
          <w:trHeight w:val="174"/>
        </w:trPr>
        <w:tc>
          <w:tcPr>
            <w:tcW w:w="1460" w:type="dxa"/>
            <w:vAlign w:val="bottom"/>
            <w:shd w:val="clear" w:color="auto" w:fill="D0EBF2"/>
          </w:tcPr>
          <w:p>
            <w:pPr>
              <w:spacing w:after="0"/>
              <w:rPr>
                <w:sz w:val="20"/>
                <w:szCs w:val="20"/>
                <w:color w:val="auto"/>
              </w:rPr>
            </w:pPr>
            <w:r>
              <w:rPr>
                <w:rFonts w:ascii="Times New Roman" w:cs="Times New Roman" w:eastAsia="Times New Roman" w:hAnsi="Times New Roman"/>
                <w:sz w:val="15"/>
                <w:szCs w:val="15"/>
                <w:color w:val="231F20"/>
              </w:rPr>
              <w:t>Partners 38 Ltd, Series</w:t>
            </w:r>
          </w:p>
        </w:tc>
        <w:tc>
          <w:tcPr>
            <w:tcW w:w="2340" w:type="dxa"/>
            <w:vAlign w:val="bottom"/>
            <w:shd w:val="clear" w:color="auto" w:fill="D0EBF2"/>
          </w:tcPr>
          <w:p>
            <w:pPr>
              <w:ind w:left="60"/>
              <w:spacing w:after="0"/>
              <w:rPr>
                <w:sz w:val="20"/>
                <w:szCs w:val="20"/>
                <w:color w:val="auto"/>
              </w:rPr>
            </w:pPr>
            <w:r>
              <w:rPr>
                <w:rFonts w:ascii="Times New Roman" w:cs="Times New Roman" w:eastAsia="Times New Roman" w:hAnsi="Times New Roman"/>
                <w:sz w:val="15"/>
                <w:szCs w:val="15"/>
                <w:color w:val="231F20"/>
              </w:rPr>
              <w:t>7/2030)</w:t>
            </w:r>
          </w:p>
        </w:tc>
        <w:tc>
          <w:tcPr>
            <w:tcW w:w="900" w:type="dxa"/>
            <w:vAlign w:val="bottom"/>
            <w:shd w:val="clear" w:color="auto" w:fill="D0EBF2"/>
          </w:tcPr>
          <w:p>
            <w:pPr>
              <w:spacing w:after="0"/>
              <w:rPr>
                <w:sz w:val="15"/>
                <w:szCs w:val="15"/>
                <w:color w:val="auto"/>
              </w:rPr>
            </w:pPr>
          </w:p>
        </w:tc>
        <w:tc>
          <w:tcPr>
            <w:tcW w:w="1200" w:type="dxa"/>
            <w:vAlign w:val="bottom"/>
            <w:shd w:val="clear" w:color="auto" w:fill="D0EBF2"/>
          </w:tcPr>
          <w:p>
            <w:pPr>
              <w:jc w:val="right"/>
              <w:ind w:right="244"/>
              <w:spacing w:after="0"/>
              <w:rPr>
                <w:sz w:val="20"/>
                <w:szCs w:val="20"/>
                <w:color w:val="auto"/>
              </w:rPr>
            </w:pPr>
            <w:r>
              <w:rPr>
                <w:rFonts w:ascii="Times New Roman" w:cs="Times New Roman" w:eastAsia="Times New Roman" w:hAnsi="Times New Roman"/>
                <w:sz w:val="15"/>
                <w:szCs w:val="15"/>
                <w:color w:val="231F20"/>
              </w:rPr>
              <w:t>3.21%</w:t>
            </w:r>
          </w:p>
        </w:tc>
        <w:tc>
          <w:tcPr>
            <w:tcW w:w="900" w:type="dxa"/>
            <w:vAlign w:val="bottom"/>
            <w:shd w:val="clear" w:color="auto" w:fill="D0EBF2"/>
          </w:tcPr>
          <w:p>
            <w:pPr>
              <w:spacing w:after="0"/>
              <w:rPr>
                <w:sz w:val="15"/>
                <w:szCs w:val="15"/>
                <w:color w:val="auto"/>
              </w:rPr>
            </w:pPr>
          </w:p>
        </w:tc>
        <w:tc>
          <w:tcPr>
            <w:tcW w:w="1000" w:type="dxa"/>
            <w:vAlign w:val="bottom"/>
            <w:shd w:val="clear" w:color="auto" w:fill="D0EBF2"/>
          </w:tcPr>
          <w:p>
            <w:pPr>
              <w:spacing w:after="0"/>
              <w:rPr>
                <w:sz w:val="15"/>
                <w:szCs w:val="15"/>
                <w:color w:val="auto"/>
              </w:rPr>
            </w:pPr>
          </w:p>
        </w:tc>
        <w:tc>
          <w:tcPr>
            <w:tcW w:w="180" w:type="dxa"/>
            <w:vAlign w:val="bottom"/>
            <w:shd w:val="clear" w:color="auto" w:fill="D0EBF2"/>
          </w:tcPr>
          <w:p>
            <w:pPr>
              <w:spacing w:after="0"/>
              <w:rPr>
                <w:sz w:val="15"/>
                <w:szCs w:val="15"/>
                <w:color w:val="auto"/>
              </w:rPr>
            </w:pPr>
          </w:p>
        </w:tc>
        <w:tc>
          <w:tcPr>
            <w:tcW w:w="960" w:type="dxa"/>
            <w:vAlign w:val="bottom"/>
            <w:shd w:val="clear" w:color="auto" w:fill="D0EBF2"/>
          </w:tcPr>
          <w:p>
            <w:pPr>
              <w:spacing w:after="0"/>
              <w:rPr>
                <w:sz w:val="15"/>
                <w:szCs w:val="15"/>
                <w:color w:val="auto"/>
              </w:rPr>
            </w:pPr>
          </w:p>
        </w:tc>
        <w:tc>
          <w:tcPr>
            <w:tcW w:w="200" w:type="dxa"/>
            <w:vAlign w:val="bottom"/>
            <w:shd w:val="clear" w:color="auto" w:fill="D0EBF2"/>
          </w:tcPr>
          <w:p>
            <w:pPr>
              <w:spacing w:after="0"/>
              <w:rPr>
                <w:sz w:val="15"/>
                <w:szCs w:val="15"/>
                <w:color w:val="auto"/>
              </w:rPr>
            </w:pPr>
          </w:p>
        </w:tc>
        <w:tc>
          <w:tcPr>
            <w:tcW w:w="900" w:type="dxa"/>
            <w:vAlign w:val="bottom"/>
            <w:shd w:val="clear" w:color="auto" w:fill="D0EBF2"/>
          </w:tcPr>
          <w:p>
            <w:pPr>
              <w:spacing w:after="0"/>
              <w:rPr>
                <w:sz w:val="15"/>
                <w:szCs w:val="15"/>
                <w:color w:val="auto"/>
              </w:rPr>
            </w:pPr>
          </w:p>
        </w:tc>
        <w:tc>
          <w:tcPr>
            <w:tcW w:w="240" w:type="dxa"/>
            <w:vAlign w:val="bottom"/>
            <w:shd w:val="clear" w:color="auto" w:fill="D0EBF2"/>
          </w:tcPr>
          <w:p>
            <w:pPr>
              <w:spacing w:after="0"/>
              <w:rPr>
                <w:sz w:val="15"/>
                <w:szCs w:val="15"/>
                <w:color w:val="auto"/>
              </w:rPr>
            </w:pPr>
          </w:p>
        </w:tc>
      </w:tr>
      <w:tr>
        <w:trPr>
          <w:trHeight w:val="189"/>
        </w:trPr>
        <w:tc>
          <w:tcPr>
            <w:tcW w:w="1460" w:type="dxa"/>
            <w:vAlign w:val="bottom"/>
            <w:shd w:val="clear" w:color="auto" w:fill="D0EBF2"/>
          </w:tcPr>
          <w:p>
            <w:pPr>
              <w:spacing w:after="0" w:line="190" w:lineRule="exact"/>
              <w:rPr>
                <w:sz w:val="20"/>
                <w:szCs w:val="20"/>
                <w:color w:val="auto"/>
              </w:rPr>
            </w:pPr>
            <w:r>
              <w:rPr>
                <w:rFonts w:ascii="Times New Roman" w:cs="Times New Roman" w:eastAsia="Times New Roman" w:hAnsi="Times New Roman"/>
                <w:sz w:val="21"/>
                <w:szCs w:val="21"/>
                <w:color w:val="231F20"/>
                <w:vertAlign w:val="subscript"/>
              </w:rPr>
              <w:t>2018-1A</w:t>
            </w:r>
            <w:r>
              <w:rPr>
                <w:rFonts w:ascii="Times New Roman" w:cs="Times New Roman" w:eastAsia="Times New Roman" w:hAnsi="Times New Roman"/>
                <w:sz w:val="8"/>
                <w:szCs w:val="8"/>
                <w:color w:val="231F20"/>
              </w:rPr>
              <w:t xml:space="preserve"> (3)(4)(9)</w:t>
            </w:r>
          </w:p>
        </w:tc>
        <w:tc>
          <w:tcPr>
            <w:tcW w:w="2340" w:type="dxa"/>
            <w:vAlign w:val="bottom"/>
            <w:shd w:val="clear" w:color="auto" w:fill="D0EBF2"/>
          </w:tcPr>
          <w:p>
            <w:pPr>
              <w:spacing w:after="0"/>
              <w:rPr>
                <w:sz w:val="16"/>
                <w:szCs w:val="16"/>
                <w:color w:val="auto"/>
              </w:rPr>
            </w:pPr>
          </w:p>
        </w:tc>
        <w:tc>
          <w:tcPr>
            <w:tcW w:w="900" w:type="dxa"/>
            <w:vAlign w:val="bottom"/>
            <w:shd w:val="clear" w:color="auto" w:fill="D0EBF2"/>
          </w:tcPr>
          <w:p>
            <w:pPr>
              <w:spacing w:after="0"/>
              <w:rPr>
                <w:sz w:val="16"/>
                <w:szCs w:val="16"/>
                <w:color w:val="auto"/>
              </w:rPr>
            </w:pPr>
          </w:p>
        </w:tc>
        <w:tc>
          <w:tcPr>
            <w:tcW w:w="1200" w:type="dxa"/>
            <w:vAlign w:val="bottom"/>
            <w:shd w:val="clear" w:color="auto" w:fill="D0EBF2"/>
          </w:tcPr>
          <w:p>
            <w:pPr>
              <w:spacing w:after="0"/>
              <w:rPr>
                <w:sz w:val="16"/>
                <w:szCs w:val="16"/>
                <w:color w:val="auto"/>
              </w:rPr>
            </w:pPr>
          </w:p>
        </w:tc>
        <w:tc>
          <w:tcPr>
            <w:tcW w:w="900" w:type="dxa"/>
            <w:vAlign w:val="bottom"/>
            <w:shd w:val="clear" w:color="auto" w:fill="D0EBF2"/>
          </w:tcPr>
          <w:p>
            <w:pPr>
              <w:spacing w:after="0"/>
              <w:rPr>
                <w:sz w:val="16"/>
                <w:szCs w:val="16"/>
                <w:color w:val="auto"/>
              </w:rPr>
            </w:pPr>
          </w:p>
        </w:tc>
        <w:tc>
          <w:tcPr>
            <w:tcW w:w="1000" w:type="dxa"/>
            <w:vAlign w:val="bottom"/>
            <w:shd w:val="clear" w:color="auto" w:fill="D0EBF2"/>
          </w:tcPr>
          <w:p>
            <w:pPr>
              <w:spacing w:after="0"/>
              <w:rPr>
                <w:sz w:val="16"/>
                <w:szCs w:val="16"/>
                <w:color w:val="auto"/>
              </w:rPr>
            </w:pPr>
          </w:p>
        </w:tc>
        <w:tc>
          <w:tcPr>
            <w:tcW w:w="180" w:type="dxa"/>
            <w:vAlign w:val="bottom"/>
            <w:shd w:val="clear" w:color="auto" w:fill="D0EBF2"/>
          </w:tcPr>
          <w:p>
            <w:pPr>
              <w:spacing w:after="0"/>
              <w:rPr>
                <w:sz w:val="16"/>
                <w:szCs w:val="16"/>
                <w:color w:val="auto"/>
              </w:rPr>
            </w:pPr>
          </w:p>
        </w:tc>
        <w:tc>
          <w:tcPr>
            <w:tcW w:w="960" w:type="dxa"/>
            <w:vAlign w:val="bottom"/>
            <w:shd w:val="clear" w:color="auto" w:fill="D0EBF2"/>
          </w:tcPr>
          <w:p>
            <w:pPr>
              <w:spacing w:after="0"/>
              <w:rPr>
                <w:sz w:val="16"/>
                <w:szCs w:val="16"/>
                <w:color w:val="auto"/>
              </w:rPr>
            </w:pPr>
          </w:p>
        </w:tc>
        <w:tc>
          <w:tcPr>
            <w:tcW w:w="200" w:type="dxa"/>
            <w:vAlign w:val="bottom"/>
            <w:shd w:val="clear" w:color="auto" w:fill="D0EBF2"/>
          </w:tcPr>
          <w:p>
            <w:pPr>
              <w:spacing w:after="0"/>
              <w:rPr>
                <w:sz w:val="16"/>
                <w:szCs w:val="16"/>
                <w:color w:val="auto"/>
              </w:rPr>
            </w:pPr>
          </w:p>
        </w:tc>
        <w:tc>
          <w:tcPr>
            <w:tcW w:w="900" w:type="dxa"/>
            <w:vAlign w:val="bottom"/>
            <w:shd w:val="clear" w:color="auto" w:fill="D0EBF2"/>
          </w:tcPr>
          <w:p>
            <w:pPr>
              <w:spacing w:after="0"/>
              <w:rPr>
                <w:sz w:val="16"/>
                <w:szCs w:val="16"/>
                <w:color w:val="auto"/>
              </w:rPr>
            </w:pPr>
          </w:p>
        </w:tc>
        <w:tc>
          <w:tcPr>
            <w:tcW w:w="240" w:type="dxa"/>
            <w:vAlign w:val="bottom"/>
            <w:shd w:val="clear" w:color="auto" w:fill="D0EBF2"/>
          </w:tcPr>
          <w:p>
            <w:pPr>
              <w:spacing w:after="0"/>
              <w:rPr>
                <w:sz w:val="16"/>
                <w:szCs w:val="16"/>
                <w:color w:val="auto"/>
              </w:rPr>
            </w:pPr>
          </w:p>
        </w:tc>
      </w:tr>
      <w:tr>
        <w:trPr>
          <w:trHeight w:val="158"/>
        </w:trPr>
        <w:tc>
          <w:tcPr>
            <w:tcW w:w="1460" w:type="dxa"/>
            <w:vAlign w:val="bottom"/>
            <w:shd w:val="clear" w:color="auto" w:fill="FDFDFC"/>
          </w:tcPr>
          <w:p>
            <w:pPr>
              <w:spacing w:after="0" w:line="159" w:lineRule="exact"/>
              <w:rPr>
                <w:sz w:val="20"/>
                <w:szCs w:val="20"/>
                <w:color w:val="auto"/>
              </w:rPr>
            </w:pPr>
            <w:r>
              <w:rPr>
                <w:rFonts w:ascii="Times New Roman" w:cs="Times New Roman" w:eastAsia="Times New Roman" w:hAnsi="Times New Roman"/>
                <w:sz w:val="15"/>
                <w:szCs w:val="15"/>
                <w:color w:val="231F20"/>
              </w:rPr>
              <w:t>Park Avenue</w:t>
            </w:r>
          </w:p>
        </w:tc>
        <w:tc>
          <w:tcPr>
            <w:tcW w:w="2340" w:type="dxa"/>
            <w:vAlign w:val="bottom"/>
            <w:shd w:val="clear" w:color="auto" w:fill="FDFDFC"/>
          </w:tcPr>
          <w:p>
            <w:pPr>
              <w:ind w:left="60"/>
              <w:spacing w:after="0" w:line="159" w:lineRule="exact"/>
              <w:rPr>
                <w:sz w:val="20"/>
                <w:szCs w:val="20"/>
                <w:color w:val="auto"/>
              </w:rPr>
            </w:pPr>
            <w:r>
              <w:rPr>
                <w:rFonts w:ascii="Times New Roman" w:cs="Times New Roman" w:eastAsia="Times New Roman" w:hAnsi="Times New Roman"/>
                <w:sz w:val="15"/>
                <w:szCs w:val="15"/>
                <w:color w:val="231F20"/>
              </w:rPr>
              <w:t>Structured Credit ($1,000 par, due</w:t>
            </w:r>
          </w:p>
        </w:tc>
        <w:tc>
          <w:tcPr>
            <w:tcW w:w="900" w:type="dxa"/>
            <w:vAlign w:val="bottom"/>
            <w:shd w:val="clear" w:color="auto" w:fill="FDFDFC"/>
          </w:tcPr>
          <w:p>
            <w:pPr>
              <w:jc w:val="right"/>
              <w:spacing w:after="0" w:line="159" w:lineRule="exact"/>
              <w:rPr>
                <w:sz w:val="20"/>
                <w:szCs w:val="20"/>
                <w:color w:val="auto"/>
              </w:rPr>
            </w:pPr>
            <w:r>
              <w:rPr>
                <w:rFonts w:ascii="Times New Roman" w:cs="Times New Roman" w:eastAsia="Times New Roman" w:hAnsi="Times New Roman"/>
                <w:sz w:val="15"/>
                <w:szCs w:val="15"/>
                <w:color w:val="231F20"/>
              </w:rPr>
              <w:t>9/23/2022</w:t>
            </w:r>
          </w:p>
        </w:tc>
        <w:tc>
          <w:tcPr>
            <w:tcW w:w="1200" w:type="dxa"/>
            <w:vAlign w:val="bottom"/>
            <w:shd w:val="clear" w:color="auto" w:fill="FDFDFC"/>
          </w:tcPr>
          <w:p>
            <w:pPr>
              <w:jc w:val="right"/>
              <w:ind w:right="244"/>
              <w:spacing w:after="0" w:line="159" w:lineRule="exact"/>
              <w:rPr>
                <w:sz w:val="20"/>
                <w:szCs w:val="20"/>
                <w:color w:val="auto"/>
              </w:rPr>
            </w:pPr>
            <w:r>
              <w:rPr>
                <w:rFonts w:ascii="Times New Roman" w:cs="Times New Roman" w:eastAsia="Times New Roman" w:hAnsi="Times New Roman"/>
                <w:sz w:val="15"/>
                <w:szCs w:val="15"/>
                <w:color w:val="231F20"/>
              </w:rPr>
              <w:t>SOFR +</w:t>
            </w:r>
          </w:p>
        </w:tc>
        <w:tc>
          <w:tcPr>
            <w:tcW w:w="900" w:type="dxa"/>
            <w:vAlign w:val="bottom"/>
            <w:shd w:val="clear" w:color="auto" w:fill="FDFDFC"/>
          </w:tcPr>
          <w:p>
            <w:pPr>
              <w:jc w:val="right"/>
              <w:ind w:right="24"/>
              <w:spacing w:after="0" w:line="159" w:lineRule="exact"/>
              <w:rPr>
                <w:sz w:val="20"/>
                <w:szCs w:val="20"/>
                <w:color w:val="auto"/>
              </w:rPr>
            </w:pPr>
            <w:r>
              <w:rPr>
                <w:rFonts w:ascii="Times New Roman" w:cs="Times New Roman" w:eastAsia="Times New Roman" w:hAnsi="Times New Roman"/>
                <w:sz w:val="15"/>
                <w:szCs w:val="15"/>
                <w:color w:val="231F20"/>
              </w:rPr>
              <w:t>9.01%</w:t>
            </w:r>
          </w:p>
        </w:tc>
        <w:tc>
          <w:tcPr>
            <w:tcW w:w="1000" w:type="dxa"/>
            <w:vAlign w:val="bottom"/>
            <w:shd w:val="clear" w:color="auto" w:fill="FDFDFC"/>
          </w:tcPr>
          <w:p>
            <w:pPr>
              <w:jc w:val="right"/>
              <w:spacing w:after="0" w:line="159" w:lineRule="exact"/>
              <w:rPr>
                <w:sz w:val="20"/>
                <w:szCs w:val="20"/>
                <w:color w:val="auto"/>
              </w:rPr>
            </w:pPr>
            <w:r>
              <w:rPr>
                <w:rFonts w:ascii="Times New Roman" w:cs="Times New Roman" w:eastAsia="Times New Roman" w:hAnsi="Times New Roman"/>
                <w:sz w:val="15"/>
                <w:szCs w:val="15"/>
                <w:color w:val="231F20"/>
              </w:rPr>
              <w:t>870</w:t>
            </w:r>
          </w:p>
        </w:tc>
        <w:tc>
          <w:tcPr>
            <w:tcW w:w="1140" w:type="dxa"/>
            <w:vAlign w:val="bottom"/>
            <w:gridSpan w:val="2"/>
            <w:shd w:val="clear" w:color="auto" w:fill="FDFDFC"/>
          </w:tcPr>
          <w:p>
            <w:pPr>
              <w:jc w:val="right"/>
              <w:spacing w:after="0" w:line="159" w:lineRule="exact"/>
              <w:rPr>
                <w:sz w:val="20"/>
                <w:szCs w:val="20"/>
                <w:color w:val="auto"/>
              </w:rPr>
            </w:pPr>
            <w:r>
              <w:rPr>
                <w:rFonts w:ascii="Times New Roman" w:cs="Times New Roman" w:eastAsia="Times New Roman" w:hAnsi="Times New Roman"/>
                <w:sz w:val="15"/>
                <w:szCs w:val="15"/>
                <w:color w:val="231F20"/>
              </w:rPr>
              <w:t>925</w:t>
            </w:r>
          </w:p>
        </w:tc>
        <w:tc>
          <w:tcPr>
            <w:tcW w:w="1340" w:type="dxa"/>
            <w:vAlign w:val="bottom"/>
            <w:gridSpan w:val="3"/>
            <w:shd w:val="clear" w:color="auto" w:fill="FDFDFC"/>
          </w:tcPr>
          <w:p>
            <w:pPr>
              <w:jc w:val="right"/>
              <w:ind w:right="120"/>
              <w:spacing w:after="0" w:line="159" w:lineRule="exact"/>
              <w:rPr>
                <w:sz w:val="20"/>
                <w:szCs w:val="20"/>
                <w:color w:val="auto"/>
              </w:rPr>
            </w:pPr>
            <w:r>
              <w:rPr>
                <w:rFonts w:ascii="Times New Roman" w:cs="Times New Roman" w:eastAsia="Times New Roman" w:hAnsi="Times New Roman"/>
                <w:sz w:val="15"/>
                <w:szCs w:val="15"/>
                <w:color w:val="231F20"/>
              </w:rPr>
              <w:t>0.1%</w:t>
            </w:r>
          </w:p>
        </w:tc>
      </w:tr>
      <w:tr>
        <w:trPr>
          <w:trHeight w:val="174"/>
        </w:trPr>
        <w:tc>
          <w:tcPr>
            <w:tcW w:w="1460" w:type="dxa"/>
            <w:vAlign w:val="bottom"/>
            <w:shd w:val="clear" w:color="auto" w:fill="FDFDFC"/>
          </w:tcPr>
          <w:p>
            <w:pPr>
              <w:spacing w:after="0"/>
              <w:rPr>
                <w:sz w:val="20"/>
                <w:szCs w:val="20"/>
                <w:color w:val="auto"/>
              </w:rPr>
            </w:pPr>
            <w:r>
              <w:rPr>
                <w:rFonts w:ascii="Times New Roman" w:cs="Times New Roman" w:eastAsia="Times New Roman" w:hAnsi="Times New Roman"/>
                <w:sz w:val="15"/>
                <w:szCs w:val="15"/>
                <w:color w:val="231F20"/>
              </w:rPr>
              <w:t>Institutional Advisers</w:t>
            </w:r>
          </w:p>
        </w:tc>
        <w:tc>
          <w:tcPr>
            <w:tcW w:w="2340" w:type="dxa"/>
            <w:vAlign w:val="bottom"/>
            <w:shd w:val="clear" w:color="auto" w:fill="FDFDFC"/>
          </w:tcPr>
          <w:p>
            <w:pPr>
              <w:ind w:left="60"/>
              <w:spacing w:after="0"/>
              <w:rPr>
                <w:sz w:val="20"/>
                <w:szCs w:val="20"/>
                <w:color w:val="auto"/>
              </w:rPr>
            </w:pPr>
            <w:r>
              <w:rPr>
                <w:rFonts w:ascii="Times New Roman" w:cs="Times New Roman" w:eastAsia="Times New Roman" w:hAnsi="Times New Roman"/>
                <w:sz w:val="15"/>
                <w:szCs w:val="15"/>
                <w:color w:val="231F20"/>
              </w:rPr>
              <w:t>10/2031)</w:t>
            </w:r>
          </w:p>
        </w:tc>
        <w:tc>
          <w:tcPr>
            <w:tcW w:w="900" w:type="dxa"/>
            <w:vAlign w:val="bottom"/>
            <w:shd w:val="clear" w:color="auto" w:fill="FDFDFC"/>
          </w:tcPr>
          <w:p>
            <w:pPr>
              <w:spacing w:after="0"/>
              <w:rPr>
                <w:sz w:val="15"/>
                <w:szCs w:val="15"/>
                <w:color w:val="auto"/>
              </w:rPr>
            </w:pPr>
          </w:p>
        </w:tc>
        <w:tc>
          <w:tcPr>
            <w:tcW w:w="1200" w:type="dxa"/>
            <w:vAlign w:val="bottom"/>
            <w:shd w:val="clear" w:color="auto" w:fill="FDFDFC"/>
          </w:tcPr>
          <w:p>
            <w:pPr>
              <w:jc w:val="right"/>
              <w:ind w:right="244"/>
              <w:spacing w:after="0"/>
              <w:rPr>
                <w:sz w:val="20"/>
                <w:szCs w:val="20"/>
                <w:color w:val="auto"/>
              </w:rPr>
            </w:pPr>
            <w:r>
              <w:rPr>
                <w:rFonts w:ascii="Times New Roman" w:cs="Times New Roman" w:eastAsia="Times New Roman" w:hAnsi="Times New Roman"/>
                <w:sz w:val="15"/>
                <w:szCs w:val="15"/>
                <w:color w:val="231F20"/>
              </w:rPr>
              <w:t>3.59%</w:t>
            </w:r>
          </w:p>
        </w:tc>
        <w:tc>
          <w:tcPr>
            <w:tcW w:w="900" w:type="dxa"/>
            <w:vAlign w:val="bottom"/>
            <w:shd w:val="clear" w:color="auto" w:fill="FDFDFC"/>
          </w:tcPr>
          <w:p>
            <w:pPr>
              <w:spacing w:after="0"/>
              <w:rPr>
                <w:sz w:val="15"/>
                <w:szCs w:val="15"/>
                <w:color w:val="auto"/>
              </w:rPr>
            </w:pPr>
          </w:p>
        </w:tc>
        <w:tc>
          <w:tcPr>
            <w:tcW w:w="1000" w:type="dxa"/>
            <w:vAlign w:val="bottom"/>
            <w:shd w:val="clear" w:color="auto" w:fill="FDFDFC"/>
          </w:tcPr>
          <w:p>
            <w:pPr>
              <w:spacing w:after="0"/>
              <w:rPr>
                <w:sz w:val="15"/>
                <w:szCs w:val="15"/>
                <w:color w:val="auto"/>
              </w:rPr>
            </w:pPr>
          </w:p>
        </w:tc>
        <w:tc>
          <w:tcPr>
            <w:tcW w:w="180" w:type="dxa"/>
            <w:vAlign w:val="bottom"/>
            <w:shd w:val="clear" w:color="auto" w:fill="FDFDFC"/>
          </w:tcPr>
          <w:p>
            <w:pPr>
              <w:spacing w:after="0"/>
              <w:rPr>
                <w:sz w:val="15"/>
                <w:szCs w:val="15"/>
                <w:color w:val="auto"/>
              </w:rPr>
            </w:pPr>
          </w:p>
        </w:tc>
        <w:tc>
          <w:tcPr>
            <w:tcW w:w="960" w:type="dxa"/>
            <w:vAlign w:val="bottom"/>
            <w:shd w:val="clear" w:color="auto" w:fill="FDFDFC"/>
          </w:tcPr>
          <w:p>
            <w:pPr>
              <w:spacing w:after="0"/>
              <w:rPr>
                <w:sz w:val="15"/>
                <w:szCs w:val="15"/>
                <w:color w:val="auto"/>
              </w:rPr>
            </w:pPr>
          </w:p>
        </w:tc>
        <w:tc>
          <w:tcPr>
            <w:tcW w:w="200" w:type="dxa"/>
            <w:vAlign w:val="bottom"/>
            <w:shd w:val="clear" w:color="auto" w:fill="FDFDFC"/>
          </w:tcPr>
          <w:p>
            <w:pPr>
              <w:spacing w:after="0"/>
              <w:rPr>
                <w:sz w:val="15"/>
                <w:szCs w:val="15"/>
                <w:color w:val="auto"/>
              </w:rPr>
            </w:pPr>
          </w:p>
        </w:tc>
        <w:tc>
          <w:tcPr>
            <w:tcW w:w="900" w:type="dxa"/>
            <w:vAlign w:val="bottom"/>
            <w:shd w:val="clear" w:color="auto" w:fill="FDFDFC"/>
          </w:tcPr>
          <w:p>
            <w:pPr>
              <w:spacing w:after="0"/>
              <w:rPr>
                <w:sz w:val="15"/>
                <w:szCs w:val="15"/>
                <w:color w:val="auto"/>
              </w:rPr>
            </w:pPr>
          </w:p>
        </w:tc>
        <w:tc>
          <w:tcPr>
            <w:tcW w:w="240" w:type="dxa"/>
            <w:vAlign w:val="bottom"/>
            <w:shd w:val="clear" w:color="auto" w:fill="FDFDFC"/>
          </w:tcPr>
          <w:p>
            <w:pPr>
              <w:spacing w:after="0"/>
              <w:rPr>
                <w:sz w:val="15"/>
                <w:szCs w:val="15"/>
                <w:color w:val="auto"/>
              </w:rPr>
            </w:pPr>
          </w:p>
        </w:tc>
      </w:tr>
      <w:tr>
        <w:trPr>
          <w:trHeight w:val="174"/>
        </w:trPr>
        <w:tc>
          <w:tcPr>
            <w:tcW w:w="1460" w:type="dxa"/>
            <w:vAlign w:val="bottom"/>
            <w:shd w:val="clear" w:color="auto" w:fill="FDFDFC"/>
          </w:tcPr>
          <w:p>
            <w:pPr>
              <w:spacing w:after="0"/>
              <w:rPr>
                <w:sz w:val="20"/>
                <w:szCs w:val="20"/>
                <w:color w:val="auto"/>
              </w:rPr>
            </w:pPr>
            <w:r>
              <w:rPr>
                <w:rFonts w:ascii="Times New Roman" w:cs="Times New Roman" w:eastAsia="Times New Roman" w:hAnsi="Times New Roman"/>
                <w:sz w:val="15"/>
                <w:szCs w:val="15"/>
                <w:color w:val="231F20"/>
              </w:rPr>
              <w:t>CLO Ltd, Series 2018-</w:t>
            </w:r>
          </w:p>
        </w:tc>
        <w:tc>
          <w:tcPr>
            <w:tcW w:w="2340" w:type="dxa"/>
            <w:vAlign w:val="bottom"/>
            <w:shd w:val="clear" w:color="auto" w:fill="FDFDFC"/>
          </w:tcPr>
          <w:p>
            <w:pPr>
              <w:spacing w:after="0"/>
              <w:rPr>
                <w:sz w:val="15"/>
                <w:szCs w:val="15"/>
                <w:color w:val="auto"/>
              </w:rPr>
            </w:pPr>
          </w:p>
        </w:tc>
        <w:tc>
          <w:tcPr>
            <w:tcW w:w="900" w:type="dxa"/>
            <w:vAlign w:val="bottom"/>
            <w:shd w:val="clear" w:color="auto" w:fill="FDFDFC"/>
          </w:tcPr>
          <w:p>
            <w:pPr>
              <w:spacing w:after="0"/>
              <w:rPr>
                <w:sz w:val="15"/>
                <w:szCs w:val="15"/>
                <w:color w:val="auto"/>
              </w:rPr>
            </w:pPr>
          </w:p>
        </w:tc>
        <w:tc>
          <w:tcPr>
            <w:tcW w:w="1200" w:type="dxa"/>
            <w:vAlign w:val="bottom"/>
            <w:shd w:val="clear" w:color="auto" w:fill="FDFDFC"/>
          </w:tcPr>
          <w:p>
            <w:pPr>
              <w:spacing w:after="0"/>
              <w:rPr>
                <w:sz w:val="15"/>
                <w:szCs w:val="15"/>
                <w:color w:val="auto"/>
              </w:rPr>
            </w:pPr>
          </w:p>
        </w:tc>
        <w:tc>
          <w:tcPr>
            <w:tcW w:w="900" w:type="dxa"/>
            <w:vAlign w:val="bottom"/>
            <w:shd w:val="clear" w:color="auto" w:fill="FDFDFC"/>
          </w:tcPr>
          <w:p>
            <w:pPr>
              <w:spacing w:after="0"/>
              <w:rPr>
                <w:sz w:val="15"/>
                <w:szCs w:val="15"/>
                <w:color w:val="auto"/>
              </w:rPr>
            </w:pPr>
          </w:p>
        </w:tc>
        <w:tc>
          <w:tcPr>
            <w:tcW w:w="1000" w:type="dxa"/>
            <w:vAlign w:val="bottom"/>
            <w:shd w:val="clear" w:color="auto" w:fill="FDFDFC"/>
          </w:tcPr>
          <w:p>
            <w:pPr>
              <w:spacing w:after="0"/>
              <w:rPr>
                <w:sz w:val="15"/>
                <w:szCs w:val="15"/>
                <w:color w:val="auto"/>
              </w:rPr>
            </w:pPr>
          </w:p>
        </w:tc>
        <w:tc>
          <w:tcPr>
            <w:tcW w:w="180" w:type="dxa"/>
            <w:vAlign w:val="bottom"/>
            <w:shd w:val="clear" w:color="auto" w:fill="FDFDFC"/>
          </w:tcPr>
          <w:p>
            <w:pPr>
              <w:spacing w:after="0"/>
              <w:rPr>
                <w:sz w:val="15"/>
                <w:szCs w:val="15"/>
                <w:color w:val="auto"/>
              </w:rPr>
            </w:pPr>
          </w:p>
        </w:tc>
        <w:tc>
          <w:tcPr>
            <w:tcW w:w="960" w:type="dxa"/>
            <w:vAlign w:val="bottom"/>
            <w:shd w:val="clear" w:color="auto" w:fill="FDFDFC"/>
          </w:tcPr>
          <w:p>
            <w:pPr>
              <w:spacing w:after="0"/>
              <w:rPr>
                <w:sz w:val="15"/>
                <w:szCs w:val="15"/>
                <w:color w:val="auto"/>
              </w:rPr>
            </w:pPr>
          </w:p>
        </w:tc>
        <w:tc>
          <w:tcPr>
            <w:tcW w:w="200" w:type="dxa"/>
            <w:vAlign w:val="bottom"/>
            <w:shd w:val="clear" w:color="auto" w:fill="FDFDFC"/>
          </w:tcPr>
          <w:p>
            <w:pPr>
              <w:spacing w:after="0"/>
              <w:rPr>
                <w:sz w:val="15"/>
                <w:szCs w:val="15"/>
                <w:color w:val="auto"/>
              </w:rPr>
            </w:pPr>
          </w:p>
        </w:tc>
        <w:tc>
          <w:tcPr>
            <w:tcW w:w="900" w:type="dxa"/>
            <w:vAlign w:val="bottom"/>
            <w:shd w:val="clear" w:color="auto" w:fill="FDFDFC"/>
          </w:tcPr>
          <w:p>
            <w:pPr>
              <w:spacing w:after="0"/>
              <w:rPr>
                <w:sz w:val="15"/>
                <w:szCs w:val="15"/>
                <w:color w:val="auto"/>
              </w:rPr>
            </w:pPr>
          </w:p>
        </w:tc>
        <w:tc>
          <w:tcPr>
            <w:tcW w:w="240" w:type="dxa"/>
            <w:vAlign w:val="bottom"/>
            <w:shd w:val="clear" w:color="auto" w:fill="FDFDFC"/>
          </w:tcPr>
          <w:p>
            <w:pPr>
              <w:spacing w:after="0"/>
              <w:rPr>
                <w:sz w:val="15"/>
                <w:szCs w:val="15"/>
                <w:color w:val="auto"/>
              </w:rPr>
            </w:pPr>
          </w:p>
        </w:tc>
      </w:tr>
      <w:tr>
        <w:trPr>
          <w:trHeight w:val="189"/>
        </w:trPr>
        <w:tc>
          <w:tcPr>
            <w:tcW w:w="1460" w:type="dxa"/>
            <w:vAlign w:val="bottom"/>
            <w:shd w:val="clear" w:color="auto" w:fill="FDFDFC"/>
          </w:tcPr>
          <w:p>
            <w:pPr>
              <w:spacing w:after="0" w:line="190" w:lineRule="exact"/>
              <w:rPr>
                <w:sz w:val="20"/>
                <w:szCs w:val="20"/>
                <w:color w:val="auto"/>
              </w:rPr>
            </w:pPr>
            <w:r>
              <w:rPr>
                <w:rFonts w:ascii="Times New Roman" w:cs="Times New Roman" w:eastAsia="Times New Roman" w:hAnsi="Times New Roman"/>
                <w:sz w:val="21"/>
                <w:szCs w:val="21"/>
                <w:color w:val="231F20"/>
                <w:vertAlign w:val="subscript"/>
              </w:rPr>
              <w:t>1A</w:t>
            </w:r>
            <w:r>
              <w:rPr>
                <w:rFonts w:ascii="Times New Roman" w:cs="Times New Roman" w:eastAsia="Times New Roman" w:hAnsi="Times New Roman"/>
                <w:sz w:val="8"/>
                <w:szCs w:val="8"/>
                <w:color w:val="231F20"/>
              </w:rPr>
              <w:t xml:space="preserve"> (3)(4)(9)</w:t>
            </w:r>
          </w:p>
        </w:tc>
        <w:tc>
          <w:tcPr>
            <w:tcW w:w="2340" w:type="dxa"/>
            <w:vAlign w:val="bottom"/>
            <w:shd w:val="clear" w:color="auto" w:fill="FDFDFC"/>
          </w:tcPr>
          <w:p>
            <w:pPr>
              <w:spacing w:after="0"/>
              <w:rPr>
                <w:sz w:val="16"/>
                <w:szCs w:val="16"/>
                <w:color w:val="auto"/>
              </w:rPr>
            </w:pPr>
          </w:p>
        </w:tc>
        <w:tc>
          <w:tcPr>
            <w:tcW w:w="900" w:type="dxa"/>
            <w:vAlign w:val="bottom"/>
            <w:shd w:val="clear" w:color="auto" w:fill="FDFDFC"/>
          </w:tcPr>
          <w:p>
            <w:pPr>
              <w:spacing w:after="0"/>
              <w:rPr>
                <w:sz w:val="16"/>
                <w:szCs w:val="16"/>
                <w:color w:val="auto"/>
              </w:rPr>
            </w:pPr>
          </w:p>
        </w:tc>
        <w:tc>
          <w:tcPr>
            <w:tcW w:w="1200" w:type="dxa"/>
            <w:vAlign w:val="bottom"/>
            <w:shd w:val="clear" w:color="auto" w:fill="FDFDFC"/>
          </w:tcPr>
          <w:p>
            <w:pPr>
              <w:spacing w:after="0"/>
              <w:rPr>
                <w:sz w:val="16"/>
                <w:szCs w:val="16"/>
                <w:color w:val="auto"/>
              </w:rPr>
            </w:pPr>
          </w:p>
        </w:tc>
        <w:tc>
          <w:tcPr>
            <w:tcW w:w="900" w:type="dxa"/>
            <w:vAlign w:val="bottom"/>
            <w:shd w:val="clear" w:color="auto" w:fill="FDFDFC"/>
          </w:tcPr>
          <w:p>
            <w:pPr>
              <w:spacing w:after="0"/>
              <w:rPr>
                <w:sz w:val="16"/>
                <w:szCs w:val="16"/>
                <w:color w:val="auto"/>
              </w:rPr>
            </w:pPr>
          </w:p>
        </w:tc>
        <w:tc>
          <w:tcPr>
            <w:tcW w:w="1000" w:type="dxa"/>
            <w:vAlign w:val="bottom"/>
            <w:shd w:val="clear" w:color="auto" w:fill="FDFDFC"/>
          </w:tcPr>
          <w:p>
            <w:pPr>
              <w:spacing w:after="0"/>
              <w:rPr>
                <w:sz w:val="16"/>
                <w:szCs w:val="16"/>
                <w:color w:val="auto"/>
              </w:rPr>
            </w:pPr>
          </w:p>
        </w:tc>
        <w:tc>
          <w:tcPr>
            <w:tcW w:w="180" w:type="dxa"/>
            <w:vAlign w:val="bottom"/>
            <w:shd w:val="clear" w:color="auto" w:fill="FDFDFC"/>
          </w:tcPr>
          <w:p>
            <w:pPr>
              <w:spacing w:after="0"/>
              <w:rPr>
                <w:sz w:val="16"/>
                <w:szCs w:val="16"/>
                <w:color w:val="auto"/>
              </w:rPr>
            </w:pPr>
          </w:p>
        </w:tc>
        <w:tc>
          <w:tcPr>
            <w:tcW w:w="960" w:type="dxa"/>
            <w:vAlign w:val="bottom"/>
            <w:shd w:val="clear" w:color="auto" w:fill="FDFDFC"/>
          </w:tcPr>
          <w:p>
            <w:pPr>
              <w:spacing w:after="0"/>
              <w:rPr>
                <w:sz w:val="16"/>
                <w:szCs w:val="16"/>
                <w:color w:val="auto"/>
              </w:rPr>
            </w:pPr>
          </w:p>
        </w:tc>
        <w:tc>
          <w:tcPr>
            <w:tcW w:w="200" w:type="dxa"/>
            <w:vAlign w:val="bottom"/>
            <w:shd w:val="clear" w:color="auto" w:fill="FDFDFC"/>
          </w:tcPr>
          <w:p>
            <w:pPr>
              <w:spacing w:after="0"/>
              <w:rPr>
                <w:sz w:val="16"/>
                <w:szCs w:val="16"/>
                <w:color w:val="auto"/>
              </w:rPr>
            </w:pPr>
          </w:p>
        </w:tc>
        <w:tc>
          <w:tcPr>
            <w:tcW w:w="900" w:type="dxa"/>
            <w:vAlign w:val="bottom"/>
            <w:shd w:val="clear" w:color="auto" w:fill="FDFDFC"/>
          </w:tcPr>
          <w:p>
            <w:pPr>
              <w:spacing w:after="0"/>
              <w:rPr>
                <w:sz w:val="16"/>
                <w:szCs w:val="16"/>
                <w:color w:val="auto"/>
              </w:rPr>
            </w:pPr>
          </w:p>
        </w:tc>
        <w:tc>
          <w:tcPr>
            <w:tcW w:w="240" w:type="dxa"/>
            <w:vAlign w:val="bottom"/>
            <w:shd w:val="clear" w:color="auto" w:fill="FDFDFC"/>
          </w:tcPr>
          <w:p>
            <w:pPr>
              <w:spacing w:after="0"/>
              <w:rPr>
                <w:sz w:val="16"/>
                <w:szCs w:val="16"/>
                <w:color w:val="auto"/>
              </w:rPr>
            </w:pPr>
          </w:p>
        </w:tc>
      </w:tr>
      <w:tr>
        <w:trPr>
          <w:trHeight w:val="158"/>
        </w:trPr>
        <w:tc>
          <w:tcPr>
            <w:tcW w:w="1460" w:type="dxa"/>
            <w:vAlign w:val="bottom"/>
            <w:shd w:val="clear" w:color="auto" w:fill="D0EBF2"/>
          </w:tcPr>
          <w:p>
            <w:pPr>
              <w:spacing w:after="0" w:line="159" w:lineRule="exact"/>
              <w:rPr>
                <w:sz w:val="20"/>
                <w:szCs w:val="20"/>
                <w:color w:val="auto"/>
              </w:rPr>
            </w:pPr>
            <w:r>
              <w:rPr>
                <w:rFonts w:ascii="Times New Roman" w:cs="Times New Roman" w:eastAsia="Times New Roman" w:hAnsi="Times New Roman"/>
                <w:sz w:val="15"/>
                <w:szCs w:val="15"/>
                <w:color w:val="231F20"/>
              </w:rPr>
              <w:t>Pikes Peak CLO,</w:t>
            </w:r>
          </w:p>
        </w:tc>
        <w:tc>
          <w:tcPr>
            <w:tcW w:w="2340" w:type="dxa"/>
            <w:vAlign w:val="bottom"/>
            <w:shd w:val="clear" w:color="auto" w:fill="D0EBF2"/>
          </w:tcPr>
          <w:p>
            <w:pPr>
              <w:ind w:left="60"/>
              <w:spacing w:after="0" w:line="159" w:lineRule="exact"/>
              <w:rPr>
                <w:sz w:val="20"/>
                <w:szCs w:val="20"/>
                <w:color w:val="auto"/>
              </w:rPr>
            </w:pPr>
            <w:r>
              <w:rPr>
                <w:rFonts w:ascii="Times New Roman" w:cs="Times New Roman" w:eastAsia="Times New Roman" w:hAnsi="Times New Roman"/>
                <w:sz w:val="15"/>
                <w:szCs w:val="15"/>
                <w:color w:val="231F20"/>
              </w:rPr>
              <w:t>Structured Credit ($2,000 par, due</w:t>
            </w:r>
          </w:p>
        </w:tc>
        <w:tc>
          <w:tcPr>
            <w:tcW w:w="900" w:type="dxa"/>
            <w:vAlign w:val="bottom"/>
            <w:shd w:val="clear" w:color="auto" w:fill="D0EBF2"/>
          </w:tcPr>
          <w:p>
            <w:pPr>
              <w:jc w:val="right"/>
              <w:spacing w:after="0" w:line="159" w:lineRule="exact"/>
              <w:rPr>
                <w:sz w:val="20"/>
                <w:szCs w:val="20"/>
                <w:color w:val="auto"/>
              </w:rPr>
            </w:pPr>
            <w:r>
              <w:rPr>
                <w:rFonts w:ascii="Times New Roman" w:cs="Times New Roman" w:eastAsia="Times New Roman" w:hAnsi="Times New Roman"/>
                <w:sz w:val="15"/>
                <w:szCs w:val="15"/>
                <w:color w:val="231F20"/>
              </w:rPr>
              <w:t>8/31/2022</w:t>
            </w:r>
          </w:p>
        </w:tc>
        <w:tc>
          <w:tcPr>
            <w:tcW w:w="1200" w:type="dxa"/>
            <w:vAlign w:val="bottom"/>
            <w:shd w:val="clear" w:color="auto" w:fill="D0EBF2"/>
          </w:tcPr>
          <w:p>
            <w:pPr>
              <w:jc w:val="right"/>
              <w:ind w:right="244"/>
              <w:spacing w:after="0" w:line="159" w:lineRule="exact"/>
              <w:rPr>
                <w:sz w:val="20"/>
                <w:szCs w:val="20"/>
                <w:color w:val="auto"/>
              </w:rPr>
            </w:pPr>
            <w:r>
              <w:rPr>
                <w:rFonts w:ascii="Times New Roman" w:cs="Times New Roman" w:eastAsia="Times New Roman" w:hAnsi="Times New Roman"/>
                <w:sz w:val="15"/>
                <w:szCs w:val="15"/>
                <w:color w:val="231F20"/>
              </w:rPr>
              <w:t>SOFR +</w:t>
            </w:r>
          </w:p>
        </w:tc>
        <w:tc>
          <w:tcPr>
            <w:tcW w:w="900" w:type="dxa"/>
            <w:vAlign w:val="bottom"/>
            <w:shd w:val="clear" w:color="auto" w:fill="D0EBF2"/>
          </w:tcPr>
          <w:p>
            <w:pPr>
              <w:jc w:val="right"/>
              <w:ind w:right="24"/>
              <w:spacing w:after="0" w:line="159" w:lineRule="exact"/>
              <w:rPr>
                <w:sz w:val="20"/>
                <w:szCs w:val="20"/>
                <w:color w:val="auto"/>
              </w:rPr>
            </w:pPr>
            <w:r>
              <w:rPr>
                <w:rFonts w:ascii="Times New Roman" w:cs="Times New Roman" w:eastAsia="Times New Roman" w:hAnsi="Times New Roman"/>
                <w:sz w:val="15"/>
                <w:szCs w:val="15"/>
                <w:color w:val="231F20"/>
              </w:rPr>
              <w:t>12.23%</w:t>
            </w:r>
          </w:p>
        </w:tc>
        <w:tc>
          <w:tcPr>
            <w:tcW w:w="1000" w:type="dxa"/>
            <w:vAlign w:val="bottom"/>
            <w:shd w:val="clear" w:color="auto" w:fill="D0EBF2"/>
          </w:tcPr>
          <w:p>
            <w:pPr>
              <w:jc w:val="right"/>
              <w:spacing w:after="0" w:line="159" w:lineRule="exact"/>
              <w:rPr>
                <w:sz w:val="20"/>
                <w:szCs w:val="20"/>
                <w:color w:val="auto"/>
              </w:rPr>
            </w:pPr>
            <w:r>
              <w:rPr>
                <w:rFonts w:ascii="Times New Roman" w:cs="Times New Roman" w:eastAsia="Times New Roman" w:hAnsi="Times New Roman"/>
                <w:sz w:val="15"/>
                <w:szCs w:val="15"/>
                <w:color w:val="231F20"/>
              </w:rPr>
              <w:t>1,787</w:t>
            </w:r>
          </w:p>
        </w:tc>
        <w:tc>
          <w:tcPr>
            <w:tcW w:w="1140" w:type="dxa"/>
            <w:vAlign w:val="bottom"/>
            <w:gridSpan w:val="2"/>
            <w:shd w:val="clear" w:color="auto" w:fill="D0EBF2"/>
          </w:tcPr>
          <w:p>
            <w:pPr>
              <w:jc w:val="right"/>
              <w:spacing w:after="0" w:line="159" w:lineRule="exact"/>
              <w:rPr>
                <w:sz w:val="20"/>
                <w:szCs w:val="20"/>
                <w:color w:val="auto"/>
              </w:rPr>
            </w:pPr>
            <w:r>
              <w:rPr>
                <w:rFonts w:ascii="Times New Roman" w:cs="Times New Roman" w:eastAsia="Times New Roman" w:hAnsi="Times New Roman"/>
                <w:sz w:val="15"/>
                <w:szCs w:val="15"/>
                <w:color w:val="231F20"/>
              </w:rPr>
              <w:t>1,890</w:t>
            </w:r>
          </w:p>
        </w:tc>
        <w:tc>
          <w:tcPr>
            <w:tcW w:w="1340" w:type="dxa"/>
            <w:vAlign w:val="bottom"/>
            <w:gridSpan w:val="3"/>
            <w:shd w:val="clear" w:color="auto" w:fill="D0EBF2"/>
          </w:tcPr>
          <w:p>
            <w:pPr>
              <w:jc w:val="right"/>
              <w:ind w:right="120"/>
              <w:spacing w:after="0" w:line="159" w:lineRule="exact"/>
              <w:rPr>
                <w:sz w:val="20"/>
                <w:szCs w:val="20"/>
                <w:color w:val="auto"/>
              </w:rPr>
            </w:pPr>
            <w:r>
              <w:rPr>
                <w:rFonts w:ascii="Times New Roman" w:cs="Times New Roman" w:eastAsia="Times New Roman" w:hAnsi="Times New Roman"/>
                <w:sz w:val="15"/>
                <w:szCs w:val="15"/>
                <w:color w:val="231F20"/>
              </w:rPr>
              <w:t>0.1%</w:t>
            </w:r>
          </w:p>
        </w:tc>
      </w:tr>
      <w:tr>
        <w:trPr>
          <w:trHeight w:val="189"/>
        </w:trPr>
        <w:tc>
          <w:tcPr>
            <w:tcW w:w="1460" w:type="dxa"/>
            <w:vAlign w:val="bottom"/>
            <w:shd w:val="clear" w:color="auto" w:fill="D0EBF2"/>
          </w:tcPr>
          <w:p>
            <w:pPr>
              <w:spacing w:after="0"/>
              <w:rPr>
                <w:sz w:val="20"/>
                <w:szCs w:val="20"/>
                <w:color w:val="auto"/>
              </w:rPr>
            </w:pPr>
            <w:r>
              <w:rPr>
                <w:rFonts w:ascii="Times New Roman" w:cs="Times New Roman" w:eastAsia="Times New Roman" w:hAnsi="Times New Roman"/>
                <w:sz w:val="15"/>
                <w:szCs w:val="15"/>
                <w:color w:val="231F20"/>
              </w:rPr>
              <w:t xml:space="preserve">Series 2021-9A </w:t>
            </w:r>
            <w:r>
              <w:rPr>
                <w:rFonts w:ascii="Times New Roman" w:cs="Times New Roman" w:eastAsia="Times New Roman" w:hAnsi="Times New Roman"/>
                <w:sz w:val="9"/>
                <w:szCs w:val="9"/>
                <w:color w:val="231F20"/>
              </w:rPr>
              <w:t>(3)(4)(9)</w:t>
            </w:r>
          </w:p>
        </w:tc>
        <w:tc>
          <w:tcPr>
            <w:tcW w:w="2340" w:type="dxa"/>
            <w:vAlign w:val="bottom"/>
            <w:shd w:val="clear" w:color="auto" w:fill="D0EBF2"/>
          </w:tcPr>
          <w:p>
            <w:pPr>
              <w:ind w:left="60"/>
              <w:spacing w:after="0"/>
              <w:rPr>
                <w:sz w:val="20"/>
                <w:szCs w:val="20"/>
                <w:color w:val="auto"/>
              </w:rPr>
            </w:pPr>
            <w:r>
              <w:rPr>
                <w:rFonts w:ascii="Times New Roman" w:cs="Times New Roman" w:eastAsia="Times New Roman" w:hAnsi="Times New Roman"/>
                <w:sz w:val="15"/>
                <w:szCs w:val="15"/>
                <w:color w:val="231F20"/>
              </w:rPr>
              <w:t>10/2034)</w:t>
            </w:r>
          </w:p>
        </w:tc>
        <w:tc>
          <w:tcPr>
            <w:tcW w:w="900" w:type="dxa"/>
            <w:vAlign w:val="bottom"/>
            <w:shd w:val="clear" w:color="auto" w:fill="D0EBF2"/>
          </w:tcPr>
          <w:p>
            <w:pPr>
              <w:spacing w:after="0"/>
              <w:rPr>
                <w:sz w:val="16"/>
                <w:szCs w:val="16"/>
                <w:color w:val="auto"/>
              </w:rPr>
            </w:pPr>
          </w:p>
        </w:tc>
        <w:tc>
          <w:tcPr>
            <w:tcW w:w="1200" w:type="dxa"/>
            <w:vAlign w:val="bottom"/>
            <w:shd w:val="clear" w:color="auto" w:fill="D0EBF2"/>
          </w:tcPr>
          <w:p>
            <w:pPr>
              <w:jc w:val="right"/>
              <w:ind w:right="244"/>
              <w:spacing w:after="0"/>
              <w:rPr>
                <w:sz w:val="20"/>
                <w:szCs w:val="20"/>
                <w:color w:val="auto"/>
              </w:rPr>
            </w:pPr>
            <w:r>
              <w:rPr>
                <w:rFonts w:ascii="Times New Roman" w:cs="Times New Roman" w:eastAsia="Times New Roman" w:hAnsi="Times New Roman"/>
                <w:sz w:val="15"/>
                <w:szCs w:val="15"/>
                <w:color w:val="231F20"/>
              </w:rPr>
              <w:t>6.84%</w:t>
            </w:r>
          </w:p>
        </w:tc>
        <w:tc>
          <w:tcPr>
            <w:tcW w:w="900" w:type="dxa"/>
            <w:vAlign w:val="bottom"/>
            <w:shd w:val="clear" w:color="auto" w:fill="D0EBF2"/>
          </w:tcPr>
          <w:p>
            <w:pPr>
              <w:spacing w:after="0"/>
              <w:rPr>
                <w:sz w:val="16"/>
                <w:szCs w:val="16"/>
                <w:color w:val="auto"/>
              </w:rPr>
            </w:pPr>
          </w:p>
        </w:tc>
        <w:tc>
          <w:tcPr>
            <w:tcW w:w="1000" w:type="dxa"/>
            <w:vAlign w:val="bottom"/>
            <w:shd w:val="clear" w:color="auto" w:fill="D0EBF2"/>
          </w:tcPr>
          <w:p>
            <w:pPr>
              <w:spacing w:after="0"/>
              <w:rPr>
                <w:sz w:val="16"/>
                <w:szCs w:val="16"/>
                <w:color w:val="auto"/>
              </w:rPr>
            </w:pPr>
          </w:p>
        </w:tc>
        <w:tc>
          <w:tcPr>
            <w:tcW w:w="180" w:type="dxa"/>
            <w:vAlign w:val="bottom"/>
            <w:shd w:val="clear" w:color="auto" w:fill="D0EBF2"/>
          </w:tcPr>
          <w:p>
            <w:pPr>
              <w:spacing w:after="0"/>
              <w:rPr>
                <w:sz w:val="16"/>
                <w:szCs w:val="16"/>
                <w:color w:val="auto"/>
              </w:rPr>
            </w:pPr>
          </w:p>
        </w:tc>
        <w:tc>
          <w:tcPr>
            <w:tcW w:w="960" w:type="dxa"/>
            <w:vAlign w:val="bottom"/>
            <w:shd w:val="clear" w:color="auto" w:fill="D0EBF2"/>
          </w:tcPr>
          <w:p>
            <w:pPr>
              <w:spacing w:after="0"/>
              <w:rPr>
                <w:sz w:val="16"/>
                <w:szCs w:val="16"/>
                <w:color w:val="auto"/>
              </w:rPr>
            </w:pPr>
          </w:p>
        </w:tc>
        <w:tc>
          <w:tcPr>
            <w:tcW w:w="200" w:type="dxa"/>
            <w:vAlign w:val="bottom"/>
            <w:shd w:val="clear" w:color="auto" w:fill="D0EBF2"/>
          </w:tcPr>
          <w:p>
            <w:pPr>
              <w:spacing w:after="0"/>
              <w:rPr>
                <w:sz w:val="16"/>
                <w:szCs w:val="16"/>
                <w:color w:val="auto"/>
              </w:rPr>
            </w:pPr>
          </w:p>
        </w:tc>
        <w:tc>
          <w:tcPr>
            <w:tcW w:w="900" w:type="dxa"/>
            <w:vAlign w:val="bottom"/>
            <w:shd w:val="clear" w:color="auto" w:fill="D0EBF2"/>
          </w:tcPr>
          <w:p>
            <w:pPr>
              <w:spacing w:after="0"/>
              <w:rPr>
                <w:sz w:val="16"/>
                <w:szCs w:val="16"/>
                <w:color w:val="auto"/>
              </w:rPr>
            </w:pPr>
          </w:p>
        </w:tc>
        <w:tc>
          <w:tcPr>
            <w:tcW w:w="240" w:type="dxa"/>
            <w:vAlign w:val="bottom"/>
            <w:shd w:val="clear" w:color="auto" w:fill="D0EBF2"/>
          </w:tcPr>
          <w:p>
            <w:pPr>
              <w:spacing w:after="0"/>
              <w:rPr>
                <w:sz w:val="16"/>
                <w:szCs w:val="16"/>
                <w:color w:val="auto"/>
              </w:rPr>
            </w:pPr>
          </w:p>
        </w:tc>
      </w:tr>
      <w:tr>
        <w:trPr>
          <w:trHeight w:val="158"/>
        </w:trPr>
        <w:tc>
          <w:tcPr>
            <w:tcW w:w="1460" w:type="dxa"/>
            <w:vAlign w:val="bottom"/>
            <w:shd w:val="clear" w:color="auto" w:fill="FDFDFC"/>
          </w:tcPr>
          <w:p>
            <w:pPr>
              <w:spacing w:after="0" w:line="159" w:lineRule="exact"/>
              <w:rPr>
                <w:sz w:val="20"/>
                <w:szCs w:val="20"/>
                <w:color w:val="auto"/>
              </w:rPr>
            </w:pPr>
            <w:r>
              <w:rPr>
                <w:rFonts w:ascii="Times New Roman" w:cs="Times New Roman" w:eastAsia="Times New Roman" w:hAnsi="Times New Roman"/>
                <w:sz w:val="15"/>
                <w:szCs w:val="15"/>
                <w:color w:val="231F20"/>
              </w:rPr>
              <w:t>RR Ltd, Series 2020-</w:t>
            </w:r>
          </w:p>
        </w:tc>
        <w:tc>
          <w:tcPr>
            <w:tcW w:w="2340" w:type="dxa"/>
            <w:vAlign w:val="bottom"/>
            <w:shd w:val="clear" w:color="auto" w:fill="FDFDFC"/>
          </w:tcPr>
          <w:p>
            <w:pPr>
              <w:ind w:left="60"/>
              <w:spacing w:after="0" w:line="159" w:lineRule="exact"/>
              <w:rPr>
                <w:sz w:val="20"/>
                <w:szCs w:val="20"/>
                <w:color w:val="auto"/>
              </w:rPr>
            </w:pPr>
            <w:r>
              <w:rPr>
                <w:rFonts w:ascii="Times New Roman" w:cs="Times New Roman" w:eastAsia="Times New Roman" w:hAnsi="Times New Roman"/>
                <w:sz w:val="15"/>
                <w:szCs w:val="15"/>
                <w:color w:val="231F20"/>
              </w:rPr>
              <w:t>Structured Credit ($1,000 par, due</w:t>
            </w:r>
          </w:p>
        </w:tc>
        <w:tc>
          <w:tcPr>
            <w:tcW w:w="900" w:type="dxa"/>
            <w:vAlign w:val="bottom"/>
            <w:shd w:val="clear" w:color="auto" w:fill="FDFDFC"/>
          </w:tcPr>
          <w:p>
            <w:pPr>
              <w:jc w:val="right"/>
              <w:spacing w:after="0" w:line="159" w:lineRule="exact"/>
              <w:rPr>
                <w:sz w:val="20"/>
                <w:szCs w:val="20"/>
                <w:color w:val="auto"/>
              </w:rPr>
            </w:pPr>
            <w:r>
              <w:rPr>
                <w:rFonts w:ascii="Times New Roman" w:cs="Times New Roman" w:eastAsia="Times New Roman" w:hAnsi="Times New Roman"/>
                <w:sz w:val="15"/>
                <w:szCs w:val="15"/>
                <w:color w:val="231F20"/>
              </w:rPr>
              <w:t>8/22/2022</w:t>
            </w:r>
          </w:p>
        </w:tc>
        <w:tc>
          <w:tcPr>
            <w:tcW w:w="1200" w:type="dxa"/>
            <w:vAlign w:val="bottom"/>
            <w:shd w:val="clear" w:color="auto" w:fill="FDFDFC"/>
          </w:tcPr>
          <w:p>
            <w:pPr>
              <w:jc w:val="right"/>
              <w:ind w:right="244"/>
              <w:spacing w:after="0" w:line="159" w:lineRule="exact"/>
              <w:rPr>
                <w:sz w:val="20"/>
                <w:szCs w:val="20"/>
                <w:color w:val="auto"/>
              </w:rPr>
            </w:pPr>
            <w:r>
              <w:rPr>
                <w:rFonts w:ascii="Times New Roman" w:cs="Times New Roman" w:eastAsia="Times New Roman" w:hAnsi="Times New Roman"/>
                <w:sz w:val="15"/>
                <w:szCs w:val="15"/>
                <w:color w:val="231F20"/>
              </w:rPr>
              <w:t>SOFR +</w:t>
            </w:r>
          </w:p>
        </w:tc>
        <w:tc>
          <w:tcPr>
            <w:tcW w:w="900" w:type="dxa"/>
            <w:vAlign w:val="bottom"/>
            <w:shd w:val="clear" w:color="auto" w:fill="FDFDFC"/>
          </w:tcPr>
          <w:p>
            <w:pPr>
              <w:jc w:val="right"/>
              <w:ind w:right="24"/>
              <w:spacing w:after="0" w:line="159" w:lineRule="exact"/>
              <w:rPr>
                <w:sz w:val="20"/>
                <w:szCs w:val="20"/>
                <w:color w:val="auto"/>
              </w:rPr>
            </w:pPr>
            <w:r>
              <w:rPr>
                <w:rFonts w:ascii="Times New Roman" w:cs="Times New Roman" w:eastAsia="Times New Roman" w:hAnsi="Times New Roman"/>
                <w:sz w:val="15"/>
                <w:szCs w:val="15"/>
                <w:color w:val="231F20"/>
              </w:rPr>
              <w:t>12.06%</w:t>
            </w:r>
          </w:p>
        </w:tc>
        <w:tc>
          <w:tcPr>
            <w:tcW w:w="1000" w:type="dxa"/>
            <w:vAlign w:val="bottom"/>
            <w:shd w:val="clear" w:color="auto" w:fill="FDFDFC"/>
          </w:tcPr>
          <w:p>
            <w:pPr>
              <w:jc w:val="right"/>
              <w:spacing w:after="0" w:line="159" w:lineRule="exact"/>
              <w:rPr>
                <w:sz w:val="20"/>
                <w:szCs w:val="20"/>
                <w:color w:val="auto"/>
              </w:rPr>
            </w:pPr>
            <w:r>
              <w:rPr>
                <w:rFonts w:ascii="Times New Roman" w:cs="Times New Roman" w:eastAsia="Times New Roman" w:hAnsi="Times New Roman"/>
                <w:sz w:val="15"/>
                <w:szCs w:val="15"/>
                <w:color w:val="231F20"/>
              </w:rPr>
              <w:t>955</w:t>
            </w:r>
          </w:p>
        </w:tc>
        <w:tc>
          <w:tcPr>
            <w:tcW w:w="1140" w:type="dxa"/>
            <w:vAlign w:val="bottom"/>
            <w:gridSpan w:val="2"/>
            <w:shd w:val="clear" w:color="auto" w:fill="FDFDFC"/>
          </w:tcPr>
          <w:p>
            <w:pPr>
              <w:jc w:val="right"/>
              <w:spacing w:after="0" w:line="159" w:lineRule="exact"/>
              <w:rPr>
                <w:sz w:val="20"/>
                <w:szCs w:val="20"/>
                <w:color w:val="auto"/>
              </w:rPr>
            </w:pPr>
            <w:r>
              <w:rPr>
                <w:rFonts w:ascii="Times New Roman" w:cs="Times New Roman" w:eastAsia="Times New Roman" w:hAnsi="Times New Roman"/>
                <w:sz w:val="15"/>
                <w:szCs w:val="15"/>
                <w:color w:val="231F20"/>
              </w:rPr>
              <w:t>995</w:t>
            </w:r>
          </w:p>
        </w:tc>
        <w:tc>
          <w:tcPr>
            <w:tcW w:w="1340" w:type="dxa"/>
            <w:vAlign w:val="bottom"/>
            <w:gridSpan w:val="3"/>
            <w:shd w:val="clear" w:color="auto" w:fill="FDFDFC"/>
          </w:tcPr>
          <w:p>
            <w:pPr>
              <w:jc w:val="right"/>
              <w:ind w:right="120"/>
              <w:spacing w:after="0" w:line="159" w:lineRule="exact"/>
              <w:rPr>
                <w:sz w:val="20"/>
                <w:szCs w:val="20"/>
                <w:color w:val="auto"/>
              </w:rPr>
            </w:pPr>
            <w:r>
              <w:rPr>
                <w:rFonts w:ascii="Times New Roman" w:cs="Times New Roman" w:eastAsia="Times New Roman" w:hAnsi="Times New Roman"/>
                <w:sz w:val="15"/>
                <w:szCs w:val="15"/>
                <w:color w:val="231F20"/>
              </w:rPr>
              <w:t>0.1%</w:t>
            </w:r>
          </w:p>
        </w:tc>
      </w:tr>
      <w:tr>
        <w:trPr>
          <w:trHeight w:val="189"/>
        </w:trPr>
        <w:tc>
          <w:tcPr>
            <w:tcW w:w="1460" w:type="dxa"/>
            <w:vAlign w:val="bottom"/>
            <w:shd w:val="clear" w:color="auto" w:fill="FDFDFC"/>
          </w:tcPr>
          <w:p>
            <w:pPr>
              <w:spacing w:after="0" w:line="190" w:lineRule="exact"/>
              <w:rPr>
                <w:sz w:val="20"/>
                <w:szCs w:val="20"/>
                <w:color w:val="auto"/>
              </w:rPr>
            </w:pPr>
            <w:r>
              <w:rPr>
                <w:rFonts w:ascii="Times New Roman" w:cs="Times New Roman" w:eastAsia="Times New Roman" w:hAnsi="Times New Roman"/>
                <w:sz w:val="21"/>
                <w:szCs w:val="21"/>
                <w:color w:val="231F20"/>
                <w:vertAlign w:val="subscript"/>
              </w:rPr>
              <w:t>8A</w:t>
            </w:r>
            <w:r>
              <w:rPr>
                <w:rFonts w:ascii="Times New Roman" w:cs="Times New Roman" w:eastAsia="Times New Roman" w:hAnsi="Times New Roman"/>
                <w:sz w:val="8"/>
                <w:szCs w:val="8"/>
                <w:color w:val="231F20"/>
              </w:rPr>
              <w:t xml:space="preserve"> (3)(4)(9)</w:t>
            </w:r>
          </w:p>
        </w:tc>
        <w:tc>
          <w:tcPr>
            <w:tcW w:w="2340" w:type="dxa"/>
            <w:vAlign w:val="bottom"/>
            <w:shd w:val="clear" w:color="auto" w:fill="FDFDFC"/>
          </w:tcPr>
          <w:p>
            <w:pPr>
              <w:ind w:left="60"/>
              <w:spacing w:after="0"/>
              <w:rPr>
                <w:sz w:val="20"/>
                <w:szCs w:val="20"/>
                <w:color w:val="auto"/>
              </w:rPr>
            </w:pPr>
            <w:r>
              <w:rPr>
                <w:rFonts w:ascii="Times New Roman" w:cs="Times New Roman" w:eastAsia="Times New Roman" w:hAnsi="Times New Roman"/>
                <w:sz w:val="15"/>
                <w:szCs w:val="15"/>
                <w:color w:val="231F20"/>
              </w:rPr>
              <w:t>4/2033)</w:t>
            </w:r>
          </w:p>
        </w:tc>
        <w:tc>
          <w:tcPr>
            <w:tcW w:w="900" w:type="dxa"/>
            <w:vAlign w:val="bottom"/>
            <w:shd w:val="clear" w:color="auto" w:fill="FDFDFC"/>
          </w:tcPr>
          <w:p>
            <w:pPr>
              <w:spacing w:after="0"/>
              <w:rPr>
                <w:sz w:val="16"/>
                <w:szCs w:val="16"/>
                <w:color w:val="auto"/>
              </w:rPr>
            </w:pPr>
          </w:p>
        </w:tc>
        <w:tc>
          <w:tcPr>
            <w:tcW w:w="1200" w:type="dxa"/>
            <w:vAlign w:val="bottom"/>
            <w:shd w:val="clear" w:color="auto" w:fill="FDFDFC"/>
          </w:tcPr>
          <w:p>
            <w:pPr>
              <w:jc w:val="right"/>
              <w:ind w:right="244"/>
              <w:spacing w:after="0"/>
              <w:rPr>
                <w:sz w:val="20"/>
                <w:szCs w:val="20"/>
                <w:color w:val="auto"/>
              </w:rPr>
            </w:pPr>
            <w:r>
              <w:rPr>
                <w:rFonts w:ascii="Times New Roman" w:cs="Times New Roman" w:eastAsia="Times New Roman" w:hAnsi="Times New Roman"/>
                <w:sz w:val="15"/>
                <w:szCs w:val="15"/>
                <w:color w:val="231F20"/>
              </w:rPr>
              <w:t>6.66%</w:t>
            </w:r>
          </w:p>
        </w:tc>
        <w:tc>
          <w:tcPr>
            <w:tcW w:w="900" w:type="dxa"/>
            <w:vAlign w:val="bottom"/>
            <w:shd w:val="clear" w:color="auto" w:fill="FDFDFC"/>
          </w:tcPr>
          <w:p>
            <w:pPr>
              <w:spacing w:after="0"/>
              <w:rPr>
                <w:sz w:val="16"/>
                <w:szCs w:val="16"/>
                <w:color w:val="auto"/>
              </w:rPr>
            </w:pPr>
          </w:p>
        </w:tc>
        <w:tc>
          <w:tcPr>
            <w:tcW w:w="1000" w:type="dxa"/>
            <w:vAlign w:val="bottom"/>
            <w:shd w:val="clear" w:color="auto" w:fill="FDFDFC"/>
          </w:tcPr>
          <w:p>
            <w:pPr>
              <w:spacing w:after="0"/>
              <w:rPr>
                <w:sz w:val="16"/>
                <w:szCs w:val="16"/>
                <w:color w:val="auto"/>
              </w:rPr>
            </w:pPr>
          </w:p>
        </w:tc>
        <w:tc>
          <w:tcPr>
            <w:tcW w:w="180" w:type="dxa"/>
            <w:vAlign w:val="bottom"/>
            <w:shd w:val="clear" w:color="auto" w:fill="FDFDFC"/>
          </w:tcPr>
          <w:p>
            <w:pPr>
              <w:spacing w:after="0"/>
              <w:rPr>
                <w:sz w:val="16"/>
                <w:szCs w:val="16"/>
                <w:color w:val="auto"/>
              </w:rPr>
            </w:pPr>
          </w:p>
        </w:tc>
        <w:tc>
          <w:tcPr>
            <w:tcW w:w="960" w:type="dxa"/>
            <w:vAlign w:val="bottom"/>
            <w:shd w:val="clear" w:color="auto" w:fill="FDFDFC"/>
          </w:tcPr>
          <w:p>
            <w:pPr>
              <w:spacing w:after="0"/>
              <w:rPr>
                <w:sz w:val="16"/>
                <w:szCs w:val="16"/>
                <w:color w:val="auto"/>
              </w:rPr>
            </w:pPr>
          </w:p>
        </w:tc>
        <w:tc>
          <w:tcPr>
            <w:tcW w:w="200" w:type="dxa"/>
            <w:vAlign w:val="bottom"/>
            <w:shd w:val="clear" w:color="auto" w:fill="FDFDFC"/>
          </w:tcPr>
          <w:p>
            <w:pPr>
              <w:spacing w:after="0"/>
              <w:rPr>
                <w:sz w:val="16"/>
                <w:szCs w:val="16"/>
                <w:color w:val="auto"/>
              </w:rPr>
            </w:pPr>
          </w:p>
        </w:tc>
        <w:tc>
          <w:tcPr>
            <w:tcW w:w="900" w:type="dxa"/>
            <w:vAlign w:val="bottom"/>
            <w:shd w:val="clear" w:color="auto" w:fill="FDFDFC"/>
          </w:tcPr>
          <w:p>
            <w:pPr>
              <w:spacing w:after="0"/>
              <w:rPr>
                <w:sz w:val="16"/>
                <w:szCs w:val="16"/>
                <w:color w:val="auto"/>
              </w:rPr>
            </w:pPr>
          </w:p>
        </w:tc>
        <w:tc>
          <w:tcPr>
            <w:tcW w:w="240" w:type="dxa"/>
            <w:vAlign w:val="bottom"/>
            <w:shd w:val="clear" w:color="auto" w:fill="FDFDFC"/>
          </w:tcPr>
          <w:p>
            <w:pPr>
              <w:spacing w:after="0"/>
              <w:rPr>
                <w:sz w:val="16"/>
                <w:szCs w:val="16"/>
                <w:color w:val="auto"/>
              </w:rPr>
            </w:pPr>
          </w:p>
        </w:tc>
      </w:tr>
      <w:tr>
        <w:trPr>
          <w:trHeight w:val="158"/>
        </w:trPr>
        <w:tc>
          <w:tcPr>
            <w:tcW w:w="1460" w:type="dxa"/>
            <w:vAlign w:val="bottom"/>
            <w:shd w:val="clear" w:color="auto" w:fill="D0EBF2"/>
          </w:tcPr>
          <w:p>
            <w:pPr>
              <w:spacing w:after="0" w:line="159" w:lineRule="exact"/>
              <w:rPr>
                <w:sz w:val="20"/>
                <w:szCs w:val="20"/>
                <w:color w:val="auto"/>
              </w:rPr>
            </w:pPr>
            <w:r>
              <w:rPr>
                <w:rFonts w:ascii="Times New Roman" w:cs="Times New Roman" w:eastAsia="Times New Roman" w:hAnsi="Times New Roman"/>
                <w:sz w:val="15"/>
                <w:szCs w:val="15"/>
                <w:color w:val="231F20"/>
              </w:rPr>
              <w:t>Signal Peak CLO</w:t>
            </w:r>
          </w:p>
        </w:tc>
        <w:tc>
          <w:tcPr>
            <w:tcW w:w="2340" w:type="dxa"/>
            <w:vAlign w:val="bottom"/>
            <w:shd w:val="clear" w:color="auto" w:fill="D0EBF2"/>
          </w:tcPr>
          <w:p>
            <w:pPr>
              <w:ind w:left="60"/>
              <w:spacing w:after="0" w:line="159" w:lineRule="exact"/>
              <w:rPr>
                <w:sz w:val="20"/>
                <w:szCs w:val="20"/>
                <w:color w:val="auto"/>
              </w:rPr>
            </w:pPr>
            <w:r>
              <w:rPr>
                <w:rFonts w:ascii="Times New Roman" w:cs="Times New Roman" w:eastAsia="Times New Roman" w:hAnsi="Times New Roman"/>
                <w:sz w:val="15"/>
                <w:szCs w:val="15"/>
                <w:color w:val="231F20"/>
              </w:rPr>
              <w:t>Structured Credit ($333 par, due</w:t>
            </w:r>
          </w:p>
        </w:tc>
        <w:tc>
          <w:tcPr>
            <w:tcW w:w="900" w:type="dxa"/>
            <w:vAlign w:val="bottom"/>
            <w:shd w:val="clear" w:color="auto" w:fill="D0EBF2"/>
          </w:tcPr>
          <w:p>
            <w:pPr>
              <w:jc w:val="right"/>
              <w:spacing w:after="0" w:line="159" w:lineRule="exact"/>
              <w:rPr>
                <w:sz w:val="20"/>
                <w:szCs w:val="20"/>
                <w:color w:val="auto"/>
              </w:rPr>
            </w:pPr>
            <w:r>
              <w:rPr>
                <w:rFonts w:ascii="Times New Roman" w:cs="Times New Roman" w:eastAsia="Times New Roman" w:hAnsi="Times New Roman"/>
                <w:sz w:val="15"/>
                <w:szCs w:val="15"/>
                <w:color w:val="231F20"/>
              </w:rPr>
              <w:t>8/9/2022</w:t>
            </w:r>
          </w:p>
        </w:tc>
        <w:tc>
          <w:tcPr>
            <w:tcW w:w="1200" w:type="dxa"/>
            <w:vAlign w:val="bottom"/>
            <w:shd w:val="clear" w:color="auto" w:fill="D0EBF2"/>
          </w:tcPr>
          <w:p>
            <w:pPr>
              <w:jc w:val="right"/>
              <w:ind w:right="244"/>
              <w:spacing w:after="0" w:line="159" w:lineRule="exact"/>
              <w:rPr>
                <w:sz w:val="20"/>
                <w:szCs w:val="20"/>
                <w:color w:val="auto"/>
              </w:rPr>
            </w:pPr>
            <w:r>
              <w:rPr>
                <w:rFonts w:ascii="Times New Roman" w:cs="Times New Roman" w:eastAsia="Times New Roman" w:hAnsi="Times New Roman"/>
                <w:sz w:val="15"/>
                <w:szCs w:val="15"/>
                <w:color w:val="231F20"/>
              </w:rPr>
              <w:t>SOFR +</w:t>
            </w:r>
          </w:p>
        </w:tc>
        <w:tc>
          <w:tcPr>
            <w:tcW w:w="900" w:type="dxa"/>
            <w:vAlign w:val="bottom"/>
            <w:shd w:val="clear" w:color="auto" w:fill="D0EBF2"/>
          </w:tcPr>
          <w:p>
            <w:pPr>
              <w:jc w:val="right"/>
              <w:ind w:right="24"/>
              <w:spacing w:after="0" w:line="159" w:lineRule="exact"/>
              <w:rPr>
                <w:sz w:val="20"/>
                <w:szCs w:val="20"/>
                <w:color w:val="auto"/>
              </w:rPr>
            </w:pPr>
            <w:r>
              <w:rPr>
                <w:rFonts w:ascii="Times New Roman" w:cs="Times New Roman" w:eastAsia="Times New Roman" w:hAnsi="Times New Roman"/>
                <w:sz w:val="15"/>
                <w:szCs w:val="15"/>
                <w:color w:val="231F20"/>
              </w:rPr>
              <w:t>11.29%</w:t>
            </w:r>
          </w:p>
        </w:tc>
        <w:tc>
          <w:tcPr>
            <w:tcW w:w="1000" w:type="dxa"/>
            <w:vAlign w:val="bottom"/>
            <w:shd w:val="clear" w:color="auto" w:fill="D0EBF2"/>
          </w:tcPr>
          <w:p>
            <w:pPr>
              <w:jc w:val="right"/>
              <w:spacing w:after="0" w:line="159" w:lineRule="exact"/>
              <w:rPr>
                <w:sz w:val="20"/>
                <w:szCs w:val="20"/>
                <w:color w:val="auto"/>
              </w:rPr>
            </w:pPr>
            <w:r>
              <w:rPr>
                <w:rFonts w:ascii="Times New Roman" w:cs="Times New Roman" w:eastAsia="Times New Roman" w:hAnsi="Times New Roman"/>
                <w:sz w:val="15"/>
                <w:szCs w:val="15"/>
                <w:color w:val="231F20"/>
              </w:rPr>
              <w:t>301</w:t>
            </w:r>
          </w:p>
        </w:tc>
        <w:tc>
          <w:tcPr>
            <w:tcW w:w="1140" w:type="dxa"/>
            <w:vAlign w:val="bottom"/>
            <w:gridSpan w:val="2"/>
            <w:shd w:val="clear" w:color="auto" w:fill="D0EBF2"/>
          </w:tcPr>
          <w:p>
            <w:pPr>
              <w:jc w:val="right"/>
              <w:spacing w:after="0" w:line="159" w:lineRule="exact"/>
              <w:rPr>
                <w:sz w:val="20"/>
                <w:szCs w:val="20"/>
                <w:color w:val="auto"/>
              </w:rPr>
            </w:pPr>
            <w:r>
              <w:rPr>
                <w:rFonts w:ascii="Times New Roman" w:cs="Times New Roman" w:eastAsia="Times New Roman" w:hAnsi="Times New Roman"/>
                <w:sz w:val="15"/>
                <w:szCs w:val="15"/>
                <w:color w:val="231F20"/>
              </w:rPr>
              <w:t>318</w:t>
            </w:r>
          </w:p>
        </w:tc>
        <w:tc>
          <w:tcPr>
            <w:tcW w:w="1340" w:type="dxa"/>
            <w:vAlign w:val="bottom"/>
            <w:gridSpan w:val="3"/>
            <w:shd w:val="clear" w:color="auto" w:fill="D0EBF2"/>
          </w:tcPr>
          <w:p>
            <w:pPr>
              <w:jc w:val="right"/>
              <w:ind w:right="120"/>
              <w:spacing w:after="0" w:line="159" w:lineRule="exact"/>
              <w:rPr>
                <w:sz w:val="20"/>
                <w:szCs w:val="20"/>
                <w:color w:val="auto"/>
              </w:rPr>
            </w:pPr>
            <w:r>
              <w:rPr>
                <w:rFonts w:ascii="Times New Roman" w:cs="Times New Roman" w:eastAsia="Times New Roman" w:hAnsi="Times New Roman"/>
                <w:sz w:val="15"/>
                <w:szCs w:val="15"/>
                <w:color w:val="231F20"/>
              </w:rPr>
              <w:t>0.0%</w:t>
            </w:r>
          </w:p>
        </w:tc>
      </w:tr>
      <w:tr>
        <w:trPr>
          <w:trHeight w:val="186"/>
        </w:trPr>
        <w:tc>
          <w:tcPr>
            <w:tcW w:w="1460" w:type="dxa"/>
            <w:vAlign w:val="bottom"/>
            <w:shd w:val="clear" w:color="auto" w:fill="D0EBF2"/>
          </w:tcPr>
          <w:p>
            <w:pPr>
              <w:spacing w:after="0"/>
              <w:rPr>
                <w:sz w:val="20"/>
                <w:szCs w:val="20"/>
                <w:color w:val="auto"/>
              </w:rPr>
            </w:pPr>
            <w:r>
              <w:rPr>
                <w:rFonts w:ascii="Times New Roman" w:cs="Times New Roman" w:eastAsia="Times New Roman" w:hAnsi="Times New Roman"/>
                <w:sz w:val="15"/>
                <w:szCs w:val="15"/>
                <w:color w:val="231F20"/>
              </w:rPr>
              <w:t>LLC, Series 2018-5A</w:t>
            </w:r>
          </w:p>
        </w:tc>
        <w:tc>
          <w:tcPr>
            <w:tcW w:w="2340" w:type="dxa"/>
            <w:vAlign w:val="bottom"/>
            <w:shd w:val="clear" w:color="auto" w:fill="D0EBF2"/>
          </w:tcPr>
          <w:p>
            <w:pPr>
              <w:ind w:left="60"/>
              <w:spacing w:after="0"/>
              <w:rPr>
                <w:sz w:val="20"/>
                <w:szCs w:val="20"/>
                <w:color w:val="auto"/>
              </w:rPr>
            </w:pPr>
            <w:r>
              <w:rPr>
                <w:rFonts w:ascii="Times New Roman" w:cs="Times New Roman" w:eastAsia="Times New Roman" w:hAnsi="Times New Roman"/>
                <w:sz w:val="15"/>
                <w:szCs w:val="15"/>
                <w:color w:val="231F20"/>
              </w:rPr>
              <w:t>4/2031)</w:t>
            </w:r>
          </w:p>
        </w:tc>
        <w:tc>
          <w:tcPr>
            <w:tcW w:w="900" w:type="dxa"/>
            <w:vAlign w:val="bottom"/>
            <w:shd w:val="clear" w:color="auto" w:fill="D0EBF2"/>
          </w:tcPr>
          <w:p>
            <w:pPr>
              <w:spacing w:after="0"/>
              <w:rPr>
                <w:sz w:val="16"/>
                <w:szCs w:val="16"/>
                <w:color w:val="auto"/>
              </w:rPr>
            </w:pPr>
          </w:p>
        </w:tc>
        <w:tc>
          <w:tcPr>
            <w:tcW w:w="1200" w:type="dxa"/>
            <w:vAlign w:val="bottom"/>
            <w:shd w:val="clear" w:color="auto" w:fill="D0EBF2"/>
          </w:tcPr>
          <w:p>
            <w:pPr>
              <w:jc w:val="right"/>
              <w:ind w:right="244"/>
              <w:spacing w:after="0"/>
              <w:rPr>
                <w:sz w:val="20"/>
                <w:szCs w:val="20"/>
                <w:color w:val="auto"/>
              </w:rPr>
            </w:pPr>
            <w:r>
              <w:rPr>
                <w:rFonts w:ascii="Times New Roman" w:cs="Times New Roman" w:eastAsia="Times New Roman" w:hAnsi="Times New Roman"/>
                <w:sz w:val="15"/>
                <w:szCs w:val="15"/>
                <w:color w:val="231F20"/>
              </w:rPr>
              <w:t>5.91%</w:t>
            </w:r>
          </w:p>
        </w:tc>
        <w:tc>
          <w:tcPr>
            <w:tcW w:w="900" w:type="dxa"/>
            <w:vAlign w:val="bottom"/>
            <w:shd w:val="clear" w:color="auto" w:fill="D0EBF2"/>
          </w:tcPr>
          <w:p>
            <w:pPr>
              <w:spacing w:after="0"/>
              <w:rPr>
                <w:sz w:val="16"/>
                <w:szCs w:val="16"/>
                <w:color w:val="auto"/>
              </w:rPr>
            </w:pPr>
          </w:p>
        </w:tc>
        <w:tc>
          <w:tcPr>
            <w:tcW w:w="1000" w:type="dxa"/>
            <w:vAlign w:val="bottom"/>
            <w:shd w:val="clear" w:color="auto" w:fill="D0EBF2"/>
          </w:tcPr>
          <w:p>
            <w:pPr>
              <w:spacing w:after="0"/>
              <w:rPr>
                <w:sz w:val="16"/>
                <w:szCs w:val="16"/>
                <w:color w:val="auto"/>
              </w:rPr>
            </w:pPr>
          </w:p>
        </w:tc>
        <w:tc>
          <w:tcPr>
            <w:tcW w:w="180" w:type="dxa"/>
            <w:vAlign w:val="bottom"/>
            <w:shd w:val="clear" w:color="auto" w:fill="D0EBF2"/>
          </w:tcPr>
          <w:p>
            <w:pPr>
              <w:spacing w:after="0"/>
              <w:rPr>
                <w:sz w:val="16"/>
                <w:szCs w:val="16"/>
                <w:color w:val="auto"/>
              </w:rPr>
            </w:pPr>
          </w:p>
        </w:tc>
        <w:tc>
          <w:tcPr>
            <w:tcW w:w="960" w:type="dxa"/>
            <w:vAlign w:val="bottom"/>
            <w:shd w:val="clear" w:color="auto" w:fill="D0EBF2"/>
          </w:tcPr>
          <w:p>
            <w:pPr>
              <w:spacing w:after="0"/>
              <w:rPr>
                <w:sz w:val="16"/>
                <w:szCs w:val="16"/>
                <w:color w:val="auto"/>
              </w:rPr>
            </w:pPr>
          </w:p>
        </w:tc>
        <w:tc>
          <w:tcPr>
            <w:tcW w:w="200" w:type="dxa"/>
            <w:vAlign w:val="bottom"/>
            <w:shd w:val="clear" w:color="auto" w:fill="D0EBF2"/>
          </w:tcPr>
          <w:p>
            <w:pPr>
              <w:spacing w:after="0"/>
              <w:rPr>
                <w:sz w:val="16"/>
                <w:szCs w:val="16"/>
                <w:color w:val="auto"/>
              </w:rPr>
            </w:pPr>
          </w:p>
        </w:tc>
        <w:tc>
          <w:tcPr>
            <w:tcW w:w="900" w:type="dxa"/>
            <w:vAlign w:val="bottom"/>
            <w:shd w:val="clear" w:color="auto" w:fill="D0EBF2"/>
          </w:tcPr>
          <w:p>
            <w:pPr>
              <w:spacing w:after="0"/>
              <w:rPr>
                <w:sz w:val="16"/>
                <w:szCs w:val="16"/>
                <w:color w:val="auto"/>
              </w:rPr>
            </w:pPr>
          </w:p>
        </w:tc>
        <w:tc>
          <w:tcPr>
            <w:tcW w:w="240" w:type="dxa"/>
            <w:vAlign w:val="bottom"/>
            <w:shd w:val="clear" w:color="auto" w:fill="D0EBF2"/>
          </w:tcPr>
          <w:p>
            <w:pPr>
              <w:spacing w:after="0"/>
              <w:rPr>
                <w:sz w:val="16"/>
                <w:szCs w:val="16"/>
                <w:color w:val="auto"/>
              </w:rPr>
            </w:pPr>
          </w:p>
        </w:tc>
      </w:tr>
      <w:tr>
        <w:trPr>
          <w:trHeight w:val="157"/>
        </w:trPr>
        <w:tc>
          <w:tcPr>
            <w:tcW w:w="1460" w:type="dxa"/>
            <w:vAlign w:val="bottom"/>
            <w:tcBorders>
              <w:bottom w:val="single" w:sz="8" w:color="D0EBF2"/>
            </w:tcBorders>
            <w:shd w:val="clear" w:color="auto" w:fill="D0EBF2"/>
          </w:tcPr>
          <w:p>
            <w:pPr>
              <w:spacing w:after="0"/>
              <w:rPr>
                <w:sz w:val="20"/>
                <w:szCs w:val="20"/>
                <w:color w:val="auto"/>
              </w:rPr>
            </w:pPr>
            <w:r>
              <w:rPr>
                <w:rFonts w:ascii="Times New Roman" w:cs="Times New Roman" w:eastAsia="Times New Roman" w:hAnsi="Times New Roman"/>
                <w:sz w:val="9"/>
                <w:szCs w:val="9"/>
                <w:color w:val="231F20"/>
              </w:rPr>
              <w:t>(3)(4)(9)</w:t>
            </w:r>
          </w:p>
        </w:tc>
        <w:tc>
          <w:tcPr>
            <w:tcW w:w="2340" w:type="dxa"/>
            <w:vAlign w:val="bottom"/>
            <w:tcBorders>
              <w:bottom w:val="single" w:sz="8" w:color="D0EBF2"/>
            </w:tcBorders>
            <w:shd w:val="clear" w:color="auto" w:fill="D0EBF2"/>
          </w:tcPr>
          <w:p>
            <w:pPr>
              <w:spacing w:after="0"/>
              <w:rPr>
                <w:sz w:val="13"/>
                <w:szCs w:val="13"/>
                <w:color w:val="auto"/>
              </w:rPr>
            </w:pPr>
          </w:p>
        </w:tc>
        <w:tc>
          <w:tcPr>
            <w:tcW w:w="900" w:type="dxa"/>
            <w:vAlign w:val="bottom"/>
            <w:tcBorders>
              <w:bottom w:val="single" w:sz="8" w:color="D0EBF2"/>
            </w:tcBorders>
            <w:shd w:val="clear" w:color="auto" w:fill="D0EBF2"/>
          </w:tcPr>
          <w:p>
            <w:pPr>
              <w:spacing w:after="0"/>
              <w:rPr>
                <w:sz w:val="13"/>
                <w:szCs w:val="13"/>
                <w:color w:val="auto"/>
              </w:rPr>
            </w:pPr>
          </w:p>
        </w:tc>
        <w:tc>
          <w:tcPr>
            <w:tcW w:w="1200" w:type="dxa"/>
            <w:vAlign w:val="bottom"/>
            <w:tcBorders>
              <w:bottom w:val="single" w:sz="8" w:color="D0EBF2"/>
            </w:tcBorders>
            <w:shd w:val="clear" w:color="auto" w:fill="D0EBF2"/>
          </w:tcPr>
          <w:p>
            <w:pPr>
              <w:spacing w:after="0"/>
              <w:rPr>
                <w:sz w:val="13"/>
                <w:szCs w:val="13"/>
                <w:color w:val="auto"/>
              </w:rPr>
            </w:pPr>
          </w:p>
        </w:tc>
        <w:tc>
          <w:tcPr>
            <w:tcW w:w="900" w:type="dxa"/>
            <w:vAlign w:val="bottom"/>
            <w:tcBorders>
              <w:bottom w:val="single" w:sz="8" w:color="D0EBF2"/>
            </w:tcBorders>
            <w:shd w:val="clear" w:color="auto" w:fill="D0EBF2"/>
          </w:tcPr>
          <w:p>
            <w:pPr>
              <w:spacing w:after="0"/>
              <w:rPr>
                <w:sz w:val="13"/>
                <w:szCs w:val="13"/>
                <w:color w:val="auto"/>
              </w:rPr>
            </w:pPr>
          </w:p>
        </w:tc>
        <w:tc>
          <w:tcPr>
            <w:tcW w:w="1000" w:type="dxa"/>
            <w:vAlign w:val="bottom"/>
            <w:tcBorders>
              <w:bottom w:val="single" w:sz="8" w:color="D0EBF2"/>
            </w:tcBorders>
            <w:shd w:val="clear" w:color="auto" w:fill="D0EBF2"/>
          </w:tcPr>
          <w:p>
            <w:pPr>
              <w:spacing w:after="0"/>
              <w:rPr>
                <w:sz w:val="13"/>
                <w:szCs w:val="13"/>
                <w:color w:val="auto"/>
              </w:rPr>
            </w:pPr>
          </w:p>
        </w:tc>
        <w:tc>
          <w:tcPr>
            <w:tcW w:w="180" w:type="dxa"/>
            <w:vAlign w:val="bottom"/>
            <w:tcBorders>
              <w:bottom w:val="single" w:sz="8" w:color="D0EBF2"/>
            </w:tcBorders>
            <w:shd w:val="clear" w:color="auto" w:fill="D0EBF2"/>
          </w:tcPr>
          <w:p>
            <w:pPr>
              <w:spacing w:after="0"/>
              <w:rPr>
                <w:sz w:val="13"/>
                <w:szCs w:val="13"/>
                <w:color w:val="auto"/>
              </w:rPr>
            </w:pPr>
          </w:p>
        </w:tc>
        <w:tc>
          <w:tcPr>
            <w:tcW w:w="960" w:type="dxa"/>
            <w:vAlign w:val="bottom"/>
            <w:tcBorders>
              <w:bottom w:val="single" w:sz="8" w:color="D0EBF2"/>
            </w:tcBorders>
            <w:shd w:val="clear" w:color="auto" w:fill="D0EBF2"/>
          </w:tcPr>
          <w:p>
            <w:pPr>
              <w:spacing w:after="0"/>
              <w:rPr>
                <w:sz w:val="13"/>
                <w:szCs w:val="13"/>
                <w:color w:val="auto"/>
              </w:rPr>
            </w:pPr>
          </w:p>
        </w:tc>
        <w:tc>
          <w:tcPr>
            <w:tcW w:w="200" w:type="dxa"/>
            <w:vAlign w:val="bottom"/>
            <w:tcBorders>
              <w:bottom w:val="single" w:sz="8" w:color="D0EBF2"/>
            </w:tcBorders>
            <w:shd w:val="clear" w:color="auto" w:fill="D0EBF2"/>
          </w:tcPr>
          <w:p>
            <w:pPr>
              <w:spacing w:after="0"/>
              <w:rPr>
                <w:sz w:val="13"/>
                <w:szCs w:val="13"/>
                <w:color w:val="auto"/>
              </w:rPr>
            </w:pPr>
          </w:p>
        </w:tc>
        <w:tc>
          <w:tcPr>
            <w:tcW w:w="900" w:type="dxa"/>
            <w:vAlign w:val="bottom"/>
            <w:tcBorders>
              <w:bottom w:val="single" w:sz="8" w:color="D0EBF2"/>
            </w:tcBorders>
            <w:shd w:val="clear" w:color="auto" w:fill="D0EBF2"/>
          </w:tcPr>
          <w:p>
            <w:pPr>
              <w:spacing w:after="0"/>
              <w:rPr>
                <w:sz w:val="13"/>
                <w:szCs w:val="13"/>
                <w:color w:val="auto"/>
              </w:rPr>
            </w:pPr>
          </w:p>
        </w:tc>
        <w:tc>
          <w:tcPr>
            <w:tcW w:w="240" w:type="dxa"/>
            <w:vAlign w:val="bottom"/>
            <w:tcBorders>
              <w:bottom w:val="single" w:sz="8" w:color="D0EBF2"/>
            </w:tcBorders>
            <w:shd w:val="clear" w:color="auto" w:fill="D0EBF2"/>
          </w:tcPr>
          <w:p>
            <w:pPr>
              <w:spacing w:after="0"/>
              <w:rPr>
                <w:sz w:val="13"/>
                <w:szCs w:val="13"/>
                <w:color w:val="auto"/>
              </w:rPr>
            </w:pPr>
          </w:p>
        </w:tc>
      </w:tr>
      <w:tr>
        <w:trPr>
          <w:trHeight w:val="158"/>
        </w:trPr>
        <w:tc>
          <w:tcPr>
            <w:tcW w:w="1460" w:type="dxa"/>
            <w:vAlign w:val="bottom"/>
            <w:shd w:val="clear" w:color="auto" w:fill="FDFDFC"/>
          </w:tcPr>
          <w:p>
            <w:pPr>
              <w:spacing w:after="0" w:line="159" w:lineRule="exact"/>
              <w:rPr>
                <w:sz w:val="20"/>
                <w:szCs w:val="20"/>
                <w:color w:val="auto"/>
              </w:rPr>
            </w:pPr>
            <w:r>
              <w:rPr>
                <w:rFonts w:ascii="Times New Roman" w:cs="Times New Roman" w:eastAsia="Times New Roman" w:hAnsi="Times New Roman"/>
                <w:sz w:val="15"/>
                <w:szCs w:val="15"/>
                <w:color w:val="231F20"/>
              </w:rPr>
              <w:t>Southwick Park CLO</w:t>
            </w:r>
          </w:p>
        </w:tc>
        <w:tc>
          <w:tcPr>
            <w:tcW w:w="2340" w:type="dxa"/>
            <w:vAlign w:val="bottom"/>
            <w:shd w:val="clear" w:color="auto" w:fill="FDFDFC"/>
          </w:tcPr>
          <w:p>
            <w:pPr>
              <w:ind w:left="60"/>
              <w:spacing w:after="0" w:line="159" w:lineRule="exact"/>
              <w:rPr>
                <w:sz w:val="20"/>
                <w:szCs w:val="20"/>
                <w:color w:val="auto"/>
              </w:rPr>
            </w:pPr>
            <w:r>
              <w:rPr>
                <w:rFonts w:ascii="Times New Roman" w:cs="Times New Roman" w:eastAsia="Times New Roman" w:hAnsi="Times New Roman"/>
                <w:sz w:val="15"/>
                <w:szCs w:val="15"/>
                <w:color w:val="231F20"/>
              </w:rPr>
              <w:t>Structured Credit ($1,000 par, due</w:t>
            </w:r>
          </w:p>
        </w:tc>
        <w:tc>
          <w:tcPr>
            <w:tcW w:w="900" w:type="dxa"/>
            <w:vAlign w:val="bottom"/>
            <w:shd w:val="clear" w:color="auto" w:fill="FDFDFC"/>
          </w:tcPr>
          <w:p>
            <w:pPr>
              <w:jc w:val="right"/>
              <w:spacing w:after="0" w:line="159" w:lineRule="exact"/>
              <w:rPr>
                <w:sz w:val="20"/>
                <w:szCs w:val="20"/>
                <w:color w:val="auto"/>
              </w:rPr>
            </w:pPr>
            <w:r>
              <w:rPr>
                <w:rFonts w:ascii="Times New Roman" w:cs="Times New Roman" w:eastAsia="Times New Roman" w:hAnsi="Times New Roman"/>
                <w:sz w:val="15"/>
                <w:szCs w:val="15"/>
                <w:color w:val="231F20"/>
              </w:rPr>
              <w:t>5/25/2022</w:t>
            </w:r>
          </w:p>
        </w:tc>
        <w:tc>
          <w:tcPr>
            <w:tcW w:w="1200" w:type="dxa"/>
            <w:vAlign w:val="bottom"/>
            <w:shd w:val="clear" w:color="auto" w:fill="FDFDFC"/>
          </w:tcPr>
          <w:p>
            <w:pPr>
              <w:jc w:val="right"/>
              <w:ind w:right="244"/>
              <w:spacing w:after="0" w:line="159" w:lineRule="exact"/>
              <w:rPr>
                <w:sz w:val="20"/>
                <w:szCs w:val="20"/>
                <w:color w:val="auto"/>
              </w:rPr>
            </w:pPr>
            <w:r>
              <w:rPr>
                <w:rFonts w:ascii="Times New Roman" w:cs="Times New Roman" w:eastAsia="Times New Roman" w:hAnsi="Times New Roman"/>
                <w:sz w:val="15"/>
                <w:szCs w:val="15"/>
                <w:color w:val="231F20"/>
              </w:rPr>
              <w:t>SOFR +</w:t>
            </w:r>
          </w:p>
        </w:tc>
        <w:tc>
          <w:tcPr>
            <w:tcW w:w="900" w:type="dxa"/>
            <w:vAlign w:val="bottom"/>
            <w:shd w:val="clear" w:color="auto" w:fill="FDFDFC"/>
          </w:tcPr>
          <w:p>
            <w:pPr>
              <w:jc w:val="right"/>
              <w:ind w:right="24"/>
              <w:spacing w:after="0" w:line="159" w:lineRule="exact"/>
              <w:rPr>
                <w:sz w:val="20"/>
                <w:szCs w:val="20"/>
                <w:color w:val="auto"/>
              </w:rPr>
            </w:pPr>
            <w:r>
              <w:rPr>
                <w:rFonts w:ascii="Times New Roman" w:cs="Times New Roman" w:eastAsia="Times New Roman" w:hAnsi="Times New Roman"/>
                <w:sz w:val="15"/>
                <w:szCs w:val="15"/>
                <w:color w:val="231F20"/>
              </w:rPr>
              <w:t>11.93%</w:t>
            </w:r>
          </w:p>
        </w:tc>
        <w:tc>
          <w:tcPr>
            <w:tcW w:w="1000" w:type="dxa"/>
            <w:vAlign w:val="bottom"/>
            <w:shd w:val="clear" w:color="auto" w:fill="FDFDFC"/>
          </w:tcPr>
          <w:p>
            <w:pPr>
              <w:jc w:val="right"/>
              <w:spacing w:after="0" w:line="159" w:lineRule="exact"/>
              <w:rPr>
                <w:sz w:val="20"/>
                <w:szCs w:val="20"/>
                <w:color w:val="auto"/>
              </w:rPr>
            </w:pPr>
            <w:r>
              <w:rPr>
                <w:rFonts w:ascii="Times New Roman" w:cs="Times New Roman" w:eastAsia="Times New Roman" w:hAnsi="Times New Roman"/>
                <w:sz w:val="15"/>
                <w:szCs w:val="15"/>
                <w:color w:val="231F20"/>
              </w:rPr>
              <w:t>932</w:t>
            </w:r>
          </w:p>
        </w:tc>
        <w:tc>
          <w:tcPr>
            <w:tcW w:w="1140" w:type="dxa"/>
            <w:vAlign w:val="bottom"/>
            <w:gridSpan w:val="2"/>
            <w:shd w:val="clear" w:color="auto" w:fill="FDFDFC"/>
          </w:tcPr>
          <w:p>
            <w:pPr>
              <w:jc w:val="right"/>
              <w:spacing w:after="0" w:line="159" w:lineRule="exact"/>
              <w:rPr>
                <w:sz w:val="20"/>
                <w:szCs w:val="20"/>
                <w:color w:val="auto"/>
              </w:rPr>
            </w:pPr>
            <w:r>
              <w:rPr>
                <w:rFonts w:ascii="Times New Roman" w:cs="Times New Roman" w:eastAsia="Times New Roman" w:hAnsi="Times New Roman"/>
                <w:sz w:val="15"/>
                <w:szCs w:val="15"/>
                <w:color w:val="231F20"/>
              </w:rPr>
              <w:t>968</w:t>
            </w:r>
          </w:p>
        </w:tc>
        <w:tc>
          <w:tcPr>
            <w:tcW w:w="1340" w:type="dxa"/>
            <w:vAlign w:val="bottom"/>
            <w:gridSpan w:val="3"/>
            <w:shd w:val="clear" w:color="auto" w:fill="FDFDFC"/>
          </w:tcPr>
          <w:p>
            <w:pPr>
              <w:jc w:val="right"/>
              <w:ind w:right="120"/>
              <w:spacing w:after="0" w:line="159" w:lineRule="exact"/>
              <w:rPr>
                <w:sz w:val="20"/>
                <w:szCs w:val="20"/>
                <w:color w:val="auto"/>
              </w:rPr>
            </w:pPr>
            <w:r>
              <w:rPr>
                <w:rFonts w:ascii="Times New Roman" w:cs="Times New Roman" w:eastAsia="Times New Roman" w:hAnsi="Times New Roman"/>
                <w:sz w:val="15"/>
                <w:szCs w:val="15"/>
                <w:color w:val="231F20"/>
              </w:rPr>
              <w:t>0.1%</w:t>
            </w:r>
          </w:p>
        </w:tc>
      </w:tr>
      <w:tr>
        <w:trPr>
          <w:trHeight w:val="186"/>
        </w:trPr>
        <w:tc>
          <w:tcPr>
            <w:tcW w:w="1460" w:type="dxa"/>
            <w:vAlign w:val="bottom"/>
            <w:shd w:val="clear" w:color="auto" w:fill="FDFDFC"/>
          </w:tcPr>
          <w:p>
            <w:pPr>
              <w:spacing w:after="0"/>
              <w:rPr>
                <w:sz w:val="20"/>
                <w:szCs w:val="20"/>
                <w:color w:val="auto"/>
              </w:rPr>
            </w:pPr>
            <w:r>
              <w:rPr>
                <w:rFonts w:ascii="Times New Roman" w:cs="Times New Roman" w:eastAsia="Times New Roman" w:hAnsi="Times New Roman"/>
                <w:sz w:val="15"/>
                <w:szCs w:val="15"/>
                <w:color w:val="231F20"/>
              </w:rPr>
              <w:t>Ltd, Series 2019-4A</w:t>
            </w:r>
          </w:p>
        </w:tc>
        <w:tc>
          <w:tcPr>
            <w:tcW w:w="2340" w:type="dxa"/>
            <w:vAlign w:val="bottom"/>
            <w:shd w:val="clear" w:color="auto" w:fill="FDFDFC"/>
          </w:tcPr>
          <w:p>
            <w:pPr>
              <w:ind w:left="60"/>
              <w:spacing w:after="0"/>
              <w:rPr>
                <w:sz w:val="20"/>
                <w:szCs w:val="20"/>
                <w:color w:val="auto"/>
              </w:rPr>
            </w:pPr>
            <w:r>
              <w:rPr>
                <w:rFonts w:ascii="Times New Roman" w:cs="Times New Roman" w:eastAsia="Times New Roman" w:hAnsi="Times New Roman"/>
                <w:sz w:val="15"/>
                <w:szCs w:val="15"/>
                <w:color w:val="231F20"/>
              </w:rPr>
              <w:t>7/2032)</w:t>
            </w:r>
          </w:p>
        </w:tc>
        <w:tc>
          <w:tcPr>
            <w:tcW w:w="900" w:type="dxa"/>
            <w:vAlign w:val="bottom"/>
            <w:shd w:val="clear" w:color="auto" w:fill="FDFDFC"/>
          </w:tcPr>
          <w:p>
            <w:pPr>
              <w:spacing w:after="0"/>
              <w:rPr>
                <w:sz w:val="16"/>
                <w:szCs w:val="16"/>
                <w:color w:val="auto"/>
              </w:rPr>
            </w:pPr>
          </w:p>
        </w:tc>
        <w:tc>
          <w:tcPr>
            <w:tcW w:w="1200" w:type="dxa"/>
            <w:vAlign w:val="bottom"/>
            <w:shd w:val="clear" w:color="auto" w:fill="FDFDFC"/>
          </w:tcPr>
          <w:p>
            <w:pPr>
              <w:jc w:val="right"/>
              <w:ind w:right="244"/>
              <w:spacing w:after="0"/>
              <w:rPr>
                <w:sz w:val="20"/>
                <w:szCs w:val="20"/>
                <w:color w:val="auto"/>
              </w:rPr>
            </w:pPr>
            <w:r>
              <w:rPr>
                <w:rFonts w:ascii="Times New Roman" w:cs="Times New Roman" w:eastAsia="Times New Roman" w:hAnsi="Times New Roman"/>
                <w:sz w:val="15"/>
                <w:szCs w:val="15"/>
                <w:color w:val="231F20"/>
              </w:rPr>
              <w:t>6.51%</w:t>
            </w:r>
          </w:p>
        </w:tc>
        <w:tc>
          <w:tcPr>
            <w:tcW w:w="900" w:type="dxa"/>
            <w:vAlign w:val="bottom"/>
            <w:shd w:val="clear" w:color="auto" w:fill="FDFDFC"/>
          </w:tcPr>
          <w:p>
            <w:pPr>
              <w:spacing w:after="0"/>
              <w:rPr>
                <w:sz w:val="16"/>
                <w:szCs w:val="16"/>
                <w:color w:val="auto"/>
              </w:rPr>
            </w:pPr>
          </w:p>
        </w:tc>
        <w:tc>
          <w:tcPr>
            <w:tcW w:w="1000" w:type="dxa"/>
            <w:vAlign w:val="bottom"/>
            <w:shd w:val="clear" w:color="auto" w:fill="FDFDFC"/>
          </w:tcPr>
          <w:p>
            <w:pPr>
              <w:spacing w:after="0"/>
              <w:rPr>
                <w:sz w:val="16"/>
                <w:szCs w:val="16"/>
                <w:color w:val="auto"/>
              </w:rPr>
            </w:pPr>
          </w:p>
        </w:tc>
        <w:tc>
          <w:tcPr>
            <w:tcW w:w="180" w:type="dxa"/>
            <w:vAlign w:val="bottom"/>
            <w:shd w:val="clear" w:color="auto" w:fill="FDFDFC"/>
          </w:tcPr>
          <w:p>
            <w:pPr>
              <w:spacing w:after="0"/>
              <w:rPr>
                <w:sz w:val="16"/>
                <w:szCs w:val="16"/>
                <w:color w:val="auto"/>
              </w:rPr>
            </w:pPr>
          </w:p>
        </w:tc>
        <w:tc>
          <w:tcPr>
            <w:tcW w:w="960" w:type="dxa"/>
            <w:vAlign w:val="bottom"/>
            <w:shd w:val="clear" w:color="auto" w:fill="FDFDFC"/>
          </w:tcPr>
          <w:p>
            <w:pPr>
              <w:spacing w:after="0"/>
              <w:rPr>
                <w:sz w:val="16"/>
                <w:szCs w:val="16"/>
                <w:color w:val="auto"/>
              </w:rPr>
            </w:pPr>
          </w:p>
        </w:tc>
        <w:tc>
          <w:tcPr>
            <w:tcW w:w="200" w:type="dxa"/>
            <w:vAlign w:val="bottom"/>
            <w:shd w:val="clear" w:color="auto" w:fill="FDFDFC"/>
          </w:tcPr>
          <w:p>
            <w:pPr>
              <w:spacing w:after="0"/>
              <w:rPr>
                <w:sz w:val="16"/>
                <w:szCs w:val="16"/>
                <w:color w:val="auto"/>
              </w:rPr>
            </w:pPr>
          </w:p>
        </w:tc>
        <w:tc>
          <w:tcPr>
            <w:tcW w:w="900" w:type="dxa"/>
            <w:vAlign w:val="bottom"/>
            <w:shd w:val="clear" w:color="auto" w:fill="FDFDFC"/>
          </w:tcPr>
          <w:p>
            <w:pPr>
              <w:spacing w:after="0"/>
              <w:rPr>
                <w:sz w:val="16"/>
                <w:szCs w:val="16"/>
                <w:color w:val="auto"/>
              </w:rPr>
            </w:pPr>
          </w:p>
        </w:tc>
        <w:tc>
          <w:tcPr>
            <w:tcW w:w="240" w:type="dxa"/>
            <w:vAlign w:val="bottom"/>
            <w:shd w:val="clear" w:color="auto" w:fill="FDFDFC"/>
          </w:tcPr>
          <w:p>
            <w:pPr>
              <w:spacing w:after="0"/>
              <w:rPr>
                <w:sz w:val="16"/>
                <w:szCs w:val="16"/>
                <w:color w:val="auto"/>
              </w:rPr>
            </w:pPr>
          </w:p>
        </w:tc>
      </w:tr>
      <w:tr>
        <w:trPr>
          <w:trHeight w:val="157"/>
        </w:trPr>
        <w:tc>
          <w:tcPr>
            <w:tcW w:w="1460" w:type="dxa"/>
            <w:vAlign w:val="bottom"/>
            <w:tcBorders>
              <w:bottom w:val="single" w:sz="8" w:color="FDFDFC"/>
            </w:tcBorders>
            <w:shd w:val="clear" w:color="auto" w:fill="FDFDFC"/>
          </w:tcPr>
          <w:p>
            <w:pPr>
              <w:spacing w:after="0"/>
              <w:rPr>
                <w:sz w:val="20"/>
                <w:szCs w:val="20"/>
                <w:color w:val="auto"/>
              </w:rPr>
            </w:pPr>
            <w:r>
              <w:rPr>
                <w:rFonts w:ascii="Times New Roman" w:cs="Times New Roman" w:eastAsia="Times New Roman" w:hAnsi="Times New Roman"/>
                <w:sz w:val="9"/>
                <w:szCs w:val="9"/>
                <w:color w:val="231F20"/>
              </w:rPr>
              <w:t>(3)(4)(9)</w:t>
            </w:r>
          </w:p>
        </w:tc>
        <w:tc>
          <w:tcPr>
            <w:tcW w:w="2340" w:type="dxa"/>
            <w:vAlign w:val="bottom"/>
            <w:tcBorders>
              <w:bottom w:val="single" w:sz="8" w:color="FDFDFC"/>
            </w:tcBorders>
            <w:shd w:val="clear" w:color="auto" w:fill="FDFDFC"/>
          </w:tcPr>
          <w:p>
            <w:pPr>
              <w:spacing w:after="0"/>
              <w:rPr>
                <w:sz w:val="13"/>
                <w:szCs w:val="13"/>
                <w:color w:val="auto"/>
              </w:rPr>
            </w:pPr>
          </w:p>
        </w:tc>
        <w:tc>
          <w:tcPr>
            <w:tcW w:w="900" w:type="dxa"/>
            <w:vAlign w:val="bottom"/>
            <w:tcBorders>
              <w:bottom w:val="single" w:sz="8" w:color="FDFDFC"/>
            </w:tcBorders>
            <w:shd w:val="clear" w:color="auto" w:fill="FDFDFC"/>
          </w:tcPr>
          <w:p>
            <w:pPr>
              <w:spacing w:after="0"/>
              <w:rPr>
                <w:sz w:val="13"/>
                <w:szCs w:val="13"/>
                <w:color w:val="auto"/>
              </w:rPr>
            </w:pPr>
          </w:p>
        </w:tc>
        <w:tc>
          <w:tcPr>
            <w:tcW w:w="1200" w:type="dxa"/>
            <w:vAlign w:val="bottom"/>
            <w:tcBorders>
              <w:bottom w:val="single" w:sz="8" w:color="FDFDFC"/>
            </w:tcBorders>
            <w:shd w:val="clear" w:color="auto" w:fill="FDFDFC"/>
          </w:tcPr>
          <w:p>
            <w:pPr>
              <w:spacing w:after="0"/>
              <w:rPr>
                <w:sz w:val="13"/>
                <w:szCs w:val="13"/>
                <w:color w:val="auto"/>
              </w:rPr>
            </w:pPr>
          </w:p>
        </w:tc>
        <w:tc>
          <w:tcPr>
            <w:tcW w:w="900" w:type="dxa"/>
            <w:vAlign w:val="bottom"/>
            <w:tcBorders>
              <w:bottom w:val="single" w:sz="8" w:color="FDFDFC"/>
            </w:tcBorders>
            <w:shd w:val="clear" w:color="auto" w:fill="FDFDFC"/>
          </w:tcPr>
          <w:p>
            <w:pPr>
              <w:spacing w:after="0"/>
              <w:rPr>
                <w:sz w:val="13"/>
                <w:szCs w:val="13"/>
                <w:color w:val="auto"/>
              </w:rPr>
            </w:pPr>
          </w:p>
        </w:tc>
        <w:tc>
          <w:tcPr>
            <w:tcW w:w="1000" w:type="dxa"/>
            <w:vAlign w:val="bottom"/>
            <w:tcBorders>
              <w:bottom w:val="single" w:sz="8" w:color="FDFDFC"/>
            </w:tcBorders>
            <w:shd w:val="clear" w:color="auto" w:fill="FDFDFC"/>
          </w:tcPr>
          <w:p>
            <w:pPr>
              <w:spacing w:after="0"/>
              <w:rPr>
                <w:sz w:val="13"/>
                <w:szCs w:val="13"/>
                <w:color w:val="auto"/>
              </w:rPr>
            </w:pPr>
          </w:p>
        </w:tc>
        <w:tc>
          <w:tcPr>
            <w:tcW w:w="180" w:type="dxa"/>
            <w:vAlign w:val="bottom"/>
            <w:tcBorders>
              <w:bottom w:val="single" w:sz="8" w:color="FDFDFC"/>
            </w:tcBorders>
            <w:shd w:val="clear" w:color="auto" w:fill="FDFDFC"/>
          </w:tcPr>
          <w:p>
            <w:pPr>
              <w:spacing w:after="0"/>
              <w:rPr>
                <w:sz w:val="13"/>
                <w:szCs w:val="13"/>
                <w:color w:val="auto"/>
              </w:rPr>
            </w:pPr>
          </w:p>
        </w:tc>
        <w:tc>
          <w:tcPr>
            <w:tcW w:w="960" w:type="dxa"/>
            <w:vAlign w:val="bottom"/>
            <w:tcBorders>
              <w:bottom w:val="single" w:sz="8" w:color="FDFDFC"/>
            </w:tcBorders>
            <w:shd w:val="clear" w:color="auto" w:fill="FDFDFC"/>
          </w:tcPr>
          <w:p>
            <w:pPr>
              <w:spacing w:after="0"/>
              <w:rPr>
                <w:sz w:val="13"/>
                <w:szCs w:val="13"/>
                <w:color w:val="auto"/>
              </w:rPr>
            </w:pPr>
          </w:p>
        </w:tc>
        <w:tc>
          <w:tcPr>
            <w:tcW w:w="200" w:type="dxa"/>
            <w:vAlign w:val="bottom"/>
            <w:tcBorders>
              <w:bottom w:val="single" w:sz="8" w:color="FDFDFC"/>
            </w:tcBorders>
            <w:shd w:val="clear" w:color="auto" w:fill="FDFDFC"/>
          </w:tcPr>
          <w:p>
            <w:pPr>
              <w:spacing w:after="0"/>
              <w:rPr>
                <w:sz w:val="13"/>
                <w:szCs w:val="13"/>
                <w:color w:val="auto"/>
              </w:rPr>
            </w:pPr>
          </w:p>
        </w:tc>
        <w:tc>
          <w:tcPr>
            <w:tcW w:w="900" w:type="dxa"/>
            <w:vAlign w:val="bottom"/>
            <w:tcBorders>
              <w:bottom w:val="single" w:sz="8" w:color="FDFDFC"/>
            </w:tcBorders>
            <w:shd w:val="clear" w:color="auto" w:fill="FDFDFC"/>
          </w:tcPr>
          <w:p>
            <w:pPr>
              <w:spacing w:after="0"/>
              <w:rPr>
                <w:sz w:val="13"/>
                <w:szCs w:val="13"/>
                <w:color w:val="auto"/>
              </w:rPr>
            </w:pPr>
          </w:p>
        </w:tc>
        <w:tc>
          <w:tcPr>
            <w:tcW w:w="240" w:type="dxa"/>
            <w:vAlign w:val="bottom"/>
            <w:tcBorders>
              <w:bottom w:val="single" w:sz="8" w:color="FDFDFC"/>
            </w:tcBorders>
            <w:shd w:val="clear" w:color="auto" w:fill="FDFDFC"/>
          </w:tcPr>
          <w:p>
            <w:pPr>
              <w:spacing w:after="0"/>
              <w:rPr>
                <w:sz w:val="13"/>
                <w:szCs w:val="13"/>
                <w:color w:val="auto"/>
              </w:rPr>
            </w:pPr>
          </w:p>
        </w:tc>
      </w:tr>
      <w:tr>
        <w:trPr>
          <w:trHeight w:val="158"/>
        </w:trPr>
        <w:tc>
          <w:tcPr>
            <w:tcW w:w="1460" w:type="dxa"/>
            <w:vAlign w:val="bottom"/>
            <w:shd w:val="clear" w:color="auto" w:fill="D0EBF2"/>
          </w:tcPr>
          <w:p>
            <w:pPr>
              <w:spacing w:after="0" w:line="159" w:lineRule="exact"/>
              <w:rPr>
                <w:sz w:val="20"/>
                <w:szCs w:val="20"/>
                <w:color w:val="auto"/>
              </w:rPr>
            </w:pPr>
            <w:r>
              <w:rPr>
                <w:rFonts w:ascii="Times New Roman" w:cs="Times New Roman" w:eastAsia="Times New Roman" w:hAnsi="Times New Roman"/>
                <w:sz w:val="15"/>
                <w:szCs w:val="15"/>
                <w:color w:val="231F20"/>
              </w:rPr>
              <w:t>Stewart Park CLO Ltd,</w:t>
            </w:r>
          </w:p>
        </w:tc>
        <w:tc>
          <w:tcPr>
            <w:tcW w:w="2340" w:type="dxa"/>
            <w:vAlign w:val="bottom"/>
            <w:shd w:val="clear" w:color="auto" w:fill="D0EBF2"/>
          </w:tcPr>
          <w:p>
            <w:pPr>
              <w:ind w:left="60"/>
              <w:spacing w:after="0" w:line="159" w:lineRule="exact"/>
              <w:rPr>
                <w:sz w:val="20"/>
                <w:szCs w:val="20"/>
                <w:color w:val="auto"/>
              </w:rPr>
            </w:pPr>
            <w:r>
              <w:rPr>
                <w:rFonts w:ascii="Times New Roman" w:cs="Times New Roman" w:eastAsia="Times New Roman" w:hAnsi="Times New Roman"/>
                <w:sz w:val="15"/>
                <w:szCs w:val="15"/>
                <w:color w:val="231F20"/>
              </w:rPr>
              <w:t>Structured Credit ($1,000 par, due</w:t>
            </w:r>
          </w:p>
        </w:tc>
        <w:tc>
          <w:tcPr>
            <w:tcW w:w="900" w:type="dxa"/>
            <w:vAlign w:val="bottom"/>
            <w:shd w:val="clear" w:color="auto" w:fill="D0EBF2"/>
          </w:tcPr>
          <w:p>
            <w:pPr>
              <w:jc w:val="right"/>
              <w:spacing w:after="0" w:line="159" w:lineRule="exact"/>
              <w:rPr>
                <w:sz w:val="20"/>
                <w:szCs w:val="20"/>
                <w:color w:val="auto"/>
              </w:rPr>
            </w:pPr>
            <w:r>
              <w:rPr>
                <w:rFonts w:ascii="Times New Roman" w:cs="Times New Roman" w:eastAsia="Times New Roman" w:hAnsi="Times New Roman"/>
                <w:sz w:val="15"/>
                <w:szCs w:val="15"/>
                <w:color w:val="231F20"/>
              </w:rPr>
              <w:t>7/25/2022</w:t>
            </w:r>
          </w:p>
        </w:tc>
        <w:tc>
          <w:tcPr>
            <w:tcW w:w="1200" w:type="dxa"/>
            <w:vAlign w:val="bottom"/>
            <w:shd w:val="clear" w:color="auto" w:fill="D0EBF2"/>
          </w:tcPr>
          <w:p>
            <w:pPr>
              <w:jc w:val="right"/>
              <w:ind w:right="244"/>
              <w:spacing w:after="0" w:line="159" w:lineRule="exact"/>
              <w:rPr>
                <w:sz w:val="20"/>
                <w:szCs w:val="20"/>
                <w:color w:val="auto"/>
              </w:rPr>
            </w:pPr>
            <w:r>
              <w:rPr>
                <w:rFonts w:ascii="Times New Roman" w:cs="Times New Roman" w:eastAsia="Times New Roman" w:hAnsi="Times New Roman"/>
                <w:sz w:val="15"/>
                <w:szCs w:val="15"/>
                <w:color w:val="231F20"/>
              </w:rPr>
              <w:t>SOFR +</w:t>
            </w:r>
          </w:p>
        </w:tc>
        <w:tc>
          <w:tcPr>
            <w:tcW w:w="900" w:type="dxa"/>
            <w:vAlign w:val="bottom"/>
            <w:shd w:val="clear" w:color="auto" w:fill="D0EBF2"/>
          </w:tcPr>
          <w:p>
            <w:pPr>
              <w:jc w:val="right"/>
              <w:ind w:right="24"/>
              <w:spacing w:after="0" w:line="159" w:lineRule="exact"/>
              <w:rPr>
                <w:sz w:val="20"/>
                <w:szCs w:val="20"/>
                <w:color w:val="auto"/>
              </w:rPr>
            </w:pPr>
            <w:r>
              <w:rPr>
                <w:rFonts w:ascii="Times New Roman" w:cs="Times New Roman" w:eastAsia="Times New Roman" w:hAnsi="Times New Roman"/>
                <w:sz w:val="15"/>
                <w:szCs w:val="15"/>
                <w:color w:val="231F20"/>
              </w:rPr>
              <w:t>8.26%</w:t>
            </w:r>
          </w:p>
        </w:tc>
        <w:tc>
          <w:tcPr>
            <w:tcW w:w="1000" w:type="dxa"/>
            <w:vAlign w:val="bottom"/>
            <w:shd w:val="clear" w:color="auto" w:fill="D0EBF2"/>
          </w:tcPr>
          <w:p>
            <w:pPr>
              <w:jc w:val="right"/>
              <w:spacing w:after="0" w:line="159" w:lineRule="exact"/>
              <w:rPr>
                <w:sz w:val="20"/>
                <w:szCs w:val="20"/>
                <w:color w:val="auto"/>
              </w:rPr>
            </w:pPr>
            <w:r>
              <w:rPr>
                <w:rFonts w:ascii="Times New Roman" w:cs="Times New Roman" w:eastAsia="Times New Roman" w:hAnsi="Times New Roman"/>
                <w:sz w:val="15"/>
                <w:szCs w:val="15"/>
                <w:color w:val="231F20"/>
              </w:rPr>
              <w:t>928</w:t>
            </w:r>
          </w:p>
        </w:tc>
        <w:tc>
          <w:tcPr>
            <w:tcW w:w="1140" w:type="dxa"/>
            <w:vAlign w:val="bottom"/>
            <w:gridSpan w:val="2"/>
            <w:shd w:val="clear" w:color="auto" w:fill="D0EBF2"/>
          </w:tcPr>
          <w:p>
            <w:pPr>
              <w:jc w:val="right"/>
              <w:spacing w:after="0" w:line="159" w:lineRule="exact"/>
              <w:rPr>
                <w:sz w:val="20"/>
                <w:szCs w:val="20"/>
                <w:color w:val="auto"/>
              </w:rPr>
            </w:pPr>
            <w:r>
              <w:rPr>
                <w:rFonts w:ascii="Times New Roman" w:cs="Times New Roman" w:eastAsia="Times New Roman" w:hAnsi="Times New Roman"/>
                <w:sz w:val="15"/>
                <w:szCs w:val="15"/>
                <w:color w:val="231F20"/>
              </w:rPr>
              <w:t>970</w:t>
            </w:r>
          </w:p>
        </w:tc>
        <w:tc>
          <w:tcPr>
            <w:tcW w:w="1340" w:type="dxa"/>
            <w:vAlign w:val="bottom"/>
            <w:gridSpan w:val="3"/>
            <w:shd w:val="clear" w:color="auto" w:fill="D0EBF2"/>
          </w:tcPr>
          <w:p>
            <w:pPr>
              <w:jc w:val="right"/>
              <w:ind w:right="120"/>
              <w:spacing w:after="0" w:line="159" w:lineRule="exact"/>
              <w:rPr>
                <w:sz w:val="20"/>
                <w:szCs w:val="20"/>
                <w:color w:val="auto"/>
              </w:rPr>
            </w:pPr>
            <w:r>
              <w:rPr>
                <w:rFonts w:ascii="Times New Roman" w:cs="Times New Roman" w:eastAsia="Times New Roman" w:hAnsi="Times New Roman"/>
                <w:sz w:val="15"/>
                <w:szCs w:val="15"/>
                <w:color w:val="231F20"/>
              </w:rPr>
              <w:t>0.1%</w:t>
            </w:r>
          </w:p>
        </w:tc>
      </w:tr>
      <w:tr>
        <w:trPr>
          <w:trHeight w:val="189"/>
        </w:trPr>
        <w:tc>
          <w:tcPr>
            <w:tcW w:w="1460" w:type="dxa"/>
            <w:vAlign w:val="bottom"/>
            <w:shd w:val="clear" w:color="auto" w:fill="D0EBF2"/>
          </w:tcPr>
          <w:p>
            <w:pPr>
              <w:spacing w:after="0"/>
              <w:rPr>
                <w:sz w:val="20"/>
                <w:szCs w:val="20"/>
                <w:color w:val="auto"/>
              </w:rPr>
            </w:pPr>
            <w:r>
              <w:rPr>
                <w:rFonts w:ascii="Times New Roman" w:cs="Times New Roman" w:eastAsia="Times New Roman" w:hAnsi="Times New Roman"/>
                <w:sz w:val="15"/>
                <w:szCs w:val="15"/>
                <w:color w:val="231F20"/>
              </w:rPr>
              <w:t xml:space="preserve">Series 2015-1A </w:t>
            </w:r>
            <w:r>
              <w:rPr>
                <w:rFonts w:ascii="Times New Roman" w:cs="Times New Roman" w:eastAsia="Times New Roman" w:hAnsi="Times New Roman"/>
                <w:sz w:val="9"/>
                <w:szCs w:val="9"/>
                <w:color w:val="231F20"/>
              </w:rPr>
              <w:t>(3)(4)(9)</w:t>
            </w:r>
          </w:p>
        </w:tc>
        <w:tc>
          <w:tcPr>
            <w:tcW w:w="2340" w:type="dxa"/>
            <w:vAlign w:val="bottom"/>
            <w:shd w:val="clear" w:color="auto" w:fill="D0EBF2"/>
          </w:tcPr>
          <w:p>
            <w:pPr>
              <w:ind w:left="60"/>
              <w:spacing w:after="0"/>
              <w:rPr>
                <w:sz w:val="20"/>
                <w:szCs w:val="20"/>
                <w:color w:val="auto"/>
              </w:rPr>
            </w:pPr>
            <w:r>
              <w:rPr>
                <w:rFonts w:ascii="Times New Roman" w:cs="Times New Roman" w:eastAsia="Times New Roman" w:hAnsi="Times New Roman"/>
                <w:sz w:val="15"/>
                <w:szCs w:val="15"/>
                <w:color w:val="231F20"/>
              </w:rPr>
              <w:t>1/2030)</w:t>
            </w:r>
          </w:p>
        </w:tc>
        <w:tc>
          <w:tcPr>
            <w:tcW w:w="900" w:type="dxa"/>
            <w:vAlign w:val="bottom"/>
            <w:shd w:val="clear" w:color="auto" w:fill="D0EBF2"/>
          </w:tcPr>
          <w:p>
            <w:pPr>
              <w:spacing w:after="0"/>
              <w:rPr>
                <w:sz w:val="16"/>
                <w:szCs w:val="16"/>
                <w:color w:val="auto"/>
              </w:rPr>
            </w:pPr>
          </w:p>
        </w:tc>
        <w:tc>
          <w:tcPr>
            <w:tcW w:w="1200" w:type="dxa"/>
            <w:vAlign w:val="bottom"/>
            <w:shd w:val="clear" w:color="auto" w:fill="D0EBF2"/>
          </w:tcPr>
          <w:p>
            <w:pPr>
              <w:jc w:val="right"/>
              <w:ind w:right="244"/>
              <w:spacing w:after="0"/>
              <w:rPr>
                <w:sz w:val="20"/>
                <w:szCs w:val="20"/>
                <w:color w:val="auto"/>
              </w:rPr>
            </w:pPr>
            <w:r>
              <w:rPr>
                <w:rFonts w:ascii="Times New Roman" w:cs="Times New Roman" w:eastAsia="Times New Roman" w:hAnsi="Times New Roman"/>
                <w:sz w:val="15"/>
                <w:szCs w:val="15"/>
                <w:color w:val="231F20"/>
              </w:rPr>
              <w:t>2.86%</w:t>
            </w:r>
          </w:p>
        </w:tc>
        <w:tc>
          <w:tcPr>
            <w:tcW w:w="900" w:type="dxa"/>
            <w:vAlign w:val="bottom"/>
            <w:shd w:val="clear" w:color="auto" w:fill="D0EBF2"/>
          </w:tcPr>
          <w:p>
            <w:pPr>
              <w:spacing w:after="0"/>
              <w:rPr>
                <w:sz w:val="16"/>
                <w:szCs w:val="16"/>
                <w:color w:val="auto"/>
              </w:rPr>
            </w:pPr>
          </w:p>
        </w:tc>
        <w:tc>
          <w:tcPr>
            <w:tcW w:w="1000" w:type="dxa"/>
            <w:vAlign w:val="bottom"/>
            <w:shd w:val="clear" w:color="auto" w:fill="D0EBF2"/>
          </w:tcPr>
          <w:p>
            <w:pPr>
              <w:spacing w:after="0"/>
              <w:rPr>
                <w:sz w:val="16"/>
                <w:szCs w:val="16"/>
                <w:color w:val="auto"/>
              </w:rPr>
            </w:pPr>
          </w:p>
        </w:tc>
        <w:tc>
          <w:tcPr>
            <w:tcW w:w="180" w:type="dxa"/>
            <w:vAlign w:val="bottom"/>
            <w:shd w:val="clear" w:color="auto" w:fill="D0EBF2"/>
          </w:tcPr>
          <w:p>
            <w:pPr>
              <w:spacing w:after="0"/>
              <w:rPr>
                <w:sz w:val="16"/>
                <w:szCs w:val="16"/>
                <w:color w:val="auto"/>
              </w:rPr>
            </w:pPr>
          </w:p>
        </w:tc>
        <w:tc>
          <w:tcPr>
            <w:tcW w:w="960" w:type="dxa"/>
            <w:vAlign w:val="bottom"/>
            <w:shd w:val="clear" w:color="auto" w:fill="D0EBF2"/>
          </w:tcPr>
          <w:p>
            <w:pPr>
              <w:spacing w:after="0"/>
              <w:rPr>
                <w:sz w:val="16"/>
                <w:szCs w:val="16"/>
                <w:color w:val="auto"/>
              </w:rPr>
            </w:pPr>
          </w:p>
        </w:tc>
        <w:tc>
          <w:tcPr>
            <w:tcW w:w="200" w:type="dxa"/>
            <w:vAlign w:val="bottom"/>
            <w:shd w:val="clear" w:color="auto" w:fill="D0EBF2"/>
          </w:tcPr>
          <w:p>
            <w:pPr>
              <w:spacing w:after="0"/>
              <w:rPr>
                <w:sz w:val="16"/>
                <w:szCs w:val="16"/>
                <w:color w:val="auto"/>
              </w:rPr>
            </w:pPr>
          </w:p>
        </w:tc>
        <w:tc>
          <w:tcPr>
            <w:tcW w:w="900" w:type="dxa"/>
            <w:vAlign w:val="bottom"/>
            <w:shd w:val="clear" w:color="auto" w:fill="D0EBF2"/>
          </w:tcPr>
          <w:p>
            <w:pPr>
              <w:spacing w:after="0"/>
              <w:rPr>
                <w:sz w:val="16"/>
                <w:szCs w:val="16"/>
                <w:color w:val="auto"/>
              </w:rPr>
            </w:pPr>
          </w:p>
        </w:tc>
        <w:tc>
          <w:tcPr>
            <w:tcW w:w="240" w:type="dxa"/>
            <w:vAlign w:val="bottom"/>
            <w:shd w:val="clear" w:color="auto" w:fill="D0EBF2"/>
          </w:tcPr>
          <w:p>
            <w:pPr>
              <w:spacing w:after="0"/>
              <w:rPr>
                <w:sz w:val="16"/>
                <w:szCs w:val="16"/>
                <w:color w:val="auto"/>
              </w:rPr>
            </w:pPr>
          </w:p>
        </w:tc>
      </w:tr>
      <w:tr>
        <w:trPr>
          <w:trHeight w:val="158"/>
        </w:trPr>
        <w:tc>
          <w:tcPr>
            <w:tcW w:w="1460" w:type="dxa"/>
            <w:vAlign w:val="bottom"/>
            <w:shd w:val="clear" w:color="auto" w:fill="FDFDFC"/>
          </w:tcPr>
          <w:p>
            <w:pPr>
              <w:spacing w:after="0" w:line="159" w:lineRule="exact"/>
              <w:rPr>
                <w:sz w:val="20"/>
                <w:szCs w:val="20"/>
                <w:color w:val="auto"/>
              </w:rPr>
            </w:pPr>
            <w:r>
              <w:rPr>
                <w:rFonts w:ascii="Times New Roman" w:cs="Times New Roman" w:eastAsia="Times New Roman" w:hAnsi="Times New Roman"/>
                <w:sz w:val="15"/>
                <w:szCs w:val="15"/>
                <w:color w:val="231F20"/>
              </w:rPr>
              <w:t>Voya CLO Ltd, Series</w:t>
            </w:r>
          </w:p>
        </w:tc>
        <w:tc>
          <w:tcPr>
            <w:tcW w:w="2340" w:type="dxa"/>
            <w:vAlign w:val="bottom"/>
            <w:shd w:val="clear" w:color="auto" w:fill="FDFDFC"/>
          </w:tcPr>
          <w:p>
            <w:pPr>
              <w:ind w:left="60"/>
              <w:spacing w:after="0" w:line="159" w:lineRule="exact"/>
              <w:rPr>
                <w:sz w:val="20"/>
                <w:szCs w:val="20"/>
                <w:color w:val="auto"/>
              </w:rPr>
            </w:pPr>
            <w:r>
              <w:rPr>
                <w:rFonts w:ascii="Times New Roman" w:cs="Times New Roman" w:eastAsia="Times New Roman" w:hAnsi="Times New Roman"/>
                <w:sz w:val="15"/>
                <w:szCs w:val="15"/>
                <w:color w:val="231F20"/>
              </w:rPr>
              <w:t>Structured Credit ($2,750 par, due</w:t>
            </w:r>
          </w:p>
        </w:tc>
        <w:tc>
          <w:tcPr>
            <w:tcW w:w="900" w:type="dxa"/>
            <w:vAlign w:val="bottom"/>
            <w:shd w:val="clear" w:color="auto" w:fill="FDFDFC"/>
          </w:tcPr>
          <w:p>
            <w:pPr>
              <w:jc w:val="right"/>
              <w:spacing w:after="0" w:line="159" w:lineRule="exact"/>
              <w:rPr>
                <w:sz w:val="20"/>
                <w:szCs w:val="20"/>
                <w:color w:val="auto"/>
              </w:rPr>
            </w:pPr>
            <w:r>
              <w:rPr>
                <w:rFonts w:ascii="Times New Roman" w:cs="Times New Roman" w:eastAsia="Times New Roman" w:hAnsi="Times New Roman"/>
                <w:sz w:val="15"/>
                <w:szCs w:val="15"/>
                <w:color w:val="231F20"/>
              </w:rPr>
              <w:t>6/22/2022</w:t>
            </w:r>
          </w:p>
        </w:tc>
        <w:tc>
          <w:tcPr>
            <w:tcW w:w="1200" w:type="dxa"/>
            <w:vAlign w:val="bottom"/>
            <w:shd w:val="clear" w:color="auto" w:fill="FDFDFC"/>
          </w:tcPr>
          <w:p>
            <w:pPr>
              <w:jc w:val="right"/>
              <w:ind w:right="244"/>
              <w:spacing w:after="0" w:line="159" w:lineRule="exact"/>
              <w:rPr>
                <w:sz w:val="20"/>
                <w:szCs w:val="20"/>
                <w:color w:val="auto"/>
              </w:rPr>
            </w:pPr>
            <w:r>
              <w:rPr>
                <w:rFonts w:ascii="Times New Roman" w:cs="Times New Roman" w:eastAsia="Times New Roman" w:hAnsi="Times New Roman"/>
                <w:sz w:val="15"/>
                <w:szCs w:val="15"/>
                <w:color w:val="231F20"/>
              </w:rPr>
              <w:t>SOFR +</w:t>
            </w:r>
          </w:p>
        </w:tc>
        <w:tc>
          <w:tcPr>
            <w:tcW w:w="900" w:type="dxa"/>
            <w:vAlign w:val="bottom"/>
            <w:shd w:val="clear" w:color="auto" w:fill="FDFDFC"/>
          </w:tcPr>
          <w:p>
            <w:pPr>
              <w:jc w:val="right"/>
              <w:ind w:right="24"/>
              <w:spacing w:after="0" w:line="159" w:lineRule="exact"/>
              <w:rPr>
                <w:sz w:val="20"/>
                <w:szCs w:val="20"/>
                <w:color w:val="auto"/>
              </w:rPr>
            </w:pPr>
            <w:r>
              <w:rPr>
                <w:rFonts w:ascii="Times New Roman" w:cs="Times New Roman" w:eastAsia="Times New Roman" w:hAnsi="Times New Roman"/>
                <w:sz w:val="15"/>
                <w:szCs w:val="15"/>
                <w:color w:val="231F20"/>
              </w:rPr>
              <w:t>11.41%</w:t>
            </w:r>
          </w:p>
        </w:tc>
        <w:tc>
          <w:tcPr>
            <w:tcW w:w="1000" w:type="dxa"/>
            <w:vAlign w:val="bottom"/>
            <w:shd w:val="clear" w:color="auto" w:fill="FDFDFC"/>
          </w:tcPr>
          <w:p>
            <w:pPr>
              <w:jc w:val="right"/>
              <w:spacing w:after="0" w:line="159" w:lineRule="exact"/>
              <w:rPr>
                <w:sz w:val="20"/>
                <w:szCs w:val="20"/>
                <w:color w:val="auto"/>
              </w:rPr>
            </w:pPr>
            <w:r>
              <w:rPr>
                <w:rFonts w:ascii="Times New Roman" w:cs="Times New Roman" w:eastAsia="Times New Roman" w:hAnsi="Times New Roman"/>
                <w:sz w:val="15"/>
                <w:szCs w:val="15"/>
                <w:color w:val="231F20"/>
              </w:rPr>
              <w:t>2,441</w:t>
            </w:r>
          </w:p>
        </w:tc>
        <w:tc>
          <w:tcPr>
            <w:tcW w:w="1140" w:type="dxa"/>
            <w:vAlign w:val="bottom"/>
            <w:gridSpan w:val="2"/>
            <w:shd w:val="clear" w:color="auto" w:fill="FDFDFC"/>
          </w:tcPr>
          <w:p>
            <w:pPr>
              <w:jc w:val="right"/>
              <w:spacing w:after="0" w:line="159" w:lineRule="exact"/>
              <w:rPr>
                <w:sz w:val="20"/>
                <w:szCs w:val="20"/>
                <w:color w:val="auto"/>
              </w:rPr>
            </w:pPr>
            <w:r>
              <w:rPr>
                <w:rFonts w:ascii="Times New Roman" w:cs="Times New Roman" w:eastAsia="Times New Roman" w:hAnsi="Times New Roman"/>
                <w:sz w:val="15"/>
                <w:szCs w:val="15"/>
                <w:color w:val="231F20"/>
              </w:rPr>
              <w:t>2,484</w:t>
            </w:r>
          </w:p>
        </w:tc>
        <w:tc>
          <w:tcPr>
            <w:tcW w:w="1340" w:type="dxa"/>
            <w:vAlign w:val="bottom"/>
            <w:gridSpan w:val="3"/>
            <w:shd w:val="clear" w:color="auto" w:fill="FDFDFC"/>
          </w:tcPr>
          <w:p>
            <w:pPr>
              <w:jc w:val="right"/>
              <w:ind w:right="120"/>
              <w:spacing w:after="0" w:line="159" w:lineRule="exact"/>
              <w:rPr>
                <w:sz w:val="20"/>
                <w:szCs w:val="20"/>
                <w:color w:val="auto"/>
              </w:rPr>
            </w:pPr>
            <w:r>
              <w:rPr>
                <w:rFonts w:ascii="Times New Roman" w:cs="Times New Roman" w:eastAsia="Times New Roman" w:hAnsi="Times New Roman"/>
                <w:sz w:val="15"/>
                <w:szCs w:val="15"/>
                <w:color w:val="231F20"/>
              </w:rPr>
              <w:t>0.2%</w:t>
            </w:r>
          </w:p>
        </w:tc>
      </w:tr>
      <w:tr>
        <w:trPr>
          <w:trHeight w:val="189"/>
        </w:trPr>
        <w:tc>
          <w:tcPr>
            <w:tcW w:w="1460" w:type="dxa"/>
            <w:vAlign w:val="bottom"/>
            <w:shd w:val="clear" w:color="auto" w:fill="FDFDFC"/>
          </w:tcPr>
          <w:p>
            <w:pPr>
              <w:spacing w:after="0" w:line="190" w:lineRule="exact"/>
              <w:rPr>
                <w:sz w:val="20"/>
                <w:szCs w:val="20"/>
                <w:color w:val="auto"/>
              </w:rPr>
            </w:pPr>
            <w:r>
              <w:rPr>
                <w:rFonts w:ascii="Times New Roman" w:cs="Times New Roman" w:eastAsia="Times New Roman" w:hAnsi="Times New Roman"/>
                <w:sz w:val="21"/>
                <w:szCs w:val="21"/>
                <w:color w:val="231F20"/>
                <w:vertAlign w:val="subscript"/>
              </w:rPr>
              <w:t>2018-3A</w:t>
            </w:r>
            <w:r>
              <w:rPr>
                <w:rFonts w:ascii="Times New Roman" w:cs="Times New Roman" w:eastAsia="Times New Roman" w:hAnsi="Times New Roman"/>
                <w:sz w:val="8"/>
                <w:szCs w:val="8"/>
                <w:color w:val="231F20"/>
              </w:rPr>
              <w:t xml:space="preserve"> (3)(4)(9)</w:t>
            </w:r>
          </w:p>
        </w:tc>
        <w:tc>
          <w:tcPr>
            <w:tcW w:w="2340" w:type="dxa"/>
            <w:vAlign w:val="bottom"/>
            <w:shd w:val="clear" w:color="auto" w:fill="FDFDFC"/>
          </w:tcPr>
          <w:p>
            <w:pPr>
              <w:ind w:left="60"/>
              <w:spacing w:after="0"/>
              <w:rPr>
                <w:sz w:val="20"/>
                <w:szCs w:val="20"/>
                <w:color w:val="auto"/>
              </w:rPr>
            </w:pPr>
            <w:r>
              <w:rPr>
                <w:rFonts w:ascii="Times New Roman" w:cs="Times New Roman" w:eastAsia="Times New Roman" w:hAnsi="Times New Roman"/>
                <w:sz w:val="15"/>
                <w:szCs w:val="15"/>
                <w:color w:val="231F20"/>
              </w:rPr>
              <w:t>10/2031)</w:t>
            </w:r>
          </w:p>
        </w:tc>
        <w:tc>
          <w:tcPr>
            <w:tcW w:w="900" w:type="dxa"/>
            <w:vAlign w:val="bottom"/>
            <w:shd w:val="clear" w:color="auto" w:fill="FDFDFC"/>
          </w:tcPr>
          <w:p>
            <w:pPr>
              <w:spacing w:after="0"/>
              <w:rPr>
                <w:sz w:val="16"/>
                <w:szCs w:val="16"/>
                <w:color w:val="auto"/>
              </w:rPr>
            </w:pPr>
          </w:p>
        </w:tc>
        <w:tc>
          <w:tcPr>
            <w:tcW w:w="1200" w:type="dxa"/>
            <w:vAlign w:val="bottom"/>
            <w:shd w:val="clear" w:color="auto" w:fill="FDFDFC"/>
          </w:tcPr>
          <w:p>
            <w:pPr>
              <w:jc w:val="right"/>
              <w:ind w:right="244"/>
              <w:spacing w:after="0"/>
              <w:rPr>
                <w:sz w:val="20"/>
                <w:szCs w:val="20"/>
                <w:color w:val="auto"/>
              </w:rPr>
            </w:pPr>
            <w:r>
              <w:rPr>
                <w:rFonts w:ascii="Times New Roman" w:cs="Times New Roman" w:eastAsia="Times New Roman" w:hAnsi="Times New Roman"/>
                <w:sz w:val="15"/>
                <w:szCs w:val="15"/>
                <w:color w:val="231F20"/>
              </w:rPr>
              <w:t>6.01%</w:t>
            </w:r>
          </w:p>
        </w:tc>
        <w:tc>
          <w:tcPr>
            <w:tcW w:w="900" w:type="dxa"/>
            <w:vAlign w:val="bottom"/>
            <w:shd w:val="clear" w:color="auto" w:fill="FDFDFC"/>
          </w:tcPr>
          <w:p>
            <w:pPr>
              <w:spacing w:after="0"/>
              <w:rPr>
                <w:sz w:val="16"/>
                <w:szCs w:val="16"/>
                <w:color w:val="auto"/>
              </w:rPr>
            </w:pPr>
          </w:p>
        </w:tc>
        <w:tc>
          <w:tcPr>
            <w:tcW w:w="1000" w:type="dxa"/>
            <w:vAlign w:val="bottom"/>
            <w:shd w:val="clear" w:color="auto" w:fill="FDFDFC"/>
          </w:tcPr>
          <w:p>
            <w:pPr>
              <w:spacing w:after="0"/>
              <w:rPr>
                <w:sz w:val="16"/>
                <w:szCs w:val="16"/>
                <w:color w:val="auto"/>
              </w:rPr>
            </w:pPr>
          </w:p>
        </w:tc>
        <w:tc>
          <w:tcPr>
            <w:tcW w:w="180" w:type="dxa"/>
            <w:vAlign w:val="bottom"/>
            <w:shd w:val="clear" w:color="auto" w:fill="FDFDFC"/>
          </w:tcPr>
          <w:p>
            <w:pPr>
              <w:spacing w:after="0"/>
              <w:rPr>
                <w:sz w:val="16"/>
                <w:szCs w:val="16"/>
                <w:color w:val="auto"/>
              </w:rPr>
            </w:pPr>
          </w:p>
        </w:tc>
        <w:tc>
          <w:tcPr>
            <w:tcW w:w="960" w:type="dxa"/>
            <w:vAlign w:val="bottom"/>
            <w:shd w:val="clear" w:color="auto" w:fill="FDFDFC"/>
          </w:tcPr>
          <w:p>
            <w:pPr>
              <w:spacing w:after="0"/>
              <w:rPr>
                <w:sz w:val="16"/>
                <w:szCs w:val="16"/>
                <w:color w:val="auto"/>
              </w:rPr>
            </w:pPr>
          </w:p>
        </w:tc>
        <w:tc>
          <w:tcPr>
            <w:tcW w:w="200" w:type="dxa"/>
            <w:vAlign w:val="bottom"/>
            <w:shd w:val="clear" w:color="auto" w:fill="FDFDFC"/>
          </w:tcPr>
          <w:p>
            <w:pPr>
              <w:spacing w:after="0"/>
              <w:rPr>
                <w:sz w:val="16"/>
                <w:szCs w:val="16"/>
                <w:color w:val="auto"/>
              </w:rPr>
            </w:pPr>
          </w:p>
        </w:tc>
        <w:tc>
          <w:tcPr>
            <w:tcW w:w="900" w:type="dxa"/>
            <w:vAlign w:val="bottom"/>
            <w:shd w:val="clear" w:color="auto" w:fill="FDFDFC"/>
          </w:tcPr>
          <w:p>
            <w:pPr>
              <w:spacing w:after="0"/>
              <w:rPr>
                <w:sz w:val="16"/>
                <w:szCs w:val="16"/>
                <w:color w:val="auto"/>
              </w:rPr>
            </w:pPr>
          </w:p>
        </w:tc>
        <w:tc>
          <w:tcPr>
            <w:tcW w:w="240" w:type="dxa"/>
            <w:vAlign w:val="bottom"/>
            <w:shd w:val="clear" w:color="auto" w:fill="FDFDFC"/>
          </w:tcPr>
          <w:p>
            <w:pPr>
              <w:spacing w:after="0"/>
              <w:rPr>
                <w:sz w:val="16"/>
                <w:szCs w:val="16"/>
                <w:color w:val="auto"/>
              </w:rPr>
            </w:pPr>
          </w:p>
        </w:tc>
      </w:tr>
      <w:tr>
        <w:trPr>
          <w:trHeight w:val="158"/>
        </w:trPr>
        <w:tc>
          <w:tcPr>
            <w:tcW w:w="1460" w:type="dxa"/>
            <w:vAlign w:val="bottom"/>
            <w:shd w:val="clear" w:color="auto" w:fill="D0EBF2"/>
          </w:tcPr>
          <w:p>
            <w:pPr>
              <w:spacing w:after="0" w:line="159" w:lineRule="exact"/>
              <w:rPr>
                <w:sz w:val="20"/>
                <w:szCs w:val="20"/>
                <w:color w:val="auto"/>
              </w:rPr>
            </w:pPr>
            <w:r>
              <w:rPr>
                <w:rFonts w:ascii="Times New Roman" w:cs="Times New Roman" w:eastAsia="Times New Roman" w:hAnsi="Times New Roman"/>
                <w:sz w:val="15"/>
                <w:szCs w:val="15"/>
                <w:color w:val="231F20"/>
              </w:rPr>
              <w:t>Wind River CLO Ltd,</w:t>
            </w:r>
          </w:p>
        </w:tc>
        <w:tc>
          <w:tcPr>
            <w:tcW w:w="2340" w:type="dxa"/>
            <w:vAlign w:val="bottom"/>
            <w:shd w:val="clear" w:color="auto" w:fill="D0EBF2"/>
          </w:tcPr>
          <w:p>
            <w:pPr>
              <w:ind w:left="60"/>
              <w:spacing w:after="0" w:line="159" w:lineRule="exact"/>
              <w:rPr>
                <w:sz w:val="20"/>
                <w:szCs w:val="20"/>
                <w:color w:val="auto"/>
              </w:rPr>
            </w:pPr>
            <w:r>
              <w:rPr>
                <w:rFonts w:ascii="Times New Roman" w:cs="Times New Roman" w:eastAsia="Times New Roman" w:hAnsi="Times New Roman"/>
                <w:sz w:val="15"/>
                <w:szCs w:val="15"/>
                <w:color w:val="231F20"/>
              </w:rPr>
              <w:t>Structured Credit ($1,500 par, due</w:t>
            </w:r>
          </w:p>
        </w:tc>
        <w:tc>
          <w:tcPr>
            <w:tcW w:w="900" w:type="dxa"/>
            <w:vAlign w:val="bottom"/>
            <w:shd w:val="clear" w:color="auto" w:fill="D0EBF2"/>
          </w:tcPr>
          <w:p>
            <w:pPr>
              <w:jc w:val="right"/>
              <w:spacing w:after="0" w:line="159" w:lineRule="exact"/>
              <w:rPr>
                <w:sz w:val="20"/>
                <w:szCs w:val="20"/>
                <w:color w:val="auto"/>
              </w:rPr>
            </w:pPr>
            <w:r>
              <w:rPr>
                <w:rFonts w:ascii="Times New Roman" w:cs="Times New Roman" w:eastAsia="Times New Roman" w:hAnsi="Times New Roman"/>
                <w:sz w:val="15"/>
                <w:szCs w:val="15"/>
                <w:color w:val="231F20"/>
              </w:rPr>
              <w:t>6/23/2022</w:t>
            </w:r>
          </w:p>
        </w:tc>
        <w:tc>
          <w:tcPr>
            <w:tcW w:w="1200" w:type="dxa"/>
            <w:vAlign w:val="bottom"/>
            <w:shd w:val="clear" w:color="auto" w:fill="D0EBF2"/>
          </w:tcPr>
          <w:p>
            <w:pPr>
              <w:jc w:val="right"/>
              <w:ind w:right="244"/>
              <w:spacing w:after="0" w:line="159" w:lineRule="exact"/>
              <w:rPr>
                <w:sz w:val="20"/>
                <w:szCs w:val="20"/>
                <w:color w:val="auto"/>
              </w:rPr>
            </w:pPr>
            <w:r>
              <w:rPr>
                <w:rFonts w:ascii="Times New Roman" w:cs="Times New Roman" w:eastAsia="Times New Roman" w:hAnsi="Times New Roman"/>
                <w:sz w:val="15"/>
                <w:szCs w:val="15"/>
                <w:color w:val="231F20"/>
              </w:rPr>
              <w:t>SOFR +</w:t>
            </w:r>
          </w:p>
        </w:tc>
        <w:tc>
          <w:tcPr>
            <w:tcW w:w="900" w:type="dxa"/>
            <w:vAlign w:val="bottom"/>
            <w:shd w:val="clear" w:color="auto" w:fill="D0EBF2"/>
          </w:tcPr>
          <w:p>
            <w:pPr>
              <w:jc w:val="right"/>
              <w:ind w:right="24"/>
              <w:spacing w:after="0" w:line="159" w:lineRule="exact"/>
              <w:rPr>
                <w:sz w:val="20"/>
                <w:szCs w:val="20"/>
                <w:color w:val="auto"/>
              </w:rPr>
            </w:pPr>
            <w:r>
              <w:rPr>
                <w:rFonts w:ascii="Times New Roman" w:cs="Times New Roman" w:eastAsia="Times New Roman" w:hAnsi="Times New Roman"/>
                <w:sz w:val="15"/>
                <w:szCs w:val="15"/>
                <w:color w:val="231F20"/>
              </w:rPr>
              <w:t>8.56%</w:t>
            </w:r>
          </w:p>
        </w:tc>
        <w:tc>
          <w:tcPr>
            <w:tcW w:w="1000" w:type="dxa"/>
            <w:vAlign w:val="bottom"/>
            <w:shd w:val="clear" w:color="auto" w:fill="D0EBF2"/>
          </w:tcPr>
          <w:p>
            <w:pPr>
              <w:jc w:val="right"/>
              <w:spacing w:after="0" w:line="159" w:lineRule="exact"/>
              <w:rPr>
                <w:sz w:val="20"/>
                <w:szCs w:val="20"/>
                <w:color w:val="auto"/>
              </w:rPr>
            </w:pPr>
            <w:r>
              <w:rPr>
                <w:rFonts w:ascii="Times New Roman" w:cs="Times New Roman" w:eastAsia="Times New Roman" w:hAnsi="Times New Roman"/>
                <w:sz w:val="15"/>
                <w:szCs w:val="15"/>
                <w:color w:val="231F20"/>
              </w:rPr>
              <w:t>1,407</w:t>
            </w:r>
          </w:p>
        </w:tc>
        <w:tc>
          <w:tcPr>
            <w:tcW w:w="1140" w:type="dxa"/>
            <w:vAlign w:val="bottom"/>
            <w:gridSpan w:val="2"/>
            <w:shd w:val="clear" w:color="auto" w:fill="D0EBF2"/>
          </w:tcPr>
          <w:p>
            <w:pPr>
              <w:jc w:val="right"/>
              <w:spacing w:after="0" w:line="159" w:lineRule="exact"/>
              <w:rPr>
                <w:sz w:val="20"/>
                <w:szCs w:val="20"/>
                <w:color w:val="auto"/>
              </w:rPr>
            </w:pPr>
            <w:r>
              <w:rPr>
                <w:rFonts w:ascii="Times New Roman" w:cs="Times New Roman" w:eastAsia="Times New Roman" w:hAnsi="Times New Roman"/>
                <w:sz w:val="15"/>
                <w:szCs w:val="15"/>
                <w:color w:val="231F20"/>
              </w:rPr>
              <w:t>1,404</w:t>
            </w:r>
          </w:p>
        </w:tc>
        <w:tc>
          <w:tcPr>
            <w:tcW w:w="1340" w:type="dxa"/>
            <w:vAlign w:val="bottom"/>
            <w:gridSpan w:val="3"/>
            <w:shd w:val="clear" w:color="auto" w:fill="D0EBF2"/>
          </w:tcPr>
          <w:p>
            <w:pPr>
              <w:jc w:val="right"/>
              <w:ind w:right="120"/>
              <w:spacing w:after="0" w:line="159" w:lineRule="exact"/>
              <w:rPr>
                <w:sz w:val="20"/>
                <w:szCs w:val="20"/>
                <w:color w:val="auto"/>
              </w:rPr>
            </w:pPr>
            <w:r>
              <w:rPr>
                <w:rFonts w:ascii="Times New Roman" w:cs="Times New Roman" w:eastAsia="Times New Roman" w:hAnsi="Times New Roman"/>
                <w:sz w:val="15"/>
                <w:szCs w:val="15"/>
                <w:color w:val="231F20"/>
              </w:rPr>
              <w:t>0.1%</w:t>
            </w:r>
          </w:p>
        </w:tc>
      </w:tr>
      <w:tr>
        <w:trPr>
          <w:trHeight w:val="189"/>
        </w:trPr>
        <w:tc>
          <w:tcPr>
            <w:tcW w:w="1460" w:type="dxa"/>
            <w:vAlign w:val="bottom"/>
            <w:shd w:val="clear" w:color="auto" w:fill="D0EBF2"/>
          </w:tcPr>
          <w:p>
            <w:pPr>
              <w:spacing w:after="0"/>
              <w:rPr>
                <w:sz w:val="20"/>
                <w:szCs w:val="20"/>
                <w:color w:val="auto"/>
              </w:rPr>
            </w:pPr>
            <w:r>
              <w:rPr>
                <w:rFonts w:ascii="Times New Roman" w:cs="Times New Roman" w:eastAsia="Times New Roman" w:hAnsi="Times New Roman"/>
                <w:sz w:val="15"/>
                <w:szCs w:val="15"/>
                <w:color w:val="231F20"/>
              </w:rPr>
              <w:t xml:space="preserve">Series 2014-2A </w:t>
            </w:r>
            <w:r>
              <w:rPr>
                <w:rFonts w:ascii="Times New Roman" w:cs="Times New Roman" w:eastAsia="Times New Roman" w:hAnsi="Times New Roman"/>
                <w:sz w:val="9"/>
                <w:szCs w:val="9"/>
                <w:color w:val="231F20"/>
              </w:rPr>
              <w:t>(3)(4)(9)</w:t>
            </w:r>
          </w:p>
        </w:tc>
        <w:tc>
          <w:tcPr>
            <w:tcW w:w="2340" w:type="dxa"/>
            <w:vAlign w:val="bottom"/>
            <w:shd w:val="clear" w:color="auto" w:fill="D0EBF2"/>
          </w:tcPr>
          <w:p>
            <w:pPr>
              <w:ind w:left="60"/>
              <w:spacing w:after="0"/>
              <w:rPr>
                <w:sz w:val="20"/>
                <w:szCs w:val="20"/>
                <w:color w:val="auto"/>
              </w:rPr>
            </w:pPr>
            <w:r>
              <w:rPr>
                <w:rFonts w:ascii="Times New Roman" w:cs="Times New Roman" w:eastAsia="Times New Roman" w:hAnsi="Times New Roman"/>
                <w:sz w:val="15"/>
                <w:szCs w:val="15"/>
                <w:color w:val="231F20"/>
              </w:rPr>
              <w:t>1/2031)</w:t>
            </w:r>
          </w:p>
        </w:tc>
        <w:tc>
          <w:tcPr>
            <w:tcW w:w="900" w:type="dxa"/>
            <w:vAlign w:val="bottom"/>
            <w:shd w:val="clear" w:color="auto" w:fill="D0EBF2"/>
          </w:tcPr>
          <w:p>
            <w:pPr>
              <w:spacing w:after="0"/>
              <w:rPr>
                <w:sz w:val="16"/>
                <w:szCs w:val="16"/>
                <w:color w:val="auto"/>
              </w:rPr>
            </w:pPr>
          </w:p>
        </w:tc>
        <w:tc>
          <w:tcPr>
            <w:tcW w:w="1200" w:type="dxa"/>
            <w:vAlign w:val="bottom"/>
            <w:shd w:val="clear" w:color="auto" w:fill="D0EBF2"/>
          </w:tcPr>
          <w:p>
            <w:pPr>
              <w:jc w:val="right"/>
              <w:ind w:right="244"/>
              <w:spacing w:after="0"/>
              <w:rPr>
                <w:sz w:val="20"/>
                <w:szCs w:val="20"/>
                <w:color w:val="auto"/>
              </w:rPr>
            </w:pPr>
            <w:r>
              <w:rPr>
                <w:rFonts w:ascii="Times New Roman" w:cs="Times New Roman" w:eastAsia="Times New Roman" w:hAnsi="Times New Roman"/>
                <w:sz w:val="15"/>
                <w:szCs w:val="15"/>
                <w:color w:val="231F20"/>
              </w:rPr>
              <w:t>3.16%</w:t>
            </w:r>
          </w:p>
        </w:tc>
        <w:tc>
          <w:tcPr>
            <w:tcW w:w="900" w:type="dxa"/>
            <w:vAlign w:val="bottom"/>
            <w:shd w:val="clear" w:color="auto" w:fill="D0EBF2"/>
          </w:tcPr>
          <w:p>
            <w:pPr>
              <w:spacing w:after="0"/>
              <w:rPr>
                <w:sz w:val="16"/>
                <w:szCs w:val="16"/>
                <w:color w:val="auto"/>
              </w:rPr>
            </w:pPr>
          </w:p>
        </w:tc>
        <w:tc>
          <w:tcPr>
            <w:tcW w:w="1000" w:type="dxa"/>
            <w:vAlign w:val="bottom"/>
            <w:shd w:val="clear" w:color="auto" w:fill="D0EBF2"/>
          </w:tcPr>
          <w:p>
            <w:pPr>
              <w:spacing w:after="0"/>
              <w:rPr>
                <w:sz w:val="16"/>
                <w:szCs w:val="16"/>
                <w:color w:val="auto"/>
              </w:rPr>
            </w:pPr>
          </w:p>
        </w:tc>
        <w:tc>
          <w:tcPr>
            <w:tcW w:w="180" w:type="dxa"/>
            <w:vAlign w:val="bottom"/>
            <w:shd w:val="clear" w:color="auto" w:fill="D0EBF2"/>
          </w:tcPr>
          <w:p>
            <w:pPr>
              <w:spacing w:after="0"/>
              <w:rPr>
                <w:sz w:val="16"/>
                <w:szCs w:val="16"/>
                <w:color w:val="auto"/>
              </w:rPr>
            </w:pPr>
          </w:p>
        </w:tc>
        <w:tc>
          <w:tcPr>
            <w:tcW w:w="960" w:type="dxa"/>
            <w:vAlign w:val="bottom"/>
            <w:shd w:val="clear" w:color="auto" w:fill="D0EBF2"/>
          </w:tcPr>
          <w:p>
            <w:pPr>
              <w:spacing w:after="0"/>
              <w:rPr>
                <w:sz w:val="16"/>
                <w:szCs w:val="16"/>
                <w:color w:val="auto"/>
              </w:rPr>
            </w:pPr>
          </w:p>
        </w:tc>
        <w:tc>
          <w:tcPr>
            <w:tcW w:w="200" w:type="dxa"/>
            <w:vAlign w:val="bottom"/>
            <w:shd w:val="clear" w:color="auto" w:fill="D0EBF2"/>
          </w:tcPr>
          <w:p>
            <w:pPr>
              <w:spacing w:after="0"/>
              <w:rPr>
                <w:sz w:val="16"/>
                <w:szCs w:val="16"/>
                <w:color w:val="auto"/>
              </w:rPr>
            </w:pPr>
          </w:p>
        </w:tc>
        <w:tc>
          <w:tcPr>
            <w:tcW w:w="900" w:type="dxa"/>
            <w:vAlign w:val="bottom"/>
            <w:shd w:val="clear" w:color="auto" w:fill="D0EBF2"/>
          </w:tcPr>
          <w:p>
            <w:pPr>
              <w:spacing w:after="0"/>
              <w:rPr>
                <w:sz w:val="16"/>
                <w:szCs w:val="16"/>
                <w:color w:val="auto"/>
              </w:rPr>
            </w:pPr>
          </w:p>
        </w:tc>
        <w:tc>
          <w:tcPr>
            <w:tcW w:w="240" w:type="dxa"/>
            <w:vAlign w:val="bottom"/>
            <w:shd w:val="clear" w:color="auto" w:fill="D0EBF2"/>
          </w:tcPr>
          <w:p>
            <w:pPr>
              <w:spacing w:after="0"/>
              <w:rPr>
                <w:sz w:val="16"/>
                <w:szCs w:val="16"/>
                <w:color w:val="auto"/>
              </w:rPr>
            </w:pPr>
          </w:p>
        </w:tc>
      </w:tr>
      <w:tr>
        <w:trPr>
          <w:trHeight w:val="158"/>
        </w:trPr>
        <w:tc>
          <w:tcPr>
            <w:tcW w:w="1460" w:type="dxa"/>
            <w:vAlign w:val="bottom"/>
            <w:shd w:val="clear" w:color="auto" w:fill="FDFDFC"/>
          </w:tcPr>
          <w:p>
            <w:pPr>
              <w:spacing w:after="0" w:line="159" w:lineRule="exact"/>
              <w:rPr>
                <w:sz w:val="20"/>
                <w:szCs w:val="20"/>
                <w:color w:val="auto"/>
              </w:rPr>
            </w:pPr>
            <w:r>
              <w:rPr>
                <w:rFonts w:ascii="Times New Roman" w:cs="Times New Roman" w:eastAsia="Times New Roman" w:hAnsi="Times New Roman"/>
                <w:sz w:val="15"/>
                <w:szCs w:val="15"/>
                <w:color w:val="231F20"/>
              </w:rPr>
              <w:t>Wind River CLO Ltd,</w:t>
            </w:r>
          </w:p>
        </w:tc>
        <w:tc>
          <w:tcPr>
            <w:tcW w:w="2340" w:type="dxa"/>
            <w:vAlign w:val="bottom"/>
            <w:shd w:val="clear" w:color="auto" w:fill="FDFDFC"/>
          </w:tcPr>
          <w:p>
            <w:pPr>
              <w:ind w:left="60"/>
              <w:spacing w:after="0" w:line="159" w:lineRule="exact"/>
              <w:rPr>
                <w:sz w:val="20"/>
                <w:szCs w:val="20"/>
                <w:color w:val="auto"/>
              </w:rPr>
            </w:pPr>
            <w:r>
              <w:rPr>
                <w:rFonts w:ascii="Times New Roman" w:cs="Times New Roman" w:eastAsia="Times New Roman" w:hAnsi="Times New Roman"/>
                <w:sz w:val="15"/>
                <w:szCs w:val="15"/>
                <w:color w:val="231F20"/>
              </w:rPr>
              <w:t>Structured Credit ($3,000 par, due</w:t>
            </w:r>
          </w:p>
        </w:tc>
        <w:tc>
          <w:tcPr>
            <w:tcW w:w="900" w:type="dxa"/>
            <w:vAlign w:val="bottom"/>
            <w:shd w:val="clear" w:color="auto" w:fill="FDFDFC"/>
          </w:tcPr>
          <w:p>
            <w:pPr>
              <w:jc w:val="right"/>
              <w:spacing w:after="0" w:line="159" w:lineRule="exact"/>
              <w:rPr>
                <w:sz w:val="20"/>
                <w:szCs w:val="20"/>
                <w:color w:val="auto"/>
              </w:rPr>
            </w:pPr>
            <w:r>
              <w:rPr>
                <w:rFonts w:ascii="Times New Roman" w:cs="Times New Roman" w:eastAsia="Times New Roman" w:hAnsi="Times New Roman"/>
                <w:sz w:val="15"/>
                <w:szCs w:val="15"/>
                <w:color w:val="231F20"/>
              </w:rPr>
              <w:t>7/14/2022</w:t>
            </w:r>
          </w:p>
        </w:tc>
        <w:tc>
          <w:tcPr>
            <w:tcW w:w="1200" w:type="dxa"/>
            <w:vAlign w:val="bottom"/>
            <w:shd w:val="clear" w:color="auto" w:fill="FDFDFC"/>
          </w:tcPr>
          <w:p>
            <w:pPr>
              <w:jc w:val="right"/>
              <w:ind w:right="244"/>
              <w:spacing w:after="0" w:line="159" w:lineRule="exact"/>
              <w:rPr>
                <w:sz w:val="20"/>
                <w:szCs w:val="20"/>
                <w:color w:val="auto"/>
              </w:rPr>
            </w:pPr>
            <w:r>
              <w:rPr>
                <w:rFonts w:ascii="Times New Roman" w:cs="Times New Roman" w:eastAsia="Times New Roman" w:hAnsi="Times New Roman"/>
                <w:sz w:val="15"/>
                <w:szCs w:val="15"/>
                <w:color w:val="231F20"/>
              </w:rPr>
              <w:t>SOFR +</w:t>
            </w:r>
          </w:p>
        </w:tc>
        <w:tc>
          <w:tcPr>
            <w:tcW w:w="900" w:type="dxa"/>
            <w:vAlign w:val="bottom"/>
            <w:shd w:val="clear" w:color="auto" w:fill="FDFDFC"/>
          </w:tcPr>
          <w:p>
            <w:pPr>
              <w:jc w:val="right"/>
              <w:ind w:right="24"/>
              <w:spacing w:after="0" w:line="159" w:lineRule="exact"/>
              <w:rPr>
                <w:sz w:val="20"/>
                <w:szCs w:val="20"/>
                <w:color w:val="auto"/>
              </w:rPr>
            </w:pPr>
            <w:r>
              <w:rPr>
                <w:rFonts w:ascii="Times New Roman" w:cs="Times New Roman" w:eastAsia="Times New Roman" w:hAnsi="Times New Roman"/>
                <w:sz w:val="15"/>
                <w:szCs w:val="15"/>
                <w:color w:val="231F20"/>
              </w:rPr>
              <w:t>9.38%</w:t>
            </w:r>
          </w:p>
        </w:tc>
        <w:tc>
          <w:tcPr>
            <w:tcW w:w="1000" w:type="dxa"/>
            <w:vAlign w:val="bottom"/>
            <w:shd w:val="clear" w:color="auto" w:fill="FDFDFC"/>
          </w:tcPr>
          <w:p>
            <w:pPr>
              <w:jc w:val="right"/>
              <w:spacing w:after="0" w:line="159" w:lineRule="exact"/>
              <w:rPr>
                <w:sz w:val="20"/>
                <w:szCs w:val="20"/>
                <w:color w:val="auto"/>
              </w:rPr>
            </w:pPr>
            <w:r>
              <w:rPr>
                <w:rFonts w:ascii="Times New Roman" w:cs="Times New Roman" w:eastAsia="Times New Roman" w:hAnsi="Times New Roman"/>
                <w:sz w:val="15"/>
                <w:szCs w:val="15"/>
                <w:color w:val="231F20"/>
              </w:rPr>
              <w:t>2,633</w:t>
            </w:r>
          </w:p>
        </w:tc>
        <w:tc>
          <w:tcPr>
            <w:tcW w:w="1140" w:type="dxa"/>
            <w:vAlign w:val="bottom"/>
            <w:gridSpan w:val="2"/>
            <w:shd w:val="clear" w:color="auto" w:fill="FDFDFC"/>
          </w:tcPr>
          <w:p>
            <w:pPr>
              <w:jc w:val="right"/>
              <w:spacing w:after="0" w:line="159" w:lineRule="exact"/>
              <w:rPr>
                <w:sz w:val="20"/>
                <w:szCs w:val="20"/>
                <w:color w:val="auto"/>
              </w:rPr>
            </w:pPr>
            <w:r>
              <w:rPr>
                <w:rFonts w:ascii="Times New Roman" w:cs="Times New Roman" w:eastAsia="Times New Roman" w:hAnsi="Times New Roman"/>
                <w:sz w:val="15"/>
                <w:szCs w:val="15"/>
                <w:color w:val="231F20"/>
              </w:rPr>
              <w:t>2,911</w:t>
            </w:r>
          </w:p>
        </w:tc>
        <w:tc>
          <w:tcPr>
            <w:tcW w:w="1340" w:type="dxa"/>
            <w:vAlign w:val="bottom"/>
            <w:gridSpan w:val="3"/>
            <w:shd w:val="clear" w:color="auto" w:fill="FDFDFC"/>
          </w:tcPr>
          <w:p>
            <w:pPr>
              <w:jc w:val="right"/>
              <w:ind w:right="120"/>
              <w:spacing w:after="0" w:line="159" w:lineRule="exact"/>
              <w:rPr>
                <w:sz w:val="20"/>
                <w:szCs w:val="20"/>
                <w:color w:val="auto"/>
              </w:rPr>
            </w:pPr>
            <w:r>
              <w:rPr>
                <w:rFonts w:ascii="Times New Roman" w:cs="Times New Roman" w:eastAsia="Times New Roman" w:hAnsi="Times New Roman"/>
                <w:sz w:val="15"/>
                <w:szCs w:val="15"/>
                <w:color w:val="231F20"/>
              </w:rPr>
              <w:t>0.2%</w:t>
            </w:r>
          </w:p>
        </w:tc>
      </w:tr>
      <w:tr>
        <w:trPr>
          <w:trHeight w:val="189"/>
        </w:trPr>
        <w:tc>
          <w:tcPr>
            <w:tcW w:w="1460" w:type="dxa"/>
            <w:vAlign w:val="bottom"/>
            <w:shd w:val="clear" w:color="auto" w:fill="FDFDFC"/>
          </w:tcPr>
          <w:p>
            <w:pPr>
              <w:spacing w:after="0"/>
              <w:rPr>
                <w:sz w:val="20"/>
                <w:szCs w:val="20"/>
                <w:color w:val="auto"/>
              </w:rPr>
            </w:pPr>
            <w:r>
              <w:rPr>
                <w:rFonts w:ascii="Times New Roman" w:cs="Times New Roman" w:eastAsia="Times New Roman" w:hAnsi="Times New Roman"/>
                <w:sz w:val="15"/>
                <w:szCs w:val="15"/>
                <w:color w:val="231F20"/>
              </w:rPr>
              <w:t xml:space="preserve">Series 2017-1A </w:t>
            </w:r>
            <w:r>
              <w:rPr>
                <w:rFonts w:ascii="Times New Roman" w:cs="Times New Roman" w:eastAsia="Times New Roman" w:hAnsi="Times New Roman"/>
                <w:sz w:val="9"/>
                <w:szCs w:val="9"/>
                <w:color w:val="231F20"/>
              </w:rPr>
              <w:t>(3)(4)(9)</w:t>
            </w:r>
          </w:p>
        </w:tc>
        <w:tc>
          <w:tcPr>
            <w:tcW w:w="2340" w:type="dxa"/>
            <w:vAlign w:val="bottom"/>
            <w:shd w:val="clear" w:color="auto" w:fill="FDFDFC"/>
          </w:tcPr>
          <w:p>
            <w:pPr>
              <w:ind w:left="60"/>
              <w:spacing w:after="0"/>
              <w:rPr>
                <w:sz w:val="20"/>
                <w:szCs w:val="20"/>
                <w:color w:val="auto"/>
              </w:rPr>
            </w:pPr>
            <w:r>
              <w:rPr>
                <w:rFonts w:ascii="Times New Roman" w:cs="Times New Roman" w:eastAsia="Times New Roman" w:hAnsi="Times New Roman"/>
                <w:sz w:val="15"/>
                <w:szCs w:val="15"/>
                <w:color w:val="231F20"/>
              </w:rPr>
              <w:t>4/2036)</w:t>
            </w:r>
          </w:p>
        </w:tc>
        <w:tc>
          <w:tcPr>
            <w:tcW w:w="900" w:type="dxa"/>
            <w:vAlign w:val="bottom"/>
            <w:shd w:val="clear" w:color="auto" w:fill="FDFDFC"/>
          </w:tcPr>
          <w:p>
            <w:pPr>
              <w:spacing w:after="0"/>
              <w:rPr>
                <w:sz w:val="16"/>
                <w:szCs w:val="16"/>
                <w:color w:val="auto"/>
              </w:rPr>
            </w:pPr>
          </w:p>
        </w:tc>
        <w:tc>
          <w:tcPr>
            <w:tcW w:w="1200" w:type="dxa"/>
            <w:vAlign w:val="bottom"/>
            <w:shd w:val="clear" w:color="auto" w:fill="FDFDFC"/>
          </w:tcPr>
          <w:p>
            <w:pPr>
              <w:jc w:val="right"/>
              <w:ind w:right="244"/>
              <w:spacing w:after="0"/>
              <w:rPr>
                <w:sz w:val="20"/>
                <w:szCs w:val="20"/>
                <w:color w:val="auto"/>
              </w:rPr>
            </w:pPr>
            <w:r>
              <w:rPr>
                <w:rFonts w:ascii="Times New Roman" w:cs="Times New Roman" w:eastAsia="Times New Roman" w:hAnsi="Times New Roman"/>
                <w:sz w:val="15"/>
                <w:szCs w:val="15"/>
                <w:color w:val="231F20"/>
              </w:rPr>
              <w:t>3.98%</w:t>
            </w:r>
          </w:p>
        </w:tc>
        <w:tc>
          <w:tcPr>
            <w:tcW w:w="900" w:type="dxa"/>
            <w:vAlign w:val="bottom"/>
            <w:shd w:val="clear" w:color="auto" w:fill="FDFDFC"/>
          </w:tcPr>
          <w:p>
            <w:pPr>
              <w:spacing w:after="0"/>
              <w:rPr>
                <w:sz w:val="16"/>
                <w:szCs w:val="16"/>
                <w:color w:val="auto"/>
              </w:rPr>
            </w:pPr>
          </w:p>
        </w:tc>
        <w:tc>
          <w:tcPr>
            <w:tcW w:w="1000" w:type="dxa"/>
            <w:vAlign w:val="bottom"/>
            <w:shd w:val="clear" w:color="auto" w:fill="FDFDFC"/>
          </w:tcPr>
          <w:p>
            <w:pPr>
              <w:spacing w:after="0"/>
              <w:rPr>
                <w:sz w:val="16"/>
                <w:szCs w:val="16"/>
                <w:color w:val="auto"/>
              </w:rPr>
            </w:pPr>
          </w:p>
        </w:tc>
        <w:tc>
          <w:tcPr>
            <w:tcW w:w="180" w:type="dxa"/>
            <w:vAlign w:val="bottom"/>
            <w:shd w:val="clear" w:color="auto" w:fill="FDFDFC"/>
          </w:tcPr>
          <w:p>
            <w:pPr>
              <w:spacing w:after="0"/>
              <w:rPr>
                <w:sz w:val="16"/>
                <w:szCs w:val="16"/>
                <w:color w:val="auto"/>
              </w:rPr>
            </w:pPr>
          </w:p>
        </w:tc>
        <w:tc>
          <w:tcPr>
            <w:tcW w:w="960" w:type="dxa"/>
            <w:vAlign w:val="bottom"/>
            <w:shd w:val="clear" w:color="auto" w:fill="FDFDFC"/>
          </w:tcPr>
          <w:p>
            <w:pPr>
              <w:spacing w:after="0"/>
              <w:rPr>
                <w:sz w:val="16"/>
                <w:szCs w:val="16"/>
                <w:color w:val="auto"/>
              </w:rPr>
            </w:pPr>
          </w:p>
        </w:tc>
        <w:tc>
          <w:tcPr>
            <w:tcW w:w="200" w:type="dxa"/>
            <w:vAlign w:val="bottom"/>
            <w:shd w:val="clear" w:color="auto" w:fill="FDFDFC"/>
          </w:tcPr>
          <w:p>
            <w:pPr>
              <w:spacing w:after="0"/>
              <w:rPr>
                <w:sz w:val="16"/>
                <w:szCs w:val="16"/>
                <w:color w:val="auto"/>
              </w:rPr>
            </w:pPr>
          </w:p>
        </w:tc>
        <w:tc>
          <w:tcPr>
            <w:tcW w:w="900" w:type="dxa"/>
            <w:vAlign w:val="bottom"/>
            <w:shd w:val="clear" w:color="auto" w:fill="FDFDFC"/>
          </w:tcPr>
          <w:p>
            <w:pPr>
              <w:spacing w:after="0"/>
              <w:rPr>
                <w:sz w:val="16"/>
                <w:szCs w:val="16"/>
                <w:color w:val="auto"/>
              </w:rPr>
            </w:pPr>
          </w:p>
        </w:tc>
        <w:tc>
          <w:tcPr>
            <w:tcW w:w="240" w:type="dxa"/>
            <w:vAlign w:val="bottom"/>
            <w:shd w:val="clear" w:color="auto" w:fill="FDFDFC"/>
          </w:tcPr>
          <w:p>
            <w:pPr>
              <w:spacing w:after="0"/>
              <w:rPr>
                <w:sz w:val="16"/>
                <w:szCs w:val="16"/>
                <w:color w:val="auto"/>
              </w:rPr>
            </w:pPr>
          </w:p>
        </w:tc>
      </w:tr>
      <w:tr>
        <w:trPr>
          <w:trHeight w:val="158"/>
        </w:trPr>
        <w:tc>
          <w:tcPr>
            <w:tcW w:w="1460" w:type="dxa"/>
            <w:vAlign w:val="bottom"/>
            <w:shd w:val="clear" w:color="auto" w:fill="D0EBF2"/>
          </w:tcPr>
          <w:p>
            <w:pPr>
              <w:spacing w:after="0" w:line="159" w:lineRule="exact"/>
              <w:rPr>
                <w:sz w:val="20"/>
                <w:szCs w:val="20"/>
                <w:color w:val="auto"/>
              </w:rPr>
            </w:pPr>
            <w:r>
              <w:rPr>
                <w:rFonts w:ascii="Times New Roman" w:cs="Times New Roman" w:eastAsia="Times New Roman" w:hAnsi="Times New Roman"/>
                <w:sz w:val="15"/>
                <w:szCs w:val="15"/>
                <w:color w:val="231F20"/>
              </w:rPr>
              <w:t>Wind River CLO Ltd,</w:t>
            </w:r>
          </w:p>
        </w:tc>
        <w:tc>
          <w:tcPr>
            <w:tcW w:w="2340" w:type="dxa"/>
            <w:vAlign w:val="bottom"/>
            <w:shd w:val="clear" w:color="auto" w:fill="D0EBF2"/>
          </w:tcPr>
          <w:p>
            <w:pPr>
              <w:ind w:left="60"/>
              <w:spacing w:after="0" w:line="159" w:lineRule="exact"/>
              <w:rPr>
                <w:sz w:val="20"/>
                <w:szCs w:val="20"/>
                <w:color w:val="auto"/>
              </w:rPr>
            </w:pPr>
            <w:r>
              <w:rPr>
                <w:rFonts w:ascii="Times New Roman" w:cs="Times New Roman" w:eastAsia="Times New Roman" w:hAnsi="Times New Roman"/>
                <w:sz w:val="15"/>
                <w:szCs w:val="15"/>
                <w:color w:val="231F20"/>
              </w:rPr>
              <w:t>Structured Credit ($2,000 par, due</w:t>
            </w:r>
          </w:p>
        </w:tc>
        <w:tc>
          <w:tcPr>
            <w:tcW w:w="900" w:type="dxa"/>
            <w:vAlign w:val="bottom"/>
            <w:shd w:val="clear" w:color="auto" w:fill="D0EBF2"/>
          </w:tcPr>
          <w:p>
            <w:pPr>
              <w:jc w:val="right"/>
              <w:spacing w:after="0" w:line="159" w:lineRule="exact"/>
              <w:rPr>
                <w:sz w:val="20"/>
                <w:szCs w:val="20"/>
                <w:color w:val="auto"/>
              </w:rPr>
            </w:pPr>
            <w:r>
              <w:rPr>
                <w:rFonts w:ascii="Times New Roman" w:cs="Times New Roman" w:eastAsia="Times New Roman" w:hAnsi="Times New Roman"/>
                <w:sz w:val="15"/>
                <w:szCs w:val="15"/>
                <w:color w:val="231F20"/>
              </w:rPr>
              <w:t>12/12/2022</w:t>
            </w:r>
          </w:p>
        </w:tc>
        <w:tc>
          <w:tcPr>
            <w:tcW w:w="1200" w:type="dxa"/>
            <w:vAlign w:val="bottom"/>
            <w:shd w:val="clear" w:color="auto" w:fill="D0EBF2"/>
          </w:tcPr>
          <w:p>
            <w:pPr>
              <w:jc w:val="right"/>
              <w:ind w:right="244"/>
              <w:spacing w:after="0" w:line="159" w:lineRule="exact"/>
              <w:rPr>
                <w:sz w:val="20"/>
                <w:szCs w:val="20"/>
                <w:color w:val="auto"/>
              </w:rPr>
            </w:pPr>
            <w:r>
              <w:rPr>
                <w:rFonts w:ascii="Times New Roman" w:cs="Times New Roman" w:eastAsia="Times New Roman" w:hAnsi="Times New Roman"/>
                <w:sz w:val="15"/>
                <w:szCs w:val="15"/>
                <w:color w:val="231F20"/>
              </w:rPr>
              <w:t>SOFR +</w:t>
            </w:r>
          </w:p>
        </w:tc>
        <w:tc>
          <w:tcPr>
            <w:tcW w:w="900" w:type="dxa"/>
            <w:vAlign w:val="bottom"/>
            <w:shd w:val="clear" w:color="auto" w:fill="D0EBF2"/>
          </w:tcPr>
          <w:p>
            <w:pPr>
              <w:jc w:val="right"/>
              <w:ind w:right="24"/>
              <w:spacing w:after="0" w:line="159" w:lineRule="exact"/>
              <w:rPr>
                <w:sz w:val="20"/>
                <w:szCs w:val="20"/>
                <w:color w:val="auto"/>
              </w:rPr>
            </w:pPr>
            <w:r>
              <w:rPr>
                <w:rFonts w:ascii="Times New Roman" w:cs="Times New Roman" w:eastAsia="Times New Roman" w:hAnsi="Times New Roman"/>
                <w:sz w:val="15"/>
                <w:szCs w:val="15"/>
                <w:color w:val="231F20"/>
              </w:rPr>
              <w:t>11.33%</w:t>
            </w:r>
          </w:p>
        </w:tc>
        <w:tc>
          <w:tcPr>
            <w:tcW w:w="1000" w:type="dxa"/>
            <w:vAlign w:val="bottom"/>
            <w:shd w:val="clear" w:color="auto" w:fill="D0EBF2"/>
          </w:tcPr>
          <w:p>
            <w:pPr>
              <w:jc w:val="right"/>
              <w:spacing w:after="0" w:line="159" w:lineRule="exact"/>
              <w:rPr>
                <w:sz w:val="20"/>
                <w:szCs w:val="20"/>
                <w:color w:val="auto"/>
              </w:rPr>
            </w:pPr>
            <w:r>
              <w:rPr>
                <w:rFonts w:ascii="Times New Roman" w:cs="Times New Roman" w:eastAsia="Times New Roman" w:hAnsi="Times New Roman"/>
                <w:sz w:val="15"/>
                <w:szCs w:val="15"/>
                <w:color w:val="231F20"/>
              </w:rPr>
              <w:t>1,721</w:t>
            </w:r>
          </w:p>
        </w:tc>
        <w:tc>
          <w:tcPr>
            <w:tcW w:w="1140" w:type="dxa"/>
            <w:vAlign w:val="bottom"/>
            <w:gridSpan w:val="2"/>
            <w:shd w:val="clear" w:color="auto" w:fill="D0EBF2"/>
          </w:tcPr>
          <w:p>
            <w:pPr>
              <w:jc w:val="right"/>
              <w:spacing w:after="0" w:line="159" w:lineRule="exact"/>
              <w:rPr>
                <w:sz w:val="20"/>
                <w:szCs w:val="20"/>
                <w:color w:val="auto"/>
              </w:rPr>
            </w:pPr>
            <w:r>
              <w:rPr>
                <w:rFonts w:ascii="Times New Roman" w:cs="Times New Roman" w:eastAsia="Times New Roman" w:hAnsi="Times New Roman"/>
                <w:sz w:val="15"/>
                <w:szCs w:val="15"/>
                <w:color w:val="231F20"/>
              </w:rPr>
              <w:t>1,856</w:t>
            </w:r>
          </w:p>
        </w:tc>
        <w:tc>
          <w:tcPr>
            <w:tcW w:w="1340" w:type="dxa"/>
            <w:vAlign w:val="bottom"/>
            <w:gridSpan w:val="3"/>
            <w:shd w:val="clear" w:color="auto" w:fill="D0EBF2"/>
          </w:tcPr>
          <w:p>
            <w:pPr>
              <w:jc w:val="right"/>
              <w:ind w:right="120"/>
              <w:spacing w:after="0" w:line="159" w:lineRule="exact"/>
              <w:rPr>
                <w:sz w:val="20"/>
                <w:szCs w:val="20"/>
                <w:color w:val="auto"/>
              </w:rPr>
            </w:pPr>
            <w:r>
              <w:rPr>
                <w:rFonts w:ascii="Times New Roman" w:cs="Times New Roman" w:eastAsia="Times New Roman" w:hAnsi="Times New Roman"/>
                <w:sz w:val="15"/>
                <w:szCs w:val="15"/>
                <w:color w:val="231F20"/>
              </w:rPr>
              <w:t>0.1%</w:t>
            </w:r>
          </w:p>
        </w:tc>
      </w:tr>
      <w:tr>
        <w:trPr>
          <w:trHeight w:val="189"/>
        </w:trPr>
        <w:tc>
          <w:tcPr>
            <w:tcW w:w="1460" w:type="dxa"/>
            <w:vAlign w:val="bottom"/>
            <w:shd w:val="clear" w:color="auto" w:fill="D0EBF2"/>
          </w:tcPr>
          <w:p>
            <w:pPr>
              <w:spacing w:after="0"/>
              <w:rPr>
                <w:sz w:val="20"/>
                <w:szCs w:val="20"/>
                <w:color w:val="auto"/>
              </w:rPr>
            </w:pPr>
            <w:r>
              <w:rPr>
                <w:rFonts w:ascii="Times New Roman" w:cs="Times New Roman" w:eastAsia="Times New Roman" w:hAnsi="Times New Roman"/>
                <w:sz w:val="15"/>
                <w:szCs w:val="15"/>
                <w:color w:val="231F20"/>
              </w:rPr>
              <w:t xml:space="preserve">Series 2018-3A </w:t>
            </w:r>
            <w:r>
              <w:rPr>
                <w:rFonts w:ascii="Times New Roman" w:cs="Times New Roman" w:eastAsia="Times New Roman" w:hAnsi="Times New Roman"/>
                <w:sz w:val="9"/>
                <w:szCs w:val="9"/>
                <w:color w:val="231F20"/>
              </w:rPr>
              <w:t>(3)(4)(9)</w:t>
            </w:r>
          </w:p>
        </w:tc>
        <w:tc>
          <w:tcPr>
            <w:tcW w:w="2340" w:type="dxa"/>
            <w:vAlign w:val="bottom"/>
            <w:shd w:val="clear" w:color="auto" w:fill="D0EBF2"/>
          </w:tcPr>
          <w:p>
            <w:pPr>
              <w:ind w:left="60"/>
              <w:spacing w:after="0"/>
              <w:rPr>
                <w:sz w:val="20"/>
                <w:szCs w:val="20"/>
                <w:color w:val="auto"/>
              </w:rPr>
            </w:pPr>
            <w:r>
              <w:rPr>
                <w:rFonts w:ascii="Times New Roman" w:cs="Times New Roman" w:eastAsia="Times New Roman" w:hAnsi="Times New Roman"/>
                <w:sz w:val="15"/>
                <w:szCs w:val="15"/>
                <w:color w:val="231F20"/>
              </w:rPr>
              <w:t>1/2031)</w:t>
            </w:r>
          </w:p>
        </w:tc>
        <w:tc>
          <w:tcPr>
            <w:tcW w:w="900" w:type="dxa"/>
            <w:vAlign w:val="bottom"/>
            <w:shd w:val="clear" w:color="auto" w:fill="D0EBF2"/>
          </w:tcPr>
          <w:p>
            <w:pPr>
              <w:spacing w:after="0"/>
              <w:rPr>
                <w:sz w:val="16"/>
                <w:szCs w:val="16"/>
                <w:color w:val="auto"/>
              </w:rPr>
            </w:pPr>
          </w:p>
        </w:tc>
        <w:tc>
          <w:tcPr>
            <w:tcW w:w="1200" w:type="dxa"/>
            <w:vAlign w:val="bottom"/>
            <w:shd w:val="clear" w:color="auto" w:fill="D0EBF2"/>
          </w:tcPr>
          <w:p>
            <w:pPr>
              <w:jc w:val="right"/>
              <w:ind w:right="244"/>
              <w:spacing w:after="0"/>
              <w:rPr>
                <w:sz w:val="20"/>
                <w:szCs w:val="20"/>
                <w:color w:val="auto"/>
              </w:rPr>
            </w:pPr>
            <w:r>
              <w:rPr>
                <w:rFonts w:ascii="Times New Roman" w:cs="Times New Roman" w:eastAsia="Times New Roman" w:hAnsi="Times New Roman"/>
                <w:sz w:val="15"/>
                <w:szCs w:val="15"/>
                <w:color w:val="231F20"/>
              </w:rPr>
              <w:t>5.91%</w:t>
            </w:r>
          </w:p>
        </w:tc>
        <w:tc>
          <w:tcPr>
            <w:tcW w:w="900" w:type="dxa"/>
            <w:vAlign w:val="bottom"/>
            <w:shd w:val="clear" w:color="auto" w:fill="D0EBF2"/>
          </w:tcPr>
          <w:p>
            <w:pPr>
              <w:spacing w:after="0"/>
              <w:rPr>
                <w:sz w:val="16"/>
                <w:szCs w:val="16"/>
                <w:color w:val="auto"/>
              </w:rPr>
            </w:pPr>
          </w:p>
        </w:tc>
        <w:tc>
          <w:tcPr>
            <w:tcW w:w="1000" w:type="dxa"/>
            <w:vAlign w:val="bottom"/>
            <w:tcBorders>
              <w:bottom w:val="single" w:sz="8" w:color="231F20"/>
            </w:tcBorders>
            <w:shd w:val="clear" w:color="auto" w:fill="D0EBF2"/>
          </w:tcPr>
          <w:p>
            <w:pPr>
              <w:spacing w:after="0"/>
              <w:rPr>
                <w:sz w:val="16"/>
                <w:szCs w:val="16"/>
                <w:color w:val="auto"/>
              </w:rPr>
            </w:pPr>
          </w:p>
        </w:tc>
        <w:tc>
          <w:tcPr>
            <w:tcW w:w="180" w:type="dxa"/>
            <w:vAlign w:val="bottom"/>
            <w:shd w:val="clear" w:color="auto" w:fill="D0EBF2"/>
          </w:tcPr>
          <w:p>
            <w:pPr>
              <w:spacing w:after="0"/>
              <w:rPr>
                <w:sz w:val="16"/>
                <w:szCs w:val="16"/>
                <w:color w:val="auto"/>
              </w:rPr>
            </w:pPr>
          </w:p>
        </w:tc>
        <w:tc>
          <w:tcPr>
            <w:tcW w:w="960" w:type="dxa"/>
            <w:vAlign w:val="bottom"/>
            <w:tcBorders>
              <w:bottom w:val="single" w:sz="8" w:color="231F20"/>
            </w:tcBorders>
            <w:shd w:val="clear" w:color="auto" w:fill="D0EBF2"/>
          </w:tcPr>
          <w:p>
            <w:pPr>
              <w:spacing w:after="0"/>
              <w:rPr>
                <w:sz w:val="16"/>
                <w:szCs w:val="16"/>
                <w:color w:val="auto"/>
              </w:rPr>
            </w:pPr>
          </w:p>
        </w:tc>
        <w:tc>
          <w:tcPr>
            <w:tcW w:w="200" w:type="dxa"/>
            <w:vAlign w:val="bottom"/>
            <w:shd w:val="clear" w:color="auto" w:fill="D0EBF2"/>
          </w:tcPr>
          <w:p>
            <w:pPr>
              <w:spacing w:after="0"/>
              <w:rPr>
                <w:sz w:val="16"/>
                <w:szCs w:val="16"/>
                <w:color w:val="auto"/>
              </w:rPr>
            </w:pPr>
          </w:p>
        </w:tc>
        <w:tc>
          <w:tcPr>
            <w:tcW w:w="900" w:type="dxa"/>
            <w:vAlign w:val="bottom"/>
            <w:tcBorders>
              <w:bottom w:val="single" w:sz="8" w:color="231F20"/>
            </w:tcBorders>
            <w:shd w:val="clear" w:color="auto" w:fill="D0EBF2"/>
          </w:tcPr>
          <w:p>
            <w:pPr>
              <w:spacing w:after="0"/>
              <w:rPr>
                <w:sz w:val="16"/>
                <w:szCs w:val="16"/>
                <w:color w:val="auto"/>
              </w:rPr>
            </w:pPr>
          </w:p>
        </w:tc>
        <w:tc>
          <w:tcPr>
            <w:tcW w:w="240" w:type="dxa"/>
            <w:vAlign w:val="bottom"/>
            <w:shd w:val="clear" w:color="auto" w:fill="D0EBF2"/>
          </w:tcPr>
          <w:p>
            <w:pPr>
              <w:spacing w:after="0"/>
              <w:rPr>
                <w:sz w:val="16"/>
                <w:szCs w:val="16"/>
                <w:color w:val="auto"/>
              </w:rPr>
            </w:pPr>
          </w:p>
        </w:tc>
      </w:tr>
    </w:tbl>
    <w:p>
      <w:pPr>
        <w:spacing w:after="0" w:line="200" w:lineRule="exact"/>
        <w:rPr>
          <w:sz w:val="20"/>
          <w:szCs w:val="20"/>
          <w:color w:val="auto"/>
        </w:rPr>
      </w:pPr>
    </w:p>
    <w:p>
      <w:pPr>
        <w:sectPr>
          <w:pgSz w:w="12240" w:h="15840" w:orient="portrait"/>
          <w:cols w:equalWidth="0" w:num="1">
            <w:col w:w="10280"/>
          </w:cols>
          <w:pgMar w:left="980" w:top="1322" w:right="980" w:bottom="574" w:gutter="0" w:footer="0" w:header="0"/>
        </w:sectPr>
      </w:pPr>
    </w:p>
    <w:p>
      <w:pPr>
        <w:spacing w:after="0" w:line="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231F20"/>
        </w:rPr>
        <w:t>F-22</w:t>
      </w:r>
    </w:p>
    <w:p>
      <w:pPr>
        <w:sectPr>
          <w:pgSz w:w="12240" w:h="15840" w:orient="portrait"/>
          <w:cols w:equalWidth="0" w:num="1">
            <w:col w:w="10280"/>
          </w:cols>
          <w:pgMar w:left="980" w:top="1322" w:right="980" w:bottom="574" w:gutter="0" w:footer="0" w:header="0"/>
          <w:type w:val="continuous"/>
        </w:sectPr>
      </w:pPr>
    </w:p>
    <w:bookmarkStart w:id="110" w:name="page111"/>
    <w:bookmarkEnd w:id="110"/>
    <w:tbl>
      <w:tblPr>
        <w:tblLayout w:type="fixed"/>
        <w:tblInd w:w="1" w:type="dxa"/>
        <w:tblCellMar>
          <w:top w:w="0" w:type="dxa"/>
          <w:left w:w="0" w:type="dxa"/>
          <w:bottom w:w="0" w:type="dxa"/>
          <w:right w:w="0" w:type="dxa"/>
        </w:tblCellMar>
      </w:tblPr>
      <w:tr>
        <w:trPr>
          <w:trHeight w:val="20"/>
        </w:trPr>
        <w:tc>
          <w:tcPr>
            <w:tcW w:w="1920" w:type="dxa"/>
            <w:vAlign w:val="bottom"/>
            <w:shd w:val="clear" w:color="auto" w:fill="FDFDFC"/>
          </w:tcPr>
          <w:p>
            <w:pPr>
              <w:spacing w:after="0" w:line="20" w:lineRule="exact"/>
              <w:rPr>
                <w:sz w:val="1"/>
                <w:szCs w:val="1"/>
                <w:color w:val="auto"/>
              </w:rPr>
            </w:pPr>
          </w:p>
        </w:tc>
        <w:tc>
          <w:tcPr>
            <w:tcW w:w="1080" w:type="dxa"/>
            <w:vAlign w:val="bottom"/>
            <w:shd w:val="clear" w:color="auto" w:fill="FDFDFC"/>
          </w:tcPr>
          <w:p>
            <w:pPr>
              <w:spacing w:after="0" w:line="20" w:lineRule="exact"/>
              <w:rPr>
                <w:sz w:val="1"/>
                <w:szCs w:val="1"/>
                <w:color w:val="auto"/>
              </w:rPr>
            </w:pPr>
          </w:p>
        </w:tc>
        <w:tc>
          <w:tcPr>
            <w:tcW w:w="120" w:type="dxa"/>
            <w:vAlign w:val="bottom"/>
            <w:shd w:val="clear" w:color="auto" w:fill="FDFDFC"/>
          </w:tcPr>
          <w:p>
            <w:pPr>
              <w:spacing w:after="0" w:line="20" w:lineRule="exact"/>
              <w:rPr>
                <w:sz w:val="1"/>
                <w:szCs w:val="1"/>
                <w:color w:val="auto"/>
              </w:rPr>
            </w:pPr>
          </w:p>
        </w:tc>
        <w:tc>
          <w:tcPr>
            <w:tcW w:w="1080" w:type="dxa"/>
            <w:vAlign w:val="bottom"/>
            <w:shd w:val="clear" w:color="auto" w:fill="FDFDFC"/>
          </w:tcPr>
          <w:p>
            <w:pPr>
              <w:spacing w:after="0" w:line="20" w:lineRule="exact"/>
              <w:rPr>
                <w:sz w:val="1"/>
                <w:szCs w:val="1"/>
                <w:color w:val="auto"/>
              </w:rPr>
            </w:pPr>
          </w:p>
        </w:tc>
        <w:tc>
          <w:tcPr>
            <w:tcW w:w="140" w:type="dxa"/>
            <w:vAlign w:val="bottom"/>
            <w:shd w:val="clear" w:color="auto" w:fill="FDFDFC"/>
          </w:tcPr>
          <w:p>
            <w:pPr>
              <w:spacing w:after="0" w:line="20" w:lineRule="exact"/>
              <w:rPr>
                <w:sz w:val="1"/>
                <w:szCs w:val="1"/>
                <w:color w:val="auto"/>
              </w:rPr>
            </w:pPr>
          </w:p>
        </w:tc>
        <w:tc>
          <w:tcPr>
            <w:tcW w:w="1080" w:type="dxa"/>
            <w:vAlign w:val="bottom"/>
            <w:shd w:val="clear" w:color="auto" w:fill="FDFDFC"/>
          </w:tcPr>
          <w:p>
            <w:pPr>
              <w:spacing w:after="0" w:line="20" w:lineRule="exact"/>
              <w:rPr>
                <w:sz w:val="1"/>
                <w:szCs w:val="1"/>
                <w:color w:val="auto"/>
              </w:rPr>
            </w:pPr>
          </w:p>
        </w:tc>
        <w:tc>
          <w:tcPr>
            <w:tcW w:w="100" w:type="dxa"/>
            <w:vAlign w:val="bottom"/>
            <w:shd w:val="clear" w:color="auto" w:fill="FDFDFC"/>
          </w:tcPr>
          <w:p>
            <w:pPr>
              <w:spacing w:after="0" w:line="20" w:lineRule="exact"/>
              <w:rPr>
                <w:sz w:val="1"/>
                <w:szCs w:val="1"/>
                <w:color w:val="auto"/>
              </w:rPr>
            </w:pPr>
          </w:p>
        </w:tc>
        <w:tc>
          <w:tcPr>
            <w:tcW w:w="140" w:type="dxa"/>
            <w:vAlign w:val="bottom"/>
            <w:shd w:val="clear" w:color="auto" w:fill="FDFDFC"/>
          </w:tcPr>
          <w:p>
            <w:pPr>
              <w:spacing w:after="0" w:line="20" w:lineRule="exact"/>
              <w:rPr>
                <w:sz w:val="1"/>
                <w:szCs w:val="1"/>
                <w:color w:val="auto"/>
              </w:rPr>
            </w:pPr>
          </w:p>
        </w:tc>
        <w:tc>
          <w:tcPr>
            <w:tcW w:w="860" w:type="dxa"/>
            <w:vAlign w:val="bottom"/>
            <w:shd w:val="clear" w:color="auto" w:fill="FDFDFC"/>
          </w:tcPr>
          <w:p>
            <w:pPr>
              <w:spacing w:after="0" w:line="20" w:lineRule="exact"/>
              <w:rPr>
                <w:sz w:val="1"/>
                <w:szCs w:val="1"/>
                <w:color w:val="auto"/>
              </w:rPr>
            </w:pPr>
          </w:p>
        </w:tc>
        <w:tc>
          <w:tcPr>
            <w:tcW w:w="100" w:type="dxa"/>
            <w:vAlign w:val="bottom"/>
            <w:shd w:val="clear" w:color="auto" w:fill="FDFDFC"/>
          </w:tcPr>
          <w:p>
            <w:pPr>
              <w:spacing w:after="0" w:line="20" w:lineRule="exact"/>
              <w:rPr>
                <w:sz w:val="1"/>
                <w:szCs w:val="1"/>
                <w:color w:val="auto"/>
              </w:rPr>
            </w:pPr>
          </w:p>
        </w:tc>
        <w:tc>
          <w:tcPr>
            <w:tcW w:w="100" w:type="dxa"/>
            <w:vAlign w:val="bottom"/>
            <w:shd w:val="clear" w:color="auto" w:fill="FDFDFC"/>
          </w:tcPr>
          <w:p>
            <w:pPr>
              <w:spacing w:after="0" w:line="20" w:lineRule="exact"/>
              <w:rPr>
                <w:sz w:val="1"/>
                <w:szCs w:val="1"/>
                <w:color w:val="auto"/>
              </w:rPr>
            </w:pPr>
          </w:p>
        </w:tc>
        <w:tc>
          <w:tcPr>
            <w:tcW w:w="80" w:type="dxa"/>
            <w:vAlign w:val="bottom"/>
            <w:shd w:val="clear" w:color="auto" w:fill="FDFDFC"/>
          </w:tcPr>
          <w:p>
            <w:pPr>
              <w:spacing w:after="0" w:line="20" w:lineRule="exact"/>
              <w:rPr>
                <w:sz w:val="1"/>
                <w:szCs w:val="1"/>
                <w:color w:val="auto"/>
              </w:rPr>
            </w:pPr>
          </w:p>
        </w:tc>
        <w:tc>
          <w:tcPr>
            <w:tcW w:w="120" w:type="dxa"/>
            <w:vAlign w:val="bottom"/>
            <w:shd w:val="clear" w:color="auto" w:fill="231F20"/>
          </w:tcPr>
          <w:p>
            <w:pPr>
              <w:spacing w:after="0" w:line="20" w:lineRule="exact"/>
              <w:rPr>
                <w:sz w:val="1"/>
                <w:szCs w:val="1"/>
                <w:color w:val="auto"/>
              </w:rPr>
            </w:pPr>
          </w:p>
        </w:tc>
        <w:tc>
          <w:tcPr>
            <w:tcW w:w="920" w:type="dxa"/>
            <w:vAlign w:val="bottom"/>
            <w:tcBorders>
              <w:right w:val="single" w:sz="8" w:color="231F20"/>
            </w:tcBorders>
            <w:shd w:val="clear" w:color="auto" w:fill="231F20"/>
          </w:tcPr>
          <w:p>
            <w:pPr>
              <w:spacing w:after="0" w:line="20" w:lineRule="exact"/>
              <w:rPr>
                <w:sz w:val="1"/>
                <w:szCs w:val="1"/>
                <w:color w:val="auto"/>
              </w:rPr>
            </w:pPr>
          </w:p>
        </w:tc>
        <w:tc>
          <w:tcPr>
            <w:tcW w:w="100" w:type="dxa"/>
            <w:vAlign w:val="bottom"/>
            <w:shd w:val="clear" w:color="auto" w:fill="FDFDFC"/>
          </w:tcPr>
          <w:p>
            <w:pPr>
              <w:spacing w:after="0" w:line="20" w:lineRule="exact"/>
              <w:rPr>
                <w:sz w:val="1"/>
                <w:szCs w:val="1"/>
                <w:color w:val="auto"/>
              </w:rPr>
            </w:pPr>
          </w:p>
        </w:tc>
        <w:tc>
          <w:tcPr>
            <w:tcW w:w="160" w:type="dxa"/>
            <w:vAlign w:val="bottom"/>
            <w:tcBorders>
              <w:left w:val="single" w:sz="8" w:color="FDFDFC"/>
            </w:tcBorders>
            <w:shd w:val="clear" w:color="auto" w:fill="231F20"/>
          </w:tcPr>
          <w:p>
            <w:pPr>
              <w:spacing w:after="0" w:line="20" w:lineRule="exact"/>
              <w:rPr>
                <w:sz w:val="1"/>
                <w:szCs w:val="1"/>
                <w:color w:val="auto"/>
              </w:rPr>
            </w:pPr>
          </w:p>
        </w:tc>
        <w:tc>
          <w:tcPr>
            <w:tcW w:w="860" w:type="dxa"/>
            <w:vAlign w:val="bottom"/>
            <w:tcBorders>
              <w:right w:val="single" w:sz="8" w:color="231F20"/>
            </w:tcBorders>
            <w:shd w:val="clear" w:color="auto" w:fill="231F20"/>
          </w:tcPr>
          <w:p>
            <w:pPr>
              <w:spacing w:after="0" w:line="20" w:lineRule="exact"/>
              <w:rPr>
                <w:sz w:val="1"/>
                <w:szCs w:val="1"/>
                <w:color w:val="auto"/>
              </w:rPr>
            </w:pPr>
          </w:p>
        </w:tc>
        <w:tc>
          <w:tcPr>
            <w:tcW w:w="80" w:type="dxa"/>
            <w:vAlign w:val="bottom"/>
            <w:shd w:val="clear" w:color="auto" w:fill="FDFDFC"/>
          </w:tcPr>
          <w:p>
            <w:pPr>
              <w:spacing w:after="0" w:line="20" w:lineRule="exact"/>
              <w:rPr>
                <w:sz w:val="1"/>
                <w:szCs w:val="1"/>
                <w:color w:val="auto"/>
              </w:rPr>
            </w:pPr>
          </w:p>
        </w:tc>
        <w:tc>
          <w:tcPr>
            <w:tcW w:w="100" w:type="dxa"/>
            <w:vAlign w:val="bottom"/>
            <w:shd w:val="clear" w:color="auto" w:fill="FDFDFC"/>
          </w:tcPr>
          <w:p>
            <w:pPr>
              <w:spacing w:after="0" w:line="20" w:lineRule="exact"/>
              <w:rPr>
                <w:sz w:val="1"/>
                <w:szCs w:val="1"/>
                <w:color w:val="auto"/>
              </w:rPr>
            </w:pPr>
          </w:p>
        </w:tc>
        <w:tc>
          <w:tcPr>
            <w:tcW w:w="120" w:type="dxa"/>
            <w:vAlign w:val="bottom"/>
            <w:tcBorders>
              <w:left w:val="single" w:sz="8" w:color="231F20"/>
            </w:tcBorders>
            <w:shd w:val="clear" w:color="auto" w:fill="231F20"/>
          </w:tcPr>
          <w:p>
            <w:pPr>
              <w:spacing w:after="0" w:line="20" w:lineRule="exact"/>
              <w:rPr>
                <w:sz w:val="1"/>
                <w:szCs w:val="1"/>
                <w:color w:val="auto"/>
              </w:rPr>
            </w:pPr>
          </w:p>
        </w:tc>
        <w:tc>
          <w:tcPr>
            <w:tcW w:w="780" w:type="dxa"/>
            <w:vAlign w:val="bottom"/>
            <w:shd w:val="clear" w:color="auto" w:fill="231F2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1920" w:type="dxa"/>
            <w:vAlign w:val="bottom"/>
            <w:shd w:val="clear" w:color="auto" w:fill="FDFDFC"/>
          </w:tcPr>
          <w:p>
            <w:pPr>
              <w:spacing w:after="0"/>
              <w:rPr>
                <w:sz w:val="14"/>
                <w:szCs w:val="14"/>
                <w:color w:val="auto"/>
              </w:rPr>
            </w:pPr>
          </w:p>
        </w:tc>
        <w:tc>
          <w:tcPr>
            <w:tcW w:w="1080" w:type="dxa"/>
            <w:vAlign w:val="bottom"/>
            <w:shd w:val="clear" w:color="auto" w:fill="FDFDFC"/>
          </w:tcPr>
          <w:p>
            <w:pPr>
              <w:spacing w:after="0"/>
              <w:rPr>
                <w:sz w:val="14"/>
                <w:szCs w:val="14"/>
                <w:color w:val="auto"/>
              </w:rPr>
            </w:pPr>
          </w:p>
        </w:tc>
        <w:tc>
          <w:tcPr>
            <w:tcW w:w="120" w:type="dxa"/>
            <w:vAlign w:val="bottom"/>
            <w:shd w:val="clear" w:color="auto" w:fill="FDFDFC"/>
          </w:tcPr>
          <w:p>
            <w:pPr>
              <w:spacing w:after="0"/>
              <w:rPr>
                <w:sz w:val="14"/>
                <w:szCs w:val="14"/>
                <w:color w:val="auto"/>
              </w:rPr>
            </w:pPr>
          </w:p>
        </w:tc>
        <w:tc>
          <w:tcPr>
            <w:tcW w:w="1080" w:type="dxa"/>
            <w:vAlign w:val="bottom"/>
            <w:shd w:val="clear" w:color="auto" w:fill="FDFDFC"/>
          </w:tcPr>
          <w:p>
            <w:pPr>
              <w:spacing w:after="0"/>
              <w:rPr>
                <w:sz w:val="14"/>
                <w:szCs w:val="14"/>
                <w:color w:val="auto"/>
              </w:rPr>
            </w:pPr>
          </w:p>
        </w:tc>
        <w:tc>
          <w:tcPr>
            <w:tcW w:w="140" w:type="dxa"/>
            <w:vAlign w:val="bottom"/>
            <w:shd w:val="clear" w:color="auto" w:fill="FDFDFC"/>
          </w:tcPr>
          <w:p>
            <w:pPr>
              <w:spacing w:after="0"/>
              <w:rPr>
                <w:sz w:val="14"/>
                <w:szCs w:val="14"/>
                <w:color w:val="auto"/>
              </w:rPr>
            </w:pPr>
          </w:p>
        </w:tc>
        <w:tc>
          <w:tcPr>
            <w:tcW w:w="1080" w:type="dxa"/>
            <w:vAlign w:val="bottom"/>
            <w:shd w:val="clear" w:color="auto" w:fill="FDFDFC"/>
          </w:tcPr>
          <w:p>
            <w:pPr>
              <w:spacing w:after="0"/>
              <w:rPr>
                <w:sz w:val="14"/>
                <w:szCs w:val="14"/>
                <w:color w:val="auto"/>
              </w:rPr>
            </w:pPr>
          </w:p>
        </w:tc>
        <w:tc>
          <w:tcPr>
            <w:tcW w:w="100" w:type="dxa"/>
            <w:vAlign w:val="bottom"/>
            <w:shd w:val="clear" w:color="auto" w:fill="FDFDFC"/>
          </w:tcPr>
          <w:p>
            <w:pPr>
              <w:spacing w:after="0"/>
              <w:rPr>
                <w:sz w:val="14"/>
                <w:szCs w:val="14"/>
                <w:color w:val="auto"/>
              </w:rPr>
            </w:pPr>
          </w:p>
        </w:tc>
        <w:tc>
          <w:tcPr>
            <w:tcW w:w="140" w:type="dxa"/>
            <w:vAlign w:val="bottom"/>
            <w:shd w:val="clear" w:color="auto" w:fill="FDFDFC"/>
          </w:tcPr>
          <w:p>
            <w:pPr>
              <w:spacing w:after="0"/>
              <w:rPr>
                <w:sz w:val="14"/>
                <w:szCs w:val="14"/>
                <w:color w:val="auto"/>
              </w:rPr>
            </w:pPr>
          </w:p>
        </w:tc>
        <w:tc>
          <w:tcPr>
            <w:tcW w:w="860" w:type="dxa"/>
            <w:vAlign w:val="bottom"/>
            <w:shd w:val="clear" w:color="auto" w:fill="FDFDFC"/>
          </w:tcPr>
          <w:p>
            <w:pPr>
              <w:spacing w:after="0"/>
              <w:rPr>
                <w:sz w:val="14"/>
                <w:szCs w:val="14"/>
                <w:color w:val="auto"/>
              </w:rPr>
            </w:pPr>
          </w:p>
        </w:tc>
        <w:tc>
          <w:tcPr>
            <w:tcW w:w="100" w:type="dxa"/>
            <w:vAlign w:val="bottom"/>
            <w:shd w:val="clear" w:color="auto" w:fill="FDFDFC"/>
          </w:tcPr>
          <w:p>
            <w:pPr>
              <w:spacing w:after="0"/>
              <w:rPr>
                <w:sz w:val="14"/>
                <w:szCs w:val="14"/>
                <w:color w:val="auto"/>
              </w:rPr>
            </w:pPr>
          </w:p>
        </w:tc>
        <w:tc>
          <w:tcPr>
            <w:tcW w:w="100" w:type="dxa"/>
            <w:vAlign w:val="bottom"/>
            <w:shd w:val="clear" w:color="auto" w:fill="FDFDFC"/>
          </w:tcPr>
          <w:p>
            <w:pPr>
              <w:spacing w:after="0"/>
              <w:rPr>
                <w:sz w:val="14"/>
                <w:szCs w:val="14"/>
                <w:color w:val="auto"/>
              </w:rPr>
            </w:pPr>
          </w:p>
        </w:tc>
        <w:tc>
          <w:tcPr>
            <w:tcW w:w="80" w:type="dxa"/>
            <w:vAlign w:val="bottom"/>
            <w:shd w:val="clear" w:color="auto" w:fill="FDFDFC"/>
          </w:tcPr>
          <w:p>
            <w:pPr>
              <w:spacing w:after="0"/>
              <w:rPr>
                <w:sz w:val="14"/>
                <w:szCs w:val="14"/>
                <w:color w:val="auto"/>
              </w:rPr>
            </w:pPr>
          </w:p>
        </w:tc>
        <w:tc>
          <w:tcPr>
            <w:tcW w:w="120" w:type="dxa"/>
            <w:vAlign w:val="bottom"/>
            <w:shd w:val="clear" w:color="auto" w:fill="FDFDFC"/>
          </w:tcPr>
          <w:p>
            <w:pPr>
              <w:spacing w:after="0"/>
              <w:rPr>
                <w:sz w:val="14"/>
                <w:szCs w:val="14"/>
                <w:color w:val="auto"/>
              </w:rPr>
            </w:pPr>
          </w:p>
        </w:tc>
        <w:tc>
          <w:tcPr>
            <w:tcW w:w="920" w:type="dxa"/>
            <w:vAlign w:val="bottom"/>
            <w:tcBorders>
              <w:right w:val="single" w:sz="8" w:color="FDFDFC"/>
            </w:tcBorders>
            <w:shd w:val="clear" w:color="auto" w:fill="FDFDFC"/>
          </w:tcPr>
          <w:p>
            <w:pPr>
              <w:jc w:val="right"/>
              <w:spacing w:after="0" w:line="164" w:lineRule="exact"/>
              <w:rPr>
                <w:sz w:val="20"/>
                <w:szCs w:val="20"/>
                <w:color w:val="auto"/>
              </w:rPr>
            </w:pPr>
            <w:r>
              <w:rPr>
                <w:rFonts w:ascii="Times New Roman" w:cs="Times New Roman" w:eastAsia="Times New Roman" w:hAnsi="Times New Roman"/>
                <w:sz w:val="15"/>
                <w:szCs w:val="15"/>
                <w:color w:val="231F20"/>
              </w:rPr>
              <w:t>52,865</w:t>
            </w:r>
          </w:p>
        </w:tc>
        <w:tc>
          <w:tcPr>
            <w:tcW w:w="100" w:type="dxa"/>
            <w:vAlign w:val="bottom"/>
            <w:shd w:val="clear" w:color="auto" w:fill="FDFDFC"/>
          </w:tcPr>
          <w:p>
            <w:pPr>
              <w:spacing w:after="0"/>
              <w:rPr>
                <w:sz w:val="14"/>
                <w:szCs w:val="14"/>
                <w:color w:val="auto"/>
              </w:rPr>
            </w:pPr>
          </w:p>
        </w:tc>
        <w:tc>
          <w:tcPr>
            <w:tcW w:w="160" w:type="dxa"/>
            <w:vAlign w:val="bottom"/>
            <w:tcBorders>
              <w:left w:val="single" w:sz="8" w:color="FDFDFC"/>
            </w:tcBorders>
            <w:shd w:val="clear" w:color="auto" w:fill="FDFDFC"/>
          </w:tcPr>
          <w:p>
            <w:pPr>
              <w:spacing w:after="0"/>
              <w:rPr>
                <w:sz w:val="14"/>
                <w:szCs w:val="14"/>
                <w:color w:val="auto"/>
              </w:rPr>
            </w:pPr>
          </w:p>
        </w:tc>
        <w:tc>
          <w:tcPr>
            <w:tcW w:w="860" w:type="dxa"/>
            <w:vAlign w:val="bottom"/>
            <w:tcBorders>
              <w:right w:val="single" w:sz="8" w:color="FDFDFC"/>
            </w:tcBorders>
            <w:shd w:val="clear" w:color="auto" w:fill="FDFDFC"/>
          </w:tcPr>
          <w:p>
            <w:pPr>
              <w:jc w:val="right"/>
              <w:spacing w:after="0" w:line="164" w:lineRule="exact"/>
              <w:rPr>
                <w:sz w:val="20"/>
                <w:szCs w:val="20"/>
                <w:color w:val="auto"/>
              </w:rPr>
            </w:pPr>
            <w:r>
              <w:rPr>
                <w:rFonts w:ascii="Times New Roman" w:cs="Times New Roman" w:eastAsia="Times New Roman" w:hAnsi="Times New Roman"/>
                <w:sz w:val="15"/>
                <w:szCs w:val="15"/>
                <w:color w:val="231F20"/>
              </w:rPr>
              <w:t>55,844</w:t>
            </w:r>
          </w:p>
        </w:tc>
        <w:tc>
          <w:tcPr>
            <w:tcW w:w="80" w:type="dxa"/>
            <w:vAlign w:val="bottom"/>
            <w:shd w:val="clear" w:color="auto" w:fill="FDFDFC"/>
          </w:tcPr>
          <w:p>
            <w:pPr>
              <w:spacing w:after="0"/>
              <w:rPr>
                <w:sz w:val="14"/>
                <w:szCs w:val="14"/>
                <w:color w:val="auto"/>
              </w:rPr>
            </w:pPr>
          </w:p>
        </w:tc>
        <w:tc>
          <w:tcPr>
            <w:tcW w:w="100" w:type="dxa"/>
            <w:vAlign w:val="bottom"/>
            <w:shd w:val="clear" w:color="auto" w:fill="FDFDFC"/>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gridSpan w:val="2"/>
          </w:tcPr>
          <w:p>
            <w:pPr>
              <w:jc w:val="right"/>
              <w:ind w:right="20"/>
              <w:spacing w:after="0" w:line="164" w:lineRule="exact"/>
              <w:rPr>
                <w:sz w:val="20"/>
                <w:szCs w:val="20"/>
                <w:color w:val="auto"/>
              </w:rPr>
            </w:pPr>
            <w:r>
              <w:rPr>
                <w:rFonts w:ascii="Times New Roman" w:cs="Times New Roman" w:eastAsia="Times New Roman" w:hAnsi="Times New Roman"/>
                <w:sz w:val="15"/>
                <w:szCs w:val="15"/>
                <w:color w:val="231F20"/>
              </w:rPr>
              <w:t>3.7%</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920" w:type="dxa"/>
            <w:vAlign w:val="bottom"/>
            <w:vMerge w:val="restart"/>
            <w:shd w:val="clear" w:color="auto" w:fill="D0EBF2"/>
          </w:tcPr>
          <w:p>
            <w:pPr>
              <w:spacing w:after="0" w:line="166" w:lineRule="exact"/>
              <w:rPr>
                <w:sz w:val="20"/>
                <w:szCs w:val="20"/>
                <w:color w:val="auto"/>
              </w:rPr>
            </w:pPr>
            <w:r>
              <w:rPr>
                <w:rFonts w:ascii="Times New Roman" w:cs="Times New Roman" w:eastAsia="Times New Roman" w:hAnsi="Times New Roman"/>
                <w:sz w:val="15"/>
                <w:szCs w:val="15"/>
                <w:b w:val="1"/>
                <w:bCs w:val="1"/>
                <w:color w:val="231F20"/>
              </w:rPr>
              <w:t>Total Equity and</w:t>
            </w:r>
          </w:p>
        </w:tc>
        <w:tc>
          <w:tcPr>
            <w:tcW w:w="1080" w:type="dxa"/>
            <w:vAlign w:val="bottom"/>
            <w:shd w:val="clear" w:color="auto" w:fill="D0EBF2"/>
          </w:tcPr>
          <w:p>
            <w:pPr>
              <w:spacing w:after="0" w:line="20" w:lineRule="exact"/>
              <w:rPr>
                <w:sz w:val="1"/>
                <w:szCs w:val="1"/>
                <w:color w:val="auto"/>
              </w:rPr>
            </w:pPr>
          </w:p>
        </w:tc>
        <w:tc>
          <w:tcPr>
            <w:tcW w:w="120" w:type="dxa"/>
            <w:vAlign w:val="bottom"/>
            <w:shd w:val="clear" w:color="auto" w:fill="D0EBF2"/>
          </w:tcPr>
          <w:p>
            <w:pPr>
              <w:spacing w:after="0" w:line="20" w:lineRule="exact"/>
              <w:rPr>
                <w:sz w:val="1"/>
                <w:szCs w:val="1"/>
                <w:color w:val="auto"/>
              </w:rPr>
            </w:pPr>
          </w:p>
        </w:tc>
        <w:tc>
          <w:tcPr>
            <w:tcW w:w="1080" w:type="dxa"/>
            <w:vAlign w:val="bottom"/>
            <w:shd w:val="clear" w:color="auto" w:fill="D0EBF2"/>
          </w:tcPr>
          <w:p>
            <w:pPr>
              <w:spacing w:after="0" w:line="20" w:lineRule="exact"/>
              <w:rPr>
                <w:sz w:val="1"/>
                <w:szCs w:val="1"/>
                <w:color w:val="auto"/>
              </w:rPr>
            </w:pPr>
          </w:p>
        </w:tc>
        <w:tc>
          <w:tcPr>
            <w:tcW w:w="140" w:type="dxa"/>
            <w:vAlign w:val="bottom"/>
            <w:shd w:val="clear" w:color="auto" w:fill="D0EBF2"/>
          </w:tcPr>
          <w:p>
            <w:pPr>
              <w:spacing w:after="0" w:line="20" w:lineRule="exact"/>
              <w:rPr>
                <w:sz w:val="1"/>
                <w:szCs w:val="1"/>
                <w:color w:val="auto"/>
              </w:rPr>
            </w:pPr>
          </w:p>
        </w:tc>
        <w:tc>
          <w:tcPr>
            <w:tcW w:w="1080" w:type="dxa"/>
            <w:vAlign w:val="bottom"/>
            <w:shd w:val="clear" w:color="auto" w:fill="D0EBF2"/>
          </w:tcPr>
          <w:p>
            <w:pPr>
              <w:spacing w:after="0" w:line="20" w:lineRule="exact"/>
              <w:rPr>
                <w:sz w:val="1"/>
                <w:szCs w:val="1"/>
                <w:color w:val="auto"/>
              </w:rPr>
            </w:pPr>
          </w:p>
        </w:tc>
        <w:tc>
          <w:tcPr>
            <w:tcW w:w="100" w:type="dxa"/>
            <w:vAlign w:val="bottom"/>
            <w:shd w:val="clear" w:color="auto" w:fill="D0EBF2"/>
          </w:tcPr>
          <w:p>
            <w:pPr>
              <w:spacing w:after="0" w:line="20" w:lineRule="exact"/>
              <w:rPr>
                <w:sz w:val="1"/>
                <w:szCs w:val="1"/>
                <w:color w:val="auto"/>
              </w:rPr>
            </w:pPr>
          </w:p>
        </w:tc>
        <w:tc>
          <w:tcPr>
            <w:tcW w:w="140" w:type="dxa"/>
            <w:vAlign w:val="bottom"/>
            <w:shd w:val="clear" w:color="auto" w:fill="D0EBF2"/>
          </w:tcPr>
          <w:p>
            <w:pPr>
              <w:spacing w:after="0" w:line="20" w:lineRule="exact"/>
              <w:rPr>
                <w:sz w:val="1"/>
                <w:szCs w:val="1"/>
                <w:color w:val="auto"/>
              </w:rPr>
            </w:pPr>
          </w:p>
        </w:tc>
        <w:tc>
          <w:tcPr>
            <w:tcW w:w="860" w:type="dxa"/>
            <w:vAlign w:val="bottom"/>
            <w:shd w:val="clear" w:color="auto" w:fill="D0EBF2"/>
          </w:tcPr>
          <w:p>
            <w:pPr>
              <w:spacing w:after="0" w:line="20" w:lineRule="exact"/>
              <w:rPr>
                <w:sz w:val="1"/>
                <w:szCs w:val="1"/>
                <w:color w:val="auto"/>
              </w:rPr>
            </w:pPr>
          </w:p>
        </w:tc>
        <w:tc>
          <w:tcPr>
            <w:tcW w:w="100" w:type="dxa"/>
            <w:vAlign w:val="bottom"/>
            <w:shd w:val="clear" w:color="auto" w:fill="D0EBF2"/>
          </w:tcPr>
          <w:p>
            <w:pPr>
              <w:spacing w:after="0" w:line="20" w:lineRule="exact"/>
              <w:rPr>
                <w:sz w:val="1"/>
                <w:szCs w:val="1"/>
                <w:color w:val="auto"/>
              </w:rPr>
            </w:pPr>
          </w:p>
        </w:tc>
        <w:tc>
          <w:tcPr>
            <w:tcW w:w="100" w:type="dxa"/>
            <w:vAlign w:val="bottom"/>
            <w:shd w:val="clear" w:color="auto" w:fill="D0EBF2"/>
          </w:tcPr>
          <w:p>
            <w:pPr>
              <w:spacing w:after="0" w:line="20" w:lineRule="exact"/>
              <w:rPr>
                <w:sz w:val="1"/>
                <w:szCs w:val="1"/>
                <w:color w:val="auto"/>
              </w:rPr>
            </w:pPr>
          </w:p>
        </w:tc>
        <w:tc>
          <w:tcPr>
            <w:tcW w:w="80" w:type="dxa"/>
            <w:vAlign w:val="bottom"/>
            <w:shd w:val="clear" w:color="auto" w:fill="D0EBF2"/>
          </w:tcPr>
          <w:p>
            <w:pPr>
              <w:spacing w:after="0" w:line="20" w:lineRule="exact"/>
              <w:rPr>
                <w:sz w:val="1"/>
                <w:szCs w:val="1"/>
                <w:color w:val="auto"/>
              </w:rPr>
            </w:pPr>
          </w:p>
        </w:tc>
        <w:tc>
          <w:tcPr>
            <w:tcW w:w="120" w:type="dxa"/>
            <w:vAlign w:val="bottom"/>
            <w:shd w:val="clear" w:color="auto" w:fill="231F20"/>
          </w:tcPr>
          <w:p>
            <w:pPr>
              <w:spacing w:after="0" w:line="20" w:lineRule="exact"/>
              <w:rPr>
                <w:sz w:val="1"/>
                <w:szCs w:val="1"/>
                <w:color w:val="auto"/>
              </w:rPr>
            </w:pPr>
          </w:p>
        </w:tc>
        <w:tc>
          <w:tcPr>
            <w:tcW w:w="920" w:type="dxa"/>
            <w:vAlign w:val="bottom"/>
            <w:tcBorders>
              <w:right w:val="single" w:sz="8" w:color="231F20"/>
            </w:tcBorders>
            <w:shd w:val="clear" w:color="auto" w:fill="231F20"/>
          </w:tcPr>
          <w:p>
            <w:pPr>
              <w:spacing w:after="0" w:line="20" w:lineRule="exact"/>
              <w:rPr>
                <w:sz w:val="1"/>
                <w:szCs w:val="1"/>
                <w:color w:val="auto"/>
              </w:rPr>
            </w:pPr>
          </w:p>
        </w:tc>
        <w:tc>
          <w:tcPr>
            <w:tcW w:w="100" w:type="dxa"/>
            <w:vAlign w:val="bottom"/>
            <w:shd w:val="clear" w:color="auto" w:fill="D0EBF2"/>
          </w:tcPr>
          <w:p>
            <w:pPr>
              <w:spacing w:after="0" w:line="20" w:lineRule="exact"/>
              <w:rPr>
                <w:sz w:val="1"/>
                <w:szCs w:val="1"/>
                <w:color w:val="auto"/>
              </w:rPr>
            </w:pPr>
          </w:p>
        </w:tc>
        <w:tc>
          <w:tcPr>
            <w:tcW w:w="160" w:type="dxa"/>
            <w:vAlign w:val="bottom"/>
            <w:tcBorders>
              <w:left w:val="single" w:sz="8" w:color="D0EBF2"/>
            </w:tcBorders>
            <w:shd w:val="clear" w:color="auto" w:fill="231F20"/>
          </w:tcPr>
          <w:p>
            <w:pPr>
              <w:spacing w:after="0" w:line="20" w:lineRule="exact"/>
              <w:rPr>
                <w:sz w:val="1"/>
                <w:szCs w:val="1"/>
                <w:color w:val="auto"/>
              </w:rPr>
            </w:pPr>
          </w:p>
        </w:tc>
        <w:tc>
          <w:tcPr>
            <w:tcW w:w="860" w:type="dxa"/>
            <w:vAlign w:val="bottom"/>
            <w:tcBorders>
              <w:right w:val="single" w:sz="8" w:color="231F20"/>
            </w:tcBorders>
            <w:shd w:val="clear" w:color="auto" w:fill="231F20"/>
          </w:tcPr>
          <w:p>
            <w:pPr>
              <w:spacing w:after="0" w:line="20" w:lineRule="exact"/>
              <w:rPr>
                <w:sz w:val="1"/>
                <w:szCs w:val="1"/>
                <w:color w:val="auto"/>
              </w:rPr>
            </w:pPr>
          </w:p>
        </w:tc>
        <w:tc>
          <w:tcPr>
            <w:tcW w:w="80" w:type="dxa"/>
            <w:vAlign w:val="bottom"/>
            <w:shd w:val="clear" w:color="auto" w:fill="D0EBF2"/>
          </w:tcPr>
          <w:p>
            <w:pPr>
              <w:spacing w:after="0" w:line="20" w:lineRule="exact"/>
              <w:rPr>
                <w:sz w:val="1"/>
                <w:szCs w:val="1"/>
                <w:color w:val="auto"/>
              </w:rPr>
            </w:pPr>
          </w:p>
        </w:tc>
        <w:tc>
          <w:tcPr>
            <w:tcW w:w="100" w:type="dxa"/>
            <w:vAlign w:val="bottom"/>
            <w:shd w:val="clear" w:color="auto" w:fill="D0EBF2"/>
          </w:tcPr>
          <w:p>
            <w:pPr>
              <w:spacing w:after="0" w:line="20" w:lineRule="exact"/>
              <w:rPr>
                <w:sz w:val="1"/>
                <w:szCs w:val="1"/>
                <w:color w:val="auto"/>
              </w:rPr>
            </w:pPr>
          </w:p>
        </w:tc>
        <w:tc>
          <w:tcPr>
            <w:tcW w:w="120" w:type="dxa"/>
            <w:vAlign w:val="bottom"/>
            <w:tcBorders>
              <w:left w:val="single" w:sz="8" w:color="231F20"/>
            </w:tcBorders>
            <w:shd w:val="clear" w:color="auto" w:fill="231F20"/>
          </w:tcPr>
          <w:p>
            <w:pPr>
              <w:spacing w:after="0" w:line="20" w:lineRule="exact"/>
              <w:rPr>
                <w:sz w:val="1"/>
                <w:szCs w:val="1"/>
                <w:color w:val="auto"/>
              </w:rPr>
            </w:pPr>
          </w:p>
        </w:tc>
        <w:tc>
          <w:tcPr>
            <w:tcW w:w="780" w:type="dxa"/>
            <w:vAlign w:val="bottom"/>
            <w:shd w:val="clear" w:color="auto" w:fill="231F2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6"/>
        </w:trPr>
        <w:tc>
          <w:tcPr>
            <w:tcW w:w="1920" w:type="dxa"/>
            <w:vAlign w:val="bottom"/>
            <w:vMerge w:val="continue"/>
            <w:shd w:val="clear" w:color="auto" w:fill="D0EBF2"/>
          </w:tcPr>
          <w:p>
            <w:pPr>
              <w:spacing w:after="0"/>
              <w:rPr>
                <w:sz w:val="12"/>
                <w:szCs w:val="12"/>
                <w:color w:val="auto"/>
              </w:rPr>
            </w:pPr>
          </w:p>
        </w:tc>
        <w:tc>
          <w:tcPr>
            <w:tcW w:w="1080" w:type="dxa"/>
            <w:vAlign w:val="bottom"/>
            <w:shd w:val="clear" w:color="auto" w:fill="D0EBF2"/>
          </w:tcPr>
          <w:p>
            <w:pPr>
              <w:spacing w:after="0"/>
              <w:rPr>
                <w:sz w:val="12"/>
                <w:szCs w:val="12"/>
                <w:color w:val="auto"/>
              </w:rPr>
            </w:pPr>
          </w:p>
        </w:tc>
        <w:tc>
          <w:tcPr>
            <w:tcW w:w="120" w:type="dxa"/>
            <w:vAlign w:val="bottom"/>
            <w:shd w:val="clear" w:color="auto" w:fill="D0EBF2"/>
          </w:tcPr>
          <w:p>
            <w:pPr>
              <w:spacing w:after="0"/>
              <w:rPr>
                <w:sz w:val="12"/>
                <w:szCs w:val="12"/>
                <w:color w:val="auto"/>
              </w:rPr>
            </w:pPr>
          </w:p>
        </w:tc>
        <w:tc>
          <w:tcPr>
            <w:tcW w:w="1080" w:type="dxa"/>
            <w:vAlign w:val="bottom"/>
            <w:shd w:val="clear" w:color="auto" w:fill="D0EBF2"/>
          </w:tcPr>
          <w:p>
            <w:pPr>
              <w:spacing w:after="0"/>
              <w:rPr>
                <w:sz w:val="12"/>
                <w:szCs w:val="12"/>
                <w:color w:val="auto"/>
              </w:rPr>
            </w:pPr>
          </w:p>
        </w:tc>
        <w:tc>
          <w:tcPr>
            <w:tcW w:w="140" w:type="dxa"/>
            <w:vAlign w:val="bottom"/>
            <w:shd w:val="clear" w:color="auto" w:fill="D0EBF2"/>
          </w:tcPr>
          <w:p>
            <w:pPr>
              <w:spacing w:after="0"/>
              <w:rPr>
                <w:sz w:val="12"/>
                <w:szCs w:val="12"/>
                <w:color w:val="auto"/>
              </w:rPr>
            </w:pPr>
          </w:p>
        </w:tc>
        <w:tc>
          <w:tcPr>
            <w:tcW w:w="1080" w:type="dxa"/>
            <w:vAlign w:val="bottom"/>
            <w:shd w:val="clear" w:color="auto" w:fill="D0EBF2"/>
          </w:tcPr>
          <w:p>
            <w:pPr>
              <w:spacing w:after="0"/>
              <w:rPr>
                <w:sz w:val="12"/>
                <w:szCs w:val="12"/>
                <w:color w:val="auto"/>
              </w:rPr>
            </w:pPr>
          </w:p>
        </w:tc>
        <w:tc>
          <w:tcPr>
            <w:tcW w:w="100" w:type="dxa"/>
            <w:vAlign w:val="bottom"/>
            <w:shd w:val="clear" w:color="auto" w:fill="D0EBF2"/>
          </w:tcPr>
          <w:p>
            <w:pPr>
              <w:spacing w:after="0"/>
              <w:rPr>
                <w:sz w:val="12"/>
                <w:szCs w:val="12"/>
                <w:color w:val="auto"/>
              </w:rPr>
            </w:pPr>
          </w:p>
        </w:tc>
        <w:tc>
          <w:tcPr>
            <w:tcW w:w="140" w:type="dxa"/>
            <w:vAlign w:val="bottom"/>
            <w:shd w:val="clear" w:color="auto" w:fill="D0EBF2"/>
          </w:tcPr>
          <w:p>
            <w:pPr>
              <w:spacing w:after="0"/>
              <w:rPr>
                <w:sz w:val="12"/>
                <w:szCs w:val="12"/>
                <w:color w:val="auto"/>
              </w:rPr>
            </w:pPr>
          </w:p>
        </w:tc>
        <w:tc>
          <w:tcPr>
            <w:tcW w:w="860" w:type="dxa"/>
            <w:vAlign w:val="bottom"/>
            <w:shd w:val="clear" w:color="auto" w:fill="D0EBF2"/>
          </w:tcPr>
          <w:p>
            <w:pPr>
              <w:spacing w:after="0"/>
              <w:rPr>
                <w:sz w:val="12"/>
                <w:szCs w:val="12"/>
                <w:color w:val="auto"/>
              </w:rPr>
            </w:pPr>
          </w:p>
        </w:tc>
        <w:tc>
          <w:tcPr>
            <w:tcW w:w="100" w:type="dxa"/>
            <w:vAlign w:val="bottom"/>
            <w:shd w:val="clear" w:color="auto" w:fill="D0EBF2"/>
          </w:tcPr>
          <w:p>
            <w:pPr>
              <w:spacing w:after="0"/>
              <w:rPr>
                <w:sz w:val="12"/>
                <w:szCs w:val="12"/>
                <w:color w:val="auto"/>
              </w:rPr>
            </w:pPr>
          </w:p>
        </w:tc>
        <w:tc>
          <w:tcPr>
            <w:tcW w:w="100" w:type="dxa"/>
            <w:vAlign w:val="bottom"/>
            <w:shd w:val="clear" w:color="auto" w:fill="D0EBF2"/>
          </w:tcPr>
          <w:p>
            <w:pPr>
              <w:spacing w:after="0"/>
              <w:rPr>
                <w:sz w:val="12"/>
                <w:szCs w:val="12"/>
                <w:color w:val="auto"/>
              </w:rPr>
            </w:pPr>
          </w:p>
        </w:tc>
        <w:tc>
          <w:tcPr>
            <w:tcW w:w="80" w:type="dxa"/>
            <w:vAlign w:val="bottom"/>
            <w:shd w:val="clear" w:color="auto" w:fill="D0EBF2"/>
          </w:tcPr>
          <w:p>
            <w:pPr>
              <w:spacing w:after="0"/>
              <w:rPr>
                <w:sz w:val="12"/>
                <w:szCs w:val="12"/>
                <w:color w:val="auto"/>
              </w:rPr>
            </w:pPr>
          </w:p>
        </w:tc>
        <w:tc>
          <w:tcPr>
            <w:tcW w:w="120" w:type="dxa"/>
            <w:vAlign w:val="bottom"/>
            <w:shd w:val="clear" w:color="auto" w:fill="D0EBF2"/>
          </w:tcPr>
          <w:p>
            <w:pPr>
              <w:spacing w:after="0"/>
              <w:rPr>
                <w:sz w:val="12"/>
                <w:szCs w:val="12"/>
                <w:color w:val="auto"/>
              </w:rPr>
            </w:pPr>
          </w:p>
        </w:tc>
        <w:tc>
          <w:tcPr>
            <w:tcW w:w="920" w:type="dxa"/>
            <w:vAlign w:val="bottom"/>
            <w:tcBorders>
              <w:right w:val="single" w:sz="8" w:color="D0EBF2"/>
            </w:tcBorders>
            <w:shd w:val="clear" w:color="auto" w:fill="D0EBF2"/>
          </w:tcPr>
          <w:p>
            <w:pPr>
              <w:jc w:val="right"/>
              <w:spacing w:after="0" w:line="146" w:lineRule="exact"/>
              <w:rPr>
                <w:sz w:val="20"/>
                <w:szCs w:val="20"/>
                <w:color w:val="auto"/>
              </w:rPr>
            </w:pPr>
            <w:r>
              <w:rPr>
                <w:rFonts w:ascii="Times New Roman" w:cs="Times New Roman" w:eastAsia="Times New Roman" w:hAnsi="Times New Roman"/>
                <w:sz w:val="15"/>
                <w:szCs w:val="15"/>
                <w:color w:val="231F20"/>
              </w:rPr>
              <w:t>205,488</w:t>
            </w:r>
          </w:p>
        </w:tc>
        <w:tc>
          <w:tcPr>
            <w:tcW w:w="100" w:type="dxa"/>
            <w:vAlign w:val="bottom"/>
            <w:shd w:val="clear" w:color="auto" w:fill="D0EBF2"/>
          </w:tcPr>
          <w:p>
            <w:pPr>
              <w:spacing w:after="0"/>
              <w:rPr>
                <w:sz w:val="12"/>
                <w:szCs w:val="12"/>
                <w:color w:val="auto"/>
              </w:rPr>
            </w:pPr>
          </w:p>
        </w:tc>
        <w:tc>
          <w:tcPr>
            <w:tcW w:w="160" w:type="dxa"/>
            <w:vAlign w:val="bottom"/>
            <w:tcBorders>
              <w:left w:val="single" w:sz="8" w:color="D0EBF2"/>
            </w:tcBorders>
            <w:shd w:val="clear" w:color="auto" w:fill="D0EBF2"/>
          </w:tcPr>
          <w:p>
            <w:pPr>
              <w:spacing w:after="0"/>
              <w:rPr>
                <w:sz w:val="12"/>
                <w:szCs w:val="12"/>
                <w:color w:val="auto"/>
              </w:rPr>
            </w:pPr>
          </w:p>
        </w:tc>
        <w:tc>
          <w:tcPr>
            <w:tcW w:w="860" w:type="dxa"/>
            <w:vAlign w:val="bottom"/>
            <w:tcBorders>
              <w:right w:val="single" w:sz="8" w:color="D0EBF2"/>
            </w:tcBorders>
            <w:shd w:val="clear" w:color="auto" w:fill="D0EBF2"/>
          </w:tcPr>
          <w:p>
            <w:pPr>
              <w:jc w:val="right"/>
              <w:spacing w:after="0" w:line="146" w:lineRule="exact"/>
              <w:rPr>
                <w:sz w:val="20"/>
                <w:szCs w:val="20"/>
                <w:color w:val="auto"/>
              </w:rPr>
            </w:pPr>
            <w:r>
              <w:rPr>
                <w:rFonts w:ascii="Times New Roman" w:cs="Times New Roman" w:eastAsia="Times New Roman" w:hAnsi="Times New Roman"/>
                <w:sz w:val="15"/>
                <w:szCs w:val="15"/>
                <w:color w:val="231F20"/>
              </w:rPr>
              <w:t>211,442</w:t>
            </w:r>
          </w:p>
        </w:tc>
        <w:tc>
          <w:tcPr>
            <w:tcW w:w="80" w:type="dxa"/>
            <w:vAlign w:val="bottom"/>
            <w:shd w:val="clear" w:color="auto" w:fill="D0EBF2"/>
          </w:tcPr>
          <w:p>
            <w:pPr>
              <w:spacing w:after="0"/>
              <w:rPr>
                <w:sz w:val="12"/>
                <w:szCs w:val="12"/>
                <w:color w:val="auto"/>
              </w:rPr>
            </w:pPr>
          </w:p>
        </w:tc>
        <w:tc>
          <w:tcPr>
            <w:tcW w:w="100" w:type="dxa"/>
            <w:vAlign w:val="bottom"/>
            <w:shd w:val="clear" w:color="auto" w:fill="D0EBF2"/>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2"/>
          </w:tcPr>
          <w:p>
            <w:pPr>
              <w:jc w:val="right"/>
              <w:ind w:right="20"/>
              <w:spacing w:after="0" w:line="146" w:lineRule="exact"/>
              <w:rPr>
                <w:sz w:val="20"/>
                <w:szCs w:val="20"/>
                <w:color w:val="auto"/>
              </w:rPr>
            </w:pPr>
            <w:r>
              <w:rPr>
                <w:rFonts w:ascii="Times New Roman" w:cs="Times New Roman" w:eastAsia="Times New Roman" w:hAnsi="Times New Roman"/>
                <w:sz w:val="15"/>
                <w:szCs w:val="15"/>
                <w:color w:val="231F20"/>
              </w:rPr>
              <w:t>14.1%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1"/>
        </w:trPr>
        <w:tc>
          <w:tcPr>
            <w:tcW w:w="1920" w:type="dxa"/>
            <w:vAlign w:val="bottom"/>
            <w:tcBorders>
              <w:bottom w:val="single" w:sz="8" w:color="D0EBF2"/>
            </w:tcBorders>
            <w:shd w:val="clear" w:color="auto" w:fill="D0EBF2"/>
          </w:tcPr>
          <w:p>
            <w:pPr>
              <w:spacing w:after="0"/>
              <w:rPr>
                <w:sz w:val="20"/>
                <w:szCs w:val="20"/>
                <w:color w:val="auto"/>
              </w:rPr>
            </w:pPr>
            <w:r>
              <w:rPr>
                <w:rFonts w:ascii="Times New Roman" w:cs="Times New Roman" w:eastAsia="Times New Roman" w:hAnsi="Times New Roman"/>
                <w:sz w:val="15"/>
                <w:szCs w:val="15"/>
                <w:b w:val="1"/>
                <w:bCs w:val="1"/>
                <w:color w:val="231F20"/>
              </w:rPr>
              <w:t>Other Investments</w:t>
            </w:r>
          </w:p>
        </w:tc>
        <w:tc>
          <w:tcPr>
            <w:tcW w:w="1080" w:type="dxa"/>
            <w:vAlign w:val="bottom"/>
            <w:tcBorders>
              <w:bottom w:val="single" w:sz="8" w:color="D0EBF2"/>
            </w:tcBorders>
            <w:shd w:val="clear" w:color="auto" w:fill="D0EBF2"/>
          </w:tcPr>
          <w:p>
            <w:pPr>
              <w:spacing w:after="0"/>
              <w:rPr>
                <w:sz w:val="16"/>
                <w:szCs w:val="16"/>
                <w:color w:val="auto"/>
              </w:rPr>
            </w:pPr>
          </w:p>
        </w:tc>
        <w:tc>
          <w:tcPr>
            <w:tcW w:w="120" w:type="dxa"/>
            <w:vAlign w:val="bottom"/>
            <w:tcBorders>
              <w:bottom w:val="single" w:sz="8" w:color="D0EBF2"/>
            </w:tcBorders>
            <w:shd w:val="clear" w:color="auto" w:fill="D0EBF2"/>
          </w:tcPr>
          <w:p>
            <w:pPr>
              <w:spacing w:after="0"/>
              <w:rPr>
                <w:sz w:val="16"/>
                <w:szCs w:val="16"/>
                <w:color w:val="auto"/>
              </w:rPr>
            </w:pPr>
          </w:p>
        </w:tc>
        <w:tc>
          <w:tcPr>
            <w:tcW w:w="1080" w:type="dxa"/>
            <w:vAlign w:val="bottom"/>
            <w:tcBorders>
              <w:bottom w:val="single" w:sz="8" w:color="D0EBF2"/>
            </w:tcBorders>
            <w:shd w:val="clear" w:color="auto" w:fill="D0EBF2"/>
          </w:tcPr>
          <w:p>
            <w:pPr>
              <w:spacing w:after="0"/>
              <w:rPr>
                <w:sz w:val="16"/>
                <w:szCs w:val="16"/>
                <w:color w:val="auto"/>
              </w:rPr>
            </w:pPr>
          </w:p>
        </w:tc>
        <w:tc>
          <w:tcPr>
            <w:tcW w:w="140" w:type="dxa"/>
            <w:vAlign w:val="bottom"/>
            <w:tcBorders>
              <w:bottom w:val="single" w:sz="8" w:color="D0EBF2"/>
            </w:tcBorders>
            <w:shd w:val="clear" w:color="auto" w:fill="D0EBF2"/>
          </w:tcPr>
          <w:p>
            <w:pPr>
              <w:spacing w:after="0"/>
              <w:rPr>
                <w:sz w:val="16"/>
                <w:szCs w:val="16"/>
                <w:color w:val="auto"/>
              </w:rPr>
            </w:pPr>
          </w:p>
        </w:tc>
        <w:tc>
          <w:tcPr>
            <w:tcW w:w="1080" w:type="dxa"/>
            <w:vAlign w:val="bottom"/>
            <w:tcBorders>
              <w:bottom w:val="single" w:sz="8" w:color="D0EBF2"/>
            </w:tcBorders>
            <w:shd w:val="clear" w:color="auto" w:fill="D0EBF2"/>
          </w:tcPr>
          <w:p>
            <w:pPr>
              <w:spacing w:after="0"/>
              <w:rPr>
                <w:sz w:val="16"/>
                <w:szCs w:val="16"/>
                <w:color w:val="auto"/>
              </w:rPr>
            </w:pPr>
          </w:p>
        </w:tc>
        <w:tc>
          <w:tcPr>
            <w:tcW w:w="100" w:type="dxa"/>
            <w:vAlign w:val="bottom"/>
            <w:tcBorders>
              <w:bottom w:val="single" w:sz="8" w:color="D0EBF2"/>
            </w:tcBorders>
            <w:shd w:val="clear" w:color="auto" w:fill="D0EBF2"/>
          </w:tcPr>
          <w:p>
            <w:pPr>
              <w:spacing w:after="0"/>
              <w:rPr>
                <w:sz w:val="16"/>
                <w:szCs w:val="16"/>
                <w:color w:val="auto"/>
              </w:rPr>
            </w:pPr>
          </w:p>
        </w:tc>
        <w:tc>
          <w:tcPr>
            <w:tcW w:w="140" w:type="dxa"/>
            <w:vAlign w:val="bottom"/>
            <w:tcBorders>
              <w:bottom w:val="single" w:sz="8" w:color="D0EBF2"/>
            </w:tcBorders>
            <w:shd w:val="clear" w:color="auto" w:fill="D0EBF2"/>
          </w:tcPr>
          <w:p>
            <w:pPr>
              <w:spacing w:after="0"/>
              <w:rPr>
                <w:sz w:val="16"/>
                <w:szCs w:val="16"/>
                <w:color w:val="auto"/>
              </w:rPr>
            </w:pPr>
          </w:p>
        </w:tc>
        <w:tc>
          <w:tcPr>
            <w:tcW w:w="860" w:type="dxa"/>
            <w:vAlign w:val="bottom"/>
            <w:tcBorders>
              <w:bottom w:val="single" w:sz="8" w:color="D0EBF2"/>
            </w:tcBorders>
            <w:shd w:val="clear" w:color="auto" w:fill="D0EBF2"/>
          </w:tcPr>
          <w:p>
            <w:pPr>
              <w:spacing w:after="0"/>
              <w:rPr>
                <w:sz w:val="16"/>
                <w:szCs w:val="16"/>
                <w:color w:val="auto"/>
              </w:rPr>
            </w:pPr>
          </w:p>
        </w:tc>
        <w:tc>
          <w:tcPr>
            <w:tcW w:w="100" w:type="dxa"/>
            <w:vAlign w:val="bottom"/>
            <w:tcBorders>
              <w:bottom w:val="single" w:sz="8" w:color="D0EBF2"/>
            </w:tcBorders>
            <w:shd w:val="clear" w:color="auto" w:fill="D0EBF2"/>
          </w:tcPr>
          <w:p>
            <w:pPr>
              <w:spacing w:after="0"/>
              <w:rPr>
                <w:sz w:val="16"/>
                <w:szCs w:val="16"/>
                <w:color w:val="auto"/>
              </w:rPr>
            </w:pPr>
          </w:p>
        </w:tc>
        <w:tc>
          <w:tcPr>
            <w:tcW w:w="100" w:type="dxa"/>
            <w:vAlign w:val="bottom"/>
            <w:tcBorders>
              <w:bottom w:val="single" w:sz="8" w:color="D0EBF2"/>
            </w:tcBorders>
            <w:shd w:val="clear" w:color="auto" w:fill="D0EBF2"/>
          </w:tcPr>
          <w:p>
            <w:pPr>
              <w:spacing w:after="0"/>
              <w:rPr>
                <w:sz w:val="16"/>
                <w:szCs w:val="16"/>
                <w:color w:val="auto"/>
              </w:rPr>
            </w:pPr>
          </w:p>
        </w:tc>
        <w:tc>
          <w:tcPr>
            <w:tcW w:w="80" w:type="dxa"/>
            <w:vAlign w:val="bottom"/>
            <w:tcBorders>
              <w:bottom w:val="single" w:sz="8" w:color="D0EBF2"/>
            </w:tcBorders>
            <w:shd w:val="clear" w:color="auto" w:fill="D0EBF2"/>
          </w:tcPr>
          <w:p>
            <w:pPr>
              <w:spacing w:after="0"/>
              <w:rPr>
                <w:sz w:val="16"/>
                <w:szCs w:val="16"/>
                <w:color w:val="auto"/>
              </w:rPr>
            </w:pPr>
          </w:p>
        </w:tc>
        <w:tc>
          <w:tcPr>
            <w:tcW w:w="120" w:type="dxa"/>
            <w:vAlign w:val="bottom"/>
            <w:tcBorders>
              <w:bottom w:val="single" w:sz="8" w:color="231F20"/>
            </w:tcBorders>
            <w:shd w:val="clear" w:color="auto" w:fill="D0EBF2"/>
          </w:tcPr>
          <w:p>
            <w:pPr>
              <w:spacing w:after="0"/>
              <w:rPr>
                <w:sz w:val="16"/>
                <w:szCs w:val="16"/>
                <w:color w:val="auto"/>
              </w:rPr>
            </w:pPr>
          </w:p>
        </w:tc>
        <w:tc>
          <w:tcPr>
            <w:tcW w:w="920" w:type="dxa"/>
            <w:vAlign w:val="bottom"/>
            <w:tcBorders>
              <w:bottom w:val="single" w:sz="8" w:color="231F20"/>
              <w:right w:val="single" w:sz="8" w:color="D0EBF2"/>
            </w:tcBorders>
            <w:shd w:val="clear" w:color="auto" w:fill="D0EBF2"/>
          </w:tcPr>
          <w:p>
            <w:pPr>
              <w:spacing w:after="0"/>
              <w:rPr>
                <w:sz w:val="16"/>
                <w:szCs w:val="16"/>
                <w:color w:val="auto"/>
              </w:rPr>
            </w:pPr>
          </w:p>
        </w:tc>
        <w:tc>
          <w:tcPr>
            <w:tcW w:w="100" w:type="dxa"/>
            <w:vAlign w:val="bottom"/>
            <w:tcBorders>
              <w:bottom w:val="single" w:sz="8" w:color="D0EBF2"/>
            </w:tcBorders>
            <w:shd w:val="clear" w:color="auto" w:fill="D0EBF2"/>
          </w:tcPr>
          <w:p>
            <w:pPr>
              <w:spacing w:after="0"/>
              <w:rPr>
                <w:sz w:val="16"/>
                <w:szCs w:val="16"/>
                <w:color w:val="auto"/>
              </w:rPr>
            </w:pPr>
          </w:p>
        </w:tc>
        <w:tc>
          <w:tcPr>
            <w:tcW w:w="160" w:type="dxa"/>
            <w:vAlign w:val="bottom"/>
            <w:tcBorders>
              <w:left w:val="single" w:sz="8" w:color="D0EBF2"/>
              <w:bottom w:val="single" w:sz="8" w:color="231F20"/>
            </w:tcBorders>
            <w:shd w:val="clear" w:color="auto" w:fill="D0EBF2"/>
          </w:tcPr>
          <w:p>
            <w:pPr>
              <w:spacing w:after="0"/>
              <w:rPr>
                <w:sz w:val="16"/>
                <w:szCs w:val="16"/>
                <w:color w:val="auto"/>
              </w:rPr>
            </w:pPr>
          </w:p>
        </w:tc>
        <w:tc>
          <w:tcPr>
            <w:tcW w:w="860" w:type="dxa"/>
            <w:vAlign w:val="bottom"/>
            <w:tcBorders>
              <w:bottom w:val="single" w:sz="8" w:color="231F20"/>
              <w:right w:val="single" w:sz="8" w:color="D0EBF2"/>
            </w:tcBorders>
            <w:shd w:val="clear" w:color="auto" w:fill="D0EBF2"/>
          </w:tcPr>
          <w:p>
            <w:pPr>
              <w:spacing w:after="0"/>
              <w:rPr>
                <w:sz w:val="16"/>
                <w:szCs w:val="16"/>
                <w:color w:val="auto"/>
              </w:rPr>
            </w:pPr>
          </w:p>
        </w:tc>
        <w:tc>
          <w:tcPr>
            <w:tcW w:w="80" w:type="dxa"/>
            <w:vAlign w:val="bottom"/>
            <w:tcBorders>
              <w:bottom w:val="single" w:sz="8" w:color="D0EBF2"/>
            </w:tcBorders>
            <w:shd w:val="clear" w:color="auto" w:fill="D0EBF2"/>
          </w:tcPr>
          <w:p>
            <w:pPr>
              <w:spacing w:after="0"/>
              <w:rPr>
                <w:sz w:val="16"/>
                <w:szCs w:val="16"/>
                <w:color w:val="auto"/>
              </w:rPr>
            </w:pPr>
          </w:p>
        </w:tc>
        <w:tc>
          <w:tcPr>
            <w:tcW w:w="100" w:type="dxa"/>
            <w:vAlign w:val="bottom"/>
            <w:tcBorders>
              <w:bottom w:val="single" w:sz="8" w:color="D0EBF2"/>
            </w:tcBorders>
            <w:shd w:val="clear" w:color="auto" w:fill="D0EBF2"/>
          </w:tcPr>
          <w:p>
            <w:pPr>
              <w:spacing w:after="0"/>
              <w:rPr>
                <w:sz w:val="16"/>
                <w:szCs w:val="16"/>
                <w:color w:val="auto"/>
              </w:rPr>
            </w:pPr>
          </w:p>
        </w:tc>
        <w:tc>
          <w:tcPr>
            <w:tcW w:w="120" w:type="dxa"/>
            <w:vAlign w:val="bottom"/>
            <w:tcBorders>
              <w:bottom w:val="single" w:sz="8" w:color="231F20"/>
            </w:tcBorders>
          </w:tcPr>
          <w:p>
            <w:pPr>
              <w:spacing w:after="0"/>
              <w:rPr>
                <w:sz w:val="16"/>
                <w:szCs w:val="16"/>
                <w:color w:val="auto"/>
              </w:rPr>
            </w:pPr>
          </w:p>
        </w:tc>
        <w:tc>
          <w:tcPr>
            <w:tcW w:w="780" w:type="dxa"/>
            <w:vAlign w:val="bottom"/>
            <w:tcBorders>
              <w:bottom w:val="single" w:sz="8" w:color="231F20"/>
            </w:tcBorders>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920" w:type="dxa"/>
            <w:vAlign w:val="bottom"/>
            <w:vMerge w:val="restart"/>
            <w:shd w:val="clear" w:color="auto" w:fill="FDFDFC"/>
          </w:tcPr>
          <w:p>
            <w:pPr>
              <w:spacing w:after="0" w:line="164" w:lineRule="exact"/>
              <w:rPr>
                <w:sz w:val="20"/>
                <w:szCs w:val="20"/>
                <w:color w:val="auto"/>
              </w:rPr>
            </w:pPr>
            <w:r>
              <w:rPr>
                <w:rFonts w:ascii="Times New Roman" w:cs="Times New Roman" w:eastAsia="Times New Roman" w:hAnsi="Times New Roman"/>
                <w:sz w:val="15"/>
                <w:szCs w:val="15"/>
                <w:b w:val="1"/>
                <w:bCs w:val="1"/>
                <w:color w:val="231F20"/>
              </w:rPr>
              <w:t>Total Investments</w:t>
            </w:r>
          </w:p>
        </w:tc>
        <w:tc>
          <w:tcPr>
            <w:tcW w:w="1080" w:type="dxa"/>
            <w:vAlign w:val="bottom"/>
            <w:shd w:val="clear" w:color="auto" w:fill="FDFDFC"/>
          </w:tcPr>
          <w:p>
            <w:pPr>
              <w:spacing w:after="0" w:line="20" w:lineRule="exact"/>
              <w:rPr>
                <w:sz w:val="1"/>
                <w:szCs w:val="1"/>
                <w:color w:val="auto"/>
              </w:rPr>
            </w:pPr>
          </w:p>
        </w:tc>
        <w:tc>
          <w:tcPr>
            <w:tcW w:w="120" w:type="dxa"/>
            <w:vAlign w:val="bottom"/>
            <w:shd w:val="clear" w:color="auto" w:fill="FDFDFC"/>
          </w:tcPr>
          <w:p>
            <w:pPr>
              <w:spacing w:after="0" w:line="20" w:lineRule="exact"/>
              <w:rPr>
                <w:sz w:val="1"/>
                <w:szCs w:val="1"/>
                <w:color w:val="auto"/>
              </w:rPr>
            </w:pPr>
          </w:p>
        </w:tc>
        <w:tc>
          <w:tcPr>
            <w:tcW w:w="1080" w:type="dxa"/>
            <w:vAlign w:val="bottom"/>
            <w:shd w:val="clear" w:color="auto" w:fill="FDFDFC"/>
          </w:tcPr>
          <w:p>
            <w:pPr>
              <w:spacing w:after="0" w:line="20" w:lineRule="exact"/>
              <w:rPr>
                <w:sz w:val="1"/>
                <w:szCs w:val="1"/>
                <w:color w:val="auto"/>
              </w:rPr>
            </w:pPr>
          </w:p>
        </w:tc>
        <w:tc>
          <w:tcPr>
            <w:tcW w:w="140" w:type="dxa"/>
            <w:vAlign w:val="bottom"/>
            <w:shd w:val="clear" w:color="auto" w:fill="FDFDFC"/>
          </w:tcPr>
          <w:p>
            <w:pPr>
              <w:spacing w:after="0" w:line="20" w:lineRule="exact"/>
              <w:rPr>
                <w:sz w:val="1"/>
                <w:szCs w:val="1"/>
                <w:color w:val="auto"/>
              </w:rPr>
            </w:pPr>
          </w:p>
        </w:tc>
        <w:tc>
          <w:tcPr>
            <w:tcW w:w="1080" w:type="dxa"/>
            <w:vAlign w:val="bottom"/>
            <w:shd w:val="clear" w:color="auto" w:fill="FDFDFC"/>
          </w:tcPr>
          <w:p>
            <w:pPr>
              <w:spacing w:after="0" w:line="20" w:lineRule="exact"/>
              <w:rPr>
                <w:sz w:val="1"/>
                <w:szCs w:val="1"/>
                <w:color w:val="auto"/>
              </w:rPr>
            </w:pPr>
          </w:p>
        </w:tc>
        <w:tc>
          <w:tcPr>
            <w:tcW w:w="100" w:type="dxa"/>
            <w:vAlign w:val="bottom"/>
            <w:shd w:val="clear" w:color="auto" w:fill="FDFDFC"/>
          </w:tcPr>
          <w:p>
            <w:pPr>
              <w:spacing w:after="0" w:line="20" w:lineRule="exact"/>
              <w:rPr>
                <w:sz w:val="1"/>
                <w:szCs w:val="1"/>
                <w:color w:val="auto"/>
              </w:rPr>
            </w:pPr>
          </w:p>
        </w:tc>
        <w:tc>
          <w:tcPr>
            <w:tcW w:w="140" w:type="dxa"/>
            <w:vAlign w:val="bottom"/>
            <w:shd w:val="clear" w:color="auto" w:fill="FDFDFC"/>
          </w:tcPr>
          <w:p>
            <w:pPr>
              <w:spacing w:after="0" w:line="20" w:lineRule="exact"/>
              <w:rPr>
                <w:sz w:val="1"/>
                <w:szCs w:val="1"/>
                <w:color w:val="auto"/>
              </w:rPr>
            </w:pPr>
          </w:p>
        </w:tc>
        <w:tc>
          <w:tcPr>
            <w:tcW w:w="860" w:type="dxa"/>
            <w:vAlign w:val="bottom"/>
            <w:shd w:val="clear" w:color="auto" w:fill="FDFDFC"/>
          </w:tcPr>
          <w:p>
            <w:pPr>
              <w:spacing w:after="0" w:line="20" w:lineRule="exact"/>
              <w:rPr>
                <w:sz w:val="1"/>
                <w:szCs w:val="1"/>
                <w:color w:val="auto"/>
              </w:rPr>
            </w:pPr>
          </w:p>
        </w:tc>
        <w:tc>
          <w:tcPr>
            <w:tcW w:w="100" w:type="dxa"/>
            <w:vAlign w:val="bottom"/>
            <w:shd w:val="clear" w:color="auto" w:fill="FDFDFC"/>
          </w:tcPr>
          <w:p>
            <w:pPr>
              <w:spacing w:after="0" w:line="20" w:lineRule="exact"/>
              <w:rPr>
                <w:sz w:val="1"/>
                <w:szCs w:val="1"/>
                <w:color w:val="auto"/>
              </w:rPr>
            </w:pPr>
          </w:p>
        </w:tc>
        <w:tc>
          <w:tcPr>
            <w:tcW w:w="100" w:type="dxa"/>
            <w:vAlign w:val="bottom"/>
            <w:shd w:val="clear" w:color="auto" w:fill="FDFDFC"/>
          </w:tcPr>
          <w:p>
            <w:pPr>
              <w:spacing w:after="0" w:line="20" w:lineRule="exact"/>
              <w:rPr>
                <w:sz w:val="1"/>
                <w:szCs w:val="1"/>
                <w:color w:val="auto"/>
              </w:rPr>
            </w:pPr>
          </w:p>
        </w:tc>
        <w:tc>
          <w:tcPr>
            <w:tcW w:w="80" w:type="dxa"/>
            <w:vAlign w:val="bottom"/>
            <w:shd w:val="clear" w:color="auto" w:fill="FDFDFC"/>
          </w:tcPr>
          <w:p>
            <w:pPr>
              <w:spacing w:after="0" w:line="20" w:lineRule="exact"/>
              <w:rPr>
                <w:sz w:val="1"/>
                <w:szCs w:val="1"/>
                <w:color w:val="auto"/>
              </w:rPr>
            </w:pPr>
          </w:p>
        </w:tc>
        <w:tc>
          <w:tcPr>
            <w:tcW w:w="120" w:type="dxa"/>
            <w:vAlign w:val="bottom"/>
            <w:shd w:val="clear" w:color="auto" w:fill="231F20"/>
          </w:tcPr>
          <w:p>
            <w:pPr>
              <w:spacing w:after="0" w:line="20" w:lineRule="exact"/>
              <w:rPr>
                <w:sz w:val="1"/>
                <w:szCs w:val="1"/>
                <w:color w:val="auto"/>
              </w:rPr>
            </w:pPr>
          </w:p>
        </w:tc>
        <w:tc>
          <w:tcPr>
            <w:tcW w:w="920" w:type="dxa"/>
            <w:vAlign w:val="bottom"/>
            <w:tcBorders>
              <w:right w:val="single" w:sz="8" w:color="231F20"/>
            </w:tcBorders>
            <w:shd w:val="clear" w:color="auto" w:fill="231F20"/>
          </w:tcPr>
          <w:p>
            <w:pPr>
              <w:spacing w:after="0" w:line="20" w:lineRule="exact"/>
              <w:rPr>
                <w:sz w:val="1"/>
                <w:szCs w:val="1"/>
                <w:color w:val="auto"/>
              </w:rPr>
            </w:pPr>
          </w:p>
        </w:tc>
        <w:tc>
          <w:tcPr>
            <w:tcW w:w="100" w:type="dxa"/>
            <w:vAlign w:val="bottom"/>
            <w:shd w:val="clear" w:color="auto" w:fill="FDFDFC"/>
          </w:tcPr>
          <w:p>
            <w:pPr>
              <w:spacing w:after="0" w:line="20" w:lineRule="exact"/>
              <w:rPr>
                <w:sz w:val="1"/>
                <w:szCs w:val="1"/>
                <w:color w:val="auto"/>
              </w:rPr>
            </w:pPr>
          </w:p>
        </w:tc>
        <w:tc>
          <w:tcPr>
            <w:tcW w:w="160" w:type="dxa"/>
            <w:vAlign w:val="bottom"/>
            <w:tcBorders>
              <w:left w:val="single" w:sz="8" w:color="FDFDFC"/>
            </w:tcBorders>
            <w:shd w:val="clear" w:color="auto" w:fill="231F20"/>
          </w:tcPr>
          <w:p>
            <w:pPr>
              <w:spacing w:after="0" w:line="20" w:lineRule="exact"/>
              <w:rPr>
                <w:sz w:val="1"/>
                <w:szCs w:val="1"/>
                <w:color w:val="auto"/>
              </w:rPr>
            </w:pPr>
          </w:p>
        </w:tc>
        <w:tc>
          <w:tcPr>
            <w:tcW w:w="860" w:type="dxa"/>
            <w:vAlign w:val="bottom"/>
            <w:tcBorders>
              <w:right w:val="single" w:sz="8" w:color="231F20"/>
            </w:tcBorders>
            <w:shd w:val="clear" w:color="auto" w:fill="231F20"/>
          </w:tcPr>
          <w:p>
            <w:pPr>
              <w:spacing w:after="0" w:line="20" w:lineRule="exact"/>
              <w:rPr>
                <w:sz w:val="1"/>
                <w:szCs w:val="1"/>
                <w:color w:val="auto"/>
              </w:rPr>
            </w:pPr>
          </w:p>
        </w:tc>
        <w:tc>
          <w:tcPr>
            <w:tcW w:w="80" w:type="dxa"/>
            <w:vAlign w:val="bottom"/>
            <w:shd w:val="clear" w:color="auto" w:fill="FDFDFC"/>
          </w:tcPr>
          <w:p>
            <w:pPr>
              <w:spacing w:after="0" w:line="20" w:lineRule="exact"/>
              <w:rPr>
                <w:sz w:val="1"/>
                <w:szCs w:val="1"/>
                <w:color w:val="auto"/>
              </w:rPr>
            </w:pPr>
          </w:p>
        </w:tc>
        <w:tc>
          <w:tcPr>
            <w:tcW w:w="100" w:type="dxa"/>
            <w:vAlign w:val="bottom"/>
            <w:shd w:val="clear" w:color="auto" w:fill="FDFDFC"/>
          </w:tcPr>
          <w:p>
            <w:pPr>
              <w:spacing w:after="0" w:line="20" w:lineRule="exact"/>
              <w:rPr>
                <w:sz w:val="1"/>
                <w:szCs w:val="1"/>
                <w:color w:val="auto"/>
              </w:rPr>
            </w:pPr>
          </w:p>
        </w:tc>
        <w:tc>
          <w:tcPr>
            <w:tcW w:w="120" w:type="dxa"/>
            <w:vAlign w:val="bottom"/>
            <w:tcBorders>
              <w:left w:val="single" w:sz="8" w:color="231F20"/>
            </w:tcBorders>
            <w:shd w:val="clear" w:color="auto" w:fill="231F20"/>
          </w:tcPr>
          <w:p>
            <w:pPr>
              <w:spacing w:after="0" w:line="20" w:lineRule="exact"/>
              <w:rPr>
                <w:sz w:val="1"/>
                <w:szCs w:val="1"/>
                <w:color w:val="auto"/>
              </w:rPr>
            </w:pPr>
          </w:p>
        </w:tc>
        <w:tc>
          <w:tcPr>
            <w:tcW w:w="780" w:type="dxa"/>
            <w:vAlign w:val="bottom"/>
            <w:shd w:val="clear" w:color="auto" w:fill="231F2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1920" w:type="dxa"/>
            <w:vAlign w:val="bottom"/>
            <w:vMerge w:val="continue"/>
            <w:shd w:val="clear" w:color="auto" w:fill="FDFDFC"/>
          </w:tcPr>
          <w:p>
            <w:pPr>
              <w:spacing w:after="0"/>
              <w:rPr>
                <w:sz w:val="12"/>
                <w:szCs w:val="12"/>
                <w:color w:val="auto"/>
              </w:rPr>
            </w:pPr>
          </w:p>
        </w:tc>
        <w:tc>
          <w:tcPr>
            <w:tcW w:w="1080" w:type="dxa"/>
            <w:vAlign w:val="bottom"/>
            <w:shd w:val="clear" w:color="auto" w:fill="FDFDFC"/>
          </w:tcPr>
          <w:p>
            <w:pPr>
              <w:spacing w:after="0"/>
              <w:rPr>
                <w:sz w:val="12"/>
                <w:szCs w:val="12"/>
                <w:color w:val="auto"/>
              </w:rPr>
            </w:pPr>
          </w:p>
        </w:tc>
        <w:tc>
          <w:tcPr>
            <w:tcW w:w="120" w:type="dxa"/>
            <w:vAlign w:val="bottom"/>
            <w:shd w:val="clear" w:color="auto" w:fill="FDFDFC"/>
          </w:tcPr>
          <w:p>
            <w:pPr>
              <w:spacing w:after="0"/>
              <w:rPr>
                <w:sz w:val="12"/>
                <w:szCs w:val="12"/>
                <w:color w:val="auto"/>
              </w:rPr>
            </w:pPr>
          </w:p>
        </w:tc>
        <w:tc>
          <w:tcPr>
            <w:tcW w:w="1080" w:type="dxa"/>
            <w:vAlign w:val="bottom"/>
            <w:shd w:val="clear" w:color="auto" w:fill="FDFDFC"/>
          </w:tcPr>
          <w:p>
            <w:pPr>
              <w:spacing w:after="0"/>
              <w:rPr>
                <w:sz w:val="12"/>
                <w:szCs w:val="12"/>
                <w:color w:val="auto"/>
              </w:rPr>
            </w:pPr>
          </w:p>
        </w:tc>
        <w:tc>
          <w:tcPr>
            <w:tcW w:w="140" w:type="dxa"/>
            <w:vAlign w:val="bottom"/>
            <w:shd w:val="clear" w:color="auto" w:fill="FDFDFC"/>
          </w:tcPr>
          <w:p>
            <w:pPr>
              <w:spacing w:after="0"/>
              <w:rPr>
                <w:sz w:val="12"/>
                <w:szCs w:val="12"/>
                <w:color w:val="auto"/>
              </w:rPr>
            </w:pPr>
          </w:p>
        </w:tc>
        <w:tc>
          <w:tcPr>
            <w:tcW w:w="1080" w:type="dxa"/>
            <w:vAlign w:val="bottom"/>
            <w:shd w:val="clear" w:color="auto" w:fill="FDFDFC"/>
          </w:tcPr>
          <w:p>
            <w:pPr>
              <w:spacing w:after="0"/>
              <w:rPr>
                <w:sz w:val="12"/>
                <w:szCs w:val="12"/>
                <w:color w:val="auto"/>
              </w:rPr>
            </w:pPr>
          </w:p>
        </w:tc>
        <w:tc>
          <w:tcPr>
            <w:tcW w:w="100" w:type="dxa"/>
            <w:vAlign w:val="bottom"/>
            <w:shd w:val="clear" w:color="auto" w:fill="FDFDFC"/>
          </w:tcPr>
          <w:p>
            <w:pPr>
              <w:spacing w:after="0"/>
              <w:rPr>
                <w:sz w:val="12"/>
                <w:szCs w:val="12"/>
                <w:color w:val="auto"/>
              </w:rPr>
            </w:pPr>
          </w:p>
        </w:tc>
        <w:tc>
          <w:tcPr>
            <w:tcW w:w="140" w:type="dxa"/>
            <w:vAlign w:val="bottom"/>
            <w:shd w:val="clear" w:color="auto" w:fill="FDFDFC"/>
          </w:tcPr>
          <w:p>
            <w:pPr>
              <w:spacing w:after="0"/>
              <w:rPr>
                <w:sz w:val="12"/>
                <w:szCs w:val="12"/>
                <w:color w:val="auto"/>
              </w:rPr>
            </w:pPr>
          </w:p>
        </w:tc>
        <w:tc>
          <w:tcPr>
            <w:tcW w:w="860" w:type="dxa"/>
            <w:vAlign w:val="bottom"/>
            <w:shd w:val="clear" w:color="auto" w:fill="FDFDFC"/>
          </w:tcPr>
          <w:p>
            <w:pPr>
              <w:spacing w:after="0"/>
              <w:rPr>
                <w:sz w:val="12"/>
                <w:szCs w:val="12"/>
                <w:color w:val="auto"/>
              </w:rPr>
            </w:pPr>
          </w:p>
        </w:tc>
        <w:tc>
          <w:tcPr>
            <w:tcW w:w="100" w:type="dxa"/>
            <w:vAlign w:val="bottom"/>
            <w:shd w:val="clear" w:color="auto" w:fill="FDFDFC"/>
          </w:tcPr>
          <w:p>
            <w:pPr>
              <w:spacing w:after="0"/>
              <w:rPr>
                <w:sz w:val="12"/>
                <w:szCs w:val="12"/>
                <w:color w:val="auto"/>
              </w:rPr>
            </w:pPr>
          </w:p>
        </w:tc>
        <w:tc>
          <w:tcPr>
            <w:tcW w:w="100" w:type="dxa"/>
            <w:vAlign w:val="bottom"/>
            <w:shd w:val="clear" w:color="auto" w:fill="FDFDFC"/>
          </w:tcPr>
          <w:p>
            <w:pPr>
              <w:spacing w:after="0"/>
              <w:rPr>
                <w:sz w:val="12"/>
                <w:szCs w:val="12"/>
                <w:color w:val="auto"/>
              </w:rPr>
            </w:pPr>
          </w:p>
        </w:tc>
        <w:tc>
          <w:tcPr>
            <w:tcW w:w="80" w:type="dxa"/>
            <w:vAlign w:val="bottom"/>
            <w:shd w:val="clear" w:color="auto" w:fill="FDFDFC"/>
          </w:tcPr>
          <w:p>
            <w:pPr>
              <w:spacing w:after="0"/>
              <w:rPr>
                <w:sz w:val="12"/>
                <w:szCs w:val="12"/>
                <w:color w:val="auto"/>
              </w:rPr>
            </w:pPr>
          </w:p>
        </w:tc>
        <w:tc>
          <w:tcPr>
            <w:tcW w:w="120" w:type="dxa"/>
            <w:vAlign w:val="bottom"/>
            <w:shd w:val="clear" w:color="auto" w:fill="FDFDFC"/>
          </w:tcPr>
          <w:p>
            <w:pPr>
              <w:jc w:val="right"/>
              <w:spacing w:after="0" w:line="144" w:lineRule="exact"/>
              <w:rPr>
                <w:sz w:val="20"/>
                <w:szCs w:val="20"/>
                <w:color w:val="auto"/>
              </w:rPr>
            </w:pPr>
            <w:r>
              <w:rPr>
                <w:rFonts w:ascii="Times New Roman" w:cs="Times New Roman" w:eastAsia="Times New Roman" w:hAnsi="Times New Roman"/>
                <w:sz w:val="15"/>
                <w:szCs w:val="15"/>
                <w:b w:val="1"/>
                <w:bCs w:val="1"/>
                <w:color w:val="231F20"/>
                <w:w w:val="79"/>
              </w:rPr>
              <w:t>$</w:t>
            </w:r>
          </w:p>
        </w:tc>
        <w:tc>
          <w:tcPr>
            <w:tcW w:w="920" w:type="dxa"/>
            <w:vAlign w:val="bottom"/>
            <w:tcBorders>
              <w:right w:val="single" w:sz="8" w:color="FDFDFC"/>
            </w:tcBorders>
            <w:shd w:val="clear" w:color="auto" w:fill="FDFDFC"/>
          </w:tcPr>
          <w:p>
            <w:pPr>
              <w:jc w:val="right"/>
              <w:spacing w:after="0" w:line="144" w:lineRule="exact"/>
              <w:rPr>
                <w:sz w:val="20"/>
                <w:szCs w:val="20"/>
                <w:color w:val="auto"/>
              </w:rPr>
            </w:pPr>
            <w:r>
              <w:rPr>
                <w:rFonts w:ascii="Times New Roman" w:cs="Times New Roman" w:eastAsia="Times New Roman" w:hAnsi="Times New Roman"/>
                <w:sz w:val="15"/>
                <w:szCs w:val="15"/>
                <w:b w:val="1"/>
                <w:bCs w:val="1"/>
                <w:color w:val="231F20"/>
              </w:rPr>
              <w:t>3,251,012</w:t>
            </w:r>
          </w:p>
        </w:tc>
        <w:tc>
          <w:tcPr>
            <w:tcW w:w="100" w:type="dxa"/>
            <w:vAlign w:val="bottom"/>
            <w:shd w:val="clear" w:color="auto" w:fill="FDFDFC"/>
          </w:tcPr>
          <w:p>
            <w:pPr>
              <w:spacing w:after="0"/>
              <w:rPr>
                <w:sz w:val="12"/>
                <w:szCs w:val="12"/>
                <w:color w:val="auto"/>
              </w:rPr>
            </w:pPr>
          </w:p>
        </w:tc>
        <w:tc>
          <w:tcPr>
            <w:tcW w:w="160" w:type="dxa"/>
            <w:vAlign w:val="bottom"/>
            <w:tcBorders>
              <w:left w:val="single" w:sz="8" w:color="FDFDFC"/>
            </w:tcBorders>
            <w:shd w:val="clear" w:color="auto" w:fill="FDFDFC"/>
          </w:tcPr>
          <w:p>
            <w:pPr>
              <w:jc w:val="right"/>
              <w:spacing w:after="0" w:line="144" w:lineRule="exact"/>
              <w:rPr>
                <w:sz w:val="20"/>
                <w:szCs w:val="20"/>
                <w:color w:val="auto"/>
              </w:rPr>
            </w:pPr>
            <w:r>
              <w:rPr>
                <w:rFonts w:ascii="Times New Roman" w:cs="Times New Roman" w:eastAsia="Times New Roman" w:hAnsi="Times New Roman"/>
                <w:sz w:val="15"/>
                <w:szCs w:val="15"/>
                <w:b w:val="1"/>
                <w:bCs w:val="1"/>
                <w:color w:val="231F20"/>
                <w:highlight w:val="white"/>
              </w:rPr>
              <w:t>$</w:t>
            </w:r>
          </w:p>
        </w:tc>
        <w:tc>
          <w:tcPr>
            <w:tcW w:w="860" w:type="dxa"/>
            <w:vAlign w:val="bottom"/>
            <w:tcBorders>
              <w:right w:val="single" w:sz="8" w:color="FDFDFC"/>
            </w:tcBorders>
            <w:shd w:val="clear" w:color="auto" w:fill="FDFDFC"/>
          </w:tcPr>
          <w:p>
            <w:pPr>
              <w:jc w:val="right"/>
              <w:spacing w:after="0" w:line="144" w:lineRule="exact"/>
              <w:rPr>
                <w:sz w:val="20"/>
                <w:szCs w:val="20"/>
                <w:color w:val="auto"/>
              </w:rPr>
            </w:pPr>
            <w:r>
              <w:rPr>
                <w:rFonts w:ascii="Times New Roman" w:cs="Times New Roman" w:eastAsia="Times New Roman" w:hAnsi="Times New Roman"/>
                <w:sz w:val="15"/>
                <w:szCs w:val="15"/>
                <w:b w:val="1"/>
                <w:bCs w:val="1"/>
                <w:color w:val="231F20"/>
                <w:highlight w:val="white"/>
              </w:rPr>
              <w:t>3,283,065</w:t>
            </w:r>
          </w:p>
        </w:tc>
        <w:tc>
          <w:tcPr>
            <w:tcW w:w="80" w:type="dxa"/>
            <w:vAlign w:val="bottom"/>
            <w:shd w:val="clear" w:color="auto" w:fill="FDFDFC"/>
          </w:tcPr>
          <w:p>
            <w:pPr>
              <w:spacing w:after="0"/>
              <w:rPr>
                <w:sz w:val="12"/>
                <w:szCs w:val="12"/>
                <w:color w:val="auto"/>
              </w:rPr>
            </w:pPr>
          </w:p>
        </w:tc>
        <w:tc>
          <w:tcPr>
            <w:tcW w:w="100" w:type="dxa"/>
            <w:vAlign w:val="bottom"/>
            <w:shd w:val="clear" w:color="auto" w:fill="FDFDFC"/>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gridSpan w:val="3"/>
          </w:tcPr>
          <w:p>
            <w:pPr>
              <w:jc w:val="right"/>
              <w:ind w:right="80"/>
              <w:spacing w:after="0" w:line="144" w:lineRule="exact"/>
              <w:rPr>
                <w:sz w:val="20"/>
                <w:szCs w:val="20"/>
                <w:color w:val="auto"/>
              </w:rPr>
            </w:pPr>
            <w:r>
              <w:rPr>
                <w:rFonts w:ascii="Times New Roman" w:cs="Times New Roman" w:eastAsia="Times New Roman" w:hAnsi="Times New Roman"/>
                <w:sz w:val="15"/>
                <w:szCs w:val="15"/>
                <w:b w:val="1"/>
                <w:bCs w:val="1"/>
                <w:color w:val="231F20"/>
              </w:rPr>
              <w:t>219.4%</w:t>
            </w:r>
          </w:p>
        </w:tc>
        <w:tc>
          <w:tcPr>
            <w:tcW w:w="0" w:type="dxa"/>
            <w:vAlign w:val="bottom"/>
          </w:tcPr>
          <w:p>
            <w:pPr>
              <w:spacing w:after="0"/>
              <w:rPr>
                <w:sz w:val="1"/>
                <w:szCs w:val="1"/>
                <w:color w:val="auto"/>
              </w:rPr>
            </w:pPr>
          </w:p>
        </w:tc>
      </w:tr>
      <w:tr>
        <w:trPr>
          <w:trHeight w:val="20"/>
        </w:trPr>
        <w:tc>
          <w:tcPr>
            <w:tcW w:w="19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231F20"/>
              <w:bottom w:val="single" w:sz="8" w:color="231F20"/>
            </w:tcBorders>
          </w:tcPr>
          <w:p>
            <w:pPr>
              <w:spacing w:after="0" w:line="20" w:lineRule="exact"/>
              <w:rPr>
                <w:sz w:val="1"/>
                <w:szCs w:val="1"/>
                <w:color w:val="auto"/>
              </w:rPr>
            </w:pPr>
          </w:p>
        </w:tc>
        <w:tc>
          <w:tcPr>
            <w:tcW w:w="920" w:type="dxa"/>
            <w:vAlign w:val="bottom"/>
            <w:tcBorders>
              <w:top w:val="single" w:sz="8" w:color="231F20"/>
              <w:bottom w:val="single" w:sz="8" w:color="231F20"/>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231F20"/>
              <w:bottom w:val="single" w:sz="8" w:color="231F20"/>
            </w:tcBorders>
          </w:tcPr>
          <w:p>
            <w:pPr>
              <w:spacing w:after="0" w:line="20" w:lineRule="exact"/>
              <w:rPr>
                <w:sz w:val="1"/>
                <w:szCs w:val="1"/>
                <w:color w:val="auto"/>
              </w:rPr>
            </w:pPr>
          </w:p>
        </w:tc>
        <w:tc>
          <w:tcPr>
            <w:tcW w:w="860" w:type="dxa"/>
            <w:vAlign w:val="bottom"/>
            <w:tcBorders>
              <w:top w:val="single" w:sz="8" w:color="231F20"/>
              <w:bottom w:val="single" w:sz="8" w:color="231F20"/>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231F20"/>
              <w:bottom w:val="single" w:sz="8" w:color="231F20"/>
            </w:tcBorders>
          </w:tcPr>
          <w:p>
            <w:pPr>
              <w:spacing w:after="0" w:line="20" w:lineRule="exact"/>
              <w:rPr>
                <w:sz w:val="1"/>
                <w:szCs w:val="1"/>
                <w:color w:val="auto"/>
              </w:rPr>
            </w:pPr>
          </w:p>
        </w:tc>
        <w:tc>
          <w:tcPr>
            <w:tcW w:w="780" w:type="dxa"/>
            <w:vAlign w:val="bottom"/>
            <w:tcBorders>
              <w:top w:val="single" w:sz="8" w:color="231F20"/>
              <w:bottom w:val="single" w:sz="8" w:color="231F20"/>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19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0" w:type="dxa"/>
            <w:vAlign w:val="bottom"/>
            <w:gridSpan w:val="2"/>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20" w:type="dxa"/>
            <w:vAlign w:val="bottom"/>
            <w:gridSpan w:val="3"/>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4"/>
        </w:trPr>
        <w:tc>
          <w:tcPr>
            <w:tcW w:w="1920" w:type="dxa"/>
            <w:vAlign w:val="bottom"/>
            <w:tcBorders>
              <w:bottom w:val="single" w:sz="8" w:color="FDFDFC"/>
            </w:tcBorders>
            <w:shd w:val="clear" w:color="auto" w:fill="FDFDFC"/>
          </w:tcPr>
          <w:p>
            <w:pPr>
              <w:spacing w:after="0"/>
              <w:rPr>
                <w:sz w:val="15"/>
                <w:szCs w:val="15"/>
                <w:color w:val="auto"/>
              </w:rPr>
            </w:pPr>
          </w:p>
        </w:tc>
        <w:tc>
          <w:tcPr>
            <w:tcW w:w="1080" w:type="dxa"/>
            <w:vAlign w:val="bottom"/>
            <w:tcBorders>
              <w:bottom w:val="single" w:sz="8" w:color="231F20"/>
            </w:tcBorders>
            <w:shd w:val="clear" w:color="auto" w:fill="FDFDFC"/>
          </w:tcPr>
          <w:p>
            <w:pPr>
              <w:spacing w:after="0"/>
              <w:rPr>
                <w:sz w:val="15"/>
                <w:szCs w:val="15"/>
                <w:color w:val="auto"/>
              </w:rPr>
            </w:pPr>
          </w:p>
        </w:tc>
        <w:tc>
          <w:tcPr>
            <w:tcW w:w="120" w:type="dxa"/>
            <w:vAlign w:val="bottom"/>
            <w:tcBorders>
              <w:bottom w:val="single" w:sz="8" w:color="231F20"/>
            </w:tcBorders>
            <w:shd w:val="clear" w:color="auto" w:fill="FDFDFC"/>
          </w:tcPr>
          <w:p>
            <w:pPr>
              <w:spacing w:after="0"/>
              <w:rPr>
                <w:sz w:val="15"/>
                <w:szCs w:val="15"/>
                <w:color w:val="auto"/>
              </w:rPr>
            </w:pPr>
          </w:p>
        </w:tc>
        <w:tc>
          <w:tcPr>
            <w:tcW w:w="1080" w:type="dxa"/>
            <w:vAlign w:val="bottom"/>
            <w:tcBorders>
              <w:bottom w:val="single" w:sz="8" w:color="231F20"/>
            </w:tcBorders>
            <w:shd w:val="clear" w:color="auto" w:fill="FDFDFC"/>
          </w:tcPr>
          <w:p>
            <w:pPr>
              <w:spacing w:after="0"/>
              <w:rPr>
                <w:sz w:val="15"/>
                <w:szCs w:val="15"/>
                <w:color w:val="auto"/>
              </w:rPr>
            </w:pPr>
          </w:p>
        </w:tc>
        <w:tc>
          <w:tcPr>
            <w:tcW w:w="140" w:type="dxa"/>
            <w:vAlign w:val="bottom"/>
            <w:tcBorders>
              <w:bottom w:val="single" w:sz="8" w:color="231F20"/>
            </w:tcBorders>
            <w:shd w:val="clear" w:color="auto" w:fill="FDFDFC"/>
          </w:tcPr>
          <w:p>
            <w:pPr>
              <w:spacing w:after="0"/>
              <w:rPr>
                <w:sz w:val="15"/>
                <w:szCs w:val="15"/>
                <w:color w:val="auto"/>
              </w:rPr>
            </w:pPr>
          </w:p>
        </w:tc>
        <w:tc>
          <w:tcPr>
            <w:tcW w:w="3500" w:type="dxa"/>
            <w:vAlign w:val="bottom"/>
            <w:tcBorders>
              <w:bottom w:val="single" w:sz="8" w:color="231F20"/>
              <w:right w:val="single" w:sz="8" w:color="FDFDFC"/>
            </w:tcBorders>
            <w:gridSpan w:val="9"/>
            <w:shd w:val="clear" w:color="auto" w:fill="FDFDFC"/>
          </w:tcPr>
          <w:p>
            <w:pPr>
              <w:jc w:val="right"/>
              <w:ind w:right="284"/>
              <w:spacing w:after="0"/>
              <w:rPr>
                <w:sz w:val="20"/>
                <w:szCs w:val="20"/>
                <w:color w:val="auto"/>
              </w:rPr>
            </w:pPr>
            <w:r>
              <w:rPr>
                <w:rFonts w:ascii="Times New Roman" w:cs="Times New Roman" w:eastAsia="Times New Roman" w:hAnsi="Times New Roman"/>
                <w:sz w:val="15"/>
                <w:szCs w:val="15"/>
                <w:b w:val="1"/>
                <w:bCs w:val="1"/>
                <w:color w:val="231F20"/>
              </w:rPr>
              <w:t>Interest Rate Swaps as of December 31, 2023</w:t>
            </w:r>
          </w:p>
        </w:tc>
        <w:tc>
          <w:tcPr>
            <w:tcW w:w="100" w:type="dxa"/>
            <w:vAlign w:val="bottom"/>
            <w:tcBorders>
              <w:bottom w:val="single" w:sz="8" w:color="231F20"/>
            </w:tcBorders>
            <w:shd w:val="clear" w:color="auto" w:fill="FDFDFC"/>
          </w:tcPr>
          <w:p>
            <w:pPr>
              <w:spacing w:after="0"/>
              <w:rPr>
                <w:sz w:val="15"/>
                <w:szCs w:val="15"/>
                <w:color w:val="auto"/>
              </w:rPr>
            </w:pPr>
          </w:p>
        </w:tc>
        <w:tc>
          <w:tcPr>
            <w:tcW w:w="160" w:type="dxa"/>
            <w:vAlign w:val="bottom"/>
            <w:tcBorders>
              <w:left w:val="single" w:sz="8" w:color="FDFDFC"/>
              <w:bottom w:val="single" w:sz="8" w:color="231F20"/>
            </w:tcBorders>
            <w:shd w:val="clear" w:color="auto" w:fill="FDFDFC"/>
          </w:tcPr>
          <w:p>
            <w:pPr>
              <w:spacing w:after="0"/>
              <w:rPr>
                <w:sz w:val="15"/>
                <w:szCs w:val="15"/>
                <w:color w:val="auto"/>
              </w:rPr>
            </w:pPr>
          </w:p>
        </w:tc>
        <w:tc>
          <w:tcPr>
            <w:tcW w:w="860" w:type="dxa"/>
            <w:vAlign w:val="bottom"/>
            <w:tcBorders>
              <w:bottom w:val="single" w:sz="8" w:color="231F20"/>
              <w:right w:val="single" w:sz="8" w:color="FDFDFC"/>
            </w:tcBorders>
            <w:shd w:val="clear" w:color="auto" w:fill="FDFDFC"/>
          </w:tcPr>
          <w:p>
            <w:pPr>
              <w:spacing w:after="0"/>
              <w:rPr>
                <w:sz w:val="15"/>
                <w:szCs w:val="15"/>
                <w:color w:val="auto"/>
              </w:rPr>
            </w:pPr>
          </w:p>
        </w:tc>
        <w:tc>
          <w:tcPr>
            <w:tcW w:w="80" w:type="dxa"/>
            <w:vAlign w:val="bottom"/>
            <w:tcBorders>
              <w:bottom w:val="single" w:sz="8" w:color="231F20"/>
            </w:tcBorders>
            <w:shd w:val="clear" w:color="auto" w:fill="FDFDFC"/>
          </w:tcPr>
          <w:p>
            <w:pPr>
              <w:spacing w:after="0"/>
              <w:rPr>
                <w:sz w:val="15"/>
                <w:szCs w:val="15"/>
                <w:color w:val="auto"/>
              </w:rPr>
            </w:pPr>
          </w:p>
        </w:tc>
        <w:tc>
          <w:tcPr>
            <w:tcW w:w="100" w:type="dxa"/>
            <w:vAlign w:val="bottom"/>
            <w:tcBorders>
              <w:bottom w:val="single" w:sz="8" w:color="231F20"/>
            </w:tcBorders>
            <w:shd w:val="clear" w:color="auto" w:fill="FDFDFC"/>
          </w:tcPr>
          <w:p>
            <w:pPr>
              <w:spacing w:after="0"/>
              <w:rPr>
                <w:sz w:val="15"/>
                <w:szCs w:val="15"/>
                <w:color w:val="auto"/>
              </w:rPr>
            </w:pPr>
          </w:p>
        </w:tc>
        <w:tc>
          <w:tcPr>
            <w:tcW w:w="120" w:type="dxa"/>
            <w:vAlign w:val="bottom"/>
            <w:tcBorders>
              <w:left w:val="single" w:sz="8" w:color="FDFDFC"/>
              <w:bottom w:val="single" w:sz="8" w:color="231F20"/>
            </w:tcBorders>
            <w:shd w:val="clear" w:color="auto" w:fill="FDFDFC"/>
          </w:tcPr>
          <w:p>
            <w:pPr>
              <w:spacing w:after="0"/>
              <w:rPr>
                <w:sz w:val="15"/>
                <w:szCs w:val="15"/>
                <w:color w:val="auto"/>
              </w:rPr>
            </w:pPr>
          </w:p>
        </w:tc>
        <w:tc>
          <w:tcPr>
            <w:tcW w:w="780" w:type="dxa"/>
            <w:vAlign w:val="bottom"/>
            <w:tcBorders>
              <w:bottom w:val="single" w:sz="8" w:color="231F20"/>
            </w:tcBorders>
            <w:shd w:val="clear" w:color="auto" w:fill="FDFDFC"/>
          </w:tcPr>
          <w:p>
            <w:pPr>
              <w:spacing w:after="0"/>
              <w:rPr>
                <w:sz w:val="15"/>
                <w:szCs w:val="15"/>
                <w:color w:val="auto"/>
              </w:rPr>
            </w:pPr>
          </w:p>
        </w:tc>
        <w:tc>
          <w:tcPr>
            <w:tcW w:w="140" w:type="dxa"/>
            <w:vAlign w:val="bottom"/>
            <w:tcBorders>
              <w:bottom w:val="single" w:sz="8" w:color="231F20"/>
            </w:tcBorders>
            <w:shd w:val="clear" w:color="auto" w:fill="FDFDFC"/>
          </w:tcPr>
          <w:p>
            <w:pPr>
              <w:spacing w:after="0"/>
              <w:rPr>
                <w:sz w:val="15"/>
                <w:szCs w:val="15"/>
                <w:color w:val="auto"/>
              </w:rPr>
            </w:pPr>
          </w:p>
        </w:tc>
        <w:tc>
          <w:tcPr>
            <w:tcW w:w="100" w:type="dxa"/>
            <w:vAlign w:val="bottom"/>
            <w:tcBorders>
              <w:bottom w:val="single" w:sz="8" w:color="FDFDFC"/>
            </w:tcBorders>
            <w:shd w:val="clear" w:color="auto" w:fill="FDFDFC"/>
          </w:tcPr>
          <w:p>
            <w:pPr>
              <w:spacing w:after="0"/>
              <w:rPr>
                <w:sz w:val="15"/>
                <w:szCs w:val="15"/>
                <w:color w:val="auto"/>
              </w:rPr>
            </w:pPr>
          </w:p>
        </w:tc>
        <w:tc>
          <w:tcPr>
            <w:tcW w:w="0" w:type="dxa"/>
            <w:vAlign w:val="bottom"/>
          </w:tcPr>
          <w:p>
            <w:pPr>
              <w:spacing w:after="0"/>
              <w:rPr>
                <w:sz w:val="1"/>
                <w:szCs w:val="1"/>
                <w:color w:val="auto"/>
              </w:rPr>
            </w:pPr>
          </w:p>
        </w:tc>
      </w:tr>
      <w:tr>
        <w:trPr>
          <w:trHeight w:val="146"/>
        </w:trPr>
        <w:tc>
          <w:tcPr>
            <w:tcW w:w="1920" w:type="dxa"/>
            <w:vAlign w:val="bottom"/>
            <w:shd w:val="clear" w:color="auto" w:fill="FDFDFC"/>
          </w:tcPr>
          <w:p>
            <w:pPr>
              <w:spacing w:after="0"/>
              <w:rPr>
                <w:sz w:val="12"/>
                <w:szCs w:val="12"/>
                <w:color w:val="auto"/>
              </w:rPr>
            </w:pPr>
          </w:p>
        </w:tc>
        <w:tc>
          <w:tcPr>
            <w:tcW w:w="1080" w:type="dxa"/>
            <w:vAlign w:val="bottom"/>
            <w:vMerge w:val="restart"/>
            <w:shd w:val="clear" w:color="auto" w:fill="FDFDFC"/>
          </w:tcPr>
          <w:p>
            <w:pPr>
              <w:jc w:val="center"/>
              <w:spacing w:after="0"/>
              <w:rPr>
                <w:sz w:val="20"/>
                <w:szCs w:val="20"/>
                <w:color w:val="auto"/>
              </w:rPr>
            </w:pPr>
            <w:r>
              <w:rPr>
                <w:rFonts w:ascii="Times New Roman" w:cs="Times New Roman" w:eastAsia="Times New Roman" w:hAnsi="Times New Roman"/>
                <w:sz w:val="15"/>
                <w:szCs w:val="15"/>
                <w:b w:val="1"/>
                <w:bCs w:val="1"/>
                <w:color w:val="231F20"/>
                <w:w w:val="99"/>
              </w:rPr>
              <w:t>Company</w:t>
            </w:r>
          </w:p>
        </w:tc>
        <w:tc>
          <w:tcPr>
            <w:tcW w:w="120" w:type="dxa"/>
            <w:vAlign w:val="bottom"/>
            <w:shd w:val="clear" w:color="auto" w:fill="FDFDFC"/>
          </w:tcPr>
          <w:p>
            <w:pPr>
              <w:spacing w:after="0"/>
              <w:rPr>
                <w:sz w:val="12"/>
                <w:szCs w:val="12"/>
                <w:color w:val="auto"/>
              </w:rPr>
            </w:pPr>
          </w:p>
        </w:tc>
        <w:tc>
          <w:tcPr>
            <w:tcW w:w="1080" w:type="dxa"/>
            <w:vAlign w:val="bottom"/>
            <w:vMerge w:val="restart"/>
            <w:shd w:val="clear" w:color="auto" w:fill="FDFDFC"/>
          </w:tcPr>
          <w:p>
            <w:pPr>
              <w:jc w:val="center"/>
              <w:spacing w:after="0"/>
              <w:rPr>
                <w:sz w:val="20"/>
                <w:szCs w:val="20"/>
                <w:color w:val="auto"/>
              </w:rPr>
            </w:pPr>
            <w:r>
              <w:rPr>
                <w:rFonts w:ascii="Times New Roman" w:cs="Times New Roman" w:eastAsia="Times New Roman" w:hAnsi="Times New Roman"/>
                <w:sz w:val="15"/>
                <w:szCs w:val="15"/>
                <w:b w:val="1"/>
                <w:bCs w:val="1"/>
                <w:color w:val="231F20"/>
              </w:rPr>
              <w:t>Company</w:t>
            </w:r>
          </w:p>
        </w:tc>
        <w:tc>
          <w:tcPr>
            <w:tcW w:w="140" w:type="dxa"/>
            <w:vAlign w:val="bottom"/>
            <w:shd w:val="clear" w:color="auto" w:fill="FDFDFC"/>
          </w:tcPr>
          <w:p>
            <w:pPr>
              <w:spacing w:after="0"/>
              <w:rPr>
                <w:sz w:val="12"/>
                <w:szCs w:val="12"/>
                <w:color w:val="auto"/>
              </w:rPr>
            </w:pPr>
          </w:p>
        </w:tc>
        <w:tc>
          <w:tcPr>
            <w:tcW w:w="1080" w:type="dxa"/>
            <w:vAlign w:val="bottom"/>
            <w:shd w:val="clear" w:color="auto" w:fill="FDFDFC"/>
          </w:tcPr>
          <w:p>
            <w:pPr>
              <w:spacing w:after="0"/>
              <w:rPr>
                <w:sz w:val="12"/>
                <w:szCs w:val="12"/>
                <w:color w:val="auto"/>
              </w:rPr>
            </w:pPr>
          </w:p>
        </w:tc>
        <w:tc>
          <w:tcPr>
            <w:tcW w:w="100" w:type="dxa"/>
            <w:vAlign w:val="bottom"/>
            <w:shd w:val="clear" w:color="auto" w:fill="FDFDFC"/>
          </w:tcPr>
          <w:p>
            <w:pPr>
              <w:spacing w:after="0"/>
              <w:rPr>
                <w:sz w:val="12"/>
                <w:szCs w:val="12"/>
                <w:color w:val="auto"/>
              </w:rPr>
            </w:pPr>
          </w:p>
        </w:tc>
        <w:tc>
          <w:tcPr>
            <w:tcW w:w="140" w:type="dxa"/>
            <w:vAlign w:val="bottom"/>
            <w:shd w:val="clear" w:color="auto" w:fill="FDFDFC"/>
          </w:tcPr>
          <w:p>
            <w:pPr>
              <w:spacing w:after="0"/>
              <w:rPr>
                <w:sz w:val="12"/>
                <w:szCs w:val="12"/>
                <w:color w:val="auto"/>
              </w:rPr>
            </w:pPr>
          </w:p>
        </w:tc>
        <w:tc>
          <w:tcPr>
            <w:tcW w:w="860" w:type="dxa"/>
            <w:vAlign w:val="bottom"/>
            <w:vMerge w:val="restart"/>
            <w:shd w:val="clear" w:color="auto" w:fill="FDFDFC"/>
          </w:tcPr>
          <w:p>
            <w:pPr>
              <w:jc w:val="right"/>
              <w:ind w:right="144"/>
              <w:spacing w:after="0"/>
              <w:rPr>
                <w:sz w:val="20"/>
                <w:szCs w:val="20"/>
                <w:color w:val="auto"/>
              </w:rPr>
            </w:pPr>
            <w:r>
              <w:rPr>
                <w:rFonts w:ascii="Times New Roman" w:cs="Times New Roman" w:eastAsia="Times New Roman" w:hAnsi="Times New Roman"/>
                <w:sz w:val="15"/>
                <w:szCs w:val="15"/>
                <w:b w:val="1"/>
                <w:bCs w:val="1"/>
                <w:color w:val="231F20"/>
              </w:rPr>
              <w:t>Notional</w:t>
            </w:r>
          </w:p>
        </w:tc>
        <w:tc>
          <w:tcPr>
            <w:tcW w:w="100" w:type="dxa"/>
            <w:vAlign w:val="bottom"/>
            <w:shd w:val="clear" w:color="auto" w:fill="FDFDFC"/>
          </w:tcPr>
          <w:p>
            <w:pPr>
              <w:spacing w:after="0"/>
              <w:rPr>
                <w:sz w:val="12"/>
                <w:szCs w:val="12"/>
                <w:color w:val="auto"/>
              </w:rPr>
            </w:pPr>
          </w:p>
        </w:tc>
        <w:tc>
          <w:tcPr>
            <w:tcW w:w="100" w:type="dxa"/>
            <w:vAlign w:val="bottom"/>
            <w:shd w:val="clear" w:color="auto" w:fill="FDFDFC"/>
          </w:tcPr>
          <w:p>
            <w:pPr>
              <w:spacing w:after="0"/>
              <w:rPr>
                <w:sz w:val="12"/>
                <w:szCs w:val="12"/>
                <w:color w:val="auto"/>
              </w:rPr>
            </w:pPr>
          </w:p>
        </w:tc>
        <w:tc>
          <w:tcPr>
            <w:tcW w:w="80" w:type="dxa"/>
            <w:vAlign w:val="bottom"/>
            <w:shd w:val="clear" w:color="auto" w:fill="FDFDFC"/>
          </w:tcPr>
          <w:p>
            <w:pPr>
              <w:spacing w:after="0"/>
              <w:rPr>
                <w:sz w:val="12"/>
                <w:szCs w:val="12"/>
                <w:color w:val="auto"/>
              </w:rPr>
            </w:pPr>
          </w:p>
        </w:tc>
        <w:tc>
          <w:tcPr>
            <w:tcW w:w="120" w:type="dxa"/>
            <w:vAlign w:val="bottom"/>
            <w:shd w:val="clear" w:color="auto" w:fill="FDFDFC"/>
          </w:tcPr>
          <w:p>
            <w:pPr>
              <w:spacing w:after="0"/>
              <w:rPr>
                <w:sz w:val="12"/>
                <w:szCs w:val="12"/>
                <w:color w:val="auto"/>
              </w:rPr>
            </w:pPr>
          </w:p>
        </w:tc>
        <w:tc>
          <w:tcPr>
            <w:tcW w:w="920" w:type="dxa"/>
            <w:vAlign w:val="bottom"/>
            <w:tcBorders>
              <w:right w:val="single" w:sz="8" w:color="FDFDFC"/>
            </w:tcBorders>
            <w:shd w:val="clear" w:color="auto" w:fill="FDFDFC"/>
          </w:tcPr>
          <w:p>
            <w:pPr>
              <w:jc w:val="center"/>
              <w:ind w:right="244"/>
              <w:spacing w:after="0" w:line="146" w:lineRule="exact"/>
              <w:rPr>
                <w:sz w:val="20"/>
                <w:szCs w:val="20"/>
                <w:color w:val="auto"/>
              </w:rPr>
            </w:pPr>
            <w:r>
              <w:rPr>
                <w:rFonts w:ascii="Times New Roman" w:cs="Times New Roman" w:eastAsia="Times New Roman" w:hAnsi="Times New Roman"/>
                <w:sz w:val="15"/>
                <w:szCs w:val="15"/>
                <w:b w:val="1"/>
                <w:bCs w:val="1"/>
                <w:color w:val="231F20"/>
              </w:rPr>
              <w:t>Fair</w:t>
            </w:r>
          </w:p>
        </w:tc>
        <w:tc>
          <w:tcPr>
            <w:tcW w:w="100" w:type="dxa"/>
            <w:vAlign w:val="bottom"/>
            <w:shd w:val="clear" w:color="auto" w:fill="FDFDFC"/>
          </w:tcPr>
          <w:p>
            <w:pPr>
              <w:spacing w:after="0"/>
              <w:rPr>
                <w:sz w:val="12"/>
                <w:szCs w:val="12"/>
                <w:color w:val="auto"/>
              </w:rPr>
            </w:pPr>
          </w:p>
        </w:tc>
        <w:tc>
          <w:tcPr>
            <w:tcW w:w="160" w:type="dxa"/>
            <w:vAlign w:val="bottom"/>
            <w:tcBorders>
              <w:left w:val="single" w:sz="8" w:color="FDFDFC"/>
            </w:tcBorders>
            <w:shd w:val="clear" w:color="auto" w:fill="FDFDFC"/>
          </w:tcPr>
          <w:p>
            <w:pPr>
              <w:spacing w:after="0"/>
              <w:rPr>
                <w:sz w:val="12"/>
                <w:szCs w:val="12"/>
                <w:color w:val="auto"/>
              </w:rPr>
            </w:pPr>
          </w:p>
        </w:tc>
        <w:tc>
          <w:tcPr>
            <w:tcW w:w="860" w:type="dxa"/>
            <w:vAlign w:val="bottom"/>
            <w:tcBorders>
              <w:right w:val="single" w:sz="8" w:color="FDFDFC"/>
            </w:tcBorders>
            <w:shd w:val="clear" w:color="auto" w:fill="FDFDFC"/>
          </w:tcPr>
          <w:p>
            <w:pPr>
              <w:jc w:val="center"/>
              <w:ind w:right="104"/>
              <w:spacing w:after="0" w:line="146" w:lineRule="exact"/>
              <w:rPr>
                <w:sz w:val="20"/>
                <w:szCs w:val="20"/>
                <w:color w:val="auto"/>
              </w:rPr>
            </w:pPr>
            <w:r>
              <w:rPr>
                <w:rFonts w:ascii="Times New Roman" w:cs="Times New Roman" w:eastAsia="Times New Roman" w:hAnsi="Times New Roman"/>
                <w:sz w:val="15"/>
                <w:szCs w:val="15"/>
                <w:b w:val="1"/>
                <w:bCs w:val="1"/>
                <w:color w:val="231F20"/>
              </w:rPr>
              <w:t>Upfront</w:t>
            </w:r>
          </w:p>
        </w:tc>
        <w:tc>
          <w:tcPr>
            <w:tcW w:w="80" w:type="dxa"/>
            <w:vAlign w:val="bottom"/>
            <w:shd w:val="clear" w:color="auto" w:fill="FDFDFC"/>
          </w:tcPr>
          <w:p>
            <w:pPr>
              <w:spacing w:after="0"/>
              <w:rPr>
                <w:sz w:val="12"/>
                <w:szCs w:val="12"/>
                <w:color w:val="auto"/>
              </w:rPr>
            </w:pPr>
          </w:p>
        </w:tc>
        <w:tc>
          <w:tcPr>
            <w:tcW w:w="100" w:type="dxa"/>
            <w:vAlign w:val="bottom"/>
            <w:shd w:val="clear" w:color="auto" w:fill="FDFDFC"/>
          </w:tcPr>
          <w:p>
            <w:pPr>
              <w:spacing w:after="0"/>
              <w:rPr>
                <w:sz w:val="12"/>
                <w:szCs w:val="12"/>
                <w:color w:val="auto"/>
              </w:rPr>
            </w:pPr>
          </w:p>
        </w:tc>
        <w:tc>
          <w:tcPr>
            <w:tcW w:w="120" w:type="dxa"/>
            <w:vAlign w:val="bottom"/>
            <w:tcBorders>
              <w:left w:val="single" w:sz="8" w:color="FDFDFC"/>
            </w:tcBorders>
            <w:shd w:val="clear" w:color="auto" w:fill="FDFDFC"/>
          </w:tcPr>
          <w:p>
            <w:pPr>
              <w:spacing w:after="0"/>
              <w:rPr>
                <w:sz w:val="12"/>
                <w:szCs w:val="12"/>
                <w:color w:val="auto"/>
              </w:rPr>
            </w:pPr>
          </w:p>
        </w:tc>
        <w:tc>
          <w:tcPr>
            <w:tcW w:w="920" w:type="dxa"/>
            <w:vAlign w:val="bottom"/>
            <w:gridSpan w:val="2"/>
            <w:shd w:val="clear" w:color="auto" w:fill="FDFDFC"/>
          </w:tcPr>
          <w:p>
            <w:pPr>
              <w:jc w:val="right"/>
              <w:ind w:right="200"/>
              <w:spacing w:after="0" w:line="146" w:lineRule="exact"/>
              <w:rPr>
                <w:sz w:val="20"/>
                <w:szCs w:val="20"/>
                <w:color w:val="auto"/>
              </w:rPr>
            </w:pPr>
            <w:r>
              <w:rPr>
                <w:rFonts w:ascii="Times New Roman" w:cs="Times New Roman" w:eastAsia="Times New Roman" w:hAnsi="Times New Roman"/>
                <w:sz w:val="15"/>
                <w:szCs w:val="15"/>
                <w:b w:val="1"/>
                <w:bCs w:val="1"/>
                <w:color w:val="231F20"/>
              </w:rPr>
              <w:t>Change in</w:t>
            </w:r>
          </w:p>
        </w:tc>
        <w:tc>
          <w:tcPr>
            <w:tcW w:w="100" w:type="dxa"/>
            <w:vAlign w:val="bottom"/>
            <w:shd w:val="clear" w:color="auto" w:fill="FDFDFC"/>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1920" w:type="dxa"/>
            <w:vAlign w:val="bottom"/>
            <w:shd w:val="clear" w:color="auto" w:fill="FDFDFC"/>
          </w:tcPr>
          <w:p>
            <w:pPr>
              <w:spacing w:after="0"/>
              <w:rPr>
                <w:sz w:val="15"/>
                <w:szCs w:val="15"/>
                <w:color w:val="auto"/>
              </w:rPr>
            </w:pPr>
          </w:p>
        </w:tc>
        <w:tc>
          <w:tcPr>
            <w:tcW w:w="1080" w:type="dxa"/>
            <w:vAlign w:val="bottom"/>
            <w:vMerge w:val="continue"/>
            <w:shd w:val="clear" w:color="auto" w:fill="FDFDFC"/>
          </w:tcPr>
          <w:p>
            <w:pPr>
              <w:spacing w:after="0"/>
              <w:rPr>
                <w:sz w:val="15"/>
                <w:szCs w:val="15"/>
                <w:color w:val="auto"/>
              </w:rPr>
            </w:pPr>
          </w:p>
        </w:tc>
        <w:tc>
          <w:tcPr>
            <w:tcW w:w="120" w:type="dxa"/>
            <w:vAlign w:val="bottom"/>
            <w:shd w:val="clear" w:color="auto" w:fill="FDFDFC"/>
          </w:tcPr>
          <w:p>
            <w:pPr>
              <w:spacing w:after="0"/>
              <w:rPr>
                <w:sz w:val="15"/>
                <w:szCs w:val="15"/>
                <w:color w:val="auto"/>
              </w:rPr>
            </w:pPr>
          </w:p>
        </w:tc>
        <w:tc>
          <w:tcPr>
            <w:tcW w:w="1080" w:type="dxa"/>
            <w:vAlign w:val="bottom"/>
            <w:vMerge w:val="continue"/>
            <w:shd w:val="clear" w:color="auto" w:fill="FDFDFC"/>
          </w:tcPr>
          <w:p>
            <w:pPr>
              <w:spacing w:after="0"/>
              <w:rPr>
                <w:sz w:val="15"/>
                <w:szCs w:val="15"/>
                <w:color w:val="auto"/>
              </w:rPr>
            </w:pPr>
          </w:p>
        </w:tc>
        <w:tc>
          <w:tcPr>
            <w:tcW w:w="140" w:type="dxa"/>
            <w:vAlign w:val="bottom"/>
            <w:shd w:val="clear" w:color="auto" w:fill="FDFDFC"/>
          </w:tcPr>
          <w:p>
            <w:pPr>
              <w:spacing w:after="0"/>
              <w:rPr>
                <w:sz w:val="15"/>
                <w:szCs w:val="15"/>
                <w:color w:val="auto"/>
              </w:rPr>
            </w:pPr>
          </w:p>
        </w:tc>
        <w:tc>
          <w:tcPr>
            <w:tcW w:w="1320" w:type="dxa"/>
            <w:vAlign w:val="bottom"/>
            <w:gridSpan w:val="3"/>
            <w:vMerge w:val="restart"/>
            <w:shd w:val="clear" w:color="auto" w:fill="FDFDFC"/>
          </w:tcPr>
          <w:p>
            <w:pPr>
              <w:jc w:val="right"/>
              <w:ind w:right="244"/>
              <w:spacing w:after="0"/>
              <w:rPr>
                <w:sz w:val="20"/>
                <w:szCs w:val="20"/>
                <w:color w:val="auto"/>
              </w:rPr>
            </w:pPr>
            <w:r>
              <w:rPr>
                <w:rFonts w:ascii="Times New Roman" w:cs="Times New Roman" w:eastAsia="Times New Roman" w:hAnsi="Times New Roman"/>
                <w:sz w:val="15"/>
                <w:szCs w:val="15"/>
                <w:b w:val="1"/>
                <w:bCs w:val="1"/>
                <w:color w:val="231F20"/>
              </w:rPr>
              <w:t>Maturity Date</w:t>
            </w:r>
          </w:p>
        </w:tc>
        <w:tc>
          <w:tcPr>
            <w:tcW w:w="860" w:type="dxa"/>
            <w:vAlign w:val="bottom"/>
            <w:vMerge w:val="continue"/>
            <w:shd w:val="clear" w:color="auto" w:fill="FDFDFC"/>
          </w:tcPr>
          <w:p>
            <w:pPr>
              <w:spacing w:after="0"/>
              <w:rPr>
                <w:sz w:val="15"/>
                <w:szCs w:val="15"/>
                <w:color w:val="auto"/>
              </w:rPr>
            </w:pPr>
          </w:p>
        </w:tc>
        <w:tc>
          <w:tcPr>
            <w:tcW w:w="100" w:type="dxa"/>
            <w:vAlign w:val="bottom"/>
            <w:shd w:val="clear" w:color="auto" w:fill="FDFDFC"/>
          </w:tcPr>
          <w:p>
            <w:pPr>
              <w:spacing w:after="0"/>
              <w:rPr>
                <w:sz w:val="15"/>
                <w:szCs w:val="15"/>
                <w:color w:val="auto"/>
              </w:rPr>
            </w:pPr>
          </w:p>
        </w:tc>
        <w:tc>
          <w:tcPr>
            <w:tcW w:w="100" w:type="dxa"/>
            <w:vAlign w:val="bottom"/>
            <w:shd w:val="clear" w:color="auto" w:fill="FDFDFC"/>
          </w:tcPr>
          <w:p>
            <w:pPr>
              <w:spacing w:after="0"/>
              <w:rPr>
                <w:sz w:val="15"/>
                <w:szCs w:val="15"/>
                <w:color w:val="auto"/>
              </w:rPr>
            </w:pPr>
          </w:p>
        </w:tc>
        <w:tc>
          <w:tcPr>
            <w:tcW w:w="80" w:type="dxa"/>
            <w:vAlign w:val="bottom"/>
            <w:shd w:val="clear" w:color="auto" w:fill="FDFDFC"/>
          </w:tcPr>
          <w:p>
            <w:pPr>
              <w:spacing w:after="0"/>
              <w:rPr>
                <w:sz w:val="15"/>
                <w:szCs w:val="15"/>
                <w:color w:val="auto"/>
              </w:rPr>
            </w:pPr>
          </w:p>
        </w:tc>
        <w:tc>
          <w:tcPr>
            <w:tcW w:w="120" w:type="dxa"/>
            <w:vAlign w:val="bottom"/>
            <w:shd w:val="clear" w:color="auto" w:fill="FDFDFC"/>
          </w:tcPr>
          <w:p>
            <w:pPr>
              <w:spacing w:after="0"/>
              <w:rPr>
                <w:sz w:val="15"/>
                <w:szCs w:val="15"/>
                <w:color w:val="auto"/>
              </w:rPr>
            </w:pPr>
          </w:p>
        </w:tc>
        <w:tc>
          <w:tcPr>
            <w:tcW w:w="920" w:type="dxa"/>
            <w:vAlign w:val="bottom"/>
            <w:tcBorders>
              <w:right w:val="single" w:sz="8" w:color="FDFDFC"/>
            </w:tcBorders>
            <w:shd w:val="clear" w:color="auto" w:fill="FDFDFC"/>
          </w:tcPr>
          <w:p>
            <w:pPr>
              <w:jc w:val="center"/>
              <w:ind w:right="244"/>
              <w:spacing w:after="0"/>
              <w:rPr>
                <w:sz w:val="20"/>
                <w:szCs w:val="20"/>
                <w:color w:val="auto"/>
              </w:rPr>
            </w:pPr>
            <w:r>
              <w:rPr>
                <w:rFonts w:ascii="Times New Roman" w:cs="Times New Roman" w:eastAsia="Times New Roman" w:hAnsi="Times New Roman"/>
                <w:sz w:val="15"/>
                <w:szCs w:val="15"/>
                <w:b w:val="1"/>
                <w:bCs w:val="1"/>
                <w:color w:val="231F20"/>
                <w:w w:val="99"/>
              </w:rPr>
              <w:t>Market</w:t>
            </w:r>
          </w:p>
        </w:tc>
        <w:tc>
          <w:tcPr>
            <w:tcW w:w="100" w:type="dxa"/>
            <w:vAlign w:val="bottom"/>
            <w:shd w:val="clear" w:color="auto" w:fill="FDFDFC"/>
          </w:tcPr>
          <w:p>
            <w:pPr>
              <w:spacing w:after="0"/>
              <w:rPr>
                <w:sz w:val="15"/>
                <w:szCs w:val="15"/>
                <w:color w:val="auto"/>
              </w:rPr>
            </w:pPr>
          </w:p>
        </w:tc>
        <w:tc>
          <w:tcPr>
            <w:tcW w:w="1020" w:type="dxa"/>
            <w:vAlign w:val="bottom"/>
            <w:tcBorders>
              <w:left w:val="single" w:sz="8" w:color="FDFDFC"/>
              <w:right w:val="single" w:sz="8" w:color="FDFDFC"/>
            </w:tcBorders>
            <w:gridSpan w:val="2"/>
            <w:shd w:val="clear" w:color="auto" w:fill="FDFDFC"/>
          </w:tcPr>
          <w:p>
            <w:pPr>
              <w:jc w:val="center"/>
              <w:spacing w:after="0"/>
              <w:rPr>
                <w:sz w:val="20"/>
                <w:szCs w:val="20"/>
                <w:color w:val="auto"/>
              </w:rPr>
            </w:pPr>
            <w:r>
              <w:rPr>
                <w:rFonts w:ascii="Times New Roman" w:cs="Times New Roman" w:eastAsia="Times New Roman" w:hAnsi="Times New Roman"/>
                <w:sz w:val="15"/>
                <w:szCs w:val="15"/>
                <w:b w:val="1"/>
                <w:bCs w:val="1"/>
                <w:color w:val="231F20"/>
              </w:rPr>
              <w:t>(Payments) /</w:t>
            </w:r>
          </w:p>
        </w:tc>
        <w:tc>
          <w:tcPr>
            <w:tcW w:w="80" w:type="dxa"/>
            <w:vAlign w:val="bottom"/>
            <w:shd w:val="clear" w:color="auto" w:fill="FDFDFC"/>
          </w:tcPr>
          <w:p>
            <w:pPr>
              <w:spacing w:after="0"/>
              <w:rPr>
                <w:sz w:val="15"/>
                <w:szCs w:val="15"/>
                <w:color w:val="auto"/>
              </w:rPr>
            </w:pPr>
          </w:p>
        </w:tc>
        <w:tc>
          <w:tcPr>
            <w:tcW w:w="100" w:type="dxa"/>
            <w:vAlign w:val="bottom"/>
            <w:shd w:val="clear" w:color="auto" w:fill="FDFDFC"/>
          </w:tcPr>
          <w:p>
            <w:pPr>
              <w:spacing w:after="0"/>
              <w:rPr>
                <w:sz w:val="15"/>
                <w:szCs w:val="15"/>
                <w:color w:val="auto"/>
              </w:rPr>
            </w:pPr>
          </w:p>
        </w:tc>
        <w:tc>
          <w:tcPr>
            <w:tcW w:w="120" w:type="dxa"/>
            <w:vAlign w:val="bottom"/>
            <w:tcBorders>
              <w:left w:val="single" w:sz="8" w:color="FDFDFC"/>
            </w:tcBorders>
            <w:shd w:val="clear" w:color="auto" w:fill="FDFDFC"/>
          </w:tcPr>
          <w:p>
            <w:pPr>
              <w:spacing w:after="0"/>
              <w:rPr>
                <w:sz w:val="15"/>
                <w:szCs w:val="15"/>
                <w:color w:val="auto"/>
              </w:rPr>
            </w:pPr>
          </w:p>
        </w:tc>
        <w:tc>
          <w:tcPr>
            <w:tcW w:w="920" w:type="dxa"/>
            <w:vAlign w:val="bottom"/>
            <w:gridSpan w:val="2"/>
            <w:shd w:val="clear" w:color="auto" w:fill="FDFDFC"/>
          </w:tcPr>
          <w:p>
            <w:pPr>
              <w:jc w:val="right"/>
              <w:ind w:right="180"/>
              <w:spacing w:after="0"/>
              <w:rPr>
                <w:sz w:val="20"/>
                <w:szCs w:val="20"/>
                <w:color w:val="auto"/>
              </w:rPr>
            </w:pPr>
            <w:r>
              <w:rPr>
                <w:rFonts w:ascii="Times New Roman" w:cs="Times New Roman" w:eastAsia="Times New Roman" w:hAnsi="Times New Roman"/>
                <w:sz w:val="15"/>
                <w:szCs w:val="15"/>
                <w:b w:val="1"/>
                <w:bCs w:val="1"/>
                <w:color w:val="231F20"/>
              </w:rPr>
              <w:t>Unrealized</w:t>
            </w:r>
          </w:p>
        </w:tc>
        <w:tc>
          <w:tcPr>
            <w:tcW w:w="100" w:type="dxa"/>
            <w:vAlign w:val="bottom"/>
            <w:shd w:val="clear" w:color="auto" w:fill="FDFDFC"/>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1920" w:type="dxa"/>
            <w:vAlign w:val="bottom"/>
            <w:shd w:val="clear" w:color="auto" w:fill="FDFDFC"/>
          </w:tcPr>
          <w:p>
            <w:pPr>
              <w:spacing w:after="0"/>
              <w:rPr>
                <w:sz w:val="16"/>
                <w:szCs w:val="16"/>
                <w:color w:val="auto"/>
              </w:rPr>
            </w:pPr>
          </w:p>
        </w:tc>
        <w:tc>
          <w:tcPr>
            <w:tcW w:w="1080" w:type="dxa"/>
            <w:vAlign w:val="bottom"/>
            <w:shd w:val="clear" w:color="auto" w:fill="FDFDFC"/>
          </w:tcPr>
          <w:p>
            <w:pPr>
              <w:jc w:val="center"/>
              <w:spacing w:after="0"/>
              <w:rPr>
                <w:sz w:val="20"/>
                <w:szCs w:val="20"/>
                <w:color w:val="auto"/>
              </w:rPr>
            </w:pPr>
            <w:r>
              <w:rPr>
                <w:rFonts w:ascii="Times New Roman" w:cs="Times New Roman" w:eastAsia="Times New Roman" w:hAnsi="Times New Roman"/>
                <w:sz w:val="15"/>
                <w:szCs w:val="15"/>
                <w:b w:val="1"/>
                <w:bCs w:val="1"/>
                <w:color w:val="231F20"/>
                <w:w w:val="98"/>
              </w:rPr>
              <w:t>Receives</w:t>
            </w:r>
          </w:p>
        </w:tc>
        <w:tc>
          <w:tcPr>
            <w:tcW w:w="120" w:type="dxa"/>
            <w:vAlign w:val="bottom"/>
            <w:shd w:val="clear" w:color="auto" w:fill="FDFDFC"/>
          </w:tcPr>
          <w:p>
            <w:pPr>
              <w:spacing w:after="0"/>
              <w:rPr>
                <w:sz w:val="16"/>
                <w:szCs w:val="16"/>
                <w:color w:val="auto"/>
              </w:rPr>
            </w:pPr>
          </w:p>
        </w:tc>
        <w:tc>
          <w:tcPr>
            <w:tcW w:w="1080" w:type="dxa"/>
            <w:vAlign w:val="bottom"/>
            <w:shd w:val="clear" w:color="auto" w:fill="FDFDFC"/>
          </w:tcPr>
          <w:p>
            <w:pPr>
              <w:jc w:val="center"/>
              <w:spacing w:after="0"/>
              <w:rPr>
                <w:sz w:val="20"/>
                <w:szCs w:val="20"/>
                <w:color w:val="auto"/>
              </w:rPr>
            </w:pPr>
            <w:r>
              <w:rPr>
                <w:rFonts w:ascii="Times New Roman" w:cs="Times New Roman" w:eastAsia="Times New Roman" w:hAnsi="Times New Roman"/>
                <w:sz w:val="15"/>
                <w:szCs w:val="15"/>
                <w:b w:val="1"/>
                <w:bCs w:val="1"/>
                <w:color w:val="231F20"/>
                <w:w w:val="99"/>
              </w:rPr>
              <w:t>Pays</w:t>
            </w:r>
          </w:p>
        </w:tc>
        <w:tc>
          <w:tcPr>
            <w:tcW w:w="140" w:type="dxa"/>
            <w:vAlign w:val="bottom"/>
            <w:shd w:val="clear" w:color="auto" w:fill="FDFDFC"/>
          </w:tcPr>
          <w:p>
            <w:pPr>
              <w:spacing w:after="0"/>
              <w:rPr>
                <w:sz w:val="16"/>
                <w:szCs w:val="16"/>
                <w:color w:val="auto"/>
              </w:rPr>
            </w:pPr>
          </w:p>
        </w:tc>
        <w:tc>
          <w:tcPr>
            <w:tcW w:w="1320" w:type="dxa"/>
            <w:vAlign w:val="bottom"/>
            <w:gridSpan w:val="3"/>
            <w:vMerge w:val="continue"/>
            <w:shd w:val="clear" w:color="auto" w:fill="FDFDFC"/>
          </w:tcPr>
          <w:p>
            <w:pPr>
              <w:spacing w:after="0"/>
              <w:rPr>
                <w:sz w:val="16"/>
                <w:szCs w:val="16"/>
                <w:color w:val="auto"/>
              </w:rPr>
            </w:pPr>
          </w:p>
        </w:tc>
        <w:tc>
          <w:tcPr>
            <w:tcW w:w="860" w:type="dxa"/>
            <w:vAlign w:val="bottom"/>
            <w:shd w:val="clear" w:color="auto" w:fill="FDFDFC"/>
          </w:tcPr>
          <w:p>
            <w:pPr>
              <w:jc w:val="right"/>
              <w:ind w:right="164"/>
              <w:spacing w:after="0"/>
              <w:rPr>
                <w:sz w:val="20"/>
                <w:szCs w:val="20"/>
                <w:color w:val="auto"/>
              </w:rPr>
            </w:pPr>
            <w:r>
              <w:rPr>
                <w:rFonts w:ascii="Times New Roman" w:cs="Times New Roman" w:eastAsia="Times New Roman" w:hAnsi="Times New Roman"/>
                <w:sz w:val="15"/>
                <w:szCs w:val="15"/>
                <w:b w:val="1"/>
                <w:bCs w:val="1"/>
                <w:color w:val="231F20"/>
              </w:rPr>
              <w:t>Amount</w:t>
            </w:r>
          </w:p>
        </w:tc>
        <w:tc>
          <w:tcPr>
            <w:tcW w:w="100" w:type="dxa"/>
            <w:vAlign w:val="bottom"/>
            <w:shd w:val="clear" w:color="auto" w:fill="FDFDFC"/>
          </w:tcPr>
          <w:p>
            <w:pPr>
              <w:spacing w:after="0"/>
              <w:rPr>
                <w:sz w:val="16"/>
                <w:szCs w:val="16"/>
                <w:color w:val="auto"/>
              </w:rPr>
            </w:pPr>
          </w:p>
        </w:tc>
        <w:tc>
          <w:tcPr>
            <w:tcW w:w="100" w:type="dxa"/>
            <w:vAlign w:val="bottom"/>
            <w:shd w:val="clear" w:color="auto" w:fill="FDFDFC"/>
          </w:tcPr>
          <w:p>
            <w:pPr>
              <w:spacing w:after="0"/>
              <w:rPr>
                <w:sz w:val="16"/>
                <w:szCs w:val="16"/>
                <w:color w:val="auto"/>
              </w:rPr>
            </w:pPr>
          </w:p>
        </w:tc>
        <w:tc>
          <w:tcPr>
            <w:tcW w:w="80" w:type="dxa"/>
            <w:vAlign w:val="bottom"/>
            <w:shd w:val="clear" w:color="auto" w:fill="FDFDFC"/>
          </w:tcPr>
          <w:p>
            <w:pPr>
              <w:spacing w:after="0"/>
              <w:rPr>
                <w:sz w:val="16"/>
                <w:szCs w:val="16"/>
                <w:color w:val="auto"/>
              </w:rPr>
            </w:pPr>
          </w:p>
        </w:tc>
        <w:tc>
          <w:tcPr>
            <w:tcW w:w="120" w:type="dxa"/>
            <w:vAlign w:val="bottom"/>
            <w:shd w:val="clear" w:color="auto" w:fill="FDFDFC"/>
          </w:tcPr>
          <w:p>
            <w:pPr>
              <w:spacing w:after="0"/>
              <w:rPr>
                <w:sz w:val="16"/>
                <w:szCs w:val="16"/>
                <w:color w:val="auto"/>
              </w:rPr>
            </w:pPr>
          </w:p>
        </w:tc>
        <w:tc>
          <w:tcPr>
            <w:tcW w:w="920" w:type="dxa"/>
            <w:vAlign w:val="bottom"/>
            <w:tcBorders>
              <w:right w:val="single" w:sz="8" w:color="FDFDFC"/>
            </w:tcBorders>
            <w:shd w:val="clear" w:color="auto" w:fill="FDFDFC"/>
          </w:tcPr>
          <w:p>
            <w:pPr>
              <w:jc w:val="center"/>
              <w:ind w:right="224"/>
              <w:spacing w:after="0"/>
              <w:rPr>
                <w:sz w:val="20"/>
                <w:szCs w:val="20"/>
                <w:color w:val="auto"/>
              </w:rPr>
            </w:pPr>
            <w:r>
              <w:rPr>
                <w:rFonts w:ascii="Times New Roman" w:cs="Times New Roman" w:eastAsia="Times New Roman" w:hAnsi="Times New Roman"/>
                <w:sz w:val="15"/>
                <w:szCs w:val="15"/>
                <w:b w:val="1"/>
                <w:bCs w:val="1"/>
                <w:color w:val="231F20"/>
              </w:rPr>
              <w:t>Value</w:t>
            </w:r>
          </w:p>
        </w:tc>
        <w:tc>
          <w:tcPr>
            <w:tcW w:w="100" w:type="dxa"/>
            <w:vAlign w:val="bottom"/>
            <w:shd w:val="clear" w:color="auto" w:fill="FDFDFC"/>
          </w:tcPr>
          <w:p>
            <w:pPr>
              <w:spacing w:after="0"/>
              <w:rPr>
                <w:sz w:val="16"/>
                <w:szCs w:val="16"/>
                <w:color w:val="auto"/>
              </w:rPr>
            </w:pPr>
          </w:p>
        </w:tc>
        <w:tc>
          <w:tcPr>
            <w:tcW w:w="160" w:type="dxa"/>
            <w:vAlign w:val="bottom"/>
            <w:tcBorders>
              <w:left w:val="single" w:sz="8" w:color="FDFDFC"/>
            </w:tcBorders>
            <w:shd w:val="clear" w:color="auto" w:fill="FDFDFC"/>
          </w:tcPr>
          <w:p>
            <w:pPr>
              <w:spacing w:after="0"/>
              <w:rPr>
                <w:sz w:val="16"/>
                <w:szCs w:val="16"/>
                <w:color w:val="auto"/>
              </w:rPr>
            </w:pPr>
          </w:p>
        </w:tc>
        <w:tc>
          <w:tcPr>
            <w:tcW w:w="860" w:type="dxa"/>
            <w:vAlign w:val="bottom"/>
            <w:tcBorders>
              <w:right w:val="single" w:sz="8" w:color="FDFDFC"/>
            </w:tcBorders>
            <w:shd w:val="clear" w:color="auto" w:fill="FDFDFC"/>
          </w:tcPr>
          <w:p>
            <w:pPr>
              <w:jc w:val="center"/>
              <w:ind w:right="124"/>
              <w:spacing w:after="0"/>
              <w:rPr>
                <w:sz w:val="20"/>
                <w:szCs w:val="20"/>
                <w:color w:val="auto"/>
              </w:rPr>
            </w:pPr>
            <w:r>
              <w:rPr>
                <w:rFonts w:ascii="Times New Roman" w:cs="Times New Roman" w:eastAsia="Times New Roman" w:hAnsi="Times New Roman"/>
                <w:sz w:val="15"/>
                <w:szCs w:val="15"/>
                <w:b w:val="1"/>
                <w:bCs w:val="1"/>
                <w:color w:val="231F20"/>
                <w:w w:val="99"/>
              </w:rPr>
              <w:t>Receipts</w:t>
            </w:r>
          </w:p>
        </w:tc>
        <w:tc>
          <w:tcPr>
            <w:tcW w:w="80" w:type="dxa"/>
            <w:vAlign w:val="bottom"/>
            <w:shd w:val="clear" w:color="auto" w:fill="FDFDFC"/>
          </w:tcPr>
          <w:p>
            <w:pPr>
              <w:spacing w:after="0"/>
              <w:rPr>
                <w:sz w:val="16"/>
                <w:szCs w:val="16"/>
                <w:color w:val="auto"/>
              </w:rPr>
            </w:pPr>
          </w:p>
        </w:tc>
        <w:tc>
          <w:tcPr>
            <w:tcW w:w="100" w:type="dxa"/>
            <w:vAlign w:val="bottom"/>
            <w:shd w:val="clear" w:color="auto" w:fill="FDFDFC"/>
          </w:tcPr>
          <w:p>
            <w:pPr>
              <w:spacing w:after="0"/>
              <w:rPr>
                <w:sz w:val="16"/>
                <w:szCs w:val="16"/>
                <w:color w:val="auto"/>
              </w:rPr>
            </w:pPr>
          </w:p>
        </w:tc>
        <w:tc>
          <w:tcPr>
            <w:tcW w:w="1040" w:type="dxa"/>
            <w:vAlign w:val="bottom"/>
            <w:tcBorders>
              <w:left w:val="single" w:sz="8" w:color="FDFDFC"/>
            </w:tcBorders>
            <w:gridSpan w:val="3"/>
            <w:shd w:val="clear" w:color="auto" w:fill="FDFDFC"/>
          </w:tcPr>
          <w:p>
            <w:pPr>
              <w:spacing w:after="0"/>
              <w:rPr>
                <w:sz w:val="20"/>
                <w:szCs w:val="20"/>
                <w:color w:val="auto"/>
              </w:rPr>
            </w:pPr>
            <w:r>
              <w:rPr>
                <w:rFonts w:ascii="Times New Roman" w:cs="Times New Roman" w:eastAsia="Times New Roman" w:hAnsi="Times New Roman"/>
                <w:sz w:val="15"/>
                <w:szCs w:val="15"/>
                <w:b w:val="1"/>
                <w:bCs w:val="1"/>
                <w:color w:val="231F20"/>
              </w:rPr>
              <w:t>Gains / (Losses)</w:t>
            </w:r>
          </w:p>
        </w:tc>
        <w:tc>
          <w:tcPr>
            <w:tcW w:w="100" w:type="dxa"/>
            <w:vAlign w:val="bottom"/>
            <w:shd w:val="clear" w:color="auto" w:fill="FDFDFC"/>
          </w:tcPr>
          <w:p>
            <w:pPr>
              <w:spacing w:after="0"/>
              <w:rPr>
                <w:sz w:val="16"/>
                <w:szCs w:val="16"/>
                <w:color w:val="auto"/>
              </w:rPr>
            </w:pPr>
          </w:p>
        </w:tc>
        <w:tc>
          <w:tcPr>
            <w:tcW w:w="0" w:type="dxa"/>
            <w:vAlign w:val="bottom"/>
          </w:tcPr>
          <w:p>
            <w:pPr>
              <w:spacing w:after="0"/>
              <w:rPr>
                <w:sz w:val="1"/>
                <w:szCs w:val="1"/>
                <w:color w:val="auto"/>
              </w:rPr>
            </w:pPr>
          </w:p>
        </w:tc>
      </w:tr>
      <w:tr>
        <w:trPr>
          <w:trHeight w:val="163"/>
        </w:trPr>
        <w:tc>
          <w:tcPr>
            <w:tcW w:w="1920" w:type="dxa"/>
            <w:vAlign w:val="bottom"/>
            <w:tcBorders>
              <w:top w:val="single" w:sz="8" w:color="D0EBF2"/>
            </w:tcBorders>
            <w:shd w:val="clear" w:color="auto" w:fill="D0EBF2"/>
          </w:tcPr>
          <w:p>
            <w:pPr>
              <w:spacing w:after="0" w:line="164" w:lineRule="exact"/>
              <w:rPr>
                <w:sz w:val="20"/>
                <w:szCs w:val="20"/>
                <w:color w:val="auto"/>
              </w:rPr>
            </w:pPr>
            <w:r>
              <w:rPr>
                <w:rFonts w:ascii="Times New Roman" w:cs="Times New Roman" w:eastAsia="Times New Roman" w:hAnsi="Times New Roman"/>
                <w:sz w:val="15"/>
                <w:szCs w:val="15"/>
                <w:color w:val="231F20"/>
              </w:rPr>
              <w:t xml:space="preserve">Interest rate swap </w:t>
            </w:r>
            <w:r>
              <w:rPr>
                <w:rFonts w:ascii="Times New Roman" w:cs="Times New Roman" w:eastAsia="Times New Roman" w:hAnsi="Times New Roman"/>
                <w:sz w:val="9"/>
                <w:szCs w:val="9"/>
                <w:color w:val="231F20"/>
              </w:rPr>
              <w:t>(a)</w:t>
            </w:r>
          </w:p>
        </w:tc>
        <w:tc>
          <w:tcPr>
            <w:tcW w:w="1080" w:type="dxa"/>
            <w:vAlign w:val="bottom"/>
            <w:tcBorders>
              <w:top w:val="single" w:sz="8" w:color="231F20"/>
            </w:tcBorders>
            <w:shd w:val="clear" w:color="auto" w:fill="D0EBF2"/>
          </w:tcPr>
          <w:p>
            <w:pPr>
              <w:jc w:val="center"/>
              <w:spacing w:after="0" w:line="164" w:lineRule="exact"/>
              <w:rPr>
                <w:sz w:val="20"/>
                <w:szCs w:val="20"/>
                <w:color w:val="auto"/>
              </w:rPr>
            </w:pPr>
            <w:r>
              <w:rPr>
                <w:rFonts w:ascii="Times New Roman" w:cs="Times New Roman" w:eastAsia="Times New Roman" w:hAnsi="Times New Roman"/>
                <w:sz w:val="15"/>
                <w:szCs w:val="15"/>
                <w:color w:val="231F20"/>
              </w:rPr>
              <w:t>SOFR + 2.54%</w:t>
            </w:r>
          </w:p>
        </w:tc>
        <w:tc>
          <w:tcPr>
            <w:tcW w:w="120" w:type="dxa"/>
            <w:vAlign w:val="bottom"/>
            <w:tcBorders>
              <w:top w:val="single" w:sz="8" w:color="D0EBF2"/>
            </w:tcBorders>
            <w:shd w:val="clear" w:color="auto" w:fill="D0EBF2"/>
          </w:tcPr>
          <w:p>
            <w:pPr>
              <w:spacing w:after="0"/>
              <w:rPr>
                <w:sz w:val="14"/>
                <w:szCs w:val="14"/>
                <w:color w:val="auto"/>
              </w:rPr>
            </w:pPr>
          </w:p>
        </w:tc>
        <w:tc>
          <w:tcPr>
            <w:tcW w:w="1080" w:type="dxa"/>
            <w:vAlign w:val="bottom"/>
            <w:tcBorders>
              <w:top w:val="single" w:sz="8" w:color="231F20"/>
            </w:tcBorders>
            <w:shd w:val="clear" w:color="auto" w:fill="D0EBF2"/>
          </w:tcPr>
          <w:p>
            <w:pPr>
              <w:jc w:val="center"/>
              <w:spacing w:after="0" w:line="164" w:lineRule="exact"/>
              <w:rPr>
                <w:sz w:val="20"/>
                <w:szCs w:val="20"/>
                <w:color w:val="auto"/>
              </w:rPr>
            </w:pPr>
            <w:r>
              <w:rPr>
                <w:rFonts w:ascii="Times New Roman" w:cs="Times New Roman" w:eastAsia="Times New Roman" w:hAnsi="Times New Roman"/>
                <w:sz w:val="15"/>
                <w:szCs w:val="15"/>
                <w:color w:val="231F20"/>
              </w:rPr>
              <w:t>3.875%</w:t>
            </w:r>
          </w:p>
        </w:tc>
        <w:tc>
          <w:tcPr>
            <w:tcW w:w="140" w:type="dxa"/>
            <w:vAlign w:val="bottom"/>
            <w:tcBorders>
              <w:top w:val="single" w:sz="8" w:color="D0EBF2"/>
            </w:tcBorders>
            <w:shd w:val="clear" w:color="auto" w:fill="D0EBF2"/>
          </w:tcPr>
          <w:p>
            <w:pPr>
              <w:spacing w:after="0"/>
              <w:rPr>
                <w:sz w:val="14"/>
                <w:szCs w:val="14"/>
                <w:color w:val="auto"/>
              </w:rPr>
            </w:pPr>
          </w:p>
        </w:tc>
        <w:tc>
          <w:tcPr>
            <w:tcW w:w="1080" w:type="dxa"/>
            <w:vAlign w:val="bottom"/>
            <w:tcBorders>
              <w:top w:val="single" w:sz="8" w:color="231F20"/>
            </w:tcBorders>
            <w:shd w:val="clear" w:color="auto" w:fill="D0EBF2"/>
          </w:tcPr>
          <w:p>
            <w:pPr>
              <w:jc w:val="right"/>
              <w:spacing w:after="0" w:line="164" w:lineRule="exact"/>
              <w:rPr>
                <w:sz w:val="20"/>
                <w:szCs w:val="20"/>
                <w:color w:val="auto"/>
              </w:rPr>
            </w:pPr>
            <w:r>
              <w:rPr>
                <w:rFonts w:ascii="Times New Roman" w:cs="Times New Roman" w:eastAsia="Times New Roman" w:hAnsi="Times New Roman"/>
                <w:sz w:val="15"/>
                <w:szCs w:val="15"/>
                <w:color w:val="231F20"/>
              </w:rPr>
              <w:t>11/1/2024</w:t>
            </w:r>
          </w:p>
        </w:tc>
        <w:tc>
          <w:tcPr>
            <w:tcW w:w="100" w:type="dxa"/>
            <w:vAlign w:val="bottom"/>
            <w:tcBorders>
              <w:top w:val="single" w:sz="8" w:color="D0EBF2"/>
            </w:tcBorders>
            <w:shd w:val="clear" w:color="auto" w:fill="D0EBF2"/>
          </w:tcPr>
          <w:p>
            <w:pPr>
              <w:spacing w:after="0"/>
              <w:rPr>
                <w:sz w:val="14"/>
                <w:szCs w:val="14"/>
                <w:color w:val="auto"/>
              </w:rPr>
            </w:pPr>
          </w:p>
        </w:tc>
        <w:tc>
          <w:tcPr>
            <w:tcW w:w="140" w:type="dxa"/>
            <w:vAlign w:val="bottom"/>
            <w:tcBorders>
              <w:top w:val="single" w:sz="8" w:color="231F20"/>
            </w:tcBorders>
            <w:shd w:val="clear" w:color="auto" w:fill="D0EBF2"/>
          </w:tcPr>
          <w:p>
            <w:pPr>
              <w:jc w:val="right"/>
              <w:spacing w:after="0" w:line="164" w:lineRule="exact"/>
              <w:rPr>
                <w:sz w:val="20"/>
                <w:szCs w:val="20"/>
                <w:color w:val="auto"/>
              </w:rPr>
            </w:pPr>
            <w:r>
              <w:rPr>
                <w:rFonts w:ascii="Times New Roman" w:cs="Times New Roman" w:eastAsia="Times New Roman" w:hAnsi="Times New Roman"/>
                <w:sz w:val="15"/>
                <w:szCs w:val="15"/>
                <w:color w:val="231F20"/>
                <w:w w:val="79"/>
              </w:rPr>
              <w:t>$</w:t>
            </w:r>
          </w:p>
        </w:tc>
        <w:tc>
          <w:tcPr>
            <w:tcW w:w="860" w:type="dxa"/>
            <w:vAlign w:val="bottom"/>
            <w:tcBorders>
              <w:top w:val="single" w:sz="8" w:color="231F20"/>
            </w:tcBorders>
            <w:shd w:val="clear" w:color="auto" w:fill="D0EBF2"/>
          </w:tcPr>
          <w:p>
            <w:pPr>
              <w:jc w:val="right"/>
              <w:spacing w:after="0" w:line="164" w:lineRule="exact"/>
              <w:rPr>
                <w:sz w:val="20"/>
                <w:szCs w:val="20"/>
                <w:color w:val="auto"/>
              </w:rPr>
            </w:pPr>
            <w:r>
              <w:rPr>
                <w:rFonts w:ascii="Times New Roman" w:cs="Times New Roman" w:eastAsia="Times New Roman" w:hAnsi="Times New Roman"/>
                <w:sz w:val="15"/>
                <w:szCs w:val="15"/>
                <w:color w:val="231F20"/>
              </w:rPr>
              <w:t>2,500</w:t>
            </w:r>
          </w:p>
        </w:tc>
        <w:tc>
          <w:tcPr>
            <w:tcW w:w="100" w:type="dxa"/>
            <w:vAlign w:val="bottom"/>
            <w:tcBorders>
              <w:top w:val="single" w:sz="8" w:color="D0EBF2"/>
            </w:tcBorders>
            <w:shd w:val="clear" w:color="auto" w:fill="D0EBF2"/>
          </w:tcPr>
          <w:p>
            <w:pPr>
              <w:spacing w:after="0"/>
              <w:rPr>
                <w:sz w:val="14"/>
                <w:szCs w:val="14"/>
                <w:color w:val="auto"/>
              </w:rPr>
            </w:pPr>
          </w:p>
        </w:tc>
        <w:tc>
          <w:tcPr>
            <w:tcW w:w="100" w:type="dxa"/>
            <w:vAlign w:val="bottom"/>
            <w:tcBorders>
              <w:top w:val="single" w:sz="8" w:color="D0EBF2"/>
            </w:tcBorders>
            <w:shd w:val="clear" w:color="auto" w:fill="D0EBF2"/>
          </w:tcPr>
          <w:p>
            <w:pPr>
              <w:spacing w:after="0"/>
              <w:rPr>
                <w:sz w:val="14"/>
                <w:szCs w:val="14"/>
                <w:color w:val="auto"/>
              </w:rPr>
            </w:pPr>
          </w:p>
        </w:tc>
        <w:tc>
          <w:tcPr>
            <w:tcW w:w="200" w:type="dxa"/>
            <w:vAlign w:val="bottom"/>
            <w:tcBorders>
              <w:top w:val="single" w:sz="8" w:color="231F20"/>
            </w:tcBorders>
            <w:gridSpan w:val="2"/>
            <w:shd w:val="clear" w:color="auto" w:fill="D0EBF2"/>
          </w:tcPr>
          <w:p>
            <w:pPr>
              <w:jc w:val="right"/>
              <w:ind w:right="44"/>
              <w:spacing w:after="0" w:line="164" w:lineRule="exact"/>
              <w:rPr>
                <w:sz w:val="20"/>
                <w:szCs w:val="20"/>
                <w:color w:val="auto"/>
              </w:rPr>
            </w:pPr>
            <w:r>
              <w:rPr>
                <w:rFonts w:ascii="Times New Roman" w:cs="Times New Roman" w:eastAsia="Times New Roman" w:hAnsi="Times New Roman"/>
                <w:sz w:val="15"/>
                <w:szCs w:val="15"/>
                <w:color w:val="231F20"/>
                <w:w w:val="79"/>
              </w:rPr>
              <w:t>$</w:t>
            </w:r>
          </w:p>
        </w:tc>
        <w:tc>
          <w:tcPr>
            <w:tcW w:w="920" w:type="dxa"/>
            <w:vAlign w:val="bottom"/>
            <w:tcBorders>
              <w:top w:val="single" w:sz="8" w:color="231F20"/>
              <w:right w:val="single" w:sz="8" w:color="D0EBF2"/>
            </w:tcBorders>
            <w:shd w:val="clear" w:color="auto" w:fill="D0EBF2"/>
          </w:tcPr>
          <w:p>
            <w:pPr>
              <w:jc w:val="right"/>
              <w:ind w:right="44"/>
              <w:spacing w:after="0" w:line="164" w:lineRule="exact"/>
              <w:rPr>
                <w:sz w:val="20"/>
                <w:szCs w:val="20"/>
                <w:color w:val="auto"/>
              </w:rPr>
            </w:pPr>
            <w:r>
              <w:rPr>
                <w:rFonts w:ascii="Times New Roman" w:cs="Times New Roman" w:eastAsia="Times New Roman" w:hAnsi="Times New Roman"/>
                <w:sz w:val="15"/>
                <w:szCs w:val="15"/>
                <w:color w:val="231F20"/>
              </w:rPr>
              <w:t>—</w:t>
            </w:r>
          </w:p>
        </w:tc>
        <w:tc>
          <w:tcPr>
            <w:tcW w:w="100" w:type="dxa"/>
            <w:vAlign w:val="bottom"/>
            <w:tcBorders>
              <w:top w:val="single" w:sz="8" w:color="D0EBF2"/>
            </w:tcBorders>
            <w:shd w:val="clear" w:color="auto" w:fill="D0EBF2"/>
          </w:tcPr>
          <w:p>
            <w:pPr>
              <w:spacing w:after="0"/>
              <w:rPr>
                <w:sz w:val="14"/>
                <w:szCs w:val="14"/>
                <w:color w:val="auto"/>
              </w:rPr>
            </w:pPr>
          </w:p>
        </w:tc>
        <w:tc>
          <w:tcPr>
            <w:tcW w:w="160" w:type="dxa"/>
            <w:vAlign w:val="bottom"/>
            <w:tcBorders>
              <w:top w:val="single" w:sz="8" w:color="231F20"/>
              <w:left w:val="single" w:sz="8" w:color="D0EBF2"/>
            </w:tcBorders>
            <w:shd w:val="clear" w:color="auto" w:fill="D0EBF2"/>
          </w:tcPr>
          <w:p>
            <w:pPr>
              <w:jc w:val="right"/>
              <w:ind w:right="4"/>
              <w:spacing w:after="0" w:line="164" w:lineRule="exact"/>
              <w:rPr>
                <w:sz w:val="20"/>
                <w:szCs w:val="20"/>
                <w:color w:val="auto"/>
              </w:rPr>
            </w:pPr>
            <w:r>
              <w:rPr>
                <w:rFonts w:ascii="Times New Roman" w:cs="Times New Roman" w:eastAsia="Times New Roman" w:hAnsi="Times New Roman"/>
                <w:sz w:val="15"/>
                <w:szCs w:val="15"/>
                <w:color w:val="231F20"/>
                <w:w w:val="79"/>
              </w:rPr>
              <w:t>$</w:t>
            </w:r>
          </w:p>
        </w:tc>
        <w:tc>
          <w:tcPr>
            <w:tcW w:w="860" w:type="dxa"/>
            <w:vAlign w:val="bottom"/>
            <w:tcBorders>
              <w:top w:val="single" w:sz="8" w:color="231F20"/>
              <w:right w:val="single" w:sz="8" w:color="D0EBF2"/>
            </w:tcBorders>
            <w:shd w:val="clear" w:color="auto" w:fill="D0EBF2"/>
          </w:tcPr>
          <w:p>
            <w:pPr>
              <w:jc w:val="right"/>
              <w:spacing w:after="0" w:line="164" w:lineRule="exact"/>
              <w:rPr>
                <w:sz w:val="20"/>
                <w:szCs w:val="20"/>
                <w:color w:val="auto"/>
              </w:rPr>
            </w:pPr>
            <w:r>
              <w:rPr>
                <w:rFonts w:ascii="Times New Roman" w:cs="Times New Roman" w:eastAsia="Times New Roman" w:hAnsi="Times New Roman"/>
                <w:sz w:val="15"/>
                <w:szCs w:val="15"/>
                <w:color w:val="231F20"/>
              </w:rPr>
              <w:t>—</w:t>
            </w:r>
          </w:p>
        </w:tc>
        <w:tc>
          <w:tcPr>
            <w:tcW w:w="80" w:type="dxa"/>
            <w:vAlign w:val="bottom"/>
            <w:tcBorders>
              <w:top w:val="single" w:sz="8" w:color="D0EBF2"/>
            </w:tcBorders>
            <w:shd w:val="clear" w:color="auto" w:fill="D0EBF2"/>
          </w:tcPr>
          <w:p>
            <w:pPr>
              <w:spacing w:after="0"/>
              <w:rPr>
                <w:sz w:val="14"/>
                <w:szCs w:val="14"/>
                <w:color w:val="auto"/>
              </w:rPr>
            </w:pPr>
          </w:p>
        </w:tc>
        <w:tc>
          <w:tcPr>
            <w:tcW w:w="100" w:type="dxa"/>
            <w:vAlign w:val="bottom"/>
            <w:tcBorders>
              <w:top w:val="single" w:sz="8" w:color="D0EBF2"/>
            </w:tcBorders>
            <w:shd w:val="clear" w:color="auto" w:fill="D0EBF2"/>
          </w:tcPr>
          <w:p>
            <w:pPr>
              <w:spacing w:after="0"/>
              <w:rPr>
                <w:sz w:val="14"/>
                <w:szCs w:val="14"/>
                <w:color w:val="auto"/>
              </w:rPr>
            </w:pPr>
          </w:p>
        </w:tc>
        <w:tc>
          <w:tcPr>
            <w:tcW w:w="120" w:type="dxa"/>
            <w:vAlign w:val="bottom"/>
            <w:tcBorders>
              <w:top w:val="single" w:sz="8" w:color="231F20"/>
              <w:left w:val="single" w:sz="8" w:color="D0EBF2"/>
            </w:tcBorders>
            <w:shd w:val="clear" w:color="auto" w:fill="D0EBF2"/>
          </w:tcPr>
          <w:p>
            <w:pPr>
              <w:spacing w:after="0" w:line="164" w:lineRule="exact"/>
              <w:rPr>
                <w:sz w:val="20"/>
                <w:szCs w:val="20"/>
                <w:color w:val="auto"/>
              </w:rPr>
            </w:pPr>
            <w:r>
              <w:rPr>
                <w:rFonts w:ascii="Times New Roman" w:cs="Times New Roman" w:eastAsia="Times New Roman" w:hAnsi="Times New Roman"/>
                <w:sz w:val="15"/>
                <w:szCs w:val="15"/>
                <w:color w:val="231F20"/>
              </w:rPr>
              <w:t>$</w:t>
            </w:r>
          </w:p>
        </w:tc>
        <w:tc>
          <w:tcPr>
            <w:tcW w:w="920" w:type="dxa"/>
            <w:vAlign w:val="bottom"/>
            <w:tcBorders>
              <w:top w:val="single" w:sz="8" w:color="231F20"/>
            </w:tcBorders>
            <w:gridSpan w:val="2"/>
            <w:shd w:val="clear" w:color="auto" w:fill="D0EBF2"/>
          </w:tcPr>
          <w:p>
            <w:pPr>
              <w:jc w:val="right"/>
              <w:ind w:right="20"/>
              <w:spacing w:after="0" w:line="164" w:lineRule="exact"/>
              <w:rPr>
                <w:sz w:val="20"/>
                <w:szCs w:val="20"/>
                <w:color w:val="auto"/>
              </w:rPr>
            </w:pPr>
            <w:r>
              <w:rPr>
                <w:rFonts w:ascii="Times New Roman" w:cs="Times New Roman" w:eastAsia="Times New Roman" w:hAnsi="Times New Roman"/>
                <w:sz w:val="15"/>
                <w:szCs w:val="15"/>
                <w:color w:val="231F20"/>
              </w:rPr>
              <w:t>—</w:t>
            </w:r>
          </w:p>
        </w:tc>
        <w:tc>
          <w:tcPr>
            <w:tcW w:w="100" w:type="dxa"/>
            <w:vAlign w:val="bottom"/>
            <w:tcBorders>
              <w:top w:val="single" w:sz="8" w:color="D0EBF2"/>
            </w:tcBorders>
            <w:shd w:val="clear" w:color="auto" w:fill="D0EBF2"/>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1920" w:type="dxa"/>
            <w:vAlign w:val="bottom"/>
            <w:shd w:val="clear" w:color="auto" w:fill="FDFDFC"/>
          </w:tcPr>
          <w:p>
            <w:pPr>
              <w:spacing w:after="0"/>
              <w:rPr>
                <w:sz w:val="20"/>
                <w:szCs w:val="20"/>
                <w:color w:val="auto"/>
              </w:rPr>
            </w:pPr>
            <w:r>
              <w:rPr>
                <w:rFonts w:ascii="Times New Roman" w:cs="Times New Roman" w:eastAsia="Times New Roman" w:hAnsi="Times New Roman"/>
                <w:sz w:val="15"/>
                <w:szCs w:val="15"/>
                <w:color w:val="231F20"/>
              </w:rPr>
              <w:t xml:space="preserve">Interest rate swap </w:t>
            </w:r>
            <w:r>
              <w:rPr>
                <w:rFonts w:ascii="Times New Roman" w:cs="Times New Roman" w:eastAsia="Times New Roman" w:hAnsi="Times New Roman"/>
                <w:sz w:val="9"/>
                <w:szCs w:val="9"/>
                <w:color w:val="231F20"/>
              </w:rPr>
              <w:t>(a)(b)(c)(d)</w:t>
            </w:r>
          </w:p>
        </w:tc>
        <w:tc>
          <w:tcPr>
            <w:tcW w:w="1080" w:type="dxa"/>
            <w:vAlign w:val="bottom"/>
            <w:shd w:val="clear" w:color="auto" w:fill="FDFDFC"/>
          </w:tcPr>
          <w:p>
            <w:pPr>
              <w:jc w:val="center"/>
              <w:spacing w:after="0"/>
              <w:rPr>
                <w:sz w:val="20"/>
                <w:szCs w:val="20"/>
                <w:color w:val="auto"/>
              </w:rPr>
            </w:pPr>
            <w:r>
              <w:rPr>
                <w:rFonts w:ascii="Times New Roman" w:cs="Times New Roman" w:eastAsia="Times New Roman" w:hAnsi="Times New Roman"/>
                <w:sz w:val="15"/>
                <w:szCs w:val="15"/>
                <w:color w:val="231F20"/>
                <w:w w:val="99"/>
              </w:rPr>
              <w:t>3.875%</w:t>
            </w:r>
          </w:p>
        </w:tc>
        <w:tc>
          <w:tcPr>
            <w:tcW w:w="120" w:type="dxa"/>
            <w:vAlign w:val="bottom"/>
            <w:shd w:val="clear" w:color="auto" w:fill="FDFDFC"/>
          </w:tcPr>
          <w:p>
            <w:pPr>
              <w:spacing w:after="0"/>
              <w:rPr>
                <w:sz w:val="15"/>
                <w:szCs w:val="15"/>
                <w:color w:val="auto"/>
              </w:rPr>
            </w:pPr>
          </w:p>
        </w:tc>
        <w:tc>
          <w:tcPr>
            <w:tcW w:w="1080" w:type="dxa"/>
            <w:vAlign w:val="bottom"/>
            <w:shd w:val="clear" w:color="auto" w:fill="FDFDFC"/>
          </w:tcPr>
          <w:p>
            <w:pPr>
              <w:jc w:val="center"/>
              <w:spacing w:after="0"/>
              <w:rPr>
                <w:sz w:val="20"/>
                <w:szCs w:val="20"/>
                <w:color w:val="auto"/>
              </w:rPr>
            </w:pPr>
            <w:r>
              <w:rPr>
                <w:rFonts w:ascii="Times New Roman" w:cs="Times New Roman" w:eastAsia="Times New Roman" w:hAnsi="Times New Roman"/>
                <w:sz w:val="15"/>
                <w:szCs w:val="15"/>
                <w:color w:val="231F20"/>
                <w:w w:val="99"/>
              </w:rPr>
              <w:t>SOFR + 2.51%</w:t>
            </w:r>
          </w:p>
        </w:tc>
        <w:tc>
          <w:tcPr>
            <w:tcW w:w="140" w:type="dxa"/>
            <w:vAlign w:val="bottom"/>
            <w:shd w:val="clear" w:color="auto" w:fill="FDFDFC"/>
          </w:tcPr>
          <w:p>
            <w:pPr>
              <w:spacing w:after="0"/>
              <w:rPr>
                <w:sz w:val="15"/>
                <w:szCs w:val="15"/>
                <w:color w:val="auto"/>
              </w:rPr>
            </w:pPr>
          </w:p>
        </w:tc>
        <w:tc>
          <w:tcPr>
            <w:tcW w:w="1080" w:type="dxa"/>
            <w:vAlign w:val="bottom"/>
            <w:shd w:val="clear" w:color="auto" w:fill="FDFDFC"/>
          </w:tcPr>
          <w:p>
            <w:pPr>
              <w:jc w:val="right"/>
              <w:spacing w:after="0"/>
              <w:rPr>
                <w:sz w:val="20"/>
                <w:szCs w:val="20"/>
                <w:color w:val="auto"/>
              </w:rPr>
            </w:pPr>
            <w:r>
              <w:rPr>
                <w:rFonts w:ascii="Times New Roman" w:cs="Times New Roman" w:eastAsia="Times New Roman" w:hAnsi="Times New Roman"/>
                <w:sz w:val="15"/>
                <w:szCs w:val="15"/>
                <w:color w:val="231F20"/>
              </w:rPr>
              <w:t>11/1/2024</w:t>
            </w:r>
          </w:p>
        </w:tc>
        <w:tc>
          <w:tcPr>
            <w:tcW w:w="100" w:type="dxa"/>
            <w:vAlign w:val="bottom"/>
            <w:shd w:val="clear" w:color="auto" w:fill="FDFDFC"/>
          </w:tcPr>
          <w:p>
            <w:pPr>
              <w:spacing w:after="0"/>
              <w:rPr>
                <w:sz w:val="15"/>
                <w:szCs w:val="15"/>
                <w:color w:val="auto"/>
              </w:rPr>
            </w:pPr>
          </w:p>
        </w:tc>
        <w:tc>
          <w:tcPr>
            <w:tcW w:w="140" w:type="dxa"/>
            <w:vAlign w:val="bottom"/>
            <w:shd w:val="clear" w:color="auto" w:fill="FDFDFC"/>
          </w:tcPr>
          <w:p>
            <w:pPr>
              <w:spacing w:after="0"/>
              <w:rPr>
                <w:sz w:val="15"/>
                <w:szCs w:val="15"/>
                <w:color w:val="auto"/>
              </w:rPr>
            </w:pPr>
          </w:p>
        </w:tc>
        <w:tc>
          <w:tcPr>
            <w:tcW w:w="860" w:type="dxa"/>
            <w:vAlign w:val="bottom"/>
            <w:shd w:val="clear" w:color="auto" w:fill="FDFDFC"/>
          </w:tcPr>
          <w:p>
            <w:pPr>
              <w:jc w:val="right"/>
              <w:spacing w:after="0"/>
              <w:rPr>
                <w:sz w:val="20"/>
                <w:szCs w:val="20"/>
                <w:color w:val="auto"/>
              </w:rPr>
            </w:pPr>
            <w:r>
              <w:rPr>
                <w:rFonts w:ascii="Times New Roman" w:cs="Times New Roman" w:eastAsia="Times New Roman" w:hAnsi="Times New Roman"/>
                <w:sz w:val="15"/>
                <w:szCs w:val="15"/>
                <w:color w:val="231F20"/>
              </w:rPr>
              <w:t>300,000</w:t>
            </w:r>
          </w:p>
        </w:tc>
        <w:tc>
          <w:tcPr>
            <w:tcW w:w="100" w:type="dxa"/>
            <w:vAlign w:val="bottom"/>
            <w:shd w:val="clear" w:color="auto" w:fill="FDFDFC"/>
          </w:tcPr>
          <w:p>
            <w:pPr>
              <w:spacing w:after="0"/>
              <w:rPr>
                <w:sz w:val="15"/>
                <w:szCs w:val="15"/>
                <w:color w:val="auto"/>
              </w:rPr>
            </w:pPr>
          </w:p>
        </w:tc>
        <w:tc>
          <w:tcPr>
            <w:tcW w:w="100" w:type="dxa"/>
            <w:vAlign w:val="bottom"/>
            <w:shd w:val="clear" w:color="auto" w:fill="FDFDFC"/>
          </w:tcPr>
          <w:p>
            <w:pPr>
              <w:spacing w:after="0"/>
              <w:rPr>
                <w:sz w:val="15"/>
                <w:szCs w:val="15"/>
                <w:color w:val="auto"/>
              </w:rPr>
            </w:pPr>
          </w:p>
        </w:tc>
        <w:tc>
          <w:tcPr>
            <w:tcW w:w="80" w:type="dxa"/>
            <w:vAlign w:val="bottom"/>
            <w:shd w:val="clear" w:color="auto" w:fill="FDFDFC"/>
          </w:tcPr>
          <w:p>
            <w:pPr>
              <w:spacing w:after="0"/>
              <w:rPr>
                <w:sz w:val="15"/>
                <w:szCs w:val="15"/>
                <w:color w:val="auto"/>
              </w:rPr>
            </w:pPr>
          </w:p>
        </w:tc>
        <w:tc>
          <w:tcPr>
            <w:tcW w:w="120" w:type="dxa"/>
            <w:vAlign w:val="bottom"/>
            <w:shd w:val="clear" w:color="auto" w:fill="FDFDFC"/>
          </w:tcPr>
          <w:p>
            <w:pPr>
              <w:spacing w:after="0"/>
              <w:rPr>
                <w:sz w:val="15"/>
                <w:szCs w:val="15"/>
                <w:color w:val="auto"/>
              </w:rPr>
            </w:pPr>
          </w:p>
        </w:tc>
        <w:tc>
          <w:tcPr>
            <w:tcW w:w="920" w:type="dxa"/>
            <w:vAlign w:val="bottom"/>
            <w:tcBorders>
              <w:right w:val="single" w:sz="8" w:color="FDFDFC"/>
            </w:tcBorders>
            <w:shd w:val="clear" w:color="auto" w:fill="FDFDFC"/>
          </w:tcPr>
          <w:p>
            <w:pPr>
              <w:jc w:val="right"/>
              <w:ind w:right="24"/>
              <w:spacing w:after="0"/>
              <w:rPr>
                <w:sz w:val="20"/>
                <w:szCs w:val="20"/>
                <w:color w:val="auto"/>
              </w:rPr>
            </w:pPr>
            <w:r>
              <w:rPr>
                <w:rFonts w:ascii="Times New Roman" w:cs="Times New Roman" w:eastAsia="Times New Roman" w:hAnsi="Times New Roman"/>
                <w:sz w:val="15"/>
                <w:szCs w:val="15"/>
                <w:color w:val="231F20"/>
              </w:rPr>
              <w:t>(8,846)</w:t>
            </w:r>
          </w:p>
        </w:tc>
        <w:tc>
          <w:tcPr>
            <w:tcW w:w="100" w:type="dxa"/>
            <w:vAlign w:val="bottom"/>
            <w:shd w:val="clear" w:color="auto" w:fill="FDFDFC"/>
          </w:tcPr>
          <w:p>
            <w:pPr>
              <w:spacing w:after="0"/>
              <w:rPr>
                <w:sz w:val="15"/>
                <w:szCs w:val="15"/>
                <w:color w:val="auto"/>
              </w:rPr>
            </w:pPr>
          </w:p>
        </w:tc>
        <w:tc>
          <w:tcPr>
            <w:tcW w:w="160" w:type="dxa"/>
            <w:vAlign w:val="bottom"/>
            <w:tcBorders>
              <w:left w:val="single" w:sz="8" w:color="FDFDFC"/>
            </w:tcBorders>
            <w:shd w:val="clear" w:color="auto" w:fill="FDFDFC"/>
          </w:tcPr>
          <w:p>
            <w:pPr>
              <w:spacing w:after="0"/>
              <w:rPr>
                <w:sz w:val="15"/>
                <w:szCs w:val="15"/>
                <w:color w:val="auto"/>
              </w:rPr>
            </w:pPr>
          </w:p>
        </w:tc>
        <w:tc>
          <w:tcPr>
            <w:tcW w:w="860" w:type="dxa"/>
            <w:vAlign w:val="bottom"/>
            <w:tcBorders>
              <w:right w:val="single" w:sz="8" w:color="FDFDFC"/>
            </w:tcBorders>
            <w:shd w:val="clear" w:color="auto" w:fill="FDFDFC"/>
          </w:tcPr>
          <w:p>
            <w:pPr>
              <w:jc w:val="right"/>
              <w:spacing w:after="0"/>
              <w:rPr>
                <w:sz w:val="20"/>
                <w:szCs w:val="20"/>
                <w:color w:val="auto"/>
              </w:rPr>
            </w:pPr>
            <w:r>
              <w:rPr>
                <w:rFonts w:ascii="Times New Roman" w:cs="Times New Roman" w:eastAsia="Times New Roman" w:hAnsi="Times New Roman"/>
                <w:sz w:val="15"/>
                <w:szCs w:val="15"/>
                <w:color w:val="231F20"/>
              </w:rPr>
              <w:t>—</w:t>
            </w:r>
          </w:p>
        </w:tc>
        <w:tc>
          <w:tcPr>
            <w:tcW w:w="80" w:type="dxa"/>
            <w:vAlign w:val="bottom"/>
            <w:shd w:val="clear" w:color="auto" w:fill="FDFDFC"/>
          </w:tcPr>
          <w:p>
            <w:pPr>
              <w:spacing w:after="0"/>
              <w:rPr>
                <w:sz w:val="15"/>
                <w:szCs w:val="15"/>
                <w:color w:val="auto"/>
              </w:rPr>
            </w:pPr>
          </w:p>
        </w:tc>
        <w:tc>
          <w:tcPr>
            <w:tcW w:w="100" w:type="dxa"/>
            <w:vAlign w:val="bottom"/>
            <w:shd w:val="clear" w:color="auto" w:fill="FDFDFC"/>
          </w:tcPr>
          <w:p>
            <w:pPr>
              <w:spacing w:after="0"/>
              <w:rPr>
                <w:sz w:val="15"/>
                <w:szCs w:val="15"/>
                <w:color w:val="auto"/>
              </w:rPr>
            </w:pPr>
          </w:p>
        </w:tc>
        <w:tc>
          <w:tcPr>
            <w:tcW w:w="120" w:type="dxa"/>
            <w:vAlign w:val="bottom"/>
            <w:tcBorders>
              <w:left w:val="single" w:sz="8" w:color="FDFDFC"/>
            </w:tcBorders>
            <w:shd w:val="clear" w:color="auto" w:fill="FDFDFC"/>
          </w:tcPr>
          <w:p>
            <w:pPr>
              <w:spacing w:after="0"/>
              <w:rPr>
                <w:sz w:val="15"/>
                <w:szCs w:val="15"/>
                <w:color w:val="auto"/>
              </w:rPr>
            </w:pPr>
          </w:p>
        </w:tc>
        <w:tc>
          <w:tcPr>
            <w:tcW w:w="920" w:type="dxa"/>
            <w:vAlign w:val="bottom"/>
            <w:gridSpan w:val="2"/>
            <w:shd w:val="clear" w:color="auto" w:fill="FDFDFC"/>
          </w:tcPr>
          <w:p>
            <w:pPr>
              <w:jc w:val="right"/>
              <w:ind w:right="20"/>
              <w:spacing w:after="0"/>
              <w:rPr>
                <w:sz w:val="20"/>
                <w:szCs w:val="20"/>
                <w:color w:val="auto"/>
              </w:rPr>
            </w:pPr>
            <w:r>
              <w:rPr>
                <w:rFonts w:ascii="Times New Roman" w:cs="Times New Roman" w:eastAsia="Times New Roman" w:hAnsi="Times New Roman"/>
                <w:sz w:val="15"/>
                <w:szCs w:val="15"/>
                <w:color w:val="231F20"/>
              </w:rPr>
              <w:t>7,647</w:t>
            </w:r>
          </w:p>
        </w:tc>
        <w:tc>
          <w:tcPr>
            <w:tcW w:w="100" w:type="dxa"/>
            <w:vAlign w:val="bottom"/>
            <w:shd w:val="clear" w:color="auto" w:fill="FDFDFC"/>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1920" w:type="dxa"/>
            <w:vAlign w:val="bottom"/>
            <w:shd w:val="clear" w:color="auto" w:fill="D0EBF2"/>
          </w:tcPr>
          <w:p>
            <w:pPr>
              <w:spacing w:after="0"/>
              <w:rPr>
                <w:sz w:val="20"/>
                <w:szCs w:val="20"/>
                <w:color w:val="auto"/>
              </w:rPr>
            </w:pPr>
            <w:r>
              <w:rPr>
                <w:rFonts w:ascii="Times New Roman" w:cs="Times New Roman" w:eastAsia="Times New Roman" w:hAnsi="Times New Roman"/>
                <w:sz w:val="15"/>
                <w:szCs w:val="15"/>
                <w:color w:val="231F20"/>
              </w:rPr>
              <w:t xml:space="preserve">Interest rate swap </w:t>
            </w:r>
            <w:r>
              <w:rPr>
                <w:rFonts w:ascii="Times New Roman" w:cs="Times New Roman" w:eastAsia="Times New Roman" w:hAnsi="Times New Roman"/>
                <w:sz w:val="9"/>
                <w:szCs w:val="9"/>
                <w:color w:val="231F20"/>
              </w:rPr>
              <w:t>(a)(b)(c)(d)</w:t>
            </w:r>
          </w:p>
        </w:tc>
        <w:tc>
          <w:tcPr>
            <w:tcW w:w="1080" w:type="dxa"/>
            <w:vAlign w:val="bottom"/>
            <w:shd w:val="clear" w:color="auto" w:fill="D0EBF2"/>
          </w:tcPr>
          <w:p>
            <w:pPr>
              <w:jc w:val="center"/>
              <w:spacing w:after="0"/>
              <w:rPr>
                <w:sz w:val="20"/>
                <w:szCs w:val="20"/>
                <w:color w:val="auto"/>
              </w:rPr>
            </w:pPr>
            <w:r>
              <w:rPr>
                <w:rFonts w:ascii="Times New Roman" w:cs="Times New Roman" w:eastAsia="Times New Roman" w:hAnsi="Times New Roman"/>
                <w:sz w:val="15"/>
                <w:szCs w:val="15"/>
                <w:color w:val="231F20"/>
                <w:w w:val="99"/>
              </w:rPr>
              <w:t>3.875%</w:t>
            </w:r>
          </w:p>
        </w:tc>
        <w:tc>
          <w:tcPr>
            <w:tcW w:w="120" w:type="dxa"/>
            <w:vAlign w:val="bottom"/>
            <w:shd w:val="clear" w:color="auto" w:fill="D0EBF2"/>
          </w:tcPr>
          <w:p>
            <w:pPr>
              <w:spacing w:after="0"/>
              <w:rPr>
                <w:sz w:val="15"/>
                <w:szCs w:val="15"/>
                <w:color w:val="auto"/>
              </w:rPr>
            </w:pPr>
          </w:p>
        </w:tc>
        <w:tc>
          <w:tcPr>
            <w:tcW w:w="1080" w:type="dxa"/>
            <w:vAlign w:val="bottom"/>
            <w:shd w:val="clear" w:color="auto" w:fill="D0EBF2"/>
          </w:tcPr>
          <w:p>
            <w:pPr>
              <w:jc w:val="center"/>
              <w:spacing w:after="0"/>
              <w:rPr>
                <w:sz w:val="20"/>
                <w:szCs w:val="20"/>
                <w:color w:val="auto"/>
              </w:rPr>
            </w:pPr>
            <w:r>
              <w:rPr>
                <w:rFonts w:ascii="Times New Roman" w:cs="Times New Roman" w:eastAsia="Times New Roman" w:hAnsi="Times New Roman"/>
                <w:sz w:val="15"/>
                <w:szCs w:val="15"/>
                <w:color w:val="231F20"/>
                <w:w w:val="99"/>
              </w:rPr>
              <w:t>SOFR + 2.72%</w:t>
            </w:r>
          </w:p>
        </w:tc>
        <w:tc>
          <w:tcPr>
            <w:tcW w:w="1220" w:type="dxa"/>
            <w:vAlign w:val="bottom"/>
            <w:gridSpan w:val="2"/>
            <w:shd w:val="clear" w:color="auto" w:fill="D0EBF2"/>
          </w:tcPr>
          <w:p>
            <w:pPr>
              <w:jc w:val="right"/>
              <w:spacing w:after="0"/>
              <w:rPr>
                <w:sz w:val="20"/>
                <w:szCs w:val="20"/>
                <w:color w:val="auto"/>
              </w:rPr>
            </w:pPr>
            <w:r>
              <w:rPr>
                <w:rFonts w:ascii="Times New Roman" w:cs="Times New Roman" w:eastAsia="Times New Roman" w:hAnsi="Times New Roman"/>
                <w:sz w:val="15"/>
                <w:szCs w:val="15"/>
                <w:color w:val="231F20"/>
              </w:rPr>
              <w:t>11/1/2024</w:t>
            </w:r>
          </w:p>
        </w:tc>
        <w:tc>
          <w:tcPr>
            <w:tcW w:w="100" w:type="dxa"/>
            <w:vAlign w:val="bottom"/>
            <w:shd w:val="clear" w:color="auto" w:fill="D0EBF2"/>
          </w:tcPr>
          <w:p>
            <w:pPr>
              <w:spacing w:after="0"/>
              <w:rPr>
                <w:sz w:val="15"/>
                <w:szCs w:val="15"/>
                <w:color w:val="auto"/>
              </w:rPr>
            </w:pPr>
          </w:p>
        </w:tc>
        <w:tc>
          <w:tcPr>
            <w:tcW w:w="140" w:type="dxa"/>
            <w:vAlign w:val="bottom"/>
            <w:shd w:val="clear" w:color="auto" w:fill="D0EBF2"/>
          </w:tcPr>
          <w:p>
            <w:pPr>
              <w:spacing w:after="0"/>
              <w:rPr>
                <w:sz w:val="15"/>
                <w:szCs w:val="15"/>
                <w:color w:val="auto"/>
              </w:rPr>
            </w:pPr>
          </w:p>
        </w:tc>
        <w:tc>
          <w:tcPr>
            <w:tcW w:w="860" w:type="dxa"/>
            <w:vAlign w:val="bottom"/>
            <w:shd w:val="clear" w:color="auto" w:fill="D0EBF2"/>
          </w:tcPr>
          <w:p>
            <w:pPr>
              <w:jc w:val="right"/>
              <w:spacing w:after="0"/>
              <w:rPr>
                <w:sz w:val="20"/>
                <w:szCs w:val="20"/>
                <w:color w:val="auto"/>
              </w:rPr>
            </w:pPr>
            <w:r>
              <w:rPr>
                <w:rFonts w:ascii="Times New Roman" w:cs="Times New Roman" w:eastAsia="Times New Roman" w:hAnsi="Times New Roman"/>
                <w:sz w:val="15"/>
                <w:szCs w:val="15"/>
                <w:color w:val="231F20"/>
              </w:rPr>
              <w:t>50,000</w:t>
            </w:r>
          </w:p>
        </w:tc>
        <w:tc>
          <w:tcPr>
            <w:tcW w:w="100" w:type="dxa"/>
            <w:vAlign w:val="bottom"/>
            <w:shd w:val="clear" w:color="auto" w:fill="D0EBF2"/>
          </w:tcPr>
          <w:p>
            <w:pPr>
              <w:spacing w:after="0"/>
              <w:rPr>
                <w:sz w:val="15"/>
                <w:szCs w:val="15"/>
                <w:color w:val="auto"/>
              </w:rPr>
            </w:pPr>
          </w:p>
        </w:tc>
        <w:tc>
          <w:tcPr>
            <w:tcW w:w="100" w:type="dxa"/>
            <w:vAlign w:val="bottom"/>
            <w:shd w:val="clear" w:color="auto" w:fill="D0EBF2"/>
          </w:tcPr>
          <w:p>
            <w:pPr>
              <w:spacing w:after="0"/>
              <w:rPr>
                <w:sz w:val="15"/>
                <w:szCs w:val="15"/>
                <w:color w:val="auto"/>
              </w:rPr>
            </w:pPr>
          </w:p>
        </w:tc>
        <w:tc>
          <w:tcPr>
            <w:tcW w:w="80" w:type="dxa"/>
            <w:vAlign w:val="bottom"/>
            <w:shd w:val="clear" w:color="auto" w:fill="D0EBF2"/>
          </w:tcPr>
          <w:p>
            <w:pPr>
              <w:spacing w:after="0"/>
              <w:rPr>
                <w:sz w:val="15"/>
                <w:szCs w:val="15"/>
                <w:color w:val="auto"/>
              </w:rPr>
            </w:pPr>
          </w:p>
        </w:tc>
        <w:tc>
          <w:tcPr>
            <w:tcW w:w="120" w:type="dxa"/>
            <w:vAlign w:val="bottom"/>
            <w:shd w:val="clear" w:color="auto" w:fill="D0EBF2"/>
          </w:tcPr>
          <w:p>
            <w:pPr>
              <w:spacing w:after="0"/>
              <w:rPr>
                <w:sz w:val="15"/>
                <w:szCs w:val="15"/>
                <w:color w:val="auto"/>
              </w:rPr>
            </w:pPr>
          </w:p>
        </w:tc>
        <w:tc>
          <w:tcPr>
            <w:tcW w:w="920" w:type="dxa"/>
            <w:vAlign w:val="bottom"/>
            <w:tcBorders>
              <w:right w:val="single" w:sz="8" w:color="D0EBF2"/>
            </w:tcBorders>
            <w:shd w:val="clear" w:color="auto" w:fill="D0EBF2"/>
          </w:tcPr>
          <w:p>
            <w:pPr>
              <w:jc w:val="right"/>
              <w:spacing w:after="0"/>
              <w:rPr>
                <w:sz w:val="20"/>
                <w:szCs w:val="20"/>
                <w:color w:val="auto"/>
              </w:rPr>
            </w:pPr>
            <w:r>
              <w:rPr>
                <w:rFonts w:ascii="Times New Roman" w:cs="Times New Roman" w:eastAsia="Times New Roman" w:hAnsi="Times New Roman"/>
                <w:sz w:val="15"/>
                <w:szCs w:val="15"/>
                <w:color w:val="231F20"/>
              </w:rPr>
              <w:t>(1,563)</w:t>
            </w:r>
          </w:p>
        </w:tc>
        <w:tc>
          <w:tcPr>
            <w:tcW w:w="100" w:type="dxa"/>
            <w:vAlign w:val="bottom"/>
            <w:shd w:val="clear" w:color="auto" w:fill="D0EBF2"/>
          </w:tcPr>
          <w:p>
            <w:pPr>
              <w:spacing w:after="0"/>
              <w:rPr>
                <w:sz w:val="15"/>
                <w:szCs w:val="15"/>
                <w:color w:val="auto"/>
              </w:rPr>
            </w:pPr>
          </w:p>
        </w:tc>
        <w:tc>
          <w:tcPr>
            <w:tcW w:w="160" w:type="dxa"/>
            <w:vAlign w:val="bottom"/>
            <w:tcBorders>
              <w:left w:val="single" w:sz="8" w:color="D0EBF2"/>
            </w:tcBorders>
            <w:shd w:val="clear" w:color="auto" w:fill="D0EBF2"/>
          </w:tcPr>
          <w:p>
            <w:pPr>
              <w:spacing w:after="0"/>
              <w:rPr>
                <w:sz w:val="15"/>
                <w:szCs w:val="15"/>
                <w:color w:val="auto"/>
              </w:rPr>
            </w:pPr>
          </w:p>
        </w:tc>
        <w:tc>
          <w:tcPr>
            <w:tcW w:w="860" w:type="dxa"/>
            <w:vAlign w:val="bottom"/>
            <w:tcBorders>
              <w:right w:val="single" w:sz="8" w:color="D0EBF2"/>
            </w:tcBorders>
            <w:shd w:val="clear" w:color="auto" w:fill="D0EBF2"/>
          </w:tcPr>
          <w:p>
            <w:pPr>
              <w:jc w:val="right"/>
              <w:spacing w:after="0"/>
              <w:rPr>
                <w:sz w:val="20"/>
                <w:szCs w:val="20"/>
                <w:color w:val="auto"/>
              </w:rPr>
            </w:pPr>
            <w:r>
              <w:rPr>
                <w:rFonts w:ascii="Times New Roman" w:cs="Times New Roman" w:eastAsia="Times New Roman" w:hAnsi="Times New Roman"/>
                <w:sz w:val="15"/>
                <w:szCs w:val="15"/>
                <w:color w:val="231F20"/>
              </w:rPr>
              <w:t>—</w:t>
            </w:r>
          </w:p>
        </w:tc>
        <w:tc>
          <w:tcPr>
            <w:tcW w:w="80" w:type="dxa"/>
            <w:vAlign w:val="bottom"/>
            <w:shd w:val="clear" w:color="auto" w:fill="D0EBF2"/>
          </w:tcPr>
          <w:p>
            <w:pPr>
              <w:spacing w:after="0"/>
              <w:rPr>
                <w:sz w:val="15"/>
                <w:szCs w:val="15"/>
                <w:color w:val="auto"/>
              </w:rPr>
            </w:pPr>
          </w:p>
        </w:tc>
        <w:tc>
          <w:tcPr>
            <w:tcW w:w="100" w:type="dxa"/>
            <w:vAlign w:val="bottom"/>
            <w:shd w:val="clear" w:color="auto" w:fill="D0EBF2"/>
          </w:tcPr>
          <w:p>
            <w:pPr>
              <w:spacing w:after="0"/>
              <w:rPr>
                <w:sz w:val="15"/>
                <w:szCs w:val="15"/>
                <w:color w:val="auto"/>
              </w:rPr>
            </w:pPr>
          </w:p>
        </w:tc>
        <w:tc>
          <w:tcPr>
            <w:tcW w:w="120" w:type="dxa"/>
            <w:vAlign w:val="bottom"/>
            <w:tcBorders>
              <w:left w:val="single" w:sz="8" w:color="D0EBF2"/>
            </w:tcBorders>
            <w:shd w:val="clear" w:color="auto" w:fill="D0EBF2"/>
          </w:tcPr>
          <w:p>
            <w:pPr>
              <w:spacing w:after="0"/>
              <w:rPr>
                <w:sz w:val="15"/>
                <w:szCs w:val="15"/>
                <w:color w:val="auto"/>
              </w:rPr>
            </w:pPr>
          </w:p>
        </w:tc>
        <w:tc>
          <w:tcPr>
            <w:tcW w:w="920" w:type="dxa"/>
            <w:vAlign w:val="bottom"/>
            <w:gridSpan w:val="2"/>
            <w:shd w:val="clear" w:color="auto" w:fill="D0EBF2"/>
          </w:tcPr>
          <w:p>
            <w:pPr>
              <w:jc w:val="right"/>
              <w:ind w:right="20"/>
              <w:spacing w:after="0"/>
              <w:rPr>
                <w:sz w:val="20"/>
                <w:szCs w:val="20"/>
                <w:color w:val="auto"/>
              </w:rPr>
            </w:pPr>
            <w:r>
              <w:rPr>
                <w:rFonts w:ascii="Times New Roman" w:cs="Times New Roman" w:eastAsia="Times New Roman" w:hAnsi="Times New Roman"/>
                <w:sz w:val="15"/>
                <w:szCs w:val="15"/>
                <w:color w:val="231F20"/>
              </w:rPr>
              <w:t>1,362</w:t>
            </w:r>
          </w:p>
        </w:tc>
        <w:tc>
          <w:tcPr>
            <w:tcW w:w="100" w:type="dxa"/>
            <w:vAlign w:val="bottom"/>
            <w:shd w:val="clear" w:color="auto" w:fill="D0EBF2"/>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1920" w:type="dxa"/>
            <w:vAlign w:val="bottom"/>
            <w:shd w:val="clear" w:color="auto" w:fill="FDFDFC"/>
          </w:tcPr>
          <w:p>
            <w:pPr>
              <w:spacing w:after="0"/>
              <w:rPr>
                <w:sz w:val="20"/>
                <w:szCs w:val="20"/>
                <w:color w:val="auto"/>
              </w:rPr>
            </w:pPr>
            <w:r>
              <w:rPr>
                <w:rFonts w:ascii="Times New Roman" w:cs="Times New Roman" w:eastAsia="Times New Roman" w:hAnsi="Times New Roman"/>
                <w:sz w:val="15"/>
                <w:szCs w:val="15"/>
                <w:color w:val="231F20"/>
              </w:rPr>
              <w:t xml:space="preserve">Interest rate swap </w:t>
            </w:r>
            <w:r>
              <w:rPr>
                <w:rFonts w:ascii="Times New Roman" w:cs="Times New Roman" w:eastAsia="Times New Roman" w:hAnsi="Times New Roman"/>
                <w:sz w:val="9"/>
                <w:szCs w:val="9"/>
                <w:color w:val="231F20"/>
              </w:rPr>
              <w:t>(a)(b)</w:t>
            </w:r>
          </w:p>
        </w:tc>
        <w:tc>
          <w:tcPr>
            <w:tcW w:w="1080" w:type="dxa"/>
            <w:vAlign w:val="bottom"/>
            <w:shd w:val="clear" w:color="auto" w:fill="FDFDFC"/>
          </w:tcPr>
          <w:p>
            <w:pPr>
              <w:jc w:val="center"/>
              <w:spacing w:after="0"/>
              <w:rPr>
                <w:sz w:val="20"/>
                <w:szCs w:val="20"/>
                <w:color w:val="auto"/>
              </w:rPr>
            </w:pPr>
            <w:r>
              <w:rPr>
                <w:rFonts w:ascii="Times New Roman" w:cs="Times New Roman" w:eastAsia="Times New Roman" w:hAnsi="Times New Roman"/>
                <w:sz w:val="15"/>
                <w:szCs w:val="15"/>
                <w:color w:val="231F20"/>
                <w:w w:val="97"/>
              </w:rPr>
              <w:t>2.50%</w:t>
            </w:r>
          </w:p>
        </w:tc>
        <w:tc>
          <w:tcPr>
            <w:tcW w:w="120" w:type="dxa"/>
            <w:vAlign w:val="bottom"/>
            <w:shd w:val="clear" w:color="auto" w:fill="FDFDFC"/>
          </w:tcPr>
          <w:p>
            <w:pPr>
              <w:spacing w:after="0"/>
              <w:rPr>
                <w:sz w:val="15"/>
                <w:szCs w:val="15"/>
                <w:color w:val="auto"/>
              </w:rPr>
            </w:pPr>
          </w:p>
        </w:tc>
        <w:tc>
          <w:tcPr>
            <w:tcW w:w="1080" w:type="dxa"/>
            <w:vAlign w:val="bottom"/>
            <w:shd w:val="clear" w:color="auto" w:fill="FDFDFC"/>
          </w:tcPr>
          <w:p>
            <w:pPr>
              <w:jc w:val="center"/>
              <w:spacing w:after="0"/>
              <w:rPr>
                <w:sz w:val="20"/>
                <w:szCs w:val="20"/>
                <w:color w:val="auto"/>
              </w:rPr>
            </w:pPr>
            <w:r>
              <w:rPr>
                <w:rFonts w:ascii="Times New Roman" w:cs="Times New Roman" w:eastAsia="Times New Roman" w:hAnsi="Times New Roman"/>
                <w:sz w:val="15"/>
                <w:szCs w:val="15"/>
                <w:color w:val="231F20"/>
                <w:w w:val="99"/>
              </w:rPr>
              <w:t>SOFR + 2.17%</w:t>
            </w:r>
          </w:p>
        </w:tc>
        <w:tc>
          <w:tcPr>
            <w:tcW w:w="1220" w:type="dxa"/>
            <w:vAlign w:val="bottom"/>
            <w:gridSpan w:val="2"/>
            <w:shd w:val="clear" w:color="auto" w:fill="FDFDFC"/>
          </w:tcPr>
          <w:p>
            <w:pPr>
              <w:jc w:val="right"/>
              <w:spacing w:after="0"/>
              <w:rPr>
                <w:sz w:val="20"/>
                <w:szCs w:val="20"/>
                <w:color w:val="auto"/>
              </w:rPr>
            </w:pPr>
            <w:r>
              <w:rPr>
                <w:rFonts w:ascii="Times New Roman" w:cs="Times New Roman" w:eastAsia="Times New Roman" w:hAnsi="Times New Roman"/>
                <w:sz w:val="15"/>
                <w:szCs w:val="15"/>
                <w:color w:val="231F20"/>
              </w:rPr>
              <w:t>8/1/2026</w:t>
            </w:r>
          </w:p>
        </w:tc>
        <w:tc>
          <w:tcPr>
            <w:tcW w:w="100" w:type="dxa"/>
            <w:vAlign w:val="bottom"/>
            <w:shd w:val="clear" w:color="auto" w:fill="FDFDFC"/>
          </w:tcPr>
          <w:p>
            <w:pPr>
              <w:spacing w:after="0"/>
              <w:rPr>
                <w:sz w:val="15"/>
                <w:szCs w:val="15"/>
                <w:color w:val="auto"/>
              </w:rPr>
            </w:pPr>
          </w:p>
        </w:tc>
        <w:tc>
          <w:tcPr>
            <w:tcW w:w="140" w:type="dxa"/>
            <w:vAlign w:val="bottom"/>
            <w:shd w:val="clear" w:color="auto" w:fill="FDFDFC"/>
          </w:tcPr>
          <w:p>
            <w:pPr>
              <w:spacing w:after="0"/>
              <w:rPr>
                <w:sz w:val="15"/>
                <w:szCs w:val="15"/>
                <w:color w:val="auto"/>
              </w:rPr>
            </w:pPr>
          </w:p>
        </w:tc>
        <w:tc>
          <w:tcPr>
            <w:tcW w:w="860" w:type="dxa"/>
            <w:vAlign w:val="bottom"/>
            <w:shd w:val="clear" w:color="auto" w:fill="FDFDFC"/>
          </w:tcPr>
          <w:p>
            <w:pPr>
              <w:jc w:val="right"/>
              <w:spacing w:after="0"/>
              <w:rPr>
                <w:sz w:val="20"/>
                <w:szCs w:val="20"/>
                <w:color w:val="auto"/>
              </w:rPr>
            </w:pPr>
            <w:r>
              <w:rPr>
                <w:rFonts w:ascii="Times New Roman" w:cs="Times New Roman" w:eastAsia="Times New Roman" w:hAnsi="Times New Roman"/>
                <w:sz w:val="15"/>
                <w:szCs w:val="15"/>
                <w:color w:val="231F20"/>
              </w:rPr>
              <w:t>300,000</w:t>
            </w:r>
          </w:p>
        </w:tc>
        <w:tc>
          <w:tcPr>
            <w:tcW w:w="100" w:type="dxa"/>
            <w:vAlign w:val="bottom"/>
            <w:shd w:val="clear" w:color="auto" w:fill="FDFDFC"/>
          </w:tcPr>
          <w:p>
            <w:pPr>
              <w:spacing w:after="0"/>
              <w:rPr>
                <w:sz w:val="15"/>
                <w:szCs w:val="15"/>
                <w:color w:val="auto"/>
              </w:rPr>
            </w:pPr>
          </w:p>
        </w:tc>
        <w:tc>
          <w:tcPr>
            <w:tcW w:w="100" w:type="dxa"/>
            <w:vAlign w:val="bottom"/>
            <w:shd w:val="clear" w:color="auto" w:fill="FDFDFC"/>
          </w:tcPr>
          <w:p>
            <w:pPr>
              <w:spacing w:after="0"/>
              <w:rPr>
                <w:sz w:val="15"/>
                <w:szCs w:val="15"/>
                <w:color w:val="auto"/>
              </w:rPr>
            </w:pPr>
          </w:p>
        </w:tc>
        <w:tc>
          <w:tcPr>
            <w:tcW w:w="80" w:type="dxa"/>
            <w:vAlign w:val="bottom"/>
            <w:shd w:val="clear" w:color="auto" w:fill="FDFDFC"/>
          </w:tcPr>
          <w:p>
            <w:pPr>
              <w:spacing w:after="0"/>
              <w:rPr>
                <w:sz w:val="15"/>
                <w:szCs w:val="15"/>
                <w:color w:val="auto"/>
              </w:rPr>
            </w:pPr>
          </w:p>
        </w:tc>
        <w:tc>
          <w:tcPr>
            <w:tcW w:w="120" w:type="dxa"/>
            <w:vAlign w:val="bottom"/>
            <w:shd w:val="clear" w:color="auto" w:fill="FDFDFC"/>
          </w:tcPr>
          <w:p>
            <w:pPr>
              <w:spacing w:after="0"/>
              <w:rPr>
                <w:sz w:val="15"/>
                <w:szCs w:val="15"/>
                <w:color w:val="auto"/>
              </w:rPr>
            </w:pPr>
          </w:p>
        </w:tc>
        <w:tc>
          <w:tcPr>
            <w:tcW w:w="920" w:type="dxa"/>
            <w:vAlign w:val="bottom"/>
            <w:tcBorders>
              <w:right w:val="single" w:sz="8" w:color="FDFDFC"/>
            </w:tcBorders>
            <w:shd w:val="clear" w:color="auto" w:fill="FDFDFC"/>
          </w:tcPr>
          <w:p>
            <w:pPr>
              <w:jc w:val="right"/>
              <w:spacing w:after="0"/>
              <w:rPr>
                <w:sz w:val="20"/>
                <w:szCs w:val="20"/>
                <w:color w:val="auto"/>
              </w:rPr>
            </w:pPr>
            <w:r>
              <w:rPr>
                <w:rFonts w:ascii="Times New Roman" w:cs="Times New Roman" w:eastAsia="Times New Roman" w:hAnsi="Times New Roman"/>
                <w:sz w:val="15"/>
                <w:szCs w:val="15"/>
                <w:color w:val="231F20"/>
              </w:rPr>
              <w:t>(26,111)</w:t>
            </w:r>
          </w:p>
        </w:tc>
        <w:tc>
          <w:tcPr>
            <w:tcW w:w="100" w:type="dxa"/>
            <w:vAlign w:val="bottom"/>
            <w:shd w:val="clear" w:color="auto" w:fill="FDFDFC"/>
          </w:tcPr>
          <w:p>
            <w:pPr>
              <w:spacing w:after="0"/>
              <w:rPr>
                <w:sz w:val="15"/>
                <w:szCs w:val="15"/>
                <w:color w:val="auto"/>
              </w:rPr>
            </w:pPr>
          </w:p>
        </w:tc>
        <w:tc>
          <w:tcPr>
            <w:tcW w:w="160" w:type="dxa"/>
            <w:vAlign w:val="bottom"/>
            <w:tcBorders>
              <w:left w:val="single" w:sz="8" w:color="FDFDFC"/>
            </w:tcBorders>
            <w:shd w:val="clear" w:color="auto" w:fill="FDFDFC"/>
          </w:tcPr>
          <w:p>
            <w:pPr>
              <w:spacing w:after="0"/>
              <w:rPr>
                <w:sz w:val="15"/>
                <w:szCs w:val="15"/>
                <w:color w:val="auto"/>
              </w:rPr>
            </w:pPr>
          </w:p>
        </w:tc>
        <w:tc>
          <w:tcPr>
            <w:tcW w:w="860" w:type="dxa"/>
            <w:vAlign w:val="bottom"/>
            <w:tcBorders>
              <w:right w:val="single" w:sz="8" w:color="FDFDFC"/>
            </w:tcBorders>
            <w:shd w:val="clear" w:color="auto" w:fill="FDFDFC"/>
          </w:tcPr>
          <w:p>
            <w:pPr>
              <w:jc w:val="right"/>
              <w:spacing w:after="0"/>
              <w:rPr>
                <w:sz w:val="20"/>
                <w:szCs w:val="20"/>
                <w:color w:val="auto"/>
              </w:rPr>
            </w:pPr>
            <w:r>
              <w:rPr>
                <w:rFonts w:ascii="Times New Roman" w:cs="Times New Roman" w:eastAsia="Times New Roman" w:hAnsi="Times New Roman"/>
                <w:sz w:val="15"/>
                <w:szCs w:val="15"/>
                <w:color w:val="231F20"/>
              </w:rPr>
              <w:t>—</w:t>
            </w:r>
          </w:p>
        </w:tc>
        <w:tc>
          <w:tcPr>
            <w:tcW w:w="80" w:type="dxa"/>
            <w:vAlign w:val="bottom"/>
            <w:shd w:val="clear" w:color="auto" w:fill="FDFDFC"/>
          </w:tcPr>
          <w:p>
            <w:pPr>
              <w:spacing w:after="0"/>
              <w:rPr>
                <w:sz w:val="15"/>
                <w:szCs w:val="15"/>
                <w:color w:val="auto"/>
              </w:rPr>
            </w:pPr>
          </w:p>
        </w:tc>
        <w:tc>
          <w:tcPr>
            <w:tcW w:w="100" w:type="dxa"/>
            <w:vAlign w:val="bottom"/>
            <w:shd w:val="clear" w:color="auto" w:fill="FDFDFC"/>
          </w:tcPr>
          <w:p>
            <w:pPr>
              <w:spacing w:after="0"/>
              <w:rPr>
                <w:sz w:val="15"/>
                <w:szCs w:val="15"/>
                <w:color w:val="auto"/>
              </w:rPr>
            </w:pPr>
          </w:p>
        </w:tc>
        <w:tc>
          <w:tcPr>
            <w:tcW w:w="120" w:type="dxa"/>
            <w:vAlign w:val="bottom"/>
            <w:tcBorders>
              <w:left w:val="single" w:sz="8" w:color="FDFDFC"/>
            </w:tcBorders>
            <w:shd w:val="clear" w:color="auto" w:fill="FDFDFC"/>
          </w:tcPr>
          <w:p>
            <w:pPr>
              <w:spacing w:after="0"/>
              <w:rPr>
                <w:sz w:val="15"/>
                <w:szCs w:val="15"/>
                <w:color w:val="auto"/>
              </w:rPr>
            </w:pPr>
          </w:p>
        </w:tc>
        <w:tc>
          <w:tcPr>
            <w:tcW w:w="920" w:type="dxa"/>
            <w:vAlign w:val="bottom"/>
            <w:gridSpan w:val="2"/>
            <w:shd w:val="clear" w:color="auto" w:fill="FDFDFC"/>
          </w:tcPr>
          <w:p>
            <w:pPr>
              <w:jc w:val="right"/>
              <w:ind w:right="20"/>
              <w:spacing w:after="0"/>
              <w:rPr>
                <w:sz w:val="20"/>
                <w:szCs w:val="20"/>
                <w:color w:val="auto"/>
              </w:rPr>
            </w:pPr>
            <w:r>
              <w:rPr>
                <w:rFonts w:ascii="Times New Roman" w:cs="Times New Roman" w:eastAsia="Times New Roman" w:hAnsi="Times New Roman"/>
                <w:sz w:val="15"/>
                <w:szCs w:val="15"/>
                <w:color w:val="231F20"/>
              </w:rPr>
              <w:t>9,554</w:t>
            </w:r>
          </w:p>
        </w:tc>
        <w:tc>
          <w:tcPr>
            <w:tcW w:w="100" w:type="dxa"/>
            <w:vAlign w:val="bottom"/>
            <w:shd w:val="clear" w:color="auto" w:fill="FDFDFC"/>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1920" w:type="dxa"/>
            <w:vAlign w:val="bottom"/>
            <w:shd w:val="clear" w:color="auto" w:fill="D0EBF2"/>
          </w:tcPr>
          <w:p>
            <w:pPr>
              <w:spacing w:after="0"/>
              <w:rPr>
                <w:sz w:val="20"/>
                <w:szCs w:val="20"/>
                <w:color w:val="auto"/>
              </w:rPr>
            </w:pPr>
            <w:r>
              <w:rPr>
                <w:rFonts w:ascii="Times New Roman" w:cs="Times New Roman" w:eastAsia="Times New Roman" w:hAnsi="Times New Roman"/>
                <w:sz w:val="15"/>
                <w:szCs w:val="15"/>
                <w:color w:val="231F20"/>
              </w:rPr>
              <w:t xml:space="preserve">Interest rate swap </w:t>
            </w:r>
            <w:r>
              <w:rPr>
                <w:rFonts w:ascii="Times New Roman" w:cs="Times New Roman" w:eastAsia="Times New Roman" w:hAnsi="Times New Roman"/>
                <w:sz w:val="9"/>
                <w:szCs w:val="9"/>
                <w:color w:val="231F20"/>
              </w:rPr>
              <w:t>(a)(b)</w:t>
            </w:r>
          </w:p>
        </w:tc>
        <w:tc>
          <w:tcPr>
            <w:tcW w:w="1080" w:type="dxa"/>
            <w:vAlign w:val="bottom"/>
            <w:shd w:val="clear" w:color="auto" w:fill="D0EBF2"/>
          </w:tcPr>
          <w:p>
            <w:pPr>
              <w:jc w:val="center"/>
              <w:spacing w:after="0"/>
              <w:rPr>
                <w:sz w:val="20"/>
                <w:szCs w:val="20"/>
                <w:color w:val="auto"/>
              </w:rPr>
            </w:pPr>
            <w:r>
              <w:rPr>
                <w:rFonts w:ascii="Times New Roman" w:cs="Times New Roman" w:eastAsia="Times New Roman" w:hAnsi="Times New Roman"/>
                <w:sz w:val="15"/>
                <w:szCs w:val="15"/>
                <w:color w:val="231F20"/>
                <w:w w:val="97"/>
              </w:rPr>
              <w:t>6.95%</w:t>
            </w:r>
          </w:p>
        </w:tc>
        <w:tc>
          <w:tcPr>
            <w:tcW w:w="120" w:type="dxa"/>
            <w:vAlign w:val="bottom"/>
            <w:shd w:val="clear" w:color="auto" w:fill="D0EBF2"/>
          </w:tcPr>
          <w:p>
            <w:pPr>
              <w:spacing w:after="0"/>
              <w:rPr>
                <w:sz w:val="16"/>
                <w:szCs w:val="16"/>
                <w:color w:val="auto"/>
              </w:rPr>
            </w:pPr>
          </w:p>
        </w:tc>
        <w:tc>
          <w:tcPr>
            <w:tcW w:w="1080" w:type="dxa"/>
            <w:vAlign w:val="bottom"/>
            <w:shd w:val="clear" w:color="auto" w:fill="D0EBF2"/>
          </w:tcPr>
          <w:p>
            <w:pPr>
              <w:jc w:val="center"/>
              <w:spacing w:after="0"/>
              <w:rPr>
                <w:sz w:val="20"/>
                <w:szCs w:val="20"/>
                <w:color w:val="auto"/>
              </w:rPr>
            </w:pPr>
            <w:r>
              <w:rPr>
                <w:rFonts w:ascii="Times New Roman" w:cs="Times New Roman" w:eastAsia="Times New Roman" w:hAnsi="Times New Roman"/>
                <w:sz w:val="15"/>
                <w:szCs w:val="15"/>
                <w:color w:val="231F20"/>
                <w:w w:val="99"/>
              </w:rPr>
              <w:t>SOFR + 2.99%</w:t>
            </w:r>
          </w:p>
        </w:tc>
        <w:tc>
          <w:tcPr>
            <w:tcW w:w="1220" w:type="dxa"/>
            <w:vAlign w:val="bottom"/>
            <w:gridSpan w:val="2"/>
            <w:shd w:val="clear" w:color="auto" w:fill="D0EBF2"/>
          </w:tcPr>
          <w:p>
            <w:pPr>
              <w:jc w:val="right"/>
              <w:spacing w:after="0"/>
              <w:rPr>
                <w:sz w:val="20"/>
                <w:szCs w:val="20"/>
                <w:color w:val="auto"/>
              </w:rPr>
            </w:pPr>
            <w:r>
              <w:rPr>
                <w:rFonts w:ascii="Times New Roman" w:cs="Times New Roman" w:eastAsia="Times New Roman" w:hAnsi="Times New Roman"/>
                <w:sz w:val="15"/>
                <w:szCs w:val="15"/>
                <w:color w:val="231F20"/>
              </w:rPr>
              <w:t>8/14/2028</w:t>
            </w:r>
          </w:p>
        </w:tc>
        <w:tc>
          <w:tcPr>
            <w:tcW w:w="100" w:type="dxa"/>
            <w:vAlign w:val="bottom"/>
            <w:shd w:val="clear" w:color="auto" w:fill="D0EBF2"/>
          </w:tcPr>
          <w:p>
            <w:pPr>
              <w:spacing w:after="0"/>
              <w:rPr>
                <w:sz w:val="16"/>
                <w:szCs w:val="16"/>
                <w:color w:val="auto"/>
              </w:rPr>
            </w:pPr>
          </w:p>
        </w:tc>
        <w:tc>
          <w:tcPr>
            <w:tcW w:w="140" w:type="dxa"/>
            <w:vAlign w:val="bottom"/>
            <w:shd w:val="clear" w:color="auto" w:fill="D0EBF2"/>
          </w:tcPr>
          <w:p>
            <w:pPr>
              <w:spacing w:after="0"/>
              <w:rPr>
                <w:sz w:val="16"/>
                <w:szCs w:val="16"/>
                <w:color w:val="auto"/>
              </w:rPr>
            </w:pPr>
          </w:p>
        </w:tc>
        <w:tc>
          <w:tcPr>
            <w:tcW w:w="860" w:type="dxa"/>
            <w:vAlign w:val="bottom"/>
            <w:shd w:val="clear" w:color="auto" w:fill="D0EBF2"/>
          </w:tcPr>
          <w:p>
            <w:pPr>
              <w:jc w:val="right"/>
              <w:spacing w:after="0"/>
              <w:rPr>
                <w:sz w:val="20"/>
                <w:szCs w:val="20"/>
                <w:color w:val="auto"/>
              </w:rPr>
            </w:pPr>
            <w:r>
              <w:rPr>
                <w:rFonts w:ascii="Times New Roman" w:cs="Times New Roman" w:eastAsia="Times New Roman" w:hAnsi="Times New Roman"/>
                <w:sz w:val="15"/>
                <w:szCs w:val="15"/>
                <w:color w:val="231F20"/>
              </w:rPr>
              <w:t>300,000</w:t>
            </w:r>
          </w:p>
        </w:tc>
        <w:tc>
          <w:tcPr>
            <w:tcW w:w="100" w:type="dxa"/>
            <w:vAlign w:val="bottom"/>
            <w:shd w:val="clear" w:color="auto" w:fill="D0EBF2"/>
          </w:tcPr>
          <w:p>
            <w:pPr>
              <w:spacing w:after="0"/>
              <w:rPr>
                <w:sz w:val="16"/>
                <w:szCs w:val="16"/>
                <w:color w:val="auto"/>
              </w:rPr>
            </w:pPr>
          </w:p>
        </w:tc>
        <w:tc>
          <w:tcPr>
            <w:tcW w:w="100" w:type="dxa"/>
            <w:vAlign w:val="bottom"/>
            <w:shd w:val="clear" w:color="auto" w:fill="D0EBF2"/>
          </w:tcPr>
          <w:p>
            <w:pPr>
              <w:spacing w:after="0"/>
              <w:rPr>
                <w:sz w:val="16"/>
                <w:szCs w:val="16"/>
                <w:color w:val="auto"/>
              </w:rPr>
            </w:pPr>
          </w:p>
        </w:tc>
        <w:tc>
          <w:tcPr>
            <w:tcW w:w="80" w:type="dxa"/>
            <w:vAlign w:val="bottom"/>
            <w:shd w:val="clear" w:color="auto" w:fill="D0EBF2"/>
          </w:tcPr>
          <w:p>
            <w:pPr>
              <w:spacing w:after="0"/>
              <w:rPr>
                <w:sz w:val="16"/>
                <w:szCs w:val="16"/>
                <w:color w:val="auto"/>
              </w:rPr>
            </w:pPr>
          </w:p>
        </w:tc>
        <w:tc>
          <w:tcPr>
            <w:tcW w:w="120" w:type="dxa"/>
            <w:vAlign w:val="bottom"/>
            <w:shd w:val="clear" w:color="auto" w:fill="D0EBF2"/>
          </w:tcPr>
          <w:p>
            <w:pPr>
              <w:spacing w:after="0"/>
              <w:rPr>
                <w:sz w:val="16"/>
                <w:szCs w:val="16"/>
                <w:color w:val="auto"/>
              </w:rPr>
            </w:pPr>
          </w:p>
        </w:tc>
        <w:tc>
          <w:tcPr>
            <w:tcW w:w="920" w:type="dxa"/>
            <w:vAlign w:val="bottom"/>
            <w:tcBorders>
              <w:right w:val="single" w:sz="8" w:color="D0EBF2"/>
            </w:tcBorders>
            <w:shd w:val="clear" w:color="auto" w:fill="D0EBF2"/>
          </w:tcPr>
          <w:p>
            <w:pPr>
              <w:jc w:val="right"/>
              <w:ind w:right="44"/>
              <w:spacing w:after="0"/>
              <w:rPr>
                <w:sz w:val="20"/>
                <w:szCs w:val="20"/>
                <w:color w:val="auto"/>
              </w:rPr>
            </w:pPr>
            <w:r>
              <w:rPr>
                <w:rFonts w:ascii="Times New Roman" w:cs="Times New Roman" w:eastAsia="Times New Roman" w:hAnsi="Times New Roman"/>
                <w:sz w:val="15"/>
                <w:szCs w:val="15"/>
                <w:color w:val="231F20"/>
              </w:rPr>
              <w:t>4,680</w:t>
            </w:r>
          </w:p>
        </w:tc>
        <w:tc>
          <w:tcPr>
            <w:tcW w:w="100" w:type="dxa"/>
            <w:vAlign w:val="bottom"/>
            <w:shd w:val="clear" w:color="auto" w:fill="D0EBF2"/>
          </w:tcPr>
          <w:p>
            <w:pPr>
              <w:spacing w:after="0"/>
              <w:rPr>
                <w:sz w:val="16"/>
                <w:szCs w:val="16"/>
                <w:color w:val="auto"/>
              </w:rPr>
            </w:pPr>
          </w:p>
        </w:tc>
        <w:tc>
          <w:tcPr>
            <w:tcW w:w="160" w:type="dxa"/>
            <w:vAlign w:val="bottom"/>
            <w:tcBorders>
              <w:left w:val="single" w:sz="8" w:color="D0EBF2"/>
            </w:tcBorders>
            <w:shd w:val="clear" w:color="auto" w:fill="D0EBF2"/>
          </w:tcPr>
          <w:p>
            <w:pPr>
              <w:spacing w:after="0"/>
              <w:rPr>
                <w:sz w:val="16"/>
                <w:szCs w:val="16"/>
                <w:color w:val="auto"/>
              </w:rPr>
            </w:pPr>
          </w:p>
        </w:tc>
        <w:tc>
          <w:tcPr>
            <w:tcW w:w="860" w:type="dxa"/>
            <w:vAlign w:val="bottom"/>
            <w:tcBorders>
              <w:right w:val="single" w:sz="8" w:color="D0EBF2"/>
            </w:tcBorders>
            <w:shd w:val="clear" w:color="auto" w:fill="D0EBF2"/>
          </w:tcPr>
          <w:p>
            <w:pPr>
              <w:jc w:val="right"/>
              <w:spacing w:after="0"/>
              <w:rPr>
                <w:sz w:val="20"/>
                <w:szCs w:val="20"/>
                <w:color w:val="auto"/>
              </w:rPr>
            </w:pPr>
            <w:r>
              <w:rPr>
                <w:rFonts w:ascii="Times New Roman" w:cs="Times New Roman" w:eastAsia="Times New Roman" w:hAnsi="Times New Roman"/>
                <w:sz w:val="15"/>
                <w:szCs w:val="15"/>
                <w:color w:val="231F20"/>
              </w:rPr>
              <w:t>—</w:t>
            </w:r>
          </w:p>
        </w:tc>
        <w:tc>
          <w:tcPr>
            <w:tcW w:w="80" w:type="dxa"/>
            <w:vAlign w:val="bottom"/>
            <w:shd w:val="clear" w:color="auto" w:fill="D0EBF2"/>
          </w:tcPr>
          <w:p>
            <w:pPr>
              <w:spacing w:after="0"/>
              <w:rPr>
                <w:sz w:val="16"/>
                <w:szCs w:val="16"/>
                <w:color w:val="auto"/>
              </w:rPr>
            </w:pPr>
          </w:p>
        </w:tc>
        <w:tc>
          <w:tcPr>
            <w:tcW w:w="100" w:type="dxa"/>
            <w:vAlign w:val="bottom"/>
            <w:shd w:val="clear" w:color="auto" w:fill="D0EBF2"/>
          </w:tcPr>
          <w:p>
            <w:pPr>
              <w:spacing w:after="0"/>
              <w:rPr>
                <w:sz w:val="16"/>
                <w:szCs w:val="16"/>
                <w:color w:val="auto"/>
              </w:rPr>
            </w:pPr>
          </w:p>
        </w:tc>
        <w:tc>
          <w:tcPr>
            <w:tcW w:w="120" w:type="dxa"/>
            <w:vAlign w:val="bottom"/>
            <w:tcBorders>
              <w:left w:val="single" w:sz="8" w:color="D0EBF2"/>
            </w:tcBorders>
            <w:shd w:val="clear" w:color="auto" w:fill="D0EBF2"/>
          </w:tcPr>
          <w:p>
            <w:pPr>
              <w:spacing w:after="0"/>
              <w:rPr>
                <w:sz w:val="16"/>
                <w:szCs w:val="16"/>
                <w:color w:val="auto"/>
              </w:rPr>
            </w:pPr>
          </w:p>
        </w:tc>
        <w:tc>
          <w:tcPr>
            <w:tcW w:w="920" w:type="dxa"/>
            <w:vAlign w:val="bottom"/>
            <w:gridSpan w:val="2"/>
            <w:shd w:val="clear" w:color="auto" w:fill="D0EBF2"/>
          </w:tcPr>
          <w:p>
            <w:pPr>
              <w:jc w:val="right"/>
              <w:ind w:right="20"/>
              <w:spacing w:after="0"/>
              <w:rPr>
                <w:sz w:val="20"/>
                <w:szCs w:val="20"/>
                <w:color w:val="auto"/>
              </w:rPr>
            </w:pPr>
            <w:r>
              <w:rPr>
                <w:rFonts w:ascii="Times New Roman" w:cs="Times New Roman" w:eastAsia="Times New Roman" w:hAnsi="Times New Roman"/>
                <w:sz w:val="15"/>
                <w:szCs w:val="15"/>
                <w:color w:val="231F20"/>
              </w:rPr>
              <w:t>4,680</w:t>
            </w:r>
          </w:p>
        </w:tc>
        <w:tc>
          <w:tcPr>
            <w:tcW w:w="100" w:type="dxa"/>
            <w:vAlign w:val="bottom"/>
            <w:shd w:val="clear" w:color="auto" w:fill="D0EBF2"/>
          </w:tcPr>
          <w:p>
            <w:pPr>
              <w:spacing w:after="0"/>
              <w:rPr>
                <w:sz w:val="16"/>
                <w:szCs w:val="16"/>
                <w:color w:val="auto"/>
              </w:rPr>
            </w:pPr>
          </w:p>
        </w:tc>
        <w:tc>
          <w:tcPr>
            <w:tcW w:w="0" w:type="dxa"/>
            <w:vAlign w:val="bottom"/>
          </w:tcPr>
          <w:p>
            <w:pPr>
              <w:spacing w:after="0"/>
              <w:rPr>
                <w:sz w:val="1"/>
                <w:szCs w:val="1"/>
                <w:color w:val="auto"/>
              </w:rPr>
            </w:pPr>
          </w:p>
        </w:tc>
      </w:tr>
      <w:tr>
        <w:trPr>
          <w:trHeight w:val="128"/>
        </w:trPr>
        <w:tc>
          <w:tcPr>
            <w:tcW w:w="1920" w:type="dxa"/>
            <w:vAlign w:val="bottom"/>
            <w:tcBorders>
              <w:top w:val="single" w:sz="8" w:color="D0EBF2"/>
            </w:tcBorders>
            <w:shd w:val="clear" w:color="auto" w:fill="FDFDFC"/>
          </w:tcPr>
          <w:p>
            <w:pPr>
              <w:spacing w:after="0" w:line="128" w:lineRule="exact"/>
              <w:rPr>
                <w:sz w:val="20"/>
                <w:szCs w:val="20"/>
                <w:color w:val="auto"/>
              </w:rPr>
            </w:pPr>
            <w:r>
              <w:rPr>
                <w:rFonts w:ascii="Times New Roman" w:cs="Times New Roman" w:eastAsia="Times New Roman" w:hAnsi="Times New Roman"/>
                <w:sz w:val="14"/>
                <w:szCs w:val="14"/>
                <w:color w:val="231F20"/>
              </w:rPr>
              <w:t>Total Hedge Accounting</w:t>
            </w:r>
          </w:p>
        </w:tc>
        <w:tc>
          <w:tcPr>
            <w:tcW w:w="1080" w:type="dxa"/>
            <w:vAlign w:val="bottom"/>
            <w:tcBorders>
              <w:top w:val="single" w:sz="8" w:color="D0EBF2"/>
            </w:tcBorders>
            <w:shd w:val="clear" w:color="auto" w:fill="FDFDFC"/>
          </w:tcPr>
          <w:p>
            <w:pPr>
              <w:spacing w:after="0"/>
              <w:rPr>
                <w:sz w:val="11"/>
                <w:szCs w:val="11"/>
                <w:color w:val="auto"/>
              </w:rPr>
            </w:pPr>
          </w:p>
        </w:tc>
        <w:tc>
          <w:tcPr>
            <w:tcW w:w="120" w:type="dxa"/>
            <w:vAlign w:val="bottom"/>
            <w:tcBorders>
              <w:top w:val="single" w:sz="8" w:color="D0EBF2"/>
            </w:tcBorders>
            <w:shd w:val="clear" w:color="auto" w:fill="FDFDFC"/>
          </w:tcPr>
          <w:p>
            <w:pPr>
              <w:spacing w:after="0"/>
              <w:rPr>
                <w:sz w:val="11"/>
                <w:szCs w:val="11"/>
                <w:color w:val="auto"/>
              </w:rPr>
            </w:pPr>
          </w:p>
        </w:tc>
        <w:tc>
          <w:tcPr>
            <w:tcW w:w="1080" w:type="dxa"/>
            <w:vAlign w:val="bottom"/>
            <w:tcBorders>
              <w:top w:val="single" w:sz="8" w:color="D0EBF2"/>
            </w:tcBorders>
            <w:shd w:val="clear" w:color="auto" w:fill="FDFDFC"/>
          </w:tcPr>
          <w:p>
            <w:pPr>
              <w:spacing w:after="0"/>
              <w:rPr>
                <w:sz w:val="11"/>
                <w:szCs w:val="11"/>
                <w:color w:val="auto"/>
              </w:rPr>
            </w:pPr>
          </w:p>
        </w:tc>
        <w:tc>
          <w:tcPr>
            <w:tcW w:w="140" w:type="dxa"/>
            <w:vAlign w:val="bottom"/>
            <w:tcBorders>
              <w:top w:val="single" w:sz="8" w:color="D0EBF2"/>
            </w:tcBorders>
            <w:shd w:val="clear" w:color="auto" w:fill="FDFDFC"/>
          </w:tcPr>
          <w:p>
            <w:pPr>
              <w:spacing w:after="0"/>
              <w:rPr>
                <w:sz w:val="11"/>
                <w:szCs w:val="11"/>
                <w:color w:val="auto"/>
              </w:rPr>
            </w:pPr>
          </w:p>
        </w:tc>
        <w:tc>
          <w:tcPr>
            <w:tcW w:w="1080" w:type="dxa"/>
            <w:vAlign w:val="bottom"/>
            <w:tcBorders>
              <w:top w:val="single" w:sz="8" w:color="D0EBF2"/>
            </w:tcBorders>
            <w:shd w:val="clear" w:color="auto" w:fill="FDFDFC"/>
          </w:tcPr>
          <w:p>
            <w:pPr>
              <w:spacing w:after="0"/>
              <w:rPr>
                <w:sz w:val="11"/>
                <w:szCs w:val="11"/>
                <w:color w:val="auto"/>
              </w:rPr>
            </w:pPr>
          </w:p>
        </w:tc>
        <w:tc>
          <w:tcPr>
            <w:tcW w:w="100" w:type="dxa"/>
            <w:vAlign w:val="bottom"/>
            <w:tcBorders>
              <w:top w:val="single" w:sz="8" w:color="D0EBF2"/>
            </w:tcBorders>
            <w:shd w:val="clear" w:color="auto" w:fill="FDFDFC"/>
          </w:tcPr>
          <w:p>
            <w:pPr>
              <w:spacing w:after="0"/>
              <w:rPr>
                <w:sz w:val="11"/>
                <w:szCs w:val="11"/>
                <w:color w:val="auto"/>
              </w:rPr>
            </w:pPr>
          </w:p>
        </w:tc>
        <w:tc>
          <w:tcPr>
            <w:tcW w:w="140" w:type="dxa"/>
            <w:vAlign w:val="bottom"/>
            <w:tcBorders>
              <w:top w:val="single" w:sz="8" w:color="231F20"/>
            </w:tcBorders>
            <w:shd w:val="clear" w:color="auto" w:fill="FDFDFC"/>
          </w:tcPr>
          <w:p>
            <w:pPr>
              <w:spacing w:after="0"/>
              <w:rPr>
                <w:sz w:val="11"/>
                <w:szCs w:val="11"/>
                <w:color w:val="auto"/>
              </w:rPr>
            </w:pPr>
          </w:p>
        </w:tc>
        <w:tc>
          <w:tcPr>
            <w:tcW w:w="860" w:type="dxa"/>
            <w:vAlign w:val="bottom"/>
            <w:tcBorders>
              <w:top w:val="single" w:sz="8" w:color="231F20"/>
            </w:tcBorders>
            <w:vMerge w:val="restart"/>
            <w:shd w:val="clear" w:color="auto" w:fill="FDFDFC"/>
          </w:tcPr>
          <w:p>
            <w:pPr>
              <w:jc w:val="right"/>
              <w:spacing w:after="0"/>
              <w:rPr>
                <w:sz w:val="20"/>
                <w:szCs w:val="20"/>
                <w:color w:val="auto"/>
              </w:rPr>
            </w:pPr>
            <w:r>
              <w:rPr>
                <w:rFonts w:ascii="Times New Roman" w:cs="Times New Roman" w:eastAsia="Times New Roman" w:hAnsi="Times New Roman"/>
                <w:sz w:val="15"/>
                <w:szCs w:val="15"/>
                <w:color w:val="231F20"/>
              </w:rPr>
              <w:t>952,500</w:t>
            </w:r>
          </w:p>
        </w:tc>
        <w:tc>
          <w:tcPr>
            <w:tcW w:w="100" w:type="dxa"/>
            <w:vAlign w:val="bottom"/>
            <w:tcBorders>
              <w:top w:val="single" w:sz="8" w:color="D0EBF2"/>
            </w:tcBorders>
            <w:shd w:val="clear" w:color="auto" w:fill="FDFDFC"/>
          </w:tcPr>
          <w:p>
            <w:pPr>
              <w:spacing w:after="0"/>
              <w:rPr>
                <w:sz w:val="11"/>
                <w:szCs w:val="11"/>
                <w:color w:val="auto"/>
              </w:rPr>
            </w:pPr>
          </w:p>
        </w:tc>
        <w:tc>
          <w:tcPr>
            <w:tcW w:w="100" w:type="dxa"/>
            <w:vAlign w:val="bottom"/>
            <w:tcBorders>
              <w:top w:val="single" w:sz="8" w:color="D0EBF2"/>
            </w:tcBorders>
            <w:shd w:val="clear" w:color="auto" w:fill="FDFDFC"/>
          </w:tcPr>
          <w:p>
            <w:pPr>
              <w:spacing w:after="0"/>
              <w:rPr>
                <w:sz w:val="11"/>
                <w:szCs w:val="11"/>
                <w:color w:val="auto"/>
              </w:rPr>
            </w:pPr>
          </w:p>
        </w:tc>
        <w:tc>
          <w:tcPr>
            <w:tcW w:w="80" w:type="dxa"/>
            <w:vAlign w:val="bottom"/>
            <w:tcBorders>
              <w:top w:val="single" w:sz="8" w:color="231F20"/>
            </w:tcBorders>
            <w:shd w:val="clear" w:color="auto" w:fill="FDFDFC"/>
          </w:tcPr>
          <w:p>
            <w:pPr>
              <w:spacing w:after="0"/>
              <w:rPr>
                <w:sz w:val="11"/>
                <w:szCs w:val="11"/>
                <w:color w:val="auto"/>
              </w:rPr>
            </w:pPr>
          </w:p>
        </w:tc>
        <w:tc>
          <w:tcPr>
            <w:tcW w:w="120" w:type="dxa"/>
            <w:vAlign w:val="bottom"/>
            <w:tcBorders>
              <w:top w:val="single" w:sz="8" w:color="231F20"/>
            </w:tcBorders>
            <w:shd w:val="clear" w:color="auto" w:fill="FDFDFC"/>
          </w:tcPr>
          <w:p>
            <w:pPr>
              <w:spacing w:after="0"/>
              <w:rPr>
                <w:sz w:val="11"/>
                <w:szCs w:val="11"/>
                <w:color w:val="auto"/>
              </w:rPr>
            </w:pPr>
          </w:p>
        </w:tc>
        <w:tc>
          <w:tcPr>
            <w:tcW w:w="920" w:type="dxa"/>
            <w:vAlign w:val="bottom"/>
            <w:tcBorders>
              <w:top w:val="single" w:sz="8" w:color="231F20"/>
              <w:right w:val="single" w:sz="8" w:color="FDFDFC"/>
            </w:tcBorders>
            <w:vMerge w:val="restart"/>
            <w:shd w:val="clear" w:color="auto" w:fill="FDFDFC"/>
          </w:tcPr>
          <w:p>
            <w:pPr>
              <w:jc w:val="right"/>
              <w:ind w:right="24"/>
              <w:spacing w:after="0"/>
              <w:rPr>
                <w:sz w:val="20"/>
                <w:szCs w:val="20"/>
                <w:color w:val="auto"/>
              </w:rPr>
            </w:pPr>
            <w:r>
              <w:rPr>
                <w:rFonts w:ascii="Times New Roman" w:cs="Times New Roman" w:eastAsia="Times New Roman" w:hAnsi="Times New Roman"/>
                <w:sz w:val="15"/>
                <w:szCs w:val="15"/>
                <w:color w:val="231F20"/>
              </w:rPr>
              <w:t>(31,840)</w:t>
            </w:r>
          </w:p>
        </w:tc>
        <w:tc>
          <w:tcPr>
            <w:tcW w:w="100" w:type="dxa"/>
            <w:vAlign w:val="bottom"/>
            <w:tcBorders>
              <w:top w:val="single" w:sz="8" w:color="D0EBF2"/>
            </w:tcBorders>
            <w:shd w:val="clear" w:color="auto" w:fill="FDFDFC"/>
          </w:tcPr>
          <w:p>
            <w:pPr>
              <w:spacing w:after="0"/>
              <w:rPr>
                <w:sz w:val="11"/>
                <w:szCs w:val="11"/>
                <w:color w:val="auto"/>
              </w:rPr>
            </w:pPr>
          </w:p>
        </w:tc>
        <w:tc>
          <w:tcPr>
            <w:tcW w:w="160" w:type="dxa"/>
            <w:vAlign w:val="bottom"/>
            <w:tcBorders>
              <w:top w:val="single" w:sz="8" w:color="231F20"/>
              <w:left w:val="single" w:sz="8" w:color="FDFDFC"/>
            </w:tcBorders>
            <w:shd w:val="clear" w:color="auto" w:fill="FDFDFC"/>
          </w:tcPr>
          <w:p>
            <w:pPr>
              <w:spacing w:after="0"/>
              <w:rPr>
                <w:sz w:val="11"/>
                <w:szCs w:val="11"/>
                <w:color w:val="auto"/>
              </w:rPr>
            </w:pPr>
          </w:p>
        </w:tc>
        <w:tc>
          <w:tcPr>
            <w:tcW w:w="860" w:type="dxa"/>
            <w:vAlign w:val="bottom"/>
            <w:tcBorders>
              <w:top w:val="single" w:sz="8" w:color="231F20"/>
              <w:right w:val="single" w:sz="8" w:color="FDFDFC"/>
            </w:tcBorders>
            <w:vMerge w:val="restart"/>
            <w:shd w:val="clear" w:color="auto" w:fill="FDFDFC"/>
          </w:tcPr>
          <w:p>
            <w:pPr>
              <w:jc w:val="right"/>
              <w:spacing w:after="0"/>
              <w:rPr>
                <w:sz w:val="20"/>
                <w:szCs w:val="20"/>
                <w:color w:val="auto"/>
              </w:rPr>
            </w:pPr>
            <w:r>
              <w:rPr>
                <w:rFonts w:ascii="Times New Roman" w:cs="Times New Roman" w:eastAsia="Times New Roman" w:hAnsi="Times New Roman"/>
                <w:sz w:val="15"/>
                <w:szCs w:val="15"/>
                <w:color w:val="231F20"/>
              </w:rPr>
              <w:t>—</w:t>
            </w:r>
          </w:p>
        </w:tc>
        <w:tc>
          <w:tcPr>
            <w:tcW w:w="80" w:type="dxa"/>
            <w:vAlign w:val="bottom"/>
            <w:tcBorders>
              <w:top w:val="single" w:sz="8" w:color="D0EBF2"/>
            </w:tcBorders>
            <w:shd w:val="clear" w:color="auto" w:fill="FDFDFC"/>
          </w:tcPr>
          <w:p>
            <w:pPr>
              <w:spacing w:after="0"/>
              <w:rPr>
                <w:sz w:val="11"/>
                <w:szCs w:val="11"/>
                <w:color w:val="auto"/>
              </w:rPr>
            </w:pPr>
          </w:p>
        </w:tc>
        <w:tc>
          <w:tcPr>
            <w:tcW w:w="100" w:type="dxa"/>
            <w:vAlign w:val="bottom"/>
            <w:tcBorders>
              <w:top w:val="single" w:sz="8" w:color="D0EBF2"/>
            </w:tcBorders>
            <w:shd w:val="clear" w:color="auto" w:fill="FDFDFC"/>
          </w:tcPr>
          <w:p>
            <w:pPr>
              <w:spacing w:after="0"/>
              <w:rPr>
                <w:sz w:val="11"/>
                <w:szCs w:val="11"/>
                <w:color w:val="auto"/>
              </w:rPr>
            </w:pPr>
          </w:p>
        </w:tc>
        <w:tc>
          <w:tcPr>
            <w:tcW w:w="120" w:type="dxa"/>
            <w:vAlign w:val="bottom"/>
            <w:tcBorders>
              <w:top w:val="single" w:sz="8" w:color="231F20"/>
              <w:left w:val="single" w:sz="8" w:color="FDFDFC"/>
            </w:tcBorders>
            <w:shd w:val="clear" w:color="auto" w:fill="FDFDFC"/>
          </w:tcPr>
          <w:p>
            <w:pPr>
              <w:spacing w:after="0"/>
              <w:rPr>
                <w:sz w:val="11"/>
                <w:szCs w:val="11"/>
                <w:color w:val="auto"/>
              </w:rPr>
            </w:pPr>
          </w:p>
        </w:tc>
        <w:tc>
          <w:tcPr>
            <w:tcW w:w="920" w:type="dxa"/>
            <w:vAlign w:val="bottom"/>
            <w:tcBorders>
              <w:top w:val="single" w:sz="8" w:color="231F20"/>
            </w:tcBorders>
            <w:gridSpan w:val="2"/>
            <w:vMerge w:val="restart"/>
            <w:shd w:val="clear" w:color="auto" w:fill="FDFDFC"/>
          </w:tcPr>
          <w:p>
            <w:pPr>
              <w:jc w:val="right"/>
              <w:ind w:right="20"/>
              <w:spacing w:after="0"/>
              <w:rPr>
                <w:sz w:val="20"/>
                <w:szCs w:val="20"/>
                <w:color w:val="auto"/>
              </w:rPr>
            </w:pPr>
            <w:r>
              <w:rPr>
                <w:rFonts w:ascii="Times New Roman" w:cs="Times New Roman" w:eastAsia="Times New Roman" w:hAnsi="Times New Roman"/>
                <w:sz w:val="15"/>
                <w:szCs w:val="15"/>
                <w:color w:val="231F20"/>
              </w:rPr>
              <w:t>23,243</w:t>
            </w:r>
          </w:p>
        </w:tc>
        <w:tc>
          <w:tcPr>
            <w:tcW w:w="100" w:type="dxa"/>
            <w:vAlign w:val="bottom"/>
            <w:tcBorders>
              <w:top w:val="single" w:sz="8" w:color="D0EBF2"/>
            </w:tcBorders>
            <w:shd w:val="clear" w:color="auto" w:fill="FDFDFC"/>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1920" w:type="dxa"/>
            <w:vAlign w:val="bottom"/>
            <w:shd w:val="clear" w:color="auto" w:fill="FDFDFC"/>
          </w:tcPr>
          <w:p>
            <w:pPr>
              <w:spacing w:after="0"/>
              <w:rPr>
                <w:sz w:val="20"/>
                <w:szCs w:val="20"/>
                <w:color w:val="auto"/>
              </w:rPr>
            </w:pPr>
            <w:r>
              <w:rPr>
                <w:rFonts w:ascii="Times New Roman" w:cs="Times New Roman" w:eastAsia="Times New Roman" w:hAnsi="Times New Roman"/>
                <w:sz w:val="15"/>
                <w:szCs w:val="15"/>
                <w:color w:val="231F20"/>
              </w:rPr>
              <w:t>Swaps</w:t>
            </w:r>
          </w:p>
        </w:tc>
        <w:tc>
          <w:tcPr>
            <w:tcW w:w="1080" w:type="dxa"/>
            <w:vAlign w:val="bottom"/>
            <w:shd w:val="clear" w:color="auto" w:fill="FDFDFC"/>
          </w:tcPr>
          <w:p>
            <w:pPr>
              <w:spacing w:after="0"/>
              <w:rPr>
                <w:sz w:val="16"/>
                <w:szCs w:val="16"/>
                <w:color w:val="auto"/>
              </w:rPr>
            </w:pPr>
          </w:p>
        </w:tc>
        <w:tc>
          <w:tcPr>
            <w:tcW w:w="120" w:type="dxa"/>
            <w:vAlign w:val="bottom"/>
            <w:shd w:val="clear" w:color="auto" w:fill="FDFDFC"/>
          </w:tcPr>
          <w:p>
            <w:pPr>
              <w:spacing w:after="0"/>
              <w:rPr>
                <w:sz w:val="16"/>
                <w:szCs w:val="16"/>
                <w:color w:val="auto"/>
              </w:rPr>
            </w:pPr>
          </w:p>
        </w:tc>
        <w:tc>
          <w:tcPr>
            <w:tcW w:w="1080" w:type="dxa"/>
            <w:vAlign w:val="bottom"/>
            <w:shd w:val="clear" w:color="auto" w:fill="FDFDFC"/>
          </w:tcPr>
          <w:p>
            <w:pPr>
              <w:spacing w:after="0"/>
              <w:rPr>
                <w:sz w:val="16"/>
                <w:szCs w:val="16"/>
                <w:color w:val="auto"/>
              </w:rPr>
            </w:pPr>
          </w:p>
        </w:tc>
        <w:tc>
          <w:tcPr>
            <w:tcW w:w="140" w:type="dxa"/>
            <w:vAlign w:val="bottom"/>
            <w:shd w:val="clear" w:color="auto" w:fill="FDFDFC"/>
          </w:tcPr>
          <w:p>
            <w:pPr>
              <w:spacing w:after="0"/>
              <w:rPr>
                <w:sz w:val="16"/>
                <w:szCs w:val="16"/>
                <w:color w:val="auto"/>
              </w:rPr>
            </w:pPr>
          </w:p>
        </w:tc>
        <w:tc>
          <w:tcPr>
            <w:tcW w:w="1080" w:type="dxa"/>
            <w:vAlign w:val="bottom"/>
            <w:shd w:val="clear" w:color="auto" w:fill="FDFDFC"/>
          </w:tcPr>
          <w:p>
            <w:pPr>
              <w:spacing w:after="0"/>
              <w:rPr>
                <w:sz w:val="16"/>
                <w:szCs w:val="16"/>
                <w:color w:val="auto"/>
              </w:rPr>
            </w:pPr>
          </w:p>
        </w:tc>
        <w:tc>
          <w:tcPr>
            <w:tcW w:w="100" w:type="dxa"/>
            <w:vAlign w:val="bottom"/>
            <w:shd w:val="clear" w:color="auto" w:fill="FDFDFC"/>
          </w:tcPr>
          <w:p>
            <w:pPr>
              <w:spacing w:after="0"/>
              <w:rPr>
                <w:sz w:val="16"/>
                <w:szCs w:val="16"/>
                <w:color w:val="auto"/>
              </w:rPr>
            </w:pPr>
          </w:p>
        </w:tc>
        <w:tc>
          <w:tcPr>
            <w:tcW w:w="140" w:type="dxa"/>
            <w:vAlign w:val="bottom"/>
            <w:shd w:val="clear" w:color="auto" w:fill="FDFDFC"/>
          </w:tcPr>
          <w:p>
            <w:pPr>
              <w:spacing w:after="0"/>
              <w:rPr>
                <w:sz w:val="16"/>
                <w:szCs w:val="16"/>
                <w:color w:val="auto"/>
              </w:rPr>
            </w:pPr>
          </w:p>
        </w:tc>
        <w:tc>
          <w:tcPr>
            <w:tcW w:w="860" w:type="dxa"/>
            <w:vAlign w:val="bottom"/>
            <w:vMerge w:val="continue"/>
            <w:shd w:val="clear" w:color="auto" w:fill="FDFDFC"/>
          </w:tcPr>
          <w:p>
            <w:pPr>
              <w:spacing w:after="0"/>
              <w:rPr>
                <w:sz w:val="16"/>
                <w:szCs w:val="16"/>
                <w:color w:val="auto"/>
              </w:rPr>
            </w:pPr>
          </w:p>
        </w:tc>
        <w:tc>
          <w:tcPr>
            <w:tcW w:w="100" w:type="dxa"/>
            <w:vAlign w:val="bottom"/>
            <w:shd w:val="clear" w:color="auto" w:fill="FDFDFC"/>
          </w:tcPr>
          <w:p>
            <w:pPr>
              <w:spacing w:after="0"/>
              <w:rPr>
                <w:sz w:val="16"/>
                <w:szCs w:val="16"/>
                <w:color w:val="auto"/>
              </w:rPr>
            </w:pPr>
          </w:p>
        </w:tc>
        <w:tc>
          <w:tcPr>
            <w:tcW w:w="100" w:type="dxa"/>
            <w:vAlign w:val="bottom"/>
            <w:shd w:val="clear" w:color="auto" w:fill="FDFDFC"/>
          </w:tcPr>
          <w:p>
            <w:pPr>
              <w:spacing w:after="0"/>
              <w:rPr>
                <w:sz w:val="16"/>
                <w:szCs w:val="16"/>
                <w:color w:val="auto"/>
              </w:rPr>
            </w:pPr>
          </w:p>
        </w:tc>
        <w:tc>
          <w:tcPr>
            <w:tcW w:w="80" w:type="dxa"/>
            <w:vAlign w:val="bottom"/>
            <w:shd w:val="clear" w:color="auto" w:fill="FDFDFC"/>
          </w:tcPr>
          <w:p>
            <w:pPr>
              <w:spacing w:after="0"/>
              <w:rPr>
                <w:sz w:val="16"/>
                <w:szCs w:val="16"/>
                <w:color w:val="auto"/>
              </w:rPr>
            </w:pPr>
          </w:p>
        </w:tc>
        <w:tc>
          <w:tcPr>
            <w:tcW w:w="120" w:type="dxa"/>
            <w:vAlign w:val="bottom"/>
            <w:shd w:val="clear" w:color="auto" w:fill="FDFDFC"/>
          </w:tcPr>
          <w:p>
            <w:pPr>
              <w:spacing w:after="0"/>
              <w:rPr>
                <w:sz w:val="16"/>
                <w:szCs w:val="16"/>
                <w:color w:val="auto"/>
              </w:rPr>
            </w:pPr>
          </w:p>
        </w:tc>
        <w:tc>
          <w:tcPr>
            <w:tcW w:w="920" w:type="dxa"/>
            <w:vAlign w:val="bottom"/>
            <w:tcBorders>
              <w:right w:val="single" w:sz="8" w:color="FDFDFC"/>
            </w:tcBorders>
            <w:vMerge w:val="continue"/>
            <w:shd w:val="clear" w:color="auto" w:fill="FDFDFC"/>
          </w:tcPr>
          <w:p>
            <w:pPr>
              <w:spacing w:after="0"/>
              <w:rPr>
                <w:sz w:val="16"/>
                <w:szCs w:val="16"/>
                <w:color w:val="auto"/>
              </w:rPr>
            </w:pPr>
          </w:p>
        </w:tc>
        <w:tc>
          <w:tcPr>
            <w:tcW w:w="100" w:type="dxa"/>
            <w:vAlign w:val="bottom"/>
            <w:shd w:val="clear" w:color="auto" w:fill="FDFDFC"/>
          </w:tcPr>
          <w:p>
            <w:pPr>
              <w:spacing w:after="0"/>
              <w:rPr>
                <w:sz w:val="16"/>
                <w:szCs w:val="16"/>
                <w:color w:val="auto"/>
              </w:rPr>
            </w:pPr>
          </w:p>
        </w:tc>
        <w:tc>
          <w:tcPr>
            <w:tcW w:w="160" w:type="dxa"/>
            <w:vAlign w:val="bottom"/>
            <w:tcBorders>
              <w:left w:val="single" w:sz="8" w:color="FDFDFC"/>
            </w:tcBorders>
            <w:shd w:val="clear" w:color="auto" w:fill="FDFDFC"/>
          </w:tcPr>
          <w:p>
            <w:pPr>
              <w:spacing w:after="0"/>
              <w:rPr>
                <w:sz w:val="16"/>
                <w:szCs w:val="16"/>
                <w:color w:val="auto"/>
              </w:rPr>
            </w:pPr>
          </w:p>
        </w:tc>
        <w:tc>
          <w:tcPr>
            <w:tcW w:w="860" w:type="dxa"/>
            <w:vAlign w:val="bottom"/>
            <w:tcBorders>
              <w:right w:val="single" w:sz="8" w:color="FDFDFC"/>
            </w:tcBorders>
            <w:vMerge w:val="continue"/>
            <w:shd w:val="clear" w:color="auto" w:fill="FDFDFC"/>
          </w:tcPr>
          <w:p>
            <w:pPr>
              <w:spacing w:after="0"/>
              <w:rPr>
                <w:sz w:val="16"/>
                <w:szCs w:val="16"/>
                <w:color w:val="auto"/>
              </w:rPr>
            </w:pPr>
          </w:p>
        </w:tc>
        <w:tc>
          <w:tcPr>
            <w:tcW w:w="80" w:type="dxa"/>
            <w:vAlign w:val="bottom"/>
            <w:shd w:val="clear" w:color="auto" w:fill="FDFDFC"/>
          </w:tcPr>
          <w:p>
            <w:pPr>
              <w:spacing w:after="0"/>
              <w:rPr>
                <w:sz w:val="16"/>
                <w:szCs w:val="16"/>
                <w:color w:val="auto"/>
              </w:rPr>
            </w:pPr>
          </w:p>
        </w:tc>
        <w:tc>
          <w:tcPr>
            <w:tcW w:w="100" w:type="dxa"/>
            <w:vAlign w:val="bottom"/>
            <w:shd w:val="clear" w:color="auto" w:fill="FDFDFC"/>
          </w:tcPr>
          <w:p>
            <w:pPr>
              <w:spacing w:after="0"/>
              <w:rPr>
                <w:sz w:val="16"/>
                <w:szCs w:val="16"/>
                <w:color w:val="auto"/>
              </w:rPr>
            </w:pPr>
          </w:p>
        </w:tc>
        <w:tc>
          <w:tcPr>
            <w:tcW w:w="120" w:type="dxa"/>
            <w:vAlign w:val="bottom"/>
            <w:tcBorders>
              <w:left w:val="single" w:sz="8" w:color="FDFDFC"/>
            </w:tcBorders>
            <w:shd w:val="clear" w:color="auto" w:fill="FDFDFC"/>
          </w:tcPr>
          <w:p>
            <w:pPr>
              <w:spacing w:after="0"/>
              <w:rPr>
                <w:sz w:val="16"/>
                <w:szCs w:val="16"/>
                <w:color w:val="auto"/>
              </w:rPr>
            </w:pPr>
          </w:p>
        </w:tc>
        <w:tc>
          <w:tcPr>
            <w:tcW w:w="920" w:type="dxa"/>
            <w:vAlign w:val="bottom"/>
            <w:gridSpan w:val="2"/>
            <w:vMerge w:val="continue"/>
            <w:shd w:val="clear" w:color="auto" w:fill="FDFDFC"/>
          </w:tcPr>
          <w:p>
            <w:pPr>
              <w:spacing w:after="0"/>
              <w:rPr>
                <w:sz w:val="16"/>
                <w:szCs w:val="16"/>
                <w:color w:val="auto"/>
              </w:rPr>
            </w:pPr>
          </w:p>
        </w:tc>
        <w:tc>
          <w:tcPr>
            <w:tcW w:w="100" w:type="dxa"/>
            <w:vAlign w:val="bottom"/>
            <w:shd w:val="clear" w:color="auto" w:fill="FDFDFC"/>
          </w:tcPr>
          <w:p>
            <w:pPr>
              <w:spacing w:after="0"/>
              <w:rPr>
                <w:sz w:val="16"/>
                <w:szCs w:val="16"/>
                <w:color w:val="auto"/>
              </w:rPr>
            </w:pPr>
          </w:p>
        </w:tc>
        <w:tc>
          <w:tcPr>
            <w:tcW w:w="0" w:type="dxa"/>
            <w:vAlign w:val="bottom"/>
          </w:tcPr>
          <w:p>
            <w:pPr>
              <w:spacing w:after="0"/>
              <w:rPr>
                <w:sz w:val="1"/>
                <w:szCs w:val="1"/>
                <w:color w:val="auto"/>
              </w:rPr>
            </w:pPr>
          </w:p>
        </w:tc>
      </w:tr>
      <w:tr>
        <w:trPr>
          <w:trHeight w:val="174"/>
        </w:trPr>
        <w:tc>
          <w:tcPr>
            <w:tcW w:w="1920" w:type="dxa"/>
            <w:vAlign w:val="bottom"/>
            <w:tcBorders>
              <w:bottom w:val="single" w:sz="8" w:color="FDFDFC"/>
            </w:tcBorders>
            <w:shd w:val="clear" w:color="auto" w:fill="D0EBF2"/>
          </w:tcPr>
          <w:p>
            <w:pPr>
              <w:spacing w:after="0"/>
              <w:rPr>
                <w:sz w:val="20"/>
                <w:szCs w:val="20"/>
                <w:color w:val="auto"/>
              </w:rPr>
            </w:pPr>
            <w:r>
              <w:rPr>
                <w:rFonts w:ascii="Times New Roman" w:cs="Times New Roman" w:eastAsia="Times New Roman" w:hAnsi="Times New Roman"/>
                <w:sz w:val="15"/>
                <w:szCs w:val="15"/>
                <w:color w:val="231F20"/>
              </w:rPr>
              <w:t>Cash collateral</w:t>
            </w:r>
          </w:p>
        </w:tc>
        <w:tc>
          <w:tcPr>
            <w:tcW w:w="1080" w:type="dxa"/>
            <w:vAlign w:val="bottom"/>
            <w:tcBorders>
              <w:bottom w:val="single" w:sz="8" w:color="FDFDFC"/>
            </w:tcBorders>
            <w:shd w:val="clear" w:color="auto" w:fill="D0EBF2"/>
          </w:tcPr>
          <w:p>
            <w:pPr>
              <w:spacing w:after="0"/>
              <w:rPr>
                <w:sz w:val="15"/>
                <w:szCs w:val="15"/>
                <w:color w:val="auto"/>
              </w:rPr>
            </w:pPr>
          </w:p>
        </w:tc>
        <w:tc>
          <w:tcPr>
            <w:tcW w:w="120" w:type="dxa"/>
            <w:vAlign w:val="bottom"/>
            <w:tcBorders>
              <w:bottom w:val="single" w:sz="8" w:color="FDFDFC"/>
            </w:tcBorders>
            <w:shd w:val="clear" w:color="auto" w:fill="D0EBF2"/>
          </w:tcPr>
          <w:p>
            <w:pPr>
              <w:spacing w:after="0"/>
              <w:rPr>
                <w:sz w:val="15"/>
                <w:szCs w:val="15"/>
                <w:color w:val="auto"/>
              </w:rPr>
            </w:pPr>
          </w:p>
        </w:tc>
        <w:tc>
          <w:tcPr>
            <w:tcW w:w="1080" w:type="dxa"/>
            <w:vAlign w:val="bottom"/>
            <w:tcBorders>
              <w:bottom w:val="single" w:sz="8" w:color="FDFDFC"/>
            </w:tcBorders>
            <w:shd w:val="clear" w:color="auto" w:fill="D0EBF2"/>
          </w:tcPr>
          <w:p>
            <w:pPr>
              <w:spacing w:after="0"/>
              <w:rPr>
                <w:sz w:val="15"/>
                <w:szCs w:val="15"/>
                <w:color w:val="auto"/>
              </w:rPr>
            </w:pPr>
          </w:p>
        </w:tc>
        <w:tc>
          <w:tcPr>
            <w:tcW w:w="140" w:type="dxa"/>
            <w:vAlign w:val="bottom"/>
            <w:tcBorders>
              <w:bottom w:val="single" w:sz="8" w:color="FDFDFC"/>
            </w:tcBorders>
            <w:shd w:val="clear" w:color="auto" w:fill="D0EBF2"/>
          </w:tcPr>
          <w:p>
            <w:pPr>
              <w:spacing w:after="0"/>
              <w:rPr>
                <w:sz w:val="15"/>
                <w:szCs w:val="15"/>
                <w:color w:val="auto"/>
              </w:rPr>
            </w:pPr>
          </w:p>
        </w:tc>
        <w:tc>
          <w:tcPr>
            <w:tcW w:w="1080" w:type="dxa"/>
            <w:vAlign w:val="bottom"/>
            <w:tcBorders>
              <w:bottom w:val="single" w:sz="8" w:color="FDFDFC"/>
            </w:tcBorders>
            <w:shd w:val="clear" w:color="auto" w:fill="D0EBF2"/>
          </w:tcPr>
          <w:p>
            <w:pPr>
              <w:spacing w:after="0"/>
              <w:rPr>
                <w:sz w:val="15"/>
                <w:szCs w:val="15"/>
                <w:color w:val="auto"/>
              </w:rPr>
            </w:pPr>
          </w:p>
        </w:tc>
        <w:tc>
          <w:tcPr>
            <w:tcW w:w="100" w:type="dxa"/>
            <w:vAlign w:val="bottom"/>
            <w:tcBorders>
              <w:bottom w:val="single" w:sz="8" w:color="FDFDFC"/>
            </w:tcBorders>
            <w:shd w:val="clear" w:color="auto" w:fill="D0EBF2"/>
          </w:tcPr>
          <w:p>
            <w:pPr>
              <w:spacing w:after="0"/>
              <w:rPr>
                <w:sz w:val="15"/>
                <w:szCs w:val="15"/>
                <w:color w:val="auto"/>
              </w:rPr>
            </w:pPr>
          </w:p>
        </w:tc>
        <w:tc>
          <w:tcPr>
            <w:tcW w:w="140" w:type="dxa"/>
            <w:vAlign w:val="bottom"/>
            <w:tcBorders>
              <w:bottom w:val="single" w:sz="8" w:color="231F20"/>
            </w:tcBorders>
            <w:shd w:val="clear" w:color="auto" w:fill="D0EBF2"/>
          </w:tcPr>
          <w:p>
            <w:pPr>
              <w:spacing w:after="0"/>
              <w:rPr>
                <w:sz w:val="15"/>
                <w:szCs w:val="15"/>
                <w:color w:val="auto"/>
              </w:rPr>
            </w:pPr>
          </w:p>
        </w:tc>
        <w:tc>
          <w:tcPr>
            <w:tcW w:w="860" w:type="dxa"/>
            <w:vAlign w:val="bottom"/>
            <w:tcBorders>
              <w:bottom w:val="single" w:sz="8" w:color="231F20"/>
            </w:tcBorders>
            <w:shd w:val="clear" w:color="auto" w:fill="D0EBF2"/>
          </w:tcPr>
          <w:p>
            <w:pPr>
              <w:jc w:val="right"/>
              <w:spacing w:after="0"/>
              <w:rPr>
                <w:sz w:val="20"/>
                <w:szCs w:val="20"/>
                <w:color w:val="auto"/>
              </w:rPr>
            </w:pPr>
            <w:r>
              <w:rPr>
                <w:rFonts w:ascii="Times New Roman" w:cs="Times New Roman" w:eastAsia="Times New Roman" w:hAnsi="Times New Roman"/>
                <w:sz w:val="15"/>
                <w:szCs w:val="15"/>
                <w:color w:val="231F20"/>
              </w:rPr>
              <w:t>—</w:t>
            </w:r>
          </w:p>
        </w:tc>
        <w:tc>
          <w:tcPr>
            <w:tcW w:w="100" w:type="dxa"/>
            <w:vAlign w:val="bottom"/>
            <w:tcBorders>
              <w:bottom w:val="single" w:sz="8" w:color="FDFDFC"/>
            </w:tcBorders>
            <w:shd w:val="clear" w:color="auto" w:fill="D0EBF2"/>
          </w:tcPr>
          <w:p>
            <w:pPr>
              <w:spacing w:after="0"/>
              <w:rPr>
                <w:sz w:val="15"/>
                <w:szCs w:val="15"/>
                <w:color w:val="auto"/>
              </w:rPr>
            </w:pPr>
          </w:p>
        </w:tc>
        <w:tc>
          <w:tcPr>
            <w:tcW w:w="100" w:type="dxa"/>
            <w:vAlign w:val="bottom"/>
            <w:tcBorders>
              <w:bottom w:val="single" w:sz="8" w:color="FDFDFC"/>
            </w:tcBorders>
            <w:shd w:val="clear" w:color="auto" w:fill="D0EBF2"/>
          </w:tcPr>
          <w:p>
            <w:pPr>
              <w:spacing w:after="0"/>
              <w:rPr>
                <w:sz w:val="15"/>
                <w:szCs w:val="15"/>
                <w:color w:val="auto"/>
              </w:rPr>
            </w:pPr>
          </w:p>
        </w:tc>
        <w:tc>
          <w:tcPr>
            <w:tcW w:w="80" w:type="dxa"/>
            <w:vAlign w:val="bottom"/>
            <w:tcBorders>
              <w:bottom w:val="single" w:sz="8" w:color="231F20"/>
            </w:tcBorders>
            <w:shd w:val="clear" w:color="auto" w:fill="D0EBF2"/>
          </w:tcPr>
          <w:p>
            <w:pPr>
              <w:spacing w:after="0"/>
              <w:rPr>
                <w:sz w:val="15"/>
                <w:szCs w:val="15"/>
                <w:color w:val="auto"/>
              </w:rPr>
            </w:pPr>
          </w:p>
        </w:tc>
        <w:tc>
          <w:tcPr>
            <w:tcW w:w="120" w:type="dxa"/>
            <w:vAlign w:val="bottom"/>
            <w:tcBorders>
              <w:bottom w:val="single" w:sz="8" w:color="231F20"/>
            </w:tcBorders>
            <w:shd w:val="clear" w:color="auto" w:fill="D0EBF2"/>
          </w:tcPr>
          <w:p>
            <w:pPr>
              <w:spacing w:after="0"/>
              <w:rPr>
                <w:sz w:val="15"/>
                <w:szCs w:val="15"/>
                <w:color w:val="auto"/>
              </w:rPr>
            </w:pPr>
          </w:p>
        </w:tc>
        <w:tc>
          <w:tcPr>
            <w:tcW w:w="920" w:type="dxa"/>
            <w:vAlign w:val="bottom"/>
            <w:tcBorders>
              <w:bottom w:val="single" w:sz="8" w:color="231F20"/>
              <w:right w:val="single" w:sz="8" w:color="D0EBF2"/>
            </w:tcBorders>
            <w:shd w:val="clear" w:color="auto" w:fill="D0EBF2"/>
          </w:tcPr>
          <w:p>
            <w:pPr>
              <w:jc w:val="right"/>
              <w:ind w:right="44"/>
              <w:spacing w:after="0"/>
              <w:rPr>
                <w:sz w:val="20"/>
                <w:szCs w:val="20"/>
                <w:color w:val="auto"/>
              </w:rPr>
            </w:pPr>
            <w:r>
              <w:rPr>
                <w:rFonts w:ascii="Times New Roman" w:cs="Times New Roman" w:eastAsia="Times New Roman" w:hAnsi="Times New Roman"/>
                <w:sz w:val="15"/>
                <w:szCs w:val="15"/>
                <w:color w:val="231F20"/>
              </w:rPr>
              <w:t>55,819</w:t>
            </w:r>
          </w:p>
        </w:tc>
        <w:tc>
          <w:tcPr>
            <w:tcW w:w="100" w:type="dxa"/>
            <w:vAlign w:val="bottom"/>
            <w:tcBorders>
              <w:bottom w:val="single" w:sz="8" w:color="FDFDFC"/>
            </w:tcBorders>
            <w:shd w:val="clear" w:color="auto" w:fill="D0EBF2"/>
          </w:tcPr>
          <w:p>
            <w:pPr>
              <w:spacing w:after="0"/>
              <w:rPr>
                <w:sz w:val="15"/>
                <w:szCs w:val="15"/>
                <w:color w:val="auto"/>
              </w:rPr>
            </w:pPr>
          </w:p>
        </w:tc>
        <w:tc>
          <w:tcPr>
            <w:tcW w:w="160" w:type="dxa"/>
            <w:vAlign w:val="bottom"/>
            <w:tcBorders>
              <w:left w:val="single" w:sz="8" w:color="D0EBF2"/>
              <w:bottom w:val="single" w:sz="8" w:color="231F20"/>
            </w:tcBorders>
            <w:shd w:val="clear" w:color="auto" w:fill="D0EBF2"/>
          </w:tcPr>
          <w:p>
            <w:pPr>
              <w:spacing w:after="0"/>
              <w:rPr>
                <w:sz w:val="15"/>
                <w:szCs w:val="15"/>
                <w:color w:val="auto"/>
              </w:rPr>
            </w:pPr>
          </w:p>
        </w:tc>
        <w:tc>
          <w:tcPr>
            <w:tcW w:w="860" w:type="dxa"/>
            <w:vAlign w:val="bottom"/>
            <w:tcBorders>
              <w:bottom w:val="single" w:sz="8" w:color="231F20"/>
              <w:right w:val="single" w:sz="8" w:color="D0EBF2"/>
            </w:tcBorders>
            <w:shd w:val="clear" w:color="auto" w:fill="D0EBF2"/>
          </w:tcPr>
          <w:p>
            <w:pPr>
              <w:jc w:val="right"/>
              <w:spacing w:after="0"/>
              <w:rPr>
                <w:sz w:val="20"/>
                <w:szCs w:val="20"/>
                <w:color w:val="auto"/>
              </w:rPr>
            </w:pPr>
            <w:r>
              <w:rPr>
                <w:rFonts w:ascii="Times New Roman" w:cs="Times New Roman" w:eastAsia="Times New Roman" w:hAnsi="Times New Roman"/>
                <w:sz w:val="15"/>
                <w:szCs w:val="15"/>
                <w:color w:val="231F20"/>
              </w:rPr>
              <w:t>—</w:t>
            </w:r>
          </w:p>
        </w:tc>
        <w:tc>
          <w:tcPr>
            <w:tcW w:w="80" w:type="dxa"/>
            <w:vAlign w:val="bottom"/>
            <w:tcBorders>
              <w:bottom w:val="single" w:sz="8" w:color="FDFDFC"/>
            </w:tcBorders>
            <w:shd w:val="clear" w:color="auto" w:fill="D0EBF2"/>
          </w:tcPr>
          <w:p>
            <w:pPr>
              <w:spacing w:after="0"/>
              <w:rPr>
                <w:sz w:val="15"/>
                <w:szCs w:val="15"/>
                <w:color w:val="auto"/>
              </w:rPr>
            </w:pPr>
          </w:p>
        </w:tc>
        <w:tc>
          <w:tcPr>
            <w:tcW w:w="100" w:type="dxa"/>
            <w:vAlign w:val="bottom"/>
            <w:tcBorders>
              <w:bottom w:val="single" w:sz="8" w:color="FDFDFC"/>
            </w:tcBorders>
            <w:shd w:val="clear" w:color="auto" w:fill="D0EBF2"/>
          </w:tcPr>
          <w:p>
            <w:pPr>
              <w:spacing w:after="0"/>
              <w:rPr>
                <w:sz w:val="15"/>
                <w:szCs w:val="15"/>
                <w:color w:val="auto"/>
              </w:rPr>
            </w:pPr>
          </w:p>
        </w:tc>
        <w:tc>
          <w:tcPr>
            <w:tcW w:w="120" w:type="dxa"/>
            <w:vAlign w:val="bottom"/>
            <w:tcBorders>
              <w:left w:val="single" w:sz="8" w:color="D0EBF2"/>
              <w:bottom w:val="single" w:sz="8" w:color="231F20"/>
            </w:tcBorders>
            <w:shd w:val="clear" w:color="auto" w:fill="D0EBF2"/>
          </w:tcPr>
          <w:p>
            <w:pPr>
              <w:spacing w:after="0"/>
              <w:rPr>
                <w:sz w:val="15"/>
                <w:szCs w:val="15"/>
                <w:color w:val="auto"/>
              </w:rPr>
            </w:pPr>
          </w:p>
        </w:tc>
        <w:tc>
          <w:tcPr>
            <w:tcW w:w="920" w:type="dxa"/>
            <w:vAlign w:val="bottom"/>
            <w:tcBorders>
              <w:bottom w:val="single" w:sz="8" w:color="231F20"/>
            </w:tcBorders>
            <w:gridSpan w:val="2"/>
            <w:shd w:val="clear" w:color="auto" w:fill="D0EBF2"/>
          </w:tcPr>
          <w:p>
            <w:pPr>
              <w:jc w:val="right"/>
              <w:ind w:right="20"/>
              <w:spacing w:after="0"/>
              <w:rPr>
                <w:sz w:val="20"/>
                <w:szCs w:val="20"/>
                <w:color w:val="auto"/>
              </w:rPr>
            </w:pPr>
            <w:r>
              <w:rPr>
                <w:rFonts w:ascii="Times New Roman" w:cs="Times New Roman" w:eastAsia="Times New Roman" w:hAnsi="Times New Roman"/>
                <w:sz w:val="15"/>
                <w:szCs w:val="15"/>
                <w:color w:val="231F20"/>
              </w:rPr>
              <w:t>—</w:t>
            </w:r>
          </w:p>
        </w:tc>
        <w:tc>
          <w:tcPr>
            <w:tcW w:w="100" w:type="dxa"/>
            <w:vAlign w:val="bottom"/>
            <w:tcBorders>
              <w:bottom w:val="single" w:sz="8" w:color="FDFDFC"/>
            </w:tcBorders>
            <w:shd w:val="clear" w:color="auto" w:fill="D0EBF2"/>
          </w:tcPr>
          <w:p>
            <w:pPr>
              <w:spacing w:after="0"/>
              <w:rPr>
                <w:sz w:val="15"/>
                <w:szCs w:val="15"/>
                <w:color w:val="auto"/>
              </w:rPr>
            </w:pPr>
          </w:p>
        </w:tc>
        <w:tc>
          <w:tcPr>
            <w:tcW w:w="0" w:type="dxa"/>
            <w:vAlign w:val="bottom"/>
          </w:tcPr>
          <w:p>
            <w:pPr>
              <w:spacing w:after="0"/>
              <w:rPr>
                <w:sz w:val="1"/>
                <w:szCs w:val="1"/>
                <w:color w:val="auto"/>
              </w:rPr>
            </w:pPr>
          </w:p>
        </w:tc>
      </w:tr>
      <w:tr>
        <w:trPr>
          <w:trHeight w:val="163"/>
        </w:trPr>
        <w:tc>
          <w:tcPr>
            <w:tcW w:w="1920" w:type="dxa"/>
            <w:vAlign w:val="bottom"/>
            <w:shd w:val="clear" w:color="auto" w:fill="FDFDFC"/>
          </w:tcPr>
          <w:p>
            <w:pPr>
              <w:ind w:left="180"/>
              <w:spacing w:after="0" w:line="164" w:lineRule="exact"/>
              <w:rPr>
                <w:sz w:val="20"/>
                <w:szCs w:val="20"/>
                <w:color w:val="auto"/>
              </w:rPr>
            </w:pPr>
            <w:r>
              <w:rPr>
                <w:rFonts w:ascii="Times New Roman" w:cs="Times New Roman" w:eastAsia="Times New Roman" w:hAnsi="Times New Roman"/>
                <w:sz w:val="15"/>
                <w:szCs w:val="15"/>
                <w:b w:val="1"/>
                <w:bCs w:val="1"/>
                <w:color w:val="231F20"/>
              </w:rPr>
              <w:t>Total derivatives</w:t>
            </w:r>
          </w:p>
        </w:tc>
        <w:tc>
          <w:tcPr>
            <w:tcW w:w="1080" w:type="dxa"/>
            <w:vAlign w:val="bottom"/>
            <w:shd w:val="clear" w:color="auto" w:fill="FDFDFC"/>
          </w:tcPr>
          <w:p>
            <w:pPr>
              <w:spacing w:after="0"/>
              <w:rPr>
                <w:sz w:val="14"/>
                <w:szCs w:val="14"/>
                <w:color w:val="auto"/>
              </w:rPr>
            </w:pPr>
          </w:p>
        </w:tc>
        <w:tc>
          <w:tcPr>
            <w:tcW w:w="120" w:type="dxa"/>
            <w:vAlign w:val="bottom"/>
            <w:shd w:val="clear" w:color="auto" w:fill="FDFDFC"/>
          </w:tcPr>
          <w:p>
            <w:pPr>
              <w:spacing w:after="0"/>
              <w:rPr>
                <w:sz w:val="14"/>
                <w:szCs w:val="14"/>
                <w:color w:val="auto"/>
              </w:rPr>
            </w:pPr>
          </w:p>
        </w:tc>
        <w:tc>
          <w:tcPr>
            <w:tcW w:w="1080" w:type="dxa"/>
            <w:vAlign w:val="bottom"/>
            <w:shd w:val="clear" w:color="auto" w:fill="FDFDFC"/>
          </w:tcPr>
          <w:p>
            <w:pPr>
              <w:spacing w:after="0"/>
              <w:rPr>
                <w:sz w:val="14"/>
                <w:szCs w:val="14"/>
                <w:color w:val="auto"/>
              </w:rPr>
            </w:pPr>
          </w:p>
        </w:tc>
        <w:tc>
          <w:tcPr>
            <w:tcW w:w="140" w:type="dxa"/>
            <w:vAlign w:val="bottom"/>
            <w:shd w:val="clear" w:color="auto" w:fill="FDFDFC"/>
          </w:tcPr>
          <w:p>
            <w:pPr>
              <w:spacing w:after="0"/>
              <w:rPr>
                <w:sz w:val="14"/>
                <w:szCs w:val="14"/>
                <w:color w:val="auto"/>
              </w:rPr>
            </w:pPr>
          </w:p>
        </w:tc>
        <w:tc>
          <w:tcPr>
            <w:tcW w:w="1080" w:type="dxa"/>
            <w:vAlign w:val="bottom"/>
            <w:shd w:val="clear" w:color="auto" w:fill="FDFDFC"/>
          </w:tcPr>
          <w:p>
            <w:pPr>
              <w:spacing w:after="0"/>
              <w:rPr>
                <w:sz w:val="14"/>
                <w:szCs w:val="14"/>
                <w:color w:val="auto"/>
              </w:rPr>
            </w:pPr>
          </w:p>
        </w:tc>
        <w:tc>
          <w:tcPr>
            <w:tcW w:w="100" w:type="dxa"/>
            <w:vAlign w:val="bottom"/>
            <w:shd w:val="clear" w:color="auto" w:fill="FDFDFC"/>
          </w:tcPr>
          <w:p>
            <w:pPr>
              <w:spacing w:after="0"/>
              <w:rPr>
                <w:sz w:val="14"/>
                <w:szCs w:val="14"/>
                <w:color w:val="auto"/>
              </w:rPr>
            </w:pPr>
          </w:p>
        </w:tc>
        <w:tc>
          <w:tcPr>
            <w:tcW w:w="140" w:type="dxa"/>
            <w:vAlign w:val="bottom"/>
            <w:tcBorders>
              <w:bottom w:val="single" w:sz="8" w:color="231F20"/>
            </w:tcBorders>
            <w:shd w:val="clear" w:color="auto" w:fill="FDFDFC"/>
          </w:tcPr>
          <w:p>
            <w:pPr>
              <w:jc w:val="right"/>
              <w:spacing w:after="0" w:line="164" w:lineRule="exact"/>
              <w:rPr>
                <w:sz w:val="20"/>
                <w:szCs w:val="20"/>
                <w:color w:val="auto"/>
              </w:rPr>
            </w:pPr>
            <w:r>
              <w:rPr>
                <w:rFonts w:ascii="Times New Roman" w:cs="Times New Roman" w:eastAsia="Times New Roman" w:hAnsi="Times New Roman"/>
                <w:sz w:val="15"/>
                <w:szCs w:val="15"/>
                <w:color w:val="231F20"/>
                <w:w w:val="79"/>
              </w:rPr>
              <w:t>$</w:t>
            </w:r>
          </w:p>
        </w:tc>
        <w:tc>
          <w:tcPr>
            <w:tcW w:w="860" w:type="dxa"/>
            <w:vAlign w:val="bottom"/>
            <w:tcBorders>
              <w:bottom w:val="single" w:sz="8" w:color="231F20"/>
            </w:tcBorders>
            <w:shd w:val="clear" w:color="auto" w:fill="FDFDFC"/>
          </w:tcPr>
          <w:p>
            <w:pPr>
              <w:jc w:val="right"/>
              <w:spacing w:after="0" w:line="164" w:lineRule="exact"/>
              <w:rPr>
                <w:sz w:val="20"/>
                <w:szCs w:val="20"/>
                <w:color w:val="auto"/>
              </w:rPr>
            </w:pPr>
            <w:r>
              <w:rPr>
                <w:rFonts w:ascii="Times New Roman" w:cs="Times New Roman" w:eastAsia="Times New Roman" w:hAnsi="Times New Roman"/>
                <w:sz w:val="15"/>
                <w:szCs w:val="15"/>
                <w:color w:val="231F20"/>
              </w:rPr>
              <w:t>952,500</w:t>
            </w:r>
          </w:p>
        </w:tc>
        <w:tc>
          <w:tcPr>
            <w:tcW w:w="200" w:type="dxa"/>
            <w:vAlign w:val="bottom"/>
            <w:gridSpan w:val="2"/>
            <w:shd w:val="clear" w:color="auto" w:fill="FDFDFC"/>
          </w:tcPr>
          <w:p>
            <w:pPr>
              <w:spacing w:after="0"/>
              <w:rPr>
                <w:sz w:val="14"/>
                <w:szCs w:val="14"/>
                <w:color w:val="auto"/>
              </w:rPr>
            </w:pPr>
          </w:p>
        </w:tc>
        <w:tc>
          <w:tcPr>
            <w:tcW w:w="200" w:type="dxa"/>
            <w:vAlign w:val="bottom"/>
            <w:tcBorders>
              <w:bottom w:val="single" w:sz="8" w:color="231F20"/>
            </w:tcBorders>
            <w:gridSpan w:val="2"/>
            <w:shd w:val="clear" w:color="auto" w:fill="FDFDFC"/>
          </w:tcPr>
          <w:p>
            <w:pPr>
              <w:jc w:val="right"/>
              <w:ind w:right="44"/>
              <w:spacing w:after="0" w:line="164" w:lineRule="exact"/>
              <w:rPr>
                <w:sz w:val="20"/>
                <w:szCs w:val="20"/>
                <w:color w:val="auto"/>
              </w:rPr>
            </w:pPr>
            <w:r>
              <w:rPr>
                <w:rFonts w:ascii="Times New Roman" w:cs="Times New Roman" w:eastAsia="Times New Roman" w:hAnsi="Times New Roman"/>
                <w:sz w:val="15"/>
                <w:szCs w:val="15"/>
                <w:color w:val="231F20"/>
                <w:w w:val="79"/>
              </w:rPr>
              <w:t>$</w:t>
            </w:r>
          </w:p>
        </w:tc>
        <w:tc>
          <w:tcPr>
            <w:tcW w:w="920" w:type="dxa"/>
            <w:vAlign w:val="bottom"/>
            <w:tcBorders>
              <w:bottom w:val="single" w:sz="8" w:color="231F20"/>
              <w:right w:val="single" w:sz="8" w:color="FDFDFC"/>
            </w:tcBorders>
            <w:shd w:val="clear" w:color="auto" w:fill="FDFDFC"/>
          </w:tcPr>
          <w:p>
            <w:pPr>
              <w:jc w:val="right"/>
              <w:ind w:right="44"/>
              <w:spacing w:after="0" w:line="164" w:lineRule="exact"/>
              <w:rPr>
                <w:sz w:val="20"/>
                <w:szCs w:val="20"/>
                <w:color w:val="auto"/>
              </w:rPr>
            </w:pPr>
            <w:r>
              <w:rPr>
                <w:rFonts w:ascii="Times New Roman" w:cs="Times New Roman" w:eastAsia="Times New Roman" w:hAnsi="Times New Roman"/>
                <w:sz w:val="15"/>
                <w:szCs w:val="15"/>
                <w:color w:val="231F20"/>
              </w:rPr>
              <w:t>23,979</w:t>
            </w:r>
          </w:p>
        </w:tc>
        <w:tc>
          <w:tcPr>
            <w:tcW w:w="100" w:type="dxa"/>
            <w:vAlign w:val="bottom"/>
            <w:shd w:val="clear" w:color="auto" w:fill="FDFDFC"/>
          </w:tcPr>
          <w:p>
            <w:pPr>
              <w:spacing w:after="0"/>
              <w:rPr>
                <w:sz w:val="14"/>
                <w:szCs w:val="14"/>
                <w:color w:val="auto"/>
              </w:rPr>
            </w:pPr>
          </w:p>
        </w:tc>
        <w:tc>
          <w:tcPr>
            <w:tcW w:w="160" w:type="dxa"/>
            <w:vAlign w:val="bottom"/>
            <w:tcBorders>
              <w:left w:val="single" w:sz="8" w:color="FDFDFC"/>
              <w:bottom w:val="single" w:sz="8" w:color="231F20"/>
            </w:tcBorders>
            <w:shd w:val="clear" w:color="auto" w:fill="FDFDFC"/>
          </w:tcPr>
          <w:p>
            <w:pPr>
              <w:jc w:val="right"/>
              <w:ind w:right="4"/>
              <w:spacing w:after="0" w:line="164" w:lineRule="exact"/>
              <w:rPr>
                <w:sz w:val="20"/>
                <w:szCs w:val="20"/>
                <w:color w:val="auto"/>
              </w:rPr>
            </w:pPr>
            <w:r>
              <w:rPr>
                <w:rFonts w:ascii="Times New Roman" w:cs="Times New Roman" w:eastAsia="Times New Roman" w:hAnsi="Times New Roman"/>
                <w:sz w:val="15"/>
                <w:szCs w:val="15"/>
                <w:color w:val="231F20"/>
                <w:w w:val="79"/>
              </w:rPr>
              <w:t>$</w:t>
            </w:r>
          </w:p>
        </w:tc>
        <w:tc>
          <w:tcPr>
            <w:tcW w:w="860" w:type="dxa"/>
            <w:vAlign w:val="bottom"/>
            <w:tcBorders>
              <w:bottom w:val="single" w:sz="8" w:color="231F20"/>
              <w:right w:val="single" w:sz="8" w:color="FDFDFC"/>
            </w:tcBorders>
            <w:shd w:val="clear" w:color="auto" w:fill="FDFDFC"/>
          </w:tcPr>
          <w:p>
            <w:pPr>
              <w:jc w:val="right"/>
              <w:spacing w:after="0" w:line="164" w:lineRule="exact"/>
              <w:rPr>
                <w:sz w:val="20"/>
                <w:szCs w:val="20"/>
                <w:color w:val="auto"/>
              </w:rPr>
            </w:pPr>
            <w:r>
              <w:rPr>
                <w:rFonts w:ascii="Times New Roman" w:cs="Times New Roman" w:eastAsia="Times New Roman" w:hAnsi="Times New Roman"/>
                <w:sz w:val="15"/>
                <w:szCs w:val="15"/>
                <w:color w:val="231F20"/>
              </w:rPr>
              <w:t>—</w:t>
            </w:r>
          </w:p>
        </w:tc>
        <w:tc>
          <w:tcPr>
            <w:tcW w:w="180" w:type="dxa"/>
            <w:vAlign w:val="bottom"/>
            <w:gridSpan w:val="2"/>
            <w:shd w:val="clear" w:color="auto" w:fill="FDFDFC"/>
          </w:tcPr>
          <w:p>
            <w:pPr>
              <w:spacing w:after="0"/>
              <w:rPr>
                <w:sz w:val="14"/>
                <w:szCs w:val="14"/>
                <w:color w:val="auto"/>
              </w:rPr>
            </w:pPr>
          </w:p>
        </w:tc>
        <w:tc>
          <w:tcPr>
            <w:tcW w:w="120" w:type="dxa"/>
            <w:vAlign w:val="bottom"/>
            <w:tcBorders>
              <w:left w:val="single" w:sz="8" w:color="FDFDFC"/>
              <w:bottom w:val="single" w:sz="8" w:color="231F20"/>
            </w:tcBorders>
            <w:shd w:val="clear" w:color="auto" w:fill="FDFDFC"/>
          </w:tcPr>
          <w:p>
            <w:pPr>
              <w:spacing w:after="0" w:line="164" w:lineRule="exact"/>
              <w:rPr>
                <w:sz w:val="20"/>
                <w:szCs w:val="20"/>
                <w:color w:val="auto"/>
              </w:rPr>
            </w:pPr>
            <w:r>
              <w:rPr>
                <w:rFonts w:ascii="Times New Roman" w:cs="Times New Roman" w:eastAsia="Times New Roman" w:hAnsi="Times New Roman"/>
                <w:sz w:val="15"/>
                <w:szCs w:val="15"/>
                <w:color w:val="231F20"/>
              </w:rPr>
              <w:t>$</w:t>
            </w:r>
          </w:p>
        </w:tc>
        <w:tc>
          <w:tcPr>
            <w:tcW w:w="920" w:type="dxa"/>
            <w:vAlign w:val="bottom"/>
            <w:tcBorders>
              <w:bottom w:val="single" w:sz="8" w:color="231F20"/>
            </w:tcBorders>
            <w:gridSpan w:val="2"/>
            <w:shd w:val="clear" w:color="auto" w:fill="FDFDFC"/>
          </w:tcPr>
          <w:p>
            <w:pPr>
              <w:jc w:val="right"/>
              <w:ind w:right="20"/>
              <w:spacing w:after="0" w:line="164" w:lineRule="exact"/>
              <w:rPr>
                <w:sz w:val="20"/>
                <w:szCs w:val="20"/>
                <w:color w:val="auto"/>
              </w:rPr>
            </w:pPr>
            <w:r>
              <w:rPr>
                <w:rFonts w:ascii="Times New Roman" w:cs="Times New Roman" w:eastAsia="Times New Roman" w:hAnsi="Times New Roman"/>
                <w:sz w:val="15"/>
                <w:szCs w:val="15"/>
                <w:color w:val="231F20"/>
              </w:rPr>
              <w:t>23,243</w:t>
            </w:r>
          </w:p>
        </w:tc>
        <w:tc>
          <w:tcPr>
            <w:tcW w:w="100" w:type="dxa"/>
            <w:vAlign w:val="bottom"/>
            <w:shd w:val="clear" w:color="auto" w:fill="FDFDFC"/>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9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231F20"/>
            </w:tcBorders>
          </w:tcPr>
          <w:p>
            <w:pPr>
              <w:spacing w:after="0" w:line="20" w:lineRule="exact"/>
              <w:rPr>
                <w:sz w:val="1"/>
                <w:szCs w:val="1"/>
                <w:color w:val="auto"/>
              </w:rPr>
            </w:pPr>
          </w:p>
        </w:tc>
        <w:tc>
          <w:tcPr>
            <w:tcW w:w="860" w:type="dxa"/>
            <w:vAlign w:val="bottom"/>
            <w:tcBorders>
              <w:bottom w:val="single" w:sz="8" w:color="231F20"/>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231F20"/>
            </w:tcBorders>
          </w:tcPr>
          <w:p>
            <w:pPr>
              <w:spacing w:after="0" w:line="20" w:lineRule="exact"/>
              <w:rPr>
                <w:sz w:val="1"/>
                <w:szCs w:val="1"/>
                <w:color w:val="auto"/>
              </w:rPr>
            </w:pPr>
          </w:p>
        </w:tc>
        <w:tc>
          <w:tcPr>
            <w:tcW w:w="120" w:type="dxa"/>
            <w:vAlign w:val="bottom"/>
            <w:tcBorders>
              <w:bottom w:val="single" w:sz="8" w:color="231F20"/>
            </w:tcBorders>
          </w:tcPr>
          <w:p>
            <w:pPr>
              <w:spacing w:after="0" w:line="20" w:lineRule="exact"/>
              <w:rPr>
                <w:sz w:val="1"/>
                <w:szCs w:val="1"/>
                <w:color w:val="auto"/>
              </w:rPr>
            </w:pPr>
          </w:p>
        </w:tc>
        <w:tc>
          <w:tcPr>
            <w:tcW w:w="920" w:type="dxa"/>
            <w:vAlign w:val="bottom"/>
            <w:tcBorders>
              <w:bottom w:val="single" w:sz="8" w:color="231F20"/>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231F20"/>
            </w:tcBorders>
          </w:tcPr>
          <w:p>
            <w:pPr>
              <w:spacing w:after="0" w:line="20" w:lineRule="exact"/>
              <w:rPr>
                <w:sz w:val="1"/>
                <w:szCs w:val="1"/>
                <w:color w:val="auto"/>
              </w:rPr>
            </w:pPr>
          </w:p>
        </w:tc>
        <w:tc>
          <w:tcPr>
            <w:tcW w:w="860" w:type="dxa"/>
            <w:vAlign w:val="bottom"/>
            <w:tcBorders>
              <w:bottom w:val="single" w:sz="8" w:color="231F20"/>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231F20"/>
            </w:tcBorders>
          </w:tcPr>
          <w:p>
            <w:pPr>
              <w:spacing w:after="0" w:line="20" w:lineRule="exact"/>
              <w:rPr>
                <w:sz w:val="1"/>
                <w:szCs w:val="1"/>
                <w:color w:val="auto"/>
              </w:rPr>
            </w:pPr>
          </w:p>
        </w:tc>
        <w:tc>
          <w:tcPr>
            <w:tcW w:w="780" w:type="dxa"/>
            <w:vAlign w:val="bottom"/>
            <w:tcBorders>
              <w:bottom w:val="single" w:sz="8" w:color="231F20"/>
            </w:tcBorders>
          </w:tcPr>
          <w:p>
            <w:pPr>
              <w:spacing w:after="0" w:line="20" w:lineRule="exact"/>
              <w:rPr>
                <w:sz w:val="1"/>
                <w:szCs w:val="1"/>
                <w:color w:val="auto"/>
              </w:rPr>
            </w:pPr>
          </w:p>
        </w:tc>
        <w:tc>
          <w:tcPr>
            <w:tcW w:w="140" w:type="dxa"/>
            <w:vAlign w:val="bottom"/>
            <w:tcBorders>
              <w:bottom w:val="single" w:sz="8" w:color="231F20"/>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5798820</wp:posOffset>
                </wp:positionH>
                <wp:positionV relativeFrom="paragraph">
                  <wp:posOffset>-2131060</wp:posOffset>
                </wp:positionV>
                <wp:extent cx="575945" cy="110490"/>
                <wp:wrapNone/>
                <wp:docPr id="81" name="Shape 8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75945" cy="110490"/>
                        </a:xfrm>
                        <a:prstGeom prst="rect">
                          <a:avLst/>
                        </a:prstGeom>
                        <a:solidFill>
                          <a:srgbClr val="FDFDFC"/>
                        </a:solidFill>
                      </wps:spPr>
                      <wps:bodyPr/>
                    </wps:wsp>
                  </a:graphicData>
                </a:graphic>
              </wp:anchor>
            </w:drawing>
          </mc:Choice>
          <mc:Fallback>
            <w:pict>
              <v:rect id="Shape 81" o:spid="_x0000_s1106" style="position:absolute;margin-left:456.6pt;margin-top:-167.7999pt;width:45.35pt;height:8.7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FDFDFC" stroked="f"/>
            </w:pict>
          </mc:Fallback>
        </mc:AlternateContent>
        <mc:AlternateContent>
          <mc:Choice Requires="wps">
            <w:drawing>
              <wp:anchor simplePos="0" relativeHeight="251657728" behindDoc="1" locked="0" layoutInCell="0" allowOverlap="1">
                <wp:simplePos x="0" y="0"/>
                <wp:positionH relativeFrom="column">
                  <wp:posOffset>6374765</wp:posOffset>
                </wp:positionH>
                <wp:positionV relativeFrom="paragraph">
                  <wp:posOffset>-2136775</wp:posOffset>
                </wp:positionV>
                <wp:extent cx="153670" cy="116205"/>
                <wp:wrapNone/>
                <wp:docPr id="82" name="Shape 8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53670" cy="116205"/>
                        </a:xfrm>
                        <a:prstGeom prst="rect">
                          <a:avLst/>
                        </a:prstGeom>
                        <a:solidFill>
                          <a:srgbClr val="FDFDFC"/>
                        </a:solidFill>
                      </wps:spPr>
                      <wps:bodyPr/>
                    </wps:wsp>
                  </a:graphicData>
                </a:graphic>
              </wp:anchor>
            </w:drawing>
          </mc:Choice>
          <mc:Fallback>
            <w:pict>
              <v:rect id="Shape 82" o:spid="_x0000_s1107" style="position:absolute;margin-left:501.95pt;margin-top:-168.2499pt;width:12.1pt;height:9.1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FDFDFC" stroked="f"/>
            </w:pict>
          </mc:Fallback>
        </mc:AlternateContent>
        <mc:AlternateContent>
          <mc:Choice Requires="wps">
            <w:drawing>
              <wp:anchor simplePos="0" relativeHeight="251657728" behindDoc="1" locked="0" layoutInCell="0" allowOverlap="1">
                <wp:simplePos x="0" y="0"/>
                <wp:positionH relativeFrom="column">
                  <wp:posOffset>5799455</wp:posOffset>
                </wp:positionH>
                <wp:positionV relativeFrom="paragraph">
                  <wp:posOffset>-2014220</wp:posOffset>
                </wp:positionV>
                <wp:extent cx="575310" cy="220980"/>
                <wp:wrapNone/>
                <wp:docPr id="83" name="Shape 8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75310" cy="220980"/>
                        </a:xfrm>
                        <a:prstGeom prst="rect">
                          <a:avLst/>
                        </a:prstGeom>
                        <a:solidFill>
                          <a:srgbClr val="D0EBF2"/>
                        </a:solidFill>
                      </wps:spPr>
                      <wps:bodyPr/>
                    </wps:wsp>
                  </a:graphicData>
                </a:graphic>
              </wp:anchor>
            </w:drawing>
          </mc:Choice>
          <mc:Fallback>
            <w:pict>
              <v:rect id="Shape 83" o:spid="_x0000_s1108" style="position:absolute;margin-left:456.65pt;margin-top:-158.5999pt;width:45.3pt;height:17.4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0EBF2" stroked="f"/>
            </w:pict>
          </mc:Fallback>
        </mc:AlternateContent>
        <mc:AlternateContent>
          <mc:Choice Requires="wps">
            <w:drawing>
              <wp:anchor simplePos="0" relativeHeight="251657728" behindDoc="1" locked="0" layoutInCell="0" allowOverlap="1">
                <wp:simplePos x="0" y="0"/>
                <wp:positionH relativeFrom="column">
                  <wp:posOffset>5798820</wp:posOffset>
                </wp:positionH>
                <wp:positionV relativeFrom="paragraph">
                  <wp:posOffset>-1788160</wp:posOffset>
                </wp:positionV>
                <wp:extent cx="575945" cy="110490"/>
                <wp:wrapNone/>
                <wp:docPr id="84" name="Shape 8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75945" cy="110490"/>
                        </a:xfrm>
                        <a:prstGeom prst="rect">
                          <a:avLst/>
                        </a:prstGeom>
                        <a:solidFill>
                          <a:srgbClr val="FDFDFC"/>
                        </a:solidFill>
                      </wps:spPr>
                      <wps:bodyPr/>
                    </wps:wsp>
                  </a:graphicData>
                </a:graphic>
              </wp:anchor>
            </w:drawing>
          </mc:Choice>
          <mc:Fallback>
            <w:pict>
              <v:rect id="Shape 84" o:spid="_x0000_s1109" style="position:absolute;margin-left:456.6pt;margin-top:-140.7999pt;width:45.35pt;height:8.7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FDFDFC" stroked="f"/>
            </w:pict>
          </mc:Fallback>
        </mc:AlternateContent>
        <mc:AlternateContent>
          <mc:Choice Requires="wps">
            <w:drawing>
              <wp:anchor simplePos="0" relativeHeight="251657728" behindDoc="1" locked="0" layoutInCell="0" allowOverlap="1">
                <wp:simplePos x="0" y="0"/>
                <wp:positionH relativeFrom="column">
                  <wp:posOffset>6374765</wp:posOffset>
                </wp:positionH>
                <wp:positionV relativeFrom="paragraph">
                  <wp:posOffset>-2019935</wp:posOffset>
                </wp:positionV>
                <wp:extent cx="153670" cy="226695"/>
                <wp:wrapNone/>
                <wp:docPr id="85" name="Shape 8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53670" cy="226695"/>
                        </a:xfrm>
                        <a:prstGeom prst="rect">
                          <a:avLst/>
                        </a:prstGeom>
                        <a:solidFill>
                          <a:srgbClr val="D0EBF2"/>
                        </a:solidFill>
                      </wps:spPr>
                      <wps:bodyPr/>
                    </wps:wsp>
                  </a:graphicData>
                </a:graphic>
              </wp:anchor>
            </w:drawing>
          </mc:Choice>
          <mc:Fallback>
            <w:pict>
              <v:rect id="Shape 85" o:spid="_x0000_s1110" style="position:absolute;margin-left:501.95pt;margin-top:-159.0499pt;width:12.1pt;height:17.8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0EBF2" stroked="f"/>
            </w:pict>
          </mc:Fallback>
        </mc:AlternateContent>
        <mc:AlternateContent>
          <mc:Choice Requires="wps">
            <w:drawing>
              <wp:anchor simplePos="0" relativeHeight="251657728" behindDoc="1" locked="0" layoutInCell="0" allowOverlap="1">
                <wp:simplePos x="0" y="0"/>
                <wp:positionH relativeFrom="column">
                  <wp:posOffset>6374765</wp:posOffset>
                </wp:positionH>
                <wp:positionV relativeFrom="paragraph">
                  <wp:posOffset>-1793875</wp:posOffset>
                </wp:positionV>
                <wp:extent cx="153670" cy="116205"/>
                <wp:wrapNone/>
                <wp:docPr id="86" name="Shape 8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53670" cy="116205"/>
                        </a:xfrm>
                        <a:prstGeom prst="rect">
                          <a:avLst/>
                        </a:prstGeom>
                        <a:solidFill>
                          <a:srgbClr val="FDFDFC"/>
                        </a:solidFill>
                      </wps:spPr>
                      <wps:bodyPr/>
                    </wps:wsp>
                  </a:graphicData>
                </a:graphic>
              </wp:anchor>
            </w:drawing>
          </mc:Choice>
          <mc:Fallback>
            <w:pict>
              <v:rect id="Shape 86" o:spid="_x0000_s1111" style="position:absolute;margin-left:501.95pt;margin-top:-141.2499pt;width:12.1pt;height:9.1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FDFDFC" stroked="f"/>
            </w:pict>
          </mc:Fallback>
        </mc:AlternateContent>
      </w:r>
    </w:p>
    <w:p>
      <w:pPr>
        <w:spacing w:after="0" w:line="90" w:lineRule="exact"/>
        <w:rPr>
          <w:sz w:val="20"/>
          <w:szCs w:val="20"/>
          <w:color w:val="auto"/>
        </w:rPr>
      </w:pPr>
    </w:p>
    <w:p>
      <w:pPr>
        <w:ind w:left="921" w:hanging="458"/>
        <w:spacing w:after="0"/>
        <w:tabs>
          <w:tab w:leader="none" w:pos="921" w:val="left"/>
        </w:tabs>
        <w:numPr>
          <w:ilvl w:val="1"/>
          <w:numId w:val="75"/>
        </w:numPr>
        <w:rPr>
          <w:rFonts w:ascii="Times New Roman" w:cs="Times New Roman" w:eastAsia="Times New Roman" w:hAnsi="Times New Roman"/>
          <w:sz w:val="19"/>
          <w:szCs w:val="19"/>
          <w:color w:val="231F20"/>
        </w:rPr>
      </w:pPr>
      <w:r>
        <w:rPr>
          <w:rFonts w:ascii="Times New Roman" w:cs="Times New Roman" w:eastAsia="Times New Roman" w:hAnsi="Times New Roman"/>
          <w:sz w:val="19"/>
          <w:szCs w:val="19"/>
          <w:color w:val="231F20"/>
        </w:rPr>
        <w:t>Contains a variable rate structure. Bears interest at a rate determined by SOFR.</w:t>
      </w:r>
    </w:p>
    <w:p>
      <w:pPr>
        <w:spacing w:after="0" w:line="26" w:lineRule="exact"/>
        <w:rPr>
          <w:rFonts w:ascii="Times New Roman" w:cs="Times New Roman" w:eastAsia="Times New Roman" w:hAnsi="Times New Roman"/>
          <w:sz w:val="19"/>
          <w:szCs w:val="19"/>
          <w:color w:val="231F20"/>
        </w:rPr>
      </w:pPr>
    </w:p>
    <w:p>
      <w:pPr>
        <w:ind w:left="921" w:right="560" w:hanging="458"/>
        <w:spacing w:after="0" w:line="238" w:lineRule="auto"/>
        <w:tabs>
          <w:tab w:leader="none" w:pos="921" w:val="left"/>
        </w:tabs>
        <w:numPr>
          <w:ilvl w:val="1"/>
          <w:numId w:val="75"/>
        </w:numPr>
        <w:rPr>
          <w:rFonts w:ascii="Times New Roman" w:cs="Times New Roman" w:eastAsia="Times New Roman" w:hAnsi="Times New Roman"/>
          <w:sz w:val="19"/>
          <w:szCs w:val="19"/>
          <w:color w:val="231F20"/>
        </w:rPr>
      </w:pPr>
      <w:r>
        <w:rPr>
          <w:rFonts w:ascii="Times New Roman" w:cs="Times New Roman" w:eastAsia="Times New Roman" w:hAnsi="Times New Roman"/>
          <w:sz w:val="19"/>
          <w:szCs w:val="19"/>
          <w:color w:val="231F20"/>
        </w:rPr>
        <w:t>Instrument is used in a hedge accounting relationship. The associated change in fair value is recorded along with the change in fair value of the hedged item within interest expense.</w:t>
      </w:r>
    </w:p>
    <w:p>
      <w:pPr>
        <w:spacing w:after="0" w:line="1" w:lineRule="exact"/>
        <w:rPr>
          <w:rFonts w:ascii="Times New Roman" w:cs="Times New Roman" w:eastAsia="Times New Roman" w:hAnsi="Times New Roman"/>
          <w:sz w:val="19"/>
          <w:szCs w:val="19"/>
          <w:color w:val="231F20"/>
        </w:rPr>
      </w:pPr>
    </w:p>
    <w:p>
      <w:pPr>
        <w:ind w:left="921" w:right="140" w:hanging="458"/>
        <w:spacing w:after="0" w:line="251" w:lineRule="auto"/>
        <w:tabs>
          <w:tab w:leader="none" w:pos="921" w:val="left"/>
        </w:tabs>
        <w:numPr>
          <w:ilvl w:val="1"/>
          <w:numId w:val="75"/>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$2.5 million in aggregate notional value of these instruments is no longer designated as instruments in a hedge accounting relationship. The associated change in fair value of the de-designated portion is recorded within unrealized gain/(loss).</w:t>
      </w:r>
    </w:p>
    <w:p>
      <w:pPr>
        <w:spacing w:after="0" w:line="1" w:lineRule="exact"/>
        <w:rPr>
          <w:rFonts w:ascii="Times New Roman" w:cs="Times New Roman" w:eastAsia="Times New Roman" w:hAnsi="Times New Roman"/>
          <w:sz w:val="18"/>
          <w:szCs w:val="18"/>
          <w:color w:val="231F20"/>
        </w:rPr>
      </w:pPr>
    </w:p>
    <w:p>
      <w:pPr>
        <w:ind w:left="921" w:right="20" w:hanging="458"/>
        <w:spacing w:after="0" w:line="245" w:lineRule="auto"/>
        <w:tabs>
          <w:tab w:leader="none" w:pos="921" w:val="left"/>
        </w:tabs>
        <w:numPr>
          <w:ilvl w:val="1"/>
          <w:numId w:val="75"/>
        </w:numPr>
        <w:rPr>
          <w:rFonts w:ascii="Times New Roman" w:cs="Times New Roman" w:eastAsia="Times New Roman" w:hAnsi="Times New Roman"/>
          <w:sz w:val="19"/>
          <w:szCs w:val="19"/>
          <w:color w:val="231F20"/>
        </w:rPr>
      </w:pPr>
      <w:r>
        <w:rPr>
          <w:rFonts w:ascii="Times New Roman" w:cs="Times New Roman" w:eastAsia="Times New Roman" w:hAnsi="Times New Roman"/>
          <w:sz w:val="19"/>
          <w:szCs w:val="19"/>
          <w:color w:val="231F20"/>
        </w:rPr>
        <w:t>The fair market value of this instrument is presented net with the $2.5 million in aggregate notional value of instruments no longer designated as instruments in a hedge accounting relationship.</w:t>
      </w:r>
    </w:p>
    <w:p>
      <w:pPr>
        <w:spacing w:after="0" w:line="177" w:lineRule="exact"/>
        <w:rPr>
          <w:rFonts w:ascii="Times New Roman" w:cs="Times New Roman" w:eastAsia="Times New Roman" w:hAnsi="Times New Roman"/>
          <w:sz w:val="19"/>
          <w:szCs w:val="19"/>
          <w:color w:val="231F20"/>
        </w:rPr>
      </w:pPr>
    </w:p>
    <w:p>
      <w:pPr>
        <w:ind w:left="461" w:hanging="461"/>
        <w:spacing w:after="0"/>
        <w:tabs>
          <w:tab w:leader="none" w:pos="461" w:val="left"/>
        </w:tabs>
        <w:numPr>
          <w:ilvl w:val="0"/>
          <w:numId w:val="76"/>
        </w:numPr>
        <w:rPr>
          <w:rFonts w:ascii="Times New Roman" w:cs="Times New Roman" w:eastAsia="Times New Roman" w:hAnsi="Times New Roman"/>
          <w:sz w:val="19"/>
          <w:szCs w:val="19"/>
          <w:color w:val="231F20"/>
        </w:rPr>
      </w:pPr>
      <w:r>
        <w:rPr>
          <w:rFonts w:ascii="Times New Roman" w:cs="Times New Roman" w:eastAsia="Times New Roman" w:hAnsi="Times New Roman"/>
          <w:sz w:val="19"/>
          <w:szCs w:val="19"/>
          <w:color w:val="231F20"/>
        </w:rPr>
        <w:t>Certain portfolio company investments are subject to contractual restrictions on sales.</w:t>
      </w:r>
    </w:p>
    <w:p>
      <w:pPr>
        <w:spacing w:after="0" w:line="26" w:lineRule="exact"/>
        <w:rPr>
          <w:rFonts w:ascii="Times New Roman" w:cs="Times New Roman" w:eastAsia="Times New Roman" w:hAnsi="Times New Roman"/>
          <w:sz w:val="19"/>
          <w:szCs w:val="19"/>
          <w:color w:val="231F20"/>
        </w:rPr>
      </w:pPr>
    </w:p>
    <w:p>
      <w:pPr>
        <w:ind w:left="461" w:right="260" w:hanging="461"/>
        <w:spacing w:after="0" w:line="238" w:lineRule="auto"/>
        <w:tabs>
          <w:tab w:leader="none" w:pos="461" w:val="left"/>
        </w:tabs>
        <w:numPr>
          <w:ilvl w:val="0"/>
          <w:numId w:val="76"/>
        </w:numPr>
        <w:rPr>
          <w:rFonts w:ascii="Times New Roman" w:cs="Times New Roman" w:eastAsia="Times New Roman" w:hAnsi="Times New Roman"/>
          <w:sz w:val="19"/>
          <w:szCs w:val="19"/>
          <w:color w:val="231F20"/>
        </w:rPr>
      </w:pPr>
      <w:r>
        <w:rPr>
          <w:rFonts w:ascii="Times New Roman" w:cs="Times New Roman" w:eastAsia="Times New Roman" w:hAnsi="Times New Roman"/>
          <w:sz w:val="19"/>
          <w:szCs w:val="19"/>
          <w:color w:val="231F20"/>
        </w:rPr>
        <w:t>The amortized cost represents the original cost adjusted for the amortization of discounts and premiums, as applicable, on debt investments using the effective interest method.</w:t>
      </w:r>
    </w:p>
    <w:p>
      <w:pPr>
        <w:spacing w:after="0" w:line="1" w:lineRule="exact"/>
        <w:rPr>
          <w:rFonts w:ascii="Times New Roman" w:cs="Times New Roman" w:eastAsia="Times New Roman" w:hAnsi="Times New Roman"/>
          <w:sz w:val="19"/>
          <w:szCs w:val="19"/>
          <w:color w:val="231F20"/>
        </w:rPr>
      </w:pPr>
    </w:p>
    <w:p>
      <w:pPr>
        <w:ind w:left="461" w:right="100" w:hanging="461"/>
        <w:spacing w:after="0" w:line="251" w:lineRule="auto"/>
        <w:tabs>
          <w:tab w:leader="none" w:pos="461" w:val="left"/>
        </w:tabs>
        <w:numPr>
          <w:ilvl w:val="0"/>
          <w:numId w:val="76"/>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Investment contains a variable rate structure, subject to an interest rate floor. Variable rate investments bear interest at a rate that may be determined by reference to either Euro Interbank Offer Rate (“Euribor” or “E”), Sterling Overnight Index Average ("SONIA"), Canadian Dollar Offered Rate (“CDOR” or “C”), Secured Overnight Financing Rate (“SOFR”) which may also contain a credit spread adjustment depending on the tenor election, Bank Bill Swap Bid Rate (“BBSY” or “B”) or an alternate base rate (which can include the Federal Funds Effective Rate or the Prime Rate or “P”), all of which include an available tenor, selected at the borrower’s option, which reset periodically based on the terms of the credit agreement. For investments with multiple interest rate contracts, the interest rate shown is the weighted average interest rate in effect at December 31, 2023.</w:t>
      </w:r>
    </w:p>
    <w:p>
      <w:pPr>
        <w:spacing w:after="0" w:line="5" w:lineRule="exact"/>
        <w:rPr>
          <w:rFonts w:ascii="Times New Roman" w:cs="Times New Roman" w:eastAsia="Times New Roman" w:hAnsi="Times New Roman"/>
          <w:sz w:val="18"/>
          <w:szCs w:val="18"/>
          <w:color w:val="231F20"/>
        </w:rPr>
      </w:pPr>
    </w:p>
    <w:p>
      <w:pPr>
        <w:ind w:left="461" w:right="160" w:hanging="461"/>
        <w:spacing w:after="0" w:line="238" w:lineRule="auto"/>
        <w:tabs>
          <w:tab w:leader="none" w:pos="461" w:val="left"/>
        </w:tabs>
        <w:numPr>
          <w:ilvl w:val="0"/>
          <w:numId w:val="76"/>
        </w:numPr>
        <w:rPr>
          <w:rFonts w:ascii="Times New Roman" w:cs="Times New Roman" w:eastAsia="Times New Roman" w:hAnsi="Times New Roman"/>
          <w:sz w:val="19"/>
          <w:szCs w:val="19"/>
          <w:color w:val="231F20"/>
        </w:rPr>
      </w:pPr>
      <w:r>
        <w:rPr>
          <w:rFonts w:ascii="Times New Roman" w:cs="Times New Roman" w:eastAsia="Times New Roman" w:hAnsi="Times New Roman"/>
          <w:sz w:val="19"/>
          <w:szCs w:val="19"/>
          <w:color w:val="231F20"/>
        </w:rPr>
        <w:t>This portfolio company is not a qualifying asset under Section 55(a) of the Investment Company Act of 1940, as amended (the “1940 Act”). Under the 1940 Act, the Company may not acquire any non-qualifying asset unless, at the time such acquisition is made, qualifying assets represent at least 70% of total assets. Non-qualifying assets represented 13.1% of total assets as of December 31, 2023.</w:t>
      </w:r>
    </w:p>
    <w:p>
      <w:pPr>
        <w:spacing w:after="0" w:line="2" w:lineRule="exact"/>
        <w:rPr>
          <w:rFonts w:ascii="Times New Roman" w:cs="Times New Roman" w:eastAsia="Times New Roman" w:hAnsi="Times New Roman"/>
          <w:sz w:val="19"/>
          <w:szCs w:val="19"/>
          <w:color w:val="231F20"/>
        </w:rPr>
      </w:pPr>
    </w:p>
    <w:p>
      <w:pPr>
        <w:ind w:left="461" w:right="60" w:hanging="461"/>
        <w:spacing w:after="0" w:line="238" w:lineRule="auto"/>
        <w:tabs>
          <w:tab w:leader="none" w:pos="461" w:val="left"/>
        </w:tabs>
        <w:numPr>
          <w:ilvl w:val="0"/>
          <w:numId w:val="76"/>
        </w:numPr>
        <w:rPr>
          <w:rFonts w:ascii="Times New Roman" w:cs="Times New Roman" w:eastAsia="Times New Roman" w:hAnsi="Times New Roman"/>
          <w:sz w:val="19"/>
          <w:szCs w:val="19"/>
          <w:color w:val="231F20"/>
        </w:rPr>
      </w:pPr>
      <w:r>
        <w:rPr>
          <w:rFonts w:ascii="Times New Roman" w:cs="Times New Roman" w:eastAsia="Times New Roman" w:hAnsi="Times New Roman"/>
          <w:sz w:val="19"/>
          <w:szCs w:val="19"/>
          <w:color w:val="231F20"/>
        </w:rPr>
        <w:t>In addition to the interest earned based on the stated interest rate of this investment, which is the amount reflected in this schedule, the Company may be entitled to receive additional interest as a result of an arrangement with other members in the syndicate to the extent an investment has been allocated to “first out” and “last out” tranches, whereby the “first out” tranche will have priority as to the “last out” tranche with respect to payments of principal, interest and any amounts due thereunder and the Company holds the “last out” tranche.</w:t>
      </w:r>
    </w:p>
    <w:p>
      <w:pPr>
        <w:spacing w:after="0" w:line="2" w:lineRule="exact"/>
        <w:rPr>
          <w:rFonts w:ascii="Times New Roman" w:cs="Times New Roman" w:eastAsia="Times New Roman" w:hAnsi="Times New Roman"/>
          <w:sz w:val="19"/>
          <w:szCs w:val="19"/>
          <w:color w:val="231F20"/>
        </w:rPr>
      </w:pPr>
    </w:p>
    <w:p>
      <w:pPr>
        <w:ind w:left="461" w:right="60" w:hanging="461"/>
        <w:spacing w:after="0"/>
        <w:tabs>
          <w:tab w:leader="none" w:pos="461" w:val="left"/>
        </w:tabs>
        <w:numPr>
          <w:ilvl w:val="0"/>
          <w:numId w:val="76"/>
        </w:numPr>
        <w:rPr>
          <w:rFonts w:ascii="Times New Roman" w:cs="Times New Roman" w:eastAsia="Times New Roman" w:hAnsi="Times New Roman"/>
          <w:sz w:val="19"/>
          <w:szCs w:val="19"/>
          <w:color w:val="231F20"/>
        </w:rPr>
      </w:pPr>
      <w:r>
        <w:rPr>
          <w:rFonts w:ascii="Times New Roman" w:cs="Times New Roman" w:eastAsia="Times New Roman" w:hAnsi="Times New Roman"/>
          <w:sz w:val="19"/>
          <w:szCs w:val="19"/>
          <w:color w:val="231F20"/>
        </w:rPr>
        <w:t>Under the 1940 Act, the Company is deemed to be both an “Affiliated Person” of and “Control,” as such terms are defined in the 1940 Act, this portfolio company, as the Company owns more than 25% of the portfolio company’s outstanding voting securities or has the power to exercise control over management or policies of such portfolio company (including through a management agreement). Transactions during the year ended December 31, 2023 in which the issuer was an Affiliated Person of and was deemed to Control a portfolio company are as follows:</w:t>
      </w: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u w:val="single" w:color="auto"/>
          <w:color w:val="231F20"/>
        </w:rPr>
        <w:t>Controlled, Affiliated Investments during the year ended December 31, 2023</w:t>
      </w:r>
    </w:p>
    <w:p>
      <w:pPr>
        <w:spacing w:after="0" w:line="239" w:lineRule="exact"/>
        <w:rPr>
          <w:sz w:val="20"/>
          <w:szCs w:val="20"/>
          <w:color w:val="auto"/>
        </w:rPr>
      </w:pPr>
    </w:p>
    <w:tbl>
      <w:tblPr>
        <w:tblLayout w:type="fixed"/>
        <w:tblInd w:w="1" w:type="dxa"/>
        <w:tblCellMar>
          <w:top w:w="0" w:type="dxa"/>
          <w:left w:w="0" w:type="dxa"/>
          <w:bottom w:w="0" w:type="dxa"/>
          <w:right w:w="0" w:type="dxa"/>
        </w:tblCellMar>
      </w:tblPr>
      <w:tr>
        <w:trPr>
          <w:trHeight w:val="172"/>
        </w:trPr>
        <w:tc>
          <w:tcPr>
            <w:tcW w:w="2080" w:type="dxa"/>
            <w:vAlign w:val="bottom"/>
            <w:shd w:val="clear" w:color="auto" w:fill="FDFDFC"/>
          </w:tcPr>
          <w:p>
            <w:pPr>
              <w:spacing w:after="0"/>
              <w:rPr>
                <w:sz w:val="15"/>
                <w:szCs w:val="15"/>
                <w:color w:val="auto"/>
              </w:rPr>
            </w:pPr>
          </w:p>
        </w:tc>
        <w:tc>
          <w:tcPr>
            <w:tcW w:w="60" w:type="dxa"/>
            <w:vAlign w:val="bottom"/>
            <w:shd w:val="clear" w:color="auto" w:fill="FDFDFC"/>
          </w:tcPr>
          <w:p>
            <w:pPr>
              <w:spacing w:after="0"/>
              <w:rPr>
                <w:sz w:val="15"/>
                <w:szCs w:val="15"/>
                <w:color w:val="auto"/>
              </w:rPr>
            </w:pPr>
          </w:p>
        </w:tc>
        <w:tc>
          <w:tcPr>
            <w:tcW w:w="20" w:type="dxa"/>
            <w:vAlign w:val="bottom"/>
            <w:shd w:val="clear" w:color="auto" w:fill="FDFDFC"/>
          </w:tcPr>
          <w:p>
            <w:pPr>
              <w:spacing w:after="0"/>
              <w:rPr>
                <w:sz w:val="15"/>
                <w:szCs w:val="15"/>
                <w:color w:val="auto"/>
              </w:rPr>
            </w:pPr>
          </w:p>
        </w:tc>
        <w:tc>
          <w:tcPr>
            <w:tcW w:w="120" w:type="dxa"/>
            <w:vAlign w:val="bottom"/>
            <w:shd w:val="clear" w:color="auto" w:fill="FDFDFC"/>
          </w:tcPr>
          <w:p>
            <w:pPr>
              <w:spacing w:after="0"/>
              <w:rPr>
                <w:sz w:val="15"/>
                <w:szCs w:val="15"/>
                <w:color w:val="auto"/>
              </w:rPr>
            </w:pPr>
          </w:p>
        </w:tc>
        <w:tc>
          <w:tcPr>
            <w:tcW w:w="540" w:type="dxa"/>
            <w:vAlign w:val="bottom"/>
            <w:shd w:val="clear" w:color="auto" w:fill="FDFDFC"/>
          </w:tcPr>
          <w:p>
            <w:pPr>
              <w:jc w:val="center"/>
              <w:ind w:right="64"/>
              <w:spacing w:after="0"/>
              <w:rPr>
                <w:sz w:val="20"/>
                <w:szCs w:val="20"/>
                <w:color w:val="auto"/>
              </w:rPr>
            </w:pPr>
            <w:r>
              <w:rPr>
                <w:rFonts w:ascii="Times New Roman" w:cs="Times New Roman" w:eastAsia="Times New Roman" w:hAnsi="Times New Roman"/>
                <w:sz w:val="15"/>
                <w:szCs w:val="15"/>
                <w:b w:val="1"/>
                <w:bCs w:val="1"/>
                <w:color w:val="231F20"/>
              </w:rPr>
              <w:t>Fair</w:t>
            </w:r>
          </w:p>
        </w:tc>
        <w:tc>
          <w:tcPr>
            <w:tcW w:w="140" w:type="dxa"/>
            <w:vAlign w:val="bottom"/>
            <w:shd w:val="clear" w:color="auto" w:fill="FDFDFC"/>
          </w:tcPr>
          <w:p>
            <w:pPr>
              <w:spacing w:after="0"/>
              <w:rPr>
                <w:sz w:val="15"/>
                <w:szCs w:val="15"/>
                <w:color w:val="auto"/>
              </w:rPr>
            </w:pPr>
          </w:p>
        </w:tc>
        <w:tc>
          <w:tcPr>
            <w:tcW w:w="20" w:type="dxa"/>
            <w:vAlign w:val="bottom"/>
            <w:shd w:val="clear" w:color="auto" w:fill="FDFDFC"/>
          </w:tcPr>
          <w:p>
            <w:pPr>
              <w:spacing w:after="0"/>
              <w:rPr>
                <w:sz w:val="15"/>
                <w:szCs w:val="15"/>
                <w:color w:val="auto"/>
              </w:rPr>
            </w:pPr>
          </w:p>
        </w:tc>
        <w:tc>
          <w:tcPr>
            <w:tcW w:w="120" w:type="dxa"/>
            <w:vAlign w:val="bottom"/>
            <w:shd w:val="clear" w:color="auto" w:fill="FDFDFC"/>
          </w:tcPr>
          <w:p>
            <w:pPr>
              <w:spacing w:after="0"/>
              <w:rPr>
                <w:sz w:val="15"/>
                <w:szCs w:val="15"/>
                <w:color w:val="auto"/>
              </w:rPr>
            </w:pPr>
          </w:p>
        </w:tc>
        <w:tc>
          <w:tcPr>
            <w:tcW w:w="720" w:type="dxa"/>
            <w:vAlign w:val="bottom"/>
            <w:shd w:val="clear" w:color="auto" w:fill="FDFDFC"/>
          </w:tcPr>
          <w:p>
            <w:pPr>
              <w:spacing w:after="0"/>
              <w:rPr>
                <w:sz w:val="15"/>
                <w:szCs w:val="15"/>
                <w:color w:val="auto"/>
              </w:rPr>
            </w:pPr>
          </w:p>
        </w:tc>
        <w:tc>
          <w:tcPr>
            <w:tcW w:w="140" w:type="dxa"/>
            <w:vAlign w:val="bottom"/>
            <w:shd w:val="clear" w:color="auto" w:fill="FDFDFC"/>
          </w:tcPr>
          <w:p>
            <w:pPr>
              <w:spacing w:after="0"/>
              <w:rPr>
                <w:sz w:val="15"/>
                <w:szCs w:val="15"/>
                <w:color w:val="auto"/>
              </w:rPr>
            </w:pPr>
          </w:p>
        </w:tc>
        <w:tc>
          <w:tcPr>
            <w:tcW w:w="20" w:type="dxa"/>
            <w:vAlign w:val="bottom"/>
            <w:shd w:val="clear" w:color="auto" w:fill="FDFDFC"/>
          </w:tcPr>
          <w:p>
            <w:pPr>
              <w:spacing w:after="0"/>
              <w:rPr>
                <w:sz w:val="15"/>
                <w:szCs w:val="15"/>
                <w:color w:val="auto"/>
              </w:rPr>
            </w:pPr>
          </w:p>
        </w:tc>
        <w:tc>
          <w:tcPr>
            <w:tcW w:w="160" w:type="dxa"/>
            <w:vAlign w:val="bottom"/>
            <w:shd w:val="clear" w:color="auto" w:fill="FDFDFC"/>
          </w:tcPr>
          <w:p>
            <w:pPr>
              <w:spacing w:after="0"/>
              <w:rPr>
                <w:sz w:val="15"/>
                <w:szCs w:val="15"/>
                <w:color w:val="auto"/>
              </w:rPr>
            </w:pPr>
          </w:p>
        </w:tc>
        <w:tc>
          <w:tcPr>
            <w:tcW w:w="780" w:type="dxa"/>
            <w:vAlign w:val="bottom"/>
            <w:shd w:val="clear" w:color="auto" w:fill="FDFDFC"/>
          </w:tcPr>
          <w:p>
            <w:pPr>
              <w:spacing w:after="0"/>
              <w:rPr>
                <w:sz w:val="15"/>
                <w:szCs w:val="15"/>
                <w:color w:val="auto"/>
              </w:rPr>
            </w:pPr>
          </w:p>
        </w:tc>
        <w:tc>
          <w:tcPr>
            <w:tcW w:w="140" w:type="dxa"/>
            <w:vAlign w:val="bottom"/>
            <w:shd w:val="clear" w:color="auto" w:fill="FDFDFC"/>
          </w:tcPr>
          <w:p>
            <w:pPr>
              <w:spacing w:after="0"/>
              <w:rPr>
                <w:sz w:val="15"/>
                <w:szCs w:val="15"/>
                <w:color w:val="auto"/>
              </w:rPr>
            </w:pPr>
          </w:p>
        </w:tc>
        <w:tc>
          <w:tcPr>
            <w:tcW w:w="20" w:type="dxa"/>
            <w:vAlign w:val="bottom"/>
            <w:shd w:val="clear" w:color="auto" w:fill="FDFDFC"/>
          </w:tcPr>
          <w:p>
            <w:pPr>
              <w:spacing w:after="0"/>
              <w:rPr>
                <w:sz w:val="15"/>
                <w:szCs w:val="15"/>
                <w:color w:val="auto"/>
              </w:rPr>
            </w:pPr>
          </w:p>
        </w:tc>
        <w:tc>
          <w:tcPr>
            <w:tcW w:w="980" w:type="dxa"/>
            <w:vAlign w:val="bottom"/>
            <w:gridSpan w:val="3"/>
            <w:vMerge w:val="restart"/>
            <w:shd w:val="clear" w:color="auto" w:fill="FDFDFC"/>
          </w:tcPr>
          <w:p>
            <w:pPr>
              <w:ind w:left="40"/>
              <w:spacing w:after="0"/>
              <w:rPr>
                <w:sz w:val="20"/>
                <w:szCs w:val="20"/>
                <w:color w:val="auto"/>
              </w:rPr>
            </w:pPr>
            <w:r>
              <w:rPr>
                <w:rFonts w:ascii="Times New Roman" w:cs="Times New Roman" w:eastAsia="Times New Roman" w:hAnsi="Times New Roman"/>
                <w:sz w:val="15"/>
                <w:szCs w:val="15"/>
                <w:b w:val="1"/>
                <w:bCs w:val="1"/>
                <w:color w:val="231F20"/>
              </w:rPr>
              <w:t>Net Change</w:t>
            </w:r>
          </w:p>
        </w:tc>
        <w:tc>
          <w:tcPr>
            <w:tcW w:w="60" w:type="dxa"/>
            <w:vAlign w:val="bottom"/>
            <w:shd w:val="clear" w:color="auto" w:fill="FDFDFC"/>
          </w:tcPr>
          <w:p>
            <w:pPr>
              <w:spacing w:after="0"/>
              <w:rPr>
                <w:sz w:val="15"/>
                <w:szCs w:val="15"/>
                <w:color w:val="auto"/>
              </w:rPr>
            </w:pPr>
          </w:p>
        </w:tc>
        <w:tc>
          <w:tcPr>
            <w:tcW w:w="20" w:type="dxa"/>
            <w:vAlign w:val="bottom"/>
            <w:shd w:val="clear" w:color="auto" w:fill="FDFDFC"/>
          </w:tcPr>
          <w:p>
            <w:pPr>
              <w:spacing w:after="0"/>
              <w:rPr>
                <w:sz w:val="15"/>
                <w:szCs w:val="15"/>
                <w:color w:val="auto"/>
              </w:rPr>
            </w:pPr>
          </w:p>
        </w:tc>
        <w:tc>
          <w:tcPr>
            <w:tcW w:w="100" w:type="dxa"/>
            <w:vAlign w:val="bottom"/>
            <w:shd w:val="clear" w:color="auto" w:fill="FDFDFC"/>
          </w:tcPr>
          <w:p>
            <w:pPr>
              <w:spacing w:after="0"/>
              <w:rPr>
                <w:sz w:val="15"/>
                <w:szCs w:val="15"/>
                <w:color w:val="auto"/>
              </w:rPr>
            </w:pPr>
          </w:p>
        </w:tc>
        <w:tc>
          <w:tcPr>
            <w:tcW w:w="760" w:type="dxa"/>
            <w:vAlign w:val="bottom"/>
            <w:shd w:val="clear" w:color="auto" w:fill="FDFDFC"/>
          </w:tcPr>
          <w:p>
            <w:pPr>
              <w:spacing w:after="0"/>
              <w:rPr>
                <w:sz w:val="15"/>
                <w:szCs w:val="15"/>
                <w:color w:val="auto"/>
              </w:rPr>
            </w:pPr>
          </w:p>
        </w:tc>
        <w:tc>
          <w:tcPr>
            <w:tcW w:w="20" w:type="dxa"/>
            <w:vAlign w:val="bottom"/>
            <w:shd w:val="clear" w:color="auto" w:fill="FDFDFC"/>
          </w:tcPr>
          <w:p>
            <w:pPr>
              <w:spacing w:after="0"/>
              <w:rPr>
                <w:sz w:val="15"/>
                <w:szCs w:val="15"/>
                <w:color w:val="auto"/>
              </w:rPr>
            </w:pPr>
          </w:p>
        </w:tc>
        <w:tc>
          <w:tcPr>
            <w:tcW w:w="140" w:type="dxa"/>
            <w:vAlign w:val="bottom"/>
            <w:shd w:val="clear" w:color="auto" w:fill="FDFDFC"/>
          </w:tcPr>
          <w:p>
            <w:pPr>
              <w:spacing w:after="0"/>
              <w:rPr>
                <w:sz w:val="15"/>
                <w:szCs w:val="15"/>
                <w:color w:val="auto"/>
              </w:rPr>
            </w:pPr>
          </w:p>
        </w:tc>
        <w:tc>
          <w:tcPr>
            <w:tcW w:w="20" w:type="dxa"/>
            <w:vAlign w:val="bottom"/>
            <w:shd w:val="clear" w:color="auto" w:fill="FDFDFC"/>
          </w:tcPr>
          <w:p>
            <w:pPr>
              <w:spacing w:after="0"/>
              <w:rPr>
                <w:sz w:val="15"/>
                <w:szCs w:val="15"/>
                <w:color w:val="auto"/>
              </w:rPr>
            </w:pPr>
          </w:p>
        </w:tc>
        <w:tc>
          <w:tcPr>
            <w:tcW w:w="260" w:type="dxa"/>
            <w:vAlign w:val="bottom"/>
            <w:shd w:val="clear" w:color="auto" w:fill="FDFDFC"/>
          </w:tcPr>
          <w:p>
            <w:pPr>
              <w:spacing w:after="0"/>
              <w:rPr>
                <w:sz w:val="15"/>
                <w:szCs w:val="15"/>
                <w:color w:val="auto"/>
              </w:rPr>
            </w:pPr>
          </w:p>
        </w:tc>
        <w:tc>
          <w:tcPr>
            <w:tcW w:w="380" w:type="dxa"/>
            <w:vAlign w:val="bottom"/>
            <w:shd w:val="clear" w:color="auto" w:fill="FDFDFC"/>
          </w:tcPr>
          <w:p>
            <w:pPr>
              <w:spacing w:after="0"/>
              <w:rPr>
                <w:sz w:val="15"/>
                <w:szCs w:val="15"/>
                <w:color w:val="auto"/>
              </w:rPr>
            </w:pPr>
          </w:p>
        </w:tc>
        <w:tc>
          <w:tcPr>
            <w:tcW w:w="140" w:type="dxa"/>
            <w:vAlign w:val="bottom"/>
            <w:shd w:val="clear" w:color="auto" w:fill="FDFDFC"/>
          </w:tcPr>
          <w:p>
            <w:pPr>
              <w:spacing w:after="0"/>
              <w:rPr>
                <w:sz w:val="15"/>
                <w:szCs w:val="15"/>
                <w:color w:val="auto"/>
              </w:rPr>
            </w:pPr>
          </w:p>
        </w:tc>
        <w:tc>
          <w:tcPr>
            <w:tcW w:w="20" w:type="dxa"/>
            <w:vAlign w:val="bottom"/>
            <w:shd w:val="clear" w:color="auto" w:fill="FDFDFC"/>
          </w:tcPr>
          <w:p>
            <w:pPr>
              <w:spacing w:after="0"/>
              <w:rPr>
                <w:sz w:val="15"/>
                <w:szCs w:val="15"/>
                <w:color w:val="auto"/>
              </w:rPr>
            </w:pPr>
          </w:p>
        </w:tc>
        <w:tc>
          <w:tcPr>
            <w:tcW w:w="120" w:type="dxa"/>
            <w:vAlign w:val="bottom"/>
            <w:shd w:val="clear" w:color="auto" w:fill="FDFDFC"/>
          </w:tcPr>
          <w:p>
            <w:pPr>
              <w:spacing w:after="0"/>
              <w:rPr>
                <w:sz w:val="15"/>
                <w:szCs w:val="15"/>
                <w:color w:val="auto"/>
              </w:rPr>
            </w:pPr>
          </w:p>
        </w:tc>
        <w:tc>
          <w:tcPr>
            <w:tcW w:w="760" w:type="dxa"/>
            <w:vAlign w:val="bottom"/>
            <w:shd w:val="clear" w:color="auto" w:fill="FDFDFC"/>
          </w:tcPr>
          <w:p>
            <w:pPr>
              <w:jc w:val="center"/>
              <w:ind w:right="64"/>
              <w:spacing w:after="0"/>
              <w:rPr>
                <w:sz w:val="20"/>
                <w:szCs w:val="20"/>
                <w:color w:val="auto"/>
              </w:rPr>
            </w:pPr>
            <w:r>
              <w:rPr>
                <w:rFonts w:ascii="Times New Roman" w:cs="Times New Roman" w:eastAsia="Times New Roman" w:hAnsi="Times New Roman"/>
                <w:sz w:val="15"/>
                <w:szCs w:val="15"/>
                <w:b w:val="1"/>
                <w:bCs w:val="1"/>
                <w:color w:val="231F20"/>
                <w:w w:val="94"/>
              </w:rPr>
              <w:t>Fair</w:t>
            </w:r>
          </w:p>
        </w:tc>
        <w:tc>
          <w:tcPr>
            <w:tcW w:w="160" w:type="dxa"/>
            <w:vAlign w:val="bottom"/>
            <w:shd w:val="clear" w:color="auto" w:fill="FDFDFC"/>
          </w:tcPr>
          <w:p>
            <w:pPr>
              <w:spacing w:after="0"/>
              <w:rPr>
                <w:sz w:val="15"/>
                <w:szCs w:val="15"/>
                <w:color w:val="auto"/>
              </w:rPr>
            </w:pPr>
          </w:p>
        </w:tc>
        <w:tc>
          <w:tcPr>
            <w:tcW w:w="20" w:type="dxa"/>
            <w:vAlign w:val="bottom"/>
            <w:shd w:val="clear" w:color="auto" w:fill="FDFDFC"/>
          </w:tcPr>
          <w:p>
            <w:pPr>
              <w:spacing w:after="0"/>
              <w:rPr>
                <w:sz w:val="15"/>
                <w:szCs w:val="15"/>
                <w:color w:val="auto"/>
              </w:rPr>
            </w:pPr>
          </w:p>
        </w:tc>
        <w:tc>
          <w:tcPr>
            <w:tcW w:w="220" w:type="dxa"/>
            <w:vAlign w:val="bottom"/>
            <w:shd w:val="clear" w:color="auto" w:fill="FDFDFC"/>
          </w:tcPr>
          <w:p>
            <w:pPr>
              <w:spacing w:after="0"/>
              <w:rPr>
                <w:sz w:val="15"/>
                <w:szCs w:val="15"/>
                <w:color w:val="auto"/>
              </w:rPr>
            </w:pPr>
          </w:p>
        </w:tc>
        <w:tc>
          <w:tcPr>
            <w:tcW w:w="260" w:type="dxa"/>
            <w:vAlign w:val="bottom"/>
            <w:shd w:val="clear" w:color="auto" w:fill="FDFDFC"/>
          </w:tcPr>
          <w:p>
            <w:pPr>
              <w:spacing w:after="0"/>
              <w:rPr>
                <w:sz w:val="15"/>
                <w:szCs w:val="15"/>
                <w:color w:val="auto"/>
              </w:rPr>
            </w:pPr>
          </w:p>
        </w:tc>
        <w:tc>
          <w:tcPr>
            <w:tcW w:w="140" w:type="dxa"/>
            <w:vAlign w:val="bottom"/>
            <w:shd w:val="clear" w:color="auto" w:fill="FDFDFC"/>
          </w:tcPr>
          <w:p>
            <w:pPr>
              <w:spacing w:after="0"/>
              <w:rPr>
                <w:sz w:val="15"/>
                <w:szCs w:val="15"/>
                <w:color w:val="auto"/>
              </w:rPr>
            </w:pPr>
          </w:p>
        </w:tc>
        <w:tc>
          <w:tcPr>
            <w:tcW w:w="20" w:type="dxa"/>
            <w:vAlign w:val="bottom"/>
            <w:shd w:val="clear" w:color="auto" w:fill="FDFDFC"/>
          </w:tcPr>
          <w:p>
            <w:pPr>
              <w:spacing w:after="0"/>
              <w:rPr>
                <w:sz w:val="15"/>
                <w:szCs w:val="15"/>
                <w:color w:val="auto"/>
              </w:rPr>
            </w:pPr>
          </w:p>
        </w:tc>
        <w:tc>
          <w:tcPr>
            <w:tcW w:w="120" w:type="dxa"/>
            <w:vAlign w:val="bottom"/>
            <w:shd w:val="clear" w:color="auto" w:fill="FDFDFC"/>
          </w:tcPr>
          <w:p>
            <w:pPr>
              <w:spacing w:after="0"/>
              <w:rPr>
                <w:sz w:val="15"/>
                <w:szCs w:val="15"/>
                <w:color w:val="auto"/>
              </w:rPr>
            </w:pPr>
          </w:p>
        </w:tc>
        <w:tc>
          <w:tcPr>
            <w:tcW w:w="400" w:type="dxa"/>
            <w:vAlign w:val="bottom"/>
            <w:shd w:val="clear" w:color="auto" w:fill="FDFDFC"/>
          </w:tcPr>
          <w:p>
            <w:pPr>
              <w:spacing w:after="0"/>
              <w:rPr>
                <w:sz w:val="15"/>
                <w:szCs w:val="15"/>
                <w:color w:val="auto"/>
              </w:rPr>
            </w:pPr>
          </w:p>
        </w:tc>
        <w:tc>
          <w:tcPr>
            <w:tcW w:w="80" w:type="dxa"/>
            <w:vAlign w:val="bottom"/>
            <w:shd w:val="clear" w:color="auto" w:fill="FDFDFC"/>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2080" w:type="dxa"/>
            <w:vAlign w:val="bottom"/>
            <w:shd w:val="clear" w:color="auto" w:fill="FDFDFC"/>
          </w:tcPr>
          <w:p>
            <w:pPr>
              <w:spacing w:after="0"/>
              <w:rPr>
                <w:sz w:val="15"/>
                <w:szCs w:val="15"/>
                <w:color w:val="auto"/>
              </w:rPr>
            </w:pPr>
          </w:p>
        </w:tc>
        <w:tc>
          <w:tcPr>
            <w:tcW w:w="60" w:type="dxa"/>
            <w:vAlign w:val="bottom"/>
            <w:shd w:val="clear" w:color="auto" w:fill="FDFDFC"/>
          </w:tcPr>
          <w:p>
            <w:pPr>
              <w:spacing w:after="0"/>
              <w:rPr>
                <w:sz w:val="15"/>
                <w:szCs w:val="15"/>
                <w:color w:val="auto"/>
              </w:rPr>
            </w:pPr>
          </w:p>
        </w:tc>
        <w:tc>
          <w:tcPr>
            <w:tcW w:w="20" w:type="dxa"/>
            <w:vAlign w:val="bottom"/>
            <w:shd w:val="clear" w:color="auto" w:fill="FDFDFC"/>
          </w:tcPr>
          <w:p>
            <w:pPr>
              <w:spacing w:after="0"/>
              <w:rPr>
                <w:sz w:val="15"/>
                <w:szCs w:val="15"/>
                <w:color w:val="auto"/>
              </w:rPr>
            </w:pPr>
          </w:p>
        </w:tc>
        <w:tc>
          <w:tcPr>
            <w:tcW w:w="660" w:type="dxa"/>
            <w:vAlign w:val="bottom"/>
            <w:gridSpan w:val="2"/>
            <w:shd w:val="clear" w:color="auto" w:fill="FDFDFC"/>
          </w:tcPr>
          <w:p>
            <w:pPr>
              <w:jc w:val="center"/>
              <w:spacing w:after="0"/>
              <w:rPr>
                <w:sz w:val="20"/>
                <w:szCs w:val="20"/>
                <w:color w:val="auto"/>
              </w:rPr>
            </w:pPr>
            <w:r>
              <w:rPr>
                <w:rFonts w:ascii="Times New Roman" w:cs="Times New Roman" w:eastAsia="Times New Roman" w:hAnsi="Times New Roman"/>
                <w:sz w:val="15"/>
                <w:szCs w:val="15"/>
                <w:b w:val="1"/>
                <w:bCs w:val="1"/>
                <w:color w:val="231F20"/>
              </w:rPr>
              <w:t>Value at</w:t>
            </w:r>
          </w:p>
        </w:tc>
        <w:tc>
          <w:tcPr>
            <w:tcW w:w="140" w:type="dxa"/>
            <w:vAlign w:val="bottom"/>
            <w:shd w:val="clear" w:color="auto" w:fill="FDFDFC"/>
          </w:tcPr>
          <w:p>
            <w:pPr>
              <w:spacing w:after="0"/>
              <w:rPr>
                <w:sz w:val="15"/>
                <w:szCs w:val="15"/>
                <w:color w:val="auto"/>
              </w:rPr>
            </w:pPr>
          </w:p>
        </w:tc>
        <w:tc>
          <w:tcPr>
            <w:tcW w:w="20" w:type="dxa"/>
            <w:vAlign w:val="bottom"/>
            <w:shd w:val="clear" w:color="auto" w:fill="FDFDFC"/>
          </w:tcPr>
          <w:p>
            <w:pPr>
              <w:spacing w:after="0"/>
              <w:rPr>
                <w:sz w:val="15"/>
                <w:szCs w:val="15"/>
                <w:color w:val="auto"/>
              </w:rPr>
            </w:pPr>
          </w:p>
        </w:tc>
        <w:tc>
          <w:tcPr>
            <w:tcW w:w="120" w:type="dxa"/>
            <w:vAlign w:val="bottom"/>
            <w:shd w:val="clear" w:color="auto" w:fill="FDFDFC"/>
          </w:tcPr>
          <w:p>
            <w:pPr>
              <w:spacing w:after="0"/>
              <w:rPr>
                <w:sz w:val="15"/>
                <w:szCs w:val="15"/>
                <w:color w:val="auto"/>
              </w:rPr>
            </w:pPr>
          </w:p>
        </w:tc>
        <w:tc>
          <w:tcPr>
            <w:tcW w:w="720" w:type="dxa"/>
            <w:vAlign w:val="bottom"/>
            <w:vMerge w:val="restart"/>
            <w:shd w:val="clear" w:color="auto" w:fill="FDFDFC"/>
          </w:tcPr>
          <w:p>
            <w:pPr>
              <w:jc w:val="right"/>
              <w:ind w:right="184"/>
              <w:spacing w:after="0"/>
              <w:rPr>
                <w:sz w:val="20"/>
                <w:szCs w:val="20"/>
                <w:color w:val="auto"/>
              </w:rPr>
            </w:pPr>
            <w:r>
              <w:rPr>
                <w:rFonts w:ascii="Times New Roman" w:cs="Times New Roman" w:eastAsia="Times New Roman" w:hAnsi="Times New Roman"/>
                <w:sz w:val="15"/>
                <w:szCs w:val="15"/>
                <w:b w:val="1"/>
                <w:bCs w:val="1"/>
                <w:color w:val="231F20"/>
              </w:rPr>
              <w:t>Gross</w:t>
            </w:r>
          </w:p>
        </w:tc>
        <w:tc>
          <w:tcPr>
            <w:tcW w:w="140" w:type="dxa"/>
            <w:vAlign w:val="bottom"/>
            <w:shd w:val="clear" w:color="auto" w:fill="FDFDFC"/>
          </w:tcPr>
          <w:p>
            <w:pPr>
              <w:spacing w:after="0"/>
              <w:rPr>
                <w:sz w:val="15"/>
                <w:szCs w:val="15"/>
                <w:color w:val="auto"/>
              </w:rPr>
            </w:pPr>
          </w:p>
        </w:tc>
        <w:tc>
          <w:tcPr>
            <w:tcW w:w="20" w:type="dxa"/>
            <w:vAlign w:val="bottom"/>
            <w:shd w:val="clear" w:color="auto" w:fill="FDFDFC"/>
          </w:tcPr>
          <w:p>
            <w:pPr>
              <w:spacing w:after="0"/>
              <w:rPr>
                <w:sz w:val="15"/>
                <w:szCs w:val="15"/>
                <w:color w:val="auto"/>
              </w:rPr>
            </w:pPr>
          </w:p>
        </w:tc>
        <w:tc>
          <w:tcPr>
            <w:tcW w:w="160" w:type="dxa"/>
            <w:vAlign w:val="bottom"/>
            <w:shd w:val="clear" w:color="auto" w:fill="FDFDFC"/>
          </w:tcPr>
          <w:p>
            <w:pPr>
              <w:spacing w:after="0"/>
              <w:rPr>
                <w:sz w:val="15"/>
                <w:szCs w:val="15"/>
                <w:color w:val="auto"/>
              </w:rPr>
            </w:pPr>
          </w:p>
        </w:tc>
        <w:tc>
          <w:tcPr>
            <w:tcW w:w="780" w:type="dxa"/>
            <w:vAlign w:val="bottom"/>
            <w:vMerge w:val="restart"/>
            <w:shd w:val="clear" w:color="auto" w:fill="FDFDFC"/>
          </w:tcPr>
          <w:p>
            <w:pPr>
              <w:ind w:left="100"/>
              <w:spacing w:after="0"/>
              <w:rPr>
                <w:sz w:val="20"/>
                <w:szCs w:val="20"/>
                <w:color w:val="auto"/>
              </w:rPr>
            </w:pPr>
            <w:r>
              <w:rPr>
                <w:rFonts w:ascii="Times New Roman" w:cs="Times New Roman" w:eastAsia="Times New Roman" w:hAnsi="Times New Roman"/>
                <w:sz w:val="15"/>
                <w:szCs w:val="15"/>
                <w:b w:val="1"/>
                <w:bCs w:val="1"/>
                <w:color w:val="231F20"/>
              </w:rPr>
              <w:t>Gross</w:t>
            </w:r>
          </w:p>
        </w:tc>
        <w:tc>
          <w:tcPr>
            <w:tcW w:w="140" w:type="dxa"/>
            <w:vAlign w:val="bottom"/>
            <w:shd w:val="clear" w:color="auto" w:fill="FDFDFC"/>
          </w:tcPr>
          <w:p>
            <w:pPr>
              <w:spacing w:after="0"/>
              <w:rPr>
                <w:sz w:val="15"/>
                <w:szCs w:val="15"/>
                <w:color w:val="auto"/>
              </w:rPr>
            </w:pPr>
          </w:p>
        </w:tc>
        <w:tc>
          <w:tcPr>
            <w:tcW w:w="20" w:type="dxa"/>
            <w:vAlign w:val="bottom"/>
            <w:shd w:val="clear" w:color="auto" w:fill="FDFDFC"/>
          </w:tcPr>
          <w:p>
            <w:pPr>
              <w:spacing w:after="0"/>
              <w:rPr>
                <w:sz w:val="15"/>
                <w:szCs w:val="15"/>
                <w:color w:val="auto"/>
              </w:rPr>
            </w:pPr>
          </w:p>
        </w:tc>
        <w:tc>
          <w:tcPr>
            <w:tcW w:w="980" w:type="dxa"/>
            <w:vAlign w:val="bottom"/>
            <w:gridSpan w:val="3"/>
            <w:vMerge w:val="continue"/>
            <w:shd w:val="clear" w:color="auto" w:fill="FDFDFC"/>
          </w:tcPr>
          <w:p>
            <w:pPr>
              <w:spacing w:after="0"/>
              <w:rPr>
                <w:sz w:val="15"/>
                <w:szCs w:val="15"/>
                <w:color w:val="auto"/>
              </w:rPr>
            </w:pPr>
          </w:p>
        </w:tc>
        <w:tc>
          <w:tcPr>
            <w:tcW w:w="60" w:type="dxa"/>
            <w:vAlign w:val="bottom"/>
            <w:shd w:val="clear" w:color="auto" w:fill="FDFDFC"/>
          </w:tcPr>
          <w:p>
            <w:pPr>
              <w:spacing w:after="0"/>
              <w:rPr>
                <w:sz w:val="15"/>
                <w:szCs w:val="15"/>
                <w:color w:val="auto"/>
              </w:rPr>
            </w:pPr>
          </w:p>
        </w:tc>
        <w:tc>
          <w:tcPr>
            <w:tcW w:w="20" w:type="dxa"/>
            <w:vAlign w:val="bottom"/>
            <w:shd w:val="clear" w:color="auto" w:fill="FDFDFC"/>
          </w:tcPr>
          <w:p>
            <w:pPr>
              <w:spacing w:after="0"/>
              <w:rPr>
                <w:sz w:val="15"/>
                <w:szCs w:val="15"/>
                <w:color w:val="auto"/>
              </w:rPr>
            </w:pPr>
          </w:p>
        </w:tc>
        <w:tc>
          <w:tcPr>
            <w:tcW w:w="100" w:type="dxa"/>
            <w:vAlign w:val="bottom"/>
            <w:shd w:val="clear" w:color="auto" w:fill="FDFDFC"/>
          </w:tcPr>
          <w:p>
            <w:pPr>
              <w:spacing w:after="0"/>
              <w:rPr>
                <w:sz w:val="15"/>
                <w:szCs w:val="15"/>
                <w:color w:val="auto"/>
              </w:rPr>
            </w:pPr>
          </w:p>
        </w:tc>
        <w:tc>
          <w:tcPr>
            <w:tcW w:w="780" w:type="dxa"/>
            <w:vAlign w:val="bottom"/>
            <w:gridSpan w:val="2"/>
            <w:vMerge w:val="restart"/>
            <w:shd w:val="clear" w:color="auto" w:fill="FDFDFC"/>
          </w:tcPr>
          <w:p>
            <w:pPr>
              <w:ind w:left="40"/>
              <w:spacing w:after="0"/>
              <w:rPr>
                <w:sz w:val="20"/>
                <w:szCs w:val="20"/>
                <w:color w:val="auto"/>
              </w:rPr>
            </w:pPr>
            <w:r>
              <w:rPr>
                <w:rFonts w:ascii="Times New Roman" w:cs="Times New Roman" w:eastAsia="Times New Roman" w:hAnsi="Times New Roman"/>
                <w:sz w:val="15"/>
                <w:szCs w:val="15"/>
                <w:b w:val="1"/>
                <w:bCs w:val="1"/>
                <w:color w:val="231F20"/>
              </w:rPr>
              <w:t>Realized</w:t>
            </w:r>
          </w:p>
        </w:tc>
        <w:tc>
          <w:tcPr>
            <w:tcW w:w="140" w:type="dxa"/>
            <w:vAlign w:val="bottom"/>
            <w:shd w:val="clear" w:color="auto" w:fill="FDFDFC"/>
          </w:tcPr>
          <w:p>
            <w:pPr>
              <w:spacing w:after="0"/>
              <w:rPr>
                <w:sz w:val="15"/>
                <w:szCs w:val="15"/>
                <w:color w:val="auto"/>
              </w:rPr>
            </w:pPr>
          </w:p>
        </w:tc>
        <w:tc>
          <w:tcPr>
            <w:tcW w:w="20" w:type="dxa"/>
            <w:vAlign w:val="bottom"/>
            <w:shd w:val="clear" w:color="auto" w:fill="FDFDFC"/>
          </w:tcPr>
          <w:p>
            <w:pPr>
              <w:spacing w:after="0"/>
              <w:rPr>
                <w:sz w:val="15"/>
                <w:szCs w:val="15"/>
                <w:color w:val="auto"/>
              </w:rPr>
            </w:pPr>
          </w:p>
        </w:tc>
        <w:tc>
          <w:tcPr>
            <w:tcW w:w="260" w:type="dxa"/>
            <w:vAlign w:val="bottom"/>
            <w:shd w:val="clear" w:color="auto" w:fill="FDFDFC"/>
          </w:tcPr>
          <w:p>
            <w:pPr>
              <w:spacing w:after="0"/>
              <w:rPr>
                <w:sz w:val="15"/>
                <w:szCs w:val="15"/>
                <w:color w:val="auto"/>
              </w:rPr>
            </w:pPr>
          </w:p>
        </w:tc>
        <w:tc>
          <w:tcPr>
            <w:tcW w:w="380" w:type="dxa"/>
            <w:vAlign w:val="bottom"/>
            <w:shd w:val="clear" w:color="auto" w:fill="FDFDFC"/>
          </w:tcPr>
          <w:p>
            <w:pPr>
              <w:spacing w:after="0"/>
              <w:rPr>
                <w:sz w:val="15"/>
                <w:szCs w:val="15"/>
                <w:color w:val="auto"/>
              </w:rPr>
            </w:pPr>
          </w:p>
        </w:tc>
        <w:tc>
          <w:tcPr>
            <w:tcW w:w="140" w:type="dxa"/>
            <w:vAlign w:val="bottom"/>
            <w:shd w:val="clear" w:color="auto" w:fill="FDFDFC"/>
          </w:tcPr>
          <w:p>
            <w:pPr>
              <w:spacing w:after="0"/>
              <w:rPr>
                <w:sz w:val="15"/>
                <w:szCs w:val="15"/>
                <w:color w:val="auto"/>
              </w:rPr>
            </w:pPr>
          </w:p>
        </w:tc>
        <w:tc>
          <w:tcPr>
            <w:tcW w:w="20" w:type="dxa"/>
            <w:vAlign w:val="bottom"/>
            <w:shd w:val="clear" w:color="auto" w:fill="FDFDFC"/>
          </w:tcPr>
          <w:p>
            <w:pPr>
              <w:spacing w:after="0"/>
              <w:rPr>
                <w:sz w:val="15"/>
                <w:szCs w:val="15"/>
                <w:color w:val="auto"/>
              </w:rPr>
            </w:pPr>
          </w:p>
        </w:tc>
        <w:tc>
          <w:tcPr>
            <w:tcW w:w="120" w:type="dxa"/>
            <w:vAlign w:val="bottom"/>
            <w:shd w:val="clear" w:color="auto" w:fill="FDFDFC"/>
          </w:tcPr>
          <w:p>
            <w:pPr>
              <w:spacing w:after="0"/>
              <w:rPr>
                <w:sz w:val="15"/>
                <w:szCs w:val="15"/>
                <w:color w:val="auto"/>
              </w:rPr>
            </w:pPr>
          </w:p>
        </w:tc>
        <w:tc>
          <w:tcPr>
            <w:tcW w:w="760" w:type="dxa"/>
            <w:vAlign w:val="bottom"/>
            <w:shd w:val="clear" w:color="auto" w:fill="FDFDFC"/>
          </w:tcPr>
          <w:p>
            <w:pPr>
              <w:jc w:val="center"/>
              <w:ind w:right="64"/>
              <w:spacing w:after="0"/>
              <w:rPr>
                <w:sz w:val="20"/>
                <w:szCs w:val="20"/>
                <w:color w:val="auto"/>
              </w:rPr>
            </w:pPr>
            <w:r>
              <w:rPr>
                <w:rFonts w:ascii="Times New Roman" w:cs="Times New Roman" w:eastAsia="Times New Roman" w:hAnsi="Times New Roman"/>
                <w:sz w:val="15"/>
                <w:szCs w:val="15"/>
                <w:b w:val="1"/>
                <w:bCs w:val="1"/>
                <w:color w:val="231F20"/>
              </w:rPr>
              <w:t>Value at</w:t>
            </w:r>
          </w:p>
        </w:tc>
        <w:tc>
          <w:tcPr>
            <w:tcW w:w="160" w:type="dxa"/>
            <w:vAlign w:val="bottom"/>
            <w:shd w:val="clear" w:color="auto" w:fill="FDFDFC"/>
          </w:tcPr>
          <w:p>
            <w:pPr>
              <w:spacing w:after="0"/>
              <w:rPr>
                <w:sz w:val="15"/>
                <w:szCs w:val="15"/>
                <w:color w:val="auto"/>
              </w:rPr>
            </w:pPr>
          </w:p>
        </w:tc>
        <w:tc>
          <w:tcPr>
            <w:tcW w:w="20" w:type="dxa"/>
            <w:vAlign w:val="bottom"/>
            <w:shd w:val="clear" w:color="auto" w:fill="FDFDFC"/>
          </w:tcPr>
          <w:p>
            <w:pPr>
              <w:spacing w:after="0"/>
              <w:rPr>
                <w:sz w:val="15"/>
                <w:szCs w:val="15"/>
                <w:color w:val="auto"/>
              </w:rPr>
            </w:pPr>
          </w:p>
        </w:tc>
        <w:tc>
          <w:tcPr>
            <w:tcW w:w="480" w:type="dxa"/>
            <w:vAlign w:val="bottom"/>
            <w:gridSpan w:val="2"/>
            <w:vMerge w:val="restart"/>
            <w:shd w:val="clear" w:color="auto" w:fill="FDFDFC"/>
          </w:tcPr>
          <w:p>
            <w:pPr>
              <w:jc w:val="right"/>
              <w:spacing w:after="0"/>
              <w:rPr>
                <w:sz w:val="20"/>
                <w:szCs w:val="20"/>
                <w:color w:val="auto"/>
              </w:rPr>
            </w:pPr>
            <w:r>
              <w:rPr>
                <w:rFonts w:ascii="Times New Roman" w:cs="Times New Roman" w:eastAsia="Times New Roman" w:hAnsi="Times New Roman"/>
                <w:sz w:val="15"/>
                <w:szCs w:val="15"/>
                <w:b w:val="1"/>
                <w:bCs w:val="1"/>
                <w:color w:val="231F20"/>
              </w:rPr>
              <w:t>Other</w:t>
            </w:r>
          </w:p>
        </w:tc>
        <w:tc>
          <w:tcPr>
            <w:tcW w:w="140" w:type="dxa"/>
            <w:vAlign w:val="bottom"/>
            <w:shd w:val="clear" w:color="auto" w:fill="FDFDFC"/>
          </w:tcPr>
          <w:p>
            <w:pPr>
              <w:spacing w:after="0"/>
              <w:rPr>
                <w:sz w:val="15"/>
                <w:szCs w:val="15"/>
                <w:color w:val="auto"/>
              </w:rPr>
            </w:pPr>
          </w:p>
        </w:tc>
        <w:tc>
          <w:tcPr>
            <w:tcW w:w="20" w:type="dxa"/>
            <w:vAlign w:val="bottom"/>
            <w:shd w:val="clear" w:color="auto" w:fill="FDFDFC"/>
          </w:tcPr>
          <w:p>
            <w:pPr>
              <w:spacing w:after="0"/>
              <w:rPr>
                <w:sz w:val="15"/>
                <w:szCs w:val="15"/>
                <w:color w:val="auto"/>
              </w:rPr>
            </w:pPr>
          </w:p>
        </w:tc>
        <w:tc>
          <w:tcPr>
            <w:tcW w:w="600" w:type="dxa"/>
            <w:vAlign w:val="bottom"/>
            <w:gridSpan w:val="3"/>
            <w:vMerge w:val="restart"/>
            <w:shd w:val="clear" w:color="auto" w:fill="FDFDFC"/>
          </w:tcPr>
          <w:p>
            <w:pPr>
              <w:spacing w:after="0"/>
              <w:rPr>
                <w:sz w:val="20"/>
                <w:szCs w:val="20"/>
                <w:color w:val="auto"/>
              </w:rPr>
            </w:pPr>
            <w:r>
              <w:rPr>
                <w:rFonts w:ascii="Times New Roman" w:cs="Times New Roman" w:eastAsia="Times New Roman" w:hAnsi="Times New Roman"/>
                <w:sz w:val="15"/>
                <w:szCs w:val="15"/>
                <w:b w:val="1"/>
                <w:bCs w:val="1"/>
                <w:color w:val="231F20"/>
              </w:rPr>
              <w:t>Interest</w:t>
            </w:r>
          </w:p>
        </w:tc>
        <w:tc>
          <w:tcPr>
            <w:tcW w:w="0" w:type="dxa"/>
            <w:vAlign w:val="bottom"/>
          </w:tcPr>
          <w:p>
            <w:pPr>
              <w:spacing w:after="0"/>
              <w:rPr>
                <w:sz w:val="1"/>
                <w:szCs w:val="1"/>
                <w:color w:val="auto"/>
              </w:rPr>
            </w:pPr>
          </w:p>
        </w:tc>
      </w:tr>
      <w:tr>
        <w:trPr>
          <w:trHeight w:val="166"/>
        </w:trPr>
        <w:tc>
          <w:tcPr>
            <w:tcW w:w="2080" w:type="dxa"/>
            <w:vAlign w:val="bottom"/>
            <w:shd w:val="clear" w:color="auto" w:fill="FDFDFC"/>
          </w:tcPr>
          <w:p>
            <w:pPr>
              <w:spacing w:after="0"/>
              <w:rPr>
                <w:sz w:val="14"/>
                <w:szCs w:val="14"/>
                <w:color w:val="auto"/>
              </w:rPr>
            </w:pPr>
          </w:p>
        </w:tc>
        <w:tc>
          <w:tcPr>
            <w:tcW w:w="60" w:type="dxa"/>
            <w:vAlign w:val="bottom"/>
            <w:shd w:val="clear" w:color="auto" w:fill="FDFDFC"/>
          </w:tcPr>
          <w:p>
            <w:pPr>
              <w:spacing w:after="0"/>
              <w:rPr>
                <w:sz w:val="14"/>
                <w:szCs w:val="14"/>
                <w:color w:val="auto"/>
              </w:rPr>
            </w:pPr>
          </w:p>
        </w:tc>
        <w:tc>
          <w:tcPr>
            <w:tcW w:w="20" w:type="dxa"/>
            <w:vAlign w:val="bottom"/>
            <w:shd w:val="clear" w:color="auto" w:fill="FDFDFC"/>
          </w:tcPr>
          <w:p>
            <w:pPr>
              <w:spacing w:after="0"/>
              <w:rPr>
                <w:sz w:val="14"/>
                <w:szCs w:val="14"/>
                <w:color w:val="auto"/>
              </w:rPr>
            </w:pPr>
          </w:p>
        </w:tc>
        <w:tc>
          <w:tcPr>
            <w:tcW w:w="660" w:type="dxa"/>
            <w:vAlign w:val="bottom"/>
            <w:gridSpan w:val="2"/>
            <w:shd w:val="clear" w:color="auto" w:fill="FDFDFC"/>
          </w:tcPr>
          <w:p>
            <w:pPr>
              <w:jc w:val="center"/>
              <w:spacing w:after="0" w:line="166" w:lineRule="exact"/>
              <w:rPr>
                <w:sz w:val="20"/>
                <w:szCs w:val="20"/>
                <w:color w:val="auto"/>
              </w:rPr>
            </w:pPr>
            <w:r>
              <w:rPr>
                <w:rFonts w:ascii="Times New Roman" w:cs="Times New Roman" w:eastAsia="Times New Roman" w:hAnsi="Times New Roman"/>
                <w:sz w:val="15"/>
                <w:szCs w:val="15"/>
                <w:b w:val="1"/>
                <w:bCs w:val="1"/>
                <w:color w:val="231F20"/>
                <w:w w:val="98"/>
              </w:rPr>
              <w:t>December</w:t>
            </w:r>
          </w:p>
        </w:tc>
        <w:tc>
          <w:tcPr>
            <w:tcW w:w="140" w:type="dxa"/>
            <w:vAlign w:val="bottom"/>
            <w:shd w:val="clear" w:color="auto" w:fill="FDFDFC"/>
          </w:tcPr>
          <w:p>
            <w:pPr>
              <w:spacing w:after="0"/>
              <w:rPr>
                <w:sz w:val="14"/>
                <w:szCs w:val="14"/>
                <w:color w:val="auto"/>
              </w:rPr>
            </w:pPr>
          </w:p>
        </w:tc>
        <w:tc>
          <w:tcPr>
            <w:tcW w:w="20" w:type="dxa"/>
            <w:vAlign w:val="bottom"/>
            <w:shd w:val="clear" w:color="auto" w:fill="FDFDFC"/>
          </w:tcPr>
          <w:p>
            <w:pPr>
              <w:spacing w:after="0"/>
              <w:rPr>
                <w:sz w:val="14"/>
                <w:szCs w:val="14"/>
                <w:color w:val="auto"/>
              </w:rPr>
            </w:pPr>
          </w:p>
        </w:tc>
        <w:tc>
          <w:tcPr>
            <w:tcW w:w="120" w:type="dxa"/>
            <w:vAlign w:val="bottom"/>
            <w:shd w:val="clear" w:color="auto" w:fill="FDFDFC"/>
          </w:tcPr>
          <w:p>
            <w:pPr>
              <w:spacing w:after="0"/>
              <w:rPr>
                <w:sz w:val="14"/>
                <w:szCs w:val="14"/>
                <w:color w:val="auto"/>
              </w:rPr>
            </w:pPr>
          </w:p>
        </w:tc>
        <w:tc>
          <w:tcPr>
            <w:tcW w:w="720" w:type="dxa"/>
            <w:vAlign w:val="bottom"/>
            <w:vMerge w:val="continue"/>
            <w:shd w:val="clear" w:color="auto" w:fill="FDFDFC"/>
          </w:tcPr>
          <w:p>
            <w:pPr>
              <w:spacing w:after="0"/>
              <w:rPr>
                <w:sz w:val="14"/>
                <w:szCs w:val="14"/>
                <w:color w:val="auto"/>
              </w:rPr>
            </w:pPr>
          </w:p>
        </w:tc>
        <w:tc>
          <w:tcPr>
            <w:tcW w:w="140" w:type="dxa"/>
            <w:vAlign w:val="bottom"/>
            <w:shd w:val="clear" w:color="auto" w:fill="FDFDFC"/>
          </w:tcPr>
          <w:p>
            <w:pPr>
              <w:spacing w:after="0"/>
              <w:rPr>
                <w:sz w:val="14"/>
                <w:szCs w:val="14"/>
                <w:color w:val="auto"/>
              </w:rPr>
            </w:pPr>
          </w:p>
        </w:tc>
        <w:tc>
          <w:tcPr>
            <w:tcW w:w="20" w:type="dxa"/>
            <w:vAlign w:val="bottom"/>
            <w:shd w:val="clear" w:color="auto" w:fill="FDFDFC"/>
          </w:tcPr>
          <w:p>
            <w:pPr>
              <w:spacing w:after="0"/>
              <w:rPr>
                <w:sz w:val="14"/>
                <w:szCs w:val="14"/>
                <w:color w:val="auto"/>
              </w:rPr>
            </w:pPr>
          </w:p>
        </w:tc>
        <w:tc>
          <w:tcPr>
            <w:tcW w:w="160" w:type="dxa"/>
            <w:vAlign w:val="bottom"/>
            <w:shd w:val="clear" w:color="auto" w:fill="FDFDFC"/>
          </w:tcPr>
          <w:p>
            <w:pPr>
              <w:spacing w:after="0"/>
              <w:rPr>
                <w:sz w:val="14"/>
                <w:szCs w:val="14"/>
                <w:color w:val="auto"/>
              </w:rPr>
            </w:pPr>
          </w:p>
        </w:tc>
        <w:tc>
          <w:tcPr>
            <w:tcW w:w="780" w:type="dxa"/>
            <w:vAlign w:val="bottom"/>
            <w:vMerge w:val="continue"/>
            <w:shd w:val="clear" w:color="auto" w:fill="FDFDFC"/>
          </w:tcPr>
          <w:p>
            <w:pPr>
              <w:spacing w:after="0"/>
              <w:rPr>
                <w:sz w:val="14"/>
                <w:szCs w:val="14"/>
                <w:color w:val="auto"/>
              </w:rPr>
            </w:pPr>
          </w:p>
        </w:tc>
        <w:tc>
          <w:tcPr>
            <w:tcW w:w="140" w:type="dxa"/>
            <w:vAlign w:val="bottom"/>
            <w:shd w:val="clear" w:color="auto" w:fill="FDFDFC"/>
          </w:tcPr>
          <w:p>
            <w:pPr>
              <w:spacing w:after="0"/>
              <w:rPr>
                <w:sz w:val="14"/>
                <w:szCs w:val="14"/>
                <w:color w:val="auto"/>
              </w:rPr>
            </w:pPr>
          </w:p>
        </w:tc>
        <w:tc>
          <w:tcPr>
            <w:tcW w:w="20" w:type="dxa"/>
            <w:vAlign w:val="bottom"/>
            <w:shd w:val="clear" w:color="auto" w:fill="FDFDFC"/>
          </w:tcPr>
          <w:p>
            <w:pPr>
              <w:spacing w:after="0"/>
              <w:rPr>
                <w:sz w:val="14"/>
                <w:szCs w:val="14"/>
                <w:color w:val="auto"/>
              </w:rPr>
            </w:pPr>
          </w:p>
        </w:tc>
        <w:tc>
          <w:tcPr>
            <w:tcW w:w="980" w:type="dxa"/>
            <w:vAlign w:val="bottom"/>
            <w:gridSpan w:val="3"/>
            <w:shd w:val="clear" w:color="auto" w:fill="FDFDFC"/>
          </w:tcPr>
          <w:p>
            <w:pPr>
              <w:spacing w:after="0" w:line="166" w:lineRule="exact"/>
              <w:rPr>
                <w:sz w:val="20"/>
                <w:szCs w:val="20"/>
                <w:color w:val="auto"/>
              </w:rPr>
            </w:pPr>
            <w:r>
              <w:rPr>
                <w:rFonts w:ascii="Times New Roman" w:cs="Times New Roman" w:eastAsia="Times New Roman" w:hAnsi="Times New Roman"/>
                <w:sz w:val="15"/>
                <w:szCs w:val="15"/>
                <w:b w:val="1"/>
                <w:bCs w:val="1"/>
                <w:color w:val="231F20"/>
              </w:rPr>
              <w:t>In Unrealized</w:t>
            </w:r>
          </w:p>
        </w:tc>
        <w:tc>
          <w:tcPr>
            <w:tcW w:w="60" w:type="dxa"/>
            <w:vAlign w:val="bottom"/>
            <w:shd w:val="clear" w:color="auto" w:fill="FDFDFC"/>
          </w:tcPr>
          <w:p>
            <w:pPr>
              <w:spacing w:after="0"/>
              <w:rPr>
                <w:sz w:val="14"/>
                <w:szCs w:val="14"/>
                <w:color w:val="auto"/>
              </w:rPr>
            </w:pPr>
          </w:p>
        </w:tc>
        <w:tc>
          <w:tcPr>
            <w:tcW w:w="20" w:type="dxa"/>
            <w:vAlign w:val="bottom"/>
            <w:shd w:val="clear" w:color="auto" w:fill="FDFDFC"/>
          </w:tcPr>
          <w:p>
            <w:pPr>
              <w:spacing w:after="0"/>
              <w:rPr>
                <w:sz w:val="14"/>
                <w:szCs w:val="14"/>
                <w:color w:val="auto"/>
              </w:rPr>
            </w:pPr>
          </w:p>
        </w:tc>
        <w:tc>
          <w:tcPr>
            <w:tcW w:w="100" w:type="dxa"/>
            <w:vAlign w:val="bottom"/>
            <w:shd w:val="clear" w:color="auto" w:fill="FDFDFC"/>
          </w:tcPr>
          <w:p>
            <w:pPr>
              <w:spacing w:after="0"/>
              <w:rPr>
                <w:sz w:val="14"/>
                <w:szCs w:val="14"/>
                <w:color w:val="auto"/>
              </w:rPr>
            </w:pPr>
          </w:p>
        </w:tc>
        <w:tc>
          <w:tcPr>
            <w:tcW w:w="780" w:type="dxa"/>
            <w:vAlign w:val="bottom"/>
            <w:gridSpan w:val="2"/>
            <w:vMerge w:val="continue"/>
            <w:shd w:val="clear" w:color="auto" w:fill="FDFDFC"/>
          </w:tcPr>
          <w:p>
            <w:pPr>
              <w:spacing w:after="0"/>
              <w:rPr>
                <w:sz w:val="14"/>
                <w:szCs w:val="14"/>
                <w:color w:val="auto"/>
              </w:rPr>
            </w:pPr>
          </w:p>
        </w:tc>
        <w:tc>
          <w:tcPr>
            <w:tcW w:w="140" w:type="dxa"/>
            <w:vAlign w:val="bottom"/>
            <w:shd w:val="clear" w:color="auto" w:fill="FDFDFC"/>
          </w:tcPr>
          <w:p>
            <w:pPr>
              <w:spacing w:after="0"/>
              <w:rPr>
                <w:sz w:val="14"/>
                <w:szCs w:val="14"/>
                <w:color w:val="auto"/>
              </w:rPr>
            </w:pPr>
          </w:p>
        </w:tc>
        <w:tc>
          <w:tcPr>
            <w:tcW w:w="20" w:type="dxa"/>
            <w:vAlign w:val="bottom"/>
            <w:shd w:val="clear" w:color="auto" w:fill="FDFDFC"/>
          </w:tcPr>
          <w:p>
            <w:pPr>
              <w:spacing w:after="0"/>
              <w:rPr>
                <w:sz w:val="14"/>
                <w:szCs w:val="14"/>
                <w:color w:val="auto"/>
              </w:rPr>
            </w:pPr>
          </w:p>
        </w:tc>
        <w:tc>
          <w:tcPr>
            <w:tcW w:w="260" w:type="dxa"/>
            <w:vAlign w:val="bottom"/>
            <w:shd w:val="clear" w:color="auto" w:fill="FDFDFC"/>
          </w:tcPr>
          <w:p>
            <w:pPr>
              <w:spacing w:after="0"/>
              <w:rPr>
                <w:sz w:val="14"/>
                <w:szCs w:val="14"/>
                <w:color w:val="auto"/>
              </w:rPr>
            </w:pPr>
          </w:p>
        </w:tc>
        <w:tc>
          <w:tcPr>
            <w:tcW w:w="380" w:type="dxa"/>
            <w:vAlign w:val="bottom"/>
            <w:shd w:val="clear" w:color="auto" w:fill="FDFDFC"/>
          </w:tcPr>
          <w:p>
            <w:pPr>
              <w:spacing w:after="0"/>
              <w:rPr>
                <w:sz w:val="14"/>
                <w:szCs w:val="14"/>
                <w:color w:val="auto"/>
              </w:rPr>
            </w:pPr>
          </w:p>
        </w:tc>
        <w:tc>
          <w:tcPr>
            <w:tcW w:w="140" w:type="dxa"/>
            <w:vAlign w:val="bottom"/>
            <w:shd w:val="clear" w:color="auto" w:fill="FDFDFC"/>
          </w:tcPr>
          <w:p>
            <w:pPr>
              <w:spacing w:after="0"/>
              <w:rPr>
                <w:sz w:val="14"/>
                <w:szCs w:val="14"/>
                <w:color w:val="auto"/>
              </w:rPr>
            </w:pPr>
          </w:p>
        </w:tc>
        <w:tc>
          <w:tcPr>
            <w:tcW w:w="20" w:type="dxa"/>
            <w:vAlign w:val="bottom"/>
            <w:shd w:val="clear" w:color="auto" w:fill="FDFDFC"/>
          </w:tcPr>
          <w:p>
            <w:pPr>
              <w:spacing w:after="0"/>
              <w:rPr>
                <w:sz w:val="14"/>
                <w:szCs w:val="14"/>
                <w:color w:val="auto"/>
              </w:rPr>
            </w:pPr>
          </w:p>
        </w:tc>
        <w:tc>
          <w:tcPr>
            <w:tcW w:w="880" w:type="dxa"/>
            <w:vAlign w:val="bottom"/>
            <w:gridSpan w:val="2"/>
            <w:shd w:val="clear" w:color="auto" w:fill="FDFDFC"/>
          </w:tcPr>
          <w:p>
            <w:pPr>
              <w:jc w:val="center"/>
              <w:spacing w:after="0" w:line="166" w:lineRule="exact"/>
              <w:rPr>
                <w:sz w:val="20"/>
                <w:szCs w:val="20"/>
                <w:color w:val="auto"/>
              </w:rPr>
            </w:pPr>
            <w:r>
              <w:rPr>
                <w:rFonts w:ascii="Times New Roman" w:cs="Times New Roman" w:eastAsia="Times New Roman" w:hAnsi="Times New Roman"/>
                <w:sz w:val="15"/>
                <w:szCs w:val="15"/>
                <w:b w:val="1"/>
                <w:bCs w:val="1"/>
                <w:color w:val="231F20"/>
              </w:rPr>
              <w:t>December 31,</w:t>
            </w:r>
          </w:p>
        </w:tc>
        <w:tc>
          <w:tcPr>
            <w:tcW w:w="160" w:type="dxa"/>
            <w:vAlign w:val="bottom"/>
            <w:shd w:val="clear" w:color="auto" w:fill="FDFDFC"/>
          </w:tcPr>
          <w:p>
            <w:pPr>
              <w:spacing w:after="0"/>
              <w:rPr>
                <w:sz w:val="14"/>
                <w:szCs w:val="14"/>
                <w:color w:val="auto"/>
              </w:rPr>
            </w:pPr>
          </w:p>
        </w:tc>
        <w:tc>
          <w:tcPr>
            <w:tcW w:w="20" w:type="dxa"/>
            <w:vAlign w:val="bottom"/>
            <w:shd w:val="clear" w:color="auto" w:fill="FDFDFC"/>
          </w:tcPr>
          <w:p>
            <w:pPr>
              <w:spacing w:after="0"/>
              <w:rPr>
                <w:sz w:val="14"/>
                <w:szCs w:val="14"/>
                <w:color w:val="auto"/>
              </w:rPr>
            </w:pPr>
          </w:p>
        </w:tc>
        <w:tc>
          <w:tcPr>
            <w:tcW w:w="480" w:type="dxa"/>
            <w:vAlign w:val="bottom"/>
            <w:gridSpan w:val="2"/>
            <w:vMerge w:val="continue"/>
            <w:shd w:val="clear" w:color="auto" w:fill="FDFDFC"/>
          </w:tcPr>
          <w:p>
            <w:pPr>
              <w:spacing w:after="0"/>
              <w:rPr>
                <w:sz w:val="14"/>
                <w:szCs w:val="14"/>
                <w:color w:val="auto"/>
              </w:rPr>
            </w:pPr>
          </w:p>
        </w:tc>
        <w:tc>
          <w:tcPr>
            <w:tcW w:w="140" w:type="dxa"/>
            <w:vAlign w:val="bottom"/>
            <w:shd w:val="clear" w:color="auto" w:fill="FDFDFC"/>
          </w:tcPr>
          <w:p>
            <w:pPr>
              <w:spacing w:after="0"/>
              <w:rPr>
                <w:sz w:val="14"/>
                <w:szCs w:val="14"/>
                <w:color w:val="auto"/>
              </w:rPr>
            </w:pPr>
          </w:p>
        </w:tc>
        <w:tc>
          <w:tcPr>
            <w:tcW w:w="20" w:type="dxa"/>
            <w:vAlign w:val="bottom"/>
            <w:shd w:val="clear" w:color="auto" w:fill="FDFDFC"/>
          </w:tcPr>
          <w:p>
            <w:pPr>
              <w:spacing w:after="0"/>
              <w:rPr>
                <w:sz w:val="14"/>
                <w:szCs w:val="14"/>
                <w:color w:val="auto"/>
              </w:rPr>
            </w:pPr>
          </w:p>
        </w:tc>
        <w:tc>
          <w:tcPr>
            <w:tcW w:w="600" w:type="dxa"/>
            <w:vAlign w:val="bottom"/>
            <w:gridSpan w:val="3"/>
            <w:vMerge w:val="continue"/>
            <w:shd w:val="clear" w:color="auto" w:fill="FDFDFC"/>
          </w:tcPr>
          <w:p>
            <w:pPr>
              <w:spacing w:after="0"/>
              <w:rPr>
                <w:sz w:val="14"/>
                <w:szCs w:val="14"/>
                <w:color w:val="auto"/>
              </w:rPr>
            </w:pPr>
          </w:p>
        </w:tc>
        <w:tc>
          <w:tcPr>
            <w:tcW w:w="0" w:type="dxa"/>
            <w:vAlign w:val="bottom"/>
          </w:tcPr>
          <w:p>
            <w:pPr>
              <w:spacing w:after="0"/>
              <w:rPr>
                <w:sz w:val="1"/>
                <w:szCs w:val="1"/>
                <w:color w:val="auto"/>
              </w:rPr>
            </w:pPr>
          </w:p>
        </w:tc>
      </w:tr>
      <w:tr>
        <w:trPr>
          <w:trHeight w:val="199"/>
        </w:trPr>
        <w:tc>
          <w:tcPr>
            <w:tcW w:w="2080" w:type="dxa"/>
            <w:vAlign w:val="bottom"/>
            <w:shd w:val="clear" w:color="auto" w:fill="FDFDFC"/>
          </w:tcPr>
          <w:p>
            <w:pPr>
              <w:jc w:val="right"/>
              <w:ind w:right="664"/>
              <w:spacing w:after="0"/>
              <w:rPr>
                <w:sz w:val="20"/>
                <w:szCs w:val="20"/>
                <w:color w:val="auto"/>
              </w:rPr>
            </w:pPr>
            <w:r>
              <w:rPr>
                <w:rFonts w:ascii="Times New Roman" w:cs="Times New Roman" w:eastAsia="Times New Roman" w:hAnsi="Times New Roman"/>
                <w:sz w:val="15"/>
                <w:szCs w:val="15"/>
                <w:b w:val="1"/>
                <w:bCs w:val="1"/>
                <w:color w:val="231F20"/>
              </w:rPr>
              <w:t>Company</w:t>
            </w:r>
          </w:p>
        </w:tc>
        <w:tc>
          <w:tcPr>
            <w:tcW w:w="740" w:type="dxa"/>
            <w:vAlign w:val="bottom"/>
            <w:gridSpan w:val="4"/>
            <w:shd w:val="clear" w:color="auto" w:fill="FDFDFC"/>
          </w:tcPr>
          <w:p>
            <w:pPr>
              <w:jc w:val="center"/>
              <w:spacing w:after="0"/>
              <w:rPr>
                <w:sz w:val="20"/>
                <w:szCs w:val="20"/>
                <w:color w:val="auto"/>
              </w:rPr>
            </w:pPr>
            <w:r>
              <w:rPr>
                <w:rFonts w:ascii="Times New Roman" w:cs="Times New Roman" w:eastAsia="Times New Roman" w:hAnsi="Times New Roman"/>
                <w:sz w:val="15"/>
                <w:szCs w:val="15"/>
                <w:b w:val="1"/>
                <w:bCs w:val="1"/>
                <w:color w:val="231F20"/>
              </w:rPr>
              <w:t>31, 2022</w:t>
            </w:r>
          </w:p>
        </w:tc>
        <w:tc>
          <w:tcPr>
            <w:tcW w:w="140" w:type="dxa"/>
            <w:vAlign w:val="bottom"/>
            <w:shd w:val="clear" w:color="auto" w:fill="FDFDFC"/>
          </w:tcPr>
          <w:p>
            <w:pPr>
              <w:spacing w:after="0"/>
              <w:rPr>
                <w:sz w:val="17"/>
                <w:szCs w:val="17"/>
                <w:color w:val="auto"/>
              </w:rPr>
            </w:pPr>
          </w:p>
        </w:tc>
        <w:tc>
          <w:tcPr>
            <w:tcW w:w="20" w:type="dxa"/>
            <w:vAlign w:val="bottom"/>
            <w:shd w:val="clear" w:color="auto" w:fill="FDFDFC"/>
          </w:tcPr>
          <w:p>
            <w:pPr>
              <w:spacing w:after="0"/>
              <w:rPr>
                <w:sz w:val="17"/>
                <w:szCs w:val="17"/>
                <w:color w:val="auto"/>
              </w:rPr>
            </w:pPr>
          </w:p>
        </w:tc>
        <w:tc>
          <w:tcPr>
            <w:tcW w:w="840" w:type="dxa"/>
            <w:vAlign w:val="bottom"/>
            <w:gridSpan w:val="2"/>
            <w:shd w:val="clear" w:color="auto" w:fill="FDFDFC"/>
          </w:tcPr>
          <w:p>
            <w:pPr>
              <w:spacing w:after="0"/>
              <w:rPr>
                <w:sz w:val="20"/>
                <w:szCs w:val="20"/>
                <w:color w:val="auto"/>
              </w:rPr>
            </w:pPr>
            <w:r>
              <w:rPr>
                <w:rFonts w:ascii="Times New Roman" w:cs="Times New Roman" w:eastAsia="Times New Roman" w:hAnsi="Times New Roman"/>
                <w:sz w:val="15"/>
                <w:szCs w:val="15"/>
                <w:b w:val="1"/>
                <w:bCs w:val="1"/>
                <w:color w:val="231F20"/>
                <w:w w:val="97"/>
              </w:rPr>
              <w:t>Additions (a)</w:t>
            </w:r>
          </w:p>
        </w:tc>
        <w:tc>
          <w:tcPr>
            <w:tcW w:w="140" w:type="dxa"/>
            <w:vAlign w:val="bottom"/>
            <w:shd w:val="clear" w:color="auto" w:fill="FDFDFC"/>
          </w:tcPr>
          <w:p>
            <w:pPr>
              <w:spacing w:after="0"/>
              <w:rPr>
                <w:sz w:val="17"/>
                <w:szCs w:val="17"/>
                <w:color w:val="auto"/>
              </w:rPr>
            </w:pPr>
          </w:p>
        </w:tc>
        <w:tc>
          <w:tcPr>
            <w:tcW w:w="20" w:type="dxa"/>
            <w:vAlign w:val="bottom"/>
            <w:shd w:val="clear" w:color="auto" w:fill="FDFDFC"/>
          </w:tcPr>
          <w:p>
            <w:pPr>
              <w:spacing w:after="0"/>
              <w:rPr>
                <w:sz w:val="17"/>
                <w:szCs w:val="17"/>
                <w:color w:val="auto"/>
              </w:rPr>
            </w:pPr>
          </w:p>
        </w:tc>
        <w:tc>
          <w:tcPr>
            <w:tcW w:w="940" w:type="dxa"/>
            <w:vAlign w:val="bottom"/>
            <w:gridSpan w:val="2"/>
            <w:shd w:val="clear" w:color="auto" w:fill="FDFDFC"/>
          </w:tcPr>
          <w:p>
            <w:pPr>
              <w:spacing w:after="0"/>
              <w:rPr>
                <w:sz w:val="20"/>
                <w:szCs w:val="20"/>
                <w:color w:val="auto"/>
              </w:rPr>
            </w:pPr>
            <w:r>
              <w:rPr>
                <w:rFonts w:ascii="Times New Roman" w:cs="Times New Roman" w:eastAsia="Times New Roman" w:hAnsi="Times New Roman"/>
                <w:sz w:val="15"/>
                <w:szCs w:val="15"/>
                <w:b w:val="1"/>
                <w:bCs w:val="1"/>
                <w:color w:val="231F20"/>
                <w:w w:val="98"/>
              </w:rPr>
              <w:t>Reductions (b)</w:t>
            </w:r>
          </w:p>
        </w:tc>
        <w:tc>
          <w:tcPr>
            <w:tcW w:w="140" w:type="dxa"/>
            <w:vAlign w:val="bottom"/>
            <w:shd w:val="clear" w:color="auto" w:fill="FDFDFC"/>
          </w:tcPr>
          <w:p>
            <w:pPr>
              <w:spacing w:after="0"/>
              <w:rPr>
                <w:sz w:val="17"/>
                <w:szCs w:val="17"/>
                <w:color w:val="auto"/>
              </w:rPr>
            </w:pPr>
          </w:p>
        </w:tc>
        <w:tc>
          <w:tcPr>
            <w:tcW w:w="20" w:type="dxa"/>
            <w:vAlign w:val="bottom"/>
            <w:shd w:val="clear" w:color="auto" w:fill="FDFDFC"/>
          </w:tcPr>
          <w:p>
            <w:pPr>
              <w:spacing w:after="0"/>
              <w:rPr>
                <w:sz w:val="17"/>
                <w:szCs w:val="17"/>
                <w:color w:val="auto"/>
              </w:rPr>
            </w:pPr>
          </w:p>
        </w:tc>
        <w:tc>
          <w:tcPr>
            <w:tcW w:w="980" w:type="dxa"/>
            <w:vAlign w:val="bottom"/>
            <w:gridSpan w:val="3"/>
            <w:shd w:val="clear" w:color="auto" w:fill="FDFDFC"/>
          </w:tcPr>
          <w:p>
            <w:pPr>
              <w:ind w:left="60"/>
              <w:spacing w:after="0"/>
              <w:rPr>
                <w:sz w:val="20"/>
                <w:szCs w:val="20"/>
                <w:color w:val="auto"/>
              </w:rPr>
            </w:pPr>
            <w:r>
              <w:rPr>
                <w:rFonts w:ascii="Times New Roman" w:cs="Times New Roman" w:eastAsia="Times New Roman" w:hAnsi="Times New Roman"/>
                <w:sz w:val="15"/>
                <w:szCs w:val="15"/>
                <w:b w:val="1"/>
                <w:bCs w:val="1"/>
                <w:color w:val="231F20"/>
              </w:rPr>
              <w:t>Gain/(Loss)</w:t>
            </w:r>
          </w:p>
        </w:tc>
        <w:tc>
          <w:tcPr>
            <w:tcW w:w="60" w:type="dxa"/>
            <w:vAlign w:val="bottom"/>
            <w:shd w:val="clear" w:color="auto" w:fill="FDFDFC"/>
          </w:tcPr>
          <w:p>
            <w:pPr>
              <w:spacing w:after="0"/>
              <w:rPr>
                <w:sz w:val="17"/>
                <w:szCs w:val="17"/>
                <w:color w:val="auto"/>
              </w:rPr>
            </w:pPr>
          </w:p>
        </w:tc>
        <w:tc>
          <w:tcPr>
            <w:tcW w:w="20" w:type="dxa"/>
            <w:vAlign w:val="bottom"/>
            <w:shd w:val="clear" w:color="auto" w:fill="FDFDFC"/>
          </w:tcPr>
          <w:p>
            <w:pPr>
              <w:spacing w:after="0"/>
              <w:rPr>
                <w:sz w:val="17"/>
                <w:szCs w:val="17"/>
                <w:color w:val="auto"/>
              </w:rPr>
            </w:pPr>
          </w:p>
        </w:tc>
        <w:tc>
          <w:tcPr>
            <w:tcW w:w="880" w:type="dxa"/>
            <w:vAlign w:val="bottom"/>
            <w:gridSpan w:val="3"/>
            <w:shd w:val="clear" w:color="auto" w:fill="FDFDFC"/>
          </w:tcPr>
          <w:p>
            <w:pPr>
              <w:spacing w:after="0"/>
              <w:rPr>
                <w:sz w:val="20"/>
                <w:szCs w:val="20"/>
                <w:color w:val="auto"/>
              </w:rPr>
            </w:pPr>
            <w:r>
              <w:rPr>
                <w:rFonts w:ascii="Times New Roman" w:cs="Times New Roman" w:eastAsia="Times New Roman" w:hAnsi="Times New Roman"/>
                <w:sz w:val="15"/>
                <w:szCs w:val="15"/>
                <w:b w:val="1"/>
                <w:bCs w:val="1"/>
                <w:color w:val="231F20"/>
                <w:w w:val="98"/>
              </w:rPr>
              <w:t>Gain/(Losses)</w:t>
            </w:r>
          </w:p>
        </w:tc>
        <w:tc>
          <w:tcPr>
            <w:tcW w:w="140" w:type="dxa"/>
            <w:vAlign w:val="bottom"/>
            <w:shd w:val="clear" w:color="auto" w:fill="FDFDFC"/>
          </w:tcPr>
          <w:p>
            <w:pPr>
              <w:spacing w:after="0"/>
              <w:rPr>
                <w:sz w:val="17"/>
                <w:szCs w:val="17"/>
                <w:color w:val="auto"/>
              </w:rPr>
            </w:pPr>
          </w:p>
        </w:tc>
        <w:tc>
          <w:tcPr>
            <w:tcW w:w="20" w:type="dxa"/>
            <w:vAlign w:val="bottom"/>
            <w:shd w:val="clear" w:color="auto" w:fill="FDFDFC"/>
          </w:tcPr>
          <w:p>
            <w:pPr>
              <w:spacing w:after="0"/>
              <w:rPr>
                <w:sz w:val="17"/>
                <w:szCs w:val="17"/>
                <w:color w:val="auto"/>
              </w:rPr>
            </w:pPr>
          </w:p>
        </w:tc>
        <w:tc>
          <w:tcPr>
            <w:tcW w:w="640" w:type="dxa"/>
            <w:vAlign w:val="bottom"/>
            <w:gridSpan w:val="2"/>
            <w:shd w:val="clear" w:color="auto" w:fill="FDFDFC"/>
          </w:tcPr>
          <w:p>
            <w:pPr>
              <w:spacing w:after="0"/>
              <w:rPr>
                <w:sz w:val="20"/>
                <w:szCs w:val="20"/>
                <w:color w:val="auto"/>
              </w:rPr>
            </w:pPr>
            <w:r>
              <w:rPr>
                <w:rFonts w:ascii="Times New Roman" w:cs="Times New Roman" w:eastAsia="Times New Roman" w:hAnsi="Times New Roman"/>
                <w:sz w:val="15"/>
                <w:szCs w:val="15"/>
                <w:b w:val="1"/>
                <w:bCs w:val="1"/>
                <w:color w:val="231F20"/>
                <w:w w:val="99"/>
              </w:rPr>
              <w:t>Transfers</w:t>
            </w:r>
          </w:p>
        </w:tc>
        <w:tc>
          <w:tcPr>
            <w:tcW w:w="140" w:type="dxa"/>
            <w:vAlign w:val="bottom"/>
            <w:shd w:val="clear" w:color="auto" w:fill="FDFDFC"/>
          </w:tcPr>
          <w:p>
            <w:pPr>
              <w:spacing w:after="0"/>
              <w:rPr>
                <w:sz w:val="17"/>
                <w:szCs w:val="17"/>
                <w:color w:val="auto"/>
              </w:rPr>
            </w:pPr>
          </w:p>
        </w:tc>
        <w:tc>
          <w:tcPr>
            <w:tcW w:w="20" w:type="dxa"/>
            <w:vAlign w:val="bottom"/>
            <w:shd w:val="clear" w:color="auto" w:fill="FDFDFC"/>
          </w:tcPr>
          <w:p>
            <w:pPr>
              <w:spacing w:after="0"/>
              <w:rPr>
                <w:sz w:val="17"/>
                <w:szCs w:val="17"/>
                <w:color w:val="auto"/>
              </w:rPr>
            </w:pPr>
          </w:p>
        </w:tc>
        <w:tc>
          <w:tcPr>
            <w:tcW w:w="120" w:type="dxa"/>
            <w:vAlign w:val="bottom"/>
            <w:shd w:val="clear" w:color="auto" w:fill="FDFDFC"/>
          </w:tcPr>
          <w:p>
            <w:pPr>
              <w:spacing w:after="0"/>
              <w:rPr>
                <w:sz w:val="17"/>
                <w:szCs w:val="17"/>
                <w:color w:val="auto"/>
              </w:rPr>
            </w:pPr>
          </w:p>
        </w:tc>
        <w:tc>
          <w:tcPr>
            <w:tcW w:w="760" w:type="dxa"/>
            <w:vAlign w:val="bottom"/>
            <w:shd w:val="clear" w:color="auto" w:fill="FDFDFC"/>
          </w:tcPr>
          <w:p>
            <w:pPr>
              <w:jc w:val="center"/>
              <w:ind w:right="64"/>
              <w:spacing w:after="0"/>
              <w:rPr>
                <w:sz w:val="20"/>
                <w:szCs w:val="20"/>
                <w:color w:val="auto"/>
              </w:rPr>
            </w:pPr>
            <w:r>
              <w:rPr>
                <w:rFonts w:ascii="Times New Roman" w:cs="Times New Roman" w:eastAsia="Times New Roman" w:hAnsi="Times New Roman"/>
                <w:sz w:val="15"/>
                <w:szCs w:val="15"/>
                <w:b w:val="1"/>
                <w:bCs w:val="1"/>
                <w:color w:val="231F20"/>
                <w:w w:val="99"/>
              </w:rPr>
              <w:t>2023</w:t>
            </w:r>
          </w:p>
        </w:tc>
        <w:tc>
          <w:tcPr>
            <w:tcW w:w="160" w:type="dxa"/>
            <w:vAlign w:val="bottom"/>
            <w:shd w:val="clear" w:color="auto" w:fill="FDFDFC"/>
          </w:tcPr>
          <w:p>
            <w:pPr>
              <w:spacing w:after="0"/>
              <w:rPr>
                <w:sz w:val="17"/>
                <w:szCs w:val="17"/>
                <w:color w:val="auto"/>
              </w:rPr>
            </w:pPr>
          </w:p>
        </w:tc>
        <w:tc>
          <w:tcPr>
            <w:tcW w:w="20" w:type="dxa"/>
            <w:vAlign w:val="bottom"/>
            <w:shd w:val="clear" w:color="auto" w:fill="FDFDFC"/>
          </w:tcPr>
          <w:p>
            <w:pPr>
              <w:spacing w:after="0"/>
              <w:rPr>
                <w:sz w:val="17"/>
                <w:szCs w:val="17"/>
                <w:color w:val="auto"/>
              </w:rPr>
            </w:pPr>
          </w:p>
        </w:tc>
        <w:tc>
          <w:tcPr>
            <w:tcW w:w="480" w:type="dxa"/>
            <w:vAlign w:val="bottom"/>
            <w:gridSpan w:val="2"/>
            <w:shd w:val="clear" w:color="auto" w:fill="FDFDFC"/>
          </w:tcPr>
          <w:p>
            <w:pPr>
              <w:spacing w:after="0"/>
              <w:rPr>
                <w:sz w:val="20"/>
                <w:szCs w:val="20"/>
                <w:color w:val="auto"/>
              </w:rPr>
            </w:pPr>
            <w:r>
              <w:rPr>
                <w:rFonts w:ascii="Times New Roman" w:cs="Times New Roman" w:eastAsia="Times New Roman" w:hAnsi="Times New Roman"/>
                <w:sz w:val="15"/>
                <w:szCs w:val="15"/>
                <w:b w:val="1"/>
                <w:bCs w:val="1"/>
                <w:color w:val="231F20"/>
                <w:w w:val="96"/>
              </w:rPr>
              <w:t>Income</w:t>
            </w:r>
          </w:p>
        </w:tc>
        <w:tc>
          <w:tcPr>
            <w:tcW w:w="140" w:type="dxa"/>
            <w:vAlign w:val="bottom"/>
            <w:shd w:val="clear" w:color="auto" w:fill="FDFDFC"/>
          </w:tcPr>
          <w:p>
            <w:pPr>
              <w:spacing w:after="0"/>
              <w:rPr>
                <w:sz w:val="17"/>
                <w:szCs w:val="17"/>
                <w:color w:val="auto"/>
              </w:rPr>
            </w:pPr>
          </w:p>
        </w:tc>
        <w:tc>
          <w:tcPr>
            <w:tcW w:w="20" w:type="dxa"/>
            <w:vAlign w:val="bottom"/>
            <w:shd w:val="clear" w:color="auto" w:fill="FDFDFC"/>
          </w:tcPr>
          <w:p>
            <w:pPr>
              <w:spacing w:after="0"/>
              <w:rPr>
                <w:sz w:val="17"/>
                <w:szCs w:val="17"/>
                <w:color w:val="auto"/>
              </w:rPr>
            </w:pPr>
          </w:p>
        </w:tc>
        <w:tc>
          <w:tcPr>
            <w:tcW w:w="600" w:type="dxa"/>
            <w:vAlign w:val="bottom"/>
            <w:gridSpan w:val="3"/>
            <w:shd w:val="clear" w:color="auto" w:fill="FDFDFC"/>
          </w:tcPr>
          <w:p>
            <w:pPr>
              <w:ind w:left="20"/>
              <w:spacing w:after="0"/>
              <w:rPr>
                <w:sz w:val="20"/>
                <w:szCs w:val="20"/>
                <w:color w:val="auto"/>
              </w:rPr>
            </w:pPr>
            <w:r>
              <w:rPr>
                <w:rFonts w:ascii="Times New Roman" w:cs="Times New Roman" w:eastAsia="Times New Roman" w:hAnsi="Times New Roman"/>
                <w:sz w:val="15"/>
                <w:szCs w:val="15"/>
                <w:b w:val="1"/>
                <w:bCs w:val="1"/>
                <w:color w:val="231F20"/>
              </w:rPr>
              <w:t>Income</w:t>
            </w:r>
          </w:p>
        </w:tc>
        <w:tc>
          <w:tcPr>
            <w:tcW w:w="0" w:type="dxa"/>
            <w:vAlign w:val="bottom"/>
          </w:tcPr>
          <w:p>
            <w:pPr>
              <w:spacing w:after="0"/>
              <w:rPr>
                <w:sz w:val="1"/>
                <w:szCs w:val="1"/>
                <w:color w:val="auto"/>
              </w:rPr>
            </w:pPr>
          </w:p>
        </w:tc>
      </w:tr>
      <w:tr>
        <w:trPr>
          <w:trHeight w:val="163"/>
        </w:trPr>
        <w:tc>
          <w:tcPr>
            <w:tcW w:w="2080" w:type="dxa"/>
            <w:vAlign w:val="bottom"/>
            <w:tcBorders>
              <w:top w:val="single" w:sz="8" w:color="231F20"/>
              <w:bottom w:val="single" w:sz="8" w:color="FDFDFC"/>
            </w:tcBorders>
            <w:shd w:val="clear" w:color="auto" w:fill="D0EBF2"/>
          </w:tcPr>
          <w:p>
            <w:pPr>
              <w:jc w:val="right"/>
              <w:ind w:right="664"/>
              <w:spacing w:after="0" w:line="164" w:lineRule="exact"/>
              <w:rPr>
                <w:sz w:val="20"/>
                <w:szCs w:val="20"/>
                <w:color w:val="auto"/>
              </w:rPr>
            </w:pPr>
            <w:r>
              <w:rPr>
                <w:rFonts w:ascii="Times New Roman" w:cs="Times New Roman" w:eastAsia="Times New Roman" w:hAnsi="Times New Roman"/>
                <w:sz w:val="15"/>
                <w:szCs w:val="15"/>
                <w:color w:val="231F20"/>
                <w:w w:val="98"/>
              </w:rPr>
              <w:t>IRGSE Holding Corp.</w:t>
            </w:r>
          </w:p>
        </w:tc>
        <w:tc>
          <w:tcPr>
            <w:tcW w:w="60" w:type="dxa"/>
            <w:vAlign w:val="bottom"/>
            <w:tcBorders>
              <w:top w:val="single" w:sz="8" w:color="D0EBF2"/>
              <w:bottom w:val="single" w:sz="8" w:color="FDFDFC"/>
            </w:tcBorders>
            <w:shd w:val="clear" w:color="auto" w:fill="D0EBF2"/>
          </w:tcPr>
          <w:p>
            <w:pPr>
              <w:spacing w:after="0"/>
              <w:rPr>
                <w:sz w:val="14"/>
                <w:szCs w:val="14"/>
                <w:color w:val="auto"/>
              </w:rPr>
            </w:pPr>
          </w:p>
        </w:tc>
        <w:tc>
          <w:tcPr>
            <w:tcW w:w="20" w:type="dxa"/>
            <w:vAlign w:val="bottom"/>
            <w:tcBorders>
              <w:top w:val="single" w:sz="8" w:color="D0EBF2"/>
              <w:bottom w:val="single" w:sz="8" w:color="231F20"/>
            </w:tcBorders>
            <w:shd w:val="clear" w:color="auto" w:fill="D0EBF2"/>
          </w:tcPr>
          <w:p>
            <w:pPr>
              <w:spacing w:after="0"/>
              <w:rPr>
                <w:sz w:val="14"/>
                <w:szCs w:val="14"/>
                <w:color w:val="auto"/>
              </w:rPr>
            </w:pPr>
          </w:p>
        </w:tc>
        <w:tc>
          <w:tcPr>
            <w:tcW w:w="120" w:type="dxa"/>
            <w:vAlign w:val="bottom"/>
            <w:tcBorders>
              <w:top w:val="single" w:sz="8" w:color="231F20"/>
              <w:bottom w:val="single" w:sz="8" w:color="231F20"/>
            </w:tcBorders>
            <w:shd w:val="clear" w:color="auto" w:fill="D0EBF2"/>
          </w:tcPr>
          <w:p>
            <w:pPr>
              <w:jc w:val="right"/>
              <w:spacing w:after="0"/>
              <w:rPr>
                <w:sz w:val="20"/>
                <w:szCs w:val="20"/>
                <w:color w:val="auto"/>
              </w:rPr>
            </w:pPr>
            <w:r>
              <w:rPr>
                <w:rFonts w:ascii="Times New Roman" w:cs="Times New Roman" w:eastAsia="Times New Roman" w:hAnsi="Times New Roman"/>
                <w:sz w:val="11"/>
                <w:szCs w:val="11"/>
                <w:color w:val="231F20"/>
                <w:w w:val="71"/>
                <w:shd w:val="clear" w:color="auto" w:fill="D0EBF2"/>
              </w:rPr>
              <w:t>$</w:t>
            </w:r>
          </w:p>
        </w:tc>
        <w:tc>
          <w:tcPr>
            <w:tcW w:w="540" w:type="dxa"/>
            <w:vAlign w:val="bottom"/>
            <w:tcBorders>
              <w:top w:val="single" w:sz="8" w:color="231F20"/>
              <w:bottom w:val="single" w:sz="8" w:color="231F20"/>
            </w:tcBorders>
            <w:shd w:val="clear" w:color="auto" w:fill="D0EBF2"/>
          </w:tcPr>
          <w:p>
            <w:pPr>
              <w:jc w:val="right"/>
              <w:spacing w:after="0" w:line="164" w:lineRule="exact"/>
              <w:rPr>
                <w:sz w:val="20"/>
                <w:szCs w:val="20"/>
                <w:color w:val="auto"/>
              </w:rPr>
            </w:pPr>
            <w:r>
              <w:rPr>
                <w:rFonts w:ascii="Times New Roman" w:cs="Times New Roman" w:eastAsia="Times New Roman" w:hAnsi="Times New Roman"/>
                <w:sz w:val="15"/>
                <w:szCs w:val="15"/>
                <w:color w:val="231F20"/>
                <w:shd w:val="clear" w:color="auto" w:fill="D0EBF2"/>
              </w:rPr>
              <w:t>70,755</w:t>
            </w:r>
          </w:p>
        </w:tc>
        <w:tc>
          <w:tcPr>
            <w:tcW w:w="140" w:type="dxa"/>
            <w:vAlign w:val="bottom"/>
            <w:tcBorders>
              <w:top w:val="single" w:sz="8" w:color="D0EBF2"/>
              <w:bottom w:val="single" w:sz="8" w:color="FDFDFC"/>
            </w:tcBorders>
            <w:shd w:val="clear" w:color="auto" w:fill="D0EBF2"/>
          </w:tcPr>
          <w:p>
            <w:pPr>
              <w:spacing w:after="0"/>
              <w:rPr>
                <w:sz w:val="14"/>
                <w:szCs w:val="14"/>
                <w:color w:val="auto"/>
              </w:rPr>
            </w:pPr>
          </w:p>
        </w:tc>
        <w:tc>
          <w:tcPr>
            <w:tcW w:w="20" w:type="dxa"/>
            <w:vAlign w:val="bottom"/>
            <w:tcBorders>
              <w:top w:val="single" w:sz="8" w:color="D0EBF2"/>
              <w:bottom w:val="single" w:sz="8" w:color="231F20"/>
            </w:tcBorders>
            <w:shd w:val="clear" w:color="auto" w:fill="D0EBF2"/>
          </w:tcPr>
          <w:p>
            <w:pPr>
              <w:spacing w:after="0"/>
              <w:rPr>
                <w:sz w:val="14"/>
                <w:szCs w:val="14"/>
                <w:color w:val="auto"/>
              </w:rPr>
            </w:pPr>
          </w:p>
        </w:tc>
        <w:tc>
          <w:tcPr>
            <w:tcW w:w="120" w:type="dxa"/>
            <w:vAlign w:val="bottom"/>
            <w:tcBorders>
              <w:top w:val="single" w:sz="8" w:color="231F20"/>
              <w:bottom w:val="single" w:sz="8" w:color="231F20"/>
            </w:tcBorders>
            <w:shd w:val="clear" w:color="auto" w:fill="D0EBF2"/>
          </w:tcPr>
          <w:p>
            <w:pPr>
              <w:spacing w:after="0" w:line="164" w:lineRule="exact"/>
              <w:rPr>
                <w:sz w:val="20"/>
                <w:szCs w:val="20"/>
                <w:color w:val="auto"/>
              </w:rPr>
            </w:pPr>
            <w:r>
              <w:rPr>
                <w:rFonts w:ascii="Times New Roman" w:cs="Times New Roman" w:eastAsia="Times New Roman" w:hAnsi="Times New Roman"/>
                <w:sz w:val="15"/>
                <w:szCs w:val="15"/>
                <w:color w:val="231F20"/>
              </w:rPr>
              <w:t>$</w:t>
            </w:r>
          </w:p>
        </w:tc>
        <w:tc>
          <w:tcPr>
            <w:tcW w:w="720" w:type="dxa"/>
            <w:vAlign w:val="bottom"/>
            <w:tcBorders>
              <w:top w:val="single" w:sz="8" w:color="231F20"/>
              <w:bottom w:val="single" w:sz="8" w:color="231F20"/>
            </w:tcBorders>
            <w:shd w:val="clear" w:color="auto" w:fill="D0EBF2"/>
          </w:tcPr>
          <w:p>
            <w:pPr>
              <w:jc w:val="right"/>
              <w:spacing w:after="0" w:line="164" w:lineRule="exact"/>
              <w:rPr>
                <w:sz w:val="20"/>
                <w:szCs w:val="20"/>
                <w:color w:val="auto"/>
              </w:rPr>
            </w:pPr>
            <w:r>
              <w:rPr>
                <w:rFonts w:ascii="Times New Roman" w:cs="Times New Roman" w:eastAsia="Times New Roman" w:hAnsi="Times New Roman"/>
                <w:sz w:val="15"/>
                <w:szCs w:val="15"/>
                <w:color w:val="231F20"/>
              </w:rPr>
              <w:t>10,875</w:t>
            </w:r>
          </w:p>
        </w:tc>
        <w:tc>
          <w:tcPr>
            <w:tcW w:w="140" w:type="dxa"/>
            <w:vAlign w:val="bottom"/>
            <w:tcBorders>
              <w:top w:val="single" w:sz="8" w:color="D0EBF2"/>
              <w:bottom w:val="single" w:sz="8" w:color="FDFDFC"/>
            </w:tcBorders>
            <w:shd w:val="clear" w:color="auto" w:fill="D0EBF2"/>
          </w:tcPr>
          <w:p>
            <w:pPr>
              <w:spacing w:after="0"/>
              <w:rPr>
                <w:sz w:val="14"/>
                <w:szCs w:val="14"/>
                <w:color w:val="auto"/>
              </w:rPr>
            </w:pPr>
          </w:p>
        </w:tc>
        <w:tc>
          <w:tcPr>
            <w:tcW w:w="20" w:type="dxa"/>
            <w:vAlign w:val="bottom"/>
            <w:tcBorders>
              <w:top w:val="single" w:sz="8" w:color="D0EBF2"/>
              <w:bottom w:val="single" w:sz="8" w:color="231F20"/>
            </w:tcBorders>
            <w:shd w:val="clear" w:color="auto" w:fill="D0EBF2"/>
          </w:tcPr>
          <w:p>
            <w:pPr>
              <w:spacing w:after="0"/>
              <w:rPr>
                <w:sz w:val="14"/>
                <w:szCs w:val="14"/>
                <w:color w:val="auto"/>
              </w:rPr>
            </w:pPr>
          </w:p>
        </w:tc>
        <w:tc>
          <w:tcPr>
            <w:tcW w:w="160" w:type="dxa"/>
            <w:vAlign w:val="bottom"/>
            <w:tcBorders>
              <w:top w:val="single" w:sz="8" w:color="231F20"/>
              <w:bottom w:val="single" w:sz="8" w:color="231F20"/>
            </w:tcBorders>
            <w:shd w:val="clear" w:color="auto" w:fill="D0EBF2"/>
          </w:tcPr>
          <w:p>
            <w:pPr>
              <w:spacing w:after="0" w:line="164" w:lineRule="exact"/>
              <w:rPr>
                <w:sz w:val="20"/>
                <w:szCs w:val="20"/>
                <w:color w:val="auto"/>
              </w:rPr>
            </w:pPr>
            <w:r>
              <w:rPr>
                <w:rFonts w:ascii="Times New Roman" w:cs="Times New Roman" w:eastAsia="Times New Roman" w:hAnsi="Times New Roman"/>
                <w:sz w:val="15"/>
                <w:szCs w:val="15"/>
                <w:color w:val="231F20"/>
              </w:rPr>
              <w:t>$</w:t>
            </w:r>
          </w:p>
        </w:tc>
        <w:tc>
          <w:tcPr>
            <w:tcW w:w="780" w:type="dxa"/>
            <w:vAlign w:val="bottom"/>
            <w:tcBorders>
              <w:top w:val="single" w:sz="8" w:color="231F20"/>
              <w:bottom w:val="single" w:sz="8" w:color="231F20"/>
            </w:tcBorders>
            <w:shd w:val="clear" w:color="auto" w:fill="D0EBF2"/>
          </w:tcPr>
          <w:p>
            <w:pPr>
              <w:ind w:left="620"/>
              <w:spacing w:after="0" w:line="164" w:lineRule="exact"/>
              <w:rPr>
                <w:sz w:val="20"/>
                <w:szCs w:val="20"/>
                <w:color w:val="auto"/>
              </w:rPr>
            </w:pPr>
            <w:r>
              <w:rPr>
                <w:rFonts w:ascii="Times New Roman" w:cs="Times New Roman" w:eastAsia="Times New Roman" w:hAnsi="Times New Roman"/>
                <w:sz w:val="15"/>
                <w:szCs w:val="15"/>
                <w:color w:val="231F20"/>
                <w:w w:val="93"/>
              </w:rPr>
              <w:t>—</w:t>
            </w:r>
          </w:p>
        </w:tc>
        <w:tc>
          <w:tcPr>
            <w:tcW w:w="140" w:type="dxa"/>
            <w:vAlign w:val="bottom"/>
            <w:tcBorders>
              <w:top w:val="single" w:sz="8" w:color="D0EBF2"/>
              <w:bottom w:val="single" w:sz="8" w:color="FDFDFC"/>
            </w:tcBorders>
            <w:shd w:val="clear" w:color="auto" w:fill="D0EBF2"/>
          </w:tcPr>
          <w:p>
            <w:pPr>
              <w:spacing w:after="0"/>
              <w:rPr>
                <w:sz w:val="14"/>
                <w:szCs w:val="14"/>
                <w:color w:val="auto"/>
              </w:rPr>
            </w:pPr>
          </w:p>
        </w:tc>
        <w:tc>
          <w:tcPr>
            <w:tcW w:w="20" w:type="dxa"/>
            <w:vAlign w:val="bottom"/>
            <w:tcBorders>
              <w:top w:val="single" w:sz="8" w:color="D0EBF2"/>
              <w:bottom w:val="single" w:sz="8" w:color="231F20"/>
            </w:tcBorders>
            <w:shd w:val="clear" w:color="auto" w:fill="D0EBF2"/>
          </w:tcPr>
          <w:p>
            <w:pPr>
              <w:spacing w:after="0"/>
              <w:rPr>
                <w:sz w:val="14"/>
                <w:szCs w:val="14"/>
                <w:color w:val="auto"/>
              </w:rPr>
            </w:pPr>
          </w:p>
        </w:tc>
        <w:tc>
          <w:tcPr>
            <w:tcW w:w="240" w:type="dxa"/>
            <w:vAlign w:val="bottom"/>
            <w:tcBorders>
              <w:top w:val="single" w:sz="8" w:color="231F20"/>
              <w:bottom w:val="single" w:sz="8" w:color="231F20"/>
            </w:tcBorders>
            <w:shd w:val="clear" w:color="auto" w:fill="D0EBF2"/>
          </w:tcPr>
          <w:p>
            <w:pPr>
              <w:spacing w:after="0" w:line="164" w:lineRule="exact"/>
              <w:rPr>
                <w:sz w:val="20"/>
                <w:szCs w:val="20"/>
                <w:color w:val="auto"/>
              </w:rPr>
            </w:pPr>
            <w:r>
              <w:rPr>
                <w:rFonts w:ascii="Times New Roman" w:cs="Times New Roman" w:eastAsia="Times New Roman" w:hAnsi="Times New Roman"/>
                <w:sz w:val="15"/>
                <w:szCs w:val="15"/>
                <w:color w:val="231F20"/>
              </w:rPr>
              <w:t>$</w:t>
            </w:r>
          </w:p>
        </w:tc>
        <w:tc>
          <w:tcPr>
            <w:tcW w:w="640" w:type="dxa"/>
            <w:vAlign w:val="bottom"/>
            <w:tcBorders>
              <w:top w:val="single" w:sz="8" w:color="231F20"/>
              <w:bottom w:val="single" w:sz="8" w:color="231F20"/>
            </w:tcBorders>
            <w:shd w:val="clear" w:color="auto" w:fill="D0EBF2"/>
          </w:tcPr>
          <w:p>
            <w:pPr>
              <w:jc w:val="right"/>
              <w:spacing w:after="0" w:line="164" w:lineRule="exact"/>
              <w:rPr>
                <w:sz w:val="20"/>
                <w:szCs w:val="20"/>
                <w:color w:val="auto"/>
              </w:rPr>
            </w:pPr>
            <w:r>
              <w:rPr>
                <w:rFonts w:ascii="Times New Roman" w:cs="Times New Roman" w:eastAsia="Times New Roman" w:hAnsi="Times New Roman"/>
                <w:sz w:val="15"/>
                <w:szCs w:val="15"/>
                <w:color w:val="231F20"/>
              </w:rPr>
              <w:t>(21,717)</w:t>
            </w:r>
          </w:p>
        </w:tc>
        <w:tc>
          <w:tcPr>
            <w:tcW w:w="100" w:type="dxa"/>
            <w:vAlign w:val="bottom"/>
            <w:tcBorders>
              <w:top w:val="single" w:sz="8" w:color="D0EBF2"/>
              <w:bottom w:val="single" w:sz="8" w:color="FDFDFC"/>
            </w:tcBorders>
            <w:shd w:val="clear" w:color="auto" w:fill="D0EBF2"/>
          </w:tcPr>
          <w:p>
            <w:pPr>
              <w:spacing w:after="0"/>
              <w:rPr>
                <w:sz w:val="14"/>
                <w:szCs w:val="14"/>
                <w:color w:val="auto"/>
              </w:rPr>
            </w:pPr>
          </w:p>
        </w:tc>
        <w:tc>
          <w:tcPr>
            <w:tcW w:w="60" w:type="dxa"/>
            <w:vAlign w:val="bottom"/>
            <w:tcBorders>
              <w:top w:val="single" w:sz="8" w:color="D0EBF2"/>
              <w:bottom w:val="single" w:sz="8" w:color="FDFDFC"/>
            </w:tcBorders>
            <w:shd w:val="clear" w:color="auto" w:fill="D0EBF2"/>
          </w:tcPr>
          <w:p>
            <w:pPr>
              <w:spacing w:after="0"/>
              <w:rPr>
                <w:sz w:val="14"/>
                <w:szCs w:val="14"/>
                <w:color w:val="auto"/>
              </w:rPr>
            </w:pPr>
          </w:p>
        </w:tc>
        <w:tc>
          <w:tcPr>
            <w:tcW w:w="20" w:type="dxa"/>
            <w:vAlign w:val="bottom"/>
            <w:tcBorders>
              <w:top w:val="single" w:sz="8" w:color="D0EBF2"/>
              <w:bottom w:val="single" w:sz="8" w:color="231F20"/>
            </w:tcBorders>
            <w:shd w:val="clear" w:color="auto" w:fill="D0EBF2"/>
          </w:tcPr>
          <w:p>
            <w:pPr>
              <w:spacing w:after="0"/>
              <w:rPr>
                <w:sz w:val="14"/>
                <w:szCs w:val="14"/>
                <w:color w:val="auto"/>
              </w:rPr>
            </w:pPr>
          </w:p>
        </w:tc>
        <w:tc>
          <w:tcPr>
            <w:tcW w:w="100" w:type="dxa"/>
            <w:vAlign w:val="bottom"/>
            <w:tcBorders>
              <w:top w:val="single" w:sz="8" w:color="231F20"/>
              <w:bottom w:val="single" w:sz="8" w:color="231F20"/>
            </w:tcBorders>
            <w:shd w:val="clear" w:color="auto" w:fill="D0EBF2"/>
          </w:tcPr>
          <w:p>
            <w:pPr>
              <w:spacing w:after="0" w:line="164" w:lineRule="exact"/>
              <w:rPr>
                <w:sz w:val="20"/>
                <w:szCs w:val="20"/>
                <w:color w:val="auto"/>
              </w:rPr>
            </w:pPr>
            <w:r>
              <w:rPr>
                <w:rFonts w:ascii="Times New Roman" w:cs="Times New Roman" w:eastAsia="Times New Roman" w:hAnsi="Times New Roman"/>
                <w:sz w:val="15"/>
                <w:szCs w:val="15"/>
                <w:color w:val="231F20"/>
              </w:rPr>
              <w:t>$</w:t>
            </w:r>
          </w:p>
        </w:tc>
        <w:tc>
          <w:tcPr>
            <w:tcW w:w="760" w:type="dxa"/>
            <w:vAlign w:val="bottom"/>
            <w:tcBorders>
              <w:top w:val="single" w:sz="8" w:color="231F20"/>
              <w:bottom w:val="single" w:sz="8" w:color="231F20"/>
            </w:tcBorders>
            <w:shd w:val="clear" w:color="auto" w:fill="D0EBF2"/>
          </w:tcPr>
          <w:p>
            <w:pPr>
              <w:ind w:left="600"/>
              <w:spacing w:after="0" w:line="164" w:lineRule="exact"/>
              <w:rPr>
                <w:sz w:val="20"/>
                <w:szCs w:val="20"/>
                <w:color w:val="auto"/>
              </w:rPr>
            </w:pPr>
            <w:r>
              <w:rPr>
                <w:rFonts w:ascii="Times New Roman" w:cs="Times New Roman" w:eastAsia="Times New Roman" w:hAnsi="Times New Roman"/>
                <w:sz w:val="15"/>
                <w:szCs w:val="15"/>
                <w:color w:val="231F20"/>
                <w:w w:val="93"/>
              </w:rPr>
              <w:t>—</w:t>
            </w:r>
          </w:p>
        </w:tc>
        <w:tc>
          <w:tcPr>
            <w:tcW w:w="20" w:type="dxa"/>
            <w:vAlign w:val="bottom"/>
            <w:tcBorders>
              <w:top w:val="single" w:sz="8" w:color="231F20"/>
            </w:tcBorders>
            <w:shd w:val="clear" w:color="auto" w:fill="D0EBF2"/>
          </w:tcPr>
          <w:p>
            <w:pPr>
              <w:spacing w:after="0"/>
              <w:rPr>
                <w:sz w:val="14"/>
                <w:szCs w:val="14"/>
                <w:color w:val="auto"/>
              </w:rPr>
            </w:pPr>
          </w:p>
        </w:tc>
        <w:tc>
          <w:tcPr>
            <w:tcW w:w="140" w:type="dxa"/>
            <w:vAlign w:val="bottom"/>
            <w:tcBorders>
              <w:top w:val="single" w:sz="8" w:color="D0EBF2"/>
              <w:bottom w:val="single" w:sz="8" w:color="FDFDFC"/>
            </w:tcBorders>
            <w:shd w:val="clear" w:color="auto" w:fill="D0EBF2"/>
          </w:tcPr>
          <w:p>
            <w:pPr>
              <w:spacing w:after="0"/>
              <w:rPr>
                <w:sz w:val="14"/>
                <w:szCs w:val="14"/>
                <w:color w:val="auto"/>
              </w:rPr>
            </w:pPr>
          </w:p>
        </w:tc>
        <w:tc>
          <w:tcPr>
            <w:tcW w:w="20" w:type="dxa"/>
            <w:vAlign w:val="bottom"/>
            <w:tcBorders>
              <w:top w:val="single" w:sz="8" w:color="D0EBF2"/>
              <w:bottom w:val="single" w:sz="8" w:color="231F20"/>
            </w:tcBorders>
            <w:shd w:val="clear" w:color="auto" w:fill="D0EBF2"/>
          </w:tcPr>
          <w:p>
            <w:pPr>
              <w:spacing w:after="0"/>
              <w:rPr>
                <w:sz w:val="14"/>
                <w:szCs w:val="14"/>
                <w:color w:val="auto"/>
              </w:rPr>
            </w:pPr>
          </w:p>
        </w:tc>
        <w:tc>
          <w:tcPr>
            <w:tcW w:w="260" w:type="dxa"/>
            <w:vAlign w:val="bottom"/>
            <w:tcBorders>
              <w:top w:val="single" w:sz="8" w:color="231F20"/>
              <w:bottom w:val="single" w:sz="8" w:color="231F20"/>
            </w:tcBorders>
            <w:shd w:val="clear" w:color="auto" w:fill="D0EBF2"/>
          </w:tcPr>
          <w:p>
            <w:pPr>
              <w:spacing w:after="0" w:line="164" w:lineRule="exact"/>
              <w:rPr>
                <w:sz w:val="20"/>
                <w:szCs w:val="20"/>
                <w:color w:val="auto"/>
              </w:rPr>
            </w:pPr>
            <w:r>
              <w:rPr>
                <w:rFonts w:ascii="Times New Roman" w:cs="Times New Roman" w:eastAsia="Times New Roman" w:hAnsi="Times New Roman"/>
                <w:sz w:val="15"/>
                <w:szCs w:val="15"/>
                <w:color w:val="231F20"/>
              </w:rPr>
              <w:t>$</w:t>
            </w:r>
          </w:p>
        </w:tc>
        <w:tc>
          <w:tcPr>
            <w:tcW w:w="380" w:type="dxa"/>
            <w:vAlign w:val="bottom"/>
            <w:tcBorders>
              <w:top w:val="single" w:sz="8" w:color="231F20"/>
              <w:bottom w:val="single" w:sz="8" w:color="231F20"/>
            </w:tcBorders>
            <w:shd w:val="clear" w:color="auto" w:fill="D0EBF2"/>
          </w:tcPr>
          <w:p>
            <w:pPr>
              <w:ind w:left="220"/>
              <w:spacing w:after="0" w:line="164" w:lineRule="exact"/>
              <w:rPr>
                <w:sz w:val="20"/>
                <w:szCs w:val="20"/>
                <w:color w:val="auto"/>
              </w:rPr>
            </w:pPr>
            <w:r>
              <w:rPr>
                <w:rFonts w:ascii="Times New Roman" w:cs="Times New Roman" w:eastAsia="Times New Roman" w:hAnsi="Times New Roman"/>
                <w:sz w:val="15"/>
                <w:szCs w:val="15"/>
                <w:color w:val="231F20"/>
                <w:w w:val="93"/>
              </w:rPr>
              <w:t>—</w:t>
            </w:r>
          </w:p>
        </w:tc>
        <w:tc>
          <w:tcPr>
            <w:tcW w:w="140" w:type="dxa"/>
            <w:vAlign w:val="bottom"/>
            <w:tcBorders>
              <w:top w:val="single" w:sz="8" w:color="D0EBF2"/>
              <w:bottom w:val="single" w:sz="8" w:color="FDFDFC"/>
            </w:tcBorders>
            <w:shd w:val="clear" w:color="auto" w:fill="D0EBF2"/>
          </w:tcPr>
          <w:p>
            <w:pPr>
              <w:spacing w:after="0"/>
              <w:rPr>
                <w:sz w:val="14"/>
                <w:szCs w:val="14"/>
                <w:color w:val="auto"/>
              </w:rPr>
            </w:pPr>
          </w:p>
        </w:tc>
        <w:tc>
          <w:tcPr>
            <w:tcW w:w="20" w:type="dxa"/>
            <w:vAlign w:val="bottom"/>
            <w:tcBorders>
              <w:top w:val="single" w:sz="8" w:color="D0EBF2"/>
              <w:bottom w:val="single" w:sz="8" w:color="231F20"/>
            </w:tcBorders>
            <w:shd w:val="clear" w:color="auto" w:fill="D0EBF2"/>
          </w:tcPr>
          <w:p>
            <w:pPr>
              <w:spacing w:after="0"/>
              <w:rPr>
                <w:sz w:val="14"/>
                <w:szCs w:val="14"/>
                <w:color w:val="auto"/>
              </w:rPr>
            </w:pPr>
          </w:p>
        </w:tc>
        <w:tc>
          <w:tcPr>
            <w:tcW w:w="120" w:type="dxa"/>
            <w:vAlign w:val="bottom"/>
            <w:tcBorders>
              <w:top w:val="single" w:sz="8" w:color="231F20"/>
              <w:bottom w:val="single" w:sz="8" w:color="231F20"/>
            </w:tcBorders>
            <w:shd w:val="clear" w:color="auto" w:fill="D0EBF2"/>
          </w:tcPr>
          <w:p>
            <w:pPr>
              <w:jc w:val="right"/>
              <w:spacing w:after="0"/>
              <w:rPr>
                <w:sz w:val="20"/>
                <w:szCs w:val="20"/>
                <w:color w:val="auto"/>
              </w:rPr>
            </w:pPr>
            <w:r>
              <w:rPr>
                <w:rFonts w:ascii="Times New Roman" w:cs="Times New Roman" w:eastAsia="Times New Roman" w:hAnsi="Times New Roman"/>
                <w:sz w:val="11"/>
                <w:szCs w:val="11"/>
                <w:color w:val="231F20"/>
                <w:w w:val="71"/>
              </w:rPr>
              <w:t>$</w:t>
            </w:r>
          </w:p>
        </w:tc>
        <w:tc>
          <w:tcPr>
            <w:tcW w:w="760" w:type="dxa"/>
            <w:vAlign w:val="bottom"/>
            <w:tcBorders>
              <w:top w:val="single" w:sz="8" w:color="231F20"/>
              <w:bottom w:val="single" w:sz="8" w:color="231F20"/>
            </w:tcBorders>
            <w:shd w:val="clear" w:color="auto" w:fill="D0EBF2"/>
          </w:tcPr>
          <w:p>
            <w:pPr>
              <w:jc w:val="right"/>
              <w:spacing w:after="0" w:line="164" w:lineRule="exact"/>
              <w:rPr>
                <w:sz w:val="20"/>
                <w:szCs w:val="20"/>
                <w:color w:val="auto"/>
              </w:rPr>
            </w:pPr>
            <w:r>
              <w:rPr>
                <w:rFonts w:ascii="Times New Roman" w:cs="Times New Roman" w:eastAsia="Times New Roman" w:hAnsi="Times New Roman"/>
                <w:sz w:val="15"/>
                <w:szCs w:val="15"/>
                <w:color w:val="231F20"/>
              </w:rPr>
              <w:t>59,913</w:t>
            </w:r>
          </w:p>
        </w:tc>
        <w:tc>
          <w:tcPr>
            <w:tcW w:w="160" w:type="dxa"/>
            <w:vAlign w:val="bottom"/>
            <w:tcBorders>
              <w:top w:val="single" w:sz="8" w:color="D0EBF2"/>
              <w:bottom w:val="single" w:sz="8" w:color="FDFDFC"/>
            </w:tcBorders>
            <w:shd w:val="clear" w:color="auto" w:fill="D0EBF2"/>
          </w:tcPr>
          <w:p>
            <w:pPr>
              <w:spacing w:after="0"/>
              <w:rPr>
                <w:sz w:val="14"/>
                <w:szCs w:val="14"/>
                <w:color w:val="auto"/>
              </w:rPr>
            </w:pPr>
          </w:p>
        </w:tc>
        <w:tc>
          <w:tcPr>
            <w:tcW w:w="20" w:type="dxa"/>
            <w:vAlign w:val="bottom"/>
            <w:tcBorders>
              <w:top w:val="single" w:sz="8" w:color="D0EBF2"/>
              <w:bottom w:val="single" w:sz="8" w:color="231F20"/>
            </w:tcBorders>
            <w:shd w:val="clear" w:color="auto" w:fill="D0EBF2"/>
          </w:tcPr>
          <w:p>
            <w:pPr>
              <w:spacing w:after="0"/>
              <w:rPr>
                <w:sz w:val="14"/>
                <w:szCs w:val="14"/>
                <w:color w:val="auto"/>
              </w:rPr>
            </w:pPr>
          </w:p>
        </w:tc>
        <w:tc>
          <w:tcPr>
            <w:tcW w:w="220" w:type="dxa"/>
            <w:vAlign w:val="bottom"/>
            <w:tcBorders>
              <w:top w:val="single" w:sz="8" w:color="231F20"/>
              <w:bottom w:val="single" w:sz="8" w:color="231F20"/>
            </w:tcBorders>
            <w:shd w:val="clear" w:color="auto" w:fill="D0EBF2"/>
          </w:tcPr>
          <w:p>
            <w:pPr>
              <w:spacing w:after="0" w:line="164" w:lineRule="exact"/>
              <w:rPr>
                <w:sz w:val="20"/>
                <w:szCs w:val="20"/>
                <w:color w:val="auto"/>
              </w:rPr>
            </w:pPr>
            <w:r>
              <w:rPr>
                <w:rFonts w:ascii="Times New Roman" w:cs="Times New Roman" w:eastAsia="Times New Roman" w:hAnsi="Times New Roman"/>
                <w:sz w:val="15"/>
                <w:szCs w:val="15"/>
                <w:color w:val="231F20"/>
              </w:rPr>
              <w:t>$</w:t>
            </w:r>
          </w:p>
        </w:tc>
        <w:tc>
          <w:tcPr>
            <w:tcW w:w="260" w:type="dxa"/>
            <w:vAlign w:val="bottom"/>
            <w:tcBorders>
              <w:top w:val="single" w:sz="8" w:color="231F20"/>
              <w:bottom w:val="single" w:sz="8" w:color="231F20"/>
            </w:tcBorders>
            <w:shd w:val="clear" w:color="auto" w:fill="D0EBF2"/>
          </w:tcPr>
          <w:p>
            <w:pPr>
              <w:jc w:val="right"/>
              <w:spacing w:after="0" w:line="164" w:lineRule="exact"/>
              <w:rPr>
                <w:sz w:val="20"/>
                <w:szCs w:val="20"/>
                <w:color w:val="auto"/>
              </w:rPr>
            </w:pPr>
            <w:r>
              <w:rPr>
                <w:rFonts w:ascii="Times New Roman" w:cs="Times New Roman" w:eastAsia="Times New Roman" w:hAnsi="Times New Roman"/>
                <w:sz w:val="15"/>
                <w:szCs w:val="15"/>
                <w:color w:val="231F20"/>
              </w:rPr>
              <w:t>6</w:t>
            </w:r>
          </w:p>
        </w:tc>
        <w:tc>
          <w:tcPr>
            <w:tcW w:w="140" w:type="dxa"/>
            <w:vAlign w:val="bottom"/>
            <w:tcBorders>
              <w:top w:val="single" w:sz="8" w:color="D0EBF2"/>
              <w:bottom w:val="single" w:sz="8" w:color="FDFDFC"/>
            </w:tcBorders>
            <w:shd w:val="clear" w:color="auto" w:fill="D0EBF2"/>
          </w:tcPr>
          <w:p>
            <w:pPr>
              <w:spacing w:after="0"/>
              <w:rPr>
                <w:sz w:val="14"/>
                <w:szCs w:val="14"/>
                <w:color w:val="auto"/>
              </w:rPr>
            </w:pPr>
          </w:p>
        </w:tc>
        <w:tc>
          <w:tcPr>
            <w:tcW w:w="20" w:type="dxa"/>
            <w:vAlign w:val="bottom"/>
            <w:tcBorders>
              <w:top w:val="single" w:sz="8" w:color="D0EBF2"/>
              <w:bottom w:val="single" w:sz="8" w:color="231F20"/>
            </w:tcBorders>
            <w:shd w:val="clear" w:color="auto" w:fill="D0EBF2"/>
          </w:tcPr>
          <w:p>
            <w:pPr>
              <w:spacing w:after="0"/>
              <w:rPr>
                <w:sz w:val="14"/>
                <w:szCs w:val="14"/>
                <w:color w:val="auto"/>
              </w:rPr>
            </w:pPr>
          </w:p>
        </w:tc>
        <w:tc>
          <w:tcPr>
            <w:tcW w:w="120" w:type="dxa"/>
            <w:vAlign w:val="bottom"/>
            <w:tcBorders>
              <w:top w:val="single" w:sz="8" w:color="231F20"/>
              <w:bottom w:val="single" w:sz="8" w:color="231F20"/>
            </w:tcBorders>
            <w:shd w:val="clear" w:color="auto" w:fill="D0EBF2"/>
          </w:tcPr>
          <w:p>
            <w:pPr>
              <w:spacing w:after="0" w:line="164" w:lineRule="exact"/>
              <w:rPr>
                <w:sz w:val="20"/>
                <w:szCs w:val="20"/>
                <w:color w:val="auto"/>
              </w:rPr>
            </w:pPr>
            <w:r>
              <w:rPr>
                <w:rFonts w:ascii="Times New Roman" w:cs="Times New Roman" w:eastAsia="Times New Roman" w:hAnsi="Times New Roman"/>
                <w:sz w:val="15"/>
                <w:szCs w:val="15"/>
                <w:color w:val="231F20"/>
                <w:shd w:val="clear" w:color="auto" w:fill="D0EBF2"/>
              </w:rPr>
              <w:t>$</w:t>
            </w:r>
          </w:p>
        </w:tc>
        <w:tc>
          <w:tcPr>
            <w:tcW w:w="400" w:type="dxa"/>
            <w:vAlign w:val="bottom"/>
            <w:tcBorders>
              <w:top w:val="single" w:sz="8" w:color="231F20"/>
              <w:bottom w:val="single" w:sz="8" w:color="231F20"/>
            </w:tcBorders>
            <w:shd w:val="clear" w:color="auto" w:fill="D0EBF2"/>
          </w:tcPr>
          <w:p>
            <w:pPr>
              <w:jc w:val="right"/>
              <w:spacing w:after="0" w:line="164" w:lineRule="exact"/>
              <w:rPr>
                <w:sz w:val="20"/>
                <w:szCs w:val="20"/>
                <w:color w:val="auto"/>
              </w:rPr>
            </w:pPr>
            <w:r>
              <w:rPr>
                <w:rFonts w:ascii="Times New Roman" w:cs="Times New Roman" w:eastAsia="Times New Roman" w:hAnsi="Times New Roman"/>
                <w:sz w:val="15"/>
                <w:szCs w:val="15"/>
                <w:color w:val="231F20"/>
                <w:shd w:val="clear" w:color="auto" w:fill="D0EBF2"/>
              </w:rPr>
              <w:t>7,756</w:t>
            </w:r>
          </w:p>
        </w:tc>
        <w:tc>
          <w:tcPr>
            <w:tcW w:w="80" w:type="dxa"/>
            <w:vAlign w:val="bottom"/>
            <w:tcBorders>
              <w:top w:val="single" w:sz="8" w:color="D0EBF2"/>
              <w:bottom w:val="single" w:sz="8" w:color="FDFDFC"/>
            </w:tcBorders>
            <w:shd w:val="clear" w:color="auto" w:fill="D0EBF2"/>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2080" w:type="dxa"/>
            <w:vAlign w:val="bottom"/>
            <w:shd w:val="clear" w:color="auto" w:fill="FDFDFC"/>
          </w:tcPr>
          <w:p>
            <w:pPr>
              <w:jc w:val="right"/>
              <w:ind w:right="1664"/>
              <w:spacing w:after="0" w:line="164" w:lineRule="exact"/>
              <w:rPr>
                <w:sz w:val="20"/>
                <w:szCs w:val="20"/>
                <w:color w:val="auto"/>
              </w:rPr>
            </w:pPr>
            <w:r>
              <w:rPr>
                <w:rFonts w:ascii="Times New Roman" w:cs="Times New Roman" w:eastAsia="Times New Roman" w:hAnsi="Times New Roman"/>
                <w:sz w:val="15"/>
                <w:szCs w:val="15"/>
                <w:b w:val="1"/>
                <w:bCs w:val="1"/>
                <w:color w:val="231F20"/>
                <w:w w:val="93"/>
              </w:rPr>
              <w:t>Total</w:t>
            </w:r>
          </w:p>
        </w:tc>
        <w:tc>
          <w:tcPr>
            <w:tcW w:w="60" w:type="dxa"/>
            <w:vAlign w:val="bottom"/>
            <w:shd w:val="clear" w:color="auto" w:fill="FDFDFC"/>
          </w:tcPr>
          <w:p>
            <w:pPr>
              <w:spacing w:after="0"/>
              <w:rPr>
                <w:sz w:val="14"/>
                <w:szCs w:val="14"/>
                <w:color w:val="auto"/>
              </w:rPr>
            </w:pPr>
          </w:p>
        </w:tc>
        <w:tc>
          <w:tcPr>
            <w:tcW w:w="20" w:type="dxa"/>
            <w:vAlign w:val="bottom"/>
            <w:shd w:val="clear" w:color="auto" w:fill="FDFDFC"/>
          </w:tcPr>
          <w:p>
            <w:pPr>
              <w:spacing w:after="0"/>
              <w:rPr>
                <w:sz w:val="14"/>
                <w:szCs w:val="14"/>
                <w:color w:val="auto"/>
              </w:rPr>
            </w:pPr>
          </w:p>
        </w:tc>
        <w:tc>
          <w:tcPr>
            <w:tcW w:w="120" w:type="dxa"/>
            <w:vAlign w:val="bottom"/>
            <w:tcBorders>
              <w:bottom w:val="single" w:sz="8" w:color="231F20"/>
            </w:tcBorders>
            <w:shd w:val="clear" w:color="auto" w:fill="FDFDFC"/>
          </w:tcPr>
          <w:p>
            <w:pPr>
              <w:jc w:val="right"/>
              <w:spacing w:after="0"/>
              <w:rPr>
                <w:sz w:val="20"/>
                <w:szCs w:val="20"/>
                <w:color w:val="auto"/>
              </w:rPr>
            </w:pPr>
            <w:r>
              <w:rPr>
                <w:rFonts w:ascii="Times New Roman" w:cs="Times New Roman" w:eastAsia="Times New Roman" w:hAnsi="Times New Roman"/>
                <w:sz w:val="11"/>
                <w:szCs w:val="11"/>
                <w:b w:val="1"/>
                <w:bCs w:val="1"/>
                <w:color w:val="231F20"/>
                <w:highlight w:val="white"/>
                <w:w w:val="71"/>
              </w:rPr>
              <w:t>$</w:t>
            </w:r>
          </w:p>
        </w:tc>
        <w:tc>
          <w:tcPr>
            <w:tcW w:w="540" w:type="dxa"/>
            <w:vAlign w:val="bottom"/>
            <w:tcBorders>
              <w:bottom w:val="single" w:sz="8" w:color="231F20"/>
            </w:tcBorders>
            <w:shd w:val="clear" w:color="auto" w:fill="FDFDFC"/>
          </w:tcPr>
          <w:p>
            <w:pPr>
              <w:jc w:val="right"/>
              <w:spacing w:after="0" w:line="164" w:lineRule="exact"/>
              <w:rPr>
                <w:sz w:val="20"/>
                <w:szCs w:val="20"/>
                <w:color w:val="auto"/>
              </w:rPr>
            </w:pPr>
            <w:r>
              <w:rPr>
                <w:rFonts w:ascii="Times New Roman" w:cs="Times New Roman" w:eastAsia="Times New Roman" w:hAnsi="Times New Roman"/>
                <w:sz w:val="15"/>
                <w:szCs w:val="15"/>
                <w:b w:val="1"/>
                <w:bCs w:val="1"/>
                <w:color w:val="231F20"/>
                <w:highlight w:val="white"/>
              </w:rPr>
              <w:t>70,755</w:t>
            </w:r>
          </w:p>
        </w:tc>
        <w:tc>
          <w:tcPr>
            <w:tcW w:w="140" w:type="dxa"/>
            <w:vAlign w:val="bottom"/>
            <w:shd w:val="clear" w:color="auto" w:fill="FDFDFC"/>
          </w:tcPr>
          <w:p>
            <w:pPr>
              <w:spacing w:after="0"/>
              <w:rPr>
                <w:sz w:val="14"/>
                <w:szCs w:val="14"/>
                <w:color w:val="auto"/>
              </w:rPr>
            </w:pPr>
          </w:p>
        </w:tc>
        <w:tc>
          <w:tcPr>
            <w:tcW w:w="20" w:type="dxa"/>
            <w:vAlign w:val="bottom"/>
            <w:shd w:val="clear" w:color="auto" w:fill="FDFDFC"/>
          </w:tcPr>
          <w:p>
            <w:pPr>
              <w:spacing w:after="0"/>
              <w:rPr>
                <w:sz w:val="14"/>
                <w:szCs w:val="14"/>
                <w:color w:val="auto"/>
              </w:rPr>
            </w:pPr>
          </w:p>
        </w:tc>
        <w:tc>
          <w:tcPr>
            <w:tcW w:w="120" w:type="dxa"/>
            <w:vAlign w:val="bottom"/>
            <w:tcBorders>
              <w:bottom w:val="single" w:sz="8" w:color="231F20"/>
            </w:tcBorders>
            <w:shd w:val="clear" w:color="auto" w:fill="FDFDFC"/>
          </w:tcPr>
          <w:p>
            <w:pPr>
              <w:spacing w:after="0" w:line="164" w:lineRule="exact"/>
              <w:rPr>
                <w:sz w:val="20"/>
                <w:szCs w:val="20"/>
                <w:color w:val="auto"/>
              </w:rPr>
            </w:pPr>
            <w:r>
              <w:rPr>
                <w:rFonts w:ascii="Times New Roman" w:cs="Times New Roman" w:eastAsia="Times New Roman" w:hAnsi="Times New Roman"/>
                <w:sz w:val="15"/>
                <w:szCs w:val="15"/>
                <w:b w:val="1"/>
                <w:bCs w:val="1"/>
                <w:color w:val="231F20"/>
              </w:rPr>
              <w:t>$</w:t>
            </w:r>
          </w:p>
        </w:tc>
        <w:tc>
          <w:tcPr>
            <w:tcW w:w="720" w:type="dxa"/>
            <w:vAlign w:val="bottom"/>
            <w:tcBorders>
              <w:bottom w:val="single" w:sz="8" w:color="231F20"/>
            </w:tcBorders>
            <w:shd w:val="clear" w:color="auto" w:fill="FDFDFC"/>
          </w:tcPr>
          <w:p>
            <w:pPr>
              <w:jc w:val="right"/>
              <w:spacing w:after="0" w:line="164" w:lineRule="exact"/>
              <w:rPr>
                <w:sz w:val="20"/>
                <w:szCs w:val="20"/>
                <w:color w:val="auto"/>
              </w:rPr>
            </w:pPr>
            <w:r>
              <w:rPr>
                <w:rFonts w:ascii="Times New Roman" w:cs="Times New Roman" w:eastAsia="Times New Roman" w:hAnsi="Times New Roman"/>
                <w:sz w:val="15"/>
                <w:szCs w:val="15"/>
                <w:b w:val="1"/>
                <w:bCs w:val="1"/>
                <w:color w:val="231F20"/>
              </w:rPr>
              <w:t>10,875</w:t>
            </w:r>
          </w:p>
        </w:tc>
        <w:tc>
          <w:tcPr>
            <w:tcW w:w="140" w:type="dxa"/>
            <w:vAlign w:val="bottom"/>
            <w:shd w:val="clear" w:color="auto" w:fill="FDFDFC"/>
          </w:tcPr>
          <w:p>
            <w:pPr>
              <w:spacing w:after="0"/>
              <w:rPr>
                <w:sz w:val="14"/>
                <w:szCs w:val="14"/>
                <w:color w:val="auto"/>
              </w:rPr>
            </w:pPr>
          </w:p>
        </w:tc>
        <w:tc>
          <w:tcPr>
            <w:tcW w:w="20" w:type="dxa"/>
            <w:vAlign w:val="bottom"/>
            <w:shd w:val="clear" w:color="auto" w:fill="FDFDFC"/>
          </w:tcPr>
          <w:p>
            <w:pPr>
              <w:spacing w:after="0"/>
              <w:rPr>
                <w:sz w:val="14"/>
                <w:szCs w:val="14"/>
                <w:color w:val="auto"/>
              </w:rPr>
            </w:pPr>
          </w:p>
        </w:tc>
        <w:tc>
          <w:tcPr>
            <w:tcW w:w="160" w:type="dxa"/>
            <w:vAlign w:val="bottom"/>
            <w:tcBorders>
              <w:bottom w:val="single" w:sz="8" w:color="231F20"/>
            </w:tcBorders>
            <w:shd w:val="clear" w:color="auto" w:fill="FDFDFC"/>
          </w:tcPr>
          <w:p>
            <w:pPr>
              <w:spacing w:after="0" w:line="164" w:lineRule="exact"/>
              <w:rPr>
                <w:sz w:val="20"/>
                <w:szCs w:val="20"/>
                <w:color w:val="auto"/>
              </w:rPr>
            </w:pPr>
            <w:r>
              <w:rPr>
                <w:rFonts w:ascii="Times New Roman" w:cs="Times New Roman" w:eastAsia="Times New Roman" w:hAnsi="Times New Roman"/>
                <w:sz w:val="15"/>
                <w:szCs w:val="15"/>
                <w:b w:val="1"/>
                <w:bCs w:val="1"/>
                <w:color w:val="231F20"/>
              </w:rPr>
              <w:t>$</w:t>
            </w:r>
          </w:p>
        </w:tc>
        <w:tc>
          <w:tcPr>
            <w:tcW w:w="780" w:type="dxa"/>
            <w:vAlign w:val="bottom"/>
            <w:tcBorders>
              <w:bottom w:val="single" w:sz="8" w:color="231F20"/>
            </w:tcBorders>
            <w:shd w:val="clear" w:color="auto" w:fill="FDFDFC"/>
          </w:tcPr>
          <w:p>
            <w:pPr>
              <w:ind w:left="620"/>
              <w:spacing w:after="0" w:line="164" w:lineRule="exact"/>
              <w:rPr>
                <w:sz w:val="20"/>
                <w:szCs w:val="20"/>
                <w:color w:val="auto"/>
              </w:rPr>
            </w:pPr>
            <w:r>
              <w:rPr>
                <w:rFonts w:ascii="Times New Roman" w:cs="Times New Roman" w:eastAsia="Times New Roman" w:hAnsi="Times New Roman"/>
                <w:sz w:val="15"/>
                <w:szCs w:val="15"/>
                <w:b w:val="1"/>
                <w:bCs w:val="1"/>
                <w:color w:val="231F20"/>
                <w:w w:val="93"/>
              </w:rPr>
              <w:t>—</w:t>
            </w:r>
          </w:p>
        </w:tc>
        <w:tc>
          <w:tcPr>
            <w:tcW w:w="140" w:type="dxa"/>
            <w:vAlign w:val="bottom"/>
            <w:shd w:val="clear" w:color="auto" w:fill="FDFDFC"/>
          </w:tcPr>
          <w:p>
            <w:pPr>
              <w:spacing w:after="0"/>
              <w:rPr>
                <w:sz w:val="14"/>
                <w:szCs w:val="14"/>
                <w:color w:val="auto"/>
              </w:rPr>
            </w:pPr>
          </w:p>
        </w:tc>
        <w:tc>
          <w:tcPr>
            <w:tcW w:w="20" w:type="dxa"/>
            <w:vAlign w:val="bottom"/>
            <w:shd w:val="clear" w:color="auto" w:fill="FDFDFC"/>
          </w:tcPr>
          <w:p>
            <w:pPr>
              <w:spacing w:after="0"/>
              <w:rPr>
                <w:sz w:val="14"/>
                <w:szCs w:val="14"/>
                <w:color w:val="auto"/>
              </w:rPr>
            </w:pPr>
          </w:p>
        </w:tc>
        <w:tc>
          <w:tcPr>
            <w:tcW w:w="240" w:type="dxa"/>
            <w:vAlign w:val="bottom"/>
            <w:tcBorders>
              <w:bottom w:val="single" w:sz="8" w:color="231F20"/>
            </w:tcBorders>
            <w:shd w:val="clear" w:color="auto" w:fill="FDFDFC"/>
          </w:tcPr>
          <w:p>
            <w:pPr>
              <w:spacing w:after="0" w:line="164" w:lineRule="exact"/>
              <w:rPr>
                <w:sz w:val="20"/>
                <w:szCs w:val="20"/>
                <w:color w:val="auto"/>
              </w:rPr>
            </w:pPr>
            <w:r>
              <w:rPr>
                <w:rFonts w:ascii="Times New Roman" w:cs="Times New Roman" w:eastAsia="Times New Roman" w:hAnsi="Times New Roman"/>
                <w:sz w:val="15"/>
                <w:szCs w:val="15"/>
                <w:b w:val="1"/>
                <w:bCs w:val="1"/>
                <w:color w:val="231F20"/>
              </w:rPr>
              <w:t>$</w:t>
            </w:r>
          </w:p>
        </w:tc>
        <w:tc>
          <w:tcPr>
            <w:tcW w:w="640" w:type="dxa"/>
            <w:vAlign w:val="bottom"/>
            <w:tcBorders>
              <w:bottom w:val="single" w:sz="8" w:color="231F20"/>
            </w:tcBorders>
            <w:shd w:val="clear" w:color="auto" w:fill="FDFDFC"/>
          </w:tcPr>
          <w:p>
            <w:pPr>
              <w:jc w:val="right"/>
              <w:spacing w:after="0" w:line="164" w:lineRule="exact"/>
              <w:rPr>
                <w:sz w:val="20"/>
                <w:szCs w:val="20"/>
                <w:color w:val="auto"/>
              </w:rPr>
            </w:pPr>
            <w:r>
              <w:rPr>
                <w:rFonts w:ascii="Times New Roman" w:cs="Times New Roman" w:eastAsia="Times New Roman" w:hAnsi="Times New Roman"/>
                <w:sz w:val="15"/>
                <w:szCs w:val="15"/>
                <w:b w:val="1"/>
                <w:bCs w:val="1"/>
                <w:color w:val="231F20"/>
              </w:rPr>
              <w:t>(21,717)</w:t>
            </w:r>
          </w:p>
        </w:tc>
        <w:tc>
          <w:tcPr>
            <w:tcW w:w="100" w:type="dxa"/>
            <w:vAlign w:val="bottom"/>
            <w:shd w:val="clear" w:color="auto" w:fill="FDFDFC"/>
          </w:tcPr>
          <w:p>
            <w:pPr>
              <w:spacing w:after="0"/>
              <w:rPr>
                <w:sz w:val="14"/>
                <w:szCs w:val="14"/>
                <w:color w:val="auto"/>
              </w:rPr>
            </w:pPr>
          </w:p>
        </w:tc>
        <w:tc>
          <w:tcPr>
            <w:tcW w:w="60" w:type="dxa"/>
            <w:vAlign w:val="bottom"/>
            <w:shd w:val="clear" w:color="auto" w:fill="FDFDFC"/>
          </w:tcPr>
          <w:p>
            <w:pPr>
              <w:spacing w:after="0"/>
              <w:rPr>
                <w:sz w:val="14"/>
                <w:szCs w:val="14"/>
                <w:color w:val="auto"/>
              </w:rPr>
            </w:pPr>
          </w:p>
        </w:tc>
        <w:tc>
          <w:tcPr>
            <w:tcW w:w="20" w:type="dxa"/>
            <w:vAlign w:val="bottom"/>
            <w:shd w:val="clear" w:color="auto" w:fill="FDFDFC"/>
          </w:tcPr>
          <w:p>
            <w:pPr>
              <w:spacing w:after="0"/>
              <w:rPr>
                <w:sz w:val="14"/>
                <w:szCs w:val="14"/>
                <w:color w:val="auto"/>
              </w:rPr>
            </w:pPr>
          </w:p>
        </w:tc>
        <w:tc>
          <w:tcPr>
            <w:tcW w:w="100" w:type="dxa"/>
            <w:vAlign w:val="bottom"/>
            <w:tcBorders>
              <w:bottom w:val="single" w:sz="8" w:color="231F20"/>
            </w:tcBorders>
            <w:shd w:val="clear" w:color="auto" w:fill="FDFDFC"/>
          </w:tcPr>
          <w:p>
            <w:pPr>
              <w:spacing w:after="0" w:line="164" w:lineRule="exact"/>
              <w:rPr>
                <w:sz w:val="20"/>
                <w:szCs w:val="20"/>
                <w:color w:val="auto"/>
              </w:rPr>
            </w:pPr>
            <w:r>
              <w:rPr>
                <w:rFonts w:ascii="Times New Roman" w:cs="Times New Roman" w:eastAsia="Times New Roman" w:hAnsi="Times New Roman"/>
                <w:sz w:val="15"/>
                <w:szCs w:val="15"/>
                <w:b w:val="1"/>
                <w:bCs w:val="1"/>
                <w:color w:val="231F20"/>
              </w:rPr>
              <w:t>$</w:t>
            </w:r>
          </w:p>
        </w:tc>
        <w:tc>
          <w:tcPr>
            <w:tcW w:w="780" w:type="dxa"/>
            <w:vAlign w:val="bottom"/>
            <w:tcBorders>
              <w:bottom w:val="single" w:sz="8" w:color="231F20"/>
            </w:tcBorders>
            <w:gridSpan w:val="2"/>
            <w:shd w:val="clear" w:color="auto" w:fill="FDFDFC"/>
          </w:tcPr>
          <w:p>
            <w:pPr>
              <w:ind w:left="600"/>
              <w:spacing w:after="0" w:line="164" w:lineRule="exact"/>
              <w:rPr>
                <w:sz w:val="20"/>
                <w:szCs w:val="20"/>
                <w:color w:val="auto"/>
              </w:rPr>
            </w:pPr>
            <w:r>
              <w:rPr>
                <w:rFonts w:ascii="Times New Roman" w:cs="Times New Roman" w:eastAsia="Times New Roman" w:hAnsi="Times New Roman"/>
                <w:sz w:val="15"/>
                <w:szCs w:val="15"/>
                <w:b w:val="1"/>
                <w:bCs w:val="1"/>
                <w:color w:val="231F20"/>
              </w:rPr>
              <w:t>—</w:t>
            </w:r>
          </w:p>
        </w:tc>
        <w:tc>
          <w:tcPr>
            <w:tcW w:w="140" w:type="dxa"/>
            <w:vAlign w:val="bottom"/>
            <w:shd w:val="clear" w:color="auto" w:fill="FDFDFC"/>
          </w:tcPr>
          <w:p>
            <w:pPr>
              <w:spacing w:after="0"/>
              <w:rPr>
                <w:sz w:val="14"/>
                <w:szCs w:val="14"/>
                <w:color w:val="auto"/>
              </w:rPr>
            </w:pPr>
          </w:p>
        </w:tc>
        <w:tc>
          <w:tcPr>
            <w:tcW w:w="20" w:type="dxa"/>
            <w:vAlign w:val="bottom"/>
            <w:shd w:val="clear" w:color="auto" w:fill="FDFDFC"/>
          </w:tcPr>
          <w:p>
            <w:pPr>
              <w:spacing w:after="0"/>
              <w:rPr>
                <w:sz w:val="14"/>
                <w:szCs w:val="14"/>
                <w:color w:val="auto"/>
              </w:rPr>
            </w:pPr>
          </w:p>
        </w:tc>
        <w:tc>
          <w:tcPr>
            <w:tcW w:w="260" w:type="dxa"/>
            <w:vAlign w:val="bottom"/>
            <w:tcBorders>
              <w:bottom w:val="single" w:sz="8" w:color="231F20"/>
            </w:tcBorders>
            <w:shd w:val="clear" w:color="auto" w:fill="FDFDFC"/>
          </w:tcPr>
          <w:p>
            <w:pPr>
              <w:spacing w:after="0" w:line="164" w:lineRule="exact"/>
              <w:rPr>
                <w:sz w:val="20"/>
                <w:szCs w:val="20"/>
                <w:color w:val="auto"/>
              </w:rPr>
            </w:pPr>
            <w:r>
              <w:rPr>
                <w:rFonts w:ascii="Times New Roman" w:cs="Times New Roman" w:eastAsia="Times New Roman" w:hAnsi="Times New Roman"/>
                <w:sz w:val="15"/>
                <w:szCs w:val="15"/>
                <w:b w:val="1"/>
                <w:bCs w:val="1"/>
                <w:color w:val="231F20"/>
              </w:rPr>
              <w:t>$</w:t>
            </w:r>
          </w:p>
        </w:tc>
        <w:tc>
          <w:tcPr>
            <w:tcW w:w="380" w:type="dxa"/>
            <w:vAlign w:val="bottom"/>
            <w:tcBorders>
              <w:bottom w:val="single" w:sz="8" w:color="231F20"/>
            </w:tcBorders>
            <w:shd w:val="clear" w:color="auto" w:fill="FDFDFC"/>
          </w:tcPr>
          <w:p>
            <w:pPr>
              <w:ind w:left="220"/>
              <w:spacing w:after="0" w:line="164" w:lineRule="exact"/>
              <w:rPr>
                <w:sz w:val="20"/>
                <w:szCs w:val="20"/>
                <w:color w:val="auto"/>
              </w:rPr>
            </w:pPr>
            <w:r>
              <w:rPr>
                <w:rFonts w:ascii="Times New Roman" w:cs="Times New Roman" w:eastAsia="Times New Roman" w:hAnsi="Times New Roman"/>
                <w:sz w:val="15"/>
                <w:szCs w:val="15"/>
                <w:b w:val="1"/>
                <w:bCs w:val="1"/>
                <w:color w:val="231F20"/>
                <w:w w:val="93"/>
              </w:rPr>
              <w:t>—</w:t>
            </w:r>
          </w:p>
        </w:tc>
        <w:tc>
          <w:tcPr>
            <w:tcW w:w="140" w:type="dxa"/>
            <w:vAlign w:val="bottom"/>
            <w:shd w:val="clear" w:color="auto" w:fill="FDFDFC"/>
          </w:tcPr>
          <w:p>
            <w:pPr>
              <w:spacing w:after="0"/>
              <w:rPr>
                <w:sz w:val="14"/>
                <w:szCs w:val="14"/>
                <w:color w:val="auto"/>
              </w:rPr>
            </w:pPr>
          </w:p>
        </w:tc>
        <w:tc>
          <w:tcPr>
            <w:tcW w:w="20" w:type="dxa"/>
            <w:vAlign w:val="bottom"/>
            <w:shd w:val="clear" w:color="auto" w:fill="FDFDFC"/>
          </w:tcPr>
          <w:p>
            <w:pPr>
              <w:spacing w:after="0"/>
              <w:rPr>
                <w:sz w:val="14"/>
                <w:szCs w:val="14"/>
                <w:color w:val="auto"/>
              </w:rPr>
            </w:pPr>
          </w:p>
        </w:tc>
        <w:tc>
          <w:tcPr>
            <w:tcW w:w="120" w:type="dxa"/>
            <w:vAlign w:val="bottom"/>
            <w:tcBorders>
              <w:bottom w:val="single" w:sz="8" w:color="231F20"/>
            </w:tcBorders>
            <w:shd w:val="clear" w:color="auto" w:fill="FDFDFC"/>
          </w:tcPr>
          <w:p>
            <w:pPr>
              <w:jc w:val="right"/>
              <w:spacing w:after="0"/>
              <w:rPr>
                <w:sz w:val="20"/>
                <w:szCs w:val="20"/>
                <w:color w:val="auto"/>
              </w:rPr>
            </w:pPr>
            <w:r>
              <w:rPr>
                <w:rFonts w:ascii="Times New Roman" w:cs="Times New Roman" w:eastAsia="Times New Roman" w:hAnsi="Times New Roman"/>
                <w:sz w:val="11"/>
                <w:szCs w:val="11"/>
                <w:b w:val="1"/>
                <w:bCs w:val="1"/>
                <w:color w:val="231F20"/>
                <w:w w:val="71"/>
              </w:rPr>
              <w:t>$</w:t>
            </w:r>
          </w:p>
        </w:tc>
        <w:tc>
          <w:tcPr>
            <w:tcW w:w="760" w:type="dxa"/>
            <w:vAlign w:val="bottom"/>
            <w:tcBorders>
              <w:bottom w:val="single" w:sz="8" w:color="231F20"/>
            </w:tcBorders>
            <w:shd w:val="clear" w:color="auto" w:fill="FDFDFC"/>
          </w:tcPr>
          <w:p>
            <w:pPr>
              <w:jc w:val="right"/>
              <w:spacing w:after="0" w:line="164" w:lineRule="exact"/>
              <w:rPr>
                <w:sz w:val="20"/>
                <w:szCs w:val="20"/>
                <w:color w:val="auto"/>
              </w:rPr>
            </w:pPr>
            <w:r>
              <w:rPr>
                <w:rFonts w:ascii="Times New Roman" w:cs="Times New Roman" w:eastAsia="Times New Roman" w:hAnsi="Times New Roman"/>
                <w:sz w:val="15"/>
                <w:szCs w:val="15"/>
                <w:b w:val="1"/>
                <w:bCs w:val="1"/>
                <w:color w:val="231F20"/>
              </w:rPr>
              <w:t>59,913</w:t>
            </w:r>
          </w:p>
        </w:tc>
        <w:tc>
          <w:tcPr>
            <w:tcW w:w="160" w:type="dxa"/>
            <w:vAlign w:val="bottom"/>
            <w:shd w:val="clear" w:color="auto" w:fill="FDFDFC"/>
          </w:tcPr>
          <w:p>
            <w:pPr>
              <w:spacing w:after="0"/>
              <w:rPr>
                <w:sz w:val="14"/>
                <w:szCs w:val="14"/>
                <w:color w:val="auto"/>
              </w:rPr>
            </w:pPr>
          </w:p>
        </w:tc>
        <w:tc>
          <w:tcPr>
            <w:tcW w:w="20" w:type="dxa"/>
            <w:vAlign w:val="bottom"/>
            <w:shd w:val="clear" w:color="auto" w:fill="FDFDFC"/>
          </w:tcPr>
          <w:p>
            <w:pPr>
              <w:spacing w:after="0"/>
              <w:rPr>
                <w:sz w:val="14"/>
                <w:szCs w:val="14"/>
                <w:color w:val="auto"/>
              </w:rPr>
            </w:pPr>
          </w:p>
        </w:tc>
        <w:tc>
          <w:tcPr>
            <w:tcW w:w="220" w:type="dxa"/>
            <w:vAlign w:val="bottom"/>
            <w:tcBorders>
              <w:bottom w:val="single" w:sz="8" w:color="231F20"/>
            </w:tcBorders>
            <w:shd w:val="clear" w:color="auto" w:fill="FDFDFC"/>
          </w:tcPr>
          <w:p>
            <w:pPr>
              <w:spacing w:after="0" w:line="164" w:lineRule="exact"/>
              <w:rPr>
                <w:sz w:val="20"/>
                <w:szCs w:val="20"/>
                <w:color w:val="auto"/>
              </w:rPr>
            </w:pPr>
            <w:r>
              <w:rPr>
                <w:rFonts w:ascii="Times New Roman" w:cs="Times New Roman" w:eastAsia="Times New Roman" w:hAnsi="Times New Roman"/>
                <w:sz w:val="15"/>
                <w:szCs w:val="15"/>
                <w:b w:val="1"/>
                <w:bCs w:val="1"/>
                <w:color w:val="231F20"/>
              </w:rPr>
              <w:t>$</w:t>
            </w:r>
          </w:p>
        </w:tc>
        <w:tc>
          <w:tcPr>
            <w:tcW w:w="260" w:type="dxa"/>
            <w:vAlign w:val="bottom"/>
            <w:tcBorders>
              <w:bottom w:val="single" w:sz="8" w:color="231F20"/>
            </w:tcBorders>
            <w:shd w:val="clear" w:color="auto" w:fill="FDFDFC"/>
          </w:tcPr>
          <w:p>
            <w:pPr>
              <w:jc w:val="right"/>
              <w:spacing w:after="0" w:line="164" w:lineRule="exact"/>
              <w:rPr>
                <w:sz w:val="20"/>
                <w:szCs w:val="20"/>
                <w:color w:val="auto"/>
              </w:rPr>
            </w:pPr>
            <w:r>
              <w:rPr>
                <w:rFonts w:ascii="Times New Roman" w:cs="Times New Roman" w:eastAsia="Times New Roman" w:hAnsi="Times New Roman"/>
                <w:sz w:val="15"/>
                <w:szCs w:val="15"/>
                <w:b w:val="1"/>
                <w:bCs w:val="1"/>
                <w:color w:val="231F20"/>
              </w:rPr>
              <w:t>6</w:t>
            </w:r>
          </w:p>
        </w:tc>
        <w:tc>
          <w:tcPr>
            <w:tcW w:w="140" w:type="dxa"/>
            <w:vAlign w:val="bottom"/>
            <w:shd w:val="clear" w:color="auto" w:fill="FDFDFC"/>
          </w:tcPr>
          <w:p>
            <w:pPr>
              <w:spacing w:after="0"/>
              <w:rPr>
                <w:sz w:val="14"/>
                <w:szCs w:val="14"/>
                <w:color w:val="auto"/>
              </w:rPr>
            </w:pPr>
          </w:p>
        </w:tc>
        <w:tc>
          <w:tcPr>
            <w:tcW w:w="20" w:type="dxa"/>
            <w:vAlign w:val="bottom"/>
            <w:shd w:val="clear" w:color="auto" w:fill="FDFDFC"/>
          </w:tcPr>
          <w:p>
            <w:pPr>
              <w:spacing w:after="0"/>
              <w:rPr>
                <w:sz w:val="14"/>
                <w:szCs w:val="14"/>
                <w:color w:val="auto"/>
              </w:rPr>
            </w:pPr>
          </w:p>
        </w:tc>
        <w:tc>
          <w:tcPr>
            <w:tcW w:w="120" w:type="dxa"/>
            <w:vAlign w:val="bottom"/>
            <w:tcBorders>
              <w:bottom w:val="single" w:sz="8" w:color="231F20"/>
            </w:tcBorders>
            <w:shd w:val="clear" w:color="auto" w:fill="FDFDFC"/>
          </w:tcPr>
          <w:p>
            <w:pPr>
              <w:spacing w:after="0" w:line="164" w:lineRule="exact"/>
              <w:rPr>
                <w:sz w:val="20"/>
                <w:szCs w:val="20"/>
                <w:color w:val="auto"/>
              </w:rPr>
            </w:pPr>
            <w:r>
              <w:rPr>
                <w:rFonts w:ascii="Times New Roman" w:cs="Times New Roman" w:eastAsia="Times New Roman" w:hAnsi="Times New Roman"/>
                <w:sz w:val="15"/>
                <w:szCs w:val="15"/>
                <w:b w:val="1"/>
                <w:bCs w:val="1"/>
                <w:color w:val="231F20"/>
                <w:highlight w:val="white"/>
              </w:rPr>
              <w:t>$</w:t>
            </w:r>
          </w:p>
        </w:tc>
        <w:tc>
          <w:tcPr>
            <w:tcW w:w="400" w:type="dxa"/>
            <w:vAlign w:val="bottom"/>
            <w:tcBorders>
              <w:bottom w:val="single" w:sz="8" w:color="231F20"/>
            </w:tcBorders>
            <w:shd w:val="clear" w:color="auto" w:fill="FDFDFC"/>
          </w:tcPr>
          <w:p>
            <w:pPr>
              <w:jc w:val="right"/>
              <w:spacing w:after="0" w:line="164" w:lineRule="exact"/>
              <w:rPr>
                <w:sz w:val="20"/>
                <w:szCs w:val="20"/>
                <w:color w:val="auto"/>
              </w:rPr>
            </w:pPr>
            <w:r>
              <w:rPr>
                <w:rFonts w:ascii="Times New Roman" w:cs="Times New Roman" w:eastAsia="Times New Roman" w:hAnsi="Times New Roman"/>
                <w:sz w:val="15"/>
                <w:szCs w:val="15"/>
                <w:b w:val="1"/>
                <w:bCs w:val="1"/>
                <w:color w:val="231F20"/>
                <w:highlight w:val="white"/>
              </w:rPr>
              <w:t>7,756</w:t>
            </w:r>
          </w:p>
        </w:tc>
        <w:tc>
          <w:tcPr>
            <w:tcW w:w="80" w:type="dxa"/>
            <w:vAlign w:val="bottom"/>
            <w:shd w:val="clear" w:color="auto" w:fill="FDFDFC"/>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231F20"/>
            </w:tcBorders>
          </w:tcPr>
          <w:p>
            <w:pPr>
              <w:spacing w:after="0" w:line="20" w:lineRule="exact"/>
              <w:rPr>
                <w:sz w:val="1"/>
                <w:szCs w:val="1"/>
                <w:color w:val="auto"/>
              </w:rPr>
            </w:pPr>
          </w:p>
        </w:tc>
        <w:tc>
          <w:tcPr>
            <w:tcW w:w="540" w:type="dxa"/>
            <w:vAlign w:val="bottom"/>
            <w:tcBorders>
              <w:bottom w:val="single" w:sz="8" w:color="231F20"/>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231F20"/>
            </w:tcBorders>
          </w:tcPr>
          <w:p>
            <w:pPr>
              <w:spacing w:after="0" w:line="20" w:lineRule="exact"/>
              <w:rPr>
                <w:sz w:val="1"/>
                <w:szCs w:val="1"/>
                <w:color w:val="auto"/>
              </w:rPr>
            </w:pPr>
          </w:p>
        </w:tc>
        <w:tc>
          <w:tcPr>
            <w:tcW w:w="720" w:type="dxa"/>
            <w:vAlign w:val="bottom"/>
            <w:tcBorders>
              <w:bottom w:val="single" w:sz="8" w:color="231F20"/>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231F20"/>
            </w:tcBorders>
          </w:tcPr>
          <w:p>
            <w:pPr>
              <w:spacing w:after="0" w:line="20" w:lineRule="exact"/>
              <w:rPr>
                <w:sz w:val="1"/>
                <w:szCs w:val="1"/>
                <w:color w:val="auto"/>
              </w:rPr>
            </w:pPr>
          </w:p>
        </w:tc>
        <w:tc>
          <w:tcPr>
            <w:tcW w:w="780" w:type="dxa"/>
            <w:vAlign w:val="bottom"/>
            <w:tcBorders>
              <w:bottom w:val="single" w:sz="8" w:color="231F20"/>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231F20"/>
            </w:tcBorders>
          </w:tcPr>
          <w:p>
            <w:pPr>
              <w:spacing w:after="0" w:line="20" w:lineRule="exact"/>
              <w:rPr>
                <w:sz w:val="1"/>
                <w:szCs w:val="1"/>
                <w:color w:val="auto"/>
              </w:rPr>
            </w:pPr>
          </w:p>
        </w:tc>
        <w:tc>
          <w:tcPr>
            <w:tcW w:w="640" w:type="dxa"/>
            <w:vAlign w:val="bottom"/>
            <w:tcBorders>
              <w:bottom w:val="single" w:sz="8" w:color="231F20"/>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231F20"/>
            </w:tcBorders>
          </w:tcPr>
          <w:p>
            <w:pPr>
              <w:spacing w:after="0" w:line="20" w:lineRule="exact"/>
              <w:rPr>
                <w:sz w:val="1"/>
                <w:szCs w:val="1"/>
                <w:color w:val="auto"/>
              </w:rPr>
            </w:pPr>
          </w:p>
        </w:tc>
        <w:tc>
          <w:tcPr>
            <w:tcW w:w="760" w:type="dxa"/>
            <w:vAlign w:val="bottom"/>
            <w:tcBorders>
              <w:bottom w:val="single" w:sz="8" w:color="231F20"/>
            </w:tcBorders>
          </w:tcPr>
          <w:p>
            <w:pPr>
              <w:spacing w:after="0" w:line="20" w:lineRule="exact"/>
              <w:rPr>
                <w:sz w:val="1"/>
                <w:szCs w:val="1"/>
                <w:color w:val="auto"/>
              </w:rPr>
            </w:pPr>
          </w:p>
        </w:tc>
        <w:tc>
          <w:tcPr>
            <w:tcW w:w="20" w:type="dxa"/>
            <w:vAlign w:val="bottom"/>
            <w:tcBorders>
              <w:bottom w:val="single" w:sz="8" w:color="231F20"/>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bottom w:val="single" w:sz="8" w:color="231F20"/>
            </w:tcBorders>
          </w:tcPr>
          <w:p>
            <w:pPr>
              <w:spacing w:after="0" w:line="20" w:lineRule="exact"/>
              <w:rPr>
                <w:sz w:val="1"/>
                <w:szCs w:val="1"/>
                <w:color w:val="auto"/>
              </w:rPr>
            </w:pPr>
          </w:p>
        </w:tc>
        <w:tc>
          <w:tcPr>
            <w:tcW w:w="380" w:type="dxa"/>
            <w:vAlign w:val="bottom"/>
            <w:tcBorders>
              <w:bottom w:val="single" w:sz="8" w:color="231F20"/>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231F20"/>
            </w:tcBorders>
          </w:tcPr>
          <w:p>
            <w:pPr>
              <w:spacing w:after="0" w:line="20" w:lineRule="exact"/>
              <w:rPr>
                <w:sz w:val="1"/>
                <w:szCs w:val="1"/>
                <w:color w:val="auto"/>
              </w:rPr>
            </w:pPr>
          </w:p>
        </w:tc>
        <w:tc>
          <w:tcPr>
            <w:tcW w:w="760" w:type="dxa"/>
            <w:vAlign w:val="bottom"/>
            <w:tcBorders>
              <w:bottom w:val="single" w:sz="8" w:color="231F20"/>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231F20"/>
            </w:tcBorders>
          </w:tcPr>
          <w:p>
            <w:pPr>
              <w:spacing w:after="0" w:line="20" w:lineRule="exact"/>
              <w:rPr>
                <w:sz w:val="1"/>
                <w:szCs w:val="1"/>
                <w:color w:val="auto"/>
              </w:rPr>
            </w:pPr>
          </w:p>
        </w:tc>
        <w:tc>
          <w:tcPr>
            <w:tcW w:w="260" w:type="dxa"/>
            <w:vAlign w:val="bottom"/>
            <w:tcBorders>
              <w:bottom w:val="single" w:sz="8" w:color="231F20"/>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231F20"/>
            </w:tcBorders>
          </w:tcPr>
          <w:p>
            <w:pPr>
              <w:spacing w:after="0" w:line="20" w:lineRule="exact"/>
              <w:rPr>
                <w:sz w:val="1"/>
                <w:szCs w:val="1"/>
                <w:color w:val="auto"/>
              </w:rPr>
            </w:pPr>
          </w:p>
        </w:tc>
        <w:tc>
          <w:tcPr>
            <w:tcW w:w="400" w:type="dxa"/>
            <w:vAlign w:val="bottom"/>
            <w:tcBorders>
              <w:bottom w:val="single" w:sz="8" w:color="231F20"/>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2240" w:h="15840" w:orient="portrait"/>
          <w:cols w:equalWidth="0" w:num="1">
            <w:col w:w="10281"/>
          </w:cols>
          <w:pgMar w:left="979" w:top="1337" w:right="980" w:bottom="57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231F20"/>
        </w:rPr>
        <w:t>F-23</w:t>
      </w:r>
    </w:p>
    <w:p>
      <w:pPr>
        <w:sectPr>
          <w:pgSz w:w="12240" w:h="15840" w:orient="portrait"/>
          <w:cols w:equalWidth="0" w:num="1">
            <w:col w:w="10281"/>
          </w:cols>
          <w:pgMar w:left="979" w:top="1337" w:right="980" w:bottom="574" w:gutter="0" w:footer="0" w:header="0"/>
          <w:type w:val="continuous"/>
        </w:sectPr>
      </w:pPr>
    </w:p>
    <w:bookmarkStart w:id="111" w:name="page112"/>
    <w:bookmarkEnd w:id="111"/>
    <w:p>
      <w:pPr>
        <w:spacing w:after="0" w:line="85" w:lineRule="exact"/>
        <w:rPr>
          <w:sz w:val="20"/>
          <w:szCs w:val="20"/>
          <w:color w:val="auto"/>
        </w:rPr>
      </w:pPr>
    </w:p>
    <w:p>
      <w:pPr>
        <w:ind w:left="921" w:right="20" w:hanging="459"/>
        <w:spacing w:after="0" w:line="253" w:lineRule="auto"/>
        <w:tabs>
          <w:tab w:leader="none" w:pos="921" w:val="left"/>
        </w:tabs>
        <w:numPr>
          <w:ilvl w:val="1"/>
          <w:numId w:val="77"/>
        </w:numPr>
        <w:rPr>
          <w:rFonts w:ascii="Times New Roman" w:cs="Times New Roman" w:eastAsia="Times New Roman" w:hAnsi="Times New Roman"/>
          <w:sz w:val="19"/>
          <w:szCs w:val="19"/>
          <w:color w:val="231F20"/>
        </w:rPr>
      </w:pPr>
      <w:r>
        <w:rPr>
          <w:rFonts w:ascii="Times New Roman" w:cs="Times New Roman" w:eastAsia="Times New Roman" w:hAnsi="Times New Roman"/>
          <w:sz w:val="19"/>
          <w:szCs w:val="19"/>
          <w:color w:val="231F20"/>
        </w:rPr>
        <w:t>Gross additions include increases in the cost basis of investments resulting from new investments, payment-in-kind interest or dividends, the amortization of any unearned income or discounts on debt investments, as applicable.</w:t>
      </w:r>
    </w:p>
    <w:p>
      <w:pPr>
        <w:spacing w:after="0" w:line="1" w:lineRule="exact"/>
        <w:rPr>
          <w:rFonts w:ascii="Times New Roman" w:cs="Times New Roman" w:eastAsia="Times New Roman" w:hAnsi="Times New Roman"/>
          <w:sz w:val="19"/>
          <w:szCs w:val="19"/>
          <w:color w:val="231F20"/>
        </w:rPr>
      </w:pPr>
    </w:p>
    <w:p>
      <w:pPr>
        <w:ind w:left="921" w:right="600" w:hanging="459"/>
        <w:spacing w:after="0" w:line="238" w:lineRule="auto"/>
        <w:tabs>
          <w:tab w:leader="none" w:pos="921" w:val="left"/>
        </w:tabs>
        <w:numPr>
          <w:ilvl w:val="1"/>
          <w:numId w:val="77"/>
        </w:numPr>
        <w:rPr>
          <w:rFonts w:ascii="Times New Roman" w:cs="Times New Roman" w:eastAsia="Times New Roman" w:hAnsi="Times New Roman"/>
          <w:sz w:val="19"/>
          <w:szCs w:val="19"/>
          <w:color w:val="231F20"/>
        </w:rPr>
      </w:pPr>
      <w:r>
        <w:rPr>
          <w:rFonts w:ascii="Times New Roman" w:cs="Times New Roman" w:eastAsia="Times New Roman" w:hAnsi="Times New Roman"/>
          <w:sz w:val="19"/>
          <w:szCs w:val="19"/>
          <w:color w:val="231F20"/>
        </w:rPr>
        <w:t>Gross reductions include decreases in the cost basis of investments resulting from principal collections related to investment repayments or sales, and the amortization of any premiums on debt investments, as applicable. When an investment is placed on non-accrual status, any cash flows received by the Company are applied to the outstanding principal balance.</w:t>
      </w:r>
    </w:p>
    <w:p>
      <w:pPr>
        <w:spacing w:after="0" w:line="2" w:lineRule="exact"/>
        <w:rPr>
          <w:rFonts w:ascii="Times New Roman" w:cs="Times New Roman" w:eastAsia="Times New Roman" w:hAnsi="Times New Roman"/>
          <w:sz w:val="19"/>
          <w:szCs w:val="19"/>
          <w:color w:val="231F20"/>
        </w:rPr>
      </w:pPr>
    </w:p>
    <w:p>
      <w:pPr>
        <w:ind w:left="461" w:right="420" w:hanging="461"/>
        <w:spacing w:after="0" w:line="238" w:lineRule="auto"/>
        <w:tabs>
          <w:tab w:leader="none" w:pos="508" w:val="left"/>
        </w:tabs>
        <w:numPr>
          <w:ilvl w:val="0"/>
          <w:numId w:val="78"/>
        </w:numPr>
        <w:rPr>
          <w:rFonts w:ascii="Times New Roman" w:cs="Times New Roman" w:eastAsia="Times New Roman" w:hAnsi="Times New Roman"/>
          <w:sz w:val="19"/>
          <w:szCs w:val="19"/>
          <w:color w:val="231F20"/>
        </w:rPr>
      </w:pPr>
      <w:r>
        <w:rPr>
          <w:rFonts w:ascii="Times New Roman" w:cs="Times New Roman" w:eastAsia="Times New Roman" w:hAnsi="Times New Roman"/>
          <w:sz w:val="19"/>
          <w:szCs w:val="19"/>
          <w:color w:val="231F20"/>
        </w:rPr>
        <w:t>As of December 31, 2023, the estimated cost basis of investments for U.S. federal tax purposes was $3,256,630 resulting in estimated gross unrealized gains and losses of $159,281 and $135,606, respectively.</w:t>
      </w:r>
    </w:p>
    <w:p>
      <w:pPr>
        <w:spacing w:after="0" w:line="1" w:lineRule="exact"/>
        <w:rPr>
          <w:rFonts w:ascii="Times New Roman" w:cs="Times New Roman" w:eastAsia="Times New Roman" w:hAnsi="Times New Roman"/>
          <w:sz w:val="19"/>
          <w:szCs w:val="19"/>
          <w:color w:val="231F20"/>
        </w:rPr>
      </w:pPr>
    </w:p>
    <w:p>
      <w:pPr>
        <w:ind w:left="461" w:hanging="461"/>
        <w:spacing w:after="0" w:line="238" w:lineRule="auto"/>
        <w:tabs>
          <w:tab w:leader="none" w:pos="461" w:val="left"/>
        </w:tabs>
        <w:numPr>
          <w:ilvl w:val="0"/>
          <w:numId w:val="78"/>
        </w:numPr>
        <w:rPr>
          <w:rFonts w:ascii="Times New Roman" w:cs="Times New Roman" w:eastAsia="Times New Roman" w:hAnsi="Times New Roman"/>
          <w:sz w:val="19"/>
          <w:szCs w:val="19"/>
          <w:color w:val="231F20"/>
        </w:rPr>
      </w:pPr>
      <w:r>
        <w:rPr>
          <w:rFonts w:ascii="Times New Roman" w:cs="Times New Roman" w:eastAsia="Times New Roman" w:hAnsi="Times New Roman"/>
          <w:sz w:val="19"/>
          <w:szCs w:val="19"/>
          <w:color w:val="231F20"/>
        </w:rPr>
        <w:t>In accordance with Financial Accounting Standards Board Accounting Standards Codification Topic 820, Fair Value Measurements (“ASC Topic 820”), unless otherwise indicated, the fair values of all investments were determined using significant unobservable inputs and are considered Level 3 investments. See Note 6 for further information related to investments at fair value.</w:t>
      </w:r>
    </w:p>
    <w:p>
      <w:pPr>
        <w:spacing w:after="0" w:line="2" w:lineRule="exact"/>
        <w:rPr>
          <w:rFonts w:ascii="Times New Roman" w:cs="Times New Roman" w:eastAsia="Times New Roman" w:hAnsi="Times New Roman"/>
          <w:sz w:val="19"/>
          <w:szCs w:val="19"/>
          <w:color w:val="231F20"/>
        </w:rPr>
      </w:pPr>
    </w:p>
    <w:p>
      <w:pPr>
        <w:ind w:left="461" w:right="360" w:hanging="461"/>
        <w:spacing w:after="0" w:line="238" w:lineRule="auto"/>
        <w:tabs>
          <w:tab w:leader="none" w:pos="461" w:val="left"/>
        </w:tabs>
        <w:numPr>
          <w:ilvl w:val="0"/>
          <w:numId w:val="78"/>
        </w:numPr>
        <w:rPr>
          <w:rFonts w:ascii="Times New Roman" w:cs="Times New Roman" w:eastAsia="Times New Roman" w:hAnsi="Times New Roman"/>
          <w:sz w:val="19"/>
          <w:szCs w:val="19"/>
          <w:color w:val="231F20"/>
        </w:rPr>
      </w:pPr>
      <w:r>
        <w:rPr>
          <w:rFonts w:ascii="Times New Roman" w:cs="Times New Roman" w:eastAsia="Times New Roman" w:hAnsi="Times New Roman"/>
          <w:sz w:val="19"/>
          <w:szCs w:val="19"/>
          <w:color w:val="231F20"/>
        </w:rPr>
        <w:t>This investment is valued using observable inputs and is considered a Level 2 investment. See Note 6 for further information related to investments at fair value.</w:t>
      </w:r>
    </w:p>
    <w:p>
      <w:pPr>
        <w:spacing w:after="0" w:line="1" w:lineRule="exact"/>
        <w:rPr>
          <w:rFonts w:ascii="Times New Roman" w:cs="Times New Roman" w:eastAsia="Times New Roman" w:hAnsi="Times New Roman"/>
          <w:sz w:val="19"/>
          <w:szCs w:val="19"/>
          <w:color w:val="231F20"/>
        </w:rPr>
      </w:pPr>
    </w:p>
    <w:p>
      <w:pPr>
        <w:ind w:left="461" w:right="360" w:hanging="461"/>
        <w:spacing w:after="0" w:line="238" w:lineRule="auto"/>
        <w:tabs>
          <w:tab w:leader="none" w:pos="461" w:val="left"/>
        </w:tabs>
        <w:numPr>
          <w:ilvl w:val="0"/>
          <w:numId w:val="78"/>
        </w:numPr>
        <w:rPr>
          <w:rFonts w:ascii="Times New Roman" w:cs="Times New Roman" w:eastAsia="Times New Roman" w:hAnsi="Times New Roman"/>
          <w:sz w:val="19"/>
          <w:szCs w:val="19"/>
          <w:color w:val="231F20"/>
        </w:rPr>
      </w:pPr>
      <w:r>
        <w:rPr>
          <w:rFonts w:ascii="Times New Roman" w:cs="Times New Roman" w:eastAsia="Times New Roman" w:hAnsi="Times New Roman"/>
          <w:sz w:val="19"/>
          <w:szCs w:val="19"/>
          <w:color w:val="231F20"/>
        </w:rPr>
        <w:t>This investment is valued using observable inputs and is considered a Level 1 investment. See Note 6 for further information related to investments at fair value.</w:t>
      </w:r>
    </w:p>
    <w:p>
      <w:pPr>
        <w:spacing w:after="0" w:line="1" w:lineRule="exact"/>
        <w:rPr>
          <w:rFonts w:ascii="Times New Roman" w:cs="Times New Roman" w:eastAsia="Times New Roman" w:hAnsi="Times New Roman"/>
          <w:sz w:val="19"/>
          <w:szCs w:val="19"/>
          <w:color w:val="231F20"/>
        </w:rPr>
      </w:pPr>
    </w:p>
    <w:p>
      <w:pPr>
        <w:ind w:left="461" w:hanging="461"/>
        <w:spacing w:after="0" w:line="238" w:lineRule="auto"/>
        <w:tabs>
          <w:tab w:leader="none" w:pos="461" w:val="left"/>
        </w:tabs>
        <w:numPr>
          <w:ilvl w:val="0"/>
          <w:numId w:val="78"/>
        </w:numPr>
        <w:rPr>
          <w:rFonts w:ascii="Times New Roman" w:cs="Times New Roman" w:eastAsia="Times New Roman" w:hAnsi="Times New Roman"/>
          <w:sz w:val="19"/>
          <w:szCs w:val="19"/>
          <w:color w:val="231F20"/>
        </w:rPr>
      </w:pPr>
      <w:r>
        <w:rPr>
          <w:rFonts w:ascii="Times New Roman" w:cs="Times New Roman" w:eastAsia="Times New Roman" w:hAnsi="Times New Roman"/>
          <w:sz w:val="19"/>
          <w:szCs w:val="19"/>
          <w:color w:val="231F20"/>
        </w:rPr>
        <w:t>This investment is non-income producing.</w:t>
      </w:r>
    </w:p>
    <w:p>
      <w:pPr>
        <w:ind w:left="461" w:right="60" w:hanging="461"/>
        <w:spacing w:after="0" w:line="238" w:lineRule="auto"/>
        <w:tabs>
          <w:tab w:leader="none" w:pos="461" w:val="left"/>
        </w:tabs>
        <w:numPr>
          <w:ilvl w:val="0"/>
          <w:numId w:val="78"/>
        </w:numPr>
        <w:rPr>
          <w:rFonts w:ascii="Times New Roman" w:cs="Times New Roman" w:eastAsia="Times New Roman" w:hAnsi="Times New Roman"/>
          <w:sz w:val="19"/>
          <w:szCs w:val="19"/>
          <w:color w:val="231F20"/>
        </w:rPr>
      </w:pPr>
      <w:r>
        <w:rPr>
          <w:rFonts w:ascii="Times New Roman" w:cs="Times New Roman" w:eastAsia="Times New Roman" w:hAnsi="Times New Roman"/>
          <w:sz w:val="19"/>
          <w:szCs w:val="19"/>
          <w:color w:val="231F20"/>
        </w:rPr>
        <w:t>All or a portion of this security was acquired in a transaction exempt from registration under the Securities Act of 1933, and may be deemed to be “restricted securities” under the Securities Act. As of December 31, 2023, the aggregate fair value of these securities is $13,032, or 0.9% of the Company’s net assets.</w:t>
      </w:r>
    </w:p>
    <w:p>
      <w:pPr>
        <w:spacing w:after="0" w:line="1" w:lineRule="exact"/>
        <w:rPr>
          <w:rFonts w:ascii="Times New Roman" w:cs="Times New Roman" w:eastAsia="Times New Roman" w:hAnsi="Times New Roman"/>
          <w:sz w:val="19"/>
          <w:szCs w:val="19"/>
          <w:color w:val="231F20"/>
        </w:rPr>
      </w:pPr>
    </w:p>
    <w:p>
      <w:pPr>
        <w:ind w:left="461" w:hanging="461"/>
        <w:spacing w:after="0" w:line="238" w:lineRule="auto"/>
        <w:tabs>
          <w:tab w:leader="none" w:pos="461" w:val="left"/>
        </w:tabs>
        <w:numPr>
          <w:ilvl w:val="0"/>
          <w:numId w:val="78"/>
        </w:numPr>
        <w:rPr>
          <w:rFonts w:ascii="Times New Roman" w:cs="Times New Roman" w:eastAsia="Times New Roman" w:hAnsi="Times New Roman"/>
          <w:sz w:val="19"/>
          <w:szCs w:val="19"/>
          <w:color w:val="231F20"/>
        </w:rPr>
      </w:pPr>
      <w:r>
        <w:rPr>
          <w:rFonts w:ascii="Times New Roman" w:cs="Times New Roman" w:eastAsia="Times New Roman" w:hAnsi="Times New Roman"/>
          <w:sz w:val="19"/>
          <w:szCs w:val="19"/>
          <w:color w:val="231F20"/>
        </w:rPr>
        <w:t>Ownership of equity investments may occur through a holding company or partnership.</w:t>
      </w:r>
    </w:p>
    <w:p>
      <w:pPr>
        <w:ind w:left="461" w:hanging="461"/>
        <w:spacing w:after="0" w:line="238" w:lineRule="auto"/>
        <w:tabs>
          <w:tab w:leader="none" w:pos="461" w:val="left"/>
        </w:tabs>
        <w:numPr>
          <w:ilvl w:val="0"/>
          <w:numId w:val="78"/>
        </w:numPr>
        <w:rPr>
          <w:rFonts w:ascii="Times New Roman" w:cs="Times New Roman" w:eastAsia="Times New Roman" w:hAnsi="Times New Roman"/>
          <w:sz w:val="19"/>
          <w:szCs w:val="19"/>
          <w:color w:val="231F20"/>
        </w:rPr>
      </w:pPr>
      <w:r>
        <w:rPr>
          <w:rFonts w:ascii="Times New Roman" w:cs="Times New Roman" w:eastAsia="Times New Roman" w:hAnsi="Times New Roman"/>
          <w:sz w:val="19"/>
          <w:szCs w:val="19"/>
          <w:color w:val="231F20"/>
        </w:rPr>
        <w:t>Investment is on non-accrual status as of December 31, 2023.</w:t>
      </w:r>
    </w:p>
    <w:p>
      <w:pPr>
        <w:ind w:left="461" w:right="140" w:hanging="461"/>
        <w:spacing w:after="0"/>
        <w:tabs>
          <w:tab w:leader="none" w:pos="461" w:val="left"/>
        </w:tabs>
        <w:numPr>
          <w:ilvl w:val="0"/>
          <w:numId w:val="78"/>
        </w:numPr>
        <w:rPr>
          <w:rFonts w:ascii="Times New Roman" w:cs="Times New Roman" w:eastAsia="Times New Roman" w:hAnsi="Times New Roman"/>
          <w:sz w:val="19"/>
          <w:szCs w:val="19"/>
          <w:color w:val="231F20"/>
        </w:rPr>
      </w:pPr>
      <w:r>
        <w:rPr>
          <w:rFonts w:ascii="Times New Roman" w:cs="Times New Roman" w:eastAsia="Times New Roman" w:hAnsi="Times New Roman"/>
          <w:sz w:val="19"/>
          <w:szCs w:val="19"/>
          <w:color w:val="231F20"/>
        </w:rPr>
        <w:t>In addition to the principal amount outstanding and accrued interest owed on this investment, the Company is entitled to a separate Make-Whole Amount (the “Make-Whole”) of $11.8 million. The Make-Whole is a contractual obligation of the borrower and accrues interest on the balance outstanding. The Make-Whole is included on the Company’s consolidated balance sheet within other assets, net of any valuation allowance. Given uncertainty relating to collectability of the Make-Whole, the Company has applied a full valuation allowance against the amount of the Make-Whole balance outstanding.</w:t>
      </w:r>
    </w:p>
    <w:p>
      <w:pPr>
        <w:spacing w:after="0" w:line="16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9"/>
          <w:szCs w:val="19"/>
          <w:color w:val="231F20"/>
        </w:rPr>
        <w:t>The accompanying notes are an integral part of these consolidated financial statements.</w:t>
      </w:r>
    </w:p>
    <w:p>
      <w:pPr>
        <w:sectPr>
          <w:pgSz w:w="12240" w:h="15840" w:orient="portrait"/>
          <w:cols w:equalWidth="0" w:num="1">
            <w:col w:w="10261"/>
          </w:cols>
          <w:pgMar w:left="979" w:top="1440" w:right="1000" w:bottom="57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9"/>
          <w:szCs w:val="19"/>
          <w:color w:val="231F20"/>
        </w:rPr>
        <w:t>F-24</w:t>
      </w:r>
    </w:p>
    <w:p>
      <w:pPr>
        <w:sectPr>
          <w:pgSz w:w="12240" w:h="15840" w:orient="portrait"/>
          <w:cols w:equalWidth="0" w:num="1">
            <w:col w:w="10261"/>
          </w:cols>
          <w:pgMar w:left="979" w:top="1440" w:right="1000" w:bottom="574" w:gutter="0" w:footer="0" w:header="0"/>
          <w:type w:val="continuous"/>
        </w:sectPr>
      </w:pPr>
    </w:p>
    <w:bookmarkStart w:id="112" w:name="page113"/>
    <w:bookmarkEnd w:id="112"/>
    <w:p>
      <w:pPr>
        <w:jc w:val="center"/>
        <w:spacing w:after="0"/>
        <w:rPr>
          <w:sz w:val="20"/>
          <w:szCs w:val="20"/>
          <w:color w:val="auto"/>
        </w:rPr>
      </w:pPr>
      <w:r>
        <w:rPr>
          <w:rFonts w:ascii="Times New Roman" w:cs="Times New Roman" w:eastAsia="Times New Roman" w:hAnsi="Times New Roman"/>
          <w:sz w:val="19"/>
          <w:szCs w:val="19"/>
          <w:b w:val="1"/>
          <w:bCs w:val="1"/>
          <w:color w:val="231F20"/>
        </w:rPr>
        <w:t>Sixth Street Specialty Lending, Inc.</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231F20"/>
        </w:rPr>
        <w:t>Consolidated Statements of Changes in Net Assets</w:t>
      </w:r>
    </w:p>
    <w:p>
      <w:pPr>
        <w:jc w:val="center"/>
        <w:spacing w:after="0"/>
        <w:rPr>
          <w:sz w:val="20"/>
          <w:szCs w:val="20"/>
          <w:color w:val="auto"/>
        </w:rPr>
      </w:pPr>
      <w:r>
        <w:rPr>
          <w:rFonts w:ascii="Times New Roman" w:cs="Times New Roman" w:eastAsia="Times New Roman" w:hAnsi="Times New Roman"/>
          <w:sz w:val="19"/>
          <w:szCs w:val="19"/>
          <w:b w:val="1"/>
          <w:bCs w:val="1"/>
          <w:color w:val="231F20"/>
        </w:rPr>
        <w:t>(Amounts in thousands, except share amounts)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3600" w:type="dxa"/>
            <w:vAlign w:val="bottom"/>
            <w:shd w:val="clear" w:color="auto" w:fill="FDFDFC"/>
          </w:tcPr>
          <w:p>
            <w:pPr>
              <w:spacing w:after="0"/>
              <w:rPr>
                <w:sz w:val="15"/>
                <w:szCs w:val="15"/>
                <w:color w:val="auto"/>
              </w:rPr>
            </w:pPr>
          </w:p>
        </w:tc>
        <w:tc>
          <w:tcPr>
            <w:tcW w:w="20" w:type="dxa"/>
            <w:vAlign w:val="bottom"/>
            <w:shd w:val="clear" w:color="auto" w:fill="FDFDFC"/>
          </w:tcPr>
          <w:p>
            <w:pPr>
              <w:spacing w:after="0"/>
              <w:rPr>
                <w:sz w:val="15"/>
                <w:szCs w:val="15"/>
                <w:color w:val="auto"/>
              </w:rPr>
            </w:pPr>
          </w:p>
        </w:tc>
        <w:tc>
          <w:tcPr>
            <w:tcW w:w="1580" w:type="dxa"/>
            <w:vAlign w:val="bottom"/>
            <w:gridSpan w:val="7"/>
            <w:shd w:val="clear" w:color="auto" w:fill="FDFDFC"/>
          </w:tcPr>
          <w:p>
            <w:pPr>
              <w:jc w:val="right"/>
              <w:ind w:right="269"/>
              <w:spacing w:after="0"/>
              <w:rPr>
                <w:sz w:val="20"/>
                <w:szCs w:val="20"/>
                <w:color w:val="auto"/>
              </w:rPr>
            </w:pPr>
            <w:r>
              <w:rPr>
                <w:rFonts w:ascii="Times New Roman" w:cs="Times New Roman" w:eastAsia="Times New Roman" w:hAnsi="Times New Roman"/>
                <w:sz w:val="14"/>
                <w:szCs w:val="14"/>
                <w:b w:val="1"/>
                <w:bCs w:val="1"/>
                <w:color w:val="231F20"/>
              </w:rPr>
              <w:t>Common Stock</w:t>
            </w:r>
          </w:p>
        </w:tc>
        <w:tc>
          <w:tcPr>
            <w:tcW w:w="100" w:type="dxa"/>
            <w:vAlign w:val="bottom"/>
            <w:shd w:val="clear" w:color="auto" w:fill="FDFDFC"/>
          </w:tcPr>
          <w:p>
            <w:pPr>
              <w:spacing w:after="0"/>
              <w:rPr>
                <w:sz w:val="15"/>
                <w:szCs w:val="15"/>
                <w:color w:val="auto"/>
              </w:rPr>
            </w:pPr>
          </w:p>
        </w:tc>
        <w:tc>
          <w:tcPr>
            <w:tcW w:w="20" w:type="dxa"/>
            <w:vAlign w:val="bottom"/>
            <w:shd w:val="clear" w:color="auto" w:fill="FDFDFC"/>
          </w:tcPr>
          <w:p>
            <w:pPr>
              <w:spacing w:after="0"/>
              <w:rPr>
                <w:sz w:val="15"/>
                <w:szCs w:val="15"/>
                <w:color w:val="auto"/>
              </w:rPr>
            </w:pPr>
          </w:p>
        </w:tc>
        <w:tc>
          <w:tcPr>
            <w:tcW w:w="80" w:type="dxa"/>
            <w:vAlign w:val="bottom"/>
            <w:shd w:val="clear" w:color="auto" w:fill="FDFDFC"/>
          </w:tcPr>
          <w:p>
            <w:pPr>
              <w:spacing w:after="0"/>
              <w:rPr>
                <w:sz w:val="15"/>
                <w:szCs w:val="15"/>
                <w:color w:val="auto"/>
              </w:rPr>
            </w:pPr>
          </w:p>
        </w:tc>
        <w:tc>
          <w:tcPr>
            <w:tcW w:w="20" w:type="dxa"/>
            <w:vAlign w:val="bottom"/>
            <w:shd w:val="clear" w:color="auto" w:fill="FDFDFC"/>
          </w:tcPr>
          <w:p>
            <w:pPr>
              <w:spacing w:after="0"/>
              <w:rPr>
                <w:sz w:val="15"/>
                <w:szCs w:val="15"/>
                <w:color w:val="auto"/>
              </w:rPr>
            </w:pPr>
          </w:p>
        </w:tc>
        <w:tc>
          <w:tcPr>
            <w:tcW w:w="20" w:type="dxa"/>
            <w:vAlign w:val="bottom"/>
            <w:shd w:val="clear" w:color="auto" w:fill="FDFDFC"/>
          </w:tcPr>
          <w:p>
            <w:pPr>
              <w:spacing w:after="0"/>
              <w:rPr>
                <w:sz w:val="15"/>
                <w:szCs w:val="15"/>
                <w:color w:val="auto"/>
              </w:rPr>
            </w:pPr>
          </w:p>
        </w:tc>
        <w:tc>
          <w:tcPr>
            <w:tcW w:w="1580" w:type="dxa"/>
            <w:vAlign w:val="bottom"/>
            <w:gridSpan w:val="11"/>
            <w:shd w:val="clear" w:color="auto" w:fill="FDFDFC"/>
          </w:tcPr>
          <w:p>
            <w:pPr>
              <w:ind w:left="220"/>
              <w:spacing w:after="0"/>
              <w:rPr>
                <w:sz w:val="20"/>
                <w:szCs w:val="20"/>
                <w:color w:val="auto"/>
              </w:rPr>
            </w:pPr>
            <w:r>
              <w:rPr>
                <w:rFonts w:ascii="Times New Roman" w:cs="Times New Roman" w:eastAsia="Times New Roman" w:hAnsi="Times New Roman"/>
                <w:sz w:val="14"/>
                <w:szCs w:val="14"/>
                <w:b w:val="1"/>
                <w:bCs w:val="1"/>
                <w:color w:val="231F20"/>
              </w:rPr>
              <w:t>Treasury Stock</w:t>
            </w:r>
          </w:p>
        </w:tc>
        <w:tc>
          <w:tcPr>
            <w:tcW w:w="60" w:type="dxa"/>
            <w:vAlign w:val="bottom"/>
            <w:shd w:val="clear" w:color="auto" w:fill="FDFDFC"/>
          </w:tcPr>
          <w:p>
            <w:pPr>
              <w:spacing w:after="0"/>
              <w:rPr>
                <w:sz w:val="15"/>
                <w:szCs w:val="15"/>
                <w:color w:val="auto"/>
              </w:rPr>
            </w:pPr>
          </w:p>
        </w:tc>
        <w:tc>
          <w:tcPr>
            <w:tcW w:w="140" w:type="dxa"/>
            <w:vAlign w:val="bottom"/>
            <w:shd w:val="clear" w:color="auto" w:fill="FDFDFC"/>
          </w:tcPr>
          <w:p>
            <w:pPr>
              <w:spacing w:after="0"/>
              <w:rPr>
                <w:sz w:val="15"/>
                <w:szCs w:val="15"/>
                <w:color w:val="auto"/>
              </w:rPr>
            </w:pPr>
          </w:p>
        </w:tc>
        <w:tc>
          <w:tcPr>
            <w:tcW w:w="1140" w:type="dxa"/>
            <w:vAlign w:val="bottom"/>
            <w:gridSpan w:val="6"/>
            <w:vMerge w:val="restart"/>
            <w:shd w:val="clear" w:color="auto" w:fill="FDFDFC"/>
          </w:tcPr>
          <w:p>
            <w:pPr>
              <w:jc w:val="center"/>
              <w:ind w:right="400"/>
              <w:spacing w:after="0"/>
              <w:rPr>
                <w:sz w:val="20"/>
                <w:szCs w:val="20"/>
                <w:color w:val="auto"/>
              </w:rPr>
            </w:pPr>
            <w:r>
              <w:rPr>
                <w:rFonts w:ascii="Times New Roman" w:cs="Times New Roman" w:eastAsia="Times New Roman" w:hAnsi="Times New Roman"/>
                <w:sz w:val="14"/>
                <w:szCs w:val="14"/>
                <w:b w:val="1"/>
                <w:bCs w:val="1"/>
                <w:color w:val="231F20"/>
                <w:w w:val="98"/>
              </w:rPr>
              <w:t>Paid in</w:t>
            </w:r>
          </w:p>
        </w:tc>
        <w:tc>
          <w:tcPr>
            <w:tcW w:w="60" w:type="dxa"/>
            <w:vAlign w:val="bottom"/>
            <w:shd w:val="clear" w:color="auto" w:fill="FDFDFC"/>
          </w:tcPr>
          <w:p>
            <w:pPr>
              <w:spacing w:after="0"/>
              <w:rPr>
                <w:sz w:val="15"/>
                <w:szCs w:val="15"/>
                <w:color w:val="auto"/>
              </w:rPr>
            </w:pPr>
          </w:p>
        </w:tc>
        <w:tc>
          <w:tcPr>
            <w:tcW w:w="720" w:type="dxa"/>
            <w:vAlign w:val="bottom"/>
            <w:shd w:val="clear" w:color="auto" w:fill="FDFDFC"/>
          </w:tcPr>
          <w:p>
            <w:pPr>
              <w:spacing w:after="0"/>
              <w:rPr>
                <w:sz w:val="15"/>
                <w:szCs w:val="15"/>
                <w:color w:val="auto"/>
              </w:rPr>
            </w:pPr>
          </w:p>
        </w:tc>
        <w:tc>
          <w:tcPr>
            <w:tcW w:w="100" w:type="dxa"/>
            <w:vAlign w:val="bottom"/>
            <w:shd w:val="clear" w:color="auto" w:fill="FDFDFC"/>
          </w:tcPr>
          <w:p>
            <w:pPr>
              <w:spacing w:after="0"/>
              <w:rPr>
                <w:sz w:val="15"/>
                <w:szCs w:val="15"/>
                <w:color w:val="auto"/>
              </w:rPr>
            </w:pPr>
          </w:p>
        </w:tc>
        <w:tc>
          <w:tcPr>
            <w:tcW w:w="20" w:type="dxa"/>
            <w:vAlign w:val="bottom"/>
            <w:shd w:val="clear" w:color="auto" w:fill="FDFDFC"/>
          </w:tcPr>
          <w:p>
            <w:pPr>
              <w:spacing w:after="0"/>
              <w:rPr>
                <w:sz w:val="15"/>
                <w:szCs w:val="15"/>
                <w:color w:val="auto"/>
              </w:rPr>
            </w:pPr>
          </w:p>
        </w:tc>
        <w:tc>
          <w:tcPr>
            <w:tcW w:w="80" w:type="dxa"/>
            <w:vAlign w:val="bottom"/>
            <w:shd w:val="clear" w:color="auto" w:fill="FDFDFC"/>
          </w:tcPr>
          <w:p>
            <w:pPr>
              <w:spacing w:after="0"/>
              <w:rPr>
                <w:sz w:val="15"/>
                <w:szCs w:val="15"/>
                <w:color w:val="auto"/>
              </w:rPr>
            </w:pPr>
          </w:p>
        </w:tc>
        <w:tc>
          <w:tcPr>
            <w:tcW w:w="20" w:type="dxa"/>
            <w:vAlign w:val="bottom"/>
            <w:shd w:val="clear" w:color="auto" w:fill="FDFDFC"/>
          </w:tcPr>
          <w:p>
            <w:pPr>
              <w:spacing w:after="0"/>
              <w:rPr>
                <w:sz w:val="15"/>
                <w:szCs w:val="15"/>
                <w:color w:val="auto"/>
              </w:rPr>
            </w:pPr>
          </w:p>
        </w:tc>
        <w:tc>
          <w:tcPr>
            <w:tcW w:w="20" w:type="dxa"/>
            <w:vAlign w:val="bottom"/>
            <w:shd w:val="clear" w:color="auto" w:fill="FDFDFC"/>
          </w:tcPr>
          <w:p>
            <w:pPr>
              <w:spacing w:after="0"/>
              <w:rPr>
                <w:sz w:val="15"/>
                <w:szCs w:val="15"/>
                <w:color w:val="auto"/>
              </w:rPr>
            </w:pPr>
          </w:p>
        </w:tc>
        <w:tc>
          <w:tcPr>
            <w:tcW w:w="40" w:type="dxa"/>
            <w:vAlign w:val="bottom"/>
            <w:shd w:val="clear" w:color="auto" w:fill="FDFDFC"/>
          </w:tcPr>
          <w:p>
            <w:pPr>
              <w:spacing w:after="0"/>
              <w:rPr>
                <w:sz w:val="15"/>
                <w:szCs w:val="15"/>
                <w:color w:val="auto"/>
              </w:rPr>
            </w:pPr>
          </w:p>
        </w:tc>
        <w:tc>
          <w:tcPr>
            <w:tcW w:w="720" w:type="dxa"/>
            <w:vAlign w:val="bottom"/>
            <w:shd w:val="clear" w:color="auto" w:fill="FDFDFC"/>
          </w:tcPr>
          <w:p>
            <w:pPr>
              <w:spacing w:after="0"/>
              <w:rPr>
                <w:sz w:val="15"/>
                <w:szCs w:val="15"/>
                <w:color w:val="auto"/>
              </w:rPr>
            </w:pPr>
          </w:p>
        </w:tc>
        <w:tc>
          <w:tcPr>
            <w:tcW w:w="100" w:type="dxa"/>
            <w:vAlign w:val="bottom"/>
            <w:shd w:val="clear" w:color="auto" w:fill="FDFDFC"/>
          </w:tcPr>
          <w:p>
            <w:pPr>
              <w:spacing w:after="0"/>
              <w:rPr>
                <w:sz w:val="15"/>
                <w:szCs w:val="15"/>
                <w:color w:val="auto"/>
              </w:rPr>
            </w:pPr>
          </w:p>
        </w:tc>
        <w:tc>
          <w:tcPr>
            <w:tcW w:w="0" w:type="dxa"/>
            <w:vAlign w:val="bottom"/>
          </w:tcPr>
          <w:p>
            <w:pPr>
              <w:spacing w:after="0"/>
              <w:rPr>
                <w:sz w:val="1"/>
                <w:szCs w:val="1"/>
                <w:color w:val="auto"/>
              </w:rPr>
            </w:pPr>
          </w:p>
        </w:tc>
      </w:tr>
      <w:tr>
        <w:trPr>
          <w:trHeight w:val="150"/>
        </w:trPr>
        <w:tc>
          <w:tcPr>
            <w:tcW w:w="3600" w:type="dxa"/>
            <w:vAlign w:val="bottom"/>
            <w:tcBorders>
              <w:top w:val="single" w:sz="8" w:color="FDFDFC"/>
            </w:tcBorders>
            <w:shd w:val="clear" w:color="auto" w:fill="FDFDFC"/>
          </w:tcPr>
          <w:p>
            <w:pPr>
              <w:spacing w:after="0"/>
              <w:rPr>
                <w:sz w:val="13"/>
                <w:szCs w:val="13"/>
                <w:color w:val="auto"/>
              </w:rPr>
            </w:pPr>
          </w:p>
        </w:tc>
        <w:tc>
          <w:tcPr>
            <w:tcW w:w="20" w:type="dxa"/>
            <w:vAlign w:val="bottom"/>
            <w:tcBorders>
              <w:top w:val="single" w:sz="8" w:color="FDFDFC"/>
            </w:tcBorders>
            <w:shd w:val="clear" w:color="auto" w:fill="FDFDFC"/>
          </w:tcPr>
          <w:p>
            <w:pPr>
              <w:spacing w:after="0"/>
              <w:rPr>
                <w:sz w:val="13"/>
                <w:szCs w:val="13"/>
                <w:color w:val="auto"/>
              </w:rPr>
            </w:pPr>
          </w:p>
        </w:tc>
        <w:tc>
          <w:tcPr>
            <w:tcW w:w="860" w:type="dxa"/>
            <w:vAlign w:val="bottom"/>
            <w:tcBorders>
              <w:top w:val="single" w:sz="8" w:color="231F20"/>
            </w:tcBorders>
            <w:shd w:val="clear" w:color="auto" w:fill="FDFDFC"/>
          </w:tcPr>
          <w:p>
            <w:pPr>
              <w:spacing w:after="0"/>
              <w:rPr>
                <w:sz w:val="13"/>
                <w:szCs w:val="13"/>
                <w:color w:val="auto"/>
              </w:rPr>
            </w:pPr>
          </w:p>
        </w:tc>
        <w:tc>
          <w:tcPr>
            <w:tcW w:w="100" w:type="dxa"/>
            <w:vAlign w:val="bottom"/>
            <w:tcBorders>
              <w:top w:val="single" w:sz="8" w:color="231F20"/>
            </w:tcBorders>
            <w:shd w:val="clear" w:color="auto" w:fill="FDFDFC"/>
          </w:tcPr>
          <w:p>
            <w:pPr>
              <w:spacing w:after="0"/>
              <w:rPr>
                <w:sz w:val="13"/>
                <w:szCs w:val="13"/>
                <w:color w:val="auto"/>
              </w:rPr>
            </w:pPr>
          </w:p>
        </w:tc>
        <w:tc>
          <w:tcPr>
            <w:tcW w:w="100" w:type="dxa"/>
            <w:vAlign w:val="bottom"/>
            <w:tcBorders>
              <w:top w:val="single" w:sz="8" w:color="231F20"/>
            </w:tcBorders>
            <w:shd w:val="clear" w:color="auto" w:fill="FDFDFC"/>
          </w:tcPr>
          <w:p>
            <w:pPr>
              <w:spacing w:after="0"/>
              <w:rPr>
                <w:sz w:val="13"/>
                <w:szCs w:val="13"/>
                <w:color w:val="auto"/>
              </w:rPr>
            </w:pPr>
          </w:p>
        </w:tc>
        <w:tc>
          <w:tcPr>
            <w:tcW w:w="20" w:type="dxa"/>
            <w:vAlign w:val="bottom"/>
            <w:tcBorders>
              <w:top w:val="single" w:sz="8" w:color="231F20"/>
            </w:tcBorders>
            <w:shd w:val="clear" w:color="auto" w:fill="FDFDFC"/>
          </w:tcPr>
          <w:p>
            <w:pPr>
              <w:spacing w:after="0"/>
              <w:rPr>
                <w:sz w:val="13"/>
                <w:szCs w:val="13"/>
                <w:color w:val="auto"/>
              </w:rPr>
            </w:pPr>
          </w:p>
        </w:tc>
        <w:tc>
          <w:tcPr>
            <w:tcW w:w="20" w:type="dxa"/>
            <w:vAlign w:val="bottom"/>
            <w:tcBorders>
              <w:top w:val="single" w:sz="8" w:color="231F20"/>
            </w:tcBorders>
            <w:shd w:val="clear" w:color="auto" w:fill="FDFDFC"/>
          </w:tcPr>
          <w:p>
            <w:pPr>
              <w:spacing w:after="0"/>
              <w:rPr>
                <w:sz w:val="13"/>
                <w:szCs w:val="13"/>
                <w:color w:val="auto"/>
              </w:rPr>
            </w:pPr>
          </w:p>
        </w:tc>
        <w:tc>
          <w:tcPr>
            <w:tcW w:w="60" w:type="dxa"/>
            <w:vAlign w:val="bottom"/>
            <w:tcBorders>
              <w:top w:val="single" w:sz="8" w:color="231F20"/>
            </w:tcBorders>
            <w:shd w:val="clear" w:color="auto" w:fill="FDFDFC"/>
          </w:tcPr>
          <w:p>
            <w:pPr>
              <w:spacing w:after="0"/>
              <w:rPr>
                <w:sz w:val="13"/>
                <w:szCs w:val="13"/>
                <w:color w:val="auto"/>
              </w:rPr>
            </w:pPr>
          </w:p>
        </w:tc>
        <w:tc>
          <w:tcPr>
            <w:tcW w:w="420" w:type="dxa"/>
            <w:vAlign w:val="bottom"/>
            <w:tcBorders>
              <w:top w:val="single" w:sz="8" w:color="231F20"/>
            </w:tcBorders>
            <w:shd w:val="clear" w:color="auto" w:fill="FDFDFC"/>
          </w:tcPr>
          <w:p>
            <w:pPr>
              <w:spacing w:after="0"/>
              <w:rPr>
                <w:sz w:val="13"/>
                <w:szCs w:val="13"/>
                <w:color w:val="auto"/>
              </w:rPr>
            </w:pPr>
          </w:p>
        </w:tc>
        <w:tc>
          <w:tcPr>
            <w:tcW w:w="100" w:type="dxa"/>
            <w:vAlign w:val="bottom"/>
            <w:tcBorders>
              <w:top w:val="single" w:sz="8" w:color="FDFDFC"/>
            </w:tcBorders>
            <w:shd w:val="clear" w:color="auto" w:fill="FDFDFC"/>
          </w:tcPr>
          <w:p>
            <w:pPr>
              <w:spacing w:after="0"/>
              <w:rPr>
                <w:sz w:val="13"/>
                <w:szCs w:val="13"/>
                <w:color w:val="auto"/>
              </w:rPr>
            </w:pPr>
          </w:p>
        </w:tc>
        <w:tc>
          <w:tcPr>
            <w:tcW w:w="20" w:type="dxa"/>
            <w:vAlign w:val="bottom"/>
            <w:tcBorders>
              <w:top w:val="single" w:sz="8" w:color="FDFDFC"/>
            </w:tcBorders>
            <w:shd w:val="clear" w:color="auto" w:fill="FDFDFC"/>
          </w:tcPr>
          <w:p>
            <w:pPr>
              <w:spacing w:after="0"/>
              <w:rPr>
                <w:sz w:val="13"/>
                <w:szCs w:val="13"/>
                <w:color w:val="auto"/>
              </w:rPr>
            </w:pPr>
          </w:p>
        </w:tc>
        <w:tc>
          <w:tcPr>
            <w:tcW w:w="80" w:type="dxa"/>
            <w:vAlign w:val="bottom"/>
            <w:tcBorders>
              <w:top w:val="single" w:sz="8" w:color="FDFDFC"/>
            </w:tcBorders>
            <w:shd w:val="clear" w:color="auto" w:fill="FDFDFC"/>
          </w:tcPr>
          <w:p>
            <w:pPr>
              <w:spacing w:after="0"/>
              <w:rPr>
                <w:sz w:val="13"/>
                <w:szCs w:val="13"/>
                <w:color w:val="auto"/>
              </w:rPr>
            </w:pPr>
          </w:p>
        </w:tc>
        <w:tc>
          <w:tcPr>
            <w:tcW w:w="20" w:type="dxa"/>
            <w:vAlign w:val="bottom"/>
            <w:tcBorders>
              <w:top w:val="single" w:sz="8" w:color="FDFDFC"/>
            </w:tcBorders>
            <w:shd w:val="clear" w:color="auto" w:fill="FDFDFC"/>
          </w:tcPr>
          <w:p>
            <w:pPr>
              <w:spacing w:after="0"/>
              <w:rPr>
                <w:sz w:val="13"/>
                <w:szCs w:val="13"/>
                <w:color w:val="auto"/>
              </w:rPr>
            </w:pPr>
          </w:p>
        </w:tc>
        <w:tc>
          <w:tcPr>
            <w:tcW w:w="20" w:type="dxa"/>
            <w:vAlign w:val="bottom"/>
            <w:tcBorders>
              <w:top w:val="single" w:sz="8" w:color="231F20"/>
            </w:tcBorders>
            <w:shd w:val="clear" w:color="auto" w:fill="FDFDFC"/>
          </w:tcPr>
          <w:p>
            <w:pPr>
              <w:spacing w:after="0"/>
              <w:rPr>
                <w:sz w:val="13"/>
                <w:szCs w:val="13"/>
                <w:color w:val="auto"/>
              </w:rPr>
            </w:pPr>
          </w:p>
        </w:tc>
        <w:tc>
          <w:tcPr>
            <w:tcW w:w="660" w:type="dxa"/>
            <w:vAlign w:val="bottom"/>
            <w:tcBorders>
              <w:top w:val="single" w:sz="8" w:color="231F20"/>
            </w:tcBorders>
            <w:shd w:val="clear" w:color="auto" w:fill="FDFDFC"/>
          </w:tcPr>
          <w:p>
            <w:pPr>
              <w:spacing w:after="0"/>
              <w:rPr>
                <w:sz w:val="13"/>
                <w:szCs w:val="13"/>
                <w:color w:val="auto"/>
              </w:rPr>
            </w:pPr>
          </w:p>
        </w:tc>
        <w:tc>
          <w:tcPr>
            <w:tcW w:w="100" w:type="dxa"/>
            <w:vAlign w:val="bottom"/>
            <w:tcBorders>
              <w:top w:val="single" w:sz="8" w:color="231F20"/>
            </w:tcBorders>
            <w:shd w:val="clear" w:color="auto" w:fill="FDFDFC"/>
          </w:tcPr>
          <w:p>
            <w:pPr>
              <w:spacing w:after="0"/>
              <w:rPr>
                <w:sz w:val="13"/>
                <w:szCs w:val="13"/>
                <w:color w:val="auto"/>
              </w:rPr>
            </w:pPr>
          </w:p>
        </w:tc>
        <w:tc>
          <w:tcPr>
            <w:tcW w:w="20" w:type="dxa"/>
            <w:vAlign w:val="bottom"/>
            <w:tcBorders>
              <w:top w:val="single" w:sz="8" w:color="231F20"/>
            </w:tcBorders>
            <w:shd w:val="clear" w:color="auto" w:fill="FDFDFC"/>
          </w:tcPr>
          <w:p>
            <w:pPr>
              <w:spacing w:after="0"/>
              <w:rPr>
                <w:sz w:val="13"/>
                <w:szCs w:val="13"/>
                <w:color w:val="auto"/>
              </w:rPr>
            </w:pPr>
          </w:p>
        </w:tc>
        <w:tc>
          <w:tcPr>
            <w:tcW w:w="80" w:type="dxa"/>
            <w:vAlign w:val="bottom"/>
            <w:tcBorders>
              <w:top w:val="single" w:sz="8" w:color="231F20"/>
            </w:tcBorders>
            <w:shd w:val="clear" w:color="auto" w:fill="FDFDFC"/>
          </w:tcPr>
          <w:p>
            <w:pPr>
              <w:spacing w:after="0"/>
              <w:rPr>
                <w:sz w:val="13"/>
                <w:szCs w:val="13"/>
                <w:color w:val="auto"/>
              </w:rPr>
            </w:pPr>
          </w:p>
        </w:tc>
        <w:tc>
          <w:tcPr>
            <w:tcW w:w="20" w:type="dxa"/>
            <w:vAlign w:val="bottom"/>
            <w:tcBorders>
              <w:top w:val="single" w:sz="8" w:color="231F20"/>
            </w:tcBorders>
            <w:shd w:val="clear" w:color="auto" w:fill="FDFDFC"/>
          </w:tcPr>
          <w:p>
            <w:pPr>
              <w:spacing w:after="0"/>
              <w:rPr>
                <w:sz w:val="13"/>
                <w:szCs w:val="13"/>
                <w:color w:val="auto"/>
              </w:rPr>
            </w:pPr>
          </w:p>
        </w:tc>
        <w:tc>
          <w:tcPr>
            <w:tcW w:w="20" w:type="dxa"/>
            <w:vAlign w:val="bottom"/>
            <w:tcBorders>
              <w:top w:val="single" w:sz="8" w:color="231F20"/>
            </w:tcBorders>
            <w:shd w:val="clear" w:color="auto" w:fill="FDFDFC"/>
          </w:tcPr>
          <w:p>
            <w:pPr>
              <w:spacing w:after="0"/>
              <w:rPr>
                <w:sz w:val="13"/>
                <w:szCs w:val="13"/>
                <w:color w:val="auto"/>
              </w:rPr>
            </w:pPr>
          </w:p>
        </w:tc>
        <w:tc>
          <w:tcPr>
            <w:tcW w:w="60" w:type="dxa"/>
            <w:vAlign w:val="bottom"/>
            <w:tcBorders>
              <w:top w:val="single" w:sz="8" w:color="231F20"/>
            </w:tcBorders>
            <w:shd w:val="clear" w:color="auto" w:fill="FDFDFC"/>
          </w:tcPr>
          <w:p>
            <w:pPr>
              <w:spacing w:after="0"/>
              <w:rPr>
                <w:sz w:val="13"/>
                <w:szCs w:val="13"/>
                <w:color w:val="auto"/>
              </w:rPr>
            </w:pPr>
          </w:p>
        </w:tc>
        <w:tc>
          <w:tcPr>
            <w:tcW w:w="480" w:type="dxa"/>
            <w:vAlign w:val="bottom"/>
            <w:tcBorders>
              <w:top w:val="single" w:sz="8" w:color="231F20"/>
            </w:tcBorders>
            <w:shd w:val="clear" w:color="auto" w:fill="FDFDFC"/>
          </w:tcPr>
          <w:p>
            <w:pPr>
              <w:spacing w:after="0"/>
              <w:rPr>
                <w:sz w:val="13"/>
                <w:szCs w:val="13"/>
                <w:color w:val="auto"/>
              </w:rPr>
            </w:pPr>
          </w:p>
        </w:tc>
        <w:tc>
          <w:tcPr>
            <w:tcW w:w="100" w:type="dxa"/>
            <w:vAlign w:val="bottom"/>
            <w:tcBorders>
              <w:top w:val="single" w:sz="8" w:color="FDFDFC"/>
            </w:tcBorders>
            <w:shd w:val="clear" w:color="auto" w:fill="FDFDFC"/>
          </w:tcPr>
          <w:p>
            <w:pPr>
              <w:spacing w:after="0"/>
              <w:rPr>
                <w:sz w:val="13"/>
                <w:szCs w:val="13"/>
                <w:color w:val="auto"/>
              </w:rPr>
            </w:pPr>
          </w:p>
        </w:tc>
        <w:tc>
          <w:tcPr>
            <w:tcW w:w="20" w:type="dxa"/>
            <w:vAlign w:val="bottom"/>
            <w:tcBorders>
              <w:top w:val="single" w:sz="8" w:color="FDFDFC"/>
            </w:tcBorders>
            <w:shd w:val="clear" w:color="auto" w:fill="FDFDFC"/>
          </w:tcPr>
          <w:p>
            <w:pPr>
              <w:spacing w:after="0"/>
              <w:rPr>
                <w:sz w:val="13"/>
                <w:szCs w:val="13"/>
                <w:color w:val="auto"/>
              </w:rPr>
            </w:pPr>
          </w:p>
        </w:tc>
        <w:tc>
          <w:tcPr>
            <w:tcW w:w="20" w:type="dxa"/>
            <w:vAlign w:val="bottom"/>
            <w:tcBorders>
              <w:top w:val="single" w:sz="8" w:color="FDFDFC"/>
            </w:tcBorders>
            <w:shd w:val="clear" w:color="auto" w:fill="FDFDFC"/>
          </w:tcPr>
          <w:p>
            <w:pPr>
              <w:spacing w:after="0"/>
              <w:rPr>
                <w:sz w:val="13"/>
                <w:szCs w:val="13"/>
                <w:color w:val="auto"/>
              </w:rPr>
            </w:pPr>
          </w:p>
        </w:tc>
        <w:tc>
          <w:tcPr>
            <w:tcW w:w="60" w:type="dxa"/>
            <w:vAlign w:val="bottom"/>
            <w:tcBorders>
              <w:top w:val="single" w:sz="8" w:color="FDFDFC"/>
            </w:tcBorders>
            <w:shd w:val="clear" w:color="auto" w:fill="FDFDFC"/>
          </w:tcPr>
          <w:p>
            <w:pPr>
              <w:spacing w:after="0"/>
              <w:rPr>
                <w:sz w:val="13"/>
                <w:szCs w:val="13"/>
                <w:color w:val="auto"/>
              </w:rPr>
            </w:pPr>
          </w:p>
        </w:tc>
        <w:tc>
          <w:tcPr>
            <w:tcW w:w="140" w:type="dxa"/>
            <w:vAlign w:val="bottom"/>
            <w:tcBorders>
              <w:top w:val="single" w:sz="8" w:color="FDFDFC"/>
            </w:tcBorders>
            <w:shd w:val="clear" w:color="auto" w:fill="FDFDFC"/>
          </w:tcPr>
          <w:p>
            <w:pPr>
              <w:spacing w:after="0"/>
              <w:rPr>
                <w:sz w:val="13"/>
                <w:szCs w:val="13"/>
                <w:color w:val="auto"/>
              </w:rPr>
            </w:pPr>
          </w:p>
        </w:tc>
        <w:tc>
          <w:tcPr>
            <w:tcW w:w="1140" w:type="dxa"/>
            <w:vAlign w:val="bottom"/>
            <w:tcBorders>
              <w:top w:val="single" w:sz="8" w:color="FDFDFC"/>
            </w:tcBorders>
            <w:gridSpan w:val="6"/>
            <w:vMerge w:val="continue"/>
            <w:shd w:val="clear" w:color="auto" w:fill="FDFDFC"/>
          </w:tcPr>
          <w:p>
            <w:pPr>
              <w:spacing w:after="0"/>
              <w:rPr>
                <w:sz w:val="13"/>
                <w:szCs w:val="13"/>
                <w:color w:val="auto"/>
              </w:rPr>
            </w:pPr>
          </w:p>
        </w:tc>
        <w:tc>
          <w:tcPr>
            <w:tcW w:w="60" w:type="dxa"/>
            <w:vAlign w:val="bottom"/>
            <w:tcBorders>
              <w:top w:val="single" w:sz="8" w:color="FDFDFC"/>
            </w:tcBorders>
            <w:shd w:val="clear" w:color="auto" w:fill="FDFDFC"/>
          </w:tcPr>
          <w:p>
            <w:pPr>
              <w:spacing w:after="0"/>
              <w:rPr>
                <w:sz w:val="13"/>
                <w:szCs w:val="13"/>
                <w:color w:val="auto"/>
              </w:rPr>
            </w:pPr>
          </w:p>
        </w:tc>
        <w:tc>
          <w:tcPr>
            <w:tcW w:w="720" w:type="dxa"/>
            <w:vAlign w:val="bottom"/>
            <w:tcBorders>
              <w:top w:val="single" w:sz="8" w:color="FDFDFC"/>
            </w:tcBorders>
            <w:shd w:val="clear" w:color="auto" w:fill="FDFDFC"/>
          </w:tcPr>
          <w:p>
            <w:pPr>
              <w:spacing w:after="0"/>
              <w:rPr>
                <w:sz w:val="13"/>
                <w:szCs w:val="13"/>
                <w:color w:val="auto"/>
              </w:rPr>
            </w:pPr>
          </w:p>
        </w:tc>
        <w:tc>
          <w:tcPr>
            <w:tcW w:w="100" w:type="dxa"/>
            <w:vAlign w:val="bottom"/>
            <w:tcBorders>
              <w:top w:val="single" w:sz="8" w:color="FDFDFC"/>
            </w:tcBorders>
            <w:shd w:val="clear" w:color="auto" w:fill="FDFDFC"/>
          </w:tcPr>
          <w:p>
            <w:pPr>
              <w:spacing w:after="0"/>
              <w:rPr>
                <w:sz w:val="13"/>
                <w:szCs w:val="13"/>
                <w:color w:val="auto"/>
              </w:rPr>
            </w:pPr>
          </w:p>
        </w:tc>
        <w:tc>
          <w:tcPr>
            <w:tcW w:w="20" w:type="dxa"/>
            <w:vAlign w:val="bottom"/>
            <w:tcBorders>
              <w:top w:val="single" w:sz="8" w:color="FDFDFC"/>
            </w:tcBorders>
            <w:shd w:val="clear" w:color="auto" w:fill="FDFDFC"/>
          </w:tcPr>
          <w:p>
            <w:pPr>
              <w:spacing w:after="0"/>
              <w:rPr>
                <w:sz w:val="13"/>
                <w:szCs w:val="13"/>
                <w:color w:val="auto"/>
              </w:rPr>
            </w:pPr>
          </w:p>
        </w:tc>
        <w:tc>
          <w:tcPr>
            <w:tcW w:w="80" w:type="dxa"/>
            <w:vAlign w:val="bottom"/>
            <w:tcBorders>
              <w:top w:val="single" w:sz="8" w:color="FDFDFC"/>
            </w:tcBorders>
            <w:shd w:val="clear" w:color="auto" w:fill="FDFDFC"/>
          </w:tcPr>
          <w:p>
            <w:pPr>
              <w:spacing w:after="0"/>
              <w:rPr>
                <w:sz w:val="13"/>
                <w:szCs w:val="13"/>
                <w:color w:val="auto"/>
              </w:rPr>
            </w:pPr>
          </w:p>
        </w:tc>
        <w:tc>
          <w:tcPr>
            <w:tcW w:w="20" w:type="dxa"/>
            <w:vAlign w:val="bottom"/>
            <w:tcBorders>
              <w:top w:val="single" w:sz="8" w:color="FDFDFC"/>
            </w:tcBorders>
            <w:shd w:val="clear" w:color="auto" w:fill="FDFDFC"/>
          </w:tcPr>
          <w:p>
            <w:pPr>
              <w:spacing w:after="0"/>
              <w:rPr>
                <w:sz w:val="13"/>
                <w:szCs w:val="13"/>
                <w:color w:val="auto"/>
              </w:rPr>
            </w:pPr>
          </w:p>
        </w:tc>
        <w:tc>
          <w:tcPr>
            <w:tcW w:w="20" w:type="dxa"/>
            <w:vAlign w:val="bottom"/>
            <w:tcBorders>
              <w:top w:val="single" w:sz="8" w:color="FDFDFC"/>
            </w:tcBorders>
            <w:shd w:val="clear" w:color="auto" w:fill="FDFDFC"/>
          </w:tcPr>
          <w:p>
            <w:pPr>
              <w:spacing w:after="0"/>
              <w:rPr>
                <w:sz w:val="13"/>
                <w:szCs w:val="13"/>
                <w:color w:val="auto"/>
              </w:rPr>
            </w:pPr>
          </w:p>
        </w:tc>
        <w:tc>
          <w:tcPr>
            <w:tcW w:w="40" w:type="dxa"/>
            <w:vAlign w:val="bottom"/>
            <w:tcBorders>
              <w:top w:val="single" w:sz="8" w:color="FDFDFC"/>
            </w:tcBorders>
            <w:shd w:val="clear" w:color="auto" w:fill="FDFDFC"/>
          </w:tcPr>
          <w:p>
            <w:pPr>
              <w:spacing w:after="0"/>
              <w:rPr>
                <w:sz w:val="13"/>
                <w:szCs w:val="13"/>
                <w:color w:val="auto"/>
              </w:rPr>
            </w:pPr>
          </w:p>
        </w:tc>
        <w:tc>
          <w:tcPr>
            <w:tcW w:w="720" w:type="dxa"/>
            <w:vAlign w:val="bottom"/>
            <w:tcBorders>
              <w:top w:val="single" w:sz="8" w:color="FDFDFC"/>
            </w:tcBorders>
            <w:shd w:val="clear" w:color="auto" w:fill="FDFDFC"/>
          </w:tcPr>
          <w:p>
            <w:pPr>
              <w:spacing w:after="0"/>
              <w:rPr>
                <w:sz w:val="13"/>
                <w:szCs w:val="13"/>
                <w:color w:val="auto"/>
              </w:rPr>
            </w:pPr>
          </w:p>
        </w:tc>
        <w:tc>
          <w:tcPr>
            <w:tcW w:w="100" w:type="dxa"/>
            <w:vAlign w:val="bottom"/>
            <w:tcBorders>
              <w:top w:val="single" w:sz="8" w:color="FDFDFC"/>
            </w:tcBorders>
            <w:shd w:val="clear" w:color="auto" w:fill="FDFDFC"/>
          </w:tcPr>
          <w:p>
            <w:pPr>
              <w:spacing w:after="0"/>
              <w:rPr>
                <w:sz w:val="13"/>
                <w:szCs w:val="13"/>
                <w:color w:val="auto"/>
              </w:rPr>
            </w:pPr>
          </w:p>
        </w:tc>
        <w:tc>
          <w:tcPr>
            <w:tcW w:w="0" w:type="dxa"/>
            <w:vAlign w:val="bottom"/>
          </w:tcPr>
          <w:p>
            <w:pPr>
              <w:spacing w:after="0"/>
              <w:rPr>
                <w:sz w:val="1"/>
                <w:szCs w:val="1"/>
                <w:color w:val="auto"/>
              </w:rPr>
            </w:pPr>
          </w:p>
        </w:tc>
      </w:tr>
      <w:tr>
        <w:trPr>
          <w:trHeight w:val="163"/>
        </w:trPr>
        <w:tc>
          <w:tcPr>
            <w:tcW w:w="3600" w:type="dxa"/>
            <w:vAlign w:val="bottom"/>
            <w:shd w:val="clear" w:color="auto" w:fill="FDFDFC"/>
          </w:tcPr>
          <w:p>
            <w:pPr>
              <w:spacing w:after="0"/>
              <w:rPr>
                <w:sz w:val="14"/>
                <w:szCs w:val="14"/>
                <w:color w:val="auto"/>
              </w:rPr>
            </w:pPr>
          </w:p>
        </w:tc>
        <w:tc>
          <w:tcPr>
            <w:tcW w:w="20" w:type="dxa"/>
            <w:vAlign w:val="bottom"/>
            <w:shd w:val="clear" w:color="auto" w:fill="FDFDFC"/>
          </w:tcPr>
          <w:p>
            <w:pPr>
              <w:spacing w:after="0"/>
              <w:rPr>
                <w:sz w:val="14"/>
                <w:szCs w:val="14"/>
                <w:color w:val="auto"/>
              </w:rPr>
            </w:pPr>
          </w:p>
        </w:tc>
        <w:tc>
          <w:tcPr>
            <w:tcW w:w="860" w:type="dxa"/>
            <w:vAlign w:val="bottom"/>
            <w:shd w:val="clear" w:color="auto" w:fill="FDFDFC"/>
          </w:tcPr>
          <w:p>
            <w:pPr>
              <w:spacing w:after="0"/>
              <w:rPr>
                <w:sz w:val="14"/>
                <w:szCs w:val="14"/>
                <w:color w:val="auto"/>
              </w:rPr>
            </w:pPr>
          </w:p>
        </w:tc>
        <w:tc>
          <w:tcPr>
            <w:tcW w:w="100" w:type="dxa"/>
            <w:vAlign w:val="bottom"/>
            <w:shd w:val="clear" w:color="auto" w:fill="FDFDFC"/>
          </w:tcPr>
          <w:p>
            <w:pPr>
              <w:spacing w:after="0"/>
              <w:rPr>
                <w:sz w:val="14"/>
                <w:szCs w:val="14"/>
                <w:color w:val="auto"/>
              </w:rPr>
            </w:pPr>
          </w:p>
        </w:tc>
        <w:tc>
          <w:tcPr>
            <w:tcW w:w="100" w:type="dxa"/>
            <w:vAlign w:val="bottom"/>
            <w:shd w:val="clear" w:color="auto" w:fill="FDFDFC"/>
          </w:tcPr>
          <w:p>
            <w:pPr>
              <w:spacing w:after="0"/>
              <w:rPr>
                <w:sz w:val="14"/>
                <w:szCs w:val="14"/>
                <w:color w:val="auto"/>
              </w:rPr>
            </w:pPr>
          </w:p>
        </w:tc>
        <w:tc>
          <w:tcPr>
            <w:tcW w:w="20" w:type="dxa"/>
            <w:vAlign w:val="bottom"/>
            <w:shd w:val="clear" w:color="auto" w:fill="FDFDFC"/>
          </w:tcPr>
          <w:p>
            <w:pPr>
              <w:spacing w:after="0"/>
              <w:rPr>
                <w:sz w:val="14"/>
                <w:szCs w:val="14"/>
                <w:color w:val="auto"/>
              </w:rPr>
            </w:pPr>
          </w:p>
        </w:tc>
        <w:tc>
          <w:tcPr>
            <w:tcW w:w="20" w:type="dxa"/>
            <w:vAlign w:val="bottom"/>
            <w:shd w:val="clear" w:color="auto" w:fill="FDFDFC"/>
          </w:tcPr>
          <w:p>
            <w:pPr>
              <w:spacing w:after="0"/>
              <w:rPr>
                <w:sz w:val="14"/>
                <w:szCs w:val="14"/>
                <w:color w:val="auto"/>
              </w:rPr>
            </w:pPr>
          </w:p>
        </w:tc>
        <w:tc>
          <w:tcPr>
            <w:tcW w:w="60" w:type="dxa"/>
            <w:vAlign w:val="bottom"/>
            <w:shd w:val="clear" w:color="auto" w:fill="FDFDFC"/>
          </w:tcPr>
          <w:p>
            <w:pPr>
              <w:spacing w:after="0"/>
              <w:rPr>
                <w:sz w:val="14"/>
                <w:szCs w:val="14"/>
                <w:color w:val="auto"/>
              </w:rPr>
            </w:pPr>
          </w:p>
        </w:tc>
        <w:tc>
          <w:tcPr>
            <w:tcW w:w="420" w:type="dxa"/>
            <w:vAlign w:val="bottom"/>
            <w:vMerge w:val="restart"/>
            <w:shd w:val="clear" w:color="auto" w:fill="FDFDFC"/>
          </w:tcPr>
          <w:p>
            <w:pPr>
              <w:jc w:val="right"/>
              <w:ind w:right="89"/>
              <w:spacing w:after="0"/>
              <w:rPr>
                <w:sz w:val="20"/>
                <w:szCs w:val="20"/>
                <w:color w:val="auto"/>
              </w:rPr>
            </w:pPr>
            <w:r>
              <w:rPr>
                <w:rFonts w:ascii="Times New Roman" w:cs="Times New Roman" w:eastAsia="Times New Roman" w:hAnsi="Times New Roman"/>
                <w:sz w:val="14"/>
                <w:szCs w:val="14"/>
                <w:b w:val="1"/>
                <w:bCs w:val="1"/>
                <w:color w:val="231F20"/>
              </w:rPr>
              <w:t>Par</w:t>
            </w:r>
          </w:p>
        </w:tc>
        <w:tc>
          <w:tcPr>
            <w:tcW w:w="100" w:type="dxa"/>
            <w:vAlign w:val="bottom"/>
            <w:shd w:val="clear" w:color="auto" w:fill="FDFDFC"/>
          </w:tcPr>
          <w:p>
            <w:pPr>
              <w:spacing w:after="0"/>
              <w:rPr>
                <w:sz w:val="14"/>
                <w:szCs w:val="14"/>
                <w:color w:val="auto"/>
              </w:rPr>
            </w:pPr>
          </w:p>
        </w:tc>
        <w:tc>
          <w:tcPr>
            <w:tcW w:w="20" w:type="dxa"/>
            <w:vAlign w:val="bottom"/>
            <w:shd w:val="clear" w:color="auto" w:fill="FDFDFC"/>
          </w:tcPr>
          <w:p>
            <w:pPr>
              <w:spacing w:after="0"/>
              <w:rPr>
                <w:sz w:val="14"/>
                <w:szCs w:val="14"/>
                <w:color w:val="auto"/>
              </w:rPr>
            </w:pPr>
          </w:p>
        </w:tc>
        <w:tc>
          <w:tcPr>
            <w:tcW w:w="80" w:type="dxa"/>
            <w:vAlign w:val="bottom"/>
            <w:shd w:val="clear" w:color="auto" w:fill="FDFDFC"/>
          </w:tcPr>
          <w:p>
            <w:pPr>
              <w:spacing w:after="0"/>
              <w:rPr>
                <w:sz w:val="14"/>
                <w:szCs w:val="14"/>
                <w:color w:val="auto"/>
              </w:rPr>
            </w:pPr>
          </w:p>
        </w:tc>
        <w:tc>
          <w:tcPr>
            <w:tcW w:w="20" w:type="dxa"/>
            <w:vAlign w:val="bottom"/>
            <w:shd w:val="clear" w:color="auto" w:fill="FDFDFC"/>
          </w:tcPr>
          <w:p>
            <w:pPr>
              <w:spacing w:after="0"/>
              <w:rPr>
                <w:sz w:val="14"/>
                <w:szCs w:val="14"/>
                <w:color w:val="auto"/>
              </w:rPr>
            </w:pPr>
          </w:p>
        </w:tc>
        <w:tc>
          <w:tcPr>
            <w:tcW w:w="20" w:type="dxa"/>
            <w:vAlign w:val="bottom"/>
            <w:shd w:val="clear" w:color="auto" w:fill="FDFDFC"/>
          </w:tcPr>
          <w:p>
            <w:pPr>
              <w:spacing w:after="0"/>
              <w:rPr>
                <w:sz w:val="14"/>
                <w:szCs w:val="14"/>
                <w:color w:val="auto"/>
              </w:rPr>
            </w:pPr>
          </w:p>
        </w:tc>
        <w:tc>
          <w:tcPr>
            <w:tcW w:w="660" w:type="dxa"/>
            <w:vAlign w:val="bottom"/>
            <w:shd w:val="clear" w:color="auto" w:fill="FDFDFC"/>
          </w:tcPr>
          <w:p>
            <w:pPr>
              <w:spacing w:after="0"/>
              <w:rPr>
                <w:sz w:val="14"/>
                <w:szCs w:val="14"/>
                <w:color w:val="auto"/>
              </w:rPr>
            </w:pPr>
          </w:p>
        </w:tc>
        <w:tc>
          <w:tcPr>
            <w:tcW w:w="100" w:type="dxa"/>
            <w:vAlign w:val="bottom"/>
            <w:shd w:val="clear" w:color="auto" w:fill="FDFDFC"/>
          </w:tcPr>
          <w:p>
            <w:pPr>
              <w:spacing w:after="0"/>
              <w:rPr>
                <w:sz w:val="14"/>
                <w:szCs w:val="14"/>
                <w:color w:val="auto"/>
              </w:rPr>
            </w:pPr>
          </w:p>
        </w:tc>
        <w:tc>
          <w:tcPr>
            <w:tcW w:w="20" w:type="dxa"/>
            <w:vAlign w:val="bottom"/>
            <w:shd w:val="clear" w:color="auto" w:fill="FDFDFC"/>
          </w:tcPr>
          <w:p>
            <w:pPr>
              <w:spacing w:after="0"/>
              <w:rPr>
                <w:sz w:val="14"/>
                <w:szCs w:val="14"/>
                <w:color w:val="auto"/>
              </w:rPr>
            </w:pPr>
          </w:p>
        </w:tc>
        <w:tc>
          <w:tcPr>
            <w:tcW w:w="80" w:type="dxa"/>
            <w:vAlign w:val="bottom"/>
            <w:shd w:val="clear" w:color="auto" w:fill="FDFDFC"/>
          </w:tcPr>
          <w:p>
            <w:pPr>
              <w:spacing w:after="0"/>
              <w:rPr>
                <w:sz w:val="14"/>
                <w:szCs w:val="14"/>
                <w:color w:val="auto"/>
              </w:rPr>
            </w:pPr>
          </w:p>
        </w:tc>
        <w:tc>
          <w:tcPr>
            <w:tcW w:w="20" w:type="dxa"/>
            <w:vAlign w:val="bottom"/>
            <w:shd w:val="clear" w:color="auto" w:fill="FDFDFC"/>
          </w:tcPr>
          <w:p>
            <w:pPr>
              <w:spacing w:after="0"/>
              <w:rPr>
                <w:sz w:val="14"/>
                <w:szCs w:val="14"/>
                <w:color w:val="auto"/>
              </w:rPr>
            </w:pPr>
          </w:p>
        </w:tc>
        <w:tc>
          <w:tcPr>
            <w:tcW w:w="20" w:type="dxa"/>
            <w:vAlign w:val="bottom"/>
            <w:shd w:val="clear" w:color="auto" w:fill="FDFDFC"/>
          </w:tcPr>
          <w:p>
            <w:pPr>
              <w:spacing w:after="0"/>
              <w:rPr>
                <w:sz w:val="14"/>
                <w:szCs w:val="14"/>
                <w:color w:val="auto"/>
              </w:rPr>
            </w:pPr>
          </w:p>
        </w:tc>
        <w:tc>
          <w:tcPr>
            <w:tcW w:w="60" w:type="dxa"/>
            <w:vAlign w:val="bottom"/>
            <w:shd w:val="clear" w:color="auto" w:fill="FDFDFC"/>
          </w:tcPr>
          <w:p>
            <w:pPr>
              <w:spacing w:after="0"/>
              <w:rPr>
                <w:sz w:val="14"/>
                <w:szCs w:val="14"/>
                <w:color w:val="auto"/>
              </w:rPr>
            </w:pPr>
          </w:p>
        </w:tc>
        <w:tc>
          <w:tcPr>
            <w:tcW w:w="480" w:type="dxa"/>
            <w:vAlign w:val="bottom"/>
            <w:shd w:val="clear" w:color="auto" w:fill="FDFDFC"/>
          </w:tcPr>
          <w:p>
            <w:pPr>
              <w:spacing w:after="0"/>
              <w:rPr>
                <w:sz w:val="14"/>
                <w:szCs w:val="14"/>
                <w:color w:val="auto"/>
              </w:rPr>
            </w:pPr>
          </w:p>
        </w:tc>
        <w:tc>
          <w:tcPr>
            <w:tcW w:w="100" w:type="dxa"/>
            <w:vAlign w:val="bottom"/>
            <w:shd w:val="clear" w:color="auto" w:fill="FDFDFC"/>
          </w:tcPr>
          <w:p>
            <w:pPr>
              <w:spacing w:after="0"/>
              <w:rPr>
                <w:sz w:val="14"/>
                <w:szCs w:val="14"/>
                <w:color w:val="auto"/>
              </w:rPr>
            </w:pPr>
          </w:p>
        </w:tc>
        <w:tc>
          <w:tcPr>
            <w:tcW w:w="20" w:type="dxa"/>
            <w:vAlign w:val="bottom"/>
            <w:shd w:val="clear" w:color="auto" w:fill="FDFDFC"/>
          </w:tcPr>
          <w:p>
            <w:pPr>
              <w:spacing w:after="0"/>
              <w:rPr>
                <w:sz w:val="14"/>
                <w:szCs w:val="14"/>
                <w:color w:val="auto"/>
              </w:rPr>
            </w:pPr>
          </w:p>
        </w:tc>
        <w:tc>
          <w:tcPr>
            <w:tcW w:w="20" w:type="dxa"/>
            <w:vAlign w:val="bottom"/>
            <w:shd w:val="clear" w:color="auto" w:fill="FDFDFC"/>
          </w:tcPr>
          <w:p>
            <w:pPr>
              <w:spacing w:after="0"/>
              <w:rPr>
                <w:sz w:val="14"/>
                <w:szCs w:val="14"/>
                <w:color w:val="auto"/>
              </w:rPr>
            </w:pPr>
          </w:p>
        </w:tc>
        <w:tc>
          <w:tcPr>
            <w:tcW w:w="60" w:type="dxa"/>
            <w:vAlign w:val="bottom"/>
            <w:shd w:val="clear" w:color="auto" w:fill="FDFDFC"/>
          </w:tcPr>
          <w:p>
            <w:pPr>
              <w:spacing w:after="0"/>
              <w:rPr>
                <w:sz w:val="14"/>
                <w:szCs w:val="14"/>
                <w:color w:val="auto"/>
              </w:rPr>
            </w:pPr>
          </w:p>
        </w:tc>
        <w:tc>
          <w:tcPr>
            <w:tcW w:w="140" w:type="dxa"/>
            <w:vAlign w:val="bottom"/>
            <w:shd w:val="clear" w:color="auto" w:fill="FDFDFC"/>
          </w:tcPr>
          <w:p>
            <w:pPr>
              <w:spacing w:after="0"/>
              <w:rPr>
                <w:sz w:val="14"/>
                <w:szCs w:val="14"/>
                <w:color w:val="auto"/>
              </w:rPr>
            </w:pPr>
          </w:p>
        </w:tc>
        <w:tc>
          <w:tcPr>
            <w:tcW w:w="1140" w:type="dxa"/>
            <w:vAlign w:val="bottom"/>
            <w:gridSpan w:val="6"/>
            <w:shd w:val="clear" w:color="auto" w:fill="FDFDFC"/>
          </w:tcPr>
          <w:p>
            <w:pPr>
              <w:jc w:val="center"/>
              <w:ind w:right="420"/>
              <w:spacing w:after="0"/>
              <w:rPr>
                <w:sz w:val="20"/>
                <w:szCs w:val="20"/>
                <w:color w:val="auto"/>
              </w:rPr>
            </w:pPr>
            <w:r>
              <w:rPr>
                <w:rFonts w:ascii="Times New Roman" w:cs="Times New Roman" w:eastAsia="Times New Roman" w:hAnsi="Times New Roman"/>
                <w:sz w:val="14"/>
                <w:szCs w:val="14"/>
                <w:b w:val="1"/>
                <w:bCs w:val="1"/>
                <w:color w:val="231F20"/>
              </w:rPr>
              <w:t>Capital in</w:t>
            </w:r>
          </w:p>
        </w:tc>
        <w:tc>
          <w:tcPr>
            <w:tcW w:w="1020" w:type="dxa"/>
            <w:vAlign w:val="bottom"/>
            <w:gridSpan w:val="7"/>
            <w:vMerge w:val="restart"/>
            <w:shd w:val="clear" w:color="auto" w:fill="FDFDFC"/>
          </w:tcPr>
          <w:p>
            <w:pPr>
              <w:spacing w:after="0"/>
              <w:rPr>
                <w:sz w:val="20"/>
                <w:szCs w:val="20"/>
                <w:color w:val="auto"/>
              </w:rPr>
            </w:pPr>
            <w:r>
              <w:rPr>
                <w:rFonts w:ascii="Times New Roman" w:cs="Times New Roman" w:eastAsia="Times New Roman" w:hAnsi="Times New Roman"/>
                <w:sz w:val="14"/>
                <w:szCs w:val="14"/>
                <w:b w:val="1"/>
                <w:bCs w:val="1"/>
                <w:color w:val="231F20"/>
              </w:rPr>
              <w:t>Distributable</w:t>
            </w:r>
          </w:p>
        </w:tc>
        <w:tc>
          <w:tcPr>
            <w:tcW w:w="40" w:type="dxa"/>
            <w:vAlign w:val="bottom"/>
            <w:shd w:val="clear" w:color="auto" w:fill="FDFDFC"/>
          </w:tcPr>
          <w:p>
            <w:pPr>
              <w:spacing w:after="0"/>
              <w:rPr>
                <w:sz w:val="14"/>
                <w:szCs w:val="14"/>
                <w:color w:val="auto"/>
              </w:rPr>
            </w:pPr>
          </w:p>
        </w:tc>
        <w:tc>
          <w:tcPr>
            <w:tcW w:w="820" w:type="dxa"/>
            <w:vAlign w:val="bottom"/>
            <w:gridSpan w:val="2"/>
            <w:vMerge w:val="restart"/>
            <w:shd w:val="clear" w:color="auto" w:fill="FDFDFC"/>
          </w:tcPr>
          <w:p>
            <w:pPr>
              <w:jc w:val="right"/>
              <w:ind w:right="220"/>
              <w:spacing w:after="0"/>
              <w:rPr>
                <w:sz w:val="20"/>
                <w:szCs w:val="20"/>
                <w:color w:val="auto"/>
              </w:rPr>
            </w:pPr>
            <w:r>
              <w:rPr>
                <w:rFonts w:ascii="Times New Roman" w:cs="Times New Roman" w:eastAsia="Times New Roman" w:hAnsi="Times New Roman"/>
                <w:sz w:val="14"/>
                <w:szCs w:val="14"/>
                <w:b w:val="1"/>
                <w:bCs w:val="1"/>
                <w:color w:val="231F20"/>
              </w:rPr>
              <w:t>Total Net</w:t>
            </w:r>
          </w:p>
        </w:tc>
        <w:tc>
          <w:tcPr>
            <w:tcW w:w="0" w:type="dxa"/>
            <w:vAlign w:val="bottom"/>
          </w:tcPr>
          <w:p>
            <w:pPr>
              <w:spacing w:after="0"/>
              <w:rPr>
                <w:sz w:val="1"/>
                <w:szCs w:val="1"/>
                <w:color w:val="auto"/>
              </w:rPr>
            </w:pPr>
          </w:p>
        </w:tc>
      </w:tr>
      <w:tr>
        <w:trPr>
          <w:trHeight w:val="163"/>
        </w:trPr>
        <w:tc>
          <w:tcPr>
            <w:tcW w:w="3600" w:type="dxa"/>
            <w:vAlign w:val="bottom"/>
            <w:shd w:val="clear" w:color="auto" w:fill="FDFDFC"/>
          </w:tcPr>
          <w:p>
            <w:pPr>
              <w:spacing w:after="0"/>
              <w:rPr>
                <w:sz w:val="14"/>
                <w:szCs w:val="14"/>
                <w:color w:val="auto"/>
              </w:rPr>
            </w:pPr>
          </w:p>
        </w:tc>
        <w:tc>
          <w:tcPr>
            <w:tcW w:w="20" w:type="dxa"/>
            <w:vAlign w:val="bottom"/>
            <w:shd w:val="clear" w:color="auto" w:fill="FDFDFC"/>
          </w:tcPr>
          <w:p>
            <w:pPr>
              <w:spacing w:after="0"/>
              <w:rPr>
                <w:sz w:val="14"/>
                <w:szCs w:val="14"/>
                <w:color w:val="auto"/>
              </w:rPr>
            </w:pPr>
          </w:p>
        </w:tc>
        <w:tc>
          <w:tcPr>
            <w:tcW w:w="860" w:type="dxa"/>
            <w:vAlign w:val="bottom"/>
            <w:vMerge w:val="restart"/>
            <w:shd w:val="clear" w:color="auto" w:fill="FDFDFC"/>
          </w:tcPr>
          <w:p>
            <w:pPr>
              <w:jc w:val="right"/>
              <w:ind w:right="169"/>
              <w:spacing w:after="0"/>
              <w:rPr>
                <w:sz w:val="20"/>
                <w:szCs w:val="20"/>
                <w:color w:val="auto"/>
              </w:rPr>
            </w:pPr>
            <w:r>
              <w:rPr>
                <w:rFonts w:ascii="Times New Roman" w:cs="Times New Roman" w:eastAsia="Times New Roman" w:hAnsi="Times New Roman"/>
                <w:sz w:val="14"/>
                <w:szCs w:val="14"/>
                <w:b w:val="1"/>
                <w:bCs w:val="1"/>
                <w:color w:val="231F20"/>
              </w:rPr>
              <w:t>Shares</w:t>
            </w:r>
          </w:p>
        </w:tc>
        <w:tc>
          <w:tcPr>
            <w:tcW w:w="100" w:type="dxa"/>
            <w:vAlign w:val="bottom"/>
            <w:shd w:val="clear" w:color="auto" w:fill="FDFDFC"/>
          </w:tcPr>
          <w:p>
            <w:pPr>
              <w:spacing w:after="0"/>
              <w:rPr>
                <w:sz w:val="14"/>
                <w:szCs w:val="14"/>
                <w:color w:val="auto"/>
              </w:rPr>
            </w:pPr>
          </w:p>
        </w:tc>
        <w:tc>
          <w:tcPr>
            <w:tcW w:w="100" w:type="dxa"/>
            <w:vAlign w:val="bottom"/>
            <w:shd w:val="clear" w:color="auto" w:fill="FDFDFC"/>
          </w:tcPr>
          <w:p>
            <w:pPr>
              <w:spacing w:after="0"/>
              <w:rPr>
                <w:sz w:val="14"/>
                <w:szCs w:val="14"/>
                <w:color w:val="auto"/>
              </w:rPr>
            </w:pPr>
          </w:p>
        </w:tc>
        <w:tc>
          <w:tcPr>
            <w:tcW w:w="20" w:type="dxa"/>
            <w:vAlign w:val="bottom"/>
            <w:shd w:val="clear" w:color="auto" w:fill="FDFDFC"/>
          </w:tcPr>
          <w:p>
            <w:pPr>
              <w:spacing w:after="0"/>
              <w:rPr>
                <w:sz w:val="14"/>
                <w:szCs w:val="14"/>
                <w:color w:val="auto"/>
              </w:rPr>
            </w:pPr>
          </w:p>
        </w:tc>
        <w:tc>
          <w:tcPr>
            <w:tcW w:w="20" w:type="dxa"/>
            <w:vAlign w:val="bottom"/>
            <w:shd w:val="clear" w:color="auto" w:fill="FDFDFC"/>
          </w:tcPr>
          <w:p>
            <w:pPr>
              <w:spacing w:after="0"/>
              <w:rPr>
                <w:sz w:val="14"/>
                <w:szCs w:val="14"/>
                <w:color w:val="auto"/>
              </w:rPr>
            </w:pPr>
          </w:p>
        </w:tc>
        <w:tc>
          <w:tcPr>
            <w:tcW w:w="60" w:type="dxa"/>
            <w:vAlign w:val="bottom"/>
            <w:shd w:val="clear" w:color="auto" w:fill="FDFDFC"/>
          </w:tcPr>
          <w:p>
            <w:pPr>
              <w:spacing w:after="0"/>
              <w:rPr>
                <w:sz w:val="14"/>
                <w:szCs w:val="14"/>
                <w:color w:val="auto"/>
              </w:rPr>
            </w:pPr>
          </w:p>
        </w:tc>
        <w:tc>
          <w:tcPr>
            <w:tcW w:w="420" w:type="dxa"/>
            <w:vAlign w:val="bottom"/>
            <w:vMerge w:val="continue"/>
            <w:shd w:val="clear" w:color="auto" w:fill="FDFDFC"/>
          </w:tcPr>
          <w:p>
            <w:pPr>
              <w:spacing w:after="0"/>
              <w:rPr>
                <w:sz w:val="14"/>
                <w:szCs w:val="14"/>
                <w:color w:val="auto"/>
              </w:rPr>
            </w:pPr>
          </w:p>
        </w:tc>
        <w:tc>
          <w:tcPr>
            <w:tcW w:w="100" w:type="dxa"/>
            <w:vAlign w:val="bottom"/>
            <w:shd w:val="clear" w:color="auto" w:fill="FDFDFC"/>
          </w:tcPr>
          <w:p>
            <w:pPr>
              <w:spacing w:after="0"/>
              <w:rPr>
                <w:sz w:val="14"/>
                <w:szCs w:val="14"/>
                <w:color w:val="auto"/>
              </w:rPr>
            </w:pPr>
          </w:p>
        </w:tc>
        <w:tc>
          <w:tcPr>
            <w:tcW w:w="20" w:type="dxa"/>
            <w:vAlign w:val="bottom"/>
            <w:shd w:val="clear" w:color="auto" w:fill="FDFDFC"/>
          </w:tcPr>
          <w:p>
            <w:pPr>
              <w:spacing w:after="0"/>
              <w:rPr>
                <w:sz w:val="14"/>
                <w:szCs w:val="14"/>
                <w:color w:val="auto"/>
              </w:rPr>
            </w:pPr>
          </w:p>
        </w:tc>
        <w:tc>
          <w:tcPr>
            <w:tcW w:w="80" w:type="dxa"/>
            <w:vAlign w:val="bottom"/>
            <w:shd w:val="clear" w:color="auto" w:fill="FDFDFC"/>
          </w:tcPr>
          <w:p>
            <w:pPr>
              <w:spacing w:after="0"/>
              <w:rPr>
                <w:sz w:val="14"/>
                <w:szCs w:val="14"/>
                <w:color w:val="auto"/>
              </w:rPr>
            </w:pPr>
          </w:p>
        </w:tc>
        <w:tc>
          <w:tcPr>
            <w:tcW w:w="20" w:type="dxa"/>
            <w:vAlign w:val="bottom"/>
            <w:shd w:val="clear" w:color="auto" w:fill="FDFDFC"/>
          </w:tcPr>
          <w:p>
            <w:pPr>
              <w:spacing w:after="0"/>
              <w:rPr>
                <w:sz w:val="14"/>
                <w:szCs w:val="14"/>
                <w:color w:val="auto"/>
              </w:rPr>
            </w:pPr>
          </w:p>
        </w:tc>
        <w:tc>
          <w:tcPr>
            <w:tcW w:w="20" w:type="dxa"/>
            <w:vAlign w:val="bottom"/>
            <w:shd w:val="clear" w:color="auto" w:fill="FDFDFC"/>
          </w:tcPr>
          <w:p>
            <w:pPr>
              <w:spacing w:after="0"/>
              <w:rPr>
                <w:sz w:val="14"/>
                <w:szCs w:val="14"/>
                <w:color w:val="auto"/>
              </w:rPr>
            </w:pPr>
          </w:p>
        </w:tc>
        <w:tc>
          <w:tcPr>
            <w:tcW w:w="660" w:type="dxa"/>
            <w:vAlign w:val="bottom"/>
            <w:vMerge w:val="restart"/>
            <w:shd w:val="clear" w:color="auto" w:fill="FDFDFC"/>
          </w:tcPr>
          <w:p>
            <w:pPr>
              <w:jc w:val="right"/>
              <w:ind w:right="89"/>
              <w:spacing w:after="0"/>
              <w:rPr>
                <w:sz w:val="20"/>
                <w:szCs w:val="20"/>
                <w:color w:val="auto"/>
              </w:rPr>
            </w:pPr>
            <w:r>
              <w:rPr>
                <w:rFonts w:ascii="Times New Roman" w:cs="Times New Roman" w:eastAsia="Times New Roman" w:hAnsi="Times New Roman"/>
                <w:sz w:val="14"/>
                <w:szCs w:val="14"/>
                <w:b w:val="1"/>
                <w:bCs w:val="1"/>
                <w:color w:val="231F20"/>
              </w:rPr>
              <w:t>Shares</w:t>
            </w:r>
          </w:p>
        </w:tc>
        <w:tc>
          <w:tcPr>
            <w:tcW w:w="100" w:type="dxa"/>
            <w:vAlign w:val="bottom"/>
            <w:shd w:val="clear" w:color="auto" w:fill="FDFDFC"/>
          </w:tcPr>
          <w:p>
            <w:pPr>
              <w:spacing w:after="0"/>
              <w:rPr>
                <w:sz w:val="14"/>
                <w:szCs w:val="14"/>
                <w:color w:val="auto"/>
              </w:rPr>
            </w:pPr>
          </w:p>
        </w:tc>
        <w:tc>
          <w:tcPr>
            <w:tcW w:w="20" w:type="dxa"/>
            <w:vAlign w:val="bottom"/>
            <w:shd w:val="clear" w:color="auto" w:fill="FDFDFC"/>
          </w:tcPr>
          <w:p>
            <w:pPr>
              <w:spacing w:after="0"/>
              <w:rPr>
                <w:sz w:val="14"/>
                <w:szCs w:val="14"/>
                <w:color w:val="auto"/>
              </w:rPr>
            </w:pPr>
          </w:p>
        </w:tc>
        <w:tc>
          <w:tcPr>
            <w:tcW w:w="80" w:type="dxa"/>
            <w:vAlign w:val="bottom"/>
            <w:shd w:val="clear" w:color="auto" w:fill="FDFDFC"/>
          </w:tcPr>
          <w:p>
            <w:pPr>
              <w:spacing w:after="0"/>
              <w:rPr>
                <w:sz w:val="14"/>
                <w:szCs w:val="14"/>
                <w:color w:val="auto"/>
              </w:rPr>
            </w:pPr>
          </w:p>
        </w:tc>
        <w:tc>
          <w:tcPr>
            <w:tcW w:w="20" w:type="dxa"/>
            <w:vAlign w:val="bottom"/>
            <w:shd w:val="clear" w:color="auto" w:fill="FDFDFC"/>
          </w:tcPr>
          <w:p>
            <w:pPr>
              <w:spacing w:after="0"/>
              <w:rPr>
                <w:sz w:val="14"/>
                <w:szCs w:val="14"/>
                <w:color w:val="auto"/>
              </w:rPr>
            </w:pPr>
          </w:p>
        </w:tc>
        <w:tc>
          <w:tcPr>
            <w:tcW w:w="20" w:type="dxa"/>
            <w:vAlign w:val="bottom"/>
            <w:shd w:val="clear" w:color="auto" w:fill="FDFDFC"/>
          </w:tcPr>
          <w:p>
            <w:pPr>
              <w:spacing w:after="0"/>
              <w:rPr>
                <w:sz w:val="14"/>
                <w:szCs w:val="14"/>
                <w:color w:val="auto"/>
              </w:rPr>
            </w:pPr>
          </w:p>
        </w:tc>
        <w:tc>
          <w:tcPr>
            <w:tcW w:w="60" w:type="dxa"/>
            <w:vAlign w:val="bottom"/>
            <w:shd w:val="clear" w:color="auto" w:fill="FDFDFC"/>
          </w:tcPr>
          <w:p>
            <w:pPr>
              <w:spacing w:after="0"/>
              <w:rPr>
                <w:sz w:val="14"/>
                <w:szCs w:val="14"/>
                <w:color w:val="auto"/>
              </w:rPr>
            </w:pPr>
          </w:p>
        </w:tc>
        <w:tc>
          <w:tcPr>
            <w:tcW w:w="480" w:type="dxa"/>
            <w:vAlign w:val="bottom"/>
            <w:vMerge w:val="restart"/>
            <w:shd w:val="clear" w:color="auto" w:fill="FDFDFC"/>
          </w:tcPr>
          <w:p>
            <w:pPr>
              <w:jc w:val="right"/>
              <w:ind w:right="89"/>
              <w:spacing w:after="0"/>
              <w:rPr>
                <w:sz w:val="20"/>
                <w:szCs w:val="20"/>
                <w:color w:val="auto"/>
              </w:rPr>
            </w:pPr>
            <w:r>
              <w:rPr>
                <w:rFonts w:ascii="Times New Roman" w:cs="Times New Roman" w:eastAsia="Times New Roman" w:hAnsi="Times New Roman"/>
                <w:sz w:val="14"/>
                <w:szCs w:val="14"/>
                <w:b w:val="1"/>
                <w:bCs w:val="1"/>
                <w:color w:val="231F20"/>
              </w:rPr>
              <w:t>Cost</w:t>
            </w:r>
          </w:p>
        </w:tc>
        <w:tc>
          <w:tcPr>
            <w:tcW w:w="100" w:type="dxa"/>
            <w:vAlign w:val="bottom"/>
            <w:shd w:val="clear" w:color="auto" w:fill="FDFDFC"/>
          </w:tcPr>
          <w:p>
            <w:pPr>
              <w:spacing w:after="0"/>
              <w:rPr>
                <w:sz w:val="14"/>
                <w:szCs w:val="14"/>
                <w:color w:val="auto"/>
              </w:rPr>
            </w:pPr>
          </w:p>
        </w:tc>
        <w:tc>
          <w:tcPr>
            <w:tcW w:w="20" w:type="dxa"/>
            <w:vAlign w:val="bottom"/>
            <w:shd w:val="clear" w:color="auto" w:fill="FDFDFC"/>
          </w:tcPr>
          <w:p>
            <w:pPr>
              <w:spacing w:after="0"/>
              <w:rPr>
                <w:sz w:val="14"/>
                <w:szCs w:val="14"/>
                <w:color w:val="auto"/>
              </w:rPr>
            </w:pPr>
          </w:p>
        </w:tc>
        <w:tc>
          <w:tcPr>
            <w:tcW w:w="20" w:type="dxa"/>
            <w:vAlign w:val="bottom"/>
            <w:shd w:val="clear" w:color="auto" w:fill="FDFDFC"/>
          </w:tcPr>
          <w:p>
            <w:pPr>
              <w:spacing w:after="0"/>
              <w:rPr>
                <w:sz w:val="14"/>
                <w:szCs w:val="14"/>
                <w:color w:val="auto"/>
              </w:rPr>
            </w:pPr>
          </w:p>
        </w:tc>
        <w:tc>
          <w:tcPr>
            <w:tcW w:w="60" w:type="dxa"/>
            <w:vAlign w:val="bottom"/>
            <w:shd w:val="clear" w:color="auto" w:fill="FDFDFC"/>
          </w:tcPr>
          <w:p>
            <w:pPr>
              <w:spacing w:after="0"/>
              <w:rPr>
                <w:sz w:val="14"/>
                <w:szCs w:val="14"/>
                <w:color w:val="auto"/>
              </w:rPr>
            </w:pPr>
          </w:p>
        </w:tc>
        <w:tc>
          <w:tcPr>
            <w:tcW w:w="140" w:type="dxa"/>
            <w:vAlign w:val="bottom"/>
            <w:shd w:val="clear" w:color="auto" w:fill="FDFDFC"/>
          </w:tcPr>
          <w:p>
            <w:pPr>
              <w:spacing w:after="0"/>
              <w:rPr>
                <w:sz w:val="14"/>
                <w:szCs w:val="14"/>
                <w:color w:val="auto"/>
              </w:rPr>
            </w:pPr>
          </w:p>
        </w:tc>
        <w:tc>
          <w:tcPr>
            <w:tcW w:w="1140" w:type="dxa"/>
            <w:vAlign w:val="bottom"/>
            <w:gridSpan w:val="6"/>
            <w:shd w:val="clear" w:color="auto" w:fill="FDFDFC"/>
          </w:tcPr>
          <w:p>
            <w:pPr>
              <w:jc w:val="center"/>
              <w:ind w:right="420"/>
              <w:spacing w:after="0"/>
              <w:rPr>
                <w:sz w:val="20"/>
                <w:szCs w:val="20"/>
                <w:color w:val="auto"/>
              </w:rPr>
            </w:pPr>
            <w:r>
              <w:rPr>
                <w:rFonts w:ascii="Times New Roman" w:cs="Times New Roman" w:eastAsia="Times New Roman" w:hAnsi="Times New Roman"/>
                <w:sz w:val="14"/>
                <w:szCs w:val="14"/>
                <w:b w:val="1"/>
                <w:bCs w:val="1"/>
                <w:color w:val="231F20"/>
              </w:rPr>
              <w:t>Excess</w:t>
            </w:r>
          </w:p>
        </w:tc>
        <w:tc>
          <w:tcPr>
            <w:tcW w:w="1020" w:type="dxa"/>
            <w:vAlign w:val="bottom"/>
            <w:gridSpan w:val="7"/>
            <w:vMerge w:val="continue"/>
            <w:shd w:val="clear" w:color="auto" w:fill="FDFDFC"/>
          </w:tcPr>
          <w:p>
            <w:pPr>
              <w:spacing w:after="0"/>
              <w:rPr>
                <w:sz w:val="14"/>
                <w:szCs w:val="14"/>
                <w:color w:val="auto"/>
              </w:rPr>
            </w:pPr>
          </w:p>
        </w:tc>
        <w:tc>
          <w:tcPr>
            <w:tcW w:w="40" w:type="dxa"/>
            <w:vAlign w:val="bottom"/>
            <w:shd w:val="clear" w:color="auto" w:fill="FDFDFC"/>
          </w:tcPr>
          <w:p>
            <w:pPr>
              <w:spacing w:after="0"/>
              <w:rPr>
                <w:sz w:val="14"/>
                <w:szCs w:val="14"/>
                <w:color w:val="auto"/>
              </w:rPr>
            </w:pPr>
          </w:p>
        </w:tc>
        <w:tc>
          <w:tcPr>
            <w:tcW w:w="820" w:type="dxa"/>
            <w:vAlign w:val="bottom"/>
            <w:gridSpan w:val="2"/>
            <w:vMerge w:val="continue"/>
            <w:shd w:val="clear" w:color="auto" w:fill="FDFDFC"/>
          </w:tcPr>
          <w:p>
            <w:pPr>
              <w:spacing w:after="0"/>
              <w:rPr>
                <w:sz w:val="14"/>
                <w:szCs w:val="14"/>
                <w:color w:val="auto"/>
              </w:rPr>
            </w:pPr>
          </w:p>
        </w:tc>
        <w:tc>
          <w:tcPr>
            <w:tcW w:w="0" w:type="dxa"/>
            <w:vAlign w:val="bottom"/>
          </w:tcPr>
          <w:p>
            <w:pPr>
              <w:spacing w:after="0"/>
              <w:rPr>
                <w:sz w:val="1"/>
                <w:szCs w:val="1"/>
                <w:color w:val="auto"/>
              </w:rPr>
            </w:pPr>
          </w:p>
        </w:tc>
      </w:tr>
      <w:tr>
        <w:trPr>
          <w:trHeight w:val="179"/>
        </w:trPr>
        <w:tc>
          <w:tcPr>
            <w:tcW w:w="3600" w:type="dxa"/>
            <w:vAlign w:val="bottom"/>
            <w:shd w:val="clear" w:color="auto" w:fill="FDFDFC"/>
          </w:tcPr>
          <w:p>
            <w:pPr>
              <w:spacing w:after="0"/>
              <w:rPr>
                <w:sz w:val="15"/>
                <w:szCs w:val="15"/>
                <w:color w:val="auto"/>
              </w:rPr>
            </w:pPr>
          </w:p>
        </w:tc>
        <w:tc>
          <w:tcPr>
            <w:tcW w:w="20" w:type="dxa"/>
            <w:vAlign w:val="bottom"/>
            <w:shd w:val="clear" w:color="auto" w:fill="FDFDFC"/>
          </w:tcPr>
          <w:p>
            <w:pPr>
              <w:spacing w:after="0"/>
              <w:rPr>
                <w:sz w:val="15"/>
                <w:szCs w:val="15"/>
                <w:color w:val="auto"/>
              </w:rPr>
            </w:pPr>
          </w:p>
        </w:tc>
        <w:tc>
          <w:tcPr>
            <w:tcW w:w="860" w:type="dxa"/>
            <w:vAlign w:val="bottom"/>
            <w:vMerge w:val="continue"/>
            <w:shd w:val="clear" w:color="auto" w:fill="FDFDFC"/>
          </w:tcPr>
          <w:p>
            <w:pPr>
              <w:spacing w:after="0"/>
              <w:rPr>
                <w:sz w:val="15"/>
                <w:szCs w:val="15"/>
                <w:color w:val="auto"/>
              </w:rPr>
            </w:pPr>
          </w:p>
        </w:tc>
        <w:tc>
          <w:tcPr>
            <w:tcW w:w="100" w:type="dxa"/>
            <w:vAlign w:val="bottom"/>
            <w:shd w:val="clear" w:color="auto" w:fill="FDFDFC"/>
          </w:tcPr>
          <w:p>
            <w:pPr>
              <w:spacing w:after="0"/>
              <w:rPr>
                <w:sz w:val="15"/>
                <w:szCs w:val="15"/>
                <w:color w:val="auto"/>
              </w:rPr>
            </w:pPr>
          </w:p>
        </w:tc>
        <w:tc>
          <w:tcPr>
            <w:tcW w:w="100" w:type="dxa"/>
            <w:vAlign w:val="bottom"/>
            <w:shd w:val="clear" w:color="auto" w:fill="FDFDFC"/>
          </w:tcPr>
          <w:p>
            <w:pPr>
              <w:spacing w:after="0"/>
              <w:rPr>
                <w:sz w:val="15"/>
                <w:szCs w:val="15"/>
                <w:color w:val="auto"/>
              </w:rPr>
            </w:pPr>
          </w:p>
        </w:tc>
        <w:tc>
          <w:tcPr>
            <w:tcW w:w="20" w:type="dxa"/>
            <w:vAlign w:val="bottom"/>
            <w:shd w:val="clear" w:color="auto" w:fill="FDFDFC"/>
          </w:tcPr>
          <w:p>
            <w:pPr>
              <w:spacing w:after="0"/>
              <w:rPr>
                <w:sz w:val="15"/>
                <w:szCs w:val="15"/>
                <w:color w:val="auto"/>
              </w:rPr>
            </w:pPr>
          </w:p>
        </w:tc>
        <w:tc>
          <w:tcPr>
            <w:tcW w:w="20" w:type="dxa"/>
            <w:vAlign w:val="bottom"/>
            <w:shd w:val="clear" w:color="auto" w:fill="FDFDFC"/>
          </w:tcPr>
          <w:p>
            <w:pPr>
              <w:spacing w:after="0"/>
              <w:rPr>
                <w:sz w:val="15"/>
                <w:szCs w:val="15"/>
                <w:color w:val="auto"/>
              </w:rPr>
            </w:pPr>
          </w:p>
        </w:tc>
        <w:tc>
          <w:tcPr>
            <w:tcW w:w="480" w:type="dxa"/>
            <w:vAlign w:val="bottom"/>
            <w:gridSpan w:val="2"/>
            <w:shd w:val="clear" w:color="auto" w:fill="FDFDFC"/>
          </w:tcPr>
          <w:p>
            <w:pPr>
              <w:spacing w:after="0"/>
              <w:rPr>
                <w:sz w:val="20"/>
                <w:szCs w:val="20"/>
                <w:color w:val="auto"/>
              </w:rPr>
            </w:pPr>
            <w:r>
              <w:rPr>
                <w:rFonts w:ascii="Times New Roman" w:cs="Times New Roman" w:eastAsia="Times New Roman" w:hAnsi="Times New Roman"/>
                <w:sz w:val="14"/>
                <w:szCs w:val="14"/>
                <w:b w:val="1"/>
                <w:bCs w:val="1"/>
                <w:color w:val="231F20"/>
                <w:w w:val="93"/>
              </w:rPr>
              <w:t>Amount</w:t>
            </w:r>
          </w:p>
        </w:tc>
        <w:tc>
          <w:tcPr>
            <w:tcW w:w="100" w:type="dxa"/>
            <w:vAlign w:val="bottom"/>
            <w:shd w:val="clear" w:color="auto" w:fill="FDFDFC"/>
          </w:tcPr>
          <w:p>
            <w:pPr>
              <w:spacing w:after="0"/>
              <w:rPr>
                <w:sz w:val="15"/>
                <w:szCs w:val="15"/>
                <w:color w:val="auto"/>
              </w:rPr>
            </w:pPr>
          </w:p>
        </w:tc>
        <w:tc>
          <w:tcPr>
            <w:tcW w:w="20" w:type="dxa"/>
            <w:vAlign w:val="bottom"/>
            <w:shd w:val="clear" w:color="auto" w:fill="FDFDFC"/>
          </w:tcPr>
          <w:p>
            <w:pPr>
              <w:spacing w:after="0"/>
              <w:rPr>
                <w:sz w:val="15"/>
                <w:szCs w:val="15"/>
                <w:color w:val="auto"/>
              </w:rPr>
            </w:pPr>
          </w:p>
        </w:tc>
        <w:tc>
          <w:tcPr>
            <w:tcW w:w="80" w:type="dxa"/>
            <w:vAlign w:val="bottom"/>
            <w:shd w:val="clear" w:color="auto" w:fill="FDFDFC"/>
          </w:tcPr>
          <w:p>
            <w:pPr>
              <w:spacing w:after="0"/>
              <w:rPr>
                <w:sz w:val="15"/>
                <w:szCs w:val="15"/>
                <w:color w:val="auto"/>
              </w:rPr>
            </w:pPr>
          </w:p>
        </w:tc>
        <w:tc>
          <w:tcPr>
            <w:tcW w:w="20" w:type="dxa"/>
            <w:vAlign w:val="bottom"/>
            <w:shd w:val="clear" w:color="auto" w:fill="FDFDFC"/>
          </w:tcPr>
          <w:p>
            <w:pPr>
              <w:spacing w:after="0"/>
              <w:rPr>
                <w:sz w:val="15"/>
                <w:szCs w:val="15"/>
                <w:color w:val="auto"/>
              </w:rPr>
            </w:pPr>
          </w:p>
        </w:tc>
        <w:tc>
          <w:tcPr>
            <w:tcW w:w="20" w:type="dxa"/>
            <w:vAlign w:val="bottom"/>
            <w:shd w:val="clear" w:color="auto" w:fill="FDFDFC"/>
          </w:tcPr>
          <w:p>
            <w:pPr>
              <w:spacing w:after="0"/>
              <w:rPr>
                <w:sz w:val="15"/>
                <w:szCs w:val="15"/>
                <w:color w:val="auto"/>
              </w:rPr>
            </w:pPr>
          </w:p>
        </w:tc>
        <w:tc>
          <w:tcPr>
            <w:tcW w:w="660" w:type="dxa"/>
            <w:vAlign w:val="bottom"/>
            <w:vMerge w:val="continue"/>
            <w:shd w:val="clear" w:color="auto" w:fill="FDFDFC"/>
          </w:tcPr>
          <w:p>
            <w:pPr>
              <w:spacing w:after="0"/>
              <w:rPr>
                <w:sz w:val="15"/>
                <w:szCs w:val="15"/>
                <w:color w:val="auto"/>
              </w:rPr>
            </w:pPr>
          </w:p>
        </w:tc>
        <w:tc>
          <w:tcPr>
            <w:tcW w:w="100" w:type="dxa"/>
            <w:vAlign w:val="bottom"/>
            <w:shd w:val="clear" w:color="auto" w:fill="FDFDFC"/>
          </w:tcPr>
          <w:p>
            <w:pPr>
              <w:spacing w:after="0"/>
              <w:rPr>
                <w:sz w:val="15"/>
                <w:szCs w:val="15"/>
                <w:color w:val="auto"/>
              </w:rPr>
            </w:pPr>
          </w:p>
        </w:tc>
        <w:tc>
          <w:tcPr>
            <w:tcW w:w="20" w:type="dxa"/>
            <w:vAlign w:val="bottom"/>
            <w:shd w:val="clear" w:color="auto" w:fill="FDFDFC"/>
          </w:tcPr>
          <w:p>
            <w:pPr>
              <w:spacing w:after="0"/>
              <w:rPr>
                <w:sz w:val="15"/>
                <w:szCs w:val="15"/>
                <w:color w:val="auto"/>
              </w:rPr>
            </w:pPr>
          </w:p>
        </w:tc>
        <w:tc>
          <w:tcPr>
            <w:tcW w:w="80" w:type="dxa"/>
            <w:vAlign w:val="bottom"/>
            <w:shd w:val="clear" w:color="auto" w:fill="FDFDFC"/>
          </w:tcPr>
          <w:p>
            <w:pPr>
              <w:spacing w:after="0"/>
              <w:rPr>
                <w:sz w:val="15"/>
                <w:szCs w:val="15"/>
                <w:color w:val="auto"/>
              </w:rPr>
            </w:pPr>
          </w:p>
        </w:tc>
        <w:tc>
          <w:tcPr>
            <w:tcW w:w="20" w:type="dxa"/>
            <w:vAlign w:val="bottom"/>
            <w:shd w:val="clear" w:color="auto" w:fill="FDFDFC"/>
          </w:tcPr>
          <w:p>
            <w:pPr>
              <w:spacing w:after="0"/>
              <w:rPr>
                <w:sz w:val="15"/>
                <w:szCs w:val="15"/>
                <w:color w:val="auto"/>
              </w:rPr>
            </w:pPr>
          </w:p>
        </w:tc>
        <w:tc>
          <w:tcPr>
            <w:tcW w:w="20" w:type="dxa"/>
            <w:vAlign w:val="bottom"/>
            <w:shd w:val="clear" w:color="auto" w:fill="FDFDFC"/>
          </w:tcPr>
          <w:p>
            <w:pPr>
              <w:spacing w:after="0"/>
              <w:rPr>
                <w:sz w:val="15"/>
                <w:szCs w:val="15"/>
                <w:color w:val="auto"/>
              </w:rPr>
            </w:pPr>
          </w:p>
        </w:tc>
        <w:tc>
          <w:tcPr>
            <w:tcW w:w="60" w:type="dxa"/>
            <w:vAlign w:val="bottom"/>
            <w:shd w:val="clear" w:color="auto" w:fill="FDFDFC"/>
          </w:tcPr>
          <w:p>
            <w:pPr>
              <w:spacing w:after="0"/>
              <w:rPr>
                <w:sz w:val="15"/>
                <w:szCs w:val="15"/>
                <w:color w:val="auto"/>
              </w:rPr>
            </w:pPr>
          </w:p>
        </w:tc>
        <w:tc>
          <w:tcPr>
            <w:tcW w:w="480" w:type="dxa"/>
            <w:vAlign w:val="bottom"/>
            <w:vMerge w:val="continue"/>
            <w:shd w:val="clear" w:color="auto" w:fill="FDFDFC"/>
          </w:tcPr>
          <w:p>
            <w:pPr>
              <w:spacing w:after="0"/>
              <w:rPr>
                <w:sz w:val="15"/>
                <w:szCs w:val="15"/>
                <w:color w:val="auto"/>
              </w:rPr>
            </w:pPr>
          </w:p>
        </w:tc>
        <w:tc>
          <w:tcPr>
            <w:tcW w:w="100" w:type="dxa"/>
            <w:vAlign w:val="bottom"/>
            <w:shd w:val="clear" w:color="auto" w:fill="FDFDFC"/>
          </w:tcPr>
          <w:p>
            <w:pPr>
              <w:spacing w:after="0"/>
              <w:rPr>
                <w:sz w:val="15"/>
                <w:szCs w:val="15"/>
                <w:color w:val="auto"/>
              </w:rPr>
            </w:pPr>
          </w:p>
        </w:tc>
        <w:tc>
          <w:tcPr>
            <w:tcW w:w="20" w:type="dxa"/>
            <w:vAlign w:val="bottom"/>
            <w:shd w:val="clear" w:color="auto" w:fill="FDFDFC"/>
          </w:tcPr>
          <w:p>
            <w:pPr>
              <w:spacing w:after="0"/>
              <w:rPr>
                <w:sz w:val="15"/>
                <w:szCs w:val="15"/>
                <w:color w:val="auto"/>
              </w:rPr>
            </w:pPr>
          </w:p>
        </w:tc>
        <w:tc>
          <w:tcPr>
            <w:tcW w:w="20" w:type="dxa"/>
            <w:vAlign w:val="bottom"/>
            <w:shd w:val="clear" w:color="auto" w:fill="FDFDFC"/>
          </w:tcPr>
          <w:p>
            <w:pPr>
              <w:spacing w:after="0"/>
              <w:rPr>
                <w:sz w:val="15"/>
                <w:szCs w:val="15"/>
                <w:color w:val="auto"/>
              </w:rPr>
            </w:pPr>
          </w:p>
        </w:tc>
        <w:tc>
          <w:tcPr>
            <w:tcW w:w="60" w:type="dxa"/>
            <w:vAlign w:val="bottom"/>
            <w:shd w:val="clear" w:color="auto" w:fill="FDFDFC"/>
          </w:tcPr>
          <w:p>
            <w:pPr>
              <w:spacing w:after="0"/>
              <w:rPr>
                <w:sz w:val="15"/>
                <w:szCs w:val="15"/>
                <w:color w:val="auto"/>
              </w:rPr>
            </w:pPr>
          </w:p>
        </w:tc>
        <w:tc>
          <w:tcPr>
            <w:tcW w:w="140" w:type="dxa"/>
            <w:vAlign w:val="bottom"/>
            <w:shd w:val="clear" w:color="auto" w:fill="FDFDFC"/>
          </w:tcPr>
          <w:p>
            <w:pPr>
              <w:spacing w:after="0"/>
              <w:rPr>
                <w:sz w:val="15"/>
                <w:szCs w:val="15"/>
                <w:color w:val="auto"/>
              </w:rPr>
            </w:pPr>
          </w:p>
        </w:tc>
        <w:tc>
          <w:tcPr>
            <w:tcW w:w="1140" w:type="dxa"/>
            <w:vAlign w:val="bottom"/>
            <w:gridSpan w:val="6"/>
            <w:shd w:val="clear" w:color="auto" w:fill="FDFDFC"/>
          </w:tcPr>
          <w:p>
            <w:pPr>
              <w:jc w:val="center"/>
              <w:ind w:right="400"/>
              <w:spacing w:after="0"/>
              <w:rPr>
                <w:sz w:val="20"/>
                <w:szCs w:val="20"/>
                <w:color w:val="auto"/>
              </w:rPr>
            </w:pPr>
            <w:r>
              <w:rPr>
                <w:rFonts w:ascii="Times New Roman" w:cs="Times New Roman" w:eastAsia="Times New Roman" w:hAnsi="Times New Roman"/>
                <w:sz w:val="14"/>
                <w:szCs w:val="14"/>
                <w:b w:val="1"/>
                <w:bCs w:val="1"/>
                <w:color w:val="231F20"/>
              </w:rPr>
              <w:t>of Par</w:t>
            </w:r>
          </w:p>
        </w:tc>
        <w:tc>
          <w:tcPr>
            <w:tcW w:w="60" w:type="dxa"/>
            <w:vAlign w:val="bottom"/>
            <w:shd w:val="clear" w:color="auto" w:fill="FDFDFC"/>
          </w:tcPr>
          <w:p>
            <w:pPr>
              <w:spacing w:after="0"/>
              <w:rPr>
                <w:sz w:val="15"/>
                <w:szCs w:val="15"/>
                <w:color w:val="auto"/>
              </w:rPr>
            </w:pPr>
          </w:p>
        </w:tc>
        <w:tc>
          <w:tcPr>
            <w:tcW w:w="960" w:type="dxa"/>
            <w:vAlign w:val="bottom"/>
            <w:gridSpan w:val="6"/>
            <w:shd w:val="clear" w:color="auto" w:fill="FDFDFC"/>
          </w:tcPr>
          <w:p>
            <w:pPr>
              <w:ind w:left="20"/>
              <w:spacing w:after="0"/>
              <w:rPr>
                <w:sz w:val="20"/>
                <w:szCs w:val="20"/>
                <w:color w:val="auto"/>
              </w:rPr>
            </w:pPr>
            <w:r>
              <w:rPr>
                <w:rFonts w:ascii="Times New Roman" w:cs="Times New Roman" w:eastAsia="Times New Roman" w:hAnsi="Times New Roman"/>
                <w:sz w:val="14"/>
                <w:szCs w:val="14"/>
                <w:b w:val="1"/>
                <w:bCs w:val="1"/>
                <w:color w:val="231F20"/>
              </w:rPr>
              <w:t>Earnings</w:t>
            </w:r>
          </w:p>
        </w:tc>
        <w:tc>
          <w:tcPr>
            <w:tcW w:w="40" w:type="dxa"/>
            <w:vAlign w:val="bottom"/>
            <w:shd w:val="clear" w:color="auto" w:fill="FDFDFC"/>
          </w:tcPr>
          <w:p>
            <w:pPr>
              <w:spacing w:after="0"/>
              <w:rPr>
                <w:sz w:val="15"/>
                <w:szCs w:val="15"/>
                <w:color w:val="auto"/>
              </w:rPr>
            </w:pPr>
          </w:p>
        </w:tc>
        <w:tc>
          <w:tcPr>
            <w:tcW w:w="820" w:type="dxa"/>
            <w:vAlign w:val="bottom"/>
            <w:gridSpan w:val="2"/>
            <w:shd w:val="clear" w:color="auto" w:fill="FDFDFC"/>
          </w:tcPr>
          <w:p>
            <w:pPr>
              <w:jc w:val="right"/>
              <w:ind w:right="320"/>
              <w:spacing w:after="0"/>
              <w:rPr>
                <w:sz w:val="20"/>
                <w:szCs w:val="20"/>
                <w:color w:val="auto"/>
              </w:rPr>
            </w:pPr>
            <w:r>
              <w:rPr>
                <w:rFonts w:ascii="Times New Roman" w:cs="Times New Roman" w:eastAsia="Times New Roman" w:hAnsi="Times New Roman"/>
                <w:sz w:val="14"/>
                <w:szCs w:val="14"/>
                <w:b w:val="1"/>
                <w:bCs w:val="1"/>
                <w:color w:val="231F20"/>
              </w:rPr>
              <w:t>Assets</w:t>
            </w:r>
          </w:p>
        </w:tc>
        <w:tc>
          <w:tcPr>
            <w:tcW w:w="0" w:type="dxa"/>
            <w:vAlign w:val="bottom"/>
          </w:tcPr>
          <w:p>
            <w:pPr>
              <w:spacing w:after="0"/>
              <w:rPr>
                <w:sz w:val="1"/>
                <w:szCs w:val="1"/>
                <w:color w:val="auto"/>
              </w:rPr>
            </w:pPr>
          </w:p>
        </w:tc>
      </w:tr>
      <w:tr>
        <w:trPr>
          <w:trHeight w:val="166"/>
        </w:trPr>
        <w:tc>
          <w:tcPr>
            <w:tcW w:w="3620" w:type="dxa"/>
            <w:vAlign w:val="bottom"/>
            <w:tcBorders>
              <w:top w:val="single" w:sz="8" w:color="D0EBF2"/>
            </w:tcBorders>
            <w:gridSpan w:val="2"/>
            <w:shd w:val="clear" w:color="auto" w:fill="D0EBF2"/>
          </w:tcPr>
          <w:p>
            <w:pPr>
              <w:spacing w:after="0"/>
              <w:rPr>
                <w:sz w:val="20"/>
                <w:szCs w:val="20"/>
                <w:color w:val="auto"/>
              </w:rPr>
            </w:pPr>
            <w:r>
              <w:rPr>
                <w:rFonts w:ascii="Times New Roman" w:cs="Times New Roman" w:eastAsia="Times New Roman" w:hAnsi="Times New Roman"/>
                <w:sz w:val="14"/>
                <w:szCs w:val="14"/>
                <w:b w:val="1"/>
                <w:bCs w:val="1"/>
                <w:color w:val="231F20"/>
              </w:rPr>
              <w:t>Balance at December 31, 2021</w:t>
            </w:r>
          </w:p>
        </w:tc>
        <w:tc>
          <w:tcPr>
            <w:tcW w:w="860" w:type="dxa"/>
            <w:vAlign w:val="bottom"/>
            <w:tcBorders>
              <w:top w:val="single" w:sz="8" w:color="231F20"/>
            </w:tcBorders>
            <w:shd w:val="clear" w:color="auto" w:fill="D0EBF2"/>
          </w:tcPr>
          <w:p>
            <w:pPr>
              <w:jc w:val="right"/>
              <w:spacing w:after="0"/>
              <w:rPr>
                <w:sz w:val="20"/>
                <w:szCs w:val="20"/>
                <w:color w:val="auto"/>
              </w:rPr>
            </w:pPr>
            <w:r>
              <w:rPr>
                <w:rFonts w:ascii="Times New Roman" w:cs="Times New Roman" w:eastAsia="Times New Roman" w:hAnsi="Times New Roman"/>
                <w:sz w:val="14"/>
                <w:szCs w:val="14"/>
                <w:color w:val="231F20"/>
              </w:rPr>
              <w:t>75,771,542</w:t>
            </w:r>
          </w:p>
        </w:tc>
        <w:tc>
          <w:tcPr>
            <w:tcW w:w="100" w:type="dxa"/>
            <w:vAlign w:val="bottom"/>
            <w:tcBorders>
              <w:top w:val="single" w:sz="8" w:color="D0EBF2"/>
            </w:tcBorders>
            <w:shd w:val="clear" w:color="auto" w:fill="D0EBF2"/>
          </w:tcPr>
          <w:p>
            <w:pPr>
              <w:spacing w:after="0"/>
              <w:rPr>
                <w:sz w:val="14"/>
                <w:szCs w:val="14"/>
                <w:color w:val="auto"/>
              </w:rPr>
            </w:pPr>
          </w:p>
        </w:tc>
        <w:tc>
          <w:tcPr>
            <w:tcW w:w="100" w:type="dxa"/>
            <w:vAlign w:val="bottom"/>
            <w:tcBorders>
              <w:top w:val="single" w:sz="8" w:color="D0EBF2"/>
            </w:tcBorders>
            <w:shd w:val="clear" w:color="auto" w:fill="D0EBF2"/>
          </w:tcPr>
          <w:p>
            <w:pPr>
              <w:spacing w:after="0"/>
              <w:rPr>
                <w:sz w:val="14"/>
                <w:szCs w:val="14"/>
                <w:color w:val="auto"/>
              </w:rPr>
            </w:pPr>
          </w:p>
        </w:tc>
        <w:tc>
          <w:tcPr>
            <w:tcW w:w="20" w:type="dxa"/>
            <w:vAlign w:val="bottom"/>
            <w:tcBorders>
              <w:top w:val="single" w:sz="8" w:color="D0EBF2"/>
            </w:tcBorders>
            <w:shd w:val="clear" w:color="auto" w:fill="D0EBF2"/>
          </w:tcPr>
          <w:p>
            <w:pPr>
              <w:spacing w:after="0"/>
              <w:rPr>
                <w:sz w:val="14"/>
                <w:szCs w:val="14"/>
                <w:color w:val="auto"/>
              </w:rPr>
            </w:pPr>
          </w:p>
        </w:tc>
        <w:tc>
          <w:tcPr>
            <w:tcW w:w="20" w:type="dxa"/>
            <w:vAlign w:val="bottom"/>
            <w:tcBorders>
              <w:top w:val="single" w:sz="8" w:color="231F20"/>
            </w:tcBorders>
            <w:shd w:val="clear" w:color="auto" w:fill="D0EBF2"/>
          </w:tcPr>
          <w:p>
            <w:pPr>
              <w:spacing w:after="0"/>
              <w:rPr>
                <w:sz w:val="14"/>
                <w:szCs w:val="14"/>
                <w:color w:val="auto"/>
              </w:rPr>
            </w:pPr>
          </w:p>
        </w:tc>
        <w:tc>
          <w:tcPr>
            <w:tcW w:w="60" w:type="dxa"/>
            <w:vAlign w:val="bottom"/>
            <w:tcBorders>
              <w:top w:val="single" w:sz="8" w:color="231F20"/>
            </w:tcBorders>
            <w:shd w:val="clear" w:color="auto" w:fill="D0EBF2"/>
          </w:tcPr>
          <w:p>
            <w:pPr>
              <w:spacing w:after="0"/>
              <w:rPr>
                <w:sz w:val="20"/>
                <w:szCs w:val="20"/>
                <w:color w:val="auto"/>
              </w:rPr>
            </w:pPr>
            <w:r>
              <w:rPr>
                <w:rFonts w:ascii="Times New Roman" w:cs="Times New Roman" w:eastAsia="Times New Roman" w:hAnsi="Times New Roman"/>
                <w:sz w:val="11"/>
                <w:szCs w:val="11"/>
                <w:color w:val="231F20"/>
                <w:w w:val="71"/>
                <w:shd w:val="clear" w:color="auto" w:fill="D0EBF2"/>
              </w:rPr>
              <w:t>$</w:t>
            </w:r>
          </w:p>
        </w:tc>
        <w:tc>
          <w:tcPr>
            <w:tcW w:w="420" w:type="dxa"/>
            <w:vAlign w:val="bottom"/>
            <w:tcBorders>
              <w:top w:val="single" w:sz="8" w:color="231F20"/>
            </w:tcBorders>
            <w:shd w:val="clear" w:color="auto" w:fill="D0EBF2"/>
          </w:tcPr>
          <w:p>
            <w:pPr>
              <w:jc w:val="right"/>
              <w:spacing w:after="0"/>
              <w:rPr>
                <w:sz w:val="20"/>
                <w:szCs w:val="20"/>
                <w:color w:val="auto"/>
              </w:rPr>
            </w:pPr>
            <w:r>
              <w:rPr>
                <w:rFonts w:ascii="Times New Roman" w:cs="Times New Roman" w:eastAsia="Times New Roman" w:hAnsi="Times New Roman"/>
                <w:sz w:val="14"/>
                <w:szCs w:val="14"/>
                <w:color w:val="231F20"/>
                <w:shd w:val="clear" w:color="auto" w:fill="D0EBF2"/>
              </w:rPr>
              <w:t>761</w:t>
            </w:r>
          </w:p>
        </w:tc>
        <w:tc>
          <w:tcPr>
            <w:tcW w:w="100" w:type="dxa"/>
            <w:vAlign w:val="bottom"/>
            <w:tcBorders>
              <w:top w:val="single" w:sz="8" w:color="D0EBF2"/>
            </w:tcBorders>
            <w:shd w:val="clear" w:color="auto" w:fill="D0EBF2"/>
          </w:tcPr>
          <w:p>
            <w:pPr>
              <w:spacing w:after="0"/>
              <w:rPr>
                <w:sz w:val="14"/>
                <w:szCs w:val="14"/>
                <w:color w:val="auto"/>
              </w:rPr>
            </w:pPr>
          </w:p>
        </w:tc>
        <w:tc>
          <w:tcPr>
            <w:tcW w:w="20" w:type="dxa"/>
            <w:vAlign w:val="bottom"/>
            <w:tcBorders>
              <w:top w:val="single" w:sz="8" w:color="D0EBF2"/>
            </w:tcBorders>
            <w:shd w:val="clear" w:color="auto" w:fill="D0EBF2"/>
          </w:tcPr>
          <w:p>
            <w:pPr>
              <w:spacing w:after="0"/>
              <w:rPr>
                <w:sz w:val="14"/>
                <w:szCs w:val="14"/>
                <w:color w:val="auto"/>
              </w:rPr>
            </w:pPr>
          </w:p>
        </w:tc>
        <w:tc>
          <w:tcPr>
            <w:tcW w:w="80" w:type="dxa"/>
            <w:vAlign w:val="bottom"/>
            <w:tcBorders>
              <w:top w:val="single" w:sz="8" w:color="D0EBF2"/>
            </w:tcBorders>
            <w:shd w:val="clear" w:color="auto" w:fill="D0EBF2"/>
          </w:tcPr>
          <w:p>
            <w:pPr>
              <w:spacing w:after="0"/>
              <w:rPr>
                <w:sz w:val="14"/>
                <w:szCs w:val="14"/>
                <w:color w:val="auto"/>
              </w:rPr>
            </w:pPr>
          </w:p>
        </w:tc>
        <w:tc>
          <w:tcPr>
            <w:tcW w:w="20" w:type="dxa"/>
            <w:vAlign w:val="bottom"/>
            <w:tcBorders>
              <w:top w:val="single" w:sz="8" w:color="D0EBF2"/>
            </w:tcBorders>
            <w:shd w:val="clear" w:color="auto" w:fill="D0EBF2"/>
          </w:tcPr>
          <w:p>
            <w:pPr>
              <w:spacing w:after="0"/>
              <w:rPr>
                <w:sz w:val="14"/>
                <w:szCs w:val="14"/>
                <w:color w:val="auto"/>
              </w:rPr>
            </w:pPr>
          </w:p>
        </w:tc>
        <w:tc>
          <w:tcPr>
            <w:tcW w:w="20" w:type="dxa"/>
            <w:vAlign w:val="bottom"/>
            <w:tcBorders>
              <w:top w:val="single" w:sz="8" w:color="231F20"/>
            </w:tcBorders>
            <w:shd w:val="clear" w:color="auto" w:fill="D0EBF2"/>
          </w:tcPr>
          <w:p>
            <w:pPr>
              <w:spacing w:after="0"/>
              <w:rPr>
                <w:sz w:val="14"/>
                <w:szCs w:val="14"/>
                <w:color w:val="auto"/>
              </w:rPr>
            </w:pPr>
          </w:p>
        </w:tc>
        <w:tc>
          <w:tcPr>
            <w:tcW w:w="660" w:type="dxa"/>
            <w:vAlign w:val="bottom"/>
            <w:tcBorders>
              <w:top w:val="single" w:sz="8" w:color="231F20"/>
            </w:tcBorders>
            <w:shd w:val="clear" w:color="auto" w:fill="D0EBF2"/>
          </w:tcPr>
          <w:p>
            <w:pPr>
              <w:jc w:val="right"/>
              <w:spacing w:after="0"/>
              <w:rPr>
                <w:sz w:val="20"/>
                <w:szCs w:val="20"/>
                <w:color w:val="auto"/>
              </w:rPr>
            </w:pPr>
            <w:r>
              <w:rPr>
                <w:rFonts w:ascii="Times New Roman" w:cs="Times New Roman" w:eastAsia="Times New Roman" w:hAnsi="Times New Roman"/>
                <w:sz w:val="14"/>
                <w:szCs w:val="14"/>
                <w:color w:val="231F20"/>
              </w:rPr>
              <w:t>296,044</w:t>
            </w:r>
          </w:p>
        </w:tc>
        <w:tc>
          <w:tcPr>
            <w:tcW w:w="100" w:type="dxa"/>
            <w:vAlign w:val="bottom"/>
            <w:tcBorders>
              <w:top w:val="single" w:sz="8" w:color="D0EBF2"/>
            </w:tcBorders>
            <w:shd w:val="clear" w:color="auto" w:fill="D0EBF2"/>
          </w:tcPr>
          <w:p>
            <w:pPr>
              <w:spacing w:after="0"/>
              <w:rPr>
                <w:sz w:val="14"/>
                <w:szCs w:val="14"/>
                <w:color w:val="auto"/>
              </w:rPr>
            </w:pPr>
          </w:p>
        </w:tc>
        <w:tc>
          <w:tcPr>
            <w:tcW w:w="100" w:type="dxa"/>
            <w:vAlign w:val="bottom"/>
            <w:tcBorders>
              <w:top w:val="single" w:sz="8" w:color="D0EBF2"/>
            </w:tcBorders>
            <w:gridSpan w:val="2"/>
            <w:shd w:val="clear" w:color="auto" w:fill="D0EBF2"/>
          </w:tcPr>
          <w:p>
            <w:pPr>
              <w:spacing w:after="0"/>
              <w:rPr>
                <w:sz w:val="14"/>
                <w:szCs w:val="14"/>
                <w:color w:val="auto"/>
              </w:rPr>
            </w:pPr>
          </w:p>
        </w:tc>
        <w:tc>
          <w:tcPr>
            <w:tcW w:w="20" w:type="dxa"/>
            <w:vAlign w:val="bottom"/>
            <w:tcBorders>
              <w:top w:val="single" w:sz="8" w:color="D0EBF2"/>
            </w:tcBorders>
            <w:shd w:val="clear" w:color="auto" w:fill="D0EBF2"/>
          </w:tcPr>
          <w:p>
            <w:pPr>
              <w:spacing w:after="0"/>
              <w:rPr>
                <w:sz w:val="14"/>
                <w:szCs w:val="14"/>
                <w:color w:val="auto"/>
              </w:rPr>
            </w:pPr>
          </w:p>
        </w:tc>
        <w:tc>
          <w:tcPr>
            <w:tcW w:w="20" w:type="dxa"/>
            <w:vAlign w:val="bottom"/>
            <w:tcBorders>
              <w:top w:val="single" w:sz="8" w:color="231F20"/>
            </w:tcBorders>
            <w:shd w:val="clear" w:color="auto" w:fill="D0EBF2"/>
          </w:tcPr>
          <w:p>
            <w:pPr>
              <w:spacing w:after="0"/>
              <w:rPr>
                <w:sz w:val="14"/>
                <w:szCs w:val="14"/>
                <w:color w:val="auto"/>
              </w:rPr>
            </w:pPr>
          </w:p>
        </w:tc>
        <w:tc>
          <w:tcPr>
            <w:tcW w:w="60" w:type="dxa"/>
            <w:vAlign w:val="bottom"/>
            <w:tcBorders>
              <w:top w:val="single" w:sz="8" w:color="231F20"/>
            </w:tcBorders>
            <w:shd w:val="clear" w:color="auto" w:fill="D0EBF2"/>
          </w:tcPr>
          <w:p>
            <w:pPr>
              <w:jc w:val="right"/>
              <w:spacing w:after="0"/>
              <w:rPr>
                <w:sz w:val="20"/>
                <w:szCs w:val="20"/>
                <w:color w:val="auto"/>
              </w:rPr>
            </w:pPr>
            <w:r>
              <w:rPr>
                <w:rFonts w:ascii="Times New Roman" w:cs="Times New Roman" w:eastAsia="Times New Roman" w:hAnsi="Times New Roman"/>
                <w:sz w:val="5"/>
                <w:szCs w:val="5"/>
                <w:color w:val="231F20"/>
                <w:w w:val="78"/>
                <w:shd w:val="clear" w:color="auto" w:fill="D0EBF2"/>
              </w:rPr>
              <w:t>$</w:t>
            </w:r>
          </w:p>
        </w:tc>
        <w:tc>
          <w:tcPr>
            <w:tcW w:w="480" w:type="dxa"/>
            <w:vAlign w:val="bottom"/>
            <w:tcBorders>
              <w:top w:val="single" w:sz="8" w:color="231F20"/>
            </w:tcBorders>
            <w:shd w:val="clear" w:color="auto" w:fill="D0EBF2"/>
          </w:tcPr>
          <w:p>
            <w:pPr>
              <w:jc w:val="right"/>
              <w:spacing w:after="0"/>
              <w:rPr>
                <w:sz w:val="20"/>
                <w:szCs w:val="20"/>
                <w:color w:val="auto"/>
              </w:rPr>
            </w:pPr>
            <w:r>
              <w:rPr>
                <w:rFonts w:ascii="Times New Roman" w:cs="Times New Roman" w:eastAsia="Times New Roman" w:hAnsi="Times New Roman"/>
                <w:sz w:val="14"/>
                <w:szCs w:val="14"/>
                <w:color w:val="231F20"/>
                <w:shd w:val="clear" w:color="auto" w:fill="D0EBF2"/>
              </w:rPr>
              <w:t>(4,291</w:t>
            </w:r>
          </w:p>
        </w:tc>
        <w:tc>
          <w:tcPr>
            <w:tcW w:w="100" w:type="dxa"/>
            <w:vAlign w:val="bottom"/>
            <w:tcBorders>
              <w:top w:val="single" w:sz="8" w:color="D0EBF2"/>
            </w:tcBorders>
            <w:shd w:val="clear" w:color="auto" w:fill="D0EBF2"/>
          </w:tcPr>
          <w:p>
            <w:pPr>
              <w:jc w:val="right"/>
              <w:spacing w:after="0"/>
              <w:rPr>
                <w:sz w:val="20"/>
                <w:szCs w:val="20"/>
                <w:color w:val="auto"/>
              </w:rPr>
            </w:pPr>
            <w:r>
              <w:rPr>
                <w:rFonts w:ascii="Times New Roman" w:cs="Times New Roman" w:eastAsia="Times New Roman" w:hAnsi="Times New Roman"/>
                <w:sz w:val="14"/>
                <w:szCs w:val="14"/>
                <w:color w:val="231F20"/>
                <w:w w:val="84"/>
              </w:rPr>
              <w:t>)</w:t>
            </w:r>
          </w:p>
        </w:tc>
        <w:tc>
          <w:tcPr>
            <w:tcW w:w="20" w:type="dxa"/>
            <w:vAlign w:val="bottom"/>
            <w:tcBorders>
              <w:top w:val="single" w:sz="8" w:color="D0EBF2"/>
            </w:tcBorders>
            <w:shd w:val="clear" w:color="auto" w:fill="D0EBF2"/>
          </w:tcPr>
          <w:p>
            <w:pPr>
              <w:spacing w:after="0"/>
              <w:rPr>
                <w:sz w:val="14"/>
                <w:szCs w:val="14"/>
                <w:color w:val="auto"/>
              </w:rPr>
            </w:pPr>
          </w:p>
        </w:tc>
        <w:tc>
          <w:tcPr>
            <w:tcW w:w="20" w:type="dxa"/>
            <w:vAlign w:val="bottom"/>
            <w:tcBorders>
              <w:top w:val="single" w:sz="8" w:color="D0EBF2"/>
            </w:tcBorders>
            <w:shd w:val="clear" w:color="auto" w:fill="D0EBF2"/>
          </w:tcPr>
          <w:p>
            <w:pPr>
              <w:spacing w:after="0"/>
              <w:rPr>
                <w:sz w:val="14"/>
                <w:szCs w:val="14"/>
                <w:color w:val="auto"/>
              </w:rPr>
            </w:pPr>
          </w:p>
        </w:tc>
        <w:tc>
          <w:tcPr>
            <w:tcW w:w="60" w:type="dxa"/>
            <w:vAlign w:val="bottom"/>
            <w:tcBorders>
              <w:top w:val="single" w:sz="8" w:color="D0EBF2"/>
            </w:tcBorders>
            <w:shd w:val="clear" w:color="auto" w:fill="D0EBF2"/>
          </w:tcPr>
          <w:p>
            <w:pPr>
              <w:spacing w:after="0"/>
              <w:rPr>
                <w:sz w:val="14"/>
                <w:szCs w:val="14"/>
                <w:color w:val="auto"/>
              </w:rPr>
            </w:pPr>
          </w:p>
        </w:tc>
        <w:tc>
          <w:tcPr>
            <w:tcW w:w="140" w:type="dxa"/>
            <w:vAlign w:val="bottom"/>
            <w:tcBorders>
              <w:top w:val="single" w:sz="8" w:color="231F20"/>
            </w:tcBorders>
            <w:shd w:val="clear" w:color="auto" w:fill="D0EBF2"/>
          </w:tcPr>
          <w:p>
            <w:pPr>
              <w:jc w:val="right"/>
              <w:spacing w:after="0"/>
              <w:rPr>
                <w:sz w:val="20"/>
                <w:szCs w:val="20"/>
                <w:color w:val="auto"/>
              </w:rPr>
            </w:pPr>
            <w:r>
              <w:rPr>
                <w:rFonts w:ascii="Times New Roman" w:cs="Times New Roman" w:eastAsia="Times New Roman" w:hAnsi="Times New Roman"/>
                <w:sz w:val="14"/>
                <w:szCs w:val="14"/>
                <w:color w:val="231F20"/>
                <w:w w:val="85"/>
              </w:rPr>
              <w:t>$</w:t>
            </w:r>
          </w:p>
        </w:tc>
        <w:tc>
          <w:tcPr>
            <w:tcW w:w="900" w:type="dxa"/>
            <w:vAlign w:val="bottom"/>
            <w:tcBorders>
              <w:top w:val="single" w:sz="8" w:color="231F20"/>
            </w:tcBorders>
            <w:shd w:val="clear" w:color="auto" w:fill="D0EBF2"/>
          </w:tcPr>
          <w:p>
            <w:pPr>
              <w:jc w:val="right"/>
              <w:spacing w:after="0"/>
              <w:rPr>
                <w:sz w:val="20"/>
                <w:szCs w:val="20"/>
                <w:color w:val="auto"/>
              </w:rPr>
            </w:pPr>
            <w:r>
              <w:rPr>
                <w:rFonts w:ascii="Times New Roman" w:cs="Times New Roman" w:eastAsia="Times New Roman" w:hAnsi="Times New Roman"/>
                <w:sz w:val="14"/>
                <w:szCs w:val="14"/>
                <w:color w:val="231F20"/>
              </w:rPr>
              <w:t>1,189,275</w:t>
            </w:r>
          </w:p>
        </w:tc>
        <w:tc>
          <w:tcPr>
            <w:tcW w:w="100" w:type="dxa"/>
            <w:vAlign w:val="bottom"/>
            <w:tcBorders>
              <w:top w:val="single" w:sz="8" w:color="D0EBF2"/>
            </w:tcBorders>
            <w:shd w:val="clear" w:color="auto" w:fill="D0EBF2"/>
          </w:tcPr>
          <w:p>
            <w:pPr>
              <w:spacing w:after="0"/>
              <w:rPr>
                <w:sz w:val="14"/>
                <w:szCs w:val="14"/>
                <w:color w:val="auto"/>
              </w:rPr>
            </w:pPr>
          </w:p>
        </w:tc>
        <w:tc>
          <w:tcPr>
            <w:tcW w:w="20" w:type="dxa"/>
            <w:vAlign w:val="bottom"/>
            <w:tcBorders>
              <w:top w:val="single" w:sz="8" w:color="D0EBF2"/>
            </w:tcBorders>
            <w:shd w:val="clear" w:color="auto" w:fill="D0EBF2"/>
          </w:tcPr>
          <w:p>
            <w:pPr>
              <w:spacing w:after="0"/>
              <w:rPr>
                <w:sz w:val="14"/>
                <w:szCs w:val="14"/>
                <w:color w:val="auto"/>
              </w:rPr>
            </w:pPr>
          </w:p>
        </w:tc>
        <w:tc>
          <w:tcPr>
            <w:tcW w:w="80" w:type="dxa"/>
            <w:vAlign w:val="bottom"/>
            <w:tcBorders>
              <w:top w:val="single" w:sz="8" w:color="D0EBF2"/>
            </w:tcBorders>
            <w:shd w:val="clear" w:color="auto" w:fill="D0EBF2"/>
          </w:tcPr>
          <w:p>
            <w:pPr>
              <w:spacing w:after="0"/>
              <w:rPr>
                <w:sz w:val="14"/>
                <w:szCs w:val="14"/>
                <w:color w:val="auto"/>
              </w:rPr>
            </w:pPr>
          </w:p>
        </w:tc>
        <w:tc>
          <w:tcPr>
            <w:tcW w:w="20" w:type="dxa"/>
            <w:vAlign w:val="bottom"/>
            <w:tcBorders>
              <w:top w:val="single" w:sz="8" w:color="D0EBF2"/>
            </w:tcBorders>
            <w:shd w:val="clear" w:color="auto" w:fill="D0EBF2"/>
          </w:tcPr>
          <w:p>
            <w:pPr>
              <w:spacing w:after="0"/>
              <w:rPr>
                <w:sz w:val="14"/>
                <w:szCs w:val="14"/>
                <w:color w:val="auto"/>
              </w:rPr>
            </w:pPr>
          </w:p>
        </w:tc>
        <w:tc>
          <w:tcPr>
            <w:tcW w:w="20" w:type="dxa"/>
            <w:vAlign w:val="bottom"/>
            <w:tcBorders>
              <w:top w:val="single" w:sz="8" w:color="231F20"/>
            </w:tcBorders>
            <w:shd w:val="clear" w:color="auto" w:fill="D0EBF2"/>
          </w:tcPr>
          <w:p>
            <w:pPr>
              <w:spacing w:after="0"/>
              <w:rPr>
                <w:sz w:val="14"/>
                <w:szCs w:val="14"/>
                <w:color w:val="auto"/>
              </w:rPr>
            </w:pPr>
          </w:p>
        </w:tc>
        <w:tc>
          <w:tcPr>
            <w:tcW w:w="60" w:type="dxa"/>
            <w:vAlign w:val="bottom"/>
            <w:tcBorders>
              <w:top w:val="single" w:sz="8" w:color="231F20"/>
            </w:tcBorders>
            <w:shd w:val="clear" w:color="auto" w:fill="D0EBF2"/>
          </w:tcPr>
          <w:p>
            <w:pPr>
              <w:spacing w:after="0"/>
              <w:rPr>
                <w:sz w:val="20"/>
                <w:szCs w:val="20"/>
                <w:color w:val="auto"/>
              </w:rPr>
            </w:pPr>
            <w:r>
              <w:rPr>
                <w:rFonts w:ascii="Times New Roman" w:cs="Times New Roman" w:eastAsia="Times New Roman" w:hAnsi="Times New Roman"/>
                <w:sz w:val="11"/>
                <w:szCs w:val="11"/>
                <w:color w:val="231F20"/>
                <w:w w:val="71"/>
              </w:rPr>
              <w:t>$</w:t>
            </w:r>
          </w:p>
        </w:tc>
        <w:tc>
          <w:tcPr>
            <w:tcW w:w="720" w:type="dxa"/>
            <w:vAlign w:val="bottom"/>
            <w:tcBorders>
              <w:top w:val="single" w:sz="8" w:color="231F20"/>
            </w:tcBorders>
            <w:shd w:val="clear" w:color="auto" w:fill="D0EBF2"/>
          </w:tcPr>
          <w:p>
            <w:pPr>
              <w:jc w:val="right"/>
              <w:spacing w:after="0"/>
              <w:rPr>
                <w:sz w:val="20"/>
                <w:szCs w:val="20"/>
                <w:color w:val="auto"/>
              </w:rPr>
            </w:pPr>
            <w:r>
              <w:rPr>
                <w:rFonts w:ascii="Times New Roman" w:cs="Times New Roman" w:eastAsia="Times New Roman" w:hAnsi="Times New Roman"/>
                <w:sz w:val="14"/>
                <w:szCs w:val="14"/>
                <w:color w:val="231F20"/>
              </w:rPr>
              <w:t>90,103</w:t>
            </w:r>
          </w:p>
        </w:tc>
        <w:tc>
          <w:tcPr>
            <w:tcW w:w="100" w:type="dxa"/>
            <w:vAlign w:val="bottom"/>
            <w:tcBorders>
              <w:top w:val="single" w:sz="8" w:color="D0EBF2"/>
            </w:tcBorders>
            <w:shd w:val="clear" w:color="auto" w:fill="D0EBF2"/>
          </w:tcPr>
          <w:p>
            <w:pPr>
              <w:spacing w:after="0"/>
              <w:rPr>
                <w:sz w:val="14"/>
                <w:szCs w:val="14"/>
                <w:color w:val="auto"/>
              </w:rPr>
            </w:pPr>
          </w:p>
        </w:tc>
        <w:tc>
          <w:tcPr>
            <w:tcW w:w="20" w:type="dxa"/>
            <w:vAlign w:val="bottom"/>
            <w:tcBorders>
              <w:top w:val="single" w:sz="8" w:color="D0EBF2"/>
            </w:tcBorders>
            <w:shd w:val="clear" w:color="auto" w:fill="D0EBF2"/>
          </w:tcPr>
          <w:p>
            <w:pPr>
              <w:spacing w:after="0"/>
              <w:rPr>
                <w:sz w:val="14"/>
                <w:szCs w:val="14"/>
                <w:color w:val="auto"/>
              </w:rPr>
            </w:pPr>
          </w:p>
        </w:tc>
        <w:tc>
          <w:tcPr>
            <w:tcW w:w="80" w:type="dxa"/>
            <w:vAlign w:val="bottom"/>
            <w:tcBorders>
              <w:top w:val="single" w:sz="8" w:color="D0EBF2"/>
            </w:tcBorders>
            <w:shd w:val="clear" w:color="auto" w:fill="D0EBF2"/>
          </w:tcPr>
          <w:p>
            <w:pPr>
              <w:spacing w:after="0"/>
              <w:rPr>
                <w:sz w:val="14"/>
                <w:szCs w:val="14"/>
                <w:color w:val="auto"/>
              </w:rPr>
            </w:pPr>
          </w:p>
        </w:tc>
        <w:tc>
          <w:tcPr>
            <w:tcW w:w="20" w:type="dxa"/>
            <w:vAlign w:val="bottom"/>
            <w:tcBorders>
              <w:top w:val="single" w:sz="8" w:color="D0EBF2"/>
            </w:tcBorders>
            <w:shd w:val="clear" w:color="auto" w:fill="D0EBF2"/>
          </w:tcPr>
          <w:p>
            <w:pPr>
              <w:spacing w:after="0"/>
              <w:rPr>
                <w:sz w:val="14"/>
                <w:szCs w:val="14"/>
                <w:color w:val="auto"/>
              </w:rPr>
            </w:pPr>
          </w:p>
        </w:tc>
        <w:tc>
          <w:tcPr>
            <w:tcW w:w="20" w:type="dxa"/>
            <w:vAlign w:val="bottom"/>
            <w:tcBorders>
              <w:top w:val="single" w:sz="8" w:color="231F20"/>
            </w:tcBorders>
            <w:shd w:val="clear" w:color="auto" w:fill="D0EBF2"/>
          </w:tcPr>
          <w:p>
            <w:pPr>
              <w:spacing w:after="0"/>
              <w:rPr>
                <w:sz w:val="14"/>
                <w:szCs w:val="14"/>
                <w:color w:val="auto"/>
              </w:rPr>
            </w:pPr>
          </w:p>
        </w:tc>
        <w:tc>
          <w:tcPr>
            <w:tcW w:w="40" w:type="dxa"/>
            <w:vAlign w:val="bottom"/>
            <w:tcBorders>
              <w:top w:val="single" w:sz="8" w:color="231F20"/>
            </w:tcBorders>
            <w:shd w:val="clear" w:color="auto" w:fill="D0EBF2"/>
          </w:tcPr>
          <w:p>
            <w:pPr>
              <w:jc w:val="right"/>
              <w:spacing w:after="0"/>
              <w:rPr>
                <w:sz w:val="20"/>
                <w:szCs w:val="20"/>
                <w:color w:val="auto"/>
              </w:rPr>
            </w:pPr>
            <w:r>
              <w:rPr>
                <w:rFonts w:ascii="Times New Roman" w:cs="Times New Roman" w:eastAsia="Times New Roman" w:hAnsi="Times New Roman"/>
                <w:sz w:val="5"/>
                <w:szCs w:val="5"/>
                <w:color w:val="231F20"/>
                <w:w w:val="78"/>
                <w:shd w:val="clear" w:color="auto" w:fill="D0EBF2"/>
              </w:rPr>
              <w:t>$</w:t>
            </w:r>
          </w:p>
        </w:tc>
        <w:tc>
          <w:tcPr>
            <w:tcW w:w="720" w:type="dxa"/>
            <w:vAlign w:val="bottom"/>
            <w:tcBorders>
              <w:top w:val="single" w:sz="8" w:color="231F20"/>
            </w:tcBorders>
            <w:shd w:val="clear" w:color="auto" w:fill="D0EBF2"/>
          </w:tcPr>
          <w:p>
            <w:pPr>
              <w:jc w:val="right"/>
              <w:spacing w:after="0"/>
              <w:rPr>
                <w:sz w:val="20"/>
                <w:szCs w:val="20"/>
                <w:color w:val="auto"/>
              </w:rPr>
            </w:pPr>
            <w:r>
              <w:rPr>
                <w:rFonts w:ascii="Times New Roman" w:cs="Times New Roman" w:eastAsia="Times New Roman" w:hAnsi="Times New Roman"/>
                <w:sz w:val="14"/>
                <w:szCs w:val="14"/>
                <w:color w:val="231F20"/>
                <w:shd w:val="clear" w:color="auto" w:fill="D0EBF2"/>
              </w:rPr>
              <w:t>1,275,848</w:t>
            </w:r>
          </w:p>
        </w:tc>
        <w:tc>
          <w:tcPr>
            <w:tcW w:w="100" w:type="dxa"/>
            <w:vAlign w:val="bottom"/>
            <w:tcBorders>
              <w:top w:val="single" w:sz="8" w:color="D0EBF2"/>
            </w:tcBorders>
            <w:shd w:val="clear" w:color="auto" w:fill="D0EBF2"/>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620" w:type="dxa"/>
            <w:vAlign w:val="bottom"/>
            <w:gridSpan w:val="2"/>
            <w:shd w:val="clear" w:color="auto" w:fill="FDFDFC"/>
          </w:tcPr>
          <w:p>
            <w:pPr>
              <w:ind w:left="100"/>
              <w:spacing w:after="0"/>
              <w:rPr>
                <w:sz w:val="20"/>
                <w:szCs w:val="20"/>
                <w:color w:val="auto"/>
              </w:rPr>
            </w:pPr>
            <w:r>
              <w:rPr>
                <w:rFonts w:ascii="Times New Roman" w:cs="Times New Roman" w:eastAsia="Times New Roman" w:hAnsi="Times New Roman"/>
                <w:sz w:val="14"/>
                <w:szCs w:val="14"/>
                <w:color w:val="231F20"/>
              </w:rPr>
              <w:t>Net increase (decrease) in net assets resulting from</w:t>
            </w:r>
          </w:p>
        </w:tc>
        <w:tc>
          <w:tcPr>
            <w:tcW w:w="860" w:type="dxa"/>
            <w:vAlign w:val="bottom"/>
            <w:shd w:val="clear" w:color="auto" w:fill="FDFDFC"/>
          </w:tcPr>
          <w:p>
            <w:pPr>
              <w:spacing w:after="0"/>
              <w:rPr>
                <w:sz w:val="14"/>
                <w:szCs w:val="14"/>
                <w:color w:val="auto"/>
              </w:rPr>
            </w:pPr>
          </w:p>
        </w:tc>
        <w:tc>
          <w:tcPr>
            <w:tcW w:w="100" w:type="dxa"/>
            <w:vAlign w:val="bottom"/>
            <w:shd w:val="clear" w:color="auto" w:fill="FDFDFC"/>
          </w:tcPr>
          <w:p>
            <w:pPr>
              <w:spacing w:after="0"/>
              <w:rPr>
                <w:sz w:val="14"/>
                <w:szCs w:val="14"/>
                <w:color w:val="auto"/>
              </w:rPr>
            </w:pPr>
          </w:p>
        </w:tc>
        <w:tc>
          <w:tcPr>
            <w:tcW w:w="100" w:type="dxa"/>
            <w:vAlign w:val="bottom"/>
            <w:shd w:val="clear" w:color="auto" w:fill="FDFDFC"/>
          </w:tcPr>
          <w:p>
            <w:pPr>
              <w:spacing w:after="0"/>
              <w:rPr>
                <w:sz w:val="14"/>
                <w:szCs w:val="14"/>
                <w:color w:val="auto"/>
              </w:rPr>
            </w:pPr>
          </w:p>
        </w:tc>
        <w:tc>
          <w:tcPr>
            <w:tcW w:w="20" w:type="dxa"/>
            <w:vAlign w:val="bottom"/>
            <w:shd w:val="clear" w:color="auto" w:fill="FDFDFC"/>
          </w:tcPr>
          <w:p>
            <w:pPr>
              <w:spacing w:after="0"/>
              <w:rPr>
                <w:sz w:val="14"/>
                <w:szCs w:val="14"/>
                <w:color w:val="auto"/>
              </w:rPr>
            </w:pPr>
          </w:p>
        </w:tc>
        <w:tc>
          <w:tcPr>
            <w:tcW w:w="20" w:type="dxa"/>
            <w:vAlign w:val="bottom"/>
            <w:shd w:val="clear" w:color="auto" w:fill="FDFDFC"/>
          </w:tcPr>
          <w:p>
            <w:pPr>
              <w:spacing w:after="0"/>
              <w:rPr>
                <w:sz w:val="14"/>
                <w:szCs w:val="14"/>
                <w:color w:val="auto"/>
              </w:rPr>
            </w:pPr>
          </w:p>
        </w:tc>
        <w:tc>
          <w:tcPr>
            <w:tcW w:w="60" w:type="dxa"/>
            <w:vAlign w:val="bottom"/>
            <w:shd w:val="clear" w:color="auto" w:fill="FDFDFC"/>
          </w:tcPr>
          <w:p>
            <w:pPr>
              <w:spacing w:after="0"/>
              <w:rPr>
                <w:sz w:val="14"/>
                <w:szCs w:val="14"/>
                <w:color w:val="auto"/>
              </w:rPr>
            </w:pPr>
          </w:p>
        </w:tc>
        <w:tc>
          <w:tcPr>
            <w:tcW w:w="420" w:type="dxa"/>
            <w:vAlign w:val="bottom"/>
            <w:shd w:val="clear" w:color="auto" w:fill="FDFDFC"/>
          </w:tcPr>
          <w:p>
            <w:pPr>
              <w:spacing w:after="0"/>
              <w:rPr>
                <w:sz w:val="14"/>
                <w:szCs w:val="14"/>
                <w:color w:val="auto"/>
              </w:rPr>
            </w:pPr>
          </w:p>
        </w:tc>
        <w:tc>
          <w:tcPr>
            <w:tcW w:w="100" w:type="dxa"/>
            <w:vAlign w:val="bottom"/>
            <w:shd w:val="clear" w:color="auto" w:fill="FDFDFC"/>
          </w:tcPr>
          <w:p>
            <w:pPr>
              <w:spacing w:after="0"/>
              <w:rPr>
                <w:sz w:val="14"/>
                <w:szCs w:val="14"/>
                <w:color w:val="auto"/>
              </w:rPr>
            </w:pPr>
          </w:p>
        </w:tc>
        <w:tc>
          <w:tcPr>
            <w:tcW w:w="20" w:type="dxa"/>
            <w:vAlign w:val="bottom"/>
            <w:shd w:val="clear" w:color="auto" w:fill="FDFDFC"/>
          </w:tcPr>
          <w:p>
            <w:pPr>
              <w:spacing w:after="0"/>
              <w:rPr>
                <w:sz w:val="14"/>
                <w:szCs w:val="14"/>
                <w:color w:val="auto"/>
              </w:rPr>
            </w:pPr>
          </w:p>
        </w:tc>
        <w:tc>
          <w:tcPr>
            <w:tcW w:w="80" w:type="dxa"/>
            <w:vAlign w:val="bottom"/>
            <w:shd w:val="clear" w:color="auto" w:fill="FDFDFC"/>
          </w:tcPr>
          <w:p>
            <w:pPr>
              <w:spacing w:after="0"/>
              <w:rPr>
                <w:sz w:val="14"/>
                <w:szCs w:val="14"/>
                <w:color w:val="auto"/>
              </w:rPr>
            </w:pPr>
          </w:p>
        </w:tc>
        <w:tc>
          <w:tcPr>
            <w:tcW w:w="20" w:type="dxa"/>
            <w:vAlign w:val="bottom"/>
            <w:shd w:val="clear" w:color="auto" w:fill="FDFDFC"/>
          </w:tcPr>
          <w:p>
            <w:pPr>
              <w:spacing w:after="0"/>
              <w:rPr>
                <w:sz w:val="14"/>
                <w:szCs w:val="14"/>
                <w:color w:val="auto"/>
              </w:rPr>
            </w:pPr>
          </w:p>
        </w:tc>
        <w:tc>
          <w:tcPr>
            <w:tcW w:w="20" w:type="dxa"/>
            <w:vAlign w:val="bottom"/>
            <w:shd w:val="clear" w:color="auto" w:fill="FDFDFC"/>
          </w:tcPr>
          <w:p>
            <w:pPr>
              <w:spacing w:after="0"/>
              <w:rPr>
                <w:sz w:val="14"/>
                <w:szCs w:val="14"/>
                <w:color w:val="auto"/>
              </w:rPr>
            </w:pPr>
          </w:p>
        </w:tc>
        <w:tc>
          <w:tcPr>
            <w:tcW w:w="660" w:type="dxa"/>
            <w:vAlign w:val="bottom"/>
            <w:shd w:val="clear" w:color="auto" w:fill="FDFDFC"/>
          </w:tcPr>
          <w:p>
            <w:pPr>
              <w:spacing w:after="0"/>
              <w:rPr>
                <w:sz w:val="14"/>
                <w:szCs w:val="14"/>
                <w:color w:val="auto"/>
              </w:rPr>
            </w:pPr>
          </w:p>
        </w:tc>
        <w:tc>
          <w:tcPr>
            <w:tcW w:w="100" w:type="dxa"/>
            <w:vAlign w:val="bottom"/>
            <w:shd w:val="clear" w:color="auto" w:fill="FDFDFC"/>
          </w:tcPr>
          <w:p>
            <w:pPr>
              <w:spacing w:after="0"/>
              <w:rPr>
                <w:sz w:val="14"/>
                <w:szCs w:val="14"/>
                <w:color w:val="auto"/>
              </w:rPr>
            </w:pPr>
          </w:p>
        </w:tc>
        <w:tc>
          <w:tcPr>
            <w:tcW w:w="20" w:type="dxa"/>
            <w:vAlign w:val="bottom"/>
            <w:shd w:val="clear" w:color="auto" w:fill="FDFDFC"/>
          </w:tcPr>
          <w:p>
            <w:pPr>
              <w:spacing w:after="0"/>
              <w:rPr>
                <w:sz w:val="14"/>
                <w:szCs w:val="14"/>
                <w:color w:val="auto"/>
              </w:rPr>
            </w:pPr>
          </w:p>
        </w:tc>
        <w:tc>
          <w:tcPr>
            <w:tcW w:w="80" w:type="dxa"/>
            <w:vAlign w:val="bottom"/>
            <w:shd w:val="clear" w:color="auto" w:fill="FDFDFC"/>
          </w:tcPr>
          <w:p>
            <w:pPr>
              <w:spacing w:after="0"/>
              <w:rPr>
                <w:sz w:val="14"/>
                <w:szCs w:val="14"/>
                <w:color w:val="auto"/>
              </w:rPr>
            </w:pPr>
          </w:p>
        </w:tc>
        <w:tc>
          <w:tcPr>
            <w:tcW w:w="20" w:type="dxa"/>
            <w:vAlign w:val="bottom"/>
            <w:shd w:val="clear" w:color="auto" w:fill="FDFDFC"/>
          </w:tcPr>
          <w:p>
            <w:pPr>
              <w:spacing w:after="0"/>
              <w:rPr>
                <w:sz w:val="14"/>
                <w:szCs w:val="14"/>
                <w:color w:val="auto"/>
              </w:rPr>
            </w:pPr>
          </w:p>
        </w:tc>
        <w:tc>
          <w:tcPr>
            <w:tcW w:w="20" w:type="dxa"/>
            <w:vAlign w:val="bottom"/>
            <w:shd w:val="clear" w:color="auto" w:fill="FDFDFC"/>
          </w:tcPr>
          <w:p>
            <w:pPr>
              <w:spacing w:after="0"/>
              <w:rPr>
                <w:sz w:val="14"/>
                <w:szCs w:val="14"/>
                <w:color w:val="auto"/>
              </w:rPr>
            </w:pPr>
          </w:p>
        </w:tc>
        <w:tc>
          <w:tcPr>
            <w:tcW w:w="60" w:type="dxa"/>
            <w:vAlign w:val="bottom"/>
            <w:shd w:val="clear" w:color="auto" w:fill="FDFDFC"/>
          </w:tcPr>
          <w:p>
            <w:pPr>
              <w:spacing w:after="0"/>
              <w:rPr>
                <w:sz w:val="14"/>
                <w:szCs w:val="14"/>
                <w:color w:val="auto"/>
              </w:rPr>
            </w:pPr>
          </w:p>
        </w:tc>
        <w:tc>
          <w:tcPr>
            <w:tcW w:w="480" w:type="dxa"/>
            <w:vAlign w:val="bottom"/>
            <w:shd w:val="clear" w:color="auto" w:fill="FDFDFC"/>
          </w:tcPr>
          <w:p>
            <w:pPr>
              <w:spacing w:after="0"/>
              <w:rPr>
                <w:sz w:val="14"/>
                <w:szCs w:val="14"/>
                <w:color w:val="auto"/>
              </w:rPr>
            </w:pPr>
          </w:p>
        </w:tc>
        <w:tc>
          <w:tcPr>
            <w:tcW w:w="100" w:type="dxa"/>
            <w:vAlign w:val="bottom"/>
            <w:shd w:val="clear" w:color="auto" w:fill="FDFDFC"/>
          </w:tcPr>
          <w:p>
            <w:pPr>
              <w:spacing w:after="0"/>
              <w:rPr>
                <w:sz w:val="14"/>
                <w:szCs w:val="14"/>
                <w:color w:val="auto"/>
              </w:rPr>
            </w:pPr>
          </w:p>
        </w:tc>
        <w:tc>
          <w:tcPr>
            <w:tcW w:w="20" w:type="dxa"/>
            <w:vAlign w:val="bottom"/>
            <w:shd w:val="clear" w:color="auto" w:fill="FDFDFC"/>
          </w:tcPr>
          <w:p>
            <w:pPr>
              <w:spacing w:after="0"/>
              <w:rPr>
                <w:sz w:val="14"/>
                <w:szCs w:val="14"/>
                <w:color w:val="auto"/>
              </w:rPr>
            </w:pPr>
          </w:p>
        </w:tc>
        <w:tc>
          <w:tcPr>
            <w:tcW w:w="20" w:type="dxa"/>
            <w:vAlign w:val="bottom"/>
            <w:shd w:val="clear" w:color="auto" w:fill="FDFDFC"/>
          </w:tcPr>
          <w:p>
            <w:pPr>
              <w:spacing w:after="0"/>
              <w:rPr>
                <w:sz w:val="14"/>
                <w:szCs w:val="14"/>
                <w:color w:val="auto"/>
              </w:rPr>
            </w:pPr>
          </w:p>
        </w:tc>
        <w:tc>
          <w:tcPr>
            <w:tcW w:w="60" w:type="dxa"/>
            <w:vAlign w:val="bottom"/>
            <w:shd w:val="clear" w:color="auto" w:fill="FDFDFC"/>
          </w:tcPr>
          <w:p>
            <w:pPr>
              <w:spacing w:after="0"/>
              <w:rPr>
                <w:sz w:val="14"/>
                <w:szCs w:val="14"/>
                <w:color w:val="auto"/>
              </w:rPr>
            </w:pPr>
          </w:p>
        </w:tc>
        <w:tc>
          <w:tcPr>
            <w:tcW w:w="140" w:type="dxa"/>
            <w:vAlign w:val="bottom"/>
            <w:shd w:val="clear" w:color="auto" w:fill="FDFDFC"/>
          </w:tcPr>
          <w:p>
            <w:pPr>
              <w:spacing w:after="0"/>
              <w:rPr>
                <w:sz w:val="14"/>
                <w:szCs w:val="14"/>
                <w:color w:val="auto"/>
              </w:rPr>
            </w:pPr>
          </w:p>
        </w:tc>
        <w:tc>
          <w:tcPr>
            <w:tcW w:w="900" w:type="dxa"/>
            <w:vAlign w:val="bottom"/>
            <w:shd w:val="clear" w:color="auto" w:fill="FDFDFC"/>
          </w:tcPr>
          <w:p>
            <w:pPr>
              <w:spacing w:after="0"/>
              <w:rPr>
                <w:sz w:val="14"/>
                <w:szCs w:val="14"/>
                <w:color w:val="auto"/>
              </w:rPr>
            </w:pPr>
          </w:p>
        </w:tc>
        <w:tc>
          <w:tcPr>
            <w:tcW w:w="100" w:type="dxa"/>
            <w:vAlign w:val="bottom"/>
            <w:shd w:val="clear" w:color="auto" w:fill="FDFDFC"/>
          </w:tcPr>
          <w:p>
            <w:pPr>
              <w:spacing w:after="0"/>
              <w:rPr>
                <w:sz w:val="14"/>
                <w:szCs w:val="14"/>
                <w:color w:val="auto"/>
              </w:rPr>
            </w:pPr>
          </w:p>
        </w:tc>
        <w:tc>
          <w:tcPr>
            <w:tcW w:w="20" w:type="dxa"/>
            <w:vAlign w:val="bottom"/>
            <w:shd w:val="clear" w:color="auto" w:fill="FDFDFC"/>
          </w:tcPr>
          <w:p>
            <w:pPr>
              <w:spacing w:after="0"/>
              <w:rPr>
                <w:sz w:val="14"/>
                <w:szCs w:val="14"/>
                <w:color w:val="auto"/>
              </w:rPr>
            </w:pPr>
          </w:p>
        </w:tc>
        <w:tc>
          <w:tcPr>
            <w:tcW w:w="80" w:type="dxa"/>
            <w:vAlign w:val="bottom"/>
            <w:shd w:val="clear" w:color="auto" w:fill="FDFDFC"/>
          </w:tcPr>
          <w:p>
            <w:pPr>
              <w:spacing w:after="0"/>
              <w:rPr>
                <w:sz w:val="14"/>
                <w:szCs w:val="14"/>
                <w:color w:val="auto"/>
              </w:rPr>
            </w:pPr>
          </w:p>
        </w:tc>
        <w:tc>
          <w:tcPr>
            <w:tcW w:w="20" w:type="dxa"/>
            <w:vAlign w:val="bottom"/>
            <w:shd w:val="clear" w:color="auto" w:fill="FDFDFC"/>
          </w:tcPr>
          <w:p>
            <w:pPr>
              <w:spacing w:after="0"/>
              <w:rPr>
                <w:sz w:val="14"/>
                <w:szCs w:val="14"/>
                <w:color w:val="auto"/>
              </w:rPr>
            </w:pPr>
          </w:p>
        </w:tc>
        <w:tc>
          <w:tcPr>
            <w:tcW w:w="20" w:type="dxa"/>
            <w:vAlign w:val="bottom"/>
            <w:shd w:val="clear" w:color="auto" w:fill="FDFDFC"/>
          </w:tcPr>
          <w:p>
            <w:pPr>
              <w:spacing w:after="0"/>
              <w:rPr>
                <w:sz w:val="14"/>
                <w:szCs w:val="14"/>
                <w:color w:val="auto"/>
              </w:rPr>
            </w:pPr>
          </w:p>
        </w:tc>
        <w:tc>
          <w:tcPr>
            <w:tcW w:w="60" w:type="dxa"/>
            <w:vAlign w:val="bottom"/>
            <w:shd w:val="clear" w:color="auto" w:fill="FDFDFC"/>
          </w:tcPr>
          <w:p>
            <w:pPr>
              <w:spacing w:after="0"/>
              <w:rPr>
                <w:sz w:val="14"/>
                <w:szCs w:val="14"/>
                <w:color w:val="auto"/>
              </w:rPr>
            </w:pPr>
          </w:p>
        </w:tc>
        <w:tc>
          <w:tcPr>
            <w:tcW w:w="720" w:type="dxa"/>
            <w:vAlign w:val="bottom"/>
            <w:shd w:val="clear" w:color="auto" w:fill="FDFDFC"/>
          </w:tcPr>
          <w:p>
            <w:pPr>
              <w:spacing w:after="0"/>
              <w:rPr>
                <w:sz w:val="14"/>
                <w:szCs w:val="14"/>
                <w:color w:val="auto"/>
              </w:rPr>
            </w:pPr>
          </w:p>
        </w:tc>
        <w:tc>
          <w:tcPr>
            <w:tcW w:w="100" w:type="dxa"/>
            <w:vAlign w:val="bottom"/>
            <w:shd w:val="clear" w:color="auto" w:fill="FDFDFC"/>
          </w:tcPr>
          <w:p>
            <w:pPr>
              <w:spacing w:after="0"/>
              <w:rPr>
                <w:sz w:val="14"/>
                <w:szCs w:val="14"/>
                <w:color w:val="auto"/>
              </w:rPr>
            </w:pPr>
          </w:p>
        </w:tc>
        <w:tc>
          <w:tcPr>
            <w:tcW w:w="20" w:type="dxa"/>
            <w:vAlign w:val="bottom"/>
            <w:shd w:val="clear" w:color="auto" w:fill="FDFDFC"/>
          </w:tcPr>
          <w:p>
            <w:pPr>
              <w:spacing w:after="0"/>
              <w:rPr>
                <w:sz w:val="14"/>
                <w:szCs w:val="14"/>
                <w:color w:val="auto"/>
              </w:rPr>
            </w:pPr>
          </w:p>
        </w:tc>
        <w:tc>
          <w:tcPr>
            <w:tcW w:w="80" w:type="dxa"/>
            <w:vAlign w:val="bottom"/>
            <w:shd w:val="clear" w:color="auto" w:fill="FDFDFC"/>
          </w:tcPr>
          <w:p>
            <w:pPr>
              <w:spacing w:after="0"/>
              <w:rPr>
                <w:sz w:val="14"/>
                <w:szCs w:val="14"/>
                <w:color w:val="auto"/>
              </w:rPr>
            </w:pPr>
          </w:p>
        </w:tc>
        <w:tc>
          <w:tcPr>
            <w:tcW w:w="20" w:type="dxa"/>
            <w:vAlign w:val="bottom"/>
            <w:shd w:val="clear" w:color="auto" w:fill="FDFDFC"/>
          </w:tcPr>
          <w:p>
            <w:pPr>
              <w:spacing w:after="0"/>
              <w:rPr>
                <w:sz w:val="14"/>
                <w:szCs w:val="14"/>
                <w:color w:val="auto"/>
              </w:rPr>
            </w:pPr>
          </w:p>
        </w:tc>
        <w:tc>
          <w:tcPr>
            <w:tcW w:w="20" w:type="dxa"/>
            <w:vAlign w:val="bottom"/>
            <w:shd w:val="clear" w:color="auto" w:fill="FDFDFC"/>
          </w:tcPr>
          <w:p>
            <w:pPr>
              <w:spacing w:after="0"/>
              <w:rPr>
                <w:sz w:val="14"/>
                <w:szCs w:val="14"/>
                <w:color w:val="auto"/>
              </w:rPr>
            </w:pPr>
          </w:p>
        </w:tc>
        <w:tc>
          <w:tcPr>
            <w:tcW w:w="40" w:type="dxa"/>
            <w:vAlign w:val="bottom"/>
            <w:shd w:val="clear" w:color="auto" w:fill="FDFDFC"/>
          </w:tcPr>
          <w:p>
            <w:pPr>
              <w:spacing w:after="0"/>
              <w:rPr>
                <w:sz w:val="14"/>
                <w:szCs w:val="14"/>
                <w:color w:val="auto"/>
              </w:rPr>
            </w:pPr>
          </w:p>
        </w:tc>
        <w:tc>
          <w:tcPr>
            <w:tcW w:w="720" w:type="dxa"/>
            <w:vAlign w:val="bottom"/>
            <w:shd w:val="clear" w:color="auto" w:fill="FDFDFC"/>
          </w:tcPr>
          <w:p>
            <w:pPr>
              <w:spacing w:after="0"/>
              <w:rPr>
                <w:sz w:val="14"/>
                <w:szCs w:val="14"/>
                <w:color w:val="auto"/>
              </w:rPr>
            </w:pPr>
          </w:p>
        </w:tc>
        <w:tc>
          <w:tcPr>
            <w:tcW w:w="100" w:type="dxa"/>
            <w:vAlign w:val="bottom"/>
            <w:shd w:val="clear" w:color="auto" w:fill="FDFDFC"/>
          </w:tcPr>
          <w:p>
            <w:pPr>
              <w:spacing w:after="0"/>
              <w:rPr>
                <w:sz w:val="14"/>
                <w:szCs w:val="14"/>
                <w:color w:val="auto"/>
              </w:rPr>
            </w:pPr>
          </w:p>
        </w:tc>
        <w:tc>
          <w:tcPr>
            <w:tcW w:w="0" w:type="dxa"/>
            <w:vAlign w:val="bottom"/>
          </w:tcPr>
          <w:p>
            <w:pPr>
              <w:spacing w:after="0"/>
              <w:rPr>
                <w:sz w:val="1"/>
                <w:szCs w:val="1"/>
                <w:color w:val="auto"/>
              </w:rPr>
            </w:pPr>
          </w:p>
        </w:tc>
      </w:tr>
      <w:tr>
        <w:trPr>
          <w:trHeight w:val="177"/>
        </w:trPr>
        <w:tc>
          <w:tcPr>
            <w:tcW w:w="3620" w:type="dxa"/>
            <w:vAlign w:val="bottom"/>
            <w:gridSpan w:val="2"/>
            <w:shd w:val="clear" w:color="auto" w:fill="FDFDFC"/>
          </w:tcPr>
          <w:p>
            <w:pPr>
              <w:ind w:left="100"/>
              <w:spacing w:after="0"/>
              <w:rPr>
                <w:sz w:val="20"/>
                <w:szCs w:val="20"/>
                <w:color w:val="auto"/>
              </w:rPr>
            </w:pPr>
            <w:r>
              <w:rPr>
                <w:rFonts w:ascii="Times New Roman" w:cs="Times New Roman" w:eastAsia="Times New Roman" w:hAnsi="Times New Roman"/>
                <w:sz w:val="14"/>
                <w:szCs w:val="14"/>
                <w:color w:val="231F20"/>
              </w:rPr>
              <w:t>operations:</w:t>
            </w:r>
          </w:p>
        </w:tc>
        <w:tc>
          <w:tcPr>
            <w:tcW w:w="860" w:type="dxa"/>
            <w:vAlign w:val="bottom"/>
            <w:shd w:val="clear" w:color="auto" w:fill="FDFDFC"/>
          </w:tcPr>
          <w:p>
            <w:pPr>
              <w:spacing w:after="0"/>
              <w:rPr>
                <w:sz w:val="15"/>
                <w:szCs w:val="15"/>
                <w:color w:val="auto"/>
              </w:rPr>
            </w:pPr>
          </w:p>
        </w:tc>
        <w:tc>
          <w:tcPr>
            <w:tcW w:w="100" w:type="dxa"/>
            <w:vAlign w:val="bottom"/>
            <w:shd w:val="clear" w:color="auto" w:fill="FDFDFC"/>
          </w:tcPr>
          <w:p>
            <w:pPr>
              <w:spacing w:after="0"/>
              <w:rPr>
                <w:sz w:val="15"/>
                <w:szCs w:val="15"/>
                <w:color w:val="auto"/>
              </w:rPr>
            </w:pPr>
          </w:p>
        </w:tc>
        <w:tc>
          <w:tcPr>
            <w:tcW w:w="100" w:type="dxa"/>
            <w:vAlign w:val="bottom"/>
            <w:shd w:val="clear" w:color="auto" w:fill="FDFDFC"/>
          </w:tcPr>
          <w:p>
            <w:pPr>
              <w:spacing w:after="0"/>
              <w:rPr>
                <w:sz w:val="15"/>
                <w:szCs w:val="15"/>
                <w:color w:val="auto"/>
              </w:rPr>
            </w:pPr>
          </w:p>
        </w:tc>
        <w:tc>
          <w:tcPr>
            <w:tcW w:w="20" w:type="dxa"/>
            <w:vAlign w:val="bottom"/>
            <w:shd w:val="clear" w:color="auto" w:fill="FDFDFC"/>
          </w:tcPr>
          <w:p>
            <w:pPr>
              <w:spacing w:after="0"/>
              <w:rPr>
                <w:sz w:val="15"/>
                <w:szCs w:val="15"/>
                <w:color w:val="auto"/>
              </w:rPr>
            </w:pPr>
          </w:p>
        </w:tc>
        <w:tc>
          <w:tcPr>
            <w:tcW w:w="20" w:type="dxa"/>
            <w:vAlign w:val="bottom"/>
            <w:shd w:val="clear" w:color="auto" w:fill="FDFDFC"/>
          </w:tcPr>
          <w:p>
            <w:pPr>
              <w:spacing w:after="0"/>
              <w:rPr>
                <w:sz w:val="15"/>
                <w:szCs w:val="15"/>
                <w:color w:val="auto"/>
              </w:rPr>
            </w:pPr>
          </w:p>
        </w:tc>
        <w:tc>
          <w:tcPr>
            <w:tcW w:w="60" w:type="dxa"/>
            <w:vAlign w:val="bottom"/>
            <w:shd w:val="clear" w:color="auto" w:fill="FDFDFC"/>
          </w:tcPr>
          <w:p>
            <w:pPr>
              <w:spacing w:after="0"/>
              <w:rPr>
                <w:sz w:val="15"/>
                <w:szCs w:val="15"/>
                <w:color w:val="auto"/>
              </w:rPr>
            </w:pPr>
          </w:p>
        </w:tc>
        <w:tc>
          <w:tcPr>
            <w:tcW w:w="420" w:type="dxa"/>
            <w:vAlign w:val="bottom"/>
            <w:shd w:val="clear" w:color="auto" w:fill="FDFDFC"/>
          </w:tcPr>
          <w:p>
            <w:pPr>
              <w:spacing w:after="0"/>
              <w:rPr>
                <w:sz w:val="15"/>
                <w:szCs w:val="15"/>
                <w:color w:val="auto"/>
              </w:rPr>
            </w:pPr>
          </w:p>
        </w:tc>
        <w:tc>
          <w:tcPr>
            <w:tcW w:w="100" w:type="dxa"/>
            <w:vAlign w:val="bottom"/>
            <w:shd w:val="clear" w:color="auto" w:fill="FDFDFC"/>
          </w:tcPr>
          <w:p>
            <w:pPr>
              <w:spacing w:after="0"/>
              <w:rPr>
                <w:sz w:val="15"/>
                <w:szCs w:val="15"/>
                <w:color w:val="auto"/>
              </w:rPr>
            </w:pPr>
          </w:p>
        </w:tc>
        <w:tc>
          <w:tcPr>
            <w:tcW w:w="20" w:type="dxa"/>
            <w:vAlign w:val="bottom"/>
            <w:shd w:val="clear" w:color="auto" w:fill="FDFDFC"/>
          </w:tcPr>
          <w:p>
            <w:pPr>
              <w:spacing w:after="0"/>
              <w:rPr>
                <w:sz w:val="15"/>
                <w:szCs w:val="15"/>
                <w:color w:val="auto"/>
              </w:rPr>
            </w:pPr>
          </w:p>
        </w:tc>
        <w:tc>
          <w:tcPr>
            <w:tcW w:w="80" w:type="dxa"/>
            <w:vAlign w:val="bottom"/>
            <w:shd w:val="clear" w:color="auto" w:fill="FDFDFC"/>
          </w:tcPr>
          <w:p>
            <w:pPr>
              <w:spacing w:after="0"/>
              <w:rPr>
                <w:sz w:val="15"/>
                <w:szCs w:val="15"/>
                <w:color w:val="auto"/>
              </w:rPr>
            </w:pPr>
          </w:p>
        </w:tc>
        <w:tc>
          <w:tcPr>
            <w:tcW w:w="20" w:type="dxa"/>
            <w:vAlign w:val="bottom"/>
            <w:shd w:val="clear" w:color="auto" w:fill="FDFDFC"/>
          </w:tcPr>
          <w:p>
            <w:pPr>
              <w:spacing w:after="0"/>
              <w:rPr>
                <w:sz w:val="15"/>
                <w:szCs w:val="15"/>
                <w:color w:val="auto"/>
              </w:rPr>
            </w:pPr>
          </w:p>
        </w:tc>
        <w:tc>
          <w:tcPr>
            <w:tcW w:w="20" w:type="dxa"/>
            <w:vAlign w:val="bottom"/>
            <w:shd w:val="clear" w:color="auto" w:fill="FDFDFC"/>
          </w:tcPr>
          <w:p>
            <w:pPr>
              <w:spacing w:after="0"/>
              <w:rPr>
                <w:sz w:val="15"/>
                <w:szCs w:val="15"/>
                <w:color w:val="auto"/>
              </w:rPr>
            </w:pPr>
          </w:p>
        </w:tc>
        <w:tc>
          <w:tcPr>
            <w:tcW w:w="660" w:type="dxa"/>
            <w:vAlign w:val="bottom"/>
            <w:shd w:val="clear" w:color="auto" w:fill="FDFDFC"/>
          </w:tcPr>
          <w:p>
            <w:pPr>
              <w:spacing w:after="0"/>
              <w:rPr>
                <w:sz w:val="15"/>
                <w:szCs w:val="15"/>
                <w:color w:val="auto"/>
              </w:rPr>
            </w:pPr>
          </w:p>
        </w:tc>
        <w:tc>
          <w:tcPr>
            <w:tcW w:w="100" w:type="dxa"/>
            <w:vAlign w:val="bottom"/>
            <w:shd w:val="clear" w:color="auto" w:fill="FDFDFC"/>
          </w:tcPr>
          <w:p>
            <w:pPr>
              <w:spacing w:after="0"/>
              <w:rPr>
                <w:sz w:val="15"/>
                <w:szCs w:val="15"/>
                <w:color w:val="auto"/>
              </w:rPr>
            </w:pPr>
          </w:p>
        </w:tc>
        <w:tc>
          <w:tcPr>
            <w:tcW w:w="20" w:type="dxa"/>
            <w:vAlign w:val="bottom"/>
            <w:shd w:val="clear" w:color="auto" w:fill="FDFDFC"/>
          </w:tcPr>
          <w:p>
            <w:pPr>
              <w:spacing w:after="0"/>
              <w:rPr>
                <w:sz w:val="15"/>
                <w:szCs w:val="15"/>
                <w:color w:val="auto"/>
              </w:rPr>
            </w:pPr>
          </w:p>
        </w:tc>
        <w:tc>
          <w:tcPr>
            <w:tcW w:w="80" w:type="dxa"/>
            <w:vAlign w:val="bottom"/>
            <w:shd w:val="clear" w:color="auto" w:fill="FDFDFC"/>
          </w:tcPr>
          <w:p>
            <w:pPr>
              <w:spacing w:after="0"/>
              <w:rPr>
                <w:sz w:val="15"/>
                <w:szCs w:val="15"/>
                <w:color w:val="auto"/>
              </w:rPr>
            </w:pPr>
          </w:p>
        </w:tc>
        <w:tc>
          <w:tcPr>
            <w:tcW w:w="20" w:type="dxa"/>
            <w:vAlign w:val="bottom"/>
            <w:shd w:val="clear" w:color="auto" w:fill="FDFDFC"/>
          </w:tcPr>
          <w:p>
            <w:pPr>
              <w:spacing w:after="0"/>
              <w:rPr>
                <w:sz w:val="15"/>
                <w:szCs w:val="15"/>
                <w:color w:val="auto"/>
              </w:rPr>
            </w:pPr>
          </w:p>
        </w:tc>
        <w:tc>
          <w:tcPr>
            <w:tcW w:w="20" w:type="dxa"/>
            <w:vAlign w:val="bottom"/>
            <w:shd w:val="clear" w:color="auto" w:fill="FDFDFC"/>
          </w:tcPr>
          <w:p>
            <w:pPr>
              <w:spacing w:after="0"/>
              <w:rPr>
                <w:sz w:val="15"/>
                <w:szCs w:val="15"/>
                <w:color w:val="auto"/>
              </w:rPr>
            </w:pPr>
          </w:p>
        </w:tc>
        <w:tc>
          <w:tcPr>
            <w:tcW w:w="60" w:type="dxa"/>
            <w:vAlign w:val="bottom"/>
            <w:shd w:val="clear" w:color="auto" w:fill="FDFDFC"/>
          </w:tcPr>
          <w:p>
            <w:pPr>
              <w:spacing w:after="0"/>
              <w:rPr>
                <w:sz w:val="15"/>
                <w:szCs w:val="15"/>
                <w:color w:val="auto"/>
              </w:rPr>
            </w:pPr>
          </w:p>
        </w:tc>
        <w:tc>
          <w:tcPr>
            <w:tcW w:w="480" w:type="dxa"/>
            <w:vAlign w:val="bottom"/>
            <w:shd w:val="clear" w:color="auto" w:fill="FDFDFC"/>
          </w:tcPr>
          <w:p>
            <w:pPr>
              <w:spacing w:after="0"/>
              <w:rPr>
                <w:sz w:val="15"/>
                <w:szCs w:val="15"/>
                <w:color w:val="auto"/>
              </w:rPr>
            </w:pPr>
          </w:p>
        </w:tc>
        <w:tc>
          <w:tcPr>
            <w:tcW w:w="100" w:type="dxa"/>
            <w:vAlign w:val="bottom"/>
            <w:shd w:val="clear" w:color="auto" w:fill="FDFDFC"/>
          </w:tcPr>
          <w:p>
            <w:pPr>
              <w:spacing w:after="0"/>
              <w:rPr>
                <w:sz w:val="15"/>
                <w:szCs w:val="15"/>
                <w:color w:val="auto"/>
              </w:rPr>
            </w:pPr>
          </w:p>
        </w:tc>
        <w:tc>
          <w:tcPr>
            <w:tcW w:w="20" w:type="dxa"/>
            <w:vAlign w:val="bottom"/>
            <w:shd w:val="clear" w:color="auto" w:fill="FDFDFC"/>
          </w:tcPr>
          <w:p>
            <w:pPr>
              <w:spacing w:after="0"/>
              <w:rPr>
                <w:sz w:val="15"/>
                <w:szCs w:val="15"/>
                <w:color w:val="auto"/>
              </w:rPr>
            </w:pPr>
          </w:p>
        </w:tc>
        <w:tc>
          <w:tcPr>
            <w:tcW w:w="20" w:type="dxa"/>
            <w:vAlign w:val="bottom"/>
            <w:shd w:val="clear" w:color="auto" w:fill="FDFDFC"/>
          </w:tcPr>
          <w:p>
            <w:pPr>
              <w:spacing w:after="0"/>
              <w:rPr>
                <w:sz w:val="15"/>
                <w:szCs w:val="15"/>
                <w:color w:val="auto"/>
              </w:rPr>
            </w:pPr>
          </w:p>
        </w:tc>
        <w:tc>
          <w:tcPr>
            <w:tcW w:w="60" w:type="dxa"/>
            <w:vAlign w:val="bottom"/>
            <w:shd w:val="clear" w:color="auto" w:fill="FDFDFC"/>
          </w:tcPr>
          <w:p>
            <w:pPr>
              <w:spacing w:after="0"/>
              <w:rPr>
                <w:sz w:val="15"/>
                <w:szCs w:val="15"/>
                <w:color w:val="auto"/>
              </w:rPr>
            </w:pPr>
          </w:p>
        </w:tc>
        <w:tc>
          <w:tcPr>
            <w:tcW w:w="140" w:type="dxa"/>
            <w:vAlign w:val="bottom"/>
            <w:shd w:val="clear" w:color="auto" w:fill="FDFDFC"/>
          </w:tcPr>
          <w:p>
            <w:pPr>
              <w:spacing w:after="0"/>
              <w:rPr>
                <w:sz w:val="15"/>
                <w:szCs w:val="15"/>
                <w:color w:val="auto"/>
              </w:rPr>
            </w:pPr>
          </w:p>
        </w:tc>
        <w:tc>
          <w:tcPr>
            <w:tcW w:w="900" w:type="dxa"/>
            <w:vAlign w:val="bottom"/>
            <w:shd w:val="clear" w:color="auto" w:fill="FDFDFC"/>
          </w:tcPr>
          <w:p>
            <w:pPr>
              <w:spacing w:after="0"/>
              <w:rPr>
                <w:sz w:val="15"/>
                <w:szCs w:val="15"/>
                <w:color w:val="auto"/>
              </w:rPr>
            </w:pPr>
          </w:p>
        </w:tc>
        <w:tc>
          <w:tcPr>
            <w:tcW w:w="100" w:type="dxa"/>
            <w:vAlign w:val="bottom"/>
            <w:shd w:val="clear" w:color="auto" w:fill="FDFDFC"/>
          </w:tcPr>
          <w:p>
            <w:pPr>
              <w:spacing w:after="0"/>
              <w:rPr>
                <w:sz w:val="15"/>
                <w:szCs w:val="15"/>
                <w:color w:val="auto"/>
              </w:rPr>
            </w:pPr>
          </w:p>
        </w:tc>
        <w:tc>
          <w:tcPr>
            <w:tcW w:w="20" w:type="dxa"/>
            <w:vAlign w:val="bottom"/>
            <w:shd w:val="clear" w:color="auto" w:fill="FDFDFC"/>
          </w:tcPr>
          <w:p>
            <w:pPr>
              <w:spacing w:after="0"/>
              <w:rPr>
                <w:sz w:val="15"/>
                <w:szCs w:val="15"/>
                <w:color w:val="auto"/>
              </w:rPr>
            </w:pPr>
          </w:p>
        </w:tc>
        <w:tc>
          <w:tcPr>
            <w:tcW w:w="80" w:type="dxa"/>
            <w:vAlign w:val="bottom"/>
            <w:shd w:val="clear" w:color="auto" w:fill="FDFDFC"/>
          </w:tcPr>
          <w:p>
            <w:pPr>
              <w:spacing w:after="0"/>
              <w:rPr>
                <w:sz w:val="15"/>
                <w:szCs w:val="15"/>
                <w:color w:val="auto"/>
              </w:rPr>
            </w:pPr>
          </w:p>
        </w:tc>
        <w:tc>
          <w:tcPr>
            <w:tcW w:w="20" w:type="dxa"/>
            <w:vAlign w:val="bottom"/>
            <w:shd w:val="clear" w:color="auto" w:fill="FDFDFC"/>
          </w:tcPr>
          <w:p>
            <w:pPr>
              <w:spacing w:after="0"/>
              <w:rPr>
                <w:sz w:val="15"/>
                <w:szCs w:val="15"/>
                <w:color w:val="auto"/>
              </w:rPr>
            </w:pPr>
          </w:p>
        </w:tc>
        <w:tc>
          <w:tcPr>
            <w:tcW w:w="20" w:type="dxa"/>
            <w:vAlign w:val="bottom"/>
            <w:shd w:val="clear" w:color="auto" w:fill="FDFDFC"/>
          </w:tcPr>
          <w:p>
            <w:pPr>
              <w:spacing w:after="0"/>
              <w:rPr>
                <w:sz w:val="15"/>
                <w:szCs w:val="15"/>
                <w:color w:val="auto"/>
              </w:rPr>
            </w:pPr>
          </w:p>
        </w:tc>
        <w:tc>
          <w:tcPr>
            <w:tcW w:w="60" w:type="dxa"/>
            <w:vAlign w:val="bottom"/>
            <w:shd w:val="clear" w:color="auto" w:fill="FDFDFC"/>
          </w:tcPr>
          <w:p>
            <w:pPr>
              <w:spacing w:after="0"/>
              <w:rPr>
                <w:sz w:val="15"/>
                <w:szCs w:val="15"/>
                <w:color w:val="auto"/>
              </w:rPr>
            </w:pPr>
          </w:p>
        </w:tc>
        <w:tc>
          <w:tcPr>
            <w:tcW w:w="720" w:type="dxa"/>
            <w:vAlign w:val="bottom"/>
            <w:shd w:val="clear" w:color="auto" w:fill="FDFDFC"/>
          </w:tcPr>
          <w:p>
            <w:pPr>
              <w:spacing w:after="0"/>
              <w:rPr>
                <w:sz w:val="15"/>
                <w:szCs w:val="15"/>
                <w:color w:val="auto"/>
              </w:rPr>
            </w:pPr>
          </w:p>
        </w:tc>
        <w:tc>
          <w:tcPr>
            <w:tcW w:w="100" w:type="dxa"/>
            <w:vAlign w:val="bottom"/>
            <w:shd w:val="clear" w:color="auto" w:fill="FDFDFC"/>
          </w:tcPr>
          <w:p>
            <w:pPr>
              <w:spacing w:after="0"/>
              <w:rPr>
                <w:sz w:val="15"/>
                <w:szCs w:val="15"/>
                <w:color w:val="auto"/>
              </w:rPr>
            </w:pPr>
          </w:p>
        </w:tc>
        <w:tc>
          <w:tcPr>
            <w:tcW w:w="20" w:type="dxa"/>
            <w:vAlign w:val="bottom"/>
            <w:shd w:val="clear" w:color="auto" w:fill="FDFDFC"/>
          </w:tcPr>
          <w:p>
            <w:pPr>
              <w:spacing w:after="0"/>
              <w:rPr>
                <w:sz w:val="15"/>
                <w:szCs w:val="15"/>
                <w:color w:val="auto"/>
              </w:rPr>
            </w:pPr>
          </w:p>
        </w:tc>
        <w:tc>
          <w:tcPr>
            <w:tcW w:w="80" w:type="dxa"/>
            <w:vAlign w:val="bottom"/>
            <w:shd w:val="clear" w:color="auto" w:fill="FDFDFC"/>
          </w:tcPr>
          <w:p>
            <w:pPr>
              <w:spacing w:after="0"/>
              <w:rPr>
                <w:sz w:val="15"/>
                <w:szCs w:val="15"/>
                <w:color w:val="auto"/>
              </w:rPr>
            </w:pPr>
          </w:p>
        </w:tc>
        <w:tc>
          <w:tcPr>
            <w:tcW w:w="20" w:type="dxa"/>
            <w:vAlign w:val="bottom"/>
            <w:shd w:val="clear" w:color="auto" w:fill="FDFDFC"/>
          </w:tcPr>
          <w:p>
            <w:pPr>
              <w:spacing w:after="0"/>
              <w:rPr>
                <w:sz w:val="15"/>
                <w:szCs w:val="15"/>
                <w:color w:val="auto"/>
              </w:rPr>
            </w:pPr>
          </w:p>
        </w:tc>
        <w:tc>
          <w:tcPr>
            <w:tcW w:w="20" w:type="dxa"/>
            <w:vAlign w:val="bottom"/>
            <w:shd w:val="clear" w:color="auto" w:fill="FDFDFC"/>
          </w:tcPr>
          <w:p>
            <w:pPr>
              <w:spacing w:after="0"/>
              <w:rPr>
                <w:sz w:val="15"/>
                <w:szCs w:val="15"/>
                <w:color w:val="auto"/>
              </w:rPr>
            </w:pPr>
          </w:p>
        </w:tc>
        <w:tc>
          <w:tcPr>
            <w:tcW w:w="40" w:type="dxa"/>
            <w:vAlign w:val="bottom"/>
            <w:shd w:val="clear" w:color="auto" w:fill="FDFDFC"/>
          </w:tcPr>
          <w:p>
            <w:pPr>
              <w:spacing w:after="0"/>
              <w:rPr>
                <w:sz w:val="15"/>
                <w:szCs w:val="15"/>
                <w:color w:val="auto"/>
              </w:rPr>
            </w:pPr>
          </w:p>
        </w:tc>
        <w:tc>
          <w:tcPr>
            <w:tcW w:w="720" w:type="dxa"/>
            <w:vAlign w:val="bottom"/>
            <w:shd w:val="clear" w:color="auto" w:fill="FDFDFC"/>
          </w:tcPr>
          <w:p>
            <w:pPr>
              <w:spacing w:after="0"/>
              <w:rPr>
                <w:sz w:val="15"/>
                <w:szCs w:val="15"/>
                <w:color w:val="auto"/>
              </w:rPr>
            </w:pPr>
          </w:p>
        </w:tc>
        <w:tc>
          <w:tcPr>
            <w:tcW w:w="100" w:type="dxa"/>
            <w:vAlign w:val="bottom"/>
            <w:shd w:val="clear" w:color="auto" w:fill="FDFD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620" w:type="dxa"/>
            <w:vAlign w:val="bottom"/>
            <w:gridSpan w:val="2"/>
            <w:shd w:val="clear" w:color="auto" w:fill="D0EBF2"/>
          </w:tcPr>
          <w:p>
            <w:pPr>
              <w:ind w:left="100"/>
              <w:spacing w:after="0"/>
              <w:rPr>
                <w:sz w:val="20"/>
                <w:szCs w:val="20"/>
                <w:color w:val="auto"/>
              </w:rPr>
            </w:pPr>
            <w:r>
              <w:rPr>
                <w:rFonts w:ascii="Times New Roman" w:cs="Times New Roman" w:eastAsia="Times New Roman" w:hAnsi="Times New Roman"/>
                <w:sz w:val="14"/>
                <w:szCs w:val="14"/>
                <w:color w:val="231F20"/>
              </w:rPr>
              <w:t>Net investment income</w:t>
            </w:r>
          </w:p>
        </w:tc>
        <w:tc>
          <w:tcPr>
            <w:tcW w:w="860" w:type="dxa"/>
            <w:vAlign w:val="bottom"/>
            <w:shd w:val="clear" w:color="auto" w:fill="D0EBF2"/>
          </w:tcPr>
          <w:p>
            <w:pPr>
              <w:jc w:val="right"/>
              <w:spacing w:after="0"/>
              <w:rPr>
                <w:sz w:val="20"/>
                <w:szCs w:val="20"/>
                <w:color w:val="auto"/>
              </w:rPr>
            </w:pPr>
            <w:r>
              <w:rPr>
                <w:rFonts w:ascii="Times New Roman" w:cs="Times New Roman" w:eastAsia="Times New Roman" w:hAnsi="Times New Roman"/>
                <w:sz w:val="14"/>
                <w:szCs w:val="14"/>
                <w:color w:val="231F20"/>
              </w:rPr>
              <w:t>—</w:t>
            </w:r>
          </w:p>
        </w:tc>
        <w:tc>
          <w:tcPr>
            <w:tcW w:w="100" w:type="dxa"/>
            <w:vAlign w:val="bottom"/>
            <w:shd w:val="clear" w:color="auto" w:fill="D0EBF2"/>
          </w:tcPr>
          <w:p>
            <w:pPr>
              <w:spacing w:after="0"/>
              <w:rPr>
                <w:sz w:val="15"/>
                <w:szCs w:val="15"/>
                <w:color w:val="auto"/>
              </w:rPr>
            </w:pPr>
          </w:p>
        </w:tc>
        <w:tc>
          <w:tcPr>
            <w:tcW w:w="100" w:type="dxa"/>
            <w:vAlign w:val="bottom"/>
            <w:shd w:val="clear" w:color="auto" w:fill="D0EBF2"/>
          </w:tcPr>
          <w:p>
            <w:pPr>
              <w:spacing w:after="0"/>
              <w:rPr>
                <w:sz w:val="15"/>
                <w:szCs w:val="15"/>
                <w:color w:val="auto"/>
              </w:rPr>
            </w:pPr>
          </w:p>
        </w:tc>
        <w:tc>
          <w:tcPr>
            <w:tcW w:w="20" w:type="dxa"/>
            <w:vAlign w:val="bottom"/>
            <w:shd w:val="clear" w:color="auto" w:fill="D0EBF2"/>
          </w:tcPr>
          <w:p>
            <w:pPr>
              <w:spacing w:after="0"/>
              <w:rPr>
                <w:sz w:val="15"/>
                <w:szCs w:val="15"/>
                <w:color w:val="auto"/>
              </w:rPr>
            </w:pPr>
          </w:p>
        </w:tc>
        <w:tc>
          <w:tcPr>
            <w:tcW w:w="20" w:type="dxa"/>
            <w:vAlign w:val="bottom"/>
            <w:shd w:val="clear" w:color="auto" w:fill="D0EBF2"/>
          </w:tcPr>
          <w:p>
            <w:pPr>
              <w:spacing w:after="0"/>
              <w:rPr>
                <w:sz w:val="15"/>
                <w:szCs w:val="15"/>
                <w:color w:val="auto"/>
              </w:rPr>
            </w:pPr>
          </w:p>
        </w:tc>
        <w:tc>
          <w:tcPr>
            <w:tcW w:w="60" w:type="dxa"/>
            <w:vAlign w:val="bottom"/>
            <w:shd w:val="clear" w:color="auto" w:fill="D0EBF2"/>
          </w:tcPr>
          <w:p>
            <w:pPr>
              <w:spacing w:after="0"/>
              <w:rPr>
                <w:sz w:val="15"/>
                <w:szCs w:val="15"/>
                <w:color w:val="auto"/>
              </w:rPr>
            </w:pPr>
          </w:p>
        </w:tc>
        <w:tc>
          <w:tcPr>
            <w:tcW w:w="420" w:type="dxa"/>
            <w:vAlign w:val="bottom"/>
            <w:shd w:val="clear" w:color="auto" w:fill="D0EBF2"/>
          </w:tcPr>
          <w:p>
            <w:pPr>
              <w:jc w:val="right"/>
              <w:spacing w:after="0"/>
              <w:rPr>
                <w:sz w:val="20"/>
                <w:szCs w:val="20"/>
                <w:color w:val="auto"/>
              </w:rPr>
            </w:pPr>
            <w:r>
              <w:rPr>
                <w:rFonts w:ascii="Times New Roman" w:cs="Times New Roman" w:eastAsia="Times New Roman" w:hAnsi="Times New Roman"/>
                <w:sz w:val="14"/>
                <w:szCs w:val="14"/>
                <w:color w:val="231F20"/>
              </w:rPr>
              <w:t>—</w:t>
            </w:r>
          </w:p>
        </w:tc>
        <w:tc>
          <w:tcPr>
            <w:tcW w:w="100" w:type="dxa"/>
            <w:vAlign w:val="bottom"/>
            <w:shd w:val="clear" w:color="auto" w:fill="D0EBF2"/>
          </w:tcPr>
          <w:p>
            <w:pPr>
              <w:spacing w:after="0"/>
              <w:rPr>
                <w:sz w:val="15"/>
                <w:szCs w:val="15"/>
                <w:color w:val="auto"/>
              </w:rPr>
            </w:pPr>
          </w:p>
        </w:tc>
        <w:tc>
          <w:tcPr>
            <w:tcW w:w="20" w:type="dxa"/>
            <w:vAlign w:val="bottom"/>
            <w:shd w:val="clear" w:color="auto" w:fill="D0EBF2"/>
          </w:tcPr>
          <w:p>
            <w:pPr>
              <w:spacing w:after="0"/>
              <w:rPr>
                <w:sz w:val="15"/>
                <w:szCs w:val="15"/>
                <w:color w:val="auto"/>
              </w:rPr>
            </w:pPr>
          </w:p>
        </w:tc>
        <w:tc>
          <w:tcPr>
            <w:tcW w:w="80" w:type="dxa"/>
            <w:vAlign w:val="bottom"/>
            <w:shd w:val="clear" w:color="auto" w:fill="D0EBF2"/>
          </w:tcPr>
          <w:p>
            <w:pPr>
              <w:spacing w:after="0"/>
              <w:rPr>
                <w:sz w:val="15"/>
                <w:szCs w:val="15"/>
                <w:color w:val="auto"/>
              </w:rPr>
            </w:pPr>
          </w:p>
        </w:tc>
        <w:tc>
          <w:tcPr>
            <w:tcW w:w="20" w:type="dxa"/>
            <w:vAlign w:val="bottom"/>
            <w:shd w:val="clear" w:color="auto" w:fill="D0EBF2"/>
          </w:tcPr>
          <w:p>
            <w:pPr>
              <w:spacing w:after="0"/>
              <w:rPr>
                <w:sz w:val="15"/>
                <w:szCs w:val="15"/>
                <w:color w:val="auto"/>
              </w:rPr>
            </w:pPr>
          </w:p>
        </w:tc>
        <w:tc>
          <w:tcPr>
            <w:tcW w:w="20" w:type="dxa"/>
            <w:vAlign w:val="bottom"/>
            <w:shd w:val="clear" w:color="auto" w:fill="D0EBF2"/>
          </w:tcPr>
          <w:p>
            <w:pPr>
              <w:spacing w:after="0"/>
              <w:rPr>
                <w:sz w:val="15"/>
                <w:szCs w:val="15"/>
                <w:color w:val="auto"/>
              </w:rPr>
            </w:pPr>
          </w:p>
        </w:tc>
        <w:tc>
          <w:tcPr>
            <w:tcW w:w="660" w:type="dxa"/>
            <w:vAlign w:val="bottom"/>
            <w:shd w:val="clear" w:color="auto" w:fill="D0EBF2"/>
          </w:tcPr>
          <w:p>
            <w:pPr>
              <w:jc w:val="right"/>
              <w:spacing w:after="0"/>
              <w:rPr>
                <w:sz w:val="20"/>
                <w:szCs w:val="20"/>
                <w:color w:val="auto"/>
              </w:rPr>
            </w:pPr>
            <w:r>
              <w:rPr>
                <w:rFonts w:ascii="Times New Roman" w:cs="Times New Roman" w:eastAsia="Times New Roman" w:hAnsi="Times New Roman"/>
                <w:sz w:val="14"/>
                <w:szCs w:val="14"/>
                <w:color w:val="231F20"/>
              </w:rPr>
              <w:t>—</w:t>
            </w:r>
          </w:p>
        </w:tc>
        <w:tc>
          <w:tcPr>
            <w:tcW w:w="100" w:type="dxa"/>
            <w:vAlign w:val="bottom"/>
            <w:shd w:val="clear" w:color="auto" w:fill="D0EBF2"/>
          </w:tcPr>
          <w:p>
            <w:pPr>
              <w:spacing w:after="0"/>
              <w:rPr>
                <w:sz w:val="15"/>
                <w:szCs w:val="15"/>
                <w:color w:val="auto"/>
              </w:rPr>
            </w:pPr>
          </w:p>
        </w:tc>
        <w:tc>
          <w:tcPr>
            <w:tcW w:w="20" w:type="dxa"/>
            <w:vAlign w:val="bottom"/>
            <w:shd w:val="clear" w:color="auto" w:fill="D0EBF2"/>
          </w:tcPr>
          <w:p>
            <w:pPr>
              <w:spacing w:after="0"/>
              <w:rPr>
                <w:sz w:val="15"/>
                <w:szCs w:val="15"/>
                <w:color w:val="auto"/>
              </w:rPr>
            </w:pPr>
          </w:p>
        </w:tc>
        <w:tc>
          <w:tcPr>
            <w:tcW w:w="80" w:type="dxa"/>
            <w:vAlign w:val="bottom"/>
            <w:shd w:val="clear" w:color="auto" w:fill="D0EBF2"/>
          </w:tcPr>
          <w:p>
            <w:pPr>
              <w:spacing w:after="0"/>
              <w:rPr>
                <w:sz w:val="15"/>
                <w:szCs w:val="15"/>
                <w:color w:val="auto"/>
              </w:rPr>
            </w:pPr>
          </w:p>
        </w:tc>
        <w:tc>
          <w:tcPr>
            <w:tcW w:w="20" w:type="dxa"/>
            <w:vAlign w:val="bottom"/>
            <w:shd w:val="clear" w:color="auto" w:fill="D0EBF2"/>
          </w:tcPr>
          <w:p>
            <w:pPr>
              <w:spacing w:after="0"/>
              <w:rPr>
                <w:sz w:val="15"/>
                <w:szCs w:val="15"/>
                <w:color w:val="auto"/>
              </w:rPr>
            </w:pPr>
          </w:p>
        </w:tc>
        <w:tc>
          <w:tcPr>
            <w:tcW w:w="20" w:type="dxa"/>
            <w:vAlign w:val="bottom"/>
            <w:shd w:val="clear" w:color="auto" w:fill="D0EBF2"/>
          </w:tcPr>
          <w:p>
            <w:pPr>
              <w:spacing w:after="0"/>
              <w:rPr>
                <w:sz w:val="15"/>
                <w:szCs w:val="15"/>
                <w:color w:val="auto"/>
              </w:rPr>
            </w:pPr>
          </w:p>
        </w:tc>
        <w:tc>
          <w:tcPr>
            <w:tcW w:w="60" w:type="dxa"/>
            <w:vAlign w:val="bottom"/>
            <w:shd w:val="clear" w:color="auto" w:fill="D0EBF2"/>
          </w:tcPr>
          <w:p>
            <w:pPr>
              <w:spacing w:after="0"/>
              <w:rPr>
                <w:sz w:val="15"/>
                <w:szCs w:val="15"/>
                <w:color w:val="auto"/>
              </w:rPr>
            </w:pPr>
          </w:p>
        </w:tc>
        <w:tc>
          <w:tcPr>
            <w:tcW w:w="620" w:type="dxa"/>
            <w:vAlign w:val="bottom"/>
            <w:gridSpan w:val="4"/>
            <w:shd w:val="clear" w:color="auto" w:fill="D0EBF2"/>
          </w:tcPr>
          <w:p>
            <w:pPr>
              <w:jc w:val="right"/>
              <w:ind w:right="160"/>
              <w:spacing w:after="0"/>
              <w:rPr>
                <w:sz w:val="20"/>
                <w:szCs w:val="20"/>
                <w:color w:val="auto"/>
              </w:rPr>
            </w:pPr>
            <w:r>
              <w:rPr>
                <w:rFonts w:ascii="Times New Roman" w:cs="Times New Roman" w:eastAsia="Times New Roman" w:hAnsi="Times New Roman"/>
                <w:sz w:val="14"/>
                <w:szCs w:val="14"/>
                <w:color w:val="231F20"/>
              </w:rPr>
              <w:t>—</w:t>
            </w:r>
          </w:p>
        </w:tc>
        <w:tc>
          <w:tcPr>
            <w:tcW w:w="60" w:type="dxa"/>
            <w:vAlign w:val="bottom"/>
            <w:shd w:val="clear" w:color="auto" w:fill="D0EBF2"/>
          </w:tcPr>
          <w:p>
            <w:pPr>
              <w:spacing w:after="0"/>
              <w:rPr>
                <w:sz w:val="15"/>
                <w:szCs w:val="15"/>
                <w:color w:val="auto"/>
              </w:rPr>
            </w:pPr>
          </w:p>
        </w:tc>
        <w:tc>
          <w:tcPr>
            <w:tcW w:w="140" w:type="dxa"/>
            <w:vAlign w:val="bottom"/>
            <w:shd w:val="clear" w:color="auto" w:fill="D0EBF2"/>
          </w:tcPr>
          <w:p>
            <w:pPr>
              <w:spacing w:after="0"/>
              <w:rPr>
                <w:sz w:val="15"/>
                <w:szCs w:val="15"/>
                <w:color w:val="auto"/>
              </w:rPr>
            </w:pPr>
          </w:p>
        </w:tc>
        <w:tc>
          <w:tcPr>
            <w:tcW w:w="1140" w:type="dxa"/>
            <w:vAlign w:val="bottom"/>
            <w:gridSpan w:val="6"/>
            <w:shd w:val="clear" w:color="auto" w:fill="D0EBF2"/>
          </w:tcPr>
          <w:p>
            <w:pPr>
              <w:jc w:val="right"/>
              <w:ind w:right="260"/>
              <w:spacing w:after="0"/>
              <w:rPr>
                <w:sz w:val="20"/>
                <w:szCs w:val="20"/>
                <w:color w:val="auto"/>
              </w:rPr>
            </w:pPr>
            <w:r>
              <w:rPr>
                <w:rFonts w:ascii="Times New Roman" w:cs="Times New Roman" w:eastAsia="Times New Roman" w:hAnsi="Times New Roman"/>
                <w:sz w:val="14"/>
                <w:szCs w:val="14"/>
                <w:color w:val="231F20"/>
              </w:rPr>
              <w:t>—</w:t>
            </w:r>
          </w:p>
        </w:tc>
        <w:tc>
          <w:tcPr>
            <w:tcW w:w="60" w:type="dxa"/>
            <w:vAlign w:val="bottom"/>
            <w:shd w:val="clear" w:color="auto" w:fill="D0EBF2"/>
          </w:tcPr>
          <w:p>
            <w:pPr>
              <w:spacing w:after="0"/>
              <w:rPr>
                <w:sz w:val="15"/>
                <w:szCs w:val="15"/>
                <w:color w:val="auto"/>
              </w:rPr>
            </w:pPr>
          </w:p>
        </w:tc>
        <w:tc>
          <w:tcPr>
            <w:tcW w:w="720" w:type="dxa"/>
            <w:vAlign w:val="bottom"/>
            <w:shd w:val="clear" w:color="auto" w:fill="D0EBF2"/>
          </w:tcPr>
          <w:p>
            <w:pPr>
              <w:jc w:val="right"/>
              <w:spacing w:after="0"/>
              <w:rPr>
                <w:sz w:val="20"/>
                <w:szCs w:val="20"/>
                <w:color w:val="auto"/>
              </w:rPr>
            </w:pPr>
            <w:r>
              <w:rPr>
                <w:rFonts w:ascii="Times New Roman" w:cs="Times New Roman" w:eastAsia="Times New Roman" w:hAnsi="Times New Roman"/>
                <w:sz w:val="14"/>
                <w:szCs w:val="14"/>
                <w:color w:val="231F20"/>
              </w:rPr>
              <w:t>166,327</w:t>
            </w:r>
          </w:p>
        </w:tc>
        <w:tc>
          <w:tcPr>
            <w:tcW w:w="100" w:type="dxa"/>
            <w:vAlign w:val="bottom"/>
            <w:shd w:val="clear" w:color="auto" w:fill="D0EBF2"/>
          </w:tcPr>
          <w:p>
            <w:pPr>
              <w:spacing w:after="0"/>
              <w:rPr>
                <w:sz w:val="15"/>
                <w:szCs w:val="15"/>
                <w:color w:val="auto"/>
              </w:rPr>
            </w:pPr>
          </w:p>
        </w:tc>
        <w:tc>
          <w:tcPr>
            <w:tcW w:w="20" w:type="dxa"/>
            <w:vAlign w:val="bottom"/>
            <w:shd w:val="clear" w:color="auto" w:fill="D0EBF2"/>
          </w:tcPr>
          <w:p>
            <w:pPr>
              <w:spacing w:after="0"/>
              <w:rPr>
                <w:sz w:val="15"/>
                <w:szCs w:val="15"/>
                <w:color w:val="auto"/>
              </w:rPr>
            </w:pPr>
          </w:p>
        </w:tc>
        <w:tc>
          <w:tcPr>
            <w:tcW w:w="80" w:type="dxa"/>
            <w:vAlign w:val="bottom"/>
            <w:shd w:val="clear" w:color="auto" w:fill="D0EBF2"/>
          </w:tcPr>
          <w:p>
            <w:pPr>
              <w:spacing w:after="0"/>
              <w:rPr>
                <w:sz w:val="15"/>
                <w:szCs w:val="15"/>
                <w:color w:val="auto"/>
              </w:rPr>
            </w:pPr>
          </w:p>
        </w:tc>
        <w:tc>
          <w:tcPr>
            <w:tcW w:w="20" w:type="dxa"/>
            <w:vAlign w:val="bottom"/>
            <w:shd w:val="clear" w:color="auto" w:fill="D0EBF2"/>
          </w:tcPr>
          <w:p>
            <w:pPr>
              <w:spacing w:after="0"/>
              <w:rPr>
                <w:sz w:val="15"/>
                <w:szCs w:val="15"/>
                <w:color w:val="auto"/>
              </w:rPr>
            </w:pPr>
          </w:p>
        </w:tc>
        <w:tc>
          <w:tcPr>
            <w:tcW w:w="20" w:type="dxa"/>
            <w:vAlign w:val="bottom"/>
            <w:shd w:val="clear" w:color="auto" w:fill="D0EBF2"/>
          </w:tcPr>
          <w:p>
            <w:pPr>
              <w:spacing w:after="0"/>
              <w:rPr>
                <w:sz w:val="15"/>
                <w:szCs w:val="15"/>
                <w:color w:val="auto"/>
              </w:rPr>
            </w:pPr>
          </w:p>
        </w:tc>
        <w:tc>
          <w:tcPr>
            <w:tcW w:w="40" w:type="dxa"/>
            <w:vAlign w:val="bottom"/>
            <w:shd w:val="clear" w:color="auto" w:fill="D0EBF2"/>
          </w:tcPr>
          <w:p>
            <w:pPr>
              <w:spacing w:after="0"/>
              <w:rPr>
                <w:sz w:val="15"/>
                <w:szCs w:val="15"/>
                <w:color w:val="auto"/>
              </w:rPr>
            </w:pPr>
          </w:p>
        </w:tc>
        <w:tc>
          <w:tcPr>
            <w:tcW w:w="720" w:type="dxa"/>
            <w:vAlign w:val="bottom"/>
            <w:shd w:val="clear" w:color="auto" w:fill="D0EBF2"/>
          </w:tcPr>
          <w:p>
            <w:pPr>
              <w:jc w:val="right"/>
              <w:spacing w:after="0"/>
              <w:rPr>
                <w:sz w:val="20"/>
                <w:szCs w:val="20"/>
                <w:color w:val="auto"/>
              </w:rPr>
            </w:pPr>
            <w:r>
              <w:rPr>
                <w:rFonts w:ascii="Times New Roman" w:cs="Times New Roman" w:eastAsia="Times New Roman" w:hAnsi="Times New Roman"/>
                <w:sz w:val="14"/>
                <w:szCs w:val="14"/>
                <w:color w:val="231F20"/>
              </w:rPr>
              <w:t>166,327</w:t>
            </w:r>
          </w:p>
        </w:tc>
        <w:tc>
          <w:tcPr>
            <w:tcW w:w="100" w:type="dxa"/>
            <w:vAlign w:val="bottom"/>
            <w:shd w:val="clear" w:color="auto" w:fill="D0EBF2"/>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3620" w:type="dxa"/>
            <w:vAlign w:val="bottom"/>
            <w:gridSpan w:val="2"/>
            <w:shd w:val="clear" w:color="auto" w:fill="FDFDFC"/>
          </w:tcPr>
          <w:p>
            <w:pPr>
              <w:ind w:left="200"/>
              <w:spacing w:after="0"/>
              <w:rPr>
                <w:sz w:val="20"/>
                <w:szCs w:val="20"/>
                <w:color w:val="auto"/>
              </w:rPr>
            </w:pPr>
            <w:r>
              <w:rPr>
                <w:rFonts w:ascii="Times New Roman" w:cs="Times New Roman" w:eastAsia="Times New Roman" w:hAnsi="Times New Roman"/>
                <w:sz w:val="14"/>
                <w:szCs w:val="14"/>
                <w:color w:val="231F20"/>
              </w:rPr>
              <w:t>Net change in unrealized gains (losses) on investments</w:t>
            </w:r>
          </w:p>
        </w:tc>
        <w:tc>
          <w:tcPr>
            <w:tcW w:w="860" w:type="dxa"/>
            <w:vAlign w:val="bottom"/>
            <w:vMerge w:val="restart"/>
            <w:shd w:val="clear" w:color="auto" w:fill="FDFDFC"/>
          </w:tcPr>
          <w:p>
            <w:pPr>
              <w:jc w:val="right"/>
              <w:spacing w:after="0"/>
              <w:rPr>
                <w:sz w:val="20"/>
                <w:szCs w:val="20"/>
                <w:color w:val="auto"/>
              </w:rPr>
            </w:pPr>
            <w:r>
              <w:rPr>
                <w:rFonts w:ascii="Times New Roman" w:cs="Times New Roman" w:eastAsia="Times New Roman" w:hAnsi="Times New Roman"/>
                <w:sz w:val="14"/>
                <w:szCs w:val="14"/>
                <w:color w:val="231F20"/>
              </w:rPr>
              <w:t>—</w:t>
            </w:r>
          </w:p>
        </w:tc>
        <w:tc>
          <w:tcPr>
            <w:tcW w:w="100" w:type="dxa"/>
            <w:vAlign w:val="bottom"/>
            <w:shd w:val="clear" w:color="auto" w:fill="FDFDFC"/>
          </w:tcPr>
          <w:p>
            <w:pPr>
              <w:spacing w:after="0"/>
              <w:rPr>
                <w:sz w:val="14"/>
                <w:szCs w:val="14"/>
                <w:color w:val="auto"/>
              </w:rPr>
            </w:pPr>
          </w:p>
        </w:tc>
        <w:tc>
          <w:tcPr>
            <w:tcW w:w="100" w:type="dxa"/>
            <w:vAlign w:val="bottom"/>
            <w:shd w:val="clear" w:color="auto" w:fill="FDFDFC"/>
          </w:tcPr>
          <w:p>
            <w:pPr>
              <w:spacing w:after="0"/>
              <w:rPr>
                <w:sz w:val="14"/>
                <w:szCs w:val="14"/>
                <w:color w:val="auto"/>
              </w:rPr>
            </w:pPr>
          </w:p>
        </w:tc>
        <w:tc>
          <w:tcPr>
            <w:tcW w:w="20" w:type="dxa"/>
            <w:vAlign w:val="bottom"/>
            <w:shd w:val="clear" w:color="auto" w:fill="FDFDFC"/>
          </w:tcPr>
          <w:p>
            <w:pPr>
              <w:spacing w:after="0"/>
              <w:rPr>
                <w:sz w:val="14"/>
                <w:szCs w:val="14"/>
                <w:color w:val="auto"/>
              </w:rPr>
            </w:pPr>
          </w:p>
        </w:tc>
        <w:tc>
          <w:tcPr>
            <w:tcW w:w="20" w:type="dxa"/>
            <w:vAlign w:val="bottom"/>
            <w:shd w:val="clear" w:color="auto" w:fill="FDFDFC"/>
          </w:tcPr>
          <w:p>
            <w:pPr>
              <w:spacing w:after="0"/>
              <w:rPr>
                <w:sz w:val="14"/>
                <w:szCs w:val="14"/>
                <w:color w:val="auto"/>
              </w:rPr>
            </w:pPr>
          </w:p>
        </w:tc>
        <w:tc>
          <w:tcPr>
            <w:tcW w:w="60" w:type="dxa"/>
            <w:vAlign w:val="bottom"/>
            <w:shd w:val="clear" w:color="auto" w:fill="FDFDFC"/>
          </w:tcPr>
          <w:p>
            <w:pPr>
              <w:spacing w:after="0"/>
              <w:rPr>
                <w:sz w:val="14"/>
                <w:szCs w:val="14"/>
                <w:color w:val="auto"/>
              </w:rPr>
            </w:pPr>
          </w:p>
        </w:tc>
        <w:tc>
          <w:tcPr>
            <w:tcW w:w="420" w:type="dxa"/>
            <w:vAlign w:val="bottom"/>
            <w:vMerge w:val="restart"/>
            <w:shd w:val="clear" w:color="auto" w:fill="FDFDFC"/>
          </w:tcPr>
          <w:p>
            <w:pPr>
              <w:jc w:val="right"/>
              <w:spacing w:after="0"/>
              <w:rPr>
                <w:sz w:val="20"/>
                <w:szCs w:val="20"/>
                <w:color w:val="auto"/>
              </w:rPr>
            </w:pPr>
            <w:r>
              <w:rPr>
                <w:rFonts w:ascii="Times New Roman" w:cs="Times New Roman" w:eastAsia="Times New Roman" w:hAnsi="Times New Roman"/>
                <w:sz w:val="14"/>
                <w:szCs w:val="14"/>
                <w:color w:val="231F20"/>
              </w:rPr>
              <w:t>—</w:t>
            </w:r>
          </w:p>
        </w:tc>
        <w:tc>
          <w:tcPr>
            <w:tcW w:w="100" w:type="dxa"/>
            <w:vAlign w:val="bottom"/>
            <w:shd w:val="clear" w:color="auto" w:fill="FDFDFC"/>
          </w:tcPr>
          <w:p>
            <w:pPr>
              <w:spacing w:after="0"/>
              <w:rPr>
                <w:sz w:val="14"/>
                <w:szCs w:val="14"/>
                <w:color w:val="auto"/>
              </w:rPr>
            </w:pPr>
          </w:p>
        </w:tc>
        <w:tc>
          <w:tcPr>
            <w:tcW w:w="20" w:type="dxa"/>
            <w:vAlign w:val="bottom"/>
            <w:shd w:val="clear" w:color="auto" w:fill="FDFDFC"/>
          </w:tcPr>
          <w:p>
            <w:pPr>
              <w:spacing w:after="0"/>
              <w:rPr>
                <w:sz w:val="14"/>
                <w:szCs w:val="14"/>
                <w:color w:val="auto"/>
              </w:rPr>
            </w:pPr>
          </w:p>
        </w:tc>
        <w:tc>
          <w:tcPr>
            <w:tcW w:w="80" w:type="dxa"/>
            <w:vAlign w:val="bottom"/>
            <w:shd w:val="clear" w:color="auto" w:fill="FDFDFC"/>
          </w:tcPr>
          <w:p>
            <w:pPr>
              <w:spacing w:after="0"/>
              <w:rPr>
                <w:sz w:val="14"/>
                <w:szCs w:val="14"/>
                <w:color w:val="auto"/>
              </w:rPr>
            </w:pPr>
          </w:p>
        </w:tc>
        <w:tc>
          <w:tcPr>
            <w:tcW w:w="20" w:type="dxa"/>
            <w:vAlign w:val="bottom"/>
            <w:shd w:val="clear" w:color="auto" w:fill="FDFDFC"/>
          </w:tcPr>
          <w:p>
            <w:pPr>
              <w:spacing w:after="0"/>
              <w:rPr>
                <w:sz w:val="14"/>
                <w:szCs w:val="14"/>
                <w:color w:val="auto"/>
              </w:rPr>
            </w:pPr>
          </w:p>
        </w:tc>
        <w:tc>
          <w:tcPr>
            <w:tcW w:w="20" w:type="dxa"/>
            <w:vAlign w:val="bottom"/>
            <w:shd w:val="clear" w:color="auto" w:fill="FDFDFC"/>
          </w:tcPr>
          <w:p>
            <w:pPr>
              <w:spacing w:after="0"/>
              <w:rPr>
                <w:sz w:val="14"/>
                <w:szCs w:val="14"/>
                <w:color w:val="auto"/>
              </w:rPr>
            </w:pPr>
          </w:p>
        </w:tc>
        <w:tc>
          <w:tcPr>
            <w:tcW w:w="660" w:type="dxa"/>
            <w:vAlign w:val="bottom"/>
            <w:vMerge w:val="restart"/>
            <w:shd w:val="clear" w:color="auto" w:fill="FDFDFC"/>
          </w:tcPr>
          <w:p>
            <w:pPr>
              <w:jc w:val="right"/>
              <w:spacing w:after="0"/>
              <w:rPr>
                <w:sz w:val="20"/>
                <w:szCs w:val="20"/>
                <w:color w:val="auto"/>
              </w:rPr>
            </w:pPr>
            <w:r>
              <w:rPr>
                <w:rFonts w:ascii="Times New Roman" w:cs="Times New Roman" w:eastAsia="Times New Roman" w:hAnsi="Times New Roman"/>
                <w:sz w:val="14"/>
                <w:szCs w:val="14"/>
                <w:color w:val="231F20"/>
              </w:rPr>
              <w:t>—</w:t>
            </w:r>
          </w:p>
        </w:tc>
        <w:tc>
          <w:tcPr>
            <w:tcW w:w="100" w:type="dxa"/>
            <w:vAlign w:val="bottom"/>
            <w:shd w:val="clear" w:color="auto" w:fill="FDFDFC"/>
          </w:tcPr>
          <w:p>
            <w:pPr>
              <w:spacing w:after="0"/>
              <w:rPr>
                <w:sz w:val="14"/>
                <w:szCs w:val="14"/>
                <w:color w:val="auto"/>
              </w:rPr>
            </w:pPr>
          </w:p>
        </w:tc>
        <w:tc>
          <w:tcPr>
            <w:tcW w:w="20" w:type="dxa"/>
            <w:vAlign w:val="bottom"/>
            <w:shd w:val="clear" w:color="auto" w:fill="FDFDFC"/>
          </w:tcPr>
          <w:p>
            <w:pPr>
              <w:spacing w:after="0"/>
              <w:rPr>
                <w:sz w:val="14"/>
                <w:szCs w:val="14"/>
                <w:color w:val="auto"/>
              </w:rPr>
            </w:pPr>
          </w:p>
        </w:tc>
        <w:tc>
          <w:tcPr>
            <w:tcW w:w="80" w:type="dxa"/>
            <w:vAlign w:val="bottom"/>
            <w:shd w:val="clear" w:color="auto" w:fill="FDFDFC"/>
          </w:tcPr>
          <w:p>
            <w:pPr>
              <w:spacing w:after="0"/>
              <w:rPr>
                <w:sz w:val="14"/>
                <w:szCs w:val="14"/>
                <w:color w:val="auto"/>
              </w:rPr>
            </w:pPr>
          </w:p>
        </w:tc>
        <w:tc>
          <w:tcPr>
            <w:tcW w:w="20" w:type="dxa"/>
            <w:vAlign w:val="bottom"/>
            <w:shd w:val="clear" w:color="auto" w:fill="FDFDFC"/>
          </w:tcPr>
          <w:p>
            <w:pPr>
              <w:spacing w:after="0"/>
              <w:rPr>
                <w:sz w:val="14"/>
                <w:szCs w:val="14"/>
                <w:color w:val="auto"/>
              </w:rPr>
            </w:pPr>
          </w:p>
        </w:tc>
        <w:tc>
          <w:tcPr>
            <w:tcW w:w="20" w:type="dxa"/>
            <w:vAlign w:val="bottom"/>
            <w:shd w:val="clear" w:color="auto" w:fill="FDFDFC"/>
          </w:tcPr>
          <w:p>
            <w:pPr>
              <w:spacing w:after="0"/>
              <w:rPr>
                <w:sz w:val="14"/>
                <w:szCs w:val="14"/>
                <w:color w:val="auto"/>
              </w:rPr>
            </w:pPr>
          </w:p>
        </w:tc>
        <w:tc>
          <w:tcPr>
            <w:tcW w:w="60" w:type="dxa"/>
            <w:vAlign w:val="bottom"/>
            <w:shd w:val="clear" w:color="auto" w:fill="FDFDFC"/>
          </w:tcPr>
          <w:p>
            <w:pPr>
              <w:spacing w:after="0"/>
              <w:rPr>
                <w:sz w:val="14"/>
                <w:szCs w:val="14"/>
                <w:color w:val="auto"/>
              </w:rPr>
            </w:pPr>
          </w:p>
        </w:tc>
        <w:tc>
          <w:tcPr>
            <w:tcW w:w="620" w:type="dxa"/>
            <w:vAlign w:val="bottom"/>
            <w:gridSpan w:val="4"/>
            <w:vMerge w:val="restart"/>
            <w:shd w:val="clear" w:color="auto" w:fill="FDFDFC"/>
          </w:tcPr>
          <w:p>
            <w:pPr>
              <w:jc w:val="right"/>
              <w:ind w:right="160"/>
              <w:spacing w:after="0"/>
              <w:rPr>
                <w:sz w:val="20"/>
                <w:szCs w:val="20"/>
                <w:color w:val="auto"/>
              </w:rPr>
            </w:pPr>
            <w:r>
              <w:rPr>
                <w:rFonts w:ascii="Times New Roman" w:cs="Times New Roman" w:eastAsia="Times New Roman" w:hAnsi="Times New Roman"/>
                <w:sz w:val="14"/>
                <w:szCs w:val="14"/>
                <w:color w:val="231F20"/>
              </w:rPr>
              <w:t>—</w:t>
            </w:r>
          </w:p>
        </w:tc>
        <w:tc>
          <w:tcPr>
            <w:tcW w:w="60" w:type="dxa"/>
            <w:vAlign w:val="bottom"/>
            <w:shd w:val="clear" w:color="auto" w:fill="FDFDFC"/>
          </w:tcPr>
          <w:p>
            <w:pPr>
              <w:spacing w:after="0"/>
              <w:rPr>
                <w:sz w:val="14"/>
                <w:szCs w:val="14"/>
                <w:color w:val="auto"/>
              </w:rPr>
            </w:pPr>
          </w:p>
        </w:tc>
        <w:tc>
          <w:tcPr>
            <w:tcW w:w="140" w:type="dxa"/>
            <w:vAlign w:val="bottom"/>
            <w:shd w:val="clear" w:color="auto" w:fill="FDFDFC"/>
          </w:tcPr>
          <w:p>
            <w:pPr>
              <w:spacing w:after="0"/>
              <w:rPr>
                <w:sz w:val="14"/>
                <w:szCs w:val="14"/>
                <w:color w:val="auto"/>
              </w:rPr>
            </w:pPr>
          </w:p>
        </w:tc>
        <w:tc>
          <w:tcPr>
            <w:tcW w:w="1140" w:type="dxa"/>
            <w:vAlign w:val="bottom"/>
            <w:gridSpan w:val="6"/>
            <w:vMerge w:val="restart"/>
            <w:shd w:val="clear" w:color="auto" w:fill="FDFDFC"/>
          </w:tcPr>
          <w:p>
            <w:pPr>
              <w:jc w:val="right"/>
              <w:ind w:right="260"/>
              <w:spacing w:after="0"/>
              <w:rPr>
                <w:sz w:val="20"/>
                <w:szCs w:val="20"/>
                <w:color w:val="auto"/>
              </w:rPr>
            </w:pPr>
            <w:r>
              <w:rPr>
                <w:rFonts w:ascii="Times New Roman" w:cs="Times New Roman" w:eastAsia="Times New Roman" w:hAnsi="Times New Roman"/>
                <w:sz w:val="14"/>
                <w:szCs w:val="14"/>
                <w:color w:val="231F20"/>
              </w:rPr>
              <w:t>—</w:t>
            </w:r>
          </w:p>
        </w:tc>
        <w:tc>
          <w:tcPr>
            <w:tcW w:w="60" w:type="dxa"/>
            <w:vAlign w:val="bottom"/>
            <w:shd w:val="clear" w:color="auto" w:fill="FDFDFC"/>
          </w:tcPr>
          <w:p>
            <w:pPr>
              <w:spacing w:after="0"/>
              <w:rPr>
                <w:sz w:val="14"/>
                <w:szCs w:val="14"/>
                <w:color w:val="auto"/>
              </w:rPr>
            </w:pPr>
          </w:p>
        </w:tc>
        <w:tc>
          <w:tcPr>
            <w:tcW w:w="820" w:type="dxa"/>
            <w:vAlign w:val="bottom"/>
            <w:gridSpan w:val="2"/>
            <w:vMerge w:val="restart"/>
            <w:shd w:val="clear" w:color="auto" w:fill="FDFDFC"/>
          </w:tcPr>
          <w:p>
            <w:pPr>
              <w:jc w:val="right"/>
              <w:ind w:right="40"/>
              <w:spacing w:after="0"/>
              <w:rPr>
                <w:sz w:val="20"/>
                <w:szCs w:val="20"/>
                <w:color w:val="auto"/>
              </w:rPr>
            </w:pPr>
            <w:r>
              <w:rPr>
                <w:rFonts w:ascii="Times New Roman" w:cs="Times New Roman" w:eastAsia="Times New Roman" w:hAnsi="Times New Roman"/>
                <w:sz w:val="14"/>
                <w:szCs w:val="14"/>
                <w:color w:val="231F20"/>
              </w:rPr>
              <w:t>(74,969 )</w:t>
            </w:r>
          </w:p>
        </w:tc>
        <w:tc>
          <w:tcPr>
            <w:tcW w:w="20" w:type="dxa"/>
            <w:vAlign w:val="bottom"/>
            <w:shd w:val="clear" w:color="auto" w:fill="FDFDFC"/>
          </w:tcPr>
          <w:p>
            <w:pPr>
              <w:spacing w:after="0"/>
              <w:rPr>
                <w:sz w:val="14"/>
                <w:szCs w:val="14"/>
                <w:color w:val="auto"/>
              </w:rPr>
            </w:pPr>
          </w:p>
        </w:tc>
        <w:tc>
          <w:tcPr>
            <w:tcW w:w="80" w:type="dxa"/>
            <w:vAlign w:val="bottom"/>
            <w:shd w:val="clear" w:color="auto" w:fill="FDFDFC"/>
          </w:tcPr>
          <w:p>
            <w:pPr>
              <w:spacing w:after="0"/>
              <w:rPr>
                <w:sz w:val="14"/>
                <w:szCs w:val="14"/>
                <w:color w:val="auto"/>
              </w:rPr>
            </w:pPr>
          </w:p>
        </w:tc>
        <w:tc>
          <w:tcPr>
            <w:tcW w:w="20" w:type="dxa"/>
            <w:vAlign w:val="bottom"/>
            <w:shd w:val="clear" w:color="auto" w:fill="FDFDFC"/>
          </w:tcPr>
          <w:p>
            <w:pPr>
              <w:spacing w:after="0"/>
              <w:rPr>
                <w:sz w:val="14"/>
                <w:szCs w:val="14"/>
                <w:color w:val="auto"/>
              </w:rPr>
            </w:pPr>
          </w:p>
        </w:tc>
        <w:tc>
          <w:tcPr>
            <w:tcW w:w="20" w:type="dxa"/>
            <w:vAlign w:val="bottom"/>
            <w:shd w:val="clear" w:color="auto" w:fill="FDFDFC"/>
          </w:tcPr>
          <w:p>
            <w:pPr>
              <w:spacing w:after="0"/>
              <w:rPr>
                <w:sz w:val="14"/>
                <w:szCs w:val="14"/>
                <w:color w:val="auto"/>
              </w:rPr>
            </w:pPr>
          </w:p>
        </w:tc>
        <w:tc>
          <w:tcPr>
            <w:tcW w:w="40" w:type="dxa"/>
            <w:vAlign w:val="bottom"/>
            <w:shd w:val="clear" w:color="auto" w:fill="FDFDFC"/>
          </w:tcPr>
          <w:p>
            <w:pPr>
              <w:spacing w:after="0"/>
              <w:rPr>
                <w:sz w:val="14"/>
                <w:szCs w:val="14"/>
                <w:color w:val="auto"/>
              </w:rPr>
            </w:pPr>
          </w:p>
        </w:tc>
        <w:tc>
          <w:tcPr>
            <w:tcW w:w="820" w:type="dxa"/>
            <w:vAlign w:val="bottom"/>
            <w:gridSpan w:val="2"/>
            <w:vMerge w:val="restart"/>
            <w:shd w:val="clear" w:color="auto" w:fill="FDFDFC"/>
          </w:tcPr>
          <w:p>
            <w:pPr>
              <w:jc w:val="right"/>
              <w:ind w:right="60"/>
              <w:spacing w:after="0"/>
              <w:rPr>
                <w:sz w:val="20"/>
                <w:szCs w:val="20"/>
                <w:color w:val="auto"/>
              </w:rPr>
            </w:pPr>
            <w:r>
              <w:rPr>
                <w:rFonts w:ascii="Times New Roman" w:cs="Times New Roman" w:eastAsia="Times New Roman" w:hAnsi="Times New Roman"/>
                <w:sz w:val="14"/>
                <w:szCs w:val="14"/>
                <w:color w:val="231F20"/>
              </w:rPr>
              <w:t>(74,969 )</w:t>
            </w:r>
          </w:p>
        </w:tc>
        <w:tc>
          <w:tcPr>
            <w:tcW w:w="0" w:type="dxa"/>
            <w:vAlign w:val="bottom"/>
          </w:tcPr>
          <w:p>
            <w:pPr>
              <w:spacing w:after="0"/>
              <w:rPr>
                <w:sz w:val="1"/>
                <w:szCs w:val="1"/>
                <w:color w:val="auto"/>
              </w:rPr>
            </w:pPr>
          </w:p>
        </w:tc>
      </w:tr>
      <w:tr>
        <w:trPr>
          <w:trHeight w:val="177"/>
        </w:trPr>
        <w:tc>
          <w:tcPr>
            <w:tcW w:w="3620" w:type="dxa"/>
            <w:vAlign w:val="bottom"/>
            <w:gridSpan w:val="2"/>
            <w:shd w:val="clear" w:color="auto" w:fill="FDFDFC"/>
          </w:tcPr>
          <w:p>
            <w:pPr>
              <w:ind w:left="200"/>
              <w:spacing w:after="0"/>
              <w:rPr>
                <w:sz w:val="20"/>
                <w:szCs w:val="20"/>
                <w:color w:val="auto"/>
              </w:rPr>
            </w:pPr>
            <w:r>
              <w:rPr>
                <w:rFonts w:ascii="Times New Roman" w:cs="Times New Roman" w:eastAsia="Times New Roman" w:hAnsi="Times New Roman"/>
                <w:sz w:val="14"/>
                <w:szCs w:val="14"/>
                <w:color w:val="231F20"/>
              </w:rPr>
              <w:t>and foreign currency translation</w:t>
            </w:r>
          </w:p>
        </w:tc>
        <w:tc>
          <w:tcPr>
            <w:tcW w:w="860" w:type="dxa"/>
            <w:vAlign w:val="bottom"/>
            <w:vMerge w:val="continue"/>
            <w:shd w:val="clear" w:color="auto" w:fill="FDFDFC"/>
          </w:tcPr>
          <w:p>
            <w:pPr>
              <w:spacing w:after="0"/>
              <w:rPr>
                <w:sz w:val="15"/>
                <w:szCs w:val="15"/>
                <w:color w:val="auto"/>
              </w:rPr>
            </w:pPr>
          </w:p>
        </w:tc>
        <w:tc>
          <w:tcPr>
            <w:tcW w:w="100" w:type="dxa"/>
            <w:vAlign w:val="bottom"/>
            <w:shd w:val="clear" w:color="auto" w:fill="FDFDFC"/>
          </w:tcPr>
          <w:p>
            <w:pPr>
              <w:spacing w:after="0"/>
              <w:rPr>
                <w:sz w:val="15"/>
                <w:szCs w:val="15"/>
                <w:color w:val="auto"/>
              </w:rPr>
            </w:pPr>
          </w:p>
        </w:tc>
        <w:tc>
          <w:tcPr>
            <w:tcW w:w="100" w:type="dxa"/>
            <w:vAlign w:val="bottom"/>
            <w:shd w:val="clear" w:color="auto" w:fill="FDFDFC"/>
          </w:tcPr>
          <w:p>
            <w:pPr>
              <w:spacing w:after="0"/>
              <w:rPr>
                <w:sz w:val="15"/>
                <w:szCs w:val="15"/>
                <w:color w:val="auto"/>
              </w:rPr>
            </w:pPr>
          </w:p>
        </w:tc>
        <w:tc>
          <w:tcPr>
            <w:tcW w:w="20" w:type="dxa"/>
            <w:vAlign w:val="bottom"/>
            <w:shd w:val="clear" w:color="auto" w:fill="FDFDFC"/>
          </w:tcPr>
          <w:p>
            <w:pPr>
              <w:spacing w:after="0"/>
              <w:rPr>
                <w:sz w:val="15"/>
                <w:szCs w:val="15"/>
                <w:color w:val="auto"/>
              </w:rPr>
            </w:pPr>
          </w:p>
        </w:tc>
        <w:tc>
          <w:tcPr>
            <w:tcW w:w="20" w:type="dxa"/>
            <w:vAlign w:val="bottom"/>
            <w:shd w:val="clear" w:color="auto" w:fill="FDFDFC"/>
          </w:tcPr>
          <w:p>
            <w:pPr>
              <w:spacing w:after="0"/>
              <w:rPr>
                <w:sz w:val="15"/>
                <w:szCs w:val="15"/>
                <w:color w:val="auto"/>
              </w:rPr>
            </w:pPr>
          </w:p>
        </w:tc>
        <w:tc>
          <w:tcPr>
            <w:tcW w:w="60" w:type="dxa"/>
            <w:vAlign w:val="bottom"/>
            <w:shd w:val="clear" w:color="auto" w:fill="FDFDFC"/>
          </w:tcPr>
          <w:p>
            <w:pPr>
              <w:spacing w:after="0"/>
              <w:rPr>
                <w:sz w:val="15"/>
                <w:szCs w:val="15"/>
                <w:color w:val="auto"/>
              </w:rPr>
            </w:pPr>
          </w:p>
        </w:tc>
        <w:tc>
          <w:tcPr>
            <w:tcW w:w="420" w:type="dxa"/>
            <w:vAlign w:val="bottom"/>
            <w:vMerge w:val="continue"/>
            <w:shd w:val="clear" w:color="auto" w:fill="FDFDFC"/>
          </w:tcPr>
          <w:p>
            <w:pPr>
              <w:spacing w:after="0"/>
              <w:rPr>
                <w:sz w:val="15"/>
                <w:szCs w:val="15"/>
                <w:color w:val="auto"/>
              </w:rPr>
            </w:pPr>
          </w:p>
        </w:tc>
        <w:tc>
          <w:tcPr>
            <w:tcW w:w="100" w:type="dxa"/>
            <w:vAlign w:val="bottom"/>
            <w:shd w:val="clear" w:color="auto" w:fill="FDFDFC"/>
          </w:tcPr>
          <w:p>
            <w:pPr>
              <w:spacing w:after="0"/>
              <w:rPr>
                <w:sz w:val="15"/>
                <w:szCs w:val="15"/>
                <w:color w:val="auto"/>
              </w:rPr>
            </w:pPr>
          </w:p>
        </w:tc>
        <w:tc>
          <w:tcPr>
            <w:tcW w:w="20" w:type="dxa"/>
            <w:vAlign w:val="bottom"/>
            <w:shd w:val="clear" w:color="auto" w:fill="FDFDFC"/>
          </w:tcPr>
          <w:p>
            <w:pPr>
              <w:spacing w:after="0"/>
              <w:rPr>
                <w:sz w:val="15"/>
                <w:szCs w:val="15"/>
                <w:color w:val="auto"/>
              </w:rPr>
            </w:pPr>
          </w:p>
        </w:tc>
        <w:tc>
          <w:tcPr>
            <w:tcW w:w="80" w:type="dxa"/>
            <w:vAlign w:val="bottom"/>
            <w:shd w:val="clear" w:color="auto" w:fill="FDFDFC"/>
          </w:tcPr>
          <w:p>
            <w:pPr>
              <w:spacing w:after="0"/>
              <w:rPr>
                <w:sz w:val="15"/>
                <w:szCs w:val="15"/>
                <w:color w:val="auto"/>
              </w:rPr>
            </w:pPr>
          </w:p>
        </w:tc>
        <w:tc>
          <w:tcPr>
            <w:tcW w:w="20" w:type="dxa"/>
            <w:vAlign w:val="bottom"/>
            <w:shd w:val="clear" w:color="auto" w:fill="FDFDFC"/>
          </w:tcPr>
          <w:p>
            <w:pPr>
              <w:spacing w:after="0"/>
              <w:rPr>
                <w:sz w:val="15"/>
                <w:szCs w:val="15"/>
                <w:color w:val="auto"/>
              </w:rPr>
            </w:pPr>
          </w:p>
        </w:tc>
        <w:tc>
          <w:tcPr>
            <w:tcW w:w="20" w:type="dxa"/>
            <w:vAlign w:val="bottom"/>
            <w:shd w:val="clear" w:color="auto" w:fill="FDFDFC"/>
          </w:tcPr>
          <w:p>
            <w:pPr>
              <w:spacing w:after="0"/>
              <w:rPr>
                <w:sz w:val="15"/>
                <w:szCs w:val="15"/>
                <w:color w:val="auto"/>
              </w:rPr>
            </w:pPr>
          </w:p>
        </w:tc>
        <w:tc>
          <w:tcPr>
            <w:tcW w:w="660" w:type="dxa"/>
            <w:vAlign w:val="bottom"/>
            <w:vMerge w:val="continue"/>
            <w:shd w:val="clear" w:color="auto" w:fill="FDFDFC"/>
          </w:tcPr>
          <w:p>
            <w:pPr>
              <w:spacing w:after="0"/>
              <w:rPr>
                <w:sz w:val="15"/>
                <w:szCs w:val="15"/>
                <w:color w:val="auto"/>
              </w:rPr>
            </w:pPr>
          </w:p>
        </w:tc>
        <w:tc>
          <w:tcPr>
            <w:tcW w:w="100" w:type="dxa"/>
            <w:vAlign w:val="bottom"/>
            <w:shd w:val="clear" w:color="auto" w:fill="FDFDFC"/>
          </w:tcPr>
          <w:p>
            <w:pPr>
              <w:spacing w:after="0"/>
              <w:rPr>
                <w:sz w:val="15"/>
                <w:szCs w:val="15"/>
                <w:color w:val="auto"/>
              </w:rPr>
            </w:pPr>
          </w:p>
        </w:tc>
        <w:tc>
          <w:tcPr>
            <w:tcW w:w="20" w:type="dxa"/>
            <w:vAlign w:val="bottom"/>
            <w:shd w:val="clear" w:color="auto" w:fill="FDFDFC"/>
          </w:tcPr>
          <w:p>
            <w:pPr>
              <w:spacing w:after="0"/>
              <w:rPr>
                <w:sz w:val="15"/>
                <w:szCs w:val="15"/>
                <w:color w:val="auto"/>
              </w:rPr>
            </w:pPr>
          </w:p>
        </w:tc>
        <w:tc>
          <w:tcPr>
            <w:tcW w:w="80" w:type="dxa"/>
            <w:vAlign w:val="bottom"/>
            <w:shd w:val="clear" w:color="auto" w:fill="FDFDFC"/>
          </w:tcPr>
          <w:p>
            <w:pPr>
              <w:spacing w:after="0"/>
              <w:rPr>
                <w:sz w:val="15"/>
                <w:szCs w:val="15"/>
                <w:color w:val="auto"/>
              </w:rPr>
            </w:pPr>
          </w:p>
        </w:tc>
        <w:tc>
          <w:tcPr>
            <w:tcW w:w="20" w:type="dxa"/>
            <w:vAlign w:val="bottom"/>
            <w:shd w:val="clear" w:color="auto" w:fill="FDFDFC"/>
          </w:tcPr>
          <w:p>
            <w:pPr>
              <w:spacing w:after="0"/>
              <w:rPr>
                <w:sz w:val="15"/>
                <w:szCs w:val="15"/>
                <w:color w:val="auto"/>
              </w:rPr>
            </w:pPr>
          </w:p>
        </w:tc>
        <w:tc>
          <w:tcPr>
            <w:tcW w:w="20" w:type="dxa"/>
            <w:vAlign w:val="bottom"/>
            <w:shd w:val="clear" w:color="auto" w:fill="FDFDFC"/>
          </w:tcPr>
          <w:p>
            <w:pPr>
              <w:spacing w:after="0"/>
              <w:rPr>
                <w:sz w:val="15"/>
                <w:szCs w:val="15"/>
                <w:color w:val="auto"/>
              </w:rPr>
            </w:pPr>
          </w:p>
        </w:tc>
        <w:tc>
          <w:tcPr>
            <w:tcW w:w="60" w:type="dxa"/>
            <w:vAlign w:val="bottom"/>
            <w:shd w:val="clear" w:color="auto" w:fill="FDFDFC"/>
          </w:tcPr>
          <w:p>
            <w:pPr>
              <w:spacing w:after="0"/>
              <w:rPr>
                <w:sz w:val="15"/>
                <w:szCs w:val="15"/>
                <w:color w:val="auto"/>
              </w:rPr>
            </w:pPr>
          </w:p>
        </w:tc>
        <w:tc>
          <w:tcPr>
            <w:tcW w:w="620" w:type="dxa"/>
            <w:vAlign w:val="bottom"/>
            <w:gridSpan w:val="4"/>
            <w:vMerge w:val="continue"/>
            <w:shd w:val="clear" w:color="auto" w:fill="FDFDFC"/>
          </w:tcPr>
          <w:p>
            <w:pPr>
              <w:spacing w:after="0"/>
              <w:rPr>
                <w:sz w:val="15"/>
                <w:szCs w:val="15"/>
                <w:color w:val="auto"/>
              </w:rPr>
            </w:pPr>
          </w:p>
        </w:tc>
        <w:tc>
          <w:tcPr>
            <w:tcW w:w="60" w:type="dxa"/>
            <w:vAlign w:val="bottom"/>
            <w:shd w:val="clear" w:color="auto" w:fill="FDFDFC"/>
          </w:tcPr>
          <w:p>
            <w:pPr>
              <w:spacing w:after="0"/>
              <w:rPr>
                <w:sz w:val="15"/>
                <w:szCs w:val="15"/>
                <w:color w:val="auto"/>
              </w:rPr>
            </w:pPr>
          </w:p>
        </w:tc>
        <w:tc>
          <w:tcPr>
            <w:tcW w:w="140" w:type="dxa"/>
            <w:vAlign w:val="bottom"/>
            <w:shd w:val="clear" w:color="auto" w:fill="FDFDFC"/>
          </w:tcPr>
          <w:p>
            <w:pPr>
              <w:spacing w:after="0"/>
              <w:rPr>
                <w:sz w:val="15"/>
                <w:szCs w:val="15"/>
                <w:color w:val="auto"/>
              </w:rPr>
            </w:pPr>
          </w:p>
        </w:tc>
        <w:tc>
          <w:tcPr>
            <w:tcW w:w="1140" w:type="dxa"/>
            <w:vAlign w:val="bottom"/>
            <w:gridSpan w:val="6"/>
            <w:vMerge w:val="continue"/>
            <w:shd w:val="clear" w:color="auto" w:fill="FDFDFC"/>
          </w:tcPr>
          <w:p>
            <w:pPr>
              <w:spacing w:after="0"/>
              <w:rPr>
                <w:sz w:val="15"/>
                <w:szCs w:val="15"/>
                <w:color w:val="auto"/>
              </w:rPr>
            </w:pPr>
          </w:p>
        </w:tc>
        <w:tc>
          <w:tcPr>
            <w:tcW w:w="60" w:type="dxa"/>
            <w:vAlign w:val="bottom"/>
            <w:shd w:val="clear" w:color="auto" w:fill="FDFDFC"/>
          </w:tcPr>
          <w:p>
            <w:pPr>
              <w:spacing w:after="0"/>
              <w:rPr>
                <w:sz w:val="15"/>
                <w:szCs w:val="15"/>
                <w:color w:val="auto"/>
              </w:rPr>
            </w:pPr>
          </w:p>
        </w:tc>
        <w:tc>
          <w:tcPr>
            <w:tcW w:w="820" w:type="dxa"/>
            <w:vAlign w:val="bottom"/>
            <w:gridSpan w:val="2"/>
            <w:vMerge w:val="continue"/>
            <w:shd w:val="clear" w:color="auto" w:fill="FDFDFC"/>
          </w:tcPr>
          <w:p>
            <w:pPr>
              <w:spacing w:after="0"/>
              <w:rPr>
                <w:sz w:val="15"/>
                <w:szCs w:val="15"/>
                <w:color w:val="auto"/>
              </w:rPr>
            </w:pPr>
          </w:p>
        </w:tc>
        <w:tc>
          <w:tcPr>
            <w:tcW w:w="20" w:type="dxa"/>
            <w:vAlign w:val="bottom"/>
            <w:shd w:val="clear" w:color="auto" w:fill="FDFDFC"/>
          </w:tcPr>
          <w:p>
            <w:pPr>
              <w:spacing w:after="0"/>
              <w:rPr>
                <w:sz w:val="15"/>
                <w:szCs w:val="15"/>
                <w:color w:val="auto"/>
              </w:rPr>
            </w:pPr>
          </w:p>
        </w:tc>
        <w:tc>
          <w:tcPr>
            <w:tcW w:w="80" w:type="dxa"/>
            <w:vAlign w:val="bottom"/>
            <w:shd w:val="clear" w:color="auto" w:fill="FDFDFC"/>
          </w:tcPr>
          <w:p>
            <w:pPr>
              <w:spacing w:after="0"/>
              <w:rPr>
                <w:sz w:val="15"/>
                <w:szCs w:val="15"/>
                <w:color w:val="auto"/>
              </w:rPr>
            </w:pPr>
          </w:p>
        </w:tc>
        <w:tc>
          <w:tcPr>
            <w:tcW w:w="20" w:type="dxa"/>
            <w:vAlign w:val="bottom"/>
            <w:shd w:val="clear" w:color="auto" w:fill="FDFDFC"/>
          </w:tcPr>
          <w:p>
            <w:pPr>
              <w:spacing w:after="0"/>
              <w:rPr>
                <w:sz w:val="15"/>
                <w:szCs w:val="15"/>
                <w:color w:val="auto"/>
              </w:rPr>
            </w:pPr>
          </w:p>
        </w:tc>
        <w:tc>
          <w:tcPr>
            <w:tcW w:w="20" w:type="dxa"/>
            <w:vAlign w:val="bottom"/>
            <w:shd w:val="clear" w:color="auto" w:fill="FDFDFC"/>
          </w:tcPr>
          <w:p>
            <w:pPr>
              <w:spacing w:after="0"/>
              <w:rPr>
                <w:sz w:val="15"/>
                <w:szCs w:val="15"/>
                <w:color w:val="auto"/>
              </w:rPr>
            </w:pPr>
          </w:p>
        </w:tc>
        <w:tc>
          <w:tcPr>
            <w:tcW w:w="40" w:type="dxa"/>
            <w:vAlign w:val="bottom"/>
            <w:shd w:val="clear" w:color="auto" w:fill="FDFDFC"/>
          </w:tcPr>
          <w:p>
            <w:pPr>
              <w:spacing w:after="0"/>
              <w:rPr>
                <w:sz w:val="15"/>
                <w:szCs w:val="15"/>
                <w:color w:val="auto"/>
              </w:rPr>
            </w:pPr>
          </w:p>
        </w:tc>
        <w:tc>
          <w:tcPr>
            <w:tcW w:w="820" w:type="dxa"/>
            <w:vAlign w:val="bottom"/>
            <w:gridSpan w:val="2"/>
            <w:vMerge w:val="continue"/>
            <w:shd w:val="clear" w:color="auto" w:fill="FDFDFC"/>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3620" w:type="dxa"/>
            <w:vAlign w:val="bottom"/>
            <w:gridSpan w:val="2"/>
            <w:shd w:val="clear" w:color="auto" w:fill="D0EBF2"/>
          </w:tcPr>
          <w:p>
            <w:pPr>
              <w:ind w:left="200"/>
              <w:spacing w:after="0"/>
              <w:rPr>
                <w:sz w:val="20"/>
                <w:szCs w:val="20"/>
                <w:color w:val="auto"/>
              </w:rPr>
            </w:pPr>
            <w:r>
              <w:rPr>
                <w:rFonts w:ascii="Times New Roman" w:cs="Times New Roman" w:eastAsia="Times New Roman" w:hAnsi="Times New Roman"/>
                <w:sz w:val="14"/>
                <w:szCs w:val="14"/>
                <w:color w:val="231F20"/>
              </w:rPr>
              <w:t>Net realized gain (loss) on investments and foreign</w:t>
            </w:r>
          </w:p>
        </w:tc>
        <w:tc>
          <w:tcPr>
            <w:tcW w:w="860" w:type="dxa"/>
            <w:vAlign w:val="bottom"/>
            <w:vMerge w:val="restart"/>
            <w:shd w:val="clear" w:color="auto" w:fill="D0EBF2"/>
          </w:tcPr>
          <w:p>
            <w:pPr>
              <w:jc w:val="right"/>
              <w:spacing w:after="0"/>
              <w:rPr>
                <w:sz w:val="20"/>
                <w:szCs w:val="20"/>
                <w:color w:val="auto"/>
              </w:rPr>
            </w:pPr>
            <w:r>
              <w:rPr>
                <w:rFonts w:ascii="Times New Roman" w:cs="Times New Roman" w:eastAsia="Times New Roman" w:hAnsi="Times New Roman"/>
                <w:sz w:val="14"/>
                <w:szCs w:val="14"/>
                <w:color w:val="231F20"/>
              </w:rPr>
              <w:t>—</w:t>
            </w:r>
          </w:p>
        </w:tc>
        <w:tc>
          <w:tcPr>
            <w:tcW w:w="100" w:type="dxa"/>
            <w:vAlign w:val="bottom"/>
            <w:shd w:val="clear" w:color="auto" w:fill="D0EBF2"/>
          </w:tcPr>
          <w:p>
            <w:pPr>
              <w:spacing w:after="0"/>
              <w:rPr>
                <w:sz w:val="14"/>
                <w:szCs w:val="14"/>
                <w:color w:val="auto"/>
              </w:rPr>
            </w:pPr>
          </w:p>
        </w:tc>
        <w:tc>
          <w:tcPr>
            <w:tcW w:w="100" w:type="dxa"/>
            <w:vAlign w:val="bottom"/>
            <w:shd w:val="clear" w:color="auto" w:fill="D0EBF2"/>
          </w:tcPr>
          <w:p>
            <w:pPr>
              <w:spacing w:after="0"/>
              <w:rPr>
                <w:sz w:val="14"/>
                <w:szCs w:val="14"/>
                <w:color w:val="auto"/>
              </w:rPr>
            </w:pPr>
          </w:p>
        </w:tc>
        <w:tc>
          <w:tcPr>
            <w:tcW w:w="20" w:type="dxa"/>
            <w:vAlign w:val="bottom"/>
            <w:shd w:val="clear" w:color="auto" w:fill="D0EBF2"/>
          </w:tcPr>
          <w:p>
            <w:pPr>
              <w:spacing w:after="0"/>
              <w:rPr>
                <w:sz w:val="14"/>
                <w:szCs w:val="14"/>
                <w:color w:val="auto"/>
              </w:rPr>
            </w:pPr>
          </w:p>
        </w:tc>
        <w:tc>
          <w:tcPr>
            <w:tcW w:w="20" w:type="dxa"/>
            <w:vAlign w:val="bottom"/>
            <w:shd w:val="clear" w:color="auto" w:fill="D0EBF2"/>
          </w:tcPr>
          <w:p>
            <w:pPr>
              <w:spacing w:after="0"/>
              <w:rPr>
                <w:sz w:val="14"/>
                <w:szCs w:val="14"/>
                <w:color w:val="auto"/>
              </w:rPr>
            </w:pPr>
          </w:p>
        </w:tc>
        <w:tc>
          <w:tcPr>
            <w:tcW w:w="60" w:type="dxa"/>
            <w:vAlign w:val="bottom"/>
            <w:shd w:val="clear" w:color="auto" w:fill="D0EBF2"/>
          </w:tcPr>
          <w:p>
            <w:pPr>
              <w:spacing w:after="0"/>
              <w:rPr>
                <w:sz w:val="14"/>
                <w:szCs w:val="14"/>
                <w:color w:val="auto"/>
              </w:rPr>
            </w:pPr>
          </w:p>
        </w:tc>
        <w:tc>
          <w:tcPr>
            <w:tcW w:w="420" w:type="dxa"/>
            <w:vAlign w:val="bottom"/>
            <w:vMerge w:val="restart"/>
            <w:shd w:val="clear" w:color="auto" w:fill="D0EBF2"/>
          </w:tcPr>
          <w:p>
            <w:pPr>
              <w:jc w:val="right"/>
              <w:spacing w:after="0"/>
              <w:rPr>
                <w:sz w:val="20"/>
                <w:szCs w:val="20"/>
                <w:color w:val="auto"/>
              </w:rPr>
            </w:pPr>
            <w:r>
              <w:rPr>
                <w:rFonts w:ascii="Times New Roman" w:cs="Times New Roman" w:eastAsia="Times New Roman" w:hAnsi="Times New Roman"/>
                <w:sz w:val="14"/>
                <w:szCs w:val="14"/>
                <w:color w:val="231F20"/>
              </w:rPr>
              <w:t>—</w:t>
            </w:r>
          </w:p>
        </w:tc>
        <w:tc>
          <w:tcPr>
            <w:tcW w:w="100" w:type="dxa"/>
            <w:vAlign w:val="bottom"/>
            <w:shd w:val="clear" w:color="auto" w:fill="D0EBF2"/>
          </w:tcPr>
          <w:p>
            <w:pPr>
              <w:spacing w:after="0"/>
              <w:rPr>
                <w:sz w:val="14"/>
                <w:szCs w:val="14"/>
                <w:color w:val="auto"/>
              </w:rPr>
            </w:pPr>
          </w:p>
        </w:tc>
        <w:tc>
          <w:tcPr>
            <w:tcW w:w="20" w:type="dxa"/>
            <w:vAlign w:val="bottom"/>
            <w:shd w:val="clear" w:color="auto" w:fill="D0EBF2"/>
          </w:tcPr>
          <w:p>
            <w:pPr>
              <w:spacing w:after="0"/>
              <w:rPr>
                <w:sz w:val="14"/>
                <w:szCs w:val="14"/>
                <w:color w:val="auto"/>
              </w:rPr>
            </w:pPr>
          </w:p>
        </w:tc>
        <w:tc>
          <w:tcPr>
            <w:tcW w:w="80" w:type="dxa"/>
            <w:vAlign w:val="bottom"/>
            <w:shd w:val="clear" w:color="auto" w:fill="D0EBF2"/>
          </w:tcPr>
          <w:p>
            <w:pPr>
              <w:spacing w:after="0"/>
              <w:rPr>
                <w:sz w:val="14"/>
                <w:szCs w:val="14"/>
                <w:color w:val="auto"/>
              </w:rPr>
            </w:pPr>
          </w:p>
        </w:tc>
        <w:tc>
          <w:tcPr>
            <w:tcW w:w="20" w:type="dxa"/>
            <w:vAlign w:val="bottom"/>
            <w:shd w:val="clear" w:color="auto" w:fill="D0EBF2"/>
          </w:tcPr>
          <w:p>
            <w:pPr>
              <w:spacing w:after="0"/>
              <w:rPr>
                <w:sz w:val="14"/>
                <w:szCs w:val="14"/>
                <w:color w:val="auto"/>
              </w:rPr>
            </w:pPr>
          </w:p>
        </w:tc>
        <w:tc>
          <w:tcPr>
            <w:tcW w:w="20" w:type="dxa"/>
            <w:vAlign w:val="bottom"/>
            <w:shd w:val="clear" w:color="auto" w:fill="D0EBF2"/>
          </w:tcPr>
          <w:p>
            <w:pPr>
              <w:spacing w:after="0"/>
              <w:rPr>
                <w:sz w:val="14"/>
                <w:szCs w:val="14"/>
                <w:color w:val="auto"/>
              </w:rPr>
            </w:pPr>
          </w:p>
        </w:tc>
        <w:tc>
          <w:tcPr>
            <w:tcW w:w="660" w:type="dxa"/>
            <w:vAlign w:val="bottom"/>
            <w:vMerge w:val="restart"/>
            <w:shd w:val="clear" w:color="auto" w:fill="D0EBF2"/>
          </w:tcPr>
          <w:p>
            <w:pPr>
              <w:jc w:val="right"/>
              <w:spacing w:after="0"/>
              <w:rPr>
                <w:sz w:val="20"/>
                <w:szCs w:val="20"/>
                <w:color w:val="auto"/>
              </w:rPr>
            </w:pPr>
            <w:r>
              <w:rPr>
                <w:rFonts w:ascii="Times New Roman" w:cs="Times New Roman" w:eastAsia="Times New Roman" w:hAnsi="Times New Roman"/>
                <w:sz w:val="14"/>
                <w:szCs w:val="14"/>
                <w:color w:val="231F20"/>
              </w:rPr>
              <w:t>—</w:t>
            </w:r>
          </w:p>
        </w:tc>
        <w:tc>
          <w:tcPr>
            <w:tcW w:w="100" w:type="dxa"/>
            <w:vAlign w:val="bottom"/>
            <w:shd w:val="clear" w:color="auto" w:fill="D0EBF2"/>
          </w:tcPr>
          <w:p>
            <w:pPr>
              <w:spacing w:after="0"/>
              <w:rPr>
                <w:sz w:val="14"/>
                <w:szCs w:val="14"/>
                <w:color w:val="auto"/>
              </w:rPr>
            </w:pPr>
          </w:p>
        </w:tc>
        <w:tc>
          <w:tcPr>
            <w:tcW w:w="20" w:type="dxa"/>
            <w:vAlign w:val="bottom"/>
            <w:shd w:val="clear" w:color="auto" w:fill="D0EBF2"/>
          </w:tcPr>
          <w:p>
            <w:pPr>
              <w:spacing w:after="0"/>
              <w:rPr>
                <w:sz w:val="14"/>
                <w:szCs w:val="14"/>
                <w:color w:val="auto"/>
              </w:rPr>
            </w:pPr>
          </w:p>
        </w:tc>
        <w:tc>
          <w:tcPr>
            <w:tcW w:w="80" w:type="dxa"/>
            <w:vAlign w:val="bottom"/>
            <w:shd w:val="clear" w:color="auto" w:fill="D0EBF2"/>
          </w:tcPr>
          <w:p>
            <w:pPr>
              <w:spacing w:after="0"/>
              <w:rPr>
                <w:sz w:val="14"/>
                <w:szCs w:val="14"/>
                <w:color w:val="auto"/>
              </w:rPr>
            </w:pPr>
          </w:p>
        </w:tc>
        <w:tc>
          <w:tcPr>
            <w:tcW w:w="20" w:type="dxa"/>
            <w:vAlign w:val="bottom"/>
            <w:shd w:val="clear" w:color="auto" w:fill="D0EBF2"/>
          </w:tcPr>
          <w:p>
            <w:pPr>
              <w:spacing w:after="0"/>
              <w:rPr>
                <w:sz w:val="14"/>
                <w:szCs w:val="14"/>
                <w:color w:val="auto"/>
              </w:rPr>
            </w:pPr>
          </w:p>
        </w:tc>
        <w:tc>
          <w:tcPr>
            <w:tcW w:w="20" w:type="dxa"/>
            <w:vAlign w:val="bottom"/>
            <w:shd w:val="clear" w:color="auto" w:fill="D0EBF2"/>
          </w:tcPr>
          <w:p>
            <w:pPr>
              <w:spacing w:after="0"/>
              <w:rPr>
                <w:sz w:val="14"/>
                <w:szCs w:val="14"/>
                <w:color w:val="auto"/>
              </w:rPr>
            </w:pPr>
          </w:p>
        </w:tc>
        <w:tc>
          <w:tcPr>
            <w:tcW w:w="60" w:type="dxa"/>
            <w:vAlign w:val="bottom"/>
            <w:shd w:val="clear" w:color="auto" w:fill="D0EBF2"/>
          </w:tcPr>
          <w:p>
            <w:pPr>
              <w:spacing w:after="0"/>
              <w:rPr>
                <w:sz w:val="14"/>
                <w:szCs w:val="14"/>
                <w:color w:val="auto"/>
              </w:rPr>
            </w:pPr>
          </w:p>
        </w:tc>
        <w:tc>
          <w:tcPr>
            <w:tcW w:w="620" w:type="dxa"/>
            <w:vAlign w:val="bottom"/>
            <w:gridSpan w:val="4"/>
            <w:vMerge w:val="restart"/>
            <w:shd w:val="clear" w:color="auto" w:fill="D0EBF2"/>
          </w:tcPr>
          <w:p>
            <w:pPr>
              <w:jc w:val="right"/>
              <w:ind w:right="160"/>
              <w:spacing w:after="0"/>
              <w:rPr>
                <w:sz w:val="20"/>
                <w:szCs w:val="20"/>
                <w:color w:val="auto"/>
              </w:rPr>
            </w:pPr>
            <w:r>
              <w:rPr>
                <w:rFonts w:ascii="Times New Roman" w:cs="Times New Roman" w:eastAsia="Times New Roman" w:hAnsi="Times New Roman"/>
                <w:sz w:val="14"/>
                <w:szCs w:val="14"/>
                <w:color w:val="231F20"/>
              </w:rPr>
              <w:t>—</w:t>
            </w:r>
          </w:p>
        </w:tc>
        <w:tc>
          <w:tcPr>
            <w:tcW w:w="60" w:type="dxa"/>
            <w:vAlign w:val="bottom"/>
            <w:shd w:val="clear" w:color="auto" w:fill="D0EBF2"/>
          </w:tcPr>
          <w:p>
            <w:pPr>
              <w:spacing w:after="0"/>
              <w:rPr>
                <w:sz w:val="14"/>
                <w:szCs w:val="14"/>
                <w:color w:val="auto"/>
              </w:rPr>
            </w:pPr>
          </w:p>
        </w:tc>
        <w:tc>
          <w:tcPr>
            <w:tcW w:w="140" w:type="dxa"/>
            <w:vAlign w:val="bottom"/>
            <w:shd w:val="clear" w:color="auto" w:fill="D0EBF2"/>
          </w:tcPr>
          <w:p>
            <w:pPr>
              <w:spacing w:after="0"/>
              <w:rPr>
                <w:sz w:val="14"/>
                <w:szCs w:val="14"/>
                <w:color w:val="auto"/>
              </w:rPr>
            </w:pPr>
          </w:p>
        </w:tc>
        <w:tc>
          <w:tcPr>
            <w:tcW w:w="1140" w:type="dxa"/>
            <w:vAlign w:val="bottom"/>
            <w:gridSpan w:val="6"/>
            <w:vMerge w:val="restart"/>
            <w:shd w:val="clear" w:color="auto" w:fill="D0EBF2"/>
          </w:tcPr>
          <w:p>
            <w:pPr>
              <w:jc w:val="right"/>
              <w:ind w:right="260"/>
              <w:spacing w:after="0"/>
              <w:rPr>
                <w:sz w:val="20"/>
                <w:szCs w:val="20"/>
                <w:color w:val="auto"/>
              </w:rPr>
            </w:pPr>
            <w:r>
              <w:rPr>
                <w:rFonts w:ascii="Times New Roman" w:cs="Times New Roman" w:eastAsia="Times New Roman" w:hAnsi="Times New Roman"/>
                <w:sz w:val="14"/>
                <w:szCs w:val="14"/>
                <w:color w:val="231F20"/>
              </w:rPr>
              <w:t>—</w:t>
            </w:r>
          </w:p>
        </w:tc>
        <w:tc>
          <w:tcPr>
            <w:tcW w:w="60" w:type="dxa"/>
            <w:vAlign w:val="bottom"/>
            <w:shd w:val="clear" w:color="auto" w:fill="D0EBF2"/>
          </w:tcPr>
          <w:p>
            <w:pPr>
              <w:spacing w:after="0"/>
              <w:rPr>
                <w:sz w:val="14"/>
                <w:szCs w:val="14"/>
                <w:color w:val="auto"/>
              </w:rPr>
            </w:pPr>
          </w:p>
        </w:tc>
        <w:tc>
          <w:tcPr>
            <w:tcW w:w="720" w:type="dxa"/>
            <w:vAlign w:val="bottom"/>
            <w:vMerge w:val="restart"/>
            <w:shd w:val="clear" w:color="auto" w:fill="D0EBF2"/>
          </w:tcPr>
          <w:p>
            <w:pPr>
              <w:jc w:val="right"/>
              <w:spacing w:after="0"/>
              <w:rPr>
                <w:sz w:val="20"/>
                <w:szCs w:val="20"/>
                <w:color w:val="auto"/>
              </w:rPr>
            </w:pPr>
            <w:r>
              <w:rPr>
                <w:rFonts w:ascii="Times New Roman" w:cs="Times New Roman" w:eastAsia="Times New Roman" w:hAnsi="Times New Roman"/>
                <w:sz w:val="14"/>
                <w:szCs w:val="14"/>
                <w:color w:val="231F20"/>
              </w:rPr>
              <w:t>16,695</w:t>
            </w:r>
          </w:p>
        </w:tc>
        <w:tc>
          <w:tcPr>
            <w:tcW w:w="100" w:type="dxa"/>
            <w:vAlign w:val="bottom"/>
            <w:shd w:val="clear" w:color="auto" w:fill="D0EBF2"/>
          </w:tcPr>
          <w:p>
            <w:pPr>
              <w:spacing w:after="0"/>
              <w:rPr>
                <w:sz w:val="14"/>
                <w:szCs w:val="14"/>
                <w:color w:val="auto"/>
              </w:rPr>
            </w:pPr>
          </w:p>
        </w:tc>
        <w:tc>
          <w:tcPr>
            <w:tcW w:w="20" w:type="dxa"/>
            <w:vAlign w:val="bottom"/>
            <w:shd w:val="clear" w:color="auto" w:fill="D0EBF2"/>
          </w:tcPr>
          <w:p>
            <w:pPr>
              <w:spacing w:after="0"/>
              <w:rPr>
                <w:sz w:val="14"/>
                <w:szCs w:val="14"/>
                <w:color w:val="auto"/>
              </w:rPr>
            </w:pPr>
          </w:p>
        </w:tc>
        <w:tc>
          <w:tcPr>
            <w:tcW w:w="80" w:type="dxa"/>
            <w:vAlign w:val="bottom"/>
            <w:shd w:val="clear" w:color="auto" w:fill="D0EBF2"/>
          </w:tcPr>
          <w:p>
            <w:pPr>
              <w:spacing w:after="0"/>
              <w:rPr>
                <w:sz w:val="14"/>
                <w:szCs w:val="14"/>
                <w:color w:val="auto"/>
              </w:rPr>
            </w:pPr>
          </w:p>
        </w:tc>
        <w:tc>
          <w:tcPr>
            <w:tcW w:w="20" w:type="dxa"/>
            <w:vAlign w:val="bottom"/>
            <w:shd w:val="clear" w:color="auto" w:fill="D0EBF2"/>
          </w:tcPr>
          <w:p>
            <w:pPr>
              <w:spacing w:after="0"/>
              <w:rPr>
                <w:sz w:val="14"/>
                <w:szCs w:val="14"/>
                <w:color w:val="auto"/>
              </w:rPr>
            </w:pPr>
          </w:p>
        </w:tc>
        <w:tc>
          <w:tcPr>
            <w:tcW w:w="20" w:type="dxa"/>
            <w:vAlign w:val="bottom"/>
            <w:shd w:val="clear" w:color="auto" w:fill="D0EBF2"/>
          </w:tcPr>
          <w:p>
            <w:pPr>
              <w:spacing w:after="0"/>
              <w:rPr>
                <w:sz w:val="14"/>
                <w:szCs w:val="14"/>
                <w:color w:val="auto"/>
              </w:rPr>
            </w:pPr>
          </w:p>
        </w:tc>
        <w:tc>
          <w:tcPr>
            <w:tcW w:w="40" w:type="dxa"/>
            <w:vAlign w:val="bottom"/>
            <w:shd w:val="clear" w:color="auto" w:fill="D0EBF2"/>
          </w:tcPr>
          <w:p>
            <w:pPr>
              <w:spacing w:after="0"/>
              <w:rPr>
                <w:sz w:val="14"/>
                <w:szCs w:val="14"/>
                <w:color w:val="auto"/>
              </w:rPr>
            </w:pPr>
          </w:p>
        </w:tc>
        <w:tc>
          <w:tcPr>
            <w:tcW w:w="720" w:type="dxa"/>
            <w:vAlign w:val="bottom"/>
            <w:vMerge w:val="restart"/>
            <w:shd w:val="clear" w:color="auto" w:fill="D0EBF2"/>
          </w:tcPr>
          <w:p>
            <w:pPr>
              <w:jc w:val="right"/>
              <w:spacing w:after="0"/>
              <w:rPr>
                <w:sz w:val="20"/>
                <w:szCs w:val="20"/>
                <w:color w:val="auto"/>
              </w:rPr>
            </w:pPr>
            <w:r>
              <w:rPr>
                <w:rFonts w:ascii="Times New Roman" w:cs="Times New Roman" w:eastAsia="Times New Roman" w:hAnsi="Times New Roman"/>
                <w:sz w:val="14"/>
                <w:szCs w:val="14"/>
                <w:color w:val="231F20"/>
              </w:rPr>
              <w:t>16,695</w:t>
            </w:r>
          </w:p>
        </w:tc>
        <w:tc>
          <w:tcPr>
            <w:tcW w:w="100" w:type="dxa"/>
            <w:vAlign w:val="bottom"/>
            <w:shd w:val="clear" w:color="auto" w:fill="D0EBF2"/>
          </w:tcPr>
          <w:p>
            <w:pPr>
              <w:spacing w:after="0"/>
              <w:rPr>
                <w:sz w:val="14"/>
                <w:szCs w:val="14"/>
                <w:color w:val="auto"/>
              </w:rPr>
            </w:pPr>
          </w:p>
        </w:tc>
        <w:tc>
          <w:tcPr>
            <w:tcW w:w="0" w:type="dxa"/>
            <w:vAlign w:val="bottom"/>
          </w:tcPr>
          <w:p>
            <w:pPr>
              <w:spacing w:after="0"/>
              <w:rPr>
                <w:sz w:val="1"/>
                <w:szCs w:val="1"/>
                <w:color w:val="auto"/>
              </w:rPr>
            </w:pPr>
          </w:p>
        </w:tc>
      </w:tr>
      <w:tr>
        <w:trPr>
          <w:trHeight w:val="177"/>
        </w:trPr>
        <w:tc>
          <w:tcPr>
            <w:tcW w:w="3620" w:type="dxa"/>
            <w:vAlign w:val="bottom"/>
            <w:gridSpan w:val="2"/>
            <w:shd w:val="clear" w:color="auto" w:fill="D0EBF2"/>
          </w:tcPr>
          <w:p>
            <w:pPr>
              <w:ind w:left="200"/>
              <w:spacing w:after="0"/>
              <w:rPr>
                <w:sz w:val="20"/>
                <w:szCs w:val="20"/>
                <w:color w:val="auto"/>
              </w:rPr>
            </w:pPr>
            <w:r>
              <w:rPr>
                <w:rFonts w:ascii="Times New Roman" w:cs="Times New Roman" w:eastAsia="Times New Roman" w:hAnsi="Times New Roman"/>
                <w:sz w:val="14"/>
                <w:szCs w:val="14"/>
                <w:color w:val="231F20"/>
              </w:rPr>
              <w:t>currency transactions</w:t>
            </w:r>
          </w:p>
        </w:tc>
        <w:tc>
          <w:tcPr>
            <w:tcW w:w="860" w:type="dxa"/>
            <w:vAlign w:val="bottom"/>
            <w:vMerge w:val="continue"/>
            <w:shd w:val="clear" w:color="auto" w:fill="D0EBF2"/>
          </w:tcPr>
          <w:p>
            <w:pPr>
              <w:spacing w:after="0"/>
              <w:rPr>
                <w:sz w:val="15"/>
                <w:szCs w:val="15"/>
                <w:color w:val="auto"/>
              </w:rPr>
            </w:pPr>
          </w:p>
        </w:tc>
        <w:tc>
          <w:tcPr>
            <w:tcW w:w="100" w:type="dxa"/>
            <w:vAlign w:val="bottom"/>
            <w:shd w:val="clear" w:color="auto" w:fill="D0EBF2"/>
          </w:tcPr>
          <w:p>
            <w:pPr>
              <w:spacing w:after="0"/>
              <w:rPr>
                <w:sz w:val="15"/>
                <w:szCs w:val="15"/>
                <w:color w:val="auto"/>
              </w:rPr>
            </w:pPr>
          </w:p>
        </w:tc>
        <w:tc>
          <w:tcPr>
            <w:tcW w:w="100" w:type="dxa"/>
            <w:vAlign w:val="bottom"/>
            <w:shd w:val="clear" w:color="auto" w:fill="D0EBF2"/>
          </w:tcPr>
          <w:p>
            <w:pPr>
              <w:spacing w:after="0"/>
              <w:rPr>
                <w:sz w:val="15"/>
                <w:szCs w:val="15"/>
                <w:color w:val="auto"/>
              </w:rPr>
            </w:pPr>
          </w:p>
        </w:tc>
        <w:tc>
          <w:tcPr>
            <w:tcW w:w="20" w:type="dxa"/>
            <w:vAlign w:val="bottom"/>
            <w:shd w:val="clear" w:color="auto" w:fill="D0EBF2"/>
          </w:tcPr>
          <w:p>
            <w:pPr>
              <w:spacing w:after="0"/>
              <w:rPr>
                <w:sz w:val="15"/>
                <w:szCs w:val="15"/>
                <w:color w:val="auto"/>
              </w:rPr>
            </w:pPr>
          </w:p>
        </w:tc>
        <w:tc>
          <w:tcPr>
            <w:tcW w:w="20" w:type="dxa"/>
            <w:vAlign w:val="bottom"/>
            <w:shd w:val="clear" w:color="auto" w:fill="D0EBF2"/>
          </w:tcPr>
          <w:p>
            <w:pPr>
              <w:spacing w:after="0"/>
              <w:rPr>
                <w:sz w:val="15"/>
                <w:szCs w:val="15"/>
                <w:color w:val="auto"/>
              </w:rPr>
            </w:pPr>
          </w:p>
        </w:tc>
        <w:tc>
          <w:tcPr>
            <w:tcW w:w="60" w:type="dxa"/>
            <w:vAlign w:val="bottom"/>
            <w:shd w:val="clear" w:color="auto" w:fill="D0EBF2"/>
          </w:tcPr>
          <w:p>
            <w:pPr>
              <w:spacing w:after="0"/>
              <w:rPr>
                <w:sz w:val="15"/>
                <w:szCs w:val="15"/>
                <w:color w:val="auto"/>
              </w:rPr>
            </w:pPr>
          </w:p>
        </w:tc>
        <w:tc>
          <w:tcPr>
            <w:tcW w:w="420" w:type="dxa"/>
            <w:vAlign w:val="bottom"/>
            <w:vMerge w:val="continue"/>
            <w:shd w:val="clear" w:color="auto" w:fill="D0EBF2"/>
          </w:tcPr>
          <w:p>
            <w:pPr>
              <w:spacing w:after="0"/>
              <w:rPr>
                <w:sz w:val="15"/>
                <w:szCs w:val="15"/>
                <w:color w:val="auto"/>
              </w:rPr>
            </w:pPr>
          </w:p>
        </w:tc>
        <w:tc>
          <w:tcPr>
            <w:tcW w:w="100" w:type="dxa"/>
            <w:vAlign w:val="bottom"/>
            <w:shd w:val="clear" w:color="auto" w:fill="D0EBF2"/>
          </w:tcPr>
          <w:p>
            <w:pPr>
              <w:spacing w:after="0"/>
              <w:rPr>
                <w:sz w:val="15"/>
                <w:szCs w:val="15"/>
                <w:color w:val="auto"/>
              </w:rPr>
            </w:pPr>
          </w:p>
        </w:tc>
        <w:tc>
          <w:tcPr>
            <w:tcW w:w="20" w:type="dxa"/>
            <w:vAlign w:val="bottom"/>
            <w:shd w:val="clear" w:color="auto" w:fill="D0EBF2"/>
          </w:tcPr>
          <w:p>
            <w:pPr>
              <w:spacing w:after="0"/>
              <w:rPr>
                <w:sz w:val="15"/>
                <w:szCs w:val="15"/>
                <w:color w:val="auto"/>
              </w:rPr>
            </w:pPr>
          </w:p>
        </w:tc>
        <w:tc>
          <w:tcPr>
            <w:tcW w:w="80" w:type="dxa"/>
            <w:vAlign w:val="bottom"/>
            <w:shd w:val="clear" w:color="auto" w:fill="D0EBF2"/>
          </w:tcPr>
          <w:p>
            <w:pPr>
              <w:spacing w:after="0"/>
              <w:rPr>
                <w:sz w:val="15"/>
                <w:szCs w:val="15"/>
                <w:color w:val="auto"/>
              </w:rPr>
            </w:pPr>
          </w:p>
        </w:tc>
        <w:tc>
          <w:tcPr>
            <w:tcW w:w="20" w:type="dxa"/>
            <w:vAlign w:val="bottom"/>
            <w:shd w:val="clear" w:color="auto" w:fill="D0EBF2"/>
          </w:tcPr>
          <w:p>
            <w:pPr>
              <w:spacing w:after="0"/>
              <w:rPr>
                <w:sz w:val="15"/>
                <w:szCs w:val="15"/>
                <w:color w:val="auto"/>
              </w:rPr>
            </w:pPr>
          </w:p>
        </w:tc>
        <w:tc>
          <w:tcPr>
            <w:tcW w:w="20" w:type="dxa"/>
            <w:vAlign w:val="bottom"/>
            <w:shd w:val="clear" w:color="auto" w:fill="D0EBF2"/>
          </w:tcPr>
          <w:p>
            <w:pPr>
              <w:spacing w:after="0"/>
              <w:rPr>
                <w:sz w:val="15"/>
                <w:szCs w:val="15"/>
                <w:color w:val="auto"/>
              </w:rPr>
            </w:pPr>
          </w:p>
        </w:tc>
        <w:tc>
          <w:tcPr>
            <w:tcW w:w="660" w:type="dxa"/>
            <w:vAlign w:val="bottom"/>
            <w:vMerge w:val="continue"/>
            <w:shd w:val="clear" w:color="auto" w:fill="D0EBF2"/>
          </w:tcPr>
          <w:p>
            <w:pPr>
              <w:spacing w:after="0"/>
              <w:rPr>
                <w:sz w:val="15"/>
                <w:szCs w:val="15"/>
                <w:color w:val="auto"/>
              </w:rPr>
            </w:pPr>
          </w:p>
        </w:tc>
        <w:tc>
          <w:tcPr>
            <w:tcW w:w="100" w:type="dxa"/>
            <w:vAlign w:val="bottom"/>
            <w:shd w:val="clear" w:color="auto" w:fill="D0EBF2"/>
          </w:tcPr>
          <w:p>
            <w:pPr>
              <w:spacing w:after="0"/>
              <w:rPr>
                <w:sz w:val="15"/>
                <w:szCs w:val="15"/>
                <w:color w:val="auto"/>
              </w:rPr>
            </w:pPr>
          </w:p>
        </w:tc>
        <w:tc>
          <w:tcPr>
            <w:tcW w:w="20" w:type="dxa"/>
            <w:vAlign w:val="bottom"/>
            <w:shd w:val="clear" w:color="auto" w:fill="D0EBF2"/>
          </w:tcPr>
          <w:p>
            <w:pPr>
              <w:spacing w:after="0"/>
              <w:rPr>
                <w:sz w:val="15"/>
                <w:szCs w:val="15"/>
                <w:color w:val="auto"/>
              </w:rPr>
            </w:pPr>
          </w:p>
        </w:tc>
        <w:tc>
          <w:tcPr>
            <w:tcW w:w="80" w:type="dxa"/>
            <w:vAlign w:val="bottom"/>
            <w:shd w:val="clear" w:color="auto" w:fill="D0EBF2"/>
          </w:tcPr>
          <w:p>
            <w:pPr>
              <w:spacing w:after="0"/>
              <w:rPr>
                <w:sz w:val="15"/>
                <w:szCs w:val="15"/>
                <w:color w:val="auto"/>
              </w:rPr>
            </w:pPr>
          </w:p>
        </w:tc>
        <w:tc>
          <w:tcPr>
            <w:tcW w:w="20" w:type="dxa"/>
            <w:vAlign w:val="bottom"/>
            <w:shd w:val="clear" w:color="auto" w:fill="D0EBF2"/>
          </w:tcPr>
          <w:p>
            <w:pPr>
              <w:spacing w:after="0"/>
              <w:rPr>
                <w:sz w:val="15"/>
                <w:szCs w:val="15"/>
                <w:color w:val="auto"/>
              </w:rPr>
            </w:pPr>
          </w:p>
        </w:tc>
        <w:tc>
          <w:tcPr>
            <w:tcW w:w="20" w:type="dxa"/>
            <w:vAlign w:val="bottom"/>
            <w:shd w:val="clear" w:color="auto" w:fill="D0EBF2"/>
          </w:tcPr>
          <w:p>
            <w:pPr>
              <w:spacing w:after="0"/>
              <w:rPr>
                <w:sz w:val="15"/>
                <w:szCs w:val="15"/>
                <w:color w:val="auto"/>
              </w:rPr>
            </w:pPr>
          </w:p>
        </w:tc>
        <w:tc>
          <w:tcPr>
            <w:tcW w:w="60" w:type="dxa"/>
            <w:vAlign w:val="bottom"/>
            <w:shd w:val="clear" w:color="auto" w:fill="D0EBF2"/>
          </w:tcPr>
          <w:p>
            <w:pPr>
              <w:spacing w:after="0"/>
              <w:rPr>
                <w:sz w:val="15"/>
                <w:szCs w:val="15"/>
                <w:color w:val="auto"/>
              </w:rPr>
            </w:pPr>
          </w:p>
        </w:tc>
        <w:tc>
          <w:tcPr>
            <w:tcW w:w="620" w:type="dxa"/>
            <w:vAlign w:val="bottom"/>
            <w:gridSpan w:val="4"/>
            <w:vMerge w:val="continue"/>
            <w:shd w:val="clear" w:color="auto" w:fill="D0EBF2"/>
          </w:tcPr>
          <w:p>
            <w:pPr>
              <w:spacing w:after="0"/>
              <w:rPr>
                <w:sz w:val="15"/>
                <w:szCs w:val="15"/>
                <w:color w:val="auto"/>
              </w:rPr>
            </w:pPr>
          </w:p>
        </w:tc>
        <w:tc>
          <w:tcPr>
            <w:tcW w:w="60" w:type="dxa"/>
            <w:vAlign w:val="bottom"/>
            <w:shd w:val="clear" w:color="auto" w:fill="D0EBF2"/>
          </w:tcPr>
          <w:p>
            <w:pPr>
              <w:spacing w:after="0"/>
              <w:rPr>
                <w:sz w:val="15"/>
                <w:szCs w:val="15"/>
                <w:color w:val="auto"/>
              </w:rPr>
            </w:pPr>
          </w:p>
        </w:tc>
        <w:tc>
          <w:tcPr>
            <w:tcW w:w="140" w:type="dxa"/>
            <w:vAlign w:val="bottom"/>
            <w:shd w:val="clear" w:color="auto" w:fill="D0EBF2"/>
          </w:tcPr>
          <w:p>
            <w:pPr>
              <w:spacing w:after="0"/>
              <w:rPr>
                <w:sz w:val="15"/>
                <w:szCs w:val="15"/>
                <w:color w:val="auto"/>
              </w:rPr>
            </w:pPr>
          </w:p>
        </w:tc>
        <w:tc>
          <w:tcPr>
            <w:tcW w:w="1140" w:type="dxa"/>
            <w:vAlign w:val="bottom"/>
            <w:gridSpan w:val="6"/>
            <w:vMerge w:val="continue"/>
            <w:shd w:val="clear" w:color="auto" w:fill="D0EBF2"/>
          </w:tcPr>
          <w:p>
            <w:pPr>
              <w:spacing w:after="0"/>
              <w:rPr>
                <w:sz w:val="15"/>
                <w:szCs w:val="15"/>
                <w:color w:val="auto"/>
              </w:rPr>
            </w:pPr>
          </w:p>
        </w:tc>
        <w:tc>
          <w:tcPr>
            <w:tcW w:w="60" w:type="dxa"/>
            <w:vAlign w:val="bottom"/>
            <w:shd w:val="clear" w:color="auto" w:fill="D0EBF2"/>
          </w:tcPr>
          <w:p>
            <w:pPr>
              <w:spacing w:after="0"/>
              <w:rPr>
                <w:sz w:val="15"/>
                <w:szCs w:val="15"/>
                <w:color w:val="auto"/>
              </w:rPr>
            </w:pPr>
          </w:p>
        </w:tc>
        <w:tc>
          <w:tcPr>
            <w:tcW w:w="720" w:type="dxa"/>
            <w:vAlign w:val="bottom"/>
            <w:vMerge w:val="continue"/>
            <w:shd w:val="clear" w:color="auto" w:fill="D0EBF2"/>
          </w:tcPr>
          <w:p>
            <w:pPr>
              <w:spacing w:after="0"/>
              <w:rPr>
                <w:sz w:val="15"/>
                <w:szCs w:val="15"/>
                <w:color w:val="auto"/>
              </w:rPr>
            </w:pPr>
          </w:p>
        </w:tc>
        <w:tc>
          <w:tcPr>
            <w:tcW w:w="100" w:type="dxa"/>
            <w:vAlign w:val="bottom"/>
            <w:shd w:val="clear" w:color="auto" w:fill="D0EBF2"/>
          </w:tcPr>
          <w:p>
            <w:pPr>
              <w:spacing w:after="0"/>
              <w:rPr>
                <w:sz w:val="15"/>
                <w:szCs w:val="15"/>
                <w:color w:val="auto"/>
              </w:rPr>
            </w:pPr>
          </w:p>
        </w:tc>
        <w:tc>
          <w:tcPr>
            <w:tcW w:w="20" w:type="dxa"/>
            <w:vAlign w:val="bottom"/>
            <w:shd w:val="clear" w:color="auto" w:fill="D0EBF2"/>
          </w:tcPr>
          <w:p>
            <w:pPr>
              <w:spacing w:after="0"/>
              <w:rPr>
                <w:sz w:val="15"/>
                <w:szCs w:val="15"/>
                <w:color w:val="auto"/>
              </w:rPr>
            </w:pPr>
          </w:p>
        </w:tc>
        <w:tc>
          <w:tcPr>
            <w:tcW w:w="80" w:type="dxa"/>
            <w:vAlign w:val="bottom"/>
            <w:shd w:val="clear" w:color="auto" w:fill="D0EBF2"/>
          </w:tcPr>
          <w:p>
            <w:pPr>
              <w:spacing w:after="0"/>
              <w:rPr>
                <w:sz w:val="15"/>
                <w:szCs w:val="15"/>
                <w:color w:val="auto"/>
              </w:rPr>
            </w:pPr>
          </w:p>
        </w:tc>
        <w:tc>
          <w:tcPr>
            <w:tcW w:w="20" w:type="dxa"/>
            <w:vAlign w:val="bottom"/>
            <w:shd w:val="clear" w:color="auto" w:fill="D0EBF2"/>
          </w:tcPr>
          <w:p>
            <w:pPr>
              <w:spacing w:after="0"/>
              <w:rPr>
                <w:sz w:val="15"/>
                <w:szCs w:val="15"/>
                <w:color w:val="auto"/>
              </w:rPr>
            </w:pPr>
          </w:p>
        </w:tc>
        <w:tc>
          <w:tcPr>
            <w:tcW w:w="20" w:type="dxa"/>
            <w:vAlign w:val="bottom"/>
            <w:shd w:val="clear" w:color="auto" w:fill="D0EBF2"/>
          </w:tcPr>
          <w:p>
            <w:pPr>
              <w:spacing w:after="0"/>
              <w:rPr>
                <w:sz w:val="15"/>
                <w:szCs w:val="15"/>
                <w:color w:val="auto"/>
              </w:rPr>
            </w:pPr>
          </w:p>
        </w:tc>
        <w:tc>
          <w:tcPr>
            <w:tcW w:w="40" w:type="dxa"/>
            <w:vAlign w:val="bottom"/>
            <w:shd w:val="clear" w:color="auto" w:fill="D0EBF2"/>
          </w:tcPr>
          <w:p>
            <w:pPr>
              <w:spacing w:after="0"/>
              <w:rPr>
                <w:sz w:val="15"/>
                <w:szCs w:val="15"/>
                <w:color w:val="auto"/>
              </w:rPr>
            </w:pPr>
          </w:p>
        </w:tc>
        <w:tc>
          <w:tcPr>
            <w:tcW w:w="720" w:type="dxa"/>
            <w:vAlign w:val="bottom"/>
            <w:vMerge w:val="continue"/>
            <w:shd w:val="clear" w:color="auto" w:fill="D0EBF2"/>
          </w:tcPr>
          <w:p>
            <w:pPr>
              <w:spacing w:after="0"/>
              <w:rPr>
                <w:sz w:val="15"/>
                <w:szCs w:val="15"/>
                <w:color w:val="auto"/>
              </w:rPr>
            </w:pPr>
          </w:p>
        </w:tc>
        <w:tc>
          <w:tcPr>
            <w:tcW w:w="100" w:type="dxa"/>
            <w:vAlign w:val="bottom"/>
            <w:shd w:val="clear" w:color="auto" w:fill="D0EBF2"/>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3620" w:type="dxa"/>
            <w:vAlign w:val="bottom"/>
            <w:gridSpan w:val="2"/>
            <w:shd w:val="clear" w:color="auto" w:fill="FDFDFC"/>
          </w:tcPr>
          <w:p>
            <w:pPr>
              <w:ind w:left="200"/>
              <w:spacing w:after="0"/>
              <w:rPr>
                <w:sz w:val="20"/>
                <w:szCs w:val="20"/>
                <w:color w:val="auto"/>
              </w:rPr>
            </w:pPr>
            <w:r>
              <w:rPr>
                <w:rFonts w:ascii="Times New Roman" w:cs="Times New Roman" w:eastAsia="Times New Roman" w:hAnsi="Times New Roman"/>
                <w:sz w:val="14"/>
                <w:szCs w:val="14"/>
                <w:color w:val="231F20"/>
              </w:rPr>
              <w:t>Increase (decrease) in net assets resulting from capital</w:t>
            </w:r>
          </w:p>
        </w:tc>
        <w:tc>
          <w:tcPr>
            <w:tcW w:w="860" w:type="dxa"/>
            <w:vAlign w:val="bottom"/>
            <w:shd w:val="clear" w:color="auto" w:fill="FDFDFC"/>
          </w:tcPr>
          <w:p>
            <w:pPr>
              <w:spacing w:after="0"/>
              <w:rPr>
                <w:sz w:val="14"/>
                <w:szCs w:val="14"/>
                <w:color w:val="auto"/>
              </w:rPr>
            </w:pPr>
          </w:p>
        </w:tc>
        <w:tc>
          <w:tcPr>
            <w:tcW w:w="100" w:type="dxa"/>
            <w:vAlign w:val="bottom"/>
            <w:shd w:val="clear" w:color="auto" w:fill="FDFDFC"/>
          </w:tcPr>
          <w:p>
            <w:pPr>
              <w:spacing w:after="0"/>
              <w:rPr>
                <w:sz w:val="14"/>
                <w:szCs w:val="14"/>
                <w:color w:val="auto"/>
              </w:rPr>
            </w:pPr>
          </w:p>
        </w:tc>
        <w:tc>
          <w:tcPr>
            <w:tcW w:w="100" w:type="dxa"/>
            <w:vAlign w:val="bottom"/>
            <w:shd w:val="clear" w:color="auto" w:fill="FDFDFC"/>
          </w:tcPr>
          <w:p>
            <w:pPr>
              <w:spacing w:after="0"/>
              <w:rPr>
                <w:sz w:val="14"/>
                <w:szCs w:val="14"/>
                <w:color w:val="auto"/>
              </w:rPr>
            </w:pPr>
          </w:p>
        </w:tc>
        <w:tc>
          <w:tcPr>
            <w:tcW w:w="20" w:type="dxa"/>
            <w:vAlign w:val="bottom"/>
            <w:shd w:val="clear" w:color="auto" w:fill="FDFDFC"/>
          </w:tcPr>
          <w:p>
            <w:pPr>
              <w:spacing w:after="0"/>
              <w:rPr>
                <w:sz w:val="14"/>
                <w:szCs w:val="14"/>
                <w:color w:val="auto"/>
              </w:rPr>
            </w:pPr>
          </w:p>
        </w:tc>
        <w:tc>
          <w:tcPr>
            <w:tcW w:w="20" w:type="dxa"/>
            <w:vAlign w:val="bottom"/>
            <w:shd w:val="clear" w:color="auto" w:fill="FDFDFC"/>
          </w:tcPr>
          <w:p>
            <w:pPr>
              <w:spacing w:after="0"/>
              <w:rPr>
                <w:sz w:val="14"/>
                <w:szCs w:val="14"/>
                <w:color w:val="auto"/>
              </w:rPr>
            </w:pPr>
          </w:p>
        </w:tc>
        <w:tc>
          <w:tcPr>
            <w:tcW w:w="60" w:type="dxa"/>
            <w:vAlign w:val="bottom"/>
            <w:shd w:val="clear" w:color="auto" w:fill="FDFDFC"/>
          </w:tcPr>
          <w:p>
            <w:pPr>
              <w:spacing w:after="0"/>
              <w:rPr>
                <w:sz w:val="14"/>
                <w:szCs w:val="14"/>
                <w:color w:val="auto"/>
              </w:rPr>
            </w:pPr>
          </w:p>
        </w:tc>
        <w:tc>
          <w:tcPr>
            <w:tcW w:w="420" w:type="dxa"/>
            <w:vAlign w:val="bottom"/>
            <w:shd w:val="clear" w:color="auto" w:fill="FDFDFC"/>
          </w:tcPr>
          <w:p>
            <w:pPr>
              <w:spacing w:after="0"/>
              <w:rPr>
                <w:sz w:val="14"/>
                <w:szCs w:val="14"/>
                <w:color w:val="auto"/>
              </w:rPr>
            </w:pPr>
          </w:p>
        </w:tc>
        <w:tc>
          <w:tcPr>
            <w:tcW w:w="100" w:type="dxa"/>
            <w:vAlign w:val="bottom"/>
            <w:shd w:val="clear" w:color="auto" w:fill="FDFDFC"/>
          </w:tcPr>
          <w:p>
            <w:pPr>
              <w:spacing w:after="0"/>
              <w:rPr>
                <w:sz w:val="14"/>
                <w:szCs w:val="14"/>
                <w:color w:val="auto"/>
              </w:rPr>
            </w:pPr>
          </w:p>
        </w:tc>
        <w:tc>
          <w:tcPr>
            <w:tcW w:w="20" w:type="dxa"/>
            <w:vAlign w:val="bottom"/>
            <w:shd w:val="clear" w:color="auto" w:fill="FDFDFC"/>
          </w:tcPr>
          <w:p>
            <w:pPr>
              <w:spacing w:after="0"/>
              <w:rPr>
                <w:sz w:val="14"/>
                <w:szCs w:val="14"/>
                <w:color w:val="auto"/>
              </w:rPr>
            </w:pPr>
          </w:p>
        </w:tc>
        <w:tc>
          <w:tcPr>
            <w:tcW w:w="80" w:type="dxa"/>
            <w:vAlign w:val="bottom"/>
            <w:shd w:val="clear" w:color="auto" w:fill="FDFDFC"/>
          </w:tcPr>
          <w:p>
            <w:pPr>
              <w:spacing w:after="0"/>
              <w:rPr>
                <w:sz w:val="14"/>
                <w:szCs w:val="14"/>
                <w:color w:val="auto"/>
              </w:rPr>
            </w:pPr>
          </w:p>
        </w:tc>
        <w:tc>
          <w:tcPr>
            <w:tcW w:w="20" w:type="dxa"/>
            <w:vAlign w:val="bottom"/>
            <w:shd w:val="clear" w:color="auto" w:fill="FDFDFC"/>
          </w:tcPr>
          <w:p>
            <w:pPr>
              <w:spacing w:after="0"/>
              <w:rPr>
                <w:sz w:val="14"/>
                <w:szCs w:val="14"/>
                <w:color w:val="auto"/>
              </w:rPr>
            </w:pPr>
          </w:p>
        </w:tc>
        <w:tc>
          <w:tcPr>
            <w:tcW w:w="20" w:type="dxa"/>
            <w:vAlign w:val="bottom"/>
            <w:shd w:val="clear" w:color="auto" w:fill="FDFDFC"/>
          </w:tcPr>
          <w:p>
            <w:pPr>
              <w:spacing w:after="0"/>
              <w:rPr>
                <w:sz w:val="14"/>
                <w:szCs w:val="14"/>
                <w:color w:val="auto"/>
              </w:rPr>
            </w:pPr>
          </w:p>
        </w:tc>
        <w:tc>
          <w:tcPr>
            <w:tcW w:w="660" w:type="dxa"/>
            <w:vAlign w:val="bottom"/>
            <w:shd w:val="clear" w:color="auto" w:fill="FDFDFC"/>
          </w:tcPr>
          <w:p>
            <w:pPr>
              <w:spacing w:after="0"/>
              <w:rPr>
                <w:sz w:val="14"/>
                <w:szCs w:val="14"/>
                <w:color w:val="auto"/>
              </w:rPr>
            </w:pPr>
          </w:p>
        </w:tc>
        <w:tc>
          <w:tcPr>
            <w:tcW w:w="100" w:type="dxa"/>
            <w:vAlign w:val="bottom"/>
            <w:shd w:val="clear" w:color="auto" w:fill="FDFDFC"/>
          </w:tcPr>
          <w:p>
            <w:pPr>
              <w:spacing w:after="0"/>
              <w:rPr>
                <w:sz w:val="14"/>
                <w:szCs w:val="14"/>
                <w:color w:val="auto"/>
              </w:rPr>
            </w:pPr>
          </w:p>
        </w:tc>
        <w:tc>
          <w:tcPr>
            <w:tcW w:w="20" w:type="dxa"/>
            <w:vAlign w:val="bottom"/>
            <w:shd w:val="clear" w:color="auto" w:fill="FDFDFC"/>
          </w:tcPr>
          <w:p>
            <w:pPr>
              <w:spacing w:after="0"/>
              <w:rPr>
                <w:sz w:val="14"/>
                <w:szCs w:val="14"/>
                <w:color w:val="auto"/>
              </w:rPr>
            </w:pPr>
          </w:p>
        </w:tc>
        <w:tc>
          <w:tcPr>
            <w:tcW w:w="80" w:type="dxa"/>
            <w:vAlign w:val="bottom"/>
            <w:shd w:val="clear" w:color="auto" w:fill="FDFDFC"/>
          </w:tcPr>
          <w:p>
            <w:pPr>
              <w:spacing w:after="0"/>
              <w:rPr>
                <w:sz w:val="14"/>
                <w:szCs w:val="14"/>
                <w:color w:val="auto"/>
              </w:rPr>
            </w:pPr>
          </w:p>
        </w:tc>
        <w:tc>
          <w:tcPr>
            <w:tcW w:w="20" w:type="dxa"/>
            <w:vAlign w:val="bottom"/>
            <w:shd w:val="clear" w:color="auto" w:fill="FDFDFC"/>
          </w:tcPr>
          <w:p>
            <w:pPr>
              <w:spacing w:after="0"/>
              <w:rPr>
                <w:sz w:val="14"/>
                <w:szCs w:val="14"/>
                <w:color w:val="auto"/>
              </w:rPr>
            </w:pPr>
          </w:p>
        </w:tc>
        <w:tc>
          <w:tcPr>
            <w:tcW w:w="20" w:type="dxa"/>
            <w:vAlign w:val="bottom"/>
            <w:shd w:val="clear" w:color="auto" w:fill="FDFDFC"/>
          </w:tcPr>
          <w:p>
            <w:pPr>
              <w:spacing w:after="0"/>
              <w:rPr>
                <w:sz w:val="14"/>
                <w:szCs w:val="14"/>
                <w:color w:val="auto"/>
              </w:rPr>
            </w:pPr>
          </w:p>
        </w:tc>
        <w:tc>
          <w:tcPr>
            <w:tcW w:w="60" w:type="dxa"/>
            <w:vAlign w:val="bottom"/>
            <w:shd w:val="clear" w:color="auto" w:fill="FDFDFC"/>
          </w:tcPr>
          <w:p>
            <w:pPr>
              <w:spacing w:after="0"/>
              <w:rPr>
                <w:sz w:val="14"/>
                <w:szCs w:val="14"/>
                <w:color w:val="auto"/>
              </w:rPr>
            </w:pPr>
          </w:p>
        </w:tc>
        <w:tc>
          <w:tcPr>
            <w:tcW w:w="480" w:type="dxa"/>
            <w:vAlign w:val="bottom"/>
            <w:shd w:val="clear" w:color="auto" w:fill="FDFDFC"/>
          </w:tcPr>
          <w:p>
            <w:pPr>
              <w:spacing w:after="0"/>
              <w:rPr>
                <w:sz w:val="14"/>
                <w:szCs w:val="14"/>
                <w:color w:val="auto"/>
              </w:rPr>
            </w:pPr>
          </w:p>
        </w:tc>
        <w:tc>
          <w:tcPr>
            <w:tcW w:w="100" w:type="dxa"/>
            <w:vAlign w:val="bottom"/>
            <w:shd w:val="clear" w:color="auto" w:fill="FDFDFC"/>
          </w:tcPr>
          <w:p>
            <w:pPr>
              <w:spacing w:after="0"/>
              <w:rPr>
                <w:sz w:val="14"/>
                <w:szCs w:val="14"/>
                <w:color w:val="auto"/>
              </w:rPr>
            </w:pPr>
          </w:p>
        </w:tc>
        <w:tc>
          <w:tcPr>
            <w:tcW w:w="20" w:type="dxa"/>
            <w:vAlign w:val="bottom"/>
            <w:shd w:val="clear" w:color="auto" w:fill="FDFDFC"/>
          </w:tcPr>
          <w:p>
            <w:pPr>
              <w:spacing w:after="0"/>
              <w:rPr>
                <w:sz w:val="14"/>
                <w:szCs w:val="14"/>
                <w:color w:val="auto"/>
              </w:rPr>
            </w:pPr>
          </w:p>
        </w:tc>
        <w:tc>
          <w:tcPr>
            <w:tcW w:w="20" w:type="dxa"/>
            <w:vAlign w:val="bottom"/>
            <w:shd w:val="clear" w:color="auto" w:fill="FDFDFC"/>
          </w:tcPr>
          <w:p>
            <w:pPr>
              <w:spacing w:after="0"/>
              <w:rPr>
                <w:sz w:val="14"/>
                <w:szCs w:val="14"/>
                <w:color w:val="auto"/>
              </w:rPr>
            </w:pPr>
          </w:p>
        </w:tc>
        <w:tc>
          <w:tcPr>
            <w:tcW w:w="60" w:type="dxa"/>
            <w:vAlign w:val="bottom"/>
            <w:shd w:val="clear" w:color="auto" w:fill="FDFDFC"/>
          </w:tcPr>
          <w:p>
            <w:pPr>
              <w:spacing w:after="0"/>
              <w:rPr>
                <w:sz w:val="14"/>
                <w:szCs w:val="14"/>
                <w:color w:val="auto"/>
              </w:rPr>
            </w:pPr>
          </w:p>
        </w:tc>
        <w:tc>
          <w:tcPr>
            <w:tcW w:w="140" w:type="dxa"/>
            <w:vAlign w:val="bottom"/>
            <w:shd w:val="clear" w:color="auto" w:fill="FDFDFC"/>
          </w:tcPr>
          <w:p>
            <w:pPr>
              <w:spacing w:after="0"/>
              <w:rPr>
                <w:sz w:val="14"/>
                <w:szCs w:val="14"/>
                <w:color w:val="auto"/>
              </w:rPr>
            </w:pPr>
          </w:p>
        </w:tc>
        <w:tc>
          <w:tcPr>
            <w:tcW w:w="900" w:type="dxa"/>
            <w:vAlign w:val="bottom"/>
            <w:shd w:val="clear" w:color="auto" w:fill="FDFDFC"/>
          </w:tcPr>
          <w:p>
            <w:pPr>
              <w:spacing w:after="0"/>
              <w:rPr>
                <w:sz w:val="14"/>
                <w:szCs w:val="14"/>
                <w:color w:val="auto"/>
              </w:rPr>
            </w:pPr>
          </w:p>
        </w:tc>
        <w:tc>
          <w:tcPr>
            <w:tcW w:w="100" w:type="dxa"/>
            <w:vAlign w:val="bottom"/>
            <w:shd w:val="clear" w:color="auto" w:fill="FDFDFC"/>
          </w:tcPr>
          <w:p>
            <w:pPr>
              <w:spacing w:after="0"/>
              <w:rPr>
                <w:sz w:val="14"/>
                <w:szCs w:val="14"/>
                <w:color w:val="auto"/>
              </w:rPr>
            </w:pPr>
          </w:p>
        </w:tc>
        <w:tc>
          <w:tcPr>
            <w:tcW w:w="20" w:type="dxa"/>
            <w:vAlign w:val="bottom"/>
            <w:shd w:val="clear" w:color="auto" w:fill="FDFDFC"/>
          </w:tcPr>
          <w:p>
            <w:pPr>
              <w:spacing w:after="0"/>
              <w:rPr>
                <w:sz w:val="14"/>
                <w:szCs w:val="14"/>
                <w:color w:val="auto"/>
              </w:rPr>
            </w:pPr>
          </w:p>
        </w:tc>
        <w:tc>
          <w:tcPr>
            <w:tcW w:w="80" w:type="dxa"/>
            <w:vAlign w:val="bottom"/>
            <w:shd w:val="clear" w:color="auto" w:fill="FDFDFC"/>
          </w:tcPr>
          <w:p>
            <w:pPr>
              <w:spacing w:after="0"/>
              <w:rPr>
                <w:sz w:val="14"/>
                <w:szCs w:val="14"/>
                <w:color w:val="auto"/>
              </w:rPr>
            </w:pPr>
          </w:p>
        </w:tc>
        <w:tc>
          <w:tcPr>
            <w:tcW w:w="20" w:type="dxa"/>
            <w:vAlign w:val="bottom"/>
            <w:shd w:val="clear" w:color="auto" w:fill="FDFDFC"/>
          </w:tcPr>
          <w:p>
            <w:pPr>
              <w:spacing w:after="0"/>
              <w:rPr>
                <w:sz w:val="14"/>
                <w:szCs w:val="14"/>
                <w:color w:val="auto"/>
              </w:rPr>
            </w:pPr>
          </w:p>
        </w:tc>
        <w:tc>
          <w:tcPr>
            <w:tcW w:w="20" w:type="dxa"/>
            <w:vAlign w:val="bottom"/>
            <w:shd w:val="clear" w:color="auto" w:fill="FDFDFC"/>
          </w:tcPr>
          <w:p>
            <w:pPr>
              <w:spacing w:after="0"/>
              <w:rPr>
                <w:sz w:val="14"/>
                <w:szCs w:val="14"/>
                <w:color w:val="auto"/>
              </w:rPr>
            </w:pPr>
          </w:p>
        </w:tc>
        <w:tc>
          <w:tcPr>
            <w:tcW w:w="60" w:type="dxa"/>
            <w:vAlign w:val="bottom"/>
            <w:shd w:val="clear" w:color="auto" w:fill="FDFDFC"/>
          </w:tcPr>
          <w:p>
            <w:pPr>
              <w:spacing w:after="0"/>
              <w:rPr>
                <w:sz w:val="14"/>
                <w:szCs w:val="14"/>
                <w:color w:val="auto"/>
              </w:rPr>
            </w:pPr>
          </w:p>
        </w:tc>
        <w:tc>
          <w:tcPr>
            <w:tcW w:w="720" w:type="dxa"/>
            <w:vAlign w:val="bottom"/>
            <w:shd w:val="clear" w:color="auto" w:fill="FDFDFC"/>
          </w:tcPr>
          <w:p>
            <w:pPr>
              <w:spacing w:after="0"/>
              <w:rPr>
                <w:sz w:val="14"/>
                <w:szCs w:val="14"/>
                <w:color w:val="auto"/>
              </w:rPr>
            </w:pPr>
          </w:p>
        </w:tc>
        <w:tc>
          <w:tcPr>
            <w:tcW w:w="100" w:type="dxa"/>
            <w:vAlign w:val="bottom"/>
            <w:shd w:val="clear" w:color="auto" w:fill="FDFDFC"/>
          </w:tcPr>
          <w:p>
            <w:pPr>
              <w:spacing w:after="0"/>
              <w:rPr>
                <w:sz w:val="14"/>
                <w:szCs w:val="14"/>
                <w:color w:val="auto"/>
              </w:rPr>
            </w:pPr>
          </w:p>
        </w:tc>
        <w:tc>
          <w:tcPr>
            <w:tcW w:w="20" w:type="dxa"/>
            <w:vAlign w:val="bottom"/>
            <w:shd w:val="clear" w:color="auto" w:fill="FDFDFC"/>
          </w:tcPr>
          <w:p>
            <w:pPr>
              <w:spacing w:after="0"/>
              <w:rPr>
                <w:sz w:val="14"/>
                <w:szCs w:val="14"/>
                <w:color w:val="auto"/>
              </w:rPr>
            </w:pPr>
          </w:p>
        </w:tc>
        <w:tc>
          <w:tcPr>
            <w:tcW w:w="80" w:type="dxa"/>
            <w:vAlign w:val="bottom"/>
            <w:shd w:val="clear" w:color="auto" w:fill="FDFDFC"/>
          </w:tcPr>
          <w:p>
            <w:pPr>
              <w:spacing w:after="0"/>
              <w:rPr>
                <w:sz w:val="14"/>
                <w:szCs w:val="14"/>
                <w:color w:val="auto"/>
              </w:rPr>
            </w:pPr>
          </w:p>
        </w:tc>
        <w:tc>
          <w:tcPr>
            <w:tcW w:w="20" w:type="dxa"/>
            <w:vAlign w:val="bottom"/>
            <w:shd w:val="clear" w:color="auto" w:fill="FDFDFC"/>
          </w:tcPr>
          <w:p>
            <w:pPr>
              <w:spacing w:after="0"/>
              <w:rPr>
                <w:sz w:val="14"/>
                <w:szCs w:val="14"/>
                <w:color w:val="auto"/>
              </w:rPr>
            </w:pPr>
          </w:p>
        </w:tc>
        <w:tc>
          <w:tcPr>
            <w:tcW w:w="20" w:type="dxa"/>
            <w:vAlign w:val="bottom"/>
            <w:shd w:val="clear" w:color="auto" w:fill="FDFDFC"/>
          </w:tcPr>
          <w:p>
            <w:pPr>
              <w:spacing w:after="0"/>
              <w:rPr>
                <w:sz w:val="14"/>
                <w:szCs w:val="14"/>
                <w:color w:val="auto"/>
              </w:rPr>
            </w:pPr>
          </w:p>
        </w:tc>
        <w:tc>
          <w:tcPr>
            <w:tcW w:w="40" w:type="dxa"/>
            <w:vAlign w:val="bottom"/>
            <w:shd w:val="clear" w:color="auto" w:fill="FDFDFC"/>
          </w:tcPr>
          <w:p>
            <w:pPr>
              <w:spacing w:after="0"/>
              <w:rPr>
                <w:sz w:val="14"/>
                <w:szCs w:val="14"/>
                <w:color w:val="auto"/>
              </w:rPr>
            </w:pPr>
          </w:p>
        </w:tc>
        <w:tc>
          <w:tcPr>
            <w:tcW w:w="720" w:type="dxa"/>
            <w:vAlign w:val="bottom"/>
            <w:shd w:val="clear" w:color="auto" w:fill="FDFDFC"/>
          </w:tcPr>
          <w:p>
            <w:pPr>
              <w:spacing w:after="0"/>
              <w:rPr>
                <w:sz w:val="14"/>
                <w:szCs w:val="14"/>
                <w:color w:val="auto"/>
              </w:rPr>
            </w:pPr>
          </w:p>
        </w:tc>
        <w:tc>
          <w:tcPr>
            <w:tcW w:w="100" w:type="dxa"/>
            <w:vAlign w:val="bottom"/>
            <w:shd w:val="clear" w:color="auto" w:fill="FDFDFC"/>
          </w:tcPr>
          <w:p>
            <w:pPr>
              <w:spacing w:after="0"/>
              <w:rPr>
                <w:sz w:val="14"/>
                <w:szCs w:val="14"/>
                <w:color w:val="auto"/>
              </w:rPr>
            </w:pPr>
          </w:p>
        </w:tc>
        <w:tc>
          <w:tcPr>
            <w:tcW w:w="0" w:type="dxa"/>
            <w:vAlign w:val="bottom"/>
          </w:tcPr>
          <w:p>
            <w:pPr>
              <w:spacing w:after="0"/>
              <w:rPr>
                <w:sz w:val="1"/>
                <w:szCs w:val="1"/>
                <w:color w:val="auto"/>
              </w:rPr>
            </w:pPr>
          </w:p>
        </w:tc>
      </w:tr>
      <w:tr>
        <w:trPr>
          <w:trHeight w:val="177"/>
        </w:trPr>
        <w:tc>
          <w:tcPr>
            <w:tcW w:w="3620" w:type="dxa"/>
            <w:vAlign w:val="bottom"/>
            <w:gridSpan w:val="2"/>
            <w:shd w:val="clear" w:color="auto" w:fill="FDFDFC"/>
          </w:tcPr>
          <w:p>
            <w:pPr>
              <w:ind w:left="200"/>
              <w:spacing w:after="0"/>
              <w:rPr>
                <w:sz w:val="20"/>
                <w:szCs w:val="20"/>
                <w:color w:val="auto"/>
              </w:rPr>
            </w:pPr>
            <w:r>
              <w:rPr>
                <w:rFonts w:ascii="Times New Roman" w:cs="Times New Roman" w:eastAsia="Times New Roman" w:hAnsi="Times New Roman"/>
                <w:sz w:val="14"/>
                <w:szCs w:val="14"/>
                <w:color w:val="231F20"/>
              </w:rPr>
              <w:t>share transactions</w:t>
            </w:r>
          </w:p>
        </w:tc>
        <w:tc>
          <w:tcPr>
            <w:tcW w:w="860" w:type="dxa"/>
            <w:vAlign w:val="bottom"/>
            <w:shd w:val="clear" w:color="auto" w:fill="FDFDFC"/>
          </w:tcPr>
          <w:p>
            <w:pPr>
              <w:spacing w:after="0"/>
              <w:rPr>
                <w:sz w:val="15"/>
                <w:szCs w:val="15"/>
                <w:color w:val="auto"/>
              </w:rPr>
            </w:pPr>
          </w:p>
        </w:tc>
        <w:tc>
          <w:tcPr>
            <w:tcW w:w="100" w:type="dxa"/>
            <w:vAlign w:val="bottom"/>
            <w:shd w:val="clear" w:color="auto" w:fill="FDFDFC"/>
          </w:tcPr>
          <w:p>
            <w:pPr>
              <w:spacing w:after="0"/>
              <w:rPr>
                <w:sz w:val="15"/>
                <w:szCs w:val="15"/>
                <w:color w:val="auto"/>
              </w:rPr>
            </w:pPr>
          </w:p>
        </w:tc>
        <w:tc>
          <w:tcPr>
            <w:tcW w:w="100" w:type="dxa"/>
            <w:vAlign w:val="bottom"/>
            <w:shd w:val="clear" w:color="auto" w:fill="FDFDFC"/>
          </w:tcPr>
          <w:p>
            <w:pPr>
              <w:spacing w:after="0"/>
              <w:rPr>
                <w:sz w:val="15"/>
                <w:szCs w:val="15"/>
                <w:color w:val="auto"/>
              </w:rPr>
            </w:pPr>
          </w:p>
        </w:tc>
        <w:tc>
          <w:tcPr>
            <w:tcW w:w="20" w:type="dxa"/>
            <w:vAlign w:val="bottom"/>
            <w:shd w:val="clear" w:color="auto" w:fill="FDFDFC"/>
          </w:tcPr>
          <w:p>
            <w:pPr>
              <w:spacing w:after="0"/>
              <w:rPr>
                <w:sz w:val="15"/>
                <w:szCs w:val="15"/>
                <w:color w:val="auto"/>
              </w:rPr>
            </w:pPr>
          </w:p>
        </w:tc>
        <w:tc>
          <w:tcPr>
            <w:tcW w:w="20" w:type="dxa"/>
            <w:vAlign w:val="bottom"/>
            <w:shd w:val="clear" w:color="auto" w:fill="FDFDFC"/>
          </w:tcPr>
          <w:p>
            <w:pPr>
              <w:spacing w:after="0"/>
              <w:rPr>
                <w:sz w:val="15"/>
                <w:szCs w:val="15"/>
                <w:color w:val="auto"/>
              </w:rPr>
            </w:pPr>
          </w:p>
        </w:tc>
        <w:tc>
          <w:tcPr>
            <w:tcW w:w="60" w:type="dxa"/>
            <w:vAlign w:val="bottom"/>
            <w:shd w:val="clear" w:color="auto" w:fill="FDFDFC"/>
          </w:tcPr>
          <w:p>
            <w:pPr>
              <w:spacing w:after="0"/>
              <w:rPr>
                <w:sz w:val="15"/>
                <w:szCs w:val="15"/>
                <w:color w:val="auto"/>
              </w:rPr>
            </w:pPr>
          </w:p>
        </w:tc>
        <w:tc>
          <w:tcPr>
            <w:tcW w:w="420" w:type="dxa"/>
            <w:vAlign w:val="bottom"/>
            <w:shd w:val="clear" w:color="auto" w:fill="FDFDFC"/>
          </w:tcPr>
          <w:p>
            <w:pPr>
              <w:spacing w:after="0"/>
              <w:rPr>
                <w:sz w:val="15"/>
                <w:szCs w:val="15"/>
                <w:color w:val="auto"/>
              </w:rPr>
            </w:pPr>
          </w:p>
        </w:tc>
        <w:tc>
          <w:tcPr>
            <w:tcW w:w="100" w:type="dxa"/>
            <w:vAlign w:val="bottom"/>
            <w:shd w:val="clear" w:color="auto" w:fill="FDFDFC"/>
          </w:tcPr>
          <w:p>
            <w:pPr>
              <w:spacing w:after="0"/>
              <w:rPr>
                <w:sz w:val="15"/>
                <w:szCs w:val="15"/>
                <w:color w:val="auto"/>
              </w:rPr>
            </w:pPr>
          </w:p>
        </w:tc>
        <w:tc>
          <w:tcPr>
            <w:tcW w:w="20" w:type="dxa"/>
            <w:vAlign w:val="bottom"/>
            <w:shd w:val="clear" w:color="auto" w:fill="FDFDFC"/>
          </w:tcPr>
          <w:p>
            <w:pPr>
              <w:spacing w:after="0"/>
              <w:rPr>
                <w:sz w:val="15"/>
                <w:szCs w:val="15"/>
                <w:color w:val="auto"/>
              </w:rPr>
            </w:pPr>
          </w:p>
        </w:tc>
        <w:tc>
          <w:tcPr>
            <w:tcW w:w="80" w:type="dxa"/>
            <w:vAlign w:val="bottom"/>
            <w:shd w:val="clear" w:color="auto" w:fill="FDFDFC"/>
          </w:tcPr>
          <w:p>
            <w:pPr>
              <w:spacing w:after="0"/>
              <w:rPr>
                <w:sz w:val="15"/>
                <w:szCs w:val="15"/>
                <w:color w:val="auto"/>
              </w:rPr>
            </w:pPr>
          </w:p>
        </w:tc>
        <w:tc>
          <w:tcPr>
            <w:tcW w:w="20" w:type="dxa"/>
            <w:vAlign w:val="bottom"/>
            <w:shd w:val="clear" w:color="auto" w:fill="FDFDFC"/>
          </w:tcPr>
          <w:p>
            <w:pPr>
              <w:spacing w:after="0"/>
              <w:rPr>
                <w:sz w:val="15"/>
                <w:szCs w:val="15"/>
                <w:color w:val="auto"/>
              </w:rPr>
            </w:pPr>
          </w:p>
        </w:tc>
        <w:tc>
          <w:tcPr>
            <w:tcW w:w="20" w:type="dxa"/>
            <w:vAlign w:val="bottom"/>
            <w:shd w:val="clear" w:color="auto" w:fill="FDFDFC"/>
          </w:tcPr>
          <w:p>
            <w:pPr>
              <w:spacing w:after="0"/>
              <w:rPr>
                <w:sz w:val="15"/>
                <w:szCs w:val="15"/>
                <w:color w:val="auto"/>
              </w:rPr>
            </w:pPr>
          </w:p>
        </w:tc>
        <w:tc>
          <w:tcPr>
            <w:tcW w:w="660" w:type="dxa"/>
            <w:vAlign w:val="bottom"/>
            <w:shd w:val="clear" w:color="auto" w:fill="FDFDFC"/>
          </w:tcPr>
          <w:p>
            <w:pPr>
              <w:spacing w:after="0"/>
              <w:rPr>
                <w:sz w:val="15"/>
                <w:szCs w:val="15"/>
                <w:color w:val="auto"/>
              </w:rPr>
            </w:pPr>
          </w:p>
        </w:tc>
        <w:tc>
          <w:tcPr>
            <w:tcW w:w="100" w:type="dxa"/>
            <w:vAlign w:val="bottom"/>
            <w:shd w:val="clear" w:color="auto" w:fill="FDFDFC"/>
          </w:tcPr>
          <w:p>
            <w:pPr>
              <w:spacing w:after="0"/>
              <w:rPr>
                <w:sz w:val="15"/>
                <w:szCs w:val="15"/>
                <w:color w:val="auto"/>
              </w:rPr>
            </w:pPr>
          </w:p>
        </w:tc>
        <w:tc>
          <w:tcPr>
            <w:tcW w:w="20" w:type="dxa"/>
            <w:vAlign w:val="bottom"/>
            <w:shd w:val="clear" w:color="auto" w:fill="FDFDFC"/>
          </w:tcPr>
          <w:p>
            <w:pPr>
              <w:spacing w:after="0"/>
              <w:rPr>
                <w:sz w:val="15"/>
                <w:szCs w:val="15"/>
                <w:color w:val="auto"/>
              </w:rPr>
            </w:pPr>
          </w:p>
        </w:tc>
        <w:tc>
          <w:tcPr>
            <w:tcW w:w="80" w:type="dxa"/>
            <w:vAlign w:val="bottom"/>
            <w:shd w:val="clear" w:color="auto" w:fill="FDFDFC"/>
          </w:tcPr>
          <w:p>
            <w:pPr>
              <w:spacing w:after="0"/>
              <w:rPr>
                <w:sz w:val="15"/>
                <w:szCs w:val="15"/>
                <w:color w:val="auto"/>
              </w:rPr>
            </w:pPr>
          </w:p>
        </w:tc>
        <w:tc>
          <w:tcPr>
            <w:tcW w:w="20" w:type="dxa"/>
            <w:vAlign w:val="bottom"/>
            <w:shd w:val="clear" w:color="auto" w:fill="FDFDFC"/>
          </w:tcPr>
          <w:p>
            <w:pPr>
              <w:spacing w:after="0"/>
              <w:rPr>
                <w:sz w:val="15"/>
                <w:szCs w:val="15"/>
                <w:color w:val="auto"/>
              </w:rPr>
            </w:pPr>
          </w:p>
        </w:tc>
        <w:tc>
          <w:tcPr>
            <w:tcW w:w="20" w:type="dxa"/>
            <w:vAlign w:val="bottom"/>
            <w:shd w:val="clear" w:color="auto" w:fill="FDFDFC"/>
          </w:tcPr>
          <w:p>
            <w:pPr>
              <w:spacing w:after="0"/>
              <w:rPr>
                <w:sz w:val="15"/>
                <w:szCs w:val="15"/>
                <w:color w:val="auto"/>
              </w:rPr>
            </w:pPr>
          </w:p>
        </w:tc>
        <w:tc>
          <w:tcPr>
            <w:tcW w:w="60" w:type="dxa"/>
            <w:vAlign w:val="bottom"/>
            <w:shd w:val="clear" w:color="auto" w:fill="FDFDFC"/>
          </w:tcPr>
          <w:p>
            <w:pPr>
              <w:spacing w:after="0"/>
              <w:rPr>
                <w:sz w:val="15"/>
                <w:szCs w:val="15"/>
                <w:color w:val="auto"/>
              </w:rPr>
            </w:pPr>
          </w:p>
        </w:tc>
        <w:tc>
          <w:tcPr>
            <w:tcW w:w="480" w:type="dxa"/>
            <w:vAlign w:val="bottom"/>
            <w:shd w:val="clear" w:color="auto" w:fill="FDFDFC"/>
          </w:tcPr>
          <w:p>
            <w:pPr>
              <w:spacing w:after="0"/>
              <w:rPr>
                <w:sz w:val="15"/>
                <w:szCs w:val="15"/>
                <w:color w:val="auto"/>
              </w:rPr>
            </w:pPr>
          </w:p>
        </w:tc>
        <w:tc>
          <w:tcPr>
            <w:tcW w:w="100" w:type="dxa"/>
            <w:vAlign w:val="bottom"/>
            <w:shd w:val="clear" w:color="auto" w:fill="FDFDFC"/>
          </w:tcPr>
          <w:p>
            <w:pPr>
              <w:spacing w:after="0"/>
              <w:rPr>
                <w:sz w:val="15"/>
                <w:szCs w:val="15"/>
                <w:color w:val="auto"/>
              </w:rPr>
            </w:pPr>
          </w:p>
        </w:tc>
        <w:tc>
          <w:tcPr>
            <w:tcW w:w="20" w:type="dxa"/>
            <w:vAlign w:val="bottom"/>
            <w:shd w:val="clear" w:color="auto" w:fill="FDFDFC"/>
          </w:tcPr>
          <w:p>
            <w:pPr>
              <w:spacing w:after="0"/>
              <w:rPr>
                <w:sz w:val="15"/>
                <w:szCs w:val="15"/>
                <w:color w:val="auto"/>
              </w:rPr>
            </w:pPr>
          </w:p>
        </w:tc>
        <w:tc>
          <w:tcPr>
            <w:tcW w:w="20" w:type="dxa"/>
            <w:vAlign w:val="bottom"/>
            <w:shd w:val="clear" w:color="auto" w:fill="FDFDFC"/>
          </w:tcPr>
          <w:p>
            <w:pPr>
              <w:spacing w:after="0"/>
              <w:rPr>
                <w:sz w:val="15"/>
                <w:szCs w:val="15"/>
                <w:color w:val="auto"/>
              </w:rPr>
            </w:pPr>
          </w:p>
        </w:tc>
        <w:tc>
          <w:tcPr>
            <w:tcW w:w="60" w:type="dxa"/>
            <w:vAlign w:val="bottom"/>
            <w:shd w:val="clear" w:color="auto" w:fill="FDFDFC"/>
          </w:tcPr>
          <w:p>
            <w:pPr>
              <w:spacing w:after="0"/>
              <w:rPr>
                <w:sz w:val="15"/>
                <w:szCs w:val="15"/>
                <w:color w:val="auto"/>
              </w:rPr>
            </w:pPr>
          </w:p>
        </w:tc>
        <w:tc>
          <w:tcPr>
            <w:tcW w:w="140" w:type="dxa"/>
            <w:vAlign w:val="bottom"/>
            <w:shd w:val="clear" w:color="auto" w:fill="FDFDFC"/>
          </w:tcPr>
          <w:p>
            <w:pPr>
              <w:spacing w:after="0"/>
              <w:rPr>
                <w:sz w:val="15"/>
                <w:szCs w:val="15"/>
                <w:color w:val="auto"/>
              </w:rPr>
            </w:pPr>
          </w:p>
        </w:tc>
        <w:tc>
          <w:tcPr>
            <w:tcW w:w="900" w:type="dxa"/>
            <w:vAlign w:val="bottom"/>
            <w:shd w:val="clear" w:color="auto" w:fill="FDFDFC"/>
          </w:tcPr>
          <w:p>
            <w:pPr>
              <w:spacing w:after="0"/>
              <w:rPr>
                <w:sz w:val="15"/>
                <w:szCs w:val="15"/>
                <w:color w:val="auto"/>
              </w:rPr>
            </w:pPr>
          </w:p>
        </w:tc>
        <w:tc>
          <w:tcPr>
            <w:tcW w:w="100" w:type="dxa"/>
            <w:vAlign w:val="bottom"/>
            <w:shd w:val="clear" w:color="auto" w:fill="FDFDFC"/>
          </w:tcPr>
          <w:p>
            <w:pPr>
              <w:spacing w:after="0"/>
              <w:rPr>
                <w:sz w:val="15"/>
                <w:szCs w:val="15"/>
                <w:color w:val="auto"/>
              </w:rPr>
            </w:pPr>
          </w:p>
        </w:tc>
        <w:tc>
          <w:tcPr>
            <w:tcW w:w="20" w:type="dxa"/>
            <w:vAlign w:val="bottom"/>
            <w:shd w:val="clear" w:color="auto" w:fill="FDFDFC"/>
          </w:tcPr>
          <w:p>
            <w:pPr>
              <w:spacing w:after="0"/>
              <w:rPr>
                <w:sz w:val="15"/>
                <w:szCs w:val="15"/>
                <w:color w:val="auto"/>
              </w:rPr>
            </w:pPr>
          </w:p>
        </w:tc>
        <w:tc>
          <w:tcPr>
            <w:tcW w:w="80" w:type="dxa"/>
            <w:vAlign w:val="bottom"/>
            <w:shd w:val="clear" w:color="auto" w:fill="FDFDFC"/>
          </w:tcPr>
          <w:p>
            <w:pPr>
              <w:spacing w:after="0"/>
              <w:rPr>
                <w:sz w:val="15"/>
                <w:szCs w:val="15"/>
                <w:color w:val="auto"/>
              </w:rPr>
            </w:pPr>
          </w:p>
        </w:tc>
        <w:tc>
          <w:tcPr>
            <w:tcW w:w="20" w:type="dxa"/>
            <w:vAlign w:val="bottom"/>
            <w:shd w:val="clear" w:color="auto" w:fill="FDFDFC"/>
          </w:tcPr>
          <w:p>
            <w:pPr>
              <w:spacing w:after="0"/>
              <w:rPr>
                <w:sz w:val="15"/>
                <w:szCs w:val="15"/>
                <w:color w:val="auto"/>
              </w:rPr>
            </w:pPr>
          </w:p>
        </w:tc>
        <w:tc>
          <w:tcPr>
            <w:tcW w:w="20" w:type="dxa"/>
            <w:vAlign w:val="bottom"/>
            <w:shd w:val="clear" w:color="auto" w:fill="FDFDFC"/>
          </w:tcPr>
          <w:p>
            <w:pPr>
              <w:spacing w:after="0"/>
              <w:rPr>
                <w:sz w:val="15"/>
                <w:szCs w:val="15"/>
                <w:color w:val="auto"/>
              </w:rPr>
            </w:pPr>
          </w:p>
        </w:tc>
        <w:tc>
          <w:tcPr>
            <w:tcW w:w="60" w:type="dxa"/>
            <w:vAlign w:val="bottom"/>
            <w:shd w:val="clear" w:color="auto" w:fill="FDFDFC"/>
          </w:tcPr>
          <w:p>
            <w:pPr>
              <w:spacing w:after="0"/>
              <w:rPr>
                <w:sz w:val="15"/>
                <w:szCs w:val="15"/>
                <w:color w:val="auto"/>
              </w:rPr>
            </w:pPr>
          </w:p>
        </w:tc>
        <w:tc>
          <w:tcPr>
            <w:tcW w:w="720" w:type="dxa"/>
            <w:vAlign w:val="bottom"/>
            <w:shd w:val="clear" w:color="auto" w:fill="FDFDFC"/>
          </w:tcPr>
          <w:p>
            <w:pPr>
              <w:spacing w:after="0"/>
              <w:rPr>
                <w:sz w:val="15"/>
                <w:szCs w:val="15"/>
                <w:color w:val="auto"/>
              </w:rPr>
            </w:pPr>
          </w:p>
        </w:tc>
        <w:tc>
          <w:tcPr>
            <w:tcW w:w="100" w:type="dxa"/>
            <w:vAlign w:val="bottom"/>
            <w:shd w:val="clear" w:color="auto" w:fill="FDFDFC"/>
          </w:tcPr>
          <w:p>
            <w:pPr>
              <w:spacing w:after="0"/>
              <w:rPr>
                <w:sz w:val="15"/>
                <w:szCs w:val="15"/>
                <w:color w:val="auto"/>
              </w:rPr>
            </w:pPr>
          </w:p>
        </w:tc>
        <w:tc>
          <w:tcPr>
            <w:tcW w:w="20" w:type="dxa"/>
            <w:vAlign w:val="bottom"/>
            <w:shd w:val="clear" w:color="auto" w:fill="FDFDFC"/>
          </w:tcPr>
          <w:p>
            <w:pPr>
              <w:spacing w:after="0"/>
              <w:rPr>
                <w:sz w:val="15"/>
                <w:szCs w:val="15"/>
                <w:color w:val="auto"/>
              </w:rPr>
            </w:pPr>
          </w:p>
        </w:tc>
        <w:tc>
          <w:tcPr>
            <w:tcW w:w="80" w:type="dxa"/>
            <w:vAlign w:val="bottom"/>
            <w:shd w:val="clear" w:color="auto" w:fill="FDFDFC"/>
          </w:tcPr>
          <w:p>
            <w:pPr>
              <w:spacing w:after="0"/>
              <w:rPr>
                <w:sz w:val="15"/>
                <w:szCs w:val="15"/>
                <w:color w:val="auto"/>
              </w:rPr>
            </w:pPr>
          </w:p>
        </w:tc>
        <w:tc>
          <w:tcPr>
            <w:tcW w:w="20" w:type="dxa"/>
            <w:vAlign w:val="bottom"/>
            <w:shd w:val="clear" w:color="auto" w:fill="FDFDFC"/>
          </w:tcPr>
          <w:p>
            <w:pPr>
              <w:spacing w:after="0"/>
              <w:rPr>
                <w:sz w:val="15"/>
                <w:szCs w:val="15"/>
                <w:color w:val="auto"/>
              </w:rPr>
            </w:pPr>
          </w:p>
        </w:tc>
        <w:tc>
          <w:tcPr>
            <w:tcW w:w="20" w:type="dxa"/>
            <w:vAlign w:val="bottom"/>
            <w:shd w:val="clear" w:color="auto" w:fill="FDFDFC"/>
          </w:tcPr>
          <w:p>
            <w:pPr>
              <w:spacing w:after="0"/>
              <w:rPr>
                <w:sz w:val="15"/>
                <w:szCs w:val="15"/>
                <w:color w:val="auto"/>
              </w:rPr>
            </w:pPr>
          </w:p>
        </w:tc>
        <w:tc>
          <w:tcPr>
            <w:tcW w:w="40" w:type="dxa"/>
            <w:vAlign w:val="bottom"/>
            <w:shd w:val="clear" w:color="auto" w:fill="FDFDFC"/>
          </w:tcPr>
          <w:p>
            <w:pPr>
              <w:spacing w:after="0"/>
              <w:rPr>
                <w:sz w:val="15"/>
                <w:szCs w:val="15"/>
                <w:color w:val="auto"/>
              </w:rPr>
            </w:pPr>
          </w:p>
        </w:tc>
        <w:tc>
          <w:tcPr>
            <w:tcW w:w="720" w:type="dxa"/>
            <w:vAlign w:val="bottom"/>
            <w:shd w:val="clear" w:color="auto" w:fill="FDFDFC"/>
          </w:tcPr>
          <w:p>
            <w:pPr>
              <w:spacing w:after="0"/>
              <w:rPr>
                <w:sz w:val="15"/>
                <w:szCs w:val="15"/>
                <w:color w:val="auto"/>
              </w:rPr>
            </w:pPr>
          </w:p>
        </w:tc>
        <w:tc>
          <w:tcPr>
            <w:tcW w:w="100" w:type="dxa"/>
            <w:vAlign w:val="bottom"/>
            <w:shd w:val="clear" w:color="auto" w:fill="FDFDFC"/>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3620" w:type="dxa"/>
            <w:vAlign w:val="bottom"/>
            <w:gridSpan w:val="2"/>
            <w:shd w:val="clear" w:color="auto" w:fill="D0EBF2"/>
          </w:tcPr>
          <w:p>
            <w:pPr>
              <w:ind w:left="100"/>
              <w:spacing w:after="0"/>
              <w:rPr>
                <w:sz w:val="20"/>
                <w:szCs w:val="20"/>
                <w:color w:val="auto"/>
              </w:rPr>
            </w:pPr>
            <w:r>
              <w:rPr>
                <w:rFonts w:ascii="Times New Roman" w:cs="Times New Roman" w:eastAsia="Times New Roman" w:hAnsi="Times New Roman"/>
                <w:sz w:val="14"/>
                <w:szCs w:val="14"/>
                <w:color w:val="231F20"/>
              </w:rPr>
              <w:t>Issuance of common stock, net of offering and</w:t>
            </w:r>
          </w:p>
        </w:tc>
        <w:tc>
          <w:tcPr>
            <w:tcW w:w="860" w:type="dxa"/>
            <w:vAlign w:val="bottom"/>
            <w:shd w:val="clear" w:color="auto" w:fill="D0EBF2"/>
          </w:tcPr>
          <w:p>
            <w:pPr>
              <w:spacing w:after="0"/>
              <w:rPr>
                <w:sz w:val="14"/>
                <w:szCs w:val="14"/>
                <w:color w:val="auto"/>
              </w:rPr>
            </w:pPr>
          </w:p>
        </w:tc>
        <w:tc>
          <w:tcPr>
            <w:tcW w:w="100" w:type="dxa"/>
            <w:vAlign w:val="bottom"/>
            <w:shd w:val="clear" w:color="auto" w:fill="D0EBF2"/>
          </w:tcPr>
          <w:p>
            <w:pPr>
              <w:spacing w:after="0"/>
              <w:rPr>
                <w:sz w:val="14"/>
                <w:szCs w:val="14"/>
                <w:color w:val="auto"/>
              </w:rPr>
            </w:pPr>
          </w:p>
        </w:tc>
        <w:tc>
          <w:tcPr>
            <w:tcW w:w="100" w:type="dxa"/>
            <w:vAlign w:val="bottom"/>
            <w:shd w:val="clear" w:color="auto" w:fill="D0EBF2"/>
          </w:tcPr>
          <w:p>
            <w:pPr>
              <w:spacing w:after="0"/>
              <w:rPr>
                <w:sz w:val="14"/>
                <w:szCs w:val="14"/>
                <w:color w:val="auto"/>
              </w:rPr>
            </w:pPr>
          </w:p>
        </w:tc>
        <w:tc>
          <w:tcPr>
            <w:tcW w:w="20" w:type="dxa"/>
            <w:vAlign w:val="bottom"/>
            <w:shd w:val="clear" w:color="auto" w:fill="D0EBF2"/>
          </w:tcPr>
          <w:p>
            <w:pPr>
              <w:spacing w:after="0"/>
              <w:rPr>
                <w:sz w:val="14"/>
                <w:szCs w:val="14"/>
                <w:color w:val="auto"/>
              </w:rPr>
            </w:pPr>
          </w:p>
        </w:tc>
        <w:tc>
          <w:tcPr>
            <w:tcW w:w="20" w:type="dxa"/>
            <w:vAlign w:val="bottom"/>
            <w:shd w:val="clear" w:color="auto" w:fill="D0EBF2"/>
          </w:tcPr>
          <w:p>
            <w:pPr>
              <w:spacing w:after="0"/>
              <w:rPr>
                <w:sz w:val="14"/>
                <w:szCs w:val="14"/>
                <w:color w:val="auto"/>
              </w:rPr>
            </w:pPr>
          </w:p>
        </w:tc>
        <w:tc>
          <w:tcPr>
            <w:tcW w:w="60" w:type="dxa"/>
            <w:vAlign w:val="bottom"/>
            <w:shd w:val="clear" w:color="auto" w:fill="D0EBF2"/>
          </w:tcPr>
          <w:p>
            <w:pPr>
              <w:spacing w:after="0"/>
              <w:rPr>
                <w:sz w:val="14"/>
                <w:szCs w:val="14"/>
                <w:color w:val="auto"/>
              </w:rPr>
            </w:pPr>
          </w:p>
        </w:tc>
        <w:tc>
          <w:tcPr>
            <w:tcW w:w="420" w:type="dxa"/>
            <w:vAlign w:val="bottom"/>
            <w:shd w:val="clear" w:color="auto" w:fill="D0EBF2"/>
          </w:tcPr>
          <w:p>
            <w:pPr>
              <w:spacing w:after="0"/>
              <w:rPr>
                <w:sz w:val="14"/>
                <w:szCs w:val="14"/>
                <w:color w:val="auto"/>
              </w:rPr>
            </w:pPr>
          </w:p>
        </w:tc>
        <w:tc>
          <w:tcPr>
            <w:tcW w:w="100" w:type="dxa"/>
            <w:vAlign w:val="bottom"/>
            <w:shd w:val="clear" w:color="auto" w:fill="D0EBF2"/>
          </w:tcPr>
          <w:p>
            <w:pPr>
              <w:spacing w:after="0"/>
              <w:rPr>
                <w:sz w:val="14"/>
                <w:szCs w:val="14"/>
                <w:color w:val="auto"/>
              </w:rPr>
            </w:pPr>
          </w:p>
        </w:tc>
        <w:tc>
          <w:tcPr>
            <w:tcW w:w="20" w:type="dxa"/>
            <w:vAlign w:val="bottom"/>
            <w:shd w:val="clear" w:color="auto" w:fill="D0EBF2"/>
          </w:tcPr>
          <w:p>
            <w:pPr>
              <w:spacing w:after="0"/>
              <w:rPr>
                <w:sz w:val="14"/>
                <w:szCs w:val="14"/>
                <w:color w:val="auto"/>
              </w:rPr>
            </w:pPr>
          </w:p>
        </w:tc>
        <w:tc>
          <w:tcPr>
            <w:tcW w:w="80" w:type="dxa"/>
            <w:vAlign w:val="bottom"/>
            <w:shd w:val="clear" w:color="auto" w:fill="D0EBF2"/>
          </w:tcPr>
          <w:p>
            <w:pPr>
              <w:spacing w:after="0"/>
              <w:rPr>
                <w:sz w:val="14"/>
                <w:szCs w:val="14"/>
                <w:color w:val="auto"/>
              </w:rPr>
            </w:pPr>
          </w:p>
        </w:tc>
        <w:tc>
          <w:tcPr>
            <w:tcW w:w="20" w:type="dxa"/>
            <w:vAlign w:val="bottom"/>
            <w:shd w:val="clear" w:color="auto" w:fill="D0EBF2"/>
          </w:tcPr>
          <w:p>
            <w:pPr>
              <w:spacing w:after="0"/>
              <w:rPr>
                <w:sz w:val="14"/>
                <w:szCs w:val="14"/>
                <w:color w:val="auto"/>
              </w:rPr>
            </w:pPr>
          </w:p>
        </w:tc>
        <w:tc>
          <w:tcPr>
            <w:tcW w:w="20" w:type="dxa"/>
            <w:vAlign w:val="bottom"/>
            <w:shd w:val="clear" w:color="auto" w:fill="D0EBF2"/>
          </w:tcPr>
          <w:p>
            <w:pPr>
              <w:spacing w:after="0"/>
              <w:rPr>
                <w:sz w:val="14"/>
                <w:szCs w:val="14"/>
                <w:color w:val="auto"/>
              </w:rPr>
            </w:pPr>
          </w:p>
        </w:tc>
        <w:tc>
          <w:tcPr>
            <w:tcW w:w="660" w:type="dxa"/>
            <w:vAlign w:val="bottom"/>
            <w:shd w:val="clear" w:color="auto" w:fill="D0EBF2"/>
          </w:tcPr>
          <w:p>
            <w:pPr>
              <w:spacing w:after="0"/>
              <w:rPr>
                <w:sz w:val="14"/>
                <w:szCs w:val="14"/>
                <w:color w:val="auto"/>
              </w:rPr>
            </w:pPr>
          </w:p>
        </w:tc>
        <w:tc>
          <w:tcPr>
            <w:tcW w:w="100" w:type="dxa"/>
            <w:vAlign w:val="bottom"/>
            <w:shd w:val="clear" w:color="auto" w:fill="D0EBF2"/>
          </w:tcPr>
          <w:p>
            <w:pPr>
              <w:spacing w:after="0"/>
              <w:rPr>
                <w:sz w:val="14"/>
                <w:szCs w:val="14"/>
                <w:color w:val="auto"/>
              </w:rPr>
            </w:pPr>
          </w:p>
        </w:tc>
        <w:tc>
          <w:tcPr>
            <w:tcW w:w="20" w:type="dxa"/>
            <w:vAlign w:val="bottom"/>
            <w:shd w:val="clear" w:color="auto" w:fill="D0EBF2"/>
          </w:tcPr>
          <w:p>
            <w:pPr>
              <w:spacing w:after="0"/>
              <w:rPr>
                <w:sz w:val="14"/>
                <w:szCs w:val="14"/>
                <w:color w:val="auto"/>
              </w:rPr>
            </w:pPr>
          </w:p>
        </w:tc>
        <w:tc>
          <w:tcPr>
            <w:tcW w:w="80" w:type="dxa"/>
            <w:vAlign w:val="bottom"/>
            <w:shd w:val="clear" w:color="auto" w:fill="D0EBF2"/>
          </w:tcPr>
          <w:p>
            <w:pPr>
              <w:spacing w:after="0"/>
              <w:rPr>
                <w:sz w:val="14"/>
                <w:szCs w:val="14"/>
                <w:color w:val="auto"/>
              </w:rPr>
            </w:pPr>
          </w:p>
        </w:tc>
        <w:tc>
          <w:tcPr>
            <w:tcW w:w="20" w:type="dxa"/>
            <w:vAlign w:val="bottom"/>
            <w:shd w:val="clear" w:color="auto" w:fill="D0EBF2"/>
          </w:tcPr>
          <w:p>
            <w:pPr>
              <w:spacing w:after="0"/>
              <w:rPr>
                <w:sz w:val="14"/>
                <w:szCs w:val="14"/>
                <w:color w:val="auto"/>
              </w:rPr>
            </w:pPr>
          </w:p>
        </w:tc>
        <w:tc>
          <w:tcPr>
            <w:tcW w:w="20" w:type="dxa"/>
            <w:vAlign w:val="bottom"/>
            <w:shd w:val="clear" w:color="auto" w:fill="D0EBF2"/>
          </w:tcPr>
          <w:p>
            <w:pPr>
              <w:spacing w:after="0"/>
              <w:rPr>
                <w:sz w:val="14"/>
                <w:szCs w:val="14"/>
                <w:color w:val="auto"/>
              </w:rPr>
            </w:pPr>
          </w:p>
        </w:tc>
        <w:tc>
          <w:tcPr>
            <w:tcW w:w="60" w:type="dxa"/>
            <w:vAlign w:val="bottom"/>
            <w:shd w:val="clear" w:color="auto" w:fill="D0EBF2"/>
          </w:tcPr>
          <w:p>
            <w:pPr>
              <w:spacing w:after="0"/>
              <w:rPr>
                <w:sz w:val="14"/>
                <w:szCs w:val="14"/>
                <w:color w:val="auto"/>
              </w:rPr>
            </w:pPr>
          </w:p>
        </w:tc>
        <w:tc>
          <w:tcPr>
            <w:tcW w:w="480" w:type="dxa"/>
            <w:vAlign w:val="bottom"/>
            <w:shd w:val="clear" w:color="auto" w:fill="D0EBF2"/>
          </w:tcPr>
          <w:p>
            <w:pPr>
              <w:spacing w:after="0"/>
              <w:rPr>
                <w:sz w:val="14"/>
                <w:szCs w:val="14"/>
                <w:color w:val="auto"/>
              </w:rPr>
            </w:pPr>
          </w:p>
        </w:tc>
        <w:tc>
          <w:tcPr>
            <w:tcW w:w="100" w:type="dxa"/>
            <w:vAlign w:val="bottom"/>
            <w:shd w:val="clear" w:color="auto" w:fill="D0EBF2"/>
          </w:tcPr>
          <w:p>
            <w:pPr>
              <w:spacing w:after="0"/>
              <w:rPr>
                <w:sz w:val="14"/>
                <w:szCs w:val="14"/>
                <w:color w:val="auto"/>
              </w:rPr>
            </w:pPr>
          </w:p>
        </w:tc>
        <w:tc>
          <w:tcPr>
            <w:tcW w:w="20" w:type="dxa"/>
            <w:vAlign w:val="bottom"/>
            <w:shd w:val="clear" w:color="auto" w:fill="D0EBF2"/>
          </w:tcPr>
          <w:p>
            <w:pPr>
              <w:spacing w:after="0"/>
              <w:rPr>
                <w:sz w:val="14"/>
                <w:szCs w:val="14"/>
                <w:color w:val="auto"/>
              </w:rPr>
            </w:pPr>
          </w:p>
        </w:tc>
        <w:tc>
          <w:tcPr>
            <w:tcW w:w="20" w:type="dxa"/>
            <w:vAlign w:val="bottom"/>
            <w:shd w:val="clear" w:color="auto" w:fill="D0EBF2"/>
          </w:tcPr>
          <w:p>
            <w:pPr>
              <w:spacing w:after="0"/>
              <w:rPr>
                <w:sz w:val="14"/>
                <w:szCs w:val="14"/>
                <w:color w:val="auto"/>
              </w:rPr>
            </w:pPr>
          </w:p>
        </w:tc>
        <w:tc>
          <w:tcPr>
            <w:tcW w:w="60" w:type="dxa"/>
            <w:vAlign w:val="bottom"/>
            <w:shd w:val="clear" w:color="auto" w:fill="D0EBF2"/>
          </w:tcPr>
          <w:p>
            <w:pPr>
              <w:spacing w:after="0"/>
              <w:rPr>
                <w:sz w:val="14"/>
                <w:szCs w:val="14"/>
                <w:color w:val="auto"/>
              </w:rPr>
            </w:pPr>
          </w:p>
        </w:tc>
        <w:tc>
          <w:tcPr>
            <w:tcW w:w="140" w:type="dxa"/>
            <w:vAlign w:val="bottom"/>
            <w:shd w:val="clear" w:color="auto" w:fill="D0EBF2"/>
          </w:tcPr>
          <w:p>
            <w:pPr>
              <w:spacing w:after="0"/>
              <w:rPr>
                <w:sz w:val="14"/>
                <w:szCs w:val="14"/>
                <w:color w:val="auto"/>
              </w:rPr>
            </w:pPr>
          </w:p>
        </w:tc>
        <w:tc>
          <w:tcPr>
            <w:tcW w:w="900" w:type="dxa"/>
            <w:vAlign w:val="bottom"/>
            <w:shd w:val="clear" w:color="auto" w:fill="D0EBF2"/>
          </w:tcPr>
          <w:p>
            <w:pPr>
              <w:spacing w:after="0"/>
              <w:rPr>
                <w:sz w:val="14"/>
                <w:szCs w:val="14"/>
                <w:color w:val="auto"/>
              </w:rPr>
            </w:pPr>
          </w:p>
        </w:tc>
        <w:tc>
          <w:tcPr>
            <w:tcW w:w="100" w:type="dxa"/>
            <w:vAlign w:val="bottom"/>
            <w:shd w:val="clear" w:color="auto" w:fill="D0EBF2"/>
          </w:tcPr>
          <w:p>
            <w:pPr>
              <w:spacing w:after="0"/>
              <w:rPr>
                <w:sz w:val="14"/>
                <w:szCs w:val="14"/>
                <w:color w:val="auto"/>
              </w:rPr>
            </w:pPr>
          </w:p>
        </w:tc>
        <w:tc>
          <w:tcPr>
            <w:tcW w:w="20" w:type="dxa"/>
            <w:vAlign w:val="bottom"/>
            <w:shd w:val="clear" w:color="auto" w:fill="D0EBF2"/>
          </w:tcPr>
          <w:p>
            <w:pPr>
              <w:spacing w:after="0"/>
              <w:rPr>
                <w:sz w:val="14"/>
                <w:szCs w:val="14"/>
                <w:color w:val="auto"/>
              </w:rPr>
            </w:pPr>
          </w:p>
        </w:tc>
        <w:tc>
          <w:tcPr>
            <w:tcW w:w="80" w:type="dxa"/>
            <w:vAlign w:val="bottom"/>
            <w:shd w:val="clear" w:color="auto" w:fill="D0EBF2"/>
          </w:tcPr>
          <w:p>
            <w:pPr>
              <w:spacing w:after="0"/>
              <w:rPr>
                <w:sz w:val="14"/>
                <w:szCs w:val="14"/>
                <w:color w:val="auto"/>
              </w:rPr>
            </w:pPr>
          </w:p>
        </w:tc>
        <w:tc>
          <w:tcPr>
            <w:tcW w:w="20" w:type="dxa"/>
            <w:vAlign w:val="bottom"/>
            <w:shd w:val="clear" w:color="auto" w:fill="D0EBF2"/>
          </w:tcPr>
          <w:p>
            <w:pPr>
              <w:spacing w:after="0"/>
              <w:rPr>
                <w:sz w:val="14"/>
                <w:szCs w:val="14"/>
                <w:color w:val="auto"/>
              </w:rPr>
            </w:pPr>
          </w:p>
        </w:tc>
        <w:tc>
          <w:tcPr>
            <w:tcW w:w="20" w:type="dxa"/>
            <w:vAlign w:val="bottom"/>
            <w:shd w:val="clear" w:color="auto" w:fill="D0EBF2"/>
          </w:tcPr>
          <w:p>
            <w:pPr>
              <w:spacing w:after="0"/>
              <w:rPr>
                <w:sz w:val="14"/>
                <w:szCs w:val="14"/>
                <w:color w:val="auto"/>
              </w:rPr>
            </w:pPr>
          </w:p>
        </w:tc>
        <w:tc>
          <w:tcPr>
            <w:tcW w:w="60" w:type="dxa"/>
            <w:vAlign w:val="bottom"/>
            <w:shd w:val="clear" w:color="auto" w:fill="D0EBF2"/>
          </w:tcPr>
          <w:p>
            <w:pPr>
              <w:spacing w:after="0"/>
              <w:rPr>
                <w:sz w:val="14"/>
                <w:szCs w:val="14"/>
                <w:color w:val="auto"/>
              </w:rPr>
            </w:pPr>
          </w:p>
        </w:tc>
        <w:tc>
          <w:tcPr>
            <w:tcW w:w="720" w:type="dxa"/>
            <w:vAlign w:val="bottom"/>
            <w:shd w:val="clear" w:color="auto" w:fill="D0EBF2"/>
          </w:tcPr>
          <w:p>
            <w:pPr>
              <w:spacing w:after="0"/>
              <w:rPr>
                <w:sz w:val="14"/>
                <w:szCs w:val="14"/>
                <w:color w:val="auto"/>
              </w:rPr>
            </w:pPr>
          </w:p>
        </w:tc>
        <w:tc>
          <w:tcPr>
            <w:tcW w:w="100" w:type="dxa"/>
            <w:vAlign w:val="bottom"/>
            <w:shd w:val="clear" w:color="auto" w:fill="D0EBF2"/>
          </w:tcPr>
          <w:p>
            <w:pPr>
              <w:spacing w:after="0"/>
              <w:rPr>
                <w:sz w:val="14"/>
                <w:szCs w:val="14"/>
                <w:color w:val="auto"/>
              </w:rPr>
            </w:pPr>
          </w:p>
        </w:tc>
        <w:tc>
          <w:tcPr>
            <w:tcW w:w="20" w:type="dxa"/>
            <w:vAlign w:val="bottom"/>
            <w:shd w:val="clear" w:color="auto" w:fill="D0EBF2"/>
          </w:tcPr>
          <w:p>
            <w:pPr>
              <w:spacing w:after="0"/>
              <w:rPr>
                <w:sz w:val="14"/>
                <w:szCs w:val="14"/>
                <w:color w:val="auto"/>
              </w:rPr>
            </w:pPr>
          </w:p>
        </w:tc>
        <w:tc>
          <w:tcPr>
            <w:tcW w:w="80" w:type="dxa"/>
            <w:vAlign w:val="bottom"/>
            <w:shd w:val="clear" w:color="auto" w:fill="D0EBF2"/>
          </w:tcPr>
          <w:p>
            <w:pPr>
              <w:spacing w:after="0"/>
              <w:rPr>
                <w:sz w:val="14"/>
                <w:szCs w:val="14"/>
                <w:color w:val="auto"/>
              </w:rPr>
            </w:pPr>
          </w:p>
        </w:tc>
        <w:tc>
          <w:tcPr>
            <w:tcW w:w="20" w:type="dxa"/>
            <w:vAlign w:val="bottom"/>
            <w:shd w:val="clear" w:color="auto" w:fill="D0EBF2"/>
          </w:tcPr>
          <w:p>
            <w:pPr>
              <w:spacing w:after="0"/>
              <w:rPr>
                <w:sz w:val="14"/>
                <w:szCs w:val="14"/>
                <w:color w:val="auto"/>
              </w:rPr>
            </w:pPr>
          </w:p>
        </w:tc>
        <w:tc>
          <w:tcPr>
            <w:tcW w:w="20" w:type="dxa"/>
            <w:vAlign w:val="bottom"/>
            <w:shd w:val="clear" w:color="auto" w:fill="D0EBF2"/>
          </w:tcPr>
          <w:p>
            <w:pPr>
              <w:spacing w:after="0"/>
              <w:rPr>
                <w:sz w:val="14"/>
                <w:szCs w:val="14"/>
                <w:color w:val="auto"/>
              </w:rPr>
            </w:pPr>
          </w:p>
        </w:tc>
        <w:tc>
          <w:tcPr>
            <w:tcW w:w="40" w:type="dxa"/>
            <w:vAlign w:val="bottom"/>
            <w:shd w:val="clear" w:color="auto" w:fill="D0EBF2"/>
          </w:tcPr>
          <w:p>
            <w:pPr>
              <w:spacing w:after="0"/>
              <w:rPr>
                <w:sz w:val="14"/>
                <w:szCs w:val="14"/>
                <w:color w:val="auto"/>
              </w:rPr>
            </w:pPr>
          </w:p>
        </w:tc>
        <w:tc>
          <w:tcPr>
            <w:tcW w:w="720" w:type="dxa"/>
            <w:vAlign w:val="bottom"/>
            <w:shd w:val="clear" w:color="auto" w:fill="D0EBF2"/>
          </w:tcPr>
          <w:p>
            <w:pPr>
              <w:spacing w:after="0"/>
              <w:rPr>
                <w:sz w:val="14"/>
                <w:szCs w:val="14"/>
                <w:color w:val="auto"/>
              </w:rPr>
            </w:pPr>
          </w:p>
        </w:tc>
        <w:tc>
          <w:tcPr>
            <w:tcW w:w="100" w:type="dxa"/>
            <w:vAlign w:val="bottom"/>
            <w:shd w:val="clear" w:color="auto" w:fill="D0EBF2"/>
          </w:tcPr>
          <w:p>
            <w:pPr>
              <w:spacing w:after="0"/>
              <w:rPr>
                <w:sz w:val="14"/>
                <w:szCs w:val="14"/>
                <w:color w:val="auto"/>
              </w:rPr>
            </w:pPr>
          </w:p>
        </w:tc>
        <w:tc>
          <w:tcPr>
            <w:tcW w:w="0" w:type="dxa"/>
            <w:vAlign w:val="bottom"/>
          </w:tcPr>
          <w:p>
            <w:pPr>
              <w:spacing w:after="0"/>
              <w:rPr>
                <w:sz w:val="1"/>
                <w:szCs w:val="1"/>
                <w:color w:val="auto"/>
              </w:rPr>
            </w:pPr>
          </w:p>
        </w:tc>
      </w:tr>
      <w:tr>
        <w:trPr>
          <w:trHeight w:val="177"/>
        </w:trPr>
        <w:tc>
          <w:tcPr>
            <w:tcW w:w="3620" w:type="dxa"/>
            <w:vAlign w:val="bottom"/>
            <w:gridSpan w:val="2"/>
            <w:shd w:val="clear" w:color="auto" w:fill="D0EBF2"/>
          </w:tcPr>
          <w:p>
            <w:pPr>
              <w:ind w:left="100"/>
              <w:spacing w:after="0"/>
              <w:rPr>
                <w:sz w:val="20"/>
                <w:szCs w:val="20"/>
                <w:color w:val="auto"/>
              </w:rPr>
            </w:pPr>
            <w:r>
              <w:rPr>
                <w:rFonts w:ascii="Times New Roman" w:cs="Times New Roman" w:eastAsia="Times New Roman" w:hAnsi="Times New Roman"/>
                <w:sz w:val="14"/>
                <w:szCs w:val="14"/>
                <w:color w:val="231F20"/>
              </w:rPr>
              <w:t>underwriting costs</w:t>
            </w:r>
          </w:p>
        </w:tc>
        <w:tc>
          <w:tcPr>
            <w:tcW w:w="860" w:type="dxa"/>
            <w:vAlign w:val="bottom"/>
            <w:shd w:val="clear" w:color="auto" w:fill="D0EBF2"/>
          </w:tcPr>
          <w:p>
            <w:pPr>
              <w:jc w:val="right"/>
              <w:spacing w:after="0"/>
              <w:rPr>
                <w:sz w:val="20"/>
                <w:szCs w:val="20"/>
                <w:color w:val="auto"/>
              </w:rPr>
            </w:pPr>
            <w:r>
              <w:rPr>
                <w:rFonts w:ascii="Times New Roman" w:cs="Times New Roman" w:eastAsia="Times New Roman" w:hAnsi="Times New Roman"/>
                <w:sz w:val="14"/>
                <w:szCs w:val="14"/>
                <w:color w:val="231F20"/>
              </w:rPr>
              <w:t>—</w:t>
            </w:r>
          </w:p>
        </w:tc>
        <w:tc>
          <w:tcPr>
            <w:tcW w:w="100" w:type="dxa"/>
            <w:vAlign w:val="bottom"/>
            <w:shd w:val="clear" w:color="auto" w:fill="D0EBF2"/>
          </w:tcPr>
          <w:p>
            <w:pPr>
              <w:spacing w:after="0"/>
              <w:rPr>
                <w:sz w:val="15"/>
                <w:szCs w:val="15"/>
                <w:color w:val="auto"/>
              </w:rPr>
            </w:pPr>
          </w:p>
        </w:tc>
        <w:tc>
          <w:tcPr>
            <w:tcW w:w="100" w:type="dxa"/>
            <w:vAlign w:val="bottom"/>
            <w:shd w:val="clear" w:color="auto" w:fill="D0EBF2"/>
          </w:tcPr>
          <w:p>
            <w:pPr>
              <w:spacing w:after="0"/>
              <w:rPr>
                <w:sz w:val="15"/>
                <w:szCs w:val="15"/>
                <w:color w:val="auto"/>
              </w:rPr>
            </w:pPr>
          </w:p>
        </w:tc>
        <w:tc>
          <w:tcPr>
            <w:tcW w:w="20" w:type="dxa"/>
            <w:vAlign w:val="bottom"/>
            <w:shd w:val="clear" w:color="auto" w:fill="D0EBF2"/>
          </w:tcPr>
          <w:p>
            <w:pPr>
              <w:spacing w:after="0"/>
              <w:rPr>
                <w:sz w:val="15"/>
                <w:szCs w:val="15"/>
                <w:color w:val="auto"/>
              </w:rPr>
            </w:pPr>
          </w:p>
        </w:tc>
        <w:tc>
          <w:tcPr>
            <w:tcW w:w="20" w:type="dxa"/>
            <w:vAlign w:val="bottom"/>
            <w:shd w:val="clear" w:color="auto" w:fill="D0EBF2"/>
          </w:tcPr>
          <w:p>
            <w:pPr>
              <w:spacing w:after="0"/>
              <w:rPr>
                <w:sz w:val="15"/>
                <w:szCs w:val="15"/>
                <w:color w:val="auto"/>
              </w:rPr>
            </w:pPr>
          </w:p>
        </w:tc>
        <w:tc>
          <w:tcPr>
            <w:tcW w:w="60" w:type="dxa"/>
            <w:vAlign w:val="bottom"/>
            <w:shd w:val="clear" w:color="auto" w:fill="D0EBF2"/>
          </w:tcPr>
          <w:p>
            <w:pPr>
              <w:spacing w:after="0"/>
              <w:rPr>
                <w:sz w:val="15"/>
                <w:szCs w:val="15"/>
                <w:color w:val="auto"/>
              </w:rPr>
            </w:pPr>
          </w:p>
        </w:tc>
        <w:tc>
          <w:tcPr>
            <w:tcW w:w="420" w:type="dxa"/>
            <w:vAlign w:val="bottom"/>
            <w:shd w:val="clear" w:color="auto" w:fill="D0EBF2"/>
          </w:tcPr>
          <w:p>
            <w:pPr>
              <w:jc w:val="right"/>
              <w:spacing w:after="0"/>
              <w:rPr>
                <w:sz w:val="20"/>
                <w:szCs w:val="20"/>
                <w:color w:val="auto"/>
              </w:rPr>
            </w:pPr>
            <w:r>
              <w:rPr>
                <w:rFonts w:ascii="Times New Roman" w:cs="Times New Roman" w:eastAsia="Times New Roman" w:hAnsi="Times New Roman"/>
                <w:sz w:val="14"/>
                <w:szCs w:val="14"/>
                <w:color w:val="231F20"/>
              </w:rPr>
              <w:t>—</w:t>
            </w:r>
          </w:p>
        </w:tc>
        <w:tc>
          <w:tcPr>
            <w:tcW w:w="100" w:type="dxa"/>
            <w:vAlign w:val="bottom"/>
            <w:shd w:val="clear" w:color="auto" w:fill="D0EBF2"/>
          </w:tcPr>
          <w:p>
            <w:pPr>
              <w:spacing w:after="0"/>
              <w:rPr>
                <w:sz w:val="15"/>
                <w:szCs w:val="15"/>
                <w:color w:val="auto"/>
              </w:rPr>
            </w:pPr>
          </w:p>
        </w:tc>
        <w:tc>
          <w:tcPr>
            <w:tcW w:w="20" w:type="dxa"/>
            <w:vAlign w:val="bottom"/>
            <w:shd w:val="clear" w:color="auto" w:fill="D0EBF2"/>
          </w:tcPr>
          <w:p>
            <w:pPr>
              <w:spacing w:after="0"/>
              <w:rPr>
                <w:sz w:val="15"/>
                <w:szCs w:val="15"/>
                <w:color w:val="auto"/>
              </w:rPr>
            </w:pPr>
          </w:p>
        </w:tc>
        <w:tc>
          <w:tcPr>
            <w:tcW w:w="80" w:type="dxa"/>
            <w:vAlign w:val="bottom"/>
            <w:shd w:val="clear" w:color="auto" w:fill="D0EBF2"/>
          </w:tcPr>
          <w:p>
            <w:pPr>
              <w:spacing w:after="0"/>
              <w:rPr>
                <w:sz w:val="15"/>
                <w:szCs w:val="15"/>
                <w:color w:val="auto"/>
              </w:rPr>
            </w:pPr>
          </w:p>
        </w:tc>
        <w:tc>
          <w:tcPr>
            <w:tcW w:w="20" w:type="dxa"/>
            <w:vAlign w:val="bottom"/>
            <w:shd w:val="clear" w:color="auto" w:fill="D0EBF2"/>
          </w:tcPr>
          <w:p>
            <w:pPr>
              <w:spacing w:after="0"/>
              <w:rPr>
                <w:sz w:val="15"/>
                <w:szCs w:val="15"/>
                <w:color w:val="auto"/>
              </w:rPr>
            </w:pPr>
          </w:p>
        </w:tc>
        <w:tc>
          <w:tcPr>
            <w:tcW w:w="20" w:type="dxa"/>
            <w:vAlign w:val="bottom"/>
            <w:shd w:val="clear" w:color="auto" w:fill="D0EBF2"/>
          </w:tcPr>
          <w:p>
            <w:pPr>
              <w:spacing w:after="0"/>
              <w:rPr>
                <w:sz w:val="15"/>
                <w:szCs w:val="15"/>
                <w:color w:val="auto"/>
              </w:rPr>
            </w:pPr>
          </w:p>
        </w:tc>
        <w:tc>
          <w:tcPr>
            <w:tcW w:w="660" w:type="dxa"/>
            <w:vAlign w:val="bottom"/>
            <w:shd w:val="clear" w:color="auto" w:fill="D0EBF2"/>
          </w:tcPr>
          <w:p>
            <w:pPr>
              <w:jc w:val="right"/>
              <w:spacing w:after="0"/>
              <w:rPr>
                <w:sz w:val="20"/>
                <w:szCs w:val="20"/>
                <w:color w:val="auto"/>
              </w:rPr>
            </w:pPr>
            <w:r>
              <w:rPr>
                <w:rFonts w:ascii="Times New Roman" w:cs="Times New Roman" w:eastAsia="Times New Roman" w:hAnsi="Times New Roman"/>
                <w:sz w:val="14"/>
                <w:szCs w:val="14"/>
                <w:color w:val="231F20"/>
              </w:rPr>
              <w:t>—</w:t>
            </w:r>
          </w:p>
        </w:tc>
        <w:tc>
          <w:tcPr>
            <w:tcW w:w="100" w:type="dxa"/>
            <w:vAlign w:val="bottom"/>
            <w:shd w:val="clear" w:color="auto" w:fill="D0EBF2"/>
          </w:tcPr>
          <w:p>
            <w:pPr>
              <w:spacing w:after="0"/>
              <w:rPr>
                <w:sz w:val="15"/>
                <w:szCs w:val="15"/>
                <w:color w:val="auto"/>
              </w:rPr>
            </w:pPr>
          </w:p>
        </w:tc>
        <w:tc>
          <w:tcPr>
            <w:tcW w:w="20" w:type="dxa"/>
            <w:vAlign w:val="bottom"/>
            <w:shd w:val="clear" w:color="auto" w:fill="D0EBF2"/>
          </w:tcPr>
          <w:p>
            <w:pPr>
              <w:spacing w:after="0"/>
              <w:rPr>
                <w:sz w:val="15"/>
                <w:szCs w:val="15"/>
                <w:color w:val="auto"/>
              </w:rPr>
            </w:pPr>
          </w:p>
        </w:tc>
        <w:tc>
          <w:tcPr>
            <w:tcW w:w="80" w:type="dxa"/>
            <w:vAlign w:val="bottom"/>
            <w:shd w:val="clear" w:color="auto" w:fill="D0EBF2"/>
          </w:tcPr>
          <w:p>
            <w:pPr>
              <w:spacing w:after="0"/>
              <w:rPr>
                <w:sz w:val="15"/>
                <w:szCs w:val="15"/>
                <w:color w:val="auto"/>
              </w:rPr>
            </w:pPr>
          </w:p>
        </w:tc>
        <w:tc>
          <w:tcPr>
            <w:tcW w:w="20" w:type="dxa"/>
            <w:vAlign w:val="bottom"/>
            <w:shd w:val="clear" w:color="auto" w:fill="D0EBF2"/>
          </w:tcPr>
          <w:p>
            <w:pPr>
              <w:spacing w:after="0"/>
              <w:rPr>
                <w:sz w:val="15"/>
                <w:szCs w:val="15"/>
                <w:color w:val="auto"/>
              </w:rPr>
            </w:pPr>
          </w:p>
        </w:tc>
        <w:tc>
          <w:tcPr>
            <w:tcW w:w="20" w:type="dxa"/>
            <w:vAlign w:val="bottom"/>
            <w:shd w:val="clear" w:color="auto" w:fill="D0EBF2"/>
          </w:tcPr>
          <w:p>
            <w:pPr>
              <w:spacing w:after="0"/>
              <w:rPr>
                <w:sz w:val="15"/>
                <w:szCs w:val="15"/>
                <w:color w:val="auto"/>
              </w:rPr>
            </w:pPr>
          </w:p>
        </w:tc>
        <w:tc>
          <w:tcPr>
            <w:tcW w:w="60" w:type="dxa"/>
            <w:vAlign w:val="bottom"/>
            <w:shd w:val="clear" w:color="auto" w:fill="D0EBF2"/>
          </w:tcPr>
          <w:p>
            <w:pPr>
              <w:spacing w:after="0"/>
              <w:rPr>
                <w:sz w:val="15"/>
                <w:szCs w:val="15"/>
                <w:color w:val="auto"/>
              </w:rPr>
            </w:pPr>
          </w:p>
        </w:tc>
        <w:tc>
          <w:tcPr>
            <w:tcW w:w="620" w:type="dxa"/>
            <w:vAlign w:val="bottom"/>
            <w:gridSpan w:val="4"/>
            <w:shd w:val="clear" w:color="auto" w:fill="D0EBF2"/>
          </w:tcPr>
          <w:p>
            <w:pPr>
              <w:jc w:val="right"/>
              <w:ind w:right="160"/>
              <w:spacing w:after="0"/>
              <w:rPr>
                <w:sz w:val="20"/>
                <w:szCs w:val="20"/>
                <w:color w:val="auto"/>
              </w:rPr>
            </w:pPr>
            <w:r>
              <w:rPr>
                <w:rFonts w:ascii="Times New Roman" w:cs="Times New Roman" w:eastAsia="Times New Roman" w:hAnsi="Times New Roman"/>
                <w:sz w:val="14"/>
                <w:szCs w:val="14"/>
                <w:color w:val="231F20"/>
              </w:rPr>
              <w:t>—</w:t>
            </w:r>
          </w:p>
        </w:tc>
        <w:tc>
          <w:tcPr>
            <w:tcW w:w="60" w:type="dxa"/>
            <w:vAlign w:val="bottom"/>
            <w:shd w:val="clear" w:color="auto" w:fill="D0EBF2"/>
          </w:tcPr>
          <w:p>
            <w:pPr>
              <w:spacing w:after="0"/>
              <w:rPr>
                <w:sz w:val="15"/>
                <w:szCs w:val="15"/>
                <w:color w:val="auto"/>
              </w:rPr>
            </w:pPr>
          </w:p>
        </w:tc>
        <w:tc>
          <w:tcPr>
            <w:tcW w:w="140" w:type="dxa"/>
            <w:vAlign w:val="bottom"/>
            <w:shd w:val="clear" w:color="auto" w:fill="D0EBF2"/>
          </w:tcPr>
          <w:p>
            <w:pPr>
              <w:spacing w:after="0"/>
              <w:rPr>
                <w:sz w:val="15"/>
                <w:szCs w:val="15"/>
                <w:color w:val="auto"/>
              </w:rPr>
            </w:pPr>
          </w:p>
        </w:tc>
        <w:tc>
          <w:tcPr>
            <w:tcW w:w="1140" w:type="dxa"/>
            <w:vAlign w:val="bottom"/>
            <w:gridSpan w:val="6"/>
            <w:shd w:val="clear" w:color="auto" w:fill="D0EBF2"/>
          </w:tcPr>
          <w:p>
            <w:pPr>
              <w:jc w:val="right"/>
              <w:ind w:right="260"/>
              <w:spacing w:after="0"/>
              <w:rPr>
                <w:sz w:val="20"/>
                <w:szCs w:val="20"/>
                <w:color w:val="auto"/>
              </w:rPr>
            </w:pPr>
            <w:r>
              <w:rPr>
                <w:rFonts w:ascii="Times New Roman" w:cs="Times New Roman" w:eastAsia="Times New Roman" w:hAnsi="Times New Roman"/>
                <w:sz w:val="14"/>
                <w:szCs w:val="14"/>
                <w:color w:val="231F20"/>
              </w:rPr>
              <w:t>—</w:t>
            </w:r>
          </w:p>
        </w:tc>
        <w:tc>
          <w:tcPr>
            <w:tcW w:w="60" w:type="dxa"/>
            <w:vAlign w:val="bottom"/>
            <w:shd w:val="clear" w:color="auto" w:fill="D0EBF2"/>
          </w:tcPr>
          <w:p>
            <w:pPr>
              <w:spacing w:after="0"/>
              <w:rPr>
                <w:sz w:val="15"/>
                <w:szCs w:val="15"/>
                <w:color w:val="auto"/>
              </w:rPr>
            </w:pPr>
          </w:p>
        </w:tc>
        <w:tc>
          <w:tcPr>
            <w:tcW w:w="960" w:type="dxa"/>
            <w:vAlign w:val="bottom"/>
            <w:gridSpan w:val="6"/>
            <w:shd w:val="clear" w:color="auto" w:fill="D0EBF2"/>
          </w:tcPr>
          <w:p>
            <w:pPr>
              <w:jc w:val="right"/>
              <w:ind w:right="260"/>
              <w:spacing w:after="0"/>
              <w:rPr>
                <w:sz w:val="20"/>
                <w:szCs w:val="20"/>
                <w:color w:val="auto"/>
              </w:rPr>
            </w:pPr>
            <w:r>
              <w:rPr>
                <w:rFonts w:ascii="Times New Roman" w:cs="Times New Roman" w:eastAsia="Times New Roman" w:hAnsi="Times New Roman"/>
                <w:sz w:val="14"/>
                <w:szCs w:val="14"/>
                <w:color w:val="231F20"/>
              </w:rPr>
              <w:t>—</w:t>
            </w:r>
          </w:p>
        </w:tc>
        <w:tc>
          <w:tcPr>
            <w:tcW w:w="40" w:type="dxa"/>
            <w:vAlign w:val="bottom"/>
            <w:shd w:val="clear" w:color="auto" w:fill="D0EBF2"/>
          </w:tcPr>
          <w:p>
            <w:pPr>
              <w:spacing w:after="0"/>
              <w:rPr>
                <w:sz w:val="15"/>
                <w:szCs w:val="15"/>
                <w:color w:val="auto"/>
              </w:rPr>
            </w:pPr>
          </w:p>
        </w:tc>
        <w:tc>
          <w:tcPr>
            <w:tcW w:w="820" w:type="dxa"/>
            <w:vAlign w:val="bottom"/>
            <w:gridSpan w:val="2"/>
            <w:shd w:val="clear" w:color="auto" w:fill="D0EBF2"/>
          </w:tcPr>
          <w:p>
            <w:pPr>
              <w:jc w:val="right"/>
              <w:ind w:right="140"/>
              <w:spacing w:after="0"/>
              <w:rPr>
                <w:sz w:val="20"/>
                <w:szCs w:val="20"/>
                <w:color w:val="auto"/>
              </w:rPr>
            </w:pPr>
            <w:r>
              <w:rPr>
                <w:rFonts w:ascii="Times New Roman" w:cs="Times New Roman" w:eastAsia="Times New Roman" w:hAnsi="Times New Roman"/>
                <w:sz w:val="14"/>
                <w:szCs w:val="14"/>
                <w:color w:val="231F20"/>
              </w:rPr>
              <w:t>—</w:t>
            </w:r>
          </w:p>
        </w:tc>
        <w:tc>
          <w:tcPr>
            <w:tcW w:w="0" w:type="dxa"/>
            <w:vAlign w:val="bottom"/>
          </w:tcPr>
          <w:p>
            <w:pPr>
              <w:spacing w:after="0"/>
              <w:rPr>
                <w:sz w:val="1"/>
                <w:szCs w:val="1"/>
                <w:color w:val="auto"/>
              </w:rPr>
            </w:pPr>
          </w:p>
        </w:tc>
      </w:tr>
      <w:tr>
        <w:trPr>
          <w:trHeight w:val="176"/>
        </w:trPr>
        <w:tc>
          <w:tcPr>
            <w:tcW w:w="3620" w:type="dxa"/>
            <w:vAlign w:val="bottom"/>
            <w:gridSpan w:val="2"/>
            <w:shd w:val="clear" w:color="auto" w:fill="FDFDFC"/>
          </w:tcPr>
          <w:p>
            <w:pPr>
              <w:ind w:left="200"/>
              <w:spacing w:after="0"/>
              <w:rPr>
                <w:sz w:val="20"/>
                <w:szCs w:val="20"/>
                <w:color w:val="auto"/>
              </w:rPr>
            </w:pPr>
            <w:r>
              <w:rPr>
                <w:rFonts w:ascii="Times New Roman" w:cs="Times New Roman" w:eastAsia="Times New Roman" w:hAnsi="Times New Roman"/>
                <w:sz w:val="14"/>
                <w:szCs w:val="14"/>
                <w:color w:val="231F20"/>
              </w:rPr>
              <w:t>Common stock issued in settlement of convertible notes</w:t>
            </w:r>
          </w:p>
        </w:tc>
        <w:tc>
          <w:tcPr>
            <w:tcW w:w="860" w:type="dxa"/>
            <w:vAlign w:val="bottom"/>
            <w:shd w:val="clear" w:color="auto" w:fill="FDFDFC"/>
          </w:tcPr>
          <w:p>
            <w:pPr>
              <w:jc w:val="right"/>
              <w:spacing w:after="0"/>
              <w:rPr>
                <w:sz w:val="20"/>
                <w:szCs w:val="20"/>
                <w:color w:val="auto"/>
              </w:rPr>
            </w:pPr>
            <w:r>
              <w:rPr>
                <w:rFonts w:ascii="Times New Roman" w:cs="Times New Roman" w:eastAsia="Times New Roman" w:hAnsi="Times New Roman"/>
                <w:sz w:val="14"/>
                <w:szCs w:val="14"/>
                <w:color w:val="231F20"/>
              </w:rPr>
              <w:t>4,360,125</w:t>
            </w:r>
          </w:p>
        </w:tc>
        <w:tc>
          <w:tcPr>
            <w:tcW w:w="100" w:type="dxa"/>
            <w:vAlign w:val="bottom"/>
            <w:shd w:val="clear" w:color="auto" w:fill="FDFDFC"/>
          </w:tcPr>
          <w:p>
            <w:pPr>
              <w:spacing w:after="0"/>
              <w:rPr>
                <w:sz w:val="15"/>
                <w:szCs w:val="15"/>
                <w:color w:val="auto"/>
              </w:rPr>
            </w:pPr>
          </w:p>
        </w:tc>
        <w:tc>
          <w:tcPr>
            <w:tcW w:w="100" w:type="dxa"/>
            <w:vAlign w:val="bottom"/>
            <w:shd w:val="clear" w:color="auto" w:fill="FDFDFC"/>
          </w:tcPr>
          <w:p>
            <w:pPr>
              <w:spacing w:after="0"/>
              <w:rPr>
                <w:sz w:val="15"/>
                <w:szCs w:val="15"/>
                <w:color w:val="auto"/>
              </w:rPr>
            </w:pPr>
          </w:p>
        </w:tc>
        <w:tc>
          <w:tcPr>
            <w:tcW w:w="20" w:type="dxa"/>
            <w:vAlign w:val="bottom"/>
            <w:shd w:val="clear" w:color="auto" w:fill="FDFDFC"/>
          </w:tcPr>
          <w:p>
            <w:pPr>
              <w:spacing w:after="0"/>
              <w:rPr>
                <w:sz w:val="15"/>
                <w:szCs w:val="15"/>
                <w:color w:val="auto"/>
              </w:rPr>
            </w:pPr>
          </w:p>
        </w:tc>
        <w:tc>
          <w:tcPr>
            <w:tcW w:w="20" w:type="dxa"/>
            <w:vAlign w:val="bottom"/>
            <w:shd w:val="clear" w:color="auto" w:fill="FDFDFC"/>
          </w:tcPr>
          <w:p>
            <w:pPr>
              <w:spacing w:after="0"/>
              <w:rPr>
                <w:sz w:val="15"/>
                <w:szCs w:val="15"/>
                <w:color w:val="auto"/>
              </w:rPr>
            </w:pPr>
          </w:p>
        </w:tc>
        <w:tc>
          <w:tcPr>
            <w:tcW w:w="60" w:type="dxa"/>
            <w:vAlign w:val="bottom"/>
            <w:shd w:val="clear" w:color="auto" w:fill="FDFDFC"/>
          </w:tcPr>
          <w:p>
            <w:pPr>
              <w:spacing w:after="0"/>
              <w:rPr>
                <w:sz w:val="15"/>
                <w:szCs w:val="15"/>
                <w:color w:val="auto"/>
              </w:rPr>
            </w:pPr>
          </w:p>
        </w:tc>
        <w:tc>
          <w:tcPr>
            <w:tcW w:w="420" w:type="dxa"/>
            <w:vAlign w:val="bottom"/>
            <w:shd w:val="clear" w:color="auto" w:fill="FDFDFC"/>
          </w:tcPr>
          <w:p>
            <w:pPr>
              <w:jc w:val="right"/>
              <w:spacing w:after="0"/>
              <w:rPr>
                <w:sz w:val="20"/>
                <w:szCs w:val="20"/>
                <w:color w:val="auto"/>
              </w:rPr>
            </w:pPr>
            <w:r>
              <w:rPr>
                <w:rFonts w:ascii="Times New Roman" w:cs="Times New Roman" w:eastAsia="Times New Roman" w:hAnsi="Times New Roman"/>
                <w:sz w:val="14"/>
                <w:szCs w:val="14"/>
                <w:color w:val="231F20"/>
              </w:rPr>
              <w:t>44</w:t>
            </w:r>
          </w:p>
        </w:tc>
        <w:tc>
          <w:tcPr>
            <w:tcW w:w="100" w:type="dxa"/>
            <w:vAlign w:val="bottom"/>
            <w:shd w:val="clear" w:color="auto" w:fill="FDFDFC"/>
          </w:tcPr>
          <w:p>
            <w:pPr>
              <w:spacing w:after="0"/>
              <w:rPr>
                <w:sz w:val="15"/>
                <w:szCs w:val="15"/>
                <w:color w:val="auto"/>
              </w:rPr>
            </w:pPr>
          </w:p>
        </w:tc>
        <w:tc>
          <w:tcPr>
            <w:tcW w:w="20" w:type="dxa"/>
            <w:vAlign w:val="bottom"/>
            <w:shd w:val="clear" w:color="auto" w:fill="FDFDFC"/>
          </w:tcPr>
          <w:p>
            <w:pPr>
              <w:spacing w:after="0"/>
              <w:rPr>
                <w:sz w:val="15"/>
                <w:szCs w:val="15"/>
                <w:color w:val="auto"/>
              </w:rPr>
            </w:pPr>
          </w:p>
        </w:tc>
        <w:tc>
          <w:tcPr>
            <w:tcW w:w="80" w:type="dxa"/>
            <w:vAlign w:val="bottom"/>
            <w:shd w:val="clear" w:color="auto" w:fill="FDFDFC"/>
          </w:tcPr>
          <w:p>
            <w:pPr>
              <w:spacing w:after="0"/>
              <w:rPr>
                <w:sz w:val="15"/>
                <w:szCs w:val="15"/>
                <w:color w:val="auto"/>
              </w:rPr>
            </w:pPr>
          </w:p>
        </w:tc>
        <w:tc>
          <w:tcPr>
            <w:tcW w:w="20" w:type="dxa"/>
            <w:vAlign w:val="bottom"/>
            <w:shd w:val="clear" w:color="auto" w:fill="FDFDFC"/>
          </w:tcPr>
          <w:p>
            <w:pPr>
              <w:spacing w:after="0"/>
              <w:rPr>
                <w:sz w:val="15"/>
                <w:szCs w:val="15"/>
                <w:color w:val="auto"/>
              </w:rPr>
            </w:pPr>
          </w:p>
        </w:tc>
        <w:tc>
          <w:tcPr>
            <w:tcW w:w="20" w:type="dxa"/>
            <w:vAlign w:val="bottom"/>
            <w:shd w:val="clear" w:color="auto" w:fill="FDFDFC"/>
          </w:tcPr>
          <w:p>
            <w:pPr>
              <w:spacing w:after="0"/>
              <w:rPr>
                <w:sz w:val="15"/>
                <w:szCs w:val="15"/>
                <w:color w:val="auto"/>
              </w:rPr>
            </w:pPr>
          </w:p>
        </w:tc>
        <w:tc>
          <w:tcPr>
            <w:tcW w:w="660" w:type="dxa"/>
            <w:vAlign w:val="bottom"/>
            <w:shd w:val="clear" w:color="auto" w:fill="FDFDFC"/>
          </w:tcPr>
          <w:p>
            <w:pPr>
              <w:jc w:val="right"/>
              <w:spacing w:after="0"/>
              <w:rPr>
                <w:sz w:val="20"/>
                <w:szCs w:val="20"/>
                <w:color w:val="auto"/>
              </w:rPr>
            </w:pPr>
            <w:r>
              <w:rPr>
                <w:rFonts w:ascii="Times New Roman" w:cs="Times New Roman" w:eastAsia="Times New Roman" w:hAnsi="Times New Roman"/>
                <w:sz w:val="14"/>
                <w:szCs w:val="14"/>
                <w:color w:val="231F20"/>
              </w:rPr>
              <w:t>—</w:t>
            </w:r>
          </w:p>
        </w:tc>
        <w:tc>
          <w:tcPr>
            <w:tcW w:w="100" w:type="dxa"/>
            <w:vAlign w:val="bottom"/>
            <w:shd w:val="clear" w:color="auto" w:fill="FDFDFC"/>
          </w:tcPr>
          <w:p>
            <w:pPr>
              <w:spacing w:after="0"/>
              <w:rPr>
                <w:sz w:val="15"/>
                <w:szCs w:val="15"/>
                <w:color w:val="auto"/>
              </w:rPr>
            </w:pPr>
          </w:p>
        </w:tc>
        <w:tc>
          <w:tcPr>
            <w:tcW w:w="20" w:type="dxa"/>
            <w:vAlign w:val="bottom"/>
            <w:shd w:val="clear" w:color="auto" w:fill="FDFDFC"/>
          </w:tcPr>
          <w:p>
            <w:pPr>
              <w:spacing w:after="0"/>
              <w:rPr>
                <w:sz w:val="15"/>
                <w:szCs w:val="15"/>
                <w:color w:val="auto"/>
              </w:rPr>
            </w:pPr>
          </w:p>
        </w:tc>
        <w:tc>
          <w:tcPr>
            <w:tcW w:w="80" w:type="dxa"/>
            <w:vAlign w:val="bottom"/>
            <w:shd w:val="clear" w:color="auto" w:fill="FDFDFC"/>
          </w:tcPr>
          <w:p>
            <w:pPr>
              <w:spacing w:after="0"/>
              <w:rPr>
                <w:sz w:val="15"/>
                <w:szCs w:val="15"/>
                <w:color w:val="auto"/>
              </w:rPr>
            </w:pPr>
          </w:p>
        </w:tc>
        <w:tc>
          <w:tcPr>
            <w:tcW w:w="20" w:type="dxa"/>
            <w:vAlign w:val="bottom"/>
            <w:shd w:val="clear" w:color="auto" w:fill="FDFDFC"/>
          </w:tcPr>
          <w:p>
            <w:pPr>
              <w:spacing w:after="0"/>
              <w:rPr>
                <w:sz w:val="15"/>
                <w:szCs w:val="15"/>
                <w:color w:val="auto"/>
              </w:rPr>
            </w:pPr>
          </w:p>
        </w:tc>
        <w:tc>
          <w:tcPr>
            <w:tcW w:w="20" w:type="dxa"/>
            <w:vAlign w:val="bottom"/>
            <w:shd w:val="clear" w:color="auto" w:fill="FDFDFC"/>
          </w:tcPr>
          <w:p>
            <w:pPr>
              <w:spacing w:after="0"/>
              <w:rPr>
                <w:sz w:val="15"/>
                <w:szCs w:val="15"/>
                <w:color w:val="auto"/>
              </w:rPr>
            </w:pPr>
          </w:p>
        </w:tc>
        <w:tc>
          <w:tcPr>
            <w:tcW w:w="60" w:type="dxa"/>
            <w:vAlign w:val="bottom"/>
            <w:shd w:val="clear" w:color="auto" w:fill="FDFDFC"/>
          </w:tcPr>
          <w:p>
            <w:pPr>
              <w:spacing w:after="0"/>
              <w:rPr>
                <w:sz w:val="15"/>
                <w:szCs w:val="15"/>
                <w:color w:val="auto"/>
              </w:rPr>
            </w:pPr>
          </w:p>
        </w:tc>
        <w:tc>
          <w:tcPr>
            <w:tcW w:w="620" w:type="dxa"/>
            <w:vAlign w:val="bottom"/>
            <w:gridSpan w:val="4"/>
            <w:shd w:val="clear" w:color="auto" w:fill="FDFDFC"/>
          </w:tcPr>
          <w:p>
            <w:pPr>
              <w:jc w:val="right"/>
              <w:ind w:right="160"/>
              <w:spacing w:after="0"/>
              <w:rPr>
                <w:sz w:val="20"/>
                <w:szCs w:val="20"/>
                <w:color w:val="auto"/>
              </w:rPr>
            </w:pPr>
            <w:r>
              <w:rPr>
                <w:rFonts w:ascii="Times New Roman" w:cs="Times New Roman" w:eastAsia="Times New Roman" w:hAnsi="Times New Roman"/>
                <w:sz w:val="14"/>
                <w:szCs w:val="14"/>
                <w:color w:val="231F20"/>
              </w:rPr>
              <w:t>—</w:t>
            </w:r>
          </w:p>
        </w:tc>
        <w:tc>
          <w:tcPr>
            <w:tcW w:w="60" w:type="dxa"/>
            <w:vAlign w:val="bottom"/>
            <w:shd w:val="clear" w:color="auto" w:fill="FDFDFC"/>
          </w:tcPr>
          <w:p>
            <w:pPr>
              <w:spacing w:after="0"/>
              <w:rPr>
                <w:sz w:val="15"/>
                <w:szCs w:val="15"/>
                <w:color w:val="auto"/>
              </w:rPr>
            </w:pPr>
          </w:p>
        </w:tc>
        <w:tc>
          <w:tcPr>
            <w:tcW w:w="140" w:type="dxa"/>
            <w:vAlign w:val="bottom"/>
            <w:shd w:val="clear" w:color="auto" w:fill="FDFDFC"/>
          </w:tcPr>
          <w:p>
            <w:pPr>
              <w:spacing w:after="0"/>
              <w:rPr>
                <w:sz w:val="15"/>
                <w:szCs w:val="15"/>
                <w:color w:val="auto"/>
              </w:rPr>
            </w:pPr>
          </w:p>
        </w:tc>
        <w:tc>
          <w:tcPr>
            <w:tcW w:w="900" w:type="dxa"/>
            <w:vAlign w:val="bottom"/>
            <w:shd w:val="clear" w:color="auto" w:fill="FDFDFC"/>
          </w:tcPr>
          <w:p>
            <w:pPr>
              <w:jc w:val="right"/>
              <w:spacing w:after="0"/>
              <w:rPr>
                <w:sz w:val="20"/>
                <w:szCs w:val="20"/>
                <w:color w:val="auto"/>
              </w:rPr>
            </w:pPr>
            <w:r>
              <w:rPr>
                <w:rFonts w:ascii="Times New Roman" w:cs="Times New Roman" w:eastAsia="Times New Roman" w:hAnsi="Times New Roman"/>
                <w:sz w:val="14"/>
                <w:szCs w:val="14"/>
                <w:color w:val="231F20"/>
              </w:rPr>
              <w:t>77,598</w:t>
            </w:r>
          </w:p>
        </w:tc>
        <w:tc>
          <w:tcPr>
            <w:tcW w:w="100" w:type="dxa"/>
            <w:vAlign w:val="bottom"/>
            <w:shd w:val="clear" w:color="auto" w:fill="FDFDFC"/>
          </w:tcPr>
          <w:p>
            <w:pPr>
              <w:spacing w:after="0"/>
              <w:rPr>
                <w:sz w:val="15"/>
                <w:szCs w:val="15"/>
                <w:color w:val="auto"/>
              </w:rPr>
            </w:pPr>
          </w:p>
        </w:tc>
        <w:tc>
          <w:tcPr>
            <w:tcW w:w="20" w:type="dxa"/>
            <w:vAlign w:val="bottom"/>
            <w:shd w:val="clear" w:color="auto" w:fill="FDFDFC"/>
          </w:tcPr>
          <w:p>
            <w:pPr>
              <w:spacing w:after="0"/>
              <w:rPr>
                <w:sz w:val="15"/>
                <w:szCs w:val="15"/>
                <w:color w:val="auto"/>
              </w:rPr>
            </w:pPr>
          </w:p>
        </w:tc>
        <w:tc>
          <w:tcPr>
            <w:tcW w:w="80" w:type="dxa"/>
            <w:vAlign w:val="bottom"/>
            <w:shd w:val="clear" w:color="auto" w:fill="FDFDFC"/>
          </w:tcPr>
          <w:p>
            <w:pPr>
              <w:spacing w:after="0"/>
              <w:rPr>
                <w:sz w:val="15"/>
                <w:szCs w:val="15"/>
                <w:color w:val="auto"/>
              </w:rPr>
            </w:pPr>
          </w:p>
        </w:tc>
        <w:tc>
          <w:tcPr>
            <w:tcW w:w="20" w:type="dxa"/>
            <w:vAlign w:val="bottom"/>
            <w:shd w:val="clear" w:color="auto" w:fill="FDFDFC"/>
          </w:tcPr>
          <w:p>
            <w:pPr>
              <w:spacing w:after="0"/>
              <w:rPr>
                <w:sz w:val="15"/>
                <w:szCs w:val="15"/>
                <w:color w:val="auto"/>
              </w:rPr>
            </w:pPr>
          </w:p>
        </w:tc>
        <w:tc>
          <w:tcPr>
            <w:tcW w:w="20" w:type="dxa"/>
            <w:vAlign w:val="bottom"/>
            <w:shd w:val="clear" w:color="auto" w:fill="FDFDFC"/>
          </w:tcPr>
          <w:p>
            <w:pPr>
              <w:spacing w:after="0"/>
              <w:rPr>
                <w:sz w:val="15"/>
                <w:szCs w:val="15"/>
                <w:color w:val="auto"/>
              </w:rPr>
            </w:pPr>
          </w:p>
        </w:tc>
        <w:tc>
          <w:tcPr>
            <w:tcW w:w="60" w:type="dxa"/>
            <w:vAlign w:val="bottom"/>
            <w:shd w:val="clear" w:color="auto" w:fill="FDFDFC"/>
          </w:tcPr>
          <w:p>
            <w:pPr>
              <w:spacing w:after="0"/>
              <w:rPr>
                <w:sz w:val="15"/>
                <w:szCs w:val="15"/>
                <w:color w:val="auto"/>
              </w:rPr>
            </w:pPr>
          </w:p>
        </w:tc>
        <w:tc>
          <w:tcPr>
            <w:tcW w:w="960" w:type="dxa"/>
            <w:vAlign w:val="bottom"/>
            <w:gridSpan w:val="6"/>
            <w:shd w:val="clear" w:color="auto" w:fill="FDFDFC"/>
          </w:tcPr>
          <w:p>
            <w:pPr>
              <w:jc w:val="right"/>
              <w:ind w:right="260"/>
              <w:spacing w:after="0"/>
              <w:rPr>
                <w:sz w:val="20"/>
                <w:szCs w:val="20"/>
                <w:color w:val="auto"/>
              </w:rPr>
            </w:pPr>
            <w:r>
              <w:rPr>
                <w:rFonts w:ascii="Times New Roman" w:cs="Times New Roman" w:eastAsia="Times New Roman" w:hAnsi="Times New Roman"/>
                <w:sz w:val="14"/>
                <w:szCs w:val="14"/>
                <w:color w:val="231F20"/>
              </w:rPr>
              <w:t>—</w:t>
            </w:r>
          </w:p>
        </w:tc>
        <w:tc>
          <w:tcPr>
            <w:tcW w:w="40" w:type="dxa"/>
            <w:vAlign w:val="bottom"/>
            <w:shd w:val="clear" w:color="auto" w:fill="FDFDFC"/>
          </w:tcPr>
          <w:p>
            <w:pPr>
              <w:spacing w:after="0"/>
              <w:rPr>
                <w:sz w:val="15"/>
                <w:szCs w:val="15"/>
                <w:color w:val="auto"/>
              </w:rPr>
            </w:pPr>
          </w:p>
        </w:tc>
        <w:tc>
          <w:tcPr>
            <w:tcW w:w="720" w:type="dxa"/>
            <w:vAlign w:val="bottom"/>
            <w:shd w:val="clear" w:color="auto" w:fill="FDFDFC"/>
          </w:tcPr>
          <w:p>
            <w:pPr>
              <w:jc w:val="right"/>
              <w:spacing w:after="0"/>
              <w:rPr>
                <w:sz w:val="20"/>
                <w:szCs w:val="20"/>
                <w:color w:val="auto"/>
              </w:rPr>
            </w:pPr>
            <w:r>
              <w:rPr>
                <w:rFonts w:ascii="Times New Roman" w:cs="Times New Roman" w:eastAsia="Times New Roman" w:hAnsi="Times New Roman"/>
                <w:sz w:val="14"/>
                <w:szCs w:val="14"/>
                <w:color w:val="231F20"/>
              </w:rPr>
              <w:t>77,642</w:t>
            </w:r>
          </w:p>
        </w:tc>
        <w:tc>
          <w:tcPr>
            <w:tcW w:w="100" w:type="dxa"/>
            <w:vAlign w:val="bottom"/>
            <w:shd w:val="clear" w:color="auto" w:fill="FDFD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620" w:type="dxa"/>
            <w:vAlign w:val="bottom"/>
            <w:gridSpan w:val="2"/>
            <w:shd w:val="clear" w:color="auto" w:fill="D0EBF2"/>
          </w:tcPr>
          <w:p>
            <w:pPr>
              <w:ind w:left="200"/>
              <w:spacing w:after="0"/>
              <w:rPr>
                <w:sz w:val="20"/>
                <w:szCs w:val="20"/>
                <w:color w:val="auto"/>
              </w:rPr>
            </w:pPr>
            <w:r>
              <w:rPr>
                <w:rFonts w:ascii="Times New Roman" w:cs="Times New Roman" w:eastAsia="Times New Roman" w:hAnsi="Times New Roman"/>
                <w:sz w:val="14"/>
                <w:szCs w:val="14"/>
                <w:color w:val="231F20"/>
              </w:rPr>
              <w:t>Purchases of treasury stock</w:t>
            </w:r>
          </w:p>
        </w:tc>
        <w:tc>
          <w:tcPr>
            <w:tcW w:w="860" w:type="dxa"/>
            <w:vAlign w:val="bottom"/>
            <w:shd w:val="clear" w:color="auto" w:fill="D0EBF2"/>
          </w:tcPr>
          <w:p>
            <w:pPr>
              <w:jc w:val="right"/>
              <w:spacing w:after="0"/>
              <w:rPr>
                <w:sz w:val="20"/>
                <w:szCs w:val="20"/>
                <w:color w:val="auto"/>
              </w:rPr>
            </w:pPr>
            <w:r>
              <w:rPr>
                <w:rFonts w:ascii="Times New Roman" w:cs="Times New Roman" w:eastAsia="Times New Roman" w:hAnsi="Times New Roman"/>
                <w:sz w:val="14"/>
                <w:szCs w:val="14"/>
                <w:color w:val="231F20"/>
              </w:rPr>
              <w:t>(368,206</w:t>
            </w:r>
          </w:p>
        </w:tc>
        <w:tc>
          <w:tcPr>
            <w:tcW w:w="100" w:type="dxa"/>
            <w:vAlign w:val="bottom"/>
            <w:shd w:val="clear" w:color="auto" w:fill="D0EBF2"/>
          </w:tcPr>
          <w:p>
            <w:pPr>
              <w:jc w:val="right"/>
              <w:spacing w:after="0"/>
              <w:rPr>
                <w:sz w:val="20"/>
                <w:szCs w:val="20"/>
                <w:color w:val="auto"/>
              </w:rPr>
            </w:pPr>
            <w:r>
              <w:rPr>
                <w:rFonts w:ascii="Times New Roman" w:cs="Times New Roman" w:eastAsia="Times New Roman" w:hAnsi="Times New Roman"/>
                <w:sz w:val="14"/>
                <w:szCs w:val="14"/>
                <w:color w:val="231F20"/>
                <w:w w:val="84"/>
              </w:rPr>
              <w:t>)</w:t>
            </w:r>
          </w:p>
        </w:tc>
        <w:tc>
          <w:tcPr>
            <w:tcW w:w="100" w:type="dxa"/>
            <w:vAlign w:val="bottom"/>
            <w:shd w:val="clear" w:color="auto" w:fill="D0EBF2"/>
          </w:tcPr>
          <w:p>
            <w:pPr>
              <w:spacing w:after="0"/>
              <w:rPr>
                <w:sz w:val="15"/>
                <w:szCs w:val="15"/>
                <w:color w:val="auto"/>
              </w:rPr>
            </w:pPr>
          </w:p>
        </w:tc>
        <w:tc>
          <w:tcPr>
            <w:tcW w:w="20" w:type="dxa"/>
            <w:vAlign w:val="bottom"/>
            <w:shd w:val="clear" w:color="auto" w:fill="D0EBF2"/>
          </w:tcPr>
          <w:p>
            <w:pPr>
              <w:spacing w:after="0"/>
              <w:rPr>
                <w:sz w:val="15"/>
                <w:szCs w:val="15"/>
                <w:color w:val="auto"/>
              </w:rPr>
            </w:pPr>
          </w:p>
        </w:tc>
        <w:tc>
          <w:tcPr>
            <w:tcW w:w="20" w:type="dxa"/>
            <w:vAlign w:val="bottom"/>
            <w:shd w:val="clear" w:color="auto" w:fill="D0EBF2"/>
          </w:tcPr>
          <w:p>
            <w:pPr>
              <w:spacing w:after="0"/>
              <w:rPr>
                <w:sz w:val="15"/>
                <w:szCs w:val="15"/>
                <w:color w:val="auto"/>
              </w:rPr>
            </w:pPr>
          </w:p>
        </w:tc>
        <w:tc>
          <w:tcPr>
            <w:tcW w:w="60" w:type="dxa"/>
            <w:vAlign w:val="bottom"/>
            <w:shd w:val="clear" w:color="auto" w:fill="D0EBF2"/>
          </w:tcPr>
          <w:p>
            <w:pPr>
              <w:spacing w:after="0"/>
              <w:rPr>
                <w:sz w:val="15"/>
                <w:szCs w:val="15"/>
                <w:color w:val="auto"/>
              </w:rPr>
            </w:pPr>
          </w:p>
        </w:tc>
        <w:tc>
          <w:tcPr>
            <w:tcW w:w="420" w:type="dxa"/>
            <w:vAlign w:val="bottom"/>
            <w:shd w:val="clear" w:color="auto" w:fill="D0EBF2"/>
          </w:tcPr>
          <w:p>
            <w:pPr>
              <w:jc w:val="right"/>
              <w:spacing w:after="0"/>
              <w:rPr>
                <w:sz w:val="20"/>
                <w:szCs w:val="20"/>
                <w:color w:val="auto"/>
              </w:rPr>
            </w:pPr>
            <w:r>
              <w:rPr>
                <w:rFonts w:ascii="Times New Roman" w:cs="Times New Roman" w:eastAsia="Times New Roman" w:hAnsi="Times New Roman"/>
                <w:sz w:val="14"/>
                <w:szCs w:val="14"/>
                <w:color w:val="231F20"/>
              </w:rPr>
              <w:t>—</w:t>
            </w:r>
          </w:p>
        </w:tc>
        <w:tc>
          <w:tcPr>
            <w:tcW w:w="900" w:type="dxa"/>
            <w:vAlign w:val="bottom"/>
            <w:gridSpan w:val="6"/>
            <w:shd w:val="clear" w:color="auto" w:fill="D0EBF2"/>
          </w:tcPr>
          <w:p>
            <w:pPr>
              <w:jc w:val="right"/>
              <w:spacing w:after="0"/>
              <w:rPr>
                <w:sz w:val="20"/>
                <w:szCs w:val="20"/>
                <w:color w:val="auto"/>
              </w:rPr>
            </w:pPr>
            <w:r>
              <w:rPr>
                <w:rFonts w:ascii="Times New Roman" w:cs="Times New Roman" w:eastAsia="Times New Roman" w:hAnsi="Times New Roman"/>
                <w:sz w:val="14"/>
                <w:szCs w:val="14"/>
                <w:color w:val="231F20"/>
              </w:rPr>
              <w:t>368,206</w:t>
            </w:r>
          </w:p>
        </w:tc>
        <w:tc>
          <w:tcPr>
            <w:tcW w:w="100" w:type="dxa"/>
            <w:vAlign w:val="bottom"/>
            <w:shd w:val="clear" w:color="auto" w:fill="D0EBF2"/>
          </w:tcPr>
          <w:p>
            <w:pPr>
              <w:spacing w:after="0"/>
              <w:rPr>
                <w:sz w:val="15"/>
                <w:szCs w:val="15"/>
                <w:color w:val="auto"/>
              </w:rPr>
            </w:pPr>
          </w:p>
        </w:tc>
        <w:tc>
          <w:tcPr>
            <w:tcW w:w="20" w:type="dxa"/>
            <w:vAlign w:val="bottom"/>
            <w:shd w:val="clear" w:color="auto" w:fill="D0EBF2"/>
          </w:tcPr>
          <w:p>
            <w:pPr>
              <w:spacing w:after="0"/>
              <w:rPr>
                <w:sz w:val="15"/>
                <w:szCs w:val="15"/>
                <w:color w:val="auto"/>
              </w:rPr>
            </w:pPr>
          </w:p>
        </w:tc>
        <w:tc>
          <w:tcPr>
            <w:tcW w:w="80" w:type="dxa"/>
            <w:vAlign w:val="bottom"/>
            <w:shd w:val="clear" w:color="auto" w:fill="D0EBF2"/>
          </w:tcPr>
          <w:p>
            <w:pPr>
              <w:spacing w:after="0"/>
              <w:rPr>
                <w:sz w:val="15"/>
                <w:szCs w:val="15"/>
                <w:color w:val="auto"/>
              </w:rPr>
            </w:pPr>
          </w:p>
        </w:tc>
        <w:tc>
          <w:tcPr>
            <w:tcW w:w="20" w:type="dxa"/>
            <w:vAlign w:val="bottom"/>
            <w:shd w:val="clear" w:color="auto" w:fill="D0EBF2"/>
          </w:tcPr>
          <w:p>
            <w:pPr>
              <w:spacing w:after="0"/>
              <w:rPr>
                <w:sz w:val="15"/>
                <w:szCs w:val="15"/>
                <w:color w:val="auto"/>
              </w:rPr>
            </w:pPr>
          </w:p>
        </w:tc>
        <w:tc>
          <w:tcPr>
            <w:tcW w:w="20" w:type="dxa"/>
            <w:vAlign w:val="bottom"/>
            <w:shd w:val="clear" w:color="auto" w:fill="D0EBF2"/>
          </w:tcPr>
          <w:p>
            <w:pPr>
              <w:spacing w:after="0"/>
              <w:rPr>
                <w:sz w:val="15"/>
                <w:szCs w:val="15"/>
                <w:color w:val="auto"/>
              </w:rPr>
            </w:pPr>
          </w:p>
        </w:tc>
        <w:tc>
          <w:tcPr>
            <w:tcW w:w="60" w:type="dxa"/>
            <w:vAlign w:val="bottom"/>
            <w:shd w:val="clear" w:color="auto" w:fill="D0EBF2"/>
          </w:tcPr>
          <w:p>
            <w:pPr>
              <w:spacing w:after="0"/>
              <w:rPr>
                <w:sz w:val="15"/>
                <w:szCs w:val="15"/>
                <w:color w:val="auto"/>
              </w:rPr>
            </w:pPr>
          </w:p>
        </w:tc>
        <w:tc>
          <w:tcPr>
            <w:tcW w:w="580" w:type="dxa"/>
            <w:vAlign w:val="bottom"/>
            <w:gridSpan w:val="2"/>
            <w:shd w:val="clear" w:color="auto" w:fill="D0EBF2"/>
          </w:tcPr>
          <w:p>
            <w:pPr>
              <w:jc w:val="right"/>
              <w:spacing w:after="0"/>
              <w:rPr>
                <w:sz w:val="20"/>
                <w:szCs w:val="20"/>
                <w:color w:val="auto"/>
              </w:rPr>
            </w:pPr>
            <w:r>
              <w:rPr>
                <w:rFonts w:ascii="Times New Roman" w:cs="Times New Roman" w:eastAsia="Times New Roman" w:hAnsi="Times New Roman"/>
                <w:sz w:val="14"/>
                <w:szCs w:val="14"/>
                <w:color w:val="231F20"/>
              </w:rPr>
              <w:t>(6,168 )</w:t>
            </w:r>
          </w:p>
        </w:tc>
        <w:tc>
          <w:tcPr>
            <w:tcW w:w="20" w:type="dxa"/>
            <w:vAlign w:val="bottom"/>
            <w:shd w:val="clear" w:color="auto" w:fill="D0EBF2"/>
          </w:tcPr>
          <w:p>
            <w:pPr>
              <w:spacing w:after="0"/>
              <w:rPr>
                <w:sz w:val="15"/>
                <w:szCs w:val="15"/>
                <w:color w:val="auto"/>
              </w:rPr>
            </w:pPr>
          </w:p>
        </w:tc>
        <w:tc>
          <w:tcPr>
            <w:tcW w:w="20" w:type="dxa"/>
            <w:vAlign w:val="bottom"/>
            <w:shd w:val="clear" w:color="auto" w:fill="D0EBF2"/>
          </w:tcPr>
          <w:p>
            <w:pPr>
              <w:spacing w:after="0"/>
              <w:rPr>
                <w:sz w:val="15"/>
                <w:szCs w:val="15"/>
                <w:color w:val="auto"/>
              </w:rPr>
            </w:pPr>
          </w:p>
        </w:tc>
        <w:tc>
          <w:tcPr>
            <w:tcW w:w="60" w:type="dxa"/>
            <w:vAlign w:val="bottom"/>
            <w:shd w:val="clear" w:color="auto" w:fill="D0EBF2"/>
          </w:tcPr>
          <w:p>
            <w:pPr>
              <w:spacing w:after="0"/>
              <w:rPr>
                <w:sz w:val="15"/>
                <w:szCs w:val="15"/>
                <w:color w:val="auto"/>
              </w:rPr>
            </w:pPr>
          </w:p>
        </w:tc>
        <w:tc>
          <w:tcPr>
            <w:tcW w:w="140" w:type="dxa"/>
            <w:vAlign w:val="bottom"/>
            <w:shd w:val="clear" w:color="auto" w:fill="D0EBF2"/>
          </w:tcPr>
          <w:p>
            <w:pPr>
              <w:spacing w:after="0"/>
              <w:rPr>
                <w:sz w:val="15"/>
                <w:szCs w:val="15"/>
                <w:color w:val="auto"/>
              </w:rPr>
            </w:pPr>
          </w:p>
        </w:tc>
        <w:tc>
          <w:tcPr>
            <w:tcW w:w="1140" w:type="dxa"/>
            <w:vAlign w:val="bottom"/>
            <w:gridSpan w:val="6"/>
            <w:shd w:val="clear" w:color="auto" w:fill="D0EBF2"/>
          </w:tcPr>
          <w:p>
            <w:pPr>
              <w:jc w:val="right"/>
              <w:ind w:right="260"/>
              <w:spacing w:after="0"/>
              <w:rPr>
                <w:sz w:val="20"/>
                <w:szCs w:val="20"/>
                <w:color w:val="auto"/>
              </w:rPr>
            </w:pPr>
            <w:r>
              <w:rPr>
                <w:rFonts w:ascii="Times New Roman" w:cs="Times New Roman" w:eastAsia="Times New Roman" w:hAnsi="Times New Roman"/>
                <w:sz w:val="14"/>
                <w:szCs w:val="14"/>
                <w:color w:val="231F20"/>
              </w:rPr>
              <w:t>—</w:t>
            </w:r>
          </w:p>
        </w:tc>
        <w:tc>
          <w:tcPr>
            <w:tcW w:w="60" w:type="dxa"/>
            <w:vAlign w:val="bottom"/>
            <w:shd w:val="clear" w:color="auto" w:fill="D0EBF2"/>
          </w:tcPr>
          <w:p>
            <w:pPr>
              <w:spacing w:after="0"/>
              <w:rPr>
                <w:sz w:val="15"/>
                <w:szCs w:val="15"/>
                <w:color w:val="auto"/>
              </w:rPr>
            </w:pPr>
          </w:p>
        </w:tc>
        <w:tc>
          <w:tcPr>
            <w:tcW w:w="960" w:type="dxa"/>
            <w:vAlign w:val="bottom"/>
            <w:gridSpan w:val="6"/>
            <w:shd w:val="clear" w:color="auto" w:fill="D0EBF2"/>
          </w:tcPr>
          <w:p>
            <w:pPr>
              <w:jc w:val="right"/>
              <w:ind w:right="260"/>
              <w:spacing w:after="0"/>
              <w:rPr>
                <w:sz w:val="20"/>
                <w:szCs w:val="20"/>
                <w:color w:val="auto"/>
              </w:rPr>
            </w:pPr>
            <w:r>
              <w:rPr>
                <w:rFonts w:ascii="Times New Roman" w:cs="Times New Roman" w:eastAsia="Times New Roman" w:hAnsi="Times New Roman"/>
                <w:sz w:val="14"/>
                <w:szCs w:val="14"/>
                <w:color w:val="231F20"/>
              </w:rPr>
              <w:t>—</w:t>
            </w:r>
          </w:p>
        </w:tc>
        <w:tc>
          <w:tcPr>
            <w:tcW w:w="40" w:type="dxa"/>
            <w:vAlign w:val="bottom"/>
            <w:shd w:val="clear" w:color="auto" w:fill="D0EBF2"/>
          </w:tcPr>
          <w:p>
            <w:pPr>
              <w:spacing w:after="0"/>
              <w:rPr>
                <w:sz w:val="15"/>
                <w:szCs w:val="15"/>
                <w:color w:val="auto"/>
              </w:rPr>
            </w:pPr>
          </w:p>
        </w:tc>
        <w:tc>
          <w:tcPr>
            <w:tcW w:w="820" w:type="dxa"/>
            <w:vAlign w:val="bottom"/>
            <w:gridSpan w:val="2"/>
            <w:shd w:val="clear" w:color="auto" w:fill="D0EBF2"/>
          </w:tcPr>
          <w:p>
            <w:pPr>
              <w:jc w:val="right"/>
              <w:ind w:right="60"/>
              <w:spacing w:after="0"/>
              <w:rPr>
                <w:sz w:val="20"/>
                <w:szCs w:val="20"/>
                <w:color w:val="auto"/>
              </w:rPr>
            </w:pPr>
            <w:r>
              <w:rPr>
                <w:rFonts w:ascii="Times New Roman" w:cs="Times New Roman" w:eastAsia="Times New Roman" w:hAnsi="Times New Roman"/>
                <w:sz w:val="14"/>
                <w:szCs w:val="14"/>
                <w:color w:val="231F20"/>
              </w:rPr>
              <w:t>(6,168 )</w:t>
            </w:r>
          </w:p>
        </w:tc>
        <w:tc>
          <w:tcPr>
            <w:tcW w:w="0" w:type="dxa"/>
            <w:vAlign w:val="bottom"/>
          </w:tcPr>
          <w:p>
            <w:pPr>
              <w:spacing w:after="0"/>
              <w:rPr>
                <w:sz w:val="1"/>
                <w:szCs w:val="1"/>
                <w:color w:val="auto"/>
              </w:rPr>
            </w:pPr>
          </w:p>
        </w:tc>
      </w:tr>
      <w:tr>
        <w:trPr>
          <w:trHeight w:val="176"/>
        </w:trPr>
        <w:tc>
          <w:tcPr>
            <w:tcW w:w="3620" w:type="dxa"/>
            <w:vAlign w:val="bottom"/>
            <w:gridSpan w:val="2"/>
            <w:shd w:val="clear" w:color="auto" w:fill="FDFDFC"/>
          </w:tcPr>
          <w:p>
            <w:pPr>
              <w:ind w:left="100"/>
              <w:spacing w:after="0"/>
              <w:rPr>
                <w:sz w:val="20"/>
                <w:szCs w:val="20"/>
                <w:color w:val="auto"/>
              </w:rPr>
            </w:pPr>
            <w:r>
              <w:rPr>
                <w:rFonts w:ascii="Times New Roman" w:cs="Times New Roman" w:eastAsia="Times New Roman" w:hAnsi="Times New Roman"/>
                <w:sz w:val="14"/>
                <w:szCs w:val="14"/>
                <w:color w:val="231F20"/>
              </w:rPr>
              <w:t>Dividends to stockholders:</w:t>
            </w:r>
          </w:p>
        </w:tc>
        <w:tc>
          <w:tcPr>
            <w:tcW w:w="860" w:type="dxa"/>
            <w:vAlign w:val="bottom"/>
            <w:shd w:val="clear" w:color="auto" w:fill="FDFDFC"/>
          </w:tcPr>
          <w:p>
            <w:pPr>
              <w:spacing w:after="0"/>
              <w:rPr>
                <w:sz w:val="15"/>
                <w:szCs w:val="15"/>
                <w:color w:val="auto"/>
              </w:rPr>
            </w:pPr>
          </w:p>
        </w:tc>
        <w:tc>
          <w:tcPr>
            <w:tcW w:w="100" w:type="dxa"/>
            <w:vAlign w:val="bottom"/>
            <w:shd w:val="clear" w:color="auto" w:fill="FDFDFC"/>
          </w:tcPr>
          <w:p>
            <w:pPr>
              <w:spacing w:after="0"/>
              <w:rPr>
                <w:sz w:val="15"/>
                <w:szCs w:val="15"/>
                <w:color w:val="auto"/>
              </w:rPr>
            </w:pPr>
          </w:p>
        </w:tc>
        <w:tc>
          <w:tcPr>
            <w:tcW w:w="100" w:type="dxa"/>
            <w:vAlign w:val="bottom"/>
            <w:shd w:val="clear" w:color="auto" w:fill="FDFDFC"/>
          </w:tcPr>
          <w:p>
            <w:pPr>
              <w:spacing w:after="0"/>
              <w:rPr>
                <w:sz w:val="15"/>
                <w:szCs w:val="15"/>
                <w:color w:val="auto"/>
              </w:rPr>
            </w:pPr>
          </w:p>
        </w:tc>
        <w:tc>
          <w:tcPr>
            <w:tcW w:w="20" w:type="dxa"/>
            <w:vAlign w:val="bottom"/>
            <w:shd w:val="clear" w:color="auto" w:fill="FDFDFC"/>
          </w:tcPr>
          <w:p>
            <w:pPr>
              <w:spacing w:after="0"/>
              <w:rPr>
                <w:sz w:val="15"/>
                <w:szCs w:val="15"/>
                <w:color w:val="auto"/>
              </w:rPr>
            </w:pPr>
          </w:p>
        </w:tc>
        <w:tc>
          <w:tcPr>
            <w:tcW w:w="20" w:type="dxa"/>
            <w:vAlign w:val="bottom"/>
            <w:shd w:val="clear" w:color="auto" w:fill="FDFDFC"/>
          </w:tcPr>
          <w:p>
            <w:pPr>
              <w:spacing w:after="0"/>
              <w:rPr>
                <w:sz w:val="15"/>
                <w:szCs w:val="15"/>
                <w:color w:val="auto"/>
              </w:rPr>
            </w:pPr>
          </w:p>
        </w:tc>
        <w:tc>
          <w:tcPr>
            <w:tcW w:w="60" w:type="dxa"/>
            <w:vAlign w:val="bottom"/>
            <w:shd w:val="clear" w:color="auto" w:fill="FDFDFC"/>
          </w:tcPr>
          <w:p>
            <w:pPr>
              <w:spacing w:after="0"/>
              <w:rPr>
                <w:sz w:val="15"/>
                <w:szCs w:val="15"/>
                <w:color w:val="auto"/>
              </w:rPr>
            </w:pPr>
          </w:p>
        </w:tc>
        <w:tc>
          <w:tcPr>
            <w:tcW w:w="420" w:type="dxa"/>
            <w:vAlign w:val="bottom"/>
            <w:shd w:val="clear" w:color="auto" w:fill="FDFDFC"/>
          </w:tcPr>
          <w:p>
            <w:pPr>
              <w:spacing w:after="0"/>
              <w:rPr>
                <w:sz w:val="15"/>
                <w:szCs w:val="15"/>
                <w:color w:val="auto"/>
              </w:rPr>
            </w:pPr>
          </w:p>
        </w:tc>
        <w:tc>
          <w:tcPr>
            <w:tcW w:w="100" w:type="dxa"/>
            <w:vAlign w:val="bottom"/>
            <w:shd w:val="clear" w:color="auto" w:fill="FDFDFC"/>
          </w:tcPr>
          <w:p>
            <w:pPr>
              <w:spacing w:after="0"/>
              <w:rPr>
                <w:sz w:val="15"/>
                <w:szCs w:val="15"/>
                <w:color w:val="auto"/>
              </w:rPr>
            </w:pPr>
          </w:p>
        </w:tc>
        <w:tc>
          <w:tcPr>
            <w:tcW w:w="20" w:type="dxa"/>
            <w:vAlign w:val="bottom"/>
            <w:shd w:val="clear" w:color="auto" w:fill="FDFDFC"/>
          </w:tcPr>
          <w:p>
            <w:pPr>
              <w:spacing w:after="0"/>
              <w:rPr>
                <w:sz w:val="15"/>
                <w:szCs w:val="15"/>
                <w:color w:val="auto"/>
              </w:rPr>
            </w:pPr>
          </w:p>
        </w:tc>
        <w:tc>
          <w:tcPr>
            <w:tcW w:w="80" w:type="dxa"/>
            <w:vAlign w:val="bottom"/>
            <w:shd w:val="clear" w:color="auto" w:fill="FDFDFC"/>
          </w:tcPr>
          <w:p>
            <w:pPr>
              <w:spacing w:after="0"/>
              <w:rPr>
                <w:sz w:val="15"/>
                <w:szCs w:val="15"/>
                <w:color w:val="auto"/>
              </w:rPr>
            </w:pPr>
          </w:p>
        </w:tc>
        <w:tc>
          <w:tcPr>
            <w:tcW w:w="20" w:type="dxa"/>
            <w:vAlign w:val="bottom"/>
            <w:shd w:val="clear" w:color="auto" w:fill="FDFDFC"/>
          </w:tcPr>
          <w:p>
            <w:pPr>
              <w:spacing w:after="0"/>
              <w:rPr>
                <w:sz w:val="15"/>
                <w:szCs w:val="15"/>
                <w:color w:val="auto"/>
              </w:rPr>
            </w:pPr>
          </w:p>
        </w:tc>
        <w:tc>
          <w:tcPr>
            <w:tcW w:w="20" w:type="dxa"/>
            <w:vAlign w:val="bottom"/>
            <w:shd w:val="clear" w:color="auto" w:fill="FDFDFC"/>
          </w:tcPr>
          <w:p>
            <w:pPr>
              <w:spacing w:after="0"/>
              <w:rPr>
                <w:sz w:val="15"/>
                <w:szCs w:val="15"/>
                <w:color w:val="auto"/>
              </w:rPr>
            </w:pPr>
          </w:p>
        </w:tc>
        <w:tc>
          <w:tcPr>
            <w:tcW w:w="660" w:type="dxa"/>
            <w:vAlign w:val="bottom"/>
            <w:shd w:val="clear" w:color="auto" w:fill="FDFDFC"/>
          </w:tcPr>
          <w:p>
            <w:pPr>
              <w:spacing w:after="0"/>
              <w:rPr>
                <w:sz w:val="15"/>
                <w:szCs w:val="15"/>
                <w:color w:val="auto"/>
              </w:rPr>
            </w:pPr>
          </w:p>
        </w:tc>
        <w:tc>
          <w:tcPr>
            <w:tcW w:w="100" w:type="dxa"/>
            <w:vAlign w:val="bottom"/>
            <w:shd w:val="clear" w:color="auto" w:fill="FDFDFC"/>
          </w:tcPr>
          <w:p>
            <w:pPr>
              <w:spacing w:after="0"/>
              <w:rPr>
                <w:sz w:val="15"/>
                <w:szCs w:val="15"/>
                <w:color w:val="auto"/>
              </w:rPr>
            </w:pPr>
          </w:p>
        </w:tc>
        <w:tc>
          <w:tcPr>
            <w:tcW w:w="20" w:type="dxa"/>
            <w:vAlign w:val="bottom"/>
            <w:shd w:val="clear" w:color="auto" w:fill="FDFDFC"/>
          </w:tcPr>
          <w:p>
            <w:pPr>
              <w:spacing w:after="0"/>
              <w:rPr>
                <w:sz w:val="15"/>
                <w:szCs w:val="15"/>
                <w:color w:val="auto"/>
              </w:rPr>
            </w:pPr>
          </w:p>
        </w:tc>
        <w:tc>
          <w:tcPr>
            <w:tcW w:w="80" w:type="dxa"/>
            <w:vAlign w:val="bottom"/>
            <w:shd w:val="clear" w:color="auto" w:fill="FDFDFC"/>
          </w:tcPr>
          <w:p>
            <w:pPr>
              <w:spacing w:after="0"/>
              <w:rPr>
                <w:sz w:val="15"/>
                <w:szCs w:val="15"/>
                <w:color w:val="auto"/>
              </w:rPr>
            </w:pPr>
          </w:p>
        </w:tc>
        <w:tc>
          <w:tcPr>
            <w:tcW w:w="20" w:type="dxa"/>
            <w:vAlign w:val="bottom"/>
            <w:shd w:val="clear" w:color="auto" w:fill="FDFDFC"/>
          </w:tcPr>
          <w:p>
            <w:pPr>
              <w:spacing w:after="0"/>
              <w:rPr>
                <w:sz w:val="15"/>
                <w:szCs w:val="15"/>
                <w:color w:val="auto"/>
              </w:rPr>
            </w:pPr>
          </w:p>
        </w:tc>
        <w:tc>
          <w:tcPr>
            <w:tcW w:w="20" w:type="dxa"/>
            <w:vAlign w:val="bottom"/>
            <w:shd w:val="clear" w:color="auto" w:fill="FDFDFC"/>
          </w:tcPr>
          <w:p>
            <w:pPr>
              <w:spacing w:after="0"/>
              <w:rPr>
                <w:sz w:val="15"/>
                <w:szCs w:val="15"/>
                <w:color w:val="auto"/>
              </w:rPr>
            </w:pPr>
          </w:p>
        </w:tc>
        <w:tc>
          <w:tcPr>
            <w:tcW w:w="60" w:type="dxa"/>
            <w:vAlign w:val="bottom"/>
            <w:shd w:val="clear" w:color="auto" w:fill="FDFDFC"/>
          </w:tcPr>
          <w:p>
            <w:pPr>
              <w:spacing w:after="0"/>
              <w:rPr>
                <w:sz w:val="15"/>
                <w:szCs w:val="15"/>
                <w:color w:val="auto"/>
              </w:rPr>
            </w:pPr>
          </w:p>
        </w:tc>
        <w:tc>
          <w:tcPr>
            <w:tcW w:w="480" w:type="dxa"/>
            <w:vAlign w:val="bottom"/>
            <w:shd w:val="clear" w:color="auto" w:fill="FDFDFC"/>
          </w:tcPr>
          <w:p>
            <w:pPr>
              <w:spacing w:after="0"/>
              <w:rPr>
                <w:sz w:val="15"/>
                <w:szCs w:val="15"/>
                <w:color w:val="auto"/>
              </w:rPr>
            </w:pPr>
          </w:p>
        </w:tc>
        <w:tc>
          <w:tcPr>
            <w:tcW w:w="100" w:type="dxa"/>
            <w:vAlign w:val="bottom"/>
            <w:shd w:val="clear" w:color="auto" w:fill="FDFDFC"/>
          </w:tcPr>
          <w:p>
            <w:pPr>
              <w:spacing w:after="0"/>
              <w:rPr>
                <w:sz w:val="15"/>
                <w:szCs w:val="15"/>
                <w:color w:val="auto"/>
              </w:rPr>
            </w:pPr>
          </w:p>
        </w:tc>
        <w:tc>
          <w:tcPr>
            <w:tcW w:w="20" w:type="dxa"/>
            <w:vAlign w:val="bottom"/>
            <w:shd w:val="clear" w:color="auto" w:fill="FDFDFC"/>
          </w:tcPr>
          <w:p>
            <w:pPr>
              <w:spacing w:after="0"/>
              <w:rPr>
                <w:sz w:val="15"/>
                <w:szCs w:val="15"/>
                <w:color w:val="auto"/>
              </w:rPr>
            </w:pPr>
          </w:p>
        </w:tc>
        <w:tc>
          <w:tcPr>
            <w:tcW w:w="20" w:type="dxa"/>
            <w:vAlign w:val="bottom"/>
            <w:shd w:val="clear" w:color="auto" w:fill="FDFDFC"/>
          </w:tcPr>
          <w:p>
            <w:pPr>
              <w:spacing w:after="0"/>
              <w:rPr>
                <w:sz w:val="15"/>
                <w:szCs w:val="15"/>
                <w:color w:val="auto"/>
              </w:rPr>
            </w:pPr>
          </w:p>
        </w:tc>
        <w:tc>
          <w:tcPr>
            <w:tcW w:w="60" w:type="dxa"/>
            <w:vAlign w:val="bottom"/>
            <w:shd w:val="clear" w:color="auto" w:fill="FDFDFC"/>
          </w:tcPr>
          <w:p>
            <w:pPr>
              <w:spacing w:after="0"/>
              <w:rPr>
                <w:sz w:val="15"/>
                <w:szCs w:val="15"/>
                <w:color w:val="auto"/>
              </w:rPr>
            </w:pPr>
          </w:p>
        </w:tc>
        <w:tc>
          <w:tcPr>
            <w:tcW w:w="140" w:type="dxa"/>
            <w:vAlign w:val="bottom"/>
            <w:shd w:val="clear" w:color="auto" w:fill="FDFDFC"/>
          </w:tcPr>
          <w:p>
            <w:pPr>
              <w:spacing w:after="0"/>
              <w:rPr>
                <w:sz w:val="15"/>
                <w:szCs w:val="15"/>
                <w:color w:val="auto"/>
              </w:rPr>
            </w:pPr>
          </w:p>
        </w:tc>
        <w:tc>
          <w:tcPr>
            <w:tcW w:w="900" w:type="dxa"/>
            <w:vAlign w:val="bottom"/>
            <w:shd w:val="clear" w:color="auto" w:fill="FDFDFC"/>
          </w:tcPr>
          <w:p>
            <w:pPr>
              <w:spacing w:after="0"/>
              <w:rPr>
                <w:sz w:val="15"/>
                <w:szCs w:val="15"/>
                <w:color w:val="auto"/>
              </w:rPr>
            </w:pPr>
          </w:p>
        </w:tc>
        <w:tc>
          <w:tcPr>
            <w:tcW w:w="100" w:type="dxa"/>
            <w:vAlign w:val="bottom"/>
            <w:shd w:val="clear" w:color="auto" w:fill="FDFDFC"/>
          </w:tcPr>
          <w:p>
            <w:pPr>
              <w:spacing w:after="0"/>
              <w:rPr>
                <w:sz w:val="15"/>
                <w:szCs w:val="15"/>
                <w:color w:val="auto"/>
              </w:rPr>
            </w:pPr>
          </w:p>
        </w:tc>
        <w:tc>
          <w:tcPr>
            <w:tcW w:w="20" w:type="dxa"/>
            <w:vAlign w:val="bottom"/>
            <w:shd w:val="clear" w:color="auto" w:fill="FDFDFC"/>
          </w:tcPr>
          <w:p>
            <w:pPr>
              <w:spacing w:after="0"/>
              <w:rPr>
                <w:sz w:val="15"/>
                <w:szCs w:val="15"/>
                <w:color w:val="auto"/>
              </w:rPr>
            </w:pPr>
          </w:p>
        </w:tc>
        <w:tc>
          <w:tcPr>
            <w:tcW w:w="80" w:type="dxa"/>
            <w:vAlign w:val="bottom"/>
            <w:shd w:val="clear" w:color="auto" w:fill="FDFDFC"/>
          </w:tcPr>
          <w:p>
            <w:pPr>
              <w:spacing w:after="0"/>
              <w:rPr>
                <w:sz w:val="15"/>
                <w:szCs w:val="15"/>
                <w:color w:val="auto"/>
              </w:rPr>
            </w:pPr>
          </w:p>
        </w:tc>
        <w:tc>
          <w:tcPr>
            <w:tcW w:w="20" w:type="dxa"/>
            <w:vAlign w:val="bottom"/>
            <w:shd w:val="clear" w:color="auto" w:fill="FDFDFC"/>
          </w:tcPr>
          <w:p>
            <w:pPr>
              <w:spacing w:after="0"/>
              <w:rPr>
                <w:sz w:val="15"/>
                <w:szCs w:val="15"/>
                <w:color w:val="auto"/>
              </w:rPr>
            </w:pPr>
          </w:p>
        </w:tc>
        <w:tc>
          <w:tcPr>
            <w:tcW w:w="20" w:type="dxa"/>
            <w:vAlign w:val="bottom"/>
            <w:shd w:val="clear" w:color="auto" w:fill="FDFDFC"/>
          </w:tcPr>
          <w:p>
            <w:pPr>
              <w:spacing w:after="0"/>
              <w:rPr>
                <w:sz w:val="15"/>
                <w:szCs w:val="15"/>
                <w:color w:val="auto"/>
              </w:rPr>
            </w:pPr>
          </w:p>
        </w:tc>
        <w:tc>
          <w:tcPr>
            <w:tcW w:w="60" w:type="dxa"/>
            <w:vAlign w:val="bottom"/>
            <w:shd w:val="clear" w:color="auto" w:fill="FDFDFC"/>
          </w:tcPr>
          <w:p>
            <w:pPr>
              <w:spacing w:after="0"/>
              <w:rPr>
                <w:sz w:val="15"/>
                <w:szCs w:val="15"/>
                <w:color w:val="auto"/>
              </w:rPr>
            </w:pPr>
          </w:p>
        </w:tc>
        <w:tc>
          <w:tcPr>
            <w:tcW w:w="720" w:type="dxa"/>
            <w:vAlign w:val="bottom"/>
            <w:shd w:val="clear" w:color="auto" w:fill="FDFDFC"/>
          </w:tcPr>
          <w:p>
            <w:pPr>
              <w:spacing w:after="0"/>
              <w:rPr>
                <w:sz w:val="15"/>
                <w:szCs w:val="15"/>
                <w:color w:val="auto"/>
              </w:rPr>
            </w:pPr>
          </w:p>
        </w:tc>
        <w:tc>
          <w:tcPr>
            <w:tcW w:w="100" w:type="dxa"/>
            <w:vAlign w:val="bottom"/>
            <w:shd w:val="clear" w:color="auto" w:fill="FDFDFC"/>
          </w:tcPr>
          <w:p>
            <w:pPr>
              <w:spacing w:after="0"/>
              <w:rPr>
                <w:sz w:val="15"/>
                <w:szCs w:val="15"/>
                <w:color w:val="auto"/>
              </w:rPr>
            </w:pPr>
          </w:p>
        </w:tc>
        <w:tc>
          <w:tcPr>
            <w:tcW w:w="20" w:type="dxa"/>
            <w:vAlign w:val="bottom"/>
            <w:shd w:val="clear" w:color="auto" w:fill="FDFDFC"/>
          </w:tcPr>
          <w:p>
            <w:pPr>
              <w:spacing w:after="0"/>
              <w:rPr>
                <w:sz w:val="15"/>
                <w:szCs w:val="15"/>
                <w:color w:val="auto"/>
              </w:rPr>
            </w:pPr>
          </w:p>
        </w:tc>
        <w:tc>
          <w:tcPr>
            <w:tcW w:w="80" w:type="dxa"/>
            <w:vAlign w:val="bottom"/>
            <w:shd w:val="clear" w:color="auto" w:fill="FDFDFC"/>
          </w:tcPr>
          <w:p>
            <w:pPr>
              <w:spacing w:after="0"/>
              <w:rPr>
                <w:sz w:val="15"/>
                <w:szCs w:val="15"/>
                <w:color w:val="auto"/>
              </w:rPr>
            </w:pPr>
          </w:p>
        </w:tc>
        <w:tc>
          <w:tcPr>
            <w:tcW w:w="20" w:type="dxa"/>
            <w:vAlign w:val="bottom"/>
            <w:shd w:val="clear" w:color="auto" w:fill="FDFDFC"/>
          </w:tcPr>
          <w:p>
            <w:pPr>
              <w:spacing w:after="0"/>
              <w:rPr>
                <w:sz w:val="15"/>
                <w:szCs w:val="15"/>
                <w:color w:val="auto"/>
              </w:rPr>
            </w:pPr>
          </w:p>
        </w:tc>
        <w:tc>
          <w:tcPr>
            <w:tcW w:w="20" w:type="dxa"/>
            <w:vAlign w:val="bottom"/>
            <w:shd w:val="clear" w:color="auto" w:fill="FDFDFC"/>
          </w:tcPr>
          <w:p>
            <w:pPr>
              <w:spacing w:after="0"/>
              <w:rPr>
                <w:sz w:val="15"/>
                <w:szCs w:val="15"/>
                <w:color w:val="auto"/>
              </w:rPr>
            </w:pPr>
          </w:p>
        </w:tc>
        <w:tc>
          <w:tcPr>
            <w:tcW w:w="40" w:type="dxa"/>
            <w:vAlign w:val="bottom"/>
            <w:shd w:val="clear" w:color="auto" w:fill="FDFDFC"/>
          </w:tcPr>
          <w:p>
            <w:pPr>
              <w:spacing w:after="0"/>
              <w:rPr>
                <w:sz w:val="15"/>
                <w:szCs w:val="15"/>
                <w:color w:val="auto"/>
              </w:rPr>
            </w:pPr>
          </w:p>
        </w:tc>
        <w:tc>
          <w:tcPr>
            <w:tcW w:w="720" w:type="dxa"/>
            <w:vAlign w:val="bottom"/>
            <w:shd w:val="clear" w:color="auto" w:fill="FDFDFC"/>
          </w:tcPr>
          <w:p>
            <w:pPr>
              <w:spacing w:after="0"/>
              <w:rPr>
                <w:sz w:val="15"/>
                <w:szCs w:val="15"/>
                <w:color w:val="auto"/>
              </w:rPr>
            </w:pPr>
          </w:p>
        </w:tc>
        <w:tc>
          <w:tcPr>
            <w:tcW w:w="100" w:type="dxa"/>
            <w:vAlign w:val="bottom"/>
            <w:shd w:val="clear" w:color="auto" w:fill="FDFDFC"/>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3620" w:type="dxa"/>
            <w:vAlign w:val="bottom"/>
            <w:gridSpan w:val="2"/>
            <w:shd w:val="clear" w:color="auto" w:fill="D0EBF2"/>
          </w:tcPr>
          <w:p>
            <w:pPr>
              <w:ind w:left="200"/>
              <w:spacing w:after="0"/>
              <w:rPr>
                <w:sz w:val="20"/>
                <w:szCs w:val="20"/>
                <w:color w:val="auto"/>
              </w:rPr>
            </w:pPr>
            <w:r>
              <w:rPr>
                <w:rFonts w:ascii="Times New Roman" w:cs="Times New Roman" w:eastAsia="Times New Roman" w:hAnsi="Times New Roman"/>
                <w:sz w:val="14"/>
                <w:szCs w:val="14"/>
                <w:color w:val="231F20"/>
              </w:rPr>
              <w:t>Stock issued in connection with dividend reinvestment</w:t>
            </w:r>
          </w:p>
        </w:tc>
        <w:tc>
          <w:tcPr>
            <w:tcW w:w="860" w:type="dxa"/>
            <w:vAlign w:val="bottom"/>
            <w:vMerge w:val="restart"/>
            <w:shd w:val="clear" w:color="auto" w:fill="D0EBF2"/>
          </w:tcPr>
          <w:p>
            <w:pPr>
              <w:jc w:val="right"/>
              <w:spacing w:after="0"/>
              <w:rPr>
                <w:sz w:val="20"/>
                <w:szCs w:val="20"/>
                <w:color w:val="auto"/>
              </w:rPr>
            </w:pPr>
            <w:r>
              <w:rPr>
                <w:rFonts w:ascii="Times New Roman" w:cs="Times New Roman" w:eastAsia="Times New Roman" w:hAnsi="Times New Roman"/>
                <w:sz w:val="14"/>
                <w:szCs w:val="14"/>
                <w:color w:val="231F20"/>
              </w:rPr>
              <w:t>1,625,826</w:t>
            </w:r>
          </w:p>
        </w:tc>
        <w:tc>
          <w:tcPr>
            <w:tcW w:w="100" w:type="dxa"/>
            <w:vAlign w:val="bottom"/>
            <w:shd w:val="clear" w:color="auto" w:fill="D0EBF2"/>
          </w:tcPr>
          <w:p>
            <w:pPr>
              <w:spacing w:after="0"/>
              <w:rPr>
                <w:sz w:val="14"/>
                <w:szCs w:val="14"/>
                <w:color w:val="auto"/>
              </w:rPr>
            </w:pPr>
          </w:p>
        </w:tc>
        <w:tc>
          <w:tcPr>
            <w:tcW w:w="100" w:type="dxa"/>
            <w:vAlign w:val="bottom"/>
            <w:shd w:val="clear" w:color="auto" w:fill="D0EBF2"/>
          </w:tcPr>
          <w:p>
            <w:pPr>
              <w:spacing w:after="0"/>
              <w:rPr>
                <w:sz w:val="14"/>
                <w:szCs w:val="14"/>
                <w:color w:val="auto"/>
              </w:rPr>
            </w:pPr>
          </w:p>
        </w:tc>
        <w:tc>
          <w:tcPr>
            <w:tcW w:w="20" w:type="dxa"/>
            <w:vAlign w:val="bottom"/>
            <w:shd w:val="clear" w:color="auto" w:fill="D0EBF2"/>
          </w:tcPr>
          <w:p>
            <w:pPr>
              <w:spacing w:after="0"/>
              <w:rPr>
                <w:sz w:val="14"/>
                <w:szCs w:val="14"/>
                <w:color w:val="auto"/>
              </w:rPr>
            </w:pPr>
          </w:p>
        </w:tc>
        <w:tc>
          <w:tcPr>
            <w:tcW w:w="20" w:type="dxa"/>
            <w:vAlign w:val="bottom"/>
            <w:shd w:val="clear" w:color="auto" w:fill="D0EBF2"/>
          </w:tcPr>
          <w:p>
            <w:pPr>
              <w:spacing w:after="0"/>
              <w:rPr>
                <w:sz w:val="14"/>
                <w:szCs w:val="14"/>
                <w:color w:val="auto"/>
              </w:rPr>
            </w:pPr>
          </w:p>
        </w:tc>
        <w:tc>
          <w:tcPr>
            <w:tcW w:w="60" w:type="dxa"/>
            <w:vAlign w:val="bottom"/>
            <w:shd w:val="clear" w:color="auto" w:fill="D0EBF2"/>
          </w:tcPr>
          <w:p>
            <w:pPr>
              <w:spacing w:after="0"/>
              <w:rPr>
                <w:sz w:val="14"/>
                <w:szCs w:val="14"/>
                <w:color w:val="auto"/>
              </w:rPr>
            </w:pPr>
          </w:p>
        </w:tc>
        <w:tc>
          <w:tcPr>
            <w:tcW w:w="420" w:type="dxa"/>
            <w:vAlign w:val="bottom"/>
            <w:vMerge w:val="restart"/>
            <w:shd w:val="clear" w:color="auto" w:fill="D0EBF2"/>
          </w:tcPr>
          <w:p>
            <w:pPr>
              <w:jc w:val="right"/>
              <w:spacing w:after="0"/>
              <w:rPr>
                <w:sz w:val="20"/>
                <w:szCs w:val="20"/>
                <w:color w:val="auto"/>
              </w:rPr>
            </w:pPr>
            <w:r>
              <w:rPr>
                <w:rFonts w:ascii="Times New Roman" w:cs="Times New Roman" w:eastAsia="Times New Roman" w:hAnsi="Times New Roman"/>
                <w:sz w:val="14"/>
                <w:szCs w:val="14"/>
                <w:color w:val="231F20"/>
              </w:rPr>
              <w:t>16</w:t>
            </w:r>
          </w:p>
        </w:tc>
        <w:tc>
          <w:tcPr>
            <w:tcW w:w="100" w:type="dxa"/>
            <w:vAlign w:val="bottom"/>
            <w:shd w:val="clear" w:color="auto" w:fill="D0EBF2"/>
          </w:tcPr>
          <w:p>
            <w:pPr>
              <w:spacing w:after="0"/>
              <w:rPr>
                <w:sz w:val="14"/>
                <w:szCs w:val="14"/>
                <w:color w:val="auto"/>
              </w:rPr>
            </w:pPr>
          </w:p>
        </w:tc>
        <w:tc>
          <w:tcPr>
            <w:tcW w:w="20" w:type="dxa"/>
            <w:vAlign w:val="bottom"/>
            <w:shd w:val="clear" w:color="auto" w:fill="D0EBF2"/>
          </w:tcPr>
          <w:p>
            <w:pPr>
              <w:spacing w:after="0"/>
              <w:rPr>
                <w:sz w:val="14"/>
                <w:szCs w:val="14"/>
                <w:color w:val="auto"/>
              </w:rPr>
            </w:pPr>
          </w:p>
        </w:tc>
        <w:tc>
          <w:tcPr>
            <w:tcW w:w="80" w:type="dxa"/>
            <w:vAlign w:val="bottom"/>
            <w:shd w:val="clear" w:color="auto" w:fill="D0EBF2"/>
          </w:tcPr>
          <w:p>
            <w:pPr>
              <w:spacing w:after="0"/>
              <w:rPr>
                <w:sz w:val="14"/>
                <w:szCs w:val="14"/>
                <w:color w:val="auto"/>
              </w:rPr>
            </w:pPr>
          </w:p>
        </w:tc>
        <w:tc>
          <w:tcPr>
            <w:tcW w:w="20" w:type="dxa"/>
            <w:vAlign w:val="bottom"/>
            <w:shd w:val="clear" w:color="auto" w:fill="D0EBF2"/>
          </w:tcPr>
          <w:p>
            <w:pPr>
              <w:spacing w:after="0"/>
              <w:rPr>
                <w:sz w:val="14"/>
                <w:szCs w:val="14"/>
                <w:color w:val="auto"/>
              </w:rPr>
            </w:pPr>
          </w:p>
        </w:tc>
        <w:tc>
          <w:tcPr>
            <w:tcW w:w="20" w:type="dxa"/>
            <w:vAlign w:val="bottom"/>
            <w:shd w:val="clear" w:color="auto" w:fill="D0EBF2"/>
          </w:tcPr>
          <w:p>
            <w:pPr>
              <w:spacing w:after="0"/>
              <w:rPr>
                <w:sz w:val="14"/>
                <w:szCs w:val="14"/>
                <w:color w:val="auto"/>
              </w:rPr>
            </w:pPr>
          </w:p>
        </w:tc>
        <w:tc>
          <w:tcPr>
            <w:tcW w:w="660" w:type="dxa"/>
            <w:vAlign w:val="bottom"/>
            <w:vMerge w:val="restart"/>
            <w:shd w:val="clear" w:color="auto" w:fill="D0EBF2"/>
          </w:tcPr>
          <w:p>
            <w:pPr>
              <w:jc w:val="right"/>
              <w:spacing w:after="0"/>
              <w:rPr>
                <w:sz w:val="20"/>
                <w:szCs w:val="20"/>
                <w:color w:val="auto"/>
              </w:rPr>
            </w:pPr>
            <w:r>
              <w:rPr>
                <w:rFonts w:ascii="Times New Roman" w:cs="Times New Roman" w:eastAsia="Times New Roman" w:hAnsi="Times New Roman"/>
                <w:sz w:val="14"/>
                <w:szCs w:val="14"/>
                <w:color w:val="231F20"/>
              </w:rPr>
              <w:t>—</w:t>
            </w:r>
          </w:p>
        </w:tc>
        <w:tc>
          <w:tcPr>
            <w:tcW w:w="100" w:type="dxa"/>
            <w:vAlign w:val="bottom"/>
            <w:shd w:val="clear" w:color="auto" w:fill="D0EBF2"/>
          </w:tcPr>
          <w:p>
            <w:pPr>
              <w:spacing w:after="0"/>
              <w:rPr>
                <w:sz w:val="14"/>
                <w:szCs w:val="14"/>
                <w:color w:val="auto"/>
              </w:rPr>
            </w:pPr>
          </w:p>
        </w:tc>
        <w:tc>
          <w:tcPr>
            <w:tcW w:w="20" w:type="dxa"/>
            <w:vAlign w:val="bottom"/>
            <w:shd w:val="clear" w:color="auto" w:fill="D0EBF2"/>
          </w:tcPr>
          <w:p>
            <w:pPr>
              <w:spacing w:after="0"/>
              <w:rPr>
                <w:sz w:val="14"/>
                <w:szCs w:val="14"/>
                <w:color w:val="auto"/>
              </w:rPr>
            </w:pPr>
          </w:p>
        </w:tc>
        <w:tc>
          <w:tcPr>
            <w:tcW w:w="80" w:type="dxa"/>
            <w:vAlign w:val="bottom"/>
            <w:shd w:val="clear" w:color="auto" w:fill="D0EBF2"/>
          </w:tcPr>
          <w:p>
            <w:pPr>
              <w:spacing w:after="0"/>
              <w:rPr>
                <w:sz w:val="14"/>
                <w:szCs w:val="14"/>
                <w:color w:val="auto"/>
              </w:rPr>
            </w:pPr>
          </w:p>
        </w:tc>
        <w:tc>
          <w:tcPr>
            <w:tcW w:w="20" w:type="dxa"/>
            <w:vAlign w:val="bottom"/>
            <w:shd w:val="clear" w:color="auto" w:fill="D0EBF2"/>
          </w:tcPr>
          <w:p>
            <w:pPr>
              <w:spacing w:after="0"/>
              <w:rPr>
                <w:sz w:val="14"/>
                <w:szCs w:val="14"/>
                <w:color w:val="auto"/>
              </w:rPr>
            </w:pPr>
          </w:p>
        </w:tc>
        <w:tc>
          <w:tcPr>
            <w:tcW w:w="20" w:type="dxa"/>
            <w:vAlign w:val="bottom"/>
            <w:shd w:val="clear" w:color="auto" w:fill="D0EBF2"/>
          </w:tcPr>
          <w:p>
            <w:pPr>
              <w:spacing w:after="0"/>
              <w:rPr>
                <w:sz w:val="14"/>
                <w:szCs w:val="14"/>
                <w:color w:val="auto"/>
              </w:rPr>
            </w:pPr>
          </w:p>
        </w:tc>
        <w:tc>
          <w:tcPr>
            <w:tcW w:w="60" w:type="dxa"/>
            <w:vAlign w:val="bottom"/>
            <w:shd w:val="clear" w:color="auto" w:fill="D0EBF2"/>
          </w:tcPr>
          <w:p>
            <w:pPr>
              <w:spacing w:after="0"/>
              <w:rPr>
                <w:sz w:val="14"/>
                <w:szCs w:val="14"/>
                <w:color w:val="auto"/>
              </w:rPr>
            </w:pPr>
          </w:p>
        </w:tc>
        <w:tc>
          <w:tcPr>
            <w:tcW w:w="620" w:type="dxa"/>
            <w:vAlign w:val="bottom"/>
            <w:gridSpan w:val="4"/>
            <w:vMerge w:val="restart"/>
            <w:shd w:val="clear" w:color="auto" w:fill="D0EBF2"/>
          </w:tcPr>
          <w:p>
            <w:pPr>
              <w:jc w:val="right"/>
              <w:ind w:right="160"/>
              <w:spacing w:after="0"/>
              <w:rPr>
                <w:sz w:val="20"/>
                <w:szCs w:val="20"/>
                <w:color w:val="auto"/>
              </w:rPr>
            </w:pPr>
            <w:r>
              <w:rPr>
                <w:rFonts w:ascii="Times New Roman" w:cs="Times New Roman" w:eastAsia="Times New Roman" w:hAnsi="Times New Roman"/>
                <w:sz w:val="14"/>
                <w:szCs w:val="14"/>
                <w:color w:val="231F20"/>
              </w:rPr>
              <w:t>—</w:t>
            </w:r>
          </w:p>
        </w:tc>
        <w:tc>
          <w:tcPr>
            <w:tcW w:w="60" w:type="dxa"/>
            <w:vAlign w:val="bottom"/>
            <w:shd w:val="clear" w:color="auto" w:fill="D0EBF2"/>
          </w:tcPr>
          <w:p>
            <w:pPr>
              <w:spacing w:after="0"/>
              <w:rPr>
                <w:sz w:val="14"/>
                <w:szCs w:val="14"/>
                <w:color w:val="auto"/>
              </w:rPr>
            </w:pPr>
          </w:p>
        </w:tc>
        <w:tc>
          <w:tcPr>
            <w:tcW w:w="140" w:type="dxa"/>
            <w:vAlign w:val="bottom"/>
            <w:shd w:val="clear" w:color="auto" w:fill="D0EBF2"/>
          </w:tcPr>
          <w:p>
            <w:pPr>
              <w:spacing w:after="0"/>
              <w:rPr>
                <w:sz w:val="14"/>
                <w:szCs w:val="14"/>
                <w:color w:val="auto"/>
              </w:rPr>
            </w:pPr>
          </w:p>
        </w:tc>
        <w:tc>
          <w:tcPr>
            <w:tcW w:w="900" w:type="dxa"/>
            <w:vAlign w:val="bottom"/>
            <w:vMerge w:val="restart"/>
            <w:shd w:val="clear" w:color="auto" w:fill="D0EBF2"/>
          </w:tcPr>
          <w:p>
            <w:pPr>
              <w:jc w:val="right"/>
              <w:spacing w:after="0"/>
              <w:rPr>
                <w:sz w:val="20"/>
                <w:szCs w:val="20"/>
                <w:color w:val="auto"/>
              </w:rPr>
            </w:pPr>
            <w:r>
              <w:rPr>
                <w:rFonts w:ascii="Times New Roman" w:cs="Times New Roman" w:eastAsia="Times New Roman" w:hAnsi="Times New Roman"/>
                <w:sz w:val="14"/>
                <w:szCs w:val="14"/>
                <w:color w:val="231F20"/>
              </w:rPr>
              <w:t>30,500</w:t>
            </w:r>
          </w:p>
        </w:tc>
        <w:tc>
          <w:tcPr>
            <w:tcW w:w="100" w:type="dxa"/>
            <w:vAlign w:val="bottom"/>
            <w:shd w:val="clear" w:color="auto" w:fill="D0EBF2"/>
          </w:tcPr>
          <w:p>
            <w:pPr>
              <w:spacing w:after="0"/>
              <w:rPr>
                <w:sz w:val="14"/>
                <w:szCs w:val="14"/>
                <w:color w:val="auto"/>
              </w:rPr>
            </w:pPr>
          </w:p>
        </w:tc>
        <w:tc>
          <w:tcPr>
            <w:tcW w:w="20" w:type="dxa"/>
            <w:vAlign w:val="bottom"/>
            <w:shd w:val="clear" w:color="auto" w:fill="D0EBF2"/>
          </w:tcPr>
          <w:p>
            <w:pPr>
              <w:spacing w:after="0"/>
              <w:rPr>
                <w:sz w:val="14"/>
                <w:szCs w:val="14"/>
                <w:color w:val="auto"/>
              </w:rPr>
            </w:pPr>
          </w:p>
        </w:tc>
        <w:tc>
          <w:tcPr>
            <w:tcW w:w="80" w:type="dxa"/>
            <w:vAlign w:val="bottom"/>
            <w:shd w:val="clear" w:color="auto" w:fill="D0EBF2"/>
          </w:tcPr>
          <w:p>
            <w:pPr>
              <w:spacing w:after="0"/>
              <w:rPr>
                <w:sz w:val="14"/>
                <w:szCs w:val="14"/>
                <w:color w:val="auto"/>
              </w:rPr>
            </w:pPr>
          </w:p>
        </w:tc>
        <w:tc>
          <w:tcPr>
            <w:tcW w:w="20" w:type="dxa"/>
            <w:vAlign w:val="bottom"/>
            <w:shd w:val="clear" w:color="auto" w:fill="D0EBF2"/>
          </w:tcPr>
          <w:p>
            <w:pPr>
              <w:spacing w:after="0"/>
              <w:rPr>
                <w:sz w:val="14"/>
                <w:szCs w:val="14"/>
                <w:color w:val="auto"/>
              </w:rPr>
            </w:pPr>
          </w:p>
        </w:tc>
        <w:tc>
          <w:tcPr>
            <w:tcW w:w="20" w:type="dxa"/>
            <w:vAlign w:val="bottom"/>
            <w:shd w:val="clear" w:color="auto" w:fill="D0EBF2"/>
          </w:tcPr>
          <w:p>
            <w:pPr>
              <w:spacing w:after="0"/>
              <w:rPr>
                <w:sz w:val="14"/>
                <w:szCs w:val="14"/>
                <w:color w:val="auto"/>
              </w:rPr>
            </w:pPr>
          </w:p>
        </w:tc>
        <w:tc>
          <w:tcPr>
            <w:tcW w:w="60" w:type="dxa"/>
            <w:vAlign w:val="bottom"/>
            <w:shd w:val="clear" w:color="auto" w:fill="D0EBF2"/>
          </w:tcPr>
          <w:p>
            <w:pPr>
              <w:spacing w:after="0"/>
              <w:rPr>
                <w:sz w:val="14"/>
                <w:szCs w:val="14"/>
                <w:color w:val="auto"/>
              </w:rPr>
            </w:pPr>
          </w:p>
        </w:tc>
        <w:tc>
          <w:tcPr>
            <w:tcW w:w="960" w:type="dxa"/>
            <w:vAlign w:val="bottom"/>
            <w:gridSpan w:val="6"/>
            <w:vMerge w:val="restart"/>
            <w:shd w:val="clear" w:color="auto" w:fill="D0EBF2"/>
          </w:tcPr>
          <w:p>
            <w:pPr>
              <w:jc w:val="right"/>
              <w:ind w:right="260"/>
              <w:spacing w:after="0"/>
              <w:rPr>
                <w:sz w:val="20"/>
                <w:szCs w:val="20"/>
                <w:color w:val="auto"/>
              </w:rPr>
            </w:pPr>
            <w:r>
              <w:rPr>
                <w:rFonts w:ascii="Times New Roman" w:cs="Times New Roman" w:eastAsia="Times New Roman" w:hAnsi="Times New Roman"/>
                <w:sz w:val="14"/>
                <w:szCs w:val="14"/>
                <w:color w:val="231F20"/>
              </w:rPr>
              <w:t>—</w:t>
            </w:r>
          </w:p>
        </w:tc>
        <w:tc>
          <w:tcPr>
            <w:tcW w:w="40" w:type="dxa"/>
            <w:vAlign w:val="bottom"/>
            <w:shd w:val="clear" w:color="auto" w:fill="D0EBF2"/>
          </w:tcPr>
          <w:p>
            <w:pPr>
              <w:spacing w:after="0"/>
              <w:rPr>
                <w:sz w:val="14"/>
                <w:szCs w:val="14"/>
                <w:color w:val="auto"/>
              </w:rPr>
            </w:pPr>
          </w:p>
        </w:tc>
        <w:tc>
          <w:tcPr>
            <w:tcW w:w="720" w:type="dxa"/>
            <w:vAlign w:val="bottom"/>
            <w:vMerge w:val="restart"/>
            <w:shd w:val="clear" w:color="auto" w:fill="D0EBF2"/>
          </w:tcPr>
          <w:p>
            <w:pPr>
              <w:jc w:val="right"/>
              <w:spacing w:after="0"/>
              <w:rPr>
                <w:sz w:val="20"/>
                <w:szCs w:val="20"/>
                <w:color w:val="auto"/>
              </w:rPr>
            </w:pPr>
            <w:r>
              <w:rPr>
                <w:rFonts w:ascii="Times New Roman" w:cs="Times New Roman" w:eastAsia="Times New Roman" w:hAnsi="Times New Roman"/>
                <w:sz w:val="14"/>
                <w:szCs w:val="14"/>
                <w:color w:val="231F20"/>
              </w:rPr>
              <w:t>30,516</w:t>
            </w:r>
          </w:p>
        </w:tc>
        <w:tc>
          <w:tcPr>
            <w:tcW w:w="100" w:type="dxa"/>
            <w:vAlign w:val="bottom"/>
            <w:shd w:val="clear" w:color="auto" w:fill="D0EBF2"/>
          </w:tcPr>
          <w:p>
            <w:pPr>
              <w:spacing w:after="0"/>
              <w:rPr>
                <w:sz w:val="14"/>
                <w:szCs w:val="14"/>
                <w:color w:val="auto"/>
              </w:rPr>
            </w:pPr>
          </w:p>
        </w:tc>
        <w:tc>
          <w:tcPr>
            <w:tcW w:w="0" w:type="dxa"/>
            <w:vAlign w:val="bottom"/>
          </w:tcPr>
          <w:p>
            <w:pPr>
              <w:spacing w:after="0"/>
              <w:rPr>
                <w:sz w:val="1"/>
                <w:szCs w:val="1"/>
                <w:color w:val="auto"/>
              </w:rPr>
            </w:pPr>
          </w:p>
        </w:tc>
      </w:tr>
      <w:tr>
        <w:trPr>
          <w:trHeight w:val="177"/>
        </w:trPr>
        <w:tc>
          <w:tcPr>
            <w:tcW w:w="3620" w:type="dxa"/>
            <w:vAlign w:val="bottom"/>
            <w:gridSpan w:val="2"/>
            <w:shd w:val="clear" w:color="auto" w:fill="D0EBF2"/>
          </w:tcPr>
          <w:p>
            <w:pPr>
              <w:ind w:left="200"/>
              <w:spacing w:after="0"/>
              <w:rPr>
                <w:sz w:val="20"/>
                <w:szCs w:val="20"/>
                <w:color w:val="auto"/>
              </w:rPr>
            </w:pPr>
            <w:r>
              <w:rPr>
                <w:rFonts w:ascii="Times New Roman" w:cs="Times New Roman" w:eastAsia="Times New Roman" w:hAnsi="Times New Roman"/>
                <w:sz w:val="14"/>
                <w:szCs w:val="14"/>
                <w:color w:val="231F20"/>
              </w:rPr>
              <w:t>plan</w:t>
            </w:r>
          </w:p>
        </w:tc>
        <w:tc>
          <w:tcPr>
            <w:tcW w:w="860" w:type="dxa"/>
            <w:vAlign w:val="bottom"/>
            <w:vMerge w:val="continue"/>
            <w:shd w:val="clear" w:color="auto" w:fill="D0EBF2"/>
          </w:tcPr>
          <w:p>
            <w:pPr>
              <w:spacing w:after="0"/>
              <w:rPr>
                <w:sz w:val="15"/>
                <w:szCs w:val="15"/>
                <w:color w:val="auto"/>
              </w:rPr>
            </w:pPr>
          </w:p>
        </w:tc>
        <w:tc>
          <w:tcPr>
            <w:tcW w:w="100" w:type="dxa"/>
            <w:vAlign w:val="bottom"/>
            <w:shd w:val="clear" w:color="auto" w:fill="D0EBF2"/>
          </w:tcPr>
          <w:p>
            <w:pPr>
              <w:spacing w:after="0"/>
              <w:rPr>
                <w:sz w:val="15"/>
                <w:szCs w:val="15"/>
                <w:color w:val="auto"/>
              </w:rPr>
            </w:pPr>
          </w:p>
        </w:tc>
        <w:tc>
          <w:tcPr>
            <w:tcW w:w="100" w:type="dxa"/>
            <w:vAlign w:val="bottom"/>
            <w:shd w:val="clear" w:color="auto" w:fill="D0EBF2"/>
          </w:tcPr>
          <w:p>
            <w:pPr>
              <w:spacing w:after="0"/>
              <w:rPr>
                <w:sz w:val="15"/>
                <w:szCs w:val="15"/>
                <w:color w:val="auto"/>
              </w:rPr>
            </w:pPr>
          </w:p>
        </w:tc>
        <w:tc>
          <w:tcPr>
            <w:tcW w:w="20" w:type="dxa"/>
            <w:vAlign w:val="bottom"/>
            <w:shd w:val="clear" w:color="auto" w:fill="D0EBF2"/>
          </w:tcPr>
          <w:p>
            <w:pPr>
              <w:spacing w:after="0"/>
              <w:rPr>
                <w:sz w:val="15"/>
                <w:szCs w:val="15"/>
                <w:color w:val="auto"/>
              </w:rPr>
            </w:pPr>
          </w:p>
        </w:tc>
        <w:tc>
          <w:tcPr>
            <w:tcW w:w="20" w:type="dxa"/>
            <w:vAlign w:val="bottom"/>
            <w:shd w:val="clear" w:color="auto" w:fill="D0EBF2"/>
          </w:tcPr>
          <w:p>
            <w:pPr>
              <w:spacing w:after="0"/>
              <w:rPr>
                <w:sz w:val="15"/>
                <w:szCs w:val="15"/>
                <w:color w:val="auto"/>
              </w:rPr>
            </w:pPr>
          </w:p>
        </w:tc>
        <w:tc>
          <w:tcPr>
            <w:tcW w:w="60" w:type="dxa"/>
            <w:vAlign w:val="bottom"/>
            <w:shd w:val="clear" w:color="auto" w:fill="D0EBF2"/>
          </w:tcPr>
          <w:p>
            <w:pPr>
              <w:spacing w:after="0"/>
              <w:rPr>
                <w:sz w:val="15"/>
                <w:szCs w:val="15"/>
                <w:color w:val="auto"/>
              </w:rPr>
            </w:pPr>
          </w:p>
        </w:tc>
        <w:tc>
          <w:tcPr>
            <w:tcW w:w="420" w:type="dxa"/>
            <w:vAlign w:val="bottom"/>
            <w:vMerge w:val="continue"/>
            <w:shd w:val="clear" w:color="auto" w:fill="D0EBF2"/>
          </w:tcPr>
          <w:p>
            <w:pPr>
              <w:spacing w:after="0"/>
              <w:rPr>
                <w:sz w:val="15"/>
                <w:szCs w:val="15"/>
                <w:color w:val="auto"/>
              </w:rPr>
            </w:pPr>
          </w:p>
        </w:tc>
        <w:tc>
          <w:tcPr>
            <w:tcW w:w="100" w:type="dxa"/>
            <w:vAlign w:val="bottom"/>
            <w:shd w:val="clear" w:color="auto" w:fill="D0EBF2"/>
          </w:tcPr>
          <w:p>
            <w:pPr>
              <w:spacing w:after="0"/>
              <w:rPr>
                <w:sz w:val="15"/>
                <w:szCs w:val="15"/>
                <w:color w:val="auto"/>
              </w:rPr>
            </w:pPr>
          </w:p>
        </w:tc>
        <w:tc>
          <w:tcPr>
            <w:tcW w:w="20" w:type="dxa"/>
            <w:vAlign w:val="bottom"/>
            <w:shd w:val="clear" w:color="auto" w:fill="D0EBF2"/>
          </w:tcPr>
          <w:p>
            <w:pPr>
              <w:spacing w:after="0"/>
              <w:rPr>
                <w:sz w:val="15"/>
                <w:szCs w:val="15"/>
                <w:color w:val="auto"/>
              </w:rPr>
            </w:pPr>
          </w:p>
        </w:tc>
        <w:tc>
          <w:tcPr>
            <w:tcW w:w="80" w:type="dxa"/>
            <w:vAlign w:val="bottom"/>
            <w:shd w:val="clear" w:color="auto" w:fill="D0EBF2"/>
          </w:tcPr>
          <w:p>
            <w:pPr>
              <w:spacing w:after="0"/>
              <w:rPr>
                <w:sz w:val="15"/>
                <w:szCs w:val="15"/>
                <w:color w:val="auto"/>
              </w:rPr>
            </w:pPr>
          </w:p>
        </w:tc>
        <w:tc>
          <w:tcPr>
            <w:tcW w:w="20" w:type="dxa"/>
            <w:vAlign w:val="bottom"/>
            <w:shd w:val="clear" w:color="auto" w:fill="D0EBF2"/>
          </w:tcPr>
          <w:p>
            <w:pPr>
              <w:spacing w:after="0"/>
              <w:rPr>
                <w:sz w:val="15"/>
                <w:szCs w:val="15"/>
                <w:color w:val="auto"/>
              </w:rPr>
            </w:pPr>
          </w:p>
        </w:tc>
        <w:tc>
          <w:tcPr>
            <w:tcW w:w="20" w:type="dxa"/>
            <w:vAlign w:val="bottom"/>
            <w:shd w:val="clear" w:color="auto" w:fill="D0EBF2"/>
          </w:tcPr>
          <w:p>
            <w:pPr>
              <w:spacing w:after="0"/>
              <w:rPr>
                <w:sz w:val="15"/>
                <w:szCs w:val="15"/>
                <w:color w:val="auto"/>
              </w:rPr>
            </w:pPr>
          </w:p>
        </w:tc>
        <w:tc>
          <w:tcPr>
            <w:tcW w:w="660" w:type="dxa"/>
            <w:vAlign w:val="bottom"/>
            <w:vMerge w:val="continue"/>
            <w:shd w:val="clear" w:color="auto" w:fill="D0EBF2"/>
          </w:tcPr>
          <w:p>
            <w:pPr>
              <w:spacing w:after="0"/>
              <w:rPr>
                <w:sz w:val="15"/>
                <w:szCs w:val="15"/>
                <w:color w:val="auto"/>
              </w:rPr>
            </w:pPr>
          </w:p>
        </w:tc>
        <w:tc>
          <w:tcPr>
            <w:tcW w:w="100" w:type="dxa"/>
            <w:vAlign w:val="bottom"/>
            <w:shd w:val="clear" w:color="auto" w:fill="D0EBF2"/>
          </w:tcPr>
          <w:p>
            <w:pPr>
              <w:spacing w:after="0"/>
              <w:rPr>
                <w:sz w:val="15"/>
                <w:szCs w:val="15"/>
                <w:color w:val="auto"/>
              </w:rPr>
            </w:pPr>
          </w:p>
        </w:tc>
        <w:tc>
          <w:tcPr>
            <w:tcW w:w="20" w:type="dxa"/>
            <w:vAlign w:val="bottom"/>
            <w:shd w:val="clear" w:color="auto" w:fill="D0EBF2"/>
          </w:tcPr>
          <w:p>
            <w:pPr>
              <w:spacing w:after="0"/>
              <w:rPr>
                <w:sz w:val="15"/>
                <w:szCs w:val="15"/>
                <w:color w:val="auto"/>
              </w:rPr>
            </w:pPr>
          </w:p>
        </w:tc>
        <w:tc>
          <w:tcPr>
            <w:tcW w:w="80" w:type="dxa"/>
            <w:vAlign w:val="bottom"/>
            <w:shd w:val="clear" w:color="auto" w:fill="D0EBF2"/>
          </w:tcPr>
          <w:p>
            <w:pPr>
              <w:spacing w:after="0"/>
              <w:rPr>
                <w:sz w:val="15"/>
                <w:szCs w:val="15"/>
                <w:color w:val="auto"/>
              </w:rPr>
            </w:pPr>
          </w:p>
        </w:tc>
        <w:tc>
          <w:tcPr>
            <w:tcW w:w="20" w:type="dxa"/>
            <w:vAlign w:val="bottom"/>
            <w:shd w:val="clear" w:color="auto" w:fill="D0EBF2"/>
          </w:tcPr>
          <w:p>
            <w:pPr>
              <w:spacing w:after="0"/>
              <w:rPr>
                <w:sz w:val="15"/>
                <w:szCs w:val="15"/>
                <w:color w:val="auto"/>
              </w:rPr>
            </w:pPr>
          </w:p>
        </w:tc>
        <w:tc>
          <w:tcPr>
            <w:tcW w:w="20" w:type="dxa"/>
            <w:vAlign w:val="bottom"/>
            <w:shd w:val="clear" w:color="auto" w:fill="D0EBF2"/>
          </w:tcPr>
          <w:p>
            <w:pPr>
              <w:spacing w:after="0"/>
              <w:rPr>
                <w:sz w:val="15"/>
                <w:szCs w:val="15"/>
                <w:color w:val="auto"/>
              </w:rPr>
            </w:pPr>
          </w:p>
        </w:tc>
        <w:tc>
          <w:tcPr>
            <w:tcW w:w="60" w:type="dxa"/>
            <w:vAlign w:val="bottom"/>
            <w:shd w:val="clear" w:color="auto" w:fill="D0EBF2"/>
          </w:tcPr>
          <w:p>
            <w:pPr>
              <w:spacing w:after="0"/>
              <w:rPr>
                <w:sz w:val="15"/>
                <w:szCs w:val="15"/>
                <w:color w:val="auto"/>
              </w:rPr>
            </w:pPr>
          </w:p>
        </w:tc>
        <w:tc>
          <w:tcPr>
            <w:tcW w:w="620" w:type="dxa"/>
            <w:vAlign w:val="bottom"/>
            <w:gridSpan w:val="4"/>
            <w:vMerge w:val="continue"/>
            <w:shd w:val="clear" w:color="auto" w:fill="D0EBF2"/>
          </w:tcPr>
          <w:p>
            <w:pPr>
              <w:spacing w:after="0"/>
              <w:rPr>
                <w:sz w:val="15"/>
                <w:szCs w:val="15"/>
                <w:color w:val="auto"/>
              </w:rPr>
            </w:pPr>
          </w:p>
        </w:tc>
        <w:tc>
          <w:tcPr>
            <w:tcW w:w="60" w:type="dxa"/>
            <w:vAlign w:val="bottom"/>
            <w:shd w:val="clear" w:color="auto" w:fill="D0EBF2"/>
          </w:tcPr>
          <w:p>
            <w:pPr>
              <w:spacing w:after="0"/>
              <w:rPr>
                <w:sz w:val="15"/>
                <w:szCs w:val="15"/>
                <w:color w:val="auto"/>
              </w:rPr>
            </w:pPr>
          </w:p>
        </w:tc>
        <w:tc>
          <w:tcPr>
            <w:tcW w:w="140" w:type="dxa"/>
            <w:vAlign w:val="bottom"/>
            <w:shd w:val="clear" w:color="auto" w:fill="D0EBF2"/>
          </w:tcPr>
          <w:p>
            <w:pPr>
              <w:spacing w:after="0"/>
              <w:rPr>
                <w:sz w:val="15"/>
                <w:szCs w:val="15"/>
                <w:color w:val="auto"/>
              </w:rPr>
            </w:pPr>
          </w:p>
        </w:tc>
        <w:tc>
          <w:tcPr>
            <w:tcW w:w="900" w:type="dxa"/>
            <w:vAlign w:val="bottom"/>
            <w:vMerge w:val="continue"/>
            <w:shd w:val="clear" w:color="auto" w:fill="D0EBF2"/>
          </w:tcPr>
          <w:p>
            <w:pPr>
              <w:spacing w:after="0"/>
              <w:rPr>
                <w:sz w:val="15"/>
                <w:szCs w:val="15"/>
                <w:color w:val="auto"/>
              </w:rPr>
            </w:pPr>
          </w:p>
        </w:tc>
        <w:tc>
          <w:tcPr>
            <w:tcW w:w="100" w:type="dxa"/>
            <w:vAlign w:val="bottom"/>
            <w:shd w:val="clear" w:color="auto" w:fill="D0EBF2"/>
          </w:tcPr>
          <w:p>
            <w:pPr>
              <w:spacing w:after="0"/>
              <w:rPr>
                <w:sz w:val="15"/>
                <w:szCs w:val="15"/>
                <w:color w:val="auto"/>
              </w:rPr>
            </w:pPr>
          </w:p>
        </w:tc>
        <w:tc>
          <w:tcPr>
            <w:tcW w:w="20" w:type="dxa"/>
            <w:vAlign w:val="bottom"/>
            <w:shd w:val="clear" w:color="auto" w:fill="D0EBF2"/>
          </w:tcPr>
          <w:p>
            <w:pPr>
              <w:spacing w:after="0"/>
              <w:rPr>
                <w:sz w:val="15"/>
                <w:szCs w:val="15"/>
                <w:color w:val="auto"/>
              </w:rPr>
            </w:pPr>
          </w:p>
        </w:tc>
        <w:tc>
          <w:tcPr>
            <w:tcW w:w="80" w:type="dxa"/>
            <w:vAlign w:val="bottom"/>
            <w:shd w:val="clear" w:color="auto" w:fill="D0EBF2"/>
          </w:tcPr>
          <w:p>
            <w:pPr>
              <w:spacing w:after="0"/>
              <w:rPr>
                <w:sz w:val="15"/>
                <w:szCs w:val="15"/>
                <w:color w:val="auto"/>
              </w:rPr>
            </w:pPr>
          </w:p>
        </w:tc>
        <w:tc>
          <w:tcPr>
            <w:tcW w:w="20" w:type="dxa"/>
            <w:vAlign w:val="bottom"/>
            <w:shd w:val="clear" w:color="auto" w:fill="D0EBF2"/>
          </w:tcPr>
          <w:p>
            <w:pPr>
              <w:spacing w:after="0"/>
              <w:rPr>
                <w:sz w:val="15"/>
                <w:szCs w:val="15"/>
                <w:color w:val="auto"/>
              </w:rPr>
            </w:pPr>
          </w:p>
        </w:tc>
        <w:tc>
          <w:tcPr>
            <w:tcW w:w="20" w:type="dxa"/>
            <w:vAlign w:val="bottom"/>
            <w:shd w:val="clear" w:color="auto" w:fill="D0EBF2"/>
          </w:tcPr>
          <w:p>
            <w:pPr>
              <w:spacing w:after="0"/>
              <w:rPr>
                <w:sz w:val="15"/>
                <w:szCs w:val="15"/>
                <w:color w:val="auto"/>
              </w:rPr>
            </w:pPr>
          </w:p>
        </w:tc>
        <w:tc>
          <w:tcPr>
            <w:tcW w:w="60" w:type="dxa"/>
            <w:vAlign w:val="bottom"/>
            <w:shd w:val="clear" w:color="auto" w:fill="D0EBF2"/>
          </w:tcPr>
          <w:p>
            <w:pPr>
              <w:spacing w:after="0"/>
              <w:rPr>
                <w:sz w:val="15"/>
                <w:szCs w:val="15"/>
                <w:color w:val="auto"/>
              </w:rPr>
            </w:pPr>
          </w:p>
        </w:tc>
        <w:tc>
          <w:tcPr>
            <w:tcW w:w="960" w:type="dxa"/>
            <w:vAlign w:val="bottom"/>
            <w:gridSpan w:val="6"/>
            <w:vMerge w:val="continue"/>
            <w:shd w:val="clear" w:color="auto" w:fill="D0EBF2"/>
          </w:tcPr>
          <w:p>
            <w:pPr>
              <w:spacing w:after="0"/>
              <w:rPr>
                <w:sz w:val="15"/>
                <w:szCs w:val="15"/>
                <w:color w:val="auto"/>
              </w:rPr>
            </w:pPr>
          </w:p>
        </w:tc>
        <w:tc>
          <w:tcPr>
            <w:tcW w:w="40" w:type="dxa"/>
            <w:vAlign w:val="bottom"/>
            <w:shd w:val="clear" w:color="auto" w:fill="D0EBF2"/>
          </w:tcPr>
          <w:p>
            <w:pPr>
              <w:spacing w:after="0"/>
              <w:rPr>
                <w:sz w:val="15"/>
                <w:szCs w:val="15"/>
                <w:color w:val="auto"/>
              </w:rPr>
            </w:pPr>
          </w:p>
        </w:tc>
        <w:tc>
          <w:tcPr>
            <w:tcW w:w="720" w:type="dxa"/>
            <w:vAlign w:val="bottom"/>
            <w:vMerge w:val="continue"/>
            <w:shd w:val="clear" w:color="auto" w:fill="D0EBF2"/>
          </w:tcPr>
          <w:p>
            <w:pPr>
              <w:spacing w:after="0"/>
              <w:rPr>
                <w:sz w:val="15"/>
                <w:szCs w:val="15"/>
                <w:color w:val="auto"/>
              </w:rPr>
            </w:pPr>
          </w:p>
        </w:tc>
        <w:tc>
          <w:tcPr>
            <w:tcW w:w="100" w:type="dxa"/>
            <w:vAlign w:val="bottom"/>
            <w:shd w:val="clear" w:color="auto" w:fill="D0EBF2"/>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620" w:type="dxa"/>
            <w:vAlign w:val="bottom"/>
            <w:gridSpan w:val="2"/>
            <w:shd w:val="clear" w:color="auto" w:fill="FDFDFC"/>
          </w:tcPr>
          <w:p>
            <w:pPr>
              <w:ind w:left="200"/>
              <w:spacing w:after="0"/>
              <w:rPr>
                <w:sz w:val="20"/>
                <w:szCs w:val="20"/>
                <w:color w:val="auto"/>
              </w:rPr>
            </w:pPr>
            <w:r>
              <w:rPr>
                <w:rFonts w:ascii="Times New Roman" w:cs="Times New Roman" w:eastAsia="Times New Roman" w:hAnsi="Times New Roman"/>
                <w:sz w:val="14"/>
                <w:szCs w:val="14"/>
                <w:color w:val="231F20"/>
              </w:rPr>
              <w:t>Dividends declared from distributable earnings</w:t>
            </w:r>
          </w:p>
        </w:tc>
        <w:tc>
          <w:tcPr>
            <w:tcW w:w="860" w:type="dxa"/>
            <w:vAlign w:val="bottom"/>
            <w:shd w:val="clear" w:color="auto" w:fill="FDFDFC"/>
          </w:tcPr>
          <w:p>
            <w:pPr>
              <w:jc w:val="right"/>
              <w:spacing w:after="0"/>
              <w:rPr>
                <w:sz w:val="20"/>
                <w:szCs w:val="20"/>
                <w:color w:val="auto"/>
              </w:rPr>
            </w:pPr>
            <w:r>
              <w:rPr>
                <w:rFonts w:ascii="Times New Roman" w:cs="Times New Roman" w:eastAsia="Times New Roman" w:hAnsi="Times New Roman"/>
                <w:sz w:val="14"/>
                <w:szCs w:val="14"/>
                <w:color w:val="231F20"/>
              </w:rPr>
              <w:t>—</w:t>
            </w:r>
          </w:p>
        </w:tc>
        <w:tc>
          <w:tcPr>
            <w:tcW w:w="100" w:type="dxa"/>
            <w:vAlign w:val="bottom"/>
            <w:shd w:val="clear" w:color="auto" w:fill="FDFDFC"/>
          </w:tcPr>
          <w:p>
            <w:pPr>
              <w:spacing w:after="0"/>
              <w:rPr>
                <w:sz w:val="15"/>
                <w:szCs w:val="15"/>
                <w:color w:val="auto"/>
              </w:rPr>
            </w:pPr>
          </w:p>
        </w:tc>
        <w:tc>
          <w:tcPr>
            <w:tcW w:w="100" w:type="dxa"/>
            <w:vAlign w:val="bottom"/>
            <w:shd w:val="clear" w:color="auto" w:fill="FDFDFC"/>
          </w:tcPr>
          <w:p>
            <w:pPr>
              <w:spacing w:after="0"/>
              <w:rPr>
                <w:sz w:val="15"/>
                <w:szCs w:val="15"/>
                <w:color w:val="auto"/>
              </w:rPr>
            </w:pPr>
          </w:p>
        </w:tc>
        <w:tc>
          <w:tcPr>
            <w:tcW w:w="20" w:type="dxa"/>
            <w:vAlign w:val="bottom"/>
            <w:shd w:val="clear" w:color="auto" w:fill="FDFDFC"/>
          </w:tcPr>
          <w:p>
            <w:pPr>
              <w:spacing w:after="0"/>
              <w:rPr>
                <w:sz w:val="15"/>
                <w:szCs w:val="15"/>
                <w:color w:val="auto"/>
              </w:rPr>
            </w:pPr>
          </w:p>
        </w:tc>
        <w:tc>
          <w:tcPr>
            <w:tcW w:w="20" w:type="dxa"/>
            <w:vAlign w:val="bottom"/>
            <w:shd w:val="clear" w:color="auto" w:fill="FDFDFC"/>
          </w:tcPr>
          <w:p>
            <w:pPr>
              <w:spacing w:after="0"/>
              <w:rPr>
                <w:sz w:val="15"/>
                <w:szCs w:val="15"/>
                <w:color w:val="auto"/>
              </w:rPr>
            </w:pPr>
          </w:p>
        </w:tc>
        <w:tc>
          <w:tcPr>
            <w:tcW w:w="60" w:type="dxa"/>
            <w:vAlign w:val="bottom"/>
            <w:shd w:val="clear" w:color="auto" w:fill="FDFDFC"/>
          </w:tcPr>
          <w:p>
            <w:pPr>
              <w:spacing w:after="0"/>
              <w:rPr>
                <w:sz w:val="15"/>
                <w:szCs w:val="15"/>
                <w:color w:val="auto"/>
              </w:rPr>
            </w:pPr>
          </w:p>
        </w:tc>
        <w:tc>
          <w:tcPr>
            <w:tcW w:w="420" w:type="dxa"/>
            <w:vAlign w:val="bottom"/>
            <w:shd w:val="clear" w:color="auto" w:fill="FDFDFC"/>
          </w:tcPr>
          <w:p>
            <w:pPr>
              <w:jc w:val="right"/>
              <w:spacing w:after="0"/>
              <w:rPr>
                <w:sz w:val="20"/>
                <w:szCs w:val="20"/>
                <w:color w:val="auto"/>
              </w:rPr>
            </w:pPr>
            <w:r>
              <w:rPr>
                <w:rFonts w:ascii="Times New Roman" w:cs="Times New Roman" w:eastAsia="Times New Roman" w:hAnsi="Times New Roman"/>
                <w:sz w:val="14"/>
                <w:szCs w:val="14"/>
                <w:color w:val="231F20"/>
              </w:rPr>
              <w:t>—</w:t>
            </w:r>
          </w:p>
        </w:tc>
        <w:tc>
          <w:tcPr>
            <w:tcW w:w="100" w:type="dxa"/>
            <w:vAlign w:val="bottom"/>
            <w:shd w:val="clear" w:color="auto" w:fill="FDFDFC"/>
          </w:tcPr>
          <w:p>
            <w:pPr>
              <w:spacing w:after="0"/>
              <w:rPr>
                <w:sz w:val="15"/>
                <w:szCs w:val="15"/>
                <w:color w:val="auto"/>
              </w:rPr>
            </w:pPr>
          </w:p>
        </w:tc>
        <w:tc>
          <w:tcPr>
            <w:tcW w:w="20" w:type="dxa"/>
            <w:vAlign w:val="bottom"/>
            <w:shd w:val="clear" w:color="auto" w:fill="FDFDFC"/>
          </w:tcPr>
          <w:p>
            <w:pPr>
              <w:spacing w:after="0"/>
              <w:rPr>
                <w:sz w:val="15"/>
                <w:szCs w:val="15"/>
                <w:color w:val="auto"/>
              </w:rPr>
            </w:pPr>
          </w:p>
        </w:tc>
        <w:tc>
          <w:tcPr>
            <w:tcW w:w="80" w:type="dxa"/>
            <w:vAlign w:val="bottom"/>
            <w:shd w:val="clear" w:color="auto" w:fill="FDFDFC"/>
          </w:tcPr>
          <w:p>
            <w:pPr>
              <w:spacing w:after="0"/>
              <w:rPr>
                <w:sz w:val="15"/>
                <w:szCs w:val="15"/>
                <w:color w:val="auto"/>
              </w:rPr>
            </w:pPr>
          </w:p>
        </w:tc>
        <w:tc>
          <w:tcPr>
            <w:tcW w:w="20" w:type="dxa"/>
            <w:vAlign w:val="bottom"/>
            <w:shd w:val="clear" w:color="auto" w:fill="FDFDFC"/>
          </w:tcPr>
          <w:p>
            <w:pPr>
              <w:spacing w:after="0"/>
              <w:rPr>
                <w:sz w:val="15"/>
                <w:szCs w:val="15"/>
                <w:color w:val="auto"/>
              </w:rPr>
            </w:pPr>
          </w:p>
        </w:tc>
        <w:tc>
          <w:tcPr>
            <w:tcW w:w="20" w:type="dxa"/>
            <w:vAlign w:val="bottom"/>
            <w:shd w:val="clear" w:color="auto" w:fill="FDFDFC"/>
          </w:tcPr>
          <w:p>
            <w:pPr>
              <w:spacing w:after="0"/>
              <w:rPr>
                <w:sz w:val="15"/>
                <w:szCs w:val="15"/>
                <w:color w:val="auto"/>
              </w:rPr>
            </w:pPr>
          </w:p>
        </w:tc>
        <w:tc>
          <w:tcPr>
            <w:tcW w:w="660" w:type="dxa"/>
            <w:vAlign w:val="bottom"/>
            <w:shd w:val="clear" w:color="auto" w:fill="FDFDFC"/>
          </w:tcPr>
          <w:p>
            <w:pPr>
              <w:jc w:val="right"/>
              <w:spacing w:after="0"/>
              <w:rPr>
                <w:sz w:val="20"/>
                <w:szCs w:val="20"/>
                <w:color w:val="auto"/>
              </w:rPr>
            </w:pPr>
            <w:r>
              <w:rPr>
                <w:rFonts w:ascii="Times New Roman" w:cs="Times New Roman" w:eastAsia="Times New Roman" w:hAnsi="Times New Roman"/>
                <w:sz w:val="14"/>
                <w:szCs w:val="14"/>
                <w:color w:val="231F20"/>
              </w:rPr>
              <w:t>—</w:t>
            </w:r>
          </w:p>
        </w:tc>
        <w:tc>
          <w:tcPr>
            <w:tcW w:w="100" w:type="dxa"/>
            <w:vAlign w:val="bottom"/>
            <w:shd w:val="clear" w:color="auto" w:fill="FDFDFC"/>
          </w:tcPr>
          <w:p>
            <w:pPr>
              <w:spacing w:after="0"/>
              <w:rPr>
                <w:sz w:val="15"/>
                <w:szCs w:val="15"/>
                <w:color w:val="auto"/>
              </w:rPr>
            </w:pPr>
          </w:p>
        </w:tc>
        <w:tc>
          <w:tcPr>
            <w:tcW w:w="20" w:type="dxa"/>
            <w:vAlign w:val="bottom"/>
            <w:shd w:val="clear" w:color="auto" w:fill="FDFDFC"/>
          </w:tcPr>
          <w:p>
            <w:pPr>
              <w:spacing w:after="0"/>
              <w:rPr>
                <w:sz w:val="15"/>
                <w:szCs w:val="15"/>
                <w:color w:val="auto"/>
              </w:rPr>
            </w:pPr>
          </w:p>
        </w:tc>
        <w:tc>
          <w:tcPr>
            <w:tcW w:w="80" w:type="dxa"/>
            <w:vAlign w:val="bottom"/>
            <w:shd w:val="clear" w:color="auto" w:fill="FDFDFC"/>
          </w:tcPr>
          <w:p>
            <w:pPr>
              <w:spacing w:after="0"/>
              <w:rPr>
                <w:sz w:val="15"/>
                <w:szCs w:val="15"/>
                <w:color w:val="auto"/>
              </w:rPr>
            </w:pPr>
          </w:p>
        </w:tc>
        <w:tc>
          <w:tcPr>
            <w:tcW w:w="20" w:type="dxa"/>
            <w:vAlign w:val="bottom"/>
            <w:shd w:val="clear" w:color="auto" w:fill="FDFDFC"/>
          </w:tcPr>
          <w:p>
            <w:pPr>
              <w:spacing w:after="0"/>
              <w:rPr>
                <w:sz w:val="15"/>
                <w:szCs w:val="15"/>
                <w:color w:val="auto"/>
              </w:rPr>
            </w:pPr>
          </w:p>
        </w:tc>
        <w:tc>
          <w:tcPr>
            <w:tcW w:w="20" w:type="dxa"/>
            <w:vAlign w:val="bottom"/>
            <w:shd w:val="clear" w:color="auto" w:fill="FDFDFC"/>
          </w:tcPr>
          <w:p>
            <w:pPr>
              <w:spacing w:after="0"/>
              <w:rPr>
                <w:sz w:val="15"/>
                <w:szCs w:val="15"/>
                <w:color w:val="auto"/>
              </w:rPr>
            </w:pPr>
          </w:p>
        </w:tc>
        <w:tc>
          <w:tcPr>
            <w:tcW w:w="60" w:type="dxa"/>
            <w:vAlign w:val="bottom"/>
            <w:shd w:val="clear" w:color="auto" w:fill="FDFDFC"/>
          </w:tcPr>
          <w:p>
            <w:pPr>
              <w:spacing w:after="0"/>
              <w:rPr>
                <w:sz w:val="15"/>
                <w:szCs w:val="15"/>
                <w:color w:val="auto"/>
              </w:rPr>
            </w:pPr>
          </w:p>
        </w:tc>
        <w:tc>
          <w:tcPr>
            <w:tcW w:w="620" w:type="dxa"/>
            <w:vAlign w:val="bottom"/>
            <w:gridSpan w:val="4"/>
            <w:shd w:val="clear" w:color="auto" w:fill="FDFDFC"/>
          </w:tcPr>
          <w:p>
            <w:pPr>
              <w:jc w:val="right"/>
              <w:ind w:right="160"/>
              <w:spacing w:after="0"/>
              <w:rPr>
                <w:sz w:val="20"/>
                <w:szCs w:val="20"/>
                <w:color w:val="auto"/>
              </w:rPr>
            </w:pPr>
            <w:r>
              <w:rPr>
                <w:rFonts w:ascii="Times New Roman" w:cs="Times New Roman" w:eastAsia="Times New Roman" w:hAnsi="Times New Roman"/>
                <w:sz w:val="14"/>
                <w:szCs w:val="14"/>
                <w:color w:val="231F20"/>
              </w:rPr>
              <w:t>—</w:t>
            </w:r>
          </w:p>
        </w:tc>
        <w:tc>
          <w:tcPr>
            <w:tcW w:w="60" w:type="dxa"/>
            <w:vAlign w:val="bottom"/>
            <w:shd w:val="clear" w:color="auto" w:fill="FDFDFC"/>
          </w:tcPr>
          <w:p>
            <w:pPr>
              <w:spacing w:after="0"/>
              <w:rPr>
                <w:sz w:val="15"/>
                <w:szCs w:val="15"/>
                <w:color w:val="auto"/>
              </w:rPr>
            </w:pPr>
          </w:p>
        </w:tc>
        <w:tc>
          <w:tcPr>
            <w:tcW w:w="140" w:type="dxa"/>
            <w:vAlign w:val="bottom"/>
            <w:shd w:val="clear" w:color="auto" w:fill="FDFDFC"/>
          </w:tcPr>
          <w:p>
            <w:pPr>
              <w:spacing w:after="0"/>
              <w:rPr>
                <w:sz w:val="15"/>
                <w:szCs w:val="15"/>
                <w:color w:val="auto"/>
              </w:rPr>
            </w:pPr>
          </w:p>
        </w:tc>
        <w:tc>
          <w:tcPr>
            <w:tcW w:w="1140" w:type="dxa"/>
            <w:vAlign w:val="bottom"/>
            <w:gridSpan w:val="6"/>
            <w:shd w:val="clear" w:color="auto" w:fill="FDFDFC"/>
          </w:tcPr>
          <w:p>
            <w:pPr>
              <w:jc w:val="right"/>
              <w:ind w:right="260"/>
              <w:spacing w:after="0"/>
              <w:rPr>
                <w:sz w:val="20"/>
                <w:szCs w:val="20"/>
                <w:color w:val="auto"/>
              </w:rPr>
            </w:pPr>
            <w:r>
              <w:rPr>
                <w:rFonts w:ascii="Times New Roman" w:cs="Times New Roman" w:eastAsia="Times New Roman" w:hAnsi="Times New Roman"/>
                <w:sz w:val="14"/>
                <w:szCs w:val="14"/>
                <w:color w:val="231F20"/>
              </w:rPr>
              <w:t>—</w:t>
            </w:r>
          </w:p>
        </w:tc>
        <w:tc>
          <w:tcPr>
            <w:tcW w:w="60" w:type="dxa"/>
            <w:vAlign w:val="bottom"/>
            <w:shd w:val="clear" w:color="auto" w:fill="FDFDFC"/>
          </w:tcPr>
          <w:p>
            <w:pPr>
              <w:spacing w:after="0"/>
              <w:rPr>
                <w:sz w:val="15"/>
                <w:szCs w:val="15"/>
                <w:color w:val="auto"/>
              </w:rPr>
            </w:pPr>
          </w:p>
        </w:tc>
        <w:tc>
          <w:tcPr>
            <w:tcW w:w="820" w:type="dxa"/>
            <w:vAlign w:val="bottom"/>
            <w:gridSpan w:val="2"/>
            <w:shd w:val="clear" w:color="auto" w:fill="FDFDFC"/>
          </w:tcPr>
          <w:p>
            <w:pPr>
              <w:jc w:val="right"/>
              <w:ind w:right="40"/>
              <w:spacing w:after="0"/>
              <w:rPr>
                <w:sz w:val="20"/>
                <w:szCs w:val="20"/>
                <w:color w:val="auto"/>
              </w:rPr>
            </w:pPr>
            <w:r>
              <w:rPr>
                <w:rFonts w:ascii="Times New Roman" w:cs="Times New Roman" w:eastAsia="Times New Roman" w:hAnsi="Times New Roman"/>
                <w:sz w:val="14"/>
                <w:szCs w:val="14"/>
                <w:color w:val="231F20"/>
              </w:rPr>
              <w:t>(144,322 )</w:t>
            </w:r>
          </w:p>
        </w:tc>
        <w:tc>
          <w:tcPr>
            <w:tcW w:w="20" w:type="dxa"/>
            <w:vAlign w:val="bottom"/>
            <w:shd w:val="clear" w:color="auto" w:fill="FDFDFC"/>
          </w:tcPr>
          <w:p>
            <w:pPr>
              <w:spacing w:after="0"/>
              <w:rPr>
                <w:sz w:val="15"/>
                <w:szCs w:val="15"/>
                <w:color w:val="auto"/>
              </w:rPr>
            </w:pPr>
          </w:p>
        </w:tc>
        <w:tc>
          <w:tcPr>
            <w:tcW w:w="80" w:type="dxa"/>
            <w:vAlign w:val="bottom"/>
            <w:shd w:val="clear" w:color="auto" w:fill="FDFDFC"/>
          </w:tcPr>
          <w:p>
            <w:pPr>
              <w:spacing w:after="0"/>
              <w:rPr>
                <w:sz w:val="15"/>
                <w:szCs w:val="15"/>
                <w:color w:val="auto"/>
              </w:rPr>
            </w:pPr>
          </w:p>
        </w:tc>
        <w:tc>
          <w:tcPr>
            <w:tcW w:w="20" w:type="dxa"/>
            <w:vAlign w:val="bottom"/>
            <w:shd w:val="clear" w:color="auto" w:fill="FDFDFC"/>
          </w:tcPr>
          <w:p>
            <w:pPr>
              <w:spacing w:after="0"/>
              <w:rPr>
                <w:sz w:val="15"/>
                <w:szCs w:val="15"/>
                <w:color w:val="auto"/>
              </w:rPr>
            </w:pPr>
          </w:p>
        </w:tc>
        <w:tc>
          <w:tcPr>
            <w:tcW w:w="20" w:type="dxa"/>
            <w:vAlign w:val="bottom"/>
            <w:shd w:val="clear" w:color="auto" w:fill="FDFDFC"/>
          </w:tcPr>
          <w:p>
            <w:pPr>
              <w:spacing w:after="0"/>
              <w:rPr>
                <w:sz w:val="15"/>
                <w:szCs w:val="15"/>
                <w:color w:val="auto"/>
              </w:rPr>
            </w:pPr>
          </w:p>
        </w:tc>
        <w:tc>
          <w:tcPr>
            <w:tcW w:w="40" w:type="dxa"/>
            <w:vAlign w:val="bottom"/>
            <w:shd w:val="clear" w:color="auto" w:fill="FDFDFC"/>
          </w:tcPr>
          <w:p>
            <w:pPr>
              <w:spacing w:after="0"/>
              <w:rPr>
                <w:sz w:val="15"/>
                <w:szCs w:val="15"/>
                <w:color w:val="auto"/>
              </w:rPr>
            </w:pPr>
          </w:p>
        </w:tc>
        <w:tc>
          <w:tcPr>
            <w:tcW w:w="820" w:type="dxa"/>
            <w:vAlign w:val="bottom"/>
            <w:gridSpan w:val="2"/>
            <w:shd w:val="clear" w:color="auto" w:fill="FDFDFC"/>
          </w:tcPr>
          <w:p>
            <w:pPr>
              <w:jc w:val="right"/>
              <w:ind w:right="60"/>
              <w:spacing w:after="0"/>
              <w:rPr>
                <w:sz w:val="20"/>
                <w:szCs w:val="20"/>
                <w:color w:val="auto"/>
              </w:rPr>
            </w:pPr>
            <w:r>
              <w:rPr>
                <w:rFonts w:ascii="Times New Roman" w:cs="Times New Roman" w:eastAsia="Times New Roman" w:hAnsi="Times New Roman"/>
                <w:sz w:val="14"/>
                <w:szCs w:val="14"/>
                <w:color w:val="231F20"/>
              </w:rPr>
              <w:t>(144,322 )</w:t>
            </w:r>
          </w:p>
        </w:tc>
        <w:tc>
          <w:tcPr>
            <w:tcW w:w="0" w:type="dxa"/>
            <w:vAlign w:val="bottom"/>
          </w:tcPr>
          <w:p>
            <w:pPr>
              <w:spacing w:after="0"/>
              <w:rPr>
                <w:sz w:val="1"/>
                <w:szCs w:val="1"/>
                <w:color w:val="auto"/>
              </w:rPr>
            </w:pPr>
          </w:p>
        </w:tc>
      </w:tr>
      <w:tr>
        <w:trPr>
          <w:trHeight w:val="162"/>
        </w:trPr>
        <w:tc>
          <w:tcPr>
            <w:tcW w:w="3620" w:type="dxa"/>
            <w:vAlign w:val="bottom"/>
            <w:gridSpan w:val="2"/>
            <w:shd w:val="clear" w:color="auto" w:fill="D0EBF2"/>
          </w:tcPr>
          <w:p>
            <w:pPr>
              <w:ind w:left="100"/>
              <w:spacing w:after="0"/>
              <w:rPr>
                <w:sz w:val="20"/>
                <w:szCs w:val="20"/>
                <w:color w:val="auto"/>
              </w:rPr>
            </w:pPr>
            <w:r>
              <w:rPr>
                <w:rFonts w:ascii="Times New Roman" w:cs="Times New Roman" w:eastAsia="Times New Roman" w:hAnsi="Times New Roman"/>
                <w:sz w:val="14"/>
                <w:szCs w:val="14"/>
                <w:color w:val="231F20"/>
              </w:rPr>
              <w:t>Tax reclassification of stockholders' equity in accordance</w:t>
            </w:r>
          </w:p>
        </w:tc>
        <w:tc>
          <w:tcPr>
            <w:tcW w:w="860" w:type="dxa"/>
            <w:vAlign w:val="bottom"/>
            <w:shd w:val="clear" w:color="auto" w:fill="D0EBF2"/>
          </w:tcPr>
          <w:p>
            <w:pPr>
              <w:spacing w:after="0"/>
              <w:rPr>
                <w:sz w:val="14"/>
                <w:szCs w:val="14"/>
                <w:color w:val="auto"/>
              </w:rPr>
            </w:pPr>
          </w:p>
        </w:tc>
        <w:tc>
          <w:tcPr>
            <w:tcW w:w="100" w:type="dxa"/>
            <w:vAlign w:val="bottom"/>
            <w:shd w:val="clear" w:color="auto" w:fill="D0EBF2"/>
          </w:tcPr>
          <w:p>
            <w:pPr>
              <w:spacing w:after="0"/>
              <w:rPr>
                <w:sz w:val="14"/>
                <w:szCs w:val="14"/>
                <w:color w:val="auto"/>
              </w:rPr>
            </w:pPr>
          </w:p>
        </w:tc>
        <w:tc>
          <w:tcPr>
            <w:tcW w:w="100" w:type="dxa"/>
            <w:vAlign w:val="bottom"/>
            <w:shd w:val="clear" w:color="auto" w:fill="D0EBF2"/>
          </w:tcPr>
          <w:p>
            <w:pPr>
              <w:spacing w:after="0"/>
              <w:rPr>
                <w:sz w:val="14"/>
                <w:szCs w:val="14"/>
                <w:color w:val="auto"/>
              </w:rPr>
            </w:pPr>
          </w:p>
        </w:tc>
        <w:tc>
          <w:tcPr>
            <w:tcW w:w="20" w:type="dxa"/>
            <w:vAlign w:val="bottom"/>
            <w:shd w:val="clear" w:color="auto" w:fill="D0EBF2"/>
          </w:tcPr>
          <w:p>
            <w:pPr>
              <w:spacing w:after="0"/>
              <w:rPr>
                <w:sz w:val="14"/>
                <w:szCs w:val="14"/>
                <w:color w:val="auto"/>
              </w:rPr>
            </w:pPr>
          </w:p>
        </w:tc>
        <w:tc>
          <w:tcPr>
            <w:tcW w:w="20" w:type="dxa"/>
            <w:vAlign w:val="bottom"/>
            <w:shd w:val="clear" w:color="auto" w:fill="D0EBF2"/>
          </w:tcPr>
          <w:p>
            <w:pPr>
              <w:spacing w:after="0"/>
              <w:rPr>
                <w:sz w:val="14"/>
                <w:szCs w:val="14"/>
                <w:color w:val="auto"/>
              </w:rPr>
            </w:pPr>
          </w:p>
        </w:tc>
        <w:tc>
          <w:tcPr>
            <w:tcW w:w="60" w:type="dxa"/>
            <w:vAlign w:val="bottom"/>
            <w:shd w:val="clear" w:color="auto" w:fill="D0EBF2"/>
          </w:tcPr>
          <w:p>
            <w:pPr>
              <w:spacing w:after="0"/>
              <w:rPr>
                <w:sz w:val="14"/>
                <w:szCs w:val="14"/>
                <w:color w:val="auto"/>
              </w:rPr>
            </w:pPr>
          </w:p>
        </w:tc>
        <w:tc>
          <w:tcPr>
            <w:tcW w:w="420" w:type="dxa"/>
            <w:vAlign w:val="bottom"/>
            <w:shd w:val="clear" w:color="auto" w:fill="D0EBF2"/>
          </w:tcPr>
          <w:p>
            <w:pPr>
              <w:spacing w:after="0"/>
              <w:rPr>
                <w:sz w:val="14"/>
                <w:szCs w:val="14"/>
                <w:color w:val="auto"/>
              </w:rPr>
            </w:pPr>
          </w:p>
        </w:tc>
        <w:tc>
          <w:tcPr>
            <w:tcW w:w="100" w:type="dxa"/>
            <w:vAlign w:val="bottom"/>
            <w:shd w:val="clear" w:color="auto" w:fill="D0EBF2"/>
          </w:tcPr>
          <w:p>
            <w:pPr>
              <w:spacing w:after="0"/>
              <w:rPr>
                <w:sz w:val="14"/>
                <w:szCs w:val="14"/>
                <w:color w:val="auto"/>
              </w:rPr>
            </w:pPr>
          </w:p>
        </w:tc>
        <w:tc>
          <w:tcPr>
            <w:tcW w:w="20" w:type="dxa"/>
            <w:vAlign w:val="bottom"/>
            <w:shd w:val="clear" w:color="auto" w:fill="D0EBF2"/>
          </w:tcPr>
          <w:p>
            <w:pPr>
              <w:spacing w:after="0"/>
              <w:rPr>
                <w:sz w:val="14"/>
                <w:szCs w:val="14"/>
                <w:color w:val="auto"/>
              </w:rPr>
            </w:pPr>
          </w:p>
        </w:tc>
        <w:tc>
          <w:tcPr>
            <w:tcW w:w="80" w:type="dxa"/>
            <w:vAlign w:val="bottom"/>
            <w:shd w:val="clear" w:color="auto" w:fill="D0EBF2"/>
          </w:tcPr>
          <w:p>
            <w:pPr>
              <w:spacing w:after="0"/>
              <w:rPr>
                <w:sz w:val="14"/>
                <w:szCs w:val="14"/>
                <w:color w:val="auto"/>
              </w:rPr>
            </w:pPr>
          </w:p>
        </w:tc>
        <w:tc>
          <w:tcPr>
            <w:tcW w:w="20" w:type="dxa"/>
            <w:vAlign w:val="bottom"/>
            <w:shd w:val="clear" w:color="auto" w:fill="D0EBF2"/>
          </w:tcPr>
          <w:p>
            <w:pPr>
              <w:spacing w:after="0"/>
              <w:rPr>
                <w:sz w:val="14"/>
                <w:szCs w:val="14"/>
                <w:color w:val="auto"/>
              </w:rPr>
            </w:pPr>
          </w:p>
        </w:tc>
        <w:tc>
          <w:tcPr>
            <w:tcW w:w="20" w:type="dxa"/>
            <w:vAlign w:val="bottom"/>
            <w:shd w:val="clear" w:color="auto" w:fill="D0EBF2"/>
          </w:tcPr>
          <w:p>
            <w:pPr>
              <w:spacing w:after="0"/>
              <w:rPr>
                <w:sz w:val="14"/>
                <w:szCs w:val="14"/>
                <w:color w:val="auto"/>
              </w:rPr>
            </w:pPr>
          </w:p>
        </w:tc>
        <w:tc>
          <w:tcPr>
            <w:tcW w:w="660" w:type="dxa"/>
            <w:vAlign w:val="bottom"/>
            <w:shd w:val="clear" w:color="auto" w:fill="D0EBF2"/>
          </w:tcPr>
          <w:p>
            <w:pPr>
              <w:spacing w:after="0"/>
              <w:rPr>
                <w:sz w:val="14"/>
                <w:szCs w:val="14"/>
                <w:color w:val="auto"/>
              </w:rPr>
            </w:pPr>
          </w:p>
        </w:tc>
        <w:tc>
          <w:tcPr>
            <w:tcW w:w="100" w:type="dxa"/>
            <w:vAlign w:val="bottom"/>
            <w:shd w:val="clear" w:color="auto" w:fill="D0EBF2"/>
          </w:tcPr>
          <w:p>
            <w:pPr>
              <w:spacing w:after="0"/>
              <w:rPr>
                <w:sz w:val="14"/>
                <w:szCs w:val="14"/>
                <w:color w:val="auto"/>
              </w:rPr>
            </w:pPr>
          </w:p>
        </w:tc>
        <w:tc>
          <w:tcPr>
            <w:tcW w:w="20" w:type="dxa"/>
            <w:vAlign w:val="bottom"/>
            <w:shd w:val="clear" w:color="auto" w:fill="D0EBF2"/>
          </w:tcPr>
          <w:p>
            <w:pPr>
              <w:spacing w:after="0"/>
              <w:rPr>
                <w:sz w:val="14"/>
                <w:szCs w:val="14"/>
                <w:color w:val="auto"/>
              </w:rPr>
            </w:pPr>
          </w:p>
        </w:tc>
        <w:tc>
          <w:tcPr>
            <w:tcW w:w="80" w:type="dxa"/>
            <w:vAlign w:val="bottom"/>
            <w:shd w:val="clear" w:color="auto" w:fill="D0EBF2"/>
          </w:tcPr>
          <w:p>
            <w:pPr>
              <w:spacing w:after="0"/>
              <w:rPr>
                <w:sz w:val="14"/>
                <w:szCs w:val="14"/>
                <w:color w:val="auto"/>
              </w:rPr>
            </w:pPr>
          </w:p>
        </w:tc>
        <w:tc>
          <w:tcPr>
            <w:tcW w:w="20" w:type="dxa"/>
            <w:vAlign w:val="bottom"/>
            <w:shd w:val="clear" w:color="auto" w:fill="D0EBF2"/>
          </w:tcPr>
          <w:p>
            <w:pPr>
              <w:spacing w:after="0"/>
              <w:rPr>
                <w:sz w:val="14"/>
                <w:szCs w:val="14"/>
                <w:color w:val="auto"/>
              </w:rPr>
            </w:pPr>
          </w:p>
        </w:tc>
        <w:tc>
          <w:tcPr>
            <w:tcW w:w="20" w:type="dxa"/>
            <w:vAlign w:val="bottom"/>
            <w:shd w:val="clear" w:color="auto" w:fill="D0EBF2"/>
          </w:tcPr>
          <w:p>
            <w:pPr>
              <w:spacing w:after="0"/>
              <w:rPr>
                <w:sz w:val="14"/>
                <w:szCs w:val="14"/>
                <w:color w:val="auto"/>
              </w:rPr>
            </w:pPr>
          </w:p>
        </w:tc>
        <w:tc>
          <w:tcPr>
            <w:tcW w:w="60" w:type="dxa"/>
            <w:vAlign w:val="bottom"/>
            <w:shd w:val="clear" w:color="auto" w:fill="D0EBF2"/>
          </w:tcPr>
          <w:p>
            <w:pPr>
              <w:spacing w:after="0"/>
              <w:rPr>
                <w:sz w:val="14"/>
                <w:szCs w:val="14"/>
                <w:color w:val="auto"/>
              </w:rPr>
            </w:pPr>
          </w:p>
        </w:tc>
        <w:tc>
          <w:tcPr>
            <w:tcW w:w="480" w:type="dxa"/>
            <w:vAlign w:val="bottom"/>
            <w:shd w:val="clear" w:color="auto" w:fill="D0EBF2"/>
          </w:tcPr>
          <w:p>
            <w:pPr>
              <w:spacing w:after="0"/>
              <w:rPr>
                <w:sz w:val="14"/>
                <w:szCs w:val="14"/>
                <w:color w:val="auto"/>
              </w:rPr>
            </w:pPr>
          </w:p>
        </w:tc>
        <w:tc>
          <w:tcPr>
            <w:tcW w:w="100" w:type="dxa"/>
            <w:vAlign w:val="bottom"/>
            <w:shd w:val="clear" w:color="auto" w:fill="D0EBF2"/>
          </w:tcPr>
          <w:p>
            <w:pPr>
              <w:spacing w:after="0"/>
              <w:rPr>
                <w:sz w:val="14"/>
                <w:szCs w:val="14"/>
                <w:color w:val="auto"/>
              </w:rPr>
            </w:pPr>
          </w:p>
        </w:tc>
        <w:tc>
          <w:tcPr>
            <w:tcW w:w="20" w:type="dxa"/>
            <w:vAlign w:val="bottom"/>
            <w:shd w:val="clear" w:color="auto" w:fill="D0EBF2"/>
          </w:tcPr>
          <w:p>
            <w:pPr>
              <w:spacing w:after="0"/>
              <w:rPr>
                <w:sz w:val="14"/>
                <w:szCs w:val="14"/>
                <w:color w:val="auto"/>
              </w:rPr>
            </w:pPr>
          </w:p>
        </w:tc>
        <w:tc>
          <w:tcPr>
            <w:tcW w:w="20" w:type="dxa"/>
            <w:vAlign w:val="bottom"/>
            <w:shd w:val="clear" w:color="auto" w:fill="D0EBF2"/>
          </w:tcPr>
          <w:p>
            <w:pPr>
              <w:spacing w:after="0"/>
              <w:rPr>
                <w:sz w:val="14"/>
                <w:szCs w:val="14"/>
                <w:color w:val="auto"/>
              </w:rPr>
            </w:pPr>
          </w:p>
        </w:tc>
        <w:tc>
          <w:tcPr>
            <w:tcW w:w="60" w:type="dxa"/>
            <w:vAlign w:val="bottom"/>
            <w:shd w:val="clear" w:color="auto" w:fill="D0EBF2"/>
          </w:tcPr>
          <w:p>
            <w:pPr>
              <w:spacing w:after="0"/>
              <w:rPr>
                <w:sz w:val="14"/>
                <w:szCs w:val="14"/>
                <w:color w:val="auto"/>
              </w:rPr>
            </w:pPr>
          </w:p>
        </w:tc>
        <w:tc>
          <w:tcPr>
            <w:tcW w:w="140" w:type="dxa"/>
            <w:vAlign w:val="bottom"/>
            <w:shd w:val="clear" w:color="auto" w:fill="D0EBF2"/>
          </w:tcPr>
          <w:p>
            <w:pPr>
              <w:spacing w:after="0"/>
              <w:rPr>
                <w:sz w:val="14"/>
                <w:szCs w:val="14"/>
                <w:color w:val="auto"/>
              </w:rPr>
            </w:pPr>
          </w:p>
        </w:tc>
        <w:tc>
          <w:tcPr>
            <w:tcW w:w="900" w:type="dxa"/>
            <w:vAlign w:val="bottom"/>
            <w:shd w:val="clear" w:color="auto" w:fill="D0EBF2"/>
          </w:tcPr>
          <w:p>
            <w:pPr>
              <w:spacing w:after="0"/>
              <w:rPr>
                <w:sz w:val="14"/>
                <w:szCs w:val="14"/>
                <w:color w:val="auto"/>
              </w:rPr>
            </w:pPr>
          </w:p>
        </w:tc>
        <w:tc>
          <w:tcPr>
            <w:tcW w:w="100" w:type="dxa"/>
            <w:vAlign w:val="bottom"/>
            <w:shd w:val="clear" w:color="auto" w:fill="D0EBF2"/>
          </w:tcPr>
          <w:p>
            <w:pPr>
              <w:spacing w:after="0"/>
              <w:rPr>
                <w:sz w:val="14"/>
                <w:szCs w:val="14"/>
                <w:color w:val="auto"/>
              </w:rPr>
            </w:pPr>
          </w:p>
        </w:tc>
        <w:tc>
          <w:tcPr>
            <w:tcW w:w="20" w:type="dxa"/>
            <w:vAlign w:val="bottom"/>
            <w:shd w:val="clear" w:color="auto" w:fill="D0EBF2"/>
          </w:tcPr>
          <w:p>
            <w:pPr>
              <w:spacing w:after="0"/>
              <w:rPr>
                <w:sz w:val="14"/>
                <w:szCs w:val="14"/>
                <w:color w:val="auto"/>
              </w:rPr>
            </w:pPr>
          </w:p>
        </w:tc>
        <w:tc>
          <w:tcPr>
            <w:tcW w:w="80" w:type="dxa"/>
            <w:vAlign w:val="bottom"/>
            <w:shd w:val="clear" w:color="auto" w:fill="D0EBF2"/>
          </w:tcPr>
          <w:p>
            <w:pPr>
              <w:spacing w:after="0"/>
              <w:rPr>
                <w:sz w:val="14"/>
                <w:szCs w:val="14"/>
                <w:color w:val="auto"/>
              </w:rPr>
            </w:pPr>
          </w:p>
        </w:tc>
        <w:tc>
          <w:tcPr>
            <w:tcW w:w="20" w:type="dxa"/>
            <w:vAlign w:val="bottom"/>
            <w:shd w:val="clear" w:color="auto" w:fill="D0EBF2"/>
          </w:tcPr>
          <w:p>
            <w:pPr>
              <w:spacing w:after="0"/>
              <w:rPr>
                <w:sz w:val="14"/>
                <w:szCs w:val="14"/>
                <w:color w:val="auto"/>
              </w:rPr>
            </w:pPr>
          </w:p>
        </w:tc>
        <w:tc>
          <w:tcPr>
            <w:tcW w:w="20" w:type="dxa"/>
            <w:vAlign w:val="bottom"/>
            <w:shd w:val="clear" w:color="auto" w:fill="D0EBF2"/>
          </w:tcPr>
          <w:p>
            <w:pPr>
              <w:spacing w:after="0"/>
              <w:rPr>
                <w:sz w:val="14"/>
                <w:szCs w:val="14"/>
                <w:color w:val="auto"/>
              </w:rPr>
            </w:pPr>
          </w:p>
        </w:tc>
        <w:tc>
          <w:tcPr>
            <w:tcW w:w="60" w:type="dxa"/>
            <w:vAlign w:val="bottom"/>
            <w:shd w:val="clear" w:color="auto" w:fill="D0EBF2"/>
          </w:tcPr>
          <w:p>
            <w:pPr>
              <w:spacing w:after="0"/>
              <w:rPr>
                <w:sz w:val="14"/>
                <w:szCs w:val="14"/>
                <w:color w:val="auto"/>
              </w:rPr>
            </w:pPr>
          </w:p>
        </w:tc>
        <w:tc>
          <w:tcPr>
            <w:tcW w:w="720" w:type="dxa"/>
            <w:vAlign w:val="bottom"/>
            <w:shd w:val="clear" w:color="auto" w:fill="D0EBF2"/>
          </w:tcPr>
          <w:p>
            <w:pPr>
              <w:spacing w:after="0"/>
              <w:rPr>
                <w:sz w:val="14"/>
                <w:szCs w:val="14"/>
                <w:color w:val="auto"/>
              </w:rPr>
            </w:pPr>
          </w:p>
        </w:tc>
        <w:tc>
          <w:tcPr>
            <w:tcW w:w="100" w:type="dxa"/>
            <w:vAlign w:val="bottom"/>
            <w:shd w:val="clear" w:color="auto" w:fill="D0EBF2"/>
          </w:tcPr>
          <w:p>
            <w:pPr>
              <w:spacing w:after="0"/>
              <w:rPr>
                <w:sz w:val="14"/>
                <w:szCs w:val="14"/>
                <w:color w:val="auto"/>
              </w:rPr>
            </w:pPr>
          </w:p>
        </w:tc>
        <w:tc>
          <w:tcPr>
            <w:tcW w:w="20" w:type="dxa"/>
            <w:vAlign w:val="bottom"/>
            <w:shd w:val="clear" w:color="auto" w:fill="D0EBF2"/>
          </w:tcPr>
          <w:p>
            <w:pPr>
              <w:spacing w:after="0"/>
              <w:rPr>
                <w:sz w:val="14"/>
                <w:szCs w:val="14"/>
                <w:color w:val="auto"/>
              </w:rPr>
            </w:pPr>
          </w:p>
        </w:tc>
        <w:tc>
          <w:tcPr>
            <w:tcW w:w="80" w:type="dxa"/>
            <w:vAlign w:val="bottom"/>
            <w:shd w:val="clear" w:color="auto" w:fill="D0EBF2"/>
          </w:tcPr>
          <w:p>
            <w:pPr>
              <w:spacing w:after="0"/>
              <w:rPr>
                <w:sz w:val="14"/>
                <w:szCs w:val="14"/>
                <w:color w:val="auto"/>
              </w:rPr>
            </w:pPr>
          </w:p>
        </w:tc>
        <w:tc>
          <w:tcPr>
            <w:tcW w:w="20" w:type="dxa"/>
            <w:vAlign w:val="bottom"/>
            <w:shd w:val="clear" w:color="auto" w:fill="D0EBF2"/>
          </w:tcPr>
          <w:p>
            <w:pPr>
              <w:spacing w:after="0"/>
              <w:rPr>
                <w:sz w:val="14"/>
                <w:szCs w:val="14"/>
                <w:color w:val="auto"/>
              </w:rPr>
            </w:pPr>
          </w:p>
        </w:tc>
        <w:tc>
          <w:tcPr>
            <w:tcW w:w="20" w:type="dxa"/>
            <w:vAlign w:val="bottom"/>
            <w:shd w:val="clear" w:color="auto" w:fill="D0EBF2"/>
          </w:tcPr>
          <w:p>
            <w:pPr>
              <w:spacing w:after="0"/>
              <w:rPr>
                <w:sz w:val="14"/>
                <w:szCs w:val="14"/>
                <w:color w:val="auto"/>
              </w:rPr>
            </w:pPr>
          </w:p>
        </w:tc>
        <w:tc>
          <w:tcPr>
            <w:tcW w:w="40" w:type="dxa"/>
            <w:vAlign w:val="bottom"/>
            <w:shd w:val="clear" w:color="auto" w:fill="D0EBF2"/>
          </w:tcPr>
          <w:p>
            <w:pPr>
              <w:spacing w:after="0"/>
              <w:rPr>
                <w:sz w:val="14"/>
                <w:szCs w:val="14"/>
                <w:color w:val="auto"/>
              </w:rPr>
            </w:pPr>
          </w:p>
        </w:tc>
        <w:tc>
          <w:tcPr>
            <w:tcW w:w="720" w:type="dxa"/>
            <w:vAlign w:val="bottom"/>
            <w:shd w:val="clear" w:color="auto" w:fill="D0EBF2"/>
          </w:tcPr>
          <w:p>
            <w:pPr>
              <w:spacing w:after="0"/>
              <w:rPr>
                <w:sz w:val="14"/>
                <w:szCs w:val="14"/>
                <w:color w:val="auto"/>
              </w:rPr>
            </w:pPr>
          </w:p>
        </w:tc>
        <w:tc>
          <w:tcPr>
            <w:tcW w:w="100" w:type="dxa"/>
            <w:vAlign w:val="bottom"/>
            <w:shd w:val="clear" w:color="auto" w:fill="D0EBF2"/>
          </w:tcPr>
          <w:p>
            <w:pPr>
              <w:spacing w:after="0"/>
              <w:rPr>
                <w:sz w:val="14"/>
                <w:szCs w:val="14"/>
                <w:color w:val="auto"/>
              </w:rPr>
            </w:pPr>
          </w:p>
        </w:tc>
        <w:tc>
          <w:tcPr>
            <w:tcW w:w="0" w:type="dxa"/>
            <w:vAlign w:val="bottom"/>
          </w:tcPr>
          <w:p>
            <w:pPr>
              <w:spacing w:after="0"/>
              <w:rPr>
                <w:sz w:val="1"/>
                <w:szCs w:val="1"/>
                <w:color w:val="auto"/>
              </w:rPr>
            </w:pPr>
          </w:p>
        </w:tc>
      </w:tr>
      <w:tr>
        <w:trPr>
          <w:trHeight w:val="197"/>
        </w:trPr>
        <w:tc>
          <w:tcPr>
            <w:tcW w:w="3620" w:type="dxa"/>
            <w:vAlign w:val="bottom"/>
            <w:gridSpan w:val="2"/>
            <w:shd w:val="clear" w:color="auto" w:fill="D0EBF2"/>
          </w:tcPr>
          <w:p>
            <w:pPr>
              <w:ind w:left="100"/>
              <w:spacing w:after="0" w:line="177" w:lineRule="exact"/>
              <w:rPr>
                <w:sz w:val="20"/>
                <w:szCs w:val="20"/>
                <w:color w:val="auto"/>
              </w:rPr>
            </w:pPr>
            <w:r>
              <w:rPr>
                <w:rFonts w:ascii="Times New Roman" w:cs="Times New Roman" w:eastAsia="Times New Roman" w:hAnsi="Times New Roman"/>
                <w:sz w:val="14"/>
                <w:szCs w:val="14"/>
                <w:color w:val="231F20"/>
              </w:rPr>
              <w:t xml:space="preserve">with GAAP </w:t>
            </w:r>
            <w:r>
              <w:rPr>
                <w:rFonts w:ascii="Times New Roman" w:cs="Times New Roman" w:eastAsia="Times New Roman" w:hAnsi="Times New Roman"/>
                <w:sz w:val="18"/>
                <w:szCs w:val="18"/>
                <w:color w:val="231F20"/>
                <w:vertAlign w:val="superscript"/>
              </w:rPr>
              <w:t>(1)</w:t>
            </w:r>
          </w:p>
        </w:tc>
        <w:tc>
          <w:tcPr>
            <w:tcW w:w="860" w:type="dxa"/>
            <w:vAlign w:val="bottom"/>
            <w:shd w:val="clear" w:color="auto" w:fill="D0EBF2"/>
          </w:tcPr>
          <w:p>
            <w:pPr>
              <w:jc w:val="right"/>
              <w:spacing w:after="0"/>
              <w:rPr>
                <w:sz w:val="20"/>
                <w:szCs w:val="20"/>
                <w:color w:val="auto"/>
              </w:rPr>
            </w:pPr>
            <w:r>
              <w:rPr>
                <w:rFonts w:ascii="Times New Roman" w:cs="Times New Roman" w:eastAsia="Times New Roman" w:hAnsi="Times New Roman"/>
                <w:sz w:val="14"/>
                <w:szCs w:val="14"/>
                <w:color w:val="231F20"/>
              </w:rPr>
              <w:t>—</w:t>
            </w:r>
          </w:p>
        </w:tc>
        <w:tc>
          <w:tcPr>
            <w:tcW w:w="100" w:type="dxa"/>
            <w:vAlign w:val="bottom"/>
            <w:shd w:val="clear" w:color="auto" w:fill="D0EBF2"/>
          </w:tcPr>
          <w:p>
            <w:pPr>
              <w:spacing w:after="0"/>
              <w:rPr>
                <w:sz w:val="17"/>
                <w:szCs w:val="17"/>
                <w:color w:val="auto"/>
              </w:rPr>
            </w:pPr>
          </w:p>
        </w:tc>
        <w:tc>
          <w:tcPr>
            <w:tcW w:w="100" w:type="dxa"/>
            <w:vAlign w:val="bottom"/>
            <w:shd w:val="clear" w:color="auto" w:fill="D0EBF2"/>
          </w:tcPr>
          <w:p>
            <w:pPr>
              <w:spacing w:after="0"/>
              <w:rPr>
                <w:sz w:val="17"/>
                <w:szCs w:val="17"/>
                <w:color w:val="auto"/>
              </w:rPr>
            </w:pPr>
          </w:p>
        </w:tc>
        <w:tc>
          <w:tcPr>
            <w:tcW w:w="20" w:type="dxa"/>
            <w:vAlign w:val="bottom"/>
            <w:shd w:val="clear" w:color="auto" w:fill="D0EBF2"/>
          </w:tcPr>
          <w:p>
            <w:pPr>
              <w:spacing w:after="0"/>
              <w:rPr>
                <w:sz w:val="17"/>
                <w:szCs w:val="17"/>
                <w:color w:val="auto"/>
              </w:rPr>
            </w:pPr>
          </w:p>
        </w:tc>
        <w:tc>
          <w:tcPr>
            <w:tcW w:w="20" w:type="dxa"/>
            <w:vAlign w:val="bottom"/>
            <w:shd w:val="clear" w:color="auto" w:fill="D0EBF2"/>
          </w:tcPr>
          <w:p>
            <w:pPr>
              <w:spacing w:after="0"/>
              <w:rPr>
                <w:sz w:val="17"/>
                <w:szCs w:val="17"/>
                <w:color w:val="auto"/>
              </w:rPr>
            </w:pPr>
          </w:p>
        </w:tc>
        <w:tc>
          <w:tcPr>
            <w:tcW w:w="60" w:type="dxa"/>
            <w:vAlign w:val="bottom"/>
            <w:shd w:val="clear" w:color="auto" w:fill="D0EBF2"/>
          </w:tcPr>
          <w:p>
            <w:pPr>
              <w:spacing w:after="0"/>
              <w:rPr>
                <w:sz w:val="17"/>
                <w:szCs w:val="17"/>
                <w:color w:val="auto"/>
              </w:rPr>
            </w:pPr>
          </w:p>
        </w:tc>
        <w:tc>
          <w:tcPr>
            <w:tcW w:w="420" w:type="dxa"/>
            <w:vAlign w:val="bottom"/>
            <w:shd w:val="clear" w:color="auto" w:fill="D0EBF2"/>
          </w:tcPr>
          <w:p>
            <w:pPr>
              <w:jc w:val="right"/>
              <w:spacing w:after="0"/>
              <w:rPr>
                <w:sz w:val="20"/>
                <w:szCs w:val="20"/>
                <w:color w:val="auto"/>
              </w:rPr>
            </w:pPr>
            <w:r>
              <w:rPr>
                <w:rFonts w:ascii="Times New Roman" w:cs="Times New Roman" w:eastAsia="Times New Roman" w:hAnsi="Times New Roman"/>
                <w:sz w:val="14"/>
                <w:szCs w:val="14"/>
                <w:color w:val="231F20"/>
              </w:rPr>
              <w:t>—</w:t>
            </w:r>
          </w:p>
        </w:tc>
        <w:tc>
          <w:tcPr>
            <w:tcW w:w="100" w:type="dxa"/>
            <w:vAlign w:val="bottom"/>
            <w:shd w:val="clear" w:color="auto" w:fill="D0EBF2"/>
          </w:tcPr>
          <w:p>
            <w:pPr>
              <w:spacing w:after="0"/>
              <w:rPr>
                <w:sz w:val="17"/>
                <w:szCs w:val="17"/>
                <w:color w:val="auto"/>
              </w:rPr>
            </w:pPr>
          </w:p>
        </w:tc>
        <w:tc>
          <w:tcPr>
            <w:tcW w:w="20" w:type="dxa"/>
            <w:vAlign w:val="bottom"/>
            <w:shd w:val="clear" w:color="auto" w:fill="D0EBF2"/>
          </w:tcPr>
          <w:p>
            <w:pPr>
              <w:spacing w:after="0"/>
              <w:rPr>
                <w:sz w:val="17"/>
                <w:szCs w:val="17"/>
                <w:color w:val="auto"/>
              </w:rPr>
            </w:pPr>
          </w:p>
        </w:tc>
        <w:tc>
          <w:tcPr>
            <w:tcW w:w="80" w:type="dxa"/>
            <w:vAlign w:val="bottom"/>
            <w:shd w:val="clear" w:color="auto" w:fill="D0EBF2"/>
          </w:tcPr>
          <w:p>
            <w:pPr>
              <w:spacing w:after="0"/>
              <w:rPr>
                <w:sz w:val="17"/>
                <w:szCs w:val="17"/>
                <w:color w:val="auto"/>
              </w:rPr>
            </w:pPr>
          </w:p>
        </w:tc>
        <w:tc>
          <w:tcPr>
            <w:tcW w:w="20" w:type="dxa"/>
            <w:vAlign w:val="bottom"/>
            <w:shd w:val="clear" w:color="auto" w:fill="D0EBF2"/>
          </w:tcPr>
          <w:p>
            <w:pPr>
              <w:spacing w:after="0"/>
              <w:rPr>
                <w:sz w:val="17"/>
                <w:szCs w:val="17"/>
                <w:color w:val="auto"/>
              </w:rPr>
            </w:pPr>
          </w:p>
        </w:tc>
        <w:tc>
          <w:tcPr>
            <w:tcW w:w="20" w:type="dxa"/>
            <w:vAlign w:val="bottom"/>
            <w:shd w:val="clear" w:color="auto" w:fill="D0EBF2"/>
          </w:tcPr>
          <w:p>
            <w:pPr>
              <w:spacing w:after="0"/>
              <w:rPr>
                <w:sz w:val="17"/>
                <w:szCs w:val="17"/>
                <w:color w:val="auto"/>
              </w:rPr>
            </w:pPr>
          </w:p>
        </w:tc>
        <w:tc>
          <w:tcPr>
            <w:tcW w:w="660" w:type="dxa"/>
            <w:vAlign w:val="bottom"/>
            <w:shd w:val="clear" w:color="auto" w:fill="D0EBF2"/>
          </w:tcPr>
          <w:p>
            <w:pPr>
              <w:jc w:val="right"/>
              <w:spacing w:after="0"/>
              <w:rPr>
                <w:sz w:val="20"/>
                <w:szCs w:val="20"/>
                <w:color w:val="auto"/>
              </w:rPr>
            </w:pPr>
            <w:r>
              <w:rPr>
                <w:rFonts w:ascii="Times New Roman" w:cs="Times New Roman" w:eastAsia="Times New Roman" w:hAnsi="Times New Roman"/>
                <w:sz w:val="14"/>
                <w:szCs w:val="14"/>
                <w:color w:val="231F20"/>
              </w:rPr>
              <w:t>—</w:t>
            </w:r>
          </w:p>
        </w:tc>
        <w:tc>
          <w:tcPr>
            <w:tcW w:w="100" w:type="dxa"/>
            <w:vAlign w:val="bottom"/>
            <w:shd w:val="clear" w:color="auto" w:fill="D0EBF2"/>
          </w:tcPr>
          <w:p>
            <w:pPr>
              <w:spacing w:after="0"/>
              <w:rPr>
                <w:sz w:val="17"/>
                <w:szCs w:val="17"/>
                <w:color w:val="auto"/>
              </w:rPr>
            </w:pPr>
          </w:p>
        </w:tc>
        <w:tc>
          <w:tcPr>
            <w:tcW w:w="20" w:type="dxa"/>
            <w:vAlign w:val="bottom"/>
            <w:shd w:val="clear" w:color="auto" w:fill="D0EBF2"/>
          </w:tcPr>
          <w:p>
            <w:pPr>
              <w:spacing w:after="0"/>
              <w:rPr>
                <w:sz w:val="17"/>
                <w:szCs w:val="17"/>
                <w:color w:val="auto"/>
              </w:rPr>
            </w:pPr>
          </w:p>
        </w:tc>
        <w:tc>
          <w:tcPr>
            <w:tcW w:w="80" w:type="dxa"/>
            <w:vAlign w:val="bottom"/>
            <w:shd w:val="clear" w:color="auto" w:fill="D0EBF2"/>
          </w:tcPr>
          <w:p>
            <w:pPr>
              <w:spacing w:after="0"/>
              <w:rPr>
                <w:sz w:val="17"/>
                <w:szCs w:val="17"/>
                <w:color w:val="auto"/>
              </w:rPr>
            </w:pPr>
          </w:p>
        </w:tc>
        <w:tc>
          <w:tcPr>
            <w:tcW w:w="20" w:type="dxa"/>
            <w:vAlign w:val="bottom"/>
            <w:shd w:val="clear" w:color="auto" w:fill="D0EBF2"/>
          </w:tcPr>
          <w:p>
            <w:pPr>
              <w:spacing w:after="0"/>
              <w:rPr>
                <w:sz w:val="17"/>
                <w:szCs w:val="17"/>
                <w:color w:val="auto"/>
              </w:rPr>
            </w:pPr>
          </w:p>
        </w:tc>
        <w:tc>
          <w:tcPr>
            <w:tcW w:w="20" w:type="dxa"/>
            <w:vAlign w:val="bottom"/>
            <w:shd w:val="clear" w:color="auto" w:fill="D0EBF2"/>
          </w:tcPr>
          <w:p>
            <w:pPr>
              <w:spacing w:after="0"/>
              <w:rPr>
                <w:sz w:val="17"/>
                <w:szCs w:val="17"/>
                <w:color w:val="auto"/>
              </w:rPr>
            </w:pPr>
          </w:p>
        </w:tc>
        <w:tc>
          <w:tcPr>
            <w:tcW w:w="60" w:type="dxa"/>
            <w:vAlign w:val="bottom"/>
            <w:shd w:val="clear" w:color="auto" w:fill="D0EBF2"/>
          </w:tcPr>
          <w:p>
            <w:pPr>
              <w:spacing w:after="0"/>
              <w:rPr>
                <w:sz w:val="17"/>
                <w:szCs w:val="17"/>
                <w:color w:val="auto"/>
              </w:rPr>
            </w:pPr>
          </w:p>
        </w:tc>
        <w:tc>
          <w:tcPr>
            <w:tcW w:w="620" w:type="dxa"/>
            <w:vAlign w:val="bottom"/>
            <w:gridSpan w:val="4"/>
            <w:shd w:val="clear" w:color="auto" w:fill="D0EBF2"/>
          </w:tcPr>
          <w:p>
            <w:pPr>
              <w:jc w:val="right"/>
              <w:ind w:right="160"/>
              <w:spacing w:after="0"/>
              <w:rPr>
                <w:sz w:val="20"/>
                <w:szCs w:val="20"/>
                <w:color w:val="auto"/>
              </w:rPr>
            </w:pPr>
            <w:r>
              <w:rPr>
                <w:rFonts w:ascii="Times New Roman" w:cs="Times New Roman" w:eastAsia="Times New Roman" w:hAnsi="Times New Roman"/>
                <w:sz w:val="14"/>
                <w:szCs w:val="14"/>
                <w:color w:val="231F20"/>
              </w:rPr>
              <w:t>—</w:t>
            </w:r>
          </w:p>
        </w:tc>
        <w:tc>
          <w:tcPr>
            <w:tcW w:w="60" w:type="dxa"/>
            <w:vAlign w:val="bottom"/>
            <w:shd w:val="clear" w:color="auto" w:fill="D0EBF2"/>
          </w:tcPr>
          <w:p>
            <w:pPr>
              <w:spacing w:after="0"/>
              <w:rPr>
                <w:sz w:val="17"/>
                <w:szCs w:val="17"/>
                <w:color w:val="auto"/>
              </w:rPr>
            </w:pPr>
          </w:p>
        </w:tc>
        <w:tc>
          <w:tcPr>
            <w:tcW w:w="140" w:type="dxa"/>
            <w:vAlign w:val="bottom"/>
            <w:shd w:val="clear" w:color="auto" w:fill="D0EBF2"/>
          </w:tcPr>
          <w:p>
            <w:pPr>
              <w:spacing w:after="0"/>
              <w:rPr>
                <w:sz w:val="17"/>
                <w:szCs w:val="17"/>
                <w:color w:val="auto"/>
              </w:rPr>
            </w:pPr>
          </w:p>
        </w:tc>
        <w:tc>
          <w:tcPr>
            <w:tcW w:w="1000" w:type="dxa"/>
            <w:vAlign w:val="bottom"/>
            <w:gridSpan w:val="2"/>
            <w:shd w:val="clear" w:color="auto" w:fill="D0EBF2"/>
          </w:tcPr>
          <w:p>
            <w:pPr>
              <w:jc w:val="right"/>
              <w:ind w:right="60"/>
              <w:spacing w:after="0"/>
              <w:rPr>
                <w:sz w:val="20"/>
                <w:szCs w:val="20"/>
                <w:color w:val="auto"/>
              </w:rPr>
            </w:pPr>
            <w:r>
              <w:rPr>
                <w:rFonts w:ascii="Times New Roman" w:cs="Times New Roman" w:eastAsia="Times New Roman" w:hAnsi="Times New Roman"/>
                <w:sz w:val="14"/>
                <w:szCs w:val="14"/>
                <w:color w:val="231F20"/>
              </w:rPr>
              <w:t>(2,622 )</w:t>
            </w:r>
          </w:p>
        </w:tc>
        <w:tc>
          <w:tcPr>
            <w:tcW w:w="20" w:type="dxa"/>
            <w:vAlign w:val="bottom"/>
            <w:shd w:val="clear" w:color="auto" w:fill="D0EBF2"/>
          </w:tcPr>
          <w:p>
            <w:pPr>
              <w:spacing w:after="0"/>
              <w:rPr>
                <w:sz w:val="17"/>
                <w:szCs w:val="17"/>
                <w:color w:val="auto"/>
              </w:rPr>
            </w:pPr>
          </w:p>
        </w:tc>
        <w:tc>
          <w:tcPr>
            <w:tcW w:w="80" w:type="dxa"/>
            <w:vAlign w:val="bottom"/>
            <w:shd w:val="clear" w:color="auto" w:fill="D0EBF2"/>
          </w:tcPr>
          <w:p>
            <w:pPr>
              <w:spacing w:after="0"/>
              <w:rPr>
                <w:sz w:val="17"/>
                <w:szCs w:val="17"/>
                <w:color w:val="auto"/>
              </w:rPr>
            </w:pPr>
          </w:p>
        </w:tc>
        <w:tc>
          <w:tcPr>
            <w:tcW w:w="20" w:type="dxa"/>
            <w:vAlign w:val="bottom"/>
            <w:shd w:val="clear" w:color="auto" w:fill="D0EBF2"/>
          </w:tcPr>
          <w:p>
            <w:pPr>
              <w:spacing w:after="0"/>
              <w:rPr>
                <w:sz w:val="17"/>
                <w:szCs w:val="17"/>
                <w:color w:val="auto"/>
              </w:rPr>
            </w:pPr>
          </w:p>
        </w:tc>
        <w:tc>
          <w:tcPr>
            <w:tcW w:w="20" w:type="dxa"/>
            <w:vAlign w:val="bottom"/>
            <w:shd w:val="clear" w:color="auto" w:fill="D0EBF2"/>
          </w:tcPr>
          <w:p>
            <w:pPr>
              <w:spacing w:after="0"/>
              <w:rPr>
                <w:sz w:val="17"/>
                <w:szCs w:val="17"/>
                <w:color w:val="auto"/>
              </w:rPr>
            </w:pPr>
          </w:p>
        </w:tc>
        <w:tc>
          <w:tcPr>
            <w:tcW w:w="60" w:type="dxa"/>
            <w:vAlign w:val="bottom"/>
            <w:shd w:val="clear" w:color="auto" w:fill="D0EBF2"/>
          </w:tcPr>
          <w:p>
            <w:pPr>
              <w:spacing w:after="0"/>
              <w:rPr>
                <w:sz w:val="17"/>
                <w:szCs w:val="17"/>
                <w:color w:val="auto"/>
              </w:rPr>
            </w:pPr>
          </w:p>
        </w:tc>
        <w:tc>
          <w:tcPr>
            <w:tcW w:w="720" w:type="dxa"/>
            <w:vAlign w:val="bottom"/>
            <w:shd w:val="clear" w:color="auto" w:fill="D0EBF2"/>
          </w:tcPr>
          <w:p>
            <w:pPr>
              <w:jc w:val="right"/>
              <w:spacing w:after="0"/>
              <w:rPr>
                <w:sz w:val="20"/>
                <w:szCs w:val="20"/>
                <w:color w:val="auto"/>
              </w:rPr>
            </w:pPr>
            <w:r>
              <w:rPr>
                <w:rFonts w:ascii="Times New Roman" w:cs="Times New Roman" w:eastAsia="Times New Roman" w:hAnsi="Times New Roman"/>
                <w:sz w:val="14"/>
                <w:szCs w:val="14"/>
                <w:color w:val="231F20"/>
              </w:rPr>
              <w:t>2,622</w:t>
            </w:r>
          </w:p>
        </w:tc>
        <w:tc>
          <w:tcPr>
            <w:tcW w:w="100" w:type="dxa"/>
            <w:vAlign w:val="bottom"/>
            <w:shd w:val="clear" w:color="auto" w:fill="D0EBF2"/>
          </w:tcPr>
          <w:p>
            <w:pPr>
              <w:spacing w:after="0"/>
              <w:rPr>
                <w:sz w:val="17"/>
                <w:szCs w:val="17"/>
                <w:color w:val="auto"/>
              </w:rPr>
            </w:pPr>
          </w:p>
        </w:tc>
        <w:tc>
          <w:tcPr>
            <w:tcW w:w="20" w:type="dxa"/>
            <w:vAlign w:val="bottom"/>
            <w:shd w:val="clear" w:color="auto" w:fill="D0EBF2"/>
          </w:tcPr>
          <w:p>
            <w:pPr>
              <w:spacing w:after="0"/>
              <w:rPr>
                <w:sz w:val="17"/>
                <w:szCs w:val="17"/>
                <w:color w:val="auto"/>
              </w:rPr>
            </w:pPr>
          </w:p>
        </w:tc>
        <w:tc>
          <w:tcPr>
            <w:tcW w:w="80" w:type="dxa"/>
            <w:vAlign w:val="bottom"/>
            <w:shd w:val="clear" w:color="auto" w:fill="D0EBF2"/>
          </w:tcPr>
          <w:p>
            <w:pPr>
              <w:spacing w:after="0"/>
              <w:rPr>
                <w:sz w:val="17"/>
                <w:szCs w:val="17"/>
                <w:color w:val="auto"/>
              </w:rPr>
            </w:pPr>
          </w:p>
        </w:tc>
        <w:tc>
          <w:tcPr>
            <w:tcW w:w="20" w:type="dxa"/>
            <w:vAlign w:val="bottom"/>
            <w:shd w:val="clear" w:color="auto" w:fill="D0EBF2"/>
          </w:tcPr>
          <w:p>
            <w:pPr>
              <w:spacing w:after="0"/>
              <w:rPr>
                <w:sz w:val="17"/>
                <w:szCs w:val="17"/>
                <w:color w:val="auto"/>
              </w:rPr>
            </w:pPr>
          </w:p>
        </w:tc>
        <w:tc>
          <w:tcPr>
            <w:tcW w:w="20" w:type="dxa"/>
            <w:vAlign w:val="bottom"/>
            <w:shd w:val="clear" w:color="auto" w:fill="D0EBF2"/>
          </w:tcPr>
          <w:p>
            <w:pPr>
              <w:spacing w:after="0"/>
              <w:rPr>
                <w:sz w:val="17"/>
                <w:szCs w:val="17"/>
                <w:color w:val="auto"/>
              </w:rPr>
            </w:pPr>
          </w:p>
        </w:tc>
        <w:tc>
          <w:tcPr>
            <w:tcW w:w="40" w:type="dxa"/>
            <w:vAlign w:val="bottom"/>
            <w:shd w:val="clear" w:color="auto" w:fill="D0EBF2"/>
          </w:tcPr>
          <w:p>
            <w:pPr>
              <w:spacing w:after="0"/>
              <w:rPr>
                <w:sz w:val="17"/>
                <w:szCs w:val="17"/>
                <w:color w:val="auto"/>
              </w:rPr>
            </w:pPr>
          </w:p>
        </w:tc>
        <w:tc>
          <w:tcPr>
            <w:tcW w:w="820" w:type="dxa"/>
            <w:vAlign w:val="bottom"/>
            <w:gridSpan w:val="2"/>
            <w:shd w:val="clear" w:color="auto" w:fill="D0EBF2"/>
          </w:tcPr>
          <w:p>
            <w:pPr>
              <w:jc w:val="right"/>
              <w:ind w:right="140"/>
              <w:spacing w:after="0"/>
              <w:rPr>
                <w:sz w:val="20"/>
                <w:szCs w:val="20"/>
                <w:color w:val="auto"/>
              </w:rPr>
            </w:pPr>
            <w:r>
              <w:rPr>
                <w:rFonts w:ascii="Times New Roman" w:cs="Times New Roman" w:eastAsia="Times New Roman" w:hAnsi="Times New Roman"/>
                <w:sz w:val="14"/>
                <w:szCs w:val="14"/>
                <w:color w:val="231F20"/>
              </w:rPr>
              <w:t>—</w:t>
            </w:r>
          </w:p>
        </w:tc>
        <w:tc>
          <w:tcPr>
            <w:tcW w:w="0" w:type="dxa"/>
            <w:vAlign w:val="bottom"/>
          </w:tcPr>
          <w:p>
            <w:pPr>
              <w:spacing w:after="0"/>
              <w:rPr>
                <w:sz w:val="1"/>
                <w:szCs w:val="1"/>
                <w:color w:val="auto"/>
              </w:rPr>
            </w:pPr>
          </w:p>
        </w:tc>
      </w:tr>
      <w:tr>
        <w:trPr>
          <w:trHeight w:val="186"/>
        </w:trPr>
        <w:tc>
          <w:tcPr>
            <w:tcW w:w="3600" w:type="dxa"/>
            <w:vAlign w:val="bottom"/>
            <w:tcBorders>
              <w:top w:val="single" w:sz="8" w:color="D0EBF2"/>
              <w:bottom w:val="single" w:sz="8" w:color="D0EBF2"/>
            </w:tcBorders>
            <w:shd w:val="clear" w:color="auto" w:fill="FDFDFC"/>
          </w:tcPr>
          <w:p>
            <w:pPr>
              <w:spacing w:after="0" w:line="146" w:lineRule="exact"/>
              <w:rPr>
                <w:sz w:val="20"/>
                <w:szCs w:val="20"/>
                <w:color w:val="auto"/>
              </w:rPr>
            </w:pPr>
            <w:r>
              <w:rPr>
                <w:rFonts w:ascii="Times New Roman" w:cs="Times New Roman" w:eastAsia="Times New Roman" w:hAnsi="Times New Roman"/>
                <w:sz w:val="14"/>
                <w:szCs w:val="14"/>
                <w:b w:val="1"/>
                <w:bCs w:val="1"/>
                <w:color w:val="231F20"/>
              </w:rPr>
              <w:t>Balance at December 31, 2022</w:t>
            </w:r>
          </w:p>
        </w:tc>
        <w:tc>
          <w:tcPr>
            <w:tcW w:w="20" w:type="dxa"/>
            <w:vAlign w:val="bottom"/>
            <w:tcBorders>
              <w:top w:val="single" w:sz="8" w:color="231F20"/>
              <w:bottom w:val="single" w:sz="8" w:color="D0EBF2"/>
            </w:tcBorders>
            <w:shd w:val="clear" w:color="auto" w:fill="FDFDFC"/>
          </w:tcPr>
          <w:p>
            <w:pPr>
              <w:spacing w:after="0"/>
              <w:rPr>
                <w:sz w:val="16"/>
                <w:szCs w:val="16"/>
                <w:color w:val="auto"/>
              </w:rPr>
            </w:pPr>
          </w:p>
        </w:tc>
        <w:tc>
          <w:tcPr>
            <w:tcW w:w="860" w:type="dxa"/>
            <w:vAlign w:val="bottom"/>
            <w:tcBorders>
              <w:top w:val="single" w:sz="8" w:color="231F20"/>
              <w:bottom w:val="single" w:sz="8" w:color="231F20"/>
            </w:tcBorders>
            <w:shd w:val="clear" w:color="auto" w:fill="FDFDFC"/>
          </w:tcPr>
          <w:p>
            <w:pPr>
              <w:jc w:val="right"/>
              <w:spacing w:after="0" w:line="146" w:lineRule="exact"/>
              <w:rPr>
                <w:sz w:val="20"/>
                <w:szCs w:val="20"/>
                <w:color w:val="auto"/>
              </w:rPr>
            </w:pPr>
            <w:r>
              <w:rPr>
                <w:rFonts w:ascii="Times New Roman" w:cs="Times New Roman" w:eastAsia="Times New Roman" w:hAnsi="Times New Roman"/>
                <w:sz w:val="14"/>
                <w:szCs w:val="14"/>
                <w:b w:val="1"/>
                <w:bCs w:val="1"/>
                <w:color w:val="231F20"/>
              </w:rPr>
              <w:t>81,389,287</w:t>
            </w:r>
          </w:p>
        </w:tc>
        <w:tc>
          <w:tcPr>
            <w:tcW w:w="100" w:type="dxa"/>
            <w:vAlign w:val="bottom"/>
            <w:tcBorders>
              <w:top w:val="single" w:sz="8" w:color="D0EBF2"/>
              <w:bottom w:val="single" w:sz="8" w:color="D0EBF2"/>
            </w:tcBorders>
            <w:shd w:val="clear" w:color="auto" w:fill="FDFDFC"/>
          </w:tcPr>
          <w:p>
            <w:pPr>
              <w:spacing w:after="0"/>
              <w:rPr>
                <w:sz w:val="16"/>
                <w:szCs w:val="16"/>
                <w:color w:val="auto"/>
              </w:rPr>
            </w:pPr>
          </w:p>
        </w:tc>
        <w:tc>
          <w:tcPr>
            <w:tcW w:w="100" w:type="dxa"/>
            <w:vAlign w:val="bottom"/>
            <w:tcBorders>
              <w:top w:val="single" w:sz="8" w:color="D0EBF2"/>
              <w:bottom w:val="single" w:sz="8" w:color="D0EBF2"/>
            </w:tcBorders>
            <w:shd w:val="clear" w:color="auto" w:fill="FDFDFC"/>
          </w:tcPr>
          <w:p>
            <w:pPr>
              <w:spacing w:after="0"/>
              <w:rPr>
                <w:sz w:val="16"/>
                <w:szCs w:val="16"/>
                <w:color w:val="auto"/>
              </w:rPr>
            </w:pPr>
          </w:p>
        </w:tc>
        <w:tc>
          <w:tcPr>
            <w:tcW w:w="20" w:type="dxa"/>
            <w:vAlign w:val="bottom"/>
            <w:tcBorders>
              <w:top w:val="single" w:sz="8" w:color="231F20"/>
              <w:bottom w:val="single" w:sz="8" w:color="D0EBF2"/>
            </w:tcBorders>
            <w:shd w:val="clear" w:color="auto" w:fill="FDFDFC"/>
          </w:tcPr>
          <w:p>
            <w:pPr>
              <w:spacing w:after="0"/>
              <w:rPr>
                <w:sz w:val="16"/>
                <w:szCs w:val="16"/>
                <w:color w:val="auto"/>
              </w:rPr>
            </w:pPr>
          </w:p>
        </w:tc>
        <w:tc>
          <w:tcPr>
            <w:tcW w:w="20" w:type="dxa"/>
            <w:vAlign w:val="bottom"/>
            <w:tcBorders>
              <w:top w:val="single" w:sz="8" w:color="231F20"/>
              <w:bottom w:val="single" w:sz="8" w:color="231F20"/>
            </w:tcBorders>
            <w:shd w:val="clear" w:color="auto" w:fill="FDFDFC"/>
          </w:tcPr>
          <w:p>
            <w:pPr>
              <w:spacing w:after="0"/>
              <w:rPr>
                <w:sz w:val="16"/>
                <w:szCs w:val="16"/>
                <w:color w:val="auto"/>
              </w:rPr>
            </w:pPr>
          </w:p>
        </w:tc>
        <w:tc>
          <w:tcPr>
            <w:tcW w:w="60" w:type="dxa"/>
            <w:vAlign w:val="bottom"/>
            <w:tcBorders>
              <w:top w:val="single" w:sz="8" w:color="231F20"/>
              <w:bottom w:val="single" w:sz="8" w:color="231F20"/>
            </w:tcBorders>
            <w:shd w:val="clear" w:color="auto" w:fill="FDFDFC"/>
          </w:tcPr>
          <w:p>
            <w:pPr>
              <w:spacing w:after="0"/>
              <w:rPr>
                <w:sz w:val="20"/>
                <w:szCs w:val="20"/>
                <w:color w:val="auto"/>
              </w:rPr>
            </w:pPr>
            <w:r>
              <w:rPr>
                <w:rFonts w:ascii="Times New Roman" w:cs="Times New Roman" w:eastAsia="Times New Roman" w:hAnsi="Times New Roman"/>
                <w:sz w:val="11"/>
                <w:szCs w:val="11"/>
                <w:b w:val="1"/>
                <w:bCs w:val="1"/>
                <w:color w:val="231F20"/>
                <w:highlight w:val="white"/>
                <w:w w:val="71"/>
              </w:rPr>
              <w:t>$</w:t>
            </w:r>
          </w:p>
        </w:tc>
        <w:tc>
          <w:tcPr>
            <w:tcW w:w="420" w:type="dxa"/>
            <w:vAlign w:val="bottom"/>
            <w:tcBorders>
              <w:top w:val="single" w:sz="8" w:color="231F20"/>
              <w:bottom w:val="single" w:sz="8" w:color="231F20"/>
            </w:tcBorders>
            <w:shd w:val="clear" w:color="auto" w:fill="FDFDFC"/>
          </w:tcPr>
          <w:p>
            <w:pPr>
              <w:jc w:val="right"/>
              <w:spacing w:after="0" w:line="146" w:lineRule="exact"/>
              <w:rPr>
                <w:sz w:val="20"/>
                <w:szCs w:val="20"/>
                <w:color w:val="auto"/>
              </w:rPr>
            </w:pPr>
            <w:r>
              <w:rPr>
                <w:rFonts w:ascii="Times New Roman" w:cs="Times New Roman" w:eastAsia="Times New Roman" w:hAnsi="Times New Roman"/>
                <w:sz w:val="14"/>
                <w:szCs w:val="14"/>
                <w:b w:val="1"/>
                <w:bCs w:val="1"/>
                <w:color w:val="231F20"/>
                <w:highlight w:val="white"/>
              </w:rPr>
              <w:t>821</w:t>
            </w:r>
          </w:p>
        </w:tc>
        <w:tc>
          <w:tcPr>
            <w:tcW w:w="100" w:type="dxa"/>
            <w:vAlign w:val="bottom"/>
            <w:tcBorders>
              <w:top w:val="single" w:sz="8" w:color="D0EBF2"/>
              <w:bottom w:val="single" w:sz="8" w:color="D0EBF2"/>
            </w:tcBorders>
            <w:shd w:val="clear" w:color="auto" w:fill="FDFDFC"/>
          </w:tcPr>
          <w:p>
            <w:pPr>
              <w:spacing w:after="0"/>
              <w:rPr>
                <w:sz w:val="16"/>
                <w:szCs w:val="16"/>
                <w:color w:val="auto"/>
              </w:rPr>
            </w:pPr>
          </w:p>
        </w:tc>
        <w:tc>
          <w:tcPr>
            <w:tcW w:w="20" w:type="dxa"/>
            <w:vAlign w:val="bottom"/>
            <w:tcBorders>
              <w:top w:val="single" w:sz="8" w:color="D0EBF2"/>
              <w:bottom w:val="single" w:sz="8" w:color="D0EBF2"/>
            </w:tcBorders>
            <w:shd w:val="clear" w:color="auto" w:fill="FDFDFC"/>
          </w:tcPr>
          <w:p>
            <w:pPr>
              <w:spacing w:after="0"/>
              <w:rPr>
                <w:sz w:val="16"/>
                <w:szCs w:val="16"/>
                <w:color w:val="auto"/>
              </w:rPr>
            </w:pPr>
          </w:p>
        </w:tc>
        <w:tc>
          <w:tcPr>
            <w:tcW w:w="80" w:type="dxa"/>
            <w:vAlign w:val="bottom"/>
            <w:tcBorders>
              <w:top w:val="single" w:sz="8" w:color="D0EBF2"/>
              <w:bottom w:val="single" w:sz="8" w:color="D0EBF2"/>
            </w:tcBorders>
            <w:shd w:val="clear" w:color="auto" w:fill="FDFDFC"/>
          </w:tcPr>
          <w:p>
            <w:pPr>
              <w:spacing w:after="0"/>
              <w:rPr>
                <w:sz w:val="16"/>
                <w:szCs w:val="16"/>
                <w:color w:val="auto"/>
              </w:rPr>
            </w:pPr>
          </w:p>
        </w:tc>
        <w:tc>
          <w:tcPr>
            <w:tcW w:w="20" w:type="dxa"/>
            <w:vAlign w:val="bottom"/>
            <w:tcBorders>
              <w:top w:val="single" w:sz="8" w:color="231F20"/>
              <w:bottom w:val="single" w:sz="8" w:color="D0EBF2"/>
            </w:tcBorders>
            <w:shd w:val="clear" w:color="auto" w:fill="FDFDFC"/>
          </w:tcPr>
          <w:p>
            <w:pPr>
              <w:spacing w:after="0"/>
              <w:rPr>
                <w:sz w:val="16"/>
                <w:szCs w:val="16"/>
                <w:color w:val="auto"/>
              </w:rPr>
            </w:pPr>
          </w:p>
        </w:tc>
        <w:tc>
          <w:tcPr>
            <w:tcW w:w="20" w:type="dxa"/>
            <w:vAlign w:val="bottom"/>
            <w:tcBorders>
              <w:top w:val="single" w:sz="8" w:color="231F20"/>
              <w:bottom w:val="single" w:sz="8" w:color="231F20"/>
            </w:tcBorders>
            <w:shd w:val="clear" w:color="auto" w:fill="FDFDFC"/>
          </w:tcPr>
          <w:p>
            <w:pPr>
              <w:spacing w:after="0"/>
              <w:rPr>
                <w:sz w:val="16"/>
                <w:szCs w:val="16"/>
                <w:color w:val="auto"/>
              </w:rPr>
            </w:pPr>
          </w:p>
        </w:tc>
        <w:tc>
          <w:tcPr>
            <w:tcW w:w="660" w:type="dxa"/>
            <w:vAlign w:val="bottom"/>
            <w:tcBorders>
              <w:top w:val="single" w:sz="8" w:color="231F20"/>
              <w:bottom w:val="single" w:sz="8" w:color="231F20"/>
            </w:tcBorders>
            <w:shd w:val="clear" w:color="auto" w:fill="FDFDFC"/>
          </w:tcPr>
          <w:p>
            <w:pPr>
              <w:jc w:val="right"/>
              <w:spacing w:after="0" w:line="146" w:lineRule="exact"/>
              <w:rPr>
                <w:sz w:val="20"/>
                <w:szCs w:val="20"/>
                <w:color w:val="auto"/>
              </w:rPr>
            </w:pPr>
            <w:r>
              <w:rPr>
                <w:rFonts w:ascii="Times New Roman" w:cs="Times New Roman" w:eastAsia="Times New Roman" w:hAnsi="Times New Roman"/>
                <w:sz w:val="14"/>
                <w:szCs w:val="14"/>
                <w:b w:val="1"/>
                <w:bCs w:val="1"/>
                <w:color w:val="231F20"/>
              </w:rPr>
              <w:t>664,250</w:t>
            </w:r>
          </w:p>
        </w:tc>
        <w:tc>
          <w:tcPr>
            <w:tcW w:w="100" w:type="dxa"/>
            <w:vAlign w:val="bottom"/>
            <w:tcBorders>
              <w:top w:val="single" w:sz="8" w:color="D0EBF2"/>
              <w:bottom w:val="single" w:sz="8" w:color="D0EBF2"/>
            </w:tcBorders>
            <w:shd w:val="clear" w:color="auto" w:fill="FDFDFC"/>
          </w:tcPr>
          <w:p>
            <w:pPr>
              <w:spacing w:after="0"/>
              <w:rPr>
                <w:sz w:val="16"/>
                <w:szCs w:val="16"/>
                <w:color w:val="auto"/>
              </w:rPr>
            </w:pPr>
          </w:p>
        </w:tc>
        <w:tc>
          <w:tcPr>
            <w:tcW w:w="100" w:type="dxa"/>
            <w:vAlign w:val="bottom"/>
            <w:tcBorders>
              <w:top w:val="single" w:sz="8" w:color="D0EBF2"/>
              <w:bottom w:val="single" w:sz="8" w:color="D0EBF2"/>
            </w:tcBorders>
            <w:gridSpan w:val="2"/>
            <w:shd w:val="clear" w:color="auto" w:fill="FDFDFC"/>
          </w:tcPr>
          <w:p>
            <w:pPr>
              <w:spacing w:after="0"/>
              <w:rPr>
                <w:sz w:val="16"/>
                <w:szCs w:val="16"/>
                <w:color w:val="auto"/>
              </w:rPr>
            </w:pPr>
          </w:p>
        </w:tc>
        <w:tc>
          <w:tcPr>
            <w:tcW w:w="20" w:type="dxa"/>
            <w:vAlign w:val="bottom"/>
            <w:tcBorders>
              <w:top w:val="single" w:sz="8" w:color="231F20"/>
              <w:bottom w:val="single" w:sz="8" w:color="D0EBF2"/>
            </w:tcBorders>
            <w:shd w:val="clear" w:color="auto" w:fill="FDFDFC"/>
          </w:tcPr>
          <w:p>
            <w:pPr>
              <w:spacing w:after="0"/>
              <w:rPr>
                <w:sz w:val="16"/>
                <w:szCs w:val="16"/>
                <w:color w:val="auto"/>
              </w:rPr>
            </w:pPr>
          </w:p>
        </w:tc>
        <w:tc>
          <w:tcPr>
            <w:tcW w:w="20" w:type="dxa"/>
            <w:vAlign w:val="bottom"/>
            <w:tcBorders>
              <w:top w:val="single" w:sz="8" w:color="231F20"/>
              <w:bottom w:val="single" w:sz="8" w:color="231F20"/>
            </w:tcBorders>
            <w:shd w:val="clear" w:color="auto" w:fill="FDFDFC"/>
          </w:tcPr>
          <w:p>
            <w:pPr>
              <w:spacing w:after="0"/>
              <w:rPr>
                <w:sz w:val="16"/>
                <w:szCs w:val="16"/>
                <w:color w:val="auto"/>
              </w:rPr>
            </w:pPr>
          </w:p>
        </w:tc>
        <w:tc>
          <w:tcPr>
            <w:tcW w:w="60" w:type="dxa"/>
            <w:vAlign w:val="bottom"/>
            <w:tcBorders>
              <w:top w:val="single" w:sz="8" w:color="231F20"/>
              <w:bottom w:val="single" w:sz="8" w:color="231F20"/>
            </w:tcBorders>
            <w:shd w:val="clear" w:color="auto" w:fill="FDFDFC"/>
          </w:tcPr>
          <w:p>
            <w:pPr>
              <w:jc w:val="right"/>
              <w:spacing w:after="0"/>
              <w:rPr>
                <w:sz w:val="20"/>
                <w:szCs w:val="20"/>
                <w:color w:val="auto"/>
              </w:rPr>
            </w:pPr>
            <w:r>
              <w:rPr>
                <w:rFonts w:ascii="Times New Roman" w:cs="Times New Roman" w:eastAsia="Times New Roman" w:hAnsi="Times New Roman"/>
                <w:sz w:val="5"/>
                <w:szCs w:val="5"/>
                <w:b w:val="1"/>
                <w:bCs w:val="1"/>
                <w:color w:val="231F20"/>
                <w:highlight w:val="white"/>
                <w:w w:val="78"/>
              </w:rPr>
              <w:t>$</w:t>
            </w:r>
          </w:p>
        </w:tc>
        <w:tc>
          <w:tcPr>
            <w:tcW w:w="480" w:type="dxa"/>
            <w:vAlign w:val="bottom"/>
            <w:tcBorders>
              <w:top w:val="single" w:sz="8" w:color="231F20"/>
              <w:bottom w:val="single" w:sz="8" w:color="231F20"/>
            </w:tcBorders>
            <w:shd w:val="clear" w:color="auto" w:fill="FDFDFC"/>
          </w:tcPr>
          <w:p>
            <w:pPr>
              <w:jc w:val="right"/>
              <w:spacing w:after="0" w:line="146" w:lineRule="exact"/>
              <w:rPr>
                <w:sz w:val="20"/>
                <w:szCs w:val="20"/>
                <w:color w:val="auto"/>
              </w:rPr>
            </w:pPr>
            <w:r>
              <w:rPr>
                <w:rFonts w:ascii="Times New Roman" w:cs="Times New Roman" w:eastAsia="Times New Roman" w:hAnsi="Times New Roman"/>
                <w:sz w:val="14"/>
                <w:szCs w:val="14"/>
                <w:b w:val="1"/>
                <w:bCs w:val="1"/>
                <w:color w:val="231F20"/>
                <w:highlight w:val="white"/>
              </w:rPr>
              <w:t>(10,459</w:t>
            </w:r>
          </w:p>
        </w:tc>
        <w:tc>
          <w:tcPr>
            <w:tcW w:w="100" w:type="dxa"/>
            <w:vAlign w:val="bottom"/>
            <w:tcBorders>
              <w:top w:val="single" w:sz="8" w:color="D0EBF2"/>
              <w:bottom w:val="single" w:sz="8" w:color="D0EBF2"/>
            </w:tcBorders>
            <w:shd w:val="clear" w:color="auto" w:fill="FDFDFC"/>
          </w:tcPr>
          <w:p>
            <w:pPr>
              <w:jc w:val="right"/>
              <w:spacing w:after="0" w:line="146" w:lineRule="exact"/>
              <w:rPr>
                <w:sz w:val="20"/>
                <w:szCs w:val="20"/>
                <w:color w:val="auto"/>
              </w:rPr>
            </w:pPr>
            <w:r>
              <w:rPr>
                <w:rFonts w:ascii="Times New Roman" w:cs="Times New Roman" w:eastAsia="Times New Roman" w:hAnsi="Times New Roman"/>
                <w:sz w:val="14"/>
                <w:szCs w:val="14"/>
                <w:b w:val="1"/>
                <w:bCs w:val="1"/>
                <w:color w:val="231F20"/>
                <w:highlight w:val="white"/>
                <w:w w:val="84"/>
              </w:rPr>
              <w:t>)</w:t>
            </w:r>
          </w:p>
        </w:tc>
        <w:tc>
          <w:tcPr>
            <w:tcW w:w="20" w:type="dxa"/>
            <w:vAlign w:val="bottom"/>
            <w:tcBorders>
              <w:top w:val="single" w:sz="8" w:color="231F20"/>
              <w:bottom w:val="single" w:sz="8" w:color="D0EBF2"/>
            </w:tcBorders>
            <w:shd w:val="clear" w:color="auto" w:fill="FDFDFC"/>
          </w:tcPr>
          <w:p>
            <w:pPr>
              <w:spacing w:after="0"/>
              <w:rPr>
                <w:sz w:val="16"/>
                <w:szCs w:val="16"/>
                <w:color w:val="auto"/>
              </w:rPr>
            </w:pPr>
          </w:p>
        </w:tc>
        <w:tc>
          <w:tcPr>
            <w:tcW w:w="20" w:type="dxa"/>
            <w:vAlign w:val="bottom"/>
            <w:tcBorders>
              <w:top w:val="single" w:sz="8" w:color="231F20"/>
              <w:bottom w:val="single" w:sz="8" w:color="231F20"/>
            </w:tcBorders>
            <w:shd w:val="clear" w:color="auto" w:fill="FDFDFC"/>
          </w:tcPr>
          <w:p>
            <w:pPr>
              <w:spacing w:after="0"/>
              <w:rPr>
                <w:sz w:val="16"/>
                <w:szCs w:val="16"/>
                <w:color w:val="auto"/>
              </w:rPr>
            </w:pPr>
          </w:p>
        </w:tc>
        <w:tc>
          <w:tcPr>
            <w:tcW w:w="200" w:type="dxa"/>
            <w:vAlign w:val="bottom"/>
            <w:tcBorders>
              <w:top w:val="single" w:sz="8" w:color="231F20"/>
              <w:bottom w:val="single" w:sz="8" w:color="231F20"/>
            </w:tcBorders>
            <w:gridSpan w:val="2"/>
            <w:shd w:val="clear" w:color="auto" w:fill="FDFDFC"/>
          </w:tcPr>
          <w:p>
            <w:pPr>
              <w:jc w:val="right"/>
              <w:spacing w:after="0" w:line="146" w:lineRule="exact"/>
              <w:rPr>
                <w:sz w:val="20"/>
                <w:szCs w:val="20"/>
                <w:color w:val="auto"/>
              </w:rPr>
            </w:pPr>
            <w:r>
              <w:rPr>
                <w:rFonts w:ascii="Times New Roman" w:cs="Times New Roman" w:eastAsia="Times New Roman" w:hAnsi="Times New Roman"/>
                <w:sz w:val="14"/>
                <w:szCs w:val="14"/>
                <w:b w:val="1"/>
                <w:bCs w:val="1"/>
                <w:color w:val="231F20"/>
              </w:rPr>
              <w:t>$</w:t>
            </w:r>
          </w:p>
        </w:tc>
        <w:tc>
          <w:tcPr>
            <w:tcW w:w="900" w:type="dxa"/>
            <w:vAlign w:val="bottom"/>
            <w:tcBorders>
              <w:top w:val="single" w:sz="8" w:color="231F20"/>
              <w:bottom w:val="single" w:sz="8" w:color="231F20"/>
            </w:tcBorders>
            <w:shd w:val="clear" w:color="auto" w:fill="FDFDFC"/>
          </w:tcPr>
          <w:p>
            <w:pPr>
              <w:jc w:val="right"/>
              <w:spacing w:after="0" w:line="146" w:lineRule="exact"/>
              <w:rPr>
                <w:sz w:val="20"/>
                <w:szCs w:val="20"/>
                <w:color w:val="auto"/>
              </w:rPr>
            </w:pPr>
            <w:r>
              <w:rPr>
                <w:rFonts w:ascii="Times New Roman" w:cs="Times New Roman" w:eastAsia="Times New Roman" w:hAnsi="Times New Roman"/>
                <w:sz w:val="14"/>
                <w:szCs w:val="14"/>
                <w:b w:val="1"/>
                <w:bCs w:val="1"/>
                <w:color w:val="231F20"/>
              </w:rPr>
              <w:t>1,294,751</w:t>
            </w:r>
          </w:p>
        </w:tc>
        <w:tc>
          <w:tcPr>
            <w:tcW w:w="100" w:type="dxa"/>
            <w:vAlign w:val="bottom"/>
            <w:tcBorders>
              <w:top w:val="single" w:sz="8" w:color="D0EBF2"/>
              <w:bottom w:val="single" w:sz="8" w:color="D0EBF2"/>
            </w:tcBorders>
            <w:shd w:val="clear" w:color="auto" w:fill="FDFDFC"/>
          </w:tcPr>
          <w:p>
            <w:pPr>
              <w:spacing w:after="0"/>
              <w:rPr>
                <w:sz w:val="16"/>
                <w:szCs w:val="16"/>
                <w:color w:val="auto"/>
              </w:rPr>
            </w:pPr>
          </w:p>
        </w:tc>
        <w:tc>
          <w:tcPr>
            <w:tcW w:w="20" w:type="dxa"/>
            <w:vAlign w:val="bottom"/>
            <w:tcBorders>
              <w:top w:val="single" w:sz="8" w:color="D0EBF2"/>
              <w:bottom w:val="single" w:sz="8" w:color="D0EBF2"/>
            </w:tcBorders>
            <w:shd w:val="clear" w:color="auto" w:fill="FDFDFC"/>
          </w:tcPr>
          <w:p>
            <w:pPr>
              <w:spacing w:after="0"/>
              <w:rPr>
                <w:sz w:val="16"/>
                <w:szCs w:val="16"/>
                <w:color w:val="auto"/>
              </w:rPr>
            </w:pPr>
          </w:p>
        </w:tc>
        <w:tc>
          <w:tcPr>
            <w:tcW w:w="80" w:type="dxa"/>
            <w:vAlign w:val="bottom"/>
            <w:tcBorders>
              <w:top w:val="single" w:sz="8" w:color="D0EBF2"/>
              <w:bottom w:val="single" w:sz="8" w:color="D0EBF2"/>
            </w:tcBorders>
            <w:shd w:val="clear" w:color="auto" w:fill="FDFDFC"/>
          </w:tcPr>
          <w:p>
            <w:pPr>
              <w:spacing w:after="0"/>
              <w:rPr>
                <w:sz w:val="16"/>
                <w:szCs w:val="16"/>
                <w:color w:val="auto"/>
              </w:rPr>
            </w:pPr>
          </w:p>
        </w:tc>
        <w:tc>
          <w:tcPr>
            <w:tcW w:w="20" w:type="dxa"/>
            <w:vAlign w:val="bottom"/>
            <w:tcBorders>
              <w:top w:val="single" w:sz="8" w:color="231F20"/>
              <w:bottom w:val="single" w:sz="8" w:color="D0EBF2"/>
            </w:tcBorders>
            <w:shd w:val="clear" w:color="auto" w:fill="FDFDFC"/>
          </w:tcPr>
          <w:p>
            <w:pPr>
              <w:spacing w:after="0"/>
              <w:rPr>
                <w:sz w:val="16"/>
                <w:szCs w:val="16"/>
                <w:color w:val="auto"/>
              </w:rPr>
            </w:pPr>
          </w:p>
        </w:tc>
        <w:tc>
          <w:tcPr>
            <w:tcW w:w="20" w:type="dxa"/>
            <w:vAlign w:val="bottom"/>
            <w:tcBorders>
              <w:top w:val="single" w:sz="8" w:color="231F20"/>
              <w:bottom w:val="single" w:sz="8" w:color="231F20"/>
            </w:tcBorders>
            <w:shd w:val="clear" w:color="auto" w:fill="FDFDFC"/>
          </w:tcPr>
          <w:p>
            <w:pPr>
              <w:spacing w:after="0"/>
              <w:rPr>
                <w:sz w:val="16"/>
                <w:szCs w:val="16"/>
                <w:color w:val="auto"/>
              </w:rPr>
            </w:pPr>
          </w:p>
        </w:tc>
        <w:tc>
          <w:tcPr>
            <w:tcW w:w="60" w:type="dxa"/>
            <w:vAlign w:val="bottom"/>
            <w:tcBorders>
              <w:top w:val="single" w:sz="8" w:color="231F20"/>
              <w:bottom w:val="single" w:sz="8" w:color="231F20"/>
            </w:tcBorders>
            <w:shd w:val="clear" w:color="auto" w:fill="FDFDFC"/>
          </w:tcPr>
          <w:p>
            <w:pPr>
              <w:spacing w:after="0"/>
              <w:rPr>
                <w:sz w:val="20"/>
                <w:szCs w:val="20"/>
                <w:color w:val="auto"/>
              </w:rPr>
            </w:pPr>
            <w:r>
              <w:rPr>
                <w:rFonts w:ascii="Times New Roman" w:cs="Times New Roman" w:eastAsia="Times New Roman" w:hAnsi="Times New Roman"/>
                <w:sz w:val="11"/>
                <w:szCs w:val="11"/>
                <w:b w:val="1"/>
                <w:bCs w:val="1"/>
                <w:color w:val="231F20"/>
                <w:w w:val="71"/>
              </w:rPr>
              <w:t>$</w:t>
            </w:r>
          </w:p>
        </w:tc>
        <w:tc>
          <w:tcPr>
            <w:tcW w:w="720" w:type="dxa"/>
            <w:vAlign w:val="bottom"/>
            <w:tcBorders>
              <w:top w:val="single" w:sz="8" w:color="231F20"/>
              <w:bottom w:val="single" w:sz="8" w:color="231F20"/>
            </w:tcBorders>
            <w:shd w:val="clear" w:color="auto" w:fill="FDFDFC"/>
          </w:tcPr>
          <w:p>
            <w:pPr>
              <w:jc w:val="right"/>
              <w:spacing w:after="0" w:line="146" w:lineRule="exact"/>
              <w:rPr>
                <w:sz w:val="20"/>
                <w:szCs w:val="20"/>
                <w:color w:val="auto"/>
              </w:rPr>
            </w:pPr>
            <w:r>
              <w:rPr>
                <w:rFonts w:ascii="Times New Roman" w:cs="Times New Roman" w:eastAsia="Times New Roman" w:hAnsi="Times New Roman"/>
                <w:sz w:val="14"/>
                <w:szCs w:val="14"/>
                <w:b w:val="1"/>
                <w:bCs w:val="1"/>
                <w:color w:val="231F20"/>
              </w:rPr>
              <w:t>56,456</w:t>
            </w:r>
          </w:p>
        </w:tc>
        <w:tc>
          <w:tcPr>
            <w:tcW w:w="100" w:type="dxa"/>
            <w:vAlign w:val="bottom"/>
            <w:tcBorders>
              <w:top w:val="single" w:sz="8" w:color="D0EBF2"/>
              <w:bottom w:val="single" w:sz="8" w:color="D0EBF2"/>
            </w:tcBorders>
            <w:shd w:val="clear" w:color="auto" w:fill="FDFDFC"/>
          </w:tcPr>
          <w:p>
            <w:pPr>
              <w:spacing w:after="0"/>
              <w:rPr>
                <w:sz w:val="16"/>
                <w:szCs w:val="16"/>
                <w:color w:val="auto"/>
              </w:rPr>
            </w:pPr>
          </w:p>
        </w:tc>
        <w:tc>
          <w:tcPr>
            <w:tcW w:w="20" w:type="dxa"/>
            <w:vAlign w:val="bottom"/>
            <w:tcBorders>
              <w:top w:val="single" w:sz="8" w:color="D0EBF2"/>
              <w:bottom w:val="single" w:sz="8" w:color="D0EBF2"/>
            </w:tcBorders>
            <w:shd w:val="clear" w:color="auto" w:fill="FDFDFC"/>
          </w:tcPr>
          <w:p>
            <w:pPr>
              <w:spacing w:after="0"/>
              <w:rPr>
                <w:sz w:val="16"/>
                <w:szCs w:val="16"/>
                <w:color w:val="auto"/>
              </w:rPr>
            </w:pPr>
          </w:p>
        </w:tc>
        <w:tc>
          <w:tcPr>
            <w:tcW w:w="80" w:type="dxa"/>
            <w:vAlign w:val="bottom"/>
            <w:tcBorders>
              <w:top w:val="single" w:sz="8" w:color="D0EBF2"/>
              <w:bottom w:val="single" w:sz="8" w:color="D0EBF2"/>
            </w:tcBorders>
            <w:shd w:val="clear" w:color="auto" w:fill="FDFDFC"/>
          </w:tcPr>
          <w:p>
            <w:pPr>
              <w:spacing w:after="0"/>
              <w:rPr>
                <w:sz w:val="16"/>
                <w:szCs w:val="16"/>
                <w:color w:val="auto"/>
              </w:rPr>
            </w:pPr>
          </w:p>
        </w:tc>
        <w:tc>
          <w:tcPr>
            <w:tcW w:w="20" w:type="dxa"/>
            <w:vAlign w:val="bottom"/>
            <w:tcBorders>
              <w:top w:val="single" w:sz="8" w:color="231F20"/>
              <w:bottom w:val="single" w:sz="8" w:color="D0EBF2"/>
            </w:tcBorders>
            <w:shd w:val="clear" w:color="auto" w:fill="FDFDFC"/>
          </w:tcPr>
          <w:p>
            <w:pPr>
              <w:spacing w:after="0"/>
              <w:rPr>
                <w:sz w:val="16"/>
                <w:szCs w:val="16"/>
                <w:color w:val="auto"/>
              </w:rPr>
            </w:pPr>
          </w:p>
        </w:tc>
        <w:tc>
          <w:tcPr>
            <w:tcW w:w="20" w:type="dxa"/>
            <w:vAlign w:val="bottom"/>
            <w:tcBorders>
              <w:top w:val="single" w:sz="8" w:color="231F20"/>
              <w:bottom w:val="single" w:sz="8" w:color="231F20"/>
            </w:tcBorders>
            <w:shd w:val="clear" w:color="auto" w:fill="FDFDFC"/>
          </w:tcPr>
          <w:p>
            <w:pPr>
              <w:spacing w:after="0"/>
              <w:rPr>
                <w:sz w:val="16"/>
                <w:szCs w:val="16"/>
                <w:color w:val="auto"/>
              </w:rPr>
            </w:pPr>
          </w:p>
        </w:tc>
        <w:tc>
          <w:tcPr>
            <w:tcW w:w="40" w:type="dxa"/>
            <w:vAlign w:val="bottom"/>
            <w:tcBorders>
              <w:top w:val="single" w:sz="8" w:color="231F20"/>
              <w:bottom w:val="single" w:sz="8" w:color="231F20"/>
            </w:tcBorders>
            <w:shd w:val="clear" w:color="auto" w:fill="FDFDFC"/>
          </w:tcPr>
          <w:p>
            <w:pPr>
              <w:jc w:val="right"/>
              <w:spacing w:after="0"/>
              <w:rPr>
                <w:sz w:val="20"/>
                <w:szCs w:val="20"/>
                <w:color w:val="auto"/>
              </w:rPr>
            </w:pPr>
            <w:r>
              <w:rPr>
                <w:rFonts w:ascii="Times New Roman" w:cs="Times New Roman" w:eastAsia="Times New Roman" w:hAnsi="Times New Roman"/>
                <w:sz w:val="5"/>
                <w:szCs w:val="5"/>
                <w:b w:val="1"/>
                <w:bCs w:val="1"/>
                <w:color w:val="231F20"/>
                <w:highlight w:val="white"/>
                <w:w w:val="78"/>
              </w:rPr>
              <w:t>$</w:t>
            </w:r>
          </w:p>
        </w:tc>
        <w:tc>
          <w:tcPr>
            <w:tcW w:w="720" w:type="dxa"/>
            <w:vAlign w:val="bottom"/>
            <w:tcBorders>
              <w:top w:val="single" w:sz="8" w:color="231F20"/>
              <w:bottom w:val="single" w:sz="8" w:color="231F20"/>
            </w:tcBorders>
            <w:shd w:val="clear" w:color="auto" w:fill="FDFDFC"/>
          </w:tcPr>
          <w:p>
            <w:pPr>
              <w:jc w:val="right"/>
              <w:spacing w:after="0" w:line="146" w:lineRule="exact"/>
              <w:rPr>
                <w:sz w:val="20"/>
                <w:szCs w:val="20"/>
                <w:color w:val="auto"/>
              </w:rPr>
            </w:pPr>
            <w:r>
              <w:rPr>
                <w:rFonts w:ascii="Times New Roman" w:cs="Times New Roman" w:eastAsia="Times New Roman" w:hAnsi="Times New Roman"/>
                <w:sz w:val="14"/>
                <w:szCs w:val="14"/>
                <w:b w:val="1"/>
                <w:bCs w:val="1"/>
                <w:color w:val="231F20"/>
                <w:highlight w:val="white"/>
              </w:rPr>
              <w:t>1,341,569</w:t>
            </w:r>
          </w:p>
        </w:tc>
        <w:tc>
          <w:tcPr>
            <w:tcW w:w="100" w:type="dxa"/>
            <w:vAlign w:val="bottom"/>
            <w:tcBorders>
              <w:top w:val="single" w:sz="8" w:color="D0EBF2"/>
              <w:bottom w:val="single" w:sz="8" w:color="D0EBF2"/>
            </w:tcBorders>
            <w:shd w:val="clear" w:color="auto" w:fill="FDFDFC"/>
          </w:tcPr>
          <w:p>
            <w:pPr>
              <w:spacing w:after="0"/>
              <w:rPr>
                <w:sz w:val="16"/>
                <w:szCs w:val="16"/>
                <w:color w:val="auto"/>
              </w:rPr>
            </w:pPr>
          </w:p>
        </w:tc>
        <w:tc>
          <w:tcPr>
            <w:tcW w:w="0" w:type="dxa"/>
            <w:vAlign w:val="bottom"/>
          </w:tcPr>
          <w:p>
            <w:pPr>
              <w:spacing w:after="0"/>
              <w:rPr>
                <w:sz w:val="1"/>
                <w:szCs w:val="1"/>
                <w:color w:val="auto"/>
              </w:rPr>
            </w:pPr>
          </w:p>
        </w:tc>
      </w:tr>
      <w:tr>
        <w:trPr>
          <w:trHeight w:val="145"/>
        </w:trPr>
        <w:tc>
          <w:tcPr>
            <w:tcW w:w="3620" w:type="dxa"/>
            <w:vAlign w:val="bottom"/>
            <w:gridSpan w:val="2"/>
            <w:shd w:val="clear" w:color="auto" w:fill="D0EBF2"/>
          </w:tcPr>
          <w:p>
            <w:pPr>
              <w:ind w:left="100"/>
              <w:spacing w:after="0" w:line="145" w:lineRule="exact"/>
              <w:rPr>
                <w:sz w:val="20"/>
                <w:szCs w:val="20"/>
                <w:color w:val="auto"/>
              </w:rPr>
            </w:pPr>
            <w:r>
              <w:rPr>
                <w:rFonts w:ascii="Times New Roman" w:cs="Times New Roman" w:eastAsia="Times New Roman" w:hAnsi="Times New Roman"/>
                <w:sz w:val="14"/>
                <w:szCs w:val="14"/>
                <w:color w:val="231F20"/>
              </w:rPr>
              <w:t>Net increase (decrease) in net assets resulting from</w:t>
            </w:r>
          </w:p>
        </w:tc>
        <w:tc>
          <w:tcPr>
            <w:tcW w:w="860" w:type="dxa"/>
            <w:vAlign w:val="bottom"/>
            <w:shd w:val="clear" w:color="auto" w:fill="D0EBF2"/>
          </w:tcPr>
          <w:p>
            <w:pPr>
              <w:spacing w:after="0"/>
              <w:rPr>
                <w:sz w:val="12"/>
                <w:szCs w:val="12"/>
                <w:color w:val="auto"/>
              </w:rPr>
            </w:pPr>
          </w:p>
        </w:tc>
        <w:tc>
          <w:tcPr>
            <w:tcW w:w="100" w:type="dxa"/>
            <w:vAlign w:val="bottom"/>
            <w:shd w:val="clear" w:color="auto" w:fill="D0EBF2"/>
          </w:tcPr>
          <w:p>
            <w:pPr>
              <w:spacing w:after="0"/>
              <w:rPr>
                <w:sz w:val="12"/>
                <w:szCs w:val="12"/>
                <w:color w:val="auto"/>
              </w:rPr>
            </w:pPr>
          </w:p>
        </w:tc>
        <w:tc>
          <w:tcPr>
            <w:tcW w:w="100" w:type="dxa"/>
            <w:vAlign w:val="bottom"/>
            <w:shd w:val="clear" w:color="auto" w:fill="D0EBF2"/>
          </w:tcPr>
          <w:p>
            <w:pPr>
              <w:spacing w:after="0"/>
              <w:rPr>
                <w:sz w:val="12"/>
                <w:szCs w:val="12"/>
                <w:color w:val="auto"/>
              </w:rPr>
            </w:pPr>
          </w:p>
        </w:tc>
        <w:tc>
          <w:tcPr>
            <w:tcW w:w="20" w:type="dxa"/>
            <w:vAlign w:val="bottom"/>
            <w:shd w:val="clear" w:color="auto" w:fill="D0EBF2"/>
          </w:tcPr>
          <w:p>
            <w:pPr>
              <w:spacing w:after="0"/>
              <w:rPr>
                <w:sz w:val="12"/>
                <w:szCs w:val="12"/>
                <w:color w:val="auto"/>
              </w:rPr>
            </w:pPr>
          </w:p>
        </w:tc>
        <w:tc>
          <w:tcPr>
            <w:tcW w:w="20" w:type="dxa"/>
            <w:vAlign w:val="bottom"/>
            <w:shd w:val="clear" w:color="auto" w:fill="D0EBF2"/>
          </w:tcPr>
          <w:p>
            <w:pPr>
              <w:spacing w:after="0"/>
              <w:rPr>
                <w:sz w:val="12"/>
                <w:szCs w:val="12"/>
                <w:color w:val="auto"/>
              </w:rPr>
            </w:pPr>
          </w:p>
        </w:tc>
        <w:tc>
          <w:tcPr>
            <w:tcW w:w="60" w:type="dxa"/>
            <w:vAlign w:val="bottom"/>
            <w:shd w:val="clear" w:color="auto" w:fill="D0EBF2"/>
          </w:tcPr>
          <w:p>
            <w:pPr>
              <w:spacing w:after="0"/>
              <w:rPr>
                <w:sz w:val="12"/>
                <w:szCs w:val="12"/>
                <w:color w:val="auto"/>
              </w:rPr>
            </w:pPr>
          </w:p>
        </w:tc>
        <w:tc>
          <w:tcPr>
            <w:tcW w:w="420" w:type="dxa"/>
            <w:vAlign w:val="bottom"/>
            <w:shd w:val="clear" w:color="auto" w:fill="D0EBF2"/>
          </w:tcPr>
          <w:p>
            <w:pPr>
              <w:spacing w:after="0"/>
              <w:rPr>
                <w:sz w:val="12"/>
                <w:szCs w:val="12"/>
                <w:color w:val="auto"/>
              </w:rPr>
            </w:pPr>
          </w:p>
        </w:tc>
        <w:tc>
          <w:tcPr>
            <w:tcW w:w="100" w:type="dxa"/>
            <w:vAlign w:val="bottom"/>
            <w:shd w:val="clear" w:color="auto" w:fill="D0EBF2"/>
          </w:tcPr>
          <w:p>
            <w:pPr>
              <w:spacing w:after="0"/>
              <w:rPr>
                <w:sz w:val="12"/>
                <w:szCs w:val="12"/>
                <w:color w:val="auto"/>
              </w:rPr>
            </w:pPr>
          </w:p>
        </w:tc>
        <w:tc>
          <w:tcPr>
            <w:tcW w:w="20" w:type="dxa"/>
            <w:vAlign w:val="bottom"/>
            <w:shd w:val="clear" w:color="auto" w:fill="D0EBF2"/>
          </w:tcPr>
          <w:p>
            <w:pPr>
              <w:spacing w:after="0"/>
              <w:rPr>
                <w:sz w:val="12"/>
                <w:szCs w:val="12"/>
                <w:color w:val="auto"/>
              </w:rPr>
            </w:pPr>
          </w:p>
        </w:tc>
        <w:tc>
          <w:tcPr>
            <w:tcW w:w="80" w:type="dxa"/>
            <w:vAlign w:val="bottom"/>
            <w:shd w:val="clear" w:color="auto" w:fill="D0EBF2"/>
          </w:tcPr>
          <w:p>
            <w:pPr>
              <w:spacing w:after="0"/>
              <w:rPr>
                <w:sz w:val="12"/>
                <w:szCs w:val="12"/>
                <w:color w:val="auto"/>
              </w:rPr>
            </w:pPr>
          </w:p>
        </w:tc>
        <w:tc>
          <w:tcPr>
            <w:tcW w:w="20" w:type="dxa"/>
            <w:vAlign w:val="bottom"/>
            <w:shd w:val="clear" w:color="auto" w:fill="D0EBF2"/>
          </w:tcPr>
          <w:p>
            <w:pPr>
              <w:spacing w:after="0"/>
              <w:rPr>
                <w:sz w:val="12"/>
                <w:szCs w:val="12"/>
                <w:color w:val="auto"/>
              </w:rPr>
            </w:pPr>
          </w:p>
        </w:tc>
        <w:tc>
          <w:tcPr>
            <w:tcW w:w="20" w:type="dxa"/>
            <w:vAlign w:val="bottom"/>
            <w:shd w:val="clear" w:color="auto" w:fill="D0EBF2"/>
          </w:tcPr>
          <w:p>
            <w:pPr>
              <w:spacing w:after="0"/>
              <w:rPr>
                <w:sz w:val="12"/>
                <w:szCs w:val="12"/>
                <w:color w:val="auto"/>
              </w:rPr>
            </w:pPr>
          </w:p>
        </w:tc>
        <w:tc>
          <w:tcPr>
            <w:tcW w:w="660" w:type="dxa"/>
            <w:vAlign w:val="bottom"/>
            <w:shd w:val="clear" w:color="auto" w:fill="D0EBF2"/>
          </w:tcPr>
          <w:p>
            <w:pPr>
              <w:spacing w:after="0"/>
              <w:rPr>
                <w:sz w:val="12"/>
                <w:szCs w:val="12"/>
                <w:color w:val="auto"/>
              </w:rPr>
            </w:pPr>
          </w:p>
        </w:tc>
        <w:tc>
          <w:tcPr>
            <w:tcW w:w="100" w:type="dxa"/>
            <w:vAlign w:val="bottom"/>
            <w:shd w:val="clear" w:color="auto" w:fill="D0EBF2"/>
          </w:tcPr>
          <w:p>
            <w:pPr>
              <w:spacing w:after="0"/>
              <w:rPr>
                <w:sz w:val="12"/>
                <w:szCs w:val="12"/>
                <w:color w:val="auto"/>
              </w:rPr>
            </w:pPr>
          </w:p>
        </w:tc>
        <w:tc>
          <w:tcPr>
            <w:tcW w:w="20" w:type="dxa"/>
            <w:vAlign w:val="bottom"/>
            <w:shd w:val="clear" w:color="auto" w:fill="D0EBF2"/>
          </w:tcPr>
          <w:p>
            <w:pPr>
              <w:spacing w:after="0"/>
              <w:rPr>
                <w:sz w:val="12"/>
                <w:szCs w:val="12"/>
                <w:color w:val="auto"/>
              </w:rPr>
            </w:pPr>
          </w:p>
        </w:tc>
        <w:tc>
          <w:tcPr>
            <w:tcW w:w="80" w:type="dxa"/>
            <w:vAlign w:val="bottom"/>
            <w:shd w:val="clear" w:color="auto" w:fill="D0EBF2"/>
          </w:tcPr>
          <w:p>
            <w:pPr>
              <w:spacing w:after="0"/>
              <w:rPr>
                <w:sz w:val="12"/>
                <w:szCs w:val="12"/>
                <w:color w:val="auto"/>
              </w:rPr>
            </w:pPr>
          </w:p>
        </w:tc>
        <w:tc>
          <w:tcPr>
            <w:tcW w:w="20" w:type="dxa"/>
            <w:vAlign w:val="bottom"/>
            <w:shd w:val="clear" w:color="auto" w:fill="D0EBF2"/>
          </w:tcPr>
          <w:p>
            <w:pPr>
              <w:spacing w:after="0"/>
              <w:rPr>
                <w:sz w:val="12"/>
                <w:szCs w:val="12"/>
                <w:color w:val="auto"/>
              </w:rPr>
            </w:pPr>
          </w:p>
        </w:tc>
        <w:tc>
          <w:tcPr>
            <w:tcW w:w="20" w:type="dxa"/>
            <w:vAlign w:val="bottom"/>
            <w:shd w:val="clear" w:color="auto" w:fill="D0EBF2"/>
          </w:tcPr>
          <w:p>
            <w:pPr>
              <w:spacing w:after="0"/>
              <w:rPr>
                <w:sz w:val="12"/>
                <w:szCs w:val="12"/>
                <w:color w:val="auto"/>
              </w:rPr>
            </w:pPr>
          </w:p>
        </w:tc>
        <w:tc>
          <w:tcPr>
            <w:tcW w:w="60" w:type="dxa"/>
            <w:vAlign w:val="bottom"/>
            <w:shd w:val="clear" w:color="auto" w:fill="D0EBF2"/>
          </w:tcPr>
          <w:p>
            <w:pPr>
              <w:spacing w:after="0"/>
              <w:rPr>
                <w:sz w:val="12"/>
                <w:szCs w:val="12"/>
                <w:color w:val="auto"/>
              </w:rPr>
            </w:pPr>
          </w:p>
        </w:tc>
        <w:tc>
          <w:tcPr>
            <w:tcW w:w="480" w:type="dxa"/>
            <w:vAlign w:val="bottom"/>
            <w:shd w:val="clear" w:color="auto" w:fill="D0EBF2"/>
          </w:tcPr>
          <w:p>
            <w:pPr>
              <w:spacing w:after="0"/>
              <w:rPr>
                <w:sz w:val="12"/>
                <w:szCs w:val="12"/>
                <w:color w:val="auto"/>
              </w:rPr>
            </w:pPr>
          </w:p>
        </w:tc>
        <w:tc>
          <w:tcPr>
            <w:tcW w:w="100" w:type="dxa"/>
            <w:vAlign w:val="bottom"/>
            <w:shd w:val="clear" w:color="auto" w:fill="D0EBF2"/>
          </w:tcPr>
          <w:p>
            <w:pPr>
              <w:spacing w:after="0"/>
              <w:rPr>
                <w:sz w:val="12"/>
                <w:szCs w:val="12"/>
                <w:color w:val="auto"/>
              </w:rPr>
            </w:pPr>
          </w:p>
        </w:tc>
        <w:tc>
          <w:tcPr>
            <w:tcW w:w="20" w:type="dxa"/>
            <w:vAlign w:val="bottom"/>
            <w:shd w:val="clear" w:color="auto" w:fill="D0EBF2"/>
          </w:tcPr>
          <w:p>
            <w:pPr>
              <w:spacing w:after="0"/>
              <w:rPr>
                <w:sz w:val="12"/>
                <w:szCs w:val="12"/>
                <w:color w:val="auto"/>
              </w:rPr>
            </w:pPr>
          </w:p>
        </w:tc>
        <w:tc>
          <w:tcPr>
            <w:tcW w:w="20" w:type="dxa"/>
            <w:vAlign w:val="bottom"/>
            <w:shd w:val="clear" w:color="auto" w:fill="D0EBF2"/>
          </w:tcPr>
          <w:p>
            <w:pPr>
              <w:spacing w:after="0"/>
              <w:rPr>
                <w:sz w:val="12"/>
                <w:szCs w:val="12"/>
                <w:color w:val="auto"/>
              </w:rPr>
            </w:pPr>
          </w:p>
        </w:tc>
        <w:tc>
          <w:tcPr>
            <w:tcW w:w="60" w:type="dxa"/>
            <w:vAlign w:val="bottom"/>
            <w:shd w:val="clear" w:color="auto" w:fill="D0EBF2"/>
          </w:tcPr>
          <w:p>
            <w:pPr>
              <w:spacing w:after="0"/>
              <w:rPr>
                <w:sz w:val="12"/>
                <w:szCs w:val="12"/>
                <w:color w:val="auto"/>
              </w:rPr>
            </w:pPr>
          </w:p>
        </w:tc>
        <w:tc>
          <w:tcPr>
            <w:tcW w:w="140" w:type="dxa"/>
            <w:vAlign w:val="bottom"/>
            <w:shd w:val="clear" w:color="auto" w:fill="D0EBF2"/>
          </w:tcPr>
          <w:p>
            <w:pPr>
              <w:spacing w:after="0"/>
              <w:rPr>
                <w:sz w:val="12"/>
                <w:szCs w:val="12"/>
                <w:color w:val="auto"/>
              </w:rPr>
            </w:pPr>
          </w:p>
        </w:tc>
        <w:tc>
          <w:tcPr>
            <w:tcW w:w="900" w:type="dxa"/>
            <w:vAlign w:val="bottom"/>
            <w:shd w:val="clear" w:color="auto" w:fill="D0EBF2"/>
          </w:tcPr>
          <w:p>
            <w:pPr>
              <w:spacing w:after="0"/>
              <w:rPr>
                <w:sz w:val="12"/>
                <w:szCs w:val="12"/>
                <w:color w:val="auto"/>
              </w:rPr>
            </w:pPr>
          </w:p>
        </w:tc>
        <w:tc>
          <w:tcPr>
            <w:tcW w:w="100" w:type="dxa"/>
            <w:vAlign w:val="bottom"/>
            <w:shd w:val="clear" w:color="auto" w:fill="D0EBF2"/>
          </w:tcPr>
          <w:p>
            <w:pPr>
              <w:spacing w:after="0"/>
              <w:rPr>
                <w:sz w:val="12"/>
                <w:szCs w:val="12"/>
                <w:color w:val="auto"/>
              </w:rPr>
            </w:pPr>
          </w:p>
        </w:tc>
        <w:tc>
          <w:tcPr>
            <w:tcW w:w="20" w:type="dxa"/>
            <w:vAlign w:val="bottom"/>
            <w:shd w:val="clear" w:color="auto" w:fill="D0EBF2"/>
          </w:tcPr>
          <w:p>
            <w:pPr>
              <w:spacing w:after="0"/>
              <w:rPr>
                <w:sz w:val="12"/>
                <w:szCs w:val="12"/>
                <w:color w:val="auto"/>
              </w:rPr>
            </w:pPr>
          </w:p>
        </w:tc>
        <w:tc>
          <w:tcPr>
            <w:tcW w:w="80" w:type="dxa"/>
            <w:vAlign w:val="bottom"/>
            <w:shd w:val="clear" w:color="auto" w:fill="D0EBF2"/>
          </w:tcPr>
          <w:p>
            <w:pPr>
              <w:spacing w:after="0"/>
              <w:rPr>
                <w:sz w:val="12"/>
                <w:szCs w:val="12"/>
                <w:color w:val="auto"/>
              </w:rPr>
            </w:pPr>
          </w:p>
        </w:tc>
        <w:tc>
          <w:tcPr>
            <w:tcW w:w="20" w:type="dxa"/>
            <w:vAlign w:val="bottom"/>
            <w:shd w:val="clear" w:color="auto" w:fill="D0EBF2"/>
          </w:tcPr>
          <w:p>
            <w:pPr>
              <w:spacing w:after="0"/>
              <w:rPr>
                <w:sz w:val="12"/>
                <w:szCs w:val="12"/>
                <w:color w:val="auto"/>
              </w:rPr>
            </w:pPr>
          </w:p>
        </w:tc>
        <w:tc>
          <w:tcPr>
            <w:tcW w:w="20" w:type="dxa"/>
            <w:vAlign w:val="bottom"/>
            <w:shd w:val="clear" w:color="auto" w:fill="D0EBF2"/>
          </w:tcPr>
          <w:p>
            <w:pPr>
              <w:spacing w:after="0"/>
              <w:rPr>
                <w:sz w:val="12"/>
                <w:szCs w:val="12"/>
                <w:color w:val="auto"/>
              </w:rPr>
            </w:pPr>
          </w:p>
        </w:tc>
        <w:tc>
          <w:tcPr>
            <w:tcW w:w="60" w:type="dxa"/>
            <w:vAlign w:val="bottom"/>
            <w:shd w:val="clear" w:color="auto" w:fill="D0EBF2"/>
          </w:tcPr>
          <w:p>
            <w:pPr>
              <w:spacing w:after="0"/>
              <w:rPr>
                <w:sz w:val="12"/>
                <w:szCs w:val="12"/>
                <w:color w:val="auto"/>
              </w:rPr>
            </w:pPr>
          </w:p>
        </w:tc>
        <w:tc>
          <w:tcPr>
            <w:tcW w:w="720" w:type="dxa"/>
            <w:vAlign w:val="bottom"/>
            <w:shd w:val="clear" w:color="auto" w:fill="D0EBF2"/>
          </w:tcPr>
          <w:p>
            <w:pPr>
              <w:spacing w:after="0"/>
              <w:rPr>
                <w:sz w:val="12"/>
                <w:szCs w:val="12"/>
                <w:color w:val="auto"/>
              </w:rPr>
            </w:pPr>
          </w:p>
        </w:tc>
        <w:tc>
          <w:tcPr>
            <w:tcW w:w="100" w:type="dxa"/>
            <w:vAlign w:val="bottom"/>
            <w:shd w:val="clear" w:color="auto" w:fill="D0EBF2"/>
          </w:tcPr>
          <w:p>
            <w:pPr>
              <w:spacing w:after="0"/>
              <w:rPr>
                <w:sz w:val="12"/>
                <w:szCs w:val="12"/>
                <w:color w:val="auto"/>
              </w:rPr>
            </w:pPr>
          </w:p>
        </w:tc>
        <w:tc>
          <w:tcPr>
            <w:tcW w:w="20" w:type="dxa"/>
            <w:vAlign w:val="bottom"/>
            <w:shd w:val="clear" w:color="auto" w:fill="D0EBF2"/>
          </w:tcPr>
          <w:p>
            <w:pPr>
              <w:spacing w:after="0"/>
              <w:rPr>
                <w:sz w:val="12"/>
                <w:szCs w:val="12"/>
                <w:color w:val="auto"/>
              </w:rPr>
            </w:pPr>
          </w:p>
        </w:tc>
        <w:tc>
          <w:tcPr>
            <w:tcW w:w="80" w:type="dxa"/>
            <w:vAlign w:val="bottom"/>
            <w:shd w:val="clear" w:color="auto" w:fill="D0EBF2"/>
          </w:tcPr>
          <w:p>
            <w:pPr>
              <w:spacing w:after="0"/>
              <w:rPr>
                <w:sz w:val="12"/>
                <w:szCs w:val="12"/>
                <w:color w:val="auto"/>
              </w:rPr>
            </w:pPr>
          </w:p>
        </w:tc>
        <w:tc>
          <w:tcPr>
            <w:tcW w:w="20" w:type="dxa"/>
            <w:vAlign w:val="bottom"/>
            <w:shd w:val="clear" w:color="auto" w:fill="D0EBF2"/>
          </w:tcPr>
          <w:p>
            <w:pPr>
              <w:spacing w:after="0"/>
              <w:rPr>
                <w:sz w:val="12"/>
                <w:szCs w:val="12"/>
                <w:color w:val="auto"/>
              </w:rPr>
            </w:pPr>
          </w:p>
        </w:tc>
        <w:tc>
          <w:tcPr>
            <w:tcW w:w="20" w:type="dxa"/>
            <w:vAlign w:val="bottom"/>
            <w:shd w:val="clear" w:color="auto" w:fill="D0EBF2"/>
          </w:tcPr>
          <w:p>
            <w:pPr>
              <w:spacing w:after="0"/>
              <w:rPr>
                <w:sz w:val="12"/>
                <w:szCs w:val="12"/>
                <w:color w:val="auto"/>
              </w:rPr>
            </w:pPr>
          </w:p>
        </w:tc>
        <w:tc>
          <w:tcPr>
            <w:tcW w:w="40" w:type="dxa"/>
            <w:vAlign w:val="bottom"/>
            <w:shd w:val="clear" w:color="auto" w:fill="D0EBF2"/>
          </w:tcPr>
          <w:p>
            <w:pPr>
              <w:spacing w:after="0"/>
              <w:rPr>
                <w:sz w:val="12"/>
                <w:szCs w:val="12"/>
                <w:color w:val="auto"/>
              </w:rPr>
            </w:pPr>
          </w:p>
        </w:tc>
        <w:tc>
          <w:tcPr>
            <w:tcW w:w="720" w:type="dxa"/>
            <w:vAlign w:val="bottom"/>
            <w:shd w:val="clear" w:color="auto" w:fill="D0EBF2"/>
          </w:tcPr>
          <w:p>
            <w:pPr>
              <w:spacing w:after="0"/>
              <w:rPr>
                <w:sz w:val="12"/>
                <w:szCs w:val="12"/>
                <w:color w:val="auto"/>
              </w:rPr>
            </w:pPr>
          </w:p>
        </w:tc>
        <w:tc>
          <w:tcPr>
            <w:tcW w:w="100" w:type="dxa"/>
            <w:vAlign w:val="bottom"/>
            <w:shd w:val="clear" w:color="auto" w:fill="D0EBF2"/>
          </w:tcPr>
          <w:p>
            <w:pPr>
              <w:spacing w:after="0"/>
              <w:rPr>
                <w:sz w:val="12"/>
                <w:szCs w:val="12"/>
                <w:color w:val="auto"/>
              </w:rPr>
            </w:pPr>
          </w:p>
        </w:tc>
        <w:tc>
          <w:tcPr>
            <w:tcW w:w="0" w:type="dxa"/>
            <w:vAlign w:val="bottom"/>
          </w:tcPr>
          <w:p>
            <w:pPr>
              <w:spacing w:after="0"/>
              <w:rPr>
                <w:sz w:val="1"/>
                <w:szCs w:val="1"/>
                <w:color w:val="auto"/>
              </w:rPr>
            </w:pPr>
          </w:p>
        </w:tc>
      </w:tr>
      <w:tr>
        <w:trPr>
          <w:trHeight w:val="177"/>
        </w:trPr>
        <w:tc>
          <w:tcPr>
            <w:tcW w:w="3620" w:type="dxa"/>
            <w:vAlign w:val="bottom"/>
            <w:gridSpan w:val="2"/>
            <w:shd w:val="clear" w:color="auto" w:fill="D0EBF2"/>
          </w:tcPr>
          <w:p>
            <w:pPr>
              <w:ind w:left="100"/>
              <w:spacing w:after="0"/>
              <w:rPr>
                <w:sz w:val="20"/>
                <w:szCs w:val="20"/>
                <w:color w:val="auto"/>
              </w:rPr>
            </w:pPr>
            <w:r>
              <w:rPr>
                <w:rFonts w:ascii="Times New Roman" w:cs="Times New Roman" w:eastAsia="Times New Roman" w:hAnsi="Times New Roman"/>
                <w:sz w:val="14"/>
                <w:szCs w:val="14"/>
                <w:color w:val="231F20"/>
              </w:rPr>
              <w:t>operations:</w:t>
            </w:r>
          </w:p>
        </w:tc>
        <w:tc>
          <w:tcPr>
            <w:tcW w:w="860" w:type="dxa"/>
            <w:vAlign w:val="bottom"/>
            <w:shd w:val="clear" w:color="auto" w:fill="D0EBF2"/>
          </w:tcPr>
          <w:p>
            <w:pPr>
              <w:spacing w:after="0"/>
              <w:rPr>
                <w:sz w:val="15"/>
                <w:szCs w:val="15"/>
                <w:color w:val="auto"/>
              </w:rPr>
            </w:pPr>
          </w:p>
        </w:tc>
        <w:tc>
          <w:tcPr>
            <w:tcW w:w="100" w:type="dxa"/>
            <w:vAlign w:val="bottom"/>
            <w:shd w:val="clear" w:color="auto" w:fill="D0EBF2"/>
          </w:tcPr>
          <w:p>
            <w:pPr>
              <w:spacing w:after="0"/>
              <w:rPr>
                <w:sz w:val="15"/>
                <w:szCs w:val="15"/>
                <w:color w:val="auto"/>
              </w:rPr>
            </w:pPr>
          </w:p>
        </w:tc>
        <w:tc>
          <w:tcPr>
            <w:tcW w:w="100" w:type="dxa"/>
            <w:vAlign w:val="bottom"/>
            <w:shd w:val="clear" w:color="auto" w:fill="D0EBF2"/>
          </w:tcPr>
          <w:p>
            <w:pPr>
              <w:spacing w:after="0"/>
              <w:rPr>
                <w:sz w:val="15"/>
                <w:szCs w:val="15"/>
                <w:color w:val="auto"/>
              </w:rPr>
            </w:pPr>
          </w:p>
        </w:tc>
        <w:tc>
          <w:tcPr>
            <w:tcW w:w="20" w:type="dxa"/>
            <w:vAlign w:val="bottom"/>
            <w:shd w:val="clear" w:color="auto" w:fill="D0EBF2"/>
          </w:tcPr>
          <w:p>
            <w:pPr>
              <w:spacing w:after="0"/>
              <w:rPr>
                <w:sz w:val="15"/>
                <w:szCs w:val="15"/>
                <w:color w:val="auto"/>
              </w:rPr>
            </w:pPr>
          </w:p>
        </w:tc>
        <w:tc>
          <w:tcPr>
            <w:tcW w:w="20" w:type="dxa"/>
            <w:vAlign w:val="bottom"/>
            <w:shd w:val="clear" w:color="auto" w:fill="D0EBF2"/>
          </w:tcPr>
          <w:p>
            <w:pPr>
              <w:spacing w:after="0"/>
              <w:rPr>
                <w:sz w:val="15"/>
                <w:szCs w:val="15"/>
                <w:color w:val="auto"/>
              </w:rPr>
            </w:pPr>
          </w:p>
        </w:tc>
        <w:tc>
          <w:tcPr>
            <w:tcW w:w="60" w:type="dxa"/>
            <w:vAlign w:val="bottom"/>
            <w:shd w:val="clear" w:color="auto" w:fill="D0EBF2"/>
          </w:tcPr>
          <w:p>
            <w:pPr>
              <w:spacing w:after="0"/>
              <w:rPr>
                <w:sz w:val="15"/>
                <w:szCs w:val="15"/>
                <w:color w:val="auto"/>
              </w:rPr>
            </w:pPr>
          </w:p>
        </w:tc>
        <w:tc>
          <w:tcPr>
            <w:tcW w:w="420" w:type="dxa"/>
            <w:vAlign w:val="bottom"/>
            <w:shd w:val="clear" w:color="auto" w:fill="D0EBF2"/>
          </w:tcPr>
          <w:p>
            <w:pPr>
              <w:spacing w:after="0"/>
              <w:rPr>
                <w:sz w:val="15"/>
                <w:szCs w:val="15"/>
                <w:color w:val="auto"/>
              </w:rPr>
            </w:pPr>
          </w:p>
        </w:tc>
        <w:tc>
          <w:tcPr>
            <w:tcW w:w="100" w:type="dxa"/>
            <w:vAlign w:val="bottom"/>
            <w:shd w:val="clear" w:color="auto" w:fill="D0EBF2"/>
          </w:tcPr>
          <w:p>
            <w:pPr>
              <w:spacing w:after="0"/>
              <w:rPr>
                <w:sz w:val="15"/>
                <w:szCs w:val="15"/>
                <w:color w:val="auto"/>
              </w:rPr>
            </w:pPr>
          </w:p>
        </w:tc>
        <w:tc>
          <w:tcPr>
            <w:tcW w:w="20" w:type="dxa"/>
            <w:vAlign w:val="bottom"/>
            <w:shd w:val="clear" w:color="auto" w:fill="D0EBF2"/>
          </w:tcPr>
          <w:p>
            <w:pPr>
              <w:spacing w:after="0"/>
              <w:rPr>
                <w:sz w:val="15"/>
                <w:szCs w:val="15"/>
                <w:color w:val="auto"/>
              </w:rPr>
            </w:pPr>
          </w:p>
        </w:tc>
        <w:tc>
          <w:tcPr>
            <w:tcW w:w="80" w:type="dxa"/>
            <w:vAlign w:val="bottom"/>
            <w:shd w:val="clear" w:color="auto" w:fill="D0EBF2"/>
          </w:tcPr>
          <w:p>
            <w:pPr>
              <w:spacing w:after="0"/>
              <w:rPr>
                <w:sz w:val="15"/>
                <w:szCs w:val="15"/>
                <w:color w:val="auto"/>
              </w:rPr>
            </w:pPr>
          </w:p>
        </w:tc>
        <w:tc>
          <w:tcPr>
            <w:tcW w:w="20" w:type="dxa"/>
            <w:vAlign w:val="bottom"/>
            <w:shd w:val="clear" w:color="auto" w:fill="D0EBF2"/>
          </w:tcPr>
          <w:p>
            <w:pPr>
              <w:spacing w:after="0"/>
              <w:rPr>
                <w:sz w:val="15"/>
                <w:szCs w:val="15"/>
                <w:color w:val="auto"/>
              </w:rPr>
            </w:pPr>
          </w:p>
        </w:tc>
        <w:tc>
          <w:tcPr>
            <w:tcW w:w="20" w:type="dxa"/>
            <w:vAlign w:val="bottom"/>
            <w:shd w:val="clear" w:color="auto" w:fill="D0EBF2"/>
          </w:tcPr>
          <w:p>
            <w:pPr>
              <w:spacing w:after="0"/>
              <w:rPr>
                <w:sz w:val="15"/>
                <w:szCs w:val="15"/>
                <w:color w:val="auto"/>
              </w:rPr>
            </w:pPr>
          </w:p>
        </w:tc>
        <w:tc>
          <w:tcPr>
            <w:tcW w:w="660" w:type="dxa"/>
            <w:vAlign w:val="bottom"/>
            <w:shd w:val="clear" w:color="auto" w:fill="D0EBF2"/>
          </w:tcPr>
          <w:p>
            <w:pPr>
              <w:spacing w:after="0"/>
              <w:rPr>
                <w:sz w:val="15"/>
                <w:szCs w:val="15"/>
                <w:color w:val="auto"/>
              </w:rPr>
            </w:pPr>
          </w:p>
        </w:tc>
        <w:tc>
          <w:tcPr>
            <w:tcW w:w="100" w:type="dxa"/>
            <w:vAlign w:val="bottom"/>
            <w:shd w:val="clear" w:color="auto" w:fill="D0EBF2"/>
          </w:tcPr>
          <w:p>
            <w:pPr>
              <w:spacing w:after="0"/>
              <w:rPr>
                <w:sz w:val="15"/>
                <w:szCs w:val="15"/>
                <w:color w:val="auto"/>
              </w:rPr>
            </w:pPr>
          </w:p>
        </w:tc>
        <w:tc>
          <w:tcPr>
            <w:tcW w:w="20" w:type="dxa"/>
            <w:vAlign w:val="bottom"/>
            <w:shd w:val="clear" w:color="auto" w:fill="D0EBF2"/>
          </w:tcPr>
          <w:p>
            <w:pPr>
              <w:spacing w:after="0"/>
              <w:rPr>
                <w:sz w:val="15"/>
                <w:szCs w:val="15"/>
                <w:color w:val="auto"/>
              </w:rPr>
            </w:pPr>
          </w:p>
        </w:tc>
        <w:tc>
          <w:tcPr>
            <w:tcW w:w="80" w:type="dxa"/>
            <w:vAlign w:val="bottom"/>
            <w:shd w:val="clear" w:color="auto" w:fill="D0EBF2"/>
          </w:tcPr>
          <w:p>
            <w:pPr>
              <w:spacing w:after="0"/>
              <w:rPr>
                <w:sz w:val="15"/>
                <w:szCs w:val="15"/>
                <w:color w:val="auto"/>
              </w:rPr>
            </w:pPr>
          </w:p>
        </w:tc>
        <w:tc>
          <w:tcPr>
            <w:tcW w:w="20" w:type="dxa"/>
            <w:vAlign w:val="bottom"/>
            <w:shd w:val="clear" w:color="auto" w:fill="D0EBF2"/>
          </w:tcPr>
          <w:p>
            <w:pPr>
              <w:spacing w:after="0"/>
              <w:rPr>
                <w:sz w:val="15"/>
                <w:szCs w:val="15"/>
                <w:color w:val="auto"/>
              </w:rPr>
            </w:pPr>
          </w:p>
        </w:tc>
        <w:tc>
          <w:tcPr>
            <w:tcW w:w="20" w:type="dxa"/>
            <w:vAlign w:val="bottom"/>
            <w:shd w:val="clear" w:color="auto" w:fill="D0EBF2"/>
          </w:tcPr>
          <w:p>
            <w:pPr>
              <w:spacing w:after="0"/>
              <w:rPr>
                <w:sz w:val="15"/>
                <w:szCs w:val="15"/>
                <w:color w:val="auto"/>
              </w:rPr>
            </w:pPr>
          </w:p>
        </w:tc>
        <w:tc>
          <w:tcPr>
            <w:tcW w:w="60" w:type="dxa"/>
            <w:vAlign w:val="bottom"/>
            <w:shd w:val="clear" w:color="auto" w:fill="D0EBF2"/>
          </w:tcPr>
          <w:p>
            <w:pPr>
              <w:spacing w:after="0"/>
              <w:rPr>
                <w:sz w:val="15"/>
                <w:szCs w:val="15"/>
                <w:color w:val="auto"/>
              </w:rPr>
            </w:pPr>
          </w:p>
        </w:tc>
        <w:tc>
          <w:tcPr>
            <w:tcW w:w="480" w:type="dxa"/>
            <w:vAlign w:val="bottom"/>
            <w:shd w:val="clear" w:color="auto" w:fill="D0EBF2"/>
          </w:tcPr>
          <w:p>
            <w:pPr>
              <w:spacing w:after="0"/>
              <w:rPr>
                <w:sz w:val="15"/>
                <w:szCs w:val="15"/>
                <w:color w:val="auto"/>
              </w:rPr>
            </w:pPr>
          </w:p>
        </w:tc>
        <w:tc>
          <w:tcPr>
            <w:tcW w:w="100" w:type="dxa"/>
            <w:vAlign w:val="bottom"/>
            <w:shd w:val="clear" w:color="auto" w:fill="D0EBF2"/>
          </w:tcPr>
          <w:p>
            <w:pPr>
              <w:spacing w:after="0"/>
              <w:rPr>
                <w:sz w:val="15"/>
                <w:szCs w:val="15"/>
                <w:color w:val="auto"/>
              </w:rPr>
            </w:pPr>
          </w:p>
        </w:tc>
        <w:tc>
          <w:tcPr>
            <w:tcW w:w="20" w:type="dxa"/>
            <w:vAlign w:val="bottom"/>
            <w:shd w:val="clear" w:color="auto" w:fill="D0EBF2"/>
          </w:tcPr>
          <w:p>
            <w:pPr>
              <w:spacing w:after="0"/>
              <w:rPr>
                <w:sz w:val="15"/>
                <w:szCs w:val="15"/>
                <w:color w:val="auto"/>
              </w:rPr>
            </w:pPr>
          </w:p>
        </w:tc>
        <w:tc>
          <w:tcPr>
            <w:tcW w:w="20" w:type="dxa"/>
            <w:vAlign w:val="bottom"/>
            <w:shd w:val="clear" w:color="auto" w:fill="D0EBF2"/>
          </w:tcPr>
          <w:p>
            <w:pPr>
              <w:spacing w:after="0"/>
              <w:rPr>
                <w:sz w:val="15"/>
                <w:szCs w:val="15"/>
                <w:color w:val="auto"/>
              </w:rPr>
            </w:pPr>
          </w:p>
        </w:tc>
        <w:tc>
          <w:tcPr>
            <w:tcW w:w="60" w:type="dxa"/>
            <w:vAlign w:val="bottom"/>
            <w:shd w:val="clear" w:color="auto" w:fill="D0EBF2"/>
          </w:tcPr>
          <w:p>
            <w:pPr>
              <w:spacing w:after="0"/>
              <w:rPr>
                <w:sz w:val="15"/>
                <w:szCs w:val="15"/>
                <w:color w:val="auto"/>
              </w:rPr>
            </w:pPr>
          </w:p>
        </w:tc>
        <w:tc>
          <w:tcPr>
            <w:tcW w:w="140" w:type="dxa"/>
            <w:vAlign w:val="bottom"/>
            <w:shd w:val="clear" w:color="auto" w:fill="D0EBF2"/>
          </w:tcPr>
          <w:p>
            <w:pPr>
              <w:spacing w:after="0"/>
              <w:rPr>
                <w:sz w:val="15"/>
                <w:szCs w:val="15"/>
                <w:color w:val="auto"/>
              </w:rPr>
            </w:pPr>
          </w:p>
        </w:tc>
        <w:tc>
          <w:tcPr>
            <w:tcW w:w="900" w:type="dxa"/>
            <w:vAlign w:val="bottom"/>
            <w:shd w:val="clear" w:color="auto" w:fill="D0EBF2"/>
          </w:tcPr>
          <w:p>
            <w:pPr>
              <w:spacing w:after="0"/>
              <w:rPr>
                <w:sz w:val="15"/>
                <w:szCs w:val="15"/>
                <w:color w:val="auto"/>
              </w:rPr>
            </w:pPr>
          </w:p>
        </w:tc>
        <w:tc>
          <w:tcPr>
            <w:tcW w:w="100" w:type="dxa"/>
            <w:vAlign w:val="bottom"/>
            <w:shd w:val="clear" w:color="auto" w:fill="D0EBF2"/>
          </w:tcPr>
          <w:p>
            <w:pPr>
              <w:spacing w:after="0"/>
              <w:rPr>
                <w:sz w:val="15"/>
                <w:szCs w:val="15"/>
                <w:color w:val="auto"/>
              </w:rPr>
            </w:pPr>
          </w:p>
        </w:tc>
        <w:tc>
          <w:tcPr>
            <w:tcW w:w="20" w:type="dxa"/>
            <w:vAlign w:val="bottom"/>
            <w:shd w:val="clear" w:color="auto" w:fill="D0EBF2"/>
          </w:tcPr>
          <w:p>
            <w:pPr>
              <w:spacing w:after="0"/>
              <w:rPr>
                <w:sz w:val="15"/>
                <w:szCs w:val="15"/>
                <w:color w:val="auto"/>
              </w:rPr>
            </w:pPr>
          </w:p>
        </w:tc>
        <w:tc>
          <w:tcPr>
            <w:tcW w:w="80" w:type="dxa"/>
            <w:vAlign w:val="bottom"/>
            <w:shd w:val="clear" w:color="auto" w:fill="D0EBF2"/>
          </w:tcPr>
          <w:p>
            <w:pPr>
              <w:spacing w:after="0"/>
              <w:rPr>
                <w:sz w:val="15"/>
                <w:szCs w:val="15"/>
                <w:color w:val="auto"/>
              </w:rPr>
            </w:pPr>
          </w:p>
        </w:tc>
        <w:tc>
          <w:tcPr>
            <w:tcW w:w="20" w:type="dxa"/>
            <w:vAlign w:val="bottom"/>
            <w:shd w:val="clear" w:color="auto" w:fill="D0EBF2"/>
          </w:tcPr>
          <w:p>
            <w:pPr>
              <w:spacing w:after="0"/>
              <w:rPr>
                <w:sz w:val="15"/>
                <w:szCs w:val="15"/>
                <w:color w:val="auto"/>
              </w:rPr>
            </w:pPr>
          </w:p>
        </w:tc>
        <w:tc>
          <w:tcPr>
            <w:tcW w:w="20" w:type="dxa"/>
            <w:vAlign w:val="bottom"/>
            <w:shd w:val="clear" w:color="auto" w:fill="D0EBF2"/>
          </w:tcPr>
          <w:p>
            <w:pPr>
              <w:spacing w:after="0"/>
              <w:rPr>
                <w:sz w:val="15"/>
                <w:szCs w:val="15"/>
                <w:color w:val="auto"/>
              </w:rPr>
            </w:pPr>
          </w:p>
        </w:tc>
        <w:tc>
          <w:tcPr>
            <w:tcW w:w="60" w:type="dxa"/>
            <w:vAlign w:val="bottom"/>
            <w:shd w:val="clear" w:color="auto" w:fill="D0EBF2"/>
          </w:tcPr>
          <w:p>
            <w:pPr>
              <w:spacing w:after="0"/>
              <w:rPr>
                <w:sz w:val="15"/>
                <w:szCs w:val="15"/>
                <w:color w:val="auto"/>
              </w:rPr>
            </w:pPr>
          </w:p>
        </w:tc>
        <w:tc>
          <w:tcPr>
            <w:tcW w:w="720" w:type="dxa"/>
            <w:vAlign w:val="bottom"/>
            <w:shd w:val="clear" w:color="auto" w:fill="D0EBF2"/>
          </w:tcPr>
          <w:p>
            <w:pPr>
              <w:spacing w:after="0"/>
              <w:rPr>
                <w:sz w:val="15"/>
                <w:szCs w:val="15"/>
                <w:color w:val="auto"/>
              </w:rPr>
            </w:pPr>
          </w:p>
        </w:tc>
        <w:tc>
          <w:tcPr>
            <w:tcW w:w="100" w:type="dxa"/>
            <w:vAlign w:val="bottom"/>
            <w:shd w:val="clear" w:color="auto" w:fill="D0EBF2"/>
          </w:tcPr>
          <w:p>
            <w:pPr>
              <w:spacing w:after="0"/>
              <w:rPr>
                <w:sz w:val="15"/>
                <w:szCs w:val="15"/>
                <w:color w:val="auto"/>
              </w:rPr>
            </w:pPr>
          </w:p>
        </w:tc>
        <w:tc>
          <w:tcPr>
            <w:tcW w:w="20" w:type="dxa"/>
            <w:vAlign w:val="bottom"/>
            <w:shd w:val="clear" w:color="auto" w:fill="D0EBF2"/>
          </w:tcPr>
          <w:p>
            <w:pPr>
              <w:spacing w:after="0"/>
              <w:rPr>
                <w:sz w:val="15"/>
                <w:szCs w:val="15"/>
                <w:color w:val="auto"/>
              </w:rPr>
            </w:pPr>
          </w:p>
        </w:tc>
        <w:tc>
          <w:tcPr>
            <w:tcW w:w="80" w:type="dxa"/>
            <w:vAlign w:val="bottom"/>
            <w:shd w:val="clear" w:color="auto" w:fill="D0EBF2"/>
          </w:tcPr>
          <w:p>
            <w:pPr>
              <w:spacing w:after="0"/>
              <w:rPr>
                <w:sz w:val="15"/>
                <w:szCs w:val="15"/>
                <w:color w:val="auto"/>
              </w:rPr>
            </w:pPr>
          </w:p>
        </w:tc>
        <w:tc>
          <w:tcPr>
            <w:tcW w:w="20" w:type="dxa"/>
            <w:vAlign w:val="bottom"/>
            <w:shd w:val="clear" w:color="auto" w:fill="D0EBF2"/>
          </w:tcPr>
          <w:p>
            <w:pPr>
              <w:spacing w:after="0"/>
              <w:rPr>
                <w:sz w:val="15"/>
                <w:szCs w:val="15"/>
                <w:color w:val="auto"/>
              </w:rPr>
            </w:pPr>
          </w:p>
        </w:tc>
        <w:tc>
          <w:tcPr>
            <w:tcW w:w="20" w:type="dxa"/>
            <w:vAlign w:val="bottom"/>
            <w:shd w:val="clear" w:color="auto" w:fill="D0EBF2"/>
          </w:tcPr>
          <w:p>
            <w:pPr>
              <w:spacing w:after="0"/>
              <w:rPr>
                <w:sz w:val="15"/>
                <w:szCs w:val="15"/>
                <w:color w:val="auto"/>
              </w:rPr>
            </w:pPr>
          </w:p>
        </w:tc>
        <w:tc>
          <w:tcPr>
            <w:tcW w:w="40" w:type="dxa"/>
            <w:vAlign w:val="bottom"/>
            <w:shd w:val="clear" w:color="auto" w:fill="D0EBF2"/>
          </w:tcPr>
          <w:p>
            <w:pPr>
              <w:spacing w:after="0"/>
              <w:rPr>
                <w:sz w:val="15"/>
                <w:szCs w:val="15"/>
                <w:color w:val="auto"/>
              </w:rPr>
            </w:pPr>
          </w:p>
        </w:tc>
        <w:tc>
          <w:tcPr>
            <w:tcW w:w="720" w:type="dxa"/>
            <w:vAlign w:val="bottom"/>
            <w:shd w:val="clear" w:color="auto" w:fill="D0EBF2"/>
          </w:tcPr>
          <w:p>
            <w:pPr>
              <w:spacing w:after="0"/>
              <w:rPr>
                <w:sz w:val="15"/>
                <w:szCs w:val="15"/>
                <w:color w:val="auto"/>
              </w:rPr>
            </w:pPr>
          </w:p>
        </w:tc>
        <w:tc>
          <w:tcPr>
            <w:tcW w:w="100" w:type="dxa"/>
            <w:vAlign w:val="bottom"/>
            <w:shd w:val="clear" w:color="auto" w:fill="D0EBF2"/>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620" w:type="dxa"/>
            <w:vAlign w:val="bottom"/>
            <w:gridSpan w:val="2"/>
            <w:shd w:val="clear" w:color="auto" w:fill="FDFDFC"/>
          </w:tcPr>
          <w:p>
            <w:pPr>
              <w:ind w:left="200"/>
              <w:spacing w:after="0"/>
              <w:rPr>
                <w:sz w:val="20"/>
                <w:szCs w:val="20"/>
                <w:color w:val="auto"/>
              </w:rPr>
            </w:pPr>
            <w:r>
              <w:rPr>
                <w:rFonts w:ascii="Times New Roman" w:cs="Times New Roman" w:eastAsia="Times New Roman" w:hAnsi="Times New Roman"/>
                <w:sz w:val="14"/>
                <w:szCs w:val="14"/>
                <w:color w:val="231F20"/>
              </w:rPr>
              <w:t>Net investment income</w:t>
            </w:r>
          </w:p>
        </w:tc>
        <w:tc>
          <w:tcPr>
            <w:tcW w:w="860" w:type="dxa"/>
            <w:vAlign w:val="bottom"/>
            <w:shd w:val="clear" w:color="auto" w:fill="FDFDFC"/>
          </w:tcPr>
          <w:p>
            <w:pPr>
              <w:jc w:val="right"/>
              <w:spacing w:after="0"/>
              <w:rPr>
                <w:sz w:val="20"/>
                <w:szCs w:val="20"/>
                <w:color w:val="auto"/>
              </w:rPr>
            </w:pPr>
            <w:r>
              <w:rPr>
                <w:rFonts w:ascii="Times New Roman" w:cs="Times New Roman" w:eastAsia="Times New Roman" w:hAnsi="Times New Roman"/>
                <w:sz w:val="14"/>
                <w:szCs w:val="14"/>
                <w:color w:val="231F20"/>
              </w:rPr>
              <w:t>—</w:t>
            </w:r>
          </w:p>
        </w:tc>
        <w:tc>
          <w:tcPr>
            <w:tcW w:w="100" w:type="dxa"/>
            <w:vAlign w:val="bottom"/>
            <w:shd w:val="clear" w:color="auto" w:fill="FDFDFC"/>
          </w:tcPr>
          <w:p>
            <w:pPr>
              <w:spacing w:after="0"/>
              <w:rPr>
                <w:sz w:val="15"/>
                <w:szCs w:val="15"/>
                <w:color w:val="auto"/>
              </w:rPr>
            </w:pPr>
          </w:p>
        </w:tc>
        <w:tc>
          <w:tcPr>
            <w:tcW w:w="100" w:type="dxa"/>
            <w:vAlign w:val="bottom"/>
            <w:shd w:val="clear" w:color="auto" w:fill="FDFDFC"/>
          </w:tcPr>
          <w:p>
            <w:pPr>
              <w:spacing w:after="0"/>
              <w:rPr>
                <w:sz w:val="15"/>
                <w:szCs w:val="15"/>
                <w:color w:val="auto"/>
              </w:rPr>
            </w:pPr>
          </w:p>
        </w:tc>
        <w:tc>
          <w:tcPr>
            <w:tcW w:w="20" w:type="dxa"/>
            <w:vAlign w:val="bottom"/>
            <w:shd w:val="clear" w:color="auto" w:fill="FDFDFC"/>
          </w:tcPr>
          <w:p>
            <w:pPr>
              <w:spacing w:after="0"/>
              <w:rPr>
                <w:sz w:val="15"/>
                <w:szCs w:val="15"/>
                <w:color w:val="auto"/>
              </w:rPr>
            </w:pPr>
          </w:p>
        </w:tc>
        <w:tc>
          <w:tcPr>
            <w:tcW w:w="20" w:type="dxa"/>
            <w:vAlign w:val="bottom"/>
            <w:shd w:val="clear" w:color="auto" w:fill="FDFDFC"/>
          </w:tcPr>
          <w:p>
            <w:pPr>
              <w:spacing w:after="0"/>
              <w:rPr>
                <w:sz w:val="15"/>
                <w:szCs w:val="15"/>
                <w:color w:val="auto"/>
              </w:rPr>
            </w:pPr>
          </w:p>
        </w:tc>
        <w:tc>
          <w:tcPr>
            <w:tcW w:w="60" w:type="dxa"/>
            <w:vAlign w:val="bottom"/>
            <w:shd w:val="clear" w:color="auto" w:fill="FDFDFC"/>
          </w:tcPr>
          <w:p>
            <w:pPr>
              <w:spacing w:after="0"/>
              <w:rPr>
                <w:sz w:val="15"/>
                <w:szCs w:val="15"/>
                <w:color w:val="auto"/>
              </w:rPr>
            </w:pPr>
          </w:p>
        </w:tc>
        <w:tc>
          <w:tcPr>
            <w:tcW w:w="420" w:type="dxa"/>
            <w:vAlign w:val="bottom"/>
            <w:shd w:val="clear" w:color="auto" w:fill="FDFDFC"/>
          </w:tcPr>
          <w:p>
            <w:pPr>
              <w:jc w:val="right"/>
              <w:spacing w:after="0"/>
              <w:rPr>
                <w:sz w:val="20"/>
                <w:szCs w:val="20"/>
                <w:color w:val="auto"/>
              </w:rPr>
            </w:pPr>
            <w:r>
              <w:rPr>
                <w:rFonts w:ascii="Times New Roman" w:cs="Times New Roman" w:eastAsia="Times New Roman" w:hAnsi="Times New Roman"/>
                <w:sz w:val="14"/>
                <w:szCs w:val="14"/>
                <w:color w:val="231F20"/>
              </w:rPr>
              <w:t>—</w:t>
            </w:r>
          </w:p>
        </w:tc>
        <w:tc>
          <w:tcPr>
            <w:tcW w:w="100" w:type="dxa"/>
            <w:vAlign w:val="bottom"/>
            <w:shd w:val="clear" w:color="auto" w:fill="FDFDFC"/>
          </w:tcPr>
          <w:p>
            <w:pPr>
              <w:spacing w:after="0"/>
              <w:rPr>
                <w:sz w:val="15"/>
                <w:szCs w:val="15"/>
                <w:color w:val="auto"/>
              </w:rPr>
            </w:pPr>
          </w:p>
        </w:tc>
        <w:tc>
          <w:tcPr>
            <w:tcW w:w="20" w:type="dxa"/>
            <w:vAlign w:val="bottom"/>
            <w:shd w:val="clear" w:color="auto" w:fill="FDFDFC"/>
          </w:tcPr>
          <w:p>
            <w:pPr>
              <w:spacing w:after="0"/>
              <w:rPr>
                <w:sz w:val="15"/>
                <w:szCs w:val="15"/>
                <w:color w:val="auto"/>
              </w:rPr>
            </w:pPr>
          </w:p>
        </w:tc>
        <w:tc>
          <w:tcPr>
            <w:tcW w:w="80" w:type="dxa"/>
            <w:vAlign w:val="bottom"/>
            <w:shd w:val="clear" w:color="auto" w:fill="FDFDFC"/>
          </w:tcPr>
          <w:p>
            <w:pPr>
              <w:spacing w:after="0"/>
              <w:rPr>
                <w:sz w:val="15"/>
                <w:szCs w:val="15"/>
                <w:color w:val="auto"/>
              </w:rPr>
            </w:pPr>
          </w:p>
        </w:tc>
        <w:tc>
          <w:tcPr>
            <w:tcW w:w="20" w:type="dxa"/>
            <w:vAlign w:val="bottom"/>
            <w:shd w:val="clear" w:color="auto" w:fill="FDFDFC"/>
          </w:tcPr>
          <w:p>
            <w:pPr>
              <w:spacing w:after="0"/>
              <w:rPr>
                <w:sz w:val="15"/>
                <w:szCs w:val="15"/>
                <w:color w:val="auto"/>
              </w:rPr>
            </w:pPr>
          </w:p>
        </w:tc>
        <w:tc>
          <w:tcPr>
            <w:tcW w:w="20" w:type="dxa"/>
            <w:vAlign w:val="bottom"/>
            <w:shd w:val="clear" w:color="auto" w:fill="FDFDFC"/>
          </w:tcPr>
          <w:p>
            <w:pPr>
              <w:spacing w:after="0"/>
              <w:rPr>
                <w:sz w:val="15"/>
                <w:szCs w:val="15"/>
                <w:color w:val="auto"/>
              </w:rPr>
            </w:pPr>
          </w:p>
        </w:tc>
        <w:tc>
          <w:tcPr>
            <w:tcW w:w="660" w:type="dxa"/>
            <w:vAlign w:val="bottom"/>
            <w:shd w:val="clear" w:color="auto" w:fill="FDFDFC"/>
          </w:tcPr>
          <w:p>
            <w:pPr>
              <w:jc w:val="right"/>
              <w:spacing w:after="0"/>
              <w:rPr>
                <w:sz w:val="20"/>
                <w:szCs w:val="20"/>
                <w:color w:val="auto"/>
              </w:rPr>
            </w:pPr>
            <w:r>
              <w:rPr>
                <w:rFonts w:ascii="Times New Roman" w:cs="Times New Roman" w:eastAsia="Times New Roman" w:hAnsi="Times New Roman"/>
                <w:sz w:val="14"/>
                <w:szCs w:val="14"/>
                <w:color w:val="231F20"/>
              </w:rPr>
              <w:t>—</w:t>
            </w:r>
          </w:p>
        </w:tc>
        <w:tc>
          <w:tcPr>
            <w:tcW w:w="100" w:type="dxa"/>
            <w:vAlign w:val="bottom"/>
            <w:shd w:val="clear" w:color="auto" w:fill="FDFDFC"/>
          </w:tcPr>
          <w:p>
            <w:pPr>
              <w:spacing w:after="0"/>
              <w:rPr>
                <w:sz w:val="15"/>
                <w:szCs w:val="15"/>
                <w:color w:val="auto"/>
              </w:rPr>
            </w:pPr>
          </w:p>
        </w:tc>
        <w:tc>
          <w:tcPr>
            <w:tcW w:w="20" w:type="dxa"/>
            <w:vAlign w:val="bottom"/>
            <w:shd w:val="clear" w:color="auto" w:fill="FDFDFC"/>
          </w:tcPr>
          <w:p>
            <w:pPr>
              <w:spacing w:after="0"/>
              <w:rPr>
                <w:sz w:val="15"/>
                <w:szCs w:val="15"/>
                <w:color w:val="auto"/>
              </w:rPr>
            </w:pPr>
          </w:p>
        </w:tc>
        <w:tc>
          <w:tcPr>
            <w:tcW w:w="80" w:type="dxa"/>
            <w:vAlign w:val="bottom"/>
            <w:shd w:val="clear" w:color="auto" w:fill="FDFDFC"/>
          </w:tcPr>
          <w:p>
            <w:pPr>
              <w:spacing w:after="0"/>
              <w:rPr>
                <w:sz w:val="15"/>
                <w:szCs w:val="15"/>
                <w:color w:val="auto"/>
              </w:rPr>
            </w:pPr>
          </w:p>
        </w:tc>
        <w:tc>
          <w:tcPr>
            <w:tcW w:w="20" w:type="dxa"/>
            <w:vAlign w:val="bottom"/>
            <w:shd w:val="clear" w:color="auto" w:fill="FDFDFC"/>
          </w:tcPr>
          <w:p>
            <w:pPr>
              <w:spacing w:after="0"/>
              <w:rPr>
                <w:sz w:val="15"/>
                <w:szCs w:val="15"/>
                <w:color w:val="auto"/>
              </w:rPr>
            </w:pPr>
          </w:p>
        </w:tc>
        <w:tc>
          <w:tcPr>
            <w:tcW w:w="20" w:type="dxa"/>
            <w:vAlign w:val="bottom"/>
            <w:shd w:val="clear" w:color="auto" w:fill="FDFDFC"/>
          </w:tcPr>
          <w:p>
            <w:pPr>
              <w:spacing w:after="0"/>
              <w:rPr>
                <w:sz w:val="15"/>
                <w:szCs w:val="15"/>
                <w:color w:val="auto"/>
              </w:rPr>
            </w:pPr>
          </w:p>
        </w:tc>
        <w:tc>
          <w:tcPr>
            <w:tcW w:w="60" w:type="dxa"/>
            <w:vAlign w:val="bottom"/>
            <w:shd w:val="clear" w:color="auto" w:fill="FDFDFC"/>
          </w:tcPr>
          <w:p>
            <w:pPr>
              <w:spacing w:after="0"/>
              <w:rPr>
                <w:sz w:val="15"/>
                <w:szCs w:val="15"/>
                <w:color w:val="auto"/>
              </w:rPr>
            </w:pPr>
          </w:p>
        </w:tc>
        <w:tc>
          <w:tcPr>
            <w:tcW w:w="480" w:type="dxa"/>
            <w:vAlign w:val="bottom"/>
            <w:shd w:val="clear" w:color="auto" w:fill="FDFDFC"/>
          </w:tcPr>
          <w:p>
            <w:pPr>
              <w:jc w:val="right"/>
              <w:spacing w:after="0"/>
              <w:rPr>
                <w:sz w:val="20"/>
                <w:szCs w:val="20"/>
                <w:color w:val="auto"/>
              </w:rPr>
            </w:pPr>
            <w:r>
              <w:rPr>
                <w:rFonts w:ascii="Times New Roman" w:cs="Times New Roman" w:eastAsia="Times New Roman" w:hAnsi="Times New Roman"/>
                <w:sz w:val="14"/>
                <w:szCs w:val="14"/>
                <w:color w:val="231F20"/>
              </w:rPr>
              <w:t>—</w:t>
            </w:r>
          </w:p>
        </w:tc>
        <w:tc>
          <w:tcPr>
            <w:tcW w:w="100" w:type="dxa"/>
            <w:vAlign w:val="bottom"/>
            <w:shd w:val="clear" w:color="auto" w:fill="FDFDFC"/>
          </w:tcPr>
          <w:p>
            <w:pPr>
              <w:spacing w:after="0"/>
              <w:rPr>
                <w:sz w:val="15"/>
                <w:szCs w:val="15"/>
                <w:color w:val="auto"/>
              </w:rPr>
            </w:pPr>
          </w:p>
        </w:tc>
        <w:tc>
          <w:tcPr>
            <w:tcW w:w="20" w:type="dxa"/>
            <w:vAlign w:val="bottom"/>
            <w:shd w:val="clear" w:color="auto" w:fill="FDFDFC"/>
          </w:tcPr>
          <w:p>
            <w:pPr>
              <w:spacing w:after="0"/>
              <w:rPr>
                <w:sz w:val="15"/>
                <w:szCs w:val="15"/>
                <w:color w:val="auto"/>
              </w:rPr>
            </w:pPr>
          </w:p>
        </w:tc>
        <w:tc>
          <w:tcPr>
            <w:tcW w:w="20" w:type="dxa"/>
            <w:vAlign w:val="bottom"/>
            <w:shd w:val="clear" w:color="auto" w:fill="FDFDFC"/>
          </w:tcPr>
          <w:p>
            <w:pPr>
              <w:spacing w:after="0"/>
              <w:rPr>
                <w:sz w:val="15"/>
                <w:szCs w:val="15"/>
                <w:color w:val="auto"/>
              </w:rPr>
            </w:pPr>
          </w:p>
        </w:tc>
        <w:tc>
          <w:tcPr>
            <w:tcW w:w="60" w:type="dxa"/>
            <w:vAlign w:val="bottom"/>
            <w:shd w:val="clear" w:color="auto" w:fill="FDFDFC"/>
          </w:tcPr>
          <w:p>
            <w:pPr>
              <w:spacing w:after="0"/>
              <w:rPr>
                <w:sz w:val="15"/>
                <w:szCs w:val="15"/>
                <w:color w:val="auto"/>
              </w:rPr>
            </w:pPr>
          </w:p>
        </w:tc>
        <w:tc>
          <w:tcPr>
            <w:tcW w:w="140" w:type="dxa"/>
            <w:vAlign w:val="bottom"/>
            <w:shd w:val="clear" w:color="auto" w:fill="FDFDFC"/>
          </w:tcPr>
          <w:p>
            <w:pPr>
              <w:spacing w:after="0"/>
              <w:rPr>
                <w:sz w:val="15"/>
                <w:szCs w:val="15"/>
                <w:color w:val="auto"/>
              </w:rPr>
            </w:pPr>
          </w:p>
        </w:tc>
        <w:tc>
          <w:tcPr>
            <w:tcW w:w="900" w:type="dxa"/>
            <w:vAlign w:val="bottom"/>
            <w:shd w:val="clear" w:color="auto" w:fill="FDFDFC"/>
          </w:tcPr>
          <w:p>
            <w:pPr>
              <w:jc w:val="right"/>
              <w:spacing w:after="0"/>
              <w:rPr>
                <w:sz w:val="20"/>
                <w:szCs w:val="20"/>
                <w:color w:val="auto"/>
              </w:rPr>
            </w:pPr>
            <w:r>
              <w:rPr>
                <w:rFonts w:ascii="Times New Roman" w:cs="Times New Roman" w:eastAsia="Times New Roman" w:hAnsi="Times New Roman"/>
                <w:sz w:val="14"/>
                <w:szCs w:val="14"/>
                <w:color w:val="231F20"/>
              </w:rPr>
              <w:t>—</w:t>
            </w:r>
          </w:p>
        </w:tc>
        <w:tc>
          <w:tcPr>
            <w:tcW w:w="100" w:type="dxa"/>
            <w:vAlign w:val="bottom"/>
            <w:shd w:val="clear" w:color="auto" w:fill="FDFDFC"/>
          </w:tcPr>
          <w:p>
            <w:pPr>
              <w:spacing w:after="0"/>
              <w:rPr>
                <w:sz w:val="15"/>
                <w:szCs w:val="15"/>
                <w:color w:val="auto"/>
              </w:rPr>
            </w:pPr>
          </w:p>
        </w:tc>
        <w:tc>
          <w:tcPr>
            <w:tcW w:w="20" w:type="dxa"/>
            <w:vAlign w:val="bottom"/>
            <w:shd w:val="clear" w:color="auto" w:fill="FDFDFC"/>
          </w:tcPr>
          <w:p>
            <w:pPr>
              <w:spacing w:after="0"/>
              <w:rPr>
                <w:sz w:val="15"/>
                <w:szCs w:val="15"/>
                <w:color w:val="auto"/>
              </w:rPr>
            </w:pPr>
          </w:p>
        </w:tc>
        <w:tc>
          <w:tcPr>
            <w:tcW w:w="80" w:type="dxa"/>
            <w:vAlign w:val="bottom"/>
            <w:shd w:val="clear" w:color="auto" w:fill="FDFDFC"/>
          </w:tcPr>
          <w:p>
            <w:pPr>
              <w:spacing w:after="0"/>
              <w:rPr>
                <w:sz w:val="15"/>
                <w:szCs w:val="15"/>
                <w:color w:val="auto"/>
              </w:rPr>
            </w:pPr>
          </w:p>
        </w:tc>
        <w:tc>
          <w:tcPr>
            <w:tcW w:w="20" w:type="dxa"/>
            <w:vAlign w:val="bottom"/>
            <w:shd w:val="clear" w:color="auto" w:fill="FDFDFC"/>
          </w:tcPr>
          <w:p>
            <w:pPr>
              <w:spacing w:after="0"/>
              <w:rPr>
                <w:sz w:val="15"/>
                <w:szCs w:val="15"/>
                <w:color w:val="auto"/>
              </w:rPr>
            </w:pPr>
          </w:p>
        </w:tc>
        <w:tc>
          <w:tcPr>
            <w:tcW w:w="20" w:type="dxa"/>
            <w:vAlign w:val="bottom"/>
            <w:shd w:val="clear" w:color="auto" w:fill="FDFDFC"/>
          </w:tcPr>
          <w:p>
            <w:pPr>
              <w:spacing w:after="0"/>
              <w:rPr>
                <w:sz w:val="15"/>
                <w:szCs w:val="15"/>
                <w:color w:val="auto"/>
              </w:rPr>
            </w:pPr>
          </w:p>
        </w:tc>
        <w:tc>
          <w:tcPr>
            <w:tcW w:w="60" w:type="dxa"/>
            <w:vAlign w:val="bottom"/>
            <w:shd w:val="clear" w:color="auto" w:fill="FDFDFC"/>
          </w:tcPr>
          <w:p>
            <w:pPr>
              <w:spacing w:after="0"/>
              <w:rPr>
                <w:sz w:val="15"/>
                <w:szCs w:val="15"/>
                <w:color w:val="auto"/>
              </w:rPr>
            </w:pPr>
          </w:p>
        </w:tc>
        <w:tc>
          <w:tcPr>
            <w:tcW w:w="720" w:type="dxa"/>
            <w:vAlign w:val="bottom"/>
            <w:shd w:val="clear" w:color="auto" w:fill="FDFDFC"/>
          </w:tcPr>
          <w:p>
            <w:pPr>
              <w:jc w:val="right"/>
              <w:spacing w:after="0"/>
              <w:rPr>
                <w:sz w:val="20"/>
                <w:szCs w:val="20"/>
                <w:color w:val="auto"/>
              </w:rPr>
            </w:pPr>
            <w:r>
              <w:rPr>
                <w:rFonts w:ascii="Times New Roman" w:cs="Times New Roman" w:eastAsia="Times New Roman" w:hAnsi="Times New Roman"/>
                <w:sz w:val="14"/>
                <w:szCs w:val="14"/>
                <w:color w:val="231F20"/>
              </w:rPr>
              <w:t>196,399</w:t>
            </w:r>
          </w:p>
        </w:tc>
        <w:tc>
          <w:tcPr>
            <w:tcW w:w="100" w:type="dxa"/>
            <w:vAlign w:val="bottom"/>
            <w:shd w:val="clear" w:color="auto" w:fill="FDFDFC"/>
          </w:tcPr>
          <w:p>
            <w:pPr>
              <w:spacing w:after="0"/>
              <w:rPr>
                <w:sz w:val="15"/>
                <w:szCs w:val="15"/>
                <w:color w:val="auto"/>
              </w:rPr>
            </w:pPr>
          </w:p>
        </w:tc>
        <w:tc>
          <w:tcPr>
            <w:tcW w:w="20" w:type="dxa"/>
            <w:vAlign w:val="bottom"/>
            <w:shd w:val="clear" w:color="auto" w:fill="FDFDFC"/>
          </w:tcPr>
          <w:p>
            <w:pPr>
              <w:spacing w:after="0"/>
              <w:rPr>
                <w:sz w:val="15"/>
                <w:szCs w:val="15"/>
                <w:color w:val="auto"/>
              </w:rPr>
            </w:pPr>
          </w:p>
        </w:tc>
        <w:tc>
          <w:tcPr>
            <w:tcW w:w="80" w:type="dxa"/>
            <w:vAlign w:val="bottom"/>
            <w:shd w:val="clear" w:color="auto" w:fill="FDFDFC"/>
          </w:tcPr>
          <w:p>
            <w:pPr>
              <w:spacing w:after="0"/>
              <w:rPr>
                <w:sz w:val="15"/>
                <w:szCs w:val="15"/>
                <w:color w:val="auto"/>
              </w:rPr>
            </w:pPr>
          </w:p>
        </w:tc>
        <w:tc>
          <w:tcPr>
            <w:tcW w:w="20" w:type="dxa"/>
            <w:vAlign w:val="bottom"/>
            <w:shd w:val="clear" w:color="auto" w:fill="FDFDFC"/>
          </w:tcPr>
          <w:p>
            <w:pPr>
              <w:spacing w:after="0"/>
              <w:rPr>
                <w:sz w:val="15"/>
                <w:szCs w:val="15"/>
                <w:color w:val="auto"/>
              </w:rPr>
            </w:pPr>
          </w:p>
        </w:tc>
        <w:tc>
          <w:tcPr>
            <w:tcW w:w="20" w:type="dxa"/>
            <w:vAlign w:val="bottom"/>
            <w:shd w:val="clear" w:color="auto" w:fill="FDFDFC"/>
          </w:tcPr>
          <w:p>
            <w:pPr>
              <w:spacing w:after="0"/>
              <w:rPr>
                <w:sz w:val="15"/>
                <w:szCs w:val="15"/>
                <w:color w:val="auto"/>
              </w:rPr>
            </w:pPr>
          </w:p>
        </w:tc>
        <w:tc>
          <w:tcPr>
            <w:tcW w:w="40" w:type="dxa"/>
            <w:vAlign w:val="bottom"/>
            <w:shd w:val="clear" w:color="auto" w:fill="FDFDFC"/>
          </w:tcPr>
          <w:p>
            <w:pPr>
              <w:spacing w:after="0"/>
              <w:rPr>
                <w:sz w:val="15"/>
                <w:szCs w:val="15"/>
                <w:color w:val="auto"/>
              </w:rPr>
            </w:pPr>
          </w:p>
        </w:tc>
        <w:tc>
          <w:tcPr>
            <w:tcW w:w="720" w:type="dxa"/>
            <w:vAlign w:val="bottom"/>
            <w:shd w:val="clear" w:color="auto" w:fill="FDFDFC"/>
          </w:tcPr>
          <w:p>
            <w:pPr>
              <w:jc w:val="right"/>
              <w:spacing w:after="0"/>
              <w:rPr>
                <w:sz w:val="20"/>
                <w:szCs w:val="20"/>
                <w:color w:val="auto"/>
              </w:rPr>
            </w:pPr>
            <w:r>
              <w:rPr>
                <w:rFonts w:ascii="Times New Roman" w:cs="Times New Roman" w:eastAsia="Times New Roman" w:hAnsi="Times New Roman"/>
                <w:sz w:val="14"/>
                <w:szCs w:val="14"/>
                <w:color w:val="231F20"/>
              </w:rPr>
              <w:t>196,399</w:t>
            </w:r>
          </w:p>
        </w:tc>
        <w:tc>
          <w:tcPr>
            <w:tcW w:w="100" w:type="dxa"/>
            <w:vAlign w:val="bottom"/>
            <w:shd w:val="clear" w:color="auto" w:fill="FDFDFC"/>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3620" w:type="dxa"/>
            <w:vAlign w:val="bottom"/>
            <w:gridSpan w:val="2"/>
            <w:shd w:val="clear" w:color="auto" w:fill="D0EBF2"/>
          </w:tcPr>
          <w:p>
            <w:pPr>
              <w:ind w:left="200"/>
              <w:spacing w:after="0"/>
              <w:rPr>
                <w:sz w:val="20"/>
                <w:szCs w:val="20"/>
                <w:color w:val="auto"/>
              </w:rPr>
            </w:pPr>
            <w:r>
              <w:rPr>
                <w:rFonts w:ascii="Times New Roman" w:cs="Times New Roman" w:eastAsia="Times New Roman" w:hAnsi="Times New Roman"/>
                <w:sz w:val="14"/>
                <w:szCs w:val="14"/>
                <w:color w:val="231F20"/>
              </w:rPr>
              <w:t>Net change in unrealized gains (losses) on investments</w:t>
            </w:r>
          </w:p>
        </w:tc>
        <w:tc>
          <w:tcPr>
            <w:tcW w:w="860" w:type="dxa"/>
            <w:vAlign w:val="bottom"/>
            <w:shd w:val="clear" w:color="auto" w:fill="D0EBF2"/>
          </w:tcPr>
          <w:p>
            <w:pPr>
              <w:spacing w:after="0"/>
              <w:rPr>
                <w:sz w:val="14"/>
                <w:szCs w:val="14"/>
                <w:color w:val="auto"/>
              </w:rPr>
            </w:pPr>
          </w:p>
        </w:tc>
        <w:tc>
          <w:tcPr>
            <w:tcW w:w="100" w:type="dxa"/>
            <w:vAlign w:val="bottom"/>
            <w:shd w:val="clear" w:color="auto" w:fill="D0EBF2"/>
          </w:tcPr>
          <w:p>
            <w:pPr>
              <w:spacing w:after="0"/>
              <w:rPr>
                <w:sz w:val="14"/>
                <w:szCs w:val="14"/>
                <w:color w:val="auto"/>
              </w:rPr>
            </w:pPr>
          </w:p>
        </w:tc>
        <w:tc>
          <w:tcPr>
            <w:tcW w:w="100" w:type="dxa"/>
            <w:vAlign w:val="bottom"/>
            <w:shd w:val="clear" w:color="auto" w:fill="D0EBF2"/>
          </w:tcPr>
          <w:p>
            <w:pPr>
              <w:spacing w:after="0"/>
              <w:rPr>
                <w:sz w:val="14"/>
                <w:szCs w:val="14"/>
                <w:color w:val="auto"/>
              </w:rPr>
            </w:pPr>
          </w:p>
        </w:tc>
        <w:tc>
          <w:tcPr>
            <w:tcW w:w="20" w:type="dxa"/>
            <w:vAlign w:val="bottom"/>
            <w:shd w:val="clear" w:color="auto" w:fill="D0EBF2"/>
          </w:tcPr>
          <w:p>
            <w:pPr>
              <w:spacing w:after="0"/>
              <w:rPr>
                <w:sz w:val="14"/>
                <w:szCs w:val="14"/>
                <w:color w:val="auto"/>
              </w:rPr>
            </w:pPr>
          </w:p>
        </w:tc>
        <w:tc>
          <w:tcPr>
            <w:tcW w:w="20" w:type="dxa"/>
            <w:vAlign w:val="bottom"/>
            <w:shd w:val="clear" w:color="auto" w:fill="D0EBF2"/>
          </w:tcPr>
          <w:p>
            <w:pPr>
              <w:spacing w:after="0"/>
              <w:rPr>
                <w:sz w:val="14"/>
                <w:szCs w:val="14"/>
                <w:color w:val="auto"/>
              </w:rPr>
            </w:pPr>
          </w:p>
        </w:tc>
        <w:tc>
          <w:tcPr>
            <w:tcW w:w="60" w:type="dxa"/>
            <w:vAlign w:val="bottom"/>
            <w:shd w:val="clear" w:color="auto" w:fill="D0EBF2"/>
          </w:tcPr>
          <w:p>
            <w:pPr>
              <w:spacing w:after="0"/>
              <w:rPr>
                <w:sz w:val="14"/>
                <w:szCs w:val="14"/>
                <w:color w:val="auto"/>
              </w:rPr>
            </w:pPr>
          </w:p>
        </w:tc>
        <w:tc>
          <w:tcPr>
            <w:tcW w:w="420" w:type="dxa"/>
            <w:vAlign w:val="bottom"/>
            <w:shd w:val="clear" w:color="auto" w:fill="D0EBF2"/>
          </w:tcPr>
          <w:p>
            <w:pPr>
              <w:spacing w:after="0"/>
              <w:rPr>
                <w:sz w:val="14"/>
                <w:szCs w:val="14"/>
                <w:color w:val="auto"/>
              </w:rPr>
            </w:pPr>
          </w:p>
        </w:tc>
        <w:tc>
          <w:tcPr>
            <w:tcW w:w="100" w:type="dxa"/>
            <w:vAlign w:val="bottom"/>
            <w:shd w:val="clear" w:color="auto" w:fill="D0EBF2"/>
          </w:tcPr>
          <w:p>
            <w:pPr>
              <w:spacing w:after="0"/>
              <w:rPr>
                <w:sz w:val="14"/>
                <w:szCs w:val="14"/>
                <w:color w:val="auto"/>
              </w:rPr>
            </w:pPr>
          </w:p>
        </w:tc>
        <w:tc>
          <w:tcPr>
            <w:tcW w:w="20" w:type="dxa"/>
            <w:vAlign w:val="bottom"/>
            <w:shd w:val="clear" w:color="auto" w:fill="D0EBF2"/>
          </w:tcPr>
          <w:p>
            <w:pPr>
              <w:spacing w:after="0"/>
              <w:rPr>
                <w:sz w:val="14"/>
                <w:szCs w:val="14"/>
                <w:color w:val="auto"/>
              </w:rPr>
            </w:pPr>
          </w:p>
        </w:tc>
        <w:tc>
          <w:tcPr>
            <w:tcW w:w="80" w:type="dxa"/>
            <w:vAlign w:val="bottom"/>
            <w:shd w:val="clear" w:color="auto" w:fill="D0EBF2"/>
          </w:tcPr>
          <w:p>
            <w:pPr>
              <w:spacing w:after="0"/>
              <w:rPr>
                <w:sz w:val="14"/>
                <w:szCs w:val="14"/>
                <w:color w:val="auto"/>
              </w:rPr>
            </w:pPr>
          </w:p>
        </w:tc>
        <w:tc>
          <w:tcPr>
            <w:tcW w:w="20" w:type="dxa"/>
            <w:vAlign w:val="bottom"/>
            <w:shd w:val="clear" w:color="auto" w:fill="D0EBF2"/>
          </w:tcPr>
          <w:p>
            <w:pPr>
              <w:spacing w:after="0"/>
              <w:rPr>
                <w:sz w:val="14"/>
                <w:szCs w:val="14"/>
                <w:color w:val="auto"/>
              </w:rPr>
            </w:pPr>
          </w:p>
        </w:tc>
        <w:tc>
          <w:tcPr>
            <w:tcW w:w="20" w:type="dxa"/>
            <w:vAlign w:val="bottom"/>
            <w:shd w:val="clear" w:color="auto" w:fill="D0EBF2"/>
          </w:tcPr>
          <w:p>
            <w:pPr>
              <w:spacing w:after="0"/>
              <w:rPr>
                <w:sz w:val="14"/>
                <w:szCs w:val="14"/>
                <w:color w:val="auto"/>
              </w:rPr>
            </w:pPr>
          </w:p>
        </w:tc>
        <w:tc>
          <w:tcPr>
            <w:tcW w:w="660" w:type="dxa"/>
            <w:vAlign w:val="bottom"/>
            <w:shd w:val="clear" w:color="auto" w:fill="D0EBF2"/>
          </w:tcPr>
          <w:p>
            <w:pPr>
              <w:spacing w:after="0"/>
              <w:rPr>
                <w:sz w:val="14"/>
                <w:szCs w:val="14"/>
                <w:color w:val="auto"/>
              </w:rPr>
            </w:pPr>
          </w:p>
        </w:tc>
        <w:tc>
          <w:tcPr>
            <w:tcW w:w="100" w:type="dxa"/>
            <w:vAlign w:val="bottom"/>
            <w:shd w:val="clear" w:color="auto" w:fill="D0EBF2"/>
          </w:tcPr>
          <w:p>
            <w:pPr>
              <w:spacing w:after="0"/>
              <w:rPr>
                <w:sz w:val="14"/>
                <w:szCs w:val="14"/>
                <w:color w:val="auto"/>
              </w:rPr>
            </w:pPr>
          </w:p>
        </w:tc>
        <w:tc>
          <w:tcPr>
            <w:tcW w:w="20" w:type="dxa"/>
            <w:vAlign w:val="bottom"/>
            <w:shd w:val="clear" w:color="auto" w:fill="D0EBF2"/>
          </w:tcPr>
          <w:p>
            <w:pPr>
              <w:spacing w:after="0"/>
              <w:rPr>
                <w:sz w:val="14"/>
                <w:szCs w:val="14"/>
                <w:color w:val="auto"/>
              </w:rPr>
            </w:pPr>
          </w:p>
        </w:tc>
        <w:tc>
          <w:tcPr>
            <w:tcW w:w="80" w:type="dxa"/>
            <w:vAlign w:val="bottom"/>
            <w:shd w:val="clear" w:color="auto" w:fill="D0EBF2"/>
          </w:tcPr>
          <w:p>
            <w:pPr>
              <w:spacing w:after="0"/>
              <w:rPr>
                <w:sz w:val="14"/>
                <w:szCs w:val="14"/>
                <w:color w:val="auto"/>
              </w:rPr>
            </w:pPr>
          </w:p>
        </w:tc>
        <w:tc>
          <w:tcPr>
            <w:tcW w:w="20" w:type="dxa"/>
            <w:vAlign w:val="bottom"/>
            <w:shd w:val="clear" w:color="auto" w:fill="D0EBF2"/>
          </w:tcPr>
          <w:p>
            <w:pPr>
              <w:spacing w:after="0"/>
              <w:rPr>
                <w:sz w:val="14"/>
                <w:szCs w:val="14"/>
                <w:color w:val="auto"/>
              </w:rPr>
            </w:pPr>
          </w:p>
        </w:tc>
        <w:tc>
          <w:tcPr>
            <w:tcW w:w="20" w:type="dxa"/>
            <w:vAlign w:val="bottom"/>
            <w:shd w:val="clear" w:color="auto" w:fill="D0EBF2"/>
          </w:tcPr>
          <w:p>
            <w:pPr>
              <w:spacing w:after="0"/>
              <w:rPr>
                <w:sz w:val="14"/>
                <w:szCs w:val="14"/>
                <w:color w:val="auto"/>
              </w:rPr>
            </w:pPr>
          </w:p>
        </w:tc>
        <w:tc>
          <w:tcPr>
            <w:tcW w:w="60" w:type="dxa"/>
            <w:vAlign w:val="bottom"/>
            <w:shd w:val="clear" w:color="auto" w:fill="D0EBF2"/>
          </w:tcPr>
          <w:p>
            <w:pPr>
              <w:spacing w:after="0"/>
              <w:rPr>
                <w:sz w:val="14"/>
                <w:szCs w:val="14"/>
                <w:color w:val="auto"/>
              </w:rPr>
            </w:pPr>
          </w:p>
        </w:tc>
        <w:tc>
          <w:tcPr>
            <w:tcW w:w="480" w:type="dxa"/>
            <w:vAlign w:val="bottom"/>
            <w:shd w:val="clear" w:color="auto" w:fill="D0EBF2"/>
          </w:tcPr>
          <w:p>
            <w:pPr>
              <w:spacing w:after="0"/>
              <w:rPr>
                <w:sz w:val="14"/>
                <w:szCs w:val="14"/>
                <w:color w:val="auto"/>
              </w:rPr>
            </w:pPr>
          </w:p>
        </w:tc>
        <w:tc>
          <w:tcPr>
            <w:tcW w:w="100" w:type="dxa"/>
            <w:vAlign w:val="bottom"/>
            <w:shd w:val="clear" w:color="auto" w:fill="D0EBF2"/>
          </w:tcPr>
          <w:p>
            <w:pPr>
              <w:spacing w:after="0"/>
              <w:rPr>
                <w:sz w:val="14"/>
                <w:szCs w:val="14"/>
                <w:color w:val="auto"/>
              </w:rPr>
            </w:pPr>
          </w:p>
        </w:tc>
        <w:tc>
          <w:tcPr>
            <w:tcW w:w="20" w:type="dxa"/>
            <w:vAlign w:val="bottom"/>
            <w:shd w:val="clear" w:color="auto" w:fill="D0EBF2"/>
          </w:tcPr>
          <w:p>
            <w:pPr>
              <w:spacing w:after="0"/>
              <w:rPr>
                <w:sz w:val="14"/>
                <w:szCs w:val="14"/>
                <w:color w:val="auto"/>
              </w:rPr>
            </w:pPr>
          </w:p>
        </w:tc>
        <w:tc>
          <w:tcPr>
            <w:tcW w:w="20" w:type="dxa"/>
            <w:vAlign w:val="bottom"/>
            <w:shd w:val="clear" w:color="auto" w:fill="D0EBF2"/>
          </w:tcPr>
          <w:p>
            <w:pPr>
              <w:spacing w:after="0"/>
              <w:rPr>
                <w:sz w:val="14"/>
                <w:szCs w:val="14"/>
                <w:color w:val="auto"/>
              </w:rPr>
            </w:pPr>
          </w:p>
        </w:tc>
        <w:tc>
          <w:tcPr>
            <w:tcW w:w="60" w:type="dxa"/>
            <w:vAlign w:val="bottom"/>
            <w:shd w:val="clear" w:color="auto" w:fill="D0EBF2"/>
          </w:tcPr>
          <w:p>
            <w:pPr>
              <w:spacing w:after="0"/>
              <w:rPr>
                <w:sz w:val="14"/>
                <w:szCs w:val="14"/>
                <w:color w:val="auto"/>
              </w:rPr>
            </w:pPr>
          </w:p>
        </w:tc>
        <w:tc>
          <w:tcPr>
            <w:tcW w:w="140" w:type="dxa"/>
            <w:vAlign w:val="bottom"/>
            <w:shd w:val="clear" w:color="auto" w:fill="D0EBF2"/>
          </w:tcPr>
          <w:p>
            <w:pPr>
              <w:spacing w:after="0"/>
              <w:rPr>
                <w:sz w:val="14"/>
                <w:szCs w:val="14"/>
                <w:color w:val="auto"/>
              </w:rPr>
            </w:pPr>
          </w:p>
        </w:tc>
        <w:tc>
          <w:tcPr>
            <w:tcW w:w="900" w:type="dxa"/>
            <w:vAlign w:val="bottom"/>
            <w:shd w:val="clear" w:color="auto" w:fill="D0EBF2"/>
          </w:tcPr>
          <w:p>
            <w:pPr>
              <w:spacing w:after="0"/>
              <w:rPr>
                <w:sz w:val="14"/>
                <w:szCs w:val="14"/>
                <w:color w:val="auto"/>
              </w:rPr>
            </w:pPr>
          </w:p>
        </w:tc>
        <w:tc>
          <w:tcPr>
            <w:tcW w:w="100" w:type="dxa"/>
            <w:vAlign w:val="bottom"/>
            <w:shd w:val="clear" w:color="auto" w:fill="D0EBF2"/>
          </w:tcPr>
          <w:p>
            <w:pPr>
              <w:spacing w:after="0"/>
              <w:rPr>
                <w:sz w:val="14"/>
                <w:szCs w:val="14"/>
                <w:color w:val="auto"/>
              </w:rPr>
            </w:pPr>
          </w:p>
        </w:tc>
        <w:tc>
          <w:tcPr>
            <w:tcW w:w="20" w:type="dxa"/>
            <w:vAlign w:val="bottom"/>
            <w:shd w:val="clear" w:color="auto" w:fill="D0EBF2"/>
          </w:tcPr>
          <w:p>
            <w:pPr>
              <w:spacing w:after="0"/>
              <w:rPr>
                <w:sz w:val="14"/>
                <w:szCs w:val="14"/>
                <w:color w:val="auto"/>
              </w:rPr>
            </w:pPr>
          </w:p>
        </w:tc>
        <w:tc>
          <w:tcPr>
            <w:tcW w:w="80" w:type="dxa"/>
            <w:vAlign w:val="bottom"/>
            <w:shd w:val="clear" w:color="auto" w:fill="D0EBF2"/>
          </w:tcPr>
          <w:p>
            <w:pPr>
              <w:spacing w:after="0"/>
              <w:rPr>
                <w:sz w:val="14"/>
                <w:szCs w:val="14"/>
                <w:color w:val="auto"/>
              </w:rPr>
            </w:pPr>
          </w:p>
        </w:tc>
        <w:tc>
          <w:tcPr>
            <w:tcW w:w="20" w:type="dxa"/>
            <w:vAlign w:val="bottom"/>
            <w:shd w:val="clear" w:color="auto" w:fill="D0EBF2"/>
          </w:tcPr>
          <w:p>
            <w:pPr>
              <w:spacing w:after="0"/>
              <w:rPr>
                <w:sz w:val="14"/>
                <w:szCs w:val="14"/>
                <w:color w:val="auto"/>
              </w:rPr>
            </w:pPr>
          </w:p>
        </w:tc>
        <w:tc>
          <w:tcPr>
            <w:tcW w:w="20" w:type="dxa"/>
            <w:vAlign w:val="bottom"/>
            <w:shd w:val="clear" w:color="auto" w:fill="D0EBF2"/>
          </w:tcPr>
          <w:p>
            <w:pPr>
              <w:spacing w:after="0"/>
              <w:rPr>
                <w:sz w:val="14"/>
                <w:szCs w:val="14"/>
                <w:color w:val="auto"/>
              </w:rPr>
            </w:pPr>
          </w:p>
        </w:tc>
        <w:tc>
          <w:tcPr>
            <w:tcW w:w="60" w:type="dxa"/>
            <w:vAlign w:val="bottom"/>
            <w:shd w:val="clear" w:color="auto" w:fill="D0EBF2"/>
          </w:tcPr>
          <w:p>
            <w:pPr>
              <w:spacing w:after="0"/>
              <w:rPr>
                <w:sz w:val="14"/>
                <w:szCs w:val="14"/>
                <w:color w:val="auto"/>
              </w:rPr>
            </w:pPr>
          </w:p>
        </w:tc>
        <w:tc>
          <w:tcPr>
            <w:tcW w:w="720" w:type="dxa"/>
            <w:vAlign w:val="bottom"/>
            <w:shd w:val="clear" w:color="auto" w:fill="D0EBF2"/>
          </w:tcPr>
          <w:p>
            <w:pPr>
              <w:spacing w:after="0"/>
              <w:rPr>
                <w:sz w:val="14"/>
                <w:szCs w:val="14"/>
                <w:color w:val="auto"/>
              </w:rPr>
            </w:pPr>
          </w:p>
        </w:tc>
        <w:tc>
          <w:tcPr>
            <w:tcW w:w="100" w:type="dxa"/>
            <w:vAlign w:val="bottom"/>
            <w:shd w:val="clear" w:color="auto" w:fill="D0EBF2"/>
          </w:tcPr>
          <w:p>
            <w:pPr>
              <w:spacing w:after="0"/>
              <w:rPr>
                <w:sz w:val="14"/>
                <w:szCs w:val="14"/>
                <w:color w:val="auto"/>
              </w:rPr>
            </w:pPr>
          </w:p>
        </w:tc>
        <w:tc>
          <w:tcPr>
            <w:tcW w:w="20" w:type="dxa"/>
            <w:vAlign w:val="bottom"/>
            <w:shd w:val="clear" w:color="auto" w:fill="D0EBF2"/>
          </w:tcPr>
          <w:p>
            <w:pPr>
              <w:spacing w:after="0"/>
              <w:rPr>
                <w:sz w:val="14"/>
                <w:szCs w:val="14"/>
                <w:color w:val="auto"/>
              </w:rPr>
            </w:pPr>
          </w:p>
        </w:tc>
        <w:tc>
          <w:tcPr>
            <w:tcW w:w="80" w:type="dxa"/>
            <w:vAlign w:val="bottom"/>
            <w:shd w:val="clear" w:color="auto" w:fill="D0EBF2"/>
          </w:tcPr>
          <w:p>
            <w:pPr>
              <w:spacing w:after="0"/>
              <w:rPr>
                <w:sz w:val="14"/>
                <w:szCs w:val="14"/>
                <w:color w:val="auto"/>
              </w:rPr>
            </w:pPr>
          </w:p>
        </w:tc>
        <w:tc>
          <w:tcPr>
            <w:tcW w:w="20" w:type="dxa"/>
            <w:vAlign w:val="bottom"/>
            <w:shd w:val="clear" w:color="auto" w:fill="D0EBF2"/>
          </w:tcPr>
          <w:p>
            <w:pPr>
              <w:spacing w:after="0"/>
              <w:rPr>
                <w:sz w:val="14"/>
                <w:szCs w:val="14"/>
                <w:color w:val="auto"/>
              </w:rPr>
            </w:pPr>
          </w:p>
        </w:tc>
        <w:tc>
          <w:tcPr>
            <w:tcW w:w="20" w:type="dxa"/>
            <w:vAlign w:val="bottom"/>
            <w:shd w:val="clear" w:color="auto" w:fill="D0EBF2"/>
          </w:tcPr>
          <w:p>
            <w:pPr>
              <w:spacing w:after="0"/>
              <w:rPr>
                <w:sz w:val="14"/>
                <w:szCs w:val="14"/>
                <w:color w:val="auto"/>
              </w:rPr>
            </w:pPr>
          </w:p>
        </w:tc>
        <w:tc>
          <w:tcPr>
            <w:tcW w:w="40" w:type="dxa"/>
            <w:vAlign w:val="bottom"/>
            <w:shd w:val="clear" w:color="auto" w:fill="D0EBF2"/>
          </w:tcPr>
          <w:p>
            <w:pPr>
              <w:spacing w:after="0"/>
              <w:rPr>
                <w:sz w:val="14"/>
                <w:szCs w:val="14"/>
                <w:color w:val="auto"/>
              </w:rPr>
            </w:pPr>
          </w:p>
        </w:tc>
        <w:tc>
          <w:tcPr>
            <w:tcW w:w="720" w:type="dxa"/>
            <w:vAlign w:val="bottom"/>
            <w:shd w:val="clear" w:color="auto" w:fill="D0EBF2"/>
          </w:tcPr>
          <w:p>
            <w:pPr>
              <w:spacing w:after="0"/>
              <w:rPr>
                <w:sz w:val="14"/>
                <w:szCs w:val="14"/>
                <w:color w:val="auto"/>
              </w:rPr>
            </w:pPr>
          </w:p>
        </w:tc>
        <w:tc>
          <w:tcPr>
            <w:tcW w:w="100" w:type="dxa"/>
            <w:vAlign w:val="bottom"/>
            <w:shd w:val="clear" w:color="auto" w:fill="D0EBF2"/>
          </w:tcPr>
          <w:p>
            <w:pPr>
              <w:spacing w:after="0"/>
              <w:rPr>
                <w:sz w:val="14"/>
                <w:szCs w:val="14"/>
                <w:color w:val="auto"/>
              </w:rPr>
            </w:pPr>
          </w:p>
        </w:tc>
        <w:tc>
          <w:tcPr>
            <w:tcW w:w="0" w:type="dxa"/>
            <w:vAlign w:val="bottom"/>
          </w:tcPr>
          <w:p>
            <w:pPr>
              <w:spacing w:after="0"/>
              <w:rPr>
                <w:sz w:val="1"/>
                <w:szCs w:val="1"/>
                <w:color w:val="auto"/>
              </w:rPr>
            </w:pPr>
          </w:p>
        </w:tc>
      </w:tr>
      <w:tr>
        <w:trPr>
          <w:trHeight w:val="177"/>
        </w:trPr>
        <w:tc>
          <w:tcPr>
            <w:tcW w:w="3620" w:type="dxa"/>
            <w:vAlign w:val="bottom"/>
            <w:gridSpan w:val="2"/>
            <w:shd w:val="clear" w:color="auto" w:fill="D0EBF2"/>
          </w:tcPr>
          <w:p>
            <w:pPr>
              <w:ind w:left="200"/>
              <w:spacing w:after="0"/>
              <w:rPr>
                <w:sz w:val="20"/>
                <w:szCs w:val="20"/>
                <w:color w:val="auto"/>
              </w:rPr>
            </w:pPr>
            <w:r>
              <w:rPr>
                <w:rFonts w:ascii="Times New Roman" w:cs="Times New Roman" w:eastAsia="Times New Roman" w:hAnsi="Times New Roman"/>
                <w:sz w:val="14"/>
                <w:szCs w:val="14"/>
                <w:color w:val="231F20"/>
              </w:rPr>
              <w:t>and foreign currency translation</w:t>
            </w:r>
          </w:p>
        </w:tc>
        <w:tc>
          <w:tcPr>
            <w:tcW w:w="860" w:type="dxa"/>
            <w:vAlign w:val="bottom"/>
            <w:shd w:val="clear" w:color="auto" w:fill="D0EBF2"/>
          </w:tcPr>
          <w:p>
            <w:pPr>
              <w:jc w:val="right"/>
              <w:spacing w:after="0"/>
              <w:rPr>
                <w:sz w:val="20"/>
                <w:szCs w:val="20"/>
                <w:color w:val="auto"/>
              </w:rPr>
            </w:pPr>
            <w:r>
              <w:rPr>
                <w:rFonts w:ascii="Times New Roman" w:cs="Times New Roman" w:eastAsia="Times New Roman" w:hAnsi="Times New Roman"/>
                <w:sz w:val="14"/>
                <w:szCs w:val="14"/>
                <w:color w:val="231F20"/>
              </w:rPr>
              <w:t>—</w:t>
            </w:r>
          </w:p>
        </w:tc>
        <w:tc>
          <w:tcPr>
            <w:tcW w:w="100" w:type="dxa"/>
            <w:vAlign w:val="bottom"/>
            <w:shd w:val="clear" w:color="auto" w:fill="D0EBF2"/>
          </w:tcPr>
          <w:p>
            <w:pPr>
              <w:spacing w:after="0"/>
              <w:rPr>
                <w:sz w:val="15"/>
                <w:szCs w:val="15"/>
                <w:color w:val="auto"/>
              </w:rPr>
            </w:pPr>
          </w:p>
        </w:tc>
        <w:tc>
          <w:tcPr>
            <w:tcW w:w="100" w:type="dxa"/>
            <w:vAlign w:val="bottom"/>
            <w:shd w:val="clear" w:color="auto" w:fill="D0EBF2"/>
          </w:tcPr>
          <w:p>
            <w:pPr>
              <w:spacing w:after="0"/>
              <w:rPr>
                <w:sz w:val="15"/>
                <w:szCs w:val="15"/>
                <w:color w:val="auto"/>
              </w:rPr>
            </w:pPr>
          </w:p>
        </w:tc>
        <w:tc>
          <w:tcPr>
            <w:tcW w:w="20" w:type="dxa"/>
            <w:vAlign w:val="bottom"/>
            <w:shd w:val="clear" w:color="auto" w:fill="D0EBF2"/>
          </w:tcPr>
          <w:p>
            <w:pPr>
              <w:spacing w:after="0"/>
              <w:rPr>
                <w:sz w:val="15"/>
                <w:szCs w:val="15"/>
                <w:color w:val="auto"/>
              </w:rPr>
            </w:pPr>
          </w:p>
        </w:tc>
        <w:tc>
          <w:tcPr>
            <w:tcW w:w="20" w:type="dxa"/>
            <w:vAlign w:val="bottom"/>
            <w:shd w:val="clear" w:color="auto" w:fill="D0EBF2"/>
          </w:tcPr>
          <w:p>
            <w:pPr>
              <w:spacing w:after="0"/>
              <w:rPr>
                <w:sz w:val="15"/>
                <w:szCs w:val="15"/>
                <w:color w:val="auto"/>
              </w:rPr>
            </w:pPr>
          </w:p>
        </w:tc>
        <w:tc>
          <w:tcPr>
            <w:tcW w:w="60" w:type="dxa"/>
            <w:vAlign w:val="bottom"/>
            <w:shd w:val="clear" w:color="auto" w:fill="D0EBF2"/>
          </w:tcPr>
          <w:p>
            <w:pPr>
              <w:spacing w:after="0"/>
              <w:rPr>
                <w:sz w:val="15"/>
                <w:szCs w:val="15"/>
                <w:color w:val="auto"/>
              </w:rPr>
            </w:pPr>
          </w:p>
        </w:tc>
        <w:tc>
          <w:tcPr>
            <w:tcW w:w="420" w:type="dxa"/>
            <w:vAlign w:val="bottom"/>
            <w:shd w:val="clear" w:color="auto" w:fill="D0EBF2"/>
          </w:tcPr>
          <w:p>
            <w:pPr>
              <w:jc w:val="right"/>
              <w:spacing w:after="0"/>
              <w:rPr>
                <w:sz w:val="20"/>
                <w:szCs w:val="20"/>
                <w:color w:val="auto"/>
              </w:rPr>
            </w:pPr>
            <w:r>
              <w:rPr>
                <w:rFonts w:ascii="Times New Roman" w:cs="Times New Roman" w:eastAsia="Times New Roman" w:hAnsi="Times New Roman"/>
                <w:sz w:val="14"/>
                <w:szCs w:val="14"/>
                <w:color w:val="231F20"/>
              </w:rPr>
              <w:t>—</w:t>
            </w:r>
          </w:p>
        </w:tc>
        <w:tc>
          <w:tcPr>
            <w:tcW w:w="100" w:type="dxa"/>
            <w:vAlign w:val="bottom"/>
            <w:shd w:val="clear" w:color="auto" w:fill="D0EBF2"/>
          </w:tcPr>
          <w:p>
            <w:pPr>
              <w:spacing w:after="0"/>
              <w:rPr>
                <w:sz w:val="15"/>
                <w:szCs w:val="15"/>
                <w:color w:val="auto"/>
              </w:rPr>
            </w:pPr>
          </w:p>
        </w:tc>
        <w:tc>
          <w:tcPr>
            <w:tcW w:w="20" w:type="dxa"/>
            <w:vAlign w:val="bottom"/>
            <w:shd w:val="clear" w:color="auto" w:fill="D0EBF2"/>
          </w:tcPr>
          <w:p>
            <w:pPr>
              <w:spacing w:after="0"/>
              <w:rPr>
                <w:sz w:val="15"/>
                <w:szCs w:val="15"/>
                <w:color w:val="auto"/>
              </w:rPr>
            </w:pPr>
          </w:p>
        </w:tc>
        <w:tc>
          <w:tcPr>
            <w:tcW w:w="80" w:type="dxa"/>
            <w:vAlign w:val="bottom"/>
            <w:shd w:val="clear" w:color="auto" w:fill="D0EBF2"/>
          </w:tcPr>
          <w:p>
            <w:pPr>
              <w:spacing w:after="0"/>
              <w:rPr>
                <w:sz w:val="15"/>
                <w:szCs w:val="15"/>
                <w:color w:val="auto"/>
              </w:rPr>
            </w:pPr>
          </w:p>
        </w:tc>
        <w:tc>
          <w:tcPr>
            <w:tcW w:w="20" w:type="dxa"/>
            <w:vAlign w:val="bottom"/>
            <w:shd w:val="clear" w:color="auto" w:fill="D0EBF2"/>
          </w:tcPr>
          <w:p>
            <w:pPr>
              <w:spacing w:after="0"/>
              <w:rPr>
                <w:sz w:val="15"/>
                <w:szCs w:val="15"/>
                <w:color w:val="auto"/>
              </w:rPr>
            </w:pPr>
          </w:p>
        </w:tc>
        <w:tc>
          <w:tcPr>
            <w:tcW w:w="20" w:type="dxa"/>
            <w:vAlign w:val="bottom"/>
            <w:shd w:val="clear" w:color="auto" w:fill="D0EBF2"/>
          </w:tcPr>
          <w:p>
            <w:pPr>
              <w:spacing w:after="0"/>
              <w:rPr>
                <w:sz w:val="15"/>
                <w:szCs w:val="15"/>
                <w:color w:val="auto"/>
              </w:rPr>
            </w:pPr>
          </w:p>
        </w:tc>
        <w:tc>
          <w:tcPr>
            <w:tcW w:w="660" w:type="dxa"/>
            <w:vAlign w:val="bottom"/>
            <w:shd w:val="clear" w:color="auto" w:fill="D0EBF2"/>
          </w:tcPr>
          <w:p>
            <w:pPr>
              <w:jc w:val="right"/>
              <w:spacing w:after="0"/>
              <w:rPr>
                <w:sz w:val="20"/>
                <w:szCs w:val="20"/>
                <w:color w:val="auto"/>
              </w:rPr>
            </w:pPr>
            <w:r>
              <w:rPr>
                <w:rFonts w:ascii="Times New Roman" w:cs="Times New Roman" w:eastAsia="Times New Roman" w:hAnsi="Times New Roman"/>
                <w:sz w:val="14"/>
                <w:szCs w:val="14"/>
                <w:color w:val="231F20"/>
              </w:rPr>
              <w:t>—</w:t>
            </w:r>
          </w:p>
        </w:tc>
        <w:tc>
          <w:tcPr>
            <w:tcW w:w="100" w:type="dxa"/>
            <w:vAlign w:val="bottom"/>
            <w:shd w:val="clear" w:color="auto" w:fill="D0EBF2"/>
          </w:tcPr>
          <w:p>
            <w:pPr>
              <w:spacing w:after="0"/>
              <w:rPr>
                <w:sz w:val="15"/>
                <w:szCs w:val="15"/>
                <w:color w:val="auto"/>
              </w:rPr>
            </w:pPr>
          </w:p>
        </w:tc>
        <w:tc>
          <w:tcPr>
            <w:tcW w:w="20" w:type="dxa"/>
            <w:vAlign w:val="bottom"/>
            <w:shd w:val="clear" w:color="auto" w:fill="D0EBF2"/>
          </w:tcPr>
          <w:p>
            <w:pPr>
              <w:spacing w:after="0"/>
              <w:rPr>
                <w:sz w:val="15"/>
                <w:szCs w:val="15"/>
                <w:color w:val="auto"/>
              </w:rPr>
            </w:pPr>
          </w:p>
        </w:tc>
        <w:tc>
          <w:tcPr>
            <w:tcW w:w="80" w:type="dxa"/>
            <w:vAlign w:val="bottom"/>
            <w:shd w:val="clear" w:color="auto" w:fill="D0EBF2"/>
          </w:tcPr>
          <w:p>
            <w:pPr>
              <w:spacing w:after="0"/>
              <w:rPr>
                <w:sz w:val="15"/>
                <w:szCs w:val="15"/>
                <w:color w:val="auto"/>
              </w:rPr>
            </w:pPr>
          </w:p>
        </w:tc>
        <w:tc>
          <w:tcPr>
            <w:tcW w:w="20" w:type="dxa"/>
            <w:vAlign w:val="bottom"/>
            <w:shd w:val="clear" w:color="auto" w:fill="D0EBF2"/>
          </w:tcPr>
          <w:p>
            <w:pPr>
              <w:spacing w:after="0"/>
              <w:rPr>
                <w:sz w:val="15"/>
                <w:szCs w:val="15"/>
                <w:color w:val="auto"/>
              </w:rPr>
            </w:pPr>
          </w:p>
        </w:tc>
        <w:tc>
          <w:tcPr>
            <w:tcW w:w="20" w:type="dxa"/>
            <w:vAlign w:val="bottom"/>
            <w:shd w:val="clear" w:color="auto" w:fill="D0EBF2"/>
          </w:tcPr>
          <w:p>
            <w:pPr>
              <w:spacing w:after="0"/>
              <w:rPr>
                <w:sz w:val="15"/>
                <w:szCs w:val="15"/>
                <w:color w:val="auto"/>
              </w:rPr>
            </w:pPr>
          </w:p>
        </w:tc>
        <w:tc>
          <w:tcPr>
            <w:tcW w:w="60" w:type="dxa"/>
            <w:vAlign w:val="bottom"/>
            <w:shd w:val="clear" w:color="auto" w:fill="D0EBF2"/>
          </w:tcPr>
          <w:p>
            <w:pPr>
              <w:spacing w:after="0"/>
              <w:rPr>
                <w:sz w:val="15"/>
                <w:szCs w:val="15"/>
                <w:color w:val="auto"/>
              </w:rPr>
            </w:pPr>
          </w:p>
        </w:tc>
        <w:tc>
          <w:tcPr>
            <w:tcW w:w="620" w:type="dxa"/>
            <w:vAlign w:val="bottom"/>
            <w:gridSpan w:val="4"/>
            <w:shd w:val="clear" w:color="auto" w:fill="D0EBF2"/>
          </w:tcPr>
          <w:p>
            <w:pPr>
              <w:jc w:val="right"/>
              <w:ind w:right="160"/>
              <w:spacing w:after="0"/>
              <w:rPr>
                <w:sz w:val="20"/>
                <w:szCs w:val="20"/>
                <w:color w:val="auto"/>
              </w:rPr>
            </w:pPr>
            <w:r>
              <w:rPr>
                <w:rFonts w:ascii="Times New Roman" w:cs="Times New Roman" w:eastAsia="Times New Roman" w:hAnsi="Times New Roman"/>
                <w:sz w:val="14"/>
                <w:szCs w:val="14"/>
                <w:color w:val="231F20"/>
              </w:rPr>
              <w:t>—</w:t>
            </w:r>
          </w:p>
        </w:tc>
        <w:tc>
          <w:tcPr>
            <w:tcW w:w="60" w:type="dxa"/>
            <w:vAlign w:val="bottom"/>
            <w:shd w:val="clear" w:color="auto" w:fill="D0EBF2"/>
          </w:tcPr>
          <w:p>
            <w:pPr>
              <w:spacing w:after="0"/>
              <w:rPr>
                <w:sz w:val="15"/>
                <w:szCs w:val="15"/>
                <w:color w:val="auto"/>
              </w:rPr>
            </w:pPr>
          </w:p>
        </w:tc>
        <w:tc>
          <w:tcPr>
            <w:tcW w:w="140" w:type="dxa"/>
            <w:vAlign w:val="bottom"/>
            <w:shd w:val="clear" w:color="auto" w:fill="D0EBF2"/>
          </w:tcPr>
          <w:p>
            <w:pPr>
              <w:spacing w:after="0"/>
              <w:rPr>
                <w:sz w:val="15"/>
                <w:szCs w:val="15"/>
                <w:color w:val="auto"/>
              </w:rPr>
            </w:pPr>
          </w:p>
        </w:tc>
        <w:tc>
          <w:tcPr>
            <w:tcW w:w="1140" w:type="dxa"/>
            <w:vAlign w:val="bottom"/>
            <w:gridSpan w:val="6"/>
            <w:shd w:val="clear" w:color="auto" w:fill="D0EBF2"/>
          </w:tcPr>
          <w:p>
            <w:pPr>
              <w:jc w:val="right"/>
              <w:ind w:right="260"/>
              <w:spacing w:after="0"/>
              <w:rPr>
                <w:sz w:val="20"/>
                <w:szCs w:val="20"/>
                <w:color w:val="auto"/>
              </w:rPr>
            </w:pPr>
            <w:r>
              <w:rPr>
                <w:rFonts w:ascii="Times New Roman" w:cs="Times New Roman" w:eastAsia="Times New Roman" w:hAnsi="Times New Roman"/>
                <w:sz w:val="14"/>
                <w:szCs w:val="14"/>
                <w:color w:val="231F20"/>
              </w:rPr>
              <w:t>—</w:t>
            </w:r>
          </w:p>
        </w:tc>
        <w:tc>
          <w:tcPr>
            <w:tcW w:w="60" w:type="dxa"/>
            <w:vAlign w:val="bottom"/>
            <w:shd w:val="clear" w:color="auto" w:fill="D0EBF2"/>
          </w:tcPr>
          <w:p>
            <w:pPr>
              <w:spacing w:after="0"/>
              <w:rPr>
                <w:sz w:val="15"/>
                <w:szCs w:val="15"/>
                <w:color w:val="auto"/>
              </w:rPr>
            </w:pPr>
          </w:p>
        </w:tc>
        <w:tc>
          <w:tcPr>
            <w:tcW w:w="720" w:type="dxa"/>
            <w:vAlign w:val="bottom"/>
            <w:shd w:val="clear" w:color="auto" w:fill="D0EBF2"/>
          </w:tcPr>
          <w:p>
            <w:pPr>
              <w:jc w:val="right"/>
              <w:spacing w:after="0"/>
              <w:rPr>
                <w:sz w:val="20"/>
                <w:szCs w:val="20"/>
                <w:color w:val="auto"/>
              </w:rPr>
            </w:pPr>
            <w:r>
              <w:rPr>
                <w:rFonts w:ascii="Times New Roman" w:cs="Times New Roman" w:eastAsia="Times New Roman" w:hAnsi="Times New Roman"/>
                <w:sz w:val="14"/>
                <w:szCs w:val="14"/>
                <w:color w:val="231F20"/>
              </w:rPr>
              <w:t>13,191</w:t>
            </w:r>
          </w:p>
        </w:tc>
        <w:tc>
          <w:tcPr>
            <w:tcW w:w="100" w:type="dxa"/>
            <w:vAlign w:val="bottom"/>
            <w:shd w:val="clear" w:color="auto" w:fill="D0EBF2"/>
          </w:tcPr>
          <w:p>
            <w:pPr>
              <w:spacing w:after="0"/>
              <w:rPr>
                <w:sz w:val="15"/>
                <w:szCs w:val="15"/>
                <w:color w:val="auto"/>
              </w:rPr>
            </w:pPr>
          </w:p>
        </w:tc>
        <w:tc>
          <w:tcPr>
            <w:tcW w:w="20" w:type="dxa"/>
            <w:vAlign w:val="bottom"/>
            <w:shd w:val="clear" w:color="auto" w:fill="D0EBF2"/>
          </w:tcPr>
          <w:p>
            <w:pPr>
              <w:spacing w:after="0"/>
              <w:rPr>
                <w:sz w:val="15"/>
                <w:szCs w:val="15"/>
                <w:color w:val="auto"/>
              </w:rPr>
            </w:pPr>
          </w:p>
        </w:tc>
        <w:tc>
          <w:tcPr>
            <w:tcW w:w="80" w:type="dxa"/>
            <w:vAlign w:val="bottom"/>
            <w:shd w:val="clear" w:color="auto" w:fill="D0EBF2"/>
          </w:tcPr>
          <w:p>
            <w:pPr>
              <w:spacing w:after="0"/>
              <w:rPr>
                <w:sz w:val="15"/>
                <w:szCs w:val="15"/>
                <w:color w:val="auto"/>
              </w:rPr>
            </w:pPr>
          </w:p>
        </w:tc>
        <w:tc>
          <w:tcPr>
            <w:tcW w:w="20" w:type="dxa"/>
            <w:vAlign w:val="bottom"/>
            <w:shd w:val="clear" w:color="auto" w:fill="D0EBF2"/>
          </w:tcPr>
          <w:p>
            <w:pPr>
              <w:spacing w:after="0"/>
              <w:rPr>
                <w:sz w:val="15"/>
                <w:szCs w:val="15"/>
                <w:color w:val="auto"/>
              </w:rPr>
            </w:pPr>
          </w:p>
        </w:tc>
        <w:tc>
          <w:tcPr>
            <w:tcW w:w="20" w:type="dxa"/>
            <w:vAlign w:val="bottom"/>
            <w:shd w:val="clear" w:color="auto" w:fill="D0EBF2"/>
          </w:tcPr>
          <w:p>
            <w:pPr>
              <w:spacing w:after="0"/>
              <w:rPr>
                <w:sz w:val="15"/>
                <w:szCs w:val="15"/>
                <w:color w:val="auto"/>
              </w:rPr>
            </w:pPr>
          </w:p>
        </w:tc>
        <w:tc>
          <w:tcPr>
            <w:tcW w:w="40" w:type="dxa"/>
            <w:vAlign w:val="bottom"/>
            <w:shd w:val="clear" w:color="auto" w:fill="D0EBF2"/>
          </w:tcPr>
          <w:p>
            <w:pPr>
              <w:spacing w:after="0"/>
              <w:rPr>
                <w:sz w:val="15"/>
                <w:szCs w:val="15"/>
                <w:color w:val="auto"/>
              </w:rPr>
            </w:pPr>
          </w:p>
        </w:tc>
        <w:tc>
          <w:tcPr>
            <w:tcW w:w="720" w:type="dxa"/>
            <w:vAlign w:val="bottom"/>
            <w:shd w:val="clear" w:color="auto" w:fill="D0EBF2"/>
          </w:tcPr>
          <w:p>
            <w:pPr>
              <w:jc w:val="right"/>
              <w:spacing w:after="0"/>
              <w:rPr>
                <w:sz w:val="20"/>
                <w:szCs w:val="20"/>
                <w:color w:val="auto"/>
              </w:rPr>
            </w:pPr>
            <w:r>
              <w:rPr>
                <w:rFonts w:ascii="Times New Roman" w:cs="Times New Roman" w:eastAsia="Times New Roman" w:hAnsi="Times New Roman"/>
                <w:sz w:val="14"/>
                <w:szCs w:val="14"/>
                <w:color w:val="231F20"/>
              </w:rPr>
              <w:t>13,191</w:t>
            </w:r>
          </w:p>
        </w:tc>
        <w:tc>
          <w:tcPr>
            <w:tcW w:w="100" w:type="dxa"/>
            <w:vAlign w:val="bottom"/>
            <w:shd w:val="clear" w:color="auto" w:fill="D0EBF2"/>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3620" w:type="dxa"/>
            <w:vAlign w:val="bottom"/>
            <w:gridSpan w:val="2"/>
            <w:shd w:val="clear" w:color="auto" w:fill="FDFDFC"/>
          </w:tcPr>
          <w:p>
            <w:pPr>
              <w:ind w:left="200"/>
              <w:spacing w:after="0"/>
              <w:rPr>
                <w:sz w:val="20"/>
                <w:szCs w:val="20"/>
                <w:color w:val="auto"/>
              </w:rPr>
            </w:pPr>
            <w:r>
              <w:rPr>
                <w:rFonts w:ascii="Times New Roman" w:cs="Times New Roman" w:eastAsia="Times New Roman" w:hAnsi="Times New Roman"/>
                <w:sz w:val="14"/>
                <w:szCs w:val="14"/>
                <w:color w:val="231F20"/>
              </w:rPr>
              <w:t>Net realized gain (loss) on investments and foreign</w:t>
            </w:r>
          </w:p>
        </w:tc>
        <w:tc>
          <w:tcPr>
            <w:tcW w:w="860" w:type="dxa"/>
            <w:vAlign w:val="bottom"/>
            <w:shd w:val="clear" w:color="auto" w:fill="FDFDFC"/>
          </w:tcPr>
          <w:p>
            <w:pPr>
              <w:spacing w:after="0"/>
              <w:rPr>
                <w:sz w:val="14"/>
                <w:szCs w:val="14"/>
                <w:color w:val="auto"/>
              </w:rPr>
            </w:pPr>
          </w:p>
        </w:tc>
        <w:tc>
          <w:tcPr>
            <w:tcW w:w="100" w:type="dxa"/>
            <w:vAlign w:val="bottom"/>
            <w:shd w:val="clear" w:color="auto" w:fill="FDFDFC"/>
          </w:tcPr>
          <w:p>
            <w:pPr>
              <w:spacing w:after="0"/>
              <w:rPr>
                <w:sz w:val="14"/>
                <w:szCs w:val="14"/>
                <w:color w:val="auto"/>
              </w:rPr>
            </w:pPr>
          </w:p>
        </w:tc>
        <w:tc>
          <w:tcPr>
            <w:tcW w:w="100" w:type="dxa"/>
            <w:vAlign w:val="bottom"/>
            <w:shd w:val="clear" w:color="auto" w:fill="FDFDFC"/>
          </w:tcPr>
          <w:p>
            <w:pPr>
              <w:spacing w:after="0"/>
              <w:rPr>
                <w:sz w:val="14"/>
                <w:szCs w:val="14"/>
                <w:color w:val="auto"/>
              </w:rPr>
            </w:pPr>
          </w:p>
        </w:tc>
        <w:tc>
          <w:tcPr>
            <w:tcW w:w="20" w:type="dxa"/>
            <w:vAlign w:val="bottom"/>
            <w:shd w:val="clear" w:color="auto" w:fill="FDFDFC"/>
          </w:tcPr>
          <w:p>
            <w:pPr>
              <w:spacing w:after="0"/>
              <w:rPr>
                <w:sz w:val="14"/>
                <w:szCs w:val="14"/>
                <w:color w:val="auto"/>
              </w:rPr>
            </w:pPr>
          </w:p>
        </w:tc>
        <w:tc>
          <w:tcPr>
            <w:tcW w:w="20" w:type="dxa"/>
            <w:vAlign w:val="bottom"/>
            <w:shd w:val="clear" w:color="auto" w:fill="FDFDFC"/>
          </w:tcPr>
          <w:p>
            <w:pPr>
              <w:spacing w:after="0"/>
              <w:rPr>
                <w:sz w:val="14"/>
                <w:szCs w:val="14"/>
                <w:color w:val="auto"/>
              </w:rPr>
            </w:pPr>
          </w:p>
        </w:tc>
        <w:tc>
          <w:tcPr>
            <w:tcW w:w="60" w:type="dxa"/>
            <w:vAlign w:val="bottom"/>
            <w:shd w:val="clear" w:color="auto" w:fill="FDFDFC"/>
          </w:tcPr>
          <w:p>
            <w:pPr>
              <w:spacing w:after="0"/>
              <w:rPr>
                <w:sz w:val="14"/>
                <w:szCs w:val="14"/>
                <w:color w:val="auto"/>
              </w:rPr>
            </w:pPr>
          </w:p>
        </w:tc>
        <w:tc>
          <w:tcPr>
            <w:tcW w:w="420" w:type="dxa"/>
            <w:vAlign w:val="bottom"/>
            <w:shd w:val="clear" w:color="auto" w:fill="FDFDFC"/>
          </w:tcPr>
          <w:p>
            <w:pPr>
              <w:spacing w:after="0"/>
              <w:rPr>
                <w:sz w:val="14"/>
                <w:szCs w:val="14"/>
                <w:color w:val="auto"/>
              </w:rPr>
            </w:pPr>
          </w:p>
        </w:tc>
        <w:tc>
          <w:tcPr>
            <w:tcW w:w="100" w:type="dxa"/>
            <w:vAlign w:val="bottom"/>
            <w:shd w:val="clear" w:color="auto" w:fill="FDFDFC"/>
          </w:tcPr>
          <w:p>
            <w:pPr>
              <w:spacing w:after="0"/>
              <w:rPr>
                <w:sz w:val="14"/>
                <w:szCs w:val="14"/>
                <w:color w:val="auto"/>
              </w:rPr>
            </w:pPr>
          </w:p>
        </w:tc>
        <w:tc>
          <w:tcPr>
            <w:tcW w:w="20" w:type="dxa"/>
            <w:vAlign w:val="bottom"/>
            <w:shd w:val="clear" w:color="auto" w:fill="FDFDFC"/>
          </w:tcPr>
          <w:p>
            <w:pPr>
              <w:spacing w:after="0"/>
              <w:rPr>
                <w:sz w:val="14"/>
                <w:szCs w:val="14"/>
                <w:color w:val="auto"/>
              </w:rPr>
            </w:pPr>
          </w:p>
        </w:tc>
        <w:tc>
          <w:tcPr>
            <w:tcW w:w="80" w:type="dxa"/>
            <w:vAlign w:val="bottom"/>
            <w:shd w:val="clear" w:color="auto" w:fill="FDFDFC"/>
          </w:tcPr>
          <w:p>
            <w:pPr>
              <w:spacing w:after="0"/>
              <w:rPr>
                <w:sz w:val="14"/>
                <w:szCs w:val="14"/>
                <w:color w:val="auto"/>
              </w:rPr>
            </w:pPr>
          </w:p>
        </w:tc>
        <w:tc>
          <w:tcPr>
            <w:tcW w:w="20" w:type="dxa"/>
            <w:vAlign w:val="bottom"/>
            <w:shd w:val="clear" w:color="auto" w:fill="FDFDFC"/>
          </w:tcPr>
          <w:p>
            <w:pPr>
              <w:spacing w:after="0"/>
              <w:rPr>
                <w:sz w:val="14"/>
                <w:szCs w:val="14"/>
                <w:color w:val="auto"/>
              </w:rPr>
            </w:pPr>
          </w:p>
        </w:tc>
        <w:tc>
          <w:tcPr>
            <w:tcW w:w="20" w:type="dxa"/>
            <w:vAlign w:val="bottom"/>
            <w:shd w:val="clear" w:color="auto" w:fill="FDFDFC"/>
          </w:tcPr>
          <w:p>
            <w:pPr>
              <w:spacing w:after="0"/>
              <w:rPr>
                <w:sz w:val="14"/>
                <w:szCs w:val="14"/>
                <w:color w:val="auto"/>
              </w:rPr>
            </w:pPr>
          </w:p>
        </w:tc>
        <w:tc>
          <w:tcPr>
            <w:tcW w:w="660" w:type="dxa"/>
            <w:vAlign w:val="bottom"/>
            <w:shd w:val="clear" w:color="auto" w:fill="FDFDFC"/>
          </w:tcPr>
          <w:p>
            <w:pPr>
              <w:spacing w:after="0"/>
              <w:rPr>
                <w:sz w:val="14"/>
                <w:szCs w:val="14"/>
                <w:color w:val="auto"/>
              </w:rPr>
            </w:pPr>
          </w:p>
        </w:tc>
        <w:tc>
          <w:tcPr>
            <w:tcW w:w="100" w:type="dxa"/>
            <w:vAlign w:val="bottom"/>
            <w:shd w:val="clear" w:color="auto" w:fill="FDFDFC"/>
          </w:tcPr>
          <w:p>
            <w:pPr>
              <w:spacing w:after="0"/>
              <w:rPr>
                <w:sz w:val="14"/>
                <w:szCs w:val="14"/>
                <w:color w:val="auto"/>
              </w:rPr>
            </w:pPr>
          </w:p>
        </w:tc>
        <w:tc>
          <w:tcPr>
            <w:tcW w:w="20" w:type="dxa"/>
            <w:vAlign w:val="bottom"/>
            <w:shd w:val="clear" w:color="auto" w:fill="FDFDFC"/>
          </w:tcPr>
          <w:p>
            <w:pPr>
              <w:spacing w:after="0"/>
              <w:rPr>
                <w:sz w:val="14"/>
                <w:szCs w:val="14"/>
                <w:color w:val="auto"/>
              </w:rPr>
            </w:pPr>
          </w:p>
        </w:tc>
        <w:tc>
          <w:tcPr>
            <w:tcW w:w="80" w:type="dxa"/>
            <w:vAlign w:val="bottom"/>
            <w:shd w:val="clear" w:color="auto" w:fill="FDFDFC"/>
          </w:tcPr>
          <w:p>
            <w:pPr>
              <w:spacing w:after="0"/>
              <w:rPr>
                <w:sz w:val="14"/>
                <w:szCs w:val="14"/>
                <w:color w:val="auto"/>
              </w:rPr>
            </w:pPr>
          </w:p>
        </w:tc>
        <w:tc>
          <w:tcPr>
            <w:tcW w:w="20" w:type="dxa"/>
            <w:vAlign w:val="bottom"/>
            <w:shd w:val="clear" w:color="auto" w:fill="FDFDFC"/>
          </w:tcPr>
          <w:p>
            <w:pPr>
              <w:spacing w:after="0"/>
              <w:rPr>
                <w:sz w:val="14"/>
                <w:szCs w:val="14"/>
                <w:color w:val="auto"/>
              </w:rPr>
            </w:pPr>
          </w:p>
        </w:tc>
        <w:tc>
          <w:tcPr>
            <w:tcW w:w="20" w:type="dxa"/>
            <w:vAlign w:val="bottom"/>
            <w:shd w:val="clear" w:color="auto" w:fill="FDFDFC"/>
          </w:tcPr>
          <w:p>
            <w:pPr>
              <w:spacing w:after="0"/>
              <w:rPr>
                <w:sz w:val="14"/>
                <w:szCs w:val="14"/>
                <w:color w:val="auto"/>
              </w:rPr>
            </w:pPr>
          </w:p>
        </w:tc>
        <w:tc>
          <w:tcPr>
            <w:tcW w:w="60" w:type="dxa"/>
            <w:vAlign w:val="bottom"/>
            <w:shd w:val="clear" w:color="auto" w:fill="FDFDFC"/>
          </w:tcPr>
          <w:p>
            <w:pPr>
              <w:spacing w:after="0"/>
              <w:rPr>
                <w:sz w:val="14"/>
                <w:szCs w:val="14"/>
                <w:color w:val="auto"/>
              </w:rPr>
            </w:pPr>
          </w:p>
        </w:tc>
        <w:tc>
          <w:tcPr>
            <w:tcW w:w="480" w:type="dxa"/>
            <w:vAlign w:val="bottom"/>
            <w:shd w:val="clear" w:color="auto" w:fill="FDFDFC"/>
          </w:tcPr>
          <w:p>
            <w:pPr>
              <w:spacing w:after="0"/>
              <w:rPr>
                <w:sz w:val="14"/>
                <w:szCs w:val="14"/>
                <w:color w:val="auto"/>
              </w:rPr>
            </w:pPr>
          </w:p>
        </w:tc>
        <w:tc>
          <w:tcPr>
            <w:tcW w:w="100" w:type="dxa"/>
            <w:vAlign w:val="bottom"/>
            <w:shd w:val="clear" w:color="auto" w:fill="FDFDFC"/>
          </w:tcPr>
          <w:p>
            <w:pPr>
              <w:spacing w:after="0"/>
              <w:rPr>
                <w:sz w:val="14"/>
                <w:szCs w:val="14"/>
                <w:color w:val="auto"/>
              </w:rPr>
            </w:pPr>
          </w:p>
        </w:tc>
        <w:tc>
          <w:tcPr>
            <w:tcW w:w="20" w:type="dxa"/>
            <w:vAlign w:val="bottom"/>
            <w:shd w:val="clear" w:color="auto" w:fill="FDFDFC"/>
          </w:tcPr>
          <w:p>
            <w:pPr>
              <w:spacing w:after="0"/>
              <w:rPr>
                <w:sz w:val="14"/>
                <w:szCs w:val="14"/>
                <w:color w:val="auto"/>
              </w:rPr>
            </w:pPr>
          </w:p>
        </w:tc>
        <w:tc>
          <w:tcPr>
            <w:tcW w:w="20" w:type="dxa"/>
            <w:vAlign w:val="bottom"/>
            <w:shd w:val="clear" w:color="auto" w:fill="FDFDFC"/>
          </w:tcPr>
          <w:p>
            <w:pPr>
              <w:spacing w:after="0"/>
              <w:rPr>
                <w:sz w:val="14"/>
                <w:szCs w:val="14"/>
                <w:color w:val="auto"/>
              </w:rPr>
            </w:pPr>
          </w:p>
        </w:tc>
        <w:tc>
          <w:tcPr>
            <w:tcW w:w="60" w:type="dxa"/>
            <w:vAlign w:val="bottom"/>
            <w:shd w:val="clear" w:color="auto" w:fill="FDFDFC"/>
          </w:tcPr>
          <w:p>
            <w:pPr>
              <w:spacing w:after="0"/>
              <w:rPr>
                <w:sz w:val="14"/>
                <w:szCs w:val="14"/>
                <w:color w:val="auto"/>
              </w:rPr>
            </w:pPr>
          </w:p>
        </w:tc>
        <w:tc>
          <w:tcPr>
            <w:tcW w:w="140" w:type="dxa"/>
            <w:vAlign w:val="bottom"/>
            <w:shd w:val="clear" w:color="auto" w:fill="FDFDFC"/>
          </w:tcPr>
          <w:p>
            <w:pPr>
              <w:spacing w:after="0"/>
              <w:rPr>
                <w:sz w:val="14"/>
                <w:szCs w:val="14"/>
                <w:color w:val="auto"/>
              </w:rPr>
            </w:pPr>
          </w:p>
        </w:tc>
        <w:tc>
          <w:tcPr>
            <w:tcW w:w="900" w:type="dxa"/>
            <w:vAlign w:val="bottom"/>
            <w:shd w:val="clear" w:color="auto" w:fill="FDFDFC"/>
          </w:tcPr>
          <w:p>
            <w:pPr>
              <w:spacing w:after="0"/>
              <w:rPr>
                <w:sz w:val="14"/>
                <w:szCs w:val="14"/>
                <w:color w:val="auto"/>
              </w:rPr>
            </w:pPr>
          </w:p>
        </w:tc>
        <w:tc>
          <w:tcPr>
            <w:tcW w:w="100" w:type="dxa"/>
            <w:vAlign w:val="bottom"/>
            <w:shd w:val="clear" w:color="auto" w:fill="FDFDFC"/>
          </w:tcPr>
          <w:p>
            <w:pPr>
              <w:spacing w:after="0"/>
              <w:rPr>
                <w:sz w:val="14"/>
                <w:szCs w:val="14"/>
                <w:color w:val="auto"/>
              </w:rPr>
            </w:pPr>
          </w:p>
        </w:tc>
        <w:tc>
          <w:tcPr>
            <w:tcW w:w="20" w:type="dxa"/>
            <w:vAlign w:val="bottom"/>
            <w:shd w:val="clear" w:color="auto" w:fill="FDFDFC"/>
          </w:tcPr>
          <w:p>
            <w:pPr>
              <w:spacing w:after="0"/>
              <w:rPr>
                <w:sz w:val="14"/>
                <w:szCs w:val="14"/>
                <w:color w:val="auto"/>
              </w:rPr>
            </w:pPr>
          </w:p>
        </w:tc>
        <w:tc>
          <w:tcPr>
            <w:tcW w:w="80" w:type="dxa"/>
            <w:vAlign w:val="bottom"/>
            <w:shd w:val="clear" w:color="auto" w:fill="FDFDFC"/>
          </w:tcPr>
          <w:p>
            <w:pPr>
              <w:spacing w:after="0"/>
              <w:rPr>
                <w:sz w:val="14"/>
                <w:szCs w:val="14"/>
                <w:color w:val="auto"/>
              </w:rPr>
            </w:pPr>
          </w:p>
        </w:tc>
        <w:tc>
          <w:tcPr>
            <w:tcW w:w="20" w:type="dxa"/>
            <w:vAlign w:val="bottom"/>
            <w:shd w:val="clear" w:color="auto" w:fill="FDFDFC"/>
          </w:tcPr>
          <w:p>
            <w:pPr>
              <w:spacing w:after="0"/>
              <w:rPr>
                <w:sz w:val="14"/>
                <w:szCs w:val="14"/>
                <w:color w:val="auto"/>
              </w:rPr>
            </w:pPr>
          </w:p>
        </w:tc>
        <w:tc>
          <w:tcPr>
            <w:tcW w:w="20" w:type="dxa"/>
            <w:vAlign w:val="bottom"/>
            <w:shd w:val="clear" w:color="auto" w:fill="FDFDFC"/>
          </w:tcPr>
          <w:p>
            <w:pPr>
              <w:spacing w:after="0"/>
              <w:rPr>
                <w:sz w:val="14"/>
                <w:szCs w:val="14"/>
                <w:color w:val="auto"/>
              </w:rPr>
            </w:pPr>
          </w:p>
        </w:tc>
        <w:tc>
          <w:tcPr>
            <w:tcW w:w="60" w:type="dxa"/>
            <w:vAlign w:val="bottom"/>
            <w:shd w:val="clear" w:color="auto" w:fill="FDFDFC"/>
          </w:tcPr>
          <w:p>
            <w:pPr>
              <w:spacing w:after="0"/>
              <w:rPr>
                <w:sz w:val="14"/>
                <w:szCs w:val="14"/>
                <w:color w:val="auto"/>
              </w:rPr>
            </w:pPr>
          </w:p>
        </w:tc>
        <w:tc>
          <w:tcPr>
            <w:tcW w:w="720" w:type="dxa"/>
            <w:vAlign w:val="bottom"/>
            <w:shd w:val="clear" w:color="auto" w:fill="FDFDFC"/>
          </w:tcPr>
          <w:p>
            <w:pPr>
              <w:spacing w:after="0"/>
              <w:rPr>
                <w:sz w:val="14"/>
                <w:szCs w:val="14"/>
                <w:color w:val="auto"/>
              </w:rPr>
            </w:pPr>
          </w:p>
        </w:tc>
        <w:tc>
          <w:tcPr>
            <w:tcW w:w="100" w:type="dxa"/>
            <w:vAlign w:val="bottom"/>
            <w:shd w:val="clear" w:color="auto" w:fill="FDFDFC"/>
          </w:tcPr>
          <w:p>
            <w:pPr>
              <w:spacing w:after="0"/>
              <w:rPr>
                <w:sz w:val="14"/>
                <w:szCs w:val="14"/>
                <w:color w:val="auto"/>
              </w:rPr>
            </w:pPr>
          </w:p>
        </w:tc>
        <w:tc>
          <w:tcPr>
            <w:tcW w:w="20" w:type="dxa"/>
            <w:vAlign w:val="bottom"/>
            <w:shd w:val="clear" w:color="auto" w:fill="FDFDFC"/>
          </w:tcPr>
          <w:p>
            <w:pPr>
              <w:spacing w:after="0"/>
              <w:rPr>
                <w:sz w:val="14"/>
                <w:szCs w:val="14"/>
                <w:color w:val="auto"/>
              </w:rPr>
            </w:pPr>
          </w:p>
        </w:tc>
        <w:tc>
          <w:tcPr>
            <w:tcW w:w="80" w:type="dxa"/>
            <w:vAlign w:val="bottom"/>
            <w:shd w:val="clear" w:color="auto" w:fill="FDFDFC"/>
          </w:tcPr>
          <w:p>
            <w:pPr>
              <w:spacing w:after="0"/>
              <w:rPr>
                <w:sz w:val="14"/>
                <w:szCs w:val="14"/>
                <w:color w:val="auto"/>
              </w:rPr>
            </w:pPr>
          </w:p>
        </w:tc>
        <w:tc>
          <w:tcPr>
            <w:tcW w:w="20" w:type="dxa"/>
            <w:vAlign w:val="bottom"/>
            <w:shd w:val="clear" w:color="auto" w:fill="FDFDFC"/>
          </w:tcPr>
          <w:p>
            <w:pPr>
              <w:spacing w:after="0"/>
              <w:rPr>
                <w:sz w:val="14"/>
                <w:szCs w:val="14"/>
                <w:color w:val="auto"/>
              </w:rPr>
            </w:pPr>
          </w:p>
        </w:tc>
        <w:tc>
          <w:tcPr>
            <w:tcW w:w="20" w:type="dxa"/>
            <w:vAlign w:val="bottom"/>
            <w:shd w:val="clear" w:color="auto" w:fill="FDFDFC"/>
          </w:tcPr>
          <w:p>
            <w:pPr>
              <w:spacing w:after="0"/>
              <w:rPr>
                <w:sz w:val="14"/>
                <w:szCs w:val="14"/>
                <w:color w:val="auto"/>
              </w:rPr>
            </w:pPr>
          </w:p>
        </w:tc>
        <w:tc>
          <w:tcPr>
            <w:tcW w:w="40" w:type="dxa"/>
            <w:vAlign w:val="bottom"/>
            <w:shd w:val="clear" w:color="auto" w:fill="FDFDFC"/>
          </w:tcPr>
          <w:p>
            <w:pPr>
              <w:spacing w:after="0"/>
              <w:rPr>
                <w:sz w:val="14"/>
                <w:szCs w:val="14"/>
                <w:color w:val="auto"/>
              </w:rPr>
            </w:pPr>
          </w:p>
        </w:tc>
        <w:tc>
          <w:tcPr>
            <w:tcW w:w="720" w:type="dxa"/>
            <w:vAlign w:val="bottom"/>
            <w:shd w:val="clear" w:color="auto" w:fill="FDFDFC"/>
          </w:tcPr>
          <w:p>
            <w:pPr>
              <w:spacing w:after="0"/>
              <w:rPr>
                <w:sz w:val="14"/>
                <w:szCs w:val="14"/>
                <w:color w:val="auto"/>
              </w:rPr>
            </w:pPr>
          </w:p>
        </w:tc>
        <w:tc>
          <w:tcPr>
            <w:tcW w:w="100" w:type="dxa"/>
            <w:vAlign w:val="bottom"/>
            <w:shd w:val="clear" w:color="auto" w:fill="FDFDFC"/>
          </w:tcPr>
          <w:p>
            <w:pPr>
              <w:spacing w:after="0"/>
              <w:rPr>
                <w:sz w:val="14"/>
                <w:szCs w:val="14"/>
                <w:color w:val="auto"/>
              </w:rPr>
            </w:pPr>
          </w:p>
        </w:tc>
        <w:tc>
          <w:tcPr>
            <w:tcW w:w="0" w:type="dxa"/>
            <w:vAlign w:val="bottom"/>
          </w:tcPr>
          <w:p>
            <w:pPr>
              <w:spacing w:after="0"/>
              <w:rPr>
                <w:sz w:val="1"/>
                <w:szCs w:val="1"/>
                <w:color w:val="auto"/>
              </w:rPr>
            </w:pPr>
          </w:p>
        </w:tc>
      </w:tr>
      <w:tr>
        <w:trPr>
          <w:trHeight w:val="177"/>
        </w:trPr>
        <w:tc>
          <w:tcPr>
            <w:tcW w:w="3620" w:type="dxa"/>
            <w:vAlign w:val="bottom"/>
            <w:gridSpan w:val="2"/>
            <w:shd w:val="clear" w:color="auto" w:fill="FDFDFC"/>
          </w:tcPr>
          <w:p>
            <w:pPr>
              <w:ind w:left="200"/>
              <w:spacing w:after="0"/>
              <w:rPr>
                <w:sz w:val="20"/>
                <w:szCs w:val="20"/>
                <w:color w:val="auto"/>
              </w:rPr>
            </w:pPr>
            <w:r>
              <w:rPr>
                <w:rFonts w:ascii="Times New Roman" w:cs="Times New Roman" w:eastAsia="Times New Roman" w:hAnsi="Times New Roman"/>
                <w:sz w:val="14"/>
                <w:szCs w:val="14"/>
                <w:color w:val="231F20"/>
              </w:rPr>
              <w:t>currency transactions</w:t>
            </w:r>
          </w:p>
        </w:tc>
        <w:tc>
          <w:tcPr>
            <w:tcW w:w="860" w:type="dxa"/>
            <w:vAlign w:val="bottom"/>
            <w:shd w:val="clear" w:color="auto" w:fill="FDFDFC"/>
          </w:tcPr>
          <w:p>
            <w:pPr>
              <w:jc w:val="right"/>
              <w:spacing w:after="0"/>
              <w:rPr>
                <w:sz w:val="20"/>
                <w:szCs w:val="20"/>
                <w:color w:val="auto"/>
              </w:rPr>
            </w:pPr>
            <w:r>
              <w:rPr>
                <w:rFonts w:ascii="Times New Roman" w:cs="Times New Roman" w:eastAsia="Times New Roman" w:hAnsi="Times New Roman"/>
                <w:sz w:val="14"/>
                <w:szCs w:val="14"/>
                <w:color w:val="231F20"/>
              </w:rPr>
              <w:t>—</w:t>
            </w:r>
          </w:p>
        </w:tc>
        <w:tc>
          <w:tcPr>
            <w:tcW w:w="100" w:type="dxa"/>
            <w:vAlign w:val="bottom"/>
            <w:shd w:val="clear" w:color="auto" w:fill="FDFDFC"/>
          </w:tcPr>
          <w:p>
            <w:pPr>
              <w:spacing w:after="0"/>
              <w:rPr>
                <w:sz w:val="15"/>
                <w:szCs w:val="15"/>
                <w:color w:val="auto"/>
              </w:rPr>
            </w:pPr>
          </w:p>
        </w:tc>
        <w:tc>
          <w:tcPr>
            <w:tcW w:w="100" w:type="dxa"/>
            <w:vAlign w:val="bottom"/>
            <w:shd w:val="clear" w:color="auto" w:fill="FDFDFC"/>
          </w:tcPr>
          <w:p>
            <w:pPr>
              <w:spacing w:after="0"/>
              <w:rPr>
                <w:sz w:val="15"/>
                <w:szCs w:val="15"/>
                <w:color w:val="auto"/>
              </w:rPr>
            </w:pPr>
          </w:p>
        </w:tc>
        <w:tc>
          <w:tcPr>
            <w:tcW w:w="20" w:type="dxa"/>
            <w:vAlign w:val="bottom"/>
            <w:shd w:val="clear" w:color="auto" w:fill="FDFDFC"/>
          </w:tcPr>
          <w:p>
            <w:pPr>
              <w:spacing w:after="0"/>
              <w:rPr>
                <w:sz w:val="15"/>
                <w:szCs w:val="15"/>
                <w:color w:val="auto"/>
              </w:rPr>
            </w:pPr>
          </w:p>
        </w:tc>
        <w:tc>
          <w:tcPr>
            <w:tcW w:w="20" w:type="dxa"/>
            <w:vAlign w:val="bottom"/>
            <w:shd w:val="clear" w:color="auto" w:fill="FDFDFC"/>
          </w:tcPr>
          <w:p>
            <w:pPr>
              <w:spacing w:after="0"/>
              <w:rPr>
                <w:sz w:val="15"/>
                <w:szCs w:val="15"/>
                <w:color w:val="auto"/>
              </w:rPr>
            </w:pPr>
          </w:p>
        </w:tc>
        <w:tc>
          <w:tcPr>
            <w:tcW w:w="60" w:type="dxa"/>
            <w:vAlign w:val="bottom"/>
            <w:shd w:val="clear" w:color="auto" w:fill="FDFDFC"/>
          </w:tcPr>
          <w:p>
            <w:pPr>
              <w:spacing w:after="0"/>
              <w:rPr>
                <w:sz w:val="15"/>
                <w:szCs w:val="15"/>
                <w:color w:val="auto"/>
              </w:rPr>
            </w:pPr>
          </w:p>
        </w:tc>
        <w:tc>
          <w:tcPr>
            <w:tcW w:w="420" w:type="dxa"/>
            <w:vAlign w:val="bottom"/>
            <w:shd w:val="clear" w:color="auto" w:fill="FDFDFC"/>
          </w:tcPr>
          <w:p>
            <w:pPr>
              <w:jc w:val="right"/>
              <w:spacing w:after="0"/>
              <w:rPr>
                <w:sz w:val="20"/>
                <w:szCs w:val="20"/>
                <w:color w:val="auto"/>
              </w:rPr>
            </w:pPr>
            <w:r>
              <w:rPr>
                <w:rFonts w:ascii="Times New Roman" w:cs="Times New Roman" w:eastAsia="Times New Roman" w:hAnsi="Times New Roman"/>
                <w:sz w:val="14"/>
                <w:szCs w:val="14"/>
                <w:color w:val="231F20"/>
              </w:rPr>
              <w:t>—</w:t>
            </w:r>
          </w:p>
        </w:tc>
        <w:tc>
          <w:tcPr>
            <w:tcW w:w="100" w:type="dxa"/>
            <w:vAlign w:val="bottom"/>
            <w:shd w:val="clear" w:color="auto" w:fill="FDFDFC"/>
          </w:tcPr>
          <w:p>
            <w:pPr>
              <w:spacing w:after="0"/>
              <w:rPr>
                <w:sz w:val="15"/>
                <w:szCs w:val="15"/>
                <w:color w:val="auto"/>
              </w:rPr>
            </w:pPr>
          </w:p>
        </w:tc>
        <w:tc>
          <w:tcPr>
            <w:tcW w:w="20" w:type="dxa"/>
            <w:vAlign w:val="bottom"/>
            <w:shd w:val="clear" w:color="auto" w:fill="FDFDFC"/>
          </w:tcPr>
          <w:p>
            <w:pPr>
              <w:spacing w:after="0"/>
              <w:rPr>
                <w:sz w:val="15"/>
                <w:szCs w:val="15"/>
                <w:color w:val="auto"/>
              </w:rPr>
            </w:pPr>
          </w:p>
        </w:tc>
        <w:tc>
          <w:tcPr>
            <w:tcW w:w="80" w:type="dxa"/>
            <w:vAlign w:val="bottom"/>
            <w:shd w:val="clear" w:color="auto" w:fill="FDFDFC"/>
          </w:tcPr>
          <w:p>
            <w:pPr>
              <w:spacing w:after="0"/>
              <w:rPr>
                <w:sz w:val="15"/>
                <w:szCs w:val="15"/>
                <w:color w:val="auto"/>
              </w:rPr>
            </w:pPr>
          </w:p>
        </w:tc>
        <w:tc>
          <w:tcPr>
            <w:tcW w:w="20" w:type="dxa"/>
            <w:vAlign w:val="bottom"/>
            <w:shd w:val="clear" w:color="auto" w:fill="FDFDFC"/>
          </w:tcPr>
          <w:p>
            <w:pPr>
              <w:spacing w:after="0"/>
              <w:rPr>
                <w:sz w:val="15"/>
                <w:szCs w:val="15"/>
                <w:color w:val="auto"/>
              </w:rPr>
            </w:pPr>
          </w:p>
        </w:tc>
        <w:tc>
          <w:tcPr>
            <w:tcW w:w="20" w:type="dxa"/>
            <w:vAlign w:val="bottom"/>
            <w:shd w:val="clear" w:color="auto" w:fill="FDFDFC"/>
          </w:tcPr>
          <w:p>
            <w:pPr>
              <w:spacing w:after="0"/>
              <w:rPr>
                <w:sz w:val="15"/>
                <w:szCs w:val="15"/>
                <w:color w:val="auto"/>
              </w:rPr>
            </w:pPr>
          </w:p>
        </w:tc>
        <w:tc>
          <w:tcPr>
            <w:tcW w:w="660" w:type="dxa"/>
            <w:vAlign w:val="bottom"/>
            <w:shd w:val="clear" w:color="auto" w:fill="FDFDFC"/>
          </w:tcPr>
          <w:p>
            <w:pPr>
              <w:jc w:val="right"/>
              <w:spacing w:after="0"/>
              <w:rPr>
                <w:sz w:val="20"/>
                <w:szCs w:val="20"/>
                <w:color w:val="auto"/>
              </w:rPr>
            </w:pPr>
            <w:r>
              <w:rPr>
                <w:rFonts w:ascii="Times New Roman" w:cs="Times New Roman" w:eastAsia="Times New Roman" w:hAnsi="Times New Roman"/>
                <w:sz w:val="14"/>
                <w:szCs w:val="14"/>
                <w:color w:val="231F20"/>
              </w:rPr>
              <w:t>—</w:t>
            </w:r>
          </w:p>
        </w:tc>
        <w:tc>
          <w:tcPr>
            <w:tcW w:w="100" w:type="dxa"/>
            <w:vAlign w:val="bottom"/>
            <w:shd w:val="clear" w:color="auto" w:fill="FDFDFC"/>
          </w:tcPr>
          <w:p>
            <w:pPr>
              <w:spacing w:after="0"/>
              <w:rPr>
                <w:sz w:val="15"/>
                <w:szCs w:val="15"/>
                <w:color w:val="auto"/>
              </w:rPr>
            </w:pPr>
          </w:p>
        </w:tc>
        <w:tc>
          <w:tcPr>
            <w:tcW w:w="20" w:type="dxa"/>
            <w:vAlign w:val="bottom"/>
            <w:shd w:val="clear" w:color="auto" w:fill="FDFDFC"/>
          </w:tcPr>
          <w:p>
            <w:pPr>
              <w:spacing w:after="0"/>
              <w:rPr>
                <w:sz w:val="15"/>
                <w:szCs w:val="15"/>
                <w:color w:val="auto"/>
              </w:rPr>
            </w:pPr>
          </w:p>
        </w:tc>
        <w:tc>
          <w:tcPr>
            <w:tcW w:w="80" w:type="dxa"/>
            <w:vAlign w:val="bottom"/>
            <w:shd w:val="clear" w:color="auto" w:fill="FDFDFC"/>
          </w:tcPr>
          <w:p>
            <w:pPr>
              <w:spacing w:after="0"/>
              <w:rPr>
                <w:sz w:val="15"/>
                <w:szCs w:val="15"/>
                <w:color w:val="auto"/>
              </w:rPr>
            </w:pPr>
          </w:p>
        </w:tc>
        <w:tc>
          <w:tcPr>
            <w:tcW w:w="20" w:type="dxa"/>
            <w:vAlign w:val="bottom"/>
            <w:shd w:val="clear" w:color="auto" w:fill="FDFDFC"/>
          </w:tcPr>
          <w:p>
            <w:pPr>
              <w:spacing w:after="0"/>
              <w:rPr>
                <w:sz w:val="15"/>
                <w:szCs w:val="15"/>
                <w:color w:val="auto"/>
              </w:rPr>
            </w:pPr>
          </w:p>
        </w:tc>
        <w:tc>
          <w:tcPr>
            <w:tcW w:w="20" w:type="dxa"/>
            <w:vAlign w:val="bottom"/>
            <w:shd w:val="clear" w:color="auto" w:fill="FDFDFC"/>
          </w:tcPr>
          <w:p>
            <w:pPr>
              <w:spacing w:after="0"/>
              <w:rPr>
                <w:sz w:val="15"/>
                <w:szCs w:val="15"/>
                <w:color w:val="auto"/>
              </w:rPr>
            </w:pPr>
          </w:p>
        </w:tc>
        <w:tc>
          <w:tcPr>
            <w:tcW w:w="60" w:type="dxa"/>
            <w:vAlign w:val="bottom"/>
            <w:shd w:val="clear" w:color="auto" w:fill="FDFDFC"/>
          </w:tcPr>
          <w:p>
            <w:pPr>
              <w:spacing w:after="0"/>
              <w:rPr>
                <w:sz w:val="15"/>
                <w:szCs w:val="15"/>
                <w:color w:val="auto"/>
              </w:rPr>
            </w:pPr>
          </w:p>
        </w:tc>
        <w:tc>
          <w:tcPr>
            <w:tcW w:w="620" w:type="dxa"/>
            <w:vAlign w:val="bottom"/>
            <w:gridSpan w:val="4"/>
            <w:shd w:val="clear" w:color="auto" w:fill="FDFDFC"/>
          </w:tcPr>
          <w:p>
            <w:pPr>
              <w:jc w:val="right"/>
              <w:ind w:right="160"/>
              <w:spacing w:after="0"/>
              <w:rPr>
                <w:sz w:val="20"/>
                <w:szCs w:val="20"/>
                <w:color w:val="auto"/>
              </w:rPr>
            </w:pPr>
            <w:r>
              <w:rPr>
                <w:rFonts w:ascii="Times New Roman" w:cs="Times New Roman" w:eastAsia="Times New Roman" w:hAnsi="Times New Roman"/>
                <w:sz w:val="14"/>
                <w:szCs w:val="14"/>
                <w:color w:val="231F20"/>
              </w:rPr>
              <w:t>—</w:t>
            </w:r>
          </w:p>
        </w:tc>
        <w:tc>
          <w:tcPr>
            <w:tcW w:w="60" w:type="dxa"/>
            <w:vAlign w:val="bottom"/>
            <w:shd w:val="clear" w:color="auto" w:fill="FDFDFC"/>
          </w:tcPr>
          <w:p>
            <w:pPr>
              <w:spacing w:after="0"/>
              <w:rPr>
                <w:sz w:val="15"/>
                <w:szCs w:val="15"/>
                <w:color w:val="auto"/>
              </w:rPr>
            </w:pPr>
          </w:p>
        </w:tc>
        <w:tc>
          <w:tcPr>
            <w:tcW w:w="140" w:type="dxa"/>
            <w:vAlign w:val="bottom"/>
            <w:shd w:val="clear" w:color="auto" w:fill="FDFDFC"/>
          </w:tcPr>
          <w:p>
            <w:pPr>
              <w:spacing w:after="0"/>
              <w:rPr>
                <w:sz w:val="15"/>
                <w:szCs w:val="15"/>
                <w:color w:val="auto"/>
              </w:rPr>
            </w:pPr>
          </w:p>
        </w:tc>
        <w:tc>
          <w:tcPr>
            <w:tcW w:w="1140" w:type="dxa"/>
            <w:vAlign w:val="bottom"/>
            <w:gridSpan w:val="6"/>
            <w:shd w:val="clear" w:color="auto" w:fill="FDFDFC"/>
          </w:tcPr>
          <w:p>
            <w:pPr>
              <w:jc w:val="right"/>
              <w:ind w:right="260"/>
              <w:spacing w:after="0"/>
              <w:rPr>
                <w:sz w:val="20"/>
                <w:szCs w:val="20"/>
                <w:color w:val="auto"/>
              </w:rPr>
            </w:pPr>
            <w:r>
              <w:rPr>
                <w:rFonts w:ascii="Times New Roman" w:cs="Times New Roman" w:eastAsia="Times New Roman" w:hAnsi="Times New Roman"/>
                <w:sz w:val="14"/>
                <w:szCs w:val="14"/>
                <w:color w:val="231F20"/>
              </w:rPr>
              <w:t>—</w:t>
            </w:r>
          </w:p>
        </w:tc>
        <w:tc>
          <w:tcPr>
            <w:tcW w:w="60" w:type="dxa"/>
            <w:vAlign w:val="bottom"/>
            <w:shd w:val="clear" w:color="auto" w:fill="FDFDFC"/>
          </w:tcPr>
          <w:p>
            <w:pPr>
              <w:spacing w:after="0"/>
              <w:rPr>
                <w:sz w:val="15"/>
                <w:szCs w:val="15"/>
                <w:color w:val="auto"/>
              </w:rPr>
            </w:pPr>
          </w:p>
        </w:tc>
        <w:tc>
          <w:tcPr>
            <w:tcW w:w="720" w:type="dxa"/>
            <w:vAlign w:val="bottom"/>
            <w:shd w:val="clear" w:color="auto" w:fill="FDFDFC"/>
          </w:tcPr>
          <w:p>
            <w:pPr>
              <w:jc w:val="right"/>
              <w:spacing w:after="0"/>
              <w:rPr>
                <w:sz w:val="20"/>
                <w:szCs w:val="20"/>
                <w:color w:val="auto"/>
              </w:rPr>
            </w:pPr>
            <w:r>
              <w:rPr>
                <w:rFonts w:ascii="Times New Roman" w:cs="Times New Roman" w:eastAsia="Times New Roman" w:hAnsi="Times New Roman"/>
                <w:sz w:val="14"/>
                <w:szCs w:val="14"/>
                <w:color w:val="231F20"/>
              </w:rPr>
              <w:t>12,433</w:t>
            </w:r>
          </w:p>
        </w:tc>
        <w:tc>
          <w:tcPr>
            <w:tcW w:w="100" w:type="dxa"/>
            <w:vAlign w:val="bottom"/>
            <w:shd w:val="clear" w:color="auto" w:fill="FDFDFC"/>
          </w:tcPr>
          <w:p>
            <w:pPr>
              <w:spacing w:after="0"/>
              <w:rPr>
                <w:sz w:val="15"/>
                <w:szCs w:val="15"/>
                <w:color w:val="auto"/>
              </w:rPr>
            </w:pPr>
          </w:p>
        </w:tc>
        <w:tc>
          <w:tcPr>
            <w:tcW w:w="20" w:type="dxa"/>
            <w:vAlign w:val="bottom"/>
            <w:shd w:val="clear" w:color="auto" w:fill="FDFDFC"/>
          </w:tcPr>
          <w:p>
            <w:pPr>
              <w:spacing w:after="0"/>
              <w:rPr>
                <w:sz w:val="15"/>
                <w:szCs w:val="15"/>
                <w:color w:val="auto"/>
              </w:rPr>
            </w:pPr>
          </w:p>
        </w:tc>
        <w:tc>
          <w:tcPr>
            <w:tcW w:w="80" w:type="dxa"/>
            <w:vAlign w:val="bottom"/>
            <w:shd w:val="clear" w:color="auto" w:fill="FDFDFC"/>
          </w:tcPr>
          <w:p>
            <w:pPr>
              <w:spacing w:after="0"/>
              <w:rPr>
                <w:sz w:val="15"/>
                <w:szCs w:val="15"/>
                <w:color w:val="auto"/>
              </w:rPr>
            </w:pPr>
          </w:p>
        </w:tc>
        <w:tc>
          <w:tcPr>
            <w:tcW w:w="20" w:type="dxa"/>
            <w:vAlign w:val="bottom"/>
            <w:shd w:val="clear" w:color="auto" w:fill="FDFDFC"/>
          </w:tcPr>
          <w:p>
            <w:pPr>
              <w:spacing w:after="0"/>
              <w:rPr>
                <w:sz w:val="15"/>
                <w:szCs w:val="15"/>
                <w:color w:val="auto"/>
              </w:rPr>
            </w:pPr>
          </w:p>
        </w:tc>
        <w:tc>
          <w:tcPr>
            <w:tcW w:w="20" w:type="dxa"/>
            <w:vAlign w:val="bottom"/>
            <w:shd w:val="clear" w:color="auto" w:fill="FDFDFC"/>
          </w:tcPr>
          <w:p>
            <w:pPr>
              <w:spacing w:after="0"/>
              <w:rPr>
                <w:sz w:val="15"/>
                <w:szCs w:val="15"/>
                <w:color w:val="auto"/>
              </w:rPr>
            </w:pPr>
          </w:p>
        </w:tc>
        <w:tc>
          <w:tcPr>
            <w:tcW w:w="40" w:type="dxa"/>
            <w:vAlign w:val="bottom"/>
            <w:shd w:val="clear" w:color="auto" w:fill="FDFDFC"/>
          </w:tcPr>
          <w:p>
            <w:pPr>
              <w:spacing w:after="0"/>
              <w:rPr>
                <w:sz w:val="15"/>
                <w:szCs w:val="15"/>
                <w:color w:val="auto"/>
              </w:rPr>
            </w:pPr>
          </w:p>
        </w:tc>
        <w:tc>
          <w:tcPr>
            <w:tcW w:w="720" w:type="dxa"/>
            <w:vAlign w:val="bottom"/>
            <w:shd w:val="clear" w:color="auto" w:fill="FDFDFC"/>
          </w:tcPr>
          <w:p>
            <w:pPr>
              <w:jc w:val="right"/>
              <w:spacing w:after="0"/>
              <w:rPr>
                <w:sz w:val="20"/>
                <w:szCs w:val="20"/>
                <w:color w:val="auto"/>
              </w:rPr>
            </w:pPr>
            <w:r>
              <w:rPr>
                <w:rFonts w:ascii="Times New Roman" w:cs="Times New Roman" w:eastAsia="Times New Roman" w:hAnsi="Times New Roman"/>
                <w:sz w:val="14"/>
                <w:szCs w:val="14"/>
                <w:color w:val="231F20"/>
              </w:rPr>
              <w:t>12,433</w:t>
            </w:r>
          </w:p>
        </w:tc>
        <w:tc>
          <w:tcPr>
            <w:tcW w:w="100" w:type="dxa"/>
            <w:vAlign w:val="bottom"/>
            <w:shd w:val="clear" w:color="auto" w:fill="FDFDFC"/>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3620" w:type="dxa"/>
            <w:vAlign w:val="bottom"/>
            <w:gridSpan w:val="2"/>
            <w:shd w:val="clear" w:color="auto" w:fill="D0EBF2"/>
          </w:tcPr>
          <w:p>
            <w:pPr>
              <w:ind w:left="100"/>
              <w:spacing w:after="0"/>
              <w:rPr>
                <w:sz w:val="20"/>
                <w:szCs w:val="20"/>
                <w:color w:val="auto"/>
              </w:rPr>
            </w:pPr>
            <w:r>
              <w:rPr>
                <w:rFonts w:ascii="Times New Roman" w:cs="Times New Roman" w:eastAsia="Times New Roman" w:hAnsi="Times New Roman"/>
                <w:sz w:val="14"/>
                <w:szCs w:val="14"/>
                <w:color w:val="231F20"/>
              </w:rPr>
              <w:t>Increase (decrease) in net assets resulting from capital</w:t>
            </w:r>
          </w:p>
        </w:tc>
        <w:tc>
          <w:tcPr>
            <w:tcW w:w="860" w:type="dxa"/>
            <w:vAlign w:val="bottom"/>
            <w:shd w:val="clear" w:color="auto" w:fill="D0EBF2"/>
          </w:tcPr>
          <w:p>
            <w:pPr>
              <w:spacing w:after="0"/>
              <w:rPr>
                <w:sz w:val="14"/>
                <w:szCs w:val="14"/>
                <w:color w:val="auto"/>
              </w:rPr>
            </w:pPr>
          </w:p>
        </w:tc>
        <w:tc>
          <w:tcPr>
            <w:tcW w:w="100" w:type="dxa"/>
            <w:vAlign w:val="bottom"/>
            <w:shd w:val="clear" w:color="auto" w:fill="D0EBF2"/>
          </w:tcPr>
          <w:p>
            <w:pPr>
              <w:spacing w:after="0"/>
              <w:rPr>
                <w:sz w:val="14"/>
                <w:szCs w:val="14"/>
                <w:color w:val="auto"/>
              </w:rPr>
            </w:pPr>
          </w:p>
        </w:tc>
        <w:tc>
          <w:tcPr>
            <w:tcW w:w="100" w:type="dxa"/>
            <w:vAlign w:val="bottom"/>
            <w:shd w:val="clear" w:color="auto" w:fill="D0EBF2"/>
          </w:tcPr>
          <w:p>
            <w:pPr>
              <w:spacing w:after="0"/>
              <w:rPr>
                <w:sz w:val="14"/>
                <w:szCs w:val="14"/>
                <w:color w:val="auto"/>
              </w:rPr>
            </w:pPr>
          </w:p>
        </w:tc>
        <w:tc>
          <w:tcPr>
            <w:tcW w:w="20" w:type="dxa"/>
            <w:vAlign w:val="bottom"/>
            <w:shd w:val="clear" w:color="auto" w:fill="D0EBF2"/>
          </w:tcPr>
          <w:p>
            <w:pPr>
              <w:spacing w:after="0"/>
              <w:rPr>
                <w:sz w:val="14"/>
                <w:szCs w:val="14"/>
                <w:color w:val="auto"/>
              </w:rPr>
            </w:pPr>
          </w:p>
        </w:tc>
        <w:tc>
          <w:tcPr>
            <w:tcW w:w="20" w:type="dxa"/>
            <w:vAlign w:val="bottom"/>
            <w:shd w:val="clear" w:color="auto" w:fill="D0EBF2"/>
          </w:tcPr>
          <w:p>
            <w:pPr>
              <w:spacing w:after="0"/>
              <w:rPr>
                <w:sz w:val="14"/>
                <w:szCs w:val="14"/>
                <w:color w:val="auto"/>
              </w:rPr>
            </w:pPr>
          </w:p>
        </w:tc>
        <w:tc>
          <w:tcPr>
            <w:tcW w:w="60" w:type="dxa"/>
            <w:vAlign w:val="bottom"/>
            <w:shd w:val="clear" w:color="auto" w:fill="D0EBF2"/>
          </w:tcPr>
          <w:p>
            <w:pPr>
              <w:spacing w:after="0"/>
              <w:rPr>
                <w:sz w:val="14"/>
                <w:szCs w:val="14"/>
                <w:color w:val="auto"/>
              </w:rPr>
            </w:pPr>
          </w:p>
        </w:tc>
        <w:tc>
          <w:tcPr>
            <w:tcW w:w="420" w:type="dxa"/>
            <w:vAlign w:val="bottom"/>
            <w:shd w:val="clear" w:color="auto" w:fill="D0EBF2"/>
          </w:tcPr>
          <w:p>
            <w:pPr>
              <w:spacing w:after="0"/>
              <w:rPr>
                <w:sz w:val="14"/>
                <w:szCs w:val="14"/>
                <w:color w:val="auto"/>
              </w:rPr>
            </w:pPr>
          </w:p>
        </w:tc>
        <w:tc>
          <w:tcPr>
            <w:tcW w:w="100" w:type="dxa"/>
            <w:vAlign w:val="bottom"/>
            <w:shd w:val="clear" w:color="auto" w:fill="D0EBF2"/>
          </w:tcPr>
          <w:p>
            <w:pPr>
              <w:spacing w:after="0"/>
              <w:rPr>
                <w:sz w:val="14"/>
                <w:szCs w:val="14"/>
                <w:color w:val="auto"/>
              </w:rPr>
            </w:pPr>
          </w:p>
        </w:tc>
        <w:tc>
          <w:tcPr>
            <w:tcW w:w="20" w:type="dxa"/>
            <w:vAlign w:val="bottom"/>
            <w:shd w:val="clear" w:color="auto" w:fill="D0EBF2"/>
          </w:tcPr>
          <w:p>
            <w:pPr>
              <w:spacing w:after="0"/>
              <w:rPr>
                <w:sz w:val="14"/>
                <w:szCs w:val="14"/>
                <w:color w:val="auto"/>
              </w:rPr>
            </w:pPr>
          </w:p>
        </w:tc>
        <w:tc>
          <w:tcPr>
            <w:tcW w:w="80" w:type="dxa"/>
            <w:vAlign w:val="bottom"/>
            <w:shd w:val="clear" w:color="auto" w:fill="D0EBF2"/>
          </w:tcPr>
          <w:p>
            <w:pPr>
              <w:spacing w:after="0"/>
              <w:rPr>
                <w:sz w:val="14"/>
                <w:szCs w:val="14"/>
                <w:color w:val="auto"/>
              </w:rPr>
            </w:pPr>
          </w:p>
        </w:tc>
        <w:tc>
          <w:tcPr>
            <w:tcW w:w="20" w:type="dxa"/>
            <w:vAlign w:val="bottom"/>
            <w:shd w:val="clear" w:color="auto" w:fill="D0EBF2"/>
          </w:tcPr>
          <w:p>
            <w:pPr>
              <w:spacing w:after="0"/>
              <w:rPr>
                <w:sz w:val="14"/>
                <w:szCs w:val="14"/>
                <w:color w:val="auto"/>
              </w:rPr>
            </w:pPr>
          </w:p>
        </w:tc>
        <w:tc>
          <w:tcPr>
            <w:tcW w:w="20" w:type="dxa"/>
            <w:vAlign w:val="bottom"/>
            <w:shd w:val="clear" w:color="auto" w:fill="D0EBF2"/>
          </w:tcPr>
          <w:p>
            <w:pPr>
              <w:spacing w:after="0"/>
              <w:rPr>
                <w:sz w:val="14"/>
                <w:szCs w:val="14"/>
                <w:color w:val="auto"/>
              </w:rPr>
            </w:pPr>
          </w:p>
        </w:tc>
        <w:tc>
          <w:tcPr>
            <w:tcW w:w="660" w:type="dxa"/>
            <w:vAlign w:val="bottom"/>
            <w:shd w:val="clear" w:color="auto" w:fill="D0EBF2"/>
          </w:tcPr>
          <w:p>
            <w:pPr>
              <w:spacing w:after="0"/>
              <w:rPr>
                <w:sz w:val="14"/>
                <w:szCs w:val="14"/>
                <w:color w:val="auto"/>
              </w:rPr>
            </w:pPr>
          </w:p>
        </w:tc>
        <w:tc>
          <w:tcPr>
            <w:tcW w:w="100" w:type="dxa"/>
            <w:vAlign w:val="bottom"/>
            <w:shd w:val="clear" w:color="auto" w:fill="D0EBF2"/>
          </w:tcPr>
          <w:p>
            <w:pPr>
              <w:spacing w:after="0"/>
              <w:rPr>
                <w:sz w:val="14"/>
                <w:szCs w:val="14"/>
                <w:color w:val="auto"/>
              </w:rPr>
            </w:pPr>
          </w:p>
        </w:tc>
        <w:tc>
          <w:tcPr>
            <w:tcW w:w="20" w:type="dxa"/>
            <w:vAlign w:val="bottom"/>
            <w:shd w:val="clear" w:color="auto" w:fill="D0EBF2"/>
          </w:tcPr>
          <w:p>
            <w:pPr>
              <w:spacing w:after="0"/>
              <w:rPr>
                <w:sz w:val="14"/>
                <w:szCs w:val="14"/>
                <w:color w:val="auto"/>
              </w:rPr>
            </w:pPr>
          </w:p>
        </w:tc>
        <w:tc>
          <w:tcPr>
            <w:tcW w:w="80" w:type="dxa"/>
            <w:vAlign w:val="bottom"/>
            <w:shd w:val="clear" w:color="auto" w:fill="D0EBF2"/>
          </w:tcPr>
          <w:p>
            <w:pPr>
              <w:spacing w:after="0"/>
              <w:rPr>
                <w:sz w:val="14"/>
                <w:szCs w:val="14"/>
                <w:color w:val="auto"/>
              </w:rPr>
            </w:pPr>
          </w:p>
        </w:tc>
        <w:tc>
          <w:tcPr>
            <w:tcW w:w="20" w:type="dxa"/>
            <w:vAlign w:val="bottom"/>
            <w:shd w:val="clear" w:color="auto" w:fill="D0EBF2"/>
          </w:tcPr>
          <w:p>
            <w:pPr>
              <w:spacing w:after="0"/>
              <w:rPr>
                <w:sz w:val="14"/>
                <w:szCs w:val="14"/>
                <w:color w:val="auto"/>
              </w:rPr>
            </w:pPr>
          </w:p>
        </w:tc>
        <w:tc>
          <w:tcPr>
            <w:tcW w:w="20" w:type="dxa"/>
            <w:vAlign w:val="bottom"/>
            <w:shd w:val="clear" w:color="auto" w:fill="D0EBF2"/>
          </w:tcPr>
          <w:p>
            <w:pPr>
              <w:spacing w:after="0"/>
              <w:rPr>
                <w:sz w:val="14"/>
                <w:szCs w:val="14"/>
                <w:color w:val="auto"/>
              </w:rPr>
            </w:pPr>
          </w:p>
        </w:tc>
        <w:tc>
          <w:tcPr>
            <w:tcW w:w="60" w:type="dxa"/>
            <w:vAlign w:val="bottom"/>
            <w:shd w:val="clear" w:color="auto" w:fill="D0EBF2"/>
          </w:tcPr>
          <w:p>
            <w:pPr>
              <w:spacing w:after="0"/>
              <w:rPr>
                <w:sz w:val="14"/>
                <w:szCs w:val="14"/>
                <w:color w:val="auto"/>
              </w:rPr>
            </w:pPr>
          </w:p>
        </w:tc>
        <w:tc>
          <w:tcPr>
            <w:tcW w:w="480" w:type="dxa"/>
            <w:vAlign w:val="bottom"/>
            <w:shd w:val="clear" w:color="auto" w:fill="D0EBF2"/>
          </w:tcPr>
          <w:p>
            <w:pPr>
              <w:spacing w:after="0"/>
              <w:rPr>
                <w:sz w:val="14"/>
                <w:szCs w:val="14"/>
                <w:color w:val="auto"/>
              </w:rPr>
            </w:pPr>
          </w:p>
        </w:tc>
        <w:tc>
          <w:tcPr>
            <w:tcW w:w="100" w:type="dxa"/>
            <w:vAlign w:val="bottom"/>
            <w:shd w:val="clear" w:color="auto" w:fill="D0EBF2"/>
          </w:tcPr>
          <w:p>
            <w:pPr>
              <w:spacing w:after="0"/>
              <w:rPr>
                <w:sz w:val="14"/>
                <w:szCs w:val="14"/>
                <w:color w:val="auto"/>
              </w:rPr>
            </w:pPr>
          </w:p>
        </w:tc>
        <w:tc>
          <w:tcPr>
            <w:tcW w:w="20" w:type="dxa"/>
            <w:vAlign w:val="bottom"/>
            <w:shd w:val="clear" w:color="auto" w:fill="D0EBF2"/>
          </w:tcPr>
          <w:p>
            <w:pPr>
              <w:spacing w:after="0"/>
              <w:rPr>
                <w:sz w:val="14"/>
                <w:szCs w:val="14"/>
                <w:color w:val="auto"/>
              </w:rPr>
            </w:pPr>
          </w:p>
        </w:tc>
        <w:tc>
          <w:tcPr>
            <w:tcW w:w="20" w:type="dxa"/>
            <w:vAlign w:val="bottom"/>
            <w:shd w:val="clear" w:color="auto" w:fill="D0EBF2"/>
          </w:tcPr>
          <w:p>
            <w:pPr>
              <w:spacing w:after="0"/>
              <w:rPr>
                <w:sz w:val="14"/>
                <w:szCs w:val="14"/>
                <w:color w:val="auto"/>
              </w:rPr>
            </w:pPr>
          </w:p>
        </w:tc>
        <w:tc>
          <w:tcPr>
            <w:tcW w:w="60" w:type="dxa"/>
            <w:vAlign w:val="bottom"/>
            <w:shd w:val="clear" w:color="auto" w:fill="D0EBF2"/>
          </w:tcPr>
          <w:p>
            <w:pPr>
              <w:spacing w:after="0"/>
              <w:rPr>
                <w:sz w:val="14"/>
                <w:szCs w:val="14"/>
                <w:color w:val="auto"/>
              </w:rPr>
            </w:pPr>
          </w:p>
        </w:tc>
        <w:tc>
          <w:tcPr>
            <w:tcW w:w="140" w:type="dxa"/>
            <w:vAlign w:val="bottom"/>
            <w:shd w:val="clear" w:color="auto" w:fill="D0EBF2"/>
          </w:tcPr>
          <w:p>
            <w:pPr>
              <w:spacing w:after="0"/>
              <w:rPr>
                <w:sz w:val="14"/>
                <w:szCs w:val="14"/>
                <w:color w:val="auto"/>
              </w:rPr>
            </w:pPr>
          </w:p>
        </w:tc>
        <w:tc>
          <w:tcPr>
            <w:tcW w:w="900" w:type="dxa"/>
            <w:vAlign w:val="bottom"/>
            <w:shd w:val="clear" w:color="auto" w:fill="D0EBF2"/>
          </w:tcPr>
          <w:p>
            <w:pPr>
              <w:spacing w:after="0"/>
              <w:rPr>
                <w:sz w:val="14"/>
                <w:szCs w:val="14"/>
                <w:color w:val="auto"/>
              </w:rPr>
            </w:pPr>
          </w:p>
        </w:tc>
        <w:tc>
          <w:tcPr>
            <w:tcW w:w="100" w:type="dxa"/>
            <w:vAlign w:val="bottom"/>
            <w:shd w:val="clear" w:color="auto" w:fill="D0EBF2"/>
          </w:tcPr>
          <w:p>
            <w:pPr>
              <w:spacing w:after="0"/>
              <w:rPr>
                <w:sz w:val="14"/>
                <w:szCs w:val="14"/>
                <w:color w:val="auto"/>
              </w:rPr>
            </w:pPr>
          </w:p>
        </w:tc>
        <w:tc>
          <w:tcPr>
            <w:tcW w:w="20" w:type="dxa"/>
            <w:vAlign w:val="bottom"/>
            <w:shd w:val="clear" w:color="auto" w:fill="D0EBF2"/>
          </w:tcPr>
          <w:p>
            <w:pPr>
              <w:spacing w:after="0"/>
              <w:rPr>
                <w:sz w:val="14"/>
                <w:szCs w:val="14"/>
                <w:color w:val="auto"/>
              </w:rPr>
            </w:pPr>
          </w:p>
        </w:tc>
        <w:tc>
          <w:tcPr>
            <w:tcW w:w="80" w:type="dxa"/>
            <w:vAlign w:val="bottom"/>
            <w:shd w:val="clear" w:color="auto" w:fill="D0EBF2"/>
          </w:tcPr>
          <w:p>
            <w:pPr>
              <w:spacing w:after="0"/>
              <w:rPr>
                <w:sz w:val="14"/>
                <w:szCs w:val="14"/>
                <w:color w:val="auto"/>
              </w:rPr>
            </w:pPr>
          </w:p>
        </w:tc>
        <w:tc>
          <w:tcPr>
            <w:tcW w:w="20" w:type="dxa"/>
            <w:vAlign w:val="bottom"/>
            <w:shd w:val="clear" w:color="auto" w:fill="D0EBF2"/>
          </w:tcPr>
          <w:p>
            <w:pPr>
              <w:spacing w:after="0"/>
              <w:rPr>
                <w:sz w:val="14"/>
                <w:szCs w:val="14"/>
                <w:color w:val="auto"/>
              </w:rPr>
            </w:pPr>
          </w:p>
        </w:tc>
        <w:tc>
          <w:tcPr>
            <w:tcW w:w="20" w:type="dxa"/>
            <w:vAlign w:val="bottom"/>
            <w:shd w:val="clear" w:color="auto" w:fill="D0EBF2"/>
          </w:tcPr>
          <w:p>
            <w:pPr>
              <w:spacing w:after="0"/>
              <w:rPr>
                <w:sz w:val="14"/>
                <w:szCs w:val="14"/>
                <w:color w:val="auto"/>
              </w:rPr>
            </w:pPr>
          </w:p>
        </w:tc>
        <w:tc>
          <w:tcPr>
            <w:tcW w:w="60" w:type="dxa"/>
            <w:vAlign w:val="bottom"/>
            <w:shd w:val="clear" w:color="auto" w:fill="D0EBF2"/>
          </w:tcPr>
          <w:p>
            <w:pPr>
              <w:spacing w:after="0"/>
              <w:rPr>
                <w:sz w:val="14"/>
                <w:szCs w:val="14"/>
                <w:color w:val="auto"/>
              </w:rPr>
            </w:pPr>
          </w:p>
        </w:tc>
        <w:tc>
          <w:tcPr>
            <w:tcW w:w="720" w:type="dxa"/>
            <w:vAlign w:val="bottom"/>
            <w:shd w:val="clear" w:color="auto" w:fill="D0EBF2"/>
          </w:tcPr>
          <w:p>
            <w:pPr>
              <w:spacing w:after="0"/>
              <w:rPr>
                <w:sz w:val="14"/>
                <w:szCs w:val="14"/>
                <w:color w:val="auto"/>
              </w:rPr>
            </w:pPr>
          </w:p>
        </w:tc>
        <w:tc>
          <w:tcPr>
            <w:tcW w:w="100" w:type="dxa"/>
            <w:vAlign w:val="bottom"/>
            <w:shd w:val="clear" w:color="auto" w:fill="D0EBF2"/>
          </w:tcPr>
          <w:p>
            <w:pPr>
              <w:spacing w:after="0"/>
              <w:rPr>
                <w:sz w:val="14"/>
                <w:szCs w:val="14"/>
                <w:color w:val="auto"/>
              </w:rPr>
            </w:pPr>
          </w:p>
        </w:tc>
        <w:tc>
          <w:tcPr>
            <w:tcW w:w="20" w:type="dxa"/>
            <w:vAlign w:val="bottom"/>
            <w:shd w:val="clear" w:color="auto" w:fill="D0EBF2"/>
          </w:tcPr>
          <w:p>
            <w:pPr>
              <w:spacing w:after="0"/>
              <w:rPr>
                <w:sz w:val="14"/>
                <w:szCs w:val="14"/>
                <w:color w:val="auto"/>
              </w:rPr>
            </w:pPr>
          </w:p>
        </w:tc>
        <w:tc>
          <w:tcPr>
            <w:tcW w:w="80" w:type="dxa"/>
            <w:vAlign w:val="bottom"/>
            <w:shd w:val="clear" w:color="auto" w:fill="D0EBF2"/>
          </w:tcPr>
          <w:p>
            <w:pPr>
              <w:spacing w:after="0"/>
              <w:rPr>
                <w:sz w:val="14"/>
                <w:szCs w:val="14"/>
                <w:color w:val="auto"/>
              </w:rPr>
            </w:pPr>
          </w:p>
        </w:tc>
        <w:tc>
          <w:tcPr>
            <w:tcW w:w="20" w:type="dxa"/>
            <w:vAlign w:val="bottom"/>
            <w:shd w:val="clear" w:color="auto" w:fill="D0EBF2"/>
          </w:tcPr>
          <w:p>
            <w:pPr>
              <w:spacing w:after="0"/>
              <w:rPr>
                <w:sz w:val="14"/>
                <w:szCs w:val="14"/>
                <w:color w:val="auto"/>
              </w:rPr>
            </w:pPr>
          </w:p>
        </w:tc>
        <w:tc>
          <w:tcPr>
            <w:tcW w:w="20" w:type="dxa"/>
            <w:vAlign w:val="bottom"/>
            <w:shd w:val="clear" w:color="auto" w:fill="D0EBF2"/>
          </w:tcPr>
          <w:p>
            <w:pPr>
              <w:spacing w:after="0"/>
              <w:rPr>
                <w:sz w:val="14"/>
                <w:szCs w:val="14"/>
                <w:color w:val="auto"/>
              </w:rPr>
            </w:pPr>
          </w:p>
        </w:tc>
        <w:tc>
          <w:tcPr>
            <w:tcW w:w="40" w:type="dxa"/>
            <w:vAlign w:val="bottom"/>
            <w:shd w:val="clear" w:color="auto" w:fill="D0EBF2"/>
          </w:tcPr>
          <w:p>
            <w:pPr>
              <w:spacing w:after="0"/>
              <w:rPr>
                <w:sz w:val="14"/>
                <w:szCs w:val="14"/>
                <w:color w:val="auto"/>
              </w:rPr>
            </w:pPr>
          </w:p>
        </w:tc>
        <w:tc>
          <w:tcPr>
            <w:tcW w:w="720" w:type="dxa"/>
            <w:vAlign w:val="bottom"/>
            <w:shd w:val="clear" w:color="auto" w:fill="D0EBF2"/>
          </w:tcPr>
          <w:p>
            <w:pPr>
              <w:spacing w:after="0"/>
              <w:rPr>
                <w:sz w:val="14"/>
                <w:szCs w:val="14"/>
                <w:color w:val="auto"/>
              </w:rPr>
            </w:pPr>
          </w:p>
        </w:tc>
        <w:tc>
          <w:tcPr>
            <w:tcW w:w="100" w:type="dxa"/>
            <w:vAlign w:val="bottom"/>
            <w:shd w:val="clear" w:color="auto" w:fill="D0EBF2"/>
          </w:tcPr>
          <w:p>
            <w:pPr>
              <w:spacing w:after="0"/>
              <w:rPr>
                <w:sz w:val="14"/>
                <w:szCs w:val="14"/>
                <w:color w:val="auto"/>
              </w:rPr>
            </w:pPr>
          </w:p>
        </w:tc>
        <w:tc>
          <w:tcPr>
            <w:tcW w:w="0" w:type="dxa"/>
            <w:vAlign w:val="bottom"/>
          </w:tcPr>
          <w:p>
            <w:pPr>
              <w:spacing w:after="0"/>
              <w:rPr>
                <w:sz w:val="1"/>
                <w:szCs w:val="1"/>
                <w:color w:val="auto"/>
              </w:rPr>
            </w:pPr>
          </w:p>
        </w:tc>
      </w:tr>
      <w:tr>
        <w:trPr>
          <w:trHeight w:val="177"/>
        </w:trPr>
        <w:tc>
          <w:tcPr>
            <w:tcW w:w="3620" w:type="dxa"/>
            <w:vAlign w:val="bottom"/>
            <w:gridSpan w:val="2"/>
            <w:shd w:val="clear" w:color="auto" w:fill="D0EBF2"/>
          </w:tcPr>
          <w:p>
            <w:pPr>
              <w:ind w:left="100"/>
              <w:spacing w:after="0"/>
              <w:rPr>
                <w:sz w:val="20"/>
                <w:szCs w:val="20"/>
                <w:color w:val="auto"/>
              </w:rPr>
            </w:pPr>
            <w:r>
              <w:rPr>
                <w:rFonts w:ascii="Times New Roman" w:cs="Times New Roman" w:eastAsia="Times New Roman" w:hAnsi="Times New Roman"/>
                <w:sz w:val="14"/>
                <w:szCs w:val="14"/>
                <w:color w:val="231F20"/>
              </w:rPr>
              <w:t>share transactions</w:t>
            </w:r>
          </w:p>
        </w:tc>
        <w:tc>
          <w:tcPr>
            <w:tcW w:w="860" w:type="dxa"/>
            <w:vAlign w:val="bottom"/>
            <w:shd w:val="clear" w:color="auto" w:fill="D0EBF2"/>
          </w:tcPr>
          <w:p>
            <w:pPr>
              <w:spacing w:after="0"/>
              <w:rPr>
                <w:sz w:val="15"/>
                <w:szCs w:val="15"/>
                <w:color w:val="auto"/>
              </w:rPr>
            </w:pPr>
          </w:p>
        </w:tc>
        <w:tc>
          <w:tcPr>
            <w:tcW w:w="100" w:type="dxa"/>
            <w:vAlign w:val="bottom"/>
            <w:shd w:val="clear" w:color="auto" w:fill="D0EBF2"/>
          </w:tcPr>
          <w:p>
            <w:pPr>
              <w:spacing w:after="0"/>
              <w:rPr>
                <w:sz w:val="15"/>
                <w:szCs w:val="15"/>
                <w:color w:val="auto"/>
              </w:rPr>
            </w:pPr>
          </w:p>
        </w:tc>
        <w:tc>
          <w:tcPr>
            <w:tcW w:w="100" w:type="dxa"/>
            <w:vAlign w:val="bottom"/>
            <w:shd w:val="clear" w:color="auto" w:fill="D0EBF2"/>
          </w:tcPr>
          <w:p>
            <w:pPr>
              <w:spacing w:after="0"/>
              <w:rPr>
                <w:sz w:val="15"/>
                <w:szCs w:val="15"/>
                <w:color w:val="auto"/>
              </w:rPr>
            </w:pPr>
          </w:p>
        </w:tc>
        <w:tc>
          <w:tcPr>
            <w:tcW w:w="20" w:type="dxa"/>
            <w:vAlign w:val="bottom"/>
            <w:shd w:val="clear" w:color="auto" w:fill="D0EBF2"/>
          </w:tcPr>
          <w:p>
            <w:pPr>
              <w:spacing w:after="0"/>
              <w:rPr>
                <w:sz w:val="15"/>
                <w:szCs w:val="15"/>
                <w:color w:val="auto"/>
              </w:rPr>
            </w:pPr>
          </w:p>
        </w:tc>
        <w:tc>
          <w:tcPr>
            <w:tcW w:w="20" w:type="dxa"/>
            <w:vAlign w:val="bottom"/>
            <w:shd w:val="clear" w:color="auto" w:fill="D0EBF2"/>
          </w:tcPr>
          <w:p>
            <w:pPr>
              <w:spacing w:after="0"/>
              <w:rPr>
                <w:sz w:val="15"/>
                <w:szCs w:val="15"/>
                <w:color w:val="auto"/>
              </w:rPr>
            </w:pPr>
          </w:p>
        </w:tc>
        <w:tc>
          <w:tcPr>
            <w:tcW w:w="60" w:type="dxa"/>
            <w:vAlign w:val="bottom"/>
            <w:shd w:val="clear" w:color="auto" w:fill="D0EBF2"/>
          </w:tcPr>
          <w:p>
            <w:pPr>
              <w:spacing w:after="0"/>
              <w:rPr>
                <w:sz w:val="15"/>
                <w:szCs w:val="15"/>
                <w:color w:val="auto"/>
              </w:rPr>
            </w:pPr>
          </w:p>
        </w:tc>
        <w:tc>
          <w:tcPr>
            <w:tcW w:w="420" w:type="dxa"/>
            <w:vAlign w:val="bottom"/>
            <w:shd w:val="clear" w:color="auto" w:fill="D0EBF2"/>
          </w:tcPr>
          <w:p>
            <w:pPr>
              <w:spacing w:after="0"/>
              <w:rPr>
                <w:sz w:val="15"/>
                <w:szCs w:val="15"/>
                <w:color w:val="auto"/>
              </w:rPr>
            </w:pPr>
          </w:p>
        </w:tc>
        <w:tc>
          <w:tcPr>
            <w:tcW w:w="100" w:type="dxa"/>
            <w:vAlign w:val="bottom"/>
            <w:shd w:val="clear" w:color="auto" w:fill="D0EBF2"/>
          </w:tcPr>
          <w:p>
            <w:pPr>
              <w:spacing w:after="0"/>
              <w:rPr>
                <w:sz w:val="15"/>
                <w:szCs w:val="15"/>
                <w:color w:val="auto"/>
              </w:rPr>
            </w:pPr>
          </w:p>
        </w:tc>
        <w:tc>
          <w:tcPr>
            <w:tcW w:w="20" w:type="dxa"/>
            <w:vAlign w:val="bottom"/>
            <w:shd w:val="clear" w:color="auto" w:fill="D0EBF2"/>
          </w:tcPr>
          <w:p>
            <w:pPr>
              <w:spacing w:after="0"/>
              <w:rPr>
                <w:sz w:val="15"/>
                <w:szCs w:val="15"/>
                <w:color w:val="auto"/>
              </w:rPr>
            </w:pPr>
          </w:p>
        </w:tc>
        <w:tc>
          <w:tcPr>
            <w:tcW w:w="80" w:type="dxa"/>
            <w:vAlign w:val="bottom"/>
            <w:shd w:val="clear" w:color="auto" w:fill="D0EBF2"/>
          </w:tcPr>
          <w:p>
            <w:pPr>
              <w:spacing w:after="0"/>
              <w:rPr>
                <w:sz w:val="15"/>
                <w:szCs w:val="15"/>
                <w:color w:val="auto"/>
              </w:rPr>
            </w:pPr>
          </w:p>
        </w:tc>
        <w:tc>
          <w:tcPr>
            <w:tcW w:w="20" w:type="dxa"/>
            <w:vAlign w:val="bottom"/>
            <w:shd w:val="clear" w:color="auto" w:fill="D0EBF2"/>
          </w:tcPr>
          <w:p>
            <w:pPr>
              <w:spacing w:after="0"/>
              <w:rPr>
                <w:sz w:val="15"/>
                <w:szCs w:val="15"/>
                <w:color w:val="auto"/>
              </w:rPr>
            </w:pPr>
          </w:p>
        </w:tc>
        <w:tc>
          <w:tcPr>
            <w:tcW w:w="20" w:type="dxa"/>
            <w:vAlign w:val="bottom"/>
            <w:shd w:val="clear" w:color="auto" w:fill="D0EBF2"/>
          </w:tcPr>
          <w:p>
            <w:pPr>
              <w:spacing w:after="0"/>
              <w:rPr>
                <w:sz w:val="15"/>
                <w:szCs w:val="15"/>
                <w:color w:val="auto"/>
              </w:rPr>
            </w:pPr>
          </w:p>
        </w:tc>
        <w:tc>
          <w:tcPr>
            <w:tcW w:w="660" w:type="dxa"/>
            <w:vAlign w:val="bottom"/>
            <w:shd w:val="clear" w:color="auto" w:fill="D0EBF2"/>
          </w:tcPr>
          <w:p>
            <w:pPr>
              <w:spacing w:after="0"/>
              <w:rPr>
                <w:sz w:val="15"/>
                <w:szCs w:val="15"/>
                <w:color w:val="auto"/>
              </w:rPr>
            </w:pPr>
          </w:p>
        </w:tc>
        <w:tc>
          <w:tcPr>
            <w:tcW w:w="100" w:type="dxa"/>
            <w:vAlign w:val="bottom"/>
            <w:shd w:val="clear" w:color="auto" w:fill="D0EBF2"/>
          </w:tcPr>
          <w:p>
            <w:pPr>
              <w:spacing w:after="0"/>
              <w:rPr>
                <w:sz w:val="15"/>
                <w:szCs w:val="15"/>
                <w:color w:val="auto"/>
              </w:rPr>
            </w:pPr>
          </w:p>
        </w:tc>
        <w:tc>
          <w:tcPr>
            <w:tcW w:w="20" w:type="dxa"/>
            <w:vAlign w:val="bottom"/>
            <w:shd w:val="clear" w:color="auto" w:fill="D0EBF2"/>
          </w:tcPr>
          <w:p>
            <w:pPr>
              <w:spacing w:after="0"/>
              <w:rPr>
                <w:sz w:val="15"/>
                <w:szCs w:val="15"/>
                <w:color w:val="auto"/>
              </w:rPr>
            </w:pPr>
          </w:p>
        </w:tc>
        <w:tc>
          <w:tcPr>
            <w:tcW w:w="80" w:type="dxa"/>
            <w:vAlign w:val="bottom"/>
            <w:shd w:val="clear" w:color="auto" w:fill="D0EBF2"/>
          </w:tcPr>
          <w:p>
            <w:pPr>
              <w:spacing w:after="0"/>
              <w:rPr>
                <w:sz w:val="15"/>
                <w:szCs w:val="15"/>
                <w:color w:val="auto"/>
              </w:rPr>
            </w:pPr>
          </w:p>
        </w:tc>
        <w:tc>
          <w:tcPr>
            <w:tcW w:w="20" w:type="dxa"/>
            <w:vAlign w:val="bottom"/>
            <w:shd w:val="clear" w:color="auto" w:fill="D0EBF2"/>
          </w:tcPr>
          <w:p>
            <w:pPr>
              <w:spacing w:after="0"/>
              <w:rPr>
                <w:sz w:val="15"/>
                <w:szCs w:val="15"/>
                <w:color w:val="auto"/>
              </w:rPr>
            </w:pPr>
          </w:p>
        </w:tc>
        <w:tc>
          <w:tcPr>
            <w:tcW w:w="20" w:type="dxa"/>
            <w:vAlign w:val="bottom"/>
            <w:shd w:val="clear" w:color="auto" w:fill="D0EBF2"/>
          </w:tcPr>
          <w:p>
            <w:pPr>
              <w:spacing w:after="0"/>
              <w:rPr>
                <w:sz w:val="15"/>
                <w:szCs w:val="15"/>
                <w:color w:val="auto"/>
              </w:rPr>
            </w:pPr>
          </w:p>
        </w:tc>
        <w:tc>
          <w:tcPr>
            <w:tcW w:w="60" w:type="dxa"/>
            <w:vAlign w:val="bottom"/>
            <w:shd w:val="clear" w:color="auto" w:fill="D0EBF2"/>
          </w:tcPr>
          <w:p>
            <w:pPr>
              <w:spacing w:after="0"/>
              <w:rPr>
                <w:sz w:val="15"/>
                <w:szCs w:val="15"/>
                <w:color w:val="auto"/>
              </w:rPr>
            </w:pPr>
          </w:p>
        </w:tc>
        <w:tc>
          <w:tcPr>
            <w:tcW w:w="480" w:type="dxa"/>
            <w:vAlign w:val="bottom"/>
            <w:shd w:val="clear" w:color="auto" w:fill="D0EBF2"/>
          </w:tcPr>
          <w:p>
            <w:pPr>
              <w:spacing w:after="0"/>
              <w:rPr>
                <w:sz w:val="15"/>
                <w:szCs w:val="15"/>
                <w:color w:val="auto"/>
              </w:rPr>
            </w:pPr>
          </w:p>
        </w:tc>
        <w:tc>
          <w:tcPr>
            <w:tcW w:w="100" w:type="dxa"/>
            <w:vAlign w:val="bottom"/>
            <w:shd w:val="clear" w:color="auto" w:fill="D0EBF2"/>
          </w:tcPr>
          <w:p>
            <w:pPr>
              <w:spacing w:after="0"/>
              <w:rPr>
                <w:sz w:val="15"/>
                <w:szCs w:val="15"/>
                <w:color w:val="auto"/>
              </w:rPr>
            </w:pPr>
          </w:p>
        </w:tc>
        <w:tc>
          <w:tcPr>
            <w:tcW w:w="20" w:type="dxa"/>
            <w:vAlign w:val="bottom"/>
            <w:shd w:val="clear" w:color="auto" w:fill="D0EBF2"/>
          </w:tcPr>
          <w:p>
            <w:pPr>
              <w:spacing w:after="0"/>
              <w:rPr>
                <w:sz w:val="15"/>
                <w:szCs w:val="15"/>
                <w:color w:val="auto"/>
              </w:rPr>
            </w:pPr>
          </w:p>
        </w:tc>
        <w:tc>
          <w:tcPr>
            <w:tcW w:w="20" w:type="dxa"/>
            <w:vAlign w:val="bottom"/>
            <w:shd w:val="clear" w:color="auto" w:fill="D0EBF2"/>
          </w:tcPr>
          <w:p>
            <w:pPr>
              <w:spacing w:after="0"/>
              <w:rPr>
                <w:sz w:val="15"/>
                <w:szCs w:val="15"/>
                <w:color w:val="auto"/>
              </w:rPr>
            </w:pPr>
          </w:p>
        </w:tc>
        <w:tc>
          <w:tcPr>
            <w:tcW w:w="60" w:type="dxa"/>
            <w:vAlign w:val="bottom"/>
            <w:shd w:val="clear" w:color="auto" w:fill="D0EBF2"/>
          </w:tcPr>
          <w:p>
            <w:pPr>
              <w:spacing w:after="0"/>
              <w:rPr>
                <w:sz w:val="15"/>
                <w:szCs w:val="15"/>
                <w:color w:val="auto"/>
              </w:rPr>
            </w:pPr>
          </w:p>
        </w:tc>
        <w:tc>
          <w:tcPr>
            <w:tcW w:w="140" w:type="dxa"/>
            <w:vAlign w:val="bottom"/>
            <w:shd w:val="clear" w:color="auto" w:fill="D0EBF2"/>
          </w:tcPr>
          <w:p>
            <w:pPr>
              <w:spacing w:after="0"/>
              <w:rPr>
                <w:sz w:val="15"/>
                <w:szCs w:val="15"/>
                <w:color w:val="auto"/>
              </w:rPr>
            </w:pPr>
          </w:p>
        </w:tc>
        <w:tc>
          <w:tcPr>
            <w:tcW w:w="900" w:type="dxa"/>
            <w:vAlign w:val="bottom"/>
            <w:shd w:val="clear" w:color="auto" w:fill="D0EBF2"/>
          </w:tcPr>
          <w:p>
            <w:pPr>
              <w:spacing w:after="0"/>
              <w:rPr>
                <w:sz w:val="15"/>
                <w:szCs w:val="15"/>
                <w:color w:val="auto"/>
              </w:rPr>
            </w:pPr>
          </w:p>
        </w:tc>
        <w:tc>
          <w:tcPr>
            <w:tcW w:w="100" w:type="dxa"/>
            <w:vAlign w:val="bottom"/>
            <w:shd w:val="clear" w:color="auto" w:fill="D0EBF2"/>
          </w:tcPr>
          <w:p>
            <w:pPr>
              <w:spacing w:after="0"/>
              <w:rPr>
                <w:sz w:val="15"/>
                <w:szCs w:val="15"/>
                <w:color w:val="auto"/>
              </w:rPr>
            </w:pPr>
          </w:p>
        </w:tc>
        <w:tc>
          <w:tcPr>
            <w:tcW w:w="20" w:type="dxa"/>
            <w:vAlign w:val="bottom"/>
            <w:shd w:val="clear" w:color="auto" w:fill="D0EBF2"/>
          </w:tcPr>
          <w:p>
            <w:pPr>
              <w:spacing w:after="0"/>
              <w:rPr>
                <w:sz w:val="15"/>
                <w:szCs w:val="15"/>
                <w:color w:val="auto"/>
              </w:rPr>
            </w:pPr>
          </w:p>
        </w:tc>
        <w:tc>
          <w:tcPr>
            <w:tcW w:w="80" w:type="dxa"/>
            <w:vAlign w:val="bottom"/>
            <w:shd w:val="clear" w:color="auto" w:fill="D0EBF2"/>
          </w:tcPr>
          <w:p>
            <w:pPr>
              <w:spacing w:after="0"/>
              <w:rPr>
                <w:sz w:val="15"/>
                <w:szCs w:val="15"/>
                <w:color w:val="auto"/>
              </w:rPr>
            </w:pPr>
          </w:p>
        </w:tc>
        <w:tc>
          <w:tcPr>
            <w:tcW w:w="20" w:type="dxa"/>
            <w:vAlign w:val="bottom"/>
            <w:shd w:val="clear" w:color="auto" w:fill="D0EBF2"/>
          </w:tcPr>
          <w:p>
            <w:pPr>
              <w:spacing w:after="0"/>
              <w:rPr>
                <w:sz w:val="15"/>
                <w:szCs w:val="15"/>
                <w:color w:val="auto"/>
              </w:rPr>
            </w:pPr>
          </w:p>
        </w:tc>
        <w:tc>
          <w:tcPr>
            <w:tcW w:w="20" w:type="dxa"/>
            <w:vAlign w:val="bottom"/>
            <w:shd w:val="clear" w:color="auto" w:fill="D0EBF2"/>
          </w:tcPr>
          <w:p>
            <w:pPr>
              <w:spacing w:after="0"/>
              <w:rPr>
                <w:sz w:val="15"/>
                <w:szCs w:val="15"/>
                <w:color w:val="auto"/>
              </w:rPr>
            </w:pPr>
          </w:p>
        </w:tc>
        <w:tc>
          <w:tcPr>
            <w:tcW w:w="60" w:type="dxa"/>
            <w:vAlign w:val="bottom"/>
            <w:shd w:val="clear" w:color="auto" w:fill="D0EBF2"/>
          </w:tcPr>
          <w:p>
            <w:pPr>
              <w:spacing w:after="0"/>
              <w:rPr>
                <w:sz w:val="15"/>
                <w:szCs w:val="15"/>
                <w:color w:val="auto"/>
              </w:rPr>
            </w:pPr>
          </w:p>
        </w:tc>
        <w:tc>
          <w:tcPr>
            <w:tcW w:w="720" w:type="dxa"/>
            <w:vAlign w:val="bottom"/>
            <w:shd w:val="clear" w:color="auto" w:fill="D0EBF2"/>
          </w:tcPr>
          <w:p>
            <w:pPr>
              <w:spacing w:after="0"/>
              <w:rPr>
                <w:sz w:val="15"/>
                <w:szCs w:val="15"/>
                <w:color w:val="auto"/>
              </w:rPr>
            </w:pPr>
          </w:p>
        </w:tc>
        <w:tc>
          <w:tcPr>
            <w:tcW w:w="100" w:type="dxa"/>
            <w:vAlign w:val="bottom"/>
            <w:shd w:val="clear" w:color="auto" w:fill="D0EBF2"/>
          </w:tcPr>
          <w:p>
            <w:pPr>
              <w:spacing w:after="0"/>
              <w:rPr>
                <w:sz w:val="15"/>
                <w:szCs w:val="15"/>
                <w:color w:val="auto"/>
              </w:rPr>
            </w:pPr>
          </w:p>
        </w:tc>
        <w:tc>
          <w:tcPr>
            <w:tcW w:w="20" w:type="dxa"/>
            <w:vAlign w:val="bottom"/>
            <w:shd w:val="clear" w:color="auto" w:fill="D0EBF2"/>
          </w:tcPr>
          <w:p>
            <w:pPr>
              <w:spacing w:after="0"/>
              <w:rPr>
                <w:sz w:val="15"/>
                <w:szCs w:val="15"/>
                <w:color w:val="auto"/>
              </w:rPr>
            </w:pPr>
          </w:p>
        </w:tc>
        <w:tc>
          <w:tcPr>
            <w:tcW w:w="80" w:type="dxa"/>
            <w:vAlign w:val="bottom"/>
            <w:shd w:val="clear" w:color="auto" w:fill="D0EBF2"/>
          </w:tcPr>
          <w:p>
            <w:pPr>
              <w:spacing w:after="0"/>
              <w:rPr>
                <w:sz w:val="15"/>
                <w:szCs w:val="15"/>
                <w:color w:val="auto"/>
              </w:rPr>
            </w:pPr>
          </w:p>
        </w:tc>
        <w:tc>
          <w:tcPr>
            <w:tcW w:w="20" w:type="dxa"/>
            <w:vAlign w:val="bottom"/>
            <w:shd w:val="clear" w:color="auto" w:fill="D0EBF2"/>
          </w:tcPr>
          <w:p>
            <w:pPr>
              <w:spacing w:after="0"/>
              <w:rPr>
                <w:sz w:val="15"/>
                <w:szCs w:val="15"/>
                <w:color w:val="auto"/>
              </w:rPr>
            </w:pPr>
          </w:p>
        </w:tc>
        <w:tc>
          <w:tcPr>
            <w:tcW w:w="20" w:type="dxa"/>
            <w:vAlign w:val="bottom"/>
            <w:shd w:val="clear" w:color="auto" w:fill="D0EBF2"/>
          </w:tcPr>
          <w:p>
            <w:pPr>
              <w:spacing w:after="0"/>
              <w:rPr>
                <w:sz w:val="15"/>
                <w:szCs w:val="15"/>
                <w:color w:val="auto"/>
              </w:rPr>
            </w:pPr>
          </w:p>
        </w:tc>
        <w:tc>
          <w:tcPr>
            <w:tcW w:w="40" w:type="dxa"/>
            <w:vAlign w:val="bottom"/>
            <w:shd w:val="clear" w:color="auto" w:fill="D0EBF2"/>
          </w:tcPr>
          <w:p>
            <w:pPr>
              <w:spacing w:after="0"/>
              <w:rPr>
                <w:sz w:val="15"/>
                <w:szCs w:val="15"/>
                <w:color w:val="auto"/>
              </w:rPr>
            </w:pPr>
          </w:p>
        </w:tc>
        <w:tc>
          <w:tcPr>
            <w:tcW w:w="720" w:type="dxa"/>
            <w:vAlign w:val="bottom"/>
            <w:shd w:val="clear" w:color="auto" w:fill="D0EBF2"/>
          </w:tcPr>
          <w:p>
            <w:pPr>
              <w:spacing w:after="0"/>
              <w:rPr>
                <w:sz w:val="15"/>
                <w:szCs w:val="15"/>
                <w:color w:val="auto"/>
              </w:rPr>
            </w:pPr>
          </w:p>
        </w:tc>
        <w:tc>
          <w:tcPr>
            <w:tcW w:w="100" w:type="dxa"/>
            <w:vAlign w:val="bottom"/>
            <w:shd w:val="clear" w:color="auto" w:fill="D0EBF2"/>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3620" w:type="dxa"/>
            <w:vAlign w:val="bottom"/>
            <w:gridSpan w:val="2"/>
            <w:shd w:val="clear" w:color="auto" w:fill="FDFDFC"/>
          </w:tcPr>
          <w:p>
            <w:pPr>
              <w:ind w:left="200"/>
              <w:spacing w:after="0"/>
              <w:rPr>
                <w:sz w:val="20"/>
                <w:szCs w:val="20"/>
                <w:color w:val="auto"/>
              </w:rPr>
            </w:pPr>
            <w:r>
              <w:rPr>
                <w:rFonts w:ascii="Times New Roman" w:cs="Times New Roman" w:eastAsia="Times New Roman" w:hAnsi="Times New Roman"/>
                <w:sz w:val="14"/>
                <w:szCs w:val="14"/>
                <w:color w:val="231F20"/>
              </w:rPr>
              <w:t>Issuance of common stock, net of offering and</w:t>
            </w:r>
          </w:p>
        </w:tc>
        <w:tc>
          <w:tcPr>
            <w:tcW w:w="860" w:type="dxa"/>
            <w:vAlign w:val="bottom"/>
            <w:vMerge w:val="restart"/>
            <w:shd w:val="clear" w:color="auto" w:fill="FDFDFC"/>
          </w:tcPr>
          <w:p>
            <w:pPr>
              <w:jc w:val="right"/>
              <w:spacing w:after="0"/>
              <w:rPr>
                <w:sz w:val="20"/>
                <w:szCs w:val="20"/>
                <w:color w:val="auto"/>
              </w:rPr>
            </w:pPr>
            <w:r>
              <w:rPr>
                <w:rFonts w:ascii="Times New Roman" w:cs="Times New Roman" w:eastAsia="Times New Roman" w:hAnsi="Times New Roman"/>
                <w:sz w:val="14"/>
                <w:szCs w:val="14"/>
                <w:color w:val="231F20"/>
              </w:rPr>
              <w:t>5,175,000</w:t>
            </w:r>
          </w:p>
        </w:tc>
        <w:tc>
          <w:tcPr>
            <w:tcW w:w="100" w:type="dxa"/>
            <w:vAlign w:val="bottom"/>
            <w:shd w:val="clear" w:color="auto" w:fill="FDFDFC"/>
          </w:tcPr>
          <w:p>
            <w:pPr>
              <w:spacing w:after="0"/>
              <w:rPr>
                <w:sz w:val="14"/>
                <w:szCs w:val="14"/>
                <w:color w:val="auto"/>
              </w:rPr>
            </w:pPr>
          </w:p>
        </w:tc>
        <w:tc>
          <w:tcPr>
            <w:tcW w:w="100" w:type="dxa"/>
            <w:vAlign w:val="bottom"/>
            <w:shd w:val="clear" w:color="auto" w:fill="FDFDFC"/>
          </w:tcPr>
          <w:p>
            <w:pPr>
              <w:spacing w:after="0"/>
              <w:rPr>
                <w:sz w:val="14"/>
                <w:szCs w:val="14"/>
                <w:color w:val="auto"/>
              </w:rPr>
            </w:pPr>
          </w:p>
        </w:tc>
        <w:tc>
          <w:tcPr>
            <w:tcW w:w="20" w:type="dxa"/>
            <w:vAlign w:val="bottom"/>
            <w:shd w:val="clear" w:color="auto" w:fill="FDFDFC"/>
          </w:tcPr>
          <w:p>
            <w:pPr>
              <w:spacing w:after="0"/>
              <w:rPr>
                <w:sz w:val="14"/>
                <w:szCs w:val="14"/>
                <w:color w:val="auto"/>
              </w:rPr>
            </w:pPr>
          </w:p>
        </w:tc>
        <w:tc>
          <w:tcPr>
            <w:tcW w:w="20" w:type="dxa"/>
            <w:vAlign w:val="bottom"/>
            <w:shd w:val="clear" w:color="auto" w:fill="FDFDFC"/>
          </w:tcPr>
          <w:p>
            <w:pPr>
              <w:spacing w:after="0"/>
              <w:rPr>
                <w:sz w:val="14"/>
                <w:szCs w:val="14"/>
                <w:color w:val="auto"/>
              </w:rPr>
            </w:pPr>
          </w:p>
        </w:tc>
        <w:tc>
          <w:tcPr>
            <w:tcW w:w="60" w:type="dxa"/>
            <w:vAlign w:val="bottom"/>
            <w:shd w:val="clear" w:color="auto" w:fill="FDFDFC"/>
          </w:tcPr>
          <w:p>
            <w:pPr>
              <w:spacing w:after="0"/>
              <w:rPr>
                <w:sz w:val="14"/>
                <w:szCs w:val="14"/>
                <w:color w:val="auto"/>
              </w:rPr>
            </w:pPr>
          </w:p>
        </w:tc>
        <w:tc>
          <w:tcPr>
            <w:tcW w:w="420" w:type="dxa"/>
            <w:vAlign w:val="bottom"/>
            <w:vMerge w:val="restart"/>
            <w:shd w:val="clear" w:color="auto" w:fill="FDFDFC"/>
          </w:tcPr>
          <w:p>
            <w:pPr>
              <w:jc w:val="right"/>
              <w:spacing w:after="0"/>
              <w:rPr>
                <w:sz w:val="20"/>
                <w:szCs w:val="20"/>
                <w:color w:val="auto"/>
              </w:rPr>
            </w:pPr>
            <w:r>
              <w:rPr>
                <w:rFonts w:ascii="Times New Roman" w:cs="Times New Roman" w:eastAsia="Times New Roman" w:hAnsi="Times New Roman"/>
                <w:sz w:val="14"/>
                <w:szCs w:val="14"/>
                <w:color w:val="231F20"/>
              </w:rPr>
              <w:t>52</w:t>
            </w:r>
          </w:p>
        </w:tc>
        <w:tc>
          <w:tcPr>
            <w:tcW w:w="100" w:type="dxa"/>
            <w:vAlign w:val="bottom"/>
            <w:shd w:val="clear" w:color="auto" w:fill="FDFDFC"/>
          </w:tcPr>
          <w:p>
            <w:pPr>
              <w:spacing w:after="0"/>
              <w:rPr>
                <w:sz w:val="14"/>
                <w:szCs w:val="14"/>
                <w:color w:val="auto"/>
              </w:rPr>
            </w:pPr>
          </w:p>
        </w:tc>
        <w:tc>
          <w:tcPr>
            <w:tcW w:w="20" w:type="dxa"/>
            <w:vAlign w:val="bottom"/>
            <w:shd w:val="clear" w:color="auto" w:fill="FDFDFC"/>
          </w:tcPr>
          <w:p>
            <w:pPr>
              <w:spacing w:after="0"/>
              <w:rPr>
                <w:sz w:val="14"/>
                <w:szCs w:val="14"/>
                <w:color w:val="auto"/>
              </w:rPr>
            </w:pPr>
          </w:p>
        </w:tc>
        <w:tc>
          <w:tcPr>
            <w:tcW w:w="80" w:type="dxa"/>
            <w:vAlign w:val="bottom"/>
            <w:shd w:val="clear" w:color="auto" w:fill="FDFDFC"/>
          </w:tcPr>
          <w:p>
            <w:pPr>
              <w:spacing w:after="0"/>
              <w:rPr>
                <w:sz w:val="14"/>
                <w:szCs w:val="14"/>
                <w:color w:val="auto"/>
              </w:rPr>
            </w:pPr>
          </w:p>
        </w:tc>
        <w:tc>
          <w:tcPr>
            <w:tcW w:w="20" w:type="dxa"/>
            <w:vAlign w:val="bottom"/>
            <w:shd w:val="clear" w:color="auto" w:fill="FDFDFC"/>
          </w:tcPr>
          <w:p>
            <w:pPr>
              <w:spacing w:after="0"/>
              <w:rPr>
                <w:sz w:val="14"/>
                <w:szCs w:val="14"/>
                <w:color w:val="auto"/>
              </w:rPr>
            </w:pPr>
          </w:p>
        </w:tc>
        <w:tc>
          <w:tcPr>
            <w:tcW w:w="20" w:type="dxa"/>
            <w:vAlign w:val="bottom"/>
            <w:shd w:val="clear" w:color="auto" w:fill="FDFDFC"/>
          </w:tcPr>
          <w:p>
            <w:pPr>
              <w:spacing w:after="0"/>
              <w:rPr>
                <w:sz w:val="14"/>
                <w:szCs w:val="14"/>
                <w:color w:val="auto"/>
              </w:rPr>
            </w:pPr>
          </w:p>
        </w:tc>
        <w:tc>
          <w:tcPr>
            <w:tcW w:w="660" w:type="dxa"/>
            <w:vAlign w:val="bottom"/>
            <w:vMerge w:val="restart"/>
            <w:shd w:val="clear" w:color="auto" w:fill="FDFDFC"/>
          </w:tcPr>
          <w:p>
            <w:pPr>
              <w:jc w:val="right"/>
              <w:spacing w:after="0"/>
              <w:rPr>
                <w:sz w:val="20"/>
                <w:szCs w:val="20"/>
                <w:color w:val="auto"/>
              </w:rPr>
            </w:pPr>
            <w:r>
              <w:rPr>
                <w:rFonts w:ascii="Times New Roman" w:cs="Times New Roman" w:eastAsia="Times New Roman" w:hAnsi="Times New Roman"/>
                <w:sz w:val="14"/>
                <w:szCs w:val="14"/>
                <w:color w:val="231F20"/>
              </w:rPr>
              <w:t>—</w:t>
            </w:r>
          </w:p>
        </w:tc>
        <w:tc>
          <w:tcPr>
            <w:tcW w:w="100" w:type="dxa"/>
            <w:vAlign w:val="bottom"/>
            <w:shd w:val="clear" w:color="auto" w:fill="FDFDFC"/>
          </w:tcPr>
          <w:p>
            <w:pPr>
              <w:spacing w:after="0"/>
              <w:rPr>
                <w:sz w:val="14"/>
                <w:szCs w:val="14"/>
                <w:color w:val="auto"/>
              </w:rPr>
            </w:pPr>
          </w:p>
        </w:tc>
        <w:tc>
          <w:tcPr>
            <w:tcW w:w="20" w:type="dxa"/>
            <w:vAlign w:val="bottom"/>
            <w:shd w:val="clear" w:color="auto" w:fill="FDFDFC"/>
          </w:tcPr>
          <w:p>
            <w:pPr>
              <w:spacing w:after="0"/>
              <w:rPr>
                <w:sz w:val="14"/>
                <w:szCs w:val="14"/>
                <w:color w:val="auto"/>
              </w:rPr>
            </w:pPr>
          </w:p>
        </w:tc>
        <w:tc>
          <w:tcPr>
            <w:tcW w:w="80" w:type="dxa"/>
            <w:vAlign w:val="bottom"/>
            <w:shd w:val="clear" w:color="auto" w:fill="FDFDFC"/>
          </w:tcPr>
          <w:p>
            <w:pPr>
              <w:spacing w:after="0"/>
              <w:rPr>
                <w:sz w:val="14"/>
                <w:szCs w:val="14"/>
                <w:color w:val="auto"/>
              </w:rPr>
            </w:pPr>
          </w:p>
        </w:tc>
        <w:tc>
          <w:tcPr>
            <w:tcW w:w="20" w:type="dxa"/>
            <w:vAlign w:val="bottom"/>
            <w:shd w:val="clear" w:color="auto" w:fill="FDFDFC"/>
          </w:tcPr>
          <w:p>
            <w:pPr>
              <w:spacing w:after="0"/>
              <w:rPr>
                <w:sz w:val="14"/>
                <w:szCs w:val="14"/>
                <w:color w:val="auto"/>
              </w:rPr>
            </w:pPr>
          </w:p>
        </w:tc>
        <w:tc>
          <w:tcPr>
            <w:tcW w:w="20" w:type="dxa"/>
            <w:vAlign w:val="bottom"/>
            <w:shd w:val="clear" w:color="auto" w:fill="FDFDFC"/>
          </w:tcPr>
          <w:p>
            <w:pPr>
              <w:spacing w:after="0"/>
              <w:rPr>
                <w:sz w:val="14"/>
                <w:szCs w:val="14"/>
                <w:color w:val="auto"/>
              </w:rPr>
            </w:pPr>
          </w:p>
        </w:tc>
        <w:tc>
          <w:tcPr>
            <w:tcW w:w="60" w:type="dxa"/>
            <w:vAlign w:val="bottom"/>
            <w:shd w:val="clear" w:color="auto" w:fill="FDFDFC"/>
          </w:tcPr>
          <w:p>
            <w:pPr>
              <w:spacing w:after="0"/>
              <w:rPr>
                <w:sz w:val="14"/>
                <w:szCs w:val="14"/>
                <w:color w:val="auto"/>
              </w:rPr>
            </w:pPr>
          </w:p>
        </w:tc>
        <w:tc>
          <w:tcPr>
            <w:tcW w:w="620" w:type="dxa"/>
            <w:vAlign w:val="bottom"/>
            <w:gridSpan w:val="4"/>
            <w:vMerge w:val="restart"/>
            <w:shd w:val="clear" w:color="auto" w:fill="FDFDFC"/>
          </w:tcPr>
          <w:p>
            <w:pPr>
              <w:jc w:val="right"/>
              <w:ind w:right="160"/>
              <w:spacing w:after="0"/>
              <w:rPr>
                <w:sz w:val="20"/>
                <w:szCs w:val="20"/>
                <w:color w:val="auto"/>
              </w:rPr>
            </w:pPr>
            <w:r>
              <w:rPr>
                <w:rFonts w:ascii="Times New Roman" w:cs="Times New Roman" w:eastAsia="Times New Roman" w:hAnsi="Times New Roman"/>
                <w:sz w:val="14"/>
                <w:szCs w:val="14"/>
                <w:color w:val="231F20"/>
              </w:rPr>
              <w:t>—</w:t>
            </w:r>
          </w:p>
        </w:tc>
        <w:tc>
          <w:tcPr>
            <w:tcW w:w="60" w:type="dxa"/>
            <w:vAlign w:val="bottom"/>
            <w:shd w:val="clear" w:color="auto" w:fill="FDFDFC"/>
          </w:tcPr>
          <w:p>
            <w:pPr>
              <w:spacing w:after="0"/>
              <w:rPr>
                <w:sz w:val="14"/>
                <w:szCs w:val="14"/>
                <w:color w:val="auto"/>
              </w:rPr>
            </w:pPr>
          </w:p>
        </w:tc>
        <w:tc>
          <w:tcPr>
            <w:tcW w:w="140" w:type="dxa"/>
            <w:vAlign w:val="bottom"/>
            <w:shd w:val="clear" w:color="auto" w:fill="FDFDFC"/>
          </w:tcPr>
          <w:p>
            <w:pPr>
              <w:spacing w:after="0"/>
              <w:rPr>
                <w:sz w:val="14"/>
                <w:szCs w:val="14"/>
                <w:color w:val="auto"/>
              </w:rPr>
            </w:pPr>
          </w:p>
        </w:tc>
        <w:tc>
          <w:tcPr>
            <w:tcW w:w="900" w:type="dxa"/>
            <w:vAlign w:val="bottom"/>
            <w:vMerge w:val="restart"/>
            <w:shd w:val="clear" w:color="auto" w:fill="FDFDFC"/>
          </w:tcPr>
          <w:p>
            <w:pPr>
              <w:jc w:val="right"/>
              <w:spacing w:after="0"/>
              <w:rPr>
                <w:sz w:val="20"/>
                <w:szCs w:val="20"/>
                <w:color w:val="auto"/>
              </w:rPr>
            </w:pPr>
            <w:r>
              <w:rPr>
                <w:rFonts w:ascii="Times New Roman" w:cs="Times New Roman" w:eastAsia="Times New Roman" w:hAnsi="Times New Roman"/>
                <w:sz w:val="14"/>
                <w:szCs w:val="14"/>
                <w:color w:val="231F20"/>
              </w:rPr>
              <w:t>89,152</w:t>
            </w:r>
          </w:p>
        </w:tc>
        <w:tc>
          <w:tcPr>
            <w:tcW w:w="100" w:type="dxa"/>
            <w:vAlign w:val="bottom"/>
            <w:shd w:val="clear" w:color="auto" w:fill="FDFDFC"/>
          </w:tcPr>
          <w:p>
            <w:pPr>
              <w:spacing w:after="0"/>
              <w:rPr>
                <w:sz w:val="14"/>
                <w:szCs w:val="14"/>
                <w:color w:val="auto"/>
              </w:rPr>
            </w:pPr>
          </w:p>
        </w:tc>
        <w:tc>
          <w:tcPr>
            <w:tcW w:w="20" w:type="dxa"/>
            <w:vAlign w:val="bottom"/>
            <w:shd w:val="clear" w:color="auto" w:fill="FDFDFC"/>
          </w:tcPr>
          <w:p>
            <w:pPr>
              <w:spacing w:after="0"/>
              <w:rPr>
                <w:sz w:val="14"/>
                <w:szCs w:val="14"/>
                <w:color w:val="auto"/>
              </w:rPr>
            </w:pPr>
          </w:p>
        </w:tc>
        <w:tc>
          <w:tcPr>
            <w:tcW w:w="80" w:type="dxa"/>
            <w:vAlign w:val="bottom"/>
            <w:shd w:val="clear" w:color="auto" w:fill="FDFDFC"/>
          </w:tcPr>
          <w:p>
            <w:pPr>
              <w:spacing w:after="0"/>
              <w:rPr>
                <w:sz w:val="14"/>
                <w:szCs w:val="14"/>
                <w:color w:val="auto"/>
              </w:rPr>
            </w:pPr>
          </w:p>
        </w:tc>
        <w:tc>
          <w:tcPr>
            <w:tcW w:w="20" w:type="dxa"/>
            <w:vAlign w:val="bottom"/>
            <w:shd w:val="clear" w:color="auto" w:fill="FDFDFC"/>
          </w:tcPr>
          <w:p>
            <w:pPr>
              <w:spacing w:after="0"/>
              <w:rPr>
                <w:sz w:val="14"/>
                <w:szCs w:val="14"/>
                <w:color w:val="auto"/>
              </w:rPr>
            </w:pPr>
          </w:p>
        </w:tc>
        <w:tc>
          <w:tcPr>
            <w:tcW w:w="20" w:type="dxa"/>
            <w:vAlign w:val="bottom"/>
            <w:shd w:val="clear" w:color="auto" w:fill="FDFDFC"/>
          </w:tcPr>
          <w:p>
            <w:pPr>
              <w:spacing w:after="0"/>
              <w:rPr>
                <w:sz w:val="14"/>
                <w:szCs w:val="14"/>
                <w:color w:val="auto"/>
              </w:rPr>
            </w:pPr>
          </w:p>
        </w:tc>
        <w:tc>
          <w:tcPr>
            <w:tcW w:w="60" w:type="dxa"/>
            <w:vAlign w:val="bottom"/>
            <w:shd w:val="clear" w:color="auto" w:fill="FDFDFC"/>
          </w:tcPr>
          <w:p>
            <w:pPr>
              <w:spacing w:after="0"/>
              <w:rPr>
                <w:sz w:val="14"/>
                <w:szCs w:val="14"/>
                <w:color w:val="auto"/>
              </w:rPr>
            </w:pPr>
          </w:p>
        </w:tc>
        <w:tc>
          <w:tcPr>
            <w:tcW w:w="960" w:type="dxa"/>
            <w:vAlign w:val="bottom"/>
            <w:gridSpan w:val="6"/>
            <w:vMerge w:val="restart"/>
            <w:shd w:val="clear" w:color="auto" w:fill="FDFDFC"/>
          </w:tcPr>
          <w:p>
            <w:pPr>
              <w:jc w:val="right"/>
              <w:ind w:right="260"/>
              <w:spacing w:after="0"/>
              <w:rPr>
                <w:sz w:val="20"/>
                <w:szCs w:val="20"/>
                <w:color w:val="auto"/>
              </w:rPr>
            </w:pPr>
            <w:r>
              <w:rPr>
                <w:rFonts w:ascii="Times New Roman" w:cs="Times New Roman" w:eastAsia="Times New Roman" w:hAnsi="Times New Roman"/>
                <w:sz w:val="14"/>
                <w:szCs w:val="14"/>
                <w:color w:val="231F20"/>
              </w:rPr>
              <w:t>—</w:t>
            </w:r>
          </w:p>
        </w:tc>
        <w:tc>
          <w:tcPr>
            <w:tcW w:w="40" w:type="dxa"/>
            <w:vAlign w:val="bottom"/>
            <w:shd w:val="clear" w:color="auto" w:fill="FDFDFC"/>
          </w:tcPr>
          <w:p>
            <w:pPr>
              <w:spacing w:after="0"/>
              <w:rPr>
                <w:sz w:val="14"/>
                <w:szCs w:val="14"/>
                <w:color w:val="auto"/>
              </w:rPr>
            </w:pPr>
          </w:p>
        </w:tc>
        <w:tc>
          <w:tcPr>
            <w:tcW w:w="720" w:type="dxa"/>
            <w:vAlign w:val="bottom"/>
            <w:vMerge w:val="restart"/>
            <w:shd w:val="clear" w:color="auto" w:fill="FDFDFC"/>
          </w:tcPr>
          <w:p>
            <w:pPr>
              <w:jc w:val="right"/>
              <w:spacing w:after="0"/>
              <w:rPr>
                <w:sz w:val="20"/>
                <w:szCs w:val="20"/>
                <w:color w:val="auto"/>
              </w:rPr>
            </w:pPr>
            <w:r>
              <w:rPr>
                <w:rFonts w:ascii="Times New Roman" w:cs="Times New Roman" w:eastAsia="Times New Roman" w:hAnsi="Times New Roman"/>
                <w:sz w:val="14"/>
                <w:szCs w:val="14"/>
                <w:color w:val="231F20"/>
              </w:rPr>
              <w:t>89,204</w:t>
            </w:r>
          </w:p>
        </w:tc>
        <w:tc>
          <w:tcPr>
            <w:tcW w:w="100" w:type="dxa"/>
            <w:vAlign w:val="bottom"/>
            <w:shd w:val="clear" w:color="auto" w:fill="FDFDFC"/>
          </w:tcPr>
          <w:p>
            <w:pPr>
              <w:spacing w:after="0"/>
              <w:rPr>
                <w:sz w:val="14"/>
                <w:szCs w:val="14"/>
                <w:color w:val="auto"/>
              </w:rPr>
            </w:pPr>
          </w:p>
        </w:tc>
        <w:tc>
          <w:tcPr>
            <w:tcW w:w="0" w:type="dxa"/>
            <w:vAlign w:val="bottom"/>
          </w:tcPr>
          <w:p>
            <w:pPr>
              <w:spacing w:after="0"/>
              <w:rPr>
                <w:sz w:val="1"/>
                <w:szCs w:val="1"/>
                <w:color w:val="auto"/>
              </w:rPr>
            </w:pPr>
          </w:p>
        </w:tc>
      </w:tr>
      <w:tr>
        <w:trPr>
          <w:trHeight w:val="177"/>
        </w:trPr>
        <w:tc>
          <w:tcPr>
            <w:tcW w:w="3620" w:type="dxa"/>
            <w:vAlign w:val="bottom"/>
            <w:gridSpan w:val="2"/>
            <w:shd w:val="clear" w:color="auto" w:fill="FDFDFC"/>
          </w:tcPr>
          <w:p>
            <w:pPr>
              <w:ind w:left="200"/>
              <w:spacing w:after="0"/>
              <w:rPr>
                <w:sz w:val="20"/>
                <w:szCs w:val="20"/>
                <w:color w:val="auto"/>
              </w:rPr>
            </w:pPr>
            <w:r>
              <w:rPr>
                <w:rFonts w:ascii="Times New Roman" w:cs="Times New Roman" w:eastAsia="Times New Roman" w:hAnsi="Times New Roman"/>
                <w:sz w:val="14"/>
                <w:szCs w:val="14"/>
                <w:color w:val="231F20"/>
              </w:rPr>
              <w:t>underwriting costs</w:t>
            </w:r>
          </w:p>
        </w:tc>
        <w:tc>
          <w:tcPr>
            <w:tcW w:w="860" w:type="dxa"/>
            <w:vAlign w:val="bottom"/>
            <w:vMerge w:val="continue"/>
            <w:shd w:val="clear" w:color="auto" w:fill="FDFDFC"/>
          </w:tcPr>
          <w:p>
            <w:pPr>
              <w:spacing w:after="0"/>
              <w:rPr>
                <w:sz w:val="15"/>
                <w:szCs w:val="15"/>
                <w:color w:val="auto"/>
              </w:rPr>
            </w:pPr>
          </w:p>
        </w:tc>
        <w:tc>
          <w:tcPr>
            <w:tcW w:w="100" w:type="dxa"/>
            <w:vAlign w:val="bottom"/>
            <w:shd w:val="clear" w:color="auto" w:fill="FDFDFC"/>
          </w:tcPr>
          <w:p>
            <w:pPr>
              <w:spacing w:after="0"/>
              <w:rPr>
                <w:sz w:val="15"/>
                <w:szCs w:val="15"/>
                <w:color w:val="auto"/>
              </w:rPr>
            </w:pPr>
          </w:p>
        </w:tc>
        <w:tc>
          <w:tcPr>
            <w:tcW w:w="100" w:type="dxa"/>
            <w:vAlign w:val="bottom"/>
            <w:shd w:val="clear" w:color="auto" w:fill="FDFDFC"/>
          </w:tcPr>
          <w:p>
            <w:pPr>
              <w:spacing w:after="0"/>
              <w:rPr>
                <w:sz w:val="15"/>
                <w:szCs w:val="15"/>
                <w:color w:val="auto"/>
              </w:rPr>
            </w:pPr>
          </w:p>
        </w:tc>
        <w:tc>
          <w:tcPr>
            <w:tcW w:w="20" w:type="dxa"/>
            <w:vAlign w:val="bottom"/>
            <w:shd w:val="clear" w:color="auto" w:fill="FDFDFC"/>
          </w:tcPr>
          <w:p>
            <w:pPr>
              <w:spacing w:after="0"/>
              <w:rPr>
                <w:sz w:val="15"/>
                <w:szCs w:val="15"/>
                <w:color w:val="auto"/>
              </w:rPr>
            </w:pPr>
          </w:p>
        </w:tc>
        <w:tc>
          <w:tcPr>
            <w:tcW w:w="20" w:type="dxa"/>
            <w:vAlign w:val="bottom"/>
            <w:shd w:val="clear" w:color="auto" w:fill="FDFDFC"/>
          </w:tcPr>
          <w:p>
            <w:pPr>
              <w:spacing w:after="0"/>
              <w:rPr>
                <w:sz w:val="15"/>
                <w:szCs w:val="15"/>
                <w:color w:val="auto"/>
              </w:rPr>
            </w:pPr>
          </w:p>
        </w:tc>
        <w:tc>
          <w:tcPr>
            <w:tcW w:w="60" w:type="dxa"/>
            <w:vAlign w:val="bottom"/>
            <w:shd w:val="clear" w:color="auto" w:fill="FDFDFC"/>
          </w:tcPr>
          <w:p>
            <w:pPr>
              <w:spacing w:after="0"/>
              <w:rPr>
                <w:sz w:val="15"/>
                <w:szCs w:val="15"/>
                <w:color w:val="auto"/>
              </w:rPr>
            </w:pPr>
          </w:p>
        </w:tc>
        <w:tc>
          <w:tcPr>
            <w:tcW w:w="420" w:type="dxa"/>
            <w:vAlign w:val="bottom"/>
            <w:vMerge w:val="continue"/>
            <w:shd w:val="clear" w:color="auto" w:fill="FDFDFC"/>
          </w:tcPr>
          <w:p>
            <w:pPr>
              <w:spacing w:after="0"/>
              <w:rPr>
                <w:sz w:val="15"/>
                <w:szCs w:val="15"/>
                <w:color w:val="auto"/>
              </w:rPr>
            </w:pPr>
          </w:p>
        </w:tc>
        <w:tc>
          <w:tcPr>
            <w:tcW w:w="100" w:type="dxa"/>
            <w:vAlign w:val="bottom"/>
            <w:shd w:val="clear" w:color="auto" w:fill="FDFDFC"/>
          </w:tcPr>
          <w:p>
            <w:pPr>
              <w:spacing w:after="0"/>
              <w:rPr>
                <w:sz w:val="15"/>
                <w:szCs w:val="15"/>
                <w:color w:val="auto"/>
              </w:rPr>
            </w:pPr>
          </w:p>
        </w:tc>
        <w:tc>
          <w:tcPr>
            <w:tcW w:w="20" w:type="dxa"/>
            <w:vAlign w:val="bottom"/>
            <w:shd w:val="clear" w:color="auto" w:fill="FDFDFC"/>
          </w:tcPr>
          <w:p>
            <w:pPr>
              <w:spacing w:after="0"/>
              <w:rPr>
                <w:sz w:val="15"/>
                <w:szCs w:val="15"/>
                <w:color w:val="auto"/>
              </w:rPr>
            </w:pPr>
          </w:p>
        </w:tc>
        <w:tc>
          <w:tcPr>
            <w:tcW w:w="80" w:type="dxa"/>
            <w:vAlign w:val="bottom"/>
            <w:shd w:val="clear" w:color="auto" w:fill="FDFDFC"/>
          </w:tcPr>
          <w:p>
            <w:pPr>
              <w:spacing w:after="0"/>
              <w:rPr>
                <w:sz w:val="15"/>
                <w:szCs w:val="15"/>
                <w:color w:val="auto"/>
              </w:rPr>
            </w:pPr>
          </w:p>
        </w:tc>
        <w:tc>
          <w:tcPr>
            <w:tcW w:w="20" w:type="dxa"/>
            <w:vAlign w:val="bottom"/>
            <w:shd w:val="clear" w:color="auto" w:fill="FDFDFC"/>
          </w:tcPr>
          <w:p>
            <w:pPr>
              <w:spacing w:after="0"/>
              <w:rPr>
                <w:sz w:val="15"/>
                <w:szCs w:val="15"/>
                <w:color w:val="auto"/>
              </w:rPr>
            </w:pPr>
          </w:p>
        </w:tc>
        <w:tc>
          <w:tcPr>
            <w:tcW w:w="20" w:type="dxa"/>
            <w:vAlign w:val="bottom"/>
            <w:shd w:val="clear" w:color="auto" w:fill="FDFDFC"/>
          </w:tcPr>
          <w:p>
            <w:pPr>
              <w:spacing w:after="0"/>
              <w:rPr>
                <w:sz w:val="15"/>
                <w:szCs w:val="15"/>
                <w:color w:val="auto"/>
              </w:rPr>
            </w:pPr>
          </w:p>
        </w:tc>
        <w:tc>
          <w:tcPr>
            <w:tcW w:w="660" w:type="dxa"/>
            <w:vAlign w:val="bottom"/>
            <w:vMerge w:val="continue"/>
            <w:shd w:val="clear" w:color="auto" w:fill="FDFDFC"/>
          </w:tcPr>
          <w:p>
            <w:pPr>
              <w:spacing w:after="0"/>
              <w:rPr>
                <w:sz w:val="15"/>
                <w:szCs w:val="15"/>
                <w:color w:val="auto"/>
              </w:rPr>
            </w:pPr>
          </w:p>
        </w:tc>
        <w:tc>
          <w:tcPr>
            <w:tcW w:w="100" w:type="dxa"/>
            <w:vAlign w:val="bottom"/>
            <w:shd w:val="clear" w:color="auto" w:fill="FDFDFC"/>
          </w:tcPr>
          <w:p>
            <w:pPr>
              <w:spacing w:after="0"/>
              <w:rPr>
                <w:sz w:val="15"/>
                <w:szCs w:val="15"/>
                <w:color w:val="auto"/>
              </w:rPr>
            </w:pPr>
          </w:p>
        </w:tc>
        <w:tc>
          <w:tcPr>
            <w:tcW w:w="20" w:type="dxa"/>
            <w:vAlign w:val="bottom"/>
            <w:shd w:val="clear" w:color="auto" w:fill="FDFDFC"/>
          </w:tcPr>
          <w:p>
            <w:pPr>
              <w:spacing w:after="0"/>
              <w:rPr>
                <w:sz w:val="15"/>
                <w:szCs w:val="15"/>
                <w:color w:val="auto"/>
              </w:rPr>
            </w:pPr>
          </w:p>
        </w:tc>
        <w:tc>
          <w:tcPr>
            <w:tcW w:w="80" w:type="dxa"/>
            <w:vAlign w:val="bottom"/>
            <w:shd w:val="clear" w:color="auto" w:fill="FDFDFC"/>
          </w:tcPr>
          <w:p>
            <w:pPr>
              <w:spacing w:after="0"/>
              <w:rPr>
                <w:sz w:val="15"/>
                <w:szCs w:val="15"/>
                <w:color w:val="auto"/>
              </w:rPr>
            </w:pPr>
          </w:p>
        </w:tc>
        <w:tc>
          <w:tcPr>
            <w:tcW w:w="20" w:type="dxa"/>
            <w:vAlign w:val="bottom"/>
            <w:shd w:val="clear" w:color="auto" w:fill="FDFDFC"/>
          </w:tcPr>
          <w:p>
            <w:pPr>
              <w:spacing w:after="0"/>
              <w:rPr>
                <w:sz w:val="15"/>
                <w:szCs w:val="15"/>
                <w:color w:val="auto"/>
              </w:rPr>
            </w:pPr>
          </w:p>
        </w:tc>
        <w:tc>
          <w:tcPr>
            <w:tcW w:w="20" w:type="dxa"/>
            <w:vAlign w:val="bottom"/>
            <w:shd w:val="clear" w:color="auto" w:fill="FDFDFC"/>
          </w:tcPr>
          <w:p>
            <w:pPr>
              <w:spacing w:after="0"/>
              <w:rPr>
                <w:sz w:val="15"/>
                <w:szCs w:val="15"/>
                <w:color w:val="auto"/>
              </w:rPr>
            </w:pPr>
          </w:p>
        </w:tc>
        <w:tc>
          <w:tcPr>
            <w:tcW w:w="60" w:type="dxa"/>
            <w:vAlign w:val="bottom"/>
            <w:shd w:val="clear" w:color="auto" w:fill="FDFDFC"/>
          </w:tcPr>
          <w:p>
            <w:pPr>
              <w:spacing w:after="0"/>
              <w:rPr>
                <w:sz w:val="15"/>
                <w:szCs w:val="15"/>
                <w:color w:val="auto"/>
              </w:rPr>
            </w:pPr>
          </w:p>
        </w:tc>
        <w:tc>
          <w:tcPr>
            <w:tcW w:w="620" w:type="dxa"/>
            <w:vAlign w:val="bottom"/>
            <w:gridSpan w:val="4"/>
            <w:vMerge w:val="continue"/>
            <w:shd w:val="clear" w:color="auto" w:fill="FDFDFC"/>
          </w:tcPr>
          <w:p>
            <w:pPr>
              <w:spacing w:after="0"/>
              <w:rPr>
                <w:sz w:val="15"/>
                <w:szCs w:val="15"/>
                <w:color w:val="auto"/>
              </w:rPr>
            </w:pPr>
          </w:p>
        </w:tc>
        <w:tc>
          <w:tcPr>
            <w:tcW w:w="60" w:type="dxa"/>
            <w:vAlign w:val="bottom"/>
            <w:shd w:val="clear" w:color="auto" w:fill="FDFDFC"/>
          </w:tcPr>
          <w:p>
            <w:pPr>
              <w:spacing w:after="0"/>
              <w:rPr>
                <w:sz w:val="15"/>
                <w:szCs w:val="15"/>
                <w:color w:val="auto"/>
              </w:rPr>
            </w:pPr>
          </w:p>
        </w:tc>
        <w:tc>
          <w:tcPr>
            <w:tcW w:w="140" w:type="dxa"/>
            <w:vAlign w:val="bottom"/>
            <w:shd w:val="clear" w:color="auto" w:fill="FDFDFC"/>
          </w:tcPr>
          <w:p>
            <w:pPr>
              <w:spacing w:after="0"/>
              <w:rPr>
                <w:sz w:val="15"/>
                <w:szCs w:val="15"/>
                <w:color w:val="auto"/>
              </w:rPr>
            </w:pPr>
          </w:p>
        </w:tc>
        <w:tc>
          <w:tcPr>
            <w:tcW w:w="900" w:type="dxa"/>
            <w:vAlign w:val="bottom"/>
            <w:vMerge w:val="continue"/>
            <w:shd w:val="clear" w:color="auto" w:fill="FDFDFC"/>
          </w:tcPr>
          <w:p>
            <w:pPr>
              <w:spacing w:after="0"/>
              <w:rPr>
                <w:sz w:val="15"/>
                <w:szCs w:val="15"/>
                <w:color w:val="auto"/>
              </w:rPr>
            </w:pPr>
          </w:p>
        </w:tc>
        <w:tc>
          <w:tcPr>
            <w:tcW w:w="100" w:type="dxa"/>
            <w:vAlign w:val="bottom"/>
            <w:shd w:val="clear" w:color="auto" w:fill="FDFDFC"/>
          </w:tcPr>
          <w:p>
            <w:pPr>
              <w:spacing w:after="0"/>
              <w:rPr>
                <w:sz w:val="15"/>
                <w:szCs w:val="15"/>
                <w:color w:val="auto"/>
              </w:rPr>
            </w:pPr>
          </w:p>
        </w:tc>
        <w:tc>
          <w:tcPr>
            <w:tcW w:w="20" w:type="dxa"/>
            <w:vAlign w:val="bottom"/>
            <w:shd w:val="clear" w:color="auto" w:fill="FDFDFC"/>
          </w:tcPr>
          <w:p>
            <w:pPr>
              <w:spacing w:after="0"/>
              <w:rPr>
                <w:sz w:val="15"/>
                <w:szCs w:val="15"/>
                <w:color w:val="auto"/>
              </w:rPr>
            </w:pPr>
          </w:p>
        </w:tc>
        <w:tc>
          <w:tcPr>
            <w:tcW w:w="80" w:type="dxa"/>
            <w:vAlign w:val="bottom"/>
            <w:shd w:val="clear" w:color="auto" w:fill="FDFDFC"/>
          </w:tcPr>
          <w:p>
            <w:pPr>
              <w:spacing w:after="0"/>
              <w:rPr>
                <w:sz w:val="15"/>
                <w:szCs w:val="15"/>
                <w:color w:val="auto"/>
              </w:rPr>
            </w:pPr>
          </w:p>
        </w:tc>
        <w:tc>
          <w:tcPr>
            <w:tcW w:w="20" w:type="dxa"/>
            <w:vAlign w:val="bottom"/>
            <w:shd w:val="clear" w:color="auto" w:fill="FDFDFC"/>
          </w:tcPr>
          <w:p>
            <w:pPr>
              <w:spacing w:after="0"/>
              <w:rPr>
                <w:sz w:val="15"/>
                <w:szCs w:val="15"/>
                <w:color w:val="auto"/>
              </w:rPr>
            </w:pPr>
          </w:p>
        </w:tc>
        <w:tc>
          <w:tcPr>
            <w:tcW w:w="20" w:type="dxa"/>
            <w:vAlign w:val="bottom"/>
            <w:shd w:val="clear" w:color="auto" w:fill="FDFDFC"/>
          </w:tcPr>
          <w:p>
            <w:pPr>
              <w:spacing w:after="0"/>
              <w:rPr>
                <w:sz w:val="15"/>
                <w:szCs w:val="15"/>
                <w:color w:val="auto"/>
              </w:rPr>
            </w:pPr>
          </w:p>
        </w:tc>
        <w:tc>
          <w:tcPr>
            <w:tcW w:w="60" w:type="dxa"/>
            <w:vAlign w:val="bottom"/>
            <w:shd w:val="clear" w:color="auto" w:fill="FDFDFC"/>
          </w:tcPr>
          <w:p>
            <w:pPr>
              <w:spacing w:after="0"/>
              <w:rPr>
                <w:sz w:val="15"/>
                <w:szCs w:val="15"/>
                <w:color w:val="auto"/>
              </w:rPr>
            </w:pPr>
          </w:p>
        </w:tc>
        <w:tc>
          <w:tcPr>
            <w:tcW w:w="960" w:type="dxa"/>
            <w:vAlign w:val="bottom"/>
            <w:gridSpan w:val="6"/>
            <w:vMerge w:val="continue"/>
            <w:shd w:val="clear" w:color="auto" w:fill="FDFDFC"/>
          </w:tcPr>
          <w:p>
            <w:pPr>
              <w:spacing w:after="0"/>
              <w:rPr>
                <w:sz w:val="15"/>
                <w:szCs w:val="15"/>
                <w:color w:val="auto"/>
              </w:rPr>
            </w:pPr>
          </w:p>
        </w:tc>
        <w:tc>
          <w:tcPr>
            <w:tcW w:w="40" w:type="dxa"/>
            <w:vAlign w:val="bottom"/>
            <w:shd w:val="clear" w:color="auto" w:fill="FDFDFC"/>
          </w:tcPr>
          <w:p>
            <w:pPr>
              <w:spacing w:after="0"/>
              <w:rPr>
                <w:sz w:val="15"/>
                <w:szCs w:val="15"/>
                <w:color w:val="auto"/>
              </w:rPr>
            </w:pPr>
          </w:p>
        </w:tc>
        <w:tc>
          <w:tcPr>
            <w:tcW w:w="720" w:type="dxa"/>
            <w:vAlign w:val="bottom"/>
            <w:vMerge w:val="continue"/>
            <w:shd w:val="clear" w:color="auto" w:fill="FDFDFC"/>
          </w:tcPr>
          <w:p>
            <w:pPr>
              <w:spacing w:after="0"/>
              <w:rPr>
                <w:sz w:val="15"/>
                <w:szCs w:val="15"/>
                <w:color w:val="auto"/>
              </w:rPr>
            </w:pPr>
          </w:p>
        </w:tc>
        <w:tc>
          <w:tcPr>
            <w:tcW w:w="100" w:type="dxa"/>
            <w:vAlign w:val="bottom"/>
            <w:shd w:val="clear" w:color="auto" w:fill="FDFD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620" w:type="dxa"/>
            <w:vAlign w:val="bottom"/>
            <w:gridSpan w:val="2"/>
            <w:shd w:val="clear" w:color="auto" w:fill="D0EBF2"/>
          </w:tcPr>
          <w:p>
            <w:pPr>
              <w:ind w:left="200"/>
              <w:spacing w:after="0"/>
              <w:rPr>
                <w:sz w:val="20"/>
                <w:szCs w:val="20"/>
                <w:color w:val="auto"/>
              </w:rPr>
            </w:pPr>
            <w:r>
              <w:rPr>
                <w:rFonts w:ascii="Times New Roman" w:cs="Times New Roman" w:eastAsia="Times New Roman" w:hAnsi="Times New Roman"/>
                <w:sz w:val="14"/>
                <w:szCs w:val="14"/>
                <w:color w:val="231F20"/>
              </w:rPr>
              <w:t>Common stock issued in settlement of convertible notes</w:t>
            </w:r>
          </w:p>
        </w:tc>
        <w:tc>
          <w:tcPr>
            <w:tcW w:w="860" w:type="dxa"/>
            <w:vAlign w:val="bottom"/>
            <w:shd w:val="clear" w:color="auto" w:fill="D0EBF2"/>
          </w:tcPr>
          <w:p>
            <w:pPr>
              <w:jc w:val="right"/>
              <w:spacing w:after="0"/>
              <w:rPr>
                <w:sz w:val="20"/>
                <w:szCs w:val="20"/>
                <w:color w:val="auto"/>
              </w:rPr>
            </w:pPr>
            <w:r>
              <w:rPr>
                <w:rFonts w:ascii="Times New Roman" w:cs="Times New Roman" w:eastAsia="Times New Roman" w:hAnsi="Times New Roman"/>
                <w:sz w:val="14"/>
                <w:szCs w:val="14"/>
                <w:color w:val="231F20"/>
              </w:rPr>
              <w:t>—</w:t>
            </w:r>
          </w:p>
        </w:tc>
        <w:tc>
          <w:tcPr>
            <w:tcW w:w="100" w:type="dxa"/>
            <w:vAlign w:val="bottom"/>
            <w:shd w:val="clear" w:color="auto" w:fill="D0EBF2"/>
          </w:tcPr>
          <w:p>
            <w:pPr>
              <w:spacing w:after="0"/>
              <w:rPr>
                <w:sz w:val="15"/>
                <w:szCs w:val="15"/>
                <w:color w:val="auto"/>
              </w:rPr>
            </w:pPr>
          </w:p>
        </w:tc>
        <w:tc>
          <w:tcPr>
            <w:tcW w:w="100" w:type="dxa"/>
            <w:vAlign w:val="bottom"/>
            <w:shd w:val="clear" w:color="auto" w:fill="D0EBF2"/>
          </w:tcPr>
          <w:p>
            <w:pPr>
              <w:spacing w:after="0"/>
              <w:rPr>
                <w:sz w:val="15"/>
                <w:szCs w:val="15"/>
                <w:color w:val="auto"/>
              </w:rPr>
            </w:pPr>
          </w:p>
        </w:tc>
        <w:tc>
          <w:tcPr>
            <w:tcW w:w="20" w:type="dxa"/>
            <w:vAlign w:val="bottom"/>
            <w:shd w:val="clear" w:color="auto" w:fill="D0EBF2"/>
          </w:tcPr>
          <w:p>
            <w:pPr>
              <w:spacing w:after="0"/>
              <w:rPr>
                <w:sz w:val="15"/>
                <w:szCs w:val="15"/>
                <w:color w:val="auto"/>
              </w:rPr>
            </w:pPr>
          </w:p>
        </w:tc>
        <w:tc>
          <w:tcPr>
            <w:tcW w:w="20" w:type="dxa"/>
            <w:vAlign w:val="bottom"/>
            <w:shd w:val="clear" w:color="auto" w:fill="D0EBF2"/>
          </w:tcPr>
          <w:p>
            <w:pPr>
              <w:spacing w:after="0"/>
              <w:rPr>
                <w:sz w:val="15"/>
                <w:szCs w:val="15"/>
                <w:color w:val="auto"/>
              </w:rPr>
            </w:pPr>
          </w:p>
        </w:tc>
        <w:tc>
          <w:tcPr>
            <w:tcW w:w="60" w:type="dxa"/>
            <w:vAlign w:val="bottom"/>
            <w:shd w:val="clear" w:color="auto" w:fill="D0EBF2"/>
          </w:tcPr>
          <w:p>
            <w:pPr>
              <w:spacing w:after="0"/>
              <w:rPr>
                <w:sz w:val="15"/>
                <w:szCs w:val="15"/>
                <w:color w:val="auto"/>
              </w:rPr>
            </w:pPr>
          </w:p>
        </w:tc>
        <w:tc>
          <w:tcPr>
            <w:tcW w:w="420" w:type="dxa"/>
            <w:vAlign w:val="bottom"/>
            <w:shd w:val="clear" w:color="auto" w:fill="D0EBF2"/>
          </w:tcPr>
          <w:p>
            <w:pPr>
              <w:jc w:val="right"/>
              <w:spacing w:after="0"/>
              <w:rPr>
                <w:sz w:val="20"/>
                <w:szCs w:val="20"/>
                <w:color w:val="auto"/>
              </w:rPr>
            </w:pPr>
            <w:r>
              <w:rPr>
                <w:rFonts w:ascii="Times New Roman" w:cs="Times New Roman" w:eastAsia="Times New Roman" w:hAnsi="Times New Roman"/>
                <w:sz w:val="14"/>
                <w:szCs w:val="14"/>
                <w:color w:val="231F20"/>
              </w:rPr>
              <w:t>—</w:t>
            </w:r>
          </w:p>
        </w:tc>
        <w:tc>
          <w:tcPr>
            <w:tcW w:w="100" w:type="dxa"/>
            <w:vAlign w:val="bottom"/>
            <w:shd w:val="clear" w:color="auto" w:fill="D0EBF2"/>
          </w:tcPr>
          <w:p>
            <w:pPr>
              <w:spacing w:after="0"/>
              <w:rPr>
                <w:sz w:val="15"/>
                <w:szCs w:val="15"/>
                <w:color w:val="auto"/>
              </w:rPr>
            </w:pPr>
          </w:p>
        </w:tc>
        <w:tc>
          <w:tcPr>
            <w:tcW w:w="20" w:type="dxa"/>
            <w:vAlign w:val="bottom"/>
            <w:shd w:val="clear" w:color="auto" w:fill="D0EBF2"/>
          </w:tcPr>
          <w:p>
            <w:pPr>
              <w:spacing w:after="0"/>
              <w:rPr>
                <w:sz w:val="15"/>
                <w:szCs w:val="15"/>
                <w:color w:val="auto"/>
              </w:rPr>
            </w:pPr>
          </w:p>
        </w:tc>
        <w:tc>
          <w:tcPr>
            <w:tcW w:w="80" w:type="dxa"/>
            <w:vAlign w:val="bottom"/>
            <w:shd w:val="clear" w:color="auto" w:fill="D0EBF2"/>
          </w:tcPr>
          <w:p>
            <w:pPr>
              <w:spacing w:after="0"/>
              <w:rPr>
                <w:sz w:val="15"/>
                <w:szCs w:val="15"/>
                <w:color w:val="auto"/>
              </w:rPr>
            </w:pPr>
          </w:p>
        </w:tc>
        <w:tc>
          <w:tcPr>
            <w:tcW w:w="20" w:type="dxa"/>
            <w:vAlign w:val="bottom"/>
            <w:shd w:val="clear" w:color="auto" w:fill="D0EBF2"/>
          </w:tcPr>
          <w:p>
            <w:pPr>
              <w:spacing w:after="0"/>
              <w:rPr>
                <w:sz w:val="15"/>
                <w:szCs w:val="15"/>
                <w:color w:val="auto"/>
              </w:rPr>
            </w:pPr>
          </w:p>
        </w:tc>
        <w:tc>
          <w:tcPr>
            <w:tcW w:w="20" w:type="dxa"/>
            <w:vAlign w:val="bottom"/>
            <w:shd w:val="clear" w:color="auto" w:fill="D0EBF2"/>
          </w:tcPr>
          <w:p>
            <w:pPr>
              <w:spacing w:after="0"/>
              <w:rPr>
                <w:sz w:val="15"/>
                <w:szCs w:val="15"/>
                <w:color w:val="auto"/>
              </w:rPr>
            </w:pPr>
          </w:p>
        </w:tc>
        <w:tc>
          <w:tcPr>
            <w:tcW w:w="660" w:type="dxa"/>
            <w:vAlign w:val="bottom"/>
            <w:shd w:val="clear" w:color="auto" w:fill="D0EBF2"/>
          </w:tcPr>
          <w:p>
            <w:pPr>
              <w:jc w:val="right"/>
              <w:spacing w:after="0"/>
              <w:rPr>
                <w:sz w:val="20"/>
                <w:szCs w:val="20"/>
                <w:color w:val="auto"/>
              </w:rPr>
            </w:pPr>
            <w:r>
              <w:rPr>
                <w:rFonts w:ascii="Times New Roman" w:cs="Times New Roman" w:eastAsia="Times New Roman" w:hAnsi="Times New Roman"/>
                <w:sz w:val="14"/>
                <w:szCs w:val="14"/>
                <w:color w:val="231F20"/>
              </w:rPr>
              <w:t>—</w:t>
            </w:r>
          </w:p>
        </w:tc>
        <w:tc>
          <w:tcPr>
            <w:tcW w:w="100" w:type="dxa"/>
            <w:vAlign w:val="bottom"/>
            <w:shd w:val="clear" w:color="auto" w:fill="D0EBF2"/>
          </w:tcPr>
          <w:p>
            <w:pPr>
              <w:spacing w:after="0"/>
              <w:rPr>
                <w:sz w:val="15"/>
                <w:szCs w:val="15"/>
                <w:color w:val="auto"/>
              </w:rPr>
            </w:pPr>
          </w:p>
        </w:tc>
        <w:tc>
          <w:tcPr>
            <w:tcW w:w="20" w:type="dxa"/>
            <w:vAlign w:val="bottom"/>
            <w:shd w:val="clear" w:color="auto" w:fill="D0EBF2"/>
          </w:tcPr>
          <w:p>
            <w:pPr>
              <w:spacing w:after="0"/>
              <w:rPr>
                <w:sz w:val="15"/>
                <w:szCs w:val="15"/>
                <w:color w:val="auto"/>
              </w:rPr>
            </w:pPr>
          </w:p>
        </w:tc>
        <w:tc>
          <w:tcPr>
            <w:tcW w:w="80" w:type="dxa"/>
            <w:vAlign w:val="bottom"/>
            <w:shd w:val="clear" w:color="auto" w:fill="D0EBF2"/>
          </w:tcPr>
          <w:p>
            <w:pPr>
              <w:spacing w:after="0"/>
              <w:rPr>
                <w:sz w:val="15"/>
                <w:szCs w:val="15"/>
                <w:color w:val="auto"/>
              </w:rPr>
            </w:pPr>
          </w:p>
        </w:tc>
        <w:tc>
          <w:tcPr>
            <w:tcW w:w="20" w:type="dxa"/>
            <w:vAlign w:val="bottom"/>
            <w:shd w:val="clear" w:color="auto" w:fill="D0EBF2"/>
          </w:tcPr>
          <w:p>
            <w:pPr>
              <w:spacing w:after="0"/>
              <w:rPr>
                <w:sz w:val="15"/>
                <w:szCs w:val="15"/>
                <w:color w:val="auto"/>
              </w:rPr>
            </w:pPr>
          </w:p>
        </w:tc>
        <w:tc>
          <w:tcPr>
            <w:tcW w:w="20" w:type="dxa"/>
            <w:vAlign w:val="bottom"/>
            <w:shd w:val="clear" w:color="auto" w:fill="D0EBF2"/>
          </w:tcPr>
          <w:p>
            <w:pPr>
              <w:spacing w:after="0"/>
              <w:rPr>
                <w:sz w:val="15"/>
                <w:szCs w:val="15"/>
                <w:color w:val="auto"/>
              </w:rPr>
            </w:pPr>
          </w:p>
        </w:tc>
        <w:tc>
          <w:tcPr>
            <w:tcW w:w="60" w:type="dxa"/>
            <w:vAlign w:val="bottom"/>
            <w:shd w:val="clear" w:color="auto" w:fill="D0EBF2"/>
          </w:tcPr>
          <w:p>
            <w:pPr>
              <w:spacing w:after="0"/>
              <w:rPr>
                <w:sz w:val="15"/>
                <w:szCs w:val="15"/>
                <w:color w:val="auto"/>
              </w:rPr>
            </w:pPr>
          </w:p>
        </w:tc>
        <w:tc>
          <w:tcPr>
            <w:tcW w:w="620" w:type="dxa"/>
            <w:vAlign w:val="bottom"/>
            <w:gridSpan w:val="4"/>
            <w:shd w:val="clear" w:color="auto" w:fill="D0EBF2"/>
          </w:tcPr>
          <w:p>
            <w:pPr>
              <w:jc w:val="right"/>
              <w:ind w:right="160"/>
              <w:spacing w:after="0"/>
              <w:rPr>
                <w:sz w:val="20"/>
                <w:szCs w:val="20"/>
                <w:color w:val="auto"/>
              </w:rPr>
            </w:pPr>
            <w:r>
              <w:rPr>
                <w:rFonts w:ascii="Times New Roman" w:cs="Times New Roman" w:eastAsia="Times New Roman" w:hAnsi="Times New Roman"/>
                <w:sz w:val="14"/>
                <w:szCs w:val="14"/>
                <w:color w:val="231F20"/>
              </w:rPr>
              <w:t>—</w:t>
            </w:r>
          </w:p>
        </w:tc>
        <w:tc>
          <w:tcPr>
            <w:tcW w:w="60" w:type="dxa"/>
            <w:vAlign w:val="bottom"/>
            <w:shd w:val="clear" w:color="auto" w:fill="D0EBF2"/>
          </w:tcPr>
          <w:p>
            <w:pPr>
              <w:spacing w:after="0"/>
              <w:rPr>
                <w:sz w:val="15"/>
                <w:szCs w:val="15"/>
                <w:color w:val="auto"/>
              </w:rPr>
            </w:pPr>
          </w:p>
        </w:tc>
        <w:tc>
          <w:tcPr>
            <w:tcW w:w="140" w:type="dxa"/>
            <w:vAlign w:val="bottom"/>
            <w:shd w:val="clear" w:color="auto" w:fill="D0EBF2"/>
          </w:tcPr>
          <w:p>
            <w:pPr>
              <w:spacing w:after="0"/>
              <w:rPr>
                <w:sz w:val="15"/>
                <w:szCs w:val="15"/>
                <w:color w:val="auto"/>
              </w:rPr>
            </w:pPr>
          </w:p>
        </w:tc>
        <w:tc>
          <w:tcPr>
            <w:tcW w:w="1140" w:type="dxa"/>
            <w:vAlign w:val="bottom"/>
            <w:gridSpan w:val="6"/>
            <w:shd w:val="clear" w:color="auto" w:fill="D0EBF2"/>
          </w:tcPr>
          <w:p>
            <w:pPr>
              <w:jc w:val="right"/>
              <w:ind w:right="260"/>
              <w:spacing w:after="0"/>
              <w:rPr>
                <w:sz w:val="20"/>
                <w:szCs w:val="20"/>
                <w:color w:val="auto"/>
              </w:rPr>
            </w:pPr>
            <w:r>
              <w:rPr>
                <w:rFonts w:ascii="Times New Roman" w:cs="Times New Roman" w:eastAsia="Times New Roman" w:hAnsi="Times New Roman"/>
                <w:sz w:val="14"/>
                <w:szCs w:val="14"/>
                <w:color w:val="231F20"/>
              </w:rPr>
              <w:t>—</w:t>
            </w:r>
          </w:p>
        </w:tc>
        <w:tc>
          <w:tcPr>
            <w:tcW w:w="60" w:type="dxa"/>
            <w:vAlign w:val="bottom"/>
            <w:shd w:val="clear" w:color="auto" w:fill="D0EBF2"/>
          </w:tcPr>
          <w:p>
            <w:pPr>
              <w:spacing w:after="0"/>
              <w:rPr>
                <w:sz w:val="15"/>
                <w:szCs w:val="15"/>
                <w:color w:val="auto"/>
              </w:rPr>
            </w:pPr>
          </w:p>
        </w:tc>
        <w:tc>
          <w:tcPr>
            <w:tcW w:w="960" w:type="dxa"/>
            <w:vAlign w:val="bottom"/>
            <w:gridSpan w:val="6"/>
            <w:shd w:val="clear" w:color="auto" w:fill="D0EBF2"/>
          </w:tcPr>
          <w:p>
            <w:pPr>
              <w:jc w:val="right"/>
              <w:ind w:right="260"/>
              <w:spacing w:after="0"/>
              <w:rPr>
                <w:sz w:val="20"/>
                <w:szCs w:val="20"/>
                <w:color w:val="auto"/>
              </w:rPr>
            </w:pPr>
            <w:r>
              <w:rPr>
                <w:rFonts w:ascii="Times New Roman" w:cs="Times New Roman" w:eastAsia="Times New Roman" w:hAnsi="Times New Roman"/>
                <w:sz w:val="14"/>
                <w:szCs w:val="14"/>
                <w:color w:val="231F20"/>
              </w:rPr>
              <w:t>—</w:t>
            </w:r>
          </w:p>
        </w:tc>
        <w:tc>
          <w:tcPr>
            <w:tcW w:w="40" w:type="dxa"/>
            <w:vAlign w:val="bottom"/>
            <w:shd w:val="clear" w:color="auto" w:fill="D0EBF2"/>
          </w:tcPr>
          <w:p>
            <w:pPr>
              <w:spacing w:after="0"/>
              <w:rPr>
                <w:sz w:val="15"/>
                <w:szCs w:val="15"/>
                <w:color w:val="auto"/>
              </w:rPr>
            </w:pPr>
          </w:p>
        </w:tc>
        <w:tc>
          <w:tcPr>
            <w:tcW w:w="820" w:type="dxa"/>
            <w:vAlign w:val="bottom"/>
            <w:gridSpan w:val="2"/>
            <w:shd w:val="clear" w:color="auto" w:fill="D0EBF2"/>
          </w:tcPr>
          <w:p>
            <w:pPr>
              <w:jc w:val="right"/>
              <w:ind w:right="140"/>
              <w:spacing w:after="0"/>
              <w:rPr>
                <w:sz w:val="20"/>
                <w:szCs w:val="20"/>
                <w:color w:val="auto"/>
              </w:rPr>
            </w:pPr>
            <w:r>
              <w:rPr>
                <w:rFonts w:ascii="Times New Roman" w:cs="Times New Roman" w:eastAsia="Times New Roman" w:hAnsi="Times New Roman"/>
                <w:sz w:val="14"/>
                <w:szCs w:val="14"/>
                <w:color w:val="231F20"/>
              </w:rPr>
              <w:t>—</w:t>
            </w:r>
          </w:p>
        </w:tc>
        <w:tc>
          <w:tcPr>
            <w:tcW w:w="0" w:type="dxa"/>
            <w:vAlign w:val="bottom"/>
          </w:tcPr>
          <w:p>
            <w:pPr>
              <w:spacing w:after="0"/>
              <w:rPr>
                <w:sz w:val="1"/>
                <w:szCs w:val="1"/>
                <w:color w:val="auto"/>
              </w:rPr>
            </w:pPr>
          </w:p>
        </w:tc>
      </w:tr>
      <w:tr>
        <w:trPr>
          <w:trHeight w:val="176"/>
        </w:trPr>
        <w:tc>
          <w:tcPr>
            <w:tcW w:w="3620" w:type="dxa"/>
            <w:vAlign w:val="bottom"/>
            <w:gridSpan w:val="2"/>
            <w:shd w:val="clear" w:color="auto" w:fill="FDFDFC"/>
          </w:tcPr>
          <w:p>
            <w:pPr>
              <w:ind w:left="200"/>
              <w:spacing w:after="0"/>
              <w:rPr>
                <w:sz w:val="20"/>
                <w:szCs w:val="20"/>
                <w:color w:val="auto"/>
              </w:rPr>
            </w:pPr>
            <w:r>
              <w:rPr>
                <w:rFonts w:ascii="Times New Roman" w:cs="Times New Roman" w:eastAsia="Times New Roman" w:hAnsi="Times New Roman"/>
                <w:sz w:val="14"/>
                <w:szCs w:val="14"/>
                <w:color w:val="231F20"/>
              </w:rPr>
              <w:t>Purchases of treasury stock</w:t>
            </w:r>
          </w:p>
        </w:tc>
        <w:tc>
          <w:tcPr>
            <w:tcW w:w="860" w:type="dxa"/>
            <w:vAlign w:val="bottom"/>
            <w:shd w:val="clear" w:color="auto" w:fill="FDFDFC"/>
          </w:tcPr>
          <w:p>
            <w:pPr>
              <w:jc w:val="right"/>
              <w:spacing w:after="0"/>
              <w:rPr>
                <w:sz w:val="20"/>
                <w:szCs w:val="20"/>
                <w:color w:val="auto"/>
              </w:rPr>
            </w:pPr>
            <w:r>
              <w:rPr>
                <w:rFonts w:ascii="Times New Roman" w:cs="Times New Roman" w:eastAsia="Times New Roman" w:hAnsi="Times New Roman"/>
                <w:sz w:val="14"/>
                <w:szCs w:val="14"/>
                <w:color w:val="231F20"/>
              </w:rPr>
              <w:t>—</w:t>
            </w:r>
          </w:p>
        </w:tc>
        <w:tc>
          <w:tcPr>
            <w:tcW w:w="100" w:type="dxa"/>
            <w:vAlign w:val="bottom"/>
            <w:shd w:val="clear" w:color="auto" w:fill="FDFDFC"/>
          </w:tcPr>
          <w:p>
            <w:pPr>
              <w:spacing w:after="0"/>
              <w:rPr>
                <w:sz w:val="15"/>
                <w:szCs w:val="15"/>
                <w:color w:val="auto"/>
              </w:rPr>
            </w:pPr>
          </w:p>
        </w:tc>
        <w:tc>
          <w:tcPr>
            <w:tcW w:w="100" w:type="dxa"/>
            <w:vAlign w:val="bottom"/>
            <w:shd w:val="clear" w:color="auto" w:fill="FDFDFC"/>
          </w:tcPr>
          <w:p>
            <w:pPr>
              <w:spacing w:after="0"/>
              <w:rPr>
                <w:sz w:val="15"/>
                <w:szCs w:val="15"/>
                <w:color w:val="auto"/>
              </w:rPr>
            </w:pPr>
          </w:p>
        </w:tc>
        <w:tc>
          <w:tcPr>
            <w:tcW w:w="20" w:type="dxa"/>
            <w:vAlign w:val="bottom"/>
            <w:shd w:val="clear" w:color="auto" w:fill="FDFDFC"/>
          </w:tcPr>
          <w:p>
            <w:pPr>
              <w:spacing w:after="0"/>
              <w:rPr>
                <w:sz w:val="15"/>
                <w:szCs w:val="15"/>
                <w:color w:val="auto"/>
              </w:rPr>
            </w:pPr>
          </w:p>
        </w:tc>
        <w:tc>
          <w:tcPr>
            <w:tcW w:w="20" w:type="dxa"/>
            <w:vAlign w:val="bottom"/>
            <w:shd w:val="clear" w:color="auto" w:fill="FDFDFC"/>
          </w:tcPr>
          <w:p>
            <w:pPr>
              <w:spacing w:after="0"/>
              <w:rPr>
                <w:sz w:val="15"/>
                <w:szCs w:val="15"/>
                <w:color w:val="auto"/>
              </w:rPr>
            </w:pPr>
          </w:p>
        </w:tc>
        <w:tc>
          <w:tcPr>
            <w:tcW w:w="60" w:type="dxa"/>
            <w:vAlign w:val="bottom"/>
            <w:shd w:val="clear" w:color="auto" w:fill="FDFDFC"/>
          </w:tcPr>
          <w:p>
            <w:pPr>
              <w:spacing w:after="0"/>
              <w:rPr>
                <w:sz w:val="15"/>
                <w:szCs w:val="15"/>
                <w:color w:val="auto"/>
              </w:rPr>
            </w:pPr>
          </w:p>
        </w:tc>
        <w:tc>
          <w:tcPr>
            <w:tcW w:w="420" w:type="dxa"/>
            <w:vAlign w:val="bottom"/>
            <w:shd w:val="clear" w:color="auto" w:fill="FDFDFC"/>
          </w:tcPr>
          <w:p>
            <w:pPr>
              <w:jc w:val="right"/>
              <w:spacing w:after="0"/>
              <w:rPr>
                <w:sz w:val="20"/>
                <w:szCs w:val="20"/>
                <w:color w:val="auto"/>
              </w:rPr>
            </w:pPr>
            <w:r>
              <w:rPr>
                <w:rFonts w:ascii="Times New Roman" w:cs="Times New Roman" w:eastAsia="Times New Roman" w:hAnsi="Times New Roman"/>
                <w:sz w:val="14"/>
                <w:szCs w:val="14"/>
                <w:color w:val="231F20"/>
              </w:rPr>
              <w:t>—</w:t>
            </w:r>
          </w:p>
        </w:tc>
        <w:tc>
          <w:tcPr>
            <w:tcW w:w="100" w:type="dxa"/>
            <w:vAlign w:val="bottom"/>
            <w:shd w:val="clear" w:color="auto" w:fill="FDFDFC"/>
          </w:tcPr>
          <w:p>
            <w:pPr>
              <w:spacing w:after="0"/>
              <w:rPr>
                <w:sz w:val="15"/>
                <w:szCs w:val="15"/>
                <w:color w:val="auto"/>
              </w:rPr>
            </w:pPr>
          </w:p>
        </w:tc>
        <w:tc>
          <w:tcPr>
            <w:tcW w:w="20" w:type="dxa"/>
            <w:vAlign w:val="bottom"/>
            <w:shd w:val="clear" w:color="auto" w:fill="FDFDFC"/>
          </w:tcPr>
          <w:p>
            <w:pPr>
              <w:spacing w:after="0"/>
              <w:rPr>
                <w:sz w:val="15"/>
                <w:szCs w:val="15"/>
                <w:color w:val="auto"/>
              </w:rPr>
            </w:pPr>
          </w:p>
        </w:tc>
        <w:tc>
          <w:tcPr>
            <w:tcW w:w="80" w:type="dxa"/>
            <w:vAlign w:val="bottom"/>
            <w:shd w:val="clear" w:color="auto" w:fill="FDFDFC"/>
          </w:tcPr>
          <w:p>
            <w:pPr>
              <w:spacing w:after="0"/>
              <w:rPr>
                <w:sz w:val="15"/>
                <w:szCs w:val="15"/>
                <w:color w:val="auto"/>
              </w:rPr>
            </w:pPr>
          </w:p>
        </w:tc>
        <w:tc>
          <w:tcPr>
            <w:tcW w:w="20" w:type="dxa"/>
            <w:vAlign w:val="bottom"/>
            <w:shd w:val="clear" w:color="auto" w:fill="FDFDFC"/>
          </w:tcPr>
          <w:p>
            <w:pPr>
              <w:spacing w:after="0"/>
              <w:rPr>
                <w:sz w:val="15"/>
                <w:szCs w:val="15"/>
                <w:color w:val="auto"/>
              </w:rPr>
            </w:pPr>
          </w:p>
        </w:tc>
        <w:tc>
          <w:tcPr>
            <w:tcW w:w="20" w:type="dxa"/>
            <w:vAlign w:val="bottom"/>
            <w:shd w:val="clear" w:color="auto" w:fill="FDFDFC"/>
          </w:tcPr>
          <w:p>
            <w:pPr>
              <w:spacing w:after="0"/>
              <w:rPr>
                <w:sz w:val="15"/>
                <w:szCs w:val="15"/>
                <w:color w:val="auto"/>
              </w:rPr>
            </w:pPr>
          </w:p>
        </w:tc>
        <w:tc>
          <w:tcPr>
            <w:tcW w:w="660" w:type="dxa"/>
            <w:vAlign w:val="bottom"/>
            <w:shd w:val="clear" w:color="auto" w:fill="FDFDFC"/>
          </w:tcPr>
          <w:p>
            <w:pPr>
              <w:jc w:val="right"/>
              <w:spacing w:after="0"/>
              <w:rPr>
                <w:sz w:val="20"/>
                <w:szCs w:val="20"/>
                <w:color w:val="auto"/>
              </w:rPr>
            </w:pPr>
            <w:r>
              <w:rPr>
                <w:rFonts w:ascii="Times New Roman" w:cs="Times New Roman" w:eastAsia="Times New Roman" w:hAnsi="Times New Roman"/>
                <w:sz w:val="14"/>
                <w:szCs w:val="14"/>
                <w:color w:val="231F20"/>
              </w:rPr>
              <w:t>—</w:t>
            </w:r>
          </w:p>
        </w:tc>
        <w:tc>
          <w:tcPr>
            <w:tcW w:w="100" w:type="dxa"/>
            <w:vAlign w:val="bottom"/>
            <w:shd w:val="clear" w:color="auto" w:fill="FDFDFC"/>
          </w:tcPr>
          <w:p>
            <w:pPr>
              <w:spacing w:after="0"/>
              <w:rPr>
                <w:sz w:val="15"/>
                <w:szCs w:val="15"/>
                <w:color w:val="auto"/>
              </w:rPr>
            </w:pPr>
          </w:p>
        </w:tc>
        <w:tc>
          <w:tcPr>
            <w:tcW w:w="20" w:type="dxa"/>
            <w:vAlign w:val="bottom"/>
            <w:shd w:val="clear" w:color="auto" w:fill="FDFDFC"/>
          </w:tcPr>
          <w:p>
            <w:pPr>
              <w:spacing w:after="0"/>
              <w:rPr>
                <w:sz w:val="15"/>
                <w:szCs w:val="15"/>
                <w:color w:val="auto"/>
              </w:rPr>
            </w:pPr>
          </w:p>
        </w:tc>
        <w:tc>
          <w:tcPr>
            <w:tcW w:w="80" w:type="dxa"/>
            <w:vAlign w:val="bottom"/>
            <w:shd w:val="clear" w:color="auto" w:fill="FDFDFC"/>
          </w:tcPr>
          <w:p>
            <w:pPr>
              <w:spacing w:after="0"/>
              <w:rPr>
                <w:sz w:val="15"/>
                <w:szCs w:val="15"/>
                <w:color w:val="auto"/>
              </w:rPr>
            </w:pPr>
          </w:p>
        </w:tc>
        <w:tc>
          <w:tcPr>
            <w:tcW w:w="20" w:type="dxa"/>
            <w:vAlign w:val="bottom"/>
            <w:shd w:val="clear" w:color="auto" w:fill="FDFDFC"/>
          </w:tcPr>
          <w:p>
            <w:pPr>
              <w:spacing w:after="0"/>
              <w:rPr>
                <w:sz w:val="15"/>
                <w:szCs w:val="15"/>
                <w:color w:val="auto"/>
              </w:rPr>
            </w:pPr>
          </w:p>
        </w:tc>
        <w:tc>
          <w:tcPr>
            <w:tcW w:w="20" w:type="dxa"/>
            <w:vAlign w:val="bottom"/>
            <w:shd w:val="clear" w:color="auto" w:fill="FDFDFC"/>
          </w:tcPr>
          <w:p>
            <w:pPr>
              <w:spacing w:after="0"/>
              <w:rPr>
                <w:sz w:val="15"/>
                <w:szCs w:val="15"/>
                <w:color w:val="auto"/>
              </w:rPr>
            </w:pPr>
          </w:p>
        </w:tc>
        <w:tc>
          <w:tcPr>
            <w:tcW w:w="60" w:type="dxa"/>
            <w:vAlign w:val="bottom"/>
            <w:shd w:val="clear" w:color="auto" w:fill="FDFDFC"/>
          </w:tcPr>
          <w:p>
            <w:pPr>
              <w:spacing w:after="0"/>
              <w:rPr>
                <w:sz w:val="15"/>
                <w:szCs w:val="15"/>
                <w:color w:val="auto"/>
              </w:rPr>
            </w:pPr>
          </w:p>
        </w:tc>
        <w:tc>
          <w:tcPr>
            <w:tcW w:w="620" w:type="dxa"/>
            <w:vAlign w:val="bottom"/>
            <w:gridSpan w:val="4"/>
            <w:shd w:val="clear" w:color="auto" w:fill="FDFDFC"/>
          </w:tcPr>
          <w:p>
            <w:pPr>
              <w:jc w:val="right"/>
              <w:ind w:right="160"/>
              <w:spacing w:after="0"/>
              <w:rPr>
                <w:sz w:val="20"/>
                <w:szCs w:val="20"/>
                <w:color w:val="auto"/>
              </w:rPr>
            </w:pPr>
            <w:r>
              <w:rPr>
                <w:rFonts w:ascii="Times New Roman" w:cs="Times New Roman" w:eastAsia="Times New Roman" w:hAnsi="Times New Roman"/>
                <w:sz w:val="14"/>
                <w:szCs w:val="14"/>
                <w:color w:val="231F20"/>
              </w:rPr>
              <w:t>—</w:t>
            </w:r>
          </w:p>
        </w:tc>
        <w:tc>
          <w:tcPr>
            <w:tcW w:w="60" w:type="dxa"/>
            <w:vAlign w:val="bottom"/>
            <w:shd w:val="clear" w:color="auto" w:fill="FDFDFC"/>
          </w:tcPr>
          <w:p>
            <w:pPr>
              <w:spacing w:after="0"/>
              <w:rPr>
                <w:sz w:val="15"/>
                <w:szCs w:val="15"/>
                <w:color w:val="auto"/>
              </w:rPr>
            </w:pPr>
          </w:p>
        </w:tc>
        <w:tc>
          <w:tcPr>
            <w:tcW w:w="140" w:type="dxa"/>
            <w:vAlign w:val="bottom"/>
            <w:shd w:val="clear" w:color="auto" w:fill="FDFDFC"/>
          </w:tcPr>
          <w:p>
            <w:pPr>
              <w:spacing w:after="0"/>
              <w:rPr>
                <w:sz w:val="15"/>
                <w:szCs w:val="15"/>
                <w:color w:val="auto"/>
              </w:rPr>
            </w:pPr>
          </w:p>
        </w:tc>
        <w:tc>
          <w:tcPr>
            <w:tcW w:w="1140" w:type="dxa"/>
            <w:vAlign w:val="bottom"/>
            <w:gridSpan w:val="6"/>
            <w:shd w:val="clear" w:color="auto" w:fill="FDFDFC"/>
          </w:tcPr>
          <w:p>
            <w:pPr>
              <w:jc w:val="right"/>
              <w:ind w:right="260"/>
              <w:spacing w:after="0"/>
              <w:rPr>
                <w:sz w:val="20"/>
                <w:szCs w:val="20"/>
                <w:color w:val="auto"/>
              </w:rPr>
            </w:pPr>
            <w:r>
              <w:rPr>
                <w:rFonts w:ascii="Times New Roman" w:cs="Times New Roman" w:eastAsia="Times New Roman" w:hAnsi="Times New Roman"/>
                <w:sz w:val="14"/>
                <w:szCs w:val="14"/>
                <w:color w:val="231F20"/>
              </w:rPr>
              <w:t>—</w:t>
            </w:r>
          </w:p>
        </w:tc>
        <w:tc>
          <w:tcPr>
            <w:tcW w:w="60" w:type="dxa"/>
            <w:vAlign w:val="bottom"/>
            <w:shd w:val="clear" w:color="auto" w:fill="FDFDFC"/>
          </w:tcPr>
          <w:p>
            <w:pPr>
              <w:spacing w:after="0"/>
              <w:rPr>
                <w:sz w:val="15"/>
                <w:szCs w:val="15"/>
                <w:color w:val="auto"/>
              </w:rPr>
            </w:pPr>
          </w:p>
        </w:tc>
        <w:tc>
          <w:tcPr>
            <w:tcW w:w="960" w:type="dxa"/>
            <w:vAlign w:val="bottom"/>
            <w:gridSpan w:val="6"/>
            <w:shd w:val="clear" w:color="auto" w:fill="FDFDFC"/>
          </w:tcPr>
          <w:p>
            <w:pPr>
              <w:jc w:val="right"/>
              <w:ind w:right="260"/>
              <w:spacing w:after="0"/>
              <w:rPr>
                <w:sz w:val="20"/>
                <w:szCs w:val="20"/>
                <w:color w:val="auto"/>
              </w:rPr>
            </w:pPr>
            <w:r>
              <w:rPr>
                <w:rFonts w:ascii="Times New Roman" w:cs="Times New Roman" w:eastAsia="Times New Roman" w:hAnsi="Times New Roman"/>
                <w:sz w:val="14"/>
                <w:szCs w:val="14"/>
                <w:color w:val="231F20"/>
              </w:rPr>
              <w:t>—</w:t>
            </w:r>
          </w:p>
        </w:tc>
        <w:tc>
          <w:tcPr>
            <w:tcW w:w="40" w:type="dxa"/>
            <w:vAlign w:val="bottom"/>
            <w:shd w:val="clear" w:color="auto" w:fill="FDFDFC"/>
          </w:tcPr>
          <w:p>
            <w:pPr>
              <w:spacing w:after="0"/>
              <w:rPr>
                <w:sz w:val="15"/>
                <w:szCs w:val="15"/>
                <w:color w:val="auto"/>
              </w:rPr>
            </w:pPr>
          </w:p>
        </w:tc>
        <w:tc>
          <w:tcPr>
            <w:tcW w:w="820" w:type="dxa"/>
            <w:vAlign w:val="bottom"/>
            <w:gridSpan w:val="2"/>
            <w:shd w:val="clear" w:color="auto" w:fill="FDFDFC"/>
          </w:tcPr>
          <w:p>
            <w:pPr>
              <w:jc w:val="right"/>
              <w:ind w:right="140"/>
              <w:spacing w:after="0"/>
              <w:rPr>
                <w:sz w:val="20"/>
                <w:szCs w:val="20"/>
                <w:color w:val="auto"/>
              </w:rPr>
            </w:pPr>
            <w:r>
              <w:rPr>
                <w:rFonts w:ascii="Times New Roman" w:cs="Times New Roman" w:eastAsia="Times New Roman" w:hAnsi="Times New Roman"/>
                <w:sz w:val="14"/>
                <w:szCs w:val="14"/>
                <w:color w:val="231F20"/>
              </w:rPr>
              <w:t>—</w:t>
            </w:r>
          </w:p>
        </w:tc>
        <w:tc>
          <w:tcPr>
            <w:tcW w:w="0" w:type="dxa"/>
            <w:vAlign w:val="bottom"/>
          </w:tcPr>
          <w:p>
            <w:pPr>
              <w:spacing w:after="0"/>
              <w:rPr>
                <w:sz w:val="1"/>
                <w:szCs w:val="1"/>
                <w:color w:val="auto"/>
              </w:rPr>
            </w:pPr>
          </w:p>
        </w:tc>
      </w:tr>
      <w:tr>
        <w:trPr>
          <w:trHeight w:val="176"/>
        </w:trPr>
        <w:tc>
          <w:tcPr>
            <w:tcW w:w="3620" w:type="dxa"/>
            <w:vAlign w:val="bottom"/>
            <w:gridSpan w:val="2"/>
            <w:shd w:val="clear" w:color="auto" w:fill="D0EBF2"/>
          </w:tcPr>
          <w:p>
            <w:pPr>
              <w:ind w:left="100"/>
              <w:spacing w:after="0"/>
              <w:rPr>
                <w:sz w:val="20"/>
                <w:szCs w:val="20"/>
                <w:color w:val="auto"/>
              </w:rPr>
            </w:pPr>
            <w:r>
              <w:rPr>
                <w:rFonts w:ascii="Times New Roman" w:cs="Times New Roman" w:eastAsia="Times New Roman" w:hAnsi="Times New Roman"/>
                <w:sz w:val="14"/>
                <w:szCs w:val="14"/>
                <w:color w:val="231F20"/>
              </w:rPr>
              <w:t>Dividends to stockholders:</w:t>
            </w:r>
          </w:p>
        </w:tc>
        <w:tc>
          <w:tcPr>
            <w:tcW w:w="860" w:type="dxa"/>
            <w:vAlign w:val="bottom"/>
            <w:shd w:val="clear" w:color="auto" w:fill="D0EBF2"/>
          </w:tcPr>
          <w:p>
            <w:pPr>
              <w:spacing w:after="0"/>
              <w:rPr>
                <w:sz w:val="15"/>
                <w:szCs w:val="15"/>
                <w:color w:val="auto"/>
              </w:rPr>
            </w:pPr>
          </w:p>
        </w:tc>
        <w:tc>
          <w:tcPr>
            <w:tcW w:w="100" w:type="dxa"/>
            <w:vAlign w:val="bottom"/>
            <w:shd w:val="clear" w:color="auto" w:fill="D0EBF2"/>
          </w:tcPr>
          <w:p>
            <w:pPr>
              <w:spacing w:after="0"/>
              <w:rPr>
                <w:sz w:val="15"/>
                <w:szCs w:val="15"/>
                <w:color w:val="auto"/>
              </w:rPr>
            </w:pPr>
          </w:p>
        </w:tc>
        <w:tc>
          <w:tcPr>
            <w:tcW w:w="100" w:type="dxa"/>
            <w:vAlign w:val="bottom"/>
            <w:shd w:val="clear" w:color="auto" w:fill="D0EBF2"/>
          </w:tcPr>
          <w:p>
            <w:pPr>
              <w:spacing w:after="0"/>
              <w:rPr>
                <w:sz w:val="15"/>
                <w:szCs w:val="15"/>
                <w:color w:val="auto"/>
              </w:rPr>
            </w:pPr>
          </w:p>
        </w:tc>
        <w:tc>
          <w:tcPr>
            <w:tcW w:w="20" w:type="dxa"/>
            <w:vAlign w:val="bottom"/>
            <w:shd w:val="clear" w:color="auto" w:fill="D0EBF2"/>
          </w:tcPr>
          <w:p>
            <w:pPr>
              <w:spacing w:after="0"/>
              <w:rPr>
                <w:sz w:val="15"/>
                <w:szCs w:val="15"/>
                <w:color w:val="auto"/>
              </w:rPr>
            </w:pPr>
          </w:p>
        </w:tc>
        <w:tc>
          <w:tcPr>
            <w:tcW w:w="20" w:type="dxa"/>
            <w:vAlign w:val="bottom"/>
            <w:shd w:val="clear" w:color="auto" w:fill="D0EBF2"/>
          </w:tcPr>
          <w:p>
            <w:pPr>
              <w:spacing w:after="0"/>
              <w:rPr>
                <w:sz w:val="15"/>
                <w:szCs w:val="15"/>
                <w:color w:val="auto"/>
              </w:rPr>
            </w:pPr>
          </w:p>
        </w:tc>
        <w:tc>
          <w:tcPr>
            <w:tcW w:w="60" w:type="dxa"/>
            <w:vAlign w:val="bottom"/>
            <w:shd w:val="clear" w:color="auto" w:fill="D0EBF2"/>
          </w:tcPr>
          <w:p>
            <w:pPr>
              <w:spacing w:after="0"/>
              <w:rPr>
                <w:sz w:val="15"/>
                <w:szCs w:val="15"/>
                <w:color w:val="auto"/>
              </w:rPr>
            </w:pPr>
          </w:p>
        </w:tc>
        <w:tc>
          <w:tcPr>
            <w:tcW w:w="420" w:type="dxa"/>
            <w:vAlign w:val="bottom"/>
            <w:shd w:val="clear" w:color="auto" w:fill="D0EBF2"/>
          </w:tcPr>
          <w:p>
            <w:pPr>
              <w:spacing w:after="0"/>
              <w:rPr>
                <w:sz w:val="15"/>
                <w:szCs w:val="15"/>
                <w:color w:val="auto"/>
              </w:rPr>
            </w:pPr>
          </w:p>
        </w:tc>
        <w:tc>
          <w:tcPr>
            <w:tcW w:w="100" w:type="dxa"/>
            <w:vAlign w:val="bottom"/>
            <w:shd w:val="clear" w:color="auto" w:fill="D0EBF2"/>
          </w:tcPr>
          <w:p>
            <w:pPr>
              <w:spacing w:after="0"/>
              <w:rPr>
                <w:sz w:val="15"/>
                <w:szCs w:val="15"/>
                <w:color w:val="auto"/>
              </w:rPr>
            </w:pPr>
          </w:p>
        </w:tc>
        <w:tc>
          <w:tcPr>
            <w:tcW w:w="20" w:type="dxa"/>
            <w:vAlign w:val="bottom"/>
            <w:shd w:val="clear" w:color="auto" w:fill="D0EBF2"/>
          </w:tcPr>
          <w:p>
            <w:pPr>
              <w:spacing w:after="0"/>
              <w:rPr>
                <w:sz w:val="15"/>
                <w:szCs w:val="15"/>
                <w:color w:val="auto"/>
              </w:rPr>
            </w:pPr>
          </w:p>
        </w:tc>
        <w:tc>
          <w:tcPr>
            <w:tcW w:w="80" w:type="dxa"/>
            <w:vAlign w:val="bottom"/>
            <w:shd w:val="clear" w:color="auto" w:fill="D0EBF2"/>
          </w:tcPr>
          <w:p>
            <w:pPr>
              <w:spacing w:after="0"/>
              <w:rPr>
                <w:sz w:val="15"/>
                <w:szCs w:val="15"/>
                <w:color w:val="auto"/>
              </w:rPr>
            </w:pPr>
          </w:p>
        </w:tc>
        <w:tc>
          <w:tcPr>
            <w:tcW w:w="20" w:type="dxa"/>
            <w:vAlign w:val="bottom"/>
            <w:shd w:val="clear" w:color="auto" w:fill="D0EBF2"/>
          </w:tcPr>
          <w:p>
            <w:pPr>
              <w:spacing w:after="0"/>
              <w:rPr>
                <w:sz w:val="15"/>
                <w:szCs w:val="15"/>
                <w:color w:val="auto"/>
              </w:rPr>
            </w:pPr>
          </w:p>
        </w:tc>
        <w:tc>
          <w:tcPr>
            <w:tcW w:w="20" w:type="dxa"/>
            <w:vAlign w:val="bottom"/>
            <w:shd w:val="clear" w:color="auto" w:fill="D0EBF2"/>
          </w:tcPr>
          <w:p>
            <w:pPr>
              <w:spacing w:after="0"/>
              <w:rPr>
                <w:sz w:val="15"/>
                <w:szCs w:val="15"/>
                <w:color w:val="auto"/>
              </w:rPr>
            </w:pPr>
          </w:p>
        </w:tc>
        <w:tc>
          <w:tcPr>
            <w:tcW w:w="660" w:type="dxa"/>
            <w:vAlign w:val="bottom"/>
            <w:shd w:val="clear" w:color="auto" w:fill="D0EBF2"/>
          </w:tcPr>
          <w:p>
            <w:pPr>
              <w:spacing w:after="0"/>
              <w:rPr>
                <w:sz w:val="15"/>
                <w:szCs w:val="15"/>
                <w:color w:val="auto"/>
              </w:rPr>
            </w:pPr>
          </w:p>
        </w:tc>
        <w:tc>
          <w:tcPr>
            <w:tcW w:w="100" w:type="dxa"/>
            <w:vAlign w:val="bottom"/>
            <w:shd w:val="clear" w:color="auto" w:fill="D0EBF2"/>
          </w:tcPr>
          <w:p>
            <w:pPr>
              <w:spacing w:after="0"/>
              <w:rPr>
                <w:sz w:val="15"/>
                <w:szCs w:val="15"/>
                <w:color w:val="auto"/>
              </w:rPr>
            </w:pPr>
          </w:p>
        </w:tc>
        <w:tc>
          <w:tcPr>
            <w:tcW w:w="20" w:type="dxa"/>
            <w:vAlign w:val="bottom"/>
            <w:shd w:val="clear" w:color="auto" w:fill="D0EBF2"/>
          </w:tcPr>
          <w:p>
            <w:pPr>
              <w:spacing w:after="0"/>
              <w:rPr>
                <w:sz w:val="15"/>
                <w:szCs w:val="15"/>
                <w:color w:val="auto"/>
              </w:rPr>
            </w:pPr>
          </w:p>
        </w:tc>
        <w:tc>
          <w:tcPr>
            <w:tcW w:w="80" w:type="dxa"/>
            <w:vAlign w:val="bottom"/>
            <w:shd w:val="clear" w:color="auto" w:fill="D0EBF2"/>
          </w:tcPr>
          <w:p>
            <w:pPr>
              <w:spacing w:after="0"/>
              <w:rPr>
                <w:sz w:val="15"/>
                <w:szCs w:val="15"/>
                <w:color w:val="auto"/>
              </w:rPr>
            </w:pPr>
          </w:p>
        </w:tc>
        <w:tc>
          <w:tcPr>
            <w:tcW w:w="20" w:type="dxa"/>
            <w:vAlign w:val="bottom"/>
            <w:shd w:val="clear" w:color="auto" w:fill="D0EBF2"/>
          </w:tcPr>
          <w:p>
            <w:pPr>
              <w:spacing w:after="0"/>
              <w:rPr>
                <w:sz w:val="15"/>
                <w:szCs w:val="15"/>
                <w:color w:val="auto"/>
              </w:rPr>
            </w:pPr>
          </w:p>
        </w:tc>
        <w:tc>
          <w:tcPr>
            <w:tcW w:w="20" w:type="dxa"/>
            <w:vAlign w:val="bottom"/>
            <w:shd w:val="clear" w:color="auto" w:fill="D0EBF2"/>
          </w:tcPr>
          <w:p>
            <w:pPr>
              <w:spacing w:after="0"/>
              <w:rPr>
                <w:sz w:val="15"/>
                <w:szCs w:val="15"/>
                <w:color w:val="auto"/>
              </w:rPr>
            </w:pPr>
          </w:p>
        </w:tc>
        <w:tc>
          <w:tcPr>
            <w:tcW w:w="60" w:type="dxa"/>
            <w:vAlign w:val="bottom"/>
            <w:shd w:val="clear" w:color="auto" w:fill="D0EBF2"/>
          </w:tcPr>
          <w:p>
            <w:pPr>
              <w:spacing w:after="0"/>
              <w:rPr>
                <w:sz w:val="15"/>
                <w:szCs w:val="15"/>
                <w:color w:val="auto"/>
              </w:rPr>
            </w:pPr>
          </w:p>
        </w:tc>
        <w:tc>
          <w:tcPr>
            <w:tcW w:w="480" w:type="dxa"/>
            <w:vAlign w:val="bottom"/>
            <w:shd w:val="clear" w:color="auto" w:fill="D0EBF2"/>
          </w:tcPr>
          <w:p>
            <w:pPr>
              <w:spacing w:after="0"/>
              <w:rPr>
                <w:sz w:val="15"/>
                <w:szCs w:val="15"/>
                <w:color w:val="auto"/>
              </w:rPr>
            </w:pPr>
          </w:p>
        </w:tc>
        <w:tc>
          <w:tcPr>
            <w:tcW w:w="100" w:type="dxa"/>
            <w:vAlign w:val="bottom"/>
            <w:shd w:val="clear" w:color="auto" w:fill="D0EBF2"/>
          </w:tcPr>
          <w:p>
            <w:pPr>
              <w:spacing w:after="0"/>
              <w:rPr>
                <w:sz w:val="15"/>
                <w:szCs w:val="15"/>
                <w:color w:val="auto"/>
              </w:rPr>
            </w:pPr>
          </w:p>
        </w:tc>
        <w:tc>
          <w:tcPr>
            <w:tcW w:w="20" w:type="dxa"/>
            <w:vAlign w:val="bottom"/>
            <w:shd w:val="clear" w:color="auto" w:fill="D0EBF2"/>
          </w:tcPr>
          <w:p>
            <w:pPr>
              <w:spacing w:after="0"/>
              <w:rPr>
                <w:sz w:val="15"/>
                <w:szCs w:val="15"/>
                <w:color w:val="auto"/>
              </w:rPr>
            </w:pPr>
          </w:p>
        </w:tc>
        <w:tc>
          <w:tcPr>
            <w:tcW w:w="20" w:type="dxa"/>
            <w:vAlign w:val="bottom"/>
            <w:shd w:val="clear" w:color="auto" w:fill="D0EBF2"/>
          </w:tcPr>
          <w:p>
            <w:pPr>
              <w:spacing w:after="0"/>
              <w:rPr>
                <w:sz w:val="15"/>
                <w:szCs w:val="15"/>
                <w:color w:val="auto"/>
              </w:rPr>
            </w:pPr>
          </w:p>
        </w:tc>
        <w:tc>
          <w:tcPr>
            <w:tcW w:w="60" w:type="dxa"/>
            <w:vAlign w:val="bottom"/>
            <w:shd w:val="clear" w:color="auto" w:fill="D0EBF2"/>
          </w:tcPr>
          <w:p>
            <w:pPr>
              <w:spacing w:after="0"/>
              <w:rPr>
                <w:sz w:val="15"/>
                <w:szCs w:val="15"/>
                <w:color w:val="auto"/>
              </w:rPr>
            </w:pPr>
          </w:p>
        </w:tc>
        <w:tc>
          <w:tcPr>
            <w:tcW w:w="140" w:type="dxa"/>
            <w:vAlign w:val="bottom"/>
            <w:shd w:val="clear" w:color="auto" w:fill="D0EBF2"/>
          </w:tcPr>
          <w:p>
            <w:pPr>
              <w:spacing w:after="0"/>
              <w:rPr>
                <w:sz w:val="15"/>
                <w:szCs w:val="15"/>
                <w:color w:val="auto"/>
              </w:rPr>
            </w:pPr>
          </w:p>
        </w:tc>
        <w:tc>
          <w:tcPr>
            <w:tcW w:w="900" w:type="dxa"/>
            <w:vAlign w:val="bottom"/>
            <w:shd w:val="clear" w:color="auto" w:fill="D0EBF2"/>
          </w:tcPr>
          <w:p>
            <w:pPr>
              <w:spacing w:after="0"/>
              <w:rPr>
                <w:sz w:val="15"/>
                <w:szCs w:val="15"/>
                <w:color w:val="auto"/>
              </w:rPr>
            </w:pPr>
          </w:p>
        </w:tc>
        <w:tc>
          <w:tcPr>
            <w:tcW w:w="100" w:type="dxa"/>
            <w:vAlign w:val="bottom"/>
            <w:shd w:val="clear" w:color="auto" w:fill="D0EBF2"/>
          </w:tcPr>
          <w:p>
            <w:pPr>
              <w:spacing w:after="0"/>
              <w:rPr>
                <w:sz w:val="15"/>
                <w:szCs w:val="15"/>
                <w:color w:val="auto"/>
              </w:rPr>
            </w:pPr>
          </w:p>
        </w:tc>
        <w:tc>
          <w:tcPr>
            <w:tcW w:w="20" w:type="dxa"/>
            <w:vAlign w:val="bottom"/>
            <w:shd w:val="clear" w:color="auto" w:fill="D0EBF2"/>
          </w:tcPr>
          <w:p>
            <w:pPr>
              <w:spacing w:after="0"/>
              <w:rPr>
                <w:sz w:val="15"/>
                <w:szCs w:val="15"/>
                <w:color w:val="auto"/>
              </w:rPr>
            </w:pPr>
          </w:p>
        </w:tc>
        <w:tc>
          <w:tcPr>
            <w:tcW w:w="80" w:type="dxa"/>
            <w:vAlign w:val="bottom"/>
            <w:shd w:val="clear" w:color="auto" w:fill="D0EBF2"/>
          </w:tcPr>
          <w:p>
            <w:pPr>
              <w:spacing w:after="0"/>
              <w:rPr>
                <w:sz w:val="15"/>
                <w:szCs w:val="15"/>
                <w:color w:val="auto"/>
              </w:rPr>
            </w:pPr>
          </w:p>
        </w:tc>
        <w:tc>
          <w:tcPr>
            <w:tcW w:w="20" w:type="dxa"/>
            <w:vAlign w:val="bottom"/>
            <w:shd w:val="clear" w:color="auto" w:fill="D0EBF2"/>
          </w:tcPr>
          <w:p>
            <w:pPr>
              <w:spacing w:after="0"/>
              <w:rPr>
                <w:sz w:val="15"/>
                <w:szCs w:val="15"/>
                <w:color w:val="auto"/>
              </w:rPr>
            </w:pPr>
          </w:p>
        </w:tc>
        <w:tc>
          <w:tcPr>
            <w:tcW w:w="20" w:type="dxa"/>
            <w:vAlign w:val="bottom"/>
            <w:shd w:val="clear" w:color="auto" w:fill="D0EBF2"/>
          </w:tcPr>
          <w:p>
            <w:pPr>
              <w:spacing w:after="0"/>
              <w:rPr>
                <w:sz w:val="15"/>
                <w:szCs w:val="15"/>
                <w:color w:val="auto"/>
              </w:rPr>
            </w:pPr>
          </w:p>
        </w:tc>
        <w:tc>
          <w:tcPr>
            <w:tcW w:w="60" w:type="dxa"/>
            <w:vAlign w:val="bottom"/>
            <w:shd w:val="clear" w:color="auto" w:fill="D0EBF2"/>
          </w:tcPr>
          <w:p>
            <w:pPr>
              <w:spacing w:after="0"/>
              <w:rPr>
                <w:sz w:val="15"/>
                <w:szCs w:val="15"/>
                <w:color w:val="auto"/>
              </w:rPr>
            </w:pPr>
          </w:p>
        </w:tc>
        <w:tc>
          <w:tcPr>
            <w:tcW w:w="720" w:type="dxa"/>
            <w:vAlign w:val="bottom"/>
            <w:shd w:val="clear" w:color="auto" w:fill="D0EBF2"/>
          </w:tcPr>
          <w:p>
            <w:pPr>
              <w:spacing w:after="0"/>
              <w:rPr>
                <w:sz w:val="15"/>
                <w:szCs w:val="15"/>
                <w:color w:val="auto"/>
              </w:rPr>
            </w:pPr>
          </w:p>
        </w:tc>
        <w:tc>
          <w:tcPr>
            <w:tcW w:w="100" w:type="dxa"/>
            <w:vAlign w:val="bottom"/>
            <w:shd w:val="clear" w:color="auto" w:fill="D0EBF2"/>
          </w:tcPr>
          <w:p>
            <w:pPr>
              <w:spacing w:after="0"/>
              <w:rPr>
                <w:sz w:val="15"/>
                <w:szCs w:val="15"/>
                <w:color w:val="auto"/>
              </w:rPr>
            </w:pPr>
          </w:p>
        </w:tc>
        <w:tc>
          <w:tcPr>
            <w:tcW w:w="20" w:type="dxa"/>
            <w:vAlign w:val="bottom"/>
            <w:shd w:val="clear" w:color="auto" w:fill="D0EBF2"/>
          </w:tcPr>
          <w:p>
            <w:pPr>
              <w:spacing w:after="0"/>
              <w:rPr>
                <w:sz w:val="15"/>
                <w:szCs w:val="15"/>
                <w:color w:val="auto"/>
              </w:rPr>
            </w:pPr>
          </w:p>
        </w:tc>
        <w:tc>
          <w:tcPr>
            <w:tcW w:w="80" w:type="dxa"/>
            <w:vAlign w:val="bottom"/>
            <w:shd w:val="clear" w:color="auto" w:fill="D0EBF2"/>
          </w:tcPr>
          <w:p>
            <w:pPr>
              <w:spacing w:after="0"/>
              <w:rPr>
                <w:sz w:val="15"/>
                <w:szCs w:val="15"/>
                <w:color w:val="auto"/>
              </w:rPr>
            </w:pPr>
          </w:p>
        </w:tc>
        <w:tc>
          <w:tcPr>
            <w:tcW w:w="20" w:type="dxa"/>
            <w:vAlign w:val="bottom"/>
            <w:shd w:val="clear" w:color="auto" w:fill="D0EBF2"/>
          </w:tcPr>
          <w:p>
            <w:pPr>
              <w:spacing w:after="0"/>
              <w:rPr>
                <w:sz w:val="15"/>
                <w:szCs w:val="15"/>
                <w:color w:val="auto"/>
              </w:rPr>
            </w:pPr>
          </w:p>
        </w:tc>
        <w:tc>
          <w:tcPr>
            <w:tcW w:w="20" w:type="dxa"/>
            <w:vAlign w:val="bottom"/>
            <w:shd w:val="clear" w:color="auto" w:fill="D0EBF2"/>
          </w:tcPr>
          <w:p>
            <w:pPr>
              <w:spacing w:after="0"/>
              <w:rPr>
                <w:sz w:val="15"/>
                <w:szCs w:val="15"/>
                <w:color w:val="auto"/>
              </w:rPr>
            </w:pPr>
          </w:p>
        </w:tc>
        <w:tc>
          <w:tcPr>
            <w:tcW w:w="40" w:type="dxa"/>
            <w:vAlign w:val="bottom"/>
            <w:shd w:val="clear" w:color="auto" w:fill="D0EBF2"/>
          </w:tcPr>
          <w:p>
            <w:pPr>
              <w:spacing w:after="0"/>
              <w:rPr>
                <w:sz w:val="15"/>
                <w:szCs w:val="15"/>
                <w:color w:val="auto"/>
              </w:rPr>
            </w:pPr>
          </w:p>
        </w:tc>
        <w:tc>
          <w:tcPr>
            <w:tcW w:w="720" w:type="dxa"/>
            <w:vAlign w:val="bottom"/>
            <w:shd w:val="clear" w:color="auto" w:fill="D0EBF2"/>
          </w:tcPr>
          <w:p>
            <w:pPr>
              <w:spacing w:after="0"/>
              <w:rPr>
                <w:sz w:val="15"/>
                <w:szCs w:val="15"/>
                <w:color w:val="auto"/>
              </w:rPr>
            </w:pPr>
          </w:p>
        </w:tc>
        <w:tc>
          <w:tcPr>
            <w:tcW w:w="100" w:type="dxa"/>
            <w:vAlign w:val="bottom"/>
            <w:shd w:val="clear" w:color="auto" w:fill="D0EBF2"/>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3620" w:type="dxa"/>
            <w:vAlign w:val="bottom"/>
            <w:gridSpan w:val="2"/>
            <w:shd w:val="clear" w:color="auto" w:fill="FDFDFC"/>
          </w:tcPr>
          <w:p>
            <w:pPr>
              <w:ind w:left="200"/>
              <w:spacing w:after="0"/>
              <w:rPr>
                <w:sz w:val="20"/>
                <w:szCs w:val="20"/>
                <w:color w:val="auto"/>
              </w:rPr>
            </w:pPr>
            <w:r>
              <w:rPr>
                <w:rFonts w:ascii="Times New Roman" w:cs="Times New Roman" w:eastAsia="Times New Roman" w:hAnsi="Times New Roman"/>
                <w:sz w:val="14"/>
                <w:szCs w:val="14"/>
                <w:color w:val="231F20"/>
              </w:rPr>
              <w:t>Stock issued in connection with dividend reinvestment</w:t>
            </w:r>
          </w:p>
        </w:tc>
        <w:tc>
          <w:tcPr>
            <w:tcW w:w="860" w:type="dxa"/>
            <w:vAlign w:val="bottom"/>
            <w:vMerge w:val="restart"/>
            <w:shd w:val="clear" w:color="auto" w:fill="FDFDFC"/>
          </w:tcPr>
          <w:p>
            <w:pPr>
              <w:jc w:val="right"/>
              <w:spacing w:after="0"/>
              <w:rPr>
                <w:sz w:val="20"/>
                <w:szCs w:val="20"/>
                <w:color w:val="auto"/>
              </w:rPr>
            </w:pPr>
            <w:r>
              <w:rPr>
                <w:rFonts w:ascii="Times New Roman" w:cs="Times New Roman" w:eastAsia="Times New Roman" w:hAnsi="Times New Roman"/>
                <w:sz w:val="14"/>
                <w:szCs w:val="14"/>
                <w:color w:val="231F20"/>
              </w:rPr>
              <w:t>1,265,212</w:t>
            </w:r>
          </w:p>
        </w:tc>
        <w:tc>
          <w:tcPr>
            <w:tcW w:w="100" w:type="dxa"/>
            <w:vAlign w:val="bottom"/>
            <w:shd w:val="clear" w:color="auto" w:fill="FDFDFC"/>
          </w:tcPr>
          <w:p>
            <w:pPr>
              <w:spacing w:after="0"/>
              <w:rPr>
                <w:sz w:val="14"/>
                <w:szCs w:val="14"/>
                <w:color w:val="auto"/>
              </w:rPr>
            </w:pPr>
          </w:p>
        </w:tc>
        <w:tc>
          <w:tcPr>
            <w:tcW w:w="100" w:type="dxa"/>
            <w:vAlign w:val="bottom"/>
            <w:shd w:val="clear" w:color="auto" w:fill="FDFDFC"/>
          </w:tcPr>
          <w:p>
            <w:pPr>
              <w:spacing w:after="0"/>
              <w:rPr>
                <w:sz w:val="14"/>
                <w:szCs w:val="14"/>
                <w:color w:val="auto"/>
              </w:rPr>
            </w:pPr>
          </w:p>
        </w:tc>
        <w:tc>
          <w:tcPr>
            <w:tcW w:w="20" w:type="dxa"/>
            <w:vAlign w:val="bottom"/>
            <w:shd w:val="clear" w:color="auto" w:fill="FDFDFC"/>
          </w:tcPr>
          <w:p>
            <w:pPr>
              <w:spacing w:after="0"/>
              <w:rPr>
                <w:sz w:val="14"/>
                <w:szCs w:val="14"/>
                <w:color w:val="auto"/>
              </w:rPr>
            </w:pPr>
          </w:p>
        </w:tc>
        <w:tc>
          <w:tcPr>
            <w:tcW w:w="20" w:type="dxa"/>
            <w:vAlign w:val="bottom"/>
            <w:shd w:val="clear" w:color="auto" w:fill="FDFDFC"/>
          </w:tcPr>
          <w:p>
            <w:pPr>
              <w:spacing w:after="0"/>
              <w:rPr>
                <w:sz w:val="14"/>
                <w:szCs w:val="14"/>
                <w:color w:val="auto"/>
              </w:rPr>
            </w:pPr>
          </w:p>
        </w:tc>
        <w:tc>
          <w:tcPr>
            <w:tcW w:w="60" w:type="dxa"/>
            <w:vAlign w:val="bottom"/>
            <w:shd w:val="clear" w:color="auto" w:fill="FDFDFC"/>
          </w:tcPr>
          <w:p>
            <w:pPr>
              <w:spacing w:after="0"/>
              <w:rPr>
                <w:sz w:val="14"/>
                <w:szCs w:val="14"/>
                <w:color w:val="auto"/>
              </w:rPr>
            </w:pPr>
          </w:p>
        </w:tc>
        <w:tc>
          <w:tcPr>
            <w:tcW w:w="420" w:type="dxa"/>
            <w:vAlign w:val="bottom"/>
            <w:vMerge w:val="restart"/>
            <w:shd w:val="clear" w:color="auto" w:fill="FDFDFC"/>
          </w:tcPr>
          <w:p>
            <w:pPr>
              <w:jc w:val="right"/>
              <w:spacing w:after="0"/>
              <w:rPr>
                <w:sz w:val="20"/>
                <w:szCs w:val="20"/>
                <w:color w:val="auto"/>
              </w:rPr>
            </w:pPr>
            <w:r>
              <w:rPr>
                <w:rFonts w:ascii="Times New Roman" w:cs="Times New Roman" w:eastAsia="Times New Roman" w:hAnsi="Times New Roman"/>
                <w:sz w:val="14"/>
                <w:szCs w:val="14"/>
                <w:color w:val="231F20"/>
              </w:rPr>
              <w:t>12</w:t>
            </w:r>
          </w:p>
        </w:tc>
        <w:tc>
          <w:tcPr>
            <w:tcW w:w="100" w:type="dxa"/>
            <w:vAlign w:val="bottom"/>
            <w:shd w:val="clear" w:color="auto" w:fill="FDFDFC"/>
          </w:tcPr>
          <w:p>
            <w:pPr>
              <w:spacing w:after="0"/>
              <w:rPr>
                <w:sz w:val="14"/>
                <w:szCs w:val="14"/>
                <w:color w:val="auto"/>
              </w:rPr>
            </w:pPr>
          </w:p>
        </w:tc>
        <w:tc>
          <w:tcPr>
            <w:tcW w:w="20" w:type="dxa"/>
            <w:vAlign w:val="bottom"/>
            <w:shd w:val="clear" w:color="auto" w:fill="FDFDFC"/>
          </w:tcPr>
          <w:p>
            <w:pPr>
              <w:spacing w:after="0"/>
              <w:rPr>
                <w:sz w:val="14"/>
                <w:szCs w:val="14"/>
                <w:color w:val="auto"/>
              </w:rPr>
            </w:pPr>
          </w:p>
        </w:tc>
        <w:tc>
          <w:tcPr>
            <w:tcW w:w="80" w:type="dxa"/>
            <w:vAlign w:val="bottom"/>
            <w:shd w:val="clear" w:color="auto" w:fill="FDFDFC"/>
          </w:tcPr>
          <w:p>
            <w:pPr>
              <w:spacing w:after="0"/>
              <w:rPr>
                <w:sz w:val="14"/>
                <w:szCs w:val="14"/>
                <w:color w:val="auto"/>
              </w:rPr>
            </w:pPr>
          </w:p>
        </w:tc>
        <w:tc>
          <w:tcPr>
            <w:tcW w:w="20" w:type="dxa"/>
            <w:vAlign w:val="bottom"/>
            <w:shd w:val="clear" w:color="auto" w:fill="FDFDFC"/>
          </w:tcPr>
          <w:p>
            <w:pPr>
              <w:spacing w:after="0"/>
              <w:rPr>
                <w:sz w:val="14"/>
                <w:szCs w:val="14"/>
                <w:color w:val="auto"/>
              </w:rPr>
            </w:pPr>
          </w:p>
        </w:tc>
        <w:tc>
          <w:tcPr>
            <w:tcW w:w="20" w:type="dxa"/>
            <w:vAlign w:val="bottom"/>
            <w:shd w:val="clear" w:color="auto" w:fill="FDFDFC"/>
          </w:tcPr>
          <w:p>
            <w:pPr>
              <w:spacing w:after="0"/>
              <w:rPr>
                <w:sz w:val="14"/>
                <w:szCs w:val="14"/>
                <w:color w:val="auto"/>
              </w:rPr>
            </w:pPr>
          </w:p>
        </w:tc>
        <w:tc>
          <w:tcPr>
            <w:tcW w:w="660" w:type="dxa"/>
            <w:vAlign w:val="bottom"/>
            <w:vMerge w:val="restart"/>
            <w:shd w:val="clear" w:color="auto" w:fill="FDFDFC"/>
          </w:tcPr>
          <w:p>
            <w:pPr>
              <w:jc w:val="right"/>
              <w:spacing w:after="0"/>
              <w:rPr>
                <w:sz w:val="20"/>
                <w:szCs w:val="20"/>
                <w:color w:val="auto"/>
              </w:rPr>
            </w:pPr>
            <w:r>
              <w:rPr>
                <w:rFonts w:ascii="Times New Roman" w:cs="Times New Roman" w:eastAsia="Times New Roman" w:hAnsi="Times New Roman"/>
                <w:sz w:val="14"/>
                <w:szCs w:val="14"/>
                <w:color w:val="231F20"/>
              </w:rPr>
              <w:t>—</w:t>
            </w:r>
          </w:p>
        </w:tc>
        <w:tc>
          <w:tcPr>
            <w:tcW w:w="100" w:type="dxa"/>
            <w:vAlign w:val="bottom"/>
            <w:shd w:val="clear" w:color="auto" w:fill="FDFDFC"/>
          </w:tcPr>
          <w:p>
            <w:pPr>
              <w:spacing w:after="0"/>
              <w:rPr>
                <w:sz w:val="14"/>
                <w:szCs w:val="14"/>
                <w:color w:val="auto"/>
              </w:rPr>
            </w:pPr>
          </w:p>
        </w:tc>
        <w:tc>
          <w:tcPr>
            <w:tcW w:w="20" w:type="dxa"/>
            <w:vAlign w:val="bottom"/>
            <w:shd w:val="clear" w:color="auto" w:fill="FDFDFC"/>
          </w:tcPr>
          <w:p>
            <w:pPr>
              <w:spacing w:after="0"/>
              <w:rPr>
                <w:sz w:val="14"/>
                <w:szCs w:val="14"/>
                <w:color w:val="auto"/>
              </w:rPr>
            </w:pPr>
          </w:p>
        </w:tc>
        <w:tc>
          <w:tcPr>
            <w:tcW w:w="80" w:type="dxa"/>
            <w:vAlign w:val="bottom"/>
            <w:shd w:val="clear" w:color="auto" w:fill="FDFDFC"/>
          </w:tcPr>
          <w:p>
            <w:pPr>
              <w:spacing w:after="0"/>
              <w:rPr>
                <w:sz w:val="14"/>
                <w:szCs w:val="14"/>
                <w:color w:val="auto"/>
              </w:rPr>
            </w:pPr>
          </w:p>
        </w:tc>
        <w:tc>
          <w:tcPr>
            <w:tcW w:w="20" w:type="dxa"/>
            <w:vAlign w:val="bottom"/>
            <w:shd w:val="clear" w:color="auto" w:fill="FDFDFC"/>
          </w:tcPr>
          <w:p>
            <w:pPr>
              <w:spacing w:after="0"/>
              <w:rPr>
                <w:sz w:val="14"/>
                <w:szCs w:val="14"/>
                <w:color w:val="auto"/>
              </w:rPr>
            </w:pPr>
          </w:p>
        </w:tc>
        <w:tc>
          <w:tcPr>
            <w:tcW w:w="20" w:type="dxa"/>
            <w:vAlign w:val="bottom"/>
            <w:shd w:val="clear" w:color="auto" w:fill="FDFDFC"/>
          </w:tcPr>
          <w:p>
            <w:pPr>
              <w:spacing w:after="0"/>
              <w:rPr>
                <w:sz w:val="14"/>
                <w:szCs w:val="14"/>
                <w:color w:val="auto"/>
              </w:rPr>
            </w:pPr>
          </w:p>
        </w:tc>
        <w:tc>
          <w:tcPr>
            <w:tcW w:w="60" w:type="dxa"/>
            <w:vAlign w:val="bottom"/>
            <w:shd w:val="clear" w:color="auto" w:fill="FDFDFC"/>
          </w:tcPr>
          <w:p>
            <w:pPr>
              <w:spacing w:after="0"/>
              <w:rPr>
                <w:sz w:val="14"/>
                <w:szCs w:val="14"/>
                <w:color w:val="auto"/>
              </w:rPr>
            </w:pPr>
          </w:p>
        </w:tc>
        <w:tc>
          <w:tcPr>
            <w:tcW w:w="620" w:type="dxa"/>
            <w:vAlign w:val="bottom"/>
            <w:gridSpan w:val="4"/>
            <w:vMerge w:val="restart"/>
            <w:shd w:val="clear" w:color="auto" w:fill="FDFDFC"/>
          </w:tcPr>
          <w:p>
            <w:pPr>
              <w:jc w:val="right"/>
              <w:ind w:right="160"/>
              <w:spacing w:after="0"/>
              <w:rPr>
                <w:sz w:val="20"/>
                <w:szCs w:val="20"/>
                <w:color w:val="auto"/>
              </w:rPr>
            </w:pPr>
            <w:r>
              <w:rPr>
                <w:rFonts w:ascii="Times New Roman" w:cs="Times New Roman" w:eastAsia="Times New Roman" w:hAnsi="Times New Roman"/>
                <w:sz w:val="14"/>
                <w:szCs w:val="14"/>
                <w:color w:val="231F20"/>
              </w:rPr>
              <w:t>—</w:t>
            </w:r>
          </w:p>
        </w:tc>
        <w:tc>
          <w:tcPr>
            <w:tcW w:w="60" w:type="dxa"/>
            <w:vAlign w:val="bottom"/>
            <w:shd w:val="clear" w:color="auto" w:fill="FDFDFC"/>
          </w:tcPr>
          <w:p>
            <w:pPr>
              <w:spacing w:after="0"/>
              <w:rPr>
                <w:sz w:val="14"/>
                <w:szCs w:val="14"/>
                <w:color w:val="auto"/>
              </w:rPr>
            </w:pPr>
          </w:p>
        </w:tc>
        <w:tc>
          <w:tcPr>
            <w:tcW w:w="140" w:type="dxa"/>
            <w:vAlign w:val="bottom"/>
            <w:shd w:val="clear" w:color="auto" w:fill="FDFDFC"/>
          </w:tcPr>
          <w:p>
            <w:pPr>
              <w:spacing w:after="0"/>
              <w:rPr>
                <w:sz w:val="14"/>
                <w:szCs w:val="14"/>
                <w:color w:val="auto"/>
              </w:rPr>
            </w:pPr>
          </w:p>
        </w:tc>
        <w:tc>
          <w:tcPr>
            <w:tcW w:w="900" w:type="dxa"/>
            <w:vAlign w:val="bottom"/>
            <w:vMerge w:val="restart"/>
            <w:shd w:val="clear" w:color="auto" w:fill="FDFDFC"/>
          </w:tcPr>
          <w:p>
            <w:pPr>
              <w:jc w:val="right"/>
              <w:spacing w:after="0"/>
              <w:rPr>
                <w:sz w:val="20"/>
                <w:szCs w:val="20"/>
                <w:color w:val="auto"/>
              </w:rPr>
            </w:pPr>
            <w:r>
              <w:rPr>
                <w:rFonts w:ascii="Times New Roman" w:cs="Times New Roman" w:eastAsia="Times New Roman" w:hAnsi="Times New Roman"/>
                <w:sz w:val="14"/>
                <w:szCs w:val="14"/>
                <w:color w:val="231F20"/>
              </w:rPr>
              <w:t>23,533</w:t>
            </w:r>
          </w:p>
        </w:tc>
        <w:tc>
          <w:tcPr>
            <w:tcW w:w="100" w:type="dxa"/>
            <w:vAlign w:val="bottom"/>
            <w:shd w:val="clear" w:color="auto" w:fill="FDFDFC"/>
          </w:tcPr>
          <w:p>
            <w:pPr>
              <w:spacing w:after="0"/>
              <w:rPr>
                <w:sz w:val="14"/>
                <w:szCs w:val="14"/>
                <w:color w:val="auto"/>
              </w:rPr>
            </w:pPr>
          </w:p>
        </w:tc>
        <w:tc>
          <w:tcPr>
            <w:tcW w:w="20" w:type="dxa"/>
            <w:vAlign w:val="bottom"/>
            <w:shd w:val="clear" w:color="auto" w:fill="FDFDFC"/>
          </w:tcPr>
          <w:p>
            <w:pPr>
              <w:spacing w:after="0"/>
              <w:rPr>
                <w:sz w:val="14"/>
                <w:szCs w:val="14"/>
                <w:color w:val="auto"/>
              </w:rPr>
            </w:pPr>
          </w:p>
        </w:tc>
        <w:tc>
          <w:tcPr>
            <w:tcW w:w="80" w:type="dxa"/>
            <w:vAlign w:val="bottom"/>
            <w:shd w:val="clear" w:color="auto" w:fill="FDFDFC"/>
          </w:tcPr>
          <w:p>
            <w:pPr>
              <w:spacing w:after="0"/>
              <w:rPr>
                <w:sz w:val="14"/>
                <w:szCs w:val="14"/>
                <w:color w:val="auto"/>
              </w:rPr>
            </w:pPr>
          </w:p>
        </w:tc>
        <w:tc>
          <w:tcPr>
            <w:tcW w:w="20" w:type="dxa"/>
            <w:vAlign w:val="bottom"/>
            <w:shd w:val="clear" w:color="auto" w:fill="FDFDFC"/>
          </w:tcPr>
          <w:p>
            <w:pPr>
              <w:spacing w:after="0"/>
              <w:rPr>
                <w:sz w:val="14"/>
                <w:szCs w:val="14"/>
                <w:color w:val="auto"/>
              </w:rPr>
            </w:pPr>
          </w:p>
        </w:tc>
        <w:tc>
          <w:tcPr>
            <w:tcW w:w="20" w:type="dxa"/>
            <w:vAlign w:val="bottom"/>
            <w:shd w:val="clear" w:color="auto" w:fill="FDFDFC"/>
          </w:tcPr>
          <w:p>
            <w:pPr>
              <w:spacing w:after="0"/>
              <w:rPr>
                <w:sz w:val="14"/>
                <w:szCs w:val="14"/>
                <w:color w:val="auto"/>
              </w:rPr>
            </w:pPr>
          </w:p>
        </w:tc>
        <w:tc>
          <w:tcPr>
            <w:tcW w:w="60" w:type="dxa"/>
            <w:vAlign w:val="bottom"/>
            <w:shd w:val="clear" w:color="auto" w:fill="FDFDFC"/>
          </w:tcPr>
          <w:p>
            <w:pPr>
              <w:spacing w:after="0"/>
              <w:rPr>
                <w:sz w:val="14"/>
                <w:szCs w:val="14"/>
                <w:color w:val="auto"/>
              </w:rPr>
            </w:pPr>
          </w:p>
        </w:tc>
        <w:tc>
          <w:tcPr>
            <w:tcW w:w="960" w:type="dxa"/>
            <w:vAlign w:val="bottom"/>
            <w:gridSpan w:val="6"/>
            <w:vMerge w:val="restart"/>
            <w:shd w:val="clear" w:color="auto" w:fill="FDFDFC"/>
          </w:tcPr>
          <w:p>
            <w:pPr>
              <w:jc w:val="right"/>
              <w:ind w:right="260"/>
              <w:spacing w:after="0"/>
              <w:rPr>
                <w:sz w:val="20"/>
                <w:szCs w:val="20"/>
                <w:color w:val="auto"/>
              </w:rPr>
            </w:pPr>
            <w:r>
              <w:rPr>
                <w:rFonts w:ascii="Times New Roman" w:cs="Times New Roman" w:eastAsia="Times New Roman" w:hAnsi="Times New Roman"/>
                <w:sz w:val="14"/>
                <w:szCs w:val="14"/>
                <w:color w:val="231F20"/>
              </w:rPr>
              <w:t>—</w:t>
            </w:r>
          </w:p>
        </w:tc>
        <w:tc>
          <w:tcPr>
            <w:tcW w:w="40" w:type="dxa"/>
            <w:vAlign w:val="bottom"/>
            <w:shd w:val="clear" w:color="auto" w:fill="FDFDFC"/>
          </w:tcPr>
          <w:p>
            <w:pPr>
              <w:spacing w:after="0"/>
              <w:rPr>
                <w:sz w:val="14"/>
                <w:szCs w:val="14"/>
                <w:color w:val="auto"/>
              </w:rPr>
            </w:pPr>
          </w:p>
        </w:tc>
        <w:tc>
          <w:tcPr>
            <w:tcW w:w="720" w:type="dxa"/>
            <w:vAlign w:val="bottom"/>
            <w:vMerge w:val="restart"/>
            <w:shd w:val="clear" w:color="auto" w:fill="FDFDFC"/>
          </w:tcPr>
          <w:p>
            <w:pPr>
              <w:jc w:val="right"/>
              <w:spacing w:after="0"/>
              <w:rPr>
                <w:sz w:val="20"/>
                <w:szCs w:val="20"/>
                <w:color w:val="auto"/>
              </w:rPr>
            </w:pPr>
            <w:r>
              <w:rPr>
                <w:rFonts w:ascii="Times New Roman" w:cs="Times New Roman" w:eastAsia="Times New Roman" w:hAnsi="Times New Roman"/>
                <w:sz w:val="14"/>
                <w:szCs w:val="14"/>
                <w:color w:val="231F20"/>
              </w:rPr>
              <w:t>23,545</w:t>
            </w:r>
          </w:p>
        </w:tc>
        <w:tc>
          <w:tcPr>
            <w:tcW w:w="100" w:type="dxa"/>
            <w:vAlign w:val="bottom"/>
            <w:shd w:val="clear" w:color="auto" w:fill="FDFDFC"/>
          </w:tcPr>
          <w:p>
            <w:pPr>
              <w:spacing w:after="0"/>
              <w:rPr>
                <w:sz w:val="14"/>
                <w:szCs w:val="14"/>
                <w:color w:val="auto"/>
              </w:rPr>
            </w:pPr>
          </w:p>
        </w:tc>
        <w:tc>
          <w:tcPr>
            <w:tcW w:w="0" w:type="dxa"/>
            <w:vAlign w:val="bottom"/>
          </w:tcPr>
          <w:p>
            <w:pPr>
              <w:spacing w:after="0"/>
              <w:rPr>
                <w:sz w:val="1"/>
                <w:szCs w:val="1"/>
                <w:color w:val="auto"/>
              </w:rPr>
            </w:pPr>
          </w:p>
        </w:tc>
      </w:tr>
      <w:tr>
        <w:trPr>
          <w:trHeight w:val="177"/>
        </w:trPr>
        <w:tc>
          <w:tcPr>
            <w:tcW w:w="3620" w:type="dxa"/>
            <w:vAlign w:val="bottom"/>
            <w:gridSpan w:val="2"/>
            <w:shd w:val="clear" w:color="auto" w:fill="FDFDFC"/>
          </w:tcPr>
          <w:p>
            <w:pPr>
              <w:ind w:left="200"/>
              <w:spacing w:after="0"/>
              <w:rPr>
                <w:sz w:val="20"/>
                <w:szCs w:val="20"/>
                <w:color w:val="auto"/>
              </w:rPr>
            </w:pPr>
            <w:r>
              <w:rPr>
                <w:rFonts w:ascii="Times New Roman" w:cs="Times New Roman" w:eastAsia="Times New Roman" w:hAnsi="Times New Roman"/>
                <w:sz w:val="14"/>
                <w:szCs w:val="14"/>
                <w:color w:val="231F20"/>
              </w:rPr>
              <w:t>plan</w:t>
            </w:r>
          </w:p>
        </w:tc>
        <w:tc>
          <w:tcPr>
            <w:tcW w:w="860" w:type="dxa"/>
            <w:vAlign w:val="bottom"/>
            <w:vMerge w:val="continue"/>
            <w:shd w:val="clear" w:color="auto" w:fill="FDFDFC"/>
          </w:tcPr>
          <w:p>
            <w:pPr>
              <w:spacing w:after="0"/>
              <w:rPr>
                <w:sz w:val="15"/>
                <w:szCs w:val="15"/>
                <w:color w:val="auto"/>
              </w:rPr>
            </w:pPr>
          </w:p>
        </w:tc>
        <w:tc>
          <w:tcPr>
            <w:tcW w:w="100" w:type="dxa"/>
            <w:vAlign w:val="bottom"/>
            <w:shd w:val="clear" w:color="auto" w:fill="FDFDFC"/>
          </w:tcPr>
          <w:p>
            <w:pPr>
              <w:spacing w:after="0"/>
              <w:rPr>
                <w:sz w:val="15"/>
                <w:szCs w:val="15"/>
                <w:color w:val="auto"/>
              </w:rPr>
            </w:pPr>
          </w:p>
        </w:tc>
        <w:tc>
          <w:tcPr>
            <w:tcW w:w="100" w:type="dxa"/>
            <w:vAlign w:val="bottom"/>
            <w:shd w:val="clear" w:color="auto" w:fill="FDFDFC"/>
          </w:tcPr>
          <w:p>
            <w:pPr>
              <w:spacing w:after="0"/>
              <w:rPr>
                <w:sz w:val="15"/>
                <w:szCs w:val="15"/>
                <w:color w:val="auto"/>
              </w:rPr>
            </w:pPr>
          </w:p>
        </w:tc>
        <w:tc>
          <w:tcPr>
            <w:tcW w:w="20" w:type="dxa"/>
            <w:vAlign w:val="bottom"/>
            <w:shd w:val="clear" w:color="auto" w:fill="FDFDFC"/>
          </w:tcPr>
          <w:p>
            <w:pPr>
              <w:spacing w:after="0"/>
              <w:rPr>
                <w:sz w:val="15"/>
                <w:szCs w:val="15"/>
                <w:color w:val="auto"/>
              </w:rPr>
            </w:pPr>
          </w:p>
        </w:tc>
        <w:tc>
          <w:tcPr>
            <w:tcW w:w="20" w:type="dxa"/>
            <w:vAlign w:val="bottom"/>
            <w:shd w:val="clear" w:color="auto" w:fill="FDFDFC"/>
          </w:tcPr>
          <w:p>
            <w:pPr>
              <w:spacing w:after="0"/>
              <w:rPr>
                <w:sz w:val="15"/>
                <w:szCs w:val="15"/>
                <w:color w:val="auto"/>
              </w:rPr>
            </w:pPr>
          </w:p>
        </w:tc>
        <w:tc>
          <w:tcPr>
            <w:tcW w:w="60" w:type="dxa"/>
            <w:vAlign w:val="bottom"/>
            <w:shd w:val="clear" w:color="auto" w:fill="FDFDFC"/>
          </w:tcPr>
          <w:p>
            <w:pPr>
              <w:spacing w:after="0"/>
              <w:rPr>
                <w:sz w:val="15"/>
                <w:szCs w:val="15"/>
                <w:color w:val="auto"/>
              </w:rPr>
            </w:pPr>
          </w:p>
        </w:tc>
        <w:tc>
          <w:tcPr>
            <w:tcW w:w="420" w:type="dxa"/>
            <w:vAlign w:val="bottom"/>
            <w:vMerge w:val="continue"/>
            <w:shd w:val="clear" w:color="auto" w:fill="FDFDFC"/>
          </w:tcPr>
          <w:p>
            <w:pPr>
              <w:spacing w:after="0"/>
              <w:rPr>
                <w:sz w:val="15"/>
                <w:szCs w:val="15"/>
                <w:color w:val="auto"/>
              </w:rPr>
            </w:pPr>
          </w:p>
        </w:tc>
        <w:tc>
          <w:tcPr>
            <w:tcW w:w="100" w:type="dxa"/>
            <w:vAlign w:val="bottom"/>
            <w:shd w:val="clear" w:color="auto" w:fill="FDFDFC"/>
          </w:tcPr>
          <w:p>
            <w:pPr>
              <w:spacing w:after="0"/>
              <w:rPr>
                <w:sz w:val="15"/>
                <w:szCs w:val="15"/>
                <w:color w:val="auto"/>
              </w:rPr>
            </w:pPr>
          </w:p>
        </w:tc>
        <w:tc>
          <w:tcPr>
            <w:tcW w:w="20" w:type="dxa"/>
            <w:vAlign w:val="bottom"/>
            <w:shd w:val="clear" w:color="auto" w:fill="FDFDFC"/>
          </w:tcPr>
          <w:p>
            <w:pPr>
              <w:spacing w:after="0"/>
              <w:rPr>
                <w:sz w:val="15"/>
                <w:szCs w:val="15"/>
                <w:color w:val="auto"/>
              </w:rPr>
            </w:pPr>
          </w:p>
        </w:tc>
        <w:tc>
          <w:tcPr>
            <w:tcW w:w="80" w:type="dxa"/>
            <w:vAlign w:val="bottom"/>
            <w:shd w:val="clear" w:color="auto" w:fill="FDFDFC"/>
          </w:tcPr>
          <w:p>
            <w:pPr>
              <w:spacing w:after="0"/>
              <w:rPr>
                <w:sz w:val="15"/>
                <w:szCs w:val="15"/>
                <w:color w:val="auto"/>
              </w:rPr>
            </w:pPr>
          </w:p>
        </w:tc>
        <w:tc>
          <w:tcPr>
            <w:tcW w:w="20" w:type="dxa"/>
            <w:vAlign w:val="bottom"/>
            <w:shd w:val="clear" w:color="auto" w:fill="FDFDFC"/>
          </w:tcPr>
          <w:p>
            <w:pPr>
              <w:spacing w:after="0"/>
              <w:rPr>
                <w:sz w:val="15"/>
                <w:szCs w:val="15"/>
                <w:color w:val="auto"/>
              </w:rPr>
            </w:pPr>
          </w:p>
        </w:tc>
        <w:tc>
          <w:tcPr>
            <w:tcW w:w="20" w:type="dxa"/>
            <w:vAlign w:val="bottom"/>
            <w:shd w:val="clear" w:color="auto" w:fill="FDFDFC"/>
          </w:tcPr>
          <w:p>
            <w:pPr>
              <w:spacing w:after="0"/>
              <w:rPr>
                <w:sz w:val="15"/>
                <w:szCs w:val="15"/>
                <w:color w:val="auto"/>
              </w:rPr>
            </w:pPr>
          </w:p>
        </w:tc>
        <w:tc>
          <w:tcPr>
            <w:tcW w:w="660" w:type="dxa"/>
            <w:vAlign w:val="bottom"/>
            <w:vMerge w:val="continue"/>
            <w:shd w:val="clear" w:color="auto" w:fill="FDFDFC"/>
          </w:tcPr>
          <w:p>
            <w:pPr>
              <w:spacing w:after="0"/>
              <w:rPr>
                <w:sz w:val="15"/>
                <w:szCs w:val="15"/>
                <w:color w:val="auto"/>
              </w:rPr>
            </w:pPr>
          </w:p>
        </w:tc>
        <w:tc>
          <w:tcPr>
            <w:tcW w:w="100" w:type="dxa"/>
            <w:vAlign w:val="bottom"/>
            <w:shd w:val="clear" w:color="auto" w:fill="FDFDFC"/>
          </w:tcPr>
          <w:p>
            <w:pPr>
              <w:spacing w:after="0"/>
              <w:rPr>
                <w:sz w:val="15"/>
                <w:szCs w:val="15"/>
                <w:color w:val="auto"/>
              </w:rPr>
            </w:pPr>
          </w:p>
        </w:tc>
        <w:tc>
          <w:tcPr>
            <w:tcW w:w="20" w:type="dxa"/>
            <w:vAlign w:val="bottom"/>
            <w:shd w:val="clear" w:color="auto" w:fill="FDFDFC"/>
          </w:tcPr>
          <w:p>
            <w:pPr>
              <w:spacing w:after="0"/>
              <w:rPr>
                <w:sz w:val="15"/>
                <w:szCs w:val="15"/>
                <w:color w:val="auto"/>
              </w:rPr>
            </w:pPr>
          </w:p>
        </w:tc>
        <w:tc>
          <w:tcPr>
            <w:tcW w:w="80" w:type="dxa"/>
            <w:vAlign w:val="bottom"/>
            <w:shd w:val="clear" w:color="auto" w:fill="FDFDFC"/>
          </w:tcPr>
          <w:p>
            <w:pPr>
              <w:spacing w:after="0"/>
              <w:rPr>
                <w:sz w:val="15"/>
                <w:szCs w:val="15"/>
                <w:color w:val="auto"/>
              </w:rPr>
            </w:pPr>
          </w:p>
        </w:tc>
        <w:tc>
          <w:tcPr>
            <w:tcW w:w="20" w:type="dxa"/>
            <w:vAlign w:val="bottom"/>
            <w:shd w:val="clear" w:color="auto" w:fill="FDFDFC"/>
          </w:tcPr>
          <w:p>
            <w:pPr>
              <w:spacing w:after="0"/>
              <w:rPr>
                <w:sz w:val="15"/>
                <w:szCs w:val="15"/>
                <w:color w:val="auto"/>
              </w:rPr>
            </w:pPr>
          </w:p>
        </w:tc>
        <w:tc>
          <w:tcPr>
            <w:tcW w:w="20" w:type="dxa"/>
            <w:vAlign w:val="bottom"/>
            <w:shd w:val="clear" w:color="auto" w:fill="FDFDFC"/>
          </w:tcPr>
          <w:p>
            <w:pPr>
              <w:spacing w:after="0"/>
              <w:rPr>
                <w:sz w:val="15"/>
                <w:szCs w:val="15"/>
                <w:color w:val="auto"/>
              </w:rPr>
            </w:pPr>
          </w:p>
        </w:tc>
        <w:tc>
          <w:tcPr>
            <w:tcW w:w="60" w:type="dxa"/>
            <w:vAlign w:val="bottom"/>
            <w:shd w:val="clear" w:color="auto" w:fill="FDFDFC"/>
          </w:tcPr>
          <w:p>
            <w:pPr>
              <w:spacing w:after="0"/>
              <w:rPr>
                <w:sz w:val="15"/>
                <w:szCs w:val="15"/>
                <w:color w:val="auto"/>
              </w:rPr>
            </w:pPr>
          </w:p>
        </w:tc>
        <w:tc>
          <w:tcPr>
            <w:tcW w:w="620" w:type="dxa"/>
            <w:vAlign w:val="bottom"/>
            <w:gridSpan w:val="4"/>
            <w:vMerge w:val="continue"/>
            <w:shd w:val="clear" w:color="auto" w:fill="FDFDFC"/>
          </w:tcPr>
          <w:p>
            <w:pPr>
              <w:spacing w:after="0"/>
              <w:rPr>
                <w:sz w:val="15"/>
                <w:szCs w:val="15"/>
                <w:color w:val="auto"/>
              </w:rPr>
            </w:pPr>
          </w:p>
        </w:tc>
        <w:tc>
          <w:tcPr>
            <w:tcW w:w="60" w:type="dxa"/>
            <w:vAlign w:val="bottom"/>
            <w:shd w:val="clear" w:color="auto" w:fill="FDFDFC"/>
          </w:tcPr>
          <w:p>
            <w:pPr>
              <w:spacing w:after="0"/>
              <w:rPr>
                <w:sz w:val="15"/>
                <w:szCs w:val="15"/>
                <w:color w:val="auto"/>
              </w:rPr>
            </w:pPr>
          </w:p>
        </w:tc>
        <w:tc>
          <w:tcPr>
            <w:tcW w:w="140" w:type="dxa"/>
            <w:vAlign w:val="bottom"/>
            <w:shd w:val="clear" w:color="auto" w:fill="FDFDFC"/>
          </w:tcPr>
          <w:p>
            <w:pPr>
              <w:spacing w:after="0"/>
              <w:rPr>
                <w:sz w:val="15"/>
                <w:szCs w:val="15"/>
                <w:color w:val="auto"/>
              </w:rPr>
            </w:pPr>
          </w:p>
        </w:tc>
        <w:tc>
          <w:tcPr>
            <w:tcW w:w="900" w:type="dxa"/>
            <w:vAlign w:val="bottom"/>
            <w:vMerge w:val="continue"/>
            <w:shd w:val="clear" w:color="auto" w:fill="FDFDFC"/>
          </w:tcPr>
          <w:p>
            <w:pPr>
              <w:spacing w:after="0"/>
              <w:rPr>
                <w:sz w:val="15"/>
                <w:szCs w:val="15"/>
                <w:color w:val="auto"/>
              </w:rPr>
            </w:pPr>
          </w:p>
        </w:tc>
        <w:tc>
          <w:tcPr>
            <w:tcW w:w="100" w:type="dxa"/>
            <w:vAlign w:val="bottom"/>
            <w:shd w:val="clear" w:color="auto" w:fill="FDFDFC"/>
          </w:tcPr>
          <w:p>
            <w:pPr>
              <w:spacing w:after="0"/>
              <w:rPr>
                <w:sz w:val="15"/>
                <w:szCs w:val="15"/>
                <w:color w:val="auto"/>
              </w:rPr>
            </w:pPr>
          </w:p>
        </w:tc>
        <w:tc>
          <w:tcPr>
            <w:tcW w:w="20" w:type="dxa"/>
            <w:vAlign w:val="bottom"/>
            <w:shd w:val="clear" w:color="auto" w:fill="FDFDFC"/>
          </w:tcPr>
          <w:p>
            <w:pPr>
              <w:spacing w:after="0"/>
              <w:rPr>
                <w:sz w:val="15"/>
                <w:szCs w:val="15"/>
                <w:color w:val="auto"/>
              </w:rPr>
            </w:pPr>
          </w:p>
        </w:tc>
        <w:tc>
          <w:tcPr>
            <w:tcW w:w="80" w:type="dxa"/>
            <w:vAlign w:val="bottom"/>
            <w:shd w:val="clear" w:color="auto" w:fill="FDFDFC"/>
          </w:tcPr>
          <w:p>
            <w:pPr>
              <w:spacing w:after="0"/>
              <w:rPr>
                <w:sz w:val="15"/>
                <w:szCs w:val="15"/>
                <w:color w:val="auto"/>
              </w:rPr>
            </w:pPr>
          </w:p>
        </w:tc>
        <w:tc>
          <w:tcPr>
            <w:tcW w:w="20" w:type="dxa"/>
            <w:vAlign w:val="bottom"/>
            <w:shd w:val="clear" w:color="auto" w:fill="FDFDFC"/>
          </w:tcPr>
          <w:p>
            <w:pPr>
              <w:spacing w:after="0"/>
              <w:rPr>
                <w:sz w:val="15"/>
                <w:szCs w:val="15"/>
                <w:color w:val="auto"/>
              </w:rPr>
            </w:pPr>
          </w:p>
        </w:tc>
        <w:tc>
          <w:tcPr>
            <w:tcW w:w="20" w:type="dxa"/>
            <w:vAlign w:val="bottom"/>
            <w:shd w:val="clear" w:color="auto" w:fill="FDFDFC"/>
          </w:tcPr>
          <w:p>
            <w:pPr>
              <w:spacing w:after="0"/>
              <w:rPr>
                <w:sz w:val="15"/>
                <w:szCs w:val="15"/>
                <w:color w:val="auto"/>
              </w:rPr>
            </w:pPr>
          </w:p>
        </w:tc>
        <w:tc>
          <w:tcPr>
            <w:tcW w:w="60" w:type="dxa"/>
            <w:vAlign w:val="bottom"/>
            <w:shd w:val="clear" w:color="auto" w:fill="FDFDFC"/>
          </w:tcPr>
          <w:p>
            <w:pPr>
              <w:spacing w:after="0"/>
              <w:rPr>
                <w:sz w:val="15"/>
                <w:szCs w:val="15"/>
                <w:color w:val="auto"/>
              </w:rPr>
            </w:pPr>
          </w:p>
        </w:tc>
        <w:tc>
          <w:tcPr>
            <w:tcW w:w="960" w:type="dxa"/>
            <w:vAlign w:val="bottom"/>
            <w:gridSpan w:val="6"/>
            <w:vMerge w:val="continue"/>
            <w:shd w:val="clear" w:color="auto" w:fill="FDFDFC"/>
          </w:tcPr>
          <w:p>
            <w:pPr>
              <w:spacing w:after="0"/>
              <w:rPr>
                <w:sz w:val="15"/>
                <w:szCs w:val="15"/>
                <w:color w:val="auto"/>
              </w:rPr>
            </w:pPr>
          </w:p>
        </w:tc>
        <w:tc>
          <w:tcPr>
            <w:tcW w:w="40" w:type="dxa"/>
            <w:vAlign w:val="bottom"/>
            <w:shd w:val="clear" w:color="auto" w:fill="FDFDFC"/>
          </w:tcPr>
          <w:p>
            <w:pPr>
              <w:spacing w:after="0"/>
              <w:rPr>
                <w:sz w:val="15"/>
                <w:szCs w:val="15"/>
                <w:color w:val="auto"/>
              </w:rPr>
            </w:pPr>
          </w:p>
        </w:tc>
        <w:tc>
          <w:tcPr>
            <w:tcW w:w="720" w:type="dxa"/>
            <w:vAlign w:val="bottom"/>
            <w:vMerge w:val="continue"/>
            <w:shd w:val="clear" w:color="auto" w:fill="FDFDFC"/>
          </w:tcPr>
          <w:p>
            <w:pPr>
              <w:spacing w:after="0"/>
              <w:rPr>
                <w:sz w:val="15"/>
                <w:szCs w:val="15"/>
                <w:color w:val="auto"/>
              </w:rPr>
            </w:pPr>
          </w:p>
        </w:tc>
        <w:tc>
          <w:tcPr>
            <w:tcW w:w="100" w:type="dxa"/>
            <w:vAlign w:val="bottom"/>
            <w:shd w:val="clear" w:color="auto" w:fill="FDFD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620" w:type="dxa"/>
            <w:vAlign w:val="bottom"/>
            <w:gridSpan w:val="2"/>
            <w:shd w:val="clear" w:color="auto" w:fill="D0EBF2"/>
          </w:tcPr>
          <w:p>
            <w:pPr>
              <w:ind w:left="200"/>
              <w:spacing w:after="0"/>
              <w:rPr>
                <w:sz w:val="20"/>
                <w:szCs w:val="20"/>
                <w:color w:val="auto"/>
              </w:rPr>
            </w:pPr>
            <w:r>
              <w:rPr>
                <w:rFonts w:ascii="Times New Roman" w:cs="Times New Roman" w:eastAsia="Times New Roman" w:hAnsi="Times New Roman"/>
                <w:sz w:val="14"/>
                <w:szCs w:val="14"/>
                <w:color w:val="231F20"/>
              </w:rPr>
              <w:t>Dividends declared from distributable earnings</w:t>
            </w:r>
          </w:p>
        </w:tc>
        <w:tc>
          <w:tcPr>
            <w:tcW w:w="860" w:type="dxa"/>
            <w:vAlign w:val="bottom"/>
            <w:shd w:val="clear" w:color="auto" w:fill="D0EBF2"/>
          </w:tcPr>
          <w:p>
            <w:pPr>
              <w:jc w:val="right"/>
              <w:spacing w:after="0"/>
              <w:rPr>
                <w:sz w:val="20"/>
                <w:szCs w:val="20"/>
                <w:color w:val="auto"/>
              </w:rPr>
            </w:pPr>
            <w:r>
              <w:rPr>
                <w:rFonts w:ascii="Times New Roman" w:cs="Times New Roman" w:eastAsia="Times New Roman" w:hAnsi="Times New Roman"/>
                <w:sz w:val="14"/>
                <w:szCs w:val="14"/>
                <w:color w:val="231F20"/>
              </w:rPr>
              <w:t>—</w:t>
            </w:r>
          </w:p>
        </w:tc>
        <w:tc>
          <w:tcPr>
            <w:tcW w:w="100" w:type="dxa"/>
            <w:vAlign w:val="bottom"/>
            <w:shd w:val="clear" w:color="auto" w:fill="D0EBF2"/>
          </w:tcPr>
          <w:p>
            <w:pPr>
              <w:spacing w:after="0"/>
              <w:rPr>
                <w:sz w:val="15"/>
                <w:szCs w:val="15"/>
                <w:color w:val="auto"/>
              </w:rPr>
            </w:pPr>
          </w:p>
        </w:tc>
        <w:tc>
          <w:tcPr>
            <w:tcW w:w="100" w:type="dxa"/>
            <w:vAlign w:val="bottom"/>
            <w:shd w:val="clear" w:color="auto" w:fill="D0EBF2"/>
          </w:tcPr>
          <w:p>
            <w:pPr>
              <w:spacing w:after="0"/>
              <w:rPr>
                <w:sz w:val="15"/>
                <w:szCs w:val="15"/>
                <w:color w:val="auto"/>
              </w:rPr>
            </w:pPr>
          </w:p>
        </w:tc>
        <w:tc>
          <w:tcPr>
            <w:tcW w:w="20" w:type="dxa"/>
            <w:vAlign w:val="bottom"/>
            <w:shd w:val="clear" w:color="auto" w:fill="D0EBF2"/>
          </w:tcPr>
          <w:p>
            <w:pPr>
              <w:spacing w:after="0"/>
              <w:rPr>
                <w:sz w:val="15"/>
                <w:szCs w:val="15"/>
                <w:color w:val="auto"/>
              </w:rPr>
            </w:pPr>
          </w:p>
        </w:tc>
        <w:tc>
          <w:tcPr>
            <w:tcW w:w="20" w:type="dxa"/>
            <w:vAlign w:val="bottom"/>
            <w:shd w:val="clear" w:color="auto" w:fill="D0EBF2"/>
          </w:tcPr>
          <w:p>
            <w:pPr>
              <w:spacing w:after="0"/>
              <w:rPr>
                <w:sz w:val="15"/>
                <w:szCs w:val="15"/>
                <w:color w:val="auto"/>
              </w:rPr>
            </w:pPr>
          </w:p>
        </w:tc>
        <w:tc>
          <w:tcPr>
            <w:tcW w:w="60" w:type="dxa"/>
            <w:vAlign w:val="bottom"/>
            <w:shd w:val="clear" w:color="auto" w:fill="D0EBF2"/>
          </w:tcPr>
          <w:p>
            <w:pPr>
              <w:spacing w:after="0"/>
              <w:rPr>
                <w:sz w:val="15"/>
                <w:szCs w:val="15"/>
                <w:color w:val="auto"/>
              </w:rPr>
            </w:pPr>
          </w:p>
        </w:tc>
        <w:tc>
          <w:tcPr>
            <w:tcW w:w="420" w:type="dxa"/>
            <w:vAlign w:val="bottom"/>
            <w:shd w:val="clear" w:color="auto" w:fill="D0EBF2"/>
          </w:tcPr>
          <w:p>
            <w:pPr>
              <w:jc w:val="right"/>
              <w:spacing w:after="0"/>
              <w:rPr>
                <w:sz w:val="20"/>
                <w:szCs w:val="20"/>
                <w:color w:val="auto"/>
              </w:rPr>
            </w:pPr>
            <w:r>
              <w:rPr>
                <w:rFonts w:ascii="Times New Roman" w:cs="Times New Roman" w:eastAsia="Times New Roman" w:hAnsi="Times New Roman"/>
                <w:sz w:val="14"/>
                <w:szCs w:val="14"/>
                <w:color w:val="231F20"/>
              </w:rPr>
              <w:t>—</w:t>
            </w:r>
          </w:p>
        </w:tc>
        <w:tc>
          <w:tcPr>
            <w:tcW w:w="100" w:type="dxa"/>
            <w:vAlign w:val="bottom"/>
            <w:shd w:val="clear" w:color="auto" w:fill="D0EBF2"/>
          </w:tcPr>
          <w:p>
            <w:pPr>
              <w:spacing w:after="0"/>
              <w:rPr>
                <w:sz w:val="15"/>
                <w:szCs w:val="15"/>
                <w:color w:val="auto"/>
              </w:rPr>
            </w:pPr>
          </w:p>
        </w:tc>
        <w:tc>
          <w:tcPr>
            <w:tcW w:w="20" w:type="dxa"/>
            <w:vAlign w:val="bottom"/>
            <w:shd w:val="clear" w:color="auto" w:fill="D0EBF2"/>
          </w:tcPr>
          <w:p>
            <w:pPr>
              <w:spacing w:after="0"/>
              <w:rPr>
                <w:sz w:val="15"/>
                <w:szCs w:val="15"/>
                <w:color w:val="auto"/>
              </w:rPr>
            </w:pPr>
          </w:p>
        </w:tc>
        <w:tc>
          <w:tcPr>
            <w:tcW w:w="80" w:type="dxa"/>
            <w:vAlign w:val="bottom"/>
            <w:shd w:val="clear" w:color="auto" w:fill="D0EBF2"/>
          </w:tcPr>
          <w:p>
            <w:pPr>
              <w:spacing w:after="0"/>
              <w:rPr>
                <w:sz w:val="15"/>
                <w:szCs w:val="15"/>
                <w:color w:val="auto"/>
              </w:rPr>
            </w:pPr>
          </w:p>
        </w:tc>
        <w:tc>
          <w:tcPr>
            <w:tcW w:w="20" w:type="dxa"/>
            <w:vAlign w:val="bottom"/>
            <w:shd w:val="clear" w:color="auto" w:fill="D0EBF2"/>
          </w:tcPr>
          <w:p>
            <w:pPr>
              <w:spacing w:after="0"/>
              <w:rPr>
                <w:sz w:val="15"/>
                <w:szCs w:val="15"/>
                <w:color w:val="auto"/>
              </w:rPr>
            </w:pPr>
          </w:p>
        </w:tc>
        <w:tc>
          <w:tcPr>
            <w:tcW w:w="20" w:type="dxa"/>
            <w:vAlign w:val="bottom"/>
            <w:shd w:val="clear" w:color="auto" w:fill="D0EBF2"/>
          </w:tcPr>
          <w:p>
            <w:pPr>
              <w:spacing w:after="0"/>
              <w:rPr>
                <w:sz w:val="15"/>
                <w:szCs w:val="15"/>
                <w:color w:val="auto"/>
              </w:rPr>
            </w:pPr>
          </w:p>
        </w:tc>
        <w:tc>
          <w:tcPr>
            <w:tcW w:w="660" w:type="dxa"/>
            <w:vAlign w:val="bottom"/>
            <w:shd w:val="clear" w:color="auto" w:fill="D0EBF2"/>
          </w:tcPr>
          <w:p>
            <w:pPr>
              <w:jc w:val="right"/>
              <w:spacing w:after="0"/>
              <w:rPr>
                <w:sz w:val="20"/>
                <w:szCs w:val="20"/>
                <w:color w:val="auto"/>
              </w:rPr>
            </w:pPr>
            <w:r>
              <w:rPr>
                <w:rFonts w:ascii="Times New Roman" w:cs="Times New Roman" w:eastAsia="Times New Roman" w:hAnsi="Times New Roman"/>
                <w:sz w:val="14"/>
                <w:szCs w:val="14"/>
                <w:color w:val="231F20"/>
              </w:rPr>
              <w:t>—</w:t>
            </w:r>
          </w:p>
        </w:tc>
        <w:tc>
          <w:tcPr>
            <w:tcW w:w="100" w:type="dxa"/>
            <w:vAlign w:val="bottom"/>
            <w:shd w:val="clear" w:color="auto" w:fill="D0EBF2"/>
          </w:tcPr>
          <w:p>
            <w:pPr>
              <w:spacing w:after="0"/>
              <w:rPr>
                <w:sz w:val="15"/>
                <w:szCs w:val="15"/>
                <w:color w:val="auto"/>
              </w:rPr>
            </w:pPr>
          </w:p>
        </w:tc>
        <w:tc>
          <w:tcPr>
            <w:tcW w:w="20" w:type="dxa"/>
            <w:vAlign w:val="bottom"/>
            <w:shd w:val="clear" w:color="auto" w:fill="D0EBF2"/>
          </w:tcPr>
          <w:p>
            <w:pPr>
              <w:spacing w:after="0"/>
              <w:rPr>
                <w:sz w:val="15"/>
                <w:szCs w:val="15"/>
                <w:color w:val="auto"/>
              </w:rPr>
            </w:pPr>
          </w:p>
        </w:tc>
        <w:tc>
          <w:tcPr>
            <w:tcW w:w="80" w:type="dxa"/>
            <w:vAlign w:val="bottom"/>
            <w:shd w:val="clear" w:color="auto" w:fill="D0EBF2"/>
          </w:tcPr>
          <w:p>
            <w:pPr>
              <w:spacing w:after="0"/>
              <w:rPr>
                <w:sz w:val="15"/>
                <w:szCs w:val="15"/>
                <w:color w:val="auto"/>
              </w:rPr>
            </w:pPr>
          </w:p>
        </w:tc>
        <w:tc>
          <w:tcPr>
            <w:tcW w:w="20" w:type="dxa"/>
            <w:vAlign w:val="bottom"/>
            <w:shd w:val="clear" w:color="auto" w:fill="D0EBF2"/>
          </w:tcPr>
          <w:p>
            <w:pPr>
              <w:spacing w:after="0"/>
              <w:rPr>
                <w:sz w:val="15"/>
                <w:szCs w:val="15"/>
                <w:color w:val="auto"/>
              </w:rPr>
            </w:pPr>
          </w:p>
        </w:tc>
        <w:tc>
          <w:tcPr>
            <w:tcW w:w="20" w:type="dxa"/>
            <w:vAlign w:val="bottom"/>
            <w:shd w:val="clear" w:color="auto" w:fill="D0EBF2"/>
          </w:tcPr>
          <w:p>
            <w:pPr>
              <w:spacing w:after="0"/>
              <w:rPr>
                <w:sz w:val="15"/>
                <w:szCs w:val="15"/>
                <w:color w:val="auto"/>
              </w:rPr>
            </w:pPr>
          </w:p>
        </w:tc>
        <w:tc>
          <w:tcPr>
            <w:tcW w:w="60" w:type="dxa"/>
            <w:vAlign w:val="bottom"/>
            <w:shd w:val="clear" w:color="auto" w:fill="D0EBF2"/>
          </w:tcPr>
          <w:p>
            <w:pPr>
              <w:spacing w:after="0"/>
              <w:rPr>
                <w:sz w:val="15"/>
                <w:szCs w:val="15"/>
                <w:color w:val="auto"/>
              </w:rPr>
            </w:pPr>
          </w:p>
        </w:tc>
        <w:tc>
          <w:tcPr>
            <w:tcW w:w="620" w:type="dxa"/>
            <w:vAlign w:val="bottom"/>
            <w:gridSpan w:val="4"/>
            <w:shd w:val="clear" w:color="auto" w:fill="D0EBF2"/>
          </w:tcPr>
          <w:p>
            <w:pPr>
              <w:jc w:val="right"/>
              <w:ind w:right="160"/>
              <w:spacing w:after="0"/>
              <w:rPr>
                <w:sz w:val="20"/>
                <w:szCs w:val="20"/>
                <w:color w:val="auto"/>
              </w:rPr>
            </w:pPr>
            <w:r>
              <w:rPr>
                <w:rFonts w:ascii="Times New Roman" w:cs="Times New Roman" w:eastAsia="Times New Roman" w:hAnsi="Times New Roman"/>
                <w:sz w:val="14"/>
                <w:szCs w:val="14"/>
                <w:color w:val="231F20"/>
              </w:rPr>
              <w:t>—</w:t>
            </w:r>
          </w:p>
        </w:tc>
        <w:tc>
          <w:tcPr>
            <w:tcW w:w="60" w:type="dxa"/>
            <w:vAlign w:val="bottom"/>
            <w:shd w:val="clear" w:color="auto" w:fill="D0EBF2"/>
          </w:tcPr>
          <w:p>
            <w:pPr>
              <w:spacing w:after="0"/>
              <w:rPr>
                <w:sz w:val="15"/>
                <w:szCs w:val="15"/>
                <w:color w:val="auto"/>
              </w:rPr>
            </w:pPr>
          </w:p>
        </w:tc>
        <w:tc>
          <w:tcPr>
            <w:tcW w:w="140" w:type="dxa"/>
            <w:vAlign w:val="bottom"/>
            <w:shd w:val="clear" w:color="auto" w:fill="D0EBF2"/>
          </w:tcPr>
          <w:p>
            <w:pPr>
              <w:spacing w:after="0"/>
              <w:rPr>
                <w:sz w:val="15"/>
                <w:szCs w:val="15"/>
                <w:color w:val="auto"/>
              </w:rPr>
            </w:pPr>
          </w:p>
        </w:tc>
        <w:tc>
          <w:tcPr>
            <w:tcW w:w="1140" w:type="dxa"/>
            <w:vAlign w:val="bottom"/>
            <w:gridSpan w:val="6"/>
            <w:shd w:val="clear" w:color="auto" w:fill="D0EBF2"/>
          </w:tcPr>
          <w:p>
            <w:pPr>
              <w:jc w:val="right"/>
              <w:ind w:right="260"/>
              <w:spacing w:after="0"/>
              <w:rPr>
                <w:sz w:val="20"/>
                <w:szCs w:val="20"/>
                <w:color w:val="auto"/>
              </w:rPr>
            </w:pPr>
            <w:r>
              <w:rPr>
                <w:rFonts w:ascii="Times New Roman" w:cs="Times New Roman" w:eastAsia="Times New Roman" w:hAnsi="Times New Roman"/>
                <w:sz w:val="14"/>
                <w:szCs w:val="14"/>
                <w:color w:val="231F20"/>
              </w:rPr>
              <w:t>—</w:t>
            </w:r>
          </w:p>
        </w:tc>
        <w:tc>
          <w:tcPr>
            <w:tcW w:w="60" w:type="dxa"/>
            <w:vAlign w:val="bottom"/>
            <w:shd w:val="clear" w:color="auto" w:fill="D0EBF2"/>
          </w:tcPr>
          <w:p>
            <w:pPr>
              <w:spacing w:after="0"/>
              <w:rPr>
                <w:sz w:val="15"/>
                <w:szCs w:val="15"/>
                <w:color w:val="auto"/>
              </w:rPr>
            </w:pPr>
          </w:p>
        </w:tc>
        <w:tc>
          <w:tcPr>
            <w:tcW w:w="820" w:type="dxa"/>
            <w:vAlign w:val="bottom"/>
            <w:gridSpan w:val="2"/>
            <w:shd w:val="clear" w:color="auto" w:fill="D0EBF2"/>
          </w:tcPr>
          <w:p>
            <w:pPr>
              <w:jc w:val="right"/>
              <w:ind w:right="40"/>
              <w:spacing w:after="0"/>
              <w:rPr>
                <w:sz w:val="20"/>
                <w:szCs w:val="20"/>
                <w:color w:val="auto"/>
              </w:rPr>
            </w:pPr>
            <w:r>
              <w:rPr>
                <w:rFonts w:ascii="Times New Roman" w:cs="Times New Roman" w:eastAsia="Times New Roman" w:hAnsi="Times New Roman"/>
                <w:sz w:val="14"/>
                <w:szCs w:val="14"/>
                <w:color w:val="231F20"/>
              </w:rPr>
              <w:t>(179,966 )</w:t>
            </w:r>
          </w:p>
        </w:tc>
        <w:tc>
          <w:tcPr>
            <w:tcW w:w="20" w:type="dxa"/>
            <w:vAlign w:val="bottom"/>
            <w:shd w:val="clear" w:color="auto" w:fill="D0EBF2"/>
          </w:tcPr>
          <w:p>
            <w:pPr>
              <w:spacing w:after="0"/>
              <w:rPr>
                <w:sz w:val="15"/>
                <w:szCs w:val="15"/>
                <w:color w:val="auto"/>
              </w:rPr>
            </w:pPr>
          </w:p>
        </w:tc>
        <w:tc>
          <w:tcPr>
            <w:tcW w:w="80" w:type="dxa"/>
            <w:vAlign w:val="bottom"/>
            <w:shd w:val="clear" w:color="auto" w:fill="D0EBF2"/>
          </w:tcPr>
          <w:p>
            <w:pPr>
              <w:spacing w:after="0"/>
              <w:rPr>
                <w:sz w:val="15"/>
                <w:szCs w:val="15"/>
                <w:color w:val="auto"/>
              </w:rPr>
            </w:pPr>
          </w:p>
        </w:tc>
        <w:tc>
          <w:tcPr>
            <w:tcW w:w="20" w:type="dxa"/>
            <w:vAlign w:val="bottom"/>
            <w:shd w:val="clear" w:color="auto" w:fill="D0EBF2"/>
          </w:tcPr>
          <w:p>
            <w:pPr>
              <w:spacing w:after="0"/>
              <w:rPr>
                <w:sz w:val="15"/>
                <w:szCs w:val="15"/>
                <w:color w:val="auto"/>
              </w:rPr>
            </w:pPr>
          </w:p>
        </w:tc>
        <w:tc>
          <w:tcPr>
            <w:tcW w:w="20" w:type="dxa"/>
            <w:vAlign w:val="bottom"/>
            <w:shd w:val="clear" w:color="auto" w:fill="D0EBF2"/>
          </w:tcPr>
          <w:p>
            <w:pPr>
              <w:spacing w:after="0"/>
              <w:rPr>
                <w:sz w:val="15"/>
                <w:szCs w:val="15"/>
                <w:color w:val="auto"/>
              </w:rPr>
            </w:pPr>
          </w:p>
        </w:tc>
        <w:tc>
          <w:tcPr>
            <w:tcW w:w="40" w:type="dxa"/>
            <w:vAlign w:val="bottom"/>
            <w:shd w:val="clear" w:color="auto" w:fill="D0EBF2"/>
          </w:tcPr>
          <w:p>
            <w:pPr>
              <w:spacing w:after="0"/>
              <w:rPr>
                <w:sz w:val="15"/>
                <w:szCs w:val="15"/>
                <w:color w:val="auto"/>
              </w:rPr>
            </w:pPr>
          </w:p>
        </w:tc>
        <w:tc>
          <w:tcPr>
            <w:tcW w:w="820" w:type="dxa"/>
            <w:vAlign w:val="bottom"/>
            <w:gridSpan w:val="2"/>
            <w:shd w:val="clear" w:color="auto" w:fill="D0EBF2"/>
          </w:tcPr>
          <w:p>
            <w:pPr>
              <w:jc w:val="right"/>
              <w:ind w:right="60"/>
              <w:spacing w:after="0"/>
              <w:rPr>
                <w:sz w:val="20"/>
                <w:szCs w:val="20"/>
                <w:color w:val="auto"/>
              </w:rPr>
            </w:pPr>
            <w:r>
              <w:rPr>
                <w:rFonts w:ascii="Times New Roman" w:cs="Times New Roman" w:eastAsia="Times New Roman" w:hAnsi="Times New Roman"/>
                <w:sz w:val="14"/>
                <w:szCs w:val="14"/>
                <w:color w:val="231F20"/>
              </w:rPr>
              <w:t>(179,966 )</w:t>
            </w:r>
          </w:p>
        </w:tc>
        <w:tc>
          <w:tcPr>
            <w:tcW w:w="0" w:type="dxa"/>
            <w:vAlign w:val="bottom"/>
          </w:tcPr>
          <w:p>
            <w:pPr>
              <w:spacing w:after="0"/>
              <w:rPr>
                <w:sz w:val="1"/>
                <w:szCs w:val="1"/>
                <w:color w:val="auto"/>
              </w:rPr>
            </w:pPr>
          </w:p>
        </w:tc>
      </w:tr>
      <w:tr>
        <w:trPr>
          <w:trHeight w:val="162"/>
        </w:trPr>
        <w:tc>
          <w:tcPr>
            <w:tcW w:w="3620" w:type="dxa"/>
            <w:vAlign w:val="bottom"/>
            <w:gridSpan w:val="2"/>
            <w:shd w:val="clear" w:color="auto" w:fill="FDFDFC"/>
          </w:tcPr>
          <w:p>
            <w:pPr>
              <w:ind w:left="100"/>
              <w:spacing w:after="0"/>
              <w:rPr>
                <w:sz w:val="20"/>
                <w:szCs w:val="20"/>
                <w:color w:val="auto"/>
              </w:rPr>
            </w:pPr>
            <w:r>
              <w:rPr>
                <w:rFonts w:ascii="Times New Roman" w:cs="Times New Roman" w:eastAsia="Times New Roman" w:hAnsi="Times New Roman"/>
                <w:sz w:val="14"/>
                <w:szCs w:val="14"/>
                <w:color w:val="231F20"/>
              </w:rPr>
              <w:t>Tax reclassification of stockholders' equity in accordance</w:t>
            </w:r>
          </w:p>
        </w:tc>
        <w:tc>
          <w:tcPr>
            <w:tcW w:w="860" w:type="dxa"/>
            <w:vAlign w:val="bottom"/>
            <w:vMerge w:val="restart"/>
            <w:shd w:val="clear" w:color="auto" w:fill="FDFDFC"/>
          </w:tcPr>
          <w:p>
            <w:pPr>
              <w:jc w:val="right"/>
              <w:spacing w:after="0"/>
              <w:rPr>
                <w:sz w:val="20"/>
                <w:szCs w:val="20"/>
                <w:color w:val="auto"/>
              </w:rPr>
            </w:pPr>
            <w:r>
              <w:rPr>
                <w:rFonts w:ascii="Times New Roman" w:cs="Times New Roman" w:eastAsia="Times New Roman" w:hAnsi="Times New Roman"/>
                <w:sz w:val="14"/>
                <w:szCs w:val="14"/>
                <w:color w:val="231F20"/>
              </w:rPr>
              <w:t>—</w:t>
            </w:r>
          </w:p>
        </w:tc>
        <w:tc>
          <w:tcPr>
            <w:tcW w:w="100" w:type="dxa"/>
            <w:vAlign w:val="bottom"/>
            <w:shd w:val="clear" w:color="auto" w:fill="FDFDFC"/>
          </w:tcPr>
          <w:p>
            <w:pPr>
              <w:spacing w:after="0"/>
              <w:rPr>
                <w:sz w:val="14"/>
                <w:szCs w:val="14"/>
                <w:color w:val="auto"/>
              </w:rPr>
            </w:pPr>
          </w:p>
        </w:tc>
        <w:tc>
          <w:tcPr>
            <w:tcW w:w="100" w:type="dxa"/>
            <w:vAlign w:val="bottom"/>
            <w:shd w:val="clear" w:color="auto" w:fill="FDFDFC"/>
          </w:tcPr>
          <w:p>
            <w:pPr>
              <w:spacing w:after="0"/>
              <w:rPr>
                <w:sz w:val="14"/>
                <w:szCs w:val="14"/>
                <w:color w:val="auto"/>
              </w:rPr>
            </w:pPr>
          </w:p>
        </w:tc>
        <w:tc>
          <w:tcPr>
            <w:tcW w:w="20" w:type="dxa"/>
            <w:vAlign w:val="bottom"/>
            <w:shd w:val="clear" w:color="auto" w:fill="FDFDFC"/>
          </w:tcPr>
          <w:p>
            <w:pPr>
              <w:spacing w:after="0"/>
              <w:rPr>
                <w:sz w:val="14"/>
                <w:szCs w:val="14"/>
                <w:color w:val="auto"/>
              </w:rPr>
            </w:pPr>
          </w:p>
        </w:tc>
        <w:tc>
          <w:tcPr>
            <w:tcW w:w="20" w:type="dxa"/>
            <w:vAlign w:val="bottom"/>
            <w:shd w:val="clear" w:color="auto" w:fill="FDFDFC"/>
          </w:tcPr>
          <w:p>
            <w:pPr>
              <w:spacing w:after="0"/>
              <w:rPr>
                <w:sz w:val="14"/>
                <w:szCs w:val="14"/>
                <w:color w:val="auto"/>
              </w:rPr>
            </w:pPr>
          </w:p>
        </w:tc>
        <w:tc>
          <w:tcPr>
            <w:tcW w:w="60" w:type="dxa"/>
            <w:vAlign w:val="bottom"/>
            <w:shd w:val="clear" w:color="auto" w:fill="FDFDFC"/>
          </w:tcPr>
          <w:p>
            <w:pPr>
              <w:spacing w:after="0"/>
              <w:rPr>
                <w:sz w:val="14"/>
                <w:szCs w:val="14"/>
                <w:color w:val="auto"/>
              </w:rPr>
            </w:pPr>
          </w:p>
        </w:tc>
        <w:tc>
          <w:tcPr>
            <w:tcW w:w="420" w:type="dxa"/>
            <w:vAlign w:val="bottom"/>
            <w:vMerge w:val="restart"/>
            <w:shd w:val="clear" w:color="auto" w:fill="FDFDFC"/>
          </w:tcPr>
          <w:p>
            <w:pPr>
              <w:jc w:val="right"/>
              <w:spacing w:after="0"/>
              <w:rPr>
                <w:sz w:val="20"/>
                <w:szCs w:val="20"/>
                <w:color w:val="auto"/>
              </w:rPr>
            </w:pPr>
            <w:r>
              <w:rPr>
                <w:rFonts w:ascii="Times New Roman" w:cs="Times New Roman" w:eastAsia="Times New Roman" w:hAnsi="Times New Roman"/>
                <w:sz w:val="14"/>
                <w:szCs w:val="14"/>
                <w:color w:val="231F20"/>
              </w:rPr>
              <w:t>—</w:t>
            </w:r>
          </w:p>
        </w:tc>
        <w:tc>
          <w:tcPr>
            <w:tcW w:w="100" w:type="dxa"/>
            <w:vAlign w:val="bottom"/>
            <w:shd w:val="clear" w:color="auto" w:fill="FDFDFC"/>
          </w:tcPr>
          <w:p>
            <w:pPr>
              <w:spacing w:after="0"/>
              <w:rPr>
                <w:sz w:val="14"/>
                <w:szCs w:val="14"/>
                <w:color w:val="auto"/>
              </w:rPr>
            </w:pPr>
          </w:p>
        </w:tc>
        <w:tc>
          <w:tcPr>
            <w:tcW w:w="20" w:type="dxa"/>
            <w:vAlign w:val="bottom"/>
            <w:shd w:val="clear" w:color="auto" w:fill="FDFDFC"/>
          </w:tcPr>
          <w:p>
            <w:pPr>
              <w:spacing w:after="0"/>
              <w:rPr>
                <w:sz w:val="14"/>
                <w:szCs w:val="14"/>
                <w:color w:val="auto"/>
              </w:rPr>
            </w:pPr>
          </w:p>
        </w:tc>
        <w:tc>
          <w:tcPr>
            <w:tcW w:w="80" w:type="dxa"/>
            <w:vAlign w:val="bottom"/>
            <w:shd w:val="clear" w:color="auto" w:fill="FDFDFC"/>
          </w:tcPr>
          <w:p>
            <w:pPr>
              <w:spacing w:after="0"/>
              <w:rPr>
                <w:sz w:val="14"/>
                <w:szCs w:val="14"/>
                <w:color w:val="auto"/>
              </w:rPr>
            </w:pPr>
          </w:p>
        </w:tc>
        <w:tc>
          <w:tcPr>
            <w:tcW w:w="20" w:type="dxa"/>
            <w:vAlign w:val="bottom"/>
            <w:shd w:val="clear" w:color="auto" w:fill="FDFDFC"/>
          </w:tcPr>
          <w:p>
            <w:pPr>
              <w:spacing w:after="0"/>
              <w:rPr>
                <w:sz w:val="14"/>
                <w:szCs w:val="14"/>
                <w:color w:val="auto"/>
              </w:rPr>
            </w:pPr>
          </w:p>
        </w:tc>
        <w:tc>
          <w:tcPr>
            <w:tcW w:w="20" w:type="dxa"/>
            <w:vAlign w:val="bottom"/>
            <w:shd w:val="clear" w:color="auto" w:fill="FDFDFC"/>
          </w:tcPr>
          <w:p>
            <w:pPr>
              <w:spacing w:after="0"/>
              <w:rPr>
                <w:sz w:val="14"/>
                <w:szCs w:val="14"/>
                <w:color w:val="auto"/>
              </w:rPr>
            </w:pPr>
          </w:p>
        </w:tc>
        <w:tc>
          <w:tcPr>
            <w:tcW w:w="660" w:type="dxa"/>
            <w:vAlign w:val="bottom"/>
            <w:vMerge w:val="restart"/>
            <w:shd w:val="clear" w:color="auto" w:fill="FDFDFC"/>
          </w:tcPr>
          <w:p>
            <w:pPr>
              <w:jc w:val="right"/>
              <w:spacing w:after="0"/>
              <w:rPr>
                <w:sz w:val="20"/>
                <w:szCs w:val="20"/>
                <w:color w:val="auto"/>
              </w:rPr>
            </w:pPr>
            <w:r>
              <w:rPr>
                <w:rFonts w:ascii="Times New Roman" w:cs="Times New Roman" w:eastAsia="Times New Roman" w:hAnsi="Times New Roman"/>
                <w:sz w:val="14"/>
                <w:szCs w:val="14"/>
                <w:color w:val="231F20"/>
              </w:rPr>
              <w:t>—</w:t>
            </w:r>
          </w:p>
        </w:tc>
        <w:tc>
          <w:tcPr>
            <w:tcW w:w="100" w:type="dxa"/>
            <w:vAlign w:val="bottom"/>
            <w:shd w:val="clear" w:color="auto" w:fill="FDFDFC"/>
          </w:tcPr>
          <w:p>
            <w:pPr>
              <w:spacing w:after="0"/>
              <w:rPr>
                <w:sz w:val="14"/>
                <w:szCs w:val="14"/>
                <w:color w:val="auto"/>
              </w:rPr>
            </w:pPr>
          </w:p>
        </w:tc>
        <w:tc>
          <w:tcPr>
            <w:tcW w:w="20" w:type="dxa"/>
            <w:vAlign w:val="bottom"/>
            <w:shd w:val="clear" w:color="auto" w:fill="FDFDFC"/>
          </w:tcPr>
          <w:p>
            <w:pPr>
              <w:spacing w:after="0"/>
              <w:rPr>
                <w:sz w:val="14"/>
                <w:szCs w:val="14"/>
                <w:color w:val="auto"/>
              </w:rPr>
            </w:pPr>
          </w:p>
        </w:tc>
        <w:tc>
          <w:tcPr>
            <w:tcW w:w="80" w:type="dxa"/>
            <w:vAlign w:val="bottom"/>
            <w:shd w:val="clear" w:color="auto" w:fill="FDFDFC"/>
          </w:tcPr>
          <w:p>
            <w:pPr>
              <w:spacing w:after="0"/>
              <w:rPr>
                <w:sz w:val="14"/>
                <w:szCs w:val="14"/>
                <w:color w:val="auto"/>
              </w:rPr>
            </w:pPr>
          </w:p>
        </w:tc>
        <w:tc>
          <w:tcPr>
            <w:tcW w:w="20" w:type="dxa"/>
            <w:vAlign w:val="bottom"/>
            <w:shd w:val="clear" w:color="auto" w:fill="FDFDFC"/>
          </w:tcPr>
          <w:p>
            <w:pPr>
              <w:spacing w:after="0"/>
              <w:rPr>
                <w:sz w:val="14"/>
                <w:szCs w:val="14"/>
                <w:color w:val="auto"/>
              </w:rPr>
            </w:pPr>
          </w:p>
        </w:tc>
        <w:tc>
          <w:tcPr>
            <w:tcW w:w="20" w:type="dxa"/>
            <w:vAlign w:val="bottom"/>
            <w:shd w:val="clear" w:color="auto" w:fill="FDFDFC"/>
          </w:tcPr>
          <w:p>
            <w:pPr>
              <w:spacing w:after="0"/>
              <w:rPr>
                <w:sz w:val="14"/>
                <w:szCs w:val="14"/>
                <w:color w:val="auto"/>
              </w:rPr>
            </w:pPr>
          </w:p>
        </w:tc>
        <w:tc>
          <w:tcPr>
            <w:tcW w:w="60" w:type="dxa"/>
            <w:vAlign w:val="bottom"/>
            <w:shd w:val="clear" w:color="auto" w:fill="FDFDFC"/>
          </w:tcPr>
          <w:p>
            <w:pPr>
              <w:spacing w:after="0"/>
              <w:rPr>
                <w:sz w:val="14"/>
                <w:szCs w:val="14"/>
                <w:color w:val="auto"/>
              </w:rPr>
            </w:pPr>
          </w:p>
        </w:tc>
        <w:tc>
          <w:tcPr>
            <w:tcW w:w="620" w:type="dxa"/>
            <w:vAlign w:val="bottom"/>
            <w:gridSpan w:val="4"/>
            <w:vMerge w:val="restart"/>
            <w:shd w:val="clear" w:color="auto" w:fill="FDFDFC"/>
          </w:tcPr>
          <w:p>
            <w:pPr>
              <w:jc w:val="right"/>
              <w:ind w:right="160"/>
              <w:spacing w:after="0"/>
              <w:rPr>
                <w:sz w:val="20"/>
                <w:szCs w:val="20"/>
                <w:color w:val="auto"/>
              </w:rPr>
            </w:pPr>
            <w:r>
              <w:rPr>
                <w:rFonts w:ascii="Times New Roman" w:cs="Times New Roman" w:eastAsia="Times New Roman" w:hAnsi="Times New Roman"/>
                <w:sz w:val="14"/>
                <w:szCs w:val="14"/>
                <w:color w:val="231F20"/>
              </w:rPr>
              <w:t>—</w:t>
            </w:r>
          </w:p>
        </w:tc>
        <w:tc>
          <w:tcPr>
            <w:tcW w:w="60" w:type="dxa"/>
            <w:vAlign w:val="bottom"/>
            <w:shd w:val="clear" w:color="auto" w:fill="FDFDFC"/>
          </w:tcPr>
          <w:p>
            <w:pPr>
              <w:spacing w:after="0"/>
              <w:rPr>
                <w:sz w:val="14"/>
                <w:szCs w:val="14"/>
                <w:color w:val="auto"/>
              </w:rPr>
            </w:pPr>
          </w:p>
        </w:tc>
        <w:tc>
          <w:tcPr>
            <w:tcW w:w="140" w:type="dxa"/>
            <w:vAlign w:val="bottom"/>
            <w:shd w:val="clear" w:color="auto" w:fill="FDFDFC"/>
          </w:tcPr>
          <w:p>
            <w:pPr>
              <w:spacing w:after="0"/>
              <w:rPr>
                <w:sz w:val="14"/>
                <w:szCs w:val="14"/>
                <w:color w:val="auto"/>
              </w:rPr>
            </w:pPr>
          </w:p>
        </w:tc>
        <w:tc>
          <w:tcPr>
            <w:tcW w:w="1000" w:type="dxa"/>
            <w:vAlign w:val="bottom"/>
            <w:gridSpan w:val="2"/>
            <w:vMerge w:val="restart"/>
            <w:shd w:val="clear" w:color="auto" w:fill="FDFDFC"/>
          </w:tcPr>
          <w:p>
            <w:pPr>
              <w:jc w:val="right"/>
              <w:ind w:right="60"/>
              <w:spacing w:after="0"/>
              <w:rPr>
                <w:sz w:val="20"/>
                <w:szCs w:val="20"/>
                <w:color w:val="auto"/>
              </w:rPr>
            </w:pPr>
            <w:r>
              <w:rPr>
                <w:rFonts w:ascii="Times New Roman" w:cs="Times New Roman" w:eastAsia="Times New Roman" w:hAnsi="Times New Roman"/>
                <w:sz w:val="14"/>
                <w:szCs w:val="14"/>
                <w:color w:val="231F20"/>
              </w:rPr>
              <w:t>(2,263 )</w:t>
            </w:r>
          </w:p>
        </w:tc>
        <w:tc>
          <w:tcPr>
            <w:tcW w:w="20" w:type="dxa"/>
            <w:vAlign w:val="bottom"/>
            <w:shd w:val="clear" w:color="auto" w:fill="FDFDFC"/>
          </w:tcPr>
          <w:p>
            <w:pPr>
              <w:spacing w:after="0"/>
              <w:rPr>
                <w:sz w:val="14"/>
                <w:szCs w:val="14"/>
                <w:color w:val="auto"/>
              </w:rPr>
            </w:pPr>
          </w:p>
        </w:tc>
        <w:tc>
          <w:tcPr>
            <w:tcW w:w="80" w:type="dxa"/>
            <w:vAlign w:val="bottom"/>
            <w:shd w:val="clear" w:color="auto" w:fill="FDFDFC"/>
          </w:tcPr>
          <w:p>
            <w:pPr>
              <w:spacing w:after="0"/>
              <w:rPr>
                <w:sz w:val="14"/>
                <w:szCs w:val="14"/>
                <w:color w:val="auto"/>
              </w:rPr>
            </w:pPr>
          </w:p>
        </w:tc>
        <w:tc>
          <w:tcPr>
            <w:tcW w:w="20" w:type="dxa"/>
            <w:vAlign w:val="bottom"/>
            <w:shd w:val="clear" w:color="auto" w:fill="FDFDFC"/>
          </w:tcPr>
          <w:p>
            <w:pPr>
              <w:spacing w:after="0"/>
              <w:rPr>
                <w:sz w:val="14"/>
                <w:szCs w:val="14"/>
                <w:color w:val="auto"/>
              </w:rPr>
            </w:pPr>
          </w:p>
        </w:tc>
        <w:tc>
          <w:tcPr>
            <w:tcW w:w="20" w:type="dxa"/>
            <w:vAlign w:val="bottom"/>
            <w:shd w:val="clear" w:color="auto" w:fill="FDFDFC"/>
          </w:tcPr>
          <w:p>
            <w:pPr>
              <w:spacing w:after="0"/>
              <w:rPr>
                <w:sz w:val="14"/>
                <w:szCs w:val="14"/>
                <w:color w:val="auto"/>
              </w:rPr>
            </w:pPr>
          </w:p>
        </w:tc>
        <w:tc>
          <w:tcPr>
            <w:tcW w:w="60" w:type="dxa"/>
            <w:vAlign w:val="bottom"/>
            <w:shd w:val="clear" w:color="auto" w:fill="FDFDFC"/>
          </w:tcPr>
          <w:p>
            <w:pPr>
              <w:spacing w:after="0"/>
              <w:rPr>
                <w:sz w:val="14"/>
                <w:szCs w:val="14"/>
                <w:color w:val="auto"/>
              </w:rPr>
            </w:pPr>
          </w:p>
        </w:tc>
        <w:tc>
          <w:tcPr>
            <w:tcW w:w="720" w:type="dxa"/>
            <w:vAlign w:val="bottom"/>
            <w:vMerge w:val="restart"/>
            <w:shd w:val="clear" w:color="auto" w:fill="FDFDFC"/>
          </w:tcPr>
          <w:p>
            <w:pPr>
              <w:jc w:val="right"/>
              <w:spacing w:after="0"/>
              <w:rPr>
                <w:sz w:val="20"/>
                <w:szCs w:val="20"/>
                <w:color w:val="auto"/>
              </w:rPr>
            </w:pPr>
            <w:r>
              <w:rPr>
                <w:rFonts w:ascii="Times New Roman" w:cs="Times New Roman" w:eastAsia="Times New Roman" w:hAnsi="Times New Roman"/>
                <w:sz w:val="14"/>
                <w:szCs w:val="14"/>
                <w:color w:val="231F20"/>
              </w:rPr>
              <w:t>2,263</w:t>
            </w:r>
          </w:p>
        </w:tc>
        <w:tc>
          <w:tcPr>
            <w:tcW w:w="100" w:type="dxa"/>
            <w:vAlign w:val="bottom"/>
            <w:shd w:val="clear" w:color="auto" w:fill="FDFDFC"/>
          </w:tcPr>
          <w:p>
            <w:pPr>
              <w:spacing w:after="0"/>
              <w:rPr>
                <w:sz w:val="14"/>
                <w:szCs w:val="14"/>
                <w:color w:val="auto"/>
              </w:rPr>
            </w:pPr>
          </w:p>
        </w:tc>
        <w:tc>
          <w:tcPr>
            <w:tcW w:w="20" w:type="dxa"/>
            <w:vAlign w:val="bottom"/>
            <w:shd w:val="clear" w:color="auto" w:fill="FDFDFC"/>
          </w:tcPr>
          <w:p>
            <w:pPr>
              <w:spacing w:after="0"/>
              <w:rPr>
                <w:sz w:val="14"/>
                <w:szCs w:val="14"/>
                <w:color w:val="auto"/>
              </w:rPr>
            </w:pPr>
          </w:p>
        </w:tc>
        <w:tc>
          <w:tcPr>
            <w:tcW w:w="80" w:type="dxa"/>
            <w:vAlign w:val="bottom"/>
            <w:shd w:val="clear" w:color="auto" w:fill="FDFDFC"/>
          </w:tcPr>
          <w:p>
            <w:pPr>
              <w:spacing w:after="0"/>
              <w:rPr>
                <w:sz w:val="14"/>
                <w:szCs w:val="14"/>
                <w:color w:val="auto"/>
              </w:rPr>
            </w:pPr>
          </w:p>
        </w:tc>
        <w:tc>
          <w:tcPr>
            <w:tcW w:w="20" w:type="dxa"/>
            <w:vAlign w:val="bottom"/>
            <w:shd w:val="clear" w:color="auto" w:fill="FDFDFC"/>
          </w:tcPr>
          <w:p>
            <w:pPr>
              <w:spacing w:after="0"/>
              <w:rPr>
                <w:sz w:val="14"/>
                <w:szCs w:val="14"/>
                <w:color w:val="auto"/>
              </w:rPr>
            </w:pPr>
          </w:p>
        </w:tc>
        <w:tc>
          <w:tcPr>
            <w:tcW w:w="20" w:type="dxa"/>
            <w:vAlign w:val="bottom"/>
            <w:shd w:val="clear" w:color="auto" w:fill="FDFDFC"/>
          </w:tcPr>
          <w:p>
            <w:pPr>
              <w:spacing w:after="0"/>
              <w:rPr>
                <w:sz w:val="14"/>
                <w:szCs w:val="14"/>
                <w:color w:val="auto"/>
              </w:rPr>
            </w:pPr>
          </w:p>
        </w:tc>
        <w:tc>
          <w:tcPr>
            <w:tcW w:w="40" w:type="dxa"/>
            <w:vAlign w:val="bottom"/>
            <w:shd w:val="clear" w:color="auto" w:fill="FDFDFC"/>
          </w:tcPr>
          <w:p>
            <w:pPr>
              <w:spacing w:after="0"/>
              <w:rPr>
                <w:sz w:val="14"/>
                <w:szCs w:val="14"/>
                <w:color w:val="auto"/>
              </w:rPr>
            </w:pPr>
          </w:p>
        </w:tc>
        <w:tc>
          <w:tcPr>
            <w:tcW w:w="820" w:type="dxa"/>
            <w:vAlign w:val="bottom"/>
            <w:gridSpan w:val="2"/>
            <w:vMerge w:val="restart"/>
            <w:shd w:val="clear" w:color="auto" w:fill="FDFDFC"/>
          </w:tcPr>
          <w:p>
            <w:pPr>
              <w:jc w:val="right"/>
              <w:ind w:right="140"/>
              <w:spacing w:after="0"/>
              <w:rPr>
                <w:sz w:val="20"/>
                <w:szCs w:val="20"/>
                <w:color w:val="auto"/>
              </w:rPr>
            </w:pPr>
            <w:r>
              <w:rPr>
                <w:rFonts w:ascii="Times New Roman" w:cs="Times New Roman" w:eastAsia="Times New Roman" w:hAnsi="Times New Roman"/>
                <w:sz w:val="14"/>
                <w:szCs w:val="14"/>
                <w:color w:val="231F20"/>
              </w:rPr>
              <w:t>—</w:t>
            </w:r>
          </w:p>
        </w:tc>
        <w:tc>
          <w:tcPr>
            <w:tcW w:w="0" w:type="dxa"/>
            <w:vAlign w:val="bottom"/>
          </w:tcPr>
          <w:p>
            <w:pPr>
              <w:spacing w:after="0"/>
              <w:rPr>
                <w:sz w:val="1"/>
                <w:szCs w:val="1"/>
                <w:color w:val="auto"/>
              </w:rPr>
            </w:pPr>
          </w:p>
        </w:tc>
      </w:tr>
      <w:tr>
        <w:trPr>
          <w:trHeight w:val="177"/>
        </w:trPr>
        <w:tc>
          <w:tcPr>
            <w:tcW w:w="3620" w:type="dxa"/>
            <w:vAlign w:val="bottom"/>
            <w:gridSpan w:val="2"/>
            <w:shd w:val="clear" w:color="auto" w:fill="FDFDFC"/>
          </w:tcPr>
          <w:p>
            <w:pPr>
              <w:ind w:left="100"/>
              <w:spacing w:after="0" w:line="177" w:lineRule="exact"/>
              <w:rPr>
                <w:sz w:val="20"/>
                <w:szCs w:val="20"/>
                <w:color w:val="auto"/>
              </w:rPr>
            </w:pPr>
            <w:r>
              <w:rPr>
                <w:rFonts w:ascii="Times New Roman" w:cs="Times New Roman" w:eastAsia="Times New Roman" w:hAnsi="Times New Roman"/>
                <w:sz w:val="14"/>
                <w:szCs w:val="14"/>
                <w:color w:val="231F20"/>
              </w:rPr>
              <w:t xml:space="preserve">with GAAP </w:t>
            </w:r>
            <w:r>
              <w:rPr>
                <w:rFonts w:ascii="Times New Roman" w:cs="Times New Roman" w:eastAsia="Times New Roman" w:hAnsi="Times New Roman"/>
                <w:sz w:val="18"/>
                <w:szCs w:val="18"/>
                <w:color w:val="231F20"/>
                <w:vertAlign w:val="superscript"/>
              </w:rPr>
              <w:t>(1)</w:t>
            </w:r>
          </w:p>
        </w:tc>
        <w:tc>
          <w:tcPr>
            <w:tcW w:w="860" w:type="dxa"/>
            <w:vAlign w:val="bottom"/>
            <w:vMerge w:val="continue"/>
            <w:shd w:val="clear" w:color="auto" w:fill="FDFDFC"/>
          </w:tcPr>
          <w:p>
            <w:pPr>
              <w:spacing w:after="0"/>
              <w:rPr>
                <w:sz w:val="15"/>
                <w:szCs w:val="15"/>
                <w:color w:val="auto"/>
              </w:rPr>
            </w:pPr>
          </w:p>
        </w:tc>
        <w:tc>
          <w:tcPr>
            <w:tcW w:w="100" w:type="dxa"/>
            <w:vAlign w:val="bottom"/>
            <w:shd w:val="clear" w:color="auto" w:fill="FDFDFC"/>
          </w:tcPr>
          <w:p>
            <w:pPr>
              <w:spacing w:after="0"/>
              <w:rPr>
                <w:sz w:val="15"/>
                <w:szCs w:val="15"/>
                <w:color w:val="auto"/>
              </w:rPr>
            </w:pPr>
          </w:p>
        </w:tc>
        <w:tc>
          <w:tcPr>
            <w:tcW w:w="100" w:type="dxa"/>
            <w:vAlign w:val="bottom"/>
            <w:shd w:val="clear" w:color="auto" w:fill="FDFDFC"/>
          </w:tcPr>
          <w:p>
            <w:pPr>
              <w:spacing w:after="0"/>
              <w:rPr>
                <w:sz w:val="15"/>
                <w:szCs w:val="15"/>
                <w:color w:val="auto"/>
              </w:rPr>
            </w:pPr>
          </w:p>
        </w:tc>
        <w:tc>
          <w:tcPr>
            <w:tcW w:w="20" w:type="dxa"/>
            <w:vAlign w:val="bottom"/>
            <w:shd w:val="clear" w:color="auto" w:fill="FDFDFC"/>
          </w:tcPr>
          <w:p>
            <w:pPr>
              <w:spacing w:after="0"/>
              <w:rPr>
                <w:sz w:val="15"/>
                <w:szCs w:val="15"/>
                <w:color w:val="auto"/>
              </w:rPr>
            </w:pPr>
          </w:p>
        </w:tc>
        <w:tc>
          <w:tcPr>
            <w:tcW w:w="20" w:type="dxa"/>
            <w:vAlign w:val="bottom"/>
            <w:shd w:val="clear" w:color="auto" w:fill="FDFDFC"/>
          </w:tcPr>
          <w:p>
            <w:pPr>
              <w:spacing w:after="0"/>
              <w:rPr>
                <w:sz w:val="15"/>
                <w:szCs w:val="15"/>
                <w:color w:val="auto"/>
              </w:rPr>
            </w:pPr>
          </w:p>
        </w:tc>
        <w:tc>
          <w:tcPr>
            <w:tcW w:w="60" w:type="dxa"/>
            <w:vAlign w:val="bottom"/>
            <w:shd w:val="clear" w:color="auto" w:fill="FDFDFC"/>
          </w:tcPr>
          <w:p>
            <w:pPr>
              <w:spacing w:after="0"/>
              <w:rPr>
                <w:sz w:val="15"/>
                <w:szCs w:val="15"/>
                <w:color w:val="auto"/>
              </w:rPr>
            </w:pPr>
          </w:p>
        </w:tc>
        <w:tc>
          <w:tcPr>
            <w:tcW w:w="420" w:type="dxa"/>
            <w:vAlign w:val="bottom"/>
            <w:vMerge w:val="continue"/>
            <w:shd w:val="clear" w:color="auto" w:fill="FDFDFC"/>
          </w:tcPr>
          <w:p>
            <w:pPr>
              <w:spacing w:after="0"/>
              <w:rPr>
                <w:sz w:val="15"/>
                <w:szCs w:val="15"/>
                <w:color w:val="auto"/>
              </w:rPr>
            </w:pPr>
          </w:p>
        </w:tc>
        <w:tc>
          <w:tcPr>
            <w:tcW w:w="100" w:type="dxa"/>
            <w:vAlign w:val="bottom"/>
            <w:shd w:val="clear" w:color="auto" w:fill="FDFDFC"/>
          </w:tcPr>
          <w:p>
            <w:pPr>
              <w:spacing w:after="0"/>
              <w:rPr>
                <w:sz w:val="15"/>
                <w:szCs w:val="15"/>
                <w:color w:val="auto"/>
              </w:rPr>
            </w:pPr>
          </w:p>
        </w:tc>
        <w:tc>
          <w:tcPr>
            <w:tcW w:w="20" w:type="dxa"/>
            <w:vAlign w:val="bottom"/>
            <w:shd w:val="clear" w:color="auto" w:fill="FDFDFC"/>
          </w:tcPr>
          <w:p>
            <w:pPr>
              <w:spacing w:after="0"/>
              <w:rPr>
                <w:sz w:val="15"/>
                <w:szCs w:val="15"/>
                <w:color w:val="auto"/>
              </w:rPr>
            </w:pPr>
          </w:p>
        </w:tc>
        <w:tc>
          <w:tcPr>
            <w:tcW w:w="80" w:type="dxa"/>
            <w:vAlign w:val="bottom"/>
            <w:shd w:val="clear" w:color="auto" w:fill="FDFDFC"/>
          </w:tcPr>
          <w:p>
            <w:pPr>
              <w:spacing w:after="0"/>
              <w:rPr>
                <w:sz w:val="15"/>
                <w:szCs w:val="15"/>
                <w:color w:val="auto"/>
              </w:rPr>
            </w:pPr>
          </w:p>
        </w:tc>
        <w:tc>
          <w:tcPr>
            <w:tcW w:w="20" w:type="dxa"/>
            <w:vAlign w:val="bottom"/>
            <w:shd w:val="clear" w:color="auto" w:fill="FDFDFC"/>
          </w:tcPr>
          <w:p>
            <w:pPr>
              <w:spacing w:after="0"/>
              <w:rPr>
                <w:sz w:val="15"/>
                <w:szCs w:val="15"/>
                <w:color w:val="auto"/>
              </w:rPr>
            </w:pPr>
          </w:p>
        </w:tc>
        <w:tc>
          <w:tcPr>
            <w:tcW w:w="20" w:type="dxa"/>
            <w:vAlign w:val="bottom"/>
            <w:shd w:val="clear" w:color="auto" w:fill="FDFDFC"/>
          </w:tcPr>
          <w:p>
            <w:pPr>
              <w:spacing w:after="0"/>
              <w:rPr>
                <w:sz w:val="15"/>
                <w:szCs w:val="15"/>
                <w:color w:val="auto"/>
              </w:rPr>
            </w:pPr>
          </w:p>
        </w:tc>
        <w:tc>
          <w:tcPr>
            <w:tcW w:w="660" w:type="dxa"/>
            <w:vAlign w:val="bottom"/>
            <w:vMerge w:val="continue"/>
            <w:shd w:val="clear" w:color="auto" w:fill="FDFDFC"/>
          </w:tcPr>
          <w:p>
            <w:pPr>
              <w:spacing w:after="0"/>
              <w:rPr>
                <w:sz w:val="15"/>
                <w:szCs w:val="15"/>
                <w:color w:val="auto"/>
              </w:rPr>
            </w:pPr>
          </w:p>
        </w:tc>
        <w:tc>
          <w:tcPr>
            <w:tcW w:w="100" w:type="dxa"/>
            <w:vAlign w:val="bottom"/>
            <w:shd w:val="clear" w:color="auto" w:fill="FDFDFC"/>
          </w:tcPr>
          <w:p>
            <w:pPr>
              <w:spacing w:after="0"/>
              <w:rPr>
                <w:sz w:val="15"/>
                <w:szCs w:val="15"/>
                <w:color w:val="auto"/>
              </w:rPr>
            </w:pPr>
          </w:p>
        </w:tc>
        <w:tc>
          <w:tcPr>
            <w:tcW w:w="20" w:type="dxa"/>
            <w:vAlign w:val="bottom"/>
            <w:shd w:val="clear" w:color="auto" w:fill="FDFDFC"/>
          </w:tcPr>
          <w:p>
            <w:pPr>
              <w:spacing w:after="0"/>
              <w:rPr>
                <w:sz w:val="15"/>
                <w:szCs w:val="15"/>
                <w:color w:val="auto"/>
              </w:rPr>
            </w:pPr>
          </w:p>
        </w:tc>
        <w:tc>
          <w:tcPr>
            <w:tcW w:w="80" w:type="dxa"/>
            <w:vAlign w:val="bottom"/>
            <w:shd w:val="clear" w:color="auto" w:fill="FDFDFC"/>
          </w:tcPr>
          <w:p>
            <w:pPr>
              <w:spacing w:after="0"/>
              <w:rPr>
                <w:sz w:val="15"/>
                <w:szCs w:val="15"/>
                <w:color w:val="auto"/>
              </w:rPr>
            </w:pPr>
          </w:p>
        </w:tc>
        <w:tc>
          <w:tcPr>
            <w:tcW w:w="20" w:type="dxa"/>
            <w:vAlign w:val="bottom"/>
            <w:shd w:val="clear" w:color="auto" w:fill="FDFDFC"/>
          </w:tcPr>
          <w:p>
            <w:pPr>
              <w:spacing w:after="0"/>
              <w:rPr>
                <w:sz w:val="15"/>
                <w:szCs w:val="15"/>
                <w:color w:val="auto"/>
              </w:rPr>
            </w:pPr>
          </w:p>
        </w:tc>
        <w:tc>
          <w:tcPr>
            <w:tcW w:w="20" w:type="dxa"/>
            <w:vAlign w:val="bottom"/>
            <w:shd w:val="clear" w:color="auto" w:fill="FDFDFC"/>
          </w:tcPr>
          <w:p>
            <w:pPr>
              <w:spacing w:after="0"/>
              <w:rPr>
                <w:sz w:val="15"/>
                <w:szCs w:val="15"/>
                <w:color w:val="auto"/>
              </w:rPr>
            </w:pPr>
          </w:p>
        </w:tc>
        <w:tc>
          <w:tcPr>
            <w:tcW w:w="60" w:type="dxa"/>
            <w:vAlign w:val="bottom"/>
            <w:shd w:val="clear" w:color="auto" w:fill="FDFDFC"/>
          </w:tcPr>
          <w:p>
            <w:pPr>
              <w:spacing w:after="0"/>
              <w:rPr>
                <w:sz w:val="15"/>
                <w:szCs w:val="15"/>
                <w:color w:val="auto"/>
              </w:rPr>
            </w:pPr>
          </w:p>
        </w:tc>
        <w:tc>
          <w:tcPr>
            <w:tcW w:w="620" w:type="dxa"/>
            <w:vAlign w:val="bottom"/>
            <w:gridSpan w:val="4"/>
            <w:vMerge w:val="continue"/>
            <w:shd w:val="clear" w:color="auto" w:fill="FDFDFC"/>
          </w:tcPr>
          <w:p>
            <w:pPr>
              <w:spacing w:after="0"/>
              <w:rPr>
                <w:sz w:val="15"/>
                <w:szCs w:val="15"/>
                <w:color w:val="auto"/>
              </w:rPr>
            </w:pPr>
          </w:p>
        </w:tc>
        <w:tc>
          <w:tcPr>
            <w:tcW w:w="60" w:type="dxa"/>
            <w:vAlign w:val="bottom"/>
            <w:shd w:val="clear" w:color="auto" w:fill="FDFDFC"/>
          </w:tcPr>
          <w:p>
            <w:pPr>
              <w:spacing w:after="0"/>
              <w:rPr>
                <w:sz w:val="15"/>
                <w:szCs w:val="15"/>
                <w:color w:val="auto"/>
              </w:rPr>
            </w:pPr>
          </w:p>
        </w:tc>
        <w:tc>
          <w:tcPr>
            <w:tcW w:w="140" w:type="dxa"/>
            <w:vAlign w:val="bottom"/>
            <w:shd w:val="clear" w:color="auto" w:fill="FDFDFC"/>
          </w:tcPr>
          <w:p>
            <w:pPr>
              <w:spacing w:after="0"/>
              <w:rPr>
                <w:sz w:val="15"/>
                <w:szCs w:val="15"/>
                <w:color w:val="auto"/>
              </w:rPr>
            </w:pPr>
          </w:p>
        </w:tc>
        <w:tc>
          <w:tcPr>
            <w:tcW w:w="1000" w:type="dxa"/>
            <w:vAlign w:val="bottom"/>
            <w:gridSpan w:val="2"/>
            <w:vMerge w:val="continue"/>
            <w:shd w:val="clear" w:color="auto" w:fill="FDFDFC"/>
          </w:tcPr>
          <w:p>
            <w:pPr>
              <w:spacing w:after="0"/>
              <w:rPr>
                <w:sz w:val="15"/>
                <w:szCs w:val="15"/>
                <w:color w:val="auto"/>
              </w:rPr>
            </w:pPr>
          </w:p>
        </w:tc>
        <w:tc>
          <w:tcPr>
            <w:tcW w:w="20" w:type="dxa"/>
            <w:vAlign w:val="bottom"/>
            <w:shd w:val="clear" w:color="auto" w:fill="FDFDFC"/>
          </w:tcPr>
          <w:p>
            <w:pPr>
              <w:spacing w:after="0"/>
              <w:rPr>
                <w:sz w:val="15"/>
                <w:szCs w:val="15"/>
                <w:color w:val="auto"/>
              </w:rPr>
            </w:pPr>
          </w:p>
        </w:tc>
        <w:tc>
          <w:tcPr>
            <w:tcW w:w="80" w:type="dxa"/>
            <w:vAlign w:val="bottom"/>
            <w:shd w:val="clear" w:color="auto" w:fill="FDFDFC"/>
          </w:tcPr>
          <w:p>
            <w:pPr>
              <w:spacing w:after="0"/>
              <w:rPr>
                <w:sz w:val="15"/>
                <w:szCs w:val="15"/>
                <w:color w:val="auto"/>
              </w:rPr>
            </w:pPr>
          </w:p>
        </w:tc>
        <w:tc>
          <w:tcPr>
            <w:tcW w:w="20" w:type="dxa"/>
            <w:vAlign w:val="bottom"/>
            <w:shd w:val="clear" w:color="auto" w:fill="FDFDFC"/>
          </w:tcPr>
          <w:p>
            <w:pPr>
              <w:spacing w:after="0"/>
              <w:rPr>
                <w:sz w:val="15"/>
                <w:szCs w:val="15"/>
                <w:color w:val="auto"/>
              </w:rPr>
            </w:pPr>
          </w:p>
        </w:tc>
        <w:tc>
          <w:tcPr>
            <w:tcW w:w="20" w:type="dxa"/>
            <w:vAlign w:val="bottom"/>
            <w:shd w:val="clear" w:color="auto" w:fill="FDFDFC"/>
          </w:tcPr>
          <w:p>
            <w:pPr>
              <w:spacing w:after="0"/>
              <w:rPr>
                <w:sz w:val="15"/>
                <w:szCs w:val="15"/>
                <w:color w:val="auto"/>
              </w:rPr>
            </w:pPr>
          </w:p>
        </w:tc>
        <w:tc>
          <w:tcPr>
            <w:tcW w:w="60" w:type="dxa"/>
            <w:vAlign w:val="bottom"/>
            <w:shd w:val="clear" w:color="auto" w:fill="FDFDFC"/>
          </w:tcPr>
          <w:p>
            <w:pPr>
              <w:spacing w:after="0"/>
              <w:rPr>
                <w:sz w:val="15"/>
                <w:szCs w:val="15"/>
                <w:color w:val="auto"/>
              </w:rPr>
            </w:pPr>
          </w:p>
        </w:tc>
        <w:tc>
          <w:tcPr>
            <w:tcW w:w="720" w:type="dxa"/>
            <w:vAlign w:val="bottom"/>
            <w:vMerge w:val="continue"/>
            <w:shd w:val="clear" w:color="auto" w:fill="FDFDFC"/>
          </w:tcPr>
          <w:p>
            <w:pPr>
              <w:spacing w:after="0"/>
              <w:rPr>
                <w:sz w:val="15"/>
                <w:szCs w:val="15"/>
                <w:color w:val="auto"/>
              </w:rPr>
            </w:pPr>
          </w:p>
        </w:tc>
        <w:tc>
          <w:tcPr>
            <w:tcW w:w="100" w:type="dxa"/>
            <w:vAlign w:val="bottom"/>
            <w:shd w:val="clear" w:color="auto" w:fill="FDFDFC"/>
          </w:tcPr>
          <w:p>
            <w:pPr>
              <w:spacing w:after="0"/>
              <w:rPr>
                <w:sz w:val="15"/>
                <w:szCs w:val="15"/>
                <w:color w:val="auto"/>
              </w:rPr>
            </w:pPr>
          </w:p>
        </w:tc>
        <w:tc>
          <w:tcPr>
            <w:tcW w:w="20" w:type="dxa"/>
            <w:vAlign w:val="bottom"/>
            <w:shd w:val="clear" w:color="auto" w:fill="FDFDFC"/>
          </w:tcPr>
          <w:p>
            <w:pPr>
              <w:spacing w:after="0"/>
              <w:rPr>
                <w:sz w:val="15"/>
                <w:szCs w:val="15"/>
                <w:color w:val="auto"/>
              </w:rPr>
            </w:pPr>
          </w:p>
        </w:tc>
        <w:tc>
          <w:tcPr>
            <w:tcW w:w="80" w:type="dxa"/>
            <w:vAlign w:val="bottom"/>
            <w:shd w:val="clear" w:color="auto" w:fill="FDFDFC"/>
          </w:tcPr>
          <w:p>
            <w:pPr>
              <w:spacing w:after="0"/>
              <w:rPr>
                <w:sz w:val="15"/>
                <w:szCs w:val="15"/>
                <w:color w:val="auto"/>
              </w:rPr>
            </w:pPr>
          </w:p>
        </w:tc>
        <w:tc>
          <w:tcPr>
            <w:tcW w:w="20" w:type="dxa"/>
            <w:vAlign w:val="bottom"/>
            <w:shd w:val="clear" w:color="auto" w:fill="FDFDFC"/>
          </w:tcPr>
          <w:p>
            <w:pPr>
              <w:spacing w:after="0"/>
              <w:rPr>
                <w:sz w:val="15"/>
                <w:szCs w:val="15"/>
                <w:color w:val="auto"/>
              </w:rPr>
            </w:pPr>
          </w:p>
        </w:tc>
        <w:tc>
          <w:tcPr>
            <w:tcW w:w="20" w:type="dxa"/>
            <w:vAlign w:val="bottom"/>
            <w:shd w:val="clear" w:color="auto" w:fill="FDFDFC"/>
          </w:tcPr>
          <w:p>
            <w:pPr>
              <w:spacing w:after="0"/>
              <w:rPr>
                <w:sz w:val="15"/>
                <w:szCs w:val="15"/>
                <w:color w:val="auto"/>
              </w:rPr>
            </w:pPr>
          </w:p>
        </w:tc>
        <w:tc>
          <w:tcPr>
            <w:tcW w:w="40" w:type="dxa"/>
            <w:vAlign w:val="bottom"/>
            <w:shd w:val="clear" w:color="auto" w:fill="FDFDFC"/>
          </w:tcPr>
          <w:p>
            <w:pPr>
              <w:spacing w:after="0"/>
              <w:rPr>
                <w:sz w:val="15"/>
                <w:szCs w:val="15"/>
                <w:color w:val="auto"/>
              </w:rPr>
            </w:pPr>
          </w:p>
        </w:tc>
        <w:tc>
          <w:tcPr>
            <w:tcW w:w="820" w:type="dxa"/>
            <w:vAlign w:val="bottom"/>
            <w:gridSpan w:val="2"/>
            <w:vMerge w:val="continue"/>
            <w:shd w:val="clear" w:color="auto" w:fill="FDFDFC"/>
          </w:tcPr>
          <w:p>
            <w:pPr>
              <w:spacing w:after="0"/>
              <w:rPr>
                <w:sz w:val="15"/>
                <w:szCs w:val="15"/>
                <w:color w:val="auto"/>
              </w:rPr>
            </w:pPr>
          </w:p>
        </w:tc>
        <w:tc>
          <w:tcPr>
            <w:tcW w:w="0" w:type="dxa"/>
            <w:vAlign w:val="bottom"/>
          </w:tcPr>
          <w:p>
            <w:pPr>
              <w:spacing w:after="0"/>
              <w:rPr>
                <w:sz w:val="1"/>
                <w:szCs w:val="1"/>
                <w:color w:val="auto"/>
              </w:rPr>
            </w:pPr>
          </w:p>
        </w:tc>
      </w:tr>
      <w:tr>
        <w:trPr>
          <w:trHeight w:val="206"/>
        </w:trPr>
        <w:tc>
          <w:tcPr>
            <w:tcW w:w="3620" w:type="dxa"/>
            <w:vAlign w:val="bottom"/>
            <w:tcBorders>
              <w:top w:val="single" w:sz="8" w:color="D0EBF2"/>
              <w:bottom w:val="single" w:sz="8" w:color="FDFDFC"/>
            </w:tcBorders>
            <w:gridSpan w:val="2"/>
            <w:shd w:val="clear" w:color="auto" w:fill="D0EBF2"/>
          </w:tcPr>
          <w:p>
            <w:pPr>
              <w:spacing w:after="0"/>
              <w:rPr>
                <w:sz w:val="20"/>
                <w:szCs w:val="20"/>
                <w:color w:val="auto"/>
              </w:rPr>
            </w:pPr>
            <w:r>
              <w:rPr>
                <w:rFonts w:ascii="Times New Roman" w:cs="Times New Roman" w:eastAsia="Times New Roman" w:hAnsi="Times New Roman"/>
                <w:sz w:val="14"/>
                <w:szCs w:val="14"/>
                <w:b w:val="1"/>
                <w:bCs w:val="1"/>
                <w:color w:val="231F20"/>
              </w:rPr>
              <w:t>Balance at December 31, 2023</w:t>
            </w:r>
          </w:p>
        </w:tc>
        <w:tc>
          <w:tcPr>
            <w:tcW w:w="860" w:type="dxa"/>
            <w:vAlign w:val="bottom"/>
            <w:tcBorders>
              <w:top w:val="single" w:sz="8" w:color="231F20"/>
              <w:bottom w:val="single" w:sz="8" w:color="231F20"/>
            </w:tcBorders>
            <w:shd w:val="clear" w:color="auto" w:fill="D0EBF2"/>
          </w:tcPr>
          <w:p>
            <w:pPr>
              <w:jc w:val="right"/>
              <w:spacing w:after="0"/>
              <w:rPr>
                <w:sz w:val="20"/>
                <w:szCs w:val="20"/>
                <w:color w:val="auto"/>
              </w:rPr>
            </w:pPr>
            <w:r>
              <w:rPr>
                <w:rFonts w:ascii="Times New Roman" w:cs="Times New Roman" w:eastAsia="Times New Roman" w:hAnsi="Times New Roman"/>
                <w:sz w:val="14"/>
                <w:szCs w:val="14"/>
                <w:b w:val="1"/>
                <w:bCs w:val="1"/>
                <w:color w:val="231F20"/>
              </w:rPr>
              <w:t>87,829,499</w:t>
            </w:r>
          </w:p>
        </w:tc>
        <w:tc>
          <w:tcPr>
            <w:tcW w:w="100" w:type="dxa"/>
            <w:vAlign w:val="bottom"/>
            <w:tcBorders>
              <w:top w:val="single" w:sz="8" w:color="D0EBF2"/>
              <w:bottom w:val="single" w:sz="8" w:color="FDFDFC"/>
            </w:tcBorders>
            <w:shd w:val="clear" w:color="auto" w:fill="D0EBF2"/>
          </w:tcPr>
          <w:p>
            <w:pPr>
              <w:spacing w:after="0"/>
              <w:rPr>
                <w:sz w:val="17"/>
                <w:szCs w:val="17"/>
                <w:color w:val="auto"/>
              </w:rPr>
            </w:pPr>
          </w:p>
        </w:tc>
        <w:tc>
          <w:tcPr>
            <w:tcW w:w="100" w:type="dxa"/>
            <w:vAlign w:val="bottom"/>
            <w:tcBorders>
              <w:top w:val="single" w:sz="8" w:color="D0EBF2"/>
              <w:bottom w:val="single" w:sz="8" w:color="FDFDFC"/>
            </w:tcBorders>
            <w:shd w:val="clear" w:color="auto" w:fill="D0EBF2"/>
          </w:tcPr>
          <w:p>
            <w:pPr>
              <w:spacing w:after="0"/>
              <w:rPr>
                <w:sz w:val="17"/>
                <w:szCs w:val="17"/>
                <w:color w:val="auto"/>
              </w:rPr>
            </w:pPr>
          </w:p>
        </w:tc>
        <w:tc>
          <w:tcPr>
            <w:tcW w:w="20" w:type="dxa"/>
            <w:vAlign w:val="bottom"/>
            <w:tcBorders>
              <w:top w:val="single" w:sz="8" w:color="D0EBF2"/>
              <w:bottom w:val="single" w:sz="8" w:color="FDFDFC"/>
            </w:tcBorders>
            <w:shd w:val="clear" w:color="auto" w:fill="D0EBF2"/>
          </w:tcPr>
          <w:p>
            <w:pPr>
              <w:spacing w:after="0"/>
              <w:rPr>
                <w:sz w:val="17"/>
                <w:szCs w:val="17"/>
                <w:color w:val="auto"/>
              </w:rPr>
            </w:pPr>
          </w:p>
        </w:tc>
        <w:tc>
          <w:tcPr>
            <w:tcW w:w="20" w:type="dxa"/>
            <w:vAlign w:val="bottom"/>
            <w:tcBorders>
              <w:top w:val="single" w:sz="8" w:color="231F20"/>
              <w:bottom w:val="single" w:sz="8" w:color="231F20"/>
            </w:tcBorders>
            <w:shd w:val="clear" w:color="auto" w:fill="D0EBF2"/>
          </w:tcPr>
          <w:p>
            <w:pPr>
              <w:spacing w:after="0"/>
              <w:rPr>
                <w:sz w:val="17"/>
                <w:szCs w:val="17"/>
                <w:color w:val="auto"/>
              </w:rPr>
            </w:pPr>
          </w:p>
        </w:tc>
        <w:tc>
          <w:tcPr>
            <w:tcW w:w="60" w:type="dxa"/>
            <w:vAlign w:val="bottom"/>
            <w:tcBorders>
              <w:top w:val="single" w:sz="8" w:color="231F20"/>
              <w:bottom w:val="single" w:sz="8" w:color="231F20"/>
            </w:tcBorders>
            <w:shd w:val="clear" w:color="auto" w:fill="D0EBF2"/>
          </w:tcPr>
          <w:p>
            <w:pPr>
              <w:spacing w:after="0"/>
              <w:rPr>
                <w:sz w:val="20"/>
                <w:szCs w:val="20"/>
                <w:color w:val="auto"/>
              </w:rPr>
            </w:pPr>
            <w:r>
              <w:rPr>
                <w:rFonts w:ascii="Times New Roman" w:cs="Times New Roman" w:eastAsia="Times New Roman" w:hAnsi="Times New Roman"/>
                <w:sz w:val="11"/>
                <w:szCs w:val="11"/>
                <w:b w:val="1"/>
                <w:bCs w:val="1"/>
                <w:color w:val="231F20"/>
                <w:w w:val="71"/>
                <w:shd w:val="clear" w:color="auto" w:fill="D0EBF2"/>
              </w:rPr>
              <w:t>$</w:t>
            </w:r>
          </w:p>
        </w:tc>
        <w:tc>
          <w:tcPr>
            <w:tcW w:w="420" w:type="dxa"/>
            <w:vAlign w:val="bottom"/>
            <w:tcBorders>
              <w:top w:val="single" w:sz="8" w:color="231F20"/>
              <w:bottom w:val="single" w:sz="8" w:color="231F20"/>
            </w:tcBorders>
            <w:shd w:val="clear" w:color="auto" w:fill="D0EBF2"/>
          </w:tcPr>
          <w:p>
            <w:pPr>
              <w:jc w:val="right"/>
              <w:spacing w:after="0"/>
              <w:rPr>
                <w:sz w:val="20"/>
                <w:szCs w:val="20"/>
                <w:color w:val="auto"/>
              </w:rPr>
            </w:pPr>
            <w:r>
              <w:rPr>
                <w:rFonts w:ascii="Times New Roman" w:cs="Times New Roman" w:eastAsia="Times New Roman" w:hAnsi="Times New Roman"/>
                <w:sz w:val="14"/>
                <w:szCs w:val="14"/>
                <w:b w:val="1"/>
                <w:bCs w:val="1"/>
                <w:color w:val="231F20"/>
                <w:shd w:val="clear" w:color="auto" w:fill="D0EBF2"/>
              </w:rPr>
              <w:t>885</w:t>
            </w:r>
          </w:p>
        </w:tc>
        <w:tc>
          <w:tcPr>
            <w:tcW w:w="100" w:type="dxa"/>
            <w:vAlign w:val="bottom"/>
            <w:tcBorders>
              <w:top w:val="single" w:sz="8" w:color="D0EBF2"/>
              <w:bottom w:val="single" w:sz="8" w:color="FDFDFC"/>
            </w:tcBorders>
            <w:shd w:val="clear" w:color="auto" w:fill="D0EBF2"/>
          </w:tcPr>
          <w:p>
            <w:pPr>
              <w:spacing w:after="0"/>
              <w:rPr>
                <w:sz w:val="17"/>
                <w:szCs w:val="17"/>
                <w:color w:val="auto"/>
              </w:rPr>
            </w:pPr>
          </w:p>
        </w:tc>
        <w:tc>
          <w:tcPr>
            <w:tcW w:w="20" w:type="dxa"/>
            <w:vAlign w:val="bottom"/>
            <w:tcBorders>
              <w:top w:val="single" w:sz="8" w:color="231F20"/>
              <w:bottom w:val="single" w:sz="8" w:color="231F20"/>
            </w:tcBorders>
            <w:shd w:val="clear" w:color="auto" w:fill="D0EBF2"/>
          </w:tcPr>
          <w:p>
            <w:pPr>
              <w:spacing w:after="0"/>
              <w:rPr>
                <w:sz w:val="17"/>
                <w:szCs w:val="17"/>
                <w:color w:val="auto"/>
              </w:rPr>
            </w:pPr>
          </w:p>
        </w:tc>
        <w:tc>
          <w:tcPr>
            <w:tcW w:w="780" w:type="dxa"/>
            <w:vAlign w:val="bottom"/>
            <w:tcBorders>
              <w:top w:val="single" w:sz="8" w:color="231F20"/>
              <w:bottom w:val="single" w:sz="8" w:color="231F20"/>
            </w:tcBorders>
            <w:gridSpan w:val="4"/>
            <w:shd w:val="clear" w:color="auto" w:fill="D0EBF2"/>
          </w:tcPr>
          <w:p>
            <w:pPr>
              <w:jc w:val="right"/>
              <w:spacing w:after="0"/>
              <w:rPr>
                <w:sz w:val="20"/>
                <w:szCs w:val="20"/>
                <w:color w:val="auto"/>
              </w:rPr>
            </w:pPr>
            <w:r>
              <w:rPr>
                <w:rFonts w:ascii="Times New Roman" w:cs="Times New Roman" w:eastAsia="Times New Roman" w:hAnsi="Times New Roman"/>
                <w:sz w:val="14"/>
                <w:szCs w:val="14"/>
                <w:b w:val="1"/>
                <w:bCs w:val="1"/>
                <w:color w:val="231F20"/>
              </w:rPr>
              <w:t>664,250</w:t>
            </w:r>
          </w:p>
        </w:tc>
        <w:tc>
          <w:tcPr>
            <w:tcW w:w="100" w:type="dxa"/>
            <w:vAlign w:val="bottom"/>
            <w:tcBorders>
              <w:top w:val="single" w:sz="8" w:color="D0EBF2"/>
              <w:bottom w:val="single" w:sz="8" w:color="FDFDFC"/>
            </w:tcBorders>
            <w:shd w:val="clear" w:color="auto" w:fill="D0EBF2"/>
          </w:tcPr>
          <w:p>
            <w:pPr>
              <w:spacing w:after="0"/>
              <w:rPr>
                <w:sz w:val="17"/>
                <w:szCs w:val="17"/>
                <w:color w:val="auto"/>
              </w:rPr>
            </w:pPr>
          </w:p>
        </w:tc>
        <w:tc>
          <w:tcPr>
            <w:tcW w:w="20" w:type="dxa"/>
            <w:vAlign w:val="bottom"/>
            <w:tcBorders>
              <w:top w:val="single" w:sz="8" w:color="231F20"/>
              <w:bottom w:val="single" w:sz="8" w:color="231F20"/>
            </w:tcBorders>
            <w:shd w:val="clear" w:color="auto" w:fill="D0EBF2"/>
          </w:tcPr>
          <w:p>
            <w:pPr>
              <w:spacing w:after="0"/>
              <w:rPr>
                <w:sz w:val="17"/>
                <w:szCs w:val="17"/>
                <w:color w:val="auto"/>
              </w:rPr>
            </w:pPr>
          </w:p>
        </w:tc>
        <w:tc>
          <w:tcPr>
            <w:tcW w:w="180" w:type="dxa"/>
            <w:vAlign w:val="bottom"/>
            <w:tcBorders>
              <w:top w:val="single" w:sz="8" w:color="231F20"/>
              <w:bottom w:val="single" w:sz="8" w:color="231F20"/>
            </w:tcBorders>
            <w:gridSpan w:val="4"/>
            <w:shd w:val="clear" w:color="auto" w:fill="D0EBF2"/>
          </w:tcPr>
          <w:p>
            <w:pPr>
              <w:jc w:val="right"/>
              <w:spacing w:after="0"/>
              <w:rPr>
                <w:sz w:val="20"/>
                <w:szCs w:val="20"/>
                <w:color w:val="auto"/>
              </w:rPr>
            </w:pPr>
            <w:r>
              <w:rPr>
                <w:rFonts w:ascii="Times New Roman" w:cs="Times New Roman" w:eastAsia="Times New Roman" w:hAnsi="Times New Roman"/>
                <w:sz w:val="14"/>
                <w:szCs w:val="14"/>
                <w:b w:val="1"/>
                <w:bCs w:val="1"/>
                <w:color w:val="231F20"/>
              </w:rPr>
              <w:t>$</w:t>
            </w:r>
          </w:p>
        </w:tc>
        <w:tc>
          <w:tcPr>
            <w:tcW w:w="480" w:type="dxa"/>
            <w:vAlign w:val="bottom"/>
            <w:tcBorders>
              <w:top w:val="single" w:sz="8" w:color="231F20"/>
              <w:bottom w:val="single" w:sz="8" w:color="231F20"/>
            </w:tcBorders>
            <w:shd w:val="clear" w:color="auto" w:fill="D0EBF2"/>
          </w:tcPr>
          <w:p>
            <w:pPr>
              <w:jc w:val="right"/>
              <w:spacing w:after="0"/>
              <w:rPr>
                <w:sz w:val="20"/>
                <w:szCs w:val="20"/>
                <w:color w:val="auto"/>
              </w:rPr>
            </w:pPr>
            <w:r>
              <w:rPr>
                <w:rFonts w:ascii="Times New Roman" w:cs="Times New Roman" w:eastAsia="Times New Roman" w:hAnsi="Times New Roman"/>
                <w:sz w:val="14"/>
                <w:szCs w:val="14"/>
                <w:b w:val="1"/>
                <w:bCs w:val="1"/>
                <w:color w:val="231F20"/>
              </w:rPr>
              <w:t>(10,459</w:t>
            </w:r>
          </w:p>
        </w:tc>
        <w:tc>
          <w:tcPr>
            <w:tcW w:w="100" w:type="dxa"/>
            <w:vAlign w:val="bottom"/>
            <w:tcBorders>
              <w:top w:val="single" w:sz="8" w:color="D0EBF2"/>
              <w:bottom w:val="single" w:sz="8" w:color="FDFDFC"/>
            </w:tcBorders>
            <w:shd w:val="clear" w:color="auto" w:fill="D0EBF2"/>
          </w:tcPr>
          <w:p>
            <w:pPr>
              <w:jc w:val="right"/>
              <w:spacing w:after="0"/>
              <w:rPr>
                <w:sz w:val="20"/>
                <w:szCs w:val="20"/>
                <w:color w:val="auto"/>
              </w:rPr>
            </w:pPr>
            <w:r>
              <w:rPr>
                <w:rFonts w:ascii="Times New Roman" w:cs="Times New Roman" w:eastAsia="Times New Roman" w:hAnsi="Times New Roman"/>
                <w:sz w:val="14"/>
                <w:szCs w:val="14"/>
                <w:b w:val="1"/>
                <w:bCs w:val="1"/>
                <w:color w:val="231F20"/>
                <w:w w:val="84"/>
                <w:shd w:val="clear" w:color="auto" w:fill="D0EBF2"/>
              </w:rPr>
              <w:t>)</w:t>
            </w:r>
          </w:p>
        </w:tc>
        <w:tc>
          <w:tcPr>
            <w:tcW w:w="20" w:type="dxa"/>
            <w:vAlign w:val="bottom"/>
            <w:tcBorders>
              <w:top w:val="single" w:sz="8" w:color="D0EBF2"/>
              <w:bottom w:val="single" w:sz="8" w:color="FDFDFC"/>
            </w:tcBorders>
            <w:shd w:val="clear" w:color="auto" w:fill="D0EBF2"/>
          </w:tcPr>
          <w:p>
            <w:pPr>
              <w:spacing w:after="0"/>
              <w:rPr>
                <w:sz w:val="17"/>
                <w:szCs w:val="17"/>
                <w:color w:val="auto"/>
              </w:rPr>
            </w:pPr>
          </w:p>
        </w:tc>
        <w:tc>
          <w:tcPr>
            <w:tcW w:w="20" w:type="dxa"/>
            <w:vAlign w:val="bottom"/>
            <w:tcBorders>
              <w:top w:val="single" w:sz="8" w:color="231F20"/>
              <w:bottom w:val="single" w:sz="8" w:color="231F20"/>
            </w:tcBorders>
            <w:shd w:val="clear" w:color="auto" w:fill="D0EBF2"/>
          </w:tcPr>
          <w:p>
            <w:pPr>
              <w:spacing w:after="0"/>
              <w:rPr>
                <w:sz w:val="17"/>
                <w:szCs w:val="17"/>
                <w:color w:val="auto"/>
              </w:rPr>
            </w:pPr>
          </w:p>
        </w:tc>
        <w:tc>
          <w:tcPr>
            <w:tcW w:w="200" w:type="dxa"/>
            <w:vAlign w:val="bottom"/>
            <w:tcBorders>
              <w:top w:val="single" w:sz="8" w:color="231F20"/>
              <w:bottom w:val="single" w:sz="8" w:color="231F20"/>
            </w:tcBorders>
            <w:gridSpan w:val="2"/>
            <w:shd w:val="clear" w:color="auto" w:fill="D0EBF2"/>
          </w:tcPr>
          <w:p>
            <w:pPr>
              <w:jc w:val="right"/>
              <w:spacing w:after="0"/>
              <w:rPr>
                <w:sz w:val="20"/>
                <w:szCs w:val="20"/>
                <w:color w:val="auto"/>
              </w:rPr>
            </w:pPr>
            <w:r>
              <w:rPr>
                <w:rFonts w:ascii="Times New Roman" w:cs="Times New Roman" w:eastAsia="Times New Roman" w:hAnsi="Times New Roman"/>
                <w:sz w:val="14"/>
                <w:szCs w:val="14"/>
                <w:b w:val="1"/>
                <w:bCs w:val="1"/>
                <w:color w:val="231F20"/>
              </w:rPr>
              <w:t>$</w:t>
            </w:r>
          </w:p>
        </w:tc>
        <w:tc>
          <w:tcPr>
            <w:tcW w:w="900" w:type="dxa"/>
            <w:vAlign w:val="bottom"/>
            <w:tcBorders>
              <w:top w:val="single" w:sz="8" w:color="231F20"/>
              <w:bottom w:val="single" w:sz="8" w:color="231F20"/>
            </w:tcBorders>
            <w:shd w:val="clear" w:color="auto" w:fill="D0EBF2"/>
          </w:tcPr>
          <w:p>
            <w:pPr>
              <w:jc w:val="right"/>
              <w:spacing w:after="0"/>
              <w:rPr>
                <w:sz w:val="20"/>
                <w:szCs w:val="20"/>
                <w:color w:val="auto"/>
              </w:rPr>
            </w:pPr>
            <w:r>
              <w:rPr>
                <w:rFonts w:ascii="Times New Roman" w:cs="Times New Roman" w:eastAsia="Times New Roman" w:hAnsi="Times New Roman"/>
                <w:sz w:val="14"/>
                <w:szCs w:val="14"/>
                <w:b w:val="1"/>
                <w:bCs w:val="1"/>
                <w:color w:val="231F20"/>
              </w:rPr>
              <w:t>1,405,173</w:t>
            </w:r>
          </w:p>
        </w:tc>
        <w:tc>
          <w:tcPr>
            <w:tcW w:w="100" w:type="dxa"/>
            <w:vAlign w:val="bottom"/>
            <w:tcBorders>
              <w:top w:val="single" w:sz="8" w:color="D0EBF2"/>
              <w:bottom w:val="single" w:sz="8" w:color="FDFDFC"/>
            </w:tcBorders>
            <w:shd w:val="clear" w:color="auto" w:fill="D0EBF2"/>
          </w:tcPr>
          <w:p>
            <w:pPr>
              <w:spacing w:after="0"/>
              <w:rPr>
                <w:sz w:val="17"/>
                <w:szCs w:val="17"/>
                <w:color w:val="auto"/>
              </w:rPr>
            </w:pPr>
          </w:p>
        </w:tc>
        <w:tc>
          <w:tcPr>
            <w:tcW w:w="20" w:type="dxa"/>
            <w:vAlign w:val="bottom"/>
            <w:tcBorders>
              <w:top w:val="single" w:sz="8" w:color="231F20"/>
              <w:bottom w:val="single" w:sz="8" w:color="231F20"/>
            </w:tcBorders>
            <w:shd w:val="clear" w:color="auto" w:fill="D0EBF2"/>
          </w:tcPr>
          <w:p>
            <w:pPr>
              <w:spacing w:after="0"/>
              <w:rPr>
                <w:sz w:val="17"/>
                <w:szCs w:val="17"/>
                <w:color w:val="auto"/>
              </w:rPr>
            </w:pPr>
          </w:p>
        </w:tc>
        <w:tc>
          <w:tcPr>
            <w:tcW w:w="80" w:type="dxa"/>
            <w:vAlign w:val="bottom"/>
            <w:tcBorders>
              <w:top w:val="single" w:sz="8" w:color="231F20"/>
              <w:bottom w:val="single" w:sz="8" w:color="231F20"/>
            </w:tcBorders>
            <w:shd w:val="clear" w:color="auto" w:fill="D0EBF2"/>
          </w:tcPr>
          <w:p>
            <w:pPr>
              <w:spacing w:after="0"/>
              <w:rPr>
                <w:sz w:val="17"/>
                <w:szCs w:val="17"/>
                <w:color w:val="auto"/>
              </w:rPr>
            </w:pPr>
          </w:p>
        </w:tc>
        <w:tc>
          <w:tcPr>
            <w:tcW w:w="20" w:type="dxa"/>
            <w:vAlign w:val="bottom"/>
            <w:tcBorders>
              <w:top w:val="single" w:sz="8" w:color="231F20"/>
              <w:bottom w:val="single" w:sz="8" w:color="231F20"/>
            </w:tcBorders>
            <w:shd w:val="clear" w:color="auto" w:fill="D0EBF2"/>
          </w:tcPr>
          <w:p>
            <w:pPr>
              <w:spacing w:after="0"/>
              <w:rPr>
                <w:sz w:val="17"/>
                <w:szCs w:val="17"/>
                <w:color w:val="auto"/>
              </w:rPr>
            </w:pPr>
          </w:p>
        </w:tc>
        <w:tc>
          <w:tcPr>
            <w:tcW w:w="20" w:type="dxa"/>
            <w:vAlign w:val="bottom"/>
            <w:tcBorders>
              <w:top w:val="single" w:sz="8" w:color="231F20"/>
              <w:bottom w:val="single" w:sz="8" w:color="231F20"/>
            </w:tcBorders>
            <w:shd w:val="clear" w:color="auto" w:fill="D0EBF2"/>
          </w:tcPr>
          <w:p>
            <w:pPr>
              <w:spacing w:after="0"/>
              <w:rPr>
                <w:sz w:val="17"/>
                <w:szCs w:val="17"/>
                <w:color w:val="auto"/>
              </w:rPr>
            </w:pPr>
          </w:p>
        </w:tc>
        <w:tc>
          <w:tcPr>
            <w:tcW w:w="60" w:type="dxa"/>
            <w:vAlign w:val="bottom"/>
            <w:tcBorders>
              <w:top w:val="single" w:sz="8" w:color="231F20"/>
              <w:bottom w:val="single" w:sz="8" w:color="231F20"/>
            </w:tcBorders>
            <w:shd w:val="clear" w:color="auto" w:fill="D0EBF2"/>
          </w:tcPr>
          <w:p>
            <w:pPr>
              <w:spacing w:after="0"/>
              <w:rPr>
                <w:sz w:val="20"/>
                <w:szCs w:val="20"/>
                <w:color w:val="auto"/>
              </w:rPr>
            </w:pPr>
            <w:r>
              <w:rPr>
                <w:rFonts w:ascii="Times New Roman" w:cs="Times New Roman" w:eastAsia="Times New Roman" w:hAnsi="Times New Roman"/>
                <w:sz w:val="11"/>
                <w:szCs w:val="11"/>
                <w:b w:val="1"/>
                <w:bCs w:val="1"/>
                <w:color w:val="231F20"/>
                <w:w w:val="71"/>
              </w:rPr>
              <w:t>$</w:t>
            </w:r>
          </w:p>
        </w:tc>
        <w:tc>
          <w:tcPr>
            <w:tcW w:w="720" w:type="dxa"/>
            <w:vAlign w:val="bottom"/>
            <w:tcBorders>
              <w:top w:val="single" w:sz="8" w:color="231F20"/>
              <w:bottom w:val="single" w:sz="8" w:color="231F20"/>
            </w:tcBorders>
            <w:shd w:val="clear" w:color="auto" w:fill="D0EBF2"/>
          </w:tcPr>
          <w:p>
            <w:pPr>
              <w:jc w:val="right"/>
              <w:spacing w:after="0"/>
              <w:rPr>
                <w:sz w:val="20"/>
                <w:szCs w:val="20"/>
                <w:color w:val="auto"/>
              </w:rPr>
            </w:pPr>
            <w:r>
              <w:rPr>
                <w:rFonts w:ascii="Times New Roman" w:cs="Times New Roman" w:eastAsia="Times New Roman" w:hAnsi="Times New Roman"/>
                <w:sz w:val="14"/>
                <w:szCs w:val="14"/>
                <w:b w:val="1"/>
                <w:bCs w:val="1"/>
                <w:color w:val="231F20"/>
              </w:rPr>
              <w:t>100,776</w:t>
            </w:r>
          </w:p>
        </w:tc>
        <w:tc>
          <w:tcPr>
            <w:tcW w:w="100" w:type="dxa"/>
            <w:vAlign w:val="bottom"/>
            <w:tcBorders>
              <w:top w:val="single" w:sz="8" w:color="D0EBF2"/>
              <w:bottom w:val="single" w:sz="8" w:color="FDFDFC"/>
            </w:tcBorders>
            <w:shd w:val="clear" w:color="auto" w:fill="D0EBF2"/>
          </w:tcPr>
          <w:p>
            <w:pPr>
              <w:spacing w:after="0"/>
              <w:rPr>
                <w:sz w:val="17"/>
                <w:szCs w:val="17"/>
                <w:color w:val="auto"/>
              </w:rPr>
            </w:pPr>
          </w:p>
        </w:tc>
        <w:tc>
          <w:tcPr>
            <w:tcW w:w="20" w:type="dxa"/>
            <w:vAlign w:val="bottom"/>
            <w:tcBorders>
              <w:top w:val="single" w:sz="8" w:color="231F20"/>
              <w:bottom w:val="single" w:sz="8" w:color="231F20"/>
            </w:tcBorders>
            <w:shd w:val="clear" w:color="auto" w:fill="D0EBF2"/>
          </w:tcPr>
          <w:p>
            <w:pPr>
              <w:spacing w:after="0"/>
              <w:rPr>
                <w:sz w:val="17"/>
                <w:szCs w:val="17"/>
                <w:color w:val="auto"/>
              </w:rPr>
            </w:pPr>
          </w:p>
        </w:tc>
        <w:tc>
          <w:tcPr>
            <w:tcW w:w="80" w:type="dxa"/>
            <w:vAlign w:val="bottom"/>
            <w:tcBorders>
              <w:top w:val="single" w:sz="8" w:color="231F20"/>
              <w:bottom w:val="single" w:sz="8" w:color="231F20"/>
            </w:tcBorders>
            <w:shd w:val="clear" w:color="auto" w:fill="D0EBF2"/>
          </w:tcPr>
          <w:p>
            <w:pPr>
              <w:spacing w:after="0"/>
              <w:rPr>
                <w:sz w:val="17"/>
                <w:szCs w:val="17"/>
                <w:color w:val="auto"/>
              </w:rPr>
            </w:pPr>
          </w:p>
        </w:tc>
        <w:tc>
          <w:tcPr>
            <w:tcW w:w="20" w:type="dxa"/>
            <w:vAlign w:val="bottom"/>
            <w:tcBorders>
              <w:top w:val="single" w:sz="8" w:color="231F20"/>
              <w:bottom w:val="single" w:sz="8" w:color="231F20"/>
            </w:tcBorders>
            <w:shd w:val="clear" w:color="auto" w:fill="D0EBF2"/>
          </w:tcPr>
          <w:p>
            <w:pPr>
              <w:spacing w:after="0"/>
              <w:rPr>
                <w:sz w:val="17"/>
                <w:szCs w:val="17"/>
                <w:color w:val="auto"/>
              </w:rPr>
            </w:pPr>
          </w:p>
        </w:tc>
        <w:tc>
          <w:tcPr>
            <w:tcW w:w="20" w:type="dxa"/>
            <w:vAlign w:val="bottom"/>
            <w:tcBorders>
              <w:top w:val="single" w:sz="8" w:color="231F20"/>
              <w:bottom w:val="single" w:sz="8" w:color="231F20"/>
            </w:tcBorders>
            <w:shd w:val="clear" w:color="auto" w:fill="D0EBF2"/>
          </w:tcPr>
          <w:p>
            <w:pPr>
              <w:spacing w:after="0"/>
              <w:rPr>
                <w:sz w:val="17"/>
                <w:szCs w:val="17"/>
                <w:color w:val="auto"/>
              </w:rPr>
            </w:pPr>
          </w:p>
        </w:tc>
        <w:tc>
          <w:tcPr>
            <w:tcW w:w="40" w:type="dxa"/>
            <w:vAlign w:val="bottom"/>
            <w:tcBorders>
              <w:top w:val="single" w:sz="8" w:color="231F20"/>
              <w:bottom w:val="single" w:sz="8" w:color="231F20"/>
            </w:tcBorders>
            <w:shd w:val="clear" w:color="auto" w:fill="D0EBF2"/>
          </w:tcPr>
          <w:p>
            <w:pPr>
              <w:jc w:val="right"/>
              <w:spacing w:after="0"/>
              <w:rPr>
                <w:sz w:val="20"/>
                <w:szCs w:val="20"/>
                <w:color w:val="auto"/>
              </w:rPr>
            </w:pPr>
            <w:r>
              <w:rPr>
                <w:rFonts w:ascii="Times New Roman" w:cs="Times New Roman" w:eastAsia="Times New Roman" w:hAnsi="Times New Roman"/>
                <w:sz w:val="5"/>
                <w:szCs w:val="5"/>
                <w:b w:val="1"/>
                <w:bCs w:val="1"/>
                <w:color w:val="231F20"/>
                <w:w w:val="78"/>
              </w:rPr>
              <w:t>$</w:t>
            </w:r>
          </w:p>
        </w:tc>
        <w:tc>
          <w:tcPr>
            <w:tcW w:w="720" w:type="dxa"/>
            <w:vAlign w:val="bottom"/>
            <w:tcBorders>
              <w:top w:val="single" w:sz="8" w:color="231F20"/>
              <w:bottom w:val="single" w:sz="8" w:color="231F20"/>
            </w:tcBorders>
            <w:shd w:val="clear" w:color="auto" w:fill="D0EBF2"/>
          </w:tcPr>
          <w:p>
            <w:pPr>
              <w:jc w:val="right"/>
              <w:spacing w:after="0"/>
              <w:rPr>
                <w:sz w:val="20"/>
                <w:szCs w:val="20"/>
                <w:color w:val="auto"/>
              </w:rPr>
            </w:pPr>
            <w:r>
              <w:rPr>
                <w:rFonts w:ascii="Times New Roman" w:cs="Times New Roman" w:eastAsia="Times New Roman" w:hAnsi="Times New Roman"/>
                <w:sz w:val="14"/>
                <w:szCs w:val="14"/>
                <w:b w:val="1"/>
                <w:bCs w:val="1"/>
                <w:color w:val="231F20"/>
              </w:rPr>
              <w:t>1,496,375</w:t>
            </w:r>
          </w:p>
        </w:tc>
        <w:tc>
          <w:tcPr>
            <w:tcW w:w="100" w:type="dxa"/>
            <w:vAlign w:val="bottom"/>
            <w:tcBorders>
              <w:top w:val="single" w:sz="8" w:color="D0EBF2"/>
              <w:bottom w:val="single" w:sz="8" w:color="FDFDFC"/>
            </w:tcBorders>
            <w:shd w:val="clear" w:color="auto" w:fill="D0EBF2"/>
          </w:tcPr>
          <w:p>
            <w:pPr>
              <w:spacing w:after="0"/>
              <w:rPr>
                <w:sz w:val="17"/>
                <w:szCs w:val="17"/>
                <w:color w:val="auto"/>
              </w:rPr>
            </w:pPr>
          </w:p>
        </w:tc>
        <w:tc>
          <w:tcPr>
            <w:tcW w:w="0" w:type="dxa"/>
            <w:vAlign w:val="bottom"/>
          </w:tcPr>
          <w:p>
            <w:pPr>
              <w:spacing w:after="0"/>
              <w:rPr>
                <w:sz w:val="1"/>
                <w:szCs w:val="1"/>
                <w:color w:val="auto"/>
              </w:rPr>
            </w:pPr>
          </w:p>
        </w:tc>
      </w:tr>
      <w:tr>
        <w:trPr>
          <w:trHeight w:val="145"/>
        </w:trPr>
        <w:tc>
          <w:tcPr>
            <w:tcW w:w="3620" w:type="dxa"/>
            <w:vAlign w:val="bottom"/>
            <w:gridSpan w:val="2"/>
            <w:shd w:val="clear" w:color="auto" w:fill="FDFDFC"/>
          </w:tcPr>
          <w:p>
            <w:pPr>
              <w:ind w:left="100"/>
              <w:spacing w:after="0" w:line="145" w:lineRule="exact"/>
              <w:rPr>
                <w:sz w:val="20"/>
                <w:szCs w:val="20"/>
                <w:color w:val="auto"/>
              </w:rPr>
            </w:pPr>
            <w:r>
              <w:rPr>
                <w:rFonts w:ascii="Times New Roman" w:cs="Times New Roman" w:eastAsia="Times New Roman" w:hAnsi="Times New Roman"/>
                <w:sz w:val="14"/>
                <w:szCs w:val="14"/>
                <w:color w:val="231F20"/>
              </w:rPr>
              <w:t>Net increase (decrease) in net assets resulting from</w:t>
            </w:r>
          </w:p>
        </w:tc>
        <w:tc>
          <w:tcPr>
            <w:tcW w:w="860" w:type="dxa"/>
            <w:vAlign w:val="bottom"/>
            <w:shd w:val="clear" w:color="auto" w:fill="FDFDFC"/>
          </w:tcPr>
          <w:p>
            <w:pPr>
              <w:spacing w:after="0"/>
              <w:rPr>
                <w:sz w:val="12"/>
                <w:szCs w:val="12"/>
                <w:color w:val="auto"/>
              </w:rPr>
            </w:pPr>
          </w:p>
        </w:tc>
        <w:tc>
          <w:tcPr>
            <w:tcW w:w="100" w:type="dxa"/>
            <w:vAlign w:val="bottom"/>
            <w:shd w:val="clear" w:color="auto" w:fill="FDFDFC"/>
          </w:tcPr>
          <w:p>
            <w:pPr>
              <w:spacing w:after="0"/>
              <w:rPr>
                <w:sz w:val="12"/>
                <w:szCs w:val="12"/>
                <w:color w:val="auto"/>
              </w:rPr>
            </w:pPr>
          </w:p>
        </w:tc>
        <w:tc>
          <w:tcPr>
            <w:tcW w:w="100" w:type="dxa"/>
            <w:vAlign w:val="bottom"/>
            <w:shd w:val="clear" w:color="auto" w:fill="FDFDFC"/>
          </w:tcPr>
          <w:p>
            <w:pPr>
              <w:spacing w:after="0"/>
              <w:rPr>
                <w:sz w:val="12"/>
                <w:szCs w:val="12"/>
                <w:color w:val="auto"/>
              </w:rPr>
            </w:pPr>
          </w:p>
        </w:tc>
        <w:tc>
          <w:tcPr>
            <w:tcW w:w="20" w:type="dxa"/>
            <w:vAlign w:val="bottom"/>
            <w:shd w:val="clear" w:color="auto" w:fill="FDFDFC"/>
          </w:tcPr>
          <w:p>
            <w:pPr>
              <w:spacing w:after="0"/>
              <w:rPr>
                <w:sz w:val="12"/>
                <w:szCs w:val="12"/>
                <w:color w:val="auto"/>
              </w:rPr>
            </w:pPr>
          </w:p>
        </w:tc>
        <w:tc>
          <w:tcPr>
            <w:tcW w:w="20" w:type="dxa"/>
            <w:vAlign w:val="bottom"/>
            <w:shd w:val="clear" w:color="auto" w:fill="FDFDFC"/>
          </w:tcPr>
          <w:p>
            <w:pPr>
              <w:spacing w:after="0"/>
              <w:rPr>
                <w:sz w:val="12"/>
                <w:szCs w:val="12"/>
                <w:color w:val="auto"/>
              </w:rPr>
            </w:pPr>
          </w:p>
        </w:tc>
        <w:tc>
          <w:tcPr>
            <w:tcW w:w="60" w:type="dxa"/>
            <w:vAlign w:val="bottom"/>
            <w:shd w:val="clear" w:color="auto" w:fill="FDFDFC"/>
          </w:tcPr>
          <w:p>
            <w:pPr>
              <w:spacing w:after="0"/>
              <w:rPr>
                <w:sz w:val="12"/>
                <w:szCs w:val="12"/>
                <w:color w:val="auto"/>
              </w:rPr>
            </w:pPr>
          </w:p>
        </w:tc>
        <w:tc>
          <w:tcPr>
            <w:tcW w:w="420" w:type="dxa"/>
            <w:vAlign w:val="bottom"/>
            <w:shd w:val="clear" w:color="auto" w:fill="FDFDFC"/>
          </w:tcPr>
          <w:p>
            <w:pPr>
              <w:spacing w:after="0"/>
              <w:rPr>
                <w:sz w:val="12"/>
                <w:szCs w:val="12"/>
                <w:color w:val="auto"/>
              </w:rPr>
            </w:pPr>
          </w:p>
        </w:tc>
        <w:tc>
          <w:tcPr>
            <w:tcW w:w="100" w:type="dxa"/>
            <w:vAlign w:val="bottom"/>
            <w:shd w:val="clear" w:color="auto" w:fill="FDFDFC"/>
          </w:tcPr>
          <w:p>
            <w:pPr>
              <w:spacing w:after="0"/>
              <w:rPr>
                <w:sz w:val="12"/>
                <w:szCs w:val="12"/>
                <w:color w:val="auto"/>
              </w:rPr>
            </w:pPr>
          </w:p>
        </w:tc>
        <w:tc>
          <w:tcPr>
            <w:tcW w:w="20" w:type="dxa"/>
            <w:vAlign w:val="bottom"/>
            <w:shd w:val="clear" w:color="auto" w:fill="FDFDFC"/>
          </w:tcPr>
          <w:p>
            <w:pPr>
              <w:spacing w:after="0"/>
              <w:rPr>
                <w:sz w:val="12"/>
                <w:szCs w:val="12"/>
                <w:color w:val="auto"/>
              </w:rPr>
            </w:pPr>
          </w:p>
        </w:tc>
        <w:tc>
          <w:tcPr>
            <w:tcW w:w="80" w:type="dxa"/>
            <w:vAlign w:val="bottom"/>
            <w:shd w:val="clear" w:color="auto" w:fill="FDFDFC"/>
          </w:tcPr>
          <w:p>
            <w:pPr>
              <w:spacing w:after="0"/>
              <w:rPr>
                <w:sz w:val="12"/>
                <w:szCs w:val="12"/>
                <w:color w:val="auto"/>
              </w:rPr>
            </w:pPr>
          </w:p>
        </w:tc>
        <w:tc>
          <w:tcPr>
            <w:tcW w:w="20" w:type="dxa"/>
            <w:vAlign w:val="bottom"/>
            <w:shd w:val="clear" w:color="auto" w:fill="FDFDFC"/>
          </w:tcPr>
          <w:p>
            <w:pPr>
              <w:spacing w:after="0"/>
              <w:rPr>
                <w:sz w:val="12"/>
                <w:szCs w:val="12"/>
                <w:color w:val="auto"/>
              </w:rPr>
            </w:pPr>
          </w:p>
        </w:tc>
        <w:tc>
          <w:tcPr>
            <w:tcW w:w="20" w:type="dxa"/>
            <w:vAlign w:val="bottom"/>
            <w:shd w:val="clear" w:color="auto" w:fill="FDFDFC"/>
          </w:tcPr>
          <w:p>
            <w:pPr>
              <w:spacing w:after="0"/>
              <w:rPr>
                <w:sz w:val="12"/>
                <w:szCs w:val="12"/>
                <w:color w:val="auto"/>
              </w:rPr>
            </w:pPr>
          </w:p>
        </w:tc>
        <w:tc>
          <w:tcPr>
            <w:tcW w:w="660" w:type="dxa"/>
            <w:vAlign w:val="bottom"/>
            <w:shd w:val="clear" w:color="auto" w:fill="FDFDFC"/>
          </w:tcPr>
          <w:p>
            <w:pPr>
              <w:spacing w:after="0"/>
              <w:rPr>
                <w:sz w:val="12"/>
                <w:szCs w:val="12"/>
                <w:color w:val="auto"/>
              </w:rPr>
            </w:pPr>
          </w:p>
        </w:tc>
        <w:tc>
          <w:tcPr>
            <w:tcW w:w="100" w:type="dxa"/>
            <w:vAlign w:val="bottom"/>
            <w:shd w:val="clear" w:color="auto" w:fill="FDFDFC"/>
          </w:tcPr>
          <w:p>
            <w:pPr>
              <w:spacing w:after="0"/>
              <w:rPr>
                <w:sz w:val="12"/>
                <w:szCs w:val="12"/>
                <w:color w:val="auto"/>
              </w:rPr>
            </w:pPr>
          </w:p>
        </w:tc>
        <w:tc>
          <w:tcPr>
            <w:tcW w:w="20" w:type="dxa"/>
            <w:vAlign w:val="bottom"/>
            <w:shd w:val="clear" w:color="auto" w:fill="FDFDFC"/>
          </w:tcPr>
          <w:p>
            <w:pPr>
              <w:spacing w:after="0"/>
              <w:rPr>
                <w:sz w:val="12"/>
                <w:szCs w:val="12"/>
                <w:color w:val="auto"/>
              </w:rPr>
            </w:pPr>
          </w:p>
        </w:tc>
        <w:tc>
          <w:tcPr>
            <w:tcW w:w="80" w:type="dxa"/>
            <w:vAlign w:val="bottom"/>
            <w:shd w:val="clear" w:color="auto" w:fill="FDFDFC"/>
          </w:tcPr>
          <w:p>
            <w:pPr>
              <w:spacing w:after="0"/>
              <w:rPr>
                <w:sz w:val="12"/>
                <w:szCs w:val="12"/>
                <w:color w:val="auto"/>
              </w:rPr>
            </w:pPr>
          </w:p>
        </w:tc>
        <w:tc>
          <w:tcPr>
            <w:tcW w:w="20" w:type="dxa"/>
            <w:vAlign w:val="bottom"/>
            <w:shd w:val="clear" w:color="auto" w:fill="FDFDFC"/>
          </w:tcPr>
          <w:p>
            <w:pPr>
              <w:spacing w:after="0"/>
              <w:rPr>
                <w:sz w:val="12"/>
                <w:szCs w:val="12"/>
                <w:color w:val="auto"/>
              </w:rPr>
            </w:pPr>
          </w:p>
        </w:tc>
        <w:tc>
          <w:tcPr>
            <w:tcW w:w="20" w:type="dxa"/>
            <w:vAlign w:val="bottom"/>
            <w:shd w:val="clear" w:color="auto" w:fill="FDFDFC"/>
          </w:tcPr>
          <w:p>
            <w:pPr>
              <w:spacing w:after="0"/>
              <w:rPr>
                <w:sz w:val="12"/>
                <w:szCs w:val="12"/>
                <w:color w:val="auto"/>
              </w:rPr>
            </w:pPr>
          </w:p>
        </w:tc>
        <w:tc>
          <w:tcPr>
            <w:tcW w:w="60" w:type="dxa"/>
            <w:vAlign w:val="bottom"/>
            <w:shd w:val="clear" w:color="auto" w:fill="FDFDFC"/>
          </w:tcPr>
          <w:p>
            <w:pPr>
              <w:spacing w:after="0"/>
              <w:rPr>
                <w:sz w:val="12"/>
                <w:szCs w:val="12"/>
                <w:color w:val="auto"/>
              </w:rPr>
            </w:pPr>
          </w:p>
        </w:tc>
        <w:tc>
          <w:tcPr>
            <w:tcW w:w="480" w:type="dxa"/>
            <w:vAlign w:val="bottom"/>
            <w:shd w:val="clear" w:color="auto" w:fill="FDFDFC"/>
          </w:tcPr>
          <w:p>
            <w:pPr>
              <w:spacing w:after="0"/>
              <w:rPr>
                <w:sz w:val="12"/>
                <w:szCs w:val="12"/>
                <w:color w:val="auto"/>
              </w:rPr>
            </w:pPr>
          </w:p>
        </w:tc>
        <w:tc>
          <w:tcPr>
            <w:tcW w:w="100" w:type="dxa"/>
            <w:vAlign w:val="bottom"/>
            <w:shd w:val="clear" w:color="auto" w:fill="FDFDFC"/>
          </w:tcPr>
          <w:p>
            <w:pPr>
              <w:spacing w:after="0"/>
              <w:rPr>
                <w:sz w:val="12"/>
                <w:szCs w:val="12"/>
                <w:color w:val="auto"/>
              </w:rPr>
            </w:pPr>
          </w:p>
        </w:tc>
        <w:tc>
          <w:tcPr>
            <w:tcW w:w="20" w:type="dxa"/>
            <w:vAlign w:val="bottom"/>
            <w:shd w:val="clear" w:color="auto" w:fill="FDFDFC"/>
          </w:tcPr>
          <w:p>
            <w:pPr>
              <w:spacing w:after="0"/>
              <w:rPr>
                <w:sz w:val="12"/>
                <w:szCs w:val="12"/>
                <w:color w:val="auto"/>
              </w:rPr>
            </w:pPr>
          </w:p>
        </w:tc>
        <w:tc>
          <w:tcPr>
            <w:tcW w:w="20" w:type="dxa"/>
            <w:vAlign w:val="bottom"/>
            <w:shd w:val="clear" w:color="auto" w:fill="FDFDFC"/>
          </w:tcPr>
          <w:p>
            <w:pPr>
              <w:spacing w:after="0"/>
              <w:rPr>
                <w:sz w:val="12"/>
                <w:szCs w:val="12"/>
                <w:color w:val="auto"/>
              </w:rPr>
            </w:pPr>
          </w:p>
        </w:tc>
        <w:tc>
          <w:tcPr>
            <w:tcW w:w="60" w:type="dxa"/>
            <w:vAlign w:val="bottom"/>
            <w:shd w:val="clear" w:color="auto" w:fill="FDFDFC"/>
          </w:tcPr>
          <w:p>
            <w:pPr>
              <w:spacing w:after="0"/>
              <w:rPr>
                <w:sz w:val="12"/>
                <w:szCs w:val="12"/>
                <w:color w:val="auto"/>
              </w:rPr>
            </w:pPr>
          </w:p>
        </w:tc>
        <w:tc>
          <w:tcPr>
            <w:tcW w:w="140" w:type="dxa"/>
            <w:vAlign w:val="bottom"/>
            <w:shd w:val="clear" w:color="auto" w:fill="FDFDFC"/>
          </w:tcPr>
          <w:p>
            <w:pPr>
              <w:spacing w:after="0"/>
              <w:rPr>
                <w:sz w:val="12"/>
                <w:szCs w:val="12"/>
                <w:color w:val="auto"/>
              </w:rPr>
            </w:pPr>
          </w:p>
        </w:tc>
        <w:tc>
          <w:tcPr>
            <w:tcW w:w="900" w:type="dxa"/>
            <w:vAlign w:val="bottom"/>
            <w:shd w:val="clear" w:color="auto" w:fill="FDFDFC"/>
          </w:tcPr>
          <w:p>
            <w:pPr>
              <w:spacing w:after="0"/>
              <w:rPr>
                <w:sz w:val="12"/>
                <w:szCs w:val="12"/>
                <w:color w:val="auto"/>
              </w:rPr>
            </w:pPr>
          </w:p>
        </w:tc>
        <w:tc>
          <w:tcPr>
            <w:tcW w:w="100" w:type="dxa"/>
            <w:vAlign w:val="bottom"/>
            <w:shd w:val="clear" w:color="auto" w:fill="FDFDFC"/>
          </w:tcPr>
          <w:p>
            <w:pPr>
              <w:spacing w:after="0"/>
              <w:rPr>
                <w:sz w:val="12"/>
                <w:szCs w:val="12"/>
                <w:color w:val="auto"/>
              </w:rPr>
            </w:pPr>
          </w:p>
        </w:tc>
        <w:tc>
          <w:tcPr>
            <w:tcW w:w="20" w:type="dxa"/>
            <w:vAlign w:val="bottom"/>
            <w:shd w:val="clear" w:color="auto" w:fill="FDFDFC"/>
          </w:tcPr>
          <w:p>
            <w:pPr>
              <w:spacing w:after="0"/>
              <w:rPr>
                <w:sz w:val="12"/>
                <w:szCs w:val="12"/>
                <w:color w:val="auto"/>
              </w:rPr>
            </w:pPr>
          </w:p>
        </w:tc>
        <w:tc>
          <w:tcPr>
            <w:tcW w:w="80" w:type="dxa"/>
            <w:vAlign w:val="bottom"/>
            <w:shd w:val="clear" w:color="auto" w:fill="FDFDFC"/>
          </w:tcPr>
          <w:p>
            <w:pPr>
              <w:spacing w:after="0"/>
              <w:rPr>
                <w:sz w:val="12"/>
                <w:szCs w:val="12"/>
                <w:color w:val="auto"/>
              </w:rPr>
            </w:pPr>
          </w:p>
        </w:tc>
        <w:tc>
          <w:tcPr>
            <w:tcW w:w="20" w:type="dxa"/>
            <w:vAlign w:val="bottom"/>
            <w:shd w:val="clear" w:color="auto" w:fill="FDFDFC"/>
          </w:tcPr>
          <w:p>
            <w:pPr>
              <w:spacing w:after="0"/>
              <w:rPr>
                <w:sz w:val="12"/>
                <w:szCs w:val="12"/>
                <w:color w:val="auto"/>
              </w:rPr>
            </w:pPr>
          </w:p>
        </w:tc>
        <w:tc>
          <w:tcPr>
            <w:tcW w:w="20" w:type="dxa"/>
            <w:vAlign w:val="bottom"/>
            <w:shd w:val="clear" w:color="auto" w:fill="FDFDFC"/>
          </w:tcPr>
          <w:p>
            <w:pPr>
              <w:spacing w:after="0"/>
              <w:rPr>
                <w:sz w:val="12"/>
                <w:szCs w:val="12"/>
                <w:color w:val="auto"/>
              </w:rPr>
            </w:pPr>
          </w:p>
        </w:tc>
        <w:tc>
          <w:tcPr>
            <w:tcW w:w="60" w:type="dxa"/>
            <w:vAlign w:val="bottom"/>
            <w:shd w:val="clear" w:color="auto" w:fill="FDFDFC"/>
          </w:tcPr>
          <w:p>
            <w:pPr>
              <w:spacing w:after="0"/>
              <w:rPr>
                <w:sz w:val="12"/>
                <w:szCs w:val="12"/>
                <w:color w:val="auto"/>
              </w:rPr>
            </w:pPr>
          </w:p>
        </w:tc>
        <w:tc>
          <w:tcPr>
            <w:tcW w:w="720" w:type="dxa"/>
            <w:vAlign w:val="bottom"/>
            <w:shd w:val="clear" w:color="auto" w:fill="FDFDFC"/>
          </w:tcPr>
          <w:p>
            <w:pPr>
              <w:spacing w:after="0"/>
              <w:rPr>
                <w:sz w:val="12"/>
                <w:szCs w:val="12"/>
                <w:color w:val="auto"/>
              </w:rPr>
            </w:pPr>
          </w:p>
        </w:tc>
        <w:tc>
          <w:tcPr>
            <w:tcW w:w="100" w:type="dxa"/>
            <w:vAlign w:val="bottom"/>
            <w:shd w:val="clear" w:color="auto" w:fill="FDFDFC"/>
          </w:tcPr>
          <w:p>
            <w:pPr>
              <w:spacing w:after="0"/>
              <w:rPr>
                <w:sz w:val="12"/>
                <w:szCs w:val="12"/>
                <w:color w:val="auto"/>
              </w:rPr>
            </w:pPr>
          </w:p>
        </w:tc>
        <w:tc>
          <w:tcPr>
            <w:tcW w:w="20" w:type="dxa"/>
            <w:vAlign w:val="bottom"/>
            <w:shd w:val="clear" w:color="auto" w:fill="FDFDFC"/>
          </w:tcPr>
          <w:p>
            <w:pPr>
              <w:spacing w:after="0"/>
              <w:rPr>
                <w:sz w:val="12"/>
                <w:szCs w:val="12"/>
                <w:color w:val="auto"/>
              </w:rPr>
            </w:pPr>
          </w:p>
        </w:tc>
        <w:tc>
          <w:tcPr>
            <w:tcW w:w="80" w:type="dxa"/>
            <w:vAlign w:val="bottom"/>
            <w:shd w:val="clear" w:color="auto" w:fill="FDFDFC"/>
          </w:tcPr>
          <w:p>
            <w:pPr>
              <w:spacing w:after="0"/>
              <w:rPr>
                <w:sz w:val="12"/>
                <w:szCs w:val="12"/>
                <w:color w:val="auto"/>
              </w:rPr>
            </w:pPr>
          </w:p>
        </w:tc>
        <w:tc>
          <w:tcPr>
            <w:tcW w:w="20" w:type="dxa"/>
            <w:vAlign w:val="bottom"/>
            <w:shd w:val="clear" w:color="auto" w:fill="FDFDFC"/>
          </w:tcPr>
          <w:p>
            <w:pPr>
              <w:spacing w:after="0"/>
              <w:rPr>
                <w:sz w:val="12"/>
                <w:szCs w:val="12"/>
                <w:color w:val="auto"/>
              </w:rPr>
            </w:pPr>
          </w:p>
        </w:tc>
        <w:tc>
          <w:tcPr>
            <w:tcW w:w="20" w:type="dxa"/>
            <w:vAlign w:val="bottom"/>
            <w:shd w:val="clear" w:color="auto" w:fill="FDFDFC"/>
          </w:tcPr>
          <w:p>
            <w:pPr>
              <w:spacing w:after="0"/>
              <w:rPr>
                <w:sz w:val="12"/>
                <w:szCs w:val="12"/>
                <w:color w:val="auto"/>
              </w:rPr>
            </w:pPr>
          </w:p>
        </w:tc>
        <w:tc>
          <w:tcPr>
            <w:tcW w:w="40" w:type="dxa"/>
            <w:vAlign w:val="bottom"/>
            <w:shd w:val="clear" w:color="auto" w:fill="FDFDFC"/>
          </w:tcPr>
          <w:p>
            <w:pPr>
              <w:spacing w:after="0"/>
              <w:rPr>
                <w:sz w:val="12"/>
                <w:szCs w:val="12"/>
                <w:color w:val="auto"/>
              </w:rPr>
            </w:pPr>
          </w:p>
        </w:tc>
        <w:tc>
          <w:tcPr>
            <w:tcW w:w="720" w:type="dxa"/>
            <w:vAlign w:val="bottom"/>
            <w:shd w:val="clear" w:color="auto" w:fill="FDFDFC"/>
          </w:tcPr>
          <w:p>
            <w:pPr>
              <w:spacing w:after="0"/>
              <w:rPr>
                <w:sz w:val="12"/>
                <w:szCs w:val="12"/>
                <w:color w:val="auto"/>
              </w:rPr>
            </w:pPr>
          </w:p>
        </w:tc>
        <w:tc>
          <w:tcPr>
            <w:tcW w:w="100" w:type="dxa"/>
            <w:vAlign w:val="bottom"/>
            <w:shd w:val="clear" w:color="auto" w:fill="FDFDFC"/>
          </w:tcPr>
          <w:p>
            <w:pPr>
              <w:spacing w:after="0"/>
              <w:rPr>
                <w:sz w:val="12"/>
                <w:szCs w:val="12"/>
                <w:color w:val="auto"/>
              </w:rPr>
            </w:pPr>
          </w:p>
        </w:tc>
        <w:tc>
          <w:tcPr>
            <w:tcW w:w="0" w:type="dxa"/>
            <w:vAlign w:val="bottom"/>
          </w:tcPr>
          <w:p>
            <w:pPr>
              <w:spacing w:after="0"/>
              <w:rPr>
                <w:sz w:val="1"/>
                <w:szCs w:val="1"/>
                <w:color w:val="auto"/>
              </w:rPr>
            </w:pPr>
          </w:p>
        </w:tc>
      </w:tr>
      <w:tr>
        <w:trPr>
          <w:trHeight w:val="177"/>
        </w:trPr>
        <w:tc>
          <w:tcPr>
            <w:tcW w:w="3620" w:type="dxa"/>
            <w:vAlign w:val="bottom"/>
            <w:gridSpan w:val="2"/>
            <w:shd w:val="clear" w:color="auto" w:fill="FDFDFC"/>
          </w:tcPr>
          <w:p>
            <w:pPr>
              <w:ind w:left="100"/>
              <w:spacing w:after="0"/>
              <w:rPr>
                <w:sz w:val="20"/>
                <w:szCs w:val="20"/>
                <w:color w:val="auto"/>
              </w:rPr>
            </w:pPr>
            <w:r>
              <w:rPr>
                <w:rFonts w:ascii="Times New Roman" w:cs="Times New Roman" w:eastAsia="Times New Roman" w:hAnsi="Times New Roman"/>
                <w:sz w:val="14"/>
                <w:szCs w:val="14"/>
                <w:color w:val="231F20"/>
              </w:rPr>
              <w:t>operations:</w:t>
            </w:r>
          </w:p>
        </w:tc>
        <w:tc>
          <w:tcPr>
            <w:tcW w:w="860" w:type="dxa"/>
            <w:vAlign w:val="bottom"/>
            <w:shd w:val="clear" w:color="auto" w:fill="FDFDFC"/>
          </w:tcPr>
          <w:p>
            <w:pPr>
              <w:spacing w:after="0"/>
              <w:rPr>
                <w:sz w:val="15"/>
                <w:szCs w:val="15"/>
                <w:color w:val="auto"/>
              </w:rPr>
            </w:pPr>
          </w:p>
        </w:tc>
        <w:tc>
          <w:tcPr>
            <w:tcW w:w="100" w:type="dxa"/>
            <w:vAlign w:val="bottom"/>
            <w:shd w:val="clear" w:color="auto" w:fill="FDFDFC"/>
          </w:tcPr>
          <w:p>
            <w:pPr>
              <w:spacing w:after="0"/>
              <w:rPr>
                <w:sz w:val="15"/>
                <w:szCs w:val="15"/>
                <w:color w:val="auto"/>
              </w:rPr>
            </w:pPr>
          </w:p>
        </w:tc>
        <w:tc>
          <w:tcPr>
            <w:tcW w:w="100" w:type="dxa"/>
            <w:vAlign w:val="bottom"/>
            <w:shd w:val="clear" w:color="auto" w:fill="FDFDFC"/>
          </w:tcPr>
          <w:p>
            <w:pPr>
              <w:spacing w:after="0"/>
              <w:rPr>
                <w:sz w:val="15"/>
                <w:szCs w:val="15"/>
                <w:color w:val="auto"/>
              </w:rPr>
            </w:pPr>
          </w:p>
        </w:tc>
        <w:tc>
          <w:tcPr>
            <w:tcW w:w="20" w:type="dxa"/>
            <w:vAlign w:val="bottom"/>
            <w:shd w:val="clear" w:color="auto" w:fill="FDFDFC"/>
          </w:tcPr>
          <w:p>
            <w:pPr>
              <w:spacing w:after="0"/>
              <w:rPr>
                <w:sz w:val="15"/>
                <w:szCs w:val="15"/>
                <w:color w:val="auto"/>
              </w:rPr>
            </w:pPr>
          </w:p>
        </w:tc>
        <w:tc>
          <w:tcPr>
            <w:tcW w:w="20" w:type="dxa"/>
            <w:vAlign w:val="bottom"/>
            <w:shd w:val="clear" w:color="auto" w:fill="FDFDFC"/>
          </w:tcPr>
          <w:p>
            <w:pPr>
              <w:spacing w:after="0"/>
              <w:rPr>
                <w:sz w:val="15"/>
                <w:szCs w:val="15"/>
                <w:color w:val="auto"/>
              </w:rPr>
            </w:pPr>
          </w:p>
        </w:tc>
        <w:tc>
          <w:tcPr>
            <w:tcW w:w="60" w:type="dxa"/>
            <w:vAlign w:val="bottom"/>
            <w:shd w:val="clear" w:color="auto" w:fill="FDFDFC"/>
          </w:tcPr>
          <w:p>
            <w:pPr>
              <w:spacing w:after="0"/>
              <w:rPr>
                <w:sz w:val="15"/>
                <w:szCs w:val="15"/>
                <w:color w:val="auto"/>
              </w:rPr>
            </w:pPr>
          </w:p>
        </w:tc>
        <w:tc>
          <w:tcPr>
            <w:tcW w:w="420" w:type="dxa"/>
            <w:vAlign w:val="bottom"/>
            <w:shd w:val="clear" w:color="auto" w:fill="FDFDFC"/>
          </w:tcPr>
          <w:p>
            <w:pPr>
              <w:spacing w:after="0"/>
              <w:rPr>
                <w:sz w:val="15"/>
                <w:szCs w:val="15"/>
                <w:color w:val="auto"/>
              </w:rPr>
            </w:pPr>
          </w:p>
        </w:tc>
        <w:tc>
          <w:tcPr>
            <w:tcW w:w="100" w:type="dxa"/>
            <w:vAlign w:val="bottom"/>
            <w:shd w:val="clear" w:color="auto" w:fill="FDFDFC"/>
          </w:tcPr>
          <w:p>
            <w:pPr>
              <w:spacing w:after="0"/>
              <w:rPr>
                <w:sz w:val="15"/>
                <w:szCs w:val="15"/>
                <w:color w:val="auto"/>
              </w:rPr>
            </w:pPr>
          </w:p>
        </w:tc>
        <w:tc>
          <w:tcPr>
            <w:tcW w:w="20" w:type="dxa"/>
            <w:vAlign w:val="bottom"/>
            <w:shd w:val="clear" w:color="auto" w:fill="FDFDFC"/>
          </w:tcPr>
          <w:p>
            <w:pPr>
              <w:spacing w:after="0"/>
              <w:rPr>
                <w:sz w:val="15"/>
                <w:szCs w:val="15"/>
                <w:color w:val="auto"/>
              </w:rPr>
            </w:pPr>
          </w:p>
        </w:tc>
        <w:tc>
          <w:tcPr>
            <w:tcW w:w="80" w:type="dxa"/>
            <w:vAlign w:val="bottom"/>
            <w:shd w:val="clear" w:color="auto" w:fill="FDFDFC"/>
          </w:tcPr>
          <w:p>
            <w:pPr>
              <w:spacing w:after="0"/>
              <w:rPr>
                <w:sz w:val="15"/>
                <w:szCs w:val="15"/>
                <w:color w:val="auto"/>
              </w:rPr>
            </w:pPr>
          </w:p>
        </w:tc>
        <w:tc>
          <w:tcPr>
            <w:tcW w:w="20" w:type="dxa"/>
            <w:vAlign w:val="bottom"/>
            <w:shd w:val="clear" w:color="auto" w:fill="FDFDFC"/>
          </w:tcPr>
          <w:p>
            <w:pPr>
              <w:spacing w:after="0"/>
              <w:rPr>
                <w:sz w:val="15"/>
                <w:szCs w:val="15"/>
                <w:color w:val="auto"/>
              </w:rPr>
            </w:pPr>
          </w:p>
        </w:tc>
        <w:tc>
          <w:tcPr>
            <w:tcW w:w="20" w:type="dxa"/>
            <w:vAlign w:val="bottom"/>
            <w:shd w:val="clear" w:color="auto" w:fill="FDFDFC"/>
          </w:tcPr>
          <w:p>
            <w:pPr>
              <w:spacing w:after="0"/>
              <w:rPr>
                <w:sz w:val="15"/>
                <w:szCs w:val="15"/>
                <w:color w:val="auto"/>
              </w:rPr>
            </w:pPr>
          </w:p>
        </w:tc>
        <w:tc>
          <w:tcPr>
            <w:tcW w:w="660" w:type="dxa"/>
            <w:vAlign w:val="bottom"/>
            <w:shd w:val="clear" w:color="auto" w:fill="FDFDFC"/>
          </w:tcPr>
          <w:p>
            <w:pPr>
              <w:spacing w:after="0"/>
              <w:rPr>
                <w:sz w:val="15"/>
                <w:szCs w:val="15"/>
                <w:color w:val="auto"/>
              </w:rPr>
            </w:pPr>
          </w:p>
        </w:tc>
        <w:tc>
          <w:tcPr>
            <w:tcW w:w="100" w:type="dxa"/>
            <w:vAlign w:val="bottom"/>
            <w:shd w:val="clear" w:color="auto" w:fill="FDFDFC"/>
          </w:tcPr>
          <w:p>
            <w:pPr>
              <w:spacing w:after="0"/>
              <w:rPr>
                <w:sz w:val="15"/>
                <w:szCs w:val="15"/>
                <w:color w:val="auto"/>
              </w:rPr>
            </w:pPr>
          </w:p>
        </w:tc>
        <w:tc>
          <w:tcPr>
            <w:tcW w:w="20" w:type="dxa"/>
            <w:vAlign w:val="bottom"/>
            <w:shd w:val="clear" w:color="auto" w:fill="FDFDFC"/>
          </w:tcPr>
          <w:p>
            <w:pPr>
              <w:spacing w:after="0"/>
              <w:rPr>
                <w:sz w:val="15"/>
                <w:szCs w:val="15"/>
                <w:color w:val="auto"/>
              </w:rPr>
            </w:pPr>
          </w:p>
        </w:tc>
        <w:tc>
          <w:tcPr>
            <w:tcW w:w="80" w:type="dxa"/>
            <w:vAlign w:val="bottom"/>
            <w:shd w:val="clear" w:color="auto" w:fill="FDFDFC"/>
          </w:tcPr>
          <w:p>
            <w:pPr>
              <w:spacing w:after="0"/>
              <w:rPr>
                <w:sz w:val="15"/>
                <w:szCs w:val="15"/>
                <w:color w:val="auto"/>
              </w:rPr>
            </w:pPr>
          </w:p>
        </w:tc>
        <w:tc>
          <w:tcPr>
            <w:tcW w:w="20" w:type="dxa"/>
            <w:vAlign w:val="bottom"/>
            <w:shd w:val="clear" w:color="auto" w:fill="FDFDFC"/>
          </w:tcPr>
          <w:p>
            <w:pPr>
              <w:spacing w:after="0"/>
              <w:rPr>
                <w:sz w:val="15"/>
                <w:szCs w:val="15"/>
                <w:color w:val="auto"/>
              </w:rPr>
            </w:pPr>
          </w:p>
        </w:tc>
        <w:tc>
          <w:tcPr>
            <w:tcW w:w="20" w:type="dxa"/>
            <w:vAlign w:val="bottom"/>
            <w:shd w:val="clear" w:color="auto" w:fill="FDFDFC"/>
          </w:tcPr>
          <w:p>
            <w:pPr>
              <w:spacing w:after="0"/>
              <w:rPr>
                <w:sz w:val="15"/>
                <w:szCs w:val="15"/>
                <w:color w:val="auto"/>
              </w:rPr>
            </w:pPr>
          </w:p>
        </w:tc>
        <w:tc>
          <w:tcPr>
            <w:tcW w:w="60" w:type="dxa"/>
            <w:vAlign w:val="bottom"/>
            <w:shd w:val="clear" w:color="auto" w:fill="FDFDFC"/>
          </w:tcPr>
          <w:p>
            <w:pPr>
              <w:spacing w:after="0"/>
              <w:rPr>
                <w:sz w:val="15"/>
                <w:szCs w:val="15"/>
                <w:color w:val="auto"/>
              </w:rPr>
            </w:pPr>
          </w:p>
        </w:tc>
        <w:tc>
          <w:tcPr>
            <w:tcW w:w="480" w:type="dxa"/>
            <w:vAlign w:val="bottom"/>
            <w:shd w:val="clear" w:color="auto" w:fill="FDFDFC"/>
          </w:tcPr>
          <w:p>
            <w:pPr>
              <w:spacing w:after="0"/>
              <w:rPr>
                <w:sz w:val="15"/>
                <w:szCs w:val="15"/>
                <w:color w:val="auto"/>
              </w:rPr>
            </w:pPr>
          </w:p>
        </w:tc>
        <w:tc>
          <w:tcPr>
            <w:tcW w:w="100" w:type="dxa"/>
            <w:vAlign w:val="bottom"/>
            <w:shd w:val="clear" w:color="auto" w:fill="FDFDFC"/>
          </w:tcPr>
          <w:p>
            <w:pPr>
              <w:spacing w:after="0"/>
              <w:rPr>
                <w:sz w:val="15"/>
                <w:szCs w:val="15"/>
                <w:color w:val="auto"/>
              </w:rPr>
            </w:pPr>
          </w:p>
        </w:tc>
        <w:tc>
          <w:tcPr>
            <w:tcW w:w="20" w:type="dxa"/>
            <w:vAlign w:val="bottom"/>
            <w:shd w:val="clear" w:color="auto" w:fill="FDFDFC"/>
          </w:tcPr>
          <w:p>
            <w:pPr>
              <w:spacing w:after="0"/>
              <w:rPr>
                <w:sz w:val="15"/>
                <w:szCs w:val="15"/>
                <w:color w:val="auto"/>
              </w:rPr>
            </w:pPr>
          </w:p>
        </w:tc>
        <w:tc>
          <w:tcPr>
            <w:tcW w:w="20" w:type="dxa"/>
            <w:vAlign w:val="bottom"/>
            <w:shd w:val="clear" w:color="auto" w:fill="FDFDFC"/>
          </w:tcPr>
          <w:p>
            <w:pPr>
              <w:spacing w:after="0"/>
              <w:rPr>
                <w:sz w:val="15"/>
                <w:szCs w:val="15"/>
                <w:color w:val="auto"/>
              </w:rPr>
            </w:pPr>
          </w:p>
        </w:tc>
        <w:tc>
          <w:tcPr>
            <w:tcW w:w="60" w:type="dxa"/>
            <w:vAlign w:val="bottom"/>
            <w:shd w:val="clear" w:color="auto" w:fill="FDFDFC"/>
          </w:tcPr>
          <w:p>
            <w:pPr>
              <w:spacing w:after="0"/>
              <w:rPr>
                <w:sz w:val="15"/>
                <w:szCs w:val="15"/>
                <w:color w:val="auto"/>
              </w:rPr>
            </w:pPr>
          </w:p>
        </w:tc>
        <w:tc>
          <w:tcPr>
            <w:tcW w:w="140" w:type="dxa"/>
            <w:vAlign w:val="bottom"/>
            <w:shd w:val="clear" w:color="auto" w:fill="FDFDFC"/>
          </w:tcPr>
          <w:p>
            <w:pPr>
              <w:spacing w:after="0"/>
              <w:rPr>
                <w:sz w:val="15"/>
                <w:szCs w:val="15"/>
                <w:color w:val="auto"/>
              </w:rPr>
            </w:pPr>
          </w:p>
        </w:tc>
        <w:tc>
          <w:tcPr>
            <w:tcW w:w="900" w:type="dxa"/>
            <w:vAlign w:val="bottom"/>
            <w:shd w:val="clear" w:color="auto" w:fill="FDFDFC"/>
          </w:tcPr>
          <w:p>
            <w:pPr>
              <w:spacing w:after="0"/>
              <w:rPr>
                <w:sz w:val="15"/>
                <w:szCs w:val="15"/>
                <w:color w:val="auto"/>
              </w:rPr>
            </w:pPr>
          </w:p>
        </w:tc>
        <w:tc>
          <w:tcPr>
            <w:tcW w:w="100" w:type="dxa"/>
            <w:vAlign w:val="bottom"/>
            <w:shd w:val="clear" w:color="auto" w:fill="FDFDFC"/>
          </w:tcPr>
          <w:p>
            <w:pPr>
              <w:spacing w:after="0"/>
              <w:rPr>
                <w:sz w:val="15"/>
                <w:szCs w:val="15"/>
                <w:color w:val="auto"/>
              </w:rPr>
            </w:pPr>
          </w:p>
        </w:tc>
        <w:tc>
          <w:tcPr>
            <w:tcW w:w="20" w:type="dxa"/>
            <w:vAlign w:val="bottom"/>
            <w:shd w:val="clear" w:color="auto" w:fill="FDFDFC"/>
          </w:tcPr>
          <w:p>
            <w:pPr>
              <w:spacing w:after="0"/>
              <w:rPr>
                <w:sz w:val="15"/>
                <w:szCs w:val="15"/>
                <w:color w:val="auto"/>
              </w:rPr>
            </w:pPr>
          </w:p>
        </w:tc>
        <w:tc>
          <w:tcPr>
            <w:tcW w:w="80" w:type="dxa"/>
            <w:vAlign w:val="bottom"/>
            <w:shd w:val="clear" w:color="auto" w:fill="FDFDFC"/>
          </w:tcPr>
          <w:p>
            <w:pPr>
              <w:spacing w:after="0"/>
              <w:rPr>
                <w:sz w:val="15"/>
                <w:szCs w:val="15"/>
                <w:color w:val="auto"/>
              </w:rPr>
            </w:pPr>
          </w:p>
        </w:tc>
        <w:tc>
          <w:tcPr>
            <w:tcW w:w="20" w:type="dxa"/>
            <w:vAlign w:val="bottom"/>
            <w:shd w:val="clear" w:color="auto" w:fill="FDFDFC"/>
          </w:tcPr>
          <w:p>
            <w:pPr>
              <w:spacing w:after="0"/>
              <w:rPr>
                <w:sz w:val="15"/>
                <w:szCs w:val="15"/>
                <w:color w:val="auto"/>
              </w:rPr>
            </w:pPr>
          </w:p>
        </w:tc>
        <w:tc>
          <w:tcPr>
            <w:tcW w:w="20" w:type="dxa"/>
            <w:vAlign w:val="bottom"/>
            <w:shd w:val="clear" w:color="auto" w:fill="FDFDFC"/>
          </w:tcPr>
          <w:p>
            <w:pPr>
              <w:spacing w:after="0"/>
              <w:rPr>
                <w:sz w:val="15"/>
                <w:szCs w:val="15"/>
                <w:color w:val="auto"/>
              </w:rPr>
            </w:pPr>
          </w:p>
        </w:tc>
        <w:tc>
          <w:tcPr>
            <w:tcW w:w="60" w:type="dxa"/>
            <w:vAlign w:val="bottom"/>
            <w:shd w:val="clear" w:color="auto" w:fill="FDFDFC"/>
          </w:tcPr>
          <w:p>
            <w:pPr>
              <w:spacing w:after="0"/>
              <w:rPr>
                <w:sz w:val="15"/>
                <w:szCs w:val="15"/>
                <w:color w:val="auto"/>
              </w:rPr>
            </w:pPr>
          </w:p>
        </w:tc>
        <w:tc>
          <w:tcPr>
            <w:tcW w:w="720" w:type="dxa"/>
            <w:vAlign w:val="bottom"/>
            <w:shd w:val="clear" w:color="auto" w:fill="FDFDFC"/>
          </w:tcPr>
          <w:p>
            <w:pPr>
              <w:spacing w:after="0"/>
              <w:rPr>
                <w:sz w:val="15"/>
                <w:szCs w:val="15"/>
                <w:color w:val="auto"/>
              </w:rPr>
            </w:pPr>
          </w:p>
        </w:tc>
        <w:tc>
          <w:tcPr>
            <w:tcW w:w="100" w:type="dxa"/>
            <w:vAlign w:val="bottom"/>
            <w:shd w:val="clear" w:color="auto" w:fill="FDFDFC"/>
          </w:tcPr>
          <w:p>
            <w:pPr>
              <w:spacing w:after="0"/>
              <w:rPr>
                <w:sz w:val="15"/>
                <w:szCs w:val="15"/>
                <w:color w:val="auto"/>
              </w:rPr>
            </w:pPr>
          </w:p>
        </w:tc>
        <w:tc>
          <w:tcPr>
            <w:tcW w:w="20" w:type="dxa"/>
            <w:vAlign w:val="bottom"/>
            <w:shd w:val="clear" w:color="auto" w:fill="FDFDFC"/>
          </w:tcPr>
          <w:p>
            <w:pPr>
              <w:spacing w:after="0"/>
              <w:rPr>
                <w:sz w:val="15"/>
                <w:szCs w:val="15"/>
                <w:color w:val="auto"/>
              </w:rPr>
            </w:pPr>
          </w:p>
        </w:tc>
        <w:tc>
          <w:tcPr>
            <w:tcW w:w="80" w:type="dxa"/>
            <w:vAlign w:val="bottom"/>
            <w:shd w:val="clear" w:color="auto" w:fill="FDFDFC"/>
          </w:tcPr>
          <w:p>
            <w:pPr>
              <w:spacing w:after="0"/>
              <w:rPr>
                <w:sz w:val="15"/>
                <w:szCs w:val="15"/>
                <w:color w:val="auto"/>
              </w:rPr>
            </w:pPr>
          </w:p>
        </w:tc>
        <w:tc>
          <w:tcPr>
            <w:tcW w:w="20" w:type="dxa"/>
            <w:vAlign w:val="bottom"/>
            <w:shd w:val="clear" w:color="auto" w:fill="FDFDFC"/>
          </w:tcPr>
          <w:p>
            <w:pPr>
              <w:spacing w:after="0"/>
              <w:rPr>
                <w:sz w:val="15"/>
                <w:szCs w:val="15"/>
                <w:color w:val="auto"/>
              </w:rPr>
            </w:pPr>
          </w:p>
        </w:tc>
        <w:tc>
          <w:tcPr>
            <w:tcW w:w="20" w:type="dxa"/>
            <w:vAlign w:val="bottom"/>
            <w:shd w:val="clear" w:color="auto" w:fill="FDFDFC"/>
          </w:tcPr>
          <w:p>
            <w:pPr>
              <w:spacing w:after="0"/>
              <w:rPr>
                <w:sz w:val="15"/>
                <w:szCs w:val="15"/>
                <w:color w:val="auto"/>
              </w:rPr>
            </w:pPr>
          </w:p>
        </w:tc>
        <w:tc>
          <w:tcPr>
            <w:tcW w:w="40" w:type="dxa"/>
            <w:vAlign w:val="bottom"/>
            <w:shd w:val="clear" w:color="auto" w:fill="FDFDFC"/>
          </w:tcPr>
          <w:p>
            <w:pPr>
              <w:spacing w:after="0"/>
              <w:rPr>
                <w:sz w:val="15"/>
                <w:szCs w:val="15"/>
                <w:color w:val="auto"/>
              </w:rPr>
            </w:pPr>
          </w:p>
        </w:tc>
        <w:tc>
          <w:tcPr>
            <w:tcW w:w="720" w:type="dxa"/>
            <w:vAlign w:val="bottom"/>
            <w:shd w:val="clear" w:color="auto" w:fill="FDFDFC"/>
          </w:tcPr>
          <w:p>
            <w:pPr>
              <w:spacing w:after="0"/>
              <w:rPr>
                <w:sz w:val="15"/>
                <w:szCs w:val="15"/>
                <w:color w:val="auto"/>
              </w:rPr>
            </w:pPr>
          </w:p>
        </w:tc>
        <w:tc>
          <w:tcPr>
            <w:tcW w:w="100" w:type="dxa"/>
            <w:vAlign w:val="bottom"/>
            <w:shd w:val="clear" w:color="auto" w:fill="FDFD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620" w:type="dxa"/>
            <w:vAlign w:val="bottom"/>
            <w:gridSpan w:val="2"/>
            <w:shd w:val="clear" w:color="auto" w:fill="D0EBF2"/>
          </w:tcPr>
          <w:p>
            <w:pPr>
              <w:ind w:left="200"/>
              <w:spacing w:after="0"/>
              <w:rPr>
                <w:sz w:val="20"/>
                <w:szCs w:val="20"/>
                <w:color w:val="auto"/>
              </w:rPr>
            </w:pPr>
            <w:r>
              <w:rPr>
                <w:rFonts w:ascii="Times New Roman" w:cs="Times New Roman" w:eastAsia="Times New Roman" w:hAnsi="Times New Roman"/>
                <w:sz w:val="14"/>
                <w:szCs w:val="14"/>
                <w:color w:val="231F20"/>
              </w:rPr>
              <w:t>Net investment income</w:t>
            </w:r>
          </w:p>
        </w:tc>
        <w:tc>
          <w:tcPr>
            <w:tcW w:w="860" w:type="dxa"/>
            <w:vAlign w:val="bottom"/>
            <w:shd w:val="clear" w:color="auto" w:fill="D0EBF2"/>
          </w:tcPr>
          <w:p>
            <w:pPr>
              <w:jc w:val="right"/>
              <w:spacing w:after="0"/>
              <w:rPr>
                <w:sz w:val="20"/>
                <w:szCs w:val="20"/>
                <w:color w:val="auto"/>
              </w:rPr>
            </w:pPr>
            <w:r>
              <w:rPr>
                <w:rFonts w:ascii="Times New Roman" w:cs="Times New Roman" w:eastAsia="Times New Roman" w:hAnsi="Times New Roman"/>
                <w:sz w:val="14"/>
                <w:szCs w:val="14"/>
                <w:color w:val="231F20"/>
              </w:rPr>
              <w:t>—</w:t>
            </w:r>
          </w:p>
        </w:tc>
        <w:tc>
          <w:tcPr>
            <w:tcW w:w="100" w:type="dxa"/>
            <w:vAlign w:val="bottom"/>
            <w:shd w:val="clear" w:color="auto" w:fill="D0EBF2"/>
          </w:tcPr>
          <w:p>
            <w:pPr>
              <w:spacing w:after="0"/>
              <w:rPr>
                <w:sz w:val="15"/>
                <w:szCs w:val="15"/>
                <w:color w:val="auto"/>
              </w:rPr>
            </w:pPr>
          </w:p>
        </w:tc>
        <w:tc>
          <w:tcPr>
            <w:tcW w:w="100" w:type="dxa"/>
            <w:vAlign w:val="bottom"/>
            <w:shd w:val="clear" w:color="auto" w:fill="D0EBF2"/>
          </w:tcPr>
          <w:p>
            <w:pPr>
              <w:spacing w:after="0"/>
              <w:rPr>
                <w:sz w:val="15"/>
                <w:szCs w:val="15"/>
                <w:color w:val="auto"/>
              </w:rPr>
            </w:pPr>
          </w:p>
        </w:tc>
        <w:tc>
          <w:tcPr>
            <w:tcW w:w="20" w:type="dxa"/>
            <w:vAlign w:val="bottom"/>
            <w:shd w:val="clear" w:color="auto" w:fill="D0EBF2"/>
          </w:tcPr>
          <w:p>
            <w:pPr>
              <w:spacing w:after="0"/>
              <w:rPr>
                <w:sz w:val="15"/>
                <w:szCs w:val="15"/>
                <w:color w:val="auto"/>
              </w:rPr>
            </w:pPr>
          </w:p>
        </w:tc>
        <w:tc>
          <w:tcPr>
            <w:tcW w:w="20" w:type="dxa"/>
            <w:vAlign w:val="bottom"/>
            <w:shd w:val="clear" w:color="auto" w:fill="D0EBF2"/>
          </w:tcPr>
          <w:p>
            <w:pPr>
              <w:spacing w:after="0"/>
              <w:rPr>
                <w:sz w:val="15"/>
                <w:szCs w:val="15"/>
                <w:color w:val="auto"/>
              </w:rPr>
            </w:pPr>
          </w:p>
        </w:tc>
        <w:tc>
          <w:tcPr>
            <w:tcW w:w="60" w:type="dxa"/>
            <w:vAlign w:val="bottom"/>
            <w:shd w:val="clear" w:color="auto" w:fill="D0EBF2"/>
          </w:tcPr>
          <w:p>
            <w:pPr>
              <w:spacing w:after="0"/>
              <w:rPr>
                <w:sz w:val="15"/>
                <w:szCs w:val="15"/>
                <w:color w:val="auto"/>
              </w:rPr>
            </w:pPr>
          </w:p>
        </w:tc>
        <w:tc>
          <w:tcPr>
            <w:tcW w:w="420" w:type="dxa"/>
            <w:vAlign w:val="bottom"/>
            <w:shd w:val="clear" w:color="auto" w:fill="D0EBF2"/>
          </w:tcPr>
          <w:p>
            <w:pPr>
              <w:jc w:val="right"/>
              <w:spacing w:after="0"/>
              <w:rPr>
                <w:sz w:val="20"/>
                <w:szCs w:val="20"/>
                <w:color w:val="auto"/>
              </w:rPr>
            </w:pPr>
            <w:r>
              <w:rPr>
                <w:rFonts w:ascii="Times New Roman" w:cs="Times New Roman" w:eastAsia="Times New Roman" w:hAnsi="Times New Roman"/>
                <w:sz w:val="14"/>
                <w:szCs w:val="14"/>
                <w:color w:val="231F20"/>
              </w:rPr>
              <w:t>—</w:t>
            </w:r>
          </w:p>
        </w:tc>
        <w:tc>
          <w:tcPr>
            <w:tcW w:w="100" w:type="dxa"/>
            <w:vAlign w:val="bottom"/>
            <w:shd w:val="clear" w:color="auto" w:fill="D0EBF2"/>
          </w:tcPr>
          <w:p>
            <w:pPr>
              <w:spacing w:after="0"/>
              <w:rPr>
                <w:sz w:val="15"/>
                <w:szCs w:val="15"/>
                <w:color w:val="auto"/>
              </w:rPr>
            </w:pPr>
          </w:p>
        </w:tc>
        <w:tc>
          <w:tcPr>
            <w:tcW w:w="20" w:type="dxa"/>
            <w:vAlign w:val="bottom"/>
            <w:shd w:val="clear" w:color="auto" w:fill="D0EBF2"/>
          </w:tcPr>
          <w:p>
            <w:pPr>
              <w:spacing w:after="0"/>
              <w:rPr>
                <w:sz w:val="15"/>
                <w:szCs w:val="15"/>
                <w:color w:val="auto"/>
              </w:rPr>
            </w:pPr>
          </w:p>
        </w:tc>
        <w:tc>
          <w:tcPr>
            <w:tcW w:w="80" w:type="dxa"/>
            <w:vAlign w:val="bottom"/>
            <w:shd w:val="clear" w:color="auto" w:fill="D0EBF2"/>
          </w:tcPr>
          <w:p>
            <w:pPr>
              <w:spacing w:after="0"/>
              <w:rPr>
                <w:sz w:val="15"/>
                <w:szCs w:val="15"/>
                <w:color w:val="auto"/>
              </w:rPr>
            </w:pPr>
          </w:p>
        </w:tc>
        <w:tc>
          <w:tcPr>
            <w:tcW w:w="20" w:type="dxa"/>
            <w:vAlign w:val="bottom"/>
            <w:shd w:val="clear" w:color="auto" w:fill="D0EBF2"/>
          </w:tcPr>
          <w:p>
            <w:pPr>
              <w:spacing w:after="0"/>
              <w:rPr>
                <w:sz w:val="15"/>
                <w:szCs w:val="15"/>
                <w:color w:val="auto"/>
              </w:rPr>
            </w:pPr>
          </w:p>
        </w:tc>
        <w:tc>
          <w:tcPr>
            <w:tcW w:w="20" w:type="dxa"/>
            <w:vAlign w:val="bottom"/>
            <w:shd w:val="clear" w:color="auto" w:fill="D0EBF2"/>
          </w:tcPr>
          <w:p>
            <w:pPr>
              <w:spacing w:after="0"/>
              <w:rPr>
                <w:sz w:val="15"/>
                <w:szCs w:val="15"/>
                <w:color w:val="auto"/>
              </w:rPr>
            </w:pPr>
          </w:p>
        </w:tc>
        <w:tc>
          <w:tcPr>
            <w:tcW w:w="660" w:type="dxa"/>
            <w:vAlign w:val="bottom"/>
            <w:shd w:val="clear" w:color="auto" w:fill="D0EBF2"/>
          </w:tcPr>
          <w:p>
            <w:pPr>
              <w:jc w:val="right"/>
              <w:spacing w:after="0"/>
              <w:rPr>
                <w:sz w:val="20"/>
                <w:szCs w:val="20"/>
                <w:color w:val="auto"/>
              </w:rPr>
            </w:pPr>
            <w:r>
              <w:rPr>
                <w:rFonts w:ascii="Times New Roman" w:cs="Times New Roman" w:eastAsia="Times New Roman" w:hAnsi="Times New Roman"/>
                <w:sz w:val="14"/>
                <w:szCs w:val="14"/>
                <w:color w:val="231F20"/>
              </w:rPr>
              <w:t>—</w:t>
            </w:r>
          </w:p>
        </w:tc>
        <w:tc>
          <w:tcPr>
            <w:tcW w:w="100" w:type="dxa"/>
            <w:vAlign w:val="bottom"/>
            <w:shd w:val="clear" w:color="auto" w:fill="D0EBF2"/>
          </w:tcPr>
          <w:p>
            <w:pPr>
              <w:spacing w:after="0"/>
              <w:rPr>
                <w:sz w:val="15"/>
                <w:szCs w:val="15"/>
                <w:color w:val="auto"/>
              </w:rPr>
            </w:pPr>
          </w:p>
        </w:tc>
        <w:tc>
          <w:tcPr>
            <w:tcW w:w="20" w:type="dxa"/>
            <w:vAlign w:val="bottom"/>
            <w:shd w:val="clear" w:color="auto" w:fill="D0EBF2"/>
          </w:tcPr>
          <w:p>
            <w:pPr>
              <w:spacing w:after="0"/>
              <w:rPr>
                <w:sz w:val="15"/>
                <w:szCs w:val="15"/>
                <w:color w:val="auto"/>
              </w:rPr>
            </w:pPr>
          </w:p>
        </w:tc>
        <w:tc>
          <w:tcPr>
            <w:tcW w:w="80" w:type="dxa"/>
            <w:vAlign w:val="bottom"/>
            <w:shd w:val="clear" w:color="auto" w:fill="D0EBF2"/>
          </w:tcPr>
          <w:p>
            <w:pPr>
              <w:spacing w:after="0"/>
              <w:rPr>
                <w:sz w:val="15"/>
                <w:szCs w:val="15"/>
                <w:color w:val="auto"/>
              </w:rPr>
            </w:pPr>
          </w:p>
        </w:tc>
        <w:tc>
          <w:tcPr>
            <w:tcW w:w="20" w:type="dxa"/>
            <w:vAlign w:val="bottom"/>
            <w:shd w:val="clear" w:color="auto" w:fill="D0EBF2"/>
          </w:tcPr>
          <w:p>
            <w:pPr>
              <w:spacing w:after="0"/>
              <w:rPr>
                <w:sz w:val="15"/>
                <w:szCs w:val="15"/>
                <w:color w:val="auto"/>
              </w:rPr>
            </w:pPr>
          </w:p>
        </w:tc>
        <w:tc>
          <w:tcPr>
            <w:tcW w:w="20" w:type="dxa"/>
            <w:vAlign w:val="bottom"/>
            <w:shd w:val="clear" w:color="auto" w:fill="D0EBF2"/>
          </w:tcPr>
          <w:p>
            <w:pPr>
              <w:spacing w:after="0"/>
              <w:rPr>
                <w:sz w:val="15"/>
                <w:szCs w:val="15"/>
                <w:color w:val="auto"/>
              </w:rPr>
            </w:pPr>
          </w:p>
        </w:tc>
        <w:tc>
          <w:tcPr>
            <w:tcW w:w="60" w:type="dxa"/>
            <w:vAlign w:val="bottom"/>
            <w:shd w:val="clear" w:color="auto" w:fill="D0EBF2"/>
          </w:tcPr>
          <w:p>
            <w:pPr>
              <w:spacing w:after="0"/>
              <w:rPr>
                <w:sz w:val="15"/>
                <w:szCs w:val="15"/>
                <w:color w:val="auto"/>
              </w:rPr>
            </w:pPr>
          </w:p>
        </w:tc>
        <w:tc>
          <w:tcPr>
            <w:tcW w:w="480" w:type="dxa"/>
            <w:vAlign w:val="bottom"/>
            <w:shd w:val="clear" w:color="auto" w:fill="D0EBF2"/>
          </w:tcPr>
          <w:p>
            <w:pPr>
              <w:jc w:val="right"/>
              <w:spacing w:after="0"/>
              <w:rPr>
                <w:sz w:val="20"/>
                <w:szCs w:val="20"/>
                <w:color w:val="auto"/>
              </w:rPr>
            </w:pPr>
            <w:r>
              <w:rPr>
                <w:rFonts w:ascii="Times New Roman" w:cs="Times New Roman" w:eastAsia="Times New Roman" w:hAnsi="Times New Roman"/>
                <w:sz w:val="14"/>
                <w:szCs w:val="14"/>
                <w:color w:val="231F20"/>
              </w:rPr>
              <w:t>—</w:t>
            </w:r>
          </w:p>
        </w:tc>
        <w:tc>
          <w:tcPr>
            <w:tcW w:w="100" w:type="dxa"/>
            <w:vAlign w:val="bottom"/>
            <w:shd w:val="clear" w:color="auto" w:fill="D0EBF2"/>
          </w:tcPr>
          <w:p>
            <w:pPr>
              <w:spacing w:after="0"/>
              <w:rPr>
                <w:sz w:val="15"/>
                <w:szCs w:val="15"/>
                <w:color w:val="auto"/>
              </w:rPr>
            </w:pPr>
          </w:p>
        </w:tc>
        <w:tc>
          <w:tcPr>
            <w:tcW w:w="20" w:type="dxa"/>
            <w:vAlign w:val="bottom"/>
            <w:shd w:val="clear" w:color="auto" w:fill="D0EBF2"/>
          </w:tcPr>
          <w:p>
            <w:pPr>
              <w:spacing w:after="0"/>
              <w:rPr>
                <w:sz w:val="15"/>
                <w:szCs w:val="15"/>
                <w:color w:val="auto"/>
              </w:rPr>
            </w:pPr>
          </w:p>
        </w:tc>
        <w:tc>
          <w:tcPr>
            <w:tcW w:w="20" w:type="dxa"/>
            <w:vAlign w:val="bottom"/>
            <w:shd w:val="clear" w:color="auto" w:fill="D0EBF2"/>
          </w:tcPr>
          <w:p>
            <w:pPr>
              <w:spacing w:after="0"/>
              <w:rPr>
                <w:sz w:val="15"/>
                <w:szCs w:val="15"/>
                <w:color w:val="auto"/>
              </w:rPr>
            </w:pPr>
          </w:p>
        </w:tc>
        <w:tc>
          <w:tcPr>
            <w:tcW w:w="60" w:type="dxa"/>
            <w:vAlign w:val="bottom"/>
            <w:shd w:val="clear" w:color="auto" w:fill="D0EBF2"/>
          </w:tcPr>
          <w:p>
            <w:pPr>
              <w:spacing w:after="0"/>
              <w:rPr>
                <w:sz w:val="15"/>
                <w:szCs w:val="15"/>
                <w:color w:val="auto"/>
              </w:rPr>
            </w:pPr>
          </w:p>
        </w:tc>
        <w:tc>
          <w:tcPr>
            <w:tcW w:w="140" w:type="dxa"/>
            <w:vAlign w:val="bottom"/>
            <w:shd w:val="clear" w:color="auto" w:fill="D0EBF2"/>
          </w:tcPr>
          <w:p>
            <w:pPr>
              <w:spacing w:after="0"/>
              <w:rPr>
                <w:sz w:val="15"/>
                <w:szCs w:val="15"/>
                <w:color w:val="auto"/>
              </w:rPr>
            </w:pPr>
          </w:p>
        </w:tc>
        <w:tc>
          <w:tcPr>
            <w:tcW w:w="900" w:type="dxa"/>
            <w:vAlign w:val="bottom"/>
            <w:shd w:val="clear" w:color="auto" w:fill="D0EBF2"/>
          </w:tcPr>
          <w:p>
            <w:pPr>
              <w:jc w:val="right"/>
              <w:spacing w:after="0"/>
              <w:rPr>
                <w:sz w:val="20"/>
                <w:szCs w:val="20"/>
                <w:color w:val="auto"/>
              </w:rPr>
            </w:pPr>
            <w:r>
              <w:rPr>
                <w:rFonts w:ascii="Times New Roman" w:cs="Times New Roman" w:eastAsia="Times New Roman" w:hAnsi="Times New Roman"/>
                <w:sz w:val="14"/>
                <w:szCs w:val="14"/>
                <w:color w:val="231F20"/>
              </w:rPr>
              <w:t>—</w:t>
            </w:r>
          </w:p>
        </w:tc>
        <w:tc>
          <w:tcPr>
            <w:tcW w:w="100" w:type="dxa"/>
            <w:vAlign w:val="bottom"/>
            <w:shd w:val="clear" w:color="auto" w:fill="D0EBF2"/>
          </w:tcPr>
          <w:p>
            <w:pPr>
              <w:spacing w:after="0"/>
              <w:rPr>
                <w:sz w:val="15"/>
                <w:szCs w:val="15"/>
                <w:color w:val="auto"/>
              </w:rPr>
            </w:pPr>
          </w:p>
        </w:tc>
        <w:tc>
          <w:tcPr>
            <w:tcW w:w="20" w:type="dxa"/>
            <w:vAlign w:val="bottom"/>
            <w:shd w:val="clear" w:color="auto" w:fill="D0EBF2"/>
          </w:tcPr>
          <w:p>
            <w:pPr>
              <w:spacing w:after="0"/>
              <w:rPr>
                <w:sz w:val="15"/>
                <w:szCs w:val="15"/>
                <w:color w:val="auto"/>
              </w:rPr>
            </w:pPr>
          </w:p>
        </w:tc>
        <w:tc>
          <w:tcPr>
            <w:tcW w:w="80" w:type="dxa"/>
            <w:vAlign w:val="bottom"/>
            <w:shd w:val="clear" w:color="auto" w:fill="D0EBF2"/>
          </w:tcPr>
          <w:p>
            <w:pPr>
              <w:spacing w:after="0"/>
              <w:rPr>
                <w:sz w:val="15"/>
                <w:szCs w:val="15"/>
                <w:color w:val="auto"/>
              </w:rPr>
            </w:pPr>
          </w:p>
        </w:tc>
        <w:tc>
          <w:tcPr>
            <w:tcW w:w="20" w:type="dxa"/>
            <w:vAlign w:val="bottom"/>
            <w:shd w:val="clear" w:color="auto" w:fill="D0EBF2"/>
          </w:tcPr>
          <w:p>
            <w:pPr>
              <w:spacing w:after="0"/>
              <w:rPr>
                <w:sz w:val="15"/>
                <w:szCs w:val="15"/>
                <w:color w:val="auto"/>
              </w:rPr>
            </w:pPr>
          </w:p>
        </w:tc>
        <w:tc>
          <w:tcPr>
            <w:tcW w:w="20" w:type="dxa"/>
            <w:vAlign w:val="bottom"/>
            <w:shd w:val="clear" w:color="auto" w:fill="D0EBF2"/>
          </w:tcPr>
          <w:p>
            <w:pPr>
              <w:spacing w:after="0"/>
              <w:rPr>
                <w:sz w:val="15"/>
                <w:szCs w:val="15"/>
                <w:color w:val="auto"/>
              </w:rPr>
            </w:pPr>
          </w:p>
        </w:tc>
        <w:tc>
          <w:tcPr>
            <w:tcW w:w="60" w:type="dxa"/>
            <w:vAlign w:val="bottom"/>
            <w:shd w:val="clear" w:color="auto" w:fill="D0EBF2"/>
          </w:tcPr>
          <w:p>
            <w:pPr>
              <w:spacing w:after="0"/>
              <w:rPr>
                <w:sz w:val="15"/>
                <w:szCs w:val="15"/>
                <w:color w:val="auto"/>
              </w:rPr>
            </w:pPr>
          </w:p>
        </w:tc>
        <w:tc>
          <w:tcPr>
            <w:tcW w:w="720" w:type="dxa"/>
            <w:vAlign w:val="bottom"/>
            <w:shd w:val="clear" w:color="auto" w:fill="D0EBF2"/>
          </w:tcPr>
          <w:p>
            <w:pPr>
              <w:jc w:val="right"/>
              <w:spacing w:after="0"/>
              <w:rPr>
                <w:sz w:val="20"/>
                <w:szCs w:val="20"/>
                <w:color w:val="auto"/>
              </w:rPr>
            </w:pPr>
            <w:r>
              <w:rPr>
                <w:rFonts w:ascii="Times New Roman" w:cs="Times New Roman" w:eastAsia="Times New Roman" w:hAnsi="Times New Roman"/>
                <w:sz w:val="14"/>
                <w:szCs w:val="14"/>
                <w:color w:val="231F20"/>
              </w:rPr>
              <w:t>220,017</w:t>
            </w:r>
          </w:p>
        </w:tc>
        <w:tc>
          <w:tcPr>
            <w:tcW w:w="100" w:type="dxa"/>
            <w:vAlign w:val="bottom"/>
            <w:shd w:val="clear" w:color="auto" w:fill="D0EBF2"/>
          </w:tcPr>
          <w:p>
            <w:pPr>
              <w:spacing w:after="0"/>
              <w:rPr>
                <w:sz w:val="15"/>
                <w:szCs w:val="15"/>
                <w:color w:val="auto"/>
              </w:rPr>
            </w:pPr>
          </w:p>
        </w:tc>
        <w:tc>
          <w:tcPr>
            <w:tcW w:w="20" w:type="dxa"/>
            <w:vAlign w:val="bottom"/>
            <w:shd w:val="clear" w:color="auto" w:fill="D0EBF2"/>
          </w:tcPr>
          <w:p>
            <w:pPr>
              <w:spacing w:after="0"/>
              <w:rPr>
                <w:sz w:val="15"/>
                <w:szCs w:val="15"/>
                <w:color w:val="auto"/>
              </w:rPr>
            </w:pPr>
          </w:p>
        </w:tc>
        <w:tc>
          <w:tcPr>
            <w:tcW w:w="80" w:type="dxa"/>
            <w:vAlign w:val="bottom"/>
            <w:shd w:val="clear" w:color="auto" w:fill="D0EBF2"/>
          </w:tcPr>
          <w:p>
            <w:pPr>
              <w:spacing w:after="0"/>
              <w:rPr>
                <w:sz w:val="15"/>
                <w:szCs w:val="15"/>
                <w:color w:val="auto"/>
              </w:rPr>
            </w:pPr>
          </w:p>
        </w:tc>
        <w:tc>
          <w:tcPr>
            <w:tcW w:w="20" w:type="dxa"/>
            <w:vAlign w:val="bottom"/>
            <w:shd w:val="clear" w:color="auto" w:fill="D0EBF2"/>
          </w:tcPr>
          <w:p>
            <w:pPr>
              <w:spacing w:after="0"/>
              <w:rPr>
                <w:sz w:val="15"/>
                <w:szCs w:val="15"/>
                <w:color w:val="auto"/>
              </w:rPr>
            </w:pPr>
          </w:p>
        </w:tc>
        <w:tc>
          <w:tcPr>
            <w:tcW w:w="20" w:type="dxa"/>
            <w:vAlign w:val="bottom"/>
            <w:shd w:val="clear" w:color="auto" w:fill="D0EBF2"/>
          </w:tcPr>
          <w:p>
            <w:pPr>
              <w:spacing w:after="0"/>
              <w:rPr>
                <w:sz w:val="15"/>
                <w:szCs w:val="15"/>
                <w:color w:val="auto"/>
              </w:rPr>
            </w:pPr>
          </w:p>
        </w:tc>
        <w:tc>
          <w:tcPr>
            <w:tcW w:w="40" w:type="dxa"/>
            <w:vAlign w:val="bottom"/>
            <w:shd w:val="clear" w:color="auto" w:fill="D0EBF2"/>
          </w:tcPr>
          <w:p>
            <w:pPr>
              <w:spacing w:after="0"/>
              <w:rPr>
                <w:sz w:val="15"/>
                <w:szCs w:val="15"/>
                <w:color w:val="auto"/>
              </w:rPr>
            </w:pPr>
          </w:p>
        </w:tc>
        <w:tc>
          <w:tcPr>
            <w:tcW w:w="720" w:type="dxa"/>
            <w:vAlign w:val="bottom"/>
            <w:shd w:val="clear" w:color="auto" w:fill="D0EBF2"/>
          </w:tcPr>
          <w:p>
            <w:pPr>
              <w:jc w:val="right"/>
              <w:spacing w:after="0"/>
              <w:rPr>
                <w:sz w:val="20"/>
                <w:szCs w:val="20"/>
                <w:color w:val="auto"/>
              </w:rPr>
            </w:pPr>
            <w:r>
              <w:rPr>
                <w:rFonts w:ascii="Times New Roman" w:cs="Times New Roman" w:eastAsia="Times New Roman" w:hAnsi="Times New Roman"/>
                <w:sz w:val="14"/>
                <w:szCs w:val="14"/>
                <w:color w:val="231F20"/>
              </w:rPr>
              <w:t>220,017</w:t>
            </w:r>
          </w:p>
        </w:tc>
        <w:tc>
          <w:tcPr>
            <w:tcW w:w="100" w:type="dxa"/>
            <w:vAlign w:val="bottom"/>
            <w:shd w:val="clear" w:color="auto" w:fill="D0EBF2"/>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3620" w:type="dxa"/>
            <w:vAlign w:val="bottom"/>
            <w:gridSpan w:val="2"/>
            <w:shd w:val="clear" w:color="auto" w:fill="FDFDFC"/>
          </w:tcPr>
          <w:p>
            <w:pPr>
              <w:ind w:left="200"/>
              <w:spacing w:after="0"/>
              <w:rPr>
                <w:sz w:val="20"/>
                <w:szCs w:val="20"/>
                <w:color w:val="auto"/>
              </w:rPr>
            </w:pPr>
            <w:r>
              <w:rPr>
                <w:rFonts w:ascii="Times New Roman" w:cs="Times New Roman" w:eastAsia="Times New Roman" w:hAnsi="Times New Roman"/>
                <w:sz w:val="14"/>
                <w:szCs w:val="14"/>
                <w:color w:val="231F20"/>
              </w:rPr>
              <w:t>Net change in unrealized gains (losses) on investments</w:t>
            </w:r>
          </w:p>
        </w:tc>
        <w:tc>
          <w:tcPr>
            <w:tcW w:w="860" w:type="dxa"/>
            <w:vAlign w:val="bottom"/>
            <w:vMerge w:val="restart"/>
            <w:shd w:val="clear" w:color="auto" w:fill="FDFDFC"/>
          </w:tcPr>
          <w:p>
            <w:pPr>
              <w:jc w:val="right"/>
              <w:spacing w:after="0"/>
              <w:rPr>
                <w:sz w:val="20"/>
                <w:szCs w:val="20"/>
                <w:color w:val="auto"/>
              </w:rPr>
            </w:pPr>
            <w:r>
              <w:rPr>
                <w:rFonts w:ascii="Times New Roman" w:cs="Times New Roman" w:eastAsia="Times New Roman" w:hAnsi="Times New Roman"/>
                <w:sz w:val="14"/>
                <w:szCs w:val="14"/>
                <w:color w:val="231F20"/>
              </w:rPr>
              <w:t>—</w:t>
            </w:r>
          </w:p>
        </w:tc>
        <w:tc>
          <w:tcPr>
            <w:tcW w:w="100" w:type="dxa"/>
            <w:vAlign w:val="bottom"/>
            <w:shd w:val="clear" w:color="auto" w:fill="FDFDFC"/>
          </w:tcPr>
          <w:p>
            <w:pPr>
              <w:spacing w:after="0"/>
              <w:rPr>
                <w:sz w:val="14"/>
                <w:szCs w:val="14"/>
                <w:color w:val="auto"/>
              </w:rPr>
            </w:pPr>
          </w:p>
        </w:tc>
        <w:tc>
          <w:tcPr>
            <w:tcW w:w="100" w:type="dxa"/>
            <w:vAlign w:val="bottom"/>
            <w:shd w:val="clear" w:color="auto" w:fill="FDFDFC"/>
          </w:tcPr>
          <w:p>
            <w:pPr>
              <w:spacing w:after="0"/>
              <w:rPr>
                <w:sz w:val="14"/>
                <w:szCs w:val="14"/>
                <w:color w:val="auto"/>
              </w:rPr>
            </w:pPr>
          </w:p>
        </w:tc>
        <w:tc>
          <w:tcPr>
            <w:tcW w:w="20" w:type="dxa"/>
            <w:vAlign w:val="bottom"/>
            <w:shd w:val="clear" w:color="auto" w:fill="FDFDFC"/>
          </w:tcPr>
          <w:p>
            <w:pPr>
              <w:spacing w:after="0"/>
              <w:rPr>
                <w:sz w:val="14"/>
                <w:szCs w:val="14"/>
                <w:color w:val="auto"/>
              </w:rPr>
            </w:pPr>
          </w:p>
        </w:tc>
        <w:tc>
          <w:tcPr>
            <w:tcW w:w="20" w:type="dxa"/>
            <w:vAlign w:val="bottom"/>
            <w:shd w:val="clear" w:color="auto" w:fill="FDFDFC"/>
          </w:tcPr>
          <w:p>
            <w:pPr>
              <w:spacing w:after="0"/>
              <w:rPr>
                <w:sz w:val="14"/>
                <w:szCs w:val="14"/>
                <w:color w:val="auto"/>
              </w:rPr>
            </w:pPr>
          </w:p>
        </w:tc>
        <w:tc>
          <w:tcPr>
            <w:tcW w:w="60" w:type="dxa"/>
            <w:vAlign w:val="bottom"/>
            <w:shd w:val="clear" w:color="auto" w:fill="FDFDFC"/>
          </w:tcPr>
          <w:p>
            <w:pPr>
              <w:spacing w:after="0"/>
              <w:rPr>
                <w:sz w:val="14"/>
                <w:szCs w:val="14"/>
                <w:color w:val="auto"/>
              </w:rPr>
            </w:pPr>
          </w:p>
        </w:tc>
        <w:tc>
          <w:tcPr>
            <w:tcW w:w="420" w:type="dxa"/>
            <w:vAlign w:val="bottom"/>
            <w:vMerge w:val="restart"/>
            <w:shd w:val="clear" w:color="auto" w:fill="FDFDFC"/>
          </w:tcPr>
          <w:p>
            <w:pPr>
              <w:jc w:val="right"/>
              <w:spacing w:after="0"/>
              <w:rPr>
                <w:sz w:val="20"/>
                <w:szCs w:val="20"/>
                <w:color w:val="auto"/>
              </w:rPr>
            </w:pPr>
            <w:r>
              <w:rPr>
                <w:rFonts w:ascii="Times New Roman" w:cs="Times New Roman" w:eastAsia="Times New Roman" w:hAnsi="Times New Roman"/>
                <w:sz w:val="14"/>
                <w:szCs w:val="14"/>
                <w:color w:val="231F20"/>
              </w:rPr>
              <w:t>—</w:t>
            </w:r>
          </w:p>
        </w:tc>
        <w:tc>
          <w:tcPr>
            <w:tcW w:w="100" w:type="dxa"/>
            <w:vAlign w:val="bottom"/>
            <w:shd w:val="clear" w:color="auto" w:fill="FDFDFC"/>
          </w:tcPr>
          <w:p>
            <w:pPr>
              <w:spacing w:after="0"/>
              <w:rPr>
                <w:sz w:val="14"/>
                <w:szCs w:val="14"/>
                <w:color w:val="auto"/>
              </w:rPr>
            </w:pPr>
          </w:p>
        </w:tc>
        <w:tc>
          <w:tcPr>
            <w:tcW w:w="20" w:type="dxa"/>
            <w:vAlign w:val="bottom"/>
            <w:shd w:val="clear" w:color="auto" w:fill="FDFDFC"/>
          </w:tcPr>
          <w:p>
            <w:pPr>
              <w:spacing w:after="0"/>
              <w:rPr>
                <w:sz w:val="14"/>
                <w:szCs w:val="14"/>
                <w:color w:val="auto"/>
              </w:rPr>
            </w:pPr>
          </w:p>
        </w:tc>
        <w:tc>
          <w:tcPr>
            <w:tcW w:w="80" w:type="dxa"/>
            <w:vAlign w:val="bottom"/>
            <w:shd w:val="clear" w:color="auto" w:fill="FDFDFC"/>
          </w:tcPr>
          <w:p>
            <w:pPr>
              <w:spacing w:after="0"/>
              <w:rPr>
                <w:sz w:val="14"/>
                <w:szCs w:val="14"/>
                <w:color w:val="auto"/>
              </w:rPr>
            </w:pPr>
          </w:p>
        </w:tc>
        <w:tc>
          <w:tcPr>
            <w:tcW w:w="20" w:type="dxa"/>
            <w:vAlign w:val="bottom"/>
            <w:shd w:val="clear" w:color="auto" w:fill="FDFDFC"/>
          </w:tcPr>
          <w:p>
            <w:pPr>
              <w:spacing w:after="0"/>
              <w:rPr>
                <w:sz w:val="14"/>
                <w:szCs w:val="14"/>
                <w:color w:val="auto"/>
              </w:rPr>
            </w:pPr>
          </w:p>
        </w:tc>
        <w:tc>
          <w:tcPr>
            <w:tcW w:w="20" w:type="dxa"/>
            <w:vAlign w:val="bottom"/>
            <w:shd w:val="clear" w:color="auto" w:fill="FDFDFC"/>
          </w:tcPr>
          <w:p>
            <w:pPr>
              <w:spacing w:after="0"/>
              <w:rPr>
                <w:sz w:val="14"/>
                <w:szCs w:val="14"/>
                <w:color w:val="auto"/>
              </w:rPr>
            </w:pPr>
          </w:p>
        </w:tc>
        <w:tc>
          <w:tcPr>
            <w:tcW w:w="660" w:type="dxa"/>
            <w:vAlign w:val="bottom"/>
            <w:vMerge w:val="restart"/>
            <w:shd w:val="clear" w:color="auto" w:fill="FDFDFC"/>
          </w:tcPr>
          <w:p>
            <w:pPr>
              <w:jc w:val="right"/>
              <w:spacing w:after="0"/>
              <w:rPr>
                <w:sz w:val="20"/>
                <w:szCs w:val="20"/>
                <w:color w:val="auto"/>
              </w:rPr>
            </w:pPr>
            <w:r>
              <w:rPr>
                <w:rFonts w:ascii="Times New Roman" w:cs="Times New Roman" w:eastAsia="Times New Roman" w:hAnsi="Times New Roman"/>
                <w:sz w:val="14"/>
                <w:szCs w:val="14"/>
                <w:color w:val="231F20"/>
              </w:rPr>
              <w:t>—</w:t>
            </w:r>
          </w:p>
        </w:tc>
        <w:tc>
          <w:tcPr>
            <w:tcW w:w="100" w:type="dxa"/>
            <w:vAlign w:val="bottom"/>
            <w:shd w:val="clear" w:color="auto" w:fill="FDFDFC"/>
          </w:tcPr>
          <w:p>
            <w:pPr>
              <w:spacing w:after="0"/>
              <w:rPr>
                <w:sz w:val="14"/>
                <w:szCs w:val="14"/>
                <w:color w:val="auto"/>
              </w:rPr>
            </w:pPr>
          </w:p>
        </w:tc>
        <w:tc>
          <w:tcPr>
            <w:tcW w:w="20" w:type="dxa"/>
            <w:vAlign w:val="bottom"/>
            <w:shd w:val="clear" w:color="auto" w:fill="FDFDFC"/>
          </w:tcPr>
          <w:p>
            <w:pPr>
              <w:spacing w:after="0"/>
              <w:rPr>
                <w:sz w:val="14"/>
                <w:szCs w:val="14"/>
                <w:color w:val="auto"/>
              </w:rPr>
            </w:pPr>
          </w:p>
        </w:tc>
        <w:tc>
          <w:tcPr>
            <w:tcW w:w="80" w:type="dxa"/>
            <w:vAlign w:val="bottom"/>
            <w:shd w:val="clear" w:color="auto" w:fill="FDFDFC"/>
          </w:tcPr>
          <w:p>
            <w:pPr>
              <w:spacing w:after="0"/>
              <w:rPr>
                <w:sz w:val="14"/>
                <w:szCs w:val="14"/>
                <w:color w:val="auto"/>
              </w:rPr>
            </w:pPr>
          </w:p>
        </w:tc>
        <w:tc>
          <w:tcPr>
            <w:tcW w:w="20" w:type="dxa"/>
            <w:vAlign w:val="bottom"/>
            <w:shd w:val="clear" w:color="auto" w:fill="FDFDFC"/>
          </w:tcPr>
          <w:p>
            <w:pPr>
              <w:spacing w:after="0"/>
              <w:rPr>
                <w:sz w:val="14"/>
                <w:szCs w:val="14"/>
                <w:color w:val="auto"/>
              </w:rPr>
            </w:pPr>
          </w:p>
        </w:tc>
        <w:tc>
          <w:tcPr>
            <w:tcW w:w="20" w:type="dxa"/>
            <w:vAlign w:val="bottom"/>
            <w:shd w:val="clear" w:color="auto" w:fill="FDFDFC"/>
          </w:tcPr>
          <w:p>
            <w:pPr>
              <w:spacing w:after="0"/>
              <w:rPr>
                <w:sz w:val="14"/>
                <w:szCs w:val="14"/>
                <w:color w:val="auto"/>
              </w:rPr>
            </w:pPr>
          </w:p>
        </w:tc>
        <w:tc>
          <w:tcPr>
            <w:tcW w:w="60" w:type="dxa"/>
            <w:vAlign w:val="bottom"/>
            <w:shd w:val="clear" w:color="auto" w:fill="FDFDFC"/>
          </w:tcPr>
          <w:p>
            <w:pPr>
              <w:spacing w:after="0"/>
              <w:rPr>
                <w:sz w:val="14"/>
                <w:szCs w:val="14"/>
                <w:color w:val="auto"/>
              </w:rPr>
            </w:pPr>
          </w:p>
        </w:tc>
        <w:tc>
          <w:tcPr>
            <w:tcW w:w="620" w:type="dxa"/>
            <w:vAlign w:val="bottom"/>
            <w:gridSpan w:val="4"/>
            <w:vMerge w:val="restart"/>
            <w:shd w:val="clear" w:color="auto" w:fill="FDFDFC"/>
          </w:tcPr>
          <w:p>
            <w:pPr>
              <w:jc w:val="right"/>
              <w:ind w:right="160"/>
              <w:spacing w:after="0"/>
              <w:rPr>
                <w:sz w:val="20"/>
                <w:szCs w:val="20"/>
                <w:color w:val="auto"/>
              </w:rPr>
            </w:pPr>
            <w:r>
              <w:rPr>
                <w:rFonts w:ascii="Times New Roman" w:cs="Times New Roman" w:eastAsia="Times New Roman" w:hAnsi="Times New Roman"/>
                <w:sz w:val="14"/>
                <w:szCs w:val="14"/>
                <w:color w:val="231F20"/>
              </w:rPr>
              <w:t>—</w:t>
            </w:r>
          </w:p>
        </w:tc>
        <w:tc>
          <w:tcPr>
            <w:tcW w:w="60" w:type="dxa"/>
            <w:vAlign w:val="bottom"/>
            <w:shd w:val="clear" w:color="auto" w:fill="FDFDFC"/>
          </w:tcPr>
          <w:p>
            <w:pPr>
              <w:spacing w:after="0"/>
              <w:rPr>
                <w:sz w:val="14"/>
                <w:szCs w:val="14"/>
                <w:color w:val="auto"/>
              </w:rPr>
            </w:pPr>
          </w:p>
        </w:tc>
        <w:tc>
          <w:tcPr>
            <w:tcW w:w="140" w:type="dxa"/>
            <w:vAlign w:val="bottom"/>
            <w:shd w:val="clear" w:color="auto" w:fill="FDFDFC"/>
          </w:tcPr>
          <w:p>
            <w:pPr>
              <w:spacing w:after="0"/>
              <w:rPr>
                <w:sz w:val="14"/>
                <w:szCs w:val="14"/>
                <w:color w:val="auto"/>
              </w:rPr>
            </w:pPr>
          </w:p>
        </w:tc>
        <w:tc>
          <w:tcPr>
            <w:tcW w:w="1140" w:type="dxa"/>
            <w:vAlign w:val="bottom"/>
            <w:gridSpan w:val="6"/>
            <w:vMerge w:val="restart"/>
            <w:shd w:val="clear" w:color="auto" w:fill="FDFDFC"/>
          </w:tcPr>
          <w:p>
            <w:pPr>
              <w:jc w:val="right"/>
              <w:ind w:right="260"/>
              <w:spacing w:after="0"/>
              <w:rPr>
                <w:sz w:val="20"/>
                <w:szCs w:val="20"/>
                <w:color w:val="auto"/>
              </w:rPr>
            </w:pPr>
            <w:r>
              <w:rPr>
                <w:rFonts w:ascii="Times New Roman" w:cs="Times New Roman" w:eastAsia="Times New Roman" w:hAnsi="Times New Roman"/>
                <w:sz w:val="14"/>
                <w:szCs w:val="14"/>
                <w:color w:val="231F20"/>
              </w:rPr>
              <w:t>—</w:t>
            </w:r>
          </w:p>
        </w:tc>
        <w:tc>
          <w:tcPr>
            <w:tcW w:w="60" w:type="dxa"/>
            <w:vAlign w:val="bottom"/>
            <w:shd w:val="clear" w:color="auto" w:fill="FDFDFC"/>
          </w:tcPr>
          <w:p>
            <w:pPr>
              <w:spacing w:after="0"/>
              <w:rPr>
                <w:sz w:val="14"/>
                <w:szCs w:val="14"/>
                <w:color w:val="auto"/>
              </w:rPr>
            </w:pPr>
          </w:p>
        </w:tc>
        <w:tc>
          <w:tcPr>
            <w:tcW w:w="820" w:type="dxa"/>
            <w:vAlign w:val="bottom"/>
            <w:gridSpan w:val="2"/>
            <w:vMerge w:val="restart"/>
            <w:shd w:val="clear" w:color="auto" w:fill="FDFDFC"/>
          </w:tcPr>
          <w:p>
            <w:pPr>
              <w:jc w:val="right"/>
              <w:ind w:right="40"/>
              <w:spacing w:after="0"/>
              <w:rPr>
                <w:sz w:val="20"/>
                <w:szCs w:val="20"/>
                <w:color w:val="auto"/>
              </w:rPr>
            </w:pPr>
            <w:r>
              <w:rPr>
                <w:rFonts w:ascii="Times New Roman" w:cs="Times New Roman" w:eastAsia="Times New Roman" w:hAnsi="Times New Roman"/>
                <w:sz w:val="14"/>
                <w:szCs w:val="14"/>
                <w:color w:val="231F20"/>
              </w:rPr>
              <w:t>(42,024 )</w:t>
            </w:r>
          </w:p>
        </w:tc>
        <w:tc>
          <w:tcPr>
            <w:tcW w:w="20" w:type="dxa"/>
            <w:vAlign w:val="bottom"/>
            <w:shd w:val="clear" w:color="auto" w:fill="FDFDFC"/>
          </w:tcPr>
          <w:p>
            <w:pPr>
              <w:spacing w:after="0"/>
              <w:rPr>
                <w:sz w:val="14"/>
                <w:szCs w:val="14"/>
                <w:color w:val="auto"/>
              </w:rPr>
            </w:pPr>
          </w:p>
        </w:tc>
        <w:tc>
          <w:tcPr>
            <w:tcW w:w="80" w:type="dxa"/>
            <w:vAlign w:val="bottom"/>
            <w:shd w:val="clear" w:color="auto" w:fill="FDFDFC"/>
          </w:tcPr>
          <w:p>
            <w:pPr>
              <w:spacing w:after="0"/>
              <w:rPr>
                <w:sz w:val="14"/>
                <w:szCs w:val="14"/>
                <w:color w:val="auto"/>
              </w:rPr>
            </w:pPr>
          </w:p>
        </w:tc>
        <w:tc>
          <w:tcPr>
            <w:tcW w:w="20" w:type="dxa"/>
            <w:vAlign w:val="bottom"/>
            <w:shd w:val="clear" w:color="auto" w:fill="FDFDFC"/>
          </w:tcPr>
          <w:p>
            <w:pPr>
              <w:spacing w:after="0"/>
              <w:rPr>
                <w:sz w:val="14"/>
                <w:szCs w:val="14"/>
                <w:color w:val="auto"/>
              </w:rPr>
            </w:pPr>
          </w:p>
        </w:tc>
        <w:tc>
          <w:tcPr>
            <w:tcW w:w="20" w:type="dxa"/>
            <w:vAlign w:val="bottom"/>
            <w:shd w:val="clear" w:color="auto" w:fill="FDFDFC"/>
          </w:tcPr>
          <w:p>
            <w:pPr>
              <w:spacing w:after="0"/>
              <w:rPr>
                <w:sz w:val="14"/>
                <w:szCs w:val="14"/>
                <w:color w:val="auto"/>
              </w:rPr>
            </w:pPr>
          </w:p>
        </w:tc>
        <w:tc>
          <w:tcPr>
            <w:tcW w:w="40" w:type="dxa"/>
            <w:vAlign w:val="bottom"/>
            <w:shd w:val="clear" w:color="auto" w:fill="FDFDFC"/>
          </w:tcPr>
          <w:p>
            <w:pPr>
              <w:spacing w:after="0"/>
              <w:rPr>
                <w:sz w:val="14"/>
                <w:szCs w:val="14"/>
                <w:color w:val="auto"/>
              </w:rPr>
            </w:pPr>
          </w:p>
        </w:tc>
        <w:tc>
          <w:tcPr>
            <w:tcW w:w="820" w:type="dxa"/>
            <w:vAlign w:val="bottom"/>
            <w:gridSpan w:val="2"/>
            <w:vMerge w:val="restart"/>
            <w:shd w:val="clear" w:color="auto" w:fill="FDFDFC"/>
          </w:tcPr>
          <w:p>
            <w:pPr>
              <w:jc w:val="right"/>
              <w:ind w:right="60"/>
              <w:spacing w:after="0"/>
              <w:rPr>
                <w:sz w:val="20"/>
                <w:szCs w:val="20"/>
                <w:color w:val="auto"/>
              </w:rPr>
            </w:pPr>
            <w:r>
              <w:rPr>
                <w:rFonts w:ascii="Times New Roman" w:cs="Times New Roman" w:eastAsia="Times New Roman" w:hAnsi="Times New Roman"/>
                <w:sz w:val="14"/>
                <w:szCs w:val="14"/>
                <w:color w:val="231F20"/>
              </w:rPr>
              <w:t>(42,024 )</w:t>
            </w:r>
          </w:p>
        </w:tc>
        <w:tc>
          <w:tcPr>
            <w:tcW w:w="0" w:type="dxa"/>
            <w:vAlign w:val="bottom"/>
          </w:tcPr>
          <w:p>
            <w:pPr>
              <w:spacing w:after="0"/>
              <w:rPr>
                <w:sz w:val="1"/>
                <w:szCs w:val="1"/>
                <w:color w:val="auto"/>
              </w:rPr>
            </w:pPr>
          </w:p>
        </w:tc>
      </w:tr>
      <w:tr>
        <w:trPr>
          <w:trHeight w:val="177"/>
        </w:trPr>
        <w:tc>
          <w:tcPr>
            <w:tcW w:w="3620" w:type="dxa"/>
            <w:vAlign w:val="bottom"/>
            <w:gridSpan w:val="2"/>
            <w:shd w:val="clear" w:color="auto" w:fill="FDFDFC"/>
          </w:tcPr>
          <w:p>
            <w:pPr>
              <w:ind w:left="200"/>
              <w:spacing w:after="0"/>
              <w:rPr>
                <w:sz w:val="20"/>
                <w:szCs w:val="20"/>
                <w:color w:val="auto"/>
              </w:rPr>
            </w:pPr>
            <w:r>
              <w:rPr>
                <w:rFonts w:ascii="Times New Roman" w:cs="Times New Roman" w:eastAsia="Times New Roman" w:hAnsi="Times New Roman"/>
                <w:sz w:val="14"/>
                <w:szCs w:val="14"/>
                <w:color w:val="231F20"/>
              </w:rPr>
              <w:t>and foreign currency translation</w:t>
            </w:r>
          </w:p>
        </w:tc>
        <w:tc>
          <w:tcPr>
            <w:tcW w:w="860" w:type="dxa"/>
            <w:vAlign w:val="bottom"/>
            <w:vMerge w:val="continue"/>
            <w:shd w:val="clear" w:color="auto" w:fill="FDFDFC"/>
          </w:tcPr>
          <w:p>
            <w:pPr>
              <w:spacing w:after="0"/>
              <w:rPr>
                <w:sz w:val="15"/>
                <w:szCs w:val="15"/>
                <w:color w:val="auto"/>
              </w:rPr>
            </w:pPr>
          </w:p>
        </w:tc>
        <w:tc>
          <w:tcPr>
            <w:tcW w:w="100" w:type="dxa"/>
            <w:vAlign w:val="bottom"/>
            <w:shd w:val="clear" w:color="auto" w:fill="FDFDFC"/>
          </w:tcPr>
          <w:p>
            <w:pPr>
              <w:spacing w:after="0"/>
              <w:rPr>
                <w:sz w:val="15"/>
                <w:szCs w:val="15"/>
                <w:color w:val="auto"/>
              </w:rPr>
            </w:pPr>
          </w:p>
        </w:tc>
        <w:tc>
          <w:tcPr>
            <w:tcW w:w="100" w:type="dxa"/>
            <w:vAlign w:val="bottom"/>
            <w:shd w:val="clear" w:color="auto" w:fill="FDFDFC"/>
          </w:tcPr>
          <w:p>
            <w:pPr>
              <w:spacing w:after="0"/>
              <w:rPr>
                <w:sz w:val="15"/>
                <w:szCs w:val="15"/>
                <w:color w:val="auto"/>
              </w:rPr>
            </w:pPr>
          </w:p>
        </w:tc>
        <w:tc>
          <w:tcPr>
            <w:tcW w:w="20" w:type="dxa"/>
            <w:vAlign w:val="bottom"/>
            <w:shd w:val="clear" w:color="auto" w:fill="FDFDFC"/>
          </w:tcPr>
          <w:p>
            <w:pPr>
              <w:spacing w:after="0"/>
              <w:rPr>
                <w:sz w:val="15"/>
                <w:szCs w:val="15"/>
                <w:color w:val="auto"/>
              </w:rPr>
            </w:pPr>
          </w:p>
        </w:tc>
        <w:tc>
          <w:tcPr>
            <w:tcW w:w="20" w:type="dxa"/>
            <w:vAlign w:val="bottom"/>
            <w:shd w:val="clear" w:color="auto" w:fill="FDFDFC"/>
          </w:tcPr>
          <w:p>
            <w:pPr>
              <w:spacing w:after="0"/>
              <w:rPr>
                <w:sz w:val="15"/>
                <w:szCs w:val="15"/>
                <w:color w:val="auto"/>
              </w:rPr>
            </w:pPr>
          </w:p>
        </w:tc>
        <w:tc>
          <w:tcPr>
            <w:tcW w:w="60" w:type="dxa"/>
            <w:vAlign w:val="bottom"/>
            <w:shd w:val="clear" w:color="auto" w:fill="FDFDFC"/>
          </w:tcPr>
          <w:p>
            <w:pPr>
              <w:spacing w:after="0"/>
              <w:rPr>
                <w:sz w:val="15"/>
                <w:szCs w:val="15"/>
                <w:color w:val="auto"/>
              </w:rPr>
            </w:pPr>
          </w:p>
        </w:tc>
        <w:tc>
          <w:tcPr>
            <w:tcW w:w="420" w:type="dxa"/>
            <w:vAlign w:val="bottom"/>
            <w:vMerge w:val="continue"/>
            <w:shd w:val="clear" w:color="auto" w:fill="FDFDFC"/>
          </w:tcPr>
          <w:p>
            <w:pPr>
              <w:spacing w:after="0"/>
              <w:rPr>
                <w:sz w:val="15"/>
                <w:szCs w:val="15"/>
                <w:color w:val="auto"/>
              </w:rPr>
            </w:pPr>
          </w:p>
        </w:tc>
        <w:tc>
          <w:tcPr>
            <w:tcW w:w="100" w:type="dxa"/>
            <w:vAlign w:val="bottom"/>
            <w:shd w:val="clear" w:color="auto" w:fill="FDFDFC"/>
          </w:tcPr>
          <w:p>
            <w:pPr>
              <w:spacing w:after="0"/>
              <w:rPr>
                <w:sz w:val="15"/>
                <w:szCs w:val="15"/>
                <w:color w:val="auto"/>
              </w:rPr>
            </w:pPr>
          </w:p>
        </w:tc>
        <w:tc>
          <w:tcPr>
            <w:tcW w:w="20" w:type="dxa"/>
            <w:vAlign w:val="bottom"/>
            <w:shd w:val="clear" w:color="auto" w:fill="FDFDFC"/>
          </w:tcPr>
          <w:p>
            <w:pPr>
              <w:spacing w:after="0"/>
              <w:rPr>
                <w:sz w:val="15"/>
                <w:szCs w:val="15"/>
                <w:color w:val="auto"/>
              </w:rPr>
            </w:pPr>
          </w:p>
        </w:tc>
        <w:tc>
          <w:tcPr>
            <w:tcW w:w="80" w:type="dxa"/>
            <w:vAlign w:val="bottom"/>
            <w:shd w:val="clear" w:color="auto" w:fill="FDFDFC"/>
          </w:tcPr>
          <w:p>
            <w:pPr>
              <w:spacing w:after="0"/>
              <w:rPr>
                <w:sz w:val="15"/>
                <w:szCs w:val="15"/>
                <w:color w:val="auto"/>
              </w:rPr>
            </w:pPr>
          </w:p>
        </w:tc>
        <w:tc>
          <w:tcPr>
            <w:tcW w:w="20" w:type="dxa"/>
            <w:vAlign w:val="bottom"/>
            <w:shd w:val="clear" w:color="auto" w:fill="FDFDFC"/>
          </w:tcPr>
          <w:p>
            <w:pPr>
              <w:spacing w:after="0"/>
              <w:rPr>
                <w:sz w:val="15"/>
                <w:szCs w:val="15"/>
                <w:color w:val="auto"/>
              </w:rPr>
            </w:pPr>
          </w:p>
        </w:tc>
        <w:tc>
          <w:tcPr>
            <w:tcW w:w="20" w:type="dxa"/>
            <w:vAlign w:val="bottom"/>
            <w:shd w:val="clear" w:color="auto" w:fill="FDFDFC"/>
          </w:tcPr>
          <w:p>
            <w:pPr>
              <w:spacing w:after="0"/>
              <w:rPr>
                <w:sz w:val="15"/>
                <w:szCs w:val="15"/>
                <w:color w:val="auto"/>
              </w:rPr>
            </w:pPr>
          </w:p>
        </w:tc>
        <w:tc>
          <w:tcPr>
            <w:tcW w:w="660" w:type="dxa"/>
            <w:vAlign w:val="bottom"/>
            <w:vMerge w:val="continue"/>
            <w:shd w:val="clear" w:color="auto" w:fill="FDFDFC"/>
          </w:tcPr>
          <w:p>
            <w:pPr>
              <w:spacing w:after="0"/>
              <w:rPr>
                <w:sz w:val="15"/>
                <w:szCs w:val="15"/>
                <w:color w:val="auto"/>
              </w:rPr>
            </w:pPr>
          </w:p>
        </w:tc>
        <w:tc>
          <w:tcPr>
            <w:tcW w:w="100" w:type="dxa"/>
            <w:vAlign w:val="bottom"/>
            <w:shd w:val="clear" w:color="auto" w:fill="FDFDFC"/>
          </w:tcPr>
          <w:p>
            <w:pPr>
              <w:spacing w:after="0"/>
              <w:rPr>
                <w:sz w:val="15"/>
                <w:szCs w:val="15"/>
                <w:color w:val="auto"/>
              </w:rPr>
            </w:pPr>
          </w:p>
        </w:tc>
        <w:tc>
          <w:tcPr>
            <w:tcW w:w="20" w:type="dxa"/>
            <w:vAlign w:val="bottom"/>
            <w:shd w:val="clear" w:color="auto" w:fill="FDFDFC"/>
          </w:tcPr>
          <w:p>
            <w:pPr>
              <w:spacing w:after="0"/>
              <w:rPr>
                <w:sz w:val="15"/>
                <w:szCs w:val="15"/>
                <w:color w:val="auto"/>
              </w:rPr>
            </w:pPr>
          </w:p>
        </w:tc>
        <w:tc>
          <w:tcPr>
            <w:tcW w:w="80" w:type="dxa"/>
            <w:vAlign w:val="bottom"/>
            <w:shd w:val="clear" w:color="auto" w:fill="FDFDFC"/>
          </w:tcPr>
          <w:p>
            <w:pPr>
              <w:spacing w:after="0"/>
              <w:rPr>
                <w:sz w:val="15"/>
                <w:szCs w:val="15"/>
                <w:color w:val="auto"/>
              </w:rPr>
            </w:pPr>
          </w:p>
        </w:tc>
        <w:tc>
          <w:tcPr>
            <w:tcW w:w="20" w:type="dxa"/>
            <w:vAlign w:val="bottom"/>
            <w:shd w:val="clear" w:color="auto" w:fill="FDFDFC"/>
          </w:tcPr>
          <w:p>
            <w:pPr>
              <w:spacing w:after="0"/>
              <w:rPr>
                <w:sz w:val="15"/>
                <w:szCs w:val="15"/>
                <w:color w:val="auto"/>
              </w:rPr>
            </w:pPr>
          </w:p>
        </w:tc>
        <w:tc>
          <w:tcPr>
            <w:tcW w:w="20" w:type="dxa"/>
            <w:vAlign w:val="bottom"/>
            <w:shd w:val="clear" w:color="auto" w:fill="FDFDFC"/>
          </w:tcPr>
          <w:p>
            <w:pPr>
              <w:spacing w:after="0"/>
              <w:rPr>
                <w:sz w:val="15"/>
                <w:szCs w:val="15"/>
                <w:color w:val="auto"/>
              </w:rPr>
            </w:pPr>
          </w:p>
        </w:tc>
        <w:tc>
          <w:tcPr>
            <w:tcW w:w="60" w:type="dxa"/>
            <w:vAlign w:val="bottom"/>
            <w:shd w:val="clear" w:color="auto" w:fill="FDFDFC"/>
          </w:tcPr>
          <w:p>
            <w:pPr>
              <w:spacing w:after="0"/>
              <w:rPr>
                <w:sz w:val="15"/>
                <w:szCs w:val="15"/>
                <w:color w:val="auto"/>
              </w:rPr>
            </w:pPr>
          </w:p>
        </w:tc>
        <w:tc>
          <w:tcPr>
            <w:tcW w:w="620" w:type="dxa"/>
            <w:vAlign w:val="bottom"/>
            <w:gridSpan w:val="4"/>
            <w:vMerge w:val="continue"/>
            <w:shd w:val="clear" w:color="auto" w:fill="FDFDFC"/>
          </w:tcPr>
          <w:p>
            <w:pPr>
              <w:spacing w:after="0"/>
              <w:rPr>
                <w:sz w:val="15"/>
                <w:szCs w:val="15"/>
                <w:color w:val="auto"/>
              </w:rPr>
            </w:pPr>
          </w:p>
        </w:tc>
        <w:tc>
          <w:tcPr>
            <w:tcW w:w="60" w:type="dxa"/>
            <w:vAlign w:val="bottom"/>
            <w:shd w:val="clear" w:color="auto" w:fill="FDFDFC"/>
          </w:tcPr>
          <w:p>
            <w:pPr>
              <w:spacing w:after="0"/>
              <w:rPr>
                <w:sz w:val="15"/>
                <w:szCs w:val="15"/>
                <w:color w:val="auto"/>
              </w:rPr>
            </w:pPr>
          </w:p>
        </w:tc>
        <w:tc>
          <w:tcPr>
            <w:tcW w:w="140" w:type="dxa"/>
            <w:vAlign w:val="bottom"/>
            <w:shd w:val="clear" w:color="auto" w:fill="FDFDFC"/>
          </w:tcPr>
          <w:p>
            <w:pPr>
              <w:spacing w:after="0"/>
              <w:rPr>
                <w:sz w:val="15"/>
                <w:szCs w:val="15"/>
                <w:color w:val="auto"/>
              </w:rPr>
            </w:pPr>
          </w:p>
        </w:tc>
        <w:tc>
          <w:tcPr>
            <w:tcW w:w="1140" w:type="dxa"/>
            <w:vAlign w:val="bottom"/>
            <w:gridSpan w:val="6"/>
            <w:vMerge w:val="continue"/>
            <w:shd w:val="clear" w:color="auto" w:fill="FDFDFC"/>
          </w:tcPr>
          <w:p>
            <w:pPr>
              <w:spacing w:after="0"/>
              <w:rPr>
                <w:sz w:val="15"/>
                <w:szCs w:val="15"/>
                <w:color w:val="auto"/>
              </w:rPr>
            </w:pPr>
          </w:p>
        </w:tc>
        <w:tc>
          <w:tcPr>
            <w:tcW w:w="60" w:type="dxa"/>
            <w:vAlign w:val="bottom"/>
            <w:shd w:val="clear" w:color="auto" w:fill="FDFDFC"/>
          </w:tcPr>
          <w:p>
            <w:pPr>
              <w:spacing w:after="0"/>
              <w:rPr>
                <w:sz w:val="15"/>
                <w:szCs w:val="15"/>
                <w:color w:val="auto"/>
              </w:rPr>
            </w:pPr>
          </w:p>
        </w:tc>
        <w:tc>
          <w:tcPr>
            <w:tcW w:w="820" w:type="dxa"/>
            <w:vAlign w:val="bottom"/>
            <w:gridSpan w:val="2"/>
            <w:vMerge w:val="continue"/>
            <w:shd w:val="clear" w:color="auto" w:fill="FDFDFC"/>
          </w:tcPr>
          <w:p>
            <w:pPr>
              <w:spacing w:after="0"/>
              <w:rPr>
                <w:sz w:val="15"/>
                <w:szCs w:val="15"/>
                <w:color w:val="auto"/>
              </w:rPr>
            </w:pPr>
          </w:p>
        </w:tc>
        <w:tc>
          <w:tcPr>
            <w:tcW w:w="20" w:type="dxa"/>
            <w:vAlign w:val="bottom"/>
            <w:shd w:val="clear" w:color="auto" w:fill="FDFDFC"/>
          </w:tcPr>
          <w:p>
            <w:pPr>
              <w:spacing w:after="0"/>
              <w:rPr>
                <w:sz w:val="15"/>
                <w:szCs w:val="15"/>
                <w:color w:val="auto"/>
              </w:rPr>
            </w:pPr>
          </w:p>
        </w:tc>
        <w:tc>
          <w:tcPr>
            <w:tcW w:w="80" w:type="dxa"/>
            <w:vAlign w:val="bottom"/>
            <w:shd w:val="clear" w:color="auto" w:fill="FDFDFC"/>
          </w:tcPr>
          <w:p>
            <w:pPr>
              <w:spacing w:after="0"/>
              <w:rPr>
                <w:sz w:val="15"/>
                <w:szCs w:val="15"/>
                <w:color w:val="auto"/>
              </w:rPr>
            </w:pPr>
          </w:p>
        </w:tc>
        <w:tc>
          <w:tcPr>
            <w:tcW w:w="20" w:type="dxa"/>
            <w:vAlign w:val="bottom"/>
            <w:shd w:val="clear" w:color="auto" w:fill="FDFDFC"/>
          </w:tcPr>
          <w:p>
            <w:pPr>
              <w:spacing w:after="0"/>
              <w:rPr>
                <w:sz w:val="15"/>
                <w:szCs w:val="15"/>
                <w:color w:val="auto"/>
              </w:rPr>
            </w:pPr>
          </w:p>
        </w:tc>
        <w:tc>
          <w:tcPr>
            <w:tcW w:w="20" w:type="dxa"/>
            <w:vAlign w:val="bottom"/>
            <w:shd w:val="clear" w:color="auto" w:fill="FDFDFC"/>
          </w:tcPr>
          <w:p>
            <w:pPr>
              <w:spacing w:after="0"/>
              <w:rPr>
                <w:sz w:val="15"/>
                <w:szCs w:val="15"/>
                <w:color w:val="auto"/>
              </w:rPr>
            </w:pPr>
          </w:p>
        </w:tc>
        <w:tc>
          <w:tcPr>
            <w:tcW w:w="40" w:type="dxa"/>
            <w:vAlign w:val="bottom"/>
            <w:shd w:val="clear" w:color="auto" w:fill="FDFDFC"/>
          </w:tcPr>
          <w:p>
            <w:pPr>
              <w:spacing w:after="0"/>
              <w:rPr>
                <w:sz w:val="15"/>
                <w:szCs w:val="15"/>
                <w:color w:val="auto"/>
              </w:rPr>
            </w:pPr>
          </w:p>
        </w:tc>
        <w:tc>
          <w:tcPr>
            <w:tcW w:w="820" w:type="dxa"/>
            <w:vAlign w:val="bottom"/>
            <w:gridSpan w:val="2"/>
            <w:vMerge w:val="continue"/>
            <w:shd w:val="clear" w:color="auto" w:fill="FDFDFC"/>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3620" w:type="dxa"/>
            <w:vAlign w:val="bottom"/>
            <w:gridSpan w:val="2"/>
            <w:shd w:val="clear" w:color="auto" w:fill="D0EBF2"/>
          </w:tcPr>
          <w:p>
            <w:pPr>
              <w:ind w:left="200"/>
              <w:spacing w:after="0"/>
              <w:rPr>
                <w:sz w:val="20"/>
                <w:szCs w:val="20"/>
                <w:color w:val="auto"/>
              </w:rPr>
            </w:pPr>
            <w:r>
              <w:rPr>
                <w:rFonts w:ascii="Times New Roman" w:cs="Times New Roman" w:eastAsia="Times New Roman" w:hAnsi="Times New Roman"/>
                <w:sz w:val="14"/>
                <w:szCs w:val="14"/>
                <w:color w:val="231F20"/>
              </w:rPr>
              <w:t>Net realized gain (loss) on investments and foreign</w:t>
            </w:r>
          </w:p>
        </w:tc>
        <w:tc>
          <w:tcPr>
            <w:tcW w:w="860" w:type="dxa"/>
            <w:vAlign w:val="bottom"/>
            <w:shd w:val="clear" w:color="auto" w:fill="D0EBF2"/>
          </w:tcPr>
          <w:p>
            <w:pPr>
              <w:spacing w:after="0"/>
              <w:rPr>
                <w:sz w:val="14"/>
                <w:szCs w:val="14"/>
                <w:color w:val="auto"/>
              </w:rPr>
            </w:pPr>
          </w:p>
        </w:tc>
        <w:tc>
          <w:tcPr>
            <w:tcW w:w="100" w:type="dxa"/>
            <w:vAlign w:val="bottom"/>
            <w:shd w:val="clear" w:color="auto" w:fill="D0EBF2"/>
          </w:tcPr>
          <w:p>
            <w:pPr>
              <w:spacing w:after="0"/>
              <w:rPr>
                <w:sz w:val="14"/>
                <w:szCs w:val="14"/>
                <w:color w:val="auto"/>
              </w:rPr>
            </w:pPr>
          </w:p>
        </w:tc>
        <w:tc>
          <w:tcPr>
            <w:tcW w:w="100" w:type="dxa"/>
            <w:vAlign w:val="bottom"/>
            <w:shd w:val="clear" w:color="auto" w:fill="D0EBF2"/>
          </w:tcPr>
          <w:p>
            <w:pPr>
              <w:spacing w:after="0"/>
              <w:rPr>
                <w:sz w:val="14"/>
                <w:szCs w:val="14"/>
                <w:color w:val="auto"/>
              </w:rPr>
            </w:pPr>
          </w:p>
        </w:tc>
        <w:tc>
          <w:tcPr>
            <w:tcW w:w="20" w:type="dxa"/>
            <w:vAlign w:val="bottom"/>
            <w:shd w:val="clear" w:color="auto" w:fill="D0EBF2"/>
          </w:tcPr>
          <w:p>
            <w:pPr>
              <w:spacing w:after="0"/>
              <w:rPr>
                <w:sz w:val="14"/>
                <w:szCs w:val="14"/>
                <w:color w:val="auto"/>
              </w:rPr>
            </w:pPr>
          </w:p>
        </w:tc>
        <w:tc>
          <w:tcPr>
            <w:tcW w:w="20" w:type="dxa"/>
            <w:vAlign w:val="bottom"/>
            <w:shd w:val="clear" w:color="auto" w:fill="D0EBF2"/>
          </w:tcPr>
          <w:p>
            <w:pPr>
              <w:spacing w:after="0"/>
              <w:rPr>
                <w:sz w:val="14"/>
                <w:szCs w:val="14"/>
                <w:color w:val="auto"/>
              </w:rPr>
            </w:pPr>
          </w:p>
        </w:tc>
        <w:tc>
          <w:tcPr>
            <w:tcW w:w="60" w:type="dxa"/>
            <w:vAlign w:val="bottom"/>
            <w:shd w:val="clear" w:color="auto" w:fill="D0EBF2"/>
          </w:tcPr>
          <w:p>
            <w:pPr>
              <w:spacing w:after="0"/>
              <w:rPr>
                <w:sz w:val="14"/>
                <w:szCs w:val="14"/>
                <w:color w:val="auto"/>
              </w:rPr>
            </w:pPr>
          </w:p>
        </w:tc>
        <w:tc>
          <w:tcPr>
            <w:tcW w:w="420" w:type="dxa"/>
            <w:vAlign w:val="bottom"/>
            <w:shd w:val="clear" w:color="auto" w:fill="D0EBF2"/>
          </w:tcPr>
          <w:p>
            <w:pPr>
              <w:spacing w:after="0"/>
              <w:rPr>
                <w:sz w:val="14"/>
                <w:szCs w:val="14"/>
                <w:color w:val="auto"/>
              </w:rPr>
            </w:pPr>
          </w:p>
        </w:tc>
        <w:tc>
          <w:tcPr>
            <w:tcW w:w="100" w:type="dxa"/>
            <w:vAlign w:val="bottom"/>
            <w:shd w:val="clear" w:color="auto" w:fill="D0EBF2"/>
          </w:tcPr>
          <w:p>
            <w:pPr>
              <w:spacing w:after="0"/>
              <w:rPr>
                <w:sz w:val="14"/>
                <w:szCs w:val="14"/>
                <w:color w:val="auto"/>
              </w:rPr>
            </w:pPr>
          </w:p>
        </w:tc>
        <w:tc>
          <w:tcPr>
            <w:tcW w:w="20" w:type="dxa"/>
            <w:vAlign w:val="bottom"/>
            <w:shd w:val="clear" w:color="auto" w:fill="D0EBF2"/>
          </w:tcPr>
          <w:p>
            <w:pPr>
              <w:spacing w:after="0"/>
              <w:rPr>
                <w:sz w:val="14"/>
                <w:szCs w:val="14"/>
                <w:color w:val="auto"/>
              </w:rPr>
            </w:pPr>
          </w:p>
        </w:tc>
        <w:tc>
          <w:tcPr>
            <w:tcW w:w="80" w:type="dxa"/>
            <w:vAlign w:val="bottom"/>
            <w:shd w:val="clear" w:color="auto" w:fill="D0EBF2"/>
          </w:tcPr>
          <w:p>
            <w:pPr>
              <w:spacing w:after="0"/>
              <w:rPr>
                <w:sz w:val="14"/>
                <w:szCs w:val="14"/>
                <w:color w:val="auto"/>
              </w:rPr>
            </w:pPr>
          </w:p>
        </w:tc>
        <w:tc>
          <w:tcPr>
            <w:tcW w:w="20" w:type="dxa"/>
            <w:vAlign w:val="bottom"/>
            <w:shd w:val="clear" w:color="auto" w:fill="D0EBF2"/>
          </w:tcPr>
          <w:p>
            <w:pPr>
              <w:spacing w:after="0"/>
              <w:rPr>
                <w:sz w:val="14"/>
                <w:szCs w:val="14"/>
                <w:color w:val="auto"/>
              </w:rPr>
            </w:pPr>
          </w:p>
        </w:tc>
        <w:tc>
          <w:tcPr>
            <w:tcW w:w="20" w:type="dxa"/>
            <w:vAlign w:val="bottom"/>
            <w:shd w:val="clear" w:color="auto" w:fill="D0EBF2"/>
          </w:tcPr>
          <w:p>
            <w:pPr>
              <w:spacing w:after="0"/>
              <w:rPr>
                <w:sz w:val="14"/>
                <w:szCs w:val="14"/>
                <w:color w:val="auto"/>
              </w:rPr>
            </w:pPr>
          </w:p>
        </w:tc>
        <w:tc>
          <w:tcPr>
            <w:tcW w:w="660" w:type="dxa"/>
            <w:vAlign w:val="bottom"/>
            <w:shd w:val="clear" w:color="auto" w:fill="D0EBF2"/>
          </w:tcPr>
          <w:p>
            <w:pPr>
              <w:spacing w:after="0"/>
              <w:rPr>
                <w:sz w:val="14"/>
                <w:szCs w:val="14"/>
                <w:color w:val="auto"/>
              </w:rPr>
            </w:pPr>
          </w:p>
        </w:tc>
        <w:tc>
          <w:tcPr>
            <w:tcW w:w="100" w:type="dxa"/>
            <w:vAlign w:val="bottom"/>
            <w:shd w:val="clear" w:color="auto" w:fill="D0EBF2"/>
          </w:tcPr>
          <w:p>
            <w:pPr>
              <w:spacing w:after="0"/>
              <w:rPr>
                <w:sz w:val="14"/>
                <w:szCs w:val="14"/>
                <w:color w:val="auto"/>
              </w:rPr>
            </w:pPr>
          </w:p>
        </w:tc>
        <w:tc>
          <w:tcPr>
            <w:tcW w:w="20" w:type="dxa"/>
            <w:vAlign w:val="bottom"/>
            <w:shd w:val="clear" w:color="auto" w:fill="D0EBF2"/>
          </w:tcPr>
          <w:p>
            <w:pPr>
              <w:spacing w:after="0"/>
              <w:rPr>
                <w:sz w:val="14"/>
                <w:szCs w:val="14"/>
                <w:color w:val="auto"/>
              </w:rPr>
            </w:pPr>
          </w:p>
        </w:tc>
        <w:tc>
          <w:tcPr>
            <w:tcW w:w="80" w:type="dxa"/>
            <w:vAlign w:val="bottom"/>
            <w:shd w:val="clear" w:color="auto" w:fill="D0EBF2"/>
          </w:tcPr>
          <w:p>
            <w:pPr>
              <w:spacing w:after="0"/>
              <w:rPr>
                <w:sz w:val="14"/>
                <w:szCs w:val="14"/>
                <w:color w:val="auto"/>
              </w:rPr>
            </w:pPr>
          </w:p>
        </w:tc>
        <w:tc>
          <w:tcPr>
            <w:tcW w:w="20" w:type="dxa"/>
            <w:vAlign w:val="bottom"/>
            <w:shd w:val="clear" w:color="auto" w:fill="D0EBF2"/>
          </w:tcPr>
          <w:p>
            <w:pPr>
              <w:spacing w:after="0"/>
              <w:rPr>
                <w:sz w:val="14"/>
                <w:szCs w:val="14"/>
                <w:color w:val="auto"/>
              </w:rPr>
            </w:pPr>
          </w:p>
        </w:tc>
        <w:tc>
          <w:tcPr>
            <w:tcW w:w="20" w:type="dxa"/>
            <w:vAlign w:val="bottom"/>
            <w:shd w:val="clear" w:color="auto" w:fill="D0EBF2"/>
          </w:tcPr>
          <w:p>
            <w:pPr>
              <w:spacing w:after="0"/>
              <w:rPr>
                <w:sz w:val="14"/>
                <w:szCs w:val="14"/>
                <w:color w:val="auto"/>
              </w:rPr>
            </w:pPr>
          </w:p>
        </w:tc>
        <w:tc>
          <w:tcPr>
            <w:tcW w:w="60" w:type="dxa"/>
            <w:vAlign w:val="bottom"/>
            <w:shd w:val="clear" w:color="auto" w:fill="D0EBF2"/>
          </w:tcPr>
          <w:p>
            <w:pPr>
              <w:spacing w:after="0"/>
              <w:rPr>
                <w:sz w:val="14"/>
                <w:szCs w:val="14"/>
                <w:color w:val="auto"/>
              </w:rPr>
            </w:pPr>
          </w:p>
        </w:tc>
        <w:tc>
          <w:tcPr>
            <w:tcW w:w="480" w:type="dxa"/>
            <w:vAlign w:val="bottom"/>
            <w:shd w:val="clear" w:color="auto" w:fill="D0EBF2"/>
          </w:tcPr>
          <w:p>
            <w:pPr>
              <w:spacing w:after="0"/>
              <w:rPr>
                <w:sz w:val="14"/>
                <w:szCs w:val="14"/>
                <w:color w:val="auto"/>
              </w:rPr>
            </w:pPr>
          </w:p>
        </w:tc>
        <w:tc>
          <w:tcPr>
            <w:tcW w:w="100" w:type="dxa"/>
            <w:vAlign w:val="bottom"/>
            <w:shd w:val="clear" w:color="auto" w:fill="D0EBF2"/>
          </w:tcPr>
          <w:p>
            <w:pPr>
              <w:spacing w:after="0"/>
              <w:rPr>
                <w:sz w:val="14"/>
                <w:szCs w:val="14"/>
                <w:color w:val="auto"/>
              </w:rPr>
            </w:pPr>
          </w:p>
        </w:tc>
        <w:tc>
          <w:tcPr>
            <w:tcW w:w="20" w:type="dxa"/>
            <w:vAlign w:val="bottom"/>
            <w:shd w:val="clear" w:color="auto" w:fill="D0EBF2"/>
          </w:tcPr>
          <w:p>
            <w:pPr>
              <w:spacing w:after="0"/>
              <w:rPr>
                <w:sz w:val="14"/>
                <w:szCs w:val="14"/>
                <w:color w:val="auto"/>
              </w:rPr>
            </w:pPr>
          </w:p>
        </w:tc>
        <w:tc>
          <w:tcPr>
            <w:tcW w:w="20" w:type="dxa"/>
            <w:vAlign w:val="bottom"/>
            <w:shd w:val="clear" w:color="auto" w:fill="D0EBF2"/>
          </w:tcPr>
          <w:p>
            <w:pPr>
              <w:spacing w:after="0"/>
              <w:rPr>
                <w:sz w:val="14"/>
                <w:szCs w:val="14"/>
                <w:color w:val="auto"/>
              </w:rPr>
            </w:pPr>
          </w:p>
        </w:tc>
        <w:tc>
          <w:tcPr>
            <w:tcW w:w="60" w:type="dxa"/>
            <w:vAlign w:val="bottom"/>
            <w:shd w:val="clear" w:color="auto" w:fill="D0EBF2"/>
          </w:tcPr>
          <w:p>
            <w:pPr>
              <w:spacing w:after="0"/>
              <w:rPr>
                <w:sz w:val="14"/>
                <w:szCs w:val="14"/>
                <w:color w:val="auto"/>
              </w:rPr>
            </w:pPr>
          </w:p>
        </w:tc>
        <w:tc>
          <w:tcPr>
            <w:tcW w:w="140" w:type="dxa"/>
            <w:vAlign w:val="bottom"/>
            <w:shd w:val="clear" w:color="auto" w:fill="D0EBF2"/>
          </w:tcPr>
          <w:p>
            <w:pPr>
              <w:spacing w:after="0"/>
              <w:rPr>
                <w:sz w:val="14"/>
                <w:szCs w:val="14"/>
                <w:color w:val="auto"/>
              </w:rPr>
            </w:pPr>
          </w:p>
        </w:tc>
        <w:tc>
          <w:tcPr>
            <w:tcW w:w="900" w:type="dxa"/>
            <w:vAlign w:val="bottom"/>
            <w:shd w:val="clear" w:color="auto" w:fill="D0EBF2"/>
          </w:tcPr>
          <w:p>
            <w:pPr>
              <w:spacing w:after="0"/>
              <w:rPr>
                <w:sz w:val="14"/>
                <w:szCs w:val="14"/>
                <w:color w:val="auto"/>
              </w:rPr>
            </w:pPr>
          </w:p>
        </w:tc>
        <w:tc>
          <w:tcPr>
            <w:tcW w:w="100" w:type="dxa"/>
            <w:vAlign w:val="bottom"/>
            <w:shd w:val="clear" w:color="auto" w:fill="D0EBF2"/>
          </w:tcPr>
          <w:p>
            <w:pPr>
              <w:spacing w:after="0"/>
              <w:rPr>
                <w:sz w:val="14"/>
                <w:szCs w:val="14"/>
                <w:color w:val="auto"/>
              </w:rPr>
            </w:pPr>
          </w:p>
        </w:tc>
        <w:tc>
          <w:tcPr>
            <w:tcW w:w="20" w:type="dxa"/>
            <w:vAlign w:val="bottom"/>
            <w:shd w:val="clear" w:color="auto" w:fill="D0EBF2"/>
          </w:tcPr>
          <w:p>
            <w:pPr>
              <w:spacing w:after="0"/>
              <w:rPr>
                <w:sz w:val="14"/>
                <w:szCs w:val="14"/>
                <w:color w:val="auto"/>
              </w:rPr>
            </w:pPr>
          </w:p>
        </w:tc>
        <w:tc>
          <w:tcPr>
            <w:tcW w:w="80" w:type="dxa"/>
            <w:vAlign w:val="bottom"/>
            <w:shd w:val="clear" w:color="auto" w:fill="D0EBF2"/>
          </w:tcPr>
          <w:p>
            <w:pPr>
              <w:spacing w:after="0"/>
              <w:rPr>
                <w:sz w:val="14"/>
                <w:szCs w:val="14"/>
                <w:color w:val="auto"/>
              </w:rPr>
            </w:pPr>
          </w:p>
        </w:tc>
        <w:tc>
          <w:tcPr>
            <w:tcW w:w="20" w:type="dxa"/>
            <w:vAlign w:val="bottom"/>
            <w:shd w:val="clear" w:color="auto" w:fill="D0EBF2"/>
          </w:tcPr>
          <w:p>
            <w:pPr>
              <w:spacing w:after="0"/>
              <w:rPr>
                <w:sz w:val="14"/>
                <w:szCs w:val="14"/>
                <w:color w:val="auto"/>
              </w:rPr>
            </w:pPr>
          </w:p>
        </w:tc>
        <w:tc>
          <w:tcPr>
            <w:tcW w:w="20" w:type="dxa"/>
            <w:vAlign w:val="bottom"/>
            <w:shd w:val="clear" w:color="auto" w:fill="D0EBF2"/>
          </w:tcPr>
          <w:p>
            <w:pPr>
              <w:spacing w:after="0"/>
              <w:rPr>
                <w:sz w:val="14"/>
                <w:szCs w:val="14"/>
                <w:color w:val="auto"/>
              </w:rPr>
            </w:pPr>
          </w:p>
        </w:tc>
        <w:tc>
          <w:tcPr>
            <w:tcW w:w="60" w:type="dxa"/>
            <w:vAlign w:val="bottom"/>
            <w:shd w:val="clear" w:color="auto" w:fill="D0EBF2"/>
          </w:tcPr>
          <w:p>
            <w:pPr>
              <w:spacing w:after="0"/>
              <w:rPr>
                <w:sz w:val="14"/>
                <w:szCs w:val="14"/>
                <w:color w:val="auto"/>
              </w:rPr>
            </w:pPr>
          </w:p>
        </w:tc>
        <w:tc>
          <w:tcPr>
            <w:tcW w:w="720" w:type="dxa"/>
            <w:vAlign w:val="bottom"/>
            <w:shd w:val="clear" w:color="auto" w:fill="D0EBF2"/>
          </w:tcPr>
          <w:p>
            <w:pPr>
              <w:spacing w:after="0"/>
              <w:rPr>
                <w:sz w:val="14"/>
                <w:szCs w:val="14"/>
                <w:color w:val="auto"/>
              </w:rPr>
            </w:pPr>
          </w:p>
        </w:tc>
        <w:tc>
          <w:tcPr>
            <w:tcW w:w="100" w:type="dxa"/>
            <w:vAlign w:val="bottom"/>
            <w:shd w:val="clear" w:color="auto" w:fill="D0EBF2"/>
          </w:tcPr>
          <w:p>
            <w:pPr>
              <w:spacing w:after="0"/>
              <w:rPr>
                <w:sz w:val="14"/>
                <w:szCs w:val="14"/>
                <w:color w:val="auto"/>
              </w:rPr>
            </w:pPr>
          </w:p>
        </w:tc>
        <w:tc>
          <w:tcPr>
            <w:tcW w:w="20" w:type="dxa"/>
            <w:vAlign w:val="bottom"/>
            <w:shd w:val="clear" w:color="auto" w:fill="D0EBF2"/>
          </w:tcPr>
          <w:p>
            <w:pPr>
              <w:spacing w:after="0"/>
              <w:rPr>
                <w:sz w:val="14"/>
                <w:szCs w:val="14"/>
                <w:color w:val="auto"/>
              </w:rPr>
            </w:pPr>
          </w:p>
        </w:tc>
        <w:tc>
          <w:tcPr>
            <w:tcW w:w="80" w:type="dxa"/>
            <w:vAlign w:val="bottom"/>
            <w:shd w:val="clear" w:color="auto" w:fill="D0EBF2"/>
          </w:tcPr>
          <w:p>
            <w:pPr>
              <w:spacing w:after="0"/>
              <w:rPr>
                <w:sz w:val="14"/>
                <w:szCs w:val="14"/>
                <w:color w:val="auto"/>
              </w:rPr>
            </w:pPr>
          </w:p>
        </w:tc>
        <w:tc>
          <w:tcPr>
            <w:tcW w:w="20" w:type="dxa"/>
            <w:vAlign w:val="bottom"/>
            <w:shd w:val="clear" w:color="auto" w:fill="D0EBF2"/>
          </w:tcPr>
          <w:p>
            <w:pPr>
              <w:spacing w:after="0"/>
              <w:rPr>
                <w:sz w:val="14"/>
                <w:szCs w:val="14"/>
                <w:color w:val="auto"/>
              </w:rPr>
            </w:pPr>
          </w:p>
        </w:tc>
        <w:tc>
          <w:tcPr>
            <w:tcW w:w="20" w:type="dxa"/>
            <w:vAlign w:val="bottom"/>
            <w:shd w:val="clear" w:color="auto" w:fill="D0EBF2"/>
          </w:tcPr>
          <w:p>
            <w:pPr>
              <w:spacing w:after="0"/>
              <w:rPr>
                <w:sz w:val="14"/>
                <w:szCs w:val="14"/>
                <w:color w:val="auto"/>
              </w:rPr>
            </w:pPr>
          </w:p>
        </w:tc>
        <w:tc>
          <w:tcPr>
            <w:tcW w:w="40" w:type="dxa"/>
            <w:vAlign w:val="bottom"/>
            <w:shd w:val="clear" w:color="auto" w:fill="D0EBF2"/>
          </w:tcPr>
          <w:p>
            <w:pPr>
              <w:spacing w:after="0"/>
              <w:rPr>
                <w:sz w:val="14"/>
                <w:szCs w:val="14"/>
                <w:color w:val="auto"/>
              </w:rPr>
            </w:pPr>
          </w:p>
        </w:tc>
        <w:tc>
          <w:tcPr>
            <w:tcW w:w="720" w:type="dxa"/>
            <w:vAlign w:val="bottom"/>
            <w:shd w:val="clear" w:color="auto" w:fill="D0EBF2"/>
          </w:tcPr>
          <w:p>
            <w:pPr>
              <w:spacing w:after="0"/>
              <w:rPr>
                <w:sz w:val="14"/>
                <w:szCs w:val="14"/>
                <w:color w:val="auto"/>
              </w:rPr>
            </w:pPr>
          </w:p>
        </w:tc>
        <w:tc>
          <w:tcPr>
            <w:tcW w:w="100" w:type="dxa"/>
            <w:vAlign w:val="bottom"/>
            <w:shd w:val="clear" w:color="auto" w:fill="D0EBF2"/>
          </w:tcPr>
          <w:p>
            <w:pPr>
              <w:spacing w:after="0"/>
              <w:rPr>
                <w:sz w:val="14"/>
                <w:szCs w:val="14"/>
                <w:color w:val="auto"/>
              </w:rPr>
            </w:pPr>
          </w:p>
        </w:tc>
        <w:tc>
          <w:tcPr>
            <w:tcW w:w="0" w:type="dxa"/>
            <w:vAlign w:val="bottom"/>
          </w:tcPr>
          <w:p>
            <w:pPr>
              <w:spacing w:after="0"/>
              <w:rPr>
                <w:sz w:val="1"/>
                <w:szCs w:val="1"/>
                <w:color w:val="auto"/>
              </w:rPr>
            </w:pPr>
          </w:p>
        </w:tc>
      </w:tr>
      <w:tr>
        <w:trPr>
          <w:trHeight w:val="177"/>
        </w:trPr>
        <w:tc>
          <w:tcPr>
            <w:tcW w:w="3620" w:type="dxa"/>
            <w:vAlign w:val="bottom"/>
            <w:gridSpan w:val="2"/>
            <w:shd w:val="clear" w:color="auto" w:fill="D0EBF2"/>
          </w:tcPr>
          <w:p>
            <w:pPr>
              <w:ind w:left="200"/>
              <w:spacing w:after="0"/>
              <w:rPr>
                <w:sz w:val="20"/>
                <w:szCs w:val="20"/>
                <w:color w:val="auto"/>
              </w:rPr>
            </w:pPr>
            <w:r>
              <w:rPr>
                <w:rFonts w:ascii="Times New Roman" w:cs="Times New Roman" w:eastAsia="Times New Roman" w:hAnsi="Times New Roman"/>
                <w:sz w:val="14"/>
                <w:szCs w:val="14"/>
                <w:color w:val="231F20"/>
              </w:rPr>
              <w:t>currency transactions</w:t>
            </w:r>
          </w:p>
        </w:tc>
        <w:tc>
          <w:tcPr>
            <w:tcW w:w="860" w:type="dxa"/>
            <w:vAlign w:val="bottom"/>
            <w:shd w:val="clear" w:color="auto" w:fill="D0EBF2"/>
          </w:tcPr>
          <w:p>
            <w:pPr>
              <w:jc w:val="right"/>
              <w:spacing w:after="0"/>
              <w:rPr>
                <w:sz w:val="20"/>
                <w:szCs w:val="20"/>
                <w:color w:val="auto"/>
              </w:rPr>
            </w:pPr>
            <w:r>
              <w:rPr>
                <w:rFonts w:ascii="Times New Roman" w:cs="Times New Roman" w:eastAsia="Times New Roman" w:hAnsi="Times New Roman"/>
                <w:sz w:val="14"/>
                <w:szCs w:val="14"/>
                <w:color w:val="231F20"/>
              </w:rPr>
              <w:t>—</w:t>
            </w:r>
          </w:p>
        </w:tc>
        <w:tc>
          <w:tcPr>
            <w:tcW w:w="100" w:type="dxa"/>
            <w:vAlign w:val="bottom"/>
            <w:shd w:val="clear" w:color="auto" w:fill="D0EBF2"/>
          </w:tcPr>
          <w:p>
            <w:pPr>
              <w:spacing w:after="0"/>
              <w:rPr>
                <w:sz w:val="15"/>
                <w:szCs w:val="15"/>
                <w:color w:val="auto"/>
              </w:rPr>
            </w:pPr>
          </w:p>
        </w:tc>
        <w:tc>
          <w:tcPr>
            <w:tcW w:w="100" w:type="dxa"/>
            <w:vAlign w:val="bottom"/>
            <w:shd w:val="clear" w:color="auto" w:fill="D0EBF2"/>
          </w:tcPr>
          <w:p>
            <w:pPr>
              <w:spacing w:after="0"/>
              <w:rPr>
                <w:sz w:val="15"/>
                <w:szCs w:val="15"/>
                <w:color w:val="auto"/>
              </w:rPr>
            </w:pPr>
          </w:p>
        </w:tc>
        <w:tc>
          <w:tcPr>
            <w:tcW w:w="20" w:type="dxa"/>
            <w:vAlign w:val="bottom"/>
            <w:shd w:val="clear" w:color="auto" w:fill="D0EBF2"/>
          </w:tcPr>
          <w:p>
            <w:pPr>
              <w:spacing w:after="0"/>
              <w:rPr>
                <w:sz w:val="15"/>
                <w:szCs w:val="15"/>
                <w:color w:val="auto"/>
              </w:rPr>
            </w:pPr>
          </w:p>
        </w:tc>
        <w:tc>
          <w:tcPr>
            <w:tcW w:w="20" w:type="dxa"/>
            <w:vAlign w:val="bottom"/>
            <w:shd w:val="clear" w:color="auto" w:fill="D0EBF2"/>
          </w:tcPr>
          <w:p>
            <w:pPr>
              <w:spacing w:after="0"/>
              <w:rPr>
                <w:sz w:val="15"/>
                <w:szCs w:val="15"/>
                <w:color w:val="auto"/>
              </w:rPr>
            </w:pPr>
          </w:p>
        </w:tc>
        <w:tc>
          <w:tcPr>
            <w:tcW w:w="60" w:type="dxa"/>
            <w:vAlign w:val="bottom"/>
            <w:shd w:val="clear" w:color="auto" w:fill="D0EBF2"/>
          </w:tcPr>
          <w:p>
            <w:pPr>
              <w:spacing w:after="0"/>
              <w:rPr>
                <w:sz w:val="15"/>
                <w:szCs w:val="15"/>
                <w:color w:val="auto"/>
              </w:rPr>
            </w:pPr>
          </w:p>
        </w:tc>
        <w:tc>
          <w:tcPr>
            <w:tcW w:w="420" w:type="dxa"/>
            <w:vAlign w:val="bottom"/>
            <w:shd w:val="clear" w:color="auto" w:fill="D0EBF2"/>
          </w:tcPr>
          <w:p>
            <w:pPr>
              <w:jc w:val="right"/>
              <w:spacing w:after="0"/>
              <w:rPr>
                <w:sz w:val="20"/>
                <w:szCs w:val="20"/>
                <w:color w:val="auto"/>
              </w:rPr>
            </w:pPr>
            <w:r>
              <w:rPr>
                <w:rFonts w:ascii="Times New Roman" w:cs="Times New Roman" w:eastAsia="Times New Roman" w:hAnsi="Times New Roman"/>
                <w:sz w:val="14"/>
                <w:szCs w:val="14"/>
                <w:color w:val="231F20"/>
              </w:rPr>
              <w:t>—</w:t>
            </w:r>
          </w:p>
        </w:tc>
        <w:tc>
          <w:tcPr>
            <w:tcW w:w="100" w:type="dxa"/>
            <w:vAlign w:val="bottom"/>
            <w:shd w:val="clear" w:color="auto" w:fill="D0EBF2"/>
          </w:tcPr>
          <w:p>
            <w:pPr>
              <w:spacing w:after="0"/>
              <w:rPr>
                <w:sz w:val="15"/>
                <w:szCs w:val="15"/>
                <w:color w:val="auto"/>
              </w:rPr>
            </w:pPr>
          </w:p>
        </w:tc>
        <w:tc>
          <w:tcPr>
            <w:tcW w:w="20" w:type="dxa"/>
            <w:vAlign w:val="bottom"/>
            <w:shd w:val="clear" w:color="auto" w:fill="D0EBF2"/>
          </w:tcPr>
          <w:p>
            <w:pPr>
              <w:spacing w:after="0"/>
              <w:rPr>
                <w:sz w:val="15"/>
                <w:szCs w:val="15"/>
                <w:color w:val="auto"/>
              </w:rPr>
            </w:pPr>
          </w:p>
        </w:tc>
        <w:tc>
          <w:tcPr>
            <w:tcW w:w="80" w:type="dxa"/>
            <w:vAlign w:val="bottom"/>
            <w:shd w:val="clear" w:color="auto" w:fill="D0EBF2"/>
          </w:tcPr>
          <w:p>
            <w:pPr>
              <w:spacing w:after="0"/>
              <w:rPr>
                <w:sz w:val="15"/>
                <w:szCs w:val="15"/>
                <w:color w:val="auto"/>
              </w:rPr>
            </w:pPr>
          </w:p>
        </w:tc>
        <w:tc>
          <w:tcPr>
            <w:tcW w:w="20" w:type="dxa"/>
            <w:vAlign w:val="bottom"/>
            <w:shd w:val="clear" w:color="auto" w:fill="D0EBF2"/>
          </w:tcPr>
          <w:p>
            <w:pPr>
              <w:spacing w:after="0"/>
              <w:rPr>
                <w:sz w:val="15"/>
                <w:szCs w:val="15"/>
                <w:color w:val="auto"/>
              </w:rPr>
            </w:pPr>
          </w:p>
        </w:tc>
        <w:tc>
          <w:tcPr>
            <w:tcW w:w="20" w:type="dxa"/>
            <w:vAlign w:val="bottom"/>
            <w:shd w:val="clear" w:color="auto" w:fill="D0EBF2"/>
          </w:tcPr>
          <w:p>
            <w:pPr>
              <w:spacing w:after="0"/>
              <w:rPr>
                <w:sz w:val="15"/>
                <w:szCs w:val="15"/>
                <w:color w:val="auto"/>
              </w:rPr>
            </w:pPr>
          </w:p>
        </w:tc>
        <w:tc>
          <w:tcPr>
            <w:tcW w:w="660" w:type="dxa"/>
            <w:vAlign w:val="bottom"/>
            <w:shd w:val="clear" w:color="auto" w:fill="D0EBF2"/>
          </w:tcPr>
          <w:p>
            <w:pPr>
              <w:jc w:val="right"/>
              <w:spacing w:after="0"/>
              <w:rPr>
                <w:sz w:val="20"/>
                <w:szCs w:val="20"/>
                <w:color w:val="auto"/>
              </w:rPr>
            </w:pPr>
            <w:r>
              <w:rPr>
                <w:rFonts w:ascii="Times New Roman" w:cs="Times New Roman" w:eastAsia="Times New Roman" w:hAnsi="Times New Roman"/>
                <w:sz w:val="14"/>
                <w:szCs w:val="14"/>
                <w:color w:val="231F20"/>
              </w:rPr>
              <w:t>—</w:t>
            </w:r>
          </w:p>
        </w:tc>
        <w:tc>
          <w:tcPr>
            <w:tcW w:w="100" w:type="dxa"/>
            <w:vAlign w:val="bottom"/>
            <w:shd w:val="clear" w:color="auto" w:fill="D0EBF2"/>
          </w:tcPr>
          <w:p>
            <w:pPr>
              <w:spacing w:after="0"/>
              <w:rPr>
                <w:sz w:val="15"/>
                <w:szCs w:val="15"/>
                <w:color w:val="auto"/>
              </w:rPr>
            </w:pPr>
          </w:p>
        </w:tc>
        <w:tc>
          <w:tcPr>
            <w:tcW w:w="20" w:type="dxa"/>
            <w:vAlign w:val="bottom"/>
            <w:shd w:val="clear" w:color="auto" w:fill="D0EBF2"/>
          </w:tcPr>
          <w:p>
            <w:pPr>
              <w:spacing w:after="0"/>
              <w:rPr>
                <w:sz w:val="15"/>
                <w:szCs w:val="15"/>
                <w:color w:val="auto"/>
              </w:rPr>
            </w:pPr>
          </w:p>
        </w:tc>
        <w:tc>
          <w:tcPr>
            <w:tcW w:w="80" w:type="dxa"/>
            <w:vAlign w:val="bottom"/>
            <w:shd w:val="clear" w:color="auto" w:fill="D0EBF2"/>
          </w:tcPr>
          <w:p>
            <w:pPr>
              <w:spacing w:after="0"/>
              <w:rPr>
                <w:sz w:val="15"/>
                <w:szCs w:val="15"/>
                <w:color w:val="auto"/>
              </w:rPr>
            </w:pPr>
          </w:p>
        </w:tc>
        <w:tc>
          <w:tcPr>
            <w:tcW w:w="20" w:type="dxa"/>
            <w:vAlign w:val="bottom"/>
            <w:shd w:val="clear" w:color="auto" w:fill="D0EBF2"/>
          </w:tcPr>
          <w:p>
            <w:pPr>
              <w:spacing w:after="0"/>
              <w:rPr>
                <w:sz w:val="15"/>
                <w:szCs w:val="15"/>
                <w:color w:val="auto"/>
              </w:rPr>
            </w:pPr>
          </w:p>
        </w:tc>
        <w:tc>
          <w:tcPr>
            <w:tcW w:w="20" w:type="dxa"/>
            <w:vAlign w:val="bottom"/>
            <w:shd w:val="clear" w:color="auto" w:fill="D0EBF2"/>
          </w:tcPr>
          <w:p>
            <w:pPr>
              <w:spacing w:after="0"/>
              <w:rPr>
                <w:sz w:val="15"/>
                <w:szCs w:val="15"/>
                <w:color w:val="auto"/>
              </w:rPr>
            </w:pPr>
          </w:p>
        </w:tc>
        <w:tc>
          <w:tcPr>
            <w:tcW w:w="60" w:type="dxa"/>
            <w:vAlign w:val="bottom"/>
            <w:shd w:val="clear" w:color="auto" w:fill="D0EBF2"/>
          </w:tcPr>
          <w:p>
            <w:pPr>
              <w:spacing w:after="0"/>
              <w:rPr>
                <w:sz w:val="15"/>
                <w:szCs w:val="15"/>
                <w:color w:val="auto"/>
              </w:rPr>
            </w:pPr>
          </w:p>
        </w:tc>
        <w:tc>
          <w:tcPr>
            <w:tcW w:w="620" w:type="dxa"/>
            <w:vAlign w:val="bottom"/>
            <w:gridSpan w:val="4"/>
            <w:shd w:val="clear" w:color="auto" w:fill="D0EBF2"/>
          </w:tcPr>
          <w:p>
            <w:pPr>
              <w:jc w:val="right"/>
              <w:ind w:right="160"/>
              <w:spacing w:after="0"/>
              <w:rPr>
                <w:sz w:val="20"/>
                <w:szCs w:val="20"/>
                <w:color w:val="auto"/>
              </w:rPr>
            </w:pPr>
            <w:r>
              <w:rPr>
                <w:rFonts w:ascii="Times New Roman" w:cs="Times New Roman" w:eastAsia="Times New Roman" w:hAnsi="Times New Roman"/>
                <w:sz w:val="14"/>
                <w:szCs w:val="14"/>
                <w:color w:val="231F20"/>
              </w:rPr>
              <w:t>—</w:t>
            </w:r>
          </w:p>
        </w:tc>
        <w:tc>
          <w:tcPr>
            <w:tcW w:w="60" w:type="dxa"/>
            <w:vAlign w:val="bottom"/>
            <w:shd w:val="clear" w:color="auto" w:fill="D0EBF2"/>
          </w:tcPr>
          <w:p>
            <w:pPr>
              <w:spacing w:after="0"/>
              <w:rPr>
                <w:sz w:val="15"/>
                <w:szCs w:val="15"/>
                <w:color w:val="auto"/>
              </w:rPr>
            </w:pPr>
          </w:p>
        </w:tc>
        <w:tc>
          <w:tcPr>
            <w:tcW w:w="140" w:type="dxa"/>
            <w:vAlign w:val="bottom"/>
            <w:shd w:val="clear" w:color="auto" w:fill="D0EBF2"/>
          </w:tcPr>
          <w:p>
            <w:pPr>
              <w:spacing w:after="0"/>
              <w:rPr>
                <w:sz w:val="15"/>
                <w:szCs w:val="15"/>
                <w:color w:val="auto"/>
              </w:rPr>
            </w:pPr>
          </w:p>
        </w:tc>
        <w:tc>
          <w:tcPr>
            <w:tcW w:w="1140" w:type="dxa"/>
            <w:vAlign w:val="bottom"/>
            <w:gridSpan w:val="6"/>
            <w:shd w:val="clear" w:color="auto" w:fill="D0EBF2"/>
          </w:tcPr>
          <w:p>
            <w:pPr>
              <w:jc w:val="right"/>
              <w:ind w:right="260"/>
              <w:spacing w:after="0"/>
              <w:rPr>
                <w:sz w:val="20"/>
                <w:szCs w:val="20"/>
                <w:color w:val="auto"/>
              </w:rPr>
            </w:pPr>
            <w:r>
              <w:rPr>
                <w:rFonts w:ascii="Times New Roman" w:cs="Times New Roman" w:eastAsia="Times New Roman" w:hAnsi="Times New Roman"/>
                <w:sz w:val="14"/>
                <w:szCs w:val="14"/>
                <w:color w:val="231F20"/>
              </w:rPr>
              <w:t>—</w:t>
            </w:r>
          </w:p>
        </w:tc>
        <w:tc>
          <w:tcPr>
            <w:tcW w:w="60" w:type="dxa"/>
            <w:vAlign w:val="bottom"/>
            <w:shd w:val="clear" w:color="auto" w:fill="D0EBF2"/>
          </w:tcPr>
          <w:p>
            <w:pPr>
              <w:spacing w:after="0"/>
              <w:rPr>
                <w:sz w:val="15"/>
                <w:szCs w:val="15"/>
                <w:color w:val="auto"/>
              </w:rPr>
            </w:pPr>
          </w:p>
        </w:tc>
        <w:tc>
          <w:tcPr>
            <w:tcW w:w="720" w:type="dxa"/>
            <w:vAlign w:val="bottom"/>
            <w:shd w:val="clear" w:color="auto" w:fill="D0EBF2"/>
          </w:tcPr>
          <w:p>
            <w:pPr>
              <w:jc w:val="right"/>
              <w:spacing w:after="0"/>
              <w:rPr>
                <w:sz w:val="20"/>
                <w:szCs w:val="20"/>
                <w:color w:val="auto"/>
              </w:rPr>
            </w:pPr>
            <w:r>
              <w:rPr>
                <w:rFonts w:ascii="Times New Roman" w:cs="Times New Roman" w:eastAsia="Times New Roman" w:hAnsi="Times New Roman"/>
                <w:sz w:val="14"/>
                <w:szCs w:val="14"/>
                <w:color w:val="231F20"/>
              </w:rPr>
              <w:t>8,573</w:t>
            </w:r>
          </w:p>
        </w:tc>
        <w:tc>
          <w:tcPr>
            <w:tcW w:w="100" w:type="dxa"/>
            <w:vAlign w:val="bottom"/>
            <w:shd w:val="clear" w:color="auto" w:fill="D0EBF2"/>
          </w:tcPr>
          <w:p>
            <w:pPr>
              <w:spacing w:after="0"/>
              <w:rPr>
                <w:sz w:val="15"/>
                <w:szCs w:val="15"/>
                <w:color w:val="auto"/>
              </w:rPr>
            </w:pPr>
          </w:p>
        </w:tc>
        <w:tc>
          <w:tcPr>
            <w:tcW w:w="20" w:type="dxa"/>
            <w:vAlign w:val="bottom"/>
            <w:shd w:val="clear" w:color="auto" w:fill="D0EBF2"/>
          </w:tcPr>
          <w:p>
            <w:pPr>
              <w:spacing w:after="0"/>
              <w:rPr>
                <w:sz w:val="15"/>
                <w:szCs w:val="15"/>
                <w:color w:val="auto"/>
              </w:rPr>
            </w:pPr>
          </w:p>
        </w:tc>
        <w:tc>
          <w:tcPr>
            <w:tcW w:w="80" w:type="dxa"/>
            <w:vAlign w:val="bottom"/>
            <w:shd w:val="clear" w:color="auto" w:fill="D0EBF2"/>
          </w:tcPr>
          <w:p>
            <w:pPr>
              <w:spacing w:after="0"/>
              <w:rPr>
                <w:sz w:val="15"/>
                <w:szCs w:val="15"/>
                <w:color w:val="auto"/>
              </w:rPr>
            </w:pPr>
          </w:p>
        </w:tc>
        <w:tc>
          <w:tcPr>
            <w:tcW w:w="20" w:type="dxa"/>
            <w:vAlign w:val="bottom"/>
            <w:shd w:val="clear" w:color="auto" w:fill="D0EBF2"/>
          </w:tcPr>
          <w:p>
            <w:pPr>
              <w:spacing w:after="0"/>
              <w:rPr>
                <w:sz w:val="15"/>
                <w:szCs w:val="15"/>
                <w:color w:val="auto"/>
              </w:rPr>
            </w:pPr>
          </w:p>
        </w:tc>
        <w:tc>
          <w:tcPr>
            <w:tcW w:w="20" w:type="dxa"/>
            <w:vAlign w:val="bottom"/>
            <w:shd w:val="clear" w:color="auto" w:fill="D0EBF2"/>
          </w:tcPr>
          <w:p>
            <w:pPr>
              <w:spacing w:after="0"/>
              <w:rPr>
                <w:sz w:val="15"/>
                <w:szCs w:val="15"/>
                <w:color w:val="auto"/>
              </w:rPr>
            </w:pPr>
          </w:p>
        </w:tc>
        <w:tc>
          <w:tcPr>
            <w:tcW w:w="40" w:type="dxa"/>
            <w:vAlign w:val="bottom"/>
            <w:shd w:val="clear" w:color="auto" w:fill="D0EBF2"/>
          </w:tcPr>
          <w:p>
            <w:pPr>
              <w:spacing w:after="0"/>
              <w:rPr>
                <w:sz w:val="15"/>
                <w:szCs w:val="15"/>
                <w:color w:val="auto"/>
              </w:rPr>
            </w:pPr>
          </w:p>
        </w:tc>
        <w:tc>
          <w:tcPr>
            <w:tcW w:w="720" w:type="dxa"/>
            <w:vAlign w:val="bottom"/>
            <w:shd w:val="clear" w:color="auto" w:fill="D0EBF2"/>
          </w:tcPr>
          <w:p>
            <w:pPr>
              <w:jc w:val="right"/>
              <w:spacing w:after="0"/>
              <w:rPr>
                <w:sz w:val="20"/>
                <w:szCs w:val="20"/>
                <w:color w:val="auto"/>
              </w:rPr>
            </w:pPr>
            <w:r>
              <w:rPr>
                <w:rFonts w:ascii="Times New Roman" w:cs="Times New Roman" w:eastAsia="Times New Roman" w:hAnsi="Times New Roman"/>
                <w:sz w:val="14"/>
                <w:szCs w:val="14"/>
                <w:color w:val="231F20"/>
              </w:rPr>
              <w:t>8,573</w:t>
            </w:r>
          </w:p>
        </w:tc>
        <w:tc>
          <w:tcPr>
            <w:tcW w:w="100" w:type="dxa"/>
            <w:vAlign w:val="bottom"/>
            <w:shd w:val="clear" w:color="auto" w:fill="D0EBF2"/>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3620" w:type="dxa"/>
            <w:vAlign w:val="bottom"/>
            <w:gridSpan w:val="2"/>
            <w:shd w:val="clear" w:color="auto" w:fill="FDFDFC"/>
          </w:tcPr>
          <w:p>
            <w:pPr>
              <w:ind w:left="100"/>
              <w:spacing w:after="0"/>
              <w:rPr>
                <w:sz w:val="20"/>
                <w:szCs w:val="20"/>
                <w:color w:val="auto"/>
              </w:rPr>
            </w:pPr>
            <w:r>
              <w:rPr>
                <w:rFonts w:ascii="Times New Roman" w:cs="Times New Roman" w:eastAsia="Times New Roman" w:hAnsi="Times New Roman"/>
                <w:sz w:val="14"/>
                <w:szCs w:val="14"/>
                <w:color w:val="231F20"/>
              </w:rPr>
              <w:t>Increase (decrease) in net assets resulting from capital</w:t>
            </w:r>
          </w:p>
        </w:tc>
        <w:tc>
          <w:tcPr>
            <w:tcW w:w="860" w:type="dxa"/>
            <w:vAlign w:val="bottom"/>
            <w:shd w:val="clear" w:color="auto" w:fill="FDFDFC"/>
          </w:tcPr>
          <w:p>
            <w:pPr>
              <w:spacing w:after="0"/>
              <w:rPr>
                <w:sz w:val="14"/>
                <w:szCs w:val="14"/>
                <w:color w:val="auto"/>
              </w:rPr>
            </w:pPr>
          </w:p>
        </w:tc>
        <w:tc>
          <w:tcPr>
            <w:tcW w:w="100" w:type="dxa"/>
            <w:vAlign w:val="bottom"/>
            <w:shd w:val="clear" w:color="auto" w:fill="FDFDFC"/>
          </w:tcPr>
          <w:p>
            <w:pPr>
              <w:spacing w:after="0"/>
              <w:rPr>
                <w:sz w:val="14"/>
                <w:szCs w:val="14"/>
                <w:color w:val="auto"/>
              </w:rPr>
            </w:pPr>
          </w:p>
        </w:tc>
        <w:tc>
          <w:tcPr>
            <w:tcW w:w="100" w:type="dxa"/>
            <w:vAlign w:val="bottom"/>
            <w:shd w:val="clear" w:color="auto" w:fill="FDFDFC"/>
          </w:tcPr>
          <w:p>
            <w:pPr>
              <w:spacing w:after="0"/>
              <w:rPr>
                <w:sz w:val="14"/>
                <w:szCs w:val="14"/>
                <w:color w:val="auto"/>
              </w:rPr>
            </w:pPr>
          </w:p>
        </w:tc>
        <w:tc>
          <w:tcPr>
            <w:tcW w:w="20" w:type="dxa"/>
            <w:vAlign w:val="bottom"/>
            <w:shd w:val="clear" w:color="auto" w:fill="FDFDFC"/>
          </w:tcPr>
          <w:p>
            <w:pPr>
              <w:spacing w:after="0"/>
              <w:rPr>
                <w:sz w:val="14"/>
                <w:szCs w:val="14"/>
                <w:color w:val="auto"/>
              </w:rPr>
            </w:pPr>
          </w:p>
        </w:tc>
        <w:tc>
          <w:tcPr>
            <w:tcW w:w="20" w:type="dxa"/>
            <w:vAlign w:val="bottom"/>
            <w:shd w:val="clear" w:color="auto" w:fill="FDFDFC"/>
          </w:tcPr>
          <w:p>
            <w:pPr>
              <w:spacing w:after="0"/>
              <w:rPr>
                <w:sz w:val="14"/>
                <w:szCs w:val="14"/>
                <w:color w:val="auto"/>
              </w:rPr>
            </w:pPr>
          </w:p>
        </w:tc>
        <w:tc>
          <w:tcPr>
            <w:tcW w:w="60" w:type="dxa"/>
            <w:vAlign w:val="bottom"/>
            <w:shd w:val="clear" w:color="auto" w:fill="FDFDFC"/>
          </w:tcPr>
          <w:p>
            <w:pPr>
              <w:spacing w:after="0"/>
              <w:rPr>
                <w:sz w:val="14"/>
                <w:szCs w:val="14"/>
                <w:color w:val="auto"/>
              </w:rPr>
            </w:pPr>
          </w:p>
        </w:tc>
        <w:tc>
          <w:tcPr>
            <w:tcW w:w="420" w:type="dxa"/>
            <w:vAlign w:val="bottom"/>
            <w:shd w:val="clear" w:color="auto" w:fill="FDFDFC"/>
          </w:tcPr>
          <w:p>
            <w:pPr>
              <w:spacing w:after="0"/>
              <w:rPr>
                <w:sz w:val="14"/>
                <w:szCs w:val="14"/>
                <w:color w:val="auto"/>
              </w:rPr>
            </w:pPr>
          </w:p>
        </w:tc>
        <w:tc>
          <w:tcPr>
            <w:tcW w:w="100" w:type="dxa"/>
            <w:vAlign w:val="bottom"/>
            <w:shd w:val="clear" w:color="auto" w:fill="FDFDFC"/>
          </w:tcPr>
          <w:p>
            <w:pPr>
              <w:spacing w:after="0"/>
              <w:rPr>
                <w:sz w:val="14"/>
                <w:szCs w:val="14"/>
                <w:color w:val="auto"/>
              </w:rPr>
            </w:pPr>
          </w:p>
        </w:tc>
        <w:tc>
          <w:tcPr>
            <w:tcW w:w="20" w:type="dxa"/>
            <w:vAlign w:val="bottom"/>
            <w:shd w:val="clear" w:color="auto" w:fill="FDFDFC"/>
          </w:tcPr>
          <w:p>
            <w:pPr>
              <w:spacing w:after="0"/>
              <w:rPr>
                <w:sz w:val="14"/>
                <w:szCs w:val="14"/>
                <w:color w:val="auto"/>
              </w:rPr>
            </w:pPr>
          </w:p>
        </w:tc>
        <w:tc>
          <w:tcPr>
            <w:tcW w:w="80" w:type="dxa"/>
            <w:vAlign w:val="bottom"/>
            <w:shd w:val="clear" w:color="auto" w:fill="FDFDFC"/>
          </w:tcPr>
          <w:p>
            <w:pPr>
              <w:spacing w:after="0"/>
              <w:rPr>
                <w:sz w:val="14"/>
                <w:szCs w:val="14"/>
                <w:color w:val="auto"/>
              </w:rPr>
            </w:pPr>
          </w:p>
        </w:tc>
        <w:tc>
          <w:tcPr>
            <w:tcW w:w="20" w:type="dxa"/>
            <w:vAlign w:val="bottom"/>
            <w:shd w:val="clear" w:color="auto" w:fill="FDFDFC"/>
          </w:tcPr>
          <w:p>
            <w:pPr>
              <w:spacing w:after="0"/>
              <w:rPr>
                <w:sz w:val="14"/>
                <w:szCs w:val="14"/>
                <w:color w:val="auto"/>
              </w:rPr>
            </w:pPr>
          </w:p>
        </w:tc>
        <w:tc>
          <w:tcPr>
            <w:tcW w:w="20" w:type="dxa"/>
            <w:vAlign w:val="bottom"/>
            <w:shd w:val="clear" w:color="auto" w:fill="FDFDFC"/>
          </w:tcPr>
          <w:p>
            <w:pPr>
              <w:spacing w:after="0"/>
              <w:rPr>
                <w:sz w:val="14"/>
                <w:szCs w:val="14"/>
                <w:color w:val="auto"/>
              </w:rPr>
            </w:pPr>
          </w:p>
        </w:tc>
        <w:tc>
          <w:tcPr>
            <w:tcW w:w="660" w:type="dxa"/>
            <w:vAlign w:val="bottom"/>
            <w:shd w:val="clear" w:color="auto" w:fill="FDFDFC"/>
          </w:tcPr>
          <w:p>
            <w:pPr>
              <w:spacing w:after="0"/>
              <w:rPr>
                <w:sz w:val="14"/>
                <w:szCs w:val="14"/>
                <w:color w:val="auto"/>
              </w:rPr>
            </w:pPr>
          </w:p>
        </w:tc>
        <w:tc>
          <w:tcPr>
            <w:tcW w:w="100" w:type="dxa"/>
            <w:vAlign w:val="bottom"/>
            <w:shd w:val="clear" w:color="auto" w:fill="FDFDFC"/>
          </w:tcPr>
          <w:p>
            <w:pPr>
              <w:spacing w:after="0"/>
              <w:rPr>
                <w:sz w:val="14"/>
                <w:szCs w:val="14"/>
                <w:color w:val="auto"/>
              </w:rPr>
            </w:pPr>
          </w:p>
        </w:tc>
        <w:tc>
          <w:tcPr>
            <w:tcW w:w="20" w:type="dxa"/>
            <w:vAlign w:val="bottom"/>
            <w:shd w:val="clear" w:color="auto" w:fill="FDFDFC"/>
          </w:tcPr>
          <w:p>
            <w:pPr>
              <w:spacing w:after="0"/>
              <w:rPr>
                <w:sz w:val="14"/>
                <w:szCs w:val="14"/>
                <w:color w:val="auto"/>
              </w:rPr>
            </w:pPr>
          </w:p>
        </w:tc>
        <w:tc>
          <w:tcPr>
            <w:tcW w:w="80" w:type="dxa"/>
            <w:vAlign w:val="bottom"/>
            <w:shd w:val="clear" w:color="auto" w:fill="FDFDFC"/>
          </w:tcPr>
          <w:p>
            <w:pPr>
              <w:spacing w:after="0"/>
              <w:rPr>
                <w:sz w:val="14"/>
                <w:szCs w:val="14"/>
                <w:color w:val="auto"/>
              </w:rPr>
            </w:pPr>
          </w:p>
        </w:tc>
        <w:tc>
          <w:tcPr>
            <w:tcW w:w="20" w:type="dxa"/>
            <w:vAlign w:val="bottom"/>
            <w:shd w:val="clear" w:color="auto" w:fill="FDFDFC"/>
          </w:tcPr>
          <w:p>
            <w:pPr>
              <w:spacing w:after="0"/>
              <w:rPr>
                <w:sz w:val="14"/>
                <w:szCs w:val="14"/>
                <w:color w:val="auto"/>
              </w:rPr>
            </w:pPr>
          </w:p>
        </w:tc>
        <w:tc>
          <w:tcPr>
            <w:tcW w:w="20" w:type="dxa"/>
            <w:vAlign w:val="bottom"/>
            <w:shd w:val="clear" w:color="auto" w:fill="FDFDFC"/>
          </w:tcPr>
          <w:p>
            <w:pPr>
              <w:spacing w:after="0"/>
              <w:rPr>
                <w:sz w:val="14"/>
                <w:szCs w:val="14"/>
                <w:color w:val="auto"/>
              </w:rPr>
            </w:pPr>
          </w:p>
        </w:tc>
        <w:tc>
          <w:tcPr>
            <w:tcW w:w="60" w:type="dxa"/>
            <w:vAlign w:val="bottom"/>
            <w:shd w:val="clear" w:color="auto" w:fill="FDFDFC"/>
          </w:tcPr>
          <w:p>
            <w:pPr>
              <w:spacing w:after="0"/>
              <w:rPr>
                <w:sz w:val="14"/>
                <w:szCs w:val="14"/>
                <w:color w:val="auto"/>
              </w:rPr>
            </w:pPr>
          </w:p>
        </w:tc>
        <w:tc>
          <w:tcPr>
            <w:tcW w:w="480" w:type="dxa"/>
            <w:vAlign w:val="bottom"/>
            <w:shd w:val="clear" w:color="auto" w:fill="FDFDFC"/>
          </w:tcPr>
          <w:p>
            <w:pPr>
              <w:spacing w:after="0"/>
              <w:rPr>
                <w:sz w:val="14"/>
                <w:szCs w:val="14"/>
                <w:color w:val="auto"/>
              </w:rPr>
            </w:pPr>
          </w:p>
        </w:tc>
        <w:tc>
          <w:tcPr>
            <w:tcW w:w="100" w:type="dxa"/>
            <w:vAlign w:val="bottom"/>
            <w:shd w:val="clear" w:color="auto" w:fill="FDFDFC"/>
          </w:tcPr>
          <w:p>
            <w:pPr>
              <w:spacing w:after="0"/>
              <w:rPr>
                <w:sz w:val="14"/>
                <w:szCs w:val="14"/>
                <w:color w:val="auto"/>
              </w:rPr>
            </w:pPr>
          </w:p>
        </w:tc>
        <w:tc>
          <w:tcPr>
            <w:tcW w:w="20" w:type="dxa"/>
            <w:vAlign w:val="bottom"/>
            <w:shd w:val="clear" w:color="auto" w:fill="FDFDFC"/>
          </w:tcPr>
          <w:p>
            <w:pPr>
              <w:spacing w:after="0"/>
              <w:rPr>
                <w:sz w:val="14"/>
                <w:szCs w:val="14"/>
                <w:color w:val="auto"/>
              </w:rPr>
            </w:pPr>
          </w:p>
        </w:tc>
        <w:tc>
          <w:tcPr>
            <w:tcW w:w="20" w:type="dxa"/>
            <w:vAlign w:val="bottom"/>
            <w:shd w:val="clear" w:color="auto" w:fill="FDFDFC"/>
          </w:tcPr>
          <w:p>
            <w:pPr>
              <w:spacing w:after="0"/>
              <w:rPr>
                <w:sz w:val="14"/>
                <w:szCs w:val="14"/>
                <w:color w:val="auto"/>
              </w:rPr>
            </w:pPr>
          </w:p>
        </w:tc>
        <w:tc>
          <w:tcPr>
            <w:tcW w:w="60" w:type="dxa"/>
            <w:vAlign w:val="bottom"/>
            <w:shd w:val="clear" w:color="auto" w:fill="FDFDFC"/>
          </w:tcPr>
          <w:p>
            <w:pPr>
              <w:spacing w:after="0"/>
              <w:rPr>
                <w:sz w:val="14"/>
                <w:szCs w:val="14"/>
                <w:color w:val="auto"/>
              </w:rPr>
            </w:pPr>
          </w:p>
        </w:tc>
        <w:tc>
          <w:tcPr>
            <w:tcW w:w="140" w:type="dxa"/>
            <w:vAlign w:val="bottom"/>
            <w:shd w:val="clear" w:color="auto" w:fill="FDFDFC"/>
          </w:tcPr>
          <w:p>
            <w:pPr>
              <w:spacing w:after="0"/>
              <w:rPr>
                <w:sz w:val="14"/>
                <w:szCs w:val="14"/>
                <w:color w:val="auto"/>
              </w:rPr>
            </w:pPr>
          </w:p>
        </w:tc>
        <w:tc>
          <w:tcPr>
            <w:tcW w:w="900" w:type="dxa"/>
            <w:vAlign w:val="bottom"/>
            <w:shd w:val="clear" w:color="auto" w:fill="FDFDFC"/>
          </w:tcPr>
          <w:p>
            <w:pPr>
              <w:spacing w:after="0"/>
              <w:rPr>
                <w:sz w:val="14"/>
                <w:szCs w:val="14"/>
                <w:color w:val="auto"/>
              </w:rPr>
            </w:pPr>
          </w:p>
        </w:tc>
        <w:tc>
          <w:tcPr>
            <w:tcW w:w="100" w:type="dxa"/>
            <w:vAlign w:val="bottom"/>
            <w:shd w:val="clear" w:color="auto" w:fill="FDFDFC"/>
          </w:tcPr>
          <w:p>
            <w:pPr>
              <w:spacing w:after="0"/>
              <w:rPr>
                <w:sz w:val="14"/>
                <w:szCs w:val="14"/>
                <w:color w:val="auto"/>
              </w:rPr>
            </w:pPr>
          </w:p>
        </w:tc>
        <w:tc>
          <w:tcPr>
            <w:tcW w:w="20" w:type="dxa"/>
            <w:vAlign w:val="bottom"/>
            <w:shd w:val="clear" w:color="auto" w:fill="FDFDFC"/>
          </w:tcPr>
          <w:p>
            <w:pPr>
              <w:spacing w:after="0"/>
              <w:rPr>
                <w:sz w:val="14"/>
                <w:szCs w:val="14"/>
                <w:color w:val="auto"/>
              </w:rPr>
            </w:pPr>
          </w:p>
        </w:tc>
        <w:tc>
          <w:tcPr>
            <w:tcW w:w="80" w:type="dxa"/>
            <w:vAlign w:val="bottom"/>
            <w:shd w:val="clear" w:color="auto" w:fill="FDFDFC"/>
          </w:tcPr>
          <w:p>
            <w:pPr>
              <w:spacing w:after="0"/>
              <w:rPr>
                <w:sz w:val="14"/>
                <w:szCs w:val="14"/>
                <w:color w:val="auto"/>
              </w:rPr>
            </w:pPr>
          </w:p>
        </w:tc>
        <w:tc>
          <w:tcPr>
            <w:tcW w:w="20" w:type="dxa"/>
            <w:vAlign w:val="bottom"/>
            <w:shd w:val="clear" w:color="auto" w:fill="FDFDFC"/>
          </w:tcPr>
          <w:p>
            <w:pPr>
              <w:spacing w:after="0"/>
              <w:rPr>
                <w:sz w:val="14"/>
                <w:szCs w:val="14"/>
                <w:color w:val="auto"/>
              </w:rPr>
            </w:pPr>
          </w:p>
        </w:tc>
        <w:tc>
          <w:tcPr>
            <w:tcW w:w="20" w:type="dxa"/>
            <w:vAlign w:val="bottom"/>
            <w:shd w:val="clear" w:color="auto" w:fill="FDFDFC"/>
          </w:tcPr>
          <w:p>
            <w:pPr>
              <w:spacing w:after="0"/>
              <w:rPr>
                <w:sz w:val="14"/>
                <w:szCs w:val="14"/>
                <w:color w:val="auto"/>
              </w:rPr>
            </w:pPr>
          </w:p>
        </w:tc>
        <w:tc>
          <w:tcPr>
            <w:tcW w:w="60" w:type="dxa"/>
            <w:vAlign w:val="bottom"/>
            <w:shd w:val="clear" w:color="auto" w:fill="FDFDFC"/>
          </w:tcPr>
          <w:p>
            <w:pPr>
              <w:spacing w:after="0"/>
              <w:rPr>
                <w:sz w:val="14"/>
                <w:szCs w:val="14"/>
                <w:color w:val="auto"/>
              </w:rPr>
            </w:pPr>
          </w:p>
        </w:tc>
        <w:tc>
          <w:tcPr>
            <w:tcW w:w="720" w:type="dxa"/>
            <w:vAlign w:val="bottom"/>
            <w:shd w:val="clear" w:color="auto" w:fill="FDFDFC"/>
          </w:tcPr>
          <w:p>
            <w:pPr>
              <w:spacing w:after="0"/>
              <w:rPr>
                <w:sz w:val="14"/>
                <w:szCs w:val="14"/>
                <w:color w:val="auto"/>
              </w:rPr>
            </w:pPr>
          </w:p>
        </w:tc>
        <w:tc>
          <w:tcPr>
            <w:tcW w:w="100" w:type="dxa"/>
            <w:vAlign w:val="bottom"/>
            <w:shd w:val="clear" w:color="auto" w:fill="FDFDFC"/>
          </w:tcPr>
          <w:p>
            <w:pPr>
              <w:spacing w:after="0"/>
              <w:rPr>
                <w:sz w:val="14"/>
                <w:szCs w:val="14"/>
                <w:color w:val="auto"/>
              </w:rPr>
            </w:pPr>
          </w:p>
        </w:tc>
        <w:tc>
          <w:tcPr>
            <w:tcW w:w="20" w:type="dxa"/>
            <w:vAlign w:val="bottom"/>
            <w:shd w:val="clear" w:color="auto" w:fill="FDFDFC"/>
          </w:tcPr>
          <w:p>
            <w:pPr>
              <w:spacing w:after="0"/>
              <w:rPr>
                <w:sz w:val="14"/>
                <w:szCs w:val="14"/>
                <w:color w:val="auto"/>
              </w:rPr>
            </w:pPr>
          </w:p>
        </w:tc>
        <w:tc>
          <w:tcPr>
            <w:tcW w:w="80" w:type="dxa"/>
            <w:vAlign w:val="bottom"/>
            <w:shd w:val="clear" w:color="auto" w:fill="FDFDFC"/>
          </w:tcPr>
          <w:p>
            <w:pPr>
              <w:spacing w:after="0"/>
              <w:rPr>
                <w:sz w:val="14"/>
                <w:szCs w:val="14"/>
                <w:color w:val="auto"/>
              </w:rPr>
            </w:pPr>
          </w:p>
        </w:tc>
        <w:tc>
          <w:tcPr>
            <w:tcW w:w="20" w:type="dxa"/>
            <w:vAlign w:val="bottom"/>
            <w:shd w:val="clear" w:color="auto" w:fill="FDFDFC"/>
          </w:tcPr>
          <w:p>
            <w:pPr>
              <w:spacing w:after="0"/>
              <w:rPr>
                <w:sz w:val="14"/>
                <w:szCs w:val="14"/>
                <w:color w:val="auto"/>
              </w:rPr>
            </w:pPr>
          </w:p>
        </w:tc>
        <w:tc>
          <w:tcPr>
            <w:tcW w:w="20" w:type="dxa"/>
            <w:vAlign w:val="bottom"/>
            <w:shd w:val="clear" w:color="auto" w:fill="FDFDFC"/>
          </w:tcPr>
          <w:p>
            <w:pPr>
              <w:spacing w:after="0"/>
              <w:rPr>
                <w:sz w:val="14"/>
                <w:szCs w:val="14"/>
                <w:color w:val="auto"/>
              </w:rPr>
            </w:pPr>
          </w:p>
        </w:tc>
        <w:tc>
          <w:tcPr>
            <w:tcW w:w="40" w:type="dxa"/>
            <w:vAlign w:val="bottom"/>
            <w:shd w:val="clear" w:color="auto" w:fill="FDFDFC"/>
          </w:tcPr>
          <w:p>
            <w:pPr>
              <w:spacing w:after="0"/>
              <w:rPr>
                <w:sz w:val="14"/>
                <w:szCs w:val="14"/>
                <w:color w:val="auto"/>
              </w:rPr>
            </w:pPr>
          </w:p>
        </w:tc>
        <w:tc>
          <w:tcPr>
            <w:tcW w:w="720" w:type="dxa"/>
            <w:vAlign w:val="bottom"/>
            <w:shd w:val="clear" w:color="auto" w:fill="FDFDFC"/>
          </w:tcPr>
          <w:p>
            <w:pPr>
              <w:spacing w:after="0"/>
              <w:rPr>
                <w:sz w:val="14"/>
                <w:szCs w:val="14"/>
                <w:color w:val="auto"/>
              </w:rPr>
            </w:pPr>
          </w:p>
        </w:tc>
        <w:tc>
          <w:tcPr>
            <w:tcW w:w="100" w:type="dxa"/>
            <w:vAlign w:val="bottom"/>
            <w:shd w:val="clear" w:color="auto" w:fill="FDFDFC"/>
          </w:tcPr>
          <w:p>
            <w:pPr>
              <w:spacing w:after="0"/>
              <w:rPr>
                <w:sz w:val="14"/>
                <w:szCs w:val="14"/>
                <w:color w:val="auto"/>
              </w:rPr>
            </w:pPr>
          </w:p>
        </w:tc>
        <w:tc>
          <w:tcPr>
            <w:tcW w:w="0" w:type="dxa"/>
            <w:vAlign w:val="bottom"/>
          </w:tcPr>
          <w:p>
            <w:pPr>
              <w:spacing w:after="0"/>
              <w:rPr>
                <w:sz w:val="1"/>
                <w:szCs w:val="1"/>
                <w:color w:val="auto"/>
              </w:rPr>
            </w:pPr>
          </w:p>
        </w:tc>
      </w:tr>
      <w:tr>
        <w:trPr>
          <w:trHeight w:val="177"/>
        </w:trPr>
        <w:tc>
          <w:tcPr>
            <w:tcW w:w="3620" w:type="dxa"/>
            <w:vAlign w:val="bottom"/>
            <w:gridSpan w:val="2"/>
            <w:shd w:val="clear" w:color="auto" w:fill="FDFDFC"/>
          </w:tcPr>
          <w:p>
            <w:pPr>
              <w:ind w:left="100"/>
              <w:spacing w:after="0"/>
              <w:rPr>
                <w:sz w:val="20"/>
                <w:szCs w:val="20"/>
                <w:color w:val="auto"/>
              </w:rPr>
            </w:pPr>
            <w:r>
              <w:rPr>
                <w:rFonts w:ascii="Times New Roman" w:cs="Times New Roman" w:eastAsia="Times New Roman" w:hAnsi="Times New Roman"/>
                <w:sz w:val="14"/>
                <w:szCs w:val="14"/>
                <w:color w:val="231F20"/>
              </w:rPr>
              <w:t>share transactions</w:t>
            </w:r>
          </w:p>
        </w:tc>
        <w:tc>
          <w:tcPr>
            <w:tcW w:w="860" w:type="dxa"/>
            <w:vAlign w:val="bottom"/>
            <w:shd w:val="clear" w:color="auto" w:fill="FDFDFC"/>
          </w:tcPr>
          <w:p>
            <w:pPr>
              <w:spacing w:after="0"/>
              <w:rPr>
                <w:sz w:val="15"/>
                <w:szCs w:val="15"/>
                <w:color w:val="auto"/>
              </w:rPr>
            </w:pPr>
          </w:p>
        </w:tc>
        <w:tc>
          <w:tcPr>
            <w:tcW w:w="100" w:type="dxa"/>
            <w:vAlign w:val="bottom"/>
            <w:shd w:val="clear" w:color="auto" w:fill="FDFDFC"/>
          </w:tcPr>
          <w:p>
            <w:pPr>
              <w:spacing w:after="0"/>
              <w:rPr>
                <w:sz w:val="15"/>
                <w:szCs w:val="15"/>
                <w:color w:val="auto"/>
              </w:rPr>
            </w:pPr>
          </w:p>
        </w:tc>
        <w:tc>
          <w:tcPr>
            <w:tcW w:w="100" w:type="dxa"/>
            <w:vAlign w:val="bottom"/>
            <w:shd w:val="clear" w:color="auto" w:fill="FDFDFC"/>
          </w:tcPr>
          <w:p>
            <w:pPr>
              <w:spacing w:after="0"/>
              <w:rPr>
                <w:sz w:val="15"/>
                <w:szCs w:val="15"/>
                <w:color w:val="auto"/>
              </w:rPr>
            </w:pPr>
          </w:p>
        </w:tc>
        <w:tc>
          <w:tcPr>
            <w:tcW w:w="20" w:type="dxa"/>
            <w:vAlign w:val="bottom"/>
            <w:shd w:val="clear" w:color="auto" w:fill="FDFDFC"/>
          </w:tcPr>
          <w:p>
            <w:pPr>
              <w:spacing w:after="0"/>
              <w:rPr>
                <w:sz w:val="15"/>
                <w:szCs w:val="15"/>
                <w:color w:val="auto"/>
              </w:rPr>
            </w:pPr>
          </w:p>
        </w:tc>
        <w:tc>
          <w:tcPr>
            <w:tcW w:w="20" w:type="dxa"/>
            <w:vAlign w:val="bottom"/>
            <w:shd w:val="clear" w:color="auto" w:fill="FDFDFC"/>
          </w:tcPr>
          <w:p>
            <w:pPr>
              <w:spacing w:after="0"/>
              <w:rPr>
                <w:sz w:val="15"/>
                <w:szCs w:val="15"/>
                <w:color w:val="auto"/>
              </w:rPr>
            </w:pPr>
          </w:p>
        </w:tc>
        <w:tc>
          <w:tcPr>
            <w:tcW w:w="60" w:type="dxa"/>
            <w:vAlign w:val="bottom"/>
            <w:shd w:val="clear" w:color="auto" w:fill="FDFDFC"/>
          </w:tcPr>
          <w:p>
            <w:pPr>
              <w:spacing w:after="0"/>
              <w:rPr>
                <w:sz w:val="15"/>
                <w:szCs w:val="15"/>
                <w:color w:val="auto"/>
              </w:rPr>
            </w:pPr>
          </w:p>
        </w:tc>
        <w:tc>
          <w:tcPr>
            <w:tcW w:w="420" w:type="dxa"/>
            <w:vAlign w:val="bottom"/>
            <w:shd w:val="clear" w:color="auto" w:fill="FDFDFC"/>
          </w:tcPr>
          <w:p>
            <w:pPr>
              <w:spacing w:after="0"/>
              <w:rPr>
                <w:sz w:val="15"/>
                <w:szCs w:val="15"/>
                <w:color w:val="auto"/>
              </w:rPr>
            </w:pPr>
          </w:p>
        </w:tc>
        <w:tc>
          <w:tcPr>
            <w:tcW w:w="100" w:type="dxa"/>
            <w:vAlign w:val="bottom"/>
            <w:shd w:val="clear" w:color="auto" w:fill="FDFDFC"/>
          </w:tcPr>
          <w:p>
            <w:pPr>
              <w:spacing w:after="0"/>
              <w:rPr>
                <w:sz w:val="15"/>
                <w:szCs w:val="15"/>
                <w:color w:val="auto"/>
              </w:rPr>
            </w:pPr>
          </w:p>
        </w:tc>
        <w:tc>
          <w:tcPr>
            <w:tcW w:w="20" w:type="dxa"/>
            <w:vAlign w:val="bottom"/>
            <w:shd w:val="clear" w:color="auto" w:fill="FDFDFC"/>
          </w:tcPr>
          <w:p>
            <w:pPr>
              <w:spacing w:after="0"/>
              <w:rPr>
                <w:sz w:val="15"/>
                <w:szCs w:val="15"/>
                <w:color w:val="auto"/>
              </w:rPr>
            </w:pPr>
          </w:p>
        </w:tc>
        <w:tc>
          <w:tcPr>
            <w:tcW w:w="80" w:type="dxa"/>
            <w:vAlign w:val="bottom"/>
            <w:shd w:val="clear" w:color="auto" w:fill="FDFDFC"/>
          </w:tcPr>
          <w:p>
            <w:pPr>
              <w:spacing w:after="0"/>
              <w:rPr>
                <w:sz w:val="15"/>
                <w:szCs w:val="15"/>
                <w:color w:val="auto"/>
              </w:rPr>
            </w:pPr>
          </w:p>
        </w:tc>
        <w:tc>
          <w:tcPr>
            <w:tcW w:w="20" w:type="dxa"/>
            <w:vAlign w:val="bottom"/>
            <w:shd w:val="clear" w:color="auto" w:fill="FDFDFC"/>
          </w:tcPr>
          <w:p>
            <w:pPr>
              <w:spacing w:after="0"/>
              <w:rPr>
                <w:sz w:val="15"/>
                <w:szCs w:val="15"/>
                <w:color w:val="auto"/>
              </w:rPr>
            </w:pPr>
          </w:p>
        </w:tc>
        <w:tc>
          <w:tcPr>
            <w:tcW w:w="20" w:type="dxa"/>
            <w:vAlign w:val="bottom"/>
            <w:shd w:val="clear" w:color="auto" w:fill="FDFDFC"/>
          </w:tcPr>
          <w:p>
            <w:pPr>
              <w:spacing w:after="0"/>
              <w:rPr>
                <w:sz w:val="15"/>
                <w:szCs w:val="15"/>
                <w:color w:val="auto"/>
              </w:rPr>
            </w:pPr>
          </w:p>
        </w:tc>
        <w:tc>
          <w:tcPr>
            <w:tcW w:w="660" w:type="dxa"/>
            <w:vAlign w:val="bottom"/>
            <w:shd w:val="clear" w:color="auto" w:fill="FDFDFC"/>
          </w:tcPr>
          <w:p>
            <w:pPr>
              <w:spacing w:after="0"/>
              <w:rPr>
                <w:sz w:val="15"/>
                <w:szCs w:val="15"/>
                <w:color w:val="auto"/>
              </w:rPr>
            </w:pPr>
          </w:p>
        </w:tc>
        <w:tc>
          <w:tcPr>
            <w:tcW w:w="100" w:type="dxa"/>
            <w:vAlign w:val="bottom"/>
            <w:shd w:val="clear" w:color="auto" w:fill="FDFDFC"/>
          </w:tcPr>
          <w:p>
            <w:pPr>
              <w:spacing w:after="0"/>
              <w:rPr>
                <w:sz w:val="15"/>
                <w:szCs w:val="15"/>
                <w:color w:val="auto"/>
              </w:rPr>
            </w:pPr>
          </w:p>
        </w:tc>
        <w:tc>
          <w:tcPr>
            <w:tcW w:w="20" w:type="dxa"/>
            <w:vAlign w:val="bottom"/>
            <w:shd w:val="clear" w:color="auto" w:fill="FDFDFC"/>
          </w:tcPr>
          <w:p>
            <w:pPr>
              <w:spacing w:after="0"/>
              <w:rPr>
                <w:sz w:val="15"/>
                <w:szCs w:val="15"/>
                <w:color w:val="auto"/>
              </w:rPr>
            </w:pPr>
          </w:p>
        </w:tc>
        <w:tc>
          <w:tcPr>
            <w:tcW w:w="80" w:type="dxa"/>
            <w:vAlign w:val="bottom"/>
            <w:shd w:val="clear" w:color="auto" w:fill="FDFDFC"/>
          </w:tcPr>
          <w:p>
            <w:pPr>
              <w:spacing w:after="0"/>
              <w:rPr>
                <w:sz w:val="15"/>
                <w:szCs w:val="15"/>
                <w:color w:val="auto"/>
              </w:rPr>
            </w:pPr>
          </w:p>
        </w:tc>
        <w:tc>
          <w:tcPr>
            <w:tcW w:w="20" w:type="dxa"/>
            <w:vAlign w:val="bottom"/>
            <w:shd w:val="clear" w:color="auto" w:fill="FDFDFC"/>
          </w:tcPr>
          <w:p>
            <w:pPr>
              <w:spacing w:after="0"/>
              <w:rPr>
                <w:sz w:val="15"/>
                <w:szCs w:val="15"/>
                <w:color w:val="auto"/>
              </w:rPr>
            </w:pPr>
          </w:p>
        </w:tc>
        <w:tc>
          <w:tcPr>
            <w:tcW w:w="20" w:type="dxa"/>
            <w:vAlign w:val="bottom"/>
            <w:shd w:val="clear" w:color="auto" w:fill="FDFDFC"/>
          </w:tcPr>
          <w:p>
            <w:pPr>
              <w:spacing w:after="0"/>
              <w:rPr>
                <w:sz w:val="15"/>
                <w:szCs w:val="15"/>
                <w:color w:val="auto"/>
              </w:rPr>
            </w:pPr>
          </w:p>
        </w:tc>
        <w:tc>
          <w:tcPr>
            <w:tcW w:w="60" w:type="dxa"/>
            <w:vAlign w:val="bottom"/>
            <w:shd w:val="clear" w:color="auto" w:fill="FDFDFC"/>
          </w:tcPr>
          <w:p>
            <w:pPr>
              <w:spacing w:after="0"/>
              <w:rPr>
                <w:sz w:val="15"/>
                <w:szCs w:val="15"/>
                <w:color w:val="auto"/>
              </w:rPr>
            </w:pPr>
          </w:p>
        </w:tc>
        <w:tc>
          <w:tcPr>
            <w:tcW w:w="480" w:type="dxa"/>
            <w:vAlign w:val="bottom"/>
            <w:shd w:val="clear" w:color="auto" w:fill="FDFDFC"/>
          </w:tcPr>
          <w:p>
            <w:pPr>
              <w:spacing w:after="0"/>
              <w:rPr>
                <w:sz w:val="15"/>
                <w:szCs w:val="15"/>
                <w:color w:val="auto"/>
              </w:rPr>
            </w:pPr>
          </w:p>
        </w:tc>
        <w:tc>
          <w:tcPr>
            <w:tcW w:w="100" w:type="dxa"/>
            <w:vAlign w:val="bottom"/>
            <w:shd w:val="clear" w:color="auto" w:fill="FDFDFC"/>
          </w:tcPr>
          <w:p>
            <w:pPr>
              <w:spacing w:after="0"/>
              <w:rPr>
                <w:sz w:val="15"/>
                <w:szCs w:val="15"/>
                <w:color w:val="auto"/>
              </w:rPr>
            </w:pPr>
          </w:p>
        </w:tc>
        <w:tc>
          <w:tcPr>
            <w:tcW w:w="20" w:type="dxa"/>
            <w:vAlign w:val="bottom"/>
            <w:shd w:val="clear" w:color="auto" w:fill="FDFDFC"/>
          </w:tcPr>
          <w:p>
            <w:pPr>
              <w:spacing w:after="0"/>
              <w:rPr>
                <w:sz w:val="15"/>
                <w:szCs w:val="15"/>
                <w:color w:val="auto"/>
              </w:rPr>
            </w:pPr>
          </w:p>
        </w:tc>
        <w:tc>
          <w:tcPr>
            <w:tcW w:w="20" w:type="dxa"/>
            <w:vAlign w:val="bottom"/>
            <w:shd w:val="clear" w:color="auto" w:fill="FDFDFC"/>
          </w:tcPr>
          <w:p>
            <w:pPr>
              <w:spacing w:after="0"/>
              <w:rPr>
                <w:sz w:val="15"/>
                <w:szCs w:val="15"/>
                <w:color w:val="auto"/>
              </w:rPr>
            </w:pPr>
          </w:p>
        </w:tc>
        <w:tc>
          <w:tcPr>
            <w:tcW w:w="60" w:type="dxa"/>
            <w:vAlign w:val="bottom"/>
            <w:shd w:val="clear" w:color="auto" w:fill="FDFDFC"/>
          </w:tcPr>
          <w:p>
            <w:pPr>
              <w:spacing w:after="0"/>
              <w:rPr>
                <w:sz w:val="15"/>
                <w:szCs w:val="15"/>
                <w:color w:val="auto"/>
              </w:rPr>
            </w:pPr>
          </w:p>
        </w:tc>
        <w:tc>
          <w:tcPr>
            <w:tcW w:w="140" w:type="dxa"/>
            <w:vAlign w:val="bottom"/>
            <w:shd w:val="clear" w:color="auto" w:fill="FDFDFC"/>
          </w:tcPr>
          <w:p>
            <w:pPr>
              <w:spacing w:after="0"/>
              <w:rPr>
                <w:sz w:val="15"/>
                <w:szCs w:val="15"/>
                <w:color w:val="auto"/>
              </w:rPr>
            </w:pPr>
          </w:p>
        </w:tc>
        <w:tc>
          <w:tcPr>
            <w:tcW w:w="900" w:type="dxa"/>
            <w:vAlign w:val="bottom"/>
            <w:shd w:val="clear" w:color="auto" w:fill="FDFDFC"/>
          </w:tcPr>
          <w:p>
            <w:pPr>
              <w:spacing w:after="0"/>
              <w:rPr>
                <w:sz w:val="15"/>
                <w:szCs w:val="15"/>
                <w:color w:val="auto"/>
              </w:rPr>
            </w:pPr>
          </w:p>
        </w:tc>
        <w:tc>
          <w:tcPr>
            <w:tcW w:w="100" w:type="dxa"/>
            <w:vAlign w:val="bottom"/>
            <w:shd w:val="clear" w:color="auto" w:fill="FDFDFC"/>
          </w:tcPr>
          <w:p>
            <w:pPr>
              <w:spacing w:after="0"/>
              <w:rPr>
                <w:sz w:val="15"/>
                <w:szCs w:val="15"/>
                <w:color w:val="auto"/>
              </w:rPr>
            </w:pPr>
          </w:p>
        </w:tc>
        <w:tc>
          <w:tcPr>
            <w:tcW w:w="20" w:type="dxa"/>
            <w:vAlign w:val="bottom"/>
            <w:shd w:val="clear" w:color="auto" w:fill="FDFDFC"/>
          </w:tcPr>
          <w:p>
            <w:pPr>
              <w:spacing w:after="0"/>
              <w:rPr>
                <w:sz w:val="15"/>
                <w:szCs w:val="15"/>
                <w:color w:val="auto"/>
              </w:rPr>
            </w:pPr>
          </w:p>
        </w:tc>
        <w:tc>
          <w:tcPr>
            <w:tcW w:w="80" w:type="dxa"/>
            <w:vAlign w:val="bottom"/>
            <w:shd w:val="clear" w:color="auto" w:fill="FDFDFC"/>
          </w:tcPr>
          <w:p>
            <w:pPr>
              <w:spacing w:after="0"/>
              <w:rPr>
                <w:sz w:val="15"/>
                <w:szCs w:val="15"/>
                <w:color w:val="auto"/>
              </w:rPr>
            </w:pPr>
          </w:p>
        </w:tc>
        <w:tc>
          <w:tcPr>
            <w:tcW w:w="20" w:type="dxa"/>
            <w:vAlign w:val="bottom"/>
            <w:shd w:val="clear" w:color="auto" w:fill="FDFDFC"/>
          </w:tcPr>
          <w:p>
            <w:pPr>
              <w:spacing w:after="0"/>
              <w:rPr>
                <w:sz w:val="15"/>
                <w:szCs w:val="15"/>
                <w:color w:val="auto"/>
              </w:rPr>
            </w:pPr>
          </w:p>
        </w:tc>
        <w:tc>
          <w:tcPr>
            <w:tcW w:w="20" w:type="dxa"/>
            <w:vAlign w:val="bottom"/>
            <w:shd w:val="clear" w:color="auto" w:fill="FDFDFC"/>
          </w:tcPr>
          <w:p>
            <w:pPr>
              <w:spacing w:after="0"/>
              <w:rPr>
                <w:sz w:val="15"/>
                <w:szCs w:val="15"/>
                <w:color w:val="auto"/>
              </w:rPr>
            </w:pPr>
          </w:p>
        </w:tc>
        <w:tc>
          <w:tcPr>
            <w:tcW w:w="60" w:type="dxa"/>
            <w:vAlign w:val="bottom"/>
            <w:shd w:val="clear" w:color="auto" w:fill="FDFDFC"/>
          </w:tcPr>
          <w:p>
            <w:pPr>
              <w:spacing w:after="0"/>
              <w:rPr>
                <w:sz w:val="15"/>
                <w:szCs w:val="15"/>
                <w:color w:val="auto"/>
              </w:rPr>
            </w:pPr>
          </w:p>
        </w:tc>
        <w:tc>
          <w:tcPr>
            <w:tcW w:w="720" w:type="dxa"/>
            <w:vAlign w:val="bottom"/>
            <w:shd w:val="clear" w:color="auto" w:fill="FDFDFC"/>
          </w:tcPr>
          <w:p>
            <w:pPr>
              <w:spacing w:after="0"/>
              <w:rPr>
                <w:sz w:val="15"/>
                <w:szCs w:val="15"/>
                <w:color w:val="auto"/>
              </w:rPr>
            </w:pPr>
          </w:p>
        </w:tc>
        <w:tc>
          <w:tcPr>
            <w:tcW w:w="100" w:type="dxa"/>
            <w:vAlign w:val="bottom"/>
            <w:shd w:val="clear" w:color="auto" w:fill="FDFDFC"/>
          </w:tcPr>
          <w:p>
            <w:pPr>
              <w:spacing w:after="0"/>
              <w:rPr>
                <w:sz w:val="15"/>
                <w:szCs w:val="15"/>
                <w:color w:val="auto"/>
              </w:rPr>
            </w:pPr>
          </w:p>
        </w:tc>
        <w:tc>
          <w:tcPr>
            <w:tcW w:w="20" w:type="dxa"/>
            <w:vAlign w:val="bottom"/>
            <w:shd w:val="clear" w:color="auto" w:fill="FDFDFC"/>
          </w:tcPr>
          <w:p>
            <w:pPr>
              <w:spacing w:after="0"/>
              <w:rPr>
                <w:sz w:val="15"/>
                <w:szCs w:val="15"/>
                <w:color w:val="auto"/>
              </w:rPr>
            </w:pPr>
          </w:p>
        </w:tc>
        <w:tc>
          <w:tcPr>
            <w:tcW w:w="80" w:type="dxa"/>
            <w:vAlign w:val="bottom"/>
            <w:shd w:val="clear" w:color="auto" w:fill="FDFDFC"/>
          </w:tcPr>
          <w:p>
            <w:pPr>
              <w:spacing w:after="0"/>
              <w:rPr>
                <w:sz w:val="15"/>
                <w:szCs w:val="15"/>
                <w:color w:val="auto"/>
              </w:rPr>
            </w:pPr>
          </w:p>
        </w:tc>
        <w:tc>
          <w:tcPr>
            <w:tcW w:w="20" w:type="dxa"/>
            <w:vAlign w:val="bottom"/>
            <w:shd w:val="clear" w:color="auto" w:fill="FDFDFC"/>
          </w:tcPr>
          <w:p>
            <w:pPr>
              <w:spacing w:after="0"/>
              <w:rPr>
                <w:sz w:val="15"/>
                <w:szCs w:val="15"/>
                <w:color w:val="auto"/>
              </w:rPr>
            </w:pPr>
          </w:p>
        </w:tc>
        <w:tc>
          <w:tcPr>
            <w:tcW w:w="20" w:type="dxa"/>
            <w:vAlign w:val="bottom"/>
            <w:shd w:val="clear" w:color="auto" w:fill="FDFDFC"/>
          </w:tcPr>
          <w:p>
            <w:pPr>
              <w:spacing w:after="0"/>
              <w:rPr>
                <w:sz w:val="15"/>
                <w:szCs w:val="15"/>
                <w:color w:val="auto"/>
              </w:rPr>
            </w:pPr>
          </w:p>
        </w:tc>
        <w:tc>
          <w:tcPr>
            <w:tcW w:w="40" w:type="dxa"/>
            <w:vAlign w:val="bottom"/>
            <w:shd w:val="clear" w:color="auto" w:fill="FDFDFC"/>
          </w:tcPr>
          <w:p>
            <w:pPr>
              <w:spacing w:after="0"/>
              <w:rPr>
                <w:sz w:val="15"/>
                <w:szCs w:val="15"/>
                <w:color w:val="auto"/>
              </w:rPr>
            </w:pPr>
          </w:p>
        </w:tc>
        <w:tc>
          <w:tcPr>
            <w:tcW w:w="720" w:type="dxa"/>
            <w:vAlign w:val="bottom"/>
            <w:shd w:val="clear" w:color="auto" w:fill="FDFDFC"/>
          </w:tcPr>
          <w:p>
            <w:pPr>
              <w:spacing w:after="0"/>
              <w:rPr>
                <w:sz w:val="15"/>
                <w:szCs w:val="15"/>
                <w:color w:val="auto"/>
              </w:rPr>
            </w:pPr>
          </w:p>
        </w:tc>
        <w:tc>
          <w:tcPr>
            <w:tcW w:w="100" w:type="dxa"/>
            <w:vAlign w:val="bottom"/>
            <w:shd w:val="clear" w:color="auto" w:fill="FDFDFC"/>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3620" w:type="dxa"/>
            <w:vAlign w:val="bottom"/>
            <w:gridSpan w:val="2"/>
            <w:shd w:val="clear" w:color="auto" w:fill="D0EBF2"/>
          </w:tcPr>
          <w:p>
            <w:pPr>
              <w:ind w:left="200"/>
              <w:spacing w:after="0"/>
              <w:rPr>
                <w:sz w:val="20"/>
                <w:szCs w:val="20"/>
                <w:color w:val="auto"/>
              </w:rPr>
            </w:pPr>
            <w:r>
              <w:rPr>
                <w:rFonts w:ascii="Times New Roman" w:cs="Times New Roman" w:eastAsia="Times New Roman" w:hAnsi="Times New Roman"/>
                <w:sz w:val="14"/>
                <w:szCs w:val="14"/>
                <w:color w:val="231F20"/>
              </w:rPr>
              <w:t>Issuance of common stock, net of offering and</w:t>
            </w:r>
          </w:p>
        </w:tc>
        <w:tc>
          <w:tcPr>
            <w:tcW w:w="860" w:type="dxa"/>
            <w:vAlign w:val="bottom"/>
            <w:shd w:val="clear" w:color="auto" w:fill="D0EBF2"/>
          </w:tcPr>
          <w:p>
            <w:pPr>
              <w:spacing w:after="0"/>
              <w:rPr>
                <w:sz w:val="14"/>
                <w:szCs w:val="14"/>
                <w:color w:val="auto"/>
              </w:rPr>
            </w:pPr>
          </w:p>
        </w:tc>
        <w:tc>
          <w:tcPr>
            <w:tcW w:w="100" w:type="dxa"/>
            <w:vAlign w:val="bottom"/>
            <w:shd w:val="clear" w:color="auto" w:fill="D0EBF2"/>
          </w:tcPr>
          <w:p>
            <w:pPr>
              <w:spacing w:after="0"/>
              <w:rPr>
                <w:sz w:val="14"/>
                <w:szCs w:val="14"/>
                <w:color w:val="auto"/>
              </w:rPr>
            </w:pPr>
          </w:p>
        </w:tc>
        <w:tc>
          <w:tcPr>
            <w:tcW w:w="100" w:type="dxa"/>
            <w:vAlign w:val="bottom"/>
            <w:shd w:val="clear" w:color="auto" w:fill="D0EBF2"/>
          </w:tcPr>
          <w:p>
            <w:pPr>
              <w:spacing w:after="0"/>
              <w:rPr>
                <w:sz w:val="14"/>
                <w:szCs w:val="14"/>
                <w:color w:val="auto"/>
              </w:rPr>
            </w:pPr>
          </w:p>
        </w:tc>
        <w:tc>
          <w:tcPr>
            <w:tcW w:w="20" w:type="dxa"/>
            <w:vAlign w:val="bottom"/>
            <w:shd w:val="clear" w:color="auto" w:fill="D0EBF2"/>
          </w:tcPr>
          <w:p>
            <w:pPr>
              <w:spacing w:after="0"/>
              <w:rPr>
                <w:sz w:val="14"/>
                <w:szCs w:val="14"/>
                <w:color w:val="auto"/>
              </w:rPr>
            </w:pPr>
          </w:p>
        </w:tc>
        <w:tc>
          <w:tcPr>
            <w:tcW w:w="20" w:type="dxa"/>
            <w:vAlign w:val="bottom"/>
            <w:shd w:val="clear" w:color="auto" w:fill="D0EBF2"/>
          </w:tcPr>
          <w:p>
            <w:pPr>
              <w:spacing w:after="0"/>
              <w:rPr>
                <w:sz w:val="14"/>
                <w:szCs w:val="14"/>
                <w:color w:val="auto"/>
              </w:rPr>
            </w:pPr>
          </w:p>
        </w:tc>
        <w:tc>
          <w:tcPr>
            <w:tcW w:w="60" w:type="dxa"/>
            <w:vAlign w:val="bottom"/>
            <w:shd w:val="clear" w:color="auto" w:fill="D0EBF2"/>
          </w:tcPr>
          <w:p>
            <w:pPr>
              <w:spacing w:after="0"/>
              <w:rPr>
                <w:sz w:val="14"/>
                <w:szCs w:val="14"/>
                <w:color w:val="auto"/>
              </w:rPr>
            </w:pPr>
          </w:p>
        </w:tc>
        <w:tc>
          <w:tcPr>
            <w:tcW w:w="420" w:type="dxa"/>
            <w:vAlign w:val="bottom"/>
            <w:shd w:val="clear" w:color="auto" w:fill="D0EBF2"/>
          </w:tcPr>
          <w:p>
            <w:pPr>
              <w:spacing w:after="0"/>
              <w:rPr>
                <w:sz w:val="14"/>
                <w:szCs w:val="14"/>
                <w:color w:val="auto"/>
              </w:rPr>
            </w:pPr>
          </w:p>
        </w:tc>
        <w:tc>
          <w:tcPr>
            <w:tcW w:w="100" w:type="dxa"/>
            <w:vAlign w:val="bottom"/>
            <w:shd w:val="clear" w:color="auto" w:fill="D0EBF2"/>
          </w:tcPr>
          <w:p>
            <w:pPr>
              <w:spacing w:after="0"/>
              <w:rPr>
                <w:sz w:val="14"/>
                <w:szCs w:val="14"/>
                <w:color w:val="auto"/>
              </w:rPr>
            </w:pPr>
          </w:p>
        </w:tc>
        <w:tc>
          <w:tcPr>
            <w:tcW w:w="20" w:type="dxa"/>
            <w:vAlign w:val="bottom"/>
            <w:shd w:val="clear" w:color="auto" w:fill="D0EBF2"/>
          </w:tcPr>
          <w:p>
            <w:pPr>
              <w:spacing w:after="0"/>
              <w:rPr>
                <w:sz w:val="14"/>
                <w:szCs w:val="14"/>
                <w:color w:val="auto"/>
              </w:rPr>
            </w:pPr>
          </w:p>
        </w:tc>
        <w:tc>
          <w:tcPr>
            <w:tcW w:w="80" w:type="dxa"/>
            <w:vAlign w:val="bottom"/>
            <w:shd w:val="clear" w:color="auto" w:fill="D0EBF2"/>
          </w:tcPr>
          <w:p>
            <w:pPr>
              <w:spacing w:after="0"/>
              <w:rPr>
                <w:sz w:val="14"/>
                <w:szCs w:val="14"/>
                <w:color w:val="auto"/>
              </w:rPr>
            </w:pPr>
          </w:p>
        </w:tc>
        <w:tc>
          <w:tcPr>
            <w:tcW w:w="20" w:type="dxa"/>
            <w:vAlign w:val="bottom"/>
            <w:shd w:val="clear" w:color="auto" w:fill="D0EBF2"/>
          </w:tcPr>
          <w:p>
            <w:pPr>
              <w:spacing w:after="0"/>
              <w:rPr>
                <w:sz w:val="14"/>
                <w:szCs w:val="14"/>
                <w:color w:val="auto"/>
              </w:rPr>
            </w:pPr>
          </w:p>
        </w:tc>
        <w:tc>
          <w:tcPr>
            <w:tcW w:w="20" w:type="dxa"/>
            <w:vAlign w:val="bottom"/>
            <w:shd w:val="clear" w:color="auto" w:fill="D0EBF2"/>
          </w:tcPr>
          <w:p>
            <w:pPr>
              <w:spacing w:after="0"/>
              <w:rPr>
                <w:sz w:val="14"/>
                <w:szCs w:val="14"/>
                <w:color w:val="auto"/>
              </w:rPr>
            </w:pPr>
          </w:p>
        </w:tc>
        <w:tc>
          <w:tcPr>
            <w:tcW w:w="660" w:type="dxa"/>
            <w:vAlign w:val="bottom"/>
            <w:shd w:val="clear" w:color="auto" w:fill="D0EBF2"/>
          </w:tcPr>
          <w:p>
            <w:pPr>
              <w:spacing w:after="0"/>
              <w:rPr>
                <w:sz w:val="14"/>
                <w:szCs w:val="14"/>
                <w:color w:val="auto"/>
              </w:rPr>
            </w:pPr>
          </w:p>
        </w:tc>
        <w:tc>
          <w:tcPr>
            <w:tcW w:w="100" w:type="dxa"/>
            <w:vAlign w:val="bottom"/>
            <w:shd w:val="clear" w:color="auto" w:fill="D0EBF2"/>
          </w:tcPr>
          <w:p>
            <w:pPr>
              <w:spacing w:after="0"/>
              <w:rPr>
                <w:sz w:val="14"/>
                <w:szCs w:val="14"/>
                <w:color w:val="auto"/>
              </w:rPr>
            </w:pPr>
          </w:p>
        </w:tc>
        <w:tc>
          <w:tcPr>
            <w:tcW w:w="20" w:type="dxa"/>
            <w:vAlign w:val="bottom"/>
            <w:shd w:val="clear" w:color="auto" w:fill="D0EBF2"/>
          </w:tcPr>
          <w:p>
            <w:pPr>
              <w:spacing w:after="0"/>
              <w:rPr>
                <w:sz w:val="14"/>
                <w:szCs w:val="14"/>
                <w:color w:val="auto"/>
              </w:rPr>
            </w:pPr>
          </w:p>
        </w:tc>
        <w:tc>
          <w:tcPr>
            <w:tcW w:w="80" w:type="dxa"/>
            <w:vAlign w:val="bottom"/>
            <w:shd w:val="clear" w:color="auto" w:fill="D0EBF2"/>
          </w:tcPr>
          <w:p>
            <w:pPr>
              <w:spacing w:after="0"/>
              <w:rPr>
                <w:sz w:val="14"/>
                <w:szCs w:val="14"/>
                <w:color w:val="auto"/>
              </w:rPr>
            </w:pPr>
          </w:p>
        </w:tc>
        <w:tc>
          <w:tcPr>
            <w:tcW w:w="20" w:type="dxa"/>
            <w:vAlign w:val="bottom"/>
            <w:shd w:val="clear" w:color="auto" w:fill="D0EBF2"/>
          </w:tcPr>
          <w:p>
            <w:pPr>
              <w:spacing w:after="0"/>
              <w:rPr>
                <w:sz w:val="14"/>
                <w:szCs w:val="14"/>
                <w:color w:val="auto"/>
              </w:rPr>
            </w:pPr>
          </w:p>
        </w:tc>
        <w:tc>
          <w:tcPr>
            <w:tcW w:w="20" w:type="dxa"/>
            <w:vAlign w:val="bottom"/>
            <w:shd w:val="clear" w:color="auto" w:fill="D0EBF2"/>
          </w:tcPr>
          <w:p>
            <w:pPr>
              <w:spacing w:after="0"/>
              <w:rPr>
                <w:sz w:val="14"/>
                <w:szCs w:val="14"/>
                <w:color w:val="auto"/>
              </w:rPr>
            </w:pPr>
          </w:p>
        </w:tc>
        <w:tc>
          <w:tcPr>
            <w:tcW w:w="60" w:type="dxa"/>
            <w:vAlign w:val="bottom"/>
            <w:shd w:val="clear" w:color="auto" w:fill="D0EBF2"/>
          </w:tcPr>
          <w:p>
            <w:pPr>
              <w:spacing w:after="0"/>
              <w:rPr>
                <w:sz w:val="14"/>
                <w:szCs w:val="14"/>
                <w:color w:val="auto"/>
              </w:rPr>
            </w:pPr>
          </w:p>
        </w:tc>
        <w:tc>
          <w:tcPr>
            <w:tcW w:w="480" w:type="dxa"/>
            <w:vAlign w:val="bottom"/>
            <w:shd w:val="clear" w:color="auto" w:fill="D0EBF2"/>
          </w:tcPr>
          <w:p>
            <w:pPr>
              <w:spacing w:after="0"/>
              <w:rPr>
                <w:sz w:val="14"/>
                <w:szCs w:val="14"/>
                <w:color w:val="auto"/>
              </w:rPr>
            </w:pPr>
          </w:p>
        </w:tc>
        <w:tc>
          <w:tcPr>
            <w:tcW w:w="100" w:type="dxa"/>
            <w:vAlign w:val="bottom"/>
            <w:shd w:val="clear" w:color="auto" w:fill="D0EBF2"/>
          </w:tcPr>
          <w:p>
            <w:pPr>
              <w:spacing w:after="0"/>
              <w:rPr>
                <w:sz w:val="14"/>
                <w:szCs w:val="14"/>
                <w:color w:val="auto"/>
              </w:rPr>
            </w:pPr>
          </w:p>
        </w:tc>
        <w:tc>
          <w:tcPr>
            <w:tcW w:w="20" w:type="dxa"/>
            <w:vAlign w:val="bottom"/>
            <w:shd w:val="clear" w:color="auto" w:fill="D0EBF2"/>
          </w:tcPr>
          <w:p>
            <w:pPr>
              <w:spacing w:after="0"/>
              <w:rPr>
                <w:sz w:val="14"/>
                <w:szCs w:val="14"/>
                <w:color w:val="auto"/>
              </w:rPr>
            </w:pPr>
          </w:p>
        </w:tc>
        <w:tc>
          <w:tcPr>
            <w:tcW w:w="20" w:type="dxa"/>
            <w:vAlign w:val="bottom"/>
            <w:shd w:val="clear" w:color="auto" w:fill="D0EBF2"/>
          </w:tcPr>
          <w:p>
            <w:pPr>
              <w:spacing w:after="0"/>
              <w:rPr>
                <w:sz w:val="14"/>
                <w:szCs w:val="14"/>
                <w:color w:val="auto"/>
              </w:rPr>
            </w:pPr>
          </w:p>
        </w:tc>
        <w:tc>
          <w:tcPr>
            <w:tcW w:w="60" w:type="dxa"/>
            <w:vAlign w:val="bottom"/>
            <w:shd w:val="clear" w:color="auto" w:fill="D0EBF2"/>
          </w:tcPr>
          <w:p>
            <w:pPr>
              <w:spacing w:after="0"/>
              <w:rPr>
                <w:sz w:val="14"/>
                <w:szCs w:val="14"/>
                <w:color w:val="auto"/>
              </w:rPr>
            </w:pPr>
          </w:p>
        </w:tc>
        <w:tc>
          <w:tcPr>
            <w:tcW w:w="140" w:type="dxa"/>
            <w:vAlign w:val="bottom"/>
            <w:shd w:val="clear" w:color="auto" w:fill="D0EBF2"/>
          </w:tcPr>
          <w:p>
            <w:pPr>
              <w:spacing w:after="0"/>
              <w:rPr>
                <w:sz w:val="14"/>
                <w:szCs w:val="14"/>
                <w:color w:val="auto"/>
              </w:rPr>
            </w:pPr>
          </w:p>
        </w:tc>
        <w:tc>
          <w:tcPr>
            <w:tcW w:w="900" w:type="dxa"/>
            <w:vAlign w:val="bottom"/>
            <w:shd w:val="clear" w:color="auto" w:fill="D0EBF2"/>
          </w:tcPr>
          <w:p>
            <w:pPr>
              <w:spacing w:after="0"/>
              <w:rPr>
                <w:sz w:val="14"/>
                <w:szCs w:val="14"/>
                <w:color w:val="auto"/>
              </w:rPr>
            </w:pPr>
          </w:p>
        </w:tc>
        <w:tc>
          <w:tcPr>
            <w:tcW w:w="100" w:type="dxa"/>
            <w:vAlign w:val="bottom"/>
            <w:shd w:val="clear" w:color="auto" w:fill="D0EBF2"/>
          </w:tcPr>
          <w:p>
            <w:pPr>
              <w:spacing w:after="0"/>
              <w:rPr>
                <w:sz w:val="14"/>
                <w:szCs w:val="14"/>
                <w:color w:val="auto"/>
              </w:rPr>
            </w:pPr>
          </w:p>
        </w:tc>
        <w:tc>
          <w:tcPr>
            <w:tcW w:w="20" w:type="dxa"/>
            <w:vAlign w:val="bottom"/>
            <w:shd w:val="clear" w:color="auto" w:fill="D0EBF2"/>
          </w:tcPr>
          <w:p>
            <w:pPr>
              <w:spacing w:after="0"/>
              <w:rPr>
                <w:sz w:val="14"/>
                <w:szCs w:val="14"/>
                <w:color w:val="auto"/>
              </w:rPr>
            </w:pPr>
          </w:p>
        </w:tc>
        <w:tc>
          <w:tcPr>
            <w:tcW w:w="80" w:type="dxa"/>
            <w:vAlign w:val="bottom"/>
            <w:shd w:val="clear" w:color="auto" w:fill="D0EBF2"/>
          </w:tcPr>
          <w:p>
            <w:pPr>
              <w:spacing w:after="0"/>
              <w:rPr>
                <w:sz w:val="14"/>
                <w:szCs w:val="14"/>
                <w:color w:val="auto"/>
              </w:rPr>
            </w:pPr>
          </w:p>
        </w:tc>
        <w:tc>
          <w:tcPr>
            <w:tcW w:w="20" w:type="dxa"/>
            <w:vAlign w:val="bottom"/>
            <w:shd w:val="clear" w:color="auto" w:fill="D0EBF2"/>
          </w:tcPr>
          <w:p>
            <w:pPr>
              <w:spacing w:after="0"/>
              <w:rPr>
                <w:sz w:val="14"/>
                <w:szCs w:val="14"/>
                <w:color w:val="auto"/>
              </w:rPr>
            </w:pPr>
          </w:p>
        </w:tc>
        <w:tc>
          <w:tcPr>
            <w:tcW w:w="20" w:type="dxa"/>
            <w:vAlign w:val="bottom"/>
            <w:shd w:val="clear" w:color="auto" w:fill="D0EBF2"/>
          </w:tcPr>
          <w:p>
            <w:pPr>
              <w:spacing w:after="0"/>
              <w:rPr>
                <w:sz w:val="14"/>
                <w:szCs w:val="14"/>
                <w:color w:val="auto"/>
              </w:rPr>
            </w:pPr>
          </w:p>
        </w:tc>
        <w:tc>
          <w:tcPr>
            <w:tcW w:w="60" w:type="dxa"/>
            <w:vAlign w:val="bottom"/>
            <w:shd w:val="clear" w:color="auto" w:fill="D0EBF2"/>
          </w:tcPr>
          <w:p>
            <w:pPr>
              <w:spacing w:after="0"/>
              <w:rPr>
                <w:sz w:val="14"/>
                <w:szCs w:val="14"/>
                <w:color w:val="auto"/>
              </w:rPr>
            </w:pPr>
          </w:p>
        </w:tc>
        <w:tc>
          <w:tcPr>
            <w:tcW w:w="720" w:type="dxa"/>
            <w:vAlign w:val="bottom"/>
            <w:shd w:val="clear" w:color="auto" w:fill="D0EBF2"/>
          </w:tcPr>
          <w:p>
            <w:pPr>
              <w:spacing w:after="0"/>
              <w:rPr>
                <w:sz w:val="14"/>
                <w:szCs w:val="14"/>
                <w:color w:val="auto"/>
              </w:rPr>
            </w:pPr>
          </w:p>
        </w:tc>
        <w:tc>
          <w:tcPr>
            <w:tcW w:w="100" w:type="dxa"/>
            <w:vAlign w:val="bottom"/>
            <w:shd w:val="clear" w:color="auto" w:fill="D0EBF2"/>
          </w:tcPr>
          <w:p>
            <w:pPr>
              <w:spacing w:after="0"/>
              <w:rPr>
                <w:sz w:val="14"/>
                <w:szCs w:val="14"/>
                <w:color w:val="auto"/>
              </w:rPr>
            </w:pPr>
          </w:p>
        </w:tc>
        <w:tc>
          <w:tcPr>
            <w:tcW w:w="20" w:type="dxa"/>
            <w:vAlign w:val="bottom"/>
            <w:shd w:val="clear" w:color="auto" w:fill="D0EBF2"/>
          </w:tcPr>
          <w:p>
            <w:pPr>
              <w:spacing w:after="0"/>
              <w:rPr>
                <w:sz w:val="14"/>
                <w:szCs w:val="14"/>
                <w:color w:val="auto"/>
              </w:rPr>
            </w:pPr>
          </w:p>
        </w:tc>
        <w:tc>
          <w:tcPr>
            <w:tcW w:w="80" w:type="dxa"/>
            <w:vAlign w:val="bottom"/>
            <w:shd w:val="clear" w:color="auto" w:fill="D0EBF2"/>
          </w:tcPr>
          <w:p>
            <w:pPr>
              <w:spacing w:after="0"/>
              <w:rPr>
                <w:sz w:val="14"/>
                <w:szCs w:val="14"/>
                <w:color w:val="auto"/>
              </w:rPr>
            </w:pPr>
          </w:p>
        </w:tc>
        <w:tc>
          <w:tcPr>
            <w:tcW w:w="20" w:type="dxa"/>
            <w:vAlign w:val="bottom"/>
            <w:shd w:val="clear" w:color="auto" w:fill="D0EBF2"/>
          </w:tcPr>
          <w:p>
            <w:pPr>
              <w:spacing w:after="0"/>
              <w:rPr>
                <w:sz w:val="14"/>
                <w:szCs w:val="14"/>
                <w:color w:val="auto"/>
              </w:rPr>
            </w:pPr>
          </w:p>
        </w:tc>
        <w:tc>
          <w:tcPr>
            <w:tcW w:w="20" w:type="dxa"/>
            <w:vAlign w:val="bottom"/>
            <w:shd w:val="clear" w:color="auto" w:fill="D0EBF2"/>
          </w:tcPr>
          <w:p>
            <w:pPr>
              <w:spacing w:after="0"/>
              <w:rPr>
                <w:sz w:val="14"/>
                <w:szCs w:val="14"/>
                <w:color w:val="auto"/>
              </w:rPr>
            </w:pPr>
          </w:p>
        </w:tc>
        <w:tc>
          <w:tcPr>
            <w:tcW w:w="40" w:type="dxa"/>
            <w:vAlign w:val="bottom"/>
            <w:shd w:val="clear" w:color="auto" w:fill="D0EBF2"/>
          </w:tcPr>
          <w:p>
            <w:pPr>
              <w:spacing w:after="0"/>
              <w:rPr>
                <w:sz w:val="14"/>
                <w:szCs w:val="14"/>
                <w:color w:val="auto"/>
              </w:rPr>
            </w:pPr>
          </w:p>
        </w:tc>
        <w:tc>
          <w:tcPr>
            <w:tcW w:w="720" w:type="dxa"/>
            <w:vAlign w:val="bottom"/>
            <w:shd w:val="clear" w:color="auto" w:fill="D0EBF2"/>
          </w:tcPr>
          <w:p>
            <w:pPr>
              <w:spacing w:after="0"/>
              <w:rPr>
                <w:sz w:val="14"/>
                <w:szCs w:val="14"/>
                <w:color w:val="auto"/>
              </w:rPr>
            </w:pPr>
          </w:p>
        </w:tc>
        <w:tc>
          <w:tcPr>
            <w:tcW w:w="100" w:type="dxa"/>
            <w:vAlign w:val="bottom"/>
            <w:shd w:val="clear" w:color="auto" w:fill="D0EBF2"/>
          </w:tcPr>
          <w:p>
            <w:pPr>
              <w:spacing w:after="0"/>
              <w:rPr>
                <w:sz w:val="14"/>
                <w:szCs w:val="14"/>
                <w:color w:val="auto"/>
              </w:rPr>
            </w:pPr>
          </w:p>
        </w:tc>
        <w:tc>
          <w:tcPr>
            <w:tcW w:w="0" w:type="dxa"/>
            <w:vAlign w:val="bottom"/>
          </w:tcPr>
          <w:p>
            <w:pPr>
              <w:spacing w:after="0"/>
              <w:rPr>
                <w:sz w:val="1"/>
                <w:szCs w:val="1"/>
                <w:color w:val="auto"/>
              </w:rPr>
            </w:pPr>
          </w:p>
        </w:tc>
      </w:tr>
      <w:tr>
        <w:trPr>
          <w:trHeight w:val="177"/>
        </w:trPr>
        <w:tc>
          <w:tcPr>
            <w:tcW w:w="3620" w:type="dxa"/>
            <w:vAlign w:val="bottom"/>
            <w:gridSpan w:val="2"/>
            <w:shd w:val="clear" w:color="auto" w:fill="D0EBF2"/>
          </w:tcPr>
          <w:p>
            <w:pPr>
              <w:ind w:left="200"/>
              <w:spacing w:after="0"/>
              <w:rPr>
                <w:sz w:val="20"/>
                <w:szCs w:val="20"/>
                <w:color w:val="auto"/>
              </w:rPr>
            </w:pPr>
            <w:r>
              <w:rPr>
                <w:rFonts w:ascii="Times New Roman" w:cs="Times New Roman" w:eastAsia="Times New Roman" w:hAnsi="Times New Roman"/>
                <w:sz w:val="14"/>
                <w:szCs w:val="14"/>
                <w:color w:val="231F20"/>
              </w:rPr>
              <w:t>underwriting costs</w:t>
            </w:r>
          </w:p>
        </w:tc>
        <w:tc>
          <w:tcPr>
            <w:tcW w:w="860" w:type="dxa"/>
            <w:vAlign w:val="bottom"/>
            <w:shd w:val="clear" w:color="auto" w:fill="D0EBF2"/>
          </w:tcPr>
          <w:p>
            <w:pPr>
              <w:jc w:val="right"/>
              <w:spacing w:after="0"/>
              <w:rPr>
                <w:sz w:val="20"/>
                <w:szCs w:val="20"/>
                <w:color w:val="auto"/>
              </w:rPr>
            </w:pPr>
            <w:r>
              <w:rPr>
                <w:rFonts w:ascii="Times New Roman" w:cs="Times New Roman" w:eastAsia="Times New Roman" w:hAnsi="Times New Roman"/>
                <w:sz w:val="14"/>
                <w:szCs w:val="14"/>
                <w:color w:val="231F20"/>
              </w:rPr>
              <w:t>4,600,000</w:t>
            </w:r>
          </w:p>
        </w:tc>
        <w:tc>
          <w:tcPr>
            <w:tcW w:w="100" w:type="dxa"/>
            <w:vAlign w:val="bottom"/>
            <w:shd w:val="clear" w:color="auto" w:fill="D0EBF2"/>
          </w:tcPr>
          <w:p>
            <w:pPr>
              <w:spacing w:after="0"/>
              <w:rPr>
                <w:sz w:val="15"/>
                <w:szCs w:val="15"/>
                <w:color w:val="auto"/>
              </w:rPr>
            </w:pPr>
          </w:p>
        </w:tc>
        <w:tc>
          <w:tcPr>
            <w:tcW w:w="100" w:type="dxa"/>
            <w:vAlign w:val="bottom"/>
            <w:shd w:val="clear" w:color="auto" w:fill="D0EBF2"/>
          </w:tcPr>
          <w:p>
            <w:pPr>
              <w:spacing w:after="0"/>
              <w:rPr>
                <w:sz w:val="15"/>
                <w:szCs w:val="15"/>
                <w:color w:val="auto"/>
              </w:rPr>
            </w:pPr>
          </w:p>
        </w:tc>
        <w:tc>
          <w:tcPr>
            <w:tcW w:w="20" w:type="dxa"/>
            <w:vAlign w:val="bottom"/>
            <w:shd w:val="clear" w:color="auto" w:fill="D0EBF2"/>
          </w:tcPr>
          <w:p>
            <w:pPr>
              <w:spacing w:after="0"/>
              <w:rPr>
                <w:sz w:val="15"/>
                <w:szCs w:val="15"/>
                <w:color w:val="auto"/>
              </w:rPr>
            </w:pPr>
          </w:p>
        </w:tc>
        <w:tc>
          <w:tcPr>
            <w:tcW w:w="20" w:type="dxa"/>
            <w:vAlign w:val="bottom"/>
            <w:shd w:val="clear" w:color="auto" w:fill="D0EBF2"/>
          </w:tcPr>
          <w:p>
            <w:pPr>
              <w:spacing w:after="0"/>
              <w:rPr>
                <w:sz w:val="15"/>
                <w:szCs w:val="15"/>
                <w:color w:val="auto"/>
              </w:rPr>
            </w:pPr>
          </w:p>
        </w:tc>
        <w:tc>
          <w:tcPr>
            <w:tcW w:w="60" w:type="dxa"/>
            <w:vAlign w:val="bottom"/>
            <w:shd w:val="clear" w:color="auto" w:fill="D0EBF2"/>
          </w:tcPr>
          <w:p>
            <w:pPr>
              <w:spacing w:after="0"/>
              <w:rPr>
                <w:sz w:val="15"/>
                <w:szCs w:val="15"/>
                <w:color w:val="auto"/>
              </w:rPr>
            </w:pPr>
          </w:p>
        </w:tc>
        <w:tc>
          <w:tcPr>
            <w:tcW w:w="420" w:type="dxa"/>
            <w:vAlign w:val="bottom"/>
            <w:shd w:val="clear" w:color="auto" w:fill="D0EBF2"/>
          </w:tcPr>
          <w:p>
            <w:pPr>
              <w:jc w:val="right"/>
              <w:spacing w:after="0"/>
              <w:rPr>
                <w:sz w:val="20"/>
                <w:szCs w:val="20"/>
                <w:color w:val="auto"/>
              </w:rPr>
            </w:pPr>
            <w:r>
              <w:rPr>
                <w:rFonts w:ascii="Times New Roman" w:cs="Times New Roman" w:eastAsia="Times New Roman" w:hAnsi="Times New Roman"/>
                <w:sz w:val="14"/>
                <w:szCs w:val="14"/>
                <w:color w:val="231F20"/>
              </w:rPr>
              <w:t>46</w:t>
            </w:r>
          </w:p>
        </w:tc>
        <w:tc>
          <w:tcPr>
            <w:tcW w:w="100" w:type="dxa"/>
            <w:vAlign w:val="bottom"/>
            <w:shd w:val="clear" w:color="auto" w:fill="D0EBF2"/>
          </w:tcPr>
          <w:p>
            <w:pPr>
              <w:spacing w:after="0"/>
              <w:rPr>
                <w:sz w:val="15"/>
                <w:szCs w:val="15"/>
                <w:color w:val="auto"/>
              </w:rPr>
            </w:pPr>
          </w:p>
        </w:tc>
        <w:tc>
          <w:tcPr>
            <w:tcW w:w="20" w:type="dxa"/>
            <w:vAlign w:val="bottom"/>
            <w:shd w:val="clear" w:color="auto" w:fill="D0EBF2"/>
          </w:tcPr>
          <w:p>
            <w:pPr>
              <w:spacing w:after="0"/>
              <w:rPr>
                <w:sz w:val="15"/>
                <w:szCs w:val="15"/>
                <w:color w:val="auto"/>
              </w:rPr>
            </w:pPr>
          </w:p>
        </w:tc>
        <w:tc>
          <w:tcPr>
            <w:tcW w:w="80" w:type="dxa"/>
            <w:vAlign w:val="bottom"/>
            <w:shd w:val="clear" w:color="auto" w:fill="D0EBF2"/>
          </w:tcPr>
          <w:p>
            <w:pPr>
              <w:spacing w:after="0"/>
              <w:rPr>
                <w:sz w:val="15"/>
                <w:szCs w:val="15"/>
                <w:color w:val="auto"/>
              </w:rPr>
            </w:pPr>
          </w:p>
        </w:tc>
        <w:tc>
          <w:tcPr>
            <w:tcW w:w="20" w:type="dxa"/>
            <w:vAlign w:val="bottom"/>
            <w:shd w:val="clear" w:color="auto" w:fill="D0EBF2"/>
          </w:tcPr>
          <w:p>
            <w:pPr>
              <w:spacing w:after="0"/>
              <w:rPr>
                <w:sz w:val="15"/>
                <w:szCs w:val="15"/>
                <w:color w:val="auto"/>
              </w:rPr>
            </w:pPr>
          </w:p>
        </w:tc>
        <w:tc>
          <w:tcPr>
            <w:tcW w:w="20" w:type="dxa"/>
            <w:vAlign w:val="bottom"/>
            <w:shd w:val="clear" w:color="auto" w:fill="D0EBF2"/>
          </w:tcPr>
          <w:p>
            <w:pPr>
              <w:spacing w:after="0"/>
              <w:rPr>
                <w:sz w:val="15"/>
                <w:szCs w:val="15"/>
                <w:color w:val="auto"/>
              </w:rPr>
            </w:pPr>
          </w:p>
        </w:tc>
        <w:tc>
          <w:tcPr>
            <w:tcW w:w="660" w:type="dxa"/>
            <w:vAlign w:val="bottom"/>
            <w:shd w:val="clear" w:color="auto" w:fill="D0EBF2"/>
          </w:tcPr>
          <w:p>
            <w:pPr>
              <w:jc w:val="right"/>
              <w:spacing w:after="0"/>
              <w:rPr>
                <w:sz w:val="20"/>
                <w:szCs w:val="20"/>
                <w:color w:val="auto"/>
              </w:rPr>
            </w:pPr>
            <w:r>
              <w:rPr>
                <w:rFonts w:ascii="Times New Roman" w:cs="Times New Roman" w:eastAsia="Times New Roman" w:hAnsi="Times New Roman"/>
                <w:sz w:val="14"/>
                <w:szCs w:val="14"/>
                <w:color w:val="231F20"/>
              </w:rPr>
              <w:t>—</w:t>
            </w:r>
          </w:p>
        </w:tc>
        <w:tc>
          <w:tcPr>
            <w:tcW w:w="100" w:type="dxa"/>
            <w:vAlign w:val="bottom"/>
            <w:shd w:val="clear" w:color="auto" w:fill="D0EBF2"/>
          </w:tcPr>
          <w:p>
            <w:pPr>
              <w:spacing w:after="0"/>
              <w:rPr>
                <w:sz w:val="15"/>
                <w:szCs w:val="15"/>
                <w:color w:val="auto"/>
              </w:rPr>
            </w:pPr>
          </w:p>
        </w:tc>
        <w:tc>
          <w:tcPr>
            <w:tcW w:w="20" w:type="dxa"/>
            <w:vAlign w:val="bottom"/>
            <w:shd w:val="clear" w:color="auto" w:fill="D0EBF2"/>
          </w:tcPr>
          <w:p>
            <w:pPr>
              <w:spacing w:after="0"/>
              <w:rPr>
                <w:sz w:val="15"/>
                <w:szCs w:val="15"/>
                <w:color w:val="auto"/>
              </w:rPr>
            </w:pPr>
          </w:p>
        </w:tc>
        <w:tc>
          <w:tcPr>
            <w:tcW w:w="80" w:type="dxa"/>
            <w:vAlign w:val="bottom"/>
            <w:shd w:val="clear" w:color="auto" w:fill="D0EBF2"/>
          </w:tcPr>
          <w:p>
            <w:pPr>
              <w:spacing w:after="0"/>
              <w:rPr>
                <w:sz w:val="15"/>
                <w:szCs w:val="15"/>
                <w:color w:val="auto"/>
              </w:rPr>
            </w:pPr>
          </w:p>
        </w:tc>
        <w:tc>
          <w:tcPr>
            <w:tcW w:w="20" w:type="dxa"/>
            <w:vAlign w:val="bottom"/>
            <w:shd w:val="clear" w:color="auto" w:fill="D0EBF2"/>
          </w:tcPr>
          <w:p>
            <w:pPr>
              <w:spacing w:after="0"/>
              <w:rPr>
                <w:sz w:val="15"/>
                <w:szCs w:val="15"/>
                <w:color w:val="auto"/>
              </w:rPr>
            </w:pPr>
          </w:p>
        </w:tc>
        <w:tc>
          <w:tcPr>
            <w:tcW w:w="20" w:type="dxa"/>
            <w:vAlign w:val="bottom"/>
            <w:shd w:val="clear" w:color="auto" w:fill="D0EBF2"/>
          </w:tcPr>
          <w:p>
            <w:pPr>
              <w:spacing w:after="0"/>
              <w:rPr>
                <w:sz w:val="15"/>
                <w:szCs w:val="15"/>
                <w:color w:val="auto"/>
              </w:rPr>
            </w:pPr>
          </w:p>
        </w:tc>
        <w:tc>
          <w:tcPr>
            <w:tcW w:w="60" w:type="dxa"/>
            <w:vAlign w:val="bottom"/>
            <w:shd w:val="clear" w:color="auto" w:fill="D0EBF2"/>
          </w:tcPr>
          <w:p>
            <w:pPr>
              <w:spacing w:after="0"/>
              <w:rPr>
                <w:sz w:val="15"/>
                <w:szCs w:val="15"/>
                <w:color w:val="auto"/>
              </w:rPr>
            </w:pPr>
          </w:p>
        </w:tc>
        <w:tc>
          <w:tcPr>
            <w:tcW w:w="620" w:type="dxa"/>
            <w:vAlign w:val="bottom"/>
            <w:gridSpan w:val="4"/>
            <w:shd w:val="clear" w:color="auto" w:fill="D0EBF2"/>
          </w:tcPr>
          <w:p>
            <w:pPr>
              <w:jc w:val="right"/>
              <w:ind w:right="160"/>
              <w:spacing w:after="0"/>
              <w:rPr>
                <w:sz w:val="20"/>
                <w:szCs w:val="20"/>
                <w:color w:val="auto"/>
              </w:rPr>
            </w:pPr>
            <w:r>
              <w:rPr>
                <w:rFonts w:ascii="Times New Roman" w:cs="Times New Roman" w:eastAsia="Times New Roman" w:hAnsi="Times New Roman"/>
                <w:sz w:val="14"/>
                <w:szCs w:val="14"/>
                <w:color w:val="231F20"/>
              </w:rPr>
              <w:t>—</w:t>
            </w:r>
          </w:p>
        </w:tc>
        <w:tc>
          <w:tcPr>
            <w:tcW w:w="60" w:type="dxa"/>
            <w:vAlign w:val="bottom"/>
            <w:shd w:val="clear" w:color="auto" w:fill="D0EBF2"/>
          </w:tcPr>
          <w:p>
            <w:pPr>
              <w:spacing w:after="0"/>
              <w:rPr>
                <w:sz w:val="15"/>
                <w:szCs w:val="15"/>
                <w:color w:val="auto"/>
              </w:rPr>
            </w:pPr>
          </w:p>
        </w:tc>
        <w:tc>
          <w:tcPr>
            <w:tcW w:w="140" w:type="dxa"/>
            <w:vAlign w:val="bottom"/>
            <w:shd w:val="clear" w:color="auto" w:fill="D0EBF2"/>
          </w:tcPr>
          <w:p>
            <w:pPr>
              <w:spacing w:after="0"/>
              <w:rPr>
                <w:sz w:val="15"/>
                <w:szCs w:val="15"/>
                <w:color w:val="auto"/>
              </w:rPr>
            </w:pPr>
          </w:p>
        </w:tc>
        <w:tc>
          <w:tcPr>
            <w:tcW w:w="900" w:type="dxa"/>
            <w:vAlign w:val="bottom"/>
            <w:shd w:val="clear" w:color="auto" w:fill="D0EBF2"/>
          </w:tcPr>
          <w:p>
            <w:pPr>
              <w:jc w:val="right"/>
              <w:spacing w:after="0"/>
              <w:rPr>
                <w:sz w:val="20"/>
                <w:szCs w:val="20"/>
                <w:color w:val="auto"/>
              </w:rPr>
            </w:pPr>
            <w:r>
              <w:rPr>
                <w:rFonts w:ascii="Times New Roman" w:cs="Times New Roman" w:eastAsia="Times New Roman" w:hAnsi="Times New Roman"/>
                <w:sz w:val="14"/>
                <w:szCs w:val="14"/>
                <w:color w:val="231F20"/>
              </w:rPr>
              <w:t>93,262</w:t>
            </w:r>
          </w:p>
        </w:tc>
        <w:tc>
          <w:tcPr>
            <w:tcW w:w="100" w:type="dxa"/>
            <w:vAlign w:val="bottom"/>
            <w:shd w:val="clear" w:color="auto" w:fill="D0EBF2"/>
          </w:tcPr>
          <w:p>
            <w:pPr>
              <w:spacing w:after="0"/>
              <w:rPr>
                <w:sz w:val="15"/>
                <w:szCs w:val="15"/>
                <w:color w:val="auto"/>
              </w:rPr>
            </w:pPr>
          </w:p>
        </w:tc>
        <w:tc>
          <w:tcPr>
            <w:tcW w:w="20" w:type="dxa"/>
            <w:vAlign w:val="bottom"/>
            <w:shd w:val="clear" w:color="auto" w:fill="D0EBF2"/>
          </w:tcPr>
          <w:p>
            <w:pPr>
              <w:spacing w:after="0"/>
              <w:rPr>
                <w:sz w:val="15"/>
                <w:szCs w:val="15"/>
                <w:color w:val="auto"/>
              </w:rPr>
            </w:pPr>
          </w:p>
        </w:tc>
        <w:tc>
          <w:tcPr>
            <w:tcW w:w="80" w:type="dxa"/>
            <w:vAlign w:val="bottom"/>
            <w:shd w:val="clear" w:color="auto" w:fill="D0EBF2"/>
          </w:tcPr>
          <w:p>
            <w:pPr>
              <w:spacing w:after="0"/>
              <w:rPr>
                <w:sz w:val="15"/>
                <w:szCs w:val="15"/>
                <w:color w:val="auto"/>
              </w:rPr>
            </w:pPr>
          </w:p>
        </w:tc>
        <w:tc>
          <w:tcPr>
            <w:tcW w:w="20" w:type="dxa"/>
            <w:vAlign w:val="bottom"/>
            <w:shd w:val="clear" w:color="auto" w:fill="D0EBF2"/>
          </w:tcPr>
          <w:p>
            <w:pPr>
              <w:spacing w:after="0"/>
              <w:rPr>
                <w:sz w:val="15"/>
                <w:szCs w:val="15"/>
                <w:color w:val="auto"/>
              </w:rPr>
            </w:pPr>
          </w:p>
        </w:tc>
        <w:tc>
          <w:tcPr>
            <w:tcW w:w="20" w:type="dxa"/>
            <w:vAlign w:val="bottom"/>
            <w:shd w:val="clear" w:color="auto" w:fill="D0EBF2"/>
          </w:tcPr>
          <w:p>
            <w:pPr>
              <w:spacing w:after="0"/>
              <w:rPr>
                <w:sz w:val="15"/>
                <w:szCs w:val="15"/>
                <w:color w:val="auto"/>
              </w:rPr>
            </w:pPr>
          </w:p>
        </w:tc>
        <w:tc>
          <w:tcPr>
            <w:tcW w:w="60" w:type="dxa"/>
            <w:vAlign w:val="bottom"/>
            <w:shd w:val="clear" w:color="auto" w:fill="D0EBF2"/>
          </w:tcPr>
          <w:p>
            <w:pPr>
              <w:spacing w:after="0"/>
              <w:rPr>
                <w:sz w:val="15"/>
                <w:szCs w:val="15"/>
                <w:color w:val="auto"/>
              </w:rPr>
            </w:pPr>
          </w:p>
        </w:tc>
        <w:tc>
          <w:tcPr>
            <w:tcW w:w="960" w:type="dxa"/>
            <w:vAlign w:val="bottom"/>
            <w:gridSpan w:val="6"/>
            <w:shd w:val="clear" w:color="auto" w:fill="D0EBF2"/>
          </w:tcPr>
          <w:p>
            <w:pPr>
              <w:jc w:val="right"/>
              <w:ind w:right="260"/>
              <w:spacing w:after="0"/>
              <w:rPr>
                <w:sz w:val="20"/>
                <w:szCs w:val="20"/>
                <w:color w:val="auto"/>
              </w:rPr>
            </w:pPr>
            <w:r>
              <w:rPr>
                <w:rFonts w:ascii="Times New Roman" w:cs="Times New Roman" w:eastAsia="Times New Roman" w:hAnsi="Times New Roman"/>
                <w:sz w:val="14"/>
                <w:szCs w:val="14"/>
                <w:color w:val="231F20"/>
              </w:rPr>
              <w:t>—</w:t>
            </w:r>
          </w:p>
        </w:tc>
        <w:tc>
          <w:tcPr>
            <w:tcW w:w="40" w:type="dxa"/>
            <w:vAlign w:val="bottom"/>
            <w:shd w:val="clear" w:color="auto" w:fill="D0EBF2"/>
          </w:tcPr>
          <w:p>
            <w:pPr>
              <w:spacing w:after="0"/>
              <w:rPr>
                <w:sz w:val="15"/>
                <w:szCs w:val="15"/>
                <w:color w:val="auto"/>
              </w:rPr>
            </w:pPr>
          </w:p>
        </w:tc>
        <w:tc>
          <w:tcPr>
            <w:tcW w:w="720" w:type="dxa"/>
            <w:vAlign w:val="bottom"/>
            <w:shd w:val="clear" w:color="auto" w:fill="D0EBF2"/>
          </w:tcPr>
          <w:p>
            <w:pPr>
              <w:jc w:val="right"/>
              <w:spacing w:after="0"/>
              <w:rPr>
                <w:sz w:val="20"/>
                <w:szCs w:val="20"/>
                <w:color w:val="auto"/>
              </w:rPr>
            </w:pPr>
            <w:r>
              <w:rPr>
                <w:rFonts w:ascii="Times New Roman" w:cs="Times New Roman" w:eastAsia="Times New Roman" w:hAnsi="Times New Roman"/>
                <w:sz w:val="14"/>
                <w:szCs w:val="14"/>
                <w:color w:val="231F20"/>
              </w:rPr>
              <w:t>93,308</w:t>
            </w:r>
          </w:p>
        </w:tc>
        <w:tc>
          <w:tcPr>
            <w:tcW w:w="100" w:type="dxa"/>
            <w:vAlign w:val="bottom"/>
            <w:shd w:val="clear" w:color="auto" w:fill="D0EBF2"/>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620" w:type="dxa"/>
            <w:vAlign w:val="bottom"/>
            <w:gridSpan w:val="2"/>
            <w:shd w:val="clear" w:color="auto" w:fill="FDFDFC"/>
          </w:tcPr>
          <w:p>
            <w:pPr>
              <w:ind w:left="200"/>
              <w:spacing w:after="0"/>
              <w:rPr>
                <w:sz w:val="20"/>
                <w:szCs w:val="20"/>
                <w:color w:val="auto"/>
              </w:rPr>
            </w:pPr>
            <w:r>
              <w:rPr>
                <w:rFonts w:ascii="Times New Roman" w:cs="Times New Roman" w:eastAsia="Times New Roman" w:hAnsi="Times New Roman"/>
                <w:sz w:val="14"/>
                <w:szCs w:val="14"/>
                <w:color w:val="231F20"/>
              </w:rPr>
              <w:t>Common stock issued in settlement of convertible notes</w:t>
            </w:r>
          </w:p>
        </w:tc>
        <w:tc>
          <w:tcPr>
            <w:tcW w:w="860" w:type="dxa"/>
            <w:vAlign w:val="bottom"/>
            <w:shd w:val="clear" w:color="auto" w:fill="FDFDFC"/>
          </w:tcPr>
          <w:p>
            <w:pPr>
              <w:jc w:val="right"/>
              <w:spacing w:after="0"/>
              <w:rPr>
                <w:sz w:val="20"/>
                <w:szCs w:val="20"/>
                <w:color w:val="auto"/>
              </w:rPr>
            </w:pPr>
            <w:r>
              <w:rPr>
                <w:rFonts w:ascii="Times New Roman" w:cs="Times New Roman" w:eastAsia="Times New Roman" w:hAnsi="Times New Roman"/>
                <w:sz w:val="14"/>
                <w:szCs w:val="14"/>
                <w:color w:val="231F20"/>
              </w:rPr>
              <w:t>—</w:t>
            </w:r>
          </w:p>
        </w:tc>
        <w:tc>
          <w:tcPr>
            <w:tcW w:w="100" w:type="dxa"/>
            <w:vAlign w:val="bottom"/>
            <w:shd w:val="clear" w:color="auto" w:fill="FDFDFC"/>
          </w:tcPr>
          <w:p>
            <w:pPr>
              <w:spacing w:after="0"/>
              <w:rPr>
                <w:sz w:val="15"/>
                <w:szCs w:val="15"/>
                <w:color w:val="auto"/>
              </w:rPr>
            </w:pPr>
          </w:p>
        </w:tc>
        <w:tc>
          <w:tcPr>
            <w:tcW w:w="100" w:type="dxa"/>
            <w:vAlign w:val="bottom"/>
            <w:shd w:val="clear" w:color="auto" w:fill="FDFDFC"/>
          </w:tcPr>
          <w:p>
            <w:pPr>
              <w:spacing w:after="0"/>
              <w:rPr>
                <w:sz w:val="15"/>
                <w:szCs w:val="15"/>
                <w:color w:val="auto"/>
              </w:rPr>
            </w:pPr>
          </w:p>
        </w:tc>
        <w:tc>
          <w:tcPr>
            <w:tcW w:w="20" w:type="dxa"/>
            <w:vAlign w:val="bottom"/>
            <w:shd w:val="clear" w:color="auto" w:fill="FDFDFC"/>
          </w:tcPr>
          <w:p>
            <w:pPr>
              <w:spacing w:after="0"/>
              <w:rPr>
                <w:sz w:val="15"/>
                <w:szCs w:val="15"/>
                <w:color w:val="auto"/>
              </w:rPr>
            </w:pPr>
          </w:p>
        </w:tc>
        <w:tc>
          <w:tcPr>
            <w:tcW w:w="20" w:type="dxa"/>
            <w:vAlign w:val="bottom"/>
            <w:shd w:val="clear" w:color="auto" w:fill="FDFDFC"/>
          </w:tcPr>
          <w:p>
            <w:pPr>
              <w:spacing w:after="0"/>
              <w:rPr>
                <w:sz w:val="15"/>
                <w:szCs w:val="15"/>
                <w:color w:val="auto"/>
              </w:rPr>
            </w:pPr>
          </w:p>
        </w:tc>
        <w:tc>
          <w:tcPr>
            <w:tcW w:w="60" w:type="dxa"/>
            <w:vAlign w:val="bottom"/>
            <w:shd w:val="clear" w:color="auto" w:fill="FDFDFC"/>
          </w:tcPr>
          <w:p>
            <w:pPr>
              <w:spacing w:after="0"/>
              <w:rPr>
                <w:sz w:val="15"/>
                <w:szCs w:val="15"/>
                <w:color w:val="auto"/>
              </w:rPr>
            </w:pPr>
          </w:p>
        </w:tc>
        <w:tc>
          <w:tcPr>
            <w:tcW w:w="420" w:type="dxa"/>
            <w:vAlign w:val="bottom"/>
            <w:shd w:val="clear" w:color="auto" w:fill="FDFDFC"/>
          </w:tcPr>
          <w:p>
            <w:pPr>
              <w:jc w:val="right"/>
              <w:spacing w:after="0"/>
              <w:rPr>
                <w:sz w:val="20"/>
                <w:szCs w:val="20"/>
                <w:color w:val="auto"/>
              </w:rPr>
            </w:pPr>
            <w:r>
              <w:rPr>
                <w:rFonts w:ascii="Times New Roman" w:cs="Times New Roman" w:eastAsia="Times New Roman" w:hAnsi="Times New Roman"/>
                <w:sz w:val="14"/>
                <w:szCs w:val="14"/>
                <w:color w:val="231F20"/>
              </w:rPr>
              <w:t>—</w:t>
            </w:r>
          </w:p>
        </w:tc>
        <w:tc>
          <w:tcPr>
            <w:tcW w:w="100" w:type="dxa"/>
            <w:vAlign w:val="bottom"/>
            <w:shd w:val="clear" w:color="auto" w:fill="FDFDFC"/>
          </w:tcPr>
          <w:p>
            <w:pPr>
              <w:spacing w:after="0"/>
              <w:rPr>
                <w:sz w:val="15"/>
                <w:szCs w:val="15"/>
                <w:color w:val="auto"/>
              </w:rPr>
            </w:pPr>
          </w:p>
        </w:tc>
        <w:tc>
          <w:tcPr>
            <w:tcW w:w="20" w:type="dxa"/>
            <w:vAlign w:val="bottom"/>
            <w:shd w:val="clear" w:color="auto" w:fill="FDFDFC"/>
          </w:tcPr>
          <w:p>
            <w:pPr>
              <w:spacing w:after="0"/>
              <w:rPr>
                <w:sz w:val="15"/>
                <w:szCs w:val="15"/>
                <w:color w:val="auto"/>
              </w:rPr>
            </w:pPr>
          </w:p>
        </w:tc>
        <w:tc>
          <w:tcPr>
            <w:tcW w:w="80" w:type="dxa"/>
            <w:vAlign w:val="bottom"/>
            <w:shd w:val="clear" w:color="auto" w:fill="FDFDFC"/>
          </w:tcPr>
          <w:p>
            <w:pPr>
              <w:spacing w:after="0"/>
              <w:rPr>
                <w:sz w:val="15"/>
                <w:szCs w:val="15"/>
                <w:color w:val="auto"/>
              </w:rPr>
            </w:pPr>
          </w:p>
        </w:tc>
        <w:tc>
          <w:tcPr>
            <w:tcW w:w="20" w:type="dxa"/>
            <w:vAlign w:val="bottom"/>
            <w:shd w:val="clear" w:color="auto" w:fill="FDFDFC"/>
          </w:tcPr>
          <w:p>
            <w:pPr>
              <w:spacing w:after="0"/>
              <w:rPr>
                <w:sz w:val="15"/>
                <w:szCs w:val="15"/>
                <w:color w:val="auto"/>
              </w:rPr>
            </w:pPr>
          </w:p>
        </w:tc>
        <w:tc>
          <w:tcPr>
            <w:tcW w:w="20" w:type="dxa"/>
            <w:vAlign w:val="bottom"/>
            <w:shd w:val="clear" w:color="auto" w:fill="FDFDFC"/>
          </w:tcPr>
          <w:p>
            <w:pPr>
              <w:spacing w:after="0"/>
              <w:rPr>
                <w:sz w:val="15"/>
                <w:szCs w:val="15"/>
                <w:color w:val="auto"/>
              </w:rPr>
            </w:pPr>
          </w:p>
        </w:tc>
        <w:tc>
          <w:tcPr>
            <w:tcW w:w="660" w:type="dxa"/>
            <w:vAlign w:val="bottom"/>
            <w:shd w:val="clear" w:color="auto" w:fill="FDFDFC"/>
          </w:tcPr>
          <w:p>
            <w:pPr>
              <w:jc w:val="right"/>
              <w:spacing w:after="0"/>
              <w:rPr>
                <w:sz w:val="20"/>
                <w:szCs w:val="20"/>
                <w:color w:val="auto"/>
              </w:rPr>
            </w:pPr>
            <w:r>
              <w:rPr>
                <w:rFonts w:ascii="Times New Roman" w:cs="Times New Roman" w:eastAsia="Times New Roman" w:hAnsi="Times New Roman"/>
                <w:sz w:val="14"/>
                <w:szCs w:val="14"/>
                <w:color w:val="231F20"/>
              </w:rPr>
              <w:t>—</w:t>
            </w:r>
          </w:p>
        </w:tc>
        <w:tc>
          <w:tcPr>
            <w:tcW w:w="100" w:type="dxa"/>
            <w:vAlign w:val="bottom"/>
            <w:shd w:val="clear" w:color="auto" w:fill="FDFDFC"/>
          </w:tcPr>
          <w:p>
            <w:pPr>
              <w:spacing w:after="0"/>
              <w:rPr>
                <w:sz w:val="15"/>
                <w:szCs w:val="15"/>
                <w:color w:val="auto"/>
              </w:rPr>
            </w:pPr>
          </w:p>
        </w:tc>
        <w:tc>
          <w:tcPr>
            <w:tcW w:w="20" w:type="dxa"/>
            <w:vAlign w:val="bottom"/>
            <w:shd w:val="clear" w:color="auto" w:fill="FDFDFC"/>
          </w:tcPr>
          <w:p>
            <w:pPr>
              <w:spacing w:after="0"/>
              <w:rPr>
                <w:sz w:val="15"/>
                <w:szCs w:val="15"/>
                <w:color w:val="auto"/>
              </w:rPr>
            </w:pPr>
          </w:p>
        </w:tc>
        <w:tc>
          <w:tcPr>
            <w:tcW w:w="80" w:type="dxa"/>
            <w:vAlign w:val="bottom"/>
            <w:shd w:val="clear" w:color="auto" w:fill="FDFDFC"/>
          </w:tcPr>
          <w:p>
            <w:pPr>
              <w:spacing w:after="0"/>
              <w:rPr>
                <w:sz w:val="15"/>
                <w:szCs w:val="15"/>
                <w:color w:val="auto"/>
              </w:rPr>
            </w:pPr>
          </w:p>
        </w:tc>
        <w:tc>
          <w:tcPr>
            <w:tcW w:w="20" w:type="dxa"/>
            <w:vAlign w:val="bottom"/>
            <w:shd w:val="clear" w:color="auto" w:fill="FDFDFC"/>
          </w:tcPr>
          <w:p>
            <w:pPr>
              <w:spacing w:after="0"/>
              <w:rPr>
                <w:sz w:val="15"/>
                <w:szCs w:val="15"/>
                <w:color w:val="auto"/>
              </w:rPr>
            </w:pPr>
          </w:p>
        </w:tc>
        <w:tc>
          <w:tcPr>
            <w:tcW w:w="20" w:type="dxa"/>
            <w:vAlign w:val="bottom"/>
            <w:shd w:val="clear" w:color="auto" w:fill="FDFDFC"/>
          </w:tcPr>
          <w:p>
            <w:pPr>
              <w:spacing w:after="0"/>
              <w:rPr>
                <w:sz w:val="15"/>
                <w:szCs w:val="15"/>
                <w:color w:val="auto"/>
              </w:rPr>
            </w:pPr>
          </w:p>
        </w:tc>
        <w:tc>
          <w:tcPr>
            <w:tcW w:w="60" w:type="dxa"/>
            <w:vAlign w:val="bottom"/>
            <w:shd w:val="clear" w:color="auto" w:fill="FDFDFC"/>
          </w:tcPr>
          <w:p>
            <w:pPr>
              <w:spacing w:after="0"/>
              <w:rPr>
                <w:sz w:val="15"/>
                <w:szCs w:val="15"/>
                <w:color w:val="auto"/>
              </w:rPr>
            </w:pPr>
          </w:p>
        </w:tc>
        <w:tc>
          <w:tcPr>
            <w:tcW w:w="620" w:type="dxa"/>
            <w:vAlign w:val="bottom"/>
            <w:gridSpan w:val="4"/>
            <w:shd w:val="clear" w:color="auto" w:fill="FDFDFC"/>
          </w:tcPr>
          <w:p>
            <w:pPr>
              <w:jc w:val="right"/>
              <w:ind w:right="160"/>
              <w:spacing w:after="0"/>
              <w:rPr>
                <w:sz w:val="20"/>
                <w:szCs w:val="20"/>
                <w:color w:val="auto"/>
              </w:rPr>
            </w:pPr>
            <w:r>
              <w:rPr>
                <w:rFonts w:ascii="Times New Roman" w:cs="Times New Roman" w:eastAsia="Times New Roman" w:hAnsi="Times New Roman"/>
                <w:sz w:val="14"/>
                <w:szCs w:val="14"/>
                <w:color w:val="231F20"/>
              </w:rPr>
              <w:t>—</w:t>
            </w:r>
          </w:p>
        </w:tc>
        <w:tc>
          <w:tcPr>
            <w:tcW w:w="60" w:type="dxa"/>
            <w:vAlign w:val="bottom"/>
            <w:shd w:val="clear" w:color="auto" w:fill="FDFDFC"/>
          </w:tcPr>
          <w:p>
            <w:pPr>
              <w:spacing w:after="0"/>
              <w:rPr>
                <w:sz w:val="15"/>
                <w:szCs w:val="15"/>
                <w:color w:val="auto"/>
              </w:rPr>
            </w:pPr>
          </w:p>
        </w:tc>
        <w:tc>
          <w:tcPr>
            <w:tcW w:w="140" w:type="dxa"/>
            <w:vAlign w:val="bottom"/>
            <w:shd w:val="clear" w:color="auto" w:fill="FDFDFC"/>
          </w:tcPr>
          <w:p>
            <w:pPr>
              <w:spacing w:after="0"/>
              <w:rPr>
                <w:sz w:val="15"/>
                <w:szCs w:val="15"/>
                <w:color w:val="auto"/>
              </w:rPr>
            </w:pPr>
          </w:p>
        </w:tc>
        <w:tc>
          <w:tcPr>
            <w:tcW w:w="1140" w:type="dxa"/>
            <w:vAlign w:val="bottom"/>
            <w:gridSpan w:val="6"/>
            <w:shd w:val="clear" w:color="auto" w:fill="FDFDFC"/>
          </w:tcPr>
          <w:p>
            <w:pPr>
              <w:jc w:val="right"/>
              <w:ind w:right="260"/>
              <w:spacing w:after="0"/>
              <w:rPr>
                <w:sz w:val="20"/>
                <w:szCs w:val="20"/>
                <w:color w:val="auto"/>
              </w:rPr>
            </w:pPr>
            <w:r>
              <w:rPr>
                <w:rFonts w:ascii="Times New Roman" w:cs="Times New Roman" w:eastAsia="Times New Roman" w:hAnsi="Times New Roman"/>
                <w:sz w:val="14"/>
                <w:szCs w:val="14"/>
                <w:color w:val="231F20"/>
              </w:rPr>
              <w:t>—</w:t>
            </w:r>
          </w:p>
        </w:tc>
        <w:tc>
          <w:tcPr>
            <w:tcW w:w="60" w:type="dxa"/>
            <w:vAlign w:val="bottom"/>
            <w:shd w:val="clear" w:color="auto" w:fill="FDFDFC"/>
          </w:tcPr>
          <w:p>
            <w:pPr>
              <w:spacing w:after="0"/>
              <w:rPr>
                <w:sz w:val="15"/>
                <w:szCs w:val="15"/>
                <w:color w:val="auto"/>
              </w:rPr>
            </w:pPr>
          </w:p>
        </w:tc>
        <w:tc>
          <w:tcPr>
            <w:tcW w:w="960" w:type="dxa"/>
            <w:vAlign w:val="bottom"/>
            <w:gridSpan w:val="6"/>
            <w:shd w:val="clear" w:color="auto" w:fill="FDFDFC"/>
          </w:tcPr>
          <w:p>
            <w:pPr>
              <w:jc w:val="right"/>
              <w:ind w:right="260"/>
              <w:spacing w:after="0"/>
              <w:rPr>
                <w:sz w:val="20"/>
                <w:szCs w:val="20"/>
                <w:color w:val="auto"/>
              </w:rPr>
            </w:pPr>
            <w:r>
              <w:rPr>
                <w:rFonts w:ascii="Times New Roman" w:cs="Times New Roman" w:eastAsia="Times New Roman" w:hAnsi="Times New Roman"/>
                <w:sz w:val="14"/>
                <w:szCs w:val="14"/>
                <w:color w:val="231F20"/>
              </w:rPr>
              <w:t>—</w:t>
            </w:r>
          </w:p>
        </w:tc>
        <w:tc>
          <w:tcPr>
            <w:tcW w:w="40" w:type="dxa"/>
            <w:vAlign w:val="bottom"/>
            <w:shd w:val="clear" w:color="auto" w:fill="FDFDFC"/>
          </w:tcPr>
          <w:p>
            <w:pPr>
              <w:spacing w:after="0"/>
              <w:rPr>
                <w:sz w:val="15"/>
                <w:szCs w:val="15"/>
                <w:color w:val="auto"/>
              </w:rPr>
            </w:pPr>
          </w:p>
        </w:tc>
        <w:tc>
          <w:tcPr>
            <w:tcW w:w="820" w:type="dxa"/>
            <w:vAlign w:val="bottom"/>
            <w:gridSpan w:val="2"/>
            <w:shd w:val="clear" w:color="auto" w:fill="FDFDFC"/>
          </w:tcPr>
          <w:p>
            <w:pPr>
              <w:jc w:val="right"/>
              <w:ind w:right="140"/>
              <w:spacing w:after="0"/>
              <w:rPr>
                <w:sz w:val="20"/>
                <w:szCs w:val="20"/>
                <w:color w:val="auto"/>
              </w:rPr>
            </w:pPr>
            <w:r>
              <w:rPr>
                <w:rFonts w:ascii="Times New Roman" w:cs="Times New Roman" w:eastAsia="Times New Roman" w:hAnsi="Times New Roman"/>
                <w:sz w:val="14"/>
                <w:szCs w:val="14"/>
                <w:color w:val="231F20"/>
              </w:rPr>
              <w:t>—</w:t>
            </w:r>
          </w:p>
        </w:tc>
        <w:tc>
          <w:tcPr>
            <w:tcW w:w="0" w:type="dxa"/>
            <w:vAlign w:val="bottom"/>
          </w:tcPr>
          <w:p>
            <w:pPr>
              <w:spacing w:after="0"/>
              <w:rPr>
                <w:sz w:val="1"/>
                <w:szCs w:val="1"/>
                <w:color w:val="auto"/>
              </w:rPr>
            </w:pPr>
          </w:p>
        </w:tc>
      </w:tr>
      <w:tr>
        <w:trPr>
          <w:trHeight w:val="176"/>
        </w:trPr>
        <w:tc>
          <w:tcPr>
            <w:tcW w:w="3620" w:type="dxa"/>
            <w:vAlign w:val="bottom"/>
            <w:gridSpan w:val="2"/>
            <w:shd w:val="clear" w:color="auto" w:fill="D0EBF2"/>
          </w:tcPr>
          <w:p>
            <w:pPr>
              <w:ind w:left="200"/>
              <w:spacing w:after="0"/>
              <w:rPr>
                <w:sz w:val="20"/>
                <w:szCs w:val="20"/>
                <w:color w:val="auto"/>
              </w:rPr>
            </w:pPr>
            <w:r>
              <w:rPr>
                <w:rFonts w:ascii="Times New Roman" w:cs="Times New Roman" w:eastAsia="Times New Roman" w:hAnsi="Times New Roman"/>
                <w:sz w:val="14"/>
                <w:szCs w:val="14"/>
                <w:color w:val="231F20"/>
              </w:rPr>
              <w:t>Purchases of treasury stock</w:t>
            </w:r>
          </w:p>
        </w:tc>
        <w:tc>
          <w:tcPr>
            <w:tcW w:w="860" w:type="dxa"/>
            <w:vAlign w:val="bottom"/>
            <w:shd w:val="clear" w:color="auto" w:fill="D0EBF2"/>
          </w:tcPr>
          <w:p>
            <w:pPr>
              <w:jc w:val="right"/>
              <w:spacing w:after="0"/>
              <w:rPr>
                <w:sz w:val="20"/>
                <w:szCs w:val="20"/>
                <w:color w:val="auto"/>
              </w:rPr>
            </w:pPr>
            <w:r>
              <w:rPr>
                <w:rFonts w:ascii="Times New Roman" w:cs="Times New Roman" w:eastAsia="Times New Roman" w:hAnsi="Times New Roman"/>
                <w:sz w:val="14"/>
                <w:szCs w:val="14"/>
                <w:color w:val="231F20"/>
              </w:rPr>
              <w:t>—</w:t>
            </w:r>
          </w:p>
        </w:tc>
        <w:tc>
          <w:tcPr>
            <w:tcW w:w="100" w:type="dxa"/>
            <w:vAlign w:val="bottom"/>
            <w:shd w:val="clear" w:color="auto" w:fill="D0EBF2"/>
          </w:tcPr>
          <w:p>
            <w:pPr>
              <w:spacing w:after="0"/>
              <w:rPr>
                <w:sz w:val="15"/>
                <w:szCs w:val="15"/>
                <w:color w:val="auto"/>
              </w:rPr>
            </w:pPr>
          </w:p>
        </w:tc>
        <w:tc>
          <w:tcPr>
            <w:tcW w:w="100" w:type="dxa"/>
            <w:vAlign w:val="bottom"/>
            <w:shd w:val="clear" w:color="auto" w:fill="D0EBF2"/>
          </w:tcPr>
          <w:p>
            <w:pPr>
              <w:spacing w:after="0"/>
              <w:rPr>
                <w:sz w:val="15"/>
                <w:szCs w:val="15"/>
                <w:color w:val="auto"/>
              </w:rPr>
            </w:pPr>
          </w:p>
        </w:tc>
        <w:tc>
          <w:tcPr>
            <w:tcW w:w="20" w:type="dxa"/>
            <w:vAlign w:val="bottom"/>
            <w:shd w:val="clear" w:color="auto" w:fill="D0EBF2"/>
          </w:tcPr>
          <w:p>
            <w:pPr>
              <w:spacing w:after="0"/>
              <w:rPr>
                <w:sz w:val="15"/>
                <w:szCs w:val="15"/>
                <w:color w:val="auto"/>
              </w:rPr>
            </w:pPr>
          </w:p>
        </w:tc>
        <w:tc>
          <w:tcPr>
            <w:tcW w:w="20" w:type="dxa"/>
            <w:vAlign w:val="bottom"/>
            <w:shd w:val="clear" w:color="auto" w:fill="D0EBF2"/>
          </w:tcPr>
          <w:p>
            <w:pPr>
              <w:spacing w:after="0"/>
              <w:rPr>
                <w:sz w:val="15"/>
                <w:szCs w:val="15"/>
                <w:color w:val="auto"/>
              </w:rPr>
            </w:pPr>
          </w:p>
        </w:tc>
        <w:tc>
          <w:tcPr>
            <w:tcW w:w="60" w:type="dxa"/>
            <w:vAlign w:val="bottom"/>
            <w:shd w:val="clear" w:color="auto" w:fill="D0EBF2"/>
          </w:tcPr>
          <w:p>
            <w:pPr>
              <w:spacing w:after="0"/>
              <w:rPr>
                <w:sz w:val="15"/>
                <w:szCs w:val="15"/>
                <w:color w:val="auto"/>
              </w:rPr>
            </w:pPr>
          </w:p>
        </w:tc>
        <w:tc>
          <w:tcPr>
            <w:tcW w:w="420" w:type="dxa"/>
            <w:vAlign w:val="bottom"/>
            <w:shd w:val="clear" w:color="auto" w:fill="D0EBF2"/>
          </w:tcPr>
          <w:p>
            <w:pPr>
              <w:jc w:val="right"/>
              <w:spacing w:after="0"/>
              <w:rPr>
                <w:sz w:val="20"/>
                <w:szCs w:val="20"/>
                <w:color w:val="auto"/>
              </w:rPr>
            </w:pPr>
            <w:r>
              <w:rPr>
                <w:rFonts w:ascii="Times New Roman" w:cs="Times New Roman" w:eastAsia="Times New Roman" w:hAnsi="Times New Roman"/>
                <w:sz w:val="14"/>
                <w:szCs w:val="14"/>
                <w:color w:val="231F20"/>
              </w:rPr>
              <w:t>—</w:t>
            </w:r>
          </w:p>
        </w:tc>
        <w:tc>
          <w:tcPr>
            <w:tcW w:w="100" w:type="dxa"/>
            <w:vAlign w:val="bottom"/>
            <w:shd w:val="clear" w:color="auto" w:fill="D0EBF2"/>
          </w:tcPr>
          <w:p>
            <w:pPr>
              <w:spacing w:after="0"/>
              <w:rPr>
                <w:sz w:val="15"/>
                <w:szCs w:val="15"/>
                <w:color w:val="auto"/>
              </w:rPr>
            </w:pPr>
          </w:p>
        </w:tc>
        <w:tc>
          <w:tcPr>
            <w:tcW w:w="20" w:type="dxa"/>
            <w:vAlign w:val="bottom"/>
            <w:shd w:val="clear" w:color="auto" w:fill="D0EBF2"/>
          </w:tcPr>
          <w:p>
            <w:pPr>
              <w:spacing w:after="0"/>
              <w:rPr>
                <w:sz w:val="15"/>
                <w:szCs w:val="15"/>
                <w:color w:val="auto"/>
              </w:rPr>
            </w:pPr>
          </w:p>
        </w:tc>
        <w:tc>
          <w:tcPr>
            <w:tcW w:w="80" w:type="dxa"/>
            <w:vAlign w:val="bottom"/>
            <w:shd w:val="clear" w:color="auto" w:fill="D0EBF2"/>
          </w:tcPr>
          <w:p>
            <w:pPr>
              <w:spacing w:after="0"/>
              <w:rPr>
                <w:sz w:val="15"/>
                <w:szCs w:val="15"/>
                <w:color w:val="auto"/>
              </w:rPr>
            </w:pPr>
          </w:p>
        </w:tc>
        <w:tc>
          <w:tcPr>
            <w:tcW w:w="20" w:type="dxa"/>
            <w:vAlign w:val="bottom"/>
            <w:shd w:val="clear" w:color="auto" w:fill="D0EBF2"/>
          </w:tcPr>
          <w:p>
            <w:pPr>
              <w:spacing w:after="0"/>
              <w:rPr>
                <w:sz w:val="15"/>
                <w:szCs w:val="15"/>
                <w:color w:val="auto"/>
              </w:rPr>
            </w:pPr>
          </w:p>
        </w:tc>
        <w:tc>
          <w:tcPr>
            <w:tcW w:w="20" w:type="dxa"/>
            <w:vAlign w:val="bottom"/>
            <w:shd w:val="clear" w:color="auto" w:fill="D0EBF2"/>
          </w:tcPr>
          <w:p>
            <w:pPr>
              <w:spacing w:after="0"/>
              <w:rPr>
                <w:sz w:val="15"/>
                <w:szCs w:val="15"/>
                <w:color w:val="auto"/>
              </w:rPr>
            </w:pPr>
          </w:p>
        </w:tc>
        <w:tc>
          <w:tcPr>
            <w:tcW w:w="660" w:type="dxa"/>
            <w:vAlign w:val="bottom"/>
            <w:shd w:val="clear" w:color="auto" w:fill="D0EBF2"/>
          </w:tcPr>
          <w:p>
            <w:pPr>
              <w:jc w:val="right"/>
              <w:spacing w:after="0"/>
              <w:rPr>
                <w:sz w:val="20"/>
                <w:szCs w:val="20"/>
                <w:color w:val="auto"/>
              </w:rPr>
            </w:pPr>
            <w:r>
              <w:rPr>
                <w:rFonts w:ascii="Times New Roman" w:cs="Times New Roman" w:eastAsia="Times New Roman" w:hAnsi="Times New Roman"/>
                <w:sz w:val="14"/>
                <w:szCs w:val="14"/>
                <w:color w:val="231F20"/>
              </w:rPr>
              <w:t>—</w:t>
            </w:r>
          </w:p>
        </w:tc>
        <w:tc>
          <w:tcPr>
            <w:tcW w:w="100" w:type="dxa"/>
            <w:vAlign w:val="bottom"/>
            <w:shd w:val="clear" w:color="auto" w:fill="D0EBF2"/>
          </w:tcPr>
          <w:p>
            <w:pPr>
              <w:spacing w:after="0"/>
              <w:rPr>
                <w:sz w:val="15"/>
                <w:szCs w:val="15"/>
                <w:color w:val="auto"/>
              </w:rPr>
            </w:pPr>
          </w:p>
        </w:tc>
        <w:tc>
          <w:tcPr>
            <w:tcW w:w="20" w:type="dxa"/>
            <w:vAlign w:val="bottom"/>
            <w:shd w:val="clear" w:color="auto" w:fill="D0EBF2"/>
          </w:tcPr>
          <w:p>
            <w:pPr>
              <w:spacing w:after="0"/>
              <w:rPr>
                <w:sz w:val="15"/>
                <w:szCs w:val="15"/>
                <w:color w:val="auto"/>
              </w:rPr>
            </w:pPr>
          </w:p>
        </w:tc>
        <w:tc>
          <w:tcPr>
            <w:tcW w:w="80" w:type="dxa"/>
            <w:vAlign w:val="bottom"/>
            <w:shd w:val="clear" w:color="auto" w:fill="D0EBF2"/>
          </w:tcPr>
          <w:p>
            <w:pPr>
              <w:spacing w:after="0"/>
              <w:rPr>
                <w:sz w:val="15"/>
                <w:szCs w:val="15"/>
                <w:color w:val="auto"/>
              </w:rPr>
            </w:pPr>
          </w:p>
        </w:tc>
        <w:tc>
          <w:tcPr>
            <w:tcW w:w="20" w:type="dxa"/>
            <w:vAlign w:val="bottom"/>
            <w:shd w:val="clear" w:color="auto" w:fill="D0EBF2"/>
          </w:tcPr>
          <w:p>
            <w:pPr>
              <w:spacing w:after="0"/>
              <w:rPr>
                <w:sz w:val="15"/>
                <w:szCs w:val="15"/>
                <w:color w:val="auto"/>
              </w:rPr>
            </w:pPr>
          </w:p>
        </w:tc>
        <w:tc>
          <w:tcPr>
            <w:tcW w:w="20" w:type="dxa"/>
            <w:vAlign w:val="bottom"/>
            <w:shd w:val="clear" w:color="auto" w:fill="D0EBF2"/>
          </w:tcPr>
          <w:p>
            <w:pPr>
              <w:spacing w:after="0"/>
              <w:rPr>
                <w:sz w:val="15"/>
                <w:szCs w:val="15"/>
                <w:color w:val="auto"/>
              </w:rPr>
            </w:pPr>
          </w:p>
        </w:tc>
        <w:tc>
          <w:tcPr>
            <w:tcW w:w="60" w:type="dxa"/>
            <w:vAlign w:val="bottom"/>
            <w:shd w:val="clear" w:color="auto" w:fill="D0EBF2"/>
          </w:tcPr>
          <w:p>
            <w:pPr>
              <w:spacing w:after="0"/>
              <w:rPr>
                <w:sz w:val="15"/>
                <w:szCs w:val="15"/>
                <w:color w:val="auto"/>
              </w:rPr>
            </w:pPr>
          </w:p>
        </w:tc>
        <w:tc>
          <w:tcPr>
            <w:tcW w:w="620" w:type="dxa"/>
            <w:vAlign w:val="bottom"/>
            <w:gridSpan w:val="4"/>
            <w:shd w:val="clear" w:color="auto" w:fill="D0EBF2"/>
          </w:tcPr>
          <w:p>
            <w:pPr>
              <w:jc w:val="right"/>
              <w:ind w:right="160"/>
              <w:spacing w:after="0"/>
              <w:rPr>
                <w:sz w:val="20"/>
                <w:szCs w:val="20"/>
                <w:color w:val="auto"/>
              </w:rPr>
            </w:pPr>
            <w:r>
              <w:rPr>
                <w:rFonts w:ascii="Times New Roman" w:cs="Times New Roman" w:eastAsia="Times New Roman" w:hAnsi="Times New Roman"/>
                <w:sz w:val="14"/>
                <w:szCs w:val="14"/>
                <w:color w:val="231F20"/>
              </w:rPr>
              <w:t>—</w:t>
            </w:r>
          </w:p>
        </w:tc>
        <w:tc>
          <w:tcPr>
            <w:tcW w:w="60" w:type="dxa"/>
            <w:vAlign w:val="bottom"/>
            <w:shd w:val="clear" w:color="auto" w:fill="D0EBF2"/>
          </w:tcPr>
          <w:p>
            <w:pPr>
              <w:spacing w:after="0"/>
              <w:rPr>
                <w:sz w:val="15"/>
                <w:szCs w:val="15"/>
                <w:color w:val="auto"/>
              </w:rPr>
            </w:pPr>
          </w:p>
        </w:tc>
        <w:tc>
          <w:tcPr>
            <w:tcW w:w="140" w:type="dxa"/>
            <w:vAlign w:val="bottom"/>
            <w:shd w:val="clear" w:color="auto" w:fill="D0EBF2"/>
          </w:tcPr>
          <w:p>
            <w:pPr>
              <w:spacing w:after="0"/>
              <w:rPr>
                <w:sz w:val="15"/>
                <w:szCs w:val="15"/>
                <w:color w:val="auto"/>
              </w:rPr>
            </w:pPr>
          </w:p>
        </w:tc>
        <w:tc>
          <w:tcPr>
            <w:tcW w:w="1140" w:type="dxa"/>
            <w:vAlign w:val="bottom"/>
            <w:gridSpan w:val="6"/>
            <w:shd w:val="clear" w:color="auto" w:fill="D0EBF2"/>
          </w:tcPr>
          <w:p>
            <w:pPr>
              <w:jc w:val="right"/>
              <w:ind w:right="260"/>
              <w:spacing w:after="0"/>
              <w:rPr>
                <w:sz w:val="20"/>
                <w:szCs w:val="20"/>
                <w:color w:val="auto"/>
              </w:rPr>
            </w:pPr>
            <w:r>
              <w:rPr>
                <w:rFonts w:ascii="Times New Roman" w:cs="Times New Roman" w:eastAsia="Times New Roman" w:hAnsi="Times New Roman"/>
                <w:sz w:val="14"/>
                <w:szCs w:val="14"/>
                <w:color w:val="231F20"/>
              </w:rPr>
              <w:t>—</w:t>
            </w:r>
          </w:p>
        </w:tc>
        <w:tc>
          <w:tcPr>
            <w:tcW w:w="60" w:type="dxa"/>
            <w:vAlign w:val="bottom"/>
            <w:shd w:val="clear" w:color="auto" w:fill="D0EBF2"/>
          </w:tcPr>
          <w:p>
            <w:pPr>
              <w:spacing w:after="0"/>
              <w:rPr>
                <w:sz w:val="15"/>
                <w:szCs w:val="15"/>
                <w:color w:val="auto"/>
              </w:rPr>
            </w:pPr>
          </w:p>
        </w:tc>
        <w:tc>
          <w:tcPr>
            <w:tcW w:w="960" w:type="dxa"/>
            <w:vAlign w:val="bottom"/>
            <w:gridSpan w:val="6"/>
            <w:shd w:val="clear" w:color="auto" w:fill="D0EBF2"/>
          </w:tcPr>
          <w:p>
            <w:pPr>
              <w:jc w:val="right"/>
              <w:ind w:right="260"/>
              <w:spacing w:after="0"/>
              <w:rPr>
                <w:sz w:val="20"/>
                <w:szCs w:val="20"/>
                <w:color w:val="auto"/>
              </w:rPr>
            </w:pPr>
            <w:r>
              <w:rPr>
                <w:rFonts w:ascii="Times New Roman" w:cs="Times New Roman" w:eastAsia="Times New Roman" w:hAnsi="Times New Roman"/>
                <w:sz w:val="14"/>
                <w:szCs w:val="14"/>
                <w:color w:val="231F20"/>
              </w:rPr>
              <w:t>—</w:t>
            </w:r>
          </w:p>
        </w:tc>
        <w:tc>
          <w:tcPr>
            <w:tcW w:w="40" w:type="dxa"/>
            <w:vAlign w:val="bottom"/>
            <w:shd w:val="clear" w:color="auto" w:fill="D0EBF2"/>
          </w:tcPr>
          <w:p>
            <w:pPr>
              <w:spacing w:after="0"/>
              <w:rPr>
                <w:sz w:val="15"/>
                <w:szCs w:val="15"/>
                <w:color w:val="auto"/>
              </w:rPr>
            </w:pPr>
          </w:p>
        </w:tc>
        <w:tc>
          <w:tcPr>
            <w:tcW w:w="820" w:type="dxa"/>
            <w:vAlign w:val="bottom"/>
            <w:gridSpan w:val="2"/>
            <w:shd w:val="clear" w:color="auto" w:fill="D0EBF2"/>
          </w:tcPr>
          <w:p>
            <w:pPr>
              <w:jc w:val="right"/>
              <w:ind w:right="140"/>
              <w:spacing w:after="0"/>
              <w:rPr>
                <w:sz w:val="20"/>
                <w:szCs w:val="20"/>
                <w:color w:val="auto"/>
              </w:rPr>
            </w:pPr>
            <w:r>
              <w:rPr>
                <w:rFonts w:ascii="Times New Roman" w:cs="Times New Roman" w:eastAsia="Times New Roman" w:hAnsi="Times New Roman"/>
                <w:sz w:val="14"/>
                <w:szCs w:val="14"/>
                <w:color w:val="231F20"/>
              </w:rPr>
              <w:t>—</w:t>
            </w:r>
          </w:p>
        </w:tc>
        <w:tc>
          <w:tcPr>
            <w:tcW w:w="0" w:type="dxa"/>
            <w:vAlign w:val="bottom"/>
          </w:tcPr>
          <w:p>
            <w:pPr>
              <w:spacing w:after="0"/>
              <w:rPr>
                <w:sz w:val="1"/>
                <w:szCs w:val="1"/>
                <w:color w:val="auto"/>
              </w:rPr>
            </w:pPr>
          </w:p>
        </w:tc>
      </w:tr>
      <w:tr>
        <w:trPr>
          <w:trHeight w:val="176"/>
        </w:trPr>
        <w:tc>
          <w:tcPr>
            <w:tcW w:w="3620" w:type="dxa"/>
            <w:vAlign w:val="bottom"/>
            <w:gridSpan w:val="2"/>
            <w:shd w:val="clear" w:color="auto" w:fill="FDFDFC"/>
          </w:tcPr>
          <w:p>
            <w:pPr>
              <w:ind w:left="100"/>
              <w:spacing w:after="0"/>
              <w:rPr>
                <w:sz w:val="20"/>
                <w:szCs w:val="20"/>
                <w:color w:val="auto"/>
              </w:rPr>
            </w:pPr>
            <w:r>
              <w:rPr>
                <w:rFonts w:ascii="Times New Roman" w:cs="Times New Roman" w:eastAsia="Times New Roman" w:hAnsi="Times New Roman"/>
                <w:sz w:val="14"/>
                <w:szCs w:val="14"/>
                <w:color w:val="231F20"/>
              </w:rPr>
              <w:t>Dividends to stockholders:</w:t>
            </w:r>
          </w:p>
        </w:tc>
        <w:tc>
          <w:tcPr>
            <w:tcW w:w="860" w:type="dxa"/>
            <w:vAlign w:val="bottom"/>
            <w:shd w:val="clear" w:color="auto" w:fill="FDFDFC"/>
          </w:tcPr>
          <w:p>
            <w:pPr>
              <w:spacing w:after="0"/>
              <w:rPr>
                <w:sz w:val="15"/>
                <w:szCs w:val="15"/>
                <w:color w:val="auto"/>
              </w:rPr>
            </w:pPr>
          </w:p>
        </w:tc>
        <w:tc>
          <w:tcPr>
            <w:tcW w:w="100" w:type="dxa"/>
            <w:vAlign w:val="bottom"/>
            <w:shd w:val="clear" w:color="auto" w:fill="FDFDFC"/>
          </w:tcPr>
          <w:p>
            <w:pPr>
              <w:spacing w:after="0"/>
              <w:rPr>
                <w:sz w:val="15"/>
                <w:szCs w:val="15"/>
                <w:color w:val="auto"/>
              </w:rPr>
            </w:pPr>
          </w:p>
        </w:tc>
        <w:tc>
          <w:tcPr>
            <w:tcW w:w="100" w:type="dxa"/>
            <w:vAlign w:val="bottom"/>
            <w:shd w:val="clear" w:color="auto" w:fill="FDFDFC"/>
          </w:tcPr>
          <w:p>
            <w:pPr>
              <w:spacing w:after="0"/>
              <w:rPr>
                <w:sz w:val="15"/>
                <w:szCs w:val="15"/>
                <w:color w:val="auto"/>
              </w:rPr>
            </w:pPr>
          </w:p>
        </w:tc>
        <w:tc>
          <w:tcPr>
            <w:tcW w:w="20" w:type="dxa"/>
            <w:vAlign w:val="bottom"/>
            <w:shd w:val="clear" w:color="auto" w:fill="FDFDFC"/>
          </w:tcPr>
          <w:p>
            <w:pPr>
              <w:spacing w:after="0"/>
              <w:rPr>
                <w:sz w:val="15"/>
                <w:szCs w:val="15"/>
                <w:color w:val="auto"/>
              </w:rPr>
            </w:pPr>
          </w:p>
        </w:tc>
        <w:tc>
          <w:tcPr>
            <w:tcW w:w="20" w:type="dxa"/>
            <w:vAlign w:val="bottom"/>
            <w:shd w:val="clear" w:color="auto" w:fill="FDFDFC"/>
          </w:tcPr>
          <w:p>
            <w:pPr>
              <w:spacing w:after="0"/>
              <w:rPr>
                <w:sz w:val="15"/>
                <w:szCs w:val="15"/>
                <w:color w:val="auto"/>
              </w:rPr>
            </w:pPr>
          </w:p>
        </w:tc>
        <w:tc>
          <w:tcPr>
            <w:tcW w:w="60" w:type="dxa"/>
            <w:vAlign w:val="bottom"/>
            <w:shd w:val="clear" w:color="auto" w:fill="FDFDFC"/>
          </w:tcPr>
          <w:p>
            <w:pPr>
              <w:spacing w:after="0"/>
              <w:rPr>
                <w:sz w:val="15"/>
                <w:szCs w:val="15"/>
                <w:color w:val="auto"/>
              </w:rPr>
            </w:pPr>
          </w:p>
        </w:tc>
        <w:tc>
          <w:tcPr>
            <w:tcW w:w="420" w:type="dxa"/>
            <w:vAlign w:val="bottom"/>
            <w:shd w:val="clear" w:color="auto" w:fill="FDFDFC"/>
          </w:tcPr>
          <w:p>
            <w:pPr>
              <w:spacing w:after="0"/>
              <w:rPr>
                <w:sz w:val="15"/>
                <w:szCs w:val="15"/>
                <w:color w:val="auto"/>
              </w:rPr>
            </w:pPr>
          </w:p>
        </w:tc>
        <w:tc>
          <w:tcPr>
            <w:tcW w:w="100" w:type="dxa"/>
            <w:vAlign w:val="bottom"/>
            <w:shd w:val="clear" w:color="auto" w:fill="FDFDFC"/>
          </w:tcPr>
          <w:p>
            <w:pPr>
              <w:spacing w:after="0"/>
              <w:rPr>
                <w:sz w:val="15"/>
                <w:szCs w:val="15"/>
                <w:color w:val="auto"/>
              </w:rPr>
            </w:pPr>
          </w:p>
        </w:tc>
        <w:tc>
          <w:tcPr>
            <w:tcW w:w="20" w:type="dxa"/>
            <w:vAlign w:val="bottom"/>
            <w:shd w:val="clear" w:color="auto" w:fill="FDFDFC"/>
          </w:tcPr>
          <w:p>
            <w:pPr>
              <w:spacing w:after="0"/>
              <w:rPr>
                <w:sz w:val="15"/>
                <w:szCs w:val="15"/>
                <w:color w:val="auto"/>
              </w:rPr>
            </w:pPr>
          </w:p>
        </w:tc>
        <w:tc>
          <w:tcPr>
            <w:tcW w:w="80" w:type="dxa"/>
            <w:vAlign w:val="bottom"/>
            <w:shd w:val="clear" w:color="auto" w:fill="FDFDFC"/>
          </w:tcPr>
          <w:p>
            <w:pPr>
              <w:spacing w:after="0"/>
              <w:rPr>
                <w:sz w:val="15"/>
                <w:szCs w:val="15"/>
                <w:color w:val="auto"/>
              </w:rPr>
            </w:pPr>
          </w:p>
        </w:tc>
        <w:tc>
          <w:tcPr>
            <w:tcW w:w="20" w:type="dxa"/>
            <w:vAlign w:val="bottom"/>
            <w:shd w:val="clear" w:color="auto" w:fill="FDFDFC"/>
          </w:tcPr>
          <w:p>
            <w:pPr>
              <w:spacing w:after="0"/>
              <w:rPr>
                <w:sz w:val="15"/>
                <w:szCs w:val="15"/>
                <w:color w:val="auto"/>
              </w:rPr>
            </w:pPr>
          </w:p>
        </w:tc>
        <w:tc>
          <w:tcPr>
            <w:tcW w:w="20" w:type="dxa"/>
            <w:vAlign w:val="bottom"/>
            <w:shd w:val="clear" w:color="auto" w:fill="FDFDFC"/>
          </w:tcPr>
          <w:p>
            <w:pPr>
              <w:spacing w:after="0"/>
              <w:rPr>
                <w:sz w:val="15"/>
                <w:szCs w:val="15"/>
                <w:color w:val="auto"/>
              </w:rPr>
            </w:pPr>
          </w:p>
        </w:tc>
        <w:tc>
          <w:tcPr>
            <w:tcW w:w="660" w:type="dxa"/>
            <w:vAlign w:val="bottom"/>
            <w:shd w:val="clear" w:color="auto" w:fill="FDFDFC"/>
          </w:tcPr>
          <w:p>
            <w:pPr>
              <w:spacing w:after="0"/>
              <w:rPr>
                <w:sz w:val="15"/>
                <w:szCs w:val="15"/>
                <w:color w:val="auto"/>
              </w:rPr>
            </w:pPr>
          </w:p>
        </w:tc>
        <w:tc>
          <w:tcPr>
            <w:tcW w:w="100" w:type="dxa"/>
            <w:vAlign w:val="bottom"/>
            <w:shd w:val="clear" w:color="auto" w:fill="FDFDFC"/>
          </w:tcPr>
          <w:p>
            <w:pPr>
              <w:spacing w:after="0"/>
              <w:rPr>
                <w:sz w:val="15"/>
                <w:szCs w:val="15"/>
                <w:color w:val="auto"/>
              </w:rPr>
            </w:pPr>
          </w:p>
        </w:tc>
        <w:tc>
          <w:tcPr>
            <w:tcW w:w="20" w:type="dxa"/>
            <w:vAlign w:val="bottom"/>
            <w:shd w:val="clear" w:color="auto" w:fill="FDFDFC"/>
          </w:tcPr>
          <w:p>
            <w:pPr>
              <w:spacing w:after="0"/>
              <w:rPr>
                <w:sz w:val="15"/>
                <w:szCs w:val="15"/>
                <w:color w:val="auto"/>
              </w:rPr>
            </w:pPr>
          </w:p>
        </w:tc>
        <w:tc>
          <w:tcPr>
            <w:tcW w:w="80" w:type="dxa"/>
            <w:vAlign w:val="bottom"/>
            <w:shd w:val="clear" w:color="auto" w:fill="FDFDFC"/>
          </w:tcPr>
          <w:p>
            <w:pPr>
              <w:spacing w:after="0"/>
              <w:rPr>
                <w:sz w:val="15"/>
                <w:szCs w:val="15"/>
                <w:color w:val="auto"/>
              </w:rPr>
            </w:pPr>
          </w:p>
        </w:tc>
        <w:tc>
          <w:tcPr>
            <w:tcW w:w="20" w:type="dxa"/>
            <w:vAlign w:val="bottom"/>
            <w:shd w:val="clear" w:color="auto" w:fill="FDFDFC"/>
          </w:tcPr>
          <w:p>
            <w:pPr>
              <w:spacing w:after="0"/>
              <w:rPr>
                <w:sz w:val="15"/>
                <w:szCs w:val="15"/>
                <w:color w:val="auto"/>
              </w:rPr>
            </w:pPr>
          </w:p>
        </w:tc>
        <w:tc>
          <w:tcPr>
            <w:tcW w:w="20" w:type="dxa"/>
            <w:vAlign w:val="bottom"/>
            <w:shd w:val="clear" w:color="auto" w:fill="FDFDFC"/>
          </w:tcPr>
          <w:p>
            <w:pPr>
              <w:spacing w:after="0"/>
              <w:rPr>
                <w:sz w:val="15"/>
                <w:szCs w:val="15"/>
                <w:color w:val="auto"/>
              </w:rPr>
            </w:pPr>
          </w:p>
        </w:tc>
        <w:tc>
          <w:tcPr>
            <w:tcW w:w="60" w:type="dxa"/>
            <w:vAlign w:val="bottom"/>
            <w:shd w:val="clear" w:color="auto" w:fill="FDFDFC"/>
          </w:tcPr>
          <w:p>
            <w:pPr>
              <w:spacing w:after="0"/>
              <w:rPr>
                <w:sz w:val="15"/>
                <w:szCs w:val="15"/>
                <w:color w:val="auto"/>
              </w:rPr>
            </w:pPr>
          </w:p>
        </w:tc>
        <w:tc>
          <w:tcPr>
            <w:tcW w:w="480" w:type="dxa"/>
            <w:vAlign w:val="bottom"/>
            <w:shd w:val="clear" w:color="auto" w:fill="FDFDFC"/>
          </w:tcPr>
          <w:p>
            <w:pPr>
              <w:spacing w:after="0"/>
              <w:rPr>
                <w:sz w:val="15"/>
                <w:szCs w:val="15"/>
                <w:color w:val="auto"/>
              </w:rPr>
            </w:pPr>
          </w:p>
        </w:tc>
        <w:tc>
          <w:tcPr>
            <w:tcW w:w="100" w:type="dxa"/>
            <w:vAlign w:val="bottom"/>
            <w:shd w:val="clear" w:color="auto" w:fill="FDFDFC"/>
          </w:tcPr>
          <w:p>
            <w:pPr>
              <w:spacing w:after="0"/>
              <w:rPr>
                <w:sz w:val="15"/>
                <w:szCs w:val="15"/>
                <w:color w:val="auto"/>
              </w:rPr>
            </w:pPr>
          </w:p>
        </w:tc>
        <w:tc>
          <w:tcPr>
            <w:tcW w:w="20" w:type="dxa"/>
            <w:vAlign w:val="bottom"/>
            <w:shd w:val="clear" w:color="auto" w:fill="FDFDFC"/>
          </w:tcPr>
          <w:p>
            <w:pPr>
              <w:spacing w:after="0"/>
              <w:rPr>
                <w:sz w:val="15"/>
                <w:szCs w:val="15"/>
                <w:color w:val="auto"/>
              </w:rPr>
            </w:pPr>
          </w:p>
        </w:tc>
        <w:tc>
          <w:tcPr>
            <w:tcW w:w="20" w:type="dxa"/>
            <w:vAlign w:val="bottom"/>
            <w:shd w:val="clear" w:color="auto" w:fill="FDFDFC"/>
          </w:tcPr>
          <w:p>
            <w:pPr>
              <w:spacing w:after="0"/>
              <w:rPr>
                <w:sz w:val="15"/>
                <w:szCs w:val="15"/>
                <w:color w:val="auto"/>
              </w:rPr>
            </w:pPr>
          </w:p>
        </w:tc>
        <w:tc>
          <w:tcPr>
            <w:tcW w:w="60" w:type="dxa"/>
            <w:vAlign w:val="bottom"/>
            <w:shd w:val="clear" w:color="auto" w:fill="FDFDFC"/>
          </w:tcPr>
          <w:p>
            <w:pPr>
              <w:spacing w:after="0"/>
              <w:rPr>
                <w:sz w:val="15"/>
                <w:szCs w:val="15"/>
                <w:color w:val="auto"/>
              </w:rPr>
            </w:pPr>
          </w:p>
        </w:tc>
        <w:tc>
          <w:tcPr>
            <w:tcW w:w="140" w:type="dxa"/>
            <w:vAlign w:val="bottom"/>
            <w:shd w:val="clear" w:color="auto" w:fill="FDFDFC"/>
          </w:tcPr>
          <w:p>
            <w:pPr>
              <w:spacing w:after="0"/>
              <w:rPr>
                <w:sz w:val="15"/>
                <w:szCs w:val="15"/>
                <w:color w:val="auto"/>
              </w:rPr>
            </w:pPr>
          </w:p>
        </w:tc>
        <w:tc>
          <w:tcPr>
            <w:tcW w:w="900" w:type="dxa"/>
            <w:vAlign w:val="bottom"/>
            <w:shd w:val="clear" w:color="auto" w:fill="FDFDFC"/>
          </w:tcPr>
          <w:p>
            <w:pPr>
              <w:spacing w:after="0"/>
              <w:rPr>
                <w:sz w:val="15"/>
                <w:szCs w:val="15"/>
                <w:color w:val="auto"/>
              </w:rPr>
            </w:pPr>
          </w:p>
        </w:tc>
        <w:tc>
          <w:tcPr>
            <w:tcW w:w="100" w:type="dxa"/>
            <w:vAlign w:val="bottom"/>
            <w:shd w:val="clear" w:color="auto" w:fill="FDFDFC"/>
          </w:tcPr>
          <w:p>
            <w:pPr>
              <w:spacing w:after="0"/>
              <w:rPr>
                <w:sz w:val="15"/>
                <w:szCs w:val="15"/>
                <w:color w:val="auto"/>
              </w:rPr>
            </w:pPr>
          </w:p>
        </w:tc>
        <w:tc>
          <w:tcPr>
            <w:tcW w:w="20" w:type="dxa"/>
            <w:vAlign w:val="bottom"/>
            <w:shd w:val="clear" w:color="auto" w:fill="FDFDFC"/>
          </w:tcPr>
          <w:p>
            <w:pPr>
              <w:spacing w:after="0"/>
              <w:rPr>
                <w:sz w:val="15"/>
                <w:szCs w:val="15"/>
                <w:color w:val="auto"/>
              </w:rPr>
            </w:pPr>
          </w:p>
        </w:tc>
        <w:tc>
          <w:tcPr>
            <w:tcW w:w="80" w:type="dxa"/>
            <w:vAlign w:val="bottom"/>
            <w:shd w:val="clear" w:color="auto" w:fill="FDFDFC"/>
          </w:tcPr>
          <w:p>
            <w:pPr>
              <w:spacing w:after="0"/>
              <w:rPr>
                <w:sz w:val="15"/>
                <w:szCs w:val="15"/>
                <w:color w:val="auto"/>
              </w:rPr>
            </w:pPr>
          </w:p>
        </w:tc>
        <w:tc>
          <w:tcPr>
            <w:tcW w:w="20" w:type="dxa"/>
            <w:vAlign w:val="bottom"/>
            <w:shd w:val="clear" w:color="auto" w:fill="FDFDFC"/>
          </w:tcPr>
          <w:p>
            <w:pPr>
              <w:spacing w:after="0"/>
              <w:rPr>
                <w:sz w:val="15"/>
                <w:szCs w:val="15"/>
                <w:color w:val="auto"/>
              </w:rPr>
            </w:pPr>
          </w:p>
        </w:tc>
        <w:tc>
          <w:tcPr>
            <w:tcW w:w="20" w:type="dxa"/>
            <w:vAlign w:val="bottom"/>
            <w:shd w:val="clear" w:color="auto" w:fill="FDFDFC"/>
          </w:tcPr>
          <w:p>
            <w:pPr>
              <w:spacing w:after="0"/>
              <w:rPr>
                <w:sz w:val="15"/>
                <w:szCs w:val="15"/>
                <w:color w:val="auto"/>
              </w:rPr>
            </w:pPr>
          </w:p>
        </w:tc>
        <w:tc>
          <w:tcPr>
            <w:tcW w:w="60" w:type="dxa"/>
            <w:vAlign w:val="bottom"/>
            <w:shd w:val="clear" w:color="auto" w:fill="FDFDFC"/>
          </w:tcPr>
          <w:p>
            <w:pPr>
              <w:spacing w:after="0"/>
              <w:rPr>
                <w:sz w:val="15"/>
                <w:szCs w:val="15"/>
                <w:color w:val="auto"/>
              </w:rPr>
            </w:pPr>
          </w:p>
        </w:tc>
        <w:tc>
          <w:tcPr>
            <w:tcW w:w="720" w:type="dxa"/>
            <w:vAlign w:val="bottom"/>
            <w:shd w:val="clear" w:color="auto" w:fill="FDFDFC"/>
          </w:tcPr>
          <w:p>
            <w:pPr>
              <w:spacing w:after="0"/>
              <w:rPr>
                <w:sz w:val="15"/>
                <w:szCs w:val="15"/>
                <w:color w:val="auto"/>
              </w:rPr>
            </w:pPr>
          </w:p>
        </w:tc>
        <w:tc>
          <w:tcPr>
            <w:tcW w:w="100" w:type="dxa"/>
            <w:vAlign w:val="bottom"/>
            <w:shd w:val="clear" w:color="auto" w:fill="FDFDFC"/>
          </w:tcPr>
          <w:p>
            <w:pPr>
              <w:spacing w:after="0"/>
              <w:rPr>
                <w:sz w:val="15"/>
                <w:szCs w:val="15"/>
                <w:color w:val="auto"/>
              </w:rPr>
            </w:pPr>
          </w:p>
        </w:tc>
        <w:tc>
          <w:tcPr>
            <w:tcW w:w="20" w:type="dxa"/>
            <w:vAlign w:val="bottom"/>
            <w:shd w:val="clear" w:color="auto" w:fill="FDFDFC"/>
          </w:tcPr>
          <w:p>
            <w:pPr>
              <w:spacing w:after="0"/>
              <w:rPr>
                <w:sz w:val="15"/>
                <w:szCs w:val="15"/>
                <w:color w:val="auto"/>
              </w:rPr>
            </w:pPr>
          </w:p>
        </w:tc>
        <w:tc>
          <w:tcPr>
            <w:tcW w:w="80" w:type="dxa"/>
            <w:vAlign w:val="bottom"/>
            <w:shd w:val="clear" w:color="auto" w:fill="FDFDFC"/>
          </w:tcPr>
          <w:p>
            <w:pPr>
              <w:spacing w:after="0"/>
              <w:rPr>
                <w:sz w:val="15"/>
                <w:szCs w:val="15"/>
                <w:color w:val="auto"/>
              </w:rPr>
            </w:pPr>
          </w:p>
        </w:tc>
        <w:tc>
          <w:tcPr>
            <w:tcW w:w="20" w:type="dxa"/>
            <w:vAlign w:val="bottom"/>
            <w:shd w:val="clear" w:color="auto" w:fill="FDFDFC"/>
          </w:tcPr>
          <w:p>
            <w:pPr>
              <w:spacing w:after="0"/>
              <w:rPr>
                <w:sz w:val="15"/>
                <w:szCs w:val="15"/>
                <w:color w:val="auto"/>
              </w:rPr>
            </w:pPr>
          </w:p>
        </w:tc>
        <w:tc>
          <w:tcPr>
            <w:tcW w:w="20" w:type="dxa"/>
            <w:vAlign w:val="bottom"/>
            <w:shd w:val="clear" w:color="auto" w:fill="FDFDFC"/>
          </w:tcPr>
          <w:p>
            <w:pPr>
              <w:spacing w:after="0"/>
              <w:rPr>
                <w:sz w:val="15"/>
                <w:szCs w:val="15"/>
                <w:color w:val="auto"/>
              </w:rPr>
            </w:pPr>
          </w:p>
        </w:tc>
        <w:tc>
          <w:tcPr>
            <w:tcW w:w="40" w:type="dxa"/>
            <w:vAlign w:val="bottom"/>
            <w:shd w:val="clear" w:color="auto" w:fill="FDFDFC"/>
          </w:tcPr>
          <w:p>
            <w:pPr>
              <w:spacing w:after="0"/>
              <w:rPr>
                <w:sz w:val="15"/>
                <w:szCs w:val="15"/>
                <w:color w:val="auto"/>
              </w:rPr>
            </w:pPr>
          </w:p>
        </w:tc>
        <w:tc>
          <w:tcPr>
            <w:tcW w:w="720" w:type="dxa"/>
            <w:vAlign w:val="bottom"/>
            <w:shd w:val="clear" w:color="auto" w:fill="FDFDFC"/>
          </w:tcPr>
          <w:p>
            <w:pPr>
              <w:spacing w:after="0"/>
              <w:rPr>
                <w:sz w:val="15"/>
                <w:szCs w:val="15"/>
                <w:color w:val="auto"/>
              </w:rPr>
            </w:pPr>
          </w:p>
        </w:tc>
        <w:tc>
          <w:tcPr>
            <w:tcW w:w="100" w:type="dxa"/>
            <w:vAlign w:val="bottom"/>
            <w:shd w:val="clear" w:color="auto" w:fill="FDFDFC"/>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3620" w:type="dxa"/>
            <w:vAlign w:val="bottom"/>
            <w:gridSpan w:val="2"/>
            <w:shd w:val="clear" w:color="auto" w:fill="D0EBF2"/>
          </w:tcPr>
          <w:p>
            <w:pPr>
              <w:ind w:left="200"/>
              <w:spacing w:after="0"/>
              <w:rPr>
                <w:sz w:val="20"/>
                <w:szCs w:val="20"/>
                <w:color w:val="auto"/>
              </w:rPr>
            </w:pPr>
            <w:r>
              <w:rPr>
                <w:rFonts w:ascii="Times New Roman" w:cs="Times New Roman" w:eastAsia="Times New Roman" w:hAnsi="Times New Roman"/>
                <w:sz w:val="14"/>
                <w:szCs w:val="14"/>
                <w:color w:val="231F20"/>
              </w:rPr>
              <w:t>Stock issued in connection with dividend reinvestment</w:t>
            </w:r>
          </w:p>
        </w:tc>
        <w:tc>
          <w:tcPr>
            <w:tcW w:w="860" w:type="dxa"/>
            <w:vAlign w:val="bottom"/>
            <w:shd w:val="clear" w:color="auto" w:fill="D0EBF2"/>
          </w:tcPr>
          <w:p>
            <w:pPr>
              <w:spacing w:after="0"/>
              <w:rPr>
                <w:sz w:val="14"/>
                <w:szCs w:val="14"/>
                <w:color w:val="auto"/>
              </w:rPr>
            </w:pPr>
          </w:p>
        </w:tc>
        <w:tc>
          <w:tcPr>
            <w:tcW w:w="100" w:type="dxa"/>
            <w:vAlign w:val="bottom"/>
            <w:shd w:val="clear" w:color="auto" w:fill="D0EBF2"/>
          </w:tcPr>
          <w:p>
            <w:pPr>
              <w:spacing w:after="0"/>
              <w:rPr>
                <w:sz w:val="14"/>
                <w:szCs w:val="14"/>
                <w:color w:val="auto"/>
              </w:rPr>
            </w:pPr>
          </w:p>
        </w:tc>
        <w:tc>
          <w:tcPr>
            <w:tcW w:w="100" w:type="dxa"/>
            <w:vAlign w:val="bottom"/>
            <w:shd w:val="clear" w:color="auto" w:fill="D0EBF2"/>
          </w:tcPr>
          <w:p>
            <w:pPr>
              <w:spacing w:after="0"/>
              <w:rPr>
                <w:sz w:val="14"/>
                <w:szCs w:val="14"/>
                <w:color w:val="auto"/>
              </w:rPr>
            </w:pPr>
          </w:p>
        </w:tc>
        <w:tc>
          <w:tcPr>
            <w:tcW w:w="20" w:type="dxa"/>
            <w:vAlign w:val="bottom"/>
            <w:shd w:val="clear" w:color="auto" w:fill="D0EBF2"/>
          </w:tcPr>
          <w:p>
            <w:pPr>
              <w:spacing w:after="0"/>
              <w:rPr>
                <w:sz w:val="14"/>
                <w:szCs w:val="14"/>
                <w:color w:val="auto"/>
              </w:rPr>
            </w:pPr>
          </w:p>
        </w:tc>
        <w:tc>
          <w:tcPr>
            <w:tcW w:w="20" w:type="dxa"/>
            <w:vAlign w:val="bottom"/>
            <w:shd w:val="clear" w:color="auto" w:fill="D0EBF2"/>
          </w:tcPr>
          <w:p>
            <w:pPr>
              <w:spacing w:after="0"/>
              <w:rPr>
                <w:sz w:val="14"/>
                <w:szCs w:val="14"/>
                <w:color w:val="auto"/>
              </w:rPr>
            </w:pPr>
          </w:p>
        </w:tc>
        <w:tc>
          <w:tcPr>
            <w:tcW w:w="60" w:type="dxa"/>
            <w:vAlign w:val="bottom"/>
            <w:shd w:val="clear" w:color="auto" w:fill="D0EBF2"/>
          </w:tcPr>
          <w:p>
            <w:pPr>
              <w:spacing w:after="0"/>
              <w:rPr>
                <w:sz w:val="14"/>
                <w:szCs w:val="14"/>
                <w:color w:val="auto"/>
              </w:rPr>
            </w:pPr>
          </w:p>
        </w:tc>
        <w:tc>
          <w:tcPr>
            <w:tcW w:w="420" w:type="dxa"/>
            <w:vAlign w:val="bottom"/>
            <w:shd w:val="clear" w:color="auto" w:fill="D0EBF2"/>
          </w:tcPr>
          <w:p>
            <w:pPr>
              <w:spacing w:after="0"/>
              <w:rPr>
                <w:sz w:val="14"/>
                <w:szCs w:val="14"/>
                <w:color w:val="auto"/>
              </w:rPr>
            </w:pPr>
          </w:p>
        </w:tc>
        <w:tc>
          <w:tcPr>
            <w:tcW w:w="100" w:type="dxa"/>
            <w:vAlign w:val="bottom"/>
            <w:shd w:val="clear" w:color="auto" w:fill="D0EBF2"/>
          </w:tcPr>
          <w:p>
            <w:pPr>
              <w:spacing w:after="0"/>
              <w:rPr>
                <w:sz w:val="14"/>
                <w:szCs w:val="14"/>
                <w:color w:val="auto"/>
              </w:rPr>
            </w:pPr>
          </w:p>
        </w:tc>
        <w:tc>
          <w:tcPr>
            <w:tcW w:w="20" w:type="dxa"/>
            <w:vAlign w:val="bottom"/>
            <w:shd w:val="clear" w:color="auto" w:fill="D0EBF2"/>
          </w:tcPr>
          <w:p>
            <w:pPr>
              <w:spacing w:after="0"/>
              <w:rPr>
                <w:sz w:val="14"/>
                <w:szCs w:val="14"/>
                <w:color w:val="auto"/>
              </w:rPr>
            </w:pPr>
          </w:p>
        </w:tc>
        <w:tc>
          <w:tcPr>
            <w:tcW w:w="80" w:type="dxa"/>
            <w:vAlign w:val="bottom"/>
            <w:shd w:val="clear" w:color="auto" w:fill="D0EBF2"/>
          </w:tcPr>
          <w:p>
            <w:pPr>
              <w:spacing w:after="0"/>
              <w:rPr>
                <w:sz w:val="14"/>
                <w:szCs w:val="14"/>
                <w:color w:val="auto"/>
              </w:rPr>
            </w:pPr>
          </w:p>
        </w:tc>
        <w:tc>
          <w:tcPr>
            <w:tcW w:w="20" w:type="dxa"/>
            <w:vAlign w:val="bottom"/>
            <w:shd w:val="clear" w:color="auto" w:fill="D0EBF2"/>
          </w:tcPr>
          <w:p>
            <w:pPr>
              <w:spacing w:after="0"/>
              <w:rPr>
                <w:sz w:val="14"/>
                <w:szCs w:val="14"/>
                <w:color w:val="auto"/>
              </w:rPr>
            </w:pPr>
          </w:p>
        </w:tc>
        <w:tc>
          <w:tcPr>
            <w:tcW w:w="20" w:type="dxa"/>
            <w:vAlign w:val="bottom"/>
            <w:shd w:val="clear" w:color="auto" w:fill="D0EBF2"/>
          </w:tcPr>
          <w:p>
            <w:pPr>
              <w:spacing w:after="0"/>
              <w:rPr>
                <w:sz w:val="14"/>
                <w:szCs w:val="14"/>
                <w:color w:val="auto"/>
              </w:rPr>
            </w:pPr>
          </w:p>
        </w:tc>
        <w:tc>
          <w:tcPr>
            <w:tcW w:w="660" w:type="dxa"/>
            <w:vAlign w:val="bottom"/>
            <w:shd w:val="clear" w:color="auto" w:fill="D0EBF2"/>
          </w:tcPr>
          <w:p>
            <w:pPr>
              <w:spacing w:after="0"/>
              <w:rPr>
                <w:sz w:val="14"/>
                <w:szCs w:val="14"/>
                <w:color w:val="auto"/>
              </w:rPr>
            </w:pPr>
          </w:p>
        </w:tc>
        <w:tc>
          <w:tcPr>
            <w:tcW w:w="100" w:type="dxa"/>
            <w:vAlign w:val="bottom"/>
            <w:shd w:val="clear" w:color="auto" w:fill="D0EBF2"/>
          </w:tcPr>
          <w:p>
            <w:pPr>
              <w:spacing w:after="0"/>
              <w:rPr>
                <w:sz w:val="14"/>
                <w:szCs w:val="14"/>
                <w:color w:val="auto"/>
              </w:rPr>
            </w:pPr>
          </w:p>
        </w:tc>
        <w:tc>
          <w:tcPr>
            <w:tcW w:w="20" w:type="dxa"/>
            <w:vAlign w:val="bottom"/>
            <w:shd w:val="clear" w:color="auto" w:fill="D0EBF2"/>
          </w:tcPr>
          <w:p>
            <w:pPr>
              <w:spacing w:after="0"/>
              <w:rPr>
                <w:sz w:val="14"/>
                <w:szCs w:val="14"/>
                <w:color w:val="auto"/>
              </w:rPr>
            </w:pPr>
          </w:p>
        </w:tc>
        <w:tc>
          <w:tcPr>
            <w:tcW w:w="80" w:type="dxa"/>
            <w:vAlign w:val="bottom"/>
            <w:shd w:val="clear" w:color="auto" w:fill="D0EBF2"/>
          </w:tcPr>
          <w:p>
            <w:pPr>
              <w:spacing w:after="0"/>
              <w:rPr>
                <w:sz w:val="14"/>
                <w:szCs w:val="14"/>
                <w:color w:val="auto"/>
              </w:rPr>
            </w:pPr>
          </w:p>
        </w:tc>
        <w:tc>
          <w:tcPr>
            <w:tcW w:w="20" w:type="dxa"/>
            <w:vAlign w:val="bottom"/>
            <w:shd w:val="clear" w:color="auto" w:fill="D0EBF2"/>
          </w:tcPr>
          <w:p>
            <w:pPr>
              <w:spacing w:after="0"/>
              <w:rPr>
                <w:sz w:val="14"/>
                <w:szCs w:val="14"/>
                <w:color w:val="auto"/>
              </w:rPr>
            </w:pPr>
          </w:p>
        </w:tc>
        <w:tc>
          <w:tcPr>
            <w:tcW w:w="20" w:type="dxa"/>
            <w:vAlign w:val="bottom"/>
            <w:shd w:val="clear" w:color="auto" w:fill="D0EBF2"/>
          </w:tcPr>
          <w:p>
            <w:pPr>
              <w:spacing w:after="0"/>
              <w:rPr>
                <w:sz w:val="14"/>
                <w:szCs w:val="14"/>
                <w:color w:val="auto"/>
              </w:rPr>
            </w:pPr>
          </w:p>
        </w:tc>
        <w:tc>
          <w:tcPr>
            <w:tcW w:w="60" w:type="dxa"/>
            <w:vAlign w:val="bottom"/>
            <w:shd w:val="clear" w:color="auto" w:fill="D0EBF2"/>
          </w:tcPr>
          <w:p>
            <w:pPr>
              <w:spacing w:after="0"/>
              <w:rPr>
                <w:sz w:val="14"/>
                <w:szCs w:val="14"/>
                <w:color w:val="auto"/>
              </w:rPr>
            </w:pPr>
          </w:p>
        </w:tc>
        <w:tc>
          <w:tcPr>
            <w:tcW w:w="480" w:type="dxa"/>
            <w:vAlign w:val="bottom"/>
            <w:shd w:val="clear" w:color="auto" w:fill="D0EBF2"/>
          </w:tcPr>
          <w:p>
            <w:pPr>
              <w:spacing w:after="0"/>
              <w:rPr>
                <w:sz w:val="14"/>
                <w:szCs w:val="14"/>
                <w:color w:val="auto"/>
              </w:rPr>
            </w:pPr>
          </w:p>
        </w:tc>
        <w:tc>
          <w:tcPr>
            <w:tcW w:w="100" w:type="dxa"/>
            <w:vAlign w:val="bottom"/>
            <w:shd w:val="clear" w:color="auto" w:fill="D0EBF2"/>
          </w:tcPr>
          <w:p>
            <w:pPr>
              <w:spacing w:after="0"/>
              <w:rPr>
                <w:sz w:val="14"/>
                <w:szCs w:val="14"/>
                <w:color w:val="auto"/>
              </w:rPr>
            </w:pPr>
          </w:p>
        </w:tc>
        <w:tc>
          <w:tcPr>
            <w:tcW w:w="20" w:type="dxa"/>
            <w:vAlign w:val="bottom"/>
            <w:shd w:val="clear" w:color="auto" w:fill="D0EBF2"/>
          </w:tcPr>
          <w:p>
            <w:pPr>
              <w:spacing w:after="0"/>
              <w:rPr>
                <w:sz w:val="14"/>
                <w:szCs w:val="14"/>
                <w:color w:val="auto"/>
              </w:rPr>
            </w:pPr>
          </w:p>
        </w:tc>
        <w:tc>
          <w:tcPr>
            <w:tcW w:w="20" w:type="dxa"/>
            <w:vAlign w:val="bottom"/>
            <w:shd w:val="clear" w:color="auto" w:fill="D0EBF2"/>
          </w:tcPr>
          <w:p>
            <w:pPr>
              <w:spacing w:after="0"/>
              <w:rPr>
                <w:sz w:val="14"/>
                <w:szCs w:val="14"/>
                <w:color w:val="auto"/>
              </w:rPr>
            </w:pPr>
          </w:p>
        </w:tc>
        <w:tc>
          <w:tcPr>
            <w:tcW w:w="60" w:type="dxa"/>
            <w:vAlign w:val="bottom"/>
            <w:shd w:val="clear" w:color="auto" w:fill="D0EBF2"/>
          </w:tcPr>
          <w:p>
            <w:pPr>
              <w:spacing w:after="0"/>
              <w:rPr>
                <w:sz w:val="14"/>
                <w:szCs w:val="14"/>
                <w:color w:val="auto"/>
              </w:rPr>
            </w:pPr>
          </w:p>
        </w:tc>
        <w:tc>
          <w:tcPr>
            <w:tcW w:w="140" w:type="dxa"/>
            <w:vAlign w:val="bottom"/>
            <w:shd w:val="clear" w:color="auto" w:fill="D0EBF2"/>
          </w:tcPr>
          <w:p>
            <w:pPr>
              <w:spacing w:after="0"/>
              <w:rPr>
                <w:sz w:val="14"/>
                <w:szCs w:val="14"/>
                <w:color w:val="auto"/>
              </w:rPr>
            </w:pPr>
          </w:p>
        </w:tc>
        <w:tc>
          <w:tcPr>
            <w:tcW w:w="900" w:type="dxa"/>
            <w:vAlign w:val="bottom"/>
            <w:shd w:val="clear" w:color="auto" w:fill="D0EBF2"/>
          </w:tcPr>
          <w:p>
            <w:pPr>
              <w:spacing w:after="0"/>
              <w:rPr>
                <w:sz w:val="14"/>
                <w:szCs w:val="14"/>
                <w:color w:val="auto"/>
              </w:rPr>
            </w:pPr>
          </w:p>
        </w:tc>
        <w:tc>
          <w:tcPr>
            <w:tcW w:w="100" w:type="dxa"/>
            <w:vAlign w:val="bottom"/>
            <w:shd w:val="clear" w:color="auto" w:fill="D0EBF2"/>
          </w:tcPr>
          <w:p>
            <w:pPr>
              <w:spacing w:after="0"/>
              <w:rPr>
                <w:sz w:val="14"/>
                <w:szCs w:val="14"/>
                <w:color w:val="auto"/>
              </w:rPr>
            </w:pPr>
          </w:p>
        </w:tc>
        <w:tc>
          <w:tcPr>
            <w:tcW w:w="20" w:type="dxa"/>
            <w:vAlign w:val="bottom"/>
            <w:shd w:val="clear" w:color="auto" w:fill="D0EBF2"/>
          </w:tcPr>
          <w:p>
            <w:pPr>
              <w:spacing w:after="0"/>
              <w:rPr>
                <w:sz w:val="14"/>
                <w:szCs w:val="14"/>
                <w:color w:val="auto"/>
              </w:rPr>
            </w:pPr>
          </w:p>
        </w:tc>
        <w:tc>
          <w:tcPr>
            <w:tcW w:w="80" w:type="dxa"/>
            <w:vAlign w:val="bottom"/>
            <w:shd w:val="clear" w:color="auto" w:fill="D0EBF2"/>
          </w:tcPr>
          <w:p>
            <w:pPr>
              <w:spacing w:after="0"/>
              <w:rPr>
                <w:sz w:val="14"/>
                <w:szCs w:val="14"/>
                <w:color w:val="auto"/>
              </w:rPr>
            </w:pPr>
          </w:p>
        </w:tc>
        <w:tc>
          <w:tcPr>
            <w:tcW w:w="20" w:type="dxa"/>
            <w:vAlign w:val="bottom"/>
            <w:shd w:val="clear" w:color="auto" w:fill="D0EBF2"/>
          </w:tcPr>
          <w:p>
            <w:pPr>
              <w:spacing w:after="0"/>
              <w:rPr>
                <w:sz w:val="14"/>
                <w:szCs w:val="14"/>
                <w:color w:val="auto"/>
              </w:rPr>
            </w:pPr>
          </w:p>
        </w:tc>
        <w:tc>
          <w:tcPr>
            <w:tcW w:w="20" w:type="dxa"/>
            <w:vAlign w:val="bottom"/>
            <w:shd w:val="clear" w:color="auto" w:fill="D0EBF2"/>
          </w:tcPr>
          <w:p>
            <w:pPr>
              <w:spacing w:after="0"/>
              <w:rPr>
                <w:sz w:val="14"/>
                <w:szCs w:val="14"/>
                <w:color w:val="auto"/>
              </w:rPr>
            </w:pPr>
          </w:p>
        </w:tc>
        <w:tc>
          <w:tcPr>
            <w:tcW w:w="60" w:type="dxa"/>
            <w:vAlign w:val="bottom"/>
            <w:shd w:val="clear" w:color="auto" w:fill="D0EBF2"/>
          </w:tcPr>
          <w:p>
            <w:pPr>
              <w:spacing w:after="0"/>
              <w:rPr>
                <w:sz w:val="14"/>
                <w:szCs w:val="14"/>
                <w:color w:val="auto"/>
              </w:rPr>
            </w:pPr>
          </w:p>
        </w:tc>
        <w:tc>
          <w:tcPr>
            <w:tcW w:w="720" w:type="dxa"/>
            <w:vAlign w:val="bottom"/>
            <w:shd w:val="clear" w:color="auto" w:fill="D0EBF2"/>
          </w:tcPr>
          <w:p>
            <w:pPr>
              <w:spacing w:after="0"/>
              <w:rPr>
                <w:sz w:val="14"/>
                <w:szCs w:val="14"/>
                <w:color w:val="auto"/>
              </w:rPr>
            </w:pPr>
          </w:p>
        </w:tc>
        <w:tc>
          <w:tcPr>
            <w:tcW w:w="100" w:type="dxa"/>
            <w:vAlign w:val="bottom"/>
            <w:shd w:val="clear" w:color="auto" w:fill="D0EBF2"/>
          </w:tcPr>
          <w:p>
            <w:pPr>
              <w:spacing w:after="0"/>
              <w:rPr>
                <w:sz w:val="14"/>
                <w:szCs w:val="14"/>
                <w:color w:val="auto"/>
              </w:rPr>
            </w:pPr>
          </w:p>
        </w:tc>
        <w:tc>
          <w:tcPr>
            <w:tcW w:w="20" w:type="dxa"/>
            <w:vAlign w:val="bottom"/>
            <w:shd w:val="clear" w:color="auto" w:fill="D0EBF2"/>
          </w:tcPr>
          <w:p>
            <w:pPr>
              <w:spacing w:after="0"/>
              <w:rPr>
                <w:sz w:val="14"/>
                <w:szCs w:val="14"/>
                <w:color w:val="auto"/>
              </w:rPr>
            </w:pPr>
          </w:p>
        </w:tc>
        <w:tc>
          <w:tcPr>
            <w:tcW w:w="80" w:type="dxa"/>
            <w:vAlign w:val="bottom"/>
            <w:shd w:val="clear" w:color="auto" w:fill="D0EBF2"/>
          </w:tcPr>
          <w:p>
            <w:pPr>
              <w:spacing w:after="0"/>
              <w:rPr>
                <w:sz w:val="14"/>
                <w:szCs w:val="14"/>
                <w:color w:val="auto"/>
              </w:rPr>
            </w:pPr>
          </w:p>
        </w:tc>
        <w:tc>
          <w:tcPr>
            <w:tcW w:w="20" w:type="dxa"/>
            <w:vAlign w:val="bottom"/>
            <w:shd w:val="clear" w:color="auto" w:fill="D0EBF2"/>
          </w:tcPr>
          <w:p>
            <w:pPr>
              <w:spacing w:after="0"/>
              <w:rPr>
                <w:sz w:val="14"/>
                <w:szCs w:val="14"/>
                <w:color w:val="auto"/>
              </w:rPr>
            </w:pPr>
          </w:p>
        </w:tc>
        <w:tc>
          <w:tcPr>
            <w:tcW w:w="20" w:type="dxa"/>
            <w:vAlign w:val="bottom"/>
            <w:shd w:val="clear" w:color="auto" w:fill="D0EBF2"/>
          </w:tcPr>
          <w:p>
            <w:pPr>
              <w:spacing w:after="0"/>
              <w:rPr>
                <w:sz w:val="14"/>
                <w:szCs w:val="14"/>
                <w:color w:val="auto"/>
              </w:rPr>
            </w:pPr>
          </w:p>
        </w:tc>
        <w:tc>
          <w:tcPr>
            <w:tcW w:w="40" w:type="dxa"/>
            <w:vAlign w:val="bottom"/>
            <w:shd w:val="clear" w:color="auto" w:fill="D0EBF2"/>
          </w:tcPr>
          <w:p>
            <w:pPr>
              <w:spacing w:after="0"/>
              <w:rPr>
                <w:sz w:val="14"/>
                <w:szCs w:val="14"/>
                <w:color w:val="auto"/>
              </w:rPr>
            </w:pPr>
          </w:p>
        </w:tc>
        <w:tc>
          <w:tcPr>
            <w:tcW w:w="720" w:type="dxa"/>
            <w:vAlign w:val="bottom"/>
            <w:shd w:val="clear" w:color="auto" w:fill="D0EBF2"/>
          </w:tcPr>
          <w:p>
            <w:pPr>
              <w:spacing w:after="0"/>
              <w:rPr>
                <w:sz w:val="14"/>
                <w:szCs w:val="14"/>
                <w:color w:val="auto"/>
              </w:rPr>
            </w:pPr>
          </w:p>
        </w:tc>
        <w:tc>
          <w:tcPr>
            <w:tcW w:w="100" w:type="dxa"/>
            <w:vAlign w:val="bottom"/>
            <w:shd w:val="clear" w:color="auto" w:fill="D0EBF2"/>
          </w:tcPr>
          <w:p>
            <w:pPr>
              <w:spacing w:after="0"/>
              <w:rPr>
                <w:sz w:val="14"/>
                <w:szCs w:val="14"/>
                <w:color w:val="auto"/>
              </w:rPr>
            </w:pPr>
          </w:p>
        </w:tc>
        <w:tc>
          <w:tcPr>
            <w:tcW w:w="0" w:type="dxa"/>
            <w:vAlign w:val="bottom"/>
          </w:tcPr>
          <w:p>
            <w:pPr>
              <w:spacing w:after="0"/>
              <w:rPr>
                <w:sz w:val="1"/>
                <w:szCs w:val="1"/>
                <w:color w:val="auto"/>
              </w:rPr>
            </w:pPr>
          </w:p>
        </w:tc>
      </w:tr>
      <w:tr>
        <w:trPr>
          <w:trHeight w:val="177"/>
        </w:trPr>
        <w:tc>
          <w:tcPr>
            <w:tcW w:w="3620" w:type="dxa"/>
            <w:vAlign w:val="bottom"/>
            <w:gridSpan w:val="2"/>
            <w:shd w:val="clear" w:color="auto" w:fill="D0EBF2"/>
          </w:tcPr>
          <w:p>
            <w:pPr>
              <w:ind w:left="200"/>
              <w:spacing w:after="0"/>
              <w:rPr>
                <w:sz w:val="20"/>
                <w:szCs w:val="20"/>
                <w:color w:val="auto"/>
              </w:rPr>
            </w:pPr>
            <w:r>
              <w:rPr>
                <w:rFonts w:ascii="Times New Roman" w:cs="Times New Roman" w:eastAsia="Times New Roman" w:hAnsi="Times New Roman"/>
                <w:sz w:val="14"/>
                <w:szCs w:val="14"/>
                <w:color w:val="231F20"/>
              </w:rPr>
              <w:t>plan</w:t>
            </w:r>
          </w:p>
        </w:tc>
        <w:tc>
          <w:tcPr>
            <w:tcW w:w="860" w:type="dxa"/>
            <w:vAlign w:val="bottom"/>
            <w:shd w:val="clear" w:color="auto" w:fill="D0EBF2"/>
          </w:tcPr>
          <w:p>
            <w:pPr>
              <w:jc w:val="right"/>
              <w:spacing w:after="0"/>
              <w:rPr>
                <w:sz w:val="20"/>
                <w:szCs w:val="20"/>
                <w:color w:val="auto"/>
              </w:rPr>
            </w:pPr>
            <w:r>
              <w:rPr>
                <w:rFonts w:ascii="Times New Roman" w:cs="Times New Roman" w:eastAsia="Times New Roman" w:hAnsi="Times New Roman"/>
                <w:sz w:val="14"/>
                <w:szCs w:val="14"/>
                <w:color w:val="231F20"/>
              </w:rPr>
              <w:t>1,231,937</w:t>
            </w:r>
          </w:p>
        </w:tc>
        <w:tc>
          <w:tcPr>
            <w:tcW w:w="100" w:type="dxa"/>
            <w:vAlign w:val="bottom"/>
            <w:shd w:val="clear" w:color="auto" w:fill="D0EBF2"/>
          </w:tcPr>
          <w:p>
            <w:pPr>
              <w:spacing w:after="0"/>
              <w:rPr>
                <w:sz w:val="15"/>
                <w:szCs w:val="15"/>
                <w:color w:val="auto"/>
              </w:rPr>
            </w:pPr>
          </w:p>
        </w:tc>
        <w:tc>
          <w:tcPr>
            <w:tcW w:w="100" w:type="dxa"/>
            <w:vAlign w:val="bottom"/>
            <w:shd w:val="clear" w:color="auto" w:fill="D0EBF2"/>
          </w:tcPr>
          <w:p>
            <w:pPr>
              <w:spacing w:after="0"/>
              <w:rPr>
                <w:sz w:val="15"/>
                <w:szCs w:val="15"/>
                <w:color w:val="auto"/>
              </w:rPr>
            </w:pPr>
          </w:p>
        </w:tc>
        <w:tc>
          <w:tcPr>
            <w:tcW w:w="20" w:type="dxa"/>
            <w:vAlign w:val="bottom"/>
            <w:shd w:val="clear" w:color="auto" w:fill="D0EBF2"/>
          </w:tcPr>
          <w:p>
            <w:pPr>
              <w:spacing w:after="0"/>
              <w:rPr>
                <w:sz w:val="15"/>
                <w:szCs w:val="15"/>
                <w:color w:val="auto"/>
              </w:rPr>
            </w:pPr>
          </w:p>
        </w:tc>
        <w:tc>
          <w:tcPr>
            <w:tcW w:w="20" w:type="dxa"/>
            <w:vAlign w:val="bottom"/>
            <w:shd w:val="clear" w:color="auto" w:fill="D0EBF2"/>
          </w:tcPr>
          <w:p>
            <w:pPr>
              <w:spacing w:after="0"/>
              <w:rPr>
                <w:sz w:val="15"/>
                <w:szCs w:val="15"/>
                <w:color w:val="auto"/>
              </w:rPr>
            </w:pPr>
          </w:p>
        </w:tc>
        <w:tc>
          <w:tcPr>
            <w:tcW w:w="60" w:type="dxa"/>
            <w:vAlign w:val="bottom"/>
            <w:shd w:val="clear" w:color="auto" w:fill="D0EBF2"/>
          </w:tcPr>
          <w:p>
            <w:pPr>
              <w:spacing w:after="0"/>
              <w:rPr>
                <w:sz w:val="15"/>
                <w:szCs w:val="15"/>
                <w:color w:val="auto"/>
              </w:rPr>
            </w:pPr>
          </w:p>
        </w:tc>
        <w:tc>
          <w:tcPr>
            <w:tcW w:w="420" w:type="dxa"/>
            <w:vAlign w:val="bottom"/>
            <w:shd w:val="clear" w:color="auto" w:fill="D0EBF2"/>
          </w:tcPr>
          <w:p>
            <w:pPr>
              <w:jc w:val="right"/>
              <w:spacing w:after="0"/>
              <w:rPr>
                <w:sz w:val="20"/>
                <w:szCs w:val="20"/>
                <w:color w:val="auto"/>
              </w:rPr>
            </w:pPr>
            <w:r>
              <w:rPr>
                <w:rFonts w:ascii="Times New Roman" w:cs="Times New Roman" w:eastAsia="Times New Roman" w:hAnsi="Times New Roman"/>
                <w:sz w:val="14"/>
                <w:szCs w:val="14"/>
                <w:color w:val="231F20"/>
              </w:rPr>
              <w:t>12</w:t>
            </w:r>
          </w:p>
        </w:tc>
        <w:tc>
          <w:tcPr>
            <w:tcW w:w="100" w:type="dxa"/>
            <w:vAlign w:val="bottom"/>
            <w:shd w:val="clear" w:color="auto" w:fill="D0EBF2"/>
          </w:tcPr>
          <w:p>
            <w:pPr>
              <w:spacing w:after="0"/>
              <w:rPr>
                <w:sz w:val="15"/>
                <w:szCs w:val="15"/>
                <w:color w:val="auto"/>
              </w:rPr>
            </w:pPr>
          </w:p>
        </w:tc>
        <w:tc>
          <w:tcPr>
            <w:tcW w:w="20" w:type="dxa"/>
            <w:vAlign w:val="bottom"/>
            <w:shd w:val="clear" w:color="auto" w:fill="D0EBF2"/>
          </w:tcPr>
          <w:p>
            <w:pPr>
              <w:spacing w:after="0"/>
              <w:rPr>
                <w:sz w:val="15"/>
                <w:szCs w:val="15"/>
                <w:color w:val="auto"/>
              </w:rPr>
            </w:pPr>
          </w:p>
        </w:tc>
        <w:tc>
          <w:tcPr>
            <w:tcW w:w="80" w:type="dxa"/>
            <w:vAlign w:val="bottom"/>
            <w:shd w:val="clear" w:color="auto" w:fill="D0EBF2"/>
          </w:tcPr>
          <w:p>
            <w:pPr>
              <w:spacing w:after="0"/>
              <w:rPr>
                <w:sz w:val="15"/>
                <w:szCs w:val="15"/>
                <w:color w:val="auto"/>
              </w:rPr>
            </w:pPr>
          </w:p>
        </w:tc>
        <w:tc>
          <w:tcPr>
            <w:tcW w:w="20" w:type="dxa"/>
            <w:vAlign w:val="bottom"/>
            <w:shd w:val="clear" w:color="auto" w:fill="D0EBF2"/>
          </w:tcPr>
          <w:p>
            <w:pPr>
              <w:spacing w:after="0"/>
              <w:rPr>
                <w:sz w:val="15"/>
                <w:szCs w:val="15"/>
                <w:color w:val="auto"/>
              </w:rPr>
            </w:pPr>
          </w:p>
        </w:tc>
        <w:tc>
          <w:tcPr>
            <w:tcW w:w="20" w:type="dxa"/>
            <w:vAlign w:val="bottom"/>
            <w:shd w:val="clear" w:color="auto" w:fill="D0EBF2"/>
          </w:tcPr>
          <w:p>
            <w:pPr>
              <w:spacing w:after="0"/>
              <w:rPr>
                <w:sz w:val="15"/>
                <w:szCs w:val="15"/>
                <w:color w:val="auto"/>
              </w:rPr>
            </w:pPr>
          </w:p>
        </w:tc>
        <w:tc>
          <w:tcPr>
            <w:tcW w:w="660" w:type="dxa"/>
            <w:vAlign w:val="bottom"/>
            <w:shd w:val="clear" w:color="auto" w:fill="D0EBF2"/>
          </w:tcPr>
          <w:p>
            <w:pPr>
              <w:jc w:val="right"/>
              <w:spacing w:after="0"/>
              <w:rPr>
                <w:sz w:val="20"/>
                <w:szCs w:val="20"/>
                <w:color w:val="auto"/>
              </w:rPr>
            </w:pPr>
            <w:r>
              <w:rPr>
                <w:rFonts w:ascii="Times New Roman" w:cs="Times New Roman" w:eastAsia="Times New Roman" w:hAnsi="Times New Roman"/>
                <w:sz w:val="14"/>
                <w:szCs w:val="14"/>
                <w:color w:val="231F20"/>
              </w:rPr>
              <w:t>—</w:t>
            </w:r>
          </w:p>
        </w:tc>
        <w:tc>
          <w:tcPr>
            <w:tcW w:w="100" w:type="dxa"/>
            <w:vAlign w:val="bottom"/>
            <w:shd w:val="clear" w:color="auto" w:fill="D0EBF2"/>
          </w:tcPr>
          <w:p>
            <w:pPr>
              <w:spacing w:after="0"/>
              <w:rPr>
                <w:sz w:val="15"/>
                <w:szCs w:val="15"/>
                <w:color w:val="auto"/>
              </w:rPr>
            </w:pPr>
          </w:p>
        </w:tc>
        <w:tc>
          <w:tcPr>
            <w:tcW w:w="20" w:type="dxa"/>
            <w:vAlign w:val="bottom"/>
            <w:shd w:val="clear" w:color="auto" w:fill="D0EBF2"/>
          </w:tcPr>
          <w:p>
            <w:pPr>
              <w:spacing w:after="0"/>
              <w:rPr>
                <w:sz w:val="15"/>
                <w:szCs w:val="15"/>
                <w:color w:val="auto"/>
              </w:rPr>
            </w:pPr>
          </w:p>
        </w:tc>
        <w:tc>
          <w:tcPr>
            <w:tcW w:w="80" w:type="dxa"/>
            <w:vAlign w:val="bottom"/>
            <w:shd w:val="clear" w:color="auto" w:fill="D0EBF2"/>
          </w:tcPr>
          <w:p>
            <w:pPr>
              <w:spacing w:after="0"/>
              <w:rPr>
                <w:sz w:val="15"/>
                <w:szCs w:val="15"/>
                <w:color w:val="auto"/>
              </w:rPr>
            </w:pPr>
          </w:p>
        </w:tc>
        <w:tc>
          <w:tcPr>
            <w:tcW w:w="20" w:type="dxa"/>
            <w:vAlign w:val="bottom"/>
            <w:shd w:val="clear" w:color="auto" w:fill="D0EBF2"/>
          </w:tcPr>
          <w:p>
            <w:pPr>
              <w:spacing w:after="0"/>
              <w:rPr>
                <w:sz w:val="15"/>
                <w:szCs w:val="15"/>
                <w:color w:val="auto"/>
              </w:rPr>
            </w:pPr>
          </w:p>
        </w:tc>
        <w:tc>
          <w:tcPr>
            <w:tcW w:w="20" w:type="dxa"/>
            <w:vAlign w:val="bottom"/>
            <w:shd w:val="clear" w:color="auto" w:fill="D0EBF2"/>
          </w:tcPr>
          <w:p>
            <w:pPr>
              <w:spacing w:after="0"/>
              <w:rPr>
                <w:sz w:val="15"/>
                <w:szCs w:val="15"/>
                <w:color w:val="auto"/>
              </w:rPr>
            </w:pPr>
          </w:p>
        </w:tc>
        <w:tc>
          <w:tcPr>
            <w:tcW w:w="60" w:type="dxa"/>
            <w:vAlign w:val="bottom"/>
            <w:shd w:val="clear" w:color="auto" w:fill="D0EBF2"/>
          </w:tcPr>
          <w:p>
            <w:pPr>
              <w:spacing w:after="0"/>
              <w:rPr>
                <w:sz w:val="15"/>
                <w:szCs w:val="15"/>
                <w:color w:val="auto"/>
              </w:rPr>
            </w:pPr>
          </w:p>
        </w:tc>
        <w:tc>
          <w:tcPr>
            <w:tcW w:w="620" w:type="dxa"/>
            <w:vAlign w:val="bottom"/>
            <w:gridSpan w:val="4"/>
            <w:shd w:val="clear" w:color="auto" w:fill="D0EBF2"/>
          </w:tcPr>
          <w:p>
            <w:pPr>
              <w:jc w:val="right"/>
              <w:ind w:right="160"/>
              <w:spacing w:after="0"/>
              <w:rPr>
                <w:sz w:val="20"/>
                <w:szCs w:val="20"/>
                <w:color w:val="auto"/>
              </w:rPr>
            </w:pPr>
            <w:r>
              <w:rPr>
                <w:rFonts w:ascii="Times New Roman" w:cs="Times New Roman" w:eastAsia="Times New Roman" w:hAnsi="Times New Roman"/>
                <w:sz w:val="14"/>
                <w:szCs w:val="14"/>
                <w:color w:val="231F20"/>
              </w:rPr>
              <w:t>—</w:t>
            </w:r>
          </w:p>
        </w:tc>
        <w:tc>
          <w:tcPr>
            <w:tcW w:w="60" w:type="dxa"/>
            <w:vAlign w:val="bottom"/>
            <w:shd w:val="clear" w:color="auto" w:fill="D0EBF2"/>
          </w:tcPr>
          <w:p>
            <w:pPr>
              <w:spacing w:after="0"/>
              <w:rPr>
                <w:sz w:val="15"/>
                <w:szCs w:val="15"/>
                <w:color w:val="auto"/>
              </w:rPr>
            </w:pPr>
          </w:p>
        </w:tc>
        <w:tc>
          <w:tcPr>
            <w:tcW w:w="140" w:type="dxa"/>
            <w:vAlign w:val="bottom"/>
            <w:shd w:val="clear" w:color="auto" w:fill="D0EBF2"/>
          </w:tcPr>
          <w:p>
            <w:pPr>
              <w:spacing w:after="0"/>
              <w:rPr>
                <w:sz w:val="15"/>
                <w:szCs w:val="15"/>
                <w:color w:val="auto"/>
              </w:rPr>
            </w:pPr>
          </w:p>
        </w:tc>
        <w:tc>
          <w:tcPr>
            <w:tcW w:w="900" w:type="dxa"/>
            <w:vAlign w:val="bottom"/>
            <w:shd w:val="clear" w:color="auto" w:fill="D0EBF2"/>
          </w:tcPr>
          <w:p>
            <w:pPr>
              <w:jc w:val="right"/>
              <w:spacing w:after="0"/>
              <w:rPr>
                <w:sz w:val="20"/>
                <w:szCs w:val="20"/>
                <w:color w:val="auto"/>
              </w:rPr>
            </w:pPr>
            <w:r>
              <w:rPr>
                <w:rFonts w:ascii="Times New Roman" w:cs="Times New Roman" w:eastAsia="Times New Roman" w:hAnsi="Times New Roman"/>
                <w:sz w:val="14"/>
                <w:szCs w:val="14"/>
                <w:color w:val="231F20"/>
              </w:rPr>
              <w:t>24,711</w:t>
            </w:r>
          </w:p>
        </w:tc>
        <w:tc>
          <w:tcPr>
            <w:tcW w:w="100" w:type="dxa"/>
            <w:vAlign w:val="bottom"/>
            <w:shd w:val="clear" w:color="auto" w:fill="D0EBF2"/>
          </w:tcPr>
          <w:p>
            <w:pPr>
              <w:spacing w:after="0"/>
              <w:rPr>
                <w:sz w:val="15"/>
                <w:szCs w:val="15"/>
                <w:color w:val="auto"/>
              </w:rPr>
            </w:pPr>
          </w:p>
        </w:tc>
        <w:tc>
          <w:tcPr>
            <w:tcW w:w="20" w:type="dxa"/>
            <w:vAlign w:val="bottom"/>
            <w:shd w:val="clear" w:color="auto" w:fill="D0EBF2"/>
          </w:tcPr>
          <w:p>
            <w:pPr>
              <w:spacing w:after="0"/>
              <w:rPr>
                <w:sz w:val="15"/>
                <w:szCs w:val="15"/>
                <w:color w:val="auto"/>
              </w:rPr>
            </w:pPr>
          </w:p>
        </w:tc>
        <w:tc>
          <w:tcPr>
            <w:tcW w:w="80" w:type="dxa"/>
            <w:vAlign w:val="bottom"/>
            <w:shd w:val="clear" w:color="auto" w:fill="D0EBF2"/>
          </w:tcPr>
          <w:p>
            <w:pPr>
              <w:spacing w:after="0"/>
              <w:rPr>
                <w:sz w:val="15"/>
                <w:szCs w:val="15"/>
                <w:color w:val="auto"/>
              </w:rPr>
            </w:pPr>
          </w:p>
        </w:tc>
        <w:tc>
          <w:tcPr>
            <w:tcW w:w="20" w:type="dxa"/>
            <w:vAlign w:val="bottom"/>
            <w:shd w:val="clear" w:color="auto" w:fill="D0EBF2"/>
          </w:tcPr>
          <w:p>
            <w:pPr>
              <w:spacing w:after="0"/>
              <w:rPr>
                <w:sz w:val="15"/>
                <w:szCs w:val="15"/>
                <w:color w:val="auto"/>
              </w:rPr>
            </w:pPr>
          </w:p>
        </w:tc>
        <w:tc>
          <w:tcPr>
            <w:tcW w:w="20" w:type="dxa"/>
            <w:vAlign w:val="bottom"/>
            <w:shd w:val="clear" w:color="auto" w:fill="D0EBF2"/>
          </w:tcPr>
          <w:p>
            <w:pPr>
              <w:spacing w:after="0"/>
              <w:rPr>
                <w:sz w:val="15"/>
                <w:szCs w:val="15"/>
                <w:color w:val="auto"/>
              </w:rPr>
            </w:pPr>
          </w:p>
        </w:tc>
        <w:tc>
          <w:tcPr>
            <w:tcW w:w="60" w:type="dxa"/>
            <w:vAlign w:val="bottom"/>
            <w:shd w:val="clear" w:color="auto" w:fill="D0EBF2"/>
          </w:tcPr>
          <w:p>
            <w:pPr>
              <w:spacing w:after="0"/>
              <w:rPr>
                <w:sz w:val="15"/>
                <w:szCs w:val="15"/>
                <w:color w:val="auto"/>
              </w:rPr>
            </w:pPr>
          </w:p>
        </w:tc>
        <w:tc>
          <w:tcPr>
            <w:tcW w:w="960" w:type="dxa"/>
            <w:vAlign w:val="bottom"/>
            <w:gridSpan w:val="6"/>
            <w:shd w:val="clear" w:color="auto" w:fill="D0EBF2"/>
          </w:tcPr>
          <w:p>
            <w:pPr>
              <w:jc w:val="right"/>
              <w:ind w:right="260"/>
              <w:spacing w:after="0"/>
              <w:rPr>
                <w:sz w:val="20"/>
                <w:szCs w:val="20"/>
                <w:color w:val="auto"/>
              </w:rPr>
            </w:pPr>
            <w:r>
              <w:rPr>
                <w:rFonts w:ascii="Times New Roman" w:cs="Times New Roman" w:eastAsia="Times New Roman" w:hAnsi="Times New Roman"/>
                <w:sz w:val="14"/>
                <w:szCs w:val="14"/>
                <w:color w:val="231F20"/>
              </w:rPr>
              <w:t>—</w:t>
            </w:r>
          </w:p>
        </w:tc>
        <w:tc>
          <w:tcPr>
            <w:tcW w:w="40" w:type="dxa"/>
            <w:vAlign w:val="bottom"/>
            <w:shd w:val="clear" w:color="auto" w:fill="D0EBF2"/>
          </w:tcPr>
          <w:p>
            <w:pPr>
              <w:spacing w:after="0"/>
              <w:rPr>
                <w:sz w:val="15"/>
                <w:szCs w:val="15"/>
                <w:color w:val="auto"/>
              </w:rPr>
            </w:pPr>
          </w:p>
        </w:tc>
        <w:tc>
          <w:tcPr>
            <w:tcW w:w="720" w:type="dxa"/>
            <w:vAlign w:val="bottom"/>
            <w:shd w:val="clear" w:color="auto" w:fill="D0EBF2"/>
          </w:tcPr>
          <w:p>
            <w:pPr>
              <w:jc w:val="right"/>
              <w:spacing w:after="0"/>
              <w:rPr>
                <w:sz w:val="20"/>
                <w:szCs w:val="20"/>
                <w:color w:val="auto"/>
              </w:rPr>
            </w:pPr>
            <w:r>
              <w:rPr>
                <w:rFonts w:ascii="Times New Roman" w:cs="Times New Roman" w:eastAsia="Times New Roman" w:hAnsi="Times New Roman"/>
                <w:sz w:val="14"/>
                <w:szCs w:val="14"/>
                <w:color w:val="231F20"/>
              </w:rPr>
              <w:t>24,723</w:t>
            </w:r>
          </w:p>
        </w:tc>
        <w:tc>
          <w:tcPr>
            <w:tcW w:w="100" w:type="dxa"/>
            <w:vAlign w:val="bottom"/>
            <w:shd w:val="clear" w:color="auto" w:fill="D0EBF2"/>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620" w:type="dxa"/>
            <w:vAlign w:val="bottom"/>
            <w:gridSpan w:val="2"/>
            <w:shd w:val="clear" w:color="auto" w:fill="FDFDFC"/>
          </w:tcPr>
          <w:p>
            <w:pPr>
              <w:ind w:left="200"/>
              <w:spacing w:after="0"/>
              <w:rPr>
                <w:sz w:val="20"/>
                <w:szCs w:val="20"/>
                <w:color w:val="auto"/>
              </w:rPr>
            </w:pPr>
            <w:r>
              <w:rPr>
                <w:rFonts w:ascii="Times New Roman" w:cs="Times New Roman" w:eastAsia="Times New Roman" w:hAnsi="Times New Roman"/>
                <w:sz w:val="14"/>
                <w:szCs w:val="14"/>
                <w:color w:val="231F20"/>
              </w:rPr>
              <w:t>Dividends declared from distributable earnings</w:t>
            </w:r>
          </w:p>
        </w:tc>
        <w:tc>
          <w:tcPr>
            <w:tcW w:w="860" w:type="dxa"/>
            <w:vAlign w:val="bottom"/>
            <w:shd w:val="clear" w:color="auto" w:fill="FDFDFC"/>
          </w:tcPr>
          <w:p>
            <w:pPr>
              <w:jc w:val="right"/>
              <w:spacing w:after="0"/>
              <w:rPr>
                <w:sz w:val="20"/>
                <w:szCs w:val="20"/>
                <w:color w:val="auto"/>
              </w:rPr>
            </w:pPr>
            <w:r>
              <w:rPr>
                <w:rFonts w:ascii="Times New Roman" w:cs="Times New Roman" w:eastAsia="Times New Roman" w:hAnsi="Times New Roman"/>
                <w:sz w:val="14"/>
                <w:szCs w:val="14"/>
                <w:color w:val="231F20"/>
              </w:rPr>
              <w:t>—</w:t>
            </w:r>
          </w:p>
        </w:tc>
        <w:tc>
          <w:tcPr>
            <w:tcW w:w="100" w:type="dxa"/>
            <w:vAlign w:val="bottom"/>
            <w:shd w:val="clear" w:color="auto" w:fill="FDFDFC"/>
          </w:tcPr>
          <w:p>
            <w:pPr>
              <w:spacing w:after="0"/>
              <w:rPr>
                <w:sz w:val="15"/>
                <w:szCs w:val="15"/>
                <w:color w:val="auto"/>
              </w:rPr>
            </w:pPr>
          </w:p>
        </w:tc>
        <w:tc>
          <w:tcPr>
            <w:tcW w:w="100" w:type="dxa"/>
            <w:vAlign w:val="bottom"/>
            <w:shd w:val="clear" w:color="auto" w:fill="FDFDFC"/>
          </w:tcPr>
          <w:p>
            <w:pPr>
              <w:spacing w:after="0"/>
              <w:rPr>
                <w:sz w:val="15"/>
                <w:szCs w:val="15"/>
                <w:color w:val="auto"/>
              </w:rPr>
            </w:pPr>
          </w:p>
        </w:tc>
        <w:tc>
          <w:tcPr>
            <w:tcW w:w="20" w:type="dxa"/>
            <w:vAlign w:val="bottom"/>
            <w:shd w:val="clear" w:color="auto" w:fill="FDFDFC"/>
          </w:tcPr>
          <w:p>
            <w:pPr>
              <w:spacing w:after="0"/>
              <w:rPr>
                <w:sz w:val="15"/>
                <w:szCs w:val="15"/>
                <w:color w:val="auto"/>
              </w:rPr>
            </w:pPr>
          </w:p>
        </w:tc>
        <w:tc>
          <w:tcPr>
            <w:tcW w:w="20" w:type="dxa"/>
            <w:vAlign w:val="bottom"/>
            <w:shd w:val="clear" w:color="auto" w:fill="FDFDFC"/>
          </w:tcPr>
          <w:p>
            <w:pPr>
              <w:spacing w:after="0"/>
              <w:rPr>
                <w:sz w:val="15"/>
                <w:szCs w:val="15"/>
                <w:color w:val="auto"/>
              </w:rPr>
            </w:pPr>
          </w:p>
        </w:tc>
        <w:tc>
          <w:tcPr>
            <w:tcW w:w="60" w:type="dxa"/>
            <w:vAlign w:val="bottom"/>
            <w:shd w:val="clear" w:color="auto" w:fill="FDFDFC"/>
          </w:tcPr>
          <w:p>
            <w:pPr>
              <w:spacing w:after="0"/>
              <w:rPr>
                <w:sz w:val="15"/>
                <w:szCs w:val="15"/>
                <w:color w:val="auto"/>
              </w:rPr>
            </w:pPr>
          </w:p>
        </w:tc>
        <w:tc>
          <w:tcPr>
            <w:tcW w:w="420" w:type="dxa"/>
            <w:vAlign w:val="bottom"/>
            <w:shd w:val="clear" w:color="auto" w:fill="FDFDFC"/>
          </w:tcPr>
          <w:p>
            <w:pPr>
              <w:jc w:val="right"/>
              <w:spacing w:after="0"/>
              <w:rPr>
                <w:sz w:val="20"/>
                <w:szCs w:val="20"/>
                <w:color w:val="auto"/>
              </w:rPr>
            </w:pPr>
            <w:r>
              <w:rPr>
                <w:rFonts w:ascii="Times New Roman" w:cs="Times New Roman" w:eastAsia="Times New Roman" w:hAnsi="Times New Roman"/>
                <w:sz w:val="14"/>
                <w:szCs w:val="14"/>
                <w:color w:val="231F20"/>
              </w:rPr>
              <w:t>—</w:t>
            </w:r>
          </w:p>
        </w:tc>
        <w:tc>
          <w:tcPr>
            <w:tcW w:w="100" w:type="dxa"/>
            <w:vAlign w:val="bottom"/>
            <w:shd w:val="clear" w:color="auto" w:fill="FDFDFC"/>
          </w:tcPr>
          <w:p>
            <w:pPr>
              <w:spacing w:after="0"/>
              <w:rPr>
                <w:sz w:val="15"/>
                <w:szCs w:val="15"/>
                <w:color w:val="auto"/>
              </w:rPr>
            </w:pPr>
          </w:p>
        </w:tc>
        <w:tc>
          <w:tcPr>
            <w:tcW w:w="20" w:type="dxa"/>
            <w:vAlign w:val="bottom"/>
            <w:shd w:val="clear" w:color="auto" w:fill="FDFDFC"/>
          </w:tcPr>
          <w:p>
            <w:pPr>
              <w:spacing w:after="0"/>
              <w:rPr>
                <w:sz w:val="15"/>
                <w:szCs w:val="15"/>
                <w:color w:val="auto"/>
              </w:rPr>
            </w:pPr>
          </w:p>
        </w:tc>
        <w:tc>
          <w:tcPr>
            <w:tcW w:w="80" w:type="dxa"/>
            <w:vAlign w:val="bottom"/>
            <w:shd w:val="clear" w:color="auto" w:fill="FDFDFC"/>
          </w:tcPr>
          <w:p>
            <w:pPr>
              <w:spacing w:after="0"/>
              <w:rPr>
                <w:sz w:val="15"/>
                <w:szCs w:val="15"/>
                <w:color w:val="auto"/>
              </w:rPr>
            </w:pPr>
          </w:p>
        </w:tc>
        <w:tc>
          <w:tcPr>
            <w:tcW w:w="20" w:type="dxa"/>
            <w:vAlign w:val="bottom"/>
            <w:shd w:val="clear" w:color="auto" w:fill="FDFDFC"/>
          </w:tcPr>
          <w:p>
            <w:pPr>
              <w:spacing w:after="0"/>
              <w:rPr>
                <w:sz w:val="15"/>
                <w:szCs w:val="15"/>
                <w:color w:val="auto"/>
              </w:rPr>
            </w:pPr>
          </w:p>
        </w:tc>
        <w:tc>
          <w:tcPr>
            <w:tcW w:w="20" w:type="dxa"/>
            <w:vAlign w:val="bottom"/>
            <w:shd w:val="clear" w:color="auto" w:fill="FDFDFC"/>
          </w:tcPr>
          <w:p>
            <w:pPr>
              <w:spacing w:after="0"/>
              <w:rPr>
                <w:sz w:val="15"/>
                <w:szCs w:val="15"/>
                <w:color w:val="auto"/>
              </w:rPr>
            </w:pPr>
          </w:p>
        </w:tc>
        <w:tc>
          <w:tcPr>
            <w:tcW w:w="660" w:type="dxa"/>
            <w:vAlign w:val="bottom"/>
            <w:shd w:val="clear" w:color="auto" w:fill="FDFDFC"/>
          </w:tcPr>
          <w:p>
            <w:pPr>
              <w:jc w:val="right"/>
              <w:spacing w:after="0"/>
              <w:rPr>
                <w:sz w:val="20"/>
                <w:szCs w:val="20"/>
                <w:color w:val="auto"/>
              </w:rPr>
            </w:pPr>
            <w:r>
              <w:rPr>
                <w:rFonts w:ascii="Times New Roman" w:cs="Times New Roman" w:eastAsia="Times New Roman" w:hAnsi="Times New Roman"/>
                <w:sz w:val="14"/>
                <w:szCs w:val="14"/>
                <w:color w:val="231F20"/>
              </w:rPr>
              <w:t>—</w:t>
            </w:r>
          </w:p>
        </w:tc>
        <w:tc>
          <w:tcPr>
            <w:tcW w:w="100" w:type="dxa"/>
            <w:vAlign w:val="bottom"/>
            <w:shd w:val="clear" w:color="auto" w:fill="FDFDFC"/>
          </w:tcPr>
          <w:p>
            <w:pPr>
              <w:spacing w:after="0"/>
              <w:rPr>
                <w:sz w:val="15"/>
                <w:szCs w:val="15"/>
                <w:color w:val="auto"/>
              </w:rPr>
            </w:pPr>
          </w:p>
        </w:tc>
        <w:tc>
          <w:tcPr>
            <w:tcW w:w="20" w:type="dxa"/>
            <w:vAlign w:val="bottom"/>
            <w:shd w:val="clear" w:color="auto" w:fill="FDFDFC"/>
          </w:tcPr>
          <w:p>
            <w:pPr>
              <w:spacing w:after="0"/>
              <w:rPr>
                <w:sz w:val="15"/>
                <w:szCs w:val="15"/>
                <w:color w:val="auto"/>
              </w:rPr>
            </w:pPr>
          </w:p>
        </w:tc>
        <w:tc>
          <w:tcPr>
            <w:tcW w:w="80" w:type="dxa"/>
            <w:vAlign w:val="bottom"/>
            <w:shd w:val="clear" w:color="auto" w:fill="FDFDFC"/>
          </w:tcPr>
          <w:p>
            <w:pPr>
              <w:spacing w:after="0"/>
              <w:rPr>
                <w:sz w:val="15"/>
                <w:szCs w:val="15"/>
                <w:color w:val="auto"/>
              </w:rPr>
            </w:pPr>
          </w:p>
        </w:tc>
        <w:tc>
          <w:tcPr>
            <w:tcW w:w="20" w:type="dxa"/>
            <w:vAlign w:val="bottom"/>
            <w:shd w:val="clear" w:color="auto" w:fill="FDFDFC"/>
          </w:tcPr>
          <w:p>
            <w:pPr>
              <w:spacing w:after="0"/>
              <w:rPr>
                <w:sz w:val="15"/>
                <w:szCs w:val="15"/>
                <w:color w:val="auto"/>
              </w:rPr>
            </w:pPr>
          </w:p>
        </w:tc>
        <w:tc>
          <w:tcPr>
            <w:tcW w:w="20" w:type="dxa"/>
            <w:vAlign w:val="bottom"/>
            <w:shd w:val="clear" w:color="auto" w:fill="FDFDFC"/>
          </w:tcPr>
          <w:p>
            <w:pPr>
              <w:spacing w:after="0"/>
              <w:rPr>
                <w:sz w:val="15"/>
                <w:szCs w:val="15"/>
                <w:color w:val="auto"/>
              </w:rPr>
            </w:pPr>
          </w:p>
        </w:tc>
        <w:tc>
          <w:tcPr>
            <w:tcW w:w="60" w:type="dxa"/>
            <w:vAlign w:val="bottom"/>
            <w:shd w:val="clear" w:color="auto" w:fill="FDFDFC"/>
          </w:tcPr>
          <w:p>
            <w:pPr>
              <w:spacing w:after="0"/>
              <w:rPr>
                <w:sz w:val="15"/>
                <w:szCs w:val="15"/>
                <w:color w:val="auto"/>
              </w:rPr>
            </w:pPr>
          </w:p>
        </w:tc>
        <w:tc>
          <w:tcPr>
            <w:tcW w:w="620" w:type="dxa"/>
            <w:vAlign w:val="bottom"/>
            <w:gridSpan w:val="4"/>
            <w:shd w:val="clear" w:color="auto" w:fill="FDFDFC"/>
          </w:tcPr>
          <w:p>
            <w:pPr>
              <w:jc w:val="right"/>
              <w:ind w:right="160"/>
              <w:spacing w:after="0"/>
              <w:rPr>
                <w:sz w:val="20"/>
                <w:szCs w:val="20"/>
                <w:color w:val="auto"/>
              </w:rPr>
            </w:pPr>
            <w:r>
              <w:rPr>
                <w:rFonts w:ascii="Times New Roman" w:cs="Times New Roman" w:eastAsia="Times New Roman" w:hAnsi="Times New Roman"/>
                <w:sz w:val="14"/>
                <w:szCs w:val="14"/>
                <w:color w:val="231F20"/>
              </w:rPr>
              <w:t>—</w:t>
            </w:r>
          </w:p>
        </w:tc>
        <w:tc>
          <w:tcPr>
            <w:tcW w:w="60" w:type="dxa"/>
            <w:vAlign w:val="bottom"/>
            <w:shd w:val="clear" w:color="auto" w:fill="FDFDFC"/>
          </w:tcPr>
          <w:p>
            <w:pPr>
              <w:spacing w:after="0"/>
              <w:rPr>
                <w:sz w:val="15"/>
                <w:szCs w:val="15"/>
                <w:color w:val="auto"/>
              </w:rPr>
            </w:pPr>
          </w:p>
        </w:tc>
        <w:tc>
          <w:tcPr>
            <w:tcW w:w="140" w:type="dxa"/>
            <w:vAlign w:val="bottom"/>
            <w:shd w:val="clear" w:color="auto" w:fill="FDFDFC"/>
          </w:tcPr>
          <w:p>
            <w:pPr>
              <w:spacing w:after="0"/>
              <w:rPr>
                <w:sz w:val="15"/>
                <w:szCs w:val="15"/>
                <w:color w:val="auto"/>
              </w:rPr>
            </w:pPr>
          </w:p>
        </w:tc>
        <w:tc>
          <w:tcPr>
            <w:tcW w:w="1140" w:type="dxa"/>
            <w:vAlign w:val="bottom"/>
            <w:gridSpan w:val="6"/>
            <w:shd w:val="clear" w:color="auto" w:fill="FDFDFC"/>
          </w:tcPr>
          <w:p>
            <w:pPr>
              <w:jc w:val="right"/>
              <w:ind w:right="260"/>
              <w:spacing w:after="0"/>
              <w:rPr>
                <w:sz w:val="20"/>
                <w:szCs w:val="20"/>
                <w:color w:val="auto"/>
              </w:rPr>
            </w:pPr>
            <w:r>
              <w:rPr>
                <w:rFonts w:ascii="Times New Roman" w:cs="Times New Roman" w:eastAsia="Times New Roman" w:hAnsi="Times New Roman"/>
                <w:sz w:val="14"/>
                <w:szCs w:val="14"/>
                <w:color w:val="231F20"/>
              </w:rPr>
              <w:t>—</w:t>
            </w:r>
          </w:p>
        </w:tc>
        <w:tc>
          <w:tcPr>
            <w:tcW w:w="60" w:type="dxa"/>
            <w:vAlign w:val="bottom"/>
            <w:shd w:val="clear" w:color="auto" w:fill="FDFDFC"/>
          </w:tcPr>
          <w:p>
            <w:pPr>
              <w:spacing w:after="0"/>
              <w:rPr>
                <w:sz w:val="15"/>
                <w:szCs w:val="15"/>
                <w:color w:val="auto"/>
              </w:rPr>
            </w:pPr>
          </w:p>
        </w:tc>
        <w:tc>
          <w:tcPr>
            <w:tcW w:w="820" w:type="dxa"/>
            <w:vAlign w:val="bottom"/>
            <w:gridSpan w:val="2"/>
            <w:shd w:val="clear" w:color="auto" w:fill="FDFDFC"/>
          </w:tcPr>
          <w:p>
            <w:pPr>
              <w:jc w:val="right"/>
              <w:ind w:right="40"/>
              <w:spacing w:after="0"/>
              <w:rPr>
                <w:sz w:val="20"/>
                <w:szCs w:val="20"/>
                <w:color w:val="auto"/>
              </w:rPr>
            </w:pPr>
            <w:r>
              <w:rPr>
                <w:rFonts w:ascii="Times New Roman" w:cs="Times New Roman" w:eastAsia="Times New Roman" w:hAnsi="Times New Roman"/>
                <w:sz w:val="14"/>
                <w:szCs w:val="14"/>
                <w:color w:val="231F20"/>
              </w:rPr>
              <w:t>(193,443 )</w:t>
            </w:r>
          </w:p>
        </w:tc>
        <w:tc>
          <w:tcPr>
            <w:tcW w:w="20" w:type="dxa"/>
            <w:vAlign w:val="bottom"/>
            <w:shd w:val="clear" w:color="auto" w:fill="FDFDFC"/>
          </w:tcPr>
          <w:p>
            <w:pPr>
              <w:spacing w:after="0"/>
              <w:rPr>
                <w:sz w:val="15"/>
                <w:szCs w:val="15"/>
                <w:color w:val="auto"/>
              </w:rPr>
            </w:pPr>
          </w:p>
        </w:tc>
        <w:tc>
          <w:tcPr>
            <w:tcW w:w="80" w:type="dxa"/>
            <w:vAlign w:val="bottom"/>
            <w:shd w:val="clear" w:color="auto" w:fill="FDFDFC"/>
          </w:tcPr>
          <w:p>
            <w:pPr>
              <w:spacing w:after="0"/>
              <w:rPr>
                <w:sz w:val="15"/>
                <w:szCs w:val="15"/>
                <w:color w:val="auto"/>
              </w:rPr>
            </w:pPr>
          </w:p>
        </w:tc>
        <w:tc>
          <w:tcPr>
            <w:tcW w:w="20" w:type="dxa"/>
            <w:vAlign w:val="bottom"/>
            <w:shd w:val="clear" w:color="auto" w:fill="FDFDFC"/>
          </w:tcPr>
          <w:p>
            <w:pPr>
              <w:spacing w:after="0"/>
              <w:rPr>
                <w:sz w:val="15"/>
                <w:szCs w:val="15"/>
                <w:color w:val="auto"/>
              </w:rPr>
            </w:pPr>
          </w:p>
        </w:tc>
        <w:tc>
          <w:tcPr>
            <w:tcW w:w="20" w:type="dxa"/>
            <w:vAlign w:val="bottom"/>
            <w:shd w:val="clear" w:color="auto" w:fill="FDFDFC"/>
          </w:tcPr>
          <w:p>
            <w:pPr>
              <w:spacing w:after="0"/>
              <w:rPr>
                <w:sz w:val="15"/>
                <w:szCs w:val="15"/>
                <w:color w:val="auto"/>
              </w:rPr>
            </w:pPr>
          </w:p>
        </w:tc>
        <w:tc>
          <w:tcPr>
            <w:tcW w:w="40" w:type="dxa"/>
            <w:vAlign w:val="bottom"/>
            <w:shd w:val="clear" w:color="auto" w:fill="FDFDFC"/>
          </w:tcPr>
          <w:p>
            <w:pPr>
              <w:spacing w:after="0"/>
              <w:rPr>
                <w:sz w:val="15"/>
                <w:szCs w:val="15"/>
                <w:color w:val="auto"/>
              </w:rPr>
            </w:pPr>
          </w:p>
        </w:tc>
        <w:tc>
          <w:tcPr>
            <w:tcW w:w="820" w:type="dxa"/>
            <w:vAlign w:val="bottom"/>
            <w:gridSpan w:val="2"/>
            <w:shd w:val="clear" w:color="auto" w:fill="FDFDFC"/>
          </w:tcPr>
          <w:p>
            <w:pPr>
              <w:jc w:val="right"/>
              <w:ind w:right="60"/>
              <w:spacing w:after="0"/>
              <w:rPr>
                <w:sz w:val="20"/>
                <w:szCs w:val="20"/>
                <w:color w:val="auto"/>
              </w:rPr>
            </w:pPr>
            <w:r>
              <w:rPr>
                <w:rFonts w:ascii="Times New Roman" w:cs="Times New Roman" w:eastAsia="Times New Roman" w:hAnsi="Times New Roman"/>
                <w:sz w:val="14"/>
                <w:szCs w:val="14"/>
                <w:color w:val="231F20"/>
              </w:rPr>
              <w:t>(193,443 )</w:t>
            </w:r>
          </w:p>
        </w:tc>
        <w:tc>
          <w:tcPr>
            <w:tcW w:w="0" w:type="dxa"/>
            <w:vAlign w:val="bottom"/>
          </w:tcPr>
          <w:p>
            <w:pPr>
              <w:spacing w:after="0"/>
              <w:rPr>
                <w:sz w:val="1"/>
                <w:szCs w:val="1"/>
                <w:color w:val="auto"/>
              </w:rPr>
            </w:pPr>
          </w:p>
        </w:tc>
      </w:tr>
      <w:tr>
        <w:trPr>
          <w:trHeight w:val="162"/>
        </w:trPr>
        <w:tc>
          <w:tcPr>
            <w:tcW w:w="3620" w:type="dxa"/>
            <w:vAlign w:val="bottom"/>
            <w:gridSpan w:val="2"/>
            <w:shd w:val="clear" w:color="auto" w:fill="D0EBF2"/>
          </w:tcPr>
          <w:p>
            <w:pPr>
              <w:ind w:left="100"/>
              <w:spacing w:after="0"/>
              <w:rPr>
                <w:sz w:val="20"/>
                <w:szCs w:val="20"/>
                <w:color w:val="auto"/>
              </w:rPr>
            </w:pPr>
            <w:r>
              <w:rPr>
                <w:rFonts w:ascii="Times New Roman" w:cs="Times New Roman" w:eastAsia="Times New Roman" w:hAnsi="Times New Roman"/>
                <w:sz w:val="14"/>
                <w:szCs w:val="14"/>
                <w:color w:val="231F20"/>
              </w:rPr>
              <w:t>Tax reclassification of stockholders' equity in accordance</w:t>
            </w:r>
          </w:p>
        </w:tc>
        <w:tc>
          <w:tcPr>
            <w:tcW w:w="860" w:type="dxa"/>
            <w:vAlign w:val="bottom"/>
            <w:vMerge w:val="restart"/>
            <w:shd w:val="clear" w:color="auto" w:fill="D0EBF2"/>
          </w:tcPr>
          <w:p>
            <w:pPr>
              <w:jc w:val="right"/>
              <w:spacing w:after="0"/>
              <w:rPr>
                <w:sz w:val="20"/>
                <w:szCs w:val="20"/>
                <w:color w:val="auto"/>
              </w:rPr>
            </w:pPr>
            <w:r>
              <w:rPr>
                <w:rFonts w:ascii="Times New Roman" w:cs="Times New Roman" w:eastAsia="Times New Roman" w:hAnsi="Times New Roman"/>
                <w:sz w:val="14"/>
                <w:szCs w:val="14"/>
                <w:color w:val="231F20"/>
              </w:rPr>
              <w:t>—</w:t>
            </w:r>
          </w:p>
        </w:tc>
        <w:tc>
          <w:tcPr>
            <w:tcW w:w="100" w:type="dxa"/>
            <w:vAlign w:val="bottom"/>
            <w:shd w:val="clear" w:color="auto" w:fill="D0EBF2"/>
          </w:tcPr>
          <w:p>
            <w:pPr>
              <w:spacing w:after="0"/>
              <w:rPr>
                <w:sz w:val="14"/>
                <w:szCs w:val="14"/>
                <w:color w:val="auto"/>
              </w:rPr>
            </w:pPr>
          </w:p>
        </w:tc>
        <w:tc>
          <w:tcPr>
            <w:tcW w:w="100" w:type="dxa"/>
            <w:vAlign w:val="bottom"/>
            <w:shd w:val="clear" w:color="auto" w:fill="D0EBF2"/>
          </w:tcPr>
          <w:p>
            <w:pPr>
              <w:spacing w:after="0"/>
              <w:rPr>
                <w:sz w:val="14"/>
                <w:szCs w:val="14"/>
                <w:color w:val="auto"/>
              </w:rPr>
            </w:pPr>
          </w:p>
        </w:tc>
        <w:tc>
          <w:tcPr>
            <w:tcW w:w="20" w:type="dxa"/>
            <w:vAlign w:val="bottom"/>
            <w:shd w:val="clear" w:color="auto" w:fill="D0EBF2"/>
          </w:tcPr>
          <w:p>
            <w:pPr>
              <w:spacing w:after="0"/>
              <w:rPr>
                <w:sz w:val="14"/>
                <w:szCs w:val="14"/>
                <w:color w:val="auto"/>
              </w:rPr>
            </w:pPr>
          </w:p>
        </w:tc>
        <w:tc>
          <w:tcPr>
            <w:tcW w:w="20" w:type="dxa"/>
            <w:vAlign w:val="bottom"/>
            <w:shd w:val="clear" w:color="auto" w:fill="D0EBF2"/>
          </w:tcPr>
          <w:p>
            <w:pPr>
              <w:spacing w:after="0"/>
              <w:rPr>
                <w:sz w:val="14"/>
                <w:szCs w:val="14"/>
                <w:color w:val="auto"/>
              </w:rPr>
            </w:pPr>
          </w:p>
        </w:tc>
        <w:tc>
          <w:tcPr>
            <w:tcW w:w="60" w:type="dxa"/>
            <w:vAlign w:val="bottom"/>
            <w:shd w:val="clear" w:color="auto" w:fill="D0EBF2"/>
          </w:tcPr>
          <w:p>
            <w:pPr>
              <w:spacing w:after="0"/>
              <w:rPr>
                <w:sz w:val="14"/>
                <w:szCs w:val="14"/>
                <w:color w:val="auto"/>
              </w:rPr>
            </w:pPr>
          </w:p>
        </w:tc>
        <w:tc>
          <w:tcPr>
            <w:tcW w:w="420" w:type="dxa"/>
            <w:vAlign w:val="bottom"/>
            <w:vMerge w:val="restart"/>
            <w:shd w:val="clear" w:color="auto" w:fill="D0EBF2"/>
          </w:tcPr>
          <w:p>
            <w:pPr>
              <w:jc w:val="right"/>
              <w:spacing w:after="0"/>
              <w:rPr>
                <w:sz w:val="20"/>
                <w:szCs w:val="20"/>
                <w:color w:val="auto"/>
              </w:rPr>
            </w:pPr>
            <w:r>
              <w:rPr>
                <w:rFonts w:ascii="Times New Roman" w:cs="Times New Roman" w:eastAsia="Times New Roman" w:hAnsi="Times New Roman"/>
                <w:sz w:val="14"/>
                <w:szCs w:val="14"/>
                <w:color w:val="231F20"/>
              </w:rPr>
              <w:t>—</w:t>
            </w:r>
          </w:p>
        </w:tc>
        <w:tc>
          <w:tcPr>
            <w:tcW w:w="100" w:type="dxa"/>
            <w:vAlign w:val="bottom"/>
            <w:shd w:val="clear" w:color="auto" w:fill="D0EBF2"/>
          </w:tcPr>
          <w:p>
            <w:pPr>
              <w:spacing w:after="0"/>
              <w:rPr>
                <w:sz w:val="14"/>
                <w:szCs w:val="14"/>
                <w:color w:val="auto"/>
              </w:rPr>
            </w:pPr>
          </w:p>
        </w:tc>
        <w:tc>
          <w:tcPr>
            <w:tcW w:w="20" w:type="dxa"/>
            <w:vAlign w:val="bottom"/>
            <w:shd w:val="clear" w:color="auto" w:fill="D0EBF2"/>
          </w:tcPr>
          <w:p>
            <w:pPr>
              <w:spacing w:after="0"/>
              <w:rPr>
                <w:sz w:val="14"/>
                <w:szCs w:val="14"/>
                <w:color w:val="auto"/>
              </w:rPr>
            </w:pPr>
          </w:p>
        </w:tc>
        <w:tc>
          <w:tcPr>
            <w:tcW w:w="80" w:type="dxa"/>
            <w:vAlign w:val="bottom"/>
            <w:shd w:val="clear" w:color="auto" w:fill="D0EBF2"/>
          </w:tcPr>
          <w:p>
            <w:pPr>
              <w:spacing w:after="0"/>
              <w:rPr>
                <w:sz w:val="14"/>
                <w:szCs w:val="14"/>
                <w:color w:val="auto"/>
              </w:rPr>
            </w:pPr>
          </w:p>
        </w:tc>
        <w:tc>
          <w:tcPr>
            <w:tcW w:w="20" w:type="dxa"/>
            <w:vAlign w:val="bottom"/>
            <w:shd w:val="clear" w:color="auto" w:fill="D0EBF2"/>
          </w:tcPr>
          <w:p>
            <w:pPr>
              <w:spacing w:after="0"/>
              <w:rPr>
                <w:sz w:val="14"/>
                <w:szCs w:val="14"/>
                <w:color w:val="auto"/>
              </w:rPr>
            </w:pPr>
          </w:p>
        </w:tc>
        <w:tc>
          <w:tcPr>
            <w:tcW w:w="20" w:type="dxa"/>
            <w:vAlign w:val="bottom"/>
            <w:shd w:val="clear" w:color="auto" w:fill="D0EBF2"/>
          </w:tcPr>
          <w:p>
            <w:pPr>
              <w:spacing w:after="0"/>
              <w:rPr>
                <w:sz w:val="14"/>
                <w:szCs w:val="14"/>
                <w:color w:val="auto"/>
              </w:rPr>
            </w:pPr>
          </w:p>
        </w:tc>
        <w:tc>
          <w:tcPr>
            <w:tcW w:w="660" w:type="dxa"/>
            <w:vAlign w:val="bottom"/>
            <w:vMerge w:val="restart"/>
            <w:shd w:val="clear" w:color="auto" w:fill="D0EBF2"/>
          </w:tcPr>
          <w:p>
            <w:pPr>
              <w:jc w:val="right"/>
              <w:spacing w:after="0"/>
              <w:rPr>
                <w:sz w:val="20"/>
                <w:szCs w:val="20"/>
                <w:color w:val="auto"/>
              </w:rPr>
            </w:pPr>
            <w:r>
              <w:rPr>
                <w:rFonts w:ascii="Times New Roman" w:cs="Times New Roman" w:eastAsia="Times New Roman" w:hAnsi="Times New Roman"/>
                <w:sz w:val="14"/>
                <w:szCs w:val="14"/>
                <w:color w:val="231F20"/>
              </w:rPr>
              <w:t>—</w:t>
            </w:r>
          </w:p>
        </w:tc>
        <w:tc>
          <w:tcPr>
            <w:tcW w:w="100" w:type="dxa"/>
            <w:vAlign w:val="bottom"/>
            <w:shd w:val="clear" w:color="auto" w:fill="D0EBF2"/>
          </w:tcPr>
          <w:p>
            <w:pPr>
              <w:spacing w:after="0"/>
              <w:rPr>
                <w:sz w:val="14"/>
                <w:szCs w:val="14"/>
                <w:color w:val="auto"/>
              </w:rPr>
            </w:pPr>
          </w:p>
        </w:tc>
        <w:tc>
          <w:tcPr>
            <w:tcW w:w="20" w:type="dxa"/>
            <w:vAlign w:val="bottom"/>
            <w:shd w:val="clear" w:color="auto" w:fill="D0EBF2"/>
          </w:tcPr>
          <w:p>
            <w:pPr>
              <w:spacing w:after="0"/>
              <w:rPr>
                <w:sz w:val="14"/>
                <w:szCs w:val="14"/>
                <w:color w:val="auto"/>
              </w:rPr>
            </w:pPr>
          </w:p>
        </w:tc>
        <w:tc>
          <w:tcPr>
            <w:tcW w:w="80" w:type="dxa"/>
            <w:vAlign w:val="bottom"/>
            <w:shd w:val="clear" w:color="auto" w:fill="D0EBF2"/>
          </w:tcPr>
          <w:p>
            <w:pPr>
              <w:spacing w:after="0"/>
              <w:rPr>
                <w:sz w:val="14"/>
                <w:szCs w:val="14"/>
                <w:color w:val="auto"/>
              </w:rPr>
            </w:pPr>
          </w:p>
        </w:tc>
        <w:tc>
          <w:tcPr>
            <w:tcW w:w="20" w:type="dxa"/>
            <w:vAlign w:val="bottom"/>
            <w:shd w:val="clear" w:color="auto" w:fill="D0EBF2"/>
          </w:tcPr>
          <w:p>
            <w:pPr>
              <w:spacing w:after="0"/>
              <w:rPr>
                <w:sz w:val="14"/>
                <w:szCs w:val="14"/>
                <w:color w:val="auto"/>
              </w:rPr>
            </w:pPr>
          </w:p>
        </w:tc>
        <w:tc>
          <w:tcPr>
            <w:tcW w:w="20" w:type="dxa"/>
            <w:vAlign w:val="bottom"/>
            <w:shd w:val="clear" w:color="auto" w:fill="D0EBF2"/>
          </w:tcPr>
          <w:p>
            <w:pPr>
              <w:spacing w:after="0"/>
              <w:rPr>
                <w:sz w:val="14"/>
                <w:szCs w:val="14"/>
                <w:color w:val="auto"/>
              </w:rPr>
            </w:pPr>
          </w:p>
        </w:tc>
        <w:tc>
          <w:tcPr>
            <w:tcW w:w="60" w:type="dxa"/>
            <w:vAlign w:val="bottom"/>
            <w:shd w:val="clear" w:color="auto" w:fill="D0EBF2"/>
          </w:tcPr>
          <w:p>
            <w:pPr>
              <w:spacing w:after="0"/>
              <w:rPr>
                <w:sz w:val="14"/>
                <w:szCs w:val="14"/>
                <w:color w:val="auto"/>
              </w:rPr>
            </w:pPr>
          </w:p>
        </w:tc>
        <w:tc>
          <w:tcPr>
            <w:tcW w:w="620" w:type="dxa"/>
            <w:vAlign w:val="bottom"/>
            <w:gridSpan w:val="4"/>
            <w:vMerge w:val="restart"/>
            <w:shd w:val="clear" w:color="auto" w:fill="D0EBF2"/>
          </w:tcPr>
          <w:p>
            <w:pPr>
              <w:jc w:val="right"/>
              <w:ind w:right="160"/>
              <w:spacing w:after="0"/>
              <w:rPr>
                <w:sz w:val="20"/>
                <w:szCs w:val="20"/>
                <w:color w:val="auto"/>
              </w:rPr>
            </w:pPr>
            <w:r>
              <w:rPr>
                <w:rFonts w:ascii="Times New Roman" w:cs="Times New Roman" w:eastAsia="Times New Roman" w:hAnsi="Times New Roman"/>
                <w:sz w:val="14"/>
                <w:szCs w:val="14"/>
                <w:color w:val="231F20"/>
              </w:rPr>
              <w:t>—</w:t>
            </w:r>
          </w:p>
        </w:tc>
        <w:tc>
          <w:tcPr>
            <w:tcW w:w="60" w:type="dxa"/>
            <w:vAlign w:val="bottom"/>
            <w:shd w:val="clear" w:color="auto" w:fill="D0EBF2"/>
          </w:tcPr>
          <w:p>
            <w:pPr>
              <w:spacing w:after="0"/>
              <w:rPr>
                <w:sz w:val="14"/>
                <w:szCs w:val="14"/>
                <w:color w:val="auto"/>
              </w:rPr>
            </w:pPr>
          </w:p>
        </w:tc>
        <w:tc>
          <w:tcPr>
            <w:tcW w:w="140" w:type="dxa"/>
            <w:vAlign w:val="bottom"/>
            <w:shd w:val="clear" w:color="auto" w:fill="D0EBF2"/>
          </w:tcPr>
          <w:p>
            <w:pPr>
              <w:spacing w:after="0"/>
              <w:rPr>
                <w:sz w:val="14"/>
                <w:szCs w:val="14"/>
                <w:color w:val="auto"/>
              </w:rPr>
            </w:pPr>
          </w:p>
        </w:tc>
        <w:tc>
          <w:tcPr>
            <w:tcW w:w="1000" w:type="dxa"/>
            <w:vAlign w:val="bottom"/>
            <w:gridSpan w:val="2"/>
            <w:vMerge w:val="restart"/>
            <w:shd w:val="clear" w:color="auto" w:fill="D0EBF2"/>
          </w:tcPr>
          <w:p>
            <w:pPr>
              <w:jc w:val="right"/>
              <w:ind w:right="60"/>
              <w:spacing w:after="0"/>
              <w:rPr>
                <w:sz w:val="20"/>
                <w:szCs w:val="20"/>
                <w:color w:val="auto"/>
              </w:rPr>
            </w:pPr>
            <w:r>
              <w:rPr>
                <w:rFonts w:ascii="Times New Roman" w:cs="Times New Roman" w:eastAsia="Times New Roman" w:hAnsi="Times New Roman"/>
                <w:sz w:val="14"/>
                <w:szCs w:val="14"/>
                <w:color w:val="231F20"/>
              </w:rPr>
              <w:t>(3,809 )</w:t>
            </w:r>
          </w:p>
        </w:tc>
        <w:tc>
          <w:tcPr>
            <w:tcW w:w="20" w:type="dxa"/>
            <w:vAlign w:val="bottom"/>
            <w:shd w:val="clear" w:color="auto" w:fill="D0EBF2"/>
          </w:tcPr>
          <w:p>
            <w:pPr>
              <w:spacing w:after="0"/>
              <w:rPr>
                <w:sz w:val="14"/>
                <w:szCs w:val="14"/>
                <w:color w:val="auto"/>
              </w:rPr>
            </w:pPr>
          </w:p>
        </w:tc>
        <w:tc>
          <w:tcPr>
            <w:tcW w:w="80" w:type="dxa"/>
            <w:vAlign w:val="bottom"/>
            <w:shd w:val="clear" w:color="auto" w:fill="D0EBF2"/>
          </w:tcPr>
          <w:p>
            <w:pPr>
              <w:spacing w:after="0"/>
              <w:rPr>
                <w:sz w:val="14"/>
                <w:szCs w:val="14"/>
                <w:color w:val="auto"/>
              </w:rPr>
            </w:pPr>
          </w:p>
        </w:tc>
        <w:tc>
          <w:tcPr>
            <w:tcW w:w="20" w:type="dxa"/>
            <w:vAlign w:val="bottom"/>
            <w:shd w:val="clear" w:color="auto" w:fill="D0EBF2"/>
          </w:tcPr>
          <w:p>
            <w:pPr>
              <w:spacing w:after="0"/>
              <w:rPr>
                <w:sz w:val="14"/>
                <w:szCs w:val="14"/>
                <w:color w:val="auto"/>
              </w:rPr>
            </w:pPr>
          </w:p>
        </w:tc>
        <w:tc>
          <w:tcPr>
            <w:tcW w:w="20" w:type="dxa"/>
            <w:vAlign w:val="bottom"/>
            <w:shd w:val="clear" w:color="auto" w:fill="D0EBF2"/>
          </w:tcPr>
          <w:p>
            <w:pPr>
              <w:spacing w:after="0"/>
              <w:rPr>
                <w:sz w:val="14"/>
                <w:szCs w:val="14"/>
                <w:color w:val="auto"/>
              </w:rPr>
            </w:pPr>
          </w:p>
        </w:tc>
        <w:tc>
          <w:tcPr>
            <w:tcW w:w="60" w:type="dxa"/>
            <w:vAlign w:val="bottom"/>
            <w:shd w:val="clear" w:color="auto" w:fill="D0EBF2"/>
          </w:tcPr>
          <w:p>
            <w:pPr>
              <w:spacing w:after="0"/>
              <w:rPr>
                <w:sz w:val="14"/>
                <w:szCs w:val="14"/>
                <w:color w:val="auto"/>
              </w:rPr>
            </w:pPr>
          </w:p>
        </w:tc>
        <w:tc>
          <w:tcPr>
            <w:tcW w:w="720" w:type="dxa"/>
            <w:vAlign w:val="bottom"/>
            <w:vMerge w:val="restart"/>
            <w:shd w:val="clear" w:color="auto" w:fill="D0EBF2"/>
          </w:tcPr>
          <w:p>
            <w:pPr>
              <w:jc w:val="right"/>
              <w:spacing w:after="0"/>
              <w:rPr>
                <w:sz w:val="20"/>
                <w:szCs w:val="20"/>
                <w:color w:val="auto"/>
              </w:rPr>
            </w:pPr>
            <w:r>
              <w:rPr>
                <w:rFonts w:ascii="Times New Roman" w:cs="Times New Roman" w:eastAsia="Times New Roman" w:hAnsi="Times New Roman"/>
                <w:sz w:val="14"/>
                <w:szCs w:val="14"/>
                <w:color w:val="231F20"/>
              </w:rPr>
              <w:t>3,809</w:t>
            </w:r>
          </w:p>
        </w:tc>
        <w:tc>
          <w:tcPr>
            <w:tcW w:w="100" w:type="dxa"/>
            <w:vAlign w:val="bottom"/>
            <w:shd w:val="clear" w:color="auto" w:fill="D0EBF2"/>
          </w:tcPr>
          <w:p>
            <w:pPr>
              <w:spacing w:after="0"/>
              <w:rPr>
                <w:sz w:val="14"/>
                <w:szCs w:val="14"/>
                <w:color w:val="auto"/>
              </w:rPr>
            </w:pPr>
          </w:p>
        </w:tc>
        <w:tc>
          <w:tcPr>
            <w:tcW w:w="20" w:type="dxa"/>
            <w:vAlign w:val="bottom"/>
            <w:shd w:val="clear" w:color="auto" w:fill="D0EBF2"/>
          </w:tcPr>
          <w:p>
            <w:pPr>
              <w:spacing w:after="0"/>
              <w:rPr>
                <w:sz w:val="14"/>
                <w:szCs w:val="14"/>
                <w:color w:val="auto"/>
              </w:rPr>
            </w:pPr>
          </w:p>
        </w:tc>
        <w:tc>
          <w:tcPr>
            <w:tcW w:w="80" w:type="dxa"/>
            <w:vAlign w:val="bottom"/>
            <w:shd w:val="clear" w:color="auto" w:fill="D0EBF2"/>
          </w:tcPr>
          <w:p>
            <w:pPr>
              <w:spacing w:after="0"/>
              <w:rPr>
                <w:sz w:val="14"/>
                <w:szCs w:val="14"/>
                <w:color w:val="auto"/>
              </w:rPr>
            </w:pPr>
          </w:p>
        </w:tc>
        <w:tc>
          <w:tcPr>
            <w:tcW w:w="20" w:type="dxa"/>
            <w:vAlign w:val="bottom"/>
            <w:shd w:val="clear" w:color="auto" w:fill="D0EBF2"/>
          </w:tcPr>
          <w:p>
            <w:pPr>
              <w:spacing w:after="0"/>
              <w:rPr>
                <w:sz w:val="14"/>
                <w:szCs w:val="14"/>
                <w:color w:val="auto"/>
              </w:rPr>
            </w:pPr>
          </w:p>
        </w:tc>
        <w:tc>
          <w:tcPr>
            <w:tcW w:w="20" w:type="dxa"/>
            <w:vAlign w:val="bottom"/>
            <w:shd w:val="clear" w:color="auto" w:fill="D0EBF2"/>
          </w:tcPr>
          <w:p>
            <w:pPr>
              <w:spacing w:after="0"/>
              <w:rPr>
                <w:sz w:val="14"/>
                <w:szCs w:val="14"/>
                <w:color w:val="auto"/>
              </w:rPr>
            </w:pPr>
          </w:p>
        </w:tc>
        <w:tc>
          <w:tcPr>
            <w:tcW w:w="40" w:type="dxa"/>
            <w:vAlign w:val="bottom"/>
            <w:shd w:val="clear" w:color="auto" w:fill="D0EBF2"/>
          </w:tcPr>
          <w:p>
            <w:pPr>
              <w:spacing w:after="0"/>
              <w:rPr>
                <w:sz w:val="14"/>
                <w:szCs w:val="14"/>
                <w:color w:val="auto"/>
              </w:rPr>
            </w:pPr>
          </w:p>
        </w:tc>
        <w:tc>
          <w:tcPr>
            <w:tcW w:w="820" w:type="dxa"/>
            <w:vAlign w:val="bottom"/>
            <w:gridSpan w:val="2"/>
            <w:vMerge w:val="restart"/>
            <w:shd w:val="clear" w:color="auto" w:fill="D0EBF2"/>
          </w:tcPr>
          <w:p>
            <w:pPr>
              <w:jc w:val="right"/>
              <w:ind w:right="140"/>
              <w:spacing w:after="0"/>
              <w:rPr>
                <w:sz w:val="20"/>
                <w:szCs w:val="20"/>
                <w:color w:val="auto"/>
              </w:rPr>
            </w:pPr>
            <w:r>
              <w:rPr>
                <w:rFonts w:ascii="Times New Roman" w:cs="Times New Roman" w:eastAsia="Times New Roman" w:hAnsi="Times New Roman"/>
                <w:sz w:val="14"/>
                <w:szCs w:val="14"/>
                <w:color w:val="231F20"/>
              </w:rPr>
              <w:t>—</w:t>
            </w:r>
          </w:p>
        </w:tc>
        <w:tc>
          <w:tcPr>
            <w:tcW w:w="0" w:type="dxa"/>
            <w:vAlign w:val="bottom"/>
          </w:tcPr>
          <w:p>
            <w:pPr>
              <w:spacing w:after="0"/>
              <w:rPr>
                <w:sz w:val="1"/>
                <w:szCs w:val="1"/>
                <w:color w:val="auto"/>
              </w:rPr>
            </w:pPr>
          </w:p>
        </w:tc>
      </w:tr>
      <w:tr>
        <w:trPr>
          <w:trHeight w:val="177"/>
        </w:trPr>
        <w:tc>
          <w:tcPr>
            <w:tcW w:w="3620" w:type="dxa"/>
            <w:vAlign w:val="bottom"/>
            <w:gridSpan w:val="2"/>
            <w:shd w:val="clear" w:color="auto" w:fill="D0EBF2"/>
          </w:tcPr>
          <w:p>
            <w:pPr>
              <w:ind w:left="100"/>
              <w:spacing w:after="0" w:line="177" w:lineRule="exact"/>
              <w:rPr>
                <w:sz w:val="20"/>
                <w:szCs w:val="20"/>
                <w:color w:val="auto"/>
              </w:rPr>
            </w:pPr>
            <w:r>
              <w:rPr>
                <w:rFonts w:ascii="Times New Roman" w:cs="Times New Roman" w:eastAsia="Times New Roman" w:hAnsi="Times New Roman"/>
                <w:sz w:val="14"/>
                <w:szCs w:val="14"/>
                <w:color w:val="231F20"/>
              </w:rPr>
              <w:t xml:space="preserve">with GAAP </w:t>
            </w:r>
            <w:r>
              <w:rPr>
                <w:rFonts w:ascii="Times New Roman" w:cs="Times New Roman" w:eastAsia="Times New Roman" w:hAnsi="Times New Roman"/>
                <w:sz w:val="18"/>
                <w:szCs w:val="18"/>
                <w:color w:val="231F20"/>
                <w:vertAlign w:val="superscript"/>
              </w:rPr>
              <w:t>(1)</w:t>
            </w:r>
          </w:p>
        </w:tc>
        <w:tc>
          <w:tcPr>
            <w:tcW w:w="860" w:type="dxa"/>
            <w:vAlign w:val="bottom"/>
            <w:vMerge w:val="continue"/>
            <w:shd w:val="clear" w:color="auto" w:fill="D0EBF2"/>
          </w:tcPr>
          <w:p>
            <w:pPr>
              <w:spacing w:after="0"/>
              <w:rPr>
                <w:sz w:val="15"/>
                <w:szCs w:val="15"/>
                <w:color w:val="auto"/>
              </w:rPr>
            </w:pPr>
          </w:p>
        </w:tc>
        <w:tc>
          <w:tcPr>
            <w:tcW w:w="100" w:type="dxa"/>
            <w:vAlign w:val="bottom"/>
            <w:shd w:val="clear" w:color="auto" w:fill="D0EBF2"/>
          </w:tcPr>
          <w:p>
            <w:pPr>
              <w:spacing w:after="0"/>
              <w:rPr>
                <w:sz w:val="15"/>
                <w:szCs w:val="15"/>
                <w:color w:val="auto"/>
              </w:rPr>
            </w:pPr>
          </w:p>
        </w:tc>
        <w:tc>
          <w:tcPr>
            <w:tcW w:w="100" w:type="dxa"/>
            <w:vAlign w:val="bottom"/>
            <w:shd w:val="clear" w:color="auto" w:fill="D0EBF2"/>
          </w:tcPr>
          <w:p>
            <w:pPr>
              <w:spacing w:after="0"/>
              <w:rPr>
                <w:sz w:val="15"/>
                <w:szCs w:val="15"/>
                <w:color w:val="auto"/>
              </w:rPr>
            </w:pPr>
          </w:p>
        </w:tc>
        <w:tc>
          <w:tcPr>
            <w:tcW w:w="20" w:type="dxa"/>
            <w:vAlign w:val="bottom"/>
            <w:shd w:val="clear" w:color="auto" w:fill="D0EBF2"/>
          </w:tcPr>
          <w:p>
            <w:pPr>
              <w:spacing w:after="0"/>
              <w:rPr>
                <w:sz w:val="15"/>
                <w:szCs w:val="15"/>
                <w:color w:val="auto"/>
              </w:rPr>
            </w:pPr>
          </w:p>
        </w:tc>
        <w:tc>
          <w:tcPr>
            <w:tcW w:w="20" w:type="dxa"/>
            <w:vAlign w:val="bottom"/>
            <w:shd w:val="clear" w:color="auto" w:fill="D0EBF2"/>
          </w:tcPr>
          <w:p>
            <w:pPr>
              <w:spacing w:after="0"/>
              <w:rPr>
                <w:sz w:val="15"/>
                <w:szCs w:val="15"/>
                <w:color w:val="auto"/>
              </w:rPr>
            </w:pPr>
          </w:p>
        </w:tc>
        <w:tc>
          <w:tcPr>
            <w:tcW w:w="60" w:type="dxa"/>
            <w:vAlign w:val="bottom"/>
            <w:shd w:val="clear" w:color="auto" w:fill="D0EBF2"/>
          </w:tcPr>
          <w:p>
            <w:pPr>
              <w:spacing w:after="0"/>
              <w:rPr>
                <w:sz w:val="15"/>
                <w:szCs w:val="15"/>
                <w:color w:val="auto"/>
              </w:rPr>
            </w:pPr>
          </w:p>
        </w:tc>
        <w:tc>
          <w:tcPr>
            <w:tcW w:w="420" w:type="dxa"/>
            <w:vAlign w:val="bottom"/>
            <w:vMerge w:val="continue"/>
            <w:shd w:val="clear" w:color="auto" w:fill="D0EBF2"/>
          </w:tcPr>
          <w:p>
            <w:pPr>
              <w:spacing w:after="0"/>
              <w:rPr>
                <w:sz w:val="15"/>
                <w:szCs w:val="15"/>
                <w:color w:val="auto"/>
              </w:rPr>
            </w:pPr>
          </w:p>
        </w:tc>
        <w:tc>
          <w:tcPr>
            <w:tcW w:w="100" w:type="dxa"/>
            <w:vAlign w:val="bottom"/>
            <w:shd w:val="clear" w:color="auto" w:fill="D0EBF2"/>
          </w:tcPr>
          <w:p>
            <w:pPr>
              <w:spacing w:after="0"/>
              <w:rPr>
                <w:sz w:val="15"/>
                <w:szCs w:val="15"/>
                <w:color w:val="auto"/>
              </w:rPr>
            </w:pPr>
          </w:p>
        </w:tc>
        <w:tc>
          <w:tcPr>
            <w:tcW w:w="20" w:type="dxa"/>
            <w:vAlign w:val="bottom"/>
            <w:shd w:val="clear" w:color="auto" w:fill="D0EBF2"/>
          </w:tcPr>
          <w:p>
            <w:pPr>
              <w:spacing w:after="0"/>
              <w:rPr>
                <w:sz w:val="15"/>
                <w:szCs w:val="15"/>
                <w:color w:val="auto"/>
              </w:rPr>
            </w:pPr>
          </w:p>
        </w:tc>
        <w:tc>
          <w:tcPr>
            <w:tcW w:w="80" w:type="dxa"/>
            <w:vAlign w:val="bottom"/>
            <w:shd w:val="clear" w:color="auto" w:fill="D0EBF2"/>
          </w:tcPr>
          <w:p>
            <w:pPr>
              <w:spacing w:after="0"/>
              <w:rPr>
                <w:sz w:val="15"/>
                <w:szCs w:val="15"/>
                <w:color w:val="auto"/>
              </w:rPr>
            </w:pPr>
          </w:p>
        </w:tc>
        <w:tc>
          <w:tcPr>
            <w:tcW w:w="20" w:type="dxa"/>
            <w:vAlign w:val="bottom"/>
            <w:shd w:val="clear" w:color="auto" w:fill="D0EBF2"/>
          </w:tcPr>
          <w:p>
            <w:pPr>
              <w:spacing w:after="0"/>
              <w:rPr>
                <w:sz w:val="15"/>
                <w:szCs w:val="15"/>
                <w:color w:val="auto"/>
              </w:rPr>
            </w:pPr>
          </w:p>
        </w:tc>
        <w:tc>
          <w:tcPr>
            <w:tcW w:w="20" w:type="dxa"/>
            <w:vAlign w:val="bottom"/>
            <w:shd w:val="clear" w:color="auto" w:fill="D0EBF2"/>
          </w:tcPr>
          <w:p>
            <w:pPr>
              <w:spacing w:after="0"/>
              <w:rPr>
                <w:sz w:val="15"/>
                <w:szCs w:val="15"/>
                <w:color w:val="auto"/>
              </w:rPr>
            </w:pPr>
          </w:p>
        </w:tc>
        <w:tc>
          <w:tcPr>
            <w:tcW w:w="660" w:type="dxa"/>
            <w:vAlign w:val="bottom"/>
            <w:vMerge w:val="continue"/>
            <w:shd w:val="clear" w:color="auto" w:fill="D0EBF2"/>
          </w:tcPr>
          <w:p>
            <w:pPr>
              <w:spacing w:after="0"/>
              <w:rPr>
                <w:sz w:val="15"/>
                <w:szCs w:val="15"/>
                <w:color w:val="auto"/>
              </w:rPr>
            </w:pPr>
          </w:p>
        </w:tc>
        <w:tc>
          <w:tcPr>
            <w:tcW w:w="100" w:type="dxa"/>
            <w:vAlign w:val="bottom"/>
            <w:shd w:val="clear" w:color="auto" w:fill="D0EBF2"/>
          </w:tcPr>
          <w:p>
            <w:pPr>
              <w:spacing w:after="0"/>
              <w:rPr>
                <w:sz w:val="15"/>
                <w:szCs w:val="15"/>
                <w:color w:val="auto"/>
              </w:rPr>
            </w:pPr>
          </w:p>
        </w:tc>
        <w:tc>
          <w:tcPr>
            <w:tcW w:w="20" w:type="dxa"/>
            <w:vAlign w:val="bottom"/>
            <w:shd w:val="clear" w:color="auto" w:fill="D0EBF2"/>
          </w:tcPr>
          <w:p>
            <w:pPr>
              <w:spacing w:after="0"/>
              <w:rPr>
                <w:sz w:val="15"/>
                <w:szCs w:val="15"/>
                <w:color w:val="auto"/>
              </w:rPr>
            </w:pPr>
          </w:p>
        </w:tc>
        <w:tc>
          <w:tcPr>
            <w:tcW w:w="80" w:type="dxa"/>
            <w:vAlign w:val="bottom"/>
            <w:shd w:val="clear" w:color="auto" w:fill="D0EBF2"/>
          </w:tcPr>
          <w:p>
            <w:pPr>
              <w:spacing w:after="0"/>
              <w:rPr>
                <w:sz w:val="15"/>
                <w:szCs w:val="15"/>
                <w:color w:val="auto"/>
              </w:rPr>
            </w:pPr>
          </w:p>
        </w:tc>
        <w:tc>
          <w:tcPr>
            <w:tcW w:w="20" w:type="dxa"/>
            <w:vAlign w:val="bottom"/>
            <w:shd w:val="clear" w:color="auto" w:fill="D0EBF2"/>
          </w:tcPr>
          <w:p>
            <w:pPr>
              <w:spacing w:after="0"/>
              <w:rPr>
                <w:sz w:val="15"/>
                <w:szCs w:val="15"/>
                <w:color w:val="auto"/>
              </w:rPr>
            </w:pPr>
          </w:p>
        </w:tc>
        <w:tc>
          <w:tcPr>
            <w:tcW w:w="20" w:type="dxa"/>
            <w:vAlign w:val="bottom"/>
            <w:shd w:val="clear" w:color="auto" w:fill="D0EBF2"/>
          </w:tcPr>
          <w:p>
            <w:pPr>
              <w:spacing w:after="0"/>
              <w:rPr>
                <w:sz w:val="15"/>
                <w:szCs w:val="15"/>
                <w:color w:val="auto"/>
              </w:rPr>
            </w:pPr>
          </w:p>
        </w:tc>
        <w:tc>
          <w:tcPr>
            <w:tcW w:w="60" w:type="dxa"/>
            <w:vAlign w:val="bottom"/>
            <w:shd w:val="clear" w:color="auto" w:fill="D0EBF2"/>
          </w:tcPr>
          <w:p>
            <w:pPr>
              <w:spacing w:after="0"/>
              <w:rPr>
                <w:sz w:val="15"/>
                <w:szCs w:val="15"/>
                <w:color w:val="auto"/>
              </w:rPr>
            </w:pPr>
          </w:p>
        </w:tc>
        <w:tc>
          <w:tcPr>
            <w:tcW w:w="620" w:type="dxa"/>
            <w:vAlign w:val="bottom"/>
            <w:gridSpan w:val="4"/>
            <w:vMerge w:val="continue"/>
            <w:shd w:val="clear" w:color="auto" w:fill="D0EBF2"/>
          </w:tcPr>
          <w:p>
            <w:pPr>
              <w:spacing w:after="0"/>
              <w:rPr>
                <w:sz w:val="15"/>
                <w:szCs w:val="15"/>
                <w:color w:val="auto"/>
              </w:rPr>
            </w:pPr>
          </w:p>
        </w:tc>
        <w:tc>
          <w:tcPr>
            <w:tcW w:w="60" w:type="dxa"/>
            <w:vAlign w:val="bottom"/>
            <w:shd w:val="clear" w:color="auto" w:fill="D0EBF2"/>
          </w:tcPr>
          <w:p>
            <w:pPr>
              <w:spacing w:after="0"/>
              <w:rPr>
                <w:sz w:val="15"/>
                <w:szCs w:val="15"/>
                <w:color w:val="auto"/>
              </w:rPr>
            </w:pPr>
          </w:p>
        </w:tc>
        <w:tc>
          <w:tcPr>
            <w:tcW w:w="140" w:type="dxa"/>
            <w:vAlign w:val="bottom"/>
            <w:shd w:val="clear" w:color="auto" w:fill="D0EBF2"/>
          </w:tcPr>
          <w:p>
            <w:pPr>
              <w:spacing w:after="0"/>
              <w:rPr>
                <w:sz w:val="15"/>
                <w:szCs w:val="15"/>
                <w:color w:val="auto"/>
              </w:rPr>
            </w:pPr>
          </w:p>
        </w:tc>
        <w:tc>
          <w:tcPr>
            <w:tcW w:w="1000" w:type="dxa"/>
            <w:vAlign w:val="bottom"/>
            <w:gridSpan w:val="2"/>
            <w:vMerge w:val="continue"/>
            <w:shd w:val="clear" w:color="auto" w:fill="D0EBF2"/>
          </w:tcPr>
          <w:p>
            <w:pPr>
              <w:spacing w:after="0"/>
              <w:rPr>
                <w:sz w:val="15"/>
                <w:szCs w:val="15"/>
                <w:color w:val="auto"/>
              </w:rPr>
            </w:pPr>
          </w:p>
        </w:tc>
        <w:tc>
          <w:tcPr>
            <w:tcW w:w="20" w:type="dxa"/>
            <w:vAlign w:val="bottom"/>
            <w:shd w:val="clear" w:color="auto" w:fill="D0EBF2"/>
          </w:tcPr>
          <w:p>
            <w:pPr>
              <w:spacing w:after="0"/>
              <w:rPr>
                <w:sz w:val="15"/>
                <w:szCs w:val="15"/>
                <w:color w:val="auto"/>
              </w:rPr>
            </w:pPr>
          </w:p>
        </w:tc>
        <w:tc>
          <w:tcPr>
            <w:tcW w:w="80" w:type="dxa"/>
            <w:vAlign w:val="bottom"/>
            <w:shd w:val="clear" w:color="auto" w:fill="D0EBF2"/>
          </w:tcPr>
          <w:p>
            <w:pPr>
              <w:spacing w:after="0"/>
              <w:rPr>
                <w:sz w:val="15"/>
                <w:szCs w:val="15"/>
                <w:color w:val="auto"/>
              </w:rPr>
            </w:pPr>
          </w:p>
        </w:tc>
        <w:tc>
          <w:tcPr>
            <w:tcW w:w="20" w:type="dxa"/>
            <w:vAlign w:val="bottom"/>
            <w:shd w:val="clear" w:color="auto" w:fill="D0EBF2"/>
          </w:tcPr>
          <w:p>
            <w:pPr>
              <w:spacing w:after="0"/>
              <w:rPr>
                <w:sz w:val="15"/>
                <w:szCs w:val="15"/>
                <w:color w:val="auto"/>
              </w:rPr>
            </w:pPr>
          </w:p>
        </w:tc>
        <w:tc>
          <w:tcPr>
            <w:tcW w:w="20" w:type="dxa"/>
            <w:vAlign w:val="bottom"/>
            <w:shd w:val="clear" w:color="auto" w:fill="D0EBF2"/>
          </w:tcPr>
          <w:p>
            <w:pPr>
              <w:spacing w:after="0"/>
              <w:rPr>
                <w:sz w:val="15"/>
                <w:szCs w:val="15"/>
                <w:color w:val="auto"/>
              </w:rPr>
            </w:pPr>
          </w:p>
        </w:tc>
        <w:tc>
          <w:tcPr>
            <w:tcW w:w="60" w:type="dxa"/>
            <w:vAlign w:val="bottom"/>
            <w:shd w:val="clear" w:color="auto" w:fill="D0EBF2"/>
          </w:tcPr>
          <w:p>
            <w:pPr>
              <w:spacing w:after="0"/>
              <w:rPr>
                <w:sz w:val="15"/>
                <w:szCs w:val="15"/>
                <w:color w:val="auto"/>
              </w:rPr>
            </w:pPr>
          </w:p>
        </w:tc>
        <w:tc>
          <w:tcPr>
            <w:tcW w:w="720" w:type="dxa"/>
            <w:vAlign w:val="bottom"/>
            <w:vMerge w:val="continue"/>
            <w:shd w:val="clear" w:color="auto" w:fill="D0EBF2"/>
          </w:tcPr>
          <w:p>
            <w:pPr>
              <w:spacing w:after="0"/>
              <w:rPr>
                <w:sz w:val="15"/>
                <w:szCs w:val="15"/>
                <w:color w:val="auto"/>
              </w:rPr>
            </w:pPr>
          </w:p>
        </w:tc>
        <w:tc>
          <w:tcPr>
            <w:tcW w:w="100" w:type="dxa"/>
            <w:vAlign w:val="bottom"/>
            <w:shd w:val="clear" w:color="auto" w:fill="D0EBF2"/>
          </w:tcPr>
          <w:p>
            <w:pPr>
              <w:spacing w:after="0"/>
              <w:rPr>
                <w:sz w:val="15"/>
                <w:szCs w:val="15"/>
                <w:color w:val="auto"/>
              </w:rPr>
            </w:pPr>
          </w:p>
        </w:tc>
        <w:tc>
          <w:tcPr>
            <w:tcW w:w="20" w:type="dxa"/>
            <w:vAlign w:val="bottom"/>
            <w:shd w:val="clear" w:color="auto" w:fill="D0EBF2"/>
          </w:tcPr>
          <w:p>
            <w:pPr>
              <w:spacing w:after="0"/>
              <w:rPr>
                <w:sz w:val="15"/>
                <w:szCs w:val="15"/>
                <w:color w:val="auto"/>
              </w:rPr>
            </w:pPr>
          </w:p>
        </w:tc>
        <w:tc>
          <w:tcPr>
            <w:tcW w:w="80" w:type="dxa"/>
            <w:vAlign w:val="bottom"/>
            <w:shd w:val="clear" w:color="auto" w:fill="D0EBF2"/>
          </w:tcPr>
          <w:p>
            <w:pPr>
              <w:spacing w:after="0"/>
              <w:rPr>
                <w:sz w:val="15"/>
                <w:szCs w:val="15"/>
                <w:color w:val="auto"/>
              </w:rPr>
            </w:pPr>
          </w:p>
        </w:tc>
        <w:tc>
          <w:tcPr>
            <w:tcW w:w="20" w:type="dxa"/>
            <w:vAlign w:val="bottom"/>
            <w:shd w:val="clear" w:color="auto" w:fill="D0EBF2"/>
          </w:tcPr>
          <w:p>
            <w:pPr>
              <w:spacing w:after="0"/>
              <w:rPr>
                <w:sz w:val="15"/>
                <w:szCs w:val="15"/>
                <w:color w:val="auto"/>
              </w:rPr>
            </w:pPr>
          </w:p>
        </w:tc>
        <w:tc>
          <w:tcPr>
            <w:tcW w:w="20" w:type="dxa"/>
            <w:vAlign w:val="bottom"/>
            <w:shd w:val="clear" w:color="auto" w:fill="D0EBF2"/>
          </w:tcPr>
          <w:p>
            <w:pPr>
              <w:spacing w:after="0"/>
              <w:rPr>
                <w:sz w:val="15"/>
                <w:szCs w:val="15"/>
                <w:color w:val="auto"/>
              </w:rPr>
            </w:pPr>
          </w:p>
        </w:tc>
        <w:tc>
          <w:tcPr>
            <w:tcW w:w="40" w:type="dxa"/>
            <w:vAlign w:val="bottom"/>
            <w:shd w:val="clear" w:color="auto" w:fill="D0EBF2"/>
          </w:tcPr>
          <w:p>
            <w:pPr>
              <w:spacing w:after="0"/>
              <w:rPr>
                <w:sz w:val="15"/>
                <w:szCs w:val="15"/>
                <w:color w:val="auto"/>
              </w:rPr>
            </w:pPr>
          </w:p>
        </w:tc>
        <w:tc>
          <w:tcPr>
            <w:tcW w:w="820" w:type="dxa"/>
            <w:vAlign w:val="bottom"/>
            <w:gridSpan w:val="2"/>
            <w:vMerge w:val="continue"/>
            <w:shd w:val="clear" w:color="auto" w:fill="D0EBF2"/>
          </w:tcPr>
          <w:p>
            <w:pPr>
              <w:spacing w:after="0"/>
              <w:rPr>
                <w:sz w:val="15"/>
                <w:szCs w:val="15"/>
                <w:color w:val="auto"/>
              </w:rPr>
            </w:pPr>
          </w:p>
        </w:tc>
        <w:tc>
          <w:tcPr>
            <w:tcW w:w="0" w:type="dxa"/>
            <w:vAlign w:val="bottom"/>
          </w:tcPr>
          <w:p>
            <w:pPr>
              <w:spacing w:after="0"/>
              <w:rPr>
                <w:sz w:val="1"/>
                <w:szCs w:val="1"/>
                <w:color w:val="auto"/>
              </w:rPr>
            </w:pPr>
          </w:p>
        </w:tc>
      </w:tr>
      <w:tr>
        <w:trPr>
          <w:trHeight w:val="166"/>
        </w:trPr>
        <w:tc>
          <w:tcPr>
            <w:tcW w:w="3620" w:type="dxa"/>
            <w:vAlign w:val="bottom"/>
            <w:tcBorders>
              <w:top w:val="single" w:sz="8" w:color="FDFDFC"/>
            </w:tcBorders>
            <w:gridSpan w:val="2"/>
            <w:shd w:val="clear" w:color="auto" w:fill="FDFDFC"/>
          </w:tcPr>
          <w:p>
            <w:pPr>
              <w:spacing w:after="0"/>
              <w:rPr>
                <w:sz w:val="20"/>
                <w:szCs w:val="20"/>
                <w:color w:val="auto"/>
              </w:rPr>
            </w:pPr>
            <w:r>
              <w:rPr>
                <w:rFonts w:ascii="Times New Roman" w:cs="Times New Roman" w:eastAsia="Times New Roman" w:hAnsi="Times New Roman"/>
                <w:sz w:val="14"/>
                <w:szCs w:val="14"/>
                <w:b w:val="1"/>
                <w:bCs w:val="1"/>
                <w:color w:val="231F20"/>
              </w:rPr>
              <w:t>Balance at December 31, 2024</w:t>
            </w:r>
          </w:p>
        </w:tc>
        <w:tc>
          <w:tcPr>
            <w:tcW w:w="860" w:type="dxa"/>
            <w:vAlign w:val="bottom"/>
            <w:tcBorders>
              <w:top w:val="single" w:sz="8" w:color="231F20"/>
              <w:bottom w:val="single" w:sz="8" w:color="231F20"/>
            </w:tcBorders>
            <w:shd w:val="clear" w:color="auto" w:fill="FDFDFC"/>
          </w:tcPr>
          <w:p>
            <w:pPr>
              <w:jc w:val="right"/>
              <w:spacing w:after="0"/>
              <w:rPr>
                <w:sz w:val="20"/>
                <w:szCs w:val="20"/>
                <w:color w:val="auto"/>
              </w:rPr>
            </w:pPr>
            <w:r>
              <w:rPr>
                <w:rFonts w:ascii="Times New Roman" w:cs="Times New Roman" w:eastAsia="Times New Roman" w:hAnsi="Times New Roman"/>
                <w:sz w:val="14"/>
                <w:szCs w:val="14"/>
                <w:b w:val="1"/>
                <w:bCs w:val="1"/>
                <w:color w:val="231F20"/>
              </w:rPr>
              <w:t>93,661,436</w:t>
            </w:r>
          </w:p>
        </w:tc>
        <w:tc>
          <w:tcPr>
            <w:tcW w:w="100" w:type="dxa"/>
            <w:vAlign w:val="bottom"/>
            <w:tcBorders>
              <w:top w:val="single" w:sz="8" w:color="FDFDFC"/>
            </w:tcBorders>
            <w:shd w:val="clear" w:color="auto" w:fill="FDFDFC"/>
          </w:tcPr>
          <w:p>
            <w:pPr>
              <w:spacing w:after="0"/>
              <w:rPr>
                <w:sz w:val="14"/>
                <w:szCs w:val="14"/>
                <w:color w:val="auto"/>
              </w:rPr>
            </w:pPr>
          </w:p>
        </w:tc>
        <w:tc>
          <w:tcPr>
            <w:tcW w:w="200" w:type="dxa"/>
            <w:vAlign w:val="bottom"/>
            <w:tcBorders>
              <w:top w:val="single" w:sz="8" w:color="231F20"/>
              <w:bottom w:val="single" w:sz="8" w:color="231F20"/>
            </w:tcBorders>
            <w:gridSpan w:val="4"/>
            <w:shd w:val="clear" w:color="auto" w:fill="FDFDFC"/>
          </w:tcPr>
          <w:p>
            <w:pPr>
              <w:ind w:left="100"/>
              <w:spacing w:after="0"/>
              <w:rPr>
                <w:sz w:val="20"/>
                <w:szCs w:val="20"/>
                <w:color w:val="auto"/>
              </w:rPr>
            </w:pPr>
            <w:r>
              <w:rPr>
                <w:rFonts w:ascii="Times New Roman" w:cs="Times New Roman" w:eastAsia="Times New Roman" w:hAnsi="Times New Roman"/>
                <w:sz w:val="14"/>
                <w:szCs w:val="14"/>
                <w:b w:val="1"/>
                <w:bCs w:val="1"/>
                <w:color w:val="231F20"/>
              </w:rPr>
              <w:t>$</w:t>
            </w:r>
          </w:p>
        </w:tc>
        <w:tc>
          <w:tcPr>
            <w:tcW w:w="420" w:type="dxa"/>
            <w:vAlign w:val="bottom"/>
            <w:tcBorders>
              <w:top w:val="single" w:sz="8" w:color="231F20"/>
              <w:bottom w:val="single" w:sz="8" w:color="231F20"/>
            </w:tcBorders>
            <w:shd w:val="clear" w:color="auto" w:fill="FDFDFC"/>
          </w:tcPr>
          <w:p>
            <w:pPr>
              <w:jc w:val="right"/>
              <w:spacing w:after="0"/>
              <w:rPr>
                <w:sz w:val="20"/>
                <w:szCs w:val="20"/>
                <w:color w:val="auto"/>
              </w:rPr>
            </w:pPr>
            <w:r>
              <w:rPr>
                <w:rFonts w:ascii="Times New Roman" w:cs="Times New Roman" w:eastAsia="Times New Roman" w:hAnsi="Times New Roman"/>
                <w:sz w:val="14"/>
                <w:szCs w:val="14"/>
                <w:b w:val="1"/>
                <w:bCs w:val="1"/>
                <w:color w:val="231F20"/>
              </w:rPr>
              <w:t>943</w:t>
            </w:r>
          </w:p>
        </w:tc>
        <w:tc>
          <w:tcPr>
            <w:tcW w:w="100" w:type="dxa"/>
            <w:vAlign w:val="bottom"/>
            <w:tcBorders>
              <w:top w:val="single" w:sz="8" w:color="FDFDFC"/>
            </w:tcBorders>
            <w:shd w:val="clear" w:color="auto" w:fill="FDFDFC"/>
          </w:tcPr>
          <w:p>
            <w:pPr>
              <w:spacing w:after="0"/>
              <w:rPr>
                <w:sz w:val="14"/>
                <w:szCs w:val="14"/>
                <w:color w:val="auto"/>
              </w:rPr>
            </w:pPr>
          </w:p>
        </w:tc>
        <w:tc>
          <w:tcPr>
            <w:tcW w:w="20" w:type="dxa"/>
            <w:vAlign w:val="bottom"/>
            <w:tcBorders>
              <w:top w:val="single" w:sz="8" w:color="231F20"/>
              <w:bottom w:val="single" w:sz="8" w:color="231F20"/>
            </w:tcBorders>
            <w:shd w:val="clear" w:color="auto" w:fill="FDFDFC"/>
          </w:tcPr>
          <w:p>
            <w:pPr>
              <w:spacing w:after="0"/>
              <w:rPr>
                <w:sz w:val="14"/>
                <w:szCs w:val="14"/>
                <w:color w:val="auto"/>
              </w:rPr>
            </w:pPr>
          </w:p>
        </w:tc>
        <w:tc>
          <w:tcPr>
            <w:tcW w:w="780" w:type="dxa"/>
            <w:vAlign w:val="bottom"/>
            <w:tcBorders>
              <w:top w:val="single" w:sz="8" w:color="231F20"/>
              <w:bottom w:val="single" w:sz="8" w:color="231F20"/>
            </w:tcBorders>
            <w:gridSpan w:val="4"/>
            <w:shd w:val="clear" w:color="auto" w:fill="FDFDFC"/>
          </w:tcPr>
          <w:p>
            <w:pPr>
              <w:jc w:val="right"/>
              <w:spacing w:after="0"/>
              <w:rPr>
                <w:sz w:val="20"/>
                <w:szCs w:val="20"/>
                <w:color w:val="auto"/>
              </w:rPr>
            </w:pPr>
            <w:r>
              <w:rPr>
                <w:rFonts w:ascii="Times New Roman" w:cs="Times New Roman" w:eastAsia="Times New Roman" w:hAnsi="Times New Roman"/>
                <w:sz w:val="14"/>
                <w:szCs w:val="14"/>
                <w:b w:val="1"/>
                <w:bCs w:val="1"/>
                <w:color w:val="231F20"/>
              </w:rPr>
              <w:t>664,250</w:t>
            </w:r>
          </w:p>
        </w:tc>
        <w:tc>
          <w:tcPr>
            <w:tcW w:w="100" w:type="dxa"/>
            <w:vAlign w:val="bottom"/>
            <w:tcBorders>
              <w:top w:val="single" w:sz="8" w:color="FDFDFC"/>
            </w:tcBorders>
            <w:shd w:val="clear" w:color="auto" w:fill="FDFDFC"/>
          </w:tcPr>
          <w:p>
            <w:pPr>
              <w:spacing w:after="0"/>
              <w:rPr>
                <w:sz w:val="14"/>
                <w:szCs w:val="14"/>
                <w:color w:val="auto"/>
              </w:rPr>
            </w:pPr>
          </w:p>
        </w:tc>
        <w:tc>
          <w:tcPr>
            <w:tcW w:w="20" w:type="dxa"/>
            <w:vAlign w:val="bottom"/>
            <w:tcBorders>
              <w:top w:val="single" w:sz="8" w:color="231F20"/>
              <w:bottom w:val="single" w:sz="8" w:color="231F20"/>
            </w:tcBorders>
            <w:shd w:val="clear" w:color="auto" w:fill="FDFDFC"/>
          </w:tcPr>
          <w:p>
            <w:pPr>
              <w:spacing w:after="0"/>
              <w:rPr>
                <w:sz w:val="14"/>
                <w:szCs w:val="14"/>
                <w:color w:val="auto"/>
              </w:rPr>
            </w:pPr>
          </w:p>
        </w:tc>
        <w:tc>
          <w:tcPr>
            <w:tcW w:w="180" w:type="dxa"/>
            <w:vAlign w:val="bottom"/>
            <w:tcBorders>
              <w:top w:val="single" w:sz="8" w:color="231F20"/>
              <w:bottom w:val="single" w:sz="8" w:color="231F20"/>
            </w:tcBorders>
            <w:gridSpan w:val="4"/>
            <w:shd w:val="clear" w:color="auto" w:fill="FDFDFC"/>
          </w:tcPr>
          <w:p>
            <w:pPr>
              <w:jc w:val="right"/>
              <w:spacing w:after="0"/>
              <w:rPr>
                <w:sz w:val="20"/>
                <w:szCs w:val="20"/>
                <w:color w:val="auto"/>
              </w:rPr>
            </w:pPr>
            <w:r>
              <w:rPr>
                <w:rFonts w:ascii="Times New Roman" w:cs="Times New Roman" w:eastAsia="Times New Roman" w:hAnsi="Times New Roman"/>
                <w:sz w:val="14"/>
                <w:szCs w:val="14"/>
                <w:b w:val="1"/>
                <w:bCs w:val="1"/>
                <w:color w:val="231F20"/>
              </w:rPr>
              <w:t>$</w:t>
            </w:r>
          </w:p>
        </w:tc>
        <w:tc>
          <w:tcPr>
            <w:tcW w:w="480" w:type="dxa"/>
            <w:vAlign w:val="bottom"/>
            <w:tcBorders>
              <w:top w:val="single" w:sz="8" w:color="231F20"/>
              <w:bottom w:val="single" w:sz="8" w:color="231F20"/>
            </w:tcBorders>
            <w:shd w:val="clear" w:color="auto" w:fill="FDFDFC"/>
          </w:tcPr>
          <w:p>
            <w:pPr>
              <w:jc w:val="right"/>
              <w:spacing w:after="0"/>
              <w:rPr>
                <w:sz w:val="20"/>
                <w:szCs w:val="20"/>
                <w:color w:val="auto"/>
              </w:rPr>
            </w:pPr>
            <w:r>
              <w:rPr>
                <w:rFonts w:ascii="Times New Roman" w:cs="Times New Roman" w:eastAsia="Times New Roman" w:hAnsi="Times New Roman"/>
                <w:sz w:val="14"/>
                <w:szCs w:val="14"/>
                <w:b w:val="1"/>
                <w:bCs w:val="1"/>
                <w:color w:val="231F20"/>
              </w:rPr>
              <w:t>(10,459</w:t>
            </w:r>
          </w:p>
        </w:tc>
        <w:tc>
          <w:tcPr>
            <w:tcW w:w="100" w:type="dxa"/>
            <w:vAlign w:val="bottom"/>
            <w:tcBorders>
              <w:top w:val="single" w:sz="8" w:color="FDFDFC"/>
            </w:tcBorders>
            <w:shd w:val="clear" w:color="auto" w:fill="FDFDFC"/>
          </w:tcPr>
          <w:p>
            <w:pPr>
              <w:jc w:val="right"/>
              <w:spacing w:after="0"/>
              <w:rPr>
                <w:sz w:val="20"/>
                <w:szCs w:val="20"/>
                <w:color w:val="auto"/>
              </w:rPr>
            </w:pPr>
            <w:r>
              <w:rPr>
                <w:rFonts w:ascii="Times New Roman" w:cs="Times New Roman" w:eastAsia="Times New Roman" w:hAnsi="Times New Roman"/>
                <w:sz w:val="14"/>
                <w:szCs w:val="14"/>
                <w:b w:val="1"/>
                <w:bCs w:val="1"/>
                <w:color w:val="231F20"/>
                <w:highlight w:val="white"/>
                <w:w w:val="84"/>
              </w:rPr>
              <w:t>)</w:t>
            </w:r>
          </w:p>
        </w:tc>
        <w:tc>
          <w:tcPr>
            <w:tcW w:w="20" w:type="dxa"/>
            <w:vAlign w:val="bottom"/>
            <w:tcBorders>
              <w:top w:val="single" w:sz="8" w:color="FDFDFC"/>
            </w:tcBorders>
            <w:shd w:val="clear" w:color="auto" w:fill="FDFDFC"/>
          </w:tcPr>
          <w:p>
            <w:pPr>
              <w:spacing w:after="0"/>
              <w:rPr>
                <w:sz w:val="14"/>
                <w:szCs w:val="14"/>
                <w:color w:val="auto"/>
              </w:rPr>
            </w:pPr>
          </w:p>
        </w:tc>
        <w:tc>
          <w:tcPr>
            <w:tcW w:w="20" w:type="dxa"/>
            <w:vAlign w:val="bottom"/>
            <w:tcBorders>
              <w:top w:val="single" w:sz="8" w:color="231F20"/>
              <w:bottom w:val="single" w:sz="8" w:color="231F20"/>
            </w:tcBorders>
            <w:shd w:val="clear" w:color="auto" w:fill="FDFDFC"/>
          </w:tcPr>
          <w:p>
            <w:pPr>
              <w:spacing w:after="0"/>
              <w:rPr>
                <w:sz w:val="14"/>
                <w:szCs w:val="14"/>
                <w:color w:val="auto"/>
              </w:rPr>
            </w:pPr>
          </w:p>
        </w:tc>
        <w:tc>
          <w:tcPr>
            <w:tcW w:w="200" w:type="dxa"/>
            <w:vAlign w:val="bottom"/>
            <w:tcBorders>
              <w:top w:val="single" w:sz="8" w:color="231F20"/>
              <w:bottom w:val="single" w:sz="8" w:color="231F20"/>
            </w:tcBorders>
            <w:gridSpan w:val="2"/>
            <w:shd w:val="clear" w:color="auto" w:fill="FDFDFC"/>
          </w:tcPr>
          <w:p>
            <w:pPr>
              <w:jc w:val="right"/>
              <w:spacing w:after="0"/>
              <w:rPr>
                <w:sz w:val="20"/>
                <w:szCs w:val="20"/>
                <w:color w:val="auto"/>
              </w:rPr>
            </w:pPr>
            <w:r>
              <w:rPr>
                <w:rFonts w:ascii="Times New Roman" w:cs="Times New Roman" w:eastAsia="Times New Roman" w:hAnsi="Times New Roman"/>
                <w:sz w:val="14"/>
                <w:szCs w:val="14"/>
                <w:b w:val="1"/>
                <w:bCs w:val="1"/>
                <w:color w:val="231F20"/>
              </w:rPr>
              <w:t>$</w:t>
            </w:r>
          </w:p>
        </w:tc>
        <w:tc>
          <w:tcPr>
            <w:tcW w:w="900" w:type="dxa"/>
            <w:vAlign w:val="bottom"/>
            <w:tcBorders>
              <w:top w:val="single" w:sz="8" w:color="231F20"/>
              <w:bottom w:val="single" w:sz="8" w:color="231F20"/>
            </w:tcBorders>
            <w:shd w:val="clear" w:color="auto" w:fill="FDFDFC"/>
          </w:tcPr>
          <w:p>
            <w:pPr>
              <w:jc w:val="right"/>
              <w:spacing w:after="0"/>
              <w:rPr>
                <w:sz w:val="20"/>
                <w:szCs w:val="20"/>
                <w:color w:val="auto"/>
              </w:rPr>
            </w:pPr>
            <w:r>
              <w:rPr>
                <w:rFonts w:ascii="Times New Roman" w:cs="Times New Roman" w:eastAsia="Times New Roman" w:hAnsi="Times New Roman"/>
                <w:sz w:val="14"/>
                <w:szCs w:val="14"/>
                <w:b w:val="1"/>
                <w:bCs w:val="1"/>
                <w:color w:val="231F20"/>
              </w:rPr>
              <w:t>1,519,337</w:t>
            </w:r>
          </w:p>
        </w:tc>
        <w:tc>
          <w:tcPr>
            <w:tcW w:w="100" w:type="dxa"/>
            <w:vAlign w:val="bottom"/>
            <w:tcBorders>
              <w:top w:val="single" w:sz="8" w:color="FDFDFC"/>
            </w:tcBorders>
            <w:shd w:val="clear" w:color="auto" w:fill="FDFDFC"/>
          </w:tcPr>
          <w:p>
            <w:pPr>
              <w:spacing w:after="0"/>
              <w:rPr>
                <w:sz w:val="14"/>
                <w:szCs w:val="14"/>
                <w:color w:val="auto"/>
              </w:rPr>
            </w:pPr>
          </w:p>
        </w:tc>
        <w:tc>
          <w:tcPr>
            <w:tcW w:w="20" w:type="dxa"/>
            <w:vAlign w:val="bottom"/>
            <w:tcBorders>
              <w:top w:val="single" w:sz="8" w:color="231F20"/>
              <w:bottom w:val="single" w:sz="8" w:color="231F20"/>
            </w:tcBorders>
            <w:shd w:val="clear" w:color="auto" w:fill="FDFDFC"/>
          </w:tcPr>
          <w:p>
            <w:pPr>
              <w:spacing w:after="0"/>
              <w:rPr>
                <w:sz w:val="14"/>
                <w:szCs w:val="14"/>
                <w:color w:val="auto"/>
              </w:rPr>
            </w:pPr>
          </w:p>
        </w:tc>
        <w:tc>
          <w:tcPr>
            <w:tcW w:w="80" w:type="dxa"/>
            <w:vAlign w:val="bottom"/>
            <w:tcBorders>
              <w:top w:val="single" w:sz="8" w:color="231F20"/>
              <w:bottom w:val="single" w:sz="8" w:color="231F20"/>
            </w:tcBorders>
            <w:shd w:val="clear" w:color="auto" w:fill="FDFDFC"/>
          </w:tcPr>
          <w:p>
            <w:pPr>
              <w:spacing w:after="0"/>
              <w:rPr>
                <w:sz w:val="14"/>
                <w:szCs w:val="14"/>
                <w:color w:val="auto"/>
              </w:rPr>
            </w:pPr>
          </w:p>
        </w:tc>
        <w:tc>
          <w:tcPr>
            <w:tcW w:w="20" w:type="dxa"/>
            <w:vAlign w:val="bottom"/>
            <w:tcBorders>
              <w:top w:val="single" w:sz="8" w:color="231F20"/>
              <w:bottom w:val="single" w:sz="8" w:color="231F20"/>
            </w:tcBorders>
            <w:shd w:val="clear" w:color="auto" w:fill="FDFDFC"/>
          </w:tcPr>
          <w:p>
            <w:pPr>
              <w:spacing w:after="0"/>
              <w:rPr>
                <w:sz w:val="14"/>
                <w:szCs w:val="14"/>
                <w:color w:val="auto"/>
              </w:rPr>
            </w:pPr>
          </w:p>
        </w:tc>
        <w:tc>
          <w:tcPr>
            <w:tcW w:w="20" w:type="dxa"/>
            <w:vAlign w:val="bottom"/>
            <w:tcBorders>
              <w:top w:val="single" w:sz="8" w:color="231F20"/>
              <w:bottom w:val="single" w:sz="8" w:color="231F20"/>
            </w:tcBorders>
            <w:shd w:val="clear" w:color="auto" w:fill="FDFDFC"/>
          </w:tcPr>
          <w:p>
            <w:pPr>
              <w:spacing w:after="0"/>
              <w:rPr>
                <w:sz w:val="14"/>
                <w:szCs w:val="14"/>
                <w:color w:val="auto"/>
              </w:rPr>
            </w:pPr>
          </w:p>
        </w:tc>
        <w:tc>
          <w:tcPr>
            <w:tcW w:w="60" w:type="dxa"/>
            <w:vAlign w:val="bottom"/>
            <w:tcBorders>
              <w:top w:val="single" w:sz="8" w:color="231F20"/>
              <w:bottom w:val="single" w:sz="8" w:color="231F20"/>
            </w:tcBorders>
            <w:shd w:val="clear" w:color="auto" w:fill="FDFDFC"/>
          </w:tcPr>
          <w:p>
            <w:pPr>
              <w:spacing w:after="0"/>
              <w:rPr>
                <w:sz w:val="20"/>
                <w:szCs w:val="20"/>
                <w:color w:val="auto"/>
              </w:rPr>
            </w:pPr>
            <w:r>
              <w:rPr>
                <w:rFonts w:ascii="Times New Roman" w:cs="Times New Roman" w:eastAsia="Times New Roman" w:hAnsi="Times New Roman"/>
                <w:sz w:val="11"/>
                <w:szCs w:val="11"/>
                <w:b w:val="1"/>
                <w:bCs w:val="1"/>
                <w:color w:val="231F20"/>
                <w:w w:val="71"/>
              </w:rPr>
              <w:t>$</w:t>
            </w:r>
          </w:p>
        </w:tc>
        <w:tc>
          <w:tcPr>
            <w:tcW w:w="720" w:type="dxa"/>
            <w:vAlign w:val="bottom"/>
            <w:tcBorders>
              <w:top w:val="single" w:sz="8" w:color="231F20"/>
              <w:bottom w:val="single" w:sz="8" w:color="231F20"/>
            </w:tcBorders>
            <w:shd w:val="clear" w:color="auto" w:fill="FDFDFC"/>
          </w:tcPr>
          <w:p>
            <w:pPr>
              <w:jc w:val="right"/>
              <w:spacing w:after="0"/>
              <w:rPr>
                <w:sz w:val="20"/>
                <w:szCs w:val="20"/>
                <w:color w:val="auto"/>
              </w:rPr>
            </w:pPr>
            <w:r>
              <w:rPr>
                <w:rFonts w:ascii="Times New Roman" w:cs="Times New Roman" w:eastAsia="Times New Roman" w:hAnsi="Times New Roman"/>
                <w:sz w:val="14"/>
                <w:szCs w:val="14"/>
                <w:b w:val="1"/>
                <w:bCs w:val="1"/>
                <w:color w:val="231F20"/>
              </w:rPr>
              <w:t>97,708</w:t>
            </w:r>
          </w:p>
        </w:tc>
        <w:tc>
          <w:tcPr>
            <w:tcW w:w="100" w:type="dxa"/>
            <w:vAlign w:val="bottom"/>
            <w:tcBorders>
              <w:top w:val="single" w:sz="8" w:color="FDFDFC"/>
            </w:tcBorders>
            <w:shd w:val="clear" w:color="auto" w:fill="FDFDFC"/>
          </w:tcPr>
          <w:p>
            <w:pPr>
              <w:spacing w:after="0"/>
              <w:rPr>
                <w:sz w:val="14"/>
                <w:szCs w:val="14"/>
                <w:color w:val="auto"/>
              </w:rPr>
            </w:pPr>
          </w:p>
        </w:tc>
        <w:tc>
          <w:tcPr>
            <w:tcW w:w="20" w:type="dxa"/>
            <w:vAlign w:val="bottom"/>
            <w:tcBorders>
              <w:top w:val="single" w:sz="8" w:color="231F20"/>
              <w:bottom w:val="single" w:sz="8" w:color="231F20"/>
            </w:tcBorders>
            <w:shd w:val="clear" w:color="auto" w:fill="FDFDFC"/>
          </w:tcPr>
          <w:p>
            <w:pPr>
              <w:spacing w:after="0"/>
              <w:rPr>
                <w:sz w:val="14"/>
                <w:szCs w:val="14"/>
                <w:color w:val="auto"/>
              </w:rPr>
            </w:pPr>
          </w:p>
        </w:tc>
        <w:tc>
          <w:tcPr>
            <w:tcW w:w="80" w:type="dxa"/>
            <w:vAlign w:val="bottom"/>
            <w:tcBorders>
              <w:top w:val="single" w:sz="8" w:color="231F20"/>
              <w:bottom w:val="single" w:sz="8" w:color="231F20"/>
            </w:tcBorders>
            <w:shd w:val="clear" w:color="auto" w:fill="FDFDFC"/>
          </w:tcPr>
          <w:p>
            <w:pPr>
              <w:spacing w:after="0"/>
              <w:rPr>
                <w:sz w:val="14"/>
                <w:szCs w:val="14"/>
                <w:color w:val="auto"/>
              </w:rPr>
            </w:pPr>
          </w:p>
        </w:tc>
        <w:tc>
          <w:tcPr>
            <w:tcW w:w="20" w:type="dxa"/>
            <w:vAlign w:val="bottom"/>
            <w:tcBorders>
              <w:top w:val="single" w:sz="8" w:color="231F20"/>
              <w:bottom w:val="single" w:sz="8" w:color="231F20"/>
            </w:tcBorders>
            <w:shd w:val="clear" w:color="auto" w:fill="FDFDFC"/>
          </w:tcPr>
          <w:p>
            <w:pPr>
              <w:spacing w:after="0"/>
              <w:rPr>
                <w:sz w:val="14"/>
                <w:szCs w:val="14"/>
                <w:color w:val="auto"/>
              </w:rPr>
            </w:pPr>
          </w:p>
        </w:tc>
        <w:tc>
          <w:tcPr>
            <w:tcW w:w="20" w:type="dxa"/>
            <w:vAlign w:val="bottom"/>
            <w:tcBorders>
              <w:top w:val="single" w:sz="8" w:color="231F20"/>
              <w:bottom w:val="single" w:sz="8" w:color="231F20"/>
            </w:tcBorders>
            <w:shd w:val="clear" w:color="auto" w:fill="FDFDFC"/>
          </w:tcPr>
          <w:p>
            <w:pPr>
              <w:spacing w:after="0"/>
              <w:rPr>
                <w:sz w:val="14"/>
                <w:szCs w:val="14"/>
                <w:color w:val="auto"/>
              </w:rPr>
            </w:pPr>
          </w:p>
        </w:tc>
        <w:tc>
          <w:tcPr>
            <w:tcW w:w="40" w:type="dxa"/>
            <w:vAlign w:val="bottom"/>
            <w:tcBorders>
              <w:top w:val="single" w:sz="8" w:color="231F20"/>
              <w:bottom w:val="single" w:sz="8" w:color="231F20"/>
            </w:tcBorders>
            <w:shd w:val="clear" w:color="auto" w:fill="FDFDFC"/>
          </w:tcPr>
          <w:p>
            <w:pPr>
              <w:jc w:val="right"/>
              <w:spacing w:after="0"/>
              <w:rPr>
                <w:sz w:val="20"/>
                <w:szCs w:val="20"/>
                <w:color w:val="auto"/>
              </w:rPr>
            </w:pPr>
            <w:r>
              <w:rPr>
                <w:rFonts w:ascii="Times New Roman" w:cs="Times New Roman" w:eastAsia="Times New Roman" w:hAnsi="Times New Roman"/>
                <w:sz w:val="5"/>
                <w:szCs w:val="5"/>
                <w:b w:val="1"/>
                <w:bCs w:val="1"/>
                <w:color w:val="231F20"/>
                <w:w w:val="78"/>
              </w:rPr>
              <w:t>$</w:t>
            </w:r>
          </w:p>
        </w:tc>
        <w:tc>
          <w:tcPr>
            <w:tcW w:w="720" w:type="dxa"/>
            <w:vAlign w:val="bottom"/>
            <w:tcBorders>
              <w:top w:val="single" w:sz="8" w:color="231F20"/>
              <w:bottom w:val="single" w:sz="8" w:color="231F20"/>
            </w:tcBorders>
            <w:shd w:val="clear" w:color="auto" w:fill="FDFDFC"/>
          </w:tcPr>
          <w:p>
            <w:pPr>
              <w:jc w:val="right"/>
              <w:spacing w:after="0"/>
              <w:rPr>
                <w:sz w:val="20"/>
                <w:szCs w:val="20"/>
                <w:color w:val="auto"/>
              </w:rPr>
            </w:pPr>
            <w:r>
              <w:rPr>
                <w:rFonts w:ascii="Times New Roman" w:cs="Times New Roman" w:eastAsia="Times New Roman" w:hAnsi="Times New Roman"/>
                <w:sz w:val="14"/>
                <w:szCs w:val="14"/>
                <w:b w:val="1"/>
                <w:bCs w:val="1"/>
                <w:color w:val="231F20"/>
              </w:rPr>
              <w:t>1,607,529</w:t>
            </w:r>
          </w:p>
        </w:tc>
        <w:tc>
          <w:tcPr>
            <w:tcW w:w="100" w:type="dxa"/>
            <w:vAlign w:val="bottom"/>
            <w:tcBorders>
              <w:top w:val="single" w:sz="8" w:color="FDFDFC"/>
            </w:tcBorders>
            <w:shd w:val="clear" w:color="auto" w:fill="FDFDFC"/>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tcBorders>
              <w:bottom w:val="single" w:sz="8" w:color="231F20"/>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231F20"/>
            </w:tcBorders>
          </w:tcPr>
          <w:p>
            <w:pPr>
              <w:spacing w:after="0" w:line="20" w:lineRule="exact"/>
              <w:rPr>
                <w:sz w:val="1"/>
                <w:szCs w:val="1"/>
                <w:color w:val="auto"/>
              </w:rPr>
            </w:pPr>
          </w:p>
        </w:tc>
        <w:tc>
          <w:tcPr>
            <w:tcW w:w="20" w:type="dxa"/>
            <w:vAlign w:val="bottom"/>
            <w:tcBorders>
              <w:bottom w:val="single" w:sz="8" w:color="231F20"/>
            </w:tcBorders>
          </w:tcPr>
          <w:p>
            <w:pPr>
              <w:spacing w:after="0" w:line="20" w:lineRule="exact"/>
              <w:rPr>
                <w:sz w:val="1"/>
                <w:szCs w:val="1"/>
                <w:color w:val="auto"/>
              </w:rPr>
            </w:pPr>
          </w:p>
        </w:tc>
        <w:tc>
          <w:tcPr>
            <w:tcW w:w="20" w:type="dxa"/>
            <w:vAlign w:val="bottom"/>
            <w:tcBorders>
              <w:bottom w:val="single" w:sz="8" w:color="231F20"/>
            </w:tcBorders>
          </w:tcPr>
          <w:p>
            <w:pPr>
              <w:spacing w:after="0" w:line="20" w:lineRule="exact"/>
              <w:rPr>
                <w:sz w:val="1"/>
                <w:szCs w:val="1"/>
                <w:color w:val="auto"/>
              </w:rPr>
            </w:pPr>
          </w:p>
        </w:tc>
        <w:tc>
          <w:tcPr>
            <w:tcW w:w="60" w:type="dxa"/>
            <w:vAlign w:val="bottom"/>
            <w:tcBorders>
              <w:bottom w:val="single" w:sz="8" w:color="231F20"/>
            </w:tcBorders>
          </w:tcPr>
          <w:p>
            <w:pPr>
              <w:spacing w:after="0" w:line="20" w:lineRule="exact"/>
              <w:rPr>
                <w:sz w:val="1"/>
                <w:szCs w:val="1"/>
                <w:color w:val="auto"/>
              </w:rPr>
            </w:pPr>
          </w:p>
        </w:tc>
        <w:tc>
          <w:tcPr>
            <w:tcW w:w="420" w:type="dxa"/>
            <w:vAlign w:val="bottom"/>
            <w:tcBorders>
              <w:bottom w:val="single" w:sz="8" w:color="231F20"/>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231F20"/>
            </w:tcBorders>
          </w:tcPr>
          <w:p>
            <w:pPr>
              <w:spacing w:after="0" w:line="20" w:lineRule="exact"/>
              <w:rPr>
                <w:sz w:val="1"/>
                <w:szCs w:val="1"/>
                <w:color w:val="auto"/>
              </w:rPr>
            </w:pPr>
          </w:p>
        </w:tc>
        <w:tc>
          <w:tcPr>
            <w:tcW w:w="80" w:type="dxa"/>
            <w:vAlign w:val="bottom"/>
            <w:tcBorders>
              <w:bottom w:val="single" w:sz="8" w:color="231F20"/>
            </w:tcBorders>
          </w:tcPr>
          <w:p>
            <w:pPr>
              <w:spacing w:after="0" w:line="20" w:lineRule="exact"/>
              <w:rPr>
                <w:sz w:val="1"/>
                <w:szCs w:val="1"/>
                <w:color w:val="auto"/>
              </w:rPr>
            </w:pPr>
          </w:p>
        </w:tc>
        <w:tc>
          <w:tcPr>
            <w:tcW w:w="20" w:type="dxa"/>
            <w:vAlign w:val="bottom"/>
            <w:tcBorders>
              <w:bottom w:val="single" w:sz="8" w:color="231F20"/>
            </w:tcBorders>
          </w:tcPr>
          <w:p>
            <w:pPr>
              <w:spacing w:after="0" w:line="20" w:lineRule="exact"/>
              <w:rPr>
                <w:sz w:val="1"/>
                <w:szCs w:val="1"/>
                <w:color w:val="auto"/>
              </w:rPr>
            </w:pPr>
          </w:p>
        </w:tc>
        <w:tc>
          <w:tcPr>
            <w:tcW w:w="20" w:type="dxa"/>
            <w:vAlign w:val="bottom"/>
            <w:tcBorders>
              <w:bottom w:val="single" w:sz="8" w:color="231F20"/>
            </w:tcBorders>
          </w:tcPr>
          <w:p>
            <w:pPr>
              <w:spacing w:after="0" w:line="20" w:lineRule="exact"/>
              <w:rPr>
                <w:sz w:val="1"/>
                <w:szCs w:val="1"/>
                <w:color w:val="auto"/>
              </w:rPr>
            </w:pPr>
          </w:p>
        </w:tc>
        <w:tc>
          <w:tcPr>
            <w:tcW w:w="660" w:type="dxa"/>
            <w:vAlign w:val="bottom"/>
            <w:tcBorders>
              <w:bottom w:val="single" w:sz="8" w:color="231F20"/>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231F20"/>
            </w:tcBorders>
          </w:tcPr>
          <w:p>
            <w:pPr>
              <w:spacing w:after="0" w:line="20" w:lineRule="exact"/>
              <w:rPr>
                <w:sz w:val="1"/>
                <w:szCs w:val="1"/>
                <w:color w:val="auto"/>
              </w:rPr>
            </w:pPr>
          </w:p>
        </w:tc>
        <w:tc>
          <w:tcPr>
            <w:tcW w:w="80" w:type="dxa"/>
            <w:vAlign w:val="bottom"/>
            <w:tcBorders>
              <w:bottom w:val="single" w:sz="8" w:color="231F20"/>
            </w:tcBorders>
          </w:tcPr>
          <w:p>
            <w:pPr>
              <w:spacing w:after="0" w:line="20" w:lineRule="exact"/>
              <w:rPr>
                <w:sz w:val="1"/>
                <w:szCs w:val="1"/>
                <w:color w:val="auto"/>
              </w:rPr>
            </w:pPr>
          </w:p>
        </w:tc>
        <w:tc>
          <w:tcPr>
            <w:tcW w:w="20" w:type="dxa"/>
            <w:vAlign w:val="bottom"/>
            <w:tcBorders>
              <w:bottom w:val="single" w:sz="8" w:color="231F20"/>
            </w:tcBorders>
          </w:tcPr>
          <w:p>
            <w:pPr>
              <w:spacing w:after="0" w:line="20" w:lineRule="exact"/>
              <w:rPr>
                <w:sz w:val="1"/>
                <w:szCs w:val="1"/>
                <w:color w:val="auto"/>
              </w:rPr>
            </w:pPr>
          </w:p>
        </w:tc>
        <w:tc>
          <w:tcPr>
            <w:tcW w:w="20" w:type="dxa"/>
            <w:vAlign w:val="bottom"/>
            <w:tcBorders>
              <w:bottom w:val="single" w:sz="8" w:color="231F20"/>
            </w:tcBorders>
          </w:tcPr>
          <w:p>
            <w:pPr>
              <w:spacing w:after="0" w:line="20" w:lineRule="exact"/>
              <w:rPr>
                <w:sz w:val="1"/>
                <w:szCs w:val="1"/>
                <w:color w:val="auto"/>
              </w:rPr>
            </w:pPr>
          </w:p>
        </w:tc>
        <w:tc>
          <w:tcPr>
            <w:tcW w:w="60" w:type="dxa"/>
            <w:vAlign w:val="bottom"/>
            <w:tcBorders>
              <w:bottom w:val="single" w:sz="8" w:color="231F20"/>
            </w:tcBorders>
          </w:tcPr>
          <w:p>
            <w:pPr>
              <w:spacing w:after="0" w:line="20" w:lineRule="exact"/>
              <w:rPr>
                <w:sz w:val="1"/>
                <w:szCs w:val="1"/>
                <w:color w:val="auto"/>
              </w:rPr>
            </w:pPr>
          </w:p>
        </w:tc>
        <w:tc>
          <w:tcPr>
            <w:tcW w:w="480" w:type="dxa"/>
            <w:vAlign w:val="bottom"/>
            <w:tcBorders>
              <w:bottom w:val="single" w:sz="8" w:color="231F20"/>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bottom w:val="single" w:sz="8" w:color="231F20"/>
            </w:tcBorders>
          </w:tcPr>
          <w:p>
            <w:pPr>
              <w:spacing w:after="0" w:line="20" w:lineRule="exact"/>
              <w:rPr>
                <w:sz w:val="1"/>
                <w:szCs w:val="1"/>
                <w:color w:val="auto"/>
              </w:rPr>
            </w:pPr>
          </w:p>
        </w:tc>
        <w:tc>
          <w:tcPr>
            <w:tcW w:w="60" w:type="dxa"/>
            <w:vAlign w:val="bottom"/>
            <w:tcBorders>
              <w:bottom w:val="single" w:sz="8" w:color="231F20"/>
            </w:tcBorders>
          </w:tcPr>
          <w:p>
            <w:pPr>
              <w:spacing w:after="0" w:line="20" w:lineRule="exact"/>
              <w:rPr>
                <w:sz w:val="1"/>
                <w:szCs w:val="1"/>
                <w:color w:val="auto"/>
              </w:rPr>
            </w:pPr>
          </w:p>
        </w:tc>
        <w:tc>
          <w:tcPr>
            <w:tcW w:w="140" w:type="dxa"/>
            <w:vAlign w:val="bottom"/>
            <w:tcBorders>
              <w:bottom w:val="single" w:sz="8" w:color="231F20"/>
            </w:tcBorders>
          </w:tcPr>
          <w:p>
            <w:pPr>
              <w:spacing w:after="0" w:line="20" w:lineRule="exact"/>
              <w:rPr>
                <w:sz w:val="1"/>
                <w:szCs w:val="1"/>
                <w:color w:val="auto"/>
              </w:rPr>
            </w:pPr>
          </w:p>
        </w:tc>
        <w:tc>
          <w:tcPr>
            <w:tcW w:w="900" w:type="dxa"/>
            <w:vAlign w:val="bottom"/>
            <w:tcBorders>
              <w:bottom w:val="single" w:sz="8" w:color="231F20"/>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231F20"/>
            </w:tcBorders>
          </w:tcPr>
          <w:p>
            <w:pPr>
              <w:spacing w:after="0" w:line="20" w:lineRule="exact"/>
              <w:rPr>
                <w:sz w:val="1"/>
                <w:szCs w:val="1"/>
                <w:color w:val="auto"/>
              </w:rPr>
            </w:pPr>
          </w:p>
        </w:tc>
        <w:tc>
          <w:tcPr>
            <w:tcW w:w="80" w:type="dxa"/>
            <w:vAlign w:val="bottom"/>
            <w:tcBorders>
              <w:bottom w:val="single" w:sz="8" w:color="231F20"/>
            </w:tcBorders>
          </w:tcPr>
          <w:p>
            <w:pPr>
              <w:spacing w:after="0" w:line="20" w:lineRule="exact"/>
              <w:rPr>
                <w:sz w:val="1"/>
                <w:szCs w:val="1"/>
                <w:color w:val="auto"/>
              </w:rPr>
            </w:pPr>
          </w:p>
        </w:tc>
        <w:tc>
          <w:tcPr>
            <w:tcW w:w="20" w:type="dxa"/>
            <w:vAlign w:val="bottom"/>
            <w:tcBorders>
              <w:bottom w:val="single" w:sz="8" w:color="231F20"/>
            </w:tcBorders>
          </w:tcPr>
          <w:p>
            <w:pPr>
              <w:spacing w:after="0" w:line="20" w:lineRule="exact"/>
              <w:rPr>
                <w:sz w:val="1"/>
                <w:szCs w:val="1"/>
                <w:color w:val="auto"/>
              </w:rPr>
            </w:pPr>
          </w:p>
        </w:tc>
        <w:tc>
          <w:tcPr>
            <w:tcW w:w="20" w:type="dxa"/>
            <w:vAlign w:val="bottom"/>
            <w:tcBorders>
              <w:bottom w:val="single" w:sz="8" w:color="231F20"/>
            </w:tcBorders>
          </w:tcPr>
          <w:p>
            <w:pPr>
              <w:spacing w:after="0" w:line="20" w:lineRule="exact"/>
              <w:rPr>
                <w:sz w:val="1"/>
                <w:szCs w:val="1"/>
                <w:color w:val="auto"/>
              </w:rPr>
            </w:pPr>
          </w:p>
        </w:tc>
        <w:tc>
          <w:tcPr>
            <w:tcW w:w="60" w:type="dxa"/>
            <w:vAlign w:val="bottom"/>
            <w:tcBorders>
              <w:bottom w:val="single" w:sz="8" w:color="231F20"/>
            </w:tcBorders>
          </w:tcPr>
          <w:p>
            <w:pPr>
              <w:spacing w:after="0" w:line="20" w:lineRule="exact"/>
              <w:rPr>
                <w:sz w:val="1"/>
                <w:szCs w:val="1"/>
                <w:color w:val="auto"/>
              </w:rPr>
            </w:pPr>
          </w:p>
        </w:tc>
        <w:tc>
          <w:tcPr>
            <w:tcW w:w="720" w:type="dxa"/>
            <w:vAlign w:val="bottom"/>
            <w:tcBorders>
              <w:bottom w:val="single" w:sz="8" w:color="231F20"/>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231F20"/>
            </w:tcBorders>
          </w:tcPr>
          <w:p>
            <w:pPr>
              <w:spacing w:after="0" w:line="20" w:lineRule="exact"/>
              <w:rPr>
                <w:sz w:val="1"/>
                <w:szCs w:val="1"/>
                <w:color w:val="auto"/>
              </w:rPr>
            </w:pPr>
          </w:p>
        </w:tc>
        <w:tc>
          <w:tcPr>
            <w:tcW w:w="80" w:type="dxa"/>
            <w:vAlign w:val="bottom"/>
            <w:tcBorders>
              <w:bottom w:val="single" w:sz="8" w:color="231F20"/>
            </w:tcBorders>
          </w:tcPr>
          <w:p>
            <w:pPr>
              <w:spacing w:after="0" w:line="20" w:lineRule="exact"/>
              <w:rPr>
                <w:sz w:val="1"/>
                <w:szCs w:val="1"/>
                <w:color w:val="auto"/>
              </w:rPr>
            </w:pPr>
          </w:p>
        </w:tc>
        <w:tc>
          <w:tcPr>
            <w:tcW w:w="20" w:type="dxa"/>
            <w:vAlign w:val="bottom"/>
            <w:tcBorders>
              <w:bottom w:val="single" w:sz="8" w:color="231F20"/>
            </w:tcBorders>
          </w:tcPr>
          <w:p>
            <w:pPr>
              <w:spacing w:after="0" w:line="20" w:lineRule="exact"/>
              <w:rPr>
                <w:sz w:val="1"/>
                <w:szCs w:val="1"/>
                <w:color w:val="auto"/>
              </w:rPr>
            </w:pPr>
          </w:p>
        </w:tc>
        <w:tc>
          <w:tcPr>
            <w:tcW w:w="20" w:type="dxa"/>
            <w:vAlign w:val="bottom"/>
            <w:tcBorders>
              <w:bottom w:val="single" w:sz="8" w:color="231F20"/>
            </w:tcBorders>
          </w:tcPr>
          <w:p>
            <w:pPr>
              <w:spacing w:after="0" w:line="20" w:lineRule="exact"/>
              <w:rPr>
                <w:sz w:val="1"/>
                <w:szCs w:val="1"/>
                <w:color w:val="auto"/>
              </w:rPr>
            </w:pPr>
          </w:p>
        </w:tc>
        <w:tc>
          <w:tcPr>
            <w:tcW w:w="40" w:type="dxa"/>
            <w:vAlign w:val="bottom"/>
            <w:tcBorders>
              <w:bottom w:val="single" w:sz="8" w:color="231F20"/>
            </w:tcBorders>
          </w:tcPr>
          <w:p>
            <w:pPr>
              <w:spacing w:after="0" w:line="20" w:lineRule="exact"/>
              <w:rPr>
                <w:sz w:val="1"/>
                <w:szCs w:val="1"/>
                <w:color w:val="auto"/>
              </w:rPr>
            </w:pPr>
          </w:p>
        </w:tc>
        <w:tc>
          <w:tcPr>
            <w:tcW w:w="720" w:type="dxa"/>
            <w:vAlign w:val="bottom"/>
            <w:tcBorders>
              <w:bottom w:val="single" w:sz="8" w:color="231F20"/>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7" w:lineRule="exact"/>
        <w:rPr>
          <w:sz w:val="20"/>
          <w:szCs w:val="20"/>
          <w:color w:val="auto"/>
        </w:rPr>
      </w:pPr>
    </w:p>
    <w:p>
      <w:pPr>
        <w:ind w:left="4940" w:right="4080" w:hanging="4933"/>
        <w:spacing w:after="0" w:line="683" w:lineRule="auto"/>
        <w:tabs>
          <w:tab w:leader="none" w:pos="468" w:val="left"/>
        </w:tabs>
        <w:numPr>
          <w:ilvl w:val="0"/>
          <w:numId w:val="79"/>
        </w:numPr>
        <w:rPr>
          <w:rFonts w:ascii="Times New Roman" w:cs="Times New Roman" w:eastAsia="Times New Roman" w:hAnsi="Times New Roman"/>
          <w:sz w:val="19"/>
          <w:szCs w:val="19"/>
          <w:color w:val="231F20"/>
        </w:rPr>
      </w:pPr>
      <w:r>
        <w:rPr>
          <w:rFonts w:ascii="Times New Roman" w:cs="Times New Roman" w:eastAsia="Times New Roman" w:hAnsi="Times New Roman"/>
          <w:sz w:val="19"/>
          <w:szCs w:val="19"/>
          <w:color w:val="231F20"/>
        </w:rPr>
        <w:t>The Company changed its tax year end from March 31st to December 31st. F-25</w:t>
      </w:r>
    </w:p>
    <w:p>
      <w:pPr>
        <w:sectPr>
          <w:pgSz w:w="12240" w:h="15840" w:orient="portrait"/>
          <w:cols w:equalWidth="0" w:num="1">
            <w:col w:w="10240"/>
          </w:cols>
          <w:pgMar w:left="1000" w:top="1315" w:right="1000" w:bottom="138" w:gutter="0" w:footer="0" w:header="0"/>
        </w:sectPr>
      </w:pPr>
    </w:p>
    <w:bookmarkStart w:id="113" w:name="page114"/>
    <w:bookmarkEnd w:id="113"/>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231F20"/>
        </w:rPr>
        <w:t>The accompanying notes are an integral part of these consolidated financial statements.</w:t>
      </w:r>
    </w:p>
    <w:p>
      <w:pPr>
        <w:sectPr>
          <w:pgSz w:w="12240" w:h="15840" w:orient="portrait"/>
          <w:cols w:equalWidth="0" w:num="1">
            <w:col w:w="9360"/>
          </w:cols>
          <w:pgMar w:left="1440" w:top="1440" w:right="1440" w:bottom="57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231F20"/>
        </w:rPr>
        <w:t>F-26</w:t>
      </w:r>
    </w:p>
    <w:p>
      <w:pPr>
        <w:sectPr>
          <w:pgSz w:w="12240" w:h="15840" w:orient="portrait"/>
          <w:cols w:equalWidth="0" w:num="1">
            <w:col w:w="9360"/>
          </w:cols>
          <w:pgMar w:left="1440" w:top="1440" w:right="1440" w:bottom="574" w:gutter="0" w:footer="0" w:header="0"/>
          <w:type w:val="continuous"/>
        </w:sectPr>
      </w:pPr>
    </w:p>
    <w:bookmarkStart w:id="114" w:name="page115"/>
    <w:bookmarkEnd w:id="114"/>
    <w:p>
      <w:pPr>
        <w:jc w:val="center"/>
        <w:spacing w:after="0"/>
        <w:rPr>
          <w:sz w:val="20"/>
          <w:szCs w:val="20"/>
          <w:color w:val="auto"/>
        </w:rPr>
      </w:pPr>
      <w:r>
        <w:rPr>
          <w:rFonts w:ascii="Times New Roman" w:cs="Times New Roman" w:eastAsia="Times New Roman" w:hAnsi="Times New Roman"/>
          <w:sz w:val="19"/>
          <w:szCs w:val="19"/>
          <w:b w:val="1"/>
          <w:bCs w:val="1"/>
          <w:color w:val="231F20"/>
        </w:rPr>
        <w:t>Sixth Street Specialty Lending, Inc.</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231F20"/>
        </w:rPr>
        <w:t>Consolidated Statements of Cash Flows</w:t>
      </w:r>
    </w:p>
    <w:p>
      <w:pPr>
        <w:jc w:val="center"/>
        <w:spacing w:after="0"/>
        <w:rPr>
          <w:sz w:val="20"/>
          <w:szCs w:val="20"/>
          <w:color w:val="auto"/>
        </w:rPr>
      </w:pPr>
      <w:r>
        <w:rPr>
          <w:rFonts w:ascii="Times New Roman" w:cs="Times New Roman" w:eastAsia="Times New Roman" w:hAnsi="Times New Roman"/>
          <w:sz w:val="19"/>
          <w:szCs w:val="19"/>
          <w:b w:val="1"/>
          <w:bCs w:val="1"/>
          <w:color w:val="231F20"/>
        </w:rPr>
        <w:t>(Amounts in thousands)</w:t>
      </w: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5100" w:type="dxa"/>
            <w:vAlign w:val="bottom"/>
            <w:shd w:val="clear" w:color="auto" w:fill="FDFDFC"/>
          </w:tcPr>
          <w:p>
            <w:pPr>
              <w:spacing w:after="0"/>
              <w:rPr>
                <w:sz w:val="15"/>
                <w:szCs w:val="15"/>
                <w:color w:val="auto"/>
              </w:rPr>
            </w:pPr>
          </w:p>
        </w:tc>
        <w:tc>
          <w:tcPr>
            <w:tcW w:w="80" w:type="dxa"/>
            <w:vAlign w:val="bottom"/>
            <w:shd w:val="clear" w:color="auto" w:fill="FDFDFC"/>
          </w:tcPr>
          <w:p>
            <w:pPr>
              <w:spacing w:after="0"/>
              <w:rPr>
                <w:sz w:val="15"/>
                <w:szCs w:val="15"/>
                <w:color w:val="auto"/>
              </w:rPr>
            </w:pPr>
          </w:p>
        </w:tc>
        <w:tc>
          <w:tcPr>
            <w:tcW w:w="100" w:type="dxa"/>
            <w:vAlign w:val="bottom"/>
            <w:shd w:val="clear" w:color="auto" w:fill="FDFDFC"/>
          </w:tcPr>
          <w:p>
            <w:pPr>
              <w:spacing w:after="0"/>
              <w:rPr>
                <w:sz w:val="15"/>
                <w:szCs w:val="15"/>
                <w:color w:val="auto"/>
              </w:rPr>
            </w:pPr>
          </w:p>
        </w:tc>
        <w:tc>
          <w:tcPr>
            <w:tcW w:w="1380" w:type="dxa"/>
            <w:vAlign w:val="bottom"/>
            <w:shd w:val="clear" w:color="auto" w:fill="FDFDFC"/>
          </w:tcPr>
          <w:p>
            <w:pPr>
              <w:jc w:val="right"/>
              <w:ind w:right="284"/>
              <w:spacing w:after="0"/>
              <w:rPr>
                <w:sz w:val="20"/>
                <w:szCs w:val="20"/>
                <w:color w:val="auto"/>
              </w:rPr>
            </w:pPr>
            <w:r>
              <w:rPr>
                <w:rFonts w:ascii="Times New Roman" w:cs="Times New Roman" w:eastAsia="Times New Roman" w:hAnsi="Times New Roman"/>
                <w:sz w:val="15"/>
                <w:szCs w:val="15"/>
                <w:b w:val="1"/>
                <w:bCs w:val="1"/>
                <w:color w:val="231F20"/>
              </w:rPr>
              <w:t>Year Ended</w:t>
            </w:r>
          </w:p>
        </w:tc>
        <w:tc>
          <w:tcPr>
            <w:tcW w:w="100" w:type="dxa"/>
            <w:vAlign w:val="bottom"/>
            <w:shd w:val="clear" w:color="auto" w:fill="FDFDFC"/>
          </w:tcPr>
          <w:p>
            <w:pPr>
              <w:spacing w:after="0"/>
              <w:rPr>
                <w:sz w:val="15"/>
                <w:szCs w:val="15"/>
                <w:color w:val="auto"/>
              </w:rPr>
            </w:pPr>
          </w:p>
        </w:tc>
        <w:tc>
          <w:tcPr>
            <w:tcW w:w="120" w:type="dxa"/>
            <w:vAlign w:val="bottom"/>
            <w:shd w:val="clear" w:color="auto" w:fill="FDFDFC"/>
          </w:tcPr>
          <w:p>
            <w:pPr>
              <w:spacing w:after="0"/>
              <w:rPr>
                <w:sz w:val="15"/>
                <w:szCs w:val="15"/>
                <w:color w:val="auto"/>
              </w:rPr>
            </w:pPr>
          </w:p>
        </w:tc>
        <w:tc>
          <w:tcPr>
            <w:tcW w:w="100" w:type="dxa"/>
            <w:vAlign w:val="bottom"/>
            <w:shd w:val="clear" w:color="auto" w:fill="FDFDFC"/>
          </w:tcPr>
          <w:p>
            <w:pPr>
              <w:spacing w:after="0"/>
              <w:rPr>
                <w:sz w:val="15"/>
                <w:szCs w:val="15"/>
                <w:color w:val="auto"/>
              </w:rPr>
            </w:pPr>
          </w:p>
        </w:tc>
        <w:tc>
          <w:tcPr>
            <w:tcW w:w="1660" w:type="dxa"/>
            <w:vAlign w:val="bottom"/>
            <w:gridSpan w:val="2"/>
            <w:shd w:val="clear" w:color="auto" w:fill="FDFDFC"/>
          </w:tcPr>
          <w:p>
            <w:pPr>
              <w:jc w:val="right"/>
              <w:ind w:right="620"/>
              <w:spacing w:after="0"/>
              <w:rPr>
                <w:sz w:val="20"/>
                <w:szCs w:val="20"/>
                <w:color w:val="auto"/>
              </w:rPr>
            </w:pPr>
            <w:r>
              <w:rPr>
                <w:rFonts w:ascii="Times New Roman" w:cs="Times New Roman" w:eastAsia="Times New Roman" w:hAnsi="Times New Roman"/>
                <w:sz w:val="15"/>
                <w:szCs w:val="15"/>
                <w:b w:val="1"/>
                <w:bCs w:val="1"/>
                <w:color w:val="231F20"/>
              </w:rPr>
              <w:t>Year Ended</w:t>
            </w:r>
          </w:p>
        </w:tc>
        <w:tc>
          <w:tcPr>
            <w:tcW w:w="80" w:type="dxa"/>
            <w:vAlign w:val="bottom"/>
            <w:shd w:val="clear" w:color="auto" w:fill="FDFDFC"/>
          </w:tcPr>
          <w:p>
            <w:pPr>
              <w:spacing w:after="0"/>
              <w:rPr>
                <w:sz w:val="15"/>
                <w:szCs w:val="15"/>
                <w:color w:val="auto"/>
              </w:rPr>
            </w:pPr>
          </w:p>
        </w:tc>
        <w:tc>
          <w:tcPr>
            <w:tcW w:w="1480" w:type="dxa"/>
            <w:vAlign w:val="bottom"/>
            <w:gridSpan w:val="2"/>
            <w:shd w:val="clear" w:color="auto" w:fill="FDFDFC"/>
          </w:tcPr>
          <w:p>
            <w:pPr>
              <w:jc w:val="right"/>
              <w:ind w:right="422"/>
              <w:spacing w:after="0"/>
              <w:rPr>
                <w:sz w:val="20"/>
                <w:szCs w:val="20"/>
                <w:color w:val="auto"/>
              </w:rPr>
            </w:pPr>
            <w:r>
              <w:rPr>
                <w:rFonts w:ascii="Times New Roman" w:cs="Times New Roman" w:eastAsia="Times New Roman" w:hAnsi="Times New Roman"/>
                <w:sz w:val="15"/>
                <w:szCs w:val="15"/>
                <w:b w:val="1"/>
                <w:bCs w:val="1"/>
                <w:color w:val="231F20"/>
              </w:rPr>
              <w:t>Year Ended</w:t>
            </w:r>
          </w:p>
        </w:tc>
        <w:tc>
          <w:tcPr>
            <w:tcW w:w="0" w:type="dxa"/>
            <w:vAlign w:val="bottom"/>
          </w:tcPr>
          <w:p>
            <w:pPr>
              <w:spacing w:after="0"/>
              <w:rPr>
                <w:sz w:val="1"/>
                <w:szCs w:val="1"/>
                <w:color w:val="auto"/>
              </w:rPr>
            </w:pPr>
          </w:p>
        </w:tc>
      </w:tr>
      <w:tr>
        <w:trPr>
          <w:trHeight w:val="174"/>
        </w:trPr>
        <w:tc>
          <w:tcPr>
            <w:tcW w:w="5100" w:type="dxa"/>
            <w:vAlign w:val="bottom"/>
            <w:shd w:val="clear" w:color="auto" w:fill="FDFDFC"/>
          </w:tcPr>
          <w:p>
            <w:pPr>
              <w:spacing w:after="0"/>
              <w:rPr>
                <w:sz w:val="15"/>
                <w:szCs w:val="15"/>
                <w:color w:val="auto"/>
              </w:rPr>
            </w:pPr>
          </w:p>
        </w:tc>
        <w:tc>
          <w:tcPr>
            <w:tcW w:w="80" w:type="dxa"/>
            <w:vAlign w:val="bottom"/>
            <w:shd w:val="clear" w:color="auto" w:fill="FDFDFC"/>
          </w:tcPr>
          <w:p>
            <w:pPr>
              <w:spacing w:after="0"/>
              <w:rPr>
                <w:sz w:val="15"/>
                <w:szCs w:val="15"/>
                <w:color w:val="auto"/>
              </w:rPr>
            </w:pPr>
          </w:p>
        </w:tc>
        <w:tc>
          <w:tcPr>
            <w:tcW w:w="100" w:type="dxa"/>
            <w:vAlign w:val="bottom"/>
            <w:shd w:val="clear" w:color="auto" w:fill="FDFDFC"/>
          </w:tcPr>
          <w:p>
            <w:pPr>
              <w:spacing w:after="0"/>
              <w:rPr>
                <w:sz w:val="15"/>
                <w:szCs w:val="15"/>
                <w:color w:val="auto"/>
              </w:rPr>
            </w:pPr>
          </w:p>
        </w:tc>
        <w:tc>
          <w:tcPr>
            <w:tcW w:w="1380" w:type="dxa"/>
            <w:vAlign w:val="bottom"/>
            <w:shd w:val="clear" w:color="auto" w:fill="FDFDFC"/>
          </w:tcPr>
          <w:p>
            <w:pPr>
              <w:jc w:val="right"/>
              <w:ind w:right="64"/>
              <w:spacing w:after="0"/>
              <w:rPr>
                <w:sz w:val="20"/>
                <w:szCs w:val="20"/>
                <w:color w:val="auto"/>
              </w:rPr>
            </w:pPr>
            <w:r>
              <w:rPr>
                <w:rFonts w:ascii="Times New Roman" w:cs="Times New Roman" w:eastAsia="Times New Roman" w:hAnsi="Times New Roman"/>
                <w:sz w:val="15"/>
                <w:szCs w:val="15"/>
                <w:b w:val="1"/>
                <w:bCs w:val="1"/>
                <w:color w:val="231F20"/>
              </w:rPr>
              <w:t>December 31, 2024</w:t>
            </w:r>
          </w:p>
        </w:tc>
        <w:tc>
          <w:tcPr>
            <w:tcW w:w="100" w:type="dxa"/>
            <w:vAlign w:val="bottom"/>
            <w:shd w:val="clear" w:color="auto" w:fill="FDFDFC"/>
          </w:tcPr>
          <w:p>
            <w:pPr>
              <w:spacing w:after="0"/>
              <w:rPr>
                <w:sz w:val="15"/>
                <w:szCs w:val="15"/>
                <w:color w:val="auto"/>
              </w:rPr>
            </w:pPr>
          </w:p>
        </w:tc>
        <w:tc>
          <w:tcPr>
            <w:tcW w:w="120" w:type="dxa"/>
            <w:vAlign w:val="bottom"/>
            <w:shd w:val="clear" w:color="auto" w:fill="FDFDFC"/>
          </w:tcPr>
          <w:p>
            <w:pPr>
              <w:spacing w:after="0"/>
              <w:rPr>
                <w:sz w:val="15"/>
                <w:szCs w:val="15"/>
                <w:color w:val="auto"/>
              </w:rPr>
            </w:pPr>
          </w:p>
        </w:tc>
        <w:tc>
          <w:tcPr>
            <w:tcW w:w="100" w:type="dxa"/>
            <w:vAlign w:val="bottom"/>
            <w:shd w:val="clear" w:color="auto" w:fill="FDFDFC"/>
          </w:tcPr>
          <w:p>
            <w:pPr>
              <w:spacing w:after="0"/>
              <w:rPr>
                <w:sz w:val="15"/>
                <w:szCs w:val="15"/>
                <w:color w:val="auto"/>
              </w:rPr>
            </w:pPr>
          </w:p>
        </w:tc>
        <w:tc>
          <w:tcPr>
            <w:tcW w:w="1660" w:type="dxa"/>
            <w:vAlign w:val="bottom"/>
            <w:gridSpan w:val="2"/>
            <w:shd w:val="clear" w:color="auto" w:fill="FDFDFC"/>
          </w:tcPr>
          <w:p>
            <w:pPr>
              <w:jc w:val="right"/>
              <w:ind w:right="400"/>
              <w:spacing w:after="0"/>
              <w:rPr>
                <w:sz w:val="20"/>
                <w:szCs w:val="20"/>
                <w:color w:val="auto"/>
              </w:rPr>
            </w:pPr>
            <w:r>
              <w:rPr>
                <w:rFonts w:ascii="Times New Roman" w:cs="Times New Roman" w:eastAsia="Times New Roman" w:hAnsi="Times New Roman"/>
                <w:sz w:val="15"/>
                <w:szCs w:val="15"/>
                <w:b w:val="1"/>
                <w:bCs w:val="1"/>
                <w:color w:val="231F20"/>
              </w:rPr>
              <w:t>December 31, 2023</w:t>
            </w:r>
          </w:p>
        </w:tc>
        <w:tc>
          <w:tcPr>
            <w:tcW w:w="80" w:type="dxa"/>
            <w:vAlign w:val="bottom"/>
            <w:shd w:val="clear" w:color="auto" w:fill="FDFDFC"/>
          </w:tcPr>
          <w:p>
            <w:pPr>
              <w:spacing w:after="0"/>
              <w:rPr>
                <w:sz w:val="15"/>
                <w:szCs w:val="15"/>
                <w:color w:val="auto"/>
              </w:rPr>
            </w:pPr>
          </w:p>
        </w:tc>
        <w:tc>
          <w:tcPr>
            <w:tcW w:w="1480" w:type="dxa"/>
            <w:vAlign w:val="bottom"/>
            <w:gridSpan w:val="2"/>
            <w:shd w:val="clear" w:color="auto" w:fill="FDFDFC"/>
          </w:tcPr>
          <w:p>
            <w:pPr>
              <w:jc w:val="right"/>
              <w:ind w:right="202"/>
              <w:spacing w:after="0"/>
              <w:rPr>
                <w:sz w:val="20"/>
                <w:szCs w:val="20"/>
                <w:color w:val="auto"/>
              </w:rPr>
            </w:pPr>
            <w:r>
              <w:rPr>
                <w:rFonts w:ascii="Times New Roman" w:cs="Times New Roman" w:eastAsia="Times New Roman" w:hAnsi="Times New Roman"/>
                <w:sz w:val="15"/>
                <w:szCs w:val="15"/>
                <w:b w:val="1"/>
                <w:bCs w:val="1"/>
                <w:color w:val="231F20"/>
              </w:rPr>
              <w:t>December 31, 2022</w:t>
            </w:r>
          </w:p>
        </w:tc>
        <w:tc>
          <w:tcPr>
            <w:tcW w:w="0" w:type="dxa"/>
            <w:vAlign w:val="bottom"/>
          </w:tcPr>
          <w:p>
            <w:pPr>
              <w:spacing w:after="0"/>
              <w:rPr>
                <w:sz w:val="1"/>
                <w:szCs w:val="1"/>
                <w:color w:val="auto"/>
              </w:rPr>
            </w:pPr>
          </w:p>
        </w:tc>
      </w:tr>
      <w:tr>
        <w:trPr>
          <w:trHeight w:val="163"/>
        </w:trPr>
        <w:tc>
          <w:tcPr>
            <w:tcW w:w="5100" w:type="dxa"/>
            <w:vAlign w:val="bottom"/>
            <w:tcBorders>
              <w:top w:val="single" w:sz="8" w:color="D0EBF2"/>
            </w:tcBorders>
            <w:shd w:val="clear" w:color="auto" w:fill="D0EBF2"/>
          </w:tcPr>
          <w:p>
            <w:pPr>
              <w:spacing w:after="0" w:line="164" w:lineRule="exact"/>
              <w:rPr>
                <w:sz w:val="20"/>
                <w:szCs w:val="20"/>
                <w:color w:val="auto"/>
              </w:rPr>
            </w:pPr>
            <w:r>
              <w:rPr>
                <w:rFonts w:ascii="Times New Roman" w:cs="Times New Roman" w:eastAsia="Times New Roman" w:hAnsi="Times New Roman"/>
                <w:sz w:val="15"/>
                <w:szCs w:val="15"/>
                <w:b w:val="1"/>
                <w:bCs w:val="1"/>
                <w:color w:val="231F20"/>
              </w:rPr>
              <w:t>Cash Flows from Operating Activities</w:t>
            </w:r>
          </w:p>
        </w:tc>
        <w:tc>
          <w:tcPr>
            <w:tcW w:w="80" w:type="dxa"/>
            <w:vAlign w:val="bottom"/>
            <w:tcBorders>
              <w:top w:val="single" w:sz="8" w:color="D0EBF2"/>
            </w:tcBorders>
            <w:shd w:val="clear" w:color="auto" w:fill="D0EBF2"/>
          </w:tcPr>
          <w:p>
            <w:pPr>
              <w:spacing w:after="0"/>
              <w:rPr>
                <w:sz w:val="14"/>
                <w:szCs w:val="14"/>
                <w:color w:val="auto"/>
              </w:rPr>
            </w:pPr>
          </w:p>
        </w:tc>
        <w:tc>
          <w:tcPr>
            <w:tcW w:w="100" w:type="dxa"/>
            <w:vAlign w:val="bottom"/>
            <w:tcBorders>
              <w:top w:val="single" w:sz="8" w:color="231F20"/>
            </w:tcBorders>
            <w:shd w:val="clear" w:color="auto" w:fill="D0EBF2"/>
          </w:tcPr>
          <w:p>
            <w:pPr>
              <w:spacing w:after="0"/>
              <w:rPr>
                <w:sz w:val="14"/>
                <w:szCs w:val="14"/>
                <w:color w:val="auto"/>
              </w:rPr>
            </w:pPr>
          </w:p>
        </w:tc>
        <w:tc>
          <w:tcPr>
            <w:tcW w:w="1380" w:type="dxa"/>
            <w:vAlign w:val="bottom"/>
            <w:tcBorders>
              <w:top w:val="single" w:sz="8" w:color="231F20"/>
            </w:tcBorders>
            <w:shd w:val="clear" w:color="auto" w:fill="D0EBF2"/>
          </w:tcPr>
          <w:p>
            <w:pPr>
              <w:spacing w:after="0"/>
              <w:rPr>
                <w:sz w:val="14"/>
                <w:szCs w:val="14"/>
                <w:color w:val="auto"/>
              </w:rPr>
            </w:pPr>
          </w:p>
        </w:tc>
        <w:tc>
          <w:tcPr>
            <w:tcW w:w="100" w:type="dxa"/>
            <w:vAlign w:val="bottom"/>
            <w:tcBorders>
              <w:top w:val="single" w:sz="8" w:color="D0EBF2"/>
            </w:tcBorders>
            <w:shd w:val="clear" w:color="auto" w:fill="D0EBF2"/>
          </w:tcPr>
          <w:p>
            <w:pPr>
              <w:spacing w:after="0"/>
              <w:rPr>
                <w:sz w:val="14"/>
                <w:szCs w:val="14"/>
                <w:color w:val="auto"/>
              </w:rPr>
            </w:pPr>
          </w:p>
        </w:tc>
        <w:tc>
          <w:tcPr>
            <w:tcW w:w="120" w:type="dxa"/>
            <w:vAlign w:val="bottom"/>
            <w:tcBorders>
              <w:top w:val="single" w:sz="8" w:color="D0EBF2"/>
            </w:tcBorders>
            <w:shd w:val="clear" w:color="auto" w:fill="D0EBF2"/>
          </w:tcPr>
          <w:p>
            <w:pPr>
              <w:spacing w:after="0"/>
              <w:rPr>
                <w:sz w:val="14"/>
                <w:szCs w:val="14"/>
                <w:color w:val="auto"/>
              </w:rPr>
            </w:pPr>
          </w:p>
        </w:tc>
        <w:tc>
          <w:tcPr>
            <w:tcW w:w="100" w:type="dxa"/>
            <w:vAlign w:val="bottom"/>
            <w:tcBorders>
              <w:top w:val="single" w:sz="8" w:color="231F20"/>
            </w:tcBorders>
            <w:shd w:val="clear" w:color="auto" w:fill="D0EBF2"/>
          </w:tcPr>
          <w:p>
            <w:pPr>
              <w:spacing w:after="0"/>
              <w:rPr>
                <w:sz w:val="14"/>
                <w:szCs w:val="14"/>
                <w:color w:val="auto"/>
              </w:rPr>
            </w:pPr>
          </w:p>
        </w:tc>
        <w:tc>
          <w:tcPr>
            <w:tcW w:w="1420" w:type="dxa"/>
            <w:vAlign w:val="bottom"/>
            <w:tcBorders>
              <w:top w:val="single" w:sz="8" w:color="231F20"/>
            </w:tcBorders>
            <w:shd w:val="clear" w:color="auto" w:fill="D0EBF2"/>
          </w:tcPr>
          <w:p>
            <w:pPr>
              <w:spacing w:after="0"/>
              <w:rPr>
                <w:sz w:val="14"/>
                <w:szCs w:val="14"/>
                <w:color w:val="auto"/>
              </w:rPr>
            </w:pPr>
          </w:p>
        </w:tc>
        <w:tc>
          <w:tcPr>
            <w:tcW w:w="240" w:type="dxa"/>
            <w:vAlign w:val="bottom"/>
            <w:tcBorders>
              <w:top w:val="single" w:sz="8" w:color="D0EBF2"/>
            </w:tcBorders>
            <w:shd w:val="clear" w:color="auto" w:fill="D0EBF2"/>
          </w:tcPr>
          <w:p>
            <w:pPr>
              <w:spacing w:after="0"/>
              <w:rPr>
                <w:sz w:val="14"/>
                <w:szCs w:val="14"/>
                <w:color w:val="auto"/>
              </w:rPr>
            </w:pPr>
          </w:p>
        </w:tc>
        <w:tc>
          <w:tcPr>
            <w:tcW w:w="80" w:type="dxa"/>
            <w:vAlign w:val="bottom"/>
            <w:tcBorders>
              <w:top w:val="single" w:sz="8" w:color="231F20"/>
            </w:tcBorders>
            <w:shd w:val="clear" w:color="auto" w:fill="D0EBF2"/>
          </w:tcPr>
          <w:p>
            <w:pPr>
              <w:spacing w:after="0"/>
              <w:rPr>
                <w:sz w:val="14"/>
                <w:szCs w:val="14"/>
                <w:color w:val="auto"/>
              </w:rPr>
            </w:pPr>
          </w:p>
        </w:tc>
        <w:tc>
          <w:tcPr>
            <w:tcW w:w="1380" w:type="dxa"/>
            <w:vAlign w:val="bottom"/>
            <w:tcBorders>
              <w:top w:val="single" w:sz="8" w:color="231F20"/>
            </w:tcBorders>
            <w:shd w:val="clear" w:color="auto" w:fill="D0EBF2"/>
          </w:tcPr>
          <w:p>
            <w:pPr>
              <w:spacing w:after="0"/>
              <w:rPr>
                <w:sz w:val="14"/>
                <w:szCs w:val="14"/>
                <w:color w:val="auto"/>
              </w:rPr>
            </w:pPr>
          </w:p>
        </w:tc>
        <w:tc>
          <w:tcPr>
            <w:tcW w:w="100" w:type="dxa"/>
            <w:vAlign w:val="bottom"/>
            <w:tcBorders>
              <w:top w:val="single" w:sz="8" w:color="D0EBF2"/>
            </w:tcBorders>
            <w:shd w:val="clear" w:color="auto" w:fill="D0EBF2"/>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5100" w:type="dxa"/>
            <w:vAlign w:val="bottom"/>
            <w:shd w:val="clear" w:color="auto" w:fill="FDFDFC"/>
          </w:tcPr>
          <w:p>
            <w:pPr>
              <w:spacing w:after="0"/>
              <w:rPr>
                <w:sz w:val="20"/>
                <w:szCs w:val="20"/>
                <w:color w:val="auto"/>
              </w:rPr>
            </w:pPr>
            <w:r>
              <w:rPr>
                <w:rFonts w:ascii="Times New Roman" w:cs="Times New Roman" w:eastAsia="Times New Roman" w:hAnsi="Times New Roman"/>
                <w:sz w:val="15"/>
                <w:szCs w:val="15"/>
                <w:color w:val="231F20"/>
              </w:rPr>
              <w:t>Increase (decrease) in net assets resulting from operations</w:t>
            </w:r>
          </w:p>
        </w:tc>
        <w:tc>
          <w:tcPr>
            <w:tcW w:w="80" w:type="dxa"/>
            <w:vAlign w:val="bottom"/>
            <w:shd w:val="clear" w:color="auto" w:fill="FDFDFC"/>
          </w:tcPr>
          <w:p>
            <w:pPr>
              <w:spacing w:after="0"/>
              <w:rPr>
                <w:sz w:val="15"/>
                <w:szCs w:val="15"/>
                <w:color w:val="auto"/>
              </w:rPr>
            </w:pPr>
          </w:p>
        </w:tc>
        <w:tc>
          <w:tcPr>
            <w:tcW w:w="100" w:type="dxa"/>
            <w:vAlign w:val="bottom"/>
            <w:shd w:val="clear" w:color="auto" w:fill="FDFDFC"/>
          </w:tcPr>
          <w:p>
            <w:pPr>
              <w:jc w:val="right"/>
              <w:spacing w:after="0"/>
              <w:rPr>
                <w:sz w:val="20"/>
                <w:szCs w:val="20"/>
                <w:color w:val="auto"/>
              </w:rPr>
            </w:pPr>
            <w:r>
              <w:rPr>
                <w:rFonts w:ascii="Times New Roman" w:cs="Times New Roman" w:eastAsia="Times New Roman" w:hAnsi="Times New Roman"/>
                <w:sz w:val="11"/>
                <w:szCs w:val="11"/>
                <w:color w:val="231F20"/>
                <w:w w:val="71"/>
              </w:rPr>
              <w:t>$</w:t>
            </w:r>
          </w:p>
        </w:tc>
        <w:tc>
          <w:tcPr>
            <w:tcW w:w="1380" w:type="dxa"/>
            <w:vAlign w:val="bottom"/>
            <w:shd w:val="clear" w:color="auto" w:fill="FDFDFC"/>
          </w:tcPr>
          <w:p>
            <w:pPr>
              <w:jc w:val="right"/>
              <w:spacing w:after="0"/>
              <w:rPr>
                <w:sz w:val="20"/>
                <w:szCs w:val="20"/>
                <w:color w:val="auto"/>
              </w:rPr>
            </w:pPr>
            <w:r>
              <w:rPr>
                <w:rFonts w:ascii="Times New Roman" w:cs="Times New Roman" w:eastAsia="Times New Roman" w:hAnsi="Times New Roman"/>
                <w:sz w:val="15"/>
                <w:szCs w:val="15"/>
                <w:color w:val="231F20"/>
              </w:rPr>
              <w:t>186,566</w:t>
            </w:r>
          </w:p>
        </w:tc>
        <w:tc>
          <w:tcPr>
            <w:tcW w:w="100" w:type="dxa"/>
            <w:vAlign w:val="bottom"/>
            <w:shd w:val="clear" w:color="auto" w:fill="FDFDFC"/>
          </w:tcPr>
          <w:p>
            <w:pPr>
              <w:spacing w:after="0"/>
              <w:rPr>
                <w:sz w:val="15"/>
                <w:szCs w:val="15"/>
                <w:color w:val="auto"/>
              </w:rPr>
            </w:pPr>
          </w:p>
        </w:tc>
        <w:tc>
          <w:tcPr>
            <w:tcW w:w="120" w:type="dxa"/>
            <w:vAlign w:val="bottom"/>
            <w:shd w:val="clear" w:color="auto" w:fill="FDFDFC"/>
          </w:tcPr>
          <w:p>
            <w:pPr>
              <w:spacing w:after="0"/>
              <w:rPr>
                <w:sz w:val="15"/>
                <w:szCs w:val="15"/>
                <w:color w:val="auto"/>
              </w:rPr>
            </w:pPr>
          </w:p>
        </w:tc>
        <w:tc>
          <w:tcPr>
            <w:tcW w:w="100" w:type="dxa"/>
            <w:vAlign w:val="bottom"/>
            <w:shd w:val="clear" w:color="auto" w:fill="FDFDFC"/>
          </w:tcPr>
          <w:p>
            <w:pPr>
              <w:jc w:val="right"/>
              <w:spacing w:after="0"/>
              <w:rPr>
                <w:sz w:val="20"/>
                <w:szCs w:val="20"/>
                <w:color w:val="auto"/>
              </w:rPr>
            </w:pPr>
            <w:r>
              <w:rPr>
                <w:rFonts w:ascii="Times New Roman" w:cs="Times New Roman" w:eastAsia="Times New Roman" w:hAnsi="Times New Roman"/>
                <w:sz w:val="11"/>
                <w:szCs w:val="11"/>
                <w:color w:val="231F20"/>
                <w:w w:val="71"/>
              </w:rPr>
              <w:t>$</w:t>
            </w:r>
          </w:p>
        </w:tc>
        <w:tc>
          <w:tcPr>
            <w:tcW w:w="1420" w:type="dxa"/>
            <w:vAlign w:val="bottom"/>
            <w:shd w:val="clear" w:color="auto" w:fill="FDFDFC"/>
          </w:tcPr>
          <w:p>
            <w:pPr>
              <w:jc w:val="right"/>
              <w:spacing w:after="0"/>
              <w:rPr>
                <w:sz w:val="20"/>
                <w:szCs w:val="20"/>
                <w:color w:val="auto"/>
              </w:rPr>
            </w:pPr>
            <w:r>
              <w:rPr>
                <w:rFonts w:ascii="Times New Roman" w:cs="Times New Roman" w:eastAsia="Times New Roman" w:hAnsi="Times New Roman"/>
                <w:sz w:val="15"/>
                <w:szCs w:val="15"/>
                <w:color w:val="231F20"/>
              </w:rPr>
              <w:t>222,023</w:t>
            </w:r>
          </w:p>
        </w:tc>
        <w:tc>
          <w:tcPr>
            <w:tcW w:w="240" w:type="dxa"/>
            <w:vAlign w:val="bottom"/>
            <w:shd w:val="clear" w:color="auto" w:fill="FDFDFC"/>
          </w:tcPr>
          <w:p>
            <w:pPr>
              <w:spacing w:after="0"/>
              <w:rPr>
                <w:sz w:val="15"/>
                <w:szCs w:val="15"/>
                <w:color w:val="auto"/>
              </w:rPr>
            </w:pPr>
          </w:p>
        </w:tc>
        <w:tc>
          <w:tcPr>
            <w:tcW w:w="80" w:type="dxa"/>
            <w:vAlign w:val="bottom"/>
            <w:shd w:val="clear" w:color="auto" w:fill="FDFDFC"/>
          </w:tcPr>
          <w:p>
            <w:pPr>
              <w:jc w:val="right"/>
              <w:spacing w:after="0"/>
              <w:rPr>
                <w:sz w:val="20"/>
                <w:szCs w:val="20"/>
                <w:color w:val="auto"/>
              </w:rPr>
            </w:pPr>
            <w:r>
              <w:rPr>
                <w:rFonts w:ascii="Times New Roman" w:cs="Times New Roman" w:eastAsia="Times New Roman" w:hAnsi="Times New Roman"/>
                <w:sz w:val="11"/>
                <w:szCs w:val="11"/>
                <w:color w:val="231F20"/>
                <w:w w:val="71"/>
              </w:rPr>
              <w:t>$</w:t>
            </w:r>
          </w:p>
        </w:tc>
        <w:tc>
          <w:tcPr>
            <w:tcW w:w="1380" w:type="dxa"/>
            <w:vAlign w:val="bottom"/>
            <w:shd w:val="clear" w:color="auto" w:fill="FDFDFC"/>
          </w:tcPr>
          <w:p>
            <w:pPr>
              <w:jc w:val="right"/>
              <w:spacing w:after="0"/>
              <w:rPr>
                <w:sz w:val="20"/>
                <w:szCs w:val="20"/>
                <w:color w:val="auto"/>
              </w:rPr>
            </w:pPr>
            <w:r>
              <w:rPr>
                <w:rFonts w:ascii="Times New Roman" w:cs="Times New Roman" w:eastAsia="Times New Roman" w:hAnsi="Times New Roman"/>
                <w:sz w:val="15"/>
                <w:szCs w:val="15"/>
                <w:color w:val="231F20"/>
              </w:rPr>
              <w:t>108,053</w:t>
            </w:r>
          </w:p>
        </w:tc>
        <w:tc>
          <w:tcPr>
            <w:tcW w:w="100" w:type="dxa"/>
            <w:vAlign w:val="bottom"/>
            <w:shd w:val="clear" w:color="auto" w:fill="FDFDFC"/>
          </w:tcPr>
          <w:p>
            <w:pPr>
              <w:spacing w:after="0"/>
              <w:rPr>
                <w:sz w:val="15"/>
                <w:szCs w:val="15"/>
                <w:color w:val="auto"/>
              </w:rPr>
            </w:pPr>
          </w:p>
        </w:tc>
        <w:tc>
          <w:tcPr>
            <w:tcW w:w="0" w:type="dxa"/>
            <w:vAlign w:val="bottom"/>
          </w:tcPr>
          <w:p>
            <w:pPr>
              <w:spacing w:after="0"/>
              <w:rPr>
                <w:sz w:val="1"/>
                <w:szCs w:val="1"/>
                <w:color w:val="auto"/>
              </w:rPr>
            </w:pPr>
          </w:p>
        </w:tc>
      </w:tr>
      <w:tr>
        <w:trPr>
          <w:trHeight w:val="158"/>
        </w:trPr>
        <w:tc>
          <w:tcPr>
            <w:tcW w:w="5100" w:type="dxa"/>
            <w:vAlign w:val="bottom"/>
            <w:shd w:val="clear" w:color="auto" w:fill="D0EBF2"/>
          </w:tcPr>
          <w:p>
            <w:pPr>
              <w:spacing w:after="0" w:line="159" w:lineRule="exact"/>
              <w:rPr>
                <w:sz w:val="20"/>
                <w:szCs w:val="20"/>
                <w:color w:val="auto"/>
              </w:rPr>
            </w:pPr>
            <w:r>
              <w:rPr>
                <w:rFonts w:ascii="Times New Roman" w:cs="Times New Roman" w:eastAsia="Times New Roman" w:hAnsi="Times New Roman"/>
                <w:sz w:val="15"/>
                <w:szCs w:val="15"/>
                <w:color w:val="231F20"/>
              </w:rPr>
              <w:t>Adjustments to reconcile increase (decrease) in net assets resulting from operations</w:t>
            </w:r>
          </w:p>
        </w:tc>
        <w:tc>
          <w:tcPr>
            <w:tcW w:w="80" w:type="dxa"/>
            <w:vAlign w:val="bottom"/>
            <w:shd w:val="clear" w:color="auto" w:fill="D0EBF2"/>
          </w:tcPr>
          <w:p>
            <w:pPr>
              <w:spacing w:after="0"/>
              <w:rPr>
                <w:sz w:val="13"/>
                <w:szCs w:val="13"/>
                <w:color w:val="auto"/>
              </w:rPr>
            </w:pPr>
          </w:p>
        </w:tc>
        <w:tc>
          <w:tcPr>
            <w:tcW w:w="100" w:type="dxa"/>
            <w:vAlign w:val="bottom"/>
            <w:shd w:val="clear" w:color="auto" w:fill="D0EBF2"/>
          </w:tcPr>
          <w:p>
            <w:pPr>
              <w:spacing w:after="0"/>
              <w:rPr>
                <w:sz w:val="13"/>
                <w:szCs w:val="13"/>
                <w:color w:val="auto"/>
              </w:rPr>
            </w:pPr>
          </w:p>
        </w:tc>
        <w:tc>
          <w:tcPr>
            <w:tcW w:w="1380" w:type="dxa"/>
            <w:vAlign w:val="bottom"/>
            <w:shd w:val="clear" w:color="auto" w:fill="D0EBF2"/>
          </w:tcPr>
          <w:p>
            <w:pPr>
              <w:spacing w:after="0"/>
              <w:rPr>
                <w:sz w:val="13"/>
                <w:szCs w:val="13"/>
                <w:color w:val="auto"/>
              </w:rPr>
            </w:pPr>
          </w:p>
        </w:tc>
        <w:tc>
          <w:tcPr>
            <w:tcW w:w="100" w:type="dxa"/>
            <w:vAlign w:val="bottom"/>
            <w:shd w:val="clear" w:color="auto" w:fill="D0EBF2"/>
          </w:tcPr>
          <w:p>
            <w:pPr>
              <w:spacing w:after="0"/>
              <w:rPr>
                <w:sz w:val="13"/>
                <w:szCs w:val="13"/>
                <w:color w:val="auto"/>
              </w:rPr>
            </w:pPr>
          </w:p>
        </w:tc>
        <w:tc>
          <w:tcPr>
            <w:tcW w:w="120" w:type="dxa"/>
            <w:vAlign w:val="bottom"/>
            <w:shd w:val="clear" w:color="auto" w:fill="D0EBF2"/>
          </w:tcPr>
          <w:p>
            <w:pPr>
              <w:spacing w:after="0"/>
              <w:rPr>
                <w:sz w:val="13"/>
                <w:szCs w:val="13"/>
                <w:color w:val="auto"/>
              </w:rPr>
            </w:pPr>
          </w:p>
        </w:tc>
        <w:tc>
          <w:tcPr>
            <w:tcW w:w="100" w:type="dxa"/>
            <w:vAlign w:val="bottom"/>
            <w:shd w:val="clear" w:color="auto" w:fill="D0EBF2"/>
          </w:tcPr>
          <w:p>
            <w:pPr>
              <w:spacing w:after="0"/>
              <w:rPr>
                <w:sz w:val="13"/>
                <w:szCs w:val="13"/>
                <w:color w:val="auto"/>
              </w:rPr>
            </w:pPr>
          </w:p>
        </w:tc>
        <w:tc>
          <w:tcPr>
            <w:tcW w:w="1420" w:type="dxa"/>
            <w:vAlign w:val="bottom"/>
            <w:shd w:val="clear" w:color="auto" w:fill="D0EBF2"/>
          </w:tcPr>
          <w:p>
            <w:pPr>
              <w:spacing w:after="0"/>
              <w:rPr>
                <w:sz w:val="13"/>
                <w:szCs w:val="13"/>
                <w:color w:val="auto"/>
              </w:rPr>
            </w:pPr>
          </w:p>
        </w:tc>
        <w:tc>
          <w:tcPr>
            <w:tcW w:w="240" w:type="dxa"/>
            <w:vAlign w:val="bottom"/>
            <w:shd w:val="clear" w:color="auto" w:fill="D0EBF2"/>
          </w:tcPr>
          <w:p>
            <w:pPr>
              <w:spacing w:after="0"/>
              <w:rPr>
                <w:sz w:val="13"/>
                <w:szCs w:val="13"/>
                <w:color w:val="auto"/>
              </w:rPr>
            </w:pPr>
          </w:p>
        </w:tc>
        <w:tc>
          <w:tcPr>
            <w:tcW w:w="80" w:type="dxa"/>
            <w:vAlign w:val="bottom"/>
            <w:shd w:val="clear" w:color="auto" w:fill="D0EBF2"/>
          </w:tcPr>
          <w:p>
            <w:pPr>
              <w:spacing w:after="0"/>
              <w:rPr>
                <w:sz w:val="13"/>
                <w:szCs w:val="13"/>
                <w:color w:val="auto"/>
              </w:rPr>
            </w:pPr>
          </w:p>
        </w:tc>
        <w:tc>
          <w:tcPr>
            <w:tcW w:w="1380" w:type="dxa"/>
            <w:vAlign w:val="bottom"/>
            <w:shd w:val="clear" w:color="auto" w:fill="D0EBF2"/>
          </w:tcPr>
          <w:p>
            <w:pPr>
              <w:spacing w:after="0"/>
              <w:rPr>
                <w:sz w:val="13"/>
                <w:szCs w:val="13"/>
                <w:color w:val="auto"/>
              </w:rPr>
            </w:pPr>
          </w:p>
        </w:tc>
        <w:tc>
          <w:tcPr>
            <w:tcW w:w="100" w:type="dxa"/>
            <w:vAlign w:val="bottom"/>
            <w:shd w:val="clear" w:color="auto" w:fill="D0EBF2"/>
          </w:tcPr>
          <w:p>
            <w:pPr>
              <w:spacing w:after="0"/>
              <w:rPr>
                <w:sz w:val="13"/>
                <w:szCs w:val="13"/>
                <w:color w:val="auto"/>
              </w:rPr>
            </w:pPr>
          </w:p>
        </w:tc>
        <w:tc>
          <w:tcPr>
            <w:tcW w:w="0" w:type="dxa"/>
            <w:vAlign w:val="bottom"/>
          </w:tcPr>
          <w:p>
            <w:pPr>
              <w:spacing w:after="0"/>
              <w:rPr>
                <w:sz w:val="1"/>
                <w:szCs w:val="1"/>
                <w:color w:val="auto"/>
              </w:rPr>
            </w:pPr>
          </w:p>
        </w:tc>
      </w:tr>
      <w:tr>
        <w:trPr>
          <w:trHeight w:val="189"/>
        </w:trPr>
        <w:tc>
          <w:tcPr>
            <w:tcW w:w="5100" w:type="dxa"/>
            <w:vAlign w:val="bottom"/>
            <w:shd w:val="clear" w:color="auto" w:fill="D0EBF2"/>
          </w:tcPr>
          <w:p>
            <w:pPr>
              <w:spacing w:after="0"/>
              <w:rPr>
                <w:sz w:val="20"/>
                <w:szCs w:val="20"/>
                <w:color w:val="auto"/>
              </w:rPr>
            </w:pPr>
            <w:r>
              <w:rPr>
                <w:rFonts w:ascii="Times New Roman" w:cs="Times New Roman" w:eastAsia="Times New Roman" w:hAnsi="Times New Roman"/>
                <w:sz w:val="15"/>
                <w:szCs w:val="15"/>
                <w:color w:val="231F20"/>
              </w:rPr>
              <w:t>to net cash provided by (used in) operating activities:</w:t>
            </w:r>
          </w:p>
        </w:tc>
        <w:tc>
          <w:tcPr>
            <w:tcW w:w="80" w:type="dxa"/>
            <w:vAlign w:val="bottom"/>
            <w:shd w:val="clear" w:color="auto" w:fill="D0EBF2"/>
          </w:tcPr>
          <w:p>
            <w:pPr>
              <w:spacing w:after="0"/>
              <w:rPr>
                <w:sz w:val="16"/>
                <w:szCs w:val="16"/>
                <w:color w:val="auto"/>
              </w:rPr>
            </w:pPr>
          </w:p>
        </w:tc>
        <w:tc>
          <w:tcPr>
            <w:tcW w:w="100" w:type="dxa"/>
            <w:vAlign w:val="bottom"/>
            <w:shd w:val="clear" w:color="auto" w:fill="D0EBF2"/>
          </w:tcPr>
          <w:p>
            <w:pPr>
              <w:spacing w:after="0"/>
              <w:rPr>
                <w:sz w:val="16"/>
                <w:szCs w:val="16"/>
                <w:color w:val="auto"/>
              </w:rPr>
            </w:pPr>
          </w:p>
        </w:tc>
        <w:tc>
          <w:tcPr>
            <w:tcW w:w="1380" w:type="dxa"/>
            <w:vAlign w:val="bottom"/>
            <w:shd w:val="clear" w:color="auto" w:fill="D0EBF2"/>
          </w:tcPr>
          <w:p>
            <w:pPr>
              <w:spacing w:after="0"/>
              <w:rPr>
                <w:sz w:val="16"/>
                <w:szCs w:val="16"/>
                <w:color w:val="auto"/>
              </w:rPr>
            </w:pPr>
          </w:p>
        </w:tc>
        <w:tc>
          <w:tcPr>
            <w:tcW w:w="100" w:type="dxa"/>
            <w:vAlign w:val="bottom"/>
            <w:shd w:val="clear" w:color="auto" w:fill="D0EBF2"/>
          </w:tcPr>
          <w:p>
            <w:pPr>
              <w:spacing w:after="0"/>
              <w:rPr>
                <w:sz w:val="16"/>
                <w:szCs w:val="16"/>
                <w:color w:val="auto"/>
              </w:rPr>
            </w:pPr>
          </w:p>
        </w:tc>
        <w:tc>
          <w:tcPr>
            <w:tcW w:w="120" w:type="dxa"/>
            <w:vAlign w:val="bottom"/>
            <w:shd w:val="clear" w:color="auto" w:fill="D0EBF2"/>
          </w:tcPr>
          <w:p>
            <w:pPr>
              <w:spacing w:after="0"/>
              <w:rPr>
                <w:sz w:val="16"/>
                <w:szCs w:val="16"/>
                <w:color w:val="auto"/>
              </w:rPr>
            </w:pPr>
          </w:p>
        </w:tc>
        <w:tc>
          <w:tcPr>
            <w:tcW w:w="100" w:type="dxa"/>
            <w:vAlign w:val="bottom"/>
            <w:shd w:val="clear" w:color="auto" w:fill="D0EBF2"/>
          </w:tcPr>
          <w:p>
            <w:pPr>
              <w:spacing w:after="0"/>
              <w:rPr>
                <w:sz w:val="16"/>
                <w:szCs w:val="16"/>
                <w:color w:val="auto"/>
              </w:rPr>
            </w:pPr>
          </w:p>
        </w:tc>
        <w:tc>
          <w:tcPr>
            <w:tcW w:w="1420" w:type="dxa"/>
            <w:vAlign w:val="bottom"/>
            <w:shd w:val="clear" w:color="auto" w:fill="D0EBF2"/>
          </w:tcPr>
          <w:p>
            <w:pPr>
              <w:spacing w:after="0"/>
              <w:rPr>
                <w:sz w:val="16"/>
                <w:szCs w:val="16"/>
                <w:color w:val="auto"/>
              </w:rPr>
            </w:pPr>
          </w:p>
        </w:tc>
        <w:tc>
          <w:tcPr>
            <w:tcW w:w="240" w:type="dxa"/>
            <w:vAlign w:val="bottom"/>
            <w:shd w:val="clear" w:color="auto" w:fill="D0EBF2"/>
          </w:tcPr>
          <w:p>
            <w:pPr>
              <w:spacing w:after="0"/>
              <w:rPr>
                <w:sz w:val="16"/>
                <w:szCs w:val="16"/>
                <w:color w:val="auto"/>
              </w:rPr>
            </w:pPr>
          </w:p>
        </w:tc>
        <w:tc>
          <w:tcPr>
            <w:tcW w:w="80" w:type="dxa"/>
            <w:vAlign w:val="bottom"/>
            <w:shd w:val="clear" w:color="auto" w:fill="D0EBF2"/>
          </w:tcPr>
          <w:p>
            <w:pPr>
              <w:spacing w:after="0"/>
              <w:rPr>
                <w:sz w:val="16"/>
                <w:szCs w:val="16"/>
                <w:color w:val="auto"/>
              </w:rPr>
            </w:pPr>
          </w:p>
        </w:tc>
        <w:tc>
          <w:tcPr>
            <w:tcW w:w="1380" w:type="dxa"/>
            <w:vAlign w:val="bottom"/>
            <w:shd w:val="clear" w:color="auto" w:fill="D0EBF2"/>
          </w:tcPr>
          <w:p>
            <w:pPr>
              <w:spacing w:after="0"/>
              <w:rPr>
                <w:sz w:val="16"/>
                <w:szCs w:val="16"/>
                <w:color w:val="auto"/>
              </w:rPr>
            </w:pPr>
          </w:p>
        </w:tc>
        <w:tc>
          <w:tcPr>
            <w:tcW w:w="100" w:type="dxa"/>
            <w:vAlign w:val="bottom"/>
            <w:shd w:val="clear" w:color="auto" w:fill="D0EBF2"/>
          </w:tcPr>
          <w:p>
            <w:pPr>
              <w:spacing w:after="0"/>
              <w:rPr>
                <w:sz w:val="16"/>
                <w:szCs w:val="16"/>
                <w:color w:val="auto"/>
              </w:rPr>
            </w:pPr>
          </w:p>
        </w:tc>
        <w:tc>
          <w:tcPr>
            <w:tcW w:w="0" w:type="dxa"/>
            <w:vAlign w:val="bottom"/>
          </w:tcPr>
          <w:p>
            <w:pPr>
              <w:spacing w:after="0"/>
              <w:rPr>
                <w:sz w:val="1"/>
                <w:szCs w:val="1"/>
                <w:color w:val="auto"/>
              </w:rPr>
            </w:pPr>
          </w:p>
        </w:tc>
      </w:tr>
      <w:tr>
        <w:trPr>
          <w:trHeight w:val="174"/>
        </w:trPr>
        <w:tc>
          <w:tcPr>
            <w:tcW w:w="5100" w:type="dxa"/>
            <w:vAlign w:val="bottom"/>
            <w:shd w:val="clear" w:color="auto" w:fill="FDFDFC"/>
          </w:tcPr>
          <w:p>
            <w:pPr>
              <w:ind w:left="380"/>
              <w:spacing w:after="0"/>
              <w:rPr>
                <w:sz w:val="20"/>
                <w:szCs w:val="20"/>
                <w:color w:val="auto"/>
              </w:rPr>
            </w:pPr>
            <w:r>
              <w:rPr>
                <w:rFonts w:ascii="Times New Roman" w:cs="Times New Roman" w:eastAsia="Times New Roman" w:hAnsi="Times New Roman"/>
                <w:sz w:val="15"/>
                <w:szCs w:val="15"/>
                <w:color w:val="231F20"/>
              </w:rPr>
              <w:t>Net change in unrealized (gains) losses on investments</w:t>
            </w:r>
          </w:p>
        </w:tc>
        <w:tc>
          <w:tcPr>
            <w:tcW w:w="80" w:type="dxa"/>
            <w:vAlign w:val="bottom"/>
            <w:shd w:val="clear" w:color="auto" w:fill="FDFDFC"/>
          </w:tcPr>
          <w:p>
            <w:pPr>
              <w:spacing w:after="0"/>
              <w:rPr>
                <w:sz w:val="15"/>
                <w:szCs w:val="15"/>
                <w:color w:val="auto"/>
              </w:rPr>
            </w:pPr>
          </w:p>
        </w:tc>
        <w:tc>
          <w:tcPr>
            <w:tcW w:w="100" w:type="dxa"/>
            <w:vAlign w:val="bottom"/>
            <w:shd w:val="clear" w:color="auto" w:fill="FDFDFC"/>
          </w:tcPr>
          <w:p>
            <w:pPr>
              <w:spacing w:after="0"/>
              <w:rPr>
                <w:sz w:val="15"/>
                <w:szCs w:val="15"/>
                <w:color w:val="auto"/>
              </w:rPr>
            </w:pPr>
          </w:p>
        </w:tc>
        <w:tc>
          <w:tcPr>
            <w:tcW w:w="1380" w:type="dxa"/>
            <w:vAlign w:val="bottom"/>
            <w:shd w:val="clear" w:color="auto" w:fill="FDFDFC"/>
          </w:tcPr>
          <w:p>
            <w:pPr>
              <w:jc w:val="right"/>
              <w:spacing w:after="0"/>
              <w:rPr>
                <w:sz w:val="20"/>
                <w:szCs w:val="20"/>
                <w:color w:val="auto"/>
              </w:rPr>
            </w:pPr>
            <w:r>
              <w:rPr>
                <w:rFonts w:ascii="Times New Roman" w:cs="Times New Roman" w:eastAsia="Times New Roman" w:hAnsi="Times New Roman"/>
                <w:sz w:val="15"/>
                <w:szCs w:val="15"/>
                <w:color w:val="231F20"/>
              </w:rPr>
              <w:t>52,794</w:t>
            </w:r>
          </w:p>
        </w:tc>
        <w:tc>
          <w:tcPr>
            <w:tcW w:w="100" w:type="dxa"/>
            <w:vAlign w:val="bottom"/>
            <w:shd w:val="clear" w:color="auto" w:fill="FDFDFC"/>
          </w:tcPr>
          <w:p>
            <w:pPr>
              <w:spacing w:after="0"/>
              <w:rPr>
                <w:sz w:val="15"/>
                <w:szCs w:val="15"/>
                <w:color w:val="auto"/>
              </w:rPr>
            </w:pPr>
          </w:p>
        </w:tc>
        <w:tc>
          <w:tcPr>
            <w:tcW w:w="120" w:type="dxa"/>
            <w:vAlign w:val="bottom"/>
            <w:shd w:val="clear" w:color="auto" w:fill="FDFDFC"/>
          </w:tcPr>
          <w:p>
            <w:pPr>
              <w:spacing w:after="0"/>
              <w:rPr>
                <w:sz w:val="15"/>
                <w:szCs w:val="15"/>
                <w:color w:val="auto"/>
              </w:rPr>
            </w:pPr>
          </w:p>
        </w:tc>
        <w:tc>
          <w:tcPr>
            <w:tcW w:w="100" w:type="dxa"/>
            <w:vAlign w:val="bottom"/>
            <w:shd w:val="clear" w:color="auto" w:fill="FDFDFC"/>
          </w:tcPr>
          <w:p>
            <w:pPr>
              <w:spacing w:after="0"/>
              <w:rPr>
                <w:sz w:val="15"/>
                <w:szCs w:val="15"/>
                <w:color w:val="auto"/>
              </w:rPr>
            </w:pPr>
          </w:p>
        </w:tc>
        <w:tc>
          <w:tcPr>
            <w:tcW w:w="1660" w:type="dxa"/>
            <w:vAlign w:val="bottom"/>
            <w:gridSpan w:val="2"/>
            <w:shd w:val="clear" w:color="auto" w:fill="FDFDFC"/>
          </w:tcPr>
          <w:p>
            <w:pPr>
              <w:jc w:val="right"/>
              <w:ind w:right="180"/>
              <w:spacing w:after="0"/>
              <w:rPr>
                <w:sz w:val="20"/>
                <w:szCs w:val="20"/>
                <w:color w:val="auto"/>
              </w:rPr>
            </w:pPr>
            <w:r>
              <w:rPr>
                <w:rFonts w:ascii="Times New Roman" w:cs="Times New Roman" w:eastAsia="Times New Roman" w:hAnsi="Times New Roman"/>
                <w:sz w:val="15"/>
                <w:szCs w:val="15"/>
                <w:color w:val="231F20"/>
              </w:rPr>
              <w:t>(18,854)</w:t>
            </w:r>
          </w:p>
        </w:tc>
        <w:tc>
          <w:tcPr>
            <w:tcW w:w="80" w:type="dxa"/>
            <w:vAlign w:val="bottom"/>
            <w:shd w:val="clear" w:color="auto" w:fill="FDFDFC"/>
          </w:tcPr>
          <w:p>
            <w:pPr>
              <w:spacing w:after="0"/>
              <w:rPr>
                <w:sz w:val="15"/>
                <w:szCs w:val="15"/>
                <w:color w:val="auto"/>
              </w:rPr>
            </w:pPr>
          </w:p>
        </w:tc>
        <w:tc>
          <w:tcPr>
            <w:tcW w:w="1380" w:type="dxa"/>
            <w:vAlign w:val="bottom"/>
            <w:shd w:val="clear" w:color="auto" w:fill="FDFDFC"/>
          </w:tcPr>
          <w:p>
            <w:pPr>
              <w:jc w:val="right"/>
              <w:spacing w:after="0"/>
              <w:rPr>
                <w:sz w:val="20"/>
                <w:szCs w:val="20"/>
                <w:color w:val="auto"/>
              </w:rPr>
            </w:pPr>
            <w:r>
              <w:rPr>
                <w:rFonts w:ascii="Times New Roman" w:cs="Times New Roman" w:eastAsia="Times New Roman" w:hAnsi="Times New Roman"/>
                <w:sz w:val="15"/>
                <w:szCs w:val="15"/>
                <w:color w:val="231F20"/>
              </w:rPr>
              <w:t>76,381</w:t>
            </w:r>
          </w:p>
        </w:tc>
        <w:tc>
          <w:tcPr>
            <w:tcW w:w="100" w:type="dxa"/>
            <w:vAlign w:val="bottom"/>
            <w:shd w:val="clear" w:color="auto" w:fill="FDFDFC"/>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5100" w:type="dxa"/>
            <w:vAlign w:val="bottom"/>
            <w:shd w:val="clear" w:color="auto" w:fill="D0EBF2"/>
          </w:tcPr>
          <w:p>
            <w:pPr>
              <w:ind w:left="380"/>
              <w:spacing w:after="0"/>
              <w:rPr>
                <w:sz w:val="20"/>
                <w:szCs w:val="20"/>
                <w:color w:val="auto"/>
              </w:rPr>
            </w:pPr>
            <w:r>
              <w:rPr>
                <w:rFonts w:ascii="Times New Roman" w:cs="Times New Roman" w:eastAsia="Times New Roman" w:hAnsi="Times New Roman"/>
                <w:sz w:val="15"/>
                <w:szCs w:val="15"/>
                <w:color w:val="231F20"/>
              </w:rPr>
              <w:t>Net change in unrealized (gains) losses on foreign currency transactions</w:t>
            </w:r>
          </w:p>
        </w:tc>
        <w:tc>
          <w:tcPr>
            <w:tcW w:w="80" w:type="dxa"/>
            <w:vAlign w:val="bottom"/>
            <w:shd w:val="clear" w:color="auto" w:fill="D0EBF2"/>
          </w:tcPr>
          <w:p>
            <w:pPr>
              <w:spacing w:after="0"/>
              <w:rPr>
                <w:sz w:val="15"/>
                <w:szCs w:val="15"/>
                <w:color w:val="auto"/>
              </w:rPr>
            </w:pPr>
          </w:p>
        </w:tc>
        <w:tc>
          <w:tcPr>
            <w:tcW w:w="100" w:type="dxa"/>
            <w:vAlign w:val="bottom"/>
            <w:shd w:val="clear" w:color="auto" w:fill="D0EBF2"/>
          </w:tcPr>
          <w:p>
            <w:pPr>
              <w:spacing w:after="0"/>
              <w:rPr>
                <w:sz w:val="15"/>
                <w:szCs w:val="15"/>
                <w:color w:val="auto"/>
              </w:rPr>
            </w:pPr>
          </w:p>
        </w:tc>
        <w:tc>
          <w:tcPr>
            <w:tcW w:w="1480" w:type="dxa"/>
            <w:vAlign w:val="bottom"/>
            <w:gridSpan w:val="2"/>
            <w:shd w:val="clear" w:color="auto" w:fill="D0EBF2"/>
          </w:tcPr>
          <w:p>
            <w:pPr>
              <w:jc w:val="right"/>
              <w:ind w:right="22"/>
              <w:spacing w:after="0"/>
              <w:rPr>
                <w:sz w:val="20"/>
                <w:szCs w:val="20"/>
                <w:color w:val="auto"/>
              </w:rPr>
            </w:pPr>
            <w:r>
              <w:rPr>
                <w:rFonts w:ascii="Times New Roman" w:cs="Times New Roman" w:eastAsia="Times New Roman" w:hAnsi="Times New Roman"/>
                <w:sz w:val="15"/>
                <w:szCs w:val="15"/>
                <w:color w:val="231F20"/>
              </w:rPr>
              <w:t>(13,379)</w:t>
            </w:r>
          </w:p>
        </w:tc>
        <w:tc>
          <w:tcPr>
            <w:tcW w:w="120" w:type="dxa"/>
            <w:vAlign w:val="bottom"/>
            <w:shd w:val="clear" w:color="auto" w:fill="D0EBF2"/>
          </w:tcPr>
          <w:p>
            <w:pPr>
              <w:spacing w:after="0"/>
              <w:rPr>
                <w:sz w:val="15"/>
                <w:szCs w:val="15"/>
                <w:color w:val="auto"/>
              </w:rPr>
            </w:pPr>
          </w:p>
        </w:tc>
        <w:tc>
          <w:tcPr>
            <w:tcW w:w="100" w:type="dxa"/>
            <w:vAlign w:val="bottom"/>
            <w:shd w:val="clear" w:color="auto" w:fill="D0EBF2"/>
          </w:tcPr>
          <w:p>
            <w:pPr>
              <w:spacing w:after="0"/>
              <w:rPr>
                <w:sz w:val="15"/>
                <w:szCs w:val="15"/>
                <w:color w:val="auto"/>
              </w:rPr>
            </w:pPr>
          </w:p>
        </w:tc>
        <w:tc>
          <w:tcPr>
            <w:tcW w:w="1420" w:type="dxa"/>
            <w:vAlign w:val="bottom"/>
            <w:shd w:val="clear" w:color="auto" w:fill="D0EBF2"/>
          </w:tcPr>
          <w:p>
            <w:pPr>
              <w:jc w:val="right"/>
              <w:spacing w:after="0"/>
              <w:rPr>
                <w:sz w:val="20"/>
                <w:szCs w:val="20"/>
                <w:color w:val="auto"/>
              </w:rPr>
            </w:pPr>
            <w:r>
              <w:rPr>
                <w:rFonts w:ascii="Times New Roman" w:cs="Times New Roman" w:eastAsia="Times New Roman" w:hAnsi="Times New Roman"/>
                <w:sz w:val="15"/>
                <w:szCs w:val="15"/>
                <w:color w:val="231F20"/>
              </w:rPr>
              <w:t>6,393</w:t>
            </w:r>
          </w:p>
        </w:tc>
        <w:tc>
          <w:tcPr>
            <w:tcW w:w="240" w:type="dxa"/>
            <w:vAlign w:val="bottom"/>
            <w:shd w:val="clear" w:color="auto" w:fill="D0EBF2"/>
          </w:tcPr>
          <w:p>
            <w:pPr>
              <w:spacing w:after="0"/>
              <w:rPr>
                <w:sz w:val="15"/>
                <w:szCs w:val="15"/>
                <w:color w:val="auto"/>
              </w:rPr>
            </w:pPr>
          </w:p>
        </w:tc>
        <w:tc>
          <w:tcPr>
            <w:tcW w:w="80" w:type="dxa"/>
            <w:vAlign w:val="bottom"/>
            <w:shd w:val="clear" w:color="auto" w:fill="D0EBF2"/>
          </w:tcPr>
          <w:p>
            <w:pPr>
              <w:spacing w:after="0"/>
              <w:rPr>
                <w:sz w:val="15"/>
                <w:szCs w:val="15"/>
                <w:color w:val="auto"/>
              </w:rPr>
            </w:pPr>
          </w:p>
        </w:tc>
        <w:tc>
          <w:tcPr>
            <w:tcW w:w="1480" w:type="dxa"/>
            <w:vAlign w:val="bottom"/>
            <w:gridSpan w:val="2"/>
            <w:shd w:val="clear" w:color="auto" w:fill="D0EBF2"/>
          </w:tcPr>
          <w:p>
            <w:pPr>
              <w:jc w:val="right"/>
              <w:ind w:right="22"/>
              <w:spacing w:after="0"/>
              <w:rPr>
                <w:sz w:val="20"/>
                <w:szCs w:val="20"/>
                <w:color w:val="auto"/>
              </w:rPr>
            </w:pPr>
            <w:r>
              <w:rPr>
                <w:rFonts w:ascii="Times New Roman" w:cs="Times New Roman" w:eastAsia="Times New Roman" w:hAnsi="Times New Roman"/>
                <w:sz w:val="15"/>
                <w:szCs w:val="15"/>
                <w:color w:val="231F20"/>
              </w:rPr>
              <w:t>(8,721)</w:t>
            </w:r>
          </w:p>
        </w:tc>
        <w:tc>
          <w:tcPr>
            <w:tcW w:w="0" w:type="dxa"/>
            <w:vAlign w:val="bottom"/>
          </w:tcPr>
          <w:p>
            <w:pPr>
              <w:spacing w:after="0"/>
              <w:rPr>
                <w:sz w:val="1"/>
                <w:szCs w:val="1"/>
                <w:color w:val="auto"/>
              </w:rPr>
            </w:pPr>
          </w:p>
        </w:tc>
      </w:tr>
      <w:tr>
        <w:trPr>
          <w:trHeight w:val="174"/>
        </w:trPr>
        <w:tc>
          <w:tcPr>
            <w:tcW w:w="5100" w:type="dxa"/>
            <w:vAlign w:val="bottom"/>
            <w:shd w:val="clear" w:color="auto" w:fill="FDFDFC"/>
          </w:tcPr>
          <w:p>
            <w:pPr>
              <w:ind w:left="380"/>
              <w:spacing w:after="0"/>
              <w:rPr>
                <w:sz w:val="20"/>
                <w:szCs w:val="20"/>
                <w:color w:val="auto"/>
              </w:rPr>
            </w:pPr>
            <w:r>
              <w:rPr>
                <w:rFonts w:ascii="Times New Roman" w:cs="Times New Roman" w:eastAsia="Times New Roman" w:hAnsi="Times New Roman"/>
                <w:sz w:val="15"/>
                <w:szCs w:val="15"/>
                <w:color w:val="231F20"/>
              </w:rPr>
              <w:t>Net change in unrealized (gains) losses on interest rate swaps</w:t>
            </w:r>
          </w:p>
        </w:tc>
        <w:tc>
          <w:tcPr>
            <w:tcW w:w="80" w:type="dxa"/>
            <w:vAlign w:val="bottom"/>
            <w:shd w:val="clear" w:color="auto" w:fill="FDFDFC"/>
          </w:tcPr>
          <w:p>
            <w:pPr>
              <w:spacing w:after="0"/>
              <w:rPr>
                <w:sz w:val="15"/>
                <w:szCs w:val="15"/>
                <w:color w:val="auto"/>
              </w:rPr>
            </w:pPr>
          </w:p>
        </w:tc>
        <w:tc>
          <w:tcPr>
            <w:tcW w:w="100" w:type="dxa"/>
            <w:vAlign w:val="bottom"/>
            <w:shd w:val="clear" w:color="auto" w:fill="FDFDFC"/>
          </w:tcPr>
          <w:p>
            <w:pPr>
              <w:spacing w:after="0"/>
              <w:rPr>
                <w:sz w:val="15"/>
                <w:szCs w:val="15"/>
                <w:color w:val="auto"/>
              </w:rPr>
            </w:pPr>
          </w:p>
        </w:tc>
        <w:tc>
          <w:tcPr>
            <w:tcW w:w="1600" w:type="dxa"/>
            <w:vAlign w:val="bottom"/>
            <w:gridSpan w:val="3"/>
            <w:shd w:val="clear" w:color="auto" w:fill="FDFDFC"/>
          </w:tcPr>
          <w:p>
            <w:pPr>
              <w:jc w:val="right"/>
              <w:ind w:right="240"/>
              <w:spacing w:after="0"/>
              <w:rPr>
                <w:sz w:val="20"/>
                <w:szCs w:val="20"/>
                <w:color w:val="auto"/>
              </w:rPr>
            </w:pPr>
            <w:r>
              <w:rPr>
                <w:rFonts w:ascii="Times New Roman" w:cs="Times New Roman" w:eastAsia="Times New Roman" w:hAnsi="Times New Roman"/>
                <w:sz w:val="15"/>
                <w:szCs w:val="15"/>
                <w:color w:val="231F20"/>
              </w:rPr>
              <w:t>—</w:t>
            </w:r>
          </w:p>
        </w:tc>
        <w:tc>
          <w:tcPr>
            <w:tcW w:w="100" w:type="dxa"/>
            <w:vAlign w:val="bottom"/>
            <w:shd w:val="clear" w:color="auto" w:fill="FDFDFC"/>
          </w:tcPr>
          <w:p>
            <w:pPr>
              <w:spacing w:after="0"/>
              <w:rPr>
                <w:sz w:val="15"/>
                <w:szCs w:val="15"/>
                <w:color w:val="auto"/>
              </w:rPr>
            </w:pPr>
          </w:p>
        </w:tc>
        <w:tc>
          <w:tcPr>
            <w:tcW w:w="1660" w:type="dxa"/>
            <w:vAlign w:val="bottom"/>
            <w:gridSpan w:val="2"/>
            <w:shd w:val="clear" w:color="auto" w:fill="FDFDFC"/>
          </w:tcPr>
          <w:p>
            <w:pPr>
              <w:jc w:val="right"/>
              <w:ind w:right="180"/>
              <w:spacing w:after="0"/>
              <w:rPr>
                <w:sz w:val="20"/>
                <w:szCs w:val="20"/>
                <w:color w:val="auto"/>
              </w:rPr>
            </w:pPr>
            <w:r>
              <w:rPr>
                <w:rFonts w:ascii="Times New Roman" w:cs="Times New Roman" w:eastAsia="Times New Roman" w:hAnsi="Times New Roman"/>
                <w:sz w:val="15"/>
                <w:szCs w:val="15"/>
                <w:color w:val="231F20"/>
              </w:rPr>
              <w:t>(174)</w:t>
            </w:r>
          </w:p>
        </w:tc>
        <w:tc>
          <w:tcPr>
            <w:tcW w:w="80" w:type="dxa"/>
            <w:vAlign w:val="bottom"/>
            <w:shd w:val="clear" w:color="auto" w:fill="FDFDFC"/>
          </w:tcPr>
          <w:p>
            <w:pPr>
              <w:spacing w:after="0"/>
              <w:rPr>
                <w:sz w:val="15"/>
                <w:szCs w:val="15"/>
                <w:color w:val="auto"/>
              </w:rPr>
            </w:pPr>
          </w:p>
        </w:tc>
        <w:tc>
          <w:tcPr>
            <w:tcW w:w="1380" w:type="dxa"/>
            <w:vAlign w:val="bottom"/>
            <w:shd w:val="clear" w:color="auto" w:fill="FDFDFC"/>
          </w:tcPr>
          <w:p>
            <w:pPr>
              <w:jc w:val="right"/>
              <w:spacing w:after="0"/>
              <w:rPr>
                <w:sz w:val="20"/>
                <w:szCs w:val="20"/>
                <w:color w:val="auto"/>
              </w:rPr>
            </w:pPr>
            <w:r>
              <w:rPr>
                <w:rFonts w:ascii="Times New Roman" w:cs="Times New Roman" w:eastAsia="Times New Roman" w:hAnsi="Times New Roman"/>
                <w:sz w:val="15"/>
                <w:szCs w:val="15"/>
                <w:color w:val="231F20"/>
              </w:rPr>
              <w:t>6,748</w:t>
            </w:r>
          </w:p>
        </w:tc>
        <w:tc>
          <w:tcPr>
            <w:tcW w:w="100" w:type="dxa"/>
            <w:vAlign w:val="bottom"/>
            <w:shd w:val="clear" w:color="auto" w:fill="FDFDFC"/>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5100" w:type="dxa"/>
            <w:vAlign w:val="bottom"/>
            <w:shd w:val="clear" w:color="auto" w:fill="D0EBF2"/>
          </w:tcPr>
          <w:p>
            <w:pPr>
              <w:ind w:left="380"/>
              <w:spacing w:after="0"/>
              <w:rPr>
                <w:sz w:val="20"/>
                <w:szCs w:val="20"/>
                <w:color w:val="auto"/>
              </w:rPr>
            </w:pPr>
            <w:r>
              <w:rPr>
                <w:rFonts w:ascii="Times New Roman" w:cs="Times New Roman" w:eastAsia="Times New Roman" w:hAnsi="Times New Roman"/>
                <w:sz w:val="15"/>
                <w:szCs w:val="15"/>
                <w:color w:val="231F20"/>
              </w:rPr>
              <w:t>Net realized (gains) losses on investments</w:t>
            </w:r>
          </w:p>
        </w:tc>
        <w:tc>
          <w:tcPr>
            <w:tcW w:w="80" w:type="dxa"/>
            <w:vAlign w:val="bottom"/>
            <w:shd w:val="clear" w:color="auto" w:fill="D0EBF2"/>
          </w:tcPr>
          <w:p>
            <w:pPr>
              <w:spacing w:after="0"/>
              <w:rPr>
                <w:sz w:val="15"/>
                <w:szCs w:val="15"/>
                <w:color w:val="auto"/>
              </w:rPr>
            </w:pPr>
          </w:p>
        </w:tc>
        <w:tc>
          <w:tcPr>
            <w:tcW w:w="100" w:type="dxa"/>
            <w:vAlign w:val="bottom"/>
            <w:shd w:val="clear" w:color="auto" w:fill="D0EBF2"/>
          </w:tcPr>
          <w:p>
            <w:pPr>
              <w:spacing w:after="0"/>
              <w:rPr>
                <w:sz w:val="15"/>
                <w:szCs w:val="15"/>
                <w:color w:val="auto"/>
              </w:rPr>
            </w:pPr>
          </w:p>
        </w:tc>
        <w:tc>
          <w:tcPr>
            <w:tcW w:w="1480" w:type="dxa"/>
            <w:vAlign w:val="bottom"/>
            <w:gridSpan w:val="2"/>
            <w:shd w:val="clear" w:color="auto" w:fill="D0EBF2"/>
          </w:tcPr>
          <w:p>
            <w:pPr>
              <w:jc w:val="right"/>
              <w:ind w:right="22"/>
              <w:spacing w:after="0"/>
              <w:rPr>
                <w:sz w:val="20"/>
                <w:szCs w:val="20"/>
                <w:color w:val="auto"/>
              </w:rPr>
            </w:pPr>
            <w:r>
              <w:rPr>
                <w:rFonts w:ascii="Times New Roman" w:cs="Times New Roman" w:eastAsia="Times New Roman" w:hAnsi="Times New Roman"/>
                <w:sz w:val="15"/>
                <w:szCs w:val="15"/>
                <w:color w:val="231F20"/>
              </w:rPr>
              <w:t>(9,037)</w:t>
            </w:r>
          </w:p>
        </w:tc>
        <w:tc>
          <w:tcPr>
            <w:tcW w:w="120" w:type="dxa"/>
            <w:vAlign w:val="bottom"/>
            <w:shd w:val="clear" w:color="auto" w:fill="D0EBF2"/>
          </w:tcPr>
          <w:p>
            <w:pPr>
              <w:spacing w:after="0"/>
              <w:rPr>
                <w:sz w:val="15"/>
                <w:szCs w:val="15"/>
                <w:color w:val="auto"/>
              </w:rPr>
            </w:pPr>
          </w:p>
        </w:tc>
        <w:tc>
          <w:tcPr>
            <w:tcW w:w="100" w:type="dxa"/>
            <w:vAlign w:val="bottom"/>
            <w:shd w:val="clear" w:color="auto" w:fill="D0EBF2"/>
          </w:tcPr>
          <w:p>
            <w:pPr>
              <w:spacing w:after="0"/>
              <w:rPr>
                <w:sz w:val="15"/>
                <w:szCs w:val="15"/>
                <w:color w:val="auto"/>
              </w:rPr>
            </w:pPr>
          </w:p>
        </w:tc>
        <w:tc>
          <w:tcPr>
            <w:tcW w:w="1660" w:type="dxa"/>
            <w:vAlign w:val="bottom"/>
            <w:gridSpan w:val="2"/>
            <w:shd w:val="clear" w:color="auto" w:fill="D0EBF2"/>
          </w:tcPr>
          <w:p>
            <w:pPr>
              <w:jc w:val="right"/>
              <w:ind w:right="180"/>
              <w:spacing w:after="0"/>
              <w:rPr>
                <w:sz w:val="20"/>
                <w:szCs w:val="20"/>
                <w:color w:val="auto"/>
              </w:rPr>
            </w:pPr>
            <w:r>
              <w:rPr>
                <w:rFonts w:ascii="Times New Roman" w:cs="Times New Roman" w:eastAsia="Times New Roman" w:hAnsi="Times New Roman"/>
                <w:sz w:val="15"/>
                <w:szCs w:val="15"/>
                <w:color w:val="231F20"/>
              </w:rPr>
              <w:t>(12,253)</w:t>
            </w:r>
          </w:p>
        </w:tc>
        <w:tc>
          <w:tcPr>
            <w:tcW w:w="80" w:type="dxa"/>
            <w:vAlign w:val="bottom"/>
            <w:shd w:val="clear" w:color="auto" w:fill="D0EBF2"/>
          </w:tcPr>
          <w:p>
            <w:pPr>
              <w:spacing w:after="0"/>
              <w:rPr>
                <w:sz w:val="15"/>
                <w:szCs w:val="15"/>
                <w:color w:val="auto"/>
              </w:rPr>
            </w:pPr>
          </w:p>
        </w:tc>
        <w:tc>
          <w:tcPr>
            <w:tcW w:w="1480" w:type="dxa"/>
            <w:vAlign w:val="bottom"/>
            <w:gridSpan w:val="2"/>
            <w:shd w:val="clear" w:color="auto" w:fill="D0EBF2"/>
          </w:tcPr>
          <w:p>
            <w:pPr>
              <w:jc w:val="right"/>
              <w:ind w:right="22"/>
              <w:spacing w:after="0"/>
              <w:rPr>
                <w:sz w:val="20"/>
                <w:szCs w:val="20"/>
                <w:color w:val="auto"/>
              </w:rPr>
            </w:pPr>
            <w:r>
              <w:rPr>
                <w:rFonts w:ascii="Times New Roman" w:cs="Times New Roman" w:eastAsia="Times New Roman" w:hAnsi="Times New Roman"/>
                <w:sz w:val="15"/>
                <w:szCs w:val="15"/>
                <w:color w:val="231F20"/>
              </w:rPr>
              <w:t>(14,735)</w:t>
            </w:r>
          </w:p>
        </w:tc>
        <w:tc>
          <w:tcPr>
            <w:tcW w:w="0" w:type="dxa"/>
            <w:vAlign w:val="bottom"/>
          </w:tcPr>
          <w:p>
            <w:pPr>
              <w:spacing w:after="0"/>
              <w:rPr>
                <w:sz w:val="1"/>
                <w:szCs w:val="1"/>
                <w:color w:val="auto"/>
              </w:rPr>
            </w:pPr>
          </w:p>
        </w:tc>
      </w:tr>
      <w:tr>
        <w:trPr>
          <w:trHeight w:val="174"/>
        </w:trPr>
        <w:tc>
          <w:tcPr>
            <w:tcW w:w="5100" w:type="dxa"/>
            <w:vAlign w:val="bottom"/>
            <w:shd w:val="clear" w:color="auto" w:fill="FDFDFC"/>
          </w:tcPr>
          <w:p>
            <w:pPr>
              <w:ind w:left="380"/>
              <w:spacing w:after="0"/>
              <w:rPr>
                <w:sz w:val="20"/>
                <w:szCs w:val="20"/>
                <w:color w:val="auto"/>
              </w:rPr>
            </w:pPr>
            <w:r>
              <w:rPr>
                <w:rFonts w:ascii="Times New Roman" w:cs="Times New Roman" w:eastAsia="Times New Roman" w:hAnsi="Times New Roman"/>
                <w:sz w:val="15"/>
                <w:szCs w:val="15"/>
                <w:color w:val="231F20"/>
              </w:rPr>
              <w:t>Net realized (gains) losses on foreign currency transactions</w:t>
            </w:r>
          </w:p>
        </w:tc>
        <w:tc>
          <w:tcPr>
            <w:tcW w:w="80" w:type="dxa"/>
            <w:vAlign w:val="bottom"/>
            <w:shd w:val="clear" w:color="auto" w:fill="FDFDFC"/>
          </w:tcPr>
          <w:p>
            <w:pPr>
              <w:spacing w:after="0"/>
              <w:rPr>
                <w:sz w:val="15"/>
                <w:szCs w:val="15"/>
                <w:color w:val="auto"/>
              </w:rPr>
            </w:pPr>
          </w:p>
        </w:tc>
        <w:tc>
          <w:tcPr>
            <w:tcW w:w="100" w:type="dxa"/>
            <w:vAlign w:val="bottom"/>
            <w:shd w:val="clear" w:color="auto" w:fill="FDFDFC"/>
          </w:tcPr>
          <w:p>
            <w:pPr>
              <w:spacing w:after="0"/>
              <w:rPr>
                <w:sz w:val="15"/>
                <w:szCs w:val="15"/>
                <w:color w:val="auto"/>
              </w:rPr>
            </w:pPr>
          </w:p>
        </w:tc>
        <w:tc>
          <w:tcPr>
            <w:tcW w:w="1480" w:type="dxa"/>
            <w:vAlign w:val="bottom"/>
            <w:gridSpan w:val="2"/>
            <w:shd w:val="clear" w:color="auto" w:fill="FDFDFC"/>
          </w:tcPr>
          <w:p>
            <w:pPr>
              <w:jc w:val="right"/>
              <w:ind w:right="22"/>
              <w:spacing w:after="0"/>
              <w:rPr>
                <w:sz w:val="20"/>
                <w:szCs w:val="20"/>
                <w:color w:val="auto"/>
              </w:rPr>
            </w:pPr>
            <w:r>
              <w:rPr>
                <w:rFonts w:ascii="Times New Roman" w:cs="Times New Roman" w:eastAsia="Times New Roman" w:hAnsi="Times New Roman"/>
                <w:sz w:val="15"/>
                <w:szCs w:val="15"/>
                <w:color w:val="231F20"/>
              </w:rPr>
              <w:t>(610)</w:t>
            </w:r>
          </w:p>
        </w:tc>
        <w:tc>
          <w:tcPr>
            <w:tcW w:w="120" w:type="dxa"/>
            <w:vAlign w:val="bottom"/>
            <w:shd w:val="clear" w:color="auto" w:fill="FDFDFC"/>
          </w:tcPr>
          <w:p>
            <w:pPr>
              <w:spacing w:after="0"/>
              <w:rPr>
                <w:sz w:val="15"/>
                <w:szCs w:val="15"/>
                <w:color w:val="auto"/>
              </w:rPr>
            </w:pPr>
          </w:p>
        </w:tc>
        <w:tc>
          <w:tcPr>
            <w:tcW w:w="100" w:type="dxa"/>
            <w:vAlign w:val="bottom"/>
            <w:shd w:val="clear" w:color="auto" w:fill="FDFDFC"/>
          </w:tcPr>
          <w:p>
            <w:pPr>
              <w:spacing w:after="0"/>
              <w:rPr>
                <w:sz w:val="15"/>
                <w:szCs w:val="15"/>
                <w:color w:val="auto"/>
              </w:rPr>
            </w:pPr>
          </w:p>
        </w:tc>
        <w:tc>
          <w:tcPr>
            <w:tcW w:w="1660" w:type="dxa"/>
            <w:vAlign w:val="bottom"/>
            <w:gridSpan w:val="2"/>
            <w:shd w:val="clear" w:color="auto" w:fill="FDFDFC"/>
          </w:tcPr>
          <w:p>
            <w:pPr>
              <w:jc w:val="right"/>
              <w:ind w:right="180"/>
              <w:spacing w:after="0"/>
              <w:rPr>
                <w:sz w:val="20"/>
                <w:szCs w:val="20"/>
                <w:color w:val="auto"/>
              </w:rPr>
            </w:pPr>
            <w:r>
              <w:rPr>
                <w:rFonts w:ascii="Times New Roman" w:cs="Times New Roman" w:eastAsia="Times New Roman" w:hAnsi="Times New Roman"/>
                <w:sz w:val="15"/>
                <w:szCs w:val="15"/>
                <w:color w:val="231F20"/>
              </w:rPr>
              <w:t>(335)</w:t>
            </w:r>
          </w:p>
        </w:tc>
        <w:tc>
          <w:tcPr>
            <w:tcW w:w="80" w:type="dxa"/>
            <w:vAlign w:val="bottom"/>
            <w:shd w:val="clear" w:color="auto" w:fill="FDFDFC"/>
          </w:tcPr>
          <w:p>
            <w:pPr>
              <w:spacing w:after="0"/>
              <w:rPr>
                <w:sz w:val="15"/>
                <w:szCs w:val="15"/>
                <w:color w:val="auto"/>
              </w:rPr>
            </w:pPr>
          </w:p>
        </w:tc>
        <w:tc>
          <w:tcPr>
            <w:tcW w:w="1380" w:type="dxa"/>
            <w:vAlign w:val="bottom"/>
            <w:shd w:val="clear" w:color="auto" w:fill="FDFDFC"/>
          </w:tcPr>
          <w:p>
            <w:pPr>
              <w:jc w:val="right"/>
              <w:spacing w:after="0"/>
              <w:rPr>
                <w:sz w:val="20"/>
                <w:szCs w:val="20"/>
                <w:color w:val="auto"/>
              </w:rPr>
            </w:pPr>
            <w:r>
              <w:rPr>
                <w:rFonts w:ascii="Times New Roman" w:cs="Times New Roman" w:eastAsia="Times New Roman" w:hAnsi="Times New Roman"/>
                <w:sz w:val="15"/>
                <w:szCs w:val="15"/>
                <w:color w:val="231F20"/>
              </w:rPr>
              <w:t>509</w:t>
            </w:r>
          </w:p>
        </w:tc>
        <w:tc>
          <w:tcPr>
            <w:tcW w:w="100" w:type="dxa"/>
            <w:vAlign w:val="bottom"/>
            <w:shd w:val="clear" w:color="auto" w:fill="FDFDFC"/>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5100" w:type="dxa"/>
            <w:vAlign w:val="bottom"/>
            <w:shd w:val="clear" w:color="auto" w:fill="D0EBF2"/>
          </w:tcPr>
          <w:p>
            <w:pPr>
              <w:ind w:left="380"/>
              <w:spacing w:after="0"/>
              <w:rPr>
                <w:sz w:val="20"/>
                <w:szCs w:val="20"/>
                <w:color w:val="auto"/>
              </w:rPr>
            </w:pPr>
            <w:r>
              <w:rPr>
                <w:rFonts w:ascii="Times New Roman" w:cs="Times New Roman" w:eastAsia="Times New Roman" w:hAnsi="Times New Roman"/>
                <w:sz w:val="15"/>
                <w:szCs w:val="15"/>
                <w:color w:val="231F20"/>
              </w:rPr>
              <w:t>Net realized (gains) losses on interest rate swaps</w:t>
            </w:r>
          </w:p>
        </w:tc>
        <w:tc>
          <w:tcPr>
            <w:tcW w:w="80" w:type="dxa"/>
            <w:vAlign w:val="bottom"/>
            <w:shd w:val="clear" w:color="auto" w:fill="D0EBF2"/>
          </w:tcPr>
          <w:p>
            <w:pPr>
              <w:spacing w:after="0"/>
              <w:rPr>
                <w:sz w:val="15"/>
                <w:szCs w:val="15"/>
                <w:color w:val="auto"/>
              </w:rPr>
            </w:pPr>
          </w:p>
        </w:tc>
        <w:tc>
          <w:tcPr>
            <w:tcW w:w="100" w:type="dxa"/>
            <w:vAlign w:val="bottom"/>
            <w:shd w:val="clear" w:color="auto" w:fill="D0EBF2"/>
          </w:tcPr>
          <w:p>
            <w:pPr>
              <w:spacing w:after="0"/>
              <w:rPr>
                <w:sz w:val="15"/>
                <w:szCs w:val="15"/>
                <w:color w:val="auto"/>
              </w:rPr>
            </w:pPr>
          </w:p>
        </w:tc>
        <w:tc>
          <w:tcPr>
            <w:tcW w:w="1600" w:type="dxa"/>
            <w:vAlign w:val="bottom"/>
            <w:gridSpan w:val="3"/>
            <w:shd w:val="clear" w:color="auto" w:fill="D0EBF2"/>
          </w:tcPr>
          <w:p>
            <w:pPr>
              <w:jc w:val="right"/>
              <w:ind w:right="240"/>
              <w:spacing w:after="0"/>
              <w:rPr>
                <w:sz w:val="20"/>
                <w:szCs w:val="20"/>
                <w:color w:val="auto"/>
              </w:rPr>
            </w:pPr>
            <w:r>
              <w:rPr>
                <w:rFonts w:ascii="Times New Roman" w:cs="Times New Roman" w:eastAsia="Times New Roman" w:hAnsi="Times New Roman"/>
                <w:sz w:val="15"/>
                <w:szCs w:val="15"/>
                <w:color w:val="231F20"/>
              </w:rPr>
              <w:t>—</w:t>
            </w:r>
          </w:p>
        </w:tc>
        <w:tc>
          <w:tcPr>
            <w:tcW w:w="100" w:type="dxa"/>
            <w:vAlign w:val="bottom"/>
            <w:shd w:val="clear" w:color="auto" w:fill="D0EBF2"/>
          </w:tcPr>
          <w:p>
            <w:pPr>
              <w:spacing w:after="0"/>
              <w:rPr>
                <w:sz w:val="15"/>
                <w:szCs w:val="15"/>
                <w:color w:val="auto"/>
              </w:rPr>
            </w:pPr>
          </w:p>
        </w:tc>
        <w:tc>
          <w:tcPr>
            <w:tcW w:w="1660" w:type="dxa"/>
            <w:vAlign w:val="bottom"/>
            <w:gridSpan w:val="2"/>
            <w:shd w:val="clear" w:color="auto" w:fill="D0EBF2"/>
          </w:tcPr>
          <w:p>
            <w:pPr>
              <w:jc w:val="right"/>
              <w:ind w:right="240"/>
              <w:spacing w:after="0"/>
              <w:rPr>
                <w:sz w:val="20"/>
                <w:szCs w:val="20"/>
                <w:color w:val="auto"/>
              </w:rPr>
            </w:pPr>
            <w:r>
              <w:rPr>
                <w:rFonts w:ascii="Times New Roman" w:cs="Times New Roman" w:eastAsia="Times New Roman" w:hAnsi="Times New Roman"/>
                <w:sz w:val="15"/>
                <w:szCs w:val="15"/>
                <w:color w:val="231F20"/>
              </w:rPr>
              <w:t>—</w:t>
            </w:r>
          </w:p>
        </w:tc>
        <w:tc>
          <w:tcPr>
            <w:tcW w:w="80" w:type="dxa"/>
            <w:vAlign w:val="bottom"/>
            <w:shd w:val="clear" w:color="auto" w:fill="D0EBF2"/>
          </w:tcPr>
          <w:p>
            <w:pPr>
              <w:spacing w:after="0"/>
              <w:rPr>
                <w:sz w:val="15"/>
                <w:szCs w:val="15"/>
                <w:color w:val="auto"/>
              </w:rPr>
            </w:pPr>
          </w:p>
        </w:tc>
        <w:tc>
          <w:tcPr>
            <w:tcW w:w="1480" w:type="dxa"/>
            <w:vAlign w:val="bottom"/>
            <w:gridSpan w:val="2"/>
            <w:shd w:val="clear" w:color="auto" w:fill="D0EBF2"/>
          </w:tcPr>
          <w:p>
            <w:pPr>
              <w:jc w:val="right"/>
              <w:ind w:right="22"/>
              <w:spacing w:after="0"/>
              <w:rPr>
                <w:sz w:val="20"/>
                <w:szCs w:val="20"/>
                <w:color w:val="auto"/>
              </w:rPr>
            </w:pPr>
            <w:r>
              <w:rPr>
                <w:rFonts w:ascii="Times New Roman" w:cs="Times New Roman" w:eastAsia="Times New Roman" w:hAnsi="Times New Roman"/>
                <w:sz w:val="15"/>
                <w:szCs w:val="15"/>
                <w:color w:val="231F20"/>
              </w:rPr>
              <w:t>(2,251)</w:t>
            </w:r>
          </w:p>
        </w:tc>
        <w:tc>
          <w:tcPr>
            <w:tcW w:w="0" w:type="dxa"/>
            <w:vAlign w:val="bottom"/>
          </w:tcPr>
          <w:p>
            <w:pPr>
              <w:spacing w:after="0"/>
              <w:rPr>
                <w:sz w:val="1"/>
                <w:szCs w:val="1"/>
                <w:color w:val="auto"/>
              </w:rPr>
            </w:pPr>
          </w:p>
        </w:tc>
      </w:tr>
      <w:tr>
        <w:trPr>
          <w:trHeight w:val="174"/>
        </w:trPr>
        <w:tc>
          <w:tcPr>
            <w:tcW w:w="5100" w:type="dxa"/>
            <w:vAlign w:val="bottom"/>
            <w:shd w:val="clear" w:color="auto" w:fill="FDFDFC"/>
          </w:tcPr>
          <w:p>
            <w:pPr>
              <w:ind w:left="380"/>
              <w:spacing w:after="0"/>
              <w:rPr>
                <w:sz w:val="20"/>
                <w:szCs w:val="20"/>
                <w:color w:val="auto"/>
              </w:rPr>
            </w:pPr>
            <w:r>
              <w:rPr>
                <w:rFonts w:ascii="Times New Roman" w:cs="Times New Roman" w:eastAsia="Times New Roman" w:hAnsi="Times New Roman"/>
                <w:sz w:val="15"/>
                <w:szCs w:val="15"/>
                <w:color w:val="231F20"/>
              </w:rPr>
              <w:t>Net amortization of discount on investments</w:t>
            </w:r>
          </w:p>
        </w:tc>
        <w:tc>
          <w:tcPr>
            <w:tcW w:w="80" w:type="dxa"/>
            <w:vAlign w:val="bottom"/>
            <w:shd w:val="clear" w:color="auto" w:fill="FDFDFC"/>
          </w:tcPr>
          <w:p>
            <w:pPr>
              <w:spacing w:after="0"/>
              <w:rPr>
                <w:sz w:val="15"/>
                <w:szCs w:val="15"/>
                <w:color w:val="auto"/>
              </w:rPr>
            </w:pPr>
          </w:p>
        </w:tc>
        <w:tc>
          <w:tcPr>
            <w:tcW w:w="100" w:type="dxa"/>
            <w:vAlign w:val="bottom"/>
            <w:shd w:val="clear" w:color="auto" w:fill="FDFDFC"/>
          </w:tcPr>
          <w:p>
            <w:pPr>
              <w:spacing w:after="0"/>
              <w:rPr>
                <w:sz w:val="15"/>
                <w:szCs w:val="15"/>
                <w:color w:val="auto"/>
              </w:rPr>
            </w:pPr>
          </w:p>
        </w:tc>
        <w:tc>
          <w:tcPr>
            <w:tcW w:w="1480" w:type="dxa"/>
            <w:vAlign w:val="bottom"/>
            <w:gridSpan w:val="2"/>
            <w:shd w:val="clear" w:color="auto" w:fill="FDFDFC"/>
          </w:tcPr>
          <w:p>
            <w:pPr>
              <w:jc w:val="right"/>
              <w:ind w:right="22"/>
              <w:spacing w:after="0"/>
              <w:rPr>
                <w:sz w:val="20"/>
                <w:szCs w:val="20"/>
                <w:color w:val="auto"/>
              </w:rPr>
            </w:pPr>
            <w:r>
              <w:rPr>
                <w:rFonts w:ascii="Times New Roman" w:cs="Times New Roman" w:eastAsia="Times New Roman" w:hAnsi="Times New Roman"/>
                <w:sz w:val="15"/>
                <w:szCs w:val="15"/>
                <w:color w:val="231F20"/>
              </w:rPr>
              <w:t>(21,101)</w:t>
            </w:r>
          </w:p>
        </w:tc>
        <w:tc>
          <w:tcPr>
            <w:tcW w:w="120" w:type="dxa"/>
            <w:vAlign w:val="bottom"/>
            <w:shd w:val="clear" w:color="auto" w:fill="FDFDFC"/>
          </w:tcPr>
          <w:p>
            <w:pPr>
              <w:spacing w:after="0"/>
              <w:rPr>
                <w:sz w:val="15"/>
                <w:szCs w:val="15"/>
                <w:color w:val="auto"/>
              </w:rPr>
            </w:pPr>
          </w:p>
        </w:tc>
        <w:tc>
          <w:tcPr>
            <w:tcW w:w="100" w:type="dxa"/>
            <w:vAlign w:val="bottom"/>
            <w:shd w:val="clear" w:color="auto" w:fill="FDFDFC"/>
          </w:tcPr>
          <w:p>
            <w:pPr>
              <w:spacing w:after="0"/>
              <w:rPr>
                <w:sz w:val="15"/>
                <w:szCs w:val="15"/>
                <w:color w:val="auto"/>
              </w:rPr>
            </w:pPr>
          </w:p>
        </w:tc>
        <w:tc>
          <w:tcPr>
            <w:tcW w:w="1660" w:type="dxa"/>
            <w:vAlign w:val="bottom"/>
            <w:gridSpan w:val="2"/>
            <w:shd w:val="clear" w:color="auto" w:fill="FDFDFC"/>
          </w:tcPr>
          <w:p>
            <w:pPr>
              <w:jc w:val="right"/>
              <w:ind w:right="180"/>
              <w:spacing w:after="0"/>
              <w:rPr>
                <w:sz w:val="20"/>
                <w:szCs w:val="20"/>
                <w:color w:val="auto"/>
              </w:rPr>
            </w:pPr>
            <w:r>
              <w:rPr>
                <w:rFonts w:ascii="Times New Roman" w:cs="Times New Roman" w:eastAsia="Times New Roman" w:hAnsi="Times New Roman"/>
                <w:sz w:val="15"/>
                <w:szCs w:val="15"/>
                <w:color w:val="231F20"/>
              </w:rPr>
              <w:t>(17,596)</w:t>
            </w:r>
          </w:p>
        </w:tc>
        <w:tc>
          <w:tcPr>
            <w:tcW w:w="80" w:type="dxa"/>
            <w:vAlign w:val="bottom"/>
            <w:shd w:val="clear" w:color="auto" w:fill="FDFDFC"/>
          </w:tcPr>
          <w:p>
            <w:pPr>
              <w:spacing w:after="0"/>
              <w:rPr>
                <w:sz w:val="15"/>
                <w:szCs w:val="15"/>
                <w:color w:val="auto"/>
              </w:rPr>
            </w:pPr>
          </w:p>
        </w:tc>
        <w:tc>
          <w:tcPr>
            <w:tcW w:w="1480" w:type="dxa"/>
            <w:vAlign w:val="bottom"/>
            <w:gridSpan w:val="2"/>
            <w:shd w:val="clear" w:color="auto" w:fill="FDFDFC"/>
          </w:tcPr>
          <w:p>
            <w:pPr>
              <w:jc w:val="right"/>
              <w:ind w:right="22"/>
              <w:spacing w:after="0"/>
              <w:rPr>
                <w:sz w:val="20"/>
                <w:szCs w:val="20"/>
                <w:color w:val="auto"/>
              </w:rPr>
            </w:pPr>
            <w:r>
              <w:rPr>
                <w:rFonts w:ascii="Times New Roman" w:cs="Times New Roman" w:eastAsia="Times New Roman" w:hAnsi="Times New Roman"/>
                <w:sz w:val="15"/>
                <w:szCs w:val="15"/>
                <w:color w:val="231F20"/>
              </w:rPr>
              <w:t>(19,387)</w:t>
            </w:r>
          </w:p>
        </w:tc>
        <w:tc>
          <w:tcPr>
            <w:tcW w:w="0" w:type="dxa"/>
            <w:vAlign w:val="bottom"/>
          </w:tcPr>
          <w:p>
            <w:pPr>
              <w:spacing w:after="0"/>
              <w:rPr>
                <w:sz w:val="1"/>
                <w:szCs w:val="1"/>
                <w:color w:val="auto"/>
              </w:rPr>
            </w:pPr>
          </w:p>
        </w:tc>
      </w:tr>
      <w:tr>
        <w:trPr>
          <w:trHeight w:val="174"/>
        </w:trPr>
        <w:tc>
          <w:tcPr>
            <w:tcW w:w="5100" w:type="dxa"/>
            <w:vAlign w:val="bottom"/>
            <w:shd w:val="clear" w:color="auto" w:fill="D0EBF2"/>
          </w:tcPr>
          <w:p>
            <w:pPr>
              <w:ind w:left="380"/>
              <w:spacing w:after="0"/>
              <w:rPr>
                <w:sz w:val="20"/>
                <w:szCs w:val="20"/>
                <w:color w:val="auto"/>
              </w:rPr>
            </w:pPr>
            <w:r>
              <w:rPr>
                <w:rFonts w:ascii="Times New Roman" w:cs="Times New Roman" w:eastAsia="Times New Roman" w:hAnsi="Times New Roman"/>
                <w:sz w:val="15"/>
                <w:szCs w:val="15"/>
                <w:color w:val="231F20"/>
              </w:rPr>
              <w:t>Amortization of deferred financing costs</w:t>
            </w:r>
          </w:p>
        </w:tc>
        <w:tc>
          <w:tcPr>
            <w:tcW w:w="80" w:type="dxa"/>
            <w:vAlign w:val="bottom"/>
            <w:shd w:val="clear" w:color="auto" w:fill="D0EBF2"/>
          </w:tcPr>
          <w:p>
            <w:pPr>
              <w:spacing w:after="0"/>
              <w:rPr>
                <w:sz w:val="15"/>
                <w:szCs w:val="15"/>
                <w:color w:val="auto"/>
              </w:rPr>
            </w:pPr>
          </w:p>
        </w:tc>
        <w:tc>
          <w:tcPr>
            <w:tcW w:w="100" w:type="dxa"/>
            <w:vAlign w:val="bottom"/>
            <w:shd w:val="clear" w:color="auto" w:fill="D0EBF2"/>
          </w:tcPr>
          <w:p>
            <w:pPr>
              <w:spacing w:after="0"/>
              <w:rPr>
                <w:sz w:val="15"/>
                <w:szCs w:val="15"/>
                <w:color w:val="auto"/>
              </w:rPr>
            </w:pPr>
          </w:p>
        </w:tc>
        <w:tc>
          <w:tcPr>
            <w:tcW w:w="1380" w:type="dxa"/>
            <w:vAlign w:val="bottom"/>
            <w:shd w:val="clear" w:color="auto" w:fill="D0EBF2"/>
          </w:tcPr>
          <w:p>
            <w:pPr>
              <w:jc w:val="right"/>
              <w:spacing w:after="0"/>
              <w:rPr>
                <w:sz w:val="20"/>
                <w:szCs w:val="20"/>
                <w:color w:val="auto"/>
              </w:rPr>
            </w:pPr>
            <w:r>
              <w:rPr>
                <w:rFonts w:ascii="Times New Roman" w:cs="Times New Roman" w:eastAsia="Times New Roman" w:hAnsi="Times New Roman"/>
                <w:sz w:val="15"/>
                <w:szCs w:val="15"/>
                <w:color w:val="231F20"/>
              </w:rPr>
              <w:t>6,903</w:t>
            </w:r>
          </w:p>
        </w:tc>
        <w:tc>
          <w:tcPr>
            <w:tcW w:w="100" w:type="dxa"/>
            <w:vAlign w:val="bottom"/>
            <w:shd w:val="clear" w:color="auto" w:fill="D0EBF2"/>
          </w:tcPr>
          <w:p>
            <w:pPr>
              <w:spacing w:after="0"/>
              <w:rPr>
                <w:sz w:val="15"/>
                <w:szCs w:val="15"/>
                <w:color w:val="auto"/>
              </w:rPr>
            </w:pPr>
          </w:p>
        </w:tc>
        <w:tc>
          <w:tcPr>
            <w:tcW w:w="120" w:type="dxa"/>
            <w:vAlign w:val="bottom"/>
            <w:shd w:val="clear" w:color="auto" w:fill="D0EBF2"/>
          </w:tcPr>
          <w:p>
            <w:pPr>
              <w:spacing w:after="0"/>
              <w:rPr>
                <w:sz w:val="15"/>
                <w:szCs w:val="15"/>
                <w:color w:val="auto"/>
              </w:rPr>
            </w:pPr>
          </w:p>
        </w:tc>
        <w:tc>
          <w:tcPr>
            <w:tcW w:w="100" w:type="dxa"/>
            <w:vAlign w:val="bottom"/>
            <w:shd w:val="clear" w:color="auto" w:fill="D0EBF2"/>
          </w:tcPr>
          <w:p>
            <w:pPr>
              <w:spacing w:after="0"/>
              <w:rPr>
                <w:sz w:val="15"/>
                <w:szCs w:val="15"/>
                <w:color w:val="auto"/>
              </w:rPr>
            </w:pPr>
          </w:p>
        </w:tc>
        <w:tc>
          <w:tcPr>
            <w:tcW w:w="1420" w:type="dxa"/>
            <w:vAlign w:val="bottom"/>
            <w:shd w:val="clear" w:color="auto" w:fill="D0EBF2"/>
          </w:tcPr>
          <w:p>
            <w:pPr>
              <w:jc w:val="right"/>
              <w:spacing w:after="0"/>
              <w:rPr>
                <w:sz w:val="20"/>
                <w:szCs w:val="20"/>
                <w:color w:val="auto"/>
              </w:rPr>
            </w:pPr>
            <w:r>
              <w:rPr>
                <w:rFonts w:ascii="Times New Roman" w:cs="Times New Roman" w:eastAsia="Times New Roman" w:hAnsi="Times New Roman"/>
                <w:sz w:val="15"/>
                <w:szCs w:val="15"/>
                <w:color w:val="231F20"/>
              </w:rPr>
              <w:t>5,245</w:t>
            </w:r>
          </w:p>
        </w:tc>
        <w:tc>
          <w:tcPr>
            <w:tcW w:w="240" w:type="dxa"/>
            <w:vAlign w:val="bottom"/>
            <w:shd w:val="clear" w:color="auto" w:fill="D0EBF2"/>
          </w:tcPr>
          <w:p>
            <w:pPr>
              <w:spacing w:after="0"/>
              <w:rPr>
                <w:sz w:val="15"/>
                <w:szCs w:val="15"/>
                <w:color w:val="auto"/>
              </w:rPr>
            </w:pPr>
          </w:p>
        </w:tc>
        <w:tc>
          <w:tcPr>
            <w:tcW w:w="80" w:type="dxa"/>
            <w:vAlign w:val="bottom"/>
            <w:shd w:val="clear" w:color="auto" w:fill="D0EBF2"/>
          </w:tcPr>
          <w:p>
            <w:pPr>
              <w:spacing w:after="0"/>
              <w:rPr>
                <w:sz w:val="15"/>
                <w:szCs w:val="15"/>
                <w:color w:val="auto"/>
              </w:rPr>
            </w:pPr>
          </w:p>
        </w:tc>
        <w:tc>
          <w:tcPr>
            <w:tcW w:w="1380" w:type="dxa"/>
            <w:vAlign w:val="bottom"/>
            <w:shd w:val="clear" w:color="auto" w:fill="D0EBF2"/>
          </w:tcPr>
          <w:p>
            <w:pPr>
              <w:jc w:val="right"/>
              <w:spacing w:after="0"/>
              <w:rPr>
                <w:sz w:val="20"/>
                <w:szCs w:val="20"/>
                <w:color w:val="auto"/>
              </w:rPr>
            </w:pPr>
            <w:r>
              <w:rPr>
                <w:rFonts w:ascii="Times New Roman" w:cs="Times New Roman" w:eastAsia="Times New Roman" w:hAnsi="Times New Roman"/>
                <w:sz w:val="15"/>
                <w:szCs w:val="15"/>
                <w:color w:val="231F20"/>
              </w:rPr>
              <w:t>5,683</w:t>
            </w:r>
          </w:p>
        </w:tc>
        <w:tc>
          <w:tcPr>
            <w:tcW w:w="100" w:type="dxa"/>
            <w:vAlign w:val="bottom"/>
            <w:shd w:val="clear" w:color="auto" w:fill="D0EBF2"/>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5100" w:type="dxa"/>
            <w:vAlign w:val="bottom"/>
            <w:shd w:val="clear" w:color="auto" w:fill="FDFDFC"/>
          </w:tcPr>
          <w:p>
            <w:pPr>
              <w:ind w:left="380"/>
              <w:spacing w:after="0"/>
              <w:rPr>
                <w:sz w:val="20"/>
                <w:szCs w:val="20"/>
                <w:color w:val="auto"/>
              </w:rPr>
            </w:pPr>
            <w:r>
              <w:rPr>
                <w:rFonts w:ascii="Times New Roman" w:cs="Times New Roman" w:eastAsia="Times New Roman" w:hAnsi="Times New Roman"/>
                <w:sz w:val="15"/>
                <w:szCs w:val="15"/>
                <w:color w:val="231F20"/>
              </w:rPr>
              <w:t>Amortization of discount on debt</w:t>
            </w:r>
          </w:p>
        </w:tc>
        <w:tc>
          <w:tcPr>
            <w:tcW w:w="80" w:type="dxa"/>
            <w:vAlign w:val="bottom"/>
            <w:shd w:val="clear" w:color="auto" w:fill="FDFDFC"/>
          </w:tcPr>
          <w:p>
            <w:pPr>
              <w:spacing w:after="0"/>
              <w:rPr>
                <w:sz w:val="15"/>
                <w:szCs w:val="15"/>
                <w:color w:val="auto"/>
              </w:rPr>
            </w:pPr>
          </w:p>
        </w:tc>
        <w:tc>
          <w:tcPr>
            <w:tcW w:w="100" w:type="dxa"/>
            <w:vAlign w:val="bottom"/>
            <w:shd w:val="clear" w:color="auto" w:fill="FDFDFC"/>
          </w:tcPr>
          <w:p>
            <w:pPr>
              <w:spacing w:after="0"/>
              <w:rPr>
                <w:sz w:val="15"/>
                <w:szCs w:val="15"/>
                <w:color w:val="auto"/>
              </w:rPr>
            </w:pPr>
          </w:p>
        </w:tc>
        <w:tc>
          <w:tcPr>
            <w:tcW w:w="1380" w:type="dxa"/>
            <w:vAlign w:val="bottom"/>
            <w:shd w:val="clear" w:color="auto" w:fill="FDFDFC"/>
          </w:tcPr>
          <w:p>
            <w:pPr>
              <w:jc w:val="right"/>
              <w:spacing w:after="0"/>
              <w:rPr>
                <w:sz w:val="20"/>
                <w:szCs w:val="20"/>
                <w:color w:val="auto"/>
              </w:rPr>
            </w:pPr>
            <w:r>
              <w:rPr>
                <w:rFonts w:ascii="Times New Roman" w:cs="Times New Roman" w:eastAsia="Times New Roman" w:hAnsi="Times New Roman"/>
                <w:sz w:val="15"/>
                <w:szCs w:val="15"/>
                <w:color w:val="231F20"/>
              </w:rPr>
              <w:t>1,614</w:t>
            </w:r>
          </w:p>
        </w:tc>
        <w:tc>
          <w:tcPr>
            <w:tcW w:w="100" w:type="dxa"/>
            <w:vAlign w:val="bottom"/>
            <w:shd w:val="clear" w:color="auto" w:fill="FDFDFC"/>
          </w:tcPr>
          <w:p>
            <w:pPr>
              <w:spacing w:after="0"/>
              <w:rPr>
                <w:sz w:val="15"/>
                <w:szCs w:val="15"/>
                <w:color w:val="auto"/>
              </w:rPr>
            </w:pPr>
          </w:p>
        </w:tc>
        <w:tc>
          <w:tcPr>
            <w:tcW w:w="120" w:type="dxa"/>
            <w:vAlign w:val="bottom"/>
            <w:shd w:val="clear" w:color="auto" w:fill="FDFDFC"/>
          </w:tcPr>
          <w:p>
            <w:pPr>
              <w:spacing w:after="0"/>
              <w:rPr>
                <w:sz w:val="15"/>
                <w:szCs w:val="15"/>
                <w:color w:val="auto"/>
              </w:rPr>
            </w:pPr>
          </w:p>
        </w:tc>
        <w:tc>
          <w:tcPr>
            <w:tcW w:w="100" w:type="dxa"/>
            <w:vAlign w:val="bottom"/>
            <w:shd w:val="clear" w:color="auto" w:fill="FDFDFC"/>
          </w:tcPr>
          <w:p>
            <w:pPr>
              <w:spacing w:after="0"/>
              <w:rPr>
                <w:sz w:val="15"/>
                <w:szCs w:val="15"/>
                <w:color w:val="auto"/>
              </w:rPr>
            </w:pPr>
          </w:p>
        </w:tc>
        <w:tc>
          <w:tcPr>
            <w:tcW w:w="1420" w:type="dxa"/>
            <w:vAlign w:val="bottom"/>
            <w:shd w:val="clear" w:color="auto" w:fill="FDFDFC"/>
          </w:tcPr>
          <w:p>
            <w:pPr>
              <w:jc w:val="right"/>
              <w:spacing w:after="0"/>
              <w:rPr>
                <w:sz w:val="20"/>
                <w:szCs w:val="20"/>
                <w:color w:val="auto"/>
              </w:rPr>
            </w:pPr>
            <w:r>
              <w:rPr>
                <w:rFonts w:ascii="Times New Roman" w:cs="Times New Roman" w:eastAsia="Times New Roman" w:hAnsi="Times New Roman"/>
                <w:sz w:val="15"/>
                <w:szCs w:val="15"/>
                <w:color w:val="231F20"/>
              </w:rPr>
              <w:t>899</w:t>
            </w:r>
          </w:p>
        </w:tc>
        <w:tc>
          <w:tcPr>
            <w:tcW w:w="240" w:type="dxa"/>
            <w:vAlign w:val="bottom"/>
            <w:shd w:val="clear" w:color="auto" w:fill="FDFDFC"/>
          </w:tcPr>
          <w:p>
            <w:pPr>
              <w:spacing w:after="0"/>
              <w:rPr>
                <w:sz w:val="15"/>
                <w:szCs w:val="15"/>
                <w:color w:val="auto"/>
              </w:rPr>
            </w:pPr>
          </w:p>
        </w:tc>
        <w:tc>
          <w:tcPr>
            <w:tcW w:w="80" w:type="dxa"/>
            <w:vAlign w:val="bottom"/>
            <w:shd w:val="clear" w:color="auto" w:fill="FDFDFC"/>
          </w:tcPr>
          <w:p>
            <w:pPr>
              <w:spacing w:after="0"/>
              <w:rPr>
                <w:sz w:val="15"/>
                <w:szCs w:val="15"/>
                <w:color w:val="auto"/>
              </w:rPr>
            </w:pPr>
          </w:p>
        </w:tc>
        <w:tc>
          <w:tcPr>
            <w:tcW w:w="1380" w:type="dxa"/>
            <w:vAlign w:val="bottom"/>
            <w:shd w:val="clear" w:color="auto" w:fill="FDFDFC"/>
          </w:tcPr>
          <w:p>
            <w:pPr>
              <w:jc w:val="right"/>
              <w:spacing w:after="0"/>
              <w:rPr>
                <w:sz w:val="20"/>
                <w:szCs w:val="20"/>
                <w:color w:val="auto"/>
              </w:rPr>
            </w:pPr>
            <w:r>
              <w:rPr>
                <w:rFonts w:ascii="Times New Roman" w:cs="Times New Roman" w:eastAsia="Times New Roman" w:hAnsi="Times New Roman"/>
                <w:sz w:val="15"/>
                <w:szCs w:val="15"/>
                <w:color w:val="231F20"/>
              </w:rPr>
              <w:t>766</w:t>
            </w:r>
          </w:p>
        </w:tc>
        <w:tc>
          <w:tcPr>
            <w:tcW w:w="100" w:type="dxa"/>
            <w:vAlign w:val="bottom"/>
            <w:shd w:val="clear" w:color="auto" w:fill="FDFDFC"/>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5100" w:type="dxa"/>
            <w:vAlign w:val="bottom"/>
            <w:shd w:val="clear" w:color="auto" w:fill="D0EBF2"/>
          </w:tcPr>
          <w:p>
            <w:pPr>
              <w:ind w:left="380"/>
              <w:spacing w:after="0"/>
              <w:rPr>
                <w:sz w:val="20"/>
                <w:szCs w:val="20"/>
                <w:color w:val="auto"/>
              </w:rPr>
            </w:pPr>
            <w:r>
              <w:rPr>
                <w:rFonts w:ascii="Times New Roman" w:cs="Times New Roman" w:eastAsia="Times New Roman" w:hAnsi="Times New Roman"/>
                <w:sz w:val="15"/>
                <w:szCs w:val="15"/>
                <w:color w:val="231F20"/>
              </w:rPr>
              <w:t>Purchases and originations of investments, net</w:t>
            </w:r>
          </w:p>
        </w:tc>
        <w:tc>
          <w:tcPr>
            <w:tcW w:w="80" w:type="dxa"/>
            <w:vAlign w:val="bottom"/>
            <w:shd w:val="clear" w:color="auto" w:fill="D0EBF2"/>
          </w:tcPr>
          <w:p>
            <w:pPr>
              <w:spacing w:after="0"/>
              <w:rPr>
                <w:sz w:val="15"/>
                <w:szCs w:val="15"/>
                <w:color w:val="auto"/>
              </w:rPr>
            </w:pPr>
          </w:p>
        </w:tc>
        <w:tc>
          <w:tcPr>
            <w:tcW w:w="100" w:type="dxa"/>
            <w:vAlign w:val="bottom"/>
            <w:shd w:val="clear" w:color="auto" w:fill="D0EBF2"/>
          </w:tcPr>
          <w:p>
            <w:pPr>
              <w:spacing w:after="0"/>
              <w:rPr>
                <w:sz w:val="15"/>
                <w:szCs w:val="15"/>
                <w:color w:val="auto"/>
              </w:rPr>
            </w:pPr>
          </w:p>
        </w:tc>
        <w:tc>
          <w:tcPr>
            <w:tcW w:w="1480" w:type="dxa"/>
            <w:vAlign w:val="bottom"/>
            <w:gridSpan w:val="2"/>
            <w:shd w:val="clear" w:color="auto" w:fill="D0EBF2"/>
          </w:tcPr>
          <w:p>
            <w:pPr>
              <w:jc w:val="right"/>
              <w:ind w:right="22"/>
              <w:spacing w:after="0"/>
              <w:rPr>
                <w:sz w:val="20"/>
                <w:szCs w:val="20"/>
                <w:color w:val="auto"/>
              </w:rPr>
            </w:pPr>
            <w:r>
              <w:rPr>
                <w:rFonts w:ascii="Times New Roman" w:cs="Times New Roman" w:eastAsia="Times New Roman" w:hAnsi="Times New Roman"/>
                <w:sz w:val="15"/>
                <w:szCs w:val="15"/>
                <w:color w:val="231F20"/>
              </w:rPr>
              <w:t>(1,096,140)</w:t>
            </w:r>
          </w:p>
        </w:tc>
        <w:tc>
          <w:tcPr>
            <w:tcW w:w="120" w:type="dxa"/>
            <w:vAlign w:val="bottom"/>
            <w:shd w:val="clear" w:color="auto" w:fill="D0EBF2"/>
          </w:tcPr>
          <w:p>
            <w:pPr>
              <w:spacing w:after="0"/>
              <w:rPr>
                <w:sz w:val="15"/>
                <w:szCs w:val="15"/>
                <w:color w:val="auto"/>
              </w:rPr>
            </w:pPr>
          </w:p>
        </w:tc>
        <w:tc>
          <w:tcPr>
            <w:tcW w:w="100" w:type="dxa"/>
            <w:vAlign w:val="bottom"/>
            <w:shd w:val="clear" w:color="auto" w:fill="D0EBF2"/>
          </w:tcPr>
          <w:p>
            <w:pPr>
              <w:spacing w:after="0"/>
              <w:rPr>
                <w:sz w:val="15"/>
                <w:szCs w:val="15"/>
                <w:color w:val="auto"/>
              </w:rPr>
            </w:pPr>
          </w:p>
        </w:tc>
        <w:tc>
          <w:tcPr>
            <w:tcW w:w="1660" w:type="dxa"/>
            <w:vAlign w:val="bottom"/>
            <w:gridSpan w:val="2"/>
            <w:shd w:val="clear" w:color="auto" w:fill="D0EBF2"/>
          </w:tcPr>
          <w:p>
            <w:pPr>
              <w:jc w:val="right"/>
              <w:ind w:right="180"/>
              <w:spacing w:after="0"/>
              <w:rPr>
                <w:sz w:val="20"/>
                <w:szCs w:val="20"/>
                <w:color w:val="auto"/>
              </w:rPr>
            </w:pPr>
            <w:r>
              <w:rPr>
                <w:rFonts w:ascii="Times New Roman" w:cs="Times New Roman" w:eastAsia="Times New Roman" w:hAnsi="Times New Roman"/>
                <w:sz w:val="15"/>
                <w:szCs w:val="15"/>
                <w:color w:val="231F20"/>
              </w:rPr>
              <w:t>(943,451)</w:t>
            </w:r>
          </w:p>
        </w:tc>
        <w:tc>
          <w:tcPr>
            <w:tcW w:w="80" w:type="dxa"/>
            <w:vAlign w:val="bottom"/>
            <w:shd w:val="clear" w:color="auto" w:fill="D0EBF2"/>
          </w:tcPr>
          <w:p>
            <w:pPr>
              <w:spacing w:after="0"/>
              <w:rPr>
                <w:sz w:val="15"/>
                <w:szCs w:val="15"/>
                <w:color w:val="auto"/>
              </w:rPr>
            </w:pPr>
          </w:p>
        </w:tc>
        <w:tc>
          <w:tcPr>
            <w:tcW w:w="1480" w:type="dxa"/>
            <w:vAlign w:val="bottom"/>
            <w:gridSpan w:val="2"/>
            <w:shd w:val="clear" w:color="auto" w:fill="D0EBF2"/>
          </w:tcPr>
          <w:p>
            <w:pPr>
              <w:jc w:val="right"/>
              <w:ind w:right="22"/>
              <w:spacing w:after="0"/>
              <w:rPr>
                <w:sz w:val="20"/>
                <w:szCs w:val="20"/>
                <w:color w:val="auto"/>
              </w:rPr>
            </w:pPr>
            <w:r>
              <w:rPr>
                <w:rFonts w:ascii="Times New Roman" w:cs="Times New Roman" w:eastAsia="Times New Roman" w:hAnsi="Times New Roman"/>
                <w:sz w:val="15"/>
                <w:szCs w:val="15"/>
                <w:color w:val="231F20"/>
              </w:rPr>
              <w:t>(995,620)</w:t>
            </w:r>
          </w:p>
        </w:tc>
        <w:tc>
          <w:tcPr>
            <w:tcW w:w="0" w:type="dxa"/>
            <w:vAlign w:val="bottom"/>
          </w:tcPr>
          <w:p>
            <w:pPr>
              <w:spacing w:after="0"/>
              <w:rPr>
                <w:sz w:val="1"/>
                <w:szCs w:val="1"/>
                <w:color w:val="auto"/>
              </w:rPr>
            </w:pPr>
          </w:p>
        </w:tc>
      </w:tr>
      <w:tr>
        <w:trPr>
          <w:trHeight w:val="174"/>
        </w:trPr>
        <w:tc>
          <w:tcPr>
            <w:tcW w:w="5100" w:type="dxa"/>
            <w:vAlign w:val="bottom"/>
            <w:shd w:val="clear" w:color="auto" w:fill="FDFDFC"/>
          </w:tcPr>
          <w:p>
            <w:pPr>
              <w:ind w:left="380"/>
              <w:spacing w:after="0"/>
              <w:rPr>
                <w:sz w:val="20"/>
                <w:szCs w:val="20"/>
                <w:color w:val="auto"/>
              </w:rPr>
            </w:pPr>
            <w:r>
              <w:rPr>
                <w:rFonts w:ascii="Times New Roman" w:cs="Times New Roman" w:eastAsia="Times New Roman" w:hAnsi="Times New Roman"/>
                <w:sz w:val="15"/>
                <w:szCs w:val="15"/>
                <w:color w:val="231F20"/>
              </w:rPr>
              <w:t>Proceeds from investments, net</w:t>
            </w:r>
          </w:p>
        </w:tc>
        <w:tc>
          <w:tcPr>
            <w:tcW w:w="80" w:type="dxa"/>
            <w:vAlign w:val="bottom"/>
            <w:shd w:val="clear" w:color="auto" w:fill="FDFDFC"/>
          </w:tcPr>
          <w:p>
            <w:pPr>
              <w:spacing w:after="0"/>
              <w:rPr>
                <w:sz w:val="15"/>
                <w:szCs w:val="15"/>
                <w:color w:val="auto"/>
              </w:rPr>
            </w:pPr>
          </w:p>
        </w:tc>
        <w:tc>
          <w:tcPr>
            <w:tcW w:w="100" w:type="dxa"/>
            <w:vAlign w:val="bottom"/>
            <w:shd w:val="clear" w:color="auto" w:fill="FDFDFC"/>
          </w:tcPr>
          <w:p>
            <w:pPr>
              <w:spacing w:after="0"/>
              <w:rPr>
                <w:sz w:val="15"/>
                <w:szCs w:val="15"/>
                <w:color w:val="auto"/>
              </w:rPr>
            </w:pPr>
          </w:p>
        </w:tc>
        <w:tc>
          <w:tcPr>
            <w:tcW w:w="1380" w:type="dxa"/>
            <w:vAlign w:val="bottom"/>
            <w:shd w:val="clear" w:color="auto" w:fill="FDFDFC"/>
          </w:tcPr>
          <w:p>
            <w:pPr>
              <w:jc w:val="right"/>
              <w:spacing w:after="0"/>
              <w:rPr>
                <w:sz w:val="20"/>
                <w:szCs w:val="20"/>
                <w:color w:val="auto"/>
              </w:rPr>
            </w:pPr>
            <w:r>
              <w:rPr>
                <w:rFonts w:ascii="Times New Roman" w:cs="Times New Roman" w:eastAsia="Times New Roman" w:hAnsi="Times New Roman"/>
                <w:sz w:val="15"/>
                <w:szCs w:val="15"/>
                <w:color w:val="231F20"/>
              </w:rPr>
              <w:t>85,224</w:t>
            </w:r>
          </w:p>
        </w:tc>
        <w:tc>
          <w:tcPr>
            <w:tcW w:w="100" w:type="dxa"/>
            <w:vAlign w:val="bottom"/>
            <w:shd w:val="clear" w:color="auto" w:fill="FDFDFC"/>
          </w:tcPr>
          <w:p>
            <w:pPr>
              <w:spacing w:after="0"/>
              <w:rPr>
                <w:sz w:val="15"/>
                <w:szCs w:val="15"/>
                <w:color w:val="auto"/>
              </w:rPr>
            </w:pPr>
          </w:p>
        </w:tc>
        <w:tc>
          <w:tcPr>
            <w:tcW w:w="120" w:type="dxa"/>
            <w:vAlign w:val="bottom"/>
            <w:shd w:val="clear" w:color="auto" w:fill="FDFDFC"/>
          </w:tcPr>
          <w:p>
            <w:pPr>
              <w:spacing w:after="0"/>
              <w:rPr>
                <w:sz w:val="15"/>
                <w:szCs w:val="15"/>
                <w:color w:val="auto"/>
              </w:rPr>
            </w:pPr>
          </w:p>
        </w:tc>
        <w:tc>
          <w:tcPr>
            <w:tcW w:w="100" w:type="dxa"/>
            <w:vAlign w:val="bottom"/>
            <w:shd w:val="clear" w:color="auto" w:fill="FDFDFC"/>
          </w:tcPr>
          <w:p>
            <w:pPr>
              <w:spacing w:after="0"/>
              <w:rPr>
                <w:sz w:val="15"/>
                <w:szCs w:val="15"/>
                <w:color w:val="auto"/>
              </w:rPr>
            </w:pPr>
          </w:p>
        </w:tc>
        <w:tc>
          <w:tcPr>
            <w:tcW w:w="1420" w:type="dxa"/>
            <w:vAlign w:val="bottom"/>
            <w:shd w:val="clear" w:color="auto" w:fill="FDFDFC"/>
          </w:tcPr>
          <w:p>
            <w:pPr>
              <w:jc w:val="right"/>
              <w:spacing w:after="0"/>
              <w:rPr>
                <w:sz w:val="20"/>
                <w:szCs w:val="20"/>
                <w:color w:val="auto"/>
              </w:rPr>
            </w:pPr>
            <w:r>
              <w:rPr>
                <w:rFonts w:ascii="Times New Roman" w:cs="Times New Roman" w:eastAsia="Times New Roman" w:hAnsi="Times New Roman"/>
                <w:sz w:val="15"/>
                <w:szCs w:val="15"/>
                <w:color w:val="231F20"/>
              </w:rPr>
              <w:t>42,152</w:t>
            </w:r>
          </w:p>
        </w:tc>
        <w:tc>
          <w:tcPr>
            <w:tcW w:w="240" w:type="dxa"/>
            <w:vAlign w:val="bottom"/>
            <w:shd w:val="clear" w:color="auto" w:fill="FDFDFC"/>
          </w:tcPr>
          <w:p>
            <w:pPr>
              <w:spacing w:after="0"/>
              <w:rPr>
                <w:sz w:val="15"/>
                <w:szCs w:val="15"/>
                <w:color w:val="auto"/>
              </w:rPr>
            </w:pPr>
          </w:p>
        </w:tc>
        <w:tc>
          <w:tcPr>
            <w:tcW w:w="80" w:type="dxa"/>
            <w:vAlign w:val="bottom"/>
            <w:shd w:val="clear" w:color="auto" w:fill="FDFDFC"/>
          </w:tcPr>
          <w:p>
            <w:pPr>
              <w:spacing w:after="0"/>
              <w:rPr>
                <w:sz w:val="15"/>
                <w:szCs w:val="15"/>
                <w:color w:val="auto"/>
              </w:rPr>
            </w:pPr>
          </w:p>
        </w:tc>
        <w:tc>
          <w:tcPr>
            <w:tcW w:w="1380" w:type="dxa"/>
            <w:vAlign w:val="bottom"/>
            <w:shd w:val="clear" w:color="auto" w:fill="FDFDFC"/>
          </w:tcPr>
          <w:p>
            <w:pPr>
              <w:jc w:val="right"/>
              <w:spacing w:after="0"/>
              <w:rPr>
                <w:sz w:val="20"/>
                <w:szCs w:val="20"/>
                <w:color w:val="auto"/>
              </w:rPr>
            </w:pPr>
            <w:r>
              <w:rPr>
                <w:rFonts w:ascii="Times New Roman" w:cs="Times New Roman" w:eastAsia="Times New Roman" w:hAnsi="Times New Roman"/>
                <w:sz w:val="15"/>
                <w:szCs w:val="15"/>
                <w:color w:val="231F20"/>
              </w:rPr>
              <w:t>23,468</w:t>
            </w:r>
          </w:p>
        </w:tc>
        <w:tc>
          <w:tcPr>
            <w:tcW w:w="100" w:type="dxa"/>
            <w:vAlign w:val="bottom"/>
            <w:shd w:val="clear" w:color="auto" w:fill="FDFDFC"/>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5100" w:type="dxa"/>
            <w:vAlign w:val="bottom"/>
            <w:shd w:val="clear" w:color="auto" w:fill="D0EBF2"/>
          </w:tcPr>
          <w:p>
            <w:pPr>
              <w:ind w:left="380"/>
              <w:spacing w:after="0"/>
              <w:rPr>
                <w:sz w:val="20"/>
                <w:szCs w:val="20"/>
                <w:color w:val="auto"/>
              </w:rPr>
            </w:pPr>
            <w:r>
              <w:rPr>
                <w:rFonts w:ascii="Times New Roman" w:cs="Times New Roman" w:eastAsia="Times New Roman" w:hAnsi="Times New Roman"/>
                <w:sz w:val="15"/>
                <w:szCs w:val="15"/>
                <w:color w:val="231F20"/>
              </w:rPr>
              <w:t>Repayments on investments</w:t>
            </w:r>
          </w:p>
        </w:tc>
        <w:tc>
          <w:tcPr>
            <w:tcW w:w="80" w:type="dxa"/>
            <w:vAlign w:val="bottom"/>
            <w:shd w:val="clear" w:color="auto" w:fill="D0EBF2"/>
          </w:tcPr>
          <w:p>
            <w:pPr>
              <w:spacing w:after="0"/>
              <w:rPr>
                <w:sz w:val="15"/>
                <w:szCs w:val="15"/>
                <w:color w:val="auto"/>
              </w:rPr>
            </w:pPr>
          </w:p>
        </w:tc>
        <w:tc>
          <w:tcPr>
            <w:tcW w:w="100" w:type="dxa"/>
            <w:vAlign w:val="bottom"/>
            <w:shd w:val="clear" w:color="auto" w:fill="D0EBF2"/>
          </w:tcPr>
          <w:p>
            <w:pPr>
              <w:spacing w:after="0"/>
              <w:rPr>
                <w:sz w:val="15"/>
                <w:szCs w:val="15"/>
                <w:color w:val="auto"/>
              </w:rPr>
            </w:pPr>
          </w:p>
        </w:tc>
        <w:tc>
          <w:tcPr>
            <w:tcW w:w="1380" w:type="dxa"/>
            <w:vAlign w:val="bottom"/>
            <w:shd w:val="clear" w:color="auto" w:fill="D0EBF2"/>
          </w:tcPr>
          <w:p>
            <w:pPr>
              <w:jc w:val="right"/>
              <w:spacing w:after="0"/>
              <w:rPr>
                <w:sz w:val="20"/>
                <w:szCs w:val="20"/>
                <w:color w:val="auto"/>
              </w:rPr>
            </w:pPr>
            <w:r>
              <w:rPr>
                <w:rFonts w:ascii="Times New Roman" w:cs="Times New Roman" w:eastAsia="Times New Roman" w:hAnsi="Times New Roman"/>
                <w:sz w:val="15"/>
                <w:szCs w:val="15"/>
                <w:color w:val="231F20"/>
              </w:rPr>
              <w:t>778,177</w:t>
            </w:r>
          </w:p>
        </w:tc>
        <w:tc>
          <w:tcPr>
            <w:tcW w:w="100" w:type="dxa"/>
            <w:vAlign w:val="bottom"/>
            <w:shd w:val="clear" w:color="auto" w:fill="D0EBF2"/>
          </w:tcPr>
          <w:p>
            <w:pPr>
              <w:spacing w:after="0"/>
              <w:rPr>
                <w:sz w:val="15"/>
                <w:szCs w:val="15"/>
                <w:color w:val="auto"/>
              </w:rPr>
            </w:pPr>
          </w:p>
        </w:tc>
        <w:tc>
          <w:tcPr>
            <w:tcW w:w="120" w:type="dxa"/>
            <w:vAlign w:val="bottom"/>
            <w:shd w:val="clear" w:color="auto" w:fill="D0EBF2"/>
          </w:tcPr>
          <w:p>
            <w:pPr>
              <w:spacing w:after="0"/>
              <w:rPr>
                <w:sz w:val="15"/>
                <w:szCs w:val="15"/>
                <w:color w:val="auto"/>
              </w:rPr>
            </w:pPr>
          </w:p>
        </w:tc>
        <w:tc>
          <w:tcPr>
            <w:tcW w:w="100" w:type="dxa"/>
            <w:vAlign w:val="bottom"/>
            <w:shd w:val="clear" w:color="auto" w:fill="D0EBF2"/>
          </w:tcPr>
          <w:p>
            <w:pPr>
              <w:spacing w:after="0"/>
              <w:rPr>
                <w:sz w:val="15"/>
                <w:szCs w:val="15"/>
                <w:color w:val="auto"/>
              </w:rPr>
            </w:pPr>
          </w:p>
        </w:tc>
        <w:tc>
          <w:tcPr>
            <w:tcW w:w="1420" w:type="dxa"/>
            <w:vAlign w:val="bottom"/>
            <w:shd w:val="clear" w:color="auto" w:fill="D0EBF2"/>
          </w:tcPr>
          <w:p>
            <w:pPr>
              <w:jc w:val="right"/>
              <w:spacing w:after="0"/>
              <w:rPr>
                <w:sz w:val="20"/>
                <w:szCs w:val="20"/>
                <w:color w:val="auto"/>
              </w:rPr>
            </w:pPr>
            <w:r>
              <w:rPr>
                <w:rFonts w:ascii="Times New Roman" w:cs="Times New Roman" w:eastAsia="Times New Roman" w:hAnsi="Times New Roman"/>
                <w:sz w:val="15"/>
                <w:szCs w:val="15"/>
                <w:color w:val="231F20"/>
              </w:rPr>
              <w:t>472,536</w:t>
            </w:r>
          </w:p>
        </w:tc>
        <w:tc>
          <w:tcPr>
            <w:tcW w:w="240" w:type="dxa"/>
            <w:vAlign w:val="bottom"/>
            <w:shd w:val="clear" w:color="auto" w:fill="D0EBF2"/>
          </w:tcPr>
          <w:p>
            <w:pPr>
              <w:spacing w:after="0"/>
              <w:rPr>
                <w:sz w:val="15"/>
                <w:szCs w:val="15"/>
                <w:color w:val="auto"/>
              </w:rPr>
            </w:pPr>
          </w:p>
        </w:tc>
        <w:tc>
          <w:tcPr>
            <w:tcW w:w="80" w:type="dxa"/>
            <w:vAlign w:val="bottom"/>
            <w:shd w:val="clear" w:color="auto" w:fill="D0EBF2"/>
          </w:tcPr>
          <w:p>
            <w:pPr>
              <w:spacing w:after="0"/>
              <w:rPr>
                <w:sz w:val="15"/>
                <w:szCs w:val="15"/>
                <w:color w:val="auto"/>
              </w:rPr>
            </w:pPr>
          </w:p>
        </w:tc>
        <w:tc>
          <w:tcPr>
            <w:tcW w:w="1380" w:type="dxa"/>
            <w:vAlign w:val="bottom"/>
            <w:shd w:val="clear" w:color="auto" w:fill="D0EBF2"/>
          </w:tcPr>
          <w:p>
            <w:pPr>
              <w:jc w:val="right"/>
              <w:spacing w:after="0"/>
              <w:rPr>
                <w:sz w:val="20"/>
                <w:szCs w:val="20"/>
                <w:color w:val="auto"/>
              </w:rPr>
            </w:pPr>
            <w:r>
              <w:rPr>
                <w:rFonts w:ascii="Times New Roman" w:cs="Times New Roman" w:eastAsia="Times New Roman" w:hAnsi="Times New Roman"/>
                <w:sz w:val="15"/>
                <w:szCs w:val="15"/>
                <w:color w:val="231F20"/>
              </w:rPr>
              <w:t>675,787</w:t>
            </w:r>
          </w:p>
        </w:tc>
        <w:tc>
          <w:tcPr>
            <w:tcW w:w="100" w:type="dxa"/>
            <w:vAlign w:val="bottom"/>
            <w:shd w:val="clear" w:color="auto" w:fill="D0EBF2"/>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5100" w:type="dxa"/>
            <w:vAlign w:val="bottom"/>
            <w:shd w:val="clear" w:color="auto" w:fill="FDFDFC"/>
          </w:tcPr>
          <w:p>
            <w:pPr>
              <w:ind w:left="380"/>
              <w:spacing w:after="0"/>
              <w:rPr>
                <w:sz w:val="20"/>
                <w:szCs w:val="20"/>
                <w:color w:val="auto"/>
              </w:rPr>
            </w:pPr>
            <w:r>
              <w:rPr>
                <w:rFonts w:ascii="Times New Roman" w:cs="Times New Roman" w:eastAsia="Times New Roman" w:hAnsi="Times New Roman"/>
                <w:sz w:val="15"/>
                <w:szCs w:val="15"/>
                <w:color w:val="231F20"/>
              </w:rPr>
              <w:t>Paid-in-kind interest</w:t>
            </w:r>
          </w:p>
        </w:tc>
        <w:tc>
          <w:tcPr>
            <w:tcW w:w="80" w:type="dxa"/>
            <w:vAlign w:val="bottom"/>
            <w:shd w:val="clear" w:color="auto" w:fill="FDFDFC"/>
          </w:tcPr>
          <w:p>
            <w:pPr>
              <w:spacing w:after="0"/>
              <w:rPr>
                <w:sz w:val="15"/>
                <w:szCs w:val="15"/>
                <w:color w:val="auto"/>
              </w:rPr>
            </w:pPr>
          </w:p>
        </w:tc>
        <w:tc>
          <w:tcPr>
            <w:tcW w:w="100" w:type="dxa"/>
            <w:vAlign w:val="bottom"/>
            <w:shd w:val="clear" w:color="auto" w:fill="FDFDFC"/>
          </w:tcPr>
          <w:p>
            <w:pPr>
              <w:spacing w:after="0"/>
              <w:rPr>
                <w:sz w:val="15"/>
                <w:szCs w:val="15"/>
                <w:color w:val="auto"/>
              </w:rPr>
            </w:pPr>
          </w:p>
        </w:tc>
        <w:tc>
          <w:tcPr>
            <w:tcW w:w="1480" w:type="dxa"/>
            <w:vAlign w:val="bottom"/>
            <w:gridSpan w:val="2"/>
            <w:shd w:val="clear" w:color="auto" w:fill="FDFDFC"/>
          </w:tcPr>
          <w:p>
            <w:pPr>
              <w:jc w:val="right"/>
              <w:ind w:right="22"/>
              <w:spacing w:after="0"/>
              <w:rPr>
                <w:sz w:val="20"/>
                <w:szCs w:val="20"/>
                <w:color w:val="auto"/>
              </w:rPr>
            </w:pPr>
            <w:r>
              <w:rPr>
                <w:rFonts w:ascii="Times New Roman" w:cs="Times New Roman" w:eastAsia="Times New Roman" w:hAnsi="Times New Roman"/>
                <w:sz w:val="15"/>
                <w:szCs w:val="15"/>
                <w:color w:val="231F20"/>
              </w:rPr>
              <w:t>(29,612)</w:t>
            </w:r>
          </w:p>
        </w:tc>
        <w:tc>
          <w:tcPr>
            <w:tcW w:w="120" w:type="dxa"/>
            <w:vAlign w:val="bottom"/>
            <w:shd w:val="clear" w:color="auto" w:fill="FDFDFC"/>
          </w:tcPr>
          <w:p>
            <w:pPr>
              <w:spacing w:after="0"/>
              <w:rPr>
                <w:sz w:val="15"/>
                <w:szCs w:val="15"/>
                <w:color w:val="auto"/>
              </w:rPr>
            </w:pPr>
          </w:p>
        </w:tc>
        <w:tc>
          <w:tcPr>
            <w:tcW w:w="100" w:type="dxa"/>
            <w:vAlign w:val="bottom"/>
            <w:shd w:val="clear" w:color="auto" w:fill="FDFDFC"/>
          </w:tcPr>
          <w:p>
            <w:pPr>
              <w:spacing w:after="0"/>
              <w:rPr>
                <w:sz w:val="15"/>
                <w:szCs w:val="15"/>
                <w:color w:val="auto"/>
              </w:rPr>
            </w:pPr>
          </w:p>
        </w:tc>
        <w:tc>
          <w:tcPr>
            <w:tcW w:w="1660" w:type="dxa"/>
            <w:vAlign w:val="bottom"/>
            <w:gridSpan w:val="2"/>
            <w:shd w:val="clear" w:color="auto" w:fill="FDFDFC"/>
          </w:tcPr>
          <w:p>
            <w:pPr>
              <w:jc w:val="right"/>
              <w:ind w:right="180"/>
              <w:spacing w:after="0"/>
              <w:rPr>
                <w:sz w:val="20"/>
                <w:szCs w:val="20"/>
                <w:color w:val="auto"/>
              </w:rPr>
            </w:pPr>
            <w:r>
              <w:rPr>
                <w:rFonts w:ascii="Times New Roman" w:cs="Times New Roman" w:eastAsia="Times New Roman" w:hAnsi="Times New Roman"/>
                <w:sz w:val="15"/>
                <w:szCs w:val="15"/>
                <w:color w:val="231F20"/>
              </w:rPr>
              <w:t>(18,161)</w:t>
            </w:r>
          </w:p>
        </w:tc>
        <w:tc>
          <w:tcPr>
            <w:tcW w:w="80" w:type="dxa"/>
            <w:vAlign w:val="bottom"/>
            <w:shd w:val="clear" w:color="auto" w:fill="FDFDFC"/>
          </w:tcPr>
          <w:p>
            <w:pPr>
              <w:spacing w:after="0"/>
              <w:rPr>
                <w:sz w:val="15"/>
                <w:szCs w:val="15"/>
                <w:color w:val="auto"/>
              </w:rPr>
            </w:pPr>
          </w:p>
        </w:tc>
        <w:tc>
          <w:tcPr>
            <w:tcW w:w="1480" w:type="dxa"/>
            <w:vAlign w:val="bottom"/>
            <w:gridSpan w:val="2"/>
            <w:shd w:val="clear" w:color="auto" w:fill="FDFDFC"/>
          </w:tcPr>
          <w:p>
            <w:pPr>
              <w:jc w:val="right"/>
              <w:ind w:right="22"/>
              <w:spacing w:after="0"/>
              <w:rPr>
                <w:sz w:val="20"/>
                <w:szCs w:val="20"/>
                <w:color w:val="auto"/>
              </w:rPr>
            </w:pPr>
            <w:r>
              <w:rPr>
                <w:rFonts w:ascii="Times New Roman" w:cs="Times New Roman" w:eastAsia="Times New Roman" w:hAnsi="Times New Roman"/>
                <w:sz w:val="15"/>
                <w:szCs w:val="15"/>
                <w:color w:val="231F20"/>
              </w:rPr>
              <w:t>(12,881)</w:t>
            </w:r>
          </w:p>
        </w:tc>
        <w:tc>
          <w:tcPr>
            <w:tcW w:w="0" w:type="dxa"/>
            <w:vAlign w:val="bottom"/>
          </w:tcPr>
          <w:p>
            <w:pPr>
              <w:spacing w:after="0"/>
              <w:rPr>
                <w:sz w:val="1"/>
                <w:szCs w:val="1"/>
                <w:color w:val="auto"/>
              </w:rPr>
            </w:pPr>
          </w:p>
        </w:tc>
      </w:tr>
      <w:tr>
        <w:trPr>
          <w:trHeight w:val="174"/>
        </w:trPr>
        <w:tc>
          <w:tcPr>
            <w:tcW w:w="5100" w:type="dxa"/>
            <w:vAlign w:val="bottom"/>
            <w:shd w:val="clear" w:color="auto" w:fill="D0EBF2"/>
          </w:tcPr>
          <w:p>
            <w:pPr>
              <w:ind w:left="180"/>
              <w:spacing w:after="0"/>
              <w:rPr>
                <w:sz w:val="20"/>
                <w:szCs w:val="20"/>
                <w:color w:val="auto"/>
              </w:rPr>
            </w:pPr>
            <w:r>
              <w:rPr>
                <w:rFonts w:ascii="Times New Roman" w:cs="Times New Roman" w:eastAsia="Times New Roman" w:hAnsi="Times New Roman"/>
                <w:sz w:val="15"/>
                <w:szCs w:val="15"/>
                <w:color w:val="231F20"/>
              </w:rPr>
              <w:t>Changes in operating assets and liabilities:</w:t>
            </w:r>
          </w:p>
        </w:tc>
        <w:tc>
          <w:tcPr>
            <w:tcW w:w="80" w:type="dxa"/>
            <w:vAlign w:val="bottom"/>
            <w:shd w:val="clear" w:color="auto" w:fill="D0EBF2"/>
          </w:tcPr>
          <w:p>
            <w:pPr>
              <w:spacing w:after="0"/>
              <w:rPr>
                <w:sz w:val="15"/>
                <w:szCs w:val="15"/>
                <w:color w:val="auto"/>
              </w:rPr>
            </w:pPr>
          </w:p>
        </w:tc>
        <w:tc>
          <w:tcPr>
            <w:tcW w:w="100" w:type="dxa"/>
            <w:vAlign w:val="bottom"/>
            <w:shd w:val="clear" w:color="auto" w:fill="D0EBF2"/>
          </w:tcPr>
          <w:p>
            <w:pPr>
              <w:spacing w:after="0"/>
              <w:rPr>
                <w:sz w:val="15"/>
                <w:szCs w:val="15"/>
                <w:color w:val="auto"/>
              </w:rPr>
            </w:pPr>
          </w:p>
        </w:tc>
        <w:tc>
          <w:tcPr>
            <w:tcW w:w="1380" w:type="dxa"/>
            <w:vAlign w:val="bottom"/>
            <w:shd w:val="clear" w:color="auto" w:fill="D0EBF2"/>
          </w:tcPr>
          <w:p>
            <w:pPr>
              <w:spacing w:after="0"/>
              <w:rPr>
                <w:sz w:val="15"/>
                <w:szCs w:val="15"/>
                <w:color w:val="auto"/>
              </w:rPr>
            </w:pPr>
          </w:p>
        </w:tc>
        <w:tc>
          <w:tcPr>
            <w:tcW w:w="100" w:type="dxa"/>
            <w:vAlign w:val="bottom"/>
            <w:shd w:val="clear" w:color="auto" w:fill="D0EBF2"/>
          </w:tcPr>
          <w:p>
            <w:pPr>
              <w:spacing w:after="0"/>
              <w:rPr>
                <w:sz w:val="15"/>
                <w:szCs w:val="15"/>
                <w:color w:val="auto"/>
              </w:rPr>
            </w:pPr>
          </w:p>
        </w:tc>
        <w:tc>
          <w:tcPr>
            <w:tcW w:w="120" w:type="dxa"/>
            <w:vAlign w:val="bottom"/>
            <w:shd w:val="clear" w:color="auto" w:fill="D0EBF2"/>
          </w:tcPr>
          <w:p>
            <w:pPr>
              <w:spacing w:after="0"/>
              <w:rPr>
                <w:sz w:val="15"/>
                <w:szCs w:val="15"/>
                <w:color w:val="auto"/>
              </w:rPr>
            </w:pPr>
          </w:p>
        </w:tc>
        <w:tc>
          <w:tcPr>
            <w:tcW w:w="100" w:type="dxa"/>
            <w:vAlign w:val="bottom"/>
            <w:shd w:val="clear" w:color="auto" w:fill="D0EBF2"/>
          </w:tcPr>
          <w:p>
            <w:pPr>
              <w:spacing w:after="0"/>
              <w:rPr>
                <w:sz w:val="15"/>
                <w:szCs w:val="15"/>
                <w:color w:val="auto"/>
              </w:rPr>
            </w:pPr>
          </w:p>
        </w:tc>
        <w:tc>
          <w:tcPr>
            <w:tcW w:w="1420" w:type="dxa"/>
            <w:vAlign w:val="bottom"/>
            <w:shd w:val="clear" w:color="auto" w:fill="D0EBF2"/>
          </w:tcPr>
          <w:p>
            <w:pPr>
              <w:spacing w:after="0"/>
              <w:rPr>
                <w:sz w:val="15"/>
                <w:szCs w:val="15"/>
                <w:color w:val="auto"/>
              </w:rPr>
            </w:pPr>
          </w:p>
        </w:tc>
        <w:tc>
          <w:tcPr>
            <w:tcW w:w="240" w:type="dxa"/>
            <w:vAlign w:val="bottom"/>
            <w:shd w:val="clear" w:color="auto" w:fill="D0EBF2"/>
          </w:tcPr>
          <w:p>
            <w:pPr>
              <w:spacing w:after="0"/>
              <w:rPr>
                <w:sz w:val="15"/>
                <w:szCs w:val="15"/>
                <w:color w:val="auto"/>
              </w:rPr>
            </w:pPr>
          </w:p>
        </w:tc>
        <w:tc>
          <w:tcPr>
            <w:tcW w:w="80" w:type="dxa"/>
            <w:vAlign w:val="bottom"/>
            <w:shd w:val="clear" w:color="auto" w:fill="D0EBF2"/>
          </w:tcPr>
          <w:p>
            <w:pPr>
              <w:spacing w:after="0"/>
              <w:rPr>
                <w:sz w:val="15"/>
                <w:szCs w:val="15"/>
                <w:color w:val="auto"/>
              </w:rPr>
            </w:pPr>
          </w:p>
        </w:tc>
        <w:tc>
          <w:tcPr>
            <w:tcW w:w="1380" w:type="dxa"/>
            <w:vAlign w:val="bottom"/>
            <w:shd w:val="clear" w:color="auto" w:fill="D0EBF2"/>
          </w:tcPr>
          <w:p>
            <w:pPr>
              <w:spacing w:after="0"/>
              <w:rPr>
                <w:sz w:val="15"/>
                <w:szCs w:val="15"/>
                <w:color w:val="auto"/>
              </w:rPr>
            </w:pPr>
          </w:p>
        </w:tc>
        <w:tc>
          <w:tcPr>
            <w:tcW w:w="100" w:type="dxa"/>
            <w:vAlign w:val="bottom"/>
            <w:shd w:val="clear" w:color="auto" w:fill="D0EBF2"/>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5100" w:type="dxa"/>
            <w:vAlign w:val="bottom"/>
            <w:shd w:val="clear" w:color="auto" w:fill="FDFDFC"/>
          </w:tcPr>
          <w:p>
            <w:pPr>
              <w:ind w:left="380"/>
              <w:spacing w:after="0"/>
              <w:rPr>
                <w:sz w:val="20"/>
                <w:szCs w:val="20"/>
                <w:color w:val="auto"/>
              </w:rPr>
            </w:pPr>
            <w:r>
              <w:rPr>
                <w:rFonts w:ascii="Times New Roman" w:cs="Times New Roman" w:eastAsia="Times New Roman" w:hAnsi="Times New Roman"/>
                <w:sz w:val="15"/>
                <w:szCs w:val="15"/>
                <w:color w:val="231F20"/>
              </w:rPr>
              <w:t>Interest receivable</w:t>
            </w:r>
          </w:p>
        </w:tc>
        <w:tc>
          <w:tcPr>
            <w:tcW w:w="80" w:type="dxa"/>
            <w:vAlign w:val="bottom"/>
            <w:shd w:val="clear" w:color="auto" w:fill="FDFDFC"/>
          </w:tcPr>
          <w:p>
            <w:pPr>
              <w:spacing w:after="0"/>
              <w:rPr>
                <w:sz w:val="15"/>
                <w:szCs w:val="15"/>
                <w:color w:val="auto"/>
              </w:rPr>
            </w:pPr>
          </w:p>
        </w:tc>
        <w:tc>
          <w:tcPr>
            <w:tcW w:w="100" w:type="dxa"/>
            <w:vAlign w:val="bottom"/>
            <w:shd w:val="clear" w:color="auto" w:fill="FDFDFC"/>
          </w:tcPr>
          <w:p>
            <w:pPr>
              <w:spacing w:after="0"/>
              <w:rPr>
                <w:sz w:val="15"/>
                <w:szCs w:val="15"/>
                <w:color w:val="auto"/>
              </w:rPr>
            </w:pPr>
          </w:p>
        </w:tc>
        <w:tc>
          <w:tcPr>
            <w:tcW w:w="1480" w:type="dxa"/>
            <w:vAlign w:val="bottom"/>
            <w:gridSpan w:val="2"/>
            <w:shd w:val="clear" w:color="auto" w:fill="FDFDFC"/>
          </w:tcPr>
          <w:p>
            <w:pPr>
              <w:jc w:val="right"/>
              <w:ind w:right="22"/>
              <w:spacing w:after="0"/>
              <w:rPr>
                <w:sz w:val="20"/>
                <w:szCs w:val="20"/>
                <w:color w:val="auto"/>
              </w:rPr>
            </w:pPr>
            <w:r>
              <w:rPr>
                <w:rFonts w:ascii="Times New Roman" w:cs="Times New Roman" w:eastAsia="Times New Roman" w:hAnsi="Times New Roman"/>
                <w:sz w:val="15"/>
                <w:szCs w:val="15"/>
                <w:color w:val="231F20"/>
              </w:rPr>
              <w:t>(2,826)</w:t>
            </w:r>
          </w:p>
        </w:tc>
        <w:tc>
          <w:tcPr>
            <w:tcW w:w="120" w:type="dxa"/>
            <w:vAlign w:val="bottom"/>
            <w:shd w:val="clear" w:color="auto" w:fill="FDFDFC"/>
          </w:tcPr>
          <w:p>
            <w:pPr>
              <w:spacing w:after="0"/>
              <w:rPr>
                <w:sz w:val="15"/>
                <w:szCs w:val="15"/>
                <w:color w:val="auto"/>
              </w:rPr>
            </w:pPr>
          </w:p>
        </w:tc>
        <w:tc>
          <w:tcPr>
            <w:tcW w:w="100" w:type="dxa"/>
            <w:vAlign w:val="bottom"/>
            <w:shd w:val="clear" w:color="auto" w:fill="FDFDFC"/>
          </w:tcPr>
          <w:p>
            <w:pPr>
              <w:spacing w:after="0"/>
              <w:rPr>
                <w:sz w:val="15"/>
                <w:szCs w:val="15"/>
                <w:color w:val="auto"/>
              </w:rPr>
            </w:pPr>
          </w:p>
        </w:tc>
        <w:tc>
          <w:tcPr>
            <w:tcW w:w="1660" w:type="dxa"/>
            <w:vAlign w:val="bottom"/>
            <w:gridSpan w:val="2"/>
            <w:shd w:val="clear" w:color="auto" w:fill="FDFDFC"/>
          </w:tcPr>
          <w:p>
            <w:pPr>
              <w:jc w:val="right"/>
              <w:ind w:right="180"/>
              <w:spacing w:after="0"/>
              <w:rPr>
                <w:sz w:val="20"/>
                <w:szCs w:val="20"/>
                <w:color w:val="auto"/>
              </w:rPr>
            </w:pPr>
            <w:r>
              <w:rPr>
                <w:rFonts w:ascii="Times New Roman" w:cs="Times New Roman" w:eastAsia="Times New Roman" w:hAnsi="Times New Roman"/>
                <w:sz w:val="15"/>
                <w:szCs w:val="15"/>
                <w:color w:val="231F20"/>
              </w:rPr>
              <w:t>(7,605)</w:t>
            </w:r>
          </w:p>
        </w:tc>
        <w:tc>
          <w:tcPr>
            <w:tcW w:w="80" w:type="dxa"/>
            <w:vAlign w:val="bottom"/>
            <w:shd w:val="clear" w:color="auto" w:fill="FDFDFC"/>
          </w:tcPr>
          <w:p>
            <w:pPr>
              <w:spacing w:after="0"/>
              <w:rPr>
                <w:sz w:val="15"/>
                <w:szCs w:val="15"/>
                <w:color w:val="auto"/>
              </w:rPr>
            </w:pPr>
          </w:p>
        </w:tc>
        <w:tc>
          <w:tcPr>
            <w:tcW w:w="1480" w:type="dxa"/>
            <w:vAlign w:val="bottom"/>
            <w:gridSpan w:val="2"/>
            <w:shd w:val="clear" w:color="auto" w:fill="FDFDFC"/>
          </w:tcPr>
          <w:p>
            <w:pPr>
              <w:jc w:val="right"/>
              <w:ind w:right="22"/>
              <w:spacing w:after="0"/>
              <w:rPr>
                <w:sz w:val="20"/>
                <w:szCs w:val="20"/>
                <w:color w:val="auto"/>
              </w:rPr>
            </w:pPr>
            <w:r>
              <w:rPr>
                <w:rFonts w:ascii="Times New Roman" w:cs="Times New Roman" w:eastAsia="Times New Roman" w:hAnsi="Times New Roman"/>
                <w:sz w:val="15"/>
                <w:szCs w:val="15"/>
                <w:color w:val="231F20"/>
              </w:rPr>
              <w:t>(8,430)</w:t>
            </w:r>
          </w:p>
        </w:tc>
        <w:tc>
          <w:tcPr>
            <w:tcW w:w="0" w:type="dxa"/>
            <w:vAlign w:val="bottom"/>
          </w:tcPr>
          <w:p>
            <w:pPr>
              <w:spacing w:after="0"/>
              <w:rPr>
                <w:sz w:val="1"/>
                <w:szCs w:val="1"/>
                <w:color w:val="auto"/>
              </w:rPr>
            </w:pPr>
          </w:p>
        </w:tc>
      </w:tr>
      <w:tr>
        <w:trPr>
          <w:trHeight w:val="174"/>
        </w:trPr>
        <w:tc>
          <w:tcPr>
            <w:tcW w:w="5100" w:type="dxa"/>
            <w:vAlign w:val="bottom"/>
            <w:shd w:val="clear" w:color="auto" w:fill="D0EBF2"/>
          </w:tcPr>
          <w:p>
            <w:pPr>
              <w:ind w:left="380"/>
              <w:spacing w:after="0"/>
              <w:rPr>
                <w:sz w:val="20"/>
                <w:szCs w:val="20"/>
                <w:color w:val="auto"/>
              </w:rPr>
            </w:pPr>
            <w:r>
              <w:rPr>
                <w:rFonts w:ascii="Times New Roman" w:cs="Times New Roman" w:eastAsia="Times New Roman" w:hAnsi="Times New Roman"/>
                <w:sz w:val="15"/>
                <w:szCs w:val="15"/>
                <w:color w:val="231F20"/>
              </w:rPr>
              <w:t>Interest receivable paid-in-kind</w:t>
            </w:r>
          </w:p>
        </w:tc>
        <w:tc>
          <w:tcPr>
            <w:tcW w:w="80" w:type="dxa"/>
            <w:vAlign w:val="bottom"/>
            <w:shd w:val="clear" w:color="auto" w:fill="D0EBF2"/>
          </w:tcPr>
          <w:p>
            <w:pPr>
              <w:spacing w:after="0"/>
              <w:rPr>
                <w:sz w:val="15"/>
                <w:szCs w:val="15"/>
                <w:color w:val="auto"/>
              </w:rPr>
            </w:pPr>
          </w:p>
        </w:tc>
        <w:tc>
          <w:tcPr>
            <w:tcW w:w="100" w:type="dxa"/>
            <w:vAlign w:val="bottom"/>
            <w:shd w:val="clear" w:color="auto" w:fill="D0EBF2"/>
          </w:tcPr>
          <w:p>
            <w:pPr>
              <w:spacing w:after="0"/>
              <w:rPr>
                <w:sz w:val="15"/>
                <w:szCs w:val="15"/>
                <w:color w:val="auto"/>
              </w:rPr>
            </w:pPr>
          </w:p>
        </w:tc>
        <w:tc>
          <w:tcPr>
            <w:tcW w:w="1380" w:type="dxa"/>
            <w:vAlign w:val="bottom"/>
            <w:shd w:val="clear" w:color="auto" w:fill="D0EBF2"/>
          </w:tcPr>
          <w:p>
            <w:pPr>
              <w:jc w:val="right"/>
              <w:spacing w:after="0"/>
              <w:rPr>
                <w:sz w:val="20"/>
                <w:szCs w:val="20"/>
                <w:color w:val="auto"/>
              </w:rPr>
            </w:pPr>
            <w:r>
              <w:rPr>
                <w:rFonts w:ascii="Times New Roman" w:cs="Times New Roman" w:eastAsia="Times New Roman" w:hAnsi="Times New Roman"/>
                <w:sz w:val="15"/>
                <w:szCs w:val="15"/>
                <w:color w:val="231F20"/>
              </w:rPr>
              <w:t>277</w:t>
            </w:r>
          </w:p>
        </w:tc>
        <w:tc>
          <w:tcPr>
            <w:tcW w:w="100" w:type="dxa"/>
            <w:vAlign w:val="bottom"/>
            <w:shd w:val="clear" w:color="auto" w:fill="D0EBF2"/>
          </w:tcPr>
          <w:p>
            <w:pPr>
              <w:spacing w:after="0"/>
              <w:rPr>
                <w:sz w:val="15"/>
                <w:szCs w:val="15"/>
                <w:color w:val="auto"/>
              </w:rPr>
            </w:pPr>
          </w:p>
        </w:tc>
        <w:tc>
          <w:tcPr>
            <w:tcW w:w="120" w:type="dxa"/>
            <w:vAlign w:val="bottom"/>
            <w:shd w:val="clear" w:color="auto" w:fill="D0EBF2"/>
          </w:tcPr>
          <w:p>
            <w:pPr>
              <w:spacing w:after="0"/>
              <w:rPr>
                <w:sz w:val="15"/>
                <w:szCs w:val="15"/>
                <w:color w:val="auto"/>
              </w:rPr>
            </w:pPr>
          </w:p>
        </w:tc>
        <w:tc>
          <w:tcPr>
            <w:tcW w:w="100" w:type="dxa"/>
            <w:vAlign w:val="bottom"/>
            <w:shd w:val="clear" w:color="auto" w:fill="D0EBF2"/>
          </w:tcPr>
          <w:p>
            <w:pPr>
              <w:spacing w:after="0"/>
              <w:rPr>
                <w:sz w:val="15"/>
                <w:szCs w:val="15"/>
                <w:color w:val="auto"/>
              </w:rPr>
            </w:pPr>
          </w:p>
        </w:tc>
        <w:tc>
          <w:tcPr>
            <w:tcW w:w="1660" w:type="dxa"/>
            <w:vAlign w:val="bottom"/>
            <w:gridSpan w:val="2"/>
            <w:shd w:val="clear" w:color="auto" w:fill="D0EBF2"/>
          </w:tcPr>
          <w:p>
            <w:pPr>
              <w:jc w:val="right"/>
              <w:ind w:right="180"/>
              <w:spacing w:after="0"/>
              <w:rPr>
                <w:sz w:val="20"/>
                <w:szCs w:val="20"/>
                <w:color w:val="auto"/>
              </w:rPr>
            </w:pPr>
            <w:r>
              <w:rPr>
                <w:rFonts w:ascii="Times New Roman" w:cs="Times New Roman" w:eastAsia="Times New Roman" w:hAnsi="Times New Roman"/>
                <w:sz w:val="15"/>
                <w:szCs w:val="15"/>
                <w:color w:val="231F20"/>
              </w:rPr>
              <w:t>(1,518)</w:t>
            </w:r>
          </w:p>
        </w:tc>
        <w:tc>
          <w:tcPr>
            <w:tcW w:w="80" w:type="dxa"/>
            <w:vAlign w:val="bottom"/>
            <w:shd w:val="clear" w:color="auto" w:fill="D0EBF2"/>
          </w:tcPr>
          <w:p>
            <w:pPr>
              <w:spacing w:after="0"/>
              <w:rPr>
                <w:sz w:val="15"/>
                <w:szCs w:val="15"/>
                <w:color w:val="auto"/>
              </w:rPr>
            </w:pPr>
          </w:p>
        </w:tc>
        <w:tc>
          <w:tcPr>
            <w:tcW w:w="1380" w:type="dxa"/>
            <w:vAlign w:val="bottom"/>
            <w:shd w:val="clear" w:color="auto" w:fill="D0EBF2"/>
          </w:tcPr>
          <w:p>
            <w:pPr>
              <w:jc w:val="right"/>
              <w:spacing w:after="0"/>
              <w:rPr>
                <w:sz w:val="20"/>
                <w:szCs w:val="20"/>
                <w:color w:val="auto"/>
              </w:rPr>
            </w:pPr>
            <w:r>
              <w:rPr>
                <w:rFonts w:ascii="Times New Roman" w:cs="Times New Roman" w:eastAsia="Times New Roman" w:hAnsi="Times New Roman"/>
                <w:sz w:val="15"/>
                <w:szCs w:val="15"/>
                <w:color w:val="231F20"/>
              </w:rPr>
              <w:t>359</w:t>
            </w:r>
          </w:p>
        </w:tc>
        <w:tc>
          <w:tcPr>
            <w:tcW w:w="100" w:type="dxa"/>
            <w:vAlign w:val="bottom"/>
            <w:shd w:val="clear" w:color="auto" w:fill="D0EBF2"/>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5100" w:type="dxa"/>
            <w:vAlign w:val="bottom"/>
            <w:shd w:val="clear" w:color="auto" w:fill="FDFDFC"/>
          </w:tcPr>
          <w:p>
            <w:pPr>
              <w:ind w:left="380"/>
              <w:spacing w:after="0"/>
              <w:rPr>
                <w:sz w:val="20"/>
                <w:szCs w:val="20"/>
                <w:color w:val="auto"/>
              </w:rPr>
            </w:pPr>
            <w:r>
              <w:rPr>
                <w:rFonts w:ascii="Times New Roman" w:cs="Times New Roman" w:eastAsia="Times New Roman" w:hAnsi="Times New Roman"/>
                <w:sz w:val="15"/>
                <w:szCs w:val="15"/>
                <w:color w:val="231F20"/>
              </w:rPr>
              <w:t>Prepaid expenses and other assets</w:t>
            </w:r>
          </w:p>
        </w:tc>
        <w:tc>
          <w:tcPr>
            <w:tcW w:w="80" w:type="dxa"/>
            <w:vAlign w:val="bottom"/>
            <w:shd w:val="clear" w:color="auto" w:fill="FDFDFC"/>
          </w:tcPr>
          <w:p>
            <w:pPr>
              <w:spacing w:after="0"/>
              <w:rPr>
                <w:sz w:val="15"/>
                <w:szCs w:val="15"/>
                <w:color w:val="auto"/>
              </w:rPr>
            </w:pPr>
          </w:p>
        </w:tc>
        <w:tc>
          <w:tcPr>
            <w:tcW w:w="100" w:type="dxa"/>
            <w:vAlign w:val="bottom"/>
            <w:shd w:val="clear" w:color="auto" w:fill="FDFDFC"/>
          </w:tcPr>
          <w:p>
            <w:pPr>
              <w:spacing w:after="0"/>
              <w:rPr>
                <w:sz w:val="15"/>
                <w:szCs w:val="15"/>
                <w:color w:val="auto"/>
              </w:rPr>
            </w:pPr>
          </w:p>
        </w:tc>
        <w:tc>
          <w:tcPr>
            <w:tcW w:w="1380" w:type="dxa"/>
            <w:vAlign w:val="bottom"/>
            <w:shd w:val="clear" w:color="auto" w:fill="FDFDFC"/>
          </w:tcPr>
          <w:p>
            <w:pPr>
              <w:jc w:val="right"/>
              <w:spacing w:after="0"/>
              <w:rPr>
                <w:sz w:val="20"/>
                <w:szCs w:val="20"/>
                <w:color w:val="auto"/>
              </w:rPr>
            </w:pPr>
            <w:r>
              <w:rPr>
                <w:rFonts w:ascii="Times New Roman" w:cs="Times New Roman" w:eastAsia="Times New Roman" w:hAnsi="Times New Roman"/>
                <w:sz w:val="15"/>
                <w:szCs w:val="15"/>
                <w:color w:val="231F20"/>
              </w:rPr>
              <w:t>1,628</w:t>
            </w:r>
          </w:p>
        </w:tc>
        <w:tc>
          <w:tcPr>
            <w:tcW w:w="100" w:type="dxa"/>
            <w:vAlign w:val="bottom"/>
            <w:shd w:val="clear" w:color="auto" w:fill="FDFDFC"/>
          </w:tcPr>
          <w:p>
            <w:pPr>
              <w:spacing w:after="0"/>
              <w:rPr>
                <w:sz w:val="15"/>
                <w:szCs w:val="15"/>
                <w:color w:val="auto"/>
              </w:rPr>
            </w:pPr>
          </w:p>
        </w:tc>
        <w:tc>
          <w:tcPr>
            <w:tcW w:w="120" w:type="dxa"/>
            <w:vAlign w:val="bottom"/>
            <w:shd w:val="clear" w:color="auto" w:fill="FDFDFC"/>
          </w:tcPr>
          <w:p>
            <w:pPr>
              <w:spacing w:after="0"/>
              <w:rPr>
                <w:sz w:val="15"/>
                <w:szCs w:val="15"/>
                <w:color w:val="auto"/>
              </w:rPr>
            </w:pPr>
          </w:p>
        </w:tc>
        <w:tc>
          <w:tcPr>
            <w:tcW w:w="100" w:type="dxa"/>
            <w:vAlign w:val="bottom"/>
            <w:shd w:val="clear" w:color="auto" w:fill="FDFDFC"/>
          </w:tcPr>
          <w:p>
            <w:pPr>
              <w:spacing w:after="0"/>
              <w:rPr>
                <w:sz w:val="15"/>
                <w:szCs w:val="15"/>
                <w:color w:val="auto"/>
              </w:rPr>
            </w:pPr>
          </w:p>
        </w:tc>
        <w:tc>
          <w:tcPr>
            <w:tcW w:w="1660" w:type="dxa"/>
            <w:vAlign w:val="bottom"/>
            <w:gridSpan w:val="2"/>
            <w:shd w:val="clear" w:color="auto" w:fill="FDFDFC"/>
          </w:tcPr>
          <w:p>
            <w:pPr>
              <w:jc w:val="right"/>
              <w:ind w:right="180"/>
              <w:spacing w:after="0"/>
              <w:rPr>
                <w:sz w:val="20"/>
                <w:szCs w:val="20"/>
                <w:color w:val="auto"/>
              </w:rPr>
            </w:pPr>
            <w:r>
              <w:rPr>
                <w:rFonts w:ascii="Times New Roman" w:cs="Times New Roman" w:eastAsia="Times New Roman" w:hAnsi="Times New Roman"/>
                <w:sz w:val="15"/>
                <w:szCs w:val="15"/>
                <w:color w:val="231F20"/>
              </w:rPr>
              <w:t>(3,049)</w:t>
            </w:r>
          </w:p>
        </w:tc>
        <w:tc>
          <w:tcPr>
            <w:tcW w:w="80" w:type="dxa"/>
            <w:vAlign w:val="bottom"/>
            <w:shd w:val="clear" w:color="auto" w:fill="FDFDFC"/>
          </w:tcPr>
          <w:p>
            <w:pPr>
              <w:spacing w:after="0"/>
              <w:rPr>
                <w:sz w:val="15"/>
                <w:szCs w:val="15"/>
                <w:color w:val="auto"/>
              </w:rPr>
            </w:pPr>
          </w:p>
        </w:tc>
        <w:tc>
          <w:tcPr>
            <w:tcW w:w="1480" w:type="dxa"/>
            <w:vAlign w:val="bottom"/>
            <w:gridSpan w:val="2"/>
            <w:shd w:val="clear" w:color="auto" w:fill="FDFDFC"/>
          </w:tcPr>
          <w:p>
            <w:pPr>
              <w:jc w:val="right"/>
              <w:ind w:right="22"/>
              <w:spacing w:after="0"/>
              <w:rPr>
                <w:sz w:val="20"/>
                <w:szCs w:val="20"/>
                <w:color w:val="auto"/>
              </w:rPr>
            </w:pPr>
            <w:r>
              <w:rPr>
                <w:rFonts w:ascii="Times New Roman" w:cs="Times New Roman" w:eastAsia="Times New Roman" w:hAnsi="Times New Roman"/>
                <w:sz w:val="15"/>
                <w:szCs w:val="15"/>
                <w:color w:val="231F20"/>
              </w:rPr>
              <w:t>(1,011)</w:t>
            </w:r>
          </w:p>
        </w:tc>
        <w:tc>
          <w:tcPr>
            <w:tcW w:w="0" w:type="dxa"/>
            <w:vAlign w:val="bottom"/>
          </w:tcPr>
          <w:p>
            <w:pPr>
              <w:spacing w:after="0"/>
              <w:rPr>
                <w:sz w:val="1"/>
                <w:szCs w:val="1"/>
                <w:color w:val="auto"/>
              </w:rPr>
            </w:pPr>
          </w:p>
        </w:tc>
      </w:tr>
      <w:tr>
        <w:trPr>
          <w:trHeight w:val="174"/>
        </w:trPr>
        <w:tc>
          <w:tcPr>
            <w:tcW w:w="5100" w:type="dxa"/>
            <w:vAlign w:val="bottom"/>
            <w:shd w:val="clear" w:color="auto" w:fill="D0EBF2"/>
          </w:tcPr>
          <w:p>
            <w:pPr>
              <w:ind w:left="380"/>
              <w:spacing w:after="0"/>
              <w:rPr>
                <w:sz w:val="20"/>
                <w:szCs w:val="20"/>
                <w:color w:val="auto"/>
              </w:rPr>
            </w:pPr>
            <w:r>
              <w:rPr>
                <w:rFonts w:ascii="Times New Roman" w:cs="Times New Roman" w:eastAsia="Times New Roman" w:hAnsi="Times New Roman"/>
                <w:sz w:val="15"/>
                <w:szCs w:val="15"/>
                <w:color w:val="231F20"/>
              </w:rPr>
              <w:t>Management fees payable to affiliate</w:t>
            </w:r>
          </w:p>
        </w:tc>
        <w:tc>
          <w:tcPr>
            <w:tcW w:w="80" w:type="dxa"/>
            <w:vAlign w:val="bottom"/>
            <w:shd w:val="clear" w:color="auto" w:fill="D0EBF2"/>
          </w:tcPr>
          <w:p>
            <w:pPr>
              <w:spacing w:after="0"/>
              <w:rPr>
                <w:sz w:val="15"/>
                <w:szCs w:val="15"/>
                <w:color w:val="auto"/>
              </w:rPr>
            </w:pPr>
          </w:p>
        </w:tc>
        <w:tc>
          <w:tcPr>
            <w:tcW w:w="100" w:type="dxa"/>
            <w:vAlign w:val="bottom"/>
            <w:shd w:val="clear" w:color="auto" w:fill="D0EBF2"/>
          </w:tcPr>
          <w:p>
            <w:pPr>
              <w:spacing w:after="0"/>
              <w:rPr>
                <w:sz w:val="15"/>
                <w:szCs w:val="15"/>
                <w:color w:val="auto"/>
              </w:rPr>
            </w:pPr>
          </w:p>
        </w:tc>
        <w:tc>
          <w:tcPr>
            <w:tcW w:w="1380" w:type="dxa"/>
            <w:vAlign w:val="bottom"/>
            <w:shd w:val="clear" w:color="auto" w:fill="D0EBF2"/>
          </w:tcPr>
          <w:p>
            <w:pPr>
              <w:jc w:val="right"/>
              <w:spacing w:after="0"/>
              <w:rPr>
                <w:sz w:val="20"/>
                <w:szCs w:val="20"/>
                <w:color w:val="auto"/>
              </w:rPr>
            </w:pPr>
            <w:r>
              <w:rPr>
                <w:rFonts w:ascii="Times New Roman" w:cs="Times New Roman" w:eastAsia="Times New Roman" w:hAnsi="Times New Roman"/>
                <w:sz w:val="15"/>
                <w:szCs w:val="15"/>
                <w:color w:val="231F20"/>
              </w:rPr>
              <w:t>991</w:t>
            </w:r>
          </w:p>
        </w:tc>
        <w:tc>
          <w:tcPr>
            <w:tcW w:w="100" w:type="dxa"/>
            <w:vAlign w:val="bottom"/>
            <w:shd w:val="clear" w:color="auto" w:fill="D0EBF2"/>
          </w:tcPr>
          <w:p>
            <w:pPr>
              <w:spacing w:after="0"/>
              <w:rPr>
                <w:sz w:val="15"/>
                <w:szCs w:val="15"/>
                <w:color w:val="auto"/>
              </w:rPr>
            </w:pPr>
          </w:p>
        </w:tc>
        <w:tc>
          <w:tcPr>
            <w:tcW w:w="120" w:type="dxa"/>
            <w:vAlign w:val="bottom"/>
            <w:shd w:val="clear" w:color="auto" w:fill="D0EBF2"/>
          </w:tcPr>
          <w:p>
            <w:pPr>
              <w:spacing w:after="0"/>
              <w:rPr>
                <w:sz w:val="15"/>
                <w:szCs w:val="15"/>
                <w:color w:val="auto"/>
              </w:rPr>
            </w:pPr>
          </w:p>
        </w:tc>
        <w:tc>
          <w:tcPr>
            <w:tcW w:w="100" w:type="dxa"/>
            <w:vAlign w:val="bottom"/>
            <w:shd w:val="clear" w:color="auto" w:fill="D0EBF2"/>
          </w:tcPr>
          <w:p>
            <w:pPr>
              <w:spacing w:after="0"/>
              <w:rPr>
                <w:sz w:val="15"/>
                <w:szCs w:val="15"/>
                <w:color w:val="auto"/>
              </w:rPr>
            </w:pPr>
          </w:p>
        </w:tc>
        <w:tc>
          <w:tcPr>
            <w:tcW w:w="1420" w:type="dxa"/>
            <w:vAlign w:val="bottom"/>
            <w:shd w:val="clear" w:color="auto" w:fill="D0EBF2"/>
          </w:tcPr>
          <w:p>
            <w:pPr>
              <w:jc w:val="right"/>
              <w:spacing w:after="0"/>
              <w:rPr>
                <w:sz w:val="20"/>
                <w:szCs w:val="20"/>
                <w:color w:val="auto"/>
              </w:rPr>
            </w:pPr>
            <w:r>
              <w:rPr>
                <w:rFonts w:ascii="Times New Roman" w:cs="Times New Roman" w:eastAsia="Times New Roman" w:hAnsi="Times New Roman"/>
                <w:sz w:val="15"/>
                <w:szCs w:val="15"/>
                <w:color w:val="231F20"/>
              </w:rPr>
              <w:t>1,436</w:t>
            </w:r>
          </w:p>
        </w:tc>
        <w:tc>
          <w:tcPr>
            <w:tcW w:w="240" w:type="dxa"/>
            <w:vAlign w:val="bottom"/>
            <w:shd w:val="clear" w:color="auto" w:fill="D0EBF2"/>
          </w:tcPr>
          <w:p>
            <w:pPr>
              <w:spacing w:after="0"/>
              <w:rPr>
                <w:sz w:val="15"/>
                <w:szCs w:val="15"/>
                <w:color w:val="auto"/>
              </w:rPr>
            </w:pPr>
          </w:p>
        </w:tc>
        <w:tc>
          <w:tcPr>
            <w:tcW w:w="80" w:type="dxa"/>
            <w:vAlign w:val="bottom"/>
            <w:shd w:val="clear" w:color="auto" w:fill="D0EBF2"/>
          </w:tcPr>
          <w:p>
            <w:pPr>
              <w:spacing w:after="0"/>
              <w:rPr>
                <w:sz w:val="15"/>
                <w:szCs w:val="15"/>
                <w:color w:val="auto"/>
              </w:rPr>
            </w:pPr>
          </w:p>
        </w:tc>
        <w:tc>
          <w:tcPr>
            <w:tcW w:w="1380" w:type="dxa"/>
            <w:vAlign w:val="bottom"/>
            <w:shd w:val="clear" w:color="auto" w:fill="D0EBF2"/>
          </w:tcPr>
          <w:p>
            <w:pPr>
              <w:jc w:val="right"/>
              <w:spacing w:after="0"/>
              <w:rPr>
                <w:sz w:val="20"/>
                <w:szCs w:val="20"/>
                <w:color w:val="auto"/>
              </w:rPr>
            </w:pPr>
            <w:r>
              <w:rPr>
                <w:rFonts w:ascii="Times New Roman" w:cs="Times New Roman" w:eastAsia="Times New Roman" w:hAnsi="Times New Roman"/>
                <w:sz w:val="15"/>
                <w:szCs w:val="15"/>
                <w:color w:val="231F20"/>
              </w:rPr>
              <w:t>1,146</w:t>
            </w:r>
          </w:p>
        </w:tc>
        <w:tc>
          <w:tcPr>
            <w:tcW w:w="100" w:type="dxa"/>
            <w:vAlign w:val="bottom"/>
            <w:shd w:val="clear" w:color="auto" w:fill="D0EBF2"/>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5100" w:type="dxa"/>
            <w:vAlign w:val="bottom"/>
            <w:shd w:val="clear" w:color="auto" w:fill="FDFDFC"/>
          </w:tcPr>
          <w:p>
            <w:pPr>
              <w:ind w:left="380"/>
              <w:spacing w:after="0"/>
              <w:rPr>
                <w:sz w:val="20"/>
                <w:szCs w:val="20"/>
                <w:color w:val="auto"/>
              </w:rPr>
            </w:pPr>
            <w:r>
              <w:rPr>
                <w:rFonts w:ascii="Times New Roman" w:cs="Times New Roman" w:eastAsia="Times New Roman" w:hAnsi="Times New Roman"/>
                <w:sz w:val="15"/>
                <w:szCs w:val="15"/>
                <w:color w:val="231F20"/>
              </w:rPr>
              <w:t>Incentive fees on net investment income payable to affiliate</w:t>
            </w:r>
          </w:p>
        </w:tc>
        <w:tc>
          <w:tcPr>
            <w:tcW w:w="80" w:type="dxa"/>
            <w:vAlign w:val="bottom"/>
            <w:shd w:val="clear" w:color="auto" w:fill="FDFDFC"/>
          </w:tcPr>
          <w:p>
            <w:pPr>
              <w:spacing w:after="0"/>
              <w:rPr>
                <w:sz w:val="15"/>
                <w:szCs w:val="15"/>
                <w:color w:val="auto"/>
              </w:rPr>
            </w:pPr>
          </w:p>
        </w:tc>
        <w:tc>
          <w:tcPr>
            <w:tcW w:w="100" w:type="dxa"/>
            <w:vAlign w:val="bottom"/>
            <w:shd w:val="clear" w:color="auto" w:fill="FDFDFC"/>
          </w:tcPr>
          <w:p>
            <w:pPr>
              <w:spacing w:after="0"/>
              <w:rPr>
                <w:sz w:val="15"/>
                <w:szCs w:val="15"/>
                <w:color w:val="auto"/>
              </w:rPr>
            </w:pPr>
          </w:p>
        </w:tc>
        <w:tc>
          <w:tcPr>
            <w:tcW w:w="1380" w:type="dxa"/>
            <w:vAlign w:val="bottom"/>
            <w:shd w:val="clear" w:color="auto" w:fill="FDFDFC"/>
          </w:tcPr>
          <w:p>
            <w:pPr>
              <w:jc w:val="right"/>
              <w:spacing w:after="0"/>
              <w:rPr>
                <w:sz w:val="20"/>
                <w:szCs w:val="20"/>
                <w:color w:val="auto"/>
              </w:rPr>
            </w:pPr>
            <w:r>
              <w:rPr>
                <w:rFonts w:ascii="Times New Roman" w:cs="Times New Roman" w:eastAsia="Times New Roman" w:hAnsi="Times New Roman"/>
                <w:sz w:val="15"/>
                <w:szCs w:val="15"/>
                <w:color w:val="231F20"/>
              </w:rPr>
              <w:t>562</w:t>
            </w:r>
          </w:p>
        </w:tc>
        <w:tc>
          <w:tcPr>
            <w:tcW w:w="100" w:type="dxa"/>
            <w:vAlign w:val="bottom"/>
            <w:shd w:val="clear" w:color="auto" w:fill="FDFDFC"/>
          </w:tcPr>
          <w:p>
            <w:pPr>
              <w:spacing w:after="0"/>
              <w:rPr>
                <w:sz w:val="15"/>
                <w:szCs w:val="15"/>
                <w:color w:val="auto"/>
              </w:rPr>
            </w:pPr>
          </w:p>
        </w:tc>
        <w:tc>
          <w:tcPr>
            <w:tcW w:w="120" w:type="dxa"/>
            <w:vAlign w:val="bottom"/>
            <w:shd w:val="clear" w:color="auto" w:fill="FDFDFC"/>
          </w:tcPr>
          <w:p>
            <w:pPr>
              <w:spacing w:after="0"/>
              <w:rPr>
                <w:sz w:val="15"/>
                <w:szCs w:val="15"/>
                <w:color w:val="auto"/>
              </w:rPr>
            </w:pPr>
          </w:p>
        </w:tc>
        <w:tc>
          <w:tcPr>
            <w:tcW w:w="100" w:type="dxa"/>
            <w:vAlign w:val="bottom"/>
            <w:shd w:val="clear" w:color="auto" w:fill="FDFDFC"/>
          </w:tcPr>
          <w:p>
            <w:pPr>
              <w:spacing w:after="0"/>
              <w:rPr>
                <w:sz w:val="15"/>
                <w:szCs w:val="15"/>
                <w:color w:val="auto"/>
              </w:rPr>
            </w:pPr>
          </w:p>
        </w:tc>
        <w:tc>
          <w:tcPr>
            <w:tcW w:w="1420" w:type="dxa"/>
            <w:vAlign w:val="bottom"/>
            <w:shd w:val="clear" w:color="auto" w:fill="FDFDFC"/>
          </w:tcPr>
          <w:p>
            <w:pPr>
              <w:jc w:val="right"/>
              <w:spacing w:after="0"/>
              <w:rPr>
                <w:sz w:val="20"/>
                <w:szCs w:val="20"/>
                <w:color w:val="auto"/>
              </w:rPr>
            </w:pPr>
            <w:r>
              <w:rPr>
                <w:rFonts w:ascii="Times New Roman" w:cs="Times New Roman" w:eastAsia="Times New Roman" w:hAnsi="Times New Roman"/>
                <w:sz w:val="15"/>
                <w:szCs w:val="15"/>
                <w:color w:val="231F20"/>
              </w:rPr>
              <w:t>533</w:t>
            </w:r>
          </w:p>
        </w:tc>
        <w:tc>
          <w:tcPr>
            <w:tcW w:w="240" w:type="dxa"/>
            <w:vAlign w:val="bottom"/>
            <w:shd w:val="clear" w:color="auto" w:fill="FDFDFC"/>
          </w:tcPr>
          <w:p>
            <w:pPr>
              <w:spacing w:after="0"/>
              <w:rPr>
                <w:sz w:val="15"/>
                <w:szCs w:val="15"/>
                <w:color w:val="auto"/>
              </w:rPr>
            </w:pPr>
          </w:p>
        </w:tc>
        <w:tc>
          <w:tcPr>
            <w:tcW w:w="80" w:type="dxa"/>
            <w:vAlign w:val="bottom"/>
            <w:shd w:val="clear" w:color="auto" w:fill="FDFDFC"/>
          </w:tcPr>
          <w:p>
            <w:pPr>
              <w:spacing w:after="0"/>
              <w:rPr>
                <w:sz w:val="15"/>
                <w:szCs w:val="15"/>
                <w:color w:val="auto"/>
              </w:rPr>
            </w:pPr>
          </w:p>
        </w:tc>
        <w:tc>
          <w:tcPr>
            <w:tcW w:w="1380" w:type="dxa"/>
            <w:vAlign w:val="bottom"/>
            <w:shd w:val="clear" w:color="auto" w:fill="FDFDFC"/>
          </w:tcPr>
          <w:p>
            <w:pPr>
              <w:jc w:val="right"/>
              <w:spacing w:after="0"/>
              <w:rPr>
                <w:sz w:val="20"/>
                <w:szCs w:val="20"/>
                <w:color w:val="auto"/>
              </w:rPr>
            </w:pPr>
            <w:r>
              <w:rPr>
                <w:rFonts w:ascii="Times New Roman" w:cs="Times New Roman" w:eastAsia="Times New Roman" w:hAnsi="Times New Roman"/>
                <w:sz w:val="15"/>
                <w:szCs w:val="15"/>
                <w:color w:val="231F20"/>
              </w:rPr>
              <w:t>1,129</w:t>
            </w:r>
          </w:p>
        </w:tc>
        <w:tc>
          <w:tcPr>
            <w:tcW w:w="100" w:type="dxa"/>
            <w:vAlign w:val="bottom"/>
            <w:shd w:val="clear" w:color="auto" w:fill="FDFDFC"/>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5100" w:type="dxa"/>
            <w:vAlign w:val="bottom"/>
            <w:shd w:val="clear" w:color="auto" w:fill="D0EBF2"/>
          </w:tcPr>
          <w:p>
            <w:pPr>
              <w:ind w:left="380"/>
              <w:spacing w:after="0"/>
              <w:rPr>
                <w:sz w:val="20"/>
                <w:szCs w:val="20"/>
                <w:color w:val="auto"/>
              </w:rPr>
            </w:pPr>
            <w:r>
              <w:rPr>
                <w:rFonts w:ascii="Times New Roman" w:cs="Times New Roman" w:eastAsia="Times New Roman" w:hAnsi="Times New Roman"/>
                <w:sz w:val="15"/>
                <w:szCs w:val="15"/>
                <w:color w:val="231F20"/>
              </w:rPr>
              <w:t>Incentive fees on net capital gains accrued to affiliate</w:t>
            </w:r>
          </w:p>
        </w:tc>
        <w:tc>
          <w:tcPr>
            <w:tcW w:w="80" w:type="dxa"/>
            <w:vAlign w:val="bottom"/>
            <w:shd w:val="clear" w:color="auto" w:fill="D0EBF2"/>
          </w:tcPr>
          <w:p>
            <w:pPr>
              <w:spacing w:after="0"/>
              <w:rPr>
                <w:sz w:val="15"/>
                <w:szCs w:val="15"/>
                <w:color w:val="auto"/>
              </w:rPr>
            </w:pPr>
          </w:p>
        </w:tc>
        <w:tc>
          <w:tcPr>
            <w:tcW w:w="100" w:type="dxa"/>
            <w:vAlign w:val="bottom"/>
            <w:shd w:val="clear" w:color="auto" w:fill="D0EBF2"/>
          </w:tcPr>
          <w:p>
            <w:pPr>
              <w:spacing w:after="0"/>
              <w:rPr>
                <w:sz w:val="15"/>
                <w:szCs w:val="15"/>
                <w:color w:val="auto"/>
              </w:rPr>
            </w:pPr>
          </w:p>
        </w:tc>
        <w:tc>
          <w:tcPr>
            <w:tcW w:w="1480" w:type="dxa"/>
            <w:vAlign w:val="bottom"/>
            <w:gridSpan w:val="2"/>
            <w:shd w:val="clear" w:color="auto" w:fill="D0EBF2"/>
          </w:tcPr>
          <w:p>
            <w:pPr>
              <w:jc w:val="right"/>
              <w:ind w:right="22"/>
              <w:spacing w:after="0"/>
              <w:rPr>
                <w:sz w:val="20"/>
                <w:szCs w:val="20"/>
                <w:color w:val="auto"/>
              </w:rPr>
            </w:pPr>
            <w:r>
              <w:rPr>
                <w:rFonts w:ascii="Times New Roman" w:cs="Times New Roman" w:eastAsia="Times New Roman" w:hAnsi="Times New Roman"/>
                <w:sz w:val="15"/>
                <w:szCs w:val="15"/>
                <w:color w:val="231F20"/>
              </w:rPr>
              <w:t>(5,375)</w:t>
            </w:r>
          </w:p>
        </w:tc>
        <w:tc>
          <w:tcPr>
            <w:tcW w:w="120" w:type="dxa"/>
            <w:vAlign w:val="bottom"/>
            <w:shd w:val="clear" w:color="auto" w:fill="D0EBF2"/>
          </w:tcPr>
          <w:p>
            <w:pPr>
              <w:spacing w:after="0"/>
              <w:rPr>
                <w:sz w:val="15"/>
                <w:szCs w:val="15"/>
                <w:color w:val="auto"/>
              </w:rPr>
            </w:pPr>
          </w:p>
        </w:tc>
        <w:tc>
          <w:tcPr>
            <w:tcW w:w="100" w:type="dxa"/>
            <w:vAlign w:val="bottom"/>
            <w:shd w:val="clear" w:color="auto" w:fill="D0EBF2"/>
          </w:tcPr>
          <w:p>
            <w:pPr>
              <w:spacing w:after="0"/>
              <w:rPr>
                <w:sz w:val="15"/>
                <w:szCs w:val="15"/>
                <w:color w:val="auto"/>
              </w:rPr>
            </w:pPr>
          </w:p>
        </w:tc>
        <w:tc>
          <w:tcPr>
            <w:tcW w:w="1420" w:type="dxa"/>
            <w:vAlign w:val="bottom"/>
            <w:shd w:val="clear" w:color="auto" w:fill="D0EBF2"/>
          </w:tcPr>
          <w:p>
            <w:pPr>
              <w:jc w:val="right"/>
              <w:spacing w:after="0"/>
              <w:rPr>
                <w:sz w:val="20"/>
                <w:szCs w:val="20"/>
                <w:color w:val="auto"/>
              </w:rPr>
            </w:pPr>
            <w:r>
              <w:rPr>
                <w:rFonts w:ascii="Times New Roman" w:cs="Times New Roman" w:eastAsia="Times New Roman" w:hAnsi="Times New Roman"/>
                <w:sz w:val="15"/>
                <w:szCs w:val="15"/>
                <w:color w:val="231F20"/>
              </w:rPr>
              <w:t>4,382</w:t>
            </w:r>
          </w:p>
        </w:tc>
        <w:tc>
          <w:tcPr>
            <w:tcW w:w="240" w:type="dxa"/>
            <w:vAlign w:val="bottom"/>
            <w:shd w:val="clear" w:color="auto" w:fill="D0EBF2"/>
          </w:tcPr>
          <w:p>
            <w:pPr>
              <w:spacing w:after="0"/>
              <w:rPr>
                <w:sz w:val="15"/>
                <w:szCs w:val="15"/>
                <w:color w:val="auto"/>
              </w:rPr>
            </w:pPr>
          </w:p>
        </w:tc>
        <w:tc>
          <w:tcPr>
            <w:tcW w:w="80" w:type="dxa"/>
            <w:vAlign w:val="bottom"/>
            <w:shd w:val="clear" w:color="auto" w:fill="D0EBF2"/>
          </w:tcPr>
          <w:p>
            <w:pPr>
              <w:spacing w:after="0"/>
              <w:rPr>
                <w:sz w:val="15"/>
                <w:szCs w:val="15"/>
                <w:color w:val="auto"/>
              </w:rPr>
            </w:pPr>
          </w:p>
        </w:tc>
        <w:tc>
          <w:tcPr>
            <w:tcW w:w="1480" w:type="dxa"/>
            <w:vAlign w:val="bottom"/>
            <w:gridSpan w:val="2"/>
            <w:shd w:val="clear" w:color="auto" w:fill="D0EBF2"/>
          </w:tcPr>
          <w:p>
            <w:pPr>
              <w:jc w:val="right"/>
              <w:ind w:right="22"/>
              <w:spacing w:after="0"/>
              <w:rPr>
                <w:sz w:val="20"/>
                <w:szCs w:val="20"/>
                <w:color w:val="auto"/>
              </w:rPr>
            </w:pPr>
            <w:r>
              <w:rPr>
                <w:rFonts w:ascii="Times New Roman" w:cs="Times New Roman" w:eastAsia="Times New Roman" w:hAnsi="Times New Roman"/>
                <w:sz w:val="15"/>
                <w:szCs w:val="15"/>
                <w:color w:val="231F20"/>
              </w:rPr>
              <w:t>(8,864)</w:t>
            </w:r>
          </w:p>
        </w:tc>
        <w:tc>
          <w:tcPr>
            <w:tcW w:w="0" w:type="dxa"/>
            <w:vAlign w:val="bottom"/>
          </w:tcPr>
          <w:p>
            <w:pPr>
              <w:spacing w:after="0"/>
              <w:rPr>
                <w:sz w:val="1"/>
                <w:szCs w:val="1"/>
                <w:color w:val="auto"/>
              </w:rPr>
            </w:pPr>
          </w:p>
        </w:tc>
      </w:tr>
      <w:tr>
        <w:trPr>
          <w:trHeight w:val="174"/>
        </w:trPr>
        <w:tc>
          <w:tcPr>
            <w:tcW w:w="5100" w:type="dxa"/>
            <w:vAlign w:val="bottom"/>
            <w:shd w:val="clear" w:color="auto" w:fill="FDFDFC"/>
          </w:tcPr>
          <w:p>
            <w:pPr>
              <w:ind w:left="380"/>
              <w:spacing w:after="0"/>
              <w:rPr>
                <w:sz w:val="20"/>
                <w:szCs w:val="20"/>
                <w:color w:val="auto"/>
              </w:rPr>
            </w:pPr>
            <w:r>
              <w:rPr>
                <w:rFonts w:ascii="Times New Roman" w:cs="Times New Roman" w:eastAsia="Times New Roman" w:hAnsi="Times New Roman"/>
                <w:sz w:val="15"/>
                <w:szCs w:val="15"/>
                <w:color w:val="231F20"/>
              </w:rPr>
              <w:t>Payable to affiliate</w:t>
            </w:r>
          </w:p>
        </w:tc>
        <w:tc>
          <w:tcPr>
            <w:tcW w:w="80" w:type="dxa"/>
            <w:vAlign w:val="bottom"/>
            <w:shd w:val="clear" w:color="auto" w:fill="FDFDFC"/>
          </w:tcPr>
          <w:p>
            <w:pPr>
              <w:spacing w:after="0"/>
              <w:rPr>
                <w:sz w:val="15"/>
                <w:szCs w:val="15"/>
                <w:color w:val="auto"/>
              </w:rPr>
            </w:pPr>
          </w:p>
        </w:tc>
        <w:tc>
          <w:tcPr>
            <w:tcW w:w="100" w:type="dxa"/>
            <w:vAlign w:val="bottom"/>
            <w:shd w:val="clear" w:color="auto" w:fill="FDFDFC"/>
          </w:tcPr>
          <w:p>
            <w:pPr>
              <w:spacing w:after="0"/>
              <w:rPr>
                <w:sz w:val="15"/>
                <w:szCs w:val="15"/>
                <w:color w:val="auto"/>
              </w:rPr>
            </w:pPr>
          </w:p>
        </w:tc>
        <w:tc>
          <w:tcPr>
            <w:tcW w:w="1380" w:type="dxa"/>
            <w:vAlign w:val="bottom"/>
            <w:shd w:val="clear" w:color="auto" w:fill="FDFDFC"/>
          </w:tcPr>
          <w:p>
            <w:pPr>
              <w:jc w:val="right"/>
              <w:spacing w:after="0"/>
              <w:rPr>
                <w:sz w:val="20"/>
                <w:szCs w:val="20"/>
                <w:color w:val="auto"/>
              </w:rPr>
            </w:pPr>
            <w:r>
              <w:rPr>
                <w:rFonts w:ascii="Times New Roman" w:cs="Times New Roman" w:eastAsia="Times New Roman" w:hAnsi="Times New Roman"/>
                <w:sz w:val="15"/>
                <w:szCs w:val="15"/>
                <w:color w:val="231F20"/>
              </w:rPr>
              <w:t>833</w:t>
            </w:r>
          </w:p>
        </w:tc>
        <w:tc>
          <w:tcPr>
            <w:tcW w:w="100" w:type="dxa"/>
            <w:vAlign w:val="bottom"/>
            <w:shd w:val="clear" w:color="auto" w:fill="FDFDFC"/>
          </w:tcPr>
          <w:p>
            <w:pPr>
              <w:spacing w:after="0"/>
              <w:rPr>
                <w:sz w:val="15"/>
                <w:szCs w:val="15"/>
                <w:color w:val="auto"/>
              </w:rPr>
            </w:pPr>
          </w:p>
        </w:tc>
        <w:tc>
          <w:tcPr>
            <w:tcW w:w="120" w:type="dxa"/>
            <w:vAlign w:val="bottom"/>
            <w:shd w:val="clear" w:color="auto" w:fill="FDFDFC"/>
          </w:tcPr>
          <w:p>
            <w:pPr>
              <w:spacing w:after="0"/>
              <w:rPr>
                <w:sz w:val="15"/>
                <w:szCs w:val="15"/>
                <w:color w:val="auto"/>
              </w:rPr>
            </w:pPr>
          </w:p>
        </w:tc>
        <w:tc>
          <w:tcPr>
            <w:tcW w:w="100" w:type="dxa"/>
            <w:vAlign w:val="bottom"/>
            <w:shd w:val="clear" w:color="auto" w:fill="FDFDFC"/>
          </w:tcPr>
          <w:p>
            <w:pPr>
              <w:spacing w:after="0"/>
              <w:rPr>
                <w:sz w:val="15"/>
                <w:szCs w:val="15"/>
                <w:color w:val="auto"/>
              </w:rPr>
            </w:pPr>
          </w:p>
        </w:tc>
        <w:tc>
          <w:tcPr>
            <w:tcW w:w="1660" w:type="dxa"/>
            <w:vAlign w:val="bottom"/>
            <w:gridSpan w:val="2"/>
            <w:shd w:val="clear" w:color="auto" w:fill="FDFDFC"/>
          </w:tcPr>
          <w:p>
            <w:pPr>
              <w:jc w:val="right"/>
              <w:ind w:right="180"/>
              <w:spacing w:after="0"/>
              <w:rPr>
                <w:sz w:val="20"/>
                <w:szCs w:val="20"/>
                <w:color w:val="auto"/>
              </w:rPr>
            </w:pPr>
            <w:r>
              <w:rPr>
                <w:rFonts w:ascii="Times New Roman" w:cs="Times New Roman" w:eastAsia="Times New Roman" w:hAnsi="Times New Roman"/>
                <w:sz w:val="15"/>
                <w:szCs w:val="15"/>
                <w:color w:val="231F20"/>
              </w:rPr>
              <w:t>(463)</w:t>
            </w:r>
          </w:p>
        </w:tc>
        <w:tc>
          <w:tcPr>
            <w:tcW w:w="80" w:type="dxa"/>
            <w:vAlign w:val="bottom"/>
            <w:shd w:val="clear" w:color="auto" w:fill="FDFDFC"/>
          </w:tcPr>
          <w:p>
            <w:pPr>
              <w:spacing w:after="0"/>
              <w:rPr>
                <w:sz w:val="15"/>
                <w:szCs w:val="15"/>
                <w:color w:val="auto"/>
              </w:rPr>
            </w:pPr>
          </w:p>
        </w:tc>
        <w:tc>
          <w:tcPr>
            <w:tcW w:w="1380" w:type="dxa"/>
            <w:vAlign w:val="bottom"/>
            <w:shd w:val="clear" w:color="auto" w:fill="FDFDFC"/>
          </w:tcPr>
          <w:p>
            <w:pPr>
              <w:jc w:val="right"/>
              <w:spacing w:after="0"/>
              <w:rPr>
                <w:sz w:val="20"/>
                <w:szCs w:val="20"/>
                <w:color w:val="auto"/>
              </w:rPr>
            </w:pPr>
            <w:r>
              <w:rPr>
                <w:rFonts w:ascii="Times New Roman" w:cs="Times New Roman" w:eastAsia="Times New Roman" w:hAnsi="Times New Roman"/>
                <w:sz w:val="15"/>
                <w:szCs w:val="15"/>
                <w:color w:val="231F20"/>
              </w:rPr>
              <w:t>116</w:t>
            </w:r>
          </w:p>
        </w:tc>
        <w:tc>
          <w:tcPr>
            <w:tcW w:w="100" w:type="dxa"/>
            <w:vAlign w:val="bottom"/>
            <w:shd w:val="clear" w:color="auto" w:fill="FDFDFC"/>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5100" w:type="dxa"/>
            <w:vAlign w:val="bottom"/>
            <w:shd w:val="clear" w:color="auto" w:fill="D0EBF2"/>
          </w:tcPr>
          <w:p>
            <w:pPr>
              <w:ind w:left="380"/>
              <w:spacing w:after="0"/>
              <w:rPr>
                <w:sz w:val="20"/>
                <w:szCs w:val="20"/>
                <w:color w:val="auto"/>
              </w:rPr>
            </w:pPr>
            <w:r>
              <w:rPr>
                <w:rFonts w:ascii="Times New Roman" w:cs="Times New Roman" w:eastAsia="Times New Roman" w:hAnsi="Times New Roman"/>
                <w:sz w:val="15"/>
                <w:szCs w:val="15"/>
                <w:color w:val="231F20"/>
              </w:rPr>
              <w:t>Other liabilities</w:t>
            </w:r>
          </w:p>
        </w:tc>
        <w:tc>
          <w:tcPr>
            <w:tcW w:w="80" w:type="dxa"/>
            <w:vAlign w:val="bottom"/>
            <w:shd w:val="clear" w:color="auto" w:fill="D0EBF2"/>
          </w:tcPr>
          <w:p>
            <w:pPr>
              <w:spacing w:after="0"/>
              <w:rPr>
                <w:sz w:val="16"/>
                <w:szCs w:val="16"/>
                <w:color w:val="auto"/>
              </w:rPr>
            </w:pPr>
          </w:p>
        </w:tc>
        <w:tc>
          <w:tcPr>
            <w:tcW w:w="100" w:type="dxa"/>
            <w:vAlign w:val="bottom"/>
            <w:shd w:val="clear" w:color="auto" w:fill="D0EBF2"/>
          </w:tcPr>
          <w:p>
            <w:pPr>
              <w:spacing w:after="0"/>
              <w:rPr>
                <w:sz w:val="16"/>
                <w:szCs w:val="16"/>
                <w:color w:val="auto"/>
              </w:rPr>
            </w:pPr>
          </w:p>
        </w:tc>
        <w:tc>
          <w:tcPr>
            <w:tcW w:w="1380" w:type="dxa"/>
            <w:vAlign w:val="bottom"/>
            <w:shd w:val="clear" w:color="auto" w:fill="D0EBF2"/>
          </w:tcPr>
          <w:p>
            <w:pPr>
              <w:jc w:val="right"/>
              <w:spacing w:after="0"/>
              <w:rPr>
                <w:sz w:val="20"/>
                <w:szCs w:val="20"/>
                <w:color w:val="auto"/>
              </w:rPr>
            </w:pPr>
            <w:r>
              <w:rPr>
                <w:rFonts w:ascii="Times New Roman" w:cs="Times New Roman" w:eastAsia="Times New Roman" w:hAnsi="Times New Roman"/>
                <w:sz w:val="15"/>
                <w:szCs w:val="15"/>
                <w:color w:val="231F20"/>
              </w:rPr>
              <w:t>17,020</w:t>
            </w:r>
          </w:p>
        </w:tc>
        <w:tc>
          <w:tcPr>
            <w:tcW w:w="100" w:type="dxa"/>
            <w:vAlign w:val="bottom"/>
            <w:shd w:val="clear" w:color="auto" w:fill="D0EBF2"/>
          </w:tcPr>
          <w:p>
            <w:pPr>
              <w:spacing w:after="0"/>
              <w:rPr>
                <w:sz w:val="16"/>
                <w:szCs w:val="16"/>
                <w:color w:val="auto"/>
              </w:rPr>
            </w:pPr>
          </w:p>
        </w:tc>
        <w:tc>
          <w:tcPr>
            <w:tcW w:w="120" w:type="dxa"/>
            <w:vAlign w:val="bottom"/>
            <w:shd w:val="clear" w:color="auto" w:fill="D0EBF2"/>
          </w:tcPr>
          <w:p>
            <w:pPr>
              <w:spacing w:after="0"/>
              <w:rPr>
                <w:sz w:val="16"/>
                <w:szCs w:val="16"/>
                <w:color w:val="auto"/>
              </w:rPr>
            </w:pPr>
          </w:p>
        </w:tc>
        <w:tc>
          <w:tcPr>
            <w:tcW w:w="100" w:type="dxa"/>
            <w:vAlign w:val="bottom"/>
            <w:shd w:val="clear" w:color="auto" w:fill="D0EBF2"/>
          </w:tcPr>
          <w:p>
            <w:pPr>
              <w:spacing w:after="0"/>
              <w:rPr>
                <w:sz w:val="16"/>
                <w:szCs w:val="16"/>
                <w:color w:val="auto"/>
              </w:rPr>
            </w:pPr>
          </w:p>
        </w:tc>
        <w:tc>
          <w:tcPr>
            <w:tcW w:w="1420" w:type="dxa"/>
            <w:vAlign w:val="bottom"/>
            <w:shd w:val="clear" w:color="auto" w:fill="D0EBF2"/>
          </w:tcPr>
          <w:p>
            <w:pPr>
              <w:jc w:val="right"/>
              <w:spacing w:after="0"/>
              <w:rPr>
                <w:sz w:val="20"/>
                <w:szCs w:val="20"/>
                <w:color w:val="auto"/>
              </w:rPr>
            </w:pPr>
            <w:r>
              <w:rPr>
                <w:rFonts w:ascii="Times New Roman" w:cs="Times New Roman" w:eastAsia="Times New Roman" w:hAnsi="Times New Roman"/>
                <w:sz w:val="15"/>
                <w:szCs w:val="15"/>
                <w:color w:val="231F20"/>
              </w:rPr>
              <w:t>31,072</w:t>
            </w:r>
          </w:p>
        </w:tc>
        <w:tc>
          <w:tcPr>
            <w:tcW w:w="240" w:type="dxa"/>
            <w:vAlign w:val="bottom"/>
            <w:shd w:val="clear" w:color="auto" w:fill="D0EBF2"/>
          </w:tcPr>
          <w:p>
            <w:pPr>
              <w:spacing w:after="0"/>
              <w:rPr>
                <w:sz w:val="16"/>
                <w:szCs w:val="16"/>
                <w:color w:val="auto"/>
              </w:rPr>
            </w:pPr>
          </w:p>
        </w:tc>
        <w:tc>
          <w:tcPr>
            <w:tcW w:w="80" w:type="dxa"/>
            <w:vAlign w:val="bottom"/>
            <w:shd w:val="clear" w:color="auto" w:fill="D0EBF2"/>
          </w:tcPr>
          <w:p>
            <w:pPr>
              <w:spacing w:after="0"/>
              <w:rPr>
                <w:sz w:val="16"/>
                <w:szCs w:val="16"/>
                <w:color w:val="auto"/>
              </w:rPr>
            </w:pPr>
          </w:p>
        </w:tc>
        <w:tc>
          <w:tcPr>
            <w:tcW w:w="1480" w:type="dxa"/>
            <w:vAlign w:val="bottom"/>
            <w:gridSpan w:val="2"/>
            <w:shd w:val="clear" w:color="auto" w:fill="D0EBF2"/>
          </w:tcPr>
          <w:p>
            <w:pPr>
              <w:jc w:val="right"/>
              <w:ind w:right="22"/>
              <w:spacing w:after="0"/>
              <w:rPr>
                <w:sz w:val="20"/>
                <w:szCs w:val="20"/>
                <w:color w:val="auto"/>
              </w:rPr>
            </w:pPr>
            <w:r>
              <w:rPr>
                <w:rFonts w:ascii="Times New Roman" w:cs="Times New Roman" w:eastAsia="Times New Roman" w:hAnsi="Times New Roman"/>
                <w:sz w:val="15"/>
                <w:szCs w:val="15"/>
                <w:color w:val="231F20"/>
              </w:rPr>
              <w:t>(52,777)</w:t>
            </w:r>
          </w:p>
        </w:tc>
        <w:tc>
          <w:tcPr>
            <w:tcW w:w="0" w:type="dxa"/>
            <w:vAlign w:val="bottom"/>
          </w:tcPr>
          <w:p>
            <w:pPr>
              <w:spacing w:after="0"/>
              <w:rPr>
                <w:sz w:val="1"/>
                <w:szCs w:val="1"/>
                <w:color w:val="auto"/>
              </w:rPr>
            </w:pPr>
          </w:p>
        </w:tc>
      </w:tr>
      <w:tr>
        <w:trPr>
          <w:trHeight w:val="143"/>
        </w:trPr>
        <w:tc>
          <w:tcPr>
            <w:tcW w:w="5100" w:type="dxa"/>
            <w:vAlign w:val="bottom"/>
            <w:tcBorders>
              <w:top w:val="single" w:sz="8" w:color="D0EBF2"/>
              <w:bottom w:val="single" w:sz="8" w:color="D0EBF2"/>
            </w:tcBorders>
            <w:shd w:val="clear" w:color="auto" w:fill="FDFDFC"/>
          </w:tcPr>
          <w:p>
            <w:pPr>
              <w:ind w:left="380"/>
              <w:spacing w:after="0" w:line="144" w:lineRule="exact"/>
              <w:rPr>
                <w:sz w:val="20"/>
                <w:szCs w:val="20"/>
                <w:color w:val="auto"/>
              </w:rPr>
            </w:pPr>
            <w:r>
              <w:rPr>
                <w:rFonts w:ascii="Times New Roman" w:cs="Times New Roman" w:eastAsia="Times New Roman" w:hAnsi="Times New Roman"/>
                <w:sz w:val="15"/>
                <w:szCs w:val="15"/>
                <w:b w:val="1"/>
                <w:bCs w:val="1"/>
                <w:color w:val="231F20"/>
              </w:rPr>
              <w:t>Net Cash Provided by (Used in) Operating Activities</w:t>
            </w:r>
          </w:p>
        </w:tc>
        <w:tc>
          <w:tcPr>
            <w:tcW w:w="80" w:type="dxa"/>
            <w:vAlign w:val="bottom"/>
            <w:tcBorders>
              <w:top w:val="single" w:sz="8" w:color="D0EBF2"/>
              <w:bottom w:val="single" w:sz="8" w:color="D0EBF2"/>
            </w:tcBorders>
            <w:shd w:val="clear" w:color="auto" w:fill="FDFDFC"/>
          </w:tcPr>
          <w:p>
            <w:pPr>
              <w:spacing w:after="0"/>
              <w:rPr>
                <w:sz w:val="12"/>
                <w:szCs w:val="12"/>
                <w:color w:val="auto"/>
              </w:rPr>
            </w:pPr>
          </w:p>
        </w:tc>
        <w:tc>
          <w:tcPr>
            <w:tcW w:w="100" w:type="dxa"/>
            <w:vAlign w:val="bottom"/>
            <w:tcBorders>
              <w:top w:val="single" w:sz="8" w:color="231F20"/>
              <w:bottom w:val="single" w:sz="8" w:color="231F20"/>
            </w:tcBorders>
            <w:shd w:val="clear" w:color="auto" w:fill="FDFDFC"/>
          </w:tcPr>
          <w:p>
            <w:pPr>
              <w:spacing w:after="0"/>
              <w:rPr>
                <w:sz w:val="12"/>
                <w:szCs w:val="12"/>
                <w:color w:val="auto"/>
              </w:rPr>
            </w:pPr>
          </w:p>
        </w:tc>
        <w:tc>
          <w:tcPr>
            <w:tcW w:w="1380" w:type="dxa"/>
            <w:vAlign w:val="bottom"/>
            <w:tcBorders>
              <w:top w:val="single" w:sz="8" w:color="231F20"/>
              <w:bottom w:val="single" w:sz="8" w:color="231F20"/>
            </w:tcBorders>
            <w:shd w:val="clear" w:color="auto" w:fill="FDFDFC"/>
          </w:tcPr>
          <w:p>
            <w:pPr>
              <w:jc w:val="right"/>
              <w:spacing w:after="0" w:line="144" w:lineRule="exact"/>
              <w:rPr>
                <w:sz w:val="20"/>
                <w:szCs w:val="20"/>
                <w:color w:val="auto"/>
              </w:rPr>
            </w:pPr>
            <w:r>
              <w:rPr>
                <w:rFonts w:ascii="Times New Roman" w:cs="Times New Roman" w:eastAsia="Times New Roman" w:hAnsi="Times New Roman"/>
                <w:sz w:val="15"/>
                <w:szCs w:val="15"/>
                <w:color w:val="231F20"/>
              </w:rPr>
              <w:t>(45,491</w:t>
            </w:r>
          </w:p>
        </w:tc>
        <w:tc>
          <w:tcPr>
            <w:tcW w:w="100" w:type="dxa"/>
            <w:vAlign w:val="bottom"/>
            <w:tcBorders>
              <w:top w:val="single" w:sz="8" w:color="D0EBF2"/>
              <w:bottom w:val="single" w:sz="8" w:color="D0EBF2"/>
            </w:tcBorders>
            <w:shd w:val="clear" w:color="auto" w:fill="FDFDFC"/>
          </w:tcPr>
          <w:p>
            <w:pPr>
              <w:jc w:val="right"/>
              <w:ind w:right="22"/>
              <w:spacing w:after="0"/>
              <w:rPr>
                <w:sz w:val="20"/>
                <w:szCs w:val="20"/>
                <w:color w:val="auto"/>
              </w:rPr>
            </w:pPr>
            <w:r>
              <w:rPr>
                <w:rFonts w:ascii="Times New Roman" w:cs="Times New Roman" w:eastAsia="Times New Roman" w:hAnsi="Times New Roman"/>
                <w:sz w:val="8"/>
                <w:szCs w:val="8"/>
                <w:color w:val="231F20"/>
                <w:highlight w:val="white"/>
                <w:w w:val="73"/>
              </w:rPr>
              <w:t>)</w:t>
            </w:r>
          </w:p>
        </w:tc>
        <w:tc>
          <w:tcPr>
            <w:tcW w:w="120" w:type="dxa"/>
            <w:vAlign w:val="bottom"/>
            <w:tcBorders>
              <w:top w:val="single" w:sz="8" w:color="231F20"/>
              <w:bottom w:val="single" w:sz="8" w:color="231F20"/>
            </w:tcBorders>
            <w:shd w:val="clear" w:color="auto" w:fill="FDFDFC"/>
          </w:tcPr>
          <w:p>
            <w:pPr>
              <w:spacing w:after="0"/>
              <w:rPr>
                <w:sz w:val="12"/>
                <w:szCs w:val="12"/>
                <w:color w:val="auto"/>
              </w:rPr>
            </w:pPr>
          </w:p>
        </w:tc>
        <w:tc>
          <w:tcPr>
            <w:tcW w:w="100" w:type="dxa"/>
            <w:vAlign w:val="bottom"/>
            <w:tcBorders>
              <w:top w:val="single" w:sz="8" w:color="231F20"/>
              <w:bottom w:val="single" w:sz="8" w:color="231F20"/>
            </w:tcBorders>
            <w:shd w:val="clear" w:color="auto" w:fill="FDFDFC"/>
          </w:tcPr>
          <w:p>
            <w:pPr>
              <w:spacing w:after="0"/>
              <w:rPr>
                <w:sz w:val="12"/>
                <w:szCs w:val="12"/>
                <w:color w:val="auto"/>
              </w:rPr>
            </w:pPr>
          </w:p>
        </w:tc>
        <w:tc>
          <w:tcPr>
            <w:tcW w:w="1420" w:type="dxa"/>
            <w:vAlign w:val="bottom"/>
            <w:tcBorders>
              <w:top w:val="single" w:sz="8" w:color="231F20"/>
              <w:bottom w:val="single" w:sz="8" w:color="231F20"/>
            </w:tcBorders>
            <w:shd w:val="clear" w:color="auto" w:fill="FDFDFC"/>
          </w:tcPr>
          <w:p>
            <w:pPr>
              <w:jc w:val="right"/>
              <w:spacing w:after="0" w:line="144" w:lineRule="exact"/>
              <w:rPr>
                <w:sz w:val="20"/>
                <w:szCs w:val="20"/>
                <w:color w:val="auto"/>
              </w:rPr>
            </w:pPr>
            <w:r>
              <w:rPr>
                <w:rFonts w:ascii="Times New Roman" w:cs="Times New Roman" w:eastAsia="Times New Roman" w:hAnsi="Times New Roman"/>
                <w:sz w:val="15"/>
                <w:szCs w:val="15"/>
                <w:color w:val="231F20"/>
              </w:rPr>
              <w:t>(236,788)</w:t>
            </w:r>
          </w:p>
        </w:tc>
        <w:tc>
          <w:tcPr>
            <w:tcW w:w="240" w:type="dxa"/>
            <w:vAlign w:val="bottom"/>
            <w:tcBorders>
              <w:top w:val="single" w:sz="8" w:color="D0EBF2"/>
              <w:bottom w:val="single" w:sz="8" w:color="D0EBF2"/>
            </w:tcBorders>
            <w:shd w:val="clear" w:color="auto" w:fill="FDFDFC"/>
          </w:tcPr>
          <w:p>
            <w:pPr>
              <w:spacing w:after="0"/>
              <w:rPr>
                <w:sz w:val="12"/>
                <w:szCs w:val="12"/>
                <w:color w:val="auto"/>
              </w:rPr>
            </w:pPr>
          </w:p>
        </w:tc>
        <w:tc>
          <w:tcPr>
            <w:tcW w:w="80" w:type="dxa"/>
            <w:vAlign w:val="bottom"/>
            <w:tcBorders>
              <w:top w:val="single" w:sz="8" w:color="231F20"/>
              <w:bottom w:val="single" w:sz="8" w:color="231F20"/>
            </w:tcBorders>
            <w:shd w:val="clear" w:color="auto" w:fill="FDFDFC"/>
          </w:tcPr>
          <w:p>
            <w:pPr>
              <w:spacing w:after="0"/>
              <w:rPr>
                <w:sz w:val="12"/>
                <w:szCs w:val="12"/>
                <w:color w:val="auto"/>
              </w:rPr>
            </w:pPr>
          </w:p>
        </w:tc>
        <w:tc>
          <w:tcPr>
            <w:tcW w:w="1380" w:type="dxa"/>
            <w:vAlign w:val="bottom"/>
            <w:tcBorders>
              <w:top w:val="single" w:sz="8" w:color="231F20"/>
              <w:bottom w:val="single" w:sz="8" w:color="231F20"/>
            </w:tcBorders>
            <w:shd w:val="clear" w:color="auto" w:fill="FDFDFC"/>
          </w:tcPr>
          <w:p>
            <w:pPr>
              <w:jc w:val="right"/>
              <w:spacing w:after="0" w:line="144" w:lineRule="exact"/>
              <w:rPr>
                <w:sz w:val="20"/>
                <w:szCs w:val="20"/>
                <w:color w:val="auto"/>
              </w:rPr>
            </w:pPr>
            <w:r>
              <w:rPr>
                <w:rFonts w:ascii="Times New Roman" w:cs="Times New Roman" w:eastAsia="Times New Roman" w:hAnsi="Times New Roman"/>
                <w:sz w:val="15"/>
                <w:szCs w:val="15"/>
                <w:color w:val="231F20"/>
              </w:rPr>
              <w:t>(224,532</w:t>
            </w:r>
          </w:p>
        </w:tc>
        <w:tc>
          <w:tcPr>
            <w:tcW w:w="100" w:type="dxa"/>
            <w:vAlign w:val="bottom"/>
            <w:tcBorders>
              <w:top w:val="single" w:sz="8" w:color="D0EBF2"/>
              <w:bottom w:val="single" w:sz="8" w:color="D0EBF2"/>
            </w:tcBorders>
            <w:shd w:val="clear" w:color="auto" w:fill="FDFDFC"/>
          </w:tcPr>
          <w:p>
            <w:pPr>
              <w:jc w:val="right"/>
              <w:ind w:right="22"/>
              <w:spacing w:after="0"/>
              <w:rPr>
                <w:sz w:val="20"/>
                <w:szCs w:val="20"/>
                <w:color w:val="auto"/>
              </w:rPr>
            </w:pPr>
            <w:r>
              <w:rPr>
                <w:rFonts w:ascii="Times New Roman" w:cs="Times New Roman" w:eastAsia="Times New Roman" w:hAnsi="Times New Roman"/>
                <w:sz w:val="8"/>
                <w:szCs w:val="8"/>
                <w:color w:val="231F20"/>
                <w:highlight w:val="white"/>
                <w:w w:val="73"/>
              </w:rPr>
              <w:t>)</w:t>
            </w:r>
          </w:p>
        </w:tc>
        <w:tc>
          <w:tcPr>
            <w:tcW w:w="0" w:type="dxa"/>
            <w:vAlign w:val="bottom"/>
          </w:tcPr>
          <w:p>
            <w:pPr>
              <w:spacing w:after="0"/>
              <w:rPr>
                <w:sz w:val="1"/>
                <w:szCs w:val="1"/>
                <w:color w:val="auto"/>
              </w:rPr>
            </w:pPr>
          </w:p>
        </w:tc>
      </w:tr>
      <w:tr>
        <w:trPr>
          <w:trHeight w:val="163"/>
        </w:trPr>
        <w:tc>
          <w:tcPr>
            <w:tcW w:w="5100" w:type="dxa"/>
            <w:vAlign w:val="bottom"/>
            <w:shd w:val="clear" w:color="auto" w:fill="D0EBF2"/>
          </w:tcPr>
          <w:p>
            <w:pPr>
              <w:spacing w:after="0" w:line="164" w:lineRule="exact"/>
              <w:rPr>
                <w:sz w:val="20"/>
                <w:szCs w:val="20"/>
                <w:color w:val="auto"/>
              </w:rPr>
            </w:pPr>
            <w:r>
              <w:rPr>
                <w:rFonts w:ascii="Times New Roman" w:cs="Times New Roman" w:eastAsia="Times New Roman" w:hAnsi="Times New Roman"/>
                <w:sz w:val="15"/>
                <w:szCs w:val="15"/>
                <w:b w:val="1"/>
                <w:bCs w:val="1"/>
                <w:color w:val="231F20"/>
              </w:rPr>
              <w:t>Cash Flows from Financing Activities</w:t>
            </w:r>
          </w:p>
        </w:tc>
        <w:tc>
          <w:tcPr>
            <w:tcW w:w="80" w:type="dxa"/>
            <w:vAlign w:val="bottom"/>
            <w:shd w:val="clear" w:color="auto" w:fill="D0EBF2"/>
          </w:tcPr>
          <w:p>
            <w:pPr>
              <w:spacing w:after="0"/>
              <w:rPr>
                <w:sz w:val="14"/>
                <w:szCs w:val="14"/>
                <w:color w:val="auto"/>
              </w:rPr>
            </w:pPr>
          </w:p>
        </w:tc>
        <w:tc>
          <w:tcPr>
            <w:tcW w:w="100" w:type="dxa"/>
            <w:vAlign w:val="bottom"/>
            <w:shd w:val="clear" w:color="auto" w:fill="D0EBF2"/>
          </w:tcPr>
          <w:p>
            <w:pPr>
              <w:spacing w:after="0"/>
              <w:rPr>
                <w:sz w:val="14"/>
                <w:szCs w:val="14"/>
                <w:color w:val="auto"/>
              </w:rPr>
            </w:pPr>
          </w:p>
        </w:tc>
        <w:tc>
          <w:tcPr>
            <w:tcW w:w="1380" w:type="dxa"/>
            <w:vAlign w:val="bottom"/>
            <w:shd w:val="clear" w:color="auto" w:fill="D0EBF2"/>
          </w:tcPr>
          <w:p>
            <w:pPr>
              <w:spacing w:after="0"/>
              <w:rPr>
                <w:sz w:val="14"/>
                <w:szCs w:val="14"/>
                <w:color w:val="auto"/>
              </w:rPr>
            </w:pPr>
          </w:p>
        </w:tc>
        <w:tc>
          <w:tcPr>
            <w:tcW w:w="100" w:type="dxa"/>
            <w:vAlign w:val="bottom"/>
            <w:shd w:val="clear" w:color="auto" w:fill="D0EBF2"/>
          </w:tcPr>
          <w:p>
            <w:pPr>
              <w:spacing w:after="0"/>
              <w:rPr>
                <w:sz w:val="14"/>
                <w:szCs w:val="14"/>
                <w:color w:val="auto"/>
              </w:rPr>
            </w:pPr>
          </w:p>
        </w:tc>
        <w:tc>
          <w:tcPr>
            <w:tcW w:w="120" w:type="dxa"/>
            <w:vAlign w:val="bottom"/>
            <w:shd w:val="clear" w:color="auto" w:fill="D0EBF2"/>
          </w:tcPr>
          <w:p>
            <w:pPr>
              <w:spacing w:after="0"/>
              <w:rPr>
                <w:sz w:val="14"/>
                <w:szCs w:val="14"/>
                <w:color w:val="auto"/>
              </w:rPr>
            </w:pPr>
          </w:p>
        </w:tc>
        <w:tc>
          <w:tcPr>
            <w:tcW w:w="100" w:type="dxa"/>
            <w:vAlign w:val="bottom"/>
            <w:shd w:val="clear" w:color="auto" w:fill="D0EBF2"/>
          </w:tcPr>
          <w:p>
            <w:pPr>
              <w:spacing w:after="0"/>
              <w:rPr>
                <w:sz w:val="14"/>
                <w:szCs w:val="14"/>
                <w:color w:val="auto"/>
              </w:rPr>
            </w:pPr>
          </w:p>
        </w:tc>
        <w:tc>
          <w:tcPr>
            <w:tcW w:w="1420" w:type="dxa"/>
            <w:vAlign w:val="bottom"/>
            <w:shd w:val="clear" w:color="auto" w:fill="D0EBF2"/>
          </w:tcPr>
          <w:p>
            <w:pPr>
              <w:spacing w:after="0"/>
              <w:rPr>
                <w:sz w:val="14"/>
                <w:szCs w:val="14"/>
                <w:color w:val="auto"/>
              </w:rPr>
            </w:pPr>
          </w:p>
        </w:tc>
        <w:tc>
          <w:tcPr>
            <w:tcW w:w="240" w:type="dxa"/>
            <w:vAlign w:val="bottom"/>
            <w:shd w:val="clear" w:color="auto" w:fill="D0EBF2"/>
          </w:tcPr>
          <w:p>
            <w:pPr>
              <w:spacing w:after="0"/>
              <w:rPr>
                <w:sz w:val="14"/>
                <w:szCs w:val="14"/>
                <w:color w:val="auto"/>
              </w:rPr>
            </w:pPr>
          </w:p>
        </w:tc>
        <w:tc>
          <w:tcPr>
            <w:tcW w:w="80" w:type="dxa"/>
            <w:vAlign w:val="bottom"/>
            <w:shd w:val="clear" w:color="auto" w:fill="D0EBF2"/>
          </w:tcPr>
          <w:p>
            <w:pPr>
              <w:spacing w:after="0"/>
              <w:rPr>
                <w:sz w:val="14"/>
                <w:szCs w:val="14"/>
                <w:color w:val="auto"/>
              </w:rPr>
            </w:pPr>
          </w:p>
        </w:tc>
        <w:tc>
          <w:tcPr>
            <w:tcW w:w="1380" w:type="dxa"/>
            <w:vAlign w:val="bottom"/>
            <w:shd w:val="clear" w:color="auto" w:fill="D0EBF2"/>
          </w:tcPr>
          <w:p>
            <w:pPr>
              <w:spacing w:after="0"/>
              <w:rPr>
                <w:sz w:val="14"/>
                <w:szCs w:val="14"/>
                <w:color w:val="auto"/>
              </w:rPr>
            </w:pPr>
          </w:p>
        </w:tc>
        <w:tc>
          <w:tcPr>
            <w:tcW w:w="100" w:type="dxa"/>
            <w:vAlign w:val="bottom"/>
            <w:shd w:val="clear" w:color="auto" w:fill="D0EBF2"/>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5100" w:type="dxa"/>
            <w:vAlign w:val="bottom"/>
            <w:shd w:val="clear" w:color="auto" w:fill="FDFDFC"/>
          </w:tcPr>
          <w:p>
            <w:pPr>
              <w:spacing w:after="0"/>
              <w:rPr>
                <w:sz w:val="20"/>
                <w:szCs w:val="20"/>
                <w:color w:val="auto"/>
              </w:rPr>
            </w:pPr>
            <w:r>
              <w:rPr>
                <w:rFonts w:ascii="Times New Roman" w:cs="Times New Roman" w:eastAsia="Times New Roman" w:hAnsi="Times New Roman"/>
                <w:sz w:val="15"/>
                <w:szCs w:val="15"/>
                <w:color w:val="231F20"/>
              </w:rPr>
              <w:t>Borrowings on debt</w:t>
            </w:r>
          </w:p>
        </w:tc>
        <w:tc>
          <w:tcPr>
            <w:tcW w:w="80" w:type="dxa"/>
            <w:vAlign w:val="bottom"/>
            <w:shd w:val="clear" w:color="auto" w:fill="FDFDFC"/>
          </w:tcPr>
          <w:p>
            <w:pPr>
              <w:spacing w:after="0"/>
              <w:rPr>
                <w:sz w:val="15"/>
                <w:szCs w:val="15"/>
                <w:color w:val="auto"/>
              </w:rPr>
            </w:pPr>
          </w:p>
        </w:tc>
        <w:tc>
          <w:tcPr>
            <w:tcW w:w="100" w:type="dxa"/>
            <w:vAlign w:val="bottom"/>
            <w:shd w:val="clear" w:color="auto" w:fill="FDFDFC"/>
          </w:tcPr>
          <w:p>
            <w:pPr>
              <w:spacing w:after="0"/>
              <w:rPr>
                <w:sz w:val="15"/>
                <w:szCs w:val="15"/>
                <w:color w:val="auto"/>
              </w:rPr>
            </w:pPr>
          </w:p>
        </w:tc>
        <w:tc>
          <w:tcPr>
            <w:tcW w:w="1380" w:type="dxa"/>
            <w:vAlign w:val="bottom"/>
            <w:shd w:val="clear" w:color="auto" w:fill="FDFDFC"/>
          </w:tcPr>
          <w:p>
            <w:pPr>
              <w:jc w:val="right"/>
              <w:spacing w:after="0"/>
              <w:rPr>
                <w:sz w:val="20"/>
                <w:szCs w:val="20"/>
                <w:color w:val="auto"/>
              </w:rPr>
            </w:pPr>
            <w:r>
              <w:rPr>
                <w:rFonts w:ascii="Times New Roman" w:cs="Times New Roman" w:eastAsia="Times New Roman" w:hAnsi="Times New Roman"/>
                <w:sz w:val="15"/>
                <w:szCs w:val="15"/>
                <w:color w:val="231F20"/>
              </w:rPr>
              <w:t>1,784,906</w:t>
            </w:r>
          </w:p>
        </w:tc>
        <w:tc>
          <w:tcPr>
            <w:tcW w:w="100" w:type="dxa"/>
            <w:vAlign w:val="bottom"/>
            <w:shd w:val="clear" w:color="auto" w:fill="FDFDFC"/>
          </w:tcPr>
          <w:p>
            <w:pPr>
              <w:spacing w:after="0"/>
              <w:rPr>
                <w:sz w:val="15"/>
                <w:szCs w:val="15"/>
                <w:color w:val="auto"/>
              </w:rPr>
            </w:pPr>
          </w:p>
        </w:tc>
        <w:tc>
          <w:tcPr>
            <w:tcW w:w="120" w:type="dxa"/>
            <w:vAlign w:val="bottom"/>
            <w:shd w:val="clear" w:color="auto" w:fill="FDFDFC"/>
          </w:tcPr>
          <w:p>
            <w:pPr>
              <w:spacing w:after="0"/>
              <w:rPr>
                <w:sz w:val="15"/>
                <w:szCs w:val="15"/>
                <w:color w:val="auto"/>
              </w:rPr>
            </w:pPr>
          </w:p>
        </w:tc>
        <w:tc>
          <w:tcPr>
            <w:tcW w:w="100" w:type="dxa"/>
            <w:vAlign w:val="bottom"/>
            <w:shd w:val="clear" w:color="auto" w:fill="FDFDFC"/>
          </w:tcPr>
          <w:p>
            <w:pPr>
              <w:spacing w:after="0"/>
              <w:rPr>
                <w:sz w:val="15"/>
                <w:szCs w:val="15"/>
                <w:color w:val="auto"/>
              </w:rPr>
            </w:pPr>
          </w:p>
        </w:tc>
        <w:tc>
          <w:tcPr>
            <w:tcW w:w="1420" w:type="dxa"/>
            <w:vAlign w:val="bottom"/>
            <w:shd w:val="clear" w:color="auto" w:fill="FDFDFC"/>
          </w:tcPr>
          <w:p>
            <w:pPr>
              <w:jc w:val="right"/>
              <w:spacing w:after="0"/>
              <w:rPr>
                <w:sz w:val="20"/>
                <w:szCs w:val="20"/>
                <w:color w:val="auto"/>
              </w:rPr>
            </w:pPr>
            <w:r>
              <w:rPr>
                <w:rFonts w:ascii="Times New Roman" w:cs="Times New Roman" w:eastAsia="Times New Roman" w:hAnsi="Times New Roman"/>
                <w:sz w:val="15"/>
                <w:szCs w:val="15"/>
                <w:color w:val="231F20"/>
              </w:rPr>
              <w:t>1,546,233</w:t>
            </w:r>
          </w:p>
        </w:tc>
        <w:tc>
          <w:tcPr>
            <w:tcW w:w="240" w:type="dxa"/>
            <w:vAlign w:val="bottom"/>
            <w:shd w:val="clear" w:color="auto" w:fill="FDFDFC"/>
          </w:tcPr>
          <w:p>
            <w:pPr>
              <w:spacing w:after="0"/>
              <w:rPr>
                <w:sz w:val="15"/>
                <w:szCs w:val="15"/>
                <w:color w:val="auto"/>
              </w:rPr>
            </w:pPr>
          </w:p>
        </w:tc>
        <w:tc>
          <w:tcPr>
            <w:tcW w:w="80" w:type="dxa"/>
            <w:vAlign w:val="bottom"/>
            <w:shd w:val="clear" w:color="auto" w:fill="FDFDFC"/>
          </w:tcPr>
          <w:p>
            <w:pPr>
              <w:spacing w:after="0"/>
              <w:rPr>
                <w:sz w:val="15"/>
                <w:szCs w:val="15"/>
                <w:color w:val="auto"/>
              </w:rPr>
            </w:pPr>
          </w:p>
        </w:tc>
        <w:tc>
          <w:tcPr>
            <w:tcW w:w="1380" w:type="dxa"/>
            <w:vAlign w:val="bottom"/>
            <w:shd w:val="clear" w:color="auto" w:fill="FDFDFC"/>
          </w:tcPr>
          <w:p>
            <w:pPr>
              <w:jc w:val="right"/>
              <w:spacing w:after="0"/>
              <w:rPr>
                <w:sz w:val="20"/>
                <w:szCs w:val="20"/>
                <w:color w:val="auto"/>
              </w:rPr>
            </w:pPr>
            <w:r>
              <w:rPr>
                <w:rFonts w:ascii="Times New Roman" w:cs="Times New Roman" w:eastAsia="Times New Roman" w:hAnsi="Times New Roman"/>
                <w:sz w:val="15"/>
                <w:szCs w:val="15"/>
                <w:color w:val="231F20"/>
              </w:rPr>
              <w:t>1,329,868</w:t>
            </w:r>
          </w:p>
        </w:tc>
        <w:tc>
          <w:tcPr>
            <w:tcW w:w="100" w:type="dxa"/>
            <w:vAlign w:val="bottom"/>
            <w:shd w:val="clear" w:color="auto" w:fill="FDFDFC"/>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5100" w:type="dxa"/>
            <w:vAlign w:val="bottom"/>
            <w:shd w:val="clear" w:color="auto" w:fill="D0EBF2"/>
          </w:tcPr>
          <w:p>
            <w:pPr>
              <w:spacing w:after="0"/>
              <w:rPr>
                <w:sz w:val="20"/>
                <w:szCs w:val="20"/>
                <w:color w:val="auto"/>
              </w:rPr>
            </w:pPr>
            <w:r>
              <w:rPr>
                <w:rFonts w:ascii="Times New Roman" w:cs="Times New Roman" w:eastAsia="Times New Roman" w:hAnsi="Times New Roman"/>
                <w:sz w:val="15"/>
                <w:szCs w:val="15"/>
                <w:color w:val="231F20"/>
              </w:rPr>
              <w:t>Repayments on debt</w:t>
            </w:r>
          </w:p>
        </w:tc>
        <w:tc>
          <w:tcPr>
            <w:tcW w:w="80" w:type="dxa"/>
            <w:vAlign w:val="bottom"/>
            <w:shd w:val="clear" w:color="auto" w:fill="D0EBF2"/>
          </w:tcPr>
          <w:p>
            <w:pPr>
              <w:spacing w:after="0"/>
              <w:rPr>
                <w:sz w:val="15"/>
                <w:szCs w:val="15"/>
                <w:color w:val="auto"/>
              </w:rPr>
            </w:pPr>
          </w:p>
        </w:tc>
        <w:tc>
          <w:tcPr>
            <w:tcW w:w="100" w:type="dxa"/>
            <w:vAlign w:val="bottom"/>
            <w:shd w:val="clear" w:color="auto" w:fill="D0EBF2"/>
          </w:tcPr>
          <w:p>
            <w:pPr>
              <w:spacing w:after="0"/>
              <w:rPr>
                <w:sz w:val="15"/>
                <w:szCs w:val="15"/>
                <w:color w:val="auto"/>
              </w:rPr>
            </w:pPr>
          </w:p>
        </w:tc>
        <w:tc>
          <w:tcPr>
            <w:tcW w:w="1480" w:type="dxa"/>
            <w:vAlign w:val="bottom"/>
            <w:gridSpan w:val="2"/>
            <w:shd w:val="clear" w:color="auto" w:fill="D0EBF2"/>
          </w:tcPr>
          <w:p>
            <w:pPr>
              <w:jc w:val="right"/>
              <w:ind w:right="22"/>
              <w:spacing w:after="0"/>
              <w:rPr>
                <w:sz w:val="20"/>
                <w:szCs w:val="20"/>
                <w:color w:val="auto"/>
              </w:rPr>
            </w:pPr>
            <w:r>
              <w:rPr>
                <w:rFonts w:ascii="Times New Roman" w:cs="Times New Roman" w:eastAsia="Times New Roman" w:hAnsi="Times New Roman"/>
                <w:sz w:val="15"/>
                <w:szCs w:val="15"/>
                <w:color w:val="231F20"/>
              </w:rPr>
              <w:t>(1,653,061)</w:t>
            </w:r>
          </w:p>
        </w:tc>
        <w:tc>
          <w:tcPr>
            <w:tcW w:w="120" w:type="dxa"/>
            <w:vAlign w:val="bottom"/>
            <w:shd w:val="clear" w:color="auto" w:fill="D0EBF2"/>
          </w:tcPr>
          <w:p>
            <w:pPr>
              <w:spacing w:after="0"/>
              <w:rPr>
                <w:sz w:val="15"/>
                <w:szCs w:val="15"/>
                <w:color w:val="auto"/>
              </w:rPr>
            </w:pPr>
          </w:p>
        </w:tc>
        <w:tc>
          <w:tcPr>
            <w:tcW w:w="100" w:type="dxa"/>
            <w:vAlign w:val="bottom"/>
            <w:shd w:val="clear" w:color="auto" w:fill="D0EBF2"/>
          </w:tcPr>
          <w:p>
            <w:pPr>
              <w:spacing w:after="0"/>
              <w:rPr>
                <w:sz w:val="15"/>
                <w:szCs w:val="15"/>
                <w:color w:val="auto"/>
              </w:rPr>
            </w:pPr>
          </w:p>
        </w:tc>
        <w:tc>
          <w:tcPr>
            <w:tcW w:w="1660" w:type="dxa"/>
            <w:vAlign w:val="bottom"/>
            <w:gridSpan w:val="2"/>
            <w:shd w:val="clear" w:color="auto" w:fill="D0EBF2"/>
          </w:tcPr>
          <w:p>
            <w:pPr>
              <w:jc w:val="right"/>
              <w:ind w:right="180"/>
              <w:spacing w:after="0"/>
              <w:rPr>
                <w:sz w:val="20"/>
                <w:szCs w:val="20"/>
                <w:color w:val="auto"/>
              </w:rPr>
            </w:pPr>
            <w:r>
              <w:rPr>
                <w:rFonts w:ascii="Times New Roman" w:cs="Times New Roman" w:eastAsia="Times New Roman" w:hAnsi="Times New Roman"/>
                <w:sz w:val="15"/>
                <w:szCs w:val="15"/>
                <w:color w:val="231F20"/>
              </w:rPr>
              <w:t>(1,233,264)</w:t>
            </w:r>
          </w:p>
        </w:tc>
        <w:tc>
          <w:tcPr>
            <w:tcW w:w="80" w:type="dxa"/>
            <w:vAlign w:val="bottom"/>
            <w:shd w:val="clear" w:color="auto" w:fill="D0EBF2"/>
          </w:tcPr>
          <w:p>
            <w:pPr>
              <w:spacing w:after="0"/>
              <w:rPr>
                <w:sz w:val="15"/>
                <w:szCs w:val="15"/>
                <w:color w:val="auto"/>
              </w:rPr>
            </w:pPr>
          </w:p>
        </w:tc>
        <w:tc>
          <w:tcPr>
            <w:tcW w:w="1480" w:type="dxa"/>
            <w:vAlign w:val="bottom"/>
            <w:gridSpan w:val="2"/>
            <w:shd w:val="clear" w:color="auto" w:fill="D0EBF2"/>
          </w:tcPr>
          <w:p>
            <w:pPr>
              <w:jc w:val="right"/>
              <w:ind w:right="22"/>
              <w:spacing w:after="0"/>
              <w:rPr>
                <w:sz w:val="20"/>
                <w:szCs w:val="20"/>
                <w:color w:val="auto"/>
              </w:rPr>
            </w:pPr>
            <w:r>
              <w:rPr>
                <w:rFonts w:ascii="Times New Roman" w:cs="Times New Roman" w:eastAsia="Times New Roman" w:hAnsi="Times New Roman"/>
                <w:sz w:val="15"/>
                <w:szCs w:val="15"/>
                <w:color w:val="231F20"/>
              </w:rPr>
              <w:t>(918,113)</w:t>
            </w:r>
          </w:p>
        </w:tc>
        <w:tc>
          <w:tcPr>
            <w:tcW w:w="0" w:type="dxa"/>
            <w:vAlign w:val="bottom"/>
          </w:tcPr>
          <w:p>
            <w:pPr>
              <w:spacing w:after="0"/>
              <w:rPr>
                <w:sz w:val="1"/>
                <w:szCs w:val="1"/>
                <w:color w:val="auto"/>
              </w:rPr>
            </w:pPr>
          </w:p>
        </w:tc>
      </w:tr>
      <w:tr>
        <w:trPr>
          <w:trHeight w:val="174"/>
        </w:trPr>
        <w:tc>
          <w:tcPr>
            <w:tcW w:w="5100" w:type="dxa"/>
            <w:vAlign w:val="bottom"/>
            <w:shd w:val="clear" w:color="auto" w:fill="FDFDFC"/>
          </w:tcPr>
          <w:p>
            <w:pPr>
              <w:spacing w:after="0"/>
              <w:rPr>
                <w:sz w:val="20"/>
                <w:szCs w:val="20"/>
                <w:color w:val="auto"/>
              </w:rPr>
            </w:pPr>
            <w:r>
              <w:rPr>
                <w:rFonts w:ascii="Times New Roman" w:cs="Times New Roman" w:eastAsia="Times New Roman" w:hAnsi="Times New Roman"/>
                <w:sz w:val="15"/>
                <w:szCs w:val="15"/>
                <w:color w:val="231F20"/>
              </w:rPr>
              <w:t>Deferred financing costs</w:t>
            </w:r>
          </w:p>
        </w:tc>
        <w:tc>
          <w:tcPr>
            <w:tcW w:w="80" w:type="dxa"/>
            <w:vAlign w:val="bottom"/>
            <w:shd w:val="clear" w:color="auto" w:fill="FDFDFC"/>
          </w:tcPr>
          <w:p>
            <w:pPr>
              <w:spacing w:after="0"/>
              <w:rPr>
                <w:sz w:val="15"/>
                <w:szCs w:val="15"/>
                <w:color w:val="auto"/>
              </w:rPr>
            </w:pPr>
          </w:p>
        </w:tc>
        <w:tc>
          <w:tcPr>
            <w:tcW w:w="100" w:type="dxa"/>
            <w:vAlign w:val="bottom"/>
            <w:shd w:val="clear" w:color="auto" w:fill="FDFDFC"/>
          </w:tcPr>
          <w:p>
            <w:pPr>
              <w:spacing w:after="0"/>
              <w:rPr>
                <w:sz w:val="15"/>
                <w:szCs w:val="15"/>
                <w:color w:val="auto"/>
              </w:rPr>
            </w:pPr>
          </w:p>
        </w:tc>
        <w:tc>
          <w:tcPr>
            <w:tcW w:w="1480" w:type="dxa"/>
            <w:vAlign w:val="bottom"/>
            <w:gridSpan w:val="2"/>
            <w:shd w:val="clear" w:color="auto" w:fill="FDFDFC"/>
          </w:tcPr>
          <w:p>
            <w:pPr>
              <w:jc w:val="right"/>
              <w:ind w:right="22"/>
              <w:spacing w:after="0"/>
              <w:rPr>
                <w:sz w:val="20"/>
                <w:szCs w:val="20"/>
                <w:color w:val="auto"/>
              </w:rPr>
            </w:pPr>
            <w:r>
              <w:rPr>
                <w:rFonts w:ascii="Times New Roman" w:cs="Times New Roman" w:eastAsia="Times New Roman" w:hAnsi="Times New Roman"/>
                <w:sz w:val="15"/>
                <w:szCs w:val="15"/>
                <w:color w:val="231F20"/>
              </w:rPr>
              <w:t>(8,810)</w:t>
            </w:r>
          </w:p>
        </w:tc>
        <w:tc>
          <w:tcPr>
            <w:tcW w:w="120" w:type="dxa"/>
            <w:vAlign w:val="bottom"/>
            <w:shd w:val="clear" w:color="auto" w:fill="FDFDFC"/>
          </w:tcPr>
          <w:p>
            <w:pPr>
              <w:spacing w:after="0"/>
              <w:rPr>
                <w:sz w:val="15"/>
                <w:szCs w:val="15"/>
                <w:color w:val="auto"/>
              </w:rPr>
            </w:pPr>
          </w:p>
        </w:tc>
        <w:tc>
          <w:tcPr>
            <w:tcW w:w="100" w:type="dxa"/>
            <w:vAlign w:val="bottom"/>
            <w:shd w:val="clear" w:color="auto" w:fill="FDFDFC"/>
          </w:tcPr>
          <w:p>
            <w:pPr>
              <w:spacing w:after="0"/>
              <w:rPr>
                <w:sz w:val="15"/>
                <w:szCs w:val="15"/>
                <w:color w:val="auto"/>
              </w:rPr>
            </w:pPr>
          </w:p>
        </w:tc>
        <w:tc>
          <w:tcPr>
            <w:tcW w:w="1660" w:type="dxa"/>
            <w:vAlign w:val="bottom"/>
            <w:gridSpan w:val="2"/>
            <w:shd w:val="clear" w:color="auto" w:fill="FDFDFC"/>
          </w:tcPr>
          <w:p>
            <w:pPr>
              <w:jc w:val="right"/>
              <w:ind w:right="180"/>
              <w:spacing w:after="0"/>
              <w:rPr>
                <w:sz w:val="20"/>
                <w:szCs w:val="20"/>
                <w:color w:val="auto"/>
              </w:rPr>
            </w:pPr>
            <w:r>
              <w:rPr>
                <w:rFonts w:ascii="Times New Roman" w:cs="Times New Roman" w:eastAsia="Times New Roman" w:hAnsi="Times New Roman"/>
                <w:sz w:val="15"/>
                <w:szCs w:val="15"/>
                <w:color w:val="231F20"/>
              </w:rPr>
              <w:t>(9,415)</w:t>
            </w:r>
          </w:p>
        </w:tc>
        <w:tc>
          <w:tcPr>
            <w:tcW w:w="80" w:type="dxa"/>
            <w:vAlign w:val="bottom"/>
            <w:shd w:val="clear" w:color="auto" w:fill="FDFDFC"/>
          </w:tcPr>
          <w:p>
            <w:pPr>
              <w:spacing w:after="0"/>
              <w:rPr>
                <w:sz w:val="15"/>
                <w:szCs w:val="15"/>
                <w:color w:val="auto"/>
              </w:rPr>
            </w:pPr>
          </w:p>
        </w:tc>
        <w:tc>
          <w:tcPr>
            <w:tcW w:w="1480" w:type="dxa"/>
            <w:vAlign w:val="bottom"/>
            <w:gridSpan w:val="2"/>
            <w:shd w:val="clear" w:color="auto" w:fill="FDFDFC"/>
          </w:tcPr>
          <w:p>
            <w:pPr>
              <w:jc w:val="right"/>
              <w:ind w:right="22"/>
              <w:spacing w:after="0"/>
              <w:rPr>
                <w:sz w:val="20"/>
                <w:szCs w:val="20"/>
                <w:color w:val="auto"/>
              </w:rPr>
            </w:pPr>
            <w:r>
              <w:rPr>
                <w:rFonts w:ascii="Times New Roman" w:cs="Times New Roman" w:eastAsia="Times New Roman" w:hAnsi="Times New Roman"/>
                <w:sz w:val="15"/>
                <w:szCs w:val="15"/>
                <w:color w:val="231F20"/>
              </w:rPr>
              <w:t>(4,296)</w:t>
            </w:r>
          </w:p>
        </w:tc>
        <w:tc>
          <w:tcPr>
            <w:tcW w:w="0" w:type="dxa"/>
            <w:vAlign w:val="bottom"/>
          </w:tcPr>
          <w:p>
            <w:pPr>
              <w:spacing w:after="0"/>
              <w:rPr>
                <w:sz w:val="1"/>
                <w:szCs w:val="1"/>
                <w:color w:val="auto"/>
              </w:rPr>
            </w:pPr>
          </w:p>
        </w:tc>
      </w:tr>
      <w:tr>
        <w:trPr>
          <w:trHeight w:val="158"/>
        </w:trPr>
        <w:tc>
          <w:tcPr>
            <w:tcW w:w="5100" w:type="dxa"/>
            <w:vAlign w:val="bottom"/>
            <w:shd w:val="clear" w:color="auto" w:fill="D0EBF2"/>
          </w:tcPr>
          <w:p>
            <w:pPr>
              <w:spacing w:after="0" w:line="159" w:lineRule="exact"/>
              <w:rPr>
                <w:sz w:val="20"/>
                <w:szCs w:val="20"/>
                <w:color w:val="auto"/>
              </w:rPr>
            </w:pPr>
            <w:r>
              <w:rPr>
                <w:rFonts w:ascii="Times New Roman" w:cs="Times New Roman" w:eastAsia="Times New Roman" w:hAnsi="Times New Roman"/>
                <w:sz w:val="15"/>
                <w:szCs w:val="15"/>
                <w:color w:val="231F20"/>
              </w:rPr>
              <w:t>Proceeds from issuance of common stock, net of offering and</w:t>
            </w:r>
          </w:p>
        </w:tc>
        <w:tc>
          <w:tcPr>
            <w:tcW w:w="80" w:type="dxa"/>
            <w:vAlign w:val="bottom"/>
            <w:shd w:val="clear" w:color="auto" w:fill="D0EBF2"/>
          </w:tcPr>
          <w:p>
            <w:pPr>
              <w:spacing w:after="0"/>
              <w:rPr>
                <w:sz w:val="13"/>
                <w:szCs w:val="13"/>
                <w:color w:val="auto"/>
              </w:rPr>
            </w:pPr>
          </w:p>
        </w:tc>
        <w:tc>
          <w:tcPr>
            <w:tcW w:w="100" w:type="dxa"/>
            <w:vAlign w:val="bottom"/>
            <w:shd w:val="clear" w:color="auto" w:fill="D0EBF2"/>
          </w:tcPr>
          <w:p>
            <w:pPr>
              <w:spacing w:after="0"/>
              <w:rPr>
                <w:sz w:val="13"/>
                <w:szCs w:val="13"/>
                <w:color w:val="auto"/>
              </w:rPr>
            </w:pPr>
          </w:p>
        </w:tc>
        <w:tc>
          <w:tcPr>
            <w:tcW w:w="1380" w:type="dxa"/>
            <w:vAlign w:val="bottom"/>
            <w:vMerge w:val="restart"/>
            <w:shd w:val="clear" w:color="auto" w:fill="D0EBF2"/>
          </w:tcPr>
          <w:p>
            <w:pPr>
              <w:jc w:val="right"/>
              <w:spacing w:after="0"/>
              <w:rPr>
                <w:sz w:val="20"/>
                <w:szCs w:val="20"/>
                <w:color w:val="auto"/>
              </w:rPr>
            </w:pPr>
            <w:r>
              <w:rPr>
                <w:rFonts w:ascii="Times New Roman" w:cs="Times New Roman" w:eastAsia="Times New Roman" w:hAnsi="Times New Roman"/>
                <w:sz w:val="15"/>
                <w:szCs w:val="15"/>
                <w:color w:val="231F20"/>
              </w:rPr>
              <w:t>93,308</w:t>
            </w:r>
          </w:p>
        </w:tc>
        <w:tc>
          <w:tcPr>
            <w:tcW w:w="100" w:type="dxa"/>
            <w:vAlign w:val="bottom"/>
            <w:shd w:val="clear" w:color="auto" w:fill="D0EBF2"/>
          </w:tcPr>
          <w:p>
            <w:pPr>
              <w:spacing w:after="0"/>
              <w:rPr>
                <w:sz w:val="13"/>
                <w:szCs w:val="13"/>
                <w:color w:val="auto"/>
              </w:rPr>
            </w:pPr>
          </w:p>
        </w:tc>
        <w:tc>
          <w:tcPr>
            <w:tcW w:w="120" w:type="dxa"/>
            <w:vAlign w:val="bottom"/>
            <w:shd w:val="clear" w:color="auto" w:fill="D0EBF2"/>
          </w:tcPr>
          <w:p>
            <w:pPr>
              <w:spacing w:after="0"/>
              <w:rPr>
                <w:sz w:val="13"/>
                <w:szCs w:val="13"/>
                <w:color w:val="auto"/>
              </w:rPr>
            </w:pPr>
          </w:p>
        </w:tc>
        <w:tc>
          <w:tcPr>
            <w:tcW w:w="100" w:type="dxa"/>
            <w:vAlign w:val="bottom"/>
            <w:shd w:val="clear" w:color="auto" w:fill="D0EBF2"/>
          </w:tcPr>
          <w:p>
            <w:pPr>
              <w:spacing w:after="0"/>
              <w:rPr>
                <w:sz w:val="13"/>
                <w:szCs w:val="13"/>
                <w:color w:val="auto"/>
              </w:rPr>
            </w:pPr>
          </w:p>
        </w:tc>
        <w:tc>
          <w:tcPr>
            <w:tcW w:w="1420" w:type="dxa"/>
            <w:vAlign w:val="bottom"/>
            <w:vMerge w:val="restart"/>
            <w:shd w:val="clear" w:color="auto" w:fill="D0EBF2"/>
          </w:tcPr>
          <w:p>
            <w:pPr>
              <w:jc w:val="right"/>
              <w:spacing w:after="0"/>
              <w:rPr>
                <w:sz w:val="20"/>
                <w:szCs w:val="20"/>
                <w:color w:val="auto"/>
              </w:rPr>
            </w:pPr>
            <w:r>
              <w:rPr>
                <w:rFonts w:ascii="Times New Roman" w:cs="Times New Roman" w:eastAsia="Times New Roman" w:hAnsi="Times New Roman"/>
                <w:sz w:val="15"/>
                <w:szCs w:val="15"/>
                <w:color w:val="231F20"/>
              </w:rPr>
              <w:t>89,204</w:t>
            </w:r>
          </w:p>
        </w:tc>
        <w:tc>
          <w:tcPr>
            <w:tcW w:w="240" w:type="dxa"/>
            <w:vAlign w:val="bottom"/>
            <w:shd w:val="clear" w:color="auto" w:fill="D0EBF2"/>
          </w:tcPr>
          <w:p>
            <w:pPr>
              <w:spacing w:after="0"/>
              <w:rPr>
                <w:sz w:val="13"/>
                <w:szCs w:val="13"/>
                <w:color w:val="auto"/>
              </w:rPr>
            </w:pPr>
          </w:p>
        </w:tc>
        <w:tc>
          <w:tcPr>
            <w:tcW w:w="80" w:type="dxa"/>
            <w:vAlign w:val="bottom"/>
            <w:shd w:val="clear" w:color="auto" w:fill="D0EBF2"/>
          </w:tcPr>
          <w:p>
            <w:pPr>
              <w:spacing w:after="0"/>
              <w:rPr>
                <w:sz w:val="13"/>
                <w:szCs w:val="13"/>
                <w:color w:val="auto"/>
              </w:rPr>
            </w:pPr>
          </w:p>
        </w:tc>
        <w:tc>
          <w:tcPr>
            <w:tcW w:w="1480" w:type="dxa"/>
            <w:vAlign w:val="bottom"/>
            <w:gridSpan w:val="2"/>
            <w:vMerge w:val="restart"/>
            <w:shd w:val="clear" w:color="auto" w:fill="D0EBF2"/>
          </w:tcPr>
          <w:p>
            <w:pPr>
              <w:jc w:val="right"/>
              <w:ind w:right="82"/>
              <w:spacing w:after="0"/>
              <w:rPr>
                <w:sz w:val="20"/>
                <w:szCs w:val="20"/>
                <w:color w:val="auto"/>
              </w:rPr>
            </w:pPr>
            <w:r>
              <w:rPr>
                <w:rFonts w:ascii="Times New Roman" w:cs="Times New Roman" w:eastAsia="Times New Roman" w:hAnsi="Times New Roman"/>
                <w:sz w:val="15"/>
                <w:szCs w:val="15"/>
                <w:color w:val="231F20"/>
              </w:rPr>
              <w:t>—</w:t>
            </w:r>
          </w:p>
        </w:tc>
        <w:tc>
          <w:tcPr>
            <w:tcW w:w="0" w:type="dxa"/>
            <w:vAlign w:val="bottom"/>
          </w:tcPr>
          <w:p>
            <w:pPr>
              <w:spacing w:after="0"/>
              <w:rPr>
                <w:sz w:val="1"/>
                <w:szCs w:val="1"/>
                <w:color w:val="auto"/>
              </w:rPr>
            </w:pPr>
          </w:p>
        </w:tc>
      </w:tr>
      <w:tr>
        <w:trPr>
          <w:trHeight w:val="189"/>
        </w:trPr>
        <w:tc>
          <w:tcPr>
            <w:tcW w:w="5100" w:type="dxa"/>
            <w:vAlign w:val="bottom"/>
            <w:shd w:val="clear" w:color="auto" w:fill="D0EBF2"/>
          </w:tcPr>
          <w:p>
            <w:pPr>
              <w:ind w:left="120"/>
              <w:spacing w:after="0"/>
              <w:rPr>
                <w:sz w:val="20"/>
                <w:szCs w:val="20"/>
                <w:color w:val="auto"/>
              </w:rPr>
            </w:pPr>
            <w:r>
              <w:rPr>
                <w:rFonts w:ascii="Times New Roman" w:cs="Times New Roman" w:eastAsia="Times New Roman" w:hAnsi="Times New Roman"/>
                <w:sz w:val="15"/>
                <w:szCs w:val="15"/>
                <w:color w:val="231F20"/>
              </w:rPr>
              <w:t>underwriting costs</w:t>
            </w:r>
          </w:p>
        </w:tc>
        <w:tc>
          <w:tcPr>
            <w:tcW w:w="80" w:type="dxa"/>
            <w:vAlign w:val="bottom"/>
            <w:shd w:val="clear" w:color="auto" w:fill="D0EBF2"/>
          </w:tcPr>
          <w:p>
            <w:pPr>
              <w:spacing w:after="0"/>
              <w:rPr>
                <w:sz w:val="16"/>
                <w:szCs w:val="16"/>
                <w:color w:val="auto"/>
              </w:rPr>
            </w:pPr>
          </w:p>
        </w:tc>
        <w:tc>
          <w:tcPr>
            <w:tcW w:w="100" w:type="dxa"/>
            <w:vAlign w:val="bottom"/>
            <w:shd w:val="clear" w:color="auto" w:fill="D0EBF2"/>
          </w:tcPr>
          <w:p>
            <w:pPr>
              <w:spacing w:after="0"/>
              <w:rPr>
                <w:sz w:val="16"/>
                <w:szCs w:val="16"/>
                <w:color w:val="auto"/>
              </w:rPr>
            </w:pPr>
          </w:p>
        </w:tc>
        <w:tc>
          <w:tcPr>
            <w:tcW w:w="1380" w:type="dxa"/>
            <w:vAlign w:val="bottom"/>
            <w:vMerge w:val="continue"/>
            <w:shd w:val="clear" w:color="auto" w:fill="D0EBF2"/>
          </w:tcPr>
          <w:p>
            <w:pPr>
              <w:spacing w:after="0"/>
              <w:rPr>
                <w:sz w:val="16"/>
                <w:szCs w:val="16"/>
                <w:color w:val="auto"/>
              </w:rPr>
            </w:pPr>
          </w:p>
        </w:tc>
        <w:tc>
          <w:tcPr>
            <w:tcW w:w="100" w:type="dxa"/>
            <w:vAlign w:val="bottom"/>
            <w:shd w:val="clear" w:color="auto" w:fill="D0EBF2"/>
          </w:tcPr>
          <w:p>
            <w:pPr>
              <w:spacing w:after="0"/>
              <w:rPr>
                <w:sz w:val="16"/>
                <w:szCs w:val="16"/>
                <w:color w:val="auto"/>
              </w:rPr>
            </w:pPr>
          </w:p>
        </w:tc>
        <w:tc>
          <w:tcPr>
            <w:tcW w:w="120" w:type="dxa"/>
            <w:vAlign w:val="bottom"/>
            <w:shd w:val="clear" w:color="auto" w:fill="D0EBF2"/>
          </w:tcPr>
          <w:p>
            <w:pPr>
              <w:spacing w:after="0"/>
              <w:rPr>
                <w:sz w:val="16"/>
                <w:szCs w:val="16"/>
                <w:color w:val="auto"/>
              </w:rPr>
            </w:pPr>
          </w:p>
        </w:tc>
        <w:tc>
          <w:tcPr>
            <w:tcW w:w="100" w:type="dxa"/>
            <w:vAlign w:val="bottom"/>
            <w:shd w:val="clear" w:color="auto" w:fill="D0EBF2"/>
          </w:tcPr>
          <w:p>
            <w:pPr>
              <w:spacing w:after="0"/>
              <w:rPr>
                <w:sz w:val="16"/>
                <w:szCs w:val="16"/>
                <w:color w:val="auto"/>
              </w:rPr>
            </w:pPr>
          </w:p>
        </w:tc>
        <w:tc>
          <w:tcPr>
            <w:tcW w:w="1420" w:type="dxa"/>
            <w:vAlign w:val="bottom"/>
            <w:vMerge w:val="continue"/>
            <w:shd w:val="clear" w:color="auto" w:fill="D0EBF2"/>
          </w:tcPr>
          <w:p>
            <w:pPr>
              <w:spacing w:after="0"/>
              <w:rPr>
                <w:sz w:val="16"/>
                <w:szCs w:val="16"/>
                <w:color w:val="auto"/>
              </w:rPr>
            </w:pPr>
          </w:p>
        </w:tc>
        <w:tc>
          <w:tcPr>
            <w:tcW w:w="240" w:type="dxa"/>
            <w:vAlign w:val="bottom"/>
            <w:shd w:val="clear" w:color="auto" w:fill="D0EBF2"/>
          </w:tcPr>
          <w:p>
            <w:pPr>
              <w:spacing w:after="0"/>
              <w:rPr>
                <w:sz w:val="16"/>
                <w:szCs w:val="16"/>
                <w:color w:val="auto"/>
              </w:rPr>
            </w:pPr>
          </w:p>
        </w:tc>
        <w:tc>
          <w:tcPr>
            <w:tcW w:w="80" w:type="dxa"/>
            <w:vAlign w:val="bottom"/>
            <w:shd w:val="clear" w:color="auto" w:fill="D0EBF2"/>
          </w:tcPr>
          <w:p>
            <w:pPr>
              <w:spacing w:after="0"/>
              <w:rPr>
                <w:sz w:val="16"/>
                <w:szCs w:val="16"/>
                <w:color w:val="auto"/>
              </w:rPr>
            </w:pPr>
          </w:p>
        </w:tc>
        <w:tc>
          <w:tcPr>
            <w:tcW w:w="1480" w:type="dxa"/>
            <w:vAlign w:val="bottom"/>
            <w:gridSpan w:val="2"/>
            <w:vMerge w:val="continue"/>
            <w:shd w:val="clear" w:color="auto" w:fill="D0EBF2"/>
          </w:tcPr>
          <w:p>
            <w:pPr>
              <w:spacing w:after="0"/>
              <w:rPr>
                <w:sz w:val="16"/>
                <w:szCs w:val="16"/>
                <w:color w:val="auto"/>
              </w:rPr>
            </w:pPr>
          </w:p>
        </w:tc>
        <w:tc>
          <w:tcPr>
            <w:tcW w:w="0" w:type="dxa"/>
            <w:vAlign w:val="bottom"/>
          </w:tcPr>
          <w:p>
            <w:pPr>
              <w:spacing w:after="0"/>
              <w:rPr>
                <w:sz w:val="1"/>
                <w:szCs w:val="1"/>
                <w:color w:val="auto"/>
              </w:rPr>
            </w:pPr>
          </w:p>
        </w:tc>
      </w:tr>
      <w:tr>
        <w:trPr>
          <w:trHeight w:val="174"/>
        </w:trPr>
        <w:tc>
          <w:tcPr>
            <w:tcW w:w="5100" w:type="dxa"/>
            <w:vAlign w:val="bottom"/>
            <w:shd w:val="clear" w:color="auto" w:fill="FDFDFC"/>
          </w:tcPr>
          <w:p>
            <w:pPr>
              <w:spacing w:after="0"/>
              <w:rPr>
                <w:sz w:val="20"/>
                <w:szCs w:val="20"/>
                <w:color w:val="auto"/>
              </w:rPr>
            </w:pPr>
            <w:r>
              <w:rPr>
                <w:rFonts w:ascii="Times New Roman" w:cs="Times New Roman" w:eastAsia="Times New Roman" w:hAnsi="Times New Roman"/>
                <w:sz w:val="15"/>
                <w:szCs w:val="15"/>
                <w:color w:val="231F20"/>
              </w:rPr>
              <w:t>Conversion of convertible notes</w:t>
            </w:r>
          </w:p>
        </w:tc>
        <w:tc>
          <w:tcPr>
            <w:tcW w:w="80" w:type="dxa"/>
            <w:vAlign w:val="bottom"/>
            <w:shd w:val="clear" w:color="auto" w:fill="FDFDFC"/>
          </w:tcPr>
          <w:p>
            <w:pPr>
              <w:spacing w:after="0"/>
              <w:rPr>
                <w:sz w:val="15"/>
                <w:szCs w:val="15"/>
                <w:color w:val="auto"/>
              </w:rPr>
            </w:pPr>
          </w:p>
        </w:tc>
        <w:tc>
          <w:tcPr>
            <w:tcW w:w="100" w:type="dxa"/>
            <w:vAlign w:val="bottom"/>
            <w:shd w:val="clear" w:color="auto" w:fill="FDFDFC"/>
          </w:tcPr>
          <w:p>
            <w:pPr>
              <w:spacing w:after="0"/>
              <w:rPr>
                <w:sz w:val="15"/>
                <w:szCs w:val="15"/>
                <w:color w:val="auto"/>
              </w:rPr>
            </w:pPr>
          </w:p>
        </w:tc>
        <w:tc>
          <w:tcPr>
            <w:tcW w:w="1600" w:type="dxa"/>
            <w:vAlign w:val="bottom"/>
            <w:gridSpan w:val="3"/>
            <w:shd w:val="clear" w:color="auto" w:fill="FDFDFC"/>
          </w:tcPr>
          <w:p>
            <w:pPr>
              <w:jc w:val="right"/>
              <w:ind w:right="240"/>
              <w:spacing w:after="0"/>
              <w:rPr>
                <w:sz w:val="20"/>
                <w:szCs w:val="20"/>
                <w:color w:val="auto"/>
              </w:rPr>
            </w:pPr>
            <w:r>
              <w:rPr>
                <w:rFonts w:ascii="Times New Roman" w:cs="Times New Roman" w:eastAsia="Times New Roman" w:hAnsi="Times New Roman"/>
                <w:sz w:val="15"/>
                <w:szCs w:val="15"/>
                <w:color w:val="231F20"/>
              </w:rPr>
              <w:t>—</w:t>
            </w:r>
          </w:p>
        </w:tc>
        <w:tc>
          <w:tcPr>
            <w:tcW w:w="100" w:type="dxa"/>
            <w:vAlign w:val="bottom"/>
            <w:shd w:val="clear" w:color="auto" w:fill="FDFDFC"/>
          </w:tcPr>
          <w:p>
            <w:pPr>
              <w:spacing w:after="0"/>
              <w:rPr>
                <w:sz w:val="15"/>
                <w:szCs w:val="15"/>
                <w:color w:val="auto"/>
              </w:rPr>
            </w:pPr>
          </w:p>
        </w:tc>
        <w:tc>
          <w:tcPr>
            <w:tcW w:w="1660" w:type="dxa"/>
            <w:vAlign w:val="bottom"/>
            <w:gridSpan w:val="2"/>
            <w:shd w:val="clear" w:color="auto" w:fill="FDFDFC"/>
          </w:tcPr>
          <w:p>
            <w:pPr>
              <w:jc w:val="right"/>
              <w:ind w:right="240"/>
              <w:spacing w:after="0"/>
              <w:rPr>
                <w:sz w:val="20"/>
                <w:szCs w:val="20"/>
                <w:color w:val="auto"/>
              </w:rPr>
            </w:pPr>
            <w:r>
              <w:rPr>
                <w:rFonts w:ascii="Times New Roman" w:cs="Times New Roman" w:eastAsia="Times New Roman" w:hAnsi="Times New Roman"/>
                <w:sz w:val="15"/>
                <w:szCs w:val="15"/>
                <w:color w:val="231F20"/>
              </w:rPr>
              <w:t>—</w:t>
            </w:r>
          </w:p>
        </w:tc>
        <w:tc>
          <w:tcPr>
            <w:tcW w:w="80" w:type="dxa"/>
            <w:vAlign w:val="bottom"/>
            <w:shd w:val="clear" w:color="auto" w:fill="FDFDFC"/>
          </w:tcPr>
          <w:p>
            <w:pPr>
              <w:spacing w:after="0"/>
              <w:rPr>
                <w:sz w:val="15"/>
                <w:szCs w:val="15"/>
                <w:color w:val="auto"/>
              </w:rPr>
            </w:pPr>
          </w:p>
        </w:tc>
        <w:tc>
          <w:tcPr>
            <w:tcW w:w="1480" w:type="dxa"/>
            <w:vAlign w:val="bottom"/>
            <w:gridSpan w:val="2"/>
            <w:shd w:val="clear" w:color="auto" w:fill="FDFDFC"/>
          </w:tcPr>
          <w:p>
            <w:pPr>
              <w:jc w:val="right"/>
              <w:ind w:right="22"/>
              <w:spacing w:after="0"/>
              <w:rPr>
                <w:sz w:val="20"/>
                <w:szCs w:val="20"/>
                <w:color w:val="auto"/>
              </w:rPr>
            </w:pPr>
            <w:r>
              <w:rPr>
                <w:rFonts w:ascii="Times New Roman" w:cs="Times New Roman" w:eastAsia="Times New Roman" w:hAnsi="Times New Roman"/>
                <w:sz w:val="15"/>
                <w:szCs w:val="15"/>
                <w:color w:val="231F20"/>
              </w:rPr>
              <w:t>(22,348)</w:t>
            </w:r>
          </w:p>
        </w:tc>
        <w:tc>
          <w:tcPr>
            <w:tcW w:w="0" w:type="dxa"/>
            <w:vAlign w:val="bottom"/>
          </w:tcPr>
          <w:p>
            <w:pPr>
              <w:spacing w:after="0"/>
              <w:rPr>
                <w:sz w:val="1"/>
                <w:szCs w:val="1"/>
                <w:color w:val="auto"/>
              </w:rPr>
            </w:pPr>
          </w:p>
        </w:tc>
      </w:tr>
      <w:tr>
        <w:trPr>
          <w:trHeight w:val="174"/>
        </w:trPr>
        <w:tc>
          <w:tcPr>
            <w:tcW w:w="5100" w:type="dxa"/>
            <w:vAlign w:val="bottom"/>
            <w:shd w:val="clear" w:color="auto" w:fill="D0EBF2"/>
          </w:tcPr>
          <w:p>
            <w:pPr>
              <w:spacing w:after="0"/>
              <w:rPr>
                <w:sz w:val="20"/>
                <w:szCs w:val="20"/>
                <w:color w:val="auto"/>
              </w:rPr>
            </w:pPr>
            <w:r>
              <w:rPr>
                <w:rFonts w:ascii="Times New Roman" w:cs="Times New Roman" w:eastAsia="Times New Roman" w:hAnsi="Times New Roman"/>
                <w:sz w:val="15"/>
                <w:szCs w:val="15"/>
                <w:color w:val="231F20"/>
              </w:rPr>
              <w:t>Purchases of treasury stock</w:t>
            </w:r>
          </w:p>
        </w:tc>
        <w:tc>
          <w:tcPr>
            <w:tcW w:w="80" w:type="dxa"/>
            <w:vAlign w:val="bottom"/>
            <w:shd w:val="clear" w:color="auto" w:fill="D0EBF2"/>
          </w:tcPr>
          <w:p>
            <w:pPr>
              <w:spacing w:after="0"/>
              <w:rPr>
                <w:sz w:val="15"/>
                <w:szCs w:val="15"/>
                <w:color w:val="auto"/>
              </w:rPr>
            </w:pPr>
          </w:p>
        </w:tc>
        <w:tc>
          <w:tcPr>
            <w:tcW w:w="100" w:type="dxa"/>
            <w:vAlign w:val="bottom"/>
            <w:shd w:val="clear" w:color="auto" w:fill="D0EBF2"/>
          </w:tcPr>
          <w:p>
            <w:pPr>
              <w:spacing w:after="0"/>
              <w:rPr>
                <w:sz w:val="15"/>
                <w:szCs w:val="15"/>
                <w:color w:val="auto"/>
              </w:rPr>
            </w:pPr>
          </w:p>
        </w:tc>
        <w:tc>
          <w:tcPr>
            <w:tcW w:w="1600" w:type="dxa"/>
            <w:vAlign w:val="bottom"/>
            <w:gridSpan w:val="3"/>
            <w:shd w:val="clear" w:color="auto" w:fill="D0EBF2"/>
          </w:tcPr>
          <w:p>
            <w:pPr>
              <w:jc w:val="right"/>
              <w:ind w:right="240"/>
              <w:spacing w:after="0"/>
              <w:rPr>
                <w:sz w:val="20"/>
                <w:szCs w:val="20"/>
                <w:color w:val="auto"/>
              </w:rPr>
            </w:pPr>
            <w:r>
              <w:rPr>
                <w:rFonts w:ascii="Times New Roman" w:cs="Times New Roman" w:eastAsia="Times New Roman" w:hAnsi="Times New Roman"/>
                <w:sz w:val="15"/>
                <w:szCs w:val="15"/>
                <w:color w:val="231F20"/>
              </w:rPr>
              <w:t>—</w:t>
            </w:r>
          </w:p>
        </w:tc>
        <w:tc>
          <w:tcPr>
            <w:tcW w:w="100" w:type="dxa"/>
            <w:vAlign w:val="bottom"/>
            <w:shd w:val="clear" w:color="auto" w:fill="D0EBF2"/>
          </w:tcPr>
          <w:p>
            <w:pPr>
              <w:spacing w:after="0"/>
              <w:rPr>
                <w:sz w:val="15"/>
                <w:szCs w:val="15"/>
                <w:color w:val="auto"/>
              </w:rPr>
            </w:pPr>
          </w:p>
        </w:tc>
        <w:tc>
          <w:tcPr>
            <w:tcW w:w="1660" w:type="dxa"/>
            <w:vAlign w:val="bottom"/>
            <w:gridSpan w:val="2"/>
            <w:shd w:val="clear" w:color="auto" w:fill="D0EBF2"/>
          </w:tcPr>
          <w:p>
            <w:pPr>
              <w:jc w:val="right"/>
              <w:ind w:right="240"/>
              <w:spacing w:after="0"/>
              <w:rPr>
                <w:sz w:val="20"/>
                <w:szCs w:val="20"/>
                <w:color w:val="auto"/>
              </w:rPr>
            </w:pPr>
            <w:r>
              <w:rPr>
                <w:rFonts w:ascii="Times New Roman" w:cs="Times New Roman" w:eastAsia="Times New Roman" w:hAnsi="Times New Roman"/>
                <w:sz w:val="15"/>
                <w:szCs w:val="15"/>
                <w:color w:val="231F20"/>
              </w:rPr>
              <w:t>—</w:t>
            </w:r>
          </w:p>
        </w:tc>
        <w:tc>
          <w:tcPr>
            <w:tcW w:w="80" w:type="dxa"/>
            <w:vAlign w:val="bottom"/>
            <w:shd w:val="clear" w:color="auto" w:fill="D0EBF2"/>
          </w:tcPr>
          <w:p>
            <w:pPr>
              <w:spacing w:after="0"/>
              <w:rPr>
                <w:sz w:val="15"/>
                <w:szCs w:val="15"/>
                <w:color w:val="auto"/>
              </w:rPr>
            </w:pPr>
          </w:p>
        </w:tc>
        <w:tc>
          <w:tcPr>
            <w:tcW w:w="1480" w:type="dxa"/>
            <w:vAlign w:val="bottom"/>
            <w:gridSpan w:val="2"/>
            <w:shd w:val="clear" w:color="auto" w:fill="D0EBF2"/>
          </w:tcPr>
          <w:p>
            <w:pPr>
              <w:jc w:val="right"/>
              <w:ind w:right="22"/>
              <w:spacing w:after="0"/>
              <w:rPr>
                <w:sz w:val="20"/>
                <w:szCs w:val="20"/>
                <w:color w:val="auto"/>
              </w:rPr>
            </w:pPr>
            <w:r>
              <w:rPr>
                <w:rFonts w:ascii="Times New Roman" w:cs="Times New Roman" w:eastAsia="Times New Roman" w:hAnsi="Times New Roman"/>
                <w:sz w:val="15"/>
                <w:szCs w:val="15"/>
                <w:color w:val="231F20"/>
              </w:rPr>
              <w:t>(6,168)</w:t>
            </w:r>
          </w:p>
        </w:tc>
        <w:tc>
          <w:tcPr>
            <w:tcW w:w="0" w:type="dxa"/>
            <w:vAlign w:val="bottom"/>
          </w:tcPr>
          <w:p>
            <w:pPr>
              <w:spacing w:after="0"/>
              <w:rPr>
                <w:sz w:val="1"/>
                <w:szCs w:val="1"/>
                <w:color w:val="auto"/>
              </w:rPr>
            </w:pPr>
          </w:p>
        </w:tc>
      </w:tr>
      <w:tr>
        <w:trPr>
          <w:trHeight w:val="174"/>
        </w:trPr>
        <w:tc>
          <w:tcPr>
            <w:tcW w:w="5100" w:type="dxa"/>
            <w:vAlign w:val="bottom"/>
            <w:shd w:val="clear" w:color="auto" w:fill="FDFDFC"/>
          </w:tcPr>
          <w:p>
            <w:pPr>
              <w:spacing w:after="0"/>
              <w:rPr>
                <w:sz w:val="20"/>
                <w:szCs w:val="20"/>
                <w:color w:val="auto"/>
              </w:rPr>
            </w:pPr>
            <w:r>
              <w:rPr>
                <w:rFonts w:ascii="Times New Roman" w:cs="Times New Roman" w:eastAsia="Times New Roman" w:hAnsi="Times New Roman"/>
                <w:sz w:val="15"/>
                <w:szCs w:val="15"/>
                <w:color w:val="231F20"/>
              </w:rPr>
              <w:t>Dividends paid to stockholders</w:t>
            </w:r>
          </w:p>
        </w:tc>
        <w:tc>
          <w:tcPr>
            <w:tcW w:w="80" w:type="dxa"/>
            <w:vAlign w:val="bottom"/>
            <w:shd w:val="clear" w:color="auto" w:fill="FDFDFC"/>
          </w:tcPr>
          <w:p>
            <w:pPr>
              <w:spacing w:after="0"/>
              <w:rPr>
                <w:sz w:val="15"/>
                <w:szCs w:val="15"/>
                <w:color w:val="auto"/>
              </w:rPr>
            </w:pPr>
          </w:p>
        </w:tc>
        <w:tc>
          <w:tcPr>
            <w:tcW w:w="100" w:type="dxa"/>
            <w:vAlign w:val="bottom"/>
            <w:shd w:val="clear" w:color="auto" w:fill="FDFDFC"/>
          </w:tcPr>
          <w:p>
            <w:pPr>
              <w:spacing w:after="0"/>
              <w:rPr>
                <w:sz w:val="15"/>
                <w:szCs w:val="15"/>
                <w:color w:val="auto"/>
              </w:rPr>
            </w:pPr>
          </w:p>
        </w:tc>
        <w:tc>
          <w:tcPr>
            <w:tcW w:w="1480" w:type="dxa"/>
            <w:vAlign w:val="bottom"/>
            <w:gridSpan w:val="2"/>
            <w:shd w:val="clear" w:color="auto" w:fill="FDFDFC"/>
          </w:tcPr>
          <w:p>
            <w:pPr>
              <w:jc w:val="right"/>
              <w:ind w:right="22"/>
              <w:spacing w:after="0"/>
              <w:rPr>
                <w:sz w:val="20"/>
                <w:szCs w:val="20"/>
                <w:color w:val="auto"/>
              </w:rPr>
            </w:pPr>
            <w:r>
              <w:rPr>
                <w:rFonts w:ascii="Times New Roman" w:cs="Times New Roman" w:eastAsia="Times New Roman" w:hAnsi="Times New Roman"/>
                <w:sz w:val="15"/>
                <w:szCs w:val="15"/>
                <w:color w:val="231F20"/>
              </w:rPr>
              <w:t>(168,720)</w:t>
            </w:r>
          </w:p>
        </w:tc>
        <w:tc>
          <w:tcPr>
            <w:tcW w:w="120" w:type="dxa"/>
            <w:vAlign w:val="bottom"/>
            <w:shd w:val="clear" w:color="auto" w:fill="FDFDFC"/>
          </w:tcPr>
          <w:p>
            <w:pPr>
              <w:spacing w:after="0"/>
              <w:rPr>
                <w:sz w:val="15"/>
                <w:szCs w:val="15"/>
                <w:color w:val="auto"/>
              </w:rPr>
            </w:pPr>
          </w:p>
        </w:tc>
        <w:tc>
          <w:tcPr>
            <w:tcW w:w="100" w:type="dxa"/>
            <w:vAlign w:val="bottom"/>
            <w:shd w:val="clear" w:color="auto" w:fill="FDFDFC"/>
          </w:tcPr>
          <w:p>
            <w:pPr>
              <w:spacing w:after="0"/>
              <w:rPr>
                <w:sz w:val="15"/>
                <w:szCs w:val="15"/>
                <w:color w:val="auto"/>
              </w:rPr>
            </w:pPr>
          </w:p>
        </w:tc>
        <w:tc>
          <w:tcPr>
            <w:tcW w:w="1660" w:type="dxa"/>
            <w:vAlign w:val="bottom"/>
            <w:gridSpan w:val="2"/>
            <w:shd w:val="clear" w:color="auto" w:fill="FDFDFC"/>
          </w:tcPr>
          <w:p>
            <w:pPr>
              <w:jc w:val="right"/>
              <w:ind w:right="180"/>
              <w:spacing w:after="0"/>
              <w:rPr>
                <w:sz w:val="20"/>
                <w:szCs w:val="20"/>
                <w:color w:val="auto"/>
              </w:rPr>
            </w:pPr>
            <w:r>
              <w:rPr>
                <w:rFonts w:ascii="Times New Roman" w:cs="Times New Roman" w:eastAsia="Times New Roman" w:hAnsi="Times New Roman"/>
                <w:sz w:val="15"/>
                <w:szCs w:val="15"/>
                <w:color w:val="231F20"/>
              </w:rPr>
              <w:t>(156,421)</w:t>
            </w:r>
          </w:p>
        </w:tc>
        <w:tc>
          <w:tcPr>
            <w:tcW w:w="80" w:type="dxa"/>
            <w:vAlign w:val="bottom"/>
            <w:shd w:val="clear" w:color="auto" w:fill="FDFDFC"/>
          </w:tcPr>
          <w:p>
            <w:pPr>
              <w:spacing w:after="0"/>
              <w:rPr>
                <w:sz w:val="15"/>
                <w:szCs w:val="15"/>
                <w:color w:val="auto"/>
              </w:rPr>
            </w:pPr>
          </w:p>
        </w:tc>
        <w:tc>
          <w:tcPr>
            <w:tcW w:w="1480" w:type="dxa"/>
            <w:vAlign w:val="bottom"/>
            <w:gridSpan w:val="2"/>
            <w:shd w:val="clear" w:color="auto" w:fill="FDFDFC"/>
          </w:tcPr>
          <w:p>
            <w:pPr>
              <w:jc w:val="right"/>
              <w:ind w:right="22"/>
              <w:spacing w:after="0"/>
              <w:rPr>
                <w:sz w:val="20"/>
                <w:szCs w:val="20"/>
                <w:color w:val="auto"/>
              </w:rPr>
            </w:pPr>
            <w:r>
              <w:rPr>
                <w:rFonts w:ascii="Times New Roman" w:cs="Times New Roman" w:eastAsia="Times New Roman" w:hAnsi="Times New Roman"/>
                <w:sz w:val="15"/>
                <w:szCs w:val="15"/>
                <w:color w:val="231F20"/>
              </w:rPr>
              <w:t>(144,731)</w:t>
            </w:r>
          </w:p>
        </w:tc>
        <w:tc>
          <w:tcPr>
            <w:tcW w:w="0" w:type="dxa"/>
            <w:vAlign w:val="bottom"/>
          </w:tcPr>
          <w:p>
            <w:pPr>
              <w:spacing w:after="0"/>
              <w:rPr>
                <w:sz w:val="1"/>
                <w:szCs w:val="1"/>
                <w:color w:val="auto"/>
              </w:rPr>
            </w:pPr>
          </w:p>
        </w:tc>
      </w:tr>
      <w:tr>
        <w:trPr>
          <w:trHeight w:val="188"/>
        </w:trPr>
        <w:tc>
          <w:tcPr>
            <w:tcW w:w="5100" w:type="dxa"/>
            <w:vAlign w:val="bottom"/>
            <w:tcBorders>
              <w:top w:val="single" w:sz="8" w:color="D0EBF2"/>
              <w:bottom w:val="single" w:sz="8" w:color="D0EBF2"/>
            </w:tcBorders>
            <w:shd w:val="clear" w:color="auto" w:fill="D0EBF2"/>
          </w:tcPr>
          <w:p>
            <w:pPr>
              <w:ind w:left="380"/>
              <w:spacing w:after="0" w:line="164" w:lineRule="exact"/>
              <w:rPr>
                <w:sz w:val="20"/>
                <w:szCs w:val="20"/>
                <w:color w:val="auto"/>
              </w:rPr>
            </w:pPr>
            <w:r>
              <w:rPr>
                <w:rFonts w:ascii="Times New Roman" w:cs="Times New Roman" w:eastAsia="Times New Roman" w:hAnsi="Times New Roman"/>
                <w:sz w:val="15"/>
                <w:szCs w:val="15"/>
                <w:b w:val="1"/>
                <w:bCs w:val="1"/>
                <w:color w:val="231F20"/>
              </w:rPr>
              <w:t>Net Cash Provided by (Used in) Financing Activities</w:t>
            </w:r>
          </w:p>
        </w:tc>
        <w:tc>
          <w:tcPr>
            <w:tcW w:w="80" w:type="dxa"/>
            <w:vAlign w:val="bottom"/>
            <w:tcBorders>
              <w:top w:val="single" w:sz="8" w:color="D0EBF2"/>
              <w:bottom w:val="single" w:sz="8" w:color="D0EBF2"/>
            </w:tcBorders>
            <w:shd w:val="clear" w:color="auto" w:fill="D0EBF2"/>
          </w:tcPr>
          <w:p>
            <w:pPr>
              <w:spacing w:after="0"/>
              <w:rPr>
                <w:sz w:val="15"/>
                <w:szCs w:val="15"/>
                <w:color w:val="auto"/>
              </w:rPr>
            </w:pPr>
          </w:p>
        </w:tc>
        <w:tc>
          <w:tcPr>
            <w:tcW w:w="100" w:type="dxa"/>
            <w:vAlign w:val="bottom"/>
            <w:tcBorders>
              <w:top w:val="single" w:sz="8" w:color="231F20"/>
              <w:bottom w:val="single" w:sz="8" w:color="231F20"/>
            </w:tcBorders>
            <w:shd w:val="clear" w:color="auto" w:fill="D0EBF2"/>
          </w:tcPr>
          <w:p>
            <w:pPr>
              <w:spacing w:after="0"/>
              <w:rPr>
                <w:sz w:val="15"/>
                <w:szCs w:val="15"/>
                <w:color w:val="auto"/>
              </w:rPr>
            </w:pPr>
          </w:p>
        </w:tc>
        <w:tc>
          <w:tcPr>
            <w:tcW w:w="1380" w:type="dxa"/>
            <w:vAlign w:val="bottom"/>
            <w:tcBorders>
              <w:top w:val="single" w:sz="8" w:color="231F20"/>
              <w:bottom w:val="single" w:sz="8" w:color="231F20"/>
            </w:tcBorders>
            <w:shd w:val="clear" w:color="auto" w:fill="D0EBF2"/>
          </w:tcPr>
          <w:p>
            <w:pPr>
              <w:jc w:val="right"/>
              <w:spacing w:after="0" w:line="164" w:lineRule="exact"/>
              <w:rPr>
                <w:sz w:val="20"/>
                <w:szCs w:val="20"/>
                <w:color w:val="auto"/>
              </w:rPr>
            </w:pPr>
            <w:r>
              <w:rPr>
                <w:rFonts w:ascii="Times New Roman" w:cs="Times New Roman" w:eastAsia="Times New Roman" w:hAnsi="Times New Roman"/>
                <w:sz w:val="15"/>
                <w:szCs w:val="15"/>
                <w:color w:val="231F20"/>
              </w:rPr>
              <w:t>47,623</w:t>
            </w:r>
          </w:p>
        </w:tc>
        <w:tc>
          <w:tcPr>
            <w:tcW w:w="100" w:type="dxa"/>
            <w:vAlign w:val="bottom"/>
            <w:tcBorders>
              <w:top w:val="single" w:sz="8" w:color="D0EBF2"/>
              <w:bottom w:val="single" w:sz="8" w:color="D0EBF2"/>
            </w:tcBorders>
            <w:shd w:val="clear" w:color="auto" w:fill="D0EBF2"/>
          </w:tcPr>
          <w:p>
            <w:pPr>
              <w:spacing w:after="0"/>
              <w:rPr>
                <w:sz w:val="15"/>
                <w:szCs w:val="15"/>
                <w:color w:val="auto"/>
              </w:rPr>
            </w:pPr>
          </w:p>
        </w:tc>
        <w:tc>
          <w:tcPr>
            <w:tcW w:w="120" w:type="dxa"/>
            <w:vAlign w:val="bottom"/>
            <w:tcBorders>
              <w:top w:val="single" w:sz="8" w:color="231F20"/>
              <w:bottom w:val="single" w:sz="8" w:color="231F20"/>
            </w:tcBorders>
            <w:shd w:val="clear" w:color="auto" w:fill="D0EBF2"/>
          </w:tcPr>
          <w:p>
            <w:pPr>
              <w:spacing w:after="0"/>
              <w:rPr>
                <w:sz w:val="15"/>
                <w:szCs w:val="15"/>
                <w:color w:val="auto"/>
              </w:rPr>
            </w:pPr>
          </w:p>
        </w:tc>
        <w:tc>
          <w:tcPr>
            <w:tcW w:w="100" w:type="dxa"/>
            <w:vAlign w:val="bottom"/>
            <w:tcBorders>
              <w:top w:val="single" w:sz="8" w:color="231F20"/>
              <w:bottom w:val="single" w:sz="8" w:color="231F20"/>
            </w:tcBorders>
            <w:shd w:val="clear" w:color="auto" w:fill="D0EBF2"/>
          </w:tcPr>
          <w:p>
            <w:pPr>
              <w:spacing w:after="0"/>
              <w:rPr>
                <w:sz w:val="15"/>
                <w:szCs w:val="15"/>
                <w:color w:val="auto"/>
              </w:rPr>
            </w:pPr>
          </w:p>
        </w:tc>
        <w:tc>
          <w:tcPr>
            <w:tcW w:w="1420" w:type="dxa"/>
            <w:vAlign w:val="bottom"/>
            <w:tcBorders>
              <w:top w:val="single" w:sz="8" w:color="231F20"/>
              <w:bottom w:val="single" w:sz="8" w:color="231F20"/>
            </w:tcBorders>
            <w:shd w:val="clear" w:color="auto" w:fill="D0EBF2"/>
          </w:tcPr>
          <w:p>
            <w:pPr>
              <w:jc w:val="right"/>
              <w:spacing w:after="0" w:line="164" w:lineRule="exact"/>
              <w:rPr>
                <w:sz w:val="20"/>
                <w:szCs w:val="20"/>
                <w:color w:val="auto"/>
              </w:rPr>
            </w:pPr>
            <w:r>
              <w:rPr>
                <w:rFonts w:ascii="Times New Roman" w:cs="Times New Roman" w:eastAsia="Times New Roman" w:hAnsi="Times New Roman"/>
                <w:sz w:val="15"/>
                <w:szCs w:val="15"/>
                <w:color w:val="231F20"/>
              </w:rPr>
              <w:t>236,337</w:t>
            </w:r>
          </w:p>
        </w:tc>
        <w:tc>
          <w:tcPr>
            <w:tcW w:w="240" w:type="dxa"/>
            <w:vAlign w:val="bottom"/>
            <w:tcBorders>
              <w:top w:val="single" w:sz="8" w:color="D0EBF2"/>
              <w:bottom w:val="single" w:sz="8" w:color="D0EBF2"/>
            </w:tcBorders>
            <w:shd w:val="clear" w:color="auto" w:fill="D0EBF2"/>
          </w:tcPr>
          <w:p>
            <w:pPr>
              <w:spacing w:after="0"/>
              <w:rPr>
                <w:sz w:val="15"/>
                <w:szCs w:val="15"/>
                <w:color w:val="auto"/>
              </w:rPr>
            </w:pPr>
          </w:p>
        </w:tc>
        <w:tc>
          <w:tcPr>
            <w:tcW w:w="80" w:type="dxa"/>
            <w:vAlign w:val="bottom"/>
            <w:tcBorders>
              <w:top w:val="single" w:sz="8" w:color="231F20"/>
              <w:bottom w:val="single" w:sz="8" w:color="231F20"/>
            </w:tcBorders>
            <w:shd w:val="clear" w:color="auto" w:fill="D0EBF2"/>
          </w:tcPr>
          <w:p>
            <w:pPr>
              <w:spacing w:after="0"/>
              <w:rPr>
                <w:sz w:val="15"/>
                <w:szCs w:val="15"/>
                <w:color w:val="auto"/>
              </w:rPr>
            </w:pPr>
          </w:p>
        </w:tc>
        <w:tc>
          <w:tcPr>
            <w:tcW w:w="1380" w:type="dxa"/>
            <w:vAlign w:val="bottom"/>
            <w:tcBorders>
              <w:top w:val="single" w:sz="8" w:color="231F20"/>
              <w:bottom w:val="single" w:sz="8" w:color="231F20"/>
            </w:tcBorders>
            <w:shd w:val="clear" w:color="auto" w:fill="D0EBF2"/>
          </w:tcPr>
          <w:p>
            <w:pPr>
              <w:jc w:val="right"/>
              <w:spacing w:after="0" w:line="164" w:lineRule="exact"/>
              <w:rPr>
                <w:sz w:val="20"/>
                <w:szCs w:val="20"/>
                <w:color w:val="auto"/>
              </w:rPr>
            </w:pPr>
            <w:r>
              <w:rPr>
                <w:rFonts w:ascii="Times New Roman" w:cs="Times New Roman" w:eastAsia="Times New Roman" w:hAnsi="Times New Roman"/>
                <w:sz w:val="15"/>
                <w:szCs w:val="15"/>
                <w:color w:val="231F20"/>
              </w:rPr>
              <w:t>234,212</w:t>
            </w:r>
          </w:p>
        </w:tc>
        <w:tc>
          <w:tcPr>
            <w:tcW w:w="100" w:type="dxa"/>
            <w:vAlign w:val="bottom"/>
            <w:tcBorders>
              <w:top w:val="single" w:sz="8" w:color="D0EBF2"/>
              <w:bottom w:val="single" w:sz="8" w:color="D0EBF2"/>
            </w:tcBorders>
            <w:shd w:val="clear" w:color="auto" w:fill="D0EBF2"/>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5100" w:type="dxa"/>
            <w:vAlign w:val="bottom"/>
            <w:tcBorders>
              <w:top w:val="single" w:sz="8" w:color="FDFDFC"/>
            </w:tcBorders>
            <w:shd w:val="clear" w:color="auto" w:fill="FDFDFC"/>
          </w:tcPr>
          <w:p>
            <w:pPr>
              <w:ind w:left="380"/>
              <w:spacing w:after="0" w:line="144" w:lineRule="exact"/>
              <w:rPr>
                <w:sz w:val="20"/>
                <w:szCs w:val="20"/>
                <w:color w:val="auto"/>
              </w:rPr>
            </w:pPr>
            <w:r>
              <w:rPr>
                <w:rFonts w:ascii="Times New Roman" w:cs="Times New Roman" w:eastAsia="Times New Roman" w:hAnsi="Times New Roman"/>
                <w:sz w:val="15"/>
                <w:szCs w:val="15"/>
                <w:b w:val="1"/>
                <w:bCs w:val="1"/>
                <w:color w:val="231F20"/>
              </w:rPr>
              <w:t>Net Increase (Decrease) in Cash, Cash Equivalents, and Restricted Cash</w:t>
            </w:r>
          </w:p>
        </w:tc>
        <w:tc>
          <w:tcPr>
            <w:tcW w:w="80" w:type="dxa"/>
            <w:vAlign w:val="bottom"/>
            <w:tcBorders>
              <w:top w:val="single" w:sz="8" w:color="FDFDFC"/>
            </w:tcBorders>
            <w:shd w:val="clear" w:color="auto" w:fill="FDFDFC"/>
          </w:tcPr>
          <w:p>
            <w:pPr>
              <w:spacing w:after="0"/>
              <w:rPr>
                <w:sz w:val="12"/>
                <w:szCs w:val="12"/>
                <w:color w:val="auto"/>
              </w:rPr>
            </w:pPr>
          </w:p>
        </w:tc>
        <w:tc>
          <w:tcPr>
            <w:tcW w:w="100" w:type="dxa"/>
            <w:vAlign w:val="bottom"/>
            <w:tcBorders>
              <w:top w:val="single" w:sz="8" w:color="231F20"/>
            </w:tcBorders>
            <w:shd w:val="clear" w:color="auto" w:fill="FDFDFC"/>
          </w:tcPr>
          <w:p>
            <w:pPr>
              <w:spacing w:after="0"/>
              <w:rPr>
                <w:sz w:val="12"/>
                <w:szCs w:val="12"/>
                <w:color w:val="auto"/>
              </w:rPr>
            </w:pPr>
          </w:p>
        </w:tc>
        <w:tc>
          <w:tcPr>
            <w:tcW w:w="1380" w:type="dxa"/>
            <w:vAlign w:val="bottom"/>
            <w:tcBorders>
              <w:top w:val="single" w:sz="8" w:color="231F20"/>
            </w:tcBorders>
            <w:shd w:val="clear" w:color="auto" w:fill="FDFDFC"/>
          </w:tcPr>
          <w:p>
            <w:pPr>
              <w:jc w:val="right"/>
              <w:spacing w:after="0" w:line="144" w:lineRule="exact"/>
              <w:rPr>
                <w:sz w:val="20"/>
                <w:szCs w:val="20"/>
                <w:color w:val="auto"/>
              </w:rPr>
            </w:pPr>
            <w:r>
              <w:rPr>
                <w:rFonts w:ascii="Times New Roman" w:cs="Times New Roman" w:eastAsia="Times New Roman" w:hAnsi="Times New Roman"/>
                <w:sz w:val="15"/>
                <w:szCs w:val="15"/>
                <w:color w:val="231F20"/>
              </w:rPr>
              <w:t>2,132</w:t>
            </w:r>
          </w:p>
        </w:tc>
        <w:tc>
          <w:tcPr>
            <w:tcW w:w="100" w:type="dxa"/>
            <w:vAlign w:val="bottom"/>
            <w:tcBorders>
              <w:top w:val="single" w:sz="8" w:color="FDFDFC"/>
            </w:tcBorders>
            <w:shd w:val="clear" w:color="auto" w:fill="FDFDFC"/>
          </w:tcPr>
          <w:p>
            <w:pPr>
              <w:spacing w:after="0"/>
              <w:rPr>
                <w:sz w:val="12"/>
                <w:szCs w:val="12"/>
                <w:color w:val="auto"/>
              </w:rPr>
            </w:pPr>
          </w:p>
        </w:tc>
        <w:tc>
          <w:tcPr>
            <w:tcW w:w="120" w:type="dxa"/>
            <w:vAlign w:val="bottom"/>
            <w:tcBorders>
              <w:top w:val="single" w:sz="8" w:color="231F20"/>
            </w:tcBorders>
            <w:shd w:val="clear" w:color="auto" w:fill="FDFDFC"/>
          </w:tcPr>
          <w:p>
            <w:pPr>
              <w:spacing w:after="0"/>
              <w:rPr>
                <w:sz w:val="12"/>
                <w:szCs w:val="12"/>
                <w:color w:val="auto"/>
              </w:rPr>
            </w:pPr>
          </w:p>
        </w:tc>
        <w:tc>
          <w:tcPr>
            <w:tcW w:w="100" w:type="dxa"/>
            <w:vAlign w:val="bottom"/>
            <w:tcBorders>
              <w:top w:val="single" w:sz="8" w:color="231F20"/>
            </w:tcBorders>
            <w:shd w:val="clear" w:color="auto" w:fill="FDFDFC"/>
          </w:tcPr>
          <w:p>
            <w:pPr>
              <w:spacing w:after="0"/>
              <w:rPr>
                <w:sz w:val="12"/>
                <w:szCs w:val="12"/>
                <w:color w:val="auto"/>
              </w:rPr>
            </w:pPr>
          </w:p>
        </w:tc>
        <w:tc>
          <w:tcPr>
            <w:tcW w:w="1420" w:type="dxa"/>
            <w:vAlign w:val="bottom"/>
            <w:tcBorders>
              <w:top w:val="single" w:sz="8" w:color="231F20"/>
            </w:tcBorders>
            <w:shd w:val="clear" w:color="auto" w:fill="FDFDFC"/>
          </w:tcPr>
          <w:p>
            <w:pPr>
              <w:jc w:val="right"/>
              <w:spacing w:after="0" w:line="144" w:lineRule="exact"/>
              <w:rPr>
                <w:sz w:val="20"/>
                <w:szCs w:val="20"/>
                <w:color w:val="auto"/>
              </w:rPr>
            </w:pPr>
            <w:r>
              <w:rPr>
                <w:rFonts w:ascii="Times New Roman" w:cs="Times New Roman" w:eastAsia="Times New Roman" w:hAnsi="Times New Roman"/>
                <w:sz w:val="15"/>
                <w:szCs w:val="15"/>
                <w:color w:val="231F20"/>
              </w:rPr>
              <w:t>(451)</w:t>
            </w:r>
          </w:p>
        </w:tc>
        <w:tc>
          <w:tcPr>
            <w:tcW w:w="240" w:type="dxa"/>
            <w:vAlign w:val="bottom"/>
            <w:tcBorders>
              <w:top w:val="single" w:sz="8" w:color="FDFDFC"/>
            </w:tcBorders>
            <w:shd w:val="clear" w:color="auto" w:fill="FDFDFC"/>
          </w:tcPr>
          <w:p>
            <w:pPr>
              <w:spacing w:after="0"/>
              <w:rPr>
                <w:sz w:val="12"/>
                <w:szCs w:val="12"/>
                <w:color w:val="auto"/>
              </w:rPr>
            </w:pPr>
          </w:p>
        </w:tc>
        <w:tc>
          <w:tcPr>
            <w:tcW w:w="80" w:type="dxa"/>
            <w:vAlign w:val="bottom"/>
            <w:tcBorders>
              <w:top w:val="single" w:sz="8" w:color="231F20"/>
            </w:tcBorders>
            <w:shd w:val="clear" w:color="auto" w:fill="FDFDFC"/>
          </w:tcPr>
          <w:p>
            <w:pPr>
              <w:spacing w:after="0"/>
              <w:rPr>
                <w:sz w:val="12"/>
                <w:szCs w:val="12"/>
                <w:color w:val="auto"/>
              </w:rPr>
            </w:pPr>
          </w:p>
        </w:tc>
        <w:tc>
          <w:tcPr>
            <w:tcW w:w="1380" w:type="dxa"/>
            <w:vAlign w:val="bottom"/>
            <w:tcBorders>
              <w:top w:val="single" w:sz="8" w:color="231F20"/>
            </w:tcBorders>
            <w:shd w:val="clear" w:color="auto" w:fill="FDFDFC"/>
          </w:tcPr>
          <w:p>
            <w:pPr>
              <w:jc w:val="right"/>
              <w:spacing w:after="0" w:line="144" w:lineRule="exact"/>
              <w:rPr>
                <w:sz w:val="20"/>
                <w:szCs w:val="20"/>
                <w:color w:val="auto"/>
              </w:rPr>
            </w:pPr>
            <w:r>
              <w:rPr>
                <w:rFonts w:ascii="Times New Roman" w:cs="Times New Roman" w:eastAsia="Times New Roman" w:hAnsi="Times New Roman"/>
                <w:sz w:val="15"/>
                <w:szCs w:val="15"/>
                <w:color w:val="231F20"/>
              </w:rPr>
              <w:t>9,680</w:t>
            </w:r>
          </w:p>
        </w:tc>
        <w:tc>
          <w:tcPr>
            <w:tcW w:w="100" w:type="dxa"/>
            <w:vAlign w:val="bottom"/>
            <w:tcBorders>
              <w:top w:val="single" w:sz="8" w:color="FDFDFC"/>
            </w:tcBorders>
            <w:shd w:val="clear" w:color="auto" w:fill="FDFDFC"/>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5100" w:type="dxa"/>
            <w:vAlign w:val="bottom"/>
            <w:tcBorders>
              <w:bottom w:val="single" w:sz="8" w:color="FDFDFC"/>
            </w:tcBorders>
            <w:shd w:val="clear" w:color="auto" w:fill="D0EBF2"/>
          </w:tcPr>
          <w:p>
            <w:pPr>
              <w:spacing w:after="0"/>
              <w:rPr>
                <w:sz w:val="20"/>
                <w:szCs w:val="20"/>
                <w:color w:val="auto"/>
              </w:rPr>
            </w:pPr>
            <w:r>
              <w:rPr>
                <w:rFonts w:ascii="Times New Roman" w:cs="Times New Roman" w:eastAsia="Times New Roman" w:hAnsi="Times New Roman"/>
                <w:sz w:val="15"/>
                <w:szCs w:val="15"/>
                <w:color w:val="231F20"/>
              </w:rPr>
              <w:t>Cash, cash equivalents, and restricted cash, beginning of period</w:t>
            </w:r>
          </w:p>
        </w:tc>
        <w:tc>
          <w:tcPr>
            <w:tcW w:w="80" w:type="dxa"/>
            <w:vAlign w:val="bottom"/>
            <w:tcBorders>
              <w:bottom w:val="single" w:sz="8" w:color="FDFDFC"/>
            </w:tcBorders>
            <w:shd w:val="clear" w:color="auto" w:fill="D0EBF2"/>
          </w:tcPr>
          <w:p>
            <w:pPr>
              <w:spacing w:after="0"/>
              <w:rPr>
                <w:sz w:val="15"/>
                <w:szCs w:val="15"/>
                <w:color w:val="auto"/>
              </w:rPr>
            </w:pPr>
          </w:p>
        </w:tc>
        <w:tc>
          <w:tcPr>
            <w:tcW w:w="100" w:type="dxa"/>
            <w:vAlign w:val="bottom"/>
            <w:tcBorders>
              <w:bottom w:val="single" w:sz="8" w:color="231F20"/>
            </w:tcBorders>
            <w:shd w:val="clear" w:color="auto" w:fill="D0EBF2"/>
          </w:tcPr>
          <w:p>
            <w:pPr>
              <w:spacing w:after="0"/>
              <w:rPr>
                <w:sz w:val="15"/>
                <w:szCs w:val="15"/>
                <w:color w:val="auto"/>
              </w:rPr>
            </w:pPr>
          </w:p>
        </w:tc>
        <w:tc>
          <w:tcPr>
            <w:tcW w:w="1380" w:type="dxa"/>
            <w:vAlign w:val="bottom"/>
            <w:tcBorders>
              <w:bottom w:val="single" w:sz="8" w:color="231F20"/>
            </w:tcBorders>
            <w:shd w:val="clear" w:color="auto" w:fill="D0EBF2"/>
          </w:tcPr>
          <w:p>
            <w:pPr>
              <w:jc w:val="right"/>
              <w:spacing w:after="0"/>
              <w:rPr>
                <w:sz w:val="20"/>
                <w:szCs w:val="20"/>
                <w:color w:val="auto"/>
              </w:rPr>
            </w:pPr>
            <w:r>
              <w:rPr>
                <w:rFonts w:ascii="Times New Roman" w:cs="Times New Roman" w:eastAsia="Times New Roman" w:hAnsi="Times New Roman"/>
                <w:sz w:val="15"/>
                <w:szCs w:val="15"/>
                <w:color w:val="231F20"/>
              </w:rPr>
              <w:t>25,196</w:t>
            </w:r>
          </w:p>
        </w:tc>
        <w:tc>
          <w:tcPr>
            <w:tcW w:w="100" w:type="dxa"/>
            <w:vAlign w:val="bottom"/>
            <w:tcBorders>
              <w:bottom w:val="single" w:sz="8" w:color="FDFDFC"/>
            </w:tcBorders>
            <w:shd w:val="clear" w:color="auto" w:fill="D0EBF2"/>
          </w:tcPr>
          <w:p>
            <w:pPr>
              <w:spacing w:after="0"/>
              <w:rPr>
                <w:sz w:val="15"/>
                <w:szCs w:val="15"/>
                <w:color w:val="auto"/>
              </w:rPr>
            </w:pPr>
          </w:p>
        </w:tc>
        <w:tc>
          <w:tcPr>
            <w:tcW w:w="120" w:type="dxa"/>
            <w:vAlign w:val="bottom"/>
            <w:tcBorders>
              <w:bottom w:val="single" w:sz="8" w:color="231F20"/>
            </w:tcBorders>
            <w:shd w:val="clear" w:color="auto" w:fill="D0EBF2"/>
          </w:tcPr>
          <w:p>
            <w:pPr>
              <w:spacing w:after="0"/>
              <w:rPr>
                <w:sz w:val="15"/>
                <w:szCs w:val="15"/>
                <w:color w:val="auto"/>
              </w:rPr>
            </w:pPr>
          </w:p>
        </w:tc>
        <w:tc>
          <w:tcPr>
            <w:tcW w:w="100" w:type="dxa"/>
            <w:vAlign w:val="bottom"/>
            <w:tcBorders>
              <w:bottom w:val="single" w:sz="8" w:color="231F20"/>
            </w:tcBorders>
            <w:shd w:val="clear" w:color="auto" w:fill="D0EBF2"/>
          </w:tcPr>
          <w:p>
            <w:pPr>
              <w:spacing w:after="0"/>
              <w:rPr>
                <w:sz w:val="15"/>
                <w:szCs w:val="15"/>
                <w:color w:val="auto"/>
              </w:rPr>
            </w:pPr>
          </w:p>
        </w:tc>
        <w:tc>
          <w:tcPr>
            <w:tcW w:w="1420" w:type="dxa"/>
            <w:vAlign w:val="bottom"/>
            <w:tcBorders>
              <w:bottom w:val="single" w:sz="8" w:color="231F20"/>
            </w:tcBorders>
            <w:shd w:val="clear" w:color="auto" w:fill="D0EBF2"/>
          </w:tcPr>
          <w:p>
            <w:pPr>
              <w:jc w:val="right"/>
              <w:spacing w:after="0"/>
              <w:rPr>
                <w:sz w:val="20"/>
                <w:szCs w:val="20"/>
                <w:color w:val="auto"/>
              </w:rPr>
            </w:pPr>
            <w:r>
              <w:rPr>
                <w:rFonts w:ascii="Times New Roman" w:cs="Times New Roman" w:eastAsia="Times New Roman" w:hAnsi="Times New Roman"/>
                <w:sz w:val="15"/>
                <w:szCs w:val="15"/>
                <w:color w:val="231F20"/>
              </w:rPr>
              <w:t>25,647</w:t>
            </w:r>
          </w:p>
        </w:tc>
        <w:tc>
          <w:tcPr>
            <w:tcW w:w="240" w:type="dxa"/>
            <w:vAlign w:val="bottom"/>
            <w:tcBorders>
              <w:bottom w:val="single" w:sz="8" w:color="FDFDFC"/>
            </w:tcBorders>
            <w:shd w:val="clear" w:color="auto" w:fill="D0EBF2"/>
          </w:tcPr>
          <w:p>
            <w:pPr>
              <w:spacing w:after="0"/>
              <w:rPr>
                <w:sz w:val="15"/>
                <w:szCs w:val="15"/>
                <w:color w:val="auto"/>
              </w:rPr>
            </w:pPr>
          </w:p>
        </w:tc>
        <w:tc>
          <w:tcPr>
            <w:tcW w:w="80" w:type="dxa"/>
            <w:vAlign w:val="bottom"/>
            <w:tcBorders>
              <w:bottom w:val="single" w:sz="8" w:color="231F20"/>
            </w:tcBorders>
            <w:shd w:val="clear" w:color="auto" w:fill="D0EBF2"/>
          </w:tcPr>
          <w:p>
            <w:pPr>
              <w:spacing w:after="0"/>
              <w:rPr>
                <w:sz w:val="15"/>
                <w:szCs w:val="15"/>
                <w:color w:val="auto"/>
              </w:rPr>
            </w:pPr>
          </w:p>
        </w:tc>
        <w:tc>
          <w:tcPr>
            <w:tcW w:w="1380" w:type="dxa"/>
            <w:vAlign w:val="bottom"/>
            <w:tcBorders>
              <w:bottom w:val="single" w:sz="8" w:color="231F20"/>
            </w:tcBorders>
            <w:shd w:val="clear" w:color="auto" w:fill="D0EBF2"/>
          </w:tcPr>
          <w:p>
            <w:pPr>
              <w:jc w:val="right"/>
              <w:spacing w:after="0"/>
              <w:rPr>
                <w:sz w:val="20"/>
                <w:szCs w:val="20"/>
                <w:color w:val="auto"/>
              </w:rPr>
            </w:pPr>
            <w:r>
              <w:rPr>
                <w:rFonts w:ascii="Times New Roman" w:cs="Times New Roman" w:eastAsia="Times New Roman" w:hAnsi="Times New Roman"/>
                <w:sz w:val="15"/>
                <w:szCs w:val="15"/>
                <w:color w:val="231F20"/>
              </w:rPr>
              <w:t>15,967</w:t>
            </w:r>
          </w:p>
        </w:tc>
        <w:tc>
          <w:tcPr>
            <w:tcW w:w="100" w:type="dxa"/>
            <w:vAlign w:val="bottom"/>
            <w:tcBorders>
              <w:bottom w:val="single" w:sz="8" w:color="FDFDFC"/>
            </w:tcBorders>
            <w:shd w:val="clear" w:color="auto" w:fill="D0EBF2"/>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5100" w:type="dxa"/>
            <w:vAlign w:val="bottom"/>
            <w:tcBorders>
              <w:bottom w:val="single" w:sz="8" w:color="D0EBF2"/>
            </w:tcBorders>
            <w:shd w:val="clear" w:color="auto" w:fill="FDFDFC"/>
          </w:tcPr>
          <w:p>
            <w:pPr>
              <w:ind w:left="380"/>
              <w:spacing w:after="0" w:line="164" w:lineRule="exact"/>
              <w:rPr>
                <w:sz w:val="20"/>
                <w:szCs w:val="20"/>
                <w:color w:val="auto"/>
              </w:rPr>
            </w:pPr>
            <w:r>
              <w:rPr>
                <w:rFonts w:ascii="Times New Roman" w:cs="Times New Roman" w:eastAsia="Times New Roman" w:hAnsi="Times New Roman"/>
                <w:sz w:val="15"/>
                <w:szCs w:val="15"/>
                <w:b w:val="1"/>
                <w:bCs w:val="1"/>
                <w:color w:val="231F20"/>
              </w:rPr>
              <w:t>Cash, Cash Equivalents, and Restricted Cash, End of Period</w:t>
            </w:r>
          </w:p>
        </w:tc>
        <w:tc>
          <w:tcPr>
            <w:tcW w:w="80" w:type="dxa"/>
            <w:vAlign w:val="bottom"/>
            <w:tcBorders>
              <w:bottom w:val="single" w:sz="8" w:color="D0EBF2"/>
            </w:tcBorders>
            <w:shd w:val="clear" w:color="auto" w:fill="FDFDFC"/>
          </w:tcPr>
          <w:p>
            <w:pPr>
              <w:spacing w:after="0"/>
              <w:rPr>
                <w:sz w:val="17"/>
                <w:szCs w:val="17"/>
                <w:color w:val="auto"/>
              </w:rPr>
            </w:pPr>
          </w:p>
        </w:tc>
        <w:tc>
          <w:tcPr>
            <w:tcW w:w="100" w:type="dxa"/>
            <w:vAlign w:val="bottom"/>
            <w:tcBorders>
              <w:bottom w:val="single" w:sz="8" w:color="231F20"/>
            </w:tcBorders>
            <w:shd w:val="clear" w:color="auto" w:fill="FDFDFC"/>
          </w:tcPr>
          <w:p>
            <w:pPr>
              <w:jc w:val="right"/>
              <w:spacing w:after="0"/>
              <w:rPr>
                <w:sz w:val="20"/>
                <w:szCs w:val="20"/>
                <w:color w:val="auto"/>
              </w:rPr>
            </w:pPr>
            <w:r>
              <w:rPr>
                <w:rFonts w:ascii="Times New Roman" w:cs="Times New Roman" w:eastAsia="Times New Roman" w:hAnsi="Times New Roman"/>
                <w:sz w:val="11"/>
                <w:szCs w:val="11"/>
                <w:color w:val="231F20"/>
                <w:w w:val="71"/>
              </w:rPr>
              <w:t>$</w:t>
            </w:r>
          </w:p>
        </w:tc>
        <w:tc>
          <w:tcPr>
            <w:tcW w:w="1380" w:type="dxa"/>
            <w:vAlign w:val="bottom"/>
            <w:tcBorders>
              <w:bottom w:val="single" w:sz="8" w:color="231F20"/>
            </w:tcBorders>
            <w:shd w:val="clear" w:color="auto" w:fill="FDFDFC"/>
          </w:tcPr>
          <w:p>
            <w:pPr>
              <w:jc w:val="right"/>
              <w:spacing w:after="0" w:line="164" w:lineRule="exact"/>
              <w:rPr>
                <w:sz w:val="20"/>
                <w:szCs w:val="20"/>
                <w:color w:val="auto"/>
              </w:rPr>
            </w:pPr>
            <w:r>
              <w:rPr>
                <w:rFonts w:ascii="Times New Roman" w:cs="Times New Roman" w:eastAsia="Times New Roman" w:hAnsi="Times New Roman"/>
                <w:sz w:val="15"/>
                <w:szCs w:val="15"/>
                <w:color w:val="231F20"/>
              </w:rPr>
              <w:t>27,328</w:t>
            </w:r>
          </w:p>
        </w:tc>
        <w:tc>
          <w:tcPr>
            <w:tcW w:w="100" w:type="dxa"/>
            <w:vAlign w:val="bottom"/>
            <w:tcBorders>
              <w:bottom w:val="single" w:sz="8" w:color="D0EBF2"/>
            </w:tcBorders>
            <w:shd w:val="clear" w:color="auto" w:fill="FDFDFC"/>
          </w:tcPr>
          <w:p>
            <w:pPr>
              <w:spacing w:after="0"/>
              <w:rPr>
                <w:sz w:val="17"/>
                <w:szCs w:val="17"/>
                <w:color w:val="auto"/>
              </w:rPr>
            </w:pPr>
          </w:p>
        </w:tc>
        <w:tc>
          <w:tcPr>
            <w:tcW w:w="120" w:type="dxa"/>
            <w:vAlign w:val="bottom"/>
            <w:tcBorders>
              <w:bottom w:val="single" w:sz="8" w:color="231F20"/>
            </w:tcBorders>
            <w:shd w:val="clear" w:color="auto" w:fill="FDFDFC"/>
          </w:tcPr>
          <w:p>
            <w:pPr>
              <w:spacing w:after="0"/>
              <w:rPr>
                <w:sz w:val="17"/>
                <w:szCs w:val="17"/>
                <w:color w:val="auto"/>
              </w:rPr>
            </w:pPr>
          </w:p>
        </w:tc>
        <w:tc>
          <w:tcPr>
            <w:tcW w:w="100" w:type="dxa"/>
            <w:vAlign w:val="bottom"/>
            <w:tcBorders>
              <w:bottom w:val="single" w:sz="8" w:color="231F20"/>
            </w:tcBorders>
            <w:shd w:val="clear" w:color="auto" w:fill="FDFDFC"/>
          </w:tcPr>
          <w:p>
            <w:pPr>
              <w:jc w:val="right"/>
              <w:spacing w:after="0"/>
              <w:rPr>
                <w:sz w:val="20"/>
                <w:szCs w:val="20"/>
                <w:color w:val="auto"/>
              </w:rPr>
            </w:pPr>
            <w:r>
              <w:rPr>
                <w:rFonts w:ascii="Times New Roman" w:cs="Times New Roman" w:eastAsia="Times New Roman" w:hAnsi="Times New Roman"/>
                <w:sz w:val="11"/>
                <w:szCs w:val="11"/>
                <w:color w:val="231F20"/>
                <w:w w:val="71"/>
              </w:rPr>
              <w:t>$</w:t>
            </w:r>
          </w:p>
        </w:tc>
        <w:tc>
          <w:tcPr>
            <w:tcW w:w="1420" w:type="dxa"/>
            <w:vAlign w:val="bottom"/>
            <w:tcBorders>
              <w:bottom w:val="single" w:sz="8" w:color="231F20"/>
            </w:tcBorders>
            <w:shd w:val="clear" w:color="auto" w:fill="FDFDFC"/>
          </w:tcPr>
          <w:p>
            <w:pPr>
              <w:jc w:val="right"/>
              <w:spacing w:after="0" w:line="164" w:lineRule="exact"/>
              <w:rPr>
                <w:sz w:val="20"/>
                <w:szCs w:val="20"/>
                <w:color w:val="auto"/>
              </w:rPr>
            </w:pPr>
            <w:r>
              <w:rPr>
                <w:rFonts w:ascii="Times New Roman" w:cs="Times New Roman" w:eastAsia="Times New Roman" w:hAnsi="Times New Roman"/>
                <w:sz w:val="15"/>
                <w:szCs w:val="15"/>
                <w:color w:val="231F20"/>
              </w:rPr>
              <w:t>25,196</w:t>
            </w:r>
          </w:p>
        </w:tc>
        <w:tc>
          <w:tcPr>
            <w:tcW w:w="240" w:type="dxa"/>
            <w:vAlign w:val="bottom"/>
            <w:tcBorders>
              <w:bottom w:val="single" w:sz="8" w:color="D0EBF2"/>
            </w:tcBorders>
            <w:shd w:val="clear" w:color="auto" w:fill="FDFDFC"/>
          </w:tcPr>
          <w:p>
            <w:pPr>
              <w:spacing w:after="0"/>
              <w:rPr>
                <w:sz w:val="17"/>
                <w:szCs w:val="17"/>
                <w:color w:val="auto"/>
              </w:rPr>
            </w:pPr>
          </w:p>
        </w:tc>
        <w:tc>
          <w:tcPr>
            <w:tcW w:w="80" w:type="dxa"/>
            <w:vAlign w:val="bottom"/>
            <w:tcBorders>
              <w:bottom w:val="single" w:sz="8" w:color="231F20"/>
            </w:tcBorders>
            <w:shd w:val="clear" w:color="auto" w:fill="FDFDFC"/>
          </w:tcPr>
          <w:p>
            <w:pPr>
              <w:jc w:val="right"/>
              <w:spacing w:after="0"/>
              <w:rPr>
                <w:sz w:val="20"/>
                <w:szCs w:val="20"/>
                <w:color w:val="auto"/>
              </w:rPr>
            </w:pPr>
            <w:r>
              <w:rPr>
                <w:rFonts w:ascii="Times New Roman" w:cs="Times New Roman" w:eastAsia="Times New Roman" w:hAnsi="Times New Roman"/>
                <w:sz w:val="11"/>
                <w:szCs w:val="11"/>
                <w:color w:val="231F20"/>
                <w:w w:val="71"/>
              </w:rPr>
              <w:t>$</w:t>
            </w:r>
          </w:p>
        </w:tc>
        <w:tc>
          <w:tcPr>
            <w:tcW w:w="1380" w:type="dxa"/>
            <w:vAlign w:val="bottom"/>
            <w:tcBorders>
              <w:bottom w:val="single" w:sz="8" w:color="231F20"/>
            </w:tcBorders>
            <w:shd w:val="clear" w:color="auto" w:fill="FDFDFC"/>
          </w:tcPr>
          <w:p>
            <w:pPr>
              <w:jc w:val="right"/>
              <w:spacing w:after="0" w:line="164" w:lineRule="exact"/>
              <w:rPr>
                <w:sz w:val="20"/>
                <w:szCs w:val="20"/>
                <w:color w:val="auto"/>
              </w:rPr>
            </w:pPr>
            <w:r>
              <w:rPr>
                <w:rFonts w:ascii="Times New Roman" w:cs="Times New Roman" w:eastAsia="Times New Roman" w:hAnsi="Times New Roman"/>
                <w:sz w:val="15"/>
                <w:szCs w:val="15"/>
                <w:color w:val="231F20"/>
              </w:rPr>
              <w:t>25,647</w:t>
            </w:r>
          </w:p>
        </w:tc>
        <w:tc>
          <w:tcPr>
            <w:tcW w:w="100" w:type="dxa"/>
            <w:vAlign w:val="bottom"/>
            <w:tcBorders>
              <w:bottom w:val="single" w:sz="8" w:color="D0EBF2"/>
            </w:tcBorders>
            <w:shd w:val="clear" w:color="auto" w:fill="FDFDFC"/>
          </w:tcPr>
          <w:p>
            <w:pPr>
              <w:spacing w:after="0"/>
              <w:rPr>
                <w:sz w:val="17"/>
                <w:szCs w:val="17"/>
                <w:color w:val="auto"/>
              </w:rPr>
            </w:pPr>
          </w:p>
        </w:tc>
        <w:tc>
          <w:tcPr>
            <w:tcW w:w="0" w:type="dxa"/>
            <w:vAlign w:val="bottom"/>
          </w:tcPr>
          <w:p>
            <w:pPr>
              <w:spacing w:after="0"/>
              <w:rPr>
                <w:sz w:val="1"/>
                <w:szCs w:val="1"/>
                <w:color w:val="auto"/>
              </w:rPr>
            </w:pPr>
          </w:p>
        </w:tc>
      </w:tr>
      <w:tr>
        <w:trPr>
          <w:trHeight w:val="156"/>
        </w:trPr>
        <w:tc>
          <w:tcPr>
            <w:tcW w:w="5100" w:type="dxa"/>
            <w:vAlign w:val="bottom"/>
            <w:shd w:val="clear" w:color="auto" w:fill="D0EBF2"/>
          </w:tcPr>
          <w:p>
            <w:pPr>
              <w:spacing w:after="0" w:line="156" w:lineRule="exact"/>
              <w:rPr>
                <w:sz w:val="20"/>
                <w:szCs w:val="20"/>
                <w:color w:val="auto"/>
              </w:rPr>
            </w:pPr>
            <w:r>
              <w:rPr>
                <w:rFonts w:ascii="Times New Roman" w:cs="Times New Roman" w:eastAsia="Times New Roman" w:hAnsi="Times New Roman"/>
                <w:sz w:val="15"/>
                <w:szCs w:val="15"/>
                <w:color w:val="231F20"/>
              </w:rPr>
              <w:t>Supplemental Information:</w:t>
            </w:r>
          </w:p>
        </w:tc>
        <w:tc>
          <w:tcPr>
            <w:tcW w:w="80" w:type="dxa"/>
            <w:vAlign w:val="bottom"/>
            <w:shd w:val="clear" w:color="auto" w:fill="D0EBF2"/>
          </w:tcPr>
          <w:p>
            <w:pPr>
              <w:spacing w:after="0"/>
              <w:rPr>
                <w:sz w:val="13"/>
                <w:szCs w:val="13"/>
                <w:color w:val="auto"/>
              </w:rPr>
            </w:pPr>
          </w:p>
        </w:tc>
        <w:tc>
          <w:tcPr>
            <w:tcW w:w="100" w:type="dxa"/>
            <w:vAlign w:val="bottom"/>
            <w:shd w:val="clear" w:color="auto" w:fill="D0EBF2"/>
          </w:tcPr>
          <w:p>
            <w:pPr>
              <w:spacing w:after="0"/>
              <w:rPr>
                <w:sz w:val="13"/>
                <w:szCs w:val="13"/>
                <w:color w:val="auto"/>
              </w:rPr>
            </w:pPr>
          </w:p>
        </w:tc>
        <w:tc>
          <w:tcPr>
            <w:tcW w:w="1380" w:type="dxa"/>
            <w:vAlign w:val="bottom"/>
            <w:shd w:val="clear" w:color="auto" w:fill="D0EBF2"/>
          </w:tcPr>
          <w:p>
            <w:pPr>
              <w:spacing w:after="0"/>
              <w:rPr>
                <w:sz w:val="13"/>
                <w:szCs w:val="13"/>
                <w:color w:val="auto"/>
              </w:rPr>
            </w:pPr>
          </w:p>
        </w:tc>
        <w:tc>
          <w:tcPr>
            <w:tcW w:w="100" w:type="dxa"/>
            <w:vAlign w:val="bottom"/>
            <w:shd w:val="clear" w:color="auto" w:fill="D0EBF2"/>
          </w:tcPr>
          <w:p>
            <w:pPr>
              <w:spacing w:after="0"/>
              <w:rPr>
                <w:sz w:val="13"/>
                <w:szCs w:val="13"/>
                <w:color w:val="auto"/>
              </w:rPr>
            </w:pPr>
          </w:p>
        </w:tc>
        <w:tc>
          <w:tcPr>
            <w:tcW w:w="120" w:type="dxa"/>
            <w:vAlign w:val="bottom"/>
            <w:shd w:val="clear" w:color="auto" w:fill="D0EBF2"/>
          </w:tcPr>
          <w:p>
            <w:pPr>
              <w:spacing w:after="0"/>
              <w:rPr>
                <w:sz w:val="13"/>
                <w:szCs w:val="13"/>
                <w:color w:val="auto"/>
              </w:rPr>
            </w:pPr>
          </w:p>
        </w:tc>
        <w:tc>
          <w:tcPr>
            <w:tcW w:w="100" w:type="dxa"/>
            <w:vAlign w:val="bottom"/>
            <w:shd w:val="clear" w:color="auto" w:fill="D0EBF2"/>
          </w:tcPr>
          <w:p>
            <w:pPr>
              <w:spacing w:after="0"/>
              <w:rPr>
                <w:sz w:val="13"/>
                <w:szCs w:val="13"/>
                <w:color w:val="auto"/>
              </w:rPr>
            </w:pPr>
          </w:p>
        </w:tc>
        <w:tc>
          <w:tcPr>
            <w:tcW w:w="1420" w:type="dxa"/>
            <w:vAlign w:val="bottom"/>
            <w:shd w:val="clear" w:color="auto" w:fill="D0EBF2"/>
          </w:tcPr>
          <w:p>
            <w:pPr>
              <w:spacing w:after="0"/>
              <w:rPr>
                <w:sz w:val="13"/>
                <w:szCs w:val="13"/>
                <w:color w:val="auto"/>
              </w:rPr>
            </w:pPr>
          </w:p>
        </w:tc>
        <w:tc>
          <w:tcPr>
            <w:tcW w:w="240" w:type="dxa"/>
            <w:vAlign w:val="bottom"/>
            <w:shd w:val="clear" w:color="auto" w:fill="D0EBF2"/>
          </w:tcPr>
          <w:p>
            <w:pPr>
              <w:spacing w:after="0"/>
              <w:rPr>
                <w:sz w:val="13"/>
                <w:szCs w:val="13"/>
                <w:color w:val="auto"/>
              </w:rPr>
            </w:pPr>
          </w:p>
        </w:tc>
        <w:tc>
          <w:tcPr>
            <w:tcW w:w="80" w:type="dxa"/>
            <w:vAlign w:val="bottom"/>
            <w:shd w:val="clear" w:color="auto" w:fill="D0EBF2"/>
          </w:tcPr>
          <w:p>
            <w:pPr>
              <w:spacing w:after="0"/>
              <w:rPr>
                <w:sz w:val="13"/>
                <w:szCs w:val="13"/>
                <w:color w:val="auto"/>
              </w:rPr>
            </w:pPr>
          </w:p>
        </w:tc>
        <w:tc>
          <w:tcPr>
            <w:tcW w:w="1380" w:type="dxa"/>
            <w:vAlign w:val="bottom"/>
            <w:shd w:val="clear" w:color="auto" w:fill="D0EBF2"/>
          </w:tcPr>
          <w:p>
            <w:pPr>
              <w:spacing w:after="0"/>
              <w:rPr>
                <w:sz w:val="13"/>
                <w:szCs w:val="13"/>
                <w:color w:val="auto"/>
              </w:rPr>
            </w:pPr>
          </w:p>
        </w:tc>
        <w:tc>
          <w:tcPr>
            <w:tcW w:w="100" w:type="dxa"/>
            <w:vAlign w:val="bottom"/>
            <w:shd w:val="clear" w:color="auto" w:fill="D0EBF2"/>
          </w:tcPr>
          <w:p>
            <w:pPr>
              <w:spacing w:after="0"/>
              <w:rPr>
                <w:sz w:val="13"/>
                <w:szCs w:val="13"/>
                <w:color w:val="auto"/>
              </w:rPr>
            </w:pPr>
          </w:p>
        </w:tc>
        <w:tc>
          <w:tcPr>
            <w:tcW w:w="0" w:type="dxa"/>
            <w:vAlign w:val="bottom"/>
          </w:tcPr>
          <w:p>
            <w:pPr>
              <w:spacing w:after="0"/>
              <w:rPr>
                <w:sz w:val="1"/>
                <w:szCs w:val="1"/>
                <w:color w:val="auto"/>
              </w:rPr>
            </w:pPr>
          </w:p>
        </w:tc>
      </w:tr>
      <w:tr>
        <w:trPr>
          <w:trHeight w:val="174"/>
        </w:trPr>
        <w:tc>
          <w:tcPr>
            <w:tcW w:w="5100" w:type="dxa"/>
            <w:vAlign w:val="bottom"/>
            <w:shd w:val="clear" w:color="auto" w:fill="FDFDFC"/>
          </w:tcPr>
          <w:p>
            <w:pPr>
              <w:ind w:left="380"/>
              <w:spacing w:after="0"/>
              <w:rPr>
                <w:sz w:val="20"/>
                <w:szCs w:val="20"/>
                <w:color w:val="auto"/>
              </w:rPr>
            </w:pPr>
            <w:r>
              <w:rPr>
                <w:rFonts w:ascii="Times New Roman" w:cs="Times New Roman" w:eastAsia="Times New Roman" w:hAnsi="Times New Roman"/>
                <w:sz w:val="15"/>
                <w:szCs w:val="15"/>
                <w:color w:val="231F20"/>
              </w:rPr>
              <w:t>Interest paid during the period</w:t>
            </w:r>
          </w:p>
        </w:tc>
        <w:tc>
          <w:tcPr>
            <w:tcW w:w="80" w:type="dxa"/>
            <w:vAlign w:val="bottom"/>
            <w:shd w:val="clear" w:color="auto" w:fill="FDFDFC"/>
          </w:tcPr>
          <w:p>
            <w:pPr>
              <w:spacing w:after="0"/>
              <w:rPr>
                <w:sz w:val="15"/>
                <w:szCs w:val="15"/>
                <w:color w:val="auto"/>
              </w:rPr>
            </w:pPr>
          </w:p>
        </w:tc>
        <w:tc>
          <w:tcPr>
            <w:tcW w:w="100" w:type="dxa"/>
            <w:vAlign w:val="bottom"/>
            <w:shd w:val="clear" w:color="auto" w:fill="FDFDFC"/>
          </w:tcPr>
          <w:p>
            <w:pPr>
              <w:jc w:val="right"/>
              <w:spacing w:after="0"/>
              <w:rPr>
                <w:sz w:val="20"/>
                <w:szCs w:val="20"/>
                <w:color w:val="auto"/>
              </w:rPr>
            </w:pPr>
            <w:r>
              <w:rPr>
                <w:rFonts w:ascii="Times New Roman" w:cs="Times New Roman" w:eastAsia="Times New Roman" w:hAnsi="Times New Roman"/>
                <w:sz w:val="11"/>
                <w:szCs w:val="11"/>
                <w:color w:val="231F20"/>
                <w:w w:val="71"/>
              </w:rPr>
              <w:t>$</w:t>
            </w:r>
          </w:p>
        </w:tc>
        <w:tc>
          <w:tcPr>
            <w:tcW w:w="1380" w:type="dxa"/>
            <w:vAlign w:val="bottom"/>
            <w:shd w:val="clear" w:color="auto" w:fill="FDFDFC"/>
          </w:tcPr>
          <w:p>
            <w:pPr>
              <w:jc w:val="right"/>
              <w:spacing w:after="0"/>
              <w:rPr>
                <w:sz w:val="20"/>
                <w:szCs w:val="20"/>
                <w:color w:val="auto"/>
              </w:rPr>
            </w:pPr>
            <w:r>
              <w:rPr>
                <w:rFonts w:ascii="Times New Roman" w:cs="Times New Roman" w:eastAsia="Times New Roman" w:hAnsi="Times New Roman"/>
                <w:sz w:val="15"/>
                <w:szCs w:val="15"/>
                <w:color w:val="231F20"/>
              </w:rPr>
              <w:t>139,783</w:t>
            </w:r>
          </w:p>
        </w:tc>
        <w:tc>
          <w:tcPr>
            <w:tcW w:w="100" w:type="dxa"/>
            <w:vAlign w:val="bottom"/>
            <w:shd w:val="clear" w:color="auto" w:fill="FDFDFC"/>
          </w:tcPr>
          <w:p>
            <w:pPr>
              <w:spacing w:after="0"/>
              <w:rPr>
                <w:sz w:val="15"/>
                <w:szCs w:val="15"/>
                <w:color w:val="auto"/>
              </w:rPr>
            </w:pPr>
          </w:p>
        </w:tc>
        <w:tc>
          <w:tcPr>
            <w:tcW w:w="120" w:type="dxa"/>
            <w:vAlign w:val="bottom"/>
            <w:shd w:val="clear" w:color="auto" w:fill="FDFDFC"/>
          </w:tcPr>
          <w:p>
            <w:pPr>
              <w:spacing w:after="0"/>
              <w:rPr>
                <w:sz w:val="15"/>
                <w:szCs w:val="15"/>
                <w:color w:val="auto"/>
              </w:rPr>
            </w:pPr>
          </w:p>
        </w:tc>
        <w:tc>
          <w:tcPr>
            <w:tcW w:w="100" w:type="dxa"/>
            <w:vAlign w:val="bottom"/>
            <w:shd w:val="clear" w:color="auto" w:fill="FDFDFC"/>
          </w:tcPr>
          <w:p>
            <w:pPr>
              <w:jc w:val="right"/>
              <w:spacing w:after="0"/>
              <w:rPr>
                <w:sz w:val="20"/>
                <w:szCs w:val="20"/>
                <w:color w:val="auto"/>
              </w:rPr>
            </w:pPr>
            <w:r>
              <w:rPr>
                <w:rFonts w:ascii="Times New Roman" w:cs="Times New Roman" w:eastAsia="Times New Roman" w:hAnsi="Times New Roman"/>
                <w:sz w:val="11"/>
                <w:szCs w:val="11"/>
                <w:color w:val="231F20"/>
                <w:w w:val="71"/>
              </w:rPr>
              <w:t>$</w:t>
            </w:r>
          </w:p>
        </w:tc>
        <w:tc>
          <w:tcPr>
            <w:tcW w:w="1420" w:type="dxa"/>
            <w:vAlign w:val="bottom"/>
            <w:shd w:val="clear" w:color="auto" w:fill="FDFDFC"/>
          </w:tcPr>
          <w:p>
            <w:pPr>
              <w:jc w:val="right"/>
              <w:spacing w:after="0"/>
              <w:rPr>
                <w:sz w:val="20"/>
                <w:szCs w:val="20"/>
                <w:color w:val="auto"/>
              </w:rPr>
            </w:pPr>
            <w:r>
              <w:rPr>
                <w:rFonts w:ascii="Times New Roman" w:cs="Times New Roman" w:eastAsia="Times New Roman" w:hAnsi="Times New Roman"/>
                <w:sz w:val="15"/>
                <w:szCs w:val="15"/>
                <w:color w:val="231F20"/>
              </w:rPr>
              <w:t>119,396</w:t>
            </w:r>
          </w:p>
        </w:tc>
        <w:tc>
          <w:tcPr>
            <w:tcW w:w="240" w:type="dxa"/>
            <w:vAlign w:val="bottom"/>
            <w:shd w:val="clear" w:color="auto" w:fill="FDFDFC"/>
          </w:tcPr>
          <w:p>
            <w:pPr>
              <w:spacing w:after="0"/>
              <w:rPr>
                <w:sz w:val="15"/>
                <w:szCs w:val="15"/>
                <w:color w:val="auto"/>
              </w:rPr>
            </w:pPr>
          </w:p>
        </w:tc>
        <w:tc>
          <w:tcPr>
            <w:tcW w:w="80" w:type="dxa"/>
            <w:vAlign w:val="bottom"/>
            <w:shd w:val="clear" w:color="auto" w:fill="FDFDFC"/>
          </w:tcPr>
          <w:p>
            <w:pPr>
              <w:jc w:val="right"/>
              <w:spacing w:after="0"/>
              <w:rPr>
                <w:sz w:val="20"/>
                <w:szCs w:val="20"/>
                <w:color w:val="auto"/>
              </w:rPr>
            </w:pPr>
            <w:r>
              <w:rPr>
                <w:rFonts w:ascii="Times New Roman" w:cs="Times New Roman" w:eastAsia="Times New Roman" w:hAnsi="Times New Roman"/>
                <w:sz w:val="11"/>
                <w:szCs w:val="11"/>
                <w:color w:val="231F20"/>
                <w:w w:val="71"/>
              </w:rPr>
              <w:t>$</w:t>
            </w:r>
          </w:p>
        </w:tc>
        <w:tc>
          <w:tcPr>
            <w:tcW w:w="1380" w:type="dxa"/>
            <w:vAlign w:val="bottom"/>
            <w:shd w:val="clear" w:color="auto" w:fill="FDFDFC"/>
          </w:tcPr>
          <w:p>
            <w:pPr>
              <w:jc w:val="right"/>
              <w:spacing w:after="0"/>
              <w:rPr>
                <w:sz w:val="20"/>
                <w:szCs w:val="20"/>
                <w:color w:val="auto"/>
              </w:rPr>
            </w:pPr>
            <w:r>
              <w:rPr>
                <w:rFonts w:ascii="Times New Roman" w:cs="Times New Roman" w:eastAsia="Times New Roman" w:hAnsi="Times New Roman"/>
                <w:sz w:val="15"/>
                <w:szCs w:val="15"/>
                <w:color w:val="231F20"/>
              </w:rPr>
              <w:t>55,584</w:t>
            </w:r>
          </w:p>
        </w:tc>
        <w:tc>
          <w:tcPr>
            <w:tcW w:w="100" w:type="dxa"/>
            <w:vAlign w:val="bottom"/>
            <w:shd w:val="clear" w:color="auto" w:fill="FDFDFC"/>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5100" w:type="dxa"/>
            <w:vAlign w:val="bottom"/>
            <w:shd w:val="clear" w:color="auto" w:fill="D0EBF2"/>
          </w:tcPr>
          <w:p>
            <w:pPr>
              <w:ind w:left="380"/>
              <w:spacing w:after="0"/>
              <w:rPr>
                <w:sz w:val="20"/>
                <w:szCs w:val="20"/>
                <w:color w:val="auto"/>
              </w:rPr>
            </w:pPr>
            <w:r>
              <w:rPr>
                <w:rFonts w:ascii="Times New Roman" w:cs="Times New Roman" w:eastAsia="Times New Roman" w:hAnsi="Times New Roman"/>
                <w:sz w:val="15"/>
                <w:szCs w:val="15"/>
                <w:color w:val="231F20"/>
              </w:rPr>
              <w:t>Excise and other taxes paid during the period</w:t>
            </w:r>
          </w:p>
        </w:tc>
        <w:tc>
          <w:tcPr>
            <w:tcW w:w="180" w:type="dxa"/>
            <w:vAlign w:val="bottom"/>
            <w:gridSpan w:val="2"/>
            <w:shd w:val="clear" w:color="auto" w:fill="D0EBF2"/>
          </w:tcPr>
          <w:p>
            <w:pPr>
              <w:jc w:val="right"/>
              <w:spacing w:after="0"/>
              <w:rPr>
                <w:sz w:val="20"/>
                <w:szCs w:val="20"/>
                <w:color w:val="auto"/>
              </w:rPr>
            </w:pPr>
            <w:r>
              <w:rPr>
                <w:rFonts w:ascii="Times New Roman" w:cs="Times New Roman" w:eastAsia="Times New Roman" w:hAnsi="Times New Roman"/>
                <w:sz w:val="15"/>
                <w:szCs w:val="15"/>
                <w:color w:val="231F20"/>
              </w:rPr>
              <w:t>$</w:t>
            </w:r>
          </w:p>
        </w:tc>
        <w:tc>
          <w:tcPr>
            <w:tcW w:w="1380" w:type="dxa"/>
            <w:vAlign w:val="bottom"/>
            <w:shd w:val="clear" w:color="auto" w:fill="D0EBF2"/>
          </w:tcPr>
          <w:p>
            <w:pPr>
              <w:jc w:val="right"/>
              <w:spacing w:after="0"/>
              <w:rPr>
                <w:sz w:val="20"/>
                <w:szCs w:val="20"/>
                <w:color w:val="auto"/>
              </w:rPr>
            </w:pPr>
            <w:r>
              <w:rPr>
                <w:rFonts w:ascii="Times New Roman" w:cs="Times New Roman" w:eastAsia="Times New Roman" w:hAnsi="Times New Roman"/>
                <w:sz w:val="15"/>
                <w:szCs w:val="15"/>
                <w:color w:val="231F20"/>
              </w:rPr>
              <w:t>2,280</w:t>
            </w:r>
          </w:p>
        </w:tc>
        <w:tc>
          <w:tcPr>
            <w:tcW w:w="100" w:type="dxa"/>
            <w:vAlign w:val="bottom"/>
            <w:shd w:val="clear" w:color="auto" w:fill="D0EBF2"/>
          </w:tcPr>
          <w:p>
            <w:pPr>
              <w:spacing w:after="0"/>
              <w:rPr>
                <w:sz w:val="15"/>
                <w:szCs w:val="15"/>
                <w:color w:val="auto"/>
              </w:rPr>
            </w:pPr>
          </w:p>
        </w:tc>
        <w:tc>
          <w:tcPr>
            <w:tcW w:w="120" w:type="dxa"/>
            <w:vAlign w:val="bottom"/>
            <w:shd w:val="clear" w:color="auto" w:fill="D0EBF2"/>
          </w:tcPr>
          <w:p>
            <w:pPr>
              <w:spacing w:after="0"/>
              <w:rPr>
                <w:sz w:val="15"/>
                <w:szCs w:val="15"/>
                <w:color w:val="auto"/>
              </w:rPr>
            </w:pPr>
          </w:p>
        </w:tc>
        <w:tc>
          <w:tcPr>
            <w:tcW w:w="100" w:type="dxa"/>
            <w:vAlign w:val="bottom"/>
            <w:shd w:val="clear" w:color="auto" w:fill="D0EBF2"/>
          </w:tcPr>
          <w:p>
            <w:pPr>
              <w:jc w:val="right"/>
              <w:spacing w:after="0"/>
              <w:rPr>
                <w:sz w:val="20"/>
                <w:szCs w:val="20"/>
                <w:color w:val="auto"/>
              </w:rPr>
            </w:pPr>
            <w:r>
              <w:rPr>
                <w:rFonts w:ascii="Times New Roman" w:cs="Times New Roman" w:eastAsia="Times New Roman" w:hAnsi="Times New Roman"/>
                <w:sz w:val="11"/>
                <w:szCs w:val="11"/>
                <w:color w:val="231F20"/>
                <w:w w:val="71"/>
              </w:rPr>
              <w:t>$</w:t>
            </w:r>
          </w:p>
        </w:tc>
        <w:tc>
          <w:tcPr>
            <w:tcW w:w="1420" w:type="dxa"/>
            <w:vAlign w:val="bottom"/>
            <w:shd w:val="clear" w:color="auto" w:fill="D0EBF2"/>
          </w:tcPr>
          <w:p>
            <w:pPr>
              <w:jc w:val="right"/>
              <w:spacing w:after="0"/>
              <w:rPr>
                <w:sz w:val="20"/>
                <w:szCs w:val="20"/>
                <w:color w:val="auto"/>
              </w:rPr>
            </w:pPr>
            <w:r>
              <w:rPr>
                <w:rFonts w:ascii="Times New Roman" w:cs="Times New Roman" w:eastAsia="Times New Roman" w:hAnsi="Times New Roman"/>
                <w:sz w:val="15"/>
                <w:szCs w:val="15"/>
                <w:color w:val="231F20"/>
              </w:rPr>
              <w:t>2,437</w:t>
            </w:r>
          </w:p>
        </w:tc>
        <w:tc>
          <w:tcPr>
            <w:tcW w:w="240" w:type="dxa"/>
            <w:vAlign w:val="bottom"/>
            <w:shd w:val="clear" w:color="auto" w:fill="D0EBF2"/>
          </w:tcPr>
          <w:p>
            <w:pPr>
              <w:spacing w:after="0"/>
              <w:rPr>
                <w:sz w:val="15"/>
                <w:szCs w:val="15"/>
                <w:color w:val="auto"/>
              </w:rPr>
            </w:pPr>
          </w:p>
        </w:tc>
        <w:tc>
          <w:tcPr>
            <w:tcW w:w="80" w:type="dxa"/>
            <w:vAlign w:val="bottom"/>
            <w:shd w:val="clear" w:color="auto" w:fill="D0EBF2"/>
          </w:tcPr>
          <w:p>
            <w:pPr>
              <w:jc w:val="right"/>
              <w:spacing w:after="0"/>
              <w:rPr>
                <w:sz w:val="20"/>
                <w:szCs w:val="20"/>
                <w:color w:val="auto"/>
              </w:rPr>
            </w:pPr>
            <w:r>
              <w:rPr>
                <w:rFonts w:ascii="Times New Roman" w:cs="Times New Roman" w:eastAsia="Times New Roman" w:hAnsi="Times New Roman"/>
                <w:sz w:val="11"/>
                <w:szCs w:val="11"/>
                <w:color w:val="231F20"/>
                <w:w w:val="71"/>
              </w:rPr>
              <w:t>$</w:t>
            </w:r>
          </w:p>
        </w:tc>
        <w:tc>
          <w:tcPr>
            <w:tcW w:w="1380" w:type="dxa"/>
            <w:vAlign w:val="bottom"/>
            <w:shd w:val="clear" w:color="auto" w:fill="D0EBF2"/>
          </w:tcPr>
          <w:p>
            <w:pPr>
              <w:jc w:val="right"/>
              <w:spacing w:after="0"/>
              <w:rPr>
                <w:sz w:val="20"/>
                <w:szCs w:val="20"/>
                <w:color w:val="auto"/>
              </w:rPr>
            </w:pPr>
            <w:r>
              <w:rPr>
                <w:rFonts w:ascii="Times New Roman" w:cs="Times New Roman" w:eastAsia="Times New Roman" w:hAnsi="Times New Roman"/>
                <w:sz w:val="15"/>
                <w:szCs w:val="15"/>
                <w:color w:val="231F20"/>
              </w:rPr>
              <w:t>1,672</w:t>
            </w:r>
          </w:p>
        </w:tc>
        <w:tc>
          <w:tcPr>
            <w:tcW w:w="100" w:type="dxa"/>
            <w:vAlign w:val="bottom"/>
            <w:shd w:val="clear" w:color="auto" w:fill="D0EBF2"/>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5100" w:type="dxa"/>
            <w:vAlign w:val="bottom"/>
            <w:shd w:val="clear" w:color="auto" w:fill="FDFDFC"/>
          </w:tcPr>
          <w:p>
            <w:pPr>
              <w:ind w:left="380"/>
              <w:spacing w:after="0"/>
              <w:rPr>
                <w:sz w:val="20"/>
                <w:szCs w:val="20"/>
                <w:color w:val="auto"/>
              </w:rPr>
            </w:pPr>
            <w:r>
              <w:rPr>
                <w:rFonts w:ascii="Times New Roman" w:cs="Times New Roman" w:eastAsia="Times New Roman" w:hAnsi="Times New Roman"/>
                <w:sz w:val="15"/>
                <w:szCs w:val="15"/>
                <w:color w:val="231F20"/>
              </w:rPr>
              <w:t>Dividends declared during the period</w:t>
            </w:r>
          </w:p>
        </w:tc>
        <w:tc>
          <w:tcPr>
            <w:tcW w:w="180" w:type="dxa"/>
            <w:vAlign w:val="bottom"/>
            <w:gridSpan w:val="2"/>
            <w:shd w:val="clear" w:color="auto" w:fill="FDFDFC"/>
          </w:tcPr>
          <w:p>
            <w:pPr>
              <w:jc w:val="right"/>
              <w:spacing w:after="0"/>
              <w:rPr>
                <w:sz w:val="20"/>
                <w:szCs w:val="20"/>
                <w:color w:val="auto"/>
              </w:rPr>
            </w:pPr>
            <w:r>
              <w:rPr>
                <w:rFonts w:ascii="Times New Roman" w:cs="Times New Roman" w:eastAsia="Times New Roman" w:hAnsi="Times New Roman"/>
                <w:sz w:val="15"/>
                <w:szCs w:val="15"/>
                <w:color w:val="231F20"/>
              </w:rPr>
              <w:t>$</w:t>
            </w:r>
          </w:p>
        </w:tc>
        <w:tc>
          <w:tcPr>
            <w:tcW w:w="1380" w:type="dxa"/>
            <w:vAlign w:val="bottom"/>
            <w:shd w:val="clear" w:color="auto" w:fill="FDFDFC"/>
          </w:tcPr>
          <w:p>
            <w:pPr>
              <w:jc w:val="right"/>
              <w:spacing w:after="0"/>
              <w:rPr>
                <w:sz w:val="20"/>
                <w:szCs w:val="20"/>
                <w:color w:val="auto"/>
              </w:rPr>
            </w:pPr>
            <w:r>
              <w:rPr>
                <w:rFonts w:ascii="Times New Roman" w:cs="Times New Roman" w:eastAsia="Times New Roman" w:hAnsi="Times New Roman"/>
                <w:sz w:val="15"/>
                <w:szCs w:val="15"/>
                <w:color w:val="231F20"/>
              </w:rPr>
              <w:t>193,443</w:t>
            </w:r>
          </w:p>
        </w:tc>
        <w:tc>
          <w:tcPr>
            <w:tcW w:w="100" w:type="dxa"/>
            <w:vAlign w:val="bottom"/>
            <w:shd w:val="clear" w:color="auto" w:fill="FDFDFC"/>
          </w:tcPr>
          <w:p>
            <w:pPr>
              <w:spacing w:after="0"/>
              <w:rPr>
                <w:sz w:val="15"/>
                <w:szCs w:val="15"/>
                <w:color w:val="auto"/>
              </w:rPr>
            </w:pPr>
          </w:p>
        </w:tc>
        <w:tc>
          <w:tcPr>
            <w:tcW w:w="120" w:type="dxa"/>
            <w:vAlign w:val="bottom"/>
            <w:shd w:val="clear" w:color="auto" w:fill="FDFDFC"/>
          </w:tcPr>
          <w:p>
            <w:pPr>
              <w:spacing w:after="0"/>
              <w:rPr>
                <w:sz w:val="15"/>
                <w:szCs w:val="15"/>
                <w:color w:val="auto"/>
              </w:rPr>
            </w:pPr>
          </w:p>
        </w:tc>
        <w:tc>
          <w:tcPr>
            <w:tcW w:w="100" w:type="dxa"/>
            <w:vAlign w:val="bottom"/>
            <w:shd w:val="clear" w:color="auto" w:fill="FDFDFC"/>
          </w:tcPr>
          <w:p>
            <w:pPr>
              <w:jc w:val="right"/>
              <w:spacing w:after="0"/>
              <w:rPr>
                <w:sz w:val="20"/>
                <w:szCs w:val="20"/>
                <w:color w:val="auto"/>
              </w:rPr>
            </w:pPr>
            <w:r>
              <w:rPr>
                <w:rFonts w:ascii="Times New Roman" w:cs="Times New Roman" w:eastAsia="Times New Roman" w:hAnsi="Times New Roman"/>
                <w:sz w:val="11"/>
                <w:szCs w:val="11"/>
                <w:color w:val="231F20"/>
                <w:w w:val="71"/>
              </w:rPr>
              <w:t>$</w:t>
            </w:r>
          </w:p>
        </w:tc>
        <w:tc>
          <w:tcPr>
            <w:tcW w:w="1420" w:type="dxa"/>
            <w:vAlign w:val="bottom"/>
            <w:shd w:val="clear" w:color="auto" w:fill="FDFDFC"/>
          </w:tcPr>
          <w:p>
            <w:pPr>
              <w:jc w:val="right"/>
              <w:spacing w:after="0"/>
              <w:rPr>
                <w:sz w:val="20"/>
                <w:szCs w:val="20"/>
                <w:color w:val="auto"/>
              </w:rPr>
            </w:pPr>
            <w:r>
              <w:rPr>
                <w:rFonts w:ascii="Times New Roman" w:cs="Times New Roman" w:eastAsia="Times New Roman" w:hAnsi="Times New Roman"/>
                <w:sz w:val="15"/>
                <w:szCs w:val="15"/>
                <w:color w:val="231F20"/>
              </w:rPr>
              <w:t>179,966</w:t>
            </w:r>
          </w:p>
        </w:tc>
        <w:tc>
          <w:tcPr>
            <w:tcW w:w="240" w:type="dxa"/>
            <w:vAlign w:val="bottom"/>
            <w:shd w:val="clear" w:color="auto" w:fill="FDFDFC"/>
          </w:tcPr>
          <w:p>
            <w:pPr>
              <w:spacing w:after="0"/>
              <w:rPr>
                <w:sz w:val="15"/>
                <w:szCs w:val="15"/>
                <w:color w:val="auto"/>
              </w:rPr>
            </w:pPr>
          </w:p>
        </w:tc>
        <w:tc>
          <w:tcPr>
            <w:tcW w:w="80" w:type="dxa"/>
            <w:vAlign w:val="bottom"/>
            <w:shd w:val="clear" w:color="auto" w:fill="FDFDFC"/>
          </w:tcPr>
          <w:p>
            <w:pPr>
              <w:jc w:val="right"/>
              <w:spacing w:after="0"/>
              <w:rPr>
                <w:sz w:val="20"/>
                <w:szCs w:val="20"/>
                <w:color w:val="auto"/>
              </w:rPr>
            </w:pPr>
            <w:r>
              <w:rPr>
                <w:rFonts w:ascii="Times New Roman" w:cs="Times New Roman" w:eastAsia="Times New Roman" w:hAnsi="Times New Roman"/>
                <w:sz w:val="11"/>
                <w:szCs w:val="11"/>
                <w:color w:val="231F20"/>
                <w:w w:val="71"/>
              </w:rPr>
              <w:t>$</w:t>
            </w:r>
          </w:p>
        </w:tc>
        <w:tc>
          <w:tcPr>
            <w:tcW w:w="1380" w:type="dxa"/>
            <w:vAlign w:val="bottom"/>
            <w:shd w:val="clear" w:color="auto" w:fill="FDFDFC"/>
          </w:tcPr>
          <w:p>
            <w:pPr>
              <w:jc w:val="right"/>
              <w:spacing w:after="0"/>
              <w:rPr>
                <w:sz w:val="20"/>
                <w:szCs w:val="20"/>
                <w:color w:val="auto"/>
              </w:rPr>
            </w:pPr>
            <w:r>
              <w:rPr>
                <w:rFonts w:ascii="Times New Roman" w:cs="Times New Roman" w:eastAsia="Times New Roman" w:hAnsi="Times New Roman"/>
                <w:sz w:val="15"/>
                <w:szCs w:val="15"/>
                <w:color w:val="231F20"/>
              </w:rPr>
              <w:t>144,322</w:t>
            </w:r>
          </w:p>
        </w:tc>
        <w:tc>
          <w:tcPr>
            <w:tcW w:w="100" w:type="dxa"/>
            <w:vAlign w:val="bottom"/>
            <w:shd w:val="clear" w:color="auto" w:fill="FDFDFC"/>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5100" w:type="dxa"/>
            <w:vAlign w:val="bottom"/>
            <w:shd w:val="clear" w:color="auto" w:fill="D0EBF2"/>
          </w:tcPr>
          <w:p>
            <w:pPr>
              <w:spacing w:after="0"/>
              <w:rPr>
                <w:sz w:val="15"/>
                <w:szCs w:val="15"/>
                <w:color w:val="auto"/>
              </w:rPr>
            </w:pPr>
          </w:p>
        </w:tc>
        <w:tc>
          <w:tcPr>
            <w:tcW w:w="80" w:type="dxa"/>
            <w:vAlign w:val="bottom"/>
            <w:shd w:val="clear" w:color="auto" w:fill="D0EBF2"/>
          </w:tcPr>
          <w:p>
            <w:pPr>
              <w:spacing w:after="0"/>
              <w:rPr>
                <w:sz w:val="15"/>
                <w:szCs w:val="15"/>
                <w:color w:val="auto"/>
              </w:rPr>
            </w:pPr>
          </w:p>
        </w:tc>
        <w:tc>
          <w:tcPr>
            <w:tcW w:w="100" w:type="dxa"/>
            <w:vAlign w:val="bottom"/>
            <w:shd w:val="clear" w:color="auto" w:fill="D0EBF2"/>
          </w:tcPr>
          <w:p>
            <w:pPr>
              <w:spacing w:after="0"/>
              <w:rPr>
                <w:sz w:val="15"/>
                <w:szCs w:val="15"/>
                <w:color w:val="auto"/>
              </w:rPr>
            </w:pPr>
          </w:p>
        </w:tc>
        <w:tc>
          <w:tcPr>
            <w:tcW w:w="1380" w:type="dxa"/>
            <w:vAlign w:val="bottom"/>
            <w:shd w:val="clear" w:color="auto" w:fill="D0EBF2"/>
          </w:tcPr>
          <w:p>
            <w:pPr>
              <w:spacing w:after="0"/>
              <w:rPr>
                <w:sz w:val="15"/>
                <w:szCs w:val="15"/>
                <w:color w:val="auto"/>
              </w:rPr>
            </w:pPr>
          </w:p>
        </w:tc>
        <w:tc>
          <w:tcPr>
            <w:tcW w:w="100" w:type="dxa"/>
            <w:vAlign w:val="bottom"/>
            <w:shd w:val="clear" w:color="auto" w:fill="D0EBF2"/>
          </w:tcPr>
          <w:p>
            <w:pPr>
              <w:spacing w:after="0"/>
              <w:rPr>
                <w:sz w:val="15"/>
                <w:szCs w:val="15"/>
                <w:color w:val="auto"/>
              </w:rPr>
            </w:pPr>
          </w:p>
        </w:tc>
        <w:tc>
          <w:tcPr>
            <w:tcW w:w="120" w:type="dxa"/>
            <w:vAlign w:val="bottom"/>
            <w:shd w:val="clear" w:color="auto" w:fill="D0EBF2"/>
          </w:tcPr>
          <w:p>
            <w:pPr>
              <w:spacing w:after="0"/>
              <w:rPr>
                <w:sz w:val="15"/>
                <w:szCs w:val="15"/>
                <w:color w:val="auto"/>
              </w:rPr>
            </w:pPr>
          </w:p>
        </w:tc>
        <w:tc>
          <w:tcPr>
            <w:tcW w:w="100" w:type="dxa"/>
            <w:vAlign w:val="bottom"/>
            <w:shd w:val="clear" w:color="auto" w:fill="D0EBF2"/>
          </w:tcPr>
          <w:p>
            <w:pPr>
              <w:spacing w:after="0"/>
              <w:rPr>
                <w:sz w:val="15"/>
                <w:szCs w:val="15"/>
                <w:color w:val="auto"/>
              </w:rPr>
            </w:pPr>
          </w:p>
        </w:tc>
        <w:tc>
          <w:tcPr>
            <w:tcW w:w="1420" w:type="dxa"/>
            <w:vAlign w:val="bottom"/>
            <w:shd w:val="clear" w:color="auto" w:fill="D0EBF2"/>
          </w:tcPr>
          <w:p>
            <w:pPr>
              <w:spacing w:after="0"/>
              <w:rPr>
                <w:sz w:val="15"/>
                <w:szCs w:val="15"/>
                <w:color w:val="auto"/>
              </w:rPr>
            </w:pPr>
          </w:p>
        </w:tc>
        <w:tc>
          <w:tcPr>
            <w:tcW w:w="240" w:type="dxa"/>
            <w:vAlign w:val="bottom"/>
            <w:shd w:val="clear" w:color="auto" w:fill="D0EBF2"/>
          </w:tcPr>
          <w:p>
            <w:pPr>
              <w:spacing w:after="0"/>
              <w:rPr>
                <w:sz w:val="15"/>
                <w:szCs w:val="15"/>
                <w:color w:val="auto"/>
              </w:rPr>
            </w:pPr>
          </w:p>
        </w:tc>
        <w:tc>
          <w:tcPr>
            <w:tcW w:w="80" w:type="dxa"/>
            <w:vAlign w:val="bottom"/>
            <w:shd w:val="clear" w:color="auto" w:fill="D0EBF2"/>
          </w:tcPr>
          <w:p>
            <w:pPr>
              <w:spacing w:after="0"/>
              <w:rPr>
                <w:sz w:val="15"/>
                <w:szCs w:val="15"/>
                <w:color w:val="auto"/>
              </w:rPr>
            </w:pPr>
          </w:p>
        </w:tc>
        <w:tc>
          <w:tcPr>
            <w:tcW w:w="1380" w:type="dxa"/>
            <w:vAlign w:val="bottom"/>
            <w:shd w:val="clear" w:color="auto" w:fill="D0EBF2"/>
          </w:tcPr>
          <w:p>
            <w:pPr>
              <w:spacing w:after="0"/>
              <w:rPr>
                <w:sz w:val="15"/>
                <w:szCs w:val="15"/>
                <w:color w:val="auto"/>
              </w:rPr>
            </w:pPr>
          </w:p>
        </w:tc>
        <w:tc>
          <w:tcPr>
            <w:tcW w:w="100" w:type="dxa"/>
            <w:vAlign w:val="bottom"/>
            <w:shd w:val="clear" w:color="auto" w:fill="D0EBF2"/>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5100" w:type="dxa"/>
            <w:vAlign w:val="bottom"/>
            <w:shd w:val="clear" w:color="auto" w:fill="FDFDFC"/>
          </w:tcPr>
          <w:p>
            <w:pPr>
              <w:spacing w:after="0"/>
              <w:rPr>
                <w:sz w:val="20"/>
                <w:szCs w:val="20"/>
                <w:color w:val="auto"/>
              </w:rPr>
            </w:pPr>
            <w:r>
              <w:rPr>
                <w:rFonts w:ascii="Times New Roman" w:cs="Times New Roman" w:eastAsia="Times New Roman" w:hAnsi="Times New Roman"/>
                <w:sz w:val="15"/>
                <w:szCs w:val="15"/>
                <w:color w:val="231F20"/>
              </w:rPr>
              <w:t>Non-Cash Financing Activities:</w:t>
            </w:r>
          </w:p>
        </w:tc>
        <w:tc>
          <w:tcPr>
            <w:tcW w:w="80" w:type="dxa"/>
            <w:vAlign w:val="bottom"/>
            <w:shd w:val="clear" w:color="auto" w:fill="FDFDFC"/>
          </w:tcPr>
          <w:p>
            <w:pPr>
              <w:spacing w:after="0"/>
              <w:rPr>
                <w:sz w:val="15"/>
                <w:szCs w:val="15"/>
                <w:color w:val="auto"/>
              </w:rPr>
            </w:pPr>
          </w:p>
        </w:tc>
        <w:tc>
          <w:tcPr>
            <w:tcW w:w="100" w:type="dxa"/>
            <w:vAlign w:val="bottom"/>
            <w:shd w:val="clear" w:color="auto" w:fill="FDFDFC"/>
          </w:tcPr>
          <w:p>
            <w:pPr>
              <w:spacing w:after="0"/>
              <w:rPr>
                <w:sz w:val="15"/>
                <w:szCs w:val="15"/>
                <w:color w:val="auto"/>
              </w:rPr>
            </w:pPr>
          </w:p>
        </w:tc>
        <w:tc>
          <w:tcPr>
            <w:tcW w:w="1380" w:type="dxa"/>
            <w:vAlign w:val="bottom"/>
            <w:shd w:val="clear" w:color="auto" w:fill="FDFDFC"/>
          </w:tcPr>
          <w:p>
            <w:pPr>
              <w:spacing w:after="0"/>
              <w:rPr>
                <w:sz w:val="15"/>
                <w:szCs w:val="15"/>
                <w:color w:val="auto"/>
              </w:rPr>
            </w:pPr>
          </w:p>
        </w:tc>
        <w:tc>
          <w:tcPr>
            <w:tcW w:w="100" w:type="dxa"/>
            <w:vAlign w:val="bottom"/>
            <w:shd w:val="clear" w:color="auto" w:fill="FDFDFC"/>
          </w:tcPr>
          <w:p>
            <w:pPr>
              <w:spacing w:after="0"/>
              <w:rPr>
                <w:sz w:val="15"/>
                <w:szCs w:val="15"/>
                <w:color w:val="auto"/>
              </w:rPr>
            </w:pPr>
          </w:p>
        </w:tc>
        <w:tc>
          <w:tcPr>
            <w:tcW w:w="120" w:type="dxa"/>
            <w:vAlign w:val="bottom"/>
            <w:shd w:val="clear" w:color="auto" w:fill="FDFDFC"/>
          </w:tcPr>
          <w:p>
            <w:pPr>
              <w:spacing w:after="0"/>
              <w:rPr>
                <w:sz w:val="15"/>
                <w:szCs w:val="15"/>
                <w:color w:val="auto"/>
              </w:rPr>
            </w:pPr>
          </w:p>
        </w:tc>
        <w:tc>
          <w:tcPr>
            <w:tcW w:w="100" w:type="dxa"/>
            <w:vAlign w:val="bottom"/>
            <w:shd w:val="clear" w:color="auto" w:fill="FDFDFC"/>
          </w:tcPr>
          <w:p>
            <w:pPr>
              <w:spacing w:after="0"/>
              <w:rPr>
                <w:sz w:val="15"/>
                <w:szCs w:val="15"/>
                <w:color w:val="auto"/>
              </w:rPr>
            </w:pPr>
          </w:p>
        </w:tc>
        <w:tc>
          <w:tcPr>
            <w:tcW w:w="1420" w:type="dxa"/>
            <w:vAlign w:val="bottom"/>
            <w:shd w:val="clear" w:color="auto" w:fill="FDFDFC"/>
          </w:tcPr>
          <w:p>
            <w:pPr>
              <w:spacing w:after="0"/>
              <w:rPr>
                <w:sz w:val="15"/>
                <w:szCs w:val="15"/>
                <w:color w:val="auto"/>
              </w:rPr>
            </w:pPr>
          </w:p>
        </w:tc>
        <w:tc>
          <w:tcPr>
            <w:tcW w:w="240" w:type="dxa"/>
            <w:vAlign w:val="bottom"/>
            <w:shd w:val="clear" w:color="auto" w:fill="FDFDFC"/>
          </w:tcPr>
          <w:p>
            <w:pPr>
              <w:spacing w:after="0"/>
              <w:rPr>
                <w:sz w:val="15"/>
                <w:szCs w:val="15"/>
                <w:color w:val="auto"/>
              </w:rPr>
            </w:pPr>
          </w:p>
        </w:tc>
        <w:tc>
          <w:tcPr>
            <w:tcW w:w="80" w:type="dxa"/>
            <w:vAlign w:val="bottom"/>
            <w:shd w:val="clear" w:color="auto" w:fill="FDFDFC"/>
          </w:tcPr>
          <w:p>
            <w:pPr>
              <w:spacing w:after="0"/>
              <w:rPr>
                <w:sz w:val="15"/>
                <w:szCs w:val="15"/>
                <w:color w:val="auto"/>
              </w:rPr>
            </w:pPr>
          </w:p>
        </w:tc>
        <w:tc>
          <w:tcPr>
            <w:tcW w:w="1380" w:type="dxa"/>
            <w:vAlign w:val="bottom"/>
            <w:shd w:val="clear" w:color="auto" w:fill="FDFDFC"/>
          </w:tcPr>
          <w:p>
            <w:pPr>
              <w:spacing w:after="0"/>
              <w:rPr>
                <w:sz w:val="15"/>
                <w:szCs w:val="15"/>
                <w:color w:val="auto"/>
              </w:rPr>
            </w:pPr>
          </w:p>
        </w:tc>
        <w:tc>
          <w:tcPr>
            <w:tcW w:w="100" w:type="dxa"/>
            <w:vAlign w:val="bottom"/>
            <w:shd w:val="clear" w:color="auto" w:fill="FDFDFC"/>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5100" w:type="dxa"/>
            <w:vAlign w:val="bottom"/>
            <w:shd w:val="clear" w:color="auto" w:fill="D0EBF2"/>
          </w:tcPr>
          <w:p>
            <w:pPr>
              <w:ind w:left="380"/>
              <w:spacing w:after="0"/>
              <w:rPr>
                <w:sz w:val="20"/>
                <w:szCs w:val="20"/>
                <w:color w:val="auto"/>
              </w:rPr>
            </w:pPr>
            <w:r>
              <w:rPr>
                <w:rFonts w:ascii="Times New Roman" w:cs="Times New Roman" w:eastAsia="Times New Roman" w:hAnsi="Times New Roman"/>
                <w:sz w:val="15"/>
                <w:szCs w:val="15"/>
                <w:color w:val="231F20"/>
              </w:rPr>
              <w:t>Reinvestment of dividends during the period</w:t>
            </w:r>
          </w:p>
        </w:tc>
        <w:tc>
          <w:tcPr>
            <w:tcW w:w="180" w:type="dxa"/>
            <w:vAlign w:val="bottom"/>
            <w:gridSpan w:val="2"/>
            <w:shd w:val="clear" w:color="auto" w:fill="D0EBF2"/>
          </w:tcPr>
          <w:p>
            <w:pPr>
              <w:jc w:val="right"/>
              <w:spacing w:after="0"/>
              <w:rPr>
                <w:sz w:val="20"/>
                <w:szCs w:val="20"/>
                <w:color w:val="auto"/>
              </w:rPr>
            </w:pPr>
            <w:r>
              <w:rPr>
                <w:rFonts w:ascii="Times New Roman" w:cs="Times New Roman" w:eastAsia="Times New Roman" w:hAnsi="Times New Roman"/>
                <w:sz w:val="15"/>
                <w:szCs w:val="15"/>
                <w:color w:val="231F20"/>
              </w:rPr>
              <w:t>$</w:t>
            </w:r>
          </w:p>
        </w:tc>
        <w:tc>
          <w:tcPr>
            <w:tcW w:w="1380" w:type="dxa"/>
            <w:vAlign w:val="bottom"/>
            <w:shd w:val="clear" w:color="auto" w:fill="D0EBF2"/>
          </w:tcPr>
          <w:p>
            <w:pPr>
              <w:jc w:val="right"/>
              <w:spacing w:after="0"/>
              <w:rPr>
                <w:sz w:val="20"/>
                <w:szCs w:val="20"/>
                <w:color w:val="auto"/>
              </w:rPr>
            </w:pPr>
            <w:r>
              <w:rPr>
                <w:rFonts w:ascii="Times New Roman" w:cs="Times New Roman" w:eastAsia="Times New Roman" w:hAnsi="Times New Roman"/>
                <w:sz w:val="15"/>
                <w:szCs w:val="15"/>
                <w:color w:val="231F20"/>
              </w:rPr>
              <w:t>24,723</w:t>
            </w:r>
          </w:p>
        </w:tc>
        <w:tc>
          <w:tcPr>
            <w:tcW w:w="100" w:type="dxa"/>
            <w:vAlign w:val="bottom"/>
            <w:shd w:val="clear" w:color="auto" w:fill="D0EBF2"/>
          </w:tcPr>
          <w:p>
            <w:pPr>
              <w:spacing w:after="0"/>
              <w:rPr>
                <w:sz w:val="15"/>
                <w:szCs w:val="15"/>
                <w:color w:val="auto"/>
              </w:rPr>
            </w:pPr>
          </w:p>
        </w:tc>
        <w:tc>
          <w:tcPr>
            <w:tcW w:w="120" w:type="dxa"/>
            <w:vAlign w:val="bottom"/>
            <w:shd w:val="clear" w:color="auto" w:fill="D0EBF2"/>
          </w:tcPr>
          <w:p>
            <w:pPr>
              <w:spacing w:after="0"/>
              <w:rPr>
                <w:sz w:val="15"/>
                <w:szCs w:val="15"/>
                <w:color w:val="auto"/>
              </w:rPr>
            </w:pPr>
          </w:p>
        </w:tc>
        <w:tc>
          <w:tcPr>
            <w:tcW w:w="100" w:type="dxa"/>
            <w:vAlign w:val="bottom"/>
            <w:shd w:val="clear" w:color="auto" w:fill="D0EBF2"/>
          </w:tcPr>
          <w:p>
            <w:pPr>
              <w:jc w:val="right"/>
              <w:spacing w:after="0"/>
              <w:rPr>
                <w:sz w:val="20"/>
                <w:szCs w:val="20"/>
                <w:color w:val="auto"/>
              </w:rPr>
            </w:pPr>
            <w:r>
              <w:rPr>
                <w:rFonts w:ascii="Times New Roman" w:cs="Times New Roman" w:eastAsia="Times New Roman" w:hAnsi="Times New Roman"/>
                <w:sz w:val="11"/>
                <w:szCs w:val="11"/>
                <w:color w:val="231F20"/>
                <w:w w:val="71"/>
              </w:rPr>
              <w:t>$</w:t>
            </w:r>
          </w:p>
        </w:tc>
        <w:tc>
          <w:tcPr>
            <w:tcW w:w="1420" w:type="dxa"/>
            <w:vAlign w:val="bottom"/>
            <w:shd w:val="clear" w:color="auto" w:fill="D0EBF2"/>
          </w:tcPr>
          <w:p>
            <w:pPr>
              <w:jc w:val="right"/>
              <w:spacing w:after="0"/>
              <w:rPr>
                <w:sz w:val="20"/>
                <w:szCs w:val="20"/>
                <w:color w:val="auto"/>
              </w:rPr>
            </w:pPr>
            <w:r>
              <w:rPr>
                <w:rFonts w:ascii="Times New Roman" w:cs="Times New Roman" w:eastAsia="Times New Roman" w:hAnsi="Times New Roman"/>
                <w:sz w:val="15"/>
                <w:szCs w:val="15"/>
                <w:color w:val="231F20"/>
              </w:rPr>
              <w:t>23,545</w:t>
            </w:r>
          </w:p>
        </w:tc>
        <w:tc>
          <w:tcPr>
            <w:tcW w:w="240" w:type="dxa"/>
            <w:vAlign w:val="bottom"/>
            <w:shd w:val="clear" w:color="auto" w:fill="D0EBF2"/>
          </w:tcPr>
          <w:p>
            <w:pPr>
              <w:spacing w:after="0"/>
              <w:rPr>
                <w:sz w:val="15"/>
                <w:szCs w:val="15"/>
                <w:color w:val="auto"/>
              </w:rPr>
            </w:pPr>
          </w:p>
        </w:tc>
        <w:tc>
          <w:tcPr>
            <w:tcW w:w="80" w:type="dxa"/>
            <w:vAlign w:val="bottom"/>
            <w:shd w:val="clear" w:color="auto" w:fill="D0EBF2"/>
          </w:tcPr>
          <w:p>
            <w:pPr>
              <w:jc w:val="right"/>
              <w:spacing w:after="0"/>
              <w:rPr>
                <w:sz w:val="20"/>
                <w:szCs w:val="20"/>
                <w:color w:val="auto"/>
              </w:rPr>
            </w:pPr>
            <w:r>
              <w:rPr>
                <w:rFonts w:ascii="Times New Roman" w:cs="Times New Roman" w:eastAsia="Times New Roman" w:hAnsi="Times New Roman"/>
                <w:sz w:val="11"/>
                <w:szCs w:val="11"/>
                <w:color w:val="231F20"/>
                <w:w w:val="71"/>
              </w:rPr>
              <w:t>$</w:t>
            </w:r>
          </w:p>
        </w:tc>
        <w:tc>
          <w:tcPr>
            <w:tcW w:w="1380" w:type="dxa"/>
            <w:vAlign w:val="bottom"/>
            <w:shd w:val="clear" w:color="auto" w:fill="D0EBF2"/>
          </w:tcPr>
          <w:p>
            <w:pPr>
              <w:jc w:val="right"/>
              <w:spacing w:after="0"/>
              <w:rPr>
                <w:sz w:val="20"/>
                <w:szCs w:val="20"/>
                <w:color w:val="auto"/>
              </w:rPr>
            </w:pPr>
            <w:r>
              <w:rPr>
                <w:rFonts w:ascii="Times New Roman" w:cs="Times New Roman" w:eastAsia="Times New Roman" w:hAnsi="Times New Roman"/>
                <w:sz w:val="15"/>
                <w:szCs w:val="15"/>
                <w:color w:val="231F20"/>
              </w:rPr>
              <w:t>30,516</w:t>
            </w:r>
          </w:p>
        </w:tc>
        <w:tc>
          <w:tcPr>
            <w:tcW w:w="100" w:type="dxa"/>
            <w:vAlign w:val="bottom"/>
            <w:shd w:val="clear" w:color="auto" w:fill="D0EBF2"/>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5100" w:type="dxa"/>
            <w:vAlign w:val="bottom"/>
            <w:shd w:val="clear" w:color="auto" w:fill="FDFDFC"/>
          </w:tcPr>
          <w:p>
            <w:pPr>
              <w:ind w:left="380"/>
              <w:spacing w:after="0"/>
              <w:rPr>
                <w:sz w:val="20"/>
                <w:szCs w:val="20"/>
                <w:color w:val="auto"/>
              </w:rPr>
            </w:pPr>
            <w:r>
              <w:rPr>
                <w:rFonts w:ascii="Times New Roman" w:cs="Times New Roman" w:eastAsia="Times New Roman" w:hAnsi="Times New Roman"/>
                <w:sz w:val="15"/>
                <w:szCs w:val="15"/>
                <w:color w:val="231F20"/>
              </w:rPr>
              <w:t>Common stock issued in settlement of convertible notes during the period</w:t>
            </w:r>
          </w:p>
        </w:tc>
        <w:tc>
          <w:tcPr>
            <w:tcW w:w="80" w:type="dxa"/>
            <w:vAlign w:val="bottom"/>
            <w:shd w:val="clear" w:color="auto" w:fill="FDFDFC"/>
          </w:tcPr>
          <w:p>
            <w:pPr>
              <w:spacing w:after="0"/>
              <w:rPr>
                <w:sz w:val="15"/>
                <w:szCs w:val="15"/>
                <w:color w:val="auto"/>
              </w:rPr>
            </w:pPr>
          </w:p>
        </w:tc>
        <w:tc>
          <w:tcPr>
            <w:tcW w:w="100" w:type="dxa"/>
            <w:vAlign w:val="bottom"/>
            <w:shd w:val="clear" w:color="auto" w:fill="FDFDFC"/>
          </w:tcPr>
          <w:p>
            <w:pPr>
              <w:spacing w:after="0"/>
              <w:rPr>
                <w:sz w:val="15"/>
                <w:szCs w:val="15"/>
                <w:color w:val="auto"/>
              </w:rPr>
            </w:pPr>
          </w:p>
        </w:tc>
        <w:tc>
          <w:tcPr>
            <w:tcW w:w="1600" w:type="dxa"/>
            <w:vAlign w:val="bottom"/>
            <w:gridSpan w:val="3"/>
            <w:shd w:val="clear" w:color="auto" w:fill="FDFDFC"/>
          </w:tcPr>
          <w:p>
            <w:pPr>
              <w:jc w:val="right"/>
              <w:ind w:right="240"/>
              <w:spacing w:after="0"/>
              <w:rPr>
                <w:sz w:val="20"/>
                <w:szCs w:val="20"/>
                <w:color w:val="auto"/>
              </w:rPr>
            </w:pPr>
            <w:r>
              <w:rPr>
                <w:rFonts w:ascii="Times New Roman" w:cs="Times New Roman" w:eastAsia="Times New Roman" w:hAnsi="Times New Roman"/>
                <w:sz w:val="15"/>
                <w:szCs w:val="15"/>
                <w:color w:val="231F20"/>
              </w:rPr>
              <w:t>—</w:t>
            </w:r>
          </w:p>
        </w:tc>
        <w:tc>
          <w:tcPr>
            <w:tcW w:w="100" w:type="dxa"/>
            <w:vAlign w:val="bottom"/>
            <w:shd w:val="clear" w:color="auto" w:fill="FDFDFC"/>
          </w:tcPr>
          <w:p>
            <w:pPr>
              <w:spacing w:after="0"/>
              <w:rPr>
                <w:sz w:val="15"/>
                <w:szCs w:val="15"/>
                <w:color w:val="auto"/>
              </w:rPr>
            </w:pPr>
          </w:p>
        </w:tc>
        <w:tc>
          <w:tcPr>
            <w:tcW w:w="1660" w:type="dxa"/>
            <w:vAlign w:val="bottom"/>
            <w:gridSpan w:val="2"/>
            <w:shd w:val="clear" w:color="auto" w:fill="FDFDFC"/>
          </w:tcPr>
          <w:p>
            <w:pPr>
              <w:jc w:val="right"/>
              <w:ind w:right="240"/>
              <w:spacing w:after="0"/>
              <w:rPr>
                <w:sz w:val="20"/>
                <w:szCs w:val="20"/>
                <w:color w:val="auto"/>
              </w:rPr>
            </w:pPr>
            <w:r>
              <w:rPr>
                <w:rFonts w:ascii="Times New Roman" w:cs="Times New Roman" w:eastAsia="Times New Roman" w:hAnsi="Times New Roman"/>
                <w:sz w:val="15"/>
                <w:szCs w:val="15"/>
                <w:color w:val="231F20"/>
              </w:rPr>
              <w:t>—</w:t>
            </w:r>
          </w:p>
        </w:tc>
        <w:tc>
          <w:tcPr>
            <w:tcW w:w="80" w:type="dxa"/>
            <w:vAlign w:val="bottom"/>
            <w:shd w:val="clear" w:color="auto" w:fill="FDFDFC"/>
          </w:tcPr>
          <w:p>
            <w:pPr>
              <w:jc w:val="right"/>
              <w:spacing w:after="0"/>
              <w:rPr>
                <w:sz w:val="20"/>
                <w:szCs w:val="20"/>
                <w:color w:val="auto"/>
              </w:rPr>
            </w:pPr>
            <w:r>
              <w:rPr>
                <w:rFonts w:ascii="Times New Roman" w:cs="Times New Roman" w:eastAsia="Times New Roman" w:hAnsi="Times New Roman"/>
                <w:sz w:val="11"/>
                <w:szCs w:val="11"/>
                <w:color w:val="231F20"/>
                <w:w w:val="71"/>
              </w:rPr>
              <w:t>$</w:t>
            </w:r>
          </w:p>
        </w:tc>
        <w:tc>
          <w:tcPr>
            <w:tcW w:w="1380" w:type="dxa"/>
            <w:vAlign w:val="bottom"/>
            <w:shd w:val="clear" w:color="auto" w:fill="FDFDFC"/>
          </w:tcPr>
          <w:p>
            <w:pPr>
              <w:jc w:val="right"/>
              <w:spacing w:after="0"/>
              <w:rPr>
                <w:sz w:val="20"/>
                <w:szCs w:val="20"/>
                <w:color w:val="auto"/>
              </w:rPr>
            </w:pPr>
            <w:r>
              <w:rPr>
                <w:rFonts w:ascii="Times New Roman" w:cs="Times New Roman" w:eastAsia="Times New Roman" w:hAnsi="Times New Roman"/>
                <w:sz w:val="15"/>
                <w:szCs w:val="15"/>
                <w:color w:val="231F20"/>
              </w:rPr>
              <w:t>77,642</w:t>
            </w:r>
          </w:p>
        </w:tc>
        <w:tc>
          <w:tcPr>
            <w:tcW w:w="100" w:type="dxa"/>
            <w:vAlign w:val="bottom"/>
            <w:shd w:val="clear" w:color="auto" w:fill="FDFDFC"/>
          </w:tcPr>
          <w:p>
            <w:pPr>
              <w:spacing w:after="0"/>
              <w:rPr>
                <w:sz w:val="15"/>
                <w:szCs w:val="15"/>
                <w:color w:val="auto"/>
              </w:rPr>
            </w:pPr>
          </w:p>
        </w:tc>
        <w:tc>
          <w:tcPr>
            <w:tcW w:w="0" w:type="dxa"/>
            <w:vAlign w:val="bottom"/>
          </w:tcPr>
          <w:p>
            <w:pPr>
              <w:spacing w:after="0"/>
              <w:rPr>
                <w:sz w:val="1"/>
                <w:szCs w:val="1"/>
                <w:color w:val="auto"/>
              </w:rPr>
            </w:pPr>
          </w:p>
        </w:tc>
      </w:tr>
    </w:tbl>
    <w:p>
      <w:pPr>
        <w:spacing w:after="0" w:line="1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231F20"/>
        </w:rPr>
        <w:t>The accompanying notes are an integral part of these consolidated financial statements.</w:t>
      </w:r>
    </w:p>
    <w:p>
      <w:pPr>
        <w:sectPr>
          <w:pgSz w:w="12240" w:h="15840" w:orient="portrait"/>
          <w:cols w:equalWidth="0" w:num="1">
            <w:col w:w="10200"/>
          </w:cols>
          <w:pgMar w:left="1020" w:top="1315" w:right="1020" w:bottom="57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231F20"/>
        </w:rPr>
        <w:t>F-27</w:t>
      </w:r>
    </w:p>
    <w:p>
      <w:pPr>
        <w:sectPr>
          <w:pgSz w:w="12240" w:h="15840" w:orient="portrait"/>
          <w:cols w:equalWidth="0" w:num="1">
            <w:col w:w="10200"/>
          </w:cols>
          <w:pgMar w:left="1020" w:top="1315" w:right="1020" w:bottom="574" w:gutter="0" w:footer="0" w:header="0"/>
          <w:type w:val="continuous"/>
        </w:sectPr>
      </w:pPr>
    </w:p>
    <w:bookmarkStart w:id="115" w:name="page116"/>
    <w:bookmarkEnd w:id="115"/>
    <w:p>
      <w:pPr>
        <w:jc w:val="center"/>
        <w:ind w:right="-19"/>
        <w:spacing w:after="0"/>
        <w:rPr>
          <w:sz w:val="20"/>
          <w:szCs w:val="20"/>
          <w:color w:val="auto"/>
        </w:rPr>
      </w:pPr>
      <w:r>
        <w:rPr>
          <w:rFonts w:ascii="Times New Roman" w:cs="Times New Roman" w:eastAsia="Times New Roman" w:hAnsi="Times New Roman"/>
          <w:sz w:val="19"/>
          <w:szCs w:val="19"/>
          <w:b w:val="1"/>
          <w:bCs w:val="1"/>
          <w:color w:val="231F20"/>
        </w:rPr>
        <w:t>Sixth Street Specialty Lending, Inc.</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b w:val="1"/>
          <w:bCs w:val="1"/>
          <w:color w:val="231F20"/>
        </w:rPr>
        <w:t>Notes to Consolidated Financial Statements</w:t>
      </w:r>
    </w:p>
    <w:p>
      <w:pPr>
        <w:jc w:val="center"/>
        <w:ind w:right="-19"/>
        <w:spacing w:after="0"/>
        <w:rPr>
          <w:sz w:val="20"/>
          <w:szCs w:val="20"/>
          <w:color w:val="auto"/>
        </w:rPr>
      </w:pPr>
      <w:r>
        <w:rPr>
          <w:rFonts w:ascii="Times New Roman" w:cs="Times New Roman" w:eastAsia="Times New Roman" w:hAnsi="Times New Roman"/>
          <w:sz w:val="19"/>
          <w:szCs w:val="19"/>
          <w:b w:val="1"/>
          <w:bCs w:val="1"/>
          <w:color w:val="231F20"/>
        </w:rPr>
        <w:t>(Amounts in thousands, unless otherwise indicated)</w:t>
      </w:r>
    </w:p>
    <w:p>
      <w:pPr>
        <w:spacing w:after="0" w:line="222" w:lineRule="exact"/>
        <w:rPr>
          <w:sz w:val="20"/>
          <w:szCs w:val="20"/>
          <w:color w:val="auto"/>
        </w:rPr>
      </w:pPr>
    </w:p>
    <w:p>
      <w:pPr>
        <w:ind w:right="6840"/>
        <w:spacing w:after="0" w:line="354" w:lineRule="auto"/>
        <w:tabs>
          <w:tab w:leader="none" w:pos="189" w:val="left"/>
        </w:tabs>
        <w:numPr>
          <w:ilvl w:val="0"/>
          <w:numId w:val="80"/>
        </w:numPr>
        <w:rPr>
          <w:rFonts w:ascii="Times New Roman" w:cs="Times New Roman" w:eastAsia="Times New Roman" w:hAnsi="Times New Roman"/>
          <w:sz w:val="19"/>
          <w:szCs w:val="19"/>
          <w:b w:val="1"/>
          <w:bCs w:val="1"/>
          <w:color w:val="231F20"/>
        </w:rPr>
      </w:pPr>
      <w:r>
        <w:rPr>
          <w:rFonts w:ascii="Times New Roman" w:cs="Times New Roman" w:eastAsia="Times New Roman" w:hAnsi="Times New Roman"/>
          <w:sz w:val="19"/>
          <w:szCs w:val="19"/>
          <w:b w:val="1"/>
          <w:bCs w:val="1"/>
          <w:color w:val="231F20"/>
        </w:rPr>
        <w:t xml:space="preserve">Organization and Basis of Presentation </w:t>
      </w:r>
      <w:r>
        <w:rPr>
          <w:rFonts w:ascii="Times New Roman" w:cs="Times New Roman" w:eastAsia="Times New Roman" w:hAnsi="Times New Roman"/>
          <w:sz w:val="19"/>
          <w:szCs w:val="19"/>
          <w:i w:val="1"/>
          <w:iCs w:val="1"/>
          <w:color w:val="231F20"/>
        </w:rPr>
        <w:t>Organization</w:t>
      </w:r>
    </w:p>
    <w:p>
      <w:pPr>
        <w:ind w:firstLine="231"/>
        <w:spacing w:after="0" w:line="247" w:lineRule="auto"/>
        <w:rPr>
          <w:sz w:val="20"/>
          <w:szCs w:val="20"/>
          <w:color w:val="auto"/>
        </w:rPr>
      </w:pPr>
      <w:r>
        <w:rPr>
          <w:rFonts w:ascii="Times New Roman" w:cs="Times New Roman" w:eastAsia="Times New Roman" w:hAnsi="Times New Roman"/>
          <w:sz w:val="18"/>
          <w:szCs w:val="18"/>
          <w:color w:val="231F20"/>
        </w:rPr>
        <w:t>Sixth Street Specialty Lending, Inc. (the “Company”) is a Delaware corporation formed on July 21, 2010. The Company was formed primarily to lend to, and selectively invest in, middle-market companies in the United States. The Company has elected to be regulated as a business development company (“BDC”) under the 1940 Act. In addition, for tax purposes, the Company has elected to be treated as a regulated investment company (“RIC”) under Subchapter M of the Internal Revenue Code of 1986, as amended (the “Code”). The Company is managed by Sixth Street Specialty Lending Advisers, LLC (the “Adviser”). On June 1, 2011, the Company formed a wholly-owned subsidiary, TC Lending, LLC, a Delaware limited liability company. On March 22, 2012, the Company formed a wholly-owned subsidiary, Sixth Street SL SPV, LLC, a Delaware limited liability company. On May 19, 2014, the Company formed a wholly-owned subsidiary, Sixth Street SL Holding, LLC, a Delaware limited liability company. On December 9, 2020, the Company formed a wholly-owned subsidiary, Sixth Street Specialty Lending Sub, LLC, a Cayman Islands limited liability company.</w:t>
      </w:r>
    </w:p>
    <w:p>
      <w:pPr>
        <w:spacing w:after="0" w:line="183" w:lineRule="exact"/>
        <w:rPr>
          <w:sz w:val="20"/>
          <w:szCs w:val="20"/>
          <w:color w:val="auto"/>
        </w:rPr>
      </w:pPr>
    </w:p>
    <w:p>
      <w:pPr>
        <w:ind w:right="360" w:firstLine="231"/>
        <w:spacing w:after="0" w:line="265" w:lineRule="auto"/>
        <w:rPr>
          <w:sz w:val="20"/>
          <w:szCs w:val="20"/>
          <w:color w:val="auto"/>
        </w:rPr>
      </w:pPr>
      <w:r>
        <w:rPr>
          <w:rFonts w:ascii="Times New Roman" w:cs="Times New Roman" w:eastAsia="Times New Roman" w:hAnsi="Times New Roman"/>
          <w:sz w:val="19"/>
          <w:szCs w:val="19"/>
          <w:color w:val="231F20"/>
        </w:rPr>
        <w:t>On March 21, 2014, the Company completed its initial public offering (“IPO”) and the Company’s shares began trading on the New York Stock Exchange (“NYSE”) under the symbol “TSLX.”</w:t>
      </w:r>
    </w:p>
    <w:p>
      <w:pPr>
        <w:spacing w:after="0" w:line="27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231F20"/>
        </w:rPr>
        <w:t>Basis of Presentation</w:t>
      </w:r>
    </w:p>
    <w:p>
      <w:pPr>
        <w:spacing w:after="0" w:line="99" w:lineRule="exact"/>
        <w:rPr>
          <w:sz w:val="20"/>
          <w:szCs w:val="20"/>
          <w:color w:val="auto"/>
        </w:rPr>
      </w:pPr>
    </w:p>
    <w:p>
      <w:pPr>
        <w:ind w:right="180" w:firstLine="231"/>
        <w:spacing w:after="0" w:line="241" w:lineRule="auto"/>
        <w:rPr>
          <w:sz w:val="20"/>
          <w:szCs w:val="20"/>
          <w:color w:val="auto"/>
        </w:rPr>
      </w:pPr>
      <w:r>
        <w:rPr>
          <w:rFonts w:ascii="Times New Roman" w:cs="Times New Roman" w:eastAsia="Times New Roman" w:hAnsi="Times New Roman"/>
          <w:sz w:val="19"/>
          <w:szCs w:val="19"/>
          <w:color w:val="231F20"/>
        </w:rPr>
        <w:t>The accompanying consolidated financial statements are prepared in accordance with accounting principles generally accepted in the United States of America (“U.S. GAAP”), and include the accounts of the Company and its subsidiaries. In the opinion of management, all adjustments considered necessary for the fair presentation of the consolidated financial statements for the periods presented have been included. All intercompany balances and transactions have been eliminated in consolidation.</w:t>
      </w:r>
    </w:p>
    <w:p>
      <w:pPr>
        <w:spacing w:after="0" w:line="182" w:lineRule="exact"/>
        <w:rPr>
          <w:sz w:val="20"/>
          <w:szCs w:val="20"/>
          <w:color w:val="auto"/>
        </w:rPr>
      </w:pPr>
    </w:p>
    <w:p>
      <w:pPr>
        <w:ind w:right="180" w:firstLine="231"/>
        <w:spacing w:after="0" w:line="265" w:lineRule="auto"/>
        <w:rPr>
          <w:sz w:val="20"/>
          <w:szCs w:val="20"/>
          <w:color w:val="auto"/>
        </w:rPr>
      </w:pPr>
      <w:r>
        <w:rPr>
          <w:rFonts w:ascii="Times New Roman" w:cs="Times New Roman" w:eastAsia="Times New Roman" w:hAnsi="Times New Roman"/>
          <w:sz w:val="19"/>
          <w:szCs w:val="19"/>
          <w:color w:val="231F20"/>
        </w:rPr>
        <w:t xml:space="preserve">The Company is an investment company and, therefore, applies the specialized accounting and reporting guidance in Accounting Standards Codification (“ASC”) Topic 946, </w:t>
      </w:r>
      <w:r>
        <w:rPr>
          <w:rFonts w:ascii="Times New Roman" w:cs="Times New Roman" w:eastAsia="Times New Roman" w:hAnsi="Times New Roman"/>
          <w:sz w:val="19"/>
          <w:szCs w:val="19"/>
          <w:i w:val="1"/>
          <w:iCs w:val="1"/>
          <w:color w:val="231F20"/>
        </w:rPr>
        <w:t>Financial Services – Investment Companies.</w:t>
      </w:r>
    </w:p>
    <w:p>
      <w:pPr>
        <w:spacing w:after="0" w:line="27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231F20"/>
        </w:rPr>
        <w:t>Fiscal Year End</w:t>
      </w:r>
    </w:p>
    <w:p>
      <w:pPr>
        <w:spacing w:after="0" w:line="9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9"/>
          <w:szCs w:val="19"/>
          <w:color w:val="231F20"/>
        </w:rPr>
        <w:t>The Company’s fiscal year ends on December 31.</w:t>
      </w:r>
    </w:p>
    <w:p>
      <w:pPr>
        <w:spacing w:after="0" w:line="328" w:lineRule="exact"/>
        <w:rPr>
          <w:sz w:val="20"/>
          <w:szCs w:val="20"/>
          <w:color w:val="auto"/>
        </w:rPr>
      </w:pPr>
    </w:p>
    <w:p>
      <w:pPr>
        <w:ind w:right="7500"/>
        <w:spacing w:after="0" w:line="354" w:lineRule="auto"/>
        <w:tabs>
          <w:tab w:leader="none" w:pos="189" w:val="left"/>
        </w:tabs>
        <w:numPr>
          <w:ilvl w:val="0"/>
          <w:numId w:val="81"/>
        </w:numPr>
        <w:rPr>
          <w:rFonts w:ascii="Times New Roman" w:cs="Times New Roman" w:eastAsia="Times New Roman" w:hAnsi="Times New Roman"/>
          <w:sz w:val="19"/>
          <w:szCs w:val="19"/>
          <w:b w:val="1"/>
          <w:bCs w:val="1"/>
          <w:color w:val="231F20"/>
        </w:rPr>
      </w:pPr>
      <w:r>
        <w:rPr>
          <w:rFonts w:ascii="Times New Roman" w:cs="Times New Roman" w:eastAsia="Times New Roman" w:hAnsi="Times New Roman"/>
          <w:sz w:val="19"/>
          <w:szCs w:val="19"/>
          <w:b w:val="1"/>
          <w:bCs w:val="1"/>
          <w:color w:val="231F20"/>
        </w:rPr>
        <w:t xml:space="preserve">Significant Accounting Policies </w:t>
      </w:r>
      <w:r>
        <w:rPr>
          <w:rFonts w:ascii="Times New Roman" w:cs="Times New Roman" w:eastAsia="Times New Roman" w:hAnsi="Times New Roman"/>
          <w:sz w:val="19"/>
          <w:szCs w:val="19"/>
          <w:i w:val="1"/>
          <w:iCs w:val="1"/>
          <w:color w:val="231F20"/>
        </w:rPr>
        <w:t>Use of Estimates</w:t>
      </w:r>
    </w:p>
    <w:p>
      <w:pPr>
        <w:ind w:right="220" w:firstLine="231"/>
        <w:spacing w:after="0" w:line="247" w:lineRule="auto"/>
        <w:rPr>
          <w:sz w:val="20"/>
          <w:szCs w:val="20"/>
          <w:color w:val="auto"/>
        </w:rPr>
      </w:pPr>
      <w:r>
        <w:rPr>
          <w:rFonts w:ascii="Times New Roman" w:cs="Times New Roman" w:eastAsia="Times New Roman" w:hAnsi="Times New Roman"/>
          <w:sz w:val="19"/>
          <w:szCs w:val="19"/>
          <w:color w:val="231F20"/>
        </w:rPr>
        <w:t>The preparation of financial statements in conformity with U.S. GAAP requires management to make estimates and assumptions that affect the reported amounts of assets and liabilities and disclosure of contingent assets and liabilities at the date of the consolidated financial statements. Actual amounts could differ from those estimates and such differences could be material.</w:t>
      </w: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231F20"/>
        </w:rPr>
        <w:t>Cash and Cash Equivalents</w:t>
      </w:r>
    </w:p>
    <w:p>
      <w:pPr>
        <w:spacing w:after="0" w:line="99" w:lineRule="exact"/>
        <w:rPr>
          <w:sz w:val="20"/>
          <w:szCs w:val="20"/>
          <w:color w:val="auto"/>
        </w:rPr>
      </w:pPr>
    </w:p>
    <w:p>
      <w:pPr>
        <w:ind w:right="280" w:firstLine="231"/>
        <w:spacing w:after="0" w:line="238" w:lineRule="auto"/>
        <w:rPr>
          <w:sz w:val="20"/>
          <w:szCs w:val="20"/>
          <w:color w:val="auto"/>
        </w:rPr>
      </w:pPr>
      <w:r>
        <w:rPr>
          <w:rFonts w:ascii="Times New Roman" w:cs="Times New Roman" w:eastAsia="Times New Roman" w:hAnsi="Times New Roman"/>
          <w:sz w:val="19"/>
          <w:szCs w:val="19"/>
          <w:color w:val="231F20"/>
        </w:rPr>
        <w:t>Cash and cash equivalents may consist of demand deposits, highly liquid investments (e.g., money market funds, U.S. Treasury notes, and similar type instruments) with original maturities of three months or less, and restricted cash pledged as collateral for certain centrally cleared derivative instruments. Cash and cash equivalents denominated in U.S. dollars are carried at cost, which approximates fair value. The Company deposits its cash and cash equivalents with highly-rated banking corporations and, at times, cash deposits may exceed the insured limits under applicable law.</w:t>
      </w: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231F20"/>
        </w:rPr>
        <w:t>Investments at Fair Value</w:t>
      </w:r>
    </w:p>
    <w:p>
      <w:pPr>
        <w:spacing w:after="0" w:line="99" w:lineRule="exact"/>
        <w:rPr>
          <w:sz w:val="20"/>
          <w:szCs w:val="20"/>
          <w:color w:val="auto"/>
        </w:rPr>
      </w:pPr>
    </w:p>
    <w:p>
      <w:pPr>
        <w:ind w:firstLine="231"/>
        <w:spacing w:after="0" w:line="236" w:lineRule="auto"/>
        <w:rPr>
          <w:sz w:val="20"/>
          <w:szCs w:val="20"/>
          <w:color w:val="auto"/>
        </w:rPr>
      </w:pPr>
      <w:r>
        <w:rPr>
          <w:rFonts w:ascii="Times New Roman" w:cs="Times New Roman" w:eastAsia="Times New Roman" w:hAnsi="Times New Roman"/>
          <w:sz w:val="19"/>
          <w:szCs w:val="19"/>
          <w:color w:val="231F20"/>
        </w:rPr>
        <w:t>Loan originations are recorded on the date of the binding commitment, which is generally the funding date. Investment transactions purchased through the secondary markets are recorded on the trade date. Realized gains or losses are measured by the difference between the net proceeds received (excluding prepayment fees, if any) and the amortized cost basis of the investment without regard to unrealized gains or losses previously recognized, and include investments charged off during the period, net of recoveries. The net change in unrealized gains or losses primarily reflects the change in investment values and also includes the reversal of previously recorded unrealized gains or losses with respect to investments realized during the period.</w:t>
      </w:r>
    </w:p>
    <w:p>
      <w:pPr>
        <w:sectPr>
          <w:pgSz w:w="12240" w:h="15840" w:orient="portrait"/>
          <w:cols w:equalWidth="0" w:num="1">
            <w:col w:w="10180"/>
          </w:cols>
          <w:pgMar w:left="1020" w:top="1315" w:right="1040" w:bottom="57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231F20"/>
        </w:rPr>
        <w:t>F-28</w:t>
      </w:r>
    </w:p>
    <w:p>
      <w:pPr>
        <w:sectPr>
          <w:pgSz w:w="12240" w:h="15840" w:orient="portrait"/>
          <w:cols w:equalWidth="0" w:num="1">
            <w:col w:w="10180"/>
          </w:cols>
          <w:pgMar w:left="1020" w:top="1315" w:right="1040" w:bottom="574" w:gutter="0" w:footer="0" w:header="0"/>
          <w:type w:val="continuous"/>
        </w:sectPr>
      </w:pPr>
    </w:p>
    <w:bookmarkStart w:id="116" w:name="page117"/>
    <w:bookmarkEnd w:id="116"/>
    <w:p>
      <w:pPr>
        <w:ind w:right="80" w:firstLine="231"/>
        <w:spacing w:after="0" w:line="246" w:lineRule="auto"/>
        <w:rPr>
          <w:sz w:val="20"/>
          <w:szCs w:val="20"/>
          <w:color w:val="auto"/>
        </w:rPr>
      </w:pPr>
      <w:r>
        <w:rPr>
          <w:rFonts w:ascii="Times New Roman" w:cs="Times New Roman" w:eastAsia="Times New Roman" w:hAnsi="Times New Roman"/>
          <w:sz w:val="19"/>
          <w:szCs w:val="19"/>
          <w:color w:val="231F20"/>
        </w:rPr>
        <w:t>Investments for which market quotations are readily available are typically valued at those market quotations. To validate market quotations, the Company utilizes a number of factors to determine if the quotations are representative of fair value, including the source and number of the quotations. Debt and equity securities that are not publicly traded or whose market prices are not readily available, as is the case for substantially all of our investments, are valued at fair value as determined in good faith by the Company’s Board of Directors (the “Board”), based on, among other things, the input of the Adviser, the Company’s Audit Committee and independent third-party valuation firms engaged at the direction of the Board.</w:t>
      </w:r>
    </w:p>
    <w:p>
      <w:pPr>
        <w:spacing w:after="0" w:line="186" w:lineRule="exact"/>
        <w:rPr>
          <w:sz w:val="20"/>
          <w:szCs w:val="20"/>
          <w:color w:val="auto"/>
        </w:rPr>
      </w:pPr>
    </w:p>
    <w:p>
      <w:pPr>
        <w:ind w:right="120" w:firstLine="231"/>
        <w:spacing w:after="0" w:line="243" w:lineRule="auto"/>
        <w:rPr>
          <w:sz w:val="20"/>
          <w:szCs w:val="20"/>
          <w:color w:val="auto"/>
        </w:rPr>
      </w:pPr>
      <w:r>
        <w:rPr>
          <w:rFonts w:ascii="Times New Roman" w:cs="Times New Roman" w:eastAsia="Times New Roman" w:hAnsi="Times New Roman"/>
          <w:sz w:val="19"/>
          <w:szCs w:val="19"/>
          <w:color w:val="231F20"/>
        </w:rPr>
        <w:t>As part of the valuation process, the Board takes into account relevant factors in determining the fair value of our investments, including and in combination of: the estimated enterprise value of a portfolio company (that is, the total value of the portfolio company’s net debt and equity), the nature and realizable value of any collateral, the portfolio company’s ability to make payments based on its earnings and cash flow, the markets in which the portfolio company does business, a comparison of the portfolio company’s securities to any similar publicly traded securities, and overall changes in the interest rate environment and the credit markets that may affect the price at which similar investments may be made in the future. When an external event such as a purchase transaction, public offering or subsequent equity sale occurs, the Board considers whether the pricing indicated by the external event corroborates its valuation.</w:t>
      </w:r>
    </w:p>
    <w:p>
      <w:pPr>
        <w:spacing w:after="0" w:line="195"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9"/>
          <w:szCs w:val="19"/>
          <w:color w:val="231F20"/>
        </w:rPr>
        <w:t>The Board undertakes a multi-step valuation process, which includes, among other procedures, the following:</w:t>
      </w:r>
    </w:p>
    <w:p>
      <w:pPr>
        <w:spacing w:after="0" w:line="126" w:lineRule="exact"/>
        <w:rPr>
          <w:sz w:val="20"/>
          <w:szCs w:val="20"/>
          <w:color w:val="auto"/>
        </w:rPr>
      </w:pPr>
    </w:p>
    <w:p>
      <w:pPr>
        <w:ind w:left="460" w:right="300" w:hanging="229"/>
        <w:spacing w:after="0" w:line="274" w:lineRule="auto"/>
        <w:tabs>
          <w:tab w:leader="none" w:pos="460" w:val="left"/>
        </w:tabs>
        <w:numPr>
          <w:ilvl w:val="0"/>
          <w:numId w:val="82"/>
        </w:numPr>
        <w:rPr>
          <w:rFonts w:ascii="Arial" w:cs="Arial" w:eastAsia="Arial" w:hAnsi="Arial"/>
          <w:sz w:val="19"/>
          <w:szCs w:val="19"/>
          <w:color w:val="231F20"/>
        </w:rPr>
      </w:pPr>
      <w:r>
        <w:rPr>
          <w:rFonts w:ascii="Times New Roman" w:cs="Times New Roman" w:eastAsia="Times New Roman" w:hAnsi="Times New Roman"/>
          <w:sz w:val="19"/>
          <w:szCs w:val="19"/>
          <w:color w:val="231F20"/>
        </w:rPr>
        <w:t>The valuation process begins with each investment being initially valued by the investment professionals responsible for the portfolio investment in conjunction with the portfolio management team.</w:t>
      </w:r>
    </w:p>
    <w:p>
      <w:pPr>
        <w:spacing w:after="0" w:line="61" w:lineRule="exact"/>
        <w:rPr>
          <w:rFonts w:ascii="Arial" w:cs="Arial" w:eastAsia="Arial" w:hAnsi="Arial"/>
          <w:sz w:val="19"/>
          <w:szCs w:val="19"/>
          <w:color w:val="231F20"/>
        </w:rPr>
      </w:pPr>
    </w:p>
    <w:p>
      <w:pPr>
        <w:ind w:left="460" w:right="540" w:hanging="229"/>
        <w:spacing w:after="0" w:line="274" w:lineRule="auto"/>
        <w:tabs>
          <w:tab w:leader="none" w:pos="460" w:val="left"/>
        </w:tabs>
        <w:numPr>
          <w:ilvl w:val="0"/>
          <w:numId w:val="82"/>
        </w:numPr>
        <w:rPr>
          <w:rFonts w:ascii="Arial" w:cs="Arial" w:eastAsia="Arial" w:hAnsi="Arial"/>
          <w:sz w:val="19"/>
          <w:szCs w:val="19"/>
          <w:color w:val="231F20"/>
        </w:rPr>
      </w:pPr>
      <w:r>
        <w:rPr>
          <w:rFonts w:ascii="Times New Roman" w:cs="Times New Roman" w:eastAsia="Times New Roman" w:hAnsi="Times New Roman"/>
          <w:sz w:val="19"/>
          <w:szCs w:val="19"/>
          <w:color w:val="231F20"/>
        </w:rPr>
        <w:t>The Adviser’s management reviews the preliminary valuations with the investment professionals. Agreed upon valuation recommendations are presented to the Audit Committee.</w:t>
      </w:r>
    </w:p>
    <w:p>
      <w:pPr>
        <w:spacing w:after="0" w:line="61" w:lineRule="exact"/>
        <w:rPr>
          <w:rFonts w:ascii="Arial" w:cs="Arial" w:eastAsia="Arial" w:hAnsi="Arial"/>
          <w:sz w:val="19"/>
          <w:szCs w:val="19"/>
          <w:color w:val="231F20"/>
        </w:rPr>
      </w:pPr>
    </w:p>
    <w:p>
      <w:pPr>
        <w:ind w:left="460" w:hanging="229"/>
        <w:spacing w:after="0"/>
        <w:tabs>
          <w:tab w:leader="none" w:pos="460" w:val="left"/>
        </w:tabs>
        <w:numPr>
          <w:ilvl w:val="0"/>
          <w:numId w:val="82"/>
        </w:numPr>
        <w:rPr>
          <w:rFonts w:ascii="Arial" w:cs="Arial" w:eastAsia="Arial" w:hAnsi="Arial"/>
          <w:sz w:val="19"/>
          <w:szCs w:val="19"/>
          <w:color w:val="231F20"/>
        </w:rPr>
      </w:pPr>
      <w:r>
        <w:rPr>
          <w:rFonts w:ascii="Times New Roman" w:cs="Times New Roman" w:eastAsia="Times New Roman" w:hAnsi="Times New Roman"/>
          <w:sz w:val="19"/>
          <w:szCs w:val="19"/>
          <w:color w:val="231F20"/>
        </w:rPr>
        <w:t>The Audit Committee reviews the valuations presented and recommends values for each investment to the Board.</w:t>
      </w:r>
    </w:p>
    <w:p>
      <w:pPr>
        <w:spacing w:after="0" w:line="124" w:lineRule="exact"/>
        <w:rPr>
          <w:rFonts w:ascii="Arial" w:cs="Arial" w:eastAsia="Arial" w:hAnsi="Arial"/>
          <w:sz w:val="19"/>
          <w:szCs w:val="19"/>
          <w:color w:val="231F20"/>
        </w:rPr>
      </w:pPr>
    </w:p>
    <w:p>
      <w:pPr>
        <w:ind w:left="460" w:right="80" w:hanging="229"/>
        <w:spacing w:after="0" w:line="250" w:lineRule="auto"/>
        <w:tabs>
          <w:tab w:leader="none" w:pos="460" w:val="left"/>
        </w:tabs>
        <w:numPr>
          <w:ilvl w:val="0"/>
          <w:numId w:val="82"/>
        </w:numPr>
        <w:rPr>
          <w:rFonts w:ascii="Arial" w:cs="Arial" w:eastAsia="Arial" w:hAnsi="Arial"/>
          <w:sz w:val="19"/>
          <w:szCs w:val="19"/>
          <w:color w:val="231F20"/>
        </w:rPr>
      </w:pPr>
      <w:r>
        <w:rPr>
          <w:rFonts w:ascii="Times New Roman" w:cs="Times New Roman" w:eastAsia="Times New Roman" w:hAnsi="Times New Roman"/>
          <w:sz w:val="19"/>
          <w:szCs w:val="19"/>
          <w:color w:val="231F20"/>
        </w:rPr>
        <w:t>The Board reviews the recommended valuations and determines the fair value of each investment; valuations that are not based on readily available market quotations are valued in good faith based on, among other things, the input of the Adviser, Audit Committee and, where applicable, other third parties including independent third-party valuation firms engaged at the direction of the Board.</w:t>
      </w:r>
    </w:p>
    <w:p>
      <w:pPr>
        <w:spacing w:after="0" w:line="18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9"/>
          <w:szCs w:val="19"/>
          <w:color w:val="231F20"/>
        </w:rPr>
        <w:t>The Company conducts this valuation process on a quarterly basis.</w:t>
      </w:r>
    </w:p>
    <w:p>
      <w:pPr>
        <w:spacing w:after="0" w:line="225" w:lineRule="exact"/>
        <w:rPr>
          <w:sz w:val="20"/>
          <w:szCs w:val="20"/>
          <w:color w:val="auto"/>
        </w:rPr>
      </w:pPr>
    </w:p>
    <w:p>
      <w:pPr>
        <w:ind w:right="40" w:firstLine="231"/>
        <w:spacing w:after="0" w:line="247" w:lineRule="auto"/>
        <w:rPr>
          <w:sz w:val="20"/>
          <w:szCs w:val="20"/>
          <w:color w:val="auto"/>
        </w:rPr>
      </w:pPr>
      <w:r>
        <w:rPr>
          <w:rFonts w:ascii="Times New Roman" w:cs="Times New Roman" w:eastAsia="Times New Roman" w:hAnsi="Times New Roman"/>
          <w:sz w:val="19"/>
          <w:szCs w:val="19"/>
          <w:color w:val="231F20"/>
        </w:rPr>
        <w:t>The Board has engaged independent third-party valuation firms to perform certain limited procedures that the Board has identified and requested them to perform in connection with the valuation process of investments for which no market quotations are readily available. At December 31, 2024, the independent third-party valuation firms performed their procedures over substantially all of the Company’s investments. Upon completion of such limited procedures, the third-party valuation firms concluded that the fair value, as determined by the Board, of those investments subjected to their limited procedures, appeared reasonable.</w:t>
      </w:r>
    </w:p>
    <w:p>
      <w:pPr>
        <w:spacing w:after="0" w:line="188" w:lineRule="exact"/>
        <w:rPr>
          <w:sz w:val="20"/>
          <w:szCs w:val="20"/>
          <w:color w:val="auto"/>
        </w:rPr>
      </w:pPr>
    </w:p>
    <w:p>
      <w:pPr>
        <w:ind w:right="40" w:firstLine="231"/>
        <w:spacing w:after="0" w:line="243" w:lineRule="auto"/>
        <w:rPr>
          <w:sz w:val="20"/>
          <w:szCs w:val="20"/>
          <w:color w:val="auto"/>
        </w:rPr>
      </w:pPr>
      <w:r>
        <w:rPr>
          <w:rFonts w:ascii="Times New Roman" w:cs="Times New Roman" w:eastAsia="Times New Roman" w:hAnsi="Times New Roman"/>
          <w:sz w:val="19"/>
          <w:szCs w:val="19"/>
          <w:color w:val="231F20"/>
        </w:rPr>
        <w:t xml:space="preserve">The Company applies Financial Accounting Standards Board Accounting Standards Codification Topic 820, </w:t>
      </w:r>
      <w:r>
        <w:rPr>
          <w:rFonts w:ascii="Times New Roman" w:cs="Times New Roman" w:eastAsia="Times New Roman" w:hAnsi="Times New Roman"/>
          <w:sz w:val="19"/>
          <w:szCs w:val="19"/>
          <w:i w:val="1"/>
          <w:iCs w:val="1"/>
          <w:color w:val="231F20"/>
        </w:rPr>
        <w:t>Fair Value</w:t>
      </w:r>
      <w:r>
        <w:rPr>
          <w:rFonts w:ascii="Times New Roman" w:cs="Times New Roman" w:eastAsia="Times New Roman" w:hAnsi="Times New Roman"/>
          <w:sz w:val="19"/>
          <w:szCs w:val="19"/>
          <w:color w:val="231F20"/>
        </w:rPr>
        <w:t xml:space="preserve"> </w:t>
      </w:r>
      <w:r>
        <w:rPr>
          <w:rFonts w:ascii="Times New Roman" w:cs="Times New Roman" w:eastAsia="Times New Roman" w:hAnsi="Times New Roman"/>
          <w:sz w:val="19"/>
          <w:szCs w:val="19"/>
          <w:i w:val="1"/>
          <w:iCs w:val="1"/>
          <w:color w:val="231F20"/>
        </w:rPr>
        <w:t xml:space="preserve">Measurement </w:t>
      </w:r>
      <w:r>
        <w:rPr>
          <w:rFonts w:ascii="Times New Roman" w:cs="Times New Roman" w:eastAsia="Times New Roman" w:hAnsi="Times New Roman"/>
          <w:sz w:val="19"/>
          <w:szCs w:val="19"/>
          <w:color w:val="231F20"/>
        </w:rPr>
        <w:t>(“ASC Topic 820”), as amended, which establishes a framework for measuring fair value in accordance with U.S.</w:t>
      </w:r>
      <w:r>
        <w:rPr>
          <w:rFonts w:ascii="Times New Roman" w:cs="Times New Roman" w:eastAsia="Times New Roman" w:hAnsi="Times New Roman"/>
          <w:sz w:val="19"/>
          <w:szCs w:val="19"/>
          <w:i w:val="1"/>
          <w:iCs w:val="1"/>
          <w:color w:val="231F20"/>
        </w:rPr>
        <w:t xml:space="preserve"> </w:t>
      </w:r>
      <w:r>
        <w:rPr>
          <w:rFonts w:ascii="Times New Roman" w:cs="Times New Roman" w:eastAsia="Times New Roman" w:hAnsi="Times New Roman"/>
          <w:sz w:val="19"/>
          <w:szCs w:val="19"/>
          <w:color w:val="231F20"/>
        </w:rPr>
        <w:t>GAAP and required disclosures of fair value measurements. ASC Topic 820 determines fair value to be the price that would be received for an investment in a current sale, which assumes an orderly transaction between market participants on the measurement date. Market participants are defined as buyers and sellers in the principal or most advantageous market (which may be a hypothetical market) that are independent, knowledgeable, and willing and able to transact. In accordance with ASC Topic 820, the Company considers its principal market to be the market that has the greatest volume and level of activity. ASC Topic 820 specifies a fair value hierarchy that prioritizes and ranks the level of observability of inputs used in determination of fair value. In accordance with ASC Topic 820, these levels are summarized below:</w:t>
      </w:r>
    </w:p>
    <w:p>
      <w:pPr>
        <w:spacing w:after="0" w:line="91" w:lineRule="exact"/>
        <w:rPr>
          <w:sz w:val="20"/>
          <w:szCs w:val="20"/>
          <w:color w:val="auto"/>
        </w:rPr>
      </w:pPr>
    </w:p>
    <w:p>
      <w:pPr>
        <w:ind w:left="460" w:right="100" w:hanging="229"/>
        <w:spacing w:after="0" w:line="274" w:lineRule="auto"/>
        <w:tabs>
          <w:tab w:leader="none" w:pos="460" w:val="left"/>
        </w:tabs>
        <w:numPr>
          <w:ilvl w:val="0"/>
          <w:numId w:val="83"/>
        </w:numPr>
        <w:rPr>
          <w:rFonts w:ascii="Arial" w:cs="Arial" w:eastAsia="Arial" w:hAnsi="Arial"/>
          <w:sz w:val="19"/>
          <w:szCs w:val="19"/>
          <w:color w:val="231F20"/>
        </w:rPr>
      </w:pPr>
      <w:r>
        <w:rPr>
          <w:rFonts w:ascii="Times New Roman" w:cs="Times New Roman" w:eastAsia="Times New Roman" w:hAnsi="Times New Roman"/>
          <w:sz w:val="19"/>
          <w:szCs w:val="19"/>
          <w:color w:val="231F20"/>
        </w:rPr>
        <w:t>Level 1—Valuations based on quoted prices in active markets for identical assets or liabilities that the Company has the ability to access.</w:t>
      </w:r>
    </w:p>
    <w:p>
      <w:pPr>
        <w:spacing w:after="0" w:line="61" w:lineRule="exact"/>
        <w:rPr>
          <w:rFonts w:ascii="Arial" w:cs="Arial" w:eastAsia="Arial" w:hAnsi="Arial"/>
          <w:sz w:val="19"/>
          <w:szCs w:val="19"/>
          <w:color w:val="231F20"/>
        </w:rPr>
      </w:pPr>
    </w:p>
    <w:p>
      <w:pPr>
        <w:ind w:left="460" w:right="340" w:hanging="229"/>
        <w:spacing w:after="0" w:line="274" w:lineRule="auto"/>
        <w:tabs>
          <w:tab w:leader="none" w:pos="460" w:val="left"/>
        </w:tabs>
        <w:numPr>
          <w:ilvl w:val="0"/>
          <w:numId w:val="83"/>
        </w:numPr>
        <w:rPr>
          <w:rFonts w:ascii="Arial" w:cs="Arial" w:eastAsia="Arial" w:hAnsi="Arial"/>
          <w:sz w:val="19"/>
          <w:szCs w:val="19"/>
          <w:color w:val="231F20"/>
        </w:rPr>
      </w:pPr>
      <w:r>
        <w:rPr>
          <w:rFonts w:ascii="Times New Roman" w:cs="Times New Roman" w:eastAsia="Times New Roman" w:hAnsi="Times New Roman"/>
          <w:sz w:val="19"/>
          <w:szCs w:val="19"/>
          <w:color w:val="231F20"/>
        </w:rPr>
        <w:t>Level 2—Valuations based on quoted prices in markets that are not active or for which all significant inputs are observable, either directly or indirectly.</w:t>
      </w:r>
    </w:p>
    <w:p>
      <w:pPr>
        <w:spacing w:after="0" w:line="61" w:lineRule="exact"/>
        <w:rPr>
          <w:rFonts w:ascii="Arial" w:cs="Arial" w:eastAsia="Arial" w:hAnsi="Arial"/>
          <w:sz w:val="19"/>
          <w:szCs w:val="19"/>
          <w:color w:val="231F20"/>
        </w:rPr>
      </w:pPr>
    </w:p>
    <w:p>
      <w:pPr>
        <w:ind w:left="460" w:hanging="229"/>
        <w:spacing w:after="0"/>
        <w:tabs>
          <w:tab w:leader="none" w:pos="460" w:val="left"/>
        </w:tabs>
        <w:numPr>
          <w:ilvl w:val="0"/>
          <w:numId w:val="83"/>
        </w:numPr>
        <w:rPr>
          <w:rFonts w:ascii="Arial" w:cs="Arial" w:eastAsia="Arial" w:hAnsi="Arial"/>
          <w:sz w:val="19"/>
          <w:szCs w:val="19"/>
          <w:color w:val="231F20"/>
        </w:rPr>
      </w:pPr>
      <w:r>
        <w:rPr>
          <w:rFonts w:ascii="Times New Roman" w:cs="Times New Roman" w:eastAsia="Times New Roman" w:hAnsi="Times New Roman"/>
          <w:sz w:val="19"/>
          <w:szCs w:val="19"/>
          <w:color w:val="231F20"/>
        </w:rPr>
        <w:t>Level 3—Valuations based on inputs that are unobservable and significant to the overall fair value measurement.</w:t>
      </w:r>
    </w:p>
    <w:p>
      <w:pPr>
        <w:spacing w:after="0" w:line="214" w:lineRule="exact"/>
        <w:rPr>
          <w:sz w:val="20"/>
          <w:szCs w:val="20"/>
          <w:color w:val="auto"/>
        </w:rPr>
      </w:pPr>
    </w:p>
    <w:p>
      <w:pPr>
        <w:ind w:firstLine="231"/>
        <w:spacing w:after="0" w:line="235" w:lineRule="auto"/>
        <w:rPr>
          <w:sz w:val="20"/>
          <w:szCs w:val="20"/>
          <w:color w:val="auto"/>
        </w:rPr>
      </w:pPr>
      <w:r>
        <w:rPr>
          <w:rFonts w:ascii="Times New Roman" w:cs="Times New Roman" w:eastAsia="Times New Roman" w:hAnsi="Times New Roman"/>
          <w:sz w:val="19"/>
          <w:szCs w:val="19"/>
          <w:color w:val="231F20"/>
        </w:rPr>
        <w:t>Transfers between levels, if any, are recognized at the beginning of the quarter in which the transfers occur. In addition to using the above inputs in investment valuations, the Company applies the valuation policy approved by its Board that is consistent with ASC Topic 820. Consistent with the valuation policy, the Company evaluates the source of inputs, including any markets in which its investments are trading (or any markets in which securities with similar attributes are trading), in determining fair value. When a security is valued based on prices provided by reputable dealers or pricing services (that is, broker quotes), the Company subjects</w:t>
      </w:r>
    </w:p>
    <w:p>
      <w:pPr>
        <w:spacing w:after="0" w:line="30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9"/>
          <w:szCs w:val="19"/>
          <w:color w:val="231F20"/>
        </w:rPr>
        <w:t>F-29</w:t>
      </w:r>
    </w:p>
    <w:p>
      <w:pPr>
        <w:sectPr>
          <w:pgSz w:w="12240" w:h="15840" w:orient="portrait"/>
          <w:cols w:equalWidth="0" w:num="1">
            <w:col w:w="10160"/>
          </w:cols>
          <w:pgMar w:left="1020" w:top="1317" w:right="1060" w:bottom="574" w:gutter="0" w:footer="0" w:header="0"/>
        </w:sectPr>
      </w:pPr>
    </w:p>
    <w:bookmarkStart w:id="117" w:name="page118"/>
    <w:bookmarkEnd w:id="117"/>
    <w:p>
      <w:pPr>
        <w:ind w:right="160"/>
        <w:spacing w:after="0" w:line="235" w:lineRule="auto"/>
        <w:rPr>
          <w:sz w:val="20"/>
          <w:szCs w:val="20"/>
          <w:color w:val="auto"/>
        </w:rPr>
      </w:pPr>
      <w:r>
        <w:rPr>
          <w:rFonts w:ascii="Times New Roman" w:cs="Times New Roman" w:eastAsia="Times New Roman" w:hAnsi="Times New Roman"/>
          <w:sz w:val="19"/>
          <w:szCs w:val="19"/>
          <w:color w:val="231F20"/>
        </w:rPr>
        <w:t>those prices to various additional criteria in making the determination as to whether a particular investment would qualify for treatment as a Level 2 or Level 3 investment. For example, the Company reviews pricing provided by dealers or pricing services in order to determine if observable market information is being used, versus unobservable inputs. Some additional factors considered include the number of prices obtained as well as an assessment as to their quality, such as the depth of the relevant market relative to the size of the Company’s position.</w:t>
      </w:r>
    </w:p>
    <w:p>
      <w:pPr>
        <w:spacing w:after="0" w:line="180" w:lineRule="exact"/>
        <w:rPr>
          <w:sz w:val="20"/>
          <w:szCs w:val="20"/>
          <w:color w:val="auto"/>
        </w:rPr>
      </w:pPr>
    </w:p>
    <w:p>
      <w:pPr>
        <w:ind w:right="120" w:firstLine="231"/>
        <w:spacing w:after="0" w:line="232" w:lineRule="auto"/>
        <w:rPr>
          <w:sz w:val="20"/>
          <w:szCs w:val="20"/>
          <w:color w:val="auto"/>
        </w:rPr>
      </w:pPr>
      <w:r>
        <w:rPr>
          <w:rFonts w:ascii="Times New Roman" w:cs="Times New Roman" w:eastAsia="Times New Roman" w:hAnsi="Times New Roman"/>
          <w:sz w:val="19"/>
          <w:szCs w:val="19"/>
          <w:color w:val="231F20"/>
        </w:rPr>
        <w:t>Due to the inherent uncertainty of determining the fair value of investments that do not have a readily available market value, the fair value of the Company’s investments may fluctuate from period to period. Additionally, the fair value of such investments may differ significantly from the values that would have been used had a ready market existed for such investments and may differ materially from the values that may ultimately be realized. Further, such investments are generally less liquid than publicly traded securities and may be subject to contractual and other restrictions on resale. If the Company were required to liquidate a portfolio investment in a forced or liquidation sale, it could realize amounts that are different from the amounts presented and such differences could be material.</w:t>
      </w:r>
    </w:p>
    <w:p>
      <w:pPr>
        <w:spacing w:after="0" w:line="180" w:lineRule="exact"/>
        <w:rPr>
          <w:sz w:val="20"/>
          <w:szCs w:val="20"/>
          <w:color w:val="auto"/>
        </w:rPr>
      </w:pPr>
    </w:p>
    <w:p>
      <w:pPr>
        <w:jc w:val="both"/>
        <w:ind w:right="160" w:firstLine="231"/>
        <w:spacing w:after="0" w:line="243" w:lineRule="auto"/>
        <w:rPr>
          <w:sz w:val="20"/>
          <w:szCs w:val="20"/>
          <w:color w:val="auto"/>
        </w:rPr>
      </w:pPr>
      <w:r>
        <w:rPr>
          <w:rFonts w:ascii="Times New Roman" w:cs="Times New Roman" w:eastAsia="Times New Roman" w:hAnsi="Times New Roman"/>
          <w:sz w:val="19"/>
          <w:szCs w:val="19"/>
          <w:color w:val="231F20"/>
        </w:rPr>
        <w:t>In addition, changes in the market environment including the impact of changes in broader market indices and credit spreads and other events that may occur over the life of the investments may cause the gains or losses ultimately realized on these investments to be different than the unrealized gains or losses reflected herein.</w:t>
      </w: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231F20"/>
        </w:rPr>
        <w:t>Financial and Derivative Instruments</w:t>
      </w:r>
    </w:p>
    <w:p>
      <w:pPr>
        <w:spacing w:after="0" w:line="95" w:lineRule="exact"/>
        <w:rPr>
          <w:sz w:val="20"/>
          <w:szCs w:val="20"/>
          <w:color w:val="auto"/>
        </w:rPr>
      </w:pPr>
    </w:p>
    <w:p>
      <w:pPr>
        <w:ind w:right="200" w:firstLine="231"/>
        <w:spacing w:after="0" w:line="230" w:lineRule="auto"/>
        <w:rPr>
          <w:sz w:val="20"/>
          <w:szCs w:val="20"/>
          <w:color w:val="auto"/>
        </w:rPr>
      </w:pPr>
      <w:r>
        <w:rPr>
          <w:rFonts w:ascii="Times New Roman" w:cs="Times New Roman" w:eastAsia="Times New Roman" w:hAnsi="Times New Roman"/>
          <w:sz w:val="19"/>
          <w:szCs w:val="19"/>
          <w:color w:val="231F20"/>
        </w:rPr>
        <w:t>The Company recognizes all derivative instruments as assets or liabilities at fair value in its consolidated financial statements, pursuant to ASC Topic 815 Derivatives and Hedging, further clarified by the FASB’s issuance of the Accounting Standards Update (“ASU”) No. 2017-12, Derivatives and Hedging, which was adopted in 2019 by the Company. For all derivative instruments designated in a hedge accounting relationship, the entire change in the fair value of the hedging instrument shall be recorded in the same line item of the Consolidated Statements of Operations as the hedged item. The Company uses certain interest rate swaps as derivative instruments to hedge the Company’s fixed rate debt, and therefore both the periodic payment and the change in fair value for the effective hedge, if applicable, will be recognized as components of interest expense in the Consolidated Statements of Operations. For derivative contracts entered into by the Company that are not designated in a hedge accounting relationship, the Company presents changes in the fair value through current period earnings.</w:t>
      </w:r>
    </w:p>
    <w:p>
      <w:pPr>
        <w:spacing w:after="0" w:line="70" w:lineRule="exact"/>
        <w:rPr>
          <w:sz w:val="20"/>
          <w:szCs w:val="20"/>
          <w:color w:val="auto"/>
        </w:rPr>
      </w:pPr>
    </w:p>
    <w:p>
      <w:pPr>
        <w:ind w:firstLine="231"/>
        <w:spacing w:after="0" w:line="233" w:lineRule="auto"/>
        <w:rPr>
          <w:sz w:val="20"/>
          <w:szCs w:val="20"/>
          <w:color w:val="auto"/>
        </w:rPr>
      </w:pPr>
      <w:r>
        <w:rPr>
          <w:rFonts w:ascii="Times New Roman" w:cs="Times New Roman" w:eastAsia="Times New Roman" w:hAnsi="Times New Roman"/>
          <w:sz w:val="19"/>
          <w:szCs w:val="19"/>
          <w:color w:val="231F20"/>
        </w:rPr>
        <w:t>In the normal course of business, the Company has commitments and risks resulting from its investment transactions, which may include those involving derivative instruments. Derivative instruments are measured in terms of the notional contract amount and derive their value based upon one or more underlying instruments. While the notional amount gives some indication of the Company’s derivative activity, it generally is not exchanged, but is only used as the basis on which interest and other payments are exchanged. Derivative instruments are subject to various risks similar to non-derivative instruments including market, credit, liquidity, and operational risks. The Company manages these risks on an aggregate basis as part of its risk management process.</w:t>
      </w:r>
    </w:p>
    <w:p>
      <w:pPr>
        <w:spacing w:after="0" w:line="68" w:lineRule="exact"/>
        <w:rPr>
          <w:sz w:val="20"/>
          <w:szCs w:val="20"/>
          <w:color w:val="auto"/>
        </w:rPr>
      </w:pPr>
    </w:p>
    <w:p>
      <w:pPr>
        <w:ind w:right="20" w:firstLine="231"/>
        <w:spacing w:after="0" w:line="261" w:lineRule="auto"/>
        <w:rPr>
          <w:sz w:val="20"/>
          <w:szCs w:val="20"/>
          <w:color w:val="auto"/>
        </w:rPr>
      </w:pPr>
      <w:r>
        <w:rPr>
          <w:rFonts w:ascii="Times New Roman" w:cs="Times New Roman" w:eastAsia="Times New Roman" w:hAnsi="Times New Roman"/>
          <w:sz w:val="19"/>
          <w:szCs w:val="19"/>
          <w:color w:val="231F20"/>
        </w:rPr>
        <w:t>Derivatives, including the Company’s interest rate swaps, for which broker quotes are available are typically valued at those broker quotes.</w:t>
      </w:r>
    </w:p>
    <w:p>
      <w:pPr>
        <w:spacing w:after="0" w:line="27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231F20"/>
        </w:rPr>
        <w:t>Offsetting Assets and Liabilities</w:t>
      </w:r>
    </w:p>
    <w:p>
      <w:pPr>
        <w:spacing w:after="0" w:line="95" w:lineRule="exact"/>
        <w:rPr>
          <w:sz w:val="20"/>
          <w:szCs w:val="20"/>
          <w:color w:val="auto"/>
        </w:rPr>
      </w:pPr>
    </w:p>
    <w:p>
      <w:pPr>
        <w:ind w:firstLine="231"/>
        <w:spacing w:after="0" w:line="237" w:lineRule="auto"/>
        <w:rPr>
          <w:sz w:val="20"/>
          <w:szCs w:val="20"/>
          <w:color w:val="auto"/>
        </w:rPr>
      </w:pPr>
      <w:r>
        <w:rPr>
          <w:rFonts w:ascii="Times New Roman" w:cs="Times New Roman" w:eastAsia="Times New Roman" w:hAnsi="Times New Roman"/>
          <w:sz w:val="19"/>
          <w:szCs w:val="19"/>
          <w:color w:val="231F20"/>
        </w:rPr>
        <w:t>Foreign currency forward contract and interest rate swap receivables or payables pending settlement are offset, and the net amount is included with receivable or payable for foreign currency forward contracts or interest rate swaps in the Consolidated Balance Sheets when, and only when, they are with the same counterparty, the Company has the legal right to offset the recognized amounts, and it intends to either settle on a net basis or realize the asset and settle the liability simultaneously.</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231F20"/>
        </w:rPr>
        <w:t>Foreign Currency</w:t>
      </w:r>
    </w:p>
    <w:p>
      <w:pPr>
        <w:spacing w:after="0" w:line="95"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9"/>
          <w:szCs w:val="19"/>
          <w:color w:val="231F20"/>
        </w:rPr>
        <w:t>Foreign currency amounts are translated into U.S. dollars on the following basis:</w:t>
      </w:r>
    </w:p>
    <w:p>
      <w:pPr>
        <w:spacing w:after="0" w:line="113" w:lineRule="exact"/>
        <w:rPr>
          <w:sz w:val="20"/>
          <w:szCs w:val="20"/>
          <w:color w:val="auto"/>
        </w:rPr>
      </w:pPr>
    </w:p>
    <w:p>
      <w:pPr>
        <w:ind w:left="460" w:right="720" w:hanging="229"/>
        <w:spacing w:after="0" w:line="260" w:lineRule="auto"/>
        <w:tabs>
          <w:tab w:leader="none" w:pos="460" w:val="left"/>
        </w:tabs>
        <w:numPr>
          <w:ilvl w:val="0"/>
          <w:numId w:val="84"/>
        </w:numPr>
        <w:rPr>
          <w:rFonts w:ascii="Arial" w:cs="Arial" w:eastAsia="Arial" w:hAnsi="Arial"/>
          <w:sz w:val="19"/>
          <w:szCs w:val="19"/>
          <w:color w:val="231F20"/>
        </w:rPr>
      </w:pPr>
      <w:r>
        <w:rPr>
          <w:rFonts w:ascii="Times New Roman" w:cs="Times New Roman" w:eastAsia="Times New Roman" w:hAnsi="Times New Roman"/>
          <w:sz w:val="19"/>
          <w:szCs w:val="19"/>
          <w:color w:val="231F20"/>
        </w:rPr>
        <w:t>cash and cash equivalents, market value of investments, outstanding debt on revolving credit facilities, other assets and liabilities: at the spot exchange rate on the last business day of the period; and</w:t>
      </w:r>
    </w:p>
    <w:p>
      <w:pPr>
        <w:spacing w:after="0" w:line="61" w:lineRule="exact"/>
        <w:rPr>
          <w:rFonts w:ascii="Arial" w:cs="Arial" w:eastAsia="Arial" w:hAnsi="Arial"/>
          <w:sz w:val="19"/>
          <w:szCs w:val="19"/>
          <w:color w:val="231F20"/>
        </w:rPr>
      </w:pPr>
    </w:p>
    <w:p>
      <w:pPr>
        <w:ind w:left="460" w:right="560" w:hanging="229"/>
        <w:spacing w:after="0" w:line="260" w:lineRule="auto"/>
        <w:tabs>
          <w:tab w:leader="none" w:pos="460" w:val="left"/>
        </w:tabs>
        <w:numPr>
          <w:ilvl w:val="0"/>
          <w:numId w:val="84"/>
        </w:numPr>
        <w:rPr>
          <w:rFonts w:ascii="Arial" w:cs="Arial" w:eastAsia="Arial" w:hAnsi="Arial"/>
          <w:sz w:val="19"/>
          <w:szCs w:val="19"/>
          <w:color w:val="231F20"/>
        </w:rPr>
      </w:pPr>
      <w:r>
        <w:rPr>
          <w:rFonts w:ascii="Times New Roman" w:cs="Times New Roman" w:eastAsia="Times New Roman" w:hAnsi="Times New Roman"/>
          <w:sz w:val="19"/>
          <w:szCs w:val="19"/>
          <w:color w:val="231F20"/>
        </w:rPr>
        <w:t>purchases and sales of investments, borrowings and repayments of such borrowings, income and expenses: at the rates of exchange prevailing on the respective dates of such transactions.</w:t>
      </w:r>
    </w:p>
    <w:p>
      <w:pPr>
        <w:spacing w:after="0" w:line="161" w:lineRule="exact"/>
        <w:rPr>
          <w:sz w:val="20"/>
          <w:szCs w:val="20"/>
          <w:color w:val="auto"/>
        </w:rPr>
      </w:pPr>
    </w:p>
    <w:p>
      <w:pPr>
        <w:ind w:right="180" w:firstLine="231"/>
        <w:spacing w:after="0" w:line="247" w:lineRule="auto"/>
        <w:rPr>
          <w:sz w:val="20"/>
          <w:szCs w:val="20"/>
          <w:color w:val="auto"/>
        </w:rPr>
      </w:pPr>
      <w:r>
        <w:rPr>
          <w:rFonts w:ascii="Times New Roman" w:cs="Times New Roman" w:eastAsia="Times New Roman" w:hAnsi="Times New Roman"/>
          <w:sz w:val="18"/>
          <w:szCs w:val="18"/>
          <w:color w:val="231F20"/>
        </w:rPr>
        <w:t>Although net assets and fair values are presented based on the applicable foreign exchange rates described above, the Company does not isolate that portion of the results of operations resulting from changes in foreign exchange rates on investments from the fluctuations arising from changes in fair values of investments held. Such fluctuations are included with the net realized and unrealized gain or loss from investments. The Company’s current approach to hedging the foreign currency exposure in its non-U.S. dollar denominated investments is primarily to borrow the par amount in local currency under the Company’s Revolving Credit Facility to fund these investments. Fluctuations arising from the translation of foreign currency borrowings are included with the net</w:t>
      </w:r>
    </w:p>
    <w:p>
      <w:pPr>
        <w:sectPr>
          <w:pgSz w:w="12240" w:h="15840" w:orient="portrait"/>
          <w:cols w:equalWidth="0" w:num="1">
            <w:col w:w="10180"/>
          </w:cols>
          <w:pgMar w:left="1020" w:top="1306" w:right="1040" w:bottom="574" w:gutter="0" w:footer="0" w:header="0"/>
        </w:sectPr>
      </w:pPr>
    </w:p>
    <w:p>
      <w:pPr>
        <w:spacing w:after="0" w:line="3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231F20"/>
        </w:rPr>
        <w:t>F-30</w:t>
      </w:r>
    </w:p>
    <w:p>
      <w:pPr>
        <w:sectPr>
          <w:pgSz w:w="12240" w:h="15840" w:orient="portrait"/>
          <w:cols w:equalWidth="0" w:num="1">
            <w:col w:w="10180"/>
          </w:cols>
          <w:pgMar w:left="1020" w:top="1306" w:right="1040" w:bottom="574" w:gutter="0" w:footer="0" w:header="0"/>
          <w:type w:val="continuous"/>
        </w:sectPr>
      </w:pPr>
    </w:p>
    <w:bookmarkStart w:id="118" w:name="page119"/>
    <w:bookmarkEnd w:id="118"/>
    <w:p>
      <w:pPr>
        <w:ind w:right="480"/>
        <w:spacing w:after="0" w:line="261" w:lineRule="auto"/>
        <w:rPr>
          <w:sz w:val="20"/>
          <w:szCs w:val="20"/>
          <w:color w:val="auto"/>
        </w:rPr>
      </w:pPr>
      <w:r>
        <w:rPr>
          <w:rFonts w:ascii="Times New Roman" w:cs="Times New Roman" w:eastAsia="Times New Roman" w:hAnsi="Times New Roman"/>
          <w:sz w:val="19"/>
          <w:szCs w:val="19"/>
          <w:color w:val="231F20"/>
        </w:rPr>
        <w:t>change in unrealized gains (losses) on translation of assets and liabilities in foreign currencies on the Consolidated Statements of Operations.</w:t>
      </w:r>
    </w:p>
    <w:p>
      <w:pPr>
        <w:spacing w:after="0" w:line="171" w:lineRule="exact"/>
        <w:rPr>
          <w:sz w:val="20"/>
          <w:szCs w:val="20"/>
          <w:color w:val="auto"/>
        </w:rPr>
      </w:pPr>
    </w:p>
    <w:p>
      <w:pPr>
        <w:jc w:val="both"/>
        <w:ind w:right="140" w:firstLine="231"/>
        <w:spacing w:after="0" w:line="257" w:lineRule="auto"/>
        <w:rPr>
          <w:sz w:val="20"/>
          <w:szCs w:val="20"/>
          <w:color w:val="auto"/>
        </w:rPr>
      </w:pPr>
      <w:r>
        <w:rPr>
          <w:rFonts w:ascii="Times New Roman" w:cs="Times New Roman" w:eastAsia="Times New Roman" w:hAnsi="Times New Roman"/>
          <w:sz w:val="19"/>
          <w:szCs w:val="19"/>
          <w:color w:val="231F20"/>
        </w:rPr>
        <w:t>Investments denominated in foreign currencies and foreign currency transactions may involve certain considerations and risks not typically associated with those of domestic origin, including unanticipated movements in the value of the foreign currency relative to the U.S. dollar.</w:t>
      </w: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231F20"/>
        </w:rPr>
        <w:t>Equity Offering Expenses</w:t>
      </w:r>
    </w:p>
    <w:p>
      <w:pPr>
        <w:spacing w:after="0" w:line="108" w:lineRule="exact"/>
        <w:rPr>
          <w:sz w:val="20"/>
          <w:szCs w:val="20"/>
          <w:color w:val="auto"/>
        </w:rPr>
      </w:pPr>
    </w:p>
    <w:p>
      <w:pPr>
        <w:ind w:right="300" w:firstLine="231"/>
        <w:spacing w:after="0" w:line="275" w:lineRule="auto"/>
        <w:rPr>
          <w:sz w:val="20"/>
          <w:szCs w:val="20"/>
          <w:color w:val="auto"/>
        </w:rPr>
      </w:pPr>
      <w:r>
        <w:rPr>
          <w:rFonts w:ascii="Times New Roman" w:cs="Times New Roman" w:eastAsia="Times New Roman" w:hAnsi="Times New Roman"/>
          <w:sz w:val="19"/>
          <w:szCs w:val="19"/>
          <w:color w:val="231F20"/>
        </w:rPr>
        <w:t>The Company records expenses related to equity offerings as a reduction of capital upon completion of an offering of registered securities. The costs associated with renewals of the Company’s shelf registration statement are expensed as incurred.</w:t>
      </w:r>
    </w:p>
    <w:p>
      <w:pPr>
        <w:spacing w:after="0" w:line="27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231F20"/>
        </w:rPr>
        <w:t>Debt Issuance Costs</w:t>
      </w:r>
    </w:p>
    <w:p>
      <w:pPr>
        <w:spacing w:after="0" w:line="108" w:lineRule="exact"/>
        <w:rPr>
          <w:sz w:val="20"/>
          <w:szCs w:val="20"/>
          <w:color w:val="auto"/>
        </w:rPr>
      </w:pPr>
    </w:p>
    <w:p>
      <w:pPr>
        <w:ind w:right="20" w:firstLine="231"/>
        <w:spacing w:after="0" w:line="257" w:lineRule="auto"/>
        <w:rPr>
          <w:sz w:val="20"/>
          <w:szCs w:val="20"/>
          <w:color w:val="auto"/>
        </w:rPr>
      </w:pPr>
      <w:r>
        <w:rPr>
          <w:rFonts w:ascii="Times New Roman" w:cs="Times New Roman" w:eastAsia="Times New Roman" w:hAnsi="Times New Roman"/>
          <w:sz w:val="19"/>
          <w:szCs w:val="19"/>
          <w:color w:val="231F20"/>
        </w:rPr>
        <w:t>The Company records origination and other expenses related to its debt obligations as deferred financing costs, which are presented as a direct deduction from the carrying value of the related debt liability. These expenses are deferred and amortized using the effective interest method, or straight-line method, over the stated maturity of the debt obligation.</w:t>
      </w: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231F20"/>
        </w:rPr>
        <w:t>Interest and Dividend Income Recognition</w:t>
      </w:r>
    </w:p>
    <w:p>
      <w:pPr>
        <w:spacing w:after="0" w:line="108" w:lineRule="exact"/>
        <w:rPr>
          <w:sz w:val="20"/>
          <w:szCs w:val="20"/>
          <w:color w:val="auto"/>
        </w:rPr>
      </w:pPr>
    </w:p>
    <w:p>
      <w:pPr>
        <w:ind w:right="60" w:firstLine="231"/>
        <w:spacing w:after="0" w:line="250" w:lineRule="auto"/>
        <w:rPr>
          <w:sz w:val="20"/>
          <w:szCs w:val="20"/>
          <w:color w:val="auto"/>
        </w:rPr>
      </w:pPr>
      <w:r>
        <w:rPr>
          <w:rFonts w:ascii="Times New Roman" w:cs="Times New Roman" w:eastAsia="Times New Roman" w:hAnsi="Times New Roman"/>
          <w:sz w:val="19"/>
          <w:szCs w:val="19"/>
          <w:color w:val="231F20"/>
        </w:rPr>
        <w:t>Interest income is recorded on an accrual basis and includes the amortization of discounts and premiums. Discounts and premiums to par value on securities purchased or originated are amortized into interest income over the contractual life of the respective security using the effective interest method. The amortized cost of investments represents the original cost adjusted for the amortization of discounts and premiums, if any.</w:t>
      </w:r>
    </w:p>
    <w:p>
      <w:pPr>
        <w:spacing w:after="0" w:line="185" w:lineRule="exact"/>
        <w:rPr>
          <w:sz w:val="20"/>
          <w:szCs w:val="20"/>
          <w:color w:val="auto"/>
        </w:rPr>
      </w:pPr>
    </w:p>
    <w:p>
      <w:pPr>
        <w:ind w:right="300" w:firstLine="231"/>
        <w:spacing w:after="0" w:line="304" w:lineRule="auto"/>
        <w:rPr>
          <w:sz w:val="20"/>
          <w:szCs w:val="20"/>
          <w:color w:val="auto"/>
        </w:rPr>
      </w:pPr>
      <w:r>
        <w:rPr>
          <w:rFonts w:ascii="Times New Roman" w:cs="Times New Roman" w:eastAsia="Times New Roman" w:hAnsi="Times New Roman"/>
          <w:sz w:val="18"/>
          <w:szCs w:val="18"/>
          <w:color w:val="231F20"/>
        </w:rPr>
        <w:t>Unless providing services in connection with an investment, such as syndication, structuring or diligence, all or a portion of any loan fees received by the Company will be deferred and amortized over the investment’s life using the effective interest method.</w:t>
      </w:r>
    </w:p>
    <w:p>
      <w:pPr>
        <w:spacing w:after="0" w:line="137" w:lineRule="exact"/>
        <w:rPr>
          <w:sz w:val="20"/>
          <w:szCs w:val="20"/>
          <w:color w:val="auto"/>
        </w:rPr>
      </w:pPr>
    </w:p>
    <w:p>
      <w:pPr>
        <w:ind w:firstLine="231"/>
        <w:spacing w:after="0" w:line="244" w:lineRule="auto"/>
        <w:rPr>
          <w:sz w:val="20"/>
          <w:szCs w:val="20"/>
          <w:color w:val="auto"/>
        </w:rPr>
      </w:pPr>
      <w:r>
        <w:rPr>
          <w:rFonts w:ascii="Times New Roman" w:cs="Times New Roman" w:eastAsia="Times New Roman" w:hAnsi="Times New Roman"/>
          <w:sz w:val="19"/>
          <w:szCs w:val="19"/>
          <w:color w:val="231F20"/>
        </w:rPr>
        <w:t>Loans are generally placed on non-accrual status when principal or interest payments are past due 30 days or more or when management has reasonable doubt that the borrower will pay principal or interest in full. Accrued and unpaid interest is generally reversed when a loan is placed on non-accrual status. Interest payments received on non-accrual loans may be recognized as income or applied to principal depending upon management’s judgment regarding collectability. Non-accrual loans are restored to accrual status when past due principal and interest has been paid and, in management’s judgment, the borrower is likely to make principal and interest payments in the future. Management may determine to not place a loan on non-accrual status if, notwithstanding any failure to pay, the loan has sufficient collateral value and is in the process of collection.</w:t>
      </w:r>
    </w:p>
    <w:p>
      <w:pPr>
        <w:spacing w:after="0" w:line="192" w:lineRule="exact"/>
        <w:rPr>
          <w:sz w:val="20"/>
          <w:szCs w:val="20"/>
          <w:color w:val="auto"/>
        </w:rPr>
      </w:pPr>
    </w:p>
    <w:p>
      <w:pPr>
        <w:jc w:val="both"/>
        <w:ind w:right="160" w:firstLine="231"/>
        <w:spacing w:after="0" w:line="257" w:lineRule="auto"/>
        <w:rPr>
          <w:sz w:val="20"/>
          <w:szCs w:val="20"/>
          <w:color w:val="auto"/>
        </w:rPr>
      </w:pPr>
      <w:r>
        <w:rPr>
          <w:rFonts w:ascii="Times New Roman" w:cs="Times New Roman" w:eastAsia="Times New Roman" w:hAnsi="Times New Roman"/>
          <w:sz w:val="19"/>
          <w:szCs w:val="19"/>
          <w:color w:val="231F20"/>
        </w:rPr>
        <w:t>Dividend income on preferred equity securities is recorded on an accrual basis to the extent that such amounts are payable by the portfolio company and are expected to be collected. Dividend income on common equity securities is recorded on the record date for private portfolio companies or on the ex-dividend date for publicly-traded portfolio companies.</w:t>
      </w: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231F20"/>
        </w:rPr>
        <w:t>Other Income</w:t>
      </w:r>
    </w:p>
    <w:p>
      <w:pPr>
        <w:spacing w:after="0" w:line="108" w:lineRule="exact"/>
        <w:rPr>
          <w:sz w:val="20"/>
          <w:szCs w:val="20"/>
          <w:color w:val="auto"/>
        </w:rPr>
      </w:pPr>
    </w:p>
    <w:p>
      <w:pPr>
        <w:ind w:right="60" w:firstLine="231"/>
        <w:spacing w:after="0" w:line="257" w:lineRule="auto"/>
        <w:rPr>
          <w:sz w:val="20"/>
          <w:szCs w:val="20"/>
          <w:color w:val="auto"/>
        </w:rPr>
      </w:pPr>
      <w:r>
        <w:rPr>
          <w:rFonts w:ascii="Times New Roman" w:cs="Times New Roman" w:eastAsia="Times New Roman" w:hAnsi="Times New Roman"/>
          <w:sz w:val="19"/>
          <w:szCs w:val="19"/>
          <w:color w:val="231F20"/>
        </w:rPr>
        <w:t>From time to time, the Company may receive fees for services provided to portfolio companies by the Adviser. The services that the Adviser provides vary by investment, but may include syndication, structuring, diligence fees, or other service-based fees and fees for providing managerial assistance to our portfolio companies and are recognized as revenue when earned.</w:t>
      </w: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231F20"/>
        </w:rPr>
        <w:t>Earnings per share</w:t>
      </w:r>
    </w:p>
    <w:p>
      <w:pPr>
        <w:spacing w:after="0" w:line="108" w:lineRule="exact"/>
        <w:rPr>
          <w:sz w:val="20"/>
          <w:szCs w:val="20"/>
          <w:color w:val="auto"/>
        </w:rPr>
      </w:pPr>
    </w:p>
    <w:p>
      <w:pPr>
        <w:ind w:right="300" w:firstLine="231"/>
        <w:spacing w:after="0" w:line="244" w:lineRule="auto"/>
        <w:rPr>
          <w:sz w:val="20"/>
          <w:szCs w:val="20"/>
          <w:color w:val="auto"/>
        </w:rPr>
      </w:pPr>
      <w:r>
        <w:rPr>
          <w:rFonts w:ascii="Times New Roman" w:cs="Times New Roman" w:eastAsia="Times New Roman" w:hAnsi="Times New Roman"/>
          <w:sz w:val="19"/>
          <w:szCs w:val="19"/>
          <w:color w:val="231F20"/>
        </w:rPr>
        <w:t>The Company's earnings per share (“EPS”) amounts have been computed based on the weighted-average number of shares of common stock outstanding for the period. Basic EPS is computed by dividing net increase (decrease) in net assets resulting from operations by the weighted average number of shares of common stock outstanding during the period. Diluted EPS is computed by dividing net increase (decrease) in net assets resulting from operations by the weighted average number of shares of common stock assuming all potential shares had been issued and the additional shares of common stock were dilutive. Diluted EPS reflects the potential dilution, using the if-converted method for convertible debt, which could occur if all potentially dilutive securities were exercised.</w:t>
      </w:r>
    </w:p>
    <w:p>
      <w:pPr>
        <w:sectPr>
          <w:pgSz w:w="12240" w:h="15840" w:orient="portrait"/>
          <w:cols w:equalWidth="0" w:num="1">
            <w:col w:w="10200"/>
          </w:cols>
          <w:pgMar w:left="1020" w:top="1306" w:right="1020" w:bottom="57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231F20"/>
        </w:rPr>
        <w:t>F-31</w:t>
      </w:r>
    </w:p>
    <w:p>
      <w:pPr>
        <w:sectPr>
          <w:pgSz w:w="12240" w:h="15840" w:orient="portrait"/>
          <w:cols w:equalWidth="0" w:num="1">
            <w:col w:w="10200"/>
          </w:cols>
          <w:pgMar w:left="1020" w:top="1306" w:right="1020" w:bottom="574" w:gutter="0" w:footer="0" w:header="0"/>
          <w:type w:val="continuous"/>
        </w:sectPr>
      </w:pPr>
    </w:p>
    <w:bookmarkStart w:id="119" w:name="page120"/>
    <w:bookmarkEnd w:id="119"/>
    <w:p>
      <w:pPr>
        <w:spacing w:after="0"/>
        <w:rPr>
          <w:sz w:val="20"/>
          <w:szCs w:val="20"/>
          <w:color w:val="auto"/>
        </w:rPr>
      </w:pPr>
      <w:r>
        <w:rPr>
          <w:rFonts w:ascii="Times New Roman" w:cs="Times New Roman" w:eastAsia="Times New Roman" w:hAnsi="Times New Roman"/>
          <w:sz w:val="19"/>
          <w:szCs w:val="19"/>
          <w:i w:val="1"/>
          <w:iCs w:val="1"/>
          <w:color w:val="231F20"/>
        </w:rPr>
        <w:t>Reimbursement of Transaction-Related Expenses</w:t>
      </w:r>
    </w:p>
    <w:p>
      <w:pPr>
        <w:spacing w:after="0" w:line="108" w:lineRule="exact"/>
        <w:rPr>
          <w:sz w:val="20"/>
          <w:szCs w:val="20"/>
          <w:color w:val="auto"/>
        </w:rPr>
      </w:pPr>
    </w:p>
    <w:p>
      <w:pPr>
        <w:ind w:right="300" w:firstLine="231"/>
        <w:spacing w:after="0" w:line="247" w:lineRule="auto"/>
        <w:rPr>
          <w:sz w:val="20"/>
          <w:szCs w:val="20"/>
          <w:color w:val="auto"/>
        </w:rPr>
      </w:pPr>
      <w:r>
        <w:rPr>
          <w:rFonts w:ascii="Times New Roman" w:cs="Times New Roman" w:eastAsia="Times New Roman" w:hAnsi="Times New Roman"/>
          <w:sz w:val="19"/>
          <w:szCs w:val="19"/>
          <w:color w:val="231F20"/>
        </w:rPr>
        <w:t>The Company may receive reimbursement for certain transaction-related expenses in pursuing investments. Transaction-related expenses, which are expected to be reimbursed by third parties, are typically deferred until the transaction is consummated and are recorded in Prepaid expenses and other assets on the date incurred. The transaction-related costs of pursuing investments not otherwise reimbursed are borne by the Company and for successfully completed investments included as a component of the investment’s cost basis.</w:t>
      </w:r>
    </w:p>
    <w:p>
      <w:pPr>
        <w:spacing w:after="0" w:line="188" w:lineRule="exact"/>
        <w:rPr>
          <w:sz w:val="20"/>
          <w:szCs w:val="20"/>
          <w:color w:val="auto"/>
        </w:rPr>
      </w:pPr>
    </w:p>
    <w:p>
      <w:pPr>
        <w:ind w:firstLine="231"/>
        <w:spacing w:after="0" w:line="257" w:lineRule="auto"/>
        <w:rPr>
          <w:sz w:val="20"/>
          <w:szCs w:val="20"/>
          <w:color w:val="auto"/>
        </w:rPr>
      </w:pPr>
      <w:r>
        <w:rPr>
          <w:rFonts w:ascii="Times New Roman" w:cs="Times New Roman" w:eastAsia="Times New Roman" w:hAnsi="Times New Roman"/>
          <w:sz w:val="19"/>
          <w:szCs w:val="19"/>
          <w:color w:val="231F20"/>
        </w:rPr>
        <w:t>Cash advances received in respect of transaction-related expenses are recorded as Cash and cash equivalents with an offset to Other liabilities or Other payables to affiliates. Other liabilities or Other payables to affiliates are relieved as reimbursable expenses are incurred.</w:t>
      </w: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231F20"/>
        </w:rPr>
        <w:t>Income Taxes, Including Excise Taxes</w:t>
      </w:r>
    </w:p>
    <w:p>
      <w:pPr>
        <w:spacing w:after="0" w:line="108" w:lineRule="exact"/>
        <w:rPr>
          <w:sz w:val="20"/>
          <w:szCs w:val="20"/>
          <w:color w:val="auto"/>
        </w:rPr>
      </w:pPr>
    </w:p>
    <w:p>
      <w:pPr>
        <w:ind w:right="40" w:firstLine="231"/>
        <w:spacing w:after="0" w:line="246" w:lineRule="auto"/>
        <w:rPr>
          <w:sz w:val="20"/>
          <w:szCs w:val="20"/>
          <w:color w:val="auto"/>
        </w:rPr>
      </w:pPr>
      <w:r>
        <w:rPr>
          <w:rFonts w:ascii="Times New Roman" w:cs="Times New Roman" w:eastAsia="Times New Roman" w:hAnsi="Times New Roman"/>
          <w:sz w:val="19"/>
          <w:szCs w:val="19"/>
          <w:color w:val="231F20"/>
        </w:rPr>
        <w:t>The Company has elected to be treated as a RIC under Subchapter M of the Code, and the Company intends to operate in a manner so as to continue to qualify for the tax treatment applicable to RICs. To qualify as a RIC, the Company must, among other things, distribute to its stockholders in each taxable year generally at least 90% of its investment company taxable income, as defined by the Code, and net tax-exempt income for that taxable year. To maintain its RIC status, the Company, among other things, has made and intends to continue to make the requisite distributions to its stockholders, which generally relieves the Company from corporate-level U.S. federal income taxes.</w:t>
      </w:r>
    </w:p>
    <w:p>
      <w:pPr>
        <w:spacing w:after="0" w:line="186" w:lineRule="exact"/>
        <w:rPr>
          <w:sz w:val="20"/>
          <w:szCs w:val="20"/>
          <w:color w:val="auto"/>
        </w:rPr>
      </w:pPr>
    </w:p>
    <w:p>
      <w:pPr>
        <w:ind w:right="20" w:firstLine="231"/>
        <w:spacing w:after="0" w:line="243" w:lineRule="auto"/>
        <w:rPr>
          <w:sz w:val="20"/>
          <w:szCs w:val="20"/>
          <w:color w:val="auto"/>
        </w:rPr>
      </w:pPr>
      <w:r>
        <w:rPr>
          <w:rFonts w:ascii="Times New Roman" w:cs="Times New Roman" w:eastAsia="Times New Roman" w:hAnsi="Times New Roman"/>
          <w:sz w:val="19"/>
          <w:szCs w:val="19"/>
          <w:color w:val="231F20"/>
        </w:rPr>
        <w:t>The Company evaluates tax positions taken or expected to be taken in the course of preparing its financial statements to determine whether the tax positions are “more-likely-than-not” to be sustained by the applicable tax authority. Tax positions not deemed to meet the “more-likely-than-not” threshold are reserved and recorded as a tax benefit or expense in the current year. All penalties and interest associated with income taxes are included in income tax expense. Conclusions regarding tax positions are subject to review and may be adjusted at a later date based on factors including, but not limited to, on-going analyses of tax laws, regulations and interpretations thereof. As of December 31, 2024, the Company did not have any uncertain tax positions that met the recognition or measurement criteria, nor did the Company have any unrecognized tax benefits. The Company’s 2023, 2022 and 2021 tax year returns remain subject to examination by the relevant federal, state, and local tax authorities.</w:t>
      </w:r>
    </w:p>
    <w:p>
      <w:pPr>
        <w:spacing w:after="0" w:line="195" w:lineRule="exact"/>
        <w:rPr>
          <w:sz w:val="20"/>
          <w:szCs w:val="20"/>
          <w:color w:val="auto"/>
        </w:rPr>
      </w:pPr>
    </w:p>
    <w:p>
      <w:pPr>
        <w:ind w:right="60" w:firstLine="231"/>
        <w:spacing w:after="0" w:line="247" w:lineRule="auto"/>
        <w:rPr>
          <w:sz w:val="20"/>
          <w:szCs w:val="20"/>
          <w:color w:val="auto"/>
        </w:rPr>
      </w:pPr>
      <w:r>
        <w:rPr>
          <w:rFonts w:ascii="Times New Roman" w:cs="Times New Roman" w:eastAsia="Times New Roman" w:hAnsi="Times New Roman"/>
          <w:sz w:val="19"/>
          <w:szCs w:val="19"/>
          <w:color w:val="231F20"/>
        </w:rPr>
        <w:t>Depending on the level of taxable income earned in a tax year, the Company can be expected to carry forward taxable income (including net capital gains, if any) in excess of current year dividend distributions from the current tax year into the next tax year and pay a nondeductible 4% U.S. federal excise tax on such taxable income, as required. To the extent that the Company determines that the estimated current year annual taxable income will be in excess of estimated current year dividend distributions from such income, the Company accrues excise tax on estimated excess taxable income.</w:t>
      </w:r>
    </w:p>
    <w:p>
      <w:pPr>
        <w:spacing w:after="0" w:line="188" w:lineRule="exact"/>
        <w:rPr>
          <w:sz w:val="20"/>
          <w:szCs w:val="20"/>
          <w:color w:val="auto"/>
        </w:rPr>
      </w:pPr>
    </w:p>
    <w:p>
      <w:pPr>
        <w:ind w:right="200" w:firstLine="231"/>
        <w:spacing w:after="0" w:line="275" w:lineRule="auto"/>
        <w:rPr>
          <w:sz w:val="20"/>
          <w:szCs w:val="20"/>
          <w:color w:val="auto"/>
        </w:rPr>
      </w:pPr>
      <w:r>
        <w:rPr>
          <w:rFonts w:ascii="Times New Roman" w:cs="Times New Roman" w:eastAsia="Times New Roman" w:hAnsi="Times New Roman"/>
          <w:sz w:val="19"/>
          <w:szCs w:val="19"/>
          <w:color w:val="231F20"/>
        </w:rPr>
        <w:t>For the calendar years ended December 31, 2024, December 31, 2023 and December 31, 2022 we recorded a net expense of $3.9 million, $2.4 million and $2.6 million, respectively, for U.S. federal excise tax and other taxes.</w:t>
      </w:r>
    </w:p>
    <w:p>
      <w:pPr>
        <w:spacing w:after="0" w:line="27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231F20"/>
        </w:rPr>
        <w:t>Dividends to Common Stockholders</w:t>
      </w:r>
    </w:p>
    <w:p>
      <w:pPr>
        <w:spacing w:after="0" w:line="108" w:lineRule="exact"/>
        <w:rPr>
          <w:sz w:val="20"/>
          <w:szCs w:val="20"/>
          <w:color w:val="auto"/>
        </w:rPr>
      </w:pPr>
    </w:p>
    <w:p>
      <w:pPr>
        <w:ind w:right="40" w:firstLine="231"/>
        <w:spacing w:after="0" w:line="257" w:lineRule="auto"/>
        <w:rPr>
          <w:sz w:val="20"/>
          <w:szCs w:val="20"/>
          <w:color w:val="auto"/>
        </w:rPr>
      </w:pPr>
      <w:r>
        <w:rPr>
          <w:rFonts w:ascii="Times New Roman" w:cs="Times New Roman" w:eastAsia="Times New Roman" w:hAnsi="Times New Roman"/>
          <w:sz w:val="19"/>
          <w:szCs w:val="19"/>
          <w:color w:val="231F20"/>
        </w:rPr>
        <w:t>Dividends to common stockholders are recorded on the record date. The amount to be paid out as a dividend is determined by the Board and is generally based upon the earnings estimated by the Adviser. Net realized long-term capital gains, if any, would generally be distributed at least annually, although the Company may decide to retain such capital gains.</w:t>
      </w:r>
    </w:p>
    <w:p>
      <w:pPr>
        <w:spacing w:after="0" w:line="176" w:lineRule="exact"/>
        <w:rPr>
          <w:sz w:val="20"/>
          <w:szCs w:val="20"/>
          <w:color w:val="auto"/>
        </w:rPr>
      </w:pPr>
    </w:p>
    <w:p>
      <w:pPr>
        <w:ind w:right="40" w:firstLine="231"/>
        <w:spacing w:after="0" w:line="247" w:lineRule="auto"/>
        <w:rPr>
          <w:sz w:val="20"/>
          <w:szCs w:val="20"/>
          <w:color w:val="auto"/>
        </w:rPr>
      </w:pPr>
      <w:r>
        <w:rPr>
          <w:rFonts w:ascii="Times New Roman" w:cs="Times New Roman" w:eastAsia="Times New Roman" w:hAnsi="Times New Roman"/>
          <w:sz w:val="19"/>
          <w:szCs w:val="19"/>
          <w:color w:val="231F20"/>
        </w:rPr>
        <w:t>The Company has adopted a dividend reinvestment plan that provides for reinvestment of any dividends declared in cash on behalf of stockholders, unless a stockholder elects to receive cash. As a result, if the Board authorizes, and it declares, a cash dividend, then the stockholders who have not “opted out” of the dividend reinvestment plan will have their cash dividends automatically reinvested in additional shares of the Company’s common stock, rather than receiving the cash dividend. The Company expects to use newly issued shares to satisfy the dividend reinvestment plan.</w:t>
      </w:r>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231F20"/>
        </w:rPr>
        <w:t>Segment Reporting</w:t>
      </w:r>
    </w:p>
    <w:p>
      <w:pPr>
        <w:spacing w:after="0" w:line="221" w:lineRule="exact"/>
        <w:rPr>
          <w:sz w:val="20"/>
          <w:szCs w:val="20"/>
          <w:color w:val="auto"/>
        </w:rPr>
      </w:pPr>
    </w:p>
    <w:p>
      <w:pPr>
        <w:jc w:val="both"/>
        <w:ind w:right="200" w:firstLine="231"/>
        <w:spacing w:after="0" w:line="257" w:lineRule="auto"/>
        <w:rPr>
          <w:sz w:val="20"/>
          <w:szCs w:val="20"/>
          <w:color w:val="auto"/>
        </w:rPr>
      </w:pPr>
      <w:r>
        <w:rPr>
          <w:rFonts w:ascii="Times New Roman" w:cs="Times New Roman" w:eastAsia="Times New Roman" w:hAnsi="Times New Roman"/>
          <w:sz w:val="19"/>
          <w:szCs w:val="19"/>
          <w:color w:val="231F20"/>
        </w:rPr>
        <w:t>The Company has one reportable segment: Investment Activity. The Investment Activity segment generates revenue primarily in the form of interest income from the investments it holds. In addition, the Company may generate income from dividends on equity investments, capital gains on the sale of investments and various loan origination and other fees.</w:t>
      </w:r>
    </w:p>
    <w:p>
      <w:pPr>
        <w:spacing w:after="0" w:line="176" w:lineRule="exact"/>
        <w:rPr>
          <w:sz w:val="20"/>
          <w:szCs w:val="20"/>
          <w:color w:val="auto"/>
        </w:rPr>
      </w:pPr>
    </w:p>
    <w:p>
      <w:pPr>
        <w:ind w:right="260" w:firstLine="231"/>
        <w:spacing w:after="0" w:line="275" w:lineRule="auto"/>
        <w:rPr>
          <w:sz w:val="20"/>
          <w:szCs w:val="20"/>
          <w:color w:val="auto"/>
        </w:rPr>
      </w:pPr>
      <w:r>
        <w:rPr>
          <w:rFonts w:ascii="Times New Roman" w:cs="Times New Roman" w:eastAsia="Times New Roman" w:hAnsi="Times New Roman"/>
          <w:sz w:val="19"/>
          <w:szCs w:val="19"/>
          <w:color w:val="231F20"/>
        </w:rPr>
        <w:t>The Company’s chief operating decision maker (the “CODM”) is comprised of the senior executive committee that includes the Chief Executive Officer, President, Chief Financial Officer, and the Deputy Chief Financial Officer.</w:t>
      </w:r>
    </w:p>
    <w:p>
      <w:pPr>
        <w:spacing w:after="0" w:line="1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231F20"/>
        </w:rPr>
        <w:t>F-32</w:t>
      </w:r>
    </w:p>
    <w:p>
      <w:pPr>
        <w:sectPr>
          <w:pgSz w:w="12240" w:h="15840" w:orient="portrait"/>
          <w:cols w:equalWidth="0" w:num="1">
            <w:col w:w="10180"/>
          </w:cols>
          <w:pgMar w:left="1020" w:top="1321" w:right="1040" w:bottom="574" w:gutter="0" w:footer="0" w:header="0"/>
        </w:sectPr>
      </w:pPr>
    </w:p>
    <w:bookmarkStart w:id="120" w:name="page121"/>
    <w:bookmarkEnd w:id="120"/>
    <w:p>
      <w:pPr>
        <w:ind w:right="120" w:firstLine="231"/>
        <w:spacing w:after="0" w:line="250" w:lineRule="auto"/>
        <w:rPr>
          <w:sz w:val="20"/>
          <w:szCs w:val="20"/>
          <w:color w:val="auto"/>
        </w:rPr>
      </w:pPr>
      <w:r>
        <w:rPr>
          <w:rFonts w:ascii="Times New Roman" w:cs="Times New Roman" w:eastAsia="Times New Roman" w:hAnsi="Times New Roman"/>
          <w:sz w:val="19"/>
          <w:szCs w:val="19"/>
          <w:color w:val="231F20"/>
        </w:rPr>
        <w:t>The CODM uses the net increase (decrease) in net assets resulting from operations to evaluate income generated from segment investment activities. The evaluation and assessment of this metric is used in implementing investment policy decisions, strategic initiatives, managing the Company’s portfolio, evaluation of the Company’s distribution policy and assessing the performance of the portfolio.</w:t>
      </w:r>
    </w:p>
    <w:p>
      <w:pPr>
        <w:spacing w:after="0" w:line="185" w:lineRule="exact"/>
        <w:rPr>
          <w:sz w:val="20"/>
          <w:szCs w:val="20"/>
          <w:color w:val="auto"/>
        </w:rPr>
      </w:pPr>
    </w:p>
    <w:p>
      <w:pPr>
        <w:ind w:right="20" w:firstLine="231"/>
        <w:spacing w:after="0" w:line="247" w:lineRule="auto"/>
        <w:rPr>
          <w:sz w:val="20"/>
          <w:szCs w:val="20"/>
          <w:color w:val="auto"/>
        </w:rPr>
      </w:pPr>
      <w:r>
        <w:rPr>
          <w:rFonts w:ascii="Times New Roman" w:cs="Times New Roman" w:eastAsia="Times New Roman" w:hAnsi="Times New Roman"/>
          <w:sz w:val="19"/>
          <w:szCs w:val="19"/>
          <w:color w:val="231F20"/>
        </w:rPr>
        <w:t>The accounting policies of the Investment Activity segment are the same as those described in the summary of significant accounting policies. The CODM assesses performance for the segment and determines how to allocate resources based on the net increase (decrease) in net assets resulting from operations that also is reported on the consolidated statement of operations. Significant segment expenses are reported as total expenses on the consolidated statement of operations. The measure of segment assets is reported on the consolidated balance sheet as total assets.</w:t>
      </w:r>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231F20"/>
        </w:rPr>
        <w:t>Recent Accounting Standards and Regulatory Updates</w:t>
      </w:r>
    </w:p>
    <w:p>
      <w:pPr>
        <w:spacing w:after="0" w:line="108" w:lineRule="exact"/>
        <w:rPr>
          <w:sz w:val="20"/>
          <w:szCs w:val="20"/>
          <w:color w:val="auto"/>
        </w:rPr>
      </w:pPr>
    </w:p>
    <w:p>
      <w:pPr>
        <w:ind w:firstLine="231"/>
        <w:spacing w:after="0" w:line="242" w:lineRule="auto"/>
        <w:rPr>
          <w:sz w:val="20"/>
          <w:szCs w:val="20"/>
          <w:color w:val="auto"/>
        </w:rPr>
      </w:pPr>
      <w:r>
        <w:rPr>
          <w:rFonts w:ascii="Times New Roman" w:cs="Times New Roman" w:eastAsia="Times New Roman" w:hAnsi="Times New Roman"/>
          <w:sz w:val="19"/>
          <w:szCs w:val="19"/>
          <w:color w:val="231F20"/>
        </w:rPr>
        <w:t>In November 2023, the FASB issued ASU 2023-07, "Segment Reporting (Topic 280): Improvements to Reportable Segment Disclosures (“ASU 2023-07”),” which enhances disclosure requirements about significant segment expenses that are regularly provided to the chief operating decision maker (the “CODM”). ASU 2023-07, among other things, (i) requires a single segment public entity to provide all of the disclosures as required by Topic 280, (ii) requires a public entity to disclose the title and position of the CODM and an explanation of how the CODM uses the reported measure(s) of segment profit or loss in assessing segment performance and deciding how to allocate resources and (iii) provides the ability for a public entity to elect more than one performance measure. ASU 2023-07 is effective for the fiscal years beginning after December 15, 2023, and interim periods beginning with the first quarter ended March 31, 2025. Early adoption is permitted and retrospective adoption is required for all prior periods presented. The Company’s adoption of this guidance did not have a material impact on the Company’s financial position, results of operations or cash flows.</w:t>
      </w:r>
    </w:p>
    <w:p>
      <w:pPr>
        <w:spacing w:after="0" w:line="82" w:lineRule="exact"/>
        <w:rPr>
          <w:sz w:val="20"/>
          <w:szCs w:val="20"/>
          <w:color w:val="auto"/>
        </w:rPr>
      </w:pPr>
    </w:p>
    <w:p>
      <w:pPr>
        <w:jc w:val="both"/>
        <w:ind w:right="280" w:firstLine="231"/>
        <w:spacing w:after="0" w:line="269" w:lineRule="auto"/>
        <w:rPr>
          <w:sz w:val="20"/>
          <w:szCs w:val="20"/>
          <w:color w:val="auto"/>
        </w:rPr>
      </w:pPr>
      <w:r>
        <w:rPr>
          <w:rFonts w:ascii="Times New Roman" w:cs="Times New Roman" w:eastAsia="Times New Roman" w:hAnsi="Times New Roman"/>
          <w:sz w:val="18"/>
          <w:szCs w:val="18"/>
          <w:color w:val="231F20"/>
        </w:rPr>
        <w:t>In December 2023, the FASB issued ASU No. 2023-09, “Income Taxes (Topic 740): Improvements to Income Tax Disclosures (“ASU 2023-09”),” which intends to improve the transparency of income tax disclosures. ASU No. 2023-09 is effective for fiscal years beginning after December 15, 2024 and is to be adopted on a prospective basis with the option to apply retrospectively. The Company does not expect this update to have a material effect on the Company's consolidated financial statements.</w:t>
      </w:r>
    </w:p>
    <w:p>
      <w:pPr>
        <w:spacing w:after="0" w:line="54" w:lineRule="exact"/>
        <w:rPr>
          <w:sz w:val="20"/>
          <w:szCs w:val="20"/>
          <w:color w:val="auto"/>
        </w:rPr>
      </w:pPr>
    </w:p>
    <w:p>
      <w:pPr>
        <w:ind w:right="300" w:firstLine="231"/>
        <w:spacing w:after="0" w:line="246" w:lineRule="auto"/>
        <w:rPr>
          <w:sz w:val="20"/>
          <w:szCs w:val="20"/>
          <w:color w:val="auto"/>
        </w:rPr>
      </w:pPr>
      <w:r>
        <w:rPr>
          <w:rFonts w:ascii="Times New Roman" w:cs="Times New Roman" w:eastAsia="Times New Roman" w:hAnsi="Times New Roman"/>
          <w:sz w:val="19"/>
          <w:szCs w:val="19"/>
          <w:color w:val="231F20"/>
        </w:rPr>
        <w:t>In December 2024, the FASB issued ASU No. 2024-04, "Debt with Conversion and Other Options (Subtopic 470): Induced Conversions of Convertible Debt Instruments”, which clarifies the requirements for determining whether certain settlements of convertible debt instruments should be accounted for as induced conversions rather than as debt extinguishments. This update is effective for annual periods beginning after December 15, 2025, including interim periods within those fiscal years, though early adoption is permitted. The Company does not expect this update to have a material effect on the Company's consolidated financial statements.</w:t>
      </w:r>
    </w:p>
    <w:p>
      <w:pPr>
        <w:spacing w:after="0" w:line="290" w:lineRule="exact"/>
        <w:rPr>
          <w:sz w:val="20"/>
          <w:szCs w:val="20"/>
          <w:color w:val="auto"/>
        </w:rPr>
      </w:pPr>
    </w:p>
    <w:p>
      <w:pPr>
        <w:ind w:right="6400"/>
        <w:spacing w:after="0" w:line="354" w:lineRule="auto"/>
        <w:tabs>
          <w:tab w:leader="none" w:pos="189" w:val="left"/>
        </w:tabs>
        <w:numPr>
          <w:ilvl w:val="0"/>
          <w:numId w:val="85"/>
        </w:numPr>
        <w:rPr>
          <w:rFonts w:ascii="Times New Roman" w:cs="Times New Roman" w:eastAsia="Times New Roman" w:hAnsi="Times New Roman"/>
          <w:sz w:val="19"/>
          <w:szCs w:val="19"/>
          <w:b w:val="1"/>
          <w:bCs w:val="1"/>
          <w:color w:val="231F20"/>
        </w:rPr>
      </w:pPr>
      <w:r>
        <w:rPr>
          <w:rFonts w:ascii="Times New Roman" w:cs="Times New Roman" w:eastAsia="Times New Roman" w:hAnsi="Times New Roman"/>
          <w:sz w:val="19"/>
          <w:szCs w:val="19"/>
          <w:b w:val="1"/>
          <w:bCs w:val="1"/>
          <w:color w:val="231F20"/>
        </w:rPr>
        <w:t xml:space="preserve">Agreements and Related Party Transactions </w:t>
      </w:r>
      <w:r>
        <w:rPr>
          <w:rFonts w:ascii="Times New Roman" w:cs="Times New Roman" w:eastAsia="Times New Roman" w:hAnsi="Times New Roman"/>
          <w:sz w:val="19"/>
          <w:szCs w:val="19"/>
          <w:i w:val="1"/>
          <w:iCs w:val="1"/>
          <w:color w:val="231F20"/>
        </w:rPr>
        <w:t>Administration Agreement</w:t>
      </w:r>
    </w:p>
    <w:p>
      <w:pPr>
        <w:ind w:right="100" w:firstLine="231"/>
        <w:spacing w:after="0" w:line="250" w:lineRule="auto"/>
        <w:rPr>
          <w:sz w:val="20"/>
          <w:szCs w:val="20"/>
          <w:color w:val="auto"/>
        </w:rPr>
      </w:pPr>
      <w:r>
        <w:rPr>
          <w:rFonts w:ascii="Times New Roman" w:cs="Times New Roman" w:eastAsia="Times New Roman" w:hAnsi="Times New Roman"/>
          <w:sz w:val="18"/>
          <w:szCs w:val="18"/>
          <w:color w:val="231F20"/>
        </w:rPr>
        <w:t>On March 15, 2011, the Company entered into the Administration Agreement with the Adviser. Under the terms of the Administration Agreement, the Adviser provides administrative services to the Company. These services include providing office space, equipment and office services, maintaining financial records, preparing reports to stockholders and reports filed with the SEC, and managing the payment of expenses and the oversight of the performance of administrative and professional services rendered by others. Certain of these services are reimbursable to the Adviser under the terms of the Administration Agreement. In addition, the Adviser is permitted to delegate its duties under the Administration Agreement to affiliates or third parties and the Company pays or reimburses the Adviser for certain expenses incurred by any such affiliates or third parties for work done on its behalf.</w:t>
      </w:r>
    </w:p>
    <w:p>
      <w:pPr>
        <w:spacing w:after="0" w:line="174" w:lineRule="exact"/>
        <w:rPr>
          <w:sz w:val="20"/>
          <w:szCs w:val="20"/>
          <w:color w:val="auto"/>
        </w:rPr>
      </w:pPr>
    </w:p>
    <w:p>
      <w:pPr>
        <w:ind w:right="140" w:firstLine="231"/>
        <w:spacing w:after="0" w:line="247" w:lineRule="auto"/>
        <w:rPr>
          <w:sz w:val="20"/>
          <w:szCs w:val="20"/>
          <w:color w:val="auto"/>
        </w:rPr>
      </w:pPr>
      <w:r>
        <w:rPr>
          <w:rFonts w:ascii="Times New Roman" w:cs="Times New Roman" w:eastAsia="Times New Roman" w:hAnsi="Times New Roman"/>
          <w:sz w:val="19"/>
          <w:szCs w:val="19"/>
          <w:color w:val="231F20"/>
        </w:rPr>
        <w:t>In February 2017, the Board of Directors of the Company and the Adviser entered into an amended and restated administration agreement (the “Administration Agreement”) reflecting certain clarifications to the agreement to provide greater detail regarding the scope of the reimbursable costs and expenses of the Administrator’s services.</w:t>
      </w:r>
    </w:p>
    <w:p>
      <w:pPr>
        <w:spacing w:after="0" w:line="177" w:lineRule="exact"/>
        <w:rPr>
          <w:sz w:val="20"/>
          <w:szCs w:val="20"/>
          <w:color w:val="auto"/>
        </w:rPr>
      </w:pPr>
    </w:p>
    <w:p>
      <w:pPr>
        <w:ind w:right="560" w:firstLine="231"/>
        <w:spacing w:after="0" w:line="267" w:lineRule="auto"/>
        <w:rPr>
          <w:sz w:val="20"/>
          <w:szCs w:val="20"/>
          <w:color w:val="auto"/>
        </w:rPr>
      </w:pPr>
      <w:r>
        <w:rPr>
          <w:rFonts w:ascii="Times New Roman" w:cs="Times New Roman" w:eastAsia="Times New Roman" w:hAnsi="Times New Roman"/>
          <w:sz w:val="18"/>
          <w:szCs w:val="18"/>
          <w:color w:val="231F20"/>
        </w:rPr>
        <w:t>In November 2024, the Board renewed the Administration Agreement. Unless earlier terminated as described below, the Administration Agreement will remain in effect until November 2025, and may be extended subject to required approvals. The Administration Agreement may be terminated by either party without penalty on 60 days’ written notice to the other party.</w:t>
      </w:r>
    </w:p>
    <w:p>
      <w:pPr>
        <w:spacing w:after="0" w:line="160" w:lineRule="exact"/>
        <w:rPr>
          <w:sz w:val="20"/>
          <w:szCs w:val="20"/>
          <w:color w:val="auto"/>
        </w:rPr>
      </w:pPr>
    </w:p>
    <w:p>
      <w:pPr>
        <w:ind w:right="40" w:firstLine="231"/>
        <w:spacing w:after="0" w:line="254" w:lineRule="auto"/>
        <w:rPr>
          <w:sz w:val="20"/>
          <w:szCs w:val="20"/>
          <w:color w:val="auto"/>
        </w:rPr>
      </w:pPr>
      <w:r>
        <w:rPr>
          <w:rFonts w:ascii="Times New Roman" w:cs="Times New Roman" w:eastAsia="Times New Roman" w:hAnsi="Times New Roman"/>
          <w:sz w:val="18"/>
          <w:szCs w:val="18"/>
          <w:color w:val="231F20"/>
        </w:rPr>
        <w:t>No person who is an officer, director or employee of the Adviser or its affiliates and who serves as a director of the Company receives any compensation from the Company for his or her services as a director. However, the Company reimburses the Adviser (or its affiliates) for the allocable portion of the costs of compensation, benefits, and related administrative expenses of the Company’s officers who provide operational and administrative services to the Company pursuant to the Administration Agreement, their respective staffs and other professionals who provide services to the Company (including, in each case, employees of the Adviser or</w:t>
      </w:r>
    </w:p>
    <w:p>
      <w:pPr>
        <w:spacing w:after="0" w:line="28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9"/>
          <w:szCs w:val="19"/>
          <w:color w:val="231F20"/>
        </w:rPr>
        <w:t>F-33</w:t>
      </w:r>
    </w:p>
    <w:p>
      <w:pPr>
        <w:sectPr>
          <w:pgSz w:w="12240" w:h="15840" w:orient="portrait"/>
          <w:cols w:equalWidth="0" w:num="1">
            <w:col w:w="10160"/>
          </w:cols>
          <w:pgMar w:left="1020" w:top="1317" w:right="1060" w:bottom="574" w:gutter="0" w:footer="0" w:header="0"/>
        </w:sectPr>
      </w:pPr>
    </w:p>
    <w:bookmarkStart w:id="121" w:name="page122"/>
    <w:bookmarkEnd w:id="121"/>
    <w:p>
      <w:pPr>
        <w:ind w:right="100"/>
        <w:spacing w:after="0" w:line="234" w:lineRule="auto"/>
        <w:rPr>
          <w:sz w:val="20"/>
          <w:szCs w:val="20"/>
          <w:color w:val="auto"/>
        </w:rPr>
      </w:pPr>
      <w:r>
        <w:rPr>
          <w:rFonts w:ascii="Times New Roman" w:cs="Times New Roman" w:eastAsia="Times New Roman" w:hAnsi="Times New Roman"/>
          <w:sz w:val="19"/>
          <w:szCs w:val="19"/>
          <w:color w:val="231F20"/>
        </w:rPr>
        <w:t>an affiliate). Such reimbursable amounts include the allocable portion of the compensation paid by the Adviser or its affiliates to the Company’s Chief Financial Officer, Chief Compliance Officer, and other professionals who provide operational and administrative services to the Company pursuant to the Administration Agreement, including individuals who provide “back office” or “middle office” financial, operational, legal and/or compliance services to the Company. The Company reimburses the Adviser (or its affiliates) for the allocable portion of the compensation paid by the Adviser (or its affiliates) to such individuals based on the percentage of time those individuals devote, on an estimated basis, to the business and affairs of the Company and in acting on behalf of the Company. The Company may also reimburse the Adviser or its affiliates for the allocable portion of overhead expenses (including rent, office equipment and utilities) attributable thereto. Directors who are not affiliated with the Adviser receive compensation for their services and reimbursement of expenses incurred to attend meetings.</w:t>
      </w:r>
    </w:p>
    <w:p>
      <w:pPr>
        <w:spacing w:after="0" w:line="183" w:lineRule="exact"/>
        <w:rPr>
          <w:sz w:val="20"/>
          <w:szCs w:val="20"/>
          <w:color w:val="auto"/>
        </w:rPr>
      </w:pPr>
    </w:p>
    <w:p>
      <w:pPr>
        <w:ind w:right="420" w:firstLine="231"/>
        <w:spacing w:after="0" w:line="241" w:lineRule="auto"/>
        <w:rPr>
          <w:sz w:val="20"/>
          <w:szCs w:val="20"/>
          <w:color w:val="auto"/>
        </w:rPr>
      </w:pPr>
      <w:r>
        <w:rPr>
          <w:rFonts w:ascii="Times New Roman" w:cs="Times New Roman" w:eastAsia="Times New Roman" w:hAnsi="Times New Roman"/>
          <w:sz w:val="19"/>
          <w:szCs w:val="19"/>
          <w:color w:val="231F20"/>
        </w:rPr>
        <w:t>For the years ended December 31, 2024, December 31, 2023 and December 31, 2022, the Company incurred expenses of $3.9 million, $3.2 million and $3.1 million, respectively, for administrative services payable to the Adviser under the terms of the Administration Agreement, which is included in other general and administrative expenses in the Consolidated Statements of Operations.</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231F20"/>
        </w:rPr>
        <w:t>Investment Advisory Agreement</w:t>
      </w:r>
    </w:p>
    <w:p>
      <w:pPr>
        <w:spacing w:after="0" w:line="99" w:lineRule="exact"/>
        <w:rPr>
          <w:sz w:val="20"/>
          <w:szCs w:val="20"/>
          <w:color w:val="auto"/>
        </w:rPr>
      </w:pPr>
    </w:p>
    <w:p>
      <w:pPr>
        <w:ind w:right="60" w:firstLine="231"/>
        <w:spacing w:after="0" w:line="236" w:lineRule="auto"/>
        <w:rPr>
          <w:sz w:val="20"/>
          <w:szCs w:val="20"/>
          <w:color w:val="auto"/>
        </w:rPr>
      </w:pPr>
      <w:r>
        <w:rPr>
          <w:rFonts w:ascii="Times New Roman" w:cs="Times New Roman" w:eastAsia="Times New Roman" w:hAnsi="Times New Roman"/>
          <w:sz w:val="19"/>
          <w:szCs w:val="19"/>
          <w:color w:val="231F20"/>
        </w:rPr>
        <w:t>On April 15, 2011, the Company entered into the Investment Advisory Agreement with the Adviser. The Investment Advisory Agreement was subsequently amended on December 12, 2011. Under the terms of the Investment Advisory Agreement, the Adviser provides investment advisory services to the Company. The Adviser’s services under the Investment Advisory Agreement are not exclusive, and the Adviser is free to furnish similar or other services to others so long as its services to the Company are not impaired. Under the terms of the Investment Advisory Agreement, the Company will pay the Adviser the Management Fee and may also pay certain Incentive Fees.</w:t>
      </w:r>
    </w:p>
    <w:p>
      <w:pPr>
        <w:spacing w:after="0" w:line="194" w:lineRule="exact"/>
        <w:rPr>
          <w:sz w:val="20"/>
          <w:szCs w:val="20"/>
          <w:color w:val="auto"/>
        </w:rPr>
      </w:pPr>
    </w:p>
    <w:p>
      <w:pPr>
        <w:ind w:right="160" w:firstLine="231"/>
        <w:spacing w:after="0" w:line="257" w:lineRule="auto"/>
        <w:rPr>
          <w:sz w:val="20"/>
          <w:szCs w:val="20"/>
          <w:color w:val="auto"/>
        </w:rPr>
      </w:pPr>
      <w:r>
        <w:rPr>
          <w:rFonts w:ascii="Times New Roman" w:cs="Times New Roman" w:eastAsia="Times New Roman" w:hAnsi="Times New Roman"/>
          <w:sz w:val="19"/>
          <w:szCs w:val="19"/>
          <w:color w:val="231F20"/>
        </w:rPr>
        <w:t>The Management Fee is calculated at an annual rate of 1.5% based on the average value of the Company’s gross assets calculated using the values at the end of the two most recently completed calendar quarters, adjusted for any share issuances or repurchases during the period. The Management Fee is payable quarterly in arrears.</w:t>
      </w:r>
    </w:p>
    <w:p>
      <w:pPr>
        <w:spacing w:after="0" w:line="176" w:lineRule="exact"/>
        <w:rPr>
          <w:sz w:val="20"/>
          <w:szCs w:val="20"/>
          <w:color w:val="auto"/>
        </w:rPr>
      </w:pPr>
    </w:p>
    <w:p>
      <w:pPr>
        <w:ind w:right="220" w:firstLine="231"/>
        <w:spacing w:after="0" w:line="275" w:lineRule="auto"/>
        <w:rPr>
          <w:sz w:val="20"/>
          <w:szCs w:val="20"/>
          <w:color w:val="auto"/>
        </w:rPr>
      </w:pPr>
      <w:r>
        <w:rPr>
          <w:rFonts w:ascii="Times New Roman" w:cs="Times New Roman" w:eastAsia="Times New Roman" w:hAnsi="Times New Roman"/>
          <w:sz w:val="19"/>
          <w:szCs w:val="19"/>
          <w:color w:val="231F20"/>
        </w:rPr>
        <w:t>For the years ended December 31, 2024, December 31, 2023 and December 31, 2022, Management Fees (gross of waivers) were $51.8 million, $46.4 million and $39.9 million, respectively.</w:t>
      </w:r>
    </w:p>
    <w:p>
      <w:pPr>
        <w:spacing w:after="0" w:line="160"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9"/>
          <w:szCs w:val="19"/>
          <w:color w:val="231F20"/>
        </w:rPr>
        <w:t>Any waived Management Fees are not subject to recoupment by the Adviser.</w:t>
      </w:r>
    </w:p>
    <w:p>
      <w:pPr>
        <w:spacing w:after="0" w:line="225" w:lineRule="exact"/>
        <w:rPr>
          <w:sz w:val="20"/>
          <w:szCs w:val="20"/>
          <w:color w:val="auto"/>
        </w:rPr>
      </w:pPr>
    </w:p>
    <w:p>
      <w:pPr>
        <w:ind w:right="40" w:firstLine="231"/>
        <w:spacing w:after="0" w:line="260" w:lineRule="auto"/>
        <w:rPr>
          <w:sz w:val="20"/>
          <w:szCs w:val="20"/>
          <w:color w:val="auto"/>
        </w:rPr>
      </w:pPr>
      <w:r>
        <w:rPr>
          <w:rFonts w:ascii="Times New Roman" w:cs="Times New Roman" w:eastAsia="Times New Roman" w:hAnsi="Times New Roman"/>
          <w:sz w:val="18"/>
          <w:szCs w:val="18"/>
          <w:color w:val="231F20"/>
        </w:rPr>
        <w:t>The Adviser intends to waive a portion of the Management Fee payable under the Investment Advisory Agreement by reducing the Management Fee on assets financed using leverage over 200% asset coverage (in other words, over 1.0x debt to equity) (the “Leverage Waiver”). Pursuant to the Leverage Waiver, the Adviser intends to waive the portion of the Management Fee in excess of an annual rate of 1.0% (0.250% per quarter) on the average value of the Company's gross assets as of the end of the two most recently completed calendar quarters that exceeds the product of (i) 200% and (ii) the average value of our net asset value at the end of the two most recently completed calendar quarters. For the years ended December 31, 2024, December 31, 2023 and December 31, 2022, Management Fees of $1.5 million, $1.2 million, and $0.4 million, respectively, have been waived pursuant to the Leverage Waiver.</w:t>
      </w:r>
    </w:p>
    <w:p>
      <w:pPr>
        <w:spacing w:after="0" w:line="17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9"/>
          <w:szCs w:val="19"/>
          <w:color w:val="231F20"/>
        </w:rPr>
        <w:t>The Incentive Fee consists of two parts, as follows:</w:t>
      </w:r>
    </w:p>
    <w:p>
      <w:pPr>
        <w:spacing w:after="0" w:line="112" w:lineRule="exact"/>
        <w:rPr>
          <w:sz w:val="20"/>
          <w:szCs w:val="20"/>
          <w:color w:val="auto"/>
        </w:rPr>
      </w:pPr>
    </w:p>
    <w:p>
      <w:pPr>
        <w:ind w:left="460" w:hanging="229"/>
        <w:spacing w:after="0" w:line="257" w:lineRule="auto"/>
        <w:tabs>
          <w:tab w:leader="none" w:pos="460" w:val="left"/>
        </w:tabs>
        <w:numPr>
          <w:ilvl w:val="0"/>
          <w:numId w:val="86"/>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first component, payable at the end of each quarter in arrears, equals 100% of the pre-Incentive Fee net investment income in excess of a 1.5% quarterly “hurdle rate,” the calculation of which is further explained below, until the Adviser has received 17.5% of the total pre-Incentive Fee net investment income for that quarter and, for pre-Incentive Fee net investment income in excess of 1.82% quarterly, 17.5% of all remaining pre-Incentive Fee net investment income for that quarter. The 100% “catch-up” provision for pre-Incentive Fee net investment income in excess of the 1.5% “hurdle rate” is intended to provide the Adviser with an Incentive Fee of 17.5% on all pre-Incentive Fee net investment income when that amount equals 1.82% in a quarter</w:t>
      </w:r>
    </w:p>
    <w:p>
      <w:pPr>
        <w:spacing w:after="0" w:line="1" w:lineRule="exact"/>
        <w:rPr>
          <w:rFonts w:ascii="Times New Roman" w:cs="Times New Roman" w:eastAsia="Times New Roman" w:hAnsi="Times New Roman"/>
          <w:sz w:val="18"/>
          <w:szCs w:val="18"/>
          <w:color w:val="231F20"/>
        </w:rPr>
      </w:pPr>
    </w:p>
    <w:p>
      <w:pPr>
        <w:ind w:left="460" w:right="80"/>
        <w:spacing w:after="0" w:line="245" w:lineRule="auto"/>
        <w:rPr>
          <w:rFonts w:ascii="Times New Roman" w:cs="Times New Roman" w:eastAsia="Times New Roman" w:hAnsi="Times New Roman"/>
          <w:sz w:val="18"/>
          <w:szCs w:val="18"/>
          <w:color w:val="231F20"/>
        </w:rPr>
      </w:pPr>
      <w:r>
        <w:rPr>
          <w:rFonts w:ascii="Times New Roman" w:cs="Times New Roman" w:eastAsia="Times New Roman" w:hAnsi="Times New Roman"/>
          <w:sz w:val="19"/>
          <w:szCs w:val="19"/>
          <w:color w:val="231F20"/>
        </w:rPr>
        <w:t>(7.28% annualized), which is the rate at which catch-up is achieved. Once the “hurdle rate” is reached and catch-up is achieved, 17.5% of any pre-Incentive Fee net investment income in excess of 1.82% in any quarter is payable to the Adviser.</w:t>
      </w:r>
    </w:p>
    <w:p>
      <w:pPr>
        <w:spacing w:after="0" w:line="73" w:lineRule="exact"/>
        <w:rPr>
          <w:rFonts w:ascii="Times New Roman" w:cs="Times New Roman" w:eastAsia="Times New Roman" w:hAnsi="Times New Roman"/>
          <w:sz w:val="18"/>
          <w:szCs w:val="18"/>
          <w:color w:val="231F20"/>
        </w:rPr>
      </w:pPr>
    </w:p>
    <w:p>
      <w:pPr>
        <w:ind w:left="460" w:right="40"/>
        <w:spacing w:after="0" w:line="244" w:lineRule="auto"/>
        <w:rPr>
          <w:rFonts w:ascii="Times New Roman" w:cs="Times New Roman" w:eastAsia="Times New Roman" w:hAnsi="Times New Roman"/>
          <w:sz w:val="18"/>
          <w:szCs w:val="18"/>
          <w:color w:val="231F20"/>
        </w:rPr>
      </w:pPr>
      <w:r>
        <w:rPr>
          <w:rFonts w:ascii="Times New Roman" w:cs="Times New Roman" w:eastAsia="Times New Roman" w:hAnsi="Times New Roman"/>
          <w:sz w:val="19"/>
          <w:szCs w:val="19"/>
          <w:color w:val="231F20"/>
        </w:rPr>
        <w:t>Pre-Incentive Fee net investment income means dividends, interest and fee income accrued by the Company during the calendar quarter, minus the Company’s operating expenses for the quarter (including the Management Fee, expenses payable under the Administration Agreement to the Administrator, and any interest expense and dividends paid on any issued and outstanding preferred stock, but excluding the Incentive Fee). Pre-Incentive Fee net investment income includes, in the case of investments with a deferred interest feature (such as original issue discount, debt instruments with pay-in-kind interest and zero coupon securities), accrued income that the Company may not have received in cash. Pre-Incentive Fee net investment income does not include any realized capital gains, realized capital losses or unrealized capital gains or losses.</w:t>
      </w:r>
    </w:p>
    <w:p>
      <w:pPr>
        <w:sectPr>
          <w:pgSz w:w="12240" w:h="15840" w:orient="portrait"/>
          <w:cols w:equalWidth="0" w:num="1">
            <w:col w:w="10200"/>
          </w:cols>
          <w:pgMar w:left="1020" w:top="1309" w:right="1020" w:bottom="57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231F20"/>
        </w:rPr>
        <w:t>F-34</w:t>
      </w:r>
    </w:p>
    <w:p>
      <w:pPr>
        <w:sectPr>
          <w:pgSz w:w="12240" w:h="15840" w:orient="portrait"/>
          <w:cols w:equalWidth="0" w:num="1">
            <w:col w:w="10200"/>
          </w:cols>
          <w:pgMar w:left="1020" w:top="1309" w:right="1020" w:bottom="574" w:gutter="0" w:footer="0" w:header="0"/>
          <w:type w:val="continuous"/>
        </w:sectPr>
      </w:pPr>
    </w:p>
    <w:bookmarkStart w:id="122" w:name="page123"/>
    <w:bookmarkEnd w:id="122"/>
    <w:p>
      <w:pPr>
        <w:ind w:left="460" w:hanging="229"/>
        <w:spacing w:after="0" w:line="241" w:lineRule="auto"/>
        <w:tabs>
          <w:tab w:leader="none" w:pos="460" w:val="left"/>
        </w:tabs>
        <w:numPr>
          <w:ilvl w:val="0"/>
          <w:numId w:val="87"/>
        </w:numPr>
        <w:rPr>
          <w:rFonts w:ascii="Times New Roman" w:cs="Times New Roman" w:eastAsia="Times New Roman" w:hAnsi="Times New Roman"/>
          <w:sz w:val="19"/>
          <w:szCs w:val="19"/>
          <w:color w:val="231F20"/>
        </w:rPr>
      </w:pPr>
      <w:r>
        <w:rPr>
          <w:rFonts w:ascii="Times New Roman" w:cs="Times New Roman" w:eastAsia="Times New Roman" w:hAnsi="Times New Roman"/>
          <w:sz w:val="19"/>
          <w:szCs w:val="19"/>
          <w:color w:val="231F20"/>
        </w:rPr>
        <w:t>The second component, payable at the end of each fiscal year in arrears, equaled 15% through March 31, 2014 and, beginning April 1, 2014, equals a weighted percentage of cumulative realized capital gains from the Company’s inception to the end of that fiscal year, less cumulative realized capital losses and unrealized capital losses. This component of the Incentive Fee is referred to as the Capital Gains Fee. Each year, the fee paid for this component of the Incentive Fee is net of the aggregate amount of any previously paid Capital Gains Fee for prior periods. For capital gains that accrue following March 31, 2014, the Incentive Fee rate is 17.5%. The Company accrues, but does not pay, a Capital Gains Fee with respect to unrealized capital gains because a Capital Gains Fee would be owed to the Adviser if the Company were to sell the relevant investment and realize a capital gain. The weighted percentage is intended to ensure that for each fiscal year following the completion of the IPO, the portion of the Company’s realized capital gains that accrued prior to March 31, 2014, is subject to an Incentive Fee rate of 15% and the portion of the Company’s realized capital gains that accrued beginning April 1, 2014 is subject to an Incentive Fee rate of 17.5%. In the determination of the second component of the Incentive Fee, any unrealized gains or losses specifically related to the foreign currency denominated borrowings of non-US dollar denominated investments is offset against any associated unrealized gains or losses related to foreign currency denominated investments. As of March 31, 2020, there are no remaining investments that were made prior to April 1, 2014, and as a result, the Incentive Fee rate of 17.5% is applicable to any future realized capital gains.</w:t>
      </w:r>
    </w:p>
    <w:p>
      <w:pPr>
        <w:spacing w:after="0" w:line="194" w:lineRule="exact"/>
        <w:rPr>
          <w:sz w:val="20"/>
          <w:szCs w:val="20"/>
          <w:color w:val="auto"/>
        </w:rPr>
      </w:pPr>
    </w:p>
    <w:p>
      <w:pPr>
        <w:ind w:right="220" w:firstLine="231"/>
        <w:spacing w:after="0" w:line="257" w:lineRule="auto"/>
        <w:rPr>
          <w:sz w:val="20"/>
          <w:szCs w:val="20"/>
          <w:color w:val="auto"/>
        </w:rPr>
      </w:pPr>
      <w:r>
        <w:rPr>
          <w:rFonts w:ascii="Times New Roman" w:cs="Times New Roman" w:eastAsia="Times New Roman" w:hAnsi="Times New Roman"/>
          <w:sz w:val="19"/>
          <w:szCs w:val="19"/>
          <w:color w:val="231F20"/>
        </w:rPr>
        <w:t>For purposes of determining whether pre-Incentive Fee net investment income exceeds the hurdle rate, pre-Incentive Fee net investment income is expressed as a rate of return on the value of the Company’s net assets at the end of the immediately preceding calendar quarter.</w:t>
      </w:r>
    </w:p>
    <w:p>
      <w:pPr>
        <w:spacing w:after="0" w:line="176" w:lineRule="exact"/>
        <w:rPr>
          <w:sz w:val="20"/>
          <w:szCs w:val="20"/>
          <w:color w:val="auto"/>
        </w:rPr>
      </w:pPr>
    </w:p>
    <w:p>
      <w:pPr>
        <w:ind w:right="120" w:firstLine="231"/>
        <w:spacing w:after="0" w:line="257" w:lineRule="auto"/>
        <w:rPr>
          <w:sz w:val="20"/>
          <w:szCs w:val="20"/>
          <w:color w:val="auto"/>
        </w:rPr>
      </w:pPr>
      <w:r>
        <w:rPr>
          <w:rFonts w:ascii="Times New Roman" w:cs="Times New Roman" w:eastAsia="Times New Roman" w:hAnsi="Times New Roman"/>
          <w:sz w:val="19"/>
          <w:szCs w:val="19"/>
          <w:color w:val="231F20"/>
        </w:rPr>
        <w:t>Section 205(b)(3) of the Investment Advisers Act of 1940, as amended (the “Advisers Act”), prohibits the Adviser from receiving the payment of fees on unrealized gains until those gains are realized, if ever. There can be no assurance that such unrealized gains will be realized in the future.</w:t>
      </w:r>
    </w:p>
    <w:p>
      <w:pPr>
        <w:spacing w:after="0" w:line="56" w:lineRule="exact"/>
        <w:rPr>
          <w:sz w:val="20"/>
          <w:szCs w:val="20"/>
          <w:color w:val="auto"/>
        </w:rPr>
      </w:pPr>
    </w:p>
    <w:p>
      <w:pPr>
        <w:ind w:right="320" w:firstLine="231"/>
        <w:spacing w:after="0" w:line="254" w:lineRule="auto"/>
        <w:rPr>
          <w:sz w:val="20"/>
          <w:szCs w:val="20"/>
          <w:color w:val="auto"/>
        </w:rPr>
      </w:pPr>
      <w:r>
        <w:rPr>
          <w:rFonts w:ascii="Times New Roman" w:cs="Times New Roman" w:eastAsia="Times New Roman" w:hAnsi="Times New Roman"/>
          <w:sz w:val="18"/>
          <w:szCs w:val="18"/>
          <w:color w:val="231F20"/>
        </w:rPr>
        <w:t>For the years ended December 31, 2024, December 31, 2023 and December 31, 2022, Incentive Fees were $40.2 million, $47.0 million and $24.5 million, respectively, of which $45.5 million, $42.6 million, and $33.4 million, respectively, were realized and payable to the Adviser. For the years ended December 31, 2024, December 31, 2023 and December 31, 2022, $(5.4) million, $4.4 million, and $(8.9) million, respectively, of Incentive Fees were accrued related to Capital Gains Fees. As of December 31, 2024, December 31, 2023 and December 31, 2022, these accrued Incentive Fees are not contractually payable to the Adviser.</w:t>
      </w:r>
    </w:p>
    <w:p>
      <w:pPr>
        <w:spacing w:after="0" w:line="180"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9"/>
          <w:szCs w:val="19"/>
          <w:color w:val="231F20"/>
        </w:rPr>
        <w:t>Any waived Incentive Fees are not subject to recoupment by the Adviser.</w:t>
      </w:r>
    </w:p>
    <w:p>
      <w:pPr>
        <w:spacing w:after="0" w:line="218" w:lineRule="exact"/>
        <w:rPr>
          <w:sz w:val="20"/>
          <w:szCs w:val="20"/>
          <w:color w:val="auto"/>
        </w:rPr>
      </w:pPr>
    </w:p>
    <w:p>
      <w:pPr>
        <w:ind w:right="460" w:firstLine="231"/>
        <w:spacing w:after="0" w:line="247" w:lineRule="auto"/>
        <w:rPr>
          <w:sz w:val="20"/>
          <w:szCs w:val="20"/>
          <w:color w:val="auto"/>
        </w:rPr>
      </w:pPr>
      <w:r>
        <w:rPr>
          <w:rFonts w:ascii="Times New Roman" w:cs="Times New Roman" w:eastAsia="Times New Roman" w:hAnsi="Times New Roman"/>
          <w:sz w:val="19"/>
          <w:szCs w:val="19"/>
          <w:color w:val="231F20"/>
        </w:rPr>
        <w:t>Since the Company’s IPO, with the exception of its waiver of Management Fees and certain Incentive Fees attributable to the Company’s ownership of certain investments and the Leverage Waiver, the Adviser has not waived its right to receive any Management Fees or Incentive Fees payable pursuant to the Investment Advisory Agreement.</w:t>
      </w:r>
    </w:p>
    <w:p>
      <w:pPr>
        <w:spacing w:after="0" w:line="177" w:lineRule="exact"/>
        <w:rPr>
          <w:sz w:val="20"/>
          <w:szCs w:val="20"/>
          <w:color w:val="auto"/>
        </w:rPr>
      </w:pPr>
    </w:p>
    <w:p>
      <w:pPr>
        <w:ind w:right="20" w:firstLine="231"/>
        <w:spacing w:after="0" w:line="247" w:lineRule="auto"/>
        <w:rPr>
          <w:sz w:val="20"/>
          <w:szCs w:val="20"/>
          <w:color w:val="auto"/>
        </w:rPr>
      </w:pPr>
      <w:r>
        <w:rPr>
          <w:rFonts w:ascii="Times New Roman" w:cs="Times New Roman" w:eastAsia="Times New Roman" w:hAnsi="Times New Roman"/>
          <w:sz w:val="19"/>
          <w:szCs w:val="19"/>
          <w:color w:val="231F20"/>
        </w:rPr>
        <w:t>From time to time, the Adviser may pay amounts owed by the Company to third-party providers of goods or services, including the Board, and the Company will subsequently reimburse the Adviser for such amounts paid on its behalf. Amounts payable to the Adviser are settled in the normal course of business without formal payment terms.</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231F20"/>
        </w:rPr>
        <w:t>4. Investments at Fair Value</w:t>
      </w:r>
    </w:p>
    <w:p>
      <w:pPr>
        <w:spacing w:after="0" w:line="105" w:lineRule="exact"/>
        <w:rPr>
          <w:sz w:val="20"/>
          <w:szCs w:val="20"/>
          <w:color w:val="auto"/>
        </w:rPr>
      </w:pPr>
    </w:p>
    <w:p>
      <w:pPr>
        <w:ind w:right="40" w:firstLine="231"/>
        <w:spacing w:after="0" w:line="234" w:lineRule="auto"/>
        <w:rPr>
          <w:sz w:val="20"/>
          <w:szCs w:val="20"/>
          <w:color w:val="auto"/>
        </w:rPr>
      </w:pPr>
      <w:r>
        <w:rPr>
          <w:rFonts w:ascii="Times New Roman" w:cs="Times New Roman" w:eastAsia="Times New Roman" w:hAnsi="Times New Roman"/>
          <w:sz w:val="19"/>
          <w:szCs w:val="19"/>
          <w:color w:val="231F20"/>
        </w:rPr>
        <w:t>Under the 1940 Act, the Company is required to separately identify non-controlled investments where it owns 5% or more of a portfolio company’s outstanding voting securities as investments in “affiliated” companies. In addition, under the 1940 Act, the Company is required to separately identify investments where it owns more than 25% of a portfolio company’s outstanding voting securities and/or had the power to exercise control over the management or policies of such portfolio company as investments in “controlled” companies. Detailed information with respect to the Company’s non-controlled, non-affiliated; non-controlled, affiliated; and controlled, affiliated investments is contained in the accompanying consolidated financial statements, including the consolidated schedules of investments. The information in the tables below is presented on an aggregate portfolio basis, without regard to whether they are non-controlled, non-affiliated; non-controlled, affiliated; or controlled, affiliated investments.</w:t>
      </w:r>
    </w:p>
    <w:p>
      <w:pPr>
        <w:sectPr>
          <w:pgSz w:w="12240" w:h="15840" w:orient="portrait"/>
          <w:cols w:equalWidth="0" w:num="1">
            <w:col w:w="10180"/>
          </w:cols>
          <w:pgMar w:left="1020" w:top="1317" w:right="1040" w:bottom="57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231F20"/>
        </w:rPr>
        <w:t>F-35</w:t>
      </w:r>
    </w:p>
    <w:p>
      <w:pPr>
        <w:sectPr>
          <w:pgSz w:w="12240" w:h="15840" w:orient="portrait"/>
          <w:cols w:equalWidth="0" w:num="1">
            <w:col w:w="10180"/>
          </w:cols>
          <w:pgMar w:left="1020" w:top="1317" w:right="1040" w:bottom="574" w:gutter="0" w:footer="0" w:header="0"/>
          <w:type w:val="continuous"/>
        </w:sectPr>
      </w:pPr>
    </w:p>
    <w:bookmarkStart w:id="123" w:name="page124"/>
    <w:bookmarkEnd w:id="123"/>
    <w:p>
      <w:pPr>
        <w:ind w:left="240"/>
        <w:spacing w:after="0"/>
        <w:rPr>
          <w:sz w:val="20"/>
          <w:szCs w:val="20"/>
          <w:color w:val="auto"/>
        </w:rPr>
      </w:pPr>
      <w:r>
        <w:rPr>
          <w:rFonts w:ascii="Times New Roman" w:cs="Times New Roman" w:eastAsia="Times New Roman" w:hAnsi="Times New Roman"/>
          <w:sz w:val="19"/>
          <w:szCs w:val="19"/>
          <w:color w:val="231F20"/>
        </w:rPr>
        <w:t>Investments at fair value consisted of the following at December 31, 2024 and December 31, 2023:</w:t>
      </w:r>
    </w:p>
    <w:p>
      <w:pPr>
        <w:spacing w:after="0" w:line="234" w:lineRule="exact"/>
        <w:rPr>
          <w:sz w:val="20"/>
          <w:szCs w:val="20"/>
          <w:color w:val="auto"/>
        </w:rPr>
      </w:pPr>
    </w:p>
    <w:tbl>
      <w:tblPr>
        <w:tblLayout w:type="fixed"/>
        <w:tblInd w:w="1020" w:type="dxa"/>
        <w:tblCellMar>
          <w:top w:w="0" w:type="dxa"/>
          <w:left w:w="0" w:type="dxa"/>
          <w:bottom w:w="0" w:type="dxa"/>
          <w:right w:w="0" w:type="dxa"/>
        </w:tblCellMar>
      </w:tblPr>
      <w:tr>
        <w:trPr>
          <w:trHeight w:val="187"/>
        </w:trPr>
        <w:tc>
          <w:tcPr>
            <w:tcW w:w="3660" w:type="dxa"/>
            <w:vAlign w:val="bottom"/>
            <w:tcBorders>
              <w:bottom w:val="single" w:sz="8" w:color="FDFDFC"/>
            </w:tcBorders>
            <w:shd w:val="clear" w:color="auto" w:fill="FDFDFC"/>
          </w:tcPr>
          <w:p>
            <w:pPr>
              <w:spacing w:after="0"/>
              <w:rPr>
                <w:sz w:val="16"/>
                <w:szCs w:val="16"/>
                <w:color w:val="auto"/>
              </w:rPr>
            </w:pPr>
          </w:p>
        </w:tc>
        <w:tc>
          <w:tcPr>
            <w:tcW w:w="100" w:type="dxa"/>
            <w:vAlign w:val="bottom"/>
            <w:tcBorders>
              <w:bottom w:val="single" w:sz="8" w:color="FDFDFC"/>
            </w:tcBorders>
            <w:shd w:val="clear" w:color="auto" w:fill="FDFDFC"/>
          </w:tcPr>
          <w:p>
            <w:pPr>
              <w:spacing w:after="0"/>
              <w:rPr>
                <w:sz w:val="16"/>
                <w:szCs w:val="16"/>
                <w:color w:val="auto"/>
              </w:rPr>
            </w:pPr>
          </w:p>
        </w:tc>
        <w:tc>
          <w:tcPr>
            <w:tcW w:w="60" w:type="dxa"/>
            <w:vAlign w:val="bottom"/>
            <w:tcBorders>
              <w:bottom w:val="single" w:sz="8" w:color="231F20"/>
            </w:tcBorders>
            <w:shd w:val="clear" w:color="auto" w:fill="FDFDFC"/>
          </w:tcPr>
          <w:p>
            <w:pPr>
              <w:spacing w:after="0"/>
              <w:rPr>
                <w:sz w:val="16"/>
                <w:szCs w:val="16"/>
                <w:color w:val="auto"/>
              </w:rPr>
            </w:pPr>
          </w:p>
        </w:tc>
        <w:tc>
          <w:tcPr>
            <w:tcW w:w="100" w:type="dxa"/>
            <w:vAlign w:val="bottom"/>
            <w:tcBorders>
              <w:bottom w:val="single" w:sz="8" w:color="231F20"/>
            </w:tcBorders>
            <w:shd w:val="clear" w:color="auto" w:fill="FDFDFC"/>
          </w:tcPr>
          <w:p>
            <w:pPr>
              <w:spacing w:after="0"/>
              <w:rPr>
                <w:sz w:val="16"/>
                <w:szCs w:val="16"/>
                <w:color w:val="auto"/>
              </w:rPr>
            </w:pPr>
          </w:p>
        </w:tc>
        <w:tc>
          <w:tcPr>
            <w:tcW w:w="280" w:type="dxa"/>
            <w:vAlign w:val="bottom"/>
            <w:tcBorders>
              <w:bottom w:val="single" w:sz="8" w:color="231F20"/>
            </w:tcBorders>
            <w:shd w:val="clear" w:color="auto" w:fill="FDFDFC"/>
          </w:tcPr>
          <w:p>
            <w:pPr>
              <w:spacing w:after="0"/>
              <w:rPr>
                <w:sz w:val="16"/>
                <w:szCs w:val="16"/>
                <w:color w:val="auto"/>
              </w:rPr>
            </w:pPr>
          </w:p>
        </w:tc>
        <w:tc>
          <w:tcPr>
            <w:tcW w:w="940" w:type="dxa"/>
            <w:vAlign w:val="bottom"/>
            <w:tcBorders>
              <w:bottom w:val="single" w:sz="8" w:color="231F20"/>
            </w:tcBorders>
            <w:shd w:val="clear" w:color="auto" w:fill="FDFDFC"/>
          </w:tcPr>
          <w:p>
            <w:pPr>
              <w:spacing w:after="0"/>
              <w:rPr>
                <w:sz w:val="16"/>
                <w:szCs w:val="16"/>
                <w:color w:val="auto"/>
              </w:rPr>
            </w:pPr>
          </w:p>
        </w:tc>
        <w:tc>
          <w:tcPr>
            <w:tcW w:w="60" w:type="dxa"/>
            <w:vAlign w:val="bottom"/>
            <w:tcBorders>
              <w:bottom w:val="single" w:sz="8" w:color="231F20"/>
            </w:tcBorders>
            <w:shd w:val="clear" w:color="auto" w:fill="FDFDFC"/>
          </w:tcPr>
          <w:p>
            <w:pPr>
              <w:spacing w:after="0"/>
              <w:rPr>
                <w:sz w:val="16"/>
                <w:szCs w:val="16"/>
                <w:color w:val="auto"/>
              </w:rPr>
            </w:pPr>
          </w:p>
        </w:tc>
        <w:tc>
          <w:tcPr>
            <w:tcW w:w="40" w:type="dxa"/>
            <w:vAlign w:val="bottom"/>
            <w:tcBorders>
              <w:bottom w:val="single" w:sz="8" w:color="231F20"/>
            </w:tcBorders>
            <w:shd w:val="clear" w:color="auto" w:fill="FDFDFC"/>
          </w:tcPr>
          <w:p>
            <w:pPr>
              <w:spacing w:after="0"/>
              <w:rPr>
                <w:sz w:val="16"/>
                <w:szCs w:val="16"/>
                <w:color w:val="auto"/>
              </w:rPr>
            </w:pPr>
          </w:p>
        </w:tc>
        <w:tc>
          <w:tcPr>
            <w:tcW w:w="1700" w:type="dxa"/>
            <w:vAlign w:val="bottom"/>
            <w:tcBorders>
              <w:bottom w:val="single" w:sz="8" w:color="231F20"/>
            </w:tcBorders>
            <w:gridSpan w:val="6"/>
            <w:shd w:val="clear" w:color="auto" w:fill="FDFDFC"/>
          </w:tcPr>
          <w:p>
            <w:pPr>
              <w:ind w:left="40"/>
              <w:spacing w:after="0"/>
              <w:rPr>
                <w:sz w:val="20"/>
                <w:szCs w:val="20"/>
                <w:color w:val="auto"/>
              </w:rPr>
            </w:pPr>
            <w:r>
              <w:rPr>
                <w:rFonts w:ascii="Times New Roman" w:cs="Times New Roman" w:eastAsia="Times New Roman" w:hAnsi="Times New Roman"/>
                <w:sz w:val="15"/>
                <w:szCs w:val="15"/>
                <w:b w:val="1"/>
                <w:bCs w:val="1"/>
                <w:color w:val="231F20"/>
              </w:rPr>
              <w:t>December 31, 2024</w:t>
            </w:r>
          </w:p>
        </w:tc>
        <w:tc>
          <w:tcPr>
            <w:tcW w:w="40" w:type="dxa"/>
            <w:vAlign w:val="bottom"/>
            <w:tcBorders>
              <w:bottom w:val="single" w:sz="8" w:color="231F20"/>
            </w:tcBorders>
            <w:shd w:val="clear" w:color="auto" w:fill="FDFDFC"/>
          </w:tcPr>
          <w:p>
            <w:pPr>
              <w:spacing w:after="0"/>
              <w:rPr>
                <w:sz w:val="16"/>
                <w:szCs w:val="16"/>
                <w:color w:val="auto"/>
              </w:rPr>
            </w:pPr>
          </w:p>
        </w:tc>
        <w:tc>
          <w:tcPr>
            <w:tcW w:w="60" w:type="dxa"/>
            <w:vAlign w:val="bottom"/>
            <w:tcBorders>
              <w:bottom w:val="single" w:sz="8" w:color="231F20"/>
            </w:tcBorders>
            <w:shd w:val="clear" w:color="auto" w:fill="FDFDFC"/>
          </w:tcPr>
          <w:p>
            <w:pPr>
              <w:spacing w:after="0"/>
              <w:rPr>
                <w:sz w:val="16"/>
                <w:szCs w:val="16"/>
                <w:color w:val="auto"/>
              </w:rPr>
            </w:pPr>
          </w:p>
        </w:tc>
        <w:tc>
          <w:tcPr>
            <w:tcW w:w="40" w:type="dxa"/>
            <w:vAlign w:val="bottom"/>
            <w:tcBorders>
              <w:bottom w:val="single" w:sz="8" w:color="231F20"/>
            </w:tcBorders>
            <w:shd w:val="clear" w:color="auto" w:fill="FDFDFC"/>
          </w:tcPr>
          <w:p>
            <w:pPr>
              <w:spacing w:after="0"/>
              <w:rPr>
                <w:sz w:val="16"/>
                <w:szCs w:val="16"/>
                <w:color w:val="auto"/>
              </w:rPr>
            </w:pPr>
          </w:p>
        </w:tc>
        <w:tc>
          <w:tcPr>
            <w:tcW w:w="100" w:type="dxa"/>
            <w:vAlign w:val="bottom"/>
            <w:tcBorders>
              <w:bottom w:val="single" w:sz="8" w:color="231F20"/>
            </w:tcBorders>
            <w:shd w:val="clear" w:color="auto" w:fill="FDFDFC"/>
          </w:tcPr>
          <w:p>
            <w:pPr>
              <w:spacing w:after="0"/>
              <w:rPr>
                <w:sz w:val="16"/>
                <w:szCs w:val="16"/>
                <w:color w:val="auto"/>
              </w:rPr>
            </w:pPr>
          </w:p>
        </w:tc>
        <w:tc>
          <w:tcPr>
            <w:tcW w:w="880" w:type="dxa"/>
            <w:vAlign w:val="bottom"/>
            <w:tcBorders>
              <w:bottom w:val="single" w:sz="8" w:color="231F20"/>
            </w:tcBorders>
            <w:shd w:val="clear" w:color="auto" w:fill="FDFDFC"/>
          </w:tcPr>
          <w:p>
            <w:pPr>
              <w:spacing w:after="0"/>
              <w:rPr>
                <w:sz w:val="16"/>
                <w:szCs w:val="16"/>
                <w:color w:val="auto"/>
              </w:rPr>
            </w:pPr>
          </w:p>
        </w:tc>
        <w:tc>
          <w:tcPr>
            <w:tcW w:w="100" w:type="dxa"/>
            <w:vAlign w:val="bottom"/>
            <w:tcBorders>
              <w:bottom w:val="single" w:sz="8" w:color="FDFDFC"/>
            </w:tcBorders>
            <w:shd w:val="clear" w:color="auto" w:fill="FDFDFC"/>
          </w:tcPr>
          <w:p>
            <w:pPr>
              <w:spacing w:after="0"/>
              <w:rPr>
                <w:sz w:val="16"/>
                <w:szCs w:val="16"/>
                <w:color w:val="auto"/>
              </w:rPr>
            </w:pPr>
          </w:p>
        </w:tc>
        <w:tc>
          <w:tcPr>
            <w:tcW w:w="0" w:type="dxa"/>
            <w:vAlign w:val="bottom"/>
          </w:tcPr>
          <w:p>
            <w:pPr>
              <w:spacing w:after="0"/>
              <w:rPr>
                <w:sz w:val="1"/>
                <w:szCs w:val="1"/>
                <w:color w:val="auto"/>
              </w:rPr>
            </w:pPr>
          </w:p>
        </w:tc>
      </w:tr>
      <w:tr>
        <w:trPr>
          <w:trHeight w:val="159"/>
        </w:trPr>
        <w:tc>
          <w:tcPr>
            <w:tcW w:w="3660" w:type="dxa"/>
            <w:vAlign w:val="bottom"/>
            <w:shd w:val="clear" w:color="auto" w:fill="FDFDFC"/>
          </w:tcPr>
          <w:p>
            <w:pPr>
              <w:spacing w:after="0"/>
              <w:rPr>
                <w:sz w:val="13"/>
                <w:szCs w:val="13"/>
                <w:color w:val="auto"/>
              </w:rPr>
            </w:pPr>
          </w:p>
        </w:tc>
        <w:tc>
          <w:tcPr>
            <w:tcW w:w="100" w:type="dxa"/>
            <w:vAlign w:val="bottom"/>
            <w:shd w:val="clear" w:color="auto" w:fill="FDFDFC"/>
          </w:tcPr>
          <w:p>
            <w:pPr>
              <w:spacing w:after="0"/>
              <w:rPr>
                <w:sz w:val="13"/>
                <w:szCs w:val="13"/>
                <w:color w:val="auto"/>
              </w:rPr>
            </w:pPr>
          </w:p>
        </w:tc>
        <w:tc>
          <w:tcPr>
            <w:tcW w:w="60" w:type="dxa"/>
            <w:vAlign w:val="bottom"/>
            <w:shd w:val="clear" w:color="auto" w:fill="FDFDFC"/>
          </w:tcPr>
          <w:p>
            <w:pPr>
              <w:spacing w:after="0"/>
              <w:rPr>
                <w:sz w:val="13"/>
                <w:szCs w:val="13"/>
                <w:color w:val="auto"/>
              </w:rPr>
            </w:pPr>
          </w:p>
        </w:tc>
        <w:tc>
          <w:tcPr>
            <w:tcW w:w="100" w:type="dxa"/>
            <w:vAlign w:val="bottom"/>
            <w:shd w:val="clear" w:color="auto" w:fill="FDFDFC"/>
          </w:tcPr>
          <w:p>
            <w:pPr>
              <w:spacing w:after="0"/>
              <w:rPr>
                <w:sz w:val="13"/>
                <w:szCs w:val="13"/>
                <w:color w:val="auto"/>
              </w:rPr>
            </w:pPr>
          </w:p>
        </w:tc>
        <w:tc>
          <w:tcPr>
            <w:tcW w:w="280" w:type="dxa"/>
            <w:vAlign w:val="bottom"/>
            <w:shd w:val="clear" w:color="auto" w:fill="FDFDFC"/>
          </w:tcPr>
          <w:p>
            <w:pPr>
              <w:spacing w:after="0"/>
              <w:rPr>
                <w:sz w:val="13"/>
                <w:szCs w:val="13"/>
                <w:color w:val="auto"/>
              </w:rPr>
            </w:pPr>
          </w:p>
        </w:tc>
        <w:tc>
          <w:tcPr>
            <w:tcW w:w="940" w:type="dxa"/>
            <w:vAlign w:val="bottom"/>
            <w:shd w:val="clear" w:color="auto" w:fill="FDFDFC"/>
          </w:tcPr>
          <w:p>
            <w:pPr>
              <w:spacing w:after="0"/>
              <w:rPr>
                <w:sz w:val="13"/>
                <w:szCs w:val="13"/>
                <w:color w:val="auto"/>
              </w:rPr>
            </w:pPr>
          </w:p>
        </w:tc>
        <w:tc>
          <w:tcPr>
            <w:tcW w:w="60" w:type="dxa"/>
            <w:vAlign w:val="bottom"/>
            <w:shd w:val="clear" w:color="auto" w:fill="FDFDFC"/>
          </w:tcPr>
          <w:p>
            <w:pPr>
              <w:spacing w:after="0"/>
              <w:rPr>
                <w:sz w:val="13"/>
                <w:szCs w:val="13"/>
                <w:color w:val="auto"/>
              </w:rPr>
            </w:pPr>
          </w:p>
        </w:tc>
        <w:tc>
          <w:tcPr>
            <w:tcW w:w="40" w:type="dxa"/>
            <w:vAlign w:val="bottom"/>
            <w:shd w:val="clear" w:color="auto" w:fill="FDFDFC"/>
          </w:tcPr>
          <w:p>
            <w:pPr>
              <w:spacing w:after="0"/>
              <w:rPr>
                <w:sz w:val="13"/>
                <w:szCs w:val="13"/>
                <w:color w:val="auto"/>
              </w:rPr>
            </w:pPr>
          </w:p>
        </w:tc>
        <w:tc>
          <w:tcPr>
            <w:tcW w:w="100" w:type="dxa"/>
            <w:vAlign w:val="bottom"/>
            <w:shd w:val="clear" w:color="auto" w:fill="FDFDFC"/>
          </w:tcPr>
          <w:p>
            <w:pPr>
              <w:spacing w:after="0"/>
              <w:rPr>
                <w:sz w:val="13"/>
                <w:szCs w:val="13"/>
                <w:color w:val="auto"/>
              </w:rPr>
            </w:pPr>
          </w:p>
        </w:tc>
        <w:tc>
          <w:tcPr>
            <w:tcW w:w="60" w:type="dxa"/>
            <w:vAlign w:val="bottom"/>
            <w:shd w:val="clear" w:color="auto" w:fill="FDFDFC"/>
          </w:tcPr>
          <w:p>
            <w:pPr>
              <w:spacing w:after="0"/>
              <w:rPr>
                <w:sz w:val="13"/>
                <w:szCs w:val="13"/>
                <w:color w:val="auto"/>
              </w:rPr>
            </w:pPr>
          </w:p>
        </w:tc>
        <w:tc>
          <w:tcPr>
            <w:tcW w:w="220" w:type="dxa"/>
            <w:vAlign w:val="bottom"/>
            <w:shd w:val="clear" w:color="auto" w:fill="FDFDFC"/>
          </w:tcPr>
          <w:p>
            <w:pPr>
              <w:spacing w:after="0"/>
              <w:rPr>
                <w:sz w:val="13"/>
                <w:szCs w:val="13"/>
                <w:color w:val="auto"/>
              </w:rPr>
            </w:pPr>
          </w:p>
        </w:tc>
        <w:tc>
          <w:tcPr>
            <w:tcW w:w="1220" w:type="dxa"/>
            <w:vAlign w:val="bottom"/>
            <w:shd w:val="clear" w:color="auto" w:fill="FDFDFC"/>
          </w:tcPr>
          <w:p>
            <w:pPr>
              <w:spacing w:after="0"/>
              <w:rPr>
                <w:sz w:val="13"/>
                <w:szCs w:val="13"/>
                <w:color w:val="auto"/>
              </w:rPr>
            </w:pPr>
          </w:p>
        </w:tc>
        <w:tc>
          <w:tcPr>
            <w:tcW w:w="40" w:type="dxa"/>
            <w:vAlign w:val="bottom"/>
            <w:shd w:val="clear" w:color="auto" w:fill="FDFDFC"/>
          </w:tcPr>
          <w:p>
            <w:pPr>
              <w:spacing w:after="0"/>
              <w:rPr>
                <w:sz w:val="13"/>
                <w:szCs w:val="13"/>
                <w:color w:val="auto"/>
              </w:rPr>
            </w:pPr>
          </w:p>
        </w:tc>
        <w:tc>
          <w:tcPr>
            <w:tcW w:w="60" w:type="dxa"/>
            <w:vAlign w:val="bottom"/>
            <w:shd w:val="clear" w:color="auto" w:fill="FDFDFC"/>
          </w:tcPr>
          <w:p>
            <w:pPr>
              <w:spacing w:after="0"/>
              <w:rPr>
                <w:sz w:val="13"/>
                <w:szCs w:val="13"/>
                <w:color w:val="auto"/>
              </w:rPr>
            </w:pPr>
          </w:p>
        </w:tc>
        <w:tc>
          <w:tcPr>
            <w:tcW w:w="40" w:type="dxa"/>
            <w:vAlign w:val="bottom"/>
            <w:shd w:val="clear" w:color="auto" w:fill="FDFDFC"/>
          </w:tcPr>
          <w:p>
            <w:pPr>
              <w:spacing w:after="0"/>
              <w:rPr>
                <w:sz w:val="13"/>
                <w:szCs w:val="13"/>
                <w:color w:val="auto"/>
              </w:rPr>
            </w:pPr>
          </w:p>
        </w:tc>
        <w:tc>
          <w:tcPr>
            <w:tcW w:w="60" w:type="dxa"/>
            <w:vAlign w:val="bottom"/>
            <w:shd w:val="clear" w:color="auto" w:fill="FDFDFC"/>
          </w:tcPr>
          <w:p>
            <w:pPr>
              <w:spacing w:after="0"/>
              <w:rPr>
                <w:sz w:val="13"/>
                <w:szCs w:val="13"/>
                <w:color w:val="auto"/>
              </w:rPr>
            </w:pPr>
          </w:p>
        </w:tc>
        <w:tc>
          <w:tcPr>
            <w:tcW w:w="1020" w:type="dxa"/>
            <w:vAlign w:val="bottom"/>
            <w:gridSpan w:val="3"/>
            <w:shd w:val="clear" w:color="auto" w:fill="FDFDFC"/>
          </w:tcPr>
          <w:p>
            <w:pPr>
              <w:spacing w:after="0" w:line="159" w:lineRule="exact"/>
              <w:rPr>
                <w:sz w:val="20"/>
                <w:szCs w:val="20"/>
                <w:color w:val="auto"/>
              </w:rPr>
            </w:pPr>
            <w:r>
              <w:rPr>
                <w:rFonts w:ascii="Times New Roman" w:cs="Times New Roman" w:eastAsia="Times New Roman" w:hAnsi="Times New Roman"/>
                <w:sz w:val="15"/>
                <w:szCs w:val="15"/>
                <w:b w:val="1"/>
                <w:bCs w:val="1"/>
                <w:color w:val="231F20"/>
              </w:rPr>
              <w:t>Net Unrealized</w:t>
            </w:r>
          </w:p>
        </w:tc>
        <w:tc>
          <w:tcPr>
            <w:tcW w:w="100" w:type="dxa"/>
            <w:vAlign w:val="bottom"/>
            <w:shd w:val="clear" w:color="auto" w:fill="FDFDFC"/>
          </w:tcPr>
          <w:p>
            <w:pPr>
              <w:spacing w:after="0"/>
              <w:rPr>
                <w:sz w:val="13"/>
                <w:szCs w:val="13"/>
                <w:color w:val="auto"/>
              </w:rPr>
            </w:pPr>
          </w:p>
        </w:tc>
        <w:tc>
          <w:tcPr>
            <w:tcW w:w="0" w:type="dxa"/>
            <w:vAlign w:val="bottom"/>
          </w:tcPr>
          <w:p>
            <w:pPr>
              <w:spacing w:after="0"/>
              <w:rPr>
                <w:sz w:val="1"/>
                <w:szCs w:val="1"/>
                <w:color w:val="auto"/>
              </w:rPr>
            </w:pPr>
          </w:p>
        </w:tc>
      </w:tr>
      <w:tr>
        <w:trPr>
          <w:trHeight w:val="191"/>
        </w:trPr>
        <w:tc>
          <w:tcPr>
            <w:tcW w:w="3660" w:type="dxa"/>
            <w:vAlign w:val="bottom"/>
            <w:tcBorders>
              <w:bottom w:val="single" w:sz="8" w:color="D0EBF2"/>
            </w:tcBorders>
            <w:shd w:val="clear" w:color="auto" w:fill="FDFDFC"/>
          </w:tcPr>
          <w:p>
            <w:pPr>
              <w:spacing w:after="0"/>
              <w:rPr>
                <w:sz w:val="16"/>
                <w:szCs w:val="16"/>
                <w:color w:val="auto"/>
              </w:rPr>
            </w:pPr>
          </w:p>
        </w:tc>
        <w:tc>
          <w:tcPr>
            <w:tcW w:w="100" w:type="dxa"/>
            <w:vAlign w:val="bottom"/>
            <w:tcBorders>
              <w:bottom w:val="single" w:sz="8" w:color="D0EBF2"/>
            </w:tcBorders>
            <w:shd w:val="clear" w:color="auto" w:fill="FDFDFC"/>
          </w:tcPr>
          <w:p>
            <w:pPr>
              <w:spacing w:after="0"/>
              <w:rPr>
                <w:sz w:val="16"/>
                <w:szCs w:val="16"/>
                <w:color w:val="auto"/>
              </w:rPr>
            </w:pPr>
          </w:p>
        </w:tc>
        <w:tc>
          <w:tcPr>
            <w:tcW w:w="60" w:type="dxa"/>
            <w:vAlign w:val="bottom"/>
            <w:tcBorders>
              <w:bottom w:val="single" w:sz="8" w:color="231F20"/>
            </w:tcBorders>
            <w:shd w:val="clear" w:color="auto" w:fill="FDFDFC"/>
          </w:tcPr>
          <w:p>
            <w:pPr>
              <w:spacing w:after="0"/>
              <w:rPr>
                <w:sz w:val="16"/>
                <w:szCs w:val="16"/>
                <w:color w:val="auto"/>
              </w:rPr>
            </w:pPr>
          </w:p>
        </w:tc>
        <w:tc>
          <w:tcPr>
            <w:tcW w:w="1380" w:type="dxa"/>
            <w:vAlign w:val="bottom"/>
            <w:tcBorders>
              <w:bottom w:val="single" w:sz="8" w:color="231F20"/>
            </w:tcBorders>
            <w:gridSpan w:val="4"/>
            <w:shd w:val="clear" w:color="auto" w:fill="FDFDFC"/>
          </w:tcPr>
          <w:p>
            <w:pPr>
              <w:jc w:val="right"/>
              <w:ind w:right="140"/>
              <w:spacing w:after="0"/>
              <w:rPr>
                <w:sz w:val="20"/>
                <w:szCs w:val="20"/>
                <w:color w:val="auto"/>
              </w:rPr>
            </w:pPr>
            <w:r>
              <w:rPr>
                <w:rFonts w:ascii="Times New Roman" w:cs="Times New Roman" w:eastAsia="Times New Roman" w:hAnsi="Times New Roman"/>
                <w:sz w:val="15"/>
                <w:szCs w:val="15"/>
                <w:b w:val="1"/>
                <w:bCs w:val="1"/>
                <w:color w:val="231F20"/>
              </w:rPr>
              <w:t xml:space="preserve">Amortized Cost </w:t>
            </w:r>
            <w:r>
              <w:rPr>
                <w:rFonts w:ascii="Times New Roman" w:cs="Times New Roman" w:eastAsia="Times New Roman" w:hAnsi="Times New Roman"/>
                <w:sz w:val="9"/>
                <w:szCs w:val="9"/>
                <w:b w:val="1"/>
                <w:bCs w:val="1"/>
                <w:color w:val="231F20"/>
              </w:rPr>
              <w:t>(1)</w:t>
            </w:r>
          </w:p>
        </w:tc>
        <w:tc>
          <w:tcPr>
            <w:tcW w:w="40" w:type="dxa"/>
            <w:vAlign w:val="bottom"/>
            <w:tcBorders>
              <w:bottom w:val="single" w:sz="8" w:color="D0EBF2"/>
            </w:tcBorders>
            <w:shd w:val="clear" w:color="auto" w:fill="FDFDFC"/>
          </w:tcPr>
          <w:p>
            <w:pPr>
              <w:spacing w:after="0"/>
              <w:rPr>
                <w:sz w:val="16"/>
                <w:szCs w:val="16"/>
                <w:color w:val="auto"/>
              </w:rPr>
            </w:pPr>
          </w:p>
        </w:tc>
        <w:tc>
          <w:tcPr>
            <w:tcW w:w="100" w:type="dxa"/>
            <w:vAlign w:val="bottom"/>
            <w:tcBorders>
              <w:bottom w:val="single" w:sz="8" w:color="D0EBF2"/>
            </w:tcBorders>
            <w:shd w:val="clear" w:color="auto" w:fill="FDFDFC"/>
          </w:tcPr>
          <w:p>
            <w:pPr>
              <w:spacing w:after="0"/>
              <w:rPr>
                <w:sz w:val="16"/>
                <w:szCs w:val="16"/>
                <w:color w:val="auto"/>
              </w:rPr>
            </w:pPr>
          </w:p>
        </w:tc>
        <w:tc>
          <w:tcPr>
            <w:tcW w:w="60" w:type="dxa"/>
            <w:vAlign w:val="bottom"/>
            <w:tcBorders>
              <w:bottom w:val="single" w:sz="8" w:color="D0EBF2"/>
            </w:tcBorders>
            <w:shd w:val="clear" w:color="auto" w:fill="FDFDFC"/>
          </w:tcPr>
          <w:p>
            <w:pPr>
              <w:spacing w:after="0"/>
              <w:rPr>
                <w:sz w:val="16"/>
                <w:szCs w:val="16"/>
                <w:color w:val="auto"/>
              </w:rPr>
            </w:pPr>
          </w:p>
        </w:tc>
        <w:tc>
          <w:tcPr>
            <w:tcW w:w="220" w:type="dxa"/>
            <w:vAlign w:val="bottom"/>
            <w:tcBorders>
              <w:bottom w:val="single" w:sz="8" w:color="231F20"/>
            </w:tcBorders>
            <w:shd w:val="clear" w:color="auto" w:fill="FDFDFC"/>
          </w:tcPr>
          <w:p>
            <w:pPr>
              <w:spacing w:after="0"/>
              <w:rPr>
                <w:sz w:val="16"/>
                <w:szCs w:val="16"/>
                <w:color w:val="auto"/>
              </w:rPr>
            </w:pPr>
          </w:p>
        </w:tc>
        <w:tc>
          <w:tcPr>
            <w:tcW w:w="1220" w:type="dxa"/>
            <w:vAlign w:val="bottom"/>
            <w:tcBorders>
              <w:bottom w:val="single" w:sz="8" w:color="231F20"/>
            </w:tcBorders>
            <w:shd w:val="clear" w:color="auto" w:fill="FDFDFC"/>
          </w:tcPr>
          <w:p>
            <w:pPr>
              <w:jc w:val="right"/>
              <w:ind w:right="308"/>
              <w:spacing w:after="0"/>
              <w:rPr>
                <w:sz w:val="20"/>
                <w:szCs w:val="20"/>
                <w:color w:val="auto"/>
              </w:rPr>
            </w:pPr>
            <w:r>
              <w:rPr>
                <w:rFonts w:ascii="Times New Roman" w:cs="Times New Roman" w:eastAsia="Times New Roman" w:hAnsi="Times New Roman"/>
                <w:sz w:val="15"/>
                <w:szCs w:val="15"/>
                <w:b w:val="1"/>
                <w:bCs w:val="1"/>
                <w:color w:val="231F20"/>
              </w:rPr>
              <w:t>Fair Value</w:t>
            </w:r>
          </w:p>
        </w:tc>
        <w:tc>
          <w:tcPr>
            <w:tcW w:w="40" w:type="dxa"/>
            <w:vAlign w:val="bottom"/>
            <w:tcBorders>
              <w:bottom w:val="single" w:sz="8" w:color="D0EBF2"/>
            </w:tcBorders>
            <w:shd w:val="clear" w:color="auto" w:fill="FDFDFC"/>
          </w:tcPr>
          <w:p>
            <w:pPr>
              <w:spacing w:after="0"/>
              <w:rPr>
                <w:sz w:val="16"/>
                <w:szCs w:val="16"/>
                <w:color w:val="auto"/>
              </w:rPr>
            </w:pPr>
          </w:p>
        </w:tc>
        <w:tc>
          <w:tcPr>
            <w:tcW w:w="60" w:type="dxa"/>
            <w:vAlign w:val="bottom"/>
            <w:tcBorders>
              <w:bottom w:val="single" w:sz="8" w:color="D0EBF2"/>
            </w:tcBorders>
            <w:shd w:val="clear" w:color="auto" w:fill="FDFDFC"/>
          </w:tcPr>
          <w:p>
            <w:pPr>
              <w:spacing w:after="0"/>
              <w:rPr>
                <w:sz w:val="16"/>
                <w:szCs w:val="16"/>
                <w:color w:val="auto"/>
              </w:rPr>
            </w:pPr>
          </w:p>
        </w:tc>
        <w:tc>
          <w:tcPr>
            <w:tcW w:w="40" w:type="dxa"/>
            <w:vAlign w:val="bottom"/>
            <w:tcBorders>
              <w:bottom w:val="single" w:sz="8" w:color="D0EBF2"/>
            </w:tcBorders>
            <w:shd w:val="clear" w:color="auto" w:fill="FDFDFC"/>
          </w:tcPr>
          <w:p>
            <w:pPr>
              <w:spacing w:after="0"/>
              <w:rPr>
                <w:sz w:val="16"/>
                <w:szCs w:val="16"/>
                <w:color w:val="auto"/>
              </w:rPr>
            </w:pPr>
          </w:p>
        </w:tc>
        <w:tc>
          <w:tcPr>
            <w:tcW w:w="60" w:type="dxa"/>
            <w:vAlign w:val="bottom"/>
            <w:tcBorders>
              <w:bottom w:val="single" w:sz="8" w:color="D0EBF2"/>
            </w:tcBorders>
            <w:shd w:val="clear" w:color="auto" w:fill="FDFDFC"/>
          </w:tcPr>
          <w:p>
            <w:pPr>
              <w:spacing w:after="0"/>
              <w:rPr>
                <w:sz w:val="16"/>
                <w:szCs w:val="16"/>
                <w:color w:val="auto"/>
              </w:rPr>
            </w:pPr>
          </w:p>
        </w:tc>
        <w:tc>
          <w:tcPr>
            <w:tcW w:w="40" w:type="dxa"/>
            <w:vAlign w:val="bottom"/>
            <w:tcBorders>
              <w:bottom w:val="single" w:sz="8" w:color="231F20"/>
            </w:tcBorders>
            <w:shd w:val="clear" w:color="auto" w:fill="FDFDFC"/>
          </w:tcPr>
          <w:p>
            <w:pPr>
              <w:spacing w:after="0"/>
              <w:rPr>
                <w:sz w:val="16"/>
                <w:szCs w:val="16"/>
                <w:color w:val="auto"/>
              </w:rPr>
            </w:pPr>
          </w:p>
        </w:tc>
        <w:tc>
          <w:tcPr>
            <w:tcW w:w="980" w:type="dxa"/>
            <w:vAlign w:val="bottom"/>
            <w:tcBorders>
              <w:bottom w:val="single" w:sz="8" w:color="231F20"/>
            </w:tcBorders>
            <w:gridSpan w:val="2"/>
            <w:shd w:val="clear" w:color="auto" w:fill="FDFDFC"/>
          </w:tcPr>
          <w:p>
            <w:pPr>
              <w:jc w:val="right"/>
              <w:ind w:right="67"/>
              <w:spacing w:after="0"/>
              <w:rPr>
                <w:sz w:val="20"/>
                <w:szCs w:val="20"/>
                <w:color w:val="auto"/>
              </w:rPr>
            </w:pPr>
            <w:r>
              <w:rPr>
                <w:rFonts w:ascii="Times New Roman" w:cs="Times New Roman" w:eastAsia="Times New Roman" w:hAnsi="Times New Roman"/>
                <w:sz w:val="15"/>
                <w:szCs w:val="15"/>
                <w:b w:val="1"/>
                <w:bCs w:val="1"/>
                <w:color w:val="231F20"/>
              </w:rPr>
              <w:t>Gain (Loss)</w:t>
            </w:r>
          </w:p>
        </w:tc>
        <w:tc>
          <w:tcPr>
            <w:tcW w:w="100" w:type="dxa"/>
            <w:vAlign w:val="bottom"/>
            <w:tcBorders>
              <w:bottom w:val="single" w:sz="8" w:color="D0EBF2"/>
            </w:tcBorders>
            <w:shd w:val="clear" w:color="auto" w:fill="FDFDFC"/>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3660" w:type="dxa"/>
            <w:vAlign w:val="bottom"/>
            <w:shd w:val="clear" w:color="auto" w:fill="D0EBF2"/>
          </w:tcPr>
          <w:p>
            <w:pPr>
              <w:spacing w:after="0"/>
              <w:rPr>
                <w:sz w:val="20"/>
                <w:szCs w:val="20"/>
                <w:color w:val="auto"/>
              </w:rPr>
            </w:pPr>
            <w:r>
              <w:rPr>
                <w:rFonts w:ascii="Times New Roman" w:cs="Times New Roman" w:eastAsia="Times New Roman" w:hAnsi="Times New Roman"/>
                <w:sz w:val="19"/>
                <w:szCs w:val="19"/>
                <w:color w:val="231F20"/>
              </w:rPr>
              <w:t>First-lien debt investments</w:t>
            </w:r>
          </w:p>
        </w:tc>
        <w:tc>
          <w:tcPr>
            <w:tcW w:w="100" w:type="dxa"/>
            <w:vAlign w:val="bottom"/>
            <w:shd w:val="clear" w:color="auto" w:fill="D0EBF2"/>
          </w:tcPr>
          <w:p>
            <w:pPr>
              <w:spacing w:after="0"/>
              <w:rPr>
                <w:sz w:val="19"/>
                <w:szCs w:val="19"/>
                <w:color w:val="auto"/>
              </w:rPr>
            </w:pPr>
          </w:p>
        </w:tc>
        <w:tc>
          <w:tcPr>
            <w:tcW w:w="160" w:type="dxa"/>
            <w:vAlign w:val="bottom"/>
            <w:gridSpan w:val="2"/>
            <w:shd w:val="clear" w:color="auto" w:fill="D0EBF2"/>
          </w:tcPr>
          <w:p>
            <w:pPr>
              <w:jc w:val="right"/>
              <w:spacing w:after="0"/>
              <w:rPr>
                <w:sz w:val="20"/>
                <w:szCs w:val="20"/>
                <w:color w:val="auto"/>
              </w:rPr>
            </w:pPr>
            <w:r>
              <w:rPr>
                <w:rFonts w:ascii="Times New Roman" w:cs="Times New Roman" w:eastAsia="Times New Roman" w:hAnsi="Times New Roman"/>
                <w:sz w:val="19"/>
                <w:szCs w:val="19"/>
                <w:color w:val="231F20"/>
                <w:w w:val="83"/>
              </w:rPr>
              <w:t>$</w:t>
            </w:r>
          </w:p>
        </w:tc>
        <w:tc>
          <w:tcPr>
            <w:tcW w:w="280" w:type="dxa"/>
            <w:vAlign w:val="bottom"/>
            <w:shd w:val="clear" w:color="auto" w:fill="D0EBF2"/>
          </w:tcPr>
          <w:p>
            <w:pPr>
              <w:spacing w:after="0"/>
              <w:rPr>
                <w:sz w:val="19"/>
                <w:szCs w:val="19"/>
                <w:color w:val="auto"/>
              </w:rPr>
            </w:pPr>
          </w:p>
        </w:tc>
        <w:tc>
          <w:tcPr>
            <w:tcW w:w="1000" w:type="dxa"/>
            <w:vAlign w:val="bottom"/>
            <w:gridSpan w:val="2"/>
            <w:shd w:val="clear" w:color="auto" w:fill="D0EBF2"/>
          </w:tcPr>
          <w:p>
            <w:pPr>
              <w:jc w:val="right"/>
              <w:ind w:right="20"/>
              <w:spacing w:after="0"/>
              <w:rPr>
                <w:sz w:val="20"/>
                <w:szCs w:val="20"/>
                <w:color w:val="auto"/>
              </w:rPr>
            </w:pPr>
            <w:r>
              <w:rPr>
                <w:rFonts w:ascii="Times New Roman" w:cs="Times New Roman" w:eastAsia="Times New Roman" w:hAnsi="Times New Roman"/>
                <w:sz w:val="19"/>
                <w:szCs w:val="19"/>
                <w:color w:val="231F20"/>
              </w:rPr>
              <w:t>3,298,006</w:t>
            </w:r>
          </w:p>
        </w:tc>
        <w:tc>
          <w:tcPr>
            <w:tcW w:w="40" w:type="dxa"/>
            <w:vAlign w:val="bottom"/>
            <w:shd w:val="clear" w:color="auto" w:fill="D0EBF2"/>
          </w:tcPr>
          <w:p>
            <w:pPr>
              <w:spacing w:after="0"/>
              <w:rPr>
                <w:sz w:val="19"/>
                <w:szCs w:val="19"/>
                <w:color w:val="auto"/>
              </w:rPr>
            </w:pPr>
          </w:p>
        </w:tc>
        <w:tc>
          <w:tcPr>
            <w:tcW w:w="100" w:type="dxa"/>
            <w:vAlign w:val="bottom"/>
            <w:shd w:val="clear" w:color="auto" w:fill="D0EBF2"/>
          </w:tcPr>
          <w:p>
            <w:pPr>
              <w:spacing w:after="0"/>
              <w:rPr>
                <w:sz w:val="19"/>
                <w:szCs w:val="19"/>
                <w:color w:val="auto"/>
              </w:rPr>
            </w:pPr>
          </w:p>
        </w:tc>
        <w:tc>
          <w:tcPr>
            <w:tcW w:w="60" w:type="dxa"/>
            <w:vAlign w:val="bottom"/>
            <w:shd w:val="clear" w:color="auto" w:fill="D0EBF2"/>
          </w:tcPr>
          <w:p>
            <w:pPr>
              <w:spacing w:after="0"/>
              <w:rPr>
                <w:sz w:val="19"/>
                <w:szCs w:val="19"/>
                <w:color w:val="auto"/>
              </w:rPr>
            </w:pPr>
          </w:p>
        </w:tc>
        <w:tc>
          <w:tcPr>
            <w:tcW w:w="220" w:type="dxa"/>
            <w:vAlign w:val="bottom"/>
            <w:shd w:val="clear" w:color="auto" w:fill="D0EBF2"/>
          </w:tcPr>
          <w:p>
            <w:pPr>
              <w:jc w:val="right"/>
              <w:ind w:right="26"/>
              <w:spacing w:after="0"/>
              <w:rPr>
                <w:sz w:val="20"/>
                <w:szCs w:val="20"/>
                <w:color w:val="auto"/>
              </w:rPr>
            </w:pPr>
            <w:r>
              <w:rPr>
                <w:rFonts w:ascii="Times New Roman" w:cs="Times New Roman" w:eastAsia="Times New Roman" w:hAnsi="Times New Roman"/>
                <w:sz w:val="19"/>
                <w:szCs w:val="19"/>
                <w:color w:val="231F20"/>
                <w:w w:val="83"/>
              </w:rPr>
              <w:t>$</w:t>
            </w:r>
          </w:p>
        </w:tc>
        <w:tc>
          <w:tcPr>
            <w:tcW w:w="1220" w:type="dxa"/>
            <w:vAlign w:val="bottom"/>
            <w:shd w:val="clear" w:color="auto" w:fill="D0EBF2"/>
          </w:tcPr>
          <w:p>
            <w:pPr>
              <w:jc w:val="right"/>
              <w:spacing w:after="0"/>
              <w:rPr>
                <w:sz w:val="20"/>
                <w:szCs w:val="20"/>
                <w:color w:val="auto"/>
              </w:rPr>
            </w:pPr>
            <w:r>
              <w:rPr>
                <w:rFonts w:ascii="Times New Roman" w:cs="Times New Roman" w:eastAsia="Times New Roman" w:hAnsi="Times New Roman"/>
                <w:sz w:val="19"/>
                <w:szCs w:val="19"/>
                <w:color w:val="231F20"/>
              </w:rPr>
              <w:t>3,302,504</w:t>
            </w:r>
          </w:p>
        </w:tc>
        <w:tc>
          <w:tcPr>
            <w:tcW w:w="40" w:type="dxa"/>
            <w:vAlign w:val="bottom"/>
            <w:shd w:val="clear" w:color="auto" w:fill="D0EBF2"/>
          </w:tcPr>
          <w:p>
            <w:pPr>
              <w:spacing w:after="0"/>
              <w:rPr>
                <w:sz w:val="19"/>
                <w:szCs w:val="19"/>
                <w:color w:val="auto"/>
              </w:rPr>
            </w:pPr>
          </w:p>
        </w:tc>
        <w:tc>
          <w:tcPr>
            <w:tcW w:w="60" w:type="dxa"/>
            <w:vAlign w:val="bottom"/>
            <w:shd w:val="clear" w:color="auto" w:fill="D0EBF2"/>
          </w:tcPr>
          <w:p>
            <w:pPr>
              <w:spacing w:after="0"/>
              <w:rPr>
                <w:sz w:val="19"/>
                <w:szCs w:val="19"/>
                <w:color w:val="auto"/>
              </w:rPr>
            </w:pPr>
          </w:p>
        </w:tc>
        <w:tc>
          <w:tcPr>
            <w:tcW w:w="40" w:type="dxa"/>
            <w:vAlign w:val="bottom"/>
            <w:shd w:val="clear" w:color="auto" w:fill="D0EBF2"/>
          </w:tcPr>
          <w:p>
            <w:pPr>
              <w:spacing w:after="0"/>
              <w:rPr>
                <w:sz w:val="19"/>
                <w:szCs w:val="19"/>
                <w:color w:val="auto"/>
              </w:rPr>
            </w:pPr>
          </w:p>
        </w:tc>
        <w:tc>
          <w:tcPr>
            <w:tcW w:w="60" w:type="dxa"/>
            <w:vAlign w:val="bottom"/>
            <w:shd w:val="clear" w:color="auto" w:fill="D0EBF2"/>
          </w:tcPr>
          <w:p>
            <w:pPr>
              <w:spacing w:after="0"/>
              <w:rPr>
                <w:sz w:val="19"/>
                <w:szCs w:val="19"/>
                <w:color w:val="auto"/>
              </w:rPr>
            </w:pPr>
          </w:p>
        </w:tc>
        <w:tc>
          <w:tcPr>
            <w:tcW w:w="140" w:type="dxa"/>
            <w:vAlign w:val="bottom"/>
            <w:gridSpan w:val="2"/>
            <w:shd w:val="clear" w:color="auto" w:fill="D0EBF2"/>
          </w:tcPr>
          <w:p>
            <w:pPr>
              <w:spacing w:after="0"/>
              <w:rPr>
                <w:sz w:val="20"/>
                <w:szCs w:val="20"/>
                <w:color w:val="auto"/>
              </w:rPr>
            </w:pPr>
            <w:r>
              <w:rPr>
                <w:rFonts w:ascii="Times New Roman" w:cs="Times New Roman" w:eastAsia="Times New Roman" w:hAnsi="Times New Roman"/>
                <w:sz w:val="19"/>
                <w:szCs w:val="19"/>
                <w:color w:val="231F20"/>
              </w:rPr>
              <w:t>$</w:t>
            </w:r>
          </w:p>
        </w:tc>
        <w:tc>
          <w:tcPr>
            <w:tcW w:w="880" w:type="dxa"/>
            <w:vAlign w:val="bottom"/>
            <w:shd w:val="clear" w:color="auto" w:fill="D0EBF2"/>
          </w:tcPr>
          <w:p>
            <w:pPr>
              <w:jc w:val="right"/>
              <w:spacing w:after="0"/>
              <w:rPr>
                <w:sz w:val="20"/>
                <w:szCs w:val="20"/>
                <w:color w:val="auto"/>
              </w:rPr>
            </w:pPr>
            <w:r>
              <w:rPr>
                <w:rFonts w:ascii="Times New Roman" w:cs="Times New Roman" w:eastAsia="Times New Roman" w:hAnsi="Times New Roman"/>
                <w:sz w:val="19"/>
                <w:szCs w:val="19"/>
                <w:color w:val="231F20"/>
              </w:rPr>
              <w:t>4,498</w:t>
            </w:r>
          </w:p>
        </w:tc>
        <w:tc>
          <w:tcPr>
            <w:tcW w:w="100" w:type="dxa"/>
            <w:vAlign w:val="bottom"/>
            <w:shd w:val="clear" w:color="auto" w:fill="D0EBF2"/>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60" w:type="dxa"/>
            <w:vAlign w:val="bottom"/>
            <w:shd w:val="clear" w:color="auto" w:fill="FDFDFC"/>
          </w:tcPr>
          <w:p>
            <w:pPr>
              <w:spacing w:after="0"/>
              <w:rPr>
                <w:sz w:val="20"/>
                <w:szCs w:val="20"/>
                <w:color w:val="auto"/>
              </w:rPr>
            </w:pPr>
            <w:r>
              <w:rPr>
                <w:rFonts w:ascii="Times New Roman" w:cs="Times New Roman" w:eastAsia="Times New Roman" w:hAnsi="Times New Roman"/>
                <w:sz w:val="19"/>
                <w:szCs w:val="19"/>
                <w:color w:val="231F20"/>
              </w:rPr>
              <w:t>Second-lien debt investments</w:t>
            </w:r>
          </w:p>
        </w:tc>
        <w:tc>
          <w:tcPr>
            <w:tcW w:w="100" w:type="dxa"/>
            <w:vAlign w:val="bottom"/>
            <w:shd w:val="clear" w:color="auto" w:fill="FDFDFC"/>
          </w:tcPr>
          <w:p>
            <w:pPr>
              <w:spacing w:after="0"/>
              <w:rPr>
                <w:sz w:val="20"/>
                <w:szCs w:val="20"/>
                <w:color w:val="auto"/>
              </w:rPr>
            </w:pPr>
          </w:p>
        </w:tc>
        <w:tc>
          <w:tcPr>
            <w:tcW w:w="60" w:type="dxa"/>
            <w:vAlign w:val="bottom"/>
            <w:shd w:val="clear" w:color="auto" w:fill="FDFDFC"/>
          </w:tcPr>
          <w:p>
            <w:pPr>
              <w:spacing w:after="0"/>
              <w:rPr>
                <w:sz w:val="20"/>
                <w:szCs w:val="20"/>
                <w:color w:val="auto"/>
              </w:rPr>
            </w:pPr>
          </w:p>
        </w:tc>
        <w:tc>
          <w:tcPr>
            <w:tcW w:w="100" w:type="dxa"/>
            <w:vAlign w:val="bottom"/>
            <w:shd w:val="clear" w:color="auto" w:fill="FDFDFC"/>
          </w:tcPr>
          <w:p>
            <w:pPr>
              <w:spacing w:after="0"/>
              <w:rPr>
                <w:sz w:val="20"/>
                <w:szCs w:val="20"/>
                <w:color w:val="auto"/>
              </w:rPr>
            </w:pPr>
          </w:p>
        </w:tc>
        <w:tc>
          <w:tcPr>
            <w:tcW w:w="280" w:type="dxa"/>
            <w:vAlign w:val="bottom"/>
            <w:shd w:val="clear" w:color="auto" w:fill="FDFDFC"/>
          </w:tcPr>
          <w:p>
            <w:pPr>
              <w:spacing w:after="0"/>
              <w:rPr>
                <w:sz w:val="20"/>
                <w:szCs w:val="20"/>
                <w:color w:val="auto"/>
              </w:rPr>
            </w:pPr>
          </w:p>
        </w:tc>
        <w:tc>
          <w:tcPr>
            <w:tcW w:w="1000" w:type="dxa"/>
            <w:vAlign w:val="bottom"/>
            <w:gridSpan w:val="2"/>
            <w:shd w:val="clear" w:color="auto" w:fill="FDFDFC"/>
          </w:tcPr>
          <w:p>
            <w:pPr>
              <w:jc w:val="right"/>
              <w:ind w:right="20"/>
              <w:spacing w:after="0"/>
              <w:rPr>
                <w:sz w:val="20"/>
                <w:szCs w:val="20"/>
                <w:color w:val="auto"/>
              </w:rPr>
            </w:pPr>
            <w:r>
              <w:rPr>
                <w:rFonts w:ascii="Times New Roman" w:cs="Times New Roman" w:eastAsia="Times New Roman" w:hAnsi="Times New Roman"/>
                <w:sz w:val="19"/>
                <w:szCs w:val="19"/>
                <w:color w:val="231F20"/>
              </w:rPr>
              <w:t>53,151</w:t>
            </w:r>
          </w:p>
        </w:tc>
        <w:tc>
          <w:tcPr>
            <w:tcW w:w="40" w:type="dxa"/>
            <w:vAlign w:val="bottom"/>
            <w:shd w:val="clear" w:color="auto" w:fill="FDFDFC"/>
          </w:tcPr>
          <w:p>
            <w:pPr>
              <w:spacing w:after="0"/>
              <w:rPr>
                <w:sz w:val="20"/>
                <w:szCs w:val="20"/>
                <w:color w:val="auto"/>
              </w:rPr>
            </w:pPr>
          </w:p>
        </w:tc>
        <w:tc>
          <w:tcPr>
            <w:tcW w:w="100" w:type="dxa"/>
            <w:vAlign w:val="bottom"/>
            <w:shd w:val="clear" w:color="auto" w:fill="FDFDFC"/>
          </w:tcPr>
          <w:p>
            <w:pPr>
              <w:spacing w:after="0"/>
              <w:rPr>
                <w:sz w:val="20"/>
                <w:szCs w:val="20"/>
                <w:color w:val="auto"/>
              </w:rPr>
            </w:pPr>
          </w:p>
        </w:tc>
        <w:tc>
          <w:tcPr>
            <w:tcW w:w="60" w:type="dxa"/>
            <w:vAlign w:val="bottom"/>
            <w:shd w:val="clear" w:color="auto" w:fill="FDFDFC"/>
          </w:tcPr>
          <w:p>
            <w:pPr>
              <w:spacing w:after="0"/>
              <w:rPr>
                <w:sz w:val="20"/>
                <w:szCs w:val="20"/>
                <w:color w:val="auto"/>
              </w:rPr>
            </w:pPr>
          </w:p>
        </w:tc>
        <w:tc>
          <w:tcPr>
            <w:tcW w:w="220" w:type="dxa"/>
            <w:vAlign w:val="bottom"/>
            <w:shd w:val="clear" w:color="auto" w:fill="FDFDFC"/>
          </w:tcPr>
          <w:p>
            <w:pPr>
              <w:spacing w:after="0"/>
              <w:rPr>
                <w:sz w:val="20"/>
                <w:szCs w:val="20"/>
                <w:color w:val="auto"/>
              </w:rPr>
            </w:pPr>
          </w:p>
        </w:tc>
        <w:tc>
          <w:tcPr>
            <w:tcW w:w="1220" w:type="dxa"/>
            <w:vAlign w:val="bottom"/>
            <w:shd w:val="clear" w:color="auto" w:fill="FDFDFC"/>
          </w:tcPr>
          <w:p>
            <w:pPr>
              <w:jc w:val="right"/>
              <w:spacing w:after="0"/>
              <w:rPr>
                <w:sz w:val="20"/>
                <w:szCs w:val="20"/>
                <w:color w:val="auto"/>
              </w:rPr>
            </w:pPr>
            <w:r>
              <w:rPr>
                <w:rFonts w:ascii="Times New Roman" w:cs="Times New Roman" w:eastAsia="Times New Roman" w:hAnsi="Times New Roman"/>
                <w:sz w:val="19"/>
                <w:szCs w:val="19"/>
                <w:color w:val="231F20"/>
              </w:rPr>
              <w:t>19,844</w:t>
            </w:r>
          </w:p>
        </w:tc>
        <w:tc>
          <w:tcPr>
            <w:tcW w:w="40" w:type="dxa"/>
            <w:vAlign w:val="bottom"/>
            <w:shd w:val="clear" w:color="auto" w:fill="FDFDFC"/>
          </w:tcPr>
          <w:p>
            <w:pPr>
              <w:spacing w:after="0"/>
              <w:rPr>
                <w:sz w:val="20"/>
                <w:szCs w:val="20"/>
                <w:color w:val="auto"/>
              </w:rPr>
            </w:pPr>
          </w:p>
        </w:tc>
        <w:tc>
          <w:tcPr>
            <w:tcW w:w="60" w:type="dxa"/>
            <w:vAlign w:val="bottom"/>
            <w:shd w:val="clear" w:color="auto" w:fill="FDFDFC"/>
          </w:tcPr>
          <w:p>
            <w:pPr>
              <w:spacing w:after="0"/>
              <w:rPr>
                <w:sz w:val="20"/>
                <w:szCs w:val="20"/>
                <w:color w:val="auto"/>
              </w:rPr>
            </w:pPr>
          </w:p>
        </w:tc>
        <w:tc>
          <w:tcPr>
            <w:tcW w:w="40" w:type="dxa"/>
            <w:vAlign w:val="bottom"/>
            <w:shd w:val="clear" w:color="auto" w:fill="FDFDFC"/>
          </w:tcPr>
          <w:p>
            <w:pPr>
              <w:spacing w:after="0"/>
              <w:rPr>
                <w:sz w:val="20"/>
                <w:szCs w:val="20"/>
                <w:color w:val="auto"/>
              </w:rPr>
            </w:pPr>
          </w:p>
        </w:tc>
        <w:tc>
          <w:tcPr>
            <w:tcW w:w="60" w:type="dxa"/>
            <w:vAlign w:val="bottom"/>
            <w:shd w:val="clear" w:color="auto" w:fill="FDFDFC"/>
          </w:tcPr>
          <w:p>
            <w:pPr>
              <w:spacing w:after="0"/>
              <w:rPr>
                <w:sz w:val="20"/>
                <w:szCs w:val="20"/>
                <w:color w:val="auto"/>
              </w:rPr>
            </w:pPr>
          </w:p>
        </w:tc>
        <w:tc>
          <w:tcPr>
            <w:tcW w:w="40" w:type="dxa"/>
            <w:vAlign w:val="bottom"/>
            <w:shd w:val="clear" w:color="auto" w:fill="FDFDFC"/>
          </w:tcPr>
          <w:p>
            <w:pPr>
              <w:spacing w:after="0"/>
              <w:rPr>
                <w:sz w:val="20"/>
                <w:szCs w:val="20"/>
                <w:color w:val="auto"/>
              </w:rPr>
            </w:pPr>
          </w:p>
        </w:tc>
        <w:tc>
          <w:tcPr>
            <w:tcW w:w="100" w:type="dxa"/>
            <w:vAlign w:val="bottom"/>
            <w:shd w:val="clear" w:color="auto" w:fill="FDFDFC"/>
          </w:tcPr>
          <w:p>
            <w:pPr>
              <w:spacing w:after="0"/>
              <w:rPr>
                <w:sz w:val="20"/>
                <w:szCs w:val="20"/>
                <w:color w:val="auto"/>
              </w:rPr>
            </w:pPr>
          </w:p>
        </w:tc>
        <w:tc>
          <w:tcPr>
            <w:tcW w:w="880" w:type="dxa"/>
            <w:vAlign w:val="bottom"/>
            <w:shd w:val="clear" w:color="auto" w:fill="FDFDFC"/>
          </w:tcPr>
          <w:p>
            <w:pPr>
              <w:jc w:val="right"/>
              <w:spacing w:after="0"/>
              <w:rPr>
                <w:sz w:val="20"/>
                <w:szCs w:val="20"/>
                <w:color w:val="auto"/>
              </w:rPr>
            </w:pPr>
            <w:r>
              <w:rPr>
                <w:rFonts w:ascii="Times New Roman" w:cs="Times New Roman" w:eastAsia="Times New Roman" w:hAnsi="Times New Roman"/>
                <w:sz w:val="19"/>
                <w:szCs w:val="19"/>
                <w:color w:val="231F20"/>
              </w:rPr>
              <w:t>(33,307</w:t>
            </w:r>
          </w:p>
        </w:tc>
        <w:tc>
          <w:tcPr>
            <w:tcW w:w="100" w:type="dxa"/>
            <w:vAlign w:val="bottom"/>
            <w:shd w:val="clear" w:color="auto" w:fill="FDFDFC"/>
          </w:tcPr>
          <w:p>
            <w:pPr>
              <w:jc w:val="right"/>
              <w:spacing w:after="0"/>
              <w:rPr>
                <w:sz w:val="20"/>
                <w:szCs w:val="20"/>
                <w:color w:val="auto"/>
              </w:rPr>
            </w:pPr>
            <w:r>
              <w:rPr>
                <w:rFonts w:ascii="Times New Roman" w:cs="Times New Roman" w:eastAsia="Times New Roman" w:hAnsi="Times New Roman"/>
                <w:sz w:val="16"/>
                <w:szCs w:val="16"/>
                <w:color w:val="231F20"/>
                <w:w w:val="74"/>
              </w:rPr>
              <w:t>)</w:t>
            </w:r>
          </w:p>
        </w:tc>
        <w:tc>
          <w:tcPr>
            <w:tcW w:w="0" w:type="dxa"/>
            <w:vAlign w:val="bottom"/>
          </w:tcPr>
          <w:p>
            <w:pPr>
              <w:spacing w:after="0"/>
              <w:rPr>
                <w:sz w:val="1"/>
                <w:szCs w:val="1"/>
                <w:color w:val="auto"/>
              </w:rPr>
            </w:pPr>
          </w:p>
        </w:tc>
      </w:tr>
      <w:tr>
        <w:trPr>
          <w:trHeight w:val="230"/>
        </w:trPr>
        <w:tc>
          <w:tcPr>
            <w:tcW w:w="3660" w:type="dxa"/>
            <w:vAlign w:val="bottom"/>
            <w:shd w:val="clear" w:color="auto" w:fill="D0EBF2"/>
          </w:tcPr>
          <w:p>
            <w:pPr>
              <w:spacing w:after="0"/>
              <w:rPr>
                <w:sz w:val="20"/>
                <w:szCs w:val="20"/>
                <w:color w:val="auto"/>
              </w:rPr>
            </w:pPr>
            <w:r>
              <w:rPr>
                <w:rFonts w:ascii="Times New Roman" w:cs="Times New Roman" w:eastAsia="Times New Roman" w:hAnsi="Times New Roman"/>
                <w:sz w:val="19"/>
                <w:szCs w:val="19"/>
                <w:color w:val="231F20"/>
              </w:rPr>
              <w:t>Mezzanine debt investments</w:t>
            </w:r>
          </w:p>
        </w:tc>
        <w:tc>
          <w:tcPr>
            <w:tcW w:w="100" w:type="dxa"/>
            <w:vAlign w:val="bottom"/>
            <w:shd w:val="clear" w:color="auto" w:fill="D0EBF2"/>
          </w:tcPr>
          <w:p>
            <w:pPr>
              <w:spacing w:after="0"/>
              <w:rPr>
                <w:sz w:val="20"/>
                <w:szCs w:val="20"/>
                <w:color w:val="auto"/>
              </w:rPr>
            </w:pPr>
          </w:p>
        </w:tc>
        <w:tc>
          <w:tcPr>
            <w:tcW w:w="60" w:type="dxa"/>
            <w:vAlign w:val="bottom"/>
            <w:shd w:val="clear" w:color="auto" w:fill="D0EBF2"/>
          </w:tcPr>
          <w:p>
            <w:pPr>
              <w:spacing w:after="0"/>
              <w:rPr>
                <w:sz w:val="20"/>
                <w:szCs w:val="20"/>
                <w:color w:val="auto"/>
              </w:rPr>
            </w:pPr>
          </w:p>
        </w:tc>
        <w:tc>
          <w:tcPr>
            <w:tcW w:w="100" w:type="dxa"/>
            <w:vAlign w:val="bottom"/>
            <w:shd w:val="clear" w:color="auto" w:fill="D0EBF2"/>
          </w:tcPr>
          <w:p>
            <w:pPr>
              <w:spacing w:after="0"/>
              <w:rPr>
                <w:sz w:val="20"/>
                <w:szCs w:val="20"/>
                <w:color w:val="auto"/>
              </w:rPr>
            </w:pPr>
          </w:p>
        </w:tc>
        <w:tc>
          <w:tcPr>
            <w:tcW w:w="280" w:type="dxa"/>
            <w:vAlign w:val="bottom"/>
            <w:shd w:val="clear" w:color="auto" w:fill="D0EBF2"/>
          </w:tcPr>
          <w:p>
            <w:pPr>
              <w:spacing w:after="0"/>
              <w:rPr>
                <w:sz w:val="20"/>
                <w:szCs w:val="20"/>
                <w:color w:val="auto"/>
              </w:rPr>
            </w:pPr>
          </w:p>
        </w:tc>
        <w:tc>
          <w:tcPr>
            <w:tcW w:w="1000" w:type="dxa"/>
            <w:vAlign w:val="bottom"/>
            <w:gridSpan w:val="2"/>
            <w:shd w:val="clear" w:color="auto" w:fill="D0EBF2"/>
          </w:tcPr>
          <w:p>
            <w:pPr>
              <w:jc w:val="right"/>
              <w:ind w:right="20"/>
              <w:spacing w:after="0"/>
              <w:rPr>
                <w:sz w:val="20"/>
                <w:szCs w:val="20"/>
                <w:color w:val="auto"/>
              </w:rPr>
            </w:pPr>
            <w:r>
              <w:rPr>
                <w:rFonts w:ascii="Times New Roman" w:cs="Times New Roman" w:eastAsia="Times New Roman" w:hAnsi="Times New Roman"/>
                <w:sz w:val="19"/>
                <w:szCs w:val="19"/>
                <w:color w:val="231F20"/>
              </w:rPr>
              <w:t>37,087</w:t>
            </w:r>
          </w:p>
        </w:tc>
        <w:tc>
          <w:tcPr>
            <w:tcW w:w="40" w:type="dxa"/>
            <w:vAlign w:val="bottom"/>
            <w:shd w:val="clear" w:color="auto" w:fill="D0EBF2"/>
          </w:tcPr>
          <w:p>
            <w:pPr>
              <w:spacing w:after="0"/>
              <w:rPr>
                <w:sz w:val="20"/>
                <w:szCs w:val="20"/>
                <w:color w:val="auto"/>
              </w:rPr>
            </w:pPr>
          </w:p>
        </w:tc>
        <w:tc>
          <w:tcPr>
            <w:tcW w:w="100" w:type="dxa"/>
            <w:vAlign w:val="bottom"/>
            <w:shd w:val="clear" w:color="auto" w:fill="D0EBF2"/>
          </w:tcPr>
          <w:p>
            <w:pPr>
              <w:spacing w:after="0"/>
              <w:rPr>
                <w:sz w:val="20"/>
                <w:szCs w:val="20"/>
                <w:color w:val="auto"/>
              </w:rPr>
            </w:pPr>
          </w:p>
        </w:tc>
        <w:tc>
          <w:tcPr>
            <w:tcW w:w="60" w:type="dxa"/>
            <w:vAlign w:val="bottom"/>
            <w:shd w:val="clear" w:color="auto" w:fill="D0EBF2"/>
          </w:tcPr>
          <w:p>
            <w:pPr>
              <w:spacing w:after="0"/>
              <w:rPr>
                <w:sz w:val="20"/>
                <w:szCs w:val="20"/>
                <w:color w:val="auto"/>
              </w:rPr>
            </w:pPr>
          </w:p>
        </w:tc>
        <w:tc>
          <w:tcPr>
            <w:tcW w:w="220" w:type="dxa"/>
            <w:vAlign w:val="bottom"/>
            <w:shd w:val="clear" w:color="auto" w:fill="D0EBF2"/>
          </w:tcPr>
          <w:p>
            <w:pPr>
              <w:spacing w:after="0"/>
              <w:rPr>
                <w:sz w:val="20"/>
                <w:szCs w:val="20"/>
                <w:color w:val="auto"/>
              </w:rPr>
            </w:pPr>
          </w:p>
        </w:tc>
        <w:tc>
          <w:tcPr>
            <w:tcW w:w="1220" w:type="dxa"/>
            <w:vAlign w:val="bottom"/>
            <w:shd w:val="clear" w:color="auto" w:fill="D0EBF2"/>
          </w:tcPr>
          <w:p>
            <w:pPr>
              <w:jc w:val="right"/>
              <w:spacing w:after="0"/>
              <w:rPr>
                <w:sz w:val="20"/>
                <w:szCs w:val="20"/>
                <w:color w:val="auto"/>
              </w:rPr>
            </w:pPr>
            <w:r>
              <w:rPr>
                <w:rFonts w:ascii="Times New Roman" w:cs="Times New Roman" w:eastAsia="Times New Roman" w:hAnsi="Times New Roman"/>
                <w:sz w:val="19"/>
                <w:szCs w:val="19"/>
                <w:color w:val="231F20"/>
              </w:rPr>
              <w:t>39,091</w:t>
            </w:r>
          </w:p>
        </w:tc>
        <w:tc>
          <w:tcPr>
            <w:tcW w:w="40" w:type="dxa"/>
            <w:vAlign w:val="bottom"/>
            <w:shd w:val="clear" w:color="auto" w:fill="D0EBF2"/>
          </w:tcPr>
          <w:p>
            <w:pPr>
              <w:spacing w:after="0"/>
              <w:rPr>
                <w:sz w:val="20"/>
                <w:szCs w:val="20"/>
                <w:color w:val="auto"/>
              </w:rPr>
            </w:pPr>
          </w:p>
        </w:tc>
        <w:tc>
          <w:tcPr>
            <w:tcW w:w="60" w:type="dxa"/>
            <w:vAlign w:val="bottom"/>
            <w:shd w:val="clear" w:color="auto" w:fill="D0EBF2"/>
          </w:tcPr>
          <w:p>
            <w:pPr>
              <w:spacing w:after="0"/>
              <w:rPr>
                <w:sz w:val="20"/>
                <w:szCs w:val="20"/>
                <w:color w:val="auto"/>
              </w:rPr>
            </w:pPr>
          </w:p>
        </w:tc>
        <w:tc>
          <w:tcPr>
            <w:tcW w:w="40" w:type="dxa"/>
            <w:vAlign w:val="bottom"/>
            <w:shd w:val="clear" w:color="auto" w:fill="D0EBF2"/>
          </w:tcPr>
          <w:p>
            <w:pPr>
              <w:spacing w:after="0"/>
              <w:rPr>
                <w:sz w:val="20"/>
                <w:szCs w:val="20"/>
                <w:color w:val="auto"/>
              </w:rPr>
            </w:pPr>
          </w:p>
        </w:tc>
        <w:tc>
          <w:tcPr>
            <w:tcW w:w="60" w:type="dxa"/>
            <w:vAlign w:val="bottom"/>
            <w:shd w:val="clear" w:color="auto" w:fill="D0EBF2"/>
          </w:tcPr>
          <w:p>
            <w:pPr>
              <w:spacing w:after="0"/>
              <w:rPr>
                <w:sz w:val="20"/>
                <w:szCs w:val="20"/>
                <w:color w:val="auto"/>
              </w:rPr>
            </w:pPr>
          </w:p>
        </w:tc>
        <w:tc>
          <w:tcPr>
            <w:tcW w:w="40" w:type="dxa"/>
            <w:vAlign w:val="bottom"/>
            <w:shd w:val="clear" w:color="auto" w:fill="D0EBF2"/>
          </w:tcPr>
          <w:p>
            <w:pPr>
              <w:spacing w:after="0"/>
              <w:rPr>
                <w:sz w:val="20"/>
                <w:szCs w:val="20"/>
                <w:color w:val="auto"/>
              </w:rPr>
            </w:pPr>
          </w:p>
        </w:tc>
        <w:tc>
          <w:tcPr>
            <w:tcW w:w="100" w:type="dxa"/>
            <w:vAlign w:val="bottom"/>
            <w:shd w:val="clear" w:color="auto" w:fill="D0EBF2"/>
          </w:tcPr>
          <w:p>
            <w:pPr>
              <w:spacing w:after="0"/>
              <w:rPr>
                <w:sz w:val="20"/>
                <w:szCs w:val="20"/>
                <w:color w:val="auto"/>
              </w:rPr>
            </w:pPr>
          </w:p>
        </w:tc>
        <w:tc>
          <w:tcPr>
            <w:tcW w:w="880" w:type="dxa"/>
            <w:vAlign w:val="bottom"/>
            <w:shd w:val="clear" w:color="auto" w:fill="D0EBF2"/>
          </w:tcPr>
          <w:p>
            <w:pPr>
              <w:jc w:val="right"/>
              <w:spacing w:after="0"/>
              <w:rPr>
                <w:sz w:val="20"/>
                <w:szCs w:val="20"/>
                <w:color w:val="auto"/>
              </w:rPr>
            </w:pPr>
            <w:r>
              <w:rPr>
                <w:rFonts w:ascii="Times New Roman" w:cs="Times New Roman" w:eastAsia="Times New Roman" w:hAnsi="Times New Roman"/>
                <w:sz w:val="19"/>
                <w:szCs w:val="19"/>
                <w:color w:val="231F20"/>
              </w:rPr>
              <w:t>2,004</w:t>
            </w:r>
          </w:p>
        </w:tc>
        <w:tc>
          <w:tcPr>
            <w:tcW w:w="100" w:type="dxa"/>
            <w:vAlign w:val="bottom"/>
            <w:shd w:val="clear" w:color="auto" w:fill="D0EBF2"/>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3660" w:type="dxa"/>
            <w:vAlign w:val="bottom"/>
            <w:shd w:val="clear" w:color="auto" w:fill="FDFDFC"/>
          </w:tcPr>
          <w:p>
            <w:pPr>
              <w:spacing w:after="0"/>
              <w:rPr>
                <w:sz w:val="20"/>
                <w:szCs w:val="20"/>
                <w:color w:val="auto"/>
              </w:rPr>
            </w:pPr>
            <w:r>
              <w:rPr>
                <w:rFonts w:ascii="Times New Roman" w:cs="Times New Roman" w:eastAsia="Times New Roman" w:hAnsi="Times New Roman"/>
                <w:sz w:val="19"/>
                <w:szCs w:val="19"/>
                <w:color w:val="231F20"/>
              </w:rPr>
              <w:t>Equity and other investments</w:t>
            </w:r>
          </w:p>
        </w:tc>
        <w:tc>
          <w:tcPr>
            <w:tcW w:w="100" w:type="dxa"/>
            <w:vAlign w:val="bottom"/>
            <w:shd w:val="clear" w:color="auto" w:fill="FDFDFC"/>
          </w:tcPr>
          <w:p>
            <w:pPr>
              <w:spacing w:after="0"/>
              <w:rPr>
                <w:sz w:val="20"/>
                <w:szCs w:val="20"/>
                <w:color w:val="auto"/>
              </w:rPr>
            </w:pPr>
          </w:p>
        </w:tc>
        <w:tc>
          <w:tcPr>
            <w:tcW w:w="60" w:type="dxa"/>
            <w:vAlign w:val="bottom"/>
            <w:shd w:val="clear" w:color="auto" w:fill="FDFDFC"/>
          </w:tcPr>
          <w:p>
            <w:pPr>
              <w:spacing w:after="0"/>
              <w:rPr>
                <w:sz w:val="20"/>
                <w:szCs w:val="20"/>
                <w:color w:val="auto"/>
              </w:rPr>
            </w:pPr>
          </w:p>
        </w:tc>
        <w:tc>
          <w:tcPr>
            <w:tcW w:w="100" w:type="dxa"/>
            <w:vAlign w:val="bottom"/>
            <w:shd w:val="clear" w:color="auto" w:fill="FDFDFC"/>
          </w:tcPr>
          <w:p>
            <w:pPr>
              <w:spacing w:after="0"/>
              <w:rPr>
                <w:sz w:val="20"/>
                <w:szCs w:val="20"/>
                <w:color w:val="auto"/>
              </w:rPr>
            </w:pPr>
          </w:p>
        </w:tc>
        <w:tc>
          <w:tcPr>
            <w:tcW w:w="280" w:type="dxa"/>
            <w:vAlign w:val="bottom"/>
            <w:shd w:val="clear" w:color="auto" w:fill="FDFDFC"/>
          </w:tcPr>
          <w:p>
            <w:pPr>
              <w:spacing w:after="0"/>
              <w:rPr>
                <w:sz w:val="20"/>
                <w:szCs w:val="20"/>
                <w:color w:val="auto"/>
              </w:rPr>
            </w:pPr>
          </w:p>
        </w:tc>
        <w:tc>
          <w:tcPr>
            <w:tcW w:w="1000" w:type="dxa"/>
            <w:vAlign w:val="bottom"/>
            <w:gridSpan w:val="2"/>
            <w:shd w:val="clear" w:color="auto" w:fill="FDFDFC"/>
          </w:tcPr>
          <w:p>
            <w:pPr>
              <w:jc w:val="right"/>
              <w:ind w:right="20"/>
              <w:spacing w:after="0"/>
              <w:rPr>
                <w:sz w:val="20"/>
                <w:szCs w:val="20"/>
                <w:color w:val="auto"/>
              </w:rPr>
            </w:pPr>
            <w:r>
              <w:rPr>
                <w:rFonts w:ascii="Times New Roman" w:cs="Times New Roman" w:eastAsia="Times New Roman" w:hAnsi="Times New Roman"/>
                <w:sz w:val="19"/>
                <w:szCs w:val="19"/>
                <w:color w:val="231F20"/>
              </w:rPr>
              <w:t>149,409</w:t>
            </w:r>
          </w:p>
        </w:tc>
        <w:tc>
          <w:tcPr>
            <w:tcW w:w="40" w:type="dxa"/>
            <w:vAlign w:val="bottom"/>
            <w:shd w:val="clear" w:color="auto" w:fill="FDFDFC"/>
          </w:tcPr>
          <w:p>
            <w:pPr>
              <w:spacing w:after="0"/>
              <w:rPr>
                <w:sz w:val="20"/>
                <w:szCs w:val="20"/>
                <w:color w:val="auto"/>
              </w:rPr>
            </w:pPr>
          </w:p>
        </w:tc>
        <w:tc>
          <w:tcPr>
            <w:tcW w:w="100" w:type="dxa"/>
            <w:vAlign w:val="bottom"/>
            <w:shd w:val="clear" w:color="auto" w:fill="FDFDFC"/>
          </w:tcPr>
          <w:p>
            <w:pPr>
              <w:spacing w:after="0"/>
              <w:rPr>
                <w:sz w:val="20"/>
                <w:szCs w:val="20"/>
                <w:color w:val="auto"/>
              </w:rPr>
            </w:pPr>
          </w:p>
        </w:tc>
        <w:tc>
          <w:tcPr>
            <w:tcW w:w="60" w:type="dxa"/>
            <w:vAlign w:val="bottom"/>
            <w:shd w:val="clear" w:color="auto" w:fill="FDFDFC"/>
          </w:tcPr>
          <w:p>
            <w:pPr>
              <w:spacing w:after="0"/>
              <w:rPr>
                <w:sz w:val="20"/>
                <w:szCs w:val="20"/>
                <w:color w:val="auto"/>
              </w:rPr>
            </w:pPr>
          </w:p>
        </w:tc>
        <w:tc>
          <w:tcPr>
            <w:tcW w:w="220" w:type="dxa"/>
            <w:vAlign w:val="bottom"/>
            <w:shd w:val="clear" w:color="auto" w:fill="FDFDFC"/>
          </w:tcPr>
          <w:p>
            <w:pPr>
              <w:spacing w:after="0"/>
              <w:rPr>
                <w:sz w:val="20"/>
                <w:szCs w:val="20"/>
                <w:color w:val="auto"/>
              </w:rPr>
            </w:pPr>
          </w:p>
        </w:tc>
        <w:tc>
          <w:tcPr>
            <w:tcW w:w="1220" w:type="dxa"/>
            <w:vAlign w:val="bottom"/>
            <w:shd w:val="clear" w:color="auto" w:fill="FDFDFC"/>
          </w:tcPr>
          <w:p>
            <w:pPr>
              <w:jc w:val="right"/>
              <w:spacing w:after="0"/>
              <w:rPr>
                <w:sz w:val="20"/>
                <w:szCs w:val="20"/>
                <w:color w:val="auto"/>
              </w:rPr>
            </w:pPr>
            <w:r>
              <w:rPr>
                <w:rFonts w:ascii="Times New Roman" w:cs="Times New Roman" w:eastAsia="Times New Roman" w:hAnsi="Times New Roman"/>
                <w:sz w:val="19"/>
                <w:szCs w:val="19"/>
                <w:color w:val="231F20"/>
              </w:rPr>
              <w:t>155,501</w:t>
            </w:r>
          </w:p>
        </w:tc>
        <w:tc>
          <w:tcPr>
            <w:tcW w:w="40" w:type="dxa"/>
            <w:vAlign w:val="bottom"/>
            <w:shd w:val="clear" w:color="auto" w:fill="FDFDFC"/>
          </w:tcPr>
          <w:p>
            <w:pPr>
              <w:spacing w:after="0"/>
              <w:rPr>
                <w:sz w:val="20"/>
                <w:szCs w:val="20"/>
                <w:color w:val="auto"/>
              </w:rPr>
            </w:pPr>
          </w:p>
        </w:tc>
        <w:tc>
          <w:tcPr>
            <w:tcW w:w="60" w:type="dxa"/>
            <w:vAlign w:val="bottom"/>
            <w:shd w:val="clear" w:color="auto" w:fill="FDFDFC"/>
          </w:tcPr>
          <w:p>
            <w:pPr>
              <w:spacing w:after="0"/>
              <w:rPr>
                <w:sz w:val="20"/>
                <w:szCs w:val="20"/>
                <w:color w:val="auto"/>
              </w:rPr>
            </w:pPr>
          </w:p>
        </w:tc>
        <w:tc>
          <w:tcPr>
            <w:tcW w:w="40" w:type="dxa"/>
            <w:vAlign w:val="bottom"/>
            <w:shd w:val="clear" w:color="auto" w:fill="FDFDFC"/>
          </w:tcPr>
          <w:p>
            <w:pPr>
              <w:spacing w:after="0"/>
              <w:rPr>
                <w:sz w:val="20"/>
                <w:szCs w:val="20"/>
                <w:color w:val="auto"/>
              </w:rPr>
            </w:pPr>
          </w:p>
        </w:tc>
        <w:tc>
          <w:tcPr>
            <w:tcW w:w="60" w:type="dxa"/>
            <w:vAlign w:val="bottom"/>
            <w:shd w:val="clear" w:color="auto" w:fill="FDFDFC"/>
          </w:tcPr>
          <w:p>
            <w:pPr>
              <w:spacing w:after="0"/>
              <w:rPr>
                <w:sz w:val="20"/>
                <w:szCs w:val="20"/>
                <w:color w:val="auto"/>
              </w:rPr>
            </w:pPr>
          </w:p>
        </w:tc>
        <w:tc>
          <w:tcPr>
            <w:tcW w:w="40" w:type="dxa"/>
            <w:vAlign w:val="bottom"/>
            <w:shd w:val="clear" w:color="auto" w:fill="FDFDFC"/>
          </w:tcPr>
          <w:p>
            <w:pPr>
              <w:spacing w:after="0"/>
              <w:rPr>
                <w:sz w:val="20"/>
                <w:szCs w:val="20"/>
                <w:color w:val="auto"/>
              </w:rPr>
            </w:pPr>
          </w:p>
        </w:tc>
        <w:tc>
          <w:tcPr>
            <w:tcW w:w="100" w:type="dxa"/>
            <w:vAlign w:val="bottom"/>
            <w:shd w:val="clear" w:color="auto" w:fill="FDFDFC"/>
          </w:tcPr>
          <w:p>
            <w:pPr>
              <w:spacing w:after="0"/>
              <w:rPr>
                <w:sz w:val="20"/>
                <w:szCs w:val="20"/>
                <w:color w:val="auto"/>
              </w:rPr>
            </w:pPr>
          </w:p>
        </w:tc>
        <w:tc>
          <w:tcPr>
            <w:tcW w:w="880" w:type="dxa"/>
            <w:vAlign w:val="bottom"/>
            <w:shd w:val="clear" w:color="auto" w:fill="FDFDFC"/>
          </w:tcPr>
          <w:p>
            <w:pPr>
              <w:jc w:val="right"/>
              <w:spacing w:after="0"/>
              <w:rPr>
                <w:sz w:val="20"/>
                <w:szCs w:val="20"/>
                <w:color w:val="auto"/>
              </w:rPr>
            </w:pPr>
            <w:r>
              <w:rPr>
                <w:rFonts w:ascii="Times New Roman" w:cs="Times New Roman" w:eastAsia="Times New Roman" w:hAnsi="Times New Roman"/>
                <w:sz w:val="19"/>
                <w:szCs w:val="19"/>
                <w:color w:val="231F20"/>
              </w:rPr>
              <w:t>6,092</w:t>
            </w:r>
          </w:p>
        </w:tc>
        <w:tc>
          <w:tcPr>
            <w:tcW w:w="100" w:type="dxa"/>
            <w:vAlign w:val="bottom"/>
            <w:shd w:val="clear" w:color="auto" w:fill="FDFD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3660" w:type="dxa"/>
            <w:vAlign w:val="bottom"/>
            <w:shd w:val="clear" w:color="auto" w:fill="D0EBF2"/>
          </w:tcPr>
          <w:p>
            <w:pPr>
              <w:spacing w:after="0"/>
              <w:rPr>
                <w:sz w:val="20"/>
                <w:szCs w:val="20"/>
                <w:color w:val="auto"/>
              </w:rPr>
            </w:pPr>
            <w:r>
              <w:rPr>
                <w:rFonts w:ascii="Times New Roman" w:cs="Times New Roman" w:eastAsia="Times New Roman" w:hAnsi="Times New Roman"/>
                <w:sz w:val="19"/>
                <w:szCs w:val="19"/>
                <w:color w:val="231F20"/>
              </w:rPr>
              <w:t>Structured credit investments</w:t>
            </w:r>
          </w:p>
        </w:tc>
        <w:tc>
          <w:tcPr>
            <w:tcW w:w="100" w:type="dxa"/>
            <w:vAlign w:val="bottom"/>
            <w:shd w:val="clear" w:color="auto" w:fill="D0EBF2"/>
          </w:tcPr>
          <w:p>
            <w:pPr>
              <w:spacing w:after="0"/>
              <w:rPr>
                <w:sz w:val="20"/>
                <w:szCs w:val="20"/>
                <w:color w:val="auto"/>
              </w:rPr>
            </w:pPr>
          </w:p>
        </w:tc>
        <w:tc>
          <w:tcPr>
            <w:tcW w:w="60" w:type="dxa"/>
            <w:vAlign w:val="bottom"/>
            <w:shd w:val="clear" w:color="auto" w:fill="D0EBF2"/>
          </w:tcPr>
          <w:p>
            <w:pPr>
              <w:spacing w:after="0"/>
              <w:rPr>
                <w:sz w:val="20"/>
                <w:szCs w:val="20"/>
                <w:color w:val="auto"/>
              </w:rPr>
            </w:pPr>
          </w:p>
        </w:tc>
        <w:tc>
          <w:tcPr>
            <w:tcW w:w="100" w:type="dxa"/>
            <w:vAlign w:val="bottom"/>
            <w:shd w:val="clear" w:color="auto" w:fill="D0EBF2"/>
          </w:tcPr>
          <w:p>
            <w:pPr>
              <w:spacing w:after="0"/>
              <w:rPr>
                <w:sz w:val="20"/>
                <w:szCs w:val="20"/>
                <w:color w:val="auto"/>
              </w:rPr>
            </w:pPr>
          </w:p>
        </w:tc>
        <w:tc>
          <w:tcPr>
            <w:tcW w:w="280" w:type="dxa"/>
            <w:vAlign w:val="bottom"/>
            <w:shd w:val="clear" w:color="auto" w:fill="D0EBF2"/>
          </w:tcPr>
          <w:p>
            <w:pPr>
              <w:spacing w:after="0"/>
              <w:rPr>
                <w:sz w:val="20"/>
                <w:szCs w:val="20"/>
                <w:color w:val="auto"/>
              </w:rPr>
            </w:pPr>
          </w:p>
        </w:tc>
        <w:tc>
          <w:tcPr>
            <w:tcW w:w="1000" w:type="dxa"/>
            <w:vAlign w:val="bottom"/>
            <w:gridSpan w:val="2"/>
            <w:shd w:val="clear" w:color="auto" w:fill="D0EBF2"/>
          </w:tcPr>
          <w:p>
            <w:pPr>
              <w:jc w:val="right"/>
              <w:ind w:right="20"/>
              <w:spacing w:after="0"/>
              <w:rPr>
                <w:sz w:val="20"/>
                <w:szCs w:val="20"/>
                <w:color w:val="auto"/>
              </w:rPr>
            </w:pPr>
            <w:r>
              <w:rPr>
                <w:rFonts w:ascii="Times New Roman" w:cs="Times New Roman" w:eastAsia="Times New Roman" w:hAnsi="Times New Roman"/>
                <w:sz w:val="19"/>
                <w:szCs w:val="19"/>
                <w:color w:val="231F20"/>
              </w:rPr>
              <w:t>1,500</w:t>
            </w:r>
          </w:p>
        </w:tc>
        <w:tc>
          <w:tcPr>
            <w:tcW w:w="40" w:type="dxa"/>
            <w:vAlign w:val="bottom"/>
            <w:shd w:val="clear" w:color="auto" w:fill="D0EBF2"/>
          </w:tcPr>
          <w:p>
            <w:pPr>
              <w:spacing w:after="0"/>
              <w:rPr>
                <w:sz w:val="20"/>
                <w:szCs w:val="20"/>
                <w:color w:val="auto"/>
              </w:rPr>
            </w:pPr>
          </w:p>
        </w:tc>
        <w:tc>
          <w:tcPr>
            <w:tcW w:w="100" w:type="dxa"/>
            <w:vAlign w:val="bottom"/>
            <w:shd w:val="clear" w:color="auto" w:fill="D0EBF2"/>
          </w:tcPr>
          <w:p>
            <w:pPr>
              <w:spacing w:after="0"/>
              <w:rPr>
                <w:sz w:val="20"/>
                <w:szCs w:val="20"/>
                <w:color w:val="auto"/>
              </w:rPr>
            </w:pPr>
          </w:p>
        </w:tc>
        <w:tc>
          <w:tcPr>
            <w:tcW w:w="60" w:type="dxa"/>
            <w:vAlign w:val="bottom"/>
            <w:shd w:val="clear" w:color="auto" w:fill="D0EBF2"/>
          </w:tcPr>
          <w:p>
            <w:pPr>
              <w:spacing w:after="0"/>
              <w:rPr>
                <w:sz w:val="20"/>
                <w:szCs w:val="20"/>
                <w:color w:val="auto"/>
              </w:rPr>
            </w:pPr>
          </w:p>
        </w:tc>
        <w:tc>
          <w:tcPr>
            <w:tcW w:w="220" w:type="dxa"/>
            <w:vAlign w:val="bottom"/>
            <w:shd w:val="clear" w:color="auto" w:fill="D0EBF2"/>
          </w:tcPr>
          <w:p>
            <w:pPr>
              <w:spacing w:after="0"/>
              <w:rPr>
                <w:sz w:val="20"/>
                <w:szCs w:val="20"/>
                <w:color w:val="auto"/>
              </w:rPr>
            </w:pPr>
          </w:p>
        </w:tc>
        <w:tc>
          <w:tcPr>
            <w:tcW w:w="1220" w:type="dxa"/>
            <w:vAlign w:val="bottom"/>
            <w:shd w:val="clear" w:color="auto" w:fill="D0EBF2"/>
          </w:tcPr>
          <w:p>
            <w:pPr>
              <w:jc w:val="right"/>
              <w:spacing w:after="0"/>
              <w:rPr>
                <w:sz w:val="20"/>
                <w:szCs w:val="20"/>
                <w:color w:val="auto"/>
              </w:rPr>
            </w:pPr>
            <w:r>
              <w:rPr>
                <w:rFonts w:ascii="Times New Roman" w:cs="Times New Roman" w:eastAsia="Times New Roman" w:hAnsi="Times New Roman"/>
                <w:sz w:val="19"/>
                <w:szCs w:val="19"/>
                <w:color w:val="231F20"/>
              </w:rPr>
              <w:t>1,472</w:t>
            </w:r>
          </w:p>
        </w:tc>
        <w:tc>
          <w:tcPr>
            <w:tcW w:w="40" w:type="dxa"/>
            <w:vAlign w:val="bottom"/>
            <w:shd w:val="clear" w:color="auto" w:fill="D0EBF2"/>
          </w:tcPr>
          <w:p>
            <w:pPr>
              <w:spacing w:after="0"/>
              <w:rPr>
                <w:sz w:val="20"/>
                <w:szCs w:val="20"/>
                <w:color w:val="auto"/>
              </w:rPr>
            </w:pPr>
          </w:p>
        </w:tc>
        <w:tc>
          <w:tcPr>
            <w:tcW w:w="60" w:type="dxa"/>
            <w:vAlign w:val="bottom"/>
            <w:shd w:val="clear" w:color="auto" w:fill="D0EBF2"/>
          </w:tcPr>
          <w:p>
            <w:pPr>
              <w:spacing w:after="0"/>
              <w:rPr>
                <w:sz w:val="20"/>
                <w:szCs w:val="20"/>
                <w:color w:val="auto"/>
              </w:rPr>
            </w:pPr>
          </w:p>
        </w:tc>
        <w:tc>
          <w:tcPr>
            <w:tcW w:w="40" w:type="dxa"/>
            <w:vAlign w:val="bottom"/>
            <w:shd w:val="clear" w:color="auto" w:fill="D0EBF2"/>
          </w:tcPr>
          <w:p>
            <w:pPr>
              <w:spacing w:after="0"/>
              <w:rPr>
                <w:sz w:val="20"/>
                <w:szCs w:val="20"/>
                <w:color w:val="auto"/>
              </w:rPr>
            </w:pPr>
          </w:p>
        </w:tc>
        <w:tc>
          <w:tcPr>
            <w:tcW w:w="60" w:type="dxa"/>
            <w:vAlign w:val="bottom"/>
            <w:shd w:val="clear" w:color="auto" w:fill="D0EBF2"/>
          </w:tcPr>
          <w:p>
            <w:pPr>
              <w:spacing w:after="0"/>
              <w:rPr>
                <w:sz w:val="20"/>
                <w:szCs w:val="20"/>
                <w:color w:val="auto"/>
              </w:rPr>
            </w:pPr>
          </w:p>
        </w:tc>
        <w:tc>
          <w:tcPr>
            <w:tcW w:w="40" w:type="dxa"/>
            <w:vAlign w:val="bottom"/>
            <w:shd w:val="clear" w:color="auto" w:fill="D0EBF2"/>
          </w:tcPr>
          <w:p>
            <w:pPr>
              <w:spacing w:after="0"/>
              <w:rPr>
                <w:sz w:val="20"/>
                <w:szCs w:val="20"/>
                <w:color w:val="auto"/>
              </w:rPr>
            </w:pPr>
          </w:p>
        </w:tc>
        <w:tc>
          <w:tcPr>
            <w:tcW w:w="100" w:type="dxa"/>
            <w:vAlign w:val="bottom"/>
            <w:shd w:val="clear" w:color="auto" w:fill="D0EBF2"/>
          </w:tcPr>
          <w:p>
            <w:pPr>
              <w:spacing w:after="0"/>
              <w:rPr>
                <w:sz w:val="20"/>
                <w:szCs w:val="20"/>
                <w:color w:val="auto"/>
              </w:rPr>
            </w:pPr>
          </w:p>
        </w:tc>
        <w:tc>
          <w:tcPr>
            <w:tcW w:w="980" w:type="dxa"/>
            <w:vAlign w:val="bottom"/>
            <w:gridSpan w:val="2"/>
            <w:shd w:val="clear" w:color="auto" w:fill="D0EBF2"/>
          </w:tcPr>
          <w:p>
            <w:pPr>
              <w:jc w:val="right"/>
              <w:spacing w:after="0"/>
              <w:rPr>
                <w:sz w:val="20"/>
                <w:szCs w:val="20"/>
                <w:color w:val="auto"/>
              </w:rPr>
            </w:pPr>
            <w:r>
              <w:rPr>
                <w:rFonts w:ascii="Times New Roman" w:cs="Times New Roman" w:eastAsia="Times New Roman" w:hAnsi="Times New Roman"/>
                <w:sz w:val="19"/>
                <w:szCs w:val="19"/>
                <w:color w:val="231F20"/>
              </w:rPr>
              <w:t>(28 )</w:t>
            </w:r>
          </w:p>
        </w:tc>
        <w:tc>
          <w:tcPr>
            <w:tcW w:w="0" w:type="dxa"/>
            <w:vAlign w:val="bottom"/>
          </w:tcPr>
          <w:p>
            <w:pPr>
              <w:spacing w:after="0"/>
              <w:rPr>
                <w:sz w:val="1"/>
                <w:szCs w:val="1"/>
                <w:color w:val="auto"/>
              </w:rPr>
            </w:pPr>
          </w:p>
        </w:tc>
      </w:tr>
      <w:tr>
        <w:trPr>
          <w:trHeight w:val="220"/>
        </w:trPr>
        <w:tc>
          <w:tcPr>
            <w:tcW w:w="3660" w:type="dxa"/>
            <w:vAlign w:val="bottom"/>
            <w:tcBorders>
              <w:top w:val="single" w:sz="8" w:color="FDFDFC"/>
            </w:tcBorders>
            <w:shd w:val="clear" w:color="auto" w:fill="FDFDFC"/>
          </w:tcPr>
          <w:p>
            <w:pPr>
              <w:ind w:left="180"/>
              <w:spacing w:after="0"/>
              <w:rPr>
                <w:sz w:val="20"/>
                <w:szCs w:val="20"/>
                <w:color w:val="auto"/>
              </w:rPr>
            </w:pPr>
            <w:r>
              <w:rPr>
                <w:rFonts w:ascii="Times New Roman" w:cs="Times New Roman" w:eastAsia="Times New Roman" w:hAnsi="Times New Roman"/>
                <w:sz w:val="19"/>
                <w:szCs w:val="19"/>
                <w:b w:val="1"/>
                <w:bCs w:val="1"/>
                <w:color w:val="231F20"/>
              </w:rPr>
              <w:t>Total Investments</w:t>
            </w:r>
          </w:p>
        </w:tc>
        <w:tc>
          <w:tcPr>
            <w:tcW w:w="100" w:type="dxa"/>
            <w:vAlign w:val="bottom"/>
            <w:tcBorders>
              <w:top w:val="single" w:sz="8" w:color="FDFDFC"/>
            </w:tcBorders>
            <w:shd w:val="clear" w:color="auto" w:fill="FDFDFC"/>
          </w:tcPr>
          <w:p>
            <w:pPr>
              <w:spacing w:after="0"/>
              <w:rPr>
                <w:sz w:val="19"/>
                <w:szCs w:val="19"/>
                <w:color w:val="auto"/>
              </w:rPr>
            </w:pPr>
          </w:p>
        </w:tc>
        <w:tc>
          <w:tcPr>
            <w:tcW w:w="160" w:type="dxa"/>
            <w:vAlign w:val="bottom"/>
            <w:tcBorders>
              <w:top w:val="single" w:sz="8" w:color="231F20"/>
              <w:bottom w:val="single" w:sz="8" w:color="231F20"/>
            </w:tcBorders>
            <w:gridSpan w:val="2"/>
            <w:shd w:val="clear" w:color="auto" w:fill="FDFDFC"/>
          </w:tcPr>
          <w:p>
            <w:pPr>
              <w:jc w:val="right"/>
              <w:spacing w:after="0"/>
              <w:rPr>
                <w:sz w:val="20"/>
                <w:szCs w:val="20"/>
                <w:color w:val="auto"/>
              </w:rPr>
            </w:pPr>
            <w:r>
              <w:rPr>
                <w:rFonts w:ascii="Times New Roman" w:cs="Times New Roman" w:eastAsia="Times New Roman" w:hAnsi="Times New Roman"/>
                <w:sz w:val="19"/>
                <w:szCs w:val="19"/>
                <w:color w:val="231F20"/>
                <w:w w:val="83"/>
              </w:rPr>
              <w:t>$</w:t>
            </w:r>
          </w:p>
        </w:tc>
        <w:tc>
          <w:tcPr>
            <w:tcW w:w="280" w:type="dxa"/>
            <w:vAlign w:val="bottom"/>
            <w:tcBorders>
              <w:top w:val="single" w:sz="8" w:color="231F20"/>
              <w:bottom w:val="single" w:sz="8" w:color="231F20"/>
            </w:tcBorders>
            <w:shd w:val="clear" w:color="auto" w:fill="FDFDFC"/>
          </w:tcPr>
          <w:p>
            <w:pPr>
              <w:spacing w:after="0"/>
              <w:rPr>
                <w:sz w:val="19"/>
                <w:szCs w:val="19"/>
                <w:color w:val="auto"/>
              </w:rPr>
            </w:pPr>
          </w:p>
        </w:tc>
        <w:tc>
          <w:tcPr>
            <w:tcW w:w="1000" w:type="dxa"/>
            <w:vAlign w:val="bottom"/>
            <w:tcBorders>
              <w:top w:val="single" w:sz="8" w:color="231F20"/>
              <w:bottom w:val="single" w:sz="8" w:color="231F20"/>
            </w:tcBorders>
            <w:gridSpan w:val="2"/>
            <w:shd w:val="clear" w:color="auto" w:fill="FDFDFC"/>
          </w:tcPr>
          <w:p>
            <w:pPr>
              <w:jc w:val="right"/>
              <w:ind w:right="20"/>
              <w:spacing w:after="0"/>
              <w:rPr>
                <w:sz w:val="20"/>
                <w:szCs w:val="20"/>
                <w:color w:val="auto"/>
              </w:rPr>
            </w:pPr>
            <w:r>
              <w:rPr>
                <w:rFonts w:ascii="Times New Roman" w:cs="Times New Roman" w:eastAsia="Times New Roman" w:hAnsi="Times New Roman"/>
                <w:sz w:val="19"/>
                <w:szCs w:val="19"/>
                <w:color w:val="231F20"/>
              </w:rPr>
              <w:t>3,539,153</w:t>
            </w:r>
          </w:p>
        </w:tc>
        <w:tc>
          <w:tcPr>
            <w:tcW w:w="40" w:type="dxa"/>
            <w:vAlign w:val="bottom"/>
            <w:tcBorders>
              <w:top w:val="single" w:sz="8" w:color="FDFDFC"/>
            </w:tcBorders>
            <w:shd w:val="clear" w:color="auto" w:fill="FDFDFC"/>
          </w:tcPr>
          <w:p>
            <w:pPr>
              <w:spacing w:after="0"/>
              <w:rPr>
                <w:sz w:val="19"/>
                <w:szCs w:val="19"/>
                <w:color w:val="auto"/>
              </w:rPr>
            </w:pPr>
          </w:p>
        </w:tc>
        <w:tc>
          <w:tcPr>
            <w:tcW w:w="100" w:type="dxa"/>
            <w:vAlign w:val="bottom"/>
            <w:tcBorders>
              <w:top w:val="single" w:sz="8" w:color="FDFDFC"/>
            </w:tcBorders>
            <w:shd w:val="clear" w:color="auto" w:fill="FDFDFC"/>
          </w:tcPr>
          <w:p>
            <w:pPr>
              <w:spacing w:after="0"/>
              <w:rPr>
                <w:sz w:val="19"/>
                <w:szCs w:val="19"/>
                <w:color w:val="auto"/>
              </w:rPr>
            </w:pPr>
          </w:p>
        </w:tc>
        <w:tc>
          <w:tcPr>
            <w:tcW w:w="60" w:type="dxa"/>
            <w:vAlign w:val="bottom"/>
            <w:tcBorders>
              <w:top w:val="single" w:sz="8" w:color="FDFDFC"/>
            </w:tcBorders>
            <w:shd w:val="clear" w:color="auto" w:fill="FDFDFC"/>
          </w:tcPr>
          <w:p>
            <w:pPr>
              <w:spacing w:after="0"/>
              <w:rPr>
                <w:sz w:val="19"/>
                <w:szCs w:val="19"/>
                <w:color w:val="auto"/>
              </w:rPr>
            </w:pPr>
          </w:p>
        </w:tc>
        <w:tc>
          <w:tcPr>
            <w:tcW w:w="220" w:type="dxa"/>
            <w:vAlign w:val="bottom"/>
            <w:tcBorders>
              <w:top w:val="single" w:sz="8" w:color="231F20"/>
              <w:bottom w:val="single" w:sz="8" w:color="231F20"/>
            </w:tcBorders>
            <w:shd w:val="clear" w:color="auto" w:fill="FDFDFC"/>
          </w:tcPr>
          <w:p>
            <w:pPr>
              <w:jc w:val="right"/>
              <w:ind w:right="26"/>
              <w:spacing w:after="0"/>
              <w:rPr>
                <w:sz w:val="20"/>
                <w:szCs w:val="20"/>
                <w:color w:val="auto"/>
              </w:rPr>
            </w:pPr>
            <w:r>
              <w:rPr>
                <w:rFonts w:ascii="Times New Roman" w:cs="Times New Roman" w:eastAsia="Times New Roman" w:hAnsi="Times New Roman"/>
                <w:sz w:val="19"/>
                <w:szCs w:val="19"/>
                <w:color w:val="231F20"/>
                <w:w w:val="83"/>
              </w:rPr>
              <w:t>$</w:t>
            </w:r>
          </w:p>
        </w:tc>
        <w:tc>
          <w:tcPr>
            <w:tcW w:w="1220" w:type="dxa"/>
            <w:vAlign w:val="bottom"/>
            <w:tcBorders>
              <w:top w:val="single" w:sz="8" w:color="231F20"/>
              <w:bottom w:val="single" w:sz="8" w:color="231F20"/>
            </w:tcBorders>
            <w:shd w:val="clear" w:color="auto" w:fill="FDFDFC"/>
          </w:tcPr>
          <w:p>
            <w:pPr>
              <w:jc w:val="right"/>
              <w:spacing w:after="0"/>
              <w:rPr>
                <w:sz w:val="20"/>
                <w:szCs w:val="20"/>
                <w:color w:val="auto"/>
              </w:rPr>
            </w:pPr>
            <w:r>
              <w:rPr>
                <w:rFonts w:ascii="Times New Roman" w:cs="Times New Roman" w:eastAsia="Times New Roman" w:hAnsi="Times New Roman"/>
                <w:sz w:val="19"/>
                <w:szCs w:val="19"/>
                <w:color w:val="231F20"/>
              </w:rPr>
              <w:t>3,518,412</w:t>
            </w:r>
          </w:p>
        </w:tc>
        <w:tc>
          <w:tcPr>
            <w:tcW w:w="40" w:type="dxa"/>
            <w:vAlign w:val="bottom"/>
            <w:tcBorders>
              <w:top w:val="single" w:sz="8" w:color="FDFDFC"/>
            </w:tcBorders>
            <w:shd w:val="clear" w:color="auto" w:fill="FDFDFC"/>
          </w:tcPr>
          <w:p>
            <w:pPr>
              <w:spacing w:after="0"/>
              <w:rPr>
                <w:sz w:val="19"/>
                <w:szCs w:val="19"/>
                <w:color w:val="auto"/>
              </w:rPr>
            </w:pPr>
          </w:p>
        </w:tc>
        <w:tc>
          <w:tcPr>
            <w:tcW w:w="60" w:type="dxa"/>
            <w:vAlign w:val="bottom"/>
            <w:tcBorders>
              <w:top w:val="single" w:sz="8" w:color="FDFDFC"/>
            </w:tcBorders>
            <w:shd w:val="clear" w:color="auto" w:fill="FDFDFC"/>
          </w:tcPr>
          <w:p>
            <w:pPr>
              <w:spacing w:after="0"/>
              <w:rPr>
                <w:sz w:val="19"/>
                <w:szCs w:val="19"/>
                <w:color w:val="auto"/>
              </w:rPr>
            </w:pPr>
          </w:p>
        </w:tc>
        <w:tc>
          <w:tcPr>
            <w:tcW w:w="40" w:type="dxa"/>
            <w:vAlign w:val="bottom"/>
            <w:tcBorders>
              <w:top w:val="single" w:sz="8" w:color="FDFDFC"/>
            </w:tcBorders>
            <w:shd w:val="clear" w:color="auto" w:fill="FDFDFC"/>
          </w:tcPr>
          <w:p>
            <w:pPr>
              <w:spacing w:after="0"/>
              <w:rPr>
                <w:sz w:val="19"/>
                <w:szCs w:val="19"/>
                <w:color w:val="auto"/>
              </w:rPr>
            </w:pPr>
          </w:p>
        </w:tc>
        <w:tc>
          <w:tcPr>
            <w:tcW w:w="60" w:type="dxa"/>
            <w:vAlign w:val="bottom"/>
            <w:tcBorders>
              <w:top w:val="single" w:sz="8" w:color="FDFDFC"/>
            </w:tcBorders>
            <w:shd w:val="clear" w:color="auto" w:fill="FDFDFC"/>
          </w:tcPr>
          <w:p>
            <w:pPr>
              <w:spacing w:after="0"/>
              <w:rPr>
                <w:sz w:val="19"/>
                <w:szCs w:val="19"/>
                <w:color w:val="auto"/>
              </w:rPr>
            </w:pPr>
          </w:p>
        </w:tc>
        <w:tc>
          <w:tcPr>
            <w:tcW w:w="140" w:type="dxa"/>
            <w:vAlign w:val="bottom"/>
            <w:tcBorders>
              <w:top w:val="single" w:sz="8" w:color="231F20"/>
              <w:bottom w:val="single" w:sz="8" w:color="231F20"/>
            </w:tcBorders>
            <w:gridSpan w:val="2"/>
            <w:shd w:val="clear" w:color="auto" w:fill="FDFDFC"/>
          </w:tcPr>
          <w:p>
            <w:pPr>
              <w:spacing w:after="0"/>
              <w:rPr>
                <w:sz w:val="20"/>
                <w:szCs w:val="20"/>
                <w:color w:val="auto"/>
              </w:rPr>
            </w:pPr>
            <w:r>
              <w:rPr>
                <w:rFonts w:ascii="Times New Roman" w:cs="Times New Roman" w:eastAsia="Times New Roman" w:hAnsi="Times New Roman"/>
                <w:sz w:val="19"/>
                <w:szCs w:val="19"/>
                <w:color w:val="231F20"/>
                <w:highlight w:val="white"/>
              </w:rPr>
              <w:t>$</w:t>
            </w:r>
          </w:p>
        </w:tc>
        <w:tc>
          <w:tcPr>
            <w:tcW w:w="880" w:type="dxa"/>
            <w:vAlign w:val="bottom"/>
            <w:tcBorders>
              <w:top w:val="single" w:sz="8" w:color="231F20"/>
              <w:bottom w:val="single" w:sz="8" w:color="231F20"/>
            </w:tcBorders>
            <w:shd w:val="clear" w:color="auto" w:fill="FDFDFC"/>
          </w:tcPr>
          <w:p>
            <w:pPr>
              <w:jc w:val="right"/>
              <w:spacing w:after="0"/>
              <w:rPr>
                <w:sz w:val="20"/>
                <w:szCs w:val="20"/>
                <w:color w:val="auto"/>
              </w:rPr>
            </w:pPr>
            <w:r>
              <w:rPr>
                <w:rFonts w:ascii="Times New Roman" w:cs="Times New Roman" w:eastAsia="Times New Roman" w:hAnsi="Times New Roman"/>
                <w:sz w:val="19"/>
                <w:szCs w:val="19"/>
                <w:color w:val="231F20"/>
                <w:highlight w:val="white"/>
              </w:rPr>
              <w:t>(20,741</w:t>
            </w:r>
          </w:p>
        </w:tc>
        <w:tc>
          <w:tcPr>
            <w:tcW w:w="100" w:type="dxa"/>
            <w:vAlign w:val="bottom"/>
            <w:tcBorders>
              <w:top w:val="single" w:sz="8" w:color="FDFDFC"/>
            </w:tcBorders>
            <w:shd w:val="clear" w:color="auto" w:fill="FDFDFC"/>
          </w:tcPr>
          <w:p>
            <w:pPr>
              <w:jc w:val="right"/>
              <w:spacing w:after="0"/>
              <w:rPr>
                <w:sz w:val="20"/>
                <w:szCs w:val="20"/>
                <w:color w:val="auto"/>
              </w:rPr>
            </w:pPr>
            <w:r>
              <w:rPr>
                <w:rFonts w:ascii="Times New Roman" w:cs="Times New Roman" w:eastAsia="Times New Roman" w:hAnsi="Times New Roman"/>
                <w:sz w:val="16"/>
                <w:szCs w:val="16"/>
                <w:color w:val="231F20"/>
                <w:highlight w:val="white"/>
                <w:w w:val="74"/>
              </w:rPr>
              <w:t>)</w:t>
            </w:r>
          </w:p>
        </w:tc>
        <w:tc>
          <w:tcPr>
            <w:tcW w:w="0" w:type="dxa"/>
            <w:vAlign w:val="bottom"/>
          </w:tcPr>
          <w:p>
            <w:pPr>
              <w:spacing w:after="0"/>
              <w:rPr>
                <w:sz w:val="1"/>
                <w:szCs w:val="1"/>
                <w:color w:val="auto"/>
              </w:rPr>
            </w:pPr>
          </w:p>
        </w:tc>
      </w:tr>
      <w:tr>
        <w:trPr>
          <w:trHeight w:val="20"/>
        </w:trPr>
        <w:tc>
          <w:tcPr>
            <w:tcW w:w="3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bottom w:val="single" w:sz="8" w:color="231F20"/>
            </w:tcBorders>
          </w:tcPr>
          <w:p>
            <w:pPr>
              <w:spacing w:after="0" w:line="20" w:lineRule="exact"/>
              <w:rPr>
                <w:sz w:val="1"/>
                <w:szCs w:val="1"/>
                <w:color w:val="auto"/>
              </w:rPr>
            </w:pPr>
          </w:p>
        </w:tc>
        <w:tc>
          <w:tcPr>
            <w:tcW w:w="100" w:type="dxa"/>
            <w:vAlign w:val="bottom"/>
            <w:tcBorders>
              <w:bottom w:val="single" w:sz="8" w:color="231F20"/>
            </w:tcBorders>
          </w:tcPr>
          <w:p>
            <w:pPr>
              <w:spacing w:after="0" w:line="20" w:lineRule="exact"/>
              <w:rPr>
                <w:sz w:val="1"/>
                <w:szCs w:val="1"/>
                <w:color w:val="auto"/>
              </w:rPr>
            </w:pPr>
          </w:p>
        </w:tc>
        <w:tc>
          <w:tcPr>
            <w:tcW w:w="280" w:type="dxa"/>
            <w:vAlign w:val="bottom"/>
            <w:tcBorders>
              <w:bottom w:val="single" w:sz="8" w:color="231F20"/>
            </w:tcBorders>
          </w:tcPr>
          <w:p>
            <w:pPr>
              <w:spacing w:after="0" w:line="20" w:lineRule="exact"/>
              <w:rPr>
                <w:sz w:val="1"/>
                <w:szCs w:val="1"/>
                <w:color w:val="auto"/>
              </w:rPr>
            </w:pPr>
          </w:p>
        </w:tc>
        <w:tc>
          <w:tcPr>
            <w:tcW w:w="940" w:type="dxa"/>
            <w:vAlign w:val="bottom"/>
            <w:tcBorders>
              <w:bottom w:val="single" w:sz="8" w:color="231F20"/>
            </w:tcBorders>
          </w:tcPr>
          <w:p>
            <w:pPr>
              <w:spacing w:after="0" w:line="20" w:lineRule="exact"/>
              <w:rPr>
                <w:sz w:val="1"/>
                <w:szCs w:val="1"/>
                <w:color w:val="auto"/>
              </w:rPr>
            </w:pPr>
          </w:p>
        </w:tc>
        <w:tc>
          <w:tcPr>
            <w:tcW w:w="60" w:type="dxa"/>
            <w:vAlign w:val="bottom"/>
            <w:tcBorders>
              <w:bottom w:val="single" w:sz="8" w:color="231F20"/>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bottom w:val="single" w:sz="8" w:color="231F20"/>
            </w:tcBorders>
          </w:tcPr>
          <w:p>
            <w:pPr>
              <w:spacing w:after="0" w:line="20" w:lineRule="exact"/>
              <w:rPr>
                <w:sz w:val="1"/>
                <w:szCs w:val="1"/>
                <w:color w:val="auto"/>
              </w:rPr>
            </w:pPr>
          </w:p>
        </w:tc>
        <w:tc>
          <w:tcPr>
            <w:tcW w:w="1220" w:type="dxa"/>
            <w:vAlign w:val="bottom"/>
            <w:tcBorders>
              <w:bottom w:val="single" w:sz="8" w:color="231F20"/>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bottom w:val="single" w:sz="8" w:color="231F20"/>
            </w:tcBorders>
          </w:tcPr>
          <w:p>
            <w:pPr>
              <w:spacing w:after="0" w:line="20" w:lineRule="exact"/>
              <w:rPr>
                <w:sz w:val="1"/>
                <w:szCs w:val="1"/>
                <w:color w:val="auto"/>
              </w:rPr>
            </w:pPr>
          </w:p>
        </w:tc>
        <w:tc>
          <w:tcPr>
            <w:tcW w:w="100" w:type="dxa"/>
            <w:vAlign w:val="bottom"/>
            <w:tcBorders>
              <w:bottom w:val="single" w:sz="8" w:color="231F20"/>
            </w:tcBorders>
          </w:tcPr>
          <w:p>
            <w:pPr>
              <w:spacing w:after="0" w:line="20" w:lineRule="exact"/>
              <w:rPr>
                <w:sz w:val="1"/>
                <w:szCs w:val="1"/>
                <w:color w:val="auto"/>
              </w:rPr>
            </w:pPr>
          </w:p>
        </w:tc>
        <w:tc>
          <w:tcPr>
            <w:tcW w:w="880" w:type="dxa"/>
            <w:vAlign w:val="bottom"/>
            <w:tcBorders>
              <w:bottom w:val="single" w:sz="8" w:color="231F20"/>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3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40" w:type="dxa"/>
            <w:vAlign w:val="bottom"/>
            <w:gridSpan w:val="4"/>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4"/>
        </w:trPr>
        <w:tc>
          <w:tcPr>
            <w:tcW w:w="3660" w:type="dxa"/>
            <w:vAlign w:val="bottom"/>
            <w:tcBorders>
              <w:bottom w:val="single" w:sz="8" w:color="FDFDFC"/>
            </w:tcBorders>
            <w:shd w:val="clear" w:color="auto" w:fill="FDFDFC"/>
          </w:tcPr>
          <w:p>
            <w:pPr>
              <w:spacing w:after="0"/>
              <w:rPr>
                <w:sz w:val="15"/>
                <w:szCs w:val="15"/>
                <w:color w:val="auto"/>
              </w:rPr>
            </w:pPr>
          </w:p>
        </w:tc>
        <w:tc>
          <w:tcPr>
            <w:tcW w:w="100" w:type="dxa"/>
            <w:vAlign w:val="bottom"/>
            <w:tcBorders>
              <w:bottom w:val="single" w:sz="8" w:color="FDFDFC"/>
            </w:tcBorders>
            <w:shd w:val="clear" w:color="auto" w:fill="FDFDFC"/>
          </w:tcPr>
          <w:p>
            <w:pPr>
              <w:spacing w:after="0"/>
              <w:rPr>
                <w:sz w:val="15"/>
                <w:szCs w:val="15"/>
                <w:color w:val="auto"/>
              </w:rPr>
            </w:pPr>
          </w:p>
        </w:tc>
        <w:tc>
          <w:tcPr>
            <w:tcW w:w="60" w:type="dxa"/>
            <w:vAlign w:val="bottom"/>
            <w:tcBorders>
              <w:bottom w:val="single" w:sz="8" w:color="FDFDFC"/>
            </w:tcBorders>
            <w:shd w:val="clear" w:color="auto" w:fill="FDFDFC"/>
          </w:tcPr>
          <w:p>
            <w:pPr>
              <w:spacing w:after="0"/>
              <w:rPr>
                <w:sz w:val="15"/>
                <w:szCs w:val="15"/>
                <w:color w:val="auto"/>
              </w:rPr>
            </w:pPr>
          </w:p>
        </w:tc>
        <w:tc>
          <w:tcPr>
            <w:tcW w:w="100" w:type="dxa"/>
            <w:vAlign w:val="bottom"/>
            <w:tcBorders>
              <w:bottom w:val="single" w:sz="8" w:color="FDFDFC"/>
            </w:tcBorders>
            <w:shd w:val="clear" w:color="auto" w:fill="FDFDFC"/>
          </w:tcPr>
          <w:p>
            <w:pPr>
              <w:spacing w:after="0"/>
              <w:rPr>
                <w:sz w:val="15"/>
                <w:szCs w:val="15"/>
                <w:color w:val="auto"/>
              </w:rPr>
            </w:pPr>
          </w:p>
        </w:tc>
        <w:tc>
          <w:tcPr>
            <w:tcW w:w="280" w:type="dxa"/>
            <w:vAlign w:val="bottom"/>
            <w:tcBorders>
              <w:bottom w:val="single" w:sz="8" w:color="231F20"/>
            </w:tcBorders>
            <w:shd w:val="clear" w:color="auto" w:fill="FDFDFC"/>
          </w:tcPr>
          <w:p>
            <w:pPr>
              <w:spacing w:after="0"/>
              <w:rPr>
                <w:sz w:val="15"/>
                <w:szCs w:val="15"/>
                <w:color w:val="auto"/>
              </w:rPr>
            </w:pPr>
          </w:p>
        </w:tc>
        <w:tc>
          <w:tcPr>
            <w:tcW w:w="940" w:type="dxa"/>
            <w:vAlign w:val="bottom"/>
            <w:tcBorders>
              <w:bottom w:val="single" w:sz="8" w:color="231F20"/>
            </w:tcBorders>
            <w:shd w:val="clear" w:color="auto" w:fill="FDFDFC"/>
          </w:tcPr>
          <w:p>
            <w:pPr>
              <w:spacing w:after="0"/>
              <w:rPr>
                <w:sz w:val="15"/>
                <w:szCs w:val="15"/>
                <w:color w:val="auto"/>
              </w:rPr>
            </w:pPr>
          </w:p>
        </w:tc>
        <w:tc>
          <w:tcPr>
            <w:tcW w:w="60" w:type="dxa"/>
            <w:vAlign w:val="bottom"/>
            <w:tcBorders>
              <w:bottom w:val="single" w:sz="8" w:color="231F20"/>
            </w:tcBorders>
            <w:shd w:val="clear" w:color="auto" w:fill="FDFDFC"/>
          </w:tcPr>
          <w:p>
            <w:pPr>
              <w:spacing w:after="0"/>
              <w:rPr>
                <w:sz w:val="15"/>
                <w:szCs w:val="15"/>
                <w:color w:val="auto"/>
              </w:rPr>
            </w:pPr>
          </w:p>
        </w:tc>
        <w:tc>
          <w:tcPr>
            <w:tcW w:w="40" w:type="dxa"/>
            <w:vAlign w:val="bottom"/>
            <w:tcBorders>
              <w:bottom w:val="single" w:sz="8" w:color="231F20"/>
            </w:tcBorders>
            <w:shd w:val="clear" w:color="auto" w:fill="FDFDFC"/>
          </w:tcPr>
          <w:p>
            <w:pPr>
              <w:spacing w:after="0"/>
              <w:rPr>
                <w:sz w:val="15"/>
                <w:szCs w:val="15"/>
                <w:color w:val="auto"/>
              </w:rPr>
            </w:pPr>
          </w:p>
        </w:tc>
        <w:tc>
          <w:tcPr>
            <w:tcW w:w="100" w:type="dxa"/>
            <w:vAlign w:val="bottom"/>
            <w:tcBorders>
              <w:bottom w:val="single" w:sz="8" w:color="231F20"/>
            </w:tcBorders>
            <w:shd w:val="clear" w:color="auto" w:fill="FDFDFC"/>
          </w:tcPr>
          <w:p>
            <w:pPr>
              <w:spacing w:after="0"/>
              <w:rPr>
                <w:sz w:val="15"/>
                <w:szCs w:val="15"/>
                <w:color w:val="auto"/>
              </w:rPr>
            </w:pPr>
          </w:p>
        </w:tc>
        <w:tc>
          <w:tcPr>
            <w:tcW w:w="1600" w:type="dxa"/>
            <w:vAlign w:val="bottom"/>
            <w:tcBorders>
              <w:bottom w:val="single" w:sz="8" w:color="231F20"/>
            </w:tcBorders>
            <w:gridSpan w:val="5"/>
            <w:shd w:val="clear" w:color="auto" w:fill="FDFDFC"/>
          </w:tcPr>
          <w:p>
            <w:pPr>
              <w:ind w:left="40"/>
              <w:spacing w:after="0"/>
              <w:rPr>
                <w:sz w:val="20"/>
                <w:szCs w:val="20"/>
                <w:color w:val="auto"/>
              </w:rPr>
            </w:pPr>
            <w:r>
              <w:rPr>
                <w:rFonts w:ascii="Times New Roman" w:cs="Times New Roman" w:eastAsia="Times New Roman" w:hAnsi="Times New Roman"/>
                <w:sz w:val="15"/>
                <w:szCs w:val="15"/>
                <w:b w:val="1"/>
                <w:bCs w:val="1"/>
                <w:color w:val="231F20"/>
              </w:rPr>
              <w:t>December 31, 2023</w:t>
            </w:r>
          </w:p>
        </w:tc>
        <w:tc>
          <w:tcPr>
            <w:tcW w:w="40" w:type="dxa"/>
            <w:vAlign w:val="bottom"/>
            <w:tcBorders>
              <w:bottom w:val="single" w:sz="8" w:color="231F20"/>
            </w:tcBorders>
            <w:shd w:val="clear" w:color="auto" w:fill="FDFDFC"/>
          </w:tcPr>
          <w:p>
            <w:pPr>
              <w:spacing w:after="0"/>
              <w:rPr>
                <w:sz w:val="15"/>
                <w:szCs w:val="15"/>
                <w:color w:val="auto"/>
              </w:rPr>
            </w:pPr>
          </w:p>
        </w:tc>
        <w:tc>
          <w:tcPr>
            <w:tcW w:w="60" w:type="dxa"/>
            <w:vAlign w:val="bottom"/>
            <w:tcBorders>
              <w:bottom w:val="single" w:sz="8" w:color="231F20"/>
            </w:tcBorders>
            <w:shd w:val="clear" w:color="auto" w:fill="FDFDFC"/>
          </w:tcPr>
          <w:p>
            <w:pPr>
              <w:spacing w:after="0"/>
              <w:rPr>
                <w:sz w:val="15"/>
                <w:szCs w:val="15"/>
                <w:color w:val="auto"/>
              </w:rPr>
            </w:pPr>
          </w:p>
        </w:tc>
        <w:tc>
          <w:tcPr>
            <w:tcW w:w="40" w:type="dxa"/>
            <w:vAlign w:val="bottom"/>
            <w:tcBorders>
              <w:bottom w:val="single" w:sz="8" w:color="231F20"/>
            </w:tcBorders>
            <w:shd w:val="clear" w:color="auto" w:fill="FDFDFC"/>
          </w:tcPr>
          <w:p>
            <w:pPr>
              <w:spacing w:after="0"/>
              <w:rPr>
                <w:sz w:val="15"/>
                <w:szCs w:val="15"/>
                <w:color w:val="auto"/>
              </w:rPr>
            </w:pPr>
          </w:p>
        </w:tc>
        <w:tc>
          <w:tcPr>
            <w:tcW w:w="100" w:type="dxa"/>
            <w:vAlign w:val="bottom"/>
            <w:tcBorders>
              <w:bottom w:val="single" w:sz="8" w:color="231F20"/>
            </w:tcBorders>
            <w:shd w:val="clear" w:color="auto" w:fill="FDFDFC"/>
          </w:tcPr>
          <w:p>
            <w:pPr>
              <w:spacing w:after="0"/>
              <w:rPr>
                <w:sz w:val="15"/>
                <w:szCs w:val="15"/>
                <w:color w:val="auto"/>
              </w:rPr>
            </w:pPr>
          </w:p>
        </w:tc>
        <w:tc>
          <w:tcPr>
            <w:tcW w:w="880" w:type="dxa"/>
            <w:vAlign w:val="bottom"/>
            <w:tcBorders>
              <w:bottom w:val="single" w:sz="8" w:color="231F20"/>
            </w:tcBorders>
            <w:shd w:val="clear" w:color="auto" w:fill="FDFDFC"/>
          </w:tcPr>
          <w:p>
            <w:pPr>
              <w:spacing w:after="0"/>
              <w:rPr>
                <w:sz w:val="15"/>
                <w:szCs w:val="15"/>
                <w:color w:val="auto"/>
              </w:rPr>
            </w:pPr>
          </w:p>
        </w:tc>
        <w:tc>
          <w:tcPr>
            <w:tcW w:w="100" w:type="dxa"/>
            <w:vAlign w:val="bottom"/>
            <w:tcBorders>
              <w:bottom w:val="single" w:sz="8" w:color="FDFDFC"/>
            </w:tcBorders>
            <w:shd w:val="clear" w:color="auto" w:fill="FDFDFC"/>
          </w:tcPr>
          <w:p>
            <w:pPr>
              <w:spacing w:after="0"/>
              <w:rPr>
                <w:sz w:val="15"/>
                <w:szCs w:val="15"/>
                <w:color w:val="auto"/>
              </w:rPr>
            </w:pPr>
          </w:p>
        </w:tc>
        <w:tc>
          <w:tcPr>
            <w:tcW w:w="0" w:type="dxa"/>
            <w:vAlign w:val="bottom"/>
          </w:tcPr>
          <w:p>
            <w:pPr>
              <w:spacing w:after="0"/>
              <w:rPr>
                <w:sz w:val="1"/>
                <w:szCs w:val="1"/>
                <w:color w:val="auto"/>
              </w:rPr>
            </w:pPr>
          </w:p>
        </w:tc>
      </w:tr>
      <w:tr>
        <w:trPr>
          <w:trHeight w:val="146"/>
        </w:trPr>
        <w:tc>
          <w:tcPr>
            <w:tcW w:w="3660" w:type="dxa"/>
            <w:vAlign w:val="bottom"/>
            <w:shd w:val="clear" w:color="auto" w:fill="FDFDFC"/>
          </w:tcPr>
          <w:p>
            <w:pPr>
              <w:spacing w:after="0"/>
              <w:rPr>
                <w:sz w:val="12"/>
                <w:szCs w:val="12"/>
                <w:color w:val="auto"/>
              </w:rPr>
            </w:pPr>
          </w:p>
        </w:tc>
        <w:tc>
          <w:tcPr>
            <w:tcW w:w="100" w:type="dxa"/>
            <w:vAlign w:val="bottom"/>
            <w:shd w:val="clear" w:color="auto" w:fill="FDFDFC"/>
          </w:tcPr>
          <w:p>
            <w:pPr>
              <w:spacing w:after="0"/>
              <w:rPr>
                <w:sz w:val="12"/>
                <w:szCs w:val="12"/>
                <w:color w:val="auto"/>
              </w:rPr>
            </w:pPr>
          </w:p>
        </w:tc>
        <w:tc>
          <w:tcPr>
            <w:tcW w:w="60" w:type="dxa"/>
            <w:vAlign w:val="bottom"/>
            <w:shd w:val="clear" w:color="auto" w:fill="FDFDFC"/>
          </w:tcPr>
          <w:p>
            <w:pPr>
              <w:spacing w:after="0"/>
              <w:rPr>
                <w:sz w:val="12"/>
                <w:szCs w:val="12"/>
                <w:color w:val="auto"/>
              </w:rPr>
            </w:pPr>
          </w:p>
        </w:tc>
        <w:tc>
          <w:tcPr>
            <w:tcW w:w="100" w:type="dxa"/>
            <w:vAlign w:val="bottom"/>
            <w:shd w:val="clear" w:color="auto" w:fill="FDFDFC"/>
          </w:tcPr>
          <w:p>
            <w:pPr>
              <w:spacing w:after="0"/>
              <w:rPr>
                <w:sz w:val="12"/>
                <w:szCs w:val="12"/>
                <w:color w:val="auto"/>
              </w:rPr>
            </w:pPr>
          </w:p>
        </w:tc>
        <w:tc>
          <w:tcPr>
            <w:tcW w:w="1220" w:type="dxa"/>
            <w:vAlign w:val="bottom"/>
            <w:gridSpan w:val="2"/>
            <w:vMerge w:val="restart"/>
            <w:shd w:val="clear" w:color="auto" w:fill="FDFDFC"/>
          </w:tcPr>
          <w:p>
            <w:pPr>
              <w:ind w:left="20"/>
              <w:spacing w:after="0"/>
              <w:rPr>
                <w:sz w:val="20"/>
                <w:szCs w:val="20"/>
                <w:color w:val="auto"/>
              </w:rPr>
            </w:pPr>
            <w:r>
              <w:rPr>
                <w:rFonts w:ascii="Times New Roman" w:cs="Times New Roman" w:eastAsia="Times New Roman" w:hAnsi="Times New Roman"/>
                <w:sz w:val="15"/>
                <w:szCs w:val="15"/>
                <w:b w:val="1"/>
                <w:bCs w:val="1"/>
                <w:color w:val="231F20"/>
              </w:rPr>
              <w:t xml:space="preserve">Amortized Cost </w:t>
            </w:r>
            <w:r>
              <w:rPr>
                <w:rFonts w:ascii="Times New Roman" w:cs="Times New Roman" w:eastAsia="Times New Roman" w:hAnsi="Times New Roman"/>
                <w:sz w:val="9"/>
                <w:szCs w:val="9"/>
                <w:b w:val="1"/>
                <w:bCs w:val="1"/>
                <w:color w:val="231F20"/>
              </w:rPr>
              <w:t>(1)</w:t>
            </w:r>
          </w:p>
        </w:tc>
        <w:tc>
          <w:tcPr>
            <w:tcW w:w="60" w:type="dxa"/>
            <w:vAlign w:val="bottom"/>
            <w:shd w:val="clear" w:color="auto" w:fill="FDFDFC"/>
          </w:tcPr>
          <w:p>
            <w:pPr>
              <w:spacing w:after="0"/>
              <w:rPr>
                <w:sz w:val="12"/>
                <w:szCs w:val="12"/>
                <w:color w:val="auto"/>
              </w:rPr>
            </w:pPr>
          </w:p>
        </w:tc>
        <w:tc>
          <w:tcPr>
            <w:tcW w:w="40" w:type="dxa"/>
            <w:vAlign w:val="bottom"/>
            <w:shd w:val="clear" w:color="auto" w:fill="FDFDFC"/>
          </w:tcPr>
          <w:p>
            <w:pPr>
              <w:spacing w:after="0"/>
              <w:rPr>
                <w:sz w:val="12"/>
                <w:szCs w:val="12"/>
                <w:color w:val="auto"/>
              </w:rPr>
            </w:pPr>
          </w:p>
        </w:tc>
        <w:tc>
          <w:tcPr>
            <w:tcW w:w="100" w:type="dxa"/>
            <w:vAlign w:val="bottom"/>
            <w:shd w:val="clear" w:color="auto" w:fill="FDFDFC"/>
          </w:tcPr>
          <w:p>
            <w:pPr>
              <w:spacing w:after="0"/>
              <w:rPr>
                <w:sz w:val="12"/>
                <w:szCs w:val="12"/>
                <w:color w:val="auto"/>
              </w:rPr>
            </w:pPr>
          </w:p>
        </w:tc>
        <w:tc>
          <w:tcPr>
            <w:tcW w:w="60" w:type="dxa"/>
            <w:vAlign w:val="bottom"/>
            <w:shd w:val="clear" w:color="auto" w:fill="FDFDFC"/>
          </w:tcPr>
          <w:p>
            <w:pPr>
              <w:spacing w:after="0"/>
              <w:rPr>
                <w:sz w:val="12"/>
                <w:szCs w:val="12"/>
                <w:color w:val="auto"/>
              </w:rPr>
            </w:pPr>
          </w:p>
        </w:tc>
        <w:tc>
          <w:tcPr>
            <w:tcW w:w="220" w:type="dxa"/>
            <w:vAlign w:val="bottom"/>
            <w:shd w:val="clear" w:color="auto" w:fill="FDFDFC"/>
          </w:tcPr>
          <w:p>
            <w:pPr>
              <w:spacing w:after="0"/>
              <w:rPr>
                <w:sz w:val="12"/>
                <w:szCs w:val="12"/>
                <w:color w:val="auto"/>
              </w:rPr>
            </w:pPr>
          </w:p>
        </w:tc>
        <w:tc>
          <w:tcPr>
            <w:tcW w:w="1260" w:type="dxa"/>
            <w:vAlign w:val="bottom"/>
            <w:gridSpan w:val="2"/>
            <w:vMerge w:val="restart"/>
            <w:shd w:val="clear" w:color="auto" w:fill="FDFDFC"/>
          </w:tcPr>
          <w:p>
            <w:pPr>
              <w:jc w:val="right"/>
              <w:ind w:right="420"/>
              <w:spacing w:after="0"/>
              <w:rPr>
                <w:sz w:val="20"/>
                <w:szCs w:val="20"/>
                <w:color w:val="auto"/>
              </w:rPr>
            </w:pPr>
            <w:r>
              <w:rPr>
                <w:rFonts w:ascii="Times New Roman" w:cs="Times New Roman" w:eastAsia="Times New Roman" w:hAnsi="Times New Roman"/>
                <w:sz w:val="15"/>
                <w:szCs w:val="15"/>
                <w:b w:val="1"/>
                <w:bCs w:val="1"/>
                <w:color w:val="231F20"/>
              </w:rPr>
              <w:t>Fair Value</w:t>
            </w:r>
          </w:p>
        </w:tc>
        <w:tc>
          <w:tcPr>
            <w:tcW w:w="60" w:type="dxa"/>
            <w:vAlign w:val="bottom"/>
            <w:shd w:val="clear" w:color="auto" w:fill="FDFDFC"/>
          </w:tcPr>
          <w:p>
            <w:pPr>
              <w:spacing w:after="0"/>
              <w:rPr>
                <w:sz w:val="12"/>
                <w:szCs w:val="12"/>
                <w:color w:val="auto"/>
              </w:rPr>
            </w:pPr>
          </w:p>
        </w:tc>
        <w:tc>
          <w:tcPr>
            <w:tcW w:w="40" w:type="dxa"/>
            <w:vAlign w:val="bottom"/>
            <w:shd w:val="clear" w:color="auto" w:fill="FDFDFC"/>
          </w:tcPr>
          <w:p>
            <w:pPr>
              <w:spacing w:after="0"/>
              <w:rPr>
                <w:sz w:val="12"/>
                <w:szCs w:val="12"/>
                <w:color w:val="auto"/>
              </w:rPr>
            </w:pPr>
          </w:p>
        </w:tc>
        <w:tc>
          <w:tcPr>
            <w:tcW w:w="60" w:type="dxa"/>
            <w:vAlign w:val="bottom"/>
            <w:shd w:val="clear" w:color="auto" w:fill="FDFDFC"/>
          </w:tcPr>
          <w:p>
            <w:pPr>
              <w:spacing w:after="0"/>
              <w:rPr>
                <w:sz w:val="12"/>
                <w:szCs w:val="12"/>
                <w:color w:val="auto"/>
              </w:rPr>
            </w:pPr>
          </w:p>
        </w:tc>
        <w:tc>
          <w:tcPr>
            <w:tcW w:w="40" w:type="dxa"/>
            <w:vAlign w:val="bottom"/>
            <w:shd w:val="clear" w:color="auto" w:fill="FDFDFC"/>
          </w:tcPr>
          <w:p>
            <w:pPr>
              <w:spacing w:after="0"/>
              <w:rPr>
                <w:sz w:val="12"/>
                <w:szCs w:val="12"/>
                <w:color w:val="auto"/>
              </w:rPr>
            </w:pPr>
          </w:p>
        </w:tc>
        <w:tc>
          <w:tcPr>
            <w:tcW w:w="980" w:type="dxa"/>
            <w:vAlign w:val="bottom"/>
            <w:gridSpan w:val="2"/>
            <w:shd w:val="clear" w:color="auto" w:fill="FDFDFC"/>
          </w:tcPr>
          <w:p>
            <w:pPr>
              <w:spacing w:after="0" w:line="146" w:lineRule="exact"/>
              <w:rPr>
                <w:sz w:val="20"/>
                <w:szCs w:val="20"/>
                <w:color w:val="auto"/>
              </w:rPr>
            </w:pPr>
            <w:r>
              <w:rPr>
                <w:rFonts w:ascii="Times New Roman" w:cs="Times New Roman" w:eastAsia="Times New Roman" w:hAnsi="Times New Roman"/>
                <w:sz w:val="15"/>
                <w:szCs w:val="15"/>
                <w:b w:val="1"/>
                <w:bCs w:val="1"/>
                <w:color w:val="231F20"/>
                <w:w w:val="99"/>
              </w:rPr>
              <w:t>Net Unrealized</w:t>
            </w:r>
          </w:p>
        </w:tc>
        <w:tc>
          <w:tcPr>
            <w:tcW w:w="100" w:type="dxa"/>
            <w:vAlign w:val="bottom"/>
            <w:shd w:val="clear" w:color="auto" w:fill="FDFDFC"/>
          </w:tcPr>
          <w:p>
            <w:pPr>
              <w:spacing w:after="0"/>
              <w:rPr>
                <w:sz w:val="12"/>
                <w:szCs w:val="12"/>
                <w:color w:val="auto"/>
              </w:rPr>
            </w:pPr>
          </w:p>
        </w:tc>
        <w:tc>
          <w:tcPr>
            <w:tcW w:w="0" w:type="dxa"/>
            <w:vAlign w:val="bottom"/>
          </w:tcPr>
          <w:p>
            <w:pPr>
              <w:spacing w:after="0"/>
              <w:rPr>
                <w:sz w:val="1"/>
                <w:szCs w:val="1"/>
                <w:color w:val="auto"/>
              </w:rPr>
            </w:pPr>
          </w:p>
        </w:tc>
      </w:tr>
      <w:tr>
        <w:trPr>
          <w:trHeight w:val="191"/>
        </w:trPr>
        <w:tc>
          <w:tcPr>
            <w:tcW w:w="3660" w:type="dxa"/>
            <w:vAlign w:val="bottom"/>
            <w:tcBorders>
              <w:bottom w:val="single" w:sz="8" w:color="D0EBF2"/>
            </w:tcBorders>
            <w:shd w:val="clear" w:color="auto" w:fill="FDFDFC"/>
          </w:tcPr>
          <w:p>
            <w:pPr>
              <w:spacing w:after="0"/>
              <w:rPr>
                <w:sz w:val="16"/>
                <w:szCs w:val="16"/>
                <w:color w:val="auto"/>
              </w:rPr>
            </w:pPr>
          </w:p>
        </w:tc>
        <w:tc>
          <w:tcPr>
            <w:tcW w:w="100" w:type="dxa"/>
            <w:vAlign w:val="bottom"/>
            <w:tcBorders>
              <w:bottom w:val="single" w:sz="8" w:color="D0EBF2"/>
            </w:tcBorders>
            <w:shd w:val="clear" w:color="auto" w:fill="FDFDFC"/>
          </w:tcPr>
          <w:p>
            <w:pPr>
              <w:spacing w:after="0"/>
              <w:rPr>
                <w:sz w:val="16"/>
                <w:szCs w:val="16"/>
                <w:color w:val="auto"/>
              </w:rPr>
            </w:pPr>
          </w:p>
        </w:tc>
        <w:tc>
          <w:tcPr>
            <w:tcW w:w="60" w:type="dxa"/>
            <w:vAlign w:val="bottom"/>
            <w:tcBorders>
              <w:bottom w:val="single" w:sz="8" w:color="D0EBF2"/>
            </w:tcBorders>
            <w:shd w:val="clear" w:color="auto" w:fill="FDFDFC"/>
          </w:tcPr>
          <w:p>
            <w:pPr>
              <w:spacing w:after="0"/>
              <w:rPr>
                <w:sz w:val="16"/>
                <w:szCs w:val="16"/>
                <w:color w:val="auto"/>
              </w:rPr>
            </w:pPr>
          </w:p>
        </w:tc>
        <w:tc>
          <w:tcPr>
            <w:tcW w:w="100" w:type="dxa"/>
            <w:vAlign w:val="bottom"/>
            <w:tcBorders>
              <w:bottom w:val="single" w:sz="8" w:color="D0EBF2"/>
            </w:tcBorders>
            <w:shd w:val="clear" w:color="auto" w:fill="FDFDFC"/>
          </w:tcPr>
          <w:p>
            <w:pPr>
              <w:spacing w:after="0"/>
              <w:rPr>
                <w:sz w:val="16"/>
                <w:szCs w:val="16"/>
                <w:color w:val="auto"/>
              </w:rPr>
            </w:pPr>
          </w:p>
        </w:tc>
        <w:tc>
          <w:tcPr>
            <w:tcW w:w="1220" w:type="dxa"/>
            <w:vAlign w:val="bottom"/>
            <w:tcBorders>
              <w:bottom w:val="single" w:sz="8" w:color="231F20"/>
            </w:tcBorders>
            <w:gridSpan w:val="2"/>
            <w:vMerge w:val="continue"/>
            <w:shd w:val="clear" w:color="auto" w:fill="FDFDFC"/>
          </w:tcPr>
          <w:p>
            <w:pPr>
              <w:spacing w:after="0"/>
              <w:rPr>
                <w:sz w:val="16"/>
                <w:szCs w:val="16"/>
                <w:color w:val="auto"/>
              </w:rPr>
            </w:pPr>
          </w:p>
        </w:tc>
        <w:tc>
          <w:tcPr>
            <w:tcW w:w="60" w:type="dxa"/>
            <w:vAlign w:val="bottom"/>
            <w:tcBorders>
              <w:bottom w:val="single" w:sz="8" w:color="D0EBF2"/>
            </w:tcBorders>
            <w:shd w:val="clear" w:color="auto" w:fill="FDFDFC"/>
          </w:tcPr>
          <w:p>
            <w:pPr>
              <w:spacing w:after="0"/>
              <w:rPr>
                <w:sz w:val="16"/>
                <w:szCs w:val="16"/>
                <w:color w:val="auto"/>
              </w:rPr>
            </w:pPr>
          </w:p>
        </w:tc>
        <w:tc>
          <w:tcPr>
            <w:tcW w:w="40" w:type="dxa"/>
            <w:vAlign w:val="bottom"/>
            <w:tcBorders>
              <w:bottom w:val="single" w:sz="8" w:color="D0EBF2"/>
            </w:tcBorders>
            <w:shd w:val="clear" w:color="auto" w:fill="FDFDFC"/>
          </w:tcPr>
          <w:p>
            <w:pPr>
              <w:spacing w:after="0"/>
              <w:rPr>
                <w:sz w:val="16"/>
                <w:szCs w:val="16"/>
                <w:color w:val="auto"/>
              </w:rPr>
            </w:pPr>
          </w:p>
        </w:tc>
        <w:tc>
          <w:tcPr>
            <w:tcW w:w="100" w:type="dxa"/>
            <w:vAlign w:val="bottom"/>
            <w:tcBorders>
              <w:bottom w:val="single" w:sz="8" w:color="D0EBF2"/>
            </w:tcBorders>
            <w:shd w:val="clear" w:color="auto" w:fill="FDFDFC"/>
          </w:tcPr>
          <w:p>
            <w:pPr>
              <w:spacing w:after="0"/>
              <w:rPr>
                <w:sz w:val="16"/>
                <w:szCs w:val="16"/>
                <w:color w:val="auto"/>
              </w:rPr>
            </w:pPr>
          </w:p>
        </w:tc>
        <w:tc>
          <w:tcPr>
            <w:tcW w:w="60" w:type="dxa"/>
            <w:vAlign w:val="bottom"/>
            <w:tcBorders>
              <w:bottom w:val="single" w:sz="8" w:color="231F20"/>
            </w:tcBorders>
            <w:shd w:val="clear" w:color="auto" w:fill="FDFDFC"/>
          </w:tcPr>
          <w:p>
            <w:pPr>
              <w:spacing w:after="0"/>
              <w:rPr>
                <w:sz w:val="16"/>
                <w:szCs w:val="16"/>
                <w:color w:val="auto"/>
              </w:rPr>
            </w:pPr>
          </w:p>
        </w:tc>
        <w:tc>
          <w:tcPr>
            <w:tcW w:w="220" w:type="dxa"/>
            <w:vAlign w:val="bottom"/>
            <w:tcBorders>
              <w:bottom w:val="single" w:sz="8" w:color="231F20"/>
            </w:tcBorders>
            <w:shd w:val="clear" w:color="auto" w:fill="FDFDFC"/>
          </w:tcPr>
          <w:p>
            <w:pPr>
              <w:spacing w:after="0"/>
              <w:rPr>
                <w:sz w:val="16"/>
                <w:szCs w:val="16"/>
                <w:color w:val="auto"/>
              </w:rPr>
            </w:pPr>
          </w:p>
        </w:tc>
        <w:tc>
          <w:tcPr>
            <w:tcW w:w="1260" w:type="dxa"/>
            <w:vAlign w:val="bottom"/>
            <w:tcBorders>
              <w:bottom w:val="single" w:sz="8" w:color="231F20"/>
            </w:tcBorders>
            <w:gridSpan w:val="2"/>
            <w:vMerge w:val="continue"/>
            <w:shd w:val="clear" w:color="auto" w:fill="FDFDFC"/>
          </w:tcPr>
          <w:p>
            <w:pPr>
              <w:spacing w:after="0"/>
              <w:rPr>
                <w:sz w:val="16"/>
                <w:szCs w:val="16"/>
                <w:color w:val="auto"/>
              </w:rPr>
            </w:pPr>
          </w:p>
        </w:tc>
        <w:tc>
          <w:tcPr>
            <w:tcW w:w="60" w:type="dxa"/>
            <w:vAlign w:val="bottom"/>
            <w:tcBorders>
              <w:bottom w:val="single" w:sz="8" w:color="D0EBF2"/>
            </w:tcBorders>
            <w:shd w:val="clear" w:color="auto" w:fill="FDFDFC"/>
          </w:tcPr>
          <w:p>
            <w:pPr>
              <w:spacing w:after="0"/>
              <w:rPr>
                <w:sz w:val="16"/>
                <w:szCs w:val="16"/>
                <w:color w:val="auto"/>
              </w:rPr>
            </w:pPr>
          </w:p>
        </w:tc>
        <w:tc>
          <w:tcPr>
            <w:tcW w:w="40" w:type="dxa"/>
            <w:vAlign w:val="bottom"/>
            <w:tcBorders>
              <w:bottom w:val="single" w:sz="8" w:color="D0EBF2"/>
            </w:tcBorders>
            <w:shd w:val="clear" w:color="auto" w:fill="FDFDFC"/>
          </w:tcPr>
          <w:p>
            <w:pPr>
              <w:spacing w:after="0"/>
              <w:rPr>
                <w:sz w:val="16"/>
                <w:szCs w:val="16"/>
                <w:color w:val="auto"/>
              </w:rPr>
            </w:pPr>
          </w:p>
        </w:tc>
        <w:tc>
          <w:tcPr>
            <w:tcW w:w="60" w:type="dxa"/>
            <w:vAlign w:val="bottom"/>
            <w:tcBorders>
              <w:bottom w:val="single" w:sz="8" w:color="D0EBF2"/>
            </w:tcBorders>
            <w:shd w:val="clear" w:color="auto" w:fill="FDFDFC"/>
          </w:tcPr>
          <w:p>
            <w:pPr>
              <w:spacing w:after="0"/>
              <w:rPr>
                <w:sz w:val="16"/>
                <w:szCs w:val="16"/>
                <w:color w:val="auto"/>
              </w:rPr>
            </w:pPr>
          </w:p>
        </w:tc>
        <w:tc>
          <w:tcPr>
            <w:tcW w:w="40" w:type="dxa"/>
            <w:vAlign w:val="bottom"/>
            <w:tcBorders>
              <w:bottom w:val="single" w:sz="8" w:color="D0EBF2"/>
            </w:tcBorders>
            <w:shd w:val="clear" w:color="auto" w:fill="FDFDFC"/>
          </w:tcPr>
          <w:p>
            <w:pPr>
              <w:spacing w:after="0"/>
              <w:rPr>
                <w:sz w:val="16"/>
                <w:szCs w:val="16"/>
                <w:color w:val="auto"/>
              </w:rPr>
            </w:pPr>
          </w:p>
        </w:tc>
        <w:tc>
          <w:tcPr>
            <w:tcW w:w="100" w:type="dxa"/>
            <w:vAlign w:val="bottom"/>
            <w:tcBorders>
              <w:bottom w:val="single" w:sz="8" w:color="231F20"/>
            </w:tcBorders>
            <w:shd w:val="clear" w:color="auto" w:fill="FDFDFC"/>
          </w:tcPr>
          <w:p>
            <w:pPr>
              <w:spacing w:after="0"/>
              <w:rPr>
                <w:sz w:val="16"/>
                <w:szCs w:val="16"/>
                <w:color w:val="auto"/>
              </w:rPr>
            </w:pPr>
          </w:p>
        </w:tc>
        <w:tc>
          <w:tcPr>
            <w:tcW w:w="880" w:type="dxa"/>
            <w:vAlign w:val="bottom"/>
            <w:tcBorders>
              <w:bottom w:val="single" w:sz="8" w:color="231F20"/>
            </w:tcBorders>
            <w:shd w:val="clear" w:color="auto" w:fill="FDFDFC"/>
          </w:tcPr>
          <w:p>
            <w:pPr>
              <w:jc w:val="right"/>
              <w:ind w:right="27"/>
              <w:spacing w:after="0"/>
              <w:rPr>
                <w:sz w:val="20"/>
                <w:szCs w:val="20"/>
                <w:color w:val="auto"/>
              </w:rPr>
            </w:pPr>
            <w:r>
              <w:rPr>
                <w:rFonts w:ascii="Times New Roman" w:cs="Times New Roman" w:eastAsia="Times New Roman" w:hAnsi="Times New Roman"/>
                <w:sz w:val="15"/>
                <w:szCs w:val="15"/>
                <w:b w:val="1"/>
                <w:bCs w:val="1"/>
                <w:color w:val="231F20"/>
                <w:w w:val="99"/>
              </w:rPr>
              <w:t>Gain (Loss)</w:t>
            </w:r>
          </w:p>
        </w:tc>
        <w:tc>
          <w:tcPr>
            <w:tcW w:w="100" w:type="dxa"/>
            <w:vAlign w:val="bottom"/>
            <w:tcBorders>
              <w:bottom w:val="single" w:sz="8" w:color="D0EBF2"/>
            </w:tcBorders>
            <w:shd w:val="clear" w:color="auto" w:fill="FDFDFC"/>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3760" w:type="dxa"/>
            <w:vAlign w:val="bottom"/>
            <w:gridSpan w:val="2"/>
            <w:shd w:val="clear" w:color="auto" w:fill="D0EBF2"/>
          </w:tcPr>
          <w:p>
            <w:pPr>
              <w:spacing w:after="0" w:line="206" w:lineRule="exact"/>
              <w:rPr>
                <w:sz w:val="20"/>
                <w:szCs w:val="20"/>
                <w:color w:val="auto"/>
              </w:rPr>
            </w:pPr>
            <w:r>
              <w:rPr>
                <w:rFonts w:ascii="Times New Roman" w:cs="Times New Roman" w:eastAsia="Times New Roman" w:hAnsi="Times New Roman"/>
                <w:sz w:val="19"/>
                <w:szCs w:val="19"/>
                <w:color w:val="231F20"/>
              </w:rPr>
              <w:t>First-lien debt investments</w:t>
            </w:r>
          </w:p>
        </w:tc>
        <w:tc>
          <w:tcPr>
            <w:tcW w:w="60" w:type="dxa"/>
            <w:vAlign w:val="bottom"/>
            <w:shd w:val="clear" w:color="auto" w:fill="D0EBF2"/>
          </w:tcPr>
          <w:p>
            <w:pPr>
              <w:spacing w:after="0"/>
              <w:rPr>
                <w:sz w:val="17"/>
                <w:szCs w:val="17"/>
                <w:color w:val="auto"/>
              </w:rPr>
            </w:pPr>
          </w:p>
        </w:tc>
        <w:tc>
          <w:tcPr>
            <w:tcW w:w="100" w:type="dxa"/>
            <w:vAlign w:val="bottom"/>
            <w:shd w:val="clear" w:color="auto" w:fill="D0EBF2"/>
          </w:tcPr>
          <w:p>
            <w:pPr>
              <w:spacing w:after="0"/>
              <w:rPr>
                <w:sz w:val="17"/>
                <w:szCs w:val="17"/>
                <w:color w:val="auto"/>
              </w:rPr>
            </w:pPr>
          </w:p>
        </w:tc>
        <w:tc>
          <w:tcPr>
            <w:tcW w:w="280" w:type="dxa"/>
            <w:vAlign w:val="bottom"/>
            <w:shd w:val="clear" w:color="auto" w:fill="D0EBF2"/>
          </w:tcPr>
          <w:p>
            <w:pPr>
              <w:spacing w:after="0" w:line="206" w:lineRule="exact"/>
              <w:rPr>
                <w:sz w:val="20"/>
                <w:szCs w:val="20"/>
                <w:color w:val="auto"/>
              </w:rPr>
            </w:pPr>
            <w:r>
              <w:rPr>
                <w:rFonts w:ascii="Times New Roman" w:cs="Times New Roman" w:eastAsia="Times New Roman" w:hAnsi="Times New Roman"/>
                <w:sz w:val="19"/>
                <w:szCs w:val="19"/>
                <w:color w:val="231F20"/>
              </w:rPr>
              <w:t>$</w:t>
            </w:r>
          </w:p>
        </w:tc>
        <w:tc>
          <w:tcPr>
            <w:tcW w:w="940" w:type="dxa"/>
            <w:vAlign w:val="bottom"/>
            <w:shd w:val="clear" w:color="auto" w:fill="D0EBF2"/>
          </w:tcPr>
          <w:p>
            <w:pPr>
              <w:jc w:val="right"/>
              <w:spacing w:after="0" w:line="206" w:lineRule="exact"/>
              <w:rPr>
                <w:sz w:val="20"/>
                <w:szCs w:val="20"/>
                <w:color w:val="auto"/>
              </w:rPr>
            </w:pPr>
            <w:r>
              <w:rPr>
                <w:rFonts w:ascii="Times New Roman" w:cs="Times New Roman" w:eastAsia="Times New Roman" w:hAnsi="Times New Roman"/>
                <w:sz w:val="19"/>
                <w:szCs w:val="19"/>
                <w:color w:val="231F20"/>
              </w:rPr>
              <w:t>2,956,079</w:t>
            </w:r>
          </w:p>
        </w:tc>
        <w:tc>
          <w:tcPr>
            <w:tcW w:w="60" w:type="dxa"/>
            <w:vAlign w:val="bottom"/>
            <w:shd w:val="clear" w:color="auto" w:fill="D0EBF2"/>
          </w:tcPr>
          <w:p>
            <w:pPr>
              <w:spacing w:after="0"/>
              <w:rPr>
                <w:sz w:val="17"/>
                <w:szCs w:val="17"/>
                <w:color w:val="auto"/>
              </w:rPr>
            </w:pPr>
          </w:p>
        </w:tc>
        <w:tc>
          <w:tcPr>
            <w:tcW w:w="40" w:type="dxa"/>
            <w:vAlign w:val="bottom"/>
            <w:shd w:val="clear" w:color="auto" w:fill="D0EBF2"/>
          </w:tcPr>
          <w:p>
            <w:pPr>
              <w:spacing w:after="0"/>
              <w:rPr>
                <w:sz w:val="17"/>
                <w:szCs w:val="17"/>
                <w:color w:val="auto"/>
              </w:rPr>
            </w:pPr>
          </w:p>
        </w:tc>
        <w:tc>
          <w:tcPr>
            <w:tcW w:w="100" w:type="dxa"/>
            <w:vAlign w:val="bottom"/>
            <w:shd w:val="clear" w:color="auto" w:fill="D0EBF2"/>
          </w:tcPr>
          <w:p>
            <w:pPr>
              <w:spacing w:after="0"/>
              <w:rPr>
                <w:sz w:val="17"/>
                <w:szCs w:val="17"/>
                <w:color w:val="auto"/>
              </w:rPr>
            </w:pPr>
          </w:p>
        </w:tc>
        <w:tc>
          <w:tcPr>
            <w:tcW w:w="280" w:type="dxa"/>
            <w:vAlign w:val="bottom"/>
            <w:gridSpan w:val="2"/>
            <w:shd w:val="clear" w:color="auto" w:fill="D0EBF2"/>
          </w:tcPr>
          <w:p>
            <w:pPr>
              <w:jc w:val="right"/>
              <w:ind w:right="86"/>
              <w:spacing w:after="0" w:line="206" w:lineRule="exact"/>
              <w:rPr>
                <w:sz w:val="20"/>
                <w:szCs w:val="20"/>
                <w:color w:val="auto"/>
              </w:rPr>
            </w:pPr>
            <w:r>
              <w:rPr>
                <w:rFonts w:ascii="Times New Roman" w:cs="Times New Roman" w:eastAsia="Times New Roman" w:hAnsi="Times New Roman"/>
                <w:sz w:val="19"/>
                <w:szCs w:val="19"/>
                <w:color w:val="231F20"/>
                <w:w w:val="83"/>
              </w:rPr>
              <w:t>$</w:t>
            </w:r>
          </w:p>
        </w:tc>
        <w:tc>
          <w:tcPr>
            <w:tcW w:w="1260" w:type="dxa"/>
            <w:vAlign w:val="bottom"/>
            <w:gridSpan w:val="2"/>
            <w:shd w:val="clear" w:color="auto" w:fill="D0EBF2"/>
          </w:tcPr>
          <w:p>
            <w:pPr>
              <w:jc w:val="right"/>
              <w:ind w:right="20"/>
              <w:spacing w:after="0" w:line="206" w:lineRule="exact"/>
              <w:rPr>
                <w:sz w:val="20"/>
                <w:szCs w:val="20"/>
                <w:color w:val="auto"/>
              </w:rPr>
            </w:pPr>
            <w:r>
              <w:rPr>
                <w:rFonts w:ascii="Times New Roman" w:cs="Times New Roman" w:eastAsia="Times New Roman" w:hAnsi="Times New Roman"/>
                <w:sz w:val="19"/>
                <w:szCs w:val="19"/>
                <w:color w:val="231F20"/>
              </w:rPr>
              <w:t>2,996,177</w:t>
            </w:r>
          </w:p>
        </w:tc>
        <w:tc>
          <w:tcPr>
            <w:tcW w:w="60" w:type="dxa"/>
            <w:vAlign w:val="bottom"/>
            <w:shd w:val="clear" w:color="auto" w:fill="D0EBF2"/>
          </w:tcPr>
          <w:p>
            <w:pPr>
              <w:spacing w:after="0"/>
              <w:rPr>
                <w:sz w:val="17"/>
                <w:szCs w:val="17"/>
                <w:color w:val="auto"/>
              </w:rPr>
            </w:pPr>
          </w:p>
        </w:tc>
        <w:tc>
          <w:tcPr>
            <w:tcW w:w="40" w:type="dxa"/>
            <w:vAlign w:val="bottom"/>
            <w:shd w:val="clear" w:color="auto" w:fill="D0EBF2"/>
          </w:tcPr>
          <w:p>
            <w:pPr>
              <w:spacing w:after="0"/>
              <w:rPr>
                <w:sz w:val="17"/>
                <w:szCs w:val="17"/>
                <w:color w:val="auto"/>
              </w:rPr>
            </w:pPr>
          </w:p>
        </w:tc>
        <w:tc>
          <w:tcPr>
            <w:tcW w:w="100" w:type="dxa"/>
            <w:vAlign w:val="bottom"/>
            <w:gridSpan w:val="2"/>
            <w:shd w:val="clear" w:color="auto" w:fill="D0EBF2"/>
          </w:tcPr>
          <w:p>
            <w:pPr>
              <w:spacing w:after="0"/>
              <w:rPr>
                <w:sz w:val="17"/>
                <w:szCs w:val="17"/>
                <w:color w:val="auto"/>
              </w:rPr>
            </w:pPr>
          </w:p>
        </w:tc>
        <w:tc>
          <w:tcPr>
            <w:tcW w:w="100" w:type="dxa"/>
            <w:vAlign w:val="bottom"/>
            <w:shd w:val="clear" w:color="auto" w:fill="D0EBF2"/>
          </w:tcPr>
          <w:p>
            <w:pPr>
              <w:spacing w:after="0" w:line="206" w:lineRule="exact"/>
              <w:rPr>
                <w:sz w:val="20"/>
                <w:szCs w:val="20"/>
                <w:color w:val="auto"/>
              </w:rPr>
            </w:pPr>
            <w:r>
              <w:rPr>
                <w:rFonts w:ascii="Times New Roman" w:cs="Times New Roman" w:eastAsia="Times New Roman" w:hAnsi="Times New Roman"/>
                <w:sz w:val="19"/>
                <w:szCs w:val="19"/>
                <w:color w:val="231F20"/>
                <w:w w:val="83"/>
              </w:rPr>
              <w:t>$</w:t>
            </w:r>
          </w:p>
        </w:tc>
        <w:tc>
          <w:tcPr>
            <w:tcW w:w="880" w:type="dxa"/>
            <w:vAlign w:val="bottom"/>
            <w:shd w:val="clear" w:color="auto" w:fill="D0EBF2"/>
          </w:tcPr>
          <w:p>
            <w:pPr>
              <w:jc w:val="right"/>
              <w:spacing w:after="0" w:line="206" w:lineRule="exact"/>
              <w:rPr>
                <w:sz w:val="20"/>
                <w:szCs w:val="20"/>
                <w:color w:val="auto"/>
              </w:rPr>
            </w:pPr>
            <w:r>
              <w:rPr>
                <w:rFonts w:ascii="Times New Roman" w:cs="Times New Roman" w:eastAsia="Times New Roman" w:hAnsi="Times New Roman"/>
                <w:sz w:val="19"/>
                <w:szCs w:val="19"/>
                <w:color w:val="231F20"/>
              </w:rPr>
              <w:t>40,098</w:t>
            </w:r>
          </w:p>
        </w:tc>
        <w:tc>
          <w:tcPr>
            <w:tcW w:w="100" w:type="dxa"/>
            <w:vAlign w:val="bottom"/>
            <w:shd w:val="clear" w:color="auto" w:fill="D0EBF2"/>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3760" w:type="dxa"/>
            <w:vAlign w:val="bottom"/>
            <w:gridSpan w:val="2"/>
            <w:shd w:val="clear" w:color="auto" w:fill="FDFDFC"/>
          </w:tcPr>
          <w:p>
            <w:pPr>
              <w:spacing w:after="0" w:line="217" w:lineRule="exact"/>
              <w:rPr>
                <w:sz w:val="20"/>
                <w:szCs w:val="20"/>
                <w:color w:val="auto"/>
              </w:rPr>
            </w:pPr>
            <w:r>
              <w:rPr>
                <w:rFonts w:ascii="Times New Roman" w:cs="Times New Roman" w:eastAsia="Times New Roman" w:hAnsi="Times New Roman"/>
                <w:sz w:val="19"/>
                <w:szCs w:val="19"/>
                <w:color w:val="231F20"/>
              </w:rPr>
              <w:t>Second-lien debt investments</w:t>
            </w:r>
          </w:p>
        </w:tc>
        <w:tc>
          <w:tcPr>
            <w:tcW w:w="60" w:type="dxa"/>
            <w:vAlign w:val="bottom"/>
            <w:shd w:val="clear" w:color="auto" w:fill="FDFDFC"/>
          </w:tcPr>
          <w:p>
            <w:pPr>
              <w:spacing w:after="0"/>
              <w:rPr>
                <w:sz w:val="18"/>
                <w:szCs w:val="18"/>
                <w:color w:val="auto"/>
              </w:rPr>
            </w:pPr>
          </w:p>
        </w:tc>
        <w:tc>
          <w:tcPr>
            <w:tcW w:w="100" w:type="dxa"/>
            <w:vAlign w:val="bottom"/>
            <w:shd w:val="clear" w:color="auto" w:fill="FDFDFC"/>
          </w:tcPr>
          <w:p>
            <w:pPr>
              <w:spacing w:after="0"/>
              <w:rPr>
                <w:sz w:val="18"/>
                <w:szCs w:val="18"/>
                <w:color w:val="auto"/>
              </w:rPr>
            </w:pPr>
          </w:p>
        </w:tc>
        <w:tc>
          <w:tcPr>
            <w:tcW w:w="280" w:type="dxa"/>
            <w:vAlign w:val="bottom"/>
            <w:shd w:val="clear" w:color="auto" w:fill="FDFDFC"/>
          </w:tcPr>
          <w:p>
            <w:pPr>
              <w:spacing w:after="0"/>
              <w:rPr>
                <w:sz w:val="18"/>
                <w:szCs w:val="18"/>
                <w:color w:val="auto"/>
              </w:rPr>
            </w:pPr>
          </w:p>
        </w:tc>
        <w:tc>
          <w:tcPr>
            <w:tcW w:w="940" w:type="dxa"/>
            <w:vAlign w:val="bottom"/>
            <w:shd w:val="clear" w:color="auto" w:fill="FDFDFC"/>
          </w:tcPr>
          <w:p>
            <w:pPr>
              <w:jc w:val="right"/>
              <w:spacing w:after="0" w:line="217" w:lineRule="exact"/>
              <w:rPr>
                <w:sz w:val="20"/>
                <w:szCs w:val="20"/>
                <w:color w:val="auto"/>
              </w:rPr>
            </w:pPr>
            <w:r>
              <w:rPr>
                <w:rFonts w:ascii="Times New Roman" w:cs="Times New Roman" w:eastAsia="Times New Roman" w:hAnsi="Times New Roman"/>
                <w:sz w:val="19"/>
                <w:szCs w:val="19"/>
                <w:color w:val="231F20"/>
              </w:rPr>
              <w:t>51,423</w:t>
            </w:r>
          </w:p>
        </w:tc>
        <w:tc>
          <w:tcPr>
            <w:tcW w:w="60" w:type="dxa"/>
            <w:vAlign w:val="bottom"/>
            <w:shd w:val="clear" w:color="auto" w:fill="FDFDFC"/>
          </w:tcPr>
          <w:p>
            <w:pPr>
              <w:spacing w:after="0"/>
              <w:rPr>
                <w:sz w:val="18"/>
                <w:szCs w:val="18"/>
                <w:color w:val="auto"/>
              </w:rPr>
            </w:pPr>
          </w:p>
        </w:tc>
        <w:tc>
          <w:tcPr>
            <w:tcW w:w="40" w:type="dxa"/>
            <w:vAlign w:val="bottom"/>
            <w:shd w:val="clear" w:color="auto" w:fill="FDFDFC"/>
          </w:tcPr>
          <w:p>
            <w:pPr>
              <w:spacing w:after="0"/>
              <w:rPr>
                <w:sz w:val="18"/>
                <w:szCs w:val="18"/>
                <w:color w:val="auto"/>
              </w:rPr>
            </w:pPr>
          </w:p>
        </w:tc>
        <w:tc>
          <w:tcPr>
            <w:tcW w:w="100" w:type="dxa"/>
            <w:vAlign w:val="bottom"/>
            <w:shd w:val="clear" w:color="auto" w:fill="FDFDFC"/>
          </w:tcPr>
          <w:p>
            <w:pPr>
              <w:spacing w:after="0"/>
              <w:rPr>
                <w:sz w:val="18"/>
                <w:szCs w:val="18"/>
                <w:color w:val="auto"/>
              </w:rPr>
            </w:pPr>
          </w:p>
        </w:tc>
        <w:tc>
          <w:tcPr>
            <w:tcW w:w="60" w:type="dxa"/>
            <w:vAlign w:val="bottom"/>
            <w:shd w:val="clear" w:color="auto" w:fill="FDFDFC"/>
          </w:tcPr>
          <w:p>
            <w:pPr>
              <w:spacing w:after="0"/>
              <w:rPr>
                <w:sz w:val="18"/>
                <w:szCs w:val="18"/>
                <w:color w:val="auto"/>
              </w:rPr>
            </w:pPr>
          </w:p>
        </w:tc>
        <w:tc>
          <w:tcPr>
            <w:tcW w:w="220" w:type="dxa"/>
            <w:vAlign w:val="bottom"/>
            <w:shd w:val="clear" w:color="auto" w:fill="FDFDFC"/>
          </w:tcPr>
          <w:p>
            <w:pPr>
              <w:spacing w:after="0"/>
              <w:rPr>
                <w:sz w:val="18"/>
                <w:szCs w:val="18"/>
                <w:color w:val="auto"/>
              </w:rPr>
            </w:pPr>
          </w:p>
        </w:tc>
        <w:tc>
          <w:tcPr>
            <w:tcW w:w="1260" w:type="dxa"/>
            <w:vAlign w:val="bottom"/>
            <w:gridSpan w:val="2"/>
            <w:shd w:val="clear" w:color="auto" w:fill="FDFDFC"/>
          </w:tcPr>
          <w:p>
            <w:pPr>
              <w:jc w:val="right"/>
              <w:ind w:right="20"/>
              <w:spacing w:after="0" w:line="217" w:lineRule="exact"/>
              <w:rPr>
                <w:sz w:val="20"/>
                <w:szCs w:val="20"/>
                <w:color w:val="auto"/>
              </w:rPr>
            </w:pPr>
            <w:r>
              <w:rPr>
                <w:rFonts w:ascii="Times New Roman" w:cs="Times New Roman" w:eastAsia="Times New Roman" w:hAnsi="Times New Roman"/>
                <w:sz w:val="19"/>
                <w:szCs w:val="19"/>
                <w:color w:val="231F20"/>
              </w:rPr>
              <w:t>35,975</w:t>
            </w:r>
          </w:p>
        </w:tc>
        <w:tc>
          <w:tcPr>
            <w:tcW w:w="60" w:type="dxa"/>
            <w:vAlign w:val="bottom"/>
            <w:shd w:val="clear" w:color="auto" w:fill="FDFDFC"/>
          </w:tcPr>
          <w:p>
            <w:pPr>
              <w:spacing w:after="0"/>
              <w:rPr>
                <w:sz w:val="18"/>
                <w:szCs w:val="18"/>
                <w:color w:val="auto"/>
              </w:rPr>
            </w:pPr>
          </w:p>
        </w:tc>
        <w:tc>
          <w:tcPr>
            <w:tcW w:w="40" w:type="dxa"/>
            <w:vAlign w:val="bottom"/>
            <w:shd w:val="clear" w:color="auto" w:fill="FDFDFC"/>
          </w:tcPr>
          <w:p>
            <w:pPr>
              <w:spacing w:after="0"/>
              <w:rPr>
                <w:sz w:val="18"/>
                <w:szCs w:val="18"/>
                <w:color w:val="auto"/>
              </w:rPr>
            </w:pPr>
          </w:p>
        </w:tc>
        <w:tc>
          <w:tcPr>
            <w:tcW w:w="60" w:type="dxa"/>
            <w:vAlign w:val="bottom"/>
            <w:shd w:val="clear" w:color="auto" w:fill="FDFDFC"/>
          </w:tcPr>
          <w:p>
            <w:pPr>
              <w:spacing w:after="0"/>
              <w:rPr>
                <w:sz w:val="18"/>
                <w:szCs w:val="18"/>
                <w:color w:val="auto"/>
              </w:rPr>
            </w:pPr>
          </w:p>
        </w:tc>
        <w:tc>
          <w:tcPr>
            <w:tcW w:w="40" w:type="dxa"/>
            <w:vAlign w:val="bottom"/>
            <w:shd w:val="clear" w:color="auto" w:fill="FDFDFC"/>
          </w:tcPr>
          <w:p>
            <w:pPr>
              <w:spacing w:after="0"/>
              <w:rPr>
                <w:sz w:val="18"/>
                <w:szCs w:val="18"/>
                <w:color w:val="auto"/>
              </w:rPr>
            </w:pPr>
          </w:p>
        </w:tc>
        <w:tc>
          <w:tcPr>
            <w:tcW w:w="100" w:type="dxa"/>
            <w:vAlign w:val="bottom"/>
            <w:shd w:val="clear" w:color="auto" w:fill="FDFDFC"/>
          </w:tcPr>
          <w:p>
            <w:pPr>
              <w:spacing w:after="0"/>
              <w:rPr>
                <w:sz w:val="18"/>
                <w:szCs w:val="18"/>
                <w:color w:val="auto"/>
              </w:rPr>
            </w:pPr>
          </w:p>
        </w:tc>
        <w:tc>
          <w:tcPr>
            <w:tcW w:w="880" w:type="dxa"/>
            <w:vAlign w:val="bottom"/>
            <w:shd w:val="clear" w:color="auto" w:fill="FDFDFC"/>
          </w:tcPr>
          <w:p>
            <w:pPr>
              <w:jc w:val="right"/>
              <w:spacing w:after="0" w:line="217" w:lineRule="exact"/>
              <w:rPr>
                <w:sz w:val="20"/>
                <w:szCs w:val="20"/>
                <w:color w:val="auto"/>
              </w:rPr>
            </w:pPr>
            <w:r>
              <w:rPr>
                <w:rFonts w:ascii="Times New Roman" w:cs="Times New Roman" w:eastAsia="Times New Roman" w:hAnsi="Times New Roman"/>
                <w:sz w:val="19"/>
                <w:szCs w:val="19"/>
                <w:color w:val="231F20"/>
              </w:rPr>
              <w:t>(15,448)</w:t>
            </w:r>
          </w:p>
        </w:tc>
        <w:tc>
          <w:tcPr>
            <w:tcW w:w="100" w:type="dxa"/>
            <w:vAlign w:val="bottom"/>
            <w:shd w:val="clear" w:color="auto" w:fill="FDFDFC"/>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3760" w:type="dxa"/>
            <w:vAlign w:val="bottom"/>
            <w:gridSpan w:val="2"/>
            <w:shd w:val="clear" w:color="auto" w:fill="D0EBF2"/>
          </w:tcPr>
          <w:p>
            <w:pPr>
              <w:spacing w:after="0" w:line="217" w:lineRule="exact"/>
              <w:rPr>
                <w:sz w:val="20"/>
                <w:szCs w:val="20"/>
                <w:color w:val="auto"/>
              </w:rPr>
            </w:pPr>
            <w:r>
              <w:rPr>
                <w:rFonts w:ascii="Times New Roman" w:cs="Times New Roman" w:eastAsia="Times New Roman" w:hAnsi="Times New Roman"/>
                <w:sz w:val="19"/>
                <w:szCs w:val="19"/>
                <w:color w:val="231F20"/>
              </w:rPr>
              <w:t>Mezzanine debt investments</w:t>
            </w:r>
          </w:p>
        </w:tc>
        <w:tc>
          <w:tcPr>
            <w:tcW w:w="60" w:type="dxa"/>
            <w:vAlign w:val="bottom"/>
            <w:shd w:val="clear" w:color="auto" w:fill="D0EBF2"/>
          </w:tcPr>
          <w:p>
            <w:pPr>
              <w:spacing w:after="0"/>
              <w:rPr>
                <w:sz w:val="18"/>
                <w:szCs w:val="18"/>
                <w:color w:val="auto"/>
              </w:rPr>
            </w:pPr>
          </w:p>
        </w:tc>
        <w:tc>
          <w:tcPr>
            <w:tcW w:w="100" w:type="dxa"/>
            <w:vAlign w:val="bottom"/>
            <w:shd w:val="clear" w:color="auto" w:fill="D0EBF2"/>
          </w:tcPr>
          <w:p>
            <w:pPr>
              <w:spacing w:after="0"/>
              <w:rPr>
                <w:sz w:val="18"/>
                <w:szCs w:val="18"/>
                <w:color w:val="auto"/>
              </w:rPr>
            </w:pPr>
          </w:p>
        </w:tc>
        <w:tc>
          <w:tcPr>
            <w:tcW w:w="280" w:type="dxa"/>
            <w:vAlign w:val="bottom"/>
            <w:shd w:val="clear" w:color="auto" w:fill="D0EBF2"/>
          </w:tcPr>
          <w:p>
            <w:pPr>
              <w:spacing w:after="0"/>
              <w:rPr>
                <w:sz w:val="18"/>
                <w:szCs w:val="18"/>
                <w:color w:val="auto"/>
              </w:rPr>
            </w:pPr>
          </w:p>
        </w:tc>
        <w:tc>
          <w:tcPr>
            <w:tcW w:w="940" w:type="dxa"/>
            <w:vAlign w:val="bottom"/>
            <w:shd w:val="clear" w:color="auto" w:fill="D0EBF2"/>
          </w:tcPr>
          <w:p>
            <w:pPr>
              <w:jc w:val="right"/>
              <w:spacing w:after="0" w:line="217" w:lineRule="exact"/>
              <w:rPr>
                <w:sz w:val="20"/>
                <w:szCs w:val="20"/>
                <w:color w:val="auto"/>
              </w:rPr>
            </w:pPr>
            <w:r>
              <w:rPr>
                <w:rFonts w:ascii="Times New Roman" w:cs="Times New Roman" w:eastAsia="Times New Roman" w:hAnsi="Times New Roman"/>
                <w:sz w:val="19"/>
                <w:szCs w:val="19"/>
                <w:color w:val="231F20"/>
              </w:rPr>
              <w:t>38,022</w:t>
            </w:r>
          </w:p>
        </w:tc>
        <w:tc>
          <w:tcPr>
            <w:tcW w:w="60" w:type="dxa"/>
            <w:vAlign w:val="bottom"/>
            <w:shd w:val="clear" w:color="auto" w:fill="D0EBF2"/>
          </w:tcPr>
          <w:p>
            <w:pPr>
              <w:spacing w:after="0"/>
              <w:rPr>
                <w:sz w:val="18"/>
                <w:szCs w:val="18"/>
                <w:color w:val="auto"/>
              </w:rPr>
            </w:pPr>
          </w:p>
        </w:tc>
        <w:tc>
          <w:tcPr>
            <w:tcW w:w="40" w:type="dxa"/>
            <w:vAlign w:val="bottom"/>
            <w:shd w:val="clear" w:color="auto" w:fill="D0EBF2"/>
          </w:tcPr>
          <w:p>
            <w:pPr>
              <w:spacing w:after="0"/>
              <w:rPr>
                <w:sz w:val="18"/>
                <w:szCs w:val="18"/>
                <w:color w:val="auto"/>
              </w:rPr>
            </w:pPr>
          </w:p>
        </w:tc>
        <w:tc>
          <w:tcPr>
            <w:tcW w:w="100" w:type="dxa"/>
            <w:vAlign w:val="bottom"/>
            <w:shd w:val="clear" w:color="auto" w:fill="D0EBF2"/>
          </w:tcPr>
          <w:p>
            <w:pPr>
              <w:spacing w:after="0"/>
              <w:rPr>
                <w:sz w:val="18"/>
                <w:szCs w:val="18"/>
                <w:color w:val="auto"/>
              </w:rPr>
            </w:pPr>
          </w:p>
        </w:tc>
        <w:tc>
          <w:tcPr>
            <w:tcW w:w="60" w:type="dxa"/>
            <w:vAlign w:val="bottom"/>
            <w:shd w:val="clear" w:color="auto" w:fill="D0EBF2"/>
          </w:tcPr>
          <w:p>
            <w:pPr>
              <w:spacing w:after="0"/>
              <w:rPr>
                <w:sz w:val="18"/>
                <w:szCs w:val="18"/>
                <w:color w:val="auto"/>
              </w:rPr>
            </w:pPr>
          </w:p>
        </w:tc>
        <w:tc>
          <w:tcPr>
            <w:tcW w:w="220" w:type="dxa"/>
            <w:vAlign w:val="bottom"/>
            <w:shd w:val="clear" w:color="auto" w:fill="D0EBF2"/>
          </w:tcPr>
          <w:p>
            <w:pPr>
              <w:spacing w:after="0"/>
              <w:rPr>
                <w:sz w:val="18"/>
                <w:szCs w:val="18"/>
                <w:color w:val="auto"/>
              </w:rPr>
            </w:pPr>
          </w:p>
        </w:tc>
        <w:tc>
          <w:tcPr>
            <w:tcW w:w="1260" w:type="dxa"/>
            <w:vAlign w:val="bottom"/>
            <w:gridSpan w:val="2"/>
            <w:shd w:val="clear" w:color="auto" w:fill="D0EBF2"/>
          </w:tcPr>
          <w:p>
            <w:pPr>
              <w:jc w:val="right"/>
              <w:ind w:right="20"/>
              <w:spacing w:after="0" w:line="217" w:lineRule="exact"/>
              <w:rPr>
                <w:sz w:val="20"/>
                <w:szCs w:val="20"/>
                <w:color w:val="auto"/>
              </w:rPr>
            </w:pPr>
            <w:r>
              <w:rPr>
                <w:rFonts w:ascii="Times New Roman" w:cs="Times New Roman" w:eastAsia="Times New Roman" w:hAnsi="Times New Roman"/>
                <w:sz w:val="19"/>
                <w:szCs w:val="19"/>
                <w:color w:val="231F20"/>
              </w:rPr>
              <w:t>39,471</w:t>
            </w:r>
          </w:p>
        </w:tc>
        <w:tc>
          <w:tcPr>
            <w:tcW w:w="60" w:type="dxa"/>
            <w:vAlign w:val="bottom"/>
            <w:shd w:val="clear" w:color="auto" w:fill="D0EBF2"/>
          </w:tcPr>
          <w:p>
            <w:pPr>
              <w:spacing w:after="0"/>
              <w:rPr>
                <w:sz w:val="18"/>
                <w:szCs w:val="18"/>
                <w:color w:val="auto"/>
              </w:rPr>
            </w:pPr>
          </w:p>
        </w:tc>
        <w:tc>
          <w:tcPr>
            <w:tcW w:w="40" w:type="dxa"/>
            <w:vAlign w:val="bottom"/>
            <w:shd w:val="clear" w:color="auto" w:fill="D0EBF2"/>
          </w:tcPr>
          <w:p>
            <w:pPr>
              <w:spacing w:after="0"/>
              <w:rPr>
                <w:sz w:val="18"/>
                <w:szCs w:val="18"/>
                <w:color w:val="auto"/>
              </w:rPr>
            </w:pPr>
          </w:p>
        </w:tc>
        <w:tc>
          <w:tcPr>
            <w:tcW w:w="60" w:type="dxa"/>
            <w:vAlign w:val="bottom"/>
            <w:shd w:val="clear" w:color="auto" w:fill="D0EBF2"/>
          </w:tcPr>
          <w:p>
            <w:pPr>
              <w:spacing w:after="0"/>
              <w:rPr>
                <w:sz w:val="18"/>
                <w:szCs w:val="18"/>
                <w:color w:val="auto"/>
              </w:rPr>
            </w:pPr>
          </w:p>
        </w:tc>
        <w:tc>
          <w:tcPr>
            <w:tcW w:w="40" w:type="dxa"/>
            <w:vAlign w:val="bottom"/>
            <w:shd w:val="clear" w:color="auto" w:fill="D0EBF2"/>
          </w:tcPr>
          <w:p>
            <w:pPr>
              <w:spacing w:after="0"/>
              <w:rPr>
                <w:sz w:val="18"/>
                <w:szCs w:val="18"/>
                <w:color w:val="auto"/>
              </w:rPr>
            </w:pPr>
          </w:p>
        </w:tc>
        <w:tc>
          <w:tcPr>
            <w:tcW w:w="100" w:type="dxa"/>
            <w:vAlign w:val="bottom"/>
            <w:shd w:val="clear" w:color="auto" w:fill="D0EBF2"/>
          </w:tcPr>
          <w:p>
            <w:pPr>
              <w:spacing w:after="0"/>
              <w:rPr>
                <w:sz w:val="18"/>
                <w:szCs w:val="18"/>
                <w:color w:val="auto"/>
              </w:rPr>
            </w:pPr>
          </w:p>
        </w:tc>
        <w:tc>
          <w:tcPr>
            <w:tcW w:w="880" w:type="dxa"/>
            <w:vAlign w:val="bottom"/>
            <w:shd w:val="clear" w:color="auto" w:fill="D0EBF2"/>
          </w:tcPr>
          <w:p>
            <w:pPr>
              <w:jc w:val="right"/>
              <w:spacing w:after="0" w:line="217" w:lineRule="exact"/>
              <w:rPr>
                <w:sz w:val="20"/>
                <w:szCs w:val="20"/>
                <w:color w:val="auto"/>
              </w:rPr>
            </w:pPr>
            <w:r>
              <w:rPr>
                <w:rFonts w:ascii="Times New Roman" w:cs="Times New Roman" w:eastAsia="Times New Roman" w:hAnsi="Times New Roman"/>
                <w:sz w:val="19"/>
                <w:szCs w:val="19"/>
                <w:color w:val="231F20"/>
              </w:rPr>
              <w:t>1,449</w:t>
            </w:r>
          </w:p>
        </w:tc>
        <w:tc>
          <w:tcPr>
            <w:tcW w:w="100" w:type="dxa"/>
            <w:vAlign w:val="bottom"/>
            <w:shd w:val="clear" w:color="auto" w:fill="D0EBF2"/>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3760" w:type="dxa"/>
            <w:vAlign w:val="bottom"/>
            <w:gridSpan w:val="2"/>
            <w:shd w:val="clear" w:color="auto" w:fill="FDFDFC"/>
          </w:tcPr>
          <w:p>
            <w:pPr>
              <w:spacing w:after="0" w:line="217" w:lineRule="exact"/>
              <w:rPr>
                <w:sz w:val="20"/>
                <w:szCs w:val="20"/>
                <w:color w:val="auto"/>
              </w:rPr>
            </w:pPr>
            <w:r>
              <w:rPr>
                <w:rFonts w:ascii="Times New Roman" w:cs="Times New Roman" w:eastAsia="Times New Roman" w:hAnsi="Times New Roman"/>
                <w:sz w:val="19"/>
                <w:szCs w:val="19"/>
                <w:color w:val="231F20"/>
              </w:rPr>
              <w:t>Equity and other investments</w:t>
            </w:r>
          </w:p>
        </w:tc>
        <w:tc>
          <w:tcPr>
            <w:tcW w:w="60" w:type="dxa"/>
            <w:vAlign w:val="bottom"/>
            <w:shd w:val="clear" w:color="auto" w:fill="FDFDFC"/>
          </w:tcPr>
          <w:p>
            <w:pPr>
              <w:spacing w:after="0"/>
              <w:rPr>
                <w:sz w:val="18"/>
                <w:szCs w:val="18"/>
                <w:color w:val="auto"/>
              </w:rPr>
            </w:pPr>
          </w:p>
        </w:tc>
        <w:tc>
          <w:tcPr>
            <w:tcW w:w="100" w:type="dxa"/>
            <w:vAlign w:val="bottom"/>
            <w:shd w:val="clear" w:color="auto" w:fill="FDFDFC"/>
          </w:tcPr>
          <w:p>
            <w:pPr>
              <w:spacing w:after="0"/>
              <w:rPr>
                <w:sz w:val="18"/>
                <w:szCs w:val="18"/>
                <w:color w:val="auto"/>
              </w:rPr>
            </w:pPr>
          </w:p>
        </w:tc>
        <w:tc>
          <w:tcPr>
            <w:tcW w:w="280" w:type="dxa"/>
            <w:vAlign w:val="bottom"/>
            <w:shd w:val="clear" w:color="auto" w:fill="FDFDFC"/>
          </w:tcPr>
          <w:p>
            <w:pPr>
              <w:spacing w:after="0"/>
              <w:rPr>
                <w:sz w:val="18"/>
                <w:szCs w:val="18"/>
                <w:color w:val="auto"/>
              </w:rPr>
            </w:pPr>
          </w:p>
        </w:tc>
        <w:tc>
          <w:tcPr>
            <w:tcW w:w="940" w:type="dxa"/>
            <w:vAlign w:val="bottom"/>
            <w:shd w:val="clear" w:color="auto" w:fill="FDFDFC"/>
          </w:tcPr>
          <w:p>
            <w:pPr>
              <w:jc w:val="right"/>
              <w:spacing w:after="0" w:line="217" w:lineRule="exact"/>
              <w:rPr>
                <w:sz w:val="20"/>
                <w:szCs w:val="20"/>
                <w:color w:val="auto"/>
              </w:rPr>
            </w:pPr>
            <w:r>
              <w:rPr>
                <w:rFonts w:ascii="Times New Roman" w:cs="Times New Roman" w:eastAsia="Times New Roman" w:hAnsi="Times New Roman"/>
                <w:sz w:val="19"/>
                <w:szCs w:val="19"/>
                <w:color w:val="231F20"/>
              </w:rPr>
              <w:t>152,623</w:t>
            </w:r>
          </w:p>
        </w:tc>
        <w:tc>
          <w:tcPr>
            <w:tcW w:w="60" w:type="dxa"/>
            <w:vAlign w:val="bottom"/>
            <w:shd w:val="clear" w:color="auto" w:fill="FDFDFC"/>
          </w:tcPr>
          <w:p>
            <w:pPr>
              <w:spacing w:after="0"/>
              <w:rPr>
                <w:sz w:val="18"/>
                <w:szCs w:val="18"/>
                <w:color w:val="auto"/>
              </w:rPr>
            </w:pPr>
          </w:p>
        </w:tc>
        <w:tc>
          <w:tcPr>
            <w:tcW w:w="40" w:type="dxa"/>
            <w:vAlign w:val="bottom"/>
            <w:shd w:val="clear" w:color="auto" w:fill="FDFDFC"/>
          </w:tcPr>
          <w:p>
            <w:pPr>
              <w:spacing w:after="0"/>
              <w:rPr>
                <w:sz w:val="18"/>
                <w:szCs w:val="18"/>
                <w:color w:val="auto"/>
              </w:rPr>
            </w:pPr>
          </w:p>
        </w:tc>
        <w:tc>
          <w:tcPr>
            <w:tcW w:w="100" w:type="dxa"/>
            <w:vAlign w:val="bottom"/>
            <w:shd w:val="clear" w:color="auto" w:fill="FDFDFC"/>
          </w:tcPr>
          <w:p>
            <w:pPr>
              <w:spacing w:after="0"/>
              <w:rPr>
                <w:sz w:val="18"/>
                <w:szCs w:val="18"/>
                <w:color w:val="auto"/>
              </w:rPr>
            </w:pPr>
          </w:p>
        </w:tc>
        <w:tc>
          <w:tcPr>
            <w:tcW w:w="60" w:type="dxa"/>
            <w:vAlign w:val="bottom"/>
            <w:shd w:val="clear" w:color="auto" w:fill="FDFDFC"/>
          </w:tcPr>
          <w:p>
            <w:pPr>
              <w:spacing w:after="0"/>
              <w:rPr>
                <w:sz w:val="18"/>
                <w:szCs w:val="18"/>
                <w:color w:val="auto"/>
              </w:rPr>
            </w:pPr>
          </w:p>
        </w:tc>
        <w:tc>
          <w:tcPr>
            <w:tcW w:w="220" w:type="dxa"/>
            <w:vAlign w:val="bottom"/>
            <w:shd w:val="clear" w:color="auto" w:fill="FDFDFC"/>
          </w:tcPr>
          <w:p>
            <w:pPr>
              <w:spacing w:after="0"/>
              <w:rPr>
                <w:sz w:val="18"/>
                <w:szCs w:val="18"/>
                <w:color w:val="auto"/>
              </w:rPr>
            </w:pPr>
          </w:p>
        </w:tc>
        <w:tc>
          <w:tcPr>
            <w:tcW w:w="1260" w:type="dxa"/>
            <w:vAlign w:val="bottom"/>
            <w:gridSpan w:val="2"/>
            <w:shd w:val="clear" w:color="auto" w:fill="FDFDFC"/>
          </w:tcPr>
          <w:p>
            <w:pPr>
              <w:jc w:val="right"/>
              <w:ind w:right="20"/>
              <w:spacing w:after="0" w:line="217" w:lineRule="exact"/>
              <w:rPr>
                <w:sz w:val="20"/>
                <w:szCs w:val="20"/>
                <w:color w:val="auto"/>
              </w:rPr>
            </w:pPr>
            <w:r>
              <w:rPr>
                <w:rFonts w:ascii="Times New Roman" w:cs="Times New Roman" w:eastAsia="Times New Roman" w:hAnsi="Times New Roman"/>
                <w:sz w:val="19"/>
                <w:szCs w:val="19"/>
                <w:color w:val="231F20"/>
              </w:rPr>
              <w:t>155,600</w:t>
            </w:r>
          </w:p>
        </w:tc>
        <w:tc>
          <w:tcPr>
            <w:tcW w:w="60" w:type="dxa"/>
            <w:vAlign w:val="bottom"/>
            <w:shd w:val="clear" w:color="auto" w:fill="FDFDFC"/>
          </w:tcPr>
          <w:p>
            <w:pPr>
              <w:spacing w:after="0"/>
              <w:rPr>
                <w:sz w:val="18"/>
                <w:szCs w:val="18"/>
                <w:color w:val="auto"/>
              </w:rPr>
            </w:pPr>
          </w:p>
        </w:tc>
        <w:tc>
          <w:tcPr>
            <w:tcW w:w="40" w:type="dxa"/>
            <w:vAlign w:val="bottom"/>
            <w:shd w:val="clear" w:color="auto" w:fill="FDFDFC"/>
          </w:tcPr>
          <w:p>
            <w:pPr>
              <w:spacing w:after="0"/>
              <w:rPr>
                <w:sz w:val="18"/>
                <w:szCs w:val="18"/>
                <w:color w:val="auto"/>
              </w:rPr>
            </w:pPr>
          </w:p>
        </w:tc>
        <w:tc>
          <w:tcPr>
            <w:tcW w:w="60" w:type="dxa"/>
            <w:vAlign w:val="bottom"/>
            <w:shd w:val="clear" w:color="auto" w:fill="FDFDFC"/>
          </w:tcPr>
          <w:p>
            <w:pPr>
              <w:spacing w:after="0"/>
              <w:rPr>
                <w:sz w:val="18"/>
                <w:szCs w:val="18"/>
                <w:color w:val="auto"/>
              </w:rPr>
            </w:pPr>
          </w:p>
        </w:tc>
        <w:tc>
          <w:tcPr>
            <w:tcW w:w="40" w:type="dxa"/>
            <w:vAlign w:val="bottom"/>
            <w:shd w:val="clear" w:color="auto" w:fill="FDFDFC"/>
          </w:tcPr>
          <w:p>
            <w:pPr>
              <w:spacing w:after="0"/>
              <w:rPr>
                <w:sz w:val="18"/>
                <w:szCs w:val="18"/>
                <w:color w:val="auto"/>
              </w:rPr>
            </w:pPr>
          </w:p>
        </w:tc>
        <w:tc>
          <w:tcPr>
            <w:tcW w:w="100" w:type="dxa"/>
            <w:vAlign w:val="bottom"/>
            <w:shd w:val="clear" w:color="auto" w:fill="FDFDFC"/>
          </w:tcPr>
          <w:p>
            <w:pPr>
              <w:spacing w:after="0"/>
              <w:rPr>
                <w:sz w:val="18"/>
                <w:szCs w:val="18"/>
                <w:color w:val="auto"/>
              </w:rPr>
            </w:pPr>
          </w:p>
        </w:tc>
        <w:tc>
          <w:tcPr>
            <w:tcW w:w="880" w:type="dxa"/>
            <w:vAlign w:val="bottom"/>
            <w:shd w:val="clear" w:color="auto" w:fill="FDFDFC"/>
          </w:tcPr>
          <w:p>
            <w:pPr>
              <w:jc w:val="right"/>
              <w:spacing w:after="0" w:line="217" w:lineRule="exact"/>
              <w:rPr>
                <w:sz w:val="20"/>
                <w:szCs w:val="20"/>
                <w:color w:val="auto"/>
              </w:rPr>
            </w:pPr>
            <w:r>
              <w:rPr>
                <w:rFonts w:ascii="Times New Roman" w:cs="Times New Roman" w:eastAsia="Times New Roman" w:hAnsi="Times New Roman"/>
                <w:sz w:val="19"/>
                <w:szCs w:val="19"/>
                <w:color w:val="231F20"/>
              </w:rPr>
              <w:t>2,977</w:t>
            </w:r>
          </w:p>
        </w:tc>
        <w:tc>
          <w:tcPr>
            <w:tcW w:w="100" w:type="dxa"/>
            <w:vAlign w:val="bottom"/>
            <w:shd w:val="clear" w:color="auto" w:fill="FDFDFC"/>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3760" w:type="dxa"/>
            <w:vAlign w:val="bottom"/>
            <w:tcBorders>
              <w:bottom w:val="single" w:sz="8" w:color="D0EBF2"/>
            </w:tcBorders>
            <w:gridSpan w:val="2"/>
            <w:shd w:val="clear" w:color="auto" w:fill="D0EBF2"/>
          </w:tcPr>
          <w:p>
            <w:pPr>
              <w:spacing w:after="0" w:line="217" w:lineRule="exact"/>
              <w:rPr>
                <w:sz w:val="20"/>
                <w:szCs w:val="20"/>
                <w:color w:val="auto"/>
              </w:rPr>
            </w:pPr>
            <w:r>
              <w:rPr>
                <w:rFonts w:ascii="Times New Roman" w:cs="Times New Roman" w:eastAsia="Times New Roman" w:hAnsi="Times New Roman"/>
                <w:sz w:val="19"/>
                <w:szCs w:val="19"/>
                <w:color w:val="231F20"/>
              </w:rPr>
              <w:t>Structured credit investments</w:t>
            </w:r>
          </w:p>
        </w:tc>
        <w:tc>
          <w:tcPr>
            <w:tcW w:w="60" w:type="dxa"/>
            <w:vAlign w:val="bottom"/>
            <w:tcBorders>
              <w:bottom w:val="single" w:sz="8" w:color="D0EBF2"/>
            </w:tcBorders>
            <w:shd w:val="clear" w:color="auto" w:fill="D0EBF2"/>
          </w:tcPr>
          <w:p>
            <w:pPr>
              <w:spacing w:after="0"/>
              <w:rPr>
                <w:sz w:val="20"/>
                <w:szCs w:val="20"/>
                <w:color w:val="auto"/>
              </w:rPr>
            </w:pPr>
          </w:p>
        </w:tc>
        <w:tc>
          <w:tcPr>
            <w:tcW w:w="100" w:type="dxa"/>
            <w:vAlign w:val="bottom"/>
            <w:tcBorders>
              <w:bottom w:val="single" w:sz="8" w:color="D0EBF2"/>
            </w:tcBorders>
            <w:shd w:val="clear" w:color="auto" w:fill="D0EBF2"/>
          </w:tcPr>
          <w:p>
            <w:pPr>
              <w:spacing w:after="0"/>
              <w:rPr>
                <w:sz w:val="20"/>
                <w:szCs w:val="20"/>
                <w:color w:val="auto"/>
              </w:rPr>
            </w:pPr>
          </w:p>
        </w:tc>
        <w:tc>
          <w:tcPr>
            <w:tcW w:w="280" w:type="dxa"/>
            <w:vAlign w:val="bottom"/>
            <w:tcBorders>
              <w:bottom w:val="single" w:sz="8" w:color="231F20"/>
            </w:tcBorders>
            <w:shd w:val="clear" w:color="auto" w:fill="D0EBF2"/>
          </w:tcPr>
          <w:p>
            <w:pPr>
              <w:spacing w:after="0"/>
              <w:rPr>
                <w:sz w:val="20"/>
                <w:szCs w:val="20"/>
                <w:color w:val="auto"/>
              </w:rPr>
            </w:pPr>
          </w:p>
        </w:tc>
        <w:tc>
          <w:tcPr>
            <w:tcW w:w="940" w:type="dxa"/>
            <w:vAlign w:val="bottom"/>
            <w:tcBorders>
              <w:bottom w:val="single" w:sz="8" w:color="231F20"/>
            </w:tcBorders>
            <w:shd w:val="clear" w:color="auto" w:fill="D0EBF2"/>
          </w:tcPr>
          <w:p>
            <w:pPr>
              <w:jc w:val="right"/>
              <w:spacing w:after="0" w:line="217" w:lineRule="exact"/>
              <w:rPr>
                <w:sz w:val="20"/>
                <w:szCs w:val="20"/>
                <w:color w:val="auto"/>
              </w:rPr>
            </w:pPr>
            <w:r>
              <w:rPr>
                <w:rFonts w:ascii="Times New Roman" w:cs="Times New Roman" w:eastAsia="Times New Roman" w:hAnsi="Times New Roman"/>
                <w:sz w:val="19"/>
                <w:szCs w:val="19"/>
                <w:color w:val="231F20"/>
              </w:rPr>
              <w:t>52,865</w:t>
            </w:r>
          </w:p>
        </w:tc>
        <w:tc>
          <w:tcPr>
            <w:tcW w:w="60" w:type="dxa"/>
            <w:vAlign w:val="bottom"/>
            <w:tcBorders>
              <w:bottom w:val="single" w:sz="8" w:color="D0EBF2"/>
            </w:tcBorders>
            <w:shd w:val="clear" w:color="auto" w:fill="D0EBF2"/>
          </w:tcPr>
          <w:p>
            <w:pPr>
              <w:spacing w:after="0"/>
              <w:rPr>
                <w:sz w:val="20"/>
                <w:szCs w:val="20"/>
                <w:color w:val="auto"/>
              </w:rPr>
            </w:pPr>
          </w:p>
        </w:tc>
        <w:tc>
          <w:tcPr>
            <w:tcW w:w="40" w:type="dxa"/>
            <w:vAlign w:val="bottom"/>
            <w:tcBorders>
              <w:bottom w:val="single" w:sz="8" w:color="D0EBF2"/>
            </w:tcBorders>
            <w:shd w:val="clear" w:color="auto" w:fill="D0EBF2"/>
          </w:tcPr>
          <w:p>
            <w:pPr>
              <w:spacing w:after="0"/>
              <w:rPr>
                <w:sz w:val="20"/>
                <w:szCs w:val="20"/>
                <w:color w:val="auto"/>
              </w:rPr>
            </w:pPr>
          </w:p>
        </w:tc>
        <w:tc>
          <w:tcPr>
            <w:tcW w:w="100" w:type="dxa"/>
            <w:vAlign w:val="bottom"/>
            <w:tcBorders>
              <w:bottom w:val="single" w:sz="8" w:color="D0EBF2"/>
            </w:tcBorders>
            <w:shd w:val="clear" w:color="auto" w:fill="D0EBF2"/>
          </w:tcPr>
          <w:p>
            <w:pPr>
              <w:spacing w:after="0"/>
              <w:rPr>
                <w:sz w:val="20"/>
                <w:szCs w:val="20"/>
                <w:color w:val="auto"/>
              </w:rPr>
            </w:pPr>
          </w:p>
        </w:tc>
        <w:tc>
          <w:tcPr>
            <w:tcW w:w="60" w:type="dxa"/>
            <w:vAlign w:val="bottom"/>
            <w:tcBorders>
              <w:bottom w:val="single" w:sz="8" w:color="231F20"/>
            </w:tcBorders>
            <w:shd w:val="clear" w:color="auto" w:fill="D0EBF2"/>
          </w:tcPr>
          <w:p>
            <w:pPr>
              <w:spacing w:after="0"/>
              <w:rPr>
                <w:sz w:val="20"/>
                <w:szCs w:val="20"/>
                <w:color w:val="auto"/>
              </w:rPr>
            </w:pPr>
          </w:p>
        </w:tc>
        <w:tc>
          <w:tcPr>
            <w:tcW w:w="220" w:type="dxa"/>
            <w:vAlign w:val="bottom"/>
            <w:tcBorders>
              <w:bottom w:val="single" w:sz="8" w:color="231F20"/>
            </w:tcBorders>
            <w:shd w:val="clear" w:color="auto" w:fill="D0EBF2"/>
          </w:tcPr>
          <w:p>
            <w:pPr>
              <w:spacing w:after="0"/>
              <w:rPr>
                <w:sz w:val="20"/>
                <w:szCs w:val="20"/>
                <w:color w:val="auto"/>
              </w:rPr>
            </w:pPr>
          </w:p>
        </w:tc>
        <w:tc>
          <w:tcPr>
            <w:tcW w:w="1260" w:type="dxa"/>
            <w:vAlign w:val="bottom"/>
            <w:tcBorders>
              <w:bottom w:val="single" w:sz="8" w:color="231F20"/>
            </w:tcBorders>
            <w:gridSpan w:val="2"/>
            <w:shd w:val="clear" w:color="auto" w:fill="D0EBF2"/>
          </w:tcPr>
          <w:p>
            <w:pPr>
              <w:jc w:val="right"/>
              <w:ind w:right="20"/>
              <w:spacing w:after="0" w:line="217" w:lineRule="exact"/>
              <w:rPr>
                <w:sz w:val="20"/>
                <w:szCs w:val="20"/>
                <w:color w:val="auto"/>
              </w:rPr>
            </w:pPr>
            <w:r>
              <w:rPr>
                <w:rFonts w:ascii="Times New Roman" w:cs="Times New Roman" w:eastAsia="Times New Roman" w:hAnsi="Times New Roman"/>
                <w:sz w:val="19"/>
                <w:szCs w:val="19"/>
                <w:color w:val="231F20"/>
              </w:rPr>
              <w:t>55,842</w:t>
            </w:r>
          </w:p>
        </w:tc>
        <w:tc>
          <w:tcPr>
            <w:tcW w:w="60" w:type="dxa"/>
            <w:vAlign w:val="bottom"/>
            <w:tcBorders>
              <w:bottom w:val="single" w:sz="8" w:color="D0EBF2"/>
            </w:tcBorders>
            <w:shd w:val="clear" w:color="auto" w:fill="D0EBF2"/>
          </w:tcPr>
          <w:p>
            <w:pPr>
              <w:spacing w:after="0"/>
              <w:rPr>
                <w:sz w:val="20"/>
                <w:szCs w:val="20"/>
                <w:color w:val="auto"/>
              </w:rPr>
            </w:pPr>
          </w:p>
        </w:tc>
        <w:tc>
          <w:tcPr>
            <w:tcW w:w="40" w:type="dxa"/>
            <w:vAlign w:val="bottom"/>
            <w:tcBorders>
              <w:bottom w:val="single" w:sz="8" w:color="D0EBF2"/>
            </w:tcBorders>
            <w:shd w:val="clear" w:color="auto" w:fill="D0EBF2"/>
          </w:tcPr>
          <w:p>
            <w:pPr>
              <w:spacing w:after="0"/>
              <w:rPr>
                <w:sz w:val="20"/>
                <w:szCs w:val="20"/>
                <w:color w:val="auto"/>
              </w:rPr>
            </w:pPr>
          </w:p>
        </w:tc>
        <w:tc>
          <w:tcPr>
            <w:tcW w:w="60" w:type="dxa"/>
            <w:vAlign w:val="bottom"/>
            <w:tcBorders>
              <w:bottom w:val="single" w:sz="8" w:color="D0EBF2"/>
            </w:tcBorders>
            <w:shd w:val="clear" w:color="auto" w:fill="D0EBF2"/>
          </w:tcPr>
          <w:p>
            <w:pPr>
              <w:spacing w:after="0"/>
              <w:rPr>
                <w:sz w:val="20"/>
                <w:szCs w:val="20"/>
                <w:color w:val="auto"/>
              </w:rPr>
            </w:pPr>
          </w:p>
        </w:tc>
        <w:tc>
          <w:tcPr>
            <w:tcW w:w="40" w:type="dxa"/>
            <w:vAlign w:val="bottom"/>
            <w:tcBorders>
              <w:bottom w:val="single" w:sz="8" w:color="D0EBF2"/>
            </w:tcBorders>
            <w:shd w:val="clear" w:color="auto" w:fill="D0EBF2"/>
          </w:tcPr>
          <w:p>
            <w:pPr>
              <w:spacing w:after="0"/>
              <w:rPr>
                <w:sz w:val="20"/>
                <w:szCs w:val="20"/>
                <w:color w:val="auto"/>
              </w:rPr>
            </w:pPr>
          </w:p>
        </w:tc>
        <w:tc>
          <w:tcPr>
            <w:tcW w:w="100" w:type="dxa"/>
            <w:vAlign w:val="bottom"/>
            <w:tcBorders>
              <w:bottom w:val="single" w:sz="8" w:color="231F20"/>
            </w:tcBorders>
            <w:shd w:val="clear" w:color="auto" w:fill="D0EBF2"/>
          </w:tcPr>
          <w:p>
            <w:pPr>
              <w:spacing w:after="0"/>
              <w:rPr>
                <w:sz w:val="20"/>
                <w:szCs w:val="20"/>
                <w:color w:val="auto"/>
              </w:rPr>
            </w:pPr>
          </w:p>
        </w:tc>
        <w:tc>
          <w:tcPr>
            <w:tcW w:w="880" w:type="dxa"/>
            <w:vAlign w:val="bottom"/>
            <w:tcBorders>
              <w:bottom w:val="single" w:sz="8" w:color="231F20"/>
            </w:tcBorders>
            <w:shd w:val="clear" w:color="auto" w:fill="D0EBF2"/>
          </w:tcPr>
          <w:p>
            <w:pPr>
              <w:jc w:val="right"/>
              <w:spacing w:after="0" w:line="217" w:lineRule="exact"/>
              <w:rPr>
                <w:sz w:val="20"/>
                <w:szCs w:val="20"/>
                <w:color w:val="auto"/>
              </w:rPr>
            </w:pPr>
            <w:r>
              <w:rPr>
                <w:rFonts w:ascii="Times New Roman" w:cs="Times New Roman" w:eastAsia="Times New Roman" w:hAnsi="Times New Roman"/>
                <w:sz w:val="19"/>
                <w:szCs w:val="19"/>
                <w:color w:val="231F20"/>
              </w:rPr>
              <w:t>2,977</w:t>
            </w:r>
          </w:p>
        </w:tc>
        <w:tc>
          <w:tcPr>
            <w:tcW w:w="100" w:type="dxa"/>
            <w:vAlign w:val="bottom"/>
            <w:tcBorders>
              <w:bottom w:val="single" w:sz="8" w:color="D0EBF2"/>
            </w:tcBorders>
            <w:shd w:val="clear" w:color="auto" w:fill="D0EBF2"/>
          </w:tcPr>
          <w:p>
            <w:pPr>
              <w:spacing w:after="0"/>
              <w:rPr>
                <w:sz w:val="20"/>
                <w:szCs w:val="20"/>
                <w:color w:val="auto"/>
              </w:rPr>
            </w:pPr>
          </w:p>
        </w:tc>
        <w:tc>
          <w:tcPr>
            <w:tcW w:w="0" w:type="dxa"/>
            <w:vAlign w:val="bottom"/>
          </w:tcPr>
          <w:p>
            <w:pPr>
              <w:spacing w:after="0"/>
              <w:rPr>
                <w:sz w:val="1"/>
                <w:szCs w:val="1"/>
                <w:color w:val="auto"/>
              </w:rPr>
            </w:pPr>
          </w:p>
        </w:tc>
      </w:tr>
      <w:tr>
        <w:trPr>
          <w:trHeight w:val="187"/>
        </w:trPr>
        <w:tc>
          <w:tcPr>
            <w:tcW w:w="3760" w:type="dxa"/>
            <w:vAlign w:val="bottom"/>
            <w:tcBorders>
              <w:top w:val="single" w:sz="8" w:color="FDFDFC"/>
            </w:tcBorders>
            <w:gridSpan w:val="2"/>
            <w:shd w:val="clear" w:color="auto" w:fill="FDFDFC"/>
          </w:tcPr>
          <w:p>
            <w:pPr>
              <w:ind w:left="180"/>
              <w:spacing w:after="0" w:line="187" w:lineRule="exact"/>
              <w:rPr>
                <w:sz w:val="20"/>
                <w:szCs w:val="20"/>
                <w:color w:val="auto"/>
              </w:rPr>
            </w:pPr>
            <w:r>
              <w:rPr>
                <w:rFonts w:ascii="Times New Roman" w:cs="Times New Roman" w:eastAsia="Times New Roman" w:hAnsi="Times New Roman"/>
                <w:sz w:val="19"/>
                <w:szCs w:val="19"/>
                <w:b w:val="1"/>
                <w:bCs w:val="1"/>
                <w:color w:val="231F20"/>
              </w:rPr>
              <w:t>Total Investments</w:t>
            </w:r>
          </w:p>
        </w:tc>
        <w:tc>
          <w:tcPr>
            <w:tcW w:w="60" w:type="dxa"/>
            <w:vAlign w:val="bottom"/>
            <w:tcBorders>
              <w:top w:val="single" w:sz="8" w:color="FDFDFC"/>
            </w:tcBorders>
            <w:shd w:val="clear" w:color="auto" w:fill="FDFDFC"/>
          </w:tcPr>
          <w:p>
            <w:pPr>
              <w:spacing w:after="0"/>
              <w:rPr>
                <w:sz w:val="16"/>
                <w:szCs w:val="16"/>
                <w:color w:val="auto"/>
              </w:rPr>
            </w:pPr>
          </w:p>
        </w:tc>
        <w:tc>
          <w:tcPr>
            <w:tcW w:w="100" w:type="dxa"/>
            <w:vAlign w:val="bottom"/>
            <w:tcBorders>
              <w:top w:val="single" w:sz="8" w:color="FDFDFC"/>
            </w:tcBorders>
            <w:shd w:val="clear" w:color="auto" w:fill="FDFDFC"/>
          </w:tcPr>
          <w:p>
            <w:pPr>
              <w:spacing w:after="0"/>
              <w:rPr>
                <w:sz w:val="16"/>
                <w:szCs w:val="16"/>
                <w:color w:val="auto"/>
              </w:rPr>
            </w:pPr>
          </w:p>
        </w:tc>
        <w:tc>
          <w:tcPr>
            <w:tcW w:w="280" w:type="dxa"/>
            <w:vAlign w:val="bottom"/>
            <w:tcBorders>
              <w:top w:val="single" w:sz="8" w:color="231F20"/>
              <w:bottom w:val="single" w:sz="8" w:color="231F20"/>
            </w:tcBorders>
            <w:shd w:val="clear" w:color="auto" w:fill="FDFDFC"/>
          </w:tcPr>
          <w:p>
            <w:pPr>
              <w:spacing w:after="0" w:line="187" w:lineRule="exact"/>
              <w:rPr>
                <w:sz w:val="20"/>
                <w:szCs w:val="20"/>
                <w:color w:val="auto"/>
              </w:rPr>
            </w:pPr>
            <w:r>
              <w:rPr>
                <w:rFonts w:ascii="Times New Roman" w:cs="Times New Roman" w:eastAsia="Times New Roman" w:hAnsi="Times New Roman"/>
                <w:sz w:val="19"/>
                <w:szCs w:val="19"/>
                <w:color w:val="231F20"/>
              </w:rPr>
              <w:t>$</w:t>
            </w:r>
          </w:p>
        </w:tc>
        <w:tc>
          <w:tcPr>
            <w:tcW w:w="940" w:type="dxa"/>
            <w:vAlign w:val="bottom"/>
            <w:tcBorders>
              <w:top w:val="single" w:sz="8" w:color="231F20"/>
              <w:bottom w:val="single" w:sz="8" w:color="231F20"/>
            </w:tcBorders>
            <w:shd w:val="clear" w:color="auto" w:fill="FDFDFC"/>
          </w:tcPr>
          <w:p>
            <w:pPr>
              <w:jc w:val="right"/>
              <w:spacing w:after="0" w:line="187" w:lineRule="exact"/>
              <w:rPr>
                <w:sz w:val="20"/>
                <w:szCs w:val="20"/>
                <w:color w:val="auto"/>
              </w:rPr>
            </w:pPr>
            <w:r>
              <w:rPr>
                <w:rFonts w:ascii="Times New Roman" w:cs="Times New Roman" w:eastAsia="Times New Roman" w:hAnsi="Times New Roman"/>
                <w:sz w:val="19"/>
                <w:szCs w:val="19"/>
                <w:color w:val="231F20"/>
              </w:rPr>
              <w:t>3,251,012</w:t>
            </w:r>
          </w:p>
        </w:tc>
        <w:tc>
          <w:tcPr>
            <w:tcW w:w="60" w:type="dxa"/>
            <w:vAlign w:val="bottom"/>
            <w:tcBorders>
              <w:top w:val="single" w:sz="8" w:color="FDFDFC"/>
            </w:tcBorders>
            <w:shd w:val="clear" w:color="auto" w:fill="FDFDFC"/>
          </w:tcPr>
          <w:p>
            <w:pPr>
              <w:spacing w:after="0"/>
              <w:rPr>
                <w:sz w:val="16"/>
                <w:szCs w:val="16"/>
                <w:color w:val="auto"/>
              </w:rPr>
            </w:pPr>
          </w:p>
        </w:tc>
        <w:tc>
          <w:tcPr>
            <w:tcW w:w="140" w:type="dxa"/>
            <w:vAlign w:val="bottom"/>
            <w:tcBorders>
              <w:top w:val="single" w:sz="8" w:color="FDFDFC"/>
            </w:tcBorders>
            <w:gridSpan w:val="2"/>
            <w:shd w:val="clear" w:color="auto" w:fill="FDFDFC"/>
          </w:tcPr>
          <w:p>
            <w:pPr>
              <w:spacing w:after="0"/>
              <w:rPr>
                <w:sz w:val="16"/>
                <w:szCs w:val="16"/>
                <w:color w:val="auto"/>
              </w:rPr>
            </w:pPr>
          </w:p>
        </w:tc>
        <w:tc>
          <w:tcPr>
            <w:tcW w:w="280" w:type="dxa"/>
            <w:vAlign w:val="bottom"/>
            <w:tcBorders>
              <w:top w:val="single" w:sz="8" w:color="231F20"/>
              <w:bottom w:val="single" w:sz="8" w:color="231F20"/>
            </w:tcBorders>
            <w:gridSpan w:val="2"/>
            <w:shd w:val="clear" w:color="auto" w:fill="FDFDFC"/>
          </w:tcPr>
          <w:p>
            <w:pPr>
              <w:jc w:val="right"/>
              <w:ind w:right="86"/>
              <w:spacing w:after="0" w:line="187" w:lineRule="exact"/>
              <w:rPr>
                <w:sz w:val="20"/>
                <w:szCs w:val="20"/>
                <w:color w:val="auto"/>
              </w:rPr>
            </w:pPr>
            <w:r>
              <w:rPr>
                <w:rFonts w:ascii="Times New Roman" w:cs="Times New Roman" w:eastAsia="Times New Roman" w:hAnsi="Times New Roman"/>
                <w:sz w:val="19"/>
                <w:szCs w:val="19"/>
                <w:color w:val="231F20"/>
                <w:w w:val="83"/>
              </w:rPr>
              <w:t>$</w:t>
            </w:r>
          </w:p>
        </w:tc>
        <w:tc>
          <w:tcPr>
            <w:tcW w:w="1260" w:type="dxa"/>
            <w:vAlign w:val="bottom"/>
            <w:tcBorders>
              <w:top w:val="single" w:sz="8" w:color="231F20"/>
              <w:bottom w:val="single" w:sz="8" w:color="231F20"/>
            </w:tcBorders>
            <w:gridSpan w:val="2"/>
            <w:shd w:val="clear" w:color="auto" w:fill="FDFDFC"/>
          </w:tcPr>
          <w:p>
            <w:pPr>
              <w:jc w:val="right"/>
              <w:ind w:right="20"/>
              <w:spacing w:after="0" w:line="187" w:lineRule="exact"/>
              <w:rPr>
                <w:sz w:val="20"/>
                <w:szCs w:val="20"/>
                <w:color w:val="auto"/>
              </w:rPr>
            </w:pPr>
            <w:r>
              <w:rPr>
                <w:rFonts w:ascii="Times New Roman" w:cs="Times New Roman" w:eastAsia="Times New Roman" w:hAnsi="Times New Roman"/>
                <w:sz w:val="19"/>
                <w:szCs w:val="19"/>
                <w:color w:val="231F20"/>
              </w:rPr>
              <w:t>3,283,065</w:t>
            </w:r>
          </w:p>
        </w:tc>
        <w:tc>
          <w:tcPr>
            <w:tcW w:w="60" w:type="dxa"/>
            <w:vAlign w:val="bottom"/>
            <w:tcBorders>
              <w:top w:val="single" w:sz="8" w:color="FDFDFC"/>
            </w:tcBorders>
            <w:shd w:val="clear" w:color="auto" w:fill="FDFDFC"/>
          </w:tcPr>
          <w:p>
            <w:pPr>
              <w:spacing w:after="0"/>
              <w:rPr>
                <w:sz w:val="16"/>
                <w:szCs w:val="16"/>
                <w:color w:val="auto"/>
              </w:rPr>
            </w:pPr>
          </w:p>
        </w:tc>
        <w:tc>
          <w:tcPr>
            <w:tcW w:w="140" w:type="dxa"/>
            <w:vAlign w:val="bottom"/>
            <w:tcBorders>
              <w:top w:val="single" w:sz="8" w:color="FDFDFC"/>
            </w:tcBorders>
            <w:gridSpan w:val="3"/>
            <w:shd w:val="clear" w:color="auto" w:fill="FDFDFC"/>
          </w:tcPr>
          <w:p>
            <w:pPr>
              <w:spacing w:after="0"/>
              <w:rPr>
                <w:sz w:val="16"/>
                <w:szCs w:val="16"/>
                <w:color w:val="auto"/>
              </w:rPr>
            </w:pPr>
          </w:p>
        </w:tc>
        <w:tc>
          <w:tcPr>
            <w:tcW w:w="100" w:type="dxa"/>
            <w:vAlign w:val="bottom"/>
            <w:tcBorders>
              <w:top w:val="single" w:sz="8" w:color="231F20"/>
              <w:bottom w:val="single" w:sz="8" w:color="231F20"/>
            </w:tcBorders>
            <w:shd w:val="clear" w:color="auto" w:fill="FDFDFC"/>
          </w:tcPr>
          <w:p>
            <w:pPr>
              <w:spacing w:after="0" w:line="187" w:lineRule="exact"/>
              <w:rPr>
                <w:sz w:val="20"/>
                <w:szCs w:val="20"/>
                <w:color w:val="auto"/>
              </w:rPr>
            </w:pPr>
            <w:r>
              <w:rPr>
                <w:rFonts w:ascii="Times New Roman" w:cs="Times New Roman" w:eastAsia="Times New Roman" w:hAnsi="Times New Roman"/>
                <w:sz w:val="19"/>
                <w:szCs w:val="19"/>
                <w:color w:val="231F20"/>
                <w:w w:val="83"/>
              </w:rPr>
              <w:t>$</w:t>
            </w:r>
          </w:p>
        </w:tc>
        <w:tc>
          <w:tcPr>
            <w:tcW w:w="880" w:type="dxa"/>
            <w:vAlign w:val="bottom"/>
            <w:tcBorders>
              <w:top w:val="single" w:sz="8" w:color="231F20"/>
              <w:bottom w:val="single" w:sz="8" w:color="231F20"/>
            </w:tcBorders>
            <w:shd w:val="clear" w:color="auto" w:fill="FDFDFC"/>
          </w:tcPr>
          <w:p>
            <w:pPr>
              <w:jc w:val="right"/>
              <w:spacing w:after="0" w:line="187" w:lineRule="exact"/>
              <w:rPr>
                <w:sz w:val="20"/>
                <w:szCs w:val="20"/>
                <w:color w:val="auto"/>
              </w:rPr>
            </w:pPr>
            <w:r>
              <w:rPr>
                <w:rFonts w:ascii="Times New Roman" w:cs="Times New Roman" w:eastAsia="Times New Roman" w:hAnsi="Times New Roman"/>
                <w:sz w:val="19"/>
                <w:szCs w:val="19"/>
                <w:color w:val="231F20"/>
              </w:rPr>
              <w:t>32,053</w:t>
            </w:r>
          </w:p>
        </w:tc>
        <w:tc>
          <w:tcPr>
            <w:tcW w:w="100" w:type="dxa"/>
            <w:vAlign w:val="bottom"/>
            <w:tcBorders>
              <w:top w:val="single" w:sz="8" w:color="FDFDFC"/>
            </w:tcBorders>
            <w:shd w:val="clear" w:color="auto" w:fill="FDFDFC"/>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3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231F20"/>
            </w:tcBorders>
          </w:tcPr>
          <w:p>
            <w:pPr>
              <w:spacing w:after="0" w:line="20" w:lineRule="exact"/>
              <w:rPr>
                <w:sz w:val="1"/>
                <w:szCs w:val="1"/>
                <w:color w:val="auto"/>
              </w:rPr>
            </w:pPr>
          </w:p>
        </w:tc>
        <w:tc>
          <w:tcPr>
            <w:tcW w:w="940" w:type="dxa"/>
            <w:vAlign w:val="bottom"/>
            <w:tcBorders>
              <w:bottom w:val="single" w:sz="8" w:color="231F20"/>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bottom w:val="single" w:sz="8" w:color="231F20"/>
            </w:tcBorders>
          </w:tcPr>
          <w:p>
            <w:pPr>
              <w:spacing w:after="0" w:line="20" w:lineRule="exact"/>
              <w:rPr>
                <w:sz w:val="1"/>
                <w:szCs w:val="1"/>
                <w:color w:val="auto"/>
              </w:rPr>
            </w:pPr>
          </w:p>
        </w:tc>
        <w:tc>
          <w:tcPr>
            <w:tcW w:w="220" w:type="dxa"/>
            <w:vAlign w:val="bottom"/>
            <w:tcBorders>
              <w:bottom w:val="single" w:sz="8" w:color="231F20"/>
            </w:tcBorders>
          </w:tcPr>
          <w:p>
            <w:pPr>
              <w:spacing w:after="0" w:line="20" w:lineRule="exact"/>
              <w:rPr>
                <w:sz w:val="1"/>
                <w:szCs w:val="1"/>
                <w:color w:val="auto"/>
              </w:rPr>
            </w:pPr>
          </w:p>
        </w:tc>
        <w:tc>
          <w:tcPr>
            <w:tcW w:w="1220" w:type="dxa"/>
            <w:vAlign w:val="bottom"/>
            <w:tcBorders>
              <w:bottom w:val="single" w:sz="8" w:color="231F20"/>
            </w:tcBorders>
          </w:tcPr>
          <w:p>
            <w:pPr>
              <w:spacing w:after="0" w:line="20" w:lineRule="exact"/>
              <w:rPr>
                <w:sz w:val="1"/>
                <w:szCs w:val="1"/>
                <w:color w:val="auto"/>
              </w:rPr>
            </w:pPr>
          </w:p>
        </w:tc>
        <w:tc>
          <w:tcPr>
            <w:tcW w:w="40" w:type="dxa"/>
            <w:vAlign w:val="bottom"/>
            <w:tcBorders>
              <w:bottom w:val="single" w:sz="8" w:color="231F20"/>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231F20"/>
            </w:tcBorders>
          </w:tcPr>
          <w:p>
            <w:pPr>
              <w:spacing w:after="0" w:line="20" w:lineRule="exact"/>
              <w:rPr>
                <w:sz w:val="1"/>
                <w:szCs w:val="1"/>
                <w:color w:val="auto"/>
              </w:rPr>
            </w:pPr>
          </w:p>
        </w:tc>
        <w:tc>
          <w:tcPr>
            <w:tcW w:w="880" w:type="dxa"/>
            <w:vAlign w:val="bottom"/>
            <w:tcBorders>
              <w:bottom w:val="single" w:sz="8" w:color="231F20"/>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1" w:lineRule="exact"/>
        <w:rPr>
          <w:sz w:val="20"/>
          <w:szCs w:val="20"/>
          <w:color w:val="auto"/>
        </w:rPr>
      </w:pPr>
    </w:p>
    <w:p>
      <w:pPr>
        <w:ind w:left="460" w:hanging="460"/>
        <w:spacing w:after="0" w:line="275" w:lineRule="auto"/>
        <w:tabs>
          <w:tab w:leader="none" w:pos="460" w:val="left"/>
        </w:tabs>
        <w:numPr>
          <w:ilvl w:val="0"/>
          <w:numId w:val="88"/>
        </w:numPr>
        <w:rPr>
          <w:rFonts w:ascii="Times New Roman" w:cs="Times New Roman" w:eastAsia="Times New Roman" w:hAnsi="Times New Roman"/>
          <w:sz w:val="19"/>
          <w:szCs w:val="19"/>
          <w:color w:val="231F20"/>
        </w:rPr>
      </w:pPr>
      <w:r>
        <w:rPr>
          <w:rFonts w:ascii="Times New Roman" w:cs="Times New Roman" w:eastAsia="Times New Roman" w:hAnsi="Times New Roman"/>
          <w:sz w:val="19"/>
          <w:szCs w:val="19"/>
          <w:color w:val="231F20"/>
        </w:rPr>
        <w:t>The amortized cost represents the original cost adjusted for the amortization of discounts or premiums, as applicable, on debt investments using the effective interest method.</w:t>
      </w:r>
    </w:p>
    <w:p>
      <w:pPr>
        <w:spacing w:after="0" w:line="160"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9"/>
          <w:szCs w:val="19"/>
          <w:color w:val="231F20"/>
        </w:rPr>
        <w:t>The industry composition of investments at fair value at December 31, 2024 and December 31, 2023 is as follows:</w:t>
      </w:r>
    </w:p>
    <w:p>
      <w:pPr>
        <w:spacing w:after="0" w:line="263" w:lineRule="exact"/>
        <w:rPr>
          <w:sz w:val="20"/>
          <w:szCs w:val="20"/>
          <w:color w:val="auto"/>
        </w:rPr>
      </w:pPr>
    </w:p>
    <w:tbl>
      <w:tblPr>
        <w:tblLayout w:type="fixed"/>
        <w:tblInd w:w="1540" w:type="dxa"/>
        <w:tblCellMar>
          <w:top w:w="0" w:type="dxa"/>
          <w:left w:w="0" w:type="dxa"/>
          <w:bottom w:w="0" w:type="dxa"/>
          <w:right w:w="0" w:type="dxa"/>
        </w:tblCellMar>
      </w:tblPr>
      <w:tr>
        <w:trPr>
          <w:trHeight w:val="172"/>
        </w:trPr>
        <w:tc>
          <w:tcPr>
            <w:tcW w:w="4660" w:type="dxa"/>
            <w:vAlign w:val="bottom"/>
            <w:shd w:val="clear" w:color="auto" w:fill="FDFDFC"/>
          </w:tcPr>
          <w:p>
            <w:pPr>
              <w:spacing w:after="0"/>
              <w:rPr>
                <w:sz w:val="15"/>
                <w:szCs w:val="15"/>
                <w:color w:val="auto"/>
              </w:rPr>
            </w:pPr>
          </w:p>
        </w:tc>
        <w:tc>
          <w:tcPr>
            <w:tcW w:w="80" w:type="dxa"/>
            <w:vAlign w:val="bottom"/>
            <w:shd w:val="clear" w:color="auto" w:fill="FDFDFC"/>
          </w:tcPr>
          <w:p>
            <w:pPr>
              <w:spacing w:after="0"/>
              <w:rPr>
                <w:sz w:val="15"/>
                <w:szCs w:val="15"/>
                <w:color w:val="auto"/>
              </w:rPr>
            </w:pPr>
          </w:p>
        </w:tc>
        <w:tc>
          <w:tcPr>
            <w:tcW w:w="1240" w:type="dxa"/>
            <w:vAlign w:val="bottom"/>
            <w:gridSpan w:val="2"/>
            <w:shd w:val="clear" w:color="auto" w:fill="FDFDFC"/>
          </w:tcPr>
          <w:p>
            <w:pPr>
              <w:jc w:val="center"/>
              <w:ind w:right="280"/>
              <w:spacing w:after="0"/>
              <w:rPr>
                <w:sz w:val="20"/>
                <w:szCs w:val="20"/>
                <w:color w:val="auto"/>
              </w:rPr>
            </w:pPr>
            <w:r>
              <w:rPr>
                <w:rFonts w:ascii="Times New Roman" w:cs="Times New Roman" w:eastAsia="Times New Roman" w:hAnsi="Times New Roman"/>
                <w:sz w:val="15"/>
                <w:szCs w:val="15"/>
                <w:b w:val="1"/>
                <w:bCs w:val="1"/>
                <w:color w:val="231F20"/>
              </w:rPr>
              <w:t>December 31,</w:t>
            </w:r>
          </w:p>
        </w:tc>
        <w:tc>
          <w:tcPr>
            <w:tcW w:w="1160" w:type="dxa"/>
            <w:vAlign w:val="bottom"/>
            <w:gridSpan w:val="2"/>
            <w:shd w:val="clear" w:color="auto" w:fill="FDFDFC"/>
          </w:tcPr>
          <w:p>
            <w:pPr>
              <w:jc w:val="right"/>
              <w:ind w:right="240"/>
              <w:spacing w:after="0"/>
              <w:rPr>
                <w:sz w:val="20"/>
                <w:szCs w:val="20"/>
                <w:color w:val="auto"/>
              </w:rPr>
            </w:pPr>
            <w:r>
              <w:rPr>
                <w:rFonts w:ascii="Times New Roman" w:cs="Times New Roman" w:eastAsia="Times New Roman" w:hAnsi="Times New Roman"/>
                <w:sz w:val="15"/>
                <w:szCs w:val="15"/>
                <w:b w:val="1"/>
                <w:bCs w:val="1"/>
                <w:color w:val="231F20"/>
              </w:rPr>
              <w:t>December 31,</w:t>
            </w:r>
          </w:p>
        </w:tc>
        <w:tc>
          <w:tcPr>
            <w:tcW w:w="0" w:type="dxa"/>
            <w:vAlign w:val="bottom"/>
          </w:tcPr>
          <w:p>
            <w:pPr>
              <w:spacing w:after="0"/>
              <w:rPr>
                <w:sz w:val="1"/>
                <w:szCs w:val="1"/>
                <w:color w:val="auto"/>
              </w:rPr>
            </w:pPr>
          </w:p>
        </w:tc>
      </w:tr>
      <w:tr>
        <w:trPr>
          <w:trHeight w:val="191"/>
        </w:trPr>
        <w:tc>
          <w:tcPr>
            <w:tcW w:w="4660" w:type="dxa"/>
            <w:vAlign w:val="bottom"/>
            <w:tcBorders>
              <w:bottom w:val="single" w:sz="8" w:color="D0EBF2"/>
            </w:tcBorders>
            <w:shd w:val="clear" w:color="auto" w:fill="FDFDFC"/>
          </w:tcPr>
          <w:p>
            <w:pPr>
              <w:spacing w:after="0"/>
              <w:rPr>
                <w:sz w:val="16"/>
                <w:szCs w:val="16"/>
                <w:color w:val="auto"/>
              </w:rPr>
            </w:pPr>
          </w:p>
        </w:tc>
        <w:tc>
          <w:tcPr>
            <w:tcW w:w="80" w:type="dxa"/>
            <w:vAlign w:val="bottom"/>
            <w:tcBorders>
              <w:bottom w:val="single" w:sz="8" w:color="D0EBF2"/>
            </w:tcBorders>
            <w:shd w:val="clear" w:color="auto" w:fill="FDFDFC"/>
          </w:tcPr>
          <w:p>
            <w:pPr>
              <w:spacing w:after="0"/>
              <w:rPr>
                <w:sz w:val="16"/>
                <w:szCs w:val="16"/>
                <w:color w:val="auto"/>
              </w:rPr>
            </w:pPr>
          </w:p>
        </w:tc>
        <w:tc>
          <w:tcPr>
            <w:tcW w:w="1000" w:type="dxa"/>
            <w:vAlign w:val="bottom"/>
            <w:tcBorders>
              <w:bottom w:val="single" w:sz="8" w:color="231F20"/>
            </w:tcBorders>
            <w:shd w:val="clear" w:color="auto" w:fill="FDFDFC"/>
          </w:tcPr>
          <w:p>
            <w:pPr>
              <w:jc w:val="right"/>
              <w:ind w:right="272"/>
              <w:spacing w:after="0"/>
              <w:rPr>
                <w:sz w:val="20"/>
                <w:szCs w:val="20"/>
                <w:color w:val="auto"/>
              </w:rPr>
            </w:pPr>
            <w:r>
              <w:rPr>
                <w:rFonts w:ascii="Times New Roman" w:cs="Times New Roman" w:eastAsia="Times New Roman" w:hAnsi="Times New Roman"/>
                <w:sz w:val="15"/>
                <w:szCs w:val="15"/>
                <w:b w:val="1"/>
                <w:bCs w:val="1"/>
                <w:color w:val="231F20"/>
              </w:rPr>
              <w:t>2024</w:t>
            </w:r>
          </w:p>
        </w:tc>
        <w:tc>
          <w:tcPr>
            <w:tcW w:w="240" w:type="dxa"/>
            <w:vAlign w:val="bottom"/>
            <w:shd w:val="clear" w:color="auto" w:fill="FDFDFC"/>
          </w:tcPr>
          <w:p>
            <w:pPr>
              <w:spacing w:after="0"/>
              <w:rPr>
                <w:sz w:val="16"/>
                <w:szCs w:val="16"/>
                <w:color w:val="auto"/>
              </w:rPr>
            </w:pPr>
          </w:p>
        </w:tc>
        <w:tc>
          <w:tcPr>
            <w:tcW w:w="1000" w:type="dxa"/>
            <w:vAlign w:val="bottom"/>
            <w:tcBorders>
              <w:bottom w:val="single" w:sz="8" w:color="231F20"/>
            </w:tcBorders>
            <w:shd w:val="clear" w:color="auto" w:fill="FDFDFC"/>
          </w:tcPr>
          <w:p>
            <w:pPr>
              <w:jc w:val="right"/>
              <w:ind w:right="267"/>
              <w:spacing w:after="0"/>
              <w:rPr>
                <w:sz w:val="20"/>
                <w:szCs w:val="20"/>
                <w:color w:val="auto"/>
              </w:rPr>
            </w:pPr>
            <w:r>
              <w:rPr>
                <w:rFonts w:ascii="Times New Roman" w:cs="Times New Roman" w:eastAsia="Times New Roman" w:hAnsi="Times New Roman"/>
                <w:sz w:val="15"/>
                <w:szCs w:val="15"/>
                <w:b w:val="1"/>
                <w:bCs w:val="1"/>
                <w:color w:val="231F20"/>
              </w:rPr>
              <w:t>2023</w:t>
            </w:r>
          </w:p>
        </w:tc>
        <w:tc>
          <w:tcPr>
            <w:tcW w:w="160" w:type="dxa"/>
            <w:vAlign w:val="bottom"/>
            <w:shd w:val="clear" w:color="auto" w:fill="FDFDFC"/>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4660" w:type="dxa"/>
            <w:vAlign w:val="bottom"/>
            <w:shd w:val="clear" w:color="auto" w:fill="D0EBF2"/>
          </w:tcPr>
          <w:p>
            <w:pPr>
              <w:spacing w:after="0" w:line="206" w:lineRule="exact"/>
              <w:rPr>
                <w:sz w:val="20"/>
                <w:szCs w:val="20"/>
                <w:color w:val="auto"/>
              </w:rPr>
            </w:pPr>
            <w:r>
              <w:rPr>
                <w:rFonts w:ascii="Times New Roman" w:cs="Times New Roman" w:eastAsia="Times New Roman" w:hAnsi="Times New Roman"/>
                <w:sz w:val="19"/>
                <w:szCs w:val="19"/>
                <w:color w:val="231F20"/>
              </w:rPr>
              <w:t>Automotive</w:t>
            </w:r>
          </w:p>
        </w:tc>
        <w:tc>
          <w:tcPr>
            <w:tcW w:w="80" w:type="dxa"/>
            <w:vAlign w:val="bottom"/>
            <w:shd w:val="clear" w:color="auto" w:fill="D0EBF2"/>
          </w:tcPr>
          <w:p>
            <w:pPr>
              <w:spacing w:after="0"/>
              <w:rPr>
                <w:sz w:val="17"/>
                <w:szCs w:val="17"/>
                <w:color w:val="auto"/>
              </w:rPr>
            </w:pPr>
          </w:p>
        </w:tc>
        <w:tc>
          <w:tcPr>
            <w:tcW w:w="1240" w:type="dxa"/>
            <w:vAlign w:val="bottom"/>
            <w:gridSpan w:val="2"/>
          </w:tcPr>
          <w:p>
            <w:pPr>
              <w:jc w:val="right"/>
              <w:ind w:right="80"/>
              <w:spacing w:after="0" w:line="206" w:lineRule="exact"/>
              <w:rPr>
                <w:sz w:val="20"/>
                <w:szCs w:val="20"/>
                <w:color w:val="auto"/>
              </w:rPr>
            </w:pPr>
            <w:r>
              <w:rPr>
                <w:rFonts w:ascii="Times New Roman" w:cs="Times New Roman" w:eastAsia="Times New Roman" w:hAnsi="Times New Roman"/>
                <w:sz w:val="19"/>
                <w:szCs w:val="19"/>
                <w:color w:val="231F20"/>
              </w:rPr>
              <w:t>1.2%</w:t>
            </w:r>
          </w:p>
        </w:tc>
        <w:tc>
          <w:tcPr>
            <w:tcW w:w="1160" w:type="dxa"/>
            <w:vAlign w:val="bottom"/>
            <w:gridSpan w:val="2"/>
          </w:tcPr>
          <w:p>
            <w:pPr>
              <w:jc w:val="right"/>
              <w:ind w:right="20"/>
              <w:spacing w:after="0" w:line="206" w:lineRule="exact"/>
              <w:rPr>
                <w:sz w:val="20"/>
                <w:szCs w:val="20"/>
                <w:color w:val="auto"/>
              </w:rPr>
            </w:pPr>
            <w:r>
              <w:rPr>
                <w:rFonts w:ascii="Times New Roman" w:cs="Times New Roman" w:eastAsia="Times New Roman" w:hAnsi="Times New Roman"/>
                <w:sz w:val="19"/>
                <w:szCs w:val="19"/>
                <w:color w:val="231F20"/>
              </w:rPr>
              <w:t>1.3%</w:t>
            </w:r>
          </w:p>
        </w:tc>
        <w:tc>
          <w:tcPr>
            <w:tcW w:w="0" w:type="dxa"/>
            <w:vAlign w:val="bottom"/>
          </w:tcPr>
          <w:p>
            <w:pPr>
              <w:spacing w:after="0"/>
              <w:rPr>
                <w:sz w:val="1"/>
                <w:szCs w:val="1"/>
                <w:color w:val="auto"/>
              </w:rPr>
            </w:pPr>
          </w:p>
        </w:tc>
      </w:tr>
      <w:tr>
        <w:trPr>
          <w:trHeight w:val="217"/>
        </w:trPr>
        <w:tc>
          <w:tcPr>
            <w:tcW w:w="4660" w:type="dxa"/>
            <w:vAlign w:val="bottom"/>
            <w:shd w:val="clear" w:color="auto" w:fill="FDFDFC"/>
          </w:tcPr>
          <w:p>
            <w:pPr>
              <w:spacing w:after="0" w:line="217" w:lineRule="exact"/>
              <w:rPr>
                <w:sz w:val="20"/>
                <w:szCs w:val="20"/>
                <w:color w:val="auto"/>
              </w:rPr>
            </w:pPr>
            <w:r>
              <w:rPr>
                <w:rFonts w:ascii="Times New Roman" w:cs="Times New Roman" w:eastAsia="Times New Roman" w:hAnsi="Times New Roman"/>
                <w:sz w:val="19"/>
                <w:szCs w:val="19"/>
                <w:color w:val="231F20"/>
              </w:rPr>
              <w:t>Business Services</w:t>
            </w:r>
          </w:p>
        </w:tc>
        <w:tc>
          <w:tcPr>
            <w:tcW w:w="80" w:type="dxa"/>
            <w:vAlign w:val="bottom"/>
            <w:shd w:val="clear" w:color="auto" w:fill="FDFDFC"/>
          </w:tcPr>
          <w:p>
            <w:pPr>
              <w:spacing w:after="0"/>
              <w:rPr>
                <w:sz w:val="18"/>
                <w:szCs w:val="18"/>
                <w:color w:val="auto"/>
              </w:rPr>
            </w:pPr>
          </w:p>
        </w:tc>
        <w:tc>
          <w:tcPr>
            <w:tcW w:w="1240" w:type="dxa"/>
            <w:vAlign w:val="bottom"/>
            <w:gridSpan w:val="2"/>
            <w:shd w:val="clear" w:color="auto" w:fill="FDFDFC"/>
          </w:tcPr>
          <w:p>
            <w:pPr>
              <w:jc w:val="right"/>
              <w:ind w:right="80"/>
              <w:spacing w:after="0" w:line="217" w:lineRule="exact"/>
              <w:rPr>
                <w:sz w:val="20"/>
                <w:szCs w:val="20"/>
                <w:color w:val="auto"/>
              </w:rPr>
            </w:pPr>
            <w:r>
              <w:rPr>
                <w:rFonts w:ascii="Times New Roman" w:cs="Times New Roman" w:eastAsia="Times New Roman" w:hAnsi="Times New Roman"/>
                <w:sz w:val="19"/>
                <w:szCs w:val="19"/>
                <w:color w:val="231F20"/>
              </w:rPr>
              <w:t>13.3%</w:t>
            </w:r>
          </w:p>
        </w:tc>
        <w:tc>
          <w:tcPr>
            <w:tcW w:w="1160" w:type="dxa"/>
            <w:vAlign w:val="bottom"/>
            <w:gridSpan w:val="2"/>
            <w:shd w:val="clear" w:color="auto" w:fill="FDFDFC"/>
          </w:tcPr>
          <w:p>
            <w:pPr>
              <w:jc w:val="right"/>
              <w:ind w:right="20"/>
              <w:spacing w:after="0" w:line="217" w:lineRule="exact"/>
              <w:rPr>
                <w:sz w:val="20"/>
                <w:szCs w:val="20"/>
                <w:color w:val="auto"/>
              </w:rPr>
            </w:pPr>
            <w:r>
              <w:rPr>
                <w:rFonts w:ascii="Times New Roman" w:cs="Times New Roman" w:eastAsia="Times New Roman" w:hAnsi="Times New Roman"/>
                <w:sz w:val="19"/>
                <w:szCs w:val="19"/>
                <w:color w:val="231F20"/>
              </w:rPr>
              <w:t>18.0%</w:t>
            </w:r>
          </w:p>
        </w:tc>
        <w:tc>
          <w:tcPr>
            <w:tcW w:w="0" w:type="dxa"/>
            <w:vAlign w:val="bottom"/>
          </w:tcPr>
          <w:p>
            <w:pPr>
              <w:spacing w:after="0"/>
              <w:rPr>
                <w:sz w:val="1"/>
                <w:szCs w:val="1"/>
                <w:color w:val="auto"/>
              </w:rPr>
            </w:pPr>
          </w:p>
        </w:tc>
      </w:tr>
      <w:tr>
        <w:trPr>
          <w:trHeight w:val="217"/>
        </w:trPr>
        <w:tc>
          <w:tcPr>
            <w:tcW w:w="4660" w:type="dxa"/>
            <w:vAlign w:val="bottom"/>
            <w:shd w:val="clear" w:color="auto" w:fill="D0EBF2"/>
          </w:tcPr>
          <w:p>
            <w:pPr>
              <w:spacing w:after="0" w:line="217" w:lineRule="exact"/>
              <w:rPr>
                <w:sz w:val="20"/>
                <w:szCs w:val="20"/>
                <w:color w:val="auto"/>
              </w:rPr>
            </w:pPr>
            <w:r>
              <w:rPr>
                <w:rFonts w:ascii="Times New Roman" w:cs="Times New Roman" w:eastAsia="Times New Roman" w:hAnsi="Times New Roman"/>
                <w:sz w:val="19"/>
                <w:szCs w:val="19"/>
                <w:color w:val="231F20"/>
              </w:rPr>
              <w:t>Chemicals</w:t>
            </w:r>
          </w:p>
        </w:tc>
        <w:tc>
          <w:tcPr>
            <w:tcW w:w="1320" w:type="dxa"/>
            <w:vAlign w:val="bottom"/>
            <w:gridSpan w:val="3"/>
            <w:shd w:val="clear" w:color="auto" w:fill="D0EBF2"/>
          </w:tcPr>
          <w:p>
            <w:pPr>
              <w:jc w:val="right"/>
              <w:ind w:right="80"/>
              <w:spacing w:after="0" w:line="217" w:lineRule="exact"/>
              <w:rPr>
                <w:sz w:val="20"/>
                <w:szCs w:val="20"/>
                <w:color w:val="auto"/>
              </w:rPr>
            </w:pPr>
            <w:r>
              <w:rPr>
                <w:rFonts w:ascii="Times New Roman" w:cs="Times New Roman" w:eastAsia="Times New Roman" w:hAnsi="Times New Roman"/>
                <w:sz w:val="19"/>
                <w:szCs w:val="19"/>
                <w:color w:val="231F20"/>
              </w:rPr>
              <w:t>0.9%</w:t>
            </w:r>
          </w:p>
        </w:tc>
        <w:tc>
          <w:tcPr>
            <w:tcW w:w="1160" w:type="dxa"/>
            <w:vAlign w:val="bottom"/>
            <w:gridSpan w:val="2"/>
            <w:shd w:val="clear" w:color="auto" w:fill="D0EBF2"/>
          </w:tcPr>
          <w:p>
            <w:pPr>
              <w:jc w:val="right"/>
              <w:ind w:right="20"/>
              <w:spacing w:after="0" w:line="217" w:lineRule="exact"/>
              <w:rPr>
                <w:sz w:val="20"/>
                <w:szCs w:val="20"/>
                <w:color w:val="auto"/>
              </w:rPr>
            </w:pPr>
            <w:r>
              <w:rPr>
                <w:rFonts w:ascii="Times New Roman" w:cs="Times New Roman" w:eastAsia="Times New Roman" w:hAnsi="Times New Roman"/>
                <w:sz w:val="19"/>
                <w:szCs w:val="19"/>
                <w:color w:val="231F20"/>
              </w:rPr>
              <w:t>0.8%</w:t>
            </w:r>
          </w:p>
        </w:tc>
        <w:tc>
          <w:tcPr>
            <w:tcW w:w="0" w:type="dxa"/>
            <w:vAlign w:val="bottom"/>
          </w:tcPr>
          <w:p>
            <w:pPr>
              <w:spacing w:after="0"/>
              <w:rPr>
                <w:sz w:val="1"/>
                <w:szCs w:val="1"/>
                <w:color w:val="auto"/>
              </w:rPr>
            </w:pPr>
          </w:p>
        </w:tc>
      </w:tr>
      <w:tr>
        <w:trPr>
          <w:trHeight w:val="217"/>
        </w:trPr>
        <w:tc>
          <w:tcPr>
            <w:tcW w:w="4660" w:type="dxa"/>
            <w:vAlign w:val="bottom"/>
            <w:shd w:val="clear" w:color="auto" w:fill="FDFDFC"/>
          </w:tcPr>
          <w:p>
            <w:pPr>
              <w:spacing w:after="0" w:line="217" w:lineRule="exact"/>
              <w:rPr>
                <w:sz w:val="20"/>
                <w:szCs w:val="20"/>
                <w:color w:val="auto"/>
              </w:rPr>
            </w:pPr>
            <w:r>
              <w:rPr>
                <w:rFonts w:ascii="Times New Roman" w:cs="Times New Roman" w:eastAsia="Times New Roman" w:hAnsi="Times New Roman"/>
                <w:sz w:val="19"/>
                <w:szCs w:val="19"/>
                <w:color w:val="231F20"/>
              </w:rPr>
              <w:t>Communications</w:t>
            </w:r>
          </w:p>
        </w:tc>
        <w:tc>
          <w:tcPr>
            <w:tcW w:w="1320" w:type="dxa"/>
            <w:vAlign w:val="bottom"/>
            <w:gridSpan w:val="3"/>
            <w:shd w:val="clear" w:color="auto" w:fill="FDFDFC"/>
          </w:tcPr>
          <w:p>
            <w:pPr>
              <w:jc w:val="right"/>
              <w:ind w:right="80"/>
              <w:spacing w:after="0" w:line="217" w:lineRule="exact"/>
              <w:rPr>
                <w:sz w:val="20"/>
                <w:szCs w:val="20"/>
                <w:color w:val="auto"/>
              </w:rPr>
            </w:pPr>
            <w:r>
              <w:rPr>
                <w:rFonts w:ascii="Times New Roman" w:cs="Times New Roman" w:eastAsia="Times New Roman" w:hAnsi="Times New Roman"/>
                <w:sz w:val="19"/>
                <w:szCs w:val="19"/>
                <w:color w:val="231F20"/>
              </w:rPr>
              <w:t>3.5%</w:t>
            </w:r>
          </w:p>
        </w:tc>
        <w:tc>
          <w:tcPr>
            <w:tcW w:w="1160" w:type="dxa"/>
            <w:vAlign w:val="bottom"/>
            <w:gridSpan w:val="2"/>
            <w:shd w:val="clear" w:color="auto" w:fill="FDFDFC"/>
          </w:tcPr>
          <w:p>
            <w:pPr>
              <w:jc w:val="right"/>
              <w:ind w:right="20"/>
              <w:spacing w:after="0" w:line="217" w:lineRule="exact"/>
              <w:rPr>
                <w:sz w:val="20"/>
                <w:szCs w:val="20"/>
                <w:color w:val="auto"/>
              </w:rPr>
            </w:pPr>
            <w:r>
              <w:rPr>
                <w:rFonts w:ascii="Times New Roman" w:cs="Times New Roman" w:eastAsia="Times New Roman" w:hAnsi="Times New Roman"/>
                <w:sz w:val="19"/>
                <w:szCs w:val="19"/>
                <w:color w:val="231F20"/>
              </w:rPr>
              <w:t>3.3%</w:t>
            </w:r>
          </w:p>
        </w:tc>
        <w:tc>
          <w:tcPr>
            <w:tcW w:w="0" w:type="dxa"/>
            <w:vAlign w:val="bottom"/>
          </w:tcPr>
          <w:p>
            <w:pPr>
              <w:spacing w:after="0"/>
              <w:rPr>
                <w:sz w:val="1"/>
                <w:szCs w:val="1"/>
                <w:color w:val="auto"/>
              </w:rPr>
            </w:pPr>
          </w:p>
        </w:tc>
      </w:tr>
      <w:tr>
        <w:trPr>
          <w:trHeight w:val="217"/>
        </w:trPr>
        <w:tc>
          <w:tcPr>
            <w:tcW w:w="4660" w:type="dxa"/>
            <w:vAlign w:val="bottom"/>
            <w:shd w:val="clear" w:color="auto" w:fill="D0EBF2"/>
          </w:tcPr>
          <w:p>
            <w:pPr>
              <w:spacing w:after="0" w:line="217" w:lineRule="exact"/>
              <w:rPr>
                <w:sz w:val="20"/>
                <w:szCs w:val="20"/>
                <w:color w:val="auto"/>
              </w:rPr>
            </w:pPr>
            <w:r>
              <w:rPr>
                <w:rFonts w:ascii="Times New Roman" w:cs="Times New Roman" w:eastAsia="Times New Roman" w:hAnsi="Times New Roman"/>
                <w:sz w:val="19"/>
                <w:szCs w:val="19"/>
                <w:color w:val="231F20"/>
              </w:rPr>
              <w:t>Education</w:t>
            </w:r>
          </w:p>
        </w:tc>
        <w:tc>
          <w:tcPr>
            <w:tcW w:w="1320" w:type="dxa"/>
            <w:vAlign w:val="bottom"/>
            <w:gridSpan w:val="3"/>
            <w:shd w:val="clear" w:color="auto" w:fill="D0EBF2"/>
          </w:tcPr>
          <w:p>
            <w:pPr>
              <w:jc w:val="right"/>
              <w:ind w:right="80"/>
              <w:spacing w:after="0" w:line="217" w:lineRule="exact"/>
              <w:rPr>
                <w:sz w:val="20"/>
                <w:szCs w:val="20"/>
                <w:color w:val="auto"/>
              </w:rPr>
            </w:pPr>
            <w:r>
              <w:rPr>
                <w:rFonts w:ascii="Times New Roman" w:cs="Times New Roman" w:eastAsia="Times New Roman" w:hAnsi="Times New Roman"/>
                <w:sz w:val="19"/>
                <w:szCs w:val="19"/>
                <w:color w:val="231F20"/>
              </w:rPr>
              <w:t>5.0%</w:t>
            </w:r>
          </w:p>
        </w:tc>
        <w:tc>
          <w:tcPr>
            <w:tcW w:w="1160" w:type="dxa"/>
            <w:vAlign w:val="bottom"/>
            <w:gridSpan w:val="2"/>
            <w:shd w:val="clear" w:color="auto" w:fill="D0EBF2"/>
          </w:tcPr>
          <w:p>
            <w:pPr>
              <w:jc w:val="right"/>
              <w:ind w:right="20"/>
              <w:spacing w:after="0" w:line="217" w:lineRule="exact"/>
              <w:rPr>
                <w:sz w:val="20"/>
                <w:szCs w:val="20"/>
                <w:color w:val="auto"/>
              </w:rPr>
            </w:pPr>
            <w:r>
              <w:rPr>
                <w:rFonts w:ascii="Times New Roman" w:cs="Times New Roman" w:eastAsia="Times New Roman" w:hAnsi="Times New Roman"/>
                <w:sz w:val="19"/>
                <w:szCs w:val="19"/>
                <w:color w:val="231F20"/>
              </w:rPr>
              <w:t>5.3%</w:t>
            </w:r>
          </w:p>
        </w:tc>
        <w:tc>
          <w:tcPr>
            <w:tcW w:w="0" w:type="dxa"/>
            <w:vAlign w:val="bottom"/>
          </w:tcPr>
          <w:p>
            <w:pPr>
              <w:spacing w:after="0"/>
              <w:rPr>
                <w:sz w:val="1"/>
                <w:szCs w:val="1"/>
                <w:color w:val="auto"/>
              </w:rPr>
            </w:pPr>
          </w:p>
        </w:tc>
      </w:tr>
      <w:tr>
        <w:trPr>
          <w:trHeight w:val="217"/>
        </w:trPr>
        <w:tc>
          <w:tcPr>
            <w:tcW w:w="4660" w:type="dxa"/>
            <w:vAlign w:val="bottom"/>
            <w:shd w:val="clear" w:color="auto" w:fill="FDFDFC"/>
          </w:tcPr>
          <w:p>
            <w:pPr>
              <w:spacing w:after="0" w:line="217" w:lineRule="exact"/>
              <w:rPr>
                <w:sz w:val="20"/>
                <w:szCs w:val="20"/>
                <w:color w:val="auto"/>
              </w:rPr>
            </w:pPr>
            <w:r>
              <w:rPr>
                <w:rFonts w:ascii="Times New Roman" w:cs="Times New Roman" w:eastAsia="Times New Roman" w:hAnsi="Times New Roman"/>
                <w:sz w:val="19"/>
                <w:szCs w:val="19"/>
                <w:color w:val="231F20"/>
              </w:rPr>
              <w:t>Electronics</w:t>
            </w:r>
          </w:p>
        </w:tc>
        <w:tc>
          <w:tcPr>
            <w:tcW w:w="1320" w:type="dxa"/>
            <w:vAlign w:val="bottom"/>
            <w:gridSpan w:val="3"/>
            <w:shd w:val="clear" w:color="auto" w:fill="FDFDFC"/>
          </w:tcPr>
          <w:p>
            <w:pPr>
              <w:jc w:val="right"/>
              <w:ind w:right="80"/>
              <w:spacing w:after="0" w:line="217" w:lineRule="exact"/>
              <w:rPr>
                <w:sz w:val="20"/>
                <w:szCs w:val="20"/>
                <w:color w:val="auto"/>
              </w:rPr>
            </w:pPr>
            <w:r>
              <w:rPr>
                <w:rFonts w:ascii="Times New Roman" w:cs="Times New Roman" w:eastAsia="Times New Roman" w:hAnsi="Times New Roman"/>
                <w:sz w:val="19"/>
                <w:szCs w:val="19"/>
                <w:color w:val="231F20"/>
              </w:rPr>
              <w:t>0.8%</w:t>
            </w:r>
          </w:p>
        </w:tc>
        <w:tc>
          <w:tcPr>
            <w:tcW w:w="1160" w:type="dxa"/>
            <w:vAlign w:val="bottom"/>
            <w:gridSpan w:val="2"/>
            <w:shd w:val="clear" w:color="auto" w:fill="FDFDFC"/>
          </w:tcPr>
          <w:p>
            <w:pPr>
              <w:jc w:val="right"/>
              <w:ind w:right="180"/>
              <w:spacing w:after="0" w:line="217" w:lineRule="exact"/>
              <w:rPr>
                <w:sz w:val="20"/>
                <w:szCs w:val="20"/>
                <w:color w:val="auto"/>
              </w:rPr>
            </w:pPr>
            <w:r>
              <w:rPr>
                <w:rFonts w:ascii="Times New Roman" w:cs="Times New Roman" w:eastAsia="Times New Roman" w:hAnsi="Times New Roman"/>
                <w:sz w:val="19"/>
                <w:szCs w:val="19"/>
                <w:color w:val="231F20"/>
              </w:rPr>
              <w:t>—</w:t>
            </w:r>
          </w:p>
        </w:tc>
        <w:tc>
          <w:tcPr>
            <w:tcW w:w="0" w:type="dxa"/>
            <w:vAlign w:val="bottom"/>
          </w:tcPr>
          <w:p>
            <w:pPr>
              <w:spacing w:after="0"/>
              <w:rPr>
                <w:sz w:val="1"/>
                <w:szCs w:val="1"/>
                <w:color w:val="auto"/>
              </w:rPr>
            </w:pPr>
          </w:p>
        </w:tc>
      </w:tr>
      <w:tr>
        <w:trPr>
          <w:trHeight w:val="217"/>
        </w:trPr>
        <w:tc>
          <w:tcPr>
            <w:tcW w:w="4660" w:type="dxa"/>
            <w:vAlign w:val="bottom"/>
            <w:shd w:val="clear" w:color="auto" w:fill="D0EBF2"/>
          </w:tcPr>
          <w:p>
            <w:pPr>
              <w:spacing w:after="0" w:line="217" w:lineRule="exact"/>
              <w:rPr>
                <w:sz w:val="20"/>
                <w:szCs w:val="20"/>
                <w:color w:val="auto"/>
              </w:rPr>
            </w:pPr>
            <w:r>
              <w:rPr>
                <w:rFonts w:ascii="Times New Roman" w:cs="Times New Roman" w:eastAsia="Times New Roman" w:hAnsi="Times New Roman"/>
                <w:sz w:val="19"/>
                <w:szCs w:val="19"/>
                <w:color w:val="231F20"/>
              </w:rPr>
              <w:t>Financial Services</w:t>
            </w:r>
          </w:p>
        </w:tc>
        <w:tc>
          <w:tcPr>
            <w:tcW w:w="1320" w:type="dxa"/>
            <w:vAlign w:val="bottom"/>
            <w:gridSpan w:val="3"/>
            <w:shd w:val="clear" w:color="auto" w:fill="D0EBF2"/>
          </w:tcPr>
          <w:p>
            <w:pPr>
              <w:jc w:val="right"/>
              <w:ind w:right="80"/>
              <w:spacing w:after="0" w:line="217" w:lineRule="exact"/>
              <w:rPr>
                <w:sz w:val="20"/>
                <w:szCs w:val="20"/>
                <w:color w:val="auto"/>
              </w:rPr>
            </w:pPr>
            <w:r>
              <w:rPr>
                <w:rFonts w:ascii="Times New Roman" w:cs="Times New Roman" w:eastAsia="Times New Roman" w:hAnsi="Times New Roman"/>
                <w:sz w:val="19"/>
                <w:szCs w:val="19"/>
                <w:color w:val="231F20"/>
              </w:rPr>
              <w:t>8.6%</w:t>
            </w:r>
          </w:p>
        </w:tc>
        <w:tc>
          <w:tcPr>
            <w:tcW w:w="1160" w:type="dxa"/>
            <w:vAlign w:val="bottom"/>
            <w:gridSpan w:val="2"/>
            <w:shd w:val="clear" w:color="auto" w:fill="D0EBF2"/>
          </w:tcPr>
          <w:p>
            <w:pPr>
              <w:jc w:val="right"/>
              <w:ind w:right="20"/>
              <w:spacing w:after="0" w:line="217" w:lineRule="exact"/>
              <w:rPr>
                <w:sz w:val="20"/>
                <w:szCs w:val="20"/>
                <w:color w:val="auto"/>
              </w:rPr>
            </w:pPr>
            <w:r>
              <w:rPr>
                <w:rFonts w:ascii="Times New Roman" w:cs="Times New Roman" w:eastAsia="Times New Roman" w:hAnsi="Times New Roman"/>
                <w:sz w:val="19"/>
                <w:szCs w:val="19"/>
                <w:color w:val="231F20"/>
              </w:rPr>
              <w:t>11.1%</w:t>
            </w:r>
          </w:p>
        </w:tc>
        <w:tc>
          <w:tcPr>
            <w:tcW w:w="0" w:type="dxa"/>
            <w:vAlign w:val="bottom"/>
          </w:tcPr>
          <w:p>
            <w:pPr>
              <w:spacing w:after="0"/>
              <w:rPr>
                <w:sz w:val="1"/>
                <w:szCs w:val="1"/>
                <w:color w:val="auto"/>
              </w:rPr>
            </w:pPr>
          </w:p>
        </w:tc>
      </w:tr>
      <w:tr>
        <w:trPr>
          <w:trHeight w:val="217"/>
        </w:trPr>
        <w:tc>
          <w:tcPr>
            <w:tcW w:w="4660" w:type="dxa"/>
            <w:vAlign w:val="bottom"/>
            <w:shd w:val="clear" w:color="auto" w:fill="FDFDFC"/>
          </w:tcPr>
          <w:p>
            <w:pPr>
              <w:spacing w:after="0" w:line="217" w:lineRule="exact"/>
              <w:rPr>
                <w:sz w:val="20"/>
                <w:szCs w:val="20"/>
                <w:color w:val="auto"/>
              </w:rPr>
            </w:pPr>
            <w:r>
              <w:rPr>
                <w:rFonts w:ascii="Times New Roman" w:cs="Times New Roman" w:eastAsia="Times New Roman" w:hAnsi="Times New Roman"/>
                <w:sz w:val="19"/>
                <w:szCs w:val="19"/>
                <w:color w:val="231F20"/>
              </w:rPr>
              <w:t>Healthcare</w:t>
            </w:r>
          </w:p>
        </w:tc>
        <w:tc>
          <w:tcPr>
            <w:tcW w:w="1320" w:type="dxa"/>
            <w:vAlign w:val="bottom"/>
            <w:gridSpan w:val="3"/>
            <w:shd w:val="clear" w:color="auto" w:fill="FDFDFC"/>
          </w:tcPr>
          <w:p>
            <w:pPr>
              <w:jc w:val="right"/>
              <w:ind w:right="80"/>
              <w:spacing w:after="0" w:line="217" w:lineRule="exact"/>
              <w:rPr>
                <w:sz w:val="20"/>
                <w:szCs w:val="20"/>
                <w:color w:val="auto"/>
              </w:rPr>
            </w:pPr>
            <w:r>
              <w:rPr>
                <w:rFonts w:ascii="Times New Roman" w:cs="Times New Roman" w:eastAsia="Times New Roman" w:hAnsi="Times New Roman"/>
                <w:sz w:val="19"/>
                <w:szCs w:val="19"/>
                <w:color w:val="231F20"/>
              </w:rPr>
              <w:t>7.5%</w:t>
            </w:r>
          </w:p>
        </w:tc>
        <w:tc>
          <w:tcPr>
            <w:tcW w:w="1160" w:type="dxa"/>
            <w:vAlign w:val="bottom"/>
            <w:gridSpan w:val="2"/>
            <w:shd w:val="clear" w:color="auto" w:fill="FDFDFC"/>
          </w:tcPr>
          <w:p>
            <w:pPr>
              <w:jc w:val="right"/>
              <w:ind w:right="20"/>
              <w:spacing w:after="0" w:line="217" w:lineRule="exact"/>
              <w:rPr>
                <w:sz w:val="20"/>
                <w:szCs w:val="20"/>
                <w:color w:val="auto"/>
              </w:rPr>
            </w:pPr>
            <w:r>
              <w:rPr>
                <w:rFonts w:ascii="Times New Roman" w:cs="Times New Roman" w:eastAsia="Times New Roman" w:hAnsi="Times New Roman"/>
                <w:sz w:val="19"/>
                <w:szCs w:val="19"/>
                <w:color w:val="231F20"/>
              </w:rPr>
              <w:t>8.9%</w:t>
            </w:r>
          </w:p>
        </w:tc>
        <w:tc>
          <w:tcPr>
            <w:tcW w:w="0" w:type="dxa"/>
            <w:vAlign w:val="bottom"/>
          </w:tcPr>
          <w:p>
            <w:pPr>
              <w:spacing w:after="0"/>
              <w:rPr>
                <w:sz w:val="1"/>
                <w:szCs w:val="1"/>
                <w:color w:val="auto"/>
              </w:rPr>
            </w:pPr>
          </w:p>
        </w:tc>
      </w:tr>
      <w:tr>
        <w:trPr>
          <w:trHeight w:val="217"/>
        </w:trPr>
        <w:tc>
          <w:tcPr>
            <w:tcW w:w="4660" w:type="dxa"/>
            <w:vAlign w:val="bottom"/>
            <w:shd w:val="clear" w:color="auto" w:fill="D0EBF2"/>
          </w:tcPr>
          <w:p>
            <w:pPr>
              <w:spacing w:after="0" w:line="217" w:lineRule="exact"/>
              <w:rPr>
                <w:sz w:val="20"/>
                <w:szCs w:val="20"/>
                <w:color w:val="auto"/>
              </w:rPr>
            </w:pPr>
            <w:r>
              <w:rPr>
                <w:rFonts w:ascii="Times New Roman" w:cs="Times New Roman" w:eastAsia="Times New Roman" w:hAnsi="Times New Roman"/>
                <w:sz w:val="19"/>
                <w:szCs w:val="19"/>
                <w:color w:val="231F20"/>
              </w:rPr>
              <w:t>Hotel, Gaming and Leisure</w:t>
            </w:r>
          </w:p>
        </w:tc>
        <w:tc>
          <w:tcPr>
            <w:tcW w:w="1320" w:type="dxa"/>
            <w:vAlign w:val="bottom"/>
            <w:gridSpan w:val="3"/>
            <w:shd w:val="clear" w:color="auto" w:fill="D0EBF2"/>
          </w:tcPr>
          <w:p>
            <w:pPr>
              <w:jc w:val="right"/>
              <w:ind w:right="80"/>
              <w:spacing w:after="0" w:line="217" w:lineRule="exact"/>
              <w:rPr>
                <w:sz w:val="20"/>
                <w:szCs w:val="20"/>
                <w:color w:val="auto"/>
              </w:rPr>
            </w:pPr>
            <w:r>
              <w:rPr>
                <w:rFonts w:ascii="Times New Roman" w:cs="Times New Roman" w:eastAsia="Times New Roman" w:hAnsi="Times New Roman"/>
                <w:sz w:val="19"/>
                <w:szCs w:val="19"/>
                <w:color w:val="231F20"/>
              </w:rPr>
              <w:t>7.4%</w:t>
            </w:r>
          </w:p>
        </w:tc>
        <w:tc>
          <w:tcPr>
            <w:tcW w:w="1160" w:type="dxa"/>
            <w:vAlign w:val="bottom"/>
            <w:gridSpan w:val="2"/>
            <w:shd w:val="clear" w:color="auto" w:fill="D0EBF2"/>
          </w:tcPr>
          <w:p>
            <w:pPr>
              <w:jc w:val="right"/>
              <w:ind w:right="20"/>
              <w:spacing w:after="0" w:line="217" w:lineRule="exact"/>
              <w:rPr>
                <w:sz w:val="20"/>
                <w:szCs w:val="20"/>
                <w:color w:val="auto"/>
              </w:rPr>
            </w:pPr>
            <w:r>
              <w:rPr>
                <w:rFonts w:ascii="Times New Roman" w:cs="Times New Roman" w:eastAsia="Times New Roman" w:hAnsi="Times New Roman"/>
                <w:sz w:val="19"/>
                <w:szCs w:val="19"/>
                <w:color w:val="231F20"/>
              </w:rPr>
              <w:t>3.7%</w:t>
            </w:r>
          </w:p>
        </w:tc>
        <w:tc>
          <w:tcPr>
            <w:tcW w:w="0" w:type="dxa"/>
            <w:vAlign w:val="bottom"/>
          </w:tcPr>
          <w:p>
            <w:pPr>
              <w:spacing w:after="0"/>
              <w:rPr>
                <w:sz w:val="1"/>
                <w:szCs w:val="1"/>
                <w:color w:val="auto"/>
              </w:rPr>
            </w:pPr>
          </w:p>
        </w:tc>
      </w:tr>
      <w:tr>
        <w:trPr>
          <w:trHeight w:val="217"/>
        </w:trPr>
        <w:tc>
          <w:tcPr>
            <w:tcW w:w="4660" w:type="dxa"/>
            <w:vAlign w:val="bottom"/>
            <w:shd w:val="clear" w:color="auto" w:fill="FDFDFC"/>
          </w:tcPr>
          <w:p>
            <w:pPr>
              <w:spacing w:after="0" w:line="217" w:lineRule="exact"/>
              <w:rPr>
                <w:sz w:val="20"/>
                <w:szCs w:val="20"/>
                <w:color w:val="auto"/>
              </w:rPr>
            </w:pPr>
            <w:r>
              <w:rPr>
                <w:rFonts w:ascii="Times New Roman" w:cs="Times New Roman" w:eastAsia="Times New Roman" w:hAnsi="Times New Roman"/>
                <w:sz w:val="19"/>
                <w:szCs w:val="19"/>
                <w:color w:val="231F20"/>
              </w:rPr>
              <w:t>Human Resource Support Services</w:t>
            </w:r>
          </w:p>
        </w:tc>
        <w:tc>
          <w:tcPr>
            <w:tcW w:w="1320" w:type="dxa"/>
            <w:vAlign w:val="bottom"/>
            <w:gridSpan w:val="3"/>
            <w:shd w:val="clear" w:color="auto" w:fill="FDFDFC"/>
          </w:tcPr>
          <w:p>
            <w:pPr>
              <w:jc w:val="right"/>
              <w:ind w:right="80"/>
              <w:spacing w:after="0" w:line="217" w:lineRule="exact"/>
              <w:rPr>
                <w:sz w:val="20"/>
                <w:szCs w:val="20"/>
                <w:color w:val="auto"/>
              </w:rPr>
            </w:pPr>
            <w:r>
              <w:rPr>
                <w:rFonts w:ascii="Times New Roman" w:cs="Times New Roman" w:eastAsia="Times New Roman" w:hAnsi="Times New Roman"/>
                <w:sz w:val="19"/>
                <w:szCs w:val="19"/>
                <w:color w:val="231F20"/>
              </w:rPr>
              <w:t>10.2%</w:t>
            </w:r>
          </w:p>
        </w:tc>
        <w:tc>
          <w:tcPr>
            <w:tcW w:w="1160" w:type="dxa"/>
            <w:vAlign w:val="bottom"/>
            <w:gridSpan w:val="2"/>
            <w:shd w:val="clear" w:color="auto" w:fill="FDFDFC"/>
          </w:tcPr>
          <w:p>
            <w:pPr>
              <w:jc w:val="right"/>
              <w:ind w:right="20"/>
              <w:spacing w:after="0" w:line="217" w:lineRule="exact"/>
              <w:rPr>
                <w:sz w:val="20"/>
                <w:szCs w:val="20"/>
                <w:color w:val="auto"/>
              </w:rPr>
            </w:pPr>
            <w:r>
              <w:rPr>
                <w:rFonts w:ascii="Times New Roman" w:cs="Times New Roman" w:eastAsia="Times New Roman" w:hAnsi="Times New Roman"/>
                <w:sz w:val="19"/>
                <w:szCs w:val="19"/>
                <w:color w:val="231F20"/>
              </w:rPr>
              <w:t>11.2%</w:t>
            </w:r>
          </w:p>
        </w:tc>
        <w:tc>
          <w:tcPr>
            <w:tcW w:w="0" w:type="dxa"/>
            <w:vAlign w:val="bottom"/>
          </w:tcPr>
          <w:p>
            <w:pPr>
              <w:spacing w:after="0"/>
              <w:rPr>
                <w:sz w:val="1"/>
                <w:szCs w:val="1"/>
                <w:color w:val="auto"/>
              </w:rPr>
            </w:pPr>
          </w:p>
        </w:tc>
      </w:tr>
      <w:tr>
        <w:trPr>
          <w:trHeight w:val="217"/>
        </w:trPr>
        <w:tc>
          <w:tcPr>
            <w:tcW w:w="4660" w:type="dxa"/>
            <w:vAlign w:val="bottom"/>
            <w:shd w:val="clear" w:color="auto" w:fill="D0EBF2"/>
          </w:tcPr>
          <w:p>
            <w:pPr>
              <w:spacing w:after="0" w:line="217" w:lineRule="exact"/>
              <w:rPr>
                <w:sz w:val="20"/>
                <w:szCs w:val="20"/>
                <w:color w:val="auto"/>
              </w:rPr>
            </w:pPr>
            <w:r>
              <w:rPr>
                <w:rFonts w:ascii="Times New Roman" w:cs="Times New Roman" w:eastAsia="Times New Roman" w:hAnsi="Times New Roman"/>
                <w:sz w:val="19"/>
                <w:szCs w:val="19"/>
                <w:color w:val="231F20"/>
              </w:rPr>
              <w:t>Insurance</w:t>
            </w:r>
          </w:p>
        </w:tc>
        <w:tc>
          <w:tcPr>
            <w:tcW w:w="1320" w:type="dxa"/>
            <w:vAlign w:val="bottom"/>
            <w:gridSpan w:val="3"/>
            <w:shd w:val="clear" w:color="auto" w:fill="D0EBF2"/>
          </w:tcPr>
          <w:p>
            <w:pPr>
              <w:jc w:val="right"/>
              <w:ind w:right="80"/>
              <w:spacing w:after="0" w:line="217" w:lineRule="exact"/>
              <w:rPr>
                <w:sz w:val="20"/>
                <w:szCs w:val="20"/>
                <w:color w:val="auto"/>
              </w:rPr>
            </w:pPr>
            <w:r>
              <w:rPr>
                <w:rFonts w:ascii="Times New Roman" w:cs="Times New Roman" w:eastAsia="Times New Roman" w:hAnsi="Times New Roman"/>
                <w:sz w:val="19"/>
                <w:szCs w:val="19"/>
                <w:color w:val="231F20"/>
              </w:rPr>
              <w:t>0.2%</w:t>
            </w:r>
          </w:p>
        </w:tc>
        <w:tc>
          <w:tcPr>
            <w:tcW w:w="1160" w:type="dxa"/>
            <w:vAlign w:val="bottom"/>
            <w:gridSpan w:val="2"/>
            <w:shd w:val="clear" w:color="auto" w:fill="D0EBF2"/>
          </w:tcPr>
          <w:p>
            <w:pPr>
              <w:jc w:val="right"/>
              <w:ind w:right="20"/>
              <w:spacing w:after="0" w:line="217" w:lineRule="exact"/>
              <w:rPr>
                <w:sz w:val="20"/>
                <w:szCs w:val="20"/>
                <w:color w:val="auto"/>
              </w:rPr>
            </w:pPr>
            <w:r>
              <w:rPr>
                <w:rFonts w:ascii="Times New Roman" w:cs="Times New Roman" w:eastAsia="Times New Roman" w:hAnsi="Times New Roman"/>
                <w:sz w:val="19"/>
                <w:szCs w:val="19"/>
                <w:color w:val="231F20"/>
              </w:rPr>
              <w:t>0.1%</w:t>
            </w:r>
          </w:p>
        </w:tc>
        <w:tc>
          <w:tcPr>
            <w:tcW w:w="0" w:type="dxa"/>
            <w:vAlign w:val="bottom"/>
          </w:tcPr>
          <w:p>
            <w:pPr>
              <w:spacing w:after="0"/>
              <w:rPr>
                <w:sz w:val="1"/>
                <w:szCs w:val="1"/>
                <w:color w:val="auto"/>
              </w:rPr>
            </w:pPr>
          </w:p>
        </w:tc>
      </w:tr>
      <w:tr>
        <w:trPr>
          <w:trHeight w:val="217"/>
        </w:trPr>
        <w:tc>
          <w:tcPr>
            <w:tcW w:w="4660" w:type="dxa"/>
            <w:vAlign w:val="bottom"/>
            <w:shd w:val="clear" w:color="auto" w:fill="FDFDFC"/>
          </w:tcPr>
          <w:p>
            <w:pPr>
              <w:spacing w:after="0" w:line="217" w:lineRule="exact"/>
              <w:rPr>
                <w:sz w:val="20"/>
                <w:szCs w:val="20"/>
                <w:color w:val="auto"/>
              </w:rPr>
            </w:pPr>
            <w:r>
              <w:rPr>
                <w:rFonts w:ascii="Times New Roman" w:cs="Times New Roman" w:eastAsia="Times New Roman" w:hAnsi="Times New Roman"/>
                <w:sz w:val="19"/>
                <w:szCs w:val="19"/>
                <w:color w:val="231F20"/>
              </w:rPr>
              <w:t>Internet Services</w:t>
            </w:r>
          </w:p>
        </w:tc>
        <w:tc>
          <w:tcPr>
            <w:tcW w:w="1320" w:type="dxa"/>
            <w:vAlign w:val="bottom"/>
            <w:gridSpan w:val="3"/>
            <w:shd w:val="clear" w:color="auto" w:fill="FDFDFC"/>
          </w:tcPr>
          <w:p>
            <w:pPr>
              <w:jc w:val="right"/>
              <w:ind w:right="80"/>
              <w:spacing w:after="0" w:line="217" w:lineRule="exact"/>
              <w:rPr>
                <w:sz w:val="20"/>
                <w:szCs w:val="20"/>
                <w:color w:val="auto"/>
              </w:rPr>
            </w:pPr>
            <w:r>
              <w:rPr>
                <w:rFonts w:ascii="Times New Roman" w:cs="Times New Roman" w:eastAsia="Times New Roman" w:hAnsi="Times New Roman"/>
                <w:sz w:val="19"/>
                <w:szCs w:val="19"/>
                <w:color w:val="231F20"/>
              </w:rPr>
              <w:t>16.4%</w:t>
            </w:r>
          </w:p>
        </w:tc>
        <w:tc>
          <w:tcPr>
            <w:tcW w:w="1160" w:type="dxa"/>
            <w:vAlign w:val="bottom"/>
            <w:gridSpan w:val="2"/>
            <w:shd w:val="clear" w:color="auto" w:fill="FDFDFC"/>
          </w:tcPr>
          <w:p>
            <w:pPr>
              <w:jc w:val="right"/>
              <w:ind w:right="20"/>
              <w:spacing w:after="0" w:line="217" w:lineRule="exact"/>
              <w:rPr>
                <w:sz w:val="20"/>
                <w:szCs w:val="20"/>
                <w:color w:val="auto"/>
              </w:rPr>
            </w:pPr>
            <w:r>
              <w:rPr>
                <w:rFonts w:ascii="Times New Roman" w:cs="Times New Roman" w:eastAsia="Times New Roman" w:hAnsi="Times New Roman"/>
                <w:sz w:val="19"/>
                <w:szCs w:val="19"/>
                <w:color w:val="231F20"/>
              </w:rPr>
              <w:t>15.1%</w:t>
            </w:r>
          </w:p>
        </w:tc>
        <w:tc>
          <w:tcPr>
            <w:tcW w:w="0" w:type="dxa"/>
            <w:vAlign w:val="bottom"/>
          </w:tcPr>
          <w:p>
            <w:pPr>
              <w:spacing w:after="0"/>
              <w:rPr>
                <w:sz w:val="1"/>
                <w:szCs w:val="1"/>
                <w:color w:val="auto"/>
              </w:rPr>
            </w:pPr>
          </w:p>
        </w:tc>
      </w:tr>
      <w:tr>
        <w:trPr>
          <w:trHeight w:val="217"/>
        </w:trPr>
        <w:tc>
          <w:tcPr>
            <w:tcW w:w="4660" w:type="dxa"/>
            <w:vAlign w:val="bottom"/>
            <w:shd w:val="clear" w:color="auto" w:fill="D0EBF2"/>
          </w:tcPr>
          <w:p>
            <w:pPr>
              <w:spacing w:after="0" w:line="217" w:lineRule="exact"/>
              <w:rPr>
                <w:sz w:val="20"/>
                <w:szCs w:val="20"/>
                <w:color w:val="auto"/>
              </w:rPr>
            </w:pPr>
            <w:r>
              <w:rPr>
                <w:rFonts w:ascii="Times New Roman" w:cs="Times New Roman" w:eastAsia="Times New Roman" w:hAnsi="Times New Roman"/>
                <w:sz w:val="19"/>
                <w:szCs w:val="19"/>
                <w:color w:val="231F20"/>
              </w:rPr>
              <w:t>Manufacturing</w:t>
            </w:r>
          </w:p>
        </w:tc>
        <w:tc>
          <w:tcPr>
            <w:tcW w:w="1320" w:type="dxa"/>
            <w:vAlign w:val="bottom"/>
            <w:gridSpan w:val="3"/>
            <w:shd w:val="clear" w:color="auto" w:fill="D0EBF2"/>
          </w:tcPr>
          <w:p>
            <w:pPr>
              <w:jc w:val="right"/>
              <w:ind w:right="80"/>
              <w:spacing w:after="0" w:line="217" w:lineRule="exact"/>
              <w:rPr>
                <w:sz w:val="20"/>
                <w:szCs w:val="20"/>
                <w:color w:val="auto"/>
              </w:rPr>
            </w:pPr>
            <w:r>
              <w:rPr>
                <w:rFonts w:ascii="Times New Roman" w:cs="Times New Roman" w:eastAsia="Times New Roman" w:hAnsi="Times New Roman"/>
                <w:sz w:val="19"/>
                <w:szCs w:val="19"/>
                <w:color w:val="231F20"/>
              </w:rPr>
              <w:t>3.5%</w:t>
            </w:r>
          </w:p>
        </w:tc>
        <w:tc>
          <w:tcPr>
            <w:tcW w:w="1160" w:type="dxa"/>
            <w:vAlign w:val="bottom"/>
            <w:gridSpan w:val="2"/>
            <w:shd w:val="clear" w:color="auto" w:fill="D0EBF2"/>
          </w:tcPr>
          <w:p>
            <w:pPr>
              <w:jc w:val="right"/>
              <w:ind w:right="20"/>
              <w:spacing w:after="0" w:line="217" w:lineRule="exact"/>
              <w:rPr>
                <w:sz w:val="20"/>
                <w:szCs w:val="20"/>
                <w:color w:val="auto"/>
              </w:rPr>
            </w:pPr>
            <w:r>
              <w:rPr>
                <w:rFonts w:ascii="Times New Roman" w:cs="Times New Roman" w:eastAsia="Times New Roman" w:hAnsi="Times New Roman"/>
                <w:sz w:val="19"/>
                <w:szCs w:val="19"/>
                <w:color w:val="231F20"/>
              </w:rPr>
              <w:t>2.5%</w:t>
            </w:r>
          </w:p>
        </w:tc>
        <w:tc>
          <w:tcPr>
            <w:tcW w:w="0" w:type="dxa"/>
            <w:vAlign w:val="bottom"/>
          </w:tcPr>
          <w:p>
            <w:pPr>
              <w:spacing w:after="0"/>
              <w:rPr>
                <w:sz w:val="1"/>
                <w:szCs w:val="1"/>
                <w:color w:val="auto"/>
              </w:rPr>
            </w:pPr>
          </w:p>
        </w:tc>
      </w:tr>
      <w:tr>
        <w:trPr>
          <w:trHeight w:val="217"/>
        </w:trPr>
        <w:tc>
          <w:tcPr>
            <w:tcW w:w="4660" w:type="dxa"/>
            <w:vAlign w:val="bottom"/>
            <w:shd w:val="clear" w:color="auto" w:fill="FDFDFC"/>
          </w:tcPr>
          <w:p>
            <w:pPr>
              <w:spacing w:after="0" w:line="217" w:lineRule="exact"/>
              <w:rPr>
                <w:sz w:val="20"/>
                <w:szCs w:val="20"/>
                <w:color w:val="auto"/>
              </w:rPr>
            </w:pPr>
            <w:r>
              <w:rPr>
                <w:rFonts w:ascii="Times New Roman" w:cs="Times New Roman" w:eastAsia="Times New Roman" w:hAnsi="Times New Roman"/>
                <w:sz w:val="19"/>
                <w:szCs w:val="19"/>
                <w:color w:val="231F20"/>
              </w:rPr>
              <w:t>Marketing Services</w:t>
            </w:r>
          </w:p>
        </w:tc>
        <w:tc>
          <w:tcPr>
            <w:tcW w:w="1320" w:type="dxa"/>
            <w:vAlign w:val="bottom"/>
            <w:gridSpan w:val="3"/>
            <w:shd w:val="clear" w:color="auto" w:fill="FDFDFC"/>
          </w:tcPr>
          <w:p>
            <w:pPr>
              <w:jc w:val="right"/>
              <w:ind w:right="80"/>
              <w:spacing w:after="0" w:line="217" w:lineRule="exact"/>
              <w:rPr>
                <w:sz w:val="20"/>
                <w:szCs w:val="20"/>
                <w:color w:val="auto"/>
              </w:rPr>
            </w:pPr>
            <w:r>
              <w:rPr>
                <w:rFonts w:ascii="Times New Roman" w:cs="Times New Roman" w:eastAsia="Times New Roman" w:hAnsi="Times New Roman"/>
                <w:sz w:val="19"/>
                <w:szCs w:val="19"/>
                <w:color w:val="231F20"/>
              </w:rPr>
              <w:t>0.3%</w:t>
            </w:r>
          </w:p>
        </w:tc>
        <w:tc>
          <w:tcPr>
            <w:tcW w:w="1160" w:type="dxa"/>
            <w:vAlign w:val="bottom"/>
            <w:gridSpan w:val="2"/>
            <w:shd w:val="clear" w:color="auto" w:fill="FDFDFC"/>
          </w:tcPr>
          <w:p>
            <w:pPr>
              <w:jc w:val="right"/>
              <w:ind w:right="20"/>
              <w:spacing w:after="0" w:line="217" w:lineRule="exact"/>
              <w:rPr>
                <w:sz w:val="20"/>
                <w:szCs w:val="20"/>
                <w:color w:val="auto"/>
              </w:rPr>
            </w:pPr>
            <w:r>
              <w:rPr>
                <w:rFonts w:ascii="Times New Roman" w:cs="Times New Roman" w:eastAsia="Times New Roman" w:hAnsi="Times New Roman"/>
                <w:sz w:val="19"/>
                <w:szCs w:val="19"/>
                <w:color w:val="231F20"/>
              </w:rPr>
              <w:t>0.3%</w:t>
            </w:r>
          </w:p>
        </w:tc>
        <w:tc>
          <w:tcPr>
            <w:tcW w:w="0" w:type="dxa"/>
            <w:vAlign w:val="bottom"/>
          </w:tcPr>
          <w:p>
            <w:pPr>
              <w:spacing w:after="0"/>
              <w:rPr>
                <w:sz w:val="1"/>
                <w:szCs w:val="1"/>
                <w:color w:val="auto"/>
              </w:rPr>
            </w:pPr>
          </w:p>
        </w:tc>
      </w:tr>
      <w:tr>
        <w:trPr>
          <w:trHeight w:val="217"/>
        </w:trPr>
        <w:tc>
          <w:tcPr>
            <w:tcW w:w="4660" w:type="dxa"/>
            <w:vAlign w:val="bottom"/>
            <w:shd w:val="clear" w:color="auto" w:fill="D0EBF2"/>
          </w:tcPr>
          <w:p>
            <w:pPr>
              <w:spacing w:after="0" w:line="217" w:lineRule="exact"/>
              <w:rPr>
                <w:sz w:val="20"/>
                <w:szCs w:val="20"/>
                <w:color w:val="auto"/>
              </w:rPr>
            </w:pPr>
            <w:r>
              <w:rPr>
                <w:rFonts w:ascii="Times New Roman" w:cs="Times New Roman" w:eastAsia="Times New Roman" w:hAnsi="Times New Roman"/>
                <w:sz w:val="19"/>
                <w:szCs w:val="19"/>
                <w:color w:val="231F20"/>
              </w:rPr>
              <w:t>Office Products</w:t>
            </w:r>
          </w:p>
        </w:tc>
        <w:tc>
          <w:tcPr>
            <w:tcW w:w="1320" w:type="dxa"/>
            <w:vAlign w:val="bottom"/>
            <w:gridSpan w:val="3"/>
            <w:shd w:val="clear" w:color="auto" w:fill="D0EBF2"/>
          </w:tcPr>
          <w:p>
            <w:pPr>
              <w:jc w:val="right"/>
              <w:ind w:right="80"/>
              <w:spacing w:after="0" w:line="217" w:lineRule="exact"/>
              <w:rPr>
                <w:sz w:val="20"/>
                <w:szCs w:val="20"/>
                <w:color w:val="auto"/>
              </w:rPr>
            </w:pPr>
            <w:r>
              <w:rPr>
                <w:rFonts w:ascii="Times New Roman" w:cs="Times New Roman" w:eastAsia="Times New Roman" w:hAnsi="Times New Roman"/>
                <w:sz w:val="19"/>
                <w:szCs w:val="19"/>
                <w:color w:val="231F20"/>
              </w:rPr>
              <w:t>0.4%</w:t>
            </w:r>
          </w:p>
        </w:tc>
        <w:tc>
          <w:tcPr>
            <w:tcW w:w="1160" w:type="dxa"/>
            <w:vAlign w:val="bottom"/>
            <w:gridSpan w:val="2"/>
            <w:shd w:val="clear" w:color="auto" w:fill="D0EBF2"/>
          </w:tcPr>
          <w:p>
            <w:pPr>
              <w:jc w:val="right"/>
              <w:ind w:right="20"/>
              <w:spacing w:after="0" w:line="217" w:lineRule="exact"/>
              <w:rPr>
                <w:sz w:val="20"/>
                <w:szCs w:val="20"/>
                <w:color w:val="auto"/>
              </w:rPr>
            </w:pPr>
            <w:r>
              <w:rPr>
                <w:rFonts w:ascii="Times New Roman" w:cs="Times New Roman" w:eastAsia="Times New Roman" w:hAnsi="Times New Roman"/>
                <w:sz w:val="19"/>
                <w:szCs w:val="19"/>
                <w:color w:val="231F20"/>
              </w:rPr>
              <w:t>0.5%</w:t>
            </w:r>
          </w:p>
        </w:tc>
        <w:tc>
          <w:tcPr>
            <w:tcW w:w="0" w:type="dxa"/>
            <w:vAlign w:val="bottom"/>
          </w:tcPr>
          <w:p>
            <w:pPr>
              <w:spacing w:after="0"/>
              <w:rPr>
                <w:sz w:val="1"/>
                <w:szCs w:val="1"/>
                <w:color w:val="auto"/>
              </w:rPr>
            </w:pPr>
          </w:p>
        </w:tc>
      </w:tr>
      <w:tr>
        <w:trPr>
          <w:trHeight w:val="217"/>
        </w:trPr>
        <w:tc>
          <w:tcPr>
            <w:tcW w:w="4660" w:type="dxa"/>
            <w:vAlign w:val="bottom"/>
            <w:shd w:val="clear" w:color="auto" w:fill="FDFDFC"/>
          </w:tcPr>
          <w:p>
            <w:pPr>
              <w:spacing w:after="0" w:line="217" w:lineRule="exact"/>
              <w:rPr>
                <w:sz w:val="20"/>
                <w:szCs w:val="20"/>
                <w:color w:val="auto"/>
              </w:rPr>
            </w:pPr>
            <w:r>
              <w:rPr>
                <w:rFonts w:ascii="Times New Roman" w:cs="Times New Roman" w:eastAsia="Times New Roman" w:hAnsi="Times New Roman"/>
                <w:sz w:val="19"/>
                <w:szCs w:val="19"/>
                <w:color w:val="231F20"/>
              </w:rPr>
              <w:t>Oil, Gas and Consumable Fuels</w:t>
            </w:r>
          </w:p>
        </w:tc>
        <w:tc>
          <w:tcPr>
            <w:tcW w:w="1320" w:type="dxa"/>
            <w:vAlign w:val="bottom"/>
            <w:gridSpan w:val="3"/>
            <w:shd w:val="clear" w:color="auto" w:fill="FDFDFC"/>
          </w:tcPr>
          <w:p>
            <w:pPr>
              <w:jc w:val="right"/>
              <w:ind w:right="80"/>
              <w:spacing w:after="0" w:line="217" w:lineRule="exact"/>
              <w:rPr>
                <w:sz w:val="20"/>
                <w:szCs w:val="20"/>
                <w:color w:val="auto"/>
              </w:rPr>
            </w:pPr>
            <w:r>
              <w:rPr>
                <w:rFonts w:ascii="Times New Roman" w:cs="Times New Roman" w:eastAsia="Times New Roman" w:hAnsi="Times New Roman"/>
                <w:sz w:val="19"/>
                <w:szCs w:val="19"/>
                <w:color w:val="231F20"/>
              </w:rPr>
              <w:t>2.7%</w:t>
            </w:r>
          </w:p>
        </w:tc>
        <w:tc>
          <w:tcPr>
            <w:tcW w:w="1160" w:type="dxa"/>
            <w:vAlign w:val="bottom"/>
            <w:gridSpan w:val="2"/>
            <w:shd w:val="clear" w:color="auto" w:fill="FDFDFC"/>
          </w:tcPr>
          <w:p>
            <w:pPr>
              <w:jc w:val="right"/>
              <w:ind w:right="20"/>
              <w:spacing w:after="0" w:line="217" w:lineRule="exact"/>
              <w:rPr>
                <w:sz w:val="20"/>
                <w:szCs w:val="20"/>
                <w:color w:val="auto"/>
              </w:rPr>
            </w:pPr>
            <w:r>
              <w:rPr>
                <w:rFonts w:ascii="Times New Roman" w:cs="Times New Roman" w:eastAsia="Times New Roman" w:hAnsi="Times New Roman"/>
                <w:sz w:val="19"/>
                <w:szCs w:val="19"/>
                <w:color w:val="231F20"/>
              </w:rPr>
              <w:t>4.7%</w:t>
            </w:r>
          </w:p>
        </w:tc>
        <w:tc>
          <w:tcPr>
            <w:tcW w:w="0" w:type="dxa"/>
            <w:vAlign w:val="bottom"/>
          </w:tcPr>
          <w:p>
            <w:pPr>
              <w:spacing w:after="0"/>
              <w:rPr>
                <w:sz w:val="1"/>
                <w:szCs w:val="1"/>
                <w:color w:val="auto"/>
              </w:rPr>
            </w:pPr>
          </w:p>
        </w:tc>
      </w:tr>
      <w:tr>
        <w:trPr>
          <w:trHeight w:val="217"/>
        </w:trPr>
        <w:tc>
          <w:tcPr>
            <w:tcW w:w="4660" w:type="dxa"/>
            <w:vAlign w:val="bottom"/>
            <w:shd w:val="clear" w:color="auto" w:fill="D0EBF2"/>
          </w:tcPr>
          <w:p>
            <w:pPr>
              <w:spacing w:after="0" w:line="217" w:lineRule="exact"/>
              <w:rPr>
                <w:sz w:val="20"/>
                <w:szCs w:val="20"/>
                <w:color w:val="auto"/>
              </w:rPr>
            </w:pPr>
            <w:r>
              <w:rPr>
                <w:rFonts w:ascii="Times New Roman" w:cs="Times New Roman" w:eastAsia="Times New Roman" w:hAnsi="Times New Roman"/>
                <w:sz w:val="19"/>
                <w:szCs w:val="19"/>
                <w:color w:val="231F20"/>
              </w:rPr>
              <w:t>Other</w:t>
            </w:r>
          </w:p>
        </w:tc>
        <w:tc>
          <w:tcPr>
            <w:tcW w:w="1320" w:type="dxa"/>
            <w:vAlign w:val="bottom"/>
            <w:gridSpan w:val="3"/>
            <w:shd w:val="clear" w:color="auto" w:fill="D0EBF2"/>
          </w:tcPr>
          <w:p>
            <w:pPr>
              <w:jc w:val="right"/>
              <w:ind w:right="80"/>
              <w:spacing w:after="0" w:line="217" w:lineRule="exact"/>
              <w:rPr>
                <w:sz w:val="20"/>
                <w:szCs w:val="20"/>
                <w:color w:val="auto"/>
              </w:rPr>
            </w:pPr>
            <w:r>
              <w:rPr>
                <w:rFonts w:ascii="Times New Roman" w:cs="Times New Roman" w:eastAsia="Times New Roman" w:hAnsi="Times New Roman"/>
                <w:sz w:val="19"/>
                <w:szCs w:val="19"/>
                <w:color w:val="231F20"/>
              </w:rPr>
              <w:t>1.9%</w:t>
            </w:r>
          </w:p>
        </w:tc>
        <w:tc>
          <w:tcPr>
            <w:tcW w:w="1160" w:type="dxa"/>
            <w:vAlign w:val="bottom"/>
            <w:gridSpan w:val="2"/>
            <w:shd w:val="clear" w:color="auto" w:fill="D0EBF2"/>
          </w:tcPr>
          <w:p>
            <w:pPr>
              <w:jc w:val="right"/>
              <w:ind w:right="20"/>
              <w:spacing w:after="0" w:line="217" w:lineRule="exact"/>
              <w:rPr>
                <w:sz w:val="20"/>
                <w:szCs w:val="20"/>
                <w:color w:val="auto"/>
              </w:rPr>
            </w:pPr>
            <w:r>
              <w:rPr>
                <w:rFonts w:ascii="Times New Roman" w:cs="Times New Roman" w:eastAsia="Times New Roman" w:hAnsi="Times New Roman"/>
                <w:sz w:val="19"/>
                <w:szCs w:val="19"/>
                <w:color w:val="231F20"/>
              </w:rPr>
              <w:t>2.9%</w:t>
            </w:r>
          </w:p>
        </w:tc>
        <w:tc>
          <w:tcPr>
            <w:tcW w:w="0" w:type="dxa"/>
            <w:vAlign w:val="bottom"/>
          </w:tcPr>
          <w:p>
            <w:pPr>
              <w:spacing w:after="0"/>
              <w:rPr>
                <w:sz w:val="1"/>
                <w:szCs w:val="1"/>
                <w:color w:val="auto"/>
              </w:rPr>
            </w:pPr>
          </w:p>
        </w:tc>
      </w:tr>
      <w:tr>
        <w:trPr>
          <w:trHeight w:val="217"/>
        </w:trPr>
        <w:tc>
          <w:tcPr>
            <w:tcW w:w="4660" w:type="dxa"/>
            <w:vAlign w:val="bottom"/>
            <w:shd w:val="clear" w:color="auto" w:fill="FDFDFC"/>
          </w:tcPr>
          <w:p>
            <w:pPr>
              <w:spacing w:after="0" w:line="217" w:lineRule="exact"/>
              <w:rPr>
                <w:sz w:val="20"/>
                <w:szCs w:val="20"/>
                <w:color w:val="auto"/>
              </w:rPr>
            </w:pPr>
            <w:r>
              <w:rPr>
                <w:rFonts w:ascii="Times New Roman" w:cs="Times New Roman" w:eastAsia="Times New Roman" w:hAnsi="Times New Roman"/>
                <w:sz w:val="19"/>
                <w:szCs w:val="19"/>
                <w:color w:val="231F20"/>
              </w:rPr>
              <w:t>Pharmaceuticals</w:t>
            </w:r>
          </w:p>
        </w:tc>
        <w:tc>
          <w:tcPr>
            <w:tcW w:w="1320" w:type="dxa"/>
            <w:vAlign w:val="bottom"/>
            <w:gridSpan w:val="3"/>
            <w:shd w:val="clear" w:color="auto" w:fill="FDFDFC"/>
          </w:tcPr>
          <w:p>
            <w:pPr>
              <w:jc w:val="right"/>
              <w:ind w:right="80"/>
              <w:spacing w:after="0" w:line="217" w:lineRule="exact"/>
              <w:rPr>
                <w:sz w:val="20"/>
                <w:szCs w:val="20"/>
                <w:color w:val="auto"/>
              </w:rPr>
            </w:pPr>
            <w:r>
              <w:rPr>
                <w:rFonts w:ascii="Times New Roman" w:cs="Times New Roman" w:eastAsia="Times New Roman" w:hAnsi="Times New Roman"/>
                <w:sz w:val="19"/>
                <w:szCs w:val="19"/>
                <w:color w:val="231F20"/>
              </w:rPr>
              <w:t>2.9%</w:t>
            </w:r>
          </w:p>
        </w:tc>
        <w:tc>
          <w:tcPr>
            <w:tcW w:w="1160" w:type="dxa"/>
            <w:vAlign w:val="bottom"/>
            <w:gridSpan w:val="2"/>
            <w:shd w:val="clear" w:color="auto" w:fill="FDFDFC"/>
          </w:tcPr>
          <w:p>
            <w:pPr>
              <w:jc w:val="right"/>
              <w:ind w:right="180"/>
              <w:spacing w:after="0" w:line="217" w:lineRule="exact"/>
              <w:rPr>
                <w:sz w:val="20"/>
                <w:szCs w:val="20"/>
                <w:color w:val="auto"/>
              </w:rPr>
            </w:pPr>
            <w:r>
              <w:rPr>
                <w:rFonts w:ascii="Times New Roman" w:cs="Times New Roman" w:eastAsia="Times New Roman" w:hAnsi="Times New Roman"/>
                <w:sz w:val="19"/>
                <w:szCs w:val="19"/>
                <w:color w:val="231F20"/>
              </w:rPr>
              <w:t>—</w:t>
            </w:r>
          </w:p>
        </w:tc>
        <w:tc>
          <w:tcPr>
            <w:tcW w:w="0" w:type="dxa"/>
            <w:vAlign w:val="bottom"/>
          </w:tcPr>
          <w:p>
            <w:pPr>
              <w:spacing w:after="0"/>
              <w:rPr>
                <w:sz w:val="1"/>
                <w:szCs w:val="1"/>
                <w:color w:val="auto"/>
              </w:rPr>
            </w:pPr>
          </w:p>
        </w:tc>
      </w:tr>
      <w:tr>
        <w:trPr>
          <w:trHeight w:val="217"/>
        </w:trPr>
        <w:tc>
          <w:tcPr>
            <w:tcW w:w="4660" w:type="dxa"/>
            <w:vAlign w:val="bottom"/>
            <w:shd w:val="clear" w:color="auto" w:fill="D0EBF2"/>
          </w:tcPr>
          <w:p>
            <w:pPr>
              <w:spacing w:after="0" w:line="217" w:lineRule="exact"/>
              <w:rPr>
                <w:sz w:val="20"/>
                <w:szCs w:val="20"/>
                <w:color w:val="auto"/>
              </w:rPr>
            </w:pPr>
            <w:r>
              <w:rPr>
                <w:rFonts w:ascii="Times New Roman" w:cs="Times New Roman" w:eastAsia="Times New Roman" w:hAnsi="Times New Roman"/>
                <w:sz w:val="19"/>
                <w:szCs w:val="19"/>
                <w:color w:val="231F20"/>
              </w:rPr>
              <w:t xml:space="preserve">Real Estate </w:t>
            </w:r>
            <w:r>
              <w:rPr>
                <w:rFonts w:ascii="Times New Roman" w:cs="Times New Roman" w:eastAsia="Times New Roman" w:hAnsi="Times New Roman"/>
                <w:sz w:val="24"/>
                <w:szCs w:val="24"/>
                <w:color w:val="231F20"/>
                <w:vertAlign w:val="superscript"/>
              </w:rPr>
              <w:t>(1)</w:t>
            </w:r>
          </w:p>
        </w:tc>
        <w:tc>
          <w:tcPr>
            <w:tcW w:w="1320" w:type="dxa"/>
            <w:vAlign w:val="bottom"/>
            <w:gridSpan w:val="3"/>
            <w:shd w:val="clear" w:color="auto" w:fill="D0EBF2"/>
          </w:tcPr>
          <w:p>
            <w:pPr>
              <w:jc w:val="right"/>
              <w:ind w:right="80"/>
              <w:spacing w:after="0" w:line="217" w:lineRule="exact"/>
              <w:rPr>
                <w:sz w:val="20"/>
                <w:szCs w:val="20"/>
                <w:color w:val="auto"/>
              </w:rPr>
            </w:pPr>
            <w:r>
              <w:rPr>
                <w:rFonts w:ascii="Times New Roman" w:cs="Times New Roman" w:eastAsia="Times New Roman" w:hAnsi="Times New Roman"/>
                <w:sz w:val="19"/>
                <w:szCs w:val="19"/>
                <w:color w:val="231F20"/>
              </w:rPr>
              <w:t>0.0%</w:t>
            </w:r>
          </w:p>
        </w:tc>
        <w:tc>
          <w:tcPr>
            <w:tcW w:w="1160" w:type="dxa"/>
            <w:vAlign w:val="bottom"/>
            <w:gridSpan w:val="2"/>
            <w:shd w:val="clear" w:color="auto" w:fill="D0EBF2"/>
          </w:tcPr>
          <w:p>
            <w:pPr>
              <w:jc w:val="right"/>
              <w:ind w:right="180"/>
              <w:spacing w:after="0" w:line="217" w:lineRule="exact"/>
              <w:rPr>
                <w:sz w:val="20"/>
                <w:szCs w:val="20"/>
                <w:color w:val="auto"/>
              </w:rPr>
            </w:pPr>
            <w:r>
              <w:rPr>
                <w:rFonts w:ascii="Times New Roman" w:cs="Times New Roman" w:eastAsia="Times New Roman" w:hAnsi="Times New Roman"/>
                <w:sz w:val="19"/>
                <w:szCs w:val="19"/>
                <w:color w:val="231F20"/>
              </w:rPr>
              <w:t>—</w:t>
            </w:r>
          </w:p>
        </w:tc>
        <w:tc>
          <w:tcPr>
            <w:tcW w:w="0" w:type="dxa"/>
            <w:vAlign w:val="bottom"/>
          </w:tcPr>
          <w:p>
            <w:pPr>
              <w:spacing w:after="0"/>
              <w:rPr>
                <w:sz w:val="1"/>
                <w:szCs w:val="1"/>
                <w:color w:val="auto"/>
              </w:rPr>
            </w:pPr>
          </w:p>
        </w:tc>
      </w:tr>
      <w:tr>
        <w:trPr>
          <w:trHeight w:val="217"/>
        </w:trPr>
        <w:tc>
          <w:tcPr>
            <w:tcW w:w="4660" w:type="dxa"/>
            <w:vAlign w:val="bottom"/>
            <w:shd w:val="clear" w:color="auto" w:fill="FDFDFC"/>
          </w:tcPr>
          <w:p>
            <w:pPr>
              <w:spacing w:after="0" w:line="217" w:lineRule="exact"/>
              <w:rPr>
                <w:sz w:val="20"/>
                <w:szCs w:val="20"/>
                <w:color w:val="auto"/>
              </w:rPr>
            </w:pPr>
            <w:r>
              <w:rPr>
                <w:rFonts w:ascii="Times New Roman" w:cs="Times New Roman" w:eastAsia="Times New Roman" w:hAnsi="Times New Roman"/>
                <w:sz w:val="19"/>
                <w:szCs w:val="19"/>
                <w:color w:val="231F20"/>
              </w:rPr>
              <w:t>Retail and Consumer Products</w:t>
            </w:r>
          </w:p>
        </w:tc>
        <w:tc>
          <w:tcPr>
            <w:tcW w:w="1320" w:type="dxa"/>
            <w:vAlign w:val="bottom"/>
            <w:gridSpan w:val="3"/>
            <w:shd w:val="clear" w:color="auto" w:fill="FDFDFC"/>
          </w:tcPr>
          <w:p>
            <w:pPr>
              <w:jc w:val="right"/>
              <w:ind w:right="80"/>
              <w:spacing w:after="0" w:line="217" w:lineRule="exact"/>
              <w:rPr>
                <w:sz w:val="20"/>
                <w:szCs w:val="20"/>
                <w:color w:val="auto"/>
              </w:rPr>
            </w:pPr>
            <w:r>
              <w:rPr>
                <w:rFonts w:ascii="Times New Roman" w:cs="Times New Roman" w:eastAsia="Times New Roman" w:hAnsi="Times New Roman"/>
                <w:sz w:val="19"/>
                <w:szCs w:val="19"/>
                <w:color w:val="231F20"/>
              </w:rPr>
              <w:t>9.7%</w:t>
            </w:r>
          </w:p>
        </w:tc>
        <w:tc>
          <w:tcPr>
            <w:tcW w:w="1160" w:type="dxa"/>
            <w:vAlign w:val="bottom"/>
            <w:gridSpan w:val="2"/>
            <w:shd w:val="clear" w:color="auto" w:fill="FDFDFC"/>
          </w:tcPr>
          <w:p>
            <w:pPr>
              <w:jc w:val="right"/>
              <w:ind w:right="20"/>
              <w:spacing w:after="0" w:line="217" w:lineRule="exact"/>
              <w:rPr>
                <w:sz w:val="20"/>
                <w:szCs w:val="20"/>
                <w:color w:val="auto"/>
              </w:rPr>
            </w:pPr>
            <w:r>
              <w:rPr>
                <w:rFonts w:ascii="Times New Roman" w:cs="Times New Roman" w:eastAsia="Times New Roman" w:hAnsi="Times New Roman"/>
                <w:sz w:val="19"/>
                <w:szCs w:val="19"/>
                <w:color w:val="231F20"/>
              </w:rPr>
              <w:t>8.2%</w:t>
            </w:r>
          </w:p>
        </w:tc>
        <w:tc>
          <w:tcPr>
            <w:tcW w:w="0" w:type="dxa"/>
            <w:vAlign w:val="bottom"/>
          </w:tcPr>
          <w:p>
            <w:pPr>
              <w:spacing w:after="0"/>
              <w:rPr>
                <w:sz w:val="1"/>
                <w:szCs w:val="1"/>
                <w:color w:val="auto"/>
              </w:rPr>
            </w:pPr>
          </w:p>
        </w:tc>
      </w:tr>
      <w:tr>
        <w:trPr>
          <w:trHeight w:val="217"/>
        </w:trPr>
        <w:tc>
          <w:tcPr>
            <w:tcW w:w="4660" w:type="dxa"/>
            <w:vAlign w:val="bottom"/>
            <w:shd w:val="clear" w:color="auto" w:fill="D0EBF2"/>
          </w:tcPr>
          <w:p>
            <w:pPr>
              <w:spacing w:after="0" w:line="217" w:lineRule="exact"/>
              <w:rPr>
                <w:sz w:val="20"/>
                <w:szCs w:val="20"/>
                <w:color w:val="auto"/>
              </w:rPr>
            </w:pPr>
            <w:r>
              <w:rPr>
                <w:rFonts w:ascii="Times New Roman" w:cs="Times New Roman" w:eastAsia="Times New Roman" w:hAnsi="Times New Roman"/>
                <w:sz w:val="19"/>
                <w:szCs w:val="19"/>
                <w:color w:val="231F20"/>
              </w:rPr>
              <w:t>Transportation</w:t>
            </w:r>
          </w:p>
        </w:tc>
        <w:tc>
          <w:tcPr>
            <w:tcW w:w="80" w:type="dxa"/>
            <w:vAlign w:val="bottom"/>
            <w:shd w:val="clear" w:color="auto" w:fill="D0EBF2"/>
          </w:tcPr>
          <w:p>
            <w:pPr>
              <w:spacing w:after="0"/>
              <w:rPr>
                <w:sz w:val="18"/>
                <w:szCs w:val="18"/>
                <w:color w:val="auto"/>
              </w:rPr>
            </w:pPr>
          </w:p>
        </w:tc>
        <w:tc>
          <w:tcPr>
            <w:tcW w:w="1240" w:type="dxa"/>
            <w:vAlign w:val="bottom"/>
            <w:gridSpan w:val="2"/>
            <w:shd w:val="clear" w:color="auto" w:fill="D0EBF2"/>
          </w:tcPr>
          <w:p>
            <w:pPr>
              <w:jc w:val="right"/>
              <w:ind w:right="80"/>
              <w:spacing w:after="0" w:line="217" w:lineRule="exact"/>
              <w:rPr>
                <w:sz w:val="20"/>
                <w:szCs w:val="20"/>
                <w:color w:val="auto"/>
              </w:rPr>
            </w:pPr>
            <w:r>
              <w:rPr>
                <w:rFonts w:ascii="Times New Roman" w:cs="Times New Roman" w:eastAsia="Times New Roman" w:hAnsi="Times New Roman"/>
                <w:sz w:val="19"/>
                <w:szCs w:val="19"/>
                <w:color w:val="231F20"/>
              </w:rPr>
              <w:t>3.6%</w:t>
            </w:r>
          </w:p>
        </w:tc>
        <w:tc>
          <w:tcPr>
            <w:tcW w:w="1160" w:type="dxa"/>
            <w:vAlign w:val="bottom"/>
            <w:gridSpan w:val="2"/>
            <w:shd w:val="clear" w:color="auto" w:fill="D0EBF2"/>
          </w:tcPr>
          <w:p>
            <w:pPr>
              <w:jc w:val="right"/>
              <w:ind w:right="20"/>
              <w:spacing w:after="0" w:line="217" w:lineRule="exact"/>
              <w:rPr>
                <w:sz w:val="20"/>
                <w:szCs w:val="20"/>
                <w:color w:val="auto"/>
              </w:rPr>
            </w:pPr>
            <w:r>
              <w:rPr>
                <w:rFonts w:ascii="Times New Roman" w:cs="Times New Roman" w:eastAsia="Times New Roman" w:hAnsi="Times New Roman"/>
                <w:sz w:val="19"/>
                <w:szCs w:val="19"/>
                <w:color w:val="231F20"/>
              </w:rPr>
              <w:t>2.1%</w:t>
            </w:r>
          </w:p>
        </w:tc>
        <w:tc>
          <w:tcPr>
            <w:tcW w:w="0" w:type="dxa"/>
            <w:vAlign w:val="bottom"/>
          </w:tcPr>
          <w:p>
            <w:pPr>
              <w:spacing w:after="0"/>
              <w:rPr>
                <w:sz w:val="1"/>
                <w:szCs w:val="1"/>
                <w:color w:val="auto"/>
              </w:rPr>
            </w:pPr>
          </w:p>
        </w:tc>
      </w:tr>
      <w:tr>
        <w:trPr>
          <w:trHeight w:val="20"/>
        </w:trPr>
        <w:tc>
          <w:tcPr>
            <w:tcW w:w="4660" w:type="dxa"/>
            <w:vAlign w:val="bottom"/>
            <w:vMerge w:val="restart"/>
            <w:shd w:val="clear" w:color="auto" w:fill="FDFDFC"/>
          </w:tcPr>
          <w:p>
            <w:pPr>
              <w:ind w:left="180"/>
              <w:spacing w:after="0"/>
              <w:rPr>
                <w:sz w:val="20"/>
                <w:szCs w:val="20"/>
                <w:color w:val="auto"/>
              </w:rPr>
            </w:pPr>
            <w:r>
              <w:rPr>
                <w:rFonts w:ascii="Times New Roman" w:cs="Times New Roman" w:eastAsia="Times New Roman" w:hAnsi="Times New Roman"/>
                <w:sz w:val="19"/>
                <w:szCs w:val="19"/>
                <w:b w:val="1"/>
                <w:bCs w:val="1"/>
                <w:color w:val="231F20"/>
              </w:rPr>
              <w:t>Total</w:t>
            </w:r>
          </w:p>
        </w:tc>
        <w:tc>
          <w:tcPr>
            <w:tcW w:w="80" w:type="dxa"/>
            <w:vAlign w:val="bottom"/>
            <w:shd w:val="clear" w:color="auto" w:fill="FDFDFC"/>
          </w:tcPr>
          <w:p>
            <w:pPr>
              <w:spacing w:after="0" w:line="20" w:lineRule="exact"/>
              <w:rPr>
                <w:sz w:val="1"/>
                <w:szCs w:val="1"/>
                <w:color w:val="auto"/>
              </w:rPr>
            </w:pPr>
          </w:p>
        </w:tc>
        <w:tc>
          <w:tcPr>
            <w:tcW w:w="1000" w:type="dxa"/>
            <w:vAlign w:val="bottom"/>
            <w:shd w:val="clear" w:color="auto" w:fill="231F2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0" w:type="dxa"/>
            <w:vAlign w:val="bottom"/>
            <w:shd w:val="clear" w:color="auto" w:fill="231F2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4660" w:type="dxa"/>
            <w:vAlign w:val="bottom"/>
            <w:vMerge w:val="continue"/>
            <w:shd w:val="clear" w:color="auto" w:fill="FDFDFC"/>
          </w:tcPr>
          <w:p>
            <w:pPr>
              <w:spacing w:after="0"/>
              <w:rPr>
                <w:sz w:val="17"/>
                <w:szCs w:val="17"/>
                <w:color w:val="auto"/>
              </w:rPr>
            </w:pPr>
          </w:p>
        </w:tc>
        <w:tc>
          <w:tcPr>
            <w:tcW w:w="80" w:type="dxa"/>
            <w:vAlign w:val="bottom"/>
            <w:shd w:val="clear" w:color="auto" w:fill="FDFDFC"/>
          </w:tcPr>
          <w:p>
            <w:pPr>
              <w:spacing w:after="0"/>
              <w:rPr>
                <w:sz w:val="17"/>
                <w:szCs w:val="17"/>
                <w:color w:val="auto"/>
              </w:rPr>
            </w:pPr>
          </w:p>
        </w:tc>
        <w:tc>
          <w:tcPr>
            <w:tcW w:w="1240" w:type="dxa"/>
            <w:vAlign w:val="bottom"/>
            <w:gridSpan w:val="2"/>
          </w:tcPr>
          <w:p>
            <w:pPr>
              <w:jc w:val="right"/>
              <w:ind w:right="80"/>
              <w:spacing w:after="0" w:line="207" w:lineRule="exact"/>
              <w:rPr>
                <w:sz w:val="20"/>
                <w:szCs w:val="20"/>
                <w:color w:val="auto"/>
              </w:rPr>
            </w:pPr>
            <w:r>
              <w:rPr>
                <w:rFonts w:ascii="Times New Roman" w:cs="Times New Roman" w:eastAsia="Times New Roman" w:hAnsi="Times New Roman"/>
                <w:sz w:val="19"/>
                <w:szCs w:val="19"/>
                <w:color w:val="231F20"/>
              </w:rPr>
              <w:t>100.0%</w:t>
            </w:r>
          </w:p>
        </w:tc>
        <w:tc>
          <w:tcPr>
            <w:tcW w:w="1160" w:type="dxa"/>
            <w:vAlign w:val="bottom"/>
            <w:gridSpan w:val="2"/>
          </w:tcPr>
          <w:p>
            <w:pPr>
              <w:jc w:val="right"/>
              <w:ind w:right="20"/>
              <w:spacing w:after="0" w:line="207" w:lineRule="exact"/>
              <w:rPr>
                <w:sz w:val="20"/>
                <w:szCs w:val="20"/>
                <w:color w:val="auto"/>
              </w:rPr>
            </w:pPr>
            <w:r>
              <w:rPr>
                <w:rFonts w:ascii="Times New Roman" w:cs="Times New Roman" w:eastAsia="Times New Roman" w:hAnsi="Times New Roman"/>
                <w:sz w:val="19"/>
                <w:szCs w:val="19"/>
                <w:color w:val="231F20"/>
              </w:rPr>
              <w:t>100.0%</w:t>
            </w:r>
          </w:p>
        </w:tc>
        <w:tc>
          <w:tcPr>
            <w:tcW w:w="0" w:type="dxa"/>
            <w:vAlign w:val="bottom"/>
          </w:tcPr>
          <w:p>
            <w:pPr>
              <w:spacing w:after="0"/>
              <w:rPr>
                <w:sz w:val="1"/>
                <w:szCs w:val="1"/>
                <w:color w:val="auto"/>
              </w:rPr>
            </w:pPr>
          </w:p>
        </w:tc>
      </w:tr>
      <w:tr>
        <w:trPr>
          <w:trHeight w:val="20"/>
        </w:trPr>
        <w:tc>
          <w:tcPr>
            <w:tcW w:w="4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tcBorders>
              <w:top w:val="single" w:sz="8" w:color="231F20"/>
              <w:bottom w:val="single" w:sz="8" w:color="231F20"/>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0" w:type="dxa"/>
            <w:vAlign w:val="bottom"/>
            <w:tcBorders>
              <w:top w:val="single" w:sz="8" w:color="231F20"/>
              <w:bottom w:val="single" w:sz="8" w:color="231F20"/>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3983990</wp:posOffset>
                </wp:positionH>
                <wp:positionV relativeFrom="paragraph">
                  <wp:posOffset>-3067050</wp:posOffset>
                </wp:positionV>
                <wp:extent cx="635635" cy="137795"/>
                <wp:wrapNone/>
                <wp:docPr id="87" name="Shape 8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5635" cy="137795"/>
                        </a:xfrm>
                        <a:prstGeom prst="rect">
                          <a:avLst/>
                        </a:prstGeom>
                        <a:solidFill>
                          <a:srgbClr val="D0EBF2"/>
                        </a:solidFill>
                      </wps:spPr>
                      <wps:bodyPr/>
                    </wps:wsp>
                  </a:graphicData>
                </a:graphic>
              </wp:anchor>
            </w:drawing>
          </mc:Choice>
          <mc:Fallback>
            <w:pict>
              <v:rect id="Shape 87" o:spid="_x0000_s1112" style="position:absolute;margin-left:313.7pt;margin-top:-241.4999pt;width:50.05pt;height:10.8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0EBF2" stroked="f"/>
            </w:pict>
          </mc:Fallback>
        </mc:AlternateContent>
        <mc:AlternateContent>
          <mc:Choice Requires="wps">
            <w:drawing>
              <wp:anchor simplePos="0" relativeHeight="251657728" behindDoc="1" locked="0" layoutInCell="0" allowOverlap="1">
                <wp:simplePos x="0" y="0"/>
                <wp:positionH relativeFrom="column">
                  <wp:posOffset>4619625</wp:posOffset>
                </wp:positionH>
                <wp:positionV relativeFrom="paragraph">
                  <wp:posOffset>-3072765</wp:posOffset>
                </wp:positionV>
                <wp:extent cx="149860" cy="143510"/>
                <wp:wrapNone/>
                <wp:docPr id="88" name="Shape 8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49860" cy="143510"/>
                        </a:xfrm>
                        <a:prstGeom prst="rect">
                          <a:avLst/>
                        </a:prstGeom>
                        <a:solidFill>
                          <a:srgbClr val="D0EBF2"/>
                        </a:solidFill>
                      </wps:spPr>
                      <wps:bodyPr/>
                    </wps:wsp>
                  </a:graphicData>
                </a:graphic>
              </wp:anchor>
            </w:drawing>
          </mc:Choice>
          <mc:Fallback>
            <w:pict>
              <v:rect id="Shape 88" o:spid="_x0000_s1113" style="position:absolute;margin-left:363.75pt;margin-top:-241.9499pt;width:11.8pt;height:11.3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0EBF2" stroked="f"/>
            </w:pict>
          </mc:Fallback>
        </mc:AlternateContent>
        <mc:AlternateContent>
          <mc:Choice Requires="wps">
            <w:drawing>
              <wp:anchor simplePos="0" relativeHeight="251657728" behindDoc="1" locked="0" layoutInCell="0" allowOverlap="1">
                <wp:simplePos x="0" y="0"/>
                <wp:positionH relativeFrom="column">
                  <wp:posOffset>4769485</wp:posOffset>
                </wp:positionH>
                <wp:positionV relativeFrom="paragraph">
                  <wp:posOffset>-3067050</wp:posOffset>
                </wp:positionV>
                <wp:extent cx="635635" cy="137795"/>
                <wp:wrapNone/>
                <wp:docPr id="89" name="Shape 8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5635" cy="137795"/>
                        </a:xfrm>
                        <a:prstGeom prst="rect">
                          <a:avLst/>
                        </a:prstGeom>
                        <a:solidFill>
                          <a:srgbClr val="D0EBF2"/>
                        </a:solidFill>
                      </wps:spPr>
                      <wps:bodyPr/>
                    </wps:wsp>
                  </a:graphicData>
                </a:graphic>
              </wp:anchor>
            </w:drawing>
          </mc:Choice>
          <mc:Fallback>
            <w:pict>
              <v:rect id="Shape 89" o:spid="_x0000_s1114" style="position:absolute;margin-left:375.55pt;margin-top:-241.4999pt;width:50.05pt;height:10.8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0EBF2" stroked="f"/>
            </w:pict>
          </mc:Fallback>
        </mc:AlternateContent>
        <mc:AlternateContent>
          <mc:Choice Requires="wps">
            <w:drawing>
              <wp:anchor simplePos="0" relativeHeight="251657728" behindDoc="1" locked="0" layoutInCell="0" allowOverlap="1">
                <wp:simplePos x="0" y="0"/>
                <wp:positionH relativeFrom="column">
                  <wp:posOffset>3983990</wp:posOffset>
                </wp:positionH>
                <wp:positionV relativeFrom="paragraph">
                  <wp:posOffset>-164465</wp:posOffset>
                </wp:positionV>
                <wp:extent cx="635635" cy="137795"/>
                <wp:wrapNone/>
                <wp:docPr id="90" name="Shape 9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5635" cy="137795"/>
                        </a:xfrm>
                        <a:prstGeom prst="rect">
                          <a:avLst/>
                        </a:prstGeom>
                        <a:solidFill>
                          <a:srgbClr val="FDFDFC"/>
                        </a:solidFill>
                      </wps:spPr>
                      <wps:bodyPr/>
                    </wps:wsp>
                  </a:graphicData>
                </a:graphic>
              </wp:anchor>
            </w:drawing>
          </mc:Choice>
          <mc:Fallback>
            <w:pict>
              <v:rect id="Shape 90" o:spid="_x0000_s1115" style="position:absolute;margin-left:313.7pt;margin-top:-12.9499pt;width:50.05pt;height:10.8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FDFDFC" stroked="f"/>
            </w:pict>
          </mc:Fallback>
        </mc:AlternateContent>
        <mc:AlternateContent>
          <mc:Choice Requires="wps">
            <w:drawing>
              <wp:anchor simplePos="0" relativeHeight="251657728" behindDoc="1" locked="0" layoutInCell="0" allowOverlap="1">
                <wp:simplePos x="0" y="0"/>
                <wp:positionH relativeFrom="column">
                  <wp:posOffset>4619625</wp:posOffset>
                </wp:positionH>
                <wp:positionV relativeFrom="paragraph">
                  <wp:posOffset>-170815</wp:posOffset>
                </wp:positionV>
                <wp:extent cx="149860" cy="144145"/>
                <wp:wrapNone/>
                <wp:docPr id="91" name="Shape 9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49860" cy="144145"/>
                        </a:xfrm>
                        <a:prstGeom prst="rect">
                          <a:avLst/>
                        </a:prstGeom>
                        <a:solidFill>
                          <a:srgbClr val="FDFDFC"/>
                        </a:solidFill>
                      </wps:spPr>
                      <wps:bodyPr/>
                    </wps:wsp>
                  </a:graphicData>
                </a:graphic>
              </wp:anchor>
            </w:drawing>
          </mc:Choice>
          <mc:Fallback>
            <w:pict>
              <v:rect id="Shape 91" o:spid="_x0000_s1116" style="position:absolute;margin-left:363.75pt;margin-top:-13.4499pt;width:11.8pt;height:11.3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FDFDFC" stroked="f"/>
            </w:pict>
          </mc:Fallback>
        </mc:AlternateContent>
        <mc:AlternateContent>
          <mc:Choice Requires="wps">
            <w:drawing>
              <wp:anchor simplePos="0" relativeHeight="251657728" behindDoc="1" locked="0" layoutInCell="0" allowOverlap="1">
                <wp:simplePos x="0" y="0"/>
                <wp:positionH relativeFrom="column">
                  <wp:posOffset>4769485</wp:posOffset>
                </wp:positionH>
                <wp:positionV relativeFrom="paragraph">
                  <wp:posOffset>-164465</wp:posOffset>
                </wp:positionV>
                <wp:extent cx="635635" cy="137795"/>
                <wp:wrapNone/>
                <wp:docPr id="92" name="Shape 9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35635" cy="137795"/>
                        </a:xfrm>
                        <a:prstGeom prst="rect">
                          <a:avLst/>
                        </a:prstGeom>
                        <a:solidFill>
                          <a:srgbClr val="FDFDFC"/>
                        </a:solidFill>
                      </wps:spPr>
                      <wps:bodyPr/>
                    </wps:wsp>
                  </a:graphicData>
                </a:graphic>
              </wp:anchor>
            </w:drawing>
          </mc:Choice>
          <mc:Fallback>
            <w:pict>
              <v:rect id="Shape 92" o:spid="_x0000_s1117" style="position:absolute;margin-left:375.55pt;margin-top:-12.9499pt;width:50.05pt;height:10.8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FDFDFC" stroked="f"/>
            </w:pict>
          </mc:Fallback>
        </mc:AlternateContent>
      </w:r>
    </w:p>
    <w:p>
      <w:pPr>
        <w:spacing w:after="0" w:line="73" w:lineRule="exact"/>
        <w:rPr>
          <w:sz w:val="20"/>
          <w:szCs w:val="20"/>
          <w:color w:val="auto"/>
        </w:rPr>
      </w:pPr>
    </w:p>
    <w:p>
      <w:pPr>
        <w:ind w:left="460"/>
        <w:spacing w:after="0"/>
        <w:tabs>
          <w:tab w:leader="none" w:pos="900" w:val="left"/>
        </w:tabs>
        <w:rPr>
          <w:sz w:val="20"/>
          <w:szCs w:val="20"/>
          <w:color w:val="auto"/>
        </w:rPr>
      </w:pPr>
      <w:r>
        <w:rPr>
          <w:rFonts w:ascii="Times New Roman" w:cs="Times New Roman" w:eastAsia="Times New Roman" w:hAnsi="Times New Roman"/>
          <w:sz w:val="19"/>
          <w:szCs w:val="19"/>
          <w:color w:val="231F20"/>
        </w:rPr>
        <w:t>(1)</w:t>
        <w:tab/>
        <w:t>Value sums to less than 0.1%</w:t>
      </w:r>
    </w:p>
    <w:p>
      <w:pPr>
        <w:sectPr>
          <w:pgSz w:w="12240" w:h="15840" w:orient="portrait"/>
          <w:cols w:equalWidth="0" w:num="1">
            <w:col w:w="9920"/>
          </w:cols>
          <w:pgMar w:left="1020" w:top="1309" w:right="1300" w:bottom="57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9"/>
          <w:szCs w:val="19"/>
          <w:color w:val="231F20"/>
        </w:rPr>
        <w:t>F-36</w:t>
      </w:r>
    </w:p>
    <w:p>
      <w:pPr>
        <w:sectPr>
          <w:pgSz w:w="12240" w:h="15840" w:orient="portrait"/>
          <w:cols w:equalWidth="0" w:num="1">
            <w:col w:w="9920"/>
          </w:cols>
          <w:pgMar w:left="1020" w:top="1309" w:right="1300" w:bottom="574" w:gutter="0" w:footer="0" w:header="0"/>
          <w:type w:val="continuous"/>
        </w:sectPr>
      </w:pPr>
    </w:p>
    <w:bookmarkStart w:id="124" w:name="page125"/>
    <w:bookmarkEnd w:id="124"/>
    <w:p>
      <w:pPr>
        <w:ind w:left="240"/>
        <w:spacing w:after="0"/>
        <w:rPr>
          <w:sz w:val="20"/>
          <w:szCs w:val="20"/>
          <w:color w:val="auto"/>
        </w:rPr>
      </w:pPr>
      <w:r>
        <w:rPr>
          <w:rFonts w:ascii="Times New Roman" w:cs="Times New Roman" w:eastAsia="Times New Roman" w:hAnsi="Times New Roman"/>
          <w:sz w:val="19"/>
          <w:szCs w:val="19"/>
          <w:color w:val="231F20"/>
        </w:rPr>
        <w:t>The geographic composition of investments at fair value at December 31, 2024 and December 31, 2023 is as follows:</w:t>
      </w:r>
    </w:p>
    <w:p>
      <w:pPr>
        <w:spacing w:after="0" w:line="276" w:lineRule="exact"/>
        <w:rPr>
          <w:sz w:val="20"/>
          <w:szCs w:val="20"/>
          <w:color w:val="auto"/>
        </w:rPr>
      </w:pPr>
    </w:p>
    <w:tbl>
      <w:tblPr>
        <w:tblLayout w:type="fixed"/>
        <w:tblInd w:w="1480" w:type="dxa"/>
        <w:tblCellMar>
          <w:top w:w="0" w:type="dxa"/>
          <w:left w:w="0" w:type="dxa"/>
          <w:bottom w:w="0" w:type="dxa"/>
          <w:right w:w="0" w:type="dxa"/>
        </w:tblCellMar>
      </w:tblPr>
      <w:tr>
        <w:trPr>
          <w:trHeight w:val="172"/>
        </w:trPr>
        <w:tc>
          <w:tcPr>
            <w:tcW w:w="4720" w:type="dxa"/>
            <w:vAlign w:val="bottom"/>
            <w:shd w:val="clear" w:color="auto" w:fill="FDFDFC"/>
          </w:tcPr>
          <w:p>
            <w:pPr>
              <w:spacing w:after="0"/>
              <w:rPr>
                <w:sz w:val="15"/>
                <w:szCs w:val="15"/>
                <w:color w:val="auto"/>
              </w:rPr>
            </w:pPr>
          </w:p>
        </w:tc>
        <w:tc>
          <w:tcPr>
            <w:tcW w:w="80" w:type="dxa"/>
            <w:vAlign w:val="bottom"/>
            <w:shd w:val="clear" w:color="auto" w:fill="FDFDFC"/>
          </w:tcPr>
          <w:p>
            <w:pPr>
              <w:spacing w:after="0"/>
              <w:rPr>
                <w:sz w:val="15"/>
                <w:szCs w:val="15"/>
                <w:color w:val="auto"/>
              </w:rPr>
            </w:pPr>
          </w:p>
        </w:tc>
        <w:tc>
          <w:tcPr>
            <w:tcW w:w="1260" w:type="dxa"/>
            <w:vAlign w:val="bottom"/>
            <w:gridSpan w:val="2"/>
            <w:shd w:val="clear" w:color="auto" w:fill="FDFDFC"/>
          </w:tcPr>
          <w:p>
            <w:pPr>
              <w:jc w:val="right"/>
              <w:ind w:right="226"/>
              <w:spacing w:after="0"/>
              <w:rPr>
                <w:sz w:val="20"/>
                <w:szCs w:val="20"/>
                <w:color w:val="auto"/>
              </w:rPr>
            </w:pPr>
            <w:r>
              <w:rPr>
                <w:rFonts w:ascii="Times New Roman" w:cs="Times New Roman" w:eastAsia="Times New Roman" w:hAnsi="Times New Roman"/>
                <w:sz w:val="15"/>
                <w:szCs w:val="15"/>
                <w:b w:val="1"/>
                <w:bCs w:val="1"/>
                <w:color w:val="231F20"/>
              </w:rPr>
              <w:t>December 31,</w:t>
            </w:r>
          </w:p>
        </w:tc>
        <w:tc>
          <w:tcPr>
            <w:tcW w:w="1180" w:type="dxa"/>
            <w:vAlign w:val="bottom"/>
            <w:gridSpan w:val="2"/>
            <w:shd w:val="clear" w:color="auto" w:fill="FDFDFC"/>
          </w:tcPr>
          <w:p>
            <w:pPr>
              <w:jc w:val="right"/>
              <w:ind w:right="146"/>
              <w:spacing w:after="0"/>
              <w:rPr>
                <w:sz w:val="20"/>
                <w:szCs w:val="20"/>
                <w:color w:val="auto"/>
              </w:rPr>
            </w:pPr>
            <w:r>
              <w:rPr>
                <w:rFonts w:ascii="Times New Roman" w:cs="Times New Roman" w:eastAsia="Times New Roman" w:hAnsi="Times New Roman"/>
                <w:sz w:val="15"/>
                <w:szCs w:val="15"/>
                <w:b w:val="1"/>
                <w:bCs w:val="1"/>
                <w:color w:val="231F20"/>
              </w:rPr>
              <w:t>December 31,</w:t>
            </w:r>
          </w:p>
        </w:tc>
      </w:tr>
      <w:tr>
        <w:trPr>
          <w:trHeight w:val="191"/>
        </w:trPr>
        <w:tc>
          <w:tcPr>
            <w:tcW w:w="4720" w:type="dxa"/>
            <w:vAlign w:val="bottom"/>
            <w:shd w:val="clear" w:color="auto" w:fill="FDFDFC"/>
          </w:tcPr>
          <w:p>
            <w:pPr>
              <w:spacing w:after="0"/>
              <w:rPr>
                <w:sz w:val="16"/>
                <w:szCs w:val="16"/>
                <w:color w:val="auto"/>
              </w:rPr>
            </w:pPr>
          </w:p>
        </w:tc>
        <w:tc>
          <w:tcPr>
            <w:tcW w:w="1100" w:type="dxa"/>
            <w:vAlign w:val="bottom"/>
            <w:gridSpan w:val="2"/>
            <w:shd w:val="clear" w:color="auto" w:fill="FDFDFC"/>
          </w:tcPr>
          <w:p>
            <w:pPr>
              <w:jc w:val="right"/>
              <w:ind w:right="290"/>
              <w:spacing w:after="0"/>
              <w:rPr>
                <w:sz w:val="20"/>
                <w:szCs w:val="20"/>
                <w:color w:val="auto"/>
              </w:rPr>
            </w:pPr>
            <w:r>
              <w:rPr>
                <w:rFonts w:ascii="Times New Roman" w:cs="Times New Roman" w:eastAsia="Times New Roman" w:hAnsi="Times New Roman"/>
                <w:sz w:val="15"/>
                <w:szCs w:val="15"/>
                <w:b w:val="1"/>
                <w:bCs w:val="1"/>
                <w:color w:val="231F20"/>
              </w:rPr>
              <w:t>2024</w:t>
            </w:r>
          </w:p>
        </w:tc>
        <w:tc>
          <w:tcPr>
            <w:tcW w:w="240" w:type="dxa"/>
            <w:vAlign w:val="bottom"/>
            <w:shd w:val="clear" w:color="auto" w:fill="FDFDFC"/>
          </w:tcPr>
          <w:p>
            <w:pPr>
              <w:spacing w:after="0"/>
              <w:rPr>
                <w:sz w:val="16"/>
                <w:szCs w:val="16"/>
                <w:color w:val="auto"/>
              </w:rPr>
            </w:pPr>
          </w:p>
        </w:tc>
        <w:tc>
          <w:tcPr>
            <w:tcW w:w="1020" w:type="dxa"/>
            <w:vAlign w:val="bottom"/>
            <w:shd w:val="clear" w:color="auto" w:fill="FDFDFC"/>
          </w:tcPr>
          <w:p>
            <w:pPr>
              <w:jc w:val="right"/>
              <w:ind w:right="288"/>
              <w:spacing w:after="0"/>
              <w:rPr>
                <w:sz w:val="20"/>
                <w:szCs w:val="20"/>
                <w:color w:val="auto"/>
              </w:rPr>
            </w:pPr>
            <w:r>
              <w:rPr>
                <w:rFonts w:ascii="Times New Roman" w:cs="Times New Roman" w:eastAsia="Times New Roman" w:hAnsi="Times New Roman"/>
                <w:sz w:val="15"/>
                <w:szCs w:val="15"/>
                <w:b w:val="1"/>
                <w:bCs w:val="1"/>
                <w:color w:val="231F20"/>
              </w:rPr>
              <w:t>2023</w:t>
            </w:r>
          </w:p>
        </w:tc>
        <w:tc>
          <w:tcPr>
            <w:tcW w:w="160" w:type="dxa"/>
            <w:vAlign w:val="bottom"/>
            <w:shd w:val="clear" w:color="auto" w:fill="FDFDFC"/>
          </w:tcPr>
          <w:p>
            <w:pPr>
              <w:spacing w:after="0"/>
              <w:rPr>
                <w:sz w:val="16"/>
                <w:szCs w:val="16"/>
                <w:color w:val="auto"/>
              </w:rPr>
            </w:pPr>
          </w:p>
        </w:tc>
      </w:tr>
      <w:tr>
        <w:trPr>
          <w:trHeight w:val="220"/>
        </w:trPr>
        <w:tc>
          <w:tcPr>
            <w:tcW w:w="4720" w:type="dxa"/>
            <w:vAlign w:val="bottom"/>
            <w:tcBorders>
              <w:top w:val="single" w:sz="8" w:color="D0EBF2"/>
            </w:tcBorders>
            <w:shd w:val="clear" w:color="auto" w:fill="D0EBF2"/>
          </w:tcPr>
          <w:p>
            <w:pPr>
              <w:spacing w:after="0"/>
              <w:rPr>
                <w:sz w:val="20"/>
                <w:szCs w:val="20"/>
                <w:color w:val="auto"/>
              </w:rPr>
            </w:pPr>
            <w:r>
              <w:rPr>
                <w:rFonts w:ascii="Times New Roman" w:cs="Times New Roman" w:eastAsia="Times New Roman" w:hAnsi="Times New Roman"/>
                <w:sz w:val="19"/>
                <w:szCs w:val="19"/>
                <w:color w:val="231F20"/>
              </w:rPr>
              <w:t>United States</w:t>
            </w:r>
          </w:p>
        </w:tc>
        <w:tc>
          <w:tcPr>
            <w:tcW w:w="80" w:type="dxa"/>
            <w:vAlign w:val="bottom"/>
            <w:tcBorders>
              <w:top w:val="single" w:sz="8" w:color="D0EBF2"/>
            </w:tcBorders>
            <w:shd w:val="clear" w:color="auto" w:fill="D0EBF2"/>
          </w:tcPr>
          <w:p>
            <w:pPr>
              <w:spacing w:after="0"/>
              <w:rPr>
                <w:sz w:val="19"/>
                <w:szCs w:val="19"/>
                <w:color w:val="auto"/>
              </w:rPr>
            </w:pPr>
          </w:p>
        </w:tc>
        <w:tc>
          <w:tcPr>
            <w:tcW w:w="1020" w:type="dxa"/>
            <w:vAlign w:val="bottom"/>
            <w:tcBorders>
              <w:top w:val="single" w:sz="8" w:color="231F20"/>
            </w:tcBorders>
            <w:shd w:val="clear" w:color="auto" w:fill="D0EBF2"/>
          </w:tcPr>
          <w:p>
            <w:pPr>
              <w:spacing w:after="0"/>
              <w:rPr>
                <w:sz w:val="19"/>
                <w:szCs w:val="19"/>
                <w:color w:val="auto"/>
              </w:rPr>
            </w:pPr>
          </w:p>
        </w:tc>
        <w:tc>
          <w:tcPr>
            <w:tcW w:w="240" w:type="dxa"/>
            <w:vAlign w:val="bottom"/>
            <w:tcBorders>
              <w:top w:val="single" w:sz="8" w:color="D0EBF2"/>
            </w:tcBorders>
            <w:shd w:val="clear" w:color="auto" w:fill="D0EBF2"/>
          </w:tcPr>
          <w:p>
            <w:pPr>
              <w:spacing w:after="0"/>
              <w:rPr>
                <w:sz w:val="19"/>
                <w:szCs w:val="19"/>
                <w:color w:val="auto"/>
              </w:rPr>
            </w:pPr>
          </w:p>
        </w:tc>
        <w:tc>
          <w:tcPr>
            <w:tcW w:w="1020" w:type="dxa"/>
            <w:vAlign w:val="bottom"/>
            <w:tcBorders>
              <w:top w:val="single" w:sz="8" w:color="231F20"/>
            </w:tcBorders>
            <w:shd w:val="clear" w:color="auto" w:fill="D0EBF2"/>
          </w:tcPr>
          <w:p>
            <w:pPr>
              <w:spacing w:after="0"/>
              <w:rPr>
                <w:sz w:val="19"/>
                <w:szCs w:val="19"/>
                <w:color w:val="auto"/>
              </w:rPr>
            </w:pPr>
          </w:p>
        </w:tc>
        <w:tc>
          <w:tcPr>
            <w:tcW w:w="160" w:type="dxa"/>
            <w:vAlign w:val="bottom"/>
            <w:tcBorders>
              <w:top w:val="single" w:sz="8" w:color="D0EBF2"/>
            </w:tcBorders>
            <w:shd w:val="clear" w:color="auto" w:fill="D0EBF2"/>
          </w:tcPr>
          <w:p>
            <w:pPr>
              <w:spacing w:after="0"/>
              <w:rPr>
                <w:sz w:val="19"/>
                <w:szCs w:val="19"/>
                <w:color w:val="auto"/>
              </w:rPr>
            </w:pPr>
          </w:p>
        </w:tc>
      </w:tr>
      <w:tr>
        <w:trPr>
          <w:trHeight w:val="230"/>
        </w:trPr>
        <w:tc>
          <w:tcPr>
            <w:tcW w:w="4720" w:type="dxa"/>
            <w:vAlign w:val="bottom"/>
            <w:shd w:val="clear" w:color="auto" w:fill="FDFDFC"/>
          </w:tcPr>
          <w:p>
            <w:pPr>
              <w:ind w:left="180"/>
              <w:spacing w:after="0"/>
              <w:rPr>
                <w:sz w:val="20"/>
                <w:szCs w:val="20"/>
                <w:color w:val="auto"/>
              </w:rPr>
            </w:pPr>
            <w:r>
              <w:rPr>
                <w:rFonts w:ascii="Times New Roman" w:cs="Times New Roman" w:eastAsia="Times New Roman" w:hAnsi="Times New Roman"/>
                <w:sz w:val="19"/>
                <w:szCs w:val="19"/>
                <w:color w:val="231F20"/>
              </w:rPr>
              <w:t>Midwest</w:t>
            </w:r>
          </w:p>
        </w:tc>
        <w:tc>
          <w:tcPr>
            <w:tcW w:w="80" w:type="dxa"/>
            <w:vAlign w:val="bottom"/>
            <w:shd w:val="clear" w:color="auto" w:fill="FDFDFC"/>
          </w:tcPr>
          <w:p>
            <w:pPr>
              <w:spacing w:after="0"/>
              <w:rPr>
                <w:sz w:val="20"/>
                <w:szCs w:val="20"/>
                <w:color w:val="auto"/>
              </w:rPr>
            </w:pPr>
          </w:p>
        </w:tc>
        <w:tc>
          <w:tcPr>
            <w:tcW w:w="1020" w:type="dxa"/>
            <w:vAlign w:val="bottom"/>
            <w:shd w:val="clear" w:color="auto" w:fill="FDFDFC"/>
          </w:tcPr>
          <w:p>
            <w:pPr>
              <w:jc w:val="right"/>
              <w:spacing w:after="0"/>
              <w:rPr>
                <w:sz w:val="20"/>
                <w:szCs w:val="20"/>
                <w:color w:val="auto"/>
              </w:rPr>
            </w:pPr>
            <w:r>
              <w:rPr>
                <w:rFonts w:ascii="Times New Roman" w:cs="Times New Roman" w:eastAsia="Times New Roman" w:hAnsi="Times New Roman"/>
                <w:sz w:val="19"/>
                <w:szCs w:val="19"/>
                <w:color w:val="231F20"/>
              </w:rPr>
              <w:t>14.3</w:t>
            </w:r>
          </w:p>
        </w:tc>
        <w:tc>
          <w:tcPr>
            <w:tcW w:w="240" w:type="dxa"/>
            <w:vAlign w:val="bottom"/>
            <w:shd w:val="clear" w:color="auto" w:fill="FDFDFC"/>
          </w:tcPr>
          <w:p>
            <w:pPr>
              <w:jc w:val="right"/>
              <w:spacing w:after="0"/>
              <w:rPr>
                <w:sz w:val="20"/>
                <w:szCs w:val="20"/>
                <w:color w:val="auto"/>
              </w:rPr>
            </w:pPr>
            <w:r>
              <w:rPr>
                <w:rFonts w:ascii="Times New Roman" w:cs="Times New Roman" w:eastAsia="Times New Roman" w:hAnsi="Times New Roman"/>
                <w:sz w:val="19"/>
                <w:szCs w:val="19"/>
                <w:color w:val="231F20"/>
                <w:w w:val="88"/>
              </w:rPr>
              <w:t>%</w:t>
            </w:r>
          </w:p>
        </w:tc>
        <w:tc>
          <w:tcPr>
            <w:tcW w:w="1020" w:type="dxa"/>
            <w:vAlign w:val="bottom"/>
            <w:shd w:val="clear" w:color="auto" w:fill="FDFDFC"/>
          </w:tcPr>
          <w:p>
            <w:pPr>
              <w:jc w:val="right"/>
              <w:spacing w:after="0"/>
              <w:rPr>
                <w:sz w:val="20"/>
                <w:szCs w:val="20"/>
                <w:color w:val="auto"/>
              </w:rPr>
            </w:pPr>
            <w:r>
              <w:rPr>
                <w:rFonts w:ascii="Times New Roman" w:cs="Times New Roman" w:eastAsia="Times New Roman" w:hAnsi="Times New Roman"/>
                <w:sz w:val="19"/>
                <w:szCs w:val="19"/>
                <w:color w:val="231F20"/>
              </w:rPr>
              <w:t>10.7</w:t>
            </w:r>
          </w:p>
        </w:tc>
        <w:tc>
          <w:tcPr>
            <w:tcW w:w="160" w:type="dxa"/>
            <w:vAlign w:val="bottom"/>
            <w:shd w:val="clear" w:color="auto" w:fill="FDFDFC"/>
          </w:tcPr>
          <w:p>
            <w:pPr>
              <w:jc w:val="right"/>
              <w:spacing w:after="0"/>
              <w:rPr>
                <w:sz w:val="20"/>
                <w:szCs w:val="20"/>
                <w:color w:val="auto"/>
              </w:rPr>
            </w:pPr>
            <w:r>
              <w:rPr>
                <w:rFonts w:ascii="Times New Roman" w:cs="Times New Roman" w:eastAsia="Times New Roman" w:hAnsi="Times New Roman"/>
                <w:sz w:val="19"/>
                <w:szCs w:val="19"/>
                <w:color w:val="231F20"/>
                <w:w w:val="75"/>
              </w:rPr>
              <w:t>%</w:t>
            </w:r>
          </w:p>
        </w:tc>
      </w:tr>
      <w:tr>
        <w:trPr>
          <w:trHeight w:val="230"/>
        </w:trPr>
        <w:tc>
          <w:tcPr>
            <w:tcW w:w="4720" w:type="dxa"/>
            <w:vAlign w:val="bottom"/>
            <w:shd w:val="clear" w:color="auto" w:fill="D0EBF2"/>
          </w:tcPr>
          <w:p>
            <w:pPr>
              <w:ind w:left="180"/>
              <w:spacing w:after="0"/>
              <w:rPr>
                <w:sz w:val="20"/>
                <w:szCs w:val="20"/>
                <w:color w:val="auto"/>
              </w:rPr>
            </w:pPr>
            <w:r>
              <w:rPr>
                <w:rFonts w:ascii="Times New Roman" w:cs="Times New Roman" w:eastAsia="Times New Roman" w:hAnsi="Times New Roman"/>
                <w:sz w:val="19"/>
                <w:szCs w:val="19"/>
                <w:color w:val="231F20"/>
              </w:rPr>
              <w:t>Northeast</w:t>
            </w:r>
          </w:p>
        </w:tc>
        <w:tc>
          <w:tcPr>
            <w:tcW w:w="1340" w:type="dxa"/>
            <w:vAlign w:val="bottom"/>
            <w:gridSpan w:val="3"/>
            <w:shd w:val="clear" w:color="auto" w:fill="D0EBF2"/>
          </w:tcPr>
          <w:p>
            <w:pPr>
              <w:jc w:val="right"/>
              <w:spacing w:after="0"/>
              <w:rPr>
                <w:sz w:val="20"/>
                <w:szCs w:val="20"/>
                <w:color w:val="auto"/>
              </w:rPr>
            </w:pPr>
            <w:r>
              <w:rPr>
                <w:rFonts w:ascii="Times New Roman" w:cs="Times New Roman" w:eastAsia="Times New Roman" w:hAnsi="Times New Roman"/>
                <w:sz w:val="19"/>
                <w:szCs w:val="19"/>
                <w:color w:val="231F20"/>
              </w:rPr>
              <w:t>21.7 %</w:t>
            </w:r>
          </w:p>
        </w:tc>
        <w:tc>
          <w:tcPr>
            <w:tcW w:w="1180" w:type="dxa"/>
            <w:vAlign w:val="bottom"/>
            <w:gridSpan w:val="2"/>
            <w:shd w:val="clear" w:color="auto" w:fill="D0EBF2"/>
          </w:tcPr>
          <w:p>
            <w:pPr>
              <w:jc w:val="right"/>
              <w:spacing w:after="0"/>
              <w:rPr>
                <w:sz w:val="20"/>
                <w:szCs w:val="20"/>
                <w:color w:val="auto"/>
              </w:rPr>
            </w:pPr>
            <w:r>
              <w:rPr>
                <w:rFonts w:ascii="Times New Roman" w:cs="Times New Roman" w:eastAsia="Times New Roman" w:hAnsi="Times New Roman"/>
                <w:sz w:val="19"/>
                <w:szCs w:val="19"/>
                <w:color w:val="231F20"/>
              </w:rPr>
              <w:t>25.4 %</w:t>
            </w:r>
          </w:p>
        </w:tc>
      </w:tr>
      <w:tr>
        <w:trPr>
          <w:trHeight w:val="230"/>
        </w:trPr>
        <w:tc>
          <w:tcPr>
            <w:tcW w:w="4720" w:type="dxa"/>
            <w:vAlign w:val="bottom"/>
            <w:shd w:val="clear" w:color="auto" w:fill="FDFDFC"/>
          </w:tcPr>
          <w:p>
            <w:pPr>
              <w:ind w:left="180"/>
              <w:spacing w:after="0"/>
              <w:rPr>
                <w:sz w:val="20"/>
                <w:szCs w:val="20"/>
                <w:color w:val="auto"/>
              </w:rPr>
            </w:pPr>
            <w:r>
              <w:rPr>
                <w:rFonts w:ascii="Times New Roman" w:cs="Times New Roman" w:eastAsia="Times New Roman" w:hAnsi="Times New Roman"/>
                <w:sz w:val="19"/>
                <w:szCs w:val="19"/>
                <w:color w:val="231F20"/>
              </w:rPr>
              <w:t>South</w:t>
            </w:r>
          </w:p>
        </w:tc>
        <w:tc>
          <w:tcPr>
            <w:tcW w:w="1340" w:type="dxa"/>
            <w:vAlign w:val="bottom"/>
            <w:gridSpan w:val="3"/>
            <w:shd w:val="clear" w:color="auto" w:fill="FDFDFC"/>
          </w:tcPr>
          <w:p>
            <w:pPr>
              <w:jc w:val="right"/>
              <w:spacing w:after="0"/>
              <w:rPr>
                <w:sz w:val="20"/>
                <w:szCs w:val="20"/>
                <w:color w:val="auto"/>
              </w:rPr>
            </w:pPr>
            <w:r>
              <w:rPr>
                <w:rFonts w:ascii="Times New Roman" w:cs="Times New Roman" w:eastAsia="Times New Roman" w:hAnsi="Times New Roman"/>
                <w:sz w:val="19"/>
                <w:szCs w:val="19"/>
                <w:color w:val="231F20"/>
              </w:rPr>
              <w:t>20.6 %</w:t>
            </w:r>
          </w:p>
        </w:tc>
        <w:tc>
          <w:tcPr>
            <w:tcW w:w="1180" w:type="dxa"/>
            <w:vAlign w:val="bottom"/>
            <w:gridSpan w:val="2"/>
            <w:shd w:val="clear" w:color="auto" w:fill="FDFDFC"/>
          </w:tcPr>
          <w:p>
            <w:pPr>
              <w:jc w:val="right"/>
              <w:spacing w:after="0"/>
              <w:rPr>
                <w:sz w:val="20"/>
                <w:szCs w:val="20"/>
                <w:color w:val="auto"/>
              </w:rPr>
            </w:pPr>
            <w:r>
              <w:rPr>
                <w:rFonts w:ascii="Times New Roman" w:cs="Times New Roman" w:eastAsia="Times New Roman" w:hAnsi="Times New Roman"/>
                <w:sz w:val="19"/>
                <w:szCs w:val="19"/>
                <w:color w:val="231F20"/>
              </w:rPr>
              <w:t>20.7 %</w:t>
            </w:r>
          </w:p>
        </w:tc>
      </w:tr>
      <w:tr>
        <w:trPr>
          <w:trHeight w:val="230"/>
        </w:trPr>
        <w:tc>
          <w:tcPr>
            <w:tcW w:w="4720" w:type="dxa"/>
            <w:vAlign w:val="bottom"/>
            <w:shd w:val="clear" w:color="auto" w:fill="D0EBF2"/>
          </w:tcPr>
          <w:p>
            <w:pPr>
              <w:ind w:left="180"/>
              <w:spacing w:after="0"/>
              <w:rPr>
                <w:sz w:val="20"/>
                <w:szCs w:val="20"/>
                <w:color w:val="auto"/>
              </w:rPr>
            </w:pPr>
            <w:r>
              <w:rPr>
                <w:rFonts w:ascii="Times New Roman" w:cs="Times New Roman" w:eastAsia="Times New Roman" w:hAnsi="Times New Roman"/>
                <w:sz w:val="19"/>
                <w:szCs w:val="19"/>
                <w:color w:val="231F20"/>
              </w:rPr>
              <w:t>West</w:t>
            </w:r>
          </w:p>
        </w:tc>
        <w:tc>
          <w:tcPr>
            <w:tcW w:w="1340" w:type="dxa"/>
            <w:vAlign w:val="bottom"/>
            <w:gridSpan w:val="3"/>
            <w:shd w:val="clear" w:color="auto" w:fill="D0EBF2"/>
          </w:tcPr>
          <w:p>
            <w:pPr>
              <w:jc w:val="right"/>
              <w:spacing w:after="0"/>
              <w:rPr>
                <w:sz w:val="20"/>
                <w:szCs w:val="20"/>
                <w:color w:val="auto"/>
              </w:rPr>
            </w:pPr>
            <w:r>
              <w:rPr>
                <w:rFonts w:ascii="Times New Roman" w:cs="Times New Roman" w:eastAsia="Times New Roman" w:hAnsi="Times New Roman"/>
                <w:sz w:val="19"/>
                <w:szCs w:val="19"/>
                <w:color w:val="231F20"/>
              </w:rPr>
              <w:t>28.8 %</w:t>
            </w:r>
          </w:p>
        </w:tc>
        <w:tc>
          <w:tcPr>
            <w:tcW w:w="1180" w:type="dxa"/>
            <w:vAlign w:val="bottom"/>
            <w:gridSpan w:val="2"/>
            <w:shd w:val="clear" w:color="auto" w:fill="D0EBF2"/>
          </w:tcPr>
          <w:p>
            <w:pPr>
              <w:jc w:val="right"/>
              <w:spacing w:after="0"/>
              <w:rPr>
                <w:sz w:val="20"/>
                <w:szCs w:val="20"/>
                <w:color w:val="auto"/>
              </w:rPr>
            </w:pPr>
            <w:r>
              <w:rPr>
                <w:rFonts w:ascii="Times New Roman" w:cs="Times New Roman" w:eastAsia="Times New Roman" w:hAnsi="Times New Roman"/>
                <w:sz w:val="19"/>
                <w:szCs w:val="19"/>
                <w:color w:val="231F20"/>
              </w:rPr>
              <w:t>32.0 %</w:t>
            </w:r>
          </w:p>
        </w:tc>
      </w:tr>
      <w:tr>
        <w:trPr>
          <w:trHeight w:val="230"/>
        </w:trPr>
        <w:tc>
          <w:tcPr>
            <w:tcW w:w="4720" w:type="dxa"/>
            <w:vAlign w:val="bottom"/>
            <w:shd w:val="clear" w:color="auto" w:fill="FDFDFC"/>
          </w:tcPr>
          <w:p>
            <w:pPr>
              <w:spacing w:after="0"/>
              <w:rPr>
                <w:sz w:val="20"/>
                <w:szCs w:val="20"/>
                <w:color w:val="auto"/>
              </w:rPr>
            </w:pPr>
            <w:r>
              <w:rPr>
                <w:rFonts w:ascii="Times New Roman" w:cs="Times New Roman" w:eastAsia="Times New Roman" w:hAnsi="Times New Roman"/>
                <w:sz w:val="19"/>
                <w:szCs w:val="19"/>
                <w:color w:val="231F20"/>
              </w:rPr>
              <w:t>Australia</w:t>
            </w:r>
          </w:p>
        </w:tc>
        <w:tc>
          <w:tcPr>
            <w:tcW w:w="1340" w:type="dxa"/>
            <w:vAlign w:val="bottom"/>
            <w:gridSpan w:val="3"/>
            <w:shd w:val="clear" w:color="auto" w:fill="FDFDFC"/>
          </w:tcPr>
          <w:p>
            <w:pPr>
              <w:jc w:val="right"/>
              <w:spacing w:after="0"/>
              <w:rPr>
                <w:sz w:val="20"/>
                <w:szCs w:val="20"/>
                <w:color w:val="auto"/>
              </w:rPr>
            </w:pPr>
            <w:r>
              <w:rPr>
                <w:rFonts w:ascii="Times New Roman" w:cs="Times New Roman" w:eastAsia="Times New Roman" w:hAnsi="Times New Roman"/>
                <w:sz w:val="19"/>
                <w:szCs w:val="19"/>
                <w:color w:val="231F20"/>
              </w:rPr>
              <w:t>1.1 %</w:t>
            </w:r>
          </w:p>
        </w:tc>
        <w:tc>
          <w:tcPr>
            <w:tcW w:w="1180" w:type="dxa"/>
            <w:vAlign w:val="bottom"/>
            <w:gridSpan w:val="2"/>
            <w:shd w:val="clear" w:color="auto" w:fill="FDFDFC"/>
          </w:tcPr>
          <w:p>
            <w:pPr>
              <w:jc w:val="right"/>
              <w:spacing w:after="0"/>
              <w:rPr>
                <w:sz w:val="20"/>
                <w:szCs w:val="20"/>
                <w:color w:val="auto"/>
              </w:rPr>
            </w:pPr>
            <w:r>
              <w:rPr>
                <w:rFonts w:ascii="Times New Roman" w:cs="Times New Roman" w:eastAsia="Times New Roman" w:hAnsi="Times New Roman"/>
                <w:sz w:val="19"/>
                <w:szCs w:val="19"/>
                <w:color w:val="231F20"/>
              </w:rPr>
              <w:t>1.8 %</w:t>
            </w:r>
          </w:p>
        </w:tc>
      </w:tr>
      <w:tr>
        <w:trPr>
          <w:trHeight w:val="230"/>
        </w:trPr>
        <w:tc>
          <w:tcPr>
            <w:tcW w:w="4720" w:type="dxa"/>
            <w:vAlign w:val="bottom"/>
            <w:shd w:val="clear" w:color="auto" w:fill="D0EBF2"/>
          </w:tcPr>
          <w:p>
            <w:pPr>
              <w:spacing w:after="0"/>
              <w:rPr>
                <w:sz w:val="20"/>
                <w:szCs w:val="20"/>
                <w:color w:val="auto"/>
              </w:rPr>
            </w:pPr>
            <w:r>
              <w:rPr>
                <w:rFonts w:ascii="Times New Roman" w:cs="Times New Roman" w:eastAsia="Times New Roman" w:hAnsi="Times New Roman"/>
                <w:sz w:val="19"/>
                <w:szCs w:val="19"/>
                <w:color w:val="231F20"/>
              </w:rPr>
              <w:t>Canada</w:t>
            </w:r>
          </w:p>
        </w:tc>
        <w:tc>
          <w:tcPr>
            <w:tcW w:w="1340" w:type="dxa"/>
            <w:vAlign w:val="bottom"/>
            <w:gridSpan w:val="3"/>
            <w:shd w:val="clear" w:color="auto" w:fill="D0EBF2"/>
          </w:tcPr>
          <w:p>
            <w:pPr>
              <w:jc w:val="right"/>
              <w:spacing w:after="0"/>
              <w:rPr>
                <w:sz w:val="20"/>
                <w:szCs w:val="20"/>
                <w:color w:val="auto"/>
              </w:rPr>
            </w:pPr>
            <w:r>
              <w:rPr>
                <w:rFonts w:ascii="Times New Roman" w:cs="Times New Roman" w:eastAsia="Times New Roman" w:hAnsi="Times New Roman"/>
                <w:sz w:val="19"/>
                <w:szCs w:val="19"/>
                <w:color w:val="231F20"/>
              </w:rPr>
              <w:t>3.1 %</w:t>
            </w:r>
          </w:p>
        </w:tc>
        <w:tc>
          <w:tcPr>
            <w:tcW w:w="1180" w:type="dxa"/>
            <w:vAlign w:val="bottom"/>
            <w:gridSpan w:val="2"/>
            <w:shd w:val="clear" w:color="auto" w:fill="D0EBF2"/>
          </w:tcPr>
          <w:p>
            <w:pPr>
              <w:jc w:val="right"/>
              <w:spacing w:after="0"/>
              <w:rPr>
                <w:sz w:val="20"/>
                <w:szCs w:val="20"/>
                <w:color w:val="auto"/>
              </w:rPr>
            </w:pPr>
            <w:r>
              <w:rPr>
                <w:rFonts w:ascii="Times New Roman" w:cs="Times New Roman" w:eastAsia="Times New Roman" w:hAnsi="Times New Roman"/>
                <w:sz w:val="19"/>
                <w:szCs w:val="19"/>
                <w:color w:val="231F20"/>
              </w:rPr>
              <w:t>4.5 %</w:t>
            </w:r>
          </w:p>
        </w:tc>
      </w:tr>
      <w:tr>
        <w:trPr>
          <w:trHeight w:val="230"/>
        </w:trPr>
        <w:tc>
          <w:tcPr>
            <w:tcW w:w="4720" w:type="dxa"/>
            <w:vAlign w:val="bottom"/>
            <w:shd w:val="clear" w:color="auto" w:fill="FDFDFC"/>
          </w:tcPr>
          <w:p>
            <w:pPr>
              <w:spacing w:after="0" w:line="230" w:lineRule="exact"/>
              <w:rPr>
                <w:sz w:val="20"/>
                <w:szCs w:val="20"/>
                <w:color w:val="auto"/>
              </w:rPr>
            </w:pPr>
            <w:r>
              <w:rPr>
                <w:rFonts w:ascii="Times New Roman" w:cs="Times New Roman" w:eastAsia="Times New Roman" w:hAnsi="Times New Roman"/>
                <w:sz w:val="19"/>
                <w:szCs w:val="19"/>
                <w:color w:val="231F20"/>
              </w:rPr>
              <w:t xml:space="preserve">Finland </w:t>
            </w:r>
            <w:r>
              <w:rPr>
                <w:rFonts w:ascii="Times New Roman" w:cs="Times New Roman" w:eastAsia="Times New Roman" w:hAnsi="Times New Roman"/>
                <w:sz w:val="24"/>
                <w:szCs w:val="24"/>
                <w:color w:val="231F20"/>
                <w:vertAlign w:val="superscript"/>
              </w:rPr>
              <w:t>(1)</w:t>
            </w:r>
          </w:p>
        </w:tc>
        <w:tc>
          <w:tcPr>
            <w:tcW w:w="1340" w:type="dxa"/>
            <w:vAlign w:val="bottom"/>
            <w:gridSpan w:val="3"/>
            <w:shd w:val="clear" w:color="auto" w:fill="FDFDFC"/>
          </w:tcPr>
          <w:p>
            <w:pPr>
              <w:jc w:val="right"/>
              <w:spacing w:after="0"/>
              <w:rPr>
                <w:sz w:val="20"/>
                <w:szCs w:val="20"/>
                <w:color w:val="auto"/>
              </w:rPr>
            </w:pPr>
            <w:r>
              <w:rPr>
                <w:rFonts w:ascii="Times New Roman" w:cs="Times New Roman" w:eastAsia="Times New Roman" w:hAnsi="Times New Roman"/>
                <w:sz w:val="19"/>
                <w:szCs w:val="19"/>
                <w:color w:val="231F20"/>
              </w:rPr>
              <w:t>0.0 %</w:t>
            </w:r>
          </w:p>
        </w:tc>
        <w:tc>
          <w:tcPr>
            <w:tcW w:w="1180" w:type="dxa"/>
            <w:vAlign w:val="bottom"/>
            <w:gridSpan w:val="2"/>
            <w:shd w:val="clear" w:color="auto" w:fill="FDFDFC"/>
          </w:tcPr>
          <w:p>
            <w:pPr>
              <w:jc w:val="right"/>
              <w:spacing w:after="0"/>
              <w:rPr>
                <w:sz w:val="20"/>
                <w:szCs w:val="20"/>
                <w:color w:val="auto"/>
              </w:rPr>
            </w:pPr>
            <w:r>
              <w:rPr>
                <w:rFonts w:ascii="Times New Roman" w:cs="Times New Roman" w:eastAsia="Times New Roman" w:hAnsi="Times New Roman"/>
                <w:sz w:val="19"/>
                <w:szCs w:val="19"/>
                <w:color w:val="231F20"/>
              </w:rPr>
              <w:t>0.0 %</w:t>
            </w:r>
          </w:p>
        </w:tc>
      </w:tr>
      <w:tr>
        <w:trPr>
          <w:trHeight w:val="230"/>
        </w:trPr>
        <w:tc>
          <w:tcPr>
            <w:tcW w:w="4720" w:type="dxa"/>
            <w:vAlign w:val="bottom"/>
            <w:shd w:val="clear" w:color="auto" w:fill="D0EBF2"/>
          </w:tcPr>
          <w:p>
            <w:pPr>
              <w:spacing w:after="0"/>
              <w:rPr>
                <w:sz w:val="20"/>
                <w:szCs w:val="20"/>
                <w:color w:val="auto"/>
              </w:rPr>
            </w:pPr>
            <w:r>
              <w:rPr>
                <w:rFonts w:ascii="Times New Roman" w:cs="Times New Roman" w:eastAsia="Times New Roman" w:hAnsi="Times New Roman"/>
                <w:sz w:val="19"/>
                <w:szCs w:val="19"/>
                <w:color w:val="231F20"/>
              </w:rPr>
              <w:t>France</w:t>
            </w:r>
          </w:p>
        </w:tc>
        <w:tc>
          <w:tcPr>
            <w:tcW w:w="1340" w:type="dxa"/>
            <w:vAlign w:val="bottom"/>
            <w:gridSpan w:val="3"/>
            <w:shd w:val="clear" w:color="auto" w:fill="D0EBF2"/>
          </w:tcPr>
          <w:p>
            <w:pPr>
              <w:jc w:val="right"/>
              <w:spacing w:after="0"/>
              <w:rPr>
                <w:sz w:val="20"/>
                <w:szCs w:val="20"/>
                <w:color w:val="auto"/>
              </w:rPr>
            </w:pPr>
            <w:r>
              <w:rPr>
                <w:rFonts w:ascii="Times New Roman" w:cs="Times New Roman" w:eastAsia="Times New Roman" w:hAnsi="Times New Roman"/>
                <w:sz w:val="19"/>
                <w:szCs w:val="19"/>
                <w:color w:val="231F20"/>
              </w:rPr>
              <w:t>0.1 %</w:t>
            </w:r>
          </w:p>
        </w:tc>
        <w:tc>
          <w:tcPr>
            <w:tcW w:w="1180" w:type="dxa"/>
            <w:vAlign w:val="bottom"/>
            <w:gridSpan w:val="2"/>
            <w:shd w:val="clear" w:color="auto" w:fill="D0EBF2"/>
          </w:tcPr>
          <w:p>
            <w:pPr>
              <w:jc w:val="right"/>
              <w:ind w:right="106"/>
              <w:spacing w:after="0"/>
              <w:rPr>
                <w:sz w:val="20"/>
                <w:szCs w:val="20"/>
                <w:color w:val="auto"/>
              </w:rPr>
            </w:pPr>
            <w:r>
              <w:rPr>
                <w:rFonts w:ascii="Times New Roman" w:cs="Times New Roman" w:eastAsia="Times New Roman" w:hAnsi="Times New Roman"/>
                <w:sz w:val="19"/>
                <w:szCs w:val="19"/>
                <w:color w:val="231F20"/>
              </w:rPr>
              <w:t>—</w:t>
            </w:r>
          </w:p>
        </w:tc>
      </w:tr>
      <w:tr>
        <w:trPr>
          <w:trHeight w:val="230"/>
        </w:trPr>
        <w:tc>
          <w:tcPr>
            <w:tcW w:w="4720" w:type="dxa"/>
            <w:vAlign w:val="bottom"/>
            <w:shd w:val="clear" w:color="auto" w:fill="FDFDFC"/>
          </w:tcPr>
          <w:p>
            <w:pPr>
              <w:spacing w:after="0"/>
              <w:rPr>
                <w:sz w:val="20"/>
                <w:szCs w:val="20"/>
                <w:color w:val="auto"/>
              </w:rPr>
            </w:pPr>
            <w:r>
              <w:rPr>
                <w:rFonts w:ascii="Times New Roman" w:cs="Times New Roman" w:eastAsia="Times New Roman" w:hAnsi="Times New Roman"/>
                <w:sz w:val="19"/>
                <w:szCs w:val="19"/>
                <w:color w:val="231F20"/>
              </w:rPr>
              <w:t>Germany</w:t>
            </w:r>
          </w:p>
        </w:tc>
        <w:tc>
          <w:tcPr>
            <w:tcW w:w="1340" w:type="dxa"/>
            <w:vAlign w:val="bottom"/>
            <w:gridSpan w:val="3"/>
            <w:shd w:val="clear" w:color="auto" w:fill="FDFDFC"/>
          </w:tcPr>
          <w:p>
            <w:pPr>
              <w:jc w:val="right"/>
              <w:spacing w:after="0"/>
              <w:rPr>
                <w:sz w:val="20"/>
                <w:szCs w:val="20"/>
                <w:color w:val="auto"/>
              </w:rPr>
            </w:pPr>
            <w:r>
              <w:rPr>
                <w:rFonts w:ascii="Times New Roman" w:cs="Times New Roman" w:eastAsia="Times New Roman" w:hAnsi="Times New Roman"/>
                <w:sz w:val="19"/>
                <w:szCs w:val="19"/>
                <w:color w:val="231F20"/>
              </w:rPr>
              <w:t>1.7 %</w:t>
            </w:r>
          </w:p>
        </w:tc>
        <w:tc>
          <w:tcPr>
            <w:tcW w:w="1180" w:type="dxa"/>
            <w:vAlign w:val="bottom"/>
            <w:gridSpan w:val="2"/>
            <w:shd w:val="clear" w:color="auto" w:fill="FDFDFC"/>
          </w:tcPr>
          <w:p>
            <w:pPr>
              <w:jc w:val="right"/>
              <w:spacing w:after="0"/>
              <w:rPr>
                <w:sz w:val="20"/>
                <w:szCs w:val="20"/>
                <w:color w:val="auto"/>
              </w:rPr>
            </w:pPr>
            <w:r>
              <w:rPr>
                <w:rFonts w:ascii="Times New Roman" w:cs="Times New Roman" w:eastAsia="Times New Roman" w:hAnsi="Times New Roman"/>
                <w:sz w:val="19"/>
                <w:szCs w:val="19"/>
                <w:color w:val="231F20"/>
              </w:rPr>
              <w:t>0.3 %</w:t>
            </w:r>
          </w:p>
        </w:tc>
      </w:tr>
      <w:tr>
        <w:trPr>
          <w:trHeight w:val="230"/>
        </w:trPr>
        <w:tc>
          <w:tcPr>
            <w:tcW w:w="4720" w:type="dxa"/>
            <w:vAlign w:val="bottom"/>
            <w:shd w:val="clear" w:color="auto" w:fill="D0EBF2"/>
          </w:tcPr>
          <w:p>
            <w:pPr>
              <w:spacing w:after="0"/>
              <w:rPr>
                <w:sz w:val="20"/>
                <w:szCs w:val="20"/>
                <w:color w:val="auto"/>
              </w:rPr>
            </w:pPr>
            <w:r>
              <w:rPr>
                <w:rFonts w:ascii="Times New Roman" w:cs="Times New Roman" w:eastAsia="Times New Roman" w:hAnsi="Times New Roman"/>
                <w:sz w:val="19"/>
                <w:szCs w:val="19"/>
                <w:color w:val="231F20"/>
              </w:rPr>
              <w:t>Italy</w:t>
            </w:r>
          </w:p>
        </w:tc>
        <w:tc>
          <w:tcPr>
            <w:tcW w:w="1340" w:type="dxa"/>
            <w:vAlign w:val="bottom"/>
            <w:gridSpan w:val="3"/>
            <w:shd w:val="clear" w:color="auto" w:fill="D0EBF2"/>
          </w:tcPr>
          <w:p>
            <w:pPr>
              <w:jc w:val="right"/>
              <w:spacing w:after="0"/>
              <w:rPr>
                <w:sz w:val="20"/>
                <w:szCs w:val="20"/>
                <w:color w:val="auto"/>
              </w:rPr>
            </w:pPr>
            <w:r>
              <w:rPr>
                <w:rFonts w:ascii="Times New Roman" w:cs="Times New Roman" w:eastAsia="Times New Roman" w:hAnsi="Times New Roman"/>
                <w:sz w:val="19"/>
                <w:szCs w:val="19"/>
                <w:color w:val="231F20"/>
              </w:rPr>
              <w:t>0.6 %</w:t>
            </w:r>
          </w:p>
        </w:tc>
        <w:tc>
          <w:tcPr>
            <w:tcW w:w="1180" w:type="dxa"/>
            <w:vAlign w:val="bottom"/>
            <w:gridSpan w:val="2"/>
            <w:shd w:val="clear" w:color="auto" w:fill="D0EBF2"/>
          </w:tcPr>
          <w:p>
            <w:pPr>
              <w:jc w:val="right"/>
              <w:ind w:right="106"/>
              <w:spacing w:after="0"/>
              <w:rPr>
                <w:sz w:val="20"/>
                <w:szCs w:val="20"/>
                <w:color w:val="auto"/>
              </w:rPr>
            </w:pPr>
            <w:r>
              <w:rPr>
                <w:rFonts w:ascii="Times New Roman" w:cs="Times New Roman" w:eastAsia="Times New Roman" w:hAnsi="Times New Roman"/>
                <w:sz w:val="19"/>
                <w:szCs w:val="19"/>
                <w:color w:val="231F20"/>
              </w:rPr>
              <w:t>—</w:t>
            </w:r>
          </w:p>
        </w:tc>
      </w:tr>
      <w:tr>
        <w:trPr>
          <w:trHeight w:val="230"/>
        </w:trPr>
        <w:tc>
          <w:tcPr>
            <w:tcW w:w="4720" w:type="dxa"/>
            <w:vAlign w:val="bottom"/>
            <w:shd w:val="clear" w:color="auto" w:fill="FDFDFC"/>
          </w:tcPr>
          <w:p>
            <w:pPr>
              <w:spacing w:after="0"/>
              <w:rPr>
                <w:sz w:val="20"/>
                <w:szCs w:val="20"/>
                <w:color w:val="auto"/>
              </w:rPr>
            </w:pPr>
            <w:r>
              <w:rPr>
                <w:rFonts w:ascii="Times New Roman" w:cs="Times New Roman" w:eastAsia="Times New Roman" w:hAnsi="Times New Roman"/>
                <w:sz w:val="19"/>
                <w:szCs w:val="19"/>
                <w:color w:val="231F20"/>
              </w:rPr>
              <w:t>Luxembourg</w:t>
            </w:r>
          </w:p>
        </w:tc>
        <w:tc>
          <w:tcPr>
            <w:tcW w:w="80" w:type="dxa"/>
            <w:vAlign w:val="bottom"/>
            <w:shd w:val="clear" w:color="auto" w:fill="FDFDFC"/>
          </w:tcPr>
          <w:p>
            <w:pPr>
              <w:spacing w:after="0"/>
              <w:rPr>
                <w:sz w:val="20"/>
                <w:szCs w:val="20"/>
                <w:color w:val="auto"/>
              </w:rPr>
            </w:pPr>
          </w:p>
        </w:tc>
        <w:tc>
          <w:tcPr>
            <w:tcW w:w="1260" w:type="dxa"/>
            <w:vAlign w:val="bottom"/>
            <w:gridSpan w:val="2"/>
            <w:shd w:val="clear" w:color="auto" w:fill="FDFDFC"/>
          </w:tcPr>
          <w:p>
            <w:pPr>
              <w:jc w:val="right"/>
              <w:ind w:right="186"/>
              <w:spacing w:after="0"/>
              <w:rPr>
                <w:sz w:val="20"/>
                <w:szCs w:val="20"/>
                <w:color w:val="auto"/>
              </w:rPr>
            </w:pPr>
            <w:r>
              <w:rPr>
                <w:rFonts w:ascii="Times New Roman" w:cs="Times New Roman" w:eastAsia="Times New Roman" w:hAnsi="Times New Roman"/>
                <w:sz w:val="19"/>
                <w:szCs w:val="19"/>
                <w:color w:val="231F20"/>
              </w:rPr>
              <w:t>—</w:t>
            </w:r>
          </w:p>
        </w:tc>
        <w:tc>
          <w:tcPr>
            <w:tcW w:w="1180" w:type="dxa"/>
            <w:vAlign w:val="bottom"/>
            <w:gridSpan w:val="2"/>
            <w:shd w:val="clear" w:color="auto" w:fill="FDFDFC"/>
          </w:tcPr>
          <w:p>
            <w:pPr>
              <w:jc w:val="right"/>
              <w:spacing w:after="0"/>
              <w:rPr>
                <w:sz w:val="20"/>
                <w:szCs w:val="20"/>
                <w:color w:val="auto"/>
              </w:rPr>
            </w:pPr>
            <w:r>
              <w:rPr>
                <w:rFonts w:ascii="Times New Roman" w:cs="Times New Roman" w:eastAsia="Times New Roman" w:hAnsi="Times New Roman"/>
                <w:sz w:val="19"/>
                <w:szCs w:val="19"/>
                <w:color w:val="231F20"/>
              </w:rPr>
              <w:t>0.1 %</w:t>
            </w:r>
          </w:p>
        </w:tc>
      </w:tr>
      <w:tr>
        <w:trPr>
          <w:trHeight w:val="230"/>
        </w:trPr>
        <w:tc>
          <w:tcPr>
            <w:tcW w:w="4720" w:type="dxa"/>
            <w:vAlign w:val="bottom"/>
            <w:shd w:val="clear" w:color="auto" w:fill="D0EBF2"/>
          </w:tcPr>
          <w:p>
            <w:pPr>
              <w:spacing w:after="0"/>
              <w:rPr>
                <w:sz w:val="20"/>
                <w:szCs w:val="20"/>
                <w:color w:val="auto"/>
              </w:rPr>
            </w:pPr>
            <w:r>
              <w:rPr>
                <w:rFonts w:ascii="Times New Roman" w:cs="Times New Roman" w:eastAsia="Times New Roman" w:hAnsi="Times New Roman"/>
                <w:sz w:val="19"/>
                <w:szCs w:val="19"/>
                <w:color w:val="231F20"/>
              </w:rPr>
              <w:t>Netherlands</w:t>
            </w:r>
          </w:p>
        </w:tc>
        <w:tc>
          <w:tcPr>
            <w:tcW w:w="1340" w:type="dxa"/>
            <w:vAlign w:val="bottom"/>
            <w:gridSpan w:val="3"/>
            <w:shd w:val="clear" w:color="auto" w:fill="D0EBF2"/>
          </w:tcPr>
          <w:p>
            <w:pPr>
              <w:jc w:val="right"/>
              <w:spacing w:after="0"/>
              <w:rPr>
                <w:sz w:val="20"/>
                <w:szCs w:val="20"/>
                <w:color w:val="auto"/>
              </w:rPr>
            </w:pPr>
            <w:r>
              <w:rPr>
                <w:rFonts w:ascii="Times New Roman" w:cs="Times New Roman" w:eastAsia="Times New Roman" w:hAnsi="Times New Roman"/>
                <w:sz w:val="19"/>
                <w:szCs w:val="19"/>
                <w:color w:val="231F20"/>
              </w:rPr>
              <w:t>0.3 %</w:t>
            </w:r>
          </w:p>
        </w:tc>
        <w:tc>
          <w:tcPr>
            <w:tcW w:w="1180" w:type="dxa"/>
            <w:vAlign w:val="bottom"/>
            <w:gridSpan w:val="2"/>
            <w:shd w:val="clear" w:color="auto" w:fill="D0EBF2"/>
          </w:tcPr>
          <w:p>
            <w:pPr>
              <w:jc w:val="right"/>
              <w:spacing w:after="0"/>
              <w:rPr>
                <w:sz w:val="20"/>
                <w:szCs w:val="20"/>
                <w:color w:val="auto"/>
              </w:rPr>
            </w:pPr>
            <w:r>
              <w:rPr>
                <w:rFonts w:ascii="Times New Roman" w:cs="Times New Roman" w:eastAsia="Times New Roman" w:hAnsi="Times New Roman"/>
                <w:sz w:val="19"/>
                <w:szCs w:val="19"/>
                <w:color w:val="231F20"/>
              </w:rPr>
              <w:t>0.1 %</w:t>
            </w:r>
          </w:p>
        </w:tc>
      </w:tr>
      <w:tr>
        <w:trPr>
          <w:trHeight w:val="230"/>
        </w:trPr>
        <w:tc>
          <w:tcPr>
            <w:tcW w:w="4720" w:type="dxa"/>
            <w:vAlign w:val="bottom"/>
            <w:shd w:val="clear" w:color="auto" w:fill="FDFDFC"/>
          </w:tcPr>
          <w:p>
            <w:pPr>
              <w:spacing w:after="0"/>
              <w:rPr>
                <w:sz w:val="20"/>
                <w:szCs w:val="20"/>
                <w:color w:val="auto"/>
              </w:rPr>
            </w:pPr>
            <w:r>
              <w:rPr>
                <w:rFonts w:ascii="Times New Roman" w:cs="Times New Roman" w:eastAsia="Times New Roman" w:hAnsi="Times New Roman"/>
                <w:sz w:val="19"/>
                <w:szCs w:val="19"/>
                <w:color w:val="231F20"/>
              </w:rPr>
              <w:t>Norway</w:t>
            </w:r>
          </w:p>
        </w:tc>
        <w:tc>
          <w:tcPr>
            <w:tcW w:w="1340" w:type="dxa"/>
            <w:vAlign w:val="bottom"/>
            <w:gridSpan w:val="3"/>
            <w:shd w:val="clear" w:color="auto" w:fill="FDFDFC"/>
          </w:tcPr>
          <w:p>
            <w:pPr>
              <w:jc w:val="right"/>
              <w:spacing w:after="0"/>
              <w:rPr>
                <w:sz w:val="20"/>
                <w:szCs w:val="20"/>
                <w:color w:val="auto"/>
              </w:rPr>
            </w:pPr>
            <w:r>
              <w:rPr>
                <w:rFonts w:ascii="Times New Roman" w:cs="Times New Roman" w:eastAsia="Times New Roman" w:hAnsi="Times New Roman"/>
                <w:sz w:val="19"/>
                <w:szCs w:val="19"/>
                <w:color w:val="231F20"/>
              </w:rPr>
              <w:t>2.8 %</w:t>
            </w:r>
          </w:p>
        </w:tc>
        <w:tc>
          <w:tcPr>
            <w:tcW w:w="1180" w:type="dxa"/>
            <w:vAlign w:val="bottom"/>
            <w:gridSpan w:val="2"/>
            <w:shd w:val="clear" w:color="auto" w:fill="FDFDFC"/>
          </w:tcPr>
          <w:p>
            <w:pPr>
              <w:jc w:val="right"/>
              <w:spacing w:after="0"/>
              <w:rPr>
                <w:sz w:val="20"/>
                <w:szCs w:val="20"/>
                <w:color w:val="auto"/>
              </w:rPr>
            </w:pPr>
            <w:r>
              <w:rPr>
                <w:rFonts w:ascii="Times New Roman" w:cs="Times New Roman" w:eastAsia="Times New Roman" w:hAnsi="Times New Roman"/>
                <w:sz w:val="19"/>
                <w:szCs w:val="19"/>
                <w:color w:val="231F20"/>
              </w:rPr>
              <w:t>1.5 %</w:t>
            </w:r>
          </w:p>
        </w:tc>
      </w:tr>
      <w:tr>
        <w:trPr>
          <w:trHeight w:val="230"/>
        </w:trPr>
        <w:tc>
          <w:tcPr>
            <w:tcW w:w="4720" w:type="dxa"/>
            <w:vAlign w:val="bottom"/>
            <w:shd w:val="clear" w:color="auto" w:fill="D0EBF2"/>
          </w:tcPr>
          <w:p>
            <w:pPr>
              <w:spacing w:after="0"/>
              <w:rPr>
                <w:sz w:val="20"/>
                <w:szCs w:val="20"/>
                <w:color w:val="auto"/>
              </w:rPr>
            </w:pPr>
            <w:r>
              <w:rPr>
                <w:rFonts w:ascii="Times New Roman" w:cs="Times New Roman" w:eastAsia="Times New Roman" w:hAnsi="Times New Roman"/>
                <w:sz w:val="19"/>
                <w:szCs w:val="19"/>
                <w:color w:val="231F20"/>
              </w:rPr>
              <w:t>Sweden</w:t>
            </w:r>
          </w:p>
        </w:tc>
        <w:tc>
          <w:tcPr>
            <w:tcW w:w="1340" w:type="dxa"/>
            <w:vAlign w:val="bottom"/>
            <w:gridSpan w:val="3"/>
            <w:shd w:val="clear" w:color="auto" w:fill="D0EBF2"/>
          </w:tcPr>
          <w:p>
            <w:pPr>
              <w:jc w:val="right"/>
              <w:spacing w:after="0"/>
              <w:rPr>
                <w:sz w:val="20"/>
                <w:szCs w:val="20"/>
                <w:color w:val="auto"/>
              </w:rPr>
            </w:pPr>
            <w:r>
              <w:rPr>
                <w:rFonts w:ascii="Times New Roman" w:cs="Times New Roman" w:eastAsia="Times New Roman" w:hAnsi="Times New Roman"/>
                <w:sz w:val="19"/>
                <w:szCs w:val="19"/>
                <w:color w:val="231F20"/>
              </w:rPr>
              <w:t>0.3 %</w:t>
            </w:r>
          </w:p>
        </w:tc>
        <w:tc>
          <w:tcPr>
            <w:tcW w:w="1180" w:type="dxa"/>
            <w:vAlign w:val="bottom"/>
            <w:gridSpan w:val="2"/>
            <w:shd w:val="clear" w:color="auto" w:fill="D0EBF2"/>
          </w:tcPr>
          <w:p>
            <w:pPr>
              <w:jc w:val="right"/>
              <w:ind w:right="106"/>
              <w:spacing w:after="0"/>
              <w:rPr>
                <w:sz w:val="20"/>
                <w:szCs w:val="20"/>
                <w:color w:val="auto"/>
              </w:rPr>
            </w:pPr>
            <w:r>
              <w:rPr>
                <w:rFonts w:ascii="Times New Roman" w:cs="Times New Roman" w:eastAsia="Times New Roman" w:hAnsi="Times New Roman"/>
                <w:sz w:val="19"/>
                <w:szCs w:val="19"/>
                <w:color w:val="231F20"/>
              </w:rPr>
              <w:t>—</w:t>
            </w:r>
          </w:p>
        </w:tc>
      </w:tr>
      <w:tr>
        <w:trPr>
          <w:trHeight w:val="230"/>
        </w:trPr>
        <w:tc>
          <w:tcPr>
            <w:tcW w:w="4720" w:type="dxa"/>
            <w:vAlign w:val="bottom"/>
            <w:shd w:val="clear" w:color="auto" w:fill="FDFDFC"/>
          </w:tcPr>
          <w:p>
            <w:pPr>
              <w:spacing w:after="0"/>
              <w:rPr>
                <w:sz w:val="20"/>
                <w:szCs w:val="20"/>
                <w:color w:val="auto"/>
              </w:rPr>
            </w:pPr>
            <w:r>
              <w:rPr>
                <w:rFonts w:ascii="Times New Roman" w:cs="Times New Roman" w:eastAsia="Times New Roman" w:hAnsi="Times New Roman"/>
                <w:sz w:val="19"/>
                <w:szCs w:val="19"/>
                <w:color w:val="231F20"/>
              </w:rPr>
              <w:t>United Kingdom</w:t>
            </w:r>
          </w:p>
        </w:tc>
        <w:tc>
          <w:tcPr>
            <w:tcW w:w="1340" w:type="dxa"/>
            <w:vAlign w:val="bottom"/>
            <w:gridSpan w:val="3"/>
            <w:shd w:val="clear" w:color="auto" w:fill="FDFDFC"/>
          </w:tcPr>
          <w:p>
            <w:pPr>
              <w:jc w:val="right"/>
              <w:spacing w:after="0"/>
              <w:rPr>
                <w:sz w:val="20"/>
                <w:szCs w:val="20"/>
                <w:color w:val="auto"/>
              </w:rPr>
            </w:pPr>
            <w:r>
              <w:rPr>
                <w:rFonts w:ascii="Times New Roman" w:cs="Times New Roman" w:eastAsia="Times New Roman" w:hAnsi="Times New Roman"/>
                <w:sz w:val="19"/>
                <w:szCs w:val="19"/>
                <w:color w:val="231F20"/>
              </w:rPr>
              <w:t>4.6 %</w:t>
            </w:r>
          </w:p>
        </w:tc>
        <w:tc>
          <w:tcPr>
            <w:tcW w:w="1180" w:type="dxa"/>
            <w:vAlign w:val="bottom"/>
            <w:gridSpan w:val="2"/>
            <w:shd w:val="clear" w:color="auto" w:fill="FDFDFC"/>
          </w:tcPr>
          <w:p>
            <w:pPr>
              <w:jc w:val="right"/>
              <w:spacing w:after="0"/>
              <w:rPr>
                <w:sz w:val="20"/>
                <w:szCs w:val="20"/>
                <w:color w:val="auto"/>
              </w:rPr>
            </w:pPr>
            <w:r>
              <w:rPr>
                <w:rFonts w:ascii="Times New Roman" w:cs="Times New Roman" w:eastAsia="Times New Roman" w:hAnsi="Times New Roman"/>
                <w:sz w:val="19"/>
                <w:szCs w:val="19"/>
                <w:color w:val="231F20"/>
              </w:rPr>
              <w:t>2.9 %</w:t>
            </w:r>
          </w:p>
        </w:tc>
      </w:tr>
      <w:tr>
        <w:trPr>
          <w:trHeight w:val="220"/>
        </w:trPr>
        <w:tc>
          <w:tcPr>
            <w:tcW w:w="4720" w:type="dxa"/>
            <w:vAlign w:val="bottom"/>
            <w:tcBorders>
              <w:top w:val="single" w:sz="8" w:color="D0EBF2"/>
            </w:tcBorders>
            <w:shd w:val="clear" w:color="auto" w:fill="D0EBF2"/>
          </w:tcPr>
          <w:p>
            <w:pPr>
              <w:ind w:left="180"/>
              <w:spacing w:after="0"/>
              <w:rPr>
                <w:sz w:val="20"/>
                <w:szCs w:val="20"/>
                <w:color w:val="auto"/>
              </w:rPr>
            </w:pPr>
            <w:r>
              <w:rPr>
                <w:rFonts w:ascii="Times New Roman" w:cs="Times New Roman" w:eastAsia="Times New Roman" w:hAnsi="Times New Roman"/>
                <w:sz w:val="19"/>
                <w:szCs w:val="19"/>
                <w:b w:val="1"/>
                <w:bCs w:val="1"/>
                <w:color w:val="231F20"/>
              </w:rPr>
              <w:t>Total</w:t>
            </w:r>
          </w:p>
        </w:tc>
        <w:tc>
          <w:tcPr>
            <w:tcW w:w="80" w:type="dxa"/>
            <w:vAlign w:val="bottom"/>
            <w:tcBorders>
              <w:top w:val="single" w:sz="8" w:color="D0EBF2"/>
            </w:tcBorders>
            <w:shd w:val="clear" w:color="auto" w:fill="D0EBF2"/>
          </w:tcPr>
          <w:p>
            <w:pPr>
              <w:spacing w:after="0"/>
              <w:rPr>
                <w:sz w:val="19"/>
                <w:szCs w:val="19"/>
                <w:color w:val="auto"/>
              </w:rPr>
            </w:pPr>
          </w:p>
        </w:tc>
        <w:tc>
          <w:tcPr>
            <w:tcW w:w="1020" w:type="dxa"/>
            <w:vAlign w:val="bottom"/>
            <w:tcBorders>
              <w:top w:val="single" w:sz="8" w:color="231F20"/>
              <w:bottom w:val="single" w:sz="8" w:color="231F20"/>
            </w:tcBorders>
            <w:shd w:val="clear" w:color="auto" w:fill="D0EBF2"/>
          </w:tcPr>
          <w:p>
            <w:pPr>
              <w:jc w:val="right"/>
              <w:spacing w:after="0"/>
              <w:rPr>
                <w:sz w:val="20"/>
                <w:szCs w:val="20"/>
                <w:color w:val="auto"/>
              </w:rPr>
            </w:pPr>
            <w:r>
              <w:rPr>
                <w:rFonts w:ascii="Times New Roman" w:cs="Times New Roman" w:eastAsia="Times New Roman" w:hAnsi="Times New Roman"/>
                <w:sz w:val="19"/>
                <w:szCs w:val="19"/>
                <w:color w:val="231F20"/>
              </w:rPr>
              <w:t>100.0</w:t>
            </w:r>
          </w:p>
        </w:tc>
        <w:tc>
          <w:tcPr>
            <w:tcW w:w="240" w:type="dxa"/>
            <w:vAlign w:val="bottom"/>
            <w:tcBorders>
              <w:top w:val="single" w:sz="8" w:color="D0EBF2"/>
            </w:tcBorders>
            <w:shd w:val="clear" w:color="auto" w:fill="D0EBF2"/>
          </w:tcPr>
          <w:p>
            <w:pPr>
              <w:jc w:val="right"/>
              <w:spacing w:after="0"/>
              <w:rPr>
                <w:sz w:val="20"/>
                <w:szCs w:val="20"/>
                <w:color w:val="auto"/>
              </w:rPr>
            </w:pPr>
            <w:r>
              <w:rPr>
                <w:rFonts w:ascii="Times New Roman" w:cs="Times New Roman" w:eastAsia="Times New Roman" w:hAnsi="Times New Roman"/>
                <w:sz w:val="19"/>
                <w:szCs w:val="19"/>
                <w:color w:val="231F20"/>
                <w:w w:val="88"/>
              </w:rPr>
              <w:t>%</w:t>
            </w:r>
          </w:p>
        </w:tc>
        <w:tc>
          <w:tcPr>
            <w:tcW w:w="1020" w:type="dxa"/>
            <w:vAlign w:val="bottom"/>
            <w:tcBorders>
              <w:top w:val="single" w:sz="8" w:color="231F20"/>
              <w:bottom w:val="single" w:sz="8" w:color="231F20"/>
            </w:tcBorders>
            <w:shd w:val="clear" w:color="auto" w:fill="D0EBF2"/>
          </w:tcPr>
          <w:p>
            <w:pPr>
              <w:jc w:val="right"/>
              <w:spacing w:after="0"/>
              <w:rPr>
                <w:sz w:val="20"/>
                <w:szCs w:val="20"/>
                <w:color w:val="auto"/>
              </w:rPr>
            </w:pPr>
            <w:r>
              <w:rPr>
                <w:rFonts w:ascii="Times New Roman" w:cs="Times New Roman" w:eastAsia="Times New Roman" w:hAnsi="Times New Roman"/>
                <w:sz w:val="19"/>
                <w:szCs w:val="19"/>
                <w:color w:val="231F20"/>
              </w:rPr>
              <w:t>100.0</w:t>
            </w:r>
          </w:p>
        </w:tc>
        <w:tc>
          <w:tcPr>
            <w:tcW w:w="160" w:type="dxa"/>
            <w:vAlign w:val="bottom"/>
            <w:tcBorders>
              <w:top w:val="single" w:sz="8" w:color="D0EBF2"/>
            </w:tcBorders>
            <w:shd w:val="clear" w:color="auto" w:fill="D0EBF2"/>
          </w:tcPr>
          <w:p>
            <w:pPr>
              <w:jc w:val="right"/>
              <w:spacing w:after="0"/>
              <w:rPr>
                <w:sz w:val="20"/>
                <w:szCs w:val="20"/>
                <w:color w:val="auto"/>
              </w:rPr>
            </w:pPr>
            <w:r>
              <w:rPr>
                <w:rFonts w:ascii="Times New Roman" w:cs="Times New Roman" w:eastAsia="Times New Roman" w:hAnsi="Times New Roman"/>
                <w:sz w:val="19"/>
                <w:szCs w:val="19"/>
                <w:color w:val="231F20"/>
                <w:w w:val="75"/>
                <w:shd w:val="clear" w:color="auto" w:fill="D0EBF2"/>
              </w:rPr>
              <w:t>%</w:t>
            </w:r>
          </w:p>
        </w:tc>
      </w:tr>
      <w:tr>
        <w:trPr>
          <w:trHeight w:val="20"/>
        </w:trPr>
        <w:tc>
          <w:tcPr>
            <w:tcW w:w="4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tcBorders>
              <w:bottom w:val="single" w:sz="8" w:color="231F20"/>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20" w:type="dxa"/>
            <w:vAlign w:val="bottom"/>
            <w:tcBorders>
              <w:bottom w:val="single" w:sz="8" w:color="231F20"/>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93" w:lineRule="exact"/>
        <w:rPr>
          <w:sz w:val="20"/>
          <w:szCs w:val="20"/>
          <w:color w:val="auto"/>
        </w:rPr>
      </w:pPr>
    </w:p>
    <w:p>
      <w:pPr>
        <w:ind w:left="920" w:hanging="458"/>
        <w:spacing w:after="0"/>
        <w:tabs>
          <w:tab w:leader="none" w:pos="920" w:val="left"/>
        </w:tabs>
        <w:numPr>
          <w:ilvl w:val="1"/>
          <w:numId w:val="89"/>
        </w:numPr>
        <w:rPr>
          <w:rFonts w:ascii="Times New Roman" w:cs="Times New Roman" w:eastAsia="Times New Roman" w:hAnsi="Times New Roman"/>
          <w:sz w:val="19"/>
          <w:szCs w:val="19"/>
          <w:color w:val="231F20"/>
        </w:rPr>
      </w:pPr>
      <w:r>
        <w:rPr>
          <w:rFonts w:ascii="Times New Roman" w:cs="Times New Roman" w:eastAsia="Times New Roman" w:hAnsi="Times New Roman"/>
          <w:sz w:val="19"/>
          <w:szCs w:val="19"/>
          <w:color w:val="231F20"/>
        </w:rPr>
        <w:t>Value sums to less than 0.1%</w:t>
      </w:r>
    </w:p>
    <w:p>
      <w:pPr>
        <w:spacing w:after="0" w:line="336" w:lineRule="exact"/>
        <w:rPr>
          <w:rFonts w:ascii="Times New Roman" w:cs="Times New Roman" w:eastAsia="Times New Roman" w:hAnsi="Times New Roman"/>
          <w:sz w:val="19"/>
          <w:szCs w:val="19"/>
          <w:color w:val="231F20"/>
        </w:rPr>
      </w:pPr>
    </w:p>
    <w:p>
      <w:pPr>
        <w:ind w:left="180" w:hanging="180"/>
        <w:spacing w:after="0"/>
        <w:tabs>
          <w:tab w:leader="none" w:pos="180" w:val="left"/>
        </w:tabs>
        <w:numPr>
          <w:ilvl w:val="0"/>
          <w:numId w:val="90"/>
        </w:numPr>
        <w:rPr>
          <w:rFonts w:ascii="Times New Roman" w:cs="Times New Roman" w:eastAsia="Times New Roman" w:hAnsi="Times New Roman"/>
          <w:sz w:val="19"/>
          <w:szCs w:val="19"/>
          <w:b w:val="1"/>
          <w:bCs w:val="1"/>
          <w:color w:val="231F20"/>
        </w:rPr>
      </w:pPr>
      <w:r>
        <w:rPr>
          <w:rFonts w:ascii="Times New Roman" w:cs="Times New Roman" w:eastAsia="Times New Roman" w:hAnsi="Times New Roman"/>
          <w:sz w:val="19"/>
          <w:szCs w:val="19"/>
          <w:b w:val="1"/>
          <w:bCs w:val="1"/>
          <w:color w:val="231F20"/>
        </w:rPr>
        <w:t>Derivatives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231F20"/>
        </w:rPr>
        <w:t>Interest Rate Swaps</w:t>
      </w:r>
    </w:p>
    <w:p>
      <w:pPr>
        <w:spacing w:after="0" w:line="221" w:lineRule="exact"/>
        <w:rPr>
          <w:sz w:val="20"/>
          <w:szCs w:val="20"/>
          <w:color w:val="auto"/>
        </w:rPr>
      </w:pPr>
    </w:p>
    <w:p>
      <w:pPr>
        <w:ind w:right="180" w:firstLine="231"/>
        <w:spacing w:after="0" w:line="250" w:lineRule="auto"/>
        <w:rPr>
          <w:sz w:val="20"/>
          <w:szCs w:val="20"/>
          <w:color w:val="auto"/>
        </w:rPr>
      </w:pPr>
      <w:r>
        <w:rPr>
          <w:rFonts w:ascii="Times New Roman" w:cs="Times New Roman" w:eastAsia="Times New Roman" w:hAnsi="Times New Roman"/>
          <w:sz w:val="19"/>
          <w:szCs w:val="19"/>
          <w:color w:val="231F20"/>
        </w:rPr>
        <w:t>The Company enters into interest rate swap transactions from time to time to hedge fixed rate debt obligations and certain fixed rate debt investments. The Company’s interest rate swaps are all with one counterparty and are centrally cleared through a registered commodities exchange. Refer to the Consolidated Schedule of Investments for additional disclosure regarding these interest rate swaps.</w:t>
      </w:r>
    </w:p>
    <w:p>
      <w:pPr>
        <w:spacing w:after="0" w:line="185" w:lineRule="exact"/>
        <w:rPr>
          <w:sz w:val="20"/>
          <w:szCs w:val="20"/>
          <w:color w:val="auto"/>
        </w:rPr>
      </w:pPr>
    </w:p>
    <w:p>
      <w:pPr>
        <w:ind w:right="260" w:firstLine="231"/>
        <w:spacing w:after="0" w:line="257" w:lineRule="auto"/>
        <w:rPr>
          <w:sz w:val="20"/>
          <w:szCs w:val="20"/>
          <w:color w:val="auto"/>
        </w:rPr>
      </w:pPr>
      <w:r>
        <w:rPr>
          <w:rFonts w:ascii="Times New Roman" w:cs="Times New Roman" w:eastAsia="Times New Roman" w:hAnsi="Times New Roman"/>
          <w:sz w:val="19"/>
          <w:szCs w:val="19"/>
          <w:color w:val="231F20"/>
        </w:rPr>
        <w:t>Cash flows related to the Company's derivatives are included within operating activities on the Consolidated Statements of Cash Flows. The following tables present the amounts paid and received on the Company’s interest rate swap transactions for the year ended December 31, 2024 and December 31, 2023:</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640" w:type="dxa"/>
            <w:vAlign w:val="bottom"/>
            <w:tcBorders>
              <w:bottom w:val="single" w:sz="8" w:color="FDFDFC"/>
            </w:tcBorders>
            <w:shd w:val="clear" w:color="auto" w:fill="FDFDFC"/>
          </w:tcPr>
          <w:p>
            <w:pPr>
              <w:spacing w:after="0"/>
              <w:rPr>
                <w:sz w:val="16"/>
                <w:szCs w:val="16"/>
                <w:color w:val="auto"/>
              </w:rPr>
            </w:pPr>
          </w:p>
        </w:tc>
        <w:tc>
          <w:tcPr>
            <w:tcW w:w="1300" w:type="dxa"/>
            <w:vAlign w:val="bottom"/>
            <w:tcBorders>
              <w:bottom w:val="single" w:sz="8" w:color="FDFDFC"/>
            </w:tcBorders>
            <w:vMerge w:val="restart"/>
            <w:shd w:val="clear" w:color="auto" w:fill="FDFDFC"/>
          </w:tcPr>
          <w:p>
            <w:pPr>
              <w:jc w:val="right"/>
              <w:ind w:right="108"/>
              <w:spacing w:after="0"/>
              <w:rPr>
                <w:sz w:val="20"/>
                <w:szCs w:val="20"/>
                <w:color w:val="auto"/>
              </w:rPr>
            </w:pPr>
            <w:r>
              <w:rPr>
                <w:rFonts w:ascii="Times New Roman" w:cs="Times New Roman" w:eastAsia="Times New Roman" w:hAnsi="Times New Roman"/>
                <w:sz w:val="15"/>
                <w:szCs w:val="15"/>
                <w:b w:val="1"/>
                <w:bCs w:val="1"/>
                <w:color w:val="231F20"/>
              </w:rPr>
              <w:t>Maturity Date</w:t>
            </w:r>
          </w:p>
        </w:tc>
        <w:tc>
          <w:tcPr>
            <w:tcW w:w="160" w:type="dxa"/>
            <w:vAlign w:val="bottom"/>
            <w:tcBorders>
              <w:bottom w:val="single" w:sz="8" w:color="FDFDFC"/>
            </w:tcBorders>
            <w:shd w:val="clear" w:color="auto" w:fill="FDFDFC"/>
          </w:tcPr>
          <w:p>
            <w:pPr>
              <w:spacing w:after="0"/>
              <w:rPr>
                <w:sz w:val="16"/>
                <w:szCs w:val="16"/>
                <w:color w:val="auto"/>
              </w:rPr>
            </w:pPr>
          </w:p>
        </w:tc>
        <w:tc>
          <w:tcPr>
            <w:tcW w:w="120" w:type="dxa"/>
            <w:vAlign w:val="bottom"/>
            <w:tcBorders>
              <w:bottom w:val="single" w:sz="8" w:color="FDFDFC"/>
            </w:tcBorders>
            <w:shd w:val="clear" w:color="auto" w:fill="FDFDFC"/>
          </w:tcPr>
          <w:p>
            <w:pPr>
              <w:spacing w:after="0"/>
              <w:rPr>
                <w:sz w:val="16"/>
                <w:szCs w:val="16"/>
                <w:color w:val="auto"/>
              </w:rPr>
            </w:pPr>
          </w:p>
        </w:tc>
        <w:tc>
          <w:tcPr>
            <w:tcW w:w="1320" w:type="dxa"/>
            <w:vAlign w:val="bottom"/>
            <w:tcBorders>
              <w:bottom w:val="single" w:sz="8" w:color="FDFDFC"/>
            </w:tcBorders>
            <w:vMerge w:val="restart"/>
            <w:shd w:val="clear" w:color="auto" w:fill="FDFDFC"/>
          </w:tcPr>
          <w:p>
            <w:pPr>
              <w:jc w:val="right"/>
              <w:ind w:right="68"/>
              <w:spacing w:after="0"/>
              <w:rPr>
                <w:sz w:val="20"/>
                <w:szCs w:val="20"/>
                <w:color w:val="auto"/>
              </w:rPr>
            </w:pPr>
            <w:r>
              <w:rPr>
                <w:rFonts w:ascii="Times New Roman" w:cs="Times New Roman" w:eastAsia="Times New Roman" w:hAnsi="Times New Roman"/>
                <w:sz w:val="15"/>
                <w:szCs w:val="15"/>
                <w:b w:val="1"/>
                <w:bCs w:val="1"/>
                <w:color w:val="231F20"/>
              </w:rPr>
              <w:t>Notional Amount</w:t>
            </w:r>
          </w:p>
        </w:tc>
        <w:tc>
          <w:tcPr>
            <w:tcW w:w="100" w:type="dxa"/>
            <w:vAlign w:val="bottom"/>
            <w:tcBorders>
              <w:bottom w:val="single" w:sz="8" w:color="FDFDFC"/>
            </w:tcBorders>
            <w:shd w:val="clear" w:color="auto" w:fill="FDFDFC"/>
          </w:tcPr>
          <w:p>
            <w:pPr>
              <w:spacing w:after="0"/>
              <w:rPr>
                <w:sz w:val="16"/>
                <w:szCs w:val="16"/>
                <w:color w:val="auto"/>
              </w:rPr>
            </w:pPr>
          </w:p>
        </w:tc>
        <w:tc>
          <w:tcPr>
            <w:tcW w:w="140" w:type="dxa"/>
            <w:vAlign w:val="bottom"/>
            <w:tcBorders>
              <w:bottom w:val="single" w:sz="8" w:color="FDFDFC"/>
            </w:tcBorders>
            <w:shd w:val="clear" w:color="auto" w:fill="FDFDFC"/>
          </w:tcPr>
          <w:p>
            <w:pPr>
              <w:spacing w:after="0"/>
              <w:rPr>
                <w:sz w:val="16"/>
                <w:szCs w:val="16"/>
                <w:color w:val="auto"/>
              </w:rPr>
            </w:pPr>
          </w:p>
        </w:tc>
        <w:tc>
          <w:tcPr>
            <w:tcW w:w="300" w:type="dxa"/>
            <w:vAlign w:val="bottom"/>
            <w:tcBorders>
              <w:bottom w:val="single" w:sz="8" w:color="231F20"/>
            </w:tcBorders>
            <w:shd w:val="clear" w:color="auto" w:fill="FDFDFC"/>
          </w:tcPr>
          <w:p>
            <w:pPr>
              <w:spacing w:after="0"/>
              <w:rPr>
                <w:sz w:val="16"/>
                <w:szCs w:val="16"/>
                <w:color w:val="auto"/>
              </w:rPr>
            </w:pPr>
          </w:p>
        </w:tc>
        <w:tc>
          <w:tcPr>
            <w:tcW w:w="3200" w:type="dxa"/>
            <w:vAlign w:val="bottom"/>
            <w:tcBorders>
              <w:bottom w:val="single" w:sz="8" w:color="231F20"/>
            </w:tcBorders>
            <w:gridSpan w:val="8"/>
            <w:shd w:val="clear" w:color="auto" w:fill="FDFDFC"/>
          </w:tcPr>
          <w:p>
            <w:pPr>
              <w:jc w:val="right"/>
              <w:spacing w:after="0"/>
              <w:rPr>
                <w:sz w:val="20"/>
                <w:szCs w:val="20"/>
                <w:color w:val="auto"/>
              </w:rPr>
            </w:pPr>
            <w:r>
              <w:rPr>
                <w:rFonts w:ascii="Times New Roman" w:cs="Times New Roman" w:eastAsia="Times New Roman" w:hAnsi="Times New Roman"/>
                <w:sz w:val="15"/>
                <w:szCs w:val="15"/>
                <w:b w:val="1"/>
                <w:bCs w:val="1"/>
                <w:color w:val="231F20"/>
              </w:rPr>
              <w:t>For the Year Ended December 31, 2024</w:t>
            </w:r>
          </w:p>
        </w:tc>
        <w:tc>
          <w:tcPr>
            <w:tcW w:w="820" w:type="dxa"/>
            <w:vAlign w:val="bottom"/>
            <w:tcBorders>
              <w:bottom w:val="single" w:sz="8" w:color="231F20"/>
            </w:tcBorders>
            <w:shd w:val="clear" w:color="auto" w:fill="FDFDFC"/>
          </w:tcPr>
          <w:p>
            <w:pPr>
              <w:spacing w:after="0"/>
              <w:rPr>
                <w:sz w:val="16"/>
                <w:szCs w:val="16"/>
                <w:color w:val="auto"/>
              </w:rPr>
            </w:pPr>
          </w:p>
        </w:tc>
        <w:tc>
          <w:tcPr>
            <w:tcW w:w="100" w:type="dxa"/>
            <w:vAlign w:val="bottom"/>
            <w:tcBorders>
              <w:bottom w:val="single" w:sz="8" w:color="FDFDFC"/>
            </w:tcBorders>
            <w:shd w:val="clear" w:color="auto" w:fill="FDFDFC"/>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2640" w:type="dxa"/>
            <w:vAlign w:val="bottom"/>
            <w:tcBorders>
              <w:bottom w:val="single" w:sz="8" w:color="D0EBF2"/>
            </w:tcBorders>
            <w:shd w:val="clear" w:color="auto" w:fill="FDFDFC"/>
          </w:tcPr>
          <w:p>
            <w:pPr>
              <w:spacing w:after="0"/>
              <w:rPr>
                <w:sz w:val="16"/>
                <w:szCs w:val="16"/>
                <w:color w:val="auto"/>
              </w:rPr>
            </w:pPr>
          </w:p>
        </w:tc>
        <w:tc>
          <w:tcPr>
            <w:tcW w:w="1300" w:type="dxa"/>
            <w:vAlign w:val="bottom"/>
            <w:tcBorders>
              <w:bottom w:val="single" w:sz="8" w:color="231F20"/>
            </w:tcBorders>
            <w:vMerge w:val="continue"/>
            <w:shd w:val="clear" w:color="auto" w:fill="FDFDFC"/>
          </w:tcPr>
          <w:p>
            <w:pPr>
              <w:spacing w:after="0"/>
              <w:rPr>
                <w:sz w:val="16"/>
                <w:szCs w:val="16"/>
                <w:color w:val="auto"/>
              </w:rPr>
            </w:pPr>
          </w:p>
        </w:tc>
        <w:tc>
          <w:tcPr>
            <w:tcW w:w="160" w:type="dxa"/>
            <w:vAlign w:val="bottom"/>
            <w:tcBorders>
              <w:bottom w:val="single" w:sz="8" w:color="D0EBF2"/>
            </w:tcBorders>
            <w:shd w:val="clear" w:color="auto" w:fill="FDFDFC"/>
          </w:tcPr>
          <w:p>
            <w:pPr>
              <w:spacing w:after="0"/>
              <w:rPr>
                <w:sz w:val="16"/>
                <w:szCs w:val="16"/>
                <w:color w:val="auto"/>
              </w:rPr>
            </w:pPr>
          </w:p>
        </w:tc>
        <w:tc>
          <w:tcPr>
            <w:tcW w:w="120" w:type="dxa"/>
            <w:vAlign w:val="bottom"/>
            <w:tcBorders>
              <w:bottom w:val="single" w:sz="8" w:color="231F20"/>
            </w:tcBorders>
            <w:shd w:val="clear" w:color="auto" w:fill="FDFDFC"/>
          </w:tcPr>
          <w:p>
            <w:pPr>
              <w:spacing w:after="0"/>
              <w:rPr>
                <w:sz w:val="16"/>
                <w:szCs w:val="16"/>
                <w:color w:val="auto"/>
              </w:rPr>
            </w:pPr>
          </w:p>
        </w:tc>
        <w:tc>
          <w:tcPr>
            <w:tcW w:w="1320" w:type="dxa"/>
            <w:vAlign w:val="bottom"/>
            <w:tcBorders>
              <w:bottom w:val="single" w:sz="8" w:color="231F20"/>
            </w:tcBorders>
            <w:vMerge w:val="continue"/>
            <w:shd w:val="clear" w:color="auto" w:fill="FDFDFC"/>
          </w:tcPr>
          <w:p>
            <w:pPr>
              <w:spacing w:after="0"/>
              <w:rPr>
                <w:sz w:val="16"/>
                <w:szCs w:val="16"/>
                <w:color w:val="auto"/>
              </w:rPr>
            </w:pPr>
          </w:p>
        </w:tc>
        <w:tc>
          <w:tcPr>
            <w:tcW w:w="100" w:type="dxa"/>
            <w:vAlign w:val="bottom"/>
            <w:tcBorders>
              <w:bottom w:val="single" w:sz="8" w:color="D0EBF2"/>
            </w:tcBorders>
            <w:shd w:val="clear" w:color="auto" w:fill="FDFDFC"/>
          </w:tcPr>
          <w:p>
            <w:pPr>
              <w:spacing w:after="0"/>
              <w:rPr>
                <w:sz w:val="16"/>
                <w:szCs w:val="16"/>
                <w:color w:val="auto"/>
              </w:rPr>
            </w:pPr>
          </w:p>
        </w:tc>
        <w:tc>
          <w:tcPr>
            <w:tcW w:w="140" w:type="dxa"/>
            <w:vAlign w:val="bottom"/>
            <w:tcBorders>
              <w:bottom w:val="single" w:sz="8" w:color="231F20"/>
            </w:tcBorders>
            <w:shd w:val="clear" w:color="auto" w:fill="FDFDFC"/>
          </w:tcPr>
          <w:p>
            <w:pPr>
              <w:spacing w:after="0"/>
              <w:rPr>
                <w:sz w:val="16"/>
                <w:szCs w:val="16"/>
                <w:color w:val="auto"/>
              </w:rPr>
            </w:pPr>
          </w:p>
        </w:tc>
        <w:tc>
          <w:tcPr>
            <w:tcW w:w="300" w:type="dxa"/>
            <w:vAlign w:val="bottom"/>
            <w:tcBorders>
              <w:bottom w:val="single" w:sz="8" w:color="231F20"/>
            </w:tcBorders>
            <w:shd w:val="clear" w:color="auto" w:fill="FDFDFC"/>
          </w:tcPr>
          <w:p>
            <w:pPr>
              <w:spacing w:after="0"/>
              <w:rPr>
                <w:sz w:val="16"/>
                <w:szCs w:val="16"/>
                <w:color w:val="auto"/>
              </w:rPr>
            </w:pPr>
          </w:p>
        </w:tc>
        <w:tc>
          <w:tcPr>
            <w:tcW w:w="980" w:type="dxa"/>
            <w:vAlign w:val="bottom"/>
            <w:tcBorders>
              <w:bottom w:val="single" w:sz="8" w:color="231F20"/>
            </w:tcBorders>
            <w:shd w:val="clear" w:color="auto" w:fill="FDFDFC"/>
          </w:tcPr>
          <w:p>
            <w:pPr>
              <w:jc w:val="right"/>
              <w:ind w:right="410"/>
              <w:spacing w:after="0"/>
              <w:rPr>
                <w:sz w:val="20"/>
                <w:szCs w:val="20"/>
                <w:color w:val="auto"/>
              </w:rPr>
            </w:pPr>
            <w:r>
              <w:rPr>
                <w:rFonts w:ascii="Times New Roman" w:cs="Times New Roman" w:eastAsia="Times New Roman" w:hAnsi="Times New Roman"/>
                <w:sz w:val="15"/>
                <w:szCs w:val="15"/>
                <w:b w:val="1"/>
                <w:bCs w:val="1"/>
                <w:color w:val="231F20"/>
              </w:rPr>
              <w:t>Paid</w:t>
            </w:r>
          </w:p>
        </w:tc>
        <w:tc>
          <w:tcPr>
            <w:tcW w:w="100" w:type="dxa"/>
            <w:vAlign w:val="bottom"/>
            <w:tcBorders>
              <w:bottom w:val="single" w:sz="8" w:color="D0EBF2"/>
            </w:tcBorders>
            <w:shd w:val="clear" w:color="auto" w:fill="FDFDFC"/>
          </w:tcPr>
          <w:p>
            <w:pPr>
              <w:spacing w:after="0"/>
              <w:rPr>
                <w:sz w:val="16"/>
                <w:szCs w:val="16"/>
                <w:color w:val="auto"/>
              </w:rPr>
            </w:pPr>
          </w:p>
        </w:tc>
        <w:tc>
          <w:tcPr>
            <w:tcW w:w="160" w:type="dxa"/>
            <w:vAlign w:val="bottom"/>
            <w:tcBorders>
              <w:bottom w:val="single" w:sz="8" w:color="231F20"/>
            </w:tcBorders>
            <w:shd w:val="clear" w:color="auto" w:fill="FDFDFC"/>
          </w:tcPr>
          <w:p>
            <w:pPr>
              <w:spacing w:after="0"/>
              <w:rPr>
                <w:sz w:val="16"/>
                <w:szCs w:val="16"/>
                <w:color w:val="auto"/>
              </w:rPr>
            </w:pPr>
          </w:p>
        </w:tc>
        <w:tc>
          <w:tcPr>
            <w:tcW w:w="220" w:type="dxa"/>
            <w:vAlign w:val="bottom"/>
            <w:tcBorders>
              <w:bottom w:val="single" w:sz="8" w:color="231F20"/>
            </w:tcBorders>
            <w:shd w:val="clear" w:color="auto" w:fill="FDFDFC"/>
          </w:tcPr>
          <w:p>
            <w:pPr>
              <w:spacing w:after="0"/>
              <w:rPr>
                <w:sz w:val="16"/>
                <w:szCs w:val="16"/>
                <w:color w:val="auto"/>
              </w:rPr>
            </w:pPr>
          </w:p>
        </w:tc>
        <w:tc>
          <w:tcPr>
            <w:tcW w:w="1040" w:type="dxa"/>
            <w:vAlign w:val="bottom"/>
            <w:tcBorders>
              <w:bottom w:val="single" w:sz="8" w:color="231F20"/>
            </w:tcBorders>
            <w:shd w:val="clear" w:color="auto" w:fill="FDFDFC"/>
          </w:tcPr>
          <w:p>
            <w:pPr>
              <w:jc w:val="right"/>
              <w:ind w:right="249"/>
              <w:spacing w:after="0"/>
              <w:rPr>
                <w:sz w:val="20"/>
                <w:szCs w:val="20"/>
                <w:color w:val="auto"/>
              </w:rPr>
            </w:pPr>
            <w:r>
              <w:rPr>
                <w:rFonts w:ascii="Times New Roman" w:cs="Times New Roman" w:eastAsia="Times New Roman" w:hAnsi="Times New Roman"/>
                <w:sz w:val="15"/>
                <w:szCs w:val="15"/>
                <w:b w:val="1"/>
                <w:bCs w:val="1"/>
                <w:color w:val="231F20"/>
              </w:rPr>
              <w:t>Received</w:t>
            </w:r>
          </w:p>
        </w:tc>
        <w:tc>
          <w:tcPr>
            <w:tcW w:w="100" w:type="dxa"/>
            <w:vAlign w:val="bottom"/>
            <w:tcBorders>
              <w:bottom w:val="single" w:sz="8" w:color="D0EBF2"/>
            </w:tcBorders>
            <w:shd w:val="clear" w:color="auto" w:fill="FDFDFC"/>
          </w:tcPr>
          <w:p>
            <w:pPr>
              <w:spacing w:after="0"/>
              <w:rPr>
                <w:sz w:val="16"/>
                <w:szCs w:val="16"/>
                <w:color w:val="auto"/>
              </w:rPr>
            </w:pPr>
          </w:p>
        </w:tc>
        <w:tc>
          <w:tcPr>
            <w:tcW w:w="160" w:type="dxa"/>
            <w:vAlign w:val="bottom"/>
            <w:tcBorders>
              <w:bottom w:val="single" w:sz="8" w:color="231F20"/>
            </w:tcBorders>
            <w:shd w:val="clear" w:color="auto" w:fill="FDFDFC"/>
          </w:tcPr>
          <w:p>
            <w:pPr>
              <w:spacing w:after="0"/>
              <w:rPr>
                <w:sz w:val="16"/>
                <w:szCs w:val="16"/>
                <w:color w:val="auto"/>
              </w:rPr>
            </w:pPr>
          </w:p>
        </w:tc>
        <w:tc>
          <w:tcPr>
            <w:tcW w:w="440" w:type="dxa"/>
            <w:vAlign w:val="bottom"/>
            <w:tcBorders>
              <w:bottom w:val="single" w:sz="8" w:color="231F20"/>
            </w:tcBorders>
            <w:shd w:val="clear" w:color="auto" w:fill="FDFDFC"/>
          </w:tcPr>
          <w:p>
            <w:pPr>
              <w:spacing w:after="0"/>
              <w:rPr>
                <w:sz w:val="16"/>
                <w:szCs w:val="16"/>
                <w:color w:val="auto"/>
              </w:rPr>
            </w:pPr>
          </w:p>
        </w:tc>
        <w:tc>
          <w:tcPr>
            <w:tcW w:w="820" w:type="dxa"/>
            <w:vAlign w:val="bottom"/>
            <w:tcBorders>
              <w:bottom w:val="single" w:sz="8" w:color="231F20"/>
            </w:tcBorders>
            <w:shd w:val="clear" w:color="auto" w:fill="FDFDFC"/>
          </w:tcPr>
          <w:p>
            <w:pPr>
              <w:jc w:val="right"/>
              <w:ind w:right="429"/>
              <w:spacing w:after="0"/>
              <w:rPr>
                <w:sz w:val="20"/>
                <w:szCs w:val="20"/>
                <w:color w:val="auto"/>
              </w:rPr>
            </w:pPr>
            <w:r>
              <w:rPr>
                <w:rFonts w:ascii="Times New Roman" w:cs="Times New Roman" w:eastAsia="Times New Roman" w:hAnsi="Times New Roman"/>
                <w:sz w:val="15"/>
                <w:szCs w:val="15"/>
                <w:b w:val="1"/>
                <w:bCs w:val="1"/>
                <w:color w:val="231F20"/>
              </w:rPr>
              <w:t>Net</w:t>
            </w:r>
          </w:p>
        </w:tc>
        <w:tc>
          <w:tcPr>
            <w:tcW w:w="100" w:type="dxa"/>
            <w:vAlign w:val="bottom"/>
            <w:tcBorders>
              <w:bottom w:val="single" w:sz="8" w:color="D0EBF2"/>
            </w:tcBorders>
            <w:shd w:val="clear" w:color="auto" w:fill="FDFDFC"/>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2640" w:type="dxa"/>
            <w:vAlign w:val="bottom"/>
            <w:shd w:val="clear" w:color="auto" w:fill="D0EBF2"/>
          </w:tcPr>
          <w:p>
            <w:pPr>
              <w:spacing w:after="0" w:line="207" w:lineRule="exact"/>
              <w:rPr>
                <w:sz w:val="20"/>
                <w:szCs w:val="20"/>
                <w:color w:val="auto"/>
              </w:rPr>
            </w:pPr>
            <w:r>
              <w:rPr>
                <w:rFonts w:ascii="Times New Roman" w:cs="Times New Roman" w:eastAsia="Times New Roman" w:hAnsi="Times New Roman"/>
                <w:sz w:val="18"/>
                <w:szCs w:val="18"/>
                <w:color w:val="231F20"/>
              </w:rPr>
              <w:t xml:space="preserve">Interest rate swap </w:t>
            </w:r>
            <w:r>
              <w:rPr>
                <w:rFonts w:ascii="Times New Roman" w:cs="Times New Roman" w:eastAsia="Times New Roman" w:hAnsi="Times New Roman"/>
                <w:sz w:val="23"/>
                <w:szCs w:val="23"/>
                <w:color w:val="231F20"/>
                <w:vertAlign w:val="superscript"/>
              </w:rPr>
              <w:t>(1)</w:t>
            </w:r>
          </w:p>
        </w:tc>
        <w:tc>
          <w:tcPr>
            <w:tcW w:w="1300" w:type="dxa"/>
            <w:vAlign w:val="bottom"/>
            <w:shd w:val="clear" w:color="auto" w:fill="D0EBF2"/>
          </w:tcPr>
          <w:p>
            <w:pPr>
              <w:jc w:val="right"/>
              <w:spacing w:after="0" w:line="207" w:lineRule="exact"/>
              <w:rPr>
                <w:sz w:val="20"/>
                <w:szCs w:val="20"/>
                <w:color w:val="auto"/>
              </w:rPr>
            </w:pPr>
            <w:r>
              <w:rPr>
                <w:rFonts w:ascii="Times New Roman" w:cs="Times New Roman" w:eastAsia="Times New Roman" w:hAnsi="Times New Roman"/>
                <w:sz w:val="19"/>
                <w:szCs w:val="19"/>
                <w:color w:val="231F20"/>
              </w:rPr>
              <w:t>11/1/2024</w:t>
            </w:r>
          </w:p>
        </w:tc>
        <w:tc>
          <w:tcPr>
            <w:tcW w:w="160" w:type="dxa"/>
            <w:vAlign w:val="bottom"/>
            <w:shd w:val="clear" w:color="auto" w:fill="D0EBF2"/>
          </w:tcPr>
          <w:p>
            <w:pPr>
              <w:spacing w:after="0"/>
              <w:rPr>
                <w:sz w:val="17"/>
                <w:szCs w:val="17"/>
                <w:color w:val="auto"/>
              </w:rPr>
            </w:pPr>
          </w:p>
        </w:tc>
        <w:tc>
          <w:tcPr>
            <w:tcW w:w="120" w:type="dxa"/>
            <w:vAlign w:val="bottom"/>
            <w:shd w:val="clear" w:color="auto" w:fill="D0EBF2"/>
          </w:tcPr>
          <w:p>
            <w:pPr>
              <w:jc w:val="right"/>
              <w:spacing w:after="0" w:line="207" w:lineRule="exact"/>
              <w:rPr>
                <w:sz w:val="20"/>
                <w:szCs w:val="20"/>
                <w:color w:val="auto"/>
              </w:rPr>
            </w:pPr>
            <w:r>
              <w:rPr>
                <w:rFonts w:ascii="Times New Roman" w:cs="Times New Roman" w:eastAsia="Times New Roman" w:hAnsi="Times New Roman"/>
                <w:sz w:val="19"/>
                <w:szCs w:val="19"/>
                <w:color w:val="231F20"/>
                <w:w w:val="83"/>
              </w:rPr>
              <w:t>$</w:t>
            </w:r>
          </w:p>
        </w:tc>
        <w:tc>
          <w:tcPr>
            <w:tcW w:w="1320" w:type="dxa"/>
            <w:vAlign w:val="bottom"/>
            <w:shd w:val="clear" w:color="auto" w:fill="D0EBF2"/>
          </w:tcPr>
          <w:p>
            <w:pPr>
              <w:jc w:val="right"/>
              <w:spacing w:after="0" w:line="207" w:lineRule="exact"/>
              <w:rPr>
                <w:sz w:val="20"/>
                <w:szCs w:val="20"/>
                <w:color w:val="auto"/>
              </w:rPr>
            </w:pPr>
            <w:r>
              <w:rPr>
                <w:rFonts w:ascii="Times New Roman" w:cs="Times New Roman" w:eastAsia="Times New Roman" w:hAnsi="Times New Roman"/>
                <w:sz w:val="19"/>
                <w:szCs w:val="19"/>
                <w:color w:val="231F20"/>
              </w:rPr>
              <w:t>—</w:t>
            </w:r>
          </w:p>
        </w:tc>
        <w:tc>
          <w:tcPr>
            <w:tcW w:w="100" w:type="dxa"/>
            <w:vAlign w:val="bottom"/>
            <w:shd w:val="clear" w:color="auto" w:fill="D0EBF2"/>
          </w:tcPr>
          <w:p>
            <w:pPr>
              <w:spacing w:after="0"/>
              <w:rPr>
                <w:sz w:val="17"/>
                <w:szCs w:val="17"/>
                <w:color w:val="auto"/>
              </w:rPr>
            </w:pPr>
          </w:p>
        </w:tc>
        <w:tc>
          <w:tcPr>
            <w:tcW w:w="440" w:type="dxa"/>
            <w:vAlign w:val="bottom"/>
            <w:gridSpan w:val="2"/>
            <w:shd w:val="clear" w:color="auto" w:fill="D0EBF2"/>
          </w:tcPr>
          <w:p>
            <w:pPr>
              <w:jc w:val="right"/>
              <w:ind w:right="106"/>
              <w:spacing w:after="0"/>
              <w:rPr>
                <w:sz w:val="20"/>
                <w:szCs w:val="20"/>
                <w:color w:val="auto"/>
              </w:rPr>
            </w:pPr>
            <w:r>
              <w:rPr>
                <w:rFonts w:ascii="Times New Roman" w:cs="Times New Roman" w:eastAsia="Times New Roman" w:hAnsi="Times New Roman"/>
                <w:sz w:val="18"/>
                <w:szCs w:val="18"/>
                <w:color w:val="231F20"/>
              </w:rPr>
              <w:t>$</w:t>
            </w:r>
          </w:p>
        </w:tc>
        <w:tc>
          <w:tcPr>
            <w:tcW w:w="980" w:type="dxa"/>
            <w:vAlign w:val="bottom"/>
            <w:shd w:val="clear" w:color="auto" w:fill="D0EBF2"/>
          </w:tcPr>
          <w:p>
            <w:pPr>
              <w:jc w:val="right"/>
              <w:spacing w:after="0"/>
              <w:rPr>
                <w:sz w:val="20"/>
                <w:szCs w:val="20"/>
                <w:color w:val="auto"/>
              </w:rPr>
            </w:pPr>
            <w:r>
              <w:rPr>
                <w:rFonts w:ascii="Times New Roman" w:cs="Times New Roman" w:eastAsia="Times New Roman" w:hAnsi="Times New Roman"/>
                <w:sz w:val="18"/>
                <w:szCs w:val="18"/>
                <w:color w:val="231F20"/>
              </w:rPr>
              <w:t>(20,226)</w:t>
            </w:r>
          </w:p>
        </w:tc>
        <w:tc>
          <w:tcPr>
            <w:tcW w:w="100" w:type="dxa"/>
            <w:vAlign w:val="bottom"/>
            <w:shd w:val="clear" w:color="auto" w:fill="D0EBF2"/>
          </w:tcPr>
          <w:p>
            <w:pPr>
              <w:spacing w:after="0"/>
              <w:rPr>
                <w:sz w:val="17"/>
                <w:szCs w:val="17"/>
                <w:color w:val="auto"/>
              </w:rPr>
            </w:pPr>
          </w:p>
        </w:tc>
        <w:tc>
          <w:tcPr>
            <w:tcW w:w="380" w:type="dxa"/>
            <w:vAlign w:val="bottom"/>
            <w:gridSpan w:val="2"/>
            <w:shd w:val="clear" w:color="auto" w:fill="D0EBF2"/>
          </w:tcPr>
          <w:p>
            <w:pPr>
              <w:jc w:val="right"/>
              <w:ind w:right="46"/>
              <w:spacing w:after="0"/>
              <w:rPr>
                <w:sz w:val="20"/>
                <w:szCs w:val="20"/>
                <w:color w:val="auto"/>
              </w:rPr>
            </w:pPr>
            <w:r>
              <w:rPr>
                <w:rFonts w:ascii="Times New Roman" w:cs="Times New Roman" w:eastAsia="Times New Roman" w:hAnsi="Times New Roman"/>
                <w:sz w:val="18"/>
                <w:szCs w:val="18"/>
                <w:color w:val="231F20"/>
              </w:rPr>
              <w:t>$</w:t>
            </w:r>
          </w:p>
        </w:tc>
        <w:tc>
          <w:tcPr>
            <w:tcW w:w="1040" w:type="dxa"/>
            <w:vAlign w:val="bottom"/>
            <w:shd w:val="clear" w:color="auto" w:fill="D0EBF2"/>
          </w:tcPr>
          <w:p>
            <w:pPr>
              <w:jc w:val="right"/>
              <w:spacing w:after="0"/>
              <w:rPr>
                <w:sz w:val="20"/>
                <w:szCs w:val="20"/>
                <w:color w:val="auto"/>
              </w:rPr>
            </w:pPr>
            <w:r>
              <w:rPr>
                <w:rFonts w:ascii="Times New Roman" w:cs="Times New Roman" w:eastAsia="Times New Roman" w:hAnsi="Times New Roman"/>
                <w:sz w:val="18"/>
                <w:szCs w:val="18"/>
                <w:color w:val="231F20"/>
              </w:rPr>
              <w:t>9,881</w:t>
            </w:r>
          </w:p>
        </w:tc>
        <w:tc>
          <w:tcPr>
            <w:tcW w:w="100" w:type="dxa"/>
            <w:vAlign w:val="bottom"/>
            <w:shd w:val="clear" w:color="auto" w:fill="D0EBF2"/>
          </w:tcPr>
          <w:p>
            <w:pPr>
              <w:spacing w:after="0"/>
              <w:rPr>
                <w:sz w:val="17"/>
                <w:szCs w:val="17"/>
                <w:color w:val="auto"/>
              </w:rPr>
            </w:pPr>
          </w:p>
        </w:tc>
        <w:tc>
          <w:tcPr>
            <w:tcW w:w="600" w:type="dxa"/>
            <w:vAlign w:val="bottom"/>
            <w:gridSpan w:val="2"/>
            <w:shd w:val="clear" w:color="auto" w:fill="D0EBF2"/>
          </w:tcPr>
          <w:p>
            <w:pPr>
              <w:jc w:val="right"/>
              <w:ind w:right="246"/>
              <w:spacing w:after="0"/>
              <w:rPr>
                <w:sz w:val="20"/>
                <w:szCs w:val="20"/>
                <w:color w:val="auto"/>
              </w:rPr>
            </w:pPr>
            <w:r>
              <w:rPr>
                <w:rFonts w:ascii="Times New Roman" w:cs="Times New Roman" w:eastAsia="Times New Roman" w:hAnsi="Times New Roman"/>
                <w:sz w:val="18"/>
                <w:szCs w:val="18"/>
                <w:color w:val="231F20"/>
              </w:rPr>
              <w:t>$</w:t>
            </w:r>
          </w:p>
        </w:tc>
        <w:tc>
          <w:tcPr>
            <w:tcW w:w="820" w:type="dxa"/>
            <w:vAlign w:val="bottom"/>
            <w:shd w:val="clear" w:color="auto" w:fill="D0EBF2"/>
          </w:tcPr>
          <w:p>
            <w:pPr>
              <w:jc w:val="right"/>
              <w:spacing w:after="0"/>
              <w:rPr>
                <w:sz w:val="20"/>
                <w:szCs w:val="20"/>
                <w:color w:val="auto"/>
              </w:rPr>
            </w:pPr>
            <w:r>
              <w:rPr>
                <w:rFonts w:ascii="Times New Roman" w:cs="Times New Roman" w:eastAsia="Times New Roman" w:hAnsi="Times New Roman"/>
                <w:sz w:val="18"/>
                <w:szCs w:val="18"/>
                <w:color w:val="231F20"/>
              </w:rPr>
              <w:t>(10,345)</w:t>
            </w:r>
          </w:p>
        </w:tc>
        <w:tc>
          <w:tcPr>
            <w:tcW w:w="100" w:type="dxa"/>
            <w:vAlign w:val="bottom"/>
            <w:shd w:val="clear" w:color="auto" w:fill="D0EBF2"/>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2640" w:type="dxa"/>
            <w:vAlign w:val="bottom"/>
            <w:shd w:val="clear" w:color="auto" w:fill="FDFDFC"/>
          </w:tcPr>
          <w:p>
            <w:pPr>
              <w:spacing w:after="0" w:line="217" w:lineRule="exact"/>
              <w:rPr>
                <w:sz w:val="20"/>
                <w:szCs w:val="20"/>
                <w:color w:val="auto"/>
              </w:rPr>
            </w:pPr>
            <w:r>
              <w:rPr>
                <w:rFonts w:ascii="Times New Roman" w:cs="Times New Roman" w:eastAsia="Times New Roman" w:hAnsi="Times New Roman"/>
                <w:sz w:val="19"/>
                <w:szCs w:val="19"/>
                <w:color w:val="231F20"/>
              </w:rPr>
              <w:t xml:space="preserve">Interest rate swap </w:t>
            </w:r>
            <w:r>
              <w:rPr>
                <w:rFonts w:ascii="Times New Roman" w:cs="Times New Roman" w:eastAsia="Times New Roman" w:hAnsi="Times New Roman"/>
                <w:sz w:val="24"/>
                <w:szCs w:val="24"/>
                <w:color w:val="231F20"/>
                <w:vertAlign w:val="superscript"/>
              </w:rPr>
              <w:t>(1)</w:t>
            </w:r>
          </w:p>
        </w:tc>
        <w:tc>
          <w:tcPr>
            <w:tcW w:w="1300" w:type="dxa"/>
            <w:vAlign w:val="bottom"/>
            <w:shd w:val="clear" w:color="auto" w:fill="FDFDFC"/>
          </w:tcPr>
          <w:p>
            <w:pPr>
              <w:jc w:val="right"/>
              <w:spacing w:after="0" w:line="217" w:lineRule="exact"/>
              <w:rPr>
                <w:sz w:val="20"/>
                <w:szCs w:val="20"/>
                <w:color w:val="auto"/>
              </w:rPr>
            </w:pPr>
            <w:r>
              <w:rPr>
                <w:rFonts w:ascii="Times New Roman" w:cs="Times New Roman" w:eastAsia="Times New Roman" w:hAnsi="Times New Roman"/>
                <w:sz w:val="19"/>
                <w:szCs w:val="19"/>
                <w:color w:val="231F20"/>
              </w:rPr>
              <w:t>11/1/2024</w:t>
            </w:r>
          </w:p>
        </w:tc>
        <w:tc>
          <w:tcPr>
            <w:tcW w:w="160" w:type="dxa"/>
            <w:vAlign w:val="bottom"/>
            <w:shd w:val="clear" w:color="auto" w:fill="FDFDFC"/>
          </w:tcPr>
          <w:p>
            <w:pPr>
              <w:spacing w:after="0"/>
              <w:rPr>
                <w:sz w:val="18"/>
                <w:szCs w:val="18"/>
                <w:color w:val="auto"/>
              </w:rPr>
            </w:pPr>
          </w:p>
        </w:tc>
        <w:tc>
          <w:tcPr>
            <w:tcW w:w="120" w:type="dxa"/>
            <w:vAlign w:val="bottom"/>
            <w:shd w:val="clear" w:color="auto" w:fill="FDFDFC"/>
          </w:tcPr>
          <w:p>
            <w:pPr>
              <w:spacing w:after="0"/>
              <w:rPr>
                <w:sz w:val="18"/>
                <w:szCs w:val="18"/>
                <w:color w:val="auto"/>
              </w:rPr>
            </w:pPr>
          </w:p>
        </w:tc>
        <w:tc>
          <w:tcPr>
            <w:tcW w:w="1320" w:type="dxa"/>
            <w:vAlign w:val="bottom"/>
            <w:shd w:val="clear" w:color="auto" w:fill="FDFDFC"/>
          </w:tcPr>
          <w:p>
            <w:pPr>
              <w:jc w:val="right"/>
              <w:spacing w:after="0" w:line="217" w:lineRule="exact"/>
              <w:rPr>
                <w:sz w:val="20"/>
                <w:szCs w:val="20"/>
                <w:color w:val="auto"/>
              </w:rPr>
            </w:pPr>
            <w:r>
              <w:rPr>
                <w:rFonts w:ascii="Times New Roman" w:cs="Times New Roman" w:eastAsia="Times New Roman" w:hAnsi="Times New Roman"/>
                <w:sz w:val="19"/>
                <w:szCs w:val="19"/>
                <w:color w:val="231F20"/>
              </w:rPr>
              <w:t>—</w:t>
            </w:r>
          </w:p>
        </w:tc>
        <w:tc>
          <w:tcPr>
            <w:tcW w:w="100" w:type="dxa"/>
            <w:vAlign w:val="bottom"/>
            <w:shd w:val="clear" w:color="auto" w:fill="FDFDFC"/>
          </w:tcPr>
          <w:p>
            <w:pPr>
              <w:spacing w:after="0"/>
              <w:rPr>
                <w:sz w:val="18"/>
                <w:szCs w:val="18"/>
                <w:color w:val="auto"/>
              </w:rPr>
            </w:pPr>
          </w:p>
        </w:tc>
        <w:tc>
          <w:tcPr>
            <w:tcW w:w="140" w:type="dxa"/>
            <w:vAlign w:val="bottom"/>
            <w:shd w:val="clear" w:color="auto" w:fill="FDFDFC"/>
          </w:tcPr>
          <w:p>
            <w:pPr>
              <w:spacing w:after="0"/>
              <w:rPr>
                <w:sz w:val="18"/>
                <w:szCs w:val="18"/>
                <w:color w:val="auto"/>
              </w:rPr>
            </w:pPr>
          </w:p>
        </w:tc>
        <w:tc>
          <w:tcPr>
            <w:tcW w:w="300" w:type="dxa"/>
            <w:vAlign w:val="bottom"/>
            <w:shd w:val="clear" w:color="auto" w:fill="FDFDFC"/>
          </w:tcPr>
          <w:p>
            <w:pPr>
              <w:spacing w:after="0"/>
              <w:rPr>
                <w:sz w:val="18"/>
                <w:szCs w:val="18"/>
                <w:color w:val="auto"/>
              </w:rPr>
            </w:pPr>
          </w:p>
        </w:tc>
        <w:tc>
          <w:tcPr>
            <w:tcW w:w="980" w:type="dxa"/>
            <w:vAlign w:val="bottom"/>
            <w:shd w:val="clear" w:color="auto" w:fill="FDFDFC"/>
          </w:tcPr>
          <w:p>
            <w:pPr>
              <w:jc w:val="right"/>
              <w:spacing w:after="0" w:line="217" w:lineRule="exact"/>
              <w:rPr>
                <w:sz w:val="20"/>
                <w:szCs w:val="20"/>
                <w:color w:val="auto"/>
              </w:rPr>
            </w:pPr>
            <w:r>
              <w:rPr>
                <w:rFonts w:ascii="Times New Roman" w:cs="Times New Roman" w:eastAsia="Times New Roman" w:hAnsi="Times New Roman"/>
                <w:sz w:val="19"/>
                <w:szCs w:val="19"/>
                <w:color w:val="231F20"/>
              </w:rPr>
              <w:t>(3,449)</w:t>
            </w:r>
          </w:p>
        </w:tc>
        <w:tc>
          <w:tcPr>
            <w:tcW w:w="100" w:type="dxa"/>
            <w:vAlign w:val="bottom"/>
            <w:shd w:val="clear" w:color="auto" w:fill="FDFDFC"/>
          </w:tcPr>
          <w:p>
            <w:pPr>
              <w:spacing w:after="0"/>
              <w:rPr>
                <w:sz w:val="18"/>
                <w:szCs w:val="18"/>
                <w:color w:val="auto"/>
              </w:rPr>
            </w:pPr>
          </w:p>
        </w:tc>
        <w:tc>
          <w:tcPr>
            <w:tcW w:w="160" w:type="dxa"/>
            <w:vAlign w:val="bottom"/>
            <w:shd w:val="clear" w:color="auto" w:fill="FDFDFC"/>
          </w:tcPr>
          <w:p>
            <w:pPr>
              <w:spacing w:after="0"/>
              <w:rPr>
                <w:sz w:val="18"/>
                <w:szCs w:val="18"/>
                <w:color w:val="auto"/>
              </w:rPr>
            </w:pPr>
          </w:p>
        </w:tc>
        <w:tc>
          <w:tcPr>
            <w:tcW w:w="220" w:type="dxa"/>
            <w:vAlign w:val="bottom"/>
            <w:shd w:val="clear" w:color="auto" w:fill="FDFDFC"/>
          </w:tcPr>
          <w:p>
            <w:pPr>
              <w:spacing w:after="0"/>
              <w:rPr>
                <w:sz w:val="18"/>
                <w:szCs w:val="18"/>
                <w:color w:val="auto"/>
              </w:rPr>
            </w:pPr>
          </w:p>
        </w:tc>
        <w:tc>
          <w:tcPr>
            <w:tcW w:w="1040" w:type="dxa"/>
            <w:vAlign w:val="bottom"/>
            <w:shd w:val="clear" w:color="auto" w:fill="FDFDFC"/>
          </w:tcPr>
          <w:p>
            <w:pPr>
              <w:jc w:val="right"/>
              <w:spacing w:after="0" w:line="217" w:lineRule="exact"/>
              <w:rPr>
                <w:sz w:val="20"/>
                <w:szCs w:val="20"/>
                <w:color w:val="auto"/>
              </w:rPr>
            </w:pPr>
            <w:r>
              <w:rPr>
                <w:rFonts w:ascii="Times New Roman" w:cs="Times New Roman" w:eastAsia="Times New Roman" w:hAnsi="Times New Roman"/>
                <w:sz w:val="19"/>
                <w:szCs w:val="19"/>
                <w:color w:val="231F20"/>
              </w:rPr>
              <w:t>1,647</w:t>
            </w:r>
          </w:p>
        </w:tc>
        <w:tc>
          <w:tcPr>
            <w:tcW w:w="100" w:type="dxa"/>
            <w:vAlign w:val="bottom"/>
            <w:shd w:val="clear" w:color="auto" w:fill="FDFDFC"/>
          </w:tcPr>
          <w:p>
            <w:pPr>
              <w:spacing w:after="0"/>
              <w:rPr>
                <w:sz w:val="18"/>
                <w:szCs w:val="18"/>
                <w:color w:val="auto"/>
              </w:rPr>
            </w:pPr>
          </w:p>
        </w:tc>
        <w:tc>
          <w:tcPr>
            <w:tcW w:w="160" w:type="dxa"/>
            <w:vAlign w:val="bottom"/>
            <w:shd w:val="clear" w:color="auto" w:fill="FDFDFC"/>
          </w:tcPr>
          <w:p>
            <w:pPr>
              <w:spacing w:after="0"/>
              <w:rPr>
                <w:sz w:val="18"/>
                <w:szCs w:val="18"/>
                <w:color w:val="auto"/>
              </w:rPr>
            </w:pPr>
          </w:p>
        </w:tc>
        <w:tc>
          <w:tcPr>
            <w:tcW w:w="440" w:type="dxa"/>
            <w:vAlign w:val="bottom"/>
            <w:shd w:val="clear" w:color="auto" w:fill="FDFDFC"/>
          </w:tcPr>
          <w:p>
            <w:pPr>
              <w:spacing w:after="0"/>
              <w:rPr>
                <w:sz w:val="18"/>
                <w:szCs w:val="18"/>
                <w:color w:val="auto"/>
              </w:rPr>
            </w:pPr>
          </w:p>
        </w:tc>
        <w:tc>
          <w:tcPr>
            <w:tcW w:w="820" w:type="dxa"/>
            <w:vAlign w:val="bottom"/>
            <w:shd w:val="clear" w:color="auto" w:fill="FDFDFC"/>
          </w:tcPr>
          <w:p>
            <w:pPr>
              <w:jc w:val="right"/>
              <w:spacing w:after="0" w:line="217" w:lineRule="exact"/>
              <w:rPr>
                <w:sz w:val="20"/>
                <w:szCs w:val="20"/>
                <w:color w:val="auto"/>
              </w:rPr>
            </w:pPr>
            <w:r>
              <w:rPr>
                <w:rFonts w:ascii="Times New Roman" w:cs="Times New Roman" w:eastAsia="Times New Roman" w:hAnsi="Times New Roman"/>
                <w:sz w:val="19"/>
                <w:szCs w:val="19"/>
                <w:color w:val="231F20"/>
              </w:rPr>
              <w:t>(1,802)</w:t>
            </w:r>
          </w:p>
        </w:tc>
        <w:tc>
          <w:tcPr>
            <w:tcW w:w="100" w:type="dxa"/>
            <w:vAlign w:val="bottom"/>
            <w:shd w:val="clear" w:color="auto" w:fill="FDFDFC"/>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640" w:type="dxa"/>
            <w:vAlign w:val="bottom"/>
            <w:shd w:val="clear" w:color="auto" w:fill="D0EBF2"/>
          </w:tcPr>
          <w:p>
            <w:pPr>
              <w:spacing w:after="0" w:line="217" w:lineRule="exact"/>
              <w:rPr>
                <w:sz w:val="20"/>
                <w:szCs w:val="20"/>
                <w:color w:val="auto"/>
              </w:rPr>
            </w:pPr>
            <w:r>
              <w:rPr>
                <w:rFonts w:ascii="Times New Roman" w:cs="Times New Roman" w:eastAsia="Times New Roman" w:hAnsi="Times New Roman"/>
                <w:sz w:val="19"/>
                <w:szCs w:val="19"/>
                <w:color w:val="231F20"/>
              </w:rPr>
              <w:t xml:space="preserve">Interest rate swap </w:t>
            </w:r>
            <w:r>
              <w:rPr>
                <w:rFonts w:ascii="Times New Roman" w:cs="Times New Roman" w:eastAsia="Times New Roman" w:hAnsi="Times New Roman"/>
                <w:sz w:val="24"/>
                <w:szCs w:val="24"/>
                <w:color w:val="231F20"/>
                <w:vertAlign w:val="superscript"/>
              </w:rPr>
              <w:t>(1)</w:t>
            </w:r>
          </w:p>
        </w:tc>
        <w:tc>
          <w:tcPr>
            <w:tcW w:w="1300" w:type="dxa"/>
            <w:vAlign w:val="bottom"/>
            <w:shd w:val="clear" w:color="auto" w:fill="D0EBF2"/>
          </w:tcPr>
          <w:p>
            <w:pPr>
              <w:jc w:val="right"/>
              <w:spacing w:after="0" w:line="217" w:lineRule="exact"/>
              <w:rPr>
                <w:sz w:val="20"/>
                <w:szCs w:val="20"/>
                <w:color w:val="auto"/>
              </w:rPr>
            </w:pPr>
            <w:r>
              <w:rPr>
                <w:rFonts w:ascii="Times New Roman" w:cs="Times New Roman" w:eastAsia="Times New Roman" w:hAnsi="Times New Roman"/>
                <w:sz w:val="19"/>
                <w:szCs w:val="19"/>
                <w:color w:val="231F20"/>
              </w:rPr>
              <w:t>11/1/2024</w:t>
            </w:r>
          </w:p>
        </w:tc>
        <w:tc>
          <w:tcPr>
            <w:tcW w:w="160" w:type="dxa"/>
            <w:vAlign w:val="bottom"/>
            <w:shd w:val="clear" w:color="auto" w:fill="D0EBF2"/>
          </w:tcPr>
          <w:p>
            <w:pPr>
              <w:spacing w:after="0"/>
              <w:rPr>
                <w:sz w:val="18"/>
                <w:szCs w:val="18"/>
                <w:color w:val="auto"/>
              </w:rPr>
            </w:pPr>
          </w:p>
        </w:tc>
        <w:tc>
          <w:tcPr>
            <w:tcW w:w="120" w:type="dxa"/>
            <w:vAlign w:val="bottom"/>
            <w:shd w:val="clear" w:color="auto" w:fill="D0EBF2"/>
          </w:tcPr>
          <w:p>
            <w:pPr>
              <w:spacing w:after="0"/>
              <w:rPr>
                <w:sz w:val="18"/>
                <w:szCs w:val="18"/>
                <w:color w:val="auto"/>
              </w:rPr>
            </w:pPr>
          </w:p>
        </w:tc>
        <w:tc>
          <w:tcPr>
            <w:tcW w:w="1320" w:type="dxa"/>
            <w:vAlign w:val="bottom"/>
            <w:shd w:val="clear" w:color="auto" w:fill="D0EBF2"/>
          </w:tcPr>
          <w:p>
            <w:pPr>
              <w:jc w:val="right"/>
              <w:spacing w:after="0" w:line="217" w:lineRule="exact"/>
              <w:rPr>
                <w:sz w:val="20"/>
                <w:szCs w:val="20"/>
                <w:color w:val="auto"/>
              </w:rPr>
            </w:pPr>
            <w:r>
              <w:rPr>
                <w:rFonts w:ascii="Times New Roman" w:cs="Times New Roman" w:eastAsia="Times New Roman" w:hAnsi="Times New Roman"/>
                <w:sz w:val="19"/>
                <w:szCs w:val="19"/>
                <w:color w:val="231F20"/>
              </w:rPr>
              <w:t>—</w:t>
            </w:r>
          </w:p>
        </w:tc>
        <w:tc>
          <w:tcPr>
            <w:tcW w:w="100" w:type="dxa"/>
            <w:vAlign w:val="bottom"/>
            <w:shd w:val="clear" w:color="auto" w:fill="D0EBF2"/>
          </w:tcPr>
          <w:p>
            <w:pPr>
              <w:spacing w:after="0"/>
              <w:rPr>
                <w:sz w:val="18"/>
                <w:szCs w:val="18"/>
                <w:color w:val="auto"/>
              </w:rPr>
            </w:pPr>
          </w:p>
        </w:tc>
        <w:tc>
          <w:tcPr>
            <w:tcW w:w="140" w:type="dxa"/>
            <w:vAlign w:val="bottom"/>
            <w:shd w:val="clear" w:color="auto" w:fill="D0EBF2"/>
          </w:tcPr>
          <w:p>
            <w:pPr>
              <w:spacing w:after="0"/>
              <w:rPr>
                <w:sz w:val="18"/>
                <w:szCs w:val="18"/>
                <w:color w:val="auto"/>
              </w:rPr>
            </w:pPr>
          </w:p>
        </w:tc>
        <w:tc>
          <w:tcPr>
            <w:tcW w:w="300" w:type="dxa"/>
            <w:vAlign w:val="bottom"/>
            <w:shd w:val="clear" w:color="auto" w:fill="D0EBF2"/>
          </w:tcPr>
          <w:p>
            <w:pPr>
              <w:spacing w:after="0"/>
              <w:rPr>
                <w:sz w:val="18"/>
                <w:szCs w:val="18"/>
                <w:color w:val="auto"/>
              </w:rPr>
            </w:pPr>
          </w:p>
        </w:tc>
        <w:tc>
          <w:tcPr>
            <w:tcW w:w="1080" w:type="dxa"/>
            <w:vAlign w:val="bottom"/>
            <w:gridSpan w:val="2"/>
            <w:shd w:val="clear" w:color="auto" w:fill="D0EBF2"/>
          </w:tcPr>
          <w:p>
            <w:pPr>
              <w:jc w:val="right"/>
              <w:ind w:right="40"/>
              <w:spacing w:after="0" w:line="217" w:lineRule="exact"/>
              <w:rPr>
                <w:sz w:val="20"/>
                <w:szCs w:val="20"/>
                <w:color w:val="auto"/>
              </w:rPr>
            </w:pPr>
            <w:r>
              <w:rPr>
                <w:rFonts w:ascii="Times New Roman" w:cs="Times New Roman" w:eastAsia="Times New Roman" w:hAnsi="Times New Roman"/>
                <w:sz w:val="19"/>
                <w:szCs w:val="19"/>
                <w:color w:val="231F20"/>
              </w:rPr>
              <w:t>(82)</w:t>
            </w:r>
          </w:p>
        </w:tc>
        <w:tc>
          <w:tcPr>
            <w:tcW w:w="160" w:type="dxa"/>
            <w:vAlign w:val="bottom"/>
            <w:shd w:val="clear" w:color="auto" w:fill="D0EBF2"/>
          </w:tcPr>
          <w:p>
            <w:pPr>
              <w:spacing w:after="0"/>
              <w:rPr>
                <w:sz w:val="18"/>
                <w:szCs w:val="18"/>
                <w:color w:val="auto"/>
              </w:rPr>
            </w:pPr>
          </w:p>
        </w:tc>
        <w:tc>
          <w:tcPr>
            <w:tcW w:w="220" w:type="dxa"/>
            <w:vAlign w:val="bottom"/>
            <w:shd w:val="clear" w:color="auto" w:fill="D0EBF2"/>
          </w:tcPr>
          <w:p>
            <w:pPr>
              <w:spacing w:after="0"/>
              <w:rPr>
                <w:sz w:val="18"/>
                <w:szCs w:val="18"/>
                <w:color w:val="auto"/>
              </w:rPr>
            </w:pPr>
          </w:p>
        </w:tc>
        <w:tc>
          <w:tcPr>
            <w:tcW w:w="1040" w:type="dxa"/>
            <w:vAlign w:val="bottom"/>
            <w:shd w:val="clear" w:color="auto" w:fill="D0EBF2"/>
          </w:tcPr>
          <w:p>
            <w:pPr>
              <w:jc w:val="right"/>
              <w:spacing w:after="0" w:line="217" w:lineRule="exact"/>
              <w:rPr>
                <w:sz w:val="20"/>
                <w:szCs w:val="20"/>
                <w:color w:val="auto"/>
              </w:rPr>
            </w:pPr>
            <w:r>
              <w:rPr>
                <w:rFonts w:ascii="Times New Roman" w:cs="Times New Roman" w:eastAsia="Times New Roman" w:hAnsi="Times New Roman"/>
                <w:sz w:val="19"/>
                <w:szCs w:val="19"/>
                <w:color w:val="231F20"/>
              </w:rPr>
              <w:t>169</w:t>
            </w:r>
          </w:p>
        </w:tc>
        <w:tc>
          <w:tcPr>
            <w:tcW w:w="100" w:type="dxa"/>
            <w:vAlign w:val="bottom"/>
            <w:shd w:val="clear" w:color="auto" w:fill="D0EBF2"/>
          </w:tcPr>
          <w:p>
            <w:pPr>
              <w:spacing w:after="0"/>
              <w:rPr>
                <w:sz w:val="18"/>
                <w:szCs w:val="18"/>
                <w:color w:val="auto"/>
              </w:rPr>
            </w:pPr>
          </w:p>
        </w:tc>
        <w:tc>
          <w:tcPr>
            <w:tcW w:w="160" w:type="dxa"/>
            <w:vAlign w:val="bottom"/>
            <w:shd w:val="clear" w:color="auto" w:fill="D0EBF2"/>
          </w:tcPr>
          <w:p>
            <w:pPr>
              <w:spacing w:after="0"/>
              <w:rPr>
                <w:sz w:val="18"/>
                <w:szCs w:val="18"/>
                <w:color w:val="auto"/>
              </w:rPr>
            </w:pPr>
          </w:p>
        </w:tc>
        <w:tc>
          <w:tcPr>
            <w:tcW w:w="440" w:type="dxa"/>
            <w:vAlign w:val="bottom"/>
            <w:shd w:val="clear" w:color="auto" w:fill="D0EBF2"/>
          </w:tcPr>
          <w:p>
            <w:pPr>
              <w:spacing w:after="0"/>
              <w:rPr>
                <w:sz w:val="18"/>
                <w:szCs w:val="18"/>
                <w:color w:val="auto"/>
              </w:rPr>
            </w:pPr>
          </w:p>
        </w:tc>
        <w:tc>
          <w:tcPr>
            <w:tcW w:w="820" w:type="dxa"/>
            <w:vAlign w:val="bottom"/>
            <w:shd w:val="clear" w:color="auto" w:fill="D0EBF2"/>
          </w:tcPr>
          <w:p>
            <w:pPr>
              <w:jc w:val="right"/>
              <w:spacing w:after="0" w:line="217" w:lineRule="exact"/>
              <w:rPr>
                <w:sz w:val="20"/>
                <w:szCs w:val="20"/>
                <w:color w:val="auto"/>
              </w:rPr>
            </w:pPr>
            <w:r>
              <w:rPr>
                <w:rFonts w:ascii="Times New Roman" w:cs="Times New Roman" w:eastAsia="Times New Roman" w:hAnsi="Times New Roman"/>
                <w:sz w:val="19"/>
                <w:szCs w:val="19"/>
                <w:color w:val="231F20"/>
              </w:rPr>
              <w:t>87</w:t>
            </w:r>
          </w:p>
        </w:tc>
        <w:tc>
          <w:tcPr>
            <w:tcW w:w="100" w:type="dxa"/>
            <w:vAlign w:val="bottom"/>
            <w:shd w:val="clear" w:color="auto" w:fill="D0EBF2"/>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640" w:type="dxa"/>
            <w:vAlign w:val="bottom"/>
            <w:shd w:val="clear" w:color="auto" w:fill="FDFDFC"/>
          </w:tcPr>
          <w:p>
            <w:pPr>
              <w:spacing w:after="0" w:line="217" w:lineRule="exact"/>
              <w:rPr>
                <w:sz w:val="20"/>
                <w:szCs w:val="20"/>
                <w:color w:val="auto"/>
              </w:rPr>
            </w:pPr>
            <w:r>
              <w:rPr>
                <w:rFonts w:ascii="Times New Roman" w:cs="Times New Roman" w:eastAsia="Times New Roman" w:hAnsi="Times New Roman"/>
                <w:sz w:val="19"/>
                <w:szCs w:val="19"/>
                <w:color w:val="231F20"/>
              </w:rPr>
              <w:t>Interest rate swap</w:t>
            </w:r>
          </w:p>
        </w:tc>
        <w:tc>
          <w:tcPr>
            <w:tcW w:w="1300" w:type="dxa"/>
            <w:vAlign w:val="bottom"/>
            <w:shd w:val="clear" w:color="auto" w:fill="FDFDFC"/>
          </w:tcPr>
          <w:p>
            <w:pPr>
              <w:jc w:val="right"/>
              <w:spacing w:after="0" w:line="217" w:lineRule="exact"/>
              <w:rPr>
                <w:sz w:val="20"/>
                <w:szCs w:val="20"/>
                <w:color w:val="auto"/>
              </w:rPr>
            </w:pPr>
            <w:r>
              <w:rPr>
                <w:rFonts w:ascii="Times New Roman" w:cs="Times New Roman" w:eastAsia="Times New Roman" w:hAnsi="Times New Roman"/>
                <w:sz w:val="19"/>
                <w:szCs w:val="19"/>
                <w:color w:val="231F20"/>
              </w:rPr>
              <w:t>8/1/2026</w:t>
            </w:r>
          </w:p>
        </w:tc>
        <w:tc>
          <w:tcPr>
            <w:tcW w:w="160" w:type="dxa"/>
            <w:vAlign w:val="bottom"/>
            <w:shd w:val="clear" w:color="auto" w:fill="FDFDFC"/>
          </w:tcPr>
          <w:p>
            <w:pPr>
              <w:spacing w:after="0"/>
              <w:rPr>
                <w:sz w:val="18"/>
                <w:szCs w:val="18"/>
                <w:color w:val="auto"/>
              </w:rPr>
            </w:pPr>
          </w:p>
        </w:tc>
        <w:tc>
          <w:tcPr>
            <w:tcW w:w="120" w:type="dxa"/>
            <w:vAlign w:val="bottom"/>
            <w:shd w:val="clear" w:color="auto" w:fill="FDFDFC"/>
          </w:tcPr>
          <w:p>
            <w:pPr>
              <w:spacing w:after="0"/>
              <w:rPr>
                <w:sz w:val="18"/>
                <w:szCs w:val="18"/>
                <w:color w:val="auto"/>
              </w:rPr>
            </w:pPr>
          </w:p>
        </w:tc>
        <w:tc>
          <w:tcPr>
            <w:tcW w:w="1320" w:type="dxa"/>
            <w:vAlign w:val="bottom"/>
            <w:shd w:val="clear" w:color="auto" w:fill="FDFDFC"/>
          </w:tcPr>
          <w:p>
            <w:pPr>
              <w:jc w:val="right"/>
              <w:spacing w:after="0" w:line="217" w:lineRule="exact"/>
              <w:rPr>
                <w:sz w:val="20"/>
                <w:szCs w:val="20"/>
                <w:color w:val="auto"/>
              </w:rPr>
            </w:pPr>
            <w:r>
              <w:rPr>
                <w:rFonts w:ascii="Times New Roman" w:cs="Times New Roman" w:eastAsia="Times New Roman" w:hAnsi="Times New Roman"/>
                <w:sz w:val="19"/>
                <w:szCs w:val="19"/>
                <w:color w:val="231F20"/>
              </w:rPr>
              <w:t>300,000</w:t>
            </w:r>
          </w:p>
        </w:tc>
        <w:tc>
          <w:tcPr>
            <w:tcW w:w="100" w:type="dxa"/>
            <w:vAlign w:val="bottom"/>
            <w:shd w:val="clear" w:color="auto" w:fill="FDFDFC"/>
          </w:tcPr>
          <w:p>
            <w:pPr>
              <w:spacing w:after="0"/>
              <w:rPr>
                <w:sz w:val="18"/>
                <w:szCs w:val="18"/>
                <w:color w:val="auto"/>
              </w:rPr>
            </w:pPr>
          </w:p>
        </w:tc>
        <w:tc>
          <w:tcPr>
            <w:tcW w:w="140" w:type="dxa"/>
            <w:vAlign w:val="bottom"/>
            <w:shd w:val="clear" w:color="auto" w:fill="FDFDFC"/>
          </w:tcPr>
          <w:p>
            <w:pPr>
              <w:spacing w:after="0"/>
              <w:rPr>
                <w:sz w:val="18"/>
                <w:szCs w:val="18"/>
                <w:color w:val="auto"/>
              </w:rPr>
            </w:pPr>
          </w:p>
        </w:tc>
        <w:tc>
          <w:tcPr>
            <w:tcW w:w="300" w:type="dxa"/>
            <w:vAlign w:val="bottom"/>
            <w:shd w:val="clear" w:color="auto" w:fill="FDFDFC"/>
          </w:tcPr>
          <w:p>
            <w:pPr>
              <w:spacing w:after="0"/>
              <w:rPr>
                <w:sz w:val="18"/>
                <w:szCs w:val="18"/>
                <w:color w:val="auto"/>
              </w:rPr>
            </w:pPr>
          </w:p>
        </w:tc>
        <w:tc>
          <w:tcPr>
            <w:tcW w:w="1080" w:type="dxa"/>
            <w:vAlign w:val="bottom"/>
            <w:gridSpan w:val="2"/>
            <w:shd w:val="clear" w:color="auto" w:fill="FDFDFC"/>
          </w:tcPr>
          <w:p>
            <w:pPr>
              <w:jc w:val="right"/>
              <w:ind w:right="40"/>
              <w:spacing w:after="0" w:line="217" w:lineRule="exact"/>
              <w:rPr>
                <w:sz w:val="20"/>
                <w:szCs w:val="20"/>
                <w:color w:val="auto"/>
              </w:rPr>
            </w:pPr>
            <w:r>
              <w:rPr>
                <w:rFonts w:ascii="Times New Roman" w:cs="Times New Roman" w:eastAsia="Times New Roman" w:hAnsi="Times New Roman"/>
                <w:sz w:val="19"/>
                <w:szCs w:val="19"/>
                <w:color w:val="231F20"/>
              </w:rPr>
              <w:t>(22,448)</w:t>
            </w:r>
          </w:p>
        </w:tc>
        <w:tc>
          <w:tcPr>
            <w:tcW w:w="160" w:type="dxa"/>
            <w:vAlign w:val="bottom"/>
            <w:shd w:val="clear" w:color="auto" w:fill="FDFDFC"/>
          </w:tcPr>
          <w:p>
            <w:pPr>
              <w:spacing w:after="0"/>
              <w:rPr>
                <w:sz w:val="18"/>
                <w:szCs w:val="18"/>
                <w:color w:val="auto"/>
              </w:rPr>
            </w:pPr>
          </w:p>
        </w:tc>
        <w:tc>
          <w:tcPr>
            <w:tcW w:w="220" w:type="dxa"/>
            <w:vAlign w:val="bottom"/>
            <w:shd w:val="clear" w:color="auto" w:fill="FDFDFC"/>
          </w:tcPr>
          <w:p>
            <w:pPr>
              <w:spacing w:after="0"/>
              <w:rPr>
                <w:sz w:val="18"/>
                <w:szCs w:val="18"/>
                <w:color w:val="auto"/>
              </w:rPr>
            </w:pPr>
          </w:p>
        </w:tc>
        <w:tc>
          <w:tcPr>
            <w:tcW w:w="1040" w:type="dxa"/>
            <w:vAlign w:val="bottom"/>
            <w:shd w:val="clear" w:color="auto" w:fill="FDFDFC"/>
          </w:tcPr>
          <w:p>
            <w:pPr>
              <w:jc w:val="right"/>
              <w:spacing w:after="0" w:line="217" w:lineRule="exact"/>
              <w:rPr>
                <w:sz w:val="20"/>
                <w:szCs w:val="20"/>
                <w:color w:val="auto"/>
              </w:rPr>
            </w:pPr>
            <w:r>
              <w:rPr>
                <w:rFonts w:ascii="Times New Roman" w:cs="Times New Roman" w:eastAsia="Times New Roman" w:hAnsi="Times New Roman"/>
                <w:sz w:val="19"/>
                <w:szCs w:val="19"/>
                <w:color w:val="231F20"/>
              </w:rPr>
              <w:t>7,500</w:t>
            </w:r>
          </w:p>
        </w:tc>
        <w:tc>
          <w:tcPr>
            <w:tcW w:w="100" w:type="dxa"/>
            <w:vAlign w:val="bottom"/>
            <w:shd w:val="clear" w:color="auto" w:fill="FDFDFC"/>
          </w:tcPr>
          <w:p>
            <w:pPr>
              <w:spacing w:after="0"/>
              <w:rPr>
                <w:sz w:val="18"/>
                <w:szCs w:val="18"/>
                <w:color w:val="auto"/>
              </w:rPr>
            </w:pPr>
          </w:p>
        </w:tc>
        <w:tc>
          <w:tcPr>
            <w:tcW w:w="160" w:type="dxa"/>
            <w:vAlign w:val="bottom"/>
            <w:shd w:val="clear" w:color="auto" w:fill="FDFDFC"/>
          </w:tcPr>
          <w:p>
            <w:pPr>
              <w:spacing w:after="0"/>
              <w:rPr>
                <w:sz w:val="18"/>
                <w:szCs w:val="18"/>
                <w:color w:val="auto"/>
              </w:rPr>
            </w:pPr>
          </w:p>
        </w:tc>
        <w:tc>
          <w:tcPr>
            <w:tcW w:w="440" w:type="dxa"/>
            <w:vAlign w:val="bottom"/>
            <w:shd w:val="clear" w:color="auto" w:fill="FDFDFC"/>
          </w:tcPr>
          <w:p>
            <w:pPr>
              <w:spacing w:after="0"/>
              <w:rPr>
                <w:sz w:val="18"/>
                <w:szCs w:val="18"/>
                <w:color w:val="auto"/>
              </w:rPr>
            </w:pPr>
          </w:p>
        </w:tc>
        <w:tc>
          <w:tcPr>
            <w:tcW w:w="920" w:type="dxa"/>
            <w:vAlign w:val="bottom"/>
            <w:gridSpan w:val="2"/>
            <w:shd w:val="clear" w:color="auto" w:fill="FDFDFC"/>
          </w:tcPr>
          <w:p>
            <w:pPr>
              <w:jc w:val="right"/>
              <w:ind w:right="40"/>
              <w:spacing w:after="0" w:line="217" w:lineRule="exact"/>
              <w:rPr>
                <w:sz w:val="20"/>
                <w:szCs w:val="20"/>
                <w:color w:val="auto"/>
              </w:rPr>
            </w:pPr>
            <w:r>
              <w:rPr>
                <w:rFonts w:ascii="Times New Roman" w:cs="Times New Roman" w:eastAsia="Times New Roman" w:hAnsi="Times New Roman"/>
                <w:sz w:val="19"/>
                <w:szCs w:val="19"/>
                <w:color w:val="231F20"/>
              </w:rPr>
              <w:t>(14,948)</w:t>
            </w:r>
          </w:p>
        </w:tc>
        <w:tc>
          <w:tcPr>
            <w:tcW w:w="0" w:type="dxa"/>
            <w:vAlign w:val="bottom"/>
          </w:tcPr>
          <w:p>
            <w:pPr>
              <w:spacing w:after="0"/>
              <w:rPr>
                <w:sz w:val="1"/>
                <w:szCs w:val="1"/>
                <w:color w:val="auto"/>
              </w:rPr>
            </w:pPr>
          </w:p>
        </w:tc>
      </w:tr>
      <w:tr>
        <w:trPr>
          <w:trHeight w:val="217"/>
        </w:trPr>
        <w:tc>
          <w:tcPr>
            <w:tcW w:w="2640" w:type="dxa"/>
            <w:vAlign w:val="bottom"/>
            <w:shd w:val="clear" w:color="auto" w:fill="D0EBF2"/>
          </w:tcPr>
          <w:p>
            <w:pPr>
              <w:spacing w:after="0" w:line="217" w:lineRule="exact"/>
              <w:rPr>
                <w:sz w:val="20"/>
                <w:szCs w:val="20"/>
                <w:color w:val="auto"/>
              </w:rPr>
            </w:pPr>
            <w:r>
              <w:rPr>
                <w:rFonts w:ascii="Times New Roman" w:cs="Times New Roman" w:eastAsia="Times New Roman" w:hAnsi="Times New Roman"/>
                <w:sz w:val="19"/>
                <w:szCs w:val="19"/>
                <w:color w:val="231F20"/>
              </w:rPr>
              <w:t>Interest rate swap</w:t>
            </w:r>
          </w:p>
        </w:tc>
        <w:tc>
          <w:tcPr>
            <w:tcW w:w="1300" w:type="dxa"/>
            <w:vAlign w:val="bottom"/>
            <w:shd w:val="clear" w:color="auto" w:fill="D0EBF2"/>
          </w:tcPr>
          <w:p>
            <w:pPr>
              <w:jc w:val="right"/>
              <w:spacing w:after="0" w:line="217" w:lineRule="exact"/>
              <w:rPr>
                <w:sz w:val="20"/>
                <w:szCs w:val="20"/>
                <w:color w:val="auto"/>
              </w:rPr>
            </w:pPr>
            <w:r>
              <w:rPr>
                <w:rFonts w:ascii="Times New Roman" w:cs="Times New Roman" w:eastAsia="Times New Roman" w:hAnsi="Times New Roman"/>
                <w:sz w:val="19"/>
                <w:szCs w:val="19"/>
                <w:color w:val="231F20"/>
              </w:rPr>
              <w:t>8/14/2028</w:t>
            </w:r>
          </w:p>
        </w:tc>
        <w:tc>
          <w:tcPr>
            <w:tcW w:w="160" w:type="dxa"/>
            <w:vAlign w:val="bottom"/>
            <w:shd w:val="clear" w:color="auto" w:fill="D0EBF2"/>
          </w:tcPr>
          <w:p>
            <w:pPr>
              <w:spacing w:after="0"/>
              <w:rPr>
                <w:sz w:val="18"/>
                <w:szCs w:val="18"/>
                <w:color w:val="auto"/>
              </w:rPr>
            </w:pPr>
          </w:p>
        </w:tc>
        <w:tc>
          <w:tcPr>
            <w:tcW w:w="120" w:type="dxa"/>
            <w:vAlign w:val="bottom"/>
            <w:shd w:val="clear" w:color="auto" w:fill="D0EBF2"/>
          </w:tcPr>
          <w:p>
            <w:pPr>
              <w:spacing w:after="0"/>
              <w:rPr>
                <w:sz w:val="18"/>
                <w:szCs w:val="18"/>
                <w:color w:val="auto"/>
              </w:rPr>
            </w:pPr>
          </w:p>
        </w:tc>
        <w:tc>
          <w:tcPr>
            <w:tcW w:w="1320" w:type="dxa"/>
            <w:vAlign w:val="bottom"/>
            <w:shd w:val="clear" w:color="auto" w:fill="D0EBF2"/>
          </w:tcPr>
          <w:p>
            <w:pPr>
              <w:jc w:val="right"/>
              <w:spacing w:after="0" w:line="217" w:lineRule="exact"/>
              <w:rPr>
                <w:sz w:val="20"/>
                <w:szCs w:val="20"/>
                <w:color w:val="auto"/>
              </w:rPr>
            </w:pPr>
            <w:r>
              <w:rPr>
                <w:rFonts w:ascii="Times New Roman" w:cs="Times New Roman" w:eastAsia="Times New Roman" w:hAnsi="Times New Roman"/>
                <w:sz w:val="19"/>
                <w:szCs w:val="19"/>
                <w:color w:val="231F20"/>
              </w:rPr>
              <w:t>300,000</w:t>
            </w:r>
          </w:p>
        </w:tc>
        <w:tc>
          <w:tcPr>
            <w:tcW w:w="100" w:type="dxa"/>
            <w:vAlign w:val="bottom"/>
            <w:shd w:val="clear" w:color="auto" w:fill="D0EBF2"/>
          </w:tcPr>
          <w:p>
            <w:pPr>
              <w:spacing w:after="0"/>
              <w:rPr>
                <w:sz w:val="18"/>
                <w:szCs w:val="18"/>
                <w:color w:val="auto"/>
              </w:rPr>
            </w:pPr>
          </w:p>
        </w:tc>
        <w:tc>
          <w:tcPr>
            <w:tcW w:w="140" w:type="dxa"/>
            <w:vAlign w:val="bottom"/>
            <w:shd w:val="clear" w:color="auto" w:fill="D0EBF2"/>
          </w:tcPr>
          <w:p>
            <w:pPr>
              <w:spacing w:after="0"/>
              <w:rPr>
                <w:sz w:val="18"/>
                <w:szCs w:val="18"/>
                <w:color w:val="auto"/>
              </w:rPr>
            </w:pPr>
          </w:p>
        </w:tc>
        <w:tc>
          <w:tcPr>
            <w:tcW w:w="300" w:type="dxa"/>
            <w:vAlign w:val="bottom"/>
            <w:shd w:val="clear" w:color="auto" w:fill="D0EBF2"/>
          </w:tcPr>
          <w:p>
            <w:pPr>
              <w:spacing w:after="0"/>
              <w:rPr>
                <w:sz w:val="18"/>
                <w:szCs w:val="18"/>
                <w:color w:val="auto"/>
              </w:rPr>
            </w:pPr>
          </w:p>
        </w:tc>
        <w:tc>
          <w:tcPr>
            <w:tcW w:w="1080" w:type="dxa"/>
            <w:vAlign w:val="bottom"/>
            <w:gridSpan w:val="2"/>
            <w:shd w:val="clear" w:color="auto" w:fill="D0EBF2"/>
          </w:tcPr>
          <w:p>
            <w:pPr>
              <w:jc w:val="right"/>
              <w:ind w:right="40"/>
              <w:spacing w:after="0" w:line="217" w:lineRule="exact"/>
              <w:rPr>
                <w:sz w:val="20"/>
                <w:szCs w:val="20"/>
                <w:color w:val="auto"/>
              </w:rPr>
            </w:pPr>
            <w:r>
              <w:rPr>
                <w:rFonts w:ascii="Times New Roman" w:cs="Times New Roman" w:eastAsia="Times New Roman" w:hAnsi="Times New Roman"/>
                <w:sz w:val="19"/>
                <w:szCs w:val="19"/>
                <w:color w:val="231F20"/>
              </w:rPr>
              <w:t>(24,956)</w:t>
            </w:r>
          </w:p>
        </w:tc>
        <w:tc>
          <w:tcPr>
            <w:tcW w:w="160" w:type="dxa"/>
            <w:vAlign w:val="bottom"/>
            <w:shd w:val="clear" w:color="auto" w:fill="D0EBF2"/>
          </w:tcPr>
          <w:p>
            <w:pPr>
              <w:spacing w:after="0"/>
              <w:rPr>
                <w:sz w:val="18"/>
                <w:szCs w:val="18"/>
                <w:color w:val="auto"/>
              </w:rPr>
            </w:pPr>
          </w:p>
        </w:tc>
        <w:tc>
          <w:tcPr>
            <w:tcW w:w="220" w:type="dxa"/>
            <w:vAlign w:val="bottom"/>
            <w:shd w:val="clear" w:color="auto" w:fill="D0EBF2"/>
          </w:tcPr>
          <w:p>
            <w:pPr>
              <w:spacing w:after="0"/>
              <w:rPr>
                <w:sz w:val="18"/>
                <w:szCs w:val="18"/>
                <w:color w:val="auto"/>
              </w:rPr>
            </w:pPr>
          </w:p>
        </w:tc>
        <w:tc>
          <w:tcPr>
            <w:tcW w:w="1040" w:type="dxa"/>
            <w:vAlign w:val="bottom"/>
            <w:shd w:val="clear" w:color="auto" w:fill="D0EBF2"/>
          </w:tcPr>
          <w:p>
            <w:pPr>
              <w:jc w:val="right"/>
              <w:spacing w:after="0" w:line="217" w:lineRule="exact"/>
              <w:rPr>
                <w:sz w:val="20"/>
                <w:szCs w:val="20"/>
                <w:color w:val="auto"/>
              </w:rPr>
            </w:pPr>
            <w:r>
              <w:rPr>
                <w:rFonts w:ascii="Times New Roman" w:cs="Times New Roman" w:eastAsia="Times New Roman" w:hAnsi="Times New Roman"/>
                <w:sz w:val="19"/>
                <w:szCs w:val="19"/>
                <w:color w:val="231F20"/>
              </w:rPr>
              <w:t>20,850</w:t>
            </w:r>
          </w:p>
        </w:tc>
        <w:tc>
          <w:tcPr>
            <w:tcW w:w="100" w:type="dxa"/>
            <w:vAlign w:val="bottom"/>
            <w:shd w:val="clear" w:color="auto" w:fill="D0EBF2"/>
          </w:tcPr>
          <w:p>
            <w:pPr>
              <w:spacing w:after="0"/>
              <w:rPr>
                <w:sz w:val="18"/>
                <w:szCs w:val="18"/>
                <w:color w:val="auto"/>
              </w:rPr>
            </w:pPr>
          </w:p>
        </w:tc>
        <w:tc>
          <w:tcPr>
            <w:tcW w:w="160" w:type="dxa"/>
            <w:vAlign w:val="bottom"/>
            <w:shd w:val="clear" w:color="auto" w:fill="D0EBF2"/>
          </w:tcPr>
          <w:p>
            <w:pPr>
              <w:spacing w:after="0"/>
              <w:rPr>
                <w:sz w:val="18"/>
                <w:szCs w:val="18"/>
                <w:color w:val="auto"/>
              </w:rPr>
            </w:pPr>
          </w:p>
        </w:tc>
        <w:tc>
          <w:tcPr>
            <w:tcW w:w="440" w:type="dxa"/>
            <w:vAlign w:val="bottom"/>
            <w:shd w:val="clear" w:color="auto" w:fill="D0EBF2"/>
          </w:tcPr>
          <w:p>
            <w:pPr>
              <w:spacing w:after="0"/>
              <w:rPr>
                <w:sz w:val="18"/>
                <w:szCs w:val="18"/>
                <w:color w:val="auto"/>
              </w:rPr>
            </w:pPr>
          </w:p>
        </w:tc>
        <w:tc>
          <w:tcPr>
            <w:tcW w:w="920" w:type="dxa"/>
            <w:vAlign w:val="bottom"/>
            <w:gridSpan w:val="2"/>
            <w:shd w:val="clear" w:color="auto" w:fill="D0EBF2"/>
          </w:tcPr>
          <w:p>
            <w:pPr>
              <w:jc w:val="right"/>
              <w:ind w:right="40"/>
              <w:spacing w:after="0" w:line="217" w:lineRule="exact"/>
              <w:rPr>
                <w:sz w:val="20"/>
                <w:szCs w:val="20"/>
                <w:color w:val="auto"/>
              </w:rPr>
            </w:pPr>
            <w:r>
              <w:rPr>
                <w:rFonts w:ascii="Times New Roman" w:cs="Times New Roman" w:eastAsia="Times New Roman" w:hAnsi="Times New Roman"/>
                <w:sz w:val="19"/>
                <w:szCs w:val="19"/>
                <w:color w:val="231F20"/>
              </w:rPr>
              <w:t>(4,106)</w:t>
            </w:r>
          </w:p>
        </w:tc>
        <w:tc>
          <w:tcPr>
            <w:tcW w:w="0" w:type="dxa"/>
            <w:vAlign w:val="bottom"/>
          </w:tcPr>
          <w:p>
            <w:pPr>
              <w:spacing w:after="0"/>
              <w:rPr>
                <w:sz w:val="1"/>
                <w:szCs w:val="1"/>
                <w:color w:val="auto"/>
              </w:rPr>
            </w:pPr>
          </w:p>
        </w:tc>
      </w:tr>
      <w:tr>
        <w:trPr>
          <w:trHeight w:val="237"/>
        </w:trPr>
        <w:tc>
          <w:tcPr>
            <w:tcW w:w="2640" w:type="dxa"/>
            <w:vAlign w:val="bottom"/>
            <w:shd w:val="clear" w:color="auto" w:fill="FDFDFC"/>
          </w:tcPr>
          <w:p>
            <w:pPr>
              <w:spacing w:after="0" w:line="217" w:lineRule="exact"/>
              <w:rPr>
                <w:sz w:val="20"/>
                <w:szCs w:val="20"/>
                <w:color w:val="auto"/>
              </w:rPr>
            </w:pPr>
            <w:r>
              <w:rPr>
                <w:rFonts w:ascii="Times New Roman" w:cs="Times New Roman" w:eastAsia="Times New Roman" w:hAnsi="Times New Roman"/>
                <w:sz w:val="19"/>
                <w:szCs w:val="19"/>
                <w:color w:val="231F20"/>
              </w:rPr>
              <w:t>Interest rate swap</w:t>
            </w:r>
          </w:p>
        </w:tc>
        <w:tc>
          <w:tcPr>
            <w:tcW w:w="1300" w:type="dxa"/>
            <w:vAlign w:val="bottom"/>
            <w:shd w:val="clear" w:color="auto" w:fill="FDFDFC"/>
          </w:tcPr>
          <w:p>
            <w:pPr>
              <w:jc w:val="right"/>
              <w:spacing w:after="0" w:line="217" w:lineRule="exact"/>
              <w:rPr>
                <w:sz w:val="20"/>
                <w:szCs w:val="20"/>
                <w:color w:val="auto"/>
              </w:rPr>
            </w:pPr>
            <w:r>
              <w:rPr>
                <w:rFonts w:ascii="Times New Roman" w:cs="Times New Roman" w:eastAsia="Times New Roman" w:hAnsi="Times New Roman"/>
                <w:sz w:val="19"/>
                <w:szCs w:val="19"/>
                <w:color w:val="231F20"/>
              </w:rPr>
              <w:t>3/1/2029</w:t>
            </w:r>
          </w:p>
        </w:tc>
        <w:tc>
          <w:tcPr>
            <w:tcW w:w="160" w:type="dxa"/>
            <w:vAlign w:val="bottom"/>
            <w:shd w:val="clear" w:color="auto" w:fill="FDFDFC"/>
          </w:tcPr>
          <w:p>
            <w:pPr>
              <w:spacing w:after="0"/>
              <w:rPr>
                <w:sz w:val="20"/>
                <w:szCs w:val="20"/>
                <w:color w:val="auto"/>
              </w:rPr>
            </w:pPr>
          </w:p>
        </w:tc>
        <w:tc>
          <w:tcPr>
            <w:tcW w:w="120" w:type="dxa"/>
            <w:vAlign w:val="bottom"/>
            <w:shd w:val="clear" w:color="auto" w:fill="FDFDFC"/>
          </w:tcPr>
          <w:p>
            <w:pPr>
              <w:spacing w:after="0"/>
              <w:rPr>
                <w:sz w:val="20"/>
                <w:szCs w:val="20"/>
                <w:color w:val="auto"/>
              </w:rPr>
            </w:pPr>
          </w:p>
        </w:tc>
        <w:tc>
          <w:tcPr>
            <w:tcW w:w="1320" w:type="dxa"/>
            <w:vAlign w:val="bottom"/>
            <w:shd w:val="clear" w:color="auto" w:fill="FDFDFC"/>
          </w:tcPr>
          <w:p>
            <w:pPr>
              <w:jc w:val="right"/>
              <w:spacing w:after="0" w:line="217" w:lineRule="exact"/>
              <w:rPr>
                <w:sz w:val="20"/>
                <w:szCs w:val="20"/>
                <w:color w:val="auto"/>
              </w:rPr>
            </w:pPr>
            <w:r>
              <w:rPr>
                <w:rFonts w:ascii="Times New Roman" w:cs="Times New Roman" w:eastAsia="Times New Roman" w:hAnsi="Times New Roman"/>
                <w:sz w:val="19"/>
                <w:szCs w:val="19"/>
                <w:color w:val="231F20"/>
              </w:rPr>
              <w:t>350,000</w:t>
            </w:r>
          </w:p>
        </w:tc>
        <w:tc>
          <w:tcPr>
            <w:tcW w:w="100" w:type="dxa"/>
            <w:vAlign w:val="bottom"/>
            <w:shd w:val="clear" w:color="auto" w:fill="FDFDFC"/>
          </w:tcPr>
          <w:p>
            <w:pPr>
              <w:spacing w:after="0"/>
              <w:rPr>
                <w:sz w:val="20"/>
                <w:szCs w:val="20"/>
                <w:color w:val="auto"/>
              </w:rPr>
            </w:pPr>
          </w:p>
        </w:tc>
        <w:tc>
          <w:tcPr>
            <w:tcW w:w="140" w:type="dxa"/>
            <w:vAlign w:val="bottom"/>
            <w:shd w:val="clear" w:color="auto" w:fill="FDFDFC"/>
          </w:tcPr>
          <w:p>
            <w:pPr>
              <w:spacing w:after="0"/>
              <w:rPr>
                <w:sz w:val="20"/>
                <w:szCs w:val="20"/>
                <w:color w:val="auto"/>
              </w:rPr>
            </w:pPr>
          </w:p>
        </w:tc>
        <w:tc>
          <w:tcPr>
            <w:tcW w:w="300" w:type="dxa"/>
            <w:vAlign w:val="bottom"/>
            <w:shd w:val="clear" w:color="auto" w:fill="FDFDFC"/>
          </w:tcPr>
          <w:p>
            <w:pPr>
              <w:spacing w:after="0"/>
              <w:rPr>
                <w:sz w:val="20"/>
                <w:szCs w:val="20"/>
                <w:color w:val="auto"/>
              </w:rPr>
            </w:pPr>
          </w:p>
        </w:tc>
        <w:tc>
          <w:tcPr>
            <w:tcW w:w="1080" w:type="dxa"/>
            <w:vAlign w:val="bottom"/>
            <w:gridSpan w:val="2"/>
            <w:shd w:val="clear" w:color="auto" w:fill="FDFDFC"/>
          </w:tcPr>
          <w:p>
            <w:pPr>
              <w:jc w:val="right"/>
              <w:ind w:right="40"/>
              <w:spacing w:after="0" w:line="217" w:lineRule="exact"/>
              <w:rPr>
                <w:sz w:val="20"/>
                <w:szCs w:val="20"/>
                <w:color w:val="auto"/>
              </w:rPr>
            </w:pPr>
            <w:r>
              <w:rPr>
                <w:rFonts w:ascii="Times New Roman" w:cs="Times New Roman" w:eastAsia="Times New Roman" w:hAnsi="Times New Roman"/>
                <w:sz w:val="19"/>
                <w:szCs w:val="19"/>
                <w:color w:val="231F20"/>
              </w:rPr>
              <w:t>(25,540)</w:t>
            </w:r>
          </w:p>
        </w:tc>
        <w:tc>
          <w:tcPr>
            <w:tcW w:w="160" w:type="dxa"/>
            <w:vAlign w:val="bottom"/>
            <w:shd w:val="clear" w:color="auto" w:fill="FDFDFC"/>
          </w:tcPr>
          <w:p>
            <w:pPr>
              <w:spacing w:after="0"/>
              <w:rPr>
                <w:sz w:val="20"/>
                <w:szCs w:val="20"/>
                <w:color w:val="auto"/>
              </w:rPr>
            </w:pPr>
          </w:p>
        </w:tc>
        <w:tc>
          <w:tcPr>
            <w:tcW w:w="220" w:type="dxa"/>
            <w:vAlign w:val="bottom"/>
            <w:shd w:val="clear" w:color="auto" w:fill="FDFDFC"/>
          </w:tcPr>
          <w:p>
            <w:pPr>
              <w:spacing w:after="0"/>
              <w:rPr>
                <w:sz w:val="20"/>
                <w:szCs w:val="20"/>
                <w:color w:val="auto"/>
              </w:rPr>
            </w:pPr>
          </w:p>
        </w:tc>
        <w:tc>
          <w:tcPr>
            <w:tcW w:w="1040" w:type="dxa"/>
            <w:vAlign w:val="bottom"/>
            <w:shd w:val="clear" w:color="auto" w:fill="FDFDFC"/>
          </w:tcPr>
          <w:p>
            <w:pPr>
              <w:jc w:val="right"/>
              <w:spacing w:after="0" w:line="217" w:lineRule="exact"/>
              <w:rPr>
                <w:sz w:val="20"/>
                <w:szCs w:val="20"/>
                <w:color w:val="auto"/>
              </w:rPr>
            </w:pPr>
            <w:r>
              <w:rPr>
                <w:rFonts w:ascii="Times New Roman" w:cs="Times New Roman" w:eastAsia="Times New Roman" w:hAnsi="Times New Roman"/>
                <w:sz w:val="19"/>
                <w:szCs w:val="19"/>
                <w:color w:val="231F20"/>
              </w:rPr>
              <w:t>20,187</w:t>
            </w:r>
          </w:p>
        </w:tc>
        <w:tc>
          <w:tcPr>
            <w:tcW w:w="100" w:type="dxa"/>
            <w:vAlign w:val="bottom"/>
            <w:shd w:val="clear" w:color="auto" w:fill="FDFDFC"/>
          </w:tcPr>
          <w:p>
            <w:pPr>
              <w:spacing w:after="0"/>
              <w:rPr>
                <w:sz w:val="20"/>
                <w:szCs w:val="20"/>
                <w:color w:val="auto"/>
              </w:rPr>
            </w:pPr>
          </w:p>
        </w:tc>
        <w:tc>
          <w:tcPr>
            <w:tcW w:w="160" w:type="dxa"/>
            <w:vAlign w:val="bottom"/>
            <w:shd w:val="clear" w:color="auto" w:fill="FDFDFC"/>
          </w:tcPr>
          <w:p>
            <w:pPr>
              <w:spacing w:after="0"/>
              <w:rPr>
                <w:sz w:val="20"/>
                <w:szCs w:val="20"/>
                <w:color w:val="auto"/>
              </w:rPr>
            </w:pPr>
          </w:p>
        </w:tc>
        <w:tc>
          <w:tcPr>
            <w:tcW w:w="440" w:type="dxa"/>
            <w:vAlign w:val="bottom"/>
            <w:shd w:val="clear" w:color="auto" w:fill="FDFDFC"/>
          </w:tcPr>
          <w:p>
            <w:pPr>
              <w:spacing w:after="0"/>
              <w:rPr>
                <w:sz w:val="20"/>
                <w:szCs w:val="20"/>
                <w:color w:val="auto"/>
              </w:rPr>
            </w:pPr>
          </w:p>
        </w:tc>
        <w:tc>
          <w:tcPr>
            <w:tcW w:w="920" w:type="dxa"/>
            <w:vAlign w:val="bottom"/>
            <w:gridSpan w:val="2"/>
            <w:shd w:val="clear" w:color="auto" w:fill="FDFDFC"/>
          </w:tcPr>
          <w:p>
            <w:pPr>
              <w:jc w:val="right"/>
              <w:ind w:right="40"/>
              <w:spacing w:after="0" w:line="217" w:lineRule="exact"/>
              <w:rPr>
                <w:sz w:val="20"/>
                <w:szCs w:val="20"/>
                <w:color w:val="auto"/>
              </w:rPr>
            </w:pPr>
            <w:r>
              <w:rPr>
                <w:rFonts w:ascii="Times New Roman" w:cs="Times New Roman" w:eastAsia="Times New Roman" w:hAnsi="Times New Roman"/>
                <w:sz w:val="19"/>
                <w:szCs w:val="19"/>
                <w:color w:val="231F20"/>
              </w:rPr>
              <w:t>(5,353)</w:t>
            </w:r>
          </w:p>
        </w:tc>
        <w:tc>
          <w:tcPr>
            <w:tcW w:w="0" w:type="dxa"/>
            <w:vAlign w:val="bottom"/>
          </w:tcPr>
          <w:p>
            <w:pPr>
              <w:spacing w:after="0"/>
              <w:rPr>
                <w:sz w:val="1"/>
                <w:szCs w:val="1"/>
                <w:color w:val="auto"/>
              </w:rPr>
            </w:pPr>
          </w:p>
        </w:tc>
      </w:tr>
      <w:tr>
        <w:trPr>
          <w:trHeight w:val="187"/>
        </w:trPr>
        <w:tc>
          <w:tcPr>
            <w:tcW w:w="2640" w:type="dxa"/>
            <w:vAlign w:val="bottom"/>
            <w:tcBorders>
              <w:top w:val="single" w:sz="8" w:color="D0EBF2"/>
            </w:tcBorders>
            <w:shd w:val="clear" w:color="auto" w:fill="D0EBF2"/>
          </w:tcPr>
          <w:p>
            <w:pPr>
              <w:ind w:left="180"/>
              <w:spacing w:after="0" w:line="187" w:lineRule="exact"/>
              <w:rPr>
                <w:sz w:val="20"/>
                <w:szCs w:val="20"/>
                <w:color w:val="auto"/>
              </w:rPr>
            </w:pPr>
            <w:r>
              <w:rPr>
                <w:rFonts w:ascii="Times New Roman" w:cs="Times New Roman" w:eastAsia="Times New Roman" w:hAnsi="Times New Roman"/>
                <w:sz w:val="19"/>
                <w:szCs w:val="19"/>
                <w:b w:val="1"/>
                <w:bCs w:val="1"/>
                <w:color w:val="231F20"/>
              </w:rPr>
              <w:t>Total</w:t>
            </w:r>
          </w:p>
        </w:tc>
        <w:tc>
          <w:tcPr>
            <w:tcW w:w="1300" w:type="dxa"/>
            <w:vAlign w:val="bottom"/>
            <w:tcBorders>
              <w:top w:val="single" w:sz="8" w:color="D0EBF2"/>
            </w:tcBorders>
            <w:shd w:val="clear" w:color="auto" w:fill="D0EBF2"/>
          </w:tcPr>
          <w:p>
            <w:pPr>
              <w:spacing w:after="0"/>
              <w:rPr>
                <w:sz w:val="16"/>
                <w:szCs w:val="16"/>
                <w:color w:val="auto"/>
              </w:rPr>
            </w:pPr>
          </w:p>
        </w:tc>
        <w:tc>
          <w:tcPr>
            <w:tcW w:w="160" w:type="dxa"/>
            <w:vAlign w:val="bottom"/>
            <w:tcBorders>
              <w:top w:val="single" w:sz="8" w:color="D0EBF2"/>
            </w:tcBorders>
            <w:shd w:val="clear" w:color="auto" w:fill="D0EBF2"/>
          </w:tcPr>
          <w:p>
            <w:pPr>
              <w:spacing w:after="0"/>
              <w:rPr>
                <w:sz w:val="16"/>
                <w:szCs w:val="16"/>
                <w:color w:val="auto"/>
              </w:rPr>
            </w:pPr>
          </w:p>
        </w:tc>
        <w:tc>
          <w:tcPr>
            <w:tcW w:w="120" w:type="dxa"/>
            <w:vAlign w:val="bottom"/>
            <w:tcBorders>
              <w:top w:val="single" w:sz="8" w:color="231F20"/>
              <w:bottom w:val="single" w:sz="8" w:color="231F20"/>
            </w:tcBorders>
            <w:shd w:val="clear" w:color="auto" w:fill="D0EBF2"/>
          </w:tcPr>
          <w:p>
            <w:pPr>
              <w:jc w:val="right"/>
              <w:spacing w:after="0" w:line="187" w:lineRule="exact"/>
              <w:rPr>
                <w:sz w:val="20"/>
                <w:szCs w:val="20"/>
                <w:color w:val="auto"/>
              </w:rPr>
            </w:pPr>
            <w:r>
              <w:rPr>
                <w:rFonts w:ascii="Times New Roman" w:cs="Times New Roman" w:eastAsia="Times New Roman" w:hAnsi="Times New Roman"/>
                <w:sz w:val="19"/>
                <w:szCs w:val="19"/>
                <w:color w:val="231F20"/>
                <w:w w:val="83"/>
              </w:rPr>
              <w:t>$</w:t>
            </w:r>
          </w:p>
        </w:tc>
        <w:tc>
          <w:tcPr>
            <w:tcW w:w="1320" w:type="dxa"/>
            <w:vAlign w:val="bottom"/>
            <w:tcBorders>
              <w:top w:val="single" w:sz="8" w:color="231F20"/>
              <w:bottom w:val="single" w:sz="8" w:color="231F20"/>
            </w:tcBorders>
            <w:shd w:val="clear" w:color="auto" w:fill="D0EBF2"/>
          </w:tcPr>
          <w:p>
            <w:pPr>
              <w:jc w:val="right"/>
              <w:spacing w:after="0" w:line="187" w:lineRule="exact"/>
              <w:rPr>
                <w:sz w:val="20"/>
                <w:szCs w:val="20"/>
                <w:color w:val="auto"/>
              </w:rPr>
            </w:pPr>
            <w:r>
              <w:rPr>
                <w:rFonts w:ascii="Times New Roman" w:cs="Times New Roman" w:eastAsia="Times New Roman" w:hAnsi="Times New Roman"/>
                <w:sz w:val="19"/>
                <w:szCs w:val="19"/>
                <w:color w:val="231F20"/>
              </w:rPr>
              <w:t>950,000</w:t>
            </w:r>
          </w:p>
        </w:tc>
        <w:tc>
          <w:tcPr>
            <w:tcW w:w="240" w:type="dxa"/>
            <w:vAlign w:val="bottom"/>
            <w:tcBorders>
              <w:top w:val="single" w:sz="8" w:color="D0EBF2"/>
            </w:tcBorders>
            <w:gridSpan w:val="2"/>
            <w:shd w:val="clear" w:color="auto" w:fill="D0EBF2"/>
          </w:tcPr>
          <w:p>
            <w:pPr>
              <w:spacing w:after="0"/>
              <w:rPr>
                <w:sz w:val="16"/>
                <w:szCs w:val="16"/>
                <w:color w:val="auto"/>
              </w:rPr>
            </w:pPr>
          </w:p>
        </w:tc>
        <w:tc>
          <w:tcPr>
            <w:tcW w:w="300" w:type="dxa"/>
            <w:vAlign w:val="bottom"/>
            <w:tcBorders>
              <w:top w:val="single" w:sz="8" w:color="231F20"/>
              <w:bottom w:val="single" w:sz="8" w:color="231F20"/>
            </w:tcBorders>
            <w:shd w:val="clear" w:color="auto" w:fill="D0EBF2"/>
          </w:tcPr>
          <w:p>
            <w:pPr>
              <w:jc w:val="right"/>
              <w:ind w:right="106"/>
              <w:spacing w:after="0" w:line="187" w:lineRule="exact"/>
              <w:rPr>
                <w:sz w:val="20"/>
                <w:szCs w:val="20"/>
                <w:color w:val="auto"/>
              </w:rPr>
            </w:pPr>
            <w:r>
              <w:rPr>
                <w:rFonts w:ascii="Times New Roman" w:cs="Times New Roman" w:eastAsia="Times New Roman" w:hAnsi="Times New Roman"/>
                <w:sz w:val="19"/>
                <w:szCs w:val="19"/>
                <w:color w:val="231F20"/>
                <w:w w:val="83"/>
              </w:rPr>
              <w:t>$</w:t>
            </w:r>
          </w:p>
        </w:tc>
        <w:tc>
          <w:tcPr>
            <w:tcW w:w="980" w:type="dxa"/>
            <w:vAlign w:val="bottom"/>
            <w:tcBorders>
              <w:top w:val="single" w:sz="8" w:color="231F20"/>
              <w:bottom w:val="single" w:sz="8" w:color="231F20"/>
            </w:tcBorders>
            <w:shd w:val="clear" w:color="auto" w:fill="D0EBF2"/>
          </w:tcPr>
          <w:p>
            <w:pPr>
              <w:jc w:val="right"/>
              <w:spacing w:after="0" w:line="187" w:lineRule="exact"/>
              <w:rPr>
                <w:sz w:val="20"/>
                <w:szCs w:val="20"/>
                <w:color w:val="auto"/>
              </w:rPr>
            </w:pPr>
            <w:r>
              <w:rPr>
                <w:rFonts w:ascii="Times New Roman" w:cs="Times New Roman" w:eastAsia="Times New Roman" w:hAnsi="Times New Roman"/>
                <w:sz w:val="19"/>
                <w:szCs w:val="19"/>
                <w:color w:val="231F20"/>
              </w:rPr>
              <w:t>(96,701)</w:t>
            </w:r>
          </w:p>
        </w:tc>
        <w:tc>
          <w:tcPr>
            <w:tcW w:w="100" w:type="dxa"/>
            <w:vAlign w:val="bottom"/>
            <w:tcBorders>
              <w:top w:val="single" w:sz="8" w:color="D0EBF2"/>
            </w:tcBorders>
            <w:shd w:val="clear" w:color="auto" w:fill="D0EBF2"/>
          </w:tcPr>
          <w:p>
            <w:pPr>
              <w:spacing w:after="0"/>
              <w:rPr>
                <w:sz w:val="16"/>
                <w:szCs w:val="16"/>
                <w:color w:val="auto"/>
              </w:rPr>
            </w:pPr>
          </w:p>
        </w:tc>
        <w:tc>
          <w:tcPr>
            <w:tcW w:w="160" w:type="dxa"/>
            <w:vAlign w:val="bottom"/>
            <w:tcBorders>
              <w:top w:val="single" w:sz="8" w:color="D0EBF2"/>
            </w:tcBorders>
            <w:shd w:val="clear" w:color="auto" w:fill="D0EBF2"/>
          </w:tcPr>
          <w:p>
            <w:pPr>
              <w:spacing w:after="0"/>
              <w:rPr>
                <w:sz w:val="16"/>
                <w:szCs w:val="16"/>
                <w:color w:val="auto"/>
              </w:rPr>
            </w:pPr>
          </w:p>
        </w:tc>
        <w:tc>
          <w:tcPr>
            <w:tcW w:w="220" w:type="dxa"/>
            <w:vAlign w:val="bottom"/>
            <w:tcBorders>
              <w:top w:val="single" w:sz="8" w:color="231F20"/>
              <w:bottom w:val="single" w:sz="8" w:color="231F20"/>
            </w:tcBorders>
            <w:shd w:val="clear" w:color="auto" w:fill="D0EBF2"/>
          </w:tcPr>
          <w:p>
            <w:pPr>
              <w:jc w:val="right"/>
              <w:ind w:right="26"/>
              <w:spacing w:after="0" w:line="187" w:lineRule="exact"/>
              <w:rPr>
                <w:sz w:val="20"/>
                <w:szCs w:val="20"/>
                <w:color w:val="auto"/>
              </w:rPr>
            </w:pPr>
            <w:r>
              <w:rPr>
                <w:rFonts w:ascii="Times New Roman" w:cs="Times New Roman" w:eastAsia="Times New Roman" w:hAnsi="Times New Roman"/>
                <w:sz w:val="19"/>
                <w:szCs w:val="19"/>
                <w:color w:val="231F20"/>
                <w:w w:val="83"/>
              </w:rPr>
              <w:t>$</w:t>
            </w:r>
          </w:p>
        </w:tc>
        <w:tc>
          <w:tcPr>
            <w:tcW w:w="1040" w:type="dxa"/>
            <w:vAlign w:val="bottom"/>
            <w:tcBorders>
              <w:top w:val="single" w:sz="8" w:color="231F20"/>
              <w:bottom w:val="single" w:sz="8" w:color="231F20"/>
            </w:tcBorders>
            <w:shd w:val="clear" w:color="auto" w:fill="D0EBF2"/>
          </w:tcPr>
          <w:p>
            <w:pPr>
              <w:jc w:val="right"/>
              <w:spacing w:after="0" w:line="187" w:lineRule="exact"/>
              <w:rPr>
                <w:sz w:val="20"/>
                <w:szCs w:val="20"/>
                <w:color w:val="auto"/>
              </w:rPr>
            </w:pPr>
            <w:r>
              <w:rPr>
                <w:rFonts w:ascii="Times New Roman" w:cs="Times New Roman" w:eastAsia="Times New Roman" w:hAnsi="Times New Roman"/>
                <w:sz w:val="19"/>
                <w:szCs w:val="19"/>
                <w:color w:val="231F20"/>
              </w:rPr>
              <w:t>60,234</w:t>
            </w:r>
          </w:p>
        </w:tc>
        <w:tc>
          <w:tcPr>
            <w:tcW w:w="260" w:type="dxa"/>
            <w:vAlign w:val="bottom"/>
            <w:tcBorders>
              <w:top w:val="single" w:sz="8" w:color="D0EBF2"/>
            </w:tcBorders>
            <w:gridSpan w:val="2"/>
            <w:shd w:val="clear" w:color="auto" w:fill="D0EBF2"/>
          </w:tcPr>
          <w:p>
            <w:pPr>
              <w:spacing w:after="0"/>
              <w:rPr>
                <w:sz w:val="16"/>
                <w:szCs w:val="16"/>
                <w:color w:val="auto"/>
              </w:rPr>
            </w:pPr>
          </w:p>
        </w:tc>
        <w:tc>
          <w:tcPr>
            <w:tcW w:w="440" w:type="dxa"/>
            <w:vAlign w:val="bottom"/>
            <w:tcBorders>
              <w:top w:val="single" w:sz="8" w:color="231F20"/>
              <w:bottom w:val="single" w:sz="8" w:color="231F20"/>
            </w:tcBorders>
            <w:shd w:val="clear" w:color="auto" w:fill="D0EBF2"/>
          </w:tcPr>
          <w:p>
            <w:pPr>
              <w:jc w:val="right"/>
              <w:ind w:right="246"/>
              <w:spacing w:after="0" w:line="187" w:lineRule="exact"/>
              <w:rPr>
                <w:sz w:val="20"/>
                <w:szCs w:val="20"/>
                <w:color w:val="auto"/>
              </w:rPr>
            </w:pPr>
            <w:r>
              <w:rPr>
                <w:rFonts w:ascii="Times New Roman" w:cs="Times New Roman" w:eastAsia="Times New Roman" w:hAnsi="Times New Roman"/>
                <w:sz w:val="19"/>
                <w:szCs w:val="19"/>
                <w:color w:val="231F20"/>
                <w:w w:val="83"/>
              </w:rPr>
              <w:t>$</w:t>
            </w:r>
          </w:p>
        </w:tc>
        <w:tc>
          <w:tcPr>
            <w:tcW w:w="820" w:type="dxa"/>
            <w:vAlign w:val="bottom"/>
            <w:tcBorders>
              <w:top w:val="single" w:sz="8" w:color="231F20"/>
              <w:bottom w:val="single" w:sz="8" w:color="231F20"/>
            </w:tcBorders>
            <w:shd w:val="clear" w:color="auto" w:fill="D0EBF2"/>
          </w:tcPr>
          <w:p>
            <w:pPr>
              <w:jc w:val="right"/>
              <w:spacing w:after="0" w:line="187" w:lineRule="exact"/>
              <w:rPr>
                <w:sz w:val="20"/>
                <w:szCs w:val="20"/>
                <w:color w:val="auto"/>
              </w:rPr>
            </w:pPr>
            <w:r>
              <w:rPr>
                <w:rFonts w:ascii="Times New Roman" w:cs="Times New Roman" w:eastAsia="Times New Roman" w:hAnsi="Times New Roman"/>
                <w:sz w:val="19"/>
                <w:szCs w:val="19"/>
                <w:color w:val="231F20"/>
              </w:rPr>
              <w:t>(36,467)</w:t>
            </w:r>
          </w:p>
        </w:tc>
        <w:tc>
          <w:tcPr>
            <w:tcW w:w="100" w:type="dxa"/>
            <w:vAlign w:val="bottom"/>
            <w:tcBorders>
              <w:top w:val="single" w:sz="8" w:color="D0EBF2"/>
            </w:tcBorders>
            <w:shd w:val="clear" w:color="auto" w:fill="D0EBF2"/>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6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231F20"/>
            </w:tcBorders>
          </w:tcPr>
          <w:p>
            <w:pPr>
              <w:spacing w:after="0" w:line="20" w:lineRule="exact"/>
              <w:rPr>
                <w:sz w:val="1"/>
                <w:szCs w:val="1"/>
                <w:color w:val="auto"/>
              </w:rPr>
            </w:pPr>
          </w:p>
        </w:tc>
        <w:tc>
          <w:tcPr>
            <w:tcW w:w="1320" w:type="dxa"/>
            <w:vAlign w:val="bottom"/>
            <w:tcBorders>
              <w:bottom w:val="single" w:sz="8" w:color="231F20"/>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bottom w:val="single" w:sz="8" w:color="231F20"/>
            </w:tcBorders>
          </w:tcPr>
          <w:p>
            <w:pPr>
              <w:spacing w:after="0" w:line="20" w:lineRule="exact"/>
              <w:rPr>
                <w:sz w:val="1"/>
                <w:szCs w:val="1"/>
                <w:color w:val="auto"/>
              </w:rPr>
            </w:pPr>
          </w:p>
        </w:tc>
        <w:tc>
          <w:tcPr>
            <w:tcW w:w="980" w:type="dxa"/>
            <w:vAlign w:val="bottom"/>
            <w:tcBorders>
              <w:bottom w:val="single" w:sz="8" w:color="231F20"/>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231F20"/>
            </w:tcBorders>
          </w:tcPr>
          <w:p>
            <w:pPr>
              <w:spacing w:after="0" w:line="20" w:lineRule="exact"/>
              <w:rPr>
                <w:sz w:val="1"/>
                <w:szCs w:val="1"/>
                <w:color w:val="auto"/>
              </w:rPr>
            </w:pPr>
          </w:p>
        </w:tc>
        <w:tc>
          <w:tcPr>
            <w:tcW w:w="1040" w:type="dxa"/>
            <w:vAlign w:val="bottom"/>
            <w:tcBorders>
              <w:bottom w:val="single" w:sz="8" w:color="231F20"/>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Borders>
              <w:bottom w:val="single" w:sz="8" w:color="231F20"/>
            </w:tcBorders>
          </w:tcPr>
          <w:p>
            <w:pPr>
              <w:spacing w:after="0" w:line="20" w:lineRule="exact"/>
              <w:rPr>
                <w:sz w:val="1"/>
                <w:szCs w:val="1"/>
                <w:color w:val="auto"/>
              </w:rPr>
            </w:pPr>
          </w:p>
        </w:tc>
        <w:tc>
          <w:tcPr>
            <w:tcW w:w="820" w:type="dxa"/>
            <w:vAlign w:val="bottom"/>
            <w:tcBorders>
              <w:bottom w:val="single" w:sz="8" w:color="231F20"/>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1" w:lineRule="exact"/>
        <w:rPr>
          <w:sz w:val="20"/>
          <w:szCs w:val="20"/>
          <w:color w:val="auto"/>
        </w:rPr>
      </w:pPr>
    </w:p>
    <w:p>
      <w:pPr>
        <w:ind w:left="460" w:right="240" w:hanging="460"/>
        <w:spacing w:after="0" w:line="275" w:lineRule="auto"/>
        <w:tabs>
          <w:tab w:leader="none" w:pos="460" w:val="left"/>
        </w:tabs>
        <w:numPr>
          <w:ilvl w:val="0"/>
          <w:numId w:val="91"/>
        </w:numPr>
        <w:rPr>
          <w:rFonts w:ascii="Times New Roman" w:cs="Times New Roman" w:eastAsia="Times New Roman" w:hAnsi="Times New Roman"/>
          <w:sz w:val="19"/>
          <w:szCs w:val="19"/>
          <w:color w:val="231F20"/>
        </w:rPr>
      </w:pPr>
      <w:r>
        <w:rPr>
          <w:rFonts w:ascii="Times New Roman" w:cs="Times New Roman" w:eastAsia="Times New Roman" w:hAnsi="Times New Roman"/>
          <w:sz w:val="19"/>
          <w:szCs w:val="19"/>
          <w:color w:val="231F20"/>
        </w:rPr>
        <w:t>As of December 31, 2024, these interest rate swaps had either matured or been terminated due to repayment of the underlying investment or security.</w:t>
      </w:r>
    </w:p>
    <w:p>
      <w:pPr>
        <w:sectPr>
          <w:pgSz w:w="12240" w:h="15840" w:orient="portrait"/>
          <w:cols w:equalWidth="0" w:num="1">
            <w:col w:w="10200"/>
          </w:cols>
          <w:pgMar w:left="1020" w:top="1317" w:right="1020" w:bottom="57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231F20"/>
        </w:rPr>
        <w:t>F-37</w:t>
      </w:r>
    </w:p>
    <w:p>
      <w:pPr>
        <w:sectPr>
          <w:pgSz w:w="12240" w:h="15840" w:orient="portrait"/>
          <w:cols w:equalWidth="0" w:num="1">
            <w:col w:w="10200"/>
          </w:cols>
          <w:pgMar w:left="1020" w:top="1317" w:right="1020" w:bottom="574" w:gutter="0" w:footer="0" w:header="0"/>
          <w:type w:val="continuous"/>
        </w:sectPr>
      </w:pPr>
    </w:p>
    <w:bookmarkStart w:id="125" w:name="page126"/>
    <w:bookmarkEnd w:id="125"/>
    <w:tbl>
      <w:tblPr>
        <w:tblLayout w:type="fixed"/>
        <w:tblInd w:w="0" w:type="dxa"/>
        <w:tblCellMar>
          <w:top w:w="0" w:type="dxa"/>
          <w:left w:w="0" w:type="dxa"/>
          <w:bottom w:w="0" w:type="dxa"/>
          <w:right w:w="0" w:type="dxa"/>
        </w:tblCellMar>
      </w:tblPr>
      <w:tr>
        <w:trPr>
          <w:trHeight w:val="174"/>
        </w:trPr>
        <w:tc>
          <w:tcPr>
            <w:tcW w:w="2640" w:type="dxa"/>
            <w:vAlign w:val="bottom"/>
            <w:tcBorders>
              <w:bottom w:val="single" w:sz="8" w:color="FDFDFC"/>
            </w:tcBorders>
            <w:shd w:val="clear" w:color="auto" w:fill="FDFDFC"/>
          </w:tcPr>
          <w:p>
            <w:pPr>
              <w:spacing w:after="0"/>
              <w:rPr>
                <w:sz w:val="15"/>
                <w:szCs w:val="15"/>
                <w:color w:val="auto"/>
              </w:rPr>
            </w:pPr>
          </w:p>
        </w:tc>
        <w:tc>
          <w:tcPr>
            <w:tcW w:w="1300" w:type="dxa"/>
            <w:vAlign w:val="bottom"/>
            <w:tcBorders>
              <w:bottom w:val="single" w:sz="8" w:color="FDFDFC"/>
            </w:tcBorders>
            <w:vMerge w:val="restart"/>
            <w:shd w:val="clear" w:color="auto" w:fill="FDFDFC"/>
          </w:tcPr>
          <w:p>
            <w:pPr>
              <w:jc w:val="right"/>
              <w:ind w:right="112"/>
              <w:spacing w:after="0"/>
              <w:rPr>
                <w:sz w:val="20"/>
                <w:szCs w:val="20"/>
                <w:color w:val="auto"/>
              </w:rPr>
            </w:pPr>
            <w:r>
              <w:rPr>
                <w:rFonts w:ascii="Times New Roman" w:cs="Times New Roman" w:eastAsia="Times New Roman" w:hAnsi="Times New Roman"/>
                <w:sz w:val="15"/>
                <w:szCs w:val="15"/>
                <w:b w:val="1"/>
                <w:bCs w:val="1"/>
                <w:color w:val="231F20"/>
              </w:rPr>
              <w:t>Maturity Date</w:t>
            </w:r>
          </w:p>
        </w:tc>
        <w:tc>
          <w:tcPr>
            <w:tcW w:w="160" w:type="dxa"/>
            <w:vAlign w:val="bottom"/>
            <w:tcBorders>
              <w:bottom w:val="single" w:sz="8" w:color="FDFDFC"/>
            </w:tcBorders>
            <w:shd w:val="clear" w:color="auto" w:fill="FDFDFC"/>
          </w:tcPr>
          <w:p>
            <w:pPr>
              <w:spacing w:after="0"/>
              <w:rPr>
                <w:sz w:val="15"/>
                <w:szCs w:val="15"/>
                <w:color w:val="auto"/>
              </w:rPr>
            </w:pPr>
          </w:p>
        </w:tc>
        <w:tc>
          <w:tcPr>
            <w:tcW w:w="120" w:type="dxa"/>
            <w:vAlign w:val="bottom"/>
            <w:tcBorders>
              <w:bottom w:val="single" w:sz="8" w:color="FDFDFC"/>
            </w:tcBorders>
            <w:shd w:val="clear" w:color="auto" w:fill="FDFDFC"/>
          </w:tcPr>
          <w:p>
            <w:pPr>
              <w:spacing w:after="0"/>
              <w:rPr>
                <w:sz w:val="15"/>
                <w:szCs w:val="15"/>
                <w:color w:val="auto"/>
              </w:rPr>
            </w:pPr>
          </w:p>
        </w:tc>
        <w:tc>
          <w:tcPr>
            <w:tcW w:w="1320" w:type="dxa"/>
            <w:vAlign w:val="bottom"/>
            <w:tcBorders>
              <w:bottom w:val="single" w:sz="8" w:color="FDFDFC"/>
            </w:tcBorders>
            <w:vMerge w:val="restart"/>
            <w:shd w:val="clear" w:color="auto" w:fill="FDFDFC"/>
          </w:tcPr>
          <w:p>
            <w:pPr>
              <w:jc w:val="right"/>
              <w:ind w:right="71"/>
              <w:spacing w:after="0"/>
              <w:rPr>
                <w:sz w:val="20"/>
                <w:szCs w:val="20"/>
                <w:color w:val="auto"/>
              </w:rPr>
            </w:pPr>
            <w:r>
              <w:rPr>
                <w:rFonts w:ascii="Times New Roman" w:cs="Times New Roman" w:eastAsia="Times New Roman" w:hAnsi="Times New Roman"/>
                <w:sz w:val="15"/>
                <w:szCs w:val="15"/>
                <w:b w:val="1"/>
                <w:bCs w:val="1"/>
                <w:color w:val="231F20"/>
              </w:rPr>
              <w:t>Notional Amount</w:t>
            </w:r>
          </w:p>
        </w:tc>
        <w:tc>
          <w:tcPr>
            <w:tcW w:w="240" w:type="dxa"/>
            <w:vAlign w:val="bottom"/>
            <w:tcBorders>
              <w:bottom w:val="single" w:sz="8" w:color="FDFDFC"/>
            </w:tcBorders>
            <w:shd w:val="clear" w:color="auto" w:fill="FDFDFC"/>
          </w:tcPr>
          <w:p>
            <w:pPr>
              <w:spacing w:after="0"/>
              <w:rPr>
                <w:sz w:val="15"/>
                <w:szCs w:val="15"/>
                <w:color w:val="auto"/>
              </w:rPr>
            </w:pPr>
          </w:p>
        </w:tc>
        <w:tc>
          <w:tcPr>
            <w:tcW w:w="300" w:type="dxa"/>
            <w:vAlign w:val="bottom"/>
            <w:tcBorders>
              <w:bottom w:val="single" w:sz="8" w:color="231F20"/>
            </w:tcBorders>
            <w:shd w:val="clear" w:color="auto" w:fill="FDFDFC"/>
          </w:tcPr>
          <w:p>
            <w:pPr>
              <w:spacing w:after="0"/>
              <w:rPr>
                <w:sz w:val="15"/>
                <w:szCs w:val="15"/>
                <w:color w:val="auto"/>
              </w:rPr>
            </w:pPr>
          </w:p>
        </w:tc>
        <w:tc>
          <w:tcPr>
            <w:tcW w:w="3200" w:type="dxa"/>
            <w:vAlign w:val="bottom"/>
            <w:tcBorders>
              <w:bottom w:val="single" w:sz="8" w:color="231F20"/>
            </w:tcBorders>
            <w:gridSpan w:val="7"/>
            <w:shd w:val="clear" w:color="auto" w:fill="FDFDFC"/>
          </w:tcPr>
          <w:p>
            <w:pPr>
              <w:jc w:val="right"/>
              <w:spacing w:after="0"/>
              <w:rPr>
                <w:sz w:val="20"/>
                <w:szCs w:val="20"/>
                <w:color w:val="auto"/>
              </w:rPr>
            </w:pPr>
            <w:r>
              <w:rPr>
                <w:rFonts w:ascii="Times New Roman" w:cs="Times New Roman" w:eastAsia="Times New Roman" w:hAnsi="Times New Roman"/>
                <w:sz w:val="15"/>
                <w:szCs w:val="15"/>
                <w:b w:val="1"/>
                <w:bCs w:val="1"/>
                <w:color w:val="231F20"/>
              </w:rPr>
              <w:t>For the Year Ended December 31, 2023</w:t>
            </w:r>
          </w:p>
        </w:tc>
        <w:tc>
          <w:tcPr>
            <w:tcW w:w="820" w:type="dxa"/>
            <w:vAlign w:val="bottom"/>
            <w:tcBorders>
              <w:bottom w:val="single" w:sz="8" w:color="231F20"/>
            </w:tcBorders>
            <w:shd w:val="clear" w:color="auto" w:fill="FDFDFC"/>
          </w:tcPr>
          <w:p>
            <w:pPr>
              <w:spacing w:after="0"/>
              <w:rPr>
                <w:sz w:val="15"/>
                <w:szCs w:val="15"/>
                <w:color w:val="auto"/>
              </w:rPr>
            </w:pPr>
          </w:p>
        </w:tc>
        <w:tc>
          <w:tcPr>
            <w:tcW w:w="100" w:type="dxa"/>
            <w:vAlign w:val="bottom"/>
            <w:tcBorders>
              <w:bottom w:val="single" w:sz="8" w:color="FDFDFC"/>
            </w:tcBorders>
            <w:shd w:val="clear" w:color="auto" w:fill="FDFDFC"/>
          </w:tcPr>
          <w:p>
            <w:pPr>
              <w:spacing w:after="0"/>
              <w:rPr>
                <w:sz w:val="15"/>
                <w:szCs w:val="15"/>
                <w:color w:val="auto"/>
              </w:rPr>
            </w:pPr>
          </w:p>
        </w:tc>
        <w:tc>
          <w:tcPr>
            <w:tcW w:w="0" w:type="dxa"/>
            <w:vAlign w:val="bottom"/>
          </w:tcPr>
          <w:p>
            <w:pPr>
              <w:spacing w:after="0"/>
              <w:rPr>
                <w:sz w:val="1"/>
                <w:szCs w:val="1"/>
                <w:color w:val="auto"/>
              </w:rPr>
            </w:pPr>
          </w:p>
        </w:tc>
      </w:tr>
      <w:tr>
        <w:trPr>
          <w:trHeight w:val="163"/>
        </w:trPr>
        <w:tc>
          <w:tcPr>
            <w:tcW w:w="2640" w:type="dxa"/>
            <w:vAlign w:val="bottom"/>
            <w:tcBorders>
              <w:bottom w:val="single" w:sz="8" w:color="D0EBF2"/>
            </w:tcBorders>
            <w:shd w:val="clear" w:color="auto" w:fill="FDFDFC"/>
          </w:tcPr>
          <w:p>
            <w:pPr>
              <w:spacing w:after="0"/>
              <w:rPr>
                <w:sz w:val="14"/>
                <w:szCs w:val="14"/>
                <w:color w:val="auto"/>
              </w:rPr>
            </w:pPr>
          </w:p>
        </w:tc>
        <w:tc>
          <w:tcPr>
            <w:tcW w:w="1300" w:type="dxa"/>
            <w:vAlign w:val="bottom"/>
            <w:tcBorders>
              <w:bottom w:val="single" w:sz="8" w:color="231F20"/>
            </w:tcBorders>
            <w:vMerge w:val="continue"/>
            <w:shd w:val="clear" w:color="auto" w:fill="FDFDFC"/>
          </w:tcPr>
          <w:p>
            <w:pPr>
              <w:spacing w:after="0"/>
              <w:rPr>
                <w:sz w:val="14"/>
                <w:szCs w:val="14"/>
                <w:color w:val="auto"/>
              </w:rPr>
            </w:pPr>
          </w:p>
        </w:tc>
        <w:tc>
          <w:tcPr>
            <w:tcW w:w="160" w:type="dxa"/>
            <w:vAlign w:val="bottom"/>
            <w:tcBorders>
              <w:bottom w:val="single" w:sz="8" w:color="D0EBF2"/>
            </w:tcBorders>
            <w:shd w:val="clear" w:color="auto" w:fill="FDFDFC"/>
          </w:tcPr>
          <w:p>
            <w:pPr>
              <w:spacing w:after="0"/>
              <w:rPr>
                <w:sz w:val="14"/>
                <w:szCs w:val="14"/>
                <w:color w:val="auto"/>
              </w:rPr>
            </w:pPr>
          </w:p>
        </w:tc>
        <w:tc>
          <w:tcPr>
            <w:tcW w:w="120" w:type="dxa"/>
            <w:vAlign w:val="bottom"/>
            <w:tcBorders>
              <w:bottom w:val="single" w:sz="8" w:color="231F20"/>
            </w:tcBorders>
            <w:shd w:val="clear" w:color="auto" w:fill="FDFDFC"/>
          </w:tcPr>
          <w:p>
            <w:pPr>
              <w:spacing w:after="0"/>
              <w:rPr>
                <w:sz w:val="14"/>
                <w:szCs w:val="14"/>
                <w:color w:val="auto"/>
              </w:rPr>
            </w:pPr>
          </w:p>
        </w:tc>
        <w:tc>
          <w:tcPr>
            <w:tcW w:w="1320" w:type="dxa"/>
            <w:vAlign w:val="bottom"/>
            <w:tcBorders>
              <w:bottom w:val="single" w:sz="8" w:color="231F20"/>
            </w:tcBorders>
            <w:vMerge w:val="continue"/>
            <w:shd w:val="clear" w:color="auto" w:fill="FDFDFC"/>
          </w:tcPr>
          <w:p>
            <w:pPr>
              <w:spacing w:after="0"/>
              <w:rPr>
                <w:sz w:val="14"/>
                <w:szCs w:val="14"/>
                <w:color w:val="auto"/>
              </w:rPr>
            </w:pPr>
          </w:p>
        </w:tc>
        <w:tc>
          <w:tcPr>
            <w:tcW w:w="240" w:type="dxa"/>
            <w:vAlign w:val="bottom"/>
            <w:tcBorders>
              <w:bottom w:val="single" w:sz="8" w:color="D0EBF2"/>
            </w:tcBorders>
            <w:shd w:val="clear" w:color="auto" w:fill="FDFDFC"/>
          </w:tcPr>
          <w:p>
            <w:pPr>
              <w:spacing w:after="0"/>
              <w:rPr>
                <w:sz w:val="14"/>
                <w:szCs w:val="14"/>
                <w:color w:val="auto"/>
              </w:rPr>
            </w:pPr>
          </w:p>
        </w:tc>
        <w:tc>
          <w:tcPr>
            <w:tcW w:w="300" w:type="dxa"/>
            <w:vAlign w:val="bottom"/>
            <w:tcBorders>
              <w:bottom w:val="single" w:sz="8" w:color="231F20"/>
            </w:tcBorders>
            <w:shd w:val="clear" w:color="auto" w:fill="FDFDFC"/>
          </w:tcPr>
          <w:p>
            <w:pPr>
              <w:spacing w:after="0"/>
              <w:rPr>
                <w:sz w:val="14"/>
                <w:szCs w:val="14"/>
                <w:color w:val="auto"/>
              </w:rPr>
            </w:pPr>
          </w:p>
        </w:tc>
        <w:tc>
          <w:tcPr>
            <w:tcW w:w="980" w:type="dxa"/>
            <w:vAlign w:val="bottom"/>
            <w:tcBorders>
              <w:bottom w:val="single" w:sz="8" w:color="231F20"/>
            </w:tcBorders>
            <w:shd w:val="clear" w:color="auto" w:fill="FDFDFC"/>
          </w:tcPr>
          <w:p>
            <w:pPr>
              <w:jc w:val="right"/>
              <w:ind w:right="413"/>
              <w:spacing w:after="0" w:line="164" w:lineRule="exact"/>
              <w:rPr>
                <w:sz w:val="20"/>
                <w:szCs w:val="20"/>
                <w:color w:val="auto"/>
              </w:rPr>
            </w:pPr>
            <w:r>
              <w:rPr>
                <w:rFonts w:ascii="Times New Roman" w:cs="Times New Roman" w:eastAsia="Times New Roman" w:hAnsi="Times New Roman"/>
                <w:sz w:val="15"/>
                <w:szCs w:val="15"/>
                <w:b w:val="1"/>
                <w:bCs w:val="1"/>
                <w:color w:val="231F20"/>
              </w:rPr>
              <w:t>Paid</w:t>
            </w:r>
          </w:p>
        </w:tc>
        <w:tc>
          <w:tcPr>
            <w:tcW w:w="260" w:type="dxa"/>
            <w:vAlign w:val="bottom"/>
            <w:tcBorders>
              <w:bottom w:val="single" w:sz="8" w:color="D0EBF2"/>
            </w:tcBorders>
            <w:shd w:val="clear" w:color="auto" w:fill="FDFDFC"/>
          </w:tcPr>
          <w:p>
            <w:pPr>
              <w:spacing w:after="0"/>
              <w:rPr>
                <w:sz w:val="14"/>
                <w:szCs w:val="14"/>
                <w:color w:val="auto"/>
              </w:rPr>
            </w:pPr>
          </w:p>
        </w:tc>
        <w:tc>
          <w:tcPr>
            <w:tcW w:w="220" w:type="dxa"/>
            <w:vAlign w:val="bottom"/>
            <w:tcBorders>
              <w:bottom w:val="single" w:sz="8" w:color="231F20"/>
            </w:tcBorders>
            <w:shd w:val="clear" w:color="auto" w:fill="FDFDFC"/>
          </w:tcPr>
          <w:p>
            <w:pPr>
              <w:spacing w:after="0"/>
              <w:rPr>
                <w:sz w:val="14"/>
                <w:szCs w:val="14"/>
                <w:color w:val="auto"/>
              </w:rPr>
            </w:pPr>
          </w:p>
        </w:tc>
        <w:tc>
          <w:tcPr>
            <w:tcW w:w="1040" w:type="dxa"/>
            <w:vAlign w:val="bottom"/>
            <w:tcBorders>
              <w:bottom w:val="single" w:sz="8" w:color="231F20"/>
            </w:tcBorders>
            <w:shd w:val="clear" w:color="auto" w:fill="FDFDFC"/>
          </w:tcPr>
          <w:p>
            <w:pPr>
              <w:jc w:val="right"/>
              <w:ind w:right="251"/>
              <w:spacing w:after="0" w:line="164" w:lineRule="exact"/>
              <w:rPr>
                <w:sz w:val="20"/>
                <w:szCs w:val="20"/>
                <w:color w:val="auto"/>
              </w:rPr>
            </w:pPr>
            <w:r>
              <w:rPr>
                <w:rFonts w:ascii="Times New Roman" w:cs="Times New Roman" w:eastAsia="Times New Roman" w:hAnsi="Times New Roman"/>
                <w:sz w:val="15"/>
                <w:szCs w:val="15"/>
                <w:b w:val="1"/>
                <w:bCs w:val="1"/>
                <w:color w:val="231F20"/>
              </w:rPr>
              <w:t>Received</w:t>
            </w:r>
          </w:p>
        </w:tc>
        <w:tc>
          <w:tcPr>
            <w:tcW w:w="100" w:type="dxa"/>
            <w:vAlign w:val="bottom"/>
            <w:tcBorders>
              <w:bottom w:val="single" w:sz="8" w:color="D0EBF2"/>
            </w:tcBorders>
            <w:shd w:val="clear" w:color="auto" w:fill="FDFDFC"/>
          </w:tcPr>
          <w:p>
            <w:pPr>
              <w:spacing w:after="0"/>
              <w:rPr>
                <w:sz w:val="14"/>
                <w:szCs w:val="14"/>
                <w:color w:val="auto"/>
              </w:rPr>
            </w:pPr>
          </w:p>
        </w:tc>
        <w:tc>
          <w:tcPr>
            <w:tcW w:w="160" w:type="dxa"/>
            <w:vAlign w:val="bottom"/>
            <w:tcBorders>
              <w:bottom w:val="single" w:sz="8" w:color="D0EBF2"/>
            </w:tcBorders>
            <w:shd w:val="clear" w:color="auto" w:fill="FDFDFC"/>
          </w:tcPr>
          <w:p>
            <w:pPr>
              <w:spacing w:after="0"/>
              <w:rPr>
                <w:sz w:val="14"/>
                <w:szCs w:val="14"/>
                <w:color w:val="auto"/>
              </w:rPr>
            </w:pPr>
          </w:p>
        </w:tc>
        <w:tc>
          <w:tcPr>
            <w:tcW w:w="440" w:type="dxa"/>
            <w:vAlign w:val="bottom"/>
            <w:tcBorders>
              <w:bottom w:val="single" w:sz="8" w:color="231F20"/>
            </w:tcBorders>
            <w:shd w:val="clear" w:color="auto" w:fill="FDFDFC"/>
          </w:tcPr>
          <w:p>
            <w:pPr>
              <w:spacing w:after="0"/>
              <w:rPr>
                <w:sz w:val="14"/>
                <w:szCs w:val="14"/>
                <w:color w:val="auto"/>
              </w:rPr>
            </w:pPr>
          </w:p>
        </w:tc>
        <w:tc>
          <w:tcPr>
            <w:tcW w:w="820" w:type="dxa"/>
            <w:vAlign w:val="bottom"/>
            <w:tcBorders>
              <w:bottom w:val="single" w:sz="8" w:color="231F20"/>
            </w:tcBorders>
            <w:shd w:val="clear" w:color="auto" w:fill="FDFDFC"/>
          </w:tcPr>
          <w:p>
            <w:pPr>
              <w:jc w:val="right"/>
              <w:ind w:right="431"/>
              <w:spacing w:after="0" w:line="164" w:lineRule="exact"/>
              <w:rPr>
                <w:sz w:val="20"/>
                <w:szCs w:val="20"/>
                <w:color w:val="auto"/>
              </w:rPr>
            </w:pPr>
            <w:r>
              <w:rPr>
                <w:rFonts w:ascii="Times New Roman" w:cs="Times New Roman" w:eastAsia="Times New Roman" w:hAnsi="Times New Roman"/>
                <w:sz w:val="15"/>
                <w:szCs w:val="15"/>
                <w:b w:val="1"/>
                <w:bCs w:val="1"/>
                <w:color w:val="231F20"/>
              </w:rPr>
              <w:t>Net</w:t>
            </w:r>
          </w:p>
        </w:tc>
        <w:tc>
          <w:tcPr>
            <w:tcW w:w="100" w:type="dxa"/>
            <w:vAlign w:val="bottom"/>
            <w:tcBorders>
              <w:bottom w:val="single" w:sz="8" w:color="D0EBF2"/>
            </w:tcBorders>
            <w:shd w:val="clear" w:color="auto" w:fill="FDFDFC"/>
          </w:tcPr>
          <w:p>
            <w:pPr>
              <w:spacing w:after="0"/>
              <w:rPr>
                <w:sz w:val="14"/>
                <w:szCs w:val="14"/>
                <w:color w:val="auto"/>
              </w:rPr>
            </w:pPr>
          </w:p>
        </w:tc>
        <w:tc>
          <w:tcPr>
            <w:tcW w:w="0" w:type="dxa"/>
            <w:vAlign w:val="bottom"/>
          </w:tcPr>
          <w:p>
            <w:pPr>
              <w:spacing w:after="0"/>
              <w:rPr>
                <w:sz w:val="1"/>
                <w:szCs w:val="1"/>
                <w:color w:val="auto"/>
              </w:rPr>
            </w:pPr>
          </w:p>
        </w:tc>
      </w:tr>
      <w:tr>
        <w:trPr>
          <w:trHeight w:val="207"/>
        </w:trPr>
        <w:tc>
          <w:tcPr>
            <w:tcW w:w="2640" w:type="dxa"/>
            <w:vAlign w:val="bottom"/>
            <w:shd w:val="clear" w:color="auto" w:fill="D0EBF2"/>
          </w:tcPr>
          <w:p>
            <w:pPr>
              <w:spacing w:after="0" w:line="207" w:lineRule="exact"/>
              <w:rPr>
                <w:sz w:val="20"/>
                <w:szCs w:val="20"/>
                <w:color w:val="auto"/>
              </w:rPr>
            </w:pPr>
            <w:r>
              <w:rPr>
                <w:rFonts w:ascii="Times New Roman" w:cs="Times New Roman" w:eastAsia="Times New Roman" w:hAnsi="Times New Roman"/>
                <w:sz w:val="18"/>
                <w:szCs w:val="18"/>
                <w:color w:val="231F20"/>
              </w:rPr>
              <w:t xml:space="preserve">Interest rate swap </w:t>
            </w:r>
            <w:r>
              <w:rPr>
                <w:rFonts w:ascii="Times New Roman" w:cs="Times New Roman" w:eastAsia="Times New Roman" w:hAnsi="Times New Roman"/>
                <w:sz w:val="22"/>
                <w:szCs w:val="22"/>
                <w:color w:val="231F20"/>
                <w:vertAlign w:val="superscript"/>
              </w:rPr>
              <w:t>(1)</w:t>
            </w:r>
          </w:p>
        </w:tc>
        <w:tc>
          <w:tcPr>
            <w:tcW w:w="1300" w:type="dxa"/>
            <w:vAlign w:val="bottom"/>
            <w:shd w:val="clear" w:color="auto" w:fill="D0EBF2"/>
          </w:tcPr>
          <w:p>
            <w:pPr>
              <w:jc w:val="right"/>
              <w:spacing w:after="0"/>
              <w:rPr>
                <w:sz w:val="20"/>
                <w:szCs w:val="20"/>
                <w:color w:val="auto"/>
              </w:rPr>
            </w:pPr>
            <w:r>
              <w:rPr>
                <w:rFonts w:ascii="Times New Roman" w:cs="Times New Roman" w:eastAsia="Times New Roman" w:hAnsi="Times New Roman"/>
                <w:sz w:val="18"/>
                <w:szCs w:val="18"/>
                <w:color w:val="231F20"/>
              </w:rPr>
              <w:t>1/22/2023</w:t>
            </w:r>
          </w:p>
        </w:tc>
        <w:tc>
          <w:tcPr>
            <w:tcW w:w="160" w:type="dxa"/>
            <w:vAlign w:val="bottom"/>
            <w:shd w:val="clear" w:color="auto" w:fill="D0EBF2"/>
          </w:tcPr>
          <w:p>
            <w:pPr>
              <w:spacing w:after="0"/>
              <w:rPr>
                <w:sz w:val="17"/>
                <w:szCs w:val="17"/>
                <w:color w:val="auto"/>
              </w:rPr>
            </w:pPr>
          </w:p>
        </w:tc>
        <w:tc>
          <w:tcPr>
            <w:tcW w:w="120" w:type="dxa"/>
            <w:vAlign w:val="bottom"/>
            <w:shd w:val="clear" w:color="auto" w:fill="D0EBF2"/>
          </w:tcPr>
          <w:p>
            <w:pPr>
              <w:jc w:val="right"/>
              <w:spacing w:after="0" w:line="207" w:lineRule="exact"/>
              <w:rPr>
                <w:sz w:val="20"/>
                <w:szCs w:val="20"/>
                <w:color w:val="auto"/>
              </w:rPr>
            </w:pPr>
            <w:r>
              <w:rPr>
                <w:rFonts w:ascii="Times New Roman" w:cs="Times New Roman" w:eastAsia="Times New Roman" w:hAnsi="Times New Roman"/>
                <w:sz w:val="19"/>
                <w:szCs w:val="19"/>
                <w:color w:val="231F20"/>
                <w:w w:val="83"/>
              </w:rPr>
              <w:t>$</w:t>
            </w:r>
          </w:p>
        </w:tc>
        <w:tc>
          <w:tcPr>
            <w:tcW w:w="1320" w:type="dxa"/>
            <w:vAlign w:val="bottom"/>
            <w:shd w:val="clear" w:color="auto" w:fill="D0EBF2"/>
          </w:tcPr>
          <w:p>
            <w:pPr>
              <w:jc w:val="right"/>
              <w:spacing w:after="0" w:line="207" w:lineRule="exact"/>
              <w:rPr>
                <w:sz w:val="20"/>
                <w:szCs w:val="20"/>
                <w:color w:val="auto"/>
              </w:rPr>
            </w:pPr>
            <w:r>
              <w:rPr>
                <w:rFonts w:ascii="Times New Roman" w:cs="Times New Roman" w:eastAsia="Times New Roman" w:hAnsi="Times New Roman"/>
                <w:sz w:val="19"/>
                <w:szCs w:val="19"/>
                <w:color w:val="231F20"/>
              </w:rPr>
              <w:t>—</w:t>
            </w:r>
          </w:p>
        </w:tc>
        <w:tc>
          <w:tcPr>
            <w:tcW w:w="240" w:type="dxa"/>
            <w:vAlign w:val="bottom"/>
            <w:shd w:val="clear" w:color="auto" w:fill="D0EBF2"/>
          </w:tcPr>
          <w:p>
            <w:pPr>
              <w:spacing w:after="0"/>
              <w:rPr>
                <w:sz w:val="17"/>
                <w:szCs w:val="17"/>
                <w:color w:val="auto"/>
              </w:rPr>
            </w:pPr>
          </w:p>
        </w:tc>
        <w:tc>
          <w:tcPr>
            <w:tcW w:w="300" w:type="dxa"/>
            <w:vAlign w:val="bottom"/>
            <w:shd w:val="clear" w:color="auto" w:fill="D0EBF2"/>
          </w:tcPr>
          <w:p>
            <w:pPr>
              <w:jc w:val="right"/>
              <w:ind w:right="108"/>
              <w:spacing w:after="0"/>
              <w:rPr>
                <w:sz w:val="20"/>
                <w:szCs w:val="20"/>
                <w:color w:val="auto"/>
              </w:rPr>
            </w:pPr>
            <w:r>
              <w:rPr>
                <w:rFonts w:ascii="Times New Roman" w:cs="Times New Roman" w:eastAsia="Times New Roman" w:hAnsi="Times New Roman"/>
                <w:sz w:val="18"/>
                <w:szCs w:val="18"/>
                <w:color w:val="231F20"/>
                <w:w w:val="88"/>
              </w:rPr>
              <w:t>$</w:t>
            </w:r>
          </w:p>
        </w:tc>
        <w:tc>
          <w:tcPr>
            <w:tcW w:w="980" w:type="dxa"/>
            <w:vAlign w:val="bottom"/>
            <w:shd w:val="clear" w:color="auto" w:fill="D0EBF2"/>
          </w:tcPr>
          <w:p>
            <w:pPr>
              <w:jc w:val="right"/>
              <w:spacing w:after="0"/>
              <w:rPr>
                <w:sz w:val="20"/>
                <w:szCs w:val="20"/>
                <w:color w:val="auto"/>
              </w:rPr>
            </w:pPr>
            <w:r>
              <w:rPr>
                <w:rFonts w:ascii="Times New Roman" w:cs="Times New Roman" w:eastAsia="Times New Roman" w:hAnsi="Times New Roman"/>
                <w:sz w:val="18"/>
                <w:szCs w:val="18"/>
                <w:color w:val="231F20"/>
              </w:rPr>
              <w:t>(663)</w:t>
            </w:r>
          </w:p>
        </w:tc>
        <w:tc>
          <w:tcPr>
            <w:tcW w:w="260" w:type="dxa"/>
            <w:vAlign w:val="bottom"/>
            <w:shd w:val="clear" w:color="auto" w:fill="D0EBF2"/>
          </w:tcPr>
          <w:p>
            <w:pPr>
              <w:spacing w:after="0"/>
              <w:rPr>
                <w:sz w:val="17"/>
                <w:szCs w:val="17"/>
                <w:color w:val="auto"/>
              </w:rPr>
            </w:pPr>
          </w:p>
        </w:tc>
        <w:tc>
          <w:tcPr>
            <w:tcW w:w="220" w:type="dxa"/>
            <w:vAlign w:val="bottom"/>
            <w:shd w:val="clear" w:color="auto" w:fill="D0EBF2"/>
          </w:tcPr>
          <w:p>
            <w:pPr>
              <w:jc w:val="right"/>
              <w:ind w:right="51"/>
              <w:spacing w:after="0"/>
              <w:rPr>
                <w:sz w:val="20"/>
                <w:szCs w:val="20"/>
                <w:color w:val="auto"/>
              </w:rPr>
            </w:pPr>
            <w:r>
              <w:rPr>
                <w:rFonts w:ascii="Times New Roman" w:cs="Times New Roman" w:eastAsia="Times New Roman" w:hAnsi="Times New Roman"/>
                <w:sz w:val="17"/>
                <w:szCs w:val="17"/>
                <w:color w:val="231F20"/>
                <w:w w:val="70"/>
              </w:rPr>
              <w:t>$</w:t>
            </w:r>
          </w:p>
        </w:tc>
        <w:tc>
          <w:tcPr>
            <w:tcW w:w="1040" w:type="dxa"/>
            <w:vAlign w:val="bottom"/>
            <w:shd w:val="clear" w:color="auto" w:fill="D0EBF2"/>
          </w:tcPr>
          <w:p>
            <w:pPr>
              <w:jc w:val="right"/>
              <w:spacing w:after="0"/>
              <w:rPr>
                <w:sz w:val="20"/>
                <w:szCs w:val="20"/>
                <w:color w:val="auto"/>
              </w:rPr>
            </w:pPr>
            <w:r>
              <w:rPr>
                <w:rFonts w:ascii="Times New Roman" w:cs="Times New Roman" w:eastAsia="Times New Roman" w:hAnsi="Times New Roman"/>
                <w:sz w:val="18"/>
                <w:szCs w:val="18"/>
                <w:color w:val="231F20"/>
              </w:rPr>
              <w:t>431</w:t>
            </w:r>
          </w:p>
        </w:tc>
        <w:tc>
          <w:tcPr>
            <w:tcW w:w="260" w:type="dxa"/>
            <w:vAlign w:val="bottom"/>
            <w:gridSpan w:val="2"/>
            <w:shd w:val="clear" w:color="auto" w:fill="D0EBF2"/>
          </w:tcPr>
          <w:p>
            <w:pPr>
              <w:spacing w:after="0"/>
              <w:rPr>
                <w:sz w:val="17"/>
                <w:szCs w:val="17"/>
                <w:color w:val="auto"/>
              </w:rPr>
            </w:pPr>
          </w:p>
        </w:tc>
        <w:tc>
          <w:tcPr>
            <w:tcW w:w="440" w:type="dxa"/>
            <w:vAlign w:val="bottom"/>
            <w:shd w:val="clear" w:color="auto" w:fill="D0EBF2"/>
          </w:tcPr>
          <w:p>
            <w:pPr>
              <w:jc w:val="right"/>
              <w:ind w:right="250"/>
              <w:spacing w:after="0"/>
              <w:rPr>
                <w:sz w:val="20"/>
                <w:szCs w:val="20"/>
                <w:color w:val="auto"/>
              </w:rPr>
            </w:pPr>
            <w:r>
              <w:rPr>
                <w:rFonts w:ascii="Times New Roman" w:cs="Times New Roman" w:eastAsia="Times New Roman" w:hAnsi="Times New Roman"/>
                <w:sz w:val="18"/>
                <w:szCs w:val="18"/>
                <w:color w:val="231F20"/>
                <w:w w:val="88"/>
              </w:rPr>
              <w:t>$</w:t>
            </w:r>
          </w:p>
        </w:tc>
        <w:tc>
          <w:tcPr>
            <w:tcW w:w="820" w:type="dxa"/>
            <w:vAlign w:val="bottom"/>
            <w:shd w:val="clear" w:color="auto" w:fill="D0EBF2"/>
          </w:tcPr>
          <w:p>
            <w:pPr>
              <w:jc w:val="right"/>
              <w:spacing w:after="0"/>
              <w:rPr>
                <w:sz w:val="20"/>
                <w:szCs w:val="20"/>
                <w:color w:val="auto"/>
              </w:rPr>
            </w:pPr>
            <w:r>
              <w:rPr>
                <w:rFonts w:ascii="Times New Roman" w:cs="Times New Roman" w:eastAsia="Times New Roman" w:hAnsi="Times New Roman"/>
                <w:sz w:val="18"/>
                <w:szCs w:val="18"/>
                <w:color w:val="231F20"/>
              </w:rPr>
              <w:t>(232)</w:t>
            </w:r>
          </w:p>
        </w:tc>
        <w:tc>
          <w:tcPr>
            <w:tcW w:w="100" w:type="dxa"/>
            <w:vAlign w:val="bottom"/>
            <w:shd w:val="clear" w:color="auto" w:fill="D0EBF2"/>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640" w:type="dxa"/>
            <w:vAlign w:val="bottom"/>
            <w:shd w:val="clear" w:color="auto" w:fill="FDFDFC"/>
          </w:tcPr>
          <w:p>
            <w:pPr>
              <w:spacing w:after="0"/>
              <w:rPr>
                <w:sz w:val="20"/>
                <w:szCs w:val="20"/>
                <w:color w:val="auto"/>
              </w:rPr>
            </w:pPr>
            <w:r>
              <w:rPr>
                <w:rFonts w:ascii="Times New Roman" w:cs="Times New Roman" w:eastAsia="Times New Roman" w:hAnsi="Times New Roman"/>
                <w:sz w:val="18"/>
                <w:szCs w:val="18"/>
                <w:color w:val="231F20"/>
              </w:rPr>
              <w:t>Interest rate swap</w:t>
            </w:r>
          </w:p>
        </w:tc>
        <w:tc>
          <w:tcPr>
            <w:tcW w:w="1300" w:type="dxa"/>
            <w:vAlign w:val="bottom"/>
            <w:shd w:val="clear" w:color="auto" w:fill="FDFDFC"/>
          </w:tcPr>
          <w:p>
            <w:pPr>
              <w:jc w:val="right"/>
              <w:spacing w:after="0"/>
              <w:rPr>
                <w:sz w:val="20"/>
                <w:szCs w:val="20"/>
                <w:color w:val="auto"/>
              </w:rPr>
            </w:pPr>
            <w:r>
              <w:rPr>
                <w:rFonts w:ascii="Times New Roman" w:cs="Times New Roman" w:eastAsia="Times New Roman" w:hAnsi="Times New Roman"/>
                <w:sz w:val="18"/>
                <w:szCs w:val="18"/>
                <w:color w:val="231F20"/>
              </w:rPr>
              <w:t>11/1/2024</w:t>
            </w:r>
          </w:p>
        </w:tc>
        <w:tc>
          <w:tcPr>
            <w:tcW w:w="160" w:type="dxa"/>
            <w:vAlign w:val="bottom"/>
            <w:shd w:val="clear" w:color="auto" w:fill="FDFDFC"/>
          </w:tcPr>
          <w:p>
            <w:pPr>
              <w:spacing w:after="0"/>
              <w:rPr>
                <w:sz w:val="17"/>
                <w:szCs w:val="17"/>
                <w:color w:val="auto"/>
              </w:rPr>
            </w:pPr>
          </w:p>
        </w:tc>
        <w:tc>
          <w:tcPr>
            <w:tcW w:w="120" w:type="dxa"/>
            <w:vAlign w:val="bottom"/>
            <w:shd w:val="clear" w:color="auto" w:fill="FDFDFC"/>
          </w:tcPr>
          <w:p>
            <w:pPr>
              <w:spacing w:after="0"/>
              <w:rPr>
                <w:sz w:val="17"/>
                <w:szCs w:val="17"/>
                <w:color w:val="auto"/>
              </w:rPr>
            </w:pPr>
          </w:p>
        </w:tc>
        <w:tc>
          <w:tcPr>
            <w:tcW w:w="1320" w:type="dxa"/>
            <w:vAlign w:val="bottom"/>
            <w:shd w:val="clear" w:color="auto" w:fill="FDFDFC"/>
          </w:tcPr>
          <w:p>
            <w:pPr>
              <w:jc w:val="right"/>
              <w:spacing w:after="0"/>
              <w:rPr>
                <w:sz w:val="20"/>
                <w:szCs w:val="20"/>
                <w:color w:val="auto"/>
              </w:rPr>
            </w:pPr>
            <w:r>
              <w:rPr>
                <w:rFonts w:ascii="Times New Roman" w:cs="Times New Roman" w:eastAsia="Times New Roman" w:hAnsi="Times New Roman"/>
                <w:sz w:val="18"/>
                <w:szCs w:val="18"/>
                <w:color w:val="231F20"/>
              </w:rPr>
              <w:t>300,000</w:t>
            </w:r>
          </w:p>
        </w:tc>
        <w:tc>
          <w:tcPr>
            <w:tcW w:w="240" w:type="dxa"/>
            <w:vAlign w:val="bottom"/>
            <w:shd w:val="clear" w:color="auto" w:fill="FDFDFC"/>
          </w:tcPr>
          <w:p>
            <w:pPr>
              <w:spacing w:after="0"/>
              <w:rPr>
                <w:sz w:val="17"/>
                <w:szCs w:val="17"/>
                <w:color w:val="auto"/>
              </w:rPr>
            </w:pPr>
          </w:p>
        </w:tc>
        <w:tc>
          <w:tcPr>
            <w:tcW w:w="300" w:type="dxa"/>
            <w:vAlign w:val="bottom"/>
            <w:shd w:val="clear" w:color="auto" w:fill="FDFDFC"/>
          </w:tcPr>
          <w:p>
            <w:pPr>
              <w:spacing w:after="0"/>
              <w:rPr>
                <w:sz w:val="17"/>
                <w:szCs w:val="17"/>
                <w:color w:val="auto"/>
              </w:rPr>
            </w:pPr>
          </w:p>
        </w:tc>
        <w:tc>
          <w:tcPr>
            <w:tcW w:w="980" w:type="dxa"/>
            <w:vAlign w:val="bottom"/>
            <w:shd w:val="clear" w:color="auto" w:fill="FDFDFC"/>
          </w:tcPr>
          <w:p>
            <w:pPr>
              <w:jc w:val="right"/>
              <w:spacing w:after="0"/>
              <w:rPr>
                <w:sz w:val="20"/>
                <w:szCs w:val="20"/>
                <w:color w:val="auto"/>
              </w:rPr>
            </w:pPr>
            <w:r>
              <w:rPr>
                <w:rFonts w:ascii="Times New Roman" w:cs="Times New Roman" w:eastAsia="Times New Roman" w:hAnsi="Times New Roman"/>
                <w:sz w:val="18"/>
                <w:szCs w:val="18"/>
                <w:color w:val="231F20"/>
              </w:rPr>
              <w:t>(22,776)</w:t>
            </w:r>
          </w:p>
        </w:tc>
        <w:tc>
          <w:tcPr>
            <w:tcW w:w="260" w:type="dxa"/>
            <w:vAlign w:val="bottom"/>
            <w:shd w:val="clear" w:color="auto" w:fill="FDFDFC"/>
          </w:tcPr>
          <w:p>
            <w:pPr>
              <w:spacing w:after="0"/>
              <w:rPr>
                <w:sz w:val="17"/>
                <w:szCs w:val="17"/>
                <w:color w:val="auto"/>
              </w:rPr>
            </w:pPr>
          </w:p>
        </w:tc>
        <w:tc>
          <w:tcPr>
            <w:tcW w:w="220" w:type="dxa"/>
            <w:vAlign w:val="bottom"/>
            <w:shd w:val="clear" w:color="auto" w:fill="FDFDFC"/>
          </w:tcPr>
          <w:p>
            <w:pPr>
              <w:spacing w:after="0"/>
              <w:rPr>
                <w:sz w:val="17"/>
                <w:szCs w:val="17"/>
                <w:color w:val="auto"/>
              </w:rPr>
            </w:pPr>
          </w:p>
        </w:tc>
        <w:tc>
          <w:tcPr>
            <w:tcW w:w="1040" w:type="dxa"/>
            <w:vAlign w:val="bottom"/>
            <w:shd w:val="clear" w:color="auto" w:fill="FDFDFC"/>
          </w:tcPr>
          <w:p>
            <w:pPr>
              <w:jc w:val="right"/>
              <w:spacing w:after="0"/>
              <w:rPr>
                <w:sz w:val="20"/>
                <w:szCs w:val="20"/>
                <w:color w:val="auto"/>
              </w:rPr>
            </w:pPr>
            <w:r>
              <w:rPr>
                <w:rFonts w:ascii="Times New Roman" w:cs="Times New Roman" w:eastAsia="Times New Roman" w:hAnsi="Times New Roman"/>
                <w:sz w:val="18"/>
                <w:szCs w:val="18"/>
                <w:color w:val="231F20"/>
              </w:rPr>
              <w:t>11,625</w:t>
            </w:r>
          </w:p>
        </w:tc>
        <w:tc>
          <w:tcPr>
            <w:tcW w:w="100" w:type="dxa"/>
            <w:vAlign w:val="bottom"/>
            <w:shd w:val="clear" w:color="auto" w:fill="FDFDFC"/>
          </w:tcPr>
          <w:p>
            <w:pPr>
              <w:spacing w:after="0"/>
              <w:rPr>
                <w:sz w:val="17"/>
                <w:szCs w:val="17"/>
                <w:color w:val="auto"/>
              </w:rPr>
            </w:pPr>
          </w:p>
        </w:tc>
        <w:tc>
          <w:tcPr>
            <w:tcW w:w="160" w:type="dxa"/>
            <w:vAlign w:val="bottom"/>
            <w:shd w:val="clear" w:color="auto" w:fill="FDFDFC"/>
          </w:tcPr>
          <w:p>
            <w:pPr>
              <w:spacing w:after="0"/>
              <w:rPr>
                <w:sz w:val="17"/>
                <w:szCs w:val="17"/>
                <w:color w:val="auto"/>
              </w:rPr>
            </w:pPr>
          </w:p>
        </w:tc>
        <w:tc>
          <w:tcPr>
            <w:tcW w:w="440" w:type="dxa"/>
            <w:vAlign w:val="bottom"/>
            <w:shd w:val="clear" w:color="auto" w:fill="FDFDFC"/>
          </w:tcPr>
          <w:p>
            <w:pPr>
              <w:spacing w:after="0"/>
              <w:rPr>
                <w:sz w:val="17"/>
                <w:szCs w:val="17"/>
                <w:color w:val="auto"/>
              </w:rPr>
            </w:pPr>
          </w:p>
        </w:tc>
        <w:tc>
          <w:tcPr>
            <w:tcW w:w="820" w:type="dxa"/>
            <w:vAlign w:val="bottom"/>
            <w:shd w:val="clear" w:color="auto" w:fill="FDFDFC"/>
          </w:tcPr>
          <w:p>
            <w:pPr>
              <w:jc w:val="right"/>
              <w:spacing w:after="0"/>
              <w:rPr>
                <w:sz w:val="20"/>
                <w:szCs w:val="20"/>
                <w:color w:val="auto"/>
              </w:rPr>
            </w:pPr>
            <w:r>
              <w:rPr>
                <w:rFonts w:ascii="Times New Roman" w:cs="Times New Roman" w:eastAsia="Times New Roman" w:hAnsi="Times New Roman"/>
                <w:sz w:val="18"/>
                <w:szCs w:val="18"/>
                <w:color w:val="231F20"/>
              </w:rPr>
              <w:t>(11,151)</w:t>
            </w:r>
          </w:p>
        </w:tc>
        <w:tc>
          <w:tcPr>
            <w:tcW w:w="100" w:type="dxa"/>
            <w:vAlign w:val="bottom"/>
            <w:shd w:val="clear" w:color="auto" w:fill="FDFDFC"/>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640" w:type="dxa"/>
            <w:vAlign w:val="bottom"/>
            <w:shd w:val="clear" w:color="auto" w:fill="D0EBF2"/>
          </w:tcPr>
          <w:p>
            <w:pPr>
              <w:spacing w:after="0"/>
              <w:rPr>
                <w:sz w:val="20"/>
                <w:szCs w:val="20"/>
                <w:color w:val="auto"/>
              </w:rPr>
            </w:pPr>
            <w:r>
              <w:rPr>
                <w:rFonts w:ascii="Times New Roman" w:cs="Times New Roman" w:eastAsia="Times New Roman" w:hAnsi="Times New Roman"/>
                <w:sz w:val="18"/>
                <w:szCs w:val="18"/>
                <w:color w:val="231F20"/>
              </w:rPr>
              <w:t>Interest rate swap</w:t>
            </w:r>
          </w:p>
        </w:tc>
        <w:tc>
          <w:tcPr>
            <w:tcW w:w="1300" w:type="dxa"/>
            <w:vAlign w:val="bottom"/>
            <w:shd w:val="clear" w:color="auto" w:fill="D0EBF2"/>
          </w:tcPr>
          <w:p>
            <w:pPr>
              <w:jc w:val="right"/>
              <w:spacing w:after="0"/>
              <w:rPr>
                <w:sz w:val="20"/>
                <w:szCs w:val="20"/>
                <w:color w:val="auto"/>
              </w:rPr>
            </w:pPr>
            <w:r>
              <w:rPr>
                <w:rFonts w:ascii="Times New Roman" w:cs="Times New Roman" w:eastAsia="Times New Roman" w:hAnsi="Times New Roman"/>
                <w:sz w:val="18"/>
                <w:szCs w:val="18"/>
                <w:color w:val="231F20"/>
              </w:rPr>
              <w:t>11/1/2024</w:t>
            </w:r>
          </w:p>
        </w:tc>
        <w:tc>
          <w:tcPr>
            <w:tcW w:w="160" w:type="dxa"/>
            <w:vAlign w:val="bottom"/>
            <w:shd w:val="clear" w:color="auto" w:fill="D0EBF2"/>
          </w:tcPr>
          <w:p>
            <w:pPr>
              <w:spacing w:after="0"/>
              <w:rPr>
                <w:sz w:val="17"/>
                <w:szCs w:val="17"/>
                <w:color w:val="auto"/>
              </w:rPr>
            </w:pPr>
          </w:p>
        </w:tc>
        <w:tc>
          <w:tcPr>
            <w:tcW w:w="120" w:type="dxa"/>
            <w:vAlign w:val="bottom"/>
            <w:shd w:val="clear" w:color="auto" w:fill="D0EBF2"/>
          </w:tcPr>
          <w:p>
            <w:pPr>
              <w:spacing w:after="0"/>
              <w:rPr>
                <w:sz w:val="17"/>
                <w:szCs w:val="17"/>
                <w:color w:val="auto"/>
              </w:rPr>
            </w:pPr>
          </w:p>
        </w:tc>
        <w:tc>
          <w:tcPr>
            <w:tcW w:w="1320" w:type="dxa"/>
            <w:vAlign w:val="bottom"/>
            <w:shd w:val="clear" w:color="auto" w:fill="D0EBF2"/>
          </w:tcPr>
          <w:p>
            <w:pPr>
              <w:jc w:val="right"/>
              <w:spacing w:after="0"/>
              <w:rPr>
                <w:sz w:val="20"/>
                <w:szCs w:val="20"/>
                <w:color w:val="auto"/>
              </w:rPr>
            </w:pPr>
            <w:r>
              <w:rPr>
                <w:rFonts w:ascii="Times New Roman" w:cs="Times New Roman" w:eastAsia="Times New Roman" w:hAnsi="Times New Roman"/>
                <w:sz w:val="18"/>
                <w:szCs w:val="18"/>
                <w:color w:val="231F20"/>
              </w:rPr>
              <w:t>50,000</w:t>
            </w:r>
          </w:p>
        </w:tc>
        <w:tc>
          <w:tcPr>
            <w:tcW w:w="240" w:type="dxa"/>
            <w:vAlign w:val="bottom"/>
            <w:shd w:val="clear" w:color="auto" w:fill="D0EBF2"/>
          </w:tcPr>
          <w:p>
            <w:pPr>
              <w:spacing w:after="0"/>
              <w:rPr>
                <w:sz w:val="17"/>
                <w:szCs w:val="17"/>
                <w:color w:val="auto"/>
              </w:rPr>
            </w:pPr>
          </w:p>
        </w:tc>
        <w:tc>
          <w:tcPr>
            <w:tcW w:w="300" w:type="dxa"/>
            <w:vAlign w:val="bottom"/>
            <w:shd w:val="clear" w:color="auto" w:fill="D0EBF2"/>
          </w:tcPr>
          <w:p>
            <w:pPr>
              <w:spacing w:after="0"/>
              <w:rPr>
                <w:sz w:val="17"/>
                <w:szCs w:val="17"/>
                <w:color w:val="auto"/>
              </w:rPr>
            </w:pPr>
          </w:p>
        </w:tc>
        <w:tc>
          <w:tcPr>
            <w:tcW w:w="1240" w:type="dxa"/>
            <w:vAlign w:val="bottom"/>
            <w:gridSpan w:val="2"/>
            <w:shd w:val="clear" w:color="auto" w:fill="D0EBF2"/>
          </w:tcPr>
          <w:p>
            <w:pPr>
              <w:jc w:val="right"/>
              <w:ind w:right="200"/>
              <w:spacing w:after="0"/>
              <w:rPr>
                <w:sz w:val="20"/>
                <w:szCs w:val="20"/>
                <w:color w:val="auto"/>
              </w:rPr>
            </w:pPr>
            <w:r>
              <w:rPr>
                <w:rFonts w:ascii="Times New Roman" w:cs="Times New Roman" w:eastAsia="Times New Roman" w:hAnsi="Times New Roman"/>
                <w:sz w:val="18"/>
                <w:szCs w:val="18"/>
                <w:color w:val="231F20"/>
              </w:rPr>
              <w:t>(3,903)</w:t>
            </w:r>
          </w:p>
        </w:tc>
        <w:tc>
          <w:tcPr>
            <w:tcW w:w="220" w:type="dxa"/>
            <w:vAlign w:val="bottom"/>
            <w:shd w:val="clear" w:color="auto" w:fill="D0EBF2"/>
          </w:tcPr>
          <w:p>
            <w:pPr>
              <w:spacing w:after="0"/>
              <w:rPr>
                <w:sz w:val="17"/>
                <w:szCs w:val="17"/>
                <w:color w:val="auto"/>
              </w:rPr>
            </w:pPr>
          </w:p>
        </w:tc>
        <w:tc>
          <w:tcPr>
            <w:tcW w:w="1040" w:type="dxa"/>
            <w:vAlign w:val="bottom"/>
            <w:shd w:val="clear" w:color="auto" w:fill="D0EBF2"/>
          </w:tcPr>
          <w:p>
            <w:pPr>
              <w:jc w:val="right"/>
              <w:spacing w:after="0"/>
              <w:rPr>
                <w:sz w:val="20"/>
                <w:szCs w:val="20"/>
                <w:color w:val="auto"/>
              </w:rPr>
            </w:pPr>
            <w:r>
              <w:rPr>
                <w:rFonts w:ascii="Times New Roman" w:cs="Times New Roman" w:eastAsia="Times New Roman" w:hAnsi="Times New Roman"/>
                <w:sz w:val="18"/>
                <w:szCs w:val="18"/>
                <w:color w:val="231F20"/>
              </w:rPr>
              <w:t>1,938</w:t>
            </w:r>
          </w:p>
        </w:tc>
        <w:tc>
          <w:tcPr>
            <w:tcW w:w="100" w:type="dxa"/>
            <w:vAlign w:val="bottom"/>
            <w:shd w:val="clear" w:color="auto" w:fill="D0EBF2"/>
          </w:tcPr>
          <w:p>
            <w:pPr>
              <w:spacing w:after="0"/>
              <w:rPr>
                <w:sz w:val="17"/>
                <w:szCs w:val="17"/>
                <w:color w:val="auto"/>
              </w:rPr>
            </w:pPr>
          </w:p>
        </w:tc>
        <w:tc>
          <w:tcPr>
            <w:tcW w:w="160" w:type="dxa"/>
            <w:vAlign w:val="bottom"/>
            <w:shd w:val="clear" w:color="auto" w:fill="D0EBF2"/>
          </w:tcPr>
          <w:p>
            <w:pPr>
              <w:spacing w:after="0"/>
              <w:rPr>
                <w:sz w:val="17"/>
                <w:szCs w:val="17"/>
                <w:color w:val="auto"/>
              </w:rPr>
            </w:pPr>
          </w:p>
        </w:tc>
        <w:tc>
          <w:tcPr>
            <w:tcW w:w="440" w:type="dxa"/>
            <w:vAlign w:val="bottom"/>
            <w:shd w:val="clear" w:color="auto" w:fill="D0EBF2"/>
          </w:tcPr>
          <w:p>
            <w:pPr>
              <w:spacing w:after="0"/>
              <w:rPr>
                <w:sz w:val="17"/>
                <w:szCs w:val="17"/>
                <w:color w:val="auto"/>
              </w:rPr>
            </w:pPr>
          </w:p>
        </w:tc>
        <w:tc>
          <w:tcPr>
            <w:tcW w:w="920" w:type="dxa"/>
            <w:vAlign w:val="bottom"/>
            <w:gridSpan w:val="2"/>
            <w:shd w:val="clear" w:color="auto" w:fill="D0EBF2"/>
          </w:tcPr>
          <w:p>
            <w:pPr>
              <w:jc w:val="right"/>
              <w:ind w:right="40"/>
              <w:spacing w:after="0"/>
              <w:rPr>
                <w:sz w:val="20"/>
                <w:szCs w:val="20"/>
                <w:color w:val="auto"/>
              </w:rPr>
            </w:pPr>
            <w:r>
              <w:rPr>
                <w:rFonts w:ascii="Times New Roman" w:cs="Times New Roman" w:eastAsia="Times New Roman" w:hAnsi="Times New Roman"/>
                <w:sz w:val="18"/>
                <w:szCs w:val="18"/>
                <w:color w:val="231F20"/>
              </w:rPr>
              <w:t>(1,965)</w:t>
            </w:r>
          </w:p>
        </w:tc>
        <w:tc>
          <w:tcPr>
            <w:tcW w:w="0" w:type="dxa"/>
            <w:vAlign w:val="bottom"/>
          </w:tcPr>
          <w:p>
            <w:pPr>
              <w:spacing w:after="0"/>
              <w:rPr>
                <w:sz w:val="1"/>
                <w:szCs w:val="1"/>
                <w:color w:val="auto"/>
              </w:rPr>
            </w:pPr>
          </w:p>
        </w:tc>
      </w:tr>
      <w:tr>
        <w:trPr>
          <w:trHeight w:val="206"/>
        </w:trPr>
        <w:tc>
          <w:tcPr>
            <w:tcW w:w="2640" w:type="dxa"/>
            <w:vAlign w:val="bottom"/>
            <w:shd w:val="clear" w:color="auto" w:fill="FDFDFC"/>
          </w:tcPr>
          <w:p>
            <w:pPr>
              <w:spacing w:after="0"/>
              <w:rPr>
                <w:sz w:val="20"/>
                <w:szCs w:val="20"/>
                <w:color w:val="auto"/>
              </w:rPr>
            </w:pPr>
            <w:r>
              <w:rPr>
                <w:rFonts w:ascii="Times New Roman" w:cs="Times New Roman" w:eastAsia="Times New Roman" w:hAnsi="Times New Roman"/>
                <w:sz w:val="18"/>
                <w:szCs w:val="18"/>
                <w:color w:val="231F20"/>
              </w:rPr>
              <w:t>Interest rate swap</w:t>
            </w:r>
          </w:p>
        </w:tc>
        <w:tc>
          <w:tcPr>
            <w:tcW w:w="1300" w:type="dxa"/>
            <w:vAlign w:val="bottom"/>
            <w:shd w:val="clear" w:color="auto" w:fill="FDFDFC"/>
          </w:tcPr>
          <w:p>
            <w:pPr>
              <w:jc w:val="right"/>
              <w:spacing w:after="0"/>
              <w:rPr>
                <w:sz w:val="20"/>
                <w:szCs w:val="20"/>
                <w:color w:val="auto"/>
              </w:rPr>
            </w:pPr>
            <w:r>
              <w:rPr>
                <w:rFonts w:ascii="Times New Roman" w:cs="Times New Roman" w:eastAsia="Times New Roman" w:hAnsi="Times New Roman"/>
                <w:sz w:val="18"/>
                <w:szCs w:val="18"/>
                <w:color w:val="231F20"/>
              </w:rPr>
              <w:t>11/1/2024</w:t>
            </w:r>
          </w:p>
        </w:tc>
        <w:tc>
          <w:tcPr>
            <w:tcW w:w="160" w:type="dxa"/>
            <w:vAlign w:val="bottom"/>
            <w:shd w:val="clear" w:color="auto" w:fill="FDFDFC"/>
          </w:tcPr>
          <w:p>
            <w:pPr>
              <w:spacing w:after="0"/>
              <w:rPr>
                <w:sz w:val="17"/>
                <w:szCs w:val="17"/>
                <w:color w:val="auto"/>
              </w:rPr>
            </w:pPr>
          </w:p>
        </w:tc>
        <w:tc>
          <w:tcPr>
            <w:tcW w:w="120" w:type="dxa"/>
            <w:vAlign w:val="bottom"/>
            <w:shd w:val="clear" w:color="auto" w:fill="FDFDFC"/>
          </w:tcPr>
          <w:p>
            <w:pPr>
              <w:spacing w:after="0"/>
              <w:rPr>
                <w:sz w:val="17"/>
                <w:szCs w:val="17"/>
                <w:color w:val="auto"/>
              </w:rPr>
            </w:pPr>
          </w:p>
        </w:tc>
        <w:tc>
          <w:tcPr>
            <w:tcW w:w="1320" w:type="dxa"/>
            <w:vAlign w:val="bottom"/>
            <w:shd w:val="clear" w:color="auto" w:fill="FDFDFC"/>
          </w:tcPr>
          <w:p>
            <w:pPr>
              <w:jc w:val="right"/>
              <w:spacing w:after="0"/>
              <w:rPr>
                <w:sz w:val="20"/>
                <w:szCs w:val="20"/>
                <w:color w:val="auto"/>
              </w:rPr>
            </w:pPr>
            <w:r>
              <w:rPr>
                <w:rFonts w:ascii="Times New Roman" w:cs="Times New Roman" w:eastAsia="Times New Roman" w:hAnsi="Times New Roman"/>
                <w:sz w:val="18"/>
                <w:szCs w:val="18"/>
                <w:color w:val="231F20"/>
              </w:rPr>
              <w:t>2,500</w:t>
            </w:r>
          </w:p>
        </w:tc>
        <w:tc>
          <w:tcPr>
            <w:tcW w:w="240" w:type="dxa"/>
            <w:vAlign w:val="bottom"/>
            <w:shd w:val="clear" w:color="auto" w:fill="FDFDFC"/>
          </w:tcPr>
          <w:p>
            <w:pPr>
              <w:spacing w:after="0"/>
              <w:rPr>
                <w:sz w:val="17"/>
                <w:szCs w:val="17"/>
                <w:color w:val="auto"/>
              </w:rPr>
            </w:pPr>
          </w:p>
        </w:tc>
        <w:tc>
          <w:tcPr>
            <w:tcW w:w="300" w:type="dxa"/>
            <w:vAlign w:val="bottom"/>
            <w:shd w:val="clear" w:color="auto" w:fill="FDFDFC"/>
          </w:tcPr>
          <w:p>
            <w:pPr>
              <w:spacing w:after="0"/>
              <w:rPr>
                <w:sz w:val="17"/>
                <w:szCs w:val="17"/>
                <w:color w:val="auto"/>
              </w:rPr>
            </w:pPr>
          </w:p>
        </w:tc>
        <w:tc>
          <w:tcPr>
            <w:tcW w:w="1240" w:type="dxa"/>
            <w:vAlign w:val="bottom"/>
            <w:gridSpan w:val="2"/>
            <w:shd w:val="clear" w:color="auto" w:fill="FDFDFC"/>
          </w:tcPr>
          <w:p>
            <w:pPr>
              <w:jc w:val="right"/>
              <w:ind w:right="200"/>
              <w:spacing w:after="0"/>
              <w:rPr>
                <w:sz w:val="20"/>
                <w:szCs w:val="20"/>
                <w:color w:val="auto"/>
              </w:rPr>
            </w:pPr>
            <w:r>
              <w:rPr>
                <w:rFonts w:ascii="Times New Roman" w:cs="Times New Roman" w:eastAsia="Times New Roman" w:hAnsi="Times New Roman"/>
                <w:sz w:val="18"/>
                <w:szCs w:val="18"/>
                <w:color w:val="231F20"/>
              </w:rPr>
              <w:t>(97)</w:t>
            </w:r>
          </w:p>
        </w:tc>
        <w:tc>
          <w:tcPr>
            <w:tcW w:w="220" w:type="dxa"/>
            <w:vAlign w:val="bottom"/>
            <w:shd w:val="clear" w:color="auto" w:fill="FDFDFC"/>
          </w:tcPr>
          <w:p>
            <w:pPr>
              <w:spacing w:after="0"/>
              <w:rPr>
                <w:sz w:val="17"/>
                <w:szCs w:val="17"/>
                <w:color w:val="auto"/>
              </w:rPr>
            </w:pPr>
          </w:p>
        </w:tc>
        <w:tc>
          <w:tcPr>
            <w:tcW w:w="1040" w:type="dxa"/>
            <w:vAlign w:val="bottom"/>
            <w:shd w:val="clear" w:color="auto" w:fill="FDFDFC"/>
          </w:tcPr>
          <w:p>
            <w:pPr>
              <w:jc w:val="right"/>
              <w:spacing w:after="0"/>
              <w:rPr>
                <w:sz w:val="20"/>
                <w:szCs w:val="20"/>
                <w:color w:val="auto"/>
              </w:rPr>
            </w:pPr>
            <w:r>
              <w:rPr>
                <w:rFonts w:ascii="Times New Roman" w:cs="Times New Roman" w:eastAsia="Times New Roman" w:hAnsi="Times New Roman"/>
                <w:sz w:val="18"/>
                <w:szCs w:val="18"/>
                <w:color w:val="231F20"/>
              </w:rPr>
              <w:t>191</w:t>
            </w:r>
          </w:p>
        </w:tc>
        <w:tc>
          <w:tcPr>
            <w:tcW w:w="100" w:type="dxa"/>
            <w:vAlign w:val="bottom"/>
            <w:shd w:val="clear" w:color="auto" w:fill="FDFDFC"/>
          </w:tcPr>
          <w:p>
            <w:pPr>
              <w:spacing w:after="0"/>
              <w:rPr>
                <w:sz w:val="17"/>
                <w:szCs w:val="17"/>
                <w:color w:val="auto"/>
              </w:rPr>
            </w:pPr>
          </w:p>
        </w:tc>
        <w:tc>
          <w:tcPr>
            <w:tcW w:w="160" w:type="dxa"/>
            <w:vAlign w:val="bottom"/>
            <w:shd w:val="clear" w:color="auto" w:fill="FDFDFC"/>
          </w:tcPr>
          <w:p>
            <w:pPr>
              <w:spacing w:after="0"/>
              <w:rPr>
                <w:sz w:val="17"/>
                <w:szCs w:val="17"/>
                <w:color w:val="auto"/>
              </w:rPr>
            </w:pPr>
          </w:p>
        </w:tc>
        <w:tc>
          <w:tcPr>
            <w:tcW w:w="440" w:type="dxa"/>
            <w:vAlign w:val="bottom"/>
            <w:shd w:val="clear" w:color="auto" w:fill="FDFDFC"/>
          </w:tcPr>
          <w:p>
            <w:pPr>
              <w:spacing w:after="0"/>
              <w:rPr>
                <w:sz w:val="17"/>
                <w:szCs w:val="17"/>
                <w:color w:val="auto"/>
              </w:rPr>
            </w:pPr>
          </w:p>
        </w:tc>
        <w:tc>
          <w:tcPr>
            <w:tcW w:w="820" w:type="dxa"/>
            <w:vAlign w:val="bottom"/>
            <w:shd w:val="clear" w:color="auto" w:fill="FDFDFC"/>
          </w:tcPr>
          <w:p>
            <w:pPr>
              <w:jc w:val="right"/>
              <w:spacing w:after="0"/>
              <w:rPr>
                <w:sz w:val="20"/>
                <w:szCs w:val="20"/>
                <w:color w:val="auto"/>
              </w:rPr>
            </w:pPr>
            <w:r>
              <w:rPr>
                <w:rFonts w:ascii="Times New Roman" w:cs="Times New Roman" w:eastAsia="Times New Roman" w:hAnsi="Times New Roman"/>
                <w:sz w:val="18"/>
                <w:szCs w:val="18"/>
                <w:color w:val="231F20"/>
              </w:rPr>
              <w:t>94</w:t>
            </w:r>
          </w:p>
        </w:tc>
        <w:tc>
          <w:tcPr>
            <w:tcW w:w="100" w:type="dxa"/>
            <w:vAlign w:val="bottom"/>
            <w:shd w:val="clear" w:color="auto" w:fill="FDFDFC"/>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640" w:type="dxa"/>
            <w:vAlign w:val="bottom"/>
            <w:shd w:val="clear" w:color="auto" w:fill="D0EBF2"/>
          </w:tcPr>
          <w:p>
            <w:pPr>
              <w:spacing w:after="0"/>
              <w:rPr>
                <w:sz w:val="20"/>
                <w:szCs w:val="20"/>
                <w:color w:val="auto"/>
              </w:rPr>
            </w:pPr>
            <w:r>
              <w:rPr>
                <w:rFonts w:ascii="Times New Roman" w:cs="Times New Roman" w:eastAsia="Times New Roman" w:hAnsi="Times New Roman"/>
                <w:sz w:val="18"/>
                <w:szCs w:val="18"/>
                <w:color w:val="231F20"/>
              </w:rPr>
              <w:t>Interest rate swap</w:t>
            </w:r>
          </w:p>
        </w:tc>
        <w:tc>
          <w:tcPr>
            <w:tcW w:w="1300" w:type="dxa"/>
            <w:vAlign w:val="bottom"/>
            <w:shd w:val="clear" w:color="auto" w:fill="D0EBF2"/>
          </w:tcPr>
          <w:p>
            <w:pPr>
              <w:jc w:val="right"/>
              <w:spacing w:after="0"/>
              <w:rPr>
                <w:sz w:val="20"/>
                <w:szCs w:val="20"/>
                <w:color w:val="auto"/>
              </w:rPr>
            </w:pPr>
            <w:r>
              <w:rPr>
                <w:rFonts w:ascii="Times New Roman" w:cs="Times New Roman" w:eastAsia="Times New Roman" w:hAnsi="Times New Roman"/>
                <w:sz w:val="18"/>
                <w:szCs w:val="18"/>
                <w:color w:val="231F20"/>
              </w:rPr>
              <w:t>8/1/2026</w:t>
            </w:r>
          </w:p>
        </w:tc>
        <w:tc>
          <w:tcPr>
            <w:tcW w:w="160" w:type="dxa"/>
            <w:vAlign w:val="bottom"/>
            <w:shd w:val="clear" w:color="auto" w:fill="D0EBF2"/>
          </w:tcPr>
          <w:p>
            <w:pPr>
              <w:spacing w:after="0"/>
              <w:rPr>
                <w:sz w:val="17"/>
                <w:szCs w:val="17"/>
                <w:color w:val="auto"/>
              </w:rPr>
            </w:pPr>
          </w:p>
        </w:tc>
        <w:tc>
          <w:tcPr>
            <w:tcW w:w="120" w:type="dxa"/>
            <w:vAlign w:val="bottom"/>
            <w:shd w:val="clear" w:color="auto" w:fill="D0EBF2"/>
          </w:tcPr>
          <w:p>
            <w:pPr>
              <w:spacing w:after="0"/>
              <w:rPr>
                <w:sz w:val="17"/>
                <w:szCs w:val="17"/>
                <w:color w:val="auto"/>
              </w:rPr>
            </w:pPr>
          </w:p>
        </w:tc>
        <w:tc>
          <w:tcPr>
            <w:tcW w:w="1320" w:type="dxa"/>
            <w:vAlign w:val="bottom"/>
            <w:shd w:val="clear" w:color="auto" w:fill="D0EBF2"/>
          </w:tcPr>
          <w:p>
            <w:pPr>
              <w:jc w:val="right"/>
              <w:spacing w:after="0"/>
              <w:rPr>
                <w:sz w:val="20"/>
                <w:szCs w:val="20"/>
                <w:color w:val="auto"/>
              </w:rPr>
            </w:pPr>
            <w:r>
              <w:rPr>
                <w:rFonts w:ascii="Times New Roman" w:cs="Times New Roman" w:eastAsia="Times New Roman" w:hAnsi="Times New Roman"/>
                <w:sz w:val="18"/>
                <w:szCs w:val="18"/>
                <w:color w:val="231F20"/>
              </w:rPr>
              <w:t>300,000</w:t>
            </w:r>
          </w:p>
        </w:tc>
        <w:tc>
          <w:tcPr>
            <w:tcW w:w="240" w:type="dxa"/>
            <w:vAlign w:val="bottom"/>
            <w:shd w:val="clear" w:color="auto" w:fill="D0EBF2"/>
          </w:tcPr>
          <w:p>
            <w:pPr>
              <w:spacing w:after="0"/>
              <w:rPr>
                <w:sz w:val="17"/>
                <w:szCs w:val="17"/>
                <w:color w:val="auto"/>
              </w:rPr>
            </w:pPr>
          </w:p>
        </w:tc>
        <w:tc>
          <w:tcPr>
            <w:tcW w:w="300" w:type="dxa"/>
            <w:vAlign w:val="bottom"/>
            <w:shd w:val="clear" w:color="auto" w:fill="D0EBF2"/>
          </w:tcPr>
          <w:p>
            <w:pPr>
              <w:spacing w:after="0"/>
              <w:rPr>
                <w:sz w:val="17"/>
                <w:szCs w:val="17"/>
                <w:color w:val="auto"/>
              </w:rPr>
            </w:pPr>
          </w:p>
        </w:tc>
        <w:tc>
          <w:tcPr>
            <w:tcW w:w="1240" w:type="dxa"/>
            <w:vAlign w:val="bottom"/>
            <w:gridSpan w:val="2"/>
            <w:shd w:val="clear" w:color="auto" w:fill="D0EBF2"/>
          </w:tcPr>
          <w:p>
            <w:pPr>
              <w:jc w:val="right"/>
              <w:ind w:right="200"/>
              <w:spacing w:after="0"/>
              <w:rPr>
                <w:sz w:val="20"/>
                <w:szCs w:val="20"/>
                <w:color w:val="auto"/>
              </w:rPr>
            </w:pPr>
            <w:r>
              <w:rPr>
                <w:rFonts w:ascii="Times New Roman" w:cs="Times New Roman" w:eastAsia="Times New Roman" w:hAnsi="Times New Roman"/>
                <w:sz w:val="18"/>
                <w:szCs w:val="18"/>
                <w:color w:val="231F20"/>
              </w:rPr>
              <w:t>(21,745)</w:t>
            </w:r>
          </w:p>
        </w:tc>
        <w:tc>
          <w:tcPr>
            <w:tcW w:w="220" w:type="dxa"/>
            <w:vAlign w:val="bottom"/>
            <w:shd w:val="clear" w:color="auto" w:fill="D0EBF2"/>
          </w:tcPr>
          <w:p>
            <w:pPr>
              <w:spacing w:after="0"/>
              <w:rPr>
                <w:sz w:val="17"/>
                <w:szCs w:val="17"/>
                <w:color w:val="auto"/>
              </w:rPr>
            </w:pPr>
          </w:p>
        </w:tc>
        <w:tc>
          <w:tcPr>
            <w:tcW w:w="1040" w:type="dxa"/>
            <w:vAlign w:val="bottom"/>
            <w:shd w:val="clear" w:color="auto" w:fill="D0EBF2"/>
          </w:tcPr>
          <w:p>
            <w:pPr>
              <w:jc w:val="right"/>
              <w:spacing w:after="0"/>
              <w:rPr>
                <w:sz w:val="20"/>
                <w:szCs w:val="20"/>
                <w:color w:val="auto"/>
              </w:rPr>
            </w:pPr>
            <w:r>
              <w:rPr>
                <w:rFonts w:ascii="Times New Roman" w:cs="Times New Roman" w:eastAsia="Times New Roman" w:hAnsi="Times New Roman"/>
                <w:sz w:val="18"/>
                <w:szCs w:val="18"/>
                <w:color w:val="231F20"/>
              </w:rPr>
              <w:t>7,479</w:t>
            </w:r>
          </w:p>
        </w:tc>
        <w:tc>
          <w:tcPr>
            <w:tcW w:w="100" w:type="dxa"/>
            <w:vAlign w:val="bottom"/>
            <w:shd w:val="clear" w:color="auto" w:fill="D0EBF2"/>
          </w:tcPr>
          <w:p>
            <w:pPr>
              <w:spacing w:after="0"/>
              <w:rPr>
                <w:sz w:val="17"/>
                <w:szCs w:val="17"/>
                <w:color w:val="auto"/>
              </w:rPr>
            </w:pPr>
          </w:p>
        </w:tc>
        <w:tc>
          <w:tcPr>
            <w:tcW w:w="160" w:type="dxa"/>
            <w:vAlign w:val="bottom"/>
            <w:shd w:val="clear" w:color="auto" w:fill="D0EBF2"/>
          </w:tcPr>
          <w:p>
            <w:pPr>
              <w:spacing w:after="0"/>
              <w:rPr>
                <w:sz w:val="17"/>
                <w:szCs w:val="17"/>
                <w:color w:val="auto"/>
              </w:rPr>
            </w:pPr>
          </w:p>
        </w:tc>
        <w:tc>
          <w:tcPr>
            <w:tcW w:w="440" w:type="dxa"/>
            <w:vAlign w:val="bottom"/>
            <w:shd w:val="clear" w:color="auto" w:fill="D0EBF2"/>
          </w:tcPr>
          <w:p>
            <w:pPr>
              <w:spacing w:after="0"/>
              <w:rPr>
                <w:sz w:val="17"/>
                <w:szCs w:val="17"/>
                <w:color w:val="auto"/>
              </w:rPr>
            </w:pPr>
          </w:p>
        </w:tc>
        <w:tc>
          <w:tcPr>
            <w:tcW w:w="920" w:type="dxa"/>
            <w:vAlign w:val="bottom"/>
            <w:gridSpan w:val="2"/>
            <w:shd w:val="clear" w:color="auto" w:fill="D0EBF2"/>
          </w:tcPr>
          <w:p>
            <w:pPr>
              <w:jc w:val="right"/>
              <w:ind w:right="40"/>
              <w:spacing w:after="0"/>
              <w:rPr>
                <w:sz w:val="20"/>
                <w:szCs w:val="20"/>
                <w:color w:val="auto"/>
              </w:rPr>
            </w:pPr>
            <w:r>
              <w:rPr>
                <w:rFonts w:ascii="Times New Roman" w:cs="Times New Roman" w:eastAsia="Times New Roman" w:hAnsi="Times New Roman"/>
                <w:sz w:val="18"/>
                <w:szCs w:val="18"/>
                <w:color w:val="231F20"/>
              </w:rPr>
              <w:t>(14,266)</w:t>
            </w:r>
          </w:p>
        </w:tc>
        <w:tc>
          <w:tcPr>
            <w:tcW w:w="0" w:type="dxa"/>
            <w:vAlign w:val="bottom"/>
          </w:tcPr>
          <w:p>
            <w:pPr>
              <w:spacing w:after="0"/>
              <w:rPr>
                <w:sz w:val="1"/>
                <w:szCs w:val="1"/>
                <w:color w:val="auto"/>
              </w:rPr>
            </w:pPr>
          </w:p>
        </w:tc>
      </w:tr>
      <w:tr>
        <w:trPr>
          <w:trHeight w:val="206"/>
        </w:trPr>
        <w:tc>
          <w:tcPr>
            <w:tcW w:w="2640" w:type="dxa"/>
            <w:vAlign w:val="bottom"/>
            <w:shd w:val="clear" w:color="auto" w:fill="FDFDFC"/>
          </w:tcPr>
          <w:p>
            <w:pPr>
              <w:spacing w:after="0"/>
              <w:rPr>
                <w:sz w:val="20"/>
                <w:szCs w:val="20"/>
                <w:color w:val="auto"/>
              </w:rPr>
            </w:pPr>
            <w:r>
              <w:rPr>
                <w:rFonts w:ascii="Times New Roman" w:cs="Times New Roman" w:eastAsia="Times New Roman" w:hAnsi="Times New Roman"/>
                <w:sz w:val="18"/>
                <w:szCs w:val="18"/>
                <w:color w:val="231F20"/>
              </w:rPr>
              <w:t>Interest rate swap</w:t>
            </w:r>
          </w:p>
        </w:tc>
        <w:tc>
          <w:tcPr>
            <w:tcW w:w="1300" w:type="dxa"/>
            <w:vAlign w:val="bottom"/>
            <w:shd w:val="clear" w:color="auto" w:fill="FDFDFC"/>
          </w:tcPr>
          <w:p>
            <w:pPr>
              <w:jc w:val="right"/>
              <w:spacing w:after="0"/>
              <w:rPr>
                <w:sz w:val="20"/>
                <w:szCs w:val="20"/>
                <w:color w:val="auto"/>
              </w:rPr>
            </w:pPr>
            <w:r>
              <w:rPr>
                <w:rFonts w:ascii="Times New Roman" w:cs="Times New Roman" w:eastAsia="Times New Roman" w:hAnsi="Times New Roman"/>
                <w:sz w:val="18"/>
                <w:szCs w:val="18"/>
                <w:color w:val="231F20"/>
              </w:rPr>
              <w:t>8/14/2028</w:t>
            </w:r>
          </w:p>
        </w:tc>
        <w:tc>
          <w:tcPr>
            <w:tcW w:w="160" w:type="dxa"/>
            <w:vAlign w:val="bottom"/>
            <w:shd w:val="clear" w:color="auto" w:fill="FDFDFC"/>
          </w:tcPr>
          <w:p>
            <w:pPr>
              <w:spacing w:after="0"/>
              <w:rPr>
                <w:sz w:val="17"/>
                <w:szCs w:val="17"/>
                <w:color w:val="auto"/>
              </w:rPr>
            </w:pPr>
          </w:p>
        </w:tc>
        <w:tc>
          <w:tcPr>
            <w:tcW w:w="120" w:type="dxa"/>
            <w:vAlign w:val="bottom"/>
            <w:shd w:val="clear" w:color="auto" w:fill="FDFDFC"/>
          </w:tcPr>
          <w:p>
            <w:pPr>
              <w:spacing w:after="0"/>
              <w:rPr>
                <w:sz w:val="17"/>
                <w:szCs w:val="17"/>
                <w:color w:val="auto"/>
              </w:rPr>
            </w:pPr>
          </w:p>
        </w:tc>
        <w:tc>
          <w:tcPr>
            <w:tcW w:w="1320" w:type="dxa"/>
            <w:vAlign w:val="bottom"/>
            <w:shd w:val="clear" w:color="auto" w:fill="FDFDFC"/>
          </w:tcPr>
          <w:p>
            <w:pPr>
              <w:jc w:val="right"/>
              <w:spacing w:after="0"/>
              <w:rPr>
                <w:sz w:val="20"/>
                <w:szCs w:val="20"/>
                <w:color w:val="auto"/>
              </w:rPr>
            </w:pPr>
            <w:r>
              <w:rPr>
                <w:rFonts w:ascii="Times New Roman" w:cs="Times New Roman" w:eastAsia="Times New Roman" w:hAnsi="Times New Roman"/>
                <w:sz w:val="18"/>
                <w:szCs w:val="18"/>
                <w:color w:val="231F20"/>
              </w:rPr>
              <w:t>300,000</w:t>
            </w:r>
          </w:p>
        </w:tc>
        <w:tc>
          <w:tcPr>
            <w:tcW w:w="240" w:type="dxa"/>
            <w:vAlign w:val="bottom"/>
            <w:shd w:val="clear" w:color="auto" w:fill="FDFDFC"/>
          </w:tcPr>
          <w:p>
            <w:pPr>
              <w:spacing w:after="0"/>
              <w:rPr>
                <w:sz w:val="17"/>
                <w:szCs w:val="17"/>
                <w:color w:val="auto"/>
              </w:rPr>
            </w:pPr>
          </w:p>
        </w:tc>
        <w:tc>
          <w:tcPr>
            <w:tcW w:w="300" w:type="dxa"/>
            <w:vAlign w:val="bottom"/>
            <w:shd w:val="clear" w:color="auto" w:fill="FDFDFC"/>
          </w:tcPr>
          <w:p>
            <w:pPr>
              <w:spacing w:after="0"/>
              <w:rPr>
                <w:sz w:val="17"/>
                <w:szCs w:val="17"/>
                <w:color w:val="auto"/>
              </w:rPr>
            </w:pPr>
          </w:p>
        </w:tc>
        <w:tc>
          <w:tcPr>
            <w:tcW w:w="1240" w:type="dxa"/>
            <w:vAlign w:val="bottom"/>
            <w:gridSpan w:val="2"/>
            <w:shd w:val="clear" w:color="auto" w:fill="FDFDFC"/>
          </w:tcPr>
          <w:p>
            <w:pPr>
              <w:jc w:val="right"/>
              <w:ind w:right="200"/>
              <w:spacing w:after="0"/>
              <w:rPr>
                <w:sz w:val="20"/>
                <w:szCs w:val="20"/>
                <w:color w:val="auto"/>
              </w:rPr>
            </w:pPr>
            <w:r>
              <w:rPr>
                <w:rFonts w:ascii="Times New Roman" w:cs="Times New Roman" w:eastAsia="Times New Roman" w:hAnsi="Times New Roman"/>
                <w:sz w:val="18"/>
                <w:szCs w:val="18"/>
                <w:color w:val="231F20"/>
              </w:rPr>
              <w:t>(9,306)</w:t>
            </w:r>
          </w:p>
        </w:tc>
        <w:tc>
          <w:tcPr>
            <w:tcW w:w="220" w:type="dxa"/>
            <w:vAlign w:val="bottom"/>
            <w:shd w:val="clear" w:color="auto" w:fill="FDFDFC"/>
          </w:tcPr>
          <w:p>
            <w:pPr>
              <w:spacing w:after="0"/>
              <w:rPr>
                <w:sz w:val="17"/>
                <w:szCs w:val="17"/>
                <w:color w:val="auto"/>
              </w:rPr>
            </w:pPr>
          </w:p>
        </w:tc>
        <w:tc>
          <w:tcPr>
            <w:tcW w:w="1040" w:type="dxa"/>
            <w:vAlign w:val="bottom"/>
            <w:shd w:val="clear" w:color="auto" w:fill="FDFDFC"/>
          </w:tcPr>
          <w:p>
            <w:pPr>
              <w:jc w:val="right"/>
              <w:spacing w:after="0"/>
              <w:rPr>
                <w:sz w:val="20"/>
                <w:szCs w:val="20"/>
                <w:color w:val="auto"/>
              </w:rPr>
            </w:pPr>
            <w:r>
              <w:rPr>
                <w:rFonts w:ascii="Times New Roman" w:cs="Times New Roman" w:eastAsia="Times New Roman" w:hAnsi="Times New Roman"/>
                <w:sz w:val="18"/>
                <w:szCs w:val="18"/>
                <w:color w:val="231F20"/>
              </w:rPr>
              <w:t>7,587</w:t>
            </w:r>
          </w:p>
        </w:tc>
        <w:tc>
          <w:tcPr>
            <w:tcW w:w="100" w:type="dxa"/>
            <w:vAlign w:val="bottom"/>
            <w:shd w:val="clear" w:color="auto" w:fill="FDFDFC"/>
          </w:tcPr>
          <w:p>
            <w:pPr>
              <w:spacing w:after="0"/>
              <w:rPr>
                <w:sz w:val="17"/>
                <w:szCs w:val="17"/>
                <w:color w:val="auto"/>
              </w:rPr>
            </w:pPr>
          </w:p>
        </w:tc>
        <w:tc>
          <w:tcPr>
            <w:tcW w:w="160" w:type="dxa"/>
            <w:vAlign w:val="bottom"/>
            <w:shd w:val="clear" w:color="auto" w:fill="FDFDFC"/>
          </w:tcPr>
          <w:p>
            <w:pPr>
              <w:spacing w:after="0"/>
              <w:rPr>
                <w:sz w:val="17"/>
                <w:szCs w:val="17"/>
                <w:color w:val="auto"/>
              </w:rPr>
            </w:pPr>
          </w:p>
        </w:tc>
        <w:tc>
          <w:tcPr>
            <w:tcW w:w="440" w:type="dxa"/>
            <w:vAlign w:val="bottom"/>
            <w:shd w:val="clear" w:color="auto" w:fill="FDFDFC"/>
          </w:tcPr>
          <w:p>
            <w:pPr>
              <w:spacing w:after="0"/>
              <w:rPr>
                <w:sz w:val="17"/>
                <w:szCs w:val="17"/>
                <w:color w:val="auto"/>
              </w:rPr>
            </w:pPr>
          </w:p>
        </w:tc>
        <w:tc>
          <w:tcPr>
            <w:tcW w:w="920" w:type="dxa"/>
            <w:vAlign w:val="bottom"/>
            <w:gridSpan w:val="2"/>
            <w:shd w:val="clear" w:color="auto" w:fill="FDFDFC"/>
          </w:tcPr>
          <w:p>
            <w:pPr>
              <w:jc w:val="right"/>
              <w:ind w:right="40"/>
              <w:spacing w:after="0"/>
              <w:rPr>
                <w:sz w:val="20"/>
                <w:szCs w:val="20"/>
                <w:color w:val="auto"/>
              </w:rPr>
            </w:pPr>
            <w:r>
              <w:rPr>
                <w:rFonts w:ascii="Times New Roman" w:cs="Times New Roman" w:eastAsia="Times New Roman" w:hAnsi="Times New Roman"/>
                <w:sz w:val="18"/>
                <w:szCs w:val="18"/>
                <w:color w:val="231F20"/>
              </w:rPr>
              <w:t>(1,719)</w:t>
            </w:r>
          </w:p>
        </w:tc>
        <w:tc>
          <w:tcPr>
            <w:tcW w:w="0" w:type="dxa"/>
            <w:vAlign w:val="bottom"/>
          </w:tcPr>
          <w:p>
            <w:pPr>
              <w:spacing w:after="0"/>
              <w:rPr>
                <w:sz w:val="1"/>
                <w:szCs w:val="1"/>
                <w:color w:val="auto"/>
              </w:rPr>
            </w:pPr>
          </w:p>
        </w:tc>
      </w:tr>
      <w:tr>
        <w:trPr>
          <w:trHeight w:val="207"/>
        </w:trPr>
        <w:tc>
          <w:tcPr>
            <w:tcW w:w="2640" w:type="dxa"/>
            <w:vAlign w:val="bottom"/>
            <w:tcBorders>
              <w:top w:val="single" w:sz="8" w:color="D0EBF2"/>
            </w:tcBorders>
            <w:shd w:val="clear" w:color="auto" w:fill="D0EBF2"/>
          </w:tcPr>
          <w:p>
            <w:pPr>
              <w:ind w:left="180"/>
              <w:spacing w:after="0" w:line="207" w:lineRule="exact"/>
              <w:rPr>
                <w:sz w:val="20"/>
                <w:szCs w:val="20"/>
                <w:color w:val="auto"/>
              </w:rPr>
            </w:pPr>
            <w:r>
              <w:rPr>
                <w:rFonts w:ascii="Times New Roman" w:cs="Times New Roman" w:eastAsia="Times New Roman" w:hAnsi="Times New Roman"/>
                <w:sz w:val="19"/>
                <w:szCs w:val="19"/>
                <w:b w:val="1"/>
                <w:bCs w:val="1"/>
                <w:color w:val="231F20"/>
              </w:rPr>
              <w:t>Total</w:t>
            </w:r>
          </w:p>
        </w:tc>
        <w:tc>
          <w:tcPr>
            <w:tcW w:w="1300" w:type="dxa"/>
            <w:vAlign w:val="bottom"/>
            <w:tcBorders>
              <w:top w:val="single" w:sz="8" w:color="D0EBF2"/>
            </w:tcBorders>
            <w:shd w:val="clear" w:color="auto" w:fill="D0EBF2"/>
          </w:tcPr>
          <w:p>
            <w:pPr>
              <w:spacing w:after="0"/>
              <w:rPr>
                <w:sz w:val="17"/>
                <w:szCs w:val="17"/>
                <w:color w:val="auto"/>
              </w:rPr>
            </w:pPr>
          </w:p>
        </w:tc>
        <w:tc>
          <w:tcPr>
            <w:tcW w:w="160" w:type="dxa"/>
            <w:vAlign w:val="bottom"/>
            <w:tcBorders>
              <w:top w:val="single" w:sz="8" w:color="D0EBF2"/>
            </w:tcBorders>
            <w:shd w:val="clear" w:color="auto" w:fill="D0EBF2"/>
          </w:tcPr>
          <w:p>
            <w:pPr>
              <w:spacing w:after="0"/>
              <w:rPr>
                <w:sz w:val="17"/>
                <w:szCs w:val="17"/>
                <w:color w:val="auto"/>
              </w:rPr>
            </w:pPr>
          </w:p>
        </w:tc>
        <w:tc>
          <w:tcPr>
            <w:tcW w:w="120" w:type="dxa"/>
            <w:vAlign w:val="bottom"/>
            <w:tcBorders>
              <w:top w:val="single" w:sz="8" w:color="231F20"/>
              <w:bottom w:val="single" w:sz="8" w:color="231F20"/>
            </w:tcBorders>
            <w:shd w:val="clear" w:color="auto" w:fill="D0EBF2"/>
          </w:tcPr>
          <w:p>
            <w:pPr>
              <w:jc w:val="right"/>
              <w:spacing w:after="0" w:line="207" w:lineRule="exact"/>
              <w:rPr>
                <w:sz w:val="20"/>
                <w:szCs w:val="20"/>
                <w:color w:val="auto"/>
              </w:rPr>
            </w:pPr>
            <w:r>
              <w:rPr>
                <w:rFonts w:ascii="Times New Roman" w:cs="Times New Roman" w:eastAsia="Times New Roman" w:hAnsi="Times New Roman"/>
                <w:sz w:val="19"/>
                <w:szCs w:val="19"/>
                <w:color w:val="231F20"/>
                <w:w w:val="83"/>
              </w:rPr>
              <w:t>$</w:t>
            </w:r>
          </w:p>
        </w:tc>
        <w:tc>
          <w:tcPr>
            <w:tcW w:w="1320" w:type="dxa"/>
            <w:vAlign w:val="bottom"/>
            <w:tcBorders>
              <w:top w:val="single" w:sz="8" w:color="231F20"/>
              <w:bottom w:val="single" w:sz="8" w:color="231F20"/>
            </w:tcBorders>
            <w:shd w:val="clear" w:color="auto" w:fill="D0EBF2"/>
          </w:tcPr>
          <w:p>
            <w:pPr>
              <w:jc w:val="right"/>
              <w:spacing w:after="0" w:line="207" w:lineRule="exact"/>
              <w:rPr>
                <w:sz w:val="20"/>
                <w:szCs w:val="20"/>
                <w:color w:val="auto"/>
              </w:rPr>
            </w:pPr>
            <w:r>
              <w:rPr>
                <w:rFonts w:ascii="Times New Roman" w:cs="Times New Roman" w:eastAsia="Times New Roman" w:hAnsi="Times New Roman"/>
                <w:sz w:val="19"/>
                <w:szCs w:val="19"/>
                <w:color w:val="231F20"/>
              </w:rPr>
              <w:t>952,500</w:t>
            </w:r>
          </w:p>
        </w:tc>
        <w:tc>
          <w:tcPr>
            <w:tcW w:w="240" w:type="dxa"/>
            <w:vAlign w:val="bottom"/>
            <w:tcBorders>
              <w:top w:val="single" w:sz="8" w:color="D0EBF2"/>
            </w:tcBorders>
            <w:shd w:val="clear" w:color="auto" w:fill="D0EBF2"/>
          </w:tcPr>
          <w:p>
            <w:pPr>
              <w:spacing w:after="0"/>
              <w:rPr>
                <w:sz w:val="17"/>
                <w:szCs w:val="17"/>
                <w:color w:val="auto"/>
              </w:rPr>
            </w:pPr>
          </w:p>
        </w:tc>
        <w:tc>
          <w:tcPr>
            <w:tcW w:w="300" w:type="dxa"/>
            <w:vAlign w:val="bottom"/>
            <w:tcBorders>
              <w:top w:val="single" w:sz="8" w:color="231F20"/>
              <w:bottom w:val="single" w:sz="8" w:color="231F20"/>
            </w:tcBorders>
            <w:shd w:val="clear" w:color="auto" w:fill="D0EBF2"/>
          </w:tcPr>
          <w:p>
            <w:pPr>
              <w:jc w:val="right"/>
              <w:ind w:right="108"/>
              <w:spacing w:after="0" w:line="207" w:lineRule="exact"/>
              <w:rPr>
                <w:sz w:val="20"/>
                <w:szCs w:val="20"/>
                <w:color w:val="auto"/>
              </w:rPr>
            </w:pPr>
            <w:r>
              <w:rPr>
                <w:rFonts w:ascii="Times New Roman" w:cs="Times New Roman" w:eastAsia="Times New Roman" w:hAnsi="Times New Roman"/>
                <w:sz w:val="19"/>
                <w:szCs w:val="19"/>
                <w:color w:val="231F20"/>
                <w:w w:val="83"/>
              </w:rPr>
              <w:t>$</w:t>
            </w:r>
          </w:p>
        </w:tc>
        <w:tc>
          <w:tcPr>
            <w:tcW w:w="980" w:type="dxa"/>
            <w:vAlign w:val="bottom"/>
            <w:tcBorders>
              <w:top w:val="single" w:sz="8" w:color="231F20"/>
              <w:bottom w:val="single" w:sz="8" w:color="231F20"/>
            </w:tcBorders>
            <w:shd w:val="clear" w:color="auto" w:fill="D0EBF2"/>
          </w:tcPr>
          <w:p>
            <w:pPr>
              <w:jc w:val="right"/>
              <w:spacing w:after="0" w:line="207" w:lineRule="exact"/>
              <w:rPr>
                <w:sz w:val="20"/>
                <w:szCs w:val="20"/>
                <w:color w:val="auto"/>
              </w:rPr>
            </w:pPr>
            <w:r>
              <w:rPr>
                <w:rFonts w:ascii="Times New Roman" w:cs="Times New Roman" w:eastAsia="Times New Roman" w:hAnsi="Times New Roman"/>
                <w:sz w:val="19"/>
                <w:szCs w:val="19"/>
                <w:color w:val="231F20"/>
              </w:rPr>
              <w:t>(58,490)</w:t>
            </w:r>
          </w:p>
        </w:tc>
        <w:tc>
          <w:tcPr>
            <w:tcW w:w="260" w:type="dxa"/>
            <w:vAlign w:val="bottom"/>
            <w:tcBorders>
              <w:top w:val="single" w:sz="8" w:color="D0EBF2"/>
            </w:tcBorders>
            <w:shd w:val="clear" w:color="auto" w:fill="D0EBF2"/>
          </w:tcPr>
          <w:p>
            <w:pPr>
              <w:spacing w:after="0"/>
              <w:rPr>
                <w:sz w:val="17"/>
                <w:szCs w:val="17"/>
                <w:color w:val="auto"/>
              </w:rPr>
            </w:pPr>
          </w:p>
        </w:tc>
        <w:tc>
          <w:tcPr>
            <w:tcW w:w="220" w:type="dxa"/>
            <w:vAlign w:val="bottom"/>
            <w:tcBorders>
              <w:top w:val="single" w:sz="8" w:color="231F20"/>
              <w:bottom w:val="single" w:sz="8" w:color="231F20"/>
            </w:tcBorders>
            <w:shd w:val="clear" w:color="auto" w:fill="D0EBF2"/>
          </w:tcPr>
          <w:p>
            <w:pPr>
              <w:jc w:val="right"/>
              <w:ind w:right="31"/>
              <w:spacing w:after="0" w:line="207" w:lineRule="exact"/>
              <w:rPr>
                <w:sz w:val="20"/>
                <w:szCs w:val="20"/>
                <w:color w:val="auto"/>
              </w:rPr>
            </w:pPr>
            <w:r>
              <w:rPr>
                <w:rFonts w:ascii="Times New Roman" w:cs="Times New Roman" w:eastAsia="Times New Roman" w:hAnsi="Times New Roman"/>
                <w:sz w:val="19"/>
                <w:szCs w:val="19"/>
                <w:color w:val="231F20"/>
                <w:w w:val="83"/>
              </w:rPr>
              <w:t>$</w:t>
            </w:r>
          </w:p>
        </w:tc>
        <w:tc>
          <w:tcPr>
            <w:tcW w:w="1040" w:type="dxa"/>
            <w:vAlign w:val="bottom"/>
            <w:tcBorders>
              <w:top w:val="single" w:sz="8" w:color="231F20"/>
              <w:bottom w:val="single" w:sz="8" w:color="231F20"/>
            </w:tcBorders>
            <w:shd w:val="clear" w:color="auto" w:fill="D0EBF2"/>
          </w:tcPr>
          <w:p>
            <w:pPr>
              <w:jc w:val="right"/>
              <w:spacing w:after="0" w:line="207" w:lineRule="exact"/>
              <w:rPr>
                <w:sz w:val="20"/>
                <w:szCs w:val="20"/>
                <w:color w:val="auto"/>
              </w:rPr>
            </w:pPr>
            <w:r>
              <w:rPr>
                <w:rFonts w:ascii="Times New Roman" w:cs="Times New Roman" w:eastAsia="Times New Roman" w:hAnsi="Times New Roman"/>
                <w:sz w:val="19"/>
                <w:szCs w:val="19"/>
                <w:color w:val="231F20"/>
              </w:rPr>
              <w:t>29,251</w:t>
            </w:r>
          </w:p>
        </w:tc>
        <w:tc>
          <w:tcPr>
            <w:tcW w:w="100" w:type="dxa"/>
            <w:vAlign w:val="bottom"/>
            <w:tcBorders>
              <w:top w:val="single" w:sz="8" w:color="D0EBF2"/>
            </w:tcBorders>
            <w:shd w:val="clear" w:color="auto" w:fill="D0EBF2"/>
          </w:tcPr>
          <w:p>
            <w:pPr>
              <w:spacing w:after="0"/>
              <w:rPr>
                <w:sz w:val="17"/>
                <w:szCs w:val="17"/>
                <w:color w:val="auto"/>
              </w:rPr>
            </w:pPr>
          </w:p>
        </w:tc>
        <w:tc>
          <w:tcPr>
            <w:tcW w:w="600" w:type="dxa"/>
            <w:vAlign w:val="bottom"/>
            <w:tcBorders>
              <w:top w:val="single" w:sz="8" w:color="231F20"/>
              <w:bottom w:val="single" w:sz="8" w:color="231F20"/>
            </w:tcBorders>
            <w:gridSpan w:val="2"/>
            <w:shd w:val="clear" w:color="auto" w:fill="D0EBF2"/>
          </w:tcPr>
          <w:p>
            <w:pPr>
              <w:jc w:val="right"/>
              <w:ind w:right="250"/>
              <w:spacing w:after="0" w:line="207" w:lineRule="exact"/>
              <w:rPr>
                <w:sz w:val="20"/>
                <w:szCs w:val="20"/>
                <w:color w:val="auto"/>
              </w:rPr>
            </w:pPr>
            <w:r>
              <w:rPr>
                <w:rFonts w:ascii="Times New Roman" w:cs="Times New Roman" w:eastAsia="Times New Roman" w:hAnsi="Times New Roman"/>
                <w:sz w:val="19"/>
                <w:szCs w:val="19"/>
                <w:color w:val="231F20"/>
              </w:rPr>
              <w:t>$</w:t>
            </w:r>
          </w:p>
        </w:tc>
        <w:tc>
          <w:tcPr>
            <w:tcW w:w="820" w:type="dxa"/>
            <w:vAlign w:val="bottom"/>
            <w:tcBorders>
              <w:top w:val="single" w:sz="8" w:color="231F20"/>
              <w:bottom w:val="single" w:sz="8" w:color="231F20"/>
            </w:tcBorders>
            <w:shd w:val="clear" w:color="auto" w:fill="D0EBF2"/>
          </w:tcPr>
          <w:p>
            <w:pPr>
              <w:jc w:val="right"/>
              <w:spacing w:after="0" w:line="207" w:lineRule="exact"/>
              <w:rPr>
                <w:sz w:val="20"/>
                <w:szCs w:val="20"/>
                <w:color w:val="auto"/>
              </w:rPr>
            </w:pPr>
            <w:r>
              <w:rPr>
                <w:rFonts w:ascii="Times New Roman" w:cs="Times New Roman" w:eastAsia="Times New Roman" w:hAnsi="Times New Roman"/>
                <w:sz w:val="19"/>
                <w:szCs w:val="19"/>
                <w:color w:val="231F20"/>
              </w:rPr>
              <w:t>(29,239)</w:t>
            </w:r>
          </w:p>
        </w:tc>
        <w:tc>
          <w:tcPr>
            <w:tcW w:w="100" w:type="dxa"/>
            <w:vAlign w:val="bottom"/>
            <w:tcBorders>
              <w:top w:val="single" w:sz="8" w:color="D0EBF2"/>
            </w:tcBorders>
            <w:shd w:val="clear" w:color="auto" w:fill="D0EBF2"/>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6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231F20"/>
            </w:tcBorders>
          </w:tcPr>
          <w:p>
            <w:pPr>
              <w:spacing w:after="0" w:line="20" w:lineRule="exact"/>
              <w:rPr>
                <w:sz w:val="1"/>
                <w:szCs w:val="1"/>
                <w:color w:val="auto"/>
              </w:rPr>
            </w:pPr>
          </w:p>
        </w:tc>
        <w:tc>
          <w:tcPr>
            <w:tcW w:w="1320" w:type="dxa"/>
            <w:vAlign w:val="bottom"/>
            <w:tcBorders>
              <w:bottom w:val="single" w:sz="8" w:color="231F20"/>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bottom w:val="single" w:sz="8" w:color="231F20"/>
            </w:tcBorders>
          </w:tcPr>
          <w:p>
            <w:pPr>
              <w:spacing w:after="0" w:line="20" w:lineRule="exact"/>
              <w:rPr>
                <w:sz w:val="1"/>
                <w:szCs w:val="1"/>
                <w:color w:val="auto"/>
              </w:rPr>
            </w:pPr>
          </w:p>
        </w:tc>
        <w:tc>
          <w:tcPr>
            <w:tcW w:w="980" w:type="dxa"/>
            <w:vAlign w:val="bottom"/>
            <w:tcBorders>
              <w:bottom w:val="single" w:sz="8" w:color="231F20"/>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bottom w:val="single" w:sz="8" w:color="231F20"/>
            </w:tcBorders>
          </w:tcPr>
          <w:p>
            <w:pPr>
              <w:spacing w:after="0" w:line="20" w:lineRule="exact"/>
              <w:rPr>
                <w:sz w:val="1"/>
                <w:szCs w:val="1"/>
                <w:color w:val="auto"/>
              </w:rPr>
            </w:pPr>
          </w:p>
        </w:tc>
        <w:tc>
          <w:tcPr>
            <w:tcW w:w="1040" w:type="dxa"/>
            <w:vAlign w:val="bottom"/>
            <w:tcBorders>
              <w:bottom w:val="single" w:sz="8" w:color="231F20"/>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231F20"/>
            </w:tcBorders>
          </w:tcPr>
          <w:p>
            <w:pPr>
              <w:spacing w:after="0" w:line="20" w:lineRule="exact"/>
              <w:rPr>
                <w:sz w:val="1"/>
                <w:szCs w:val="1"/>
                <w:color w:val="auto"/>
              </w:rPr>
            </w:pPr>
          </w:p>
        </w:tc>
        <w:tc>
          <w:tcPr>
            <w:tcW w:w="440" w:type="dxa"/>
            <w:vAlign w:val="bottom"/>
            <w:tcBorders>
              <w:bottom w:val="single" w:sz="8" w:color="231F20"/>
            </w:tcBorders>
          </w:tcPr>
          <w:p>
            <w:pPr>
              <w:spacing w:after="0" w:line="20" w:lineRule="exact"/>
              <w:rPr>
                <w:sz w:val="1"/>
                <w:szCs w:val="1"/>
                <w:color w:val="auto"/>
              </w:rPr>
            </w:pPr>
          </w:p>
        </w:tc>
        <w:tc>
          <w:tcPr>
            <w:tcW w:w="820" w:type="dxa"/>
            <w:vAlign w:val="bottom"/>
            <w:tcBorders>
              <w:bottom w:val="single" w:sz="8" w:color="231F20"/>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1" w:lineRule="exact"/>
        <w:rPr>
          <w:sz w:val="20"/>
          <w:szCs w:val="20"/>
          <w:color w:val="auto"/>
        </w:rPr>
      </w:pPr>
    </w:p>
    <w:p>
      <w:pPr>
        <w:ind w:left="460" w:right="240" w:hanging="460"/>
        <w:spacing w:after="0" w:line="275" w:lineRule="auto"/>
        <w:tabs>
          <w:tab w:leader="none" w:pos="460" w:val="left"/>
        </w:tabs>
        <w:numPr>
          <w:ilvl w:val="0"/>
          <w:numId w:val="92"/>
        </w:numPr>
        <w:rPr>
          <w:rFonts w:ascii="Times New Roman" w:cs="Times New Roman" w:eastAsia="Times New Roman" w:hAnsi="Times New Roman"/>
          <w:sz w:val="19"/>
          <w:szCs w:val="19"/>
          <w:color w:val="231F20"/>
        </w:rPr>
      </w:pPr>
      <w:r>
        <w:rPr>
          <w:rFonts w:ascii="Times New Roman" w:cs="Times New Roman" w:eastAsia="Times New Roman" w:hAnsi="Times New Roman"/>
          <w:sz w:val="19"/>
          <w:szCs w:val="19"/>
          <w:color w:val="231F20"/>
        </w:rPr>
        <w:t>As of December 31, 2023, these interest rate swaps had either matured or been terminated due to repayment of the underlying investment or security.</w:t>
      </w:r>
    </w:p>
    <w:p>
      <w:pPr>
        <w:spacing w:after="0" w:line="160" w:lineRule="exact"/>
        <w:rPr>
          <w:sz w:val="20"/>
          <w:szCs w:val="20"/>
          <w:color w:val="auto"/>
        </w:rPr>
      </w:pPr>
    </w:p>
    <w:p>
      <w:pPr>
        <w:ind w:right="60" w:firstLine="231"/>
        <w:spacing w:after="0" w:line="241" w:lineRule="auto"/>
        <w:rPr>
          <w:sz w:val="20"/>
          <w:szCs w:val="20"/>
          <w:color w:val="auto"/>
        </w:rPr>
      </w:pPr>
      <w:r>
        <w:rPr>
          <w:rFonts w:ascii="Times New Roman" w:cs="Times New Roman" w:eastAsia="Times New Roman" w:hAnsi="Times New Roman"/>
          <w:sz w:val="19"/>
          <w:szCs w:val="19"/>
          <w:color w:val="231F20"/>
        </w:rPr>
        <w:t>For the years ended December 31, 2024 and December 31, 2023, the Company recognized no net change in unrealized gains or losses and a $0.1 million net change in unrealized gains, respectively, on interest rate swaps not designated as hedging instruments in the Consolidated Statement of Operations related to the swap transactions. For the year ended December 31, 2024, the Company recognized a $7.6 million net change in gains on interest rate swaps designated as hedging instruments in the Consolidated Statements of Operations. For the year ended December 31, 2023 the Company recognized a $23.2 million net change in gains on interest rate swaps designated as hedging instruments in the Consolidated Statements of Operations. For the years ended December 31, 2024 and December 31, 2023, the Company recognized no net realized gain or loss on interest rate swaps. For the years ended December 31, 2024 and December 31, 2023, this amount is offset by an increase of $10.4 million and $9.0 million, respectively, for a change in the carrying value of the 2024 Notes, for the years ended December 31, 2024 and December 31, 2023, an increase of $8.5 million and $9.6 million, respectively, for a change in carrying value of the 2026 Notes and for the years ended December 31, 2024 and December 31, 2023, a decrease of $(6.1) million and an increase of $4.7 million, respectively, for a change in carrying value of the 2028 Notes. For the year ended December 31, 2024 this amount is offset by an decrease of $(5.2) million for a change in carrying value of the 2029 Notes.</w:t>
      </w:r>
    </w:p>
    <w:p>
      <w:pPr>
        <w:spacing w:after="0" w:line="198" w:lineRule="exact"/>
        <w:rPr>
          <w:sz w:val="20"/>
          <w:szCs w:val="20"/>
          <w:color w:val="auto"/>
        </w:rPr>
      </w:pPr>
    </w:p>
    <w:p>
      <w:pPr>
        <w:ind w:right="80" w:firstLine="231"/>
        <w:spacing w:after="0" w:line="244" w:lineRule="auto"/>
        <w:rPr>
          <w:sz w:val="20"/>
          <w:szCs w:val="20"/>
          <w:color w:val="auto"/>
        </w:rPr>
      </w:pPr>
      <w:r>
        <w:rPr>
          <w:rFonts w:ascii="Times New Roman" w:cs="Times New Roman" w:eastAsia="Times New Roman" w:hAnsi="Times New Roman"/>
          <w:sz w:val="19"/>
          <w:szCs w:val="19"/>
          <w:color w:val="231F20"/>
        </w:rPr>
        <w:t>As of December 31, 2024, the swap transactions had a fair value of $(24.2) million, which is netted against cash collateral of $46.6 million. Cash is pledged as collateral under the Company’s derivative agreements and is included in restricted cash as a component of cash and cash equivalents on the Company’s Consolidated Balance Sheet. As of December 31, 2024, the derivatives had a fair value of $22.4 million. As of December 31, 2023, the swap transactions had a fair value of $(31.8) million, which is netted against cash collateral of $55.8 million. Cash is pledged as collateral under the Company’s derivative agreements and is included in restricted cash as a component of cash and cash equivalents on the Company’s Consolidated Balance Sheet. As of December 31, 2023, the derivatives had a fair value of $24.0 million.</w:t>
      </w:r>
    </w:p>
    <w:p>
      <w:pPr>
        <w:spacing w:after="0" w:line="192" w:lineRule="exact"/>
        <w:rPr>
          <w:sz w:val="20"/>
          <w:szCs w:val="20"/>
          <w:color w:val="auto"/>
        </w:rPr>
      </w:pPr>
    </w:p>
    <w:p>
      <w:pPr>
        <w:ind w:firstLine="231"/>
        <w:spacing w:after="0" w:line="247" w:lineRule="auto"/>
        <w:rPr>
          <w:sz w:val="20"/>
          <w:szCs w:val="20"/>
          <w:color w:val="auto"/>
        </w:rPr>
      </w:pPr>
      <w:r>
        <w:rPr>
          <w:rFonts w:ascii="Times New Roman" w:cs="Times New Roman" w:eastAsia="Times New Roman" w:hAnsi="Times New Roman"/>
          <w:sz w:val="19"/>
          <w:szCs w:val="19"/>
          <w:color w:val="231F20"/>
        </w:rPr>
        <w:t>The Company is required under the terms of its derivatives agreements to pledge assets as collateral to secure its obligations underlying the derivatives. The amount of collateral required varies over time based on the mark-to-market value, notional amount and remaining term of the derivatives, and may exceed the amount owed by the Company on a mark-to-market basis. Any failure by the Company to fulfill any collateral requirement (e.g., a so-called “margin call”) may result in a default. In the event of a default by a counterparty, the Company would be an unsecured creditor to the extent of any such overcollateralization.</w:t>
      </w:r>
    </w:p>
    <w:p>
      <w:pPr>
        <w:spacing w:after="0" w:line="188" w:lineRule="exact"/>
        <w:rPr>
          <w:sz w:val="20"/>
          <w:szCs w:val="20"/>
          <w:color w:val="auto"/>
        </w:rPr>
      </w:pPr>
    </w:p>
    <w:p>
      <w:pPr>
        <w:ind w:right="260" w:firstLine="231"/>
        <w:spacing w:after="0" w:line="275" w:lineRule="auto"/>
        <w:rPr>
          <w:sz w:val="20"/>
          <w:szCs w:val="20"/>
          <w:color w:val="auto"/>
        </w:rPr>
      </w:pPr>
      <w:r>
        <w:rPr>
          <w:rFonts w:ascii="Times New Roman" w:cs="Times New Roman" w:eastAsia="Times New Roman" w:hAnsi="Times New Roman"/>
          <w:sz w:val="19"/>
          <w:szCs w:val="19"/>
          <w:color w:val="231F20"/>
        </w:rPr>
        <w:t>The Company may enter into other derivative instruments and incur other exposures with the same or other counterparties in the future.</w:t>
      </w:r>
    </w:p>
    <w:p>
      <w:pPr>
        <w:sectPr>
          <w:pgSz w:w="12240" w:h="15840" w:orient="portrait"/>
          <w:cols w:equalWidth="0" w:num="1">
            <w:col w:w="10200"/>
          </w:cols>
          <w:pgMar w:left="1020" w:top="1337" w:right="1020" w:bottom="57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231F20"/>
        </w:rPr>
        <w:t>F-38</w:t>
      </w:r>
    </w:p>
    <w:p>
      <w:pPr>
        <w:sectPr>
          <w:pgSz w:w="12240" w:h="15840" w:orient="portrait"/>
          <w:cols w:equalWidth="0" w:num="1">
            <w:col w:w="10200"/>
          </w:cols>
          <w:pgMar w:left="1020" w:top="1337" w:right="1020" w:bottom="574" w:gutter="0" w:footer="0" w:header="0"/>
          <w:type w:val="continuous"/>
        </w:sectPr>
      </w:pPr>
    </w:p>
    <w:bookmarkStart w:id="126" w:name="page127"/>
    <w:bookmarkEnd w:id="126"/>
    <w:p>
      <w:pPr>
        <w:ind w:right="7100"/>
        <w:spacing w:after="0" w:line="364" w:lineRule="auto"/>
        <w:tabs>
          <w:tab w:leader="none" w:pos="189" w:val="left"/>
        </w:tabs>
        <w:numPr>
          <w:ilvl w:val="0"/>
          <w:numId w:val="93"/>
        </w:numPr>
        <w:rPr>
          <w:rFonts w:ascii="Times New Roman" w:cs="Times New Roman" w:eastAsia="Times New Roman" w:hAnsi="Times New Roman"/>
          <w:sz w:val="19"/>
          <w:szCs w:val="19"/>
          <w:b w:val="1"/>
          <w:bCs w:val="1"/>
          <w:color w:val="231F20"/>
        </w:rPr>
      </w:pPr>
      <w:r>
        <w:rPr>
          <w:rFonts w:ascii="Times New Roman" w:cs="Times New Roman" w:eastAsia="Times New Roman" w:hAnsi="Times New Roman"/>
          <w:sz w:val="19"/>
          <w:szCs w:val="19"/>
          <w:b w:val="1"/>
          <w:bCs w:val="1"/>
          <w:color w:val="231F20"/>
        </w:rPr>
        <w:t xml:space="preserve">Fair Value of Financial Instruments </w:t>
      </w:r>
      <w:r>
        <w:rPr>
          <w:rFonts w:ascii="Times New Roman" w:cs="Times New Roman" w:eastAsia="Times New Roman" w:hAnsi="Times New Roman"/>
          <w:sz w:val="19"/>
          <w:szCs w:val="19"/>
          <w:i w:val="1"/>
          <w:iCs w:val="1"/>
          <w:color w:val="231F20"/>
        </w:rPr>
        <w:t>Investments</w:t>
      </w:r>
    </w:p>
    <w:p>
      <w:pPr>
        <w:ind w:left="240"/>
        <w:spacing w:after="0"/>
        <w:rPr>
          <w:rFonts w:ascii="Times New Roman" w:cs="Times New Roman" w:eastAsia="Times New Roman" w:hAnsi="Times New Roman"/>
          <w:sz w:val="19"/>
          <w:szCs w:val="19"/>
          <w:b w:val="1"/>
          <w:bCs w:val="1"/>
          <w:color w:val="231F20"/>
        </w:rPr>
      </w:pPr>
      <w:r>
        <w:rPr>
          <w:rFonts w:ascii="Times New Roman" w:cs="Times New Roman" w:eastAsia="Times New Roman" w:hAnsi="Times New Roman"/>
          <w:sz w:val="19"/>
          <w:szCs w:val="19"/>
          <w:color w:val="231F20"/>
        </w:rPr>
        <w:t>The following tables present fair value measurements of investments as of December 31, 2024 and December 31, 2023:</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4900" w:type="dxa"/>
            <w:vAlign w:val="bottom"/>
            <w:tcBorders>
              <w:bottom w:val="single" w:sz="8" w:color="FDFDFC"/>
            </w:tcBorders>
            <w:shd w:val="clear" w:color="auto" w:fill="FDFDFC"/>
          </w:tcPr>
          <w:p>
            <w:pPr>
              <w:spacing w:after="0"/>
              <w:rPr>
                <w:sz w:val="15"/>
                <w:szCs w:val="15"/>
                <w:color w:val="auto"/>
              </w:rPr>
            </w:pPr>
          </w:p>
        </w:tc>
        <w:tc>
          <w:tcPr>
            <w:tcW w:w="140" w:type="dxa"/>
            <w:vAlign w:val="bottom"/>
            <w:tcBorders>
              <w:bottom w:val="single" w:sz="8" w:color="FDFDFC"/>
            </w:tcBorders>
            <w:shd w:val="clear" w:color="auto" w:fill="FDFDFC"/>
          </w:tcPr>
          <w:p>
            <w:pPr>
              <w:spacing w:after="0"/>
              <w:rPr>
                <w:sz w:val="15"/>
                <w:szCs w:val="15"/>
                <w:color w:val="auto"/>
              </w:rPr>
            </w:pPr>
          </w:p>
        </w:tc>
        <w:tc>
          <w:tcPr>
            <w:tcW w:w="60" w:type="dxa"/>
            <w:vAlign w:val="bottom"/>
            <w:tcBorders>
              <w:bottom w:val="single" w:sz="8" w:color="FDFDFC"/>
            </w:tcBorders>
            <w:shd w:val="clear" w:color="auto" w:fill="FDFDFC"/>
          </w:tcPr>
          <w:p>
            <w:pPr>
              <w:spacing w:after="0"/>
              <w:rPr>
                <w:sz w:val="15"/>
                <w:szCs w:val="15"/>
                <w:color w:val="auto"/>
              </w:rPr>
            </w:pPr>
          </w:p>
        </w:tc>
        <w:tc>
          <w:tcPr>
            <w:tcW w:w="80" w:type="dxa"/>
            <w:vAlign w:val="bottom"/>
            <w:tcBorders>
              <w:bottom w:val="single" w:sz="8" w:color="FDFDFC"/>
            </w:tcBorders>
            <w:shd w:val="clear" w:color="auto" w:fill="FDFDFC"/>
          </w:tcPr>
          <w:p>
            <w:pPr>
              <w:spacing w:after="0"/>
              <w:rPr>
                <w:sz w:val="15"/>
                <w:szCs w:val="15"/>
                <w:color w:val="auto"/>
              </w:rPr>
            </w:pPr>
          </w:p>
        </w:tc>
        <w:tc>
          <w:tcPr>
            <w:tcW w:w="180" w:type="dxa"/>
            <w:vAlign w:val="bottom"/>
            <w:tcBorders>
              <w:bottom w:val="single" w:sz="8" w:color="231F20"/>
            </w:tcBorders>
            <w:shd w:val="clear" w:color="auto" w:fill="FDFDFC"/>
          </w:tcPr>
          <w:p>
            <w:pPr>
              <w:spacing w:after="0"/>
              <w:rPr>
                <w:sz w:val="15"/>
                <w:szCs w:val="15"/>
                <w:color w:val="auto"/>
              </w:rPr>
            </w:pPr>
          </w:p>
        </w:tc>
        <w:tc>
          <w:tcPr>
            <w:tcW w:w="840" w:type="dxa"/>
            <w:vAlign w:val="bottom"/>
            <w:tcBorders>
              <w:bottom w:val="single" w:sz="8" w:color="231F20"/>
            </w:tcBorders>
            <w:shd w:val="clear" w:color="auto" w:fill="FDFDFC"/>
          </w:tcPr>
          <w:p>
            <w:pPr>
              <w:spacing w:after="0"/>
              <w:rPr>
                <w:sz w:val="15"/>
                <w:szCs w:val="15"/>
                <w:color w:val="auto"/>
              </w:rPr>
            </w:pPr>
          </w:p>
        </w:tc>
        <w:tc>
          <w:tcPr>
            <w:tcW w:w="3040" w:type="dxa"/>
            <w:vAlign w:val="bottom"/>
            <w:tcBorders>
              <w:bottom w:val="single" w:sz="8" w:color="231F20"/>
            </w:tcBorders>
            <w:gridSpan w:val="16"/>
            <w:shd w:val="clear" w:color="auto" w:fill="FDFDFC"/>
          </w:tcPr>
          <w:p>
            <w:pPr>
              <w:jc w:val="right"/>
              <w:ind w:right="116"/>
              <w:spacing w:after="0"/>
              <w:rPr>
                <w:sz w:val="20"/>
                <w:szCs w:val="20"/>
                <w:color w:val="auto"/>
              </w:rPr>
            </w:pPr>
            <w:r>
              <w:rPr>
                <w:rFonts w:ascii="Times New Roman" w:cs="Times New Roman" w:eastAsia="Times New Roman" w:hAnsi="Times New Roman"/>
                <w:sz w:val="15"/>
                <w:szCs w:val="15"/>
                <w:b w:val="1"/>
                <w:bCs w:val="1"/>
                <w:color w:val="231F20"/>
              </w:rPr>
              <w:t>Fair Value Hierarchy at December 31, 2024</w:t>
            </w:r>
          </w:p>
        </w:tc>
        <w:tc>
          <w:tcPr>
            <w:tcW w:w="860" w:type="dxa"/>
            <w:vAlign w:val="bottom"/>
            <w:tcBorders>
              <w:bottom w:val="single" w:sz="8" w:color="231F20"/>
            </w:tcBorders>
            <w:shd w:val="clear" w:color="auto" w:fill="FDFDFC"/>
          </w:tcPr>
          <w:p>
            <w:pPr>
              <w:spacing w:after="0"/>
              <w:rPr>
                <w:sz w:val="15"/>
                <w:szCs w:val="15"/>
                <w:color w:val="auto"/>
              </w:rPr>
            </w:pPr>
          </w:p>
        </w:tc>
        <w:tc>
          <w:tcPr>
            <w:tcW w:w="100" w:type="dxa"/>
            <w:vAlign w:val="bottom"/>
            <w:tcBorders>
              <w:bottom w:val="single" w:sz="8" w:color="FDFDFC"/>
            </w:tcBorders>
            <w:shd w:val="clear" w:color="auto" w:fill="FDFDFC"/>
          </w:tcPr>
          <w:p>
            <w:pPr>
              <w:spacing w:after="0"/>
              <w:rPr>
                <w:sz w:val="15"/>
                <w:szCs w:val="15"/>
                <w:color w:val="auto"/>
              </w:rPr>
            </w:pPr>
          </w:p>
        </w:tc>
      </w:tr>
      <w:tr>
        <w:trPr>
          <w:trHeight w:val="163"/>
        </w:trPr>
        <w:tc>
          <w:tcPr>
            <w:tcW w:w="4900" w:type="dxa"/>
            <w:vAlign w:val="bottom"/>
            <w:tcBorders>
              <w:bottom w:val="single" w:sz="8" w:color="D0EBF2"/>
            </w:tcBorders>
            <w:shd w:val="clear" w:color="auto" w:fill="FDFDFC"/>
          </w:tcPr>
          <w:p>
            <w:pPr>
              <w:spacing w:after="0"/>
              <w:rPr>
                <w:sz w:val="14"/>
                <w:szCs w:val="14"/>
                <w:color w:val="auto"/>
              </w:rPr>
            </w:pPr>
          </w:p>
        </w:tc>
        <w:tc>
          <w:tcPr>
            <w:tcW w:w="140" w:type="dxa"/>
            <w:vAlign w:val="bottom"/>
            <w:tcBorders>
              <w:bottom w:val="single" w:sz="8" w:color="D0EBF2"/>
            </w:tcBorders>
            <w:shd w:val="clear" w:color="auto" w:fill="FDFDFC"/>
          </w:tcPr>
          <w:p>
            <w:pPr>
              <w:spacing w:after="0"/>
              <w:rPr>
                <w:sz w:val="14"/>
                <w:szCs w:val="14"/>
                <w:color w:val="auto"/>
              </w:rPr>
            </w:pPr>
          </w:p>
        </w:tc>
        <w:tc>
          <w:tcPr>
            <w:tcW w:w="60" w:type="dxa"/>
            <w:vAlign w:val="bottom"/>
            <w:tcBorders>
              <w:bottom w:val="single" w:sz="8" w:color="D0EBF2"/>
            </w:tcBorders>
            <w:shd w:val="clear" w:color="auto" w:fill="FDFDFC"/>
          </w:tcPr>
          <w:p>
            <w:pPr>
              <w:spacing w:after="0"/>
              <w:rPr>
                <w:sz w:val="14"/>
                <w:szCs w:val="14"/>
                <w:color w:val="auto"/>
              </w:rPr>
            </w:pPr>
          </w:p>
        </w:tc>
        <w:tc>
          <w:tcPr>
            <w:tcW w:w="80" w:type="dxa"/>
            <w:vAlign w:val="bottom"/>
            <w:tcBorders>
              <w:bottom w:val="single" w:sz="8" w:color="D0EBF2"/>
            </w:tcBorders>
            <w:shd w:val="clear" w:color="auto" w:fill="FDFDFC"/>
          </w:tcPr>
          <w:p>
            <w:pPr>
              <w:spacing w:after="0"/>
              <w:rPr>
                <w:sz w:val="14"/>
                <w:szCs w:val="14"/>
                <w:color w:val="auto"/>
              </w:rPr>
            </w:pPr>
          </w:p>
        </w:tc>
        <w:tc>
          <w:tcPr>
            <w:tcW w:w="180" w:type="dxa"/>
            <w:vAlign w:val="bottom"/>
            <w:tcBorders>
              <w:bottom w:val="single" w:sz="8" w:color="231F20"/>
            </w:tcBorders>
            <w:shd w:val="clear" w:color="auto" w:fill="FDFDFC"/>
          </w:tcPr>
          <w:p>
            <w:pPr>
              <w:spacing w:after="0"/>
              <w:rPr>
                <w:sz w:val="14"/>
                <w:szCs w:val="14"/>
                <w:color w:val="auto"/>
              </w:rPr>
            </w:pPr>
          </w:p>
        </w:tc>
        <w:tc>
          <w:tcPr>
            <w:tcW w:w="840" w:type="dxa"/>
            <w:vAlign w:val="bottom"/>
            <w:tcBorders>
              <w:bottom w:val="single" w:sz="8" w:color="231F20"/>
            </w:tcBorders>
            <w:shd w:val="clear" w:color="auto" w:fill="FDFDFC"/>
          </w:tcPr>
          <w:p>
            <w:pPr>
              <w:jc w:val="right"/>
              <w:ind w:right="189"/>
              <w:spacing w:after="0" w:line="164" w:lineRule="exact"/>
              <w:rPr>
                <w:sz w:val="20"/>
                <w:szCs w:val="20"/>
                <w:color w:val="auto"/>
              </w:rPr>
            </w:pPr>
            <w:r>
              <w:rPr>
                <w:rFonts w:ascii="Times New Roman" w:cs="Times New Roman" w:eastAsia="Times New Roman" w:hAnsi="Times New Roman"/>
                <w:sz w:val="15"/>
                <w:szCs w:val="15"/>
                <w:b w:val="1"/>
                <w:bCs w:val="1"/>
                <w:color w:val="231F20"/>
              </w:rPr>
              <w:t>Level 1</w:t>
            </w:r>
          </w:p>
        </w:tc>
        <w:tc>
          <w:tcPr>
            <w:tcW w:w="60" w:type="dxa"/>
            <w:vAlign w:val="bottom"/>
            <w:tcBorders>
              <w:bottom w:val="single" w:sz="8" w:color="D0EBF2"/>
            </w:tcBorders>
            <w:shd w:val="clear" w:color="auto" w:fill="FDFDFC"/>
          </w:tcPr>
          <w:p>
            <w:pPr>
              <w:spacing w:after="0"/>
              <w:rPr>
                <w:sz w:val="14"/>
                <w:szCs w:val="14"/>
                <w:color w:val="auto"/>
              </w:rPr>
            </w:pPr>
          </w:p>
        </w:tc>
        <w:tc>
          <w:tcPr>
            <w:tcW w:w="40" w:type="dxa"/>
            <w:vAlign w:val="bottom"/>
            <w:tcBorders>
              <w:bottom w:val="single" w:sz="8" w:color="D0EBF2"/>
            </w:tcBorders>
            <w:shd w:val="clear" w:color="auto" w:fill="FDFDFC"/>
          </w:tcPr>
          <w:p>
            <w:pPr>
              <w:spacing w:after="0"/>
              <w:rPr>
                <w:sz w:val="14"/>
                <w:szCs w:val="14"/>
                <w:color w:val="auto"/>
              </w:rPr>
            </w:pPr>
          </w:p>
        </w:tc>
        <w:tc>
          <w:tcPr>
            <w:tcW w:w="60" w:type="dxa"/>
            <w:vAlign w:val="bottom"/>
            <w:tcBorders>
              <w:bottom w:val="single" w:sz="8" w:color="D0EBF2"/>
            </w:tcBorders>
            <w:shd w:val="clear" w:color="auto" w:fill="FDFDFC"/>
          </w:tcPr>
          <w:p>
            <w:pPr>
              <w:spacing w:after="0"/>
              <w:rPr>
                <w:sz w:val="14"/>
                <w:szCs w:val="14"/>
                <w:color w:val="auto"/>
              </w:rPr>
            </w:pPr>
          </w:p>
        </w:tc>
        <w:tc>
          <w:tcPr>
            <w:tcW w:w="80" w:type="dxa"/>
            <w:vAlign w:val="bottom"/>
            <w:tcBorders>
              <w:bottom w:val="single" w:sz="8" w:color="D0EBF2"/>
            </w:tcBorders>
            <w:shd w:val="clear" w:color="auto" w:fill="FDFDFC"/>
          </w:tcPr>
          <w:p>
            <w:pPr>
              <w:spacing w:after="0"/>
              <w:rPr>
                <w:sz w:val="14"/>
                <w:szCs w:val="14"/>
                <w:color w:val="auto"/>
              </w:rPr>
            </w:pPr>
          </w:p>
        </w:tc>
        <w:tc>
          <w:tcPr>
            <w:tcW w:w="40" w:type="dxa"/>
            <w:vAlign w:val="bottom"/>
            <w:tcBorders>
              <w:bottom w:val="single" w:sz="8" w:color="231F20"/>
            </w:tcBorders>
            <w:shd w:val="clear" w:color="auto" w:fill="FDFDFC"/>
          </w:tcPr>
          <w:p>
            <w:pPr>
              <w:spacing w:after="0"/>
              <w:rPr>
                <w:sz w:val="14"/>
                <w:szCs w:val="14"/>
                <w:color w:val="auto"/>
              </w:rPr>
            </w:pPr>
          </w:p>
        </w:tc>
        <w:tc>
          <w:tcPr>
            <w:tcW w:w="160" w:type="dxa"/>
            <w:vAlign w:val="bottom"/>
            <w:tcBorders>
              <w:bottom w:val="single" w:sz="8" w:color="231F20"/>
            </w:tcBorders>
            <w:shd w:val="clear" w:color="auto" w:fill="FDFDFC"/>
          </w:tcPr>
          <w:p>
            <w:pPr>
              <w:spacing w:after="0"/>
              <w:rPr>
                <w:sz w:val="14"/>
                <w:szCs w:val="14"/>
                <w:color w:val="auto"/>
              </w:rPr>
            </w:pPr>
          </w:p>
        </w:tc>
        <w:tc>
          <w:tcPr>
            <w:tcW w:w="820" w:type="dxa"/>
            <w:vAlign w:val="bottom"/>
            <w:tcBorders>
              <w:bottom w:val="single" w:sz="8" w:color="231F20"/>
            </w:tcBorders>
            <w:shd w:val="clear" w:color="auto" w:fill="FDFDFC"/>
          </w:tcPr>
          <w:p>
            <w:pPr>
              <w:jc w:val="right"/>
              <w:ind w:right="188"/>
              <w:spacing w:after="0" w:line="164" w:lineRule="exact"/>
              <w:rPr>
                <w:sz w:val="20"/>
                <w:szCs w:val="20"/>
                <w:color w:val="auto"/>
              </w:rPr>
            </w:pPr>
            <w:r>
              <w:rPr>
                <w:rFonts w:ascii="Times New Roman" w:cs="Times New Roman" w:eastAsia="Times New Roman" w:hAnsi="Times New Roman"/>
                <w:sz w:val="15"/>
                <w:szCs w:val="15"/>
                <w:b w:val="1"/>
                <w:bCs w:val="1"/>
                <w:color w:val="231F20"/>
              </w:rPr>
              <w:t>Level 2</w:t>
            </w:r>
          </w:p>
        </w:tc>
        <w:tc>
          <w:tcPr>
            <w:tcW w:w="80" w:type="dxa"/>
            <w:vAlign w:val="bottom"/>
            <w:tcBorders>
              <w:bottom w:val="single" w:sz="8" w:color="D0EBF2"/>
            </w:tcBorders>
            <w:shd w:val="clear" w:color="auto" w:fill="FDFDFC"/>
          </w:tcPr>
          <w:p>
            <w:pPr>
              <w:spacing w:after="0"/>
              <w:rPr>
                <w:sz w:val="14"/>
                <w:szCs w:val="14"/>
                <w:color w:val="auto"/>
              </w:rPr>
            </w:pPr>
          </w:p>
        </w:tc>
        <w:tc>
          <w:tcPr>
            <w:tcW w:w="140" w:type="dxa"/>
            <w:vAlign w:val="bottom"/>
            <w:tcBorders>
              <w:bottom w:val="single" w:sz="8" w:color="D0EBF2"/>
            </w:tcBorders>
            <w:shd w:val="clear" w:color="auto" w:fill="FDFDFC"/>
          </w:tcPr>
          <w:p>
            <w:pPr>
              <w:spacing w:after="0"/>
              <w:rPr>
                <w:sz w:val="14"/>
                <w:szCs w:val="14"/>
                <w:color w:val="auto"/>
              </w:rPr>
            </w:pPr>
          </w:p>
        </w:tc>
        <w:tc>
          <w:tcPr>
            <w:tcW w:w="80" w:type="dxa"/>
            <w:vAlign w:val="bottom"/>
            <w:tcBorders>
              <w:bottom w:val="single" w:sz="8" w:color="231F20"/>
            </w:tcBorders>
            <w:shd w:val="clear" w:color="auto" w:fill="FDFDFC"/>
          </w:tcPr>
          <w:p>
            <w:pPr>
              <w:spacing w:after="0"/>
              <w:rPr>
                <w:sz w:val="14"/>
                <w:szCs w:val="14"/>
                <w:color w:val="auto"/>
              </w:rPr>
            </w:pPr>
          </w:p>
        </w:tc>
        <w:tc>
          <w:tcPr>
            <w:tcW w:w="180" w:type="dxa"/>
            <w:vAlign w:val="bottom"/>
            <w:tcBorders>
              <w:bottom w:val="single" w:sz="8" w:color="231F20"/>
            </w:tcBorders>
            <w:shd w:val="clear" w:color="auto" w:fill="FDFDFC"/>
          </w:tcPr>
          <w:p>
            <w:pPr>
              <w:spacing w:after="0"/>
              <w:rPr>
                <w:sz w:val="14"/>
                <w:szCs w:val="14"/>
                <w:color w:val="auto"/>
              </w:rPr>
            </w:pPr>
          </w:p>
        </w:tc>
        <w:tc>
          <w:tcPr>
            <w:tcW w:w="840" w:type="dxa"/>
            <w:vAlign w:val="bottom"/>
            <w:tcBorders>
              <w:bottom w:val="single" w:sz="8" w:color="231F20"/>
            </w:tcBorders>
            <w:shd w:val="clear" w:color="auto" w:fill="FDFDFC"/>
          </w:tcPr>
          <w:p>
            <w:pPr>
              <w:jc w:val="right"/>
              <w:ind w:right="228"/>
              <w:spacing w:after="0" w:line="164" w:lineRule="exact"/>
              <w:rPr>
                <w:sz w:val="20"/>
                <w:szCs w:val="20"/>
                <w:color w:val="auto"/>
              </w:rPr>
            </w:pPr>
            <w:r>
              <w:rPr>
                <w:rFonts w:ascii="Times New Roman" w:cs="Times New Roman" w:eastAsia="Times New Roman" w:hAnsi="Times New Roman"/>
                <w:sz w:val="15"/>
                <w:szCs w:val="15"/>
                <w:b w:val="1"/>
                <w:bCs w:val="1"/>
                <w:color w:val="231F20"/>
              </w:rPr>
              <w:t>Level 3</w:t>
            </w:r>
          </w:p>
        </w:tc>
        <w:tc>
          <w:tcPr>
            <w:tcW w:w="60" w:type="dxa"/>
            <w:vAlign w:val="bottom"/>
            <w:tcBorders>
              <w:bottom w:val="single" w:sz="8" w:color="D0EBF2"/>
            </w:tcBorders>
            <w:shd w:val="clear" w:color="auto" w:fill="FDFDFC"/>
          </w:tcPr>
          <w:p>
            <w:pPr>
              <w:spacing w:after="0"/>
              <w:rPr>
                <w:sz w:val="14"/>
                <w:szCs w:val="14"/>
                <w:color w:val="auto"/>
              </w:rPr>
            </w:pPr>
          </w:p>
        </w:tc>
        <w:tc>
          <w:tcPr>
            <w:tcW w:w="180" w:type="dxa"/>
            <w:vAlign w:val="bottom"/>
            <w:tcBorders>
              <w:bottom w:val="single" w:sz="8" w:color="D0EBF2"/>
            </w:tcBorders>
            <w:shd w:val="clear" w:color="auto" w:fill="FDFDFC"/>
          </w:tcPr>
          <w:p>
            <w:pPr>
              <w:spacing w:after="0"/>
              <w:rPr>
                <w:sz w:val="14"/>
                <w:szCs w:val="14"/>
                <w:color w:val="auto"/>
              </w:rPr>
            </w:pPr>
          </w:p>
        </w:tc>
        <w:tc>
          <w:tcPr>
            <w:tcW w:w="60" w:type="dxa"/>
            <w:vAlign w:val="bottom"/>
            <w:tcBorders>
              <w:bottom w:val="single" w:sz="8" w:color="231F20"/>
            </w:tcBorders>
            <w:shd w:val="clear" w:color="auto" w:fill="FDFDFC"/>
          </w:tcPr>
          <w:p>
            <w:pPr>
              <w:spacing w:after="0"/>
              <w:rPr>
                <w:sz w:val="14"/>
                <w:szCs w:val="14"/>
                <w:color w:val="auto"/>
              </w:rPr>
            </w:pPr>
          </w:p>
        </w:tc>
        <w:tc>
          <w:tcPr>
            <w:tcW w:w="160" w:type="dxa"/>
            <w:vAlign w:val="bottom"/>
            <w:tcBorders>
              <w:bottom w:val="single" w:sz="8" w:color="231F20"/>
            </w:tcBorders>
            <w:shd w:val="clear" w:color="auto" w:fill="FDFDFC"/>
          </w:tcPr>
          <w:p>
            <w:pPr>
              <w:spacing w:after="0"/>
              <w:rPr>
                <w:sz w:val="14"/>
                <w:szCs w:val="14"/>
                <w:color w:val="auto"/>
              </w:rPr>
            </w:pPr>
          </w:p>
        </w:tc>
        <w:tc>
          <w:tcPr>
            <w:tcW w:w="860" w:type="dxa"/>
            <w:vAlign w:val="bottom"/>
            <w:tcBorders>
              <w:bottom w:val="single" w:sz="8" w:color="231F20"/>
            </w:tcBorders>
            <w:shd w:val="clear" w:color="auto" w:fill="FDFDFC"/>
          </w:tcPr>
          <w:p>
            <w:pPr>
              <w:jc w:val="right"/>
              <w:ind w:right="288"/>
              <w:spacing w:after="0" w:line="164" w:lineRule="exact"/>
              <w:rPr>
                <w:sz w:val="20"/>
                <w:szCs w:val="20"/>
                <w:color w:val="auto"/>
              </w:rPr>
            </w:pPr>
            <w:r>
              <w:rPr>
                <w:rFonts w:ascii="Times New Roman" w:cs="Times New Roman" w:eastAsia="Times New Roman" w:hAnsi="Times New Roman"/>
                <w:sz w:val="15"/>
                <w:szCs w:val="15"/>
                <w:b w:val="1"/>
                <w:bCs w:val="1"/>
                <w:color w:val="231F20"/>
              </w:rPr>
              <w:t>Total</w:t>
            </w:r>
          </w:p>
        </w:tc>
        <w:tc>
          <w:tcPr>
            <w:tcW w:w="100" w:type="dxa"/>
            <w:vAlign w:val="bottom"/>
            <w:tcBorders>
              <w:bottom w:val="single" w:sz="8" w:color="D0EBF2"/>
            </w:tcBorders>
            <w:shd w:val="clear" w:color="auto" w:fill="FDFDFC"/>
          </w:tcPr>
          <w:p>
            <w:pPr>
              <w:spacing w:after="0"/>
              <w:rPr>
                <w:sz w:val="14"/>
                <w:szCs w:val="14"/>
                <w:color w:val="auto"/>
              </w:rPr>
            </w:pPr>
          </w:p>
        </w:tc>
      </w:tr>
      <w:tr>
        <w:trPr>
          <w:trHeight w:val="207"/>
        </w:trPr>
        <w:tc>
          <w:tcPr>
            <w:tcW w:w="5040" w:type="dxa"/>
            <w:vAlign w:val="bottom"/>
            <w:gridSpan w:val="2"/>
            <w:shd w:val="clear" w:color="auto" w:fill="D0EBF2"/>
          </w:tcPr>
          <w:p>
            <w:pPr>
              <w:spacing w:after="0" w:line="207" w:lineRule="exact"/>
              <w:rPr>
                <w:sz w:val="20"/>
                <w:szCs w:val="20"/>
                <w:color w:val="auto"/>
              </w:rPr>
            </w:pPr>
            <w:r>
              <w:rPr>
                <w:rFonts w:ascii="Times New Roman" w:cs="Times New Roman" w:eastAsia="Times New Roman" w:hAnsi="Times New Roman"/>
                <w:sz w:val="19"/>
                <w:szCs w:val="19"/>
                <w:color w:val="231F20"/>
              </w:rPr>
              <w:t>First-lien debt investments</w:t>
            </w:r>
          </w:p>
        </w:tc>
        <w:tc>
          <w:tcPr>
            <w:tcW w:w="60" w:type="dxa"/>
            <w:vAlign w:val="bottom"/>
            <w:shd w:val="clear" w:color="auto" w:fill="D0EBF2"/>
          </w:tcPr>
          <w:p>
            <w:pPr>
              <w:spacing w:after="0"/>
              <w:rPr>
                <w:sz w:val="17"/>
                <w:szCs w:val="17"/>
                <w:color w:val="auto"/>
              </w:rPr>
            </w:pPr>
          </w:p>
        </w:tc>
        <w:tc>
          <w:tcPr>
            <w:tcW w:w="80" w:type="dxa"/>
            <w:vAlign w:val="bottom"/>
            <w:shd w:val="clear" w:color="auto" w:fill="D0EBF2"/>
          </w:tcPr>
          <w:p>
            <w:pPr>
              <w:spacing w:after="0"/>
              <w:rPr>
                <w:sz w:val="17"/>
                <w:szCs w:val="17"/>
                <w:color w:val="auto"/>
              </w:rPr>
            </w:pPr>
          </w:p>
        </w:tc>
        <w:tc>
          <w:tcPr>
            <w:tcW w:w="180" w:type="dxa"/>
            <w:vAlign w:val="bottom"/>
            <w:shd w:val="clear" w:color="auto" w:fill="D0EBF2"/>
          </w:tcPr>
          <w:p>
            <w:pPr>
              <w:jc w:val="right"/>
              <w:ind w:right="16"/>
              <w:spacing w:after="0"/>
              <w:rPr>
                <w:sz w:val="20"/>
                <w:szCs w:val="20"/>
                <w:color w:val="auto"/>
              </w:rPr>
            </w:pPr>
            <w:r>
              <w:rPr>
                <w:rFonts w:ascii="Times New Roman" w:cs="Times New Roman" w:eastAsia="Times New Roman" w:hAnsi="Times New Roman"/>
                <w:sz w:val="17"/>
                <w:szCs w:val="17"/>
                <w:color w:val="231F20"/>
                <w:w w:val="70"/>
              </w:rPr>
              <w:t>$</w:t>
            </w:r>
          </w:p>
        </w:tc>
        <w:tc>
          <w:tcPr>
            <w:tcW w:w="840" w:type="dxa"/>
            <w:vAlign w:val="bottom"/>
            <w:shd w:val="clear" w:color="auto" w:fill="D0EBF2"/>
          </w:tcPr>
          <w:p>
            <w:pPr>
              <w:jc w:val="right"/>
              <w:spacing w:after="0" w:line="207" w:lineRule="exact"/>
              <w:rPr>
                <w:sz w:val="20"/>
                <w:szCs w:val="20"/>
                <w:color w:val="auto"/>
              </w:rPr>
            </w:pPr>
            <w:r>
              <w:rPr>
                <w:rFonts w:ascii="Times New Roman" w:cs="Times New Roman" w:eastAsia="Times New Roman" w:hAnsi="Times New Roman"/>
                <w:sz w:val="19"/>
                <w:szCs w:val="19"/>
                <w:color w:val="231F20"/>
              </w:rPr>
              <w:t>—</w:t>
            </w:r>
          </w:p>
        </w:tc>
        <w:tc>
          <w:tcPr>
            <w:tcW w:w="60" w:type="dxa"/>
            <w:vAlign w:val="bottom"/>
            <w:shd w:val="clear" w:color="auto" w:fill="D0EBF2"/>
          </w:tcPr>
          <w:p>
            <w:pPr>
              <w:spacing w:after="0"/>
              <w:rPr>
                <w:sz w:val="17"/>
                <w:szCs w:val="17"/>
                <w:color w:val="auto"/>
              </w:rPr>
            </w:pPr>
          </w:p>
        </w:tc>
        <w:tc>
          <w:tcPr>
            <w:tcW w:w="40" w:type="dxa"/>
            <w:vAlign w:val="bottom"/>
            <w:shd w:val="clear" w:color="auto" w:fill="D0EBF2"/>
          </w:tcPr>
          <w:p>
            <w:pPr>
              <w:spacing w:after="0"/>
              <w:rPr>
                <w:sz w:val="17"/>
                <w:szCs w:val="17"/>
                <w:color w:val="auto"/>
              </w:rPr>
            </w:pPr>
          </w:p>
        </w:tc>
        <w:tc>
          <w:tcPr>
            <w:tcW w:w="60" w:type="dxa"/>
            <w:vAlign w:val="bottom"/>
            <w:shd w:val="clear" w:color="auto" w:fill="D0EBF2"/>
          </w:tcPr>
          <w:p>
            <w:pPr>
              <w:spacing w:after="0"/>
              <w:rPr>
                <w:sz w:val="17"/>
                <w:szCs w:val="17"/>
                <w:color w:val="auto"/>
              </w:rPr>
            </w:pPr>
          </w:p>
        </w:tc>
        <w:tc>
          <w:tcPr>
            <w:tcW w:w="80" w:type="dxa"/>
            <w:vAlign w:val="bottom"/>
            <w:shd w:val="clear" w:color="auto" w:fill="D0EBF2"/>
          </w:tcPr>
          <w:p>
            <w:pPr>
              <w:spacing w:after="0"/>
              <w:rPr>
                <w:sz w:val="17"/>
                <w:szCs w:val="17"/>
                <w:color w:val="auto"/>
              </w:rPr>
            </w:pPr>
          </w:p>
        </w:tc>
        <w:tc>
          <w:tcPr>
            <w:tcW w:w="200" w:type="dxa"/>
            <w:vAlign w:val="bottom"/>
            <w:gridSpan w:val="2"/>
            <w:shd w:val="clear" w:color="auto" w:fill="D0EBF2"/>
          </w:tcPr>
          <w:p>
            <w:pPr>
              <w:jc w:val="right"/>
              <w:ind w:right="26"/>
              <w:spacing w:after="0"/>
              <w:rPr>
                <w:sz w:val="20"/>
                <w:szCs w:val="20"/>
                <w:color w:val="auto"/>
              </w:rPr>
            </w:pPr>
            <w:r>
              <w:rPr>
                <w:rFonts w:ascii="Times New Roman" w:cs="Times New Roman" w:eastAsia="Times New Roman" w:hAnsi="Times New Roman"/>
                <w:sz w:val="17"/>
                <w:szCs w:val="17"/>
                <w:color w:val="231F20"/>
                <w:w w:val="70"/>
              </w:rPr>
              <w:t>$</w:t>
            </w:r>
          </w:p>
        </w:tc>
        <w:tc>
          <w:tcPr>
            <w:tcW w:w="820" w:type="dxa"/>
            <w:vAlign w:val="bottom"/>
            <w:shd w:val="clear" w:color="auto" w:fill="D0EBF2"/>
          </w:tcPr>
          <w:p>
            <w:pPr>
              <w:jc w:val="right"/>
              <w:spacing w:after="0" w:line="207" w:lineRule="exact"/>
              <w:rPr>
                <w:sz w:val="20"/>
                <w:szCs w:val="20"/>
                <w:color w:val="auto"/>
              </w:rPr>
            </w:pPr>
            <w:r>
              <w:rPr>
                <w:rFonts w:ascii="Times New Roman" w:cs="Times New Roman" w:eastAsia="Times New Roman" w:hAnsi="Times New Roman"/>
                <w:sz w:val="19"/>
                <w:szCs w:val="19"/>
                <w:color w:val="231F20"/>
              </w:rPr>
              <w:t>14,675</w:t>
            </w:r>
          </w:p>
        </w:tc>
        <w:tc>
          <w:tcPr>
            <w:tcW w:w="80" w:type="dxa"/>
            <w:vAlign w:val="bottom"/>
            <w:shd w:val="clear" w:color="auto" w:fill="D0EBF2"/>
          </w:tcPr>
          <w:p>
            <w:pPr>
              <w:spacing w:after="0"/>
              <w:rPr>
                <w:sz w:val="17"/>
                <w:szCs w:val="17"/>
                <w:color w:val="auto"/>
              </w:rPr>
            </w:pPr>
          </w:p>
        </w:tc>
        <w:tc>
          <w:tcPr>
            <w:tcW w:w="140" w:type="dxa"/>
            <w:vAlign w:val="bottom"/>
            <w:shd w:val="clear" w:color="auto" w:fill="D0EBF2"/>
          </w:tcPr>
          <w:p>
            <w:pPr>
              <w:spacing w:after="0"/>
              <w:rPr>
                <w:sz w:val="17"/>
                <w:szCs w:val="17"/>
                <w:color w:val="auto"/>
              </w:rPr>
            </w:pPr>
          </w:p>
        </w:tc>
        <w:tc>
          <w:tcPr>
            <w:tcW w:w="260" w:type="dxa"/>
            <w:vAlign w:val="bottom"/>
            <w:gridSpan w:val="2"/>
            <w:shd w:val="clear" w:color="auto" w:fill="D0EBF2"/>
          </w:tcPr>
          <w:p>
            <w:pPr>
              <w:jc w:val="right"/>
              <w:ind w:right="66"/>
              <w:spacing w:after="0" w:line="207" w:lineRule="exact"/>
              <w:rPr>
                <w:sz w:val="20"/>
                <w:szCs w:val="20"/>
                <w:color w:val="auto"/>
              </w:rPr>
            </w:pPr>
            <w:r>
              <w:rPr>
                <w:rFonts w:ascii="Times New Roman" w:cs="Times New Roman" w:eastAsia="Times New Roman" w:hAnsi="Times New Roman"/>
                <w:sz w:val="19"/>
                <w:szCs w:val="19"/>
                <w:color w:val="231F20"/>
                <w:w w:val="83"/>
                <w:shd w:val="clear" w:color="auto" w:fill="D0EBF2"/>
              </w:rPr>
              <w:t>$</w:t>
            </w:r>
          </w:p>
        </w:tc>
        <w:tc>
          <w:tcPr>
            <w:tcW w:w="840" w:type="dxa"/>
            <w:vAlign w:val="bottom"/>
            <w:shd w:val="clear" w:color="auto" w:fill="D0EBF2"/>
          </w:tcPr>
          <w:p>
            <w:pPr>
              <w:jc w:val="right"/>
              <w:spacing w:after="0" w:line="207" w:lineRule="exact"/>
              <w:rPr>
                <w:sz w:val="20"/>
                <w:szCs w:val="20"/>
                <w:color w:val="auto"/>
              </w:rPr>
            </w:pPr>
            <w:r>
              <w:rPr>
                <w:rFonts w:ascii="Times New Roman" w:cs="Times New Roman" w:eastAsia="Times New Roman" w:hAnsi="Times New Roman"/>
                <w:sz w:val="19"/>
                <w:szCs w:val="19"/>
                <w:color w:val="231F20"/>
                <w:shd w:val="clear" w:color="auto" w:fill="D0EBF2"/>
              </w:rPr>
              <w:t>3,287,829</w:t>
            </w:r>
          </w:p>
        </w:tc>
        <w:tc>
          <w:tcPr>
            <w:tcW w:w="60" w:type="dxa"/>
            <w:vAlign w:val="bottom"/>
            <w:shd w:val="clear" w:color="auto" w:fill="D0EBF2"/>
          </w:tcPr>
          <w:p>
            <w:pPr>
              <w:spacing w:after="0"/>
              <w:rPr>
                <w:sz w:val="17"/>
                <w:szCs w:val="17"/>
                <w:color w:val="auto"/>
              </w:rPr>
            </w:pPr>
          </w:p>
        </w:tc>
        <w:tc>
          <w:tcPr>
            <w:tcW w:w="180" w:type="dxa"/>
            <w:vAlign w:val="bottom"/>
            <w:shd w:val="clear" w:color="auto" w:fill="D0EBF2"/>
          </w:tcPr>
          <w:p>
            <w:pPr>
              <w:spacing w:after="0"/>
              <w:rPr>
                <w:sz w:val="17"/>
                <w:szCs w:val="17"/>
                <w:color w:val="auto"/>
              </w:rPr>
            </w:pPr>
          </w:p>
        </w:tc>
        <w:tc>
          <w:tcPr>
            <w:tcW w:w="220" w:type="dxa"/>
            <w:vAlign w:val="bottom"/>
            <w:gridSpan w:val="2"/>
            <w:shd w:val="clear" w:color="auto" w:fill="D0EBF2"/>
          </w:tcPr>
          <w:p>
            <w:pPr>
              <w:jc w:val="right"/>
              <w:ind w:right="36"/>
              <w:spacing w:after="0" w:line="207" w:lineRule="exact"/>
              <w:rPr>
                <w:sz w:val="20"/>
                <w:szCs w:val="20"/>
                <w:color w:val="auto"/>
              </w:rPr>
            </w:pPr>
            <w:r>
              <w:rPr>
                <w:rFonts w:ascii="Times New Roman" w:cs="Times New Roman" w:eastAsia="Times New Roman" w:hAnsi="Times New Roman"/>
                <w:sz w:val="19"/>
                <w:szCs w:val="19"/>
                <w:color w:val="231F20"/>
                <w:w w:val="83"/>
                <w:shd w:val="clear" w:color="auto" w:fill="D0EBF2"/>
              </w:rPr>
              <w:t>$</w:t>
            </w:r>
          </w:p>
        </w:tc>
        <w:tc>
          <w:tcPr>
            <w:tcW w:w="860" w:type="dxa"/>
            <w:vAlign w:val="bottom"/>
            <w:shd w:val="clear" w:color="auto" w:fill="D0EBF2"/>
          </w:tcPr>
          <w:p>
            <w:pPr>
              <w:jc w:val="right"/>
              <w:spacing w:after="0" w:line="207" w:lineRule="exact"/>
              <w:rPr>
                <w:sz w:val="20"/>
                <w:szCs w:val="20"/>
                <w:color w:val="auto"/>
              </w:rPr>
            </w:pPr>
            <w:r>
              <w:rPr>
                <w:rFonts w:ascii="Times New Roman" w:cs="Times New Roman" w:eastAsia="Times New Roman" w:hAnsi="Times New Roman"/>
                <w:sz w:val="19"/>
                <w:szCs w:val="19"/>
                <w:color w:val="231F20"/>
                <w:shd w:val="clear" w:color="auto" w:fill="D0EBF2"/>
              </w:rPr>
              <w:t>3,302,504</w:t>
            </w:r>
          </w:p>
        </w:tc>
        <w:tc>
          <w:tcPr>
            <w:tcW w:w="100" w:type="dxa"/>
            <w:vAlign w:val="bottom"/>
            <w:shd w:val="clear" w:color="auto" w:fill="D0EBF2"/>
          </w:tcPr>
          <w:p>
            <w:pPr>
              <w:spacing w:after="0"/>
              <w:rPr>
                <w:sz w:val="17"/>
                <w:szCs w:val="17"/>
                <w:color w:val="auto"/>
              </w:rPr>
            </w:pPr>
          </w:p>
        </w:tc>
      </w:tr>
      <w:tr>
        <w:trPr>
          <w:trHeight w:val="217"/>
        </w:trPr>
        <w:tc>
          <w:tcPr>
            <w:tcW w:w="5040" w:type="dxa"/>
            <w:vAlign w:val="bottom"/>
            <w:gridSpan w:val="2"/>
            <w:shd w:val="clear" w:color="auto" w:fill="FDFDFC"/>
          </w:tcPr>
          <w:p>
            <w:pPr>
              <w:spacing w:after="0" w:line="217" w:lineRule="exact"/>
              <w:rPr>
                <w:sz w:val="20"/>
                <w:szCs w:val="20"/>
                <w:color w:val="auto"/>
              </w:rPr>
            </w:pPr>
            <w:r>
              <w:rPr>
                <w:rFonts w:ascii="Times New Roman" w:cs="Times New Roman" w:eastAsia="Times New Roman" w:hAnsi="Times New Roman"/>
                <w:sz w:val="19"/>
                <w:szCs w:val="19"/>
                <w:color w:val="231F20"/>
              </w:rPr>
              <w:t>Second-lien debt investments</w:t>
            </w:r>
          </w:p>
        </w:tc>
        <w:tc>
          <w:tcPr>
            <w:tcW w:w="60" w:type="dxa"/>
            <w:vAlign w:val="bottom"/>
            <w:shd w:val="clear" w:color="auto" w:fill="FDFDFC"/>
          </w:tcPr>
          <w:p>
            <w:pPr>
              <w:spacing w:after="0"/>
              <w:rPr>
                <w:sz w:val="18"/>
                <w:szCs w:val="18"/>
                <w:color w:val="auto"/>
              </w:rPr>
            </w:pPr>
          </w:p>
        </w:tc>
        <w:tc>
          <w:tcPr>
            <w:tcW w:w="80" w:type="dxa"/>
            <w:vAlign w:val="bottom"/>
            <w:shd w:val="clear" w:color="auto" w:fill="FDFDFC"/>
          </w:tcPr>
          <w:p>
            <w:pPr>
              <w:spacing w:after="0"/>
              <w:rPr>
                <w:sz w:val="18"/>
                <w:szCs w:val="18"/>
                <w:color w:val="auto"/>
              </w:rPr>
            </w:pPr>
          </w:p>
        </w:tc>
        <w:tc>
          <w:tcPr>
            <w:tcW w:w="180" w:type="dxa"/>
            <w:vAlign w:val="bottom"/>
            <w:shd w:val="clear" w:color="auto" w:fill="FDFDFC"/>
          </w:tcPr>
          <w:p>
            <w:pPr>
              <w:spacing w:after="0"/>
              <w:rPr>
                <w:sz w:val="18"/>
                <w:szCs w:val="18"/>
                <w:color w:val="auto"/>
              </w:rPr>
            </w:pPr>
          </w:p>
        </w:tc>
        <w:tc>
          <w:tcPr>
            <w:tcW w:w="840" w:type="dxa"/>
            <w:vAlign w:val="bottom"/>
            <w:shd w:val="clear" w:color="auto" w:fill="FDFDFC"/>
          </w:tcPr>
          <w:p>
            <w:pPr>
              <w:jc w:val="right"/>
              <w:spacing w:after="0" w:line="217" w:lineRule="exact"/>
              <w:rPr>
                <w:sz w:val="20"/>
                <w:szCs w:val="20"/>
                <w:color w:val="auto"/>
              </w:rPr>
            </w:pPr>
            <w:r>
              <w:rPr>
                <w:rFonts w:ascii="Times New Roman" w:cs="Times New Roman" w:eastAsia="Times New Roman" w:hAnsi="Times New Roman"/>
                <w:sz w:val="19"/>
                <w:szCs w:val="19"/>
                <w:color w:val="231F20"/>
              </w:rPr>
              <w:t>—</w:t>
            </w:r>
          </w:p>
        </w:tc>
        <w:tc>
          <w:tcPr>
            <w:tcW w:w="60" w:type="dxa"/>
            <w:vAlign w:val="bottom"/>
            <w:shd w:val="clear" w:color="auto" w:fill="FDFDFC"/>
          </w:tcPr>
          <w:p>
            <w:pPr>
              <w:spacing w:after="0"/>
              <w:rPr>
                <w:sz w:val="18"/>
                <w:szCs w:val="18"/>
                <w:color w:val="auto"/>
              </w:rPr>
            </w:pPr>
          </w:p>
        </w:tc>
        <w:tc>
          <w:tcPr>
            <w:tcW w:w="40" w:type="dxa"/>
            <w:vAlign w:val="bottom"/>
            <w:shd w:val="clear" w:color="auto" w:fill="FDFDFC"/>
          </w:tcPr>
          <w:p>
            <w:pPr>
              <w:spacing w:after="0"/>
              <w:rPr>
                <w:sz w:val="18"/>
                <w:szCs w:val="18"/>
                <w:color w:val="auto"/>
              </w:rPr>
            </w:pPr>
          </w:p>
        </w:tc>
        <w:tc>
          <w:tcPr>
            <w:tcW w:w="60" w:type="dxa"/>
            <w:vAlign w:val="bottom"/>
            <w:shd w:val="clear" w:color="auto" w:fill="FDFDFC"/>
          </w:tcPr>
          <w:p>
            <w:pPr>
              <w:spacing w:after="0"/>
              <w:rPr>
                <w:sz w:val="18"/>
                <w:szCs w:val="18"/>
                <w:color w:val="auto"/>
              </w:rPr>
            </w:pPr>
          </w:p>
        </w:tc>
        <w:tc>
          <w:tcPr>
            <w:tcW w:w="80" w:type="dxa"/>
            <w:vAlign w:val="bottom"/>
            <w:shd w:val="clear" w:color="auto" w:fill="FDFDFC"/>
          </w:tcPr>
          <w:p>
            <w:pPr>
              <w:spacing w:after="0"/>
              <w:rPr>
                <w:sz w:val="18"/>
                <w:szCs w:val="18"/>
                <w:color w:val="auto"/>
              </w:rPr>
            </w:pPr>
          </w:p>
        </w:tc>
        <w:tc>
          <w:tcPr>
            <w:tcW w:w="40" w:type="dxa"/>
            <w:vAlign w:val="bottom"/>
            <w:shd w:val="clear" w:color="auto" w:fill="FDFDFC"/>
          </w:tcPr>
          <w:p>
            <w:pPr>
              <w:spacing w:after="0"/>
              <w:rPr>
                <w:sz w:val="18"/>
                <w:szCs w:val="18"/>
                <w:color w:val="auto"/>
              </w:rPr>
            </w:pPr>
          </w:p>
        </w:tc>
        <w:tc>
          <w:tcPr>
            <w:tcW w:w="160" w:type="dxa"/>
            <w:vAlign w:val="bottom"/>
            <w:shd w:val="clear" w:color="auto" w:fill="FDFDFC"/>
          </w:tcPr>
          <w:p>
            <w:pPr>
              <w:spacing w:after="0"/>
              <w:rPr>
                <w:sz w:val="18"/>
                <w:szCs w:val="18"/>
                <w:color w:val="auto"/>
              </w:rPr>
            </w:pPr>
          </w:p>
        </w:tc>
        <w:tc>
          <w:tcPr>
            <w:tcW w:w="820" w:type="dxa"/>
            <w:vAlign w:val="bottom"/>
            <w:shd w:val="clear" w:color="auto" w:fill="FDFDFC"/>
          </w:tcPr>
          <w:p>
            <w:pPr>
              <w:jc w:val="right"/>
              <w:spacing w:after="0" w:line="217" w:lineRule="exact"/>
              <w:rPr>
                <w:sz w:val="20"/>
                <w:szCs w:val="20"/>
                <w:color w:val="auto"/>
              </w:rPr>
            </w:pPr>
            <w:r>
              <w:rPr>
                <w:rFonts w:ascii="Times New Roman" w:cs="Times New Roman" w:eastAsia="Times New Roman" w:hAnsi="Times New Roman"/>
                <w:sz w:val="19"/>
                <w:szCs w:val="19"/>
                <w:color w:val="231F20"/>
              </w:rPr>
              <w:t>1,309</w:t>
            </w:r>
          </w:p>
        </w:tc>
        <w:tc>
          <w:tcPr>
            <w:tcW w:w="80" w:type="dxa"/>
            <w:vAlign w:val="bottom"/>
            <w:shd w:val="clear" w:color="auto" w:fill="FDFDFC"/>
          </w:tcPr>
          <w:p>
            <w:pPr>
              <w:spacing w:after="0"/>
              <w:rPr>
                <w:sz w:val="18"/>
                <w:szCs w:val="18"/>
                <w:color w:val="auto"/>
              </w:rPr>
            </w:pPr>
          </w:p>
        </w:tc>
        <w:tc>
          <w:tcPr>
            <w:tcW w:w="140" w:type="dxa"/>
            <w:vAlign w:val="bottom"/>
            <w:shd w:val="clear" w:color="auto" w:fill="FDFDFC"/>
          </w:tcPr>
          <w:p>
            <w:pPr>
              <w:spacing w:after="0"/>
              <w:rPr>
                <w:sz w:val="18"/>
                <w:szCs w:val="18"/>
                <w:color w:val="auto"/>
              </w:rPr>
            </w:pPr>
          </w:p>
        </w:tc>
        <w:tc>
          <w:tcPr>
            <w:tcW w:w="80" w:type="dxa"/>
            <w:vAlign w:val="bottom"/>
            <w:shd w:val="clear" w:color="auto" w:fill="FDFDFC"/>
          </w:tcPr>
          <w:p>
            <w:pPr>
              <w:spacing w:after="0"/>
              <w:rPr>
                <w:sz w:val="18"/>
                <w:szCs w:val="18"/>
                <w:color w:val="auto"/>
              </w:rPr>
            </w:pPr>
          </w:p>
        </w:tc>
        <w:tc>
          <w:tcPr>
            <w:tcW w:w="180" w:type="dxa"/>
            <w:vAlign w:val="bottom"/>
            <w:shd w:val="clear" w:color="auto" w:fill="FDFDFC"/>
          </w:tcPr>
          <w:p>
            <w:pPr>
              <w:spacing w:after="0"/>
              <w:rPr>
                <w:sz w:val="18"/>
                <w:szCs w:val="18"/>
                <w:color w:val="auto"/>
              </w:rPr>
            </w:pPr>
          </w:p>
        </w:tc>
        <w:tc>
          <w:tcPr>
            <w:tcW w:w="840" w:type="dxa"/>
            <w:vAlign w:val="bottom"/>
            <w:shd w:val="clear" w:color="auto" w:fill="FDFDFC"/>
          </w:tcPr>
          <w:p>
            <w:pPr>
              <w:jc w:val="right"/>
              <w:spacing w:after="0" w:line="217" w:lineRule="exact"/>
              <w:rPr>
                <w:sz w:val="20"/>
                <w:szCs w:val="20"/>
                <w:color w:val="auto"/>
              </w:rPr>
            </w:pPr>
            <w:r>
              <w:rPr>
                <w:rFonts w:ascii="Times New Roman" w:cs="Times New Roman" w:eastAsia="Times New Roman" w:hAnsi="Times New Roman"/>
                <w:sz w:val="19"/>
                <w:szCs w:val="19"/>
                <w:color w:val="231F20"/>
              </w:rPr>
              <w:t>18,535</w:t>
            </w:r>
          </w:p>
        </w:tc>
        <w:tc>
          <w:tcPr>
            <w:tcW w:w="60" w:type="dxa"/>
            <w:vAlign w:val="bottom"/>
            <w:shd w:val="clear" w:color="auto" w:fill="FDFDFC"/>
          </w:tcPr>
          <w:p>
            <w:pPr>
              <w:spacing w:after="0"/>
              <w:rPr>
                <w:sz w:val="18"/>
                <w:szCs w:val="18"/>
                <w:color w:val="auto"/>
              </w:rPr>
            </w:pPr>
          </w:p>
        </w:tc>
        <w:tc>
          <w:tcPr>
            <w:tcW w:w="180" w:type="dxa"/>
            <w:vAlign w:val="bottom"/>
            <w:shd w:val="clear" w:color="auto" w:fill="FDFDFC"/>
          </w:tcPr>
          <w:p>
            <w:pPr>
              <w:spacing w:after="0"/>
              <w:rPr>
                <w:sz w:val="18"/>
                <w:szCs w:val="18"/>
                <w:color w:val="auto"/>
              </w:rPr>
            </w:pPr>
          </w:p>
        </w:tc>
        <w:tc>
          <w:tcPr>
            <w:tcW w:w="60" w:type="dxa"/>
            <w:vAlign w:val="bottom"/>
            <w:shd w:val="clear" w:color="auto" w:fill="FDFDFC"/>
          </w:tcPr>
          <w:p>
            <w:pPr>
              <w:spacing w:after="0"/>
              <w:rPr>
                <w:sz w:val="18"/>
                <w:szCs w:val="18"/>
                <w:color w:val="auto"/>
              </w:rPr>
            </w:pPr>
          </w:p>
        </w:tc>
        <w:tc>
          <w:tcPr>
            <w:tcW w:w="160" w:type="dxa"/>
            <w:vAlign w:val="bottom"/>
            <w:shd w:val="clear" w:color="auto" w:fill="FDFDFC"/>
          </w:tcPr>
          <w:p>
            <w:pPr>
              <w:spacing w:after="0"/>
              <w:rPr>
                <w:sz w:val="18"/>
                <w:szCs w:val="18"/>
                <w:color w:val="auto"/>
              </w:rPr>
            </w:pPr>
          </w:p>
        </w:tc>
        <w:tc>
          <w:tcPr>
            <w:tcW w:w="860" w:type="dxa"/>
            <w:vAlign w:val="bottom"/>
            <w:shd w:val="clear" w:color="auto" w:fill="FDFDFC"/>
          </w:tcPr>
          <w:p>
            <w:pPr>
              <w:jc w:val="right"/>
              <w:spacing w:after="0" w:line="217" w:lineRule="exact"/>
              <w:rPr>
                <w:sz w:val="20"/>
                <w:szCs w:val="20"/>
                <w:color w:val="auto"/>
              </w:rPr>
            </w:pPr>
            <w:r>
              <w:rPr>
                <w:rFonts w:ascii="Times New Roman" w:cs="Times New Roman" w:eastAsia="Times New Roman" w:hAnsi="Times New Roman"/>
                <w:sz w:val="19"/>
                <w:szCs w:val="19"/>
                <w:color w:val="231F20"/>
              </w:rPr>
              <w:t>19,844</w:t>
            </w:r>
          </w:p>
        </w:tc>
        <w:tc>
          <w:tcPr>
            <w:tcW w:w="100" w:type="dxa"/>
            <w:vAlign w:val="bottom"/>
            <w:shd w:val="clear" w:color="auto" w:fill="FDFDFC"/>
          </w:tcPr>
          <w:p>
            <w:pPr>
              <w:spacing w:after="0"/>
              <w:rPr>
                <w:sz w:val="18"/>
                <w:szCs w:val="18"/>
                <w:color w:val="auto"/>
              </w:rPr>
            </w:pPr>
          </w:p>
        </w:tc>
      </w:tr>
      <w:tr>
        <w:trPr>
          <w:trHeight w:val="217"/>
        </w:trPr>
        <w:tc>
          <w:tcPr>
            <w:tcW w:w="5040" w:type="dxa"/>
            <w:vAlign w:val="bottom"/>
            <w:gridSpan w:val="2"/>
            <w:shd w:val="clear" w:color="auto" w:fill="D0EBF2"/>
          </w:tcPr>
          <w:p>
            <w:pPr>
              <w:spacing w:after="0" w:line="217" w:lineRule="exact"/>
              <w:rPr>
                <w:sz w:val="20"/>
                <w:szCs w:val="20"/>
                <w:color w:val="auto"/>
              </w:rPr>
            </w:pPr>
            <w:r>
              <w:rPr>
                <w:rFonts w:ascii="Times New Roman" w:cs="Times New Roman" w:eastAsia="Times New Roman" w:hAnsi="Times New Roman"/>
                <w:sz w:val="19"/>
                <w:szCs w:val="19"/>
                <w:color w:val="231F20"/>
              </w:rPr>
              <w:t>Mezzanine debt investments</w:t>
            </w:r>
          </w:p>
        </w:tc>
        <w:tc>
          <w:tcPr>
            <w:tcW w:w="60" w:type="dxa"/>
            <w:vAlign w:val="bottom"/>
            <w:shd w:val="clear" w:color="auto" w:fill="D0EBF2"/>
          </w:tcPr>
          <w:p>
            <w:pPr>
              <w:spacing w:after="0"/>
              <w:rPr>
                <w:sz w:val="18"/>
                <w:szCs w:val="18"/>
                <w:color w:val="auto"/>
              </w:rPr>
            </w:pPr>
          </w:p>
        </w:tc>
        <w:tc>
          <w:tcPr>
            <w:tcW w:w="80" w:type="dxa"/>
            <w:vAlign w:val="bottom"/>
            <w:shd w:val="clear" w:color="auto" w:fill="D0EBF2"/>
          </w:tcPr>
          <w:p>
            <w:pPr>
              <w:spacing w:after="0"/>
              <w:rPr>
                <w:sz w:val="18"/>
                <w:szCs w:val="18"/>
                <w:color w:val="auto"/>
              </w:rPr>
            </w:pPr>
          </w:p>
        </w:tc>
        <w:tc>
          <w:tcPr>
            <w:tcW w:w="180" w:type="dxa"/>
            <w:vAlign w:val="bottom"/>
            <w:shd w:val="clear" w:color="auto" w:fill="D0EBF2"/>
          </w:tcPr>
          <w:p>
            <w:pPr>
              <w:spacing w:after="0"/>
              <w:rPr>
                <w:sz w:val="18"/>
                <w:szCs w:val="18"/>
                <w:color w:val="auto"/>
              </w:rPr>
            </w:pPr>
          </w:p>
        </w:tc>
        <w:tc>
          <w:tcPr>
            <w:tcW w:w="940" w:type="dxa"/>
            <w:vAlign w:val="bottom"/>
            <w:gridSpan w:val="3"/>
            <w:shd w:val="clear" w:color="auto" w:fill="D0EBF2"/>
          </w:tcPr>
          <w:p>
            <w:pPr>
              <w:jc w:val="right"/>
              <w:ind w:right="120"/>
              <w:spacing w:after="0" w:line="217" w:lineRule="exact"/>
              <w:rPr>
                <w:sz w:val="20"/>
                <w:szCs w:val="20"/>
                <w:color w:val="auto"/>
              </w:rPr>
            </w:pPr>
            <w:r>
              <w:rPr>
                <w:rFonts w:ascii="Times New Roman" w:cs="Times New Roman" w:eastAsia="Times New Roman" w:hAnsi="Times New Roman"/>
                <w:sz w:val="19"/>
                <w:szCs w:val="19"/>
                <w:color w:val="231F20"/>
              </w:rPr>
              <w:t>—</w:t>
            </w:r>
          </w:p>
        </w:tc>
        <w:tc>
          <w:tcPr>
            <w:tcW w:w="60" w:type="dxa"/>
            <w:vAlign w:val="bottom"/>
            <w:shd w:val="clear" w:color="auto" w:fill="D0EBF2"/>
          </w:tcPr>
          <w:p>
            <w:pPr>
              <w:spacing w:after="0"/>
              <w:rPr>
                <w:sz w:val="18"/>
                <w:szCs w:val="18"/>
                <w:color w:val="auto"/>
              </w:rPr>
            </w:pPr>
          </w:p>
        </w:tc>
        <w:tc>
          <w:tcPr>
            <w:tcW w:w="80" w:type="dxa"/>
            <w:vAlign w:val="bottom"/>
            <w:shd w:val="clear" w:color="auto" w:fill="D0EBF2"/>
          </w:tcPr>
          <w:p>
            <w:pPr>
              <w:spacing w:after="0"/>
              <w:rPr>
                <w:sz w:val="18"/>
                <w:szCs w:val="18"/>
                <w:color w:val="auto"/>
              </w:rPr>
            </w:pPr>
          </w:p>
        </w:tc>
        <w:tc>
          <w:tcPr>
            <w:tcW w:w="40" w:type="dxa"/>
            <w:vAlign w:val="bottom"/>
            <w:shd w:val="clear" w:color="auto" w:fill="D0EBF2"/>
          </w:tcPr>
          <w:p>
            <w:pPr>
              <w:spacing w:after="0"/>
              <w:rPr>
                <w:sz w:val="18"/>
                <w:szCs w:val="18"/>
                <w:color w:val="auto"/>
              </w:rPr>
            </w:pPr>
          </w:p>
        </w:tc>
        <w:tc>
          <w:tcPr>
            <w:tcW w:w="160" w:type="dxa"/>
            <w:vAlign w:val="bottom"/>
            <w:shd w:val="clear" w:color="auto" w:fill="D0EBF2"/>
          </w:tcPr>
          <w:p>
            <w:pPr>
              <w:spacing w:after="0"/>
              <w:rPr>
                <w:sz w:val="18"/>
                <w:szCs w:val="18"/>
                <w:color w:val="auto"/>
              </w:rPr>
            </w:pPr>
          </w:p>
        </w:tc>
        <w:tc>
          <w:tcPr>
            <w:tcW w:w="1040" w:type="dxa"/>
            <w:vAlign w:val="bottom"/>
            <w:gridSpan w:val="3"/>
            <w:shd w:val="clear" w:color="auto" w:fill="D0EBF2"/>
          </w:tcPr>
          <w:p>
            <w:pPr>
              <w:jc w:val="right"/>
              <w:ind w:right="240"/>
              <w:spacing w:after="0" w:line="217" w:lineRule="exact"/>
              <w:rPr>
                <w:sz w:val="20"/>
                <w:szCs w:val="20"/>
                <w:color w:val="auto"/>
              </w:rPr>
            </w:pPr>
            <w:r>
              <w:rPr>
                <w:rFonts w:ascii="Times New Roman" w:cs="Times New Roman" w:eastAsia="Times New Roman" w:hAnsi="Times New Roman"/>
                <w:sz w:val="19"/>
                <w:szCs w:val="19"/>
                <w:color w:val="231F20"/>
              </w:rPr>
              <w:t>—</w:t>
            </w:r>
          </w:p>
        </w:tc>
        <w:tc>
          <w:tcPr>
            <w:tcW w:w="80" w:type="dxa"/>
            <w:vAlign w:val="bottom"/>
            <w:shd w:val="clear" w:color="auto" w:fill="D0EBF2"/>
          </w:tcPr>
          <w:p>
            <w:pPr>
              <w:spacing w:after="0"/>
              <w:rPr>
                <w:sz w:val="18"/>
                <w:szCs w:val="18"/>
                <w:color w:val="auto"/>
              </w:rPr>
            </w:pPr>
          </w:p>
        </w:tc>
        <w:tc>
          <w:tcPr>
            <w:tcW w:w="180" w:type="dxa"/>
            <w:vAlign w:val="bottom"/>
            <w:shd w:val="clear" w:color="auto" w:fill="D0EBF2"/>
          </w:tcPr>
          <w:p>
            <w:pPr>
              <w:spacing w:after="0"/>
              <w:rPr>
                <w:sz w:val="18"/>
                <w:szCs w:val="18"/>
                <w:color w:val="auto"/>
              </w:rPr>
            </w:pPr>
          </w:p>
        </w:tc>
        <w:tc>
          <w:tcPr>
            <w:tcW w:w="840" w:type="dxa"/>
            <w:vAlign w:val="bottom"/>
            <w:shd w:val="clear" w:color="auto" w:fill="D0EBF2"/>
          </w:tcPr>
          <w:p>
            <w:pPr>
              <w:jc w:val="right"/>
              <w:spacing w:after="0" w:line="217" w:lineRule="exact"/>
              <w:rPr>
                <w:sz w:val="20"/>
                <w:szCs w:val="20"/>
                <w:color w:val="auto"/>
              </w:rPr>
            </w:pPr>
            <w:r>
              <w:rPr>
                <w:rFonts w:ascii="Times New Roman" w:cs="Times New Roman" w:eastAsia="Times New Roman" w:hAnsi="Times New Roman"/>
                <w:sz w:val="19"/>
                <w:szCs w:val="19"/>
                <w:color w:val="231F20"/>
              </w:rPr>
              <w:t>39,091</w:t>
            </w:r>
          </w:p>
        </w:tc>
        <w:tc>
          <w:tcPr>
            <w:tcW w:w="60" w:type="dxa"/>
            <w:vAlign w:val="bottom"/>
            <w:shd w:val="clear" w:color="auto" w:fill="D0EBF2"/>
          </w:tcPr>
          <w:p>
            <w:pPr>
              <w:spacing w:after="0"/>
              <w:rPr>
                <w:sz w:val="18"/>
                <w:szCs w:val="18"/>
                <w:color w:val="auto"/>
              </w:rPr>
            </w:pPr>
          </w:p>
        </w:tc>
        <w:tc>
          <w:tcPr>
            <w:tcW w:w="180" w:type="dxa"/>
            <w:vAlign w:val="bottom"/>
            <w:shd w:val="clear" w:color="auto" w:fill="D0EBF2"/>
          </w:tcPr>
          <w:p>
            <w:pPr>
              <w:spacing w:after="0"/>
              <w:rPr>
                <w:sz w:val="18"/>
                <w:szCs w:val="18"/>
                <w:color w:val="auto"/>
              </w:rPr>
            </w:pPr>
          </w:p>
        </w:tc>
        <w:tc>
          <w:tcPr>
            <w:tcW w:w="60" w:type="dxa"/>
            <w:vAlign w:val="bottom"/>
            <w:shd w:val="clear" w:color="auto" w:fill="D0EBF2"/>
          </w:tcPr>
          <w:p>
            <w:pPr>
              <w:spacing w:after="0"/>
              <w:rPr>
                <w:sz w:val="18"/>
                <w:szCs w:val="18"/>
                <w:color w:val="auto"/>
              </w:rPr>
            </w:pPr>
          </w:p>
        </w:tc>
        <w:tc>
          <w:tcPr>
            <w:tcW w:w="160" w:type="dxa"/>
            <w:vAlign w:val="bottom"/>
            <w:shd w:val="clear" w:color="auto" w:fill="D0EBF2"/>
          </w:tcPr>
          <w:p>
            <w:pPr>
              <w:spacing w:after="0"/>
              <w:rPr>
                <w:sz w:val="18"/>
                <w:szCs w:val="18"/>
                <w:color w:val="auto"/>
              </w:rPr>
            </w:pPr>
          </w:p>
        </w:tc>
        <w:tc>
          <w:tcPr>
            <w:tcW w:w="860" w:type="dxa"/>
            <w:vAlign w:val="bottom"/>
            <w:shd w:val="clear" w:color="auto" w:fill="D0EBF2"/>
          </w:tcPr>
          <w:p>
            <w:pPr>
              <w:jc w:val="right"/>
              <w:spacing w:after="0" w:line="217" w:lineRule="exact"/>
              <w:rPr>
                <w:sz w:val="20"/>
                <w:szCs w:val="20"/>
                <w:color w:val="auto"/>
              </w:rPr>
            </w:pPr>
            <w:r>
              <w:rPr>
                <w:rFonts w:ascii="Times New Roman" w:cs="Times New Roman" w:eastAsia="Times New Roman" w:hAnsi="Times New Roman"/>
                <w:sz w:val="19"/>
                <w:szCs w:val="19"/>
                <w:color w:val="231F20"/>
              </w:rPr>
              <w:t>39,091</w:t>
            </w:r>
          </w:p>
        </w:tc>
        <w:tc>
          <w:tcPr>
            <w:tcW w:w="100" w:type="dxa"/>
            <w:vAlign w:val="bottom"/>
            <w:shd w:val="clear" w:color="auto" w:fill="D0EBF2"/>
          </w:tcPr>
          <w:p>
            <w:pPr>
              <w:spacing w:after="0"/>
              <w:rPr>
                <w:sz w:val="18"/>
                <w:szCs w:val="18"/>
                <w:color w:val="auto"/>
              </w:rPr>
            </w:pPr>
          </w:p>
        </w:tc>
      </w:tr>
      <w:tr>
        <w:trPr>
          <w:trHeight w:val="217"/>
        </w:trPr>
        <w:tc>
          <w:tcPr>
            <w:tcW w:w="5040" w:type="dxa"/>
            <w:vAlign w:val="bottom"/>
            <w:gridSpan w:val="2"/>
            <w:shd w:val="clear" w:color="auto" w:fill="FDFDFC"/>
          </w:tcPr>
          <w:p>
            <w:pPr>
              <w:spacing w:after="0" w:line="217" w:lineRule="exact"/>
              <w:rPr>
                <w:sz w:val="20"/>
                <w:szCs w:val="20"/>
                <w:color w:val="auto"/>
              </w:rPr>
            </w:pPr>
            <w:r>
              <w:rPr>
                <w:rFonts w:ascii="Times New Roman" w:cs="Times New Roman" w:eastAsia="Times New Roman" w:hAnsi="Times New Roman"/>
                <w:sz w:val="19"/>
                <w:szCs w:val="19"/>
                <w:color w:val="231F20"/>
              </w:rPr>
              <w:t>Equity and other investments</w:t>
            </w:r>
          </w:p>
        </w:tc>
        <w:tc>
          <w:tcPr>
            <w:tcW w:w="60" w:type="dxa"/>
            <w:vAlign w:val="bottom"/>
            <w:shd w:val="clear" w:color="auto" w:fill="FDFDFC"/>
          </w:tcPr>
          <w:p>
            <w:pPr>
              <w:spacing w:after="0"/>
              <w:rPr>
                <w:sz w:val="18"/>
                <w:szCs w:val="18"/>
                <w:color w:val="auto"/>
              </w:rPr>
            </w:pPr>
          </w:p>
        </w:tc>
        <w:tc>
          <w:tcPr>
            <w:tcW w:w="80" w:type="dxa"/>
            <w:vAlign w:val="bottom"/>
            <w:shd w:val="clear" w:color="auto" w:fill="FDFDFC"/>
          </w:tcPr>
          <w:p>
            <w:pPr>
              <w:spacing w:after="0"/>
              <w:rPr>
                <w:sz w:val="18"/>
                <w:szCs w:val="18"/>
                <w:color w:val="auto"/>
              </w:rPr>
            </w:pPr>
          </w:p>
        </w:tc>
        <w:tc>
          <w:tcPr>
            <w:tcW w:w="180" w:type="dxa"/>
            <w:vAlign w:val="bottom"/>
            <w:shd w:val="clear" w:color="auto" w:fill="FDFDFC"/>
          </w:tcPr>
          <w:p>
            <w:pPr>
              <w:spacing w:after="0"/>
              <w:rPr>
                <w:sz w:val="18"/>
                <w:szCs w:val="18"/>
                <w:color w:val="auto"/>
              </w:rPr>
            </w:pPr>
          </w:p>
        </w:tc>
        <w:tc>
          <w:tcPr>
            <w:tcW w:w="840" w:type="dxa"/>
            <w:vAlign w:val="bottom"/>
            <w:shd w:val="clear" w:color="auto" w:fill="FDFDFC"/>
          </w:tcPr>
          <w:p>
            <w:pPr>
              <w:jc w:val="right"/>
              <w:spacing w:after="0" w:line="217" w:lineRule="exact"/>
              <w:rPr>
                <w:sz w:val="20"/>
                <w:szCs w:val="20"/>
                <w:color w:val="auto"/>
              </w:rPr>
            </w:pPr>
            <w:r>
              <w:rPr>
                <w:rFonts w:ascii="Times New Roman" w:cs="Times New Roman" w:eastAsia="Times New Roman" w:hAnsi="Times New Roman"/>
                <w:sz w:val="19"/>
                <w:szCs w:val="19"/>
                <w:color w:val="231F20"/>
              </w:rPr>
              <w:t>3,952</w:t>
            </w:r>
          </w:p>
        </w:tc>
        <w:tc>
          <w:tcPr>
            <w:tcW w:w="60" w:type="dxa"/>
            <w:vAlign w:val="bottom"/>
            <w:shd w:val="clear" w:color="auto" w:fill="FDFDFC"/>
          </w:tcPr>
          <w:p>
            <w:pPr>
              <w:spacing w:after="0"/>
              <w:rPr>
                <w:sz w:val="18"/>
                <w:szCs w:val="18"/>
                <w:color w:val="auto"/>
              </w:rPr>
            </w:pPr>
          </w:p>
        </w:tc>
        <w:tc>
          <w:tcPr>
            <w:tcW w:w="40" w:type="dxa"/>
            <w:vAlign w:val="bottom"/>
            <w:shd w:val="clear" w:color="auto" w:fill="FDFDFC"/>
          </w:tcPr>
          <w:p>
            <w:pPr>
              <w:spacing w:after="0"/>
              <w:rPr>
                <w:sz w:val="18"/>
                <w:szCs w:val="18"/>
                <w:color w:val="auto"/>
              </w:rPr>
            </w:pPr>
          </w:p>
        </w:tc>
        <w:tc>
          <w:tcPr>
            <w:tcW w:w="60" w:type="dxa"/>
            <w:vAlign w:val="bottom"/>
            <w:shd w:val="clear" w:color="auto" w:fill="FDFDFC"/>
          </w:tcPr>
          <w:p>
            <w:pPr>
              <w:spacing w:after="0"/>
              <w:rPr>
                <w:sz w:val="18"/>
                <w:szCs w:val="18"/>
                <w:color w:val="auto"/>
              </w:rPr>
            </w:pPr>
          </w:p>
        </w:tc>
        <w:tc>
          <w:tcPr>
            <w:tcW w:w="80" w:type="dxa"/>
            <w:vAlign w:val="bottom"/>
            <w:shd w:val="clear" w:color="auto" w:fill="FDFDFC"/>
          </w:tcPr>
          <w:p>
            <w:pPr>
              <w:spacing w:after="0"/>
              <w:rPr>
                <w:sz w:val="18"/>
                <w:szCs w:val="18"/>
                <w:color w:val="auto"/>
              </w:rPr>
            </w:pPr>
          </w:p>
        </w:tc>
        <w:tc>
          <w:tcPr>
            <w:tcW w:w="40" w:type="dxa"/>
            <w:vAlign w:val="bottom"/>
            <w:shd w:val="clear" w:color="auto" w:fill="FDFDFC"/>
          </w:tcPr>
          <w:p>
            <w:pPr>
              <w:spacing w:after="0"/>
              <w:rPr>
                <w:sz w:val="18"/>
                <w:szCs w:val="18"/>
                <w:color w:val="auto"/>
              </w:rPr>
            </w:pPr>
          </w:p>
        </w:tc>
        <w:tc>
          <w:tcPr>
            <w:tcW w:w="160" w:type="dxa"/>
            <w:vAlign w:val="bottom"/>
            <w:shd w:val="clear" w:color="auto" w:fill="FDFDFC"/>
          </w:tcPr>
          <w:p>
            <w:pPr>
              <w:spacing w:after="0"/>
              <w:rPr>
                <w:sz w:val="18"/>
                <w:szCs w:val="18"/>
                <w:color w:val="auto"/>
              </w:rPr>
            </w:pPr>
          </w:p>
        </w:tc>
        <w:tc>
          <w:tcPr>
            <w:tcW w:w="820" w:type="dxa"/>
            <w:vAlign w:val="bottom"/>
            <w:shd w:val="clear" w:color="auto" w:fill="FDFDFC"/>
          </w:tcPr>
          <w:p>
            <w:pPr>
              <w:jc w:val="right"/>
              <w:spacing w:after="0" w:line="217" w:lineRule="exact"/>
              <w:rPr>
                <w:sz w:val="20"/>
                <w:szCs w:val="20"/>
                <w:color w:val="auto"/>
              </w:rPr>
            </w:pPr>
            <w:r>
              <w:rPr>
                <w:rFonts w:ascii="Times New Roman" w:cs="Times New Roman" w:eastAsia="Times New Roman" w:hAnsi="Times New Roman"/>
                <w:sz w:val="19"/>
                <w:szCs w:val="19"/>
                <w:color w:val="231F20"/>
              </w:rPr>
              <w:t>11,963</w:t>
            </w:r>
          </w:p>
        </w:tc>
        <w:tc>
          <w:tcPr>
            <w:tcW w:w="80" w:type="dxa"/>
            <w:vAlign w:val="bottom"/>
            <w:shd w:val="clear" w:color="auto" w:fill="FDFDFC"/>
          </w:tcPr>
          <w:p>
            <w:pPr>
              <w:spacing w:after="0"/>
              <w:rPr>
                <w:sz w:val="18"/>
                <w:szCs w:val="18"/>
                <w:color w:val="auto"/>
              </w:rPr>
            </w:pPr>
          </w:p>
        </w:tc>
        <w:tc>
          <w:tcPr>
            <w:tcW w:w="140" w:type="dxa"/>
            <w:vAlign w:val="bottom"/>
            <w:shd w:val="clear" w:color="auto" w:fill="FDFDFC"/>
          </w:tcPr>
          <w:p>
            <w:pPr>
              <w:spacing w:after="0"/>
              <w:rPr>
                <w:sz w:val="18"/>
                <w:szCs w:val="18"/>
                <w:color w:val="auto"/>
              </w:rPr>
            </w:pPr>
          </w:p>
        </w:tc>
        <w:tc>
          <w:tcPr>
            <w:tcW w:w="80" w:type="dxa"/>
            <w:vAlign w:val="bottom"/>
            <w:shd w:val="clear" w:color="auto" w:fill="FDFDFC"/>
          </w:tcPr>
          <w:p>
            <w:pPr>
              <w:spacing w:after="0"/>
              <w:rPr>
                <w:sz w:val="18"/>
                <w:szCs w:val="18"/>
                <w:color w:val="auto"/>
              </w:rPr>
            </w:pPr>
          </w:p>
        </w:tc>
        <w:tc>
          <w:tcPr>
            <w:tcW w:w="180" w:type="dxa"/>
            <w:vAlign w:val="bottom"/>
            <w:shd w:val="clear" w:color="auto" w:fill="FDFDFC"/>
          </w:tcPr>
          <w:p>
            <w:pPr>
              <w:spacing w:after="0"/>
              <w:rPr>
                <w:sz w:val="18"/>
                <w:szCs w:val="18"/>
                <w:color w:val="auto"/>
              </w:rPr>
            </w:pPr>
          </w:p>
        </w:tc>
        <w:tc>
          <w:tcPr>
            <w:tcW w:w="840" w:type="dxa"/>
            <w:vAlign w:val="bottom"/>
            <w:shd w:val="clear" w:color="auto" w:fill="FDFDFC"/>
          </w:tcPr>
          <w:p>
            <w:pPr>
              <w:jc w:val="right"/>
              <w:spacing w:after="0" w:line="217" w:lineRule="exact"/>
              <w:rPr>
                <w:sz w:val="20"/>
                <w:szCs w:val="20"/>
                <w:color w:val="auto"/>
              </w:rPr>
            </w:pPr>
            <w:r>
              <w:rPr>
                <w:rFonts w:ascii="Times New Roman" w:cs="Times New Roman" w:eastAsia="Times New Roman" w:hAnsi="Times New Roman"/>
                <w:sz w:val="19"/>
                <w:szCs w:val="19"/>
                <w:color w:val="231F20"/>
              </w:rPr>
              <w:t>139,586</w:t>
            </w:r>
          </w:p>
        </w:tc>
        <w:tc>
          <w:tcPr>
            <w:tcW w:w="60" w:type="dxa"/>
            <w:vAlign w:val="bottom"/>
            <w:shd w:val="clear" w:color="auto" w:fill="FDFDFC"/>
          </w:tcPr>
          <w:p>
            <w:pPr>
              <w:spacing w:after="0"/>
              <w:rPr>
                <w:sz w:val="18"/>
                <w:szCs w:val="18"/>
                <w:color w:val="auto"/>
              </w:rPr>
            </w:pPr>
          </w:p>
        </w:tc>
        <w:tc>
          <w:tcPr>
            <w:tcW w:w="180" w:type="dxa"/>
            <w:vAlign w:val="bottom"/>
            <w:shd w:val="clear" w:color="auto" w:fill="FDFDFC"/>
          </w:tcPr>
          <w:p>
            <w:pPr>
              <w:spacing w:after="0"/>
              <w:rPr>
                <w:sz w:val="18"/>
                <w:szCs w:val="18"/>
                <w:color w:val="auto"/>
              </w:rPr>
            </w:pPr>
          </w:p>
        </w:tc>
        <w:tc>
          <w:tcPr>
            <w:tcW w:w="60" w:type="dxa"/>
            <w:vAlign w:val="bottom"/>
            <w:shd w:val="clear" w:color="auto" w:fill="FDFDFC"/>
          </w:tcPr>
          <w:p>
            <w:pPr>
              <w:spacing w:after="0"/>
              <w:rPr>
                <w:sz w:val="18"/>
                <w:szCs w:val="18"/>
                <w:color w:val="auto"/>
              </w:rPr>
            </w:pPr>
          </w:p>
        </w:tc>
        <w:tc>
          <w:tcPr>
            <w:tcW w:w="160" w:type="dxa"/>
            <w:vAlign w:val="bottom"/>
            <w:shd w:val="clear" w:color="auto" w:fill="FDFDFC"/>
          </w:tcPr>
          <w:p>
            <w:pPr>
              <w:spacing w:after="0"/>
              <w:rPr>
                <w:sz w:val="18"/>
                <w:szCs w:val="18"/>
                <w:color w:val="auto"/>
              </w:rPr>
            </w:pPr>
          </w:p>
        </w:tc>
        <w:tc>
          <w:tcPr>
            <w:tcW w:w="860" w:type="dxa"/>
            <w:vAlign w:val="bottom"/>
            <w:shd w:val="clear" w:color="auto" w:fill="FDFDFC"/>
          </w:tcPr>
          <w:p>
            <w:pPr>
              <w:jc w:val="right"/>
              <w:spacing w:after="0" w:line="217" w:lineRule="exact"/>
              <w:rPr>
                <w:sz w:val="20"/>
                <w:szCs w:val="20"/>
                <w:color w:val="auto"/>
              </w:rPr>
            </w:pPr>
            <w:r>
              <w:rPr>
                <w:rFonts w:ascii="Times New Roman" w:cs="Times New Roman" w:eastAsia="Times New Roman" w:hAnsi="Times New Roman"/>
                <w:sz w:val="19"/>
                <w:szCs w:val="19"/>
                <w:color w:val="231F20"/>
              </w:rPr>
              <w:t>155,501</w:t>
            </w:r>
          </w:p>
        </w:tc>
        <w:tc>
          <w:tcPr>
            <w:tcW w:w="100" w:type="dxa"/>
            <w:vAlign w:val="bottom"/>
            <w:shd w:val="clear" w:color="auto" w:fill="FDFDFC"/>
          </w:tcPr>
          <w:p>
            <w:pPr>
              <w:spacing w:after="0"/>
              <w:rPr>
                <w:sz w:val="18"/>
                <w:szCs w:val="18"/>
                <w:color w:val="auto"/>
              </w:rPr>
            </w:pPr>
          </w:p>
        </w:tc>
      </w:tr>
      <w:tr>
        <w:trPr>
          <w:trHeight w:val="217"/>
        </w:trPr>
        <w:tc>
          <w:tcPr>
            <w:tcW w:w="5040" w:type="dxa"/>
            <w:vAlign w:val="bottom"/>
            <w:gridSpan w:val="2"/>
            <w:shd w:val="clear" w:color="auto" w:fill="D0EBF2"/>
          </w:tcPr>
          <w:p>
            <w:pPr>
              <w:spacing w:after="0" w:line="217" w:lineRule="exact"/>
              <w:rPr>
                <w:sz w:val="20"/>
                <w:szCs w:val="20"/>
                <w:color w:val="auto"/>
              </w:rPr>
            </w:pPr>
            <w:r>
              <w:rPr>
                <w:rFonts w:ascii="Times New Roman" w:cs="Times New Roman" w:eastAsia="Times New Roman" w:hAnsi="Times New Roman"/>
                <w:sz w:val="19"/>
                <w:szCs w:val="19"/>
                <w:color w:val="231F20"/>
              </w:rPr>
              <w:t>Structured credit investments</w:t>
            </w:r>
          </w:p>
        </w:tc>
        <w:tc>
          <w:tcPr>
            <w:tcW w:w="60" w:type="dxa"/>
            <w:vAlign w:val="bottom"/>
            <w:shd w:val="clear" w:color="auto" w:fill="D0EBF2"/>
          </w:tcPr>
          <w:p>
            <w:pPr>
              <w:spacing w:after="0"/>
              <w:rPr>
                <w:sz w:val="18"/>
                <w:szCs w:val="18"/>
                <w:color w:val="auto"/>
              </w:rPr>
            </w:pPr>
          </w:p>
        </w:tc>
        <w:tc>
          <w:tcPr>
            <w:tcW w:w="80" w:type="dxa"/>
            <w:vAlign w:val="bottom"/>
            <w:shd w:val="clear" w:color="auto" w:fill="D0EBF2"/>
          </w:tcPr>
          <w:p>
            <w:pPr>
              <w:spacing w:after="0"/>
              <w:rPr>
                <w:sz w:val="18"/>
                <w:szCs w:val="18"/>
                <w:color w:val="auto"/>
              </w:rPr>
            </w:pPr>
          </w:p>
        </w:tc>
        <w:tc>
          <w:tcPr>
            <w:tcW w:w="180" w:type="dxa"/>
            <w:vAlign w:val="bottom"/>
            <w:shd w:val="clear" w:color="auto" w:fill="D0EBF2"/>
          </w:tcPr>
          <w:p>
            <w:pPr>
              <w:spacing w:after="0"/>
              <w:rPr>
                <w:sz w:val="18"/>
                <w:szCs w:val="18"/>
                <w:color w:val="auto"/>
              </w:rPr>
            </w:pPr>
          </w:p>
        </w:tc>
        <w:tc>
          <w:tcPr>
            <w:tcW w:w="940" w:type="dxa"/>
            <w:vAlign w:val="bottom"/>
            <w:gridSpan w:val="3"/>
            <w:shd w:val="clear" w:color="auto" w:fill="D0EBF2"/>
          </w:tcPr>
          <w:p>
            <w:pPr>
              <w:jc w:val="right"/>
              <w:ind w:right="120"/>
              <w:spacing w:after="0" w:line="217" w:lineRule="exact"/>
              <w:rPr>
                <w:sz w:val="20"/>
                <w:szCs w:val="20"/>
                <w:color w:val="auto"/>
              </w:rPr>
            </w:pPr>
            <w:r>
              <w:rPr>
                <w:rFonts w:ascii="Times New Roman" w:cs="Times New Roman" w:eastAsia="Times New Roman" w:hAnsi="Times New Roman"/>
                <w:sz w:val="19"/>
                <w:szCs w:val="19"/>
                <w:color w:val="231F20"/>
              </w:rPr>
              <w:t>—</w:t>
            </w:r>
          </w:p>
        </w:tc>
        <w:tc>
          <w:tcPr>
            <w:tcW w:w="60" w:type="dxa"/>
            <w:vAlign w:val="bottom"/>
            <w:shd w:val="clear" w:color="auto" w:fill="D0EBF2"/>
          </w:tcPr>
          <w:p>
            <w:pPr>
              <w:spacing w:after="0"/>
              <w:rPr>
                <w:sz w:val="18"/>
                <w:szCs w:val="18"/>
                <w:color w:val="auto"/>
              </w:rPr>
            </w:pPr>
          </w:p>
        </w:tc>
        <w:tc>
          <w:tcPr>
            <w:tcW w:w="80" w:type="dxa"/>
            <w:vAlign w:val="bottom"/>
            <w:shd w:val="clear" w:color="auto" w:fill="D0EBF2"/>
          </w:tcPr>
          <w:p>
            <w:pPr>
              <w:spacing w:after="0"/>
              <w:rPr>
                <w:sz w:val="18"/>
                <w:szCs w:val="18"/>
                <w:color w:val="auto"/>
              </w:rPr>
            </w:pPr>
          </w:p>
        </w:tc>
        <w:tc>
          <w:tcPr>
            <w:tcW w:w="40" w:type="dxa"/>
            <w:vAlign w:val="bottom"/>
            <w:shd w:val="clear" w:color="auto" w:fill="D0EBF2"/>
          </w:tcPr>
          <w:p>
            <w:pPr>
              <w:spacing w:after="0"/>
              <w:rPr>
                <w:sz w:val="18"/>
                <w:szCs w:val="18"/>
                <w:color w:val="auto"/>
              </w:rPr>
            </w:pPr>
          </w:p>
        </w:tc>
        <w:tc>
          <w:tcPr>
            <w:tcW w:w="160" w:type="dxa"/>
            <w:vAlign w:val="bottom"/>
            <w:shd w:val="clear" w:color="auto" w:fill="D0EBF2"/>
          </w:tcPr>
          <w:p>
            <w:pPr>
              <w:spacing w:after="0"/>
              <w:rPr>
                <w:sz w:val="18"/>
                <w:szCs w:val="18"/>
                <w:color w:val="auto"/>
              </w:rPr>
            </w:pPr>
          </w:p>
        </w:tc>
        <w:tc>
          <w:tcPr>
            <w:tcW w:w="820" w:type="dxa"/>
            <w:vAlign w:val="bottom"/>
            <w:shd w:val="clear" w:color="auto" w:fill="D0EBF2"/>
          </w:tcPr>
          <w:p>
            <w:pPr>
              <w:jc w:val="right"/>
              <w:spacing w:after="0" w:line="217" w:lineRule="exact"/>
              <w:rPr>
                <w:sz w:val="20"/>
                <w:szCs w:val="20"/>
                <w:color w:val="auto"/>
              </w:rPr>
            </w:pPr>
            <w:r>
              <w:rPr>
                <w:rFonts w:ascii="Times New Roman" w:cs="Times New Roman" w:eastAsia="Times New Roman" w:hAnsi="Times New Roman"/>
                <w:sz w:val="19"/>
                <w:szCs w:val="19"/>
                <w:color w:val="231F20"/>
              </w:rPr>
              <w:t>1,472</w:t>
            </w:r>
          </w:p>
        </w:tc>
        <w:tc>
          <w:tcPr>
            <w:tcW w:w="80" w:type="dxa"/>
            <w:vAlign w:val="bottom"/>
            <w:shd w:val="clear" w:color="auto" w:fill="D0EBF2"/>
          </w:tcPr>
          <w:p>
            <w:pPr>
              <w:spacing w:after="0"/>
              <w:rPr>
                <w:sz w:val="18"/>
                <w:szCs w:val="18"/>
                <w:color w:val="auto"/>
              </w:rPr>
            </w:pPr>
          </w:p>
        </w:tc>
        <w:tc>
          <w:tcPr>
            <w:tcW w:w="140" w:type="dxa"/>
            <w:vAlign w:val="bottom"/>
            <w:shd w:val="clear" w:color="auto" w:fill="D0EBF2"/>
          </w:tcPr>
          <w:p>
            <w:pPr>
              <w:spacing w:after="0"/>
              <w:rPr>
                <w:sz w:val="18"/>
                <w:szCs w:val="18"/>
                <w:color w:val="auto"/>
              </w:rPr>
            </w:pPr>
          </w:p>
        </w:tc>
        <w:tc>
          <w:tcPr>
            <w:tcW w:w="80" w:type="dxa"/>
            <w:vAlign w:val="bottom"/>
            <w:shd w:val="clear" w:color="auto" w:fill="D0EBF2"/>
          </w:tcPr>
          <w:p>
            <w:pPr>
              <w:spacing w:after="0"/>
              <w:rPr>
                <w:sz w:val="18"/>
                <w:szCs w:val="18"/>
                <w:color w:val="auto"/>
              </w:rPr>
            </w:pPr>
          </w:p>
        </w:tc>
        <w:tc>
          <w:tcPr>
            <w:tcW w:w="180" w:type="dxa"/>
            <w:vAlign w:val="bottom"/>
            <w:shd w:val="clear" w:color="auto" w:fill="D0EBF2"/>
          </w:tcPr>
          <w:p>
            <w:pPr>
              <w:spacing w:after="0"/>
              <w:rPr>
                <w:sz w:val="18"/>
                <w:szCs w:val="18"/>
                <w:color w:val="auto"/>
              </w:rPr>
            </w:pPr>
          </w:p>
        </w:tc>
        <w:tc>
          <w:tcPr>
            <w:tcW w:w="1080" w:type="dxa"/>
            <w:vAlign w:val="bottom"/>
            <w:gridSpan w:val="3"/>
            <w:shd w:val="clear" w:color="auto" w:fill="D0EBF2"/>
          </w:tcPr>
          <w:p>
            <w:pPr>
              <w:jc w:val="right"/>
              <w:ind w:right="240"/>
              <w:spacing w:after="0" w:line="217" w:lineRule="exact"/>
              <w:rPr>
                <w:sz w:val="20"/>
                <w:szCs w:val="20"/>
                <w:color w:val="auto"/>
              </w:rPr>
            </w:pPr>
            <w:r>
              <w:rPr>
                <w:rFonts w:ascii="Times New Roman" w:cs="Times New Roman" w:eastAsia="Times New Roman" w:hAnsi="Times New Roman"/>
                <w:sz w:val="19"/>
                <w:szCs w:val="19"/>
                <w:color w:val="231F20"/>
              </w:rPr>
              <w:t>—</w:t>
            </w:r>
          </w:p>
        </w:tc>
        <w:tc>
          <w:tcPr>
            <w:tcW w:w="60" w:type="dxa"/>
            <w:vAlign w:val="bottom"/>
            <w:shd w:val="clear" w:color="auto" w:fill="D0EBF2"/>
          </w:tcPr>
          <w:p>
            <w:pPr>
              <w:spacing w:after="0"/>
              <w:rPr>
                <w:sz w:val="18"/>
                <w:szCs w:val="18"/>
                <w:color w:val="auto"/>
              </w:rPr>
            </w:pPr>
          </w:p>
        </w:tc>
        <w:tc>
          <w:tcPr>
            <w:tcW w:w="160" w:type="dxa"/>
            <w:vAlign w:val="bottom"/>
            <w:shd w:val="clear" w:color="auto" w:fill="D0EBF2"/>
          </w:tcPr>
          <w:p>
            <w:pPr>
              <w:spacing w:after="0"/>
              <w:rPr>
                <w:sz w:val="18"/>
                <w:szCs w:val="18"/>
                <w:color w:val="auto"/>
              </w:rPr>
            </w:pPr>
          </w:p>
        </w:tc>
        <w:tc>
          <w:tcPr>
            <w:tcW w:w="860" w:type="dxa"/>
            <w:vAlign w:val="bottom"/>
            <w:shd w:val="clear" w:color="auto" w:fill="D0EBF2"/>
          </w:tcPr>
          <w:p>
            <w:pPr>
              <w:jc w:val="right"/>
              <w:spacing w:after="0" w:line="217" w:lineRule="exact"/>
              <w:rPr>
                <w:sz w:val="20"/>
                <w:szCs w:val="20"/>
                <w:color w:val="auto"/>
              </w:rPr>
            </w:pPr>
            <w:r>
              <w:rPr>
                <w:rFonts w:ascii="Times New Roman" w:cs="Times New Roman" w:eastAsia="Times New Roman" w:hAnsi="Times New Roman"/>
                <w:sz w:val="19"/>
                <w:szCs w:val="19"/>
                <w:color w:val="231F20"/>
              </w:rPr>
              <w:t>1,472</w:t>
            </w:r>
          </w:p>
        </w:tc>
        <w:tc>
          <w:tcPr>
            <w:tcW w:w="100" w:type="dxa"/>
            <w:vAlign w:val="bottom"/>
            <w:shd w:val="clear" w:color="auto" w:fill="D0EBF2"/>
          </w:tcPr>
          <w:p>
            <w:pPr>
              <w:spacing w:after="0"/>
              <w:rPr>
                <w:sz w:val="18"/>
                <w:szCs w:val="18"/>
                <w:color w:val="auto"/>
              </w:rPr>
            </w:pPr>
          </w:p>
        </w:tc>
      </w:tr>
      <w:tr>
        <w:trPr>
          <w:trHeight w:val="207"/>
        </w:trPr>
        <w:tc>
          <w:tcPr>
            <w:tcW w:w="5040" w:type="dxa"/>
            <w:vAlign w:val="bottom"/>
            <w:tcBorders>
              <w:top w:val="single" w:sz="8" w:color="FDFDFC"/>
            </w:tcBorders>
            <w:gridSpan w:val="2"/>
            <w:shd w:val="clear" w:color="auto" w:fill="FDFDFC"/>
          </w:tcPr>
          <w:p>
            <w:pPr>
              <w:ind w:left="180"/>
              <w:spacing w:after="0" w:line="207" w:lineRule="exact"/>
              <w:rPr>
                <w:sz w:val="20"/>
                <w:szCs w:val="20"/>
                <w:color w:val="auto"/>
              </w:rPr>
            </w:pPr>
            <w:r>
              <w:rPr>
                <w:rFonts w:ascii="Times New Roman" w:cs="Times New Roman" w:eastAsia="Times New Roman" w:hAnsi="Times New Roman"/>
                <w:sz w:val="19"/>
                <w:szCs w:val="19"/>
                <w:color w:val="231F20"/>
              </w:rPr>
              <w:t>Total investments at fair value</w:t>
            </w:r>
          </w:p>
        </w:tc>
        <w:tc>
          <w:tcPr>
            <w:tcW w:w="60" w:type="dxa"/>
            <w:vAlign w:val="bottom"/>
            <w:tcBorders>
              <w:top w:val="single" w:sz="8" w:color="FDFDFC"/>
            </w:tcBorders>
            <w:shd w:val="clear" w:color="auto" w:fill="FDFDFC"/>
          </w:tcPr>
          <w:p>
            <w:pPr>
              <w:spacing w:after="0"/>
              <w:rPr>
                <w:sz w:val="17"/>
                <w:szCs w:val="17"/>
                <w:color w:val="auto"/>
              </w:rPr>
            </w:pPr>
          </w:p>
        </w:tc>
        <w:tc>
          <w:tcPr>
            <w:tcW w:w="80" w:type="dxa"/>
            <w:vAlign w:val="bottom"/>
            <w:tcBorders>
              <w:top w:val="single" w:sz="8" w:color="FDFDFC"/>
            </w:tcBorders>
            <w:shd w:val="clear" w:color="auto" w:fill="FDFDFC"/>
          </w:tcPr>
          <w:p>
            <w:pPr>
              <w:spacing w:after="0"/>
              <w:rPr>
                <w:sz w:val="17"/>
                <w:szCs w:val="17"/>
                <w:color w:val="auto"/>
              </w:rPr>
            </w:pPr>
          </w:p>
        </w:tc>
        <w:tc>
          <w:tcPr>
            <w:tcW w:w="180" w:type="dxa"/>
            <w:vAlign w:val="bottom"/>
            <w:tcBorders>
              <w:top w:val="single" w:sz="8" w:color="231F20"/>
            </w:tcBorders>
            <w:shd w:val="clear" w:color="auto" w:fill="FDFDFC"/>
          </w:tcPr>
          <w:p>
            <w:pPr>
              <w:jc w:val="right"/>
              <w:ind w:right="16"/>
              <w:spacing w:after="0"/>
              <w:rPr>
                <w:sz w:val="20"/>
                <w:szCs w:val="20"/>
                <w:color w:val="auto"/>
              </w:rPr>
            </w:pPr>
            <w:r>
              <w:rPr>
                <w:rFonts w:ascii="Times New Roman" w:cs="Times New Roman" w:eastAsia="Times New Roman" w:hAnsi="Times New Roman"/>
                <w:sz w:val="17"/>
                <w:szCs w:val="17"/>
                <w:color w:val="231F20"/>
                <w:w w:val="70"/>
              </w:rPr>
              <w:t>$</w:t>
            </w:r>
          </w:p>
        </w:tc>
        <w:tc>
          <w:tcPr>
            <w:tcW w:w="840" w:type="dxa"/>
            <w:vAlign w:val="bottom"/>
            <w:tcBorders>
              <w:top w:val="single" w:sz="8" w:color="231F20"/>
            </w:tcBorders>
            <w:shd w:val="clear" w:color="auto" w:fill="FDFDFC"/>
          </w:tcPr>
          <w:p>
            <w:pPr>
              <w:jc w:val="right"/>
              <w:spacing w:after="0" w:line="207" w:lineRule="exact"/>
              <w:rPr>
                <w:sz w:val="20"/>
                <w:szCs w:val="20"/>
                <w:color w:val="auto"/>
              </w:rPr>
            </w:pPr>
            <w:r>
              <w:rPr>
                <w:rFonts w:ascii="Times New Roman" w:cs="Times New Roman" w:eastAsia="Times New Roman" w:hAnsi="Times New Roman"/>
                <w:sz w:val="19"/>
                <w:szCs w:val="19"/>
                <w:color w:val="231F20"/>
              </w:rPr>
              <w:t>3,952</w:t>
            </w:r>
          </w:p>
        </w:tc>
        <w:tc>
          <w:tcPr>
            <w:tcW w:w="60" w:type="dxa"/>
            <w:vAlign w:val="bottom"/>
            <w:tcBorders>
              <w:top w:val="single" w:sz="8" w:color="FDFDFC"/>
            </w:tcBorders>
            <w:shd w:val="clear" w:color="auto" w:fill="FDFDFC"/>
          </w:tcPr>
          <w:p>
            <w:pPr>
              <w:spacing w:after="0"/>
              <w:rPr>
                <w:sz w:val="17"/>
                <w:szCs w:val="17"/>
                <w:color w:val="auto"/>
              </w:rPr>
            </w:pPr>
          </w:p>
        </w:tc>
        <w:tc>
          <w:tcPr>
            <w:tcW w:w="40" w:type="dxa"/>
            <w:vAlign w:val="bottom"/>
            <w:tcBorders>
              <w:top w:val="single" w:sz="8" w:color="FDFDFC"/>
            </w:tcBorders>
            <w:shd w:val="clear" w:color="auto" w:fill="FDFDFC"/>
          </w:tcPr>
          <w:p>
            <w:pPr>
              <w:spacing w:after="0"/>
              <w:rPr>
                <w:sz w:val="17"/>
                <w:szCs w:val="17"/>
                <w:color w:val="auto"/>
              </w:rPr>
            </w:pPr>
          </w:p>
        </w:tc>
        <w:tc>
          <w:tcPr>
            <w:tcW w:w="60" w:type="dxa"/>
            <w:vAlign w:val="bottom"/>
            <w:tcBorders>
              <w:top w:val="single" w:sz="8" w:color="FDFDFC"/>
            </w:tcBorders>
            <w:shd w:val="clear" w:color="auto" w:fill="FDFDFC"/>
          </w:tcPr>
          <w:p>
            <w:pPr>
              <w:spacing w:after="0"/>
              <w:rPr>
                <w:sz w:val="17"/>
                <w:szCs w:val="17"/>
                <w:color w:val="auto"/>
              </w:rPr>
            </w:pPr>
          </w:p>
        </w:tc>
        <w:tc>
          <w:tcPr>
            <w:tcW w:w="80" w:type="dxa"/>
            <w:vAlign w:val="bottom"/>
            <w:tcBorders>
              <w:top w:val="single" w:sz="8" w:color="FDFDFC"/>
            </w:tcBorders>
            <w:shd w:val="clear" w:color="auto" w:fill="FDFDFC"/>
          </w:tcPr>
          <w:p>
            <w:pPr>
              <w:spacing w:after="0"/>
              <w:rPr>
                <w:sz w:val="17"/>
                <w:szCs w:val="17"/>
                <w:color w:val="auto"/>
              </w:rPr>
            </w:pPr>
          </w:p>
        </w:tc>
        <w:tc>
          <w:tcPr>
            <w:tcW w:w="200" w:type="dxa"/>
            <w:vAlign w:val="bottom"/>
            <w:tcBorders>
              <w:top w:val="single" w:sz="8" w:color="231F20"/>
            </w:tcBorders>
            <w:gridSpan w:val="2"/>
            <w:shd w:val="clear" w:color="auto" w:fill="FDFDFC"/>
          </w:tcPr>
          <w:p>
            <w:pPr>
              <w:jc w:val="right"/>
              <w:ind w:right="26"/>
              <w:spacing w:after="0"/>
              <w:rPr>
                <w:sz w:val="20"/>
                <w:szCs w:val="20"/>
                <w:color w:val="auto"/>
              </w:rPr>
            </w:pPr>
            <w:r>
              <w:rPr>
                <w:rFonts w:ascii="Times New Roman" w:cs="Times New Roman" w:eastAsia="Times New Roman" w:hAnsi="Times New Roman"/>
                <w:sz w:val="17"/>
                <w:szCs w:val="17"/>
                <w:color w:val="231F20"/>
                <w:w w:val="70"/>
              </w:rPr>
              <w:t>$</w:t>
            </w:r>
          </w:p>
        </w:tc>
        <w:tc>
          <w:tcPr>
            <w:tcW w:w="820" w:type="dxa"/>
            <w:vAlign w:val="bottom"/>
            <w:tcBorders>
              <w:top w:val="single" w:sz="8" w:color="231F20"/>
            </w:tcBorders>
            <w:shd w:val="clear" w:color="auto" w:fill="FDFDFC"/>
          </w:tcPr>
          <w:p>
            <w:pPr>
              <w:jc w:val="right"/>
              <w:spacing w:after="0" w:line="207" w:lineRule="exact"/>
              <w:rPr>
                <w:sz w:val="20"/>
                <w:szCs w:val="20"/>
                <w:color w:val="auto"/>
              </w:rPr>
            </w:pPr>
            <w:r>
              <w:rPr>
                <w:rFonts w:ascii="Times New Roman" w:cs="Times New Roman" w:eastAsia="Times New Roman" w:hAnsi="Times New Roman"/>
                <w:sz w:val="19"/>
                <w:szCs w:val="19"/>
                <w:color w:val="231F20"/>
              </w:rPr>
              <w:t>29,419</w:t>
            </w:r>
          </w:p>
        </w:tc>
        <w:tc>
          <w:tcPr>
            <w:tcW w:w="80" w:type="dxa"/>
            <w:vAlign w:val="bottom"/>
            <w:tcBorders>
              <w:top w:val="single" w:sz="8" w:color="FDFDFC"/>
            </w:tcBorders>
            <w:shd w:val="clear" w:color="auto" w:fill="FDFDFC"/>
          </w:tcPr>
          <w:p>
            <w:pPr>
              <w:spacing w:after="0"/>
              <w:rPr>
                <w:sz w:val="17"/>
                <w:szCs w:val="17"/>
                <w:color w:val="auto"/>
              </w:rPr>
            </w:pPr>
          </w:p>
        </w:tc>
        <w:tc>
          <w:tcPr>
            <w:tcW w:w="140" w:type="dxa"/>
            <w:vAlign w:val="bottom"/>
            <w:tcBorders>
              <w:top w:val="single" w:sz="8" w:color="FDFDFC"/>
            </w:tcBorders>
            <w:shd w:val="clear" w:color="auto" w:fill="FDFDFC"/>
          </w:tcPr>
          <w:p>
            <w:pPr>
              <w:spacing w:after="0"/>
              <w:rPr>
                <w:sz w:val="17"/>
                <w:szCs w:val="17"/>
                <w:color w:val="auto"/>
              </w:rPr>
            </w:pPr>
          </w:p>
        </w:tc>
        <w:tc>
          <w:tcPr>
            <w:tcW w:w="260" w:type="dxa"/>
            <w:vAlign w:val="bottom"/>
            <w:tcBorders>
              <w:top w:val="single" w:sz="8" w:color="231F20"/>
            </w:tcBorders>
            <w:gridSpan w:val="2"/>
            <w:shd w:val="clear" w:color="auto" w:fill="FDFDFC"/>
          </w:tcPr>
          <w:p>
            <w:pPr>
              <w:jc w:val="right"/>
              <w:ind w:right="66"/>
              <w:spacing w:after="0" w:line="207" w:lineRule="exact"/>
              <w:rPr>
                <w:sz w:val="20"/>
                <w:szCs w:val="20"/>
                <w:color w:val="auto"/>
              </w:rPr>
            </w:pPr>
            <w:r>
              <w:rPr>
                <w:rFonts w:ascii="Times New Roman" w:cs="Times New Roman" w:eastAsia="Times New Roman" w:hAnsi="Times New Roman"/>
                <w:sz w:val="19"/>
                <w:szCs w:val="19"/>
                <w:color w:val="231F20"/>
                <w:highlight w:val="white"/>
                <w:w w:val="83"/>
              </w:rPr>
              <w:t>$</w:t>
            </w:r>
          </w:p>
        </w:tc>
        <w:tc>
          <w:tcPr>
            <w:tcW w:w="840" w:type="dxa"/>
            <w:vAlign w:val="bottom"/>
            <w:tcBorders>
              <w:top w:val="single" w:sz="8" w:color="231F20"/>
            </w:tcBorders>
            <w:shd w:val="clear" w:color="auto" w:fill="FDFDFC"/>
          </w:tcPr>
          <w:p>
            <w:pPr>
              <w:jc w:val="right"/>
              <w:spacing w:after="0" w:line="207" w:lineRule="exact"/>
              <w:rPr>
                <w:sz w:val="20"/>
                <w:szCs w:val="20"/>
                <w:color w:val="auto"/>
              </w:rPr>
            </w:pPr>
            <w:r>
              <w:rPr>
                <w:rFonts w:ascii="Times New Roman" w:cs="Times New Roman" w:eastAsia="Times New Roman" w:hAnsi="Times New Roman"/>
                <w:sz w:val="19"/>
                <w:szCs w:val="19"/>
                <w:color w:val="231F20"/>
                <w:highlight w:val="white"/>
              </w:rPr>
              <w:t>3,485,041</w:t>
            </w:r>
          </w:p>
        </w:tc>
        <w:tc>
          <w:tcPr>
            <w:tcW w:w="60" w:type="dxa"/>
            <w:vAlign w:val="bottom"/>
            <w:tcBorders>
              <w:top w:val="single" w:sz="8" w:color="FDFDFC"/>
            </w:tcBorders>
            <w:shd w:val="clear" w:color="auto" w:fill="FDFDFC"/>
          </w:tcPr>
          <w:p>
            <w:pPr>
              <w:spacing w:after="0"/>
              <w:rPr>
                <w:sz w:val="17"/>
                <w:szCs w:val="17"/>
                <w:color w:val="auto"/>
              </w:rPr>
            </w:pPr>
          </w:p>
        </w:tc>
        <w:tc>
          <w:tcPr>
            <w:tcW w:w="180" w:type="dxa"/>
            <w:vAlign w:val="bottom"/>
            <w:tcBorders>
              <w:top w:val="single" w:sz="8" w:color="FDFDFC"/>
            </w:tcBorders>
            <w:shd w:val="clear" w:color="auto" w:fill="FDFDFC"/>
          </w:tcPr>
          <w:p>
            <w:pPr>
              <w:spacing w:after="0"/>
              <w:rPr>
                <w:sz w:val="17"/>
                <w:szCs w:val="17"/>
                <w:color w:val="auto"/>
              </w:rPr>
            </w:pPr>
          </w:p>
        </w:tc>
        <w:tc>
          <w:tcPr>
            <w:tcW w:w="220" w:type="dxa"/>
            <w:vAlign w:val="bottom"/>
            <w:tcBorders>
              <w:top w:val="single" w:sz="8" w:color="231F20"/>
            </w:tcBorders>
            <w:gridSpan w:val="2"/>
            <w:shd w:val="clear" w:color="auto" w:fill="FDFDFC"/>
          </w:tcPr>
          <w:p>
            <w:pPr>
              <w:jc w:val="right"/>
              <w:ind w:right="36"/>
              <w:spacing w:after="0" w:line="207" w:lineRule="exact"/>
              <w:rPr>
                <w:sz w:val="20"/>
                <w:szCs w:val="20"/>
                <w:color w:val="auto"/>
              </w:rPr>
            </w:pPr>
            <w:r>
              <w:rPr>
                <w:rFonts w:ascii="Times New Roman" w:cs="Times New Roman" w:eastAsia="Times New Roman" w:hAnsi="Times New Roman"/>
                <w:sz w:val="19"/>
                <w:szCs w:val="19"/>
                <w:color w:val="231F20"/>
                <w:highlight w:val="white"/>
                <w:w w:val="83"/>
              </w:rPr>
              <w:t>$</w:t>
            </w:r>
          </w:p>
        </w:tc>
        <w:tc>
          <w:tcPr>
            <w:tcW w:w="860" w:type="dxa"/>
            <w:vAlign w:val="bottom"/>
            <w:tcBorders>
              <w:top w:val="single" w:sz="8" w:color="231F20"/>
            </w:tcBorders>
            <w:shd w:val="clear" w:color="auto" w:fill="FDFDFC"/>
          </w:tcPr>
          <w:p>
            <w:pPr>
              <w:jc w:val="right"/>
              <w:spacing w:after="0" w:line="207" w:lineRule="exact"/>
              <w:rPr>
                <w:sz w:val="20"/>
                <w:szCs w:val="20"/>
                <w:color w:val="auto"/>
              </w:rPr>
            </w:pPr>
            <w:r>
              <w:rPr>
                <w:rFonts w:ascii="Times New Roman" w:cs="Times New Roman" w:eastAsia="Times New Roman" w:hAnsi="Times New Roman"/>
                <w:sz w:val="19"/>
                <w:szCs w:val="19"/>
                <w:color w:val="231F20"/>
                <w:highlight w:val="white"/>
              </w:rPr>
              <w:t>3,518,412</w:t>
            </w:r>
          </w:p>
        </w:tc>
        <w:tc>
          <w:tcPr>
            <w:tcW w:w="100" w:type="dxa"/>
            <w:vAlign w:val="bottom"/>
            <w:tcBorders>
              <w:top w:val="single" w:sz="8" w:color="FDFDFC"/>
            </w:tcBorders>
            <w:shd w:val="clear" w:color="auto" w:fill="FDFDFC"/>
          </w:tcPr>
          <w:p>
            <w:pPr>
              <w:spacing w:after="0"/>
              <w:rPr>
                <w:sz w:val="17"/>
                <w:szCs w:val="17"/>
                <w:color w:val="auto"/>
              </w:rPr>
            </w:pPr>
          </w:p>
        </w:tc>
      </w:tr>
      <w:tr>
        <w:trPr>
          <w:trHeight w:val="217"/>
        </w:trPr>
        <w:tc>
          <w:tcPr>
            <w:tcW w:w="5040" w:type="dxa"/>
            <w:vAlign w:val="bottom"/>
            <w:tcBorders>
              <w:bottom w:val="single" w:sz="8" w:color="FDFDFC"/>
            </w:tcBorders>
            <w:gridSpan w:val="2"/>
            <w:shd w:val="clear" w:color="auto" w:fill="D0EBF2"/>
          </w:tcPr>
          <w:p>
            <w:pPr>
              <w:spacing w:after="0" w:line="217" w:lineRule="exact"/>
              <w:rPr>
                <w:sz w:val="20"/>
                <w:szCs w:val="20"/>
                <w:color w:val="auto"/>
              </w:rPr>
            </w:pPr>
            <w:r>
              <w:rPr>
                <w:rFonts w:ascii="Times New Roman" w:cs="Times New Roman" w:eastAsia="Times New Roman" w:hAnsi="Times New Roman"/>
                <w:sz w:val="19"/>
                <w:szCs w:val="19"/>
                <w:color w:val="231F20"/>
              </w:rPr>
              <w:t>Interest rate swaps</w:t>
            </w:r>
          </w:p>
        </w:tc>
        <w:tc>
          <w:tcPr>
            <w:tcW w:w="60" w:type="dxa"/>
            <w:vAlign w:val="bottom"/>
            <w:tcBorders>
              <w:bottom w:val="single" w:sz="8" w:color="FDFDFC"/>
            </w:tcBorders>
            <w:shd w:val="clear" w:color="auto" w:fill="D0EBF2"/>
          </w:tcPr>
          <w:p>
            <w:pPr>
              <w:spacing w:after="0"/>
              <w:rPr>
                <w:sz w:val="18"/>
                <w:szCs w:val="18"/>
                <w:color w:val="auto"/>
              </w:rPr>
            </w:pPr>
          </w:p>
        </w:tc>
        <w:tc>
          <w:tcPr>
            <w:tcW w:w="80" w:type="dxa"/>
            <w:vAlign w:val="bottom"/>
            <w:tcBorders>
              <w:bottom w:val="single" w:sz="8" w:color="FDFDFC"/>
            </w:tcBorders>
            <w:shd w:val="clear" w:color="auto" w:fill="D0EBF2"/>
          </w:tcPr>
          <w:p>
            <w:pPr>
              <w:spacing w:after="0"/>
              <w:rPr>
                <w:sz w:val="18"/>
                <w:szCs w:val="18"/>
                <w:color w:val="auto"/>
              </w:rPr>
            </w:pPr>
          </w:p>
        </w:tc>
        <w:tc>
          <w:tcPr>
            <w:tcW w:w="180" w:type="dxa"/>
            <w:vAlign w:val="bottom"/>
            <w:tcBorders>
              <w:bottom w:val="single" w:sz="8" w:color="231F20"/>
            </w:tcBorders>
            <w:shd w:val="clear" w:color="auto" w:fill="D0EBF2"/>
          </w:tcPr>
          <w:p>
            <w:pPr>
              <w:spacing w:after="0"/>
              <w:rPr>
                <w:sz w:val="18"/>
                <w:szCs w:val="18"/>
                <w:color w:val="auto"/>
              </w:rPr>
            </w:pPr>
          </w:p>
        </w:tc>
        <w:tc>
          <w:tcPr>
            <w:tcW w:w="840" w:type="dxa"/>
            <w:vAlign w:val="bottom"/>
            <w:tcBorders>
              <w:bottom w:val="single" w:sz="8" w:color="231F20"/>
            </w:tcBorders>
            <w:shd w:val="clear" w:color="auto" w:fill="D0EBF2"/>
          </w:tcPr>
          <w:p>
            <w:pPr>
              <w:jc w:val="right"/>
              <w:spacing w:after="0" w:line="217" w:lineRule="exact"/>
              <w:rPr>
                <w:sz w:val="20"/>
                <w:szCs w:val="20"/>
                <w:color w:val="auto"/>
              </w:rPr>
            </w:pPr>
            <w:r>
              <w:rPr>
                <w:rFonts w:ascii="Times New Roman" w:cs="Times New Roman" w:eastAsia="Times New Roman" w:hAnsi="Times New Roman"/>
                <w:sz w:val="19"/>
                <w:szCs w:val="19"/>
                <w:color w:val="231F20"/>
              </w:rPr>
              <w:t>—</w:t>
            </w:r>
          </w:p>
        </w:tc>
        <w:tc>
          <w:tcPr>
            <w:tcW w:w="60" w:type="dxa"/>
            <w:vAlign w:val="bottom"/>
            <w:tcBorders>
              <w:bottom w:val="single" w:sz="8" w:color="FDFDFC"/>
            </w:tcBorders>
            <w:shd w:val="clear" w:color="auto" w:fill="D0EBF2"/>
          </w:tcPr>
          <w:p>
            <w:pPr>
              <w:spacing w:after="0"/>
              <w:rPr>
                <w:sz w:val="18"/>
                <w:szCs w:val="18"/>
                <w:color w:val="auto"/>
              </w:rPr>
            </w:pPr>
          </w:p>
        </w:tc>
        <w:tc>
          <w:tcPr>
            <w:tcW w:w="40" w:type="dxa"/>
            <w:vAlign w:val="bottom"/>
            <w:tcBorders>
              <w:bottom w:val="single" w:sz="8" w:color="FDFDFC"/>
            </w:tcBorders>
            <w:shd w:val="clear" w:color="auto" w:fill="D0EBF2"/>
          </w:tcPr>
          <w:p>
            <w:pPr>
              <w:spacing w:after="0"/>
              <w:rPr>
                <w:sz w:val="18"/>
                <w:szCs w:val="18"/>
                <w:color w:val="auto"/>
              </w:rPr>
            </w:pPr>
          </w:p>
        </w:tc>
        <w:tc>
          <w:tcPr>
            <w:tcW w:w="60" w:type="dxa"/>
            <w:vAlign w:val="bottom"/>
            <w:tcBorders>
              <w:bottom w:val="single" w:sz="8" w:color="FDFDFC"/>
            </w:tcBorders>
            <w:shd w:val="clear" w:color="auto" w:fill="D0EBF2"/>
          </w:tcPr>
          <w:p>
            <w:pPr>
              <w:spacing w:after="0"/>
              <w:rPr>
                <w:sz w:val="18"/>
                <w:szCs w:val="18"/>
                <w:color w:val="auto"/>
              </w:rPr>
            </w:pPr>
          </w:p>
        </w:tc>
        <w:tc>
          <w:tcPr>
            <w:tcW w:w="80" w:type="dxa"/>
            <w:vAlign w:val="bottom"/>
            <w:tcBorders>
              <w:bottom w:val="single" w:sz="8" w:color="FDFDFC"/>
            </w:tcBorders>
            <w:shd w:val="clear" w:color="auto" w:fill="D0EBF2"/>
          </w:tcPr>
          <w:p>
            <w:pPr>
              <w:spacing w:after="0"/>
              <w:rPr>
                <w:sz w:val="18"/>
                <w:szCs w:val="18"/>
                <w:color w:val="auto"/>
              </w:rPr>
            </w:pPr>
          </w:p>
        </w:tc>
        <w:tc>
          <w:tcPr>
            <w:tcW w:w="40" w:type="dxa"/>
            <w:vAlign w:val="bottom"/>
            <w:tcBorders>
              <w:bottom w:val="single" w:sz="8" w:color="231F20"/>
            </w:tcBorders>
            <w:shd w:val="clear" w:color="auto" w:fill="D0EBF2"/>
          </w:tcPr>
          <w:p>
            <w:pPr>
              <w:spacing w:after="0"/>
              <w:rPr>
                <w:sz w:val="18"/>
                <w:szCs w:val="18"/>
                <w:color w:val="auto"/>
              </w:rPr>
            </w:pPr>
          </w:p>
        </w:tc>
        <w:tc>
          <w:tcPr>
            <w:tcW w:w="160" w:type="dxa"/>
            <w:vAlign w:val="bottom"/>
            <w:tcBorders>
              <w:bottom w:val="single" w:sz="8" w:color="231F20"/>
            </w:tcBorders>
            <w:shd w:val="clear" w:color="auto" w:fill="D0EBF2"/>
          </w:tcPr>
          <w:p>
            <w:pPr>
              <w:spacing w:after="0"/>
              <w:rPr>
                <w:sz w:val="18"/>
                <w:szCs w:val="18"/>
                <w:color w:val="auto"/>
              </w:rPr>
            </w:pPr>
          </w:p>
        </w:tc>
        <w:tc>
          <w:tcPr>
            <w:tcW w:w="820" w:type="dxa"/>
            <w:vAlign w:val="bottom"/>
            <w:tcBorders>
              <w:bottom w:val="single" w:sz="8" w:color="231F20"/>
            </w:tcBorders>
            <w:shd w:val="clear" w:color="auto" w:fill="D0EBF2"/>
          </w:tcPr>
          <w:p>
            <w:pPr>
              <w:jc w:val="right"/>
              <w:spacing w:after="0" w:line="217" w:lineRule="exact"/>
              <w:rPr>
                <w:sz w:val="20"/>
                <w:szCs w:val="20"/>
                <w:color w:val="auto"/>
              </w:rPr>
            </w:pPr>
            <w:r>
              <w:rPr>
                <w:rFonts w:ascii="Times New Roman" w:cs="Times New Roman" w:eastAsia="Times New Roman" w:hAnsi="Times New Roman"/>
                <w:sz w:val="19"/>
                <w:szCs w:val="19"/>
                <w:color w:val="231F20"/>
              </w:rPr>
              <w:t>(24,238)</w:t>
            </w:r>
          </w:p>
        </w:tc>
        <w:tc>
          <w:tcPr>
            <w:tcW w:w="80" w:type="dxa"/>
            <w:vAlign w:val="bottom"/>
            <w:tcBorders>
              <w:bottom w:val="single" w:sz="8" w:color="FDFDFC"/>
            </w:tcBorders>
            <w:shd w:val="clear" w:color="auto" w:fill="D0EBF2"/>
          </w:tcPr>
          <w:p>
            <w:pPr>
              <w:spacing w:after="0"/>
              <w:rPr>
                <w:sz w:val="18"/>
                <w:szCs w:val="18"/>
                <w:color w:val="auto"/>
              </w:rPr>
            </w:pPr>
          </w:p>
        </w:tc>
        <w:tc>
          <w:tcPr>
            <w:tcW w:w="140" w:type="dxa"/>
            <w:vAlign w:val="bottom"/>
            <w:tcBorders>
              <w:bottom w:val="single" w:sz="8" w:color="FDFDFC"/>
            </w:tcBorders>
            <w:shd w:val="clear" w:color="auto" w:fill="D0EBF2"/>
          </w:tcPr>
          <w:p>
            <w:pPr>
              <w:spacing w:after="0"/>
              <w:rPr>
                <w:sz w:val="18"/>
                <w:szCs w:val="18"/>
                <w:color w:val="auto"/>
              </w:rPr>
            </w:pPr>
          </w:p>
        </w:tc>
        <w:tc>
          <w:tcPr>
            <w:tcW w:w="80" w:type="dxa"/>
            <w:vAlign w:val="bottom"/>
            <w:tcBorders>
              <w:bottom w:val="single" w:sz="8" w:color="231F20"/>
            </w:tcBorders>
            <w:shd w:val="clear" w:color="auto" w:fill="D0EBF2"/>
          </w:tcPr>
          <w:p>
            <w:pPr>
              <w:spacing w:after="0"/>
              <w:rPr>
                <w:sz w:val="18"/>
                <w:szCs w:val="18"/>
                <w:color w:val="auto"/>
              </w:rPr>
            </w:pPr>
          </w:p>
        </w:tc>
        <w:tc>
          <w:tcPr>
            <w:tcW w:w="180" w:type="dxa"/>
            <w:vAlign w:val="bottom"/>
            <w:tcBorders>
              <w:bottom w:val="single" w:sz="8" w:color="231F20"/>
            </w:tcBorders>
            <w:shd w:val="clear" w:color="auto" w:fill="D0EBF2"/>
          </w:tcPr>
          <w:p>
            <w:pPr>
              <w:spacing w:after="0"/>
              <w:rPr>
                <w:sz w:val="18"/>
                <w:szCs w:val="18"/>
                <w:color w:val="auto"/>
              </w:rPr>
            </w:pPr>
          </w:p>
        </w:tc>
        <w:tc>
          <w:tcPr>
            <w:tcW w:w="840" w:type="dxa"/>
            <w:vAlign w:val="bottom"/>
            <w:tcBorders>
              <w:bottom w:val="single" w:sz="8" w:color="231F20"/>
            </w:tcBorders>
            <w:shd w:val="clear" w:color="auto" w:fill="D0EBF2"/>
          </w:tcPr>
          <w:p>
            <w:pPr>
              <w:jc w:val="right"/>
              <w:spacing w:after="0" w:line="217" w:lineRule="exact"/>
              <w:rPr>
                <w:sz w:val="20"/>
                <w:szCs w:val="20"/>
                <w:color w:val="auto"/>
              </w:rPr>
            </w:pPr>
            <w:r>
              <w:rPr>
                <w:rFonts w:ascii="Times New Roman" w:cs="Times New Roman" w:eastAsia="Times New Roman" w:hAnsi="Times New Roman"/>
                <w:sz w:val="19"/>
                <w:szCs w:val="19"/>
                <w:color w:val="231F20"/>
              </w:rPr>
              <w:t>—</w:t>
            </w:r>
          </w:p>
        </w:tc>
        <w:tc>
          <w:tcPr>
            <w:tcW w:w="60" w:type="dxa"/>
            <w:vAlign w:val="bottom"/>
            <w:tcBorders>
              <w:bottom w:val="single" w:sz="8" w:color="FDFDFC"/>
            </w:tcBorders>
            <w:shd w:val="clear" w:color="auto" w:fill="D0EBF2"/>
          </w:tcPr>
          <w:p>
            <w:pPr>
              <w:spacing w:after="0"/>
              <w:rPr>
                <w:sz w:val="18"/>
                <w:szCs w:val="18"/>
                <w:color w:val="auto"/>
              </w:rPr>
            </w:pPr>
          </w:p>
        </w:tc>
        <w:tc>
          <w:tcPr>
            <w:tcW w:w="180" w:type="dxa"/>
            <w:vAlign w:val="bottom"/>
            <w:tcBorders>
              <w:bottom w:val="single" w:sz="8" w:color="FDFDFC"/>
            </w:tcBorders>
            <w:shd w:val="clear" w:color="auto" w:fill="D0EBF2"/>
          </w:tcPr>
          <w:p>
            <w:pPr>
              <w:spacing w:after="0"/>
              <w:rPr>
                <w:sz w:val="18"/>
                <w:szCs w:val="18"/>
                <w:color w:val="auto"/>
              </w:rPr>
            </w:pPr>
          </w:p>
        </w:tc>
        <w:tc>
          <w:tcPr>
            <w:tcW w:w="60" w:type="dxa"/>
            <w:vAlign w:val="bottom"/>
            <w:tcBorders>
              <w:bottom w:val="single" w:sz="8" w:color="231F20"/>
            </w:tcBorders>
            <w:shd w:val="clear" w:color="auto" w:fill="D0EBF2"/>
          </w:tcPr>
          <w:p>
            <w:pPr>
              <w:spacing w:after="0"/>
              <w:rPr>
                <w:sz w:val="18"/>
                <w:szCs w:val="18"/>
                <w:color w:val="auto"/>
              </w:rPr>
            </w:pPr>
          </w:p>
        </w:tc>
        <w:tc>
          <w:tcPr>
            <w:tcW w:w="160" w:type="dxa"/>
            <w:vAlign w:val="bottom"/>
            <w:tcBorders>
              <w:bottom w:val="single" w:sz="8" w:color="231F20"/>
            </w:tcBorders>
            <w:shd w:val="clear" w:color="auto" w:fill="D0EBF2"/>
          </w:tcPr>
          <w:p>
            <w:pPr>
              <w:spacing w:after="0"/>
              <w:rPr>
                <w:sz w:val="18"/>
                <w:szCs w:val="18"/>
                <w:color w:val="auto"/>
              </w:rPr>
            </w:pPr>
          </w:p>
        </w:tc>
        <w:tc>
          <w:tcPr>
            <w:tcW w:w="860" w:type="dxa"/>
            <w:vAlign w:val="bottom"/>
            <w:tcBorders>
              <w:bottom w:val="single" w:sz="8" w:color="231F20"/>
            </w:tcBorders>
            <w:shd w:val="clear" w:color="auto" w:fill="D0EBF2"/>
          </w:tcPr>
          <w:p>
            <w:pPr>
              <w:jc w:val="right"/>
              <w:spacing w:after="0" w:line="217" w:lineRule="exact"/>
              <w:rPr>
                <w:sz w:val="20"/>
                <w:szCs w:val="20"/>
                <w:color w:val="auto"/>
              </w:rPr>
            </w:pPr>
            <w:r>
              <w:rPr>
                <w:rFonts w:ascii="Times New Roman" w:cs="Times New Roman" w:eastAsia="Times New Roman" w:hAnsi="Times New Roman"/>
                <w:sz w:val="19"/>
                <w:szCs w:val="19"/>
                <w:color w:val="231F20"/>
              </w:rPr>
              <w:t>(24,238)</w:t>
            </w:r>
          </w:p>
        </w:tc>
        <w:tc>
          <w:tcPr>
            <w:tcW w:w="100" w:type="dxa"/>
            <w:vAlign w:val="bottom"/>
            <w:tcBorders>
              <w:bottom w:val="single" w:sz="8" w:color="FDFDFC"/>
            </w:tcBorders>
            <w:shd w:val="clear" w:color="auto" w:fill="D0EBF2"/>
          </w:tcPr>
          <w:p>
            <w:pPr>
              <w:spacing w:after="0"/>
              <w:rPr>
                <w:sz w:val="18"/>
                <w:szCs w:val="18"/>
                <w:color w:val="auto"/>
              </w:rPr>
            </w:pPr>
          </w:p>
        </w:tc>
      </w:tr>
      <w:tr>
        <w:trPr>
          <w:trHeight w:val="227"/>
        </w:trPr>
        <w:tc>
          <w:tcPr>
            <w:tcW w:w="5040" w:type="dxa"/>
            <w:vAlign w:val="bottom"/>
            <w:tcBorders>
              <w:bottom w:val="single" w:sz="8" w:color="FDFDFC"/>
            </w:tcBorders>
            <w:gridSpan w:val="2"/>
            <w:shd w:val="clear" w:color="auto" w:fill="FDFDFC"/>
          </w:tcPr>
          <w:p>
            <w:pPr>
              <w:ind w:left="180"/>
              <w:spacing w:after="0" w:line="206" w:lineRule="exact"/>
              <w:rPr>
                <w:sz w:val="20"/>
                <w:szCs w:val="20"/>
                <w:color w:val="auto"/>
              </w:rPr>
            </w:pPr>
            <w:r>
              <w:rPr>
                <w:rFonts w:ascii="Times New Roman" w:cs="Times New Roman" w:eastAsia="Times New Roman" w:hAnsi="Times New Roman"/>
                <w:sz w:val="19"/>
                <w:szCs w:val="19"/>
                <w:b w:val="1"/>
                <w:bCs w:val="1"/>
                <w:color w:val="231F20"/>
              </w:rPr>
              <w:t>Total</w:t>
            </w:r>
          </w:p>
        </w:tc>
        <w:tc>
          <w:tcPr>
            <w:tcW w:w="60" w:type="dxa"/>
            <w:vAlign w:val="bottom"/>
            <w:tcBorders>
              <w:bottom w:val="single" w:sz="8" w:color="FDFDFC"/>
            </w:tcBorders>
            <w:shd w:val="clear" w:color="auto" w:fill="FDFDFC"/>
          </w:tcPr>
          <w:p>
            <w:pPr>
              <w:spacing w:after="0"/>
              <w:rPr>
                <w:sz w:val="19"/>
                <w:szCs w:val="19"/>
                <w:color w:val="auto"/>
              </w:rPr>
            </w:pPr>
          </w:p>
        </w:tc>
        <w:tc>
          <w:tcPr>
            <w:tcW w:w="80" w:type="dxa"/>
            <w:vAlign w:val="bottom"/>
            <w:tcBorders>
              <w:bottom w:val="single" w:sz="8" w:color="FDFDFC"/>
            </w:tcBorders>
            <w:shd w:val="clear" w:color="auto" w:fill="FDFDFC"/>
          </w:tcPr>
          <w:p>
            <w:pPr>
              <w:spacing w:after="0"/>
              <w:rPr>
                <w:sz w:val="19"/>
                <w:szCs w:val="19"/>
                <w:color w:val="auto"/>
              </w:rPr>
            </w:pPr>
          </w:p>
        </w:tc>
        <w:tc>
          <w:tcPr>
            <w:tcW w:w="180" w:type="dxa"/>
            <w:vAlign w:val="bottom"/>
            <w:tcBorders>
              <w:bottom w:val="single" w:sz="8" w:color="231F20"/>
            </w:tcBorders>
            <w:shd w:val="clear" w:color="auto" w:fill="FDFDFC"/>
          </w:tcPr>
          <w:p>
            <w:pPr>
              <w:jc w:val="right"/>
              <w:ind w:right="16"/>
              <w:spacing w:after="0"/>
              <w:rPr>
                <w:sz w:val="20"/>
                <w:szCs w:val="20"/>
                <w:color w:val="auto"/>
              </w:rPr>
            </w:pPr>
            <w:r>
              <w:rPr>
                <w:rFonts w:ascii="Times New Roman" w:cs="Times New Roman" w:eastAsia="Times New Roman" w:hAnsi="Times New Roman"/>
                <w:sz w:val="17"/>
                <w:szCs w:val="17"/>
                <w:color w:val="231F20"/>
                <w:w w:val="70"/>
              </w:rPr>
              <w:t>$</w:t>
            </w:r>
          </w:p>
        </w:tc>
        <w:tc>
          <w:tcPr>
            <w:tcW w:w="840" w:type="dxa"/>
            <w:vAlign w:val="bottom"/>
            <w:tcBorders>
              <w:bottom w:val="single" w:sz="8" w:color="231F20"/>
            </w:tcBorders>
            <w:shd w:val="clear" w:color="auto" w:fill="FDFDFC"/>
          </w:tcPr>
          <w:p>
            <w:pPr>
              <w:jc w:val="right"/>
              <w:spacing w:after="0" w:line="206" w:lineRule="exact"/>
              <w:rPr>
                <w:sz w:val="20"/>
                <w:szCs w:val="20"/>
                <w:color w:val="auto"/>
              </w:rPr>
            </w:pPr>
            <w:r>
              <w:rPr>
                <w:rFonts w:ascii="Times New Roman" w:cs="Times New Roman" w:eastAsia="Times New Roman" w:hAnsi="Times New Roman"/>
                <w:sz w:val="19"/>
                <w:szCs w:val="19"/>
                <w:color w:val="231F20"/>
              </w:rPr>
              <w:t>3,952</w:t>
            </w:r>
          </w:p>
        </w:tc>
        <w:tc>
          <w:tcPr>
            <w:tcW w:w="60" w:type="dxa"/>
            <w:vAlign w:val="bottom"/>
            <w:tcBorders>
              <w:bottom w:val="single" w:sz="8" w:color="FDFDFC"/>
            </w:tcBorders>
            <w:shd w:val="clear" w:color="auto" w:fill="FDFDFC"/>
          </w:tcPr>
          <w:p>
            <w:pPr>
              <w:spacing w:after="0"/>
              <w:rPr>
                <w:sz w:val="19"/>
                <w:szCs w:val="19"/>
                <w:color w:val="auto"/>
              </w:rPr>
            </w:pPr>
          </w:p>
        </w:tc>
        <w:tc>
          <w:tcPr>
            <w:tcW w:w="40" w:type="dxa"/>
            <w:vAlign w:val="bottom"/>
            <w:tcBorders>
              <w:bottom w:val="single" w:sz="8" w:color="FDFDFC"/>
            </w:tcBorders>
            <w:shd w:val="clear" w:color="auto" w:fill="FDFDFC"/>
          </w:tcPr>
          <w:p>
            <w:pPr>
              <w:spacing w:after="0"/>
              <w:rPr>
                <w:sz w:val="19"/>
                <w:szCs w:val="19"/>
                <w:color w:val="auto"/>
              </w:rPr>
            </w:pPr>
          </w:p>
        </w:tc>
        <w:tc>
          <w:tcPr>
            <w:tcW w:w="60" w:type="dxa"/>
            <w:vAlign w:val="bottom"/>
            <w:tcBorders>
              <w:bottom w:val="single" w:sz="8" w:color="FDFDFC"/>
            </w:tcBorders>
            <w:shd w:val="clear" w:color="auto" w:fill="FDFDFC"/>
          </w:tcPr>
          <w:p>
            <w:pPr>
              <w:spacing w:after="0"/>
              <w:rPr>
                <w:sz w:val="19"/>
                <w:szCs w:val="19"/>
                <w:color w:val="auto"/>
              </w:rPr>
            </w:pPr>
          </w:p>
        </w:tc>
        <w:tc>
          <w:tcPr>
            <w:tcW w:w="80" w:type="dxa"/>
            <w:vAlign w:val="bottom"/>
            <w:tcBorders>
              <w:bottom w:val="single" w:sz="8" w:color="FDFDFC"/>
            </w:tcBorders>
            <w:shd w:val="clear" w:color="auto" w:fill="FDFDFC"/>
          </w:tcPr>
          <w:p>
            <w:pPr>
              <w:spacing w:after="0"/>
              <w:rPr>
                <w:sz w:val="19"/>
                <w:szCs w:val="19"/>
                <w:color w:val="auto"/>
              </w:rPr>
            </w:pPr>
          </w:p>
        </w:tc>
        <w:tc>
          <w:tcPr>
            <w:tcW w:w="200" w:type="dxa"/>
            <w:vAlign w:val="bottom"/>
            <w:tcBorders>
              <w:bottom w:val="single" w:sz="8" w:color="231F20"/>
            </w:tcBorders>
            <w:gridSpan w:val="2"/>
            <w:shd w:val="clear" w:color="auto" w:fill="FDFDFC"/>
          </w:tcPr>
          <w:p>
            <w:pPr>
              <w:jc w:val="right"/>
              <w:ind w:right="26"/>
              <w:spacing w:after="0"/>
              <w:rPr>
                <w:sz w:val="20"/>
                <w:szCs w:val="20"/>
                <w:color w:val="auto"/>
              </w:rPr>
            </w:pPr>
            <w:r>
              <w:rPr>
                <w:rFonts w:ascii="Times New Roman" w:cs="Times New Roman" w:eastAsia="Times New Roman" w:hAnsi="Times New Roman"/>
                <w:sz w:val="17"/>
                <w:szCs w:val="17"/>
                <w:color w:val="231F20"/>
                <w:w w:val="70"/>
              </w:rPr>
              <w:t>$</w:t>
            </w:r>
          </w:p>
        </w:tc>
        <w:tc>
          <w:tcPr>
            <w:tcW w:w="820" w:type="dxa"/>
            <w:vAlign w:val="bottom"/>
            <w:tcBorders>
              <w:bottom w:val="single" w:sz="8" w:color="231F20"/>
            </w:tcBorders>
            <w:shd w:val="clear" w:color="auto" w:fill="FDFDFC"/>
          </w:tcPr>
          <w:p>
            <w:pPr>
              <w:jc w:val="right"/>
              <w:spacing w:after="0" w:line="206" w:lineRule="exact"/>
              <w:rPr>
                <w:sz w:val="20"/>
                <w:szCs w:val="20"/>
                <w:color w:val="auto"/>
              </w:rPr>
            </w:pPr>
            <w:r>
              <w:rPr>
                <w:rFonts w:ascii="Times New Roman" w:cs="Times New Roman" w:eastAsia="Times New Roman" w:hAnsi="Times New Roman"/>
                <w:sz w:val="19"/>
                <w:szCs w:val="19"/>
                <w:color w:val="231F20"/>
              </w:rPr>
              <w:t>5,181</w:t>
            </w:r>
          </w:p>
        </w:tc>
        <w:tc>
          <w:tcPr>
            <w:tcW w:w="80" w:type="dxa"/>
            <w:vAlign w:val="bottom"/>
            <w:tcBorders>
              <w:bottom w:val="single" w:sz="8" w:color="FDFDFC"/>
            </w:tcBorders>
            <w:shd w:val="clear" w:color="auto" w:fill="FDFDFC"/>
          </w:tcPr>
          <w:p>
            <w:pPr>
              <w:spacing w:after="0"/>
              <w:rPr>
                <w:sz w:val="19"/>
                <w:szCs w:val="19"/>
                <w:color w:val="auto"/>
              </w:rPr>
            </w:pPr>
          </w:p>
        </w:tc>
        <w:tc>
          <w:tcPr>
            <w:tcW w:w="140" w:type="dxa"/>
            <w:vAlign w:val="bottom"/>
            <w:tcBorders>
              <w:bottom w:val="single" w:sz="8" w:color="FDFDFC"/>
            </w:tcBorders>
            <w:shd w:val="clear" w:color="auto" w:fill="FDFDFC"/>
          </w:tcPr>
          <w:p>
            <w:pPr>
              <w:spacing w:after="0"/>
              <w:rPr>
                <w:sz w:val="19"/>
                <w:szCs w:val="19"/>
                <w:color w:val="auto"/>
              </w:rPr>
            </w:pPr>
          </w:p>
        </w:tc>
        <w:tc>
          <w:tcPr>
            <w:tcW w:w="260" w:type="dxa"/>
            <w:vAlign w:val="bottom"/>
            <w:tcBorders>
              <w:bottom w:val="single" w:sz="8" w:color="231F20"/>
            </w:tcBorders>
            <w:gridSpan w:val="2"/>
            <w:shd w:val="clear" w:color="auto" w:fill="FDFDFC"/>
          </w:tcPr>
          <w:p>
            <w:pPr>
              <w:jc w:val="right"/>
              <w:ind w:right="66"/>
              <w:spacing w:after="0" w:line="206" w:lineRule="exact"/>
              <w:rPr>
                <w:sz w:val="20"/>
                <w:szCs w:val="20"/>
                <w:color w:val="auto"/>
              </w:rPr>
            </w:pPr>
            <w:r>
              <w:rPr>
                <w:rFonts w:ascii="Times New Roman" w:cs="Times New Roman" w:eastAsia="Times New Roman" w:hAnsi="Times New Roman"/>
                <w:sz w:val="19"/>
                <w:szCs w:val="19"/>
                <w:color w:val="231F20"/>
                <w:highlight w:val="white"/>
                <w:w w:val="83"/>
              </w:rPr>
              <w:t>$</w:t>
            </w:r>
          </w:p>
        </w:tc>
        <w:tc>
          <w:tcPr>
            <w:tcW w:w="840" w:type="dxa"/>
            <w:vAlign w:val="bottom"/>
            <w:tcBorders>
              <w:bottom w:val="single" w:sz="8" w:color="231F20"/>
            </w:tcBorders>
            <w:shd w:val="clear" w:color="auto" w:fill="FDFDFC"/>
          </w:tcPr>
          <w:p>
            <w:pPr>
              <w:jc w:val="right"/>
              <w:spacing w:after="0" w:line="206" w:lineRule="exact"/>
              <w:rPr>
                <w:sz w:val="20"/>
                <w:szCs w:val="20"/>
                <w:color w:val="auto"/>
              </w:rPr>
            </w:pPr>
            <w:r>
              <w:rPr>
                <w:rFonts w:ascii="Times New Roman" w:cs="Times New Roman" w:eastAsia="Times New Roman" w:hAnsi="Times New Roman"/>
                <w:sz w:val="19"/>
                <w:szCs w:val="19"/>
                <w:color w:val="231F20"/>
                <w:highlight w:val="white"/>
              </w:rPr>
              <w:t>3,485,041</w:t>
            </w:r>
          </w:p>
        </w:tc>
        <w:tc>
          <w:tcPr>
            <w:tcW w:w="60" w:type="dxa"/>
            <w:vAlign w:val="bottom"/>
            <w:tcBorders>
              <w:bottom w:val="single" w:sz="8" w:color="FDFDFC"/>
            </w:tcBorders>
            <w:shd w:val="clear" w:color="auto" w:fill="FDFDFC"/>
          </w:tcPr>
          <w:p>
            <w:pPr>
              <w:spacing w:after="0"/>
              <w:rPr>
                <w:sz w:val="19"/>
                <w:szCs w:val="19"/>
                <w:color w:val="auto"/>
              </w:rPr>
            </w:pPr>
          </w:p>
        </w:tc>
        <w:tc>
          <w:tcPr>
            <w:tcW w:w="180" w:type="dxa"/>
            <w:vAlign w:val="bottom"/>
            <w:tcBorders>
              <w:bottom w:val="single" w:sz="8" w:color="FDFDFC"/>
            </w:tcBorders>
            <w:shd w:val="clear" w:color="auto" w:fill="FDFDFC"/>
          </w:tcPr>
          <w:p>
            <w:pPr>
              <w:spacing w:after="0"/>
              <w:rPr>
                <w:sz w:val="19"/>
                <w:szCs w:val="19"/>
                <w:color w:val="auto"/>
              </w:rPr>
            </w:pPr>
          </w:p>
        </w:tc>
        <w:tc>
          <w:tcPr>
            <w:tcW w:w="220" w:type="dxa"/>
            <w:vAlign w:val="bottom"/>
            <w:tcBorders>
              <w:bottom w:val="single" w:sz="8" w:color="231F20"/>
            </w:tcBorders>
            <w:gridSpan w:val="2"/>
            <w:shd w:val="clear" w:color="auto" w:fill="FDFDFC"/>
          </w:tcPr>
          <w:p>
            <w:pPr>
              <w:jc w:val="right"/>
              <w:ind w:right="36"/>
              <w:spacing w:after="0" w:line="206" w:lineRule="exact"/>
              <w:rPr>
                <w:sz w:val="20"/>
                <w:szCs w:val="20"/>
                <w:color w:val="auto"/>
              </w:rPr>
            </w:pPr>
            <w:r>
              <w:rPr>
                <w:rFonts w:ascii="Times New Roman" w:cs="Times New Roman" w:eastAsia="Times New Roman" w:hAnsi="Times New Roman"/>
                <w:sz w:val="19"/>
                <w:szCs w:val="19"/>
                <w:color w:val="231F20"/>
                <w:highlight w:val="white"/>
                <w:w w:val="83"/>
              </w:rPr>
              <w:t>$</w:t>
            </w:r>
          </w:p>
        </w:tc>
        <w:tc>
          <w:tcPr>
            <w:tcW w:w="860" w:type="dxa"/>
            <w:vAlign w:val="bottom"/>
            <w:tcBorders>
              <w:bottom w:val="single" w:sz="8" w:color="231F20"/>
            </w:tcBorders>
            <w:shd w:val="clear" w:color="auto" w:fill="FDFDFC"/>
          </w:tcPr>
          <w:p>
            <w:pPr>
              <w:jc w:val="right"/>
              <w:spacing w:after="0" w:line="206" w:lineRule="exact"/>
              <w:rPr>
                <w:sz w:val="20"/>
                <w:szCs w:val="20"/>
                <w:color w:val="auto"/>
              </w:rPr>
            </w:pPr>
            <w:r>
              <w:rPr>
                <w:rFonts w:ascii="Times New Roman" w:cs="Times New Roman" w:eastAsia="Times New Roman" w:hAnsi="Times New Roman"/>
                <w:sz w:val="19"/>
                <w:szCs w:val="19"/>
                <w:color w:val="231F20"/>
                <w:highlight w:val="white"/>
              </w:rPr>
              <w:t>3,494,174</w:t>
            </w:r>
          </w:p>
        </w:tc>
        <w:tc>
          <w:tcPr>
            <w:tcW w:w="100" w:type="dxa"/>
            <w:vAlign w:val="bottom"/>
            <w:tcBorders>
              <w:bottom w:val="single" w:sz="8" w:color="FDFDFC"/>
            </w:tcBorders>
            <w:shd w:val="clear" w:color="auto" w:fill="FDFDFC"/>
          </w:tcPr>
          <w:p>
            <w:pPr>
              <w:spacing w:after="0"/>
              <w:rPr>
                <w:sz w:val="19"/>
                <w:szCs w:val="19"/>
                <w:color w:val="auto"/>
              </w:rPr>
            </w:pPr>
          </w:p>
        </w:tc>
      </w:tr>
      <w:tr>
        <w:trPr>
          <w:trHeight w:val="20"/>
        </w:trPr>
        <w:tc>
          <w:tcPr>
            <w:tcW w:w="49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231F20"/>
            </w:tcBorders>
          </w:tcPr>
          <w:p>
            <w:pPr>
              <w:spacing w:after="0" w:line="20" w:lineRule="exact"/>
              <w:rPr>
                <w:sz w:val="1"/>
                <w:szCs w:val="1"/>
                <w:color w:val="auto"/>
              </w:rPr>
            </w:pPr>
          </w:p>
        </w:tc>
        <w:tc>
          <w:tcPr>
            <w:tcW w:w="840" w:type="dxa"/>
            <w:vAlign w:val="bottom"/>
            <w:tcBorders>
              <w:bottom w:val="single" w:sz="8" w:color="231F20"/>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bottom w:val="single" w:sz="8" w:color="231F20"/>
            </w:tcBorders>
          </w:tcPr>
          <w:p>
            <w:pPr>
              <w:spacing w:after="0" w:line="20" w:lineRule="exact"/>
              <w:rPr>
                <w:sz w:val="1"/>
                <w:szCs w:val="1"/>
                <w:color w:val="auto"/>
              </w:rPr>
            </w:pPr>
          </w:p>
        </w:tc>
        <w:tc>
          <w:tcPr>
            <w:tcW w:w="160" w:type="dxa"/>
            <w:vAlign w:val="bottom"/>
            <w:tcBorders>
              <w:bottom w:val="single" w:sz="8" w:color="231F20"/>
            </w:tcBorders>
          </w:tcPr>
          <w:p>
            <w:pPr>
              <w:spacing w:after="0" w:line="20" w:lineRule="exact"/>
              <w:rPr>
                <w:sz w:val="1"/>
                <w:szCs w:val="1"/>
                <w:color w:val="auto"/>
              </w:rPr>
            </w:pPr>
          </w:p>
        </w:tc>
        <w:tc>
          <w:tcPr>
            <w:tcW w:w="820" w:type="dxa"/>
            <w:vAlign w:val="bottom"/>
            <w:tcBorders>
              <w:bottom w:val="single" w:sz="8" w:color="231F20"/>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231F20"/>
            </w:tcBorders>
          </w:tcPr>
          <w:p>
            <w:pPr>
              <w:spacing w:after="0" w:line="20" w:lineRule="exact"/>
              <w:rPr>
                <w:sz w:val="1"/>
                <w:szCs w:val="1"/>
                <w:color w:val="auto"/>
              </w:rPr>
            </w:pPr>
          </w:p>
        </w:tc>
        <w:tc>
          <w:tcPr>
            <w:tcW w:w="180" w:type="dxa"/>
            <w:vAlign w:val="bottom"/>
            <w:tcBorders>
              <w:bottom w:val="single" w:sz="8" w:color="231F20"/>
            </w:tcBorders>
          </w:tcPr>
          <w:p>
            <w:pPr>
              <w:spacing w:after="0" w:line="20" w:lineRule="exact"/>
              <w:rPr>
                <w:sz w:val="1"/>
                <w:szCs w:val="1"/>
                <w:color w:val="auto"/>
              </w:rPr>
            </w:pPr>
          </w:p>
        </w:tc>
        <w:tc>
          <w:tcPr>
            <w:tcW w:w="840" w:type="dxa"/>
            <w:vAlign w:val="bottom"/>
            <w:tcBorders>
              <w:bottom w:val="single" w:sz="8" w:color="231F20"/>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Borders>
              <w:bottom w:val="single" w:sz="8" w:color="231F20"/>
            </w:tcBorders>
          </w:tcPr>
          <w:p>
            <w:pPr>
              <w:spacing w:after="0" w:line="20" w:lineRule="exact"/>
              <w:rPr>
                <w:sz w:val="1"/>
                <w:szCs w:val="1"/>
                <w:color w:val="auto"/>
              </w:rPr>
            </w:pPr>
          </w:p>
        </w:tc>
        <w:tc>
          <w:tcPr>
            <w:tcW w:w="160" w:type="dxa"/>
            <w:vAlign w:val="bottom"/>
            <w:tcBorders>
              <w:bottom w:val="single" w:sz="8" w:color="231F20"/>
            </w:tcBorders>
          </w:tcPr>
          <w:p>
            <w:pPr>
              <w:spacing w:after="0" w:line="20" w:lineRule="exact"/>
              <w:rPr>
                <w:sz w:val="1"/>
                <w:szCs w:val="1"/>
                <w:color w:val="auto"/>
              </w:rPr>
            </w:pPr>
          </w:p>
        </w:tc>
        <w:tc>
          <w:tcPr>
            <w:tcW w:w="860" w:type="dxa"/>
            <w:vAlign w:val="bottom"/>
            <w:tcBorders>
              <w:bottom w:val="single" w:sz="8" w:color="231F20"/>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80"/>
        </w:trPr>
        <w:tc>
          <w:tcPr>
            <w:tcW w:w="49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gridSpan w:val="2"/>
          </w:tcPr>
          <w:p>
            <w:pPr>
              <w:spacing w:after="0"/>
              <w:rPr>
                <w:sz w:val="15"/>
                <w:szCs w:val="15"/>
                <w:color w:val="auto"/>
              </w:rPr>
            </w:pPr>
          </w:p>
        </w:tc>
        <w:tc>
          <w:tcPr>
            <w:tcW w:w="100" w:type="dxa"/>
            <w:vAlign w:val="bottom"/>
            <w:gridSpan w:val="2"/>
          </w:tcPr>
          <w:p>
            <w:pPr>
              <w:spacing w:after="0"/>
              <w:rPr>
                <w:sz w:val="15"/>
                <w:szCs w:val="15"/>
                <w:color w:val="auto"/>
              </w:rPr>
            </w:pPr>
          </w:p>
        </w:tc>
        <w:tc>
          <w:tcPr>
            <w:tcW w:w="120" w:type="dxa"/>
            <w:vAlign w:val="bottom"/>
            <w:gridSpan w:val="2"/>
          </w:tcPr>
          <w:p>
            <w:pPr>
              <w:spacing w:after="0"/>
              <w:rPr>
                <w:sz w:val="15"/>
                <w:szCs w:val="15"/>
                <w:color w:val="auto"/>
              </w:rPr>
            </w:pPr>
          </w:p>
        </w:tc>
        <w:tc>
          <w:tcPr>
            <w:tcW w:w="1060" w:type="dxa"/>
            <w:vAlign w:val="bottom"/>
            <w:gridSpan w:val="3"/>
          </w:tcPr>
          <w:p>
            <w:pPr>
              <w:spacing w:after="0"/>
              <w:rPr>
                <w:sz w:val="15"/>
                <w:szCs w:val="15"/>
                <w:color w:val="auto"/>
              </w:rPr>
            </w:pPr>
          </w:p>
        </w:tc>
        <w:tc>
          <w:tcPr>
            <w:tcW w:w="220" w:type="dxa"/>
            <w:vAlign w:val="bottom"/>
            <w:gridSpan w:val="2"/>
          </w:tcPr>
          <w:p>
            <w:pPr>
              <w:spacing w:after="0"/>
              <w:rPr>
                <w:sz w:val="15"/>
                <w:szCs w:val="15"/>
                <w:color w:val="auto"/>
              </w:rPr>
            </w:pPr>
          </w:p>
        </w:tc>
        <w:tc>
          <w:tcPr>
            <w:tcW w:w="1080" w:type="dxa"/>
            <w:vAlign w:val="bottom"/>
            <w:gridSpan w:val="3"/>
          </w:tcPr>
          <w:p>
            <w:pPr>
              <w:spacing w:after="0"/>
              <w:rPr>
                <w:sz w:val="15"/>
                <w:szCs w:val="15"/>
                <w:color w:val="auto"/>
              </w:rPr>
            </w:pPr>
          </w:p>
        </w:tc>
        <w:tc>
          <w:tcPr>
            <w:tcW w:w="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74"/>
        </w:trPr>
        <w:tc>
          <w:tcPr>
            <w:tcW w:w="4900" w:type="dxa"/>
            <w:vAlign w:val="bottom"/>
            <w:tcBorders>
              <w:bottom w:val="single" w:sz="8" w:color="FDFDFC"/>
            </w:tcBorders>
            <w:shd w:val="clear" w:color="auto" w:fill="FDFDFC"/>
          </w:tcPr>
          <w:p>
            <w:pPr>
              <w:spacing w:after="0"/>
              <w:rPr>
                <w:sz w:val="15"/>
                <w:szCs w:val="15"/>
                <w:color w:val="auto"/>
              </w:rPr>
            </w:pPr>
          </w:p>
        </w:tc>
        <w:tc>
          <w:tcPr>
            <w:tcW w:w="140" w:type="dxa"/>
            <w:vAlign w:val="bottom"/>
            <w:tcBorders>
              <w:bottom w:val="single" w:sz="8" w:color="FDFDFC"/>
            </w:tcBorders>
            <w:shd w:val="clear" w:color="auto" w:fill="FDFDFC"/>
          </w:tcPr>
          <w:p>
            <w:pPr>
              <w:spacing w:after="0"/>
              <w:rPr>
                <w:sz w:val="15"/>
                <w:szCs w:val="15"/>
                <w:color w:val="auto"/>
              </w:rPr>
            </w:pPr>
          </w:p>
        </w:tc>
        <w:tc>
          <w:tcPr>
            <w:tcW w:w="60" w:type="dxa"/>
            <w:vAlign w:val="bottom"/>
            <w:tcBorders>
              <w:bottom w:val="single" w:sz="8" w:color="FDFDFC"/>
            </w:tcBorders>
            <w:shd w:val="clear" w:color="auto" w:fill="FDFDFC"/>
          </w:tcPr>
          <w:p>
            <w:pPr>
              <w:spacing w:after="0"/>
              <w:rPr>
                <w:sz w:val="15"/>
                <w:szCs w:val="15"/>
                <w:color w:val="auto"/>
              </w:rPr>
            </w:pPr>
          </w:p>
        </w:tc>
        <w:tc>
          <w:tcPr>
            <w:tcW w:w="80" w:type="dxa"/>
            <w:vAlign w:val="bottom"/>
            <w:tcBorders>
              <w:bottom w:val="single" w:sz="8" w:color="231F20"/>
            </w:tcBorders>
            <w:shd w:val="clear" w:color="auto" w:fill="FDFDFC"/>
          </w:tcPr>
          <w:p>
            <w:pPr>
              <w:spacing w:after="0"/>
              <w:rPr>
                <w:sz w:val="15"/>
                <w:szCs w:val="15"/>
                <w:color w:val="auto"/>
              </w:rPr>
            </w:pPr>
          </w:p>
        </w:tc>
        <w:tc>
          <w:tcPr>
            <w:tcW w:w="180" w:type="dxa"/>
            <w:vAlign w:val="bottom"/>
            <w:tcBorders>
              <w:bottom w:val="single" w:sz="8" w:color="231F20"/>
            </w:tcBorders>
            <w:shd w:val="clear" w:color="auto" w:fill="FDFDFC"/>
          </w:tcPr>
          <w:p>
            <w:pPr>
              <w:spacing w:after="0"/>
              <w:rPr>
                <w:sz w:val="15"/>
                <w:szCs w:val="15"/>
                <w:color w:val="auto"/>
              </w:rPr>
            </w:pPr>
          </w:p>
        </w:tc>
        <w:tc>
          <w:tcPr>
            <w:tcW w:w="3660" w:type="dxa"/>
            <w:vAlign w:val="bottom"/>
            <w:tcBorders>
              <w:bottom w:val="single" w:sz="8" w:color="231F20"/>
            </w:tcBorders>
            <w:gridSpan w:val="15"/>
            <w:shd w:val="clear" w:color="auto" w:fill="FDFDFC"/>
          </w:tcPr>
          <w:p>
            <w:pPr>
              <w:ind w:left="820"/>
              <w:spacing w:after="0"/>
              <w:rPr>
                <w:sz w:val="20"/>
                <w:szCs w:val="20"/>
                <w:color w:val="auto"/>
              </w:rPr>
            </w:pPr>
            <w:r>
              <w:rPr>
                <w:rFonts w:ascii="Times New Roman" w:cs="Times New Roman" w:eastAsia="Times New Roman" w:hAnsi="Times New Roman"/>
                <w:sz w:val="15"/>
                <w:szCs w:val="15"/>
                <w:b w:val="1"/>
                <w:bCs w:val="1"/>
                <w:color w:val="231F20"/>
              </w:rPr>
              <w:t>Fair Value Hierarchy at December 31, 2023</w:t>
            </w:r>
          </w:p>
        </w:tc>
        <w:tc>
          <w:tcPr>
            <w:tcW w:w="60" w:type="dxa"/>
            <w:vAlign w:val="bottom"/>
            <w:tcBorders>
              <w:bottom w:val="single" w:sz="8" w:color="231F20"/>
            </w:tcBorders>
            <w:shd w:val="clear" w:color="auto" w:fill="FDFDFC"/>
          </w:tcPr>
          <w:p>
            <w:pPr>
              <w:spacing w:after="0"/>
              <w:rPr>
                <w:sz w:val="15"/>
                <w:szCs w:val="15"/>
                <w:color w:val="auto"/>
              </w:rPr>
            </w:pPr>
          </w:p>
        </w:tc>
        <w:tc>
          <w:tcPr>
            <w:tcW w:w="160" w:type="dxa"/>
            <w:vAlign w:val="bottom"/>
            <w:tcBorders>
              <w:bottom w:val="single" w:sz="8" w:color="231F20"/>
            </w:tcBorders>
            <w:shd w:val="clear" w:color="auto" w:fill="FDFDFC"/>
          </w:tcPr>
          <w:p>
            <w:pPr>
              <w:spacing w:after="0"/>
              <w:rPr>
                <w:sz w:val="15"/>
                <w:szCs w:val="15"/>
                <w:color w:val="auto"/>
              </w:rPr>
            </w:pPr>
          </w:p>
        </w:tc>
        <w:tc>
          <w:tcPr>
            <w:tcW w:w="860" w:type="dxa"/>
            <w:vAlign w:val="bottom"/>
            <w:tcBorders>
              <w:bottom w:val="single" w:sz="8" w:color="231F20"/>
            </w:tcBorders>
            <w:shd w:val="clear" w:color="auto" w:fill="FDFDFC"/>
          </w:tcPr>
          <w:p>
            <w:pPr>
              <w:spacing w:after="0"/>
              <w:rPr>
                <w:sz w:val="15"/>
                <w:szCs w:val="15"/>
                <w:color w:val="auto"/>
              </w:rPr>
            </w:pPr>
          </w:p>
        </w:tc>
        <w:tc>
          <w:tcPr>
            <w:tcW w:w="100" w:type="dxa"/>
            <w:vAlign w:val="bottom"/>
            <w:tcBorders>
              <w:bottom w:val="single" w:sz="8" w:color="FDFDFC"/>
            </w:tcBorders>
            <w:shd w:val="clear" w:color="auto" w:fill="FDFDFC"/>
          </w:tcPr>
          <w:p>
            <w:pPr>
              <w:spacing w:after="0"/>
              <w:rPr>
                <w:sz w:val="15"/>
                <w:szCs w:val="15"/>
                <w:color w:val="auto"/>
              </w:rPr>
            </w:pPr>
          </w:p>
        </w:tc>
      </w:tr>
      <w:tr>
        <w:trPr>
          <w:trHeight w:val="163"/>
        </w:trPr>
        <w:tc>
          <w:tcPr>
            <w:tcW w:w="4900" w:type="dxa"/>
            <w:vAlign w:val="bottom"/>
            <w:tcBorders>
              <w:bottom w:val="single" w:sz="8" w:color="D0EBF2"/>
            </w:tcBorders>
            <w:shd w:val="clear" w:color="auto" w:fill="FDFDFC"/>
          </w:tcPr>
          <w:p>
            <w:pPr>
              <w:spacing w:after="0"/>
              <w:rPr>
                <w:sz w:val="14"/>
                <w:szCs w:val="14"/>
                <w:color w:val="auto"/>
              </w:rPr>
            </w:pPr>
          </w:p>
        </w:tc>
        <w:tc>
          <w:tcPr>
            <w:tcW w:w="140" w:type="dxa"/>
            <w:vAlign w:val="bottom"/>
            <w:tcBorders>
              <w:bottom w:val="single" w:sz="8" w:color="D0EBF2"/>
            </w:tcBorders>
            <w:shd w:val="clear" w:color="auto" w:fill="FDFDFC"/>
          </w:tcPr>
          <w:p>
            <w:pPr>
              <w:spacing w:after="0"/>
              <w:rPr>
                <w:sz w:val="14"/>
                <w:szCs w:val="14"/>
                <w:color w:val="auto"/>
              </w:rPr>
            </w:pPr>
          </w:p>
        </w:tc>
        <w:tc>
          <w:tcPr>
            <w:tcW w:w="60" w:type="dxa"/>
            <w:vAlign w:val="bottom"/>
            <w:tcBorders>
              <w:bottom w:val="single" w:sz="8" w:color="D0EBF2"/>
            </w:tcBorders>
            <w:shd w:val="clear" w:color="auto" w:fill="FDFDFC"/>
          </w:tcPr>
          <w:p>
            <w:pPr>
              <w:spacing w:after="0"/>
              <w:rPr>
                <w:sz w:val="14"/>
                <w:szCs w:val="14"/>
                <w:color w:val="auto"/>
              </w:rPr>
            </w:pPr>
          </w:p>
        </w:tc>
        <w:tc>
          <w:tcPr>
            <w:tcW w:w="80" w:type="dxa"/>
            <w:vAlign w:val="bottom"/>
            <w:tcBorders>
              <w:bottom w:val="single" w:sz="8" w:color="231F20"/>
            </w:tcBorders>
            <w:shd w:val="clear" w:color="auto" w:fill="FDFDFC"/>
          </w:tcPr>
          <w:p>
            <w:pPr>
              <w:spacing w:after="0"/>
              <w:rPr>
                <w:sz w:val="14"/>
                <w:szCs w:val="14"/>
                <w:color w:val="auto"/>
              </w:rPr>
            </w:pPr>
          </w:p>
        </w:tc>
        <w:tc>
          <w:tcPr>
            <w:tcW w:w="180" w:type="dxa"/>
            <w:vAlign w:val="bottom"/>
            <w:tcBorders>
              <w:bottom w:val="single" w:sz="8" w:color="231F20"/>
            </w:tcBorders>
            <w:shd w:val="clear" w:color="auto" w:fill="FDFDFC"/>
          </w:tcPr>
          <w:p>
            <w:pPr>
              <w:spacing w:after="0"/>
              <w:rPr>
                <w:sz w:val="14"/>
                <w:szCs w:val="14"/>
                <w:color w:val="auto"/>
              </w:rPr>
            </w:pPr>
          </w:p>
        </w:tc>
        <w:tc>
          <w:tcPr>
            <w:tcW w:w="900" w:type="dxa"/>
            <w:vAlign w:val="bottom"/>
            <w:tcBorders>
              <w:bottom w:val="single" w:sz="8" w:color="231F20"/>
            </w:tcBorders>
            <w:gridSpan w:val="2"/>
            <w:shd w:val="clear" w:color="auto" w:fill="FDFDFC"/>
          </w:tcPr>
          <w:p>
            <w:pPr>
              <w:jc w:val="right"/>
              <w:ind w:right="284"/>
              <w:spacing w:after="0" w:line="164" w:lineRule="exact"/>
              <w:rPr>
                <w:sz w:val="20"/>
                <w:szCs w:val="20"/>
                <w:color w:val="auto"/>
              </w:rPr>
            </w:pPr>
            <w:r>
              <w:rPr>
                <w:rFonts w:ascii="Times New Roman" w:cs="Times New Roman" w:eastAsia="Times New Roman" w:hAnsi="Times New Roman"/>
                <w:sz w:val="15"/>
                <w:szCs w:val="15"/>
                <w:b w:val="1"/>
                <w:bCs w:val="1"/>
                <w:color w:val="231F20"/>
              </w:rPr>
              <w:t>Level 1</w:t>
            </w:r>
          </w:p>
        </w:tc>
        <w:tc>
          <w:tcPr>
            <w:tcW w:w="40" w:type="dxa"/>
            <w:vAlign w:val="bottom"/>
            <w:tcBorders>
              <w:bottom w:val="single" w:sz="8" w:color="D0EBF2"/>
            </w:tcBorders>
            <w:shd w:val="clear" w:color="auto" w:fill="FDFDFC"/>
          </w:tcPr>
          <w:p>
            <w:pPr>
              <w:spacing w:after="0"/>
              <w:rPr>
                <w:sz w:val="14"/>
                <w:szCs w:val="14"/>
                <w:color w:val="auto"/>
              </w:rPr>
            </w:pPr>
          </w:p>
        </w:tc>
        <w:tc>
          <w:tcPr>
            <w:tcW w:w="60" w:type="dxa"/>
            <w:vAlign w:val="bottom"/>
            <w:tcBorders>
              <w:bottom w:val="single" w:sz="8" w:color="D0EBF2"/>
            </w:tcBorders>
            <w:shd w:val="clear" w:color="auto" w:fill="FDFDFC"/>
          </w:tcPr>
          <w:p>
            <w:pPr>
              <w:spacing w:after="0"/>
              <w:rPr>
                <w:sz w:val="14"/>
                <w:szCs w:val="14"/>
                <w:color w:val="auto"/>
              </w:rPr>
            </w:pPr>
          </w:p>
        </w:tc>
        <w:tc>
          <w:tcPr>
            <w:tcW w:w="80" w:type="dxa"/>
            <w:vAlign w:val="bottom"/>
            <w:tcBorders>
              <w:bottom w:val="single" w:sz="8" w:color="D0EBF2"/>
            </w:tcBorders>
            <w:shd w:val="clear" w:color="auto" w:fill="FDFDFC"/>
          </w:tcPr>
          <w:p>
            <w:pPr>
              <w:spacing w:after="0"/>
              <w:rPr>
                <w:sz w:val="14"/>
                <w:szCs w:val="14"/>
                <w:color w:val="auto"/>
              </w:rPr>
            </w:pPr>
          </w:p>
        </w:tc>
        <w:tc>
          <w:tcPr>
            <w:tcW w:w="40" w:type="dxa"/>
            <w:vAlign w:val="bottom"/>
            <w:tcBorders>
              <w:bottom w:val="single" w:sz="8" w:color="D0EBF2"/>
            </w:tcBorders>
            <w:shd w:val="clear" w:color="auto" w:fill="FDFDFC"/>
          </w:tcPr>
          <w:p>
            <w:pPr>
              <w:spacing w:after="0"/>
              <w:rPr>
                <w:sz w:val="14"/>
                <w:szCs w:val="14"/>
                <w:color w:val="auto"/>
              </w:rPr>
            </w:pPr>
          </w:p>
        </w:tc>
        <w:tc>
          <w:tcPr>
            <w:tcW w:w="160" w:type="dxa"/>
            <w:vAlign w:val="bottom"/>
            <w:tcBorders>
              <w:bottom w:val="single" w:sz="8" w:color="231F20"/>
            </w:tcBorders>
            <w:shd w:val="clear" w:color="auto" w:fill="FDFDFC"/>
          </w:tcPr>
          <w:p>
            <w:pPr>
              <w:spacing w:after="0"/>
              <w:rPr>
                <w:sz w:val="14"/>
                <w:szCs w:val="14"/>
                <w:color w:val="auto"/>
              </w:rPr>
            </w:pPr>
          </w:p>
        </w:tc>
        <w:tc>
          <w:tcPr>
            <w:tcW w:w="900" w:type="dxa"/>
            <w:vAlign w:val="bottom"/>
            <w:tcBorders>
              <w:bottom w:val="single" w:sz="8" w:color="231F20"/>
            </w:tcBorders>
            <w:gridSpan w:val="2"/>
            <w:shd w:val="clear" w:color="auto" w:fill="FDFDFC"/>
          </w:tcPr>
          <w:p>
            <w:pPr>
              <w:jc w:val="right"/>
              <w:ind w:right="300"/>
              <w:spacing w:after="0" w:line="164" w:lineRule="exact"/>
              <w:rPr>
                <w:sz w:val="20"/>
                <w:szCs w:val="20"/>
                <w:color w:val="auto"/>
              </w:rPr>
            </w:pPr>
            <w:r>
              <w:rPr>
                <w:rFonts w:ascii="Times New Roman" w:cs="Times New Roman" w:eastAsia="Times New Roman" w:hAnsi="Times New Roman"/>
                <w:sz w:val="15"/>
                <w:szCs w:val="15"/>
                <w:b w:val="1"/>
                <w:bCs w:val="1"/>
                <w:color w:val="231F20"/>
              </w:rPr>
              <w:t>Level 2</w:t>
            </w:r>
          </w:p>
        </w:tc>
        <w:tc>
          <w:tcPr>
            <w:tcW w:w="140" w:type="dxa"/>
            <w:vAlign w:val="bottom"/>
            <w:tcBorders>
              <w:bottom w:val="single" w:sz="8" w:color="D0EBF2"/>
            </w:tcBorders>
            <w:shd w:val="clear" w:color="auto" w:fill="FDFDFC"/>
          </w:tcPr>
          <w:p>
            <w:pPr>
              <w:spacing w:after="0"/>
              <w:rPr>
                <w:sz w:val="14"/>
                <w:szCs w:val="14"/>
                <w:color w:val="auto"/>
              </w:rPr>
            </w:pPr>
          </w:p>
        </w:tc>
        <w:tc>
          <w:tcPr>
            <w:tcW w:w="80" w:type="dxa"/>
            <w:vAlign w:val="bottom"/>
            <w:tcBorders>
              <w:bottom w:val="single" w:sz="8" w:color="D0EBF2"/>
            </w:tcBorders>
            <w:shd w:val="clear" w:color="auto" w:fill="FDFDFC"/>
          </w:tcPr>
          <w:p>
            <w:pPr>
              <w:spacing w:after="0"/>
              <w:rPr>
                <w:sz w:val="14"/>
                <w:szCs w:val="14"/>
                <w:color w:val="auto"/>
              </w:rPr>
            </w:pPr>
          </w:p>
        </w:tc>
        <w:tc>
          <w:tcPr>
            <w:tcW w:w="180" w:type="dxa"/>
            <w:vAlign w:val="bottom"/>
            <w:tcBorders>
              <w:bottom w:val="single" w:sz="8" w:color="231F20"/>
            </w:tcBorders>
            <w:shd w:val="clear" w:color="auto" w:fill="FDFDFC"/>
          </w:tcPr>
          <w:p>
            <w:pPr>
              <w:spacing w:after="0"/>
              <w:rPr>
                <w:sz w:val="14"/>
                <w:szCs w:val="14"/>
                <w:color w:val="auto"/>
              </w:rPr>
            </w:pPr>
          </w:p>
        </w:tc>
        <w:tc>
          <w:tcPr>
            <w:tcW w:w="900" w:type="dxa"/>
            <w:vAlign w:val="bottom"/>
            <w:tcBorders>
              <w:bottom w:val="single" w:sz="8" w:color="231F20"/>
            </w:tcBorders>
            <w:gridSpan w:val="2"/>
            <w:shd w:val="clear" w:color="auto" w:fill="FDFDFC"/>
          </w:tcPr>
          <w:p>
            <w:pPr>
              <w:jc w:val="right"/>
              <w:ind w:right="300"/>
              <w:spacing w:after="0" w:line="164" w:lineRule="exact"/>
              <w:rPr>
                <w:sz w:val="20"/>
                <w:szCs w:val="20"/>
                <w:color w:val="auto"/>
              </w:rPr>
            </w:pPr>
            <w:r>
              <w:rPr>
                <w:rFonts w:ascii="Times New Roman" w:cs="Times New Roman" w:eastAsia="Times New Roman" w:hAnsi="Times New Roman"/>
                <w:sz w:val="15"/>
                <w:szCs w:val="15"/>
                <w:b w:val="1"/>
                <w:bCs w:val="1"/>
                <w:color w:val="231F20"/>
              </w:rPr>
              <w:t>Level 3</w:t>
            </w:r>
          </w:p>
        </w:tc>
        <w:tc>
          <w:tcPr>
            <w:tcW w:w="180" w:type="dxa"/>
            <w:vAlign w:val="bottom"/>
            <w:tcBorders>
              <w:bottom w:val="single" w:sz="8" w:color="D0EBF2"/>
            </w:tcBorders>
            <w:shd w:val="clear" w:color="auto" w:fill="FDFDFC"/>
          </w:tcPr>
          <w:p>
            <w:pPr>
              <w:spacing w:after="0"/>
              <w:rPr>
                <w:sz w:val="14"/>
                <w:szCs w:val="14"/>
                <w:color w:val="auto"/>
              </w:rPr>
            </w:pPr>
          </w:p>
        </w:tc>
        <w:tc>
          <w:tcPr>
            <w:tcW w:w="60" w:type="dxa"/>
            <w:vAlign w:val="bottom"/>
            <w:tcBorders>
              <w:bottom w:val="single" w:sz="8" w:color="D0EBF2"/>
            </w:tcBorders>
            <w:shd w:val="clear" w:color="auto" w:fill="FDFDFC"/>
          </w:tcPr>
          <w:p>
            <w:pPr>
              <w:spacing w:after="0"/>
              <w:rPr>
                <w:sz w:val="14"/>
                <w:szCs w:val="14"/>
                <w:color w:val="auto"/>
              </w:rPr>
            </w:pPr>
          </w:p>
        </w:tc>
        <w:tc>
          <w:tcPr>
            <w:tcW w:w="160" w:type="dxa"/>
            <w:vAlign w:val="bottom"/>
            <w:tcBorders>
              <w:bottom w:val="single" w:sz="8" w:color="231F20"/>
            </w:tcBorders>
            <w:shd w:val="clear" w:color="auto" w:fill="FDFDFC"/>
          </w:tcPr>
          <w:p>
            <w:pPr>
              <w:spacing w:after="0"/>
              <w:rPr>
                <w:sz w:val="14"/>
                <w:szCs w:val="14"/>
                <w:color w:val="auto"/>
              </w:rPr>
            </w:pPr>
          </w:p>
        </w:tc>
        <w:tc>
          <w:tcPr>
            <w:tcW w:w="860" w:type="dxa"/>
            <w:vAlign w:val="bottom"/>
            <w:tcBorders>
              <w:bottom w:val="single" w:sz="8" w:color="231F20"/>
            </w:tcBorders>
            <w:shd w:val="clear" w:color="auto" w:fill="FDFDFC"/>
          </w:tcPr>
          <w:p>
            <w:pPr>
              <w:jc w:val="right"/>
              <w:ind w:right="248"/>
              <w:spacing w:after="0" w:line="164" w:lineRule="exact"/>
              <w:rPr>
                <w:sz w:val="20"/>
                <w:szCs w:val="20"/>
                <w:color w:val="auto"/>
              </w:rPr>
            </w:pPr>
            <w:r>
              <w:rPr>
                <w:rFonts w:ascii="Times New Roman" w:cs="Times New Roman" w:eastAsia="Times New Roman" w:hAnsi="Times New Roman"/>
                <w:sz w:val="15"/>
                <w:szCs w:val="15"/>
                <w:b w:val="1"/>
                <w:bCs w:val="1"/>
                <w:color w:val="231F20"/>
              </w:rPr>
              <w:t>Total</w:t>
            </w:r>
          </w:p>
        </w:tc>
        <w:tc>
          <w:tcPr>
            <w:tcW w:w="100" w:type="dxa"/>
            <w:vAlign w:val="bottom"/>
            <w:tcBorders>
              <w:bottom w:val="single" w:sz="8" w:color="D0EBF2"/>
            </w:tcBorders>
            <w:shd w:val="clear" w:color="auto" w:fill="FDFDFC"/>
          </w:tcPr>
          <w:p>
            <w:pPr>
              <w:spacing w:after="0"/>
              <w:rPr>
                <w:sz w:val="14"/>
                <w:szCs w:val="14"/>
                <w:color w:val="auto"/>
              </w:rPr>
            </w:pPr>
          </w:p>
        </w:tc>
      </w:tr>
      <w:tr>
        <w:trPr>
          <w:trHeight w:val="207"/>
        </w:trPr>
        <w:tc>
          <w:tcPr>
            <w:tcW w:w="4900" w:type="dxa"/>
            <w:vAlign w:val="bottom"/>
            <w:shd w:val="clear" w:color="auto" w:fill="D0EBF2"/>
          </w:tcPr>
          <w:p>
            <w:pPr>
              <w:spacing w:after="0" w:line="207" w:lineRule="exact"/>
              <w:rPr>
                <w:sz w:val="20"/>
                <w:szCs w:val="20"/>
                <w:color w:val="auto"/>
              </w:rPr>
            </w:pPr>
            <w:r>
              <w:rPr>
                <w:rFonts w:ascii="Times New Roman" w:cs="Times New Roman" w:eastAsia="Times New Roman" w:hAnsi="Times New Roman"/>
                <w:sz w:val="19"/>
                <w:szCs w:val="19"/>
                <w:color w:val="231F20"/>
              </w:rPr>
              <w:t>First-lien debt investments</w:t>
            </w:r>
          </w:p>
        </w:tc>
        <w:tc>
          <w:tcPr>
            <w:tcW w:w="140" w:type="dxa"/>
            <w:vAlign w:val="bottom"/>
            <w:shd w:val="clear" w:color="auto" w:fill="D0EBF2"/>
          </w:tcPr>
          <w:p>
            <w:pPr>
              <w:spacing w:after="0"/>
              <w:rPr>
                <w:sz w:val="17"/>
                <w:szCs w:val="17"/>
                <w:color w:val="auto"/>
              </w:rPr>
            </w:pPr>
          </w:p>
        </w:tc>
        <w:tc>
          <w:tcPr>
            <w:tcW w:w="60" w:type="dxa"/>
            <w:vAlign w:val="bottom"/>
            <w:shd w:val="clear" w:color="auto" w:fill="D0EBF2"/>
          </w:tcPr>
          <w:p>
            <w:pPr>
              <w:spacing w:after="0"/>
              <w:rPr>
                <w:sz w:val="17"/>
                <w:szCs w:val="17"/>
                <w:color w:val="auto"/>
              </w:rPr>
            </w:pPr>
          </w:p>
        </w:tc>
        <w:tc>
          <w:tcPr>
            <w:tcW w:w="260" w:type="dxa"/>
            <w:vAlign w:val="bottom"/>
            <w:gridSpan w:val="2"/>
            <w:shd w:val="clear" w:color="auto" w:fill="D0EBF2"/>
          </w:tcPr>
          <w:p>
            <w:pPr>
              <w:jc w:val="right"/>
              <w:ind w:right="76"/>
              <w:spacing w:after="0" w:line="207" w:lineRule="exact"/>
              <w:rPr>
                <w:sz w:val="20"/>
                <w:szCs w:val="20"/>
                <w:color w:val="auto"/>
              </w:rPr>
            </w:pPr>
            <w:r>
              <w:rPr>
                <w:rFonts w:ascii="Times New Roman" w:cs="Times New Roman" w:eastAsia="Times New Roman" w:hAnsi="Times New Roman"/>
                <w:sz w:val="19"/>
                <w:szCs w:val="19"/>
                <w:color w:val="231F20"/>
                <w:w w:val="83"/>
              </w:rPr>
              <w:t>$</w:t>
            </w:r>
          </w:p>
        </w:tc>
        <w:tc>
          <w:tcPr>
            <w:tcW w:w="900" w:type="dxa"/>
            <w:vAlign w:val="bottom"/>
            <w:gridSpan w:val="2"/>
            <w:shd w:val="clear" w:color="auto" w:fill="D0EBF2"/>
          </w:tcPr>
          <w:p>
            <w:pPr>
              <w:jc w:val="right"/>
              <w:spacing w:after="0" w:line="207" w:lineRule="exact"/>
              <w:rPr>
                <w:sz w:val="20"/>
                <w:szCs w:val="20"/>
                <w:color w:val="auto"/>
              </w:rPr>
            </w:pPr>
            <w:r>
              <w:rPr>
                <w:rFonts w:ascii="Times New Roman" w:cs="Times New Roman" w:eastAsia="Times New Roman" w:hAnsi="Times New Roman"/>
                <w:sz w:val="19"/>
                <w:szCs w:val="19"/>
                <w:color w:val="231F20"/>
              </w:rPr>
              <w:t>—</w:t>
            </w:r>
          </w:p>
        </w:tc>
        <w:tc>
          <w:tcPr>
            <w:tcW w:w="40" w:type="dxa"/>
            <w:vAlign w:val="bottom"/>
            <w:shd w:val="clear" w:color="auto" w:fill="D0EBF2"/>
          </w:tcPr>
          <w:p>
            <w:pPr>
              <w:spacing w:after="0"/>
              <w:rPr>
                <w:sz w:val="17"/>
                <w:szCs w:val="17"/>
                <w:color w:val="auto"/>
              </w:rPr>
            </w:pPr>
          </w:p>
        </w:tc>
        <w:tc>
          <w:tcPr>
            <w:tcW w:w="60" w:type="dxa"/>
            <w:vAlign w:val="bottom"/>
            <w:shd w:val="clear" w:color="auto" w:fill="D0EBF2"/>
          </w:tcPr>
          <w:p>
            <w:pPr>
              <w:spacing w:after="0"/>
              <w:rPr>
                <w:sz w:val="17"/>
                <w:szCs w:val="17"/>
                <w:color w:val="auto"/>
              </w:rPr>
            </w:pPr>
          </w:p>
        </w:tc>
        <w:tc>
          <w:tcPr>
            <w:tcW w:w="120" w:type="dxa"/>
            <w:vAlign w:val="bottom"/>
            <w:gridSpan w:val="2"/>
            <w:shd w:val="clear" w:color="auto" w:fill="D0EBF2"/>
          </w:tcPr>
          <w:p>
            <w:pPr>
              <w:spacing w:after="0"/>
              <w:rPr>
                <w:sz w:val="17"/>
                <w:szCs w:val="17"/>
                <w:color w:val="auto"/>
              </w:rPr>
            </w:pPr>
          </w:p>
        </w:tc>
        <w:tc>
          <w:tcPr>
            <w:tcW w:w="160" w:type="dxa"/>
            <w:vAlign w:val="bottom"/>
            <w:shd w:val="clear" w:color="auto" w:fill="D0EBF2"/>
          </w:tcPr>
          <w:p>
            <w:pPr>
              <w:jc w:val="right"/>
              <w:spacing w:after="0" w:line="207" w:lineRule="exact"/>
              <w:rPr>
                <w:sz w:val="20"/>
                <w:szCs w:val="20"/>
                <w:color w:val="auto"/>
              </w:rPr>
            </w:pPr>
            <w:r>
              <w:rPr>
                <w:rFonts w:ascii="Times New Roman" w:cs="Times New Roman" w:eastAsia="Times New Roman" w:hAnsi="Times New Roman"/>
                <w:sz w:val="19"/>
                <w:szCs w:val="19"/>
                <w:color w:val="231F20"/>
                <w:w w:val="83"/>
              </w:rPr>
              <w:t>$</w:t>
            </w:r>
          </w:p>
        </w:tc>
        <w:tc>
          <w:tcPr>
            <w:tcW w:w="900" w:type="dxa"/>
            <w:vAlign w:val="bottom"/>
            <w:gridSpan w:val="2"/>
            <w:shd w:val="clear" w:color="auto" w:fill="D0EBF2"/>
          </w:tcPr>
          <w:p>
            <w:pPr>
              <w:jc w:val="right"/>
              <w:ind w:right="20"/>
              <w:spacing w:after="0" w:line="207" w:lineRule="exact"/>
              <w:rPr>
                <w:sz w:val="20"/>
                <w:szCs w:val="20"/>
                <w:color w:val="auto"/>
              </w:rPr>
            </w:pPr>
            <w:r>
              <w:rPr>
                <w:rFonts w:ascii="Times New Roman" w:cs="Times New Roman" w:eastAsia="Times New Roman" w:hAnsi="Times New Roman"/>
                <w:sz w:val="19"/>
                <w:szCs w:val="19"/>
                <w:color w:val="231F20"/>
              </w:rPr>
              <w:t>2,391</w:t>
            </w:r>
          </w:p>
        </w:tc>
        <w:tc>
          <w:tcPr>
            <w:tcW w:w="140" w:type="dxa"/>
            <w:vAlign w:val="bottom"/>
            <w:shd w:val="clear" w:color="auto" w:fill="D0EBF2"/>
          </w:tcPr>
          <w:p>
            <w:pPr>
              <w:spacing w:after="0"/>
              <w:rPr>
                <w:sz w:val="17"/>
                <w:szCs w:val="17"/>
                <w:color w:val="auto"/>
              </w:rPr>
            </w:pPr>
          </w:p>
        </w:tc>
        <w:tc>
          <w:tcPr>
            <w:tcW w:w="80" w:type="dxa"/>
            <w:vAlign w:val="bottom"/>
            <w:shd w:val="clear" w:color="auto" w:fill="D0EBF2"/>
          </w:tcPr>
          <w:p>
            <w:pPr>
              <w:spacing w:after="0"/>
              <w:rPr>
                <w:sz w:val="17"/>
                <w:szCs w:val="17"/>
                <w:color w:val="auto"/>
              </w:rPr>
            </w:pPr>
          </w:p>
        </w:tc>
        <w:tc>
          <w:tcPr>
            <w:tcW w:w="180" w:type="dxa"/>
            <w:vAlign w:val="bottom"/>
            <w:shd w:val="clear" w:color="auto" w:fill="D0EBF2"/>
          </w:tcPr>
          <w:p>
            <w:pPr>
              <w:jc w:val="right"/>
              <w:spacing w:after="0" w:line="207" w:lineRule="exact"/>
              <w:rPr>
                <w:sz w:val="20"/>
                <w:szCs w:val="20"/>
                <w:color w:val="auto"/>
              </w:rPr>
            </w:pPr>
            <w:r>
              <w:rPr>
                <w:rFonts w:ascii="Times New Roman" w:cs="Times New Roman" w:eastAsia="Times New Roman" w:hAnsi="Times New Roman"/>
                <w:sz w:val="19"/>
                <w:szCs w:val="19"/>
                <w:color w:val="231F20"/>
                <w:w w:val="83"/>
                <w:shd w:val="clear" w:color="auto" w:fill="D0EBF2"/>
              </w:rPr>
              <w:t>$</w:t>
            </w:r>
          </w:p>
        </w:tc>
        <w:tc>
          <w:tcPr>
            <w:tcW w:w="900" w:type="dxa"/>
            <w:vAlign w:val="bottom"/>
            <w:gridSpan w:val="2"/>
            <w:shd w:val="clear" w:color="auto" w:fill="D0EBF2"/>
          </w:tcPr>
          <w:p>
            <w:pPr>
              <w:jc w:val="right"/>
              <w:ind w:right="20"/>
              <w:spacing w:after="0" w:line="207" w:lineRule="exact"/>
              <w:rPr>
                <w:sz w:val="20"/>
                <w:szCs w:val="20"/>
                <w:color w:val="auto"/>
              </w:rPr>
            </w:pPr>
            <w:r>
              <w:rPr>
                <w:rFonts w:ascii="Times New Roman" w:cs="Times New Roman" w:eastAsia="Times New Roman" w:hAnsi="Times New Roman"/>
                <w:sz w:val="19"/>
                <w:szCs w:val="19"/>
                <w:color w:val="231F20"/>
                <w:shd w:val="clear" w:color="auto" w:fill="D0EBF2"/>
              </w:rPr>
              <w:t>2,993,786</w:t>
            </w:r>
          </w:p>
        </w:tc>
        <w:tc>
          <w:tcPr>
            <w:tcW w:w="180" w:type="dxa"/>
            <w:vAlign w:val="bottom"/>
            <w:shd w:val="clear" w:color="auto" w:fill="D0EBF2"/>
          </w:tcPr>
          <w:p>
            <w:pPr>
              <w:spacing w:after="0"/>
              <w:rPr>
                <w:sz w:val="17"/>
                <w:szCs w:val="17"/>
                <w:color w:val="auto"/>
              </w:rPr>
            </w:pPr>
          </w:p>
        </w:tc>
        <w:tc>
          <w:tcPr>
            <w:tcW w:w="60" w:type="dxa"/>
            <w:vAlign w:val="bottom"/>
            <w:shd w:val="clear" w:color="auto" w:fill="D0EBF2"/>
          </w:tcPr>
          <w:p>
            <w:pPr>
              <w:spacing w:after="0"/>
              <w:rPr>
                <w:sz w:val="17"/>
                <w:szCs w:val="17"/>
                <w:color w:val="auto"/>
              </w:rPr>
            </w:pPr>
          </w:p>
        </w:tc>
        <w:tc>
          <w:tcPr>
            <w:tcW w:w="160" w:type="dxa"/>
            <w:vAlign w:val="bottom"/>
            <w:shd w:val="clear" w:color="auto" w:fill="D0EBF2"/>
          </w:tcPr>
          <w:p>
            <w:pPr>
              <w:jc w:val="right"/>
              <w:spacing w:after="0"/>
              <w:rPr>
                <w:sz w:val="20"/>
                <w:szCs w:val="20"/>
                <w:color w:val="auto"/>
              </w:rPr>
            </w:pPr>
            <w:r>
              <w:rPr>
                <w:rFonts w:ascii="Times New Roman" w:cs="Times New Roman" w:eastAsia="Times New Roman" w:hAnsi="Times New Roman"/>
                <w:sz w:val="17"/>
                <w:szCs w:val="17"/>
                <w:color w:val="231F20"/>
                <w:w w:val="70"/>
                <w:shd w:val="clear" w:color="auto" w:fill="D0EBF2"/>
              </w:rPr>
              <w:t>$</w:t>
            </w:r>
          </w:p>
        </w:tc>
        <w:tc>
          <w:tcPr>
            <w:tcW w:w="860" w:type="dxa"/>
            <w:vAlign w:val="bottom"/>
            <w:shd w:val="clear" w:color="auto" w:fill="D0EBF2"/>
          </w:tcPr>
          <w:p>
            <w:pPr>
              <w:jc w:val="right"/>
              <w:spacing w:after="0" w:line="207" w:lineRule="exact"/>
              <w:rPr>
                <w:sz w:val="20"/>
                <w:szCs w:val="20"/>
                <w:color w:val="auto"/>
              </w:rPr>
            </w:pPr>
            <w:r>
              <w:rPr>
                <w:rFonts w:ascii="Times New Roman" w:cs="Times New Roman" w:eastAsia="Times New Roman" w:hAnsi="Times New Roman"/>
                <w:sz w:val="19"/>
                <w:szCs w:val="19"/>
                <w:color w:val="231F20"/>
                <w:shd w:val="clear" w:color="auto" w:fill="D0EBF2"/>
              </w:rPr>
              <w:t>2,996,177</w:t>
            </w:r>
          </w:p>
        </w:tc>
        <w:tc>
          <w:tcPr>
            <w:tcW w:w="100" w:type="dxa"/>
            <w:vAlign w:val="bottom"/>
            <w:shd w:val="clear" w:color="auto" w:fill="D0EBF2"/>
          </w:tcPr>
          <w:p>
            <w:pPr>
              <w:spacing w:after="0"/>
              <w:rPr>
                <w:sz w:val="17"/>
                <w:szCs w:val="17"/>
                <w:color w:val="auto"/>
              </w:rPr>
            </w:pPr>
          </w:p>
        </w:tc>
      </w:tr>
      <w:tr>
        <w:trPr>
          <w:trHeight w:val="217"/>
        </w:trPr>
        <w:tc>
          <w:tcPr>
            <w:tcW w:w="4900" w:type="dxa"/>
            <w:vAlign w:val="bottom"/>
            <w:shd w:val="clear" w:color="auto" w:fill="FDFDFC"/>
          </w:tcPr>
          <w:p>
            <w:pPr>
              <w:spacing w:after="0" w:line="217" w:lineRule="exact"/>
              <w:rPr>
                <w:sz w:val="20"/>
                <w:szCs w:val="20"/>
                <w:color w:val="auto"/>
              </w:rPr>
            </w:pPr>
            <w:r>
              <w:rPr>
                <w:rFonts w:ascii="Times New Roman" w:cs="Times New Roman" w:eastAsia="Times New Roman" w:hAnsi="Times New Roman"/>
                <w:sz w:val="19"/>
                <w:szCs w:val="19"/>
                <w:color w:val="231F20"/>
              </w:rPr>
              <w:t>Second-lien debt investments</w:t>
            </w:r>
          </w:p>
        </w:tc>
        <w:tc>
          <w:tcPr>
            <w:tcW w:w="140" w:type="dxa"/>
            <w:vAlign w:val="bottom"/>
            <w:shd w:val="clear" w:color="auto" w:fill="FDFDFC"/>
          </w:tcPr>
          <w:p>
            <w:pPr>
              <w:spacing w:after="0"/>
              <w:rPr>
                <w:sz w:val="18"/>
                <w:szCs w:val="18"/>
                <w:color w:val="auto"/>
              </w:rPr>
            </w:pPr>
          </w:p>
        </w:tc>
        <w:tc>
          <w:tcPr>
            <w:tcW w:w="60" w:type="dxa"/>
            <w:vAlign w:val="bottom"/>
            <w:shd w:val="clear" w:color="auto" w:fill="FDFDFC"/>
          </w:tcPr>
          <w:p>
            <w:pPr>
              <w:spacing w:after="0"/>
              <w:rPr>
                <w:sz w:val="18"/>
                <w:szCs w:val="18"/>
                <w:color w:val="auto"/>
              </w:rPr>
            </w:pPr>
          </w:p>
        </w:tc>
        <w:tc>
          <w:tcPr>
            <w:tcW w:w="80" w:type="dxa"/>
            <w:vAlign w:val="bottom"/>
            <w:shd w:val="clear" w:color="auto" w:fill="FDFDFC"/>
          </w:tcPr>
          <w:p>
            <w:pPr>
              <w:spacing w:after="0"/>
              <w:rPr>
                <w:sz w:val="18"/>
                <w:szCs w:val="18"/>
                <w:color w:val="auto"/>
              </w:rPr>
            </w:pPr>
          </w:p>
        </w:tc>
        <w:tc>
          <w:tcPr>
            <w:tcW w:w="180" w:type="dxa"/>
            <w:vAlign w:val="bottom"/>
            <w:shd w:val="clear" w:color="auto" w:fill="FDFDFC"/>
          </w:tcPr>
          <w:p>
            <w:pPr>
              <w:spacing w:after="0"/>
              <w:rPr>
                <w:sz w:val="18"/>
                <w:szCs w:val="18"/>
                <w:color w:val="auto"/>
              </w:rPr>
            </w:pPr>
          </w:p>
        </w:tc>
        <w:tc>
          <w:tcPr>
            <w:tcW w:w="900" w:type="dxa"/>
            <w:vAlign w:val="bottom"/>
            <w:gridSpan w:val="2"/>
            <w:shd w:val="clear" w:color="auto" w:fill="FDFDFC"/>
          </w:tcPr>
          <w:p>
            <w:pPr>
              <w:jc w:val="right"/>
              <w:spacing w:after="0" w:line="217" w:lineRule="exact"/>
              <w:rPr>
                <w:sz w:val="20"/>
                <w:szCs w:val="20"/>
                <w:color w:val="auto"/>
              </w:rPr>
            </w:pPr>
            <w:r>
              <w:rPr>
                <w:rFonts w:ascii="Times New Roman" w:cs="Times New Roman" w:eastAsia="Times New Roman" w:hAnsi="Times New Roman"/>
                <w:sz w:val="19"/>
                <w:szCs w:val="19"/>
                <w:color w:val="231F20"/>
              </w:rPr>
              <w:t>—</w:t>
            </w:r>
          </w:p>
        </w:tc>
        <w:tc>
          <w:tcPr>
            <w:tcW w:w="40" w:type="dxa"/>
            <w:vAlign w:val="bottom"/>
            <w:shd w:val="clear" w:color="auto" w:fill="FDFDFC"/>
          </w:tcPr>
          <w:p>
            <w:pPr>
              <w:spacing w:after="0"/>
              <w:rPr>
                <w:sz w:val="18"/>
                <w:szCs w:val="18"/>
                <w:color w:val="auto"/>
              </w:rPr>
            </w:pPr>
          </w:p>
        </w:tc>
        <w:tc>
          <w:tcPr>
            <w:tcW w:w="60" w:type="dxa"/>
            <w:vAlign w:val="bottom"/>
            <w:shd w:val="clear" w:color="auto" w:fill="FDFDFC"/>
          </w:tcPr>
          <w:p>
            <w:pPr>
              <w:spacing w:after="0"/>
              <w:rPr>
                <w:sz w:val="18"/>
                <w:szCs w:val="18"/>
                <w:color w:val="auto"/>
              </w:rPr>
            </w:pPr>
          </w:p>
        </w:tc>
        <w:tc>
          <w:tcPr>
            <w:tcW w:w="80" w:type="dxa"/>
            <w:vAlign w:val="bottom"/>
            <w:shd w:val="clear" w:color="auto" w:fill="FDFDFC"/>
          </w:tcPr>
          <w:p>
            <w:pPr>
              <w:spacing w:after="0"/>
              <w:rPr>
                <w:sz w:val="18"/>
                <w:szCs w:val="18"/>
                <w:color w:val="auto"/>
              </w:rPr>
            </w:pPr>
          </w:p>
        </w:tc>
        <w:tc>
          <w:tcPr>
            <w:tcW w:w="40" w:type="dxa"/>
            <w:vAlign w:val="bottom"/>
            <w:shd w:val="clear" w:color="auto" w:fill="FDFDFC"/>
          </w:tcPr>
          <w:p>
            <w:pPr>
              <w:spacing w:after="0"/>
              <w:rPr>
                <w:sz w:val="18"/>
                <w:szCs w:val="18"/>
                <w:color w:val="auto"/>
              </w:rPr>
            </w:pPr>
          </w:p>
        </w:tc>
        <w:tc>
          <w:tcPr>
            <w:tcW w:w="160" w:type="dxa"/>
            <w:vAlign w:val="bottom"/>
            <w:shd w:val="clear" w:color="auto" w:fill="FDFDFC"/>
          </w:tcPr>
          <w:p>
            <w:pPr>
              <w:spacing w:after="0"/>
              <w:rPr>
                <w:sz w:val="18"/>
                <w:szCs w:val="18"/>
                <w:color w:val="auto"/>
              </w:rPr>
            </w:pPr>
          </w:p>
        </w:tc>
        <w:tc>
          <w:tcPr>
            <w:tcW w:w="900" w:type="dxa"/>
            <w:vAlign w:val="bottom"/>
            <w:gridSpan w:val="2"/>
            <w:shd w:val="clear" w:color="auto" w:fill="FDFDFC"/>
          </w:tcPr>
          <w:p>
            <w:pPr>
              <w:jc w:val="right"/>
              <w:ind w:right="20"/>
              <w:spacing w:after="0" w:line="217" w:lineRule="exact"/>
              <w:rPr>
                <w:sz w:val="20"/>
                <w:szCs w:val="20"/>
                <w:color w:val="auto"/>
              </w:rPr>
            </w:pPr>
            <w:r>
              <w:rPr>
                <w:rFonts w:ascii="Times New Roman" w:cs="Times New Roman" w:eastAsia="Times New Roman" w:hAnsi="Times New Roman"/>
                <w:sz w:val="19"/>
                <w:szCs w:val="19"/>
                <w:color w:val="231F20"/>
              </w:rPr>
              <w:t>—</w:t>
            </w:r>
          </w:p>
        </w:tc>
        <w:tc>
          <w:tcPr>
            <w:tcW w:w="140" w:type="dxa"/>
            <w:vAlign w:val="bottom"/>
            <w:shd w:val="clear" w:color="auto" w:fill="FDFDFC"/>
          </w:tcPr>
          <w:p>
            <w:pPr>
              <w:spacing w:after="0"/>
              <w:rPr>
                <w:sz w:val="18"/>
                <w:szCs w:val="18"/>
                <w:color w:val="auto"/>
              </w:rPr>
            </w:pPr>
          </w:p>
        </w:tc>
        <w:tc>
          <w:tcPr>
            <w:tcW w:w="80" w:type="dxa"/>
            <w:vAlign w:val="bottom"/>
            <w:shd w:val="clear" w:color="auto" w:fill="FDFDFC"/>
          </w:tcPr>
          <w:p>
            <w:pPr>
              <w:spacing w:after="0"/>
              <w:rPr>
                <w:sz w:val="18"/>
                <w:szCs w:val="18"/>
                <w:color w:val="auto"/>
              </w:rPr>
            </w:pPr>
          </w:p>
        </w:tc>
        <w:tc>
          <w:tcPr>
            <w:tcW w:w="180" w:type="dxa"/>
            <w:vAlign w:val="bottom"/>
            <w:shd w:val="clear" w:color="auto" w:fill="FDFDFC"/>
          </w:tcPr>
          <w:p>
            <w:pPr>
              <w:spacing w:after="0"/>
              <w:rPr>
                <w:sz w:val="18"/>
                <w:szCs w:val="18"/>
                <w:color w:val="auto"/>
              </w:rPr>
            </w:pPr>
          </w:p>
        </w:tc>
        <w:tc>
          <w:tcPr>
            <w:tcW w:w="900" w:type="dxa"/>
            <w:vAlign w:val="bottom"/>
            <w:gridSpan w:val="2"/>
            <w:shd w:val="clear" w:color="auto" w:fill="FDFDFC"/>
          </w:tcPr>
          <w:p>
            <w:pPr>
              <w:jc w:val="right"/>
              <w:ind w:right="20"/>
              <w:spacing w:after="0" w:line="217" w:lineRule="exact"/>
              <w:rPr>
                <w:sz w:val="20"/>
                <w:szCs w:val="20"/>
                <w:color w:val="auto"/>
              </w:rPr>
            </w:pPr>
            <w:r>
              <w:rPr>
                <w:rFonts w:ascii="Times New Roman" w:cs="Times New Roman" w:eastAsia="Times New Roman" w:hAnsi="Times New Roman"/>
                <w:sz w:val="19"/>
                <w:szCs w:val="19"/>
                <w:color w:val="231F20"/>
              </w:rPr>
              <w:t>35,975</w:t>
            </w:r>
          </w:p>
        </w:tc>
        <w:tc>
          <w:tcPr>
            <w:tcW w:w="180" w:type="dxa"/>
            <w:vAlign w:val="bottom"/>
            <w:shd w:val="clear" w:color="auto" w:fill="FDFDFC"/>
          </w:tcPr>
          <w:p>
            <w:pPr>
              <w:spacing w:after="0"/>
              <w:rPr>
                <w:sz w:val="18"/>
                <w:szCs w:val="18"/>
                <w:color w:val="auto"/>
              </w:rPr>
            </w:pPr>
          </w:p>
        </w:tc>
        <w:tc>
          <w:tcPr>
            <w:tcW w:w="60" w:type="dxa"/>
            <w:vAlign w:val="bottom"/>
            <w:shd w:val="clear" w:color="auto" w:fill="FDFDFC"/>
          </w:tcPr>
          <w:p>
            <w:pPr>
              <w:spacing w:after="0"/>
              <w:rPr>
                <w:sz w:val="18"/>
                <w:szCs w:val="18"/>
                <w:color w:val="auto"/>
              </w:rPr>
            </w:pPr>
          </w:p>
        </w:tc>
        <w:tc>
          <w:tcPr>
            <w:tcW w:w="160" w:type="dxa"/>
            <w:vAlign w:val="bottom"/>
            <w:shd w:val="clear" w:color="auto" w:fill="FDFDFC"/>
          </w:tcPr>
          <w:p>
            <w:pPr>
              <w:spacing w:after="0"/>
              <w:rPr>
                <w:sz w:val="18"/>
                <w:szCs w:val="18"/>
                <w:color w:val="auto"/>
              </w:rPr>
            </w:pPr>
          </w:p>
        </w:tc>
        <w:tc>
          <w:tcPr>
            <w:tcW w:w="860" w:type="dxa"/>
            <w:vAlign w:val="bottom"/>
            <w:shd w:val="clear" w:color="auto" w:fill="FDFDFC"/>
          </w:tcPr>
          <w:p>
            <w:pPr>
              <w:jc w:val="right"/>
              <w:spacing w:after="0" w:line="217" w:lineRule="exact"/>
              <w:rPr>
                <w:sz w:val="20"/>
                <w:szCs w:val="20"/>
                <w:color w:val="auto"/>
              </w:rPr>
            </w:pPr>
            <w:r>
              <w:rPr>
                <w:rFonts w:ascii="Times New Roman" w:cs="Times New Roman" w:eastAsia="Times New Roman" w:hAnsi="Times New Roman"/>
                <w:sz w:val="19"/>
                <w:szCs w:val="19"/>
                <w:color w:val="231F20"/>
              </w:rPr>
              <w:t>35,975</w:t>
            </w:r>
          </w:p>
        </w:tc>
        <w:tc>
          <w:tcPr>
            <w:tcW w:w="100" w:type="dxa"/>
            <w:vAlign w:val="bottom"/>
            <w:shd w:val="clear" w:color="auto" w:fill="FDFDFC"/>
          </w:tcPr>
          <w:p>
            <w:pPr>
              <w:spacing w:after="0"/>
              <w:rPr>
                <w:sz w:val="18"/>
                <w:szCs w:val="18"/>
                <w:color w:val="auto"/>
              </w:rPr>
            </w:pPr>
          </w:p>
        </w:tc>
      </w:tr>
      <w:tr>
        <w:trPr>
          <w:trHeight w:val="217"/>
        </w:trPr>
        <w:tc>
          <w:tcPr>
            <w:tcW w:w="4900" w:type="dxa"/>
            <w:vAlign w:val="bottom"/>
            <w:shd w:val="clear" w:color="auto" w:fill="D0EBF2"/>
          </w:tcPr>
          <w:p>
            <w:pPr>
              <w:spacing w:after="0" w:line="217" w:lineRule="exact"/>
              <w:rPr>
                <w:sz w:val="20"/>
                <w:szCs w:val="20"/>
                <w:color w:val="auto"/>
              </w:rPr>
            </w:pPr>
            <w:r>
              <w:rPr>
                <w:rFonts w:ascii="Times New Roman" w:cs="Times New Roman" w:eastAsia="Times New Roman" w:hAnsi="Times New Roman"/>
                <w:sz w:val="19"/>
                <w:szCs w:val="19"/>
                <w:color w:val="231F20"/>
              </w:rPr>
              <w:t>Mezzanine debt investments</w:t>
            </w:r>
          </w:p>
        </w:tc>
        <w:tc>
          <w:tcPr>
            <w:tcW w:w="140" w:type="dxa"/>
            <w:vAlign w:val="bottom"/>
            <w:shd w:val="clear" w:color="auto" w:fill="D0EBF2"/>
          </w:tcPr>
          <w:p>
            <w:pPr>
              <w:spacing w:after="0"/>
              <w:rPr>
                <w:sz w:val="18"/>
                <w:szCs w:val="18"/>
                <w:color w:val="auto"/>
              </w:rPr>
            </w:pPr>
          </w:p>
        </w:tc>
        <w:tc>
          <w:tcPr>
            <w:tcW w:w="60" w:type="dxa"/>
            <w:vAlign w:val="bottom"/>
            <w:shd w:val="clear" w:color="auto" w:fill="D0EBF2"/>
          </w:tcPr>
          <w:p>
            <w:pPr>
              <w:spacing w:after="0"/>
              <w:rPr>
                <w:sz w:val="18"/>
                <w:szCs w:val="18"/>
                <w:color w:val="auto"/>
              </w:rPr>
            </w:pPr>
          </w:p>
        </w:tc>
        <w:tc>
          <w:tcPr>
            <w:tcW w:w="80" w:type="dxa"/>
            <w:vAlign w:val="bottom"/>
            <w:shd w:val="clear" w:color="auto" w:fill="D0EBF2"/>
          </w:tcPr>
          <w:p>
            <w:pPr>
              <w:spacing w:after="0"/>
              <w:rPr>
                <w:sz w:val="18"/>
                <w:szCs w:val="18"/>
                <w:color w:val="auto"/>
              </w:rPr>
            </w:pPr>
          </w:p>
        </w:tc>
        <w:tc>
          <w:tcPr>
            <w:tcW w:w="180" w:type="dxa"/>
            <w:vAlign w:val="bottom"/>
            <w:shd w:val="clear" w:color="auto" w:fill="D0EBF2"/>
          </w:tcPr>
          <w:p>
            <w:pPr>
              <w:spacing w:after="0"/>
              <w:rPr>
                <w:sz w:val="18"/>
                <w:szCs w:val="18"/>
                <w:color w:val="auto"/>
              </w:rPr>
            </w:pPr>
          </w:p>
        </w:tc>
        <w:tc>
          <w:tcPr>
            <w:tcW w:w="940" w:type="dxa"/>
            <w:vAlign w:val="bottom"/>
            <w:gridSpan w:val="3"/>
            <w:shd w:val="clear" w:color="auto" w:fill="D0EBF2"/>
          </w:tcPr>
          <w:p>
            <w:pPr>
              <w:jc w:val="right"/>
              <w:ind w:right="60"/>
              <w:spacing w:after="0" w:line="217" w:lineRule="exact"/>
              <w:rPr>
                <w:sz w:val="20"/>
                <w:szCs w:val="20"/>
                <w:color w:val="auto"/>
              </w:rPr>
            </w:pPr>
            <w:r>
              <w:rPr>
                <w:rFonts w:ascii="Times New Roman" w:cs="Times New Roman" w:eastAsia="Times New Roman" w:hAnsi="Times New Roman"/>
                <w:sz w:val="19"/>
                <w:szCs w:val="19"/>
                <w:color w:val="231F20"/>
              </w:rPr>
              <w:t>—</w:t>
            </w:r>
          </w:p>
        </w:tc>
        <w:tc>
          <w:tcPr>
            <w:tcW w:w="60" w:type="dxa"/>
            <w:vAlign w:val="bottom"/>
            <w:shd w:val="clear" w:color="auto" w:fill="D0EBF2"/>
          </w:tcPr>
          <w:p>
            <w:pPr>
              <w:spacing w:after="0"/>
              <w:rPr>
                <w:sz w:val="18"/>
                <w:szCs w:val="18"/>
                <w:color w:val="auto"/>
              </w:rPr>
            </w:pPr>
          </w:p>
        </w:tc>
        <w:tc>
          <w:tcPr>
            <w:tcW w:w="80" w:type="dxa"/>
            <w:vAlign w:val="bottom"/>
            <w:shd w:val="clear" w:color="auto" w:fill="D0EBF2"/>
          </w:tcPr>
          <w:p>
            <w:pPr>
              <w:spacing w:after="0"/>
              <w:rPr>
                <w:sz w:val="18"/>
                <w:szCs w:val="18"/>
                <w:color w:val="auto"/>
              </w:rPr>
            </w:pPr>
          </w:p>
        </w:tc>
        <w:tc>
          <w:tcPr>
            <w:tcW w:w="40" w:type="dxa"/>
            <w:vAlign w:val="bottom"/>
            <w:shd w:val="clear" w:color="auto" w:fill="D0EBF2"/>
          </w:tcPr>
          <w:p>
            <w:pPr>
              <w:spacing w:after="0"/>
              <w:rPr>
                <w:sz w:val="18"/>
                <w:szCs w:val="18"/>
                <w:color w:val="auto"/>
              </w:rPr>
            </w:pPr>
          </w:p>
        </w:tc>
        <w:tc>
          <w:tcPr>
            <w:tcW w:w="160" w:type="dxa"/>
            <w:vAlign w:val="bottom"/>
            <w:shd w:val="clear" w:color="auto" w:fill="D0EBF2"/>
          </w:tcPr>
          <w:p>
            <w:pPr>
              <w:spacing w:after="0"/>
              <w:rPr>
                <w:sz w:val="18"/>
                <w:szCs w:val="18"/>
                <w:color w:val="auto"/>
              </w:rPr>
            </w:pPr>
          </w:p>
        </w:tc>
        <w:tc>
          <w:tcPr>
            <w:tcW w:w="900" w:type="dxa"/>
            <w:vAlign w:val="bottom"/>
            <w:gridSpan w:val="2"/>
            <w:shd w:val="clear" w:color="auto" w:fill="D0EBF2"/>
          </w:tcPr>
          <w:p>
            <w:pPr>
              <w:jc w:val="right"/>
              <w:ind w:right="20"/>
              <w:spacing w:after="0" w:line="217" w:lineRule="exact"/>
              <w:rPr>
                <w:sz w:val="20"/>
                <w:szCs w:val="20"/>
                <w:color w:val="auto"/>
              </w:rPr>
            </w:pPr>
            <w:r>
              <w:rPr>
                <w:rFonts w:ascii="Times New Roman" w:cs="Times New Roman" w:eastAsia="Times New Roman" w:hAnsi="Times New Roman"/>
                <w:sz w:val="19"/>
                <w:szCs w:val="19"/>
                <w:color w:val="231F20"/>
              </w:rPr>
              <w:t>606</w:t>
            </w:r>
          </w:p>
        </w:tc>
        <w:tc>
          <w:tcPr>
            <w:tcW w:w="140" w:type="dxa"/>
            <w:vAlign w:val="bottom"/>
            <w:shd w:val="clear" w:color="auto" w:fill="D0EBF2"/>
          </w:tcPr>
          <w:p>
            <w:pPr>
              <w:spacing w:after="0"/>
              <w:rPr>
                <w:sz w:val="18"/>
                <w:szCs w:val="18"/>
                <w:color w:val="auto"/>
              </w:rPr>
            </w:pPr>
          </w:p>
        </w:tc>
        <w:tc>
          <w:tcPr>
            <w:tcW w:w="80" w:type="dxa"/>
            <w:vAlign w:val="bottom"/>
            <w:shd w:val="clear" w:color="auto" w:fill="D0EBF2"/>
          </w:tcPr>
          <w:p>
            <w:pPr>
              <w:spacing w:after="0"/>
              <w:rPr>
                <w:sz w:val="18"/>
                <w:szCs w:val="18"/>
                <w:color w:val="auto"/>
              </w:rPr>
            </w:pPr>
          </w:p>
        </w:tc>
        <w:tc>
          <w:tcPr>
            <w:tcW w:w="180" w:type="dxa"/>
            <w:vAlign w:val="bottom"/>
            <w:shd w:val="clear" w:color="auto" w:fill="D0EBF2"/>
          </w:tcPr>
          <w:p>
            <w:pPr>
              <w:spacing w:after="0"/>
              <w:rPr>
                <w:sz w:val="18"/>
                <w:szCs w:val="18"/>
                <w:color w:val="auto"/>
              </w:rPr>
            </w:pPr>
          </w:p>
        </w:tc>
        <w:tc>
          <w:tcPr>
            <w:tcW w:w="900" w:type="dxa"/>
            <w:vAlign w:val="bottom"/>
            <w:gridSpan w:val="2"/>
            <w:shd w:val="clear" w:color="auto" w:fill="D0EBF2"/>
          </w:tcPr>
          <w:p>
            <w:pPr>
              <w:jc w:val="right"/>
              <w:ind w:right="20"/>
              <w:spacing w:after="0" w:line="217" w:lineRule="exact"/>
              <w:rPr>
                <w:sz w:val="20"/>
                <w:szCs w:val="20"/>
                <w:color w:val="auto"/>
              </w:rPr>
            </w:pPr>
            <w:r>
              <w:rPr>
                <w:rFonts w:ascii="Times New Roman" w:cs="Times New Roman" w:eastAsia="Times New Roman" w:hAnsi="Times New Roman"/>
                <w:sz w:val="19"/>
                <w:szCs w:val="19"/>
                <w:color w:val="231F20"/>
              </w:rPr>
              <w:t>38,865</w:t>
            </w:r>
          </w:p>
        </w:tc>
        <w:tc>
          <w:tcPr>
            <w:tcW w:w="180" w:type="dxa"/>
            <w:vAlign w:val="bottom"/>
            <w:shd w:val="clear" w:color="auto" w:fill="D0EBF2"/>
          </w:tcPr>
          <w:p>
            <w:pPr>
              <w:spacing w:after="0"/>
              <w:rPr>
                <w:sz w:val="18"/>
                <w:szCs w:val="18"/>
                <w:color w:val="auto"/>
              </w:rPr>
            </w:pPr>
          </w:p>
        </w:tc>
        <w:tc>
          <w:tcPr>
            <w:tcW w:w="60" w:type="dxa"/>
            <w:vAlign w:val="bottom"/>
            <w:shd w:val="clear" w:color="auto" w:fill="D0EBF2"/>
          </w:tcPr>
          <w:p>
            <w:pPr>
              <w:spacing w:after="0"/>
              <w:rPr>
                <w:sz w:val="18"/>
                <w:szCs w:val="18"/>
                <w:color w:val="auto"/>
              </w:rPr>
            </w:pPr>
          </w:p>
        </w:tc>
        <w:tc>
          <w:tcPr>
            <w:tcW w:w="160" w:type="dxa"/>
            <w:vAlign w:val="bottom"/>
            <w:shd w:val="clear" w:color="auto" w:fill="D0EBF2"/>
          </w:tcPr>
          <w:p>
            <w:pPr>
              <w:spacing w:after="0"/>
              <w:rPr>
                <w:sz w:val="18"/>
                <w:szCs w:val="18"/>
                <w:color w:val="auto"/>
              </w:rPr>
            </w:pPr>
          </w:p>
        </w:tc>
        <w:tc>
          <w:tcPr>
            <w:tcW w:w="860" w:type="dxa"/>
            <w:vAlign w:val="bottom"/>
            <w:shd w:val="clear" w:color="auto" w:fill="D0EBF2"/>
          </w:tcPr>
          <w:p>
            <w:pPr>
              <w:jc w:val="right"/>
              <w:spacing w:after="0" w:line="217" w:lineRule="exact"/>
              <w:rPr>
                <w:sz w:val="20"/>
                <w:szCs w:val="20"/>
                <w:color w:val="auto"/>
              </w:rPr>
            </w:pPr>
            <w:r>
              <w:rPr>
                <w:rFonts w:ascii="Times New Roman" w:cs="Times New Roman" w:eastAsia="Times New Roman" w:hAnsi="Times New Roman"/>
                <w:sz w:val="19"/>
                <w:szCs w:val="19"/>
                <w:color w:val="231F20"/>
              </w:rPr>
              <w:t>39,471</w:t>
            </w:r>
          </w:p>
        </w:tc>
        <w:tc>
          <w:tcPr>
            <w:tcW w:w="100" w:type="dxa"/>
            <w:vAlign w:val="bottom"/>
            <w:shd w:val="clear" w:color="auto" w:fill="D0EBF2"/>
          </w:tcPr>
          <w:p>
            <w:pPr>
              <w:spacing w:after="0"/>
              <w:rPr>
                <w:sz w:val="18"/>
                <w:szCs w:val="18"/>
                <w:color w:val="auto"/>
              </w:rPr>
            </w:pPr>
          </w:p>
        </w:tc>
      </w:tr>
      <w:tr>
        <w:trPr>
          <w:trHeight w:val="217"/>
        </w:trPr>
        <w:tc>
          <w:tcPr>
            <w:tcW w:w="4900" w:type="dxa"/>
            <w:vAlign w:val="bottom"/>
            <w:shd w:val="clear" w:color="auto" w:fill="FDFDFC"/>
          </w:tcPr>
          <w:p>
            <w:pPr>
              <w:spacing w:after="0" w:line="217" w:lineRule="exact"/>
              <w:rPr>
                <w:sz w:val="20"/>
                <w:szCs w:val="20"/>
                <w:color w:val="auto"/>
              </w:rPr>
            </w:pPr>
            <w:r>
              <w:rPr>
                <w:rFonts w:ascii="Times New Roman" w:cs="Times New Roman" w:eastAsia="Times New Roman" w:hAnsi="Times New Roman"/>
                <w:sz w:val="19"/>
                <w:szCs w:val="19"/>
                <w:color w:val="231F20"/>
              </w:rPr>
              <w:t>Equity and other investments</w:t>
            </w:r>
          </w:p>
        </w:tc>
        <w:tc>
          <w:tcPr>
            <w:tcW w:w="140" w:type="dxa"/>
            <w:vAlign w:val="bottom"/>
            <w:shd w:val="clear" w:color="auto" w:fill="FDFDFC"/>
          </w:tcPr>
          <w:p>
            <w:pPr>
              <w:spacing w:after="0"/>
              <w:rPr>
                <w:sz w:val="18"/>
                <w:szCs w:val="18"/>
                <w:color w:val="auto"/>
              </w:rPr>
            </w:pPr>
          </w:p>
        </w:tc>
        <w:tc>
          <w:tcPr>
            <w:tcW w:w="60" w:type="dxa"/>
            <w:vAlign w:val="bottom"/>
            <w:shd w:val="clear" w:color="auto" w:fill="FDFDFC"/>
          </w:tcPr>
          <w:p>
            <w:pPr>
              <w:spacing w:after="0"/>
              <w:rPr>
                <w:sz w:val="18"/>
                <w:szCs w:val="18"/>
                <w:color w:val="auto"/>
              </w:rPr>
            </w:pPr>
          </w:p>
        </w:tc>
        <w:tc>
          <w:tcPr>
            <w:tcW w:w="80" w:type="dxa"/>
            <w:vAlign w:val="bottom"/>
            <w:shd w:val="clear" w:color="auto" w:fill="FDFDFC"/>
          </w:tcPr>
          <w:p>
            <w:pPr>
              <w:spacing w:after="0"/>
              <w:rPr>
                <w:sz w:val="18"/>
                <w:szCs w:val="18"/>
                <w:color w:val="auto"/>
              </w:rPr>
            </w:pPr>
          </w:p>
        </w:tc>
        <w:tc>
          <w:tcPr>
            <w:tcW w:w="180" w:type="dxa"/>
            <w:vAlign w:val="bottom"/>
            <w:shd w:val="clear" w:color="auto" w:fill="FDFDFC"/>
          </w:tcPr>
          <w:p>
            <w:pPr>
              <w:spacing w:after="0"/>
              <w:rPr>
                <w:sz w:val="18"/>
                <w:szCs w:val="18"/>
                <w:color w:val="auto"/>
              </w:rPr>
            </w:pPr>
          </w:p>
        </w:tc>
        <w:tc>
          <w:tcPr>
            <w:tcW w:w="900" w:type="dxa"/>
            <w:vAlign w:val="bottom"/>
            <w:gridSpan w:val="2"/>
            <w:shd w:val="clear" w:color="auto" w:fill="FDFDFC"/>
          </w:tcPr>
          <w:p>
            <w:pPr>
              <w:jc w:val="right"/>
              <w:spacing w:after="0" w:line="217" w:lineRule="exact"/>
              <w:rPr>
                <w:sz w:val="20"/>
                <w:szCs w:val="20"/>
                <w:color w:val="auto"/>
              </w:rPr>
            </w:pPr>
            <w:r>
              <w:rPr>
                <w:rFonts w:ascii="Times New Roman" w:cs="Times New Roman" w:eastAsia="Times New Roman" w:hAnsi="Times New Roman"/>
                <w:sz w:val="19"/>
                <w:szCs w:val="19"/>
                <w:color w:val="231F20"/>
              </w:rPr>
              <w:t>5,180</w:t>
            </w:r>
          </w:p>
        </w:tc>
        <w:tc>
          <w:tcPr>
            <w:tcW w:w="40" w:type="dxa"/>
            <w:vAlign w:val="bottom"/>
            <w:shd w:val="clear" w:color="auto" w:fill="FDFDFC"/>
          </w:tcPr>
          <w:p>
            <w:pPr>
              <w:spacing w:after="0"/>
              <w:rPr>
                <w:sz w:val="18"/>
                <w:szCs w:val="18"/>
                <w:color w:val="auto"/>
              </w:rPr>
            </w:pPr>
          </w:p>
        </w:tc>
        <w:tc>
          <w:tcPr>
            <w:tcW w:w="60" w:type="dxa"/>
            <w:vAlign w:val="bottom"/>
            <w:shd w:val="clear" w:color="auto" w:fill="FDFDFC"/>
          </w:tcPr>
          <w:p>
            <w:pPr>
              <w:spacing w:after="0"/>
              <w:rPr>
                <w:sz w:val="18"/>
                <w:szCs w:val="18"/>
                <w:color w:val="auto"/>
              </w:rPr>
            </w:pPr>
          </w:p>
        </w:tc>
        <w:tc>
          <w:tcPr>
            <w:tcW w:w="80" w:type="dxa"/>
            <w:vAlign w:val="bottom"/>
            <w:shd w:val="clear" w:color="auto" w:fill="FDFDFC"/>
          </w:tcPr>
          <w:p>
            <w:pPr>
              <w:spacing w:after="0"/>
              <w:rPr>
                <w:sz w:val="18"/>
                <w:szCs w:val="18"/>
                <w:color w:val="auto"/>
              </w:rPr>
            </w:pPr>
          </w:p>
        </w:tc>
        <w:tc>
          <w:tcPr>
            <w:tcW w:w="40" w:type="dxa"/>
            <w:vAlign w:val="bottom"/>
            <w:shd w:val="clear" w:color="auto" w:fill="FDFDFC"/>
          </w:tcPr>
          <w:p>
            <w:pPr>
              <w:spacing w:after="0"/>
              <w:rPr>
                <w:sz w:val="18"/>
                <w:szCs w:val="18"/>
                <w:color w:val="auto"/>
              </w:rPr>
            </w:pPr>
          </w:p>
        </w:tc>
        <w:tc>
          <w:tcPr>
            <w:tcW w:w="160" w:type="dxa"/>
            <w:vAlign w:val="bottom"/>
            <w:shd w:val="clear" w:color="auto" w:fill="FDFDFC"/>
          </w:tcPr>
          <w:p>
            <w:pPr>
              <w:spacing w:after="0"/>
              <w:rPr>
                <w:sz w:val="18"/>
                <w:szCs w:val="18"/>
                <w:color w:val="auto"/>
              </w:rPr>
            </w:pPr>
          </w:p>
        </w:tc>
        <w:tc>
          <w:tcPr>
            <w:tcW w:w="900" w:type="dxa"/>
            <w:vAlign w:val="bottom"/>
            <w:gridSpan w:val="2"/>
            <w:shd w:val="clear" w:color="auto" w:fill="FDFDFC"/>
          </w:tcPr>
          <w:p>
            <w:pPr>
              <w:jc w:val="right"/>
              <w:ind w:right="20"/>
              <w:spacing w:after="0" w:line="217" w:lineRule="exact"/>
              <w:rPr>
                <w:sz w:val="20"/>
                <w:szCs w:val="20"/>
                <w:color w:val="auto"/>
              </w:rPr>
            </w:pPr>
            <w:r>
              <w:rPr>
                <w:rFonts w:ascii="Times New Roman" w:cs="Times New Roman" w:eastAsia="Times New Roman" w:hAnsi="Times New Roman"/>
                <w:sz w:val="19"/>
                <w:szCs w:val="19"/>
                <w:color w:val="231F20"/>
              </w:rPr>
              <w:t>10,089</w:t>
            </w:r>
          </w:p>
        </w:tc>
        <w:tc>
          <w:tcPr>
            <w:tcW w:w="140" w:type="dxa"/>
            <w:vAlign w:val="bottom"/>
            <w:shd w:val="clear" w:color="auto" w:fill="FDFDFC"/>
          </w:tcPr>
          <w:p>
            <w:pPr>
              <w:spacing w:after="0"/>
              <w:rPr>
                <w:sz w:val="18"/>
                <w:szCs w:val="18"/>
                <w:color w:val="auto"/>
              </w:rPr>
            </w:pPr>
          </w:p>
        </w:tc>
        <w:tc>
          <w:tcPr>
            <w:tcW w:w="80" w:type="dxa"/>
            <w:vAlign w:val="bottom"/>
            <w:shd w:val="clear" w:color="auto" w:fill="FDFDFC"/>
          </w:tcPr>
          <w:p>
            <w:pPr>
              <w:spacing w:after="0"/>
              <w:rPr>
                <w:sz w:val="18"/>
                <w:szCs w:val="18"/>
                <w:color w:val="auto"/>
              </w:rPr>
            </w:pPr>
          </w:p>
        </w:tc>
        <w:tc>
          <w:tcPr>
            <w:tcW w:w="180" w:type="dxa"/>
            <w:vAlign w:val="bottom"/>
            <w:shd w:val="clear" w:color="auto" w:fill="FDFDFC"/>
          </w:tcPr>
          <w:p>
            <w:pPr>
              <w:spacing w:after="0"/>
              <w:rPr>
                <w:sz w:val="18"/>
                <w:szCs w:val="18"/>
                <w:color w:val="auto"/>
              </w:rPr>
            </w:pPr>
          </w:p>
        </w:tc>
        <w:tc>
          <w:tcPr>
            <w:tcW w:w="900" w:type="dxa"/>
            <w:vAlign w:val="bottom"/>
            <w:gridSpan w:val="2"/>
            <w:shd w:val="clear" w:color="auto" w:fill="FDFDFC"/>
          </w:tcPr>
          <w:p>
            <w:pPr>
              <w:jc w:val="right"/>
              <w:ind w:right="20"/>
              <w:spacing w:after="0" w:line="217" w:lineRule="exact"/>
              <w:rPr>
                <w:sz w:val="20"/>
                <w:szCs w:val="20"/>
                <w:color w:val="auto"/>
              </w:rPr>
            </w:pPr>
            <w:r>
              <w:rPr>
                <w:rFonts w:ascii="Times New Roman" w:cs="Times New Roman" w:eastAsia="Times New Roman" w:hAnsi="Times New Roman"/>
                <w:sz w:val="19"/>
                <w:szCs w:val="19"/>
                <w:color w:val="231F20"/>
              </w:rPr>
              <w:t>140,331</w:t>
            </w:r>
          </w:p>
        </w:tc>
        <w:tc>
          <w:tcPr>
            <w:tcW w:w="180" w:type="dxa"/>
            <w:vAlign w:val="bottom"/>
            <w:shd w:val="clear" w:color="auto" w:fill="FDFDFC"/>
          </w:tcPr>
          <w:p>
            <w:pPr>
              <w:spacing w:after="0"/>
              <w:rPr>
                <w:sz w:val="18"/>
                <w:szCs w:val="18"/>
                <w:color w:val="auto"/>
              </w:rPr>
            </w:pPr>
          </w:p>
        </w:tc>
        <w:tc>
          <w:tcPr>
            <w:tcW w:w="60" w:type="dxa"/>
            <w:vAlign w:val="bottom"/>
            <w:shd w:val="clear" w:color="auto" w:fill="FDFDFC"/>
          </w:tcPr>
          <w:p>
            <w:pPr>
              <w:spacing w:after="0"/>
              <w:rPr>
                <w:sz w:val="18"/>
                <w:szCs w:val="18"/>
                <w:color w:val="auto"/>
              </w:rPr>
            </w:pPr>
          </w:p>
        </w:tc>
        <w:tc>
          <w:tcPr>
            <w:tcW w:w="160" w:type="dxa"/>
            <w:vAlign w:val="bottom"/>
            <w:shd w:val="clear" w:color="auto" w:fill="FDFDFC"/>
          </w:tcPr>
          <w:p>
            <w:pPr>
              <w:spacing w:after="0"/>
              <w:rPr>
                <w:sz w:val="18"/>
                <w:szCs w:val="18"/>
                <w:color w:val="auto"/>
              </w:rPr>
            </w:pPr>
          </w:p>
        </w:tc>
        <w:tc>
          <w:tcPr>
            <w:tcW w:w="860" w:type="dxa"/>
            <w:vAlign w:val="bottom"/>
            <w:shd w:val="clear" w:color="auto" w:fill="FDFDFC"/>
          </w:tcPr>
          <w:p>
            <w:pPr>
              <w:jc w:val="right"/>
              <w:spacing w:after="0" w:line="217" w:lineRule="exact"/>
              <w:rPr>
                <w:sz w:val="20"/>
                <w:szCs w:val="20"/>
                <w:color w:val="auto"/>
              </w:rPr>
            </w:pPr>
            <w:r>
              <w:rPr>
                <w:rFonts w:ascii="Times New Roman" w:cs="Times New Roman" w:eastAsia="Times New Roman" w:hAnsi="Times New Roman"/>
                <w:sz w:val="19"/>
                <w:szCs w:val="19"/>
                <w:color w:val="231F20"/>
              </w:rPr>
              <w:t>155,600</w:t>
            </w:r>
          </w:p>
        </w:tc>
        <w:tc>
          <w:tcPr>
            <w:tcW w:w="100" w:type="dxa"/>
            <w:vAlign w:val="bottom"/>
            <w:shd w:val="clear" w:color="auto" w:fill="FDFDFC"/>
          </w:tcPr>
          <w:p>
            <w:pPr>
              <w:spacing w:after="0"/>
              <w:rPr>
                <w:sz w:val="18"/>
                <w:szCs w:val="18"/>
                <w:color w:val="auto"/>
              </w:rPr>
            </w:pPr>
          </w:p>
        </w:tc>
      </w:tr>
      <w:tr>
        <w:trPr>
          <w:trHeight w:val="237"/>
        </w:trPr>
        <w:tc>
          <w:tcPr>
            <w:tcW w:w="4900" w:type="dxa"/>
            <w:vAlign w:val="bottom"/>
            <w:shd w:val="clear" w:color="auto" w:fill="D0EBF2"/>
          </w:tcPr>
          <w:p>
            <w:pPr>
              <w:spacing w:after="0" w:line="217" w:lineRule="exact"/>
              <w:rPr>
                <w:sz w:val="20"/>
                <w:szCs w:val="20"/>
                <w:color w:val="auto"/>
              </w:rPr>
            </w:pPr>
            <w:r>
              <w:rPr>
                <w:rFonts w:ascii="Times New Roman" w:cs="Times New Roman" w:eastAsia="Times New Roman" w:hAnsi="Times New Roman"/>
                <w:sz w:val="19"/>
                <w:szCs w:val="19"/>
                <w:color w:val="231F20"/>
              </w:rPr>
              <w:t>Structured credit investments</w:t>
            </w:r>
          </w:p>
        </w:tc>
        <w:tc>
          <w:tcPr>
            <w:tcW w:w="140" w:type="dxa"/>
            <w:vAlign w:val="bottom"/>
            <w:shd w:val="clear" w:color="auto" w:fill="D0EBF2"/>
          </w:tcPr>
          <w:p>
            <w:pPr>
              <w:spacing w:after="0"/>
              <w:rPr>
                <w:sz w:val="20"/>
                <w:szCs w:val="20"/>
                <w:color w:val="auto"/>
              </w:rPr>
            </w:pPr>
          </w:p>
        </w:tc>
        <w:tc>
          <w:tcPr>
            <w:tcW w:w="60" w:type="dxa"/>
            <w:vAlign w:val="bottom"/>
            <w:shd w:val="clear" w:color="auto" w:fill="D0EBF2"/>
          </w:tcPr>
          <w:p>
            <w:pPr>
              <w:spacing w:after="0"/>
              <w:rPr>
                <w:sz w:val="20"/>
                <w:szCs w:val="20"/>
                <w:color w:val="auto"/>
              </w:rPr>
            </w:pPr>
          </w:p>
        </w:tc>
        <w:tc>
          <w:tcPr>
            <w:tcW w:w="80" w:type="dxa"/>
            <w:vAlign w:val="bottom"/>
            <w:shd w:val="clear" w:color="auto" w:fill="D0EBF2"/>
          </w:tcPr>
          <w:p>
            <w:pPr>
              <w:spacing w:after="0"/>
              <w:rPr>
                <w:sz w:val="20"/>
                <w:szCs w:val="20"/>
                <w:color w:val="auto"/>
              </w:rPr>
            </w:pPr>
          </w:p>
        </w:tc>
        <w:tc>
          <w:tcPr>
            <w:tcW w:w="180" w:type="dxa"/>
            <w:vAlign w:val="bottom"/>
            <w:shd w:val="clear" w:color="auto" w:fill="D0EBF2"/>
          </w:tcPr>
          <w:p>
            <w:pPr>
              <w:spacing w:after="0"/>
              <w:rPr>
                <w:sz w:val="20"/>
                <w:szCs w:val="20"/>
                <w:color w:val="auto"/>
              </w:rPr>
            </w:pPr>
          </w:p>
        </w:tc>
        <w:tc>
          <w:tcPr>
            <w:tcW w:w="940" w:type="dxa"/>
            <w:vAlign w:val="bottom"/>
            <w:gridSpan w:val="3"/>
            <w:shd w:val="clear" w:color="auto" w:fill="D0EBF2"/>
          </w:tcPr>
          <w:p>
            <w:pPr>
              <w:jc w:val="right"/>
              <w:ind w:right="60"/>
              <w:spacing w:after="0" w:line="217" w:lineRule="exact"/>
              <w:rPr>
                <w:sz w:val="20"/>
                <w:szCs w:val="20"/>
                <w:color w:val="auto"/>
              </w:rPr>
            </w:pPr>
            <w:r>
              <w:rPr>
                <w:rFonts w:ascii="Times New Roman" w:cs="Times New Roman" w:eastAsia="Times New Roman" w:hAnsi="Times New Roman"/>
                <w:sz w:val="19"/>
                <w:szCs w:val="19"/>
                <w:color w:val="231F20"/>
              </w:rPr>
              <w:t>—</w:t>
            </w:r>
          </w:p>
        </w:tc>
        <w:tc>
          <w:tcPr>
            <w:tcW w:w="60" w:type="dxa"/>
            <w:vAlign w:val="bottom"/>
            <w:shd w:val="clear" w:color="auto" w:fill="D0EBF2"/>
          </w:tcPr>
          <w:p>
            <w:pPr>
              <w:spacing w:after="0"/>
              <w:rPr>
                <w:sz w:val="20"/>
                <w:szCs w:val="20"/>
                <w:color w:val="auto"/>
              </w:rPr>
            </w:pPr>
          </w:p>
        </w:tc>
        <w:tc>
          <w:tcPr>
            <w:tcW w:w="80" w:type="dxa"/>
            <w:vAlign w:val="bottom"/>
            <w:shd w:val="clear" w:color="auto" w:fill="D0EBF2"/>
          </w:tcPr>
          <w:p>
            <w:pPr>
              <w:spacing w:after="0"/>
              <w:rPr>
                <w:sz w:val="20"/>
                <w:szCs w:val="20"/>
                <w:color w:val="auto"/>
              </w:rPr>
            </w:pPr>
          </w:p>
        </w:tc>
        <w:tc>
          <w:tcPr>
            <w:tcW w:w="40" w:type="dxa"/>
            <w:vAlign w:val="bottom"/>
            <w:shd w:val="clear" w:color="auto" w:fill="D0EBF2"/>
          </w:tcPr>
          <w:p>
            <w:pPr>
              <w:spacing w:after="0"/>
              <w:rPr>
                <w:sz w:val="20"/>
                <w:szCs w:val="20"/>
                <w:color w:val="auto"/>
              </w:rPr>
            </w:pPr>
          </w:p>
        </w:tc>
        <w:tc>
          <w:tcPr>
            <w:tcW w:w="160" w:type="dxa"/>
            <w:vAlign w:val="bottom"/>
            <w:shd w:val="clear" w:color="auto" w:fill="D0EBF2"/>
          </w:tcPr>
          <w:p>
            <w:pPr>
              <w:spacing w:after="0"/>
              <w:rPr>
                <w:sz w:val="20"/>
                <w:szCs w:val="20"/>
                <w:color w:val="auto"/>
              </w:rPr>
            </w:pPr>
          </w:p>
        </w:tc>
        <w:tc>
          <w:tcPr>
            <w:tcW w:w="900" w:type="dxa"/>
            <w:vAlign w:val="bottom"/>
            <w:gridSpan w:val="2"/>
            <w:shd w:val="clear" w:color="auto" w:fill="D0EBF2"/>
          </w:tcPr>
          <w:p>
            <w:pPr>
              <w:jc w:val="right"/>
              <w:ind w:right="20"/>
              <w:spacing w:after="0" w:line="217" w:lineRule="exact"/>
              <w:rPr>
                <w:sz w:val="20"/>
                <w:szCs w:val="20"/>
                <w:color w:val="auto"/>
              </w:rPr>
            </w:pPr>
            <w:r>
              <w:rPr>
                <w:rFonts w:ascii="Times New Roman" w:cs="Times New Roman" w:eastAsia="Times New Roman" w:hAnsi="Times New Roman"/>
                <w:sz w:val="19"/>
                <w:szCs w:val="19"/>
                <w:color w:val="231F20"/>
              </w:rPr>
              <w:t>55,842</w:t>
            </w:r>
          </w:p>
        </w:tc>
        <w:tc>
          <w:tcPr>
            <w:tcW w:w="140" w:type="dxa"/>
            <w:vAlign w:val="bottom"/>
            <w:shd w:val="clear" w:color="auto" w:fill="D0EBF2"/>
          </w:tcPr>
          <w:p>
            <w:pPr>
              <w:spacing w:after="0"/>
              <w:rPr>
                <w:sz w:val="20"/>
                <w:szCs w:val="20"/>
                <w:color w:val="auto"/>
              </w:rPr>
            </w:pPr>
          </w:p>
        </w:tc>
        <w:tc>
          <w:tcPr>
            <w:tcW w:w="80" w:type="dxa"/>
            <w:vAlign w:val="bottom"/>
            <w:shd w:val="clear" w:color="auto" w:fill="D0EBF2"/>
          </w:tcPr>
          <w:p>
            <w:pPr>
              <w:spacing w:after="0"/>
              <w:rPr>
                <w:sz w:val="20"/>
                <w:szCs w:val="20"/>
                <w:color w:val="auto"/>
              </w:rPr>
            </w:pPr>
          </w:p>
        </w:tc>
        <w:tc>
          <w:tcPr>
            <w:tcW w:w="180" w:type="dxa"/>
            <w:vAlign w:val="bottom"/>
            <w:shd w:val="clear" w:color="auto" w:fill="D0EBF2"/>
          </w:tcPr>
          <w:p>
            <w:pPr>
              <w:spacing w:after="0"/>
              <w:rPr>
                <w:sz w:val="20"/>
                <w:szCs w:val="20"/>
                <w:color w:val="auto"/>
              </w:rPr>
            </w:pPr>
          </w:p>
        </w:tc>
        <w:tc>
          <w:tcPr>
            <w:tcW w:w="1080" w:type="dxa"/>
            <w:vAlign w:val="bottom"/>
            <w:gridSpan w:val="3"/>
            <w:shd w:val="clear" w:color="auto" w:fill="D0EBF2"/>
          </w:tcPr>
          <w:p>
            <w:pPr>
              <w:jc w:val="right"/>
              <w:ind w:right="200"/>
              <w:spacing w:after="0" w:line="217" w:lineRule="exact"/>
              <w:rPr>
                <w:sz w:val="20"/>
                <w:szCs w:val="20"/>
                <w:color w:val="auto"/>
              </w:rPr>
            </w:pPr>
            <w:r>
              <w:rPr>
                <w:rFonts w:ascii="Times New Roman" w:cs="Times New Roman" w:eastAsia="Times New Roman" w:hAnsi="Times New Roman"/>
                <w:sz w:val="19"/>
                <w:szCs w:val="19"/>
                <w:color w:val="231F20"/>
              </w:rPr>
              <w:t>—</w:t>
            </w:r>
          </w:p>
        </w:tc>
        <w:tc>
          <w:tcPr>
            <w:tcW w:w="60" w:type="dxa"/>
            <w:vAlign w:val="bottom"/>
            <w:shd w:val="clear" w:color="auto" w:fill="D0EBF2"/>
          </w:tcPr>
          <w:p>
            <w:pPr>
              <w:spacing w:after="0"/>
              <w:rPr>
                <w:sz w:val="20"/>
                <w:szCs w:val="20"/>
                <w:color w:val="auto"/>
              </w:rPr>
            </w:pPr>
          </w:p>
        </w:tc>
        <w:tc>
          <w:tcPr>
            <w:tcW w:w="160" w:type="dxa"/>
            <w:vAlign w:val="bottom"/>
            <w:shd w:val="clear" w:color="auto" w:fill="D0EBF2"/>
          </w:tcPr>
          <w:p>
            <w:pPr>
              <w:spacing w:after="0"/>
              <w:rPr>
                <w:sz w:val="20"/>
                <w:szCs w:val="20"/>
                <w:color w:val="auto"/>
              </w:rPr>
            </w:pPr>
          </w:p>
        </w:tc>
        <w:tc>
          <w:tcPr>
            <w:tcW w:w="860" w:type="dxa"/>
            <w:vAlign w:val="bottom"/>
            <w:shd w:val="clear" w:color="auto" w:fill="D0EBF2"/>
          </w:tcPr>
          <w:p>
            <w:pPr>
              <w:jc w:val="right"/>
              <w:spacing w:after="0" w:line="217" w:lineRule="exact"/>
              <w:rPr>
                <w:sz w:val="20"/>
                <w:szCs w:val="20"/>
                <w:color w:val="auto"/>
              </w:rPr>
            </w:pPr>
            <w:r>
              <w:rPr>
                <w:rFonts w:ascii="Times New Roman" w:cs="Times New Roman" w:eastAsia="Times New Roman" w:hAnsi="Times New Roman"/>
                <w:sz w:val="19"/>
                <w:szCs w:val="19"/>
                <w:color w:val="231F20"/>
              </w:rPr>
              <w:t>55,842</w:t>
            </w:r>
          </w:p>
        </w:tc>
        <w:tc>
          <w:tcPr>
            <w:tcW w:w="100" w:type="dxa"/>
            <w:vAlign w:val="bottom"/>
            <w:shd w:val="clear" w:color="auto" w:fill="D0EBF2"/>
          </w:tcPr>
          <w:p>
            <w:pPr>
              <w:spacing w:after="0"/>
              <w:rPr>
                <w:sz w:val="20"/>
                <w:szCs w:val="20"/>
                <w:color w:val="auto"/>
              </w:rPr>
            </w:pPr>
          </w:p>
        </w:tc>
      </w:tr>
      <w:tr>
        <w:trPr>
          <w:trHeight w:val="187"/>
        </w:trPr>
        <w:tc>
          <w:tcPr>
            <w:tcW w:w="4900" w:type="dxa"/>
            <w:vAlign w:val="bottom"/>
            <w:tcBorders>
              <w:top w:val="single" w:sz="8" w:color="D0EBF2"/>
            </w:tcBorders>
            <w:shd w:val="clear" w:color="auto" w:fill="FDFDFC"/>
          </w:tcPr>
          <w:p>
            <w:pPr>
              <w:ind w:left="180"/>
              <w:spacing w:after="0" w:line="187" w:lineRule="exact"/>
              <w:rPr>
                <w:sz w:val="20"/>
                <w:szCs w:val="20"/>
                <w:color w:val="auto"/>
              </w:rPr>
            </w:pPr>
            <w:r>
              <w:rPr>
                <w:rFonts w:ascii="Times New Roman" w:cs="Times New Roman" w:eastAsia="Times New Roman" w:hAnsi="Times New Roman"/>
                <w:sz w:val="19"/>
                <w:szCs w:val="19"/>
                <w:color w:val="231F20"/>
              </w:rPr>
              <w:t>Total investments at fair value</w:t>
            </w:r>
          </w:p>
        </w:tc>
        <w:tc>
          <w:tcPr>
            <w:tcW w:w="140" w:type="dxa"/>
            <w:vAlign w:val="bottom"/>
            <w:tcBorders>
              <w:top w:val="single" w:sz="8" w:color="D0EBF2"/>
            </w:tcBorders>
            <w:shd w:val="clear" w:color="auto" w:fill="FDFDFC"/>
          </w:tcPr>
          <w:p>
            <w:pPr>
              <w:spacing w:after="0"/>
              <w:rPr>
                <w:sz w:val="16"/>
                <w:szCs w:val="16"/>
                <w:color w:val="auto"/>
              </w:rPr>
            </w:pPr>
          </w:p>
        </w:tc>
        <w:tc>
          <w:tcPr>
            <w:tcW w:w="60" w:type="dxa"/>
            <w:vAlign w:val="bottom"/>
            <w:tcBorders>
              <w:top w:val="single" w:sz="8" w:color="D0EBF2"/>
            </w:tcBorders>
            <w:shd w:val="clear" w:color="auto" w:fill="FDFDFC"/>
          </w:tcPr>
          <w:p>
            <w:pPr>
              <w:spacing w:after="0"/>
              <w:rPr>
                <w:sz w:val="16"/>
                <w:szCs w:val="16"/>
                <w:color w:val="auto"/>
              </w:rPr>
            </w:pPr>
          </w:p>
        </w:tc>
        <w:tc>
          <w:tcPr>
            <w:tcW w:w="260" w:type="dxa"/>
            <w:vAlign w:val="bottom"/>
            <w:tcBorders>
              <w:top w:val="single" w:sz="8" w:color="231F20"/>
            </w:tcBorders>
            <w:gridSpan w:val="2"/>
            <w:shd w:val="clear" w:color="auto" w:fill="FDFDFC"/>
          </w:tcPr>
          <w:p>
            <w:pPr>
              <w:jc w:val="right"/>
              <w:ind w:right="76"/>
              <w:spacing w:after="0" w:line="187" w:lineRule="exact"/>
              <w:rPr>
                <w:sz w:val="20"/>
                <w:szCs w:val="20"/>
                <w:color w:val="auto"/>
              </w:rPr>
            </w:pPr>
            <w:r>
              <w:rPr>
                <w:rFonts w:ascii="Times New Roman" w:cs="Times New Roman" w:eastAsia="Times New Roman" w:hAnsi="Times New Roman"/>
                <w:sz w:val="19"/>
                <w:szCs w:val="19"/>
                <w:color w:val="231F20"/>
                <w:w w:val="83"/>
              </w:rPr>
              <w:t>$</w:t>
            </w:r>
          </w:p>
        </w:tc>
        <w:tc>
          <w:tcPr>
            <w:tcW w:w="900" w:type="dxa"/>
            <w:vAlign w:val="bottom"/>
            <w:tcBorders>
              <w:top w:val="single" w:sz="8" w:color="231F20"/>
            </w:tcBorders>
            <w:gridSpan w:val="2"/>
            <w:shd w:val="clear" w:color="auto" w:fill="FDFDFC"/>
          </w:tcPr>
          <w:p>
            <w:pPr>
              <w:jc w:val="right"/>
              <w:spacing w:after="0" w:line="187" w:lineRule="exact"/>
              <w:rPr>
                <w:sz w:val="20"/>
                <w:szCs w:val="20"/>
                <w:color w:val="auto"/>
              </w:rPr>
            </w:pPr>
            <w:r>
              <w:rPr>
                <w:rFonts w:ascii="Times New Roman" w:cs="Times New Roman" w:eastAsia="Times New Roman" w:hAnsi="Times New Roman"/>
                <w:sz w:val="19"/>
                <w:szCs w:val="19"/>
                <w:color w:val="231F20"/>
              </w:rPr>
              <w:t>5,180</w:t>
            </w:r>
          </w:p>
        </w:tc>
        <w:tc>
          <w:tcPr>
            <w:tcW w:w="40" w:type="dxa"/>
            <w:vAlign w:val="bottom"/>
            <w:tcBorders>
              <w:top w:val="single" w:sz="8" w:color="D0EBF2"/>
            </w:tcBorders>
            <w:shd w:val="clear" w:color="auto" w:fill="FDFDFC"/>
          </w:tcPr>
          <w:p>
            <w:pPr>
              <w:spacing w:after="0"/>
              <w:rPr>
                <w:sz w:val="16"/>
                <w:szCs w:val="16"/>
                <w:color w:val="auto"/>
              </w:rPr>
            </w:pPr>
          </w:p>
        </w:tc>
        <w:tc>
          <w:tcPr>
            <w:tcW w:w="180" w:type="dxa"/>
            <w:vAlign w:val="bottom"/>
            <w:tcBorders>
              <w:top w:val="single" w:sz="8" w:color="D0EBF2"/>
            </w:tcBorders>
            <w:gridSpan w:val="3"/>
            <w:shd w:val="clear" w:color="auto" w:fill="FDFDFC"/>
          </w:tcPr>
          <w:p>
            <w:pPr>
              <w:spacing w:after="0"/>
              <w:rPr>
                <w:sz w:val="16"/>
                <w:szCs w:val="16"/>
                <w:color w:val="auto"/>
              </w:rPr>
            </w:pPr>
          </w:p>
        </w:tc>
        <w:tc>
          <w:tcPr>
            <w:tcW w:w="160" w:type="dxa"/>
            <w:vAlign w:val="bottom"/>
            <w:tcBorders>
              <w:top w:val="single" w:sz="8" w:color="231F20"/>
            </w:tcBorders>
            <w:shd w:val="clear" w:color="auto" w:fill="FDFDFC"/>
          </w:tcPr>
          <w:p>
            <w:pPr>
              <w:jc w:val="right"/>
              <w:spacing w:after="0" w:line="187" w:lineRule="exact"/>
              <w:rPr>
                <w:sz w:val="20"/>
                <w:szCs w:val="20"/>
                <w:color w:val="auto"/>
              </w:rPr>
            </w:pPr>
            <w:r>
              <w:rPr>
                <w:rFonts w:ascii="Times New Roman" w:cs="Times New Roman" w:eastAsia="Times New Roman" w:hAnsi="Times New Roman"/>
                <w:sz w:val="19"/>
                <w:szCs w:val="19"/>
                <w:color w:val="231F20"/>
                <w:w w:val="83"/>
              </w:rPr>
              <w:t>$</w:t>
            </w:r>
          </w:p>
        </w:tc>
        <w:tc>
          <w:tcPr>
            <w:tcW w:w="900" w:type="dxa"/>
            <w:vAlign w:val="bottom"/>
            <w:tcBorders>
              <w:top w:val="single" w:sz="8" w:color="231F20"/>
            </w:tcBorders>
            <w:gridSpan w:val="2"/>
            <w:shd w:val="clear" w:color="auto" w:fill="FDFDFC"/>
          </w:tcPr>
          <w:p>
            <w:pPr>
              <w:jc w:val="right"/>
              <w:ind w:right="20"/>
              <w:spacing w:after="0" w:line="187" w:lineRule="exact"/>
              <w:rPr>
                <w:sz w:val="20"/>
                <w:szCs w:val="20"/>
                <w:color w:val="auto"/>
              </w:rPr>
            </w:pPr>
            <w:r>
              <w:rPr>
                <w:rFonts w:ascii="Times New Roman" w:cs="Times New Roman" w:eastAsia="Times New Roman" w:hAnsi="Times New Roman"/>
                <w:sz w:val="19"/>
                <w:szCs w:val="19"/>
                <w:color w:val="231F20"/>
              </w:rPr>
              <w:t>68,928</w:t>
            </w:r>
          </w:p>
        </w:tc>
        <w:tc>
          <w:tcPr>
            <w:tcW w:w="140" w:type="dxa"/>
            <w:vAlign w:val="bottom"/>
            <w:tcBorders>
              <w:top w:val="single" w:sz="8" w:color="D0EBF2"/>
            </w:tcBorders>
            <w:shd w:val="clear" w:color="auto" w:fill="FDFDFC"/>
          </w:tcPr>
          <w:p>
            <w:pPr>
              <w:spacing w:after="0"/>
              <w:rPr>
                <w:sz w:val="16"/>
                <w:szCs w:val="16"/>
                <w:color w:val="auto"/>
              </w:rPr>
            </w:pPr>
          </w:p>
        </w:tc>
        <w:tc>
          <w:tcPr>
            <w:tcW w:w="80" w:type="dxa"/>
            <w:vAlign w:val="bottom"/>
            <w:tcBorders>
              <w:top w:val="single" w:sz="8" w:color="D0EBF2"/>
            </w:tcBorders>
            <w:shd w:val="clear" w:color="auto" w:fill="FDFDFC"/>
          </w:tcPr>
          <w:p>
            <w:pPr>
              <w:spacing w:after="0"/>
              <w:rPr>
                <w:sz w:val="16"/>
                <w:szCs w:val="16"/>
                <w:color w:val="auto"/>
              </w:rPr>
            </w:pPr>
          </w:p>
        </w:tc>
        <w:tc>
          <w:tcPr>
            <w:tcW w:w="180" w:type="dxa"/>
            <w:vAlign w:val="bottom"/>
            <w:tcBorders>
              <w:top w:val="single" w:sz="8" w:color="231F20"/>
            </w:tcBorders>
            <w:shd w:val="clear" w:color="auto" w:fill="FDFDFC"/>
          </w:tcPr>
          <w:p>
            <w:pPr>
              <w:jc w:val="right"/>
              <w:spacing w:after="0" w:line="187" w:lineRule="exact"/>
              <w:rPr>
                <w:sz w:val="20"/>
                <w:szCs w:val="20"/>
                <w:color w:val="auto"/>
              </w:rPr>
            </w:pPr>
            <w:r>
              <w:rPr>
                <w:rFonts w:ascii="Times New Roman" w:cs="Times New Roman" w:eastAsia="Times New Roman" w:hAnsi="Times New Roman"/>
                <w:sz w:val="19"/>
                <w:szCs w:val="19"/>
                <w:color w:val="231F20"/>
                <w:highlight w:val="white"/>
                <w:w w:val="83"/>
              </w:rPr>
              <w:t>$</w:t>
            </w:r>
          </w:p>
        </w:tc>
        <w:tc>
          <w:tcPr>
            <w:tcW w:w="900" w:type="dxa"/>
            <w:vAlign w:val="bottom"/>
            <w:tcBorders>
              <w:top w:val="single" w:sz="8" w:color="231F20"/>
            </w:tcBorders>
            <w:gridSpan w:val="2"/>
            <w:shd w:val="clear" w:color="auto" w:fill="FDFDFC"/>
          </w:tcPr>
          <w:p>
            <w:pPr>
              <w:jc w:val="right"/>
              <w:ind w:right="20"/>
              <w:spacing w:after="0" w:line="187" w:lineRule="exact"/>
              <w:rPr>
                <w:sz w:val="20"/>
                <w:szCs w:val="20"/>
                <w:color w:val="auto"/>
              </w:rPr>
            </w:pPr>
            <w:r>
              <w:rPr>
                <w:rFonts w:ascii="Times New Roman" w:cs="Times New Roman" w:eastAsia="Times New Roman" w:hAnsi="Times New Roman"/>
                <w:sz w:val="19"/>
                <w:szCs w:val="19"/>
                <w:color w:val="231F20"/>
                <w:highlight w:val="white"/>
              </w:rPr>
              <w:t>3,208,957</w:t>
            </w:r>
          </w:p>
        </w:tc>
        <w:tc>
          <w:tcPr>
            <w:tcW w:w="180" w:type="dxa"/>
            <w:vAlign w:val="bottom"/>
            <w:tcBorders>
              <w:top w:val="single" w:sz="8" w:color="D0EBF2"/>
            </w:tcBorders>
            <w:shd w:val="clear" w:color="auto" w:fill="FDFDFC"/>
          </w:tcPr>
          <w:p>
            <w:pPr>
              <w:spacing w:after="0"/>
              <w:rPr>
                <w:sz w:val="16"/>
                <w:szCs w:val="16"/>
                <w:color w:val="auto"/>
              </w:rPr>
            </w:pPr>
          </w:p>
        </w:tc>
        <w:tc>
          <w:tcPr>
            <w:tcW w:w="60" w:type="dxa"/>
            <w:vAlign w:val="bottom"/>
            <w:tcBorders>
              <w:top w:val="single" w:sz="8" w:color="D0EBF2"/>
            </w:tcBorders>
            <w:shd w:val="clear" w:color="auto" w:fill="FDFDFC"/>
          </w:tcPr>
          <w:p>
            <w:pPr>
              <w:spacing w:after="0"/>
              <w:rPr>
                <w:sz w:val="16"/>
                <w:szCs w:val="16"/>
                <w:color w:val="auto"/>
              </w:rPr>
            </w:pPr>
          </w:p>
        </w:tc>
        <w:tc>
          <w:tcPr>
            <w:tcW w:w="160" w:type="dxa"/>
            <w:vAlign w:val="bottom"/>
            <w:tcBorders>
              <w:top w:val="single" w:sz="8" w:color="231F20"/>
            </w:tcBorders>
            <w:shd w:val="clear" w:color="auto" w:fill="FDFDFC"/>
          </w:tcPr>
          <w:p>
            <w:pPr>
              <w:jc w:val="right"/>
              <w:spacing w:after="0" w:line="187" w:lineRule="exact"/>
              <w:rPr>
                <w:sz w:val="20"/>
                <w:szCs w:val="20"/>
                <w:color w:val="auto"/>
              </w:rPr>
            </w:pPr>
            <w:r>
              <w:rPr>
                <w:rFonts w:ascii="Times New Roman" w:cs="Times New Roman" w:eastAsia="Times New Roman" w:hAnsi="Times New Roman"/>
                <w:sz w:val="17"/>
                <w:szCs w:val="17"/>
                <w:color w:val="231F20"/>
                <w:highlight w:val="white"/>
                <w:w w:val="70"/>
              </w:rPr>
              <w:t>$</w:t>
            </w:r>
          </w:p>
        </w:tc>
        <w:tc>
          <w:tcPr>
            <w:tcW w:w="860" w:type="dxa"/>
            <w:vAlign w:val="bottom"/>
            <w:tcBorders>
              <w:top w:val="single" w:sz="8" w:color="231F20"/>
            </w:tcBorders>
            <w:shd w:val="clear" w:color="auto" w:fill="FDFDFC"/>
          </w:tcPr>
          <w:p>
            <w:pPr>
              <w:jc w:val="right"/>
              <w:spacing w:after="0" w:line="187" w:lineRule="exact"/>
              <w:rPr>
                <w:sz w:val="20"/>
                <w:szCs w:val="20"/>
                <w:color w:val="auto"/>
              </w:rPr>
            </w:pPr>
            <w:r>
              <w:rPr>
                <w:rFonts w:ascii="Times New Roman" w:cs="Times New Roman" w:eastAsia="Times New Roman" w:hAnsi="Times New Roman"/>
                <w:sz w:val="19"/>
                <w:szCs w:val="19"/>
                <w:color w:val="231F20"/>
                <w:highlight w:val="white"/>
              </w:rPr>
              <w:t>3,283,065</w:t>
            </w:r>
          </w:p>
        </w:tc>
        <w:tc>
          <w:tcPr>
            <w:tcW w:w="100" w:type="dxa"/>
            <w:vAlign w:val="bottom"/>
            <w:tcBorders>
              <w:top w:val="single" w:sz="8" w:color="D0EBF2"/>
            </w:tcBorders>
            <w:shd w:val="clear" w:color="auto" w:fill="FDFDFC"/>
          </w:tcPr>
          <w:p>
            <w:pPr>
              <w:spacing w:after="0"/>
              <w:rPr>
                <w:sz w:val="16"/>
                <w:szCs w:val="16"/>
                <w:color w:val="auto"/>
              </w:rPr>
            </w:pPr>
          </w:p>
        </w:tc>
      </w:tr>
      <w:tr>
        <w:trPr>
          <w:trHeight w:val="242"/>
        </w:trPr>
        <w:tc>
          <w:tcPr>
            <w:tcW w:w="4900" w:type="dxa"/>
            <w:vAlign w:val="bottom"/>
            <w:tcBorders>
              <w:bottom w:val="single" w:sz="8" w:color="D0EBF2"/>
            </w:tcBorders>
            <w:shd w:val="clear" w:color="auto" w:fill="D0EBF2"/>
          </w:tcPr>
          <w:p>
            <w:pPr>
              <w:spacing w:after="0" w:line="217" w:lineRule="exact"/>
              <w:rPr>
                <w:sz w:val="20"/>
                <w:szCs w:val="20"/>
                <w:color w:val="auto"/>
              </w:rPr>
            </w:pPr>
            <w:r>
              <w:rPr>
                <w:rFonts w:ascii="Times New Roman" w:cs="Times New Roman" w:eastAsia="Times New Roman" w:hAnsi="Times New Roman"/>
                <w:sz w:val="19"/>
                <w:szCs w:val="19"/>
                <w:color w:val="231F20"/>
              </w:rPr>
              <w:t>Interest rate swaps</w:t>
            </w:r>
          </w:p>
        </w:tc>
        <w:tc>
          <w:tcPr>
            <w:tcW w:w="140" w:type="dxa"/>
            <w:vAlign w:val="bottom"/>
            <w:tcBorders>
              <w:bottom w:val="single" w:sz="8" w:color="D0EBF2"/>
            </w:tcBorders>
            <w:shd w:val="clear" w:color="auto" w:fill="D0EBF2"/>
          </w:tcPr>
          <w:p>
            <w:pPr>
              <w:spacing w:after="0"/>
              <w:rPr>
                <w:sz w:val="20"/>
                <w:szCs w:val="20"/>
                <w:color w:val="auto"/>
              </w:rPr>
            </w:pPr>
          </w:p>
        </w:tc>
        <w:tc>
          <w:tcPr>
            <w:tcW w:w="60" w:type="dxa"/>
            <w:vAlign w:val="bottom"/>
            <w:tcBorders>
              <w:bottom w:val="single" w:sz="8" w:color="D0EBF2"/>
            </w:tcBorders>
            <w:shd w:val="clear" w:color="auto" w:fill="D0EBF2"/>
          </w:tcPr>
          <w:p>
            <w:pPr>
              <w:spacing w:after="0"/>
              <w:rPr>
                <w:sz w:val="20"/>
                <w:szCs w:val="20"/>
                <w:color w:val="auto"/>
              </w:rPr>
            </w:pPr>
          </w:p>
        </w:tc>
        <w:tc>
          <w:tcPr>
            <w:tcW w:w="80" w:type="dxa"/>
            <w:vAlign w:val="bottom"/>
            <w:tcBorders>
              <w:bottom w:val="single" w:sz="8" w:color="231F20"/>
            </w:tcBorders>
            <w:shd w:val="clear" w:color="auto" w:fill="D0EBF2"/>
          </w:tcPr>
          <w:p>
            <w:pPr>
              <w:spacing w:after="0"/>
              <w:rPr>
                <w:sz w:val="20"/>
                <w:szCs w:val="20"/>
                <w:color w:val="auto"/>
              </w:rPr>
            </w:pPr>
          </w:p>
        </w:tc>
        <w:tc>
          <w:tcPr>
            <w:tcW w:w="180" w:type="dxa"/>
            <w:vAlign w:val="bottom"/>
            <w:tcBorders>
              <w:bottom w:val="single" w:sz="8" w:color="231F20"/>
            </w:tcBorders>
            <w:shd w:val="clear" w:color="auto" w:fill="D0EBF2"/>
          </w:tcPr>
          <w:p>
            <w:pPr>
              <w:spacing w:after="0"/>
              <w:rPr>
                <w:sz w:val="20"/>
                <w:szCs w:val="20"/>
                <w:color w:val="auto"/>
              </w:rPr>
            </w:pPr>
          </w:p>
        </w:tc>
        <w:tc>
          <w:tcPr>
            <w:tcW w:w="900" w:type="dxa"/>
            <w:vAlign w:val="bottom"/>
            <w:tcBorders>
              <w:bottom w:val="single" w:sz="8" w:color="231F20"/>
            </w:tcBorders>
            <w:gridSpan w:val="2"/>
            <w:shd w:val="clear" w:color="auto" w:fill="D0EBF2"/>
          </w:tcPr>
          <w:p>
            <w:pPr>
              <w:jc w:val="right"/>
              <w:spacing w:after="0" w:line="217" w:lineRule="exact"/>
              <w:rPr>
                <w:sz w:val="20"/>
                <w:szCs w:val="20"/>
                <w:color w:val="auto"/>
              </w:rPr>
            </w:pPr>
            <w:r>
              <w:rPr>
                <w:rFonts w:ascii="Times New Roman" w:cs="Times New Roman" w:eastAsia="Times New Roman" w:hAnsi="Times New Roman"/>
                <w:sz w:val="19"/>
                <w:szCs w:val="19"/>
                <w:color w:val="231F20"/>
              </w:rPr>
              <w:t>—</w:t>
            </w:r>
          </w:p>
        </w:tc>
        <w:tc>
          <w:tcPr>
            <w:tcW w:w="40" w:type="dxa"/>
            <w:vAlign w:val="bottom"/>
            <w:tcBorders>
              <w:bottom w:val="single" w:sz="8" w:color="D0EBF2"/>
            </w:tcBorders>
            <w:shd w:val="clear" w:color="auto" w:fill="D0EBF2"/>
          </w:tcPr>
          <w:p>
            <w:pPr>
              <w:spacing w:after="0"/>
              <w:rPr>
                <w:sz w:val="20"/>
                <w:szCs w:val="20"/>
                <w:color w:val="auto"/>
              </w:rPr>
            </w:pPr>
          </w:p>
        </w:tc>
        <w:tc>
          <w:tcPr>
            <w:tcW w:w="60" w:type="dxa"/>
            <w:vAlign w:val="bottom"/>
            <w:tcBorders>
              <w:bottom w:val="single" w:sz="8" w:color="D0EBF2"/>
            </w:tcBorders>
            <w:shd w:val="clear" w:color="auto" w:fill="D0EBF2"/>
          </w:tcPr>
          <w:p>
            <w:pPr>
              <w:spacing w:after="0"/>
              <w:rPr>
                <w:sz w:val="20"/>
                <w:szCs w:val="20"/>
                <w:color w:val="auto"/>
              </w:rPr>
            </w:pPr>
          </w:p>
        </w:tc>
        <w:tc>
          <w:tcPr>
            <w:tcW w:w="80" w:type="dxa"/>
            <w:vAlign w:val="bottom"/>
            <w:tcBorders>
              <w:bottom w:val="single" w:sz="8" w:color="D0EBF2"/>
            </w:tcBorders>
            <w:shd w:val="clear" w:color="auto" w:fill="D0EBF2"/>
          </w:tcPr>
          <w:p>
            <w:pPr>
              <w:spacing w:after="0"/>
              <w:rPr>
                <w:sz w:val="20"/>
                <w:szCs w:val="20"/>
                <w:color w:val="auto"/>
              </w:rPr>
            </w:pPr>
          </w:p>
        </w:tc>
        <w:tc>
          <w:tcPr>
            <w:tcW w:w="40" w:type="dxa"/>
            <w:vAlign w:val="bottom"/>
            <w:tcBorders>
              <w:bottom w:val="single" w:sz="8" w:color="D0EBF2"/>
            </w:tcBorders>
            <w:shd w:val="clear" w:color="auto" w:fill="D0EBF2"/>
          </w:tcPr>
          <w:p>
            <w:pPr>
              <w:spacing w:after="0"/>
              <w:rPr>
                <w:sz w:val="20"/>
                <w:szCs w:val="20"/>
                <w:color w:val="auto"/>
              </w:rPr>
            </w:pPr>
          </w:p>
        </w:tc>
        <w:tc>
          <w:tcPr>
            <w:tcW w:w="160" w:type="dxa"/>
            <w:vAlign w:val="bottom"/>
            <w:tcBorders>
              <w:bottom w:val="single" w:sz="8" w:color="231F20"/>
            </w:tcBorders>
            <w:shd w:val="clear" w:color="auto" w:fill="D0EBF2"/>
          </w:tcPr>
          <w:p>
            <w:pPr>
              <w:spacing w:after="0"/>
              <w:rPr>
                <w:sz w:val="20"/>
                <w:szCs w:val="20"/>
                <w:color w:val="auto"/>
              </w:rPr>
            </w:pPr>
          </w:p>
        </w:tc>
        <w:tc>
          <w:tcPr>
            <w:tcW w:w="900" w:type="dxa"/>
            <w:vAlign w:val="bottom"/>
            <w:tcBorders>
              <w:bottom w:val="single" w:sz="8" w:color="231F20"/>
            </w:tcBorders>
            <w:gridSpan w:val="2"/>
            <w:shd w:val="clear" w:color="auto" w:fill="D0EBF2"/>
          </w:tcPr>
          <w:p>
            <w:pPr>
              <w:jc w:val="right"/>
              <w:spacing w:after="0" w:line="217" w:lineRule="exact"/>
              <w:rPr>
                <w:sz w:val="20"/>
                <w:szCs w:val="20"/>
                <w:color w:val="auto"/>
              </w:rPr>
            </w:pPr>
            <w:r>
              <w:rPr>
                <w:rFonts w:ascii="Times New Roman" w:cs="Times New Roman" w:eastAsia="Times New Roman" w:hAnsi="Times New Roman"/>
                <w:sz w:val="19"/>
                <w:szCs w:val="19"/>
                <w:color w:val="231F20"/>
              </w:rPr>
              <w:t>(31,840)</w:t>
            </w:r>
          </w:p>
        </w:tc>
        <w:tc>
          <w:tcPr>
            <w:tcW w:w="140" w:type="dxa"/>
            <w:vAlign w:val="bottom"/>
            <w:tcBorders>
              <w:bottom w:val="single" w:sz="8" w:color="D0EBF2"/>
            </w:tcBorders>
            <w:shd w:val="clear" w:color="auto" w:fill="D0EBF2"/>
          </w:tcPr>
          <w:p>
            <w:pPr>
              <w:spacing w:after="0"/>
              <w:rPr>
                <w:sz w:val="20"/>
                <w:szCs w:val="20"/>
                <w:color w:val="auto"/>
              </w:rPr>
            </w:pPr>
          </w:p>
        </w:tc>
        <w:tc>
          <w:tcPr>
            <w:tcW w:w="80" w:type="dxa"/>
            <w:vAlign w:val="bottom"/>
            <w:tcBorders>
              <w:bottom w:val="single" w:sz="8" w:color="D0EBF2"/>
            </w:tcBorders>
            <w:shd w:val="clear" w:color="auto" w:fill="D0EBF2"/>
          </w:tcPr>
          <w:p>
            <w:pPr>
              <w:spacing w:after="0"/>
              <w:rPr>
                <w:sz w:val="20"/>
                <w:szCs w:val="20"/>
                <w:color w:val="auto"/>
              </w:rPr>
            </w:pPr>
          </w:p>
        </w:tc>
        <w:tc>
          <w:tcPr>
            <w:tcW w:w="180" w:type="dxa"/>
            <w:vAlign w:val="bottom"/>
            <w:tcBorders>
              <w:bottom w:val="single" w:sz="8" w:color="231F20"/>
            </w:tcBorders>
            <w:shd w:val="clear" w:color="auto" w:fill="D0EBF2"/>
          </w:tcPr>
          <w:p>
            <w:pPr>
              <w:spacing w:after="0"/>
              <w:rPr>
                <w:sz w:val="20"/>
                <w:szCs w:val="20"/>
                <w:color w:val="auto"/>
              </w:rPr>
            </w:pPr>
          </w:p>
        </w:tc>
        <w:tc>
          <w:tcPr>
            <w:tcW w:w="900" w:type="dxa"/>
            <w:vAlign w:val="bottom"/>
            <w:tcBorders>
              <w:bottom w:val="single" w:sz="8" w:color="231F20"/>
            </w:tcBorders>
            <w:gridSpan w:val="2"/>
            <w:shd w:val="clear" w:color="auto" w:fill="D0EBF2"/>
          </w:tcPr>
          <w:p>
            <w:pPr>
              <w:jc w:val="right"/>
              <w:ind w:right="20"/>
              <w:spacing w:after="0" w:line="217" w:lineRule="exact"/>
              <w:rPr>
                <w:sz w:val="20"/>
                <w:szCs w:val="20"/>
                <w:color w:val="auto"/>
              </w:rPr>
            </w:pPr>
            <w:r>
              <w:rPr>
                <w:rFonts w:ascii="Times New Roman" w:cs="Times New Roman" w:eastAsia="Times New Roman" w:hAnsi="Times New Roman"/>
                <w:sz w:val="19"/>
                <w:szCs w:val="19"/>
                <w:color w:val="231F20"/>
              </w:rPr>
              <w:t>—</w:t>
            </w:r>
          </w:p>
        </w:tc>
        <w:tc>
          <w:tcPr>
            <w:tcW w:w="180" w:type="dxa"/>
            <w:vAlign w:val="bottom"/>
            <w:tcBorders>
              <w:bottom w:val="single" w:sz="8" w:color="D0EBF2"/>
            </w:tcBorders>
            <w:shd w:val="clear" w:color="auto" w:fill="D0EBF2"/>
          </w:tcPr>
          <w:p>
            <w:pPr>
              <w:spacing w:after="0"/>
              <w:rPr>
                <w:sz w:val="20"/>
                <w:szCs w:val="20"/>
                <w:color w:val="auto"/>
              </w:rPr>
            </w:pPr>
          </w:p>
        </w:tc>
        <w:tc>
          <w:tcPr>
            <w:tcW w:w="60" w:type="dxa"/>
            <w:vAlign w:val="bottom"/>
            <w:tcBorders>
              <w:bottom w:val="single" w:sz="8" w:color="D0EBF2"/>
            </w:tcBorders>
            <w:shd w:val="clear" w:color="auto" w:fill="D0EBF2"/>
          </w:tcPr>
          <w:p>
            <w:pPr>
              <w:spacing w:after="0"/>
              <w:rPr>
                <w:sz w:val="20"/>
                <w:szCs w:val="20"/>
                <w:color w:val="auto"/>
              </w:rPr>
            </w:pPr>
          </w:p>
        </w:tc>
        <w:tc>
          <w:tcPr>
            <w:tcW w:w="160" w:type="dxa"/>
            <w:vAlign w:val="bottom"/>
            <w:tcBorders>
              <w:bottom w:val="single" w:sz="8" w:color="231F20"/>
            </w:tcBorders>
            <w:shd w:val="clear" w:color="auto" w:fill="D0EBF2"/>
          </w:tcPr>
          <w:p>
            <w:pPr>
              <w:spacing w:after="0"/>
              <w:rPr>
                <w:sz w:val="20"/>
                <w:szCs w:val="20"/>
                <w:color w:val="auto"/>
              </w:rPr>
            </w:pPr>
          </w:p>
        </w:tc>
        <w:tc>
          <w:tcPr>
            <w:tcW w:w="860" w:type="dxa"/>
            <w:vAlign w:val="bottom"/>
            <w:tcBorders>
              <w:bottom w:val="single" w:sz="8" w:color="231F20"/>
            </w:tcBorders>
            <w:shd w:val="clear" w:color="auto" w:fill="D0EBF2"/>
          </w:tcPr>
          <w:p>
            <w:pPr>
              <w:jc w:val="right"/>
              <w:spacing w:after="0" w:line="217" w:lineRule="exact"/>
              <w:rPr>
                <w:sz w:val="20"/>
                <w:szCs w:val="20"/>
                <w:color w:val="auto"/>
              </w:rPr>
            </w:pPr>
            <w:r>
              <w:rPr>
                <w:rFonts w:ascii="Times New Roman" w:cs="Times New Roman" w:eastAsia="Times New Roman" w:hAnsi="Times New Roman"/>
                <w:sz w:val="19"/>
                <w:szCs w:val="19"/>
                <w:color w:val="231F20"/>
              </w:rPr>
              <w:t>(31,840)</w:t>
            </w:r>
          </w:p>
        </w:tc>
        <w:tc>
          <w:tcPr>
            <w:tcW w:w="100" w:type="dxa"/>
            <w:vAlign w:val="bottom"/>
            <w:tcBorders>
              <w:bottom w:val="single" w:sz="8" w:color="D0EBF2"/>
            </w:tcBorders>
            <w:shd w:val="clear" w:color="auto" w:fill="D0EBF2"/>
          </w:tcPr>
          <w:p>
            <w:pPr>
              <w:spacing w:after="0"/>
              <w:rPr>
                <w:sz w:val="20"/>
                <w:szCs w:val="20"/>
                <w:color w:val="auto"/>
              </w:rPr>
            </w:pPr>
          </w:p>
        </w:tc>
      </w:tr>
      <w:tr>
        <w:trPr>
          <w:trHeight w:val="187"/>
        </w:trPr>
        <w:tc>
          <w:tcPr>
            <w:tcW w:w="4900" w:type="dxa"/>
            <w:vAlign w:val="bottom"/>
            <w:tcBorders>
              <w:top w:val="single" w:sz="8" w:color="FDFDFC"/>
            </w:tcBorders>
            <w:shd w:val="clear" w:color="auto" w:fill="FDFDFC"/>
          </w:tcPr>
          <w:p>
            <w:pPr>
              <w:ind w:left="180"/>
              <w:spacing w:after="0" w:line="187" w:lineRule="exact"/>
              <w:rPr>
                <w:sz w:val="20"/>
                <w:szCs w:val="20"/>
                <w:color w:val="auto"/>
              </w:rPr>
            </w:pPr>
            <w:r>
              <w:rPr>
                <w:rFonts w:ascii="Times New Roman" w:cs="Times New Roman" w:eastAsia="Times New Roman" w:hAnsi="Times New Roman"/>
                <w:sz w:val="19"/>
                <w:szCs w:val="19"/>
                <w:b w:val="1"/>
                <w:bCs w:val="1"/>
                <w:color w:val="231F20"/>
              </w:rPr>
              <w:t>Total</w:t>
            </w:r>
          </w:p>
        </w:tc>
        <w:tc>
          <w:tcPr>
            <w:tcW w:w="140" w:type="dxa"/>
            <w:vAlign w:val="bottom"/>
            <w:tcBorders>
              <w:top w:val="single" w:sz="8" w:color="FDFDFC"/>
            </w:tcBorders>
            <w:shd w:val="clear" w:color="auto" w:fill="FDFDFC"/>
          </w:tcPr>
          <w:p>
            <w:pPr>
              <w:spacing w:after="0"/>
              <w:rPr>
                <w:sz w:val="16"/>
                <w:szCs w:val="16"/>
                <w:color w:val="auto"/>
              </w:rPr>
            </w:pPr>
          </w:p>
        </w:tc>
        <w:tc>
          <w:tcPr>
            <w:tcW w:w="60" w:type="dxa"/>
            <w:vAlign w:val="bottom"/>
            <w:tcBorders>
              <w:top w:val="single" w:sz="8" w:color="FDFDFC"/>
            </w:tcBorders>
            <w:shd w:val="clear" w:color="auto" w:fill="FDFDFC"/>
          </w:tcPr>
          <w:p>
            <w:pPr>
              <w:spacing w:after="0"/>
              <w:rPr>
                <w:sz w:val="16"/>
                <w:szCs w:val="16"/>
                <w:color w:val="auto"/>
              </w:rPr>
            </w:pPr>
          </w:p>
        </w:tc>
        <w:tc>
          <w:tcPr>
            <w:tcW w:w="260" w:type="dxa"/>
            <w:vAlign w:val="bottom"/>
            <w:tcBorders>
              <w:top w:val="single" w:sz="8" w:color="231F20"/>
              <w:bottom w:val="single" w:sz="8" w:color="231F20"/>
            </w:tcBorders>
            <w:gridSpan w:val="2"/>
            <w:shd w:val="clear" w:color="auto" w:fill="FDFDFC"/>
          </w:tcPr>
          <w:p>
            <w:pPr>
              <w:jc w:val="right"/>
              <w:ind w:right="76"/>
              <w:spacing w:after="0" w:line="187" w:lineRule="exact"/>
              <w:rPr>
                <w:sz w:val="20"/>
                <w:szCs w:val="20"/>
                <w:color w:val="auto"/>
              </w:rPr>
            </w:pPr>
            <w:r>
              <w:rPr>
                <w:rFonts w:ascii="Times New Roman" w:cs="Times New Roman" w:eastAsia="Times New Roman" w:hAnsi="Times New Roman"/>
                <w:sz w:val="19"/>
                <w:szCs w:val="19"/>
                <w:color w:val="231F20"/>
                <w:w w:val="83"/>
              </w:rPr>
              <w:t>$</w:t>
            </w:r>
          </w:p>
        </w:tc>
        <w:tc>
          <w:tcPr>
            <w:tcW w:w="900" w:type="dxa"/>
            <w:vAlign w:val="bottom"/>
            <w:tcBorders>
              <w:top w:val="single" w:sz="8" w:color="231F20"/>
              <w:bottom w:val="single" w:sz="8" w:color="231F20"/>
            </w:tcBorders>
            <w:gridSpan w:val="2"/>
            <w:shd w:val="clear" w:color="auto" w:fill="FDFDFC"/>
          </w:tcPr>
          <w:p>
            <w:pPr>
              <w:jc w:val="right"/>
              <w:spacing w:after="0" w:line="187" w:lineRule="exact"/>
              <w:rPr>
                <w:sz w:val="20"/>
                <w:szCs w:val="20"/>
                <w:color w:val="auto"/>
              </w:rPr>
            </w:pPr>
            <w:r>
              <w:rPr>
                <w:rFonts w:ascii="Times New Roman" w:cs="Times New Roman" w:eastAsia="Times New Roman" w:hAnsi="Times New Roman"/>
                <w:sz w:val="19"/>
                <w:szCs w:val="19"/>
                <w:color w:val="231F20"/>
              </w:rPr>
              <w:t>5,180</w:t>
            </w:r>
          </w:p>
        </w:tc>
        <w:tc>
          <w:tcPr>
            <w:tcW w:w="40" w:type="dxa"/>
            <w:vAlign w:val="bottom"/>
            <w:tcBorders>
              <w:top w:val="single" w:sz="8" w:color="FDFDFC"/>
            </w:tcBorders>
            <w:shd w:val="clear" w:color="auto" w:fill="FDFDFC"/>
          </w:tcPr>
          <w:p>
            <w:pPr>
              <w:spacing w:after="0"/>
              <w:rPr>
                <w:sz w:val="16"/>
                <w:szCs w:val="16"/>
                <w:color w:val="auto"/>
              </w:rPr>
            </w:pPr>
          </w:p>
        </w:tc>
        <w:tc>
          <w:tcPr>
            <w:tcW w:w="180" w:type="dxa"/>
            <w:vAlign w:val="bottom"/>
            <w:tcBorders>
              <w:top w:val="single" w:sz="8" w:color="FDFDFC"/>
            </w:tcBorders>
            <w:gridSpan w:val="3"/>
            <w:shd w:val="clear" w:color="auto" w:fill="FDFDFC"/>
          </w:tcPr>
          <w:p>
            <w:pPr>
              <w:spacing w:after="0"/>
              <w:rPr>
                <w:sz w:val="16"/>
                <w:szCs w:val="16"/>
                <w:color w:val="auto"/>
              </w:rPr>
            </w:pPr>
          </w:p>
        </w:tc>
        <w:tc>
          <w:tcPr>
            <w:tcW w:w="160" w:type="dxa"/>
            <w:vAlign w:val="bottom"/>
            <w:tcBorders>
              <w:top w:val="single" w:sz="8" w:color="231F20"/>
              <w:bottom w:val="single" w:sz="8" w:color="231F20"/>
            </w:tcBorders>
            <w:shd w:val="clear" w:color="auto" w:fill="FDFDFC"/>
          </w:tcPr>
          <w:p>
            <w:pPr>
              <w:jc w:val="right"/>
              <w:spacing w:after="0" w:line="187" w:lineRule="exact"/>
              <w:rPr>
                <w:sz w:val="20"/>
                <w:szCs w:val="20"/>
                <w:color w:val="auto"/>
              </w:rPr>
            </w:pPr>
            <w:r>
              <w:rPr>
                <w:rFonts w:ascii="Times New Roman" w:cs="Times New Roman" w:eastAsia="Times New Roman" w:hAnsi="Times New Roman"/>
                <w:sz w:val="19"/>
                <w:szCs w:val="19"/>
                <w:color w:val="231F20"/>
                <w:w w:val="83"/>
              </w:rPr>
              <w:t>$</w:t>
            </w:r>
          </w:p>
        </w:tc>
        <w:tc>
          <w:tcPr>
            <w:tcW w:w="900" w:type="dxa"/>
            <w:vAlign w:val="bottom"/>
            <w:tcBorders>
              <w:top w:val="single" w:sz="8" w:color="231F20"/>
              <w:bottom w:val="single" w:sz="8" w:color="231F20"/>
            </w:tcBorders>
            <w:gridSpan w:val="2"/>
            <w:shd w:val="clear" w:color="auto" w:fill="FDFDFC"/>
          </w:tcPr>
          <w:p>
            <w:pPr>
              <w:jc w:val="right"/>
              <w:ind w:right="20"/>
              <w:spacing w:after="0" w:line="187" w:lineRule="exact"/>
              <w:rPr>
                <w:sz w:val="20"/>
                <w:szCs w:val="20"/>
                <w:color w:val="auto"/>
              </w:rPr>
            </w:pPr>
            <w:r>
              <w:rPr>
                <w:rFonts w:ascii="Times New Roman" w:cs="Times New Roman" w:eastAsia="Times New Roman" w:hAnsi="Times New Roman"/>
                <w:sz w:val="19"/>
                <w:szCs w:val="19"/>
                <w:color w:val="231F20"/>
              </w:rPr>
              <w:t>37,088</w:t>
            </w:r>
          </w:p>
        </w:tc>
        <w:tc>
          <w:tcPr>
            <w:tcW w:w="140" w:type="dxa"/>
            <w:vAlign w:val="bottom"/>
            <w:tcBorders>
              <w:top w:val="single" w:sz="8" w:color="FDFDFC"/>
            </w:tcBorders>
            <w:shd w:val="clear" w:color="auto" w:fill="FDFDFC"/>
          </w:tcPr>
          <w:p>
            <w:pPr>
              <w:spacing w:after="0"/>
              <w:rPr>
                <w:sz w:val="16"/>
                <w:szCs w:val="16"/>
                <w:color w:val="auto"/>
              </w:rPr>
            </w:pPr>
          </w:p>
        </w:tc>
        <w:tc>
          <w:tcPr>
            <w:tcW w:w="80" w:type="dxa"/>
            <w:vAlign w:val="bottom"/>
            <w:tcBorders>
              <w:top w:val="single" w:sz="8" w:color="FDFDFC"/>
            </w:tcBorders>
            <w:shd w:val="clear" w:color="auto" w:fill="FDFDFC"/>
          </w:tcPr>
          <w:p>
            <w:pPr>
              <w:spacing w:after="0"/>
              <w:rPr>
                <w:sz w:val="16"/>
                <w:szCs w:val="16"/>
                <w:color w:val="auto"/>
              </w:rPr>
            </w:pPr>
          </w:p>
        </w:tc>
        <w:tc>
          <w:tcPr>
            <w:tcW w:w="180" w:type="dxa"/>
            <w:vAlign w:val="bottom"/>
            <w:tcBorders>
              <w:top w:val="single" w:sz="8" w:color="231F20"/>
              <w:bottom w:val="single" w:sz="8" w:color="231F20"/>
            </w:tcBorders>
            <w:shd w:val="clear" w:color="auto" w:fill="FDFDFC"/>
          </w:tcPr>
          <w:p>
            <w:pPr>
              <w:jc w:val="right"/>
              <w:spacing w:after="0" w:line="187" w:lineRule="exact"/>
              <w:rPr>
                <w:sz w:val="20"/>
                <w:szCs w:val="20"/>
                <w:color w:val="auto"/>
              </w:rPr>
            </w:pPr>
            <w:r>
              <w:rPr>
                <w:rFonts w:ascii="Times New Roman" w:cs="Times New Roman" w:eastAsia="Times New Roman" w:hAnsi="Times New Roman"/>
                <w:sz w:val="19"/>
                <w:szCs w:val="19"/>
                <w:color w:val="231F20"/>
                <w:highlight w:val="white"/>
                <w:w w:val="83"/>
              </w:rPr>
              <w:t>$</w:t>
            </w:r>
          </w:p>
        </w:tc>
        <w:tc>
          <w:tcPr>
            <w:tcW w:w="900" w:type="dxa"/>
            <w:vAlign w:val="bottom"/>
            <w:tcBorders>
              <w:top w:val="single" w:sz="8" w:color="231F20"/>
              <w:bottom w:val="single" w:sz="8" w:color="231F20"/>
            </w:tcBorders>
            <w:gridSpan w:val="2"/>
            <w:shd w:val="clear" w:color="auto" w:fill="FDFDFC"/>
          </w:tcPr>
          <w:p>
            <w:pPr>
              <w:jc w:val="right"/>
              <w:ind w:right="20"/>
              <w:spacing w:after="0" w:line="187" w:lineRule="exact"/>
              <w:rPr>
                <w:sz w:val="20"/>
                <w:szCs w:val="20"/>
                <w:color w:val="auto"/>
              </w:rPr>
            </w:pPr>
            <w:r>
              <w:rPr>
                <w:rFonts w:ascii="Times New Roman" w:cs="Times New Roman" w:eastAsia="Times New Roman" w:hAnsi="Times New Roman"/>
                <w:sz w:val="19"/>
                <w:szCs w:val="19"/>
                <w:color w:val="231F20"/>
                <w:highlight w:val="white"/>
              </w:rPr>
              <w:t>3,208,957</w:t>
            </w:r>
          </w:p>
        </w:tc>
        <w:tc>
          <w:tcPr>
            <w:tcW w:w="180" w:type="dxa"/>
            <w:vAlign w:val="bottom"/>
            <w:tcBorders>
              <w:top w:val="single" w:sz="8" w:color="FDFDFC"/>
            </w:tcBorders>
            <w:shd w:val="clear" w:color="auto" w:fill="FDFDFC"/>
          </w:tcPr>
          <w:p>
            <w:pPr>
              <w:spacing w:after="0"/>
              <w:rPr>
                <w:sz w:val="16"/>
                <w:szCs w:val="16"/>
                <w:color w:val="auto"/>
              </w:rPr>
            </w:pPr>
          </w:p>
        </w:tc>
        <w:tc>
          <w:tcPr>
            <w:tcW w:w="60" w:type="dxa"/>
            <w:vAlign w:val="bottom"/>
            <w:tcBorders>
              <w:top w:val="single" w:sz="8" w:color="FDFDFC"/>
            </w:tcBorders>
            <w:shd w:val="clear" w:color="auto" w:fill="FDFDFC"/>
          </w:tcPr>
          <w:p>
            <w:pPr>
              <w:spacing w:after="0"/>
              <w:rPr>
                <w:sz w:val="16"/>
                <w:szCs w:val="16"/>
                <w:color w:val="auto"/>
              </w:rPr>
            </w:pPr>
          </w:p>
        </w:tc>
        <w:tc>
          <w:tcPr>
            <w:tcW w:w="160" w:type="dxa"/>
            <w:vAlign w:val="bottom"/>
            <w:tcBorders>
              <w:top w:val="single" w:sz="8" w:color="231F20"/>
              <w:bottom w:val="single" w:sz="8" w:color="231F20"/>
            </w:tcBorders>
            <w:shd w:val="clear" w:color="auto" w:fill="FDFDFC"/>
          </w:tcPr>
          <w:p>
            <w:pPr>
              <w:jc w:val="right"/>
              <w:spacing w:after="0" w:line="187" w:lineRule="exact"/>
              <w:rPr>
                <w:sz w:val="20"/>
                <w:szCs w:val="20"/>
                <w:color w:val="auto"/>
              </w:rPr>
            </w:pPr>
            <w:r>
              <w:rPr>
                <w:rFonts w:ascii="Times New Roman" w:cs="Times New Roman" w:eastAsia="Times New Roman" w:hAnsi="Times New Roman"/>
                <w:sz w:val="17"/>
                <w:szCs w:val="17"/>
                <w:color w:val="231F20"/>
                <w:highlight w:val="white"/>
                <w:w w:val="70"/>
              </w:rPr>
              <w:t>$</w:t>
            </w:r>
          </w:p>
        </w:tc>
        <w:tc>
          <w:tcPr>
            <w:tcW w:w="860" w:type="dxa"/>
            <w:vAlign w:val="bottom"/>
            <w:tcBorders>
              <w:top w:val="single" w:sz="8" w:color="231F20"/>
              <w:bottom w:val="single" w:sz="8" w:color="231F20"/>
            </w:tcBorders>
            <w:shd w:val="clear" w:color="auto" w:fill="FDFDFC"/>
          </w:tcPr>
          <w:p>
            <w:pPr>
              <w:jc w:val="right"/>
              <w:spacing w:after="0" w:line="187" w:lineRule="exact"/>
              <w:rPr>
                <w:sz w:val="20"/>
                <w:szCs w:val="20"/>
                <w:color w:val="auto"/>
              </w:rPr>
            </w:pPr>
            <w:r>
              <w:rPr>
                <w:rFonts w:ascii="Times New Roman" w:cs="Times New Roman" w:eastAsia="Times New Roman" w:hAnsi="Times New Roman"/>
                <w:sz w:val="19"/>
                <w:szCs w:val="19"/>
                <w:color w:val="231F20"/>
                <w:highlight w:val="white"/>
              </w:rPr>
              <w:t>3,251,225</w:t>
            </w:r>
          </w:p>
        </w:tc>
        <w:tc>
          <w:tcPr>
            <w:tcW w:w="100" w:type="dxa"/>
            <w:vAlign w:val="bottom"/>
            <w:tcBorders>
              <w:top w:val="single" w:sz="8" w:color="FDFDFC"/>
            </w:tcBorders>
            <w:shd w:val="clear" w:color="auto" w:fill="FDFDFC"/>
          </w:tcPr>
          <w:p>
            <w:pPr>
              <w:spacing w:after="0"/>
              <w:rPr>
                <w:sz w:val="16"/>
                <w:szCs w:val="16"/>
                <w:color w:val="auto"/>
              </w:rPr>
            </w:pPr>
          </w:p>
        </w:tc>
      </w:tr>
      <w:tr>
        <w:trPr>
          <w:trHeight w:val="20"/>
        </w:trPr>
        <w:tc>
          <w:tcPr>
            <w:tcW w:w="49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231F20"/>
            </w:tcBorders>
          </w:tcPr>
          <w:p>
            <w:pPr>
              <w:spacing w:after="0" w:line="20" w:lineRule="exact"/>
              <w:rPr>
                <w:sz w:val="1"/>
                <w:szCs w:val="1"/>
                <w:color w:val="auto"/>
              </w:rPr>
            </w:pPr>
          </w:p>
        </w:tc>
        <w:tc>
          <w:tcPr>
            <w:tcW w:w="180" w:type="dxa"/>
            <w:vAlign w:val="bottom"/>
            <w:tcBorders>
              <w:bottom w:val="single" w:sz="8" w:color="231F20"/>
            </w:tcBorders>
          </w:tcPr>
          <w:p>
            <w:pPr>
              <w:spacing w:after="0" w:line="20" w:lineRule="exact"/>
              <w:rPr>
                <w:sz w:val="1"/>
                <w:szCs w:val="1"/>
                <w:color w:val="auto"/>
              </w:rPr>
            </w:pPr>
          </w:p>
        </w:tc>
        <w:tc>
          <w:tcPr>
            <w:tcW w:w="840" w:type="dxa"/>
            <w:vAlign w:val="bottom"/>
            <w:tcBorders>
              <w:bottom w:val="single" w:sz="8" w:color="231F20"/>
            </w:tcBorders>
          </w:tcPr>
          <w:p>
            <w:pPr>
              <w:spacing w:after="0" w:line="20" w:lineRule="exact"/>
              <w:rPr>
                <w:sz w:val="1"/>
                <w:szCs w:val="1"/>
                <w:color w:val="auto"/>
              </w:rPr>
            </w:pPr>
          </w:p>
        </w:tc>
        <w:tc>
          <w:tcPr>
            <w:tcW w:w="60" w:type="dxa"/>
            <w:vAlign w:val="bottom"/>
            <w:tcBorders>
              <w:bottom w:val="single" w:sz="8" w:color="231F20"/>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bottom w:val="single" w:sz="8" w:color="231F20"/>
            </w:tcBorders>
          </w:tcPr>
          <w:p>
            <w:pPr>
              <w:spacing w:after="0" w:line="20" w:lineRule="exact"/>
              <w:rPr>
                <w:sz w:val="1"/>
                <w:szCs w:val="1"/>
                <w:color w:val="auto"/>
              </w:rPr>
            </w:pPr>
          </w:p>
        </w:tc>
        <w:tc>
          <w:tcPr>
            <w:tcW w:w="820" w:type="dxa"/>
            <w:vAlign w:val="bottom"/>
            <w:tcBorders>
              <w:bottom w:val="single" w:sz="8" w:color="231F20"/>
            </w:tcBorders>
          </w:tcPr>
          <w:p>
            <w:pPr>
              <w:spacing w:after="0" w:line="20" w:lineRule="exact"/>
              <w:rPr>
                <w:sz w:val="1"/>
                <w:szCs w:val="1"/>
                <w:color w:val="auto"/>
              </w:rPr>
            </w:pPr>
          </w:p>
        </w:tc>
        <w:tc>
          <w:tcPr>
            <w:tcW w:w="80" w:type="dxa"/>
            <w:vAlign w:val="bottom"/>
            <w:tcBorders>
              <w:bottom w:val="single" w:sz="8" w:color="231F20"/>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231F20"/>
            </w:tcBorders>
          </w:tcPr>
          <w:p>
            <w:pPr>
              <w:spacing w:after="0" w:line="20" w:lineRule="exact"/>
              <w:rPr>
                <w:sz w:val="1"/>
                <w:szCs w:val="1"/>
                <w:color w:val="auto"/>
              </w:rPr>
            </w:pPr>
          </w:p>
        </w:tc>
        <w:tc>
          <w:tcPr>
            <w:tcW w:w="840" w:type="dxa"/>
            <w:vAlign w:val="bottom"/>
            <w:tcBorders>
              <w:bottom w:val="single" w:sz="8" w:color="231F20"/>
            </w:tcBorders>
          </w:tcPr>
          <w:p>
            <w:pPr>
              <w:spacing w:after="0" w:line="20" w:lineRule="exact"/>
              <w:rPr>
                <w:sz w:val="1"/>
                <w:szCs w:val="1"/>
                <w:color w:val="auto"/>
              </w:rPr>
            </w:pPr>
          </w:p>
        </w:tc>
        <w:tc>
          <w:tcPr>
            <w:tcW w:w="60" w:type="dxa"/>
            <w:vAlign w:val="bottom"/>
            <w:tcBorders>
              <w:bottom w:val="single" w:sz="8" w:color="231F20"/>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231F20"/>
            </w:tcBorders>
          </w:tcPr>
          <w:p>
            <w:pPr>
              <w:spacing w:after="0" w:line="20" w:lineRule="exact"/>
              <w:rPr>
                <w:sz w:val="1"/>
                <w:szCs w:val="1"/>
                <w:color w:val="auto"/>
              </w:rPr>
            </w:pPr>
          </w:p>
        </w:tc>
        <w:tc>
          <w:tcPr>
            <w:tcW w:w="860" w:type="dxa"/>
            <w:vAlign w:val="bottom"/>
            <w:tcBorders>
              <w:bottom w:val="single" w:sz="8" w:color="231F20"/>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9"/>
          <w:szCs w:val="19"/>
          <w:color w:val="231F20"/>
        </w:rPr>
        <w:t>Transfers between levels, if any, are recognized at the beginning of the quarter in which the transfers occur.</w:t>
      </w:r>
    </w:p>
    <w:p>
      <w:pPr>
        <w:spacing w:after="0" w:line="225" w:lineRule="exact"/>
        <w:rPr>
          <w:sz w:val="20"/>
          <w:szCs w:val="20"/>
          <w:color w:val="auto"/>
        </w:rPr>
      </w:pPr>
    </w:p>
    <w:p>
      <w:pPr>
        <w:ind w:right="200" w:firstLine="231"/>
        <w:spacing w:after="0" w:line="275" w:lineRule="auto"/>
        <w:rPr>
          <w:sz w:val="20"/>
          <w:szCs w:val="20"/>
          <w:color w:val="auto"/>
        </w:rPr>
      </w:pPr>
      <w:r>
        <w:rPr>
          <w:rFonts w:ascii="Times New Roman" w:cs="Times New Roman" w:eastAsia="Times New Roman" w:hAnsi="Times New Roman"/>
          <w:sz w:val="19"/>
          <w:szCs w:val="19"/>
          <w:color w:val="231F20"/>
        </w:rPr>
        <w:t>The following tables present the changes in the fair value of investments for which Level 3 inputs were used to determine the fair value as of and for the year ended December 31, 2024 and December 31, 2023:</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4080" w:type="dxa"/>
            <w:vAlign w:val="bottom"/>
            <w:shd w:val="clear" w:color="auto" w:fill="FDFDFC"/>
          </w:tcPr>
          <w:p>
            <w:pPr>
              <w:spacing w:after="0"/>
              <w:rPr>
                <w:sz w:val="15"/>
                <w:szCs w:val="15"/>
                <w:color w:val="auto"/>
              </w:rPr>
            </w:pPr>
          </w:p>
        </w:tc>
        <w:tc>
          <w:tcPr>
            <w:tcW w:w="200" w:type="dxa"/>
            <w:vAlign w:val="bottom"/>
            <w:shd w:val="clear" w:color="auto" w:fill="FDFDFC"/>
          </w:tcPr>
          <w:p>
            <w:pPr>
              <w:spacing w:after="0"/>
              <w:rPr>
                <w:sz w:val="15"/>
                <w:szCs w:val="15"/>
                <w:color w:val="auto"/>
              </w:rPr>
            </w:pPr>
          </w:p>
        </w:tc>
        <w:tc>
          <w:tcPr>
            <w:tcW w:w="1200" w:type="dxa"/>
            <w:vAlign w:val="bottom"/>
            <w:shd w:val="clear" w:color="auto" w:fill="FDFDFC"/>
          </w:tcPr>
          <w:p>
            <w:pPr>
              <w:spacing w:after="0"/>
              <w:rPr>
                <w:sz w:val="15"/>
                <w:szCs w:val="15"/>
                <w:color w:val="auto"/>
              </w:rPr>
            </w:pPr>
          </w:p>
        </w:tc>
        <w:tc>
          <w:tcPr>
            <w:tcW w:w="100" w:type="dxa"/>
            <w:vAlign w:val="bottom"/>
            <w:shd w:val="clear" w:color="auto" w:fill="FDFDFC"/>
          </w:tcPr>
          <w:p>
            <w:pPr>
              <w:spacing w:after="0"/>
              <w:rPr>
                <w:sz w:val="15"/>
                <w:szCs w:val="15"/>
                <w:color w:val="auto"/>
              </w:rPr>
            </w:pPr>
          </w:p>
        </w:tc>
        <w:tc>
          <w:tcPr>
            <w:tcW w:w="120" w:type="dxa"/>
            <w:vAlign w:val="bottom"/>
            <w:shd w:val="clear" w:color="auto" w:fill="FDFDFC"/>
          </w:tcPr>
          <w:p>
            <w:pPr>
              <w:spacing w:after="0"/>
              <w:rPr>
                <w:sz w:val="15"/>
                <w:szCs w:val="15"/>
                <w:color w:val="auto"/>
              </w:rPr>
            </w:pPr>
          </w:p>
        </w:tc>
        <w:tc>
          <w:tcPr>
            <w:tcW w:w="100" w:type="dxa"/>
            <w:vAlign w:val="bottom"/>
            <w:shd w:val="clear" w:color="auto" w:fill="FDFDFC"/>
          </w:tcPr>
          <w:p>
            <w:pPr>
              <w:spacing w:after="0"/>
              <w:rPr>
                <w:sz w:val="15"/>
                <w:szCs w:val="15"/>
                <w:color w:val="auto"/>
              </w:rPr>
            </w:pPr>
          </w:p>
        </w:tc>
        <w:tc>
          <w:tcPr>
            <w:tcW w:w="2220" w:type="dxa"/>
            <w:vAlign w:val="bottom"/>
            <w:gridSpan w:val="6"/>
            <w:shd w:val="clear" w:color="auto" w:fill="FDFDFC"/>
          </w:tcPr>
          <w:p>
            <w:pPr>
              <w:jc w:val="right"/>
              <w:spacing w:after="0"/>
              <w:rPr>
                <w:sz w:val="20"/>
                <w:szCs w:val="20"/>
                <w:color w:val="auto"/>
              </w:rPr>
            </w:pPr>
            <w:r>
              <w:rPr>
                <w:rFonts w:ascii="Times New Roman" w:cs="Times New Roman" w:eastAsia="Times New Roman" w:hAnsi="Times New Roman"/>
                <w:sz w:val="15"/>
                <w:szCs w:val="15"/>
                <w:b w:val="1"/>
                <w:bCs w:val="1"/>
                <w:color w:val="231F20"/>
              </w:rPr>
              <w:t>As of and for the Year Ended</w:t>
            </w:r>
          </w:p>
        </w:tc>
        <w:tc>
          <w:tcPr>
            <w:tcW w:w="140" w:type="dxa"/>
            <w:vAlign w:val="bottom"/>
            <w:shd w:val="clear" w:color="auto" w:fill="FDFDFC"/>
          </w:tcPr>
          <w:p>
            <w:pPr>
              <w:spacing w:after="0"/>
              <w:rPr>
                <w:sz w:val="15"/>
                <w:szCs w:val="15"/>
                <w:color w:val="auto"/>
              </w:rPr>
            </w:pPr>
          </w:p>
        </w:tc>
        <w:tc>
          <w:tcPr>
            <w:tcW w:w="820" w:type="dxa"/>
            <w:vAlign w:val="bottom"/>
            <w:shd w:val="clear" w:color="auto" w:fill="FDFDFC"/>
          </w:tcPr>
          <w:p>
            <w:pPr>
              <w:spacing w:after="0"/>
              <w:rPr>
                <w:sz w:val="15"/>
                <w:szCs w:val="15"/>
                <w:color w:val="auto"/>
              </w:rPr>
            </w:pPr>
          </w:p>
        </w:tc>
        <w:tc>
          <w:tcPr>
            <w:tcW w:w="100" w:type="dxa"/>
            <w:vAlign w:val="bottom"/>
            <w:shd w:val="clear" w:color="auto" w:fill="FDFDFC"/>
          </w:tcPr>
          <w:p>
            <w:pPr>
              <w:spacing w:after="0"/>
              <w:rPr>
                <w:sz w:val="15"/>
                <w:szCs w:val="15"/>
                <w:color w:val="auto"/>
              </w:rPr>
            </w:pPr>
          </w:p>
        </w:tc>
        <w:tc>
          <w:tcPr>
            <w:tcW w:w="120" w:type="dxa"/>
            <w:vAlign w:val="bottom"/>
            <w:shd w:val="clear" w:color="auto" w:fill="FDFDFC"/>
          </w:tcPr>
          <w:p>
            <w:pPr>
              <w:spacing w:after="0"/>
              <w:rPr>
                <w:sz w:val="15"/>
                <w:szCs w:val="15"/>
                <w:color w:val="auto"/>
              </w:rPr>
            </w:pPr>
          </w:p>
        </w:tc>
        <w:tc>
          <w:tcPr>
            <w:tcW w:w="900" w:type="dxa"/>
            <w:vAlign w:val="bottom"/>
            <w:shd w:val="clear" w:color="auto" w:fill="FDFDFC"/>
          </w:tcPr>
          <w:p>
            <w:pPr>
              <w:spacing w:after="0"/>
              <w:rPr>
                <w:sz w:val="15"/>
                <w:szCs w:val="15"/>
                <w:color w:val="auto"/>
              </w:rPr>
            </w:pPr>
          </w:p>
        </w:tc>
        <w:tc>
          <w:tcPr>
            <w:tcW w:w="100" w:type="dxa"/>
            <w:vAlign w:val="bottom"/>
            <w:shd w:val="clear" w:color="auto" w:fill="FDFDFC"/>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4080" w:type="dxa"/>
            <w:vAlign w:val="bottom"/>
            <w:tcBorders>
              <w:bottom w:val="single" w:sz="8" w:color="FDFDFC"/>
            </w:tcBorders>
            <w:shd w:val="clear" w:color="auto" w:fill="FDFDFC"/>
          </w:tcPr>
          <w:p>
            <w:pPr>
              <w:spacing w:after="0"/>
              <w:rPr>
                <w:sz w:val="15"/>
                <w:szCs w:val="15"/>
                <w:color w:val="auto"/>
              </w:rPr>
            </w:pPr>
          </w:p>
        </w:tc>
        <w:tc>
          <w:tcPr>
            <w:tcW w:w="200" w:type="dxa"/>
            <w:vAlign w:val="bottom"/>
            <w:tcBorders>
              <w:bottom w:val="single" w:sz="8" w:color="231F20"/>
            </w:tcBorders>
            <w:shd w:val="clear" w:color="auto" w:fill="FDFDFC"/>
          </w:tcPr>
          <w:p>
            <w:pPr>
              <w:spacing w:after="0"/>
              <w:rPr>
                <w:sz w:val="15"/>
                <w:szCs w:val="15"/>
                <w:color w:val="auto"/>
              </w:rPr>
            </w:pPr>
          </w:p>
        </w:tc>
        <w:tc>
          <w:tcPr>
            <w:tcW w:w="1200" w:type="dxa"/>
            <w:vAlign w:val="bottom"/>
            <w:tcBorders>
              <w:bottom w:val="single" w:sz="8" w:color="231F20"/>
            </w:tcBorders>
            <w:shd w:val="clear" w:color="auto" w:fill="FDFDFC"/>
          </w:tcPr>
          <w:p>
            <w:pPr>
              <w:spacing w:after="0"/>
              <w:rPr>
                <w:sz w:val="15"/>
                <w:szCs w:val="15"/>
                <w:color w:val="auto"/>
              </w:rPr>
            </w:pPr>
          </w:p>
        </w:tc>
        <w:tc>
          <w:tcPr>
            <w:tcW w:w="100" w:type="dxa"/>
            <w:vAlign w:val="bottom"/>
            <w:tcBorders>
              <w:bottom w:val="single" w:sz="8" w:color="231F20"/>
            </w:tcBorders>
            <w:shd w:val="clear" w:color="auto" w:fill="FDFDFC"/>
          </w:tcPr>
          <w:p>
            <w:pPr>
              <w:spacing w:after="0"/>
              <w:rPr>
                <w:sz w:val="15"/>
                <w:szCs w:val="15"/>
                <w:color w:val="auto"/>
              </w:rPr>
            </w:pPr>
          </w:p>
        </w:tc>
        <w:tc>
          <w:tcPr>
            <w:tcW w:w="120" w:type="dxa"/>
            <w:vAlign w:val="bottom"/>
            <w:tcBorders>
              <w:bottom w:val="single" w:sz="8" w:color="231F20"/>
            </w:tcBorders>
            <w:shd w:val="clear" w:color="auto" w:fill="FDFDFC"/>
          </w:tcPr>
          <w:p>
            <w:pPr>
              <w:spacing w:after="0"/>
              <w:rPr>
                <w:sz w:val="15"/>
                <w:szCs w:val="15"/>
                <w:color w:val="auto"/>
              </w:rPr>
            </w:pPr>
          </w:p>
        </w:tc>
        <w:tc>
          <w:tcPr>
            <w:tcW w:w="100" w:type="dxa"/>
            <w:vAlign w:val="bottom"/>
            <w:tcBorders>
              <w:bottom w:val="single" w:sz="8" w:color="231F20"/>
            </w:tcBorders>
            <w:shd w:val="clear" w:color="auto" w:fill="FDFDFC"/>
          </w:tcPr>
          <w:p>
            <w:pPr>
              <w:spacing w:after="0"/>
              <w:rPr>
                <w:sz w:val="15"/>
                <w:szCs w:val="15"/>
                <w:color w:val="auto"/>
              </w:rPr>
            </w:pPr>
          </w:p>
        </w:tc>
        <w:tc>
          <w:tcPr>
            <w:tcW w:w="2220" w:type="dxa"/>
            <w:vAlign w:val="bottom"/>
            <w:tcBorders>
              <w:bottom w:val="single" w:sz="8" w:color="231F20"/>
            </w:tcBorders>
            <w:gridSpan w:val="6"/>
            <w:shd w:val="clear" w:color="auto" w:fill="FDFDFC"/>
          </w:tcPr>
          <w:p>
            <w:pPr>
              <w:jc w:val="right"/>
              <w:ind w:right="340"/>
              <w:spacing w:after="0"/>
              <w:rPr>
                <w:sz w:val="20"/>
                <w:szCs w:val="20"/>
                <w:color w:val="auto"/>
              </w:rPr>
            </w:pPr>
            <w:r>
              <w:rPr>
                <w:rFonts w:ascii="Times New Roman" w:cs="Times New Roman" w:eastAsia="Times New Roman" w:hAnsi="Times New Roman"/>
                <w:sz w:val="15"/>
                <w:szCs w:val="15"/>
                <w:b w:val="1"/>
                <w:bCs w:val="1"/>
                <w:color w:val="231F20"/>
              </w:rPr>
              <w:t>December 31, 2024</w:t>
            </w:r>
          </w:p>
        </w:tc>
        <w:tc>
          <w:tcPr>
            <w:tcW w:w="140" w:type="dxa"/>
            <w:vAlign w:val="bottom"/>
            <w:tcBorders>
              <w:bottom w:val="single" w:sz="8" w:color="231F20"/>
            </w:tcBorders>
            <w:shd w:val="clear" w:color="auto" w:fill="FDFDFC"/>
          </w:tcPr>
          <w:p>
            <w:pPr>
              <w:spacing w:after="0"/>
              <w:rPr>
                <w:sz w:val="15"/>
                <w:szCs w:val="15"/>
                <w:color w:val="auto"/>
              </w:rPr>
            </w:pPr>
          </w:p>
        </w:tc>
        <w:tc>
          <w:tcPr>
            <w:tcW w:w="820" w:type="dxa"/>
            <w:vAlign w:val="bottom"/>
            <w:tcBorders>
              <w:bottom w:val="single" w:sz="8" w:color="231F20"/>
            </w:tcBorders>
            <w:shd w:val="clear" w:color="auto" w:fill="FDFDFC"/>
          </w:tcPr>
          <w:p>
            <w:pPr>
              <w:spacing w:after="0"/>
              <w:rPr>
                <w:sz w:val="15"/>
                <w:szCs w:val="15"/>
                <w:color w:val="auto"/>
              </w:rPr>
            </w:pPr>
          </w:p>
        </w:tc>
        <w:tc>
          <w:tcPr>
            <w:tcW w:w="100" w:type="dxa"/>
            <w:vAlign w:val="bottom"/>
            <w:tcBorders>
              <w:bottom w:val="single" w:sz="8" w:color="231F20"/>
            </w:tcBorders>
            <w:shd w:val="clear" w:color="auto" w:fill="FDFDFC"/>
          </w:tcPr>
          <w:p>
            <w:pPr>
              <w:spacing w:after="0"/>
              <w:rPr>
                <w:sz w:val="15"/>
                <w:szCs w:val="15"/>
                <w:color w:val="auto"/>
              </w:rPr>
            </w:pPr>
          </w:p>
        </w:tc>
        <w:tc>
          <w:tcPr>
            <w:tcW w:w="120" w:type="dxa"/>
            <w:vAlign w:val="bottom"/>
            <w:tcBorders>
              <w:bottom w:val="single" w:sz="8" w:color="231F20"/>
            </w:tcBorders>
            <w:shd w:val="clear" w:color="auto" w:fill="FDFDFC"/>
          </w:tcPr>
          <w:p>
            <w:pPr>
              <w:spacing w:after="0"/>
              <w:rPr>
                <w:sz w:val="15"/>
                <w:szCs w:val="15"/>
                <w:color w:val="auto"/>
              </w:rPr>
            </w:pPr>
          </w:p>
        </w:tc>
        <w:tc>
          <w:tcPr>
            <w:tcW w:w="900" w:type="dxa"/>
            <w:vAlign w:val="bottom"/>
            <w:tcBorders>
              <w:bottom w:val="single" w:sz="8" w:color="231F20"/>
            </w:tcBorders>
            <w:shd w:val="clear" w:color="auto" w:fill="FDFDFC"/>
          </w:tcPr>
          <w:p>
            <w:pPr>
              <w:spacing w:after="0"/>
              <w:rPr>
                <w:sz w:val="15"/>
                <w:szCs w:val="15"/>
                <w:color w:val="auto"/>
              </w:rPr>
            </w:pPr>
          </w:p>
        </w:tc>
        <w:tc>
          <w:tcPr>
            <w:tcW w:w="100" w:type="dxa"/>
            <w:vAlign w:val="bottom"/>
            <w:tcBorders>
              <w:bottom w:val="single" w:sz="8" w:color="FDFDFC"/>
            </w:tcBorders>
            <w:shd w:val="clear" w:color="auto" w:fill="FDFDFC"/>
          </w:tcPr>
          <w:p>
            <w:pPr>
              <w:spacing w:after="0"/>
              <w:rPr>
                <w:sz w:val="15"/>
                <w:szCs w:val="15"/>
                <w:color w:val="auto"/>
              </w:rPr>
            </w:pPr>
          </w:p>
        </w:tc>
        <w:tc>
          <w:tcPr>
            <w:tcW w:w="0" w:type="dxa"/>
            <w:vAlign w:val="bottom"/>
          </w:tcPr>
          <w:p>
            <w:pPr>
              <w:spacing w:after="0"/>
              <w:rPr>
                <w:sz w:val="1"/>
                <w:szCs w:val="1"/>
                <w:color w:val="auto"/>
              </w:rPr>
            </w:pPr>
          </w:p>
        </w:tc>
      </w:tr>
      <w:tr>
        <w:trPr>
          <w:trHeight w:val="146"/>
        </w:trPr>
        <w:tc>
          <w:tcPr>
            <w:tcW w:w="4080" w:type="dxa"/>
            <w:vAlign w:val="bottom"/>
            <w:shd w:val="clear" w:color="auto" w:fill="FDFDFC"/>
          </w:tcPr>
          <w:p>
            <w:pPr>
              <w:spacing w:after="0"/>
              <w:rPr>
                <w:sz w:val="12"/>
                <w:szCs w:val="12"/>
                <w:color w:val="auto"/>
              </w:rPr>
            </w:pPr>
          </w:p>
        </w:tc>
        <w:tc>
          <w:tcPr>
            <w:tcW w:w="200" w:type="dxa"/>
            <w:vAlign w:val="bottom"/>
            <w:shd w:val="clear" w:color="auto" w:fill="FDFDFC"/>
          </w:tcPr>
          <w:p>
            <w:pPr>
              <w:spacing w:after="0"/>
              <w:rPr>
                <w:sz w:val="12"/>
                <w:szCs w:val="12"/>
                <w:color w:val="auto"/>
              </w:rPr>
            </w:pPr>
          </w:p>
        </w:tc>
        <w:tc>
          <w:tcPr>
            <w:tcW w:w="1200" w:type="dxa"/>
            <w:vAlign w:val="bottom"/>
            <w:shd w:val="clear" w:color="auto" w:fill="FDFDFC"/>
          </w:tcPr>
          <w:p>
            <w:pPr>
              <w:jc w:val="center"/>
              <w:ind w:right="130"/>
              <w:spacing w:after="0" w:line="146" w:lineRule="exact"/>
              <w:rPr>
                <w:sz w:val="20"/>
                <w:szCs w:val="20"/>
                <w:color w:val="auto"/>
              </w:rPr>
            </w:pPr>
            <w:r>
              <w:rPr>
                <w:rFonts w:ascii="Times New Roman" w:cs="Times New Roman" w:eastAsia="Times New Roman" w:hAnsi="Times New Roman"/>
                <w:sz w:val="15"/>
                <w:szCs w:val="15"/>
                <w:b w:val="1"/>
                <w:bCs w:val="1"/>
                <w:color w:val="231F20"/>
                <w:w w:val="97"/>
              </w:rPr>
              <w:t>First-lien</w:t>
            </w:r>
          </w:p>
        </w:tc>
        <w:tc>
          <w:tcPr>
            <w:tcW w:w="100" w:type="dxa"/>
            <w:vAlign w:val="bottom"/>
            <w:shd w:val="clear" w:color="auto" w:fill="FDFDFC"/>
          </w:tcPr>
          <w:p>
            <w:pPr>
              <w:spacing w:after="0"/>
              <w:rPr>
                <w:sz w:val="12"/>
                <w:szCs w:val="12"/>
                <w:color w:val="auto"/>
              </w:rPr>
            </w:pPr>
          </w:p>
        </w:tc>
        <w:tc>
          <w:tcPr>
            <w:tcW w:w="120" w:type="dxa"/>
            <w:vAlign w:val="bottom"/>
            <w:shd w:val="clear" w:color="auto" w:fill="FDFDFC"/>
          </w:tcPr>
          <w:p>
            <w:pPr>
              <w:spacing w:after="0"/>
              <w:rPr>
                <w:sz w:val="12"/>
                <w:szCs w:val="12"/>
                <w:color w:val="auto"/>
              </w:rPr>
            </w:pPr>
          </w:p>
        </w:tc>
        <w:tc>
          <w:tcPr>
            <w:tcW w:w="100" w:type="dxa"/>
            <w:vAlign w:val="bottom"/>
            <w:shd w:val="clear" w:color="auto" w:fill="FDFDFC"/>
          </w:tcPr>
          <w:p>
            <w:pPr>
              <w:spacing w:after="0"/>
              <w:rPr>
                <w:sz w:val="12"/>
                <w:szCs w:val="12"/>
                <w:color w:val="auto"/>
              </w:rPr>
            </w:pPr>
          </w:p>
        </w:tc>
        <w:tc>
          <w:tcPr>
            <w:tcW w:w="840" w:type="dxa"/>
            <w:vAlign w:val="bottom"/>
            <w:shd w:val="clear" w:color="auto" w:fill="FDFDFC"/>
          </w:tcPr>
          <w:p>
            <w:pPr>
              <w:jc w:val="center"/>
              <w:ind w:right="11"/>
              <w:spacing w:after="0" w:line="146" w:lineRule="exact"/>
              <w:rPr>
                <w:sz w:val="20"/>
                <w:szCs w:val="20"/>
                <w:color w:val="auto"/>
              </w:rPr>
            </w:pPr>
            <w:r>
              <w:rPr>
                <w:rFonts w:ascii="Times New Roman" w:cs="Times New Roman" w:eastAsia="Times New Roman" w:hAnsi="Times New Roman"/>
                <w:sz w:val="15"/>
                <w:szCs w:val="15"/>
                <w:b w:val="1"/>
                <w:bCs w:val="1"/>
                <w:color w:val="231F20"/>
                <w:w w:val="99"/>
              </w:rPr>
              <w:t>Second-lien</w:t>
            </w:r>
          </w:p>
        </w:tc>
        <w:tc>
          <w:tcPr>
            <w:tcW w:w="120" w:type="dxa"/>
            <w:vAlign w:val="bottom"/>
            <w:shd w:val="clear" w:color="auto" w:fill="FDFDFC"/>
          </w:tcPr>
          <w:p>
            <w:pPr>
              <w:spacing w:after="0"/>
              <w:rPr>
                <w:sz w:val="12"/>
                <w:szCs w:val="12"/>
                <w:color w:val="auto"/>
              </w:rPr>
            </w:pPr>
          </w:p>
        </w:tc>
        <w:tc>
          <w:tcPr>
            <w:tcW w:w="100" w:type="dxa"/>
            <w:vAlign w:val="bottom"/>
            <w:shd w:val="clear" w:color="auto" w:fill="FDFDFC"/>
          </w:tcPr>
          <w:p>
            <w:pPr>
              <w:spacing w:after="0"/>
              <w:rPr>
                <w:sz w:val="12"/>
                <w:szCs w:val="12"/>
                <w:color w:val="auto"/>
              </w:rPr>
            </w:pPr>
          </w:p>
        </w:tc>
        <w:tc>
          <w:tcPr>
            <w:tcW w:w="120" w:type="dxa"/>
            <w:vAlign w:val="bottom"/>
            <w:shd w:val="clear" w:color="auto" w:fill="FDFDFC"/>
          </w:tcPr>
          <w:p>
            <w:pPr>
              <w:spacing w:after="0"/>
              <w:rPr>
                <w:sz w:val="12"/>
                <w:szCs w:val="12"/>
                <w:color w:val="auto"/>
              </w:rPr>
            </w:pPr>
          </w:p>
        </w:tc>
        <w:tc>
          <w:tcPr>
            <w:tcW w:w="840" w:type="dxa"/>
            <w:vAlign w:val="bottom"/>
            <w:shd w:val="clear" w:color="auto" w:fill="FDFDFC"/>
          </w:tcPr>
          <w:p>
            <w:pPr>
              <w:jc w:val="center"/>
              <w:ind w:right="48"/>
              <w:spacing w:after="0" w:line="146" w:lineRule="exact"/>
              <w:rPr>
                <w:sz w:val="20"/>
                <w:szCs w:val="20"/>
                <w:color w:val="auto"/>
              </w:rPr>
            </w:pPr>
            <w:r>
              <w:rPr>
                <w:rFonts w:ascii="Times New Roman" w:cs="Times New Roman" w:eastAsia="Times New Roman" w:hAnsi="Times New Roman"/>
                <w:sz w:val="15"/>
                <w:szCs w:val="15"/>
                <w:b w:val="1"/>
                <w:bCs w:val="1"/>
                <w:color w:val="231F20"/>
              </w:rPr>
              <w:t>Mezzanine</w:t>
            </w:r>
          </w:p>
        </w:tc>
        <w:tc>
          <w:tcPr>
            <w:tcW w:w="200" w:type="dxa"/>
            <w:vAlign w:val="bottom"/>
            <w:shd w:val="clear" w:color="auto" w:fill="FDFDFC"/>
          </w:tcPr>
          <w:p>
            <w:pPr>
              <w:spacing w:after="0"/>
              <w:rPr>
                <w:sz w:val="12"/>
                <w:szCs w:val="12"/>
                <w:color w:val="auto"/>
              </w:rPr>
            </w:pPr>
          </w:p>
        </w:tc>
        <w:tc>
          <w:tcPr>
            <w:tcW w:w="140" w:type="dxa"/>
            <w:vAlign w:val="bottom"/>
            <w:shd w:val="clear" w:color="auto" w:fill="FDFDFC"/>
          </w:tcPr>
          <w:p>
            <w:pPr>
              <w:spacing w:after="0"/>
              <w:rPr>
                <w:sz w:val="12"/>
                <w:szCs w:val="12"/>
                <w:color w:val="auto"/>
              </w:rPr>
            </w:pPr>
          </w:p>
        </w:tc>
        <w:tc>
          <w:tcPr>
            <w:tcW w:w="820" w:type="dxa"/>
            <w:vAlign w:val="bottom"/>
            <w:shd w:val="clear" w:color="auto" w:fill="FDFDFC"/>
          </w:tcPr>
          <w:p>
            <w:pPr>
              <w:jc w:val="center"/>
              <w:ind w:right="48"/>
              <w:spacing w:after="0" w:line="146" w:lineRule="exact"/>
              <w:rPr>
                <w:sz w:val="20"/>
                <w:szCs w:val="20"/>
                <w:color w:val="auto"/>
              </w:rPr>
            </w:pPr>
            <w:r>
              <w:rPr>
                <w:rFonts w:ascii="Times New Roman" w:cs="Times New Roman" w:eastAsia="Times New Roman" w:hAnsi="Times New Roman"/>
                <w:sz w:val="15"/>
                <w:szCs w:val="15"/>
                <w:b w:val="1"/>
                <w:bCs w:val="1"/>
                <w:color w:val="231F20"/>
              </w:rPr>
              <w:t>Equity</w:t>
            </w:r>
          </w:p>
        </w:tc>
        <w:tc>
          <w:tcPr>
            <w:tcW w:w="100" w:type="dxa"/>
            <w:vAlign w:val="bottom"/>
            <w:shd w:val="clear" w:color="auto" w:fill="FDFDFC"/>
          </w:tcPr>
          <w:p>
            <w:pPr>
              <w:spacing w:after="0"/>
              <w:rPr>
                <w:sz w:val="12"/>
                <w:szCs w:val="12"/>
                <w:color w:val="auto"/>
              </w:rPr>
            </w:pPr>
          </w:p>
        </w:tc>
        <w:tc>
          <w:tcPr>
            <w:tcW w:w="120" w:type="dxa"/>
            <w:vAlign w:val="bottom"/>
            <w:shd w:val="clear" w:color="auto" w:fill="FDFDFC"/>
          </w:tcPr>
          <w:p>
            <w:pPr>
              <w:spacing w:after="0"/>
              <w:rPr>
                <w:sz w:val="12"/>
                <w:szCs w:val="12"/>
                <w:color w:val="auto"/>
              </w:rPr>
            </w:pPr>
          </w:p>
        </w:tc>
        <w:tc>
          <w:tcPr>
            <w:tcW w:w="900" w:type="dxa"/>
            <w:vAlign w:val="bottom"/>
            <w:shd w:val="clear" w:color="auto" w:fill="FDFDFC"/>
          </w:tcPr>
          <w:p>
            <w:pPr>
              <w:spacing w:after="0"/>
              <w:rPr>
                <w:sz w:val="12"/>
                <w:szCs w:val="12"/>
                <w:color w:val="auto"/>
              </w:rPr>
            </w:pPr>
          </w:p>
        </w:tc>
        <w:tc>
          <w:tcPr>
            <w:tcW w:w="100" w:type="dxa"/>
            <w:vAlign w:val="bottom"/>
            <w:shd w:val="clear" w:color="auto" w:fill="FDFDFC"/>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4080" w:type="dxa"/>
            <w:vAlign w:val="bottom"/>
            <w:shd w:val="clear" w:color="auto" w:fill="FDFDFC"/>
          </w:tcPr>
          <w:p>
            <w:pPr>
              <w:spacing w:after="0"/>
              <w:rPr>
                <w:sz w:val="15"/>
                <w:szCs w:val="15"/>
                <w:color w:val="auto"/>
              </w:rPr>
            </w:pPr>
          </w:p>
        </w:tc>
        <w:tc>
          <w:tcPr>
            <w:tcW w:w="200" w:type="dxa"/>
            <w:vAlign w:val="bottom"/>
            <w:shd w:val="clear" w:color="auto" w:fill="FDFDFC"/>
          </w:tcPr>
          <w:p>
            <w:pPr>
              <w:spacing w:after="0"/>
              <w:rPr>
                <w:sz w:val="15"/>
                <w:szCs w:val="15"/>
                <w:color w:val="auto"/>
              </w:rPr>
            </w:pPr>
          </w:p>
        </w:tc>
        <w:tc>
          <w:tcPr>
            <w:tcW w:w="1200" w:type="dxa"/>
            <w:vAlign w:val="bottom"/>
            <w:shd w:val="clear" w:color="auto" w:fill="FDFDFC"/>
          </w:tcPr>
          <w:p>
            <w:pPr>
              <w:jc w:val="center"/>
              <w:ind w:right="130"/>
              <w:spacing w:after="0"/>
              <w:rPr>
                <w:sz w:val="20"/>
                <w:szCs w:val="20"/>
                <w:color w:val="auto"/>
              </w:rPr>
            </w:pPr>
            <w:r>
              <w:rPr>
                <w:rFonts w:ascii="Times New Roman" w:cs="Times New Roman" w:eastAsia="Times New Roman" w:hAnsi="Times New Roman"/>
                <w:sz w:val="15"/>
                <w:szCs w:val="15"/>
                <w:b w:val="1"/>
                <w:bCs w:val="1"/>
                <w:color w:val="231F20"/>
              </w:rPr>
              <w:t>debt</w:t>
            </w:r>
          </w:p>
        </w:tc>
        <w:tc>
          <w:tcPr>
            <w:tcW w:w="100" w:type="dxa"/>
            <w:vAlign w:val="bottom"/>
            <w:shd w:val="clear" w:color="auto" w:fill="FDFDFC"/>
          </w:tcPr>
          <w:p>
            <w:pPr>
              <w:spacing w:after="0"/>
              <w:rPr>
                <w:sz w:val="15"/>
                <w:szCs w:val="15"/>
                <w:color w:val="auto"/>
              </w:rPr>
            </w:pPr>
          </w:p>
        </w:tc>
        <w:tc>
          <w:tcPr>
            <w:tcW w:w="120" w:type="dxa"/>
            <w:vAlign w:val="bottom"/>
            <w:shd w:val="clear" w:color="auto" w:fill="FDFDFC"/>
          </w:tcPr>
          <w:p>
            <w:pPr>
              <w:spacing w:after="0"/>
              <w:rPr>
                <w:sz w:val="15"/>
                <w:szCs w:val="15"/>
                <w:color w:val="auto"/>
              </w:rPr>
            </w:pPr>
          </w:p>
        </w:tc>
        <w:tc>
          <w:tcPr>
            <w:tcW w:w="100" w:type="dxa"/>
            <w:vAlign w:val="bottom"/>
            <w:shd w:val="clear" w:color="auto" w:fill="FDFDFC"/>
          </w:tcPr>
          <w:p>
            <w:pPr>
              <w:spacing w:after="0"/>
              <w:rPr>
                <w:sz w:val="15"/>
                <w:szCs w:val="15"/>
                <w:color w:val="auto"/>
              </w:rPr>
            </w:pPr>
          </w:p>
        </w:tc>
        <w:tc>
          <w:tcPr>
            <w:tcW w:w="840" w:type="dxa"/>
            <w:vAlign w:val="bottom"/>
            <w:shd w:val="clear" w:color="auto" w:fill="FDFDFC"/>
          </w:tcPr>
          <w:p>
            <w:pPr>
              <w:jc w:val="center"/>
              <w:ind w:right="11"/>
              <w:spacing w:after="0"/>
              <w:rPr>
                <w:sz w:val="20"/>
                <w:szCs w:val="20"/>
                <w:color w:val="auto"/>
              </w:rPr>
            </w:pPr>
            <w:r>
              <w:rPr>
                <w:rFonts w:ascii="Times New Roman" w:cs="Times New Roman" w:eastAsia="Times New Roman" w:hAnsi="Times New Roman"/>
                <w:sz w:val="15"/>
                <w:szCs w:val="15"/>
                <w:b w:val="1"/>
                <w:bCs w:val="1"/>
                <w:color w:val="231F20"/>
              </w:rPr>
              <w:t>debt</w:t>
            </w:r>
          </w:p>
        </w:tc>
        <w:tc>
          <w:tcPr>
            <w:tcW w:w="120" w:type="dxa"/>
            <w:vAlign w:val="bottom"/>
            <w:shd w:val="clear" w:color="auto" w:fill="FDFDFC"/>
          </w:tcPr>
          <w:p>
            <w:pPr>
              <w:spacing w:after="0"/>
              <w:rPr>
                <w:sz w:val="15"/>
                <w:szCs w:val="15"/>
                <w:color w:val="auto"/>
              </w:rPr>
            </w:pPr>
          </w:p>
        </w:tc>
        <w:tc>
          <w:tcPr>
            <w:tcW w:w="100" w:type="dxa"/>
            <w:vAlign w:val="bottom"/>
            <w:shd w:val="clear" w:color="auto" w:fill="FDFDFC"/>
          </w:tcPr>
          <w:p>
            <w:pPr>
              <w:spacing w:after="0"/>
              <w:rPr>
                <w:sz w:val="15"/>
                <w:szCs w:val="15"/>
                <w:color w:val="auto"/>
              </w:rPr>
            </w:pPr>
          </w:p>
        </w:tc>
        <w:tc>
          <w:tcPr>
            <w:tcW w:w="120" w:type="dxa"/>
            <w:vAlign w:val="bottom"/>
            <w:shd w:val="clear" w:color="auto" w:fill="FDFDFC"/>
          </w:tcPr>
          <w:p>
            <w:pPr>
              <w:spacing w:after="0"/>
              <w:rPr>
                <w:sz w:val="15"/>
                <w:szCs w:val="15"/>
                <w:color w:val="auto"/>
              </w:rPr>
            </w:pPr>
          </w:p>
        </w:tc>
        <w:tc>
          <w:tcPr>
            <w:tcW w:w="840" w:type="dxa"/>
            <w:vAlign w:val="bottom"/>
            <w:shd w:val="clear" w:color="auto" w:fill="FDFDFC"/>
          </w:tcPr>
          <w:p>
            <w:pPr>
              <w:jc w:val="center"/>
              <w:ind w:right="8"/>
              <w:spacing w:after="0"/>
              <w:rPr>
                <w:sz w:val="20"/>
                <w:szCs w:val="20"/>
                <w:color w:val="auto"/>
              </w:rPr>
            </w:pPr>
            <w:r>
              <w:rPr>
                <w:rFonts w:ascii="Times New Roman" w:cs="Times New Roman" w:eastAsia="Times New Roman" w:hAnsi="Times New Roman"/>
                <w:sz w:val="15"/>
                <w:szCs w:val="15"/>
                <w:b w:val="1"/>
                <w:bCs w:val="1"/>
                <w:color w:val="231F20"/>
              </w:rPr>
              <w:t>debt</w:t>
            </w:r>
          </w:p>
        </w:tc>
        <w:tc>
          <w:tcPr>
            <w:tcW w:w="200" w:type="dxa"/>
            <w:vAlign w:val="bottom"/>
            <w:shd w:val="clear" w:color="auto" w:fill="FDFDFC"/>
          </w:tcPr>
          <w:p>
            <w:pPr>
              <w:spacing w:after="0"/>
              <w:rPr>
                <w:sz w:val="15"/>
                <w:szCs w:val="15"/>
                <w:color w:val="auto"/>
              </w:rPr>
            </w:pPr>
          </w:p>
        </w:tc>
        <w:tc>
          <w:tcPr>
            <w:tcW w:w="140" w:type="dxa"/>
            <w:vAlign w:val="bottom"/>
            <w:shd w:val="clear" w:color="auto" w:fill="FDFDFC"/>
          </w:tcPr>
          <w:p>
            <w:pPr>
              <w:spacing w:after="0"/>
              <w:rPr>
                <w:sz w:val="15"/>
                <w:szCs w:val="15"/>
                <w:color w:val="auto"/>
              </w:rPr>
            </w:pPr>
          </w:p>
        </w:tc>
        <w:tc>
          <w:tcPr>
            <w:tcW w:w="820" w:type="dxa"/>
            <w:vAlign w:val="bottom"/>
            <w:shd w:val="clear" w:color="auto" w:fill="FDFDFC"/>
          </w:tcPr>
          <w:p>
            <w:pPr>
              <w:jc w:val="center"/>
              <w:ind w:right="68"/>
              <w:spacing w:after="0"/>
              <w:rPr>
                <w:sz w:val="20"/>
                <w:szCs w:val="20"/>
                <w:color w:val="auto"/>
              </w:rPr>
            </w:pPr>
            <w:r>
              <w:rPr>
                <w:rFonts w:ascii="Times New Roman" w:cs="Times New Roman" w:eastAsia="Times New Roman" w:hAnsi="Times New Roman"/>
                <w:sz w:val="15"/>
                <w:szCs w:val="15"/>
                <w:b w:val="1"/>
                <w:bCs w:val="1"/>
                <w:color w:val="231F20"/>
                <w:w w:val="99"/>
              </w:rPr>
              <w:t>and other</w:t>
            </w:r>
          </w:p>
        </w:tc>
        <w:tc>
          <w:tcPr>
            <w:tcW w:w="100" w:type="dxa"/>
            <w:vAlign w:val="bottom"/>
            <w:shd w:val="clear" w:color="auto" w:fill="FDFDFC"/>
          </w:tcPr>
          <w:p>
            <w:pPr>
              <w:spacing w:after="0"/>
              <w:rPr>
                <w:sz w:val="15"/>
                <w:szCs w:val="15"/>
                <w:color w:val="auto"/>
              </w:rPr>
            </w:pPr>
          </w:p>
        </w:tc>
        <w:tc>
          <w:tcPr>
            <w:tcW w:w="120" w:type="dxa"/>
            <w:vAlign w:val="bottom"/>
            <w:shd w:val="clear" w:color="auto" w:fill="FDFDFC"/>
          </w:tcPr>
          <w:p>
            <w:pPr>
              <w:spacing w:after="0"/>
              <w:rPr>
                <w:sz w:val="15"/>
                <w:szCs w:val="15"/>
                <w:color w:val="auto"/>
              </w:rPr>
            </w:pPr>
          </w:p>
        </w:tc>
        <w:tc>
          <w:tcPr>
            <w:tcW w:w="900" w:type="dxa"/>
            <w:vAlign w:val="bottom"/>
            <w:vMerge w:val="restart"/>
            <w:shd w:val="clear" w:color="auto" w:fill="FDFDFC"/>
          </w:tcPr>
          <w:p>
            <w:pPr>
              <w:jc w:val="right"/>
              <w:ind w:right="189"/>
              <w:spacing w:after="0"/>
              <w:rPr>
                <w:sz w:val="20"/>
                <w:szCs w:val="20"/>
                <w:color w:val="auto"/>
              </w:rPr>
            </w:pPr>
            <w:r>
              <w:rPr>
                <w:rFonts w:ascii="Times New Roman" w:cs="Times New Roman" w:eastAsia="Times New Roman" w:hAnsi="Times New Roman"/>
                <w:sz w:val="15"/>
                <w:szCs w:val="15"/>
                <w:b w:val="1"/>
                <w:bCs w:val="1"/>
                <w:color w:val="231F20"/>
              </w:rPr>
              <w:t>Total</w:t>
            </w:r>
          </w:p>
        </w:tc>
        <w:tc>
          <w:tcPr>
            <w:tcW w:w="100" w:type="dxa"/>
            <w:vAlign w:val="bottom"/>
            <w:shd w:val="clear" w:color="auto" w:fill="FDFDFC"/>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4080" w:type="dxa"/>
            <w:vAlign w:val="bottom"/>
            <w:tcBorders>
              <w:bottom w:val="single" w:sz="8" w:color="D0EBF2"/>
            </w:tcBorders>
            <w:shd w:val="clear" w:color="auto" w:fill="FDFDFC"/>
          </w:tcPr>
          <w:p>
            <w:pPr>
              <w:spacing w:after="0"/>
              <w:rPr>
                <w:sz w:val="16"/>
                <w:szCs w:val="16"/>
                <w:color w:val="auto"/>
              </w:rPr>
            </w:pPr>
          </w:p>
        </w:tc>
        <w:tc>
          <w:tcPr>
            <w:tcW w:w="200" w:type="dxa"/>
            <w:vAlign w:val="bottom"/>
            <w:tcBorders>
              <w:bottom w:val="single" w:sz="8" w:color="231F20"/>
            </w:tcBorders>
            <w:shd w:val="clear" w:color="auto" w:fill="FDFDFC"/>
          </w:tcPr>
          <w:p>
            <w:pPr>
              <w:spacing w:after="0"/>
              <w:rPr>
                <w:sz w:val="16"/>
                <w:szCs w:val="16"/>
                <w:color w:val="auto"/>
              </w:rPr>
            </w:pPr>
          </w:p>
        </w:tc>
        <w:tc>
          <w:tcPr>
            <w:tcW w:w="1200" w:type="dxa"/>
            <w:vAlign w:val="bottom"/>
            <w:tcBorders>
              <w:bottom w:val="single" w:sz="8" w:color="231F20"/>
            </w:tcBorders>
            <w:shd w:val="clear" w:color="auto" w:fill="FDFDFC"/>
          </w:tcPr>
          <w:p>
            <w:pPr>
              <w:jc w:val="center"/>
              <w:ind w:right="130"/>
              <w:spacing w:after="0"/>
              <w:rPr>
                <w:sz w:val="20"/>
                <w:szCs w:val="20"/>
                <w:color w:val="auto"/>
              </w:rPr>
            </w:pPr>
            <w:r>
              <w:rPr>
                <w:rFonts w:ascii="Times New Roman" w:cs="Times New Roman" w:eastAsia="Times New Roman" w:hAnsi="Times New Roman"/>
                <w:sz w:val="15"/>
                <w:szCs w:val="15"/>
                <w:b w:val="1"/>
                <w:bCs w:val="1"/>
                <w:color w:val="231F20"/>
              </w:rPr>
              <w:t>investments</w:t>
            </w:r>
          </w:p>
        </w:tc>
        <w:tc>
          <w:tcPr>
            <w:tcW w:w="100" w:type="dxa"/>
            <w:vAlign w:val="bottom"/>
            <w:tcBorders>
              <w:bottom w:val="single" w:sz="8" w:color="D0EBF2"/>
            </w:tcBorders>
            <w:shd w:val="clear" w:color="auto" w:fill="FDFDFC"/>
          </w:tcPr>
          <w:p>
            <w:pPr>
              <w:spacing w:after="0"/>
              <w:rPr>
                <w:sz w:val="16"/>
                <w:szCs w:val="16"/>
                <w:color w:val="auto"/>
              </w:rPr>
            </w:pPr>
          </w:p>
        </w:tc>
        <w:tc>
          <w:tcPr>
            <w:tcW w:w="120" w:type="dxa"/>
            <w:vAlign w:val="bottom"/>
            <w:tcBorders>
              <w:bottom w:val="single" w:sz="8" w:color="D0EBF2"/>
            </w:tcBorders>
            <w:shd w:val="clear" w:color="auto" w:fill="FDFDFC"/>
          </w:tcPr>
          <w:p>
            <w:pPr>
              <w:spacing w:after="0"/>
              <w:rPr>
                <w:sz w:val="16"/>
                <w:szCs w:val="16"/>
                <w:color w:val="auto"/>
              </w:rPr>
            </w:pPr>
          </w:p>
        </w:tc>
        <w:tc>
          <w:tcPr>
            <w:tcW w:w="940" w:type="dxa"/>
            <w:vAlign w:val="bottom"/>
            <w:tcBorders>
              <w:bottom w:val="single" w:sz="8" w:color="231F20"/>
            </w:tcBorders>
            <w:gridSpan w:val="2"/>
            <w:shd w:val="clear" w:color="auto" w:fill="FDFDFC"/>
          </w:tcPr>
          <w:p>
            <w:pPr>
              <w:jc w:val="center"/>
              <w:spacing w:after="0"/>
              <w:rPr>
                <w:sz w:val="20"/>
                <w:szCs w:val="20"/>
                <w:color w:val="auto"/>
              </w:rPr>
            </w:pPr>
            <w:r>
              <w:rPr>
                <w:rFonts w:ascii="Times New Roman" w:cs="Times New Roman" w:eastAsia="Times New Roman" w:hAnsi="Times New Roman"/>
                <w:sz w:val="15"/>
                <w:szCs w:val="15"/>
                <w:b w:val="1"/>
                <w:bCs w:val="1"/>
                <w:color w:val="231F20"/>
              </w:rPr>
              <w:t>investments</w:t>
            </w:r>
          </w:p>
        </w:tc>
        <w:tc>
          <w:tcPr>
            <w:tcW w:w="120" w:type="dxa"/>
            <w:vAlign w:val="bottom"/>
            <w:tcBorders>
              <w:bottom w:val="single" w:sz="8" w:color="D0EBF2"/>
            </w:tcBorders>
            <w:shd w:val="clear" w:color="auto" w:fill="FDFDFC"/>
          </w:tcPr>
          <w:p>
            <w:pPr>
              <w:spacing w:after="0"/>
              <w:rPr>
                <w:sz w:val="16"/>
                <w:szCs w:val="16"/>
                <w:color w:val="auto"/>
              </w:rPr>
            </w:pPr>
          </w:p>
        </w:tc>
        <w:tc>
          <w:tcPr>
            <w:tcW w:w="100" w:type="dxa"/>
            <w:vAlign w:val="bottom"/>
            <w:tcBorders>
              <w:bottom w:val="single" w:sz="8" w:color="D0EBF2"/>
            </w:tcBorders>
            <w:shd w:val="clear" w:color="auto" w:fill="FDFDFC"/>
          </w:tcPr>
          <w:p>
            <w:pPr>
              <w:spacing w:after="0"/>
              <w:rPr>
                <w:sz w:val="16"/>
                <w:szCs w:val="16"/>
                <w:color w:val="auto"/>
              </w:rPr>
            </w:pPr>
          </w:p>
        </w:tc>
        <w:tc>
          <w:tcPr>
            <w:tcW w:w="960" w:type="dxa"/>
            <w:vAlign w:val="bottom"/>
            <w:tcBorders>
              <w:bottom w:val="single" w:sz="8" w:color="231F20"/>
            </w:tcBorders>
            <w:gridSpan w:val="2"/>
            <w:shd w:val="clear" w:color="auto" w:fill="FDFDFC"/>
          </w:tcPr>
          <w:p>
            <w:pPr>
              <w:jc w:val="center"/>
              <w:spacing w:after="0"/>
              <w:rPr>
                <w:sz w:val="20"/>
                <w:szCs w:val="20"/>
                <w:color w:val="auto"/>
              </w:rPr>
            </w:pPr>
            <w:r>
              <w:rPr>
                <w:rFonts w:ascii="Times New Roman" w:cs="Times New Roman" w:eastAsia="Times New Roman" w:hAnsi="Times New Roman"/>
                <w:sz w:val="15"/>
                <w:szCs w:val="15"/>
                <w:b w:val="1"/>
                <w:bCs w:val="1"/>
                <w:color w:val="231F20"/>
              </w:rPr>
              <w:t>investments</w:t>
            </w:r>
          </w:p>
        </w:tc>
        <w:tc>
          <w:tcPr>
            <w:tcW w:w="200" w:type="dxa"/>
            <w:vAlign w:val="bottom"/>
            <w:tcBorders>
              <w:bottom w:val="single" w:sz="8" w:color="D0EBF2"/>
            </w:tcBorders>
            <w:shd w:val="clear" w:color="auto" w:fill="FDFDFC"/>
          </w:tcPr>
          <w:p>
            <w:pPr>
              <w:spacing w:after="0"/>
              <w:rPr>
                <w:sz w:val="16"/>
                <w:szCs w:val="16"/>
                <w:color w:val="auto"/>
              </w:rPr>
            </w:pPr>
          </w:p>
        </w:tc>
        <w:tc>
          <w:tcPr>
            <w:tcW w:w="960" w:type="dxa"/>
            <w:vAlign w:val="bottom"/>
            <w:tcBorders>
              <w:bottom w:val="single" w:sz="8" w:color="231F20"/>
            </w:tcBorders>
            <w:gridSpan w:val="2"/>
            <w:shd w:val="clear" w:color="auto" w:fill="FDFDFC"/>
          </w:tcPr>
          <w:p>
            <w:pPr>
              <w:jc w:val="center"/>
              <w:spacing w:after="0"/>
              <w:rPr>
                <w:sz w:val="20"/>
                <w:szCs w:val="20"/>
                <w:color w:val="auto"/>
              </w:rPr>
            </w:pPr>
            <w:r>
              <w:rPr>
                <w:rFonts w:ascii="Times New Roman" w:cs="Times New Roman" w:eastAsia="Times New Roman" w:hAnsi="Times New Roman"/>
                <w:sz w:val="15"/>
                <w:szCs w:val="15"/>
                <w:b w:val="1"/>
                <w:bCs w:val="1"/>
                <w:color w:val="231F20"/>
              </w:rPr>
              <w:t>investments</w:t>
            </w:r>
          </w:p>
        </w:tc>
        <w:tc>
          <w:tcPr>
            <w:tcW w:w="100" w:type="dxa"/>
            <w:vAlign w:val="bottom"/>
            <w:tcBorders>
              <w:bottom w:val="single" w:sz="8" w:color="D0EBF2"/>
            </w:tcBorders>
            <w:shd w:val="clear" w:color="auto" w:fill="FDFDFC"/>
          </w:tcPr>
          <w:p>
            <w:pPr>
              <w:spacing w:after="0"/>
              <w:rPr>
                <w:sz w:val="16"/>
                <w:szCs w:val="16"/>
                <w:color w:val="auto"/>
              </w:rPr>
            </w:pPr>
          </w:p>
        </w:tc>
        <w:tc>
          <w:tcPr>
            <w:tcW w:w="120" w:type="dxa"/>
            <w:vAlign w:val="bottom"/>
            <w:tcBorders>
              <w:bottom w:val="single" w:sz="8" w:color="D0EBF2"/>
            </w:tcBorders>
            <w:shd w:val="clear" w:color="auto" w:fill="FDFDFC"/>
          </w:tcPr>
          <w:p>
            <w:pPr>
              <w:spacing w:after="0"/>
              <w:rPr>
                <w:sz w:val="16"/>
                <w:szCs w:val="16"/>
                <w:color w:val="auto"/>
              </w:rPr>
            </w:pPr>
          </w:p>
        </w:tc>
        <w:tc>
          <w:tcPr>
            <w:tcW w:w="900" w:type="dxa"/>
            <w:vAlign w:val="bottom"/>
            <w:tcBorders>
              <w:bottom w:val="single" w:sz="8" w:color="231F20"/>
            </w:tcBorders>
            <w:vMerge w:val="continue"/>
            <w:shd w:val="clear" w:color="auto" w:fill="FDFDFC"/>
          </w:tcPr>
          <w:p>
            <w:pPr>
              <w:spacing w:after="0"/>
              <w:rPr>
                <w:sz w:val="16"/>
                <w:szCs w:val="16"/>
                <w:color w:val="auto"/>
              </w:rPr>
            </w:pPr>
          </w:p>
        </w:tc>
        <w:tc>
          <w:tcPr>
            <w:tcW w:w="100" w:type="dxa"/>
            <w:vAlign w:val="bottom"/>
            <w:tcBorders>
              <w:bottom w:val="single" w:sz="8" w:color="D0EBF2"/>
            </w:tcBorders>
            <w:shd w:val="clear" w:color="auto" w:fill="FDFDFC"/>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4080" w:type="dxa"/>
            <w:vAlign w:val="bottom"/>
            <w:shd w:val="clear" w:color="auto" w:fill="D0EBF2"/>
          </w:tcPr>
          <w:p>
            <w:pPr>
              <w:spacing w:after="0" w:line="207" w:lineRule="exact"/>
              <w:rPr>
                <w:sz w:val="20"/>
                <w:szCs w:val="20"/>
                <w:color w:val="auto"/>
              </w:rPr>
            </w:pPr>
            <w:r>
              <w:rPr>
                <w:rFonts w:ascii="Times New Roman" w:cs="Times New Roman" w:eastAsia="Times New Roman" w:hAnsi="Times New Roman"/>
                <w:sz w:val="19"/>
                <w:szCs w:val="19"/>
                <w:color w:val="231F20"/>
              </w:rPr>
              <w:t>Balance, beginning of period</w:t>
            </w:r>
          </w:p>
        </w:tc>
        <w:tc>
          <w:tcPr>
            <w:tcW w:w="200" w:type="dxa"/>
            <w:vAlign w:val="bottom"/>
            <w:shd w:val="clear" w:color="auto" w:fill="D0EBF2"/>
          </w:tcPr>
          <w:p>
            <w:pPr>
              <w:jc w:val="right"/>
              <w:ind w:right="36"/>
              <w:spacing w:after="0"/>
              <w:rPr>
                <w:sz w:val="20"/>
                <w:szCs w:val="20"/>
                <w:color w:val="auto"/>
              </w:rPr>
            </w:pPr>
            <w:r>
              <w:rPr>
                <w:rFonts w:ascii="Times New Roman" w:cs="Times New Roman" w:eastAsia="Times New Roman" w:hAnsi="Times New Roman"/>
                <w:sz w:val="17"/>
                <w:szCs w:val="17"/>
                <w:color w:val="231F20"/>
                <w:w w:val="70"/>
              </w:rPr>
              <w:t>$</w:t>
            </w:r>
          </w:p>
        </w:tc>
        <w:tc>
          <w:tcPr>
            <w:tcW w:w="1200" w:type="dxa"/>
            <w:vAlign w:val="bottom"/>
            <w:shd w:val="clear" w:color="auto" w:fill="D0EBF2"/>
          </w:tcPr>
          <w:p>
            <w:pPr>
              <w:jc w:val="right"/>
              <w:spacing w:after="0" w:line="207" w:lineRule="exact"/>
              <w:rPr>
                <w:sz w:val="20"/>
                <w:szCs w:val="20"/>
                <w:color w:val="auto"/>
              </w:rPr>
            </w:pPr>
            <w:r>
              <w:rPr>
                <w:rFonts w:ascii="Times New Roman" w:cs="Times New Roman" w:eastAsia="Times New Roman" w:hAnsi="Times New Roman"/>
                <w:sz w:val="19"/>
                <w:szCs w:val="19"/>
                <w:color w:val="231F20"/>
              </w:rPr>
              <w:t>2,993,786</w:t>
            </w:r>
          </w:p>
        </w:tc>
        <w:tc>
          <w:tcPr>
            <w:tcW w:w="100" w:type="dxa"/>
            <w:vAlign w:val="bottom"/>
            <w:shd w:val="clear" w:color="auto" w:fill="D0EBF2"/>
          </w:tcPr>
          <w:p>
            <w:pPr>
              <w:spacing w:after="0"/>
              <w:rPr>
                <w:sz w:val="17"/>
                <w:szCs w:val="17"/>
                <w:color w:val="auto"/>
              </w:rPr>
            </w:pPr>
          </w:p>
        </w:tc>
        <w:tc>
          <w:tcPr>
            <w:tcW w:w="120" w:type="dxa"/>
            <w:vAlign w:val="bottom"/>
            <w:shd w:val="clear" w:color="auto" w:fill="D0EBF2"/>
          </w:tcPr>
          <w:p>
            <w:pPr>
              <w:spacing w:after="0"/>
              <w:rPr>
                <w:sz w:val="17"/>
                <w:szCs w:val="17"/>
                <w:color w:val="auto"/>
              </w:rPr>
            </w:pPr>
          </w:p>
        </w:tc>
        <w:tc>
          <w:tcPr>
            <w:tcW w:w="100" w:type="dxa"/>
            <w:vAlign w:val="bottom"/>
            <w:shd w:val="clear" w:color="auto" w:fill="D0EBF2"/>
          </w:tcPr>
          <w:p>
            <w:pPr>
              <w:jc w:val="right"/>
              <w:spacing w:after="0" w:line="207" w:lineRule="exact"/>
              <w:rPr>
                <w:sz w:val="20"/>
                <w:szCs w:val="20"/>
                <w:color w:val="auto"/>
              </w:rPr>
            </w:pPr>
            <w:r>
              <w:rPr>
                <w:rFonts w:ascii="Times New Roman" w:cs="Times New Roman" w:eastAsia="Times New Roman" w:hAnsi="Times New Roman"/>
                <w:sz w:val="19"/>
                <w:szCs w:val="19"/>
                <w:color w:val="231F20"/>
                <w:w w:val="83"/>
                <w:shd w:val="clear" w:color="auto" w:fill="D0EBF2"/>
              </w:rPr>
              <w:t>$</w:t>
            </w:r>
          </w:p>
        </w:tc>
        <w:tc>
          <w:tcPr>
            <w:tcW w:w="840" w:type="dxa"/>
            <w:vAlign w:val="bottom"/>
            <w:shd w:val="clear" w:color="auto" w:fill="D0EBF2"/>
          </w:tcPr>
          <w:p>
            <w:pPr>
              <w:jc w:val="right"/>
              <w:spacing w:after="0" w:line="207" w:lineRule="exact"/>
              <w:rPr>
                <w:sz w:val="20"/>
                <w:szCs w:val="20"/>
                <w:color w:val="auto"/>
              </w:rPr>
            </w:pPr>
            <w:r>
              <w:rPr>
                <w:rFonts w:ascii="Times New Roman" w:cs="Times New Roman" w:eastAsia="Times New Roman" w:hAnsi="Times New Roman"/>
                <w:sz w:val="19"/>
                <w:szCs w:val="19"/>
                <w:color w:val="231F20"/>
                <w:shd w:val="clear" w:color="auto" w:fill="D0EBF2"/>
              </w:rPr>
              <w:t>35,975</w:t>
            </w:r>
          </w:p>
        </w:tc>
        <w:tc>
          <w:tcPr>
            <w:tcW w:w="120" w:type="dxa"/>
            <w:vAlign w:val="bottom"/>
            <w:shd w:val="clear" w:color="auto" w:fill="D0EBF2"/>
          </w:tcPr>
          <w:p>
            <w:pPr>
              <w:spacing w:after="0"/>
              <w:rPr>
                <w:sz w:val="17"/>
                <w:szCs w:val="17"/>
                <w:color w:val="auto"/>
              </w:rPr>
            </w:pPr>
          </w:p>
        </w:tc>
        <w:tc>
          <w:tcPr>
            <w:tcW w:w="100" w:type="dxa"/>
            <w:vAlign w:val="bottom"/>
            <w:shd w:val="clear" w:color="auto" w:fill="D0EBF2"/>
          </w:tcPr>
          <w:p>
            <w:pPr>
              <w:spacing w:after="0"/>
              <w:rPr>
                <w:sz w:val="17"/>
                <w:szCs w:val="17"/>
                <w:color w:val="auto"/>
              </w:rPr>
            </w:pPr>
          </w:p>
        </w:tc>
        <w:tc>
          <w:tcPr>
            <w:tcW w:w="120" w:type="dxa"/>
            <w:vAlign w:val="bottom"/>
            <w:shd w:val="clear" w:color="auto" w:fill="D0EBF2"/>
          </w:tcPr>
          <w:p>
            <w:pPr>
              <w:jc w:val="right"/>
              <w:spacing w:after="0" w:line="207" w:lineRule="exact"/>
              <w:rPr>
                <w:sz w:val="20"/>
                <w:szCs w:val="20"/>
                <w:color w:val="auto"/>
              </w:rPr>
            </w:pPr>
            <w:r>
              <w:rPr>
                <w:rFonts w:ascii="Times New Roman" w:cs="Times New Roman" w:eastAsia="Times New Roman" w:hAnsi="Times New Roman"/>
                <w:sz w:val="19"/>
                <w:szCs w:val="19"/>
                <w:color w:val="231F20"/>
                <w:w w:val="83"/>
                <w:shd w:val="clear" w:color="auto" w:fill="D0EBF2"/>
              </w:rPr>
              <w:t>$</w:t>
            </w:r>
          </w:p>
        </w:tc>
        <w:tc>
          <w:tcPr>
            <w:tcW w:w="840" w:type="dxa"/>
            <w:vAlign w:val="bottom"/>
            <w:shd w:val="clear" w:color="auto" w:fill="D0EBF2"/>
          </w:tcPr>
          <w:p>
            <w:pPr>
              <w:jc w:val="right"/>
              <w:spacing w:after="0" w:line="207" w:lineRule="exact"/>
              <w:rPr>
                <w:sz w:val="20"/>
                <w:szCs w:val="20"/>
                <w:color w:val="auto"/>
              </w:rPr>
            </w:pPr>
            <w:r>
              <w:rPr>
                <w:rFonts w:ascii="Times New Roman" w:cs="Times New Roman" w:eastAsia="Times New Roman" w:hAnsi="Times New Roman"/>
                <w:sz w:val="19"/>
                <w:szCs w:val="19"/>
                <w:color w:val="231F20"/>
                <w:shd w:val="clear" w:color="auto" w:fill="D0EBF2"/>
              </w:rPr>
              <w:t>38,865</w:t>
            </w:r>
          </w:p>
        </w:tc>
        <w:tc>
          <w:tcPr>
            <w:tcW w:w="200" w:type="dxa"/>
            <w:vAlign w:val="bottom"/>
            <w:shd w:val="clear" w:color="auto" w:fill="D0EBF2"/>
          </w:tcPr>
          <w:p>
            <w:pPr>
              <w:spacing w:after="0"/>
              <w:rPr>
                <w:sz w:val="17"/>
                <w:szCs w:val="17"/>
                <w:color w:val="auto"/>
              </w:rPr>
            </w:pPr>
          </w:p>
        </w:tc>
        <w:tc>
          <w:tcPr>
            <w:tcW w:w="140" w:type="dxa"/>
            <w:vAlign w:val="bottom"/>
            <w:shd w:val="clear" w:color="auto" w:fill="D0EBF2"/>
          </w:tcPr>
          <w:p>
            <w:pPr>
              <w:jc w:val="right"/>
              <w:spacing w:after="0" w:line="207" w:lineRule="exact"/>
              <w:rPr>
                <w:sz w:val="20"/>
                <w:szCs w:val="20"/>
                <w:color w:val="auto"/>
              </w:rPr>
            </w:pPr>
            <w:r>
              <w:rPr>
                <w:rFonts w:ascii="Times New Roman" w:cs="Times New Roman" w:eastAsia="Times New Roman" w:hAnsi="Times New Roman"/>
                <w:sz w:val="19"/>
                <w:szCs w:val="19"/>
                <w:color w:val="231F20"/>
                <w:w w:val="83"/>
                <w:shd w:val="clear" w:color="auto" w:fill="D0EBF2"/>
              </w:rPr>
              <w:t>$</w:t>
            </w:r>
          </w:p>
        </w:tc>
        <w:tc>
          <w:tcPr>
            <w:tcW w:w="820" w:type="dxa"/>
            <w:vAlign w:val="bottom"/>
            <w:shd w:val="clear" w:color="auto" w:fill="D0EBF2"/>
          </w:tcPr>
          <w:p>
            <w:pPr>
              <w:jc w:val="right"/>
              <w:spacing w:after="0" w:line="207" w:lineRule="exact"/>
              <w:rPr>
                <w:sz w:val="20"/>
                <w:szCs w:val="20"/>
                <w:color w:val="auto"/>
              </w:rPr>
            </w:pPr>
            <w:r>
              <w:rPr>
                <w:rFonts w:ascii="Times New Roman" w:cs="Times New Roman" w:eastAsia="Times New Roman" w:hAnsi="Times New Roman"/>
                <w:sz w:val="19"/>
                <w:szCs w:val="19"/>
                <w:color w:val="231F20"/>
                <w:shd w:val="clear" w:color="auto" w:fill="D0EBF2"/>
              </w:rPr>
              <w:t>140,331</w:t>
            </w:r>
          </w:p>
        </w:tc>
        <w:tc>
          <w:tcPr>
            <w:tcW w:w="100" w:type="dxa"/>
            <w:vAlign w:val="bottom"/>
            <w:shd w:val="clear" w:color="auto" w:fill="D0EBF2"/>
          </w:tcPr>
          <w:p>
            <w:pPr>
              <w:spacing w:after="0"/>
              <w:rPr>
                <w:sz w:val="17"/>
                <w:szCs w:val="17"/>
                <w:color w:val="auto"/>
              </w:rPr>
            </w:pPr>
          </w:p>
        </w:tc>
        <w:tc>
          <w:tcPr>
            <w:tcW w:w="120" w:type="dxa"/>
            <w:vAlign w:val="bottom"/>
            <w:shd w:val="clear" w:color="auto" w:fill="D0EBF2"/>
          </w:tcPr>
          <w:p>
            <w:pPr>
              <w:spacing w:after="0"/>
              <w:rPr>
                <w:sz w:val="17"/>
                <w:szCs w:val="17"/>
                <w:color w:val="auto"/>
              </w:rPr>
            </w:pPr>
          </w:p>
        </w:tc>
        <w:tc>
          <w:tcPr>
            <w:tcW w:w="900" w:type="dxa"/>
            <w:vAlign w:val="bottom"/>
            <w:shd w:val="clear" w:color="auto" w:fill="D0EBF2"/>
          </w:tcPr>
          <w:p>
            <w:pPr>
              <w:jc w:val="right"/>
              <w:spacing w:after="0" w:line="207" w:lineRule="exact"/>
              <w:rPr>
                <w:sz w:val="20"/>
                <w:szCs w:val="20"/>
                <w:color w:val="auto"/>
              </w:rPr>
            </w:pPr>
            <w:r>
              <w:rPr>
                <w:rFonts w:ascii="Times New Roman" w:cs="Times New Roman" w:eastAsia="Times New Roman" w:hAnsi="Times New Roman"/>
                <w:sz w:val="19"/>
                <w:szCs w:val="19"/>
                <w:color w:val="231F20"/>
                <w:w w:val="95"/>
                <w:shd w:val="clear" w:color="auto" w:fill="D0EBF2"/>
              </w:rPr>
              <w:t>$ 3,208,957</w:t>
            </w:r>
          </w:p>
        </w:tc>
        <w:tc>
          <w:tcPr>
            <w:tcW w:w="100" w:type="dxa"/>
            <w:vAlign w:val="bottom"/>
            <w:shd w:val="clear" w:color="auto" w:fill="D0EBF2"/>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4080" w:type="dxa"/>
            <w:vAlign w:val="bottom"/>
            <w:shd w:val="clear" w:color="auto" w:fill="FDFDFC"/>
          </w:tcPr>
          <w:p>
            <w:pPr>
              <w:spacing w:after="0" w:line="217" w:lineRule="exact"/>
              <w:rPr>
                <w:sz w:val="20"/>
                <w:szCs w:val="20"/>
                <w:color w:val="auto"/>
              </w:rPr>
            </w:pPr>
            <w:r>
              <w:rPr>
                <w:rFonts w:ascii="Times New Roman" w:cs="Times New Roman" w:eastAsia="Times New Roman" w:hAnsi="Times New Roman"/>
                <w:sz w:val="19"/>
                <w:szCs w:val="19"/>
                <w:color w:val="231F20"/>
              </w:rPr>
              <w:t>Purchases or originations</w:t>
            </w:r>
          </w:p>
        </w:tc>
        <w:tc>
          <w:tcPr>
            <w:tcW w:w="200" w:type="dxa"/>
            <w:vAlign w:val="bottom"/>
            <w:shd w:val="clear" w:color="auto" w:fill="FDFDFC"/>
          </w:tcPr>
          <w:p>
            <w:pPr>
              <w:spacing w:after="0"/>
              <w:rPr>
                <w:sz w:val="18"/>
                <w:szCs w:val="18"/>
                <w:color w:val="auto"/>
              </w:rPr>
            </w:pPr>
          </w:p>
        </w:tc>
        <w:tc>
          <w:tcPr>
            <w:tcW w:w="1200" w:type="dxa"/>
            <w:vAlign w:val="bottom"/>
            <w:shd w:val="clear" w:color="auto" w:fill="FDFDFC"/>
          </w:tcPr>
          <w:p>
            <w:pPr>
              <w:jc w:val="right"/>
              <w:spacing w:after="0" w:line="217" w:lineRule="exact"/>
              <w:rPr>
                <w:sz w:val="20"/>
                <w:szCs w:val="20"/>
                <w:color w:val="auto"/>
              </w:rPr>
            </w:pPr>
            <w:r>
              <w:rPr>
                <w:rFonts w:ascii="Times New Roman" w:cs="Times New Roman" w:eastAsia="Times New Roman" w:hAnsi="Times New Roman"/>
                <w:sz w:val="19"/>
                <w:szCs w:val="19"/>
                <w:color w:val="231F20"/>
              </w:rPr>
              <w:t>1,064,366</w:t>
            </w:r>
          </w:p>
        </w:tc>
        <w:tc>
          <w:tcPr>
            <w:tcW w:w="100" w:type="dxa"/>
            <w:vAlign w:val="bottom"/>
            <w:shd w:val="clear" w:color="auto" w:fill="FDFDFC"/>
          </w:tcPr>
          <w:p>
            <w:pPr>
              <w:spacing w:after="0"/>
              <w:rPr>
                <w:sz w:val="18"/>
                <w:szCs w:val="18"/>
                <w:color w:val="auto"/>
              </w:rPr>
            </w:pPr>
          </w:p>
        </w:tc>
        <w:tc>
          <w:tcPr>
            <w:tcW w:w="120" w:type="dxa"/>
            <w:vAlign w:val="bottom"/>
            <w:shd w:val="clear" w:color="auto" w:fill="FDFDFC"/>
          </w:tcPr>
          <w:p>
            <w:pPr>
              <w:spacing w:after="0"/>
              <w:rPr>
                <w:sz w:val="18"/>
                <w:szCs w:val="18"/>
                <w:color w:val="auto"/>
              </w:rPr>
            </w:pPr>
          </w:p>
        </w:tc>
        <w:tc>
          <w:tcPr>
            <w:tcW w:w="100" w:type="dxa"/>
            <w:vAlign w:val="bottom"/>
            <w:shd w:val="clear" w:color="auto" w:fill="FDFDFC"/>
          </w:tcPr>
          <w:p>
            <w:pPr>
              <w:spacing w:after="0"/>
              <w:rPr>
                <w:sz w:val="18"/>
                <w:szCs w:val="18"/>
                <w:color w:val="auto"/>
              </w:rPr>
            </w:pPr>
          </w:p>
        </w:tc>
        <w:tc>
          <w:tcPr>
            <w:tcW w:w="840" w:type="dxa"/>
            <w:vAlign w:val="bottom"/>
            <w:shd w:val="clear" w:color="auto" w:fill="FDFDFC"/>
          </w:tcPr>
          <w:p>
            <w:pPr>
              <w:jc w:val="right"/>
              <w:spacing w:after="0" w:line="217" w:lineRule="exact"/>
              <w:rPr>
                <w:sz w:val="20"/>
                <w:szCs w:val="20"/>
                <w:color w:val="auto"/>
              </w:rPr>
            </w:pPr>
            <w:r>
              <w:rPr>
                <w:rFonts w:ascii="Times New Roman" w:cs="Times New Roman" w:eastAsia="Times New Roman" w:hAnsi="Times New Roman"/>
                <w:sz w:val="19"/>
                <w:szCs w:val="19"/>
                <w:color w:val="231F20"/>
              </w:rPr>
              <w:t>2,004</w:t>
            </w:r>
          </w:p>
        </w:tc>
        <w:tc>
          <w:tcPr>
            <w:tcW w:w="120" w:type="dxa"/>
            <w:vAlign w:val="bottom"/>
            <w:shd w:val="clear" w:color="auto" w:fill="FDFDFC"/>
          </w:tcPr>
          <w:p>
            <w:pPr>
              <w:spacing w:after="0"/>
              <w:rPr>
                <w:sz w:val="18"/>
                <w:szCs w:val="18"/>
                <w:color w:val="auto"/>
              </w:rPr>
            </w:pPr>
          </w:p>
        </w:tc>
        <w:tc>
          <w:tcPr>
            <w:tcW w:w="100" w:type="dxa"/>
            <w:vAlign w:val="bottom"/>
            <w:shd w:val="clear" w:color="auto" w:fill="FDFDFC"/>
          </w:tcPr>
          <w:p>
            <w:pPr>
              <w:spacing w:after="0"/>
              <w:rPr>
                <w:sz w:val="18"/>
                <w:szCs w:val="18"/>
                <w:color w:val="auto"/>
              </w:rPr>
            </w:pPr>
          </w:p>
        </w:tc>
        <w:tc>
          <w:tcPr>
            <w:tcW w:w="120" w:type="dxa"/>
            <w:vAlign w:val="bottom"/>
            <w:shd w:val="clear" w:color="auto" w:fill="FDFDFC"/>
          </w:tcPr>
          <w:p>
            <w:pPr>
              <w:spacing w:after="0"/>
              <w:rPr>
                <w:sz w:val="18"/>
                <w:szCs w:val="18"/>
                <w:color w:val="auto"/>
              </w:rPr>
            </w:pPr>
          </w:p>
        </w:tc>
        <w:tc>
          <w:tcPr>
            <w:tcW w:w="840" w:type="dxa"/>
            <w:vAlign w:val="bottom"/>
            <w:shd w:val="clear" w:color="auto" w:fill="FDFDFC"/>
          </w:tcPr>
          <w:p>
            <w:pPr>
              <w:jc w:val="right"/>
              <w:spacing w:after="0" w:line="217" w:lineRule="exact"/>
              <w:rPr>
                <w:sz w:val="20"/>
                <w:szCs w:val="20"/>
                <w:color w:val="auto"/>
              </w:rPr>
            </w:pPr>
            <w:r>
              <w:rPr>
                <w:rFonts w:ascii="Times New Roman" w:cs="Times New Roman" w:eastAsia="Times New Roman" w:hAnsi="Times New Roman"/>
                <w:sz w:val="19"/>
                <w:szCs w:val="19"/>
                <w:color w:val="231F20"/>
              </w:rPr>
              <w:t>—</w:t>
            </w:r>
          </w:p>
        </w:tc>
        <w:tc>
          <w:tcPr>
            <w:tcW w:w="200" w:type="dxa"/>
            <w:vAlign w:val="bottom"/>
            <w:shd w:val="clear" w:color="auto" w:fill="FDFDFC"/>
          </w:tcPr>
          <w:p>
            <w:pPr>
              <w:spacing w:after="0"/>
              <w:rPr>
                <w:sz w:val="18"/>
                <w:szCs w:val="18"/>
                <w:color w:val="auto"/>
              </w:rPr>
            </w:pPr>
          </w:p>
        </w:tc>
        <w:tc>
          <w:tcPr>
            <w:tcW w:w="140" w:type="dxa"/>
            <w:vAlign w:val="bottom"/>
            <w:shd w:val="clear" w:color="auto" w:fill="FDFDFC"/>
          </w:tcPr>
          <w:p>
            <w:pPr>
              <w:spacing w:after="0"/>
              <w:rPr>
                <w:sz w:val="18"/>
                <w:szCs w:val="18"/>
                <w:color w:val="auto"/>
              </w:rPr>
            </w:pPr>
          </w:p>
        </w:tc>
        <w:tc>
          <w:tcPr>
            <w:tcW w:w="820" w:type="dxa"/>
            <w:vAlign w:val="bottom"/>
            <w:shd w:val="clear" w:color="auto" w:fill="FDFDFC"/>
          </w:tcPr>
          <w:p>
            <w:pPr>
              <w:jc w:val="right"/>
              <w:spacing w:after="0" w:line="217" w:lineRule="exact"/>
              <w:rPr>
                <w:sz w:val="20"/>
                <w:szCs w:val="20"/>
                <w:color w:val="auto"/>
              </w:rPr>
            </w:pPr>
            <w:r>
              <w:rPr>
                <w:rFonts w:ascii="Times New Roman" w:cs="Times New Roman" w:eastAsia="Times New Roman" w:hAnsi="Times New Roman"/>
                <w:sz w:val="19"/>
                <w:szCs w:val="19"/>
                <w:color w:val="231F20"/>
              </w:rPr>
              <w:t>10,935</w:t>
            </w:r>
          </w:p>
        </w:tc>
        <w:tc>
          <w:tcPr>
            <w:tcW w:w="100" w:type="dxa"/>
            <w:vAlign w:val="bottom"/>
            <w:shd w:val="clear" w:color="auto" w:fill="FDFDFC"/>
          </w:tcPr>
          <w:p>
            <w:pPr>
              <w:spacing w:after="0"/>
              <w:rPr>
                <w:sz w:val="18"/>
                <w:szCs w:val="18"/>
                <w:color w:val="auto"/>
              </w:rPr>
            </w:pPr>
          </w:p>
        </w:tc>
        <w:tc>
          <w:tcPr>
            <w:tcW w:w="120" w:type="dxa"/>
            <w:vAlign w:val="bottom"/>
            <w:shd w:val="clear" w:color="auto" w:fill="FDFDFC"/>
          </w:tcPr>
          <w:p>
            <w:pPr>
              <w:spacing w:after="0"/>
              <w:rPr>
                <w:sz w:val="18"/>
                <w:szCs w:val="18"/>
                <w:color w:val="auto"/>
              </w:rPr>
            </w:pPr>
          </w:p>
        </w:tc>
        <w:tc>
          <w:tcPr>
            <w:tcW w:w="900" w:type="dxa"/>
            <w:vAlign w:val="bottom"/>
            <w:shd w:val="clear" w:color="auto" w:fill="FDFDFC"/>
          </w:tcPr>
          <w:p>
            <w:pPr>
              <w:jc w:val="right"/>
              <w:spacing w:after="0" w:line="217" w:lineRule="exact"/>
              <w:rPr>
                <w:sz w:val="20"/>
                <w:szCs w:val="20"/>
                <w:color w:val="auto"/>
              </w:rPr>
            </w:pPr>
            <w:r>
              <w:rPr>
                <w:rFonts w:ascii="Times New Roman" w:cs="Times New Roman" w:eastAsia="Times New Roman" w:hAnsi="Times New Roman"/>
                <w:sz w:val="19"/>
                <w:szCs w:val="19"/>
                <w:color w:val="231F20"/>
              </w:rPr>
              <w:t>1,077,305</w:t>
            </w:r>
          </w:p>
        </w:tc>
        <w:tc>
          <w:tcPr>
            <w:tcW w:w="100" w:type="dxa"/>
            <w:vAlign w:val="bottom"/>
            <w:shd w:val="clear" w:color="auto" w:fill="FDFDFC"/>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4080" w:type="dxa"/>
            <w:vAlign w:val="bottom"/>
            <w:shd w:val="clear" w:color="auto" w:fill="D0EBF2"/>
          </w:tcPr>
          <w:p>
            <w:pPr>
              <w:spacing w:after="0" w:line="217" w:lineRule="exact"/>
              <w:rPr>
                <w:sz w:val="20"/>
                <w:szCs w:val="20"/>
                <w:color w:val="auto"/>
              </w:rPr>
            </w:pPr>
            <w:r>
              <w:rPr>
                <w:rFonts w:ascii="Times New Roman" w:cs="Times New Roman" w:eastAsia="Times New Roman" w:hAnsi="Times New Roman"/>
                <w:sz w:val="19"/>
                <w:szCs w:val="19"/>
                <w:color w:val="231F20"/>
              </w:rPr>
              <w:t>Repayments / redemptions</w:t>
            </w:r>
          </w:p>
        </w:tc>
        <w:tc>
          <w:tcPr>
            <w:tcW w:w="200" w:type="dxa"/>
            <w:vAlign w:val="bottom"/>
            <w:shd w:val="clear" w:color="auto" w:fill="D0EBF2"/>
          </w:tcPr>
          <w:p>
            <w:pPr>
              <w:spacing w:after="0"/>
              <w:rPr>
                <w:sz w:val="18"/>
                <w:szCs w:val="18"/>
                <w:color w:val="auto"/>
              </w:rPr>
            </w:pPr>
          </w:p>
        </w:tc>
        <w:tc>
          <w:tcPr>
            <w:tcW w:w="1200" w:type="dxa"/>
            <w:vAlign w:val="bottom"/>
            <w:shd w:val="clear" w:color="auto" w:fill="D0EBF2"/>
          </w:tcPr>
          <w:p>
            <w:pPr>
              <w:jc w:val="right"/>
              <w:spacing w:after="0" w:line="217" w:lineRule="exact"/>
              <w:rPr>
                <w:sz w:val="20"/>
                <w:szCs w:val="20"/>
                <w:color w:val="auto"/>
              </w:rPr>
            </w:pPr>
            <w:r>
              <w:rPr>
                <w:rFonts w:ascii="Times New Roman" w:cs="Times New Roman" w:eastAsia="Times New Roman" w:hAnsi="Times New Roman"/>
                <w:sz w:val="19"/>
                <w:szCs w:val="19"/>
                <w:color w:val="231F20"/>
              </w:rPr>
              <w:t>(764,592)</w:t>
            </w:r>
          </w:p>
        </w:tc>
        <w:tc>
          <w:tcPr>
            <w:tcW w:w="100" w:type="dxa"/>
            <w:vAlign w:val="bottom"/>
            <w:shd w:val="clear" w:color="auto" w:fill="D0EBF2"/>
          </w:tcPr>
          <w:p>
            <w:pPr>
              <w:spacing w:after="0"/>
              <w:rPr>
                <w:sz w:val="18"/>
                <w:szCs w:val="18"/>
                <w:color w:val="auto"/>
              </w:rPr>
            </w:pPr>
          </w:p>
        </w:tc>
        <w:tc>
          <w:tcPr>
            <w:tcW w:w="120" w:type="dxa"/>
            <w:vAlign w:val="bottom"/>
            <w:shd w:val="clear" w:color="auto" w:fill="D0EBF2"/>
          </w:tcPr>
          <w:p>
            <w:pPr>
              <w:spacing w:after="0"/>
              <w:rPr>
                <w:sz w:val="18"/>
                <w:szCs w:val="18"/>
                <w:color w:val="auto"/>
              </w:rPr>
            </w:pPr>
          </w:p>
        </w:tc>
        <w:tc>
          <w:tcPr>
            <w:tcW w:w="100" w:type="dxa"/>
            <w:vAlign w:val="bottom"/>
            <w:shd w:val="clear" w:color="auto" w:fill="D0EBF2"/>
          </w:tcPr>
          <w:p>
            <w:pPr>
              <w:spacing w:after="0"/>
              <w:rPr>
                <w:sz w:val="18"/>
                <w:szCs w:val="18"/>
                <w:color w:val="auto"/>
              </w:rPr>
            </w:pPr>
          </w:p>
        </w:tc>
        <w:tc>
          <w:tcPr>
            <w:tcW w:w="960" w:type="dxa"/>
            <w:vAlign w:val="bottom"/>
            <w:gridSpan w:val="2"/>
            <w:shd w:val="clear" w:color="auto" w:fill="D0EBF2"/>
          </w:tcPr>
          <w:p>
            <w:pPr>
              <w:jc w:val="right"/>
              <w:ind w:right="40"/>
              <w:spacing w:after="0" w:line="217" w:lineRule="exact"/>
              <w:rPr>
                <w:sz w:val="20"/>
                <w:szCs w:val="20"/>
                <w:color w:val="auto"/>
              </w:rPr>
            </w:pPr>
            <w:r>
              <w:rPr>
                <w:rFonts w:ascii="Times New Roman" w:cs="Times New Roman" w:eastAsia="Times New Roman" w:hAnsi="Times New Roman"/>
                <w:sz w:val="19"/>
                <w:szCs w:val="19"/>
                <w:color w:val="231F20"/>
              </w:rPr>
              <w:t>(3,177)</w:t>
            </w:r>
          </w:p>
        </w:tc>
        <w:tc>
          <w:tcPr>
            <w:tcW w:w="100" w:type="dxa"/>
            <w:vAlign w:val="bottom"/>
            <w:shd w:val="clear" w:color="auto" w:fill="D0EBF2"/>
          </w:tcPr>
          <w:p>
            <w:pPr>
              <w:spacing w:after="0"/>
              <w:rPr>
                <w:sz w:val="18"/>
                <w:szCs w:val="18"/>
                <w:color w:val="auto"/>
              </w:rPr>
            </w:pPr>
          </w:p>
        </w:tc>
        <w:tc>
          <w:tcPr>
            <w:tcW w:w="120" w:type="dxa"/>
            <w:vAlign w:val="bottom"/>
            <w:shd w:val="clear" w:color="auto" w:fill="D0EBF2"/>
          </w:tcPr>
          <w:p>
            <w:pPr>
              <w:spacing w:after="0"/>
              <w:rPr>
                <w:sz w:val="18"/>
                <w:szCs w:val="18"/>
                <w:color w:val="auto"/>
              </w:rPr>
            </w:pPr>
          </w:p>
        </w:tc>
        <w:tc>
          <w:tcPr>
            <w:tcW w:w="1040" w:type="dxa"/>
            <w:vAlign w:val="bottom"/>
            <w:gridSpan w:val="2"/>
            <w:shd w:val="clear" w:color="auto" w:fill="D0EBF2"/>
          </w:tcPr>
          <w:p>
            <w:pPr>
              <w:jc w:val="right"/>
              <w:ind w:right="140"/>
              <w:spacing w:after="0" w:line="217" w:lineRule="exact"/>
              <w:rPr>
                <w:sz w:val="20"/>
                <w:szCs w:val="20"/>
                <w:color w:val="auto"/>
              </w:rPr>
            </w:pPr>
            <w:r>
              <w:rPr>
                <w:rFonts w:ascii="Times New Roman" w:cs="Times New Roman" w:eastAsia="Times New Roman" w:hAnsi="Times New Roman"/>
                <w:sz w:val="19"/>
                <w:szCs w:val="19"/>
                <w:color w:val="231F20"/>
              </w:rPr>
              <w:t>(4,880)</w:t>
            </w:r>
          </w:p>
        </w:tc>
        <w:tc>
          <w:tcPr>
            <w:tcW w:w="140" w:type="dxa"/>
            <w:vAlign w:val="bottom"/>
            <w:shd w:val="clear" w:color="auto" w:fill="D0EBF2"/>
          </w:tcPr>
          <w:p>
            <w:pPr>
              <w:spacing w:after="0"/>
              <w:rPr>
                <w:sz w:val="18"/>
                <w:szCs w:val="18"/>
                <w:color w:val="auto"/>
              </w:rPr>
            </w:pPr>
          </w:p>
        </w:tc>
        <w:tc>
          <w:tcPr>
            <w:tcW w:w="920" w:type="dxa"/>
            <w:vAlign w:val="bottom"/>
            <w:gridSpan w:val="2"/>
            <w:shd w:val="clear" w:color="auto" w:fill="D0EBF2"/>
          </w:tcPr>
          <w:p>
            <w:pPr>
              <w:jc w:val="right"/>
              <w:ind w:right="120"/>
              <w:spacing w:after="0" w:line="217" w:lineRule="exact"/>
              <w:rPr>
                <w:sz w:val="20"/>
                <w:szCs w:val="20"/>
                <w:color w:val="auto"/>
              </w:rPr>
            </w:pPr>
            <w:r>
              <w:rPr>
                <w:rFonts w:ascii="Times New Roman" w:cs="Times New Roman" w:eastAsia="Times New Roman" w:hAnsi="Times New Roman"/>
                <w:sz w:val="19"/>
                <w:szCs w:val="19"/>
                <w:color w:val="231F20"/>
              </w:rPr>
              <w:t>—</w:t>
            </w:r>
          </w:p>
        </w:tc>
        <w:tc>
          <w:tcPr>
            <w:tcW w:w="1120" w:type="dxa"/>
            <w:vAlign w:val="bottom"/>
            <w:gridSpan w:val="3"/>
            <w:shd w:val="clear" w:color="auto" w:fill="D0EBF2"/>
          </w:tcPr>
          <w:p>
            <w:pPr>
              <w:jc w:val="right"/>
              <w:ind w:right="40"/>
              <w:spacing w:after="0" w:line="217" w:lineRule="exact"/>
              <w:rPr>
                <w:sz w:val="20"/>
                <w:szCs w:val="20"/>
                <w:color w:val="auto"/>
              </w:rPr>
            </w:pPr>
            <w:r>
              <w:rPr>
                <w:rFonts w:ascii="Times New Roman" w:cs="Times New Roman" w:eastAsia="Times New Roman" w:hAnsi="Times New Roman"/>
                <w:sz w:val="19"/>
                <w:szCs w:val="19"/>
                <w:color w:val="231F20"/>
              </w:rPr>
              <w:t>(772,649)</w:t>
            </w:r>
          </w:p>
        </w:tc>
        <w:tc>
          <w:tcPr>
            <w:tcW w:w="0" w:type="dxa"/>
            <w:vAlign w:val="bottom"/>
          </w:tcPr>
          <w:p>
            <w:pPr>
              <w:spacing w:after="0"/>
              <w:rPr>
                <w:sz w:val="1"/>
                <w:szCs w:val="1"/>
                <w:color w:val="auto"/>
              </w:rPr>
            </w:pPr>
          </w:p>
        </w:tc>
      </w:tr>
      <w:tr>
        <w:trPr>
          <w:trHeight w:val="217"/>
        </w:trPr>
        <w:tc>
          <w:tcPr>
            <w:tcW w:w="4080" w:type="dxa"/>
            <w:vAlign w:val="bottom"/>
            <w:shd w:val="clear" w:color="auto" w:fill="FDFDFC"/>
          </w:tcPr>
          <w:p>
            <w:pPr>
              <w:spacing w:after="0" w:line="217" w:lineRule="exact"/>
              <w:rPr>
                <w:sz w:val="20"/>
                <w:szCs w:val="20"/>
                <w:color w:val="auto"/>
              </w:rPr>
            </w:pPr>
            <w:r>
              <w:rPr>
                <w:rFonts w:ascii="Times New Roman" w:cs="Times New Roman" w:eastAsia="Times New Roman" w:hAnsi="Times New Roman"/>
                <w:sz w:val="19"/>
                <w:szCs w:val="19"/>
                <w:color w:val="231F20"/>
              </w:rPr>
              <w:t>Sales Proceeds</w:t>
            </w:r>
          </w:p>
        </w:tc>
        <w:tc>
          <w:tcPr>
            <w:tcW w:w="200" w:type="dxa"/>
            <w:vAlign w:val="bottom"/>
            <w:shd w:val="clear" w:color="auto" w:fill="FDFDFC"/>
          </w:tcPr>
          <w:p>
            <w:pPr>
              <w:spacing w:after="0"/>
              <w:rPr>
                <w:sz w:val="18"/>
                <w:szCs w:val="18"/>
                <w:color w:val="auto"/>
              </w:rPr>
            </w:pPr>
          </w:p>
        </w:tc>
        <w:tc>
          <w:tcPr>
            <w:tcW w:w="1200" w:type="dxa"/>
            <w:vAlign w:val="bottom"/>
            <w:shd w:val="clear" w:color="auto" w:fill="FDFDFC"/>
          </w:tcPr>
          <w:p>
            <w:pPr>
              <w:jc w:val="right"/>
              <w:spacing w:after="0" w:line="217" w:lineRule="exact"/>
              <w:rPr>
                <w:sz w:val="20"/>
                <w:szCs w:val="20"/>
                <w:color w:val="auto"/>
              </w:rPr>
            </w:pPr>
            <w:r>
              <w:rPr>
                <w:rFonts w:ascii="Times New Roman" w:cs="Times New Roman" w:eastAsia="Times New Roman" w:hAnsi="Times New Roman"/>
                <w:sz w:val="19"/>
                <w:szCs w:val="19"/>
                <w:color w:val="231F20"/>
              </w:rPr>
              <w:t>(9,110)</w:t>
            </w:r>
          </w:p>
        </w:tc>
        <w:tc>
          <w:tcPr>
            <w:tcW w:w="100" w:type="dxa"/>
            <w:vAlign w:val="bottom"/>
            <w:shd w:val="clear" w:color="auto" w:fill="FDFDFC"/>
          </w:tcPr>
          <w:p>
            <w:pPr>
              <w:spacing w:after="0"/>
              <w:rPr>
                <w:sz w:val="18"/>
                <w:szCs w:val="18"/>
                <w:color w:val="auto"/>
              </w:rPr>
            </w:pPr>
          </w:p>
        </w:tc>
        <w:tc>
          <w:tcPr>
            <w:tcW w:w="120" w:type="dxa"/>
            <w:vAlign w:val="bottom"/>
            <w:shd w:val="clear" w:color="auto" w:fill="FDFDFC"/>
          </w:tcPr>
          <w:p>
            <w:pPr>
              <w:spacing w:after="0"/>
              <w:rPr>
                <w:sz w:val="18"/>
                <w:szCs w:val="18"/>
                <w:color w:val="auto"/>
              </w:rPr>
            </w:pPr>
          </w:p>
        </w:tc>
        <w:tc>
          <w:tcPr>
            <w:tcW w:w="100" w:type="dxa"/>
            <w:vAlign w:val="bottom"/>
            <w:shd w:val="clear" w:color="auto" w:fill="FDFDFC"/>
          </w:tcPr>
          <w:p>
            <w:pPr>
              <w:spacing w:after="0"/>
              <w:rPr>
                <w:sz w:val="18"/>
                <w:szCs w:val="18"/>
                <w:color w:val="auto"/>
              </w:rPr>
            </w:pPr>
          </w:p>
        </w:tc>
        <w:tc>
          <w:tcPr>
            <w:tcW w:w="960" w:type="dxa"/>
            <w:vAlign w:val="bottom"/>
            <w:gridSpan w:val="2"/>
            <w:shd w:val="clear" w:color="auto" w:fill="FDFDFC"/>
          </w:tcPr>
          <w:p>
            <w:pPr>
              <w:jc w:val="right"/>
              <w:ind w:right="120"/>
              <w:spacing w:after="0" w:line="217" w:lineRule="exact"/>
              <w:rPr>
                <w:sz w:val="20"/>
                <w:szCs w:val="20"/>
                <w:color w:val="auto"/>
              </w:rPr>
            </w:pPr>
            <w:r>
              <w:rPr>
                <w:rFonts w:ascii="Times New Roman" w:cs="Times New Roman" w:eastAsia="Times New Roman" w:hAnsi="Times New Roman"/>
                <w:sz w:val="19"/>
                <w:szCs w:val="19"/>
                <w:color w:val="231F20"/>
              </w:rPr>
              <w:t>—</w:t>
            </w:r>
          </w:p>
        </w:tc>
        <w:tc>
          <w:tcPr>
            <w:tcW w:w="100" w:type="dxa"/>
            <w:vAlign w:val="bottom"/>
            <w:shd w:val="clear" w:color="auto" w:fill="FDFDFC"/>
          </w:tcPr>
          <w:p>
            <w:pPr>
              <w:spacing w:after="0"/>
              <w:rPr>
                <w:sz w:val="18"/>
                <w:szCs w:val="18"/>
                <w:color w:val="auto"/>
              </w:rPr>
            </w:pPr>
          </w:p>
        </w:tc>
        <w:tc>
          <w:tcPr>
            <w:tcW w:w="120" w:type="dxa"/>
            <w:vAlign w:val="bottom"/>
            <w:shd w:val="clear" w:color="auto" w:fill="FDFDFC"/>
          </w:tcPr>
          <w:p>
            <w:pPr>
              <w:spacing w:after="0"/>
              <w:rPr>
                <w:sz w:val="18"/>
                <w:szCs w:val="18"/>
                <w:color w:val="auto"/>
              </w:rPr>
            </w:pPr>
          </w:p>
        </w:tc>
        <w:tc>
          <w:tcPr>
            <w:tcW w:w="1040" w:type="dxa"/>
            <w:vAlign w:val="bottom"/>
            <w:gridSpan w:val="2"/>
            <w:shd w:val="clear" w:color="auto" w:fill="FDFDFC"/>
          </w:tcPr>
          <w:p>
            <w:pPr>
              <w:jc w:val="right"/>
              <w:ind w:right="220"/>
              <w:spacing w:after="0" w:line="217" w:lineRule="exact"/>
              <w:rPr>
                <w:sz w:val="20"/>
                <w:szCs w:val="20"/>
                <w:color w:val="auto"/>
              </w:rPr>
            </w:pPr>
            <w:r>
              <w:rPr>
                <w:rFonts w:ascii="Times New Roman" w:cs="Times New Roman" w:eastAsia="Times New Roman" w:hAnsi="Times New Roman"/>
                <w:sz w:val="19"/>
                <w:szCs w:val="19"/>
                <w:color w:val="231F20"/>
              </w:rPr>
              <w:t>—</w:t>
            </w:r>
          </w:p>
        </w:tc>
        <w:tc>
          <w:tcPr>
            <w:tcW w:w="140" w:type="dxa"/>
            <w:vAlign w:val="bottom"/>
            <w:shd w:val="clear" w:color="auto" w:fill="FDFDFC"/>
          </w:tcPr>
          <w:p>
            <w:pPr>
              <w:spacing w:after="0"/>
              <w:rPr>
                <w:sz w:val="18"/>
                <w:szCs w:val="18"/>
                <w:color w:val="auto"/>
              </w:rPr>
            </w:pPr>
          </w:p>
        </w:tc>
        <w:tc>
          <w:tcPr>
            <w:tcW w:w="920" w:type="dxa"/>
            <w:vAlign w:val="bottom"/>
            <w:gridSpan w:val="2"/>
            <w:shd w:val="clear" w:color="auto" w:fill="FDFDFC"/>
          </w:tcPr>
          <w:p>
            <w:pPr>
              <w:jc w:val="right"/>
              <w:ind w:right="40"/>
              <w:spacing w:after="0" w:line="217" w:lineRule="exact"/>
              <w:rPr>
                <w:sz w:val="20"/>
                <w:szCs w:val="20"/>
                <w:color w:val="auto"/>
              </w:rPr>
            </w:pPr>
            <w:r>
              <w:rPr>
                <w:rFonts w:ascii="Times New Roman" w:cs="Times New Roman" w:eastAsia="Times New Roman" w:hAnsi="Times New Roman"/>
                <w:sz w:val="19"/>
                <w:szCs w:val="19"/>
                <w:color w:val="231F20"/>
              </w:rPr>
              <w:t>(18,089)</w:t>
            </w:r>
          </w:p>
        </w:tc>
        <w:tc>
          <w:tcPr>
            <w:tcW w:w="1120" w:type="dxa"/>
            <w:vAlign w:val="bottom"/>
            <w:gridSpan w:val="3"/>
            <w:shd w:val="clear" w:color="auto" w:fill="FDFDFC"/>
          </w:tcPr>
          <w:p>
            <w:pPr>
              <w:jc w:val="right"/>
              <w:ind w:right="40"/>
              <w:spacing w:after="0" w:line="217" w:lineRule="exact"/>
              <w:rPr>
                <w:sz w:val="20"/>
                <w:szCs w:val="20"/>
                <w:color w:val="auto"/>
              </w:rPr>
            </w:pPr>
            <w:r>
              <w:rPr>
                <w:rFonts w:ascii="Times New Roman" w:cs="Times New Roman" w:eastAsia="Times New Roman" w:hAnsi="Times New Roman"/>
                <w:sz w:val="19"/>
                <w:szCs w:val="19"/>
                <w:color w:val="231F20"/>
              </w:rPr>
              <w:t>(27,199)</w:t>
            </w:r>
          </w:p>
        </w:tc>
        <w:tc>
          <w:tcPr>
            <w:tcW w:w="0" w:type="dxa"/>
            <w:vAlign w:val="bottom"/>
          </w:tcPr>
          <w:p>
            <w:pPr>
              <w:spacing w:after="0"/>
              <w:rPr>
                <w:sz w:val="1"/>
                <w:szCs w:val="1"/>
                <w:color w:val="auto"/>
              </w:rPr>
            </w:pPr>
          </w:p>
        </w:tc>
      </w:tr>
      <w:tr>
        <w:trPr>
          <w:trHeight w:val="217"/>
        </w:trPr>
        <w:tc>
          <w:tcPr>
            <w:tcW w:w="4080" w:type="dxa"/>
            <w:vAlign w:val="bottom"/>
            <w:shd w:val="clear" w:color="auto" w:fill="D0EBF2"/>
          </w:tcPr>
          <w:p>
            <w:pPr>
              <w:spacing w:after="0" w:line="217" w:lineRule="exact"/>
              <w:rPr>
                <w:sz w:val="20"/>
                <w:szCs w:val="20"/>
                <w:color w:val="auto"/>
              </w:rPr>
            </w:pPr>
            <w:r>
              <w:rPr>
                <w:rFonts w:ascii="Times New Roman" w:cs="Times New Roman" w:eastAsia="Times New Roman" w:hAnsi="Times New Roman"/>
                <w:sz w:val="19"/>
                <w:szCs w:val="19"/>
                <w:color w:val="231F20"/>
              </w:rPr>
              <w:t>Paid-in-kind interest</w:t>
            </w:r>
          </w:p>
        </w:tc>
        <w:tc>
          <w:tcPr>
            <w:tcW w:w="200" w:type="dxa"/>
            <w:vAlign w:val="bottom"/>
            <w:shd w:val="clear" w:color="auto" w:fill="D0EBF2"/>
          </w:tcPr>
          <w:p>
            <w:pPr>
              <w:spacing w:after="0"/>
              <w:rPr>
                <w:sz w:val="18"/>
                <w:szCs w:val="18"/>
                <w:color w:val="auto"/>
              </w:rPr>
            </w:pPr>
          </w:p>
        </w:tc>
        <w:tc>
          <w:tcPr>
            <w:tcW w:w="1200" w:type="dxa"/>
            <w:vAlign w:val="bottom"/>
            <w:shd w:val="clear" w:color="auto" w:fill="D0EBF2"/>
          </w:tcPr>
          <w:p>
            <w:pPr>
              <w:jc w:val="right"/>
              <w:spacing w:after="0" w:line="217" w:lineRule="exact"/>
              <w:rPr>
                <w:sz w:val="20"/>
                <w:szCs w:val="20"/>
                <w:color w:val="auto"/>
              </w:rPr>
            </w:pPr>
            <w:r>
              <w:rPr>
                <w:rFonts w:ascii="Times New Roman" w:cs="Times New Roman" w:eastAsia="Times New Roman" w:hAnsi="Times New Roman"/>
                <w:sz w:val="19"/>
                <w:szCs w:val="19"/>
                <w:color w:val="231F20"/>
              </w:rPr>
              <w:t>23,519</w:t>
            </w:r>
          </w:p>
        </w:tc>
        <w:tc>
          <w:tcPr>
            <w:tcW w:w="100" w:type="dxa"/>
            <w:vAlign w:val="bottom"/>
            <w:shd w:val="clear" w:color="auto" w:fill="D0EBF2"/>
          </w:tcPr>
          <w:p>
            <w:pPr>
              <w:spacing w:after="0"/>
              <w:rPr>
                <w:sz w:val="18"/>
                <w:szCs w:val="18"/>
                <w:color w:val="auto"/>
              </w:rPr>
            </w:pPr>
          </w:p>
        </w:tc>
        <w:tc>
          <w:tcPr>
            <w:tcW w:w="120" w:type="dxa"/>
            <w:vAlign w:val="bottom"/>
            <w:shd w:val="clear" w:color="auto" w:fill="D0EBF2"/>
          </w:tcPr>
          <w:p>
            <w:pPr>
              <w:spacing w:after="0"/>
              <w:rPr>
                <w:sz w:val="18"/>
                <w:szCs w:val="18"/>
                <w:color w:val="auto"/>
              </w:rPr>
            </w:pPr>
          </w:p>
        </w:tc>
        <w:tc>
          <w:tcPr>
            <w:tcW w:w="100" w:type="dxa"/>
            <w:vAlign w:val="bottom"/>
            <w:shd w:val="clear" w:color="auto" w:fill="D0EBF2"/>
          </w:tcPr>
          <w:p>
            <w:pPr>
              <w:spacing w:after="0"/>
              <w:rPr>
                <w:sz w:val="18"/>
                <w:szCs w:val="18"/>
                <w:color w:val="auto"/>
              </w:rPr>
            </w:pPr>
          </w:p>
        </w:tc>
        <w:tc>
          <w:tcPr>
            <w:tcW w:w="840" w:type="dxa"/>
            <w:vAlign w:val="bottom"/>
            <w:shd w:val="clear" w:color="auto" w:fill="D0EBF2"/>
          </w:tcPr>
          <w:p>
            <w:pPr>
              <w:jc w:val="right"/>
              <w:spacing w:after="0" w:line="217" w:lineRule="exact"/>
              <w:rPr>
                <w:sz w:val="20"/>
                <w:szCs w:val="20"/>
                <w:color w:val="auto"/>
              </w:rPr>
            </w:pPr>
            <w:r>
              <w:rPr>
                <w:rFonts w:ascii="Times New Roman" w:cs="Times New Roman" w:eastAsia="Times New Roman" w:hAnsi="Times New Roman"/>
                <w:sz w:val="19"/>
                <w:szCs w:val="19"/>
                <w:color w:val="231F20"/>
              </w:rPr>
              <w:t>1,255</w:t>
            </w:r>
          </w:p>
        </w:tc>
        <w:tc>
          <w:tcPr>
            <w:tcW w:w="120" w:type="dxa"/>
            <w:vAlign w:val="bottom"/>
            <w:shd w:val="clear" w:color="auto" w:fill="D0EBF2"/>
          </w:tcPr>
          <w:p>
            <w:pPr>
              <w:spacing w:after="0"/>
              <w:rPr>
                <w:sz w:val="18"/>
                <w:szCs w:val="18"/>
                <w:color w:val="auto"/>
              </w:rPr>
            </w:pPr>
          </w:p>
        </w:tc>
        <w:tc>
          <w:tcPr>
            <w:tcW w:w="100" w:type="dxa"/>
            <w:vAlign w:val="bottom"/>
            <w:shd w:val="clear" w:color="auto" w:fill="D0EBF2"/>
          </w:tcPr>
          <w:p>
            <w:pPr>
              <w:spacing w:after="0"/>
              <w:rPr>
                <w:sz w:val="18"/>
                <w:szCs w:val="18"/>
                <w:color w:val="auto"/>
              </w:rPr>
            </w:pPr>
          </w:p>
        </w:tc>
        <w:tc>
          <w:tcPr>
            <w:tcW w:w="120" w:type="dxa"/>
            <w:vAlign w:val="bottom"/>
            <w:shd w:val="clear" w:color="auto" w:fill="D0EBF2"/>
          </w:tcPr>
          <w:p>
            <w:pPr>
              <w:spacing w:after="0"/>
              <w:rPr>
                <w:sz w:val="18"/>
                <w:szCs w:val="18"/>
                <w:color w:val="auto"/>
              </w:rPr>
            </w:pPr>
          </w:p>
        </w:tc>
        <w:tc>
          <w:tcPr>
            <w:tcW w:w="840" w:type="dxa"/>
            <w:vAlign w:val="bottom"/>
            <w:shd w:val="clear" w:color="auto" w:fill="D0EBF2"/>
          </w:tcPr>
          <w:p>
            <w:pPr>
              <w:jc w:val="right"/>
              <w:spacing w:after="0" w:line="217" w:lineRule="exact"/>
              <w:rPr>
                <w:sz w:val="20"/>
                <w:szCs w:val="20"/>
                <w:color w:val="auto"/>
              </w:rPr>
            </w:pPr>
            <w:r>
              <w:rPr>
                <w:rFonts w:ascii="Times New Roman" w:cs="Times New Roman" w:eastAsia="Times New Roman" w:hAnsi="Times New Roman"/>
                <w:sz w:val="19"/>
                <w:szCs w:val="19"/>
                <w:color w:val="231F20"/>
              </w:rPr>
              <w:t>4,476</w:t>
            </w:r>
          </w:p>
        </w:tc>
        <w:tc>
          <w:tcPr>
            <w:tcW w:w="200" w:type="dxa"/>
            <w:vAlign w:val="bottom"/>
            <w:shd w:val="clear" w:color="auto" w:fill="D0EBF2"/>
          </w:tcPr>
          <w:p>
            <w:pPr>
              <w:spacing w:after="0"/>
              <w:rPr>
                <w:sz w:val="18"/>
                <w:szCs w:val="18"/>
                <w:color w:val="auto"/>
              </w:rPr>
            </w:pPr>
          </w:p>
        </w:tc>
        <w:tc>
          <w:tcPr>
            <w:tcW w:w="140" w:type="dxa"/>
            <w:vAlign w:val="bottom"/>
            <w:shd w:val="clear" w:color="auto" w:fill="D0EBF2"/>
          </w:tcPr>
          <w:p>
            <w:pPr>
              <w:spacing w:after="0"/>
              <w:rPr>
                <w:sz w:val="18"/>
                <w:szCs w:val="18"/>
                <w:color w:val="auto"/>
              </w:rPr>
            </w:pPr>
          </w:p>
        </w:tc>
        <w:tc>
          <w:tcPr>
            <w:tcW w:w="820" w:type="dxa"/>
            <w:vAlign w:val="bottom"/>
            <w:shd w:val="clear" w:color="auto" w:fill="D0EBF2"/>
          </w:tcPr>
          <w:p>
            <w:pPr>
              <w:jc w:val="right"/>
              <w:spacing w:after="0" w:line="217" w:lineRule="exact"/>
              <w:rPr>
                <w:sz w:val="20"/>
                <w:szCs w:val="20"/>
                <w:color w:val="auto"/>
              </w:rPr>
            </w:pPr>
            <w:r>
              <w:rPr>
                <w:rFonts w:ascii="Times New Roman" w:cs="Times New Roman" w:eastAsia="Times New Roman" w:hAnsi="Times New Roman"/>
                <w:sz w:val="19"/>
                <w:szCs w:val="19"/>
                <w:color w:val="231F20"/>
              </w:rPr>
              <w:t>315</w:t>
            </w:r>
          </w:p>
        </w:tc>
        <w:tc>
          <w:tcPr>
            <w:tcW w:w="100" w:type="dxa"/>
            <w:vAlign w:val="bottom"/>
            <w:shd w:val="clear" w:color="auto" w:fill="D0EBF2"/>
          </w:tcPr>
          <w:p>
            <w:pPr>
              <w:spacing w:after="0"/>
              <w:rPr>
                <w:sz w:val="18"/>
                <w:szCs w:val="18"/>
                <w:color w:val="auto"/>
              </w:rPr>
            </w:pPr>
          </w:p>
        </w:tc>
        <w:tc>
          <w:tcPr>
            <w:tcW w:w="1020" w:type="dxa"/>
            <w:vAlign w:val="bottom"/>
            <w:gridSpan w:val="2"/>
            <w:shd w:val="clear" w:color="auto" w:fill="D0EBF2"/>
          </w:tcPr>
          <w:p>
            <w:pPr>
              <w:jc w:val="right"/>
              <w:spacing w:after="0" w:line="217" w:lineRule="exact"/>
              <w:rPr>
                <w:sz w:val="20"/>
                <w:szCs w:val="20"/>
                <w:color w:val="auto"/>
              </w:rPr>
            </w:pPr>
            <w:r>
              <w:rPr>
                <w:rFonts w:ascii="Times New Roman" w:cs="Times New Roman" w:eastAsia="Times New Roman" w:hAnsi="Times New Roman"/>
                <w:sz w:val="19"/>
                <w:szCs w:val="19"/>
                <w:color w:val="231F20"/>
              </w:rPr>
              <w:t>29,565</w:t>
            </w:r>
          </w:p>
        </w:tc>
        <w:tc>
          <w:tcPr>
            <w:tcW w:w="100" w:type="dxa"/>
            <w:vAlign w:val="bottom"/>
            <w:shd w:val="clear" w:color="auto" w:fill="D0EBF2"/>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4080" w:type="dxa"/>
            <w:vAlign w:val="bottom"/>
            <w:shd w:val="clear" w:color="auto" w:fill="FDFDFC"/>
          </w:tcPr>
          <w:p>
            <w:pPr>
              <w:spacing w:after="0" w:line="217" w:lineRule="exact"/>
              <w:rPr>
                <w:sz w:val="20"/>
                <w:szCs w:val="20"/>
                <w:color w:val="auto"/>
              </w:rPr>
            </w:pPr>
            <w:r>
              <w:rPr>
                <w:rFonts w:ascii="Times New Roman" w:cs="Times New Roman" w:eastAsia="Times New Roman" w:hAnsi="Times New Roman"/>
                <w:sz w:val="19"/>
                <w:szCs w:val="19"/>
                <w:color w:val="231F20"/>
              </w:rPr>
              <w:t>Net change in unrealized gains (losses)</w:t>
            </w:r>
          </w:p>
        </w:tc>
        <w:tc>
          <w:tcPr>
            <w:tcW w:w="200" w:type="dxa"/>
            <w:vAlign w:val="bottom"/>
            <w:shd w:val="clear" w:color="auto" w:fill="FDFDFC"/>
          </w:tcPr>
          <w:p>
            <w:pPr>
              <w:spacing w:after="0"/>
              <w:rPr>
                <w:sz w:val="18"/>
                <w:szCs w:val="18"/>
                <w:color w:val="auto"/>
              </w:rPr>
            </w:pPr>
          </w:p>
        </w:tc>
        <w:tc>
          <w:tcPr>
            <w:tcW w:w="1200" w:type="dxa"/>
            <w:vAlign w:val="bottom"/>
            <w:shd w:val="clear" w:color="auto" w:fill="FDFDFC"/>
          </w:tcPr>
          <w:p>
            <w:pPr>
              <w:jc w:val="right"/>
              <w:spacing w:after="0" w:line="217" w:lineRule="exact"/>
              <w:rPr>
                <w:sz w:val="20"/>
                <w:szCs w:val="20"/>
                <w:color w:val="auto"/>
              </w:rPr>
            </w:pPr>
            <w:r>
              <w:rPr>
                <w:rFonts w:ascii="Times New Roman" w:cs="Times New Roman" w:eastAsia="Times New Roman" w:hAnsi="Times New Roman"/>
                <w:sz w:val="19"/>
                <w:szCs w:val="19"/>
                <w:color w:val="231F20"/>
              </w:rPr>
              <w:t>(35,815)</w:t>
            </w:r>
          </w:p>
        </w:tc>
        <w:tc>
          <w:tcPr>
            <w:tcW w:w="100" w:type="dxa"/>
            <w:vAlign w:val="bottom"/>
            <w:shd w:val="clear" w:color="auto" w:fill="FDFDFC"/>
          </w:tcPr>
          <w:p>
            <w:pPr>
              <w:spacing w:after="0"/>
              <w:rPr>
                <w:sz w:val="18"/>
                <w:szCs w:val="18"/>
                <w:color w:val="auto"/>
              </w:rPr>
            </w:pPr>
          </w:p>
        </w:tc>
        <w:tc>
          <w:tcPr>
            <w:tcW w:w="120" w:type="dxa"/>
            <w:vAlign w:val="bottom"/>
            <w:shd w:val="clear" w:color="auto" w:fill="FDFDFC"/>
          </w:tcPr>
          <w:p>
            <w:pPr>
              <w:spacing w:after="0"/>
              <w:rPr>
                <w:sz w:val="18"/>
                <w:szCs w:val="18"/>
                <w:color w:val="auto"/>
              </w:rPr>
            </w:pPr>
          </w:p>
        </w:tc>
        <w:tc>
          <w:tcPr>
            <w:tcW w:w="100" w:type="dxa"/>
            <w:vAlign w:val="bottom"/>
            <w:shd w:val="clear" w:color="auto" w:fill="FDFDFC"/>
          </w:tcPr>
          <w:p>
            <w:pPr>
              <w:spacing w:after="0"/>
              <w:rPr>
                <w:sz w:val="18"/>
                <w:szCs w:val="18"/>
                <w:color w:val="auto"/>
              </w:rPr>
            </w:pPr>
          </w:p>
        </w:tc>
        <w:tc>
          <w:tcPr>
            <w:tcW w:w="960" w:type="dxa"/>
            <w:vAlign w:val="bottom"/>
            <w:gridSpan w:val="2"/>
            <w:shd w:val="clear" w:color="auto" w:fill="FDFDFC"/>
          </w:tcPr>
          <w:p>
            <w:pPr>
              <w:jc w:val="right"/>
              <w:ind w:right="40"/>
              <w:spacing w:after="0" w:line="217" w:lineRule="exact"/>
              <w:rPr>
                <w:sz w:val="20"/>
                <w:szCs w:val="20"/>
                <w:color w:val="auto"/>
              </w:rPr>
            </w:pPr>
            <w:r>
              <w:rPr>
                <w:rFonts w:ascii="Times New Roman" w:cs="Times New Roman" w:eastAsia="Times New Roman" w:hAnsi="Times New Roman"/>
                <w:sz w:val="19"/>
                <w:szCs w:val="19"/>
                <w:color w:val="231F20"/>
              </w:rPr>
              <w:t>(17,656)</w:t>
            </w:r>
          </w:p>
        </w:tc>
        <w:tc>
          <w:tcPr>
            <w:tcW w:w="100" w:type="dxa"/>
            <w:vAlign w:val="bottom"/>
            <w:shd w:val="clear" w:color="auto" w:fill="FDFDFC"/>
          </w:tcPr>
          <w:p>
            <w:pPr>
              <w:spacing w:after="0"/>
              <w:rPr>
                <w:sz w:val="18"/>
                <w:szCs w:val="18"/>
                <w:color w:val="auto"/>
              </w:rPr>
            </w:pPr>
          </w:p>
        </w:tc>
        <w:tc>
          <w:tcPr>
            <w:tcW w:w="120" w:type="dxa"/>
            <w:vAlign w:val="bottom"/>
            <w:shd w:val="clear" w:color="auto" w:fill="FDFDFC"/>
          </w:tcPr>
          <w:p>
            <w:pPr>
              <w:spacing w:after="0"/>
              <w:rPr>
                <w:sz w:val="18"/>
                <w:szCs w:val="18"/>
                <w:color w:val="auto"/>
              </w:rPr>
            </w:pPr>
          </w:p>
        </w:tc>
        <w:tc>
          <w:tcPr>
            <w:tcW w:w="840" w:type="dxa"/>
            <w:vAlign w:val="bottom"/>
            <w:shd w:val="clear" w:color="auto" w:fill="FDFDFC"/>
          </w:tcPr>
          <w:p>
            <w:pPr>
              <w:jc w:val="right"/>
              <w:spacing w:after="0" w:line="217" w:lineRule="exact"/>
              <w:rPr>
                <w:sz w:val="20"/>
                <w:szCs w:val="20"/>
                <w:color w:val="auto"/>
              </w:rPr>
            </w:pPr>
            <w:r>
              <w:rPr>
                <w:rFonts w:ascii="Times New Roman" w:cs="Times New Roman" w:eastAsia="Times New Roman" w:hAnsi="Times New Roman"/>
                <w:sz w:val="19"/>
                <w:szCs w:val="19"/>
                <w:color w:val="231F20"/>
              </w:rPr>
              <w:t>528</w:t>
            </w:r>
          </w:p>
        </w:tc>
        <w:tc>
          <w:tcPr>
            <w:tcW w:w="200" w:type="dxa"/>
            <w:vAlign w:val="bottom"/>
            <w:shd w:val="clear" w:color="auto" w:fill="FDFDFC"/>
          </w:tcPr>
          <w:p>
            <w:pPr>
              <w:spacing w:after="0"/>
              <w:rPr>
                <w:sz w:val="18"/>
                <w:szCs w:val="18"/>
                <w:color w:val="auto"/>
              </w:rPr>
            </w:pPr>
          </w:p>
        </w:tc>
        <w:tc>
          <w:tcPr>
            <w:tcW w:w="140" w:type="dxa"/>
            <w:vAlign w:val="bottom"/>
            <w:shd w:val="clear" w:color="auto" w:fill="FDFDFC"/>
          </w:tcPr>
          <w:p>
            <w:pPr>
              <w:spacing w:after="0"/>
              <w:rPr>
                <w:sz w:val="18"/>
                <w:szCs w:val="18"/>
                <w:color w:val="auto"/>
              </w:rPr>
            </w:pPr>
          </w:p>
        </w:tc>
        <w:tc>
          <w:tcPr>
            <w:tcW w:w="820" w:type="dxa"/>
            <w:vAlign w:val="bottom"/>
            <w:shd w:val="clear" w:color="auto" w:fill="FDFDFC"/>
          </w:tcPr>
          <w:p>
            <w:pPr>
              <w:jc w:val="right"/>
              <w:spacing w:after="0" w:line="217" w:lineRule="exact"/>
              <w:rPr>
                <w:sz w:val="20"/>
                <w:szCs w:val="20"/>
                <w:color w:val="auto"/>
              </w:rPr>
            </w:pPr>
            <w:r>
              <w:rPr>
                <w:rFonts w:ascii="Times New Roman" w:cs="Times New Roman" w:eastAsia="Times New Roman" w:hAnsi="Times New Roman"/>
                <w:sz w:val="19"/>
                <w:szCs w:val="19"/>
                <w:color w:val="231F20"/>
              </w:rPr>
              <w:t>1,360</w:t>
            </w:r>
          </w:p>
        </w:tc>
        <w:tc>
          <w:tcPr>
            <w:tcW w:w="100" w:type="dxa"/>
            <w:vAlign w:val="bottom"/>
            <w:shd w:val="clear" w:color="auto" w:fill="FDFDFC"/>
          </w:tcPr>
          <w:p>
            <w:pPr>
              <w:spacing w:after="0"/>
              <w:rPr>
                <w:sz w:val="18"/>
                <w:szCs w:val="18"/>
                <w:color w:val="auto"/>
              </w:rPr>
            </w:pPr>
          </w:p>
        </w:tc>
        <w:tc>
          <w:tcPr>
            <w:tcW w:w="1120" w:type="dxa"/>
            <w:vAlign w:val="bottom"/>
            <w:gridSpan w:val="3"/>
            <w:shd w:val="clear" w:color="auto" w:fill="FDFDFC"/>
          </w:tcPr>
          <w:p>
            <w:pPr>
              <w:jc w:val="right"/>
              <w:ind w:right="40"/>
              <w:spacing w:after="0" w:line="217" w:lineRule="exact"/>
              <w:rPr>
                <w:sz w:val="20"/>
                <w:szCs w:val="20"/>
                <w:color w:val="auto"/>
              </w:rPr>
            </w:pPr>
            <w:r>
              <w:rPr>
                <w:rFonts w:ascii="Times New Roman" w:cs="Times New Roman" w:eastAsia="Times New Roman" w:hAnsi="Times New Roman"/>
                <w:sz w:val="19"/>
                <w:szCs w:val="19"/>
                <w:color w:val="231F20"/>
              </w:rPr>
              <w:t>(51,583)</w:t>
            </w:r>
          </w:p>
        </w:tc>
        <w:tc>
          <w:tcPr>
            <w:tcW w:w="0" w:type="dxa"/>
            <w:vAlign w:val="bottom"/>
          </w:tcPr>
          <w:p>
            <w:pPr>
              <w:spacing w:after="0"/>
              <w:rPr>
                <w:sz w:val="1"/>
                <w:szCs w:val="1"/>
                <w:color w:val="auto"/>
              </w:rPr>
            </w:pPr>
          </w:p>
        </w:tc>
      </w:tr>
      <w:tr>
        <w:trPr>
          <w:trHeight w:val="217"/>
        </w:trPr>
        <w:tc>
          <w:tcPr>
            <w:tcW w:w="4080" w:type="dxa"/>
            <w:vAlign w:val="bottom"/>
            <w:shd w:val="clear" w:color="auto" w:fill="D0EBF2"/>
          </w:tcPr>
          <w:p>
            <w:pPr>
              <w:spacing w:after="0" w:line="217" w:lineRule="exact"/>
              <w:rPr>
                <w:sz w:val="20"/>
                <w:szCs w:val="20"/>
                <w:color w:val="auto"/>
              </w:rPr>
            </w:pPr>
            <w:r>
              <w:rPr>
                <w:rFonts w:ascii="Times New Roman" w:cs="Times New Roman" w:eastAsia="Times New Roman" w:hAnsi="Times New Roman"/>
                <w:sz w:val="19"/>
                <w:szCs w:val="19"/>
                <w:color w:val="231F20"/>
              </w:rPr>
              <w:t>Net realized gains (losses)</w:t>
            </w:r>
          </w:p>
        </w:tc>
        <w:tc>
          <w:tcPr>
            <w:tcW w:w="200" w:type="dxa"/>
            <w:vAlign w:val="bottom"/>
            <w:shd w:val="clear" w:color="auto" w:fill="D0EBF2"/>
          </w:tcPr>
          <w:p>
            <w:pPr>
              <w:spacing w:after="0"/>
              <w:rPr>
                <w:sz w:val="18"/>
                <w:szCs w:val="18"/>
                <w:color w:val="auto"/>
              </w:rPr>
            </w:pPr>
          </w:p>
        </w:tc>
        <w:tc>
          <w:tcPr>
            <w:tcW w:w="1200" w:type="dxa"/>
            <w:vAlign w:val="bottom"/>
            <w:shd w:val="clear" w:color="auto" w:fill="D0EBF2"/>
          </w:tcPr>
          <w:p>
            <w:pPr>
              <w:jc w:val="right"/>
              <w:spacing w:after="0" w:line="217" w:lineRule="exact"/>
              <w:rPr>
                <w:sz w:val="20"/>
                <w:szCs w:val="20"/>
                <w:color w:val="auto"/>
              </w:rPr>
            </w:pPr>
            <w:r>
              <w:rPr>
                <w:rFonts w:ascii="Times New Roman" w:cs="Times New Roman" w:eastAsia="Times New Roman" w:hAnsi="Times New Roman"/>
                <w:sz w:val="19"/>
                <w:szCs w:val="19"/>
                <w:color w:val="231F20"/>
              </w:rPr>
              <w:t>(4,371)</w:t>
            </w:r>
          </w:p>
        </w:tc>
        <w:tc>
          <w:tcPr>
            <w:tcW w:w="100" w:type="dxa"/>
            <w:vAlign w:val="bottom"/>
            <w:shd w:val="clear" w:color="auto" w:fill="D0EBF2"/>
          </w:tcPr>
          <w:p>
            <w:pPr>
              <w:spacing w:after="0"/>
              <w:rPr>
                <w:sz w:val="18"/>
                <w:szCs w:val="18"/>
                <w:color w:val="auto"/>
              </w:rPr>
            </w:pPr>
          </w:p>
        </w:tc>
        <w:tc>
          <w:tcPr>
            <w:tcW w:w="120" w:type="dxa"/>
            <w:vAlign w:val="bottom"/>
            <w:shd w:val="clear" w:color="auto" w:fill="D0EBF2"/>
          </w:tcPr>
          <w:p>
            <w:pPr>
              <w:spacing w:after="0"/>
              <w:rPr>
                <w:sz w:val="18"/>
                <w:szCs w:val="18"/>
                <w:color w:val="auto"/>
              </w:rPr>
            </w:pPr>
          </w:p>
        </w:tc>
        <w:tc>
          <w:tcPr>
            <w:tcW w:w="100" w:type="dxa"/>
            <w:vAlign w:val="bottom"/>
            <w:shd w:val="clear" w:color="auto" w:fill="D0EBF2"/>
          </w:tcPr>
          <w:p>
            <w:pPr>
              <w:spacing w:after="0"/>
              <w:rPr>
                <w:sz w:val="18"/>
                <w:szCs w:val="18"/>
                <w:color w:val="auto"/>
              </w:rPr>
            </w:pPr>
          </w:p>
        </w:tc>
        <w:tc>
          <w:tcPr>
            <w:tcW w:w="960" w:type="dxa"/>
            <w:vAlign w:val="bottom"/>
            <w:gridSpan w:val="2"/>
            <w:shd w:val="clear" w:color="auto" w:fill="D0EBF2"/>
          </w:tcPr>
          <w:p>
            <w:pPr>
              <w:jc w:val="right"/>
              <w:ind w:right="120"/>
              <w:spacing w:after="0" w:line="217" w:lineRule="exact"/>
              <w:rPr>
                <w:sz w:val="20"/>
                <w:szCs w:val="20"/>
                <w:color w:val="auto"/>
              </w:rPr>
            </w:pPr>
            <w:r>
              <w:rPr>
                <w:rFonts w:ascii="Times New Roman" w:cs="Times New Roman" w:eastAsia="Times New Roman" w:hAnsi="Times New Roman"/>
                <w:sz w:val="19"/>
                <w:szCs w:val="19"/>
                <w:color w:val="231F20"/>
              </w:rPr>
              <w:t>—</w:t>
            </w:r>
          </w:p>
        </w:tc>
        <w:tc>
          <w:tcPr>
            <w:tcW w:w="100" w:type="dxa"/>
            <w:vAlign w:val="bottom"/>
            <w:shd w:val="clear" w:color="auto" w:fill="D0EBF2"/>
          </w:tcPr>
          <w:p>
            <w:pPr>
              <w:spacing w:after="0"/>
              <w:rPr>
                <w:sz w:val="18"/>
                <w:szCs w:val="18"/>
                <w:color w:val="auto"/>
              </w:rPr>
            </w:pPr>
          </w:p>
        </w:tc>
        <w:tc>
          <w:tcPr>
            <w:tcW w:w="120" w:type="dxa"/>
            <w:vAlign w:val="bottom"/>
            <w:shd w:val="clear" w:color="auto" w:fill="D0EBF2"/>
          </w:tcPr>
          <w:p>
            <w:pPr>
              <w:spacing w:after="0"/>
              <w:rPr>
                <w:sz w:val="18"/>
                <w:szCs w:val="18"/>
                <w:color w:val="auto"/>
              </w:rPr>
            </w:pPr>
          </w:p>
        </w:tc>
        <w:tc>
          <w:tcPr>
            <w:tcW w:w="1040" w:type="dxa"/>
            <w:vAlign w:val="bottom"/>
            <w:gridSpan w:val="2"/>
            <w:shd w:val="clear" w:color="auto" w:fill="D0EBF2"/>
          </w:tcPr>
          <w:p>
            <w:pPr>
              <w:jc w:val="right"/>
              <w:ind w:right="220"/>
              <w:spacing w:after="0" w:line="217" w:lineRule="exact"/>
              <w:rPr>
                <w:sz w:val="20"/>
                <w:szCs w:val="20"/>
                <w:color w:val="auto"/>
              </w:rPr>
            </w:pPr>
            <w:r>
              <w:rPr>
                <w:rFonts w:ascii="Times New Roman" w:cs="Times New Roman" w:eastAsia="Times New Roman" w:hAnsi="Times New Roman"/>
                <w:sz w:val="19"/>
                <w:szCs w:val="19"/>
                <w:color w:val="231F20"/>
              </w:rPr>
              <w:t>—</w:t>
            </w:r>
          </w:p>
        </w:tc>
        <w:tc>
          <w:tcPr>
            <w:tcW w:w="140" w:type="dxa"/>
            <w:vAlign w:val="bottom"/>
            <w:shd w:val="clear" w:color="auto" w:fill="D0EBF2"/>
          </w:tcPr>
          <w:p>
            <w:pPr>
              <w:spacing w:after="0"/>
              <w:rPr>
                <w:sz w:val="18"/>
                <w:szCs w:val="18"/>
                <w:color w:val="auto"/>
              </w:rPr>
            </w:pPr>
          </w:p>
        </w:tc>
        <w:tc>
          <w:tcPr>
            <w:tcW w:w="820" w:type="dxa"/>
            <w:vAlign w:val="bottom"/>
            <w:shd w:val="clear" w:color="auto" w:fill="D0EBF2"/>
          </w:tcPr>
          <w:p>
            <w:pPr>
              <w:jc w:val="right"/>
              <w:spacing w:after="0" w:line="217" w:lineRule="exact"/>
              <w:rPr>
                <w:sz w:val="20"/>
                <w:szCs w:val="20"/>
                <w:color w:val="auto"/>
              </w:rPr>
            </w:pPr>
            <w:r>
              <w:rPr>
                <w:rFonts w:ascii="Times New Roman" w:cs="Times New Roman" w:eastAsia="Times New Roman" w:hAnsi="Times New Roman"/>
                <w:sz w:val="19"/>
                <w:szCs w:val="19"/>
                <w:color w:val="231F20"/>
              </w:rPr>
              <w:t>4,734</w:t>
            </w:r>
          </w:p>
        </w:tc>
        <w:tc>
          <w:tcPr>
            <w:tcW w:w="100" w:type="dxa"/>
            <w:vAlign w:val="bottom"/>
            <w:shd w:val="clear" w:color="auto" w:fill="D0EBF2"/>
          </w:tcPr>
          <w:p>
            <w:pPr>
              <w:spacing w:after="0"/>
              <w:rPr>
                <w:sz w:val="18"/>
                <w:szCs w:val="18"/>
                <w:color w:val="auto"/>
              </w:rPr>
            </w:pPr>
          </w:p>
        </w:tc>
        <w:tc>
          <w:tcPr>
            <w:tcW w:w="1020" w:type="dxa"/>
            <w:vAlign w:val="bottom"/>
            <w:gridSpan w:val="2"/>
            <w:shd w:val="clear" w:color="auto" w:fill="D0EBF2"/>
          </w:tcPr>
          <w:p>
            <w:pPr>
              <w:jc w:val="right"/>
              <w:spacing w:after="0" w:line="217" w:lineRule="exact"/>
              <w:rPr>
                <w:sz w:val="20"/>
                <w:szCs w:val="20"/>
                <w:color w:val="auto"/>
              </w:rPr>
            </w:pPr>
            <w:r>
              <w:rPr>
                <w:rFonts w:ascii="Times New Roman" w:cs="Times New Roman" w:eastAsia="Times New Roman" w:hAnsi="Times New Roman"/>
                <w:sz w:val="19"/>
                <w:szCs w:val="19"/>
                <w:color w:val="231F20"/>
              </w:rPr>
              <w:t>363</w:t>
            </w:r>
          </w:p>
        </w:tc>
        <w:tc>
          <w:tcPr>
            <w:tcW w:w="100" w:type="dxa"/>
            <w:vAlign w:val="bottom"/>
            <w:shd w:val="clear" w:color="auto" w:fill="D0EBF2"/>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4080" w:type="dxa"/>
            <w:vAlign w:val="bottom"/>
            <w:shd w:val="clear" w:color="auto" w:fill="FDFDFC"/>
          </w:tcPr>
          <w:p>
            <w:pPr>
              <w:spacing w:after="0" w:line="217" w:lineRule="exact"/>
              <w:rPr>
                <w:sz w:val="20"/>
                <w:szCs w:val="20"/>
                <w:color w:val="auto"/>
              </w:rPr>
            </w:pPr>
            <w:r>
              <w:rPr>
                <w:rFonts w:ascii="Times New Roman" w:cs="Times New Roman" w:eastAsia="Times New Roman" w:hAnsi="Times New Roman"/>
                <w:sz w:val="19"/>
                <w:szCs w:val="19"/>
                <w:color w:val="231F20"/>
              </w:rPr>
              <w:t>Net amortization of discount on securities</w:t>
            </w:r>
          </w:p>
        </w:tc>
        <w:tc>
          <w:tcPr>
            <w:tcW w:w="200" w:type="dxa"/>
            <w:vAlign w:val="bottom"/>
            <w:shd w:val="clear" w:color="auto" w:fill="FDFDFC"/>
          </w:tcPr>
          <w:p>
            <w:pPr>
              <w:spacing w:after="0"/>
              <w:rPr>
                <w:sz w:val="18"/>
                <w:szCs w:val="18"/>
                <w:color w:val="auto"/>
              </w:rPr>
            </w:pPr>
          </w:p>
        </w:tc>
        <w:tc>
          <w:tcPr>
            <w:tcW w:w="1200" w:type="dxa"/>
            <w:vAlign w:val="bottom"/>
            <w:shd w:val="clear" w:color="auto" w:fill="FDFDFC"/>
          </w:tcPr>
          <w:p>
            <w:pPr>
              <w:jc w:val="right"/>
              <w:spacing w:after="0" w:line="217" w:lineRule="exact"/>
              <w:rPr>
                <w:sz w:val="20"/>
                <w:szCs w:val="20"/>
                <w:color w:val="auto"/>
              </w:rPr>
            </w:pPr>
            <w:r>
              <w:rPr>
                <w:rFonts w:ascii="Times New Roman" w:cs="Times New Roman" w:eastAsia="Times New Roman" w:hAnsi="Times New Roman"/>
                <w:sz w:val="19"/>
                <w:szCs w:val="19"/>
                <w:color w:val="231F20"/>
              </w:rPr>
              <w:t>20,046</w:t>
            </w:r>
          </w:p>
        </w:tc>
        <w:tc>
          <w:tcPr>
            <w:tcW w:w="100" w:type="dxa"/>
            <w:vAlign w:val="bottom"/>
            <w:shd w:val="clear" w:color="auto" w:fill="FDFDFC"/>
          </w:tcPr>
          <w:p>
            <w:pPr>
              <w:spacing w:after="0"/>
              <w:rPr>
                <w:sz w:val="18"/>
                <w:szCs w:val="18"/>
                <w:color w:val="auto"/>
              </w:rPr>
            </w:pPr>
          </w:p>
        </w:tc>
        <w:tc>
          <w:tcPr>
            <w:tcW w:w="120" w:type="dxa"/>
            <w:vAlign w:val="bottom"/>
            <w:shd w:val="clear" w:color="auto" w:fill="FDFDFC"/>
          </w:tcPr>
          <w:p>
            <w:pPr>
              <w:spacing w:after="0"/>
              <w:rPr>
                <w:sz w:val="18"/>
                <w:szCs w:val="18"/>
                <w:color w:val="auto"/>
              </w:rPr>
            </w:pPr>
          </w:p>
        </w:tc>
        <w:tc>
          <w:tcPr>
            <w:tcW w:w="100" w:type="dxa"/>
            <w:vAlign w:val="bottom"/>
            <w:shd w:val="clear" w:color="auto" w:fill="FDFDFC"/>
          </w:tcPr>
          <w:p>
            <w:pPr>
              <w:spacing w:after="0"/>
              <w:rPr>
                <w:sz w:val="18"/>
                <w:szCs w:val="18"/>
                <w:color w:val="auto"/>
              </w:rPr>
            </w:pPr>
          </w:p>
        </w:tc>
        <w:tc>
          <w:tcPr>
            <w:tcW w:w="840" w:type="dxa"/>
            <w:vAlign w:val="bottom"/>
            <w:shd w:val="clear" w:color="auto" w:fill="FDFDFC"/>
          </w:tcPr>
          <w:p>
            <w:pPr>
              <w:jc w:val="right"/>
              <w:spacing w:after="0" w:line="217" w:lineRule="exact"/>
              <w:rPr>
                <w:sz w:val="20"/>
                <w:szCs w:val="20"/>
                <w:color w:val="auto"/>
              </w:rPr>
            </w:pPr>
            <w:r>
              <w:rPr>
                <w:rFonts w:ascii="Times New Roman" w:cs="Times New Roman" w:eastAsia="Times New Roman" w:hAnsi="Times New Roman"/>
                <w:sz w:val="19"/>
                <w:szCs w:val="19"/>
                <w:color w:val="231F20"/>
              </w:rPr>
              <w:t>134</w:t>
            </w:r>
          </w:p>
        </w:tc>
        <w:tc>
          <w:tcPr>
            <w:tcW w:w="120" w:type="dxa"/>
            <w:vAlign w:val="bottom"/>
            <w:shd w:val="clear" w:color="auto" w:fill="FDFDFC"/>
          </w:tcPr>
          <w:p>
            <w:pPr>
              <w:spacing w:after="0"/>
              <w:rPr>
                <w:sz w:val="18"/>
                <w:szCs w:val="18"/>
                <w:color w:val="auto"/>
              </w:rPr>
            </w:pPr>
          </w:p>
        </w:tc>
        <w:tc>
          <w:tcPr>
            <w:tcW w:w="100" w:type="dxa"/>
            <w:vAlign w:val="bottom"/>
            <w:shd w:val="clear" w:color="auto" w:fill="FDFDFC"/>
          </w:tcPr>
          <w:p>
            <w:pPr>
              <w:spacing w:after="0"/>
              <w:rPr>
                <w:sz w:val="18"/>
                <w:szCs w:val="18"/>
                <w:color w:val="auto"/>
              </w:rPr>
            </w:pPr>
          </w:p>
        </w:tc>
        <w:tc>
          <w:tcPr>
            <w:tcW w:w="120" w:type="dxa"/>
            <w:vAlign w:val="bottom"/>
            <w:shd w:val="clear" w:color="auto" w:fill="FDFDFC"/>
          </w:tcPr>
          <w:p>
            <w:pPr>
              <w:spacing w:after="0"/>
              <w:rPr>
                <w:sz w:val="18"/>
                <w:szCs w:val="18"/>
                <w:color w:val="auto"/>
              </w:rPr>
            </w:pPr>
          </w:p>
        </w:tc>
        <w:tc>
          <w:tcPr>
            <w:tcW w:w="840" w:type="dxa"/>
            <w:vAlign w:val="bottom"/>
            <w:shd w:val="clear" w:color="auto" w:fill="FDFDFC"/>
          </w:tcPr>
          <w:p>
            <w:pPr>
              <w:jc w:val="right"/>
              <w:spacing w:after="0" w:line="217" w:lineRule="exact"/>
              <w:rPr>
                <w:sz w:val="20"/>
                <w:szCs w:val="20"/>
                <w:color w:val="auto"/>
              </w:rPr>
            </w:pPr>
            <w:r>
              <w:rPr>
                <w:rFonts w:ascii="Times New Roman" w:cs="Times New Roman" w:eastAsia="Times New Roman" w:hAnsi="Times New Roman"/>
                <w:sz w:val="19"/>
                <w:szCs w:val="19"/>
                <w:color w:val="231F20"/>
              </w:rPr>
              <w:t>102</w:t>
            </w:r>
          </w:p>
        </w:tc>
        <w:tc>
          <w:tcPr>
            <w:tcW w:w="200" w:type="dxa"/>
            <w:vAlign w:val="bottom"/>
            <w:shd w:val="clear" w:color="auto" w:fill="FDFDFC"/>
          </w:tcPr>
          <w:p>
            <w:pPr>
              <w:spacing w:after="0"/>
              <w:rPr>
                <w:sz w:val="18"/>
                <w:szCs w:val="18"/>
                <w:color w:val="auto"/>
              </w:rPr>
            </w:pPr>
          </w:p>
        </w:tc>
        <w:tc>
          <w:tcPr>
            <w:tcW w:w="140" w:type="dxa"/>
            <w:vAlign w:val="bottom"/>
            <w:shd w:val="clear" w:color="auto" w:fill="FDFDFC"/>
          </w:tcPr>
          <w:p>
            <w:pPr>
              <w:spacing w:after="0"/>
              <w:rPr>
                <w:sz w:val="18"/>
                <w:szCs w:val="18"/>
                <w:color w:val="auto"/>
              </w:rPr>
            </w:pPr>
          </w:p>
        </w:tc>
        <w:tc>
          <w:tcPr>
            <w:tcW w:w="920" w:type="dxa"/>
            <w:vAlign w:val="bottom"/>
            <w:gridSpan w:val="2"/>
            <w:shd w:val="clear" w:color="auto" w:fill="FDFDFC"/>
          </w:tcPr>
          <w:p>
            <w:pPr>
              <w:jc w:val="right"/>
              <w:ind w:right="120"/>
              <w:spacing w:after="0" w:line="217" w:lineRule="exact"/>
              <w:rPr>
                <w:sz w:val="20"/>
                <w:szCs w:val="20"/>
                <w:color w:val="auto"/>
              </w:rPr>
            </w:pPr>
            <w:r>
              <w:rPr>
                <w:rFonts w:ascii="Times New Roman" w:cs="Times New Roman" w:eastAsia="Times New Roman" w:hAnsi="Times New Roman"/>
                <w:sz w:val="19"/>
                <w:szCs w:val="19"/>
                <w:color w:val="231F20"/>
              </w:rPr>
              <w:t>—</w:t>
            </w:r>
          </w:p>
        </w:tc>
        <w:tc>
          <w:tcPr>
            <w:tcW w:w="1020" w:type="dxa"/>
            <w:vAlign w:val="bottom"/>
            <w:gridSpan w:val="2"/>
            <w:shd w:val="clear" w:color="auto" w:fill="FDFDFC"/>
          </w:tcPr>
          <w:p>
            <w:pPr>
              <w:jc w:val="right"/>
              <w:spacing w:after="0" w:line="217" w:lineRule="exact"/>
              <w:rPr>
                <w:sz w:val="20"/>
                <w:szCs w:val="20"/>
                <w:color w:val="auto"/>
              </w:rPr>
            </w:pPr>
            <w:r>
              <w:rPr>
                <w:rFonts w:ascii="Times New Roman" w:cs="Times New Roman" w:eastAsia="Times New Roman" w:hAnsi="Times New Roman"/>
                <w:sz w:val="19"/>
                <w:szCs w:val="19"/>
                <w:color w:val="231F20"/>
              </w:rPr>
              <w:t>20,282</w:t>
            </w:r>
          </w:p>
        </w:tc>
        <w:tc>
          <w:tcPr>
            <w:tcW w:w="100" w:type="dxa"/>
            <w:vAlign w:val="bottom"/>
            <w:shd w:val="clear" w:color="auto" w:fill="FDFDFC"/>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4080" w:type="dxa"/>
            <w:vAlign w:val="bottom"/>
            <w:shd w:val="clear" w:color="auto" w:fill="D0EBF2"/>
          </w:tcPr>
          <w:p>
            <w:pPr>
              <w:spacing w:after="0" w:line="217" w:lineRule="exact"/>
              <w:rPr>
                <w:sz w:val="20"/>
                <w:szCs w:val="20"/>
                <w:color w:val="auto"/>
              </w:rPr>
            </w:pPr>
            <w:r>
              <w:rPr>
                <w:rFonts w:ascii="Times New Roman" w:cs="Times New Roman" w:eastAsia="Times New Roman" w:hAnsi="Times New Roman"/>
                <w:sz w:val="19"/>
                <w:szCs w:val="19"/>
                <w:color w:val="231F20"/>
              </w:rPr>
              <w:t>Transfers within Level 3</w:t>
            </w:r>
          </w:p>
        </w:tc>
        <w:tc>
          <w:tcPr>
            <w:tcW w:w="200" w:type="dxa"/>
            <w:vAlign w:val="bottom"/>
            <w:shd w:val="clear" w:color="auto" w:fill="D0EBF2"/>
          </w:tcPr>
          <w:p>
            <w:pPr>
              <w:spacing w:after="0"/>
              <w:rPr>
                <w:sz w:val="18"/>
                <w:szCs w:val="18"/>
                <w:color w:val="auto"/>
              </w:rPr>
            </w:pPr>
          </w:p>
        </w:tc>
        <w:tc>
          <w:tcPr>
            <w:tcW w:w="1200" w:type="dxa"/>
            <w:vAlign w:val="bottom"/>
            <w:shd w:val="clear" w:color="auto" w:fill="D0EBF2"/>
          </w:tcPr>
          <w:p>
            <w:pPr>
              <w:jc w:val="right"/>
              <w:spacing w:after="0" w:line="217" w:lineRule="exact"/>
              <w:rPr>
                <w:sz w:val="20"/>
                <w:szCs w:val="20"/>
                <w:color w:val="auto"/>
              </w:rPr>
            </w:pPr>
            <w:r>
              <w:rPr>
                <w:rFonts w:ascii="Times New Roman" w:cs="Times New Roman" w:eastAsia="Times New Roman" w:hAnsi="Times New Roman"/>
                <w:sz w:val="19"/>
                <w:szCs w:val="19"/>
                <w:color w:val="231F20"/>
              </w:rPr>
              <w:t>—</w:t>
            </w:r>
          </w:p>
        </w:tc>
        <w:tc>
          <w:tcPr>
            <w:tcW w:w="100" w:type="dxa"/>
            <w:vAlign w:val="bottom"/>
            <w:shd w:val="clear" w:color="auto" w:fill="D0EBF2"/>
          </w:tcPr>
          <w:p>
            <w:pPr>
              <w:spacing w:after="0"/>
              <w:rPr>
                <w:sz w:val="18"/>
                <w:szCs w:val="18"/>
                <w:color w:val="auto"/>
              </w:rPr>
            </w:pPr>
          </w:p>
        </w:tc>
        <w:tc>
          <w:tcPr>
            <w:tcW w:w="120" w:type="dxa"/>
            <w:vAlign w:val="bottom"/>
            <w:shd w:val="clear" w:color="auto" w:fill="D0EBF2"/>
          </w:tcPr>
          <w:p>
            <w:pPr>
              <w:spacing w:after="0"/>
              <w:rPr>
                <w:sz w:val="18"/>
                <w:szCs w:val="18"/>
                <w:color w:val="auto"/>
              </w:rPr>
            </w:pPr>
          </w:p>
        </w:tc>
        <w:tc>
          <w:tcPr>
            <w:tcW w:w="100" w:type="dxa"/>
            <w:vAlign w:val="bottom"/>
            <w:shd w:val="clear" w:color="auto" w:fill="D0EBF2"/>
          </w:tcPr>
          <w:p>
            <w:pPr>
              <w:spacing w:after="0"/>
              <w:rPr>
                <w:sz w:val="18"/>
                <w:szCs w:val="18"/>
                <w:color w:val="auto"/>
              </w:rPr>
            </w:pPr>
          </w:p>
        </w:tc>
        <w:tc>
          <w:tcPr>
            <w:tcW w:w="960" w:type="dxa"/>
            <w:vAlign w:val="bottom"/>
            <w:gridSpan w:val="2"/>
            <w:shd w:val="clear" w:color="auto" w:fill="D0EBF2"/>
          </w:tcPr>
          <w:p>
            <w:pPr>
              <w:jc w:val="right"/>
              <w:ind w:right="120"/>
              <w:spacing w:after="0" w:line="217" w:lineRule="exact"/>
              <w:rPr>
                <w:sz w:val="20"/>
                <w:szCs w:val="20"/>
                <w:color w:val="auto"/>
              </w:rPr>
            </w:pPr>
            <w:r>
              <w:rPr>
                <w:rFonts w:ascii="Times New Roman" w:cs="Times New Roman" w:eastAsia="Times New Roman" w:hAnsi="Times New Roman"/>
                <w:sz w:val="19"/>
                <w:szCs w:val="19"/>
                <w:color w:val="231F20"/>
              </w:rPr>
              <w:t>—</w:t>
            </w:r>
          </w:p>
        </w:tc>
        <w:tc>
          <w:tcPr>
            <w:tcW w:w="100" w:type="dxa"/>
            <w:vAlign w:val="bottom"/>
            <w:shd w:val="clear" w:color="auto" w:fill="D0EBF2"/>
          </w:tcPr>
          <w:p>
            <w:pPr>
              <w:spacing w:after="0"/>
              <w:rPr>
                <w:sz w:val="18"/>
                <w:szCs w:val="18"/>
                <w:color w:val="auto"/>
              </w:rPr>
            </w:pPr>
          </w:p>
        </w:tc>
        <w:tc>
          <w:tcPr>
            <w:tcW w:w="120" w:type="dxa"/>
            <w:vAlign w:val="bottom"/>
            <w:shd w:val="clear" w:color="auto" w:fill="D0EBF2"/>
          </w:tcPr>
          <w:p>
            <w:pPr>
              <w:spacing w:after="0"/>
              <w:rPr>
                <w:sz w:val="18"/>
                <w:szCs w:val="18"/>
                <w:color w:val="auto"/>
              </w:rPr>
            </w:pPr>
          </w:p>
        </w:tc>
        <w:tc>
          <w:tcPr>
            <w:tcW w:w="1040" w:type="dxa"/>
            <w:vAlign w:val="bottom"/>
            <w:gridSpan w:val="2"/>
            <w:shd w:val="clear" w:color="auto" w:fill="D0EBF2"/>
          </w:tcPr>
          <w:p>
            <w:pPr>
              <w:jc w:val="right"/>
              <w:ind w:right="220"/>
              <w:spacing w:after="0" w:line="217" w:lineRule="exact"/>
              <w:rPr>
                <w:sz w:val="20"/>
                <w:szCs w:val="20"/>
                <w:color w:val="auto"/>
              </w:rPr>
            </w:pPr>
            <w:r>
              <w:rPr>
                <w:rFonts w:ascii="Times New Roman" w:cs="Times New Roman" w:eastAsia="Times New Roman" w:hAnsi="Times New Roman"/>
                <w:sz w:val="19"/>
                <w:szCs w:val="19"/>
                <w:color w:val="231F20"/>
              </w:rPr>
              <w:t>—</w:t>
            </w:r>
          </w:p>
        </w:tc>
        <w:tc>
          <w:tcPr>
            <w:tcW w:w="140" w:type="dxa"/>
            <w:vAlign w:val="bottom"/>
            <w:shd w:val="clear" w:color="auto" w:fill="D0EBF2"/>
          </w:tcPr>
          <w:p>
            <w:pPr>
              <w:spacing w:after="0"/>
              <w:rPr>
                <w:sz w:val="18"/>
                <w:szCs w:val="18"/>
                <w:color w:val="auto"/>
              </w:rPr>
            </w:pPr>
          </w:p>
        </w:tc>
        <w:tc>
          <w:tcPr>
            <w:tcW w:w="920" w:type="dxa"/>
            <w:vAlign w:val="bottom"/>
            <w:gridSpan w:val="2"/>
            <w:shd w:val="clear" w:color="auto" w:fill="D0EBF2"/>
          </w:tcPr>
          <w:p>
            <w:pPr>
              <w:jc w:val="right"/>
              <w:ind w:right="120"/>
              <w:spacing w:after="0" w:line="217" w:lineRule="exact"/>
              <w:rPr>
                <w:sz w:val="20"/>
                <w:szCs w:val="20"/>
                <w:color w:val="auto"/>
              </w:rPr>
            </w:pPr>
            <w:r>
              <w:rPr>
                <w:rFonts w:ascii="Times New Roman" w:cs="Times New Roman" w:eastAsia="Times New Roman" w:hAnsi="Times New Roman"/>
                <w:sz w:val="19"/>
                <w:szCs w:val="19"/>
                <w:color w:val="231F20"/>
              </w:rPr>
              <w:t>—</w:t>
            </w:r>
          </w:p>
        </w:tc>
        <w:tc>
          <w:tcPr>
            <w:tcW w:w="120" w:type="dxa"/>
            <w:vAlign w:val="bottom"/>
            <w:shd w:val="clear" w:color="auto" w:fill="D0EBF2"/>
          </w:tcPr>
          <w:p>
            <w:pPr>
              <w:spacing w:after="0"/>
              <w:rPr>
                <w:sz w:val="18"/>
                <w:szCs w:val="18"/>
                <w:color w:val="auto"/>
              </w:rPr>
            </w:pPr>
          </w:p>
        </w:tc>
        <w:tc>
          <w:tcPr>
            <w:tcW w:w="1000" w:type="dxa"/>
            <w:vAlign w:val="bottom"/>
            <w:gridSpan w:val="2"/>
            <w:shd w:val="clear" w:color="auto" w:fill="D0EBF2"/>
          </w:tcPr>
          <w:p>
            <w:pPr>
              <w:jc w:val="right"/>
              <w:ind w:right="120"/>
              <w:spacing w:after="0" w:line="217" w:lineRule="exact"/>
              <w:rPr>
                <w:sz w:val="20"/>
                <w:szCs w:val="20"/>
                <w:color w:val="auto"/>
              </w:rPr>
            </w:pPr>
            <w:r>
              <w:rPr>
                <w:rFonts w:ascii="Times New Roman" w:cs="Times New Roman" w:eastAsia="Times New Roman" w:hAnsi="Times New Roman"/>
                <w:sz w:val="19"/>
                <w:szCs w:val="19"/>
                <w:color w:val="231F20"/>
              </w:rPr>
              <w:t>—</w:t>
            </w:r>
          </w:p>
        </w:tc>
        <w:tc>
          <w:tcPr>
            <w:tcW w:w="0" w:type="dxa"/>
            <w:vAlign w:val="bottom"/>
          </w:tcPr>
          <w:p>
            <w:pPr>
              <w:spacing w:after="0"/>
              <w:rPr>
                <w:sz w:val="1"/>
                <w:szCs w:val="1"/>
                <w:color w:val="auto"/>
              </w:rPr>
            </w:pPr>
          </w:p>
        </w:tc>
      </w:tr>
      <w:tr>
        <w:trPr>
          <w:trHeight w:val="217"/>
        </w:trPr>
        <w:tc>
          <w:tcPr>
            <w:tcW w:w="4080" w:type="dxa"/>
            <w:vAlign w:val="bottom"/>
            <w:shd w:val="clear" w:color="auto" w:fill="FDFDFC"/>
          </w:tcPr>
          <w:p>
            <w:pPr>
              <w:spacing w:after="0" w:line="217" w:lineRule="exact"/>
              <w:rPr>
                <w:sz w:val="20"/>
                <w:szCs w:val="20"/>
                <w:color w:val="auto"/>
              </w:rPr>
            </w:pPr>
            <w:r>
              <w:rPr>
                <w:rFonts w:ascii="Times New Roman" w:cs="Times New Roman" w:eastAsia="Times New Roman" w:hAnsi="Times New Roman"/>
                <w:sz w:val="19"/>
                <w:szCs w:val="19"/>
                <w:color w:val="231F20"/>
              </w:rPr>
              <w:t>Transfers into (out of) Level 3</w:t>
            </w:r>
          </w:p>
        </w:tc>
        <w:tc>
          <w:tcPr>
            <w:tcW w:w="200" w:type="dxa"/>
            <w:vAlign w:val="bottom"/>
            <w:shd w:val="clear" w:color="auto" w:fill="FDFDFC"/>
          </w:tcPr>
          <w:p>
            <w:pPr>
              <w:spacing w:after="0"/>
              <w:rPr>
                <w:sz w:val="18"/>
                <w:szCs w:val="18"/>
                <w:color w:val="auto"/>
              </w:rPr>
            </w:pPr>
          </w:p>
        </w:tc>
        <w:tc>
          <w:tcPr>
            <w:tcW w:w="1200" w:type="dxa"/>
            <w:vAlign w:val="bottom"/>
            <w:shd w:val="clear" w:color="auto" w:fill="FDFDFC"/>
          </w:tcPr>
          <w:p>
            <w:pPr>
              <w:jc w:val="right"/>
              <w:spacing w:after="0" w:line="217" w:lineRule="exact"/>
              <w:rPr>
                <w:sz w:val="20"/>
                <w:szCs w:val="20"/>
                <w:color w:val="auto"/>
              </w:rPr>
            </w:pPr>
            <w:r>
              <w:rPr>
                <w:rFonts w:ascii="Times New Roman" w:cs="Times New Roman" w:eastAsia="Times New Roman" w:hAnsi="Times New Roman"/>
                <w:sz w:val="19"/>
                <w:szCs w:val="19"/>
                <w:color w:val="231F20"/>
              </w:rPr>
              <w:t>—</w:t>
            </w:r>
          </w:p>
        </w:tc>
        <w:tc>
          <w:tcPr>
            <w:tcW w:w="100" w:type="dxa"/>
            <w:vAlign w:val="bottom"/>
            <w:shd w:val="clear" w:color="auto" w:fill="FDFDFC"/>
          </w:tcPr>
          <w:p>
            <w:pPr>
              <w:spacing w:after="0"/>
              <w:rPr>
                <w:sz w:val="18"/>
                <w:szCs w:val="18"/>
                <w:color w:val="auto"/>
              </w:rPr>
            </w:pPr>
          </w:p>
        </w:tc>
        <w:tc>
          <w:tcPr>
            <w:tcW w:w="120" w:type="dxa"/>
            <w:vAlign w:val="bottom"/>
            <w:shd w:val="clear" w:color="auto" w:fill="FDFDFC"/>
          </w:tcPr>
          <w:p>
            <w:pPr>
              <w:spacing w:after="0"/>
              <w:rPr>
                <w:sz w:val="18"/>
                <w:szCs w:val="18"/>
                <w:color w:val="auto"/>
              </w:rPr>
            </w:pPr>
          </w:p>
        </w:tc>
        <w:tc>
          <w:tcPr>
            <w:tcW w:w="100" w:type="dxa"/>
            <w:vAlign w:val="bottom"/>
            <w:shd w:val="clear" w:color="auto" w:fill="FDFDFC"/>
          </w:tcPr>
          <w:p>
            <w:pPr>
              <w:spacing w:after="0"/>
              <w:rPr>
                <w:sz w:val="18"/>
                <w:szCs w:val="18"/>
                <w:color w:val="auto"/>
              </w:rPr>
            </w:pPr>
          </w:p>
        </w:tc>
        <w:tc>
          <w:tcPr>
            <w:tcW w:w="960" w:type="dxa"/>
            <w:vAlign w:val="bottom"/>
            <w:gridSpan w:val="2"/>
            <w:shd w:val="clear" w:color="auto" w:fill="FDFDFC"/>
          </w:tcPr>
          <w:p>
            <w:pPr>
              <w:jc w:val="right"/>
              <w:ind w:right="120"/>
              <w:spacing w:after="0" w:line="217" w:lineRule="exact"/>
              <w:rPr>
                <w:sz w:val="20"/>
                <w:szCs w:val="20"/>
                <w:color w:val="auto"/>
              </w:rPr>
            </w:pPr>
            <w:r>
              <w:rPr>
                <w:rFonts w:ascii="Times New Roman" w:cs="Times New Roman" w:eastAsia="Times New Roman" w:hAnsi="Times New Roman"/>
                <w:sz w:val="19"/>
                <w:szCs w:val="19"/>
                <w:color w:val="231F20"/>
              </w:rPr>
              <w:t>—</w:t>
            </w:r>
          </w:p>
        </w:tc>
        <w:tc>
          <w:tcPr>
            <w:tcW w:w="100" w:type="dxa"/>
            <w:vAlign w:val="bottom"/>
            <w:shd w:val="clear" w:color="auto" w:fill="FDFDFC"/>
          </w:tcPr>
          <w:p>
            <w:pPr>
              <w:spacing w:after="0"/>
              <w:rPr>
                <w:sz w:val="18"/>
                <w:szCs w:val="18"/>
                <w:color w:val="auto"/>
              </w:rPr>
            </w:pPr>
          </w:p>
        </w:tc>
        <w:tc>
          <w:tcPr>
            <w:tcW w:w="120" w:type="dxa"/>
            <w:vAlign w:val="bottom"/>
            <w:shd w:val="clear" w:color="auto" w:fill="FDFDFC"/>
          </w:tcPr>
          <w:p>
            <w:pPr>
              <w:spacing w:after="0"/>
              <w:rPr>
                <w:sz w:val="18"/>
                <w:szCs w:val="18"/>
                <w:color w:val="auto"/>
              </w:rPr>
            </w:pPr>
          </w:p>
        </w:tc>
        <w:tc>
          <w:tcPr>
            <w:tcW w:w="1040" w:type="dxa"/>
            <w:vAlign w:val="bottom"/>
            <w:gridSpan w:val="2"/>
            <w:shd w:val="clear" w:color="auto" w:fill="FDFDFC"/>
          </w:tcPr>
          <w:p>
            <w:pPr>
              <w:jc w:val="right"/>
              <w:ind w:right="220"/>
              <w:spacing w:after="0" w:line="217" w:lineRule="exact"/>
              <w:rPr>
                <w:sz w:val="20"/>
                <w:szCs w:val="20"/>
                <w:color w:val="auto"/>
              </w:rPr>
            </w:pPr>
            <w:r>
              <w:rPr>
                <w:rFonts w:ascii="Times New Roman" w:cs="Times New Roman" w:eastAsia="Times New Roman" w:hAnsi="Times New Roman"/>
                <w:sz w:val="19"/>
                <w:szCs w:val="19"/>
                <w:color w:val="231F20"/>
              </w:rPr>
              <w:t>—</w:t>
            </w:r>
          </w:p>
        </w:tc>
        <w:tc>
          <w:tcPr>
            <w:tcW w:w="140" w:type="dxa"/>
            <w:vAlign w:val="bottom"/>
            <w:shd w:val="clear" w:color="auto" w:fill="FDFDFC"/>
          </w:tcPr>
          <w:p>
            <w:pPr>
              <w:spacing w:after="0"/>
              <w:rPr>
                <w:sz w:val="18"/>
                <w:szCs w:val="18"/>
                <w:color w:val="auto"/>
              </w:rPr>
            </w:pPr>
          </w:p>
        </w:tc>
        <w:tc>
          <w:tcPr>
            <w:tcW w:w="920" w:type="dxa"/>
            <w:vAlign w:val="bottom"/>
            <w:gridSpan w:val="2"/>
            <w:shd w:val="clear" w:color="auto" w:fill="FDFDFC"/>
          </w:tcPr>
          <w:p>
            <w:pPr>
              <w:jc w:val="right"/>
              <w:ind w:right="120"/>
              <w:spacing w:after="0" w:line="217" w:lineRule="exact"/>
              <w:rPr>
                <w:sz w:val="20"/>
                <w:szCs w:val="20"/>
                <w:color w:val="auto"/>
              </w:rPr>
            </w:pPr>
            <w:r>
              <w:rPr>
                <w:rFonts w:ascii="Times New Roman" w:cs="Times New Roman" w:eastAsia="Times New Roman" w:hAnsi="Times New Roman"/>
                <w:sz w:val="19"/>
                <w:szCs w:val="19"/>
                <w:color w:val="231F20"/>
              </w:rPr>
              <w:t>—</w:t>
            </w:r>
          </w:p>
        </w:tc>
        <w:tc>
          <w:tcPr>
            <w:tcW w:w="120" w:type="dxa"/>
            <w:vAlign w:val="bottom"/>
            <w:shd w:val="clear" w:color="auto" w:fill="FDFDFC"/>
          </w:tcPr>
          <w:p>
            <w:pPr>
              <w:spacing w:after="0"/>
              <w:rPr>
                <w:sz w:val="18"/>
                <w:szCs w:val="18"/>
                <w:color w:val="auto"/>
              </w:rPr>
            </w:pPr>
          </w:p>
        </w:tc>
        <w:tc>
          <w:tcPr>
            <w:tcW w:w="1000" w:type="dxa"/>
            <w:vAlign w:val="bottom"/>
            <w:gridSpan w:val="2"/>
            <w:shd w:val="clear" w:color="auto" w:fill="FDFDFC"/>
          </w:tcPr>
          <w:p>
            <w:pPr>
              <w:jc w:val="right"/>
              <w:ind w:right="120"/>
              <w:spacing w:after="0" w:line="217" w:lineRule="exact"/>
              <w:rPr>
                <w:sz w:val="20"/>
                <w:szCs w:val="20"/>
                <w:color w:val="auto"/>
              </w:rPr>
            </w:pPr>
            <w:r>
              <w:rPr>
                <w:rFonts w:ascii="Times New Roman" w:cs="Times New Roman" w:eastAsia="Times New Roman" w:hAnsi="Times New Roman"/>
                <w:sz w:val="19"/>
                <w:szCs w:val="19"/>
                <w:color w:val="231F20"/>
              </w:rPr>
              <w:t>—</w:t>
            </w:r>
          </w:p>
        </w:tc>
        <w:tc>
          <w:tcPr>
            <w:tcW w:w="0" w:type="dxa"/>
            <w:vAlign w:val="bottom"/>
          </w:tcPr>
          <w:p>
            <w:pPr>
              <w:spacing w:after="0"/>
              <w:rPr>
                <w:sz w:val="1"/>
                <w:szCs w:val="1"/>
                <w:color w:val="auto"/>
              </w:rPr>
            </w:pPr>
          </w:p>
        </w:tc>
      </w:tr>
      <w:tr>
        <w:trPr>
          <w:trHeight w:val="207"/>
        </w:trPr>
        <w:tc>
          <w:tcPr>
            <w:tcW w:w="4080" w:type="dxa"/>
            <w:vAlign w:val="bottom"/>
            <w:tcBorders>
              <w:top w:val="single" w:sz="8" w:color="D0EBF2"/>
            </w:tcBorders>
            <w:shd w:val="clear" w:color="auto" w:fill="D0EBF2"/>
          </w:tcPr>
          <w:p>
            <w:pPr>
              <w:ind w:left="180"/>
              <w:spacing w:after="0" w:line="207" w:lineRule="exact"/>
              <w:rPr>
                <w:sz w:val="20"/>
                <w:szCs w:val="20"/>
                <w:color w:val="auto"/>
              </w:rPr>
            </w:pPr>
            <w:r>
              <w:rPr>
                <w:rFonts w:ascii="Times New Roman" w:cs="Times New Roman" w:eastAsia="Times New Roman" w:hAnsi="Times New Roman"/>
                <w:sz w:val="19"/>
                <w:szCs w:val="19"/>
                <w:b w:val="1"/>
                <w:bCs w:val="1"/>
                <w:color w:val="231F20"/>
              </w:rPr>
              <w:t>Balance, End of Period</w:t>
            </w:r>
          </w:p>
        </w:tc>
        <w:tc>
          <w:tcPr>
            <w:tcW w:w="200" w:type="dxa"/>
            <w:vAlign w:val="bottom"/>
            <w:tcBorders>
              <w:top w:val="single" w:sz="8" w:color="231F20"/>
              <w:bottom w:val="single" w:sz="8" w:color="231F20"/>
            </w:tcBorders>
            <w:shd w:val="clear" w:color="auto" w:fill="D0EBF2"/>
          </w:tcPr>
          <w:p>
            <w:pPr>
              <w:jc w:val="right"/>
              <w:ind w:right="36"/>
              <w:spacing w:after="0"/>
              <w:rPr>
                <w:sz w:val="20"/>
                <w:szCs w:val="20"/>
                <w:color w:val="auto"/>
              </w:rPr>
            </w:pPr>
            <w:r>
              <w:rPr>
                <w:rFonts w:ascii="Times New Roman" w:cs="Times New Roman" w:eastAsia="Times New Roman" w:hAnsi="Times New Roman"/>
                <w:sz w:val="17"/>
                <w:szCs w:val="17"/>
                <w:color w:val="231F20"/>
                <w:w w:val="70"/>
              </w:rPr>
              <w:t>$</w:t>
            </w:r>
          </w:p>
        </w:tc>
        <w:tc>
          <w:tcPr>
            <w:tcW w:w="1200" w:type="dxa"/>
            <w:vAlign w:val="bottom"/>
            <w:tcBorders>
              <w:top w:val="single" w:sz="8" w:color="231F20"/>
              <w:bottom w:val="single" w:sz="8" w:color="231F20"/>
            </w:tcBorders>
            <w:shd w:val="clear" w:color="auto" w:fill="D0EBF2"/>
          </w:tcPr>
          <w:p>
            <w:pPr>
              <w:jc w:val="right"/>
              <w:spacing w:after="0" w:line="207" w:lineRule="exact"/>
              <w:rPr>
                <w:sz w:val="20"/>
                <w:szCs w:val="20"/>
                <w:color w:val="auto"/>
              </w:rPr>
            </w:pPr>
            <w:r>
              <w:rPr>
                <w:rFonts w:ascii="Times New Roman" w:cs="Times New Roman" w:eastAsia="Times New Roman" w:hAnsi="Times New Roman"/>
                <w:sz w:val="19"/>
                <w:szCs w:val="19"/>
                <w:color w:val="231F20"/>
              </w:rPr>
              <w:t>3,287,829</w:t>
            </w:r>
          </w:p>
        </w:tc>
        <w:tc>
          <w:tcPr>
            <w:tcW w:w="100" w:type="dxa"/>
            <w:vAlign w:val="bottom"/>
            <w:tcBorders>
              <w:top w:val="single" w:sz="8" w:color="D0EBF2"/>
            </w:tcBorders>
            <w:shd w:val="clear" w:color="auto" w:fill="D0EBF2"/>
          </w:tcPr>
          <w:p>
            <w:pPr>
              <w:spacing w:after="0"/>
              <w:rPr>
                <w:sz w:val="17"/>
                <w:szCs w:val="17"/>
                <w:color w:val="auto"/>
              </w:rPr>
            </w:pPr>
          </w:p>
        </w:tc>
        <w:tc>
          <w:tcPr>
            <w:tcW w:w="120" w:type="dxa"/>
            <w:vAlign w:val="bottom"/>
            <w:tcBorders>
              <w:top w:val="single" w:sz="8" w:color="D0EBF2"/>
            </w:tcBorders>
            <w:shd w:val="clear" w:color="auto" w:fill="D0EBF2"/>
          </w:tcPr>
          <w:p>
            <w:pPr>
              <w:spacing w:after="0"/>
              <w:rPr>
                <w:sz w:val="17"/>
                <w:szCs w:val="17"/>
                <w:color w:val="auto"/>
              </w:rPr>
            </w:pPr>
          </w:p>
        </w:tc>
        <w:tc>
          <w:tcPr>
            <w:tcW w:w="100" w:type="dxa"/>
            <w:vAlign w:val="bottom"/>
            <w:tcBorders>
              <w:top w:val="single" w:sz="8" w:color="231F20"/>
              <w:bottom w:val="single" w:sz="8" w:color="231F20"/>
            </w:tcBorders>
            <w:shd w:val="clear" w:color="auto" w:fill="D0EBF2"/>
          </w:tcPr>
          <w:p>
            <w:pPr>
              <w:jc w:val="right"/>
              <w:spacing w:after="0" w:line="207" w:lineRule="exact"/>
              <w:rPr>
                <w:sz w:val="20"/>
                <w:szCs w:val="20"/>
                <w:color w:val="auto"/>
              </w:rPr>
            </w:pPr>
            <w:r>
              <w:rPr>
                <w:rFonts w:ascii="Times New Roman" w:cs="Times New Roman" w:eastAsia="Times New Roman" w:hAnsi="Times New Roman"/>
                <w:sz w:val="19"/>
                <w:szCs w:val="19"/>
                <w:color w:val="231F20"/>
                <w:w w:val="83"/>
                <w:shd w:val="clear" w:color="auto" w:fill="D0EBF2"/>
              </w:rPr>
              <w:t>$</w:t>
            </w:r>
          </w:p>
        </w:tc>
        <w:tc>
          <w:tcPr>
            <w:tcW w:w="840" w:type="dxa"/>
            <w:vAlign w:val="bottom"/>
            <w:tcBorders>
              <w:top w:val="single" w:sz="8" w:color="231F20"/>
              <w:bottom w:val="single" w:sz="8" w:color="231F20"/>
            </w:tcBorders>
            <w:shd w:val="clear" w:color="auto" w:fill="D0EBF2"/>
          </w:tcPr>
          <w:p>
            <w:pPr>
              <w:jc w:val="right"/>
              <w:spacing w:after="0" w:line="207" w:lineRule="exact"/>
              <w:rPr>
                <w:sz w:val="20"/>
                <w:szCs w:val="20"/>
                <w:color w:val="auto"/>
              </w:rPr>
            </w:pPr>
            <w:r>
              <w:rPr>
                <w:rFonts w:ascii="Times New Roman" w:cs="Times New Roman" w:eastAsia="Times New Roman" w:hAnsi="Times New Roman"/>
                <w:sz w:val="19"/>
                <w:szCs w:val="19"/>
                <w:color w:val="231F20"/>
                <w:shd w:val="clear" w:color="auto" w:fill="D0EBF2"/>
              </w:rPr>
              <w:t>18,535</w:t>
            </w:r>
          </w:p>
        </w:tc>
        <w:tc>
          <w:tcPr>
            <w:tcW w:w="120" w:type="dxa"/>
            <w:vAlign w:val="bottom"/>
            <w:tcBorders>
              <w:top w:val="single" w:sz="8" w:color="D0EBF2"/>
            </w:tcBorders>
            <w:shd w:val="clear" w:color="auto" w:fill="D0EBF2"/>
          </w:tcPr>
          <w:p>
            <w:pPr>
              <w:spacing w:after="0"/>
              <w:rPr>
                <w:sz w:val="17"/>
                <w:szCs w:val="17"/>
                <w:color w:val="auto"/>
              </w:rPr>
            </w:pPr>
          </w:p>
        </w:tc>
        <w:tc>
          <w:tcPr>
            <w:tcW w:w="100" w:type="dxa"/>
            <w:vAlign w:val="bottom"/>
            <w:tcBorders>
              <w:top w:val="single" w:sz="8" w:color="D0EBF2"/>
            </w:tcBorders>
            <w:shd w:val="clear" w:color="auto" w:fill="D0EBF2"/>
          </w:tcPr>
          <w:p>
            <w:pPr>
              <w:spacing w:after="0"/>
              <w:rPr>
                <w:sz w:val="17"/>
                <w:szCs w:val="17"/>
                <w:color w:val="auto"/>
              </w:rPr>
            </w:pPr>
          </w:p>
        </w:tc>
        <w:tc>
          <w:tcPr>
            <w:tcW w:w="120" w:type="dxa"/>
            <w:vAlign w:val="bottom"/>
            <w:tcBorders>
              <w:top w:val="single" w:sz="8" w:color="231F20"/>
              <w:bottom w:val="single" w:sz="8" w:color="231F20"/>
            </w:tcBorders>
            <w:shd w:val="clear" w:color="auto" w:fill="D0EBF2"/>
          </w:tcPr>
          <w:p>
            <w:pPr>
              <w:jc w:val="right"/>
              <w:spacing w:after="0" w:line="207" w:lineRule="exact"/>
              <w:rPr>
                <w:sz w:val="20"/>
                <w:szCs w:val="20"/>
                <w:color w:val="auto"/>
              </w:rPr>
            </w:pPr>
            <w:r>
              <w:rPr>
                <w:rFonts w:ascii="Times New Roman" w:cs="Times New Roman" w:eastAsia="Times New Roman" w:hAnsi="Times New Roman"/>
                <w:sz w:val="19"/>
                <w:szCs w:val="19"/>
                <w:color w:val="231F20"/>
                <w:w w:val="83"/>
                <w:shd w:val="clear" w:color="auto" w:fill="D0EBF2"/>
              </w:rPr>
              <w:t>$</w:t>
            </w:r>
          </w:p>
        </w:tc>
        <w:tc>
          <w:tcPr>
            <w:tcW w:w="840" w:type="dxa"/>
            <w:vAlign w:val="bottom"/>
            <w:tcBorders>
              <w:top w:val="single" w:sz="8" w:color="231F20"/>
              <w:bottom w:val="single" w:sz="8" w:color="231F20"/>
            </w:tcBorders>
            <w:shd w:val="clear" w:color="auto" w:fill="D0EBF2"/>
          </w:tcPr>
          <w:p>
            <w:pPr>
              <w:jc w:val="right"/>
              <w:spacing w:after="0" w:line="207" w:lineRule="exact"/>
              <w:rPr>
                <w:sz w:val="20"/>
                <w:szCs w:val="20"/>
                <w:color w:val="auto"/>
              </w:rPr>
            </w:pPr>
            <w:r>
              <w:rPr>
                <w:rFonts w:ascii="Times New Roman" w:cs="Times New Roman" w:eastAsia="Times New Roman" w:hAnsi="Times New Roman"/>
                <w:sz w:val="19"/>
                <w:szCs w:val="19"/>
                <w:color w:val="231F20"/>
                <w:shd w:val="clear" w:color="auto" w:fill="D0EBF2"/>
              </w:rPr>
              <w:t>39,091</w:t>
            </w:r>
          </w:p>
        </w:tc>
        <w:tc>
          <w:tcPr>
            <w:tcW w:w="200" w:type="dxa"/>
            <w:vAlign w:val="bottom"/>
            <w:tcBorders>
              <w:top w:val="single" w:sz="8" w:color="D0EBF2"/>
            </w:tcBorders>
            <w:shd w:val="clear" w:color="auto" w:fill="D0EBF2"/>
          </w:tcPr>
          <w:p>
            <w:pPr>
              <w:spacing w:after="0"/>
              <w:rPr>
                <w:sz w:val="17"/>
                <w:szCs w:val="17"/>
                <w:color w:val="auto"/>
              </w:rPr>
            </w:pPr>
          </w:p>
        </w:tc>
        <w:tc>
          <w:tcPr>
            <w:tcW w:w="140" w:type="dxa"/>
            <w:vAlign w:val="bottom"/>
            <w:tcBorders>
              <w:top w:val="single" w:sz="8" w:color="231F20"/>
              <w:bottom w:val="single" w:sz="8" w:color="231F20"/>
            </w:tcBorders>
            <w:shd w:val="clear" w:color="auto" w:fill="D0EBF2"/>
          </w:tcPr>
          <w:p>
            <w:pPr>
              <w:jc w:val="right"/>
              <w:spacing w:after="0" w:line="207" w:lineRule="exact"/>
              <w:rPr>
                <w:sz w:val="20"/>
                <w:szCs w:val="20"/>
                <w:color w:val="auto"/>
              </w:rPr>
            </w:pPr>
            <w:r>
              <w:rPr>
                <w:rFonts w:ascii="Times New Roman" w:cs="Times New Roman" w:eastAsia="Times New Roman" w:hAnsi="Times New Roman"/>
                <w:sz w:val="19"/>
                <w:szCs w:val="19"/>
                <w:color w:val="231F20"/>
                <w:w w:val="83"/>
                <w:shd w:val="clear" w:color="auto" w:fill="D0EBF2"/>
              </w:rPr>
              <w:t>$</w:t>
            </w:r>
          </w:p>
        </w:tc>
        <w:tc>
          <w:tcPr>
            <w:tcW w:w="820" w:type="dxa"/>
            <w:vAlign w:val="bottom"/>
            <w:tcBorders>
              <w:top w:val="single" w:sz="8" w:color="231F20"/>
              <w:bottom w:val="single" w:sz="8" w:color="231F20"/>
            </w:tcBorders>
            <w:shd w:val="clear" w:color="auto" w:fill="D0EBF2"/>
          </w:tcPr>
          <w:p>
            <w:pPr>
              <w:jc w:val="right"/>
              <w:spacing w:after="0" w:line="207" w:lineRule="exact"/>
              <w:rPr>
                <w:sz w:val="20"/>
                <w:szCs w:val="20"/>
                <w:color w:val="auto"/>
              </w:rPr>
            </w:pPr>
            <w:r>
              <w:rPr>
                <w:rFonts w:ascii="Times New Roman" w:cs="Times New Roman" w:eastAsia="Times New Roman" w:hAnsi="Times New Roman"/>
                <w:sz w:val="19"/>
                <w:szCs w:val="19"/>
                <w:color w:val="231F20"/>
                <w:shd w:val="clear" w:color="auto" w:fill="D0EBF2"/>
              </w:rPr>
              <w:t>139,586</w:t>
            </w:r>
          </w:p>
        </w:tc>
        <w:tc>
          <w:tcPr>
            <w:tcW w:w="100" w:type="dxa"/>
            <w:vAlign w:val="bottom"/>
            <w:tcBorders>
              <w:top w:val="single" w:sz="8" w:color="D0EBF2"/>
            </w:tcBorders>
            <w:shd w:val="clear" w:color="auto" w:fill="D0EBF2"/>
          </w:tcPr>
          <w:p>
            <w:pPr>
              <w:spacing w:after="0"/>
              <w:rPr>
                <w:sz w:val="17"/>
                <w:szCs w:val="17"/>
                <w:color w:val="auto"/>
              </w:rPr>
            </w:pPr>
          </w:p>
        </w:tc>
        <w:tc>
          <w:tcPr>
            <w:tcW w:w="120" w:type="dxa"/>
            <w:vAlign w:val="bottom"/>
            <w:tcBorders>
              <w:top w:val="single" w:sz="8" w:color="D0EBF2"/>
            </w:tcBorders>
            <w:shd w:val="clear" w:color="auto" w:fill="D0EBF2"/>
          </w:tcPr>
          <w:p>
            <w:pPr>
              <w:spacing w:after="0"/>
              <w:rPr>
                <w:sz w:val="17"/>
                <w:szCs w:val="17"/>
                <w:color w:val="auto"/>
              </w:rPr>
            </w:pPr>
          </w:p>
        </w:tc>
        <w:tc>
          <w:tcPr>
            <w:tcW w:w="900" w:type="dxa"/>
            <w:vAlign w:val="bottom"/>
            <w:tcBorders>
              <w:top w:val="single" w:sz="8" w:color="231F20"/>
              <w:bottom w:val="single" w:sz="8" w:color="231F20"/>
            </w:tcBorders>
            <w:shd w:val="clear" w:color="auto" w:fill="D0EBF2"/>
          </w:tcPr>
          <w:p>
            <w:pPr>
              <w:jc w:val="right"/>
              <w:spacing w:after="0" w:line="207" w:lineRule="exact"/>
              <w:rPr>
                <w:sz w:val="20"/>
                <w:szCs w:val="20"/>
                <w:color w:val="auto"/>
              </w:rPr>
            </w:pPr>
            <w:r>
              <w:rPr>
                <w:rFonts w:ascii="Times New Roman" w:cs="Times New Roman" w:eastAsia="Times New Roman" w:hAnsi="Times New Roman"/>
                <w:sz w:val="19"/>
                <w:szCs w:val="19"/>
                <w:color w:val="231F20"/>
                <w:w w:val="95"/>
                <w:shd w:val="clear" w:color="auto" w:fill="D0EBF2"/>
              </w:rPr>
              <w:t>$ 3,485,041</w:t>
            </w:r>
          </w:p>
        </w:tc>
        <w:tc>
          <w:tcPr>
            <w:tcW w:w="100" w:type="dxa"/>
            <w:vAlign w:val="bottom"/>
            <w:tcBorders>
              <w:top w:val="single" w:sz="8" w:color="D0EBF2"/>
            </w:tcBorders>
            <w:shd w:val="clear" w:color="auto" w:fill="D0EBF2"/>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080" w:type="dxa"/>
            <w:vAlign w:val="bottom"/>
          </w:tcPr>
          <w:p>
            <w:pPr>
              <w:spacing w:after="0" w:line="20" w:lineRule="exact"/>
              <w:rPr>
                <w:sz w:val="1"/>
                <w:szCs w:val="1"/>
                <w:color w:val="auto"/>
              </w:rPr>
            </w:pPr>
          </w:p>
        </w:tc>
        <w:tc>
          <w:tcPr>
            <w:tcW w:w="200" w:type="dxa"/>
            <w:vAlign w:val="bottom"/>
            <w:tcBorders>
              <w:bottom w:val="single" w:sz="8" w:color="231F20"/>
            </w:tcBorders>
          </w:tcPr>
          <w:p>
            <w:pPr>
              <w:spacing w:after="0" w:line="20" w:lineRule="exact"/>
              <w:rPr>
                <w:sz w:val="1"/>
                <w:szCs w:val="1"/>
                <w:color w:val="auto"/>
              </w:rPr>
            </w:pPr>
          </w:p>
        </w:tc>
        <w:tc>
          <w:tcPr>
            <w:tcW w:w="1200" w:type="dxa"/>
            <w:vAlign w:val="bottom"/>
            <w:tcBorders>
              <w:bottom w:val="single" w:sz="8" w:color="231F20"/>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231F20"/>
            </w:tcBorders>
          </w:tcPr>
          <w:p>
            <w:pPr>
              <w:spacing w:after="0" w:line="20" w:lineRule="exact"/>
              <w:rPr>
                <w:sz w:val="1"/>
                <w:szCs w:val="1"/>
                <w:color w:val="auto"/>
              </w:rPr>
            </w:pPr>
          </w:p>
        </w:tc>
        <w:tc>
          <w:tcPr>
            <w:tcW w:w="840" w:type="dxa"/>
            <w:vAlign w:val="bottom"/>
            <w:tcBorders>
              <w:bottom w:val="single" w:sz="8" w:color="231F20"/>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231F20"/>
            </w:tcBorders>
          </w:tcPr>
          <w:p>
            <w:pPr>
              <w:spacing w:after="0" w:line="20" w:lineRule="exact"/>
              <w:rPr>
                <w:sz w:val="1"/>
                <w:szCs w:val="1"/>
                <w:color w:val="auto"/>
              </w:rPr>
            </w:pPr>
          </w:p>
        </w:tc>
        <w:tc>
          <w:tcPr>
            <w:tcW w:w="840" w:type="dxa"/>
            <w:vAlign w:val="bottom"/>
            <w:tcBorders>
              <w:bottom w:val="single" w:sz="8" w:color="231F20"/>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231F20"/>
            </w:tcBorders>
          </w:tcPr>
          <w:p>
            <w:pPr>
              <w:spacing w:after="0" w:line="20" w:lineRule="exact"/>
              <w:rPr>
                <w:sz w:val="1"/>
                <w:szCs w:val="1"/>
                <w:color w:val="auto"/>
              </w:rPr>
            </w:pPr>
          </w:p>
        </w:tc>
        <w:tc>
          <w:tcPr>
            <w:tcW w:w="820" w:type="dxa"/>
            <w:vAlign w:val="bottom"/>
            <w:tcBorders>
              <w:bottom w:val="single" w:sz="8" w:color="231F20"/>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Borders>
              <w:bottom w:val="single" w:sz="8" w:color="231F20"/>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2240" w:h="15840" w:orient="portrait"/>
          <w:cols w:equalWidth="0" w:num="1">
            <w:col w:w="10200"/>
          </w:cols>
          <w:pgMar w:left="1020" w:top="1315" w:right="1020" w:bottom="57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231F20"/>
        </w:rPr>
        <w:t>F-39</w:t>
      </w:r>
    </w:p>
    <w:p>
      <w:pPr>
        <w:sectPr>
          <w:pgSz w:w="12240" w:h="15840" w:orient="portrait"/>
          <w:cols w:equalWidth="0" w:num="1">
            <w:col w:w="10200"/>
          </w:cols>
          <w:pgMar w:left="1020" w:top="1315" w:right="1020" w:bottom="574" w:gutter="0" w:footer="0" w:header="0"/>
          <w:type w:val="continuous"/>
        </w:sectPr>
      </w:pPr>
    </w:p>
    <w:bookmarkStart w:id="127" w:name="page128"/>
    <w:bookmarkEnd w:id="127"/>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4060" w:type="dxa"/>
            <w:vAlign w:val="bottom"/>
            <w:shd w:val="clear" w:color="auto" w:fill="FDFDFC"/>
          </w:tcPr>
          <w:p>
            <w:pPr>
              <w:spacing w:after="0"/>
              <w:rPr>
                <w:sz w:val="15"/>
                <w:szCs w:val="15"/>
                <w:color w:val="auto"/>
              </w:rPr>
            </w:pPr>
          </w:p>
        </w:tc>
        <w:tc>
          <w:tcPr>
            <w:tcW w:w="200" w:type="dxa"/>
            <w:vAlign w:val="bottom"/>
            <w:shd w:val="clear" w:color="auto" w:fill="FDFDFC"/>
          </w:tcPr>
          <w:p>
            <w:pPr>
              <w:spacing w:after="0"/>
              <w:rPr>
                <w:sz w:val="15"/>
                <w:szCs w:val="15"/>
                <w:color w:val="auto"/>
              </w:rPr>
            </w:pPr>
          </w:p>
        </w:tc>
        <w:tc>
          <w:tcPr>
            <w:tcW w:w="1140" w:type="dxa"/>
            <w:vAlign w:val="bottom"/>
            <w:shd w:val="clear" w:color="auto" w:fill="FDFDFC"/>
          </w:tcPr>
          <w:p>
            <w:pPr>
              <w:spacing w:after="0"/>
              <w:rPr>
                <w:sz w:val="15"/>
                <w:szCs w:val="15"/>
                <w:color w:val="auto"/>
              </w:rPr>
            </w:pPr>
          </w:p>
        </w:tc>
        <w:tc>
          <w:tcPr>
            <w:tcW w:w="160" w:type="dxa"/>
            <w:vAlign w:val="bottom"/>
            <w:shd w:val="clear" w:color="auto" w:fill="FDFDFC"/>
          </w:tcPr>
          <w:p>
            <w:pPr>
              <w:spacing w:after="0"/>
              <w:rPr>
                <w:sz w:val="15"/>
                <w:szCs w:val="15"/>
                <w:color w:val="auto"/>
              </w:rPr>
            </w:pPr>
          </w:p>
        </w:tc>
        <w:tc>
          <w:tcPr>
            <w:tcW w:w="100" w:type="dxa"/>
            <w:vAlign w:val="bottom"/>
            <w:shd w:val="clear" w:color="auto" w:fill="FDFDFC"/>
          </w:tcPr>
          <w:p>
            <w:pPr>
              <w:spacing w:after="0"/>
              <w:rPr>
                <w:sz w:val="15"/>
                <w:szCs w:val="15"/>
                <w:color w:val="auto"/>
              </w:rPr>
            </w:pPr>
          </w:p>
        </w:tc>
        <w:tc>
          <w:tcPr>
            <w:tcW w:w="100" w:type="dxa"/>
            <w:vAlign w:val="bottom"/>
            <w:shd w:val="clear" w:color="auto" w:fill="FDFDFC"/>
          </w:tcPr>
          <w:p>
            <w:pPr>
              <w:spacing w:after="0"/>
              <w:rPr>
                <w:sz w:val="15"/>
                <w:szCs w:val="15"/>
                <w:color w:val="auto"/>
              </w:rPr>
            </w:pPr>
          </w:p>
        </w:tc>
        <w:tc>
          <w:tcPr>
            <w:tcW w:w="2380" w:type="dxa"/>
            <w:vAlign w:val="bottom"/>
            <w:gridSpan w:val="8"/>
            <w:shd w:val="clear" w:color="auto" w:fill="FDFDFC"/>
          </w:tcPr>
          <w:p>
            <w:pPr>
              <w:jc w:val="right"/>
              <w:ind w:right="32"/>
              <w:spacing w:after="0"/>
              <w:rPr>
                <w:sz w:val="20"/>
                <w:szCs w:val="20"/>
                <w:color w:val="auto"/>
              </w:rPr>
            </w:pPr>
            <w:r>
              <w:rPr>
                <w:rFonts w:ascii="Times New Roman" w:cs="Times New Roman" w:eastAsia="Times New Roman" w:hAnsi="Times New Roman"/>
                <w:sz w:val="15"/>
                <w:szCs w:val="15"/>
                <w:b w:val="1"/>
                <w:bCs w:val="1"/>
                <w:color w:val="231F20"/>
              </w:rPr>
              <w:t>As of and for the Year Ended</w:t>
            </w:r>
          </w:p>
        </w:tc>
        <w:tc>
          <w:tcPr>
            <w:tcW w:w="840" w:type="dxa"/>
            <w:vAlign w:val="bottom"/>
            <w:shd w:val="clear" w:color="auto" w:fill="FDFDFC"/>
          </w:tcPr>
          <w:p>
            <w:pPr>
              <w:spacing w:after="0"/>
              <w:rPr>
                <w:sz w:val="15"/>
                <w:szCs w:val="15"/>
                <w:color w:val="auto"/>
              </w:rPr>
            </w:pPr>
          </w:p>
        </w:tc>
        <w:tc>
          <w:tcPr>
            <w:tcW w:w="100" w:type="dxa"/>
            <w:vAlign w:val="bottom"/>
            <w:shd w:val="clear" w:color="auto" w:fill="FDFDFC"/>
          </w:tcPr>
          <w:p>
            <w:pPr>
              <w:spacing w:after="0"/>
              <w:rPr>
                <w:sz w:val="15"/>
                <w:szCs w:val="15"/>
                <w:color w:val="auto"/>
              </w:rPr>
            </w:pPr>
          </w:p>
        </w:tc>
        <w:tc>
          <w:tcPr>
            <w:tcW w:w="120" w:type="dxa"/>
            <w:vAlign w:val="bottom"/>
            <w:shd w:val="clear" w:color="auto" w:fill="FDFDFC"/>
          </w:tcPr>
          <w:p>
            <w:pPr>
              <w:spacing w:after="0"/>
              <w:rPr>
                <w:sz w:val="15"/>
                <w:szCs w:val="15"/>
                <w:color w:val="auto"/>
              </w:rPr>
            </w:pPr>
          </w:p>
        </w:tc>
        <w:tc>
          <w:tcPr>
            <w:tcW w:w="900" w:type="dxa"/>
            <w:vAlign w:val="bottom"/>
            <w:shd w:val="clear" w:color="auto" w:fill="FDFDFC"/>
          </w:tcPr>
          <w:p>
            <w:pPr>
              <w:spacing w:after="0"/>
              <w:rPr>
                <w:sz w:val="15"/>
                <w:szCs w:val="15"/>
                <w:color w:val="auto"/>
              </w:rPr>
            </w:pPr>
          </w:p>
        </w:tc>
        <w:tc>
          <w:tcPr>
            <w:tcW w:w="100" w:type="dxa"/>
            <w:vAlign w:val="bottom"/>
            <w:shd w:val="clear" w:color="auto" w:fill="FDFDFC"/>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4060" w:type="dxa"/>
            <w:vAlign w:val="bottom"/>
            <w:tcBorders>
              <w:bottom w:val="single" w:sz="8" w:color="FDFDFC"/>
            </w:tcBorders>
            <w:shd w:val="clear" w:color="auto" w:fill="FDFDFC"/>
          </w:tcPr>
          <w:p>
            <w:pPr>
              <w:spacing w:after="0"/>
              <w:rPr>
                <w:sz w:val="15"/>
                <w:szCs w:val="15"/>
                <w:color w:val="auto"/>
              </w:rPr>
            </w:pPr>
          </w:p>
        </w:tc>
        <w:tc>
          <w:tcPr>
            <w:tcW w:w="200" w:type="dxa"/>
            <w:vAlign w:val="bottom"/>
            <w:tcBorders>
              <w:bottom w:val="single" w:sz="8" w:color="231F20"/>
            </w:tcBorders>
            <w:shd w:val="clear" w:color="auto" w:fill="FDFDFC"/>
          </w:tcPr>
          <w:p>
            <w:pPr>
              <w:spacing w:after="0"/>
              <w:rPr>
                <w:sz w:val="15"/>
                <w:szCs w:val="15"/>
                <w:color w:val="auto"/>
              </w:rPr>
            </w:pPr>
          </w:p>
        </w:tc>
        <w:tc>
          <w:tcPr>
            <w:tcW w:w="1140" w:type="dxa"/>
            <w:vAlign w:val="bottom"/>
            <w:tcBorders>
              <w:bottom w:val="single" w:sz="8" w:color="231F20"/>
            </w:tcBorders>
            <w:shd w:val="clear" w:color="auto" w:fill="FDFDFC"/>
          </w:tcPr>
          <w:p>
            <w:pPr>
              <w:spacing w:after="0"/>
              <w:rPr>
                <w:sz w:val="15"/>
                <w:szCs w:val="15"/>
                <w:color w:val="auto"/>
              </w:rPr>
            </w:pPr>
          </w:p>
        </w:tc>
        <w:tc>
          <w:tcPr>
            <w:tcW w:w="160" w:type="dxa"/>
            <w:vAlign w:val="bottom"/>
            <w:tcBorders>
              <w:bottom w:val="single" w:sz="8" w:color="231F20"/>
            </w:tcBorders>
            <w:shd w:val="clear" w:color="auto" w:fill="FDFDFC"/>
          </w:tcPr>
          <w:p>
            <w:pPr>
              <w:spacing w:after="0"/>
              <w:rPr>
                <w:sz w:val="15"/>
                <w:szCs w:val="15"/>
                <w:color w:val="auto"/>
              </w:rPr>
            </w:pPr>
          </w:p>
        </w:tc>
        <w:tc>
          <w:tcPr>
            <w:tcW w:w="100" w:type="dxa"/>
            <w:vAlign w:val="bottom"/>
            <w:tcBorders>
              <w:bottom w:val="single" w:sz="8" w:color="231F20"/>
            </w:tcBorders>
            <w:shd w:val="clear" w:color="auto" w:fill="FDFDFC"/>
          </w:tcPr>
          <w:p>
            <w:pPr>
              <w:spacing w:after="0"/>
              <w:rPr>
                <w:sz w:val="15"/>
                <w:szCs w:val="15"/>
                <w:color w:val="auto"/>
              </w:rPr>
            </w:pPr>
          </w:p>
        </w:tc>
        <w:tc>
          <w:tcPr>
            <w:tcW w:w="100" w:type="dxa"/>
            <w:vAlign w:val="bottom"/>
            <w:tcBorders>
              <w:bottom w:val="single" w:sz="8" w:color="231F20"/>
            </w:tcBorders>
            <w:shd w:val="clear" w:color="auto" w:fill="FDFDFC"/>
          </w:tcPr>
          <w:p>
            <w:pPr>
              <w:spacing w:after="0"/>
              <w:rPr>
                <w:sz w:val="15"/>
                <w:szCs w:val="15"/>
                <w:color w:val="auto"/>
              </w:rPr>
            </w:pPr>
          </w:p>
        </w:tc>
        <w:tc>
          <w:tcPr>
            <w:tcW w:w="2140" w:type="dxa"/>
            <w:vAlign w:val="bottom"/>
            <w:tcBorders>
              <w:bottom w:val="single" w:sz="8" w:color="231F20"/>
            </w:tcBorders>
            <w:gridSpan w:val="6"/>
            <w:shd w:val="clear" w:color="auto" w:fill="FDFDFC"/>
          </w:tcPr>
          <w:p>
            <w:pPr>
              <w:jc w:val="right"/>
              <w:ind w:right="220"/>
              <w:spacing w:after="0"/>
              <w:rPr>
                <w:sz w:val="20"/>
                <w:szCs w:val="20"/>
                <w:color w:val="auto"/>
              </w:rPr>
            </w:pPr>
            <w:r>
              <w:rPr>
                <w:rFonts w:ascii="Times New Roman" w:cs="Times New Roman" w:eastAsia="Times New Roman" w:hAnsi="Times New Roman"/>
                <w:sz w:val="15"/>
                <w:szCs w:val="15"/>
                <w:b w:val="1"/>
                <w:bCs w:val="1"/>
                <w:color w:val="231F20"/>
              </w:rPr>
              <w:t>December 31, 2023</w:t>
            </w:r>
          </w:p>
        </w:tc>
        <w:tc>
          <w:tcPr>
            <w:tcW w:w="120" w:type="dxa"/>
            <w:vAlign w:val="bottom"/>
            <w:tcBorders>
              <w:bottom w:val="single" w:sz="8" w:color="231F20"/>
            </w:tcBorders>
            <w:shd w:val="clear" w:color="auto" w:fill="FDFDFC"/>
          </w:tcPr>
          <w:p>
            <w:pPr>
              <w:spacing w:after="0"/>
              <w:rPr>
                <w:sz w:val="15"/>
                <w:szCs w:val="15"/>
                <w:color w:val="auto"/>
              </w:rPr>
            </w:pPr>
          </w:p>
        </w:tc>
        <w:tc>
          <w:tcPr>
            <w:tcW w:w="120" w:type="dxa"/>
            <w:vAlign w:val="bottom"/>
            <w:tcBorders>
              <w:bottom w:val="single" w:sz="8" w:color="231F20"/>
            </w:tcBorders>
            <w:shd w:val="clear" w:color="auto" w:fill="FDFDFC"/>
          </w:tcPr>
          <w:p>
            <w:pPr>
              <w:spacing w:after="0"/>
              <w:rPr>
                <w:sz w:val="15"/>
                <w:szCs w:val="15"/>
                <w:color w:val="auto"/>
              </w:rPr>
            </w:pPr>
          </w:p>
        </w:tc>
        <w:tc>
          <w:tcPr>
            <w:tcW w:w="840" w:type="dxa"/>
            <w:vAlign w:val="bottom"/>
            <w:tcBorders>
              <w:bottom w:val="single" w:sz="8" w:color="231F20"/>
            </w:tcBorders>
            <w:shd w:val="clear" w:color="auto" w:fill="FDFDFC"/>
          </w:tcPr>
          <w:p>
            <w:pPr>
              <w:spacing w:after="0"/>
              <w:rPr>
                <w:sz w:val="15"/>
                <w:szCs w:val="15"/>
                <w:color w:val="auto"/>
              </w:rPr>
            </w:pPr>
          </w:p>
        </w:tc>
        <w:tc>
          <w:tcPr>
            <w:tcW w:w="100" w:type="dxa"/>
            <w:vAlign w:val="bottom"/>
            <w:tcBorders>
              <w:bottom w:val="single" w:sz="8" w:color="231F20"/>
            </w:tcBorders>
            <w:shd w:val="clear" w:color="auto" w:fill="FDFDFC"/>
          </w:tcPr>
          <w:p>
            <w:pPr>
              <w:spacing w:after="0"/>
              <w:rPr>
                <w:sz w:val="15"/>
                <w:szCs w:val="15"/>
                <w:color w:val="auto"/>
              </w:rPr>
            </w:pPr>
          </w:p>
        </w:tc>
        <w:tc>
          <w:tcPr>
            <w:tcW w:w="120" w:type="dxa"/>
            <w:vAlign w:val="bottom"/>
            <w:tcBorders>
              <w:bottom w:val="single" w:sz="8" w:color="231F20"/>
            </w:tcBorders>
            <w:shd w:val="clear" w:color="auto" w:fill="FDFDFC"/>
          </w:tcPr>
          <w:p>
            <w:pPr>
              <w:spacing w:after="0"/>
              <w:rPr>
                <w:sz w:val="15"/>
                <w:szCs w:val="15"/>
                <w:color w:val="auto"/>
              </w:rPr>
            </w:pPr>
          </w:p>
        </w:tc>
        <w:tc>
          <w:tcPr>
            <w:tcW w:w="900" w:type="dxa"/>
            <w:vAlign w:val="bottom"/>
            <w:tcBorders>
              <w:bottom w:val="single" w:sz="8" w:color="231F20"/>
            </w:tcBorders>
            <w:shd w:val="clear" w:color="auto" w:fill="FDFDFC"/>
          </w:tcPr>
          <w:p>
            <w:pPr>
              <w:spacing w:after="0"/>
              <w:rPr>
                <w:sz w:val="15"/>
                <w:szCs w:val="15"/>
                <w:color w:val="auto"/>
              </w:rPr>
            </w:pPr>
          </w:p>
        </w:tc>
        <w:tc>
          <w:tcPr>
            <w:tcW w:w="100" w:type="dxa"/>
            <w:vAlign w:val="bottom"/>
            <w:tcBorders>
              <w:bottom w:val="single" w:sz="8" w:color="FDFDFC"/>
            </w:tcBorders>
            <w:shd w:val="clear" w:color="auto" w:fill="FDFDFC"/>
          </w:tcPr>
          <w:p>
            <w:pPr>
              <w:spacing w:after="0"/>
              <w:rPr>
                <w:sz w:val="15"/>
                <w:szCs w:val="15"/>
                <w:color w:val="auto"/>
              </w:rPr>
            </w:pPr>
          </w:p>
        </w:tc>
        <w:tc>
          <w:tcPr>
            <w:tcW w:w="0" w:type="dxa"/>
            <w:vAlign w:val="bottom"/>
          </w:tcPr>
          <w:p>
            <w:pPr>
              <w:spacing w:after="0"/>
              <w:rPr>
                <w:sz w:val="1"/>
                <w:szCs w:val="1"/>
                <w:color w:val="auto"/>
              </w:rPr>
            </w:pPr>
          </w:p>
        </w:tc>
      </w:tr>
      <w:tr>
        <w:trPr>
          <w:trHeight w:val="146"/>
        </w:trPr>
        <w:tc>
          <w:tcPr>
            <w:tcW w:w="4060" w:type="dxa"/>
            <w:vAlign w:val="bottom"/>
            <w:shd w:val="clear" w:color="auto" w:fill="FDFDFC"/>
          </w:tcPr>
          <w:p>
            <w:pPr>
              <w:spacing w:after="0"/>
              <w:rPr>
                <w:sz w:val="12"/>
                <w:szCs w:val="12"/>
                <w:color w:val="auto"/>
              </w:rPr>
            </w:pPr>
          </w:p>
        </w:tc>
        <w:tc>
          <w:tcPr>
            <w:tcW w:w="200" w:type="dxa"/>
            <w:vAlign w:val="bottom"/>
            <w:shd w:val="clear" w:color="auto" w:fill="FDFDFC"/>
          </w:tcPr>
          <w:p>
            <w:pPr>
              <w:spacing w:after="0"/>
              <w:rPr>
                <w:sz w:val="12"/>
                <w:szCs w:val="12"/>
                <w:color w:val="auto"/>
              </w:rPr>
            </w:pPr>
          </w:p>
        </w:tc>
        <w:tc>
          <w:tcPr>
            <w:tcW w:w="1140" w:type="dxa"/>
            <w:vAlign w:val="bottom"/>
            <w:shd w:val="clear" w:color="auto" w:fill="FDFDFC"/>
          </w:tcPr>
          <w:p>
            <w:pPr>
              <w:jc w:val="center"/>
              <w:ind w:right="130"/>
              <w:spacing w:after="0" w:line="146" w:lineRule="exact"/>
              <w:rPr>
                <w:sz w:val="20"/>
                <w:szCs w:val="20"/>
                <w:color w:val="auto"/>
              </w:rPr>
            </w:pPr>
            <w:r>
              <w:rPr>
                <w:rFonts w:ascii="Times New Roman" w:cs="Times New Roman" w:eastAsia="Times New Roman" w:hAnsi="Times New Roman"/>
                <w:sz w:val="15"/>
                <w:szCs w:val="15"/>
                <w:b w:val="1"/>
                <w:bCs w:val="1"/>
                <w:color w:val="231F20"/>
              </w:rPr>
              <w:t>First-lien</w:t>
            </w:r>
          </w:p>
        </w:tc>
        <w:tc>
          <w:tcPr>
            <w:tcW w:w="160" w:type="dxa"/>
            <w:vAlign w:val="bottom"/>
            <w:shd w:val="clear" w:color="auto" w:fill="FDFDFC"/>
          </w:tcPr>
          <w:p>
            <w:pPr>
              <w:spacing w:after="0"/>
              <w:rPr>
                <w:sz w:val="12"/>
                <w:szCs w:val="12"/>
                <w:color w:val="auto"/>
              </w:rPr>
            </w:pPr>
          </w:p>
        </w:tc>
        <w:tc>
          <w:tcPr>
            <w:tcW w:w="100" w:type="dxa"/>
            <w:vAlign w:val="bottom"/>
            <w:shd w:val="clear" w:color="auto" w:fill="FDFDFC"/>
          </w:tcPr>
          <w:p>
            <w:pPr>
              <w:spacing w:after="0"/>
              <w:rPr>
                <w:sz w:val="12"/>
                <w:szCs w:val="12"/>
                <w:color w:val="auto"/>
              </w:rPr>
            </w:pPr>
          </w:p>
        </w:tc>
        <w:tc>
          <w:tcPr>
            <w:tcW w:w="100" w:type="dxa"/>
            <w:vAlign w:val="bottom"/>
            <w:shd w:val="clear" w:color="auto" w:fill="FDFDFC"/>
          </w:tcPr>
          <w:p>
            <w:pPr>
              <w:spacing w:after="0"/>
              <w:rPr>
                <w:sz w:val="12"/>
                <w:szCs w:val="12"/>
                <w:color w:val="auto"/>
              </w:rPr>
            </w:pPr>
          </w:p>
        </w:tc>
        <w:tc>
          <w:tcPr>
            <w:tcW w:w="860" w:type="dxa"/>
            <w:vAlign w:val="bottom"/>
            <w:shd w:val="clear" w:color="auto" w:fill="FDFDFC"/>
          </w:tcPr>
          <w:p>
            <w:pPr>
              <w:jc w:val="center"/>
              <w:ind w:right="11"/>
              <w:spacing w:after="0" w:line="146" w:lineRule="exact"/>
              <w:rPr>
                <w:sz w:val="20"/>
                <w:szCs w:val="20"/>
                <w:color w:val="auto"/>
              </w:rPr>
            </w:pPr>
            <w:r>
              <w:rPr>
                <w:rFonts w:ascii="Times New Roman" w:cs="Times New Roman" w:eastAsia="Times New Roman" w:hAnsi="Times New Roman"/>
                <w:sz w:val="15"/>
                <w:szCs w:val="15"/>
                <w:b w:val="1"/>
                <w:bCs w:val="1"/>
                <w:color w:val="231F20"/>
              </w:rPr>
              <w:t>Second-lien</w:t>
            </w:r>
          </w:p>
        </w:tc>
        <w:tc>
          <w:tcPr>
            <w:tcW w:w="120" w:type="dxa"/>
            <w:vAlign w:val="bottom"/>
            <w:shd w:val="clear" w:color="auto" w:fill="FDFDFC"/>
          </w:tcPr>
          <w:p>
            <w:pPr>
              <w:spacing w:after="0"/>
              <w:rPr>
                <w:sz w:val="12"/>
                <w:szCs w:val="12"/>
                <w:color w:val="auto"/>
              </w:rPr>
            </w:pPr>
          </w:p>
        </w:tc>
        <w:tc>
          <w:tcPr>
            <w:tcW w:w="100" w:type="dxa"/>
            <w:vAlign w:val="bottom"/>
            <w:shd w:val="clear" w:color="auto" w:fill="FDFDFC"/>
          </w:tcPr>
          <w:p>
            <w:pPr>
              <w:spacing w:after="0"/>
              <w:rPr>
                <w:sz w:val="12"/>
                <w:szCs w:val="12"/>
                <w:color w:val="auto"/>
              </w:rPr>
            </w:pPr>
          </w:p>
        </w:tc>
        <w:tc>
          <w:tcPr>
            <w:tcW w:w="120" w:type="dxa"/>
            <w:vAlign w:val="bottom"/>
            <w:shd w:val="clear" w:color="auto" w:fill="FDFDFC"/>
          </w:tcPr>
          <w:p>
            <w:pPr>
              <w:spacing w:after="0"/>
              <w:rPr>
                <w:sz w:val="12"/>
                <w:szCs w:val="12"/>
                <w:color w:val="auto"/>
              </w:rPr>
            </w:pPr>
          </w:p>
        </w:tc>
        <w:tc>
          <w:tcPr>
            <w:tcW w:w="840" w:type="dxa"/>
            <w:vAlign w:val="bottom"/>
            <w:shd w:val="clear" w:color="auto" w:fill="FDFDFC"/>
          </w:tcPr>
          <w:p>
            <w:pPr>
              <w:jc w:val="center"/>
              <w:ind w:right="48"/>
              <w:spacing w:after="0" w:line="146" w:lineRule="exact"/>
              <w:rPr>
                <w:sz w:val="20"/>
                <w:szCs w:val="20"/>
                <w:color w:val="auto"/>
              </w:rPr>
            </w:pPr>
            <w:r>
              <w:rPr>
                <w:rFonts w:ascii="Times New Roman" w:cs="Times New Roman" w:eastAsia="Times New Roman" w:hAnsi="Times New Roman"/>
                <w:sz w:val="15"/>
                <w:szCs w:val="15"/>
                <w:b w:val="1"/>
                <w:bCs w:val="1"/>
                <w:color w:val="231F20"/>
              </w:rPr>
              <w:t>Mezzanine</w:t>
            </w:r>
          </w:p>
        </w:tc>
        <w:tc>
          <w:tcPr>
            <w:tcW w:w="100" w:type="dxa"/>
            <w:vAlign w:val="bottom"/>
            <w:shd w:val="clear" w:color="auto" w:fill="FDFDFC"/>
          </w:tcPr>
          <w:p>
            <w:pPr>
              <w:spacing w:after="0"/>
              <w:rPr>
                <w:sz w:val="12"/>
                <w:szCs w:val="12"/>
                <w:color w:val="auto"/>
              </w:rPr>
            </w:pPr>
          </w:p>
        </w:tc>
        <w:tc>
          <w:tcPr>
            <w:tcW w:w="120" w:type="dxa"/>
            <w:vAlign w:val="bottom"/>
            <w:shd w:val="clear" w:color="auto" w:fill="FDFDFC"/>
          </w:tcPr>
          <w:p>
            <w:pPr>
              <w:spacing w:after="0"/>
              <w:rPr>
                <w:sz w:val="12"/>
                <w:szCs w:val="12"/>
                <w:color w:val="auto"/>
              </w:rPr>
            </w:pPr>
          </w:p>
        </w:tc>
        <w:tc>
          <w:tcPr>
            <w:tcW w:w="120" w:type="dxa"/>
            <w:vAlign w:val="bottom"/>
            <w:shd w:val="clear" w:color="auto" w:fill="FDFDFC"/>
          </w:tcPr>
          <w:p>
            <w:pPr>
              <w:spacing w:after="0"/>
              <w:rPr>
                <w:sz w:val="12"/>
                <w:szCs w:val="12"/>
                <w:color w:val="auto"/>
              </w:rPr>
            </w:pPr>
          </w:p>
        </w:tc>
        <w:tc>
          <w:tcPr>
            <w:tcW w:w="840" w:type="dxa"/>
            <w:vAlign w:val="bottom"/>
            <w:shd w:val="clear" w:color="auto" w:fill="FDFDFC"/>
          </w:tcPr>
          <w:p>
            <w:pPr>
              <w:jc w:val="center"/>
              <w:ind w:right="28"/>
              <w:spacing w:after="0" w:line="146" w:lineRule="exact"/>
              <w:rPr>
                <w:sz w:val="20"/>
                <w:szCs w:val="20"/>
                <w:color w:val="auto"/>
              </w:rPr>
            </w:pPr>
            <w:r>
              <w:rPr>
                <w:rFonts w:ascii="Times New Roman" w:cs="Times New Roman" w:eastAsia="Times New Roman" w:hAnsi="Times New Roman"/>
                <w:sz w:val="15"/>
                <w:szCs w:val="15"/>
                <w:b w:val="1"/>
                <w:bCs w:val="1"/>
                <w:color w:val="231F20"/>
              </w:rPr>
              <w:t>Equity</w:t>
            </w:r>
          </w:p>
        </w:tc>
        <w:tc>
          <w:tcPr>
            <w:tcW w:w="100" w:type="dxa"/>
            <w:vAlign w:val="bottom"/>
            <w:shd w:val="clear" w:color="auto" w:fill="FDFDFC"/>
          </w:tcPr>
          <w:p>
            <w:pPr>
              <w:spacing w:after="0"/>
              <w:rPr>
                <w:sz w:val="12"/>
                <w:szCs w:val="12"/>
                <w:color w:val="auto"/>
              </w:rPr>
            </w:pPr>
          </w:p>
        </w:tc>
        <w:tc>
          <w:tcPr>
            <w:tcW w:w="120" w:type="dxa"/>
            <w:vAlign w:val="bottom"/>
            <w:shd w:val="clear" w:color="auto" w:fill="FDFDFC"/>
          </w:tcPr>
          <w:p>
            <w:pPr>
              <w:spacing w:after="0"/>
              <w:rPr>
                <w:sz w:val="12"/>
                <w:szCs w:val="12"/>
                <w:color w:val="auto"/>
              </w:rPr>
            </w:pPr>
          </w:p>
        </w:tc>
        <w:tc>
          <w:tcPr>
            <w:tcW w:w="900" w:type="dxa"/>
            <w:vAlign w:val="bottom"/>
            <w:shd w:val="clear" w:color="auto" w:fill="FDFDFC"/>
          </w:tcPr>
          <w:p>
            <w:pPr>
              <w:spacing w:after="0"/>
              <w:rPr>
                <w:sz w:val="12"/>
                <w:szCs w:val="12"/>
                <w:color w:val="auto"/>
              </w:rPr>
            </w:pPr>
          </w:p>
        </w:tc>
        <w:tc>
          <w:tcPr>
            <w:tcW w:w="100" w:type="dxa"/>
            <w:vAlign w:val="bottom"/>
            <w:shd w:val="clear" w:color="auto" w:fill="FDFDFC"/>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4060" w:type="dxa"/>
            <w:vAlign w:val="bottom"/>
            <w:shd w:val="clear" w:color="auto" w:fill="FDFDFC"/>
          </w:tcPr>
          <w:p>
            <w:pPr>
              <w:spacing w:after="0"/>
              <w:rPr>
                <w:sz w:val="15"/>
                <w:szCs w:val="15"/>
                <w:color w:val="auto"/>
              </w:rPr>
            </w:pPr>
          </w:p>
        </w:tc>
        <w:tc>
          <w:tcPr>
            <w:tcW w:w="200" w:type="dxa"/>
            <w:vAlign w:val="bottom"/>
            <w:shd w:val="clear" w:color="auto" w:fill="FDFDFC"/>
          </w:tcPr>
          <w:p>
            <w:pPr>
              <w:spacing w:after="0"/>
              <w:rPr>
                <w:sz w:val="15"/>
                <w:szCs w:val="15"/>
                <w:color w:val="auto"/>
              </w:rPr>
            </w:pPr>
          </w:p>
        </w:tc>
        <w:tc>
          <w:tcPr>
            <w:tcW w:w="1140" w:type="dxa"/>
            <w:vAlign w:val="bottom"/>
            <w:shd w:val="clear" w:color="auto" w:fill="FDFDFC"/>
          </w:tcPr>
          <w:p>
            <w:pPr>
              <w:jc w:val="center"/>
              <w:ind w:right="130"/>
              <w:spacing w:after="0"/>
              <w:rPr>
                <w:sz w:val="20"/>
                <w:szCs w:val="20"/>
                <w:color w:val="auto"/>
              </w:rPr>
            </w:pPr>
            <w:r>
              <w:rPr>
                <w:rFonts w:ascii="Times New Roman" w:cs="Times New Roman" w:eastAsia="Times New Roman" w:hAnsi="Times New Roman"/>
                <w:sz w:val="15"/>
                <w:szCs w:val="15"/>
                <w:b w:val="1"/>
                <w:bCs w:val="1"/>
                <w:color w:val="231F20"/>
                <w:w w:val="98"/>
              </w:rPr>
              <w:t>debt</w:t>
            </w:r>
          </w:p>
        </w:tc>
        <w:tc>
          <w:tcPr>
            <w:tcW w:w="160" w:type="dxa"/>
            <w:vAlign w:val="bottom"/>
            <w:shd w:val="clear" w:color="auto" w:fill="FDFDFC"/>
          </w:tcPr>
          <w:p>
            <w:pPr>
              <w:spacing w:after="0"/>
              <w:rPr>
                <w:sz w:val="15"/>
                <w:szCs w:val="15"/>
                <w:color w:val="auto"/>
              </w:rPr>
            </w:pPr>
          </w:p>
        </w:tc>
        <w:tc>
          <w:tcPr>
            <w:tcW w:w="100" w:type="dxa"/>
            <w:vAlign w:val="bottom"/>
            <w:shd w:val="clear" w:color="auto" w:fill="FDFDFC"/>
          </w:tcPr>
          <w:p>
            <w:pPr>
              <w:spacing w:after="0"/>
              <w:rPr>
                <w:sz w:val="15"/>
                <w:szCs w:val="15"/>
                <w:color w:val="auto"/>
              </w:rPr>
            </w:pPr>
          </w:p>
        </w:tc>
        <w:tc>
          <w:tcPr>
            <w:tcW w:w="100" w:type="dxa"/>
            <w:vAlign w:val="bottom"/>
            <w:shd w:val="clear" w:color="auto" w:fill="FDFDFC"/>
          </w:tcPr>
          <w:p>
            <w:pPr>
              <w:spacing w:after="0"/>
              <w:rPr>
                <w:sz w:val="15"/>
                <w:szCs w:val="15"/>
                <w:color w:val="auto"/>
              </w:rPr>
            </w:pPr>
          </w:p>
        </w:tc>
        <w:tc>
          <w:tcPr>
            <w:tcW w:w="860" w:type="dxa"/>
            <w:vAlign w:val="bottom"/>
            <w:shd w:val="clear" w:color="auto" w:fill="FDFDFC"/>
          </w:tcPr>
          <w:p>
            <w:pPr>
              <w:jc w:val="center"/>
              <w:ind w:right="11"/>
              <w:spacing w:after="0"/>
              <w:rPr>
                <w:sz w:val="20"/>
                <w:szCs w:val="20"/>
                <w:color w:val="auto"/>
              </w:rPr>
            </w:pPr>
            <w:r>
              <w:rPr>
                <w:rFonts w:ascii="Times New Roman" w:cs="Times New Roman" w:eastAsia="Times New Roman" w:hAnsi="Times New Roman"/>
                <w:sz w:val="15"/>
                <w:szCs w:val="15"/>
                <w:b w:val="1"/>
                <w:bCs w:val="1"/>
                <w:color w:val="231F20"/>
                <w:w w:val="98"/>
              </w:rPr>
              <w:t>debt</w:t>
            </w:r>
          </w:p>
        </w:tc>
        <w:tc>
          <w:tcPr>
            <w:tcW w:w="120" w:type="dxa"/>
            <w:vAlign w:val="bottom"/>
            <w:shd w:val="clear" w:color="auto" w:fill="FDFDFC"/>
          </w:tcPr>
          <w:p>
            <w:pPr>
              <w:spacing w:after="0"/>
              <w:rPr>
                <w:sz w:val="15"/>
                <w:szCs w:val="15"/>
                <w:color w:val="auto"/>
              </w:rPr>
            </w:pPr>
          </w:p>
        </w:tc>
        <w:tc>
          <w:tcPr>
            <w:tcW w:w="100" w:type="dxa"/>
            <w:vAlign w:val="bottom"/>
            <w:shd w:val="clear" w:color="auto" w:fill="FDFDFC"/>
          </w:tcPr>
          <w:p>
            <w:pPr>
              <w:spacing w:after="0"/>
              <w:rPr>
                <w:sz w:val="15"/>
                <w:szCs w:val="15"/>
                <w:color w:val="auto"/>
              </w:rPr>
            </w:pPr>
          </w:p>
        </w:tc>
        <w:tc>
          <w:tcPr>
            <w:tcW w:w="120" w:type="dxa"/>
            <w:vAlign w:val="bottom"/>
            <w:shd w:val="clear" w:color="auto" w:fill="FDFDFC"/>
          </w:tcPr>
          <w:p>
            <w:pPr>
              <w:spacing w:after="0"/>
              <w:rPr>
                <w:sz w:val="15"/>
                <w:szCs w:val="15"/>
                <w:color w:val="auto"/>
              </w:rPr>
            </w:pPr>
          </w:p>
        </w:tc>
        <w:tc>
          <w:tcPr>
            <w:tcW w:w="840" w:type="dxa"/>
            <w:vAlign w:val="bottom"/>
            <w:shd w:val="clear" w:color="auto" w:fill="FDFDFC"/>
          </w:tcPr>
          <w:p>
            <w:pPr>
              <w:jc w:val="center"/>
              <w:spacing w:after="0"/>
              <w:rPr>
                <w:sz w:val="20"/>
                <w:szCs w:val="20"/>
                <w:color w:val="auto"/>
              </w:rPr>
            </w:pPr>
            <w:r>
              <w:rPr>
                <w:rFonts w:ascii="Times New Roman" w:cs="Times New Roman" w:eastAsia="Times New Roman" w:hAnsi="Times New Roman"/>
                <w:sz w:val="15"/>
                <w:szCs w:val="15"/>
                <w:b w:val="1"/>
                <w:bCs w:val="1"/>
                <w:color w:val="231F20"/>
                <w:w w:val="98"/>
              </w:rPr>
              <w:t>debt</w:t>
            </w:r>
          </w:p>
        </w:tc>
        <w:tc>
          <w:tcPr>
            <w:tcW w:w="100" w:type="dxa"/>
            <w:vAlign w:val="bottom"/>
            <w:shd w:val="clear" w:color="auto" w:fill="FDFDFC"/>
          </w:tcPr>
          <w:p>
            <w:pPr>
              <w:spacing w:after="0"/>
              <w:rPr>
                <w:sz w:val="15"/>
                <w:szCs w:val="15"/>
                <w:color w:val="auto"/>
              </w:rPr>
            </w:pPr>
          </w:p>
        </w:tc>
        <w:tc>
          <w:tcPr>
            <w:tcW w:w="120" w:type="dxa"/>
            <w:vAlign w:val="bottom"/>
            <w:shd w:val="clear" w:color="auto" w:fill="FDFDFC"/>
          </w:tcPr>
          <w:p>
            <w:pPr>
              <w:spacing w:after="0"/>
              <w:rPr>
                <w:sz w:val="15"/>
                <w:szCs w:val="15"/>
                <w:color w:val="auto"/>
              </w:rPr>
            </w:pPr>
          </w:p>
        </w:tc>
        <w:tc>
          <w:tcPr>
            <w:tcW w:w="120" w:type="dxa"/>
            <w:vAlign w:val="bottom"/>
            <w:shd w:val="clear" w:color="auto" w:fill="FDFDFC"/>
          </w:tcPr>
          <w:p>
            <w:pPr>
              <w:spacing w:after="0"/>
              <w:rPr>
                <w:sz w:val="15"/>
                <w:szCs w:val="15"/>
                <w:color w:val="auto"/>
              </w:rPr>
            </w:pPr>
          </w:p>
        </w:tc>
        <w:tc>
          <w:tcPr>
            <w:tcW w:w="840" w:type="dxa"/>
            <w:vAlign w:val="bottom"/>
            <w:shd w:val="clear" w:color="auto" w:fill="FDFDFC"/>
          </w:tcPr>
          <w:p>
            <w:pPr>
              <w:jc w:val="center"/>
              <w:ind w:right="48"/>
              <w:spacing w:after="0"/>
              <w:rPr>
                <w:sz w:val="20"/>
                <w:szCs w:val="20"/>
                <w:color w:val="auto"/>
              </w:rPr>
            </w:pPr>
            <w:r>
              <w:rPr>
                <w:rFonts w:ascii="Times New Roman" w:cs="Times New Roman" w:eastAsia="Times New Roman" w:hAnsi="Times New Roman"/>
                <w:sz w:val="15"/>
                <w:szCs w:val="15"/>
                <w:b w:val="1"/>
                <w:bCs w:val="1"/>
                <w:color w:val="231F20"/>
                <w:w w:val="99"/>
              </w:rPr>
              <w:t>and other</w:t>
            </w:r>
          </w:p>
        </w:tc>
        <w:tc>
          <w:tcPr>
            <w:tcW w:w="100" w:type="dxa"/>
            <w:vAlign w:val="bottom"/>
            <w:shd w:val="clear" w:color="auto" w:fill="FDFDFC"/>
          </w:tcPr>
          <w:p>
            <w:pPr>
              <w:spacing w:after="0"/>
              <w:rPr>
                <w:sz w:val="15"/>
                <w:szCs w:val="15"/>
                <w:color w:val="auto"/>
              </w:rPr>
            </w:pPr>
          </w:p>
        </w:tc>
        <w:tc>
          <w:tcPr>
            <w:tcW w:w="120" w:type="dxa"/>
            <w:vAlign w:val="bottom"/>
            <w:shd w:val="clear" w:color="auto" w:fill="FDFDFC"/>
          </w:tcPr>
          <w:p>
            <w:pPr>
              <w:spacing w:after="0"/>
              <w:rPr>
                <w:sz w:val="15"/>
                <w:szCs w:val="15"/>
                <w:color w:val="auto"/>
              </w:rPr>
            </w:pPr>
          </w:p>
        </w:tc>
        <w:tc>
          <w:tcPr>
            <w:tcW w:w="900" w:type="dxa"/>
            <w:vAlign w:val="bottom"/>
            <w:vMerge w:val="restart"/>
            <w:shd w:val="clear" w:color="auto" w:fill="FDFDFC"/>
          </w:tcPr>
          <w:p>
            <w:pPr>
              <w:jc w:val="right"/>
              <w:ind w:right="189"/>
              <w:spacing w:after="0"/>
              <w:rPr>
                <w:sz w:val="20"/>
                <w:szCs w:val="20"/>
                <w:color w:val="auto"/>
              </w:rPr>
            </w:pPr>
            <w:r>
              <w:rPr>
                <w:rFonts w:ascii="Times New Roman" w:cs="Times New Roman" w:eastAsia="Times New Roman" w:hAnsi="Times New Roman"/>
                <w:sz w:val="15"/>
                <w:szCs w:val="15"/>
                <w:b w:val="1"/>
                <w:bCs w:val="1"/>
                <w:color w:val="231F20"/>
              </w:rPr>
              <w:t>Total</w:t>
            </w:r>
          </w:p>
        </w:tc>
        <w:tc>
          <w:tcPr>
            <w:tcW w:w="100" w:type="dxa"/>
            <w:vAlign w:val="bottom"/>
            <w:shd w:val="clear" w:color="auto" w:fill="FDFDFC"/>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4060" w:type="dxa"/>
            <w:vAlign w:val="bottom"/>
            <w:tcBorders>
              <w:bottom w:val="single" w:sz="8" w:color="D0EBF2"/>
            </w:tcBorders>
            <w:shd w:val="clear" w:color="auto" w:fill="FDFDFC"/>
          </w:tcPr>
          <w:p>
            <w:pPr>
              <w:spacing w:after="0"/>
              <w:rPr>
                <w:sz w:val="16"/>
                <w:szCs w:val="16"/>
                <w:color w:val="auto"/>
              </w:rPr>
            </w:pPr>
          </w:p>
        </w:tc>
        <w:tc>
          <w:tcPr>
            <w:tcW w:w="200" w:type="dxa"/>
            <w:vAlign w:val="bottom"/>
            <w:tcBorders>
              <w:bottom w:val="single" w:sz="8" w:color="231F20"/>
            </w:tcBorders>
            <w:shd w:val="clear" w:color="auto" w:fill="FDFDFC"/>
          </w:tcPr>
          <w:p>
            <w:pPr>
              <w:spacing w:after="0"/>
              <w:rPr>
                <w:sz w:val="16"/>
                <w:szCs w:val="16"/>
                <w:color w:val="auto"/>
              </w:rPr>
            </w:pPr>
          </w:p>
        </w:tc>
        <w:tc>
          <w:tcPr>
            <w:tcW w:w="1140" w:type="dxa"/>
            <w:vAlign w:val="bottom"/>
            <w:tcBorders>
              <w:bottom w:val="single" w:sz="8" w:color="231F20"/>
            </w:tcBorders>
            <w:shd w:val="clear" w:color="auto" w:fill="FDFDFC"/>
          </w:tcPr>
          <w:p>
            <w:pPr>
              <w:jc w:val="center"/>
              <w:ind w:right="130"/>
              <w:spacing w:after="0"/>
              <w:rPr>
                <w:sz w:val="20"/>
                <w:szCs w:val="20"/>
                <w:color w:val="auto"/>
              </w:rPr>
            </w:pPr>
            <w:r>
              <w:rPr>
                <w:rFonts w:ascii="Times New Roman" w:cs="Times New Roman" w:eastAsia="Times New Roman" w:hAnsi="Times New Roman"/>
                <w:sz w:val="15"/>
                <w:szCs w:val="15"/>
                <w:b w:val="1"/>
                <w:bCs w:val="1"/>
                <w:color w:val="231F20"/>
              </w:rPr>
              <w:t>investments</w:t>
            </w:r>
          </w:p>
        </w:tc>
        <w:tc>
          <w:tcPr>
            <w:tcW w:w="160" w:type="dxa"/>
            <w:vAlign w:val="bottom"/>
            <w:tcBorders>
              <w:bottom w:val="single" w:sz="8" w:color="D0EBF2"/>
            </w:tcBorders>
            <w:shd w:val="clear" w:color="auto" w:fill="FDFDFC"/>
          </w:tcPr>
          <w:p>
            <w:pPr>
              <w:spacing w:after="0"/>
              <w:rPr>
                <w:sz w:val="16"/>
                <w:szCs w:val="16"/>
                <w:color w:val="auto"/>
              </w:rPr>
            </w:pPr>
          </w:p>
        </w:tc>
        <w:tc>
          <w:tcPr>
            <w:tcW w:w="100" w:type="dxa"/>
            <w:vAlign w:val="bottom"/>
            <w:tcBorders>
              <w:bottom w:val="single" w:sz="8" w:color="D0EBF2"/>
            </w:tcBorders>
            <w:shd w:val="clear" w:color="auto" w:fill="FDFDFC"/>
          </w:tcPr>
          <w:p>
            <w:pPr>
              <w:spacing w:after="0"/>
              <w:rPr>
                <w:sz w:val="16"/>
                <w:szCs w:val="16"/>
                <w:color w:val="auto"/>
              </w:rPr>
            </w:pPr>
          </w:p>
        </w:tc>
        <w:tc>
          <w:tcPr>
            <w:tcW w:w="960" w:type="dxa"/>
            <w:vAlign w:val="bottom"/>
            <w:tcBorders>
              <w:bottom w:val="single" w:sz="8" w:color="231F20"/>
            </w:tcBorders>
            <w:gridSpan w:val="2"/>
            <w:shd w:val="clear" w:color="auto" w:fill="FDFDFC"/>
          </w:tcPr>
          <w:p>
            <w:pPr>
              <w:jc w:val="center"/>
              <w:spacing w:after="0"/>
              <w:rPr>
                <w:sz w:val="20"/>
                <w:szCs w:val="20"/>
                <w:color w:val="auto"/>
              </w:rPr>
            </w:pPr>
            <w:r>
              <w:rPr>
                <w:rFonts w:ascii="Times New Roman" w:cs="Times New Roman" w:eastAsia="Times New Roman" w:hAnsi="Times New Roman"/>
                <w:sz w:val="15"/>
                <w:szCs w:val="15"/>
                <w:b w:val="1"/>
                <w:bCs w:val="1"/>
                <w:color w:val="231F20"/>
              </w:rPr>
              <w:t>investments</w:t>
            </w:r>
          </w:p>
        </w:tc>
        <w:tc>
          <w:tcPr>
            <w:tcW w:w="120" w:type="dxa"/>
            <w:vAlign w:val="bottom"/>
            <w:tcBorders>
              <w:bottom w:val="single" w:sz="8" w:color="D0EBF2"/>
            </w:tcBorders>
            <w:shd w:val="clear" w:color="auto" w:fill="FDFDFC"/>
          </w:tcPr>
          <w:p>
            <w:pPr>
              <w:spacing w:after="0"/>
              <w:rPr>
                <w:sz w:val="16"/>
                <w:szCs w:val="16"/>
                <w:color w:val="auto"/>
              </w:rPr>
            </w:pPr>
          </w:p>
        </w:tc>
        <w:tc>
          <w:tcPr>
            <w:tcW w:w="100" w:type="dxa"/>
            <w:vAlign w:val="bottom"/>
            <w:tcBorders>
              <w:bottom w:val="single" w:sz="8" w:color="D0EBF2"/>
            </w:tcBorders>
            <w:shd w:val="clear" w:color="auto" w:fill="FDFDFC"/>
          </w:tcPr>
          <w:p>
            <w:pPr>
              <w:spacing w:after="0"/>
              <w:rPr>
                <w:sz w:val="16"/>
                <w:szCs w:val="16"/>
                <w:color w:val="auto"/>
              </w:rPr>
            </w:pPr>
          </w:p>
        </w:tc>
        <w:tc>
          <w:tcPr>
            <w:tcW w:w="960" w:type="dxa"/>
            <w:vAlign w:val="bottom"/>
            <w:tcBorders>
              <w:bottom w:val="single" w:sz="8" w:color="231F20"/>
            </w:tcBorders>
            <w:gridSpan w:val="2"/>
            <w:shd w:val="clear" w:color="auto" w:fill="FDFDFC"/>
          </w:tcPr>
          <w:p>
            <w:pPr>
              <w:jc w:val="center"/>
              <w:spacing w:after="0"/>
              <w:rPr>
                <w:sz w:val="20"/>
                <w:szCs w:val="20"/>
                <w:color w:val="auto"/>
              </w:rPr>
            </w:pPr>
            <w:r>
              <w:rPr>
                <w:rFonts w:ascii="Times New Roman" w:cs="Times New Roman" w:eastAsia="Times New Roman" w:hAnsi="Times New Roman"/>
                <w:sz w:val="15"/>
                <w:szCs w:val="15"/>
                <w:b w:val="1"/>
                <w:bCs w:val="1"/>
                <w:color w:val="231F20"/>
              </w:rPr>
              <w:t>investments</w:t>
            </w:r>
          </w:p>
        </w:tc>
        <w:tc>
          <w:tcPr>
            <w:tcW w:w="100" w:type="dxa"/>
            <w:vAlign w:val="bottom"/>
            <w:tcBorders>
              <w:bottom w:val="single" w:sz="8" w:color="D0EBF2"/>
            </w:tcBorders>
            <w:shd w:val="clear" w:color="auto" w:fill="FDFDFC"/>
          </w:tcPr>
          <w:p>
            <w:pPr>
              <w:spacing w:after="0"/>
              <w:rPr>
                <w:sz w:val="16"/>
                <w:szCs w:val="16"/>
                <w:color w:val="auto"/>
              </w:rPr>
            </w:pPr>
          </w:p>
        </w:tc>
        <w:tc>
          <w:tcPr>
            <w:tcW w:w="120" w:type="dxa"/>
            <w:vAlign w:val="bottom"/>
            <w:tcBorders>
              <w:bottom w:val="single" w:sz="8" w:color="D0EBF2"/>
            </w:tcBorders>
            <w:shd w:val="clear" w:color="auto" w:fill="FDFDFC"/>
          </w:tcPr>
          <w:p>
            <w:pPr>
              <w:spacing w:after="0"/>
              <w:rPr>
                <w:sz w:val="16"/>
                <w:szCs w:val="16"/>
                <w:color w:val="auto"/>
              </w:rPr>
            </w:pPr>
          </w:p>
        </w:tc>
        <w:tc>
          <w:tcPr>
            <w:tcW w:w="960" w:type="dxa"/>
            <w:vAlign w:val="bottom"/>
            <w:tcBorders>
              <w:bottom w:val="single" w:sz="8" w:color="231F20"/>
            </w:tcBorders>
            <w:gridSpan w:val="2"/>
            <w:shd w:val="clear" w:color="auto" w:fill="FDFDFC"/>
          </w:tcPr>
          <w:p>
            <w:pPr>
              <w:jc w:val="center"/>
              <w:spacing w:after="0"/>
              <w:rPr>
                <w:sz w:val="20"/>
                <w:szCs w:val="20"/>
                <w:color w:val="auto"/>
              </w:rPr>
            </w:pPr>
            <w:r>
              <w:rPr>
                <w:rFonts w:ascii="Times New Roman" w:cs="Times New Roman" w:eastAsia="Times New Roman" w:hAnsi="Times New Roman"/>
                <w:sz w:val="15"/>
                <w:szCs w:val="15"/>
                <w:b w:val="1"/>
                <w:bCs w:val="1"/>
                <w:color w:val="231F20"/>
              </w:rPr>
              <w:t>investments</w:t>
            </w:r>
          </w:p>
        </w:tc>
        <w:tc>
          <w:tcPr>
            <w:tcW w:w="100" w:type="dxa"/>
            <w:vAlign w:val="bottom"/>
            <w:tcBorders>
              <w:bottom w:val="single" w:sz="8" w:color="D0EBF2"/>
            </w:tcBorders>
            <w:shd w:val="clear" w:color="auto" w:fill="FDFDFC"/>
          </w:tcPr>
          <w:p>
            <w:pPr>
              <w:spacing w:after="0"/>
              <w:rPr>
                <w:sz w:val="16"/>
                <w:szCs w:val="16"/>
                <w:color w:val="auto"/>
              </w:rPr>
            </w:pPr>
          </w:p>
        </w:tc>
        <w:tc>
          <w:tcPr>
            <w:tcW w:w="120" w:type="dxa"/>
            <w:vAlign w:val="bottom"/>
            <w:tcBorders>
              <w:bottom w:val="single" w:sz="8" w:color="D0EBF2"/>
            </w:tcBorders>
            <w:shd w:val="clear" w:color="auto" w:fill="FDFDFC"/>
          </w:tcPr>
          <w:p>
            <w:pPr>
              <w:spacing w:after="0"/>
              <w:rPr>
                <w:sz w:val="16"/>
                <w:szCs w:val="16"/>
                <w:color w:val="auto"/>
              </w:rPr>
            </w:pPr>
          </w:p>
        </w:tc>
        <w:tc>
          <w:tcPr>
            <w:tcW w:w="900" w:type="dxa"/>
            <w:vAlign w:val="bottom"/>
            <w:tcBorders>
              <w:bottom w:val="single" w:sz="8" w:color="231F20"/>
            </w:tcBorders>
            <w:vMerge w:val="continue"/>
            <w:shd w:val="clear" w:color="auto" w:fill="FDFDFC"/>
          </w:tcPr>
          <w:p>
            <w:pPr>
              <w:spacing w:after="0"/>
              <w:rPr>
                <w:sz w:val="16"/>
                <w:szCs w:val="16"/>
                <w:color w:val="auto"/>
              </w:rPr>
            </w:pPr>
          </w:p>
        </w:tc>
        <w:tc>
          <w:tcPr>
            <w:tcW w:w="100" w:type="dxa"/>
            <w:vAlign w:val="bottom"/>
            <w:tcBorders>
              <w:bottom w:val="single" w:sz="8" w:color="D0EBF2"/>
            </w:tcBorders>
            <w:shd w:val="clear" w:color="auto" w:fill="FDFDFC"/>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4060" w:type="dxa"/>
            <w:vAlign w:val="bottom"/>
            <w:shd w:val="clear" w:color="auto" w:fill="D0EBF2"/>
          </w:tcPr>
          <w:p>
            <w:pPr>
              <w:spacing w:after="0" w:line="206" w:lineRule="exact"/>
              <w:rPr>
                <w:sz w:val="20"/>
                <w:szCs w:val="20"/>
                <w:color w:val="auto"/>
              </w:rPr>
            </w:pPr>
            <w:r>
              <w:rPr>
                <w:rFonts w:ascii="Times New Roman" w:cs="Times New Roman" w:eastAsia="Times New Roman" w:hAnsi="Times New Roman"/>
                <w:sz w:val="19"/>
                <w:szCs w:val="19"/>
                <w:color w:val="231F20"/>
              </w:rPr>
              <w:t>Balance, beginning of period</w:t>
            </w:r>
          </w:p>
        </w:tc>
        <w:tc>
          <w:tcPr>
            <w:tcW w:w="200" w:type="dxa"/>
            <w:vAlign w:val="bottom"/>
            <w:shd w:val="clear" w:color="auto" w:fill="D0EBF2"/>
          </w:tcPr>
          <w:p>
            <w:pPr>
              <w:jc w:val="right"/>
              <w:ind w:right="6"/>
              <w:spacing w:after="0" w:line="206" w:lineRule="exact"/>
              <w:rPr>
                <w:sz w:val="20"/>
                <w:szCs w:val="20"/>
                <w:color w:val="auto"/>
              </w:rPr>
            </w:pPr>
            <w:r>
              <w:rPr>
                <w:rFonts w:ascii="Times New Roman" w:cs="Times New Roman" w:eastAsia="Times New Roman" w:hAnsi="Times New Roman"/>
                <w:sz w:val="19"/>
                <w:szCs w:val="19"/>
                <w:color w:val="231F20"/>
                <w:w w:val="83"/>
              </w:rPr>
              <w:t>$</w:t>
            </w:r>
          </w:p>
        </w:tc>
        <w:tc>
          <w:tcPr>
            <w:tcW w:w="1140" w:type="dxa"/>
            <w:vAlign w:val="bottom"/>
            <w:shd w:val="clear" w:color="auto" w:fill="D0EBF2"/>
          </w:tcPr>
          <w:p>
            <w:pPr>
              <w:jc w:val="right"/>
              <w:spacing w:after="0" w:line="206" w:lineRule="exact"/>
              <w:rPr>
                <w:sz w:val="20"/>
                <w:szCs w:val="20"/>
                <w:color w:val="auto"/>
              </w:rPr>
            </w:pPr>
            <w:r>
              <w:rPr>
                <w:rFonts w:ascii="Times New Roman" w:cs="Times New Roman" w:eastAsia="Times New Roman" w:hAnsi="Times New Roman"/>
                <w:sz w:val="19"/>
                <w:szCs w:val="19"/>
                <w:color w:val="231F20"/>
              </w:rPr>
              <w:t>2,495,959</w:t>
            </w:r>
          </w:p>
        </w:tc>
        <w:tc>
          <w:tcPr>
            <w:tcW w:w="160" w:type="dxa"/>
            <w:vAlign w:val="bottom"/>
            <w:shd w:val="clear" w:color="auto" w:fill="D0EBF2"/>
          </w:tcPr>
          <w:p>
            <w:pPr>
              <w:spacing w:after="0"/>
              <w:rPr>
                <w:sz w:val="17"/>
                <w:szCs w:val="17"/>
                <w:color w:val="auto"/>
              </w:rPr>
            </w:pPr>
          </w:p>
        </w:tc>
        <w:tc>
          <w:tcPr>
            <w:tcW w:w="100" w:type="dxa"/>
            <w:vAlign w:val="bottom"/>
            <w:shd w:val="clear" w:color="auto" w:fill="D0EBF2"/>
          </w:tcPr>
          <w:p>
            <w:pPr>
              <w:spacing w:after="0"/>
              <w:rPr>
                <w:sz w:val="17"/>
                <w:szCs w:val="17"/>
                <w:color w:val="auto"/>
              </w:rPr>
            </w:pPr>
          </w:p>
        </w:tc>
        <w:tc>
          <w:tcPr>
            <w:tcW w:w="100" w:type="dxa"/>
            <w:vAlign w:val="bottom"/>
            <w:shd w:val="clear" w:color="auto" w:fill="D0EBF2"/>
          </w:tcPr>
          <w:p>
            <w:pPr>
              <w:jc w:val="right"/>
              <w:spacing w:after="0" w:line="206" w:lineRule="exact"/>
              <w:rPr>
                <w:sz w:val="20"/>
                <w:szCs w:val="20"/>
                <w:color w:val="auto"/>
              </w:rPr>
            </w:pPr>
            <w:r>
              <w:rPr>
                <w:rFonts w:ascii="Times New Roman" w:cs="Times New Roman" w:eastAsia="Times New Roman" w:hAnsi="Times New Roman"/>
                <w:sz w:val="19"/>
                <w:szCs w:val="19"/>
                <w:color w:val="231F20"/>
                <w:w w:val="83"/>
                <w:shd w:val="clear" w:color="auto" w:fill="D0EBF2"/>
              </w:rPr>
              <w:t>$</w:t>
            </w:r>
          </w:p>
        </w:tc>
        <w:tc>
          <w:tcPr>
            <w:tcW w:w="860" w:type="dxa"/>
            <w:vAlign w:val="bottom"/>
            <w:shd w:val="clear" w:color="auto" w:fill="D0EBF2"/>
          </w:tcPr>
          <w:p>
            <w:pPr>
              <w:jc w:val="right"/>
              <w:spacing w:after="0" w:line="206" w:lineRule="exact"/>
              <w:rPr>
                <w:sz w:val="20"/>
                <w:szCs w:val="20"/>
                <w:color w:val="auto"/>
              </w:rPr>
            </w:pPr>
            <w:r>
              <w:rPr>
                <w:rFonts w:ascii="Times New Roman" w:cs="Times New Roman" w:eastAsia="Times New Roman" w:hAnsi="Times New Roman"/>
                <w:sz w:val="19"/>
                <w:szCs w:val="19"/>
                <w:color w:val="231F20"/>
                <w:shd w:val="clear" w:color="auto" w:fill="D0EBF2"/>
              </w:rPr>
              <w:t>40,762</w:t>
            </w:r>
          </w:p>
        </w:tc>
        <w:tc>
          <w:tcPr>
            <w:tcW w:w="120" w:type="dxa"/>
            <w:vAlign w:val="bottom"/>
            <w:shd w:val="clear" w:color="auto" w:fill="D0EBF2"/>
          </w:tcPr>
          <w:p>
            <w:pPr>
              <w:spacing w:after="0"/>
              <w:rPr>
                <w:sz w:val="17"/>
                <w:szCs w:val="17"/>
                <w:color w:val="auto"/>
              </w:rPr>
            </w:pPr>
          </w:p>
        </w:tc>
        <w:tc>
          <w:tcPr>
            <w:tcW w:w="100" w:type="dxa"/>
            <w:vAlign w:val="bottom"/>
            <w:shd w:val="clear" w:color="auto" w:fill="D0EBF2"/>
          </w:tcPr>
          <w:p>
            <w:pPr>
              <w:spacing w:after="0"/>
              <w:rPr>
                <w:sz w:val="17"/>
                <w:szCs w:val="17"/>
                <w:color w:val="auto"/>
              </w:rPr>
            </w:pPr>
          </w:p>
        </w:tc>
        <w:tc>
          <w:tcPr>
            <w:tcW w:w="120" w:type="dxa"/>
            <w:vAlign w:val="bottom"/>
            <w:shd w:val="clear" w:color="auto" w:fill="D0EBF2"/>
          </w:tcPr>
          <w:p>
            <w:pPr>
              <w:jc w:val="right"/>
              <w:spacing w:after="0" w:line="206" w:lineRule="exact"/>
              <w:rPr>
                <w:sz w:val="20"/>
                <w:szCs w:val="20"/>
                <w:color w:val="auto"/>
              </w:rPr>
            </w:pPr>
            <w:r>
              <w:rPr>
                <w:rFonts w:ascii="Times New Roman" w:cs="Times New Roman" w:eastAsia="Times New Roman" w:hAnsi="Times New Roman"/>
                <w:sz w:val="19"/>
                <w:szCs w:val="19"/>
                <w:color w:val="231F20"/>
                <w:w w:val="83"/>
                <w:shd w:val="clear" w:color="auto" w:fill="D0EBF2"/>
              </w:rPr>
              <w:t>$</w:t>
            </w:r>
          </w:p>
        </w:tc>
        <w:tc>
          <w:tcPr>
            <w:tcW w:w="840" w:type="dxa"/>
            <w:vAlign w:val="bottom"/>
            <w:shd w:val="clear" w:color="auto" w:fill="D0EBF2"/>
          </w:tcPr>
          <w:p>
            <w:pPr>
              <w:jc w:val="right"/>
              <w:spacing w:after="0" w:line="206" w:lineRule="exact"/>
              <w:rPr>
                <w:sz w:val="20"/>
                <w:szCs w:val="20"/>
                <w:color w:val="auto"/>
              </w:rPr>
            </w:pPr>
            <w:r>
              <w:rPr>
                <w:rFonts w:ascii="Times New Roman" w:cs="Times New Roman" w:eastAsia="Times New Roman" w:hAnsi="Times New Roman"/>
                <w:sz w:val="19"/>
                <w:szCs w:val="19"/>
                <w:color w:val="231F20"/>
                <w:shd w:val="clear" w:color="auto" w:fill="D0EBF2"/>
              </w:rPr>
              <w:t>10,158</w:t>
            </w:r>
          </w:p>
        </w:tc>
        <w:tc>
          <w:tcPr>
            <w:tcW w:w="100" w:type="dxa"/>
            <w:vAlign w:val="bottom"/>
            <w:shd w:val="clear" w:color="auto" w:fill="D0EBF2"/>
          </w:tcPr>
          <w:p>
            <w:pPr>
              <w:spacing w:after="0"/>
              <w:rPr>
                <w:sz w:val="17"/>
                <w:szCs w:val="17"/>
                <w:color w:val="auto"/>
              </w:rPr>
            </w:pPr>
          </w:p>
        </w:tc>
        <w:tc>
          <w:tcPr>
            <w:tcW w:w="120" w:type="dxa"/>
            <w:vAlign w:val="bottom"/>
            <w:shd w:val="clear" w:color="auto" w:fill="D0EBF2"/>
          </w:tcPr>
          <w:p>
            <w:pPr>
              <w:spacing w:after="0"/>
              <w:rPr>
                <w:sz w:val="17"/>
                <w:szCs w:val="17"/>
                <w:color w:val="auto"/>
              </w:rPr>
            </w:pPr>
          </w:p>
        </w:tc>
        <w:tc>
          <w:tcPr>
            <w:tcW w:w="120" w:type="dxa"/>
            <w:vAlign w:val="bottom"/>
            <w:shd w:val="clear" w:color="auto" w:fill="D0EBF2"/>
          </w:tcPr>
          <w:p>
            <w:pPr>
              <w:jc w:val="right"/>
              <w:spacing w:after="0" w:line="206" w:lineRule="exact"/>
              <w:rPr>
                <w:sz w:val="20"/>
                <w:szCs w:val="20"/>
                <w:color w:val="auto"/>
              </w:rPr>
            </w:pPr>
            <w:r>
              <w:rPr>
                <w:rFonts w:ascii="Times New Roman" w:cs="Times New Roman" w:eastAsia="Times New Roman" w:hAnsi="Times New Roman"/>
                <w:sz w:val="19"/>
                <w:szCs w:val="19"/>
                <w:color w:val="231F20"/>
                <w:w w:val="83"/>
                <w:shd w:val="clear" w:color="auto" w:fill="D0EBF2"/>
              </w:rPr>
              <w:t>$</w:t>
            </w:r>
          </w:p>
        </w:tc>
        <w:tc>
          <w:tcPr>
            <w:tcW w:w="840" w:type="dxa"/>
            <w:vAlign w:val="bottom"/>
            <w:shd w:val="clear" w:color="auto" w:fill="D0EBF2"/>
          </w:tcPr>
          <w:p>
            <w:pPr>
              <w:jc w:val="right"/>
              <w:spacing w:after="0" w:line="206" w:lineRule="exact"/>
              <w:rPr>
                <w:sz w:val="20"/>
                <w:szCs w:val="20"/>
                <w:color w:val="auto"/>
              </w:rPr>
            </w:pPr>
            <w:r>
              <w:rPr>
                <w:rFonts w:ascii="Times New Roman" w:cs="Times New Roman" w:eastAsia="Times New Roman" w:hAnsi="Times New Roman"/>
                <w:sz w:val="19"/>
                <w:szCs w:val="19"/>
                <w:color w:val="231F20"/>
                <w:shd w:val="clear" w:color="auto" w:fill="D0EBF2"/>
              </w:rPr>
              <w:t>147,059</w:t>
            </w:r>
          </w:p>
        </w:tc>
        <w:tc>
          <w:tcPr>
            <w:tcW w:w="100" w:type="dxa"/>
            <w:vAlign w:val="bottom"/>
            <w:shd w:val="clear" w:color="auto" w:fill="D0EBF2"/>
          </w:tcPr>
          <w:p>
            <w:pPr>
              <w:spacing w:after="0"/>
              <w:rPr>
                <w:sz w:val="17"/>
                <w:szCs w:val="17"/>
                <w:color w:val="auto"/>
              </w:rPr>
            </w:pPr>
          </w:p>
        </w:tc>
        <w:tc>
          <w:tcPr>
            <w:tcW w:w="120" w:type="dxa"/>
            <w:vAlign w:val="bottom"/>
            <w:shd w:val="clear" w:color="auto" w:fill="D0EBF2"/>
          </w:tcPr>
          <w:p>
            <w:pPr>
              <w:spacing w:after="0"/>
              <w:rPr>
                <w:sz w:val="17"/>
                <w:szCs w:val="17"/>
                <w:color w:val="auto"/>
              </w:rPr>
            </w:pPr>
          </w:p>
        </w:tc>
        <w:tc>
          <w:tcPr>
            <w:tcW w:w="900" w:type="dxa"/>
            <w:vAlign w:val="bottom"/>
            <w:shd w:val="clear" w:color="auto" w:fill="D0EBF2"/>
          </w:tcPr>
          <w:p>
            <w:pPr>
              <w:jc w:val="right"/>
              <w:spacing w:after="0" w:line="206" w:lineRule="exact"/>
              <w:rPr>
                <w:sz w:val="20"/>
                <w:szCs w:val="20"/>
                <w:color w:val="auto"/>
              </w:rPr>
            </w:pPr>
            <w:r>
              <w:rPr>
                <w:rFonts w:ascii="Times New Roman" w:cs="Times New Roman" w:eastAsia="Times New Roman" w:hAnsi="Times New Roman"/>
                <w:sz w:val="19"/>
                <w:szCs w:val="19"/>
                <w:color w:val="231F20"/>
                <w:w w:val="95"/>
                <w:shd w:val="clear" w:color="auto" w:fill="D0EBF2"/>
              </w:rPr>
              <w:t>$ 2,693,938</w:t>
            </w:r>
          </w:p>
        </w:tc>
        <w:tc>
          <w:tcPr>
            <w:tcW w:w="100" w:type="dxa"/>
            <w:vAlign w:val="bottom"/>
            <w:shd w:val="clear" w:color="auto" w:fill="D0EBF2"/>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4060" w:type="dxa"/>
            <w:vAlign w:val="bottom"/>
            <w:shd w:val="clear" w:color="auto" w:fill="FDFDFC"/>
          </w:tcPr>
          <w:p>
            <w:pPr>
              <w:spacing w:after="0" w:line="217" w:lineRule="exact"/>
              <w:rPr>
                <w:sz w:val="20"/>
                <w:szCs w:val="20"/>
                <w:color w:val="auto"/>
              </w:rPr>
            </w:pPr>
            <w:r>
              <w:rPr>
                <w:rFonts w:ascii="Times New Roman" w:cs="Times New Roman" w:eastAsia="Times New Roman" w:hAnsi="Times New Roman"/>
                <w:sz w:val="19"/>
                <w:szCs w:val="19"/>
                <w:color w:val="231F20"/>
              </w:rPr>
              <w:t>Purchases or originations</w:t>
            </w:r>
          </w:p>
        </w:tc>
        <w:tc>
          <w:tcPr>
            <w:tcW w:w="200" w:type="dxa"/>
            <w:vAlign w:val="bottom"/>
            <w:shd w:val="clear" w:color="auto" w:fill="FDFDFC"/>
          </w:tcPr>
          <w:p>
            <w:pPr>
              <w:spacing w:after="0"/>
              <w:rPr>
                <w:sz w:val="18"/>
                <w:szCs w:val="18"/>
                <w:color w:val="auto"/>
              </w:rPr>
            </w:pPr>
          </w:p>
        </w:tc>
        <w:tc>
          <w:tcPr>
            <w:tcW w:w="1140" w:type="dxa"/>
            <w:vAlign w:val="bottom"/>
            <w:shd w:val="clear" w:color="auto" w:fill="FDFDFC"/>
          </w:tcPr>
          <w:p>
            <w:pPr>
              <w:jc w:val="right"/>
              <w:spacing w:after="0" w:line="217" w:lineRule="exact"/>
              <w:rPr>
                <w:sz w:val="20"/>
                <w:szCs w:val="20"/>
                <w:color w:val="auto"/>
              </w:rPr>
            </w:pPr>
            <w:r>
              <w:rPr>
                <w:rFonts w:ascii="Times New Roman" w:cs="Times New Roman" w:eastAsia="Times New Roman" w:hAnsi="Times New Roman"/>
                <w:sz w:val="19"/>
                <w:szCs w:val="19"/>
                <w:color w:val="231F20"/>
              </w:rPr>
              <w:t>887,495</w:t>
            </w:r>
          </w:p>
        </w:tc>
        <w:tc>
          <w:tcPr>
            <w:tcW w:w="160" w:type="dxa"/>
            <w:vAlign w:val="bottom"/>
            <w:shd w:val="clear" w:color="auto" w:fill="FDFDFC"/>
          </w:tcPr>
          <w:p>
            <w:pPr>
              <w:spacing w:after="0"/>
              <w:rPr>
                <w:sz w:val="18"/>
                <w:szCs w:val="18"/>
                <w:color w:val="auto"/>
              </w:rPr>
            </w:pPr>
          </w:p>
        </w:tc>
        <w:tc>
          <w:tcPr>
            <w:tcW w:w="100" w:type="dxa"/>
            <w:vAlign w:val="bottom"/>
            <w:shd w:val="clear" w:color="auto" w:fill="FDFDFC"/>
          </w:tcPr>
          <w:p>
            <w:pPr>
              <w:spacing w:after="0"/>
              <w:rPr>
                <w:sz w:val="18"/>
                <w:szCs w:val="18"/>
                <w:color w:val="auto"/>
              </w:rPr>
            </w:pPr>
          </w:p>
        </w:tc>
        <w:tc>
          <w:tcPr>
            <w:tcW w:w="100" w:type="dxa"/>
            <w:vAlign w:val="bottom"/>
            <w:shd w:val="clear" w:color="auto" w:fill="FDFDFC"/>
          </w:tcPr>
          <w:p>
            <w:pPr>
              <w:spacing w:after="0"/>
              <w:rPr>
                <w:sz w:val="18"/>
                <w:szCs w:val="18"/>
                <w:color w:val="auto"/>
              </w:rPr>
            </w:pPr>
          </w:p>
        </w:tc>
        <w:tc>
          <w:tcPr>
            <w:tcW w:w="860" w:type="dxa"/>
            <w:vAlign w:val="bottom"/>
            <w:shd w:val="clear" w:color="auto" w:fill="FDFDFC"/>
          </w:tcPr>
          <w:p>
            <w:pPr>
              <w:jc w:val="right"/>
              <w:spacing w:after="0" w:line="217" w:lineRule="exact"/>
              <w:rPr>
                <w:sz w:val="20"/>
                <w:szCs w:val="20"/>
                <w:color w:val="auto"/>
              </w:rPr>
            </w:pPr>
            <w:r>
              <w:rPr>
                <w:rFonts w:ascii="Times New Roman" w:cs="Times New Roman" w:eastAsia="Times New Roman" w:hAnsi="Times New Roman"/>
                <w:sz w:val="19"/>
                <w:szCs w:val="19"/>
                <w:color w:val="231F20"/>
              </w:rPr>
              <w:t>7,961</w:t>
            </w:r>
          </w:p>
        </w:tc>
        <w:tc>
          <w:tcPr>
            <w:tcW w:w="120" w:type="dxa"/>
            <w:vAlign w:val="bottom"/>
            <w:shd w:val="clear" w:color="auto" w:fill="FDFDFC"/>
          </w:tcPr>
          <w:p>
            <w:pPr>
              <w:spacing w:after="0"/>
              <w:rPr>
                <w:sz w:val="18"/>
                <w:szCs w:val="18"/>
                <w:color w:val="auto"/>
              </w:rPr>
            </w:pPr>
          </w:p>
        </w:tc>
        <w:tc>
          <w:tcPr>
            <w:tcW w:w="100" w:type="dxa"/>
            <w:vAlign w:val="bottom"/>
            <w:shd w:val="clear" w:color="auto" w:fill="FDFDFC"/>
          </w:tcPr>
          <w:p>
            <w:pPr>
              <w:spacing w:after="0"/>
              <w:rPr>
                <w:sz w:val="18"/>
                <w:szCs w:val="18"/>
                <w:color w:val="auto"/>
              </w:rPr>
            </w:pPr>
          </w:p>
        </w:tc>
        <w:tc>
          <w:tcPr>
            <w:tcW w:w="120" w:type="dxa"/>
            <w:vAlign w:val="bottom"/>
            <w:shd w:val="clear" w:color="auto" w:fill="FDFDFC"/>
          </w:tcPr>
          <w:p>
            <w:pPr>
              <w:spacing w:after="0"/>
              <w:rPr>
                <w:sz w:val="18"/>
                <w:szCs w:val="18"/>
                <w:color w:val="auto"/>
              </w:rPr>
            </w:pPr>
          </w:p>
        </w:tc>
        <w:tc>
          <w:tcPr>
            <w:tcW w:w="840" w:type="dxa"/>
            <w:vAlign w:val="bottom"/>
            <w:shd w:val="clear" w:color="auto" w:fill="FDFDFC"/>
          </w:tcPr>
          <w:p>
            <w:pPr>
              <w:jc w:val="right"/>
              <w:spacing w:after="0" w:line="217" w:lineRule="exact"/>
              <w:rPr>
                <w:sz w:val="20"/>
                <w:szCs w:val="20"/>
                <w:color w:val="auto"/>
              </w:rPr>
            </w:pPr>
            <w:r>
              <w:rPr>
                <w:rFonts w:ascii="Times New Roman" w:cs="Times New Roman" w:eastAsia="Times New Roman" w:hAnsi="Times New Roman"/>
                <w:sz w:val="19"/>
                <w:szCs w:val="19"/>
                <w:color w:val="231F20"/>
              </w:rPr>
              <w:t>30,197</w:t>
            </w:r>
          </w:p>
        </w:tc>
        <w:tc>
          <w:tcPr>
            <w:tcW w:w="100" w:type="dxa"/>
            <w:vAlign w:val="bottom"/>
            <w:shd w:val="clear" w:color="auto" w:fill="FDFDFC"/>
          </w:tcPr>
          <w:p>
            <w:pPr>
              <w:spacing w:after="0"/>
              <w:rPr>
                <w:sz w:val="18"/>
                <w:szCs w:val="18"/>
                <w:color w:val="auto"/>
              </w:rPr>
            </w:pPr>
          </w:p>
        </w:tc>
        <w:tc>
          <w:tcPr>
            <w:tcW w:w="120" w:type="dxa"/>
            <w:vAlign w:val="bottom"/>
            <w:shd w:val="clear" w:color="auto" w:fill="FDFDFC"/>
          </w:tcPr>
          <w:p>
            <w:pPr>
              <w:spacing w:after="0"/>
              <w:rPr>
                <w:sz w:val="18"/>
                <w:szCs w:val="18"/>
                <w:color w:val="auto"/>
              </w:rPr>
            </w:pPr>
          </w:p>
        </w:tc>
        <w:tc>
          <w:tcPr>
            <w:tcW w:w="120" w:type="dxa"/>
            <w:vAlign w:val="bottom"/>
            <w:shd w:val="clear" w:color="auto" w:fill="FDFDFC"/>
          </w:tcPr>
          <w:p>
            <w:pPr>
              <w:spacing w:after="0"/>
              <w:rPr>
                <w:sz w:val="18"/>
                <w:szCs w:val="18"/>
                <w:color w:val="auto"/>
              </w:rPr>
            </w:pPr>
          </w:p>
        </w:tc>
        <w:tc>
          <w:tcPr>
            <w:tcW w:w="840" w:type="dxa"/>
            <w:vAlign w:val="bottom"/>
            <w:shd w:val="clear" w:color="auto" w:fill="FDFDFC"/>
          </w:tcPr>
          <w:p>
            <w:pPr>
              <w:jc w:val="right"/>
              <w:spacing w:after="0" w:line="217" w:lineRule="exact"/>
              <w:rPr>
                <w:sz w:val="20"/>
                <w:szCs w:val="20"/>
                <w:color w:val="auto"/>
              </w:rPr>
            </w:pPr>
            <w:r>
              <w:rPr>
                <w:rFonts w:ascii="Times New Roman" w:cs="Times New Roman" w:eastAsia="Times New Roman" w:hAnsi="Times New Roman"/>
                <w:sz w:val="19"/>
                <w:szCs w:val="19"/>
                <w:color w:val="231F20"/>
              </w:rPr>
              <w:t>13,709</w:t>
            </w:r>
          </w:p>
        </w:tc>
        <w:tc>
          <w:tcPr>
            <w:tcW w:w="100" w:type="dxa"/>
            <w:vAlign w:val="bottom"/>
            <w:shd w:val="clear" w:color="auto" w:fill="FDFDFC"/>
          </w:tcPr>
          <w:p>
            <w:pPr>
              <w:spacing w:after="0"/>
              <w:rPr>
                <w:sz w:val="18"/>
                <w:szCs w:val="18"/>
                <w:color w:val="auto"/>
              </w:rPr>
            </w:pPr>
          </w:p>
        </w:tc>
        <w:tc>
          <w:tcPr>
            <w:tcW w:w="120" w:type="dxa"/>
            <w:vAlign w:val="bottom"/>
            <w:shd w:val="clear" w:color="auto" w:fill="FDFDFC"/>
          </w:tcPr>
          <w:p>
            <w:pPr>
              <w:spacing w:after="0"/>
              <w:rPr>
                <w:sz w:val="18"/>
                <w:szCs w:val="18"/>
                <w:color w:val="auto"/>
              </w:rPr>
            </w:pPr>
          </w:p>
        </w:tc>
        <w:tc>
          <w:tcPr>
            <w:tcW w:w="900" w:type="dxa"/>
            <w:vAlign w:val="bottom"/>
            <w:shd w:val="clear" w:color="auto" w:fill="FDFDFC"/>
          </w:tcPr>
          <w:p>
            <w:pPr>
              <w:jc w:val="right"/>
              <w:spacing w:after="0" w:line="217" w:lineRule="exact"/>
              <w:rPr>
                <w:sz w:val="20"/>
                <w:szCs w:val="20"/>
                <w:color w:val="auto"/>
              </w:rPr>
            </w:pPr>
            <w:r>
              <w:rPr>
                <w:rFonts w:ascii="Times New Roman" w:cs="Times New Roman" w:eastAsia="Times New Roman" w:hAnsi="Times New Roman"/>
                <w:sz w:val="19"/>
                <w:szCs w:val="19"/>
                <w:color w:val="231F20"/>
              </w:rPr>
              <w:t>939,362</w:t>
            </w:r>
          </w:p>
        </w:tc>
        <w:tc>
          <w:tcPr>
            <w:tcW w:w="100" w:type="dxa"/>
            <w:vAlign w:val="bottom"/>
            <w:shd w:val="clear" w:color="auto" w:fill="FDFDFC"/>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4060" w:type="dxa"/>
            <w:vAlign w:val="bottom"/>
            <w:shd w:val="clear" w:color="auto" w:fill="D0EBF2"/>
          </w:tcPr>
          <w:p>
            <w:pPr>
              <w:spacing w:after="0" w:line="217" w:lineRule="exact"/>
              <w:rPr>
                <w:sz w:val="20"/>
                <w:szCs w:val="20"/>
                <w:color w:val="auto"/>
              </w:rPr>
            </w:pPr>
            <w:r>
              <w:rPr>
                <w:rFonts w:ascii="Times New Roman" w:cs="Times New Roman" w:eastAsia="Times New Roman" w:hAnsi="Times New Roman"/>
                <w:sz w:val="19"/>
                <w:szCs w:val="19"/>
                <w:color w:val="231F20"/>
              </w:rPr>
              <w:t>Repayments / redemptions</w:t>
            </w:r>
          </w:p>
        </w:tc>
        <w:tc>
          <w:tcPr>
            <w:tcW w:w="200" w:type="dxa"/>
            <w:vAlign w:val="bottom"/>
            <w:shd w:val="clear" w:color="auto" w:fill="D0EBF2"/>
          </w:tcPr>
          <w:p>
            <w:pPr>
              <w:spacing w:after="0"/>
              <w:rPr>
                <w:sz w:val="18"/>
                <w:szCs w:val="18"/>
                <w:color w:val="auto"/>
              </w:rPr>
            </w:pPr>
          </w:p>
        </w:tc>
        <w:tc>
          <w:tcPr>
            <w:tcW w:w="1140" w:type="dxa"/>
            <w:vAlign w:val="bottom"/>
            <w:shd w:val="clear" w:color="auto" w:fill="D0EBF2"/>
          </w:tcPr>
          <w:p>
            <w:pPr>
              <w:jc w:val="right"/>
              <w:spacing w:after="0" w:line="217" w:lineRule="exact"/>
              <w:rPr>
                <w:sz w:val="20"/>
                <w:szCs w:val="20"/>
                <w:color w:val="auto"/>
              </w:rPr>
            </w:pPr>
            <w:r>
              <w:rPr>
                <w:rFonts w:ascii="Times New Roman" w:cs="Times New Roman" w:eastAsia="Times New Roman" w:hAnsi="Times New Roman"/>
                <w:sz w:val="19"/>
                <w:szCs w:val="19"/>
                <w:color w:val="231F20"/>
              </w:rPr>
              <w:t>—</w:t>
            </w:r>
          </w:p>
        </w:tc>
        <w:tc>
          <w:tcPr>
            <w:tcW w:w="160" w:type="dxa"/>
            <w:vAlign w:val="bottom"/>
            <w:shd w:val="clear" w:color="auto" w:fill="D0EBF2"/>
          </w:tcPr>
          <w:p>
            <w:pPr>
              <w:spacing w:after="0"/>
              <w:rPr>
                <w:sz w:val="18"/>
                <w:szCs w:val="18"/>
                <w:color w:val="auto"/>
              </w:rPr>
            </w:pPr>
          </w:p>
        </w:tc>
        <w:tc>
          <w:tcPr>
            <w:tcW w:w="100" w:type="dxa"/>
            <w:vAlign w:val="bottom"/>
            <w:shd w:val="clear" w:color="auto" w:fill="D0EBF2"/>
          </w:tcPr>
          <w:p>
            <w:pPr>
              <w:spacing w:after="0"/>
              <w:rPr>
                <w:sz w:val="18"/>
                <w:szCs w:val="18"/>
                <w:color w:val="auto"/>
              </w:rPr>
            </w:pPr>
          </w:p>
        </w:tc>
        <w:tc>
          <w:tcPr>
            <w:tcW w:w="100" w:type="dxa"/>
            <w:vAlign w:val="bottom"/>
            <w:shd w:val="clear" w:color="auto" w:fill="D0EBF2"/>
          </w:tcPr>
          <w:p>
            <w:pPr>
              <w:spacing w:after="0"/>
              <w:rPr>
                <w:sz w:val="18"/>
                <w:szCs w:val="18"/>
                <w:color w:val="auto"/>
              </w:rPr>
            </w:pPr>
          </w:p>
        </w:tc>
        <w:tc>
          <w:tcPr>
            <w:tcW w:w="980" w:type="dxa"/>
            <w:vAlign w:val="bottom"/>
            <w:gridSpan w:val="2"/>
            <w:shd w:val="clear" w:color="auto" w:fill="D0EBF2"/>
          </w:tcPr>
          <w:p>
            <w:pPr>
              <w:jc w:val="right"/>
              <w:ind w:right="120"/>
              <w:spacing w:after="0" w:line="217" w:lineRule="exact"/>
              <w:rPr>
                <w:sz w:val="20"/>
                <w:szCs w:val="20"/>
                <w:color w:val="auto"/>
              </w:rPr>
            </w:pPr>
            <w:r>
              <w:rPr>
                <w:rFonts w:ascii="Times New Roman" w:cs="Times New Roman" w:eastAsia="Times New Roman" w:hAnsi="Times New Roman"/>
                <w:sz w:val="19"/>
                <w:szCs w:val="19"/>
                <w:color w:val="231F20"/>
              </w:rPr>
              <w:t>—</w:t>
            </w:r>
          </w:p>
        </w:tc>
        <w:tc>
          <w:tcPr>
            <w:tcW w:w="100" w:type="dxa"/>
            <w:vAlign w:val="bottom"/>
            <w:shd w:val="clear" w:color="auto" w:fill="D0EBF2"/>
          </w:tcPr>
          <w:p>
            <w:pPr>
              <w:spacing w:after="0"/>
              <w:rPr>
                <w:sz w:val="18"/>
                <w:szCs w:val="18"/>
                <w:color w:val="auto"/>
              </w:rPr>
            </w:pPr>
          </w:p>
        </w:tc>
        <w:tc>
          <w:tcPr>
            <w:tcW w:w="120" w:type="dxa"/>
            <w:vAlign w:val="bottom"/>
            <w:shd w:val="clear" w:color="auto" w:fill="D0EBF2"/>
          </w:tcPr>
          <w:p>
            <w:pPr>
              <w:spacing w:after="0"/>
              <w:rPr>
                <w:sz w:val="18"/>
                <w:szCs w:val="18"/>
                <w:color w:val="auto"/>
              </w:rPr>
            </w:pPr>
          </w:p>
        </w:tc>
        <w:tc>
          <w:tcPr>
            <w:tcW w:w="940" w:type="dxa"/>
            <w:vAlign w:val="bottom"/>
            <w:gridSpan w:val="2"/>
            <w:shd w:val="clear" w:color="auto" w:fill="D0EBF2"/>
          </w:tcPr>
          <w:p>
            <w:pPr>
              <w:jc w:val="right"/>
              <w:ind w:right="120"/>
              <w:spacing w:after="0" w:line="217" w:lineRule="exact"/>
              <w:rPr>
                <w:sz w:val="20"/>
                <w:szCs w:val="20"/>
                <w:color w:val="auto"/>
              </w:rPr>
            </w:pPr>
            <w:r>
              <w:rPr>
                <w:rFonts w:ascii="Times New Roman" w:cs="Times New Roman" w:eastAsia="Times New Roman" w:hAnsi="Times New Roman"/>
                <w:sz w:val="19"/>
                <w:szCs w:val="19"/>
                <w:color w:val="231F20"/>
              </w:rPr>
              <w:t>—</w:t>
            </w:r>
          </w:p>
        </w:tc>
        <w:tc>
          <w:tcPr>
            <w:tcW w:w="120" w:type="dxa"/>
            <w:vAlign w:val="bottom"/>
            <w:shd w:val="clear" w:color="auto" w:fill="D0EBF2"/>
          </w:tcPr>
          <w:p>
            <w:pPr>
              <w:spacing w:after="0"/>
              <w:rPr>
                <w:sz w:val="18"/>
                <w:szCs w:val="18"/>
                <w:color w:val="auto"/>
              </w:rPr>
            </w:pPr>
          </w:p>
        </w:tc>
        <w:tc>
          <w:tcPr>
            <w:tcW w:w="120" w:type="dxa"/>
            <w:vAlign w:val="bottom"/>
            <w:shd w:val="clear" w:color="auto" w:fill="D0EBF2"/>
          </w:tcPr>
          <w:p>
            <w:pPr>
              <w:spacing w:after="0"/>
              <w:rPr>
                <w:sz w:val="18"/>
                <w:szCs w:val="18"/>
                <w:color w:val="auto"/>
              </w:rPr>
            </w:pPr>
          </w:p>
        </w:tc>
        <w:tc>
          <w:tcPr>
            <w:tcW w:w="940" w:type="dxa"/>
            <w:vAlign w:val="bottom"/>
            <w:gridSpan w:val="2"/>
            <w:shd w:val="clear" w:color="auto" w:fill="D0EBF2"/>
          </w:tcPr>
          <w:p>
            <w:pPr>
              <w:jc w:val="right"/>
              <w:ind w:right="40"/>
              <w:spacing w:after="0" w:line="217" w:lineRule="exact"/>
              <w:rPr>
                <w:sz w:val="20"/>
                <w:szCs w:val="20"/>
                <w:color w:val="auto"/>
              </w:rPr>
            </w:pPr>
            <w:r>
              <w:rPr>
                <w:rFonts w:ascii="Times New Roman" w:cs="Times New Roman" w:eastAsia="Times New Roman" w:hAnsi="Times New Roman"/>
                <w:sz w:val="19"/>
                <w:szCs w:val="19"/>
                <w:color w:val="231F20"/>
              </w:rPr>
              <w:t>(11,217)</w:t>
            </w:r>
          </w:p>
        </w:tc>
        <w:tc>
          <w:tcPr>
            <w:tcW w:w="1120" w:type="dxa"/>
            <w:vAlign w:val="bottom"/>
            <w:gridSpan w:val="3"/>
            <w:shd w:val="clear" w:color="auto" w:fill="D0EBF2"/>
          </w:tcPr>
          <w:p>
            <w:pPr>
              <w:jc w:val="right"/>
              <w:ind w:right="40"/>
              <w:spacing w:after="0" w:line="217" w:lineRule="exact"/>
              <w:rPr>
                <w:sz w:val="20"/>
                <w:szCs w:val="20"/>
                <w:color w:val="auto"/>
              </w:rPr>
            </w:pPr>
            <w:r>
              <w:rPr>
                <w:rFonts w:ascii="Times New Roman" w:cs="Times New Roman" w:eastAsia="Times New Roman" w:hAnsi="Times New Roman"/>
                <w:sz w:val="19"/>
                <w:szCs w:val="19"/>
                <w:color w:val="231F20"/>
              </w:rPr>
              <w:t>(11,217)</w:t>
            </w:r>
          </w:p>
        </w:tc>
        <w:tc>
          <w:tcPr>
            <w:tcW w:w="0" w:type="dxa"/>
            <w:vAlign w:val="bottom"/>
          </w:tcPr>
          <w:p>
            <w:pPr>
              <w:spacing w:after="0"/>
              <w:rPr>
                <w:sz w:val="1"/>
                <w:szCs w:val="1"/>
                <w:color w:val="auto"/>
              </w:rPr>
            </w:pPr>
          </w:p>
        </w:tc>
      </w:tr>
      <w:tr>
        <w:trPr>
          <w:trHeight w:val="217"/>
        </w:trPr>
        <w:tc>
          <w:tcPr>
            <w:tcW w:w="4060" w:type="dxa"/>
            <w:vAlign w:val="bottom"/>
            <w:shd w:val="clear" w:color="auto" w:fill="FDFDFC"/>
          </w:tcPr>
          <w:p>
            <w:pPr>
              <w:spacing w:after="0" w:line="217" w:lineRule="exact"/>
              <w:rPr>
                <w:sz w:val="20"/>
                <w:szCs w:val="20"/>
                <w:color w:val="auto"/>
              </w:rPr>
            </w:pPr>
            <w:r>
              <w:rPr>
                <w:rFonts w:ascii="Times New Roman" w:cs="Times New Roman" w:eastAsia="Times New Roman" w:hAnsi="Times New Roman"/>
                <w:sz w:val="19"/>
                <w:szCs w:val="19"/>
                <w:color w:val="231F20"/>
              </w:rPr>
              <w:t>Sale Proceeds</w:t>
            </w:r>
          </w:p>
        </w:tc>
        <w:tc>
          <w:tcPr>
            <w:tcW w:w="200" w:type="dxa"/>
            <w:vAlign w:val="bottom"/>
            <w:shd w:val="clear" w:color="auto" w:fill="FDFDFC"/>
          </w:tcPr>
          <w:p>
            <w:pPr>
              <w:spacing w:after="0"/>
              <w:rPr>
                <w:sz w:val="18"/>
                <w:szCs w:val="18"/>
                <w:color w:val="auto"/>
              </w:rPr>
            </w:pPr>
          </w:p>
        </w:tc>
        <w:tc>
          <w:tcPr>
            <w:tcW w:w="1140" w:type="dxa"/>
            <w:vAlign w:val="bottom"/>
            <w:shd w:val="clear" w:color="auto" w:fill="FDFDFC"/>
          </w:tcPr>
          <w:p>
            <w:pPr>
              <w:jc w:val="right"/>
              <w:spacing w:after="0" w:line="217" w:lineRule="exact"/>
              <w:rPr>
                <w:sz w:val="20"/>
                <w:szCs w:val="20"/>
                <w:color w:val="auto"/>
              </w:rPr>
            </w:pPr>
            <w:r>
              <w:rPr>
                <w:rFonts w:ascii="Times New Roman" w:cs="Times New Roman" w:eastAsia="Times New Roman" w:hAnsi="Times New Roman"/>
                <w:sz w:val="19"/>
                <w:szCs w:val="19"/>
                <w:color w:val="231F20"/>
              </w:rPr>
              <w:t>(472,044)</w:t>
            </w:r>
          </w:p>
        </w:tc>
        <w:tc>
          <w:tcPr>
            <w:tcW w:w="160" w:type="dxa"/>
            <w:vAlign w:val="bottom"/>
            <w:shd w:val="clear" w:color="auto" w:fill="FDFDFC"/>
          </w:tcPr>
          <w:p>
            <w:pPr>
              <w:spacing w:after="0"/>
              <w:rPr>
                <w:sz w:val="18"/>
                <w:szCs w:val="18"/>
                <w:color w:val="auto"/>
              </w:rPr>
            </w:pPr>
          </w:p>
        </w:tc>
        <w:tc>
          <w:tcPr>
            <w:tcW w:w="100" w:type="dxa"/>
            <w:vAlign w:val="bottom"/>
            <w:shd w:val="clear" w:color="auto" w:fill="FDFDFC"/>
          </w:tcPr>
          <w:p>
            <w:pPr>
              <w:spacing w:after="0"/>
              <w:rPr>
                <w:sz w:val="18"/>
                <w:szCs w:val="18"/>
                <w:color w:val="auto"/>
              </w:rPr>
            </w:pPr>
          </w:p>
        </w:tc>
        <w:tc>
          <w:tcPr>
            <w:tcW w:w="100" w:type="dxa"/>
            <w:vAlign w:val="bottom"/>
            <w:shd w:val="clear" w:color="auto" w:fill="FDFDFC"/>
          </w:tcPr>
          <w:p>
            <w:pPr>
              <w:spacing w:after="0"/>
              <w:rPr>
                <w:sz w:val="18"/>
                <w:szCs w:val="18"/>
                <w:color w:val="auto"/>
              </w:rPr>
            </w:pPr>
          </w:p>
        </w:tc>
        <w:tc>
          <w:tcPr>
            <w:tcW w:w="980" w:type="dxa"/>
            <w:vAlign w:val="bottom"/>
            <w:gridSpan w:val="2"/>
            <w:shd w:val="clear" w:color="auto" w:fill="FDFDFC"/>
          </w:tcPr>
          <w:p>
            <w:pPr>
              <w:jc w:val="right"/>
              <w:ind w:right="120"/>
              <w:spacing w:after="0" w:line="217" w:lineRule="exact"/>
              <w:rPr>
                <w:sz w:val="20"/>
                <w:szCs w:val="20"/>
                <w:color w:val="auto"/>
              </w:rPr>
            </w:pPr>
            <w:r>
              <w:rPr>
                <w:rFonts w:ascii="Times New Roman" w:cs="Times New Roman" w:eastAsia="Times New Roman" w:hAnsi="Times New Roman"/>
                <w:sz w:val="19"/>
                <w:szCs w:val="19"/>
                <w:color w:val="231F20"/>
              </w:rPr>
              <w:t>—</w:t>
            </w:r>
          </w:p>
        </w:tc>
        <w:tc>
          <w:tcPr>
            <w:tcW w:w="100" w:type="dxa"/>
            <w:vAlign w:val="bottom"/>
            <w:shd w:val="clear" w:color="auto" w:fill="FDFDFC"/>
          </w:tcPr>
          <w:p>
            <w:pPr>
              <w:spacing w:after="0"/>
              <w:rPr>
                <w:sz w:val="18"/>
                <w:szCs w:val="18"/>
                <w:color w:val="auto"/>
              </w:rPr>
            </w:pPr>
          </w:p>
        </w:tc>
        <w:tc>
          <w:tcPr>
            <w:tcW w:w="120" w:type="dxa"/>
            <w:vAlign w:val="bottom"/>
            <w:shd w:val="clear" w:color="auto" w:fill="FDFDFC"/>
          </w:tcPr>
          <w:p>
            <w:pPr>
              <w:spacing w:after="0"/>
              <w:rPr>
                <w:sz w:val="18"/>
                <w:szCs w:val="18"/>
                <w:color w:val="auto"/>
              </w:rPr>
            </w:pPr>
          </w:p>
        </w:tc>
        <w:tc>
          <w:tcPr>
            <w:tcW w:w="940" w:type="dxa"/>
            <w:vAlign w:val="bottom"/>
            <w:gridSpan w:val="2"/>
            <w:shd w:val="clear" w:color="auto" w:fill="FDFDFC"/>
          </w:tcPr>
          <w:p>
            <w:pPr>
              <w:jc w:val="right"/>
              <w:ind w:right="40"/>
              <w:spacing w:after="0" w:line="217" w:lineRule="exact"/>
              <w:rPr>
                <w:sz w:val="20"/>
                <w:szCs w:val="20"/>
                <w:color w:val="auto"/>
              </w:rPr>
            </w:pPr>
            <w:r>
              <w:rPr>
                <w:rFonts w:ascii="Times New Roman" w:cs="Times New Roman" w:eastAsia="Times New Roman" w:hAnsi="Times New Roman"/>
                <w:sz w:val="19"/>
                <w:szCs w:val="19"/>
                <w:color w:val="231F20"/>
              </w:rPr>
              <w:t>(102)</w:t>
            </w:r>
          </w:p>
        </w:tc>
        <w:tc>
          <w:tcPr>
            <w:tcW w:w="120" w:type="dxa"/>
            <w:vAlign w:val="bottom"/>
            <w:shd w:val="clear" w:color="auto" w:fill="FDFDFC"/>
          </w:tcPr>
          <w:p>
            <w:pPr>
              <w:spacing w:after="0"/>
              <w:rPr>
                <w:sz w:val="18"/>
                <w:szCs w:val="18"/>
                <w:color w:val="auto"/>
              </w:rPr>
            </w:pPr>
          </w:p>
        </w:tc>
        <w:tc>
          <w:tcPr>
            <w:tcW w:w="120" w:type="dxa"/>
            <w:vAlign w:val="bottom"/>
            <w:shd w:val="clear" w:color="auto" w:fill="FDFDFC"/>
          </w:tcPr>
          <w:p>
            <w:pPr>
              <w:spacing w:after="0"/>
              <w:rPr>
                <w:sz w:val="18"/>
                <w:szCs w:val="18"/>
                <w:color w:val="auto"/>
              </w:rPr>
            </w:pPr>
          </w:p>
        </w:tc>
        <w:tc>
          <w:tcPr>
            <w:tcW w:w="940" w:type="dxa"/>
            <w:vAlign w:val="bottom"/>
            <w:gridSpan w:val="2"/>
            <w:shd w:val="clear" w:color="auto" w:fill="FDFDFC"/>
          </w:tcPr>
          <w:p>
            <w:pPr>
              <w:jc w:val="right"/>
              <w:ind w:right="120"/>
              <w:spacing w:after="0" w:line="217" w:lineRule="exact"/>
              <w:rPr>
                <w:sz w:val="20"/>
                <w:szCs w:val="20"/>
                <w:color w:val="auto"/>
              </w:rPr>
            </w:pPr>
            <w:r>
              <w:rPr>
                <w:rFonts w:ascii="Times New Roman" w:cs="Times New Roman" w:eastAsia="Times New Roman" w:hAnsi="Times New Roman"/>
                <w:sz w:val="19"/>
                <w:szCs w:val="19"/>
                <w:color w:val="231F20"/>
              </w:rPr>
              <w:t>—</w:t>
            </w:r>
          </w:p>
        </w:tc>
        <w:tc>
          <w:tcPr>
            <w:tcW w:w="1120" w:type="dxa"/>
            <w:vAlign w:val="bottom"/>
            <w:gridSpan w:val="3"/>
            <w:shd w:val="clear" w:color="auto" w:fill="FDFDFC"/>
          </w:tcPr>
          <w:p>
            <w:pPr>
              <w:jc w:val="right"/>
              <w:ind w:right="40"/>
              <w:spacing w:after="0" w:line="217" w:lineRule="exact"/>
              <w:rPr>
                <w:sz w:val="20"/>
                <w:szCs w:val="20"/>
                <w:color w:val="auto"/>
              </w:rPr>
            </w:pPr>
            <w:r>
              <w:rPr>
                <w:rFonts w:ascii="Times New Roman" w:cs="Times New Roman" w:eastAsia="Times New Roman" w:hAnsi="Times New Roman"/>
                <w:sz w:val="19"/>
                <w:szCs w:val="19"/>
                <w:color w:val="231F20"/>
              </w:rPr>
              <w:t>(472,146)</w:t>
            </w:r>
          </w:p>
        </w:tc>
        <w:tc>
          <w:tcPr>
            <w:tcW w:w="0" w:type="dxa"/>
            <w:vAlign w:val="bottom"/>
          </w:tcPr>
          <w:p>
            <w:pPr>
              <w:spacing w:after="0"/>
              <w:rPr>
                <w:sz w:val="1"/>
                <w:szCs w:val="1"/>
                <w:color w:val="auto"/>
              </w:rPr>
            </w:pPr>
          </w:p>
        </w:tc>
      </w:tr>
      <w:tr>
        <w:trPr>
          <w:trHeight w:val="217"/>
        </w:trPr>
        <w:tc>
          <w:tcPr>
            <w:tcW w:w="4060" w:type="dxa"/>
            <w:vAlign w:val="bottom"/>
            <w:shd w:val="clear" w:color="auto" w:fill="D0EBF2"/>
          </w:tcPr>
          <w:p>
            <w:pPr>
              <w:spacing w:after="0" w:line="217" w:lineRule="exact"/>
              <w:rPr>
                <w:sz w:val="20"/>
                <w:szCs w:val="20"/>
                <w:color w:val="auto"/>
              </w:rPr>
            </w:pPr>
            <w:r>
              <w:rPr>
                <w:rFonts w:ascii="Times New Roman" w:cs="Times New Roman" w:eastAsia="Times New Roman" w:hAnsi="Times New Roman"/>
                <w:sz w:val="19"/>
                <w:szCs w:val="19"/>
                <w:color w:val="231F20"/>
              </w:rPr>
              <w:t>Paid-in-kind interest</w:t>
            </w:r>
          </w:p>
        </w:tc>
        <w:tc>
          <w:tcPr>
            <w:tcW w:w="200" w:type="dxa"/>
            <w:vAlign w:val="bottom"/>
            <w:shd w:val="clear" w:color="auto" w:fill="D0EBF2"/>
          </w:tcPr>
          <w:p>
            <w:pPr>
              <w:spacing w:after="0"/>
              <w:rPr>
                <w:sz w:val="18"/>
                <w:szCs w:val="18"/>
                <w:color w:val="auto"/>
              </w:rPr>
            </w:pPr>
          </w:p>
        </w:tc>
        <w:tc>
          <w:tcPr>
            <w:tcW w:w="1140" w:type="dxa"/>
            <w:vAlign w:val="bottom"/>
            <w:shd w:val="clear" w:color="auto" w:fill="D0EBF2"/>
          </w:tcPr>
          <w:p>
            <w:pPr>
              <w:jc w:val="right"/>
              <w:spacing w:after="0" w:line="217" w:lineRule="exact"/>
              <w:rPr>
                <w:sz w:val="20"/>
                <w:szCs w:val="20"/>
                <w:color w:val="auto"/>
              </w:rPr>
            </w:pPr>
            <w:r>
              <w:rPr>
                <w:rFonts w:ascii="Times New Roman" w:cs="Times New Roman" w:eastAsia="Times New Roman" w:hAnsi="Times New Roman"/>
                <w:sz w:val="19"/>
                <w:szCs w:val="19"/>
                <w:color w:val="231F20"/>
              </w:rPr>
              <w:t>15,296</w:t>
            </w:r>
          </w:p>
        </w:tc>
        <w:tc>
          <w:tcPr>
            <w:tcW w:w="160" w:type="dxa"/>
            <w:vAlign w:val="bottom"/>
            <w:shd w:val="clear" w:color="auto" w:fill="D0EBF2"/>
          </w:tcPr>
          <w:p>
            <w:pPr>
              <w:spacing w:after="0"/>
              <w:rPr>
                <w:sz w:val="18"/>
                <w:szCs w:val="18"/>
                <w:color w:val="auto"/>
              </w:rPr>
            </w:pPr>
          </w:p>
        </w:tc>
        <w:tc>
          <w:tcPr>
            <w:tcW w:w="100" w:type="dxa"/>
            <w:vAlign w:val="bottom"/>
            <w:shd w:val="clear" w:color="auto" w:fill="D0EBF2"/>
          </w:tcPr>
          <w:p>
            <w:pPr>
              <w:spacing w:after="0"/>
              <w:rPr>
                <w:sz w:val="18"/>
                <w:szCs w:val="18"/>
                <w:color w:val="auto"/>
              </w:rPr>
            </w:pPr>
          </w:p>
        </w:tc>
        <w:tc>
          <w:tcPr>
            <w:tcW w:w="100" w:type="dxa"/>
            <w:vAlign w:val="bottom"/>
            <w:shd w:val="clear" w:color="auto" w:fill="D0EBF2"/>
          </w:tcPr>
          <w:p>
            <w:pPr>
              <w:spacing w:after="0"/>
              <w:rPr>
                <w:sz w:val="18"/>
                <w:szCs w:val="18"/>
                <w:color w:val="auto"/>
              </w:rPr>
            </w:pPr>
          </w:p>
        </w:tc>
        <w:tc>
          <w:tcPr>
            <w:tcW w:w="860" w:type="dxa"/>
            <w:vAlign w:val="bottom"/>
            <w:shd w:val="clear" w:color="auto" w:fill="D0EBF2"/>
          </w:tcPr>
          <w:p>
            <w:pPr>
              <w:jc w:val="right"/>
              <w:spacing w:after="0" w:line="217" w:lineRule="exact"/>
              <w:rPr>
                <w:sz w:val="20"/>
                <w:szCs w:val="20"/>
                <w:color w:val="auto"/>
              </w:rPr>
            </w:pPr>
            <w:r>
              <w:rPr>
                <w:rFonts w:ascii="Times New Roman" w:cs="Times New Roman" w:eastAsia="Times New Roman" w:hAnsi="Times New Roman"/>
                <w:sz w:val="19"/>
                <w:szCs w:val="19"/>
                <w:color w:val="231F20"/>
              </w:rPr>
              <w:t>623</w:t>
            </w:r>
          </w:p>
        </w:tc>
        <w:tc>
          <w:tcPr>
            <w:tcW w:w="120" w:type="dxa"/>
            <w:vAlign w:val="bottom"/>
            <w:shd w:val="clear" w:color="auto" w:fill="D0EBF2"/>
          </w:tcPr>
          <w:p>
            <w:pPr>
              <w:spacing w:after="0"/>
              <w:rPr>
                <w:sz w:val="18"/>
                <w:szCs w:val="18"/>
                <w:color w:val="auto"/>
              </w:rPr>
            </w:pPr>
          </w:p>
        </w:tc>
        <w:tc>
          <w:tcPr>
            <w:tcW w:w="100" w:type="dxa"/>
            <w:vAlign w:val="bottom"/>
            <w:shd w:val="clear" w:color="auto" w:fill="D0EBF2"/>
          </w:tcPr>
          <w:p>
            <w:pPr>
              <w:spacing w:after="0"/>
              <w:rPr>
                <w:sz w:val="18"/>
                <w:szCs w:val="18"/>
                <w:color w:val="auto"/>
              </w:rPr>
            </w:pPr>
          </w:p>
        </w:tc>
        <w:tc>
          <w:tcPr>
            <w:tcW w:w="120" w:type="dxa"/>
            <w:vAlign w:val="bottom"/>
            <w:shd w:val="clear" w:color="auto" w:fill="D0EBF2"/>
          </w:tcPr>
          <w:p>
            <w:pPr>
              <w:spacing w:after="0"/>
              <w:rPr>
                <w:sz w:val="18"/>
                <w:szCs w:val="18"/>
                <w:color w:val="auto"/>
              </w:rPr>
            </w:pPr>
          </w:p>
        </w:tc>
        <w:tc>
          <w:tcPr>
            <w:tcW w:w="840" w:type="dxa"/>
            <w:vAlign w:val="bottom"/>
            <w:shd w:val="clear" w:color="auto" w:fill="D0EBF2"/>
          </w:tcPr>
          <w:p>
            <w:pPr>
              <w:jc w:val="right"/>
              <w:spacing w:after="0" w:line="217" w:lineRule="exact"/>
              <w:rPr>
                <w:sz w:val="20"/>
                <w:szCs w:val="20"/>
                <w:color w:val="auto"/>
              </w:rPr>
            </w:pPr>
            <w:r>
              <w:rPr>
                <w:rFonts w:ascii="Times New Roman" w:cs="Times New Roman" w:eastAsia="Times New Roman" w:hAnsi="Times New Roman"/>
                <w:sz w:val="19"/>
                <w:szCs w:val="19"/>
                <w:color w:val="231F20"/>
              </w:rPr>
              <w:t>2,242</w:t>
            </w:r>
          </w:p>
        </w:tc>
        <w:tc>
          <w:tcPr>
            <w:tcW w:w="100" w:type="dxa"/>
            <w:vAlign w:val="bottom"/>
            <w:shd w:val="clear" w:color="auto" w:fill="D0EBF2"/>
          </w:tcPr>
          <w:p>
            <w:pPr>
              <w:spacing w:after="0"/>
              <w:rPr>
                <w:sz w:val="18"/>
                <w:szCs w:val="18"/>
                <w:color w:val="auto"/>
              </w:rPr>
            </w:pPr>
          </w:p>
        </w:tc>
        <w:tc>
          <w:tcPr>
            <w:tcW w:w="120" w:type="dxa"/>
            <w:vAlign w:val="bottom"/>
            <w:shd w:val="clear" w:color="auto" w:fill="D0EBF2"/>
          </w:tcPr>
          <w:p>
            <w:pPr>
              <w:spacing w:after="0"/>
              <w:rPr>
                <w:sz w:val="18"/>
                <w:szCs w:val="18"/>
                <w:color w:val="auto"/>
              </w:rPr>
            </w:pPr>
          </w:p>
        </w:tc>
        <w:tc>
          <w:tcPr>
            <w:tcW w:w="120" w:type="dxa"/>
            <w:vAlign w:val="bottom"/>
            <w:shd w:val="clear" w:color="auto" w:fill="D0EBF2"/>
          </w:tcPr>
          <w:p>
            <w:pPr>
              <w:spacing w:after="0"/>
              <w:rPr>
                <w:sz w:val="18"/>
                <w:szCs w:val="18"/>
                <w:color w:val="auto"/>
              </w:rPr>
            </w:pPr>
          </w:p>
        </w:tc>
        <w:tc>
          <w:tcPr>
            <w:tcW w:w="940" w:type="dxa"/>
            <w:vAlign w:val="bottom"/>
            <w:gridSpan w:val="2"/>
            <w:shd w:val="clear" w:color="auto" w:fill="D0EBF2"/>
          </w:tcPr>
          <w:p>
            <w:pPr>
              <w:jc w:val="right"/>
              <w:ind w:right="120"/>
              <w:spacing w:after="0" w:line="217" w:lineRule="exact"/>
              <w:rPr>
                <w:sz w:val="20"/>
                <w:szCs w:val="20"/>
                <w:color w:val="auto"/>
              </w:rPr>
            </w:pPr>
            <w:r>
              <w:rPr>
                <w:rFonts w:ascii="Times New Roman" w:cs="Times New Roman" w:eastAsia="Times New Roman" w:hAnsi="Times New Roman"/>
                <w:sz w:val="19"/>
                <w:szCs w:val="19"/>
                <w:color w:val="231F20"/>
              </w:rPr>
              <w:t>—</w:t>
            </w:r>
          </w:p>
        </w:tc>
        <w:tc>
          <w:tcPr>
            <w:tcW w:w="1020" w:type="dxa"/>
            <w:vAlign w:val="bottom"/>
            <w:gridSpan w:val="2"/>
            <w:shd w:val="clear" w:color="auto" w:fill="D0EBF2"/>
          </w:tcPr>
          <w:p>
            <w:pPr>
              <w:jc w:val="right"/>
              <w:spacing w:after="0" w:line="217" w:lineRule="exact"/>
              <w:rPr>
                <w:sz w:val="20"/>
                <w:szCs w:val="20"/>
                <w:color w:val="auto"/>
              </w:rPr>
            </w:pPr>
            <w:r>
              <w:rPr>
                <w:rFonts w:ascii="Times New Roman" w:cs="Times New Roman" w:eastAsia="Times New Roman" w:hAnsi="Times New Roman"/>
                <w:sz w:val="19"/>
                <w:szCs w:val="19"/>
                <w:color w:val="231F20"/>
              </w:rPr>
              <w:t>18,161</w:t>
            </w:r>
          </w:p>
        </w:tc>
        <w:tc>
          <w:tcPr>
            <w:tcW w:w="100" w:type="dxa"/>
            <w:vAlign w:val="bottom"/>
            <w:shd w:val="clear" w:color="auto" w:fill="D0EBF2"/>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4060" w:type="dxa"/>
            <w:vAlign w:val="bottom"/>
            <w:shd w:val="clear" w:color="auto" w:fill="FDFDFC"/>
          </w:tcPr>
          <w:p>
            <w:pPr>
              <w:spacing w:after="0" w:line="217" w:lineRule="exact"/>
              <w:rPr>
                <w:sz w:val="20"/>
                <w:szCs w:val="20"/>
                <w:color w:val="auto"/>
              </w:rPr>
            </w:pPr>
            <w:r>
              <w:rPr>
                <w:rFonts w:ascii="Times New Roman" w:cs="Times New Roman" w:eastAsia="Times New Roman" w:hAnsi="Times New Roman"/>
                <w:sz w:val="19"/>
                <w:szCs w:val="19"/>
                <w:color w:val="231F20"/>
              </w:rPr>
              <w:t>Net change in unrealized gains (losses)</w:t>
            </w:r>
          </w:p>
        </w:tc>
        <w:tc>
          <w:tcPr>
            <w:tcW w:w="200" w:type="dxa"/>
            <w:vAlign w:val="bottom"/>
            <w:shd w:val="clear" w:color="auto" w:fill="FDFDFC"/>
          </w:tcPr>
          <w:p>
            <w:pPr>
              <w:spacing w:after="0"/>
              <w:rPr>
                <w:sz w:val="18"/>
                <w:szCs w:val="18"/>
                <w:color w:val="auto"/>
              </w:rPr>
            </w:pPr>
          </w:p>
        </w:tc>
        <w:tc>
          <w:tcPr>
            <w:tcW w:w="1140" w:type="dxa"/>
            <w:vAlign w:val="bottom"/>
            <w:shd w:val="clear" w:color="auto" w:fill="FDFDFC"/>
          </w:tcPr>
          <w:p>
            <w:pPr>
              <w:jc w:val="right"/>
              <w:spacing w:after="0" w:line="217" w:lineRule="exact"/>
              <w:rPr>
                <w:sz w:val="20"/>
                <w:szCs w:val="20"/>
                <w:color w:val="auto"/>
              </w:rPr>
            </w:pPr>
            <w:r>
              <w:rPr>
                <w:rFonts w:ascii="Times New Roman" w:cs="Times New Roman" w:eastAsia="Times New Roman" w:hAnsi="Times New Roman"/>
                <w:sz w:val="19"/>
                <w:szCs w:val="19"/>
                <w:color w:val="231F20"/>
              </w:rPr>
              <w:t>51,240</w:t>
            </w:r>
          </w:p>
        </w:tc>
        <w:tc>
          <w:tcPr>
            <w:tcW w:w="160" w:type="dxa"/>
            <w:vAlign w:val="bottom"/>
            <w:shd w:val="clear" w:color="auto" w:fill="FDFDFC"/>
          </w:tcPr>
          <w:p>
            <w:pPr>
              <w:spacing w:after="0"/>
              <w:rPr>
                <w:sz w:val="18"/>
                <w:szCs w:val="18"/>
                <w:color w:val="auto"/>
              </w:rPr>
            </w:pPr>
          </w:p>
        </w:tc>
        <w:tc>
          <w:tcPr>
            <w:tcW w:w="100" w:type="dxa"/>
            <w:vAlign w:val="bottom"/>
            <w:shd w:val="clear" w:color="auto" w:fill="FDFDFC"/>
          </w:tcPr>
          <w:p>
            <w:pPr>
              <w:spacing w:after="0"/>
              <w:rPr>
                <w:sz w:val="18"/>
                <w:szCs w:val="18"/>
                <w:color w:val="auto"/>
              </w:rPr>
            </w:pPr>
          </w:p>
        </w:tc>
        <w:tc>
          <w:tcPr>
            <w:tcW w:w="100" w:type="dxa"/>
            <w:vAlign w:val="bottom"/>
            <w:shd w:val="clear" w:color="auto" w:fill="FDFDFC"/>
          </w:tcPr>
          <w:p>
            <w:pPr>
              <w:spacing w:after="0"/>
              <w:rPr>
                <w:sz w:val="18"/>
                <w:szCs w:val="18"/>
                <w:color w:val="auto"/>
              </w:rPr>
            </w:pPr>
          </w:p>
        </w:tc>
        <w:tc>
          <w:tcPr>
            <w:tcW w:w="980" w:type="dxa"/>
            <w:vAlign w:val="bottom"/>
            <w:gridSpan w:val="2"/>
            <w:shd w:val="clear" w:color="auto" w:fill="FDFDFC"/>
          </w:tcPr>
          <w:p>
            <w:pPr>
              <w:jc w:val="right"/>
              <w:ind w:right="40"/>
              <w:spacing w:after="0" w:line="217" w:lineRule="exact"/>
              <w:rPr>
                <w:sz w:val="20"/>
                <w:szCs w:val="20"/>
                <w:color w:val="auto"/>
              </w:rPr>
            </w:pPr>
            <w:r>
              <w:rPr>
                <w:rFonts w:ascii="Times New Roman" w:cs="Times New Roman" w:eastAsia="Times New Roman" w:hAnsi="Times New Roman"/>
                <w:sz w:val="19"/>
                <w:szCs w:val="19"/>
                <w:color w:val="231F20"/>
              </w:rPr>
              <w:t>(13,467)</w:t>
            </w:r>
          </w:p>
        </w:tc>
        <w:tc>
          <w:tcPr>
            <w:tcW w:w="100" w:type="dxa"/>
            <w:vAlign w:val="bottom"/>
            <w:shd w:val="clear" w:color="auto" w:fill="FDFDFC"/>
          </w:tcPr>
          <w:p>
            <w:pPr>
              <w:spacing w:after="0"/>
              <w:rPr>
                <w:sz w:val="18"/>
                <w:szCs w:val="18"/>
                <w:color w:val="auto"/>
              </w:rPr>
            </w:pPr>
          </w:p>
        </w:tc>
        <w:tc>
          <w:tcPr>
            <w:tcW w:w="120" w:type="dxa"/>
            <w:vAlign w:val="bottom"/>
            <w:shd w:val="clear" w:color="auto" w:fill="FDFDFC"/>
          </w:tcPr>
          <w:p>
            <w:pPr>
              <w:spacing w:after="0"/>
              <w:rPr>
                <w:sz w:val="18"/>
                <w:szCs w:val="18"/>
                <w:color w:val="auto"/>
              </w:rPr>
            </w:pPr>
          </w:p>
        </w:tc>
        <w:tc>
          <w:tcPr>
            <w:tcW w:w="940" w:type="dxa"/>
            <w:vAlign w:val="bottom"/>
            <w:gridSpan w:val="2"/>
            <w:shd w:val="clear" w:color="auto" w:fill="FDFDFC"/>
          </w:tcPr>
          <w:p>
            <w:pPr>
              <w:jc w:val="right"/>
              <w:ind w:right="40"/>
              <w:spacing w:after="0" w:line="217" w:lineRule="exact"/>
              <w:rPr>
                <w:sz w:val="20"/>
                <w:szCs w:val="20"/>
                <w:color w:val="auto"/>
              </w:rPr>
            </w:pPr>
            <w:r>
              <w:rPr>
                <w:rFonts w:ascii="Times New Roman" w:cs="Times New Roman" w:eastAsia="Times New Roman" w:hAnsi="Times New Roman"/>
                <w:sz w:val="19"/>
                <w:szCs w:val="19"/>
                <w:color w:val="231F20"/>
              </w:rPr>
              <w:t>(1,186)</w:t>
            </w:r>
          </w:p>
        </w:tc>
        <w:tc>
          <w:tcPr>
            <w:tcW w:w="120" w:type="dxa"/>
            <w:vAlign w:val="bottom"/>
            <w:shd w:val="clear" w:color="auto" w:fill="FDFDFC"/>
          </w:tcPr>
          <w:p>
            <w:pPr>
              <w:spacing w:after="0"/>
              <w:rPr>
                <w:sz w:val="18"/>
                <w:szCs w:val="18"/>
                <w:color w:val="auto"/>
              </w:rPr>
            </w:pPr>
          </w:p>
        </w:tc>
        <w:tc>
          <w:tcPr>
            <w:tcW w:w="120" w:type="dxa"/>
            <w:vAlign w:val="bottom"/>
            <w:shd w:val="clear" w:color="auto" w:fill="FDFDFC"/>
          </w:tcPr>
          <w:p>
            <w:pPr>
              <w:spacing w:after="0"/>
              <w:rPr>
                <w:sz w:val="18"/>
                <w:szCs w:val="18"/>
                <w:color w:val="auto"/>
              </w:rPr>
            </w:pPr>
          </w:p>
        </w:tc>
        <w:tc>
          <w:tcPr>
            <w:tcW w:w="940" w:type="dxa"/>
            <w:vAlign w:val="bottom"/>
            <w:gridSpan w:val="2"/>
            <w:shd w:val="clear" w:color="auto" w:fill="FDFDFC"/>
          </w:tcPr>
          <w:p>
            <w:pPr>
              <w:jc w:val="right"/>
              <w:ind w:right="40"/>
              <w:spacing w:after="0" w:line="217" w:lineRule="exact"/>
              <w:rPr>
                <w:sz w:val="20"/>
                <w:szCs w:val="20"/>
                <w:color w:val="auto"/>
              </w:rPr>
            </w:pPr>
            <w:r>
              <w:rPr>
                <w:rFonts w:ascii="Times New Roman" w:cs="Times New Roman" w:eastAsia="Times New Roman" w:hAnsi="Times New Roman"/>
                <w:sz w:val="19"/>
                <w:szCs w:val="19"/>
                <w:color w:val="231F20"/>
              </w:rPr>
              <w:t>(20,917)</w:t>
            </w:r>
          </w:p>
        </w:tc>
        <w:tc>
          <w:tcPr>
            <w:tcW w:w="1020" w:type="dxa"/>
            <w:vAlign w:val="bottom"/>
            <w:gridSpan w:val="2"/>
            <w:shd w:val="clear" w:color="auto" w:fill="FDFDFC"/>
          </w:tcPr>
          <w:p>
            <w:pPr>
              <w:jc w:val="right"/>
              <w:spacing w:after="0" w:line="217" w:lineRule="exact"/>
              <w:rPr>
                <w:sz w:val="20"/>
                <w:szCs w:val="20"/>
                <w:color w:val="auto"/>
              </w:rPr>
            </w:pPr>
            <w:r>
              <w:rPr>
                <w:rFonts w:ascii="Times New Roman" w:cs="Times New Roman" w:eastAsia="Times New Roman" w:hAnsi="Times New Roman"/>
                <w:sz w:val="19"/>
                <w:szCs w:val="19"/>
                <w:color w:val="231F20"/>
              </w:rPr>
              <w:t>15,670</w:t>
            </w:r>
          </w:p>
        </w:tc>
        <w:tc>
          <w:tcPr>
            <w:tcW w:w="100" w:type="dxa"/>
            <w:vAlign w:val="bottom"/>
            <w:shd w:val="clear" w:color="auto" w:fill="FDFDFC"/>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4060" w:type="dxa"/>
            <w:vAlign w:val="bottom"/>
            <w:shd w:val="clear" w:color="auto" w:fill="D0EBF2"/>
          </w:tcPr>
          <w:p>
            <w:pPr>
              <w:spacing w:after="0" w:line="217" w:lineRule="exact"/>
              <w:rPr>
                <w:sz w:val="20"/>
                <w:szCs w:val="20"/>
                <w:color w:val="auto"/>
              </w:rPr>
            </w:pPr>
            <w:r>
              <w:rPr>
                <w:rFonts w:ascii="Times New Roman" w:cs="Times New Roman" w:eastAsia="Times New Roman" w:hAnsi="Times New Roman"/>
                <w:sz w:val="19"/>
                <w:szCs w:val="19"/>
                <w:color w:val="231F20"/>
              </w:rPr>
              <w:t>Net realized gains (losses)</w:t>
            </w:r>
          </w:p>
        </w:tc>
        <w:tc>
          <w:tcPr>
            <w:tcW w:w="200" w:type="dxa"/>
            <w:vAlign w:val="bottom"/>
            <w:shd w:val="clear" w:color="auto" w:fill="D0EBF2"/>
          </w:tcPr>
          <w:p>
            <w:pPr>
              <w:spacing w:after="0"/>
              <w:rPr>
                <w:sz w:val="18"/>
                <w:szCs w:val="18"/>
                <w:color w:val="auto"/>
              </w:rPr>
            </w:pPr>
          </w:p>
        </w:tc>
        <w:tc>
          <w:tcPr>
            <w:tcW w:w="1140" w:type="dxa"/>
            <w:vAlign w:val="bottom"/>
            <w:shd w:val="clear" w:color="auto" w:fill="D0EBF2"/>
          </w:tcPr>
          <w:p>
            <w:pPr>
              <w:jc w:val="right"/>
              <w:spacing w:after="0" w:line="217" w:lineRule="exact"/>
              <w:rPr>
                <w:sz w:val="20"/>
                <w:szCs w:val="20"/>
                <w:color w:val="auto"/>
              </w:rPr>
            </w:pPr>
            <w:r>
              <w:rPr>
                <w:rFonts w:ascii="Times New Roman" w:cs="Times New Roman" w:eastAsia="Times New Roman" w:hAnsi="Times New Roman"/>
                <w:sz w:val="19"/>
                <w:szCs w:val="19"/>
                <w:color w:val="231F20"/>
              </w:rPr>
              <w:t>(487)</w:t>
            </w:r>
          </w:p>
        </w:tc>
        <w:tc>
          <w:tcPr>
            <w:tcW w:w="160" w:type="dxa"/>
            <w:vAlign w:val="bottom"/>
            <w:shd w:val="clear" w:color="auto" w:fill="D0EBF2"/>
          </w:tcPr>
          <w:p>
            <w:pPr>
              <w:spacing w:after="0"/>
              <w:rPr>
                <w:sz w:val="18"/>
                <w:szCs w:val="18"/>
                <w:color w:val="auto"/>
              </w:rPr>
            </w:pPr>
          </w:p>
        </w:tc>
        <w:tc>
          <w:tcPr>
            <w:tcW w:w="100" w:type="dxa"/>
            <w:vAlign w:val="bottom"/>
            <w:shd w:val="clear" w:color="auto" w:fill="D0EBF2"/>
          </w:tcPr>
          <w:p>
            <w:pPr>
              <w:spacing w:after="0"/>
              <w:rPr>
                <w:sz w:val="18"/>
                <w:szCs w:val="18"/>
                <w:color w:val="auto"/>
              </w:rPr>
            </w:pPr>
          </w:p>
        </w:tc>
        <w:tc>
          <w:tcPr>
            <w:tcW w:w="100" w:type="dxa"/>
            <w:vAlign w:val="bottom"/>
            <w:shd w:val="clear" w:color="auto" w:fill="D0EBF2"/>
          </w:tcPr>
          <w:p>
            <w:pPr>
              <w:spacing w:after="0"/>
              <w:rPr>
                <w:sz w:val="18"/>
                <w:szCs w:val="18"/>
                <w:color w:val="auto"/>
              </w:rPr>
            </w:pPr>
          </w:p>
        </w:tc>
        <w:tc>
          <w:tcPr>
            <w:tcW w:w="980" w:type="dxa"/>
            <w:vAlign w:val="bottom"/>
            <w:gridSpan w:val="2"/>
            <w:shd w:val="clear" w:color="auto" w:fill="D0EBF2"/>
          </w:tcPr>
          <w:p>
            <w:pPr>
              <w:jc w:val="right"/>
              <w:ind w:right="120"/>
              <w:spacing w:after="0" w:line="217" w:lineRule="exact"/>
              <w:rPr>
                <w:sz w:val="20"/>
                <w:szCs w:val="20"/>
                <w:color w:val="auto"/>
              </w:rPr>
            </w:pPr>
            <w:r>
              <w:rPr>
                <w:rFonts w:ascii="Times New Roman" w:cs="Times New Roman" w:eastAsia="Times New Roman" w:hAnsi="Times New Roman"/>
                <w:sz w:val="19"/>
                <w:szCs w:val="19"/>
                <w:color w:val="231F20"/>
              </w:rPr>
              <w:t>—</w:t>
            </w:r>
          </w:p>
        </w:tc>
        <w:tc>
          <w:tcPr>
            <w:tcW w:w="100" w:type="dxa"/>
            <w:vAlign w:val="bottom"/>
            <w:shd w:val="clear" w:color="auto" w:fill="D0EBF2"/>
          </w:tcPr>
          <w:p>
            <w:pPr>
              <w:spacing w:after="0"/>
              <w:rPr>
                <w:sz w:val="18"/>
                <w:szCs w:val="18"/>
                <w:color w:val="auto"/>
              </w:rPr>
            </w:pPr>
          </w:p>
        </w:tc>
        <w:tc>
          <w:tcPr>
            <w:tcW w:w="120" w:type="dxa"/>
            <w:vAlign w:val="bottom"/>
            <w:shd w:val="clear" w:color="auto" w:fill="D0EBF2"/>
          </w:tcPr>
          <w:p>
            <w:pPr>
              <w:spacing w:after="0"/>
              <w:rPr>
                <w:sz w:val="18"/>
                <w:szCs w:val="18"/>
                <w:color w:val="auto"/>
              </w:rPr>
            </w:pPr>
          </w:p>
        </w:tc>
        <w:tc>
          <w:tcPr>
            <w:tcW w:w="940" w:type="dxa"/>
            <w:vAlign w:val="bottom"/>
            <w:gridSpan w:val="2"/>
            <w:shd w:val="clear" w:color="auto" w:fill="D0EBF2"/>
          </w:tcPr>
          <w:p>
            <w:pPr>
              <w:jc w:val="right"/>
              <w:ind w:right="120"/>
              <w:spacing w:after="0" w:line="217" w:lineRule="exact"/>
              <w:rPr>
                <w:sz w:val="20"/>
                <w:szCs w:val="20"/>
                <w:color w:val="auto"/>
              </w:rPr>
            </w:pPr>
            <w:r>
              <w:rPr>
                <w:rFonts w:ascii="Times New Roman" w:cs="Times New Roman" w:eastAsia="Times New Roman" w:hAnsi="Times New Roman"/>
                <w:sz w:val="19"/>
                <w:szCs w:val="19"/>
                <w:color w:val="231F20"/>
              </w:rPr>
              <w:t>—</w:t>
            </w:r>
          </w:p>
        </w:tc>
        <w:tc>
          <w:tcPr>
            <w:tcW w:w="120" w:type="dxa"/>
            <w:vAlign w:val="bottom"/>
            <w:shd w:val="clear" w:color="auto" w:fill="D0EBF2"/>
          </w:tcPr>
          <w:p>
            <w:pPr>
              <w:spacing w:after="0"/>
              <w:rPr>
                <w:sz w:val="18"/>
                <w:szCs w:val="18"/>
                <w:color w:val="auto"/>
              </w:rPr>
            </w:pPr>
          </w:p>
        </w:tc>
        <w:tc>
          <w:tcPr>
            <w:tcW w:w="120" w:type="dxa"/>
            <w:vAlign w:val="bottom"/>
            <w:shd w:val="clear" w:color="auto" w:fill="D0EBF2"/>
          </w:tcPr>
          <w:p>
            <w:pPr>
              <w:spacing w:after="0"/>
              <w:rPr>
                <w:sz w:val="18"/>
                <w:szCs w:val="18"/>
                <w:color w:val="auto"/>
              </w:rPr>
            </w:pPr>
          </w:p>
        </w:tc>
        <w:tc>
          <w:tcPr>
            <w:tcW w:w="840" w:type="dxa"/>
            <w:vAlign w:val="bottom"/>
            <w:shd w:val="clear" w:color="auto" w:fill="D0EBF2"/>
          </w:tcPr>
          <w:p>
            <w:pPr>
              <w:jc w:val="right"/>
              <w:spacing w:after="0" w:line="217" w:lineRule="exact"/>
              <w:rPr>
                <w:sz w:val="20"/>
                <w:szCs w:val="20"/>
                <w:color w:val="auto"/>
              </w:rPr>
            </w:pPr>
            <w:r>
              <w:rPr>
                <w:rFonts w:ascii="Times New Roman" w:cs="Times New Roman" w:eastAsia="Times New Roman" w:hAnsi="Times New Roman"/>
                <w:sz w:val="19"/>
                <w:szCs w:val="19"/>
                <w:color w:val="231F20"/>
              </w:rPr>
              <w:t>8,466</w:t>
            </w:r>
          </w:p>
        </w:tc>
        <w:tc>
          <w:tcPr>
            <w:tcW w:w="100" w:type="dxa"/>
            <w:vAlign w:val="bottom"/>
            <w:shd w:val="clear" w:color="auto" w:fill="D0EBF2"/>
          </w:tcPr>
          <w:p>
            <w:pPr>
              <w:spacing w:after="0"/>
              <w:rPr>
                <w:sz w:val="18"/>
                <w:szCs w:val="18"/>
                <w:color w:val="auto"/>
              </w:rPr>
            </w:pPr>
          </w:p>
        </w:tc>
        <w:tc>
          <w:tcPr>
            <w:tcW w:w="1020" w:type="dxa"/>
            <w:vAlign w:val="bottom"/>
            <w:gridSpan w:val="2"/>
            <w:shd w:val="clear" w:color="auto" w:fill="D0EBF2"/>
          </w:tcPr>
          <w:p>
            <w:pPr>
              <w:jc w:val="right"/>
              <w:spacing w:after="0" w:line="217" w:lineRule="exact"/>
              <w:rPr>
                <w:sz w:val="20"/>
                <w:szCs w:val="20"/>
                <w:color w:val="auto"/>
              </w:rPr>
            </w:pPr>
            <w:r>
              <w:rPr>
                <w:rFonts w:ascii="Times New Roman" w:cs="Times New Roman" w:eastAsia="Times New Roman" w:hAnsi="Times New Roman"/>
                <w:sz w:val="19"/>
                <w:szCs w:val="19"/>
                <w:color w:val="231F20"/>
              </w:rPr>
              <w:t>7,979</w:t>
            </w:r>
          </w:p>
        </w:tc>
        <w:tc>
          <w:tcPr>
            <w:tcW w:w="100" w:type="dxa"/>
            <w:vAlign w:val="bottom"/>
            <w:shd w:val="clear" w:color="auto" w:fill="D0EBF2"/>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4060" w:type="dxa"/>
            <w:vAlign w:val="bottom"/>
            <w:shd w:val="clear" w:color="auto" w:fill="FDFDFC"/>
          </w:tcPr>
          <w:p>
            <w:pPr>
              <w:spacing w:after="0" w:line="217" w:lineRule="exact"/>
              <w:rPr>
                <w:sz w:val="20"/>
                <w:szCs w:val="20"/>
                <w:color w:val="auto"/>
              </w:rPr>
            </w:pPr>
            <w:r>
              <w:rPr>
                <w:rFonts w:ascii="Times New Roman" w:cs="Times New Roman" w:eastAsia="Times New Roman" w:hAnsi="Times New Roman"/>
                <w:sz w:val="19"/>
                <w:szCs w:val="19"/>
                <w:color w:val="231F20"/>
              </w:rPr>
              <w:t>Net amortization of discount on securities</w:t>
            </w:r>
          </w:p>
        </w:tc>
        <w:tc>
          <w:tcPr>
            <w:tcW w:w="200" w:type="dxa"/>
            <w:vAlign w:val="bottom"/>
            <w:shd w:val="clear" w:color="auto" w:fill="FDFDFC"/>
          </w:tcPr>
          <w:p>
            <w:pPr>
              <w:spacing w:after="0"/>
              <w:rPr>
                <w:sz w:val="18"/>
                <w:szCs w:val="18"/>
                <w:color w:val="auto"/>
              </w:rPr>
            </w:pPr>
          </w:p>
        </w:tc>
        <w:tc>
          <w:tcPr>
            <w:tcW w:w="1140" w:type="dxa"/>
            <w:vAlign w:val="bottom"/>
            <w:shd w:val="clear" w:color="auto" w:fill="FDFDFC"/>
          </w:tcPr>
          <w:p>
            <w:pPr>
              <w:jc w:val="right"/>
              <w:spacing w:after="0" w:line="217" w:lineRule="exact"/>
              <w:rPr>
                <w:sz w:val="20"/>
                <w:szCs w:val="20"/>
                <w:color w:val="auto"/>
              </w:rPr>
            </w:pPr>
            <w:r>
              <w:rPr>
                <w:rFonts w:ascii="Times New Roman" w:cs="Times New Roman" w:eastAsia="Times New Roman" w:hAnsi="Times New Roman"/>
                <w:sz w:val="19"/>
                <w:szCs w:val="19"/>
                <w:color w:val="231F20"/>
              </w:rPr>
              <w:t>16,327</w:t>
            </w:r>
          </w:p>
        </w:tc>
        <w:tc>
          <w:tcPr>
            <w:tcW w:w="160" w:type="dxa"/>
            <w:vAlign w:val="bottom"/>
            <w:shd w:val="clear" w:color="auto" w:fill="FDFDFC"/>
          </w:tcPr>
          <w:p>
            <w:pPr>
              <w:spacing w:after="0"/>
              <w:rPr>
                <w:sz w:val="18"/>
                <w:szCs w:val="18"/>
                <w:color w:val="auto"/>
              </w:rPr>
            </w:pPr>
          </w:p>
        </w:tc>
        <w:tc>
          <w:tcPr>
            <w:tcW w:w="100" w:type="dxa"/>
            <w:vAlign w:val="bottom"/>
            <w:shd w:val="clear" w:color="auto" w:fill="FDFDFC"/>
          </w:tcPr>
          <w:p>
            <w:pPr>
              <w:spacing w:after="0"/>
              <w:rPr>
                <w:sz w:val="18"/>
                <w:szCs w:val="18"/>
                <w:color w:val="auto"/>
              </w:rPr>
            </w:pPr>
          </w:p>
        </w:tc>
        <w:tc>
          <w:tcPr>
            <w:tcW w:w="100" w:type="dxa"/>
            <w:vAlign w:val="bottom"/>
            <w:shd w:val="clear" w:color="auto" w:fill="FDFDFC"/>
          </w:tcPr>
          <w:p>
            <w:pPr>
              <w:spacing w:after="0"/>
              <w:rPr>
                <w:sz w:val="18"/>
                <w:szCs w:val="18"/>
                <w:color w:val="auto"/>
              </w:rPr>
            </w:pPr>
          </w:p>
        </w:tc>
        <w:tc>
          <w:tcPr>
            <w:tcW w:w="860" w:type="dxa"/>
            <w:vAlign w:val="bottom"/>
            <w:shd w:val="clear" w:color="auto" w:fill="FDFDFC"/>
          </w:tcPr>
          <w:p>
            <w:pPr>
              <w:jc w:val="right"/>
              <w:spacing w:after="0" w:line="217" w:lineRule="exact"/>
              <w:rPr>
                <w:sz w:val="20"/>
                <w:szCs w:val="20"/>
                <w:color w:val="auto"/>
              </w:rPr>
            </w:pPr>
            <w:r>
              <w:rPr>
                <w:rFonts w:ascii="Times New Roman" w:cs="Times New Roman" w:eastAsia="Times New Roman" w:hAnsi="Times New Roman"/>
                <w:sz w:val="19"/>
                <w:szCs w:val="19"/>
                <w:color w:val="231F20"/>
              </w:rPr>
              <w:t>96</w:t>
            </w:r>
          </w:p>
        </w:tc>
        <w:tc>
          <w:tcPr>
            <w:tcW w:w="120" w:type="dxa"/>
            <w:vAlign w:val="bottom"/>
            <w:shd w:val="clear" w:color="auto" w:fill="FDFDFC"/>
          </w:tcPr>
          <w:p>
            <w:pPr>
              <w:spacing w:after="0"/>
              <w:rPr>
                <w:sz w:val="18"/>
                <w:szCs w:val="18"/>
                <w:color w:val="auto"/>
              </w:rPr>
            </w:pPr>
          </w:p>
        </w:tc>
        <w:tc>
          <w:tcPr>
            <w:tcW w:w="100" w:type="dxa"/>
            <w:vAlign w:val="bottom"/>
            <w:shd w:val="clear" w:color="auto" w:fill="FDFDFC"/>
          </w:tcPr>
          <w:p>
            <w:pPr>
              <w:spacing w:after="0"/>
              <w:rPr>
                <w:sz w:val="18"/>
                <w:szCs w:val="18"/>
                <w:color w:val="auto"/>
              </w:rPr>
            </w:pPr>
          </w:p>
        </w:tc>
        <w:tc>
          <w:tcPr>
            <w:tcW w:w="120" w:type="dxa"/>
            <w:vAlign w:val="bottom"/>
            <w:shd w:val="clear" w:color="auto" w:fill="FDFDFC"/>
          </w:tcPr>
          <w:p>
            <w:pPr>
              <w:spacing w:after="0"/>
              <w:rPr>
                <w:sz w:val="18"/>
                <w:szCs w:val="18"/>
                <w:color w:val="auto"/>
              </w:rPr>
            </w:pPr>
          </w:p>
        </w:tc>
        <w:tc>
          <w:tcPr>
            <w:tcW w:w="840" w:type="dxa"/>
            <w:vAlign w:val="bottom"/>
            <w:shd w:val="clear" w:color="auto" w:fill="FDFDFC"/>
          </w:tcPr>
          <w:p>
            <w:pPr>
              <w:jc w:val="right"/>
              <w:spacing w:after="0" w:line="217" w:lineRule="exact"/>
              <w:rPr>
                <w:sz w:val="20"/>
                <w:szCs w:val="20"/>
                <w:color w:val="auto"/>
              </w:rPr>
            </w:pPr>
            <w:r>
              <w:rPr>
                <w:rFonts w:ascii="Times New Roman" w:cs="Times New Roman" w:eastAsia="Times New Roman" w:hAnsi="Times New Roman"/>
                <w:sz w:val="19"/>
                <w:szCs w:val="19"/>
                <w:color w:val="231F20"/>
              </w:rPr>
              <w:t>56</w:t>
            </w:r>
          </w:p>
        </w:tc>
        <w:tc>
          <w:tcPr>
            <w:tcW w:w="100" w:type="dxa"/>
            <w:vAlign w:val="bottom"/>
            <w:shd w:val="clear" w:color="auto" w:fill="FDFDFC"/>
          </w:tcPr>
          <w:p>
            <w:pPr>
              <w:spacing w:after="0"/>
              <w:rPr>
                <w:sz w:val="18"/>
                <w:szCs w:val="18"/>
                <w:color w:val="auto"/>
              </w:rPr>
            </w:pPr>
          </w:p>
        </w:tc>
        <w:tc>
          <w:tcPr>
            <w:tcW w:w="120" w:type="dxa"/>
            <w:vAlign w:val="bottom"/>
            <w:shd w:val="clear" w:color="auto" w:fill="FDFDFC"/>
          </w:tcPr>
          <w:p>
            <w:pPr>
              <w:spacing w:after="0"/>
              <w:rPr>
                <w:sz w:val="18"/>
                <w:szCs w:val="18"/>
                <w:color w:val="auto"/>
              </w:rPr>
            </w:pPr>
          </w:p>
        </w:tc>
        <w:tc>
          <w:tcPr>
            <w:tcW w:w="120" w:type="dxa"/>
            <w:vAlign w:val="bottom"/>
            <w:shd w:val="clear" w:color="auto" w:fill="FDFDFC"/>
          </w:tcPr>
          <w:p>
            <w:pPr>
              <w:spacing w:after="0"/>
              <w:rPr>
                <w:sz w:val="18"/>
                <w:szCs w:val="18"/>
                <w:color w:val="auto"/>
              </w:rPr>
            </w:pPr>
          </w:p>
        </w:tc>
        <w:tc>
          <w:tcPr>
            <w:tcW w:w="940" w:type="dxa"/>
            <w:vAlign w:val="bottom"/>
            <w:gridSpan w:val="2"/>
            <w:shd w:val="clear" w:color="auto" w:fill="FDFDFC"/>
          </w:tcPr>
          <w:p>
            <w:pPr>
              <w:jc w:val="right"/>
              <w:ind w:right="120"/>
              <w:spacing w:after="0" w:line="217" w:lineRule="exact"/>
              <w:rPr>
                <w:sz w:val="20"/>
                <w:szCs w:val="20"/>
                <w:color w:val="auto"/>
              </w:rPr>
            </w:pPr>
            <w:r>
              <w:rPr>
                <w:rFonts w:ascii="Times New Roman" w:cs="Times New Roman" w:eastAsia="Times New Roman" w:hAnsi="Times New Roman"/>
                <w:sz w:val="19"/>
                <w:szCs w:val="19"/>
                <w:color w:val="231F20"/>
              </w:rPr>
              <w:t>—</w:t>
            </w:r>
          </w:p>
        </w:tc>
        <w:tc>
          <w:tcPr>
            <w:tcW w:w="1020" w:type="dxa"/>
            <w:vAlign w:val="bottom"/>
            <w:gridSpan w:val="2"/>
            <w:shd w:val="clear" w:color="auto" w:fill="FDFDFC"/>
          </w:tcPr>
          <w:p>
            <w:pPr>
              <w:jc w:val="right"/>
              <w:spacing w:after="0" w:line="217" w:lineRule="exact"/>
              <w:rPr>
                <w:sz w:val="20"/>
                <w:szCs w:val="20"/>
                <w:color w:val="auto"/>
              </w:rPr>
            </w:pPr>
            <w:r>
              <w:rPr>
                <w:rFonts w:ascii="Times New Roman" w:cs="Times New Roman" w:eastAsia="Times New Roman" w:hAnsi="Times New Roman"/>
                <w:sz w:val="19"/>
                <w:szCs w:val="19"/>
                <w:color w:val="231F20"/>
              </w:rPr>
              <w:t>16,479</w:t>
            </w:r>
          </w:p>
        </w:tc>
        <w:tc>
          <w:tcPr>
            <w:tcW w:w="100" w:type="dxa"/>
            <w:vAlign w:val="bottom"/>
            <w:shd w:val="clear" w:color="auto" w:fill="FDFDFC"/>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4060" w:type="dxa"/>
            <w:vAlign w:val="bottom"/>
            <w:shd w:val="clear" w:color="auto" w:fill="D0EBF2"/>
          </w:tcPr>
          <w:p>
            <w:pPr>
              <w:spacing w:after="0" w:line="217" w:lineRule="exact"/>
              <w:rPr>
                <w:sz w:val="20"/>
                <w:szCs w:val="20"/>
                <w:color w:val="auto"/>
              </w:rPr>
            </w:pPr>
            <w:r>
              <w:rPr>
                <w:rFonts w:ascii="Times New Roman" w:cs="Times New Roman" w:eastAsia="Times New Roman" w:hAnsi="Times New Roman"/>
                <w:sz w:val="19"/>
                <w:szCs w:val="19"/>
                <w:color w:val="231F20"/>
              </w:rPr>
              <w:t>Transfers within Level 3</w:t>
            </w:r>
          </w:p>
        </w:tc>
        <w:tc>
          <w:tcPr>
            <w:tcW w:w="200" w:type="dxa"/>
            <w:vAlign w:val="bottom"/>
            <w:shd w:val="clear" w:color="auto" w:fill="D0EBF2"/>
          </w:tcPr>
          <w:p>
            <w:pPr>
              <w:spacing w:after="0"/>
              <w:rPr>
                <w:sz w:val="18"/>
                <w:szCs w:val="18"/>
                <w:color w:val="auto"/>
              </w:rPr>
            </w:pPr>
          </w:p>
        </w:tc>
        <w:tc>
          <w:tcPr>
            <w:tcW w:w="1140" w:type="dxa"/>
            <w:vAlign w:val="bottom"/>
            <w:shd w:val="clear" w:color="auto" w:fill="D0EBF2"/>
          </w:tcPr>
          <w:p>
            <w:pPr>
              <w:jc w:val="right"/>
              <w:spacing w:after="0" w:line="217" w:lineRule="exact"/>
              <w:rPr>
                <w:sz w:val="20"/>
                <w:szCs w:val="20"/>
                <w:color w:val="auto"/>
              </w:rPr>
            </w:pPr>
            <w:r>
              <w:rPr>
                <w:rFonts w:ascii="Times New Roman" w:cs="Times New Roman" w:eastAsia="Times New Roman" w:hAnsi="Times New Roman"/>
                <w:sz w:val="19"/>
                <w:szCs w:val="19"/>
                <w:color w:val="231F20"/>
              </w:rPr>
              <w:t>—</w:t>
            </w:r>
          </w:p>
        </w:tc>
        <w:tc>
          <w:tcPr>
            <w:tcW w:w="160" w:type="dxa"/>
            <w:vAlign w:val="bottom"/>
            <w:shd w:val="clear" w:color="auto" w:fill="D0EBF2"/>
          </w:tcPr>
          <w:p>
            <w:pPr>
              <w:spacing w:after="0"/>
              <w:rPr>
                <w:sz w:val="18"/>
                <w:szCs w:val="18"/>
                <w:color w:val="auto"/>
              </w:rPr>
            </w:pPr>
          </w:p>
        </w:tc>
        <w:tc>
          <w:tcPr>
            <w:tcW w:w="100" w:type="dxa"/>
            <w:vAlign w:val="bottom"/>
            <w:shd w:val="clear" w:color="auto" w:fill="D0EBF2"/>
          </w:tcPr>
          <w:p>
            <w:pPr>
              <w:spacing w:after="0"/>
              <w:rPr>
                <w:sz w:val="18"/>
                <w:szCs w:val="18"/>
                <w:color w:val="auto"/>
              </w:rPr>
            </w:pPr>
          </w:p>
        </w:tc>
        <w:tc>
          <w:tcPr>
            <w:tcW w:w="100" w:type="dxa"/>
            <w:vAlign w:val="bottom"/>
            <w:shd w:val="clear" w:color="auto" w:fill="D0EBF2"/>
          </w:tcPr>
          <w:p>
            <w:pPr>
              <w:spacing w:after="0"/>
              <w:rPr>
                <w:sz w:val="18"/>
                <w:szCs w:val="18"/>
                <w:color w:val="auto"/>
              </w:rPr>
            </w:pPr>
          </w:p>
        </w:tc>
        <w:tc>
          <w:tcPr>
            <w:tcW w:w="980" w:type="dxa"/>
            <w:vAlign w:val="bottom"/>
            <w:gridSpan w:val="2"/>
            <w:shd w:val="clear" w:color="auto" w:fill="D0EBF2"/>
          </w:tcPr>
          <w:p>
            <w:pPr>
              <w:jc w:val="right"/>
              <w:ind w:right="120"/>
              <w:spacing w:after="0" w:line="217" w:lineRule="exact"/>
              <w:rPr>
                <w:sz w:val="20"/>
                <w:szCs w:val="20"/>
                <w:color w:val="auto"/>
              </w:rPr>
            </w:pPr>
            <w:r>
              <w:rPr>
                <w:rFonts w:ascii="Times New Roman" w:cs="Times New Roman" w:eastAsia="Times New Roman" w:hAnsi="Times New Roman"/>
                <w:sz w:val="19"/>
                <w:szCs w:val="19"/>
                <w:color w:val="231F20"/>
              </w:rPr>
              <w:t>—</w:t>
            </w:r>
          </w:p>
        </w:tc>
        <w:tc>
          <w:tcPr>
            <w:tcW w:w="100" w:type="dxa"/>
            <w:vAlign w:val="bottom"/>
            <w:shd w:val="clear" w:color="auto" w:fill="D0EBF2"/>
          </w:tcPr>
          <w:p>
            <w:pPr>
              <w:spacing w:after="0"/>
              <w:rPr>
                <w:sz w:val="18"/>
                <w:szCs w:val="18"/>
                <w:color w:val="auto"/>
              </w:rPr>
            </w:pPr>
          </w:p>
        </w:tc>
        <w:tc>
          <w:tcPr>
            <w:tcW w:w="120" w:type="dxa"/>
            <w:vAlign w:val="bottom"/>
            <w:shd w:val="clear" w:color="auto" w:fill="D0EBF2"/>
          </w:tcPr>
          <w:p>
            <w:pPr>
              <w:spacing w:after="0"/>
              <w:rPr>
                <w:sz w:val="18"/>
                <w:szCs w:val="18"/>
                <w:color w:val="auto"/>
              </w:rPr>
            </w:pPr>
          </w:p>
        </w:tc>
        <w:tc>
          <w:tcPr>
            <w:tcW w:w="940" w:type="dxa"/>
            <w:vAlign w:val="bottom"/>
            <w:gridSpan w:val="2"/>
            <w:shd w:val="clear" w:color="auto" w:fill="D0EBF2"/>
          </w:tcPr>
          <w:p>
            <w:pPr>
              <w:jc w:val="right"/>
              <w:ind w:right="40"/>
              <w:spacing w:after="0" w:line="217" w:lineRule="exact"/>
              <w:rPr>
                <w:sz w:val="20"/>
                <w:szCs w:val="20"/>
                <w:color w:val="auto"/>
              </w:rPr>
            </w:pPr>
            <w:r>
              <w:rPr>
                <w:rFonts w:ascii="Times New Roman" w:cs="Times New Roman" w:eastAsia="Times New Roman" w:hAnsi="Times New Roman"/>
                <w:sz w:val="19"/>
                <w:szCs w:val="19"/>
                <w:color w:val="231F20"/>
              </w:rPr>
              <w:t>(2,500)</w:t>
            </w:r>
          </w:p>
        </w:tc>
        <w:tc>
          <w:tcPr>
            <w:tcW w:w="120" w:type="dxa"/>
            <w:vAlign w:val="bottom"/>
            <w:shd w:val="clear" w:color="auto" w:fill="D0EBF2"/>
          </w:tcPr>
          <w:p>
            <w:pPr>
              <w:spacing w:after="0"/>
              <w:rPr>
                <w:sz w:val="18"/>
                <w:szCs w:val="18"/>
                <w:color w:val="auto"/>
              </w:rPr>
            </w:pPr>
          </w:p>
        </w:tc>
        <w:tc>
          <w:tcPr>
            <w:tcW w:w="120" w:type="dxa"/>
            <w:vAlign w:val="bottom"/>
            <w:shd w:val="clear" w:color="auto" w:fill="D0EBF2"/>
          </w:tcPr>
          <w:p>
            <w:pPr>
              <w:spacing w:after="0"/>
              <w:rPr>
                <w:sz w:val="18"/>
                <w:szCs w:val="18"/>
                <w:color w:val="auto"/>
              </w:rPr>
            </w:pPr>
          </w:p>
        </w:tc>
        <w:tc>
          <w:tcPr>
            <w:tcW w:w="840" w:type="dxa"/>
            <w:vAlign w:val="bottom"/>
            <w:shd w:val="clear" w:color="auto" w:fill="D0EBF2"/>
          </w:tcPr>
          <w:p>
            <w:pPr>
              <w:jc w:val="right"/>
              <w:spacing w:after="0" w:line="217" w:lineRule="exact"/>
              <w:rPr>
                <w:sz w:val="20"/>
                <w:szCs w:val="20"/>
                <w:color w:val="auto"/>
              </w:rPr>
            </w:pPr>
            <w:r>
              <w:rPr>
                <w:rFonts w:ascii="Times New Roman" w:cs="Times New Roman" w:eastAsia="Times New Roman" w:hAnsi="Times New Roman"/>
                <w:sz w:val="19"/>
                <w:szCs w:val="19"/>
                <w:color w:val="231F20"/>
              </w:rPr>
              <w:t>2,500</w:t>
            </w:r>
          </w:p>
        </w:tc>
        <w:tc>
          <w:tcPr>
            <w:tcW w:w="100" w:type="dxa"/>
            <w:vAlign w:val="bottom"/>
            <w:shd w:val="clear" w:color="auto" w:fill="D0EBF2"/>
          </w:tcPr>
          <w:p>
            <w:pPr>
              <w:spacing w:after="0"/>
              <w:rPr>
                <w:sz w:val="18"/>
                <w:szCs w:val="18"/>
                <w:color w:val="auto"/>
              </w:rPr>
            </w:pPr>
          </w:p>
        </w:tc>
        <w:tc>
          <w:tcPr>
            <w:tcW w:w="120" w:type="dxa"/>
            <w:vAlign w:val="bottom"/>
            <w:shd w:val="clear" w:color="auto" w:fill="D0EBF2"/>
          </w:tcPr>
          <w:p>
            <w:pPr>
              <w:spacing w:after="0"/>
              <w:rPr>
                <w:sz w:val="18"/>
                <w:szCs w:val="18"/>
                <w:color w:val="auto"/>
              </w:rPr>
            </w:pPr>
          </w:p>
        </w:tc>
        <w:tc>
          <w:tcPr>
            <w:tcW w:w="1000" w:type="dxa"/>
            <w:vAlign w:val="bottom"/>
            <w:gridSpan w:val="2"/>
            <w:shd w:val="clear" w:color="auto" w:fill="D0EBF2"/>
          </w:tcPr>
          <w:p>
            <w:pPr>
              <w:jc w:val="right"/>
              <w:ind w:right="120"/>
              <w:spacing w:after="0" w:line="217" w:lineRule="exact"/>
              <w:rPr>
                <w:sz w:val="20"/>
                <w:szCs w:val="20"/>
                <w:color w:val="auto"/>
              </w:rPr>
            </w:pPr>
            <w:r>
              <w:rPr>
                <w:rFonts w:ascii="Times New Roman" w:cs="Times New Roman" w:eastAsia="Times New Roman" w:hAnsi="Times New Roman"/>
                <w:sz w:val="19"/>
                <w:szCs w:val="19"/>
                <w:color w:val="231F20"/>
              </w:rPr>
              <w:t>—</w:t>
            </w:r>
          </w:p>
        </w:tc>
        <w:tc>
          <w:tcPr>
            <w:tcW w:w="0" w:type="dxa"/>
            <w:vAlign w:val="bottom"/>
          </w:tcPr>
          <w:p>
            <w:pPr>
              <w:spacing w:after="0"/>
              <w:rPr>
                <w:sz w:val="1"/>
                <w:szCs w:val="1"/>
                <w:color w:val="auto"/>
              </w:rPr>
            </w:pPr>
          </w:p>
        </w:tc>
      </w:tr>
      <w:tr>
        <w:trPr>
          <w:trHeight w:val="217"/>
        </w:trPr>
        <w:tc>
          <w:tcPr>
            <w:tcW w:w="4060" w:type="dxa"/>
            <w:vAlign w:val="bottom"/>
            <w:shd w:val="clear" w:color="auto" w:fill="FDFDFC"/>
          </w:tcPr>
          <w:p>
            <w:pPr>
              <w:spacing w:after="0" w:line="217" w:lineRule="exact"/>
              <w:rPr>
                <w:sz w:val="20"/>
                <w:szCs w:val="20"/>
                <w:color w:val="auto"/>
              </w:rPr>
            </w:pPr>
            <w:r>
              <w:rPr>
                <w:rFonts w:ascii="Times New Roman" w:cs="Times New Roman" w:eastAsia="Times New Roman" w:hAnsi="Times New Roman"/>
                <w:sz w:val="19"/>
                <w:szCs w:val="19"/>
                <w:color w:val="231F20"/>
              </w:rPr>
              <w:t>Transfers into (out of) Level 3</w:t>
            </w:r>
          </w:p>
        </w:tc>
        <w:tc>
          <w:tcPr>
            <w:tcW w:w="200" w:type="dxa"/>
            <w:vAlign w:val="bottom"/>
            <w:shd w:val="clear" w:color="auto" w:fill="FDFDFC"/>
          </w:tcPr>
          <w:p>
            <w:pPr>
              <w:spacing w:after="0"/>
              <w:rPr>
                <w:sz w:val="18"/>
                <w:szCs w:val="18"/>
                <w:color w:val="auto"/>
              </w:rPr>
            </w:pPr>
          </w:p>
        </w:tc>
        <w:tc>
          <w:tcPr>
            <w:tcW w:w="1140" w:type="dxa"/>
            <w:vAlign w:val="bottom"/>
            <w:shd w:val="clear" w:color="auto" w:fill="FDFDFC"/>
          </w:tcPr>
          <w:p>
            <w:pPr>
              <w:jc w:val="right"/>
              <w:spacing w:after="0" w:line="217" w:lineRule="exact"/>
              <w:rPr>
                <w:sz w:val="20"/>
                <w:szCs w:val="20"/>
                <w:color w:val="auto"/>
              </w:rPr>
            </w:pPr>
            <w:r>
              <w:rPr>
                <w:rFonts w:ascii="Times New Roman" w:cs="Times New Roman" w:eastAsia="Times New Roman" w:hAnsi="Times New Roman"/>
                <w:sz w:val="19"/>
                <w:szCs w:val="19"/>
                <w:color w:val="231F20"/>
              </w:rPr>
              <w:t>—</w:t>
            </w:r>
          </w:p>
        </w:tc>
        <w:tc>
          <w:tcPr>
            <w:tcW w:w="160" w:type="dxa"/>
            <w:vAlign w:val="bottom"/>
            <w:shd w:val="clear" w:color="auto" w:fill="FDFDFC"/>
          </w:tcPr>
          <w:p>
            <w:pPr>
              <w:spacing w:after="0"/>
              <w:rPr>
                <w:sz w:val="18"/>
                <w:szCs w:val="18"/>
                <w:color w:val="auto"/>
              </w:rPr>
            </w:pPr>
          </w:p>
        </w:tc>
        <w:tc>
          <w:tcPr>
            <w:tcW w:w="100" w:type="dxa"/>
            <w:vAlign w:val="bottom"/>
            <w:shd w:val="clear" w:color="auto" w:fill="FDFDFC"/>
          </w:tcPr>
          <w:p>
            <w:pPr>
              <w:spacing w:after="0"/>
              <w:rPr>
                <w:sz w:val="18"/>
                <w:szCs w:val="18"/>
                <w:color w:val="auto"/>
              </w:rPr>
            </w:pPr>
          </w:p>
        </w:tc>
        <w:tc>
          <w:tcPr>
            <w:tcW w:w="100" w:type="dxa"/>
            <w:vAlign w:val="bottom"/>
            <w:shd w:val="clear" w:color="auto" w:fill="FDFDFC"/>
          </w:tcPr>
          <w:p>
            <w:pPr>
              <w:spacing w:after="0"/>
              <w:rPr>
                <w:sz w:val="18"/>
                <w:szCs w:val="18"/>
                <w:color w:val="auto"/>
              </w:rPr>
            </w:pPr>
          </w:p>
        </w:tc>
        <w:tc>
          <w:tcPr>
            <w:tcW w:w="980" w:type="dxa"/>
            <w:vAlign w:val="bottom"/>
            <w:gridSpan w:val="2"/>
            <w:shd w:val="clear" w:color="auto" w:fill="FDFDFC"/>
          </w:tcPr>
          <w:p>
            <w:pPr>
              <w:jc w:val="right"/>
              <w:ind w:right="120"/>
              <w:spacing w:after="0" w:line="217" w:lineRule="exact"/>
              <w:rPr>
                <w:sz w:val="20"/>
                <w:szCs w:val="20"/>
                <w:color w:val="auto"/>
              </w:rPr>
            </w:pPr>
            <w:r>
              <w:rPr>
                <w:rFonts w:ascii="Times New Roman" w:cs="Times New Roman" w:eastAsia="Times New Roman" w:hAnsi="Times New Roman"/>
                <w:sz w:val="19"/>
                <w:szCs w:val="19"/>
                <w:color w:val="231F20"/>
              </w:rPr>
              <w:t>—</w:t>
            </w:r>
          </w:p>
        </w:tc>
        <w:tc>
          <w:tcPr>
            <w:tcW w:w="100" w:type="dxa"/>
            <w:vAlign w:val="bottom"/>
            <w:shd w:val="clear" w:color="auto" w:fill="FDFDFC"/>
          </w:tcPr>
          <w:p>
            <w:pPr>
              <w:spacing w:after="0"/>
              <w:rPr>
                <w:sz w:val="18"/>
                <w:szCs w:val="18"/>
                <w:color w:val="auto"/>
              </w:rPr>
            </w:pPr>
          </w:p>
        </w:tc>
        <w:tc>
          <w:tcPr>
            <w:tcW w:w="120" w:type="dxa"/>
            <w:vAlign w:val="bottom"/>
            <w:shd w:val="clear" w:color="auto" w:fill="FDFDFC"/>
          </w:tcPr>
          <w:p>
            <w:pPr>
              <w:spacing w:after="0"/>
              <w:rPr>
                <w:sz w:val="18"/>
                <w:szCs w:val="18"/>
                <w:color w:val="auto"/>
              </w:rPr>
            </w:pPr>
          </w:p>
        </w:tc>
        <w:tc>
          <w:tcPr>
            <w:tcW w:w="940" w:type="dxa"/>
            <w:vAlign w:val="bottom"/>
            <w:gridSpan w:val="2"/>
            <w:shd w:val="clear" w:color="auto" w:fill="FDFDFC"/>
          </w:tcPr>
          <w:p>
            <w:pPr>
              <w:jc w:val="right"/>
              <w:ind w:right="120"/>
              <w:spacing w:after="0" w:line="217" w:lineRule="exact"/>
              <w:rPr>
                <w:sz w:val="20"/>
                <w:szCs w:val="20"/>
                <w:color w:val="auto"/>
              </w:rPr>
            </w:pPr>
            <w:r>
              <w:rPr>
                <w:rFonts w:ascii="Times New Roman" w:cs="Times New Roman" w:eastAsia="Times New Roman" w:hAnsi="Times New Roman"/>
                <w:sz w:val="19"/>
                <w:szCs w:val="19"/>
                <w:color w:val="231F20"/>
              </w:rPr>
              <w:t>—</w:t>
            </w:r>
          </w:p>
        </w:tc>
        <w:tc>
          <w:tcPr>
            <w:tcW w:w="120" w:type="dxa"/>
            <w:vAlign w:val="bottom"/>
            <w:shd w:val="clear" w:color="auto" w:fill="FDFDFC"/>
          </w:tcPr>
          <w:p>
            <w:pPr>
              <w:spacing w:after="0"/>
              <w:rPr>
                <w:sz w:val="18"/>
                <w:szCs w:val="18"/>
                <w:color w:val="auto"/>
              </w:rPr>
            </w:pPr>
          </w:p>
        </w:tc>
        <w:tc>
          <w:tcPr>
            <w:tcW w:w="120" w:type="dxa"/>
            <w:vAlign w:val="bottom"/>
            <w:shd w:val="clear" w:color="auto" w:fill="FDFDFC"/>
          </w:tcPr>
          <w:p>
            <w:pPr>
              <w:spacing w:after="0"/>
              <w:rPr>
                <w:sz w:val="18"/>
                <w:szCs w:val="18"/>
                <w:color w:val="auto"/>
              </w:rPr>
            </w:pPr>
          </w:p>
        </w:tc>
        <w:tc>
          <w:tcPr>
            <w:tcW w:w="840" w:type="dxa"/>
            <w:vAlign w:val="bottom"/>
            <w:shd w:val="clear" w:color="auto" w:fill="FDFDFC"/>
          </w:tcPr>
          <w:p>
            <w:pPr>
              <w:jc w:val="right"/>
              <w:spacing w:after="0" w:line="217" w:lineRule="exact"/>
              <w:rPr>
                <w:sz w:val="20"/>
                <w:szCs w:val="20"/>
                <w:color w:val="auto"/>
              </w:rPr>
            </w:pPr>
            <w:r>
              <w:rPr>
                <w:rFonts w:ascii="Times New Roman" w:cs="Times New Roman" w:eastAsia="Times New Roman" w:hAnsi="Times New Roman"/>
                <w:sz w:val="19"/>
                <w:szCs w:val="19"/>
                <w:color w:val="231F20"/>
              </w:rPr>
              <w:t>731</w:t>
            </w:r>
          </w:p>
        </w:tc>
        <w:tc>
          <w:tcPr>
            <w:tcW w:w="100" w:type="dxa"/>
            <w:vAlign w:val="bottom"/>
            <w:shd w:val="clear" w:color="auto" w:fill="FDFDFC"/>
          </w:tcPr>
          <w:p>
            <w:pPr>
              <w:spacing w:after="0"/>
              <w:rPr>
                <w:sz w:val="18"/>
                <w:szCs w:val="18"/>
                <w:color w:val="auto"/>
              </w:rPr>
            </w:pPr>
          </w:p>
        </w:tc>
        <w:tc>
          <w:tcPr>
            <w:tcW w:w="1020" w:type="dxa"/>
            <w:vAlign w:val="bottom"/>
            <w:gridSpan w:val="2"/>
            <w:shd w:val="clear" w:color="auto" w:fill="FDFDFC"/>
          </w:tcPr>
          <w:p>
            <w:pPr>
              <w:jc w:val="right"/>
              <w:spacing w:after="0" w:line="217" w:lineRule="exact"/>
              <w:rPr>
                <w:sz w:val="20"/>
                <w:szCs w:val="20"/>
                <w:color w:val="auto"/>
              </w:rPr>
            </w:pPr>
            <w:r>
              <w:rPr>
                <w:rFonts w:ascii="Times New Roman" w:cs="Times New Roman" w:eastAsia="Times New Roman" w:hAnsi="Times New Roman"/>
                <w:sz w:val="19"/>
                <w:szCs w:val="19"/>
                <w:color w:val="231F20"/>
              </w:rPr>
              <w:t>731</w:t>
            </w:r>
          </w:p>
        </w:tc>
        <w:tc>
          <w:tcPr>
            <w:tcW w:w="100" w:type="dxa"/>
            <w:vAlign w:val="bottom"/>
            <w:shd w:val="clear" w:color="auto" w:fill="FDFDFC"/>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4060" w:type="dxa"/>
            <w:vAlign w:val="bottom"/>
            <w:tcBorders>
              <w:top w:val="single" w:sz="8" w:color="D0EBF2"/>
            </w:tcBorders>
            <w:shd w:val="clear" w:color="auto" w:fill="D0EBF2"/>
          </w:tcPr>
          <w:p>
            <w:pPr>
              <w:ind w:left="180"/>
              <w:spacing w:after="0" w:line="206" w:lineRule="exact"/>
              <w:rPr>
                <w:sz w:val="20"/>
                <w:szCs w:val="20"/>
                <w:color w:val="auto"/>
              </w:rPr>
            </w:pPr>
            <w:r>
              <w:rPr>
                <w:rFonts w:ascii="Times New Roman" w:cs="Times New Roman" w:eastAsia="Times New Roman" w:hAnsi="Times New Roman"/>
                <w:sz w:val="19"/>
                <w:szCs w:val="19"/>
                <w:b w:val="1"/>
                <w:bCs w:val="1"/>
                <w:color w:val="231F20"/>
              </w:rPr>
              <w:t>Balance, End of Period</w:t>
            </w:r>
          </w:p>
        </w:tc>
        <w:tc>
          <w:tcPr>
            <w:tcW w:w="200" w:type="dxa"/>
            <w:vAlign w:val="bottom"/>
            <w:tcBorders>
              <w:top w:val="single" w:sz="8" w:color="231F20"/>
              <w:bottom w:val="single" w:sz="8" w:color="231F20"/>
            </w:tcBorders>
            <w:shd w:val="clear" w:color="auto" w:fill="D0EBF2"/>
          </w:tcPr>
          <w:p>
            <w:pPr>
              <w:jc w:val="right"/>
              <w:ind w:right="6"/>
              <w:spacing w:after="0" w:line="206" w:lineRule="exact"/>
              <w:rPr>
                <w:sz w:val="20"/>
                <w:szCs w:val="20"/>
                <w:color w:val="auto"/>
              </w:rPr>
            </w:pPr>
            <w:r>
              <w:rPr>
                <w:rFonts w:ascii="Times New Roman" w:cs="Times New Roman" w:eastAsia="Times New Roman" w:hAnsi="Times New Roman"/>
                <w:sz w:val="19"/>
                <w:szCs w:val="19"/>
                <w:color w:val="231F20"/>
                <w:w w:val="83"/>
              </w:rPr>
              <w:t>$</w:t>
            </w:r>
          </w:p>
        </w:tc>
        <w:tc>
          <w:tcPr>
            <w:tcW w:w="1140" w:type="dxa"/>
            <w:vAlign w:val="bottom"/>
            <w:tcBorders>
              <w:top w:val="single" w:sz="8" w:color="231F20"/>
              <w:bottom w:val="single" w:sz="8" w:color="231F20"/>
            </w:tcBorders>
            <w:shd w:val="clear" w:color="auto" w:fill="D0EBF2"/>
          </w:tcPr>
          <w:p>
            <w:pPr>
              <w:jc w:val="right"/>
              <w:spacing w:after="0" w:line="206" w:lineRule="exact"/>
              <w:rPr>
                <w:sz w:val="20"/>
                <w:szCs w:val="20"/>
                <w:color w:val="auto"/>
              </w:rPr>
            </w:pPr>
            <w:r>
              <w:rPr>
                <w:rFonts w:ascii="Times New Roman" w:cs="Times New Roman" w:eastAsia="Times New Roman" w:hAnsi="Times New Roman"/>
                <w:sz w:val="19"/>
                <w:szCs w:val="19"/>
                <w:color w:val="231F20"/>
              </w:rPr>
              <w:t>2,993,786</w:t>
            </w:r>
          </w:p>
        </w:tc>
        <w:tc>
          <w:tcPr>
            <w:tcW w:w="160" w:type="dxa"/>
            <w:vAlign w:val="bottom"/>
            <w:tcBorders>
              <w:top w:val="single" w:sz="8" w:color="D0EBF2"/>
            </w:tcBorders>
            <w:shd w:val="clear" w:color="auto" w:fill="D0EBF2"/>
          </w:tcPr>
          <w:p>
            <w:pPr>
              <w:spacing w:after="0"/>
              <w:rPr>
                <w:sz w:val="17"/>
                <w:szCs w:val="17"/>
                <w:color w:val="auto"/>
              </w:rPr>
            </w:pPr>
          </w:p>
        </w:tc>
        <w:tc>
          <w:tcPr>
            <w:tcW w:w="100" w:type="dxa"/>
            <w:vAlign w:val="bottom"/>
            <w:tcBorders>
              <w:top w:val="single" w:sz="8" w:color="D0EBF2"/>
            </w:tcBorders>
            <w:shd w:val="clear" w:color="auto" w:fill="D0EBF2"/>
          </w:tcPr>
          <w:p>
            <w:pPr>
              <w:spacing w:after="0"/>
              <w:rPr>
                <w:sz w:val="17"/>
                <w:szCs w:val="17"/>
                <w:color w:val="auto"/>
              </w:rPr>
            </w:pPr>
          </w:p>
        </w:tc>
        <w:tc>
          <w:tcPr>
            <w:tcW w:w="100" w:type="dxa"/>
            <w:vAlign w:val="bottom"/>
            <w:tcBorders>
              <w:top w:val="single" w:sz="8" w:color="231F20"/>
              <w:bottom w:val="single" w:sz="8" w:color="231F20"/>
            </w:tcBorders>
            <w:shd w:val="clear" w:color="auto" w:fill="D0EBF2"/>
          </w:tcPr>
          <w:p>
            <w:pPr>
              <w:jc w:val="right"/>
              <w:spacing w:after="0" w:line="206" w:lineRule="exact"/>
              <w:rPr>
                <w:sz w:val="20"/>
                <w:szCs w:val="20"/>
                <w:color w:val="auto"/>
              </w:rPr>
            </w:pPr>
            <w:r>
              <w:rPr>
                <w:rFonts w:ascii="Times New Roman" w:cs="Times New Roman" w:eastAsia="Times New Roman" w:hAnsi="Times New Roman"/>
                <w:sz w:val="19"/>
                <w:szCs w:val="19"/>
                <w:color w:val="231F20"/>
                <w:w w:val="83"/>
                <w:shd w:val="clear" w:color="auto" w:fill="D0EBF2"/>
              </w:rPr>
              <w:t>$</w:t>
            </w:r>
          </w:p>
        </w:tc>
        <w:tc>
          <w:tcPr>
            <w:tcW w:w="860" w:type="dxa"/>
            <w:vAlign w:val="bottom"/>
            <w:tcBorders>
              <w:top w:val="single" w:sz="8" w:color="231F20"/>
              <w:bottom w:val="single" w:sz="8" w:color="231F20"/>
            </w:tcBorders>
            <w:shd w:val="clear" w:color="auto" w:fill="D0EBF2"/>
          </w:tcPr>
          <w:p>
            <w:pPr>
              <w:jc w:val="right"/>
              <w:spacing w:after="0" w:line="206" w:lineRule="exact"/>
              <w:rPr>
                <w:sz w:val="20"/>
                <w:szCs w:val="20"/>
                <w:color w:val="auto"/>
              </w:rPr>
            </w:pPr>
            <w:r>
              <w:rPr>
                <w:rFonts w:ascii="Times New Roman" w:cs="Times New Roman" w:eastAsia="Times New Roman" w:hAnsi="Times New Roman"/>
                <w:sz w:val="19"/>
                <w:szCs w:val="19"/>
                <w:color w:val="231F20"/>
                <w:shd w:val="clear" w:color="auto" w:fill="D0EBF2"/>
              </w:rPr>
              <w:t>35,975</w:t>
            </w:r>
          </w:p>
        </w:tc>
        <w:tc>
          <w:tcPr>
            <w:tcW w:w="120" w:type="dxa"/>
            <w:vAlign w:val="bottom"/>
            <w:tcBorders>
              <w:top w:val="single" w:sz="8" w:color="D0EBF2"/>
            </w:tcBorders>
            <w:shd w:val="clear" w:color="auto" w:fill="D0EBF2"/>
          </w:tcPr>
          <w:p>
            <w:pPr>
              <w:spacing w:after="0"/>
              <w:rPr>
                <w:sz w:val="17"/>
                <w:szCs w:val="17"/>
                <w:color w:val="auto"/>
              </w:rPr>
            </w:pPr>
          </w:p>
        </w:tc>
        <w:tc>
          <w:tcPr>
            <w:tcW w:w="100" w:type="dxa"/>
            <w:vAlign w:val="bottom"/>
            <w:tcBorders>
              <w:top w:val="single" w:sz="8" w:color="D0EBF2"/>
            </w:tcBorders>
            <w:shd w:val="clear" w:color="auto" w:fill="D0EBF2"/>
          </w:tcPr>
          <w:p>
            <w:pPr>
              <w:spacing w:after="0"/>
              <w:rPr>
                <w:sz w:val="17"/>
                <w:szCs w:val="17"/>
                <w:color w:val="auto"/>
              </w:rPr>
            </w:pPr>
          </w:p>
        </w:tc>
        <w:tc>
          <w:tcPr>
            <w:tcW w:w="120" w:type="dxa"/>
            <w:vAlign w:val="bottom"/>
            <w:tcBorders>
              <w:top w:val="single" w:sz="8" w:color="231F20"/>
              <w:bottom w:val="single" w:sz="8" w:color="231F20"/>
            </w:tcBorders>
            <w:shd w:val="clear" w:color="auto" w:fill="D0EBF2"/>
          </w:tcPr>
          <w:p>
            <w:pPr>
              <w:jc w:val="right"/>
              <w:spacing w:after="0" w:line="206" w:lineRule="exact"/>
              <w:rPr>
                <w:sz w:val="20"/>
                <w:szCs w:val="20"/>
                <w:color w:val="auto"/>
              </w:rPr>
            </w:pPr>
            <w:r>
              <w:rPr>
                <w:rFonts w:ascii="Times New Roman" w:cs="Times New Roman" w:eastAsia="Times New Roman" w:hAnsi="Times New Roman"/>
                <w:sz w:val="19"/>
                <w:szCs w:val="19"/>
                <w:color w:val="231F20"/>
                <w:w w:val="83"/>
                <w:shd w:val="clear" w:color="auto" w:fill="D0EBF2"/>
              </w:rPr>
              <w:t>$</w:t>
            </w:r>
          </w:p>
        </w:tc>
        <w:tc>
          <w:tcPr>
            <w:tcW w:w="840" w:type="dxa"/>
            <w:vAlign w:val="bottom"/>
            <w:tcBorders>
              <w:top w:val="single" w:sz="8" w:color="231F20"/>
              <w:bottom w:val="single" w:sz="8" w:color="231F20"/>
            </w:tcBorders>
            <w:shd w:val="clear" w:color="auto" w:fill="D0EBF2"/>
          </w:tcPr>
          <w:p>
            <w:pPr>
              <w:jc w:val="right"/>
              <w:spacing w:after="0" w:line="206" w:lineRule="exact"/>
              <w:rPr>
                <w:sz w:val="20"/>
                <w:szCs w:val="20"/>
                <w:color w:val="auto"/>
              </w:rPr>
            </w:pPr>
            <w:r>
              <w:rPr>
                <w:rFonts w:ascii="Times New Roman" w:cs="Times New Roman" w:eastAsia="Times New Roman" w:hAnsi="Times New Roman"/>
                <w:sz w:val="19"/>
                <w:szCs w:val="19"/>
                <w:color w:val="231F20"/>
                <w:shd w:val="clear" w:color="auto" w:fill="D0EBF2"/>
              </w:rPr>
              <w:t>38,865</w:t>
            </w:r>
          </w:p>
        </w:tc>
        <w:tc>
          <w:tcPr>
            <w:tcW w:w="100" w:type="dxa"/>
            <w:vAlign w:val="bottom"/>
            <w:tcBorders>
              <w:top w:val="single" w:sz="8" w:color="D0EBF2"/>
            </w:tcBorders>
            <w:shd w:val="clear" w:color="auto" w:fill="D0EBF2"/>
          </w:tcPr>
          <w:p>
            <w:pPr>
              <w:spacing w:after="0"/>
              <w:rPr>
                <w:sz w:val="17"/>
                <w:szCs w:val="17"/>
                <w:color w:val="auto"/>
              </w:rPr>
            </w:pPr>
          </w:p>
        </w:tc>
        <w:tc>
          <w:tcPr>
            <w:tcW w:w="120" w:type="dxa"/>
            <w:vAlign w:val="bottom"/>
            <w:tcBorders>
              <w:top w:val="single" w:sz="8" w:color="D0EBF2"/>
            </w:tcBorders>
            <w:shd w:val="clear" w:color="auto" w:fill="D0EBF2"/>
          </w:tcPr>
          <w:p>
            <w:pPr>
              <w:spacing w:after="0"/>
              <w:rPr>
                <w:sz w:val="17"/>
                <w:szCs w:val="17"/>
                <w:color w:val="auto"/>
              </w:rPr>
            </w:pPr>
          </w:p>
        </w:tc>
        <w:tc>
          <w:tcPr>
            <w:tcW w:w="120" w:type="dxa"/>
            <w:vAlign w:val="bottom"/>
            <w:tcBorders>
              <w:top w:val="single" w:sz="8" w:color="231F20"/>
              <w:bottom w:val="single" w:sz="8" w:color="231F20"/>
            </w:tcBorders>
            <w:shd w:val="clear" w:color="auto" w:fill="D0EBF2"/>
          </w:tcPr>
          <w:p>
            <w:pPr>
              <w:jc w:val="right"/>
              <w:spacing w:after="0" w:line="206" w:lineRule="exact"/>
              <w:rPr>
                <w:sz w:val="20"/>
                <w:szCs w:val="20"/>
                <w:color w:val="auto"/>
              </w:rPr>
            </w:pPr>
            <w:r>
              <w:rPr>
                <w:rFonts w:ascii="Times New Roman" w:cs="Times New Roman" w:eastAsia="Times New Roman" w:hAnsi="Times New Roman"/>
                <w:sz w:val="19"/>
                <w:szCs w:val="19"/>
                <w:color w:val="231F20"/>
                <w:w w:val="83"/>
                <w:shd w:val="clear" w:color="auto" w:fill="D0EBF2"/>
              </w:rPr>
              <w:t>$</w:t>
            </w:r>
          </w:p>
        </w:tc>
        <w:tc>
          <w:tcPr>
            <w:tcW w:w="840" w:type="dxa"/>
            <w:vAlign w:val="bottom"/>
            <w:tcBorders>
              <w:top w:val="single" w:sz="8" w:color="231F20"/>
              <w:bottom w:val="single" w:sz="8" w:color="231F20"/>
            </w:tcBorders>
            <w:shd w:val="clear" w:color="auto" w:fill="D0EBF2"/>
          </w:tcPr>
          <w:p>
            <w:pPr>
              <w:jc w:val="right"/>
              <w:spacing w:after="0" w:line="206" w:lineRule="exact"/>
              <w:rPr>
                <w:sz w:val="20"/>
                <w:szCs w:val="20"/>
                <w:color w:val="auto"/>
              </w:rPr>
            </w:pPr>
            <w:r>
              <w:rPr>
                <w:rFonts w:ascii="Times New Roman" w:cs="Times New Roman" w:eastAsia="Times New Roman" w:hAnsi="Times New Roman"/>
                <w:sz w:val="19"/>
                <w:szCs w:val="19"/>
                <w:color w:val="231F20"/>
                <w:shd w:val="clear" w:color="auto" w:fill="D0EBF2"/>
              </w:rPr>
              <w:t>140,331</w:t>
            </w:r>
          </w:p>
        </w:tc>
        <w:tc>
          <w:tcPr>
            <w:tcW w:w="100" w:type="dxa"/>
            <w:vAlign w:val="bottom"/>
            <w:tcBorders>
              <w:top w:val="single" w:sz="8" w:color="D0EBF2"/>
            </w:tcBorders>
            <w:shd w:val="clear" w:color="auto" w:fill="D0EBF2"/>
          </w:tcPr>
          <w:p>
            <w:pPr>
              <w:spacing w:after="0"/>
              <w:rPr>
                <w:sz w:val="17"/>
                <w:szCs w:val="17"/>
                <w:color w:val="auto"/>
              </w:rPr>
            </w:pPr>
          </w:p>
        </w:tc>
        <w:tc>
          <w:tcPr>
            <w:tcW w:w="120" w:type="dxa"/>
            <w:vAlign w:val="bottom"/>
            <w:tcBorders>
              <w:top w:val="single" w:sz="8" w:color="D0EBF2"/>
            </w:tcBorders>
            <w:shd w:val="clear" w:color="auto" w:fill="D0EBF2"/>
          </w:tcPr>
          <w:p>
            <w:pPr>
              <w:spacing w:after="0"/>
              <w:rPr>
                <w:sz w:val="17"/>
                <w:szCs w:val="17"/>
                <w:color w:val="auto"/>
              </w:rPr>
            </w:pPr>
          </w:p>
        </w:tc>
        <w:tc>
          <w:tcPr>
            <w:tcW w:w="900" w:type="dxa"/>
            <w:vAlign w:val="bottom"/>
            <w:tcBorders>
              <w:top w:val="single" w:sz="8" w:color="231F20"/>
              <w:bottom w:val="single" w:sz="8" w:color="231F20"/>
            </w:tcBorders>
            <w:shd w:val="clear" w:color="auto" w:fill="D0EBF2"/>
          </w:tcPr>
          <w:p>
            <w:pPr>
              <w:jc w:val="right"/>
              <w:spacing w:after="0" w:line="206" w:lineRule="exact"/>
              <w:rPr>
                <w:sz w:val="20"/>
                <w:szCs w:val="20"/>
                <w:color w:val="auto"/>
              </w:rPr>
            </w:pPr>
            <w:r>
              <w:rPr>
                <w:rFonts w:ascii="Times New Roman" w:cs="Times New Roman" w:eastAsia="Times New Roman" w:hAnsi="Times New Roman"/>
                <w:sz w:val="19"/>
                <w:szCs w:val="19"/>
                <w:color w:val="231F20"/>
                <w:w w:val="95"/>
                <w:shd w:val="clear" w:color="auto" w:fill="D0EBF2"/>
              </w:rPr>
              <w:t>$ 3,208,957</w:t>
            </w:r>
          </w:p>
        </w:tc>
        <w:tc>
          <w:tcPr>
            <w:tcW w:w="100" w:type="dxa"/>
            <w:vAlign w:val="bottom"/>
            <w:tcBorders>
              <w:top w:val="single" w:sz="8" w:color="D0EBF2"/>
            </w:tcBorders>
            <w:shd w:val="clear" w:color="auto" w:fill="D0EBF2"/>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060" w:type="dxa"/>
            <w:vAlign w:val="bottom"/>
          </w:tcPr>
          <w:p>
            <w:pPr>
              <w:spacing w:after="0" w:line="20" w:lineRule="exact"/>
              <w:rPr>
                <w:sz w:val="1"/>
                <w:szCs w:val="1"/>
                <w:color w:val="auto"/>
              </w:rPr>
            </w:pPr>
          </w:p>
        </w:tc>
        <w:tc>
          <w:tcPr>
            <w:tcW w:w="200" w:type="dxa"/>
            <w:vAlign w:val="bottom"/>
            <w:tcBorders>
              <w:bottom w:val="single" w:sz="8" w:color="231F20"/>
            </w:tcBorders>
          </w:tcPr>
          <w:p>
            <w:pPr>
              <w:spacing w:after="0" w:line="20" w:lineRule="exact"/>
              <w:rPr>
                <w:sz w:val="1"/>
                <w:szCs w:val="1"/>
                <w:color w:val="auto"/>
              </w:rPr>
            </w:pPr>
          </w:p>
        </w:tc>
        <w:tc>
          <w:tcPr>
            <w:tcW w:w="1140" w:type="dxa"/>
            <w:vAlign w:val="bottom"/>
            <w:tcBorders>
              <w:bottom w:val="single" w:sz="8" w:color="231F20"/>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231F20"/>
            </w:tcBorders>
          </w:tcPr>
          <w:p>
            <w:pPr>
              <w:spacing w:after="0" w:line="20" w:lineRule="exact"/>
              <w:rPr>
                <w:sz w:val="1"/>
                <w:szCs w:val="1"/>
                <w:color w:val="auto"/>
              </w:rPr>
            </w:pPr>
          </w:p>
        </w:tc>
        <w:tc>
          <w:tcPr>
            <w:tcW w:w="860" w:type="dxa"/>
            <w:vAlign w:val="bottom"/>
            <w:tcBorders>
              <w:bottom w:val="single" w:sz="8" w:color="231F20"/>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231F20"/>
            </w:tcBorders>
          </w:tcPr>
          <w:p>
            <w:pPr>
              <w:spacing w:after="0" w:line="20" w:lineRule="exact"/>
              <w:rPr>
                <w:sz w:val="1"/>
                <w:szCs w:val="1"/>
                <w:color w:val="auto"/>
              </w:rPr>
            </w:pPr>
          </w:p>
        </w:tc>
        <w:tc>
          <w:tcPr>
            <w:tcW w:w="840" w:type="dxa"/>
            <w:vAlign w:val="bottom"/>
            <w:tcBorders>
              <w:bottom w:val="single" w:sz="8" w:color="231F20"/>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231F20"/>
            </w:tcBorders>
          </w:tcPr>
          <w:p>
            <w:pPr>
              <w:spacing w:after="0" w:line="20" w:lineRule="exact"/>
              <w:rPr>
                <w:sz w:val="1"/>
                <w:szCs w:val="1"/>
                <w:color w:val="auto"/>
              </w:rPr>
            </w:pPr>
          </w:p>
        </w:tc>
        <w:tc>
          <w:tcPr>
            <w:tcW w:w="840" w:type="dxa"/>
            <w:vAlign w:val="bottom"/>
            <w:tcBorders>
              <w:bottom w:val="single" w:sz="8" w:color="231F20"/>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Borders>
              <w:bottom w:val="single" w:sz="8" w:color="231F20"/>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7" w:lineRule="exact"/>
        <w:rPr>
          <w:sz w:val="20"/>
          <w:szCs w:val="20"/>
          <w:color w:val="auto"/>
        </w:rPr>
      </w:pPr>
    </w:p>
    <w:p>
      <w:pPr>
        <w:ind w:right="60" w:firstLine="231"/>
        <w:spacing w:after="0" w:line="257" w:lineRule="auto"/>
        <w:rPr>
          <w:sz w:val="20"/>
          <w:szCs w:val="20"/>
          <w:color w:val="auto"/>
        </w:rPr>
      </w:pPr>
      <w:r>
        <w:rPr>
          <w:rFonts w:ascii="Times New Roman" w:cs="Times New Roman" w:eastAsia="Times New Roman" w:hAnsi="Times New Roman"/>
          <w:sz w:val="19"/>
          <w:szCs w:val="19"/>
          <w:color w:val="231F20"/>
        </w:rPr>
        <w:t>Certain of the Company's investment positions in Copper Bidco, LLC were transferred into Level 3 from Level 2 for fair value measurement purposes during the year ended December 31, 2023, as a result of changes in the observability of inputs into the security valuation for this portfolio company.</w:t>
      </w:r>
    </w:p>
    <w:p>
      <w:pPr>
        <w:spacing w:after="0" w:line="6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9"/>
          <w:szCs w:val="19"/>
          <w:color w:val="231F20"/>
        </w:rPr>
        <w:t>The following table presents information with respect to the net change in unrealized gains or losses on investments for which</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231F20"/>
        </w:rPr>
        <w:t>Level 3 inputs were used in determining fair value that are still held by the Company at December 31, 2024 and December 31, 2023:</w:t>
      </w:r>
    </w:p>
    <w:p>
      <w:pPr>
        <w:spacing w:after="0" w:line="217" w:lineRule="exact"/>
        <w:rPr>
          <w:sz w:val="20"/>
          <w:szCs w:val="20"/>
          <w:color w:val="auto"/>
        </w:rPr>
      </w:pPr>
    </w:p>
    <w:tbl>
      <w:tblPr>
        <w:tblLayout w:type="fixed"/>
        <w:tblInd w:w="1020" w:type="dxa"/>
        <w:tblCellMar>
          <w:top w:w="0" w:type="dxa"/>
          <w:left w:w="0" w:type="dxa"/>
          <w:bottom w:w="0" w:type="dxa"/>
          <w:right w:w="0" w:type="dxa"/>
        </w:tblCellMar>
      </w:tblPr>
      <w:tr>
        <w:trPr>
          <w:trHeight w:val="174"/>
        </w:trPr>
        <w:tc>
          <w:tcPr>
            <w:tcW w:w="4240" w:type="dxa"/>
            <w:vAlign w:val="bottom"/>
            <w:shd w:val="clear" w:color="auto" w:fill="FDFDFC"/>
          </w:tcPr>
          <w:p>
            <w:pPr>
              <w:spacing w:after="0"/>
              <w:rPr>
                <w:sz w:val="15"/>
                <w:szCs w:val="15"/>
                <w:color w:val="auto"/>
              </w:rPr>
            </w:pPr>
          </w:p>
        </w:tc>
        <w:tc>
          <w:tcPr>
            <w:tcW w:w="120" w:type="dxa"/>
            <w:vAlign w:val="bottom"/>
            <w:shd w:val="clear" w:color="auto" w:fill="FDFDFC"/>
          </w:tcPr>
          <w:p>
            <w:pPr>
              <w:spacing w:after="0"/>
              <w:rPr>
                <w:sz w:val="15"/>
                <w:szCs w:val="15"/>
                <w:color w:val="auto"/>
              </w:rPr>
            </w:pPr>
          </w:p>
        </w:tc>
        <w:tc>
          <w:tcPr>
            <w:tcW w:w="1760" w:type="dxa"/>
            <w:vAlign w:val="bottom"/>
            <w:gridSpan w:val="2"/>
            <w:shd w:val="clear" w:color="auto" w:fill="FDFDFC"/>
          </w:tcPr>
          <w:p>
            <w:pPr>
              <w:jc w:val="center"/>
              <w:spacing w:after="0"/>
              <w:rPr>
                <w:sz w:val="20"/>
                <w:szCs w:val="20"/>
                <w:color w:val="auto"/>
              </w:rPr>
            </w:pPr>
            <w:r>
              <w:rPr>
                <w:rFonts w:ascii="Times New Roman" w:cs="Times New Roman" w:eastAsia="Times New Roman" w:hAnsi="Times New Roman"/>
                <w:sz w:val="15"/>
                <w:szCs w:val="15"/>
                <w:b w:val="1"/>
                <w:bCs w:val="1"/>
                <w:color w:val="231F20"/>
              </w:rPr>
              <w:t>Net Change in Unrealized</w:t>
            </w:r>
          </w:p>
        </w:tc>
        <w:tc>
          <w:tcPr>
            <w:tcW w:w="180" w:type="dxa"/>
            <w:vAlign w:val="bottom"/>
            <w:shd w:val="clear" w:color="auto" w:fill="FDFDFC"/>
          </w:tcPr>
          <w:p>
            <w:pPr>
              <w:spacing w:after="0"/>
              <w:rPr>
                <w:sz w:val="15"/>
                <w:szCs w:val="15"/>
                <w:color w:val="auto"/>
              </w:rPr>
            </w:pPr>
          </w:p>
        </w:tc>
        <w:tc>
          <w:tcPr>
            <w:tcW w:w="1860" w:type="dxa"/>
            <w:vAlign w:val="bottom"/>
            <w:gridSpan w:val="3"/>
            <w:shd w:val="clear" w:color="auto" w:fill="FDFDFC"/>
          </w:tcPr>
          <w:p>
            <w:pPr>
              <w:jc w:val="center"/>
              <w:ind w:right="80"/>
              <w:spacing w:after="0"/>
              <w:rPr>
                <w:sz w:val="20"/>
                <w:szCs w:val="20"/>
                <w:color w:val="auto"/>
              </w:rPr>
            </w:pPr>
            <w:r>
              <w:rPr>
                <w:rFonts w:ascii="Times New Roman" w:cs="Times New Roman" w:eastAsia="Times New Roman" w:hAnsi="Times New Roman"/>
                <w:sz w:val="15"/>
                <w:szCs w:val="15"/>
                <w:b w:val="1"/>
                <w:bCs w:val="1"/>
                <w:color w:val="231F20"/>
              </w:rPr>
              <w:t>Net Change in Unrealized</w:t>
            </w:r>
          </w:p>
        </w:tc>
      </w:tr>
      <w:tr>
        <w:trPr>
          <w:trHeight w:val="174"/>
        </w:trPr>
        <w:tc>
          <w:tcPr>
            <w:tcW w:w="4240" w:type="dxa"/>
            <w:vAlign w:val="bottom"/>
            <w:shd w:val="clear" w:color="auto" w:fill="FDFDFC"/>
          </w:tcPr>
          <w:p>
            <w:pPr>
              <w:spacing w:after="0"/>
              <w:rPr>
                <w:sz w:val="15"/>
                <w:szCs w:val="15"/>
                <w:color w:val="auto"/>
              </w:rPr>
            </w:pPr>
          </w:p>
        </w:tc>
        <w:tc>
          <w:tcPr>
            <w:tcW w:w="120" w:type="dxa"/>
            <w:vAlign w:val="bottom"/>
            <w:shd w:val="clear" w:color="auto" w:fill="FDFDFC"/>
          </w:tcPr>
          <w:p>
            <w:pPr>
              <w:spacing w:after="0"/>
              <w:rPr>
                <w:sz w:val="15"/>
                <w:szCs w:val="15"/>
                <w:color w:val="auto"/>
              </w:rPr>
            </w:pPr>
          </w:p>
        </w:tc>
        <w:tc>
          <w:tcPr>
            <w:tcW w:w="120" w:type="dxa"/>
            <w:vAlign w:val="bottom"/>
            <w:shd w:val="clear" w:color="auto" w:fill="FDFDFC"/>
          </w:tcPr>
          <w:p>
            <w:pPr>
              <w:spacing w:after="0"/>
              <w:rPr>
                <w:sz w:val="15"/>
                <w:szCs w:val="15"/>
                <w:color w:val="auto"/>
              </w:rPr>
            </w:pPr>
          </w:p>
        </w:tc>
        <w:tc>
          <w:tcPr>
            <w:tcW w:w="1640" w:type="dxa"/>
            <w:vAlign w:val="bottom"/>
            <w:shd w:val="clear" w:color="auto" w:fill="FDFDFC"/>
          </w:tcPr>
          <w:p>
            <w:pPr>
              <w:jc w:val="center"/>
              <w:ind w:right="55"/>
              <w:spacing w:after="0"/>
              <w:rPr>
                <w:sz w:val="20"/>
                <w:szCs w:val="20"/>
                <w:color w:val="auto"/>
              </w:rPr>
            </w:pPr>
            <w:r>
              <w:rPr>
                <w:rFonts w:ascii="Times New Roman" w:cs="Times New Roman" w:eastAsia="Times New Roman" w:hAnsi="Times New Roman"/>
                <w:sz w:val="15"/>
                <w:szCs w:val="15"/>
                <w:b w:val="1"/>
                <w:bCs w:val="1"/>
                <w:color w:val="231F20"/>
                <w:w w:val="99"/>
              </w:rPr>
              <w:t>Gains or (Losses)</w:t>
            </w:r>
          </w:p>
        </w:tc>
        <w:tc>
          <w:tcPr>
            <w:tcW w:w="180" w:type="dxa"/>
            <w:vAlign w:val="bottom"/>
            <w:shd w:val="clear" w:color="auto" w:fill="FDFDFC"/>
          </w:tcPr>
          <w:p>
            <w:pPr>
              <w:spacing w:after="0"/>
              <w:rPr>
                <w:sz w:val="15"/>
                <w:szCs w:val="15"/>
                <w:color w:val="auto"/>
              </w:rPr>
            </w:pPr>
          </w:p>
        </w:tc>
        <w:tc>
          <w:tcPr>
            <w:tcW w:w="140" w:type="dxa"/>
            <w:vAlign w:val="bottom"/>
            <w:shd w:val="clear" w:color="auto" w:fill="FDFDFC"/>
          </w:tcPr>
          <w:p>
            <w:pPr>
              <w:spacing w:after="0"/>
              <w:rPr>
                <w:sz w:val="15"/>
                <w:szCs w:val="15"/>
                <w:color w:val="auto"/>
              </w:rPr>
            </w:pPr>
          </w:p>
        </w:tc>
        <w:tc>
          <w:tcPr>
            <w:tcW w:w="1640" w:type="dxa"/>
            <w:vAlign w:val="bottom"/>
            <w:shd w:val="clear" w:color="auto" w:fill="FDFDFC"/>
          </w:tcPr>
          <w:p>
            <w:pPr>
              <w:jc w:val="center"/>
              <w:ind w:right="75"/>
              <w:spacing w:after="0"/>
              <w:rPr>
                <w:sz w:val="20"/>
                <w:szCs w:val="20"/>
                <w:color w:val="auto"/>
              </w:rPr>
            </w:pPr>
            <w:r>
              <w:rPr>
                <w:rFonts w:ascii="Times New Roman" w:cs="Times New Roman" w:eastAsia="Times New Roman" w:hAnsi="Times New Roman"/>
                <w:sz w:val="15"/>
                <w:szCs w:val="15"/>
                <w:b w:val="1"/>
                <w:bCs w:val="1"/>
                <w:color w:val="231F20"/>
              </w:rPr>
              <w:t>Gains or (Losses)</w:t>
            </w:r>
          </w:p>
        </w:tc>
        <w:tc>
          <w:tcPr>
            <w:tcW w:w="80" w:type="dxa"/>
            <w:vAlign w:val="bottom"/>
            <w:shd w:val="clear" w:color="auto" w:fill="FDFDFC"/>
          </w:tcPr>
          <w:p>
            <w:pPr>
              <w:spacing w:after="0"/>
              <w:rPr>
                <w:sz w:val="15"/>
                <w:szCs w:val="15"/>
                <w:color w:val="auto"/>
              </w:rPr>
            </w:pPr>
          </w:p>
        </w:tc>
      </w:tr>
      <w:tr>
        <w:trPr>
          <w:trHeight w:val="156"/>
        </w:trPr>
        <w:tc>
          <w:tcPr>
            <w:tcW w:w="4240" w:type="dxa"/>
            <w:vAlign w:val="bottom"/>
            <w:shd w:val="clear" w:color="auto" w:fill="FDFDFC"/>
          </w:tcPr>
          <w:p>
            <w:pPr>
              <w:spacing w:after="0"/>
              <w:rPr>
                <w:sz w:val="13"/>
                <w:szCs w:val="13"/>
                <w:color w:val="auto"/>
              </w:rPr>
            </w:pPr>
          </w:p>
        </w:tc>
        <w:tc>
          <w:tcPr>
            <w:tcW w:w="120" w:type="dxa"/>
            <w:vAlign w:val="bottom"/>
            <w:shd w:val="clear" w:color="auto" w:fill="FDFDFC"/>
          </w:tcPr>
          <w:p>
            <w:pPr>
              <w:spacing w:after="0"/>
              <w:rPr>
                <w:sz w:val="13"/>
                <w:szCs w:val="13"/>
                <w:color w:val="auto"/>
              </w:rPr>
            </w:pPr>
          </w:p>
        </w:tc>
        <w:tc>
          <w:tcPr>
            <w:tcW w:w="120" w:type="dxa"/>
            <w:vAlign w:val="bottom"/>
            <w:shd w:val="clear" w:color="auto" w:fill="FDFDFC"/>
          </w:tcPr>
          <w:p>
            <w:pPr>
              <w:spacing w:after="0"/>
              <w:rPr>
                <w:sz w:val="13"/>
                <w:szCs w:val="13"/>
                <w:color w:val="auto"/>
              </w:rPr>
            </w:pPr>
          </w:p>
        </w:tc>
        <w:tc>
          <w:tcPr>
            <w:tcW w:w="1640" w:type="dxa"/>
            <w:vAlign w:val="bottom"/>
            <w:shd w:val="clear" w:color="auto" w:fill="FDFDFC"/>
          </w:tcPr>
          <w:p>
            <w:pPr>
              <w:jc w:val="center"/>
              <w:ind w:right="55"/>
              <w:spacing w:after="0" w:line="156" w:lineRule="exact"/>
              <w:rPr>
                <w:sz w:val="20"/>
                <w:szCs w:val="20"/>
                <w:color w:val="auto"/>
              </w:rPr>
            </w:pPr>
            <w:r>
              <w:rPr>
                <w:rFonts w:ascii="Times New Roman" w:cs="Times New Roman" w:eastAsia="Times New Roman" w:hAnsi="Times New Roman"/>
                <w:sz w:val="15"/>
                <w:szCs w:val="15"/>
                <w:b w:val="1"/>
                <w:bCs w:val="1"/>
                <w:color w:val="231F20"/>
              </w:rPr>
              <w:t>for the Year Ended</w:t>
            </w:r>
          </w:p>
        </w:tc>
        <w:tc>
          <w:tcPr>
            <w:tcW w:w="180" w:type="dxa"/>
            <w:vAlign w:val="bottom"/>
            <w:shd w:val="clear" w:color="auto" w:fill="FDFDFC"/>
          </w:tcPr>
          <w:p>
            <w:pPr>
              <w:spacing w:after="0"/>
              <w:rPr>
                <w:sz w:val="13"/>
                <w:szCs w:val="13"/>
                <w:color w:val="auto"/>
              </w:rPr>
            </w:pPr>
          </w:p>
        </w:tc>
        <w:tc>
          <w:tcPr>
            <w:tcW w:w="140" w:type="dxa"/>
            <w:vAlign w:val="bottom"/>
            <w:shd w:val="clear" w:color="auto" w:fill="FDFDFC"/>
          </w:tcPr>
          <w:p>
            <w:pPr>
              <w:spacing w:after="0"/>
              <w:rPr>
                <w:sz w:val="13"/>
                <w:szCs w:val="13"/>
                <w:color w:val="auto"/>
              </w:rPr>
            </w:pPr>
          </w:p>
        </w:tc>
        <w:tc>
          <w:tcPr>
            <w:tcW w:w="1640" w:type="dxa"/>
            <w:vAlign w:val="bottom"/>
            <w:shd w:val="clear" w:color="auto" w:fill="FDFDFC"/>
          </w:tcPr>
          <w:p>
            <w:pPr>
              <w:jc w:val="center"/>
              <w:ind w:right="55"/>
              <w:spacing w:after="0" w:line="156" w:lineRule="exact"/>
              <w:rPr>
                <w:sz w:val="20"/>
                <w:szCs w:val="20"/>
                <w:color w:val="auto"/>
              </w:rPr>
            </w:pPr>
            <w:r>
              <w:rPr>
                <w:rFonts w:ascii="Times New Roman" w:cs="Times New Roman" w:eastAsia="Times New Roman" w:hAnsi="Times New Roman"/>
                <w:sz w:val="15"/>
                <w:szCs w:val="15"/>
                <w:b w:val="1"/>
                <w:bCs w:val="1"/>
                <w:color w:val="231F20"/>
              </w:rPr>
              <w:t>for the Year Ended</w:t>
            </w:r>
          </w:p>
        </w:tc>
        <w:tc>
          <w:tcPr>
            <w:tcW w:w="80" w:type="dxa"/>
            <w:vAlign w:val="bottom"/>
            <w:shd w:val="clear" w:color="auto" w:fill="FDFDFC"/>
          </w:tcPr>
          <w:p>
            <w:pPr>
              <w:spacing w:after="0"/>
              <w:rPr>
                <w:sz w:val="13"/>
                <w:szCs w:val="13"/>
                <w:color w:val="auto"/>
              </w:rPr>
            </w:pPr>
          </w:p>
        </w:tc>
      </w:tr>
      <w:tr>
        <w:trPr>
          <w:trHeight w:val="174"/>
        </w:trPr>
        <w:tc>
          <w:tcPr>
            <w:tcW w:w="4240" w:type="dxa"/>
            <w:vAlign w:val="bottom"/>
            <w:shd w:val="clear" w:color="auto" w:fill="FDFDFC"/>
          </w:tcPr>
          <w:p>
            <w:pPr>
              <w:spacing w:after="0"/>
              <w:rPr>
                <w:sz w:val="15"/>
                <w:szCs w:val="15"/>
                <w:color w:val="auto"/>
              </w:rPr>
            </w:pPr>
          </w:p>
        </w:tc>
        <w:tc>
          <w:tcPr>
            <w:tcW w:w="120" w:type="dxa"/>
            <w:vAlign w:val="bottom"/>
            <w:shd w:val="clear" w:color="auto" w:fill="FDFDFC"/>
          </w:tcPr>
          <w:p>
            <w:pPr>
              <w:spacing w:after="0"/>
              <w:rPr>
                <w:sz w:val="15"/>
                <w:szCs w:val="15"/>
                <w:color w:val="auto"/>
              </w:rPr>
            </w:pPr>
          </w:p>
        </w:tc>
        <w:tc>
          <w:tcPr>
            <w:tcW w:w="120" w:type="dxa"/>
            <w:vAlign w:val="bottom"/>
            <w:shd w:val="clear" w:color="auto" w:fill="FDFDFC"/>
          </w:tcPr>
          <w:p>
            <w:pPr>
              <w:spacing w:after="0"/>
              <w:rPr>
                <w:sz w:val="15"/>
                <w:szCs w:val="15"/>
                <w:color w:val="auto"/>
              </w:rPr>
            </w:pPr>
          </w:p>
        </w:tc>
        <w:tc>
          <w:tcPr>
            <w:tcW w:w="1640" w:type="dxa"/>
            <w:vAlign w:val="bottom"/>
            <w:shd w:val="clear" w:color="auto" w:fill="FDFDFC"/>
          </w:tcPr>
          <w:p>
            <w:pPr>
              <w:jc w:val="center"/>
              <w:ind w:right="55"/>
              <w:spacing w:after="0"/>
              <w:rPr>
                <w:sz w:val="20"/>
                <w:szCs w:val="20"/>
                <w:color w:val="auto"/>
              </w:rPr>
            </w:pPr>
            <w:r>
              <w:rPr>
                <w:rFonts w:ascii="Times New Roman" w:cs="Times New Roman" w:eastAsia="Times New Roman" w:hAnsi="Times New Roman"/>
                <w:sz w:val="15"/>
                <w:szCs w:val="15"/>
                <w:b w:val="1"/>
                <w:bCs w:val="1"/>
                <w:color w:val="231F20"/>
              </w:rPr>
              <w:t>December 31, 2024 on</w:t>
            </w:r>
          </w:p>
        </w:tc>
        <w:tc>
          <w:tcPr>
            <w:tcW w:w="180" w:type="dxa"/>
            <w:vAlign w:val="bottom"/>
            <w:shd w:val="clear" w:color="auto" w:fill="FDFDFC"/>
          </w:tcPr>
          <w:p>
            <w:pPr>
              <w:spacing w:after="0"/>
              <w:rPr>
                <w:sz w:val="15"/>
                <w:szCs w:val="15"/>
                <w:color w:val="auto"/>
              </w:rPr>
            </w:pPr>
          </w:p>
        </w:tc>
        <w:tc>
          <w:tcPr>
            <w:tcW w:w="140" w:type="dxa"/>
            <w:vAlign w:val="bottom"/>
            <w:shd w:val="clear" w:color="auto" w:fill="FDFDFC"/>
          </w:tcPr>
          <w:p>
            <w:pPr>
              <w:spacing w:after="0"/>
              <w:rPr>
                <w:sz w:val="15"/>
                <w:szCs w:val="15"/>
                <w:color w:val="auto"/>
              </w:rPr>
            </w:pPr>
          </w:p>
        </w:tc>
        <w:tc>
          <w:tcPr>
            <w:tcW w:w="1640" w:type="dxa"/>
            <w:vAlign w:val="bottom"/>
            <w:shd w:val="clear" w:color="auto" w:fill="FDFDFC"/>
          </w:tcPr>
          <w:p>
            <w:pPr>
              <w:jc w:val="center"/>
              <w:ind w:right="55"/>
              <w:spacing w:after="0"/>
              <w:rPr>
                <w:sz w:val="20"/>
                <w:szCs w:val="20"/>
                <w:color w:val="auto"/>
              </w:rPr>
            </w:pPr>
            <w:r>
              <w:rPr>
                <w:rFonts w:ascii="Times New Roman" w:cs="Times New Roman" w:eastAsia="Times New Roman" w:hAnsi="Times New Roman"/>
                <w:sz w:val="15"/>
                <w:szCs w:val="15"/>
                <w:b w:val="1"/>
                <w:bCs w:val="1"/>
                <w:color w:val="231F20"/>
              </w:rPr>
              <w:t>December 31, 2023 on</w:t>
            </w:r>
          </w:p>
        </w:tc>
        <w:tc>
          <w:tcPr>
            <w:tcW w:w="80" w:type="dxa"/>
            <w:vAlign w:val="bottom"/>
            <w:shd w:val="clear" w:color="auto" w:fill="FDFDFC"/>
          </w:tcPr>
          <w:p>
            <w:pPr>
              <w:spacing w:after="0"/>
              <w:rPr>
                <w:sz w:val="15"/>
                <w:szCs w:val="15"/>
                <w:color w:val="auto"/>
              </w:rPr>
            </w:pPr>
          </w:p>
        </w:tc>
      </w:tr>
      <w:tr>
        <w:trPr>
          <w:trHeight w:val="174"/>
        </w:trPr>
        <w:tc>
          <w:tcPr>
            <w:tcW w:w="4240" w:type="dxa"/>
            <w:vAlign w:val="bottom"/>
            <w:shd w:val="clear" w:color="auto" w:fill="FDFDFC"/>
          </w:tcPr>
          <w:p>
            <w:pPr>
              <w:spacing w:after="0"/>
              <w:rPr>
                <w:sz w:val="15"/>
                <w:szCs w:val="15"/>
                <w:color w:val="auto"/>
              </w:rPr>
            </w:pPr>
          </w:p>
        </w:tc>
        <w:tc>
          <w:tcPr>
            <w:tcW w:w="120" w:type="dxa"/>
            <w:vAlign w:val="bottom"/>
            <w:shd w:val="clear" w:color="auto" w:fill="FDFDFC"/>
          </w:tcPr>
          <w:p>
            <w:pPr>
              <w:spacing w:after="0"/>
              <w:rPr>
                <w:sz w:val="15"/>
                <w:szCs w:val="15"/>
                <w:color w:val="auto"/>
              </w:rPr>
            </w:pPr>
          </w:p>
        </w:tc>
        <w:tc>
          <w:tcPr>
            <w:tcW w:w="120" w:type="dxa"/>
            <w:vAlign w:val="bottom"/>
            <w:shd w:val="clear" w:color="auto" w:fill="FDFDFC"/>
          </w:tcPr>
          <w:p>
            <w:pPr>
              <w:spacing w:after="0"/>
              <w:rPr>
                <w:sz w:val="15"/>
                <w:szCs w:val="15"/>
                <w:color w:val="auto"/>
              </w:rPr>
            </w:pPr>
          </w:p>
        </w:tc>
        <w:tc>
          <w:tcPr>
            <w:tcW w:w="1640" w:type="dxa"/>
            <w:vAlign w:val="bottom"/>
            <w:shd w:val="clear" w:color="auto" w:fill="FDFDFC"/>
          </w:tcPr>
          <w:p>
            <w:pPr>
              <w:jc w:val="center"/>
              <w:ind w:right="55"/>
              <w:spacing w:after="0"/>
              <w:rPr>
                <w:sz w:val="20"/>
                <w:szCs w:val="20"/>
                <w:color w:val="auto"/>
              </w:rPr>
            </w:pPr>
            <w:r>
              <w:rPr>
                <w:rFonts w:ascii="Times New Roman" w:cs="Times New Roman" w:eastAsia="Times New Roman" w:hAnsi="Times New Roman"/>
                <w:sz w:val="15"/>
                <w:szCs w:val="15"/>
                <w:b w:val="1"/>
                <w:bCs w:val="1"/>
                <w:color w:val="231F20"/>
              </w:rPr>
              <w:t>Investments Held at</w:t>
            </w:r>
          </w:p>
        </w:tc>
        <w:tc>
          <w:tcPr>
            <w:tcW w:w="180" w:type="dxa"/>
            <w:vAlign w:val="bottom"/>
            <w:shd w:val="clear" w:color="auto" w:fill="FDFDFC"/>
          </w:tcPr>
          <w:p>
            <w:pPr>
              <w:spacing w:after="0"/>
              <w:rPr>
                <w:sz w:val="15"/>
                <w:szCs w:val="15"/>
                <w:color w:val="auto"/>
              </w:rPr>
            </w:pPr>
          </w:p>
        </w:tc>
        <w:tc>
          <w:tcPr>
            <w:tcW w:w="140" w:type="dxa"/>
            <w:vAlign w:val="bottom"/>
            <w:shd w:val="clear" w:color="auto" w:fill="FDFDFC"/>
          </w:tcPr>
          <w:p>
            <w:pPr>
              <w:spacing w:after="0"/>
              <w:rPr>
                <w:sz w:val="15"/>
                <w:szCs w:val="15"/>
                <w:color w:val="auto"/>
              </w:rPr>
            </w:pPr>
          </w:p>
        </w:tc>
        <w:tc>
          <w:tcPr>
            <w:tcW w:w="1640" w:type="dxa"/>
            <w:vAlign w:val="bottom"/>
            <w:shd w:val="clear" w:color="auto" w:fill="FDFDFC"/>
          </w:tcPr>
          <w:p>
            <w:pPr>
              <w:jc w:val="center"/>
              <w:ind w:right="55"/>
              <w:spacing w:after="0"/>
              <w:rPr>
                <w:sz w:val="20"/>
                <w:szCs w:val="20"/>
                <w:color w:val="auto"/>
              </w:rPr>
            </w:pPr>
            <w:r>
              <w:rPr>
                <w:rFonts w:ascii="Times New Roman" w:cs="Times New Roman" w:eastAsia="Times New Roman" w:hAnsi="Times New Roman"/>
                <w:sz w:val="15"/>
                <w:szCs w:val="15"/>
                <w:b w:val="1"/>
                <w:bCs w:val="1"/>
                <w:color w:val="231F20"/>
              </w:rPr>
              <w:t>Investments Held at</w:t>
            </w:r>
          </w:p>
        </w:tc>
        <w:tc>
          <w:tcPr>
            <w:tcW w:w="80" w:type="dxa"/>
            <w:vAlign w:val="bottom"/>
            <w:shd w:val="clear" w:color="auto" w:fill="FDFDFC"/>
          </w:tcPr>
          <w:p>
            <w:pPr>
              <w:spacing w:after="0"/>
              <w:rPr>
                <w:sz w:val="15"/>
                <w:szCs w:val="15"/>
                <w:color w:val="auto"/>
              </w:rPr>
            </w:pPr>
          </w:p>
        </w:tc>
      </w:tr>
      <w:tr>
        <w:trPr>
          <w:trHeight w:val="191"/>
        </w:trPr>
        <w:tc>
          <w:tcPr>
            <w:tcW w:w="4240" w:type="dxa"/>
            <w:vAlign w:val="bottom"/>
            <w:tcBorders>
              <w:bottom w:val="single" w:sz="8" w:color="D0EBF2"/>
            </w:tcBorders>
            <w:shd w:val="clear" w:color="auto" w:fill="FDFDFC"/>
          </w:tcPr>
          <w:p>
            <w:pPr>
              <w:spacing w:after="0"/>
              <w:rPr>
                <w:sz w:val="16"/>
                <w:szCs w:val="16"/>
                <w:color w:val="auto"/>
              </w:rPr>
            </w:pPr>
          </w:p>
        </w:tc>
        <w:tc>
          <w:tcPr>
            <w:tcW w:w="120" w:type="dxa"/>
            <w:vAlign w:val="bottom"/>
            <w:tcBorders>
              <w:bottom w:val="single" w:sz="8" w:color="D0EBF2"/>
            </w:tcBorders>
            <w:shd w:val="clear" w:color="auto" w:fill="FDFDFC"/>
          </w:tcPr>
          <w:p>
            <w:pPr>
              <w:spacing w:after="0"/>
              <w:rPr>
                <w:sz w:val="16"/>
                <w:szCs w:val="16"/>
                <w:color w:val="auto"/>
              </w:rPr>
            </w:pPr>
          </w:p>
        </w:tc>
        <w:tc>
          <w:tcPr>
            <w:tcW w:w="120" w:type="dxa"/>
            <w:vAlign w:val="bottom"/>
            <w:tcBorders>
              <w:bottom w:val="single" w:sz="8" w:color="231F20"/>
            </w:tcBorders>
            <w:shd w:val="clear" w:color="auto" w:fill="FDFDFC"/>
          </w:tcPr>
          <w:p>
            <w:pPr>
              <w:spacing w:after="0"/>
              <w:rPr>
                <w:sz w:val="16"/>
                <w:szCs w:val="16"/>
                <w:color w:val="auto"/>
              </w:rPr>
            </w:pPr>
          </w:p>
        </w:tc>
        <w:tc>
          <w:tcPr>
            <w:tcW w:w="1640" w:type="dxa"/>
            <w:vAlign w:val="bottom"/>
            <w:tcBorders>
              <w:bottom w:val="single" w:sz="8" w:color="231F20"/>
            </w:tcBorders>
            <w:shd w:val="clear" w:color="auto" w:fill="FDFDFC"/>
          </w:tcPr>
          <w:p>
            <w:pPr>
              <w:jc w:val="center"/>
              <w:ind w:right="55"/>
              <w:spacing w:after="0"/>
              <w:rPr>
                <w:sz w:val="20"/>
                <w:szCs w:val="20"/>
                <w:color w:val="auto"/>
              </w:rPr>
            </w:pPr>
            <w:r>
              <w:rPr>
                <w:rFonts w:ascii="Times New Roman" w:cs="Times New Roman" w:eastAsia="Times New Roman" w:hAnsi="Times New Roman"/>
                <w:sz w:val="15"/>
                <w:szCs w:val="15"/>
                <w:b w:val="1"/>
                <w:bCs w:val="1"/>
                <w:color w:val="231F20"/>
              </w:rPr>
              <w:t>December 31, 2024</w:t>
            </w:r>
          </w:p>
        </w:tc>
        <w:tc>
          <w:tcPr>
            <w:tcW w:w="180" w:type="dxa"/>
            <w:vAlign w:val="bottom"/>
            <w:tcBorders>
              <w:bottom w:val="single" w:sz="8" w:color="D0EBF2"/>
            </w:tcBorders>
            <w:shd w:val="clear" w:color="auto" w:fill="FDFDFC"/>
          </w:tcPr>
          <w:p>
            <w:pPr>
              <w:spacing w:after="0"/>
              <w:rPr>
                <w:sz w:val="16"/>
                <w:szCs w:val="16"/>
                <w:color w:val="auto"/>
              </w:rPr>
            </w:pPr>
          </w:p>
        </w:tc>
        <w:tc>
          <w:tcPr>
            <w:tcW w:w="140" w:type="dxa"/>
            <w:vAlign w:val="bottom"/>
            <w:tcBorders>
              <w:bottom w:val="single" w:sz="8" w:color="231F20"/>
            </w:tcBorders>
            <w:shd w:val="clear" w:color="auto" w:fill="FDFDFC"/>
          </w:tcPr>
          <w:p>
            <w:pPr>
              <w:spacing w:after="0"/>
              <w:rPr>
                <w:sz w:val="16"/>
                <w:szCs w:val="16"/>
                <w:color w:val="auto"/>
              </w:rPr>
            </w:pPr>
          </w:p>
        </w:tc>
        <w:tc>
          <w:tcPr>
            <w:tcW w:w="1640" w:type="dxa"/>
            <w:vAlign w:val="bottom"/>
            <w:tcBorders>
              <w:bottom w:val="single" w:sz="8" w:color="231F20"/>
            </w:tcBorders>
            <w:shd w:val="clear" w:color="auto" w:fill="FDFDFC"/>
          </w:tcPr>
          <w:p>
            <w:pPr>
              <w:jc w:val="center"/>
              <w:ind w:right="55"/>
              <w:spacing w:after="0"/>
              <w:rPr>
                <w:sz w:val="20"/>
                <w:szCs w:val="20"/>
                <w:color w:val="auto"/>
              </w:rPr>
            </w:pPr>
            <w:r>
              <w:rPr>
                <w:rFonts w:ascii="Times New Roman" w:cs="Times New Roman" w:eastAsia="Times New Roman" w:hAnsi="Times New Roman"/>
                <w:sz w:val="15"/>
                <w:szCs w:val="15"/>
                <w:b w:val="1"/>
                <w:bCs w:val="1"/>
                <w:color w:val="231F20"/>
              </w:rPr>
              <w:t>December 31, 2023</w:t>
            </w:r>
          </w:p>
        </w:tc>
        <w:tc>
          <w:tcPr>
            <w:tcW w:w="80" w:type="dxa"/>
            <w:vAlign w:val="bottom"/>
            <w:tcBorders>
              <w:bottom w:val="single" w:sz="8" w:color="D0EBF2"/>
            </w:tcBorders>
            <w:shd w:val="clear" w:color="auto" w:fill="FDFDFC"/>
          </w:tcPr>
          <w:p>
            <w:pPr>
              <w:spacing w:after="0"/>
              <w:rPr>
                <w:sz w:val="16"/>
                <w:szCs w:val="16"/>
                <w:color w:val="auto"/>
              </w:rPr>
            </w:pPr>
          </w:p>
        </w:tc>
      </w:tr>
      <w:tr>
        <w:trPr>
          <w:trHeight w:val="207"/>
        </w:trPr>
        <w:tc>
          <w:tcPr>
            <w:tcW w:w="4240" w:type="dxa"/>
            <w:vAlign w:val="bottom"/>
            <w:shd w:val="clear" w:color="auto" w:fill="D0EBF2"/>
          </w:tcPr>
          <w:p>
            <w:pPr>
              <w:spacing w:after="0" w:line="206" w:lineRule="exact"/>
              <w:rPr>
                <w:sz w:val="20"/>
                <w:szCs w:val="20"/>
                <w:color w:val="auto"/>
              </w:rPr>
            </w:pPr>
            <w:r>
              <w:rPr>
                <w:rFonts w:ascii="Times New Roman" w:cs="Times New Roman" w:eastAsia="Times New Roman" w:hAnsi="Times New Roman"/>
                <w:sz w:val="19"/>
                <w:szCs w:val="19"/>
                <w:color w:val="231F20"/>
              </w:rPr>
              <w:t>First-lien debt investments</w:t>
            </w:r>
          </w:p>
        </w:tc>
        <w:tc>
          <w:tcPr>
            <w:tcW w:w="120" w:type="dxa"/>
            <w:vAlign w:val="bottom"/>
            <w:shd w:val="clear" w:color="auto" w:fill="D0EBF2"/>
          </w:tcPr>
          <w:p>
            <w:pPr>
              <w:spacing w:after="0"/>
              <w:rPr>
                <w:sz w:val="17"/>
                <w:szCs w:val="17"/>
                <w:color w:val="auto"/>
              </w:rPr>
            </w:pPr>
          </w:p>
        </w:tc>
        <w:tc>
          <w:tcPr>
            <w:tcW w:w="120" w:type="dxa"/>
            <w:vAlign w:val="bottom"/>
            <w:shd w:val="clear" w:color="auto" w:fill="D0EBF2"/>
          </w:tcPr>
          <w:p>
            <w:pPr>
              <w:jc w:val="right"/>
              <w:spacing w:after="0"/>
              <w:rPr>
                <w:sz w:val="20"/>
                <w:szCs w:val="20"/>
                <w:color w:val="auto"/>
              </w:rPr>
            </w:pPr>
            <w:r>
              <w:rPr>
                <w:rFonts w:ascii="Times New Roman" w:cs="Times New Roman" w:eastAsia="Times New Roman" w:hAnsi="Times New Roman"/>
                <w:sz w:val="17"/>
                <w:szCs w:val="17"/>
                <w:color w:val="231F20"/>
                <w:w w:val="70"/>
              </w:rPr>
              <w:t>$</w:t>
            </w:r>
          </w:p>
        </w:tc>
        <w:tc>
          <w:tcPr>
            <w:tcW w:w="1640" w:type="dxa"/>
            <w:vAlign w:val="bottom"/>
            <w:shd w:val="clear" w:color="auto" w:fill="D0EBF2"/>
          </w:tcPr>
          <w:p>
            <w:pPr>
              <w:jc w:val="right"/>
              <w:spacing w:after="0" w:line="206" w:lineRule="exact"/>
              <w:rPr>
                <w:sz w:val="20"/>
                <w:szCs w:val="20"/>
                <w:color w:val="auto"/>
              </w:rPr>
            </w:pPr>
            <w:r>
              <w:rPr>
                <w:rFonts w:ascii="Times New Roman" w:cs="Times New Roman" w:eastAsia="Times New Roman" w:hAnsi="Times New Roman"/>
                <w:sz w:val="19"/>
                <w:szCs w:val="19"/>
                <w:color w:val="231F20"/>
              </w:rPr>
              <w:t>(29,217)</w:t>
            </w:r>
          </w:p>
        </w:tc>
        <w:tc>
          <w:tcPr>
            <w:tcW w:w="180" w:type="dxa"/>
            <w:vAlign w:val="bottom"/>
            <w:shd w:val="clear" w:color="auto" w:fill="D0EBF2"/>
          </w:tcPr>
          <w:p>
            <w:pPr>
              <w:spacing w:after="0"/>
              <w:rPr>
                <w:sz w:val="17"/>
                <w:szCs w:val="17"/>
                <w:color w:val="auto"/>
              </w:rPr>
            </w:pPr>
          </w:p>
        </w:tc>
        <w:tc>
          <w:tcPr>
            <w:tcW w:w="140" w:type="dxa"/>
            <w:vAlign w:val="bottom"/>
            <w:shd w:val="clear" w:color="auto" w:fill="D0EBF2"/>
          </w:tcPr>
          <w:p>
            <w:pPr>
              <w:jc w:val="right"/>
              <w:spacing w:after="0" w:line="206" w:lineRule="exact"/>
              <w:rPr>
                <w:sz w:val="20"/>
                <w:szCs w:val="20"/>
                <w:color w:val="auto"/>
              </w:rPr>
            </w:pPr>
            <w:r>
              <w:rPr>
                <w:rFonts w:ascii="Times New Roman" w:cs="Times New Roman" w:eastAsia="Times New Roman" w:hAnsi="Times New Roman"/>
                <w:sz w:val="19"/>
                <w:szCs w:val="19"/>
                <w:color w:val="231F20"/>
                <w:w w:val="83"/>
              </w:rPr>
              <w:t>$</w:t>
            </w:r>
          </w:p>
        </w:tc>
        <w:tc>
          <w:tcPr>
            <w:tcW w:w="1640" w:type="dxa"/>
            <w:vAlign w:val="bottom"/>
            <w:shd w:val="clear" w:color="auto" w:fill="D0EBF2"/>
          </w:tcPr>
          <w:p>
            <w:pPr>
              <w:jc w:val="right"/>
              <w:spacing w:after="0" w:line="206" w:lineRule="exact"/>
              <w:rPr>
                <w:sz w:val="20"/>
                <w:szCs w:val="20"/>
                <w:color w:val="auto"/>
              </w:rPr>
            </w:pPr>
            <w:r>
              <w:rPr>
                <w:rFonts w:ascii="Times New Roman" w:cs="Times New Roman" w:eastAsia="Times New Roman" w:hAnsi="Times New Roman"/>
                <w:sz w:val="19"/>
                <w:szCs w:val="19"/>
                <w:color w:val="231F20"/>
              </w:rPr>
              <w:t>55,032</w:t>
            </w:r>
          </w:p>
        </w:tc>
        <w:tc>
          <w:tcPr>
            <w:tcW w:w="80" w:type="dxa"/>
            <w:vAlign w:val="bottom"/>
            <w:shd w:val="clear" w:color="auto" w:fill="D0EBF2"/>
          </w:tcPr>
          <w:p>
            <w:pPr>
              <w:spacing w:after="0"/>
              <w:rPr>
                <w:sz w:val="17"/>
                <w:szCs w:val="17"/>
                <w:color w:val="auto"/>
              </w:rPr>
            </w:pPr>
          </w:p>
        </w:tc>
      </w:tr>
      <w:tr>
        <w:trPr>
          <w:trHeight w:val="217"/>
        </w:trPr>
        <w:tc>
          <w:tcPr>
            <w:tcW w:w="4240" w:type="dxa"/>
            <w:vAlign w:val="bottom"/>
            <w:shd w:val="clear" w:color="auto" w:fill="FDFDFC"/>
          </w:tcPr>
          <w:p>
            <w:pPr>
              <w:spacing w:after="0" w:line="217" w:lineRule="exact"/>
              <w:rPr>
                <w:sz w:val="20"/>
                <w:szCs w:val="20"/>
                <w:color w:val="auto"/>
              </w:rPr>
            </w:pPr>
            <w:r>
              <w:rPr>
                <w:rFonts w:ascii="Times New Roman" w:cs="Times New Roman" w:eastAsia="Times New Roman" w:hAnsi="Times New Roman"/>
                <w:sz w:val="19"/>
                <w:szCs w:val="19"/>
                <w:color w:val="231F20"/>
              </w:rPr>
              <w:t>Second-lien debt investments</w:t>
            </w:r>
          </w:p>
        </w:tc>
        <w:tc>
          <w:tcPr>
            <w:tcW w:w="120" w:type="dxa"/>
            <w:vAlign w:val="bottom"/>
            <w:shd w:val="clear" w:color="auto" w:fill="FDFDFC"/>
          </w:tcPr>
          <w:p>
            <w:pPr>
              <w:spacing w:after="0"/>
              <w:rPr>
                <w:sz w:val="18"/>
                <w:szCs w:val="18"/>
                <w:color w:val="auto"/>
              </w:rPr>
            </w:pPr>
          </w:p>
        </w:tc>
        <w:tc>
          <w:tcPr>
            <w:tcW w:w="120" w:type="dxa"/>
            <w:vAlign w:val="bottom"/>
            <w:shd w:val="clear" w:color="auto" w:fill="FDFDFC"/>
          </w:tcPr>
          <w:p>
            <w:pPr>
              <w:spacing w:after="0"/>
              <w:rPr>
                <w:sz w:val="18"/>
                <w:szCs w:val="18"/>
                <w:color w:val="auto"/>
              </w:rPr>
            </w:pPr>
          </w:p>
        </w:tc>
        <w:tc>
          <w:tcPr>
            <w:tcW w:w="1640" w:type="dxa"/>
            <w:vAlign w:val="bottom"/>
            <w:shd w:val="clear" w:color="auto" w:fill="FDFDFC"/>
          </w:tcPr>
          <w:p>
            <w:pPr>
              <w:jc w:val="right"/>
              <w:spacing w:after="0" w:line="217" w:lineRule="exact"/>
              <w:rPr>
                <w:sz w:val="20"/>
                <w:szCs w:val="20"/>
                <w:color w:val="auto"/>
              </w:rPr>
            </w:pPr>
            <w:r>
              <w:rPr>
                <w:rFonts w:ascii="Times New Roman" w:cs="Times New Roman" w:eastAsia="Times New Roman" w:hAnsi="Times New Roman"/>
                <w:sz w:val="19"/>
                <w:szCs w:val="19"/>
                <w:color w:val="231F20"/>
              </w:rPr>
              <w:t>(17,656)</w:t>
            </w:r>
          </w:p>
        </w:tc>
        <w:tc>
          <w:tcPr>
            <w:tcW w:w="180" w:type="dxa"/>
            <w:vAlign w:val="bottom"/>
            <w:shd w:val="clear" w:color="auto" w:fill="FDFDFC"/>
          </w:tcPr>
          <w:p>
            <w:pPr>
              <w:spacing w:after="0"/>
              <w:rPr>
                <w:sz w:val="18"/>
                <w:szCs w:val="18"/>
                <w:color w:val="auto"/>
              </w:rPr>
            </w:pPr>
          </w:p>
        </w:tc>
        <w:tc>
          <w:tcPr>
            <w:tcW w:w="140" w:type="dxa"/>
            <w:vAlign w:val="bottom"/>
            <w:shd w:val="clear" w:color="auto" w:fill="FDFDFC"/>
          </w:tcPr>
          <w:p>
            <w:pPr>
              <w:spacing w:after="0"/>
              <w:rPr>
                <w:sz w:val="18"/>
                <w:szCs w:val="18"/>
                <w:color w:val="auto"/>
              </w:rPr>
            </w:pPr>
          </w:p>
        </w:tc>
        <w:tc>
          <w:tcPr>
            <w:tcW w:w="1640" w:type="dxa"/>
            <w:vAlign w:val="bottom"/>
            <w:shd w:val="clear" w:color="auto" w:fill="FDFDFC"/>
          </w:tcPr>
          <w:p>
            <w:pPr>
              <w:jc w:val="right"/>
              <w:spacing w:after="0" w:line="217" w:lineRule="exact"/>
              <w:rPr>
                <w:sz w:val="20"/>
                <w:szCs w:val="20"/>
                <w:color w:val="auto"/>
              </w:rPr>
            </w:pPr>
            <w:r>
              <w:rPr>
                <w:rFonts w:ascii="Times New Roman" w:cs="Times New Roman" w:eastAsia="Times New Roman" w:hAnsi="Times New Roman"/>
                <w:sz w:val="19"/>
                <w:szCs w:val="19"/>
                <w:color w:val="231F20"/>
              </w:rPr>
              <w:t>(13,467)</w:t>
            </w:r>
          </w:p>
        </w:tc>
        <w:tc>
          <w:tcPr>
            <w:tcW w:w="80" w:type="dxa"/>
            <w:vAlign w:val="bottom"/>
            <w:shd w:val="clear" w:color="auto" w:fill="FDFDFC"/>
          </w:tcPr>
          <w:p>
            <w:pPr>
              <w:spacing w:after="0"/>
              <w:rPr>
                <w:sz w:val="18"/>
                <w:szCs w:val="18"/>
                <w:color w:val="auto"/>
              </w:rPr>
            </w:pPr>
          </w:p>
        </w:tc>
      </w:tr>
      <w:tr>
        <w:trPr>
          <w:trHeight w:val="217"/>
        </w:trPr>
        <w:tc>
          <w:tcPr>
            <w:tcW w:w="4240" w:type="dxa"/>
            <w:vAlign w:val="bottom"/>
            <w:shd w:val="clear" w:color="auto" w:fill="D0EBF2"/>
          </w:tcPr>
          <w:p>
            <w:pPr>
              <w:spacing w:after="0" w:line="217" w:lineRule="exact"/>
              <w:rPr>
                <w:sz w:val="20"/>
                <w:szCs w:val="20"/>
                <w:color w:val="auto"/>
              </w:rPr>
            </w:pPr>
            <w:r>
              <w:rPr>
                <w:rFonts w:ascii="Times New Roman" w:cs="Times New Roman" w:eastAsia="Times New Roman" w:hAnsi="Times New Roman"/>
                <w:sz w:val="19"/>
                <w:szCs w:val="19"/>
                <w:color w:val="231F20"/>
              </w:rPr>
              <w:t>Mezzanine debt investments</w:t>
            </w:r>
          </w:p>
        </w:tc>
        <w:tc>
          <w:tcPr>
            <w:tcW w:w="120" w:type="dxa"/>
            <w:vAlign w:val="bottom"/>
            <w:shd w:val="clear" w:color="auto" w:fill="D0EBF2"/>
          </w:tcPr>
          <w:p>
            <w:pPr>
              <w:spacing w:after="0"/>
              <w:rPr>
                <w:sz w:val="18"/>
                <w:szCs w:val="18"/>
                <w:color w:val="auto"/>
              </w:rPr>
            </w:pPr>
          </w:p>
        </w:tc>
        <w:tc>
          <w:tcPr>
            <w:tcW w:w="120" w:type="dxa"/>
            <w:vAlign w:val="bottom"/>
            <w:shd w:val="clear" w:color="auto" w:fill="D0EBF2"/>
          </w:tcPr>
          <w:p>
            <w:pPr>
              <w:spacing w:after="0"/>
              <w:rPr>
                <w:sz w:val="18"/>
                <w:szCs w:val="18"/>
                <w:color w:val="auto"/>
              </w:rPr>
            </w:pPr>
          </w:p>
        </w:tc>
        <w:tc>
          <w:tcPr>
            <w:tcW w:w="1640" w:type="dxa"/>
            <w:vAlign w:val="bottom"/>
            <w:shd w:val="clear" w:color="auto" w:fill="D0EBF2"/>
          </w:tcPr>
          <w:p>
            <w:pPr>
              <w:jc w:val="right"/>
              <w:spacing w:after="0" w:line="217" w:lineRule="exact"/>
              <w:rPr>
                <w:sz w:val="20"/>
                <w:szCs w:val="20"/>
                <w:color w:val="auto"/>
              </w:rPr>
            </w:pPr>
            <w:r>
              <w:rPr>
                <w:rFonts w:ascii="Times New Roman" w:cs="Times New Roman" w:eastAsia="Times New Roman" w:hAnsi="Times New Roman"/>
                <w:sz w:val="19"/>
                <w:szCs w:val="19"/>
                <w:color w:val="231F20"/>
              </w:rPr>
              <w:t>528</w:t>
            </w:r>
          </w:p>
        </w:tc>
        <w:tc>
          <w:tcPr>
            <w:tcW w:w="180" w:type="dxa"/>
            <w:vAlign w:val="bottom"/>
            <w:shd w:val="clear" w:color="auto" w:fill="D0EBF2"/>
          </w:tcPr>
          <w:p>
            <w:pPr>
              <w:spacing w:after="0"/>
              <w:rPr>
                <w:sz w:val="18"/>
                <w:szCs w:val="18"/>
                <w:color w:val="auto"/>
              </w:rPr>
            </w:pPr>
          </w:p>
        </w:tc>
        <w:tc>
          <w:tcPr>
            <w:tcW w:w="140" w:type="dxa"/>
            <w:vAlign w:val="bottom"/>
            <w:shd w:val="clear" w:color="auto" w:fill="D0EBF2"/>
          </w:tcPr>
          <w:p>
            <w:pPr>
              <w:spacing w:after="0"/>
              <w:rPr>
                <w:sz w:val="18"/>
                <w:szCs w:val="18"/>
                <w:color w:val="auto"/>
              </w:rPr>
            </w:pPr>
          </w:p>
        </w:tc>
        <w:tc>
          <w:tcPr>
            <w:tcW w:w="1640" w:type="dxa"/>
            <w:vAlign w:val="bottom"/>
            <w:shd w:val="clear" w:color="auto" w:fill="D0EBF2"/>
          </w:tcPr>
          <w:p>
            <w:pPr>
              <w:jc w:val="right"/>
              <w:spacing w:after="0" w:line="217" w:lineRule="exact"/>
              <w:rPr>
                <w:sz w:val="20"/>
                <w:szCs w:val="20"/>
                <w:color w:val="auto"/>
              </w:rPr>
            </w:pPr>
            <w:r>
              <w:rPr>
                <w:rFonts w:ascii="Times New Roman" w:cs="Times New Roman" w:eastAsia="Times New Roman" w:hAnsi="Times New Roman"/>
                <w:sz w:val="19"/>
                <w:szCs w:val="19"/>
                <w:color w:val="231F20"/>
              </w:rPr>
              <w:t>2,060</w:t>
            </w:r>
          </w:p>
        </w:tc>
        <w:tc>
          <w:tcPr>
            <w:tcW w:w="80" w:type="dxa"/>
            <w:vAlign w:val="bottom"/>
            <w:shd w:val="clear" w:color="auto" w:fill="D0EBF2"/>
          </w:tcPr>
          <w:p>
            <w:pPr>
              <w:spacing w:after="0"/>
              <w:rPr>
                <w:sz w:val="18"/>
                <w:szCs w:val="18"/>
                <w:color w:val="auto"/>
              </w:rPr>
            </w:pPr>
          </w:p>
        </w:tc>
      </w:tr>
      <w:tr>
        <w:trPr>
          <w:trHeight w:val="217"/>
        </w:trPr>
        <w:tc>
          <w:tcPr>
            <w:tcW w:w="4240" w:type="dxa"/>
            <w:vAlign w:val="bottom"/>
            <w:shd w:val="clear" w:color="auto" w:fill="FDFDFC"/>
          </w:tcPr>
          <w:p>
            <w:pPr>
              <w:spacing w:after="0" w:line="217" w:lineRule="exact"/>
              <w:rPr>
                <w:sz w:val="20"/>
                <w:szCs w:val="20"/>
                <w:color w:val="auto"/>
              </w:rPr>
            </w:pPr>
            <w:r>
              <w:rPr>
                <w:rFonts w:ascii="Times New Roman" w:cs="Times New Roman" w:eastAsia="Times New Roman" w:hAnsi="Times New Roman"/>
                <w:sz w:val="19"/>
                <w:szCs w:val="19"/>
                <w:color w:val="231F20"/>
              </w:rPr>
              <w:t>Equity and other investments</w:t>
            </w:r>
          </w:p>
        </w:tc>
        <w:tc>
          <w:tcPr>
            <w:tcW w:w="120" w:type="dxa"/>
            <w:vAlign w:val="bottom"/>
            <w:shd w:val="clear" w:color="auto" w:fill="FDFDFC"/>
          </w:tcPr>
          <w:p>
            <w:pPr>
              <w:spacing w:after="0"/>
              <w:rPr>
                <w:sz w:val="18"/>
                <w:szCs w:val="18"/>
                <w:color w:val="auto"/>
              </w:rPr>
            </w:pPr>
          </w:p>
        </w:tc>
        <w:tc>
          <w:tcPr>
            <w:tcW w:w="120" w:type="dxa"/>
            <w:vAlign w:val="bottom"/>
            <w:shd w:val="clear" w:color="auto" w:fill="FDFDFC"/>
          </w:tcPr>
          <w:p>
            <w:pPr>
              <w:spacing w:after="0"/>
              <w:rPr>
                <w:sz w:val="18"/>
                <w:szCs w:val="18"/>
                <w:color w:val="auto"/>
              </w:rPr>
            </w:pPr>
          </w:p>
        </w:tc>
        <w:tc>
          <w:tcPr>
            <w:tcW w:w="1640" w:type="dxa"/>
            <w:vAlign w:val="bottom"/>
            <w:shd w:val="clear" w:color="auto" w:fill="FDFDFC"/>
          </w:tcPr>
          <w:p>
            <w:pPr>
              <w:jc w:val="right"/>
              <w:spacing w:after="0" w:line="217" w:lineRule="exact"/>
              <w:rPr>
                <w:sz w:val="20"/>
                <w:szCs w:val="20"/>
                <w:color w:val="auto"/>
              </w:rPr>
            </w:pPr>
            <w:r>
              <w:rPr>
                <w:rFonts w:ascii="Times New Roman" w:cs="Times New Roman" w:eastAsia="Times New Roman" w:hAnsi="Times New Roman"/>
                <w:sz w:val="19"/>
                <w:szCs w:val="19"/>
                <w:color w:val="231F20"/>
              </w:rPr>
              <w:t>1,360</w:t>
            </w:r>
          </w:p>
        </w:tc>
        <w:tc>
          <w:tcPr>
            <w:tcW w:w="180" w:type="dxa"/>
            <w:vAlign w:val="bottom"/>
            <w:shd w:val="clear" w:color="auto" w:fill="FDFDFC"/>
          </w:tcPr>
          <w:p>
            <w:pPr>
              <w:spacing w:after="0"/>
              <w:rPr>
                <w:sz w:val="18"/>
                <w:szCs w:val="18"/>
                <w:color w:val="auto"/>
              </w:rPr>
            </w:pPr>
          </w:p>
        </w:tc>
        <w:tc>
          <w:tcPr>
            <w:tcW w:w="140" w:type="dxa"/>
            <w:vAlign w:val="bottom"/>
            <w:shd w:val="clear" w:color="auto" w:fill="FDFDFC"/>
          </w:tcPr>
          <w:p>
            <w:pPr>
              <w:spacing w:after="0"/>
              <w:rPr>
                <w:sz w:val="18"/>
                <w:szCs w:val="18"/>
                <w:color w:val="auto"/>
              </w:rPr>
            </w:pPr>
          </w:p>
        </w:tc>
        <w:tc>
          <w:tcPr>
            <w:tcW w:w="1720" w:type="dxa"/>
            <w:vAlign w:val="bottom"/>
            <w:gridSpan w:val="2"/>
            <w:shd w:val="clear" w:color="auto" w:fill="FDFDFC"/>
          </w:tcPr>
          <w:p>
            <w:pPr>
              <w:jc w:val="right"/>
              <w:ind w:right="20"/>
              <w:spacing w:after="0" w:line="217" w:lineRule="exact"/>
              <w:rPr>
                <w:sz w:val="20"/>
                <w:szCs w:val="20"/>
                <w:color w:val="auto"/>
              </w:rPr>
            </w:pPr>
            <w:r>
              <w:rPr>
                <w:rFonts w:ascii="Times New Roman" w:cs="Times New Roman" w:eastAsia="Times New Roman" w:hAnsi="Times New Roman"/>
                <w:sz w:val="19"/>
                <w:szCs w:val="19"/>
                <w:color w:val="231F20"/>
              </w:rPr>
              <w:t>(12,834)</w:t>
            </w:r>
          </w:p>
        </w:tc>
      </w:tr>
      <w:tr>
        <w:trPr>
          <w:trHeight w:val="207"/>
        </w:trPr>
        <w:tc>
          <w:tcPr>
            <w:tcW w:w="4240" w:type="dxa"/>
            <w:vAlign w:val="bottom"/>
            <w:tcBorders>
              <w:top w:val="single" w:sz="8" w:color="D0EBF2"/>
            </w:tcBorders>
            <w:shd w:val="clear" w:color="auto" w:fill="D0EBF2"/>
          </w:tcPr>
          <w:p>
            <w:pPr>
              <w:ind w:left="180"/>
              <w:spacing w:after="0" w:line="206" w:lineRule="exact"/>
              <w:rPr>
                <w:sz w:val="20"/>
                <w:szCs w:val="20"/>
                <w:color w:val="auto"/>
              </w:rPr>
            </w:pPr>
            <w:r>
              <w:rPr>
                <w:rFonts w:ascii="Times New Roman" w:cs="Times New Roman" w:eastAsia="Times New Roman" w:hAnsi="Times New Roman"/>
                <w:sz w:val="19"/>
                <w:szCs w:val="19"/>
                <w:b w:val="1"/>
                <w:bCs w:val="1"/>
                <w:color w:val="231F20"/>
              </w:rPr>
              <w:t>Total</w:t>
            </w:r>
          </w:p>
        </w:tc>
        <w:tc>
          <w:tcPr>
            <w:tcW w:w="120" w:type="dxa"/>
            <w:vAlign w:val="bottom"/>
            <w:tcBorders>
              <w:top w:val="single" w:sz="8" w:color="D0EBF2"/>
            </w:tcBorders>
            <w:shd w:val="clear" w:color="auto" w:fill="D0EBF2"/>
          </w:tcPr>
          <w:p>
            <w:pPr>
              <w:spacing w:after="0"/>
              <w:rPr>
                <w:sz w:val="17"/>
                <w:szCs w:val="17"/>
                <w:color w:val="auto"/>
              </w:rPr>
            </w:pPr>
          </w:p>
        </w:tc>
        <w:tc>
          <w:tcPr>
            <w:tcW w:w="120" w:type="dxa"/>
            <w:vAlign w:val="bottom"/>
            <w:tcBorders>
              <w:top w:val="single" w:sz="8" w:color="231F20"/>
              <w:bottom w:val="single" w:sz="8" w:color="231F20"/>
            </w:tcBorders>
            <w:shd w:val="clear" w:color="auto" w:fill="D0EBF2"/>
          </w:tcPr>
          <w:p>
            <w:pPr>
              <w:jc w:val="right"/>
              <w:spacing w:after="0"/>
              <w:rPr>
                <w:sz w:val="20"/>
                <w:szCs w:val="20"/>
                <w:color w:val="auto"/>
              </w:rPr>
            </w:pPr>
            <w:r>
              <w:rPr>
                <w:rFonts w:ascii="Times New Roman" w:cs="Times New Roman" w:eastAsia="Times New Roman" w:hAnsi="Times New Roman"/>
                <w:sz w:val="17"/>
                <w:szCs w:val="17"/>
                <w:color w:val="231F20"/>
                <w:w w:val="70"/>
              </w:rPr>
              <w:t>$</w:t>
            </w:r>
          </w:p>
        </w:tc>
        <w:tc>
          <w:tcPr>
            <w:tcW w:w="1640" w:type="dxa"/>
            <w:vAlign w:val="bottom"/>
            <w:tcBorders>
              <w:top w:val="single" w:sz="8" w:color="231F20"/>
              <w:bottom w:val="single" w:sz="8" w:color="231F20"/>
            </w:tcBorders>
            <w:shd w:val="clear" w:color="auto" w:fill="D0EBF2"/>
          </w:tcPr>
          <w:p>
            <w:pPr>
              <w:jc w:val="right"/>
              <w:spacing w:after="0" w:line="207" w:lineRule="exact"/>
              <w:rPr>
                <w:sz w:val="20"/>
                <w:szCs w:val="20"/>
                <w:color w:val="auto"/>
              </w:rPr>
            </w:pPr>
            <w:r>
              <w:rPr>
                <w:rFonts w:ascii="Times New Roman" w:cs="Times New Roman" w:eastAsia="Times New Roman" w:hAnsi="Times New Roman"/>
                <w:sz w:val="19"/>
                <w:szCs w:val="19"/>
                <w:color w:val="231F20"/>
              </w:rPr>
              <w:t>(44,985)</w:t>
            </w:r>
          </w:p>
        </w:tc>
        <w:tc>
          <w:tcPr>
            <w:tcW w:w="180" w:type="dxa"/>
            <w:vAlign w:val="bottom"/>
            <w:tcBorders>
              <w:top w:val="single" w:sz="8" w:color="D0EBF2"/>
            </w:tcBorders>
            <w:shd w:val="clear" w:color="auto" w:fill="D0EBF2"/>
          </w:tcPr>
          <w:p>
            <w:pPr>
              <w:spacing w:after="0"/>
              <w:rPr>
                <w:sz w:val="17"/>
                <w:szCs w:val="17"/>
                <w:color w:val="auto"/>
              </w:rPr>
            </w:pPr>
          </w:p>
        </w:tc>
        <w:tc>
          <w:tcPr>
            <w:tcW w:w="140" w:type="dxa"/>
            <w:vAlign w:val="bottom"/>
            <w:tcBorders>
              <w:top w:val="single" w:sz="8" w:color="231F20"/>
              <w:bottom w:val="single" w:sz="8" w:color="231F20"/>
            </w:tcBorders>
            <w:shd w:val="clear" w:color="auto" w:fill="D0EBF2"/>
          </w:tcPr>
          <w:p>
            <w:pPr>
              <w:jc w:val="right"/>
              <w:spacing w:after="0" w:line="207" w:lineRule="exact"/>
              <w:rPr>
                <w:sz w:val="20"/>
                <w:szCs w:val="20"/>
                <w:color w:val="auto"/>
              </w:rPr>
            </w:pPr>
            <w:r>
              <w:rPr>
                <w:rFonts w:ascii="Times New Roman" w:cs="Times New Roman" w:eastAsia="Times New Roman" w:hAnsi="Times New Roman"/>
                <w:sz w:val="19"/>
                <w:szCs w:val="19"/>
                <w:color w:val="231F20"/>
                <w:w w:val="83"/>
              </w:rPr>
              <w:t>$</w:t>
            </w:r>
          </w:p>
        </w:tc>
        <w:tc>
          <w:tcPr>
            <w:tcW w:w="1640" w:type="dxa"/>
            <w:vAlign w:val="bottom"/>
            <w:tcBorders>
              <w:top w:val="single" w:sz="8" w:color="231F20"/>
              <w:bottom w:val="single" w:sz="8" w:color="231F20"/>
            </w:tcBorders>
            <w:shd w:val="clear" w:color="auto" w:fill="D0EBF2"/>
          </w:tcPr>
          <w:p>
            <w:pPr>
              <w:jc w:val="right"/>
              <w:spacing w:after="0" w:line="207" w:lineRule="exact"/>
              <w:rPr>
                <w:sz w:val="20"/>
                <w:szCs w:val="20"/>
                <w:color w:val="auto"/>
              </w:rPr>
            </w:pPr>
            <w:r>
              <w:rPr>
                <w:rFonts w:ascii="Times New Roman" w:cs="Times New Roman" w:eastAsia="Times New Roman" w:hAnsi="Times New Roman"/>
                <w:sz w:val="19"/>
                <w:szCs w:val="19"/>
                <w:color w:val="231F20"/>
              </w:rPr>
              <w:t>30,791</w:t>
            </w:r>
          </w:p>
        </w:tc>
        <w:tc>
          <w:tcPr>
            <w:tcW w:w="80" w:type="dxa"/>
            <w:vAlign w:val="bottom"/>
            <w:tcBorders>
              <w:top w:val="single" w:sz="8" w:color="D0EBF2"/>
            </w:tcBorders>
            <w:shd w:val="clear" w:color="auto" w:fill="D0EBF2"/>
          </w:tcPr>
          <w:p>
            <w:pPr>
              <w:spacing w:after="0"/>
              <w:rPr>
                <w:sz w:val="17"/>
                <w:szCs w:val="17"/>
                <w:color w:val="auto"/>
              </w:rPr>
            </w:pPr>
          </w:p>
        </w:tc>
      </w:tr>
      <w:tr>
        <w:trPr>
          <w:trHeight w:val="20"/>
        </w:trPr>
        <w:tc>
          <w:tcPr>
            <w:tcW w:w="4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231F20"/>
            </w:tcBorders>
          </w:tcPr>
          <w:p>
            <w:pPr>
              <w:spacing w:after="0" w:line="20" w:lineRule="exact"/>
              <w:rPr>
                <w:sz w:val="1"/>
                <w:szCs w:val="1"/>
                <w:color w:val="auto"/>
              </w:rPr>
            </w:pPr>
          </w:p>
        </w:tc>
        <w:tc>
          <w:tcPr>
            <w:tcW w:w="1640" w:type="dxa"/>
            <w:vAlign w:val="bottom"/>
            <w:tcBorders>
              <w:bottom w:val="single" w:sz="8" w:color="231F20"/>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231F20"/>
            </w:tcBorders>
          </w:tcPr>
          <w:p>
            <w:pPr>
              <w:spacing w:after="0" w:line="20" w:lineRule="exact"/>
              <w:rPr>
                <w:sz w:val="1"/>
                <w:szCs w:val="1"/>
                <w:color w:val="auto"/>
              </w:rPr>
            </w:pPr>
          </w:p>
        </w:tc>
        <w:tc>
          <w:tcPr>
            <w:tcW w:w="1640" w:type="dxa"/>
            <w:vAlign w:val="bottom"/>
            <w:tcBorders>
              <w:bottom w:val="single" w:sz="8" w:color="231F20"/>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41" w:lineRule="exact"/>
        <w:rPr>
          <w:sz w:val="20"/>
          <w:szCs w:val="20"/>
          <w:color w:val="auto"/>
        </w:rPr>
      </w:pPr>
    </w:p>
    <w:p>
      <w:pPr>
        <w:ind w:right="80" w:firstLine="231"/>
        <w:spacing w:after="0" w:line="257" w:lineRule="auto"/>
        <w:rPr>
          <w:sz w:val="20"/>
          <w:szCs w:val="20"/>
          <w:color w:val="auto"/>
        </w:rPr>
      </w:pPr>
      <w:r>
        <w:rPr>
          <w:rFonts w:ascii="Times New Roman" w:cs="Times New Roman" w:eastAsia="Times New Roman" w:hAnsi="Times New Roman"/>
          <w:sz w:val="19"/>
          <w:szCs w:val="19"/>
          <w:color w:val="231F20"/>
        </w:rPr>
        <w:t>The following tables present the fair value of Level 3 Investments and the significant unobservable inputs used in the valuations as of December 31, 2024 and December 31, 2023. The tables are not intended to be all-inclusive, but instead capture the significant unobservable inputs relevant to the Company’s determination of fair values.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240" w:type="dxa"/>
            <w:vAlign w:val="bottom"/>
            <w:tcBorders>
              <w:bottom w:val="single" w:sz="8" w:color="FDFDFC"/>
            </w:tcBorders>
            <w:shd w:val="clear" w:color="auto" w:fill="FDFDFC"/>
          </w:tcPr>
          <w:p>
            <w:pPr>
              <w:spacing w:after="0"/>
              <w:rPr>
                <w:sz w:val="15"/>
                <w:szCs w:val="15"/>
                <w:color w:val="auto"/>
              </w:rPr>
            </w:pPr>
          </w:p>
        </w:tc>
        <w:tc>
          <w:tcPr>
            <w:tcW w:w="20" w:type="dxa"/>
            <w:vAlign w:val="bottom"/>
            <w:tcBorders>
              <w:bottom w:val="single" w:sz="8" w:color="FDFDFC"/>
            </w:tcBorders>
            <w:shd w:val="clear" w:color="auto" w:fill="FDFDFC"/>
          </w:tcPr>
          <w:p>
            <w:pPr>
              <w:spacing w:after="0"/>
              <w:rPr>
                <w:sz w:val="15"/>
                <w:szCs w:val="15"/>
                <w:color w:val="auto"/>
              </w:rPr>
            </w:pPr>
          </w:p>
        </w:tc>
        <w:tc>
          <w:tcPr>
            <w:tcW w:w="80" w:type="dxa"/>
            <w:vAlign w:val="bottom"/>
            <w:tcBorders>
              <w:bottom w:val="single" w:sz="8" w:color="231F20"/>
            </w:tcBorders>
            <w:shd w:val="clear" w:color="auto" w:fill="FDFDFC"/>
          </w:tcPr>
          <w:p>
            <w:pPr>
              <w:spacing w:after="0"/>
              <w:rPr>
                <w:sz w:val="15"/>
                <w:szCs w:val="15"/>
                <w:color w:val="auto"/>
              </w:rPr>
            </w:pPr>
          </w:p>
        </w:tc>
        <w:tc>
          <w:tcPr>
            <w:tcW w:w="840" w:type="dxa"/>
            <w:vAlign w:val="bottom"/>
            <w:tcBorders>
              <w:bottom w:val="single" w:sz="8" w:color="231F20"/>
            </w:tcBorders>
            <w:shd w:val="clear" w:color="auto" w:fill="FDFDFC"/>
          </w:tcPr>
          <w:p>
            <w:pPr>
              <w:spacing w:after="0"/>
              <w:rPr>
                <w:sz w:val="15"/>
                <w:szCs w:val="15"/>
                <w:color w:val="auto"/>
              </w:rPr>
            </w:pPr>
          </w:p>
        </w:tc>
        <w:tc>
          <w:tcPr>
            <w:tcW w:w="100" w:type="dxa"/>
            <w:vAlign w:val="bottom"/>
            <w:tcBorders>
              <w:bottom w:val="single" w:sz="8" w:color="231F20"/>
            </w:tcBorders>
            <w:shd w:val="clear" w:color="auto" w:fill="FDFDFC"/>
          </w:tcPr>
          <w:p>
            <w:pPr>
              <w:spacing w:after="0"/>
              <w:rPr>
                <w:sz w:val="15"/>
                <w:szCs w:val="15"/>
                <w:color w:val="auto"/>
              </w:rPr>
            </w:pPr>
          </w:p>
        </w:tc>
        <w:tc>
          <w:tcPr>
            <w:tcW w:w="100" w:type="dxa"/>
            <w:vAlign w:val="bottom"/>
            <w:tcBorders>
              <w:bottom w:val="single" w:sz="8" w:color="231F20"/>
            </w:tcBorders>
            <w:shd w:val="clear" w:color="auto" w:fill="FDFDFC"/>
          </w:tcPr>
          <w:p>
            <w:pPr>
              <w:spacing w:after="0"/>
              <w:rPr>
                <w:sz w:val="15"/>
                <w:szCs w:val="15"/>
                <w:color w:val="auto"/>
              </w:rPr>
            </w:pPr>
          </w:p>
        </w:tc>
        <w:tc>
          <w:tcPr>
            <w:tcW w:w="20" w:type="dxa"/>
            <w:vAlign w:val="bottom"/>
            <w:tcBorders>
              <w:bottom w:val="single" w:sz="8" w:color="231F20"/>
            </w:tcBorders>
            <w:shd w:val="clear" w:color="auto" w:fill="FDFDFC"/>
          </w:tcPr>
          <w:p>
            <w:pPr>
              <w:spacing w:after="0"/>
              <w:rPr>
                <w:sz w:val="15"/>
                <w:szCs w:val="15"/>
                <w:color w:val="auto"/>
              </w:rPr>
            </w:pPr>
          </w:p>
        </w:tc>
        <w:tc>
          <w:tcPr>
            <w:tcW w:w="1500" w:type="dxa"/>
            <w:vAlign w:val="bottom"/>
            <w:tcBorders>
              <w:bottom w:val="single" w:sz="8" w:color="231F20"/>
            </w:tcBorders>
            <w:shd w:val="clear" w:color="auto" w:fill="FDFDFC"/>
          </w:tcPr>
          <w:p>
            <w:pPr>
              <w:spacing w:after="0"/>
              <w:rPr>
                <w:sz w:val="15"/>
                <w:szCs w:val="15"/>
                <w:color w:val="auto"/>
              </w:rPr>
            </w:pPr>
          </w:p>
        </w:tc>
        <w:tc>
          <w:tcPr>
            <w:tcW w:w="120" w:type="dxa"/>
            <w:vAlign w:val="bottom"/>
            <w:tcBorders>
              <w:bottom w:val="single" w:sz="8" w:color="231F20"/>
            </w:tcBorders>
            <w:shd w:val="clear" w:color="auto" w:fill="FDFDFC"/>
          </w:tcPr>
          <w:p>
            <w:pPr>
              <w:spacing w:after="0"/>
              <w:rPr>
                <w:sz w:val="15"/>
                <w:szCs w:val="15"/>
                <w:color w:val="auto"/>
              </w:rPr>
            </w:pPr>
          </w:p>
        </w:tc>
        <w:tc>
          <w:tcPr>
            <w:tcW w:w="20" w:type="dxa"/>
            <w:vAlign w:val="bottom"/>
            <w:tcBorders>
              <w:bottom w:val="single" w:sz="8" w:color="231F20"/>
            </w:tcBorders>
            <w:shd w:val="clear" w:color="auto" w:fill="FDFDFC"/>
          </w:tcPr>
          <w:p>
            <w:pPr>
              <w:spacing w:after="0"/>
              <w:rPr>
                <w:sz w:val="15"/>
                <w:szCs w:val="15"/>
                <w:color w:val="auto"/>
              </w:rPr>
            </w:pPr>
          </w:p>
        </w:tc>
        <w:tc>
          <w:tcPr>
            <w:tcW w:w="3440" w:type="dxa"/>
            <w:vAlign w:val="bottom"/>
            <w:tcBorders>
              <w:bottom w:val="single" w:sz="8" w:color="231F20"/>
            </w:tcBorders>
            <w:gridSpan w:val="4"/>
            <w:shd w:val="clear" w:color="auto" w:fill="FDFDFC"/>
          </w:tcPr>
          <w:p>
            <w:pPr>
              <w:ind w:left="560"/>
              <w:spacing w:after="0"/>
              <w:rPr>
                <w:sz w:val="20"/>
                <w:szCs w:val="20"/>
                <w:color w:val="auto"/>
              </w:rPr>
            </w:pPr>
            <w:r>
              <w:rPr>
                <w:rFonts w:ascii="Times New Roman" w:cs="Times New Roman" w:eastAsia="Times New Roman" w:hAnsi="Times New Roman"/>
                <w:sz w:val="15"/>
                <w:szCs w:val="15"/>
                <w:b w:val="1"/>
                <w:bCs w:val="1"/>
                <w:color w:val="231F20"/>
              </w:rPr>
              <w:t>December 31, 2024</w:t>
            </w:r>
          </w:p>
        </w:tc>
        <w:tc>
          <w:tcPr>
            <w:tcW w:w="100" w:type="dxa"/>
            <w:vAlign w:val="bottom"/>
            <w:tcBorders>
              <w:bottom w:val="single" w:sz="8" w:color="231F20"/>
            </w:tcBorders>
            <w:shd w:val="clear" w:color="auto" w:fill="FDFDFC"/>
          </w:tcPr>
          <w:p>
            <w:pPr>
              <w:spacing w:after="0"/>
              <w:rPr>
                <w:sz w:val="15"/>
                <w:szCs w:val="15"/>
                <w:color w:val="auto"/>
              </w:rPr>
            </w:pPr>
          </w:p>
        </w:tc>
        <w:tc>
          <w:tcPr>
            <w:tcW w:w="20" w:type="dxa"/>
            <w:vAlign w:val="bottom"/>
            <w:tcBorders>
              <w:bottom w:val="single" w:sz="8" w:color="231F20"/>
            </w:tcBorders>
            <w:shd w:val="clear" w:color="auto" w:fill="FDFDFC"/>
          </w:tcPr>
          <w:p>
            <w:pPr>
              <w:spacing w:after="0"/>
              <w:rPr>
                <w:sz w:val="15"/>
                <w:szCs w:val="15"/>
                <w:color w:val="auto"/>
              </w:rPr>
            </w:pPr>
          </w:p>
        </w:tc>
        <w:tc>
          <w:tcPr>
            <w:tcW w:w="1600" w:type="dxa"/>
            <w:vAlign w:val="bottom"/>
            <w:tcBorders>
              <w:bottom w:val="single" w:sz="8" w:color="231F20"/>
            </w:tcBorders>
            <w:shd w:val="clear" w:color="auto" w:fill="FDFDFC"/>
          </w:tcPr>
          <w:p>
            <w:pPr>
              <w:spacing w:after="0"/>
              <w:rPr>
                <w:sz w:val="15"/>
                <w:szCs w:val="15"/>
                <w:color w:val="auto"/>
              </w:rPr>
            </w:pPr>
          </w:p>
        </w:tc>
        <w:tc>
          <w:tcPr>
            <w:tcW w:w="0" w:type="dxa"/>
            <w:vAlign w:val="bottom"/>
          </w:tcPr>
          <w:p>
            <w:pPr>
              <w:spacing w:after="0"/>
              <w:rPr>
                <w:sz w:val="1"/>
                <w:szCs w:val="1"/>
                <w:color w:val="auto"/>
              </w:rPr>
            </w:pPr>
          </w:p>
        </w:tc>
      </w:tr>
      <w:tr>
        <w:trPr>
          <w:trHeight w:val="146"/>
        </w:trPr>
        <w:tc>
          <w:tcPr>
            <w:tcW w:w="2240" w:type="dxa"/>
            <w:vAlign w:val="bottom"/>
            <w:shd w:val="clear" w:color="auto" w:fill="FDFDFC"/>
          </w:tcPr>
          <w:p>
            <w:pPr>
              <w:spacing w:after="0"/>
              <w:rPr>
                <w:sz w:val="12"/>
                <w:szCs w:val="12"/>
                <w:color w:val="auto"/>
              </w:rPr>
            </w:pPr>
          </w:p>
        </w:tc>
        <w:tc>
          <w:tcPr>
            <w:tcW w:w="20" w:type="dxa"/>
            <w:vAlign w:val="bottom"/>
            <w:shd w:val="clear" w:color="auto" w:fill="FDFDFC"/>
          </w:tcPr>
          <w:p>
            <w:pPr>
              <w:spacing w:after="0"/>
              <w:rPr>
                <w:sz w:val="12"/>
                <w:szCs w:val="12"/>
                <w:color w:val="auto"/>
              </w:rPr>
            </w:pPr>
          </w:p>
        </w:tc>
        <w:tc>
          <w:tcPr>
            <w:tcW w:w="80" w:type="dxa"/>
            <w:vAlign w:val="bottom"/>
            <w:shd w:val="clear" w:color="auto" w:fill="FDFDFC"/>
          </w:tcPr>
          <w:p>
            <w:pPr>
              <w:spacing w:after="0"/>
              <w:rPr>
                <w:sz w:val="12"/>
                <w:szCs w:val="12"/>
                <w:color w:val="auto"/>
              </w:rPr>
            </w:pPr>
          </w:p>
        </w:tc>
        <w:tc>
          <w:tcPr>
            <w:tcW w:w="840" w:type="dxa"/>
            <w:vAlign w:val="bottom"/>
            <w:shd w:val="clear" w:color="auto" w:fill="FDFDFC"/>
          </w:tcPr>
          <w:p>
            <w:pPr>
              <w:spacing w:after="0"/>
              <w:rPr>
                <w:sz w:val="12"/>
                <w:szCs w:val="12"/>
                <w:color w:val="auto"/>
              </w:rPr>
            </w:pPr>
          </w:p>
        </w:tc>
        <w:tc>
          <w:tcPr>
            <w:tcW w:w="100" w:type="dxa"/>
            <w:vAlign w:val="bottom"/>
            <w:shd w:val="clear" w:color="auto" w:fill="FDFDFC"/>
          </w:tcPr>
          <w:p>
            <w:pPr>
              <w:spacing w:after="0"/>
              <w:rPr>
                <w:sz w:val="12"/>
                <w:szCs w:val="12"/>
                <w:color w:val="auto"/>
              </w:rPr>
            </w:pPr>
          </w:p>
        </w:tc>
        <w:tc>
          <w:tcPr>
            <w:tcW w:w="100" w:type="dxa"/>
            <w:vAlign w:val="bottom"/>
            <w:shd w:val="clear" w:color="auto" w:fill="FDFDFC"/>
          </w:tcPr>
          <w:p>
            <w:pPr>
              <w:spacing w:after="0"/>
              <w:rPr>
                <w:sz w:val="12"/>
                <w:szCs w:val="12"/>
                <w:color w:val="auto"/>
              </w:rPr>
            </w:pPr>
          </w:p>
        </w:tc>
        <w:tc>
          <w:tcPr>
            <w:tcW w:w="20" w:type="dxa"/>
            <w:vAlign w:val="bottom"/>
            <w:shd w:val="clear" w:color="auto" w:fill="FDFDFC"/>
          </w:tcPr>
          <w:p>
            <w:pPr>
              <w:spacing w:after="0"/>
              <w:rPr>
                <w:sz w:val="12"/>
                <w:szCs w:val="12"/>
                <w:color w:val="auto"/>
              </w:rPr>
            </w:pPr>
          </w:p>
        </w:tc>
        <w:tc>
          <w:tcPr>
            <w:tcW w:w="1500" w:type="dxa"/>
            <w:vAlign w:val="bottom"/>
            <w:vMerge w:val="restart"/>
            <w:shd w:val="clear" w:color="auto" w:fill="FDFDFC"/>
          </w:tcPr>
          <w:p>
            <w:pPr>
              <w:ind w:left="420"/>
              <w:spacing w:after="0"/>
              <w:rPr>
                <w:sz w:val="20"/>
                <w:szCs w:val="20"/>
                <w:color w:val="auto"/>
              </w:rPr>
            </w:pPr>
            <w:r>
              <w:rPr>
                <w:rFonts w:ascii="Times New Roman" w:cs="Times New Roman" w:eastAsia="Times New Roman" w:hAnsi="Times New Roman"/>
                <w:sz w:val="15"/>
                <w:szCs w:val="15"/>
                <w:b w:val="1"/>
                <w:bCs w:val="1"/>
                <w:color w:val="231F20"/>
              </w:rPr>
              <w:t>Valuation</w:t>
            </w:r>
          </w:p>
        </w:tc>
        <w:tc>
          <w:tcPr>
            <w:tcW w:w="120" w:type="dxa"/>
            <w:vAlign w:val="bottom"/>
            <w:shd w:val="clear" w:color="auto" w:fill="FDFDFC"/>
          </w:tcPr>
          <w:p>
            <w:pPr>
              <w:spacing w:after="0"/>
              <w:rPr>
                <w:sz w:val="12"/>
                <w:szCs w:val="12"/>
                <w:color w:val="auto"/>
              </w:rPr>
            </w:pPr>
          </w:p>
        </w:tc>
        <w:tc>
          <w:tcPr>
            <w:tcW w:w="20" w:type="dxa"/>
            <w:vAlign w:val="bottom"/>
            <w:shd w:val="clear" w:color="auto" w:fill="FDFDFC"/>
          </w:tcPr>
          <w:p>
            <w:pPr>
              <w:spacing w:after="0"/>
              <w:rPr>
                <w:sz w:val="12"/>
                <w:szCs w:val="12"/>
                <w:color w:val="auto"/>
              </w:rPr>
            </w:pPr>
          </w:p>
        </w:tc>
        <w:tc>
          <w:tcPr>
            <w:tcW w:w="1500" w:type="dxa"/>
            <w:vAlign w:val="bottom"/>
            <w:vMerge w:val="restart"/>
            <w:shd w:val="clear" w:color="auto" w:fill="FDFDFC"/>
          </w:tcPr>
          <w:p>
            <w:pPr>
              <w:ind w:left="280"/>
              <w:spacing w:after="0"/>
              <w:rPr>
                <w:sz w:val="20"/>
                <w:szCs w:val="20"/>
                <w:color w:val="auto"/>
              </w:rPr>
            </w:pPr>
            <w:r>
              <w:rPr>
                <w:rFonts w:ascii="Times New Roman" w:cs="Times New Roman" w:eastAsia="Times New Roman" w:hAnsi="Times New Roman"/>
                <w:sz w:val="15"/>
                <w:szCs w:val="15"/>
                <w:b w:val="1"/>
                <w:bCs w:val="1"/>
                <w:color w:val="231F20"/>
              </w:rPr>
              <w:t>Unobservable</w:t>
            </w:r>
          </w:p>
        </w:tc>
        <w:tc>
          <w:tcPr>
            <w:tcW w:w="100" w:type="dxa"/>
            <w:vAlign w:val="bottom"/>
            <w:shd w:val="clear" w:color="auto" w:fill="FDFDFC"/>
          </w:tcPr>
          <w:p>
            <w:pPr>
              <w:spacing w:after="0"/>
              <w:rPr>
                <w:sz w:val="12"/>
                <w:szCs w:val="12"/>
                <w:color w:val="auto"/>
              </w:rPr>
            </w:pPr>
          </w:p>
        </w:tc>
        <w:tc>
          <w:tcPr>
            <w:tcW w:w="20" w:type="dxa"/>
            <w:vAlign w:val="bottom"/>
            <w:shd w:val="clear" w:color="auto" w:fill="FDFDFC"/>
          </w:tcPr>
          <w:p>
            <w:pPr>
              <w:spacing w:after="0"/>
              <w:rPr>
                <w:sz w:val="12"/>
                <w:szCs w:val="12"/>
                <w:color w:val="auto"/>
              </w:rPr>
            </w:pPr>
          </w:p>
        </w:tc>
        <w:tc>
          <w:tcPr>
            <w:tcW w:w="1820" w:type="dxa"/>
            <w:vAlign w:val="bottom"/>
            <w:vMerge w:val="restart"/>
            <w:shd w:val="clear" w:color="auto" w:fill="FDFDFC"/>
          </w:tcPr>
          <w:p>
            <w:pPr>
              <w:jc w:val="center"/>
              <w:spacing w:after="0"/>
              <w:rPr>
                <w:sz w:val="20"/>
                <w:szCs w:val="20"/>
                <w:color w:val="auto"/>
              </w:rPr>
            </w:pPr>
            <w:r>
              <w:rPr>
                <w:rFonts w:ascii="Times New Roman" w:cs="Times New Roman" w:eastAsia="Times New Roman" w:hAnsi="Times New Roman"/>
                <w:sz w:val="15"/>
                <w:szCs w:val="15"/>
                <w:b w:val="1"/>
                <w:bCs w:val="1"/>
                <w:color w:val="231F20"/>
              </w:rPr>
              <w:t>Range (Weighted</w:t>
            </w:r>
          </w:p>
        </w:tc>
        <w:tc>
          <w:tcPr>
            <w:tcW w:w="100" w:type="dxa"/>
            <w:vAlign w:val="bottom"/>
            <w:shd w:val="clear" w:color="auto" w:fill="FDFDFC"/>
          </w:tcPr>
          <w:p>
            <w:pPr>
              <w:spacing w:after="0"/>
              <w:rPr>
                <w:sz w:val="12"/>
                <w:szCs w:val="12"/>
                <w:color w:val="auto"/>
              </w:rPr>
            </w:pPr>
          </w:p>
        </w:tc>
        <w:tc>
          <w:tcPr>
            <w:tcW w:w="20" w:type="dxa"/>
            <w:vAlign w:val="bottom"/>
            <w:shd w:val="clear" w:color="auto" w:fill="FDFDFC"/>
          </w:tcPr>
          <w:p>
            <w:pPr>
              <w:spacing w:after="0"/>
              <w:rPr>
                <w:sz w:val="12"/>
                <w:szCs w:val="12"/>
                <w:color w:val="auto"/>
              </w:rPr>
            </w:pPr>
          </w:p>
        </w:tc>
        <w:tc>
          <w:tcPr>
            <w:tcW w:w="1600" w:type="dxa"/>
            <w:vAlign w:val="bottom"/>
            <w:shd w:val="clear" w:color="auto" w:fill="FDFDFC"/>
          </w:tcPr>
          <w:p>
            <w:pPr>
              <w:jc w:val="center"/>
              <w:spacing w:after="0" w:line="146" w:lineRule="exact"/>
              <w:rPr>
                <w:sz w:val="20"/>
                <w:szCs w:val="20"/>
                <w:color w:val="auto"/>
              </w:rPr>
            </w:pPr>
            <w:r>
              <w:rPr>
                <w:rFonts w:ascii="Times New Roman" w:cs="Times New Roman" w:eastAsia="Times New Roman" w:hAnsi="Times New Roman"/>
                <w:sz w:val="15"/>
                <w:szCs w:val="15"/>
                <w:b w:val="1"/>
                <w:bCs w:val="1"/>
                <w:color w:val="231F20"/>
              </w:rPr>
              <w:t>Impact to Valuation</w:t>
            </w:r>
          </w:p>
        </w:tc>
        <w:tc>
          <w:tcPr>
            <w:tcW w:w="0" w:type="dxa"/>
            <w:vAlign w:val="bottom"/>
          </w:tcPr>
          <w:p>
            <w:pPr>
              <w:spacing w:after="0"/>
              <w:rPr>
                <w:sz w:val="1"/>
                <w:szCs w:val="1"/>
                <w:color w:val="auto"/>
              </w:rPr>
            </w:pPr>
          </w:p>
        </w:tc>
      </w:tr>
      <w:tr>
        <w:trPr>
          <w:trHeight w:val="191"/>
        </w:trPr>
        <w:tc>
          <w:tcPr>
            <w:tcW w:w="2240" w:type="dxa"/>
            <w:vAlign w:val="bottom"/>
            <w:shd w:val="clear" w:color="auto" w:fill="FDFDFC"/>
          </w:tcPr>
          <w:p>
            <w:pPr>
              <w:spacing w:after="0"/>
              <w:rPr>
                <w:sz w:val="16"/>
                <w:szCs w:val="16"/>
                <w:color w:val="auto"/>
              </w:rPr>
            </w:pPr>
          </w:p>
        </w:tc>
        <w:tc>
          <w:tcPr>
            <w:tcW w:w="20" w:type="dxa"/>
            <w:vAlign w:val="bottom"/>
            <w:shd w:val="clear" w:color="auto" w:fill="FDFDFC"/>
          </w:tcPr>
          <w:p>
            <w:pPr>
              <w:spacing w:after="0"/>
              <w:rPr>
                <w:sz w:val="16"/>
                <w:szCs w:val="16"/>
                <w:color w:val="auto"/>
              </w:rPr>
            </w:pPr>
          </w:p>
        </w:tc>
        <w:tc>
          <w:tcPr>
            <w:tcW w:w="80" w:type="dxa"/>
            <w:vAlign w:val="bottom"/>
            <w:shd w:val="clear" w:color="auto" w:fill="FDFDFC"/>
          </w:tcPr>
          <w:p>
            <w:pPr>
              <w:spacing w:after="0"/>
              <w:rPr>
                <w:sz w:val="16"/>
                <w:szCs w:val="16"/>
                <w:color w:val="auto"/>
              </w:rPr>
            </w:pPr>
          </w:p>
        </w:tc>
        <w:tc>
          <w:tcPr>
            <w:tcW w:w="840" w:type="dxa"/>
            <w:vAlign w:val="bottom"/>
            <w:shd w:val="clear" w:color="auto" w:fill="FDFDFC"/>
          </w:tcPr>
          <w:p>
            <w:pPr>
              <w:spacing w:after="0"/>
              <w:rPr>
                <w:sz w:val="16"/>
                <w:szCs w:val="16"/>
                <w:color w:val="auto"/>
              </w:rPr>
            </w:pPr>
          </w:p>
        </w:tc>
        <w:tc>
          <w:tcPr>
            <w:tcW w:w="100" w:type="dxa"/>
            <w:vAlign w:val="bottom"/>
            <w:shd w:val="clear" w:color="auto" w:fill="FDFDFC"/>
          </w:tcPr>
          <w:p>
            <w:pPr>
              <w:spacing w:after="0"/>
              <w:rPr>
                <w:sz w:val="16"/>
                <w:szCs w:val="16"/>
                <w:color w:val="auto"/>
              </w:rPr>
            </w:pPr>
          </w:p>
        </w:tc>
        <w:tc>
          <w:tcPr>
            <w:tcW w:w="100" w:type="dxa"/>
            <w:vAlign w:val="bottom"/>
            <w:shd w:val="clear" w:color="auto" w:fill="FDFDFC"/>
          </w:tcPr>
          <w:p>
            <w:pPr>
              <w:spacing w:after="0"/>
              <w:rPr>
                <w:sz w:val="16"/>
                <w:szCs w:val="16"/>
                <w:color w:val="auto"/>
              </w:rPr>
            </w:pPr>
          </w:p>
        </w:tc>
        <w:tc>
          <w:tcPr>
            <w:tcW w:w="20" w:type="dxa"/>
            <w:vAlign w:val="bottom"/>
            <w:shd w:val="clear" w:color="auto" w:fill="FDFDFC"/>
          </w:tcPr>
          <w:p>
            <w:pPr>
              <w:spacing w:after="0"/>
              <w:rPr>
                <w:sz w:val="16"/>
                <w:szCs w:val="16"/>
                <w:color w:val="auto"/>
              </w:rPr>
            </w:pPr>
          </w:p>
        </w:tc>
        <w:tc>
          <w:tcPr>
            <w:tcW w:w="1500" w:type="dxa"/>
            <w:vAlign w:val="bottom"/>
            <w:vMerge w:val="continue"/>
            <w:shd w:val="clear" w:color="auto" w:fill="FDFDFC"/>
          </w:tcPr>
          <w:p>
            <w:pPr>
              <w:spacing w:after="0"/>
              <w:rPr>
                <w:sz w:val="16"/>
                <w:szCs w:val="16"/>
                <w:color w:val="auto"/>
              </w:rPr>
            </w:pPr>
          </w:p>
        </w:tc>
        <w:tc>
          <w:tcPr>
            <w:tcW w:w="120" w:type="dxa"/>
            <w:vAlign w:val="bottom"/>
            <w:shd w:val="clear" w:color="auto" w:fill="FDFDFC"/>
          </w:tcPr>
          <w:p>
            <w:pPr>
              <w:spacing w:after="0"/>
              <w:rPr>
                <w:sz w:val="16"/>
                <w:szCs w:val="16"/>
                <w:color w:val="auto"/>
              </w:rPr>
            </w:pPr>
          </w:p>
        </w:tc>
        <w:tc>
          <w:tcPr>
            <w:tcW w:w="20" w:type="dxa"/>
            <w:vAlign w:val="bottom"/>
            <w:shd w:val="clear" w:color="auto" w:fill="FDFDFC"/>
          </w:tcPr>
          <w:p>
            <w:pPr>
              <w:spacing w:after="0"/>
              <w:rPr>
                <w:sz w:val="16"/>
                <w:szCs w:val="16"/>
                <w:color w:val="auto"/>
              </w:rPr>
            </w:pPr>
          </w:p>
        </w:tc>
        <w:tc>
          <w:tcPr>
            <w:tcW w:w="1500" w:type="dxa"/>
            <w:vAlign w:val="bottom"/>
            <w:vMerge w:val="continue"/>
            <w:shd w:val="clear" w:color="auto" w:fill="FDFDFC"/>
          </w:tcPr>
          <w:p>
            <w:pPr>
              <w:spacing w:after="0"/>
              <w:rPr>
                <w:sz w:val="16"/>
                <w:szCs w:val="16"/>
                <w:color w:val="auto"/>
              </w:rPr>
            </w:pPr>
          </w:p>
        </w:tc>
        <w:tc>
          <w:tcPr>
            <w:tcW w:w="100" w:type="dxa"/>
            <w:vAlign w:val="bottom"/>
            <w:shd w:val="clear" w:color="auto" w:fill="FDFDFC"/>
          </w:tcPr>
          <w:p>
            <w:pPr>
              <w:spacing w:after="0"/>
              <w:rPr>
                <w:sz w:val="16"/>
                <w:szCs w:val="16"/>
                <w:color w:val="auto"/>
              </w:rPr>
            </w:pPr>
          </w:p>
        </w:tc>
        <w:tc>
          <w:tcPr>
            <w:tcW w:w="20" w:type="dxa"/>
            <w:vAlign w:val="bottom"/>
            <w:shd w:val="clear" w:color="auto" w:fill="FDFDFC"/>
          </w:tcPr>
          <w:p>
            <w:pPr>
              <w:spacing w:after="0"/>
              <w:rPr>
                <w:sz w:val="16"/>
                <w:szCs w:val="16"/>
                <w:color w:val="auto"/>
              </w:rPr>
            </w:pPr>
          </w:p>
        </w:tc>
        <w:tc>
          <w:tcPr>
            <w:tcW w:w="1820" w:type="dxa"/>
            <w:vAlign w:val="bottom"/>
            <w:vMerge w:val="continue"/>
            <w:shd w:val="clear" w:color="auto" w:fill="FDFDFC"/>
          </w:tcPr>
          <w:p>
            <w:pPr>
              <w:spacing w:after="0"/>
              <w:rPr>
                <w:sz w:val="16"/>
                <w:szCs w:val="16"/>
                <w:color w:val="auto"/>
              </w:rPr>
            </w:pPr>
          </w:p>
        </w:tc>
        <w:tc>
          <w:tcPr>
            <w:tcW w:w="100" w:type="dxa"/>
            <w:vAlign w:val="bottom"/>
            <w:shd w:val="clear" w:color="auto" w:fill="FDFDFC"/>
          </w:tcPr>
          <w:p>
            <w:pPr>
              <w:spacing w:after="0"/>
              <w:rPr>
                <w:sz w:val="16"/>
                <w:szCs w:val="16"/>
                <w:color w:val="auto"/>
              </w:rPr>
            </w:pPr>
          </w:p>
        </w:tc>
        <w:tc>
          <w:tcPr>
            <w:tcW w:w="20" w:type="dxa"/>
            <w:vAlign w:val="bottom"/>
            <w:shd w:val="clear" w:color="auto" w:fill="FDFDFC"/>
          </w:tcPr>
          <w:p>
            <w:pPr>
              <w:spacing w:after="0"/>
              <w:rPr>
                <w:sz w:val="16"/>
                <w:szCs w:val="16"/>
                <w:color w:val="auto"/>
              </w:rPr>
            </w:pPr>
          </w:p>
        </w:tc>
        <w:tc>
          <w:tcPr>
            <w:tcW w:w="1600" w:type="dxa"/>
            <w:vAlign w:val="bottom"/>
            <w:shd w:val="clear" w:color="auto" w:fill="FDFDFC"/>
          </w:tcPr>
          <w:p>
            <w:pPr>
              <w:jc w:val="center"/>
              <w:spacing w:after="0"/>
              <w:rPr>
                <w:sz w:val="20"/>
                <w:szCs w:val="20"/>
                <w:color w:val="auto"/>
              </w:rPr>
            </w:pPr>
            <w:r>
              <w:rPr>
                <w:rFonts w:ascii="Times New Roman" w:cs="Times New Roman" w:eastAsia="Times New Roman" w:hAnsi="Times New Roman"/>
                <w:sz w:val="15"/>
                <w:szCs w:val="15"/>
                <w:b w:val="1"/>
                <w:bCs w:val="1"/>
                <w:color w:val="231F20"/>
              </w:rPr>
              <w:t>from an</w:t>
            </w:r>
          </w:p>
        </w:tc>
        <w:tc>
          <w:tcPr>
            <w:tcW w:w="0" w:type="dxa"/>
            <w:vAlign w:val="bottom"/>
          </w:tcPr>
          <w:p>
            <w:pPr>
              <w:spacing w:after="0"/>
              <w:rPr>
                <w:sz w:val="1"/>
                <w:szCs w:val="1"/>
                <w:color w:val="auto"/>
              </w:rPr>
            </w:pPr>
          </w:p>
        </w:tc>
      </w:tr>
      <w:tr>
        <w:trPr>
          <w:trHeight w:val="174"/>
        </w:trPr>
        <w:tc>
          <w:tcPr>
            <w:tcW w:w="2240" w:type="dxa"/>
            <w:vAlign w:val="bottom"/>
            <w:tcBorders>
              <w:bottom w:val="single" w:sz="8" w:color="D0EBF2"/>
            </w:tcBorders>
            <w:shd w:val="clear" w:color="auto" w:fill="FDFDFC"/>
          </w:tcPr>
          <w:p>
            <w:pPr>
              <w:spacing w:after="0"/>
              <w:rPr>
                <w:sz w:val="15"/>
                <w:szCs w:val="15"/>
                <w:color w:val="auto"/>
              </w:rPr>
            </w:pPr>
          </w:p>
        </w:tc>
        <w:tc>
          <w:tcPr>
            <w:tcW w:w="20" w:type="dxa"/>
            <w:vAlign w:val="bottom"/>
            <w:tcBorders>
              <w:bottom w:val="single" w:sz="8" w:color="D0EBF2"/>
            </w:tcBorders>
            <w:shd w:val="clear" w:color="auto" w:fill="FDFDFC"/>
          </w:tcPr>
          <w:p>
            <w:pPr>
              <w:spacing w:after="0"/>
              <w:rPr>
                <w:sz w:val="15"/>
                <w:szCs w:val="15"/>
                <w:color w:val="auto"/>
              </w:rPr>
            </w:pPr>
          </w:p>
        </w:tc>
        <w:tc>
          <w:tcPr>
            <w:tcW w:w="80" w:type="dxa"/>
            <w:vAlign w:val="bottom"/>
            <w:tcBorders>
              <w:bottom w:val="single" w:sz="8" w:color="231F20"/>
            </w:tcBorders>
            <w:shd w:val="clear" w:color="auto" w:fill="FDFDFC"/>
          </w:tcPr>
          <w:p>
            <w:pPr>
              <w:spacing w:after="0"/>
              <w:rPr>
                <w:sz w:val="15"/>
                <w:szCs w:val="15"/>
                <w:color w:val="auto"/>
              </w:rPr>
            </w:pPr>
          </w:p>
        </w:tc>
        <w:tc>
          <w:tcPr>
            <w:tcW w:w="840" w:type="dxa"/>
            <w:vAlign w:val="bottom"/>
            <w:tcBorders>
              <w:bottom w:val="single" w:sz="8" w:color="231F20"/>
            </w:tcBorders>
            <w:shd w:val="clear" w:color="auto" w:fill="FDFDFC"/>
          </w:tcPr>
          <w:p>
            <w:pPr>
              <w:jc w:val="right"/>
              <w:ind w:right="57"/>
              <w:spacing w:after="0"/>
              <w:rPr>
                <w:sz w:val="20"/>
                <w:szCs w:val="20"/>
                <w:color w:val="auto"/>
              </w:rPr>
            </w:pPr>
            <w:r>
              <w:rPr>
                <w:rFonts w:ascii="Times New Roman" w:cs="Times New Roman" w:eastAsia="Times New Roman" w:hAnsi="Times New Roman"/>
                <w:sz w:val="15"/>
                <w:szCs w:val="15"/>
                <w:b w:val="1"/>
                <w:bCs w:val="1"/>
                <w:color w:val="231F20"/>
                <w:w w:val="98"/>
              </w:rPr>
              <w:t>Fair Value</w:t>
            </w:r>
          </w:p>
        </w:tc>
        <w:tc>
          <w:tcPr>
            <w:tcW w:w="100" w:type="dxa"/>
            <w:vAlign w:val="bottom"/>
            <w:tcBorders>
              <w:bottom w:val="single" w:sz="8" w:color="D0EBF2"/>
            </w:tcBorders>
            <w:shd w:val="clear" w:color="auto" w:fill="FDFDFC"/>
          </w:tcPr>
          <w:p>
            <w:pPr>
              <w:spacing w:after="0"/>
              <w:rPr>
                <w:sz w:val="15"/>
                <w:szCs w:val="15"/>
                <w:color w:val="auto"/>
              </w:rPr>
            </w:pPr>
          </w:p>
        </w:tc>
        <w:tc>
          <w:tcPr>
            <w:tcW w:w="100" w:type="dxa"/>
            <w:vAlign w:val="bottom"/>
            <w:tcBorders>
              <w:bottom w:val="single" w:sz="8" w:color="D0EBF2"/>
            </w:tcBorders>
            <w:shd w:val="clear" w:color="auto" w:fill="FDFDFC"/>
          </w:tcPr>
          <w:p>
            <w:pPr>
              <w:spacing w:after="0"/>
              <w:rPr>
                <w:sz w:val="15"/>
                <w:szCs w:val="15"/>
                <w:color w:val="auto"/>
              </w:rPr>
            </w:pPr>
          </w:p>
        </w:tc>
        <w:tc>
          <w:tcPr>
            <w:tcW w:w="20" w:type="dxa"/>
            <w:vAlign w:val="bottom"/>
            <w:tcBorders>
              <w:bottom w:val="single" w:sz="8" w:color="D0EBF2"/>
            </w:tcBorders>
            <w:shd w:val="clear" w:color="auto" w:fill="FDFDFC"/>
          </w:tcPr>
          <w:p>
            <w:pPr>
              <w:spacing w:after="0"/>
              <w:rPr>
                <w:sz w:val="15"/>
                <w:szCs w:val="15"/>
                <w:color w:val="auto"/>
              </w:rPr>
            </w:pPr>
          </w:p>
        </w:tc>
        <w:tc>
          <w:tcPr>
            <w:tcW w:w="1500" w:type="dxa"/>
            <w:vAlign w:val="bottom"/>
            <w:tcBorders>
              <w:bottom w:val="single" w:sz="8" w:color="231F20"/>
            </w:tcBorders>
            <w:shd w:val="clear" w:color="auto" w:fill="FDFDFC"/>
          </w:tcPr>
          <w:p>
            <w:pPr>
              <w:ind w:left="400"/>
              <w:spacing w:after="0"/>
              <w:rPr>
                <w:sz w:val="20"/>
                <w:szCs w:val="20"/>
                <w:color w:val="auto"/>
              </w:rPr>
            </w:pPr>
            <w:r>
              <w:rPr>
                <w:rFonts w:ascii="Times New Roman" w:cs="Times New Roman" w:eastAsia="Times New Roman" w:hAnsi="Times New Roman"/>
                <w:sz w:val="15"/>
                <w:szCs w:val="15"/>
                <w:b w:val="1"/>
                <w:bCs w:val="1"/>
                <w:color w:val="231F20"/>
              </w:rPr>
              <w:t>Technique</w:t>
            </w:r>
          </w:p>
        </w:tc>
        <w:tc>
          <w:tcPr>
            <w:tcW w:w="120" w:type="dxa"/>
            <w:vAlign w:val="bottom"/>
            <w:tcBorders>
              <w:bottom w:val="single" w:sz="8" w:color="D0EBF2"/>
            </w:tcBorders>
            <w:shd w:val="clear" w:color="auto" w:fill="FDFDFC"/>
          </w:tcPr>
          <w:p>
            <w:pPr>
              <w:spacing w:after="0"/>
              <w:rPr>
                <w:sz w:val="15"/>
                <w:szCs w:val="15"/>
                <w:color w:val="auto"/>
              </w:rPr>
            </w:pPr>
          </w:p>
        </w:tc>
        <w:tc>
          <w:tcPr>
            <w:tcW w:w="20" w:type="dxa"/>
            <w:vAlign w:val="bottom"/>
            <w:tcBorders>
              <w:bottom w:val="single" w:sz="8" w:color="D0EBF2"/>
            </w:tcBorders>
            <w:shd w:val="clear" w:color="auto" w:fill="FDFDFC"/>
          </w:tcPr>
          <w:p>
            <w:pPr>
              <w:spacing w:after="0"/>
              <w:rPr>
                <w:sz w:val="15"/>
                <w:szCs w:val="15"/>
                <w:color w:val="auto"/>
              </w:rPr>
            </w:pPr>
          </w:p>
        </w:tc>
        <w:tc>
          <w:tcPr>
            <w:tcW w:w="1500" w:type="dxa"/>
            <w:vAlign w:val="bottom"/>
            <w:tcBorders>
              <w:bottom w:val="single" w:sz="8" w:color="231F20"/>
            </w:tcBorders>
            <w:shd w:val="clear" w:color="auto" w:fill="FDFDFC"/>
          </w:tcPr>
          <w:p>
            <w:pPr>
              <w:ind w:left="540"/>
              <w:spacing w:after="0"/>
              <w:rPr>
                <w:sz w:val="20"/>
                <w:szCs w:val="20"/>
                <w:color w:val="auto"/>
              </w:rPr>
            </w:pPr>
            <w:r>
              <w:rPr>
                <w:rFonts w:ascii="Times New Roman" w:cs="Times New Roman" w:eastAsia="Times New Roman" w:hAnsi="Times New Roman"/>
                <w:sz w:val="15"/>
                <w:szCs w:val="15"/>
                <w:b w:val="1"/>
                <w:bCs w:val="1"/>
                <w:color w:val="231F20"/>
              </w:rPr>
              <w:t>Input</w:t>
            </w:r>
          </w:p>
        </w:tc>
        <w:tc>
          <w:tcPr>
            <w:tcW w:w="100" w:type="dxa"/>
            <w:vAlign w:val="bottom"/>
            <w:tcBorders>
              <w:bottom w:val="single" w:sz="8" w:color="D0EBF2"/>
            </w:tcBorders>
            <w:shd w:val="clear" w:color="auto" w:fill="FDFDFC"/>
          </w:tcPr>
          <w:p>
            <w:pPr>
              <w:spacing w:after="0"/>
              <w:rPr>
                <w:sz w:val="15"/>
                <w:szCs w:val="15"/>
                <w:color w:val="auto"/>
              </w:rPr>
            </w:pPr>
          </w:p>
        </w:tc>
        <w:tc>
          <w:tcPr>
            <w:tcW w:w="20" w:type="dxa"/>
            <w:vAlign w:val="bottom"/>
            <w:tcBorders>
              <w:bottom w:val="single" w:sz="8" w:color="D0EBF2"/>
            </w:tcBorders>
            <w:shd w:val="clear" w:color="auto" w:fill="FDFDFC"/>
          </w:tcPr>
          <w:p>
            <w:pPr>
              <w:spacing w:after="0"/>
              <w:rPr>
                <w:sz w:val="15"/>
                <w:szCs w:val="15"/>
                <w:color w:val="auto"/>
              </w:rPr>
            </w:pPr>
          </w:p>
        </w:tc>
        <w:tc>
          <w:tcPr>
            <w:tcW w:w="1820" w:type="dxa"/>
            <w:vAlign w:val="bottom"/>
            <w:tcBorders>
              <w:bottom w:val="single" w:sz="8" w:color="231F20"/>
            </w:tcBorders>
            <w:shd w:val="clear" w:color="auto" w:fill="FDFDFC"/>
          </w:tcPr>
          <w:p>
            <w:pPr>
              <w:jc w:val="center"/>
              <w:spacing w:after="0"/>
              <w:rPr>
                <w:sz w:val="20"/>
                <w:szCs w:val="20"/>
                <w:color w:val="auto"/>
              </w:rPr>
            </w:pPr>
            <w:r>
              <w:rPr>
                <w:rFonts w:ascii="Times New Roman" w:cs="Times New Roman" w:eastAsia="Times New Roman" w:hAnsi="Times New Roman"/>
                <w:sz w:val="15"/>
                <w:szCs w:val="15"/>
                <w:b w:val="1"/>
                <w:bCs w:val="1"/>
                <w:color w:val="231F20"/>
                <w:w w:val="99"/>
              </w:rPr>
              <w:t>Average)</w:t>
            </w:r>
          </w:p>
        </w:tc>
        <w:tc>
          <w:tcPr>
            <w:tcW w:w="100" w:type="dxa"/>
            <w:vAlign w:val="bottom"/>
            <w:tcBorders>
              <w:bottom w:val="single" w:sz="8" w:color="D0EBF2"/>
            </w:tcBorders>
            <w:shd w:val="clear" w:color="auto" w:fill="FDFDFC"/>
          </w:tcPr>
          <w:p>
            <w:pPr>
              <w:spacing w:after="0"/>
              <w:rPr>
                <w:sz w:val="15"/>
                <w:szCs w:val="15"/>
                <w:color w:val="auto"/>
              </w:rPr>
            </w:pPr>
          </w:p>
        </w:tc>
        <w:tc>
          <w:tcPr>
            <w:tcW w:w="20" w:type="dxa"/>
            <w:vAlign w:val="bottom"/>
            <w:tcBorders>
              <w:bottom w:val="single" w:sz="8" w:color="D0EBF2"/>
            </w:tcBorders>
            <w:shd w:val="clear" w:color="auto" w:fill="FDFDFC"/>
          </w:tcPr>
          <w:p>
            <w:pPr>
              <w:spacing w:after="0"/>
              <w:rPr>
                <w:sz w:val="15"/>
                <w:szCs w:val="15"/>
                <w:color w:val="auto"/>
              </w:rPr>
            </w:pPr>
          </w:p>
        </w:tc>
        <w:tc>
          <w:tcPr>
            <w:tcW w:w="1600" w:type="dxa"/>
            <w:vAlign w:val="bottom"/>
            <w:tcBorders>
              <w:bottom w:val="single" w:sz="8" w:color="231F20"/>
            </w:tcBorders>
            <w:shd w:val="clear" w:color="auto" w:fill="FDFDFC"/>
          </w:tcPr>
          <w:p>
            <w:pPr>
              <w:jc w:val="center"/>
              <w:spacing w:after="0"/>
              <w:rPr>
                <w:sz w:val="20"/>
                <w:szCs w:val="20"/>
                <w:color w:val="auto"/>
              </w:rPr>
            </w:pPr>
            <w:r>
              <w:rPr>
                <w:rFonts w:ascii="Times New Roman" w:cs="Times New Roman" w:eastAsia="Times New Roman" w:hAnsi="Times New Roman"/>
                <w:sz w:val="15"/>
                <w:szCs w:val="15"/>
                <w:b w:val="1"/>
                <w:bCs w:val="1"/>
                <w:color w:val="231F20"/>
              </w:rPr>
              <w:t>Increase to Input</w:t>
            </w:r>
          </w:p>
        </w:tc>
        <w:tc>
          <w:tcPr>
            <w:tcW w:w="0" w:type="dxa"/>
            <w:vAlign w:val="bottom"/>
          </w:tcPr>
          <w:p>
            <w:pPr>
              <w:spacing w:after="0"/>
              <w:rPr>
                <w:sz w:val="1"/>
                <w:szCs w:val="1"/>
                <w:color w:val="auto"/>
              </w:rPr>
            </w:pPr>
          </w:p>
        </w:tc>
      </w:tr>
      <w:tr>
        <w:trPr>
          <w:trHeight w:val="185"/>
        </w:trPr>
        <w:tc>
          <w:tcPr>
            <w:tcW w:w="2260" w:type="dxa"/>
            <w:vAlign w:val="bottom"/>
            <w:gridSpan w:val="2"/>
            <w:shd w:val="clear" w:color="auto" w:fill="D0EBF2"/>
          </w:tcPr>
          <w:p>
            <w:pPr>
              <w:spacing w:after="0" w:line="185" w:lineRule="exact"/>
              <w:rPr>
                <w:sz w:val="20"/>
                <w:szCs w:val="20"/>
                <w:color w:val="auto"/>
              </w:rPr>
            </w:pPr>
            <w:r>
              <w:rPr>
                <w:rFonts w:ascii="Times New Roman" w:cs="Times New Roman" w:eastAsia="Times New Roman" w:hAnsi="Times New Roman"/>
                <w:sz w:val="17"/>
                <w:szCs w:val="17"/>
                <w:color w:val="231F20"/>
              </w:rPr>
              <w:t>First-lien debt investments</w:t>
            </w:r>
          </w:p>
        </w:tc>
        <w:tc>
          <w:tcPr>
            <w:tcW w:w="80" w:type="dxa"/>
            <w:vAlign w:val="bottom"/>
            <w:shd w:val="clear" w:color="auto" w:fill="D0EBF2"/>
          </w:tcPr>
          <w:p>
            <w:pPr>
              <w:jc w:val="right"/>
              <w:spacing w:after="0"/>
              <w:rPr>
                <w:sz w:val="20"/>
                <w:szCs w:val="20"/>
                <w:color w:val="auto"/>
              </w:rPr>
            </w:pPr>
            <w:r>
              <w:rPr>
                <w:rFonts w:ascii="Times New Roman" w:cs="Times New Roman" w:eastAsia="Times New Roman" w:hAnsi="Times New Roman"/>
                <w:sz w:val="11"/>
                <w:szCs w:val="11"/>
                <w:color w:val="231F20"/>
                <w:w w:val="71"/>
                <w:shd w:val="clear" w:color="auto" w:fill="D0EBF2"/>
              </w:rPr>
              <w:t>$</w:t>
            </w:r>
          </w:p>
        </w:tc>
        <w:tc>
          <w:tcPr>
            <w:tcW w:w="840" w:type="dxa"/>
            <w:vAlign w:val="bottom"/>
            <w:shd w:val="clear" w:color="auto" w:fill="D0EBF2"/>
          </w:tcPr>
          <w:p>
            <w:pPr>
              <w:jc w:val="right"/>
              <w:spacing w:after="0" w:line="185" w:lineRule="exact"/>
              <w:rPr>
                <w:sz w:val="20"/>
                <w:szCs w:val="20"/>
                <w:color w:val="auto"/>
              </w:rPr>
            </w:pPr>
            <w:r>
              <w:rPr>
                <w:rFonts w:ascii="Times New Roman" w:cs="Times New Roman" w:eastAsia="Times New Roman" w:hAnsi="Times New Roman"/>
                <w:sz w:val="17"/>
                <w:szCs w:val="17"/>
                <w:color w:val="231F20"/>
                <w:shd w:val="clear" w:color="auto" w:fill="D0EBF2"/>
              </w:rPr>
              <w:t>3,287,829</w:t>
            </w:r>
          </w:p>
        </w:tc>
        <w:tc>
          <w:tcPr>
            <w:tcW w:w="100" w:type="dxa"/>
            <w:vAlign w:val="bottom"/>
            <w:shd w:val="clear" w:color="auto" w:fill="D0EBF2"/>
          </w:tcPr>
          <w:p>
            <w:pPr>
              <w:spacing w:after="0"/>
              <w:rPr>
                <w:sz w:val="16"/>
                <w:szCs w:val="16"/>
                <w:color w:val="auto"/>
              </w:rPr>
            </w:pPr>
          </w:p>
        </w:tc>
        <w:tc>
          <w:tcPr>
            <w:tcW w:w="100" w:type="dxa"/>
            <w:vAlign w:val="bottom"/>
            <w:shd w:val="clear" w:color="auto" w:fill="D0EBF2"/>
          </w:tcPr>
          <w:p>
            <w:pPr>
              <w:spacing w:after="0"/>
              <w:rPr>
                <w:sz w:val="16"/>
                <w:szCs w:val="16"/>
                <w:color w:val="auto"/>
              </w:rPr>
            </w:pPr>
          </w:p>
        </w:tc>
        <w:tc>
          <w:tcPr>
            <w:tcW w:w="20" w:type="dxa"/>
            <w:vAlign w:val="bottom"/>
            <w:shd w:val="clear" w:color="auto" w:fill="D0EBF2"/>
          </w:tcPr>
          <w:p>
            <w:pPr>
              <w:spacing w:after="0"/>
              <w:rPr>
                <w:sz w:val="16"/>
                <w:szCs w:val="16"/>
                <w:color w:val="auto"/>
              </w:rPr>
            </w:pPr>
          </w:p>
        </w:tc>
        <w:tc>
          <w:tcPr>
            <w:tcW w:w="1500" w:type="dxa"/>
            <w:vAlign w:val="bottom"/>
            <w:shd w:val="clear" w:color="auto" w:fill="D0EBF2"/>
          </w:tcPr>
          <w:p>
            <w:pPr>
              <w:spacing w:after="0" w:line="185" w:lineRule="exact"/>
              <w:rPr>
                <w:sz w:val="20"/>
                <w:szCs w:val="20"/>
                <w:color w:val="auto"/>
              </w:rPr>
            </w:pPr>
            <w:r>
              <w:rPr>
                <w:rFonts w:ascii="Times New Roman" w:cs="Times New Roman" w:eastAsia="Times New Roman" w:hAnsi="Times New Roman"/>
                <w:sz w:val="16"/>
                <w:szCs w:val="16"/>
                <w:color w:val="231F20"/>
              </w:rPr>
              <w:t xml:space="preserve">Income approach </w:t>
            </w:r>
            <w:r>
              <w:rPr>
                <w:rFonts w:ascii="Times New Roman" w:cs="Times New Roman" w:eastAsia="Times New Roman" w:hAnsi="Times New Roman"/>
                <w:sz w:val="21"/>
                <w:szCs w:val="21"/>
                <w:color w:val="231F20"/>
                <w:vertAlign w:val="superscript"/>
              </w:rPr>
              <w:t>(1)</w:t>
            </w:r>
          </w:p>
        </w:tc>
        <w:tc>
          <w:tcPr>
            <w:tcW w:w="120" w:type="dxa"/>
            <w:vAlign w:val="bottom"/>
            <w:shd w:val="clear" w:color="auto" w:fill="D0EBF2"/>
          </w:tcPr>
          <w:p>
            <w:pPr>
              <w:spacing w:after="0"/>
              <w:rPr>
                <w:sz w:val="16"/>
                <w:szCs w:val="16"/>
                <w:color w:val="auto"/>
              </w:rPr>
            </w:pPr>
          </w:p>
        </w:tc>
        <w:tc>
          <w:tcPr>
            <w:tcW w:w="20" w:type="dxa"/>
            <w:vAlign w:val="bottom"/>
            <w:shd w:val="clear" w:color="auto" w:fill="D0EBF2"/>
          </w:tcPr>
          <w:p>
            <w:pPr>
              <w:spacing w:after="0"/>
              <w:rPr>
                <w:sz w:val="16"/>
                <w:szCs w:val="16"/>
                <w:color w:val="auto"/>
              </w:rPr>
            </w:pPr>
          </w:p>
        </w:tc>
        <w:tc>
          <w:tcPr>
            <w:tcW w:w="1500" w:type="dxa"/>
            <w:vAlign w:val="bottom"/>
            <w:shd w:val="clear" w:color="auto" w:fill="D0EBF2"/>
          </w:tcPr>
          <w:p>
            <w:pPr>
              <w:spacing w:after="0" w:line="185" w:lineRule="exact"/>
              <w:rPr>
                <w:sz w:val="20"/>
                <w:szCs w:val="20"/>
                <w:color w:val="auto"/>
              </w:rPr>
            </w:pPr>
            <w:r>
              <w:rPr>
                <w:rFonts w:ascii="Times New Roman" w:cs="Times New Roman" w:eastAsia="Times New Roman" w:hAnsi="Times New Roman"/>
                <w:sz w:val="17"/>
                <w:szCs w:val="17"/>
                <w:color w:val="231F20"/>
              </w:rPr>
              <w:t>Discount rate</w:t>
            </w:r>
          </w:p>
        </w:tc>
        <w:tc>
          <w:tcPr>
            <w:tcW w:w="100" w:type="dxa"/>
            <w:vAlign w:val="bottom"/>
            <w:shd w:val="clear" w:color="auto" w:fill="D0EBF2"/>
          </w:tcPr>
          <w:p>
            <w:pPr>
              <w:spacing w:after="0"/>
              <w:rPr>
                <w:sz w:val="16"/>
                <w:szCs w:val="16"/>
                <w:color w:val="auto"/>
              </w:rPr>
            </w:pPr>
          </w:p>
        </w:tc>
        <w:tc>
          <w:tcPr>
            <w:tcW w:w="20" w:type="dxa"/>
            <w:vAlign w:val="bottom"/>
            <w:shd w:val="clear" w:color="auto" w:fill="D0EBF2"/>
          </w:tcPr>
          <w:p>
            <w:pPr>
              <w:spacing w:after="0"/>
              <w:rPr>
                <w:sz w:val="16"/>
                <w:szCs w:val="16"/>
                <w:color w:val="auto"/>
              </w:rPr>
            </w:pPr>
          </w:p>
        </w:tc>
        <w:tc>
          <w:tcPr>
            <w:tcW w:w="1820" w:type="dxa"/>
            <w:vAlign w:val="bottom"/>
            <w:shd w:val="clear" w:color="auto" w:fill="D0EBF2"/>
          </w:tcPr>
          <w:p>
            <w:pPr>
              <w:jc w:val="center"/>
              <w:spacing w:after="0" w:line="185" w:lineRule="exact"/>
              <w:rPr>
                <w:sz w:val="20"/>
                <w:szCs w:val="20"/>
                <w:color w:val="auto"/>
              </w:rPr>
            </w:pPr>
            <w:r>
              <w:rPr>
                <w:rFonts w:ascii="Times New Roman" w:cs="Times New Roman" w:eastAsia="Times New Roman" w:hAnsi="Times New Roman"/>
                <w:sz w:val="17"/>
                <w:szCs w:val="17"/>
                <w:color w:val="231F20"/>
                <w:w w:val="99"/>
              </w:rPr>
              <w:t>7.7% — 17.7% (12.1%)</w:t>
            </w:r>
          </w:p>
        </w:tc>
        <w:tc>
          <w:tcPr>
            <w:tcW w:w="100" w:type="dxa"/>
            <w:vAlign w:val="bottom"/>
            <w:shd w:val="clear" w:color="auto" w:fill="D0EBF2"/>
          </w:tcPr>
          <w:p>
            <w:pPr>
              <w:spacing w:after="0"/>
              <w:rPr>
                <w:sz w:val="16"/>
                <w:szCs w:val="16"/>
                <w:color w:val="auto"/>
              </w:rPr>
            </w:pPr>
          </w:p>
        </w:tc>
        <w:tc>
          <w:tcPr>
            <w:tcW w:w="20" w:type="dxa"/>
            <w:vAlign w:val="bottom"/>
            <w:shd w:val="clear" w:color="auto" w:fill="D0EBF2"/>
          </w:tcPr>
          <w:p>
            <w:pPr>
              <w:spacing w:after="0"/>
              <w:rPr>
                <w:sz w:val="16"/>
                <w:szCs w:val="16"/>
                <w:color w:val="auto"/>
              </w:rPr>
            </w:pPr>
          </w:p>
        </w:tc>
        <w:tc>
          <w:tcPr>
            <w:tcW w:w="1600" w:type="dxa"/>
            <w:vAlign w:val="bottom"/>
            <w:shd w:val="clear" w:color="auto" w:fill="D0EBF2"/>
          </w:tcPr>
          <w:p>
            <w:pPr>
              <w:spacing w:after="0" w:line="185" w:lineRule="exact"/>
              <w:rPr>
                <w:sz w:val="20"/>
                <w:szCs w:val="20"/>
                <w:color w:val="auto"/>
              </w:rPr>
            </w:pPr>
            <w:r>
              <w:rPr>
                <w:rFonts w:ascii="Times New Roman" w:cs="Times New Roman" w:eastAsia="Times New Roman" w:hAnsi="Times New Roman"/>
                <w:sz w:val="17"/>
                <w:szCs w:val="17"/>
                <w:color w:val="231F20"/>
              </w:rPr>
              <w:t>Decrease</w:t>
            </w:r>
          </w:p>
        </w:tc>
        <w:tc>
          <w:tcPr>
            <w:tcW w:w="0" w:type="dxa"/>
            <w:vAlign w:val="bottom"/>
          </w:tcPr>
          <w:p>
            <w:pPr>
              <w:spacing w:after="0"/>
              <w:rPr>
                <w:sz w:val="1"/>
                <w:szCs w:val="1"/>
                <w:color w:val="auto"/>
              </w:rPr>
            </w:pPr>
          </w:p>
        </w:tc>
      </w:tr>
      <w:tr>
        <w:trPr>
          <w:trHeight w:val="195"/>
        </w:trPr>
        <w:tc>
          <w:tcPr>
            <w:tcW w:w="2260" w:type="dxa"/>
            <w:vAlign w:val="bottom"/>
            <w:gridSpan w:val="2"/>
            <w:shd w:val="clear" w:color="auto" w:fill="FDFDFC"/>
          </w:tcPr>
          <w:p>
            <w:pPr>
              <w:spacing w:after="0"/>
              <w:rPr>
                <w:sz w:val="20"/>
                <w:szCs w:val="20"/>
                <w:color w:val="auto"/>
              </w:rPr>
            </w:pPr>
            <w:r>
              <w:rPr>
                <w:rFonts w:ascii="Times New Roman" w:cs="Times New Roman" w:eastAsia="Times New Roman" w:hAnsi="Times New Roman"/>
                <w:sz w:val="17"/>
                <w:szCs w:val="17"/>
                <w:color w:val="231F20"/>
              </w:rPr>
              <w:t>Second-lien debt investments</w:t>
            </w:r>
          </w:p>
        </w:tc>
        <w:tc>
          <w:tcPr>
            <w:tcW w:w="80" w:type="dxa"/>
            <w:vAlign w:val="bottom"/>
            <w:shd w:val="clear" w:color="auto" w:fill="FDFDFC"/>
          </w:tcPr>
          <w:p>
            <w:pPr>
              <w:spacing w:after="0"/>
              <w:rPr>
                <w:sz w:val="16"/>
                <w:szCs w:val="16"/>
                <w:color w:val="auto"/>
              </w:rPr>
            </w:pPr>
          </w:p>
        </w:tc>
        <w:tc>
          <w:tcPr>
            <w:tcW w:w="840" w:type="dxa"/>
            <w:vAlign w:val="bottom"/>
            <w:shd w:val="clear" w:color="auto" w:fill="FDFDFC"/>
          </w:tcPr>
          <w:p>
            <w:pPr>
              <w:jc w:val="right"/>
              <w:spacing w:after="0"/>
              <w:rPr>
                <w:sz w:val="20"/>
                <w:szCs w:val="20"/>
                <w:color w:val="auto"/>
              </w:rPr>
            </w:pPr>
            <w:r>
              <w:rPr>
                <w:rFonts w:ascii="Times New Roman" w:cs="Times New Roman" w:eastAsia="Times New Roman" w:hAnsi="Times New Roman"/>
                <w:sz w:val="17"/>
                <w:szCs w:val="17"/>
                <w:color w:val="231F20"/>
              </w:rPr>
              <w:t>18,535</w:t>
            </w:r>
          </w:p>
        </w:tc>
        <w:tc>
          <w:tcPr>
            <w:tcW w:w="100" w:type="dxa"/>
            <w:vAlign w:val="bottom"/>
            <w:shd w:val="clear" w:color="auto" w:fill="FDFDFC"/>
          </w:tcPr>
          <w:p>
            <w:pPr>
              <w:spacing w:after="0"/>
              <w:rPr>
                <w:sz w:val="16"/>
                <w:szCs w:val="16"/>
                <w:color w:val="auto"/>
              </w:rPr>
            </w:pPr>
          </w:p>
        </w:tc>
        <w:tc>
          <w:tcPr>
            <w:tcW w:w="100" w:type="dxa"/>
            <w:vAlign w:val="bottom"/>
            <w:shd w:val="clear" w:color="auto" w:fill="FDFDFC"/>
          </w:tcPr>
          <w:p>
            <w:pPr>
              <w:spacing w:after="0"/>
              <w:rPr>
                <w:sz w:val="16"/>
                <w:szCs w:val="16"/>
                <w:color w:val="auto"/>
              </w:rPr>
            </w:pPr>
          </w:p>
        </w:tc>
        <w:tc>
          <w:tcPr>
            <w:tcW w:w="20" w:type="dxa"/>
            <w:vAlign w:val="bottom"/>
            <w:shd w:val="clear" w:color="auto" w:fill="FDFDFC"/>
          </w:tcPr>
          <w:p>
            <w:pPr>
              <w:spacing w:after="0"/>
              <w:rPr>
                <w:sz w:val="16"/>
                <w:szCs w:val="16"/>
                <w:color w:val="auto"/>
              </w:rPr>
            </w:pPr>
          </w:p>
        </w:tc>
        <w:tc>
          <w:tcPr>
            <w:tcW w:w="1500" w:type="dxa"/>
            <w:vAlign w:val="bottom"/>
            <w:shd w:val="clear" w:color="auto" w:fill="FDFDFC"/>
          </w:tcPr>
          <w:p>
            <w:pPr>
              <w:spacing w:after="0" w:line="196" w:lineRule="exact"/>
              <w:rPr>
                <w:sz w:val="20"/>
                <w:szCs w:val="20"/>
                <w:color w:val="auto"/>
              </w:rPr>
            </w:pPr>
            <w:r>
              <w:rPr>
                <w:rFonts w:ascii="Times New Roman" w:cs="Times New Roman" w:eastAsia="Times New Roman" w:hAnsi="Times New Roman"/>
                <w:sz w:val="17"/>
                <w:szCs w:val="17"/>
                <w:color w:val="231F20"/>
              </w:rPr>
              <w:t xml:space="preserve">Income approach </w:t>
            </w:r>
            <w:r>
              <w:rPr>
                <w:rFonts w:ascii="Times New Roman" w:cs="Times New Roman" w:eastAsia="Times New Roman" w:hAnsi="Times New Roman"/>
                <w:sz w:val="22"/>
                <w:szCs w:val="22"/>
                <w:color w:val="231F20"/>
                <w:vertAlign w:val="superscript"/>
              </w:rPr>
              <w:t>(2)</w:t>
            </w:r>
          </w:p>
        </w:tc>
        <w:tc>
          <w:tcPr>
            <w:tcW w:w="120" w:type="dxa"/>
            <w:vAlign w:val="bottom"/>
            <w:shd w:val="clear" w:color="auto" w:fill="FDFDFC"/>
          </w:tcPr>
          <w:p>
            <w:pPr>
              <w:spacing w:after="0"/>
              <w:rPr>
                <w:sz w:val="16"/>
                <w:szCs w:val="16"/>
                <w:color w:val="auto"/>
              </w:rPr>
            </w:pPr>
          </w:p>
        </w:tc>
        <w:tc>
          <w:tcPr>
            <w:tcW w:w="20" w:type="dxa"/>
            <w:vAlign w:val="bottom"/>
            <w:shd w:val="clear" w:color="auto" w:fill="FDFDFC"/>
          </w:tcPr>
          <w:p>
            <w:pPr>
              <w:spacing w:after="0"/>
              <w:rPr>
                <w:sz w:val="16"/>
                <w:szCs w:val="16"/>
                <w:color w:val="auto"/>
              </w:rPr>
            </w:pPr>
          </w:p>
        </w:tc>
        <w:tc>
          <w:tcPr>
            <w:tcW w:w="1500" w:type="dxa"/>
            <w:vAlign w:val="bottom"/>
            <w:shd w:val="clear" w:color="auto" w:fill="FDFDFC"/>
          </w:tcPr>
          <w:p>
            <w:pPr>
              <w:spacing w:after="0"/>
              <w:rPr>
                <w:sz w:val="20"/>
                <w:szCs w:val="20"/>
                <w:color w:val="auto"/>
              </w:rPr>
            </w:pPr>
            <w:r>
              <w:rPr>
                <w:rFonts w:ascii="Times New Roman" w:cs="Times New Roman" w:eastAsia="Times New Roman" w:hAnsi="Times New Roman"/>
                <w:sz w:val="17"/>
                <w:szCs w:val="17"/>
                <w:color w:val="231F20"/>
              </w:rPr>
              <w:t>Discount rate</w:t>
            </w:r>
          </w:p>
        </w:tc>
        <w:tc>
          <w:tcPr>
            <w:tcW w:w="100" w:type="dxa"/>
            <w:vAlign w:val="bottom"/>
            <w:shd w:val="clear" w:color="auto" w:fill="FDFDFC"/>
          </w:tcPr>
          <w:p>
            <w:pPr>
              <w:spacing w:after="0"/>
              <w:rPr>
                <w:sz w:val="16"/>
                <w:szCs w:val="16"/>
                <w:color w:val="auto"/>
              </w:rPr>
            </w:pPr>
          </w:p>
        </w:tc>
        <w:tc>
          <w:tcPr>
            <w:tcW w:w="20" w:type="dxa"/>
            <w:vAlign w:val="bottom"/>
            <w:shd w:val="clear" w:color="auto" w:fill="FDFDFC"/>
          </w:tcPr>
          <w:p>
            <w:pPr>
              <w:spacing w:after="0"/>
              <w:rPr>
                <w:sz w:val="16"/>
                <w:szCs w:val="16"/>
                <w:color w:val="auto"/>
              </w:rPr>
            </w:pPr>
          </w:p>
        </w:tc>
        <w:tc>
          <w:tcPr>
            <w:tcW w:w="1820" w:type="dxa"/>
            <w:vAlign w:val="bottom"/>
            <w:shd w:val="clear" w:color="auto" w:fill="FDFDFC"/>
          </w:tcPr>
          <w:p>
            <w:pPr>
              <w:jc w:val="center"/>
              <w:spacing w:after="0"/>
              <w:rPr>
                <w:sz w:val="20"/>
                <w:szCs w:val="20"/>
                <w:color w:val="auto"/>
              </w:rPr>
            </w:pPr>
            <w:r>
              <w:rPr>
                <w:rFonts w:ascii="Times New Roman" w:cs="Times New Roman" w:eastAsia="Times New Roman" w:hAnsi="Times New Roman"/>
                <w:sz w:val="17"/>
                <w:szCs w:val="17"/>
                <w:color w:val="231F20"/>
              </w:rPr>
              <w:t>14.6% — 18.1% (15.6%)</w:t>
            </w:r>
          </w:p>
        </w:tc>
        <w:tc>
          <w:tcPr>
            <w:tcW w:w="100" w:type="dxa"/>
            <w:vAlign w:val="bottom"/>
            <w:shd w:val="clear" w:color="auto" w:fill="FDFDFC"/>
          </w:tcPr>
          <w:p>
            <w:pPr>
              <w:spacing w:after="0"/>
              <w:rPr>
                <w:sz w:val="16"/>
                <w:szCs w:val="16"/>
                <w:color w:val="auto"/>
              </w:rPr>
            </w:pPr>
          </w:p>
        </w:tc>
        <w:tc>
          <w:tcPr>
            <w:tcW w:w="20" w:type="dxa"/>
            <w:vAlign w:val="bottom"/>
            <w:shd w:val="clear" w:color="auto" w:fill="FDFDFC"/>
          </w:tcPr>
          <w:p>
            <w:pPr>
              <w:spacing w:after="0"/>
              <w:rPr>
                <w:sz w:val="16"/>
                <w:szCs w:val="16"/>
                <w:color w:val="auto"/>
              </w:rPr>
            </w:pPr>
          </w:p>
        </w:tc>
        <w:tc>
          <w:tcPr>
            <w:tcW w:w="1600" w:type="dxa"/>
            <w:vAlign w:val="bottom"/>
            <w:shd w:val="clear" w:color="auto" w:fill="FDFDFC"/>
          </w:tcPr>
          <w:p>
            <w:pPr>
              <w:spacing w:after="0"/>
              <w:rPr>
                <w:sz w:val="20"/>
                <w:szCs w:val="20"/>
                <w:color w:val="auto"/>
              </w:rPr>
            </w:pPr>
            <w:r>
              <w:rPr>
                <w:rFonts w:ascii="Times New Roman" w:cs="Times New Roman" w:eastAsia="Times New Roman" w:hAnsi="Times New Roman"/>
                <w:sz w:val="17"/>
                <w:szCs w:val="17"/>
                <w:color w:val="231F20"/>
              </w:rPr>
              <w:t>Decrease</w:t>
            </w:r>
          </w:p>
        </w:tc>
        <w:tc>
          <w:tcPr>
            <w:tcW w:w="0" w:type="dxa"/>
            <w:vAlign w:val="bottom"/>
          </w:tcPr>
          <w:p>
            <w:pPr>
              <w:spacing w:after="0"/>
              <w:rPr>
                <w:sz w:val="1"/>
                <w:szCs w:val="1"/>
                <w:color w:val="auto"/>
              </w:rPr>
            </w:pPr>
          </w:p>
        </w:tc>
      </w:tr>
      <w:tr>
        <w:trPr>
          <w:trHeight w:val="195"/>
        </w:trPr>
        <w:tc>
          <w:tcPr>
            <w:tcW w:w="2260" w:type="dxa"/>
            <w:vAlign w:val="bottom"/>
            <w:gridSpan w:val="2"/>
            <w:shd w:val="clear" w:color="auto" w:fill="D0EBF2"/>
          </w:tcPr>
          <w:p>
            <w:pPr>
              <w:spacing w:after="0"/>
              <w:rPr>
                <w:sz w:val="20"/>
                <w:szCs w:val="20"/>
                <w:color w:val="auto"/>
              </w:rPr>
            </w:pPr>
            <w:r>
              <w:rPr>
                <w:rFonts w:ascii="Times New Roman" w:cs="Times New Roman" w:eastAsia="Times New Roman" w:hAnsi="Times New Roman"/>
                <w:sz w:val="17"/>
                <w:szCs w:val="17"/>
                <w:color w:val="231F20"/>
              </w:rPr>
              <w:t>Mezzanine debt investments</w:t>
            </w:r>
          </w:p>
        </w:tc>
        <w:tc>
          <w:tcPr>
            <w:tcW w:w="80" w:type="dxa"/>
            <w:vAlign w:val="bottom"/>
            <w:shd w:val="clear" w:color="auto" w:fill="D0EBF2"/>
          </w:tcPr>
          <w:p>
            <w:pPr>
              <w:spacing w:after="0"/>
              <w:rPr>
                <w:sz w:val="16"/>
                <w:szCs w:val="16"/>
                <w:color w:val="auto"/>
              </w:rPr>
            </w:pPr>
          </w:p>
        </w:tc>
        <w:tc>
          <w:tcPr>
            <w:tcW w:w="840" w:type="dxa"/>
            <w:vAlign w:val="bottom"/>
            <w:shd w:val="clear" w:color="auto" w:fill="D0EBF2"/>
          </w:tcPr>
          <w:p>
            <w:pPr>
              <w:jc w:val="right"/>
              <w:spacing w:after="0"/>
              <w:rPr>
                <w:sz w:val="20"/>
                <w:szCs w:val="20"/>
                <w:color w:val="auto"/>
              </w:rPr>
            </w:pPr>
            <w:r>
              <w:rPr>
                <w:rFonts w:ascii="Times New Roman" w:cs="Times New Roman" w:eastAsia="Times New Roman" w:hAnsi="Times New Roman"/>
                <w:sz w:val="17"/>
                <w:szCs w:val="17"/>
                <w:color w:val="231F20"/>
              </w:rPr>
              <w:t>39,091</w:t>
            </w:r>
          </w:p>
        </w:tc>
        <w:tc>
          <w:tcPr>
            <w:tcW w:w="100" w:type="dxa"/>
            <w:vAlign w:val="bottom"/>
            <w:shd w:val="clear" w:color="auto" w:fill="D0EBF2"/>
          </w:tcPr>
          <w:p>
            <w:pPr>
              <w:spacing w:after="0"/>
              <w:rPr>
                <w:sz w:val="16"/>
                <w:szCs w:val="16"/>
                <w:color w:val="auto"/>
              </w:rPr>
            </w:pPr>
          </w:p>
        </w:tc>
        <w:tc>
          <w:tcPr>
            <w:tcW w:w="1620" w:type="dxa"/>
            <w:vAlign w:val="bottom"/>
            <w:gridSpan w:val="3"/>
            <w:shd w:val="clear" w:color="auto" w:fill="D0EBF2"/>
          </w:tcPr>
          <w:p>
            <w:pPr>
              <w:ind w:left="100"/>
              <w:spacing w:after="0" w:line="196" w:lineRule="exact"/>
              <w:rPr>
                <w:sz w:val="20"/>
                <w:szCs w:val="20"/>
                <w:color w:val="auto"/>
              </w:rPr>
            </w:pPr>
            <w:r>
              <w:rPr>
                <w:rFonts w:ascii="Times New Roman" w:cs="Times New Roman" w:eastAsia="Times New Roman" w:hAnsi="Times New Roman"/>
                <w:sz w:val="17"/>
                <w:szCs w:val="17"/>
                <w:color w:val="231F20"/>
              </w:rPr>
              <w:t xml:space="preserve">Income approach </w:t>
            </w:r>
            <w:r>
              <w:rPr>
                <w:rFonts w:ascii="Times New Roman" w:cs="Times New Roman" w:eastAsia="Times New Roman" w:hAnsi="Times New Roman"/>
                <w:sz w:val="22"/>
                <w:szCs w:val="22"/>
                <w:color w:val="231F20"/>
                <w:vertAlign w:val="superscript"/>
              </w:rPr>
              <w:t>(3)</w:t>
            </w:r>
          </w:p>
        </w:tc>
        <w:tc>
          <w:tcPr>
            <w:tcW w:w="1640" w:type="dxa"/>
            <w:vAlign w:val="bottom"/>
            <w:gridSpan w:val="3"/>
            <w:shd w:val="clear" w:color="auto" w:fill="D0EBF2"/>
          </w:tcPr>
          <w:p>
            <w:pPr>
              <w:ind w:left="120"/>
              <w:spacing w:after="0"/>
              <w:rPr>
                <w:sz w:val="20"/>
                <w:szCs w:val="20"/>
                <w:color w:val="auto"/>
              </w:rPr>
            </w:pPr>
            <w:r>
              <w:rPr>
                <w:rFonts w:ascii="Times New Roman" w:cs="Times New Roman" w:eastAsia="Times New Roman" w:hAnsi="Times New Roman"/>
                <w:sz w:val="17"/>
                <w:szCs w:val="17"/>
                <w:color w:val="231F20"/>
              </w:rPr>
              <w:t>Discount rate</w:t>
            </w:r>
          </w:p>
        </w:tc>
        <w:tc>
          <w:tcPr>
            <w:tcW w:w="100" w:type="dxa"/>
            <w:vAlign w:val="bottom"/>
            <w:shd w:val="clear" w:color="auto" w:fill="D0EBF2"/>
          </w:tcPr>
          <w:p>
            <w:pPr>
              <w:spacing w:after="0"/>
              <w:rPr>
                <w:sz w:val="16"/>
                <w:szCs w:val="16"/>
                <w:color w:val="auto"/>
              </w:rPr>
            </w:pPr>
          </w:p>
        </w:tc>
        <w:tc>
          <w:tcPr>
            <w:tcW w:w="20" w:type="dxa"/>
            <w:vAlign w:val="bottom"/>
            <w:shd w:val="clear" w:color="auto" w:fill="D0EBF2"/>
          </w:tcPr>
          <w:p>
            <w:pPr>
              <w:spacing w:after="0"/>
              <w:rPr>
                <w:sz w:val="16"/>
                <w:szCs w:val="16"/>
                <w:color w:val="auto"/>
              </w:rPr>
            </w:pPr>
          </w:p>
        </w:tc>
        <w:tc>
          <w:tcPr>
            <w:tcW w:w="1820" w:type="dxa"/>
            <w:vAlign w:val="bottom"/>
            <w:shd w:val="clear" w:color="auto" w:fill="D0EBF2"/>
          </w:tcPr>
          <w:p>
            <w:pPr>
              <w:jc w:val="center"/>
              <w:spacing w:after="0"/>
              <w:rPr>
                <w:sz w:val="20"/>
                <w:szCs w:val="20"/>
                <w:color w:val="auto"/>
              </w:rPr>
            </w:pPr>
            <w:r>
              <w:rPr>
                <w:rFonts w:ascii="Times New Roman" w:cs="Times New Roman" w:eastAsia="Times New Roman" w:hAnsi="Times New Roman"/>
                <w:sz w:val="17"/>
                <w:szCs w:val="17"/>
                <w:color w:val="231F20"/>
              </w:rPr>
              <w:t>12.2% — 22.5% (12.7%)</w:t>
            </w:r>
          </w:p>
        </w:tc>
        <w:tc>
          <w:tcPr>
            <w:tcW w:w="1720" w:type="dxa"/>
            <w:vAlign w:val="bottom"/>
            <w:gridSpan w:val="3"/>
            <w:shd w:val="clear" w:color="auto" w:fill="D0EBF2"/>
          </w:tcPr>
          <w:p>
            <w:pPr>
              <w:ind w:left="100"/>
              <w:spacing w:after="0"/>
              <w:rPr>
                <w:sz w:val="20"/>
                <w:szCs w:val="20"/>
                <w:color w:val="auto"/>
              </w:rPr>
            </w:pPr>
            <w:r>
              <w:rPr>
                <w:rFonts w:ascii="Times New Roman" w:cs="Times New Roman" w:eastAsia="Times New Roman" w:hAnsi="Times New Roman"/>
                <w:sz w:val="17"/>
                <w:szCs w:val="17"/>
                <w:color w:val="231F20"/>
              </w:rPr>
              <w:t>Decrease</w:t>
            </w:r>
          </w:p>
        </w:tc>
        <w:tc>
          <w:tcPr>
            <w:tcW w:w="0" w:type="dxa"/>
            <w:vAlign w:val="bottom"/>
          </w:tcPr>
          <w:p>
            <w:pPr>
              <w:spacing w:after="0"/>
              <w:rPr>
                <w:sz w:val="1"/>
                <w:szCs w:val="1"/>
                <w:color w:val="auto"/>
              </w:rPr>
            </w:pPr>
          </w:p>
        </w:tc>
      </w:tr>
      <w:tr>
        <w:trPr>
          <w:trHeight w:val="195"/>
        </w:trPr>
        <w:tc>
          <w:tcPr>
            <w:tcW w:w="2260" w:type="dxa"/>
            <w:vAlign w:val="bottom"/>
            <w:gridSpan w:val="2"/>
            <w:shd w:val="clear" w:color="auto" w:fill="FDFDFC"/>
          </w:tcPr>
          <w:p>
            <w:pPr>
              <w:spacing w:after="0"/>
              <w:rPr>
                <w:sz w:val="20"/>
                <w:szCs w:val="20"/>
                <w:color w:val="auto"/>
              </w:rPr>
            </w:pPr>
            <w:r>
              <w:rPr>
                <w:rFonts w:ascii="Times New Roman" w:cs="Times New Roman" w:eastAsia="Times New Roman" w:hAnsi="Times New Roman"/>
                <w:sz w:val="17"/>
                <w:szCs w:val="17"/>
                <w:color w:val="231F20"/>
              </w:rPr>
              <w:t>Equity and other investments</w:t>
            </w:r>
          </w:p>
        </w:tc>
        <w:tc>
          <w:tcPr>
            <w:tcW w:w="80" w:type="dxa"/>
            <w:vAlign w:val="bottom"/>
            <w:shd w:val="clear" w:color="auto" w:fill="FDFDFC"/>
          </w:tcPr>
          <w:p>
            <w:pPr>
              <w:spacing w:after="0"/>
              <w:rPr>
                <w:sz w:val="16"/>
                <w:szCs w:val="16"/>
                <w:color w:val="auto"/>
              </w:rPr>
            </w:pPr>
          </w:p>
        </w:tc>
        <w:tc>
          <w:tcPr>
            <w:tcW w:w="840" w:type="dxa"/>
            <w:vAlign w:val="bottom"/>
            <w:shd w:val="clear" w:color="auto" w:fill="FDFDFC"/>
          </w:tcPr>
          <w:p>
            <w:pPr>
              <w:jc w:val="right"/>
              <w:spacing w:after="0"/>
              <w:rPr>
                <w:sz w:val="20"/>
                <w:szCs w:val="20"/>
                <w:color w:val="auto"/>
              </w:rPr>
            </w:pPr>
            <w:r>
              <w:rPr>
                <w:rFonts w:ascii="Times New Roman" w:cs="Times New Roman" w:eastAsia="Times New Roman" w:hAnsi="Times New Roman"/>
                <w:sz w:val="17"/>
                <w:szCs w:val="17"/>
                <w:color w:val="231F20"/>
              </w:rPr>
              <w:t>139,586</w:t>
            </w:r>
          </w:p>
        </w:tc>
        <w:tc>
          <w:tcPr>
            <w:tcW w:w="100" w:type="dxa"/>
            <w:vAlign w:val="bottom"/>
            <w:shd w:val="clear" w:color="auto" w:fill="FDFDFC"/>
          </w:tcPr>
          <w:p>
            <w:pPr>
              <w:spacing w:after="0"/>
              <w:rPr>
                <w:sz w:val="16"/>
                <w:szCs w:val="16"/>
                <w:color w:val="auto"/>
              </w:rPr>
            </w:pPr>
          </w:p>
        </w:tc>
        <w:tc>
          <w:tcPr>
            <w:tcW w:w="1620" w:type="dxa"/>
            <w:vAlign w:val="bottom"/>
            <w:gridSpan w:val="3"/>
            <w:shd w:val="clear" w:color="auto" w:fill="FDFDFC"/>
          </w:tcPr>
          <w:p>
            <w:pPr>
              <w:ind w:left="100"/>
              <w:spacing w:after="0" w:line="196" w:lineRule="exact"/>
              <w:rPr>
                <w:sz w:val="20"/>
                <w:szCs w:val="20"/>
                <w:color w:val="auto"/>
              </w:rPr>
            </w:pPr>
            <w:r>
              <w:rPr>
                <w:rFonts w:ascii="Times New Roman" w:cs="Times New Roman" w:eastAsia="Times New Roman" w:hAnsi="Times New Roman"/>
                <w:sz w:val="17"/>
                <w:szCs w:val="17"/>
                <w:color w:val="231F20"/>
              </w:rPr>
              <w:t xml:space="preserve">Market Multiple </w:t>
            </w:r>
            <w:r>
              <w:rPr>
                <w:rFonts w:ascii="Times New Roman" w:cs="Times New Roman" w:eastAsia="Times New Roman" w:hAnsi="Times New Roman"/>
                <w:sz w:val="22"/>
                <w:szCs w:val="22"/>
                <w:color w:val="231F20"/>
                <w:vertAlign w:val="superscript"/>
              </w:rPr>
              <w:t>(4)</w:t>
            </w:r>
          </w:p>
        </w:tc>
        <w:tc>
          <w:tcPr>
            <w:tcW w:w="1640" w:type="dxa"/>
            <w:vAlign w:val="bottom"/>
            <w:gridSpan w:val="3"/>
            <w:shd w:val="clear" w:color="auto" w:fill="FDFDFC"/>
          </w:tcPr>
          <w:p>
            <w:pPr>
              <w:ind w:left="120"/>
              <w:spacing w:after="0"/>
              <w:rPr>
                <w:sz w:val="20"/>
                <w:szCs w:val="20"/>
                <w:color w:val="auto"/>
              </w:rPr>
            </w:pPr>
            <w:r>
              <w:rPr>
                <w:rFonts w:ascii="Times New Roman" w:cs="Times New Roman" w:eastAsia="Times New Roman" w:hAnsi="Times New Roman"/>
                <w:sz w:val="17"/>
                <w:szCs w:val="17"/>
                <w:color w:val="231F20"/>
              </w:rPr>
              <w:t>Comparable multiple</w:t>
            </w:r>
          </w:p>
        </w:tc>
        <w:tc>
          <w:tcPr>
            <w:tcW w:w="100" w:type="dxa"/>
            <w:vAlign w:val="bottom"/>
            <w:shd w:val="clear" w:color="auto" w:fill="FDFDFC"/>
          </w:tcPr>
          <w:p>
            <w:pPr>
              <w:spacing w:after="0"/>
              <w:rPr>
                <w:sz w:val="16"/>
                <w:szCs w:val="16"/>
                <w:color w:val="auto"/>
              </w:rPr>
            </w:pPr>
          </w:p>
        </w:tc>
        <w:tc>
          <w:tcPr>
            <w:tcW w:w="20" w:type="dxa"/>
            <w:vAlign w:val="bottom"/>
            <w:shd w:val="clear" w:color="auto" w:fill="FDFDFC"/>
          </w:tcPr>
          <w:p>
            <w:pPr>
              <w:spacing w:after="0"/>
              <w:rPr>
                <w:sz w:val="16"/>
                <w:szCs w:val="16"/>
                <w:color w:val="auto"/>
              </w:rPr>
            </w:pPr>
          </w:p>
        </w:tc>
        <w:tc>
          <w:tcPr>
            <w:tcW w:w="1820" w:type="dxa"/>
            <w:vAlign w:val="bottom"/>
            <w:shd w:val="clear" w:color="auto" w:fill="FDFDFC"/>
          </w:tcPr>
          <w:p>
            <w:pPr>
              <w:jc w:val="center"/>
              <w:spacing w:after="0"/>
              <w:rPr>
                <w:sz w:val="20"/>
                <w:szCs w:val="20"/>
                <w:color w:val="auto"/>
              </w:rPr>
            </w:pPr>
            <w:r>
              <w:rPr>
                <w:rFonts w:ascii="Times New Roman" w:cs="Times New Roman" w:eastAsia="Times New Roman" w:hAnsi="Times New Roman"/>
                <w:sz w:val="17"/>
                <w:szCs w:val="17"/>
                <w:color w:val="231F20"/>
                <w:w w:val="99"/>
              </w:rPr>
              <w:t>2.3x — 20.0x (7.8x)</w:t>
            </w:r>
          </w:p>
        </w:tc>
        <w:tc>
          <w:tcPr>
            <w:tcW w:w="1720" w:type="dxa"/>
            <w:vAlign w:val="bottom"/>
            <w:gridSpan w:val="3"/>
            <w:shd w:val="clear" w:color="auto" w:fill="FDFDFC"/>
          </w:tcPr>
          <w:p>
            <w:pPr>
              <w:ind w:left="100"/>
              <w:spacing w:after="0"/>
              <w:rPr>
                <w:sz w:val="20"/>
                <w:szCs w:val="20"/>
                <w:color w:val="auto"/>
              </w:rPr>
            </w:pPr>
            <w:r>
              <w:rPr>
                <w:rFonts w:ascii="Times New Roman" w:cs="Times New Roman" w:eastAsia="Times New Roman" w:hAnsi="Times New Roman"/>
                <w:sz w:val="17"/>
                <w:szCs w:val="17"/>
                <w:color w:val="231F20"/>
              </w:rPr>
              <w:t>Increase</w:t>
            </w:r>
          </w:p>
        </w:tc>
        <w:tc>
          <w:tcPr>
            <w:tcW w:w="0" w:type="dxa"/>
            <w:vAlign w:val="bottom"/>
          </w:tcPr>
          <w:p>
            <w:pPr>
              <w:spacing w:after="0"/>
              <w:rPr>
                <w:sz w:val="1"/>
                <w:szCs w:val="1"/>
                <w:color w:val="auto"/>
              </w:rPr>
            </w:pPr>
          </w:p>
        </w:tc>
      </w:tr>
      <w:tr>
        <w:trPr>
          <w:trHeight w:val="185"/>
        </w:trPr>
        <w:tc>
          <w:tcPr>
            <w:tcW w:w="2240" w:type="dxa"/>
            <w:vAlign w:val="bottom"/>
            <w:tcBorders>
              <w:top w:val="single" w:sz="8" w:color="D0EBF2"/>
            </w:tcBorders>
            <w:shd w:val="clear" w:color="auto" w:fill="D0EBF2"/>
          </w:tcPr>
          <w:p>
            <w:pPr>
              <w:ind w:left="180"/>
              <w:spacing w:after="0" w:line="185" w:lineRule="exact"/>
              <w:rPr>
                <w:sz w:val="20"/>
                <w:szCs w:val="20"/>
                <w:color w:val="auto"/>
              </w:rPr>
            </w:pPr>
            <w:r>
              <w:rPr>
                <w:rFonts w:ascii="Times New Roman" w:cs="Times New Roman" w:eastAsia="Times New Roman" w:hAnsi="Times New Roman"/>
                <w:sz w:val="17"/>
                <w:szCs w:val="17"/>
                <w:b w:val="1"/>
                <w:bCs w:val="1"/>
                <w:color w:val="231F20"/>
              </w:rPr>
              <w:t>Total</w:t>
            </w:r>
          </w:p>
        </w:tc>
        <w:tc>
          <w:tcPr>
            <w:tcW w:w="20" w:type="dxa"/>
            <w:vAlign w:val="bottom"/>
            <w:tcBorders>
              <w:top w:val="single" w:sz="8" w:color="231F20"/>
            </w:tcBorders>
            <w:shd w:val="clear" w:color="auto" w:fill="D0EBF2"/>
          </w:tcPr>
          <w:p>
            <w:pPr>
              <w:spacing w:after="0"/>
              <w:rPr>
                <w:sz w:val="16"/>
                <w:szCs w:val="16"/>
                <w:color w:val="auto"/>
              </w:rPr>
            </w:pPr>
          </w:p>
        </w:tc>
        <w:tc>
          <w:tcPr>
            <w:tcW w:w="80" w:type="dxa"/>
            <w:vAlign w:val="bottom"/>
            <w:tcBorders>
              <w:top w:val="single" w:sz="8" w:color="231F20"/>
              <w:bottom w:val="single" w:sz="8" w:color="231F20"/>
            </w:tcBorders>
            <w:shd w:val="clear" w:color="auto" w:fill="D0EBF2"/>
          </w:tcPr>
          <w:p>
            <w:pPr>
              <w:jc w:val="right"/>
              <w:spacing w:after="0"/>
              <w:rPr>
                <w:sz w:val="20"/>
                <w:szCs w:val="20"/>
                <w:color w:val="auto"/>
              </w:rPr>
            </w:pPr>
            <w:r>
              <w:rPr>
                <w:rFonts w:ascii="Times New Roman" w:cs="Times New Roman" w:eastAsia="Times New Roman" w:hAnsi="Times New Roman"/>
                <w:sz w:val="11"/>
                <w:szCs w:val="11"/>
                <w:color w:val="231F20"/>
                <w:w w:val="71"/>
                <w:shd w:val="clear" w:color="auto" w:fill="D0EBF2"/>
              </w:rPr>
              <w:t>$</w:t>
            </w:r>
          </w:p>
        </w:tc>
        <w:tc>
          <w:tcPr>
            <w:tcW w:w="840" w:type="dxa"/>
            <w:vAlign w:val="bottom"/>
            <w:tcBorders>
              <w:top w:val="single" w:sz="8" w:color="231F20"/>
              <w:bottom w:val="single" w:sz="8" w:color="231F20"/>
            </w:tcBorders>
            <w:shd w:val="clear" w:color="auto" w:fill="D0EBF2"/>
          </w:tcPr>
          <w:p>
            <w:pPr>
              <w:jc w:val="right"/>
              <w:spacing w:after="0" w:line="185" w:lineRule="exact"/>
              <w:rPr>
                <w:sz w:val="20"/>
                <w:szCs w:val="20"/>
                <w:color w:val="auto"/>
              </w:rPr>
            </w:pPr>
            <w:r>
              <w:rPr>
                <w:rFonts w:ascii="Times New Roman" w:cs="Times New Roman" w:eastAsia="Times New Roman" w:hAnsi="Times New Roman"/>
                <w:sz w:val="17"/>
                <w:szCs w:val="17"/>
                <w:color w:val="231F20"/>
                <w:shd w:val="clear" w:color="auto" w:fill="D0EBF2"/>
              </w:rPr>
              <w:t>3,485,041</w:t>
            </w:r>
          </w:p>
        </w:tc>
        <w:tc>
          <w:tcPr>
            <w:tcW w:w="100" w:type="dxa"/>
            <w:vAlign w:val="bottom"/>
            <w:tcBorders>
              <w:top w:val="single" w:sz="8" w:color="D0EBF2"/>
            </w:tcBorders>
            <w:shd w:val="clear" w:color="auto" w:fill="D0EBF2"/>
          </w:tcPr>
          <w:p>
            <w:pPr>
              <w:spacing w:after="0"/>
              <w:rPr>
                <w:sz w:val="16"/>
                <w:szCs w:val="16"/>
                <w:color w:val="auto"/>
              </w:rPr>
            </w:pPr>
          </w:p>
        </w:tc>
        <w:tc>
          <w:tcPr>
            <w:tcW w:w="100" w:type="dxa"/>
            <w:vAlign w:val="bottom"/>
            <w:tcBorders>
              <w:top w:val="single" w:sz="8" w:color="D0EBF2"/>
            </w:tcBorders>
            <w:shd w:val="clear" w:color="auto" w:fill="D0EBF2"/>
          </w:tcPr>
          <w:p>
            <w:pPr>
              <w:spacing w:after="0"/>
              <w:rPr>
                <w:sz w:val="16"/>
                <w:szCs w:val="16"/>
                <w:color w:val="auto"/>
              </w:rPr>
            </w:pPr>
          </w:p>
        </w:tc>
        <w:tc>
          <w:tcPr>
            <w:tcW w:w="20" w:type="dxa"/>
            <w:vAlign w:val="bottom"/>
            <w:tcBorders>
              <w:top w:val="single" w:sz="8" w:color="231F20"/>
            </w:tcBorders>
            <w:shd w:val="clear" w:color="auto" w:fill="D0EBF2"/>
          </w:tcPr>
          <w:p>
            <w:pPr>
              <w:spacing w:after="0"/>
              <w:rPr>
                <w:sz w:val="16"/>
                <w:szCs w:val="16"/>
                <w:color w:val="auto"/>
              </w:rPr>
            </w:pPr>
          </w:p>
        </w:tc>
        <w:tc>
          <w:tcPr>
            <w:tcW w:w="1500" w:type="dxa"/>
            <w:vAlign w:val="bottom"/>
            <w:tcBorders>
              <w:top w:val="single" w:sz="8" w:color="231F20"/>
            </w:tcBorders>
            <w:shd w:val="clear" w:color="auto" w:fill="D0EBF2"/>
          </w:tcPr>
          <w:p>
            <w:pPr>
              <w:spacing w:after="0"/>
              <w:rPr>
                <w:sz w:val="16"/>
                <w:szCs w:val="16"/>
                <w:color w:val="auto"/>
              </w:rPr>
            </w:pPr>
          </w:p>
        </w:tc>
        <w:tc>
          <w:tcPr>
            <w:tcW w:w="120" w:type="dxa"/>
            <w:vAlign w:val="bottom"/>
            <w:tcBorders>
              <w:top w:val="single" w:sz="8" w:color="D0EBF2"/>
            </w:tcBorders>
            <w:shd w:val="clear" w:color="auto" w:fill="D0EBF2"/>
          </w:tcPr>
          <w:p>
            <w:pPr>
              <w:spacing w:after="0"/>
              <w:rPr>
                <w:sz w:val="16"/>
                <w:szCs w:val="16"/>
                <w:color w:val="auto"/>
              </w:rPr>
            </w:pPr>
          </w:p>
        </w:tc>
        <w:tc>
          <w:tcPr>
            <w:tcW w:w="20" w:type="dxa"/>
            <w:vAlign w:val="bottom"/>
            <w:tcBorders>
              <w:top w:val="single" w:sz="8" w:color="231F20"/>
            </w:tcBorders>
            <w:shd w:val="clear" w:color="auto" w:fill="D0EBF2"/>
          </w:tcPr>
          <w:p>
            <w:pPr>
              <w:spacing w:after="0"/>
              <w:rPr>
                <w:sz w:val="16"/>
                <w:szCs w:val="16"/>
                <w:color w:val="auto"/>
              </w:rPr>
            </w:pPr>
          </w:p>
        </w:tc>
        <w:tc>
          <w:tcPr>
            <w:tcW w:w="1500" w:type="dxa"/>
            <w:vAlign w:val="bottom"/>
            <w:tcBorders>
              <w:top w:val="single" w:sz="8" w:color="231F20"/>
            </w:tcBorders>
            <w:shd w:val="clear" w:color="auto" w:fill="D0EBF2"/>
          </w:tcPr>
          <w:p>
            <w:pPr>
              <w:spacing w:after="0"/>
              <w:rPr>
                <w:sz w:val="16"/>
                <w:szCs w:val="16"/>
                <w:color w:val="auto"/>
              </w:rPr>
            </w:pPr>
          </w:p>
        </w:tc>
        <w:tc>
          <w:tcPr>
            <w:tcW w:w="100" w:type="dxa"/>
            <w:vAlign w:val="bottom"/>
            <w:tcBorders>
              <w:top w:val="single" w:sz="8" w:color="D0EBF2"/>
            </w:tcBorders>
            <w:shd w:val="clear" w:color="auto" w:fill="D0EBF2"/>
          </w:tcPr>
          <w:p>
            <w:pPr>
              <w:spacing w:after="0"/>
              <w:rPr>
                <w:sz w:val="16"/>
                <w:szCs w:val="16"/>
                <w:color w:val="auto"/>
              </w:rPr>
            </w:pPr>
          </w:p>
        </w:tc>
        <w:tc>
          <w:tcPr>
            <w:tcW w:w="20" w:type="dxa"/>
            <w:vAlign w:val="bottom"/>
            <w:tcBorders>
              <w:top w:val="single" w:sz="8" w:color="231F20"/>
            </w:tcBorders>
            <w:shd w:val="clear" w:color="auto" w:fill="D0EBF2"/>
          </w:tcPr>
          <w:p>
            <w:pPr>
              <w:spacing w:after="0"/>
              <w:rPr>
                <w:sz w:val="16"/>
                <w:szCs w:val="16"/>
                <w:color w:val="auto"/>
              </w:rPr>
            </w:pPr>
          </w:p>
        </w:tc>
        <w:tc>
          <w:tcPr>
            <w:tcW w:w="1820" w:type="dxa"/>
            <w:vAlign w:val="bottom"/>
            <w:tcBorders>
              <w:top w:val="single" w:sz="8" w:color="231F20"/>
            </w:tcBorders>
            <w:shd w:val="clear" w:color="auto" w:fill="D0EBF2"/>
          </w:tcPr>
          <w:p>
            <w:pPr>
              <w:spacing w:after="0"/>
              <w:rPr>
                <w:sz w:val="16"/>
                <w:szCs w:val="16"/>
                <w:color w:val="auto"/>
              </w:rPr>
            </w:pPr>
          </w:p>
        </w:tc>
        <w:tc>
          <w:tcPr>
            <w:tcW w:w="100" w:type="dxa"/>
            <w:vAlign w:val="bottom"/>
            <w:tcBorders>
              <w:top w:val="single" w:sz="8" w:color="D0EBF2"/>
            </w:tcBorders>
            <w:shd w:val="clear" w:color="auto" w:fill="D0EBF2"/>
          </w:tcPr>
          <w:p>
            <w:pPr>
              <w:spacing w:after="0"/>
              <w:rPr>
                <w:sz w:val="16"/>
                <w:szCs w:val="16"/>
                <w:color w:val="auto"/>
              </w:rPr>
            </w:pPr>
          </w:p>
        </w:tc>
        <w:tc>
          <w:tcPr>
            <w:tcW w:w="20" w:type="dxa"/>
            <w:vAlign w:val="bottom"/>
            <w:tcBorders>
              <w:top w:val="single" w:sz="8" w:color="231F20"/>
            </w:tcBorders>
            <w:shd w:val="clear" w:color="auto" w:fill="D0EBF2"/>
          </w:tcPr>
          <w:p>
            <w:pPr>
              <w:spacing w:after="0"/>
              <w:rPr>
                <w:sz w:val="16"/>
                <w:szCs w:val="16"/>
                <w:color w:val="auto"/>
              </w:rPr>
            </w:pPr>
          </w:p>
        </w:tc>
        <w:tc>
          <w:tcPr>
            <w:tcW w:w="1600" w:type="dxa"/>
            <w:vAlign w:val="bottom"/>
            <w:tcBorders>
              <w:top w:val="single" w:sz="8" w:color="231F20"/>
            </w:tcBorders>
            <w:shd w:val="clear" w:color="auto" w:fill="D0EBF2"/>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231F20"/>
            </w:tcBorders>
          </w:tcPr>
          <w:p>
            <w:pPr>
              <w:spacing w:after="0" w:line="20" w:lineRule="exact"/>
              <w:rPr>
                <w:sz w:val="1"/>
                <w:szCs w:val="1"/>
                <w:color w:val="auto"/>
              </w:rPr>
            </w:pPr>
          </w:p>
        </w:tc>
        <w:tc>
          <w:tcPr>
            <w:tcW w:w="840" w:type="dxa"/>
            <w:vAlign w:val="bottom"/>
            <w:tcBorders>
              <w:bottom w:val="single" w:sz="8" w:color="231F20"/>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ind w:left="460" w:hanging="460"/>
        <w:spacing w:after="0"/>
        <w:tabs>
          <w:tab w:leader="none" w:pos="460" w:val="left"/>
        </w:tabs>
        <w:numPr>
          <w:ilvl w:val="0"/>
          <w:numId w:val="94"/>
        </w:numPr>
        <w:rPr>
          <w:rFonts w:ascii="Times New Roman" w:cs="Times New Roman" w:eastAsia="Times New Roman" w:hAnsi="Times New Roman"/>
          <w:sz w:val="19"/>
          <w:szCs w:val="19"/>
          <w:color w:val="231F20"/>
        </w:rPr>
      </w:pPr>
      <w:r>
        <w:rPr>
          <w:rFonts w:ascii="Times New Roman" w:cs="Times New Roman" w:eastAsia="Times New Roman" w:hAnsi="Times New Roman"/>
          <w:sz w:val="19"/>
          <w:szCs w:val="19"/>
          <w:color w:val="231F20"/>
        </w:rPr>
        <w:t>Includes $199.4 million of debt investments which were valued using an asset valuation waterfall.</w:t>
      </w:r>
    </w:p>
    <w:p>
      <w:pPr>
        <w:spacing w:after="0" w:line="33" w:lineRule="exact"/>
        <w:rPr>
          <w:rFonts w:ascii="Times New Roman" w:cs="Times New Roman" w:eastAsia="Times New Roman" w:hAnsi="Times New Roman"/>
          <w:sz w:val="19"/>
          <w:szCs w:val="19"/>
          <w:color w:val="231F20"/>
        </w:rPr>
      </w:pPr>
    </w:p>
    <w:p>
      <w:pPr>
        <w:ind w:left="460" w:hanging="460"/>
        <w:spacing w:after="0"/>
        <w:tabs>
          <w:tab w:leader="none" w:pos="460" w:val="left"/>
        </w:tabs>
        <w:numPr>
          <w:ilvl w:val="0"/>
          <w:numId w:val="94"/>
        </w:numPr>
        <w:rPr>
          <w:rFonts w:ascii="Times New Roman" w:cs="Times New Roman" w:eastAsia="Times New Roman" w:hAnsi="Times New Roman"/>
          <w:sz w:val="19"/>
          <w:szCs w:val="19"/>
          <w:color w:val="231F20"/>
        </w:rPr>
      </w:pPr>
      <w:r>
        <w:rPr>
          <w:rFonts w:ascii="Times New Roman" w:cs="Times New Roman" w:eastAsia="Times New Roman" w:hAnsi="Times New Roman"/>
          <w:sz w:val="19"/>
          <w:szCs w:val="19"/>
          <w:color w:val="231F20"/>
        </w:rPr>
        <w:t>Includes $6.0 million of debt investments which were valued using an asset valuation waterfall.</w:t>
      </w:r>
    </w:p>
    <w:p>
      <w:pPr>
        <w:spacing w:after="0" w:line="23" w:lineRule="exact"/>
        <w:rPr>
          <w:rFonts w:ascii="Times New Roman" w:cs="Times New Roman" w:eastAsia="Times New Roman" w:hAnsi="Times New Roman"/>
          <w:sz w:val="19"/>
          <w:szCs w:val="19"/>
          <w:color w:val="231F20"/>
        </w:rPr>
      </w:pPr>
    </w:p>
    <w:p>
      <w:pPr>
        <w:ind w:left="460" w:hanging="460"/>
        <w:spacing w:after="0"/>
        <w:tabs>
          <w:tab w:leader="none" w:pos="460" w:val="left"/>
        </w:tabs>
        <w:numPr>
          <w:ilvl w:val="0"/>
          <w:numId w:val="94"/>
        </w:numPr>
        <w:rPr>
          <w:rFonts w:ascii="Times New Roman" w:cs="Times New Roman" w:eastAsia="Times New Roman" w:hAnsi="Times New Roman"/>
          <w:sz w:val="19"/>
          <w:szCs w:val="19"/>
          <w:color w:val="231F20"/>
        </w:rPr>
      </w:pPr>
      <w:r>
        <w:rPr>
          <w:rFonts w:ascii="Times New Roman" w:cs="Times New Roman" w:eastAsia="Times New Roman" w:hAnsi="Times New Roman"/>
          <w:sz w:val="19"/>
          <w:szCs w:val="19"/>
          <w:color w:val="231F20"/>
        </w:rPr>
        <w:t>Includes $0.1 million of debt investments which were valued using an asset valuation waterfall.</w:t>
      </w:r>
    </w:p>
    <w:p>
      <w:pPr>
        <w:spacing w:after="0" w:line="23" w:lineRule="exact"/>
        <w:rPr>
          <w:rFonts w:ascii="Times New Roman" w:cs="Times New Roman" w:eastAsia="Times New Roman" w:hAnsi="Times New Roman"/>
          <w:sz w:val="19"/>
          <w:szCs w:val="19"/>
          <w:color w:val="231F20"/>
        </w:rPr>
      </w:pPr>
    </w:p>
    <w:p>
      <w:pPr>
        <w:ind w:left="460" w:right="580" w:hanging="460"/>
        <w:spacing w:after="0" w:line="278" w:lineRule="auto"/>
        <w:tabs>
          <w:tab w:leader="none" w:pos="460" w:val="left"/>
        </w:tabs>
        <w:numPr>
          <w:ilvl w:val="0"/>
          <w:numId w:val="94"/>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Includes $13.6 million of equity investments which were valued using an asset valuation waterfall, $0.5 million of equity investments using a Black-Scholes model, $20.4 million of equity investments using a discounted cash flow analysis.</w:t>
      </w:r>
    </w:p>
    <w:p>
      <w:pPr>
        <w:sectPr>
          <w:pgSz w:w="12240" w:h="15840" w:orient="portrait"/>
          <w:cols w:equalWidth="0" w:num="1">
            <w:col w:w="10200"/>
          </w:cols>
          <w:pgMar w:left="1020" w:top="1440" w:right="1020" w:bottom="57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231F20"/>
        </w:rPr>
        <w:t>F-40</w:t>
      </w:r>
    </w:p>
    <w:p>
      <w:pPr>
        <w:sectPr>
          <w:pgSz w:w="12240" w:h="15840" w:orient="portrait"/>
          <w:cols w:equalWidth="0" w:num="1">
            <w:col w:w="10200"/>
          </w:cols>
          <w:pgMar w:left="1020" w:top="1440" w:right="1020" w:bottom="574" w:gutter="0" w:footer="0" w:header="0"/>
          <w:type w:val="continuous"/>
        </w:sectPr>
      </w:pPr>
    </w:p>
    <w:bookmarkStart w:id="128" w:name="page129"/>
    <w:bookmarkEnd w:id="128"/>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240" w:type="dxa"/>
            <w:vAlign w:val="bottom"/>
            <w:tcBorders>
              <w:bottom w:val="single" w:sz="8" w:color="FDFDFC"/>
            </w:tcBorders>
            <w:shd w:val="clear" w:color="auto" w:fill="FDFDFC"/>
          </w:tcPr>
          <w:p>
            <w:pPr>
              <w:spacing w:after="0"/>
              <w:rPr>
                <w:sz w:val="15"/>
                <w:szCs w:val="15"/>
                <w:color w:val="auto"/>
              </w:rPr>
            </w:pPr>
          </w:p>
        </w:tc>
        <w:tc>
          <w:tcPr>
            <w:tcW w:w="260" w:type="dxa"/>
            <w:vAlign w:val="bottom"/>
            <w:tcBorders>
              <w:bottom w:val="single" w:sz="8" w:color="FDFDFC"/>
            </w:tcBorders>
            <w:shd w:val="clear" w:color="auto" w:fill="FDFDFC"/>
          </w:tcPr>
          <w:p>
            <w:pPr>
              <w:spacing w:after="0"/>
              <w:rPr>
                <w:sz w:val="15"/>
                <w:szCs w:val="15"/>
                <w:color w:val="auto"/>
              </w:rPr>
            </w:pPr>
          </w:p>
        </w:tc>
        <w:tc>
          <w:tcPr>
            <w:tcW w:w="820" w:type="dxa"/>
            <w:vAlign w:val="bottom"/>
            <w:tcBorders>
              <w:bottom w:val="single" w:sz="8" w:color="231F20"/>
            </w:tcBorders>
            <w:shd w:val="clear" w:color="auto" w:fill="FDFDFC"/>
          </w:tcPr>
          <w:p>
            <w:pPr>
              <w:spacing w:after="0"/>
              <w:rPr>
                <w:sz w:val="15"/>
                <w:szCs w:val="15"/>
                <w:color w:val="auto"/>
              </w:rPr>
            </w:pPr>
          </w:p>
        </w:tc>
        <w:tc>
          <w:tcPr>
            <w:tcW w:w="220" w:type="dxa"/>
            <w:vAlign w:val="bottom"/>
            <w:tcBorders>
              <w:bottom w:val="single" w:sz="8" w:color="231F20"/>
            </w:tcBorders>
            <w:shd w:val="clear" w:color="auto" w:fill="FDFDFC"/>
          </w:tcPr>
          <w:p>
            <w:pPr>
              <w:spacing w:after="0"/>
              <w:rPr>
                <w:sz w:val="15"/>
                <w:szCs w:val="15"/>
                <w:color w:val="auto"/>
              </w:rPr>
            </w:pPr>
          </w:p>
        </w:tc>
        <w:tc>
          <w:tcPr>
            <w:tcW w:w="1500" w:type="dxa"/>
            <w:vAlign w:val="bottom"/>
            <w:tcBorders>
              <w:bottom w:val="single" w:sz="8" w:color="231F20"/>
            </w:tcBorders>
            <w:shd w:val="clear" w:color="auto" w:fill="FDFDFC"/>
          </w:tcPr>
          <w:p>
            <w:pPr>
              <w:spacing w:after="0"/>
              <w:rPr>
                <w:sz w:val="15"/>
                <w:szCs w:val="15"/>
                <w:color w:val="auto"/>
              </w:rPr>
            </w:pPr>
          </w:p>
        </w:tc>
        <w:tc>
          <w:tcPr>
            <w:tcW w:w="120" w:type="dxa"/>
            <w:vAlign w:val="bottom"/>
            <w:tcBorders>
              <w:bottom w:val="single" w:sz="8" w:color="231F20"/>
            </w:tcBorders>
            <w:shd w:val="clear" w:color="auto" w:fill="FDFDFC"/>
          </w:tcPr>
          <w:p>
            <w:pPr>
              <w:spacing w:after="0"/>
              <w:rPr>
                <w:sz w:val="15"/>
                <w:szCs w:val="15"/>
                <w:color w:val="auto"/>
              </w:rPr>
            </w:pPr>
          </w:p>
        </w:tc>
        <w:tc>
          <w:tcPr>
            <w:tcW w:w="3420" w:type="dxa"/>
            <w:vAlign w:val="bottom"/>
            <w:tcBorders>
              <w:bottom w:val="single" w:sz="8" w:color="231F20"/>
            </w:tcBorders>
            <w:gridSpan w:val="3"/>
            <w:shd w:val="clear" w:color="auto" w:fill="FDFDFC"/>
          </w:tcPr>
          <w:p>
            <w:pPr>
              <w:ind w:left="580"/>
              <w:spacing w:after="0"/>
              <w:rPr>
                <w:sz w:val="20"/>
                <w:szCs w:val="20"/>
                <w:color w:val="auto"/>
              </w:rPr>
            </w:pPr>
            <w:r>
              <w:rPr>
                <w:rFonts w:ascii="Times New Roman" w:cs="Times New Roman" w:eastAsia="Times New Roman" w:hAnsi="Times New Roman"/>
                <w:sz w:val="15"/>
                <w:szCs w:val="15"/>
                <w:b w:val="1"/>
                <w:bCs w:val="1"/>
                <w:color w:val="231F20"/>
              </w:rPr>
              <w:t>December 31, 2023</w:t>
            </w:r>
          </w:p>
        </w:tc>
        <w:tc>
          <w:tcPr>
            <w:tcW w:w="120" w:type="dxa"/>
            <w:vAlign w:val="bottom"/>
            <w:tcBorders>
              <w:bottom w:val="single" w:sz="8" w:color="231F20"/>
            </w:tcBorders>
            <w:shd w:val="clear" w:color="auto" w:fill="FDFDFC"/>
          </w:tcPr>
          <w:p>
            <w:pPr>
              <w:spacing w:after="0"/>
              <w:rPr>
                <w:sz w:val="15"/>
                <w:szCs w:val="15"/>
                <w:color w:val="auto"/>
              </w:rPr>
            </w:pPr>
          </w:p>
        </w:tc>
        <w:tc>
          <w:tcPr>
            <w:tcW w:w="1500" w:type="dxa"/>
            <w:vAlign w:val="bottom"/>
            <w:tcBorders>
              <w:bottom w:val="single" w:sz="8" w:color="231F20"/>
            </w:tcBorders>
            <w:shd w:val="clear" w:color="auto" w:fill="FDFDFC"/>
          </w:tcPr>
          <w:p>
            <w:pPr>
              <w:spacing w:after="0"/>
              <w:rPr>
                <w:sz w:val="15"/>
                <w:szCs w:val="15"/>
                <w:color w:val="auto"/>
              </w:rPr>
            </w:pPr>
          </w:p>
        </w:tc>
        <w:tc>
          <w:tcPr>
            <w:tcW w:w="20" w:type="dxa"/>
            <w:vAlign w:val="bottom"/>
            <w:tcBorders>
              <w:bottom w:val="single" w:sz="8" w:color="231F20"/>
            </w:tcBorders>
            <w:shd w:val="clear" w:color="auto" w:fill="FDFDFC"/>
          </w:tcPr>
          <w:p>
            <w:pPr>
              <w:spacing w:after="0"/>
              <w:rPr>
                <w:sz w:val="15"/>
                <w:szCs w:val="15"/>
                <w:color w:val="auto"/>
              </w:rPr>
            </w:pPr>
          </w:p>
        </w:tc>
      </w:tr>
      <w:tr>
        <w:trPr>
          <w:trHeight w:val="146"/>
        </w:trPr>
        <w:tc>
          <w:tcPr>
            <w:tcW w:w="2240" w:type="dxa"/>
            <w:vAlign w:val="bottom"/>
            <w:shd w:val="clear" w:color="auto" w:fill="FDFDFC"/>
          </w:tcPr>
          <w:p>
            <w:pPr>
              <w:spacing w:after="0"/>
              <w:rPr>
                <w:sz w:val="12"/>
                <w:szCs w:val="12"/>
                <w:color w:val="auto"/>
              </w:rPr>
            </w:pPr>
          </w:p>
        </w:tc>
        <w:tc>
          <w:tcPr>
            <w:tcW w:w="260" w:type="dxa"/>
            <w:vAlign w:val="bottom"/>
            <w:shd w:val="clear" w:color="auto" w:fill="FDFDFC"/>
          </w:tcPr>
          <w:p>
            <w:pPr>
              <w:spacing w:after="0"/>
              <w:rPr>
                <w:sz w:val="12"/>
                <w:szCs w:val="12"/>
                <w:color w:val="auto"/>
              </w:rPr>
            </w:pPr>
          </w:p>
        </w:tc>
        <w:tc>
          <w:tcPr>
            <w:tcW w:w="820" w:type="dxa"/>
            <w:vAlign w:val="bottom"/>
            <w:shd w:val="clear" w:color="auto" w:fill="FDFDFC"/>
          </w:tcPr>
          <w:p>
            <w:pPr>
              <w:spacing w:after="0"/>
              <w:rPr>
                <w:sz w:val="12"/>
                <w:szCs w:val="12"/>
                <w:color w:val="auto"/>
              </w:rPr>
            </w:pPr>
          </w:p>
        </w:tc>
        <w:tc>
          <w:tcPr>
            <w:tcW w:w="220" w:type="dxa"/>
            <w:vAlign w:val="bottom"/>
            <w:shd w:val="clear" w:color="auto" w:fill="FDFDFC"/>
          </w:tcPr>
          <w:p>
            <w:pPr>
              <w:spacing w:after="0"/>
              <w:rPr>
                <w:sz w:val="12"/>
                <w:szCs w:val="12"/>
                <w:color w:val="auto"/>
              </w:rPr>
            </w:pPr>
          </w:p>
        </w:tc>
        <w:tc>
          <w:tcPr>
            <w:tcW w:w="1500" w:type="dxa"/>
            <w:vAlign w:val="bottom"/>
            <w:shd w:val="clear" w:color="auto" w:fill="FDFDFC"/>
          </w:tcPr>
          <w:p>
            <w:pPr>
              <w:spacing w:after="0"/>
              <w:rPr>
                <w:sz w:val="12"/>
                <w:szCs w:val="12"/>
                <w:color w:val="auto"/>
              </w:rPr>
            </w:pPr>
          </w:p>
        </w:tc>
        <w:tc>
          <w:tcPr>
            <w:tcW w:w="120" w:type="dxa"/>
            <w:vAlign w:val="bottom"/>
            <w:shd w:val="clear" w:color="auto" w:fill="FDFDFC"/>
          </w:tcPr>
          <w:p>
            <w:pPr>
              <w:spacing w:after="0"/>
              <w:rPr>
                <w:sz w:val="12"/>
                <w:szCs w:val="12"/>
                <w:color w:val="auto"/>
              </w:rPr>
            </w:pPr>
          </w:p>
        </w:tc>
        <w:tc>
          <w:tcPr>
            <w:tcW w:w="1500" w:type="dxa"/>
            <w:vAlign w:val="bottom"/>
            <w:shd w:val="clear" w:color="auto" w:fill="FDFDFC"/>
          </w:tcPr>
          <w:p>
            <w:pPr>
              <w:spacing w:after="0"/>
              <w:rPr>
                <w:sz w:val="12"/>
                <w:szCs w:val="12"/>
                <w:color w:val="auto"/>
              </w:rPr>
            </w:pPr>
          </w:p>
        </w:tc>
        <w:tc>
          <w:tcPr>
            <w:tcW w:w="120" w:type="dxa"/>
            <w:vAlign w:val="bottom"/>
            <w:shd w:val="clear" w:color="auto" w:fill="FDFDFC"/>
          </w:tcPr>
          <w:p>
            <w:pPr>
              <w:spacing w:after="0"/>
              <w:rPr>
                <w:sz w:val="12"/>
                <w:szCs w:val="12"/>
                <w:color w:val="auto"/>
              </w:rPr>
            </w:pPr>
          </w:p>
        </w:tc>
        <w:tc>
          <w:tcPr>
            <w:tcW w:w="1800" w:type="dxa"/>
            <w:vAlign w:val="bottom"/>
            <w:shd w:val="clear" w:color="auto" w:fill="FDFDFC"/>
          </w:tcPr>
          <w:p>
            <w:pPr>
              <w:spacing w:after="0"/>
              <w:rPr>
                <w:sz w:val="12"/>
                <w:szCs w:val="12"/>
                <w:color w:val="auto"/>
              </w:rPr>
            </w:pPr>
          </w:p>
        </w:tc>
        <w:tc>
          <w:tcPr>
            <w:tcW w:w="120" w:type="dxa"/>
            <w:vAlign w:val="bottom"/>
            <w:shd w:val="clear" w:color="auto" w:fill="FDFDFC"/>
          </w:tcPr>
          <w:p>
            <w:pPr>
              <w:spacing w:after="0"/>
              <w:rPr>
                <w:sz w:val="12"/>
                <w:szCs w:val="12"/>
                <w:color w:val="auto"/>
              </w:rPr>
            </w:pPr>
          </w:p>
        </w:tc>
        <w:tc>
          <w:tcPr>
            <w:tcW w:w="1520" w:type="dxa"/>
            <w:vAlign w:val="bottom"/>
            <w:gridSpan w:val="2"/>
            <w:shd w:val="clear" w:color="auto" w:fill="FDFDFC"/>
          </w:tcPr>
          <w:p>
            <w:pPr>
              <w:jc w:val="center"/>
              <w:ind w:right="60"/>
              <w:spacing w:after="0" w:line="146" w:lineRule="exact"/>
              <w:rPr>
                <w:sz w:val="20"/>
                <w:szCs w:val="20"/>
                <w:color w:val="auto"/>
              </w:rPr>
            </w:pPr>
            <w:r>
              <w:rPr>
                <w:rFonts w:ascii="Times New Roman" w:cs="Times New Roman" w:eastAsia="Times New Roman" w:hAnsi="Times New Roman"/>
                <w:sz w:val="15"/>
                <w:szCs w:val="15"/>
                <w:b w:val="1"/>
                <w:bCs w:val="1"/>
                <w:color w:val="231F20"/>
              </w:rPr>
              <w:t>Impact to Valuation</w:t>
            </w:r>
          </w:p>
        </w:tc>
      </w:tr>
      <w:tr>
        <w:trPr>
          <w:trHeight w:val="191"/>
        </w:trPr>
        <w:tc>
          <w:tcPr>
            <w:tcW w:w="2240" w:type="dxa"/>
            <w:vAlign w:val="bottom"/>
            <w:shd w:val="clear" w:color="auto" w:fill="FDFDFC"/>
          </w:tcPr>
          <w:p>
            <w:pPr>
              <w:spacing w:after="0"/>
              <w:rPr>
                <w:sz w:val="16"/>
                <w:szCs w:val="16"/>
                <w:color w:val="auto"/>
              </w:rPr>
            </w:pPr>
          </w:p>
        </w:tc>
        <w:tc>
          <w:tcPr>
            <w:tcW w:w="260" w:type="dxa"/>
            <w:vAlign w:val="bottom"/>
            <w:shd w:val="clear" w:color="auto" w:fill="FDFDFC"/>
          </w:tcPr>
          <w:p>
            <w:pPr>
              <w:spacing w:after="0"/>
              <w:rPr>
                <w:sz w:val="16"/>
                <w:szCs w:val="16"/>
                <w:color w:val="auto"/>
              </w:rPr>
            </w:pPr>
          </w:p>
        </w:tc>
        <w:tc>
          <w:tcPr>
            <w:tcW w:w="820" w:type="dxa"/>
            <w:vAlign w:val="bottom"/>
            <w:shd w:val="clear" w:color="auto" w:fill="FDFDFC"/>
          </w:tcPr>
          <w:p>
            <w:pPr>
              <w:spacing w:after="0"/>
              <w:rPr>
                <w:sz w:val="16"/>
                <w:szCs w:val="16"/>
                <w:color w:val="auto"/>
              </w:rPr>
            </w:pPr>
          </w:p>
        </w:tc>
        <w:tc>
          <w:tcPr>
            <w:tcW w:w="220" w:type="dxa"/>
            <w:vAlign w:val="bottom"/>
            <w:shd w:val="clear" w:color="auto" w:fill="FDFDFC"/>
          </w:tcPr>
          <w:p>
            <w:pPr>
              <w:spacing w:after="0"/>
              <w:rPr>
                <w:sz w:val="16"/>
                <w:szCs w:val="16"/>
                <w:color w:val="auto"/>
              </w:rPr>
            </w:pPr>
          </w:p>
        </w:tc>
        <w:tc>
          <w:tcPr>
            <w:tcW w:w="1500" w:type="dxa"/>
            <w:vAlign w:val="bottom"/>
            <w:shd w:val="clear" w:color="auto" w:fill="FDFDFC"/>
          </w:tcPr>
          <w:p>
            <w:pPr>
              <w:ind w:left="420"/>
              <w:spacing w:after="0"/>
              <w:rPr>
                <w:sz w:val="20"/>
                <w:szCs w:val="20"/>
                <w:color w:val="auto"/>
              </w:rPr>
            </w:pPr>
            <w:r>
              <w:rPr>
                <w:rFonts w:ascii="Times New Roman" w:cs="Times New Roman" w:eastAsia="Times New Roman" w:hAnsi="Times New Roman"/>
                <w:sz w:val="15"/>
                <w:szCs w:val="15"/>
                <w:b w:val="1"/>
                <w:bCs w:val="1"/>
                <w:color w:val="231F20"/>
              </w:rPr>
              <w:t>Valuation</w:t>
            </w:r>
          </w:p>
        </w:tc>
        <w:tc>
          <w:tcPr>
            <w:tcW w:w="120" w:type="dxa"/>
            <w:vAlign w:val="bottom"/>
            <w:shd w:val="clear" w:color="auto" w:fill="FDFDFC"/>
          </w:tcPr>
          <w:p>
            <w:pPr>
              <w:spacing w:after="0"/>
              <w:rPr>
                <w:sz w:val="16"/>
                <w:szCs w:val="16"/>
                <w:color w:val="auto"/>
              </w:rPr>
            </w:pPr>
          </w:p>
        </w:tc>
        <w:tc>
          <w:tcPr>
            <w:tcW w:w="1500" w:type="dxa"/>
            <w:vAlign w:val="bottom"/>
            <w:shd w:val="clear" w:color="auto" w:fill="FDFDFC"/>
          </w:tcPr>
          <w:p>
            <w:pPr>
              <w:ind w:left="300"/>
              <w:spacing w:after="0"/>
              <w:rPr>
                <w:sz w:val="20"/>
                <w:szCs w:val="20"/>
                <w:color w:val="auto"/>
              </w:rPr>
            </w:pPr>
            <w:r>
              <w:rPr>
                <w:rFonts w:ascii="Times New Roman" w:cs="Times New Roman" w:eastAsia="Times New Roman" w:hAnsi="Times New Roman"/>
                <w:sz w:val="15"/>
                <w:szCs w:val="15"/>
                <w:b w:val="1"/>
                <w:bCs w:val="1"/>
                <w:color w:val="231F20"/>
              </w:rPr>
              <w:t>Unobservable</w:t>
            </w:r>
          </w:p>
        </w:tc>
        <w:tc>
          <w:tcPr>
            <w:tcW w:w="120" w:type="dxa"/>
            <w:vAlign w:val="bottom"/>
            <w:shd w:val="clear" w:color="auto" w:fill="FDFDFC"/>
          </w:tcPr>
          <w:p>
            <w:pPr>
              <w:spacing w:after="0"/>
              <w:rPr>
                <w:sz w:val="16"/>
                <w:szCs w:val="16"/>
                <w:color w:val="auto"/>
              </w:rPr>
            </w:pPr>
          </w:p>
        </w:tc>
        <w:tc>
          <w:tcPr>
            <w:tcW w:w="1800" w:type="dxa"/>
            <w:vAlign w:val="bottom"/>
            <w:shd w:val="clear" w:color="auto" w:fill="FDFDFC"/>
          </w:tcPr>
          <w:p>
            <w:pPr>
              <w:jc w:val="center"/>
              <w:spacing w:after="0"/>
              <w:rPr>
                <w:sz w:val="20"/>
                <w:szCs w:val="20"/>
                <w:color w:val="auto"/>
              </w:rPr>
            </w:pPr>
            <w:r>
              <w:rPr>
                <w:rFonts w:ascii="Times New Roman" w:cs="Times New Roman" w:eastAsia="Times New Roman" w:hAnsi="Times New Roman"/>
                <w:sz w:val="15"/>
                <w:szCs w:val="15"/>
                <w:b w:val="1"/>
                <w:bCs w:val="1"/>
                <w:color w:val="231F20"/>
              </w:rPr>
              <w:t>Range (Weighted</w:t>
            </w:r>
          </w:p>
        </w:tc>
        <w:tc>
          <w:tcPr>
            <w:tcW w:w="120" w:type="dxa"/>
            <w:vAlign w:val="bottom"/>
            <w:shd w:val="clear" w:color="auto" w:fill="FDFDFC"/>
          </w:tcPr>
          <w:p>
            <w:pPr>
              <w:spacing w:after="0"/>
              <w:rPr>
                <w:sz w:val="16"/>
                <w:szCs w:val="16"/>
                <w:color w:val="auto"/>
              </w:rPr>
            </w:pPr>
          </w:p>
        </w:tc>
        <w:tc>
          <w:tcPr>
            <w:tcW w:w="1520" w:type="dxa"/>
            <w:vAlign w:val="bottom"/>
            <w:gridSpan w:val="2"/>
            <w:shd w:val="clear" w:color="auto" w:fill="FDFDFC"/>
          </w:tcPr>
          <w:p>
            <w:pPr>
              <w:jc w:val="center"/>
              <w:ind w:right="40"/>
              <w:spacing w:after="0"/>
              <w:rPr>
                <w:sz w:val="20"/>
                <w:szCs w:val="20"/>
                <w:color w:val="auto"/>
              </w:rPr>
            </w:pPr>
            <w:r>
              <w:rPr>
                <w:rFonts w:ascii="Times New Roman" w:cs="Times New Roman" w:eastAsia="Times New Roman" w:hAnsi="Times New Roman"/>
                <w:sz w:val="15"/>
                <w:szCs w:val="15"/>
                <w:b w:val="1"/>
                <w:bCs w:val="1"/>
                <w:color w:val="231F20"/>
              </w:rPr>
              <w:t>from an</w:t>
            </w:r>
          </w:p>
        </w:tc>
      </w:tr>
      <w:tr>
        <w:trPr>
          <w:trHeight w:val="174"/>
        </w:trPr>
        <w:tc>
          <w:tcPr>
            <w:tcW w:w="2240" w:type="dxa"/>
            <w:vAlign w:val="bottom"/>
            <w:shd w:val="clear" w:color="auto" w:fill="FDFDFC"/>
          </w:tcPr>
          <w:p>
            <w:pPr>
              <w:spacing w:after="0"/>
              <w:rPr>
                <w:sz w:val="15"/>
                <w:szCs w:val="15"/>
                <w:color w:val="auto"/>
              </w:rPr>
            </w:pPr>
          </w:p>
        </w:tc>
        <w:tc>
          <w:tcPr>
            <w:tcW w:w="260" w:type="dxa"/>
            <w:vAlign w:val="bottom"/>
            <w:shd w:val="clear" w:color="auto" w:fill="FDFDFC"/>
          </w:tcPr>
          <w:p>
            <w:pPr>
              <w:spacing w:after="0"/>
              <w:rPr>
                <w:sz w:val="15"/>
                <w:szCs w:val="15"/>
                <w:color w:val="auto"/>
              </w:rPr>
            </w:pPr>
          </w:p>
        </w:tc>
        <w:tc>
          <w:tcPr>
            <w:tcW w:w="820" w:type="dxa"/>
            <w:vAlign w:val="bottom"/>
            <w:shd w:val="clear" w:color="auto" w:fill="FDFDFC"/>
          </w:tcPr>
          <w:p>
            <w:pPr>
              <w:jc w:val="right"/>
              <w:spacing w:after="0"/>
              <w:rPr>
                <w:sz w:val="20"/>
                <w:szCs w:val="20"/>
                <w:color w:val="auto"/>
              </w:rPr>
            </w:pPr>
            <w:r>
              <w:rPr>
                <w:rFonts w:ascii="Times New Roman" w:cs="Times New Roman" w:eastAsia="Times New Roman" w:hAnsi="Times New Roman"/>
                <w:sz w:val="15"/>
                <w:szCs w:val="15"/>
                <w:b w:val="1"/>
                <w:bCs w:val="1"/>
                <w:color w:val="231F20"/>
              </w:rPr>
              <w:t>Fair Value</w:t>
            </w:r>
          </w:p>
        </w:tc>
        <w:tc>
          <w:tcPr>
            <w:tcW w:w="220" w:type="dxa"/>
            <w:vAlign w:val="bottom"/>
            <w:shd w:val="clear" w:color="auto" w:fill="FDFDFC"/>
          </w:tcPr>
          <w:p>
            <w:pPr>
              <w:spacing w:after="0"/>
              <w:rPr>
                <w:sz w:val="15"/>
                <w:szCs w:val="15"/>
                <w:color w:val="auto"/>
              </w:rPr>
            </w:pPr>
          </w:p>
        </w:tc>
        <w:tc>
          <w:tcPr>
            <w:tcW w:w="1500" w:type="dxa"/>
            <w:vAlign w:val="bottom"/>
            <w:shd w:val="clear" w:color="auto" w:fill="FDFDFC"/>
          </w:tcPr>
          <w:p>
            <w:pPr>
              <w:ind w:left="400"/>
              <w:spacing w:after="0"/>
              <w:rPr>
                <w:sz w:val="20"/>
                <w:szCs w:val="20"/>
                <w:color w:val="auto"/>
              </w:rPr>
            </w:pPr>
            <w:r>
              <w:rPr>
                <w:rFonts w:ascii="Times New Roman" w:cs="Times New Roman" w:eastAsia="Times New Roman" w:hAnsi="Times New Roman"/>
                <w:sz w:val="15"/>
                <w:szCs w:val="15"/>
                <w:b w:val="1"/>
                <w:bCs w:val="1"/>
                <w:color w:val="231F20"/>
              </w:rPr>
              <w:t>Technique</w:t>
            </w:r>
          </w:p>
        </w:tc>
        <w:tc>
          <w:tcPr>
            <w:tcW w:w="120" w:type="dxa"/>
            <w:vAlign w:val="bottom"/>
            <w:shd w:val="clear" w:color="auto" w:fill="FDFDFC"/>
          </w:tcPr>
          <w:p>
            <w:pPr>
              <w:spacing w:after="0"/>
              <w:rPr>
                <w:sz w:val="15"/>
                <w:szCs w:val="15"/>
                <w:color w:val="auto"/>
              </w:rPr>
            </w:pPr>
          </w:p>
        </w:tc>
        <w:tc>
          <w:tcPr>
            <w:tcW w:w="1500" w:type="dxa"/>
            <w:vAlign w:val="bottom"/>
            <w:shd w:val="clear" w:color="auto" w:fill="FDFDFC"/>
          </w:tcPr>
          <w:p>
            <w:pPr>
              <w:ind w:left="560"/>
              <w:spacing w:after="0"/>
              <w:rPr>
                <w:sz w:val="20"/>
                <w:szCs w:val="20"/>
                <w:color w:val="auto"/>
              </w:rPr>
            </w:pPr>
            <w:r>
              <w:rPr>
                <w:rFonts w:ascii="Times New Roman" w:cs="Times New Roman" w:eastAsia="Times New Roman" w:hAnsi="Times New Roman"/>
                <w:sz w:val="15"/>
                <w:szCs w:val="15"/>
                <w:b w:val="1"/>
                <w:bCs w:val="1"/>
                <w:color w:val="231F20"/>
              </w:rPr>
              <w:t>Input</w:t>
            </w:r>
          </w:p>
        </w:tc>
        <w:tc>
          <w:tcPr>
            <w:tcW w:w="120" w:type="dxa"/>
            <w:vAlign w:val="bottom"/>
            <w:shd w:val="clear" w:color="auto" w:fill="FDFDFC"/>
          </w:tcPr>
          <w:p>
            <w:pPr>
              <w:spacing w:after="0"/>
              <w:rPr>
                <w:sz w:val="15"/>
                <w:szCs w:val="15"/>
                <w:color w:val="auto"/>
              </w:rPr>
            </w:pPr>
          </w:p>
        </w:tc>
        <w:tc>
          <w:tcPr>
            <w:tcW w:w="1800" w:type="dxa"/>
            <w:vAlign w:val="bottom"/>
            <w:shd w:val="clear" w:color="auto" w:fill="FDFDFC"/>
          </w:tcPr>
          <w:p>
            <w:pPr>
              <w:jc w:val="center"/>
              <w:spacing w:after="0"/>
              <w:rPr>
                <w:sz w:val="20"/>
                <w:szCs w:val="20"/>
                <w:color w:val="auto"/>
              </w:rPr>
            </w:pPr>
            <w:r>
              <w:rPr>
                <w:rFonts w:ascii="Times New Roman" w:cs="Times New Roman" w:eastAsia="Times New Roman" w:hAnsi="Times New Roman"/>
                <w:sz w:val="15"/>
                <w:szCs w:val="15"/>
                <w:b w:val="1"/>
                <w:bCs w:val="1"/>
                <w:color w:val="231F20"/>
                <w:w w:val="99"/>
              </w:rPr>
              <w:t>Average)</w:t>
            </w:r>
          </w:p>
        </w:tc>
        <w:tc>
          <w:tcPr>
            <w:tcW w:w="120" w:type="dxa"/>
            <w:vAlign w:val="bottom"/>
            <w:shd w:val="clear" w:color="auto" w:fill="FDFDFC"/>
          </w:tcPr>
          <w:p>
            <w:pPr>
              <w:spacing w:after="0"/>
              <w:rPr>
                <w:sz w:val="15"/>
                <w:szCs w:val="15"/>
                <w:color w:val="auto"/>
              </w:rPr>
            </w:pPr>
          </w:p>
        </w:tc>
        <w:tc>
          <w:tcPr>
            <w:tcW w:w="1520" w:type="dxa"/>
            <w:vAlign w:val="bottom"/>
            <w:gridSpan w:val="2"/>
            <w:shd w:val="clear" w:color="auto" w:fill="FDFDFC"/>
          </w:tcPr>
          <w:p>
            <w:pPr>
              <w:jc w:val="center"/>
              <w:ind w:right="40"/>
              <w:spacing w:after="0"/>
              <w:rPr>
                <w:sz w:val="20"/>
                <w:szCs w:val="20"/>
                <w:color w:val="auto"/>
              </w:rPr>
            </w:pPr>
            <w:r>
              <w:rPr>
                <w:rFonts w:ascii="Times New Roman" w:cs="Times New Roman" w:eastAsia="Times New Roman" w:hAnsi="Times New Roman"/>
                <w:sz w:val="15"/>
                <w:szCs w:val="15"/>
                <w:b w:val="1"/>
                <w:bCs w:val="1"/>
                <w:color w:val="231F20"/>
              </w:rPr>
              <w:t>Increase to Input</w:t>
            </w:r>
          </w:p>
        </w:tc>
      </w:tr>
      <w:tr>
        <w:trPr>
          <w:trHeight w:val="185"/>
        </w:trPr>
        <w:tc>
          <w:tcPr>
            <w:tcW w:w="2240" w:type="dxa"/>
            <w:vAlign w:val="bottom"/>
            <w:tcBorders>
              <w:top w:val="single" w:sz="8" w:color="D0EBF2"/>
            </w:tcBorders>
            <w:shd w:val="clear" w:color="auto" w:fill="D0EBF2"/>
          </w:tcPr>
          <w:p>
            <w:pPr>
              <w:spacing w:after="0" w:line="185" w:lineRule="exact"/>
              <w:rPr>
                <w:sz w:val="20"/>
                <w:szCs w:val="20"/>
                <w:color w:val="auto"/>
              </w:rPr>
            </w:pPr>
            <w:r>
              <w:rPr>
                <w:rFonts w:ascii="Times New Roman" w:cs="Times New Roman" w:eastAsia="Times New Roman" w:hAnsi="Times New Roman"/>
                <w:sz w:val="17"/>
                <w:szCs w:val="17"/>
                <w:color w:val="231F20"/>
              </w:rPr>
              <w:t>First-lien debt investments</w:t>
            </w:r>
          </w:p>
        </w:tc>
        <w:tc>
          <w:tcPr>
            <w:tcW w:w="260" w:type="dxa"/>
            <w:vAlign w:val="bottom"/>
            <w:tcBorders>
              <w:top w:val="single" w:sz="8" w:color="D0EBF2"/>
            </w:tcBorders>
            <w:shd w:val="clear" w:color="auto" w:fill="D0EBF2"/>
          </w:tcPr>
          <w:p>
            <w:pPr>
              <w:spacing w:after="0"/>
              <w:rPr>
                <w:sz w:val="16"/>
                <w:szCs w:val="16"/>
                <w:color w:val="auto"/>
              </w:rPr>
            </w:pPr>
          </w:p>
        </w:tc>
        <w:tc>
          <w:tcPr>
            <w:tcW w:w="820" w:type="dxa"/>
            <w:vAlign w:val="bottom"/>
            <w:tcBorders>
              <w:top w:val="single" w:sz="8" w:color="231F20"/>
            </w:tcBorders>
            <w:shd w:val="clear" w:color="auto" w:fill="D0EBF2"/>
          </w:tcPr>
          <w:p>
            <w:pPr>
              <w:jc w:val="right"/>
              <w:spacing w:after="0" w:line="185" w:lineRule="exact"/>
              <w:rPr>
                <w:sz w:val="20"/>
                <w:szCs w:val="20"/>
                <w:color w:val="auto"/>
              </w:rPr>
            </w:pPr>
            <w:r>
              <w:rPr>
                <w:rFonts w:ascii="Times New Roman" w:cs="Times New Roman" w:eastAsia="Times New Roman" w:hAnsi="Times New Roman"/>
                <w:sz w:val="17"/>
                <w:szCs w:val="17"/>
                <w:color w:val="231F20"/>
                <w:w w:val="99"/>
                <w:shd w:val="clear" w:color="auto" w:fill="D0EBF2"/>
              </w:rPr>
              <w:t>$ 2,993,786</w:t>
            </w:r>
          </w:p>
        </w:tc>
        <w:tc>
          <w:tcPr>
            <w:tcW w:w="220" w:type="dxa"/>
            <w:vAlign w:val="bottom"/>
            <w:tcBorders>
              <w:top w:val="single" w:sz="8" w:color="D0EBF2"/>
            </w:tcBorders>
            <w:shd w:val="clear" w:color="auto" w:fill="D0EBF2"/>
          </w:tcPr>
          <w:p>
            <w:pPr>
              <w:spacing w:after="0"/>
              <w:rPr>
                <w:sz w:val="16"/>
                <w:szCs w:val="16"/>
                <w:color w:val="auto"/>
              </w:rPr>
            </w:pPr>
          </w:p>
        </w:tc>
        <w:tc>
          <w:tcPr>
            <w:tcW w:w="1500" w:type="dxa"/>
            <w:vAlign w:val="bottom"/>
            <w:tcBorders>
              <w:top w:val="single" w:sz="8" w:color="231F20"/>
            </w:tcBorders>
            <w:shd w:val="clear" w:color="auto" w:fill="D0EBF2"/>
          </w:tcPr>
          <w:p>
            <w:pPr>
              <w:spacing w:after="0" w:line="185" w:lineRule="exact"/>
              <w:rPr>
                <w:sz w:val="20"/>
                <w:szCs w:val="20"/>
                <w:color w:val="auto"/>
              </w:rPr>
            </w:pPr>
            <w:r>
              <w:rPr>
                <w:rFonts w:ascii="Times New Roman" w:cs="Times New Roman" w:eastAsia="Times New Roman" w:hAnsi="Times New Roman"/>
                <w:sz w:val="16"/>
                <w:szCs w:val="16"/>
                <w:color w:val="231F20"/>
              </w:rPr>
              <w:t xml:space="preserve">Income approach </w:t>
            </w:r>
            <w:r>
              <w:rPr>
                <w:rFonts w:ascii="Times New Roman" w:cs="Times New Roman" w:eastAsia="Times New Roman" w:hAnsi="Times New Roman"/>
                <w:sz w:val="21"/>
                <w:szCs w:val="21"/>
                <w:color w:val="231F20"/>
                <w:vertAlign w:val="superscript"/>
              </w:rPr>
              <w:t>(1)</w:t>
            </w:r>
          </w:p>
        </w:tc>
        <w:tc>
          <w:tcPr>
            <w:tcW w:w="120" w:type="dxa"/>
            <w:vAlign w:val="bottom"/>
            <w:tcBorders>
              <w:top w:val="single" w:sz="8" w:color="D0EBF2"/>
            </w:tcBorders>
            <w:shd w:val="clear" w:color="auto" w:fill="D0EBF2"/>
          </w:tcPr>
          <w:p>
            <w:pPr>
              <w:spacing w:after="0"/>
              <w:rPr>
                <w:sz w:val="16"/>
                <w:szCs w:val="16"/>
                <w:color w:val="auto"/>
              </w:rPr>
            </w:pPr>
          </w:p>
        </w:tc>
        <w:tc>
          <w:tcPr>
            <w:tcW w:w="1500" w:type="dxa"/>
            <w:vAlign w:val="bottom"/>
            <w:tcBorders>
              <w:top w:val="single" w:sz="8" w:color="231F20"/>
            </w:tcBorders>
            <w:shd w:val="clear" w:color="auto" w:fill="D0EBF2"/>
          </w:tcPr>
          <w:p>
            <w:pPr>
              <w:spacing w:after="0" w:line="185" w:lineRule="exact"/>
              <w:rPr>
                <w:sz w:val="20"/>
                <w:szCs w:val="20"/>
                <w:color w:val="auto"/>
              </w:rPr>
            </w:pPr>
            <w:r>
              <w:rPr>
                <w:rFonts w:ascii="Times New Roman" w:cs="Times New Roman" w:eastAsia="Times New Roman" w:hAnsi="Times New Roman"/>
                <w:sz w:val="17"/>
                <w:szCs w:val="17"/>
                <w:color w:val="231F20"/>
              </w:rPr>
              <w:t>Discount rate</w:t>
            </w:r>
          </w:p>
        </w:tc>
        <w:tc>
          <w:tcPr>
            <w:tcW w:w="120" w:type="dxa"/>
            <w:vAlign w:val="bottom"/>
            <w:tcBorders>
              <w:top w:val="single" w:sz="8" w:color="D0EBF2"/>
            </w:tcBorders>
            <w:shd w:val="clear" w:color="auto" w:fill="D0EBF2"/>
          </w:tcPr>
          <w:p>
            <w:pPr>
              <w:spacing w:after="0"/>
              <w:rPr>
                <w:sz w:val="16"/>
                <w:szCs w:val="16"/>
                <w:color w:val="auto"/>
              </w:rPr>
            </w:pPr>
          </w:p>
        </w:tc>
        <w:tc>
          <w:tcPr>
            <w:tcW w:w="1800" w:type="dxa"/>
            <w:vAlign w:val="bottom"/>
            <w:tcBorders>
              <w:top w:val="single" w:sz="8" w:color="231F20"/>
            </w:tcBorders>
            <w:shd w:val="clear" w:color="auto" w:fill="D0EBF2"/>
          </w:tcPr>
          <w:p>
            <w:pPr>
              <w:jc w:val="center"/>
              <w:spacing w:after="0" w:line="185" w:lineRule="exact"/>
              <w:rPr>
                <w:sz w:val="20"/>
                <w:szCs w:val="20"/>
                <w:color w:val="auto"/>
              </w:rPr>
            </w:pPr>
            <w:r>
              <w:rPr>
                <w:rFonts w:ascii="Times New Roman" w:cs="Times New Roman" w:eastAsia="Times New Roman" w:hAnsi="Times New Roman"/>
                <w:sz w:val="17"/>
                <w:szCs w:val="17"/>
                <w:color w:val="231F20"/>
                <w:w w:val="99"/>
              </w:rPr>
              <w:t>8.7% — 17.9% (14.2%)</w:t>
            </w:r>
          </w:p>
        </w:tc>
        <w:tc>
          <w:tcPr>
            <w:tcW w:w="120" w:type="dxa"/>
            <w:vAlign w:val="bottom"/>
            <w:tcBorders>
              <w:top w:val="single" w:sz="8" w:color="D0EBF2"/>
            </w:tcBorders>
            <w:shd w:val="clear" w:color="auto" w:fill="D0EBF2"/>
          </w:tcPr>
          <w:p>
            <w:pPr>
              <w:spacing w:after="0"/>
              <w:rPr>
                <w:sz w:val="16"/>
                <w:szCs w:val="16"/>
                <w:color w:val="auto"/>
              </w:rPr>
            </w:pPr>
          </w:p>
        </w:tc>
        <w:tc>
          <w:tcPr>
            <w:tcW w:w="1500" w:type="dxa"/>
            <w:vAlign w:val="bottom"/>
            <w:tcBorders>
              <w:top w:val="single" w:sz="8" w:color="231F20"/>
            </w:tcBorders>
            <w:shd w:val="clear" w:color="auto" w:fill="D0EBF2"/>
          </w:tcPr>
          <w:p>
            <w:pPr>
              <w:spacing w:after="0" w:line="185" w:lineRule="exact"/>
              <w:rPr>
                <w:sz w:val="20"/>
                <w:szCs w:val="20"/>
                <w:color w:val="auto"/>
              </w:rPr>
            </w:pPr>
            <w:r>
              <w:rPr>
                <w:rFonts w:ascii="Times New Roman" w:cs="Times New Roman" w:eastAsia="Times New Roman" w:hAnsi="Times New Roman"/>
                <w:sz w:val="17"/>
                <w:szCs w:val="17"/>
                <w:color w:val="231F20"/>
              </w:rPr>
              <w:t>Decrease</w:t>
            </w:r>
          </w:p>
        </w:tc>
        <w:tc>
          <w:tcPr>
            <w:tcW w:w="20" w:type="dxa"/>
            <w:vAlign w:val="bottom"/>
            <w:tcBorders>
              <w:top w:val="single" w:sz="8" w:color="D0EBF2"/>
            </w:tcBorders>
            <w:shd w:val="clear" w:color="auto" w:fill="D0EBF2"/>
          </w:tcPr>
          <w:p>
            <w:pPr>
              <w:spacing w:after="0"/>
              <w:rPr>
                <w:sz w:val="16"/>
                <w:szCs w:val="16"/>
                <w:color w:val="auto"/>
              </w:rPr>
            </w:pPr>
          </w:p>
        </w:tc>
      </w:tr>
      <w:tr>
        <w:trPr>
          <w:trHeight w:val="195"/>
        </w:trPr>
        <w:tc>
          <w:tcPr>
            <w:tcW w:w="2240" w:type="dxa"/>
            <w:vAlign w:val="bottom"/>
            <w:shd w:val="clear" w:color="auto" w:fill="FDFDFC"/>
          </w:tcPr>
          <w:p>
            <w:pPr>
              <w:spacing w:after="0"/>
              <w:rPr>
                <w:sz w:val="20"/>
                <w:szCs w:val="20"/>
                <w:color w:val="auto"/>
              </w:rPr>
            </w:pPr>
            <w:r>
              <w:rPr>
                <w:rFonts w:ascii="Times New Roman" w:cs="Times New Roman" w:eastAsia="Times New Roman" w:hAnsi="Times New Roman"/>
                <w:sz w:val="17"/>
                <w:szCs w:val="17"/>
                <w:color w:val="231F20"/>
              </w:rPr>
              <w:t>Second-lien debt investments</w:t>
            </w:r>
          </w:p>
        </w:tc>
        <w:tc>
          <w:tcPr>
            <w:tcW w:w="260" w:type="dxa"/>
            <w:vAlign w:val="bottom"/>
            <w:shd w:val="clear" w:color="auto" w:fill="FDFDFC"/>
          </w:tcPr>
          <w:p>
            <w:pPr>
              <w:spacing w:after="0"/>
              <w:rPr>
                <w:sz w:val="16"/>
                <w:szCs w:val="16"/>
                <w:color w:val="auto"/>
              </w:rPr>
            </w:pPr>
          </w:p>
        </w:tc>
        <w:tc>
          <w:tcPr>
            <w:tcW w:w="820" w:type="dxa"/>
            <w:vAlign w:val="bottom"/>
            <w:shd w:val="clear" w:color="auto" w:fill="FDFDFC"/>
          </w:tcPr>
          <w:p>
            <w:pPr>
              <w:jc w:val="right"/>
              <w:spacing w:after="0"/>
              <w:rPr>
                <w:sz w:val="20"/>
                <w:szCs w:val="20"/>
                <w:color w:val="auto"/>
              </w:rPr>
            </w:pPr>
            <w:r>
              <w:rPr>
                <w:rFonts w:ascii="Times New Roman" w:cs="Times New Roman" w:eastAsia="Times New Roman" w:hAnsi="Times New Roman"/>
                <w:sz w:val="17"/>
                <w:szCs w:val="17"/>
                <w:color w:val="231F20"/>
              </w:rPr>
              <w:t>35,975</w:t>
            </w:r>
          </w:p>
        </w:tc>
        <w:tc>
          <w:tcPr>
            <w:tcW w:w="220" w:type="dxa"/>
            <w:vAlign w:val="bottom"/>
            <w:shd w:val="clear" w:color="auto" w:fill="FDFDFC"/>
          </w:tcPr>
          <w:p>
            <w:pPr>
              <w:spacing w:after="0"/>
              <w:rPr>
                <w:sz w:val="16"/>
                <w:szCs w:val="16"/>
                <w:color w:val="auto"/>
              </w:rPr>
            </w:pPr>
          </w:p>
        </w:tc>
        <w:tc>
          <w:tcPr>
            <w:tcW w:w="1500" w:type="dxa"/>
            <w:vAlign w:val="bottom"/>
            <w:shd w:val="clear" w:color="auto" w:fill="FDFDFC"/>
          </w:tcPr>
          <w:p>
            <w:pPr>
              <w:spacing w:after="0" w:line="196" w:lineRule="exact"/>
              <w:rPr>
                <w:sz w:val="20"/>
                <w:szCs w:val="20"/>
                <w:color w:val="auto"/>
              </w:rPr>
            </w:pPr>
            <w:r>
              <w:rPr>
                <w:rFonts w:ascii="Times New Roman" w:cs="Times New Roman" w:eastAsia="Times New Roman" w:hAnsi="Times New Roman"/>
                <w:sz w:val="17"/>
                <w:szCs w:val="17"/>
                <w:color w:val="231F20"/>
              </w:rPr>
              <w:t xml:space="preserve">Income approach </w:t>
            </w:r>
            <w:r>
              <w:rPr>
                <w:rFonts w:ascii="Times New Roman" w:cs="Times New Roman" w:eastAsia="Times New Roman" w:hAnsi="Times New Roman"/>
                <w:sz w:val="22"/>
                <w:szCs w:val="22"/>
                <w:color w:val="231F20"/>
                <w:vertAlign w:val="superscript"/>
              </w:rPr>
              <w:t>(2)</w:t>
            </w:r>
          </w:p>
        </w:tc>
        <w:tc>
          <w:tcPr>
            <w:tcW w:w="120" w:type="dxa"/>
            <w:vAlign w:val="bottom"/>
            <w:shd w:val="clear" w:color="auto" w:fill="FDFDFC"/>
          </w:tcPr>
          <w:p>
            <w:pPr>
              <w:spacing w:after="0"/>
              <w:rPr>
                <w:sz w:val="16"/>
                <w:szCs w:val="16"/>
                <w:color w:val="auto"/>
              </w:rPr>
            </w:pPr>
          </w:p>
        </w:tc>
        <w:tc>
          <w:tcPr>
            <w:tcW w:w="1500" w:type="dxa"/>
            <w:vAlign w:val="bottom"/>
            <w:shd w:val="clear" w:color="auto" w:fill="FDFDFC"/>
          </w:tcPr>
          <w:p>
            <w:pPr>
              <w:spacing w:after="0"/>
              <w:rPr>
                <w:sz w:val="20"/>
                <w:szCs w:val="20"/>
                <w:color w:val="auto"/>
              </w:rPr>
            </w:pPr>
            <w:r>
              <w:rPr>
                <w:rFonts w:ascii="Times New Roman" w:cs="Times New Roman" w:eastAsia="Times New Roman" w:hAnsi="Times New Roman"/>
                <w:sz w:val="17"/>
                <w:szCs w:val="17"/>
                <w:color w:val="231F20"/>
              </w:rPr>
              <w:t>Discount rate</w:t>
            </w:r>
          </w:p>
        </w:tc>
        <w:tc>
          <w:tcPr>
            <w:tcW w:w="120" w:type="dxa"/>
            <w:vAlign w:val="bottom"/>
            <w:shd w:val="clear" w:color="auto" w:fill="FDFDFC"/>
          </w:tcPr>
          <w:p>
            <w:pPr>
              <w:spacing w:after="0"/>
              <w:rPr>
                <w:sz w:val="16"/>
                <w:szCs w:val="16"/>
                <w:color w:val="auto"/>
              </w:rPr>
            </w:pPr>
          </w:p>
        </w:tc>
        <w:tc>
          <w:tcPr>
            <w:tcW w:w="1800" w:type="dxa"/>
            <w:vAlign w:val="bottom"/>
            <w:shd w:val="clear" w:color="auto" w:fill="FDFDFC"/>
          </w:tcPr>
          <w:p>
            <w:pPr>
              <w:jc w:val="center"/>
              <w:spacing w:after="0"/>
              <w:rPr>
                <w:sz w:val="20"/>
                <w:szCs w:val="20"/>
                <w:color w:val="auto"/>
              </w:rPr>
            </w:pPr>
            <w:r>
              <w:rPr>
                <w:rFonts w:ascii="Times New Roman" w:cs="Times New Roman" w:eastAsia="Times New Roman" w:hAnsi="Times New Roman"/>
                <w:sz w:val="17"/>
                <w:szCs w:val="17"/>
                <w:color w:val="231F20"/>
              </w:rPr>
              <w:t>15.3% — 21.7% (17.6%)</w:t>
            </w:r>
          </w:p>
        </w:tc>
        <w:tc>
          <w:tcPr>
            <w:tcW w:w="120" w:type="dxa"/>
            <w:vAlign w:val="bottom"/>
            <w:shd w:val="clear" w:color="auto" w:fill="FDFDFC"/>
          </w:tcPr>
          <w:p>
            <w:pPr>
              <w:spacing w:after="0"/>
              <w:rPr>
                <w:sz w:val="16"/>
                <w:szCs w:val="16"/>
                <w:color w:val="auto"/>
              </w:rPr>
            </w:pPr>
          </w:p>
        </w:tc>
        <w:tc>
          <w:tcPr>
            <w:tcW w:w="1520" w:type="dxa"/>
            <w:vAlign w:val="bottom"/>
            <w:gridSpan w:val="2"/>
            <w:shd w:val="clear" w:color="auto" w:fill="FDFDFC"/>
          </w:tcPr>
          <w:p>
            <w:pPr>
              <w:spacing w:after="0"/>
              <w:rPr>
                <w:sz w:val="20"/>
                <w:szCs w:val="20"/>
                <w:color w:val="auto"/>
              </w:rPr>
            </w:pPr>
            <w:r>
              <w:rPr>
                <w:rFonts w:ascii="Times New Roman" w:cs="Times New Roman" w:eastAsia="Times New Roman" w:hAnsi="Times New Roman"/>
                <w:sz w:val="17"/>
                <w:szCs w:val="17"/>
                <w:color w:val="231F20"/>
              </w:rPr>
              <w:t>Decrease</w:t>
            </w:r>
          </w:p>
        </w:tc>
      </w:tr>
      <w:tr>
        <w:trPr>
          <w:trHeight w:val="195"/>
        </w:trPr>
        <w:tc>
          <w:tcPr>
            <w:tcW w:w="2240" w:type="dxa"/>
            <w:vAlign w:val="bottom"/>
            <w:shd w:val="clear" w:color="auto" w:fill="D0EBF2"/>
          </w:tcPr>
          <w:p>
            <w:pPr>
              <w:spacing w:after="0"/>
              <w:rPr>
                <w:sz w:val="20"/>
                <w:szCs w:val="20"/>
                <w:color w:val="auto"/>
              </w:rPr>
            </w:pPr>
            <w:r>
              <w:rPr>
                <w:rFonts w:ascii="Times New Roman" w:cs="Times New Roman" w:eastAsia="Times New Roman" w:hAnsi="Times New Roman"/>
                <w:sz w:val="17"/>
                <w:szCs w:val="17"/>
                <w:color w:val="231F20"/>
              </w:rPr>
              <w:t>Mezzanine debt investments</w:t>
            </w:r>
          </w:p>
        </w:tc>
        <w:tc>
          <w:tcPr>
            <w:tcW w:w="1080" w:type="dxa"/>
            <w:vAlign w:val="bottom"/>
            <w:gridSpan w:val="2"/>
            <w:shd w:val="clear" w:color="auto" w:fill="D0EBF2"/>
          </w:tcPr>
          <w:p>
            <w:pPr>
              <w:jc w:val="right"/>
              <w:spacing w:after="0"/>
              <w:rPr>
                <w:sz w:val="20"/>
                <w:szCs w:val="20"/>
                <w:color w:val="auto"/>
              </w:rPr>
            </w:pPr>
            <w:r>
              <w:rPr>
                <w:rFonts w:ascii="Times New Roman" w:cs="Times New Roman" w:eastAsia="Times New Roman" w:hAnsi="Times New Roman"/>
                <w:sz w:val="17"/>
                <w:szCs w:val="17"/>
                <w:color w:val="231F20"/>
              </w:rPr>
              <w:t>38,865</w:t>
            </w:r>
          </w:p>
        </w:tc>
        <w:tc>
          <w:tcPr>
            <w:tcW w:w="220" w:type="dxa"/>
            <w:vAlign w:val="bottom"/>
            <w:shd w:val="clear" w:color="auto" w:fill="D0EBF2"/>
          </w:tcPr>
          <w:p>
            <w:pPr>
              <w:spacing w:after="0"/>
              <w:rPr>
                <w:sz w:val="16"/>
                <w:szCs w:val="16"/>
                <w:color w:val="auto"/>
              </w:rPr>
            </w:pPr>
          </w:p>
        </w:tc>
        <w:tc>
          <w:tcPr>
            <w:tcW w:w="1500" w:type="dxa"/>
            <w:vAlign w:val="bottom"/>
            <w:shd w:val="clear" w:color="auto" w:fill="D0EBF2"/>
          </w:tcPr>
          <w:p>
            <w:pPr>
              <w:spacing w:after="0" w:line="196" w:lineRule="exact"/>
              <w:rPr>
                <w:sz w:val="20"/>
                <w:szCs w:val="20"/>
                <w:color w:val="auto"/>
              </w:rPr>
            </w:pPr>
            <w:r>
              <w:rPr>
                <w:rFonts w:ascii="Times New Roman" w:cs="Times New Roman" w:eastAsia="Times New Roman" w:hAnsi="Times New Roman"/>
                <w:sz w:val="17"/>
                <w:szCs w:val="17"/>
                <w:color w:val="231F20"/>
              </w:rPr>
              <w:t xml:space="preserve">Income approach </w:t>
            </w:r>
            <w:r>
              <w:rPr>
                <w:rFonts w:ascii="Times New Roman" w:cs="Times New Roman" w:eastAsia="Times New Roman" w:hAnsi="Times New Roman"/>
                <w:sz w:val="22"/>
                <w:szCs w:val="22"/>
                <w:color w:val="231F20"/>
                <w:vertAlign w:val="superscript"/>
              </w:rPr>
              <w:t>(3)</w:t>
            </w:r>
          </w:p>
        </w:tc>
        <w:tc>
          <w:tcPr>
            <w:tcW w:w="120" w:type="dxa"/>
            <w:vAlign w:val="bottom"/>
            <w:shd w:val="clear" w:color="auto" w:fill="D0EBF2"/>
          </w:tcPr>
          <w:p>
            <w:pPr>
              <w:spacing w:after="0"/>
              <w:rPr>
                <w:sz w:val="16"/>
                <w:szCs w:val="16"/>
                <w:color w:val="auto"/>
              </w:rPr>
            </w:pPr>
          </w:p>
        </w:tc>
        <w:tc>
          <w:tcPr>
            <w:tcW w:w="1500" w:type="dxa"/>
            <w:vAlign w:val="bottom"/>
            <w:shd w:val="clear" w:color="auto" w:fill="D0EBF2"/>
          </w:tcPr>
          <w:p>
            <w:pPr>
              <w:spacing w:after="0"/>
              <w:rPr>
                <w:sz w:val="20"/>
                <w:szCs w:val="20"/>
                <w:color w:val="auto"/>
              </w:rPr>
            </w:pPr>
            <w:r>
              <w:rPr>
                <w:rFonts w:ascii="Times New Roman" w:cs="Times New Roman" w:eastAsia="Times New Roman" w:hAnsi="Times New Roman"/>
                <w:sz w:val="17"/>
                <w:szCs w:val="17"/>
                <w:color w:val="231F20"/>
              </w:rPr>
              <w:t>Discount rate</w:t>
            </w:r>
          </w:p>
        </w:tc>
        <w:tc>
          <w:tcPr>
            <w:tcW w:w="120" w:type="dxa"/>
            <w:vAlign w:val="bottom"/>
            <w:shd w:val="clear" w:color="auto" w:fill="D0EBF2"/>
          </w:tcPr>
          <w:p>
            <w:pPr>
              <w:spacing w:after="0"/>
              <w:rPr>
                <w:sz w:val="16"/>
                <w:szCs w:val="16"/>
                <w:color w:val="auto"/>
              </w:rPr>
            </w:pPr>
          </w:p>
        </w:tc>
        <w:tc>
          <w:tcPr>
            <w:tcW w:w="1800" w:type="dxa"/>
            <w:vAlign w:val="bottom"/>
            <w:shd w:val="clear" w:color="auto" w:fill="D0EBF2"/>
          </w:tcPr>
          <w:p>
            <w:pPr>
              <w:jc w:val="center"/>
              <w:spacing w:after="0"/>
              <w:rPr>
                <w:sz w:val="20"/>
                <w:szCs w:val="20"/>
                <w:color w:val="auto"/>
              </w:rPr>
            </w:pPr>
            <w:r>
              <w:rPr>
                <w:rFonts w:ascii="Times New Roman" w:cs="Times New Roman" w:eastAsia="Times New Roman" w:hAnsi="Times New Roman"/>
                <w:sz w:val="17"/>
                <w:szCs w:val="17"/>
                <w:color w:val="231F20"/>
              </w:rPr>
              <w:t>14.6% — 22.5% (15.4%)</w:t>
            </w:r>
          </w:p>
        </w:tc>
        <w:tc>
          <w:tcPr>
            <w:tcW w:w="120" w:type="dxa"/>
            <w:vAlign w:val="bottom"/>
            <w:shd w:val="clear" w:color="auto" w:fill="D0EBF2"/>
          </w:tcPr>
          <w:p>
            <w:pPr>
              <w:spacing w:after="0"/>
              <w:rPr>
                <w:sz w:val="16"/>
                <w:szCs w:val="16"/>
                <w:color w:val="auto"/>
              </w:rPr>
            </w:pPr>
          </w:p>
        </w:tc>
        <w:tc>
          <w:tcPr>
            <w:tcW w:w="1520" w:type="dxa"/>
            <w:vAlign w:val="bottom"/>
            <w:gridSpan w:val="2"/>
            <w:shd w:val="clear" w:color="auto" w:fill="D0EBF2"/>
          </w:tcPr>
          <w:p>
            <w:pPr>
              <w:spacing w:after="0"/>
              <w:rPr>
                <w:sz w:val="20"/>
                <w:szCs w:val="20"/>
                <w:color w:val="auto"/>
              </w:rPr>
            </w:pPr>
            <w:r>
              <w:rPr>
                <w:rFonts w:ascii="Times New Roman" w:cs="Times New Roman" w:eastAsia="Times New Roman" w:hAnsi="Times New Roman"/>
                <w:sz w:val="17"/>
                <w:szCs w:val="17"/>
                <w:color w:val="231F20"/>
              </w:rPr>
              <w:t>Decrease</w:t>
            </w:r>
          </w:p>
        </w:tc>
      </w:tr>
      <w:tr>
        <w:trPr>
          <w:trHeight w:val="195"/>
        </w:trPr>
        <w:tc>
          <w:tcPr>
            <w:tcW w:w="2240" w:type="dxa"/>
            <w:vAlign w:val="bottom"/>
            <w:shd w:val="clear" w:color="auto" w:fill="FDFDFC"/>
          </w:tcPr>
          <w:p>
            <w:pPr>
              <w:spacing w:after="0"/>
              <w:rPr>
                <w:sz w:val="20"/>
                <w:szCs w:val="20"/>
                <w:color w:val="auto"/>
              </w:rPr>
            </w:pPr>
            <w:r>
              <w:rPr>
                <w:rFonts w:ascii="Times New Roman" w:cs="Times New Roman" w:eastAsia="Times New Roman" w:hAnsi="Times New Roman"/>
                <w:sz w:val="17"/>
                <w:szCs w:val="17"/>
                <w:color w:val="231F20"/>
              </w:rPr>
              <w:t>Equity and other investments</w:t>
            </w:r>
          </w:p>
        </w:tc>
        <w:tc>
          <w:tcPr>
            <w:tcW w:w="1080" w:type="dxa"/>
            <w:vAlign w:val="bottom"/>
            <w:gridSpan w:val="2"/>
            <w:shd w:val="clear" w:color="auto" w:fill="FDFDFC"/>
          </w:tcPr>
          <w:p>
            <w:pPr>
              <w:jc w:val="right"/>
              <w:spacing w:after="0"/>
              <w:rPr>
                <w:sz w:val="20"/>
                <w:szCs w:val="20"/>
                <w:color w:val="auto"/>
              </w:rPr>
            </w:pPr>
            <w:r>
              <w:rPr>
                <w:rFonts w:ascii="Times New Roman" w:cs="Times New Roman" w:eastAsia="Times New Roman" w:hAnsi="Times New Roman"/>
                <w:sz w:val="17"/>
                <w:szCs w:val="17"/>
                <w:color w:val="231F20"/>
              </w:rPr>
              <w:t>140,331</w:t>
            </w:r>
          </w:p>
        </w:tc>
        <w:tc>
          <w:tcPr>
            <w:tcW w:w="220" w:type="dxa"/>
            <w:vAlign w:val="bottom"/>
            <w:shd w:val="clear" w:color="auto" w:fill="FDFDFC"/>
          </w:tcPr>
          <w:p>
            <w:pPr>
              <w:spacing w:after="0"/>
              <w:rPr>
                <w:sz w:val="16"/>
                <w:szCs w:val="16"/>
                <w:color w:val="auto"/>
              </w:rPr>
            </w:pPr>
          </w:p>
        </w:tc>
        <w:tc>
          <w:tcPr>
            <w:tcW w:w="1500" w:type="dxa"/>
            <w:vAlign w:val="bottom"/>
            <w:shd w:val="clear" w:color="auto" w:fill="FDFDFC"/>
          </w:tcPr>
          <w:p>
            <w:pPr>
              <w:spacing w:after="0" w:line="196" w:lineRule="exact"/>
              <w:rPr>
                <w:sz w:val="20"/>
                <w:szCs w:val="20"/>
                <w:color w:val="auto"/>
              </w:rPr>
            </w:pPr>
            <w:r>
              <w:rPr>
                <w:rFonts w:ascii="Times New Roman" w:cs="Times New Roman" w:eastAsia="Times New Roman" w:hAnsi="Times New Roman"/>
                <w:sz w:val="17"/>
                <w:szCs w:val="17"/>
                <w:color w:val="231F20"/>
              </w:rPr>
              <w:t xml:space="preserve">Market Multiple </w:t>
            </w:r>
            <w:r>
              <w:rPr>
                <w:rFonts w:ascii="Times New Roman" w:cs="Times New Roman" w:eastAsia="Times New Roman" w:hAnsi="Times New Roman"/>
                <w:sz w:val="22"/>
                <w:szCs w:val="22"/>
                <w:color w:val="231F20"/>
                <w:vertAlign w:val="superscript"/>
              </w:rPr>
              <w:t>(4)</w:t>
            </w:r>
          </w:p>
        </w:tc>
        <w:tc>
          <w:tcPr>
            <w:tcW w:w="120" w:type="dxa"/>
            <w:vAlign w:val="bottom"/>
            <w:shd w:val="clear" w:color="auto" w:fill="FDFDFC"/>
          </w:tcPr>
          <w:p>
            <w:pPr>
              <w:spacing w:after="0"/>
              <w:rPr>
                <w:sz w:val="16"/>
                <w:szCs w:val="16"/>
                <w:color w:val="auto"/>
              </w:rPr>
            </w:pPr>
          </w:p>
        </w:tc>
        <w:tc>
          <w:tcPr>
            <w:tcW w:w="1500" w:type="dxa"/>
            <w:vAlign w:val="bottom"/>
            <w:shd w:val="clear" w:color="auto" w:fill="FDFDFC"/>
          </w:tcPr>
          <w:p>
            <w:pPr>
              <w:spacing w:after="0"/>
              <w:rPr>
                <w:sz w:val="20"/>
                <w:szCs w:val="20"/>
                <w:color w:val="auto"/>
              </w:rPr>
            </w:pPr>
            <w:r>
              <w:rPr>
                <w:rFonts w:ascii="Times New Roman" w:cs="Times New Roman" w:eastAsia="Times New Roman" w:hAnsi="Times New Roman"/>
                <w:sz w:val="17"/>
                <w:szCs w:val="17"/>
                <w:color w:val="231F20"/>
              </w:rPr>
              <w:t>Comparable multiple</w:t>
            </w:r>
          </w:p>
        </w:tc>
        <w:tc>
          <w:tcPr>
            <w:tcW w:w="120" w:type="dxa"/>
            <w:vAlign w:val="bottom"/>
            <w:shd w:val="clear" w:color="auto" w:fill="FDFDFC"/>
          </w:tcPr>
          <w:p>
            <w:pPr>
              <w:spacing w:after="0"/>
              <w:rPr>
                <w:sz w:val="16"/>
                <w:szCs w:val="16"/>
                <w:color w:val="auto"/>
              </w:rPr>
            </w:pPr>
          </w:p>
        </w:tc>
        <w:tc>
          <w:tcPr>
            <w:tcW w:w="1800" w:type="dxa"/>
            <w:vAlign w:val="bottom"/>
            <w:shd w:val="clear" w:color="auto" w:fill="FDFDFC"/>
          </w:tcPr>
          <w:p>
            <w:pPr>
              <w:jc w:val="center"/>
              <w:spacing w:after="0"/>
              <w:rPr>
                <w:sz w:val="20"/>
                <w:szCs w:val="20"/>
                <w:color w:val="auto"/>
              </w:rPr>
            </w:pPr>
            <w:r>
              <w:rPr>
                <w:rFonts w:ascii="Times New Roman" w:cs="Times New Roman" w:eastAsia="Times New Roman" w:hAnsi="Times New Roman"/>
                <w:sz w:val="17"/>
                <w:szCs w:val="17"/>
                <w:color w:val="231F20"/>
                <w:w w:val="99"/>
              </w:rPr>
              <w:t>2.0x — 19.2x (6.7x)</w:t>
            </w:r>
          </w:p>
        </w:tc>
        <w:tc>
          <w:tcPr>
            <w:tcW w:w="120" w:type="dxa"/>
            <w:vAlign w:val="bottom"/>
            <w:shd w:val="clear" w:color="auto" w:fill="FDFDFC"/>
          </w:tcPr>
          <w:p>
            <w:pPr>
              <w:spacing w:after="0"/>
              <w:rPr>
                <w:sz w:val="16"/>
                <w:szCs w:val="16"/>
                <w:color w:val="auto"/>
              </w:rPr>
            </w:pPr>
          </w:p>
        </w:tc>
        <w:tc>
          <w:tcPr>
            <w:tcW w:w="1520" w:type="dxa"/>
            <w:vAlign w:val="bottom"/>
            <w:gridSpan w:val="2"/>
            <w:shd w:val="clear" w:color="auto" w:fill="FDFDFC"/>
          </w:tcPr>
          <w:p>
            <w:pPr>
              <w:spacing w:after="0"/>
              <w:rPr>
                <w:sz w:val="20"/>
                <w:szCs w:val="20"/>
                <w:color w:val="auto"/>
              </w:rPr>
            </w:pPr>
            <w:r>
              <w:rPr>
                <w:rFonts w:ascii="Times New Roman" w:cs="Times New Roman" w:eastAsia="Times New Roman" w:hAnsi="Times New Roman"/>
                <w:sz w:val="17"/>
                <w:szCs w:val="17"/>
                <w:color w:val="231F20"/>
              </w:rPr>
              <w:t>Increase</w:t>
            </w:r>
          </w:p>
        </w:tc>
      </w:tr>
      <w:tr>
        <w:trPr>
          <w:trHeight w:val="205"/>
        </w:trPr>
        <w:tc>
          <w:tcPr>
            <w:tcW w:w="2240" w:type="dxa"/>
            <w:vAlign w:val="bottom"/>
            <w:tcBorders>
              <w:top w:val="single" w:sz="8" w:color="D0EBF2"/>
              <w:bottom w:val="single" w:sz="8" w:color="D0EBF2"/>
            </w:tcBorders>
            <w:shd w:val="clear" w:color="auto" w:fill="D0EBF2"/>
          </w:tcPr>
          <w:p>
            <w:pPr>
              <w:ind w:left="180"/>
              <w:spacing w:after="0" w:line="185" w:lineRule="exact"/>
              <w:rPr>
                <w:sz w:val="20"/>
                <w:szCs w:val="20"/>
                <w:color w:val="auto"/>
              </w:rPr>
            </w:pPr>
            <w:r>
              <w:rPr>
                <w:rFonts w:ascii="Times New Roman" w:cs="Times New Roman" w:eastAsia="Times New Roman" w:hAnsi="Times New Roman"/>
                <w:sz w:val="17"/>
                <w:szCs w:val="17"/>
                <w:b w:val="1"/>
                <w:bCs w:val="1"/>
                <w:color w:val="231F20"/>
              </w:rPr>
              <w:t>Total</w:t>
            </w:r>
          </w:p>
        </w:tc>
        <w:tc>
          <w:tcPr>
            <w:tcW w:w="260" w:type="dxa"/>
            <w:vAlign w:val="bottom"/>
            <w:tcBorders>
              <w:top w:val="single" w:sz="8" w:color="D0EBF2"/>
              <w:bottom w:val="single" w:sz="8" w:color="D0EBF2"/>
            </w:tcBorders>
            <w:shd w:val="clear" w:color="auto" w:fill="D0EBF2"/>
          </w:tcPr>
          <w:p>
            <w:pPr>
              <w:spacing w:after="0"/>
              <w:rPr>
                <w:sz w:val="17"/>
                <w:szCs w:val="17"/>
                <w:color w:val="auto"/>
              </w:rPr>
            </w:pPr>
          </w:p>
        </w:tc>
        <w:tc>
          <w:tcPr>
            <w:tcW w:w="820" w:type="dxa"/>
            <w:vAlign w:val="bottom"/>
            <w:tcBorders>
              <w:top w:val="single" w:sz="8" w:color="231F20"/>
              <w:bottom w:val="single" w:sz="8" w:color="231F20"/>
            </w:tcBorders>
            <w:shd w:val="clear" w:color="auto" w:fill="D0EBF2"/>
          </w:tcPr>
          <w:p>
            <w:pPr>
              <w:jc w:val="right"/>
              <w:spacing w:after="0" w:line="185" w:lineRule="exact"/>
              <w:rPr>
                <w:sz w:val="20"/>
                <w:szCs w:val="20"/>
                <w:color w:val="auto"/>
              </w:rPr>
            </w:pPr>
            <w:r>
              <w:rPr>
                <w:rFonts w:ascii="Times New Roman" w:cs="Times New Roman" w:eastAsia="Times New Roman" w:hAnsi="Times New Roman"/>
                <w:sz w:val="17"/>
                <w:szCs w:val="17"/>
                <w:color w:val="231F20"/>
                <w:w w:val="99"/>
                <w:shd w:val="clear" w:color="auto" w:fill="D0EBF2"/>
              </w:rPr>
              <w:t>$ 3,208,957</w:t>
            </w:r>
          </w:p>
        </w:tc>
        <w:tc>
          <w:tcPr>
            <w:tcW w:w="220" w:type="dxa"/>
            <w:vAlign w:val="bottom"/>
            <w:tcBorders>
              <w:top w:val="single" w:sz="8" w:color="D0EBF2"/>
              <w:bottom w:val="single" w:sz="8" w:color="D0EBF2"/>
            </w:tcBorders>
            <w:shd w:val="clear" w:color="auto" w:fill="D0EBF2"/>
          </w:tcPr>
          <w:p>
            <w:pPr>
              <w:spacing w:after="0"/>
              <w:rPr>
                <w:sz w:val="17"/>
                <w:szCs w:val="17"/>
                <w:color w:val="auto"/>
              </w:rPr>
            </w:pPr>
          </w:p>
        </w:tc>
        <w:tc>
          <w:tcPr>
            <w:tcW w:w="1500" w:type="dxa"/>
            <w:vAlign w:val="bottom"/>
            <w:tcBorders>
              <w:top w:val="single" w:sz="8" w:color="231F20"/>
              <w:bottom w:val="single" w:sz="8" w:color="D0EBF2"/>
            </w:tcBorders>
            <w:shd w:val="clear" w:color="auto" w:fill="D0EBF2"/>
          </w:tcPr>
          <w:p>
            <w:pPr>
              <w:spacing w:after="0"/>
              <w:rPr>
                <w:sz w:val="17"/>
                <w:szCs w:val="17"/>
                <w:color w:val="auto"/>
              </w:rPr>
            </w:pPr>
          </w:p>
        </w:tc>
        <w:tc>
          <w:tcPr>
            <w:tcW w:w="120" w:type="dxa"/>
            <w:vAlign w:val="bottom"/>
            <w:tcBorders>
              <w:top w:val="single" w:sz="8" w:color="D0EBF2"/>
              <w:bottom w:val="single" w:sz="8" w:color="D0EBF2"/>
            </w:tcBorders>
            <w:shd w:val="clear" w:color="auto" w:fill="D0EBF2"/>
          </w:tcPr>
          <w:p>
            <w:pPr>
              <w:spacing w:after="0"/>
              <w:rPr>
                <w:sz w:val="17"/>
                <w:szCs w:val="17"/>
                <w:color w:val="auto"/>
              </w:rPr>
            </w:pPr>
          </w:p>
        </w:tc>
        <w:tc>
          <w:tcPr>
            <w:tcW w:w="1500" w:type="dxa"/>
            <w:vAlign w:val="bottom"/>
            <w:tcBorders>
              <w:top w:val="single" w:sz="8" w:color="231F20"/>
              <w:bottom w:val="single" w:sz="8" w:color="D0EBF2"/>
            </w:tcBorders>
            <w:shd w:val="clear" w:color="auto" w:fill="D0EBF2"/>
          </w:tcPr>
          <w:p>
            <w:pPr>
              <w:spacing w:after="0"/>
              <w:rPr>
                <w:sz w:val="17"/>
                <w:szCs w:val="17"/>
                <w:color w:val="auto"/>
              </w:rPr>
            </w:pPr>
          </w:p>
        </w:tc>
        <w:tc>
          <w:tcPr>
            <w:tcW w:w="120" w:type="dxa"/>
            <w:vAlign w:val="bottom"/>
            <w:tcBorders>
              <w:top w:val="single" w:sz="8" w:color="D0EBF2"/>
              <w:bottom w:val="single" w:sz="8" w:color="D0EBF2"/>
            </w:tcBorders>
            <w:shd w:val="clear" w:color="auto" w:fill="D0EBF2"/>
          </w:tcPr>
          <w:p>
            <w:pPr>
              <w:spacing w:after="0"/>
              <w:rPr>
                <w:sz w:val="17"/>
                <w:szCs w:val="17"/>
                <w:color w:val="auto"/>
              </w:rPr>
            </w:pPr>
          </w:p>
        </w:tc>
        <w:tc>
          <w:tcPr>
            <w:tcW w:w="1800" w:type="dxa"/>
            <w:vAlign w:val="bottom"/>
            <w:tcBorders>
              <w:top w:val="single" w:sz="8" w:color="231F20"/>
              <w:bottom w:val="single" w:sz="8" w:color="D0EBF2"/>
            </w:tcBorders>
            <w:shd w:val="clear" w:color="auto" w:fill="D0EBF2"/>
          </w:tcPr>
          <w:p>
            <w:pPr>
              <w:spacing w:after="0"/>
              <w:rPr>
                <w:sz w:val="17"/>
                <w:szCs w:val="17"/>
                <w:color w:val="auto"/>
              </w:rPr>
            </w:pPr>
          </w:p>
        </w:tc>
        <w:tc>
          <w:tcPr>
            <w:tcW w:w="120" w:type="dxa"/>
            <w:vAlign w:val="bottom"/>
            <w:tcBorders>
              <w:top w:val="single" w:sz="8" w:color="D0EBF2"/>
              <w:bottom w:val="single" w:sz="8" w:color="D0EBF2"/>
            </w:tcBorders>
            <w:shd w:val="clear" w:color="auto" w:fill="D0EBF2"/>
          </w:tcPr>
          <w:p>
            <w:pPr>
              <w:spacing w:after="0"/>
              <w:rPr>
                <w:sz w:val="17"/>
                <w:szCs w:val="17"/>
                <w:color w:val="auto"/>
              </w:rPr>
            </w:pPr>
          </w:p>
        </w:tc>
        <w:tc>
          <w:tcPr>
            <w:tcW w:w="1500" w:type="dxa"/>
            <w:vAlign w:val="bottom"/>
            <w:tcBorders>
              <w:top w:val="single" w:sz="8" w:color="231F20"/>
              <w:bottom w:val="single" w:sz="8" w:color="D0EBF2"/>
            </w:tcBorders>
            <w:shd w:val="clear" w:color="auto" w:fill="D0EBF2"/>
          </w:tcPr>
          <w:p>
            <w:pPr>
              <w:spacing w:after="0"/>
              <w:rPr>
                <w:sz w:val="17"/>
                <w:szCs w:val="17"/>
                <w:color w:val="auto"/>
              </w:rPr>
            </w:pPr>
          </w:p>
        </w:tc>
        <w:tc>
          <w:tcPr>
            <w:tcW w:w="20" w:type="dxa"/>
            <w:vAlign w:val="bottom"/>
            <w:tcBorders>
              <w:top w:val="single" w:sz="8" w:color="D0EBF2"/>
              <w:bottom w:val="single" w:sz="8" w:color="D0EBF2"/>
            </w:tcBorders>
            <w:shd w:val="clear" w:color="auto" w:fill="D0EBF2"/>
          </w:tcPr>
          <w:p>
            <w:pPr>
              <w:spacing w:after="0"/>
              <w:rPr>
                <w:sz w:val="17"/>
                <w:szCs w:val="17"/>
                <w:color w:val="auto"/>
              </w:rPr>
            </w:pPr>
          </w:p>
        </w:tc>
      </w:tr>
      <w:tr>
        <w:trPr>
          <w:trHeight w:val="20"/>
        </w:trPr>
        <w:tc>
          <w:tcPr>
            <w:tcW w:w="2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20" w:type="dxa"/>
            <w:vAlign w:val="bottom"/>
            <w:tcBorders>
              <w:bottom w:val="single" w:sz="8" w:color="231F20"/>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97" w:lineRule="exact"/>
        <w:rPr>
          <w:sz w:val="20"/>
          <w:szCs w:val="20"/>
          <w:color w:val="auto"/>
        </w:rPr>
      </w:pPr>
    </w:p>
    <w:p>
      <w:pPr>
        <w:ind w:left="460" w:hanging="460"/>
        <w:spacing w:after="0"/>
        <w:tabs>
          <w:tab w:leader="none" w:pos="460" w:val="left"/>
        </w:tabs>
        <w:numPr>
          <w:ilvl w:val="0"/>
          <w:numId w:val="95"/>
        </w:numPr>
        <w:rPr>
          <w:rFonts w:ascii="Times New Roman" w:cs="Times New Roman" w:eastAsia="Times New Roman" w:hAnsi="Times New Roman"/>
          <w:sz w:val="19"/>
          <w:szCs w:val="19"/>
          <w:color w:val="231F20"/>
        </w:rPr>
      </w:pPr>
      <w:r>
        <w:rPr>
          <w:rFonts w:ascii="Times New Roman" w:cs="Times New Roman" w:eastAsia="Times New Roman" w:hAnsi="Times New Roman"/>
          <w:sz w:val="19"/>
          <w:szCs w:val="19"/>
          <w:color w:val="231F20"/>
        </w:rPr>
        <w:t>Includes $63.4 million of debt investments which were valued using an asset valuation waterfall.</w:t>
      </w:r>
    </w:p>
    <w:p>
      <w:pPr>
        <w:spacing w:after="0" w:line="26" w:lineRule="exact"/>
        <w:rPr>
          <w:rFonts w:ascii="Times New Roman" w:cs="Times New Roman" w:eastAsia="Times New Roman" w:hAnsi="Times New Roman"/>
          <w:sz w:val="19"/>
          <w:szCs w:val="19"/>
          <w:color w:val="231F20"/>
        </w:rPr>
      </w:pPr>
    </w:p>
    <w:p>
      <w:pPr>
        <w:ind w:left="460" w:hanging="460"/>
        <w:spacing w:after="0" w:line="238" w:lineRule="auto"/>
        <w:tabs>
          <w:tab w:leader="none" w:pos="460" w:val="left"/>
        </w:tabs>
        <w:numPr>
          <w:ilvl w:val="0"/>
          <w:numId w:val="95"/>
        </w:numPr>
        <w:rPr>
          <w:rFonts w:ascii="Times New Roman" w:cs="Times New Roman" w:eastAsia="Times New Roman" w:hAnsi="Times New Roman"/>
          <w:sz w:val="19"/>
          <w:szCs w:val="19"/>
          <w:color w:val="231F20"/>
        </w:rPr>
      </w:pPr>
      <w:r>
        <w:rPr>
          <w:rFonts w:ascii="Times New Roman" w:cs="Times New Roman" w:eastAsia="Times New Roman" w:hAnsi="Times New Roman"/>
          <w:sz w:val="19"/>
          <w:szCs w:val="19"/>
          <w:color w:val="231F20"/>
        </w:rPr>
        <w:t>Includes $27.2 million of debt investments which were valued using an asset valuation waterfall.</w:t>
      </w:r>
    </w:p>
    <w:p>
      <w:pPr>
        <w:ind w:left="460" w:hanging="460"/>
        <w:spacing w:after="0" w:line="238" w:lineRule="auto"/>
        <w:tabs>
          <w:tab w:leader="none" w:pos="460" w:val="left"/>
        </w:tabs>
        <w:numPr>
          <w:ilvl w:val="0"/>
          <w:numId w:val="95"/>
        </w:numPr>
        <w:rPr>
          <w:rFonts w:ascii="Times New Roman" w:cs="Times New Roman" w:eastAsia="Times New Roman" w:hAnsi="Times New Roman"/>
          <w:sz w:val="19"/>
          <w:szCs w:val="19"/>
          <w:color w:val="231F20"/>
        </w:rPr>
      </w:pPr>
      <w:r>
        <w:rPr>
          <w:rFonts w:ascii="Times New Roman" w:cs="Times New Roman" w:eastAsia="Times New Roman" w:hAnsi="Times New Roman"/>
          <w:sz w:val="19"/>
          <w:szCs w:val="19"/>
          <w:color w:val="231F20"/>
        </w:rPr>
        <w:t>Includes $0.1 million of debt investments which were valued using an asset valuation waterfall.</w:t>
      </w:r>
    </w:p>
    <w:p>
      <w:pPr>
        <w:ind w:left="460" w:right="40" w:hanging="460"/>
        <w:spacing w:after="0"/>
        <w:tabs>
          <w:tab w:leader="none" w:pos="460" w:val="left"/>
        </w:tabs>
        <w:numPr>
          <w:ilvl w:val="0"/>
          <w:numId w:val="95"/>
        </w:numPr>
        <w:rPr>
          <w:rFonts w:ascii="Times New Roman" w:cs="Times New Roman" w:eastAsia="Times New Roman" w:hAnsi="Times New Roman"/>
          <w:sz w:val="19"/>
          <w:szCs w:val="19"/>
          <w:color w:val="231F20"/>
        </w:rPr>
      </w:pPr>
      <w:r>
        <w:rPr>
          <w:rFonts w:ascii="Times New Roman" w:cs="Times New Roman" w:eastAsia="Times New Roman" w:hAnsi="Times New Roman"/>
          <w:sz w:val="19"/>
          <w:szCs w:val="19"/>
          <w:color w:val="231F20"/>
        </w:rPr>
        <w:t>Includes $6.4 million of equity investments which were valued using an asset valuation waterfall, $2.4 million of equity investments using a Black-Scholes model, $15.7 million of equity investments using a discounted cash flow analysis and $6.2 million of equity investments which, due to the proximity of the transactions relative to the measurement dates, we valued using the cost of the investments.</w:t>
      </w:r>
    </w:p>
    <w:p>
      <w:pPr>
        <w:spacing w:after="0" w:line="183" w:lineRule="exact"/>
        <w:rPr>
          <w:sz w:val="20"/>
          <w:szCs w:val="20"/>
          <w:color w:val="auto"/>
        </w:rPr>
      </w:pPr>
    </w:p>
    <w:p>
      <w:pPr>
        <w:ind w:right="120" w:firstLine="231"/>
        <w:spacing w:after="0" w:line="233" w:lineRule="auto"/>
        <w:rPr>
          <w:sz w:val="20"/>
          <w:szCs w:val="20"/>
          <w:color w:val="auto"/>
        </w:rPr>
      </w:pPr>
      <w:r>
        <w:rPr>
          <w:rFonts w:ascii="Times New Roman" w:cs="Times New Roman" w:eastAsia="Times New Roman" w:hAnsi="Times New Roman"/>
          <w:sz w:val="19"/>
          <w:szCs w:val="19"/>
          <w:color w:val="231F20"/>
        </w:rPr>
        <w:t>The Company typically determines the fair value of its performing Level 3 debt investments utilizing a yield analysis. In a yield analysis, a price is ascribed for each investment based upon an assessment of current and expected market yields for similar investments and risk profiles. Additional consideration is given to the expected life, portfolio company performance since close, and other terms and risks associated with an investment. Among other factors, a determinant of risk is the amount of leverage used by the portfolio company relative to the total enterprise value of the company, and the rights and remedies of our investment within each portfolio company’s capital structure.</w:t>
      </w:r>
    </w:p>
    <w:p>
      <w:pPr>
        <w:spacing w:after="0" w:line="181" w:lineRule="exact"/>
        <w:rPr>
          <w:sz w:val="20"/>
          <w:szCs w:val="20"/>
          <w:color w:val="auto"/>
        </w:rPr>
      </w:pPr>
    </w:p>
    <w:p>
      <w:pPr>
        <w:ind w:right="360" w:firstLine="231"/>
        <w:spacing w:after="0" w:line="232" w:lineRule="auto"/>
        <w:rPr>
          <w:sz w:val="20"/>
          <w:szCs w:val="20"/>
          <w:color w:val="auto"/>
        </w:rPr>
      </w:pPr>
      <w:r>
        <w:rPr>
          <w:rFonts w:ascii="Times New Roman" w:cs="Times New Roman" w:eastAsia="Times New Roman" w:hAnsi="Times New Roman"/>
          <w:sz w:val="19"/>
          <w:szCs w:val="19"/>
          <w:color w:val="231F20"/>
        </w:rPr>
        <w:t>Significant unobservable quantitative inputs typically considered in the fair value measurement of the Company’s Level 3 debt investments primarily include current market yields, including relevant market indices, but may also include quotes from brokers, dealers, and pricing services as indicated by comparable investments. If debt investments are credit impaired, an enterprise value analysis may be used to value such debt investments; however, in addition to the methods outlined above, other methods such as a liquidation or wind-down analysis may be utilized to estimate enterprise value. For the Company’s Level 3 equity investments, multiples of similar companies’ revenues, earnings before income taxes, depreciation and amortization (“EBITDA”) or some combination thereof and comparable market transactions are typically used.</w:t>
      </w: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231F20"/>
        </w:rPr>
        <w:t>Financial Instruments Not Carried at Fair Value</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231F20"/>
        </w:rPr>
        <w:t>Debt</w:t>
      </w:r>
    </w:p>
    <w:p>
      <w:pPr>
        <w:spacing w:after="0" w:line="99" w:lineRule="exact"/>
        <w:rPr>
          <w:sz w:val="20"/>
          <w:szCs w:val="20"/>
          <w:color w:val="auto"/>
        </w:rPr>
      </w:pPr>
    </w:p>
    <w:p>
      <w:pPr>
        <w:ind w:right="180" w:firstLine="231"/>
        <w:spacing w:after="0" w:line="289" w:lineRule="auto"/>
        <w:rPr>
          <w:sz w:val="20"/>
          <w:szCs w:val="20"/>
          <w:color w:val="auto"/>
        </w:rPr>
      </w:pPr>
      <w:r>
        <w:rPr>
          <w:rFonts w:ascii="Times New Roman" w:cs="Times New Roman" w:eastAsia="Times New Roman" w:hAnsi="Times New Roman"/>
          <w:sz w:val="18"/>
          <w:szCs w:val="18"/>
          <w:color w:val="231F20"/>
        </w:rPr>
        <w:t>The fair value of the Company’s Revolving Credit Facility, which is categorized as Level 3 within the fair value hierarchy, as of December 31, 2024 and December 31, 2023, approximates its carrying value as the outstanding balance is callable at carrying value.</w:t>
      </w:r>
    </w:p>
    <w:p>
      <w:pPr>
        <w:spacing w:after="0" w:line="24" w:lineRule="exact"/>
        <w:rPr>
          <w:sz w:val="20"/>
          <w:szCs w:val="20"/>
          <w:color w:val="auto"/>
        </w:rPr>
      </w:pPr>
    </w:p>
    <w:p>
      <w:pPr>
        <w:ind w:right="900" w:firstLine="231"/>
        <w:spacing w:after="0" w:line="261" w:lineRule="auto"/>
        <w:rPr>
          <w:sz w:val="20"/>
          <w:szCs w:val="20"/>
          <w:color w:val="auto"/>
        </w:rPr>
      </w:pPr>
      <w:r>
        <w:rPr>
          <w:rFonts w:ascii="Times New Roman" w:cs="Times New Roman" w:eastAsia="Times New Roman" w:hAnsi="Times New Roman"/>
          <w:sz w:val="19"/>
          <w:szCs w:val="19"/>
          <w:color w:val="231F20"/>
        </w:rPr>
        <w:t>The following table presents the fair value of the Company’s 2024 Notes, 2026 Notes, 2028 Notes and 2029 Notes as of December 31, 2024 and December 31, 2023.</w:t>
      </w:r>
    </w:p>
    <w:p>
      <w:pPr>
        <w:spacing w:after="0" w:line="191" w:lineRule="exact"/>
        <w:rPr>
          <w:sz w:val="20"/>
          <w:szCs w:val="20"/>
          <w:color w:val="auto"/>
        </w:rPr>
      </w:pPr>
    </w:p>
    <w:tbl>
      <w:tblPr>
        <w:tblLayout w:type="fixed"/>
        <w:tblInd w:w="1020" w:type="dxa"/>
        <w:tblCellMar>
          <w:top w:w="0" w:type="dxa"/>
          <w:left w:w="0" w:type="dxa"/>
          <w:bottom w:w="0" w:type="dxa"/>
          <w:right w:w="0" w:type="dxa"/>
        </w:tblCellMar>
      </w:tblPr>
      <w:tr>
        <w:trPr>
          <w:trHeight w:val="174"/>
        </w:trPr>
        <w:tc>
          <w:tcPr>
            <w:tcW w:w="3020" w:type="dxa"/>
            <w:vAlign w:val="bottom"/>
            <w:shd w:val="clear" w:color="auto" w:fill="FDFDFC"/>
          </w:tcPr>
          <w:p>
            <w:pPr>
              <w:spacing w:after="0"/>
              <w:rPr>
                <w:sz w:val="15"/>
                <w:szCs w:val="15"/>
                <w:color w:val="auto"/>
              </w:rPr>
            </w:pPr>
          </w:p>
        </w:tc>
        <w:tc>
          <w:tcPr>
            <w:tcW w:w="120" w:type="dxa"/>
            <w:vAlign w:val="bottom"/>
            <w:shd w:val="clear" w:color="auto" w:fill="FDFDFC"/>
          </w:tcPr>
          <w:p>
            <w:pPr>
              <w:spacing w:after="0"/>
              <w:rPr>
                <w:sz w:val="15"/>
                <w:szCs w:val="15"/>
                <w:color w:val="auto"/>
              </w:rPr>
            </w:pPr>
          </w:p>
        </w:tc>
        <w:tc>
          <w:tcPr>
            <w:tcW w:w="2300" w:type="dxa"/>
            <w:vAlign w:val="bottom"/>
            <w:gridSpan w:val="5"/>
            <w:shd w:val="clear" w:color="auto" w:fill="FDFDFC"/>
          </w:tcPr>
          <w:p>
            <w:pPr>
              <w:jc w:val="right"/>
              <w:ind w:right="511"/>
              <w:spacing w:after="0"/>
              <w:rPr>
                <w:sz w:val="20"/>
                <w:szCs w:val="20"/>
                <w:color w:val="auto"/>
              </w:rPr>
            </w:pPr>
            <w:r>
              <w:rPr>
                <w:rFonts w:ascii="Times New Roman" w:cs="Times New Roman" w:eastAsia="Times New Roman" w:hAnsi="Times New Roman"/>
                <w:sz w:val="15"/>
                <w:szCs w:val="15"/>
                <w:b w:val="1"/>
                <w:bCs w:val="1"/>
                <w:color w:val="231F20"/>
              </w:rPr>
              <w:t>December 31, 2024</w:t>
            </w:r>
          </w:p>
        </w:tc>
        <w:tc>
          <w:tcPr>
            <w:tcW w:w="80" w:type="dxa"/>
            <w:vAlign w:val="bottom"/>
            <w:shd w:val="clear" w:color="auto" w:fill="FDFDFC"/>
          </w:tcPr>
          <w:p>
            <w:pPr>
              <w:spacing w:after="0"/>
              <w:rPr>
                <w:sz w:val="15"/>
                <w:szCs w:val="15"/>
                <w:color w:val="auto"/>
              </w:rPr>
            </w:pPr>
          </w:p>
        </w:tc>
        <w:tc>
          <w:tcPr>
            <w:tcW w:w="160" w:type="dxa"/>
            <w:vAlign w:val="bottom"/>
            <w:shd w:val="clear" w:color="auto" w:fill="FDFDFC"/>
          </w:tcPr>
          <w:p>
            <w:pPr>
              <w:spacing w:after="0"/>
              <w:rPr>
                <w:sz w:val="15"/>
                <w:szCs w:val="15"/>
                <w:color w:val="auto"/>
              </w:rPr>
            </w:pPr>
          </w:p>
        </w:tc>
        <w:tc>
          <w:tcPr>
            <w:tcW w:w="80" w:type="dxa"/>
            <w:vAlign w:val="bottom"/>
            <w:shd w:val="clear" w:color="auto" w:fill="FDFDFC"/>
          </w:tcPr>
          <w:p>
            <w:pPr>
              <w:spacing w:after="0"/>
              <w:rPr>
                <w:sz w:val="15"/>
                <w:szCs w:val="15"/>
                <w:color w:val="auto"/>
              </w:rPr>
            </w:pPr>
          </w:p>
        </w:tc>
        <w:tc>
          <w:tcPr>
            <w:tcW w:w="2400" w:type="dxa"/>
            <w:vAlign w:val="bottom"/>
            <w:gridSpan w:val="6"/>
            <w:shd w:val="clear" w:color="auto" w:fill="FDFDFC"/>
          </w:tcPr>
          <w:p>
            <w:pPr>
              <w:ind w:left="500"/>
              <w:spacing w:after="0"/>
              <w:rPr>
                <w:sz w:val="20"/>
                <w:szCs w:val="20"/>
                <w:color w:val="auto"/>
              </w:rPr>
            </w:pPr>
            <w:r>
              <w:rPr>
                <w:rFonts w:ascii="Times New Roman" w:cs="Times New Roman" w:eastAsia="Times New Roman" w:hAnsi="Times New Roman"/>
                <w:sz w:val="15"/>
                <w:szCs w:val="15"/>
                <w:b w:val="1"/>
                <w:bCs w:val="1"/>
                <w:color w:val="231F20"/>
              </w:rPr>
              <w:t>December 31, 2023</w:t>
            </w:r>
          </w:p>
        </w:tc>
      </w:tr>
      <w:tr>
        <w:trPr>
          <w:trHeight w:val="146"/>
        </w:trPr>
        <w:tc>
          <w:tcPr>
            <w:tcW w:w="3020" w:type="dxa"/>
            <w:vAlign w:val="bottom"/>
            <w:tcBorders>
              <w:top w:val="single" w:sz="8" w:color="FDFDFC"/>
            </w:tcBorders>
            <w:shd w:val="clear" w:color="auto" w:fill="FDFDFC"/>
          </w:tcPr>
          <w:p>
            <w:pPr>
              <w:spacing w:after="0"/>
              <w:rPr>
                <w:sz w:val="12"/>
                <w:szCs w:val="12"/>
                <w:color w:val="auto"/>
              </w:rPr>
            </w:pPr>
          </w:p>
        </w:tc>
        <w:tc>
          <w:tcPr>
            <w:tcW w:w="120" w:type="dxa"/>
            <w:vAlign w:val="bottom"/>
            <w:tcBorders>
              <w:top w:val="single" w:sz="8" w:color="231F20"/>
            </w:tcBorders>
            <w:shd w:val="clear" w:color="auto" w:fill="FDFDFC"/>
          </w:tcPr>
          <w:p>
            <w:pPr>
              <w:spacing w:after="0"/>
              <w:rPr>
                <w:sz w:val="12"/>
                <w:szCs w:val="12"/>
                <w:color w:val="auto"/>
              </w:rPr>
            </w:pPr>
          </w:p>
        </w:tc>
        <w:tc>
          <w:tcPr>
            <w:tcW w:w="1000" w:type="dxa"/>
            <w:vAlign w:val="bottom"/>
            <w:tcBorders>
              <w:top w:val="single" w:sz="8" w:color="231F20"/>
            </w:tcBorders>
            <w:shd w:val="clear" w:color="auto" w:fill="FDFDFC"/>
          </w:tcPr>
          <w:p>
            <w:pPr>
              <w:jc w:val="right"/>
              <w:ind w:right="73"/>
              <w:spacing w:after="0" w:line="146" w:lineRule="exact"/>
              <w:rPr>
                <w:sz w:val="20"/>
                <w:szCs w:val="20"/>
                <w:color w:val="auto"/>
              </w:rPr>
            </w:pPr>
            <w:r>
              <w:rPr>
                <w:rFonts w:ascii="Times New Roman" w:cs="Times New Roman" w:eastAsia="Times New Roman" w:hAnsi="Times New Roman"/>
                <w:sz w:val="15"/>
                <w:szCs w:val="15"/>
                <w:b w:val="1"/>
                <w:bCs w:val="1"/>
                <w:color w:val="231F20"/>
              </w:rPr>
              <w:t>Outstanding</w:t>
            </w:r>
          </w:p>
        </w:tc>
        <w:tc>
          <w:tcPr>
            <w:tcW w:w="60" w:type="dxa"/>
            <w:vAlign w:val="bottom"/>
            <w:tcBorders>
              <w:top w:val="single" w:sz="8" w:color="231F20"/>
            </w:tcBorders>
            <w:shd w:val="clear" w:color="auto" w:fill="FDFDFC"/>
          </w:tcPr>
          <w:p>
            <w:pPr>
              <w:spacing w:after="0"/>
              <w:rPr>
                <w:sz w:val="12"/>
                <w:szCs w:val="12"/>
                <w:color w:val="auto"/>
              </w:rPr>
            </w:pPr>
          </w:p>
        </w:tc>
        <w:tc>
          <w:tcPr>
            <w:tcW w:w="160" w:type="dxa"/>
            <w:vAlign w:val="bottom"/>
            <w:tcBorders>
              <w:top w:val="single" w:sz="8" w:color="231F20"/>
            </w:tcBorders>
            <w:shd w:val="clear" w:color="auto" w:fill="FDFDFC"/>
          </w:tcPr>
          <w:p>
            <w:pPr>
              <w:spacing w:after="0"/>
              <w:rPr>
                <w:sz w:val="12"/>
                <w:szCs w:val="12"/>
                <w:color w:val="auto"/>
              </w:rPr>
            </w:pPr>
          </w:p>
        </w:tc>
        <w:tc>
          <w:tcPr>
            <w:tcW w:w="180" w:type="dxa"/>
            <w:vAlign w:val="bottom"/>
            <w:tcBorders>
              <w:top w:val="single" w:sz="8" w:color="231F20"/>
            </w:tcBorders>
            <w:shd w:val="clear" w:color="auto" w:fill="FDFDFC"/>
          </w:tcPr>
          <w:p>
            <w:pPr>
              <w:spacing w:after="0"/>
              <w:rPr>
                <w:sz w:val="12"/>
                <w:szCs w:val="12"/>
                <w:color w:val="auto"/>
              </w:rPr>
            </w:pPr>
          </w:p>
        </w:tc>
        <w:tc>
          <w:tcPr>
            <w:tcW w:w="900" w:type="dxa"/>
            <w:vAlign w:val="bottom"/>
            <w:tcBorders>
              <w:top w:val="single" w:sz="8" w:color="231F20"/>
            </w:tcBorders>
            <w:shd w:val="clear" w:color="auto" w:fill="FDFDFC"/>
          </w:tcPr>
          <w:p>
            <w:pPr>
              <w:jc w:val="right"/>
              <w:ind w:right="311"/>
              <w:spacing w:after="0" w:line="146" w:lineRule="exact"/>
              <w:rPr>
                <w:sz w:val="20"/>
                <w:szCs w:val="20"/>
                <w:color w:val="auto"/>
              </w:rPr>
            </w:pPr>
            <w:r>
              <w:rPr>
                <w:rFonts w:ascii="Times New Roman" w:cs="Times New Roman" w:eastAsia="Times New Roman" w:hAnsi="Times New Roman"/>
                <w:sz w:val="15"/>
                <w:szCs w:val="15"/>
                <w:b w:val="1"/>
                <w:bCs w:val="1"/>
                <w:color w:val="231F20"/>
              </w:rPr>
              <w:t>Fair</w:t>
            </w:r>
          </w:p>
        </w:tc>
        <w:tc>
          <w:tcPr>
            <w:tcW w:w="80" w:type="dxa"/>
            <w:vAlign w:val="bottom"/>
            <w:tcBorders>
              <w:top w:val="single" w:sz="8" w:color="FDFDFC"/>
            </w:tcBorders>
            <w:shd w:val="clear" w:color="auto" w:fill="FDFDFC"/>
          </w:tcPr>
          <w:p>
            <w:pPr>
              <w:spacing w:after="0"/>
              <w:rPr>
                <w:sz w:val="12"/>
                <w:szCs w:val="12"/>
                <w:color w:val="auto"/>
              </w:rPr>
            </w:pPr>
          </w:p>
        </w:tc>
        <w:tc>
          <w:tcPr>
            <w:tcW w:w="160" w:type="dxa"/>
            <w:vAlign w:val="bottom"/>
            <w:tcBorders>
              <w:top w:val="single" w:sz="8" w:color="231F20"/>
            </w:tcBorders>
            <w:shd w:val="clear" w:color="auto" w:fill="FDFDFC"/>
          </w:tcPr>
          <w:p>
            <w:pPr>
              <w:spacing w:after="0"/>
              <w:rPr>
                <w:sz w:val="12"/>
                <w:szCs w:val="12"/>
                <w:color w:val="auto"/>
              </w:rPr>
            </w:pPr>
          </w:p>
        </w:tc>
        <w:tc>
          <w:tcPr>
            <w:tcW w:w="80" w:type="dxa"/>
            <w:vAlign w:val="bottom"/>
            <w:tcBorders>
              <w:top w:val="single" w:sz="8" w:color="231F20"/>
            </w:tcBorders>
            <w:shd w:val="clear" w:color="auto" w:fill="FDFDFC"/>
          </w:tcPr>
          <w:p>
            <w:pPr>
              <w:spacing w:after="0"/>
              <w:rPr>
                <w:sz w:val="12"/>
                <w:szCs w:val="12"/>
                <w:color w:val="auto"/>
              </w:rPr>
            </w:pPr>
          </w:p>
        </w:tc>
        <w:tc>
          <w:tcPr>
            <w:tcW w:w="1000" w:type="dxa"/>
            <w:vAlign w:val="bottom"/>
            <w:tcBorders>
              <w:top w:val="single" w:sz="8" w:color="231F20"/>
            </w:tcBorders>
            <w:shd w:val="clear" w:color="auto" w:fill="FDFDFC"/>
          </w:tcPr>
          <w:p>
            <w:pPr>
              <w:jc w:val="right"/>
              <w:ind w:right="53"/>
              <w:spacing w:after="0" w:line="146" w:lineRule="exact"/>
              <w:rPr>
                <w:sz w:val="20"/>
                <w:szCs w:val="20"/>
                <w:color w:val="auto"/>
              </w:rPr>
            </w:pPr>
            <w:r>
              <w:rPr>
                <w:rFonts w:ascii="Times New Roman" w:cs="Times New Roman" w:eastAsia="Times New Roman" w:hAnsi="Times New Roman"/>
                <w:sz w:val="15"/>
                <w:szCs w:val="15"/>
                <w:b w:val="1"/>
                <w:bCs w:val="1"/>
                <w:color w:val="231F20"/>
              </w:rPr>
              <w:t>Outstanding</w:t>
            </w:r>
          </w:p>
        </w:tc>
        <w:tc>
          <w:tcPr>
            <w:tcW w:w="80" w:type="dxa"/>
            <w:vAlign w:val="bottom"/>
            <w:tcBorders>
              <w:top w:val="single" w:sz="8" w:color="231F20"/>
            </w:tcBorders>
            <w:shd w:val="clear" w:color="auto" w:fill="FDFDFC"/>
          </w:tcPr>
          <w:p>
            <w:pPr>
              <w:spacing w:after="0"/>
              <w:rPr>
                <w:sz w:val="12"/>
                <w:szCs w:val="12"/>
                <w:color w:val="auto"/>
              </w:rPr>
            </w:pPr>
          </w:p>
        </w:tc>
        <w:tc>
          <w:tcPr>
            <w:tcW w:w="160" w:type="dxa"/>
            <w:vAlign w:val="bottom"/>
            <w:tcBorders>
              <w:top w:val="single" w:sz="8" w:color="231F20"/>
            </w:tcBorders>
            <w:shd w:val="clear" w:color="auto" w:fill="FDFDFC"/>
          </w:tcPr>
          <w:p>
            <w:pPr>
              <w:spacing w:after="0"/>
              <w:rPr>
                <w:sz w:val="12"/>
                <w:szCs w:val="12"/>
                <w:color w:val="auto"/>
              </w:rPr>
            </w:pPr>
          </w:p>
        </w:tc>
        <w:tc>
          <w:tcPr>
            <w:tcW w:w="180" w:type="dxa"/>
            <w:vAlign w:val="bottom"/>
            <w:tcBorders>
              <w:top w:val="single" w:sz="8" w:color="231F20"/>
            </w:tcBorders>
            <w:shd w:val="clear" w:color="auto" w:fill="FDFDFC"/>
          </w:tcPr>
          <w:p>
            <w:pPr>
              <w:spacing w:after="0"/>
              <w:rPr>
                <w:sz w:val="12"/>
                <w:szCs w:val="12"/>
                <w:color w:val="auto"/>
              </w:rPr>
            </w:pPr>
          </w:p>
        </w:tc>
        <w:tc>
          <w:tcPr>
            <w:tcW w:w="900" w:type="dxa"/>
            <w:vAlign w:val="bottom"/>
            <w:tcBorders>
              <w:top w:val="single" w:sz="8" w:color="231F20"/>
            </w:tcBorders>
            <w:shd w:val="clear" w:color="auto" w:fill="FDFDFC"/>
          </w:tcPr>
          <w:p>
            <w:pPr>
              <w:jc w:val="right"/>
              <w:ind w:right="331"/>
              <w:spacing w:after="0" w:line="146" w:lineRule="exact"/>
              <w:rPr>
                <w:sz w:val="20"/>
                <w:szCs w:val="20"/>
                <w:color w:val="auto"/>
              </w:rPr>
            </w:pPr>
            <w:r>
              <w:rPr>
                <w:rFonts w:ascii="Times New Roman" w:cs="Times New Roman" w:eastAsia="Times New Roman" w:hAnsi="Times New Roman"/>
                <w:sz w:val="15"/>
                <w:szCs w:val="15"/>
                <w:b w:val="1"/>
                <w:bCs w:val="1"/>
                <w:color w:val="231F20"/>
              </w:rPr>
              <w:t>Fair</w:t>
            </w:r>
          </w:p>
        </w:tc>
        <w:tc>
          <w:tcPr>
            <w:tcW w:w="80" w:type="dxa"/>
            <w:vAlign w:val="bottom"/>
            <w:tcBorders>
              <w:top w:val="single" w:sz="8" w:color="FDFDFC"/>
            </w:tcBorders>
            <w:shd w:val="clear" w:color="auto" w:fill="FDFDFC"/>
          </w:tcPr>
          <w:p>
            <w:pPr>
              <w:spacing w:after="0"/>
              <w:rPr>
                <w:sz w:val="12"/>
                <w:szCs w:val="12"/>
                <w:color w:val="auto"/>
              </w:rPr>
            </w:pPr>
          </w:p>
        </w:tc>
      </w:tr>
      <w:tr>
        <w:trPr>
          <w:trHeight w:val="191"/>
        </w:trPr>
        <w:tc>
          <w:tcPr>
            <w:tcW w:w="3020" w:type="dxa"/>
            <w:vAlign w:val="bottom"/>
            <w:tcBorders>
              <w:bottom w:val="single" w:sz="8" w:color="D0EBF2"/>
            </w:tcBorders>
            <w:shd w:val="clear" w:color="auto" w:fill="FDFDFC"/>
          </w:tcPr>
          <w:p>
            <w:pPr>
              <w:spacing w:after="0"/>
              <w:rPr>
                <w:sz w:val="16"/>
                <w:szCs w:val="16"/>
                <w:color w:val="auto"/>
              </w:rPr>
            </w:pPr>
          </w:p>
        </w:tc>
        <w:tc>
          <w:tcPr>
            <w:tcW w:w="120" w:type="dxa"/>
            <w:vAlign w:val="bottom"/>
            <w:tcBorders>
              <w:bottom w:val="single" w:sz="8" w:color="231F20"/>
            </w:tcBorders>
            <w:shd w:val="clear" w:color="auto" w:fill="FDFDFC"/>
          </w:tcPr>
          <w:p>
            <w:pPr>
              <w:spacing w:after="0"/>
              <w:rPr>
                <w:sz w:val="16"/>
                <w:szCs w:val="16"/>
                <w:color w:val="auto"/>
              </w:rPr>
            </w:pPr>
          </w:p>
        </w:tc>
        <w:tc>
          <w:tcPr>
            <w:tcW w:w="1000" w:type="dxa"/>
            <w:vAlign w:val="bottom"/>
            <w:tcBorders>
              <w:bottom w:val="single" w:sz="8" w:color="231F20"/>
            </w:tcBorders>
            <w:shd w:val="clear" w:color="auto" w:fill="FDFDFC"/>
          </w:tcPr>
          <w:p>
            <w:pPr>
              <w:jc w:val="right"/>
              <w:ind w:right="173"/>
              <w:spacing w:after="0"/>
              <w:rPr>
                <w:sz w:val="20"/>
                <w:szCs w:val="20"/>
                <w:color w:val="auto"/>
              </w:rPr>
            </w:pPr>
            <w:r>
              <w:rPr>
                <w:rFonts w:ascii="Times New Roman" w:cs="Times New Roman" w:eastAsia="Times New Roman" w:hAnsi="Times New Roman"/>
                <w:sz w:val="15"/>
                <w:szCs w:val="15"/>
                <w:b w:val="1"/>
                <w:bCs w:val="1"/>
                <w:color w:val="231F20"/>
              </w:rPr>
              <w:t>Principal</w:t>
            </w:r>
          </w:p>
        </w:tc>
        <w:tc>
          <w:tcPr>
            <w:tcW w:w="60" w:type="dxa"/>
            <w:vAlign w:val="bottom"/>
            <w:tcBorders>
              <w:bottom w:val="single" w:sz="8" w:color="D0EBF2"/>
            </w:tcBorders>
            <w:shd w:val="clear" w:color="auto" w:fill="FDFDFC"/>
          </w:tcPr>
          <w:p>
            <w:pPr>
              <w:spacing w:after="0"/>
              <w:rPr>
                <w:sz w:val="16"/>
                <w:szCs w:val="16"/>
                <w:color w:val="auto"/>
              </w:rPr>
            </w:pPr>
          </w:p>
        </w:tc>
        <w:tc>
          <w:tcPr>
            <w:tcW w:w="160" w:type="dxa"/>
            <w:vAlign w:val="bottom"/>
            <w:tcBorders>
              <w:bottom w:val="single" w:sz="8" w:color="D0EBF2"/>
            </w:tcBorders>
            <w:shd w:val="clear" w:color="auto" w:fill="FDFDFC"/>
          </w:tcPr>
          <w:p>
            <w:pPr>
              <w:spacing w:after="0"/>
              <w:rPr>
                <w:sz w:val="16"/>
                <w:szCs w:val="16"/>
                <w:color w:val="auto"/>
              </w:rPr>
            </w:pPr>
          </w:p>
        </w:tc>
        <w:tc>
          <w:tcPr>
            <w:tcW w:w="180" w:type="dxa"/>
            <w:vAlign w:val="bottom"/>
            <w:tcBorders>
              <w:bottom w:val="single" w:sz="8" w:color="231F20"/>
            </w:tcBorders>
            <w:shd w:val="clear" w:color="auto" w:fill="FDFDFC"/>
          </w:tcPr>
          <w:p>
            <w:pPr>
              <w:spacing w:after="0"/>
              <w:rPr>
                <w:sz w:val="16"/>
                <w:szCs w:val="16"/>
                <w:color w:val="auto"/>
              </w:rPr>
            </w:pPr>
          </w:p>
        </w:tc>
        <w:tc>
          <w:tcPr>
            <w:tcW w:w="900" w:type="dxa"/>
            <w:vAlign w:val="bottom"/>
            <w:tcBorders>
              <w:bottom w:val="single" w:sz="8" w:color="231F20"/>
            </w:tcBorders>
            <w:shd w:val="clear" w:color="auto" w:fill="FDFDFC"/>
          </w:tcPr>
          <w:p>
            <w:pPr>
              <w:jc w:val="right"/>
              <w:ind w:right="191"/>
              <w:spacing w:after="0"/>
              <w:rPr>
                <w:sz w:val="20"/>
                <w:szCs w:val="20"/>
                <w:color w:val="auto"/>
              </w:rPr>
            </w:pPr>
            <w:r>
              <w:rPr>
                <w:rFonts w:ascii="Times New Roman" w:cs="Times New Roman" w:eastAsia="Times New Roman" w:hAnsi="Times New Roman"/>
                <w:sz w:val="15"/>
                <w:szCs w:val="15"/>
                <w:b w:val="1"/>
                <w:bCs w:val="1"/>
                <w:color w:val="231F20"/>
              </w:rPr>
              <w:t xml:space="preserve">Value </w:t>
            </w:r>
            <w:r>
              <w:rPr>
                <w:rFonts w:ascii="Times New Roman" w:cs="Times New Roman" w:eastAsia="Times New Roman" w:hAnsi="Times New Roman"/>
                <w:sz w:val="9"/>
                <w:szCs w:val="9"/>
                <w:b w:val="1"/>
                <w:bCs w:val="1"/>
                <w:color w:val="231F20"/>
              </w:rPr>
              <w:t>(1)</w:t>
            </w:r>
          </w:p>
        </w:tc>
        <w:tc>
          <w:tcPr>
            <w:tcW w:w="80" w:type="dxa"/>
            <w:vAlign w:val="bottom"/>
            <w:tcBorders>
              <w:bottom w:val="single" w:sz="8" w:color="D0EBF2"/>
            </w:tcBorders>
            <w:shd w:val="clear" w:color="auto" w:fill="FDFDFC"/>
          </w:tcPr>
          <w:p>
            <w:pPr>
              <w:spacing w:after="0"/>
              <w:rPr>
                <w:sz w:val="16"/>
                <w:szCs w:val="16"/>
                <w:color w:val="auto"/>
              </w:rPr>
            </w:pPr>
          </w:p>
        </w:tc>
        <w:tc>
          <w:tcPr>
            <w:tcW w:w="160" w:type="dxa"/>
            <w:vAlign w:val="bottom"/>
            <w:tcBorders>
              <w:bottom w:val="single" w:sz="8" w:color="D0EBF2"/>
            </w:tcBorders>
            <w:shd w:val="clear" w:color="auto" w:fill="FDFDFC"/>
          </w:tcPr>
          <w:p>
            <w:pPr>
              <w:spacing w:after="0"/>
              <w:rPr>
                <w:sz w:val="16"/>
                <w:szCs w:val="16"/>
                <w:color w:val="auto"/>
              </w:rPr>
            </w:pPr>
          </w:p>
        </w:tc>
        <w:tc>
          <w:tcPr>
            <w:tcW w:w="80" w:type="dxa"/>
            <w:vAlign w:val="bottom"/>
            <w:tcBorders>
              <w:bottom w:val="single" w:sz="8" w:color="231F20"/>
            </w:tcBorders>
            <w:shd w:val="clear" w:color="auto" w:fill="FDFDFC"/>
          </w:tcPr>
          <w:p>
            <w:pPr>
              <w:spacing w:after="0"/>
              <w:rPr>
                <w:sz w:val="16"/>
                <w:szCs w:val="16"/>
                <w:color w:val="auto"/>
              </w:rPr>
            </w:pPr>
          </w:p>
        </w:tc>
        <w:tc>
          <w:tcPr>
            <w:tcW w:w="1000" w:type="dxa"/>
            <w:vAlign w:val="bottom"/>
            <w:tcBorders>
              <w:bottom w:val="single" w:sz="8" w:color="231F20"/>
            </w:tcBorders>
            <w:shd w:val="clear" w:color="auto" w:fill="FDFDFC"/>
          </w:tcPr>
          <w:p>
            <w:pPr>
              <w:jc w:val="right"/>
              <w:ind w:right="153"/>
              <w:spacing w:after="0"/>
              <w:rPr>
                <w:sz w:val="20"/>
                <w:szCs w:val="20"/>
                <w:color w:val="auto"/>
              </w:rPr>
            </w:pPr>
            <w:r>
              <w:rPr>
                <w:rFonts w:ascii="Times New Roman" w:cs="Times New Roman" w:eastAsia="Times New Roman" w:hAnsi="Times New Roman"/>
                <w:sz w:val="15"/>
                <w:szCs w:val="15"/>
                <w:b w:val="1"/>
                <w:bCs w:val="1"/>
                <w:color w:val="231F20"/>
              </w:rPr>
              <w:t>Principal</w:t>
            </w:r>
          </w:p>
        </w:tc>
        <w:tc>
          <w:tcPr>
            <w:tcW w:w="80" w:type="dxa"/>
            <w:vAlign w:val="bottom"/>
            <w:tcBorders>
              <w:bottom w:val="single" w:sz="8" w:color="D0EBF2"/>
            </w:tcBorders>
            <w:shd w:val="clear" w:color="auto" w:fill="FDFDFC"/>
          </w:tcPr>
          <w:p>
            <w:pPr>
              <w:spacing w:after="0"/>
              <w:rPr>
                <w:sz w:val="16"/>
                <w:szCs w:val="16"/>
                <w:color w:val="auto"/>
              </w:rPr>
            </w:pPr>
          </w:p>
        </w:tc>
        <w:tc>
          <w:tcPr>
            <w:tcW w:w="160" w:type="dxa"/>
            <w:vAlign w:val="bottom"/>
            <w:tcBorders>
              <w:bottom w:val="single" w:sz="8" w:color="D0EBF2"/>
            </w:tcBorders>
            <w:shd w:val="clear" w:color="auto" w:fill="FDFDFC"/>
          </w:tcPr>
          <w:p>
            <w:pPr>
              <w:spacing w:after="0"/>
              <w:rPr>
                <w:sz w:val="16"/>
                <w:szCs w:val="16"/>
                <w:color w:val="auto"/>
              </w:rPr>
            </w:pPr>
          </w:p>
        </w:tc>
        <w:tc>
          <w:tcPr>
            <w:tcW w:w="180" w:type="dxa"/>
            <w:vAlign w:val="bottom"/>
            <w:tcBorders>
              <w:bottom w:val="single" w:sz="8" w:color="231F20"/>
            </w:tcBorders>
            <w:shd w:val="clear" w:color="auto" w:fill="FDFDFC"/>
          </w:tcPr>
          <w:p>
            <w:pPr>
              <w:spacing w:after="0"/>
              <w:rPr>
                <w:sz w:val="16"/>
                <w:szCs w:val="16"/>
                <w:color w:val="auto"/>
              </w:rPr>
            </w:pPr>
          </w:p>
        </w:tc>
        <w:tc>
          <w:tcPr>
            <w:tcW w:w="900" w:type="dxa"/>
            <w:vAlign w:val="bottom"/>
            <w:tcBorders>
              <w:bottom w:val="single" w:sz="8" w:color="231F20"/>
            </w:tcBorders>
            <w:shd w:val="clear" w:color="auto" w:fill="FDFDFC"/>
          </w:tcPr>
          <w:p>
            <w:pPr>
              <w:jc w:val="right"/>
              <w:ind w:right="191"/>
              <w:spacing w:after="0"/>
              <w:rPr>
                <w:sz w:val="20"/>
                <w:szCs w:val="20"/>
                <w:color w:val="auto"/>
              </w:rPr>
            </w:pPr>
            <w:r>
              <w:rPr>
                <w:rFonts w:ascii="Times New Roman" w:cs="Times New Roman" w:eastAsia="Times New Roman" w:hAnsi="Times New Roman"/>
                <w:sz w:val="15"/>
                <w:szCs w:val="15"/>
                <w:b w:val="1"/>
                <w:bCs w:val="1"/>
                <w:color w:val="231F20"/>
              </w:rPr>
              <w:t xml:space="preserve">Value </w:t>
            </w:r>
            <w:r>
              <w:rPr>
                <w:rFonts w:ascii="Times New Roman" w:cs="Times New Roman" w:eastAsia="Times New Roman" w:hAnsi="Times New Roman"/>
                <w:sz w:val="9"/>
                <w:szCs w:val="9"/>
                <w:b w:val="1"/>
                <w:bCs w:val="1"/>
                <w:color w:val="231F20"/>
              </w:rPr>
              <w:t>(1)</w:t>
            </w:r>
          </w:p>
        </w:tc>
        <w:tc>
          <w:tcPr>
            <w:tcW w:w="80" w:type="dxa"/>
            <w:vAlign w:val="bottom"/>
            <w:tcBorders>
              <w:bottom w:val="single" w:sz="8" w:color="D0EBF2"/>
            </w:tcBorders>
            <w:shd w:val="clear" w:color="auto" w:fill="FDFDFC"/>
          </w:tcPr>
          <w:p>
            <w:pPr>
              <w:spacing w:after="0"/>
              <w:rPr>
                <w:sz w:val="16"/>
                <w:szCs w:val="16"/>
                <w:color w:val="auto"/>
              </w:rPr>
            </w:pPr>
          </w:p>
        </w:tc>
      </w:tr>
      <w:tr>
        <w:trPr>
          <w:trHeight w:val="207"/>
        </w:trPr>
        <w:tc>
          <w:tcPr>
            <w:tcW w:w="3020" w:type="dxa"/>
            <w:vAlign w:val="bottom"/>
            <w:shd w:val="clear" w:color="auto" w:fill="D0EBF2"/>
          </w:tcPr>
          <w:p>
            <w:pPr>
              <w:spacing w:after="0" w:line="206" w:lineRule="exact"/>
              <w:rPr>
                <w:sz w:val="20"/>
                <w:szCs w:val="20"/>
                <w:color w:val="auto"/>
              </w:rPr>
            </w:pPr>
            <w:r>
              <w:rPr>
                <w:rFonts w:ascii="Times New Roman" w:cs="Times New Roman" w:eastAsia="Times New Roman" w:hAnsi="Times New Roman"/>
                <w:sz w:val="19"/>
                <w:szCs w:val="19"/>
                <w:color w:val="231F20"/>
              </w:rPr>
              <w:t>2024 Notes</w:t>
            </w:r>
          </w:p>
        </w:tc>
        <w:tc>
          <w:tcPr>
            <w:tcW w:w="120" w:type="dxa"/>
            <w:vAlign w:val="bottom"/>
            <w:shd w:val="clear" w:color="auto" w:fill="D0EBF2"/>
          </w:tcPr>
          <w:p>
            <w:pPr>
              <w:jc w:val="right"/>
              <w:spacing w:after="0" w:line="206" w:lineRule="exact"/>
              <w:rPr>
                <w:sz w:val="20"/>
                <w:szCs w:val="20"/>
                <w:color w:val="auto"/>
              </w:rPr>
            </w:pPr>
            <w:r>
              <w:rPr>
                <w:rFonts w:ascii="Times New Roman" w:cs="Times New Roman" w:eastAsia="Times New Roman" w:hAnsi="Times New Roman"/>
                <w:sz w:val="19"/>
                <w:szCs w:val="19"/>
                <w:color w:val="231F20"/>
                <w:w w:val="83"/>
              </w:rPr>
              <w:t>$</w:t>
            </w:r>
          </w:p>
        </w:tc>
        <w:tc>
          <w:tcPr>
            <w:tcW w:w="1000" w:type="dxa"/>
            <w:vAlign w:val="bottom"/>
            <w:shd w:val="clear" w:color="auto" w:fill="D0EBF2"/>
          </w:tcPr>
          <w:p>
            <w:pPr>
              <w:jc w:val="right"/>
              <w:spacing w:after="0" w:line="206" w:lineRule="exact"/>
              <w:rPr>
                <w:sz w:val="20"/>
                <w:szCs w:val="20"/>
                <w:color w:val="auto"/>
              </w:rPr>
            </w:pPr>
            <w:r>
              <w:rPr>
                <w:rFonts w:ascii="Times New Roman" w:cs="Times New Roman" w:eastAsia="Times New Roman" w:hAnsi="Times New Roman"/>
                <w:sz w:val="19"/>
                <w:szCs w:val="19"/>
                <w:color w:val="231F20"/>
              </w:rPr>
              <w:t>—</w:t>
            </w:r>
          </w:p>
        </w:tc>
        <w:tc>
          <w:tcPr>
            <w:tcW w:w="60" w:type="dxa"/>
            <w:vAlign w:val="bottom"/>
            <w:shd w:val="clear" w:color="auto" w:fill="D0EBF2"/>
          </w:tcPr>
          <w:p>
            <w:pPr>
              <w:spacing w:after="0"/>
              <w:rPr>
                <w:sz w:val="17"/>
                <w:szCs w:val="17"/>
                <w:color w:val="auto"/>
              </w:rPr>
            </w:pPr>
          </w:p>
        </w:tc>
        <w:tc>
          <w:tcPr>
            <w:tcW w:w="160" w:type="dxa"/>
            <w:vAlign w:val="bottom"/>
            <w:shd w:val="clear" w:color="auto" w:fill="D0EBF2"/>
          </w:tcPr>
          <w:p>
            <w:pPr>
              <w:spacing w:after="0"/>
              <w:rPr>
                <w:sz w:val="17"/>
                <w:szCs w:val="17"/>
                <w:color w:val="auto"/>
              </w:rPr>
            </w:pPr>
          </w:p>
        </w:tc>
        <w:tc>
          <w:tcPr>
            <w:tcW w:w="180" w:type="dxa"/>
            <w:vAlign w:val="bottom"/>
            <w:shd w:val="clear" w:color="auto" w:fill="D0EBF2"/>
          </w:tcPr>
          <w:p>
            <w:pPr>
              <w:jc w:val="right"/>
              <w:spacing w:after="0" w:line="206" w:lineRule="exact"/>
              <w:rPr>
                <w:sz w:val="20"/>
                <w:szCs w:val="20"/>
                <w:color w:val="auto"/>
              </w:rPr>
            </w:pPr>
            <w:r>
              <w:rPr>
                <w:rFonts w:ascii="Times New Roman" w:cs="Times New Roman" w:eastAsia="Times New Roman" w:hAnsi="Times New Roman"/>
                <w:sz w:val="19"/>
                <w:szCs w:val="19"/>
                <w:color w:val="231F20"/>
                <w:w w:val="83"/>
              </w:rPr>
              <w:t>$</w:t>
            </w:r>
          </w:p>
        </w:tc>
        <w:tc>
          <w:tcPr>
            <w:tcW w:w="900" w:type="dxa"/>
            <w:vAlign w:val="bottom"/>
            <w:shd w:val="clear" w:color="auto" w:fill="D0EBF2"/>
          </w:tcPr>
          <w:p>
            <w:pPr>
              <w:jc w:val="right"/>
              <w:spacing w:after="0" w:line="206" w:lineRule="exact"/>
              <w:rPr>
                <w:sz w:val="20"/>
                <w:szCs w:val="20"/>
                <w:color w:val="auto"/>
              </w:rPr>
            </w:pPr>
            <w:r>
              <w:rPr>
                <w:rFonts w:ascii="Times New Roman" w:cs="Times New Roman" w:eastAsia="Times New Roman" w:hAnsi="Times New Roman"/>
                <w:sz w:val="19"/>
                <w:szCs w:val="19"/>
                <w:color w:val="231F20"/>
              </w:rPr>
              <w:t>—</w:t>
            </w:r>
          </w:p>
        </w:tc>
        <w:tc>
          <w:tcPr>
            <w:tcW w:w="80" w:type="dxa"/>
            <w:vAlign w:val="bottom"/>
            <w:shd w:val="clear" w:color="auto" w:fill="D0EBF2"/>
          </w:tcPr>
          <w:p>
            <w:pPr>
              <w:spacing w:after="0"/>
              <w:rPr>
                <w:sz w:val="17"/>
                <w:szCs w:val="17"/>
                <w:color w:val="auto"/>
              </w:rPr>
            </w:pPr>
          </w:p>
        </w:tc>
        <w:tc>
          <w:tcPr>
            <w:tcW w:w="160" w:type="dxa"/>
            <w:vAlign w:val="bottom"/>
            <w:shd w:val="clear" w:color="auto" w:fill="D0EBF2"/>
          </w:tcPr>
          <w:p>
            <w:pPr>
              <w:spacing w:after="0"/>
              <w:rPr>
                <w:sz w:val="17"/>
                <w:szCs w:val="17"/>
                <w:color w:val="auto"/>
              </w:rPr>
            </w:pPr>
          </w:p>
        </w:tc>
        <w:tc>
          <w:tcPr>
            <w:tcW w:w="80" w:type="dxa"/>
            <w:vAlign w:val="bottom"/>
            <w:shd w:val="clear" w:color="auto" w:fill="D0EBF2"/>
          </w:tcPr>
          <w:p>
            <w:pPr>
              <w:jc w:val="right"/>
              <w:spacing w:after="0"/>
              <w:rPr>
                <w:sz w:val="20"/>
                <w:szCs w:val="20"/>
                <w:color w:val="auto"/>
              </w:rPr>
            </w:pPr>
            <w:r>
              <w:rPr>
                <w:rFonts w:ascii="Times New Roman" w:cs="Times New Roman" w:eastAsia="Times New Roman" w:hAnsi="Times New Roman"/>
                <w:sz w:val="17"/>
                <w:szCs w:val="17"/>
                <w:color w:val="231F20"/>
                <w:w w:val="70"/>
                <w:shd w:val="clear" w:color="auto" w:fill="D0EBF2"/>
              </w:rPr>
              <w:t>$</w:t>
            </w:r>
          </w:p>
        </w:tc>
        <w:tc>
          <w:tcPr>
            <w:tcW w:w="1000" w:type="dxa"/>
            <w:vAlign w:val="bottom"/>
            <w:shd w:val="clear" w:color="auto" w:fill="D0EBF2"/>
          </w:tcPr>
          <w:p>
            <w:pPr>
              <w:jc w:val="right"/>
              <w:spacing w:after="0" w:line="206" w:lineRule="exact"/>
              <w:rPr>
                <w:sz w:val="20"/>
                <w:szCs w:val="20"/>
                <w:color w:val="auto"/>
              </w:rPr>
            </w:pPr>
            <w:r>
              <w:rPr>
                <w:rFonts w:ascii="Times New Roman" w:cs="Times New Roman" w:eastAsia="Times New Roman" w:hAnsi="Times New Roman"/>
                <w:sz w:val="19"/>
                <w:szCs w:val="19"/>
                <w:color w:val="231F20"/>
              </w:rPr>
              <w:t>347,500</w:t>
            </w:r>
          </w:p>
        </w:tc>
        <w:tc>
          <w:tcPr>
            <w:tcW w:w="80" w:type="dxa"/>
            <w:vAlign w:val="bottom"/>
            <w:shd w:val="clear" w:color="auto" w:fill="D0EBF2"/>
          </w:tcPr>
          <w:p>
            <w:pPr>
              <w:spacing w:after="0"/>
              <w:rPr>
                <w:sz w:val="17"/>
                <w:szCs w:val="17"/>
                <w:color w:val="auto"/>
              </w:rPr>
            </w:pPr>
          </w:p>
        </w:tc>
        <w:tc>
          <w:tcPr>
            <w:tcW w:w="160" w:type="dxa"/>
            <w:vAlign w:val="bottom"/>
            <w:shd w:val="clear" w:color="auto" w:fill="D0EBF2"/>
          </w:tcPr>
          <w:p>
            <w:pPr>
              <w:spacing w:after="0"/>
              <w:rPr>
                <w:sz w:val="17"/>
                <w:szCs w:val="17"/>
                <w:color w:val="auto"/>
              </w:rPr>
            </w:pPr>
          </w:p>
        </w:tc>
        <w:tc>
          <w:tcPr>
            <w:tcW w:w="180" w:type="dxa"/>
            <w:vAlign w:val="bottom"/>
            <w:shd w:val="clear" w:color="auto" w:fill="D0EBF2"/>
          </w:tcPr>
          <w:p>
            <w:pPr>
              <w:jc w:val="right"/>
              <w:ind w:right="16"/>
              <w:spacing w:after="0"/>
              <w:rPr>
                <w:sz w:val="20"/>
                <w:szCs w:val="20"/>
                <w:color w:val="auto"/>
              </w:rPr>
            </w:pPr>
            <w:r>
              <w:rPr>
                <w:rFonts w:ascii="Times New Roman" w:cs="Times New Roman" w:eastAsia="Times New Roman" w:hAnsi="Times New Roman"/>
                <w:sz w:val="17"/>
                <w:szCs w:val="17"/>
                <w:color w:val="231F20"/>
                <w:w w:val="70"/>
              </w:rPr>
              <w:t>$</w:t>
            </w:r>
          </w:p>
        </w:tc>
        <w:tc>
          <w:tcPr>
            <w:tcW w:w="900" w:type="dxa"/>
            <w:vAlign w:val="bottom"/>
            <w:shd w:val="clear" w:color="auto" w:fill="D0EBF2"/>
          </w:tcPr>
          <w:p>
            <w:pPr>
              <w:jc w:val="right"/>
              <w:spacing w:after="0" w:line="206" w:lineRule="exact"/>
              <w:rPr>
                <w:sz w:val="20"/>
                <w:szCs w:val="20"/>
                <w:color w:val="auto"/>
              </w:rPr>
            </w:pPr>
            <w:r>
              <w:rPr>
                <w:rFonts w:ascii="Times New Roman" w:cs="Times New Roman" w:eastAsia="Times New Roman" w:hAnsi="Times New Roman"/>
                <w:sz w:val="19"/>
                <w:szCs w:val="19"/>
                <w:color w:val="231F20"/>
              </w:rPr>
              <w:t>340,862</w:t>
            </w:r>
          </w:p>
        </w:tc>
        <w:tc>
          <w:tcPr>
            <w:tcW w:w="80" w:type="dxa"/>
            <w:vAlign w:val="bottom"/>
            <w:shd w:val="clear" w:color="auto" w:fill="D0EBF2"/>
          </w:tcPr>
          <w:p>
            <w:pPr>
              <w:spacing w:after="0"/>
              <w:rPr>
                <w:sz w:val="17"/>
                <w:szCs w:val="17"/>
                <w:color w:val="auto"/>
              </w:rPr>
            </w:pPr>
          </w:p>
        </w:tc>
      </w:tr>
      <w:tr>
        <w:trPr>
          <w:trHeight w:val="217"/>
        </w:trPr>
        <w:tc>
          <w:tcPr>
            <w:tcW w:w="3020" w:type="dxa"/>
            <w:vAlign w:val="bottom"/>
            <w:shd w:val="clear" w:color="auto" w:fill="FDFDFC"/>
          </w:tcPr>
          <w:p>
            <w:pPr>
              <w:spacing w:after="0" w:line="217" w:lineRule="exact"/>
              <w:rPr>
                <w:sz w:val="20"/>
                <w:szCs w:val="20"/>
                <w:color w:val="auto"/>
              </w:rPr>
            </w:pPr>
            <w:r>
              <w:rPr>
                <w:rFonts w:ascii="Times New Roman" w:cs="Times New Roman" w:eastAsia="Times New Roman" w:hAnsi="Times New Roman"/>
                <w:sz w:val="19"/>
                <w:szCs w:val="19"/>
                <w:color w:val="231F20"/>
              </w:rPr>
              <w:t>2026 Notes</w:t>
            </w:r>
          </w:p>
        </w:tc>
        <w:tc>
          <w:tcPr>
            <w:tcW w:w="120" w:type="dxa"/>
            <w:vAlign w:val="bottom"/>
            <w:shd w:val="clear" w:color="auto" w:fill="FDFDFC"/>
          </w:tcPr>
          <w:p>
            <w:pPr>
              <w:spacing w:after="0"/>
              <w:rPr>
                <w:sz w:val="18"/>
                <w:szCs w:val="18"/>
                <w:color w:val="auto"/>
              </w:rPr>
            </w:pPr>
          </w:p>
        </w:tc>
        <w:tc>
          <w:tcPr>
            <w:tcW w:w="1000" w:type="dxa"/>
            <w:vAlign w:val="bottom"/>
            <w:shd w:val="clear" w:color="auto" w:fill="FDFDFC"/>
          </w:tcPr>
          <w:p>
            <w:pPr>
              <w:jc w:val="right"/>
              <w:spacing w:after="0" w:line="217" w:lineRule="exact"/>
              <w:rPr>
                <w:sz w:val="20"/>
                <w:szCs w:val="20"/>
                <w:color w:val="auto"/>
              </w:rPr>
            </w:pPr>
            <w:r>
              <w:rPr>
                <w:rFonts w:ascii="Times New Roman" w:cs="Times New Roman" w:eastAsia="Times New Roman" w:hAnsi="Times New Roman"/>
                <w:sz w:val="19"/>
                <w:szCs w:val="19"/>
                <w:color w:val="231F20"/>
              </w:rPr>
              <w:t>300,000</w:t>
            </w:r>
          </w:p>
        </w:tc>
        <w:tc>
          <w:tcPr>
            <w:tcW w:w="60" w:type="dxa"/>
            <w:vAlign w:val="bottom"/>
            <w:shd w:val="clear" w:color="auto" w:fill="FDFDFC"/>
          </w:tcPr>
          <w:p>
            <w:pPr>
              <w:spacing w:after="0"/>
              <w:rPr>
                <w:sz w:val="18"/>
                <w:szCs w:val="18"/>
                <w:color w:val="auto"/>
              </w:rPr>
            </w:pPr>
          </w:p>
        </w:tc>
        <w:tc>
          <w:tcPr>
            <w:tcW w:w="160" w:type="dxa"/>
            <w:vAlign w:val="bottom"/>
            <w:shd w:val="clear" w:color="auto" w:fill="FDFDFC"/>
          </w:tcPr>
          <w:p>
            <w:pPr>
              <w:spacing w:after="0"/>
              <w:rPr>
                <w:sz w:val="18"/>
                <w:szCs w:val="18"/>
                <w:color w:val="auto"/>
              </w:rPr>
            </w:pPr>
          </w:p>
        </w:tc>
        <w:tc>
          <w:tcPr>
            <w:tcW w:w="180" w:type="dxa"/>
            <w:vAlign w:val="bottom"/>
            <w:shd w:val="clear" w:color="auto" w:fill="FDFDFC"/>
          </w:tcPr>
          <w:p>
            <w:pPr>
              <w:spacing w:after="0"/>
              <w:rPr>
                <w:sz w:val="18"/>
                <w:szCs w:val="18"/>
                <w:color w:val="auto"/>
              </w:rPr>
            </w:pPr>
          </w:p>
        </w:tc>
        <w:tc>
          <w:tcPr>
            <w:tcW w:w="900" w:type="dxa"/>
            <w:vAlign w:val="bottom"/>
            <w:shd w:val="clear" w:color="auto" w:fill="FDFDFC"/>
          </w:tcPr>
          <w:p>
            <w:pPr>
              <w:jc w:val="right"/>
              <w:spacing w:after="0" w:line="217" w:lineRule="exact"/>
              <w:rPr>
                <w:sz w:val="20"/>
                <w:szCs w:val="20"/>
                <w:color w:val="auto"/>
              </w:rPr>
            </w:pPr>
            <w:r>
              <w:rPr>
                <w:rFonts w:ascii="Times New Roman" w:cs="Times New Roman" w:eastAsia="Times New Roman" w:hAnsi="Times New Roman"/>
                <w:sz w:val="19"/>
                <w:szCs w:val="19"/>
                <w:color w:val="231F20"/>
              </w:rPr>
              <w:t>287,911</w:t>
            </w:r>
          </w:p>
        </w:tc>
        <w:tc>
          <w:tcPr>
            <w:tcW w:w="80" w:type="dxa"/>
            <w:vAlign w:val="bottom"/>
            <w:shd w:val="clear" w:color="auto" w:fill="FDFDFC"/>
          </w:tcPr>
          <w:p>
            <w:pPr>
              <w:spacing w:after="0"/>
              <w:rPr>
                <w:sz w:val="18"/>
                <w:szCs w:val="18"/>
                <w:color w:val="auto"/>
              </w:rPr>
            </w:pPr>
          </w:p>
        </w:tc>
        <w:tc>
          <w:tcPr>
            <w:tcW w:w="160" w:type="dxa"/>
            <w:vAlign w:val="bottom"/>
            <w:shd w:val="clear" w:color="auto" w:fill="FDFDFC"/>
          </w:tcPr>
          <w:p>
            <w:pPr>
              <w:spacing w:after="0"/>
              <w:rPr>
                <w:sz w:val="18"/>
                <w:szCs w:val="18"/>
                <w:color w:val="auto"/>
              </w:rPr>
            </w:pPr>
          </w:p>
        </w:tc>
        <w:tc>
          <w:tcPr>
            <w:tcW w:w="80" w:type="dxa"/>
            <w:vAlign w:val="bottom"/>
            <w:shd w:val="clear" w:color="auto" w:fill="FDFDFC"/>
          </w:tcPr>
          <w:p>
            <w:pPr>
              <w:spacing w:after="0"/>
              <w:rPr>
                <w:sz w:val="18"/>
                <w:szCs w:val="18"/>
                <w:color w:val="auto"/>
              </w:rPr>
            </w:pPr>
          </w:p>
        </w:tc>
        <w:tc>
          <w:tcPr>
            <w:tcW w:w="1000" w:type="dxa"/>
            <w:vAlign w:val="bottom"/>
            <w:shd w:val="clear" w:color="auto" w:fill="FDFDFC"/>
          </w:tcPr>
          <w:p>
            <w:pPr>
              <w:jc w:val="right"/>
              <w:spacing w:after="0" w:line="217" w:lineRule="exact"/>
              <w:rPr>
                <w:sz w:val="20"/>
                <w:szCs w:val="20"/>
                <w:color w:val="auto"/>
              </w:rPr>
            </w:pPr>
            <w:r>
              <w:rPr>
                <w:rFonts w:ascii="Times New Roman" w:cs="Times New Roman" w:eastAsia="Times New Roman" w:hAnsi="Times New Roman"/>
                <w:sz w:val="19"/>
                <w:szCs w:val="19"/>
                <w:color w:val="231F20"/>
              </w:rPr>
              <w:t>300,000</w:t>
            </w:r>
          </w:p>
        </w:tc>
        <w:tc>
          <w:tcPr>
            <w:tcW w:w="80" w:type="dxa"/>
            <w:vAlign w:val="bottom"/>
            <w:shd w:val="clear" w:color="auto" w:fill="FDFDFC"/>
          </w:tcPr>
          <w:p>
            <w:pPr>
              <w:spacing w:after="0"/>
              <w:rPr>
                <w:sz w:val="18"/>
                <w:szCs w:val="18"/>
                <w:color w:val="auto"/>
              </w:rPr>
            </w:pPr>
          </w:p>
        </w:tc>
        <w:tc>
          <w:tcPr>
            <w:tcW w:w="160" w:type="dxa"/>
            <w:vAlign w:val="bottom"/>
            <w:shd w:val="clear" w:color="auto" w:fill="FDFDFC"/>
          </w:tcPr>
          <w:p>
            <w:pPr>
              <w:spacing w:after="0"/>
              <w:rPr>
                <w:sz w:val="18"/>
                <w:szCs w:val="18"/>
                <w:color w:val="auto"/>
              </w:rPr>
            </w:pPr>
          </w:p>
        </w:tc>
        <w:tc>
          <w:tcPr>
            <w:tcW w:w="180" w:type="dxa"/>
            <w:vAlign w:val="bottom"/>
            <w:shd w:val="clear" w:color="auto" w:fill="FDFDFC"/>
          </w:tcPr>
          <w:p>
            <w:pPr>
              <w:spacing w:after="0"/>
              <w:rPr>
                <w:sz w:val="18"/>
                <w:szCs w:val="18"/>
                <w:color w:val="auto"/>
              </w:rPr>
            </w:pPr>
          </w:p>
        </w:tc>
        <w:tc>
          <w:tcPr>
            <w:tcW w:w="900" w:type="dxa"/>
            <w:vAlign w:val="bottom"/>
            <w:shd w:val="clear" w:color="auto" w:fill="FDFDFC"/>
          </w:tcPr>
          <w:p>
            <w:pPr>
              <w:jc w:val="right"/>
              <w:spacing w:after="0" w:line="217" w:lineRule="exact"/>
              <w:rPr>
                <w:sz w:val="20"/>
                <w:szCs w:val="20"/>
                <w:color w:val="auto"/>
              </w:rPr>
            </w:pPr>
            <w:r>
              <w:rPr>
                <w:rFonts w:ascii="Times New Roman" w:cs="Times New Roman" w:eastAsia="Times New Roman" w:hAnsi="Times New Roman"/>
                <w:sz w:val="19"/>
                <w:szCs w:val="19"/>
                <w:color w:val="231F20"/>
              </w:rPr>
              <w:t>273,410</w:t>
            </w:r>
          </w:p>
        </w:tc>
        <w:tc>
          <w:tcPr>
            <w:tcW w:w="80" w:type="dxa"/>
            <w:vAlign w:val="bottom"/>
            <w:shd w:val="clear" w:color="auto" w:fill="FDFDFC"/>
          </w:tcPr>
          <w:p>
            <w:pPr>
              <w:spacing w:after="0"/>
              <w:rPr>
                <w:sz w:val="18"/>
                <w:szCs w:val="18"/>
                <w:color w:val="auto"/>
              </w:rPr>
            </w:pPr>
          </w:p>
        </w:tc>
      </w:tr>
      <w:tr>
        <w:trPr>
          <w:trHeight w:val="217"/>
        </w:trPr>
        <w:tc>
          <w:tcPr>
            <w:tcW w:w="3020" w:type="dxa"/>
            <w:vAlign w:val="bottom"/>
            <w:shd w:val="clear" w:color="auto" w:fill="D0EBF2"/>
          </w:tcPr>
          <w:p>
            <w:pPr>
              <w:spacing w:after="0" w:line="217" w:lineRule="exact"/>
              <w:rPr>
                <w:sz w:val="20"/>
                <w:szCs w:val="20"/>
                <w:color w:val="auto"/>
              </w:rPr>
            </w:pPr>
            <w:r>
              <w:rPr>
                <w:rFonts w:ascii="Times New Roman" w:cs="Times New Roman" w:eastAsia="Times New Roman" w:hAnsi="Times New Roman"/>
                <w:sz w:val="19"/>
                <w:szCs w:val="19"/>
                <w:color w:val="231F20"/>
              </w:rPr>
              <w:t>2028 Notes</w:t>
            </w:r>
          </w:p>
        </w:tc>
        <w:tc>
          <w:tcPr>
            <w:tcW w:w="120" w:type="dxa"/>
            <w:vAlign w:val="bottom"/>
            <w:shd w:val="clear" w:color="auto" w:fill="D0EBF2"/>
          </w:tcPr>
          <w:p>
            <w:pPr>
              <w:spacing w:after="0"/>
              <w:rPr>
                <w:sz w:val="18"/>
                <w:szCs w:val="18"/>
                <w:color w:val="auto"/>
              </w:rPr>
            </w:pPr>
          </w:p>
        </w:tc>
        <w:tc>
          <w:tcPr>
            <w:tcW w:w="1000" w:type="dxa"/>
            <w:vAlign w:val="bottom"/>
            <w:shd w:val="clear" w:color="auto" w:fill="D0EBF2"/>
          </w:tcPr>
          <w:p>
            <w:pPr>
              <w:jc w:val="right"/>
              <w:spacing w:after="0" w:line="217" w:lineRule="exact"/>
              <w:rPr>
                <w:sz w:val="20"/>
                <w:szCs w:val="20"/>
                <w:color w:val="auto"/>
              </w:rPr>
            </w:pPr>
            <w:r>
              <w:rPr>
                <w:rFonts w:ascii="Times New Roman" w:cs="Times New Roman" w:eastAsia="Times New Roman" w:hAnsi="Times New Roman"/>
                <w:sz w:val="19"/>
                <w:szCs w:val="19"/>
                <w:color w:val="231F20"/>
              </w:rPr>
              <w:t>300,000</w:t>
            </w:r>
          </w:p>
        </w:tc>
        <w:tc>
          <w:tcPr>
            <w:tcW w:w="60" w:type="dxa"/>
            <w:vAlign w:val="bottom"/>
            <w:shd w:val="clear" w:color="auto" w:fill="D0EBF2"/>
          </w:tcPr>
          <w:p>
            <w:pPr>
              <w:spacing w:after="0"/>
              <w:rPr>
                <w:sz w:val="18"/>
                <w:szCs w:val="18"/>
                <w:color w:val="auto"/>
              </w:rPr>
            </w:pPr>
          </w:p>
        </w:tc>
        <w:tc>
          <w:tcPr>
            <w:tcW w:w="160" w:type="dxa"/>
            <w:vAlign w:val="bottom"/>
            <w:shd w:val="clear" w:color="auto" w:fill="D0EBF2"/>
          </w:tcPr>
          <w:p>
            <w:pPr>
              <w:spacing w:after="0"/>
              <w:rPr>
                <w:sz w:val="18"/>
                <w:szCs w:val="18"/>
                <w:color w:val="auto"/>
              </w:rPr>
            </w:pPr>
          </w:p>
        </w:tc>
        <w:tc>
          <w:tcPr>
            <w:tcW w:w="180" w:type="dxa"/>
            <w:vAlign w:val="bottom"/>
            <w:shd w:val="clear" w:color="auto" w:fill="D0EBF2"/>
          </w:tcPr>
          <w:p>
            <w:pPr>
              <w:spacing w:after="0"/>
              <w:rPr>
                <w:sz w:val="18"/>
                <w:szCs w:val="18"/>
                <w:color w:val="auto"/>
              </w:rPr>
            </w:pPr>
          </w:p>
        </w:tc>
        <w:tc>
          <w:tcPr>
            <w:tcW w:w="900" w:type="dxa"/>
            <w:vAlign w:val="bottom"/>
            <w:shd w:val="clear" w:color="auto" w:fill="D0EBF2"/>
          </w:tcPr>
          <w:p>
            <w:pPr>
              <w:jc w:val="right"/>
              <w:spacing w:after="0" w:line="217" w:lineRule="exact"/>
              <w:rPr>
                <w:sz w:val="20"/>
                <w:szCs w:val="20"/>
                <w:color w:val="auto"/>
              </w:rPr>
            </w:pPr>
            <w:r>
              <w:rPr>
                <w:rFonts w:ascii="Times New Roman" w:cs="Times New Roman" w:eastAsia="Times New Roman" w:hAnsi="Times New Roman"/>
                <w:sz w:val="19"/>
                <w:szCs w:val="19"/>
                <w:color w:val="231F20"/>
              </w:rPr>
              <w:t>312,012</w:t>
            </w:r>
          </w:p>
        </w:tc>
        <w:tc>
          <w:tcPr>
            <w:tcW w:w="80" w:type="dxa"/>
            <w:vAlign w:val="bottom"/>
            <w:shd w:val="clear" w:color="auto" w:fill="D0EBF2"/>
          </w:tcPr>
          <w:p>
            <w:pPr>
              <w:spacing w:after="0"/>
              <w:rPr>
                <w:sz w:val="18"/>
                <w:szCs w:val="18"/>
                <w:color w:val="auto"/>
              </w:rPr>
            </w:pPr>
          </w:p>
        </w:tc>
        <w:tc>
          <w:tcPr>
            <w:tcW w:w="160" w:type="dxa"/>
            <w:vAlign w:val="bottom"/>
            <w:shd w:val="clear" w:color="auto" w:fill="D0EBF2"/>
          </w:tcPr>
          <w:p>
            <w:pPr>
              <w:spacing w:after="0"/>
              <w:rPr>
                <w:sz w:val="18"/>
                <w:szCs w:val="18"/>
                <w:color w:val="auto"/>
              </w:rPr>
            </w:pPr>
          </w:p>
        </w:tc>
        <w:tc>
          <w:tcPr>
            <w:tcW w:w="80" w:type="dxa"/>
            <w:vAlign w:val="bottom"/>
            <w:shd w:val="clear" w:color="auto" w:fill="D0EBF2"/>
          </w:tcPr>
          <w:p>
            <w:pPr>
              <w:spacing w:after="0"/>
              <w:rPr>
                <w:sz w:val="18"/>
                <w:szCs w:val="18"/>
                <w:color w:val="auto"/>
              </w:rPr>
            </w:pPr>
          </w:p>
        </w:tc>
        <w:tc>
          <w:tcPr>
            <w:tcW w:w="1000" w:type="dxa"/>
            <w:vAlign w:val="bottom"/>
            <w:shd w:val="clear" w:color="auto" w:fill="D0EBF2"/>
          </w:tcPr>
          <w:p>
            <w:pPr>
              <w:jc w:val="right"/>
              <w:spacing w:after="0" w:line="217" w:lineRule="exact"/>
              <w:rPr>
                <w:sz w:val="20"/>
                <w:szCs w:val="20"/>
                <w:color w:val="auto"/>
              </w:rPr>
            </w:pPr>
            <w:r>
              <w:rPr>
                <w:rFonts w:ascii="Times New Roman" w:cs="Times New Roman" w:eastAsia="Times New Roman" w:hAnsi="Times New Roman"/>
                <w:sz w:val="19"/>
                <w:szCs w:val="19"/>
                <w:color w:val="231F20"/>
              </w:rPr>
              <w:t>300,000</w:t>
            </w:r>
          </w:p>
        </w:tc>
        <w:tc>
          <w:tcPr>
            <w:tcW w:w="80" w:type="dxa"/>
            <w:vAlign w:val="bottom"/>
            <w:shd w:val="clear" w:color="auto" w:fill="D0EBF2"/>
          </w:tcPr>
          <w:p>
            <w:pPr>
              <w:spacing w:after="0"/>
              <w:rPr>
                <w:sz w:val="18"/>
                <w:szCs w:val="18"/>
                <w:color w:val="auto"/>
              </w:rPr>
            </w:pPr>
          </w:p>
        </w:tc>
        <w:tc>
          <w:tcPr>
            <w:tcW w:w="160" w:type="dxa"/>
            <w:vAlign w:val="bottom"/>
            <w:shd w:val="clear" w:color="auto" w:fill="D0EBF2"/>
          </w:tcPr>
          <w:p>
            <w:pPr>
              <w:spacing w:after="0"/>
              <w:rPr>
                <w:sz w:val="18"/>
                <w:szCs w:val="18"/>
                <w:color w:val="auto"/>
              </w:rPr>
            </w:pPr>
          </w:p>
        </w:tc>
        <w:tc>
          <w:tcPr>
            <w:tcW w:w="180" w:type="dxa"/>
            <w:vAlign w:val="bottom"/>
            <w:shd w:val="clear" w:color="auto" w:fill="D0EBF2"/>
          </w:tcPr>
          <w:p>
            <w:pPr>
              <w:spacing w:after="0"/>
              <w:rPr>
                <w:sz w:val="18"/>
                <w:szCs w:val="18"/>
                <w:color w:val="auto"/>
              </w:rPr>
            </w:pPr>
          </w:p>
        </w:tc>
        <w:tc>
          <w:tcPr>
            <w:tcW w:w="900" w:type="dxa"/>
            <w:vAlign w:val="bottom"/>
            <w:shd w:val="clear" w:color="auto" w:fill="D0EBF2"/>
          </w:tcPr>
          <w:p>
            <w:pPr>
              <w:jc w:val="right"/>
              <w:spacing w:after="0" w:line="217" w:lineRule="exact"/>
              <w:rPr>
                <w:sz w:val="20"/>
                <w:szCs w:val="20"/>
                <w:color w:val="auto"/>
              </w:rPr>
            </w:pPr>
            <w:r>
              <w:rPr>
                <w:rFonts w:ascii="Times New Roman" w:cs="Times New Roman" w:eastAsia="Times New Roman" w:hAnsi="Times New Roman"/>
                <w:sz w:val="19"/>
                <w:szCs w:val="19"/>
                <w:color w:val="231F20"/>
              </w:rPr>
              <w:t>309,420</w:t>
            </w:r>
          </w:p>
        </w:tc>
        <w:tc>
          <w:tcPr>
            <w:tcW w:w="80" w:type="dxa"/>
            <w:vAlign w:val="bottom"/>
            <w:shd w:val="clear" w:color="auto" w:fill="D0EBF2"/>
          </w:tcPr>
          <w:p>
            <w:pPr>
              <w:spacing w:after="0"/>
              <w:rPr>
                <w:sz w:val="18"/>
                <w:szCs w:val="18"/>
                <w:color w:val="auto"/>
              </w:rPr>
            </w:pPr>
          </w:p>
        </w:tc>
      </w:tr>
      <w:tr>
        <w:trPr>
          <w:trHeight w:val="217"/>
        </w:trPr>
        <w:tc>
          <w:tcPr>
            <w:tcW w:w="3020" w:type="dxa"/>
            <w:vAlign w:val="bottom"/>
            <w:shd w:val="clear" w:color="auto" w:fill="FDFDFC"/>
          </w:tcPr>
          <w:p>
            <w:pPr>
              <w:spacing w:after="0" w:line="217" w:lineRule="exact"/>
              <w:rPr>
                <w:sz w:val="20"/>
                <w:szCs w:val="20"/>
                <w:color w:val="auto"/>
              </w:rPr>
            </w:pPr>
            <w:r>
              <w:rPr>
                <w:rFonts w:ascii="Times New Roman" w:cs="Times New Roman" w:eastAsia="Times New Roman" w:hAnsi="Times New Roman"/>
                <w:sz w:val="19"/>
                <w:szCs w:val="19"/>
                <w:color w:val="231F20"/>
              </w:rPr>
              <w:t>2029 Notes</w:t>
            </w:r>
          </w:p>
        </w:tc>
        <w:tc>
          <w:tcPr>
            <w:tcW w:w="120" w:type="dxa"/>
            <w:vAlign w:val="bottom"/>
            <w:shd w:val="clear" w:color="auto" w:fill="FDFDFC"/>
          </w:tcPr>
          <w:p>
            <w:pPr>
              <w:spacing w:after="0"/>
              <w:rPr>
                <w:sz w:val="18"/>
                <w:szCs w:val="18"/>
                <w:color w:val="auto"/>
              </w:rPr>
            </w:pPr>
          </w:p>
        </w:tc>
        <w:tc>
          <w:tcPr>
            <w:tcW w:w="1000" w:type="dxa"/>
            <w:vAlign w:val="bottom"/>
            <w:shd w:val="clear" w:color="auto" w:fill="FDFDFC"/>
          </w:tcPr>
          <w:p>
            <w:pPr>
              <w:jc w:val="right"/>
              <w:spacing w:after="0" w:line="217" w:lineRule="exact"/>
              <w:rPr>
                <w:sz w:val="20"/>
                <w:szCs w:val="20"/>
                <w:color w:val="auto"/>
              </w:rPr>
            </w:pPr>
            <w:r>
              <w:rPr>
                <w:rFonts w:ascii="Times New Roman" w:cs="Times New Roman" w:eastAsia="Times New Roman" w:hAnsi="Times New Roman"/>
                <w:sz w:val="19"/>
                <w:szCs w:val="19"/>
                <w:color w:val="231F20"/>
              </w:rPr>
              <w:t>350,000</w:t>
            </w:r>
          </w:p>
        </w:tc>
        <w:tc>
          <w:tcPr>
            <w:tcW w:w="60" w:type="dxa"/>
            <w:vAlign w:val="bottom"/>
            <w:shd w:val="clear" w:color="auto" w:fill="FDFDFC"/>
          </w:tcPr>
          <w:p>
            <w:pPr>
              <w:spacing w:after="0"/>
              <w:rPr>
                <w:sz w:val="18"/>
                <w:szCs w:val="18"/>
                <w:color w:val="auto"/>
              </w:rPr>
            </w:pPr>
          </w:p>
        </w:tc>
        <w:tc>
          <w:tcPr>
            <w:tcW w:w="160" w:type="dxa"/>
            <w:vAlign w:val="bottom"/>
            <w:shd w:val="clear" w:color="auto" w:fill="FDFDFC"/>
          </w:tcPr>
          <w:p>
            <w:pPr>
              <w:spacing w:after="0"/>
              <w:rPr>
                <w:sz w:val="18"/>
                <w:szCs w:val="18"/>
                <w:color w:val="auto"/>
              </w:rPr>
            </w:pPr>
          </w:p>
        </w:tc>
        <w:tc>
          <w:tcPr>
            <w:tcW w:w="180" w:type="dxa"/>
            <w:vAlign w:val="bottom"/>
            <w:shd w:val="clear" w:color="auto" w:fill="FDFDFC"/>
          </w:tcPr>
          <w:p>
            <w:pPr>
              <w:spacing w:after="0"/>
              <w:rPr>
                <w:sz w:val="18"/>
                <w:szCs w:val="18"/>
                <w:color w:val="auto"/>
              </w:rPr>
            </w:pPr>
          </w:p>
        </w:tc>
        <w:tc>
          <w:tcPr>
            <w:tcW w:w="900" w:type="dxa"/>
            <w:vAlign w:val="bottom"/>
            <w:shd w:val="clear" w:color="auto" w:fill="FDFDFC"/>
          </w:tcPr>
          <w:p>
            <w:pPr>
              <w:jc w:val="right"/>
              <w:spacing w:after="0" w:line="217" w:lineRule="exact"/>
              <w:rPr>
                <w:sz w:val="20"/>
                <w:szCs w:val="20"/>
                <w:color w:val="auto"/>
              </w:rPr>
            </w:pPr>
            <w:r>
              <w:rPr>
                <w:rFonts w:ascii="Times New Roman" w:cs="Times New Roman" w:eastAsia="Times New Roman" w:hAnsi="Times New Roman"/>
                <w:sz w:val="19"/>
                <w:szCs w:val="19"/>
                <w:color w:val="231F20"/>
              </w:rPr>
              <w:t>354,338</w:t>
            </w:r>
          </w:p>
        </w:tc>
        <w:tc>
          <w:tcPr>
            <w:tcW w:w="80" w:type="dxa"/>
            <w:vAlign w:val="bottom"/>
            <w:shd w:val="clear" w:color="auto" w:fill="FDFDFC"/>
          </w:tcPr>
          <w:p>
            <w:pPr>
              <w:spacing w:after="0"/>
              <w:rPr>
                <w:sz w:val="18"/>
                <w:szCs w:val="18"/>
                <w:color w:val="auto"/>
              </w:rPr>
            </w:pPr>
          </w:p>
        </w:tc>
        <w:tc>
          <w:tcPr>
            <w:tcW w:w="160" w:type="dxa"/>
            <w:vAlign w:val="bottom"/>
            <w:shd w:val="clear" w:color="auto" w:fill="FDFDFC"/>
          </w:tcPr>
          <w:p>
            <w:pPr>
              <w:spacing w:after="0"/>
              <w:rPr>
                <w:sz w:val="18"/>
                <w:szCs w:val="18"/>
                <w:color w:val="auto"/>
              </w:rPr>
            </w:pPr>
          </w:p>
        </w:tc>
        <w:tc>
          <w:tcPr>
            <w:tcW w:w="80" w:type="dxa"/>
            <w:vAlign w:val="bottom"/>
            <w:shd w:val="clear" w:color="auto" w:fill="FDFDFC"/>
          </w:tcPr>
          <w:p>
            <w:pPr>
              <w:spacing w:after="0"/>
              <w:rPr>
                <w:sz w:val="18"/>
                <w:szCs w:val="18"/>
                <w:color w:val="auto"/>
              </w:rPr>
            </w:pPr>
          </w:p>
        </w:tc>
        <w:tc>
          <w:tcPr>
            <w:tcW w:w="1000" w:type="dxa"/>
            <w:vAlign w:val="bottom"/>
            <w:shd w:val="clear" w:color="auto" w:fill="FDFDFC"/>
          </w:tcPr>
          <w:p>
            <w:pPr>
              <w:jc w:val="right"/>
              <w:spacing w:after="0" w:line="217" w:lineRule="exact"/>
              <w:rPr>
                <w:sz w:val="20"/>
                <w:szCs w:val="20"/>
                <w:color w:val="auto"/>
              </w:rPr>
            </w:pPr>
            <w:r>
              <w:rPr>
                <w:rFonts w:ascii="Times New Roman" w:cs="Times New Roman" w:eastAsia="Times New Roman" w:hAnsi="Times New Roman"/>
                <w:sz w:val="19"/>
                <w:szCs w:val="19"/>
                <w:color w:val="231F20"/>
              </w:rPr>
              <w:t>—</w:t>
            </w:r>
          </w:p>
        </w:tc>
        <w:tc>
          <w:tcPr>
            <w:tcW w:w="80" w:type="dxa"/>
            <w:vAlign w:val="bottom"/>
            <w:shd w:val="clear" w:color="auto" w:fill="FDFDFC"/>
          </w:tcPr>
          <w:p>
            <w:pPr>
              <w:spacing w:after="0"/>
              <w:rPr>
                <w:sz w:val="18"/>
                <w:szCs w:val="18"/>
                <w:color w:val="auto"/>
              </w:rPr>
            </w:pPr>
          </w:p>
        </w:tc>
        <w:tc>
          <w:tcPr>
            <w:tcW w:w="160" w:type="dxa"/>
            <w:vAlign w:val="bottom"/>
            <w:shd w:val="clear" w:color="auto" w:fill="FDFDFC"/>
          </w:tcPr>
          <w:p>
            <w:pPr>
              <w:spacing w:after="0"/>
              <w:rPr>
                <w:sz w:val="18"/>
                <w:szCs w:val="18"/>
                <w:color w:val="auto"/>
              </w:rPr>
            </w:pPr>
          </w:p>
        </w:tc>
        <w:tc>
          <w:tcPr>
            <w:tcW w:w="180" w:type="dxa"/>
            <w:vAlign w:val="bottom"/>
            <w:shd w:val="clear" w:color="auto" w:fill="FDFDFC"/>
          </w:tcPr>
          <w:p>
            <w:pPr>
              <w:spacing w:after="0"/>
              <w:rPr>
                <w:sz w:val="18"/>
                <w:szCs w:val="18"/>
                <w:color w:val="auto"/>
              </w:rPr>
            </w:pPr>
          </w:p>
        </w:tc>
        <w:tc>
          <w:tcPr>
            <w:tcW w:w="980" w:type="dxa"/>
            <w:vAlign w:val="bottom"/>
            <w:gridSpan w:val="2"/>
            <w:shd w:val="clear" w:color="auto" w:fill="FDFDFC"/>
          </w:tcPr>
          <w:p>
            <w:pPr>
              <w:jc w:val="right"/>
              <w:ind w:right="100"/>
              <w:spacing w:after="0" w:line="217" w:lineRule="exact"/>
              <w:rPr>
                <w:sz w:val="20"/>
                <w:szCs w:val="20"/>
                <w:color w:val="auto"/>
              </w:rPr>
            </w:pPr>
            <w:r>
              <w:rPr>
                <w:rFonts w:ascii="Times New Roman" w:cs="Times New Roman" w:eastAsia="Times New Roman" w:hAnsi="Times New Roman"/>
                <w:sz w:val="19"/>
                <w:szCs w:val="19"/>
                <w:color w:val="231F20"/>
              </w:rPr>
              <w:t>—</w:t>
            </w:r>
          </w:p>
        </w:tc>
      </w:tr>
      <w:tr>
        <w:trPr>
          <w:trHeight w:val="207"/>
        </w:trPr>
        <w:tc>
          <w:tcPr>
            <w:tcW w:w="3020" w:type="dxa"/>
            <w:vAlign w:val="bottom"/>
            <w:tcBorders>
              <w:top w:val="single" w:sz="8" w:color="D0EBF2"/>
            </w:tcBorders>
            <w:shd w:val="clear" w:color="auto" w:fill="D0EBF2"/>
          </w:tcPr>
          <w:p>
            <w:pPr>
              <w:ind w:left="180"/>
              <w:spacing w:after="0" w:line="206" w:lineRule="exact"/>
              <w:rPr>
                <w:sz w:val="20"/>
                <w:szCs w:val="20"/>
                <w:color w:val="auto"/>
              </w:rPr>
            </w:pPr>
            <w:r>
              <w:rPr>
                <w:rFonts w:ascii="Times New Roman" w:cs="Times New Roman" w:eastAsia="Times New Roman" w:hAnsi="Times New Roman"/>
                <w:sz w:val="19"/>
                <w:szCs w:val="19"/>
                <w:b w:val="1"/>
                <w:bCs w:val="1"/>
                <w:color w:val="231F20"/>
              </w:rPr>
              <w:t>Total</w:t>
            </w:r>
          </w:p>
        </w:tc>
        <w:tc>
          <w:tcPr>
            <w:tcW w:w="120" w:type="dxa"/>
            <w:vAlign w:val="bottom"/>
            <w:tcBorders>
              <w:top w:val="single" w:sz="8" w:color="231F20"/>
              <w:bottom w:val="single" w:sz="8" w:color="231F20"/>
            </w:tcBorders>
            <w:shd w:val="clear" w:color="auto" w:fill="D0EBF2"/>
          </w:tcPr>
          <w:p>
            <w:pPr>
              <w:jc w:val="right"/>
              <w:spacing w:after="0" w:line="206" w:lineRule="exact"/>
              <w:rPr>
                <w:sz w:val="20"/>
                <w:szCs w:val="20"/>
                <w:color w:val="auto"/>
              </w:rPr>
            </w:pPr>
            <w:r>
              <w:rPr>
                <w:rFonts w:ascii="Times New Roman" w:cs="Times New Roman" w:eastAsia="Times New Roman" w:hAnsi="Times New Roman"/>
                <w:sz w:val="19"/>
                <w:szCs w:val="19"/>
                <w:color w:val="231F20"/>
                <w:w w:val="83"/>
              </w:rPr>
              <w:t>$</w:t>
            </w:r>
          </w:p>
        </w:tc>
        <w:tc>
          <w:tcPr>
            <w:tcW w:w="1000" w:type="dxa"/>
            <w:vAlign w:val="bottom"/>
            <w:tcBorders>
              <w:top w:val="single" w:sz="8" w:color="231F20"/>
              <w:bottom w:val="single" w:sz="8" w:color="231F20"/>
            </w:tcBorders>
            <w:shd w:val="clear" w:color="auto" w:fill="D0EBF2"/>
          </w:tcPr>
          <w:p>
            <w:pPr>
              <w:jc w:val="right"/>
              <w:spacing w:after="0" w:line="206" w:lineRule="exact"/>
              <w:rPr>
                <w:sz w:val="20"/>
                <w:szCs w:val="20"/>
                <w:color w:val="auto"/>
              </w:rPr>
            </w:pPr>
            <w:r>
              <w:rPr>
                <w:rFonts w:ascii="Times New Roman" w:cs="Times New Roman" w:eastAsia="Times New Roman" w:hAnsi="Times New Roman"/>
                <w:sz w:val="19"/>
                <w:szCs w:val="19"/>
                <w:color w:val="231F20"/>
              </w:rPr>
              <w:t>950,000</w:t>
            </w:r>
          </w:p>
        </w:tc>
        <w:tc>
          <w:tcPr>
            <w:tcW w:w="220" w:type="dxa"/>
            <w:vAlign w:val="bottom"/>
            <w:tcBorders>
              <w:top w:val="single" w:sz="8" w:color="D0EBF2"/>
            </w:tcBorders>
            <w:gridSpan w:val="2"/>
            <w:shd w:val="clear" w:color="auto" w:fill="D0EBF2"/>
          </w:tcPr>
          <w:p>
            <w:pPr>
              <w:spacing w:after="0"/>
              <w:rPr>
                <w:sz w:val="17"/>
                <w:szCs w:val="17"/>
                <w:color w:val="auto"/>
              </w:rPr>
            </w:pPr>
          </w:p>
        </w:tc>
        <w:tc>
          <w:tcPr>
            <w:tcW w:w="180" w:type="dxa"/>
            <w:vAlign w:val="bottom"/>
            <w:tcBorders>
              <w:top w:val="single" w:sz="8" w:color="231F20"/>
              <w:bottom w:val="single" w:sz="8" w:color="231F20"/>
            </w:tcBorders>
            <w:shd w:val="clear" w:color="auto" w:fill="D0EBF2"/>
          </w:tcPr>
          <w:p>
            <w:pPr>
              <w:jc w:val="right"/>
              <w:spacing w:after="0" w:line="206" w:lineRule="exact"/>
              <w:rPr>
                <w:sz w:val="20"/>
                <w:szCs w:val="20"/>
                <w:color w:val="auto"/>
              </w:rPr>
            </w:pPr>
            <w:r>
              <w:rPr>
                <w:rFonts w:ascii="Times New Roman" w:cs="Times New Roman" w:eastAsia="Times New Roman" w:hAnsi="Times New Roman"/>
                <w:sz w:val="19"/>
                <w:szCs w:val="19"/>
                <w:color w:val="231F20"/>
                <w:w w:val="83"/>
              </w:rPr>
              <w:t>$</w:t>
            </w:r>
          </w:p>
        </w:tc>
        <w:tc>
          <w:tcPr>
            <w:tcW w:w="900" w:type="dxa"/>
            <w:vAlign w:val="bottom"/>
            <w:tcBorders>
              <w:top w:val="single" w:sz="8" w:color="231F20"/>
              <w:bottom w:val="single" w:sz="8" w:color="231F20"/>
            </w:tcBorders>
            <w:shd w:val="clear" w:color="auto" w:fill="D0EBF2"/>
          </w:tcPr>
          <w:p>
            <w:pPr>
              <w:jc w:val="right"/>
              <w:spacing w:after="0" w:line="206" w:lineRule="exact"/>
              <w:rPr>
                <w:sz w:val="20"/>
                <w:szCs w:val="20"/>
                <w:color w:val="auto"/>
              </w:rPr>
            </w:pPr>
            <w:r>
              <w:rPr>
                <w:rFonts w:ascii="Times New Roman" w:cs="Times New Roman" w:eastAsia="Times New Roman" w:hAnsi="Times New Roman"/>
                <w:sz w:val="19"/>
                <w:szCs w:val="19"/>
                <w:color w:val="231F20"/>
              </w:rPr>
              <w:t>954,261</w:t>
            </w:r>
          </w:p>
        </w:tc>
        <w:tc>
          <w:tcPr>
            <w:tcW w:w="80" w:type="dxa"/>
            <w:vAlign w:val="bottom"/>
            <w:tcBorders>
              <w:top w:val="single" w:sz="8" w:color="D0EBF2"/>
            </w:tcBorders>
            <w:shd w:val="clear" w:color="auto" w:fill="D0EBF2"/>
          </w:tcPr>
          <w:p>
            <w:pPr>
              <w:spacing w:after="0"/>
              <w:rPr>
                <w:sz w:val="17"/>
                <w:szCs w:val="17"/>
                <w:color w:val="auto"/>
              </w:rPr>
            </w:pPr>
          </w:p>
        </w:tc>
        <w:tc>
          <w:tcPr>
            <w:tcW w:w="160" w:type="dxa"/>
            <w:vAlign w:val="bottom"/>
            <w:tcBorders>
              <w:top w:val="single" w:sz="8" w:color="D0EBF2"/>
            </w:tcBorders>
            <w:shd w:val="clear" w:color="auto" w:fill="D0EBF2"/>
          </w:tcPr>
          <w:p>
            <w:pPr>
              <w:spacing w:after="0"/>
              <w:rPr>
                <w:sz w:val="17"/>
                <w:szCs w:val="17"/>
                <w:color w:val="auto"/>
              </w:rPr>
            </w:pPr>
          </w:p>
        </w:tc>
        <w:tc>
          <w:tcPr>
            <w:tcW w:w="80" w:type="dxa"/>
            <w:vAlign w:val="bottom"/>
            <w:tcBorders>
              <w:top w:val="single" w:sz="8" w:color="231F20"/>
              <w:bottom w:val="single" w:sz="8" w:color="231F20"/>
            </w:tcBorders>
            <w:shd w:val="clear" w:color="auto" w:fill="D0EBF2"/>
          </w:tcPr>
          <w:p>
            <w:pPr>
              <w:jc w:val="right"/>
              <w:spacing w:after="0"/>
              <w:rPr>
                <w:sz w:val="20"/>
                <w:szCs w:val="20"/>
                <w:color w:val="auto"/>
              </w:rPr>
            </w:pPr>
            <w:r>
              <w:rPr>
                <w:rFonts w:ascii="Times New Roman" w:cs="Times New Roman" w:eastAsia="Times New Roman" w:hAnsi="Times New Roman"/>
                <w:sz w:val="17"/>
                <w:szCs w:val="17"/>
                <w:color w:val="231F20"/>
                <w:w w:val="70"/>
                <w:shd w:val="clear" w:color="auto" w:fill="D0EBF2"/>
              </w:rPr>
              <w:t>$</w:t>
            </w:r>
          </w:p>
        </w:tc>
        <w:tc>
          <w:tcPr>
            <w:tcW w:w="1000" w:type="dxa"/>
            <w:vAlign w:val="bottom"/>
            <w:tcBorders>
              <w:top w:val="single" w:sz="8" w:color="231F20"/>
              <w:bottom w:val="single" w:sz="8" w:color="231F20"/>
            </w:tcBorders>
            <w:shd w:val="clear" w:color="auto" w:fill="D0EBF2"/>
          </w:tcPr>
          <w:p>
            <w:pPr>
              <w:jc w:val="right"/>
              <w:spacing w:after="0" w:line="206" w:lineRule="exact"/>
              <w:rPr>
                <w:sz w:val="20"/>
                <w:szCs w:val="20"/>
                <w:color w:val="auto"/>
              </w:rPr>
            </w:pPr>
            <w:r>
              <w:rPr>
                <w:rFonts w:ascii="Times New Roman" w:cs="Times New Roman" w:eastAsia="Times New Roman" w:hAnsi="Times New Roman"/>
                <w:sz w:val="19"/>
                <w:szCs w:val="19"/>
                <w:color w:val="231F20"/>
              </w:rPr>
              <w:t>947,500</w:t>
            </w:r>
          </w:p>
        </w:tc>
        <w:tc>
          <w:tcPr>
            <w:tcW w:w="240" w:type="dxa"/>
            <w:vAlign w:val="bottom"/>
            <w:tcBorders>
              <w:top w:val="single" w:sz="8" w:color="D0EBF2"/>
            </w:tcBorders>
            <w:gridSpan w:val="2"/>
            <w:shd w:val="clear" w:color="auto" w:fill="D0EBF2"/>
          </w:tcPr>
          <w:p>
            <w:pPr>
              <w:spacing w:after="0"/>
              <w:rPr>
                <w:sz w:val="17"/>
                <w:szCs w:val="17"/>
                <w:color w:val="auto"/>
              </w:rPr>
            </w:pPr>
          </w:p>
        </w:tc>
        <w:tc>
          <w:tcPr>
            <w:tcW w:w="180" w:type="dxa"/>
            <w:vAlign w:val="bottom"/>
            <w:tcBorders>
              <w:top w:val="single" w:sz="8" w:color="231F20"/>
              <w:bottom w:val="single" w:sz="8" w:color="231F20"/>
            </w:tcBorders>
            <w:shd w:val="clear" w:color="auto" w:fill="D0EBF2"/>
          </w:tcPr>
          <w:p>
            <w:pPr>
              <w:jc w:val="right"/>
              <w:ind w:right="16"/>
              <w:spacing w:after="0"/>
              <w:rPr>
                <w:sz w:val="20"/>
                <w:szCs w:val="20"/>
                <w:color w:val="auto"/>
              </w:rPr>
            </w:pPr>
            <w:r>
              <w:rPr>
                <w:rFonts w:ascii="Times New Roman" w:cs="Times New Roman" w:eastAsia="Times New Roman" w:hAnsi="Times New Roman"/>
                <w:sz w:val="17"/>
                <w:szCs w:val="17"/>
                <w:color w:val="231F20"/>
                <w:w w:val="70"/>
              </w:rPr>
              <w:t>$</w:t>
            </w:r>
          </w:p>
        </w:tc>
        <w:tc>
          <w:tcPr>
            <w:tcW w:w="900" w:type="dxa"/>
            <w:vAlign w:val="bottom"/>
            <w:tcBorders>
              <w:top w:val="single" w:sz="8" w:color="231F20"/>
              <w:bottom w:val="single" w:sz="8" w:color="231F20"/>
            </w:tcBorders>
            <w:shd w:val="clear" w:color="auto" w:fill="D0EBF2"/>
          </w:tcPr>
          <w:p>
            <w:pPr>
              <w:jc w:val="right"/>
              <w:spacing w:after="0" w:line="206" w:lineRule="exact"/>
              <w:rPr>
                <w:sz w:val="20"/>
                <w:szCs w:val="20"/>
                <w:color w:val="auto"/>
              </w:rPr>
            </w:pPr>
            <w:r>
              <w:rPr>
                <w:rFonts w:ascii="Times New Roman" w:cs="Times New Roman" w:eastAsia="Times New Roman" w:hAnsi="Times New Roman"/>
                <w:sz w:val="19"/>
                <w:szCs w:val="19"/>
                <w:color w:val="231F20"/>
              </w:rPr>
              <w:t>923,692</w:t>
            </w:r>
          </w:p>
        </w:tc>
        <w:tc>
          <w:tcPr>
            <w:tcW w:w="80" w:type="dxa"/>
            <w:vAlign w:val="bottom"/>
            <w:tcBorders>
              <w:top w:val="single" w:sz="8" w:color="D0EBF2"/>
            </w:tcBorders>
            <w:shd w:val="clear" w:color="auto" w:fill="D0EBF2"/>
          </w:tcPr>
          <w:p>
            <w:pPr>
              <w:spacing w:after="0"/>
              <w:rPr>
                <w:sz w:val="17"/>
                <w:szCs w:val="17"/>
                <w:color w:val="auto"/>
              </w:rPr>
            </w:pPr>
          </w:p>
        </w:tc>
      </w:tr>
      <w:tr>
        <w:trPr>
          <w:trHeight w:val="20"/>
        </w:trPr>
        <w:tc>
          <w:tcPr>
            <w:tcW w:w="3020" w:type="dxa"/>
            <w:vAlign w:val="bottom"/>
          </w:tcPr>
          <w:p>
            <w:pPr>
              <w:spacing w:after="0" w:line="20" w:lineRule="exact"/>
              <w:rPr>
                <w:sz w:val="1"/>
                <w:szCs w:val="1"/>
                <w:color w:val="auto"/>
              </w:rPr>
            </w:pPr>
          </w:p>
        </w:tc>
        <w:tc>
          <w:tcPr>
            <w:tcW w:w="120" w:type="dxa"/>
            <w:vAlign w:val="bottom"/>
            <w:tcBorders>
              <w:bottom w:val="single" w:sz="8" w:color="231F20"/>
            </w:tcBorders>
          </w:tcPr>
          <w:p>
            <w:pPr>
              <w:spacing w:after="0" w:line="20" w:lineRule="exact"/>
              <w:rPr>
                <w:sz w:val="1"/>
                <w:szCs w:val="1"/>
                <w:color w:val="auto"/>
              </w:rPr>
            </w:pPr>
          </w:p>
        </w:tc>
        <w:tc>
          <w:tcPr>
            <w:tcW w:w="1000" w:type="dxa"/>
            <w:vAlign w:val="bottom"/>
            <w:tcBorders>
              <w:bottom w:val="single" w:sz="8" w:color="231F20"/>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231F20"/>
            </w:tcBorders>
          </w:tcPr>
          <w:p>
            <w:pPr>
              <w:spacing w:after="0" w:line="20" w:lineRule="exact"/>
              <w:rPr>
                <w:sz w:val="1"/>
                <w:szCs w:val="1"/>
                <w:color w:val="auto"/>
              </w:rPr>
            </w:pPr>
          </w:p>
        </w:tc>
        <w:tc>
          <w:tcPr>
            <w:tcW w:w="900" w:type="dxa"/>
            <w:vAlign w:val="bottom"/>
            <w:tcBorders>
              <w:bottom w:val="single" w:sz="8" w:color="231F20"/>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231F20"/>
            </w:tcBorders>
          </w:tcPr>
          <w:p>
            <w:pPr>
              <w:spacing w:after="0" w:line="20" w:lineRule="exact"/>
              <w:rPr>
                <w:sz w:val="1"/>
                <w:szCs w:val="1"/>
                <w:color w:val="auto"/>
              </w:rPr>
            </w:pPr>
          </w:p>
        </w:tc>
        <w:tc>
          <w:tcPr>
            <w:tcW w:w="1000" w:type="dxa"/>
            <w:vAlign w:val="bottom"/>
            <w:tcBorders>
              <w:bottom w:val="single" w:sz="8" w:color="231F20"/>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231F20"/>
            </w:tcBorders>
          </w:tcPr>
          <w:p>
            <w:pPr>
              <w:spacing w:after="0" w:line="20" w:lineRule="exact"/>
              <w:rPr>
                <w:sz w:val="1"/>
                <w:szCs w:val="1"/>
                <w:color w:val="auto"/>
              </w:rPr>
            </w:pPr>
          </w:p>
        </w:tc>
        <w:tc>
          <w:tcPr>
            <w:tcW w:w="900" w:type="dxa"/>
            <w:vAlign w:val="bottom"/>
            <w:tcBorders>
              <w:bottom w:val="single" w:sz="8" w:color="231F20"/>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3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9"/>
          <w:szCs w:val="19"/>
          <w:color w:val="231F20"/>
        </w:rPr>
        <w:t>(1) The fair value is based on broker quotes received by the Company and is categorized as Level 2 within the fair value hierarchy.</w:t>
      </w:r>
    </w:p>
    <w:p>
      <w:pPr>
        <w:spacing w:after="0" w:line="32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231F20"/>
        </w:rPr>
        <w:t>Other Financial Assets and Liabilities</w:t>
      </w:r>
    </w:p>
    <w:p>
      <w:pPr>
        <w:spacing w:after="0" w:line="99" w:lineRule="exact"/>
        <w:rPr>
          <w:sz w:val="20"/>
          <w:szCs w:val="20"/>
          <w:color w:val="auto"/>
        </w:rPr>
      </w:pPr>
    </w:p>
    <w:p>
      <w:pPr>
        <w:ind w:right="80" w:firstLine="231"/>
        <w:spacing w:after="0" w:line="237" w:lineRule="auto"/>
        <w:rPr>
          <w:sz w:val="20"/>
          <w:szCs w:val="20"/>
          <w:color w:val="auto"/>
        </w:rPr>
      </w:pPr>
      <w:r>
        <w:rPr>
          <w:rFonts w:ascii="Times New Roman" w:cs="Times New Roman" w:eastAsia="Times New Roman" w:hAnsi="Times New Roman"/>
          <w:sz w:val="19"/>
          <w:szCs w:val="19"/>
          <w:color w:val="231F20"/>
        </w:rPr>
        <w:t>The carrying amounts of the Company’s assets and liabilities, other than investments at fair value and the 2024 Notes, 2026 Notes, 2028 Notes and 2029 Notes, approximate fair value due to their short maturities or their close proximity of the originations to the measurement date. Under the fair value hierarchy, cash and cash equivalents are classified as Level 1 while the Company’s other assets and liabilities, other than investments at fair value and Revolving Credit Facility, are classified as Level 2.</w:t>
      </w:r>
    </w:p>
    <w:p>
      <w:pPr>
        <w:sectPr>
          <w:pgSz w:w="12240" w:h="15840" w:orient="portrait"/>
          <w:cols w:equalWidth="0" w:num="1">
            <w:col w:w="10200"/>
          </w:cols>
          <w:pgMar w:left="1020" w:top="1440" w:right="1020" w:bottom="574" w:gutter="0" w:footer="0" w:header="0"/>
        </w:sect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231F20"/>
        </w:rPr>
        <w:t>F-41</w:t>
      </w:r>
    </w:p>
    <w:p>
      <w:pPr>
        <w:sectPr>
          <w:pgSz w:w="12240" w:h="15840" w:orient="portrait"/>
          <w:cols w:equalWidth="0" w:num="1">
            <w:col w:w="10200"/>
          </w:cols>
          <w:pgMar w:left="1020" w:top="1440" w:right="1020" w:bottom="574" w:gutter="0" w:footer="0" w:header="0"/>
          <w:type w:val="continuous"/>
        </w:sectPr>
      </w:pPr>
    </w:p>
    <w:bookmarkStart w:id="129" w:name="page130"/>
    <w:bookmarkEnd w:id="129"/>
    <w:p>
      <w:pPr>
        <w:spacing w:after="0"/>
        <w:rPr>
          <w:sz w:val="20"/>
          <w:szCs w:val="20"/>
          <w:color w:val="auto"/>
        </w:rPr>
      </w:pPr>
      <w:r>
        <w:rPr>
          <w:rFonts w:ascii="Times New Roman" w:cs="Times New Roman" w:eastAsia="Times New Roman" w:hAnsi="Times New Roman"/>
          <w:sz w:val="19"/>
          <w:szCs w:val="19"/>
          <w:b w:val="1"/>
          <w:bCs w:val="1"/>
          <w:color w:val="231F20"/>
        </w:rPr>
        <w:t>7. Debt</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231F20"/>
        </w:rPr>
        <w:t>Revolving Credit Facility</w:t>
      </w:r>
    </w:p>
    <w:p>
      <w:pPr>
        <w:spacing w:after="0" w:line="108" w:lineRule="exact"/>
        <w:rPr>
          <w:sz w:val="20"/>
          <w:szCs w:val="20"/>
          <w:color w:val="auto"/>
        </w:rPr>
      </w:pPr>
    </w:p>
    <w:p>
      <w:pPr>
        <w:ind w:right="40" w:firstLine="231"/>
        <w:spacing w:after="0" w:line="257" w:lineRule="auto"/>
        <w:rPr>
          <w:sz w:val="20"/>
          <w:szCs w:val="20"/>
          <w:color w:val="auto"/>
        </w:rPr>
      </w:pPr>
      <w:r>
        <w:rPr>
          <w:rFonts w:ascii="Times New Roman" w:cs="Times New Roman" w:eastAsia="Times New Roman" w:hAnsi="Times New Roman"/>
          <w:sz w:val="19"/>
          <w:szCs w:val="19"/>
          <w:color w:val="231F20"/>
        </w:rPr>
        <w:t>On August 23, 2012, the Company entered into a senior secured revolving credit agreement with Truist Bank (as a successor by merger to SunTrust Bank), as administrative agent, and J.P. Morgan Chase Bank, N.A., as syndication agent, and certain other lenders (as amended and restated, the “Revolving Credit Facility”).</w:t>
      </w:r>
    </w:p>
    <w:p>
      <w:pPr>
        <w:spacing w:after="0" w:line="176" w:lineRule="exact"/>
        <w:rPr>
          <w:sz w:val="20"/>
          <w:szCs w:val="20"/>
          <w:color w:val="auto"/>
        </w:rPr>
      </w:pPr>
    </w:p>
    <w:p>
      <w:pPr>
        <w:jc w:val="both"/>
        <w:ind w:right="520" w:firstLine="231"/>
        <w:spacing w:after="0" w:line="304" w:lineRule="auto"/>
        <w:rPr>
          <w:sz w:val="20"/>
          <w:szCs w:val="20"/>
          <w:color w:val="auto"/>
        </w:rPr>
      </w:pPr>
      <w:r>
        <w:rPr>
          <w:rFonts w:ascii="Times New Roman" w:cs="Times New Roman" w:eastAsia="Times New Roman" w:hAnsi="Times New Roman"/>
          <w:sz w:val="18"/>
          <w:szCs w:val="18"/>
          <w:color w:val="231F20"/>
        </w:rPr>
        <w:t>As of December 31, 2024, aggregate commitments under the facility were $1.7 billion. The facility includes an uncommitted accordion feature that allows the Company, under certain circumstances, to increase the size of the facility to up to $2.0 billion.</w:t>
      </w:r>
    </w:p>
    <w:p>
      <w:pPr>
        <w:spacing w:after="0" w:line="137" w:lineRule="exact"/>
        <w:rPr>
          <w:sz w:val="20"/>
          <w:szCs w:val="20"/>
          <w:color w:val="auto"/>
        </w:rPr>
      </w:pPr>
    </w:p>
    <w:p>
      <w:pPr>
        <w:ind w:right="100" w:firstLine="231"/>
        <w:spacing w:after="0" w:line="264" w:lineRule="auto"/>
        <w:rPr>
          <w:sz w:val="20"/>
          <w:szCs w:val="20"/>
          <w:color w:val="auto"/>
        </w:rPr>
      </w:pPr>
      <w:r>
        <w:rPr>
          <w:rFonts w:ascii="Times New Roman" w:cs="Times New Roman" w:eastAsia="Times New Roman" w:hAnsi="Times New Roman"/>
          <w:sz w:val="18"/>
          <w:szCs w:val="18"/>
          <w:color w:val="231F20"/>
        </w:rPr>
        <w:t>Pursuant to the Fourteenth Amendment dated June 12, 2023, with respect to $1.465 billion in commitments, the revolving period, during which period the Company, subject to certain conditions, may make borrowings under the facility, was extended to June 11, 2027 and the stated maturity date was extended to June 12, 2028. For the remaining $220.0 million of commitments, (A) with respect to $50.0 million of commitments, the revolving period ends on February 4, 2025 and the stated maturity is February 4, 2026 and (B) with respect to $170.0 million of commitments, the revolving period ends April 24, 2026 and the stated maturity is April 23, 2027.</w:t>
      </w:r>
    </w:p>
    <w:p>
      <w:pPr>
        <w:spacing w:after="0" w:line="174" w:lineRule="exact"/>
        <w:rPr>
          <w:sz w:val="20"/>
          <w:szCs w:val="20"/>
          <w:color w:val="auto"/>
        </w:rPr>
      </w:pPr>
    </w:p>
    <w:p>
      <w:pPr>
        <w:jc w:val="both"/>
        <w:ind w:right="20" w:firstLine="231"/>
        <w:spacing w:after="0" w:line="247" w:lineRule="auto"/>
        <w:rPr>
          <w:sz w:val="20"/>
          <w:szCs w:val="20"/>
          <w:color w:val="auto"/>
        </w:rPr>
      </w:pPr>
      <w:r>
        <w:rPr>
          <w:rFonts w:ascii="Times New Roman" w:cs="Times New Roman" w:eastAsia="Times New Roman" w:hAnsi="Times New Roman"/>
          <w:sz w:val="19"/>
          <w:szCs w:val="19"/>
          <w:color w:val="231F20"/>
        </w:rPr>
        <w:t>Pursuant to the Fifteenth Amendment dated April 24, 2024, aggregate commitments were increased to $1.7 billion. With respect to $1.505 billion of commitments, the revolving period was extended to April 24, 2028 and the stated maturity was extended to April 24, 2029. For the remaining $195.0 million of commitments, (A) with respect to $25.0 million of commitments, the revolving period ends on February 4, 2025 and the stated maturity is February 4, 2026 and (B) with respect to $170.0 million of commitments, the revolving period ends April 24, 2026 and the stated maturity is April 23, 2027.</w:t>
      </w:r>
    </w:p>
    <w:p>
      <w:pPr>
        <w:spacing w:after="0" w:line="188" w:lineRule="exact"/>
        <w:rPr>
          <w:sz w:val="20"/>
          <w:szCs w:val="20"/>
          <w:color w:val="auto"/>
        </w:rPr>
      </w:pPr>
    </w:p>
    <w:p>
      <w:pPr>
        <w:ind w:right="20" w:firstLine="231"/>
        <w:spacing w:after="0" w:line="244" w:lineRule="auto"/>
        <w:rPr>
          <w:sz w:val="20"/>
          <w:szCs w:val="20"/>
          <w:color w:val="auto"/>
        </w:rPr>
      </w:pPr>
      <w:r>
        <w:rPr>
          <w:rFonts w:ascii="Times New Roman" w:cs="Times New Roman" w:eastAsia="Times New Roman" w:hAnsi="Times New Roman"/>
          <w:sz w:val="19"/>
          <w:szCs w:val="19"/>
          <w:color w:val="231F20"/>
        </w:rPr>
        <w:t>The Company may borrow amounts in U.S. dollars or certain other permitted currencies. As of December 31, 2024, the Company had outstanding debt denominated in Australian dollars (AUD) of 63.0 million, British pounds (GBP) of 62.4 million, Canadian dollars (CAD) of 5.0 million, Swedish Krona (SEK) of 80.2 million and Euro (EUR) of 167.2 million on its Revolving Credit Facility, included in the Outstanding Principal amount in the table above. As of December 31, 2023, the Company had outstanding debt denominated in Australian dollars (AUD) of 66.4 million, British pounds (GBP) of 32.3 million, Canadian dollars (CAD) of 96.8 million, and Euro (EUR) of 57.2 million on our Revolving Credit Facility, included in the Outstanding Principal amount in the table below.</w:t>
      </w:r>
    </w:p>
    <w:p>
      <w:pPr>
        <w:spacing w:after="0" w:line="192" w:lineRule="exact"/>
        <w:rPr>
          <w:sz w:val="20"/>
          <w:szCs w:val="20"/>
          <w:color w:val="auto"/>
        </w:rPr>
      </w:pPr>
    </w:p>
    <w:p>
      <w:pPr>
        <w:ind w:right="320" w:firstLine="231"/>
        <w:spacing w:after="0" w:line="250" w:lineRule="auto"/>
        <w:rPr>
          <w:sz w:val="20"/>
          <w:szCs w:val="20"/>
          <w:color w:val="auto"/>
        </w:rPr>
      </w:pPr>
      <w:r>
        <w:rPr>
          <w:rFonts w:ascii="Times New Roman" w:cs="Times New Roman" w:eastAsia="Times New Roman" w:hAnsi="Times New Roman"/>
          <w:sz w:val="19"/>
          <w:szCs w:val="19"/>
          <w:color w:val="231F20"/>
        </w:rPr>
        <w:t>The Revolving Credit Facility also provides for the issuance of letters of credit up to an aggregate amount of $75 million. As of December 31, 2024 and December 31, 2023, the Company had $21.8 million and $0.2 million outstanding letters of credit issued through the Revolving Credit Facility. The amount available for borrowing under the Revolving Credit Facility is reduced by any letters of credit issued through the Revolving Credit Facility.</w:t>
      </w:r>
    </w:p>
    <w:p>
      <w:pPr>
        <w:spacing w:after="0" w:line="185" w:lineRule="exact"/>
        <w:rPr>
          <w:sz w:val="20"/>
          <w:szCs w:val="20"/>
          <w:color w:val="auto"/>
        </w:rPr>
      </w:pPr>
    </w:p>
    <w:p>
      <w:pPr>
        <w:ind w:right="40" w:firstLine="231"/>
        <w:spacing w:after="0" w:line="260" w:lineRule="auto"/>
        <w:rPr>
          <w:sz w:val="20"/>
          <w:szCs w:val="20"/>
          <w:color w:val="auto"/>
        </w:rPr>
      </w:pPr>
      <w:r>
        <w:rPr>
          <w:rFonts w:ascii="Times New Roman" w:cs="Times New Roman" w:eastAsia="Times New Roman" w:hAnsi="Times New Roman"/>
          <w:sz w:val="18"/>
          <w:szCs w:val="18"/>
          <w:color w:val="231F20"/>
        </w:rPr>
        <w:t>Amounts drawn under the Revolving Credit Facility, including amounts drawn in respect of letters of credit, bear interest at either the applicable reference rate plus an applicable credit spread adjustment, plus a margin of either 1.75% or 1.875%, or the base rate plus a margin of either 0.75% or 0.875%, in each case, based on the total amount of the borrowing base relative to the sum of the total commitments (or, if greater, the total exposure) under the Revolving Credit Facility plus certain other designated secured debt. The Company may elect either the applicable reference rate or base rate at the time of drawdown, and loans may be converted from one rate to another at any time, subject to certain conditions. The Company also pays a fee of 0.375% on undrawn amounts and, in respect of each undrawn letter of credit, a fee and interest rate equal to the then applicable margin while the letter of credit is outstanding.</w:t>
      </w:r>
    </w:p>
    <w:p>
      <w:pPr>
        <w:spacing w:after="0" w:line="177" w:lineRule="exact"/>
        <w:rPr>
          <w:sz w:val="20"/>
          <w:szCs w:val="20"/>
          <w:color w:val="auto"/>
        </w:rPr>
      </w:pPr>
    </w:p>
    <w:p>
      <w:pPr>
        <w:ind w:right="20" w:firstLine="231"/>
        <w:spacing w:after="0" w:line="250" w:lineRule="auto"/>
        <w:rPr>
          <w:sz w:val="20"/>
          <w:szCs w:val="20"/>
          <w:color w:val="auto"/>
        </w:rPr>
      </w:pPr>
      <w:r>
        <w:rPr>
          <w:rFonts w:ascii="Times New Roman" w:cs="Times New Roman" w:eastAsia="Times New Roman" w:hAnsi="Times New Roman"/>
          <w:sz w:val="19"/>
          <w:szCs w:val="19"/>
          <w:color w:val="231F20"/>
        </w:rPr>
        <w:t>The Revolving Credit Facility is guaranteed by Sixth Street SL SPV, LLC, TC Lending, LLC and Sixth Street SL Holding, LLC. The Revolving Credit Facility is secured by a perfected first-priority security interest in substantially all the portfolio investments held by the Company and each guarantor. Proceeds from borrowings may be used for general corporate purposes, including the funding of portfolio investments.</w:t>
      </w:r>
    </w:p>
    <w:p>
      <w:pPr>
        <w:spacing w:after="0" w:line="185" w:lineRule="exact"/>
        <w:rPr>
          <w:sz w:val="20"/>
          <w:szCs w:val="20"/>
          <w:color w:val="auto"/>
        </w:rPr>
      </w:pPr>
    </w:p>
    <w:p>
      <w:pPr>
        <w:jc w:val="both"/>
        <w:ind w:right="440" w:firstLine="231"/>
        <w:spacing w:after="0" w:line="257" w:lineRule="auto"/>
        <w:rPr>
          <w:sz w:val="20"/>
          <w:szCs w:val="20"/>
          <w:color w:val="auto"/>
        </w:rPr>
      </w:pPr>
      <w:r>
        <w:rPr>
          <w:rFonts w:ascii="Times New Roman" w:cs="Times New Roman" w:eastAsia="Times New Roman" w:hAnsi="Times New Roman"/>
          <w:sz w:val="19"/>
          <w:szCs w:val="19"/>
          <w:color w:val="231F20"/>
        </w:rPr>
        <w:t>The Revolving Credit Facility includes customary events of default, as well as customary covenants, including restrictions on certain distributions and financial covenants. In accordance with the terms of the Thirteenth Amendment, the financial covenants require:</w:t>
      </w:r>
    </w:p>
    <w:p>
      <w:pPr>
        <w:spacing w:after="0" w:line="72" w:lineRule="exact"/>
        <w:rPr>
          <w:sz w:val="20"/>
          <w:szCs w:val="20"/>
          <w:color w:val="auto"/>
        </w:rPr>
      </w:pPr>
    </w:p>
    <w:p>
      <w:pPr>
        <w:ind w:left="460" w:hanging="229"/>
        <w:spacing w:after="0"/>
        <w:tabs>
          <w:tab w:leader="none" w:pos="460" w:val="left"/>
        </w:tabs>
        <w:numPr>
          <w:ilvl w:val="0"/>
          <w:numId w:val="96"/>
        </w:numPr>
        <w:rPr>
          <w:rFonts w:ascii="Arial" w:cs="Arial" w:eastAsia="Arial" w:hAnsi="Arial"/>
          <w:sz w:val="19"/>
          <w:szCs w:val="19"/>
          <w:color w:val="231F20"/>
        </w:rPr>
      </w:pPr>
      <w:r>
        <w:rPr>
          <w:rFonts w:ascii="Times New Roman" w:cs="Times New Roman" w:eastAsia="Times New Roman" w:hAnsi="Times New Roman"/>
          <w:sz w:val="19"/>
          <w:szCs w:val="19"/>
          <w:color w:val="231F20"/>
        </w:rPr>
        <w:t>an asset coverage ratio of no less than 1.5 to 1 on the last day of any fiscal quarter;</w:t>
      </w:r>
    </w:p>
    <w:p>
      <w:pPr>
        <w:spacing w:after="0" w:line="123" w:lineRule="exact"/>
        <w:rPr>
          <w:rFonts w:ascii="Arial" w:cs="Arial" w:eastAsia="Arial" w:hAnsi="Arial"/>
          <w:sz w:val="19"/>
          <w:szCs w:val="19"/>
          <w:color w:val="231F20"/>
        </w:rPr>
      </w:pPr>
    </w:p>
    <w:p>
      <w:pPr>
        <w:ind w:left="460" w:hanging="229"/>
        <w:spacing w:after="0"/>
        <w:tabs>
          <w:tab w:leader="none" w:pos="460" w:val="left"/>
        </w:tabs>
        <w:numPr>
          <w:ilvl w:val="0"/>
          <w:numId w:val="96"/>
        </w:numPr>
        <w:rPr>
          <w:rFonts w:ascii="Arial" w:cs="Arial" w:eastAsia="Arial" w:hAnsi="Arial"/>
          <w:sz w:val="18"/>
          <w:szCs w:val="18"/>
          <w:color w:val="231F20"/>
        </w:rPr>
      </w:pPr>
      <w:r>
        <w:rPr>
          <w:rFonts w:ascii="Times New Roman" w:cs="Times New Roman" w:eastAsia="Times New Roman" w:hAnsi="Times New Roman"/>
          <w:sz w:val="18"/>
          <w:szCs w:val="18"/>
          <w:color w:val="231F20"/>
        </w:rPr>
        <w:t>stockholders’ equity of at least $650 million plus 25% of the net proceeds of the sale of equity interests after April 24, 2024; and</w:t>
      </w:r>
    </w:p>
    <w:p>
      <w:pPr>
        <w:spacing w:after="0" w:line="136" w:lineRule="exact"/>
        <w:rPr>
          <w:rFonts w:ascii="Arial" w:cs="Arial" w:eastAsia="Arial" w:hAnsi="Arial"/>
          <w:sz w:val="18"/>
          <w:szCs w:val="18"/>
          <w:color w:val="231F20"/>
        </w:rPr>
      </w:pPr>
    </w:p>
    <w:p>
      <w:pPr>
        <w:ind w:left="460" w:hanging="229"/>
        <w:spacing w:after="0" w:line="250" w:lineRule="auto"/>
        <w:tabs>
          <w:tab w:leader="none" w:pos="460" w:val="left"/>
        </w:tabs>
        <w:numPr>
          <w:ilvl w:val="0"/>
          <w:numId w:val="96"/>
        </w:numPr>
        <w:rPr>
          <w:rFonts w:ascii="Arial" w:cs="Arial" w:eastAsia="Arial" w:hAnsi="Arial"/>
          <w:sz w:val="19"/>
          <w:szCs w:val="19"/>
          <w:color w:val="231F20"/>
        </w:rPr>
      </w:pPr>
      <w:r>
        <w:rPr>
          <w:rFonts w:ascii="Times New Roman" w:cs="Times New Roman" w:eastAsia="Times New Roman" w:hAnsi="Times New Roman"/>
          <w:sz w:val="19"/>
          <w:szCs w:val="19"/>
          <w:color w:val="231F20"/>
        </w:rPr>
        <w:t>a minimum asset coverage ratio of no less than 2 to 1 with respect to (i) the consolidated assets of the Company and the subsidiary guarantors (including certain limitations on the contribution of equity in financing subsidiaries) to (ii) the secured debt of the Company and its subsidiary guarantors plus unsecured senior securities of the Company and its subsidiary guarantors that mature within 90 days of the date of determination (the “Obligor Asset Coverage Ratio”).</w:t>
      </w:r>
    </w:p>
    <w:p>
      <w:pPr>
        <w:spacing w:after="0" w:line="2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231F20"/>
        </w:rPr>
        <w:t>F-42</w:t>
      </w:r>
    </w:p>
    <w:p>
      <w:pPr>
        <w:sectPr>
          <w:pgSz w:w="12240" w:h="15840" w:orient="portrait"/>
          <w:cols w:equalWidth="0" w:num="1">
            <w:col w:w="10180"/>
          </w:cols>
          <w:pgMar w:left="1020" w:top="1304" w:right="1040" w:bottom="574" w:gutter="0" w:footer="0" w:header="0"/>
        </w:sectPr>
      </w:pPr>
    </w:p>
    <w:bookmarkStart w:id="130" w:name="page131"/>
    <w:bookmarkEnd w:id="130"/>
    <w:p>
      <w:pPr>
        <w:ind w:right="640" w:firstLine="231"/>
        <w:spacing w:after="0" w:line="275" w:lineRule="auto"/>
        <w:rPr>
          <w:sz w:val="20"/>
          <w:szCs w:val="20"/>
          <w:color w:val="auto"/>
        </w:rPr>
      </w:pPr>
      <w:r>
        <w:rPr>
          <w:rFonts w:ascii="Times New Roman" w:cs="Times New Roman" w:eastAsia="Times New Roman" w:hAnsi="Times New Roman"/>
          <w:sz w:val="19"/>
          <w:szCs w:val="19"/>
          <w:color w:val="231F20"/>
        </w:rPr>
        <w:t>The Revolving Credit Facility also contains certain additional concentration limits in connection with the calculation of the borrowing base, based on the Obligor Asset Coverage Ratio.</w:t>
      </w:r>
    </w:p>
    <w:p>
      <w:pPr>
        <w:spacing w:after="0" w:line="155" w:lineRule="exact"/>
        <w:rPr>
          <w:sz w:val="20"/>
          <w:szCs w:val="20"/>
          <w:color w:val="auto"/>
        </w:rPr>
      </w:pPr>
    </w:p>
    <w:p>
      <w:pPr>
        <w:ind w:right="200" w:firstLine="231"/>
        <w:spacing w:after="0" w:line="268" w:lineRule="auto"/>
        <w:rPr>
          <w:sz w:val="20"/>
          <w:szCs w:val="20"/>
          <w:color w:val="auto"/>
        </w:rPr>
      </w:pPr>
      <w:r>
        <w:rPr>
          <w:rFonts w:ascii="Times New Roman" w:cs="Times New Roman" w:eastAsia="Times New Roman" w:hAnsi="Times New Roman"/>
          <w:sz w:val="19"/>
          <w:szCs w:val="19"/>
          <w:color w:val="231F20"/>
        </w:rPr>
        <w:t>Net proceeds received from the Company’s common stock issuances in February 2024 and April 2024 and net proceeds received from the issuance of the 2029 Notes were used to pay down borrowings on the Revolving Credit Facility.</w:t>
      </w:r>
    </w:p>
    <w:p>
      <w:pPr>
        <w:spacing w:after="0" w:line="158" w:lineRule="exact"/>
        <w:rPr>
          <w:sz w:val="20"/>
          <w:szCs w:val="20"/>
          <w:color w:val="auto"/>
        </w:rPr>
      </w:pPr>
    </w:p>
    <w:p>
      <w:pPr>
        <w:ind w:right="620" w:firstLine="231"/>
        <w:spacing w:after="0" w:line="265" w:lineRule="auto"/>
        <w:rPr>
          <w:sz w:val="20"/>
          <w:szCs w:val="20"/>
          <w:color w:val="auto"/>
        </w:rPr>
      </w:pPr>
      <w:r>
        <w:rPr>
          <w:rFonts w:ascii="Times New Roman" w:cs="Times New Roman" w:eastAsia="Times New Roman" w:hAnsi="Times New Roman"/>
          <w:sz w:val="19"/>
          <w:szCs w:val="19"/>
          <w:color w:val="231F20"/>
        </w:rPr>
        <w:t>As of December 31, 2024 and December 31, 2023, the Company was in compliance with the terms of the Revolving Credit Facility.</w:t>
      </w: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231F20"/>
        </w:rPr>
        <w:t>2022 Convertible Notes</w:t>
      </w:r>
    </w:p>
    <w:p>
      <w:pPr>
        <w:spacing w:after="0" w:line="101" w:lineRule="exact"/>
        <w:rPr>
          <w:sz w:val="20"/>
          <w:szCs w:val="20"/>
          <w:color w:val="auto"/>
        </w:rPr>
      </w:pPr>
    </w:p>
    <w:p>
      <w:pPr>
        <w:ind w:right="100" w:firstLine="231"/>
        <w:spacing w:after="0" w:line="233" w:lineRule="auto"/>
        <w:rPr>
          <w:sz w:val="20"/>
          <w:szCs w:val="20"/>
          <w:color w:val="auto"/>
        </w:rPr>
      </w:pPr>
      <w:r>
        <w:rPr>
          <w:rFonts w:ascii="Times New Roman" w:cs="Times New Roman" w:eastAsia="Times New Roman" w:hAnsi="Times New Roman"/>
          <w:sz w:val="19"/>
          <w:szCs w:val="19"/>
          <w:color w:val="231F20"/>
        </w:rPr>
        <w:t>In February 2017, the Company issued in a private offering $115.0 million aggregate principal amount convertible notes due August 2022 (the “2022 Convertible Notes”). The 2022 Convertible Notes were issued in a private placement only to qualified institutional buyers pursuant to Rule 144A under the Securities Act. The 2022 Convertible Notes were unsecured, and bore interest at a rate of 4.50% per year, payable semiannually. In June 2018, the Company issued an additional $57.5 million aggregate principal amount of 2022 Convertible Notes. The additional 2022 Convertible Notes were issued with identical terms, and were fungible with and were part of a single series with the previously outstanding $115.0 million aggregate principal amount of the Company’s 2022 Convertible Notes issued in February 2017. In connection with the offering of 2022 Convertible Notes in February 2017 and the reopening in June 2018, the Company entered into interest rate swaps to align the interest rates of its liabilities with its investment portfolio, which consists of predominately floating rate loans. The notional amount of the interest rate swaps matched the amount of principal outstanding, and matured on August 1, 2022, matching the maturity date of the 2022 Convertible Notes.</w:t>
      </w:r>
    </w:p>
    <w:p>
      <w:pPr>
        <w:spacing w:after="0" w:line="74" w:lineRule="exact"/>
        <w:rPr>
          <w:sz w:val="20"/>
          <w:szCs w:val="20"/>
          <w:color w:val="auto"/>
        </w:rPr>
      </w:pPr>
    </w:p>
    <w:p>
      <w:pPr>
        <w:ind w:firstLine="231"/>
        <w:spacing w:after="0" w:line="234" w:lineRule="auto"/>
        <w:rPr>
          <w:sz w:val="20"/>
          <w:szCs w:val="20"/>
          <w:color w:val="auto"/>
        </w:rPr>
      </w:pPr>
      <w:r>
        <w:rPr>
          <w:rFonts w:ascii="Times New Roman" w:cs="Times New Roman" w:eastAsia="Times New Roman" w:hAnsi="Times New Roman"/>
          <w:sz w:val="19"/>
          <w:szCs w:val="19"/>
          <w:color w:val="231F20"/>
        </w:rPr>
        <w:t>On August 1, 2022, the 2022 Convertible Notes matured in accordance with the governing indenture. Holders of $79.2 million aggregate principal amount of notes provided valid notice of conversion and were subject to the combination settlement method previously elected by the Company, with a specified cash amount (as defined in the indenture governing the 2022 Convertible Notes) of $20.00 per $1,000 principal amount of the 2022 Convertible Notes and any additional amounts in stock based on the applicable conversion rate as described in the indenture. In accordance with the settlement method, the Company issued a total of 4,360,125 shares of common stock, or $77.6 million at the adjusted conversion price per share of $17.92. The remaining balance of the notes that were not converted into newly issued shares of common stock were settled with existing cash resources, including through utilization of the Company’s Revolving Credit Facility. The interest rate swaps associated with the principal amount of the notes outstanding were terminated on the date of maturity of the 2022 Convertible Notes.</w:t>
      </w:r>
    </w:p>
    <w:p>
      <w:pPr>
        <w:spacing w:after="0" w:line="30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231F20"/>
        </w:rPr>
        <w:t>2023 Notes</w:t>
      </w:r>
    </w:p>
    <w:p>
      <w:pPr>
        <w:spacing w:after="0" w:line="108" w:lineRule="exact"/>
        <w:rPr>
          <w:sz w:val="20"/>
          <w:szCs w:val="20"/>
          <w:color w:val="auto"/>
        </w:rPr>
      </w:pPr>
    </w:p>
    <w:p>
      <w:pPr>
        <w:ind w:right="220" w:firstLine="231"/>
        <w:spacing w:after="0" w:line="244" w:lineRule="auto"/>
        <w:rPr>
          <w:sz w:val="20"/>
          <w:szCs w:val="20"/>
          <w:color w:val="auto"/>
        </w:rPr>
      </w:pPr>
      <w:r>
        <w:rPr>
          <w:rFonts w:ascii="Times New Roman" w:cs="Times New Roman" w:eastAsia="Times New Roman" w:hAnsi="Times New Roman"/>
          <w:sz w:val="19"/>
          <w:szCs w:val="19"/>
          <w:color w:val="231F20"/>
        </w:rPr>
        <w:t>In January 2018, the Company issued $150.0 million aggregate principal amount of unsecured notes that matured on January 22, 2023 (the “2023 Notes”). The principal amount of the 2023 Notes was payable at maturity. The 2023 Notes bore interest at a rate of 4.50% per year, payable semi-annually commencing on July 22, 2018, and were redeemable in whole or in part at the Company’s option at any time at par plus a “make whole” premium. Total proceeds from the issuance of the 2023 Notes, net of underwriting discounts and offering costs, were $146.9 million. The Company used the net proceeds of the 2023 Notes to repay outstanding indebtedness under the Revolving Credit Facility. The 2023 Notes matured on January 22, 2023 and were fully repaid in cash. The swap transaction associated with the issuance of the 2023 Notes also matured on January 22, 2023.</w:t>
      </w: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231F20"/>
        </w:rPr>
        <w:t>2024 Notes</w:t>
      </w:r>
    </w:p>
    <w:p>
      <w:pPr>
        <w:spacing w:after="0" w:line="108" w:lineRule="exact"/>
        <w:rPr>
          <w:sz w:val="20"/>
          <w:szCs w:val="20"/>
          <w:color w:val="auto"/>
        </w:rPr>
      </w:pPr>
    </w:p>
    <w:p>
      <w:pPr>
        <w:ind w:right="20" w:firstLine="231"/>
        <w:spacing w:after="0" w:line="246" w:lineRule="auto"/>
        <w:rPr>
          <w:sz w:val="20"/>
          <w:szCs w:val="20"/>
          <w:color w:val="auto"/>
        </w:rPr>
      </w:pPr>
      <w:r>
        <w:rPr>
          <w:rFonts w:ascii="Times New Roman" w:cs="Times New Roman" w:eastAsia="Times New Roman" w:hAnsi="Times New Roman"/>
          <w:sz w:val="19"/>
          <w:szCs w:val="19"/>
          <w:color w:val="231F20"/>
        </w:rPr>
        <w:t>In November 2019, we issued $300.0 million aggregate principal amount of unsecured notes that matured on November 1, 2024 (the “2024 Notes”). The principal amount of the 2024 Notes was payable at maturity. The 2024 Notes bear interest at a rate of 3.875% per year, payable semi-annually commencing on May 1, 2020, and may be redeemed in whole or in part at our option at any time at par plus a “make whole” premium. Total proceeds from the issuance of the 2024 Notes, net of underwriting discounts, offering costs and original issue discount were $292.9 million. We used the net proceeds of the 2024 Notes to repay outstanding indebtedness under the Revolving Credit Facility.</w:t>
      </w:r>
    </w:p>
    <w:p>
      <w:pPr>
        <w:spacing w:after="0" w:line="186" w:lineRule="exact"/>
        <w:rPr>
          <w:sz w:val="20"/>
          <w:szCs w:val="20"/>
          <w:color w:val="auto"/>
        </w:rPr>
      </w:pPr>
    </w:p>
    <w:p>
      <w:pPr>
        <w:ind w:right="60" w:firstLine="231"/>
        <w:spacing w:after="0" w:line="247" w:lineRule="auto"/>
        <w:rPr>
          <w:sz w:val="20"/>
          <w:szCs w:val="20"/>
          <w:color w:val="auto"/>
        </w:rPr>
      </w:pPr>
      <w:r>
        <w:rPr>
          <w:rFonts w:ascii="Times New Roman" w:cs="Times New Roman" w:eastAsia="Times New Roman" w:hAnsi="Times New Roman"/>
          <w:sz w:val="19"/>
          <w:szCs w:val="19"/>
          <w:color w:val="231F20"/>
        </w:rPr>
        <w:t>On February 5, 2020, we issued an additional $50.0 million aggregate principal amount of unsecured notes that mature on November 1, 2024. The additional 2024 Notes are a further issuance of, fungible with, rank equally in right of payment with and have the same terms (other than the issue date and the public offering price) as the initial issuance of 2024 Notes. Total proceeds from the issuance of the additional 2024 Notes, net of underwriting discounts, offering costs and original issue premium were $50.1 million. We used the net proceeds of the 2024 Notes to repay outstanding indebtedness under the Revolving Credit Facility.</w:t>
      </w:r>
    </w:p>
    <w:p>
      <w:pPr>
        <w:spacing w:after="0" w:line="188" w:lineRule="exact"/>
        <w:rPr>
          <w:sz w:val="20"/>
          <w:szCs w:val="20"/>
          <w:color w:val="auto"/>
        </w:rPr>
      </w:pPr>
    </w:p>
    <w:p>
      <w:pPr>
        <w:ind w:right="120" w:firstLine="231"/>
        <w:spacing w:after="0" w:line="257" w:lineRule="auto"/>
        <w:rPr>
          <w:sz w:val="20"/>
          <w:szCs w:val="20"/>
          <w:color w:val="auto"/>
        </w:rPr>
      </w:pPr>
      <w:r>
        <w:rPr>
          <w:rFonts w:ascii="Times New Roman" w:cs="Times New Roman" w:eastAsia="Times New Roman" w:hAnsi="Times New Roman"/>
          <w:sz w:val="19"/>
          <w:szCs w:val="19"/>
          <w:color w:val="231F20"/>
        </w:rPr>
        <w:t>During the year ended December 31, 2020, we repurchased on the open market and extinguished $2.5 million in aggregate principal amount of the 2024 Notes for $2.4 million. These repurchases resulted in a gain on extinguishment of debt of less than $0.1 million. This gain is included in the extinguishment of debt in the accompanying Consolidated Statements of Operations.</w:t>
      </w:r>
    </w:p>
    <w:p>
      <w:pPr>
        <w:spacing w:after="0" w:line="2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231F20"/>
        </w:rPr>
        <w:t>F-43</w:t>
      </w:r>
    </w:p>
    <w:p>
      <w:pPr>
        <w:sectPr>
          <w:pgSz w:w="12240" w:h="15840" w:orient="portrait"/>
          <w:cols w:equalWidth="0" w:num="1">
            <w:col w:w="10180"/>
          </w:cols>
          <w:pgMar w:left="1020" w:top="1317" w:right="1040" w:bottom="574" w:gutter="0" w:footer="0" w:header="0"/>
        </w:sectPr>
      </w:pPr>
    </w:p>
    <w:bookmarkStart w:id="131" w:name="page132"/>
    <w:bookmarkEnd w:id="131"/>
    <w:p>
      <w:pPr>
        <w:ind w:right="160" w:firstLine="231"/>
        <w:spacing w:after="0" w:line="275" w:lineRule="auto"/>
        <w:rPr>
          <w:sz w:val="20"/>
          <w:szCs w:val="20"/>
          <w:color w:val="auto"/>
        </w:rPr>
      </w:pPr>
      <w:r>
        <w:rPr>
          <w:rFonts w:ascii="Times New Roman" w:cs="Times New Roman" w:eastAsia="Times New Roman" w:hAnsi="Times New Roman"/>
          <w:sz w:val="19"/>
          <w:szCs w:val="19"/>
          <w:color w:val="231F20"/>
        </w:rPr>
        <w:t>The Company's 2024 Notes matured on November 1, 2024 and were fully repaid. The corresponding swap transaction associated with the issuance of the 2024 Notes also matured on November 1, 2024.</w:t>
      </w:r>
    </w:p>
    <w:p>
      <w:pPr>
        <w:spacing w:after="0" w:line="27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231F20"/>
        </w:rPr>
        <w:t>2026 Notes</w:t>
      </w:r>
    </w:p>
    <w:p>
      <w:pPr>
        <w:spacing w:after="0" w:line="108" w:lineRule="exact"/>
        <w:rPr>
          <w:sz w:val="20"/>
          <w:szCs w:val="20"/>
          <w:color w:val="auto"/>
        </w:rPr>
      </w:pPr>
    </w:p>
    <w:p>
      <w:pPr>
        <w:ind w:right="80" w:firstLine="231"/>
        <w:spacing w:after="0" w:line="253" w:lineRule="auto"/>
        <w:rPr>
          <w:sz w:val="20"/>
          <w:szCs w:val="20"/>
          <w:color w:val="auto"/>
        </w:rPr>
      </w:pPr>
      <w:r>
        <w:rPr>
          <w:rFonts w:ascii="Times New Roman" w:cs="Times New Roman" w:eastAsia="Times New Roman" w:hAnsi="Times New Roman"/>
          <w:sz w:val="19"/>
          <w:szCs w:val="19"/>
          <w:color w:val="231F20"/>
        </w:rPr>
        <w:t>On February 3, 2021, the Company issued $300.0 million aggregate principal amount of unsecured notes that mature on August 1, 2026 (the “2026 Notes”). The principal amount of the 2026 Notes is payable at maturity. The 2026 Notes bear interest at a rate of</w:t>
      </w:r>
    </w:p>
    <w:p>
      <w:pPr>
        <w:spacing w:after="0" w:line="2" w:lineRule="exact"/>
        <w:rPr>
          <w:sz w:val="20"/>
          <w:szCs w:val="20"/>
          <w:color w:val="auto"/>
        </w:rPr>
      </w:pPr>
    </w:p>
    <w:p>
      <w:pPr>
        <w:ind w:right="180"/>
        <w:spacing w:after="0"/>
        <w:rPr>
          <w:sz w:val="20"/>
          <w:szCs w:val="20"/>
          <w:color w:val="auto"/>
        </w:rPr>
      </w:pPr>
      <w:r>
        <w:rPr>
          <w:rFonts w:ascii="Times New Roman" w:cs="Times New Roman" w:eastAsia="Times New Roman" w:hAnsi="Times New Roman"/>
          <w:sz w:val="19"/>
          <w:szCs w:val="19"/>
          <w:color w:val="231F20"/>
        </w:rPr>
        <w:t>2.50% per year, payable semi-annually commencing on August 1, 2021, and may be redeemed in whole or in part at the Company’s option at any time at par plus a “make whole” premium. Total proceeds from the issuance of the 2026 Notes, net of underwriting discounts and estimated offering costs, were $293.7 million. The Company used the net proceeds of the 2026 Notes to repay outstanding indebtedness under the Revolving Credit Facility.</w:t>
      </w:r>
    </w:p>
    <w:p>
      <w:pPr>
        <w:spacing w:after="0" w:line="19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9"/>
          <w:szCs w:val="19"/>
          <w:color w:val="231F20"/>
        </w:rPr>
        <w:t>In connection with the issuance of the 2026 Notes, the Company entered into an interest rate swap to align the interest rates of its</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231F20"/>
        </w:rPr>
        <w:t>liabilities with the Company’s investment portfolio, which consists of predominately floating rate loans. The notional amount of the</w:t>
      </w:r>
    </w:p>
    <w:p>
      <w:pPr>
        <w:spacing w:after="0" w:line="238" w:lineRule="auto"/>
        <w:rPr>
          <w:sz w:val="20"/>
          <w:szCs w:val="20"/>
          <w:color w:val="auto"/>
        </w:rPr>
      </w:pPr>
      <w:r>
        <w:rPr>
          <w:rFonts w:ascii="Times New Roman" w:cs="Times New Roman" w:eastAsia="Times New Roman" w:hAnsi="Times New Roman"/>
          <w:sz w:val="19"/>
          <w:szCs w:val="19"/>
          <w:color w:val="231F20"/>
        </w:rPr>
        <w:t>interest rate swap is $300.0 million, which matures on August 1, 2026, matching the maturity date of the 2026 Notes. As a result of</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the swap, the Company’s effective interest rate on the 2026 Notes is SOFR plus 2.17%. The interest expense related to the 2026 Notes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231F20"/>
        </w:rPr>
        <w:t>is offset by proceeds received from the interest rate swaps designated as a hedge. The swap adjusted interest expense is included as a</w:t>
      </w:r>
    </w:p>
    <w:p>
      <w:pPr>
        <w:spacing w:after="0" w:line="238" w:lineRule="auto"/>
        <w:rPr>
          <w:sz w:val="20"/>
          <w:szCs w:val="20"/>
          <w:color w:val="auto"/>
        </w:rPr>
      </w:pPr>
      <w:r>
        <w:rPr>
          <w:rFonts w:ascii="Times New Roman" w:cs="Times New Roman" w:eastAsia="Times New Roman" w:hAnsi="Times New Roman"/>
          <w:sz w:val="19"/>
          <w:szCs w:val="19"/>
          <w:color w:val="231F20"/>
        </w:rPr>
        <w:t>component of interest expense on the Company’s Consolidated Statements of Operations. As of December 31, 2024 and</w:t>
      </w:r>
    </w:p>
    <w:p>
      <w:pPr>
        <w:spacing w:after="0"/>
        <w:rPr>
          <w:sz w:val="20"/>
          <w:szCs w:val="20"/>
          <w:color w:val="auto"/>
        </w:rPr>
      </w:pPr>
      <w:r>
        <w:rPr>
          <w:rFonts w:ascii="Times New Roman" w:cs="Times New Roman" w:eastAsia="Times New Roman" w:hAnsi="Times New Roman"/>
          <w:sz w:val="19"/>
          <w:szCs w:val="19"/>
          <w:color w:val="231F20"/>
        </w:rPr>
        <w:t>December 31, 2023 the effective hedge interest rate swaps had a fair value of $(17.6) million and $(26.1) million, respectively, which</w:t>
      </w:r>
    </w:p>
    <w:p>
      <w:pPr>
        <w:spacing w:after="0"/>
        <w:rPr>
          <w:sz w:val="20"/>
          <w:szCs w:val="20"/>
          <w:color w:val="auto"/>
        </w:rPr>
      </w:pPr>
      <w:r>
        <w:rPr>
          <w:rFonts w:ascii="Times New Roman" w:cs="Times New Roman" w:eastAsia="Times New Roman" w:hAnsi="Times New Roman"/>
          <w:sz w:val="19"/>
          <w:szCs w:val="19"/>
          <w:color w:val="231F20"/>
        </w:rPr>
        <w:t>is offset within interest expense by an equal, but opposite, fair value change for the hedged risk on the 2026 Notes.</w:t>
      </w:r>
    </w:p>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231F20"/>
        </w:rPr>
        <w:t>2028 Notes</w:t>
      </w:r>
    </w:p>
    <w:p>
      <w:pPr>
        <w:spacing w:after="0" w:line="108" w:lineRule="exact"/>
        <w:rPr>
          <w:sz w:val="20"/>
          <w:szCs w:val="20"/>
          <w:color w:val="auto"/>
        </w:rPr>
      </w:pPr>
    </w:p>
    <w:p>
      <w:pPr>
        <w:ind w:right="20" w:firstLine="231"/>
        <w:spacing w:after="0" w:line="246" w:lineRule="auto"/>
        <w:rPr>
          <w:sz w:val="20"/>
          <w:szCs w:val="20"/>
          <w:color w:val="auto"/>
        </w:rPr>
      </w:pPr>
      <w:r>
        <w:rPr>
          <w:rFonts w:ascii="Times New Roman" w:cs="Times New Roman" w:eastAsia="Times New Roman" w:hAnsi="Times New Roman"/>
          <w:sz w:val="19"/>
          <w:szCs w:val="19"/>
          <w:color w:val="231F20"/>
        </w:rPr>
        <w:t>On August 14, 2023, the Company issued $300.0 million aggregate principal amount of unsecured notes that mature on August 14, 2028 (the “2028 Notes”). The principal amount of the 2028 Notes is payable at maturity. The 2028 Notes bear interest at a rate of 6.95% per year, payable semi-annually commencing on February 14, 2024, and may be redeemed in whole or in part at the Company’s option at any time at par plus a “make whole” premium. Total proceeds from the issuance of the 2028 Notes, net of underwriting discounts, offering costs and original issue discount, were $293.9 million. The Company used the net proceeds of the 2028 Notes to repay outstanding indebtedness under the Revolving Credit Facility.</w:t>
      </w:r>
    </w:p>
    <w:p>
      <w:pPr>
        <w:spacing w:after="0" w:line="73" w:lineRule="exact"/>
        <w:rPr>
          <w:sz w:val="20"/>
          <w:szCs w:val="20"/>
          <w:color w:val="auto"/>
        </w:rPr>
      </w:pPr>
    </w:p>
    <w:p>
      <w:pPr>
        <w:ind w:firstLine="231"/>
        <w:spacing w:after="0" w:line="243" w:lineRule="auto"/>
        <w:rPr>
          <w:sz w:val="20"/>
          <w:szCs w:val="20"/>
          <w:color w:val="auto"/>
        </w:rPr>
      </w:pPr>
      <w:r>
        <w:rPr>
          <w:rFonts w:ascii="Times New Roman" w:cs="Times New Roman" w:eastAsia="Times New Roman" w:hAnsi="Times New Roman"/>
          <w:sz w:val="19"/>
          <w:szCs w:val="19"/>
          <w:color w:val="231F20"/>
        </w:rPr>
        <w:t>In connection with the issuance of the 2028 Notes, the Company entered into an interest rate swap to align the interest rates of its liabilities with the Company’s investment portfolio, which consists of predominately floating rate loans. The notional amount of the interest rate swap is $300.0 million, which matures on August 14, 2028, matching the maturity date of the 2028 Notes. As a result of the swap, the Company’s effective interest rate on the 2028 Notes is SOFR plus 2.99%. The interest expense related to the 2028 Notes is offset by proceeds received from the interest rate swaps designated as a hedge. The swap adjusted interest expense is included as a component of interest expense on the Company’s Consolidated Statements of Operations. As of December 31, 2024 and December 31, 2023 the effective hedge interest rate swaps had a fair value of $(1.4) million and $4.7 million, respectively, which is offset within interest expense by an equal, but opposite, fair value change for the hedged risk on the 2028 Notes.</w:t>
      </w:r>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231F20"/>
        </w:rPr>
        <w:t>2029 Notes</w:t>
      </w:r>
    </w:p>
    <w:p>
      <w:pPr>
        <w:spacing w:after="0" w:line="108" w:lineRule="exact"/>
        <w:rPr>
          <w:sz w:val="20"/>
          <w:szCs w:val="20"/>
          <w:color w:val="auto"/>
        </w:rPr>
      </w:pPr>
    </w:p>
    <w:p>
      <w:pPr>
        <w:ind w:right="220" w:firstLine="231"/>
        <w:spacing w:after="0" w:line="246" w:lineRule="auto"/>
        <w:rPr>
          <w:sz w:val="20"/>
          <w:szCs w:val="20"/>
          <w:color w:val="auto"/>
        </w:rPr>
      </w:pPr>
      <w:r>
        <w:rPr>
          <w:rFonts w:ascii="Times New Roman" w:cs="Times New Roman" w:eastAsia="Times New Roman" w:hAnsi="Times New Roman"/>
          <w:sz w:val="19"/>
          <w:szCs w:val="19"/>
          <w:color w:val="231F20"/>
        </w:rPr>
        <w:t>On January 8, 2024, the Company issued $350.0 million aggregate principal amount of unsecured notes that mature on March 1, 2029 (the “2029 Notes”). The principal amount of the 2029 Notes is payable at maturity. The 2029 Notes bear interest at a rate of 6.125% per year, payable semi-annually commencing on September 1, 2024, and may be redeemed in whole or in part at the Company’s option at any time at par plus a “make whole” premium. Total proceeds from the issuance of the 2029 Notes, net of underwriting discounts, offering costs and original issue discount, were $341.6 million. The Company used the net proceeds of the 2029 Notes to repay outstanding indebtedness under the Revolving Credit Facility.</w:t>
      </w:r>
    </w:p>
    <w:p>
      <w:pPr>
        <w:spacing w:after="0" w:line="73" w:lineRule="exact"/>
        <w:rPr>
          <w:sz w:val="20"/>
          <w:szCs w:val="20"/>
          <w:color w:val="auto"/>
        </w:rPr>
      </w:pPr>
    </w:p>
    <w:p>
      <w:pPr>
        <w:ind w:firstLine="231"/>
        <w:spacing w:after="0" w:line="243" w:lineRule="auto"/>
        <w:rPr>
          <w:sz w:val="20"/>
          <w:szCs w:val="20"/>
          <w:color w:val="auto"/>
        </w:rPr>
      </w:pPr>
      <w:r>
        <w:rPr>
          <w:rFonts w:ascii="Times New Roman" w:cs="Times New Roman" w:eastAsia="Times New Roman" w:hAnsi="Times New Roman"/>
          <w:sz w:val="19"/>
          <w:szCs w:val="19"/>
          <w:color w:val="231F20"/>
        </w:rPr>
        <w:t>In connection with the issuance of the 2029 Notes, the Company entered into an interest rate swap to align the interest rates of its liabilities with the Company’s investment portfolio, which consists of predominately floating rate loans. The notional amount of the interest rate swap is $350.0 million, which matures on March 1, 2029, matching the maturity date of the 2029 Notes. As a result of the swap, the Company’s effective interest rate on the 2029 Notes is SOFR plus 2.44%. The interest expense related to the 2029 Notes is offset by proceeds received from the interest rate swaps designated as a hedge. The swap adjusted interest expense is included as a component of interest expense on the Company’s Consolidated Statements of Operations. As of December 31, 2024, the effective hedge interest rate swaps had a fair value of $(5.2) million which is offset within interest expense by an equal, but opposite, fair value change for the hedged risk on the 2029 Notes.</w:t>
      </w:r>
    </w:p>
    <w:p>
      <w:pPr>
        <w:sectPr>
          <w:pgSz w:w="12240" w:h="15840" w:orient="portrait"/>
          <w:cols w:equalWidth="0" w:num="1">
            <w:col w:w="10160"/>
          </w:cols>
          <w:pgMar w:left="1020" w:top="1317" w:right="1060" w:bottom="57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9"/>
          <w:szCs w:val="19"/>
          <w:color w:val="231F20"/>
        </w:rPr>
        <w:t>F-44</w:t>
      </w:r>
    </w:p>
    <w:p>
      <w:pPr>
        <w:sectPr>
          <w:pgSz w:w="12240" w:h="15840" w:orient="portrait"/>
          <w:cols w:equalWidth="0" w:num="1">
            <w:col w:w="10160"/>
          </w:cols>
          <w:pgMar w:left="1020" w:top="1317" w:right="1060" w:bottom="574" w:gutter="0" w:footer="0" w:header="0"/>
          <w:type w:val="continuous"/>
        </w:sectPr>
      </w:pPr>
    </w:p>
    <w:bookmarkStart w:id="132" w:name="page133"/>
    <w:bookmarkEnd w:id="132"/>
    <w:p>
      <w:pPr>
        <w:jc w:val="both"/>
        <w:ind w:right="20" w:firstLine="231"/>
        <w:spacing w:after="0" w:line="275" w:lineRule="auto"/>
        <w:rPr>
          <w:sz w:val="20"/>
          <w:szCs w:val="20"/>
          <w:color w:val="auto"/>
        </w:rPr>
      </w:pPr>
      <w:r>
        <w:rPr>
          <w:rFonts w:ascii="Times New Roman" w:cs="Times New Roman" w:eastAsia="Times New Roman" w:hAnsi="Times New Roman"/>
          <w:sz w:val="19"/>
          <w:szCs w:val="19"/>
          <w:color w:val="231F20"/>
        </w:rPr>
        <w:t>For the years ended December 31, 2024, December 31, 2023 and December 31, 2022, the components of interest expense related to the 2023 Notes, 2024 Notes, 2026 Notes, 2028 Notes and 2029 Notes were as follows:</w:t>
      </w:r>
    </w:p>
    <w:p>
      <w:pPr>
        <w:spacing w:after="0" w:line="67" w:lineRule="exact"/>
        <w:rPr>
          <w:sz w:val="20"/>
          <w:szCs w:val="20"/>
          <w:color w:val="auto"/>
        </w:rPr>
      </w:pPr>
    </w:p>
    <w:tbl>
      <w:tblPr>
        <w:tblLayout w:type="fixed"/>
        <w:tblInd w:w="620" w:type="dxa"/>
        <w:tblCellMar>
          <w:top w:w="0" w:type="dxa"/>
          <w:left w:w="0" w:type="dxa"/>
          <w:bottom w:w="0" w:type="dxa"/>
          <w:right w:w="0" w:type="dxa"/>
        </w:tblCellMar>
      </w:tblPr>
      <w:tr>
        <w:trPr>
          <w:trHeight w:val="231"/>
        </w:trPr>
        <w:tc>
          <w:tcPr>
            <w:tcW w:w="3980" w:type="dxa"/>
            <w:vAlign w:val="bottom"/>
            <w:tcBorders>
              <w:bottom w:val="single" w:sz="8" w:color="FDFDFC"/>
            </w:tcBorders>
            <w:shd w:val="clear" w:color="auto" w:fill="FDFDFC"/>
          </w:tcPr>
          <w:p>
            <w:pPr>
              <w:spacing w:after="0"/>
              <w:rPr>
                <w:sz w:val="20"/>
                <w:szCs w:val="20"/>
                <w:color w:val="auto"/>
              </w:rPr>
            </w:pPr>
          </w:p>
        </w:tc>
        <w:tc>
          <w:tcPr>
            <w:tcW w:w="140" w:type="dxa"/>
            <w:vAlign w:val="bottom"/>
            <w:tcBorders>
              <w:bottom w:val="single" w:sz="8" w:color="FDFDFC"/>
            </w:tcBorders>
            <w:shd w:val="clear" w:color="auto" w:fill="FDFDFC"/>
          </w:tcPr>
          <w:p>
            <w:pPr>
              <w:spacing w:after="0"/>
              <w:rPr>
                <w:sz w:val="20"/>
                <w:szCs w:val="20"/>
                <w:color w:val="auto"/>
              </w:rPr>
            </w:pPr>
          </w:p>
        </w:tc>
        <w:tc>
          <w:tcPr>
            <w:tcW w:w="120" w:type="dxa"/>
            <w:vAlign w:val="bottom"/>
            <w:tcBorders>
              <w:bottom w:val="single" w:sz="8" w:color="231F20"/>
            </w:tcBorders>
            <w:shd w:val="clear" w:color="auto" w:fill="FDFDFC"/>
          </w:tcPr>
          <w:p>
            <w:pPr>
              <w:spacing w:after="0"/>
              <w:rPr>
                <w:sz w:val="20"/>
                <w:szCs w:val="20"/>
                <w:color w:val="auto"/>
              </w:rPr>
            </w:pPr>
          </w:p>
        </w:tc>
        <w:tc>
          <w:tcPr>
            <w:tcW w:w="1440" w:type="dxa"/>
            <w:vAlign w:val="bottom"/>
            <w:tcBorders>
              <w:bottom w:val="single" w:sz="8" w:color="231F20"/>
            </w:tcBorders>
            <w:shd w:val="clear" w:color="auto" w:fill="FDFDFC"/>
          </w:tcPr>
          <w:p>
            <w:pPr>
              <w:spacing w:after="0"/>
              <w:rPr>
                <w:sz w:val="20"/>
                <w:szCs w:val="20"/>
                <w:color w:val="auto"/>
              </w:rPr>
            </w:pPr>
          </w:p>
        </w:tc>
        <w:tc>
          <w:tcPr>
            <w:tcW w:w="1540" w:type="dxa"/>
            <w:vAlign w:val="bottom"/>
            <w:tcBorders>
              <w:bottom w:val="single" w:sz="8" w:color="231F20"/>
            </w:tcBorders>
            <w:gridSpan w:val="3"/>
            <w:shd w:val="clear" w:color="auto" w:fill="FDFDFC"/>
          </w:tcPr>
          <w:p>
            <w:pPr>
              <w:jc w:val="right"/>
              <w:spacing w:after="0"/>
              <w:rPr>
                <w:sz w:val="20"/>
                <w:szCs w:val="20"/>
                <w:color w:val="auto"/>
              </w:rPr>
            </w:pPr>
            <w:r>
              <w:rPr>
                <w:rFonts w:ascii="Times New Roman" w:cs="Times New Roman" w:eastAsia="Times New Roman" w:hAnsi="Times New Roman"/>
                <w:sz w:val="15"/>
                <w:szCs w:val="15"/>
                <w:b w:val="1"/>
                <w:bCs w:val="1"/>
                <w:color w:val="231F20"/>
              </w:rPr>
              <w:t>For the Year Ended</w:t>
            </w:r>
          </w:p>
        </w:tc>
        <w:tc>
          <w:tcPr>
            <w:tcW w:w="220" w:type="dxa"/>
            <w:vAlign w:val="bottom"/>
            <w:tcBorders>
              <w:bottom w:val="single" w:sz="8" w:color="231F20"/>
            </w:tcBorders>
            <w:shd w:val="clear" w:color="auto" w:fill="FDFDFC"/>
          </w:tcPr>
          <w:p>
            <w:pPr>
              <w:spacing w:after="0"/>
              <w:rPr>
                <w:sz w:val="20"/>
                <w:szCs w:val="20"/>
                <w:color w:val="auto"/>
              </w:rPr>
            </w:pPr>
          </w:p>
        </w:tc>
        <w:tc>
          <w:tcPr>
            <w:tcW w:w="100" w:type="dxa"/>
            <w:vAlign w:val="bottom"/>
            <w:tcBorders>
              <w:bottom w:val="single" w:sz="8" w:color="231F20"/>
            </w:tcBorders>
            <w:shd w:val="clear" w:color="auto" w:fill="FDFDFC"/>
          </w:tcPr>
          <w:p>
            <w:pPr>
              <w:spacing w:after="0"/>
              <w:rPr>
                <w:sz w:val="20"/>
                <w:szCs w:val="20"/>
                <w:color w:val="auto"/>
              </w:rPr>
            </w:pPr>
          </w:p>
        </w:tc>
        <w:tc>
          <w:tcPr>
            <w:tcW w:w="1320" w:type="dxa"/>
            <w:vAlign w:val="bottom"/>
            <w:tcBorders>
              <w:bottom w:val="single" w:sz="8" w:color="231F20"/>
            </w:tcBorders>
            <w:shd w:val="clear" w:color="auto" w:fill="FDFDFC"/>
          </w:tcPr>
          <w:p>
            <w:pPr>
              <w:spacing w:after="0"/>
              <w:rPr>
                <w:sz w:val="20"/>
                <w:szCs w:val="20"/>
                <w:color w:val="auto"/>
              </w:rPr>
            </w:pPr>
          </w:p>
        </w:tc>
        <w:tc>
          <w:tcPr>
            <w:tcW w:w="100" w:type="dxa"/>
            <w:vAlign w:val="bottom"/>
            <w:tcBorders>
              <w:bottom w:val="single" w:sz="8" w:color="FDFDFC"/>
            </w:tcBorders>
            <w:shd w:val="clear" w:color="auto" w:fill="FDFDFC"/>
          </w:tcPr>
          <w:p>
            <w:pPr>
              <w:spacing w:after="0"/>
              <w:rPr>
                <w:sz w:val="20"/>
                <w:szCs w:val="20"/>
                <w:color w:val="auto"/>
              </w:rPr>
            </w:pPr>
          </w:p>
        </w:tc>
      </w:tr>
      <w:tr>
        <w:trPr>
          <w:trHeight w:val="163"/>
        </w:trPr>
        <w:tc>
          <w:tcPr>
            <w:tcW w:w="3980" w:type="dxa"/>
            <w:vAlign w:val="bottom"/>
            <w:tcBorders>
              <w:bottom w:val="single" w:sz="8" w:color="D0EBF2"/>
            </w:tcBorders>
            <w:shd w:val="clear" w:color="auto" w:fill="FDFDFC"/>
          </w:tcPr>
          <w:p>
            <w:pPr>
              <w:spacing w:after="0"/>
              <w:rPr>
                <w:sz w:val="14"/>
                <w:szCs w:val="14"/>
                <w:color w:val="auto"/>
              </w:rPr>
            </w:pPr>
          </w:p>
        </w:tc>
        <w:tc>
          <w:tcPr>
            <w:tcW w:w="140" w:type="dxa"/>
            <w:vAlign w:val="bottom"/>
            <w:tcBorders>
              <w:bottom w:val="single" w:sz="8" w:color="D0EBF2"/>
            </w:tcBorders>
            <w:shd w:val="clear" w:color="auto" w:fill="FDFDFC"/>
          </w:tcPr>
          <w:p>
            <w:pPr>
              <w:spacing w:after="0"/>
              <w:rPr>
                <w:sz w:val="14"/>
                <w:szCs w:val="14"/>
                <w:color w:val="auto"/>
              </w:rPr>
            </w:pPr>
          </w:p>
        </w:tc>
        <w:tc>
          <w:tcPr>
            <w:tcW w:w="120" w:type="dxa"/>
            <w:vAlign w:val="bottom"/>
            <w:tcBorders>
              <w:bottom w:val="single" w:sz="8" w:color="231F20"/>
            </w:tcBorders>
            <w:shd w:val="clear" w:color="auto" w:fill="FDFDFC"/>
          </w:tcPr>
          <w:p>
            <w:pPr>
              <w:spacing w:after="0"/>
              <w:rPr>
                <w:sz w:val="14"/>
                <w:szCs w:val="14"/>
                <w:color w:val="auto"/>
              </w:rPr>
            </w:pPr>
          </w:p>
        </w:tc>
        <w:tc>
          <w:tcPr>
            <w:tcW w:w="1440" w:type="dxa"/>
            <w:vAlign w:val="bottom"/>
            <w:tcBorders>
              <w:bottom w:val="single" w:sz="8" w:color="231F20"/>
            </w:tcBorders>
            <w:shd w:val="clear" w:color="auto" w:fill="FDFDFC"/>
          </w:tcPr>
          <w:p>
            <w:pPr>
              <w:jc w:val="right"/>
              <w:ind w:right="89"/>
              <w:spacing w:after="0" w:line="164" w:lineRule="exact"/>
              <w:rPr>
                <w:sz w:val="20"/>
                <w:szCs w:val="20"/>
                <w:color w:val="auto"/>
              </w:rPr>
            </w:pPr>
            <w:r>
              <w:rPr>
                <w:rFonts w:ascii="Times New Roman" w:cs="Times New Roman" w:eastAsia="Times New Roman" w:hAnsi="Times New Roman"/>
                <w:sz w:val="15"/>
                <w:szCs w:val="15"/>
                <w:b w:val="1"/>
                <w:bCs w:val="1"/>
                <w:color w:val="231F20"/>
              </w:rPr>
              <w:t>December 31, 2024</w:t>
            </w:r>
          </w:p>
        </w:tc>
        <w:tc>
          <w:tcPr>
            <w:tcW w:w="220" w:type="dxa"/>
            <w:vAlign w:val="bottom"/>
            <w:tcBorders>
              <w:bottom w:val="single" w:sz="8" w:color="D0EBF2"/>
            </w:tcBorders>
            <w:shd w:val="clear" w:color="auto" w:fill="FDFDFC"/>
          </w:tcPr>
          <w:p>
            <w:pPr>
              <w:spacing w:after="0"/>
              <w:rPr>
                <w:sz w:val="14"/>
                <w:szCs w:val="14"/>
                <w:color w:val="auto"/>
              </w:rPr>
            </w:pPr>
          </w:p>
        </w:tc>
        <w:tc>
          <w:tcPr>
            <w:tcW w:w="1320" w:type="dxa"/>
            <w:vAlign w:val="bottom"/>
            <w:tcBorders>
              <w:bottom w:val="single" w:sz="8" w:color="231F20"/>
            </w:tcBorders>
            <w:gridSpan w:val="2"/>
            <w:shd w:val="clear" w:color="auto" w:fill="FDFDFC"/>
          </w:tcPr>
          <w:p>
            <w:pPr>
              <w:jc w:val="right"/>
              <w:spacing w:after="0" w:line="164" w:lineRule="exact"/>
              <w:rPr>
                <w:sz w:val="20"/>
                <w:szCs w:val="20"/>
                <w:color w:val="auto"/>
              </w:rPr>
            </w:pPr>
            <w:r>
              <w:rPr>
                <w:rFonts w:ascii="Times New Roman" w:cs="Times New Roman" w:eastAsia="Times New Roman" w:hAnsi="Times New Roman"/>
                <w:sz w:val="15"/>
                <w:szCs w:val="15"/>
                <w:b w:val="1"/>
                <w:bCs w:val="1"/>
                <w:color w:val="231F20"/>
              </w:rPr>
              <w:t>December 31, 2023</w:t>
            </w:r>
          </w:p>
        </w:tc>
        <w:tc>
          <w:tcPr>
            <w:tcW w:w="220" w:type="dxa"/>
            <w:vAlign w:val="bottom"/>
            <w:tcBorders>
              <w:bottom w:val="single" w:sz="8" w:color="D0EBF2"/>
            </w:tcBorders>
            <w:shd w:val="clear" w:color="auto" w:fill="FDFDFC"/>
          </w:tcPr>
          <w:p>
            <w:pPr>
              <w:spacing w:after="0"/>
              <w:rPr>
                <w:sz w:val="14"/>
                <w:szCs w:val="14"/>
                <w:color w:val="auto"/>
              </w:rPr>
            </w:pPr>
          </w:p>
        </w:tc>
        <w:tc>
          <w:tcPr>
            <w:tcW w:w="100" w:type="dxa"/>
            <w:vAlign w:val="bottom"/>
            <w:tcBorders>
              <w:bottom w:val="single" w:sz="8" w:color="231F20"/>
            </w:tcBorders>
            <w:shd w:val="clear" w:color="auto" w:fill="FDFDFC"/>
          </w:tcPr>
          <w:p>
            <w:pPr>
              <w:spacing w:after="0"/>
              <w:rPr>
                <w:sz w:val="14"/>
                <w:szCs w:val="14"/>
                <w:color w:val="auto"/>
              </w:rPr>
            </w:pPr>
          </w:p>
        </w:tc>
        <w:tc>
          <w:tcPr>
            <w:tcW w:w="1320" w:type="dxa"/>
            <w:vAlign w:val="bottom"/>
            <w:tcBorders>
              <w:bottom w:val="single" w:sz="8" w:color="231F20"/>
            </w:tcBorders>
            <w:shd w:val="clear" w:color="auto" w:fill="FDFDFC"/>
          </w:tcPr>
          <w:p>
            <w:pPr>
              <w:jc w:val="right"/>
              <w:ind w:right="9"/>
              <w:spacing w:after="0" w:line="164" w:lineRule="exact"/>
              <w:rPr>
                <w:sz w:val="20"/>
                <w:szCs w:val="20"/>
                <w:color w:val="auto"/>
              </w:rPr>
            </w:pPr>
            <w:r>
              <w:rPr>
                <w:rFonts w:ascii="Times New Roman" w:cs="Times New Roman" w:eastAsia="Times New Roman" w:hAnsi="Times New Roman"/>
                <w:sz w:val="15"/>
                <w:szCs w:val="15"/>
                <w:b w:val="1"/>
                <w:bCs w:val="1"/>
                <w:color w:val="231F20"/>
                <w:w w:val="98"/>
              </w:rPr>
              <w:t>December 31, 2022</w:t>
            </w:r>
          </w:p>
        </w:tc>
        <w:tc>
          <w:tcPr>
            <w:tcW w:w="100" w:type="dxa"/>
            <w:vAlign w:val="bottom"/>
            <w:tcBorders>
              <w:bottom w:val="single" w:sz="8" w:color="D0EBF2"/>
            </w:tcBorders>
            <w:shd w:val="clear" w:color="auto" w:fill="FDFDFC"/>
          </w:tcPr>
          <w:p>
            <w:pPr>
              <w:spacing w:after="0"/>
              <w:rPr>
                <w:sz w:val="14"/>
                <w:szCs w:val="14"/>
                <w:color w:val="auto"/>
              </w:rPr>
            </w:pPr>
          </w:p>
        </w:tc>
      </w:tr>
      <w:tr>
        <w:trPr>
          <w:trHeight w:val="220"/>
        </w:trPr>
        <w:tc>
          <w:tcPr>
            <w:tcW w:w="3980" w:type="dxa"/>
            <w:vAlign w:val="bottom"/>
            <w:shd w:val="clear" w:color="auto" w:fill="D0EBF2"/>
          </w:tcPr>
          <w:p>
            <w:pPr>
              <w:spacing w:after="0"/>
              <w:rPr>
                <w:sz w:val="20"/>
                <w:szCs w:val="20"/>
                <w:color w:val="auto"/>
              </w:rPr>
            </w:pPr>
            <w:r>
              <w:rPr>
                <w:rFonts w:ascii="Times New Roman" w:cs="Times New Roman" w:eastAsia="Times New Roman" w:hAnsi="Times New Roman"/>
                <w:sz w:val="19"/>
                <w:szCs w:val="19"/>
                <w:color w:val="231F20"/>
              </w:rPr>
              <w:t>Interest expense</w:t>
            </w:r>
          </w:p>
        </w:tc>
        <w:tc>
          <w:tcPr>
            <w:tcW w:w="140" w:type="dxa"/>
            <w:vAlign w:val="bottom"/>
            <w:shd w:val="clear" w:color="auto" w:fill="D0EBF2"/>
          </w:tcPr>
          <w:p>
            <w:pPr>
              <w:spacing w:after="0"/>
              <w:rPr>
                <w:sz w:val="19"/>
                <w:szCs w:val="19"/>
                <w:color w:val="auto"/>
              </w:rPr>
            </w:pPr>
          </w:p>
        </w:tc>
        <w:tc>
          <w:tcPr>
            <w:tcW w:w="120" w:type="dxa"/>
            <w:vAlign w:val="bottom"/>
            <w:shd w:val="clear" w:color="auto" w:fill="D0EBF2"/>
          </w:tcPr>
          <w:p>
            <w:pPr>
              <w:jc w:val="right"/>
              <w:spacing w:after="0"/>
              <w:rPr>
                <w:sz w:val="20"/>
                <w:szCs w:val="20"/>
                <w:color w:val="auto"/>
              </w:rPr>
            </w:pPr>
            <w:r>
              <w:rPr>
                <w:rFonts w:ascii="Times New Roman" w:cs="Times New Roman" w:eastAsia="Times New Roman" w:hAnsi="Times New Roman"/>
                <w:sz w:val="19"/>
                <w:szCs w:val="19"/>
                <w:color w:val="231F20"/>
                <w:w w:val="83"/>
              </w:rPr>
              <w:t>$</w:t>
            </w:r>
          </w:p>
        </w:tc>
        <w:tc>
          <w:tcPr>
            <w:tcW w:w="1440" w:type="dxa"/>
            <w:vAlign w:val="bottom"/>
            <w:shd w:val="clear" w:color="auto" w:fill="D0EBF2"/>
          </w:tcPr>
          <w:p>
            <w:pPr>
              <w:jc w:val="right"/>
              <w:spacing w:after="0"/>
              <w:rPr>
                <w:sz w:val="20"/>
                <w:szCs w:val="20"/>
                <w:color w:val="auto"/>
              </w:rPr>
            </w:pPr>
            <w:r>
              <w:rPr>
                <w:rFonts w:ascii="Times New Roman" w:cs="Times New Roman" w:eastAsia="Times New Roman" w:hAnsi="Times New Roman"/>
                <w:sz w:val="19"/>
                <w:szCs w:val="19"/>
                <w:color w:val="231F20"/>
              </w:rPr>
              <w:t>60,116</w:t>
            </w:r>
          </w:p>
        </w:tc>
        <w:tc>
          <w:tcPr>
            <w:tcW w:w="220" w:type="dxa"/>
            <w:vAlign w:val="bottom"/>
            <w:shd w:val="clear" w:color="auto" w:fill="D0EBF2"/>
          </w:tcPr>
          <w:p>
            <w:pPr>
              <w:spacing w:after="0"/>
              <w:rPr>
                <w:sz w:val="19"/>
                <w:szCs w:val="19"/>
                <w:color w:val="auto"/>
              </w:rPr>
            </w:pPr>
          </w:p>
        </w:tc>
        <w:tc>
          <w:tcPr>
            <w:tcW w:w="440" w:type="dxa"/>
            <w:vAlign w:val="bottom"/>
            <w:shd w:val="clear" w:color="auto" w:fill="D0EBF2"/>
          </w:tcPr>
          <w:p>
            <w:pPr>
              <w:jc w:val="right"/>
              <w:ind w:right="252"/>
              <w:spacing w:after="0"/>
              <w:rPr>
                <w:sz w:val="20"/>
                <w:szCs w:val="20"/>
                <w:color w:val="auto"/>
              </w:rPr>
            </w:pPr>
            <w:r>
              <w:rPr>
                <w:rFonts w:ascii="Times New Roman" w:cs="Times New Roman" w:eastAsia="Times New Roman" w:hAnsi="Times New Roman"/>
                <w:sz w:val="19"/>
                <w:szCs w:val="19"/>
                <w:color w:val="231F20"/>
                <w:w w:val="83"/>
              </w:rPr>
              <w:t>$</w:t>
            </w:r>
          </w:p>
        </w:tc>
        <w:tc>
          <w:tcPr>
            <w:tcW w:w="880" w:type="dxa"/>
            <w:vAlign w:val="bottom"/>
            <w:shd w:val="clear" w:color="auto" w:fill="D0EBF2"/>
          </w:tcPr>
          <w:p>
            <w:pPr>
              <w:jc w:val="right"/>
              <w:spacing w:after="0"/>
              <w:rPr>
                <w:sz w:val="20"/>
                <w:szCs w:val="20"/>
                <w:color w:val="auto"/>
              </w:rPr>
            </w:pPr>
            <w:r>
              <w:rPr>
                <w:rFonts w:ascii="Times New Roman" w:cs="Times New Roman" w:eastAsia="Times New Roman" w:hAnsi="Times New Roman"/>
                <w:sz w:val="19"/>
                <w:szCs w:val="19"/>
                <w:color w:val="231F20"/>
              </w:rPr>
              <w:t>29,294</w:t>
            </w:r>
          </w:p>
        </w:tc>
        <w:tc>
          <w:tcPr>
            <w:tcW w:w="220" w:type="dxa"/>
            <w:vAlign w:val="bottom"/>
            <w:shd w:val="clear" w:color="auto" w:fill="D0EBF2"/>
          </w:tcPr>
          <w:p>
            <w:pPr>
              <w:spacing w:after="0"/>
              <w:rPr>
                <w:sz w:val="19"/>
                <w:szCs w:val="19"/>
                <w:color w:val="auto"/>
              </w:rPr>
            </w:pPr>
          </w:p>
        </w:tc>
        <w:tc>
          <w:tcPr>
            <w:tcW w:w="100" w:type="dxa"/>
            <w:vAlign w:val="bottom"/>
            <w:shd w:val="clear" w:color="auto" w:fill="D0EBF2"/>
          </w:tcPr>
          <w:p>
            <w:pPr>
              <w:jc w:val="right"/>
              <w:spacing w:after="0"/>
              <w:rPr>
                <w:sz w:val="20"/>
                <w:szCs w:val="20"/>
                <w:color w:val="auto"/>
              </w:rPr>
            </w:pPr>
            <w:r>
              <w:rPr>
                <w:rFonts w:ascii="Times New Roman" w:cs="Times New Roman" w:eastAsia="Times New Roman" w:hAnsi="Times New Roman"/>
                <w:sz w:val="19"/>
                <w:szCs w:val="19"/>
                <w:color w:val="231F20"/>
                <w:w w:val="83"/>
              </w:rPr>
              <w:t>$</w:t>
            </w:r>
          </w:p>
        </w:tc>
        <w:tc>
          <w:tcPr>
            <w:tcW w:w="1320" w:type="dxa"/>
            <w:vAlign w:val="bottom"/>
            <w:shd w:val="clear" w:color="auto" w:fill="D0EBF2"/>
          </w:tcPr>
          <w:p>
            <w:pPr>
              <w:jc w:val="right"/>
              <w:spacing w:after="0"/>
              <w:rPr>
                <w:sz w:val="20"/>
                <w:szCs w:val="20"/>
                <w:color w:val="auto"/>
              </w:rPr>
            </w:pPr>
            <w:r>
              <w:rPr>
                <w:rFonts w:ascii="Times New Roman" w:cs="Times New Roman" w:eastAsia="Times New Roman" w:hAnsi="Times New Roman"/>
                <w:sz w:val="19"/>
                <w:szCs w:val="19"/>
                <w:color w:val="231F20"/>
              </w:rPr>
              <w:t>27,716</w:t>
            </w:r>
          </w:p>
        </w:tc>
        <w:tc>
          <w:tcPr>
            <w:tcW w:w="100" w:type="dxa"/>
            <w:vAlign w:val="bottom"/>
            <w:shd w:val="clear" w:color="auto" w:fill="D0EBF2"/>
          </w:tcPr>
          <w:p>
            <w:pPr>
              <w:spacing w:after="0"/>
              <w:rPr>
                <w:sz w:val="19"/>
                <w:szCs w:val="19"/>
                <w:color w:val="auto"/>
              </w:rPr>
            </w:pPr>
          </w:p>
        </w:tc>
      </w:tr>
      <w:tr>
        <w:trPr>
          <w:trHeight w:val="217"/>
        </w:trPr>
        <w:tc>
          <w:tcPr>
            <w:tcW w:w="3980" w:type="dxa"/>
            <w:vAlign w:val="bottom"/>
            <w:shd w:val="clear" w:color="auto" w:fill="FDFDFC"/>
          </w:tcPr>
          <w:p>
            <w:pPr>
              <w:spacing w:after="0" w:line="217" w:lineRule="exact"/>
              <w:rPr>
                <w:sz w:val="20"/>
                <w:szCs w:val="20"/>
                <w:color w:val="auto"/>
              </w:rPr>
            </w:pPr>
            <w:r>
              <w:rPr>
                <w:rFonts w:ascii="Times New Roman" w:cs="Times New Roman" w:eastAsia="Times New Roman" w:hAnsi="Times New Roman"/>
                <w:sz w:val="19"/>
                <w:szCs w:val="19"/>
                <w:color w:val="231F20"/>
              </w:rPr>
              <w:t>Accretion of original issue discount</w:t>
            </w:r>
          </w:p>
        </w:tc>
        <w:tc>
          <w:tcPr>
            <w:tcW w:w="140" w:type="dxa"/>
            <w:vAlign w:val="bottom"/>
            <w:shd w:val="clear" w:color="auto" w:fill="FDFDFC"/>
          </w:tcPr>
          <w:p>
            <w:pPr>
              <w:spacing w:after="0"/>
              <w:rPr>
                <w:sz w:val="18"/>
                <w:szCs w:val="18"/>
                <w:color w:val="auto"/>
              </w:rPr>
            </w:pPr>
          </w:p>
        </w:tc>
        <w:tc>
          <w:tcPr>
            <w:tcW w:w="120" w:type="dxa"/>
            <w:vAlign w:val="bottom"/>
            <w:shd w:val="clear" w:color="auto" w:fill="FDFDFC"/>
          </w:tcPr>
          <w:p>
            <w:pPr>
              <w:spacing w:after="0"/>
              <w:rPr>
                <w:sz w:val="18"/>
                <w:szCs w:val="18"/>
                <w:color w:val="auto"/>
              </w:rPr>
            </w:pPr>
          </w:p>
        </w:tc>
        <w:tc>
          <w:tcPr>
            <w:tcW w:w="1440" w:type="dxa"/>
            <w:vAlign w:val="bottom"/>
            <w:shd w:val="clear" w:color="auto" w:fill="FDFDFC"/>
          </w:tcPr>
          <w:p>
            <w:pPr>
              <w:jc w:val="right"/>
              <w:spacing w:after="0" w:line="217" w:lineRule="exact"/>
              <w:rPr>
                <w:sz w:val="20"/>
                <w:szCs w:val="20"/>
                <w:color w:val="auto"/>
              </w:rPr>
            </w:pPr>
            <w:r>
              <w:rPr>
                <w:rFonts w:ascii="Times New Roman" w:cs="Times New Roman" w:eastAsia="Times New Roman" w:hAnsi="Times New Roman"/>
                <w:sz w:val="19"/>
                <w:szCs w:val="19"/>
                <w:color w:val="231F20"/>
              </w:rPr>
              <w:t>1,614</w:t>
            </w:r>
          </w:p>
        </w:tc>
        <w:tc>
          <w:tcPr>
            <w:tcW w:w="220" w:type="dxa"/>
            <w:vAlign w:val="bottom"/>
            <w:shd w:val="clear" w:color="auto" w:fill="FDFDFC"/>
          </w:tcPr>
          <w:p>
            <w:pPr>
              <w:spacing w:after="0"/>
              <w:rPr>
                <w:sz w:val="18"/>
                <w:szCs w:val="18"/>
                <w:color w:val="auto"/>
              </w:rPr>
            </w:pPr>
          </w:p>
        </w:tc>
        <w:tc>
          <w:tcPr>
            <w:tcW w:w="440" w:type="dxa"/>
            <w:vAlign w:val="bottom"/>
            <w:shd w:val="clear" w:color="auto" w:fill="FDFDFC"/>
          </w:tcPr>
          <w:p>
            <w:pPr>
              <w:spacing w:after="0"/>
              <w:rPr>
                <w:sz w:val="18"/>
                <w:szCs w:val="18"/>
                <w:color w:val="auto"/>
              </w:rPr>
            </w:pPr>
          </w:p>
        </w:tc>
        <w:tc>
          <w:tcPr>
            <w:tcW w:w="880" w:type="dxa"/>
            <w:vAlign w:val="bottom"/>
            <w:shd w:val="clear" w:color="auto" w:fill="FDFDFC"/>
          </w:tcPr>
          <w:p>
            <w:pPr>
              <w:jc w:val="right"/>
              <w:spacing w:after="0" w:line="217" w:lineRule="exact"/>
              <w:rPr>
                <w:sz w:val="20"/>
                <w:szCs w:val="20"/>
                <w:color w:val="auto"/>
              </w:rPr>
            </w:pPr>
            <w:r>
              <w:rPr>
                <w:rFonts w:ascii="Times New Roman" w:cs="Times New Roman" w:eastAsia="Times New Roman" w:hAnsi="Times New Roman"/>
                <w:sz w:val="19"/>
                <w:szCs w:val="19"/>
                <w:color w:val="231F20"/>
              </w:rPr>
              <w:t>899</w:t>
            </w:r>
          </w:p>
        </w:tc>
        <w:tc>
          <w:tcPr>
            <w:tcW w:w="220" w:type="dxa"/>
            <w:vAlign w:val="bottom"/>
            <w:shd w:val="clear" w:color="auto" w:fill="FDFDFC"/>
          </w:tcPr>
          <w:p>
            <w:pPr>
              <w:spacing w:after="0"/>
              <w:rPr>
                <w:sz w:val="18"/>
                <w:szCs w:val="18"/>
                <w:color w:val="auto"/>
              </w:rPr>
            </w:pPr>
          </w:p>
        </w:tc>
        <w:tc>
          <w:tcPr>
            <w:tcW w:w="100" w:type="dxa"/>
            <w:vAlign w:val="bottom"/>
            <w:shd w:val="clear" w:color="auto" w:fill="FDFDFC"/>
          </w:tcPr>
          <w:p>
            <w:pPr>
              <w:spacing w:after="0"/>
              <w:rPr>
                <w:sz w:val="18"/>
                <w:szCs w:val="18"/>
                <w:color w:val="auto"/>
              </w:rPr>
            </w:pPr>
          </w:p>
        </w:tc>
        <w:tc>
          <w:tcPr>
            <w:tcW w:w="1320" w:type="dxa"/>
            <w:vAlign w:val="bottom"/>
            <w:shd w:val="clear" w:color="auto" w:fill="FDFDFC"/>
          </w:tcPr>
          <w:p>
            <w:pPr>
              <w:jc w:val="right"/>
              <w:spacing w:after="0" w:line="217" w:lineRule="exact"/>
              <w:rPr>
                <w:sz w:val="20"/>
                <w:szCs w:val="20"/>
                <w:color w:val="auto"/>
              </w:rPr>
            </w:pPr>
            <w:r>
              <w:rPr>
                <w:rFonts w:ascii="Times New Roman" w:cs="Times New Roman" w:eastAsia="Times New Roman" w:hAnsi="Times New Roman"/>
                <w:sz w:val="19"/>
                <w:szCs w:val="19"/>
                <w:color w:val="231F20"/>
              </w:rPr>
              <w:t>766</w:t>
            </w:r>
          </w:p>
        </w:tc>
        <w:tc>
          <w:tcPr>
            <w:tcW w:w="100" w:type="dxa"/>
            <w:vAlign w:val="bottom"/>
            <w:shd w:val="clear" w:color="auto" w:fill="FDFDFC"/>
          </w:tcPr>
          <w:p>
            <w:pPr>
              <w:spacing w:after="0"/>
              <w:rPr>
                <w:sz w:val="18"/>
                <w:szCs w:val="18"/>
                <w:color w:val="auto"/>
              </w:rPr>
            </w:pPr>
          </w:p>
        </w:tc>
      </w:tr>
      <w:tr>
        <w:trPr>
          <w:trHeight w:val="231"/>
        </w:trPr>
        <w:tc>
          <w:tcPr>
            <w:tcW w:w="3980" w:type="dxa"/>
            <w:vAlign w:val="bottom"/>
            <w:tcBorders>
              <w:bottom w:val="single" w:sz="8" w:color="FDFDFC"/>
            </w:tcBorders>
            <w:shd w:val="clear" w:color="auto" w:fill="D0EBF2"/>
          </w:tcPr>
          <w:p>
            <w:pPr>
              <w:spacing w:after="0"/>
              <w:rPr>
                <w:sz w:val="20"/>
                <w:szCs w:val="20"/>
                <w:color w:val="auto"/>
              </w:rPr>
            </w:pPr>
            <w:r>
              <w:rPr>
                <w:rFonts w:ascii="Times New Roman" w:cs="Times New Roman" w:eastAsia="Times New Roman" w:hAnsi="Times New Roman"/>
                <w:sz w:val="19"/>
                <w:szCs w:val="19"/>
                <w:color w:val="231F20"/>
              </w:rPr>
              <w:t>Amortization of deferred financing costs</w:t>
            </w:r>
          </w:p>
        </w:tc>
        <w:tc>
          <w:tcPr>
            <w:tcW w:w="140" w:type="dxa"/>
            <w:vAlign w:val="bottom"/>
            <w:tcBorders>
              <w:bottom w:val="single" w:sz="8" w:color="FDFDFC"/>
            </w:tcBorders>
            <w:shd w:val="clear" w:color="auto" w:fill="D0EBF2"/>
          </w:tcPr>
          <w:p>
            <w:pPr>
              <w:spacing w:after="0"/>
              <w:rPr>
                <w:sz w:val="20"/>
                <w:szCs w:val="20"/>
                <w:color w:val="auto"/>
              </w:rPr>
            </w:pPr>
          </w:p>
        </w:tc>
        <w:tc>
          <w:tcPr>
            <w:tcW w:w="120" w:type="dxa"/>
            <w:vAlign w:val="bottom"/>
            <w:tcBorders>
              <w:bottom w:val="single" w:sz="8" w:color="231F20"/>
            </w:tcBorders>
            <w:shd w:val="clear" w:color="auto" w:fill="D0EBF2"/>
          </w:tcPr>
          <w:p>
            <w:pPr>
              <w:spacing w:after="0"/>
              <w:rPr>
                <w:sz w:val="20"/>
                <w:szCs w:val="20"/>
                <w:color w:val="auto"/>
              </w:rPr>
            </w:pPr>
          </w:p>
        </w:tc>
        <w:tc>
          <w:tcPr>
            <w:tcW w:w="1440" w:type="dxa"/>
            <w:vAlign w:val="bottom"/>
            <w:tcBorders>
              <w:bottom w:val="single" w:sz="8" w:color="231F20"/>
            </w:tcBorders>
            <w:shd w:val="clear" w:color="auto" w:fill="D0EBF2"/>
          </w:tcPr>
          <w:p>
            <w:pPr>
              <w:jc w:val="right"/>
              <w:spacing w:after="0"/>
              <w:rPr>
                <w:sz w:val="20"/>
                <w:szCs w:val="20"/>
                <w:color w:val="auto"/>
              </w:rPr>
            </w:pPr>
            <w:r>
              <w:rPr>
                <w:rFonts w:ascii="Times New Roman" w:cs="Times New Roman" w:eastAsia="Times New Roman" w:hAnsi="Times New Roman"/>
                <w:sz w:val="19"/>
                <w:szCs w:val="19"/>
                <w:color w:val="231F20"/>
              </w:rPr>
              <w:t>3,409</w:t>
            </w:r>
          </w:p>
        </w:tc>
        <w:tc>
          <w:tcPr>
            <w:tcW w:w="220" w:type="dxa"/>
            <w:vAlign w:val="bottom"/>
            <w:tcBorders>
              <w:bottom w:val="single" w:sz="8" w:color="FDFDFC"/>
            </w:tcBorders>
            <w:shd w:val="clear" w:color="auto" w:fill="D0EBF2"/>
          </w:tcPr>
          <w:p>
            <w:pPr>
              <w:spacing w:after="0"/>
              <w:rPr>
                <w:sz w:val="20"/>
                <w:szCs w:val="20"/>
                <w:color w:val="auto"/>
              </w:rPr>
            </w:pPr>
          </w:p>
        </w:tc>
        <w:tc>
          <w:tcPr>
            <w:tcW w:w="440" w:type="dxa"/>
            <w:vAlign w:val="bottom"/>
            <w:tcBorders>
              <w:bottom w:val="single" w:sz="8" w:color="231F20"/>
            </w:tcBorders>
            <w:shd w:val="clear" w:color="auto" w:fill="D0EBF2"/>
          </w:tcPr>
          <w:p>
            <w:pPr>
              <w:spacing w:after="0"/>
              <w:rPr>
                <w:sz w:val="20"/>
                <w:szCs w:val="20"/>
                <w:color w:val="auto"/>
              </w:rPr>
            </w:pPr>
          </w:p>
        </w:tc>
        <w:tc>
          <w:tcPr>
            <w:tcW w:w="880" w:type="dxa"/>
            <w:vAlign w:val="bottom"/>
            <w:tcBorders>
              <w:bottom w:val="single" w:sz="8" w:color="231F20"/>
            </w:tcBorders>
            <w:shd w:val="clear" w:color="auto" w:fill="D0EBF2"/>
          </w:tcPr>
          <w:p>
            <w:pPr>
              <w:jc w:val="right"/>
              <w:spacing w:after="0"/>
              <w:rPr>
                <w:sz w:val="20"/>
                <w:szCs w:val="20"/>
                <w:color w:val="auto"/>
              </w:rPr>
            </w:pPr>
            <w:r>
              <w:rPr>
                <w:rFonts w:ascii="Times New Roman" w:cs="Times New Roman" w:eastAsia="Times New Roman" w:hAnsi="Times New Roman"/>
                <w:sz w:val="19"/>
                <w:szCs w:val="19"/>
                <w:color w:val="231F20"/>
              </w:rPr>
              <w:t>2,131</w:t>
            </w:r>
          </w:p>
        </w:tc>
        <w:tc>
          <w:tcPr>
            <w:tcW w:w="220" w:type="dxa"/>
            <w:vAlign w:val="bottom"/>
            <w:tcBorders>
              <w:bottom w:val="single" w:sz="8" w:color="FDFDFC"/>
            </w:tcBorders>
            <w:shd w:val="clear" w:color="auto" w:fill="D0EBF2"/>
          </w:tcPr>
          <w:p>
            <w:pPr>
              <w:spacing w:after="0"/>
              <w:rPr>
                <w:sz w:val="20"/>
                <w:szCs w:val="20"/>
                <w:color w:val="auto"/>
              </w:rPr>
            </w:pPr>
          </w:p>
        </w:tc>
        <w:tc>
          <w:tcPr>
            <w:tcW w:w="100" w:type="dxa"/>
            <w:vAlign w:val="bottom"/>
            <w:tcBorders>
              <w:bottom w:val="single" w:sz="8" w:color="231F20"/>
            </w:tcBorders>
            <w:shd w:val="clear" w:color="auto" w:fill="D0EBF2"/>
          </w:tcPr>
          <w:p>
            <w:pPr>
              <w:spacing w:after="0"/>
              <w:rPr>
                <w:sz w:val="20"/>
                <w:szCs w:val="20"/>
                <w:color w:val="auto"/>
              </w:rPr>
            </w:pPr>
          </w:p>
        </w:tc>
        <w:tc>
          <w:tcPr>
            <w:tcW w:w="1320" w:type="dxa"/>
            <w:vAlign w:val="bottom"/>
            <w:tcBorders>
              <w:bottom w:val="single" w:sz="8" w:color="231F20"/>
            </w:tcBorders>
            <w:shd w:val="clear" w:color="auto" w:fill="D0EBF2"/>
          </w:tcPr>
          <w:p>
            <w:pPr>
              <w:jc w:val="right"/>
              <w:spacing w:after="0"/>
              <w:rPr>
                <w:sz w:val="20"/>
                <w:szCs w:val="20"/>
                <w:color w:val="auto"/>
              </w:rPr>
            </w:pPr>
            <w:r>
              <w:rPr>
                <w:rFonts w:ascii="Times New Roman" w:cs="Times New Roman" w:eastAsia="Times New Roman" w:hAnsi="Times New Roman"/>
                <w:sz w:val="19"/>
                <w:szCs w:val="19"/>
                <w:color w:val="231F20"/>
              </w:rPr>
              <w:t>2,408</w:t>
            </w:r>
          </w:p>
        </w:tc>
        <w:tc>
          <w:tcPr>
            <w:tcW w:w="100" w:type="dxa"/>
            <w:vAlign w:val="bottom"/>
            <w:tcBorders>
              <w:bottom w:val="single" w:sz="8" w:color="FDFDFC"/>
            </w:tcBorders>
            <w:shd w:val="clear" w:color="auto" w:fill="D0EBF2"/>
          </w:tcPr>
          <w:p>
            <w:pPr>
              <w:spacing w:after="0"/>
              <w:rPr>
                <w:sz w:val="20"/>
                <w:szCs w:val="20"/>
                <w:color w:val="auto"/>
              </w:rPr>
            </w:pPr>
          </w:p>
        </w:tc>
      </w:tr>
      <w:tr>
        <w:trPr>
          <w:trHeight w:val="220"/>
        </w:trPr>
        <w:tc>
          <w:tcPr>
            <w:tcW w:w="3980" w:type="dxa"/>
            <w:vAlign w:val="bottom"/>
            <w:shd w:val="clear" w:color="auto" w:fill="FDFDFC"/>
          </w:tcPr>
          <w:p>
            <w:pPr>
              <w:ind w:left="180"/>
              <w:spacing w:after="0"/>
              <w:rPr>
                <w:sz w:val="20"/>
                <w:szCs w:val="20"/>
                <w:color w:val="auto"/>
              </w:rPr>
            </w:pPr>
            <w:r>
              <w:rPr>
                <w:rFonts w:ascii="Times New Roman" w:cs="Times New Roman" w:eastAsia="Times New Roman" w:hAnsi="Times New Roman"/>
                <w:sz w:val="19"/>
                <w:szCs w:val="19"/>
                <w:b w:val="1"/>
                <w:bCs w:val="1"/>
                <w:color w:val="231F20"/>
              </w:rPr>
              <w:t>Total Interest Expense</w:t>
            </w:r>
          </w:p>
        </w:tc>
        <w:tc>
          <w:tcPr>
            <w:tcW w:w="140" w:type="dxa"/>
            <w:vAlign w:val="bottom"/>
            <w:shd w:val="clear" w:color="auto" w:fill="FDFDFC"/>
          </w:tcPr>
          <w:p>
            <w:pPr>
              <w:spacing w:after="0"/>
              <w:rPr>
                <w:sz w:val="19"/>
                <w:szCs w:val="19"/>
                <w:color w:val="auto"/>
              </w:rPr>
            </w:pPr>
          </w:p>
        </w:tc>
        <w:tc>
          <w:tcPr>
            <w:tcW w:w="120" w:type="dxa"/>
            <w:vAlign w:val="bottom"/>
            <w:tcBorders>
              <w:bottom w:val="single" w:sz="8" w:color="231F20"/>
            </w:tcBorders>
            <w:shd w:val="clear" w:color="auto" w:fill="FDFDFC"/>
          </w:tcPr>
          <w:p>
            <w:pPr>
              <w:jc w:val="right"/>
              <w:spacing w:after="0"/>
              <w:rPr>
                <w:sz w:val="20"/>
                <w:szCs w:val="20"/>
                <w:color w:val="auto"/>
              </w:rPr>
            </w:pPr>
            <w:r>
              <w:rPr>
                <w:rFonts w:ascii="Times New Roman" w:cs="Times New Roman" w:eastAsia="Times New Roman" w:hAnsi="Times New Roman"/>
                <w:sz w:val="19"/>
                <w:szCs w:val="19"/>
                <w:color w:val="231F20"/>
                <w:w w:val="83"/>
              </w:rPr>
              <w:t>$</w:t>
            </w:r>
          </w:p>
        </w:tc>
        <w:tc>
          <w:tcPr>
            <w:tcW w:w="1440" w:type="dxa"/>
            <w:vAlign w:val="bottom"/>
            <w:tcBorders>
              <w:bottom w:val="single" w:sz="8" w:color="231F20"/>
            </w:tcBorders>
            <w:shd w:val="clear" w:color="auto" w:fill="FDFDFC"/>
          </w:tcPr>
          <w:p>
            <w:pPr>
              <w:jc w:val="right"/>
              <w:spacing w:after="0"/>
              <w:rPr>
                <w:sz w:val="20"/>
                <w:szCs w:val="20"/>
                <w:color w:val="auto"/>
              </w:rPr>
            </w:pPr>
            <w:r>
              <w:rPr>
                <w:rFonts w:ascii="Times New Roman" w:cs="Times New Roman" w:eastAsia="Times New Roman" w:hAnsi="Times New Roman"/>
                <w:sz w:val="19"/>
                <w:szCs w:val="19"/>
                <w:color w:val="231F20"/>
              </w:rPr>
              <w:t>65,139</w:t>
            </w:r>
          </w:p>
        </w:tc>
        <w:tc>
          <w:tcPr>
            <w:tcW w:w="220" w:type="dxa"/>
            <w:vAlign w:val="bottom"/>
            <w:shd w:val="clear" w:color="auto" w:fill="FDFDFC"/>
          </w:tcPr>
          <w:p>
            <w:pPr>
              <w:spacing w:after="0"/>
              <w:rPr>
                <w:sz w:val="19"/>
                <w:szCs w:val="19"/>
                <w:color w:val="auto"/>
              </w:rPr>
            </w:pPr>
          </w:p>
        </w:tc>
        <w:tc>
          <w:tcPr>
            <w:tcW w:w="440" w:type="dxa"/>
            <w:vAlign w:val="bottom"/>
            <w:tcBorders>
              <w:bottom w:val="single" w:sz="8" w:color="231F20"/>
            </w:tcBorders>
            <w:shd w:val="clear" w:color="auto" w:fill="FDFDFC"/>
          </w:tcPr>
          <w:p>
            <w:pPr>
              <w:jc w:val="right"/>
              <w:ind w:right="252"/>
              <w:spacing w:after="0"/>
              <w:rPr>
                <w:sz w:val="20"/>
                <w:szCs w:val="20"/>
                <w:color w:val="auto"/>
              </w:rPr>
            </w:pPr>
            <w:r>
              <w:rPr>
                <w:rFonts w:ascii="Times New Roman" w:cs="Times New Roman" w:eastAsia="Times New Roman" w:hAnsi="Times New Roman"/>
                <w:sz w:val="19"/>
                <w:szCs w:val="19"/>
                <w:color w:val="231F20"/>
                <w:w w:val="83"/>
              </w:rPr>
              <w:t>$</w:t>
            </w:r>
          </w:p>
        </w:tc>
        <w:tc>
          <w:tcPr>
            <w:tcW w:w="880" w:type="dxa"/>
            <w:vAlign w:val="bottom"/>
            <w:tcBorders>
              <w:bottom w:val="single" w:sz="8" w:color="231F20"/>
            </w:tcBorders>
            <w:shd w:val="clear" w:color="auto" w:fill="FDFDFC"/>
          </w:tcPr>
          <w:p>
            <w:pPr>
              <w:jc w:val="right"/>
              <w:spacing w:after="0"/>
              <w:rPr>
                <w:sz w:val="20"/>
                <w:szCs w:val="20"/>
                <w:color w:val="auto"/>
              </w:rPr>
            </w:pPr>
            <w:r>
              <w:rPr>
                <w:rFonts w:ascii="Times New Roman" w:cs="Times New Roman" w:eastAsia="Times New Roman" w:hAnsi="Times New Roman"/>
                <w:sz w:val="19"/>
                <w:szCs w:val="19"/>
                <w:color w:val="231F20"/>
              </w:rPr>
              <w:t>32,324</w:t>
            </w:r>
          </w:p>
        </w:tc>
        <w:tc>
          <w:tcPr>
            <w:tcW w:w="220" w:type="dxa"/>
            <w:vAlign w:val="bottom"/>
            <w:shd w:val="clear" w:color="auto" w:fill="FDFDFC"/>
          </w:tcPr>
          <w:p>
            <w:pPr>
              <w:spacing w:after="0"/>
              <w:rPr>
                <w:sz w:val="19"/>
                <w:szCs w:val="19"/>
                <w:color w:val="auto"/>
              </w:rPr>
            </w:pPr>
          </w:p>
        </w:tc>
        <w:tc>
          <w:tcPr>
            <w:tcW w:w="100" w:type="dxa"/>
            <w:vAlign w:val="bottom"/>
            <w:tcBorders>
              <w:bottom w:val="single" w:sz="8" w:color="231F20"/>
            </w:tcBorders>
            <w:shd w:val="clear" w:color="auto" w:fill="FDFDFC"/>
          </w:tcPr>
          <w:p>
            <w:pPr>
              <w:jc w:val="right"/>
              <w:spacing w:after="0"/>
              <w:rPr>
                <w:sz w:val="20"/>
                <w:szCs w:val="20"/>
                <w:color w:val="auto"/>
              </w:rPr>
            </w:pPr>
            <w:r>
              <w:rPr>
                <w:rFonts w:ascii="Times New Roman" w:cs="Times New Roman" w:eastAsia="Times New Roman" w:hAnsi="Times New Roman"/>
                <w:sz w:val="19"/>
                <w:szCs w:val="19"/>
                <w:color w:val="231F20"/>
                <w:w w:val="83"/>
              </w:rPr>
              <w:t>$</w:t>
            </w:r>
          </w:p>
        </w:tc>
        <w:tc>
          <w:tcPr>
            <w:tcW w:w="1320" w:type="dxa"/>
            <w:vAlign w:val="bottom"/>
            <w:tcBorders>
              <w:bottom w:val="single" w:sz="8" w:color="231F20"/>
            </w:tcBorders>
            <w:shd w:val="clear" w:color="auto" w:fill="FDFDFC"/>
          </w:tcPr>
          <w:p>
            <w:pPr>
              <w:jc w:val="right"/>
              <w:spacing w:after="0"/>
              <w:rPr>
                <w:sz w:val="20"/>
                <w:szCs w:val="20"/>
                <w:color w:val="auto"/>
              </w:rPr>
            </w:pPr>
            <w:r>
              <w:rPr>
                <w:rFonts w:ascii="Times New Roman" w:cs="Times New Roman" w:eastAsia="Times New Roman" w:hAnsi="Times New Roman"/>
                <w:sz w:val="19"/>
                <w:szCs w:val="19"/>
                <w:color w:val="231F20"/>
              </w:rPr>
              <w:t>30,890</w:t>
            </w:r>
          </w:p>
        </w:tc>
        <w:tc>
          <w:tcPr>
            <w:tcW w:w="100" w:type="dxa"/>
            <w:vAlign w:val="bottom"/>
            <w:shd w:val="clear" w:color="auto" w:fill="FDFDFC"/>
          </w:tcPr>
          <w:p>
            <w:pPr>
              <w:spacing w:after="0"/>
              <w:rPr>
                <w:sz w:val="19"/>
                <w:szCs w:val="19"/>
                <w:color w:val="auto"/>
              </w:rPr>
            </w:pPr>
          </w:p>
        </w:tc>
      </w:tr>
      <w:tr>
        <w:trPr>
          <w:trHeight w:val="20"/>
        </w:trPr>
        <w:tc>
          <w:tcPr>
            <w:tcW w:w="39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231F20"/>
            </w:tcBorders>
          </w:tcPr>
          <w:p>
            <w:pPr>
              <w:spacing w:after="0" w:line="20" w:lineRule="exact"/>
              <w:rPr>
                <w:sz w:val="1"/>
                <w:szCs w:val="1"/>
                <w:color w:val="auto"/>
              </w:rPr>
            </w:pPr>
          </w:p>
        </w:tc>
        <w:tc>
          <w:tcPr>
            <w:tcW w:w="1440" w:type="dxa"/>
            <w:vAlign w:val="bottom"/>
            <w:tcBorders>
              <w:bottom w:val="single" w:sz="8" w:color="231F20"/>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Borders>
              <w:bottom w:val="single" w:sz="8" w:color="231F20"/>
            </w:tcBorders>
          </w:tcPr>
          <w:p>
            <w:pPr>
              <w:spacing w:after="0" w:line="20" w:lineRule="exact"/>
              <w:rPr>
                <w:sz w:val="1"/>
                <w:szCs w:val="1"/>
                <w:color w:val="auto"/>
              </w:rPr>
            </w:pPr>
          </w:p>
        </w:tc>
        <w:tc>
          <w:tcPr>
            <w:tcW w:w="880" w:type="dxa"/>
            <w:vAlign w:val="bottom"/>
            <w:tcBorders>
              <w:bottom w:val="single" w:sz="8" w:color="231F20"/>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231F20"/>
            </w:tcBorders>
          </w:tcPr>
          <w:p>
            <w:pPr>
              <w:spacing w:after="0" w:line="20" w:lineRule="exact"/>
              <w:rPr>
                <w:sz w:val="1"/>
                <w:szCs w:val="1"/>
                <w:color w:val="auto"/>
              </w:rPr>
            </w:pPr>
          </w:p>
        </w:tc>
        <w:tc>
          <w:tcPr>
            <w:tcW w:w="1320" w:type="dxa"/>
            <w:vAlign w:val="bottom"/>
            <w:tcBorders>
              <w:bottom w:val="single" w:sz="8" w:color="231F20"/>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7" w:lineRule="exact"/>
        <w:rPr>
          <w:sz w:val="20"/>
          <w:szCs w:val="20"/>
          <w:color w:val="auto"/>
        </w:rPr>
      </w:pPr>
    </w:p>
    <w:p>
      <w:pPr>
        <w:jc w:val="both"/>
        <w:ind w:firstLine="231"/>
        <w:spacing w:after="0" w:line="248" w:lineRule="auto"/>
        <w:rPr>
          <w:sz w:val="20"/>
          <w:szCs w:val="20"/>
          <w:color w:val="auto"/>
        </w:rPr>
      </w:pPr>
      <w:r>
        <w:rPr>
          <w:rFonts w:ascii="Times New Roman" w:cs="Times New Roman" w:eastAsia="Times New Roman" w:hAnsi="Times New Roman"/>
          <w:sz w:val="19"/>
          <w:szCs w:val="19"/>
          <w:color w:val="231F20"/>
        </w:rPr>
        <w:t>Total interest expense in the table above does not include the effect of the interest rate swaps related to the 2023 Notes, 2024 Notes, 2026 Notes, 2028 Notes and 2029 Notes. During the years ended December 31, 2024, December 31, 2023 and December 31, 2022, the Company received $60.2 million, $29.5 million, and $27.9 million, respectively, and paid $96.7 million, $58.5 million and</w:t>
      </w:r>
    </w:p>
    <w:p>
      <w:pPr>
        <w:spacing w:after="0" w:line="2" w:lineRule="exact"/>
        <w:rPr>
          <w:sz w:val="20"/>
          <w:szCs w:val="20"/>
          <w:color w:val="auto"/>
        </w:rPr>
      </w:pPr>
    </w:p>
    <w:p>
      <w:pPr>
        <w:ind w:right="420"/>
        <w:spacing w:after="0" w:line="241" w:lineRule="auto"/>
        <w:rPr>
          <w:sz w:val="20"/>
          <w:szCs w:val="20"/>
          <w:color w:val="auto"/>
        </w:rPr>
      </w:pPr>
      <w:r>
        <w:rPr>
          <w:rFonts w:ascii="Times New Roman" w:cs="Times New Roman" w:eastAsia="Times New Roman" w:hAnsi="Times New Roman"/>
          <w:sz w:val="19"/>
          <w:szCs w:val="19"/>
          <w:color w:val="231F20"/>
        </w:rPr>
        <w:t>$31.4 million, respectively, related to the settlements of its interest rate swaps related to the 2023 Notes, 2024 Notes, 2026 Notes, 2028 Notes and 2029 Notes. These net amounts are included in interest expense in the Company’s Consolidated Statements of Operations. Please see Note 5 for further information about the Company’s interest rate swaps.</w:t>
      </w:r>
    </w:p>
    <w:p>
      <w:pPr>
        <w:spacing w:after="0" w:line="192" w:lineRule="exact"/>
        <w:rPr>
          <w:sz w:val="20"/>
          <w:szCs w:val="20"/>
          <w:color w:val="auto"/>
        </w:rPr>
      </w:pPr>
    </w:p>
    <w:p>
      <w:pPr>
        <w:ind w:right="440" w:firstLine="231"/>
        <w:spacing w:after="0" w:line="256" w:lineRule="auto"/>
        <w:rPr>
          <w:sz w:val="20"/>
          <w:szCs w:val="20"/>
          <w:color w:val="auto"/>
        </w:rPr>
      </w:pPr>
      <w:r>
        <w:rPr>
          <w:rFonts w:ascii="Times New Roman" w:cs="Times New Roman" w:eastAsia="Times New Roman" w:hAnsi="Times New Roman"/>
          <w:sz w:val="19"/>
          <w:szCs w:val="19"/>
          <w:color w:val="231F20"/>
        </w:rPr>
        <w:t>As of December 31, 2024, the components of the carrying value of the 2026 Notes, 2028 Notes and 2029 Notes and the stated interest rates were as follows:</w:t>
      </w:r>
    </w:p>
    <w:p>
      <w:pPr>
        <w:spacing w:after="0" w:line="3" w:lineRule="exact"/>
        <w:rPr>
          <w:sz w:val="20"/>
          <w:szCs w:val="20"/>
          <w:color w:val="auto"/>
        </w:rPr>
      </w:pPr>
    </w:p>
    <w:tbl>
      <w:tblPr>
        <w:tblLayout w:type="fixed"/>
        <w:tblInd w:w="860" w:type="dxa"/>
        <w:tblCellMar>
          <w:top w:w="0" w:type="dxa"/>
          <w:left w:w="0" w:type="dxa"/>
          <w:bottom w:w="0" w:type="dxa"/>
          <w:right w:w="0" w:type="dxa"/>
        </w:tblCellMar>
      </w:tblPr>
      <w:tr>
        <w:trPr>
          <w:trHeight w:val="173"/>
        </w:trPr>
        <w:tc>
          <w:tcPr>
            <w:tcW w:w="4680" w:type="dxa"/>
            <w:vAlign w:val="bottom"/>
            <w:tcBorders>
              <w:bottom w:val="single" w:sz="8" w:color="FDFDFC"/>
            </w:tcBorders>
            <w:shd w:val="clear" w:color="auto" w:fill="FDFDFC"/>
          </w:tcPr>
          <w:p>
            <w:pPr>
              <w:spacing w:after="0"/>
              <w:rPr>
                <w:sz w:val="15"/>
                <w:szCs w:val="15"/>
                <w:color w:val="auto"/>
              </w:rPr>
            </w:pPr>
          </w:p>
        </w:tc>
        <w:tc>
          <w:tcPr>
            <w:tcW w:w="100" w:type="dxa"/>
            <w:vAlign w:val="bottom"/>
            <w:tcBorders>
              <w:bottom w:val="single" w:sz="8" w:color="231F20"/>
            </w:tcBorders>
            <w:shd w:val="clear" w:color="auto" w:fill="FDFDFC"/>
          </w:tcPr>
          <w:p>
            <w:pPr>
              <w:spacing w:after="0"/>
              <w:rPr>
                <w:sz w:val="15"/>
                <w:szCs w:val="15"/>
                <w:color w:val="auto"/>
              </w:rPr>
            </w:pPr>
          </w:p>
        </w:tc>
        <w:tc>
          <w:tcPr>
            <w:tcW w:w="180" w:type="dxa"/>
            <w:vAlign w:val="bottom"/>
            <w:tcBorders>
              <w:bottom w:val="single" w:sz="8" w:color="231F20"/>
            </w:tcBorders>
            <w:shd w:val="clear" w:color="auto" w:fill="FDFDFC"/>
          </w:tcPr>
          <w:p>
            <w:pPr>
              <w:spacing w:after="0"/>
              <w:rPr>
                <w:sz w:val="15"/>
                <w:szCs w:val="15"/>
                <w:color w:val="auto"/>
              </w:rPr>
            </w:pPr>
          </w:p>
        </w:tc>
        <w:tc>
          <w:tcPr>
            <w:tcW w:w="700" w:type="dxa"/>
            <w:vAlign w:val="bottom"/>
            <w:tcBorders>
              <w:bottom w:val="single" w:sz="8" w:color="231F20"/>
            </w:tcBorders>
            <w:shd w:val="clear" w:color="auto" w:fill="FDFDFC"/>
          </w:tcPr>
          <w:p>
            <w:pPr>
              <w:spacing w:after="0"/>
              <w:rPr>
                <w:sz w:val="15"/>
                <w:szCs w:val="15"/>
                <w:color w:val="auto"/>
              </w:rPr>
            </w:pPr>
          </w:p>
        </w:tc>
        <w:tc>
          <w:tcPr>
            <w:tcW w:w="180" w:type="dxa"/>
            <w:vAlign w:val="bottom"/>
            <w:tcBorders>
              <w:bottom w:val="single" w:sz="8" w:color="231F20"/>
            </w:tcBorders>
            <w:shd w:val="clear" w:color="auto" w:fill="FDFDFC"/>
          </w:tcPr>
          <w:p>
            <w:pPr>
              <w:spacing w:after="0"/>
              <w:rPr>
                <w:sz w:val="15"/>
                <w:szCs w:val="15"/>
                <w:color w:val="auto"/>
              </w:rPr>
            </w:pPr>
          </w:p>
        </w:tc>
        <w:tc>
          <w:tcPr>
            <w:tcW w:w="1360" w:type="dxa"/>
            <w:vAlign w:val="bottom"/>
            <w:tcBorders>
              <w:bottom w:val="single" w:sz="8" w:color="231F20"/>
            </w:tcBorders>
            <w:gridSpan w:val="4"/>
            <w:shd w:val="clear" w:color="auto" w:fill="FDFDFC"/>
          </w:tcPr>
          <w:p>
            <w:pPr>
              <w:ind w:left="40"/>
              <w:spacing w:after="0"/>
              <w:rPr>
                <w:sz w:val="20"/>
                <w:szCs w:val="20"/>
                <w:color w:val="auto"/>
              </w:rPr>
            </w:pPr>
            <w:r>
              <w:rPr>
                <w:rFonts w:ascii="Times New Roman" w:cs="Times New Roman" w:eastAsia="Times New Roman" w:hAnsi="Times New Roman"/>
                <w:sz w:val="15"/>
                <w:szCs w:val="15"/>
                <w:b w:val="1"/>
                <w:bCs w:val="1"/>
                <w:color w:val="231F20"/>
              </w:rPr>
              <w:t>December 31, 2024</w:t>
            </w:r>
          </w:p>
        </w:tc>
        <w:tc>
          <w:tcPr>
            <w:tcW w:w="60" w:type="dxa"/>
            <w:vAlign w:val="bottom"/>
            <w:tcBorders>
              <w:bottom w:val="single" w:sz="8" w:color="231F20"/>
            </w:tcBorders>
            <w:shd w:val="clear" w:color="auto" w:fill="FDFDFC"/>
          </w:tcPr>
          <w:p>
            <w:pPr>
              <w:spacing w:after="0"/>
              <w:rPr>
                <w:sz w:val="15"/>
                <w:szCs w:val="15"/>
                <w:color w:val="auto"/>
              </w:rPr>
            </w:pPr>
          </w:p>
        </w:tc>
        <w:tc>
          <w:tcPr>
            <w:tcW w:w="100" w:type="dxa"/>
            <w:vAlign w:val="bottom"/>
            <w:tcBorders>
              <w:bottom w:val="single" w:sz="8" w:color="231F20"/>
            </w:tcBorders>
            <w:shd w:val="clear" w:color="auto" w:fill="FDFDFC"/>
          </w:tcPr>
          <w:p>
            <w:pPr>
              <w:spacing w:after="0"/>
              <w:rPr>
                <w:sz w:val="15"/>
                <w:szCs w:val="15"/>
                <w:color w:val="auto"/>
              </w:rPr>
            </w:pPr>
          </w:p>
        </w:tc>
        <w:tc>
          <w:tcPr>
            <w:tcW w:w="880" w:type="dxa"/>
            <w:vAlign w:val="bottom"/>
            <w:tcBorders>
              <w:bottom w:val="single" w:sz="8" w:color="231F20"/>
            </w:tcBorders>
            <w:shd w:val="clear" w:color="auto" w:fill="FDFDFC"/>
          </w:tcPr>
          <w:p>
            <w:pPr>
              <w:spacing w:after="0"/>
              <w:rPr>
                <w:sz w:val="15"/>
                <w:szCs w:val="15"/>
                <w:color w:val="auto"/>
              </w:rPr>
            </w:pPr>
          </w:p>
        </w:tc>
        <w:tc>
          <w:tcPr>
            <w:tcW w:w="240" w:type="dxa"/>
            <w:vAlign w:val="bottom"/>
            <w:tcBorders>
              <w:bottom w:val="single" w:sz="8" w:color="FDFDFC"/>
            </w:tcBorders>
            <w:shd w:val="clear" w:color="auto" w:fill="FDFDFC"/>
          </w:tcPr>
          <w:p>
            <w:pPr>
              <w:spacing w:after="0"/>
              <w:rPr>
                <w:sz w:val="15"/>
                <w:szCs w:val="15"/>
                <w:color w:val="auto"/>
              </w:rPr>
            </w:pPr>
          </w:p>
        </w:tc>
      </w:tr>
      <w:tr>
        <w:trPr>
          <w:trHeight w:val="256"/>
        </w:trPr>
        <w:tc>
          <w:tcPr>
            <w:tcW w:w="4680" w:type="dxa"/>
            <w:vAlign w:val="bottom"/>
            <w:tcBorders>
              <w:bottom w:val="single" w:sz="8" w:color="D0EBF2"/>
            </w:tcBorders>
            <w:shd w:val="clear" w:color="auto" w:fill="FDFDFC"/>
          </w:tcPr>
          <w:p>
            <w:pPr>
              <w:spacing w:after="0"/>
              <w:rPr>
                <w:sz w:val="22"/>
                <w:szCs w:val="22"/>
                <w:color w:val="auto"/>
              </w:rPr>
            </w:pPr>
          </w:p>
        </w:tc>
        <w:tc>
          <w:tcPr>
            <w:tcW w:w="100" w:type="dxa"/>
            <w:vAlign w:val="bottom"/>
            <w:tcBorders>
              <w:bottom w:val="single" w:sz="8" w:color="D0EBF2"/>
            </w:tcBorders>
            <w:shd w:val="clear" w:color="auto" w:fill="FDFDFC"/>
          </w:tcPr>
          <w:p>
            <w:pPr>
              <w:spacing w:after="0"/>
              <w:rPr>
                <w:sz w:val="22"/>
                <w:szCs w:val="22"/>
                <w:color w:val="auto"/>
              </w:rPr>
            </w:pPr>
          </w:p>
        </w:tc>
        <w:tc>
          <w:tcPr>
            <w:tcW w:w="880" w:type="dxa"/>
            <w:vAlign w:val="bottom"/>
            <w:tcBorders>
              <w:bottom w:val="single" w:sz="8" w:color="231F20"/>
            </w:tcBorders>
            <w:gridSpan w:val="2"/>
            <w:shd w:val="clear" w:color="auto" w:fill="FDFDFC"/>
          </w:tcPr>
          <w:p>
            <w:pPr>
              <w:jc w:val="right"/>
              <w:ind w:right="6"/>
              <w:spacing w:after="0"/>
              <w:rPr>
                <w:sz w:val="20"/>
                <w:szCs w:val="20"/>
                <w:color w:val="auto"/>
              </w:rPr>
            </w:pPr>
            <w:r>
              <w:rPr>
                <w:rFonts w:ascii="Times New Roman" w:cs="Times New Roman" w:eastAsia="Times New Roman" w:hAnsi="Times New Roman"/>
                <w:sz w:val="15"/>
                <w:szCs w:val="15"/>
                <w:b w:val="1"/>
                <w:bCs w:val="1"/>
                <w:color w:val="231F20"/>
              </w:rPr>
              <w:t>2026 Notes</w:t>
            </w:r>
          </w:p>
        </w:tc>
        <w:tc>
          <w:tcPr>
            <w:tcW w:w="180" w:type="dxa"/>
            <w:vAlign w:val="bottom"/>
            <w:tcBorders>
              <w:bottom w:val="single" w:sz="8" w:color="D0EBF2"/>
            </w:tcBorders>
            <w:shd w:val="clear" w:color="auto" w:fill="FDFDFC"/>
          </w:tcPr>
          <w:p>
            <w:pPr>
              <w:spacing w:after="0"/>
              <w:rPr>
                <w:sz w:val="22"/>
                <w:szCs w:val="22"/>
                <w:color w:val="auto"/>
              </w:rPr>
            </w:pPr>
          </w:p>
        </w:tc>
        <w:tc>
          <w:tcPr>
            <w:tcW w:w="60" w:type="dxa"/>
            <w:vAlign w:val="bottom"/>
            <w:tcBorders>
              <w:bottom w:val="single" w:sz="8" w:color="D0EBF2"/>
            </w:tcBorders>
            <w:shd w:val="clear" w:color="auto" w:fill="FDFDFC"/>
          </w:tcPr>
          <w:p>
            <w:pPr>
              <w:spacing w:after="0"/>
              <w:rPr>
                <w:sz w:val="22"/>
                <w:szCs w:val="22"/>
                <w:color w:val="auto"/>
              </w:rPr>
            </w:pPr>
          </w:p>
        </w:tc>
        <w:tc>
          <w:tcPr>
            <w:tcW w:w="140" w:type="dxa"/>
            <w:vAlign w:val="bottom"/>
            <w:tcBorders>
              <w:bottom w:val="single" w:sz="8" w:color="231F20"/>
            </w:tcBorders>
            <w:shd w:val="clear" w:color="auto" w:fill="FDFDFC"/>
          </w:tcPr>
          <w:p>
            <w:pPr>
              <w:spacing w:after="0"/>
              <w:rPr>
                <w:sz w:val="22"/>
                <w:szCs w:val="22"/>
                <w:color w:val="auto"/>
              </w:rPr>
            </w:pPr>
          </w:p>
        </w:tc>
        <w:tc>
          <w:tcPr>
            <w:tcW w:w="980" w:type="dxa"/>
            <w:vAlign w:val="bottom"/>
            <w:tcBorders>
              <w:bottom w:val="single" w:sz="8" w:color="231F20"/>
            </w:tcBorders>
            <w:shd w:val="clear" w:color="auto" w:fill="FDFDFC"/>
          </w:tcPr>
          <w:p>
            <w:pPr>
              <w:jc w:val="right"/>
              <w:ind w:right="128"/>
              <w:spacing w:after="0"/>
              <w:rPr>
                <w:sz w:val="20"/>
                <w:szCs w:val="20"/>
                <w:color w:val="auto"/>
              </w:rPr>
            </w:pPr>
            <w:r>
              <w:rPr>
                <w:rFonts w:ascii="Times New Roman" w:cs="Times New Roman" w:eastAsia="Times New Roman" w:hAnsi="Times New Roman"/>
                <w:sz w:val="15"/>
                <w:szCs w:val="15"/>
                <w:b w:val="1"/>
                <w:bCs w:val="1"/>
                <w:color w:val="231F20"/>
              </w:rPr>
              <w:t>2028 Notes</w:t>
            </w:r>
          </w:p>
        </w:tc>
        <w:tc>
          <w:tcPr>
            <w:tcW w:w="180" w:type="dxa"/>
            <w:vAlign w:val="bottom"/>
            <w:tcBorders>
              <w:bottom w:val="single" w:sz="8" w:color="D0EBF2"/>
            </w:tcBorders>
            <w:shd w:val="clear" w:color="auto" w:fill="FDFDFC"/>
          </w:tcPr>
          <w:p>
            <w:pPr>
              <w:spacing w:after="0"/>
              <w:rPr>
                <w:sz w:val="22"/>
                <w:szCs w:val="22"/>
                <w:color w:val="auto"/>
              </w:rPr>
            </w:pPr>
          </w:p>
        </w:tc>
        <w:tc>
          <w:tcPr>
            <w:tcW w:w="60" w:type="dxa"/>
            <w:vAlign w:val="bottom"/>
            <w:tcBorders>
              <w:bottom w:val="single" w:sz="8" w:color="D0EBF2"/>
            </w:tcBorders>
            <w:shd w:val="clear" w:color="auto" w:fill="FDFDFC"/>
          </w:tcPr>
          <w:p>
            <w:pPr>
              <w:spacing w:after="0"/>
              <w:rPr>
                <w:sz w:val="22"/>
                <w:szCs w:val="22"/>
                <w:color w:val="auto"/>
              </w:rPr>
            </w:pPr>
          </w:p>
        </w:tc>
        <w:tc>
          <w:tcPr>
            <w:tcW w:w="100" w:type="dxa"/>
            <w:vAlign w:val="bottom"/>
            <w:tcBorders>
              <w:bottom w:val="single" w:sz="8" w:color="231F20"/>
            </w:tcBorders>
            <w:shd w:val="clear" w:color="auto" w:fill="FDFDFC"/>
          </w:tcPr>
          <w:p>
            <w:pPr>
              <w:spacing w:after="0"/>
              <w:rPr>
                <w:sz w:val="22"/>
                <w:szCs w:val="22"/>
                <w:color w:val="auto"/>
              </w:rPr>
            </w:pPr>
          </w:p>
        </w:tc>
        <w:tc>
          <w:tcPr>
            <w:tcW w:w="880" w:type="dxa"/>
            <w:vAlign w:val="bottom"/>
            <w:tcBorders>
              <w:bottom w:val="single" w:sz="8" w:color="231F20"/>
            </w:tcBorders>
            <w:shd w:val="clear" w:color="auto" w:fill="FDFDFC"/>
          </w:tcPr>
          <w:p>
            <w:pPr>
              <w:jc w:val="right"/>
              <w:ind w:right="68"/>
              <w:spacing w:after="0"/>
              <w:rPr>
                <w:sz w:val="20"/>
                <w:szCs w:val="20"/>
                <w:color w:val="auto"/>
              </w:rPr>
            </w:pPr>
            <w:r>
              <w:rPr>
                <w:rFonts w:ascii="Times New Roman" w:cs="Times New Roman" w:eastAsia="Times New Roman" w:hAnsi="Times New Roman"/>
                <w:sz w:val="15"/>
                <w:szCs w:val="15"/>
                <w:b w:val="1"/>
                <w:bCs w:val="1"/>
                <w:color w:val="231F20"/>
              </w:rPr>
              <w:t>2029 Notes</w:t>
            </w:r>
          </w:p>
        </w:tc>
        <w:tc>
          <w:tcPr>
            <w:tcW w:w="240" w:type="dxa"/>
            <w:vAlign w:val="bottom"/>
            <w:tcBorders>
              <w:bottom w:val="single" w:sz="8" w:color="D0EBF2"/>
            </w:tcBorders>
            <w:shd w:val="clear" w:color="auto" w:fill="FDFDFC"/>
          </w:tcPr>
          <w:p>
            <w:pPr>
              <w:spacing w:after="0"/>
              <w:rPr>
                <w:sz w:val="22"/>
                <w:szCs w:val="22"/>
                <w:color w:val="auto"/>
              </w:rPr>
            </w:pPr>
          </w:p>
        </w:tc>
      </w:tr>
      <w:tr>
        <w:trPr>
          <w:trHeight w:val="220"/>
        </w:trPr>
        <w:tc>
          <w:tcPr>
            <w:tcW w:w="4680" w:type="dxa"/>
            <w:vAlign w:val="bottom"/>
            <w:shd w:val="clear" w:color="auto" w:fill="D0EBF2"/>
          </w:tcPr>
          <w:p>
            <w:pPr>
              <w:spacing w:after="0"/>
              <w:rPr>
                <w:sz w:val="20"/>
                <w:szCs w:val="20"/>
                <w:color w:val="auto"/>
              </w:rPr>
            </w:pPr>
            <w:r>
              <w:rPr>
                <w:rFonts w:ascii="Times New Roman" w:cs="Times New Roman" w:eastAsia="Times New Roman" w:hAnsi="Times New Roman"/>
                <w:sz w:val="19"/>
                <w:szCs w:val="19"/>
                <w:color w:val="231F20"/>
              </w:rPr>
              <w:t>Principal amount of debt</w:t>
            </w:r>
          </w:p>
        </w:tc>
        <w:tc>
          <w:tcPr>
            <w:tcW w:w="100" w:type="dxa"/>
            <w:vAlign w:val="bottom"/>
            <w:shd w:val="clear" w:color="auto" w:fill="D0EBF2"/>
          </w:tcPr>
          <w:p>
            <w:pPr>
              <w:spacing w:after="0"/>
              <w:rPr>
                <w:sz w:val="19"/>
                <w:szCs w:val="19"/>
                <w:color w:val="auto"/>
              </w:rPr>
            </w:pPr>
          </w:p>
        </w:tc>
        <w:tc>
          <w:tcPr>
            <w:tcW w:w="180" w:type="dxa"/>
            <w:vAlign w:val="bottom"/>
            <w:shd w:val="clear" w:color="auto" w:fill="D0EBF2"/>
          </w:tcPr>
          <w:p>
            <w:pPr>
              <w:jc w:val="right"/>
              <w:spacing w:after="0"/>
              <w:rPr>
                <w:sz w:val="20"/>
                <w:szCs w:val="20"/>
                <w:color w:val="auto"/>
              </w:rPr>
            </w:pPr>
            <w:r>
              <w:rPr>
                <w:rFonts w:ascii="Times New Roman" w:cs="Times New Roman" w:eastAsia="Times New Roman" w:hAnsi="Times New Roman"/>
                <w:sz w:val="19"/>
                <w:szCs w:val="19"/>
                <w:color w:val="231F20"/>
                <w:w w:val="83"/>
                <w:shd w:val="clear" w:color="auto" w:fill="D0EBF2"/>
              </w:rPr>
              <w:t>$</w:t>
            </w:r>
          </w:p>
        </w:tc>
        <w:tc>
          <w:tcPr>
            <w:tcW w:w="700" w:type="dxa"/>
            <w:vAlign w:val="bottom"/>
            <w:shd w:val="clear" w:color="auto" w:fill="D0EBF2"/>
          </w:tcPr>
          <w:p>
            <w:pPr>
              <w:jc w:val="right"/>
              <w:spacing w:after="0"/>
              <w:rPr>
                <w:sz w:val="20"/>
                <w:szCs w:val="20"/>
                <w:color w:val="auto"/>
              </w:rPr>
            </w:pPr>
            <w:r>
              <w:rPr>
                <w:rFonts w:ascii="Times New Roman" w:cs="Times New Roman" w:eastAsia="Times New Roman" w:hAnsi="Times New Roman"/>
                <w:sz w:val="19"/>
                <w:szCs w:val="19"/>
                <w:color w:val="231F20"/>
                <w:shd w:val="clear" w:color="auto" w:fill="D0EBF2"/>
              </w:rPr>
              <w:t>300,000</w:t>
            </w:r>
          </w:p>
        </w:tc>
        <w:tc>
          <w:tcPr>
            <w:tcW w:w="180" w:type="dxa"/>
            <w:vAlign w:val="bottom"/>
            <w:shd w:val="clear" w:color="auto" w:fill="D0EBF2"/>
          </w:tcPr>
          <w:p>
            <w:pPr>
              <w:spacing w:after="0"/>
              <w:rPr>
                <w:sz w:val="19"/>
                <w:szCs w:val="19"/>
                <w:color w:val="auto"/>
              </w:rPr>
            </w:pPr>
          </w:p>
        </w:tc>
        <w:tc>
          <w:tcPr>
            <w:tcW w:w="60" w:type="dxa"/>
            <w:vAlign w:val="bottom"/>
            <w:shd w:val="clear" w:color="auto" w:fill="D0EBF2"/>
          </w:tcPr>
          <w:p>
            <w:pPr>
              <w:spacing w:after="0"/>
              <w:rPr>
                <w:sz w:val="19"/>
                <w:szCs w:val="19"/>
                <w:color w:val="auto"/>
              </w:rPr>
            </w:pPr>
          </w:p>
        </w:tc>
        <w:tc>
          <w:tcPr>
            <w:tcW w:w="140" w:type="dxa"/>
            <w:vAlign w:val="bottom"/>
            <w:shd w:val="clear" w:color="auto" w:fill="D0EBF2"/>
          </w:tcPr>
          <w:p>
            <w:pPr>
              <w:spacing w:after="0"/>
              <w:rPr>
                <w:sz w:val="20"/>
                <w:szCs w:val="20"/>
                <w:color w:val="auto"/>
              </w:rPr>
            </w:pPr>
            <w:r>
              <w:rPr>
                <w:rFonts w:ascii="Times New Roman" w:cs="Times New Roman" w:eastAsia="Times New Roman" w:hAnsi="Times New Roman"/>
                <w:sz w:val="19"/>
                <w:szCs w:val="19"/>
                <w:color w:val="231F20"/>
              </w:rPr>
              <w:t>$</w:t>
            </w:r>
          </w:p>
        </w:tc>
        <w:tc>
          <w:tcPr>
            <w:tcW w:w="980" w:type="dxa"/>
            <w:vAlign w:val="bottom"/>
            <w:shd w:val="clear" w:color="auto" w:fill="D0EBF2"/>
          </w:tcPr>
          <w:p>
            <w:pPr>
              <w:jc w:val="right"/>
              <w:spacing w:after="0"/>
              <w:rPr>
                <w:sz w:val="20"/>
                <w:szCs w:val="20"/>
                <w:color w:val="auto"/>
              </w:rPr>
            </w:pPr>
            <w:r>
              <w:rPr>
                <w:rFonts w:ascii="Times New Roman" w:cs="Times New Roman" w:eastAsia="Times New Roman" w:hAnsi="Times New Roman"/>
                <w:sz w:val="19"/>
                <w:szCs w:val="19"/>
                <w:color w:val="231F20"/>
              </w:rPr>
              <w:t>300,000</w:t>
            </w:r>
          </w:p>
        </w:tc>
        <w:tc>
          <w:tcPr>
            <w:tcW w:w="180" w:type="dxa"/>
            <w:vAlign w:val="bottom"/>
            <w:shd w:val="clear" w:color="auto" w:fill="D0EBF2"/>
          </w:tcPr>
          <w:p>
            <w:pPr>
              <w:spacing w:after="0"/>
              <w:rPr>
                <w:sz w:val="19"/>
                <w:szCs w:val="19"/>
                <w:color w:val="auto"/>
              </w:rPr>
            </w:pPr>
          </w:p>
        </w:tc>
        <w:tc>
          <w:tcPr>
            <w:tcW w:w="60" w:type="dxa"/>
            <w:vAlign w:val="bottom"/>
            <w:shd w:val="clear" w:color="auto" w:fill="D0EBF2"/>
          </w:tcPr>
          <w:p>
            <w:pPr>
              <w:spacing w:after="0"/>
              <w:rPr>
                <w:sz w:val="19"/>
                <w:szCs w:val="19"/>
                <w:color w:val="auto"/>
              </w:rPr>
            </w:pPr>
          </w:p>
        </w:tc>
        <w:tc>
          <w:tcPr>
            <w:tcW w:w="100" w:type="dxa"/>
            <w:vAlign w:val="bottom"/>
            <w:shd w:val="clear" w:color="auto" w:fill="D0EBF2"/>
          </w:tcPr>
          <w:p>
            <w:pPr>
              <w:jc w:val="right"/>
              <w:spacing w:after="0"/>
              <w:rPr>
                <w:sz w:val="20"/>
                <w:szCs w:val="20"/>
                <w:color w:val="auto"/>
              </w:rPr>
            </w:pPr>
            <w:r>
              <w:rPr>
                <w:rFonts w:ascii="Times New Roman" w:cs="Times New Roman" w:eastAsia="Times New Roman" w:hAnsi="Times New Roman"/>
                <w:sz w:val="17"/>
                <w:szCs w:val="17"/>
                <w:color w:val="231F20"/>
                <w:w w:val="70"/>
                <w:shd w:val="clear" w:color="auto" w:fill="D0EBF2"/>
              </w:rPr>
              <w:t>$</w:t>
            </w:r>
          </w:p>
        </w:tc>
        <w:tc>
          <w:tcPr>
            <w:tcW w:w="880" w:type="dxa"/>
            <w:vAlign w:val="bottom"/>
            <w:shd w:val="clear" w:color="auto" w:fill="D0EBF2"/>
          </w:tcPr>
          <w:p>
            <w:pPr>
              <w:jc w:val="right"/>
              <w:spacing w:after="0"/>
              <w:rPr>
                <w:sz w:val="20"/>
                <w:szCs w:val="20"/>
                <w:color w:val="auto"/>
              </w:rPr>
            </w:pPr>
            <w:r>
              <w:rPr>
                <w:rFonts w:ascii="Times New Roman" w:cs="Times New Roman" w:eastAsia="Times New Roman" w:hAnsi="Times New Roman"/>
                <w:sz w:val="19"/>
                <w:szCs w:val="19"/>
                <w:color w:val="231F20"/>
                <w:shd w:val="clear" w:color="auto" w:fill="D0EBF2"/>
              </w:rPr>
              <w:t>350,000</w:t>
            </w:r>
          </w:p>
        </w:tc>
        <w:tc>
          <w:tcPr>
            <w:tcW w:w="240" w:type="dxa"/>
            <w:vAlign w:val="bottom"/>
            <w:shd w:val="clear" w:color="auto" w:fill="D0EBF2"/>
          </w:tcPr>
          <w:p>
            <w:pPr>
              <w:spacing w:after="0"/>
              <w:rPr>
                <w:sz w:val="19"/>
                <w:szCs w:val="19"/>
                <w:color w:val="auto"/>
              </w:rPr>
            </w:pPr>
          </w:p>
        </w:tc>
      </w:tr>
      <w:tr>
        <w:trPr>
          <w:trHeight w:val="230"/>
        </w:trPr>
        <w:tc>
          <w:tcPr>
            <w:tcW w:w="4680" w:type="dxa"/>
            <w:vAlign w:val="bottom"/>
            <w:shd w:val="clear" w:color="auto" w:fill="FDFDFC"/>
          </w:tcPr>
          <w:p>
            <w:pPr>
              <w:spacing w:after="0"/>
              <w:rPr>
                <w:sz w:val="20"/>
                <w:szCs w:val="20"/>
                <w:color w:val="auto"/>
              </w:rPr>
            </w:pPr>
            <w:r>
              <w:rPr>
                <w:rFonts w:ascii="Times New Roman" w:cs="Times New Roman" w:eastAsia="Times New Roman" w:hAnsi="Times New Roman"/>
                <w:sz w:val="19"/>
                <w:szCs w:val="19"/>
                <w:color w:val="231F20"/>
              </w:rPr>
              <w:t>Original issue discount, net of accretion</w:t>
            </w:r>
          </w:p>
        </w:tc>
        <w:tc>
          <w:tcPr>
            <w:tcW w:w="100" w:type="dxa"/>
            <w:vAlign w:val="bottom"/>
            <w:shd w:val="clear" w:color="auto" w:fill="FDFDFC"/>
          </w:tcPr>
          <w:p>
            <w:pPr>
              <w:spacing w:after="0"/>
              <w:rPr>
                <w:sz w:val="20"/>
                <w:szCs w:val="20"/>
                <w:color w:val="auto"/>
              </w:rPr>
            </w:pPr>
          </w:p>
        </w:tc>
        <w:tc>
          <w:tcPr>
            <w:tcW w:w="180" w:type="dxa"/>
            <w:vAlign w:val="bottom"/>
            <w:shd w:val="clear" w:color="auto" w:fill="FDFDFC"/>
          </w:tcPr>
          <w:p>
            <w:pPr>
              <w:spacing w:after="0"/>
              <w:rPr>
                <w:sz w:val="20"/>
                <w:szCs w:val="20"/>
                <w:color w:val="auto"/>
              </w:rPr>
            </w:pPr>
          </w:p>
        </w:tc>
        <w:tc>
          <w:tcPr>
            <w:tcW w:w="700" w:type="dxa"/>
            <w:vAlign w:val="bottom"/>
            <w:shd w:val="clear" w:color="auto" w:fill="FDFDFC"/>
          </w:tcPr>
          <w:p>
            <w:pPr>
              <w:jc w:val="right"/>
              <w:spacing w:after="0"/>
              <w:rPr>
                <w:sz w:val="20"/>
                <w:szCs w:val="20"/>
                <w:color w:val="auto"/>
              </w:rPr>
            </w:pPr>
            <w:r>
              <w:rPr>
                <w:rFonts w:ascii="Times New Roman" w:cs="Times New Roman" w:eastAsia="Times New Roman" w:hAnsi="Times New Roman"/>
                <w:sz w:val="19"/>
                <w:szCs w:val="19"/>
                <w:color w:val="231F20"/>
              </w:rPr>
              <w:t>(666</w:t>
            </w:r>
          </w:p>
        </w:tc>
        <w:tc>
          <w:tcPr>
            <w:tcW w:w="180" w:type="dxa"/>
            <w:vAlign w:val="bottom"/>
            <w:shd w:val="clear" w:color="auto" w:fill="FDFDFC"/>
          </w:tcPr>
          <w:p>
            <w:pPr>
              <w:spacing w:after="0"/>
              <w:rPr>
                <w:sz w:val="20"/>
                <w:szCs w:val="20"/>
                <w:color w:val="auto"/>
              </w:rPr>
            </w:pPr>
            <w:r>
              <w:rPr>
                <w:rFonts w:ascii="Times New Roman" w:cs="Times New Roman" w:eastAsia="Times New Roman" w:hAnsi="Times New Roman"/>
                <w:sz w:val="19"/>
                <w:szCs w:val="19"/>
                <w:color w:val="231F20"/>
              </w:rPr>
              <w:t>)</w:t>
            </w:r>
          </w:p>
        </w:tc>
        <w:tc>
          <w:tcPr>
            <w:tcW w:w="60" w:type="dxa"/>
            <w:vAlign w:val="bottom"/>
            <w:shd w:val="clear" w:color="auto" w:fill="FDFDFC"/>
          </w:tcPr>
          <w:p>
            <w:pPr>
              <w:spacing w:after="0"/>
              <w:rPr>
                <w:sz w:val="20"/>
                <w:szCs w:val="20"/>
                <w:color w:val="auto"/>
              </w:rPr>
            </w:pPr>
          </w:p>
        </w:tc>
        <w:tc>
          <w:tcPr>
            <w:tcW w:w="140" w:type="dxa"/>
            <w:vAlign w:val="bottom"/>
            <w:shd w:val="clear" w:color="auto" w:fill="FDFDFC"/>
          </w:tcPr>
          <w:p>
            <w:pPr>
              <w:spacing w:after="0"/>
              <w:rPr>
                <w:sz w:val="20"/>
                <w:szCs w:val="20"/>
                <w:color w:val="auto"/>
              </w:rPr>
            </w:pPr>
          </w:p>
        </w:tc>
        <w:tc>
          <w:tcPr>
            <w:tcW w:w="980" w:type="dxa"/>
            <w:vAlign w:val="bottom"/>
            <w:shd w:val="clear" w:color="auto" w:fill="FDFDFC"/>
          </w:tcPr>
          <w:p>
            <w:pPr>
              <w:jc w:val="right"/>
              <w:spacing w:after="0"/>
              <w:rPr>
                <w:sz w:val="20"/>
                <w:szCs w:val="20"/>
                <w:color w:val="auto"/>
              </w:rPr>
            </w:pPr>
            <w:r>
              <w:rPr>
                <w:rFonts w:ascii="Times New Roman" w:cs="Times New Roman" w:eastAsia="Times New Roman" w:hAnsi="Times New Roman"/>
                <w:sz w:val="19"/>
                <w:szCs w:val="19"/>
                <w:color w:val="231F20"/>
              </w:rPr>
              <w:t>(1,357</w:t>
            </w:r>
          </w:p>
        </w:tc>
        <w:tc>
          <w:tcPr>
            <w:tcW w:w="180" w:type="dxa"/>
            <w:vAlign w:val="bottom"/>
            <w:shd w:val="clear" w:color="auto" w:fill="FDFDFC"/>
          </w:tcPr>
          <w:p>
            <w:pPr>
              <w:spacing w:after="0"/>
              <w:rPr>
                <w:sz w:val="20"/>
                <w:szCs w:val="20"/>
                <w:color w:val="auto"/>
              </w:rPr>
            </w:pPr>
            <w:r>
              <w:rPr>
                <w:rFonts w:ascii="Times New Roman" w:cs="Times New Roman" w:eastAsia="Times New Roman" w:hAnsi="Times New Roman"/>
                <w:sz w:val="19"/>
                <w:szCs w:val="19"/>
                <w:color w:val="231F20"/>
              </w:rPr>
              <w:t>)</w:t>
            </w:r>
          </w:p>
        </w:tc>
        <w:tc>
          <w:tcPr>
            <w:tcW w:w="60" w:type="dxa"/>
            <w:vAlign w:val="bottom"/>
            <w:shd w:val="clear" w:color="auto" w:fill="FDFDFC"/>
          </w:tcPr>
          <w:p>
            <w:pPr>
              <w:spacing w:after="0"/>
              <w:rPr>
                <w:sz w:val="20"/>
                <w:szCs w:val="20"/>
                <w:color w:val="auto"/>
              </w:rPr>
            </w:pPr>
          </w:p>
        </w:tc>
        <w:tc>
          <w:tcPr>
            <w:tcW w:w="100" w:type="dxa"/>
            <w:vAlign w:val="bottom"/>
            <w:shd w:val="clear" w:color="auto" w:fill="FDFDFC"/>
          </w:tcPr>
          <w:p>
            <w:pPr>
              <w:spacing w:after="0"/>
              <w:rPr>
                <w:sz w:val="20"/>
                <w:szCs w:val="20"/>
                <w:color w:val="auto"/>
              </w:rPr>
            </w:pPr>
          </w:p>
        </w:tc>
        <w:tc>
          <w:tcPr>
            <w:tcW w:w="880" w:type="dxa"/>
            <w:vAlign w:val="bottom"/>
            <w:shd w:val="clear" w:color="auto" w:fill="FDFDFC"/>
          </w:tcPr>
          <w:p>
            <w:pPr>
              <w:jc w:val="right"/>
              <w:spacing w:after="0"/>
              <w:rPr>
                <w:sz w:val="20"/>
                <w:szCs w:val="20"/>
                <w:color w:val="auto"/>
              </w:rPr>
            </w:pPr>
            <w:r>
              <w:rPr>
                <w:rFonts w:ascii="Times New Roman" w:cs="Times New Roman" w:eastAsia="Times New Roman" w:hAnsi="Times New Roman"/>
                <w:sz w:val="19"/>
                <w:szCs w:val="19"/>
                <w:color w:val="231F20"/>
              </w:rPr>
              <w:t>(2,819</w:t>
            </w:r>
          </w:p>
        </w:tc>
        <w:tc>
          <w:tcPr>
            <w:tcW w:w="240" w:type="dxa"/>
            <w:vAlign w:val="bottom"/>
            <w:shd w:val="clear" w:color="auto" w:fill="FDFDFC"/>
          </w:tcPr>
          <w:p>
            <w:pPr>
              <w:spacing w:after="0"/>
              <w:rPr>
                <w:sz w:val="20"/>
                <w:szCs w:val="20"/>
                <w:color w:val="auto"/>
              </w:rPr>
            </w:pPr>
            <w:r>
              <w:rPr>
                <w:rFonts w:ascii="Times New Roman" w:cs="Times New Roman" w:eastAsia="Times New Roman" w:hAnsi="Times New Roman"/>
                <w:sz w:val="19"/>
                <w:szCs w:val="19"/>
                <w:color w:val="231F20"/>
              </w:rPr>
              <w:t>)</w:t>
            </w:r>
          </w:p>
        </w:tc>
      </w:tr>
      <w:tr>
        <w:trPr>
          <w:trHeight w:val="230"/>
        </w:trPr>
        <w:tc>
          <w:tcPr>
            <w:tcW w:w="4680" w:type="dxa"/>
            <w:vAlign w:val="bottom"/>
            <w:shd w:val="clear" w:color="auto" w:fill="D0EBF2"/>
          </w:tcPr>
          <w:p>
            <w:pPr>
              <w:spacing w:after="0"/>
              <w:rPr>
                <w:sz w:val="20"/>
                <w:szCs w:val="20"/>
                <w:color w:val="auto"/>
              </w:rPr>
            </w:pPr>
            <w:r>
              <w:rPr>
                <w:rFonts w:ascii="Times New Roman" w:cs="Times New Roman" w:eastAsia="Times New Roman" w:hAnsi="Times New Roman"/>
                <w:sz w:val="19"/>
                <w:szCs w:val="19"/>
                <w:color w:val="231F20"/>
              </w:rPr>
              <w:t>Deferred financing costs</w:t>
            </w:r>
          </w:p>
        </w:tc>
        <w:tc>
          <w:tcPr>
            <w:tcW w:w="100" w:type="dxa"/>
            <w:vAlign w:val="bottom"/>
            <w:shd w:val="clear" w:color="auto" w:fill="D0EBF2"/>
          </w:tcPr>
          <w:p>
            <w:pPr>
              <w:spacing w:after="0"/>
              <w:rPr>
                <w:sz w:val="20"/>
                <w:szCs w:val="20"/>
                <w:color w:val="auto"/>
              </w:rPr>
            </w:pPr>
          </w:p>
        </w:tc>
        <w:tc>
          <w:tcPr>
            <w:tcW w:w="180" w:type="dxa"/>
            <w:vAlign w:val="bottom"/>
            <w:shd w:val="clear" w:color="auto" w:fill="D0EBF2"/>
          </w:tcPr>
          <w:p>
            <w:pPr>
              <w:spacing w:after="0"/>
              <w:rPr>
                <w:sz w:val="20"/>
                <w:szCs w:val="20"/>
                <w:color w:val="auto"/>
              </w:rPr>
            </w:pPr>
          </w:p>
        </w:tc>
        <w:tc>
          <w:tcPr>
            <w:tcW w:w="880" w:type="dxa"/>
            <w:vAlign w:val="bottom"/>
            <w:gridSpan w:val="2"/>
            <w:shd w:val="clear" w:color="auto" w:fill="D0EBF2"/>
          </w:tcPr>
          <w:p>
            <w:pPr>
              <w:jc w:val="right"/>
              <w:ind w:right="6"/>
              <w:spacing w:after="0"/>
              <w:rPr>
                <w:sz w:val="20"/>
                <w:szCs w:val="20"/>
                <w:color w:val="auto"/>
              </w:rPr>
            </w:pPr>
            <w:r>
              <w:rPr>
                <w:rFonts w:ascii="Times New Roman" w:cs="Times New Roman" w:eastAsia="Times New Roman" w:hAnsi="Times New Roman"/>
                <w:sz w:val="19"/>
                <w:szCs w:val="19"/>
                <w:color w:val="231F20"/>
              </w:rPr>
              <w:t>(1,182 )</w:t>
            </w:r>
          </w:p>
        </w:tc>
        <w:tc>
          <w:tcPr>
            <w:tcW w:w="60" w:type="dxa"/>
            <w:vAlign w:val="bottom"/>
            <w:shd w:val="clear" w:color="auto" w:fill="D0EBF2"/>
          </w:tcPr>
          <w:p>
            <w:pPr>
              <w:spacing w:after="0"/>
              <w:rPr>
                <w:sz w:val="20"/>
                <w:szCs w:val="20"/>
                <w:color w:val="auto"/>
              </w:rPr>
            </w:pPr>
          </w:p>
        </w:tc>
        <w:tc>
          <w:tcPr>
            <w:tcW w:w="140" w:type="dxa"/>
            <w:vAlign w:val="bottom"/>
            <w:shd w:val="clear" w:color="auto" w:fill="D0EBF2"/>
          </w:tcPr>
          <w:p>
            <w:pPr>
              <w:spacing w:after="0"/>
              <w:rPr>
                <w:sz w:val="20"/>
                <w:szCs w:val="20"/>
                <w:color w:val="auto"/>
              </w:rPr>
            </w:pPr>
          </w:p>
        </w:tc>
        <w:tc>
          <w:tcPr>
            <w:tcW w:w="1160" w:type="dxa"/>
            <w:vAlign w:val="bottom"/>
            <w:gridSpan w:val="2"/>
            <w:shd w:val="clear" w:color="auto" w:fill="D0EBF2"/>
          </w:tcPr>
          <w:p>
            <w:pPr>
              <w:jc w:val="right"/>
              <w:ind w:right="26"/>
              <w:spacing w:after="0"/>
              <w:rPr>
                <w:sz w:val="20"/>
                <w:szCs w:val="20"/>
                <w:color w:val="auto"/>
              </w:rPr>
            </w:pPr>
            <w:r>
              <w:rPr>
                <w:rFonts w:ascii="Times New Roman" w:cs="Times New Roman" w:eastAsia="Times New Roman" w:hAnsi="Times New Roman"/>
                <w:sz w:val="19"/>
                <w:szCs w:val="19"/>
                <w:color w:val="231F20"/>
              </w:rPr>
              <w:t>(3,127 )</w:t>
            </w:r>
          </w:p>
        </w:tc>
        <w:tc>
          <w:tcPr>
            <w:tcW w:w="60" w:type="dxa"/>
            <w:vAlign w:val="bottom"/>
            <w:shd w:val="clear" w:color="auto" w:fill="D0EBF2"/>
          </w:tcPr>
          <w:p>
            <w:pPr>
              <w:spacing w:after="0"/>
              <w:rPr>
                <w:sz w:val="20"/>
                <w:szCs w:val="20"/>
                <w:color w:val="auto"/>
              </w:rPr>
            </w:pPr>
          </w:p>
        </w:tc>
        <w:tc>
          <w:tcPr>
            <w:tcW w:w="100" w:type="dxa"/>
            <w:vAlign w:val="bottom"/>
            <w:shd w:val="clear" w:color="auto" w:fill="D0EBF2"/>
          </w:tcPr>
          <w:p>
            <w:pPr>
              <w:spacing w:after="0"/>
              <w:rPr>
                <w:sz w:val="20"/>
                <w:szCs w:val="20"/>
                <w:color w:val="auto"/>
              </w:rPr>
            </w:pPr>
          </w:p>
        </w:tc>
        <w:tc>
          <w:tcPr>
            <w:tcW w:w="1120" w:type="dxa"/>
            <w:vAlign w:val="bottom"/>
            <w:gridSpan w:val="2"/>
            <w:shd w:val="clear" w:color="auto" w:fill="D0EBF2"/>
          </w:tcPr>
          <w:p>
            <w:pPr>
              <w:jc w:val="right"/>
              <w:ind w:right="86"/>
              <w:spacing w:after="0"/>
              <w:rPr>
                <w:sz w:val="20"/>
                <w:szCs w:val="20"/>
                <w:color w:val="auto"/>
              </w:rPr>
            </w:pPr>
            <w:r>
              <w:rPr>
                <w:rFonts w:ascii="Times New Roman" w:cs="Times New Roman" w:eastAsia="Times New Roman" w:hAnsi="Times New Roman"/>
                <w:sz w:val="19"/>
                <w:szCs w:val="19"/>
                <w:color w:val="231F20"/>
              </w:rPr>
              <w:t>(4,093 )</w:t>
            </w:r>
          </w:p>
        </w:tc>
      </w:tr>
      <w:tr>
        <w:trPr>
          <w:trHeight w:val="230"/>
        </w:trPr>
        <w:tc>
          <w:tcPr>
            <w:tcW w:w="4680" w:type="dxa"/>
            <w:vAlign w:val="bottom"/>
            <w:shd w:val="clear" w:color="auto" w:fill="FDFDFC"/>
          </w:tcPr>
          <w:p>
            <w:pPr>
              <w:spacing w:after="0"/>
              <w:rPr>
                <w:sz w:val="20"/>
                <w:szCs w:val="20"/>
                <w:color w:val="auto"/>
              </w:rPr>
            </w:pPr>
            <w:r>
              <w:rPr>
                <w:rFonts w:ascii="Times New Roman" w:cs="Times New Roman" w:eastAsia="Times New Roman" w:hAnsi="Times New Roman"/>
                <w:sz w:val="19"/>
                <w:szCs w:val="19"/>
                <w:color w:val="231F20"/>
              </w:rPr>
              <w:t>Fair value of an effective hedge</w:t>
            </w:r>
          </w:p>
        </w:tc>
        <w:tc>
          <w:tcPr>
            <w:tcW w:w="100" w:type="dxa"/>
            <w:vAlign w:val="bottom"/>
            <w:shd w:val="clear" w:color="auto" w:fill="FDFDFC"/>
          </w:tcPr>
          <w:p>
            <w:pPr>
              <w:spacing w:after="0"/>
              <w:rPr>
                <w:sz w:val="20"/>
                <w:szCs w:val="20"/>
                <w:color w:val="auto"/>
              </w:rPr>
            </w:pPr>
          </w:p>
        </w:tc>
        <w:tc>
          <w:tcPr>
            <w:tcW w:w="180" w:type="dxa"/>
            <w:vAlign w:val="bottom"/>
            <w:shd w:val="clear" w:color="auto" w:fill="FDFDFC"/>
          </w:tcPr>
          <w:p>
            <w:pPr>
              <w:spacing w:after="0"/>
              <w:rPr>
                <w:sz w:val="20"/>
                <w:szCs w:val="20"/>
                <w:color w:val="auto"/>
              </w:rPr>
            </w:pPr>
          </w:p>
        </w:tc>
        <w:tc>
          <w:tcPr>
            <w:tcW w:w="880" w:type="dxa"/>
            <w:vAlign w:val="bottom"/>
            <w:gridSpan w:val="2"/>
            <w:shd w:val="clear" w:color="auto" w:fill="FDFDFC"/>
          </w:tcPr>
          <w:p>
            <w:pPr>
              <w:jc w:val="right"/>
              <w:ind w:right="6"/>
              <w:spacing w:after="0"/>
              <w:rPr>
                <w:sz w:val="20"/>
                <w:szCs w:val="20"/>
                <w:color w:val="auto"/>
              </w:rPr>
            </w:pPr>
            <w:r>
              <w:rPr>
                <w:rFonts w:ascii="Times New Roman" w:cs="Times New Roman" w:eastAsia="Times New Roman" w:hAnsi="Times New Roman"/>
                <w:sz w:val="19"/>
                <w:szCs w:val="19"/>
                <w:color w:val="231F20"/>
              </w:rPr>
              <w:t>(17,618 )</w:t>
            </w:r>
          </w:p>
        </w:tc>
        <w:tc>
          <w:tcPr>
            <w:tcW w:w="60" w:type="dxa"/>
            <w:vAlign w:val="bottom"/>
            <w:shd w:val="clear" w:color="auto" w:fill="FDFDFC"/>
          </w:tcPr>
          <w:p>
            <w:pPr>
              <w:spacing w:after="0"/>
              <w:rPr>
                <w:sz w:val="20"/>
                <w:szCs w:val="20"/>
                <w:color w:val="auto"/>
              </w:rPr>
            </w:pPr>
          </w:p>
        </w:tc>
        <w:tc>
          <w:tcPr>
            <w:tcW w:w="140" w:type="dxa"/>
            <w:vAlign w:val="bottom"/>
            <w:shd w:val="clear" w:color="auto" w:fill="FDFDFC"/>
          </w:tcPr>
          <w:p>
            <w:pPr>
              <w:spacing w:after="0"/>
              <w:rPr>
                <w:sz w:val="20"/>
                <w:szCs w:val="20"/>
                <w:color w:val="auto"/>
              </w:rPr>
            </w:pPr>
          </w:p>
        </w:tc>
        <w:tc>
          <w:tcPr>
            <w:tcW w:w="1160" w:type="dxa"/>
            <w:vAlign w:val="bottom"/>
            <w:gridSpan w:val="2"/>
            <w:shd w:val="clear" w:color="auto" w:fill="FDFDFC"/>
          </w:tcPr>
          <w:p>
            <w:pPr>
              <w:jc w:val="right"/>
              <w:ind w:right="26"/>
              <w:spacing w:after="0"/>
              <w:rPr>
                <w:sz w:val="20"/>
                <w:szCs w:val="20"/>
                <w:color w:val="auto"/>
              </w:rPr>
            </w:pPr>
            <w:r>
              <w:rPr>
                <w:rFonts w:ascii="Times New Roman" w:cs="Times New Roman" w:eastAsia="Times New Roman" w:hAnsi="Times New Roman"/>
                <w:sz w:val="19"/>
                <w:szCs w:val="19"/>
                <w:color w:val="231F20"/>
              </w:rPr>
              <w:t>(1,377 )</w:t>
            </w:r>
          </w:p>
        </w:tc>
        <w:tc>
          <w:tcPr>
            <w:tcW w:w="60" w:type="dxa"/>
            <w:vAlign w:val="bottom"/>
            <w:shd w:val="clear" w:color="auto" w:fill="FDFDFC"/>
          </w:tcPr>
          <w:p>
            <w:pPr>
              <w:spacing w:after="0"/>
              <w:rPr>
                <w:sz w:val="20"/>
                <w:szCs w:val="20"/>
                <w:color w:val="auto"/>
              </w:rPr>
            </w:pPr>
          </w:p>
        </w:tc>
        <w:tc>
          <w:tcPr>
            <w:tcW w:w="100" w:type="dxa"/>
            <w:vAlign w:val="bottom"/>
            <w:shd w:val="clear" w:color="auto" w:fill="FDFDFC"/>
          </w:tcPr>
          <w:p>
            <w:pPr>
              <w:spacing w:after="0"/>
              <w:rPr>
                <w:sz w:val="20"/>
                <w:szCs w:val="20"/>
                <w:color w:val="auto"/>
              </w:rPr>
            </w:pPr>
          </w:p>
        </w:tc>
        <w:tc>
          <w:tcPr>
            <w:tcW w:w="1120" w:type="dxa"/>
            <w:vAlign w:val="bottom"/>
            <w:gridSpan w:val="2"/>
            <w:shd w:val="clear" w:color="auto" w:fill="FDFDFC"/>
          </w:tcPr>
          <w:p>
            <w:pPr>
              <w:jc w:val="right"/>
              <w:ind w:right="86"/>
              <w:spacing w:after="0"/>
              <w:rPr>
                <w:sz w:val="20"/>
                <w:szCs w:val="20"/>
                <w:color w:val="auto"/>
              </w:rPr>
            </w:pPr>
            <w:r>
              <w:rPr>
                <w:rFonts w:ascii="Times New Roman" w:cs="Times New Roman" w:eastAsia="Times New Roman" w:hAnsi="Times New Roman"/>
                <w:sz w:val="19"/>
                <w:szCs w:val="19"/>
                <w:color w:val="231F20"/>
              </w:rPr>
              <w:t>(5,243 )</w:t>
            </w:r>
          </w:p>
        </w:tc>
      </w:tr>
      <w:tr>
        <w:trPr>
          <w:trHeight w:val="260"/>
        </w:trPr>
        <w:tc>
          <w:tcPr>
            <w:tcW w:w="4680" w:type="dxa"/>
            <w:vAlign w:val="bottom"/>
            <w:tcBorders>
              <w:top w:val="single" w:sz="8" w:color="D0EBF2"/>
              <w:bottom w:val="single" w:sz="8" w:color="FDFDFC"/>
            </w:tcBorders>
            <w:shd w:val="clear" w:color="auto" w:fill="D0EBF2"/>
          </w:tcPr>
          <w:p>
            <w:pPr>
              <w:spacing w:after="0"/>
              <w:rPr>
                <w:sz w:val="20"/>
                <w:szCs w:val="20"/>
                <w:color w:val="auto"/>
              </w:rPr>
            </w:pPr>
            <w:r>
              <w:rPr>
                <w:rFonts w:ascii="Times New Roman" w:cs="Times New Roman" w:eastAsia="Times New Roman" w:hAnsi="Times New Roman"/>
                <w:sz w:val="19"/>
                <w:szCs w:val="19"/>
                <w:b w:val="1"/>
                <w:bCs w:val="1"/>
                <w:color w:val="231F20"/>
              </w:rPr>
              <w:t>Carrying value of debt</w:t>
            </w:r>
          </w:p>
        </w:tc>
        <w:tc>
          <w:tcPr>
            <w:tcW w:w="100" w:type="dxa"/>
            <w:vAlign w:val="bottom"/>
            <w:tcBorders>
              <w:top w:val="single" w:sz="8" w:color="D0EBF2"/>
              <w:bottom w:val="single" w:sz="8" w:color="FDFDFC"/>
            </w:tcBorders>
            <w:shd w:val="clear" w:color="auto" w:fill="D0EBF2"/>
          </w:tcPr>
          <w:p>
            <w:pPr>
              <w:spacing w:after="0"/>
              <w:rPr>
                <w:sz w:val="22"/>
                <w:szCs w:val="22"/>
                <w:color w:val="auto"/>
              </w:rPr>
            </w:pPr>
          </w:p>
        </w:tc>
        <w:tc>
          <w:tcPr>
            <w:tcW w:w="180" w:type="dxa"/>
            <w:vAlign w:val="bottom"/>
            <w:tcBorders>
              <w:top w:val="single" w:sz="8" w:color="231F20"/>
              <w:bottom w:val="single" w:sz="8" w:color="231F20"/>
            </w:tcBorders>
            <w:shd w:val="clear" w:color="auto" w:fill="D0EBF2"/>
          </w:tcPr>
          <w:p>
            <w:pPr>
              <w:jc w:val="right"/>
              <w:spacing w:after="0"/>
              <w:rPr>
                <w:sz w:val="20"/>
                <w:szCs w:val="20"/>
                <w:color w:val="auto"/>
              </w:rPr>
            </w:pPr>
            <w:r>
              <w:rPr>
                <w:rFonts w:ascii="Times New Roman" w:cs="Times New Roman" w:eastAsia="Times New Roman" w:hAnsi="Times New Roman"/>
                <w:sz w:val="19"/>
                <w:szCs w:val="19"/>
                <w:color w:val="231F20"/>
                <w:w w:val="83"/>
                <w:shd w:val="clear" w:color="auto" w:fill="D0EBF2"/>
              </w:rPr>
              <w:t>$</w:t>
            </w:r>
          </w:p>
        </w:tc>
        <w:tc>
          <w:tcPr>
            <w:tcW w:w="700" w:type="dxa"/>
            <w:vAlign w:val="bottom"/>
            <w:tcBorders>
              <w:top w:val="single" w:sz="8" w:color="231F20"/>
              <w:bottom w:val="single" w:sz="8" w:color="231F20"/>
            </w:tcBorders>
            <w:shd w:val="clear" w:color="auto" w:fill="D0EBF2"/>
          </w:tcPr>
          <w:p>
            <w:pPr>
              <w:jc w:val="right"/>
              <w:spacing w:after="0"/>
              <w:rPr>
                <w:sz w:val="20"/>
                <w:szCs w:val="20"/>
                <w:color w:val="auto"/>
              </w:rPr>
            </w:pPr>
            <w:r>
              <w:rPr>
                <w:rFonts w:ascii="Times New Roman" w:cs="Times New Roman" w:eastAsia="Times New Roman" w:hAnsi="Times New Roman"/>
                <w:sz w:val="19"/>
                <w:szCs w:val="19"/>
                <w:color w:val="231F20"/>
                <w:shd w:val="clear" w:color="auto" w:fill="D0EBF2"/>
              </w:rPr>
              <w:t>280,534</w:t>
            </w:r>
          </w:p>
        </w:tc>
        <w:tc>
          <w:tcPr>
            <w:tcW w:w="180" w:type="dxa"/>
            <w:vAlign w:val="bottom"/>
            <w:tcBorders>
              <w:top w:val="single" w:sz="8" w:color="D0EBF2"/>
              <w:bottom w:val="single" w:sz="8" w:color="FDFDFC"/>
            </w:tcBorders>
            <w:shd w:val="clear" w:color="auto" w:fill="D0EBF2"/>
          </w:tcPr>
          <w:p>
            <w:pPr>
              <w:spacing w:after="0"/>
              <w:rPr>
                <w:sz w:val="22"/>
                <w:szCs w:val="22"/>
                <w:color w:val="auto"/>
              </w:rPr>
            </w:pPr>
          </w:p>
        </w:tc>
        <w:tc>
          <w:tcPr>
            <w:tcW w:w="60" w:type="dxa"/>
            <w:vAlign w:val="bottom"/>
            <w:tcBorders>
              <w:top w:val="single" w:sz="8" w:color="D0EBF2"/>
              <w:bottom w:val="single" w:sz="8" w:color="FDFDFC"/>
            </w:tcBorders>
            <w:shd w:val="clear" w:color="auto" w:fill="D0EBF2"/>
          </w:tcPr>
          <w:p>
            <w:pPr>
              <w:spacing w:after="0"/>
              <w:rPr>
                <w:sz w:val="22"/>
                <w:szCs w:val="22"/>
                <w:color w:val="auto"/>
              </w:rPr>
            </w:pPr>
          </w:p>
        </w:tc>
        <w:tc>
          <w:tcPr>
            <w:tcW w:w="140" w:type="dxa"/>
            <w:vAlign w:val="bottom"/>
            <w:tcBorders>
              <w:top w:val="single" w:sz="8" w:color="231F20"/>
              <w:bottom w:val="single" w:sz="8" w:color="231F20"/>
            </w:tcBorders>
            <w:shd w:val="clear" w:color="auto" w:fill="D0EBF2"/>
          </w:tcPr>
          <w:p>
            <w:pPr>
              <w:spacing w:after="0"/>
              <w:rPr>
                <w:sz w:val="20"/>
                <w:szCs w:val="20"/>
                <w:color w:val="auto"/>
              </w:rPr>
            </w:pPr>
            <w:r>
              <w:rPr>
                <w:rFonts w:ascii="Times New Roman" w:cs="Times New Roman" w:eastAsia="Times New Roman" w:hAnsi="Times New Roman"/>
                <w:sz w:val="19"/>
                <w:szCs w:val="19"/>
                <w:color w:val="231F20"/>
              </w:rPr>
              <w:t>$</w:t>
            </w:r>
          </w:p>
        </w:tc>
        <w:tc>
          <w:tcPr>
            <w:tcW w:w="980" w:type="dxa"/>
            <w:vAlign w:val="bottom"/>
            <w:tcBorders>
              <w:top w:val="single" w:sz="8" w:color="231F20"/>
              <w:bottom w:val="single" w:sz="8" w:color="231F20"/>
            </w:tcBorders>
            <w:shd w:val="clear" w:color="auto" w:fill="D0EBF2"/>
          </w:tcPr>
          <w:p>
            <w:pPr>
              <w:jc w:val="right"/>
              <w:spacing w:after="0"/>
              <w:rPr>
                <w:sz w:val="20"/>
                <w:szCs w:val="20"/>
                <w:color w:val="auto"/>
              </w:rPr>
            </w:pPr>
            <w:r>
              <w:rPr>
                <w:rFonts w:ascii="Times New Roman" w:cs="Times New Roman" w:eastAsia="Times New Roman" w:hAnsi="Times New Roman"/>
                <w:sz w:val="19"/>
                <w:szCs w:val="19"/>
                <w:color w:val="231F20"/>
              </w:rPr>
              <w:t>294,139</w:t>
            </w:r>
          </w:p>
        </w:tc>
        <w:tc>
          <w:tcPr>
            <w:tcW w:w="180" w:type="dxa"/>
            <w:vAlign w:val="bottom"/>
            <w:tcBorders>
              <w:top w:val="single" w:sz="8" w:color="D0EBF2"/>
              <w:bottom w:val="single" w:sz="8" w:color="FDFDFC"/>
            </w:tcBorders>
            <w:shd w:val="clear" w:color="auto" w:fill="D0EBF2"/>
          </w:tcPr>
          <w:p>
            <w:pPr>
              <w:spacing w:after="0"/>
              <w:rPr>
                <w:sz w:val="22"/>
                <w:szCs w:val="22"/>
                <w:color w:val="auto"/>
              </w:rPr>
            </w:pPr>
          </w:p>
        </w:tc>
        <w:tc>
          <w:tcPr>
            <w:tcW w:w="60" w:type="dxa"/>
            <w:vAlign w:val="bottom"/>
            <w:tcBorders>
              <w:top w:val="single" w:sz="8" w:color="D0EBF2"/>
              <w:bottom w:val="single" w:sz="8" w:color="FDFDFC"/>
            </w:tcBorders>
            <w:shd w:val="clear" w:color="auto" w:fill="D0EBF2"/>
          </w:tcPr>
          <w:p>
            <w:pPr>
              <w:spacing w:after="0"/>
              <w:rPr>
                <w:sz w:val="22"/>
                <w:szCs w:val="22"/>
                <w:color w:val="auto"/>
              </w:rPr>
            </w:pPr>
          </w:p>
        </w:tc>
        <w:tc>
          <w:tcPr>
            <w:tcW w:w="100" w:type="dxa"/>
            <w:vAlign w:val="bottom"/>
            <w:tcBorders>
              <w:top w:val="single" w:sz="8" w:color="231F20"/>
              <w:bottom w:val="single" w:sz="8" w:color="231F20"/>
            </w:tcBorders>
            <w:shd w:val="clear" w:color="auto" w:fill="D0EBF2"/>
          </w:tcPr>
          <w:p>
            <w:pPr>
              <w:jc w:val="right"/>
              <w:spacing w:after="0"/>
              <w:rPr>
                <w:sz w:val="20"/>
                <w:szCs w:val="20"/>
                <w:color w:val="auto"/>
              </w:rPr>
            </w:pPr>
            <w:r>
              <w:rPr>
                <w:rFonts w:ascii="Times New Roman" w:cs="Times New Roman" w:eastAsia="Times New Roman" w:hAnsi="Times New Roman"/>
                <w:sz w:val="17"/>
                <w:szCs w:val="17"/>
                <w:color w:val="231F20"/>
                <w:w w:val="70"/>
                <w:shd w:val="clear" w:color="auto" w:fill="D0EBF2"/>
              </w:rPr>
              <w:t>$</w:t>
            </w:r>
          </w:p>
        </w:tc>
        <w:tc>
          <w:tcPr>
            <w:tcW w:w="880" w:type="dxa"/>
            <w:vAlign w:val="bottom"/>
            <w:tcBorders>
              <w:top w:val="single" w:sz="8" w:color="231F20"/>
              <w:bottom w:val="single" w:sz="8" w:color="231F20"/>
            </w:tcBorders>
            <w:shd w:val="clear" w:color="auto" w:fill="D0EBF2"/>
          </w:tcPr>
          <w:p>
            <w:pPr>
              <w:jc w:val="right"/>
              <w:spacing w:after="0"/>
              <w:rPr>
                <w:sz w:val="20"/>
                <w:szCs w:val="20"/>
                <w:color w:val="auto"/>
              </w:rPr>
            </w:pPr>
            <w:r>
              <w:rPr>
                <w:rFonts w:ascii="Times New Roman" w:cs="Times New Roman" w:eastAsia="Times New Roman" w:hAnsi="Times New Roman"/>
                <w:sz w:val="19"/>
                <w:szCs w:val="19"/>
                <w:color w:val="231F20"/>
                <w:shd w:val="clear" w:color="auto" w:fill="D0EBF2"/>
              </w:rPr>
              <w:t>337,845</w:t>
            </w:r>
          </w:p>
        </w:tc>
        <w:tc>
          <w:tcPr>
            <w:tcW w:w="240" w:type="dxa"/>
            <w:vAlign w:val="bottom"/>
            <w:tcBorders>
              <w:top w:val="single" w:sz="8" w:color="D0EBF2"/>
              <w:bottom w:val="single" w:sz="8" w:color="FDFDFC"/>
            </w:tcBorders>
            <w:shd w:val="clear" w:color="auto" w:fill="D0EBF2"/>
          </w:tcPr>
          <w:p>
            <w:pPr>
              <w:spacing w:after="0"/>
              <w:rPr>
                <w:sz w:val="22"/>
                <w:szCs w:val="22"/>
                <w:color w:val="auto"/>
              </w:rPr>
            </w:pPr>
          </w:p>
        </w:tc>
      </w:tr>
      <w:tr>
        <w:trPr>
          <w:trHeight w:val="249"/>
        </w:trPr>
        <w:tc>
          <w:tcPr>
            <w:tcW w:w="4680" w:type="dxa"/>
            <w:vAlign w:val="bottom"/>
            <w:shd w:val="clear" w:color="auto" w:fill="FDFDFC"/>
          </w:tcPr>
          <w:p>
            <w:pPr>
              <w:spacing w:after="0"/>
              <w:rPr>
                <w:sz w:val="20"/>
                <w:szCs w:val="20"/>
                <w:color w:val="auto"/>
              </w:rPr>
            </w:pPr>
            <w:r>
              <w:rPr>
                <w:rFonts w:ascii="Times New Roman" w:cs="Times New Roman" w:eastAsia="Times New Roman" w:hAnsi="Times New Roman"/>
                <w:sz w:val="19"/>
                <w:szCs w:val="19"/>
                <w:color w:val="231F20"/>
              </w:rPr>
              <w:t>Stated interest rate</w:t>
            </w:r>
          </w:p>
        </w:tc>
        <w:tc>
          <w:tcPr>
            <w:tcW w:w="100" w:type="dxa"/>
            <w:vAlign w:val="bottom"/>
            <w:shd w:val="clear" w:color="auto" w:fill="FDFDFC"/>
          </w:tcPr>
          <w:p>
            <w:pPr>
              <w:spacing w:after="0"/>
              <w:rPr>
                <w:sz w:val="21"/>
                <w:szCs w:val="21"/>
                <w:color w:val="auto"/>
              </w:rPr>
            </w:pPr>
          </w:p>
        </w:tc>
        <w:tc>
          <w:tcPr>
            <w:tcW w:w="180" w:type="dxa"/>
            <w:vAlign w:val="bottom"/>
            <w:shd w:val="clear" w:color="auto" w:fill="FDFDFC"/>
          </w:tcPr>
          <w:p>
            <w:pPr>
              <w:spacing w:after="0"/>
              <w:rPr>
                <w:sz w:val="21"/>
                <w:szCs w:val="21"/>
                <w:color w:val="auto"/>
              </w:rPr>
            </w:pPr>
          </w:p>
        </w:tc>
        <w:tc>
          <w:tcPr>
            <w:tcW w:w="700" w:type="dxa"/>
            <w:vAlign w:val="bottom"/>
            <w:shd w:val="clear" w:color="auto" w:fill="FDFDFC"/>
          </w:tcPr>
          <w:p>
            <w:pPr>
              <w:jc w:val="right"/>
              <w:spacing w:after="0"/>
              <w:rPr>
                <w:sz w:val="20"/>
                <w:szCs w:val="20"/>
                <w:color w:val="auto"/>
              </w:rPr>
            </w:pPr>
            <w:r>
              <w:rPr>
                <w:rFonts w:ascii="Times New Roman" w:cs="Times New Roman" w:eastAsia="Times New Roman" w:hAnsi="Times New Roman"/>
                <w:sz w:val="19"/>
                <w:szCs w:val="19"/>
                <w:color w:val="231F20"/>
              </w:rPr>
              <w:t>2.50</w:t>
            </w:r>
          </w:p>
        </w:tc>
        <w:tc>
          <w:tcPr>
            <w:tcW w:w="180" w:type="dxa"/>
            <w:vAlign w:val="bottom"/>
            <w:shd w:val="clear" w:color="auto" w:fill="FDFDFC"/>
          </w:tcPr>
          <w:p>
            <w:pPr>
              <w:spacing w:after="0"/>
              <w:rPr>
                <w:sz w:val="20"/>
                <w:szCs w:val="20"/>
                <w:color w:val="auto"/>
              </w:rPr>
            </w:pPr>
            <w:r>
              <w:rPr>
                <w:rFonts w:ascii="Times New Roman" w:cs="Times New Roman" w:eastAsia="Times New Roman" w:hAnsi="Times New Roman"/>
                <w:sz w:val="19"/>
                <w:szCs w:val="19"/>
                <w:color w:val="231F20"/>
                <w:highlight w:val="white"/>
              </w:rPr>
              <w:t>%</w:t>
            </w:r>
          </w:p>
        </w:tc>
        <w:tc>
          <w:tcPr>
            <w:tcW w:w="60" w:type="dxa"/>
            <w:vAlign w:val="bottom"/>
            <w:shd w:val="clear" w:color="auto" w:fill="FDFDFC"/>
          </w:tcPr>
          <w:p>
            <w:pPr>
              <w:spacing w:after="0"/>
              <w:rPr>
                <w:sz w:val="21"/>
                <w:szCs w:val="21"/>
                <w:color w:val="auto"/>
              </w:rPr>
            </w:pPr>
          </w:p>
        </w:tc>
        <w:tc>
          <w:tcPr>
            <w:tcW w:w="140" w:type="dxa"/>
            <w:vAlign w:val="bottom"/>
            <w:shd w:val="clear" w:color="auto" w:fill="FDFDFC"/>
          </w:tcPr>
          <w:p>
            <w:pPr>
              <w:spacing w:after="0"/>
              <w:rPr>
                <w:sz w:val="21"/>
                <w:szCs w:val="21"/>
                <w:color w:val="auto"/>
              </w:rPr>
            </w:pPr>
          </w:p>
        </w:tc>
        <w:tc>
          <w:tcPr>
            <w:tcW w:w="980" w:type="dxa"/>
            <w:vAlign w:val="bottom"/>
            <w:shd w:val="clear" w:color="auto" w:fill="FDFDFC"/>
          </w:tcPr>
          <w:p>
            <w:pPr>
              <w:jc w:val="right"/>
              <w:spacing w:after="0"/>
              <w:rPr>
                <w:sz w:val="20"/>
                <w:szCs w:val="20"/>
                <w:color w:val="auto"/>
              </w:rPr>
            </w:pPr>
            <w:r>
              <w:rPr>
                <w:rFonts w:ascii="Times New Roman" w:cs="Times New Roman" w:eastAsia="Times New Roman" w:hAnsi="Times New Roman"/>
                <w:sz w:val="19"/>
                <w:szCs w:val="19"/>
                <w:color w:val="231F20"/>
              </w:rPr>
              <w:t>6.95</w:t>
            </w:r>
          </w:p>
        </w:tc>
        <w:tc>
          <w:tcPr>
            <w:tcW w:w="180" w:type="dxa"/>
            <w:vAlign w:val="bottom"/>
            <w:shd w:val="clear" w:color="auto" w:fill="FDFDFC"/>
          </w:tcPr>
          <w:p>
            <w:pPr>
              <w:spacing w:after="0"/>
              <w:rPr>
                <w:sz w:val="20"/>
                <w:szCs w:val="20"/>
                <w:color w:val="auto"/>
              </w:rPr>
            </w:pPr>
            <w:r>
              <w:rPr>
                <w:rFonts w:ascii="Times New Roman" w:cs="Times New Roman" w:eastAsia="Times New Roman" w:hAnsi="Times New Roman"/>
                <w:sz w:val="19"/>
                <w:szCs w:val="19"/>
                <w:color w:val="231F20"/>
                <w:highlight w:val="white"/>
              </w:rPr>
              <w:t>%</w:t>
            </w:r>
          </w:p>
        </w:tc>
        <w:tc>
          <w:tcPr>
            <w:tcW w:w="60" w:type="dxa"/>
            <w:vAlign w:val="bottom"/>
            <w:shd w:val="clear" w:color="auto" w:fill="FDFDFC"/>
          </w:tcPr>
          <w:p>
            <w:pPr>
              <w:spacing w:after="0"/>
              <w:rPr>
                <w:sz w:val="21"/>
                <w:szCs w:val="21"/>
                <w:color w:val="auto"/>
              </w:rPr>
            </w:pPr>
          </w:p>
        </w:tc>
        <w:tc>
          <w:tcPr>
            <w:tcW w:w="100" w:type="dxa"/>
            <w:vAlign w:val="bottom"/>
            <w:shd w:val="clear" w:color="auto" w:fill="FDFDFC"/>
          </w:tcPr>
          <w:p>
            <w:pPr>
              <w:spacing w:after="0"/>
              <w:rPr>
                <w:sz w:val="21"/>
                <w:szCs w:val="21"/>
                <w:color w:val="auto"/>
              </w:rPr>
            </w:pPr>
          </w:p>
        </w:tc>
        <w:tc>
          <w:tcPr>
            <w:tcW w:w="880" w:type="dxa"/>
            <w:vAlign w:val="bottom"/>
            <w:shd w:val="clear" w:color="auto" w:fill="FDFDFC"/>
          </w:tcPr>
          <w:p>
            <w:pPr>
              <w:jc w:val="right"/>
              <w:spacing w:after="0"/>
              <w:rPr>
                <w:sz w:val="20"/>
                <w:szCs w:val="20"/>
                <w:color w:val="auto"/>
              </w:rPr>
            </w:pPr>
            <w:r>
              <w:rPr>
                <w:rFonts w:ascii="Times New Roman" w:cs="Times New Roman" w:eastAsia="Times New Roman" w:hAnsi="Times New Roman"/>
                <w:sz w:val="19"/>
                <w:szCs w:val="19"/>
                <w:color w:val="231F20"/>
              </w:rPr>
              <w:t>6.13</w:t>
            </w:r>
          </w:p>
        </w:tc>
        <w:tc>
          <w:tcPr>
            <w:tcW w:w="240" w:type="dxa"/>
            <w:vAlign w:val="bottom"/>
            <w:shd w:val="clear" w:color="auto" w:fill="FDFDFC"/>
          </w:tcPr>
          <w:p>
            <w:pPr>
              <w:spacing w:after="0"/>
              <w:rPr>
                <w:sz w:val="20"/>
                <w:szCs w:val="20"/>
                <w:color w:val="auto"/>
              </w:rPr>
            </w:pPr>
            <w:r>
              <w:rPr>
                <w:rFonts w:ascii="Times New Roman" w:cs="Times New Roman" w:eastAsia="Times New Roman" w:hAnsi="Times New Roman"/>
                <w:sz w:val="19"/>
                <w:szCs w:val="19"/>
                <w:color w:val="231F20"/>
                <w:highlight w:val="white"/>
              </w:rPr>
              <w:t>%</w:t>
            </w:r>
          </w:p>
        </w:tc>
      </w:tr>
    </w:tbl>
    <w:p>
      <w:pPr>
        <w:spacing w:after="0" w:line="207" w:lineRule="exact"/>
        <w:rPr>
          <w:sz w:val="20"/>
          <w:szCs w:val="20"/>
          <w:color w:val="auto"/>
        </w:rPr>
      </w:pPr>
    </w:p>
    <w:p>
      <w:pPr>
        <w:ind w:right="440" w:firstLine="231"/>
        <w:spacing w:after="0" w:line="256" w:lineRule="auto"/>
        <w:rPr>
          <w:sz w:val="20"/>
          <w:szCs w:val="20"/>
          <w:color w:val="auto"/>
        </w:rPr>
      </w:pPr>
      <w:r>
        <w:rPr>
          <w:rFonts w:ascii="Times New Roman" w:cs="Times New Roman" w:eastAsia="Times New Roman" w:hAnsi="Times New Roman"/>
          <w:sz w:val="19"/>
          <w:szCs w:val="19"/>
          <w:color w:val="231F20"/>
        </w:rPr>
        <w:t>As of December 31, 2023, the components of the carrying value of the 2024 Notes, 2026 Notes and 2028 Notes and the stated interest rates were as follows:</w:t>
      </w:r>
    </w:p>
    <w:tbl>
      <w:tblPr>
        <w:tblLayout w:type="fixed"/>
        <w:tblInd w:w="820" w:type="dxa"/>
        <w:tblCellMar>
          <w:top w:w="0" w:type="dxa"/>
          <w:left w:w="0" w:type="dxa"/>
          <w:bottom w:w="0" w:type="dxa"/>
          <w:right w:w="0" w:type="dxa"/>
        </w:tblCellMar>
      </w:tblPr>
      <w:tr>
        <w:trPr>
          <w:trHeight w:val="162"/>
        </w:trPr>
        <w:tc>
          <w:tcPr>
            <w:tcW w:w="3980" w:type="dxa"/>
            <w:vAlign w:val="bottom"/>
            <w:tcBorders>
              <w:bottom w:val="single" w:sz="8" w:color="FDFDFC"/>
            </w:tcBorders>
            <w:shd w:val="clear" w:color="auto" w:fill="FDFDFC"/>
          </w:tcPr>
          <w:p>
            <w:pPr>
              <w:spacing w:after="0"/>
              <w:rPr>
                <w:sz w:val="14"/>
                <w:szCs w:val="14"/>
                <w:color w:val="auto"/>
              </w:rPr>
            </w:pPr>
          </w:p>
        </w:tc>
        <w:tc>
          <w:tcPr>
            <w:tcW w:w="160" w:type="dxa"/>
            <w:vAlign w:val="bottom"/>
            <w:tcBorders>
              <w:bottom w:val="single" w:sz="8" w:color="FDFDFC"/>
            </w:tcBorders>
            <w:shd w:val="clear" w:color="auto" w:fill="FDFDFC"/>
          </w:tcPr>
          <w:p>
            <w:pPr>
              <w:spacing w:after="0"/>
              <w:rPr>
                <w:sz w:val="14"/>
                <w:szCs w:val="14"/>
                <w:color w:val="auto"/>
              </w:rPr>
            </w:pPr>
          </w:p>
        </w:tc>
        <w:tc>
          <w:tcPr>
            <w:tcW w:w="120" w:type="dxa"/>
            <w:vAlign w:val="bottom"/>
            <w:tcBorders>
              <w:bottom w:val="single" w:sz="8" w:color="231F20"/>
            </w:tcBorders>
            <w:shd w:val="clear" w:color="auto" w:fill="FDFDFC"/>
          </w:tcPr>
          <w:p>
            <w:pPr>
              <w:spacing w:after="0"/>
              <w:rPr>
                <w:sz w:val="14"/>
                <w:szCs w:val="14"/>
                <w:color w:val="auto"/>
              </w:rPr>
            </w:pPr>
          </w:p>
        </w:tc>
        <w:tc>
          <w:tcPr>
            <w:tcW w:w="960" w:type="dxa"/>
            <w:vAlign w:val="bottom"/>
            <w:tcBorders>
              <w:bottom w:val="single" w:sz="8" w:color="231F20"/>
            </w:tcBorders>
            <w:shd w:val="clear" w:color="auto" w:fill="FDFDFC"/>
          </w:tcPr>
          <w:p>
            <w:pPr>
              <w:spacing w:after="0"/>
              <w:rPr>
                <w:sz w:val="14"/>
                <w:szCs w:val="14"/>
                <w:color w:val="auto"/>
              </w:rPr>
            </w:pPr>
          </w:p>
        </w:tc>
        <w:tc>
          <w:tcPr>
            <w:tcW w:w="200" w:type="dxa"/>
            <w:vAlign w:val="bottom"/>
            <w:tcBorders>
              <w:bottom w:val="single" w:sz="8" w:color="231F20"/>
            </w:tcBorders>
            <w:shd w:val="clear" w:color="auto" w:fill="FDFDFC"/>
          </w:tcPr>
          <w:p>
            <w:pPr>
              <w:spacing w:after="0"/>
              <w:rPr>
                <w:sz w:val="14"/>
                <w:szCs w:val="14"/>
                <w:color w:val="auto"/>
              </w:rPr>
            </w:pPr>
          </w:p>
        </w:tc>
        <w:tc>
          <w:tcPr>
            <w:tcW w:w="100" w:type="dxa"/>
            <w:vAlign w:val="bottom"/>
            <w:tcBorders>
              <w:bottom w:val="single" w:sz="8" w:color="231F20"/>
            </w:tcBorders>
            <w:shd w:val="clear" w:color="auto" w:fill="FDFDFC"/>
          </w:tcPr>
          <w:p>
            <w:pPr>
              <w:spacing w:after="0"/>
              <w:rPr>
                <w:sz w:val="14"/>
                <w:szCs w:val="14"/>
                <w:color w:val="auto"/>
              </w:rPr>
            </w:pPr>
          </w:p>
        </w:tc>
        <w:tc>
          <w:tcPr>
            <w:tcW w:w="100" w:type="dxa"/>
            <w:vAlign w:val="bottom"/>
            <w:tcBorders>
              <w:bottom w:val="single" w:sz="8" w:color="231F20"/>
            </w:tcBorders>
            <w:shd w:val="clear" w:color="auto" w:fill="FDFDFC"/>
          </w:tcPr>
          <w:p>
            <w:pPr>
              <w:spacing w:after="0"/>
              <w:rPr>
                <w:sz w:val="14"/>
                <w:szCs w:val="14"/>
                <w:color w:val="auto"/>
              </w:rPr>
            </w:pPr>
          </w:p>
        </w:tc>
        <w:tc>
          <w:tcPr>
            <w:tcW w:w="1460" w:type="dxa"/>
            <w:vAlign w:val="bottom"/>
            <w:tcBorders>
              <w:bottom w:val="single" w:sz="8" w:color="231F20"/>
            </w:tcBorders>
            <w:gridSpan w:val="2"/>
            <w:shd w:val="clear" w:color="auto" w:fill="FDFDFC"/>
          </w:tcPr>
          <w:p>
            <w:pPr>
              <w:jc w:val="right"/>
              <w:ind w:right="220"/>
              <w:spacing w:after="0" w:line="162" w:lineRule="exact"/>
              <w:rPr>
                <w:sz w:val="20"/>
                <w:szCs w:val="20"/>
                <w:color w:val="auto"/>
              </w:rPr>
            </w:pPr>
            <w:r>
              <w:rPr>
                <w:rFonts w:ascii="Times New Roman" w:cs="Times New Roman" w:eastAsia="Times New Roman" w:hAnsi="Times New Roman"/>
                <w:sz w:val="15"/>
                <w:szCs w:val="15"/>
                <w:b w:val="1"/>
                <w:bCs w:val="1"/>
                <w:color w:val="231F20"/>
              </w:rPr>
              <w:t>December 31, 2023</w:t>
            </w:r>
          </w:p>
        </w:tc>
        <w:tc>
          <w:tcPr>
            <w:tcW w:w="100" w:type="dxa"/>
            <w:vAlign w:val="bottom"/>
            <w:tcBorders>
              <w:bottom w:val="single" w:sz="8" w:color="231F20"/>
            </w:tcBorders>
            <w:shd w:val="clear" w:color="auto" w:fill="FDFDFC"/>
          </w:tcPr>
          <w:p>
            <w:pPr>
              <w:spacing w:after="0"/>
              <w:rPr>
                <w:sz w:val="14"/>
                <w:szCs w:val="14"/>
                <w:color w:val="auto"/>
              </w:rPr>
            </w:pPr>
          </w:p>
        </w:tc>
        <w:tc>
          <w:tcPr>
            <w:tcW w:w="180" w:type="dxa"/>
            <w:vAlign w:val="bottom"/>
            <w:tcBorders>
              <w:bottom w:val="single" w:sz="8" w:color="231F20"/>
            </w:tcBorders>
            <w:shd w:val="clear" w:color="auto" w:fill="FDFDFC"/>
          </w:tcPr>
          <w:p>
            <w:pPr>
              <w:spacing w:after="0"/>
              <w:rPr>
                <w:sz w:val="14"/>
                <w:szCs w:val="14"/>
                <w:color w:val="auto"/>
              </w:rPr>
            </w:pPr>
          </w:p>
        </w:tc>
        <w:tc>
          <w:tcPr>
            <w:tcW w:w="1020" w:type="dxa"/>
            <w:vAlign w:val="bottom"/>
            <w:tcBorders>
              <w:bottom w:val="single" w:sz="8" w:color="231F20"/>
            </w:tcBorders>
            <w:shd w:val="clear" w:color="auto" w:fill="FDFDFC"/>
          </w:tcPr>
          <w:p>
            <w:pPr>
              <w:spacing w:after="0"/>
              <w:rPr>
                <w:sz w:val="14"/>
                <w:szCs w:val="14"/>
                <w:color w:val="auto"/>
              </w:rPr>
            </w:pPr>
          </w:p>
        </w:tc>
        <w:tc>
          <w:tcPr>
            <w:tcW w:w="180" w:type="dxa"/>
            <w:vAlign w:val="bottom"/>
            <w:tcBorders>
              <w:bottom w:val="single" w:sz="8" w:color="FDFDFC"/>
            </w:tcBorders>
            <w:shd w:val="clear" w:color="auto" w:fill="FDFDFC"/>
          </w:tcPr>
          <w:p>
            <w:pPr>
              <w:spacing w:after="0"/>
              <w:rPr>
                <w:sz w:val="14"/>
                <w:szCs w:val="14"/>
                <w:color w:val="auto"/>
              </w:rPr>
            </w:pPr>
          </w:p>
        </w:tc>
      </w:tr>
      <w:tr>
        <w:trPr>
          <w:trHeight w:val="207"/>
        </w:trPr>
        <w:tc>
          <w:tcPr>
            <w:tcW w:w="3980" w:type="dxa"/>
            <w:vAlign w:val="bottom"/>
            <w:tcBorders>
              <w:bottom w:val="single" w:sz="8" w:color="D0EBF2"/>
            </w:tcBorders>
            <w:shd w:val="clear" w:color="auto" w:fill="FDFDFC"/>
          </w:tcPr>
          <w:p>
            <w:pPr>
              <w:spacing w:after="0"/>
              <w:rPr>
                <w:sz w:val="17"/>
                <w:szCs w:val="17"/>
                <w:color w:val="auto"/>
              </w:rPr>
            </w:pPr>
          </w:p>
        </w:tc>
        <w:tc>
          <w:tcPr>
            <w:tcW w:w="160" w:type="dxa"/>
            <w:vAlign w:val="bottom"/>
            <w:tcBorders>
              <w:bottom w:val="single" w:sz="8" w:color="D0EBF2"/>
            </w:tcBorders>
            <w:shd w:val="clear" w:color="auto" w:fill="FDFDFC"/>
          </w:tcPr>
          <w:p>
            <w:pPr>
              <w:spacing w:after="0"/>
              <w:rPr>
                <w:sz w:val="17"/>
                <w:szCs w:val="17"/>
                <w:color w:val="auto"/>
              </w:rPr>
            </w:pPr>
          </w:p>
        </w:tc>
        <w:tc>
          <w:tcPr>
            <w:tcW w:w="120" w:type="dxa"/>
            <w:vAlign w:val="bottom"/>
            <w:tcBorders>
              <w:bottom w:val="single" w:sz="8" w:color="231F20"/>
            </w:tcBorders>
            <w:shd w:val="clear" w:color="auto" w:fill="FDFDFC"/>
          </w:tcPr>
          <w:p>
            <w:pPr>
              <w:spacing w:after="0"/>
              <w:rPr>
                <w:sz w:val="17"/>
                <w:szCs w:val="17"/>
                <w:color w:val="auto"/>
              </w:rPr>
            </w:pPr>
          </w:p>
        </w:tc>
        <w:tc>
          <w:tcPr>
            <w:tcW w:w="960" w:type="dxa"/>
            <w:vAlign w:val="bottom"/>
            <w:tcBorders>
              <w:bottom w:val="single" w:sz="8" w:color="231F20"/>
            </w:tcBorders>
            <w:shd w:val="clear" w:color="auto" w:fill="FDFDFC"/>
          </w:tcPr>
          <w:p>
            <w:pPr>
              <w:jc w:val="right"/>
              <w:ind w:right="108"/>
              <w:spacing w:after="0"/>
              <w:rPr>
                <w:sz w:val="20"/>
                <w:szCs w:val="20"/>
                <w:color w:val="auto"/>
              </w:rPr>
            </w:pPr>
            <w:r>
              <w:rPr>
                <w:rFonts w:ascii="Times New Roman" w:cs="Times New Roman" w:eastAsia="Times New Roman" w:hAnsi="Times New Roman"/>
                <w:sz w:val="15"/>
                <w:szCs w:val="15"/>
                <w:b w:val="1"/>
                <w:bCs w:val="1"/>
                <w:color w:val="231F20"/>
              </w:rPr>
              <w:t>2024 Notes</w:t>
            </w:r>
          </w:p>
        </w:tc>
        <w:tc>
          <w:tcPr>
            <w:tcW w:w="200" w:type="dxa"/>
            <w:vAlign w:val="bottom"/>
            <w:tcBorders>
              <w:bottom w:val="single" w:sz="8" w:color="D0EBF2"/>
            </w:tcBorders>
            <w:shd w:val="clear" w:color="auto" w:fill="FDFDFC"/>
          </w:tcPr>
          <w:p>
            <w:pPr>
              <w:spacing w:after="0"/>
              <w:rPr>
                <w:sz w:val="17"/>
                <w:szCs w:val="17"/>
                <w:color w:val="auto"/>
              </w:rPr>
            </w:pPr>
          </w:p>
        </w:tc>
        <w:tc>
          <w:tcPr>
            <w:tcW w:w="100" w:type="dxa"/>
            <w:vAlign w:val="bottom"/>
            <w:tcBorders>
              <w:bottom w:val="single" w:sz="8" w:color="D0EBF2"/>
            </w:tcBorders>
            <w:shd w:val="clear" w:color="auto" w:fill="FDFDFC"/>
          </w:tcPr>
          <w:p>
            <w:pPr>
              <w:spacing w:after="0"/>
              <w:rPr>
                <w:sz w:val="17"/>
                <w:szCs w:val="17"/>
                <w:color w:val="auto"/>
              </w:rPr>
            </w:pPr>
          </w:p>
        </w:tc>
        <w:tc>
          <w:tcPr>
            <w:tcW w:w="100" w:type="dxa"/>
            <w:vAlign w:val="bottom"/>
            <w:tcBorders>
              <w:bottom w:val="single" w:sz="8" w:color="231F20"/>
            </w:tcBorders>
            <w:shd w:val="clear" w:color="auto" w:fill="FDFDFC"/>
          </w:tcPr>
          <w:p>
            <w:pPr>
              <w:spacing w:after="0"/>
              <w:rPr>
                <w:sz w:val="17"/>
                <w:szCs w:val="17"/>
                <w:color w:val="auto"/>
              </w:rPr>
            </w:pPr>
          </w:p>
        </w:tc>
        <w:tc>
          <w:tcPr>
            <w:tcW w:w="1260" w:type="dxa"/>
            <w:vAlign w:val="bottom"/>
            <w:tcBorders>
              <w:bottom w:val="single" w:sz="8" w:color="231F20"/>
            </w:tcBorders>
            <w:shd w:val="clear" w:color="auto" w:fill="FDFDFC"/>
          </w:tcPr>
          <w:p>
            <w:pPr>
              <w:jc w:val="right"/>
              <w:ind w:right="250"/>
              <w:spacing w:after="0"/>
              <w:rPr>
                <w:sz w:val="20"/>
                <w:szCs w:val="20"/>
                <w:color w:val="auto"/>
              </w:rPr>
            </w:pPr>
            <w:r>
              <w:rPr>
                <w:rFonts w:ascii="Times New Roman" w:cs="Times New Roman" w:eastAsia="Times New Roman" w:hAnsi="Times New Roman"/>
                <w:sz w:val="15"/>
                <w:szCs w:val="15"/>
                <w:b w:val="1"/>
                <w:bCs w:val="1"/>
                <w:color w:val="231F20"/>
              </w:rPr>
              <w:t>2026 Notes</w:t>
            </w:r>
          </w:p>
        </w:tc>
        <w:tc>
          <w:tcPr>
            <w:tcW w:w="200" w:type="dxa"/>
            <w:vAlign w:val="bottom"/>
            <w:tcBorders>
              <w:bottom w:val="single" w:sz="8" w:color="D0EBF2"/>
            </w:tcBorders>
            <w:shd w:val="clear" w:color="auto" w:fill="FDFDFC"/>
          </w:tcPr>
          <w:p>
            <w:pPr>
              <w:spacing w:after="0"/>
              <w:rPr>
                <w:sz w:val="17"/>
                <w:szCs w:val="17"/>
                <w:color w:val="auto"/>
              </w:rPr>
            </w:pPr>
          </w:p>
        </w:tc>
        <w:tc>
          <w:tcPr>
            <w:tcW w:w="100" w:type="dxa"/>
            <w:vAlign w:val="bottom"/>
            <w:tcBorders>
              <w:bottom w:val="single" w:sz="8" w:color="D0EBF2"/>
            </w:tcBorders>
            <w:shd w:val="clear" w:color="auto" w:fill="FDFDFC"/>
          </w:tcPr>
          <w:p>
            <w:pPr>
              <w:spacing w:after="0"/>
              <w:rPr>
                <w:sz w:val="17"/>
                <w:szCs w:val="17"/>
                <w:color w:val="auto"/>
              </w:rPr>
            </w:pPr>
          </w:p>
        </w:tc>
        <w:tc>
          <w:tcPr>
            <w:tcW w:w="180" w:type="dxa"/>
            <w:vAlign w:val="bottom"/>
            <w:tcBorders>
              <w:bottom w:val="single" w:sz="8" w:color="231F20"/>
            </w:tcBorders>
            <w:shd w:val="clear" w:color="auto" w:fill="FDFDFC"/>
          </w:tcPr>
          <w:p>
            <w:pPr>
              <w:spacing w:after="0"/>
              <w:rPr>
                <w:sz w:val="17"/>
                <w:szCs w:val="17"/>
                <w:color w:val="auto"/>
              </w:rPr>
            </w:pPr>
          </w:p>
        </w:tc>
        <w:tc>
          <w:tcPr>
            <w:tcW w:w="1020" w:type="dxa"/>
            <w:vAlign w:val="bottom"/>
            <w:tcBorders>
              <w:bottom w:val="single" w:sz="8" w:color="231F20"/>
            </w:tcBorders>
            <w:shd w:val="clear" w:color="auto" w:fill="FDFDFC"/>
          </w:tcPr>
          <w:p>
            <w:pPr>
              <w:jc w:val="right"/>
              <w:ind w:right="168"/>
              <w:spacing w:after="0"/>
              <w:rPr>
                <w:sz w:val="20"/>
                <w:szCs w:val="20"/>
                <w:color w:val="auto"/>
              </w:rPr>
            </w:pPr>
            <w:r>
              <w:rPr>
                <w:rFonts w:ascii="Times New Roman" w:cs="Times New Roman" w:eastAsia="Times New Roman" w:hAnsi="Times New Roman"/>
                <w:sz w:val="15"/>
                <w:szCs w:val="15"/>
                <w:b w:val="1"/>
                <w:bCs w:val="1"/>
                <w:color w:val="231F20"/>
              </w:rPr>
              <w:t>2028 Notes</w:t>
            </w:r>
          </w:p>
        </w:tc>
        <w:tc>
          <w:tcPr>
            <w:tcW w:w="180" w:type="dxa"/>
            <w:vAlign w:val="bottom"/>
            <w:tcBorders>
              <w:bottom w:val="single" w:sz="8" w:color="D0EBF2"/>
            </w:tcBorders>
            <w:shd w:val="clear" w:color="auto" w:fill="FDFDFC"/>
          </w:tcPr>
          <w:p>
            <w:pPr>
              <w:spacing w:after="0"/>
              <w:rPr>
                <w:sz w:val="17"/>
                <w:szCs w:val="17"/>
                <w:color w:val="auto"/>
              </w:rPr>
            </w:pPr>
          </w:p>
        </w:tc>
      </w:tr>
      <w:tr>
        <w:trPr>
          <w:trHeight w:val="207"/>
        </w:trPr>
        <w:tc>
          <w:tcPr>
            <w:tcW w:w="3980" w:type="dxa"/>
            <w:vAlign w:val="bottom"/>
            <w:shd w:val="clear" w:color="auto" w:fill="D0EBF2"/>
          </w:tcPr>
          <w:p>
            <w:pPr>
              <w:spacing w:after="0" w:line="206" w:lineRule="exact"/>
              <w:rPr>
                <w:sz w:val="20"/>
                <w:szCs w:val="20"/>
                <w:color w:val="auto"/>
              </w:rPr>
            </w:pPr>
            <w:r>
              <w:rPr>
                <w:rFonts w:ascii="Times New Roman" w:cs="Times New Roman" w:eastAsia="Times New Roman" w:hAnsi="Times New Roman"/>
                <w:sz w:val="19"/>
                <w:szCs w:val="19"/>
                <w:color w:val="231F20"/>
              </w:rPr>
              <w:t>Principal amount of debt</w:t>
            </w:r>
          </w:p>
        </w:tc>
        <w:tc>
          <w:tcPr>
            <w:tcW w:w="160" w:type="dxa"/>
            <w:vAlign w:val="bottom"/>
            <w:shd w:val="clear" w:color="auto" w:fill="D0EBF2"/>
          </w:tcPr>
          <w:p>
            <w:pPr>
              <w:spacing w:after="0"/>
              <w:rPr>
                <w:sz w:val="17"/>
                <w:szCs w:val="17"/>
                <w:color w:val="auto"/>
              </w:rPr>
            </w:pPr>
          </w:p>
        </w:tc>
        <w:tc>
          <w:tcPr>
            <w:tcW w:w="120" w:type="dxa"/>
            <w:vAlign w:val="bottom"/>
            <w:shd w:val="clear" w:color="auto" w:fill="D0EBF2"/>
          </w:tcPr>
          <w:p>
            <w:pPr>
              <w:jc w:val="right"/>
              <w:spacing w:after="0"/>
              <w:rPr>
                <w:sz w:val="20"/>
                <w:szCs w:val="20"/>
                <w:color w:val="auto"/>
              </w:rPr>
            </w:pPr>
            <w:r>
              <w:rPr>
                <w:rFonts w:ascii="Times New Roman" w:cs="Times New Roman" w:eastAsia="Times New Roman" w:hAnsi="Times New Roman"/>
                <w:sz w:val="17"/>
                <w:szCs w:val="17"/>
                <w:color w:val="231F20"/>
                <w:w w:val="70"/>
              </w:rPr>
              <w:t>$</w:t>
            </w:r>
          </w:p>
        </w:tc>
        <w:tc>
          <w:tcPr>
            <w:tcW w:w="960" w:type="dxa"/>
            <w:vAlign w:val="bottom"/>
            <w:shd w:val="clear" w:color="auto" w:fill="D0EBF2"/>
          </w:tcPr>
          <w:p>
            <w:pPr>
              <w:jc w:val="right"/>
              <w:spacing w:after="0" w:line="206" w:lineRule="exact"/>
              <w:rPr>
                <w:sz w:val="20"/>
                <w:szCs w:val="20"/>
                <w:color w:val="auto"/>
              </w:rPr>
            </w:pPr>
            <w:r>
              <w:rPr>
                <w:rFonts w:ascii="Times New Roman" w:cs="Times New Roman" w:eastAsia="Times New Roman" w:hAnsi="Times New Roman"/>
                <w:sz w:val="19"/>
                <w:szCs w:val="19"/>
                <w:color w:val="231F20"/>
              </w:rPr>
              <w:t>347,500</w:t>
            </w:r>
          </w:p>
        </w:tc>
        <w:tc>
          <w:tcPr>
            <w:tcW w:w="200" w:type="dxa"/>
            <w:vAlign w:val="bottom"/>
            <w:shd w:val="clear" w:color="auto" w:fill="D0EBF2"/>
          </w:tcPr>
          <w:p>
            <w:pPr>
              <w:spacing w:after="0"/>
              <w:rPr>
                <w:sz w:val="17"/>
                <w:szCs w:val="17"/>
                <w:color w:val="auto"/>
              </w:rPr>
            </w:pPr>
          </w:p>
        </w:tc>
        <w:tc>
          <w:tcPr>
            <w:tcW w:w="100" w:type="dxa"/>
            <w:vAlign w:val="bottom"/>
            <w:shd w:val="clear" w:color="auto" w:fill="D0EBF2"/>
          </w:tcPr>
          <w:p>
            <w:pPr>
              <w:spacing w:after="0"/>
              <w:rPr>
                <w:sz w:val="17"/>
                <w:szCs w:val="17"/>
                <w:color w:val="auto"/>
              </w:rPr>
            </w:pPr>
          </w:p>
        </w:tc>
        <w:tc>
          <w:tcPr>
            <w:tcW w:w="100" w:type="dxa"/>
            <w:vAlign w:val="bottom"/>
            <w:shd w:val="clear" w:color="auto" w:fill="D0EBF2"/>
          </w:tcPr>
          <w:p>
            <w:pPr>
              <w:jc w:val="right"/>
              <w:spacing w:after="0" w:line="206" w:lineRule="exact"/>
              <w:rPr>
                <w:sz w:val="20"/>
                <w:szCs w:val="20"/>
                <w:color w:val="auto"/>
              </w:rPr>
            </w:pPr>
            <w:r>
              <w:rPr>
                <w:rFonts w:ascii="Times New Roman" w:cs="Times New Roman" w:eastAsia="Times New Roman" w:hAnsi="Times New Roman"/>
                <w:sz w:val="19"/>
                <w:szCs w:val="19"/>
                <w:color w:val="231F20"/>
                <w:w w:val="83"/>
              </w:rPr>
              <w:t>$</w:t>
            </w:r>
          </w:p>
        </w:tc>
        <w:tc>
          <w:tcPr>
            <w:tcW w:w="1260" w:type="dxa"/>
            <w:vAlign w:val="bottom"/>
            <w:shd w:val="clear" w:color="auto" w:fill="D0EBF2"/>
          </w:tcPr>
          <w:p>
            <w:pPr>
              <w:jc w:val="right"/>
              <w:spacing w:after="0" w:line="206" w:lineRule="exact"/>
              <w:rPr>
                <w:sz w:val="20"/>
                <w:szCs w:val="20"/>
                <w:color w:val="auto"/>
              </w:rPr>
            </w:pPr>
            <w:r>
              <w:rPr>
                <w:rFonts w:ascii="Times New Roman" w:cs="Times New Roman" w:eastAsia="Times New Roman" w:hAnsi="Times New Roman"/>
                <w:sz w:val="19"/>
                <w:szCs w:val="19"/>
                <w:color w:val="231F20"/>
              </w:rPr>
              <w:t>300,000</w:t>
            </w:r>
          </w:p>
        </w:tc>
        <w:tc>
          <w:tcPr>
            <w:tcW w:w="200" w:type="dxa"/>
            <w:vAlign w:val="bottom"/>
            <w:shd w:val="clear" w:color="auto" w:fill="D0EBF2"/>
          </w:tcPr>
          <w:p>
            <w:pPr>
              <w:spacing w:after="0"/>
              <w:rPr>
                <w:sz w:val="17"/>
                <w:szCs w:val="17"/>
                <w:color w:val="auto"/>
              </w:rPr>
            </w:pPr>
          </w:p>
        </w:tc>
        <w:tc>
          <w:tcPr>
            <w:tcW w:w="100" w:type="dxa"/>
            <w:vAlign w:val="bottom"/>
            <w:shd w:val="clear" w:color="auto" w:fill="D0EBF2"/>
          </w:tcPr>
          <w:p>
            <w:pPr>
              <w:spacing w:after="0"/>
              <w:rPr>
                <w:sz w:val="17"/>
                <w:szCs w:val="17"/>
                <w:color w:val="auto"/>
              </w:rPr>
            </w:pPr>
          </w:p>
        </w:tc>
        <w:tc>
          <w:tcPr>
            <w:tcW w:w="180" w:type="dxa"/>
            <w:vAlign w:val="bottom"/>
            <w:shd w:val="clear" w:color="auto" w:fill="D0EBF2"/>
          </w:tcPr>
          <w:p>
            <w:pPr>
              <w:jc w:val="right"/>
              <w:spacing w:after="0" w:line="206" w:lineRule="exact"/>
              <w:rPr>
                <w:sz w:val="20"/>
                <w:szCs w:val="20"/>
                <w:color w:val="auto"/>
              </w:rPr>
            </w:pPr>
            <w:r>
              <w:rPr>
                <w:rFonts w:ascii="Times New Roman" w:cs="Times New Roman" w:eastAsia="Times New Roman" w:hAnsi="Times New Roman"/>
                <w:sz w:val="19"/>
                <w:szCs w:val="19"/>
                <w:color w:val="231F20"/>
                <w:w w:val="83"/>
              </w:rPr>
              <w:t>$</w:t>
            </w:r>
          </w:p>
        </w:tc>
        <w:tc>
          <w:tcPr>
            <w:tcW w:w="1020" w:type="dxa"/>
            <w:vAlign w:val="bottom"/>
            <w:shd w:val="clear" w:color="auto" w:fill="D0EBF2"/>
          </w:tcPr>
          <w:p>
            <w:pPr>
              <w:jc w:val="right"/>
              <w:spacing w:after="0" w:line="206" w:lineRule="exact"/>
              <w:rPr>
                <w:sz w:val="20"/>
                <w:szCs w:val="20"/>
                <w:color w:val="auto"/>
              </w:rPr>
            </w:pPr>
            <w:r>
              <w:rPr>
                <w:rFonts w:ascii="Times New Roman" w:cs="Times New Roman" w:eastAsia="Times New Roman" w:hAnsi="Times New Roman"/>
                <w:sz w:val="19"/>
                <w:szCs w:val="19"/>
                <w:color w:val="231F20"/>
              </w:rPr>
              <w:t>300,000</w:t>
            </w:r>
          </w:p>
        </w:tc>
        <w:tc>
          <w:tcPr>
            <w:tcW w:w="180" w:type="dxa"/>
            <w:vAlign w:val="bottom"/>
            <w:shd w:val="clear" w:color="auto" w:fill="D0EBF2"/>
          </w:tcPr>
          <w:p>
            <w:pPr>
              <w:spacing w:after="0"/>
              <w:rPr>
                <w:sz w:val="17"/>
                <w:szCs w:val="17"/>
                <w:color w:val="auto"/>
              </w:rPr>
            </w:pPr>
          </w:p>
        </w:tc>
      </w:tr>
      <w:tr>
        <w:trPr>
          <w:trHeight w:val="217"/>
        </w:trPr>
        <w:tc>
          <w:tcPr>
            <w:tcW w:w="3980" w:type="dxa"/>
            <w:vAlign w:val="bottom"/>
            <w:shd w:val="clear" w:color="auto" w:fill="FDFDFC"/>
          </w:tcPr>
          <w:p>
            <w:pPr>
              <w:spacing w:after="0" w:line="217" w:lineRule="exact"/>
              <w:rPr>
                <w:sz w:val="20"/>
                <w:szCs w:val="20"/>
                <w:color w:val="auto"/>
              </w:rPr>
            </w:pPr>
            <w:r>
              <w:rPr>
                <w:rFonts w:ascii="Times New Roman" w:cs="Times New Roman" w:eastAsia="Times New Roman" w:hAnsi="Times New Roman"/>
                <w:sz w:val="19"/>
                <w:szCs w:val="19"/>
                <w:color w:val="231F20"/>
              </w:rPr>
              <w:t>Original issue discount, net of accretion</w:t>
            </w:r>
          </w:p>
        </w:tc>
        <w:tc>
          <w:tcPr>
            <w:tcW w:w="160" w:type="dxa"/>
            <w:vAlign w:val="bottom"/>
            <w:shd w:val="clear" w:color="auto" w:fill="FDFDFC"/>
          </w:tcPr>
          <w:p>
            <w:pPr>
              <w:spacing w:after="0"/>
              <w:rPr>
                <w:sz w:val="18"/>
                <w:szCs w:val="18"/>
                <w:color w:val="auto"/>
              </w:rPr>
            </w:pPr>
          </w:p>
        </w:tc>
        <w:tc>
          <w:tcPr>
            <w:tcW w:w="120" w:type="dxa"/>
            <w:vAlign w:val="bottom"/>
            <w:shd w:val="clear" w:color="auto" w:fill="FDFDFC"/>
          </w:tcPr>
          <w:p>
            <w:pPr>
              <w:spacing w:after="0"/>
              <w:rPr>
                <w:sz w:val="18"/>
                <w:szCs w:val="18"/>
                <w:color w:val="auto"/>
              </w:rPr>
            </w:pPr>
          </w:p>
        </w:tc>
        <w:tc>
          <w:tcPr>
            <w:tcW w:w="960" w:type="dxa"/>
            <w:vAlign w:val="bottom"/>
            <w:shd w:val="clear" w:color="auto" w:fill="FDFDFC"/>
          </w:tcPr>
          <w:p>
            <w:pPr>
              <w:jc w:val="right"/>
              <w:spacing w:after="0" w:line="217" w:lineRule="exact"/>
              <w:rPr>
                <w:sz w:val="20"/>
                <w:szCs w:val="20"/>
                <w:color w:val="auto"/>
              </w:rPr>
            </w:pPr>
            <w:r>
              <w:rPr>
                <w:rFonts w:ascii="Times New Roman" w:cs="Times New Roman" w:eastAsia="Times New Roman" w:hAnsi="Times New Roman"/>
                <w:sz w:val="19"/>
                <w:szCs w:val="19"/>
                <w:color w:val="231F20"/>
              </w:rPr>
              <w:t>(335)</w:t>
            </w:r>
          </w:p>
        </w:tc>
        <w:tc>
          <w:tcPr>
            <w:tcW w:w="200" w:type="dxa"/>
            <w:vAlign w:val="bottom"/>
            <w:shd w:val="clear" w:color="auto" w:fill="FDFDFC"/>
          </w:tcPr>
          <w:p>
            <w:pPr>
              <w:spacing w:after="0"/>
              <w:rPr>
                <w:sz w:val="18"/>
                <w:szCs w:val="18"/>
                <w:color w:val="auto"/>
              </w:rPr>
            </w:pPr>
          </w:p>
        </w:tc>
        <w:tc>
          <w:tcPr>
            <w:tcW w:w="100" w:type="dxa"/>
            <w:vAlign w:val="bottom"/>
            <w:shd w:val="clear" w:color="auto" w:fill="FDFDFC"/>
          </w:tcPr>
          <w:p>
            <w:pPr>
              <w:spacing w:after="0"/>
              <w:rPr>
                <w:sz w:val="18"/>
                <w:szCs w:val="18"/>
                <w:color w:val="auto"/>
              </w:rPr>
            </w:pPr>
          </w:p>
        </w:tc>
        <w:tc>
          <w:tcPr>
            <w:tcW w:w="100" w:type="dxa"/>
            <w:vAlign w:val="bottom"/>
            <w:shd w:val="clear" w:color="auto" w:fill="FDFDFC"/>
          </w:tcPr>
          <w:p>
            <w:pPr>
              <w:spacing w:after="0"/>
              <w:rPr>
                <w:sz w:val="18"/>
                <w:szCs w:val="18"/>
                <w:color w:val="auto"/>
              </w:rPr>
            </w:pPr>
          </w:p>
        </w:tc>
        <w:tc>
          <w:tcPr>
            <w:tcW w:w="1260" w:type="dxa"/>
            <w:vAlign w:val="bottom"/>
            <w:shd w:val="clear" w:color="auto" w:fill="FDFDFC"/>
          </w:tcPr>
          <w:p>
            <w:pPr>
              <w:jc w:val="right"/>
              <w:spacing w:after="0" w:line="217" w:lineRule="exact"/>
              <w:rPr>
                <w:sz w:val="20"/>
                <w:szCs w:val="20"/>
                <w:color w:val="auto"/>
              </w:rPr>
            </w:pPr>
            <w:r>
              <w:rPr>
                <w:rFonts w:ascii="Times New Roman" w:cs="Times New Roman" w:eastAsia="Times New Roman" w:hAnsi="Times New Roman"/>
                <w:sz w:val="19"/>
                <w:szCs w:val="19"/>
                <w:color w:val="231F20"/>
              </w:rPr>
              <w:t>(1,072)</w:t>
            </w:r>
          </w:p>
        </w:tc>
        <w:tc>
          <w:tcPr>
            <w:tcW w:w="200" w:type="dxa"/>
            <w:vAlign w:val="bottom"/>
            <w:shd w:val="clear" w:color="auto" w:fill="FDFDFC"/>
          </w:tcPr>
          <w:p>
            <w:pPr>
              <w:spacing w:after="0"/>
              <w:rPr>
                <w:sz w:val="18"/>
                <w:szCs w:val="18"/>
                <w:color w:val="auto"/>
              </w:rPr>
            </w:pPr>
          </w:p>
        </w:tc>
        <w:tc>
          <w:tcPr>
            <w:tcW w:w="100" w:type="dxa"/>
            <w:vAlign w:val="bottom"/>
            <w:shd w:val="clear" w:color="auto" w:fill="FDFDFC"/>
          </w:tcPr>
          <w:p>
            <w:pPr>
              <w:spacing w:after="0"/>
              <w:rPr>
                <w:sz w:val="18"/>
                <w:szCs w:val="18"/>
                <w:color w:val="auto"/>
              </w:rPr>
            </w:pPr>
          </w:p>
        </w:tc>
        <w:tc>
          <w:tcPr>
            <w:tcW w:w="180" w:type="dxa"/>
            <w:vAlign w:val="bottom"/>
            <w:shd w:val="clear" w:color="auto" w:fill="FDFDFC"/>
          </w:tcPr>
          <w:p>
            <w:pPr>
              <w:spacing w:after="0"/>
              <w:rPr>
                <w:sz w:val="18"/>
                <w:szCs w:val="18"/>
                <w:color w:val="auto"/>
              </w:rPr>
            </w:pPr>
          </w:p>
        </w:tc>
        <w:tc>
          <w:tcPr>
            <w:tcW w:w="1020" w:type="dxa"/>
            <w:vAlign w:val="bottom"/>
            <w:shd w:val="clear" w:color="auto" w:fill="FDFDFC"/>
          </w:tcPr>
          <w:p>
            <w:pPr>
              <w:jc w:val="right"/>
              <w:spacing w:after="0" w:line="217" w:lineRule="exact"/>
              <w:rPr>
                <w:sz w:val="20"/>
                <w:szCs w:val="20"/>
                <w:color w:val="auto"/>
              </w:rPr>
            </w:pPr>
            <w:r>
              <w:rPr>
                <w:rFonts w:ascii="Times New Roman" w:cs="Times New Roman" w:eastAsia="Times New Roman" w:hAnsi="Times New Roman"/>
                <w:sz w:val="19"/>
                <w:szCs w:val="19"/>
                <w:color w:val="231F20"/>
              </w:rPr>
              <w:t>(1,675)</w:t>
            </w:r>
          </w:p>
        </w:tc>
        <w:tc>
          <w:tcPr>
            <w:tcW w:w="180" w:type="dxa"/>
            <w:vAlign w:val="bottom"/>
            <w:shd w:val="clear" w:color="auto" w:fill="FDFDFC"/>
          </w:tcPr>
          <w:p>
            <w:pPr>
              <w:spacing w:after="0"/>
              <w:rPr>
                <w:sz w:val="18"/>
                <w:szCs w:val="18"/>
                <w:color w:val="auto"/>
              </w:rPr>
            </w:pPr>
          </w:p>
        </w:tc>
      </w:tr>
      <w:tr>
        <w:trPr>
          <w:trHeight w:val="217"/>
        </w:trPr>
        <w:tc>
          <w:tcPr>
            <w:tcW w:w="3980" w:type="dxa"/>
            <w:vAlign w:val="bottom"/>
            <w:shd w:val="clear" w:color="auto" w:fill="D0EBF2"/>
          </w:tcPr>
          <w:p>
            <w:pPr>
              <w:spacing w:after="0" w:line="217" w:lineRule="exact"/>
              <w:rPr>
                <w:sz w:val="20"/>
                <w:szCs w:val="20"/>
                <w:color w:val="auto"/>
              </w:rPr>
            </w:pPr>
            <w:r>
              <w:rPr>
                <w:rFonts w:ascii="Times New Roman" w:cs="Times New Roman" w:eastAsia="Times New Roman" w:hAnsi="Times New Roman"/>
                <w:sz w:val="19"/>
                <w:szCs w:val="19"/>
                <w:color w:val="231F20"/>
              </w:rPr>
              <w:t>Deferred financing costs</w:t>
            </w:r>
          </w:p>
        </w:tc>
        <w:tc>
          <w:tcPr>
            <w:tcW w:w="160" w:type="dxa"/>
            <w:vAlign w:val="bottom"/>
            <w:shd w:val="clear" w:color="auto" w:fill="D0EBF2"/>
          </w:tcPr>
          <w:p>
            <w:pPr>
              <w:spacing w:after="0"/>
              <w:rPr>
                <w:sz w:val="18"/>
                <w:szCs w:val="18"/>
                <w:color w:val="auto"/>
              </w:rPr>
            </w:pPr>
          </w:p>
        </w:tc>
        <w:tc>
          <w:tcPr>
            <w:tcW w:w="120" w:type="dxa"/>
            <w:vAlign w:val="bottom"/>
            <w:shd w:val="clear" w:color="auto" w:fill="D0EBF2"/>
          </w:tcPr>
          <w:p>
            <w:pPr>
              <w:spacing w:after="0"/>
              <w:rPr>
                <w:sz w:val="18"/>
                <w:szCs w:val="18"/>
                <w:color w:val="auto"/>
              </w:rPr>
            </w:pPr>
          </w:p>
        </w:tc>
        <w:tc>
          <w:tcPr>
            <w:tcW w:w="1160" w:type="dxa"/>
            <w:vAlign w:val="bottom"/>
            <w:gridSpan w:val="2"/>
            <w:shd w:val="clear" w:color="auto" w:fill="D0EBF2"/>
          </w:tcPr>
          <w:p>
            <w:pPr>
              <w:jc w:val="right"/>
              <w:ind w:right="140"/>
              <w:spacing w:after="0" w:line="217" w:lineRule="exact"/>
              <w:rPr>
                <w:sz w:val="20"/>
                <w:szCs w:val="20"/>
                <w:color w:val="auto"/>
              </w:rPr>
            </w:pPr>
            <w:r>
              <w:rPr>
                <w:rFonts w:ascii="Times New Roman" w:cs="Times New Roman" w:eastAsia="Times New Roman" w:hAnsi="Times New Roman"/>
                <w:sz w:val="19"/>
                <w:szCs w:val="19"/>
                <w:color w:val="231F20"/>
              </w:rPr>
              <w:t>(852)</w:t>
            </w:r>
          </w:p>
        </w:tc>
        <w:tc>
          <w:tcPr>
            <w:tcW w:w="100" w:type="dxa"/>
            <w:vAlign w:val="bottom"/>
            <w:shd w:val="clear" w:color="auto" w:fill="D0EBF2"/>
          </w:tcPr>
          <w:p>
            <w:pPr>
              <w:spacing w:after="0"/>
              <w:rPr>
                <w:sz w:val="18"/>
                <w:szCs w:val="18"/>
                <w:color w:val="auto"/>
              </w:rPr>
            </w:pPr>
          </w:p>
        </w:tc>
        <w:tc>
          <w:tcPr>
            <w:tcW w:w="100" w:type="dxa"/>
            <w:vAlign w:val="bottom"/>
            <w:shd w:val="clear" w:color="auto" w:fill="D0EBF2"/>
          </w:tcPr>
          <w:p>
            <w:pPr>
              <w:spacing w:after="0"/>
              <w:rPr>
                <w:sz w:val="18"/>
                <w:szCs w:val="18"/>
                <w:color w:val="auto"/>
              </w:rPr>
            </w:pPr>
          </w:p>
        </w:tc>
        <w:tc>
          <w:tcPr>
            <w:tcW w:w="1460" w:type="dxa"/>
            <w:vAlign w:val="bottom"/>
            <w:gridSpan w:val="2"/>
            <w:shd w:val="clear" w:color="auto" w:fill="D0EBF2"/>
          </w:tcPr>
          <w:p>
            <w:pPr>
              <w:jc w:val="right"/>
              <w:ind w:right="140"/>
              <w:spacing w:after="0" w:line="217" w:lineRule="exact"/>
              <w:rPr>
                <w:sz w:val="20"/>
                <w:szCs w:val="20"/>
                <w:color w:val="auto"/>
              </w:rPr>
            </w:pPr>
            <w:r>
              <w:rPr>
                <w:rFonts w:ascii="Times New Roman" w:cs="Times New Roman" w:eastAsia="Times New Roman" w:hAnsi="Times New Roman"/>
                <w:sz w:val="19"/>
                <w:szCs w:val="19"/>
                <w:color w:val="231F20"/>
              </w:rPr>
              <w:t>(1,932)</w:t>
            </w:r>
          </w:p>
        </w:tc>
        <w:tc>
          <w:tcPr>
            <w:tcW w:w="100" w:type="dxa"/>
            <w:vAlign w:val="bottom"/>
            <w:shd w:val="clear" w:color="auto" w:fill="D0EBF2"/>
          </w:tcPr>
          <w:p>
            <w:pPr>
              <w:spacing w:after="0"/>
              <w:rPr>
                <w:sz w:val="18"/>
                <w:szCs w:val="18"/>
                <w:color w:val="auto"/>
              </w:rPr>
            </w:pPr>
          </w:p>
        </w:tc>
        <w:tc>
          <w:tcPr>
            <w:tcW w:w="180" w:type="dxa"/>
            <w:vAlign w:val="bottom"/>
            <w:shd w:val="clear" w:color="auto" w:fill="D0EBF2"/>
          </w:tcPr>
          <w:p>
            <w:pPr>
              <w:spacing w:after="0"/>
              <w:rPr>
                <w:sz w:val="18"/>
                <w:szCs w:val="18"/>
                <w:color w:val="auto"/>
              </w:rPr>
            </w:pPr>
          </w:p>
        </w:tc>
        <w:tc>
          <w:tcPr>
            <w:tcW w:w="1200" w:type="dxa"/>
            <w:vAlign w:val="bottom"/>
            <w:gridSpan w:val="2"/>
            <w:shd w:val="clear" w:color="auto" w:fill="D0EBF2"/>
          </w:tcPr>
          <w:p>
            <w:pPr>
              <w:jc w:val="right"/>
              <w:ind w:right="120"/>
              <w:spacing w:after="0" w:line="217" w:lineRule="exact"/>
              <w:rPr>
                <w:sz w:val="20"/>
                <w:szCs w:val="20"/>
                <w:color w:val="auto"/>
              </w:rPr>
            </w:pPr>
            <w:r>
              <w:rPr>
                <w:rFonts w:ascii="Times New Roman" w:cs="Times New Roman" w:eastAsia="Times New Roman" w:hAnsi="Times New Roman"/>
                <w:sz w:val="19"/>
                <w:szCs w:val="19"/>
                <w:color w:val="231F20"/>
              </w:rPr>
              <w:t>(3,994)</w:t>
            </w:r>
          </w:p>
        </w:tc>
      </w:tr>
      <w:tr>
        <w:trPr>
          <w:trHeight w:val="217"/>
        </w:trPr>
        <w:tc>
          <w:tcPr>
            <w:tcW w:w="3980" w:type="dxa"/>
            <w:vAlign w:val="bottom"/>
            <w:shd w:val="clear" w:color="auto" w:fill="FDFDFC"/>
          </w:tcPr>
          <w:p>
            <w:pPr>
              <w:spacing w:after="0" w:line="217" w:lineRule="exact"/>
              <w:rPr>
                <w:sz w:val="20"/>
                <w:szCs w:val="20"/>
                <w:color w:val="auto"/>
              </w:rPr>
            </w:pPr>
            <w:r>
              <w:rPr>
                <w:rFonts w:ascii="Times New Roman" w:cs="Times New Roman" w:eastAsia="Times New Roman" w:hAnsi="Times New Roman"/>
                <w:sz w:val="19"/>
                <w:szCs w:val="19"/>
                <w:color w:val="231F20"/>
              </w:rPr>
              <w:t>Fair value of an effective hedge</w:t>
            </w:r>
          </w:p>
        </w:tc>
        <w:tc>
          <w:tcPr>
            <w:tcW w:w="160" w:type="dxa"/>
            <w:vAlign w:val="bottom"/>
            <w:shd w:val="clear" w:color="auto" w:fill="FDFDFC"/>
          </w:tcPr>
          <w:p>
            <w:pPr>
              <w:spacing w:after="0"/>
              <w:rPr>
                <w:sz w:val="18"/>
                <w:szCs w:val="18"/>
                <w:color w:val="auto"/>
              </w:rPr>
            </w:pPr>
          </w:p>
        </w:tc>
        <w:tc>
          <w:tcPr>
            <w:tcW w:w="120" w:type="dxa"/>
            <w:vAlign w:val="bottom"/>
            <w:shd w:val="clear" w:color="auto" w:fill="FDFDFC"/>
          </w:tcPr>
          <w:p>
            <w:pPr>
              <w:spacing w:after="0"/>
              <w:rPr>
                <w:sz w:val="18"/>
                <w:szCs w:val="18"/>
                <w:color w:val="auto"/>
              </w:rPr>
            </w:pPr>
          </w:p>
        </w:tc>
        <w:tc>
          <w:tcPr>
            <w:tcW w:w="1160" w:type="dxa"/>
            <w:vAlign w:val="bottom"/>
            <w:gridSpan w:val="2"/>
            <w:shd w:val="clear" w:color="auto" w:fill="FDFDFC"/>
          </w:tcPr>
          <w:p>
            <w:pPr>
              <w:jc w:val="right"/>
              <w:ind w:right="140"/>
              <w:spacing w:after="0" w:line="217" w:lineRule="exact"/>
              <w:rPr>
                <w:sz w:val="20"/>
                <w:szCs w:val="20"/>
                <w:color w:val="auto"/>
              </w:rPr>
            </w:pPr>
            <w:r>
              <w:rPr>
                <w:rFonts w:ascii="Times New Roman" w:cs="Times New Roman" w:eastAsia="Times New Roman" w:hAnsi="Times New Roman"/>
                <w:sz w:val="19"/>
                <w:szCs w:val="19"/>
                <w:color w:val="231F20"/>
              </w:rPr>
              <w:t>(10,409)</w:t>
            </w:r>
          </w:p>
        </w:tc>
        <w:tc>
          <w:tcPr>
            <w:tcW w:w="100" w:type="dxa"/>
            <w:vAlign w:val="bottom"/>
            <w:shd w:val="clear" w:color="auto" w:fill="FDFDFC"/>
          </w:tcPr>
          <w:p>
            <w:pPr>
              <w:spacing w:after="0"/>
              <w:rPr>
                <w:sz w:val="18"/>
                <w:szCs w:val="18"/>
                <w:color w:val="auto"/>
              </w:rPr>
            </w:pPr>
          </w:p>
        </w:tc>
        <w:tc>
          <w:tcPr>
            <w:tcW w:w="100" w:type="dxa"/>
            <w:vAlign w:val="bottom"/>
            <w:shd w:val="clear" w:color="auto" w:fill="FDFDFC"/>
          </w:tcPr>
          <w:p>
            <w:pPr>
              <w:spacing w:after="0"/>
              <w:rPr>
                <w:sz w:val="18"/>
                <w:szCs w:val="18"/>
                <w:color w:val="auto"/>
              </w:rPr>
            </w:pPr>
          </w:p>
        </w:tc>
        <w:tc>
          <w:tcPr>
            <w:tcW w:w="1460" w:type="dxa"/>
            <w:vAlign w:val="bottom"/>
            <w:gridSpan w:val="2"/>
            <w:shd w:val="clear" w:color="auto" w:fill="FDFDFC"/>
          </w:tcPr>
          <w:p>
            <w:pPr>
              <w:jc w:val="right"/>
              <w:ind w:right="140"/>
              <w:spacing w:after="0" w:line="217" w:lineRule="exact"/>
              <w:rPr>
                <w:sz w:val="20"/>
                <w:szCs w:val="20"/>
                <w:color w:val="auto"/>
              </w:rPr>
            </w:pPr>
            <w:r>
              <w:rPr>
                <w:rFonts w:ascii="Times New Roman" w:cs="Times New Roman" w:eastAsia="Times New Roman" w:hAnsi="Times New Roman"/>
                <w:sz w:val="19"/>
                <w:szCs w:val="19"/>
                <w:color w:val="231F20"/>
              </w:rPr>
              <w:t>(26,111)</w:t>
            </w:r>
          </w:p>
        </w:tc>
        <w:tc>
          <w:tcPr>
            <w:tcW w:w="100" w:type="dxa"/>
            <w:vAlign w:val="bottom"/>
            <w:shd w:val="clear" w:color="auto" w:fill="FDFDFC"/>
          </w:tcPr>
          <w:p>
            <w:pPr>
              <w:spacing w:after="0"/>
              <w:rPr>
                <w:sz w:val="18"/>
                <w:szCs w:val="18"/>
                <w:color w:val="auto"/>
              </w:rPr>
            </w:pPr>
          </w:p>
        </w:tc>
        <w:tc>
          <w:tcPr>
            <w:tcW w:w="180" w:type="dxa"/>
            <w:vAlign w:val="bottom"/>
            <w:shd w:val="clear" w:color="auto" w:fill="FDFDFC"/>
          </w:tcPr>
          <w:p>
            <w:pPr>
              <w:spacing w:after="0"/>
              <w:rPr>
                <w:sz w:val="18"/>
                <w:szCs w:val="18"/>
                <w:color w:val="auto"/>
              </w:rPr>
            </w:pPr>
          </w:p>
        </w:tc>
        <w:tc>
          <w:tcPr>
            <w:tcW w:w="1020" w:type="dxa"/>
            <w:vAlign w:val="bottom"/>
            <w:shd w:val="clear" w:color="auto" w:fill="FDFDFC"/>
          </w:tcPr>
          <w:p>
            <w:pPr>
              <w:jc w:val="right"/>
              <w:spacing w:after="0" w:line="217" w:lineRule="exact"/>
              <w:rPr>
                <w:sz w:val="20"/>
                <w:szCs w:val="20"/>
                <w:color w:val="auto"/>
              </w:rPr>
            </w:pPr>
            <w:r>
              <w:rPr>
                <w:rFonts w:ascii="Times New Roman" w:cs="Times New Roman" w:eastAsia="Times New Roman" w:hAnsi="Times New Roman"/>
                <w:sz w:val="19"/>
                <w:szCs w:val="19"/>
                <w:color w:val="231F20"/>
              </w:rPr>
              <w:t>4,680</w:t>
            </w:r>
          </w:p>
        </w:tc>
        <w:tc>
          <w:tcPr>
            <w:tcW w:w="180" w:type="dxa"/>
            <w:vAlign w:val="bottom"/>
            <w:shd w:val="clear" w:color="auto" w:fill="FDFDFC"/>
          </w:tcPr>
          <w:p>
            <w:pPr>
              <w:spacing w:after="0"/>
              <w:rPr>
                <w:sz w:val="18"/>
                <w:szCs w:val="18"/>
                <w:color w:val="auto"/>
              </w:rPr>
            </w:pPr>
          </w:p>
        </w:tc>
      </w:tr>
      <w:tr>
        <w:trPr>
          <w:trHeight w:val="247"/>
        </w:trPr>
        <w:tc>
          <w:tcPr>
            <w:tcW w:w="3980" w:type="dxa"/>
            <w:vAlign w:val="bottom"/>
            <w:tcBorders>
              <w:top w:val="single" w:sz="8" w:color="D0EBF2"/>
              <w:bottom w:val="single" w:sz="8" w:color="FDFDFC"/>
            </w:tcBorders>
            <w:shd w:val="clear" w:color="auto" w:fill="D0EBF2"/>
          </w:tcPr>
          <w:p>
            <w:pPr>
              <w:spacing w:after="0" w:line="206" w:lineRule="exact"/>
              <w:rPr>
                <w:sz w:val="20"/>
                <w:szCs w:val="20"/>
                <w:color w:val="auto"/>
              </w:rPr>
            </w:pPr>
            <w:r>
              <w:rPr>
                <w:rFonts w:ascii="Times New Roman" w:cs="Times New Roman" w:eastAsia="Times New Roman" w:hAnsi="Times New Roman"/>
                <w:sz w:val="19"/>
                <w:szCs w:val="19"/>
                <w:b w:val="1"/>
                <w:bCs w:val="1"/>
                <w:color w:val="231F20"/>
              </w:rPr>
              <w:t>Carrying value of debt</w:t>
            </w:r>
          </w:p>
        </w:tc>
        <w:tc>
          <w:tcPr>
            <w:tcW w:w="160" w:type="dxa"/>
            <w:vAlign w:val="bottom"/>
            <w:tcBorders>
              <w:top w:val="single" w:sz="8" w:color="D0EBF2"/>
              <w:bottom w:val="single" w:sz="8" w:color="FDFDFC"/>
            </w:tcBorders>
            <w:shd w:val="clear" w:color="auto" w:fill="D0EBF2"/>
          </w:tcPr>
          <w:p>
            <w:pPr>
              <w:spacing w:after="0"/>
              <w:rPr>
                <w:sz w:val="21"/>
                <w:szCs w:val="21"/>
                <w:color w:val="auto"/>
              </w:rPr>
            </w:pPr>
          </w:p>
        </w:tc>
        <w:tc>
          <w:tcPr>
            <w:tcW w:w="120" w:type="dxa"/>
            <w:vAlign w:val="bottom"/>
            <w:tcBorders>
              <w:top w:val="single" w:sz="8" w:color="231F20"/>
              <w:bottom w:val="single" w:sz="8" w:color="231F20"/>
            </w:tcBorders>
            <w:shd w:val="clear" w:color="auto" w:fill="D0EBF2"/>
          </w:tcPr>
          <w:p>
            <w:pPr>
              <w:jc w:val="right"/>
              <w:spacing w:after="0"/>
              <w:rPr>
                <w:sz w:val="20"/>
                <w:szCs w:val="20"/>
                <w:color w:val="auto"/>
              </w:rPr>
            </w:pPr>
            <w:r>
              <w:rPr>
                <w:rFonts w:ascii="Times New Roman" w:cs="Times New Roman" w:eastAsia="Times New Roman" w:hAnsi="Times New Roman"/>
                <w:sz w:val="17"/>
                <w:szCs w:val="17"/>
                <w:color w:val="231F20"/>
                <w:w w:val="70"/>
              </w:rPr>
              <w:t>$</w:t>
            </w:r>
          </w:p>
        </w:tc>
        <w:tc>
          <w:tcPr>
            <w:tcW w:w="960" w:type="dxa"/>
            <w:vAlign w:val="bottom"/>
            <w:tcBorders>
              <w:top w:val="single" w:sz="8" w:color="231F20"/>
              <w:bottom w:val="single" w:sz="8" w:color="231F20"/>
            </w:tcBorders>
            <w:shd w:val="clear" w:color="auto" w:fill="D0EBF2"/>
          </w:tcPr>
          <w:p>
            <w:pPr>
              <w:jc w:val="right"/>
              <w:spacing w:after="0" w:line="206" w:lineRule="exact"/>
              <w:rPr>
                <w:sz w:val="20"/>
                <w:szCs w:val="20"/>
                <w:color w:val="auto"/>
              </w:rPr>
            </w:pPr>
            <w:r>
              <w:rPr>
                <w:rFonts w:ascii="Times New Roman" w:cs="Times New Roman" w:eastAsia="Times New Roman" w:hAnsi="Times New Roman"/>
                <w:sz w:val="19"/>
                <w:szCs w:val="19"/>
                <w:color w:val="231F20"/>
              </w:rPr>
              <w:t>335,904</w:t>
            </w:r>
          </w:p>
        </w:tc>
        <w:tc>
          <w:tcPr>
            <w:tcW w:w="200" w:type="dxa"/>
            <w:vAlign w:val="bottom"/>
            <w:tcBorders>
              <w:top w:val="single" w:sz="8" w:color="D0EBF2"/>
            </w:tcBorders>
            <w:shd w:val="clear" w:color="auto" w:fill="D0EBF2"/>
          </w:tcPr>
          <w:p>
            <w:pPr>
              <w:spacing w:after="0"/>
              <w:rPr>
                <w:sz w:val="21"/>
                <w:szCs w:val="21"/>
                <w:color w:val="auto"/>
              </w:rPr>
            </w:pPr>
          </w:p>
        </w:tc>
        <w:tc>
          <w:tcPr>
            <w:tcW w:w="100" w:type="dxa"/>
            <w:vAlign w:val="bottom"/>
            <w:tcBorders>
              <w:top w:val="single" w:sz="8" w:color="D0EBF2"/>
            </w:tcBorders>
            <w:shd w:val="clear" w:color="auto" w:fill="D0EBF2"/>
          </w:tcPr>
          <w:p>
            <w:pPr>
              <w:spacing w:after="0"/>
              <w:rPr>
                <w:sz w:val="21"/>
                <w:szCs w:val="21"/>
                <w:color w:val="auto"/>
              </w:rPr>
            </w:pPr>
          </w:p>
        </w:tc>
        <w:tc>
          <w:tcPr>
            <w:tcW w:w="100" w:type="dxa"/>
            <w:vAlign w:val="bottom"/>
            <w:tcBorders>
              <w:top w:val="single" w:sz="8" w:color="231F20"/>
              <w:bottom w:val="single" w:sz="8" w:color="231F20"/>
            </w:tcBorders>
            <w:shd w:val="clear" w:color="auto" w:fill="D0EBF2"/>
          </w:tcPr>
          <w:p>
            <w:pPr>
              <w:jc w:val="right"/>
              <w:spacing w:after="0" w:line="206" w:lineRule="exact"/>
              <w:rPr>
                <w:sz w:val="20"/>
                <w:szCs w:val="20"/>
                <w:color w:val="auto"/>
              </w:rPr>
            </w:pPr>
            <w:r>
              <w:rPr>
                <w:rFonts w:ascii="Times New Roman" w:cs="Times New Roman" w:eastAsia="Times New Roman" w:hAnsi="Times New Roman"/>
                <w:sz w:val="19"/>
                <w:szCs w:val="19"/>
                <w:color w:val="231F20"/>
                <w:w w:val="83"/>
              </w:rPr>
              <w:t>$</w:t>
            </w:r>
          </w:p>
        </w:tc>
        <w:tc>
          <w:tcPr>
            <w:tcW w:w="1260" w:type="dxa"/>
            <w:vAlign w:val="bottom"/>
            <w:tcBorders>
              <w:top w:val="single" w:sz="8" w:color="231F20"/>
              <w:bottom w:val="single" w:sz="8" w:color="231F20"/>
            </w:tcBorders>
            <w:shd w:val="clear" w:color="auto" w:fill="D0EBF2"/>
          </w:tcPr>
          <w:p>
            <w:pPr>
              <w:jc w:val="right"/>
              <w:spacing w:after="0" w:line="206" w:lineRule="exact"/>
              <w:rPr>
                <w:sz w:val="20"/>
                <w:szCs w:val="20"/>
                <w:color w:val="auto"/>
              </w:rPr>
            </w:pPr>
            <w:r>
              <w:rPr>
                <w:rFonts w:ascii="Times New Roman" w:cs="Times New Roman" w:eastAsia="Times New Roman" w:hAnsi="Times New Roman"/>
                <w:sz w:val="19"/>
                <w:szCs w:val="19"/>
                <w:color w:val="231F20"/>
              </w:rPr>
              <w:t>270,885</w:t>
            </w:r>
          </w:p>
        </w:tc>
        <w:tc>
          <w:tcPr>
            <w:tcW w:w="200" w:type="dxa"/>
            <w:vAlign w:val="bottom"/>
            <w:tcBorders>
              <w:top w:val="single" w:sz="8" w:color="D0EBF2"/>
            </w:tcBorders>
            <w:shd w:val="clear" w:color="auto" w:fill="D0EBF2"/>
          </w:tcPr>
          <w:p>
            <w:pPr>
              <w:spacing w:after="0"/>
              <w:rPr>
                <w:sz w:val="21"/>
                <w:szCs w:val="21"/>
                <w:color w:val="auto"/>
              </w:rPr>
            </w:pPr>
          </w:p>
        </w:tc>
        <w:tc>
          <w:tcPr>
            <w:tcW w:w="100" w:type="dxa"/>
            <w:vAlign w:val="bottom"/>
            <w:tcBorders>
              <w:top w:val="single" w:sz="8" w:color="D0EBF2"/>
            </w:tcBorders>
            <w:shd w:val="clear" w:color="auto" w:fill="D0EBF2"/>
          </w:tcPr>
          <w:p>
            <w:pPr>
              <w:spacing w:after="0"/>
              <w:rPr>
                <w:sz w:val="21"/>
                <w:szCs w:val="21"/>
                <w:color w:val="auto"/>
              </w:rPr>
            </w:pPr>
          </w:p>
        </w:tc>
        <w:tc>
          <w:tcPr>
            <w:tcW w:w="180" w:type="dxa"/>
            <w:vAlign w:val="bottom"/>
            <w:tcBorders>
              <w:top w:val="single" w:sz="8" w:color="231F20"/>
              <w:bottom w:val="single" w:sz="8" w:color="231F20"/>
            </w:tcBorders>
            <w:shd w:val="clear" w:color="auto" w:fill="D0EBF2"/>
          </w:tcPr>
          <w:p>
            <w:pPr>
              <w:jc w:val="right"/>
              <w:spacing w:after="0" w:line="206" w:lineRule="exact"/>
              <w:rPr>
                <w:sz w:val="20"/>
                <w:szCs w:val="20"/>
                <w:color w:val="auto"/>
              </w:rPr>
            </w:pPr>
            <w:r>
              <w:rPr>
                <w:rFonts w:ascii="Times New Roman" w:cs="Times New Roman" w:eastAsia="Times New Roman" w:hAnsi="Times New Roman"/>
                <w:sz w:val="19"/>
                <w:szCs w:val="19"/>
                <w:color w:val="231F20"/>
                <w:w w:val="83"/>
              </w:rPr>
              <w:t>$</w:t>
            </w:r>
          </w:p>
        </w:tc>
        <w:tc>
          <w:tcPr>
            <w:tcW w:w="1020" w:type="dxa"/>
            <w:vAlign w:val="bottom"/>
            <w:tcBorders>
              <w:top w:val="single" w:sz="8" w:color="231F20"/>
              <w:bottom w:val="single" w:sz="8" w:color="231F20"/>
            </w:tcBorders>
            <w:shd w:val="clear" w:color="auto" w:fill="D0EBF2"/>
          </w:tcPr>
          <w:p>
            <w:pPr>
              <w:jc w:val="right"/>
              <w:spacing w:after="0" w:line="206" w:lineRule="exact"/>
              <w:rPr>
                <w:sz w:val="20"/>
                <w:szCs w:val="20"/>
                <w:color w:val="auto"/>
              </w:rPr>
            </w:pPr>
            <w:r>
              <w:rPr>
                <w:rFonts w:ascii="Times New Roman" w:cs="Times New Roman" w:eastAsia="Times New Roman" w:hAnsi="Times New Roman"/>
                <w:sz w:val="19"/>
                <w:szCs w:val="19"/>
                <w:color w:val="231F20"/>
              </w:rPr>
              <w:t>299,011</w:t>
            </w:r>
          </w:p>
        </w:tc>
        <w:tc>
          <w:tcPr>
            <w:tcW w:w="180" w:type="dxa"/>
            <w:vAlign w:val="bottom"/>
            <w:tcBorders>
              <w:top w:val="single" w:sz="8" w:color="D0EBF2"/>
            </w:tcBorders>
            <w:shd w:val="clear" w:color="auto" w:fill="D0EBF2"/>
          </w:tcPr>
          <w:p>
            <w:pPr>
              <w:spacing w:after="0"/>
              <w:rPr>
                <w:sz w:val="21"/>
                <w:szCs w:val="21"/>
                <w:color w:val="auto"/>
              </w:rPr>
            </w:pPr>
          </w:p>
        </w:tc>
      </w:tr>
      <w:tr>
        <w:trPr>
          <w:trHeight w:val="200"/>
        </w:trPr>
        <w:tc>
          <w:tcPr>
            <w:tcW w:w="3980" w:type="dxa"/>
            <w:vAlign w:val="bottom"/>
            <w:shd w:val="clear" w:color="auto" w:fill="FDFDFC"/>
          </w:tcPr>
          <w:p>
            <w:pPr>
              <w:spacing w:after="0" w:line="200" w:lineRule="exact"/>
              <w:rPr>
                <w:sz w:val="20"/>
                <w:szCs w:val="20"/>
                <w:color w:val="auto"/>
              </w:rPr>
            </w:pPr>
            <w:r>
              <w:rPr>
                <w:rFonts w:ascii="Times New Roman" w:cs="Times New Roman" w:eastAsia="Times New Roman" w:hAnsi="Times New Roman"/>
                <w:sz w:val="19"/>
                <w:szCs w:val="19"/>
                <w:color w:val="231F20"/>
              </w:rPr>
              <w:t>Stated interest rate</w:t>
            </w:r>
          </w:p>
        </w:tc>
        <w:tc>
          <w:tcPr>
            <w:tcW w:w="160" w:type="dxa"/>
            <w:vAlign w:val="bottom"/>
            <w:shd w:val="clear" w:color="auto" w:fill="FDFDFC"/>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gridSpan w:val="2"/>
          </w:tcPr>
          <w:p>
            <w:pPr>
              <w:jc w:val="right"/>
              <w:ind w:right="60"/>
              <w:spacing w:after="0" w:line="200" w:lineRule="exact"/>
              <w:rPr>
                <w:sz w:val="20"/>
                <w:szCs w:val="20"/>
                <w:color w:val="auto"/>
              </w:rPr>
            </w:pPr>
            <w:r>
              <w:rPr>
                <w:rFonts w:ascii="Times New Roman" w:cs="Times New Roman" w:eastAsia="Times New Roman" w:hAnsi="Times New Roman"/>
                <w:sz w:val="19"/>
                <w:szCs w:val="19"/>
                <w:color w:val="231F20"/>
              </w:rPr>
              <w:t>3.88%</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60" w:type="dxa"/>
            <w:vAlign w:val="bottom"/>
            <w:gridSpan w:val="2"/>
          </w:tcPr>
          <w:p>
            <w:pPr>
              <w:jc w:val="right"/>
              <w:ind w:right="40"/>
              <w:spacing w:after="0" w:line="200" w:lineRule="exact"/>
              <w:rPr>
                <w:sz w:val="20"/>
                <w:szCs w:val="20"/>
                <w:color w:val="auto"/>
              </w:rPr>
            </w:pPr>
            <w:r>
              <w:rPr>
                <w:rFonts w:ascii="Times New Roman" w:cs="Times New Roman" w:eastAsia="Times New Roman" w:hAnsi="Times New Roman"/>
                <w:sz w:val="19"/>
                <w:szCs w:val="19"/>
                <w:color w:val="231F20"/>
              </w:rPr>
              <w:t>2.50%</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gridSpan w:val="2"/>
          </w:tcPr>
          <w:p>
            <w:pPr>
              <w:jc w:val="right"/>
              <w:ind w:right="20"/>
              <w:spacing w:after="0" w:line="200" w:lineRule="exact"/>
              <w:rPr>
                <w:sz w:val="20"/>
                <w:szCs w:val="20"/>
                <w:color w:val="auto"/>
              </w:rPr>
            </w:pPr>
            <w:r>
              <w:rPr>
                <w:rFonts w:ascii="Times New Roman" w:cs="Times New Roman" w:eastAsia="Times New Roman" w:hAnsi="Times New Roman"/>
                <w:sz w:val="19"/>
                <w:szCs w:val="19"/>
                <w:color w:val="231F20"/>
              </w:rPr>
              <w:t>6.95%</w:t>
            </w: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3143250</wp:posOffset>
                </wp:positionH>
                <wp:positionV relativeFrom="paragraph">
                  <wp:posOffset>-137795</wp:posOffset>
                </wp:positionV>
                <wp:extent cx="686435" cy="137795"/>
                <wp:wrapNone/>
                <wp:docPr id="93" name="Shape 9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6435" cy="137795"/>
                        </a:xfrm>
                        <a:prstGeom prst="rect">
                          <a:avLst/>
                        </a:prstGeom>
                        <a:solidFill>
                          <a:srgbClr val="FDFDFC"/>
                        </a:solidFill>
                      </wps:spPr>
                      <wps:bodyPr/>
                    </wps:wsp>
                  </a:graphicData>
                </a:graphic>
              </wp:anchor>
            </w:drawing>
          </mc:Choice>
          <mc:Fallback>
            <w:pict>
              <v:rect id="Shape 93" o:spid="_x0000_s1118" style="position:absolute;margin-left:247.5pt;margin-top:-10.8499pt;width:54.05pt;height:10.8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FDFDFC" stroked="f"/>
            </w:pict>
          </mc:Fallback>
        </mc:AlternateContent>
        <mc:AlternateContent>
          <mc:Choice Requires="wps">
            <w:drawing>
              <wp:anchor simplePos="0" relativeHeight="251657728" behindDoc="1" locked="0" layoutInCell="0" allowOverlap="1">
                <wp:simplePos x="0" y="0"/>
                <wp:positionH relativeFrom="column">
                  <wp:posOffset>3829685</wp:posOffset>
                </wp:positionH>
                <wp:positionV relativeFrom="paragraph">
                  <wp:posOffset>-164465</wp:posOffset>
                </wp:positionV>
                <wp:extent cx="194945" cy="164465"/>
                <wp:wrapNone/>
                <wp:docPr id="94" name="Shape 9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94945" cy="164465"/>
                        </a:xfrm>
                        <a:prstGeom prst="rect">
                          <a:avLst/>
                        </a:prstGeom>
                        <a:solidFill>
                          <a:srgbClr val="FDFDFC"/>
                        </a:solidFill>
                      </wps:spPr>
                      <wps:bodyPr/>
                    </wps:wsp>
                  </a:graphicData>
                </a:graphic>
              </wp:anchor>
            </w:drawing>
          </mc:Choice>
          <mc:Fallback>
            <w:pict>
              <v:rect id="Shape 94" o:spid="_x0000_s1119" style="position:absolute;margin-left:301.55pt;margin-top:-12.9499pt;width:15.35pt;height:12.9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FDFDFC" stroked="f"/>
            </w:pict>
          </mc:Fallback>
        </mc:AlternateContent>
        <mc:AlternateContent>
          <mc:Choice Requires="wps">
            <w:drawing>
              <wp:anchor simplePos="0" relativeHeight="251657728" behindDoc="1" locked="0" layoutInCell="0" allowOverlap="1">
                <wp:simplePos x="0" y="0"/>
                <wp:positionH relativeFrom="column">
                  <wp:posOffset>4024630</wp:posOffset>
                </wp:positionH>
                <wp:positionV relativeFrom="paragraph">
                  <wp:posOffset>-137795</wp:posOffset>
                </wp:positionV>
                <wp:extent cx="863600" cy="137795"/>
                <wp:wrapNone/>
                <wp:docPr id="95" name="Shape 9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63600" cy="137795"/>
                        </a:xfrm>
                        <a:prstGeom prst="rect">
                          <a:avLst/>
                        </a:prstGeom>
                        <a:solidFill>
                          <a:srgbClr val="FDFDFC"/>
                        </a:solidFill>
                      </wps:spPr>
                      <wps:bodyPr/>
                    </wps:wsp>
                  </a:graphicData>
                </a:graphic>
              </wp:anchor>
            </w:drawing>
          </mc:Choice>
          <mc:Fallback>
            <w:pict>
              <v:rect id="Shape 95" o:spid="_x0000_s1120" style="position:absolute;margin-left:316.9pt;margin-top:-10.8499pt;width:68pt;height:10.8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FDFDFC" stroked="f"/>
            </w:pict>
          </mc:Fallback>
        </mc:AlternateContent>
        <mc:AlternateContent>
          <mc:Choice Requires="wps">
            <w:drawing>
              <wp:anchor simplePos="0" relativeHeight="251657728" behindDoc="1" locked="0" layoutInCell="0" allowOverlap="1">
                <wp:simplePos x="0" y="0"/>
                <wp:positionH relativeFrom="column">
                  <wp:posOffset>4888230</wp:posOffset>
                </wp:positionH>
                <wp:positionV relativeFrom="paragraph">
                  <wp:posOffset>-164465</wp:posOffset>
                </wp:positionV>
                <wp:extent cx="194945" cy="164465"/>
                <wp:wrapNone/>
                <wp:docPr id="96" name="Shape 9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94945" cy="164465"/>
                        </a:xfrm>
                        <a:prstGeom prst="rect">
                          <a:avLst/>
                        </a:prstGeom>
                        <a:solidFill>
                          <a:srgbClr val="FDFDFC"/>
                        </a:solidFill>
                      </wps:spPr>
                      <wps:bodyPr/>
                    </wps:wsp>
                  </a:graphicData>
                </a:graphic>
              </wp:anchor>
            </w:drawing>
          </mc:Choice>
          <mc:Fallback>
            <w:pict>
              <v:rect id="Shape 96" o:spid="_x0000_s1121" style="position:absolute;margin-left:384.9pt;margin-top:-12.9499pt;width:15.35pt;height:12.9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FDFDFC" stroked="f"/>
            </w:pict>
          </mc:Fallback>
        </mc:AlternateContent>
        <mc:AlternateContent>
          <mc:Choice Requires="wps">
            <w:drawing>
              <wp:anchor simplePos="0" relativeHeight="251657728" behindDoc="1" locked="0" layoutInCell="0" allowOverlap="1">
                <wp:simplePos x="0" y="0"/>
                <wp:positionH relativeFrom="column">
                  <wp:posOffset>5083175</wp:posOffset>
                </wp:positionH>
                <wp:positionV relativeFrom="paragraph">
                  <wp:posOffset>-137795</wp:posOffset>
                </wp:positionV>
                <wp:extent cx="762000" cy="137795"/>
                <wp:wrapNone/>
                <wp:docPr id="97" name="Shape 9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62000" cy="137795"/>
                        </a:xfrm>
                        <a:prstGeom prst="rect">
                          <a:avLst/>
                        </a:prstGeom>
                        <a:solidFill>
                          <a:srgbClr val="FDFDFC"/>
                        </a:solidFill>
                      </wps:spPr>
                      <wps:bodyPr/>
                    </wps:wsp>
                  </a:graphicData>
                </a:graphic>
              </wp:anchor>
            </w:drawing>
          </mc:Choice>
          <mc:Fallback>
            <w:pict>
              <v:rect id="Shape 97" o:spid="_x0000_s1122" style="position:absolute;margin-left:400.25pt;margin-top:-10.8499pt;width:60pt;height:10.8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FDFDFC" stroked="f"/>
            </w:pict>
          </mc:Fallback>
        </mc:AlternateContent>
      </w:r>
    </w:p>
    <w:p>
      <w:pPr>
        <w:spacing w:after="0" w:line="187" w:lineRule="exact"/>
        <w:rPr>
          <w:sz w:val="20"/>
          <w:szCs w:val="20"/>
          <w:color w:val="auto"/>
        </w:rPr>
      </w:pPr>
    </w:p>
    <w:p>
      <w:pPr>
        <w:ind w:right="20" w:firstLine="231"/>
        <w:spacing w:after="0" w:line="250" w:lineRule="auto"/>
        <w:rPr>
          <w:sz w:val="20"/>
          <w:szCs w:val="20"/>
          <w:color w:val="auto"/>
        </w:rPr>
      </w:pPr>
      <w:r>
        <w:rPr>
          <w:rFonts w:ascii="Times New Roman" w:cs="Times New Roman" w:eastAsia="Times New Roman" w:hAnsi="Times New Roman"/>
          <w:sz w:val="19"/>
          <w:szCs w:val="19"/>
          <w:color w:val="231F20"/>
        </w:rPr>
        <w:t>The stated interest rate in the table above does not include the effect of the interest rate swaps. As of December 31, 2024, the Company's swap-adjusted interest rate on the 2026 Notes, 2028 Notes and 2029 Notes was SOFR plus 2.17%, 2.99% and 2.44%, respectively. As of December 31, 2023, the Company's swap-adjusted interest rate on the 2024 Notes, 2026 Notes and 2028 Notes was SOFR plus 2.54% (on a weighted average basis), 2.17%, and 2.99%, respectively.</w:t>
      </w:r>
    </w:p>
    <w:p>
      <w:pPr>
        <w:spacing w:after="0" w:line="185" w:lineRule="exact"/>
        <w:rPr>
          <w:sz w:val="20"/>
          <w:szCs w:val="20"/>
          <w:color w:val="auto"/>
        </w:rPr>
      </w:pPr>
    </w:p>
    <w:p>
      <w:pPr>
        <w:ind w:right="60" w:firstLine="231"/>
        <w:spacing w:after="0" w:line="257" w:lineRule="auto"/>
        <w:rPr>
          <w:sz w:val="20"/>
          <w:szCs w:val="20"/>
          <w:color w:val="auto"/>
        </w:rPr>
      </w:pPr>
      <w:r>
        <w:rPr>
          <w:rFonts w:ascii="Times New Roman" w:cs="Times New Roman" w:eastAsia="Times New Roman" w:hAnsi="Times New Roman"/>
          <w:sz w:val="19"/>
          <w:szCs w:val="19"/>
          <w:color w:val="231F20"/>
        </w:rPr>
        <w:t>As of December 31, 2024, the Company was in compliance with the terms of the indentures governing the 2026 Notes, 2028 Notes and 2029 Notes. As of December 31, 2023, the Company was in compliance with the terms of the indentures governing the 2024 Notes, 2026 Notes and 2028 Notes.</w:t>
      </w:r>
    </w:p>
    <w:p>
      <w:pPr>
        <w:spacing w:after="0" w:line="166" w:lineRule="exact"/>
        <w:rPr>
          <w:sz w:val="20"/>
          <w:szCs w:val="20"/>
          <w:color w:val="auto"/>
        </w:rPr>
      </w:pPr>
    </w:p>
    <w:p>
      <w:pPr>
        <w:jc w:val="both"/>
        <w:ind w:right="120" w:firstLine="231"/>
        <w:spacing w:after="0" w:line="243" w:lineRule="auto"/>
        <w:rPr>
          <w:sz w:val="20"/>
          <w:szCs w:val="20"/>
          <w:color w:val="auto"/>
        </w:rPr>
      </w:pPr>
      <w:r>
        <w:rPr>
          <w:rFonts w:ascii="Times New Roman" w:cs="Times New Roman" w:eastAsia="Times New Roman" w:hAnsi="Times New Roman"/>
          <w:sz w:val="19"/>
          <w:szCs w:val="19"/>
          <w:color w:val="231F20"/>
        </w:rPr>
        <w:t>In accordance with the 1940 Act, with certain limitations, the Company is allowed to borrow amounts such that its asset coverage, as defined in the 1940 Act, is at least 150% after such borrowing. As of December 31, 2024 and December 31, 2023, the Company’s asset coverage was 182.5% and 181.6% respectively.</w:t>
      </w:r>
    </w:p>
    <w:p>
      <w:pPr>
        <w:sectPr>
          <w:pgSz w:w="12240" w:h="15840" w:orient="portrait"/>
          <w:cols w:equalWidth="0" w:num="1">
            <w:col w:w="10200"/>
          </w:cols>
          <w:pgMar w:left="1020" w:top="1317" w:right="1020" w:bottom="57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231F20"/>
        </w:rPr>
        <w:t>F-45</w:t>
      </w:r>
    </w:p>
    <w:p>
      <w:pPr>
        <w:sectPr>
          <w:pgSz w:w="12240" w:h="15840" w:orient="portrait"/>
          <w:cols w:equalWidth="0" w:num="1">
            <w:col w:w="10200"/>
          </w:cols>
          <w:pgMar w:left="1020" w:top="1317" w:right="1020" w:bottom="574" w:gutter="0" w:footer="0" w:header="0"/>
          <w:type w:val="continuous"/>
        </w:sectPr>
      </w:pPr>
    </w:p>
    <w:bookmarkStart w:id="133" w:name="page134"/>
    <w:bookmarkEnd w:id="133"/>
    <w:p>
      <w:pPr>
        <w:ind w:left="240"/>
        <w:spacing w:after="0"/>
        <w:rPr>
          <w:sz w:val="20"/>
          <w:szCs w:val="20"/>
          <w:color w:val="auto"/>
        </w:rPr>
      </w:pPr>
      <w:r>
        <w:rPr>
          <w:rFonts w:ascii="Times New Roman" w:cs="Times New Roman" w:eastAsia="Times New Roman" w:hAnsi="Times New Roman"/>
          <w:sz w:val="19"/>
          <w:szCs w:val="19"/>
          <w:color w:val="231F20"/>
        </w:rPr>
        <w:t>Debt obligations consisted of the following as of December 31, 2024 and December 31, 2023:</w:t>
      </w:r>
    </w:p>
    <w:p>
      <w:pPr>
        <w:spacing w:after="0" w:line="234" w:lineRule="exact"/>
        <w:rPr>
          <w:sz w:val="20"/>
          <w:szCs w:val="20"/>
          <w:color w:val="auto"/>
        </w:rPr>
      </w:pPr>
    </w:p>
    <w:tbl>
      <w:tblPr>
        <w:tblLayout w:type="fixed"/>
        <w:tblInd w:w="520" w:type="dxa"/>
        <w:tblCellMar>
          <w:top w:w="0" w:type="dxa"/>
          <w:left w:w="0" w:type="dxa"/>
          <w:bottom w:w="0" w:type="dxa"/>
          <w:right w:w="0" w:type="dxa"/>
        </w:tblCellMar>
      </w:tblPr>
      <w:tr>
        <w:trPr>
          <w:trHeight w:val="187"/>
        </w:trPr>
        <w:tc>
          <w:tcPr>
            <w:tcW w:w="3700" w:type="dxa"/>
            <w:vAlign w:val="bottom"/>
            <w:tcBorders>
              <w:bottom w:val="single" w:sz="8" w:color="FDFDFC"/>
            </w:tcBorders>
            <w:shd w:val="clear" w:color="auto" w:fill="FDFDFC"/>
          </w:tcPr>
          <w:p>
            <w:pPr>
              <w:spacing w:after="0"/>
              <w:rPr>
                <w:sz w:val="16"/>
                <w:szCs w:val="16"/>
                <w:color w:val="auto"/>
              </w:rPr>
            </w:pPr>
          </w:p>
        </w:tc>
        <w:tc>
          <w:tcPr>
            <w:tcW w:w="140" w:type="dxa"/>
            <w:vAlign w:val="bottom"/>
            <w:tcBorders>
              <w:bottom w:val="single" w:sz="8" w:color="FDFDFC"/>
            </w:tcBorders>
            <w:shd w:val="clear" w:color="auto" w:fill="FDFDFC"/>
          </w:tcPr>
          <w:p>
            <w:pPr>
              <w:spacing w:after="0"/>
              <w:rPr>
                <w:sz w:val="16"/>
                <w:szCs w:val="16"/>
                <w:color w:val="auto"/>
              </w:rPr>
            </w:pPr>
          </w:p>
        </w:tc>
        <w:tc>
          <w:tcPr>
            <w:tcW w:w="140" w:type="dxa"/>
            <w:vAlign w:val="bottom"/>
            <w:tcBorders>
              <w:bottom w:val="single" w:sz="8" w:color="231F20"/>
            </w:tcBorders>
            <w:shd w:val="clear" w:color="auto" w:fill="FDFDFC"/>
          </w:tcPr>
          <w:p>
            <w:pPr>
              <w:spacing w:after="0"/>
              <w:rPr>
                <w:sz w:val="16"/>
                <w:szCs w:val="16"/>
                <w:color w:val="auto"/>
              </w:rPr>
            </w:pPr>
          </w:p>
        </w:tc>
        <w:tc>
          <w:tcPr>
            <w:tcW w:w="1000" w:type="dxa"/>
            <w:vAlign w:val="bottom"/>
            <w:tcBorders>
              <w:bottom w:val="single" w:sz="8" w:color="231F20"/>
            </w:tcBorders>
            <w:shd w:val="clear" w:color="auto" w:fill="FDFDFC"/>
          </w:tcPr>
          <w:p>
            <w:pPr>
              <w:spacing w:after="0"/>
              <w:rPr>
                <w:sz w:val="16"/>
                <w:szCs w:val="16"/>
                <w:color w:val="auto"/>
              </w:rPr>
            </w:pPr>
          </w:p>
        </w:tc>
        <w:tc>
          <w:tcPr>
            <w:tcW w:w="220" w:type="dxa"/>
            <w:vAlign w:val="bottom"/>
            <w:tcBorders>
              <w:bottom w:val="single" w:sz="8" w:color="231F20"/>
            </w:tcBorders>
            <w:shd w:val="clear" w:color="auto" w:fill="FDFDFC"/>
          </w:tcPr>
          <w:p>
            <w:pPr>
              <w:spacing w:after="0"/>
              <w:rPr>
                <w:sz w:val="16"/>
                <w:szCs w:val="16"/>
                <w:color w:val="auto"/>
              </w:rPr>
            </w:pPr>
          </w:p>
        </w:tc>
        <w:tc>
          <w:tcPr>
            <w:tcW w:w="120" w:type="dxa"/>
            <w:vAlign w:val="bottom"/>
            <w:tcBorders>
              <w:bottom w:val="single" w:sz="8" w:color="231F20"/>
            </w:tcBorders>
            <w:shd w:val="clear" w:color="auto" w:fill="FDFDFC"/>
          </w:tcPr>
          <w:p>
            <w:pPr>
              <w:spacing w:after="0"/>
              <w:rPr>
                <w:sz w:val="16"/>
                <w:szCs w:val="16"/>
                <w:color w:val="auto"/>
              </w:rPr>
            </w:pPr>
          </w:p>
        </w:tc>
        <w:tc>
          <w:tcPr>
            <w:tcW w:w="2400" w:type="dxa"/>
            <w:vAlign w:val="bottom"/>
            <w:tcBorders>
              <w:bottom w:val="single" w:sz="8" w:color="231F20"/>
            </w:tcBorders>
            <w:gridSpan w:val="4"/>
            <w:shd w:val="clear" w:color="auto" w:fill="FDFDFC"/>
          </w:tcPr>
          <w:p>
            <w:pPr>
              <w:jc w:val="right"/>
              <w:ind w:right="571"/>
              <w:spacing w:after="0"/>
              <w:rPr>
                <w:sz w:val="20"/>
                <w:szCs w:val="20"/>
                <w:color w:val="auto"/>
              </w:rPr>
            </w:pPr>
            <w:r>
              <w:rPr>
                <w:rFonts w:ascii="Times New Roman" w:cs="Times New Roman" w:eastAsia="Times New Roman" w:hAnsi="Times New Roman"/>
                <w:sz w:val="15"/>
                <w:szCs w:val="15"/>
                <w:b w:val="1"/>
                <w:bCs w:val="1"/>
                <w:color w:val="231F20"/>
              </w:rPr>
              <w:t>December 31, 2024</w:t>
            </w:r>
          </w:p>
        </w:tc>
        <w:tc>
          <w:tcPr>
            <w:tcW w:w="220" w:type="dxa"/>
            <w:vAlign w:val="bottom"/>
            <w:tcBorders>
              <w:bottom w:val="single" w:sz="8" w:color="231F20"/>
            </w:tcBorders>
            <w:shd w:val="clear" w:color="auto" w:fill="FDFDFC"/>
          </w:tcPr>
          <w:p>
            <w:pPr>
              <w:spacing w:after="0"/>
              <w:rPr>
                <w:sz w:val="16"/>
                <w:szCs w:val="16"/>
                <w:color w:val="auto"/>
              </w:rPr>
            </w:pPr>
          </w:p>
        </w:tc>
        <w:tc>
          <w:tcPr>
            <w:tcW w:w="160" w:type="dxa"/>
            <w:vAlign w:val="bottom"/>
            <w:tcBorders>
              <w:bottom w:val="single" w:sz="8" w:color="231F20"/>
            </w:tcBorders>
            <w:shd w:val="clear" w:color="auto" w:fill="FDFDFC"/>
          </w:tcPr>
          <w:p>
            <w:pPr>
              <w:spacing w:after="0"/>
              <w:rPr>
                <w:sz w:val="16"/>
                <w:szCs w:val="16"/>
                <w:color w:val="auto"/>
              </w:rPr>
            </w:pPr>
          </w:p>
        </w:tc>
        <w:tc>
          <w:tcPr>
            <w:tcW w:w="980" w:type="dxa"/>
            <w:vAlign w:val="bottom"/>
            <w:tcBorders>
              <w:bottom w:val="single" w:sz="8" w:color="231F20"/>
            </w:tcBorders>
            <w:shd w:val="clear" w:color="auto" w:fill="FDFDFC"/>
          </w:tcPr>
          <w:p>
            <w:pPr>
              <w:spacing w:after="0"/>
              <w:rPr>
                <w:sz w:val="16"/>
                <w:szCs w:val="16"/>
                <w:color w:val="auto"/>
              </w:rPr>
            </w:pPr>
          </w:p>
        </w:tc>
        <w:tc>
          <w:tcPr>
            <w:tcW w:w="100" w:type="dxa"/>
            <w:vAlign w:val="bottom"/>
            <w:tcBorders>
              <w:bottom w:val="single" w:sz="8" w:color="FDFDFC"/>
            </w:tcBorders>
            <w:shd w:val="clear" w:color="auto" w:fill="FDFDFC"/>
          </w:tcPr>
          <w:p>
            <w:pPr>
              <w:spacing w:after="0"/>
              <w:rPr>
                <w:sz w:val="16"/>
                <w:szCs w:val="16"/>
                <w:color w:val="auto"/>
              </w:rPr>
            </w:pPr>
          </w:p>
        </w:tc>
        <w:tc>
          <w:tcPr>
            <w:tcW w:w="0" w:type="dxa"/>
            <w:vAlign w:val="bottom"/>
          </w:tcPr>
          <w:p>
            <w:pPr>
              <w:spacing w:after="0"/>
              <w:rPr>
                <w:sz w:val="1"/>
                <w:szCs w:val="1"/>
                <w:color w:val="auto"/>
              </w:rPr>
            </w:pPr>
          </w:p>
        </w:tc>
      </w:tr>
      <w:tr>
        <w:trPr>
          <w:trHeight w:val="159"/>
        </w:trPr>
        <w:tc>
          <w:tcPr>
            <w:tcW w:w="3700" w:type="dxa"/>
            <w:vAlign w:val="bottom"/>
            <w:shd w:val="clear" w:color="auto" w:fill="FDFDFC"/>
          </w:tcPr>
          <w:p>
            <w:pPr>
              <w:spacing w:after="0"/>
              <w:rPr>
                <w:sz w:val="13"/>
                <w:szCs w:val="13"/>
                <w:color w:val="auto"/>
              </w:rPr>
            </w:pPr>
          </w:p>
        </w:tc>
        <w:tc>
          <w:tcPr>
            <w:tcW w:w="140" w:type="dxa"/>
            <w:vAlign w:val="bottom"/>
            <w:shd w:val="clear" w:color="auto" w:fill="FDFDFC"/>
          </w:tcPr>
          <w:p>
            <w:pPr>
              <w:spacing w:after="0"/>
              <w:rPr>
                <w:sz w:val="13"/>
                <w:szCs w:val="13"/>
                <w:color w:val="auto"/>
              </w:rPr>
            </w:pPr>
          </w:p>
        </w:tc>
        <w:tc>
          <w:tcPr>
            <w:tcW w:w="140" w:type="dxa"/>
            <w:vAlign w:val="bottom"/>
            <w:shd w:val="clear" w:color="auto" w:fill="FDFDFC"/>
          </w:tcPr>
          <w:p>
            <w:pPr>
              <w:spacing w:after="0"/>
              <w:rPr>
                <w:sz w:val="13"/>
                <w:szCs w:val="13"/>
                <w:color w:val="auto"/>
              </w:rPr>
            </w:pPr>
          </w:p>
        </w:tc>
        <w:tc>
          <w:tcPr>
            <w:tcW w:w="1000" w:type="dxa"/>
            <w:vAlign w:val="bottom"/>
            <w:shd w:val="clear" w:color="auto" w:fill="FDFDFC"/>
          </w:tcPr>
          <w:p>
            <w:pPr>
              <w:jc w:val="center"/>
              <w:ind w:right="94"/>
              <w:spacing w:after="0" w:line="159" w:lineRule="exact"/>
              <w:rPr>
                <w:sz w:val="20"/>
                <w:szCs w:val="20"/>
                <w:color w:val="auto"/>
              </w:rPr>
            </w:pPr>
            <w:r>
              <w:rPr>
                <w:rFonts w:ascii="Times New Roman" w:cs="Times New Roman" w:eastAsia="Times New Roman" w:hAnsi="Times New Roman"/>
                <w:sz w:val="15"/>
                <w:szCs w:val="15"/>
                <w:b w:val="1"/>
                <w:bCs w:val="1"/>
                <w:color w:val="231F20"/>
              </w:rPr>
              <w:t>Aggregate</w:t>
            </w:r>
          </w:p>
        </w:tc>
        <w:tc>
          <w:tcPr>
            <w:tcW w:w="220" w:type="dxa"/>
            <w:vAlign w:val="bottom"/>
            <w:shd w:val="clear" w:color="auto" w:fill="FDFDFC"/>
          </w:tcPr>
          <w:p>
            <w:pPr>
              <w:spacing w:after="0"/>
              <w:rPr>
                <w:sz w:val="13"/>
                <w:szCs w:val="13"/>
                <w:color w:val="auto"/>
              </w:rPr>
            </w:pPr>
          </w:p>
        </w:tc>
        <w:tc>
          <w:tcPr>
            <w:tcW w:w="120" w:type="dxa"/>
            <w:vAlign w:val="bottom"/>
            <w:shd w:val="clear" w:color="auto" w:fill="FDFDFC"/>
          </w:tcPr>
          <w:p>
            <w:pPr>
              <w:spacing w:after="0"/>
              <w:rPr>
                <w:sz w:val="13"/>
                <w:szCs w:val="13"/>
                <w:color w:val="auto"/>
              </w:rPr>
            </w:pPr>
          </w:p>
        </w:tc>
        <w:tc>
          <w:tcPr>
            <w:tcW w:w="1020" w:type="dxa"/>
            <w:vAlign w:val="bottom"/>
            <w:shd w:val="clear" w:color="auto" w:fill="FDFDFC"/>
          </w:tcPr>
          <w:p>
            <w:pPr>
              <w:spacing w:after="0"/>
              <w:rPr>
                <w:sz w:val="13"/>
                <w:szCs w:val="13"/>
                <w:color w:val="auto"/>
              </w:rPr>
            </w:pPr>
          </w:p>
        </w:tc>
        <w:tc>
          <w:tcPr>
            <w:tcW w:w="220" w:type="dxa"/>
            <w:vAlign w:val="bottom"/>
            <w:shd w:val="clear" w:color="auto" w:fill="FDFDFC"/>
          </w:tcPr>
          <w:p>
            <w:pPr>
              <w:spacing w:after="0"/>
              <w:rPr>
                <w:sz w:val="13"/>
                <w:szCs w:val="13"/>
                <w:color w:val="auto"/>
              </w:rPr>
            </w:pPr>
          </w:p>
        </w:tc>
        <w:tc>
          <w:tcPr>
            <w:tcW w:w="140" w:type="dxa"/>
            <w:vAlign w:val="bottom"/>
            <w:shd w:val="clear" w:color="auto" w:fill="FDFDFC"/>
          </w:tcPr>
          <w:p>
            <w:pPr>
              <w:spacing w:after="0"/>
              <w:rPr>
                <w:sz w:val="13"/>
                <w:szCs w:val="13"/>
                <w:color w:val="auto"/>
              </w:rPr>
            </w:pPr>
          </w:p>
        </w:tc>
        <w:tc>
          <w:tcPr>
            <w:tcW w:w="1020" w:type="dxa"/>
            <w:vAlign w:val="bottom"/>
            <w:shd w:val="clear" w:color="auto" w:fill="FDFDFC"/>
          </w:tcPr>
          <w:p>
            <w:pPr>
              <w:spacing w:after="0"/>
              <w:rPr>
                <w:sz w:val="13"/>
                <w:szCs w:val="13"/>
                <w:color w:val="auto"/>
              </w:rPr>
            </w:pPr>
          </w:p>
        </w:tc>
        <w:tc>
          <w:tcPr>
            <w:tcW w:w="220" w:type="dxa"/>
            <w:vAlign w:val="bottom"/>
            <w:shd w:val="clear" w:color="auto" w:fill="FDFDFC"/>
          </w:tcPr>
          <w:p>
            <w:pPr>
              <w:spacing w:after="0"/>
              <w:rPr>
                <w:sz w:val="13"/>
                <w:szCs w:val="13"/>
                <w:color w:val="auto"/>
              </w:rPr>
            </w:pPr>
          </w:p>
        </w:tc>
        <w:tc>
          <w:tcPr>
            <w:tcW w:w="160" w:type="dxa"/>
            <w:vAlign w:val="bottom"/>
            <w:shd w:val="clear" w:color="auto" w:fill="FDFDFC"/>
          </w:tcPr>
          <w:p>
            <w:pPr>
              <w:spacing w:after="0"/>
              <w:rPr>
                <w:sz w:val="13"/>
                <w:szCs w:val="13"/>
                <w:color w:val="auto"/>
              </w:rPr>
            </w:pPr>
          </w:p>
        </w:tc>
        <w:tc>
          <w:tcPr>
            <w:tcW w:w="980" w:type="dxa"/>
            <w:vAlign w:val="bottom"/>
            <w:shd w:val="clear" w:color="auto" w:fill="FDFDFC"/>
          </w:tcPr>
          <w:p>
            <w:pPr>
              <w:spacing w:after="0"/>
              <w:rPr>
                <w:sz w:val="13"/>
                <w:szCs w:val="13"/>
                <w:color w:val="auto"/>
              </w:rPr>
            </w:pPr>
          </w:p>
        </w:tc>
        <w:tc>
          <w:tcPr>
            <w:tcW w:w="100" w:type="dxa"/>
            <w:vAlign w:val="bottom"/>
            <w:shd w:val="clear" w:color="auto" w:fill="FDFDFC"/>
          </w:tcPr>
          <w:p>
            <w:pPr>
              <w:spacing w:after="0"/>
              <w:rPr>
                <w:sz w:val="13"/>
                <w:szCs w:val="13"/>
                <w:color w:val="auto"/>
              </w:rPr>
            </w:pPr>
          </w:p>
        </w:tc>
        <w:tc>
          <w:tcPr>
            <w:tcW w:w="0" w:type="dxa"/>
            <w:vAlign w:val="bottom"/>
          </w:tcPr>
          <w:p>
            <w:pPr>
              <w:spacing w:after="0"/>
              <w:rPr>
                <w:sz w:val="1"/>
                <w:szCs w:val="1"/>
                <w:color w:val="auto"/>
              </w:rPr>
            </w:pPr>
          </w:p>
        </w:tc>
      </w:tr>
      <w:tr>
        <w:trPr>
          <w:trHeight w:val="174"/>
        </w:trPr>
        <w:tc>
          <w:tcPr>
            <w:tcW w:w="3700" w:type="dxa"/>
            <w:vAlign w:val="bottom"/>
            <w:shd w:val="clear" w:color="auto" w:fill="FDFDFC"/>
          </w:tcPr>
          <w:p>
            <w:pPr>
              <w:spacing w:after="0"/>
              <w:rPr>
                <w:sz w:val="15"/>
                <w:szCs w:val="15"/>
                <w:color w:val="auto"/>
              </w:rPr>
            </w:pPr>
          </w:p>
        </w:tc>
        <w:tc>
          <w:tcPr>
            <w:tcW w:w="140" w:type="dxa"/>
            <w:vAlign w:val="bottom"/>
            <w:shd w:val="clear" w:color="auto" w:fill="FDFDFC"/>
          </w:tcPr>
          <w:p>
            <w:pPr>
              <w:spacing w:after="0"/>
              <w:rPr>
                <w:sz w:val="15"/>
                <w:szCs w:val="15"/>
                <w:color w:val="auto"/>
              </w:rPr>
            </w:pPr>
          </w:p>
        </w:tc>
        <w:tc>
          <w:tcPr>
            <w:tcW w:w="140" w:type="dxa"/>
            <w:vAlign w:val="bottom"/>
            <w:shd w:val="clear" w:color="auto" w:fill="FDFDFC"/>
          </w:tcPr>
          <w:p>
            <w:pPr>
              <w:spacing w:after="0"/>
              <w:rPr>
                <w:sz w:val="15"/>
                <w:szCs w:val="15"/>
                <w:color w:val="auto"/>
              </w:rPr>
            </w:pPr>
          </w:p>
        </w:tc>
        <w:tc>
          <w:tcPr>
            <w:tcW w:w="1000" w:type="dxa"/>
            <w:vAlign w:val="bottom"/>
            <w:shd w:val="clear" w:color="auto" w:fill="FDFDFC"/>
          </w:tcPr>
          <w:p>
            <w:pPr>
              <w:jc w:val="center"/>
              <w:ind w:right="74"/>
              <w:spacing w:after="0"/>
              <w:rPr>
                <w:sz w:val="20"/>
                <w:szCs w:val="20"/>
                <w:color w:val="auto"/>
              </w:rPr>
            </w:pPr>
            <w:r>
              <w:rPr>
                <w:rFonts w:ascii="Times New Roman" w:cs="Times New Roman" w:eastAsia="Times New Roman" w:hAnsi="Times New Roman"/>
                <w:sz w:val="15"/>
                <w:szCs w:val="15"/>
                <w:b w:val="1"/>
                <w:bCs w:val="1"/>
                <w:color w:val="231F20"/>
              </w:rPr>
              <w:t>Principal</w:t>
            </w:r>
          </w:p>
        </w:tc>
        <w:tc>
          <w:tcPr>
            <w:tcW w:w="220" w:type="dxa"/>
            <w:vAlign w:val="bottom"/>
            <w:shd w:val="clear" w:color="auto" w:fill="FDFDFC"/>
          </w:tcPr>
          <w:p>
            <w:pPr>
              <w:spacing w:after="0"/>
              <w:rPr>
                <w:sz w:val="15"/>
                <w:szCs w:val="15"/>
                <w:color w:val="auto"/>
              </w:rPr>
            </w:pPr>
          </w:p>
        </w:tc>
        <w:tc>
          <w:tcPr>
            <w:tcW w:w="120" w:type="dxa"/>
            <w:vAlign w:val="bottom"/>
            <w:shd w:val="clear" w:color="auto" w:fill="FDFDFC"/>
          </w:tcPr>
          <w:p>
            <w:pPr>
              <w:spacing w:after="0"/>
              <w:rPr>
                <w:sz w:val="15"/>
                <w:szCs w:val="15"/>
                <w:color w:val="auto"/>
              </w:rPr>
            </w:pPr>
          </w:p>
        </w:tc>
        <w:tc>
          <w:tcPr>
            <w:tcW w:w="1020" w:type="dxa"/>
            <w:vAlign w:val="bottom"/>
            <w:vMerge w:val="restart"/>
            <w:shd w:val="clear" w:color="auto" w:fill="FDFDFC"/>
          </w:tcPr>
          <w:p>
            <w:pPr>
              <w:jc w:val="right"/>
              <w:ind w:right="93"/>
              <w:spacing w:after="0"/>
              <w:rPr>
                <w:sz w:val="20"/>
                <w:szCs w:val="20"/>
                <w:color w:val="auto"/>
              </w:rPr>
            </w:pPr>
            <w:r>
              <w:rPr>
                <w:rFonts w:ascii="Times New Roman" w:cs="Times New Roman" w:eastAsia="Times New Roman" w:hAnsi="Times New Roman"/>
                <w:sz w:val="15"/>
                <w:szCs w:val="15"/>
                <w:b w:val="1"/>
                <w:bCs w:val="1"/>
                <w:color w:val="231F20"/>
              </w:rPr>
              <w:t>Outstanding</w:t>
            </w:r>
          </w:p>
        </w:tc>
        <w:tc>
          <w:tcPr>
            <w:tcW w:w="220" w:type="dxa"/>
            <w:vAlign w:val="bottom"/>
            <w:shd w:val="clear" w:color="auto" w:fill="FDFDFC"/>
          </w:tcPr>
          <w:p>
            <w:pPr>
              <w:spacing w:after="0"/>
              <w:rPr>
                <w:sz w:val="15"/>
                <w:szCs w:val="15"/>
                <w:color w:val="auto"/>
              </w:rPr>
            </w:pPr>
          </w:p>
        </w:tc>
        <w:tc>
          <w:tcPr>
            <w:tcW w:w="140" w:type="dxa"/>
            <w:vAlign w:val="bottom"/>
            <w:shd w:val="clear" w:color="auto" w:fill="FDFDFC"/>
          </w:tcPr>
          <w:p>
            <w:pPr>
              <w:spacing w:after="0"/>
              <w:rPr>
                <w:sz w:val="15"/>
                <w:szCs w:val="15"/>
                <w:color w:val="auto"/>
              </w:rPr>
            </w:pPr>
          </w:p>
        </w:tc>
        <w:tc>
          <w:tcPr>
            <w:tcW w:w="1020" w:type="dxa"/>
            <w:vAlign w:val="bottom"/>
            <w:vMerge w:val="restart"/>
            <w:shd w:val="clear" w:color="auto" w:fill="FDFDFC"/>
          </w:tcPr>
          <w:p>
            <w:pPr>
              <w:jc w:val="right"/>
              <w:ind w:right="231"/>
              <w:spacing w:after="0"/>
              <w:rPr>
                <w:sz w:val="20"/>
                <w:szCs w:val="20"/>
                <w:color w:val="auto"/>
              </w:rPr>
            </w:pPr>
            <w:r>
              <w:rPr>
                <w:rFonts w:ascii="Times New Roman" w:cs="Times New Roman" w:eastAsia="Times New Roman" w:hAnsi="Times New Roman"/>
                <w:sz w:val="15"/>
                <w:szCs w:val="15"/>
                <w:b w:val="1"/>
                <w:bCs w:val="1"/>
                <w:color w:val="231F20"/>
              </w:rPr>
              <w:t>Amount</w:t>
            </w:r>
          </w:p>
        </w:tc>
        <w:tc>
          <w:tcPr>
            <w:tcW w:w="220" w:type="dxa"/>
            <w:vAlign w:val="bottom"/>
            <w:shd w:val="clear" w:color="auto" w:fill="FDFDFC"/>
          </w:tcPr>
          <w:p>
            <w:pPr>
              <w:spacing w:after="0"/>
              <w:rPr>
                <w:sz w:val="15"/>
                <w:szCs w:val="15"/>
                <w:color w:val="auto"/>
              </w:rPr>
            </w:pPr>
          </w:p>
        </w:tc>
        <w:tc>
          <w:tcPr>
            <w:tcW w:w="160" w:type="dxa"/>
            <w:vAlign w:val="bottom"/>
            <w:shd w:val="clear" w:color="auto" w:fill="FDFDFC"/>
          </w:tcPr>
          <w:p>
            <w:pPr>
              <w:spacing w:after="0"/>
              <w:rPr>
                <w:sz w:val="15"/>
                <w:szCs w:val="15"/>
                <w:color w:val="auto"/>
              </w:rPr>
            </w:pPr>
          </w:p>
        </w:tc>
        <w:tc>
          <w:tcPr>
            <w:tcW w:w="980" w:type="dxa"/>
            <w:vAlign w:val="bottom"/>
            <w:vMerge w:val="restart"/>
            <w:shd w:val="clear" w:color="auto" w:fill="FDFDFC"/>
          </w:tcPr>
          <w:p>
            <w:pPr>
              <w:jc w:val="right"/>
              <w:ind w:right="196"/>
              <w:spacing w:after="0"/>
              <w:rPr>
                <w:sz w:val="20"/>
                <w:szCs w:val="20"/>
                <w:color w:val="auto"/>
              </w:rPr>
            </w:pPr>
            <w:r>
              <w:rPr>
                <w:rFonts w:ascii="Times New Roman" w:cs="Times New Roman" w:eastAsia="Times New Roman" w:hAnsi="Times New Roman"/>
                <w:sz w:val="15"/>
                <w:szCs w:val="15"/>
                <w:b w:val="1"/>
                <w:bCs w:val="1"/>
                <w:color w:val="231F20"/>
              </w:rPr>
              <w:t>Carrying</w:t>
            </w:r>
          </w:p>
        </w:tc>
        <w:tc>
          <w:tcPr>
            <w:tcW w:w="100" w:type="dxa"/>
            <w:vAlign w:val="bottom"/>
            <w:shd w:val="clear" w:color="auto" w:fill="FDFDFC"/>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3700" w:type="dxa"/>
            <w:vAlign w:val="bottom"/>
            <w:shd w:val="clear" w:color="auto" w:fill="FDFDFC"/>
          </w:tcPr>
          <w:p>
            <w:pPr>
              <w:spacing w:after="0"/>
              <w:rPr>
                <w:sz w:val="15"/>
                <w:szCs w:val="15"/>
                <w:color w:val="auto"/>
              </w:rPr>
            </w:pPr>
          </w:p>
        </w:tc>
        <w:tc>
          <w:tcPr>
            <w:tcW w:w="140" w:type="dxa"/>
            <w:vAlign w:val="bottom"/>
            <w:shd w:val="clear" w:color="auto" w:fill="FDFDFC"/>
          </w:tcPr>
          <w:p>
            <w:pPr>
              <w:spacing w:after="0"/>
              <w:rPr>
                <w:sz w:val="15"/>
                <w:szCs w:val="15"/>
                <w:color w:val="auto"/>
              </w:rPr>
            </w:pPr>
          </w:p>
        </w:tc>
        <w:tc>
          <w:tcPr>
            <w:tcW w:w="140" w:type="dxa"/>
            <w:vAlign w:val="bottom"/>
            <w:shd w:val="clear" w:color="auto" w:fill="FDFDFC"/>
          </w:tcPr>
          <w:p>
            <w:pPr>
              <w:spacing w:after="0"/>
              <w:rPr>
                <w:sz w:val="15"/>
                <w:szCs w:val="15"/>
                <w:color w:val="auto"/>
              </w:rPr>
            </w:pPr>
          </w:p>
        </w:tc>
        <w:tc>
          <w:tcPr>
            <w:tcW w:w="1000" w:type="dxa"/>
            <w:vAlign w:val="bottom"/>
            <w:shd w:val="clear" w:color="auto" w:fill="FDFDFC"/>
          </w:tcPr>
          <w:p>
            <w:pPr>
              <w:jc w:val="center"/>
              <w:ind w:right="74"/>
              <w:spacing w:after="0"/>
              <w:rPr>
                <w:sz w:val="20"/>
                <w:szCs w:val="20"/>
                <w:color w:val="auto"/>
              </w:rPr>
            </w:pPr>
            <w:r>
              <w:rPr>
                <w:rFonts w:ascii="Times New Roman" w:cs="Times New Roman" w:eastAsia="Times New Roman" w:hAnsi="Times New Roman"/>
                <w:sz w:val="15"/>
                <w:szCs w:val="15"/>
                <w:b w:val="1"/>
                <w:bCs w:val="1"/>
                <w:color w:val="231F20"/>
                <w:w w:val="98"/>
              </w:rPr>
              <w:t>Amount</w:t>
            </w:r>
          </w:p>
        </w:tc>
        <w:tc>
          <w:tcPr>
            <w:tcW w:w="220" w:type="dxa"/>
            <w:vAlign w:val="bottom"/>
            <w:shd w:val="clear" w:color="auto" w:fill="FDFDFC"/>
          </w:tcPr>
          <w:p>
            <w:pPr>
              <w:spacing w:after="0"/>
              <w:rPr>
                <w:sz w:val="15"/>
                <w:szCs w:val="15"/>
                <w:color w:val="auto"/>
              </w:rPr>
            </w:pPr>
          </w:p>
        </w:tc>
        <w:tc>
          <w:tcPr>
            <w:tcW w:w="120" w:type="dxa"/>
            <w:vAlign w:val="bottom"/>
            <w:shd w:val="clear" w:color="auto" w:fill="FDFDFC"/>
          </w:tcPr>
          <w:p>
            <w:pPr>
              <w:spacing w:after="0"/>
              <w:rPr>
                <w:sz w:val="15"/>
                <w:szCs w:val="15"/>
                <w:color w:val="auto"/>
              </w:rPr>
            </w:pPr>
          </w:p>
        </w:tc>
        <w:tc>
          <w:tcPr>
            <w:tcW w:w="1020" w:type="dxa"/>
            <w:vAlign w:val="bottom"/>
            <w:vMerge w:val="continue"/>
            <w:shd w:val="clear" w:color="auto" w:fill="FDFDFC"/>
          </w:tcPr>
          <w:p>
            <w:pPr>
              <w:spacing w:after="0"/>
              <w:rPr>
                <w:sz w:val="15"/>
                <w:szCs w:val="15"/>
                <w:color w:val="auto"/>
              </w:rPr>
            </w:pPr>
          </w:p>
        </w:tc>
        <w:tc>
          <w:tcPr>
            <w:tcW w:w="220" w:type="dxa"/>
            <w:vAlign w:val="bottom"/>
            <w:shd w:val="clear" w:color="auto" w:fill="FDFDFC"/>
          </w:tcPr>
          <w:p>
            <w:pPr>
              <w:spacing w:after="0"/>
              <w:rPr>
                <w:sz w:val="15"/>
                <w:szCs w:val="15"/>
                <w:color w:val="auto"/>
              </w:rPr>
            </w:pPr>
          </w:p>
        </w:tc>
        <w:tc>
          <w:tcPr>
            <w:tcW w:w="140" w:type="dxa"/>
            <w:vAlign w:val="bottom"/>
            <w:shd w:val="clear" w:color="auto" w:fill="FDFDFC"/>
          </w:tcPr>
          <w:p>
            <w:pPr>
              <w:spacing w:after="0"/>
              <w:rPr>
                <w:sz w:val="15"/>
                <w:szCs w:val="15"/>
                <w:color w:val="auto"/>
              </w:rPr>
            </w:pPr>
          </w:p>
        </w:tc>
        <w:tc>
          <w:tcPr>
            <w:tcW w:w="1020" w:type="dxa"/>
            <w:vAlign w:val="bottom"/>
            <w:vMerge w:val="continue"/>
            <w:shd w:val="clear" w:color="auto" w:fill="FDFDFC"/>
          </w:tcPr>
          <w:p>
            <w:pPr>
              <w:spacing w:after="0"/>
              <w:rPr>
                <w:sz w:val="15"/>
                <w:szCs w:val="15"/>
                <w:color w:val="auto"/>
              </w:rPr>
            </w:pPr>
          </w:p>
        </w:tc>
        <w:tc>
          <w:tcPr>
            <w:tcW w:w="220" w:type="dxa"/>
            <w:vAlign w:val="bottom"/>
            <w:shd w:val="clear" w:color="auto" w:fill="FDFDFC"/>
          </w:tcPr>
          <w:p>
            <w:pPr>
              <w:spacing w:after="0"/>
              <w:rPr>
                <w:sz w:val="15"/>
                <w:szCs w:val="15"/>
                <w:color w:val="auto"/>
              </w:rPr>
            </w:pPr>
          </w:p>
        </w:tc>
        <w:tc>
          <w:tcPr>
            <w:tcW w:w="160" w:type="dxa"/>
            <w:vAlign w:val="bottom"/>
            <w:shd w:val="clear" w:color="auto" w:fill="FDFDFC"/>
          </w:tcPr>
          <w:p>
            <w:pPr>
              <w:spacing w:after="0"/>
              <w:rPr>
                <w:sz w:val="15"/>
                <w:szCs w:val="15"/>
                <w:color w:val="auto"/>
              </w:rPr>
            </w:pPr>
          </w:p>
        </w:tc>
        <w:tc>
          <w:tcPr>
            <w:tcW w:w="980" w:type="dxa"/>
            <w:vAlign w:val="bottom"/>
            <w:vMerge w:val="continue"/>
            <w:shd w:val="clear" w:color="auto" w:fill="FDFDFC"/>
          </w:tcPr>
          <w:p>
            <w:pPr>
              <w:spacing w:after="0"/>
              <w:rPr>
                <w:sz w:val="15"/>
                <w:szCs w:val="15"/>
                <w:color w:val="auto"/>
              </w:rPr>
            </w:pPr>
          </w:p>
        </w:tc>
        <w:tc>
          <w:tcPr>
            <w:tcW w:w="100" w:type="dxa"/>
            <w:vAlign w:val="bottom"/>
            <w:shd w:val="clear" w:color="auto" w:fill="FDFDFC"/>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3700" w:type="dxa"/>
            <w:vAlign w:val="bottom"/>
            <w:tcBorders>
              <w:bottom w:val="single" w:sz="8" w:color="D0EBF2"/>
            </w:tcBorders>
            <w:shd w:val="clear" w:color="auto" w:fill="FDFDFC"/>
          </w:tcPr>
          <w:p>
            <w:pPr>
              <w:spacing w:after="0"/>
              <w:rPr>
                <w:sz w:val="16"/>
                <w:szCs w:val="16"/>
                <w:color w:val="auto"/>
              </w:rPr>
            </w:pPr>
          </w:p>
        </w:tc>
        <w:tc>
          <w:tcPr>
            <w:tcW w:w="140" w:type="dxa"/>
            <w:vAlign w:val="bottom"/>
            <w:tcBorders>
              <w:bottom w:val="single" w:sz="8" w:color="D0EBF2"/>
            </w:tcBorders>
            <w:shd w:val="clear" w:color="auto" w:fill="FDFDFC"/>
          </w:tcPr>
          <w:p>
            <w:pPr>
              <w:spacing w:after="0"/>
              <w:rPr>
                <w:sz w:val="16"/>
                <w:szCs w:val="16"/>
                <w:color w:val="auto"/>
              </w:rPr>
            </w:pPr>
          </w:p>
        </w:tc>
        <w:tc>
          <w:tcPr>
            <w:tcW w:w="140" w:type="dxa"/>
            <w:vAlign w:val="bottom"/>
            <w:tcBorders>
              <w:bottom w:val="single" w:sz="8" w:color="231F20"/>
            </w:tcBorders>
            <w:shd w:val="clear" w:color="auto" w:fill="FDFDFC"/>
          </w:tcPr>
          <w:p>
            <w:pPr>
              <w:spacing w:after="0"/>
              <w:rPr>
                <w:sz w:val="16"/>
                <w:szCs w:val="16"/>
                <w:color w:val="auto"/>
              </w:rPr>
            </w:pPr>
          </w:p>
        </w:tc>
        <w:tc>
          <w:tcPr>
            <w:tcW w:w="1000" w:type="dxa"/>
            <w:vAlign w:val="bottom"/>
            <w:tcBorders>
              <w:bottom w:val="single" w:sz="8" w:color="231F20"/>
            </w:tcBorders>
            <w:shd w:val="clear" w:color="auto" w:fill="FDFDFC"/>
          </w:tcPr>
          <w:p>
            <w:pPr>
              <w:jc w:val="center"/>
              <w:ind w:right="94"/>
              <w:spacing w:after="0"/>
              <w:rPr>
                <w:sz w:val="20"/>
                <w:szCs w:val="20"/>
                <w:color w:val="auto"/>
              </w:rPr>
            </w:pPr>
            <w:r>
              <w:rPr>
                <w:rFonts w:ascii="Times New Roman" w:cs="Times New Roman" w:eastAsia="Times New Roman" w:hAnsi="Times New Roman"/>
                <w:sz w:val="15"/>
                <w:szCs w:val="15"/>
                <w:b w:val="1"/>
                <w:bCs w:val="1"/>
                <w:color w:val="231F20"/>
              </w:rPr>
              <w:t>Committed</w:t>
            </w:r>
          </w:p>
        </w:tc>
        <w:tc>
          <w:tcPr>
            <w:tcW w:w="220" w:type="dxa"/>
            <w:vAlign w:val="bottom"/>
            <w:tcBorders>
              <w:bottom w:val="single" w:sz="8" w:color="D0EBF2"/>
            </w:tcBorders>
            <w:shd w:val="clear" w:color="auto" w:fill="FDFDFC"/>
          </w:tcPr>
          <w:p>
            <w:pPr>
              <w:spacing w:after="0"/>
              <w:rPr>
                <w:sz w:val="16"/>
                <w:szCs w:val="16"/>
                <w:color w:val="auto"/>
              </w:rPr>
            </w:pPr>
          </w:p>
        </w:tc>
        <w:tc>
          <w:tcPr>
            <w:tcW w:w="120" w:type="dxa"/>
            <w:vAlign w:val="bottom"/>
            <w:tcBorders>
              <w:bottom w:val="single" w:sz="8" w:color="231F20"/>
            </w:tcBorders>
            <w:shd w:val="clear" w:color="auto" w:fill="FDFDFC"/>
          </w:tcPr>
          <w:p>
            <w:pPr>
              <w:spacing w:after="0"/>
              <w:rPr>
                <w:sz w:val="16"/>
                <w:szCs w:val="16"/>
                <w:color w:val="auto"/>
              </w:rPr>
            </w:pPr>
          </w:p>
        </w:tc>
        <w:tc>
          <w:tcPr>
            <w:tcW w:w="1020" w:type="dxa"/>
            <w:vAlign w:val="bottom"/>
            <w:tcBorders>
              <w:bottom w:val="single" w:sz="8" w:color="231F20"/>
            </w:tcBorders>
            <w:shd w:val="clear" w:color="auto" w:fill="FDFDFC"/>
          </w:tcPr>
          <w:p>
            <w:pPr>
              <w:jc w:val="right"/>
              <w:ind w:right="193"/>
              <w:spacing w:after="0"/>
              <w:rPr>
                <w:sz w:val="20"/>
                <w:szCs w:val="20"/>
                <w:color w:val="auto"/>
              </w:rPr>
            </w:pPr>
            <w:r>
              <w:rPr>
                <w:rFonts w:ascii="Times New Roman" w:cs="Times New Roman" w:eastAsia="Times New Roman" w:hAnsi="Times New Roman"/>
                <w:sz w:val="15"/>
                <w:szCs w:val="15"/>
                <w:b w:val="1"/>
                <w:bCs w:val="1"/>
                <w:color w:val="231F20"/>
              </w:rPr>
              <w:t>Principal</w:t>
            </w:r>
          </w:p>
        </w:tc>
        <w:tc>
          <w:tcPr>
            <w:tcW w:w="220" w:type="dxa"/>
            <w:vAlign w:val="bottom"/>
            <w:tcBorders>
              <w:bottom w:val="single" w:sz="8" w:color="D0EBF2"/>
            </w:tcBorders>
            <w:shd w:val="clear" w:color="auto" w:fill="FDFDFC"/>
          </w:tcPr>
          <w:p>
            <w:pPr>
              <w:spacing w:after="0"/>
              <w:rPr>
                <w:sz w:val="16"/>
                <w:szCs w:val="16"/>
                <w:color w:val="auto"/>
              </w:rPr>
            </w:pPr>
          </w:p>
        </w:tc>
        <w:tc>
          <w:tcPr>
            <w:tcW w:w="140" w:type="dxa"/>
            <w:vAlign w:val="bottom"/>
            <w:tcBorders>
              <w:bottom w:val="single" w:sz="8" w:color="231F20"/>
            </w:tcBorders>
            <w:shd w:val="clear" w:color="auto" w:fill="FDFDFC"/>
          </w:tcPr>
          <w:p>
            <w:pPr>
              <w:spacing w:after="0"/>
              <w:rPr>
                <w:sz w:val="16"/>
                <w:szCs w:val="16"/>
                <w:color w:val="auto"/>
              </w:rPr>
            </w:pPr>
          </w:p>
        </w:tc>
        <w:tc>
          <w:tcPr>
            <w:tcW w:w="1020" w:type="dxa"/>
            <w:vAlign w:val="bottom"/>
            <w:tcBorders>
              <w:bottom w:val="single" w:sz="8" w:color="231F20"/>
            </w:tcBorders>
            <w:shd w:val="clear" w:color="auto" w:fill="FDFDFC"/>
          </w:tcPr>
          <w:p>
            <w:pPr>
              <w:jc w:val="right"/>
              <w:ind w:right="131"/>
              <w:spacing w:after="0"/>
              <w:rPr>
                <w:sz w:val="20"/>
                <w:szCs w:val="20"/>
                <w:color w:val="auto"/>
              </w:rPr>
            </w:pPr>
            <w:r>
              <w:rPr>
                <w:rFonts w:ascii="Times New Roman" w:cs="Times New Roman" w:eastAsia="Times New Roman" w:hAnsi="Times New Roman"/>
                <w:sz w:val="15"/>
                <w:szCs w:val="15"/>
                <w:b w:val="1"/>
                <w:bCs w:val="1"/>
                <w:color w:val="231F20"/>
              </w:rPr>
              <w:t xml:space="preserve">Available </w:t>
            </w:r>
            <w:r>
              <w:rPr>
                <w:rFonts w:ascii="Times New Roman" w:cs="Times New Roman" w:eastAsia="Times New Roman" w:hAnsi="Times New Roman"/>
                <w:sz w:val="9"/>
                <w:szCs w:val="9"/>
                <w:b w:val="1"/>
                <w:bCs w:val="1"/>
                <w:color w:val="231F20"/>
              </w:rPr>
              <w:t>(1)</w:t>
            </w:r>
          </w:p>
        </w:tc>
        <w:tc>
          <w:tcPr>
            <w:tcW w:w="220" w:type="dxa"/>
            <w:vAlign w:val="bottom"/>
            <w:tcBorders>
              <w:bottom w:val="single" w:sz="8" w:color="D0EBF2"/>
            </w:tcBorders>
            <w:shd w:val="clear" w:color="auto" w:fill="FDFDFC"/>
          </w:tcPr>
          <w:p>
            <w:pPr>
              <w:spacing w:after="0"/>
              <w:rPr>
                <w:sz w:val="16"/>
                <w:szCs w:val="16"/>
                <w:color w:val="auto"/>
              </w:rPr>
            </w:pPr>
          </w:p>
        </w:tc>
        <w:tc>
          <w:tcPr>
            <w:tcW w:w="160" w:type="dxa"/>
            <w:vAlign w:val="bottom"/>
            <w:tcBorders>
              <w:bottom w:val="single" w:sz="8" w:color="231F20"/>
            </w:tcBorders>
            <w:shd w:val="clear" w:color="auto" w:fill="FDFDFC"/>
          </w:tcPr>
          <w:p>
            <w:pPr>
              <w:spacing w:after="0"/>
              <w:rPr>
                <w:sz w:val="16"/>
                <w:szCs w:val="16"/>
                <w:color w:val="auto"/>
              </w:rPr>
            </w:pPr>
          </w:p>
        </w:tc>
        <w:tc>
          <w:tcPr>
            <w:tcW w:w="980" w:type="dxa"/>
            <w:vAlign w:val="bottom"/>
            <w:tcBorders>
              <w:bottom w:val="single" w:sz="8" w:color="231F20"/>
            </w:tcBorders>
            <w:shd w:val="clear" w:color="auto" w:fill="FDFDFC"/>
          </w:tcPr>
          <w:p>
            <w:pPr>
              <w:jc w:val="right"/>
              <w:ind w:right="176"/>
              <w:spacing w:after="0" w:line="191" w:lineRule="exact"/>
              <w:rPr>
                <w:sz w:val="20"/>
                <w:szCs w:val="20"/>
                <w:color w:val="auto"/>
              </w:rPr>
            </w:pPr>
            <w:r>
              <w:rPr>
                <w:rFonts w:ascii="Times New Roman" w:cs="Times New Roman" w:eastAsia="Times New Roman" w:hAnsi="Times New Roman"/>
                <w:sz w:val="22"/>
                <w:szCs w:val="22"/>
                <w:b w:val="1"/>
                <w:bCs w:val="1"/>
                <w:color w:val="231F20"/>
                <w:vertAlign w:val="subscript"/>
              </w:rPr>
              <w:t>Value</w:t>
            </w:r>
            <w:r>
              <w:rPr>
                <w:rFonts w:ascii="Times New Roman" w:cs="Times New Roman" w:eastAsia="Times New Roman" w:hAnsi="Times New Roman"/>
                <w:sz w:val="8"/>
                <w:szCs w:val="8"/>
                <w:b w:val="1"/>
                <w:bCs w:val="1"/>
                <w:color w:val="231F20"/>
              </w:rPr>
              <w:t xml:space="preserve"> (2)(3)</w:t>
            </w:r>
          </w:p>
        </w:tc>
        <w:tc>
          <w:tcPr>
            <w:tcW w:w="100" w:type="dxa"/>
            <w:vAlign w:val="bottom"/>
            <w:tcBorders>
              <w:bottom w:val="single" w:sz="8" w:color="D0EBF2"/>
            </w:tcBorders>
            <w:shd w:val="clear" w:color="auto" w:fill="FDFDFC"/>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3700" w:type="dxa"/>
            <w:vAlign w:val="bottom"/>
            <w:shd w:val="clear" w:color="auto" w:fill="D0EBF2"/>
          </w:tcPr>
          <w:p>
            <w:pPr>
              <w:spacing w:after="0"/>
              <w:rPr>
                <w:sz w:val="20"/>
                <w:szCs w:val="20"/>
                <w:color w:val="auto"/>
              </w:rPr>
            </w:pPr>
            <w:r>
              <w:rPr>
                <w:rFonts w:ascii="Times New Roman" w:cs="Times New Roman" w:eastAsia="Times New Roman" w:hAnsi="Times New Roman"/>
                <w:sz w:val="19"/>
                <w:szCs w:val="19"/>
                <w:color w:val="231F20"/>
              </w:rPr>
              <w:t>Revolving Credit Facility</w:t>
            </w:r>
          </w:p>
        </w:tc>
        <w:tc>
          <w:tcPr>
            <w:tcW w:w="140" w:type="dxa"/>
            <w:vAlign w:val="bottom"/>
            <w:shd w:val="clear" w:color="auto" w:fill="D0EBF2"/>
          </w:tcPr>
          <w:p>
            <w:pPr>
              <w:spacing w:after="0"/>
              <w:rPr>
                <w:sz w:val="19"/>
                <w:szCs w:val="19"/>
                <w:color w:val="auto"/>
              </w:rPr>
            </w:pPr>
          </w:p>
        </w:tc>
        <w:tc>
          <w:tcPr>
            <w:tcW w:w="140" w:type="dxa"/>
            <w:vAlign w:val="bottom"/>
            <w:shd w:val="clear" w:color="auto" w:fill="D0EBF2"/>
          </w:tcPr>
          <w:p>
            <w:pPr>
              <w:jc w:val="right"/>
              <w:spacing w:after="0"/>
              <w:rPr>
                <w:sz w:val="20"/>
                <w:szCs w:val="20"/>
                <w:color w:val="auto"/>
              </w:rPr>
            </w:pPr>
            <w:r>
              <w:rPr>
                <w:rFonts w:ascii="Times New Roman" w:cs="Times New Roman" w:eastAsia="Times New Roman" w:hAnsi="Times New Roman"/>
                <w:sz w:val="17"/>
                <w:szCs w:val="17"/>
                <w:color w:val="231F20"/>
                <w:w w:val="70"/>
                <w:shd w:val="clear" w:color="auto" w:fill="D0EBF2"/>
              </w:rPr>
              <w:t>$</w:t>
            </w:r>
          </w:p>
        </w:tc>
        <w:tc>
          <w:tcPr>
            <w:tcW w:w="1000" w:type="dxa"/>
            <w:vAlign w:val="bottom"/>
            <w:shd w:val="clear" w:color="auto" w:fill="D0EBF2"/>
          </w:tcPr>
          <w:p>
            <w:pPr>
              <w:jc w:val="right"/>
              <w:spacing w:after="0"/>
              <w:rPr>
                <w:sz w:val="20"/>
                <w:szCs w:val="20"/>
                <w:color w:val="auto"/>
              </w:rPr>
            </w:pPr>
            <w:r>
              <w:rPr>
                <w:rFonts w:ascii="Times New Roman" w:cs="Times New Roman" w:eastAsia="Times New Roman" w:hAnsi="Times New Roman"/>
                <w:sz w:val="19"/>
                <w:szCs w:val="19"/>
                <w:color w:val="231F20"/>
                <w:shd w:val="clear" w:color="auto" w:fill="D0EBF2"/>
              </w:rPr>
              <w:t>1,700,000</w:t>
            </w:r>
          </w:p>
        </w:tc>
        <w:tc>
          <w:tcPr>
            <w:tcW w:w="220" w:type="dxa"/>
            <w:vAlign w:val="bottom"/>
            <w:shd w:val="clear" w:color="auto" w:fill="D0EBF2"/>
          </w:tcPr>
          <w:p>
            <w:pPr>
              <w:spacing w:after="0"/>
              <w:rPr>
                <w:sz w:val="19"/>
                <w:szCs w:val="19"/>
                <w:color w:val="auto"/>
              </w:rPr>
            </w:pPr>
          </w:p>
        </w:tc>
        <w:tc>
          <w:tcPr>
            <w:tcW w:w="120" w:type="dxa"/>
            <w:vAlign w:val="bottom"/>
            <w:shd w:val="clear" w:color="auto" w:fill="D0EBF2"/>
          </w:tcPr>
          <w:p>
            <w:pPr>
              <w:jc w:val="right"/>
              <w:spacing w:after="0"/>
              <w:rPr>
                <w:sz w:val="20"/>
                <w:szCs w:val="20"/>
                <w:color w:val="auto"/>
              </w:rPr>
            </w:pPr>
            <w:r>
              <w:rPr>
                <w:rFonts w:ascii="Times New Roman" w:cs="Times New Roman" w:eastAsia="Times New Roman" w:hAnsi="Times New Roman"/>
                <w:sz w:val="19"/>
                <w:szCs w:val="19"/>
                <w:color w:val="231F20"/>
                <w:w w:val="83"/>
                <w:shd w:val="clear" w:color="auto" w:fill="D0EBF2"/>
              </w:rPr>
              <w:t>$</w:t>
            </w:r>
          </w:p>
        </w:tc>
        <w:tc>
          <w:tcPr>
            <w:tcW w:w="1020" w:type="dxa"/>
            <w:vAlign w:val="bottom"/>
            <w:shd w:val="clear" w:color="auto" w:fill="D0EBF2"/>
          </w:tcPr>
          <w:p>
            <w:pPr>
              <w:jc w:val="right"/>
              <w:spacing w:after="0"/>
              <w:rPr>
                <w:sz w:val="20"/>
                <w:szCs w:val="20"/>
                <w:color w:val="auto"/>
              </w:rPr>
            </w:pPr>
            <w:r>
              <w:rPr>
                <w:rFonts w:ascii="Times New Roman" w:cs="Times New Roman" w:eastAsia="Times New Roman" w:hAnsi="Times New Roman"/>
                <w:sz w:val="19"/>
                <w:szCs w:val="19"/>
                <w:color w:val="231F20"/>
                <w:shd w:val="clear" w:color="auto" w:fill="D0EBF2"/>
              </w:rPr>
              <w:t>1,004,058</w:t>
            </w:r>
          </w:p>
        </w:tc>
        <w:tc>
          <w:tcPr>
            <w:tcW w:w="220" w:type="dxa"/>
            <w:vAlign w:val="bottom"/>
            <w:shd w:val="clear" w:color="auto" w:fill="D0EBF2"/>
          </w:tcPr>
          <w:p>
            <w:pPr>
              <w:spacing w:after="0"/>
              <w:rPr>
                <w:sz w:val="19"/>
                <w:szCs w:val="19"/>
                <w:color w:val="auto"/>
              </w:rPr>
            </w:pPr>
          </w:p>
        </w:tc>
        <w:tc>
          <w:tcPr>
            <w:tcW w:w="140" w:type="dxa"/>
            <w:vAlign w:val="bottom"/>
            <w:shd w:val="clear" w:color="auto" w:fill="D0EBF2"/>
          </w:tcPr>
          <w:p>
            <w:pPr>
              <w:jc w:val="right"/>
              <w:spacing w:after="0"/>
              <w:rPr>
                <w:sz w:val="20"/>
                <w:szCs w:val="20"/>
                <w:color w:val="auto"/>
              </w:rPr>
            </w:pPr>
            <w:r>
              <w:rPr>
                <w:rFonts w:ascii="Times New Roman" w:cs="Times New Roman" w:eastAsia="Times New Roman" w:hAnsi="Times New Roman"/>
                <w:sz w:val="19"/>
                <w:szCs w:val="19"/>
                <w:color w:val="231F20"/>
                <w:w w:val="83"/>
              </w:rPr>
              <w:t>$</w:t>
            </w:r>
          </w:p>
        </w:tc>
        <w:tc>
          <w:tcPr>
            <w:tcW w:w="1020" w:type="dxa"/>
            <w:vAlign w:val="bottom"/>
            <w:shd w:val="clear" w:color="auto" w:fill="D0EBF2"/>
          </w:tcPr>
          <w:p>
            <w:pPr>
              <w:jc w:val="right"/>
              <w:spacing w:after="0"/>
              <w:rPr>
                <w:sz w:val="20"/>
                <w:szCs w:val="20"/>
                <w:color w:val="auto"/>
              </w:rPr>
            </w:pPr>
            <w:r>
              <w:rPr>
                <w:rFonts w:ascii="Times New Roman" w:cs="Times New Roman" w:eastAsia="Times New Roman" w:hAnsi="Times New Roman"/>
                <w:sz w:val="19"/>
                <w:szCs w:val="19"/>
                <w:color w:val="231F20"/>
              </w:rPr>
              <w:t>674,190</w:t>
            </w:r>
          </w:p>
        </w:tc>
        <w:tc>
          <w:tcPr>
            <w:tcW w:w="220" w:type="dxa"/>
            <w:vAlign w:val="bottom"/>
            <w:shd w:val="clear" w:color="auto" w:fill="D0EBF2"/>
          </w:tcPr>
          <w:p>
            <w:pPr>
              <w:spacing w:after="0"/>
              <w:rPr>
                <w:sz w:val="19"/>
                <w:szCs w:val="19"/>
                <w:color w:val="auto"/>
              </w:rPr>
            </w:pPr>
          </w:p>
        </w:tc>
        <w:tc>
          <w:tcPr>
            <w:tcW w:w="160" w:type="dxa"/>
            <w:vAlign w:val="bottom"/>
            <w:shd w:val="clear" w:color="auto" w:fill="D0EBF2"/>
          </w:tcPr>
          <w:p>
            <w:pPr>
              <w:jc w:val="right"/>
              <w:spacing w:after="0"/>
              <w:rPr>
                <w:sz w:val="20"/>
                <w:szCs w:val="20"/>
                <w:color w:val="auto"/>
              </w:rPr>
            </w:pPr>
            <w:r>
              <w:rPr>
                <w:rFonts w:ascii="Times New Roman" w:cs="Times New Roman" w:eastAsia="Times New Roman" w:hAnsi="Times New Roman"/>
                <w:sz w:val="19"/>
                <w:szCs w:val="19"/>
                <w:color w:val="231F20"/>
                <w:w w:val="83"/>
              </w:rPr>
              <w:t>$</w:t>
            </w:r>
          </w:p>
        </w:tc>
        <w:tc>
          <w:tcPr>
            <w:tcW w:w="980" w:type="dxa"/>
            <w:vAlign w:val="bottom"/>
            <w:shd w:val="clear" w:color="auto" w:fill="D0EBF2"/>
          </w:tcPr>
          <w:p>
            <w:pPr>
              <w:jc w:val="right"/>
              <w:spacing w:after="0"/>
              <w:rPr>
                <w:sz w:val="20"/>
                <w:szCs w:val="20"/>
                <w:color w:val="auto"/>
              </w:rPr>
            </w:pPr>
            <w:r>
              <w:rPr>
                <w:rFonts w:ascii="Times New Roman" w:cs="Times New Roman" w:eastAsia="Times New Roman" w:hAnsi="Times New Roman"/>
                <w:sz w:val="19"/>
                <w:szCs w:val="19"/>
                <w:color w:val="231F20"/>
              </w:rPr>
              <w:t>988,624</w:t>
            </w:r>
          </w:p>
        </w:tc>
        <w:tc>
          <w:tcPr>
            <w:tcW w:w="100" w:type="dxa"/>
            <w:vAlign w:val="bottom"/>
            <w:shd w:val="clear" w:color="auto" w:fill="D0EBF2"/>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00" w:type="dxa"/>
            <w:vAlign w:val="bottom"/>
            <w:shd w:val="clear" w:color="auto" w:fill="FDFDFC"/>
          </w:tcPr>
          <w:p>
            <w:pPr>
              <w:spacing w:after="0"/>
              <w:rPr>
                <w:sz w:val="20"/>
                <w:szCs w:val="20"/>
                <w:color w:val="auto"/>
              </w:rPr>
            </w:pPr>
            <w:r>
              <w:rPr>
                <w:rFonts w:ascii="Times New Roman" w:cs="Times New Roman" w:eastAsia="Times New Roman" w:hAnsi="Times New Roman"/>
                <w:sz w:val="19"/>
                <w:szCs w:val="19"/>
                <w:color w:val="231F20"/>
              </w:rPr>
              <w:t>2026 Notes</w:t>
            </w:r>
          </w:p>
        </w:tc>
        <w:tc>
          <w:tcPr>
            <w:tcW w:w="140" w:type="dxa"/>
            <w:vAlign w:val="bottom"/>
            <w:shd w:val="clear" w:color="auto" w:fill="FDFDFC"/>
          </w:tcPr>
          <w:p>
            <w:pPr>
              <w:spacing w:after="0"/>
              <w:rPr>
                <w:sz w:val="20"/>
                <w:szCs w:val="20"/>
                <w:color w:val="auto"/>
              </w:rPr>
            </w:pPr>
          </w:p>
        </w:tc>
        <w:tc>
          <w:tcPr>
            <w:tcW w:w="140" w:type="dxa"/>
            <w:vAlign w:val="bottom"/>
            <w:shd w:val="clear" w:color="auto" w:fill="FDFDFC"/>
          </w:tcPr>
          <w:p>
            <w:pPr>
              <w:spacing w:after="0"/>
              <w:rPr>
                <w:sz w:val="20"/>
                <w:szCs w:val="20"/>
                <w:color w:val="auto"/>
              </w:rPr>
            </w:pPr>
          </w:p>
        </w:tc>
        <w:tc>
          <w:tcPr>
            <w:tcW w:w="1000" w:type="dxa"/>
            <w:vAlign w:val="bottom"/>
            <w:shd w:val="clear" w:color="auto" w:fill="FDFDFC"/>
          </w:tcPr>
          <w:p>
            <w:pPr>
              <w:jc w:val="right"/>
              <w:spacing w:after="0"/>
              <w:rPr>
                <w:sz w:val="20"/>
                <w:szCs w:val="20"/>
                <w:color w:val="auto"/>
              </w:rPr>
            </w:pPr>
            <w:r>
              <w:rPr>
                <w:rFonts w:ascii="Times New Roman" w:cs="Times New Roman" w:eastAsia="Times New Roman" w:hAnsi="Times New Roman"/>
                <w:sz w:val="19"/>
                <w:szCs w:val="19"/>
                <w:color w:val="231F20"/>
              </w:rPr>
              <w:t>300,000</w:t>
            </w:r>
          </w:p>
        </w:tc>
        <w:tc>
          <w:tcPr>
            <w:tcW w:w="220" w:type="dxa"/>
            <w:vAlign w:val="bottom"/>
            <w:shd w:val="clear" w:color="auto" w:fill="FDFDFC"/>
          </w:tcPr>
          <w:p>
            <w:pPr>
              <w:spacing w:after="0"/>
              <w:rPr>
                <w:sz w:val="20"/>
                <w:szCs w:val="20"/>
                <w:color w:val="auto"/>
              </w:rPr>
            </w:pPr>
          </w:p>
        </w:tc>
        <w:tc>
          <w:tcPr>
            <w:tcW w:w="120" w:type="dxa"/>
            <w:vAlign w:val="bottom"/>
            <w:shd w:val="clear" w:color="auto" w:fill="FDFDFC"/>
          </w:tcPr>
          <w:p>
            <w:pPr>
              <w:spacing w:after="0"/>
              <w:rPr>
                <w:sz w:val="20"/>
                <w:szCs w:val="20"/>
                <w:color w:val="auto"/>
              </w:rPr>
            </w:pPr>
          </w:p>
        </w:tc>
        <w:tc>
          <w:tcPr>
            <w:tcW w:w="1020" w:type="dxa"/>
            <w:vAlign w:val="bottom"/>
            <w:shd w:val="clear" w:color="auto" w:fill="FDFDFC"/>
          </w:tcPr>
          <w:p>
            <w:pPr>
              <w:jc w:val="right"/>
              <w:spacing w:after="0"/>
              <w:rPr>
                <w:sz w:val="20"/>
                <w:szCs w:val="20"/>
                <w:color w:val="auto"/>
              </w:rPr>
            </w:pPr>
            <w:r>
              <w:rPr>
                <w:rFonts w:ascii="Times New Roman" w:cs="Times New Roman" w:eastAsia="Times New Roman" w:hAnsi="Times New Roman"/>
                <w:sz w:val="19"/>
                <w:szCs w:val="19"/>
                <w:color w:val="231F20"/>
              </w:rPr>
              <w:t>300,000</w:t>
            </w:r>
          </w:p>
        </w:tc>
        <w:tc>
          <w:tcPr>
            <w:tcW w:w="220" w:type="dxa"/>
            <w:vAlign w:val="bottom"/>
            <w:shd w:val="clear" w:color="auto" w:fill="FDFDFC"/>
          </w:tcPr>
          <w:p>
            <w:pPr>
              <w:spacing w:after="0"/>
              <w:rPr>
                <w:sz w:val="20"/>
                <w:szCs w:val="20"/>
                <w:color w:val="auto"/>
              </w:rPr>
            </w:pPr>
          </w:p>
        </w:tc>
        <w:tc>
          <w:tcPr>
            <w:tcW w:w="140" w:type="dxa"/>
            <w:vAlign w:val="bottom"/>
            <w:shd w:val="clear" w:color="auto" w:fill="FDFDFC"/>
          </w:tcPr>
          <w:p>
            <w:pPr>
              <w:spacing w:after="0"/>
              <w:rPr>
                <w:sz w:val="20"/>
                <w:szCs w:val="20"/>
                <w:color w:val="auto"/>
              </w:rPr>
            </w:pPr>
          </w:p>
        </w:tc>
        <w:tc>
          <w:tcPr>
            <w:tcW w:w="1020" w:type="dxa"/>
            <w:vAlign w:val="bottom"/>
            <w:shd w:val="clear" w:color="auto" w:fill="FDFDFC"/>
          </w:tcPr>
          <w:p>
            <w:pPr>
              <w:jc w:val="right"/>
              <w:spacing w:after="0"/>
              <w:rPr>
                <w:sz w:val="20"/>
                <w:szCs w:val="20"/>
                <w:color w:val="auto"/>
              </w:rPr>
            </w:pPr>
            <w:r>
              <w:rPr>
                <w:rFonts w:ascii="Times New Roman" w:cs="Times New Roman" w:eastAsia="Times New Roman" w:hAnsi="Times New Roman"/>
                <w:sz w:val="19"/>
                <w:szCs w:val="19"/>
                <w:color w:val="231F20"/>
              </w:rPr>
              <w:t>—</w:t>
            </w:r>
          </w:p>
        </w:tc>
        <w:tc>
          <w:tcPr>
            <w:tcW w:w="220" w:type="dxa"/>
            <w:vAlign w:val="bottom"/>
            <w:shd w:val="clear" w:color="auto" w:fill="FDFDFC"/>
          </w:tcPr>
          <w:p>
            <w:pPr>
              <w:spacing w:after="0"/>
              <w:rPr>
                <w:sz w:val="20"/>
                <w:szCs w:val="20"/>
                <w:color w:val="auto"/>
              </w:rPr>
            </w:pPr>
          </w:p>
        </w:tc>
        <w:tc>
          <w:tcPr>
            <w:tcW w:w="160" w:type="dxa"/>
            <w:vAlign w:val="bottom"/>
            <w:shd w:val="clear" w:color="auto" w:fill="FDFDFC"/>
          </w:tcPr>
          <w:p>
            <w:pPr>
              <w:spacing w:after="0"/>
              <w:rPr>
                <w:sz w:val="20"/>
                <w:szCs w:val="20"/>
                <w:color w:val="auto"/>
              </w:rPr>
            </w:pPr>
          </w:p>
        </w:tc>
        <w:tc>
          <w:tcPr>
            <w:tcW w:w="980" w:type="dxa"/>
            <w:vAlign w:val="bottom"/>
            <w:shd w:val="clear" w:color="auto" w:fill="FDFDFC"/>
          </w:tcPr>
          <w:p>
            <w:pPr>
              <w:jc w:val="right"/>
              <w:spacing w:after="0"/>
              <w:rPr>
                <w:sz w:val="20"/>
                <w:szCs w:val="20"/>
                <w:color w:val="auto"/>
              </w:rPr>
            </w:pPr>
            <w:r>
              <w:rPr>
                <w:rFonts w:ascii="Times New Roman" w:cs="Times New Roman" w:eastAsia="Times New Roman" w:hAnsi="Times New Roman"/>
                <w:sz w:val="19"/>
                <w:szCs w:val="19"/>
                <w:color w:val="231F20"/>
              </w:rPr>
              <w:t>280,534</w:t>
            </w:r>
          </w:p>
        </w:tc>
        <w:tc>
          <w:tcPr>
            <w:tcW w:w="100" w:type="dxa"/>
            <w:vAlign w:val="bottom"/>
            <w:shd w:val="clear" w:color="auto" w:fill="FDFD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3700" w:type="dxa"/>
            <w:vAlign w:val="bottom"/>
            <w:shd w:val="clear" w:color="auto" w:fill="D0EBF2"/>
          </w:tcPr>
          <w:p>
            <w:pPr>
              <w:spacing w:after="0"/>
              <w:rPr>
                <w:sz w:val="20"/>
                <w:szCs w:val="20"/>
                <w:color w:val="auto"/>
              </w:rPr>
            </w:pPr>
            <w:r>
              <w:rPr>
                <w:rFonts w:ascii="Times New Roman" w:cs="Times New Roman" w:eastAsia="Times New Roman" w:hAnsi="Times New Roman"/>
                <w:sz w:val="19"/>
                <w:szCs w:val="19"/>
                <w:color w:val="231F20"/>
              </w:rPr>
              <w:t>2028 Notes</w:t>
            </w:r>
          </w:p>
        </w:tc>
        <w:tc>
          <w:tcPr>
            <w:tcW w:w="140" w:type="dxa"/>
            <w:vAlign w:val="bottom"/>
            <w:shd w:val="clear" w:color="auto" w:fill="D0EBF2"/>
          </w:tcPr>
          <w:p>
            <w:pPr>
              <w:spacing w:after="0"/>
              <w:rPr>
                <w:sz w:val="20"/>
                <w:szCs w:val="20"/>
                <w:color w:val="auto"/>
              </w:rPr>
            </w:pPr>
          </w:p>
        </w:tc>
        <w:tc>
          <w:tcPr>
            <w:tcW w:w="140" w:type="dxa"/>
            <w:vAlign w:val="bottom"/>
            <w:shd w:val="clear" w:color="auto" w:fill="D0EBF2"/>
          </w:tcPr>
          <w:p>
            <w:pPr>
              <w:spacing w:after="0"/>
              <w:rPr>
                <w:sz w:val="20"/>
                <w:szCs w:val="20"/>
                <w:color w:val="auto"/>
              </w:rPr>
            </w:pPr>
          </w:p>
        </w:tc>
        <w:tc>
          <w:tcPr>
            <w:tcW w:w="1000" w:type="dxa"/>
            <w:vAlign w:val="bottom"/>
            <w:shd w:val="clear" w:color="auto" w:fill="D0EBF2"/>
          </w:tcPr>
          <w:p>
            <w:pPr>
              <w:jc w:val="right"/>
              <w:spacing w:after="0"/>
              <w:rPr>
                <w:sz w:val="20"/>
                <w:szCs w:val="20"/>
                <w:color w:val="auto"/>
              </w:rPr>
            </w:pPr>
            <w:r>
              <w:rPr>
                <w:rFonts w:ascii="Times New Roman" w:cs="Times New Roman" w:eastAsia="Times New Roman" w:hAnsi="Times New Roman"/>
                <w:sz w:val="19"/>
                <w:szCs w:val="19"/>
                <w:color w:val="231F20"/>
              </w:rPr>
              <w:t>300,000</w:t>
            </w:r>
          </w:p>
        </w:tc>
        <w:tc>
          <w:tcPr>
            <w:tcW w:w="220" w:type="dxa"/>
            <w:vAlign w:val="bottom"/>
            <w:shd w:val="clear" w:color="auto" w:fill="D0EBF2"/>
          </w:tcPr>
          <w:p>
            <w:pPr>
              <w:spacing w:after="0"/>
              <w:rPr>
                <w:sz w:val="20"/>
                <w:szCs w:val="20"/>
                <w:color w:val="auto"/>
              </w:rPr>
            </w:pPr>
          </w:p>
        </w:tc>
        <w:tc>
          <w:tcPr>
            <w:tcW w:w="120" w:type="dxa"/>
            <w:vAlign w:val="bottom"/>
            <w:shd w:val="clear" w:color="auto" w:fill="D0EBF2"/>
          </w:tcPr>
          <w:p>
            <w:pPr>
              <w:spacing w:after="0"/>
              <w:rPr>
                <w:sz w:val="20"/>
                <w:szCs w:val="20"/>
                <w:color w:val="auto"/>
              </w:rPr>
            </w:pPr>
          </w:p>
        </w:tc>
        <w:tc>
          <w:tcPr>
            <w:tcW w:w="1020" w:type="dxa"/>
            <w:vAlign w:val="bottom"/>
            <w:shd w:val="clear" w:color="auto" w:fill="D0EBF2"/>
          </w:tcPr>
          <w:p>
            <w:pPr>
              <w:jc w:val="right"/>
              <w:spacing w:after="0"/>
              <w:rPr>
                <w:sz w:val="20"/>
                <w:szCs w:val="20"/>
                <w:color w:val="auto"/>
              </w:rPr>
            </w:pPr>
            <w:r>
              <w:rPr>
                <w:rFonts w:ascii="Times New Roman" w:cs="Times New Roman" w:eastAsia="Times New Roman" w:hAnsi="Times New Roman"/>
                <w:sz w:val="19"/>
                <w:szCs w:val="19"/>
                <w:color w:val="231F20"/>
              </w:rPr>
              <w:t>300,000</w:t>
            </w:r>
          </w:p>
        </w:tc>
        <w:tc>
          <w:tcPr>
            <w:tcW w:w="220" w:type="dxa"/>
            <w:vAlign w:val="bottom"/>
            <w:shd w:val="clear" w:color="auto" w:fill="D0EBF2"/>
          </w:tcPr>
          <w:p>
            <w:pPr>
              <w:spacing w:after="0"/>
              <w:rPr>
                <w:sz w:val="20"/>
                <w:szCs w:val="20"/>
                <w:color w:val="auto"/>
              </w:rPr>
            </w:pPr>
          </w:p>
        </w:tc>
        <w:tc>
          <w:tcPr>
            <w:tcW w:w="140" w:type="dxa"/>
            <w:vAlign w:val="bottom"/>
            <w:shd w:val="clear" w:color="auto" w:fill="D0EBF2"/>
          </w:tcPr>
          <w:p>
            <w:pPr>
              <w:spacing w:after="0"/>
              <w:rPr>
                <w:sz w:val="20"/>
                <w:szCs w:val="20"/>
                <w:color w:val="auto"/>
              </w:rPr>
            </w:pPr>
          </w:p>
        </w:tc>
        <w:tc>
          <w:tcPr>
            <w:tcW w:w="1020" w:type="dxa"/>
            <w:vAlign w:val="bottom"/>
            <w:shd w:val="clear" w:color="auto" w:fill="D0EBF2"/>
          </w:tcPr>
          <w:p>
            <w:pPr>
              <w:jc w:val="right"/>
              <w:spacing w:after="0"/>
              <w:rPr>
                <w:sz w:val="20"/>
                <w:szCs w:val="20"/>
                <w:color w:val="auto"/>
              </w:rPr>
            </w:pPr>
            <w:r>
              <w:rPr>
                <w:rFonts w:ascii="Times New Roman" w:cs="Times New Roman" w:eastAsia="Times New Roman" w:hAnsi="Times New Roman"/>
                <w:sz w:val="19"/>
                <w:szCs w:val="19"/>
                <w:color w:val="231F20"/>
              </w:rPr>
              <w:t>—</w:t>
            </w:r>
          </w:p>
        </w:tc>
        <w:tc>
          <w:tcPr>
            <w:tcW w:w="220" w:type="dxa"/>
            <w:vAlign w:val="bottom"/>
            <w:shd w:val="clear" w:color="auto" w:fill="D0EBF2"/>
          </w:tcPr>
          <w:p>
            <w:pPr>
              <w:spacing w:after="0"/>
              <w:rPr>
                <w:sz w:val="20"/>
                <w:szCs w:val="20"/>
                <w:color w:val="auto"/>
              </w:rPr>
            </w:pPr>
          </w:p>
        </w:tc>
        <w:tc>
          <w:tcPr>
            <w:tcW w:w="160" w:type="dxa"/>
            <w:vAlign w:val="bottom"/>
            <w:shd w:val="clear" w:color="auto" w:fill="D0EBF2"/>
          </w:tcPr>
          <w:p>
            <w:pPr>
              <w:spacing w:after="0"/>
              <w:rPr>
                <w:sz w:val="20"/>
                <w:szCs w:val="20"/>
                <w:color w:val="auto"/>
              </w:rPr>
            </w:pPr>
          </w:p>
        </w:tc>
        <w:tc>
          <w:tcPr>
            <w:tcW w:w="980" w:type="dxa"/>
            <w:vAlign w:val="bottom"/>
            <w:shd w:val="clear" w:color="auto" w:fill="D0EBF2"/>
          </w:tcPr>
          <w:p>
            <w:pPr>
              <w:jc w:val="right"/>
              <w:spacing w:after="0"/>
              <w:rPr>
                <w:sz w:val="20"/>
                <w:szCs w:val="20"/>
                <w:color w:val="auto"/>
              </w:rPr>
            </w:pPr>
            <w:r>
              <w:rPr>
                <w:rFonts w:ascii="Times New Roman" w:cs="Times New Roman" w:eastAsia="Times New Roman" w:hAnsi="Times New Roman"/>
                <w:sz w:val="19"/>
                <w:szCs w:val="19"/>
                <w:color w:val="231F20"/>
              </w:rPr>
              <w:t>294,139</w:t>
            </w:r>
          </w:p>
        </w:tc>
        <w:tc>
          <w:tcPr>
            <w:tcW w:w="100" w:type="dxa"/>
            <w:vAlign w:val="bottom"/>
            <w:shd w:val="clear" w:color="auto" w:fill="D0EBF2"/>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3700" w:type="dxa"/>
            <w:vAlign w:val="bottom"/>
            <w:tcBorders>
              <w:bottom w:val="single" w:sz="8" w:color="D0EBF2"/>
            </w:tcBorders>
            <w:shd w:val="clear" w:color="auto" w:fill="FDFDFC"/>
          </w:tcPr>
          <w:p>
            <w:pPr>
              <w:spacing w:after="0"/>
              <w:rPr>
                <w:sz w:val="20"/>
                <w:szCs w:val="20"/>
                <w:color w:val="auto"/>
              </w:rPr>
            </w:pPr>
            <w:r>
              <w:rPr>
                <w:rFonts w:ascii="Times New Roman" w:cs="Times New Roman" w:eastAsia="Times New Roman" w:hAnsi="Times New Roman"/>
                <w:sz w:val="19"/>
                <w:szCs w:val="19"/>
                <w:color w:val="231F20"/>
              </w:rPr>
              <w:t>2029 Notes</w:t>
            </w:r>
          </w:p>
        </w:tc>
        <w:tc>
          <w:tcPr>
            <w:tcW w:w="140" w:type="dxa"/>
            <w:vAlign w:val="bottom"/>
            <w:tcBorders>
              <w:bottom w:val="single" w:sz="8" w:color="D0EBF2"/>
            </w:tcBorders>
            <w:shd w:val="clear" w:color="auto" w:fill="FDFDFC"/>
          </w:tcPr>
          <w:p>
            <w:pPr>
              <w:spacing w:after="0"/>
              <w:rPr>
                <w:sz w:val="20"/>
                <w:szCs w:val="20"/>
                <w:color w:val="auto"/>
              </w:rPr>
            </w:pPr>
          </w:p>
        </w:tc>
        <w:tc>
          <w:tcPr>
            <w:tcW w:w="140" w:type="dxa"/>
            <w:vAlign w:val="bottom"/>
            <w:tcBorders>
              <w:bottom w:val="single" w:sz="8" w:color="231F20"/>
            </w:tcBorders>
            <w:shd w:val="clear" w:color="auto" w:fill="FDFDFC"/>
          </w:tcPr>
          <w:p>
            <w:pPr>
              <w:spacing w:after="0"/>
              <w:rPr>
                <w:sz w:val="20"/>
                <w:szCs w:val="20"/>
                <w:color w:val="auto"/>
              </w:rPr>
            </w:pPr>
          </w:p>
        </w:tc>
        <w:tc>
          <w:tcPr>
            <w:tcW w:w="1000" w:type="dxa"/>
            <w:vAlign w:val="bottom"/>
            <w:tcBorders>
              <w:bottom w:val="single" w:sz="8" w:color="231F20"/>
            </w:tcBorders>
            <w:shd w:val="clear" w:color="auto" w:fill="FDFDFC"/>
          </w:tcPr>
          <w:p>
            <w:pPr>
              <w:jc w:val="right"/>
              <w:spacing w:after="0"/>
              <w:rPr>
                <w:sz w:val="20"/>
                <w:szCs w:val="20"/>
                <w:color w:val="auto"/>
              </w:rPr>
            </w:pPr>
            <w:r>
              <w:rPr>
                <w:rFonts w:ascii="Times New Roman" w:cs="Times New Roman" w:eastAsia="Times New Roman" w:hAnsi="Times New Roman"/>
                <w:sz w:val="19"/>
                <w:szCs w:val="19"/>
                <w:color w:val="231F20"/>
              </w:rPr>
              <w:t>350,000</w:t>
            </w:r>
          </w:p>
        </w:tc>
        <w:tc>
          <w:tcPr>
            <w:tcW w:w="220" w:type="dxa"/>
            <w:vAlign w:val="bottom"/>
            <w:tcBorders>
              <w:bottom w:val="single" w:sz="8" w:color="D0EBF2"/>
            </w:tcBorders>
            <w:shd w:val="clear" w:color="auto" w:fill="FDFDFC"/>
          </w:tcPr>
          <w:p>
            <w:pPr>
              <w:spacing w:after="0"/>
              <w:rPr>
                <w:sz w:val="20"/>
                <w:szCs w:val="20"/>
                <w:color w:val="auto"/>
              </w:rPr>
            </w:pPr>
          </w:p>
        </w:tc>
        <w:tc>
          <w:tcPr>
            <w:tcW w:w="120" w:type="dxa"/>
            <w:vAlign w:val="bottom"/>
            <w:tcBorders>
              <w:bottom w:val="single" w:sz="8" w:color="231F20"/>
            </w:tcBorders>
            <w:shd w:val="clear" w:color="auto" w:fill="FDFDFC"/>
          </w:tcPr>
          <w:p>
            <w:pPr>
              <w:spacing w:after="0"/>
              <w:rPr>
                <w:sz w:val="20"/>
                <w:szCs w:val="20"/>
                <w:color w:val="auto"/>
              </w:rPr>
            </w:pPr>
          </w:p>
        </w:tc>
        <w:tc>
          <w:tcPr>
            <w:tcW w:w="1020" w:type="dxa"/>
            <w:vAlign w:val="bottom"/>
            <w:tcBorders>
              <w:bottom w:val="single" w:sz="8" w:color="231F20"/>
            </w:tcBorders>
            <w:shd w:val="clear" w:color="auto" w:fill="FDFDFC"/>
          </w:tcPr>
          <w:p>
            <w:pPr>
              <w:jc w:val="right"/>
              <w:spacing w:after="0"/>
              <w:rPr>
                <w:sz w:val="20"/>
                <w:szCs w:val="20"/>
                <w:color w:val="auto"/>
              </w:rPr>
            </w:pPr>
            <w:r>
              <w:rPr>
                <w:rFonts w:ascii="Times New Roman" w:cs="Times New Roman" w:eastAsia="Times New Roman" w:hAnsi="Times New Roman"/>
                <w:sz w:val="19"/>
                <w:szCs w:val="19"/>
                <w:color w:val="231F20"/>
              </w:rPr>
              <w:t>350,000</w:t>
            </w:r>
          </w:p>
        </w:tc>
        <w:tc>
          <w:tcPr>
            <w:tcW w:w="220" w:type="dxa"/>
            <w:vAlign w:val="bottom"/>
            <w:tcBorders>
              <w:bottom w:val="single" w:sz="8" w:color="D0EBF2"/>
            </w:tcBorders>
            <w:shd w:val="clear" w:color="auto" w:fill="FDFDFC"/>
          </w:tcPr>
          <w:p>
            <w:pPr>
              <w:spacing w:after="0"/>
              <w:rPr>
                <w:sz w:val="20"/>
                <w:szCs w:val="20"/>
                <w:color w:val="auto"/>
              </w:rPr>
            </w:pPr>
          </w:p>
        </w:tc>
        <w:tc>
          <w:tcPr>
            <w:tcW w:w="140" w:type="dxa"/>
            <w:vAlign w:val="bottom"/>
            <w:tcBorders>
              <w:bottom w:val="single" w:sz="8" w:color="231F20"/>
            </w:tcBorders>
            <w:shd w:val="clear" w:color="auto" w:fill="FDFDFC"/>
          </w:tcPr>
          <w:p>
            <w:pPr>
              <w:spacing w:after="0"/>
              <w:rPr>
                <w:sz w:val="20"/>
                <w:szCs w:val="20"/>
                <w:color w:val="auto"/>
              </w:rPr>
            </w:pPr>
          </w:p>
        </w:tc>
        <w:tc>
          <w:tcPr>
            <w:tcW w:w="1020" w:type="dxa"/>
            <w:vAlign w:val="bottom"/>
            <w:tcBorders>
              <w:bottom w:val="single" w:sz="8" w:color="231F20"/>
            </w:tcBorders>
            <w:shd w:val="clear" w:color="auto" w:fill="FDFDFC"/>
          </w:tcPr>
          <w:p>
            <w:pPr>
              <w:jc w:val="right"/>
              <w:spacing w:after="0"/>
              <w:rPr>
                <w:sz w:val="20"/>
                <w:szCs w:val="20"/>
                <w:color w:val="auto"/>
              </w:rPr>
            </w:pPr>
            <w:r>
              <w:rPr>
                <w:rFonts w:ascii="Times New Roman" w:cs="Times New Roman" w:eastAsia="Times New Roman" w:hAnsi="Times New Roman"/>
                <w:sz w:val="19"/>
                <w:szCs w:val="19"/>
                <w:color w:val="231F20"/>
              </w:rPr>
              <w:t>—</w:t>
            </w:r>
          </w:p>
        </w:tc>
        <w:tc>
          <w:tcPr>
            <w:tcW w:w="220" w:type="dxa"/>
            <w:vAlign w:val="bottom"/>
            <w:tcBorders>
              <w:bottom w:val="single" w:sz="8" w:color="D0EBF2"/>
            </w:tcBorders>
            <w:shd w:val="clear" w:color="auto" w:fill="FDFDFC"/>
          </w:tcPr>
          <w:p>
            <w:pPr>
              <w:spacing w:after="0"/>
              <w:rPr>
                <w:sz w:val="20"/>
                <w:szCs w:val="20"/>
                <w:color w:val="auto"/>
              </w:rPr>
            </w:pPr>
          </w:p>
        </w:tc>
        <w:tc>
          <w:tcPr>
            <w:tcW w:w="160" w:type="dxa"/>
            <w:vAlign w:val="bottom"/>
            <w:tcBorders>
              <w:bottom w:val="single" w:sz="8" w:color="231F20"/>
            </w:tcBorders>
            <w:shd w:val="clear" w:color="auto" w:fill="FDFDFC"/>
          </w:tcPr>
          <w:p>
            <w:pPr>
              <w:spacing w:after="0"/>
              <w:rPr>
                <w:sz w:val="20"/>
                <w:szCs w:val="20"/>
                <w:color w:val="auto"/>
              </w:rPr>
            </w:pPr>
          </w:p>
        </w:tc>
        <w:tc>
          <w:tcPr>
            <w:tcW w:w="980" w:type="dxa"/>
            <w:vAlign w:val="bottom"/>
            <w:tcBorders>
              <w:bottom w:val="single" w:sz="8" w:color="231F20"/>
            </w:tcBorders>
            <w:shd w:val="clear" w:color="auto" w:fill="FDFDFC"/>
          </w:tcPr>
          <w:p>
            <w:pPr>
              <w:jc w:val="right"/>
              <w:spacing w:after="0"/>
              <w:rPr>
                <w:sz w:val="20"/>
                <w:szCs w:val="20"/>
                <w:color w:val="auto"/>
              </w:rPr>
            </w:pPr>
            <w:r>
              <w:rPr>
                <w:rFonts w:ascii="Times New Roman" w:cs="Times New Roman" w:eastAsia="Times New Roman" w:hAnsi="Times New Roman"/>
                <w:sz w:val="19"/>
                <w:szCs w:val="19"/>
                <w:color w:val="231F20"/>
              </w:rPr>
              <w:t>337,845</w:t>
            </w:r>
          </w:p>
        </w:tc>
        <w:tc>
          <w:tcPr>
            <w:tcW w:w="100" w:type="dxa"/>
            <w:vAlign w:val="bottom"/>
            <w:tcBorders>
              <w:bottom w:val="single" w:sz="8" w:color="D0EBF2"/>
            </w:tcBorders>
            <w:shd w:val="clear" w:color="auto" w:fill="FDFDFC"/>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3700" w:type="dxa"/>
            <w:vAlign w:val="bottom"/>
            <w:shd w:val="clear" w:color="auto" w:fill="D0EBF2"/>
          </w:tcPr>
          <w:p>
            <w:pPr>
              <w:ind w:left="180"/>
              <w:spacing w:after="0"/>
              <w:rPr>
                <w:sz w:val="20"/>
                <w:szCs w:val="20"/>
                <w:color w:val="auto"/>
              </w:rPr>
            </w:pPr>
            <w:r>
              <w:rPr>
                <w:rFonts w:ascii="Times New Roman" w:cs="Times New Roman" w:eastAsia="Times New Roman" w:hAnsi="Times New Roman"/>
                <w:sz w:val="19"/>
                <w:szCs w:val="19"/>
                <w:b w:val="1"/>
                <w:bCs w:val="1"/>
                <w:color w:val="231F20"/>
              </w:rPr>
              <w:t>Total Debt</w:t>
            </w:r>
          </w:p>
        </w:tc>
        <w:tc>
          <w:tcPr>
            <w:tcW w:w="140" w:type="dxa"/>
            <w:vAlign w:val="bottom"/>
            <w:shd w:val="clear" w:color="auto" w:fill="D0EBF2"/>
          </w:tcPr>
          <w:p>
            <w:pPr>
              <w:spacing w:after="0"/>
              <w:rPr>
                <w:sz w:val="19"/>
                <w:szCs w:val="19"/>
                <w:color w:val="auto"/>
              </w:rPr>
            </w:pPr>
          </w:p>
        </w:tc>
        <w:tc>
          <w:tcPr>
            <w:tcW w:w="140" w:type="dxa"/>
            <w:vAlign w:val="bottom"/>
            <w:tcBorders>
              <w:bottom w:val="single" w:sz="8" w:color="231F20"/>
            </w:tcBorders>
            <w:shd w:val="clear" w:color="auto" w:fill="D0EBF2"/>
          </w:tcPr>
          <w:p>
            <w:pPr>
              <w:jc w:val="right"/>
              <w:spacing w:after="0"/>
              <w:rPr>
                <w:sz w:val="20"/>
                <w:szCs w:val="20"/>
                <w:color w:val="auto"/>
              </w:rPr>
            </w:pPr>
            <w:r>
              <w:rPr>
                <w:rFonts w:ascii="Times New Roman" w:cs="Times New Roman" w:eastAsia="Times New Roman" w:hAnsi="Times New Roman"/>
                <w:sz w:val="17"/>
                <w:szCs w:val="17"/>
                <w:color w:val="231F20"/>
                <w:w w:val="70"/>
                <w:shd w:val="clear" w:color="auto" w:fill="D0EBF2"/>
              </w:rPr>
              <w:t>$</w:t>
            </w:r>
          </w:p>
        </w:tc>
        <w:tc>
          <w:tcPr>
            <w:tcW w:w="1000" w:type="dxa"/>
            <w:vAlign w:val="bottom"/>
            <w:tcBorders>
              <w:bottom w:val="single" w:sz="8" w:color="231F20"/>
            </w:tcBorders>
            <w:shd w:val="clear" w:color="auto" w:fill="D0EBF2"/>
          </w:tcPr>
          <w:p>
            <w:pPr>
              <w:jc w:val="right"/>
              <w:spacing w:after="0"/>
              <w:rPr>
                <w:sz w:val="20"/>
                <w:szCs w:val="20"/>
                <w:color w:val="auto"/>
              </w:rPr>
            </w:pPr>
            <w:r>
              <w:rPr>
                <w:rFonts w:ascii="Times New Roman" w:cs="Times New Roman" w:eastAsia="Times New Roman" w:hAnsi="Times New Roman"/>
                <w:sz w:val="19"/>
                <w:szCs w:val="19"/>
                <w:color w:val="231F20"/>
                <w:shd w:val="clear" w:color="auto" w:fill="D0EBF2"/>
              </w:rPr>
              <w:t>2,650,000</w:t>
            </w:r>
          </w:p>
        </w:tc>
        <w:tc>
          <w:tcPr>
            <w:tcW w:w="220" w:type="dxa"/>
            <w:vAlign w:val="bottom"/>
            <w:shd w:val="clear" w:color="auto" w:fill="D0EBF2"/>
          </w:tcPr>
          <w:p>
            <w:pPr>
              <w:spacing w:after="0"/>
              <w:rPr>
                <w:sz w:val="19"/>
                <w:szCs w:val="19"/>
                <w:color w:val="auto"/>
              </w:rPr>
            </w:pPr>
          </w:p>
        </w:tc>
        <w:tc>
          <w:tcPr>
            <w:tcW w:w="120" w:type="dxa"/>
            <w:vAlign w:val="bottom"/>
            <w:tcBorders>
              <w:bottom w:val="single" w:sz="8" w:color="231F20"/>
            </w:tcBorders>
            <w:shd w:val="clear" w:color="auto" w:fill="D0EBF2"/>
          </w:tcPr>
          <w:p>
            <w:pPr>
              <w:jc w:val="right"/>
              <w:spacing w:after="0"/>
              <w:rPr>
                <w:sz w:val="20"/>
                <w:szCs w:val="20"/>
                <w:color w:val="auto"/>
              </w:rPr>
            </w:pPr>
            <w:r>
              <w:rPr>
                <w:rFonts w:ascii="Times New Roman" w:cs="Times New Roman" w:eastAsia="Times New Roman" w:hAnsi="Times New Roman"/>
                <w:sz w:val="19"/>
                <w:szCs w:val="19"/>
                <w:color w:val="231F20"/>
                <w:w w:val="83"/>
                <w:shd w:val="clear" w:color="auto" w:fill="D0EBF2"/>
              </w:rPr>
              <w:t>$</w:t>
            </w:r>
          </w:p>
        </w:tc>
        <w:tc>
          <w:tcPr>
            <w:tcW w:w="1020" w:type="dxa"/>
            <w:vAlign w:val="bottom"/>
            <w:tcBorders>
              <w:bottom w:val="single" w:sz="8" w:color="231F20"/>
            </w:tcBorders>
            <w:shd w:val="clear" w:color="auto" w:fill="D0EBF2"/>
          </w:tcPr>
          <w:p>
            <w:pPr>
              <w:jc w:val="right"/>
              <w:spacing w:after="0"/>
              <w:rPr>
                <w:sz w:val="20"/>
                <w:szCs w:val="20"/>
                <w:color w:val="auto"/>
              </w:rPr>
            </w:pPr>
            <w:r>
              <w:rPr>
                <w:rFonts w:ascii="Times New Roman" w:cs="Times New Roman" w:eastAsia="Times New Roman" w:hAnsi="Times New Roman"/>
                <w:sz w:val="19"/>
                <w:szCs w:val="19"/>
                <w:color w:val="231F20"/>
                <w:shd w:val="clear" w:color="auto" w:fill="D0EBF2"/>
              </w:rPr>
              <w:t>1,954,058</w:t>
            </w:r>
          </w:p>
        </w:tc>
        <w:tc>
          <w:tcPr>
            <w:tcW w:w="220" w:type="dxa"/>
            <w:vAlign w:val="bottom"/>
            <w:shd w:val="clear" w:color="auto" w:fill="D0EBF2"/>
          </w:tcPr>
          <w:p>
            <w:pPr>
              <w:spacing w:after="0"/>
              <w:rPr>
                <w:sz w:val="19"/>
                <w:szCs w:val="19"/>
                <w:color w:val="auto"/>
              </w:rPr>
            </w:pPr>
          </w:p>
        </w:tc>
        <w:tc>
          <w:tcPr>
            <w:tcW w:w="140" w:type="dxa"/>
            <w:vAlign w:val="bottom"/>
            <w:tcBorders>
              <w:bottom w:val="single" w:sz="8" w:color="231F20"/>
            </w:tcBorders>
            <w:shd w:val="clear" w:color="auto" w:fill="D0EBF2"/>
          </w:tcPr>
          <w:p>
            <w:pPr>
              <w:jc w:val="right"/>
              <w:spacing w:after="0"/>
              <w:rPr>
                <w:sz w:val="20"/>
                <w:szCs w:val="20"/>
                <w:color w:val="auto"/>
              </w:rPr>
            </w:pPr>
            <w:r>
              <w:rPr>
                <w:rFonts w:ascii="Times New Roman" w:cs="Times New Roman" w:eastAsia="Times New Roman" w:hAnsi="Times New Roman"/>
                <w:sz w:val="19"/>
                <w:szCs w:val="19"/>
                <w:color w:val="231F20"/>
                <w:w w:val="83"/>
              </w:rPr>
              <w:t>$</w:t>
            </w:r>
          </w:p>
        </w:tc>
        <w:tc>
          <w:tcPr>
            <w:tcW w:w="1020" w:type="dxa"/>
            <w:vAlign w:val="bottom"/>
            <w:tcBorders>
              <w:bottom w:val="single" w:sz="8" w:color="231F20"/>
            </w:tcBorders>
            <w:shd w:val="clear" w:color="auto" w:fill="D0EBF2"/>
          </w:tcPr>
          <w:p>
            <w:pPr>
              <w:jc w:val="right"/>
              <w:spacing w:after="0"/>
              <w:rPr>
                <w:sz w:val="20"/>
                <w:szCs w:val="20"/>
                <w:color w:val="auto"/>
              </w:rPr>
            </w:pPr>
            <w:r>
              <w:rPr>
                <w:rFonts w:ascii="Times New Roman" w:cs="Times New Roman" w:eastAsia="Times New Roman" w:hAnsi="Times New Roman"/>
                <w:sz w:val="19"/>
                <w:szCs w:val="19"/>
                <w:color w:val="231F20"/>
              </w:rPr>
              <w:t>674,190</w:t>
            </w:r>
          </w:p>
        </w:tc>
        <w:tc>
          <w:tcPr>
            <w:tcW w:w="220" w:type="dxa"/>
            <w:vAlign w:val="bottom"/>
            <w:shd w:val="clear" w:color="auto" w:fill="D0EBF2"/>
          </w:tcPr>
          <w:p>
            <w:pPr>
              <w:spacing w:after="0"/>
              <w:rPr>
                <w:sz w:val="19"/>
                <w:szCs w:val="19"/>
                <w:color w:val="auto"/>
              </w:rPr>
            </w:pPr>
          </w:p>
        </w:tc>
        <w:tc>
          <w:tcPr>
            <w:tcW w:w="160" w:type="dxa"/>
            <w:vAlign w:val="bottom"/>
            <w:tcBorders>
              <w:bottom w:val="single" w:sz="8" w:color="231F20"/>
            </w:tcBorders>
            <w:shd w:val="clear" w:color="auto" w:fill="D0EBF2"/>
          </w:tcPr>
          <w:p>
            <w:pPr>
              <w:jc w:val="right"/>
              <w:spacing w:after="0"/>
              <w:rPr>
                <w:sz w:val="20"/>
                <w:szCs w:val="20"/>
                <w:color w:val="auto"/>
              </w:rPr>
            </w:pPr>
            <w:r>
              <w:rPr>
                <w:rFonts w:ascii="Times New Roman" w:cs="Times New Roman" w:eastAsia="Times New Roman" w:hAnsi="Times New Roman"/>
                <w:sz w:val="19"/>
                <w:szCs w:val="19"/>
                <w:color w:val="231F20"/>
                <w:w w:val="83"/>
                <w:shd w:val="clear" w:color="auto" w:fill="D0EBF2"/>
              </w:rPr>
              <w:t>$</w:t>
            </w:r>
          </w:p>
        </w:tc>
        <w:tc>
          <w:tcPr>
            <w:tcW w:w="980" w:type="dxa"/>
            <w:vAlign w:val="bottom"/>
            <w:tcBorders>
              <w:bottom w:val="single" w:sz="8" w:color="231F20"/>
            </w:tcBorders>
            <w:shd w:val="clear" w:color="auto" w:fill="D0EBF2"/>
          </w:tcPr>
          <w:p>
            <w:pPr>
              <w:jc w:val="right"/>
              <w:spacing w:after="0"/>
              <w:rPr>
                <w:sz w:val="20"/>
                <w:szCs w:val="20"/>
                <w:color w:val="auto"/>
              </w:rPr>
            </w:pPr>
            <w:r>
              <w:rPr>
                <w:rFonts w:ascii="Times New Roman" w:cs="Times New Roman" w:eastAsia="Times New Roman" w:hAnsi="Times New Roman"/>
                <w:sz w:val="19"/>
                <w:szCs w:val="19"/>
                <w:color w:val="231F20"/>
                <w:shd w:val="clear" w:color="auto" w:fill="D0EBF2"/>
              </w:rPr>
              <w:t>1,901,142</w:t>
            </w:r>
          </w:p>
        </w:tc>
        <w:tc>
          <w:tcPr>
            <w:tcW w:w="100" w:type="dxa"/>
            <w:vAlign w:val="bottom"/>
            <w:shd w:val="clear" w:color="auto" w:fill="D0EBF2"/>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7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231F20"/>
            </w:tcBorders>
          </w:tcPr>
          <w:p>
            <w:pPr>
              <w:spacing w:after="0" w:line="20" w:lineRule="exact"/>
              <w:rPr>
                <w:sz w:val="1"/>
                <w:szCs w:val="1"/>
                <w:color w:val="auto"/>
              </w:rPr>
            </w:pPr>
          </w:p>
        </w:tc>
        <w:tc>
          <w:tcPr>
            <w:tcW w:w="1000" w:type="dxa"/>
            <w:vAlign w:val="bottom"/>
            <w:tcBorders>
              <w:bottom w:val="single" w:sz="8" w:color="231F20"/>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231F20"/>
            </w:tcBorders>
          </w:tcPr>
          <w:p>
            <w:pPr>
              <w:spacing w:after="0" w:line="20" w:lineRule="exact"/>
              <w:rPr>
                <w:sz w:val="1"/>
                <w:szCs w:val="1"/>
                <w:color w:val="auto"/>
              </w:rPr>
            </w:pPr>
          </w:p>
        </w:tc>
        <w:tc>
          <w:tcPr>
            <w:tcW w:w="1020" w:type="dxa"/>
            <w:vAlign w:val="bottom"/>
            <w:tcBorders>
              <w:bottom w:val="single" w:sz="8" w:color="231F20"/>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231F20"/>
            </w:tcBorders>
          </w:tcPr>
          <w:p>
            <w:pPr>
              <w:spacing w:after="0" w:line="20" w:lineRule="exact"/>
              <w:rPr>
                <w:sz w:val="1"/>
                <w:szCs w:val="1"/>
                <w:color w:val="auto"/>
              </w:rPr>
            </w:pPr>
          </w:p>
        </w:tc>
        <w:tc>
          <w:tcPr>
            <w:tcW w:w="1020" w:type="dxa"/>
            <w:vAlign w:val="bottom"/>
            <w:tcBorders>
              <w:bottom w:val="single" w:sz="8" w:color="231F20"/>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231F20"/>
            </w:tcBorders>
          </w:tcPr>
          <w:p>
            <w:pPr>
              <w:spacing w:after="0" w:line="20" w:lineRule="exact"/>
              <w:rPr>
                <w:sz w:val="1"/>
                <w:szCs w:val="1"/>
                <w:color w:val="auto"/>
              </w:rPr>
            </w:pPr>
          </w:p>
        </w:tc>
        <w:tc>
          <w:tcPr>
            <w:tcW w:w="980" w:type="dxa"/>
            <w:vAlign w:val="bottom"/>
            <w:tcBorders>
              <w:bottom w:val="single" w:sz="8" w:color="231F20"/>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1" w:lineRule="exact"/>
        <w:rPr>
          <w:sz w:val="20"/>
          <w:szCs w:val="20"/>
          <w:color w:val="auto"/>
        </w:rPr>
      </w:pPr>
    </w:p>
    <w:p>
      <w:pPr>
        <w:ind w:left="460" w:hanging="460"/>
        <w:spacing w:after="0" w:line="253" w:lineRule="auto"/>
        <w:tabs>
          <w:tab w:leader="none" w:pos="460" w:val="left"/>
        </w:tabs>
        <w:numPr>
          <w:ilvl w:val="0"/>
          <w:numId w:val="97"/>
        </w:numPr>
        <w:rPr>
          <w:rFonts w:ascii="Times New Roman" w:cs="Times New Roman" w:eastAsia="Times New Roman" w:hAnsi="Times New Roman"/>
          <w:sz w:val="19"/>
          <w:szCs w:val="19"/>
          <w:color w:val="231F20"/>
        </w:rPr>
      </w:pPr>
      <w:r>
        <w:rPr>
          <w:rFonts w:ascii="Times New Roman" w:cs="Times New Roman" w:eastAsia="Times New Roman" w:hAnsi="Times New Roman"/>
          <w:sz w:val="19"/>
          <w:szCs w:val="19"/>
          <w:color w:val="231F20"/>
        </w:rPr>
        <w:t>The amount available may be subject to limitations related to the borrowing base under the Revolving Credit Facility and asset coverage requirements.</w:t>
      </w:r>
    </w:p>
    <w:p>
      <w:pPr>
        <w:spacing w:after="0" w:line="1" w:lineRule="exact"/>
        <w:rPr>
          <w:rFonts w:ascii="Times New Roman" w:cs="Times New Roman" w:eastAsia="Times New Roman" w:hAnsi="Times New Roman"/>
          <w:sz w:val="19"/>
          <w:szCs w:val="19"/>
          <w:color w:val="231F20"/>
        </w:rPr>
      </w:pPr>
    </w:p>
    <w:p>
      <w:pPr>
        <w:ind w:left="460" w:hanging="460"/>
        <w:spacing w:after="0" w:line="238" w:lineRule="auto"/>
        <w:tabs>
          <w:tab w:leader="none" w:pos="460" w:val="left"/>
        </w:tabs>
        <w:numPr>
          <w:ilvl w:val="0"/>
          <w:numId w:val="97"/>
        </w:numPr>
        <w:rPr>
          <w:rFonts w:ascii="Times New Roman" w:cs="Times New Roman" w:eastAsia="Times New Roman" w:hAnsi="Times New Roman"/>
          <w:sz w:val="19"/>
          <w:szCs w:val="19"/>
          <w:color w:val="231F20"/>
        </w:rPr>
      </w:pPr>
      <w:r>
        <w:rPr>
          <w:rFonts w:ascii="Times New Roman" w:cs="Times New Roman" w:eastAsia="Times New Roman" w:hAnsi="Times New Roman"/>
          <w:sz w:val="19"/>
          <w:szCs w:val="19"/>
          <w:color w:val="231F20"/>
        </w:rPr>
        <w:t>The carrying values of the Revolving Credit Facility, 2026 Notes, 2028 Notes and 2029 Notes are presented net of the combination of deferred financing costs and original issue discounts totaling $15.4 million, $1.8 million, $4.5 million and $6.9 million, respectively.</w:t>
      </w:r>
    </w:p>
    <w:p>
      <w:pPr>
        <w:spacing w:after="0" w:line="1" w:lineRule="exact"/>
        <w:rPr>
          <w:rFonts w:ascii="Times New Roman" w:cs="Times New Roman" w:eastAsia="Times New Roman" w:hAnsi="Times New Roman"/>
          <w:sz w:val="19"/>
          <w:szCs w:val="19"/>
          <w:color w:val="231F20"/>
        </w:rPr>
      </w:pPr>
    </w:p>
    <w:p>
      <w:pPr>
        <w:jc w:val="both"/>
        <w:ind w:left="460" w:right="80" w:hanging="460"/>
        <w:spacing w:after="0" w:line="241" w:lineRule="auto"/>
        <w:tabs>
          <w:tab w:leader="none" w:pos="460" w:val="left"/>
        </w:tabs>
        <w:numPr>
          <w:ilvl w:val="0"/>
          <w:numId w:val="97"/>
        </w:numPr>
        <w:rPr>
          <w:rFonts w:ascii="Times New Roman" w:cs="Times New Roman" w:eastAsia="Times New Roman" w:hAnsi="Times New Roman"/>
          <w:sz w:val="19"/>
          <w:szCs w:val="19"/>
          <w:color w:val="231F20"/>
        </w:rPr>
      </w:pPr>
      <w:r>
        <w:rPr>
          <w:rFonts w:ascii="Times New Roman" w:cs="Times New Roman" w:eastAsia="Times New Roman" w:hAnsi="Times New Roman"/>
          <w:sz w:val="19"/>
          <w:szCs w:val="19"/>
          <w:color w:val="231F20"/>
        </w:rPr>
        <w:t>The carrying values of the 2026 Notes, 2028 Notes and 2029 Notes are presented inclusive of an incremental $(17.6) million, $(1.4) million and $(5.2) million, respectively, which represents an adjustment in the carrying values of the 2026 Notes, 2028 Notes and 2029 Notes, each resulting from a hedge accounting relationship.</w:t>
      </w:r>
    </w:p>
    <w:p>
      <w:pPr>
        <w:spacing w:after="0" w:line="246" w:lineRule="exact"/>
        <w:rPr>
          <w:sz w:val="20"/>
          <w:szCs w:val="20"/>
          <w:color w:val="auto"/>
        </w:rPr>
      </w:pPr>
    </w:p>
    <w:tbl>
      <w:tblPr>
        <w:tblLayout w:type="fixed"/>
        <w:tblInd w:w="520" w:type="dxa"/>
        <w:tblCellMar>
          <w:top w:w="0" w:type="dxa"/>
          <w:left w:w="0" w:type="dxa"/>
          <w:bottom w:w="0" w:type="dxa"/>
          <w:right w:w="0" w:type="dxa"/>
        </w:tblCellMar>
      </w:tblPr>
      <w:tr>
        <w:trPr>
          <w:trHeight w:val="174"/>
        </w:trPr>
        <w:tc>
          <w:tcPr>
            <w:tcW w:w="3840" w:type="dxa"/>
            <w:vAlign w:val="bottom"/>
            <w:tcBorders>
              <w:bottom w:val="single" w:sz="8" w:color="FDFDFC"/>
            </w:tcBorders>
            <w:shd w:val="clear" w:color="auto" w:fill="FDFDFC"/>
          </w:tcPr>
          <w:p>
            <w:pPr>
              <w:spacing w:after="0"/>
              <w:rPr>
                <w:sz w:val="15"/>
                <w:szCs w:val="15"/>
                <w:color w:val="auto"/>
              </w:rPr>
            </w:pPr>
          </w:p>
        </w:tc>
        <w:tc>
          <w:tcPr>
            <w:tcW w:w="140" w:type="dxa"/>
            <w:vAlign w:val="bottom"/>
            <w:tcBorders>
              <w:bottom w:val="single" w:sz="8" w:color="231F20"/>
            </w:tcBorders>
            <w:shd w:val="clear" w:color="auto" w:fill="FDFDFC"/>
          </w:tcPr>
          <w:p>
            <w:pPr>
              <w:spacing w:after="0"/>
              <w:rPr>
                <w:sz w:val="15"/>
                <w:szCs w:val="15"/>
                <w:color w:val="auto"/>
              </w:rPr>
            </w:pPr>
          </w:p>
        </w:tc>
        <w:tc>
          <w:tcPr>
            <w:tcW w:w="1000" w:type="dxa"/>
            <w:vAlign w:val="bottom"/>
            <w:tcBorders>
              <w:bottom w:val="single" w:sz="8" w:color="231F20"/>
            </w:tcBorders>
            <w:shd w:val="clear" w:color="auto" w:fill="FDFDFC"/>
          </w:tcPr>
          <w:p>
            <w:pPr>
              <w:spacing w:after="0"/>
              <w:rPr>
                <w:sz w:val="15"/>
                <w:szCs w:val="15"/>
                <w:color w:val="auto"/>
              </w:rPr>
            </w:pPr>
          </w:p>
        </w:tc>
        <w:tc>
          <w:tcPr>
            <w:tcW w:w="100" w:type="dxa"/>
            <w:vAlign w:val="bottom"/>
            <w:tcBorders>
              <w:bottom w:val="single" w:sz="8" w:color="231F20"/>
            </w:tcBorders>
            <w:shd w:val="clear" w:color="auto" w:fill="FDFDFC"/>
          </w:tcPr>
          <w:p>
            <w:pPr>
              <w:spacing w:after="0"/>
              <w:rPr>
                <w:sz w:val="15"/>
                <w:szCs w:val="15"/>
                <w:color w:val="auto"/>
              </w:rPr>
            </w:pPr>
          </w:p>
        </w:tc>
        <w:tc>
          <w:tcPr>
            <w:tcW w:w="120" w:type="dxa"/>
            <w:vAlign w:val="bottom"/>
            <w:tcBorders>
              <w:bottom w:val="single" w:sz="8" w:color="231F20"/>
            </w:tcBorders>
            <w:shd w:val="clear" w:color="auto" w:fill="FDFDFC"/>
          </w:tcPr>
          <w:p>
            <w:pPr>
              <w:spacing w:after="0"/>
              <w:rPr>
                <w:sz w:val="15"/>
                <w:szCs w:val="15"/>
                <w:color w:val="auto"/>
              </w:rPr>
            </w:pPr>
          </w:p>
        </w:tc>
        <w:tc>
          <w:tcPr>
            <w:tcW w:w="140" w:type="dxa"/>
            <w:vAlign w:val="bottom"/>
            <w:tcBorders>
              <w:bottom w:val="single" w:sz="8" w:color="231F20"/>
            </w:tcBorders>
            <w:shd w:val="clear" w:color="auto" w:fill="FDFDFC"/>
          </w:tcPr>
          <w:p>
            <w:pPr>
              <w:spacing w:after="0"/>
              <w:rPr>
                <w:sz w:val="15"/>
                <w:szCs w:val="15"/>
                <w:color w:val="auto"/>
              </w:rPr>
            </w:pPr>
          </w:p>
        </w:tc>
        <w:tc>
          <w:tcPr>
            <w:tcW w:w="2380" w:type="dxa"/>
            <w:vAlign w:val="bottom"/>
            <w:tcBorders>
              <w:bottom w:val="single" w:sz="8" w:color="231F20"/>
            </w:tcBorders>
            <w:gridSpan w:val="5"/>
            <w:shd w:val="clear" w:color="auto" w:fill="FDFDFC"/>
          </w:tcPr>
          <w:p>
            <w:pPr>
              <w:jc w:val="right"/>
              <w:ind w:right="571"/>
              <w:spacing w:after="0"/>
              <w:rPr>
                <w:sz w:val="20"/>
                <w:szCs w:val="20"/>
                <w:color w:val="auto"/>
              </w:rPr>
            </w:pPr>
            <w:r>
              <w:rPr>
                <w:rFonts w:ascii="Times New Roman" w:cs="Times New Roman" w:eastAsia="Times New Roman" w:hAnsi="Times New Roman"/>
                <w:sz w:val="15"/>
                <w:szCs w:val="15"/>
                <w:b w:val="1"/>
                <w:bCs w:val="1"/>
                <w:color w:val="231F20"/>
              </w:rPr>
              <w:t>December 31, 2023</w:t>
            </w:r>
          </w:p>
        </w:tc>
        <w:tc>
          <w:tcPr>
            <w:tcW w:w="80" w:type="dxa"/>
            <w:vAlign w:val="bottom"/>
            <w:tcBorders>
              <w:bottom w:val="single" w:sz="8" w:color="231F20"/>
            </w:tcBorders>
            <w:shd w:val="clear" w:color="auto" w:fill="FDFDFC"/>
          </w:tcPr>
          <w:p>
            <w:pPr>
              <w:spacing w:after="0"/>
              <w:rPr>
                <w:sz w:val="15"/>
                <w:szCs w:val="15"/>
                <w:color w:val="auto"/>
              </w:rPr>
            </w:pPr>
          </w:p>
        </w:tc>
        <w:tc>
          <w:tcPr>
            <w:tcW w:w="140" w:type="dxa"/>
            <w:vAlign w:val="bottom"/>
            <w:tcBorders>
              <w:bottom w:val="single" w:sz="8" w:color="231F20"/>
            </w:tcBorders>
            <w:shd w:val="clear" w:color="auto" w:fill="FDFDFC"/>
          </w:tcPr>
          <w:p>
            <w:pPr>
              <w:spacing w:after="0"/>
              <w:rPr>
                <w:sz w:val="15"/>
                <w:szCs w:val="15"/>
                <w:color w:val="auto"/>
              </w:rPr>
            </w:pPr>
          </w:p>
        </w:tc>
        <w:tc>
          <w:tcPr>
            <w:tcW w:w="180" w:type="dxa"/>
            <w:vAlign w:val="bottom"/>
            <w:tcBorders>
              <w:bottom w:val="single" w:sz="8" w:color="231F20"/>
            </w:tcBorders>
            <w:shd w:val="clear" w:color="auto" w:fill="FDFDFC"/>
          </w:tcPr>
          <w:p>
            <w:pPr>
              <w:spacing w:after="0"/>
              <w:rPr>
                <w:sz w:val="15"/>
                <w:szCs w:val="15"/>
                <w:color w:val="auto"/>
              </w:rPr>
            </w:pPr>
          </w:p>
        </w:tc>
        <w:tc>
          <w:tcPr>
            <w:tcW w:w="960" w:type="dxa"/>
            <w:vAlign w:val="bottom"/>
            <w:tcBorders>
              <w:bottom w:val="single" w:sz="8" w:color="231F20"/>
            </w:tcBorders>
            <w:shd w:val="clear" w:color="auto" w:fill="FDFDFC"/>
          </w:tcPr>
          <w:p>
            <w:pPr>
              <w:spacing w:after="0"/>
              <w:rPr>
                <w:sz w:val="15"/>
                <w:szCs w:val="15"/>
                <w:color w:val="auto"/>
              </w:rPr>
            </w:pPr>
          </w:p>
        </w:tc>
        <w:tc>
          <w:tcPr>
            <w:tcW w:w="100" w:type="dxa"/>
            <w:vAlign w:val="bottom"/>
            <w:tcBorders>
              <w:bottom w:val="single" w:sz="8" w:color="FDFDFC"/>
            </w:tcBorders>
            <w:shd w:val="clear" w:color="auto" w:fill="FDFDFC"/>
          </w:tcPr>
          <w:p>
            <w:pPr>
              <w:spacing w:after="0"/>
              <w:rPr>
                <w:sz w:val="15"/>
                <w:szCs w:val="15"/>
                <w:color w:val="auto"/>
              </w:rPr>
            </w:pPr>
          </w:p>
        </w:tc>
        <w:tc>
          <w:tcPr>
            <w:tcW w:w="0" w:type="dxa"/>
            <w:vAlign w:val="bottom"/>
          </w:tcPr>
          <w:p>
            <w:pPr>
              <w:spacing w:after="0"/>
              <w:rPr>
                <w:sz w:val="1"/>
                <w:szCs w:val="1"/>
                <w:color w:val="auto"/>
              </w:rPr>
            </w:pPr>
          </w:p>
        </w:tc>
      </w:tr>
      <w:tr>
        <w:trPr>
          <w:trHeight w:val="146"/>
        </w:trPr>
        <w:tc>
          <w:tcPr>
            <w:tcW w:w="3840" w:type="dxa"/>
            <w:vAlign w:val="bottom"/>
            <w:shd w:val="clear" w:color="auto" w:fill="FDFDFC"/>
          </w:tcPr>
          <w:p>
            <w:pPr>
              <w:spacing w:after="0"/>
              <w:rPr>
                <w:sz w:val="12"/>
                <w:szCs w:val="12"/>
                <w:color w:val="auto"/>
              </w:rPr>
            </w:pPr>
          </w:p>
        </w:tc>
        <w:tc>
          <w:tcPr>
            <w:tcW w:w="140" w:type="dxa"/>
            <w:vAlign w:val="bottom"/>
            <w:shd w:val="clear" w:color="auto" w:fill="FDFDFC"/>
          </w:tcPr>
          <w:p>
            <w:pPr>
              <w:spacing w:after="0"/>
              <w:rPr>
                <w:sz w:val="12"/>
                <w:szCs w:val="12"/>
                <w:color w:val="auto"/>
              </w:rPr>
            </w:pPr>
          </w:p>
        </w:tc>
        <w:tc>
          <w:tcPr>
            <w:tcW w:w="1000" w:type="dxa"/>
            <w:vAlign w:val="bottom"/>
            <w:shd w:val="clear" w:color="auto" w:fill="FDFDFC"/>
          </w:tcPr>
          <w:p>
            <w:pPr>
              <w:jc w:val="center"/>
              <w:ind w:right="54"/>
              <w:spacing w:after="0" w:line="146" w:lineRule="exact"/>
              <w:rPr>
                <w:sz w:val="20"/>
                <w:szCs w:val="20"/>
                <w:color w:val="auto"/>
              </w:rPr>
            </w:pPr>
            <w:r>
              <w:rPr>
                <w:rFonts w:ascii="Times New Roman" w:cs="Times New Roman" w:eastAsia="Times New Roman" w:hAnsi="Times New Roman"/>
                <w:sz w:val="15"/>
                <w:szCs w:val="15"/>
                <w:b w:val="1"/>
                <w:bCs w:val="1"/>
                <w:color w:val="231F20"/>
              </w:rPr>
              <w:t>Aggregate</w:t>
            </w:r>
          </w:p>
        </w:tc>
        <w:tc>
          <w:tcPr>
            <w:tcW w:w="100" w:type="dxa"/>
            <w:vAlign w:val="bottom"/>
            <w:shd w:val="clear" w:color="auto" w:fill="FDFDFC"/>
          </w:tcPr>
          <w:p>
            <w:pPr>
              <w:spacing w:after="0"/>
              <w:rPr>
                <w:sz w:val="12"/>
                <w:szCs w:val="12"/>
                <w:color w:val="auto"/>
              </w:rPr>
            </w:pPr>
          </w:p>
        </w:tc>
        <w:tc>
          <w:tcPr>
            <w:tcW w:w="120" w:type="dxa"/>
            <w:vAlign w:val="bottom"/>
            <w:shd w:val="clear" w:color="auto" w:fill="FDFDFC"/>
          </w:tcPr>
          <w:p>
            <w:pPr>
              <w:spacing w:after="0"/>
              <w:rPr>
                <w:sz w:val="12"/>
                <w:szCs w:val="12"/>
                <w:color w:val="auto"/>
              </w:rPr>
            </w:pPr>
          </w:p>
        </w:tc>
        <w:tc>
          <w:tcPr>
            <w:tcW w:w="140" w:type="dxa"/>
            <w:vAlign w:val="bottom"/>
            <w:shd w:val="clear" w:color="auto" w:fill="FDFDFC"/>
          </w:tcPr>
          <w:p>
            <w:pPr>
              <w:spacing w:after="0"/>
              <w:rPr>
                <w:sz w:val="12"/>
                <w:szCs w:val="12"/>
                <w:color w:val="auto"/>
              </w:rPr>
            </w:pPr>
          </w:p>
        </w:tc>
        <w:tc>
          <w:tcPr>
            <w:tcW w:w="1000" w:type="dxa"/>
            <w:vAlign w:val="bottom"/>
            <w:shd w:val="clear" w:color="auto" w:fill="FDFDFC"/>
          </w:tcPr>
          <w:p>
            <w:pPr>
              <w:spacing w:after="0"/>
              <w:rPr>
                <w:sz w:val="12"/>
                <w:szCs w:val="12"/>
                <w:color w:val="auto"/>
              </w:rPr>
            </w:pPr>
          </w:p>
        </w:tc>
        <w:tc>
          <w:tcPr>
            <w:tcW w:w="100" w:type="dxa"/>
            <w:vAlign w:val="bottom"/>
            <w:shd w:val="clear" w:color="auto" w:fill="FDFDFC"/>
          </w:tcPr>
          <w:p>
            <w:pPr>
              <w:spacing w:after="0"/>
              <w:rPr>
                <w:sz w:val="12"/>
                <w:szCs w:val="12"/>
                <w:color w:val="auto"/>
              </w:rPr>
            </w:pPr>
          </w:p>
        </w:tc>
        <w:tc>
          <w:tcPr>
            <w:tcW w:w="140" w:type="dxa"/>
            <w:vAlign w:val="bottom"/>
            <w:shd w:val="clear" w:color="auto" w:fill="FDFDFC"/>
          </w:tcPr>
          <w:p>
            <w:pPr>
              <w:spacing w:after="0"/>
              <w:rPr>
                <w:sz w:val="12"/>
                <w:szCs w:val="12"/>
                <w:color w:val="auto"/>
              </w:rPr>
            </w:pPr>
          </w:p>
        </w:tc>
        <w:tc>
          <w:tcPr>
            <w:tcW w:w="140" w:type="dxa"/>
            <w:vAlign w:val="bottom"/>
            <w:shd w:val="clear" w:color="auto" w:fill="FDFDFC"/>
          </w:tcPr>
          <w:p>
            <w:pPr>
              <w:spacing w:after="0"/>
              <w:rPr>
                <w:sz w:val="12"/>
                <w:szCs w:val="12"/>
                <w:color w:val="auto"/>
              </w:rPr>
            </w:pPr>
          </w:p>
        </w:tc>
        <w:tc>
          <w:tcPr>
            <w:tcW w:w="1000" w:type="dxa"/>
            <w:vAlign w:val="bottom"/>
            <w:shd w:val="clear" w:color="auto" w:fill="FDFDFC"/>
          </w:tcPr>
          <w:p>
            <w:pPr>
              <w:spacing w:after="0"/>
              <w:rPr>
                <w:sz w:val="12"/>
                <w:szCs w:val="12"/>
                <w:color w:val="auto"/>
              </w:rPr>
            </w:pPr>
          </w:p>
        </w:tc>
        <w:tc>
          <w:tcPr>
            <w:tcW w:w="80" w:type="dxa"/>
            <w:vAlign w:val="bottom"/>
            <w:shd w:val="clear" w:color="auto" w:fill="FDFDFC"/>
          </w:tcPr>
          <w:p>
            <w:pPr>
              <w:spacing w:after="0"/>
              <w:rPr>
                <w:sz w:val="12"/>
                <w:szCs w:val="12"/>
                <w:color w:val="auto"/>
              </w:rPr>
            </w:pPr>
          </w:p>
        </w:tc>
        <w:tc>
          <w:tcPr>
            <w:tcW w:w="140" w:type="dxa"/>
            <w:vAlign w:val="bottom"/>
            <w:shd w:val="clear" w:color="auto" w:fill="FDFDFC"/>
          </w:tcPr>
          <w:p>
            <w:pPr>
              <w:spacing w:after="0"/>
              <w:rPr>
                <w:sz w:val="12"/>
                <w:szCs w:val="12"/>
                <w:color w:val="auto"/>
              </w:rPr>
            </w:pPr>
          </w:p>
        </w:tc>
        <w:tc>
          <w:tcPr>
            <w:tcW w:w="180" w:type="dxa"/>
            <w:vAlign w:val="bottom"/>
            <w:shd w:val="clear" w:color="auto" w:fill="FDFDFC"/>
          </w:tcPr>
          <w:p>
            <w:pPr>
              <w:spacing w:after="0"/>
              <w:rPr>
                <w:sz w:val="12"/>
                <w:szCs w:val="12"/>
                <w:color w:val="auto"/>
              </w:rPr>
            </w:pPr>
          </w:p>
        </w:tc>
        <w:tc>
          <w:tcPr>
            <w:tcW w:w="960" w:type="dxa"/>
            <w:vAlign w:val="bottom"/>
            <w:shd w:val="clear" w:color="auto" w:fill="FDFDFC"/>
          </w:tcPr>
          <w:p>
            <w:pPr>
              <w:spacing w:after="0"/>
              <w:rPr>
                <w:sz w:val="12"/>
                <w:szCs w:val="12"/>
                <w:color w:val="auto"/>
              </w:rPr>
            </w:pPr>
          </w:p>
        </w:tc>
        <w:tc>
          <w:tcPr>
            <w:tcW w:w="100" w:type="dxa"/>
            <w:vAlign w:val="bottom"/>
            <w:shd w:val="clear" w:color="auto" w:fill="FDFDFC"/>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3840" w:type="dxa"/>
            <w:vAlign w:val="bottom"/>
            <w:shd w:val="clear" w:color="auto" w:fill="FDFDFC"/>
          </w:tcPr>
          <w:p>
            <w:pPr>
              <w:spacing w:after="0"/>
              <w:rPr>
                <w:sz w:val="15"/>
                <w:szCs w:val="15"/>
                <w:color w:val="auto"/>
              </w:rPr>
            </w:pPr>
          </w:p>
        </w:tc>
        <w:tc>
          <w:tcPr>
            <w:tcW w:w="140" w:type="dxa"/>
            <w:vAlign w:val="bottom"/>
            <w:shd w:val="clear" w:color="auto" w:fill="FDFDFC"/>
          </w:tcPr>
          <w:p>
            <w:pPr>
              <w:spacing w:after="0"/>
              <w:rPr>
                <w:sz w:val="15"/>
                <w:szCs w:val="15"/>
                <w:color w:val="auto"/>
              </w:rPr>
            </w:pPr>
          </w:p>
        </w:tc>
        <w:tc>
          <w:tcPr>
            <w:tcW w:w="1000" w:type="dxa"/>
            <w:vAlign w:val="bottom"/>
            <w:shd w:val="clear" w:color="auto" w:fill="FDFDFC"/>
          </w:tcPr>
          <w:p>
            <w:pPr>
              <w:jc w:val="center"/>
              <w:ind w:right="74"/>
              <w:spacing w:after="0"/>
              <w:rPr>
                <w:sz w:val="20"/>
                <w:szCs w:val="20"/>
                <w:color w:val="auto"/>
              </w:rPr>
            </w:pPr>
            <w:r>
              <w:rPr>
                <w:rFonts w:ascii="Times New Roman" w:cs="Times New Roman" w:eastAsia="Times New Roman" w:hAnsi="Times New Roman"/>
                <w:sz w:val="15"/>
                <w:szCs w:val="15"/>
                <w:b w:val="1"/>
                <w:bCs w:val="1"/>
                <w:color w:val="231F20"/>
              </w:rPr>
              <w:t>Principal</w:t>
            </w:r>
          </w:p>
        </w:tc>
        <w:tc>
          <w:tcPr>
            <w:tcW w:w="100" w:type="dxa"/>
            <w:vAlign w:val="bottom"/>
            <w:shd w:val="clear" w:color="auto" w:fill="FDFDFC"/>
          </w:tcPr>
          <w:p>
            <w:pPr>
              <w:spacing w:after="0"/>
              <w:rPr>
                <w:sz w:val="15"/>
                <w:szCs w:val="15"/>
                <w:color w:val="auto"/>
              </w:rPr>
            </w:pPr>
          </w:p>
        </w:tc>
        <w:tc>
          <w:tcPr>
            <w:tcW w:w="120" w:type="dxa"/>
            <w:vAlign w:val="bottom"/>
            <w:shd w:val="clear" w:color="auto" w:fill="FDFDFC"/>
          </w:tcPr>
          <w:p>
            <w:pPr>
              <w:spacing w:after="0"/>
              <w:rPr>
                <w:sz w:val="15"/>
                <w:szCs w:val="15"/>
                <w:color w:val="auto"/>
              </w:rPr>
            </w:pPr>
          </w:p>
        </w:tc>
        <w:tc>
          <w:tcPr>
            <w:tcW w:w="140" w:type="dxa"/>
            <w:vAlign w:val="bottom"/>
            <w:shd w:val="clear" w:color="auto" w:fill="FDFDFC"/>
          </w:tcPr>
          <w:p>
            <w:pPr>
              <w:spacing w:after="0"/>
              <w:rPr>
                <w:sz w:val="15"/>
                <w:szCs w:val="15"/>
                <w:color w:val="auto"/>
              </w:rPr>
            </w:pPr>
          </w:p>
        </w:tc>
        <w:tc>
          <w:tcPr>
            <w:tcW w:w="1000" w:type="dxa"/>
            <w:vAlign w:val="bottom"/>
            <w:vMerge w:val="restart"/>
            <w:shd w:val="clear" w:color="auto" w:fill="FDFDFC"/>
          </w:tcPr>
          <w:p>
            <w:pPr>
              <w:jc w:val="right"/>
              <w:ind w:right="73"/>
              <w:spacing w:after="0"/>
              <w:rPr>
                <w:sz w:val="20"/>
                <w:szCs w:val="20"/>
                <w:color w:val="auto"/>
              </w:rPr>
            </w:pPr>
            <w:r>
              <w:rPr>
                <w:rFonts w:ascii="Times New Roman" w:cs="Times New Roman" w:eastAsia="Times New Roman" w:hAnsi="Times New Roman"/>
                <w:sz w:val="15"/>
                <w:szCs w:val="15"/>
                <w:b w:val="1"/>
                <w:bCs w:val="1"/>
                <w:color w:val="231F20"/>
              </w:rPr>
              <w:t>Outstanding</w:t>
            </w:r>
          </w:p>
        </w:tc>
        <w:tc>
          <w:tcPr>
            <w:tcW w:w="100" w:type="dxa"/>
            <w:vAlign w:val="bottom"/>
            <w:shd w:val="clear" w:color="auto" w:fill="FDFDFC"/>
          </w:tcPr>
          <w:p>
            <w:pPr>
              <w:spacing w:after="0"/>
              <w:rPr>
                <w:sz w:val="15"/>
                <w:szCs w:val="15"/>
                <w:color w:val="auto"/>
              </w:rPr>
            </w:pPr>
          </w:p>
        </w:tc>
        <w:tc>
          <w:tcPr>
            <w:tcW w:w="140" w:type="dxa"/>
            <w:vAlign w:val="bottom"/>
            <w:shd w:val="clear" w:color="auto" w:fill="FDFDFC"/>
          </w:tcPr>
          <w:p>
            <w:pPr>
              <w:spacing w:after="0"/>
              <w:rPr>
                <w:sz w:val="15"/>
                <w:szCs w:val="15"/>
                <w:color w:val="auto"/>
              </w:rPr>
            </w:pPr>
          </w:p>
        </w:tc>
        <w:tc>
          <w:tcPr>
            <w:tcW w:w="140" w:type="dxa"/>
            <w:vAlign w:val="bottom"/>
            <w:shd w:val="clear" w:color="auto" w:fill="FDFDFC"/>
          </w:tcPr>
          <w:p>
            <w:pPr>
              <w:spacing w:after="0"/>
              <w:rPr>
                <w:sz w:val="15"/>
                <w:szCs w:val="15"/>
                <w:color w:val="auto"/>
              </w:rPr>
            </w:pPr>
          </w:p>
        </w:tc>
        <w:tc>
          <w:tcPr>
            <w:tcW w:w="1000" w:type="dxa"/>
            <w:vAlign w:val="bottom"/>
            <w:vMerge w:val="restart"/>
            <w:shd w:val="clear" w:color="auto" w:fill="FDFDFC"/>
          </w:tcPr>
          <w:p>
            <w:pPr>
              <w:jc w:val="right"/>
              <w:ind w:right="231"/>
              <w:spacing w:after="0"/>
              <w:rPr>
                <w:sz w:val="20"/>
                <w:szCs w:val="20"/>
                <w:color w:val="auto"/>
              </w:rPr>
            </w:pPr>
            <w:r>
              <w:rPr>
                <w:rFonts w:ascii="Times New Roman" w:cs="Times New Roman" w:eastAsia="Times New Roman" w:hAnsi="Times New Roman"/>
                <w:sz w:val="15"/>
                <w:szCs w:val="15"/>
                <w:b w:val="1"/>
                <w:bCs w:val="1"/>
                <w:color w:val="231F20"/>
              </w:rPr>
              <w:t>Amount</w:t>
            </w:r>
          </w:p>
        </w:tc>
        <w:tc>
          <w:tcPr>
            <w:tcW w:w="80" w:type="dxa"/>
            <w:vAlign w:val="bottom"/>
            <w:shd w:val="clear" w:color="auto" w:fill="FDFDFC"/>
          </w:tcPr>
          <w:p>
            <w:pPr>
              <w:spacing w:after="0"/>
              <w:rPr>
                <w:sz w:val="15"/>
                <w:szCs w:val="15"/>
                <w:color w:val="auto"/>
              </w:rPr>
            </w:pPr>
          </w:p>
        </w:tc>
        <w:tc>
          <w:tcPr>
            <w:tcW w:w="140" w:type="dxa"/>
            <w:vAlign w:val="bottom"/>
            <w:shd w:val="clear" w:color="auto" w:fill="FDFDFC"/>
          </w:tcPr>
          <w:p>
            <w:pPr>
              <w:spacing w:after="0"/>
              <w:rPr>
                <w:sz w:val="15"/>
                <w:szCs w:val="15"/>
                <w:color w:val="auto"/>
              </w:rPr>
            </w:pPr>
          </w:p>
        </w:tc>
        <w:tc>
          <w:tcPr>
            <w:tcW w:w="180" w:type="dxa"/>
            <w:vAlign w:val="bottom"/>
            <w:shd w:val="clear" w:color="auto" w:fill="FDFDFC"/>
          </w:tcPr>
          <w:p>
            <w:pPr>
              <w:spacing w:after="0"/>
              <w:rPr>
                <w:sz w:val="15"/>
                <w:szCs w:val="15"/>
                <w:color w:val="auto"/>
              </w:rPr>
            </w:pPr>
          </w:p>
        </w:tc>
        <w:tc>
          <w:tcPr>
            <w:tcW w:w="960" w:type="dxa"/>
            <w:vAlign w:val="bottom"/>
            <w:vMerge w:val="restart"/>
            <w:shd w:val="clear" w:color="auto" w:fill="FDFDFC"/>
          </w:tcPr>
          <w:p>
            <w:pPr>
              <w:jc w:val="right"/>
              <w:ind w:right="196"/>
              <w:spacing w:after="0"/>
              <w:rPr>
                <w:sz w:val="20"/>
                <w:szCs w:val="20"/>
                <w:color w:val="auto"/>
              </w:rPr>
            </w:pPr>
            <w:r>
              <w:rPr>
                <w:rFonts w:ascii="Times New Roman" w:cs="Times New Roman" w:eastAsia="Times New Roman" w:hAnsi="Times New Roman"/>
                <w:sz w:val="15"/>
                <w:szCs w:val="15"/>
                <w:b w:val="1"/>
                <w:bCs w:val="1"/>
                <w:color w:val="231F20"/>
              </w:rPr>
              <w:t>Carrying</w:t>
            </w:r>
          </w:p>
        </w:tc>
        <w:tc>
          <w:tcPr>
            <w:tcW w:w="100" w:type="dxa"/>
            <w:vAlign w:val="bottom"/>
            <w:shd w:val="clear" w:color="auto" w:fill="FDFDFC"/>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3840" w:type="dxa"/>
            <w:vAlign w:val="bottom"/>
            <w:shd w:val="clear" w:color="auto" w:fill="FDFDFC"/>
          </w:tcPr>
          <w:p>
            <w:pPr>
              <w:spacing w:after="0"/>
              <w:rPr>
                <w:sz w:val="15"/>
                <w:szCs w:val="15"/>
                <w:color w:val="auto"/>
              </w:rPr>
            </w:pPr>
          </w:p>
        </w:tc>
        <w:tc>
          <w:tcPr>
            <w:tcW w:w="140" w:type="dxa"/>
            <w:vAlign w:val="bottom"/>
            <w:shd w:val="clear" w:color="auto" w:fill="FDFDFC"/>
          </w:tcPr>
          <w:p>
            <w:pPr>
              <w:spacing w:after="0"/>
              <w:rPr>
                <w:sz w:val="15"/>
                <w:szCs w:val="15"/>
                <w:color w:val="auto"/>
              </w:rPr>
            </w:pPr>
          </w:p>
        </w:tc>
        <w:tc>
          <w:tcPr>
            <w:tcW w:w="1000" w:type="dxa"/>
            <w:vAlign w:val="bottom"/>
            <w:shd w:val="clear" w:color="auto" w:fill="FDFDFC"/>
          </w:tcPr>
          <w:p>
            <w:pPr>
              <w:jc w:val="center"/>
              <w:ind w:right="54"/>
              <w:spacing w:after="0"/>
              <w:rPr>
                <w:sz w:val="20"/>
                <w:szCs w:val="20"/>
                <w:color w:val="auto"/>
              </w:rPr>
            </w:pPr>
            <w:r>
              <w:rPr>
                <w:rFonts w:ascii="Times New Roman" w:cs="Times New Roman" w:eastAsia="Times New Roman" w:hAnsi="Times New Roman"/>
                <w:sz w:val="15"/>
                <w:szCs w:val="15"/>
                <w:b w:val="1"/>
                <w:bCs w:val="1"/>
                <w:color w:val="231F20"/>
              </w:rPr>
              <w:t>Amount</w:t>
            </w:r>
          </w:p>
        </w:tc>
        <w:tc>
          <w:tcPr>
            <w:tcW w:w="100" w:type="dxa"/>
            <w:vAlign w:val="bottom"/>
            <w:shd w:val="clear" w:color="auto" w:fill="FDFDFC"/>
          </w:tcPr>
          <w:p>
            <w:pPr>
              <w:spacing w:after="0"/>
              <w:rPr>
                <w:sz w:val="15"/>
                <w:szCs w:val="15"/>
                <w:color w:val="auto"/>
              </w:rPr>
            </w:pPr>
          </w:p>
        </w:tc>
        <w:tc>
          <w:tcPr>
            <w:tcW w:w="120" w:type="dxa"/>
            <w:vAlign w:val="bottom"/>
            <w:shd w:val="clear" w:color="auto" w:fill="FDFDFC"/>
          </w:tcPr>
          <w:p>
            <w:pPr>
              <w:spacing w:after="0"/>
              <w:rPr>
                <w:sz w:val="15"/>
                <w:szCs w:val="15"/>
                <w:color w:val="auto"/>
              </w:rPr>
            </w:pPr>
          </w:p>
        </w:tc>
        <w:tc>
          <w:tcPr>
            <w:tcW w:w="140" w:type="dxa"/>
            <w:vAlign w:val="bottom"/>
            <w:shd w:val="clear" w:color="auto" w:fill="FDFDFC"/>
          </w:tcPr>
          <w:p>
            <w:pPr>
              <w:spacing w:after="0"/>
              <w:rPr>
                <w:sz w:val="15"/>
                <w:szCs w:val="15"/>
                <w:color w:val="auto"/>
              </w:rPr>
            </w:pPr>
          </w:p>
        </w:tc>
        <w:tc>
          <w:tcPr>
            <w:tcW w:w="1000" w:type="dxa"/>
            <w:vAlign w:val="bottom"/>
            <w:vMerge w:val="continue"/>
            <w:shd w:val="clear" w:color="auto" w:fill="FDFDFC"/>
          </w:tcPr>
          <w:p>
            <w:pPr>
              <w:spacing w:after="0"/>
              <w:rPr>
                <w:sz w:val="15"/>
                <w:szCs w:val="15"/>
                <w:color w:val="auto"/>
              </w:rPr>
            </w:pPr>
          </w:p>
        </w:tc>
        <w:tc>
          <w:tcPr>
            <w:tcW w:w="100" w:type="dxa"/>
            <w:vAlign w:val="bottom"/>
            <w:shd w:val="clear" w:color="auto" w:fill="FDFDFC"/>
          </w:tcPr>
          <w:p>
            <w:pPr>
              <w:spacing w:after="0"/>
              <w:rPr>
                <w:sz w:val="15"/>
                <w:szCs w:val="15"/>
                <w:color w:val="auto"/>
              </w:rPr>
            </w:pPr>
          </w:p>
        </w:tc>
        <w:tc>
          <w:tcPr>
            <w:tcW w:w="140" w:type="dxa"/>
            <w:vAlign w:val="bottom"/>
            <w:shd w:val="clear" w:color="auto" w:fill="FDFDFC"/>
          </w:tcPr>
          <w:p>
            <w:pPr>
              <w:spacing w:after="0"/>
              <w:rPr>
                <w:sz w:val="15"/>
                <w:szCs w:val="15"/>
                <w:color w:val="auto"/>
              </w:rPr>
            </w:pPr>
          </w:p>
        </w:tc>
        <w:tc>
          <w:tcPr>
            <w:tcW w:w="140" w:type="dxa"/>
            <w:vAlign w:val="bottom"/>
            <w:shd w:val="clear" w:color="auto" w:fill="FDFDFC"/>
          </w:tcPr>
          <w:p>
            <w:pPr>
              <w:spacing w:after="0"/>
              <w:rPr>
                <w:sz w:val="15"/>
                <w:szCs w:val="15"/>
                <w:color w:val="auto"/>
              </w:rPr>
            </w:pPr>
          </w:p>
        </w:tc>
        <w:tc>
          <w:tcPr>
            <w:tcW w:w="1000" w:type="dxa"/>
            <w:vAlign w:val="bottom"/>
            <w:vMerge w:val="continue"/>
            <w:shd w:val="clear" w:color="auto" w:fill="FDFDFC"/>
          </w:tcPr>
          <w:p>
            <w:pPr>
              <w:spacing w:after="0"/>
              <w:rPr>
                <w:sz w:val="15"/>
                <w:szCs w:val="15"/>
                <w:color w:val="auto"/>
              </w:rPr>
            </w:pPr>
          </w:p>
        </w:tc>
        <w:tc>
          <w:tcPr>
            <w:tcW w:w="80" w:type="dxa"/>
            <w:vAlign w:val="bottom"/>
            <w:shd w:val="clear" w:color="auto" w:fill="FDFDFC"/>
          </w:tcPr>
          <w:p>
            <w:pPr>
              <w:spacing w:after="0"/>
              <w:rPr>
                <w:sz w:val="15"/>
                <w:szCs w:val="15"/>
                <w:color w:val="auto"/>
              </w:rPr>
            </w:pPr>
          </w:p>
        </w:tc>
        <w:tc>
          <w:tcPr>
            <w:tcW w:w="140" w:type="dxa"/>
            <w:vAlign w:val="bottom"/>
            <w:shd w:val="clear" w:color="auto" w:fill="FDFDFC"/>
          </w:tcPr>
          <w:p>
            <w:pPr>
              <w:spacing w:after="0"/>
              <w:rPr>
                <w:sz w:val="15"/>
                <w:szCs w:val="15"/>
                <w:color w:val="auto"/>
              </w:rPr>
            </w:pPr>
          </w:p>
        </w:tc>
        <w:tc>
          <w:tcPr>
            <w:tcW w:w="180" w:type="dxa"/>
            <w:vAlign w:val="bottom"/>
            <w:shd w:val="clear" w:color="auto" w:fill="FDFDFC"/>
          </w:tcPr>
          <w:p>
            <w:pPr>
              <w:spacing w:after="0"/>
              <w:rPr>
                <w:sz w:val="15"/>
                <w:szCs w:val="15"/>
                <w:color w:val="auto"/>
              </w:rPr>
            </w:pPr>
          </w:p>
        </w:tc>
        <w:tc>
          <w:tcPr>
            <w:tcW w:w="960" w:type="dxa"/>
            <w:vAlign w:val="bottom"/>
            <w:vMerge w:val="continue"/>
            <w:shd w:val="clear" w:color="auto" w:fill="FDFDFC"/>
          </w:tcPr>
          <w:p>
            <w:pPr>
              <w:spacing w:after="0"/>
              <w:rPr>
                <w:sz w:val="15"/>
                <w:szCs w:val="15"/>
                <w:color w:val="auto"/>
              </w:rPr>
            </w:pPr>
          </w:p>
        </w:tc>
        <w:tc>
          <w:tcPr>
            <w:tcW w:w="100" w:type="dxa"/>
            <w:vAlign w:val="bottom"/>
            <w:shd w:val="clear" w:color="auto" w:fill="FDFDFC"/>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3840" w:type="dxa"/>
            <w:vAlign w:val="bottom"/>
            <w:tcBorders>
              <w:bottom w:val="single" w:sz="8" w:color="D0EBF2"/>
            </w:tcBorders>
            <w:shd w:val="clear" w:color="auto" w:fill="FDFDFC"/>
          </w:tcPr>
          <w:p>
            <w:pPr>
              <w:spacing w:after="0"/>
              <w:rPr>
                <w:sz w:val="16"/>
                <w:szCs w:val="16"/>
                <w:color w:val="auto"/>
              </w:rPr>
            </w:pPr>
          </w:p>
        </w:tc>
        <w:tc>
          <w:tcPr>
            <w:tcW w:w="140" w:type="dxa"/>
            <w:vAlign w:val="bottom"/>
            <w:tcBorders>
              <w:bottom w:val="single" w:sz="8" w:color="231F20"/>
            </w:tcBorders>
            <w:shd w:val="clear" w:color="auto" w:fill="FDFDFC"/>
          </w:tcPr>
          <w:p>
            <w:pPr>
              <w:spacing w:after="0"/>
              <w:rPr>
                <w:sz w:val="16"/>
                <w:szCs w:val="16"/>
                <w:color w:val="auto"/>
              </w:rPr>
            </w:pPr>
          </w:p>
        </w:tc>
        <w:tc>
          <w:tcPr>
            <w:tcW w:w="1000" w:type="dxa"/>
            <w:vAlign w:val="bottom"/>
            <w:tcBorders>
              <w:bottom w:val="single" w:sz="8" w:color="231F20"/>
            </w:tcBorders>
            <w:shd w:val="clear" w:color="auto" w:fill="FDFDFC"/>
          </w:tcPr>
          <w:p>
            <w:pPr>
              <w:jc w:val="center"/>
              <w:ind w:right="54"/>
              <w:spacing w:after="0"/>
              <w:rPr>
                <w:sz w:val="20"/>
                <w:szCs w:val="20"/>
                <w:color w:val="auto"/>
              </w:rPr>
            </w:pPr>
            <w:r>
              <w:rPr>
                <w:rFonts w:ascii="Times New Roman" w:cs="Times New Roman" w:eastAsia="Times New Roman" w:hAnsi="Times New Roman"/>
                <w:sz w:val="15"/>
                <w:szCs w:val="15"/>
                <w:b w:val="1"/>
                <w:bCs w:val="1"/>
                <w:color w:val="231F20"/>
              </w:rPr>
              <w:t>Committed</w:t>
            </w:r>
          </w:p>
        </w:tc>
        <w:tc>
          <w:tcPr>
            <w:tcW w:w="100" w:type="dxa"/>
            <w:vAlign w:val="bottom"/>
            <w:tcBorders>
              <w:bottom w:val="single" w:sz="8" w:color="D0EBF2"/>
            </w:tcBorders>
            <w:shd w:val="clear" w:color="auto" w:fill="FDFDFC"/>
          </w:tcPr>
          <w:p>
            <w:pPr>
              <w:spacing w:after="0"/>
              <w:rPr>
                <w:sz w:val="16"/>
                <w:szCs w:val="16"/>
                <w:color w:val="auto"/>
              </w:rPr>
            </w:pPr>
          </w:p>
        </w:tc>
        <w:tc>
          <w:tcPr>
            <w:tcW w:w="120" w:type="dxa"/>
            <w:vAlign w:val="bottom"/>
            <w:tcBorders>
              <w:bottom w:val="single" w:sz="8" w:color="D0EBF2"/>
            </w:tcBorders>
            <w:shd w:val="clear" w:color="auto" w:fill="FDFDFC"/>
          </w:tcPr>
          <w:p>
            <w:pPr>
              <w:spacing w:after="0"/>
              <w:rPr>
                <w:sz w:val="16"/>
                <w:szCs w:val="16"/>
                <w:color w:val="auto"/>
              </w:rPr>
            </w:pPr>
          </w:p>
        </w:tc>
        <w:tc>
          <w:tcPr>
            <w:tcW w:w="140" w:type="dxa"/>
            <w:vAlign w:val="bottom"/>
            <w:tcBorders>
              <w:bottom w:val="single" w:sz="8" w:color="231F20"/>
            </w:tcBorders>
            <w:shd w:val="clear" w:color="auto" w:fill="FDFDFC"/>
          </w:tcPr>
          <w:p>
            <w:pPr>
              <w:spacing w:after="0"/>
              <w:rPr>
                <w:sz w:val="16"/>
                <w:szCs w:val="16"/>
                <w:color w:val="auto"/>
              </w:rPr>
            </w:pPr>
          </w:p>
        </w:tc>
        <w:tc>
          <w:tcPr>
            <w:tcW w:w="1000" w:type="dxa"/>
            <w:vAlign w:val="bottom"/>
            <w:tcBorders>
              <w:bottom w:val="single" w:sz="8" w:color="231F20"/>
            </w:tcBorders>
            <w:shd w:val="clear" w:color="auto" w:fill="FDFDFC"/>
          </w:tcPr>
          <w:p>
            <w:pPr>
              <w:jc w:val="right"/>
              <w:ind w:right="173"/>
              <w:spacing w:after="0"/>
              <w:rPr>
                <w:sz w:val="20"/>
                <w:szCs w:val="20"/>
                <w:color w:val="auto"/>
              </w:rPr>
            </w:pPr>
            <w:r>
              <w:rPr>
                <w:rFonts w:ascii="Times New Roman" w:cs="Times New Roman" w:eastAsia="Times New Roman" w:hAnsi="Times New Roman"/>
                <w:sz w:val="15"/>
                <w:szCs w:val="15"/>
                <w:b w:val="1"/>
                <w:bCs w:val="1"/>
                <w:color w:val="231F20"/>
              </w:rPr>
              <w:t>Principal</w:t>
            </w:r>
          </w:p>
        </w:tc>
        <w:tc>
          <w:tcPr>
            <w:tcW w:w="100" w:type="dxa"/>
            <w:vAlign w:val="bottom"/>
            <w:tcBorders>
              <w:bottom w:val="single" w:sz="8" w:color="D0EBF2"/>
            </w:tcBorders>
            <w:shd w:val="clear" w:color="auto" w:fill="FDFDFC"/>
          </w:tcPr>
          <w:p>
            <w:pPr>
              <w:spacing w:after="0"/>
              <w:rPr>
                <w:sz w:val="16"/>
                <w:szCs w:val="16"/>
                <w:color w:val="auto"/>
              </w:rPr>
            </w:pPr>
          </w:p>
        </w:tc>
        <w:tc>
          <w:tcPr>
            <w:tcW w:w="140" w:type="dxa"/>
            <w:vAlign w:val="bottom"/>
            <w:tcBorders>
              <w:bottom w:val="single" w:sz="8" w:color="D0EBF2"/>
            </w:tcBorders>
            <w:shd w:val="clear" w:color="auto" w:fill="FDFDFC"/>
          </w:tcPr>
          <w:p>
            <w:pPr>
              <w:spacing w:after="0"/>
              <w:rPr>
                <w:sz w:val="16"/>
                <w:szCs w:val="16"/>
                <w:color w:val="auto"/>
              </w:rPr>
            </w:pPr>
          </w:p>
        </w:tc>
        <w:tc>
          <w:tcPr>
            <w:tcW w:w="140" w:type="dxa"/>
            <w:vAlign w:val="bottom"/>
            <w:tcBorders>
              <w:bottom w:val="single" w:sz="8" w:color="231F20"/>
            </w:tcBorders>
            <w:shd w:val="clear" w:color="auto" w:fill="FDFDFC"/>
          </w:tcPr>
          <w:p>
            <w:pPr>
              <w:spacing w:after="0"/>
              <w:rPr>
                <w:sz w:val="16"/>
                <w:szCs w:val="16"/>
                <w:color w:val="auto"/>
              </w:rPr>
            </w:pPr>
          </w:p>
        </w:tc>
        <w:tc>
          <w:tcPr>
            <w:tcW w:w="1000" w:type="dxa"/>
            <w:vAlign w:val="bottom"/>
            <w:tcBorders>
              <w:bottom w:val="single" w:sz="8" w:color="231F20"/>
            </w:tcBorders>
            <w:shd w:val="clear" w:color="auto" w:fill="FDFDFC"/>
          </w:tcPr>
          <w:p>
            <w:pPr>
              <w:jc w:val="right"/>
              <w:ind w:right="111"/>
              <w:spacing w:after="0"/>
              <w:rPr>
                <w:sz w:val="20"/>
                <w:szCs w:val="20"/>
                <w:color w:val="auto"/>
              </w:rPr>
            </w:pPr>
            <w:r>
              <w:rPr>
                <w:rFonts w:ascii="Times New Roman" w:cs="Times New Roman" w:eastAsia="Times New Roman" w:hAnsi="Times New Roman"/>
                <w:sz w:val="15"/>
                <w:szCs w:val="15"/>
                <w:b w:val="1"/>
                <w:bCs w:val="1"/>
                <w:color w:val="231F20"/>
              </w:rPr>
              <w:t xml:space="preserve">Available </w:t>
            </w:r>
            <w:r>
              <w:rPr>
                <w:rFonts w:ascii="Times New Roman" w:cs="Times New Roman" w:eastAsia="Times New Roman" w:hAnsi="Times New Roman"/>
                <w:sz w:val="9"/>
                <w:szCs w:val="9"/>
                <w:b w:val="1"/>
                <w:bCs w:val="1"/>
                <w:color w:val="231F20"/>
              </w:rPr>
              <w:t>(1)</w:t>
            </w:r>
          </w:p>
        </w:tc>
        <w:tc>
          <w:tcPr>
            <w:tcW w:w="80" w:type="dxa"/>
            <w:vAlign w:val="bottom"/>
            <w:tcBorders>
              <w:bottom w:val="single" w:sz="8" w:color="D0EBF2"/>
            </w:tcBorders>
            <w:shd w:val="clear" w:color="auto" w:fill="FDFDFC"/>
          </w:tcPr>
          <w:p>
            <w:pPr>
              <w:spacing w:after="0"/>
              <w:rPr>
                <w:sz w:val="16"/>
                <w:szCs w:val="16"/>
                <w:color w:val="auto"/>
              </w:rPr>
            </w:pPr>
          </w:p>
        </w:tc>
        <w:tc>
          <w:tcPr>
            <w:tcW w:w="140" w:type="dxa"/>
            <w:vAlign w:val="bottom"/>
            <w:tcBorders>
              <w:bottom w:val="single" w:sz="8" w:color="D0EBF2"/>
            </w:tcBorders>
            <w:shd w:val="clear" w:color="auto" w:fill="FDFDFC"/>
          </w:tcPr>
          <w:p>
            <w:pPr>
              <w:spacing w:after="0"/>
              <w:rPr>
                <w:sz w:val="16"/>
                <w:szCs w:val="16"/>
                <w:color w:val="auto"/>
              </w:rPr>
            </w:pPr>
          </w:p>
        </w:tc>
        <w:tc>
          <w:tcPr>
            <w:tcW w:w="180" w:type="dxa"/>
            <w:vAlign w:val="bottom"/>
            <w:tcBorders>
              <w:bottom w:val="single" w:sz="8" w:color="231F20"/>
            </w:tcBorders>
            <w:shd w:val="clear" w:color="auto" w:fill="FDFDFC"/>
          </w:tcPr>
          <w:p>
            <w:pPr>
              <w:spacing w:after="0"/>
              <w:rPr>
                <w:sz w:val="16"/>
                <w:szCs w:val="16"/>
                <w:color w:val="auto"/>
              </w:rPr>
            </w:pPr>
          </w:p>
        </w:tc>
        <w:tc>
          <w:tcPr>
            <w:tcW w:w="960" w:type="dxa"/>
            <w:vAlign w:val="bottom"/>
            <w:tcBorders>
              <w:bottom w:val="single" w:sz="8" w:color="231F20"/>
            </w:tcBorders>
            <w:shd w:val="clear" w:color="auto" w:fill="FDFDFC"/>
          </w:tcPr>
          <w:p>
            <w:pPr>
              <w:jc w:val="right"/>
              <w:ind w:right="176"/>
              <w:spacing w:after="0" w:line="191" w:lineRule="exact"/>
              <w:rPr>
                <w:sz w:val="20"/>
                <w:szCs w:val="20"/>
                <w:color w:val="auto"/>
              </w:rPr>
            </w:pPr>
            <w:r>
              <w:rPr>
                <w:rFonts w:ascii="Times New Roman" w:cs="Times New Roman" w:eastAsia="Times New Roman" w:hAnsi="Times New Roman"/>
                <w:sz w:val="22"/>
                <w:szCs w:val="22"/>
                <w:b w:val="1"/>
                <w:bCs w:val="1"/>
                <w:color w:val="231F20"/>
                <w:vertAlign w:val="subscript"/>
              </w:rPr>
              <w:t>Value</w:t>
            </w:r>
            <w:r>
              <w:rPr>
                <w:rFonts w:ascii="Times New Roman" w:cs="Times New Roman" w:eastAsia="Times New Roman" w:hAnsi="Times New Roman"/>
                <w:sz w:val="8"/>
                <w:szCs w:val="8"/>
                <w:b w:val="1"/>
                <w:bCs w:val="1"/>
                <w:color w:val="231F20"/>
              </w:rPr>
              <w:t xml:space="preserve"> (2)(3)</w:t>
            </w:r>
          </w:p>
        </w:tc>
        <w:tc>
          <w:tcPr>
            <w:tcW w:w="100" w:type="dxa"/>
            <w:vAlign w:val="bottom"/>
            <w:tcBorders>
              <w:bottom w:val="single" w:sz="8" w:color="D0EBF2"/>
            </w:tcBorders>
            <w:shd w:val="clear" w:color="auto" w:fill="FDFDFC"/>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3840" w:type="dxa"/>
            <w:vAlign w:val="bottom"/>
            <w:shd w:val="clear" w:color="auto" w:fill="D0EBF2"/>
          </w:tcPr>
          <w:p>
            <w:pPr>
              <w:spacing w:after="0" w:line="206" w:lineRule="exact"/>
              <w:rPr>
                <w:sz w:val="20"/>
                <w:szCs w:val="20"/>
                <w:color w:val="auto"/>
              </w:rPr>
            </w:pPr>
            <w:r>
              <w:rPr>
                <w:rFonts w:ascii="Times New Roman" w:cs="Times New Roman" w:eastAsia="Times New Roman" w:hAnsi="Times New Roman"/>
                <w:sz w:val="19"/>
                <w:szCs w:val="19"/>
                <w:color w:val="231F20"/>
              </w:rPr>
              <w:t>Revolving Credit Facility</w:t>
            </w:r>
          </w:p>
        </w:tc>
        <w:tc>
          <w:tcPr>
            <w:tcW w:w="140" w:type="dxa"/>
            <w:vAlign w:val="bottom"/>
            <w:shd w:val="clear" w:color="auto" w:fill="D0EBF2"/>
          </w:tcPr>
          <w:p>
            <w:pPr>
              <w:jc w:val="right"/>
              <w:spacing w:after="0" w:line="206" w:lineRule="exact"/>
              <w:rPr>
                <w:sz w:val="20"/>
                <w:szCs w:val="20"/>
                <w:color w:val="auto"/>
              </w:rPr>
            </w:pPr>
            <w:r>
              <w:rPr>
                <w:rFonts w:ascii="Times New Roman" w:cs="Times New Roman" w:eastAsia="Times New Roman" w:hAnsi="Times New Roman"/>
                <w:sz w:val="19"/>
                <w:szCs w:val="19"/>
                <w:color w:val="231F20"/>
                <w:w w:val="83"/>
                <w:shd w:val="clear" w:color="auto" w:fill="D0EBF2"/>
              </w:rPr>
              <w:t>$</w:t>
            </w:r>
          </w:p>
        </w:tc>
        <w:tc>
          <w:tcPr>
            <w:tcW w:w="1000" w:type="dxa"/>
            <w:vAlign w:val="bottom"/>
            <w:shd w:val="clear" w:color="auto" w:fill="D0EBF2"/>
          </w:tcPr>
          <w:p>
            <w:pPr>
              <w:jc w:val="right"/>
              <w:spacing w:after="0" w:line="206" w:lineRule="exact"/>
              <w:rPr>
                <w:sz w:val="20"/>
                <w:szCs w:val="20"/>
                <w:color w:val="auto"/>
              </w:rPr>
            </w:pPr>
            <w:r>
              <w:rPr>
                <w:rFonts w:ascii="Times New Roman" w:cs="Times New Roman" w:eastAsia="Times New Roman" w:hAnsi="Times New Roman"/>
                <w:sz w:val="19"/>
                <w:szCs w:val="19"/>
                <w:color w:val="231F20"/>
                <w:shd w:val="clear" w:color="auto" w:fill="D0EBF2"/>
              </w:rPr>
              <w:t>1,710,000</w:t>
            </w:r>
          </w:p>
        </w:tc>
        <w:tc>
          <w:tcPr>
            <w:tcW w:w="100" w:type="dxa"/>
            <w:vAlign w:val="bottom"/>
            <w:shd w:val="clear" w:color="auto" w:fill="D0EBF2"/>
          </w:tcPr>
          <w:p>
            <w:pPr>
              <w:spacing w:after="0"/>
              <w:rPr>
                <w:sz w:val="17"/>
                <w:szCs w:val="17"/>
                <w:color w:val="auto"/>
              </w:rPr>
            </w:pPr>
          </w:p>
        </w:tc>
        <w:tc>
          <w:tcPr>
            <w:tcW w:w="120" w:type="dxa"/>
            <w:vAlign w:val="bottom"/>
            <w:shd w:val="clear" w:color="auto" w:fill="D0EBF2"/>
          </w:tcPr>
          <w:p>
            <w:pPr>
              <w:spacing w:after="0"/>
              <w:rPr>
                <w:sz w:val="17"/>
                <w:szCs w:val="17"/>
                <w:color w:val="auto"/>
              </w:rPr>
            </w:pPr>
          </w:p>
        </w:tc>
        <w:tc>
          <w:tcPr>
            <w:tcW w:w="140" w:type="dxa"/>
            <w:vAlign w:val="bottom"/>
            <w:shd w:val="clear" w:color="auto" w:fill="D0EBF2"/>
          </w:tcPr>
          <w:p>
            <w:pPr>
              <w:jc w:val="right"/>
              <w:spacing w:after="0" w:line="206" w:lineRule="exact"/>
              <w:rPr>
                <w:sz w:val="20"/>
                <w:szCs w:val="20"/>
                <w:color w:val="auto"/>
              </w:rPr>
            </w:pPr>
            <w:r>
              <w:rPr>
                <w:rFonts w:ascii="Times New Roman" w:cs="Times New Roman" w:eastAsia="Times New Roman" w:hAnsi="Times New Roman"/>
                <w:sz w:val="19"/>
                <w:szCs w:val="19"/>
                <w:color w:val="231F20"/>
                <w:w w:val="83"/>
              </w:rPr>
              <w:t>$</w:t>
            </w:r>
          </w:p>
        </w:tc>
        <w:tc>
          <w:tcPr>
            <w:tcW w:w="1000" w:type="dxa"/>
            <w:vAlign w:val="bottom"/>
            <w:shd w:val="clear" w:color="auto" w:fill="D0EBF2"/>
          </w:tcPr>
          <w:p>
            <w:pPr>
              <w:jc w:val="right"/>
              <w:spacing w:after="0" w:line="206" w:lineRule="exact"/>
              <w:rPr>
                <w:sz w:val="20"/>
                <w:szCs w:val="20"/>
                <w:color w:val="auto"/>
              </w:rPr>
            </w:pPr>
            <w:r>
              <w:rPr>
                <w:rFonts w:ascii="Times New Roman" w:cs="Times New Roman" w:eastAsia="Times New Roman" w:hAnsi="Times New Roman"/>
                <w:sz w:val="19"/>
                <w:szCs w:val="19"/>
                <w:color w:val="231F20"/>
              </w:rPr>
              <w:t>889,659</w:t>
            </w:r>
          </w:p>
        </w:tc>
        <w:tc>
          <w:tcPr>
            <w:tcW w:w="100" w:type="dxa"/>
            <w:vAlign w:val="bottom"/>
            <w:shd w:val="clear" w:color="auto" w:fill="D0EBF2"/>
          </w:tcPr>
          <w:p>
            <w:pPr>
              <w:spacing w:after="0"/>
              <w:rPr>
                <w:sz w:val="17"/>
                <w:szCs w:val="17"/>
                <w:color w:val="auto"/>
              </w:rPr>
            </w:pPr>
          </w:p>
        </w:tc>
        <w:tc>
          <w:tcPr>
            <w:tcW w:w="140" w:type="dxa"/>
            <w:vAlign w:val="bottom"/>
            <w:shd w:val="clear" w:color="auto" w:fill="D0EBF2"/>
          </w:tcPr>
          <w:p>
            <w:pPr>
              <w:spacing w:after="0"/>
              <w:rPr>
                <w:sz w:val="17"/>
                <w:szCs w:val="17"/>
                <w:color w:val="auto"/>
              </w:rPr>
            </w:pPr>
          </w:p>
        </w:tc>
        <w:tc>
          <w:tcPr>
            <w:tcW w:w="140" w:type="dxa"/>
            <w:vAlign w:val="bottom"/>
            <w:shd w:val="clear" w:color="auto" w:fill="D0EBF2"/>
          </w:tcPr>
          <w:p>
            <w:pPr>
              <w:jc w:val="right"/>
              <w:spacing w:after="0"/>
              <w:rPr>
                <w:sz w:val="20"/>
                <w:szCs w:val="20"/>
                <w:color w:val="auto"/>
              </w:rPr>
            </w:pPr>
            <w:r>
              <w:rPr>
                <w:rFonts w:ascii="Times New Roman" w:cs="Times New Roman" w:eastAsia="Times New Roman" w:hAnsi="Times New Roman"/>
                <w:sz w:val="17"/>
                <w:szCs w:val="17"/>
                <w:color w:val="231F20"/>
                <w:w w:val="70"/>
              </w:rPr>
              <w:t>$</w:t>
            </w:r>
          </w:p>
        </w:tc>
        <w:tc>
          <w:tcPr>
            <w:tcW w:w="1000" w:type="dxa"/>
            <w:vAlign w:val="bottom"/>
            <w:shd w:val="clear" w:color="auto" w:fill="D0EBF2"/>
          </w:tcPr>
          <w:p>
            <w:pPr>
              <w:jc w:val="right"/>
              <w:spacing w:after="0" w:line="206" w:lineRule="exact"/>
              <w:rPr>
                <w:sz w:val="20"/>
                <w:szCs w:val="20"/>
                <w:color w:val="auto"/>
              </w:rPr>
            </w:pPr>
            <w:r>
              <w:rPr>
                <w:rFonts w:ascii="Times New Roman" w:cs="Times New Roman" w:eastAsia="Times New Roman" w:hAnsi="Times New Roman"/>
                <w:sz w:val="19"/>
                <w:szCs w:val="19"/>
                <w:color w:val="231F20"/>
              </w:rPr>
              <w:t>820,160</w:t>
            </w:r>
          </w:p>
        </w:tc>
        <w:tc>
          <w:tcPr>
            <w:tcW w:w="80" w:type="dxa"/>
            <w:vAlign w:val="bottom"/>
            <w:shd w:val="clear" w:color="auto" w:fill="D0EBF2"/>
          </w:tcPr>
          <w:p>
            <w:pPr>
              <w:spacing w:after="0"/>
              <w:rPr>
                <w:sz w:val="17"/>
                <w:szCs w:val="17"/>
                <w:color w:val="auto"/>
              </w:rPr>
            </w:pPr>
          </w:p>
        </w:tc>
        <w:tc>
          <w:tcPr>
            <w:tcW w:w="140" w:type="dxa"/>
            <w:vAlign w:val="bottom"/>
            <w:shd w:val="clear" w:color="auto" w:fill="D0EBF2"/>
          </w:tcPr>
          <w:p>
            <w:pPr>
              <w:spacing w:after="0"/>
              <w:rPr>
                <w:sz w:val="17"/>
                <w:szCs w:val="17"/>
                <w:color w:val="auto"/>
              </w:rPr>
            </w:pPr>
          </w:p>
        </w:tc>
        <w:tc>
          <w:tcPr>
            <w:tcW w:w="180" w:type="dxa"/>
            <w:vAlign w:val="bottom"/>
            <w:shd w:val="clear" w:color="auto" w:fill="D0EBF2"/>
          </w:tcPr>
          <w:p>
            <w:pPr>
              <w:jc w:val="right"/>
              <w:spacing w:after="0" w:line="206" w:lineRule="exact"/>
              <w:rPr>
                <w:sz w:val="20"/>
                <w:szCs w:val="20"/>
                <w:color w:val="auto"/>
              </w:rPr>
            </w:pPr>
            <w:r>
              <w:rPr>
                <w:rFonts w:ascii="Times New Roman" w:cs="Times New Roman" w:eastAsia="Times New Roman" w:hAnsi="Times New Roman"/>
                <w:sz w:val="19"/>
                <w:szCs w:val="19"/>
                <w:color w:val="231F20"/>
                <w:w w:val="83"/>
              </w:rPr>
              <w:t>$</w:t>
            </w:r>
          </w:p>
        </w:tc>
        <w:tc>
          <w:tcPr>
            <w:tcW w:w="960" w:type="dxa"/>
            <w:vAlign w:val="bottom"/>
            <w:shd w:val="clear" w:color="auto" w:fill="D0EBF2"/>
          </w:tcPr>
          <w:p>
            <w:pPr>
              <w:jc w:val="right"/>
              <w:spacing w:after="0" w:line="206" w:lineRule="exact"/>
              <w:rPr>
                <w:sz w:val="20"/>
                <w:szCs w:val="20"/>
                <w:color w:val="auto"/>
              </w:rPr>
            </w:pPr>
            <w:r>
              <w:rPr>
                <w:rFonts w:ascii="Times New Roman" w:cs="Times New Roman" w:eastAsia="Times New Roman" w:hAnsi="Times New Roman"/>
                <w:sz w:val="19"/>
                <w:szCs w:val="19"/>
                <w:color w:val="231F20"/>
              </w:rPr>
              <w:t>874,507</w:t>
            </w:r>
          </w:p>
        </w:tc>
        <w:tc>
          <w:tcPr>
            <w:tcW w:w="100" w:type="dxa"/>
            <w:vAlign w:val="bottom"/>
            <w:shd w:val="clear" w:color="auto" w:fill="D0EBF2"/>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3840" w:type="dxa"/>
            <w:vAlign w:val="bottom"/>
            <w:shd w:val="clear" w:color="auto" w:fill="FDFDFC"/>
          </w:tcPr>
          <w:p>
            <w:pPr>
              <w:spacing w:after="0" w:line="217" w:lineRule="exact"/>
              <w:rPr>
                <w:sz w:val="20"/>
                <w:szCs w:val="20"/>
                <w:color w:val="auto"/>
              </w:rPr>
            </w:pPr>
            <w:r>
              <w:rPr>
                <w:rFonts w:ascii="Times New Roman" w:cs="Times New Roman" w:eastAsia="Times New Roman" w:hAnsi="Times New Roman"/>
                <w:sz w:val="19"/>
                <w:szCs w:val="19"/>
                <w:color w:val="231F20"/>
              </w:rPr>
              <w:t>2024 Notes</w:t>
            </w:r>
          </w:p>
        </w:tc>
        <w:tc>
          <w:tcPr>
            <w:tcW w:w="140" w:type="dxa"/>
            <w:vAlign w:val="bottom"/>
            <w:shd w:val="clear" w:color="auto" w:fill="FDFDFC"/>
          </w:tcPr>
          <w:p>
            <w:pPr>
              <w:spacing w:after="0"/>
              <w:rPr>
                <w:sz w:val="18"/>
                <w:szCs w:val="18"/>
                <w:color w:val="auto"/>
              </w:rPr>
            </w:pPr>
          </w:p>
        </w:tc>
        <w:tc>
          <w:tcPr>
            <w:tcW w:w="1000" w:type="dxa"/>
            <w:vAlign w:val="bottom"/>
            <w:shd w:val="clear" w:color="auto" w:fill="FDFDFC"/>
          </w:tcPr>
          <w:p>
            <w:pPr>
              <w:jc w:val="right"/>
              <w:spacing w:after="0" w:line="217" w:lineRule="exact"/>
              <w:rPr>
                <w:sz w:val="20"/>
                <w:szCs w:val="20"/>
                <w:color w:val="auto"/>
              </w:rPr>
            </w:pPr>
            <w:r>
              <w:rPr>
                <w:rFonts w:ascii="Times New Roman" w:cs="Times New Roman" w:eastAsia="Times New Roman" w:hAnsi="Times New Roman"/>
                <w:sz w:val="19"/>
                <w:szCs w:val="19"/>
                <w:color w:val="231F20"/>
              </w:rPr>
              <w:t>347,500</w:t>
            </w:r>
          </w:p>
        </w:tc>
        <w:tc>
          <w:tcPr>
            <w:tcW w:w="100" w:type="dxa"/>
            <w:vAlign w:val="bottom"/>
            <w:shd w:val="clear" w:color="auto" w:fill="FDFDFC"/>
          </w:tcPr>
          <w:p>
            <w:pPr>
              <w:spacing w:after="0"/>
              <w:rPr>
                <w:sz w:val="18"/>
                <w:szCs w:val="18"/>
                <w:color w:val="auto"/>
              </w:rPr>
            </w:pPr>
          </w:p>
        </w:tc>
        <w:tc>
          <w:tcPr>
            <w:tcW w:w="120" w:type="dxa"/>
            <w:vAlign w:val="bottom"/>
            <w:shd w:val="clear" w:color="auto" w:fill="FDFDFC"/>
          </w:tcPr>
          <w:p>
            <w:pPr>
              <w:spacing w:after="0"/>
              <w:rPr>
                <w:sz w:val="18"/>
                <w:szCs w:val="18"/>
                <w:color w:val="auto"/>
              </w:rPr>
            </w:pPr>
          </w:p>
        </w:tc>
        <w:tc>
          <w:tcPr>
            <w:tcW w:w="140" w:type="dxa"/>
            <w:vAlign w:val="bottom"/>
            <w:shd w:val="clear" w:color="auto" w:fill="FDFDFC"/>
          </w:tcPr>
          <w:p>
            <w:pPr>
              <w:spacing w:after="0"/>
              <w:rPr>
                <w:sz w:val="18"/>
                <w:szCs w:val="18"/>
                <w:color w:val="auto"/>
              </w:rPr>
            </w:pPr>
          </w:p>
        </w:tc>
        <w:tc>
          <w:tcPr>
            <w:tcW w:w="1000" w:type="dxa"/>
            <w:vAlign w:val="bottom"/>
            <w:shd w:val="clear" w:color="auto" w:fill="FDFDFC"/>
          </w:tcPr>
          <w:p>
            <w:pPr>
              <w:jc w:val="right"/>
              <w:spacing w:after="0" w:line="217" w:lineRule="exact"/>
              <w:rPr>
                <w:sz w:val="20"/>
                <w:szCs w:val="20"/>
                <w:color w:val="auto"/>
              </w:rPr>
            </w:pPr>
            <w:r>
              <w:rPr>
                <w:rFonts w:ascii="Times New Roman" w:cs="Times New Roman" w:eastAsia="Times New Roman" w:hAnsi="Times New Roman"/>
                <w:sz w:val="19"/>
                <w:szCs w:val="19"/>
                <w:color w:val="231F20"/>
              </w:rPr>
              <w:t>347,500</w:t>
            </w:r>
          </w:p>
        </w:tc>
        <w:tc>
          <w:tcPr>
            <w:tcW w:w="100" w:type="dxa"/>
            <w:vAlign w:val="bottom"/>
            <w:shd w:val="clear" w:color="auto" w:fill="FDFDFC"/>
          </w:tcPr>
          <w:p>
            <w:pPr>
              <w:spacing w:after="0"/>
              <w:rPr>
                <w:sz w:val="18"/>
                <w:szCs w:val="18"/>
                <w:color w:val="auto"/>
              </w:rPr>
            </w:pPr>
          </w:p>
        </w:tc>
        <w:tc>
          <w:tcPr>
            <w:tcW w:w="140" w:type="dxa"/>
            <w:vAlign w:val="bottom"/>
            <w:shd w:val="clear" w:color="auto" w:fill="FDFDFC"/>
          </w:tcPr>
          <w:p>
            <w:pPr>
              <w:spacing w:after="0"/>
              <w:rPr>
                <w:sz w:val="18"/>
                <w:szCs w:val="18"/>
                <w:color w:val="auto"/>
              </w:rPr>
            </w:pPr>
          </w:p>
        </w:tc>
        <w:tc>
          <w:tcPr>
            <w:tcW w:w="140" w:type="dxa"/>
            <w:vAlign w:val="bottom"/>
            <w:shd w:val="clear" w:color="auto" w:fill="FDFDFC"/>
          </w:tcPr>
          <w:p>
            <w:pPr>
              <w:spacing w:after="0"/>
              <w:rPr>
                <w:sz w:val="18"/>
                <w:szCs w:val="18"/>
                <w:color w:val="auto"/>
              </w:rPr>
            </w:pPr>
          </w:p>
        </w:tc>
        <w:tc>
          <w:tcPr>
            <w:tcW w:w="1000" w:type="dxa"/>
            <w:vAlign w:val="bottom"/>
            <w:shd w:val="clear" w:color="auto" w:fill="FDFDFC"/>
          </w:tcPr>
          <w:p>
            <w:pPr>
              <w:jc w:val="right"/>
              <w:spacing w:after="0" w:line="217" w:lineRule="exact"/>
              <w:rPr>
                <w:sz w:val="20"/>
                <w:szCs w:val="20"/>
                <w:color w:val="auto"/>
              </w:rPr>
            </w:pPr>
            <w:r>
              <w:rPr>
                <w:rFonts w:ascii="Times New Roman" w:cs="Times New Roman" w:eastAsia="Times New Roman" w:hAnsi="Times New Roman"/>
                <w:sz w:val="19"/>
                <w:szCs w:val="19"/>
                <w:color w:val="231F20"/>
              </w:rPr>
              <w:t>—</w:t>
            </w:r>
          </w:p>
        </w:tc>
        <w:tc>
          <w:tcPr>
            <w:tcW w:w="80" w:type="dxa"/>
            <w:vAlign w:val="bottom"/>
            <w:shd w:val="clear" w:color="auto" w:fill="FDFDFC"/>
          </w:tcPr>
          <w:p>
            <w:pPr>
              <w:spacing w:after="0"/>
              <w:rPr>
                <w:sz w:val="18"/>
                <w:szCs w:val="18"/>
                <w:color w:val="auto"/>
              </w:rPr>
            </w:pPr>
          </w:p>
        </w:tc>
        <w:tc>
          <w:tcPr>
            <w:tcW w:w="140" w:type="dxa"/>
            <w:vAlign w:val="bottom"/>
            <w:shd w:val="clear" w:color="auto" w:fill="FDFDFC"/>
          </w:tcPr>
          <w:p>
            <w:pPr>
              <w:spacing w:after="0"/>
              <w:rPr>
                <w:sz w:val="18"/>
                <w:szCs w:val="18"/>
                <w:color w:val="auto"/>
              </w:rPr>
            </w:pPr>
          </w:p>
        </w:tc>
        <w:tc>
          <w:tcPr>
            <w:tcW w:w="180" w:type="dxa"/>
            <w:vAlign w:val="bottom"/>
            <w:shd w:val="clear" w:color="auto" w:fill="FDFDFC"/>
          </w:tcPr>
          <w:p>
            <w:pPr>
              <w:spacing w:after="0"/>
              <w:rPr>
                <w:sz w:val="18"/>
                <w:szCs w:val="18"/>
                <w:color w:val="auto"/>
              </w:rPr>
            </w:pPr>
          </w:p>
        </w:tc>
        <w:tc>
          <w:tcPr>
            <w:tcW w:w="960" w:type="dxa"/>
            <w:vAlign w:val="bottom"/>
            <w:shd w:val="clear" w:color="auto" w:fill="FDFDFC"/>
          </w:tcPr>
          <w:p>
            <w:pPr>
              <w:jc w:val="right"/>
              <w:spacing w:after="0" w:line="217" w:lineRule="exact"/>
              <w:rPr>
                <w:sz w:val="20"/>
                <w:szCs w:val="20"/>
                <w:color w:val="auto"/>
              </w:rPr>
            </w:pPr>
            <w:r>
              <w:rPr>
                <w:rFonts w:ascii="Times New Roman" w:cs="Times New Roman" w:eastAsia="Times New Roman" w:hAnsi="Times New Roman"/>
                <w:sz w:val="19"/>
                <w:szCs w:val="19"/>
                <w:color w:val="231F20"/>
              </w:rPr>
              <w:t>335,904</w:t>
            </w:r>
          </w:p>
        </w:tc>
        <w:tc>
          <w:tcPr>
            <w:tcW w:w="100" w:type="dxa"/>
            <w:vAlign w:val="bottom"/>
            <w:shd w:val="clear" w:color="auto" w:fill="FDFDFC"/>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3840" w:type="dxa"/>
            <w:vAlign w:val="bottom"/>
            <w:shd w:val="clear" w:color="auto" w:fill="D0EBF2"/>
          </w:tcPr>
          <w:p>
            <w:pPr>
              <w:spacing w:after="0" w:line="217" w:lineRule="exact"/>
              <w:rPr>
                <w:sz w:val="20"/>
                <w:szCs w:val="20"/>
                <w:color w:val="auto"/>
              </w:rPr>
            </w:pPr>
            <w:r>
              <w:rPr>
                <w:rFonts w:ascii="Times New Roman" w:cs="Times New Roman" w:eastAsia="Times New Roman" w:hAnsi="Times New Roman"/>
                <w:sz w:val="19"/>
                <w:szCs w:val="19"/>
                <w:color w:val="231F20"/>
              </w:rPr>
              <w:t>2026 Notes</w:t>
            </w:r>
          </w:p>
        </w:tc>
        <w:tc>
          <w:tcPr>
            <w:tcW w:w="140" w:type="dxa"/>
            <w:vAlign w:val="bottom"/>
            <w:shd w:val="clear" w:color="auto" w:fill="D0EBF2"/>
          </w:tcPr>
          <w:p>
            <w:pPr>
              <w:spacing w:after="0"/>
              <w:rPr>
                <w:sz w:val="18"/>
                <w:szCs w:val="18"/>
                <w:color w:val="auto"/>
              </w:rPr>
            </w:pPr>
          </w:p>
        </w:tc>
        <w:tc>
          <w:tcPr>
            <w:tcW w:w="1000" w:type="dxa"/>
            <w:vAlign w:val="bottom"/>
            <w:shd w:val="clear" w:color="auto" w:fill="D0EBF2"/>
          </w:tcPr>
          <w:p>
            <w:pPr>
              <w:jc w:val="right"/>
              <w:spacing w:after="0" w:line="217" w:lineRule="exact"/>
              <w:rPr>
                <w:sz w:val="20"/>
                <w:szCs w:val="20"/>
                <w:color w:val="auto"/>
              </w:rPr>
            </w:pPr>
            <w:r>
              <w:rPr>
                <w:rFonts w:ascii="Times New Roman" w:cs="Times New Roman" w:eastAsia="Times New Roman" w:hAnsi="Times New Roman"/>
                <w:sz w:val="19"/>
                <w:szCs w:val="19"/>
                <w:color w:val="231F20"/>
              </w:rPr>
              <w:t>300,000</w:t>
            </w:r>
          </w:p>
        </w:tc>
        <w:tc>
          <w:tcPr>
            <w:tcW w:w="100" w:type="dxa"/>
            <w:vAlign w:val="bottom"/>
            <w:shd w:val="clear" w:color="auto" w:fill="D0EBF2"/>
          </w:tcPr>
          <w:p>
            <w:pPr>
              <w:spacing w:after="0"/>
              <w:rPr>
                <w:sz w:val="18"/>
                <w:szCs w:val="18"/>
                <w:color w:val="auto"/>
              </w:rPr>
            </w:pPr>
          </w:p>
        </w:tc>
        <w:tc>
          <w:tcPr>
            <w:tcW w:w="120" w:type="dxa"/>
            <w:vAlign w:val="bottom"/>
            <w:shd w:val="clear" w:color="auto" w:fill="D0EBF2"/>
          </w:tcPr>
          <w:p>
            <w:pPr>
              <w:spacing w:after="0"/>
              <w:rPr>
                <w:sz w:val="18"/>
                <w:szCs w:val="18"/>
                <w:color w:val="auto"/>
              </w:rPr>
            </w:pPr>
          </w:p>
        </w:tc>
        <w:tc>
          <w:tcPr>
            <w:tcW w:w="140" w:type="dxa"/>
            <w:vAlign w:val="bottom"/>
            <w:shd w:val="clear" w:color="auto" w:fill="D0EBF2"/>
          </w:tcPr>
          <w:p>
            <w:pPr>
              <w:spacing w:after="0"/>
              <w:rPr>
                <w:sz w:val="18"/>
                <w:szCs w:val="18"/>
                <w:color w:val="auto"/>
              </w:rPr>
            </w:pPr>
          </w:p>
        </w:tc>
        <w:tc>
          <w:tcPr>
            <w:tcW w:w="1000" w:type="dxa"/>
            <w:vAlign w:val="bottom"/>
            <w:shd w:val="clear" w:color="auto" w:fill="D0EBF2"/>
          </w:tcPr>
          <w:p>
            <w:pPr>
              <w:jc w:val="right"/>
              <w:spacing w:after="0" w:line="217" w:lineRule="exact"/>
              <w:rPr>
                <w:sz w:val="20"/>
                <w:szCs w:val="20"/>
                <w:color w:val="auto"/>
              </w:rPr>
            </w:pPr>
            <w:r>
              <w:rPr>
                <w:rFonts w:ascii="Times New Roman" w:cs="Times New Roman" w:eastAsia="Times New Roman" w:hAnsi="Times New Roman"/>
                <w:sz w:val="19"/>
                <w:szCs w:val="19"/>
                <w:color w:val="231F20"/>
              </w:rPr>
              <w:t>300,000</w:t>
            </w:r>
          </w:p>
        </w:tc>
        <w:tc>
          <w:tcPr>
            <w:tcW w:w="100" w:type="dxa"/>
            <w:vAlign w:val="bottom"/>
            <w:shd w:val="clear" w:color="auto" w:fill="D0EBF2"/>
          </w:tcPr>
          <w:p>
            <w:pPr>
              <w:spacing w:after="0"/>
              <w:rPr>
                <w:sz w:val="18"/>
                <w:szCs w:val="18"/>
                <w:color w:val="auto"/>
              </w:rPr>
            </w:pPr>
          </w:p>
        </w:tc>
        <w:tc>
          <w:tcPr>
            <w:tcW w:w="140" w:type="dxa"/>
            <w:vAlign w:val="bottom"/>
            <w:shd w:val="clear" w:color="auto" w:fill="D0EBF2"/>
          </w:tcPr>
          <w:p>
            <w:pPr>
              <w:spacing w:after="0"/>
              <w:rPr>
                <w:sz w:val="18"/>
                <w:szCs w:val="18"/>
                <w:color w:val="auto"/>
              </w:rPr>
            </w:pPr>
          </w:p>
        </w:tc>
        <w:tc>
          <w:tcPr>
            <w:tcW w:w="140" w:type="dxa"/>
            <w:vAlign w:val="bottom"/>
            <w:shd w:val="clear" w:color="auto" w:fill="D0EBF2"/>
          </w:tcPr>
          <w:p>
            <w:pPr>
              <w:spacing w:after="0"/>
              <w:rPr>
                <w:sz w:val="18"/>
                <w:szCs w:val="18"/>
                <w:color w:val="auto"/>
              </w:rPr>
            </w:pPr>
          </w:p>
        </w:tc>
        <w:tc>
          <w:tcPr>
            <w:tcW w:w="1000" w:type="dxa"/>
            <w:vAlign w:val="bottom"/>
            <w:shd w:val="clear" w:color="auto" w:fill="D0EBF2"/>
          </w:tcPr>
          <w:p>
            <w:pPr>
              <w:jc w:val="right"/>
              <w:spacing w:after="0" w:line="217" w:lineRule="exact"/>
              <w:rPr>
                <w:sz w:val="20"/>
                <w:szCs w:val="20"/>
                <w:color w:val="auto"/>
              </w:rPr>
            </w:pPr>
            <w:r>
              <w:rPr>
                <w:rFonts w:ascii="Times New Roman" w:cs="Times New Roman" w:eastAsia="Times New Roman" w:hAnsi="Times New Roman"/>
                <w:sz w:val="19"/>
                <w:szCs w:val="19"/>
                <w:color w:val="231F20"/>
              </w:rPr>
              <w:t>—</w:t>
            </w:r>
          </w:p>
        </w:tc>
        <w:tc>
          <w:tcPr>
            <w:tcW w:w="80" w:type="dxa"/>
            <w:vAlign w:val="bottom"/>
            <w:shd w:val="clear" w:color="auto" w:fill="D0EBF2"/>
          </w:tcPr>
          <w:p>
            <w:pPr>
              <w:spacing w:after="0"/>
              <w:rPr>
                <w:sz w:val="18"/>
                <w:szCs w:val="18"/>
                <w:color w:val="auto"/>
              </w:rPr>
            </w:pPr>
          </w:p>
        </w:tc>
        <w:tc>
          <w:tcPr>
            <w:tcW w:w="140" w:type="dxa"/>
            <w:vAlign w:val="bottom"/>
            <w:shd w:val="clear" w:color="auto" w:fill="D0EBF2"/>
          </w:tcPr>
          <w:p>
            <w:pPr>
              <w:spacing w:after="0"/>
              <w:rPr>
                <w:sz w:val="18"/>
                <w:szCs w:val="18"/>
                <w:color w:val="auto"/>
              </w:rPr>
            </w:pPr>
          </w:p>
        </w:tc>
        <w:tc>
          <w:tcPr>
            <w:tcW w:w="180" w:type="dxa"/>
            <w:vAlign w:val="bottom"/>
            <w:shd w:val="clear" w:color="auto" w:fill="D0EBF2"/>
          </w:tcPr>
          <w:p>
            <w:pPr>
              <w:spacing w:after="0"/>
              <w:rPr>
                <w:sz w:val="18"/>
                <w:szCs w:val="18"/>
                <w:color w:val="auto"/>
              </w:rPr>
            </w:pPr>
          </w:p>
        </w:tc>
        <w:tc>
          <w:tcPr>
            <w:tcW w:w="960" w:type="dxa"/>
            <w:vAlign w:val="bottom"/>
            <w:shd w:val="clear" w:color="auto" w:fill="D0EBF2"/>
          </w:tcPr>
          <w:p>
            <w:pPr>
              <w:jc w:val="right"/>
              <w:spacing w:after="0" w:line="217" w:lineRule="exact"/>
              <w:rPr>
                <w:sz w:val="20"/>
                <w:szCs w:val="20"/>
                <w:color w:val="auto"/>
              </w:rPr>
            </w:pPr>
            <w:r>
              <w:rPr>
                <w:rFonts w:ascii="Times New Roman" w:cs="Times New Roman" w:eastAsia="Times New Roman" w:hAnsi="Times New Roman"/>
                <w:sz w:val="19"/>
                <w:szCs w:val="19"/>
                <w:color w:val="231F20"/>
              </w:rPr>
              <w:t>270,885</w:t>
            </w:r>
          </w:p>
        </w:tc>
        <w:tc>
          <w:tcPr>
            <w:tcW w:w="100" w:type="dxa"/>
            <w:vAlign w:val="bottom"/>
            <w:shd w:val="clear" w:color="auto" w:fill="D0EBF2"/>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3840" w:type="dxa"/>
            <w:vAlign w:val="bottom"/>
            <w:tcBorders>
              <w:bottom w:val="single" w:sz="8" w:color="D0EBF2"/>
            </w:tcBorders>
            <w:shd w:val="clear" w:color="auto" w:fill="FDFDFC"/>
          </w:tcPr>
          <w:p>
            <w:pPr>
              <w:spacing w:after="0" w:line="217" w:lineRule="exact"/>
              <w:rPr>
                <w:sz w:val="20"/>
                <w:szCs w:val="20"/>
                <w:color w:val="auto"/>
              </w:rPr>
            </w:pPr>
            <w:r>
              <w:rPr>
                <w:rFonts w:ascii="Times New Roman" w:cs="Times New Roman" w:eastAsia="Times New Roman" w:hAnsi="Times New Roman"/>
                <w:sz w:val="19"/>
                <w:szCs w:val="19"/>
                <w:color w:val="231F20"/>
              </w:rPr>
              <w:t>2028 Notes</w:t>
            </w:r>
          </w:p>
        </w:tc>
        <w:tc>
          <w:tcPr>
            <w:tcW w:w="140" w:type="dxa"/>
            <w:vAlign w:val="bottom"/>
            <w:tcBorders>
              <w:bottom w:val="single" w:sz="8" w:color="231F20"/>
            </w:tcBorders>
            <w:shd w:val="clear" w:color="auto" w:fill="FDFDFC"/>
          </w:tcPr>
          <w:p>
            <w:pPr>
              <w:spacing w:after="0"/>
              <w:rPr>
                <w:sz w:val="18"/>
                <w:szCs w:val="18"/>
                <w:color w:val="auto"/>
              </w:rPr>
            </w:pPr>
          </w:p>
        </w:tc>
        <w:tc>
          <w:tcPr>
            <w:tcW w:w="1000" w:type="dxa"/>
            <w:vAlign w:val="bottom"/>
            <w:tcBorders>
              <w:bottom w:val="single" w:sz="8" w:color="231F20"/>
            </w:tcBorders>
            <w:shd w:val="clear" w:color="auto" w:fill="FDFDFC"/>
          </w:tcPr>
          <w:p>
            <w:pPr>
              <w:jc w:val="right"/>
              <w:spacing w:after="0" w:line="217" w:lineRule="exact"/>
              <w:rPr>
                <w:sz w:val="20"/>
                <w:szCs w:val="20"/>
                <w:color w:val="auto"/>
              </w:rPr>
            </w:pPr>
            <w:r>
              <w:rPr>
                <w:rFonts w:ascii="Times New Roman" w:cs="Times New Roman" w:eastAsia="Times New Roman" w:hAnsi="Times New Roman"/>
                <w:sz w:val="19"/>
                <w:szCs w:val="19"/>
                <w:color w:val="231F20"/>
              </w:rPr>
              <w:t>300,000</w:t>
            </w:r>
          </w:p>
        </w:tc>
        <w:tc>
          <w:tcPr>
            <w:tcW w:w="100" w:type="dxa"/>
            <w:vAlign w:val="bottom"/>
            <w:tcBorders>
              <w:bottom w:val="single" w:sz="8" w:color="D0EBF2"/>
            </w:tcBorders>
            <w:shd w:val="clear" w:color="auto" w:fill="FDFDFC"/>
          </w:tcPr>
          <w:p>
            <w:pPr>
              <w:spacing w:after="0"/>
              <w:rPr>
                <w:sz w:val="18"/>
                <w:szCs w:val="18"/>
                <w:color w:val="auto"/>
              </w:rPr>
            </w:pPr>
          </w:p>
        </w:tc>
        <w:tc>
          <w:tcPr>
            <w:tcW w:w="120" w:type="dxa"/>
            <w:vAlign w:val="bottom"/>
            <w:tcBorders>
              <w:bottom w:val="single" w:sz="8" w:color="231F20"/>
            </w:tcBorders>
            <w:shd w:val="clear" w:color="auto" w:fill="FDFDFC"/>
          </w:tcPr>
          <w:p>
            <w:pPr>
              <w:spacing w:after="0"/>
              <w:rPr>
                <w:sz w:val="18"/>
                <w:szCs w:val="18"/>
                <w:color w:val="auto"/>
              </w:rPr>
            </w:pPr>
          </w:p>
        </w:tc>
        <w:tc>
          <w:tcPr>
            <w:tcW w:w="140" w:type="dxa"/>
            <w:vAlign w:val="bottom"/>
            <w:tcBorders>
              <w:bottom w:val="single" w:sz="8" w:color="231F20"/>
            </w:tcBorders>
            <w:shd w:val="clear" w:color="auto" w:fill="FDFDFC"/>
          </w:tcPr>
          <w:p>
            <w:pPr>
              <w:spacing w:after="0"/>
              <w:rPr>
                <w:sz w:val="18"/>
                <w:szCs w:val="18"/>
                <w:color w:val="auto"/>
              </w:rPr>
            </w:pPr>
          </w:p>
        </w:tc>
        <w:tc>
          <w:tcPr>
            <w:tcW w:w="1000" w:type="dxa"/>
            <w:vAlign w:val="bottom"/>
            <w:tcBorders>
              <w:bottom w:val="single" w:sz="8" w:color="231F20"/>
            </w:tcBorders>
            <w:shd w:val="clear" w:color="auto" w:fill="FDFDFC"/>
          </w:tcPr>
          <w:p>
            <w:pPr>
              <w:jc w:val="right"/>
              <w:spacing w:after="0" w:line="217" w:lineRule="exact"/>
              <w:rPr>
                <w:sz w:val="20"/>
                <w:szCs w:val="20"/>
                <w:color w:val="auto"/>
              </w:rPr>
            </w:pPr>
            <w:r>
              <w:rPr>
                <w:rFonts w:ascii="Times New Roman" w:cs="Times New Roman" w:eastAsia="Times New Roman" w:hAnsi="Times New Roman"/>
                <w:sz w:val="19"/>
                <w:szCs w:val="19"/>
                <w:color w:val="231F20"/>
              </w:rPr>
              <w:t>300,000</w:t>
            </w:r>
          </w:p>
        </w:tc>
        <w:tc>
          <w:tcPr>
            <w:tcW w:w="100" w:type="dxa"/>
            <w:vAlign w:val="bottom"/>
            <w:tcBorders>
              <w:bottom w:val="single" w:sz="8" w:color="D0EBF2"/>
            </w:tcBorders>
            <w:shd w:val="clear" w:color="auto" w:fill="FDFDFC"/>
          </w:tcPr>
          <w:p>
            <w:pPr>
              <w:spacing w:after="0"/>
              <w:rPr>
                <w:sz w:val="18"/>
                <w:szCs w:val="18"/>
                <w:color w:val="auto"/>
              </w:rPr>
            </w:pPr>
          </w:p>
        </w:tc>
        <w:tc>
          <w:tcPr>
            <w:tcW w:w="140" w:type="dxa"/>
            <w:vAlign w:val="bottom"/>
            <w:tcBorders>
              <w:bottom w:val="single" w:sz="8" w:color="231F20"/>
            </w:tcBorders>
            <w:shd w:val="clear" w:color="auto" w:fill="FDFDFC"/>
          </w:tcPr>
          <w:p>
            <w:pPr>
              <w:spacing w:after="0"/>
              <w:rPr>
                <w:sz w:val="18"/>
                <w:szCs w:val="18"/>
                <w:color w:val="auto"/>
              </w:rPr>
            </w:pPr>
          </w:p>
        </w:tc>
        <w:tc>
          <w:tcPr>
            <w:tcW w:w="140" w:type="dxa"/>
            <w:vAlign w:val="bottom"/>
            <w:tcBorders>
              <w:bottom w:val="single" w:sz="8" w:color="231F20"/>
            </w:tcBorders>
            <w:shd w:val="clear" w:color="auto" w:fill="FDFDFC"/>
          </w:tcPr>
          <w:p>
            <w:pPr>
              <w:spacing w:after="0"/>
              <w:rPr>
                <w:sz w:val="18"/>
                <w:szCs w:val="18"/>
                <w:color w:val="auto"/>
              </w:rPr>
            </w:pPr>
          </w:p>
        </w:tc>
        <w:tc>
          <w:tcPr>
            <w:tcW w:w="1000" w:type="dxa"/>
            <w:vAlign w:val="bottom"/>
            <w:tcBorders>
              <w:bottom w:val="single" w:sz="8" w:color="231F20"/>
            </w:tcBorders>
            <w:shd w:val="clear" w:color="auto" w:fill="FDFDFC"/>
          </w:tcPr>
          <w:p>
            <w:pPr>
              <w:jc w:val="right"/>
              <w:spacing w:after="0" w:line="217" w:lineRule="exact"/>
              <w:rPr>
                <w:sz w:val="20"/>
                <w:szCs w:val="20"/>
                <w:color w:val="auto"/>
              </w:rPr>
            </w:pPr>
            <w:r>
              <w:rPr>
                <w:rFonts w:ascii="Times New Roman" w:cs="Times New Roman" w:eastAsia="Times New Roman" w:hAnsi="Times New Roman"/>
                <w:sz w:val="19"/>
                <w:szCs w:val="19"/>
                <w:color w:val="231F20"/>
              </w:rPr>
              <w:t>—</w:t>
            </w:r>
          </w:p>
        </w:tc>
        <w:tc>
          <w:tcPr>
            <w:tcW w:w="80" w:type="dxa"/>
            <w:vAlign w:val="bottom"/>
            <w:tcBorders>
              <w:bottom w:val="single" w:sz="8" w:color="D0EBF2"/>
            </w:tcBorders>
            <w:shd w:val="clear" w:color="auto" w:fill="FDFDFC"/>
          </w:tcPr>
          <w:p>
            <w:pPr>
              <w:spacing w:after="0"/>
              <w:rPr>
                <w:sz w:val="18"/>
                <w:szCs w:val="18"/>
                <w:color w:val="auto"/>
              </w:rPr>
            </w:pPr>
          </w:p>
        </w:tc>
        <w:tc>
          <w:tcPr>
            <w:tcW w:w="140" w:type="dxa"/>
            <w:vAlign w:val="bottom"/>
            <w:tcBorders>
              <w:bottom w:val="single" w:sz="8" w:color="231F20"/>
            </w:tcBorders>
            <w:shd w:val="clear" w:color="auto" w:fill="FDFDFC"/>
          </w:tcPr>
          <w:p>
            <w:pPr>
              <w:spacing w:after="0"/>
              <w:rPr>
                <w:sz w:val="18"/>
                <w:szCs w:val="18"/>
                <w:color w:val="auto"/>
              </w:rPr>
            </w:pPr>
          </w:p>
        </w:tc>
        <w:tc>
          <w:tcPr>
            <w:tcW w:w="180" w:type="dxa"/>
            <w:vAlign w:val="bottom"/>
            <w:tcBorders>
              <w:bottom w:val="single" w:sz="8" w:color="231F20"/>
            </w:tcBorders>
            <w:shd w:val="clear" w:color="auto" w:fill="FDFDFC"/>
          </w:tcPr>
          <w:p>
            <w:pPr>
              <w:spacing w:after="0"/>
              <w:rPr>
                <w:sz w:val="18"/>
                <w:szCs w:val="18"/>
                <w:color w:val="auto"/>
              </w:rPr>
            </w:pPr>
          </w:p>
        </w:tc>
        <w:tc>
          <w:tcPr>
            <w:tcW w:w="960" w:type="dxa"/>
            <w:vAlign w:val="bottom"/>
            <w:tcBorders>
              <w:bottom w:val="single" w:sz="8" w:color="231F20"/>
            </w:tcBorders>
            <w:shd w:val="clear" w:color="auto" w:fill="FDFDFC"/>
          </w:tcPr>
          <w:p>
            <w:pPr>
              <w:jc w:val="right"/>
              <w:spacing w:after="0" w:line="217" w:lineRule="exact"/>
              <w:rPr>
                <w:sz w:val="20"/>
                <w:szCs w:val="20"/>
                <w:color w:val="auto"/>
              </w:rPr>
            </w:pPr>
            <w:r>
              <w:rPr>
                <w:rFonts w:ascii="Times New Roman" w:cs="Times New Roman" w:eastAsia="Times New Roman" w:hAnsi="Times New Roman"/>
                <w:sz w:val="19"/>
                <w:szCs w:val="19"/>
                <w:color w:val="231F20"/>
              </w:rPr>
              <w:t>299,011</w:t>
            </w:r>
          </w:p>
        </w:tc>
        <w:tc>
          <w:tcPr>
            <w:tcW w:w="100" w:type="dxa"/>
            <w:vAlign w:val="bottom"/>
            <w:tcBorders>
              <w:bottom w:val="single" w:sz="8" w:color="D0EBF2"/>
            </w:tcBorders>
            <w:shd w:val="clear" w:color="auto" w:fill="FDFDFC"/>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3840" w:type="dxa"/>
            <w:vAlign w:val="bottom"/>
            <w:shd w:val="clear" w:color="auto" w:fill="D0EBF2"/>
          </w:tcPr>
          <w:p>
            <w:pPr>
              <w:ind w:left="180"/>
              <w:spacing w:after="0" w:line="206" w:lineRule="exact"/>
              <w:rPr>
                <w:sz w:val="20"/>
                <w:szCs w:val="20"/>
                <w:color w:val="auto"/>
              </w:rPr>
            </w:pPr>
            <w:r>
              <w:rPr>
                <w:rFonts w:ascii="Times New Roman" w:cs="Times New Roman" w:eastAsia="Times New Roman" w:hAnsi="Times New Roman"/>
                <w:sz w:val="19"/>
                <w:szCs w:val="19"/>
                <w:b w:val="1"/>
                <w:bCs w:val="1"/>
                <w:color w:val="231F20"/>
              </w:rPr>
              <w:t>Total Debt</w:t>
            </w:r>
          </w:p>
        </w:tc>
        <w:tc>
          <w:tcPr>
            <w:tcW w:w="140" w:type="dxa"/>
            <w:vAlign w:val="bottom"/>
            <w:shd w:val="clear" w:color="auto" w:fill="D0EBF2"/>
          </w:tcPr>
          <w:p>
            <w:pPr>
              <w:jc w:val="right"/>
              <w:spacing w:after="0" w:line="206" w:lineRule="exact"/>
              <w:rPr>
                <w:sz w:val="20"/>
                <w:szCs w:val="20"/>
                <w:color w:val="auto"/>
              </w:rPr>
            </w:pPr>
            <w:r>
              <w:rPr>
                <w:rFonts w:ascii="Times New Roman" w:cs="Times New Roman" w:eastAsia="Times New Roman" w:hAnsi="Times New Roman"/>
                <w:sz w:val="19"/>
                <w:szCs w:val="19"/>
                <w:color w:val="231F20"/>
                <w:w w:val="83"/>
                <w:shd w:val="clear" w:color="auto" w:fill="D0EBF2"/>
              </w:rPr>
              <w:t>$</w:t>
            </w:r>
          </w:p>
        </w:tc>
        <w:tc>
          <w:tcPr>
            <w:tcW w:w="1000" w:type="dxa"/>
            <w:vAlign w:val="bottom"/>
            <w:shd w:val="clear" w:color="auto" w:fill="D0EBF2"/>
          </w:tcPr>
          <w:p>
            <w:pPr>
              <w:jc w:val="right"/>
              <w:spacing w:after="0" w:line="206" w:lineRule="exact"/>
              <w:rPr>
                <w:sz w:val="20"/>
                <w:szCs w:val="20"/>
                <w:color w:val="auto"/>
              </w:rPr>
            </w:pPr>
            <w:r>
              <w:rPr>
                <w:rFonts w:ascii="Times New Roman" w:cs="Times New Roman" w:eastAsia="Times New Roman" w:hAnsi="Times New Roman"/>
                <w:sz w:val="19"/>
                <w:szCs w:val="19"/>
                <w:color w:val="231F20"/>
                <w:shd w:val="clear" w:color="auto" w:fill="D0EBF2"/>
              </w:rPr>
              <w:t>2,657,500</w:t>
            </w:r>
          </w:p>
        </w:tc>
        <w:tc>
          <w:tcPr>
            <w:tcW w:w="100" w:type="dxa"/>
            <w:vAlign w:val="bottom"/>
            <w:shd w:val="clear" w:color="auto" w:fill="D0EBF2"/>
          </w:tcPr>
          <w:p>
            <w:pPr>
              <w:spacing w:after="0"/>
              <w:rPr>
                <w:sz w:val="17"/>
                <w:szCs w:val="17"/>
                <w:color w:val="auto"/>
              </w:rPr>
            </w:pPr>
          </w:p>
        </w:tc>
        <w:tc>
          <w:tcPr>
            <w:tcW w:w="260" w:type="dxa"/>
            <w:vAlign w:val="bottom"/>
            <w:gridSpan w:val="2"/>
            <w:shd w:val="clear" w:color="auto" w:fill="D0EBF2"/>
          </w:tcPr>
          <w:p>
            <w:pPr>
              <w:jc w:val="right"/>
              <w:spacing w:after="0" w:line="206" w:lineRule="exact"/>
              <w:rPr>
                <w:sz w:val="20"/>
                <w:szCs w:val="20"/>
                <w:color w:val="auto"/>
              </w:rPr>
            </w:pPr>
            <w:r>
              <w:rPr>
                <w:rFonts w:ascii="Times New Roman" w:cs="Times New Roman" w:eastAsia="Times New Roman" w:hAnsi="Times New Roman"/>
                <w:sz w:val="19"/>
                <w:szCs w:val="19"/>
                <w:color w:val="231F20"/>
              </w:rPr>
              <w:t>$</w:t>
            </w:r>
          </w:p>
        </w:tc>
        <w:tc>
          <w:tcPr>
            <w:tcW w:w="1000" w:type="dxa"/>
            <w:vAlign w:val="bottom"/>
            <w:shd w:val="clear" w:color="auto" w:fill="D0EBF2"/>
          </w:tcPr>
          <w:p>
            <w:pPr>
              <w:jc w:val="right"/>
              <w:spacing w:after="0" w:line="206" w:lineRule="exact"/>
              <w:rPr>
                <w:sz w:val="20"/>
                <w:szCs w:val="20"/>
                <w:color w:val="auto"/>
              </w:rPr>
            </w:pPr>
            <w:r>
              <w:rPr>
                <w:rFonts w:ascii="Times New Roman" w:cs="Times New Roman" w:eastAsia="Times New Roman" w:hAnsi="Times New Roman"/>
                <w:sz w:val="19"/>
                <w:szCs w:val="19"/>
                <w:color w:val="231F20"/>
              </w:rPr>
              <w:t>1,837,159</w:t>
            </w:r>
          </w:p>
        </w:tc>
        <w:tc>
          <w:tcPr>
            <w:tcW w:w="100" w:type="dxa"/>
            <w:vAlign w:val="bottom"/>
            <w:shd w:val="clear" w:color="auto" w:fill="D0EBF2"/>
          </w:tcPr>
          <w:p>
            <w:pPr>
              <w:spacing w:after="0"/>
              <w:rPr>
                <w:sz w:val="17"/>
                <w:szCs w:val="17"/>
                <w:color w:val="auto"/>
              </w:rPr>
            </w:pPr>
          </w:p>
        </w:tc>
        <w:tc>
          <w:tcPr>
            <w:tcW w:w="280" w:type="dxa"/>
            <w:vAlign w:val="bottom"/>
            <w:gridSpan w:val="2"/>
            <w:shd w:val="clear" w:color="auto" w:fill="D0EBF2"/>
          </w:tcPr>
          <w:p>
            <w:pPr>
              <w:jc w:val="right"/>
              <w:spacing w:after="0" w:line="206" w:lineRule="exact"/>
              <w:rPr>
                <w:sz w:val="20"/>
                <w:szCs w:val="20"/>
                <w:color w:val="auto"/>
              </w:rPr>
            </w:pPr>
            <w:r>
              <w:rPr>
                <w:rFonts w:ascii="Times New Roman" w:cs="Times New Roman" w:eastAsia="Times New Roman" w:hAnsi="Times New Roman"/>
                <w:sz w:val="19"/>
                <w:szCs w:val="19"/>
                <w:color w:val="231F20"/>
              </w:rPr>
              <w:t>$</w:t>
            </w:r>
          </w:p>
        </w:tc>
        <w:tc>
          <w:tcPr>
            <w:tcW w:w="1000" w:type="dxa"/>
            <w:vAlign w:val="bottom"/>
            <w:shd w:val="clear" w:color="auto" w:fill="D0EBF2"/>
          </w:tcPr>
          <w:p>
            <w:pPr>
              <w:jc w:val="right"/>
              <w:spacing w:after="0" w:line="206" w:lineRule="exact"/>
              <w:rPr>
                <w:sz w:val="20"/>
                <w:szCs w:val="20"/>
                <w:color w:val="auto"/>
              </w:rPr>
            </w:pPr>
            <w:r>
              <w:rPr>
                <w:rFonts w:ascii="Times New Roman" w:cs="Times New Roman" w:eastAsia="Times New Roman" w:hAnsi="Times New Roman"/>
                <w:sz w:val="19"/>
                <w:szCs w:val="19"/>
                <w:color w:val="231F20"/>
              </w:rPr>
              <w:t>820,160</w:t>
            </w:r>
          </w:p>
        </w:tc>
        <w:tc>
          <w:tcPr>
            <w:tcW w:w="80" w:type="dxa"/>
            <w:vAlign w:val="bottom"/>
            <w:shd w:val="clear" w:color="auto" w:fill="D0EBF2"/>
          </w:tcPr>
          <w:p>
            <w:pPr>
              <w:spacing w:after="0"/>
              <w:rPr>
                <w:sz w:val="17"/>
                <w:szCs w:val="17"/>
                <w:color w:val="auto"/>
              </w:rPr>
            </w:pPr>
          </w:p>
        </w:tc>
        <w:tc>
          <w:tcPr>
            <w:tcW w:w="320" w:type="dxa"/>
            <w:vAlign w:val="bottom"/>
            <w:gridSpan w:val="2"/>
            <w:shd w:val="clear" w:color="auto" w:fill="D0EBF2"/>
          </w:tcPr>
          <w:p>
            <w:pPr>
              <w:jc w:val="right"/>
              <w:spacing w:after="0" w:line="206" w:lineRule="exact"/>
              <w:rPr>
                <w:sz w:val="20"/>
                <w:szCs w:val="20"/>
                <w:color w:val="auto"/>
              </w:rPr>
            </w:pPr>
            <w:r>
              <w:rPr>
                <w:rFonts w:ascii="Times New Roman" w:cs="Times New Roman" w:eastAsia="Times New Roman" w:hAnsi="Times New Roman"/>
                <w:sz w:val="19"/>
                <w:szCs w:val="19"/>
                <w:color w:val="231F20"/>
              </w:rPr>
              <w:t>$</w:t>
            </w:r>
          </w:p>
        </w:tc>
        <w:tc>
          <w:tcPr>
            <w:tcW w:w="960" w:type="dxa"/>
            <w:vAlign w:val="bottom"/>
            <w:shd w:val="clear" w:color="auto" w:fill="D0EBF2"/>
          </w:tcPr>
          <w:p>
            <w:pPr>
              <w:jc w:val="right"/>
              <w:spacing w:after="0" w:line="206" w:lineRule="exact"/>
              <w:rPr>
                <w:sz w:val="20"/>
                <w:szCs w:val="20"/>
                <w:color w:val="auto"/>
              </w:rPr>
            </w:pPr>
            <w:r>
              <w:rPr>
                <w:rFonts w:ascii="Times New Roman" w:cs="Times New Roman" w:eastAsia="Times New Roman" w:hAnsi="Times New Roman"/>
                <w:sz w:val="19"/>
                <w:szCs w:val="19"/>
                <w:color w:val="231F20"/>
              </w:rPr>
              <w:t>1,780,307</w:t>
            </w:r>
          </w:p>
        </w:tc>
        <w:tc>
          <w:tcPr>
            <w:tcW w:w="100" w:type="dxa"/>
            <w:vAlign w:val="bottom"/>
            <w:shd w:val="clear" w:color="auto" w:fill="D0EBF2"/>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840" w:type="dxa"/>
            <w:vAlign w:val="bottom"/>
          </w:tcPr>
          <w:p>
            <w:pPr>
              <w:spacing w:after="0" w:line="20" w:lineRule="exact"/>
              <w:rPr>
                <w:sz w:val="1"/>
                <w:szCs w:val="1"/>
                <w:color w:val="auto"/>
              </w:rPr>
            </w:pPr>
          </w:p>
        </w:tc>
        <w:tc>
          <w:tcPr>
            <w:tcW w:w="140" w:type="dxa"/>
            <w:vAlign w:val="bottom"/>
            <w:tcBorders>
              <w:top w:val="single" w:sz="8" w:color="231F20"/>
              <w:bottom w:val="single" w:sz="8" w:color="231F20"/>
            </w:tcBorders>
          </w:tcPr>
          <w:p>
            <w:pPr>
              <w:spacing w:after="0" w:line="20" w:lineRule="exact"/>
              <w:rPr>
                <w:sz w:val="1"/>
                <w:szCs w:val="1"/>
                <w:color w:val="auto"/>
              </w:rPr>
            </w:pPr>
          </w:p>
        </w:tc>
        <w:tc>
          <w:tcPr>
            <w:tcW w:w="1000" w:type="dxa"/>
            <w:vAlign w:val="bottom"/>
            <w:tcBorders>
              <w:top w:val="single" w:sz="8" w:color="231F20"/>
              <w:bottom w:val="single" w:sz="8" w:color="231F20"/>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231F20"/>
              <w:bottom w:val="single" w:sz="8" w:color="231F20"/>
            </w:tcBorders>
          </w:tcPr>
          <w:p>
            <w:pPr>
              <w:spacing w:after="0" w:line="20" w:lineRule="exact"/>
              <w:rPr>
                <w:sz w:val="1"/>
                <w:szCs w:val="1"/>
                <w:color w:val="auto"/>
              </w:rPr>
            </w:pPr>
          </w:p>
        </w:tc>
        <w:tc>
          <w:tcPr>
            <w:tcW w:w="1000" w:type="dxa"/>
            <w:vAlign w:val="bottom"/>
            <w:tcBorders>
              <w:top w:val="single" w:sz="8" w:color="231F20"/>
              <w:bottom w:val="single" w:sz="8" w:color="231F20"/>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231F20"/>
              <w:bottom w:val="single" w:sz="8" w:color="231F20"/>
            </w:tcBorders>
          </w:tcPr>
          <w:p>
            <w:pPr>
              <w:spacing w:after="0" w:line="20" w:lineRule="exact"/>
              <w:rPr>
                <w:sz w:val="1"/>
                <w:szCs w:val="1"/>
                <w:color w:val="auto"/>
              </w:rPr>
            </w:pPr>
          </w:p>
        </w:tc>
        <w:tc>
          <w:tcPr>
            <w:tcW w:w="1000" w:type="dxa"/>
            <w:vAlign w:val="bottom"/>
            <w:tcBorders>
              <w:top w:val="single" w:sz="8" w:color="231F20"/>
              <w:bottom w:val="single" w:sz="8" w:color="231F20"/>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top w:val="single" w:sz="8" w:color="231F20"/>
              <w:bottom w:val="single" w:sz="8" w:color="231F20"/>
            </w:tcBorders>
          </w:tcPr>
          <w:p>
            <w:pPr>
              <w:spacing w:after="0" w:line="20" w:lineRule="exact"/>
              <w:rPr>
                <w:sz w:val="1"/>
                <w:szCs w:val="1"/>
                <w:color w:val="auto"/>
              </w:rPr>
            </w:pPr>
          </w:p>
        </w:tc>
        <w:tc>
          <w:tcPr>
            <w:tcW w:w="960" w:type="dxa"/>
            <w:vAlign w:val="bottom"/>
            <w:tcBorders>
              <w:top w:val="single" w:sz="8" w:color="231F20"/>
              <w:bottom w:val="single" w:sz="8" w:color="231F20"/>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7" w:lineRule="exact"/>
        <w:rPr>
          <w:sz w:val="20"/>
          <w:szCs w:val="20"/>
          <w:color w:val="auto"/>
        </w:rPr>
      </w:pPr>
    </w:p>
    <w:p>
      <w:pPr>
        <w:ind w:left="460" w:hanging="460"/>
        <w:spacing w:after="0" w:line="253" w:lineRule="auto"/>
        <w:tabs>
          <w:tab w:leader="none" w:pos="460" w:val="left"/>
        </w:tabs>
        <w:numPr>
          <w:ilvl w:val="0"/>
          <w:numId w:val="98"/>
        </w:numPr>
        <w:rPr>
          <w:rFonts w:ascii="Times New Roman" w:cs="Times New Roman" w:eastAsia="Times New Roman" w:hAnsi="Times New Roman"/>
          <w:sz w:val="19"/>
          <w:szCs w:val="19"/>
          <w:color w:val="231F20"/>
        </w:rPr>
      </w:pPr>
      <w:r>
        <w:rPr>
          <w:rFonts w:ascii="Times New Roman" w:cs="Times New Roman" w:eastAsia="Times New Roman" w:hAnsi="Times New Roman"/>
          <w:sz w:val="19"/>
          <w:szCs w:val="19"/>
          <w:color w:val="231F20"/>
        </w:rPr>
        <w:t>The amount available may be subject to limitations related to the borrowing base under the Revolving Credit Facility and asset coverage requirements.</w:t>
      </w:r>
    </w:p>
    <w:p>
      <w:pPr>
        <w:spacing w:after="0" w:line="1" w:lineRule="exact"/>
        <w:rPr>
          <w:rFonts w:ascii="Times New Roman" w:cs="Times New Roman" w:eastAsia="Times New Roman" w:hAnsi="Times New Roman"/>
          <w:sz w:val="19"/>
          <w:szCs w:val="19"/>
          <w:color w:val="231F20"/>
        </w:rPr>
      </w:pPr>
    </w:p>
    <w:p>
      <w:pPr>
        <w:ind w:left="460" w:right="380" w:hanging="460"/>
        <w:spacing w:after="0" w:line="238" w:lineRule="auto"/>
        <w:tabs>
          <w:tab w:leader="none" w:pos="460" w:val="left"/>
        </w:tabs>
        <w:numPr>
          <w:ilvl w:val="0"/>
          <w:numId w:val="98"/>
        </w:numPr>
        <w:rPr>
          <w:rFonts w:ascii="Times New Roman" w:cs="Times New Roman" w:eastAsia="Times New Roman" w:hAnsi="Times New Roman"/>
          <w:sz w:val="19"/>
          <w:szCs w:val="19"/>
          <w:color w:val="231F20"/>
        </w:rPr>
      </w:pPr>
      <w:r>
        <w:rPr>
          <w:rFonts w:ascii="Times New Roman" w:cs="Times New Roman" w:eastAsia="Times New Roman" w:hAnsi="Times New Roman"/>
          <w:sz w:val="19"/>
          <w:szCs w:val="19"/>
          <w:color w:val="231F20"/>
        </w:rPr>
        <w:t>The carrying values of the Revolving Credit Facility, 2024 Notes, 2026 Notes and 2028 Notes are presented net of the combination of deferred financing costs and original issue discounts totaling $15.2 million, $1.2 million, $3.0 million and $5.7 million, respectively.</w:t>
      </w:r>
    </w:p>
    <w:p>
      <w:pPr>
        <w:spacing w:after="0" w:line="1" w:lineRule="exact"/>
        <w:rPr>
          <w:rFonts w:ascii="Times New Roman" w:cs="Times New Roman" w:eastAsia="Times New Roman" w:hAnsi="Times New Roman"/>
          <w:sz w:val="19"/>
          <w:szCs w:val="19"/>
          <w:color w:val="231F20"/>
        </w:rPr>
      </w:pPr>
    </w:p>
    <w:p>
      <w:pPr>
        <w:jc w:val="both"/>
        <w:ind w:left="460" w:right="100" w:hanging="460"/>
        <w:spacing w:after="0" w:line="241" w:lineRule="auto"/>
        <w:tabs>
          <w:tab w:leader="none" w:pos="460" w:val="left"/>
        </w:tabs>
        <w:numPr>
          <w:ilvl w:val="0"/>
          <w:numId w:val="98"/>
        </w:numPr>
        <w:rPr>
          <w:rFonts w:ascii="Times New Roman" w:cs="Times New Roman" w:eastAsia="Times New Roman" w:hAnsi="Times New Roman"/>
          <w:sz w:val="19"/>
          <w:szCs w:val="19"/>
          <w:color w:val="231F20"/>
        </w:rPr>
      </w:pPr>
      <w:r>
        <w:rPr>
          <w:rFonts w:ascii="Times New Roman" w:cs="Times New Roman" w:eastAsia="Times New Roman" w:hAnsi="Times New Roman"/>
          <w:sz w:val="19"/>
          <w:szCs w:val="19"/>
          <w:color w:val="231F20"/>
        </w:rPr>
        <w:t>The carrying values of the 2024 Notes, 2026 Notes and 2028 Notes are presented inclusive of an incremental $(10.4) million, $(26.1) million and $4.7 million, respectively, which represents an adjustment in the carrying values of the 2024 Notes, 2026 Notes and 2028 Notes, each resulting from a hedge accounting relationship.</w:t>
      </w:r>
    </w:p>
    <w:p>
      <w:pPr>
        <w:spacing w:after="0" w:line="192" w:lineRule="exact"/>
        <w:rPr>
          <w:sz w:val="20"/>
          <w:szCs w:val="20"/>
          <w:color w:val="auto"/>
        </w:rPr>
      </w:pPr>
    </w:p>
    <w:p>
      <w:pPr>
        <w:ind w:firstLine="231"/>
        <w:spacing w:after="0" w:line="275" w:lineRule="auto"/>
        <w:rPr>
          <w:sz w:val="20"/>
          <w:szCs w:val="20"/>
          <w:color w:val="auto"/>
        </w:rPr>
      </w:pPr>
      <w:r>
        <w:rPr>
          <w:rFonts w:ascii="Times New Roman" w:cs="Times New Roman" w:eastAsia="Times New Roman" w:hAnsi="Times New Roman"/>
          <w:sz w:val="19"/>
          <w:szCs w:val="19"/>
          <w:color w:val="231F20"/>
        </w:rPr>
        <w:t>For the years ended December 31, 2024, December 31, 2023 and December 31, 2022, the components of interest expense were as follows:</w:t>
      </w:r>
    </w:p>
    <w:p>
      <w:pPr>
        <w:spacing w:after="0" w:line="171" w:lineRule="exact"/>
        <w:rPr>
          <w:sz w:val="20"/>
          <w:szCs w:val="20"/>
          <w:color w:val="auto"/>
        </w:rPr>
      </w:pPr>
    </w:p>
    <w:tbl>
      <w:tblPr>
        <w:tblLayout w:type="fixed"/>
        <w:tblInd w:w="620" w:type="dxa"/>
        <w:tblCellMar>
          <w:top w:w="0" w:type="dxa"/>
          <w:left w:w="0" w:type="dxa"/>
          <w:bottom w:w="0" w:type="dxa"/>
          <w:right w:w="0" w:type="dxa"/>
        </w:tblCellMar>
      </w:tblPr>
      <w:tr>
        <w:trPr>
          <w:trHeight w:val="174"/>
        </w:trPr>
        <w:tc>
          <w:tcPr>
            <w:tcW w:w="4080" w:type="dxa"/>
            <w:vAlign w:val="bottom"/>
            <w:shd w:val="clear" w:color="auto" w:fill="FDFDFC"/>
          </w:tcPr>
          <w:p>
            <w:pPr>
              <w:spacing w:after="0"/>
              <w:rPr>
                <w:sz w:val="15"/>
                <w:szCs w:val="15"/>
                <w:color w:val="auto"/>
              </w:rPr>
            </w:pPr>
          </w:p>
        </w:tc>
        <w:tc>
          <w:tcPr>
            <w:tcW w:w="140" w:type="dxa"/>
            <w:vAlign w:val="bottom"/>
            <w:shd w:val="clear" w:color="auto" w:fill="FDFDFC"/>
          </w:tcPr>
          <w:p>
            <w:pPr>
              <w:spacing w:after="0"/>
              <w:rPr>
                <w:sz w:val="15"/>
                <w:szCs w:val="15"/>
                <w:color w:val="auto"/>
              </w:rPr>
            </w:pPr>
          </w:p>
        </w:tc>
        <w:tc>
          <w:tcPr>
            <w:tcW w:w="180" w:type="dxa"/>
            <w:vAlign w:val="bottom"/>
            <w:shd w:val="clear" w:color="auto" w:fill="FDFDFC"/>
          </w:tcPr>
          <w:p>
            <w:pPr>
              <w:spacing w:after="0"/>
              <w:rPr>
                <w:sz w:val="15"/>
                <w:szCs w:val="15"/>
                <w:color w:val="auto"/>
              </w:rPr>
            </w:pPr>
          </w:p>
        </w:tc>
        <w:tc>
          <w:tcPr>
            <w:tcW w:w="1140" w:type="dxa"/>
            <w:vAlign w:val="bottom"/>
            <w:shd w:val="clear" w:color="auto" w:fill="FDFDFC"/>
          </w:tcPr>
          <w:p>
            <w:pPr>
              <w:jc w:val="right"/>
              <w:ind w:right="188"/>
              <w:spacing w:after="0"/>
              <w:rPr>
                <w:sz w:val="20"/>
                <w:szCs w:val="20"/>
                <w:color w:val="auto"/>
              </w:rPr>
            </w:pPr>
            <w:r>
              <w:rPr>
                <w:rFonts w:ascii="Times New Roman" w:cs="Times New Roman" w:eastAsia="Times New Roman" w:hAnsi="Times New Roman"/>
                <w:sz w:val="15"/>
                <w:szCs w:val="15"/>
                <w:b w:val="1"/>
                <w:bCs w:val="1"/>
                <w:color w:val="231F20"/>
              </w:rPr>
              <w:t>Year Ended</w:t>
            </w:r>
          </w:p>
        </w:tc>
        <w:tc>
          <w:tcPr>
            <w:tcW w:w="320" w:type="dxa"/>
            <w:vAlign w:val="bottom"/>
            <w:shd w:val="clear" w:color="auto" w:fill="FDFDFC"/>
          </w:tcPr>
          <w:p>
            <w:pPr>
              <w:spacing w:after="0"/>
              <w:rPr>
                <w:sz w:val="15"/>
                <w:szCs w:val="15"/>
                <w:color w:val="auto"/>
              </w:rPr>
            </w:pPr>
          </w:p>
        </w:tc>
        <w:tc>
          <w:tcPr>
            <w:tcW w:w="180" w:type="dxa"/>
            <w:vAlign w:val="bottom"/>
            <w:shd w:val="clear" w:color="auto" w:fill="FDFDFC"/>
          </w:tcPr>
          <w:p>
            <w:pPr>
              <w:spacing w:after="0"/>
              <w:rPr>
                <w:sz w:val="15"/>
                <w:szCs w:val="15"/>
                <w:color w:val="auto"/>
              </w:rPr>
            </w:pPr>
          </w:p>
        </w:tc>
        <w:tc>
          <w:tcPr>
            <w:tcW w:w="1380" w:type="dxa"/>
            <w:vAlign w:val="bottom"/>
            <w:gridSpan w:val="2"/>
            <w:shd w:val="clear" w:color="auto" w:fill="FDFDFC"/>
          </w:tcPr>
          <w:p>
            <w:pPr>
              <w:jc w:val="right"/>
              <w:ind w:right="520"/>
              <w:spacing w:after="0"/>
              <w:rPr>
                <w:sz w:val="20"/>
                <w:szCs w:val="20"/>
                <w:color w:val="auto"/>
              </w:rPr>
            </w:pPr>
            <w:r>
              <w:rPr>
                <w:rFonts w:ascii="Times New Roman" w:cs="Times New Roman" w:eastAsia="Times New Roman" w:hAnsi="Times New Roman"/>
                <w:sz w:val="15"/>
                <w:szCs w:val="15"/>
                <w:b w:val="1"/>
                <w:bCs w:val="1"/>
                <w:color w:val="231F20"/>
              </w:rPr>
              <w:t>Year Ended</w:t>
            </w:r>
          </w:p>
        </w:tc>
        <w:tc>
          <w:tcPr>
            <w:tcW w:w="80" w:type="dxa"/>
            <w:vAlign w:val="bottom"/>
            <w:shd w:val="clear" w:color="auto" w:fill="FDFDFC"/>
          </w:tcPr>
          <w:p>
            <w:pPr>
              <w:spacing w:after="0"/>
              <w:rPr>
                <w:sz w:val="15"/>
                <w:szCs w:val="15"/>
                <w:color w:val="auto"/>
              </w:rPr>
            </w:pPr>
          </w:p>
        </w:tc>
        <w:tc>
          <w:tcPr>
            <w:tcW w:w="180" w:type="dxa"/>
            <w:vAlign w:val="bottom"/>
            <w:shd w:val="clear" w:color="auto" w:fill="FDFDFC"/>
          </w:tcPr>
          <w:p>
            <w:pPr>
              <w:spacing w:after="0"/>
              <w:rPr>
                <w:sz w:val="15"/>
                <w:szCs w:val="15"/>
                <w:color w:val="auto"/>
              </w:rPr>
            </w:pPr>
          </w:p>
        </w:tc>
        <w:tc>
          <w:tcPr>
            <w:tcW w:w="1280" w:type="dxa"/>
            <w:vAlign w:val="bottom"/>
            <w:gridSpan w:val="2"/>
            <w:shd w:val="clear" w:color="auto" w:fill="FDFDFC"/>
          </w:tcPr>
          <w:p>
            <w:pPr>
              <w:jc w:val="right"/>
              <w:ind w:right="420"/>
              <w:spacing w:after="0"/>
              <w:rPr>
                <w:sz w:val="20"/>
                <w:szCs w:val="20"/>
                <w:color w:val="auto"/>
              </w:rPr>
            </w:pPr>
            <w:r>
              <w:rPr>
                <w:rFonts w:ascii="Times New Roman" w:cs="Times New Roman" w:eastAsia="Times New Roman" w:hAnsi="Times New Roman"/>
                <w:sz w:val="15"/>
                <w:szCs w:val="15"/>
                <w:b w:val="1"/>
                <w:bCs w:val="1"/>
                <w:color w:val="231F20"/>
              </w:rPr>
              <w:t>Year Ended</w:t>
            </w:r>
          </w:p>
        </w:tc>
      </w:tr>
      <w:tr>
        <w:trPr>
          <w:trHeight w:val="174"/>
        </w:trPr>
        <w:tc>
          <w:tcPr>
            <w:tcW w:w="4080" w:type="dxa"/>
            <w:vAlign w:val="bottom"/>
            <w:shd w:val="clear" w:color="auto" w:fill="FDFDFC"/>
          </w:tcPr>
          <w:p>
            <w:pPr>
              <w:spacing w:after="0"/>
              <w:rPr>
                <w:sz w:val="15"/>
                <w:szCs w:val="15"/>
                <w:color w:val="auto"/>
              </w:rPr>
            </w:pPr>
          </w:p>
        </w:tc>
        <w:tc>
          <w:tcPr>
            <w:tcW w:w="140" w:type="dxa"/>
            <w:vAlign w:val="bottom"/>
            <w:shd w:val="clear" w:color="auto" w:fill="FDFDFC"/>
          </w:tcPr>
          <w:p>
            <w:pPr>
              <w:spacing w:after="0"/>
              <w:rPr>
                <w:sz w:val="15"/>
                <w:szCs w:val="15"/>
                <w:color w:val="auto"/>
              </w:rPr>
            </w:pPr>
          </w:p>
        </w:tc>
        <w:tc>
          <w:tcPr>
            <w:tcW w:w="1320" w:type="dxa"/>
            <w:vAlign w:val="bottom"/>
            <w:gridSpan w:val="2"/>
            <w:shd w:val="clear" w:color="auto" w:fill="FDFDFC"/>
          </w:tcPr>
          <w:p>
            <w:pPr>
              <w:jc w:val="right"/>
              <w:spacing w:after="0"/>
              <w:rPr>
                <w:sz w:val="20"/>
                <w:szCs w:val="20"/>
                <w:color w:val="auto"/>
              </w:rPr>
            </w:pPr>
            <w:r>
              <w:rPr>
                <w:rFonts w:ascii="Times New Roman" w:cs="Times New Roman" w:eastAsia="Times New Roman" w:hAnsi="Times New Roman"/>
                <w:sz w:val="15"/>
                <w:szCs w:val="15"/>
                <w:b w:val="1"/>
                <w:bCs w:val="1"/>
                <w:color w:val="231F20"/>
              </w:rPr>
              <w:t>December 31, 2024</w:t>
            </w:r>
          </w:p>
        </w:tc>
        <w:tc>
          <w:tcPr>
            <w:tcW w:w="320" w:type="dxa"/>
            <w:vAlign w:val="bottom"/>
            <w:shd w:val="clear" w:color="auto" w:fill="FDFDFC"/>
          </w:tcPr>
          <w:p>
            <w:pPr>
              <w:spacing w:after="0"/>
              <w:rPr>
                <w:sz w:val="15"/>
                <w:szCs w:val="15"/>
                <w:color w:val="auto"/>
              </w:rPr>
            </w:pPr>
          </w:p>
        </w:tc>
        <w:tc>
          <w:tcPr>
            <w:tcW w:w="1560" w:type="dxa"/>
            <w:vAlign w:val="bottom"/>
            <w:gridSpan w:val="3"/>
            <w:shd w:val="clear" w:color="auto" w:fill="FDFDFC"/>
          </w:tcPr>
          <w:p>
            <w:pPr>
              <w:jc w:val="right"/>
              <w:ind w:right="300"/>
              <w:spacing w:after="0"/>
              <w:rPr>
                <w:sz w:val="20"/>
                <w:szCs w:val="20"/>
                <w:color w:val="auto"/>
              </w:rPr>
            </w:pPr>
            <w:r>
              <w:rPr>
                <w:rFonts w:ascii="Times New Roman" w:cs="Times New Roman" w:eastAsia="Times New Roman" w:hAnsi="Times New Roman"/>
                <w:sz w:val="15"/>
                <w:szCs w:val="15"/>
                <w:b w:val="1"/>
                <w:bCs w:val="1"/>
                <w:color w:val="231F20"/>
              </w:rPr>
              <w:t>December 31, 2023</w:t>
            </w:r>
          </w:p>
        </w:tc>
        <w:tc>
          <w:tcPr>
            <w:tcW w:w="80" w:type="dxa"/>
            <w:vAlign w:val="bottom"/>
            <w:shd w:val="clear" w:color="auto" w:fill="FDFDFC"/>
          </w:tcPr>
          <w:p>
            <w:pPr>
              <w:spacing w:after="0"/>
              <w:rPr>
                <w:sz w:val="15"/>
                <w:szCs w:val="15"/>
                <w:color w:val="auto"/>
              </w:rPr>
            </w:pPr>
          </w:p>
        </w:tc>
        <w:tc>
          <w:tcPr>
            <w:tcW w:w="1460" w:type="dxa"/>
            <w:vAlign w:val="bottom"/>
            <w:gridSpan w:val="3"/>
            <w:shd w:val="clear" w:color="auto" w:fill="FDFDFC"/>
          </w:tcPr>
          <w:p>
            <w:pPr>
              <w:jc w:val="right"/>
              <w:ind w:right="200"/>
              <w:spacing w:after="0"/>
              <w:rPr>
                <w:sz w:val="20"/>
                <w:szCs w:val="20"/>
                <w:color w:val="auto"/>
              </w:rPr>
            </w:pPr>
            <w:r>
              <w:rPr>
                <w:rFonts w:ascii="Times New Roman" w:cs="Times New Roman" w:eastAsia="Times New Roman" w:hAnsi="Times New Roman"/>
                <w:sz w:val="15"/>
                <w:szCs w:val="15"/>
                <w:b w:val="1"/>
                <w:bCs w:val="1"/>
                <w:color w:val="231F20"/>
              </w:rPr>
              <w:t>December 31, 2022</w:t>
            </w:r>
          </w:p>
        </w:tc>
      </w:tr>
      <w:tr>
        <w:trPr>
          <w:trHeight w:val="207"/>
        </w:trPr>
        <w:tc>
          <w:tcPr>
            <w:tcW w:w="4080" w:type="dxa"/>
            <w:vAlign w:val="bottom"/>
            <w:tcBorders>
              <w:top w:val="single" w:sz="8" w:color="D0EBF2"/>
            </w:tcBorders>
            <w:shd w:val="clear" w:color="auto" w:fill="D0EBF2"/>
          </w:tcPr>
          <w:p>
            <w:pPr>
              <w:spacing w:after="0" w:line="207" w:lineRule="exact"/>
              <w:rPr>
                <w:sz w:val="20"/>
                <w:szCs w:val="20"/>
                <w:color w:val="auto"/>
              </w:rPr>
            </w:pPr>
            <w:r>
              <w:rPr>
                <w:rFonts w:ascii="Times New Roman" w:cs="Times New Roman" w:eastAsia="Times New Roman" w:hAnsi="Times New Roman"/>
                <w:sz w:val="19"/>
                <w:szCs w:val="19"/>
                <w:color w:val="231F20"/>
              </w:rPr>
              <w:t>Interest expense</w:t>
            </w:r>
          </w:p>
        </w:tc>
        <w:tc>
          <w:tcPr>
            <w:tcW w:w="140" w:type="dxa"/>
            <w:vAlign w:val="bottom"/>
            <w:tcBorders>
              <w:top w:val="single" w:sz="8" w:color="D0EBF2"/>
            </w:tcBorders>
            <w:shd w:val="clear" w:color="auto" w:fill="D0EBF2"/>
          </w:tcPr>
          <w:p>
            <w:pPr>
              <w:spacing w:after="0"/>
              <w:rPr>
                <w:sz w:val="17"/>
                <w:szCs w:val="17"/>
                <w:color w:val="auto"/>
              </w:rPr>
            </w:pPr>
          </w:p>
        </w:tc>
        <w:tc>
          <w:tcPr>
            <w:tcW w:w="180" w:type="dxa"/>
            <w:vAlign w:val="bottom"/>
            <w:tcBorders>
              <w:top w:val="single" w:sz="8" w:color="231F20"/>
            </w:tcBorders>
            <w:shd w:val="clear" w:color="auto" w:fill="D0EBF2"/>
          </w:tcPr>
          <w:p>
            <w:pPr>
              <w:jc w:val="right"/>
              <w:spacing w:after="0" w:line="207" w:lineRule="exact"/>
              <w:rPr>
                <w:sz w:val="20"/>
                <w:szCs w:val="20"/>
                <w:color w:val="auto"/>
              </w:rPr>
            </w:pPr>
            <w:r>
              <w:rPr>
                <w:rFonts w:ascii="Times New Roman" w:cs="Times New Roman" w:eastAsia="Times New Roman" w:hAnsi="Times New Roman"/>
                <w:sz w:val="19"/>
                <w:szCs w:val="19"/>
                <w:color w:val="231F20"/>
                <w:w w:val="83"/>
              </w:rPr>
              <w:t>$</w:t>
            </w:r>
          </w:p>
        </w:tc>
        <w:tc>
          <w:tcPr>
            <w:tcW w:w="1140" w:type="dxa"/>
            <w:vAlign w:val="bottom"/>
            <w:tcBorders>
              <w:top w:val="single" w:sz="8" w:color="231F20"/>
            </w:tcBorders>
            <w:shd w:val="clear" w:color="auto" w:fill="D0EBF2"/>
          </w:tcPr>
          <w:p>
            <w:pPr>
              <w:jc w:val="right"/>
              <w:spacing w:after="0" w:line="207" w:lineRule="exact"/>
              <w:rPr>
                <w:sz w:val="20"/>
                <w:szCs w:val="20"/>
                <w:color w:val="auto"/>
              </w:rPr>
            </w:pPr>
            <w:r>
              <w:rPr>
                <w:rFonts w:ascii="Times New Roman" w:cs="Times New Roman" w:eastAsia="Times New Roman" w:hAnsi="Times New Roman"/>
                <w:sz w:val="19"/>
                <w:szCs w:val="19"/>
                <w:color w:val="231F20"/>
              </w:rPr>
              <w:t>105,155</w:t>
            </w:r>
          </w:p>
        </w:tc>
        <w:tc>
          <w:tcPr>
            <w:tcW w:w="320" w:type="dxa"/>
            <w:vAlign w:val="bottom"/>
            <w:tcBorders>
              <w:top w:val="single" w:sz="8" w:color="D0EBF2"/>
            </w:tcBorders>
            <w:shd w:val="clear" w:color="auto" w:fill="D0EBF2"/>
          </w:tcPr>
          <w:p>
            <w:pPr>
              <w:spacing w:after="0"/>
              <w:rPr>
                <w:sz w:val="17"/>
                <w:szCs w:val="17"/>
                <w:color w:val="auto"/>
              </w:rPr>
            </w:pPr>
          </w:p>
        </w:tc>
        <w:tc>
          <w:tcPr>
            <w:tcW w:w="180" w:type="dxa"/>
            <w:vAlign w:val="bottom"/>
            <w:tcBorders>
              <w:top w:val="single" w:sz="8" w:color="231F20"/>
            </w:tcBorders>
            <w:shd w:val="clear" w:color="auto" w:fill="D0EBF2"/>
          </w:tcPr>
          <w:p>
            <w:pPr>
              <w:jc w:val="right"/>
              <w:spacing w:after="0" w:line="207" w:lineRule="exact"/>
              <w:rPr>
                <w:sz w:val="20"/>
                <w:szCs w:val="20"/>
                <w:color w:val="auto"/>
              </w:rPr>
            </w:pPr>
            <w:r>
              <w:rPr>
                <w:rFonts w:ascii="Times New Roman" w:cs="Times New Roman" w:eastAsia="Times New Roman" w:hAnsi="Times New Roman"/>
                <w:sz w:val="19"/>
                <w:szCs w:val="19"/>
                <w:color w:val="231F20"/>
                <w:w w:val="83"/>
              </w:rPr>
              <w:t>$</w:t>
            </w:r>
          </w:p>
        </w:tc>
        <w:tc>
          <w:tcPr>
            <w:tcW w:w="1140" w:type="dxa"/>
            <w:vAlign w:val="bottom"/>
            <w:tcBorders>
              <w:top w:val="single" w:sz="8" w:color="231F20"/>
            </w:tcBorders>
            <w:shd w:val="clear" w:color="auto" w:fill="D0EBF2"/>
          </w:tcPr>
          <w:p>
            <w:pPr>
              <w:jc w:val="right"/>
              <w:spacing w:after="0" w:line="207" w:lineRule="exact"/>
              <w:rPr>
                <w:sz w:val="20"/>
                <w:szCs w:val="20"/>
                <w:color w:val="auto"/>
              </w:rPr>
            </w:pPr>
            <w:r>
              <w:rPr>
                <w:rFonts w:ascii="Times New Roman" w:cs="Times New Roman" w:eastAsia="Times New Roman" w:hAnsi="Times New Roman"/>
                <w:sz w:val="19"/>
                <w:szCs w:val="19"/>
                <w:color w:val="231F20"/>
              </w:rPr>
              <w:t>95,496</w:t>
            </w:r>
          </w:p>
        </w:tc>
        <w:tc>
          <w:tcPr>
            <w:tcW w:w="240" w:type="dxa"/>
            <w:vAlign w:val="bottom"/>
            <w:tcBorders>
              <w:top w:val="single" w:sz="8" w:color="D0EBF2"/>
            </w:tcBorders>
            <w:shd w:val="clear" w:color="auto" w:fill="D0EBF2"/>
          </w:tcPr>
          <w:p>
            <w:pPr>
              <w:spacing w:after="0"/>
              <w:rPr>
                <w:sz w:val="17"/>
                <w:szCs w:val="17"/>
                <w:color w:val="auto"/>
              </w:rPr>
            </w:pPr>
          </w:p>
        </w:tc>
        <w:tc>
          <w:tcPr>
            <w:tcW w:w="80" w:type="dxa"/>
            <w:vAlign w:val="bottom"/>
            <w:tcBorders>
              <w:top w:val="single" w:sz="8" w:color="D0EBF2"/>
            </w:tcBorders>
            <w:shd w:val="clear" w:color="auto" w:fill="D0EBF2"/>
          </w:tcPr>
          <w:p>
            <w:pPr>
              <w:spacing w:after="0"/>
              <w:rPr>
                <w:sz w:val="17"/>
                <w:szCs w:val="17"/>
                <w:color w:val="auto"/>
              </w:rPr>
            </w:pPr>
          </w:p>
        </w:tc>
        <w:tc>
          <w:tcPr>
            <w:tcW w:w="180" w:type="dxa"/>
            <w:vAlign w:val="bottom"/>
            <w:tcBorders>
              <w:top w:val="single" w:sz="8" w:color="231F20"/>
            </w:tcBorders>
            <w:shd w:val="clear" w:color="auto" w:fill="D0EBF2"/>
          </w:tcPr>
          <w:p>
            <w:pPr>
              <w:jc w:val="right"/>
              <w:spacing w:after="0" w:line="207" w:lineRule="exact"/>
              <w:rPr>
                <w:sz w:val="20"/>
                <w:szCs w:val="20"/>
                <w:color w:val="auto"/>
              </w:rPr>
            </w:pPr>
            <w:r>
              <w:rPr>
                <w:rFonts w:ascii="Times New Roman" w:cs="Times New Roman" w:eastAsia="Times New Roman" w:hAnsi="Times New Roman"/>
                <w:sz w:val="19"/>
                <w:szCs w:val="19"/>
                <w:color w:val="231F20"/>
                <w:w w:val="83"/>
              </w:rPr>
              <w:t>$</w:t>
            </w:r>
          </w:p>
        </w:tc>
        <w:tc>
          <w:tcPr>
            <w:tcW w:w="1140" w:type="dxa"/>
            <w:vAlign w:val="bottom"/>
            <w:tcBorders>
              <w:top w:val="single" w:sz="8" w:color="231F20"/>
            </w:tcBorders>
            <w:shd w:val="clear" w:color="auto" w:fill="D0EBF2"/>
          </w:tcPr>
          <w:p>
            <w:pPr>
              <w:jc w:val="right"/>
              <w:spacing w:after="0" w:line="207" w:lineRule="exact"/>
              <w:rPr>
                <w:sz w:val="20"/>
                <w:szCs w:val="20"/>
                <w:color w:val="auto"/>
              </w:rPr>
            </w:pPr>
            <w:r>
              <w:rPr>
                <w:rFonts w:ascii="Times New Roman" w:cs="Times New Roman" w:eastAsia="Times New Roman" w:hAnsi="Times New Roman"/>
                <w:sz w:val="19"/>
                <w:szCs w:val="19"/>
                <w:color w:val="231F20"/>
              </w:rPr>
              <w:t>49,897</w:t>
            </w:r>
          </w:p>
        </w:tc>
        <w:tc>
          <w:tcPr>
            <w:tcW w:w="140" w:type="dxa"/>
            <w:vAlign w:val="bottom"/>
            <w:tcBorders>
              <w:top w:val="single" w:sz="8" w:color="D0EBF2"/>
            </w:tcBorders>
            <w:shd w:val="clear" w:color="auto" w:fill="D0EBF2"/>
          </w:tcPr>
          <w:p>
            <w:pPr>
              <w:spacing w:after="0"/>
              <w:rPr>
                <w:sz w:val="17"/>
                <w:szCs w:val="17"/>
                <w:color w:val="auto"/>
              </w:rPr>
            </w:pPr>
          </w:p>
        </w:tc>
      </w:tr>
      <w:tr>
        <w:trPr>
          <w:trHeight w:val="217"/>
        </w:trPr>
        <w:tc>
          <w:tcPr>
            <w:tcW w:w="4080" w:type="dxa"/>
            <w:vAlign w:val="bottom"/>
            <w:shd w:val="clear" w:color="auto" w:fill="FDFDFC"/>
          </w:tcPr>
          <w:p>
            <w:pPr>
              <w:spacing w:after="0" w:line="217" w:lineRule="exact"/>
              <w:rPr>
                <w:sz w:val="20"/>
                <w:szCs w:val="20"/>
                <w:color w:val="auto"/>
              </w:rPr>
            </w:pPr>
            <w:r>
              <w:rPr>
                <w:rFonts w:ascii="Times New Roman" w:cs="Times New Roman" w:eastAsia="Times New Roman" w:hAnsi="Times New Roman"/>
                <w:sz w:val="19"/>
                <w:szCs w:val="19"/>
                <w:color w:val="231F20"/>
              </w:rPr>
              <w:t>Commitment fees</w:t>
            </w:r>
          </w:p>
        </w:tc>
        <w:tc>
          <w:tcPr>
            <w:tcW w:w="140" w:type="dxa"/>
            <w:vAlign w:val="bottom"/>
            <w:shd w:val="clear" w:color="auto" w:fill="FDFDFC"/>
          </w:tcPr>
          <w:p>
            <w:pPr>
              <w:spacing w:after="0"/>
              <w:rPr>
                <w:sz w:val="18"/>
                <w:szCs w:val="18"/>
                <w:color w:val="auto"/>
              </w:rPr>
            </w:pPr>
          </w:p>
        </w:tc>
        <w:tc>
          <w:tcPr>
            <w:tcW w:w="180" w:type="dxa"/>
            <w:vAlign w:val="bottom"/>
            <w:shd w:val="clear" w:color="auto" w:fill="FDFDFC"/>
          </w:tcPr>
          <w:p>
            <w:pPr>
              <w:spacing w:after="0"/>
              <w:rPr>
                <w:sz w:val="18"/>
                <w:szCs w:val="18"/>
                <w:color w:val="auto"/>
              </w:rPr>
            </w:pPr>
          </w:p>
        </w:tc>
        <w:tc>
          <w:tcPr>
            <w:tcW w:w="1140" w:type="dxa"/>
            <w:vAlign w:val="bottom"/>
            <w:shd w:val="clear" w:color="auto" w:fill="FDFDFC"/>
          </w:tcPr>
          <w:p>
            <w:pPr>
              <w:jc w:val="right"/>
              <w:spacing w:after="0" w:line="217" w:lineRule="exact"/>
              <w:rPr>
                <w:sz w:val="20"/>
                <w:szCs w:val="20"/>
                <w:color w:val="auto"/>
              </w:rPr>
            </w:pPr>
            <w:r>
              <w:rPr>
                <w:rFonts w:ascii="Times New Roman" w:cs="Times New Roman" w:eastAsia="Times New Roman" w:hAnsi="Times New Roman"/>
                <w:sz w:val="19"/>
                <w:szCs w:val="19"/>
                <w:color w:val="231F20"/>
              </w:rPr>
              <w:t>4,006</w:t>
            </w:r>
          </w:p>
        </w:tc>
        <w:tc>
          <w:tcPr>
            <w:tcW w:w="320" w:type="dxa"/>
            <w:vAlign w:val="bottom"/>
            <w:shd w:val="clear" w:color="auto" w:fill="FDFDFC"/>
          </w:tcPr>
          <w:p>
            <w:pPr>
              <w:spacing w:after="0"/>
              <w:rPr>
                <w:sz w:val="18"/>
                <w:szCs w:val="18"/>
                <w:color w:val="auto"/>
              </w:rPr>
            </w:pPr>
          </w:p>
        </w:tc>
        <w:tc>
          <w:tcPr>
            <w:tcW w:w="180" w:type="dxa"/>
            <w:vAlign w:val="bottom"/>
            <w:shd w:val="clear" w:color="auto" w:fill="FDFDFC"/>
          </w:tcPr>
          <w:p>
            <w:pPr>
              <w:spacing w:after="0"/>
              <w:rPr>
                <w:sz w:val="18"/>
                <w:szCs w:val="18"/>
                <w:color w:val="auto"/>
              </w:rPr>
            </w:pPr>
          </w:p>
        </w:tc>
        <w:tc>
          <w:tcPr>
            <w:tcW w:w="1140" w:type="dxa"/>
            <w:vAlign w:val="bottom"/>
            <w:shd w:val="clear" w:color="auto" w:fill="FDFDFC"/>
          </w:tcPr>
          <w:p>
            <w:pPr>
              <w:jc w:val="right"/>
              <w:spacing w:after="0" w:line="217" w:lineRule="exact"/>
              <w:rPr>
                <w:sz w:val="20"/>
                <w:szCs w:val="20"/>
                <w:color w:val="auto"/>
              </w:rPr>
            </w:pPr>
            <w:r>
              <w:rPr>
                <w:rFonts w:ascii="Times New Roman" w:cs="Times New Roman" w:eastAsia="Times New Roman" w:hAnsi="Times New Roman"/>
                <w:sz w:val="19"/>
                <w:szCs w:val="19"/>
                <w:color w:val="231F20"/>
              </w:rPr>
              <w:t>2,852</w:t>
            </w:r>
          </w:p>
        </w:tc>
        <w:tc>
          <w:tcPr>
            <w:tcW w:w="240" w:type="dxa"/>
            <w:vAlign w:val="bottom"/>
            <w:shd w:val="clear" w:color="auto" w:fill="FDFDFC"/>
          </w:tcPr>
          <w:p>
            <w:pPr>
              <w:spacing w:after="0"/>
              <w:rPr>
                <w:sz w:val="18"/>
                <w:szCs w:val="18"/>
                <w:color w:val="auto"/>
              </w:rPr>
            </w:pPr>
          </w:p>
        </w:tc>
        <w:tc>
          <w:tcPr>
            <w:tcW w:w="80" w:type="dxa"/>
            <w:vAlign w:val="bottom"/>
            <w:shd w:val="clear" w:color="auto" w:fill="FDFDFC"/>
          </w:tcPr>
          <w:p>
            <w:pPr>
              <w:spacing w:after="0"/>
              <w:rPr>
                <w:sz w:val="18"/>
                <w:szCs w:val="18"/>
                <w:color w:val="auto"/>
              </w:rPr>
            </w:pPr>
          </w:p>
        </w:tc>
        <w:tc>
          <w:tcPr>
            <w:tcW w:w="180" w:type="dxa"/>
            <w:vAlign w:val="bottom"/>
            <w:shd w:val="clear" w:color="auto" w:fill="FDFDFC"/>
          </w:tcPr>
          <w:p>
            <w:pPr>
              <w:spacing w:after="0"/>
              <w:rPr>
                <w:sz w:val="18"/>
                <w:szCs w:val="18"/>
                <w:color w:val="auto"/>
              </w:rPr>
            </w:pPr>
          </w:p>
        </w:tc>
        <w:tc>
          <w:tcPr>
            <w:tcW w:w="1140" w:type="dxa"/>
            <w:vAlign w:val="bottom"/>
            <w:shd w:val="clear" w:color="auto" w:fill="FDFDFC"/>
          </w:tcPr>
          <w:p>
            <w:pPr>
              <w:jc w:val="right"/>
              <w:spacing w:after="0" w:line="217" w:lineRule="exact"/>
              <w:rPr>
                <w:sz w:val="20"/>
                <w:szCs w:val="20"/>
                <w:color w:val="auto"/>
              </w:rPr>
            </w:pPr>
            <w:r>
              <w:rPr>
                <w:rFonts w:ascii="Times New Roman" w:cs="Times New Roman" w:eastAsia="Times New Roman" w:hAnsi="Times New Roman"/>
                <w:sz w:val="19"/>
                <w:szCs w:val="19"/>
                <w:color w:val="231F20"/>
              </w:rPr>
              <w:t>4,075</w:t>
            </w:r>
          </w:p>
        </w:tc>
        <w:tc>
          <w:tcPr>
            <w:tcW w:w="140" w:type="dxa"/>
            <w:vAlign w:val="bottom"/>
            <w:shd w:val="clear" w:color="auto" w:fill="FDFDFC"/>
          </w:tcPr>
          <w:p>
            <w:pPr>
              <w:spacing w:after="0"/>
              <w:rPr>
                <w:sz w:val="18"/>
                <w:szCs w:val="18"/>
                <w:color w:val="auto"/>
              </w:rPr>
            </w:pPr>
          </w:p>
        </w:tc>
      </w:tr>
      <w:tr>
        <w:trPr>
          <w:trHeight w:val="217"/>
        </w:trPr>
        <w:tc>
          <w:tcPr>
            <w:tcW w:w="4080" w:type="dxa"/>
            <w:vAlign w:val="bottom"/>
            <w:shd w:val="clear" w:color="auto" w:fill="D0EBF2"/>
          </w:tcPr>
          <w:p>
            <w:pPr>
              <w:spacing w:after="0" w:line="217" w:lineRule="exact"/>
              <w:rPr>
                <w:sz w:val="20"/>
                <w:szCs w:val="20"/>
                <w:color w:val="auto"/>
              </w:rPr>
            </w:pPr>
            <w:r>
              <w:rPr>
                <w:rFonts w:ascii="Times New Roman" w:cs="Times New Roman" w:eastAsia="Times New Roman" w:hAnsi="Times New Roman"/>
                <w:sz w:val="19"/>
                <w:szCs w:val="19"/>
                <w:color w:val="231F20"/>
              </w:rPr>
              <w:t>Amortization of deferred financing costs</w:t>
            </w:r>
          </w:p>
        </w:tc>
        <w:tc>
          <w:tcPr>
            <w:tcW w:w="140" w:type="dxa"/>
            <w:vAlign w:val="bottom"/>
            <w:shd w:val="clear" w:color="auto" w:fill="D0EBF2"/>
          </w:tcPr>
          <w:p>
            <w:pPr>
              <w:spacing w:after="0"/>
              <w:rPr>
                <w:sz w:val="18"/>
                <w:szCs w:val="18"/>
                <w:color w:val="auto"/>
              </w:rPr>
            </w:pPr>
          </w:p>
        </w:tc>
        <w:tc>
          <w:tcPr>
            <w:tcW w:w="180" w:type="dxa"/>
            <w:vAlign w:val="bottom"/>
            <w:shd w:val="clear" w:color="auto" w:fill="D0EBF2"/>
          </w:tcPr>
          <w:p>
            <w:pPr>
              <w:spacing w:after="0"/>
              <w:rPr>
                <w:sz w:val="18"/>
                <w:szCs w:val="18"/>
                <w:color w:val="auto"/>
              </w:rPr>
            </w:pPr>
          </w:p>
        </w:tc>
        <w:tc>
          <w:tcPr>
            <w:tcW w:w="1140" w:type="dxa"/>
            <w:vAlign w:val="bottom"/>
            <w:shd w:val="clear" w:color="auto" w:fill="D0EBF2"/>
          </w:tcPr>
          <w:p>
            <w:pPr>
              <w:jc w:val="right"/>
              <w:spacing w:after="0" w:line="217" w:lineRule="exact"/>
              <w:rPr>
                <w:sz w:val="20"/>
                <w:szCs w:val="20"/>
                <w:color w:val="auto"/>
              </w:rPr>
            </w:pPr>
            <w:r>
              <w:rPr>
                <w:rFonts w:ascii="Times New Roman" w:cs="Times New Roman" w:eastAsia="Times New Roman" w:hAnsi="Times New Roman"/>
                <w:sz w:val="19"/>
                <w:szCs w:val="19"/>
                <w:color w:val="231F20"/>
              </w:rPr>
              <w:t>6,903</w:t>
            </w:r>
          </w:p>
        </w:tc>
        <w:tc>
          <w:tcPr>
            <w:tcW w:w="320" w:type="dxa"/>
            <w:vAlign w:val="bottom"/>
            <w:shd w:val="clear" w:color="auto" w:fill="D0EBF2"/>
          </w:tcPr>
          <w:p>
            <w:pPr>
              <w:spacing w:after="0"/>
              <w:rPr>
                <w:sz w:val="18"/>
                <w:szCs w:val="18"/>
                <w:color w:val="auto"/>
              </w:rPr>
            </w:pPr>
          </w:p>
        </w:tc>
        <w:tc>
          <w:tcPr>
            <w:tcW w:w="180" w:type="dxa"/>
            <w:vAlign w:val="bottom"/>
            <w:shd w:val="clear" w:color="auto" w:fill="D0EBF2"/>
          </w:tcPr>
          <w:p>
            <w:pPr>
              <w:spacing w:after="0"/>
              <w:rPr>
                <w:sz w:val="18"/>
                <w:szCs w:val="18"/>
                <w:color w:val="auto"/>
              </w:rPr>
            </w:pPr>
          </w:p>
        </w:tc>
        <w:tc>
          <w:tcPr>
            <w:tcW w:w="1140" w:type="dxa"/>
            <w:vAlign w:val="bottom"/>
            <w:shd w:val="clear" w:color="auto" w:fill="D0EBF2"/>
          </w:tcPr>
          <w:p>
            <w:pPr>
              <w:jc w:val="right"/>
              <w:spacing w:after="0" w:line="217" w:lineRule="exact"/>
              <w:rPr>
                <w:sz w:val="20"/>
                <w:szCs w:val="20"/>
                <w:color w:val="auto"/>
              </w:rPr>
            </w:pPr>
            <w:r>
              <w:rPr>
                <w:rFonts w:ascii="Times New Roman" w:cs="Times New Roman" w:eastAsia="Times New Roman" w:hAnsi="Times New Roman"/>
                <w:sz w:val="19"/>
                <w:szCs w:val="19"/>
                <w:color w:val="231F20"/>
              </w:rPr>
              <w:t>5,245</w:t>
            </w:r>
          </w:p>
        </w:tc>
        <w:tc>
          <w:tcPr>
            <w:tcW w:w="240" w:type="dxa"/>
            <w:vAlign w:val="bottom"/>
            <w:shd w:val="clear" w:color="auto" w:fill="D0EBF2"/>
          </w:tcPr>
          <w:p>
            <w:pPr>
              <w:spacing w:after="0"/>
              <w:rPr>
                <w:sz w:val="18"/>
                <w:szCs w:val="18"/>
                <w:color w:val="auto"/>
              </w:rPr>
            </w:pPr>
          </w:p>
        </w:tc>
        <w:tc>
          <w:tcPr>
            <w:tcW w:w="80" w:type="dxa"/>
            <w:vAlign w:val="bottom"/>
            <w:shd w:val="clear" w:color="auto" w:fill="D0EBF2"/>
          </w:tcPr>
          <w:p>
            <w:pPr>
              <w:spacing w:after="0"/>
              <w:rPr>
                <w:sz w:val="18"/>
                <w:szCs w:val="18"/>
                <w:color w:val="auto"/>
              </w:rPr>
            </w:pPr>
          </w:p>
        </w:tc>
        <w:tc>
          <w:tcPr>
            <w:tcW w:w="180" w:type="dxa"/>
            <w:vAlign w:val="bottom"/>
            <w:shd w:val="clear" w:color="auto" w:fill="D0EBF2"/>
          </w:tcPr>
          <w:p>
            <w:pPr>
              <w:spacing w:after="0"/>
              <w:rPr>
                <w:sz w:val="18"/>
                <w:szCs w:val="18"/>
                <w:color w:val="auto"/>
              </w:rPr>
            </w:pPr>
          </w:p>
        </w:tc>
        <w:tc>
          <w:tcPr>
            <w:tcW w:w="1140" w:type="dxa"/>
            <w:vAlign w:val="bottom"/>
            <w:shd w:val="clear" w:color="auto" w:fill="D0EBF2"/>
          </w:tcPr>
          <w:p>
            <w:pPr>
              <w:jc w:val="right"/>
              <w:spacing w:after="0" w:line="217" w:lineRule="exact"/>
              <w:rPr>
                <w:sz w:val="20"/>
                <w:szCs w:val="20"/>
                <w:color w:val="auto"/>
              </w:rPr>
            </w:pPr>
            <w:r>
              <w:rPr>
                <w:rFonts w:ascii="Times New Roman" w:cs="Times New Roman" w:eastAsia="Times New Roman" w:hAnsi="Times New Roman"/>
                <w:sz w:val="19"/>
                <w:szCs w:val="19"/>
                <w:color w:val="231F20"/>
              </w:rPr>
              <w:t>5,683</w:t>
            </w:r>
          </w:p>
        </w:tc>
        <w:tc>
          <w:tcPr>
            <w:tcW w:w="140" w:type="dxa"/>
            <w:vAlign w:val="bottom"/>
            <w:shd w:val="clear" w:color="auto" w:fill="D0EBF2"/>
          </w:tcPr>
          <w:p>
            <w:pPr>
              <w:spacing w:after="0"/>
              <w:rPr>
                <w:sz w:val="18"/>
                <w:szCs w:val="18"/>
                <w:color w:val="auto"/>
              </w:rPr>
            </w:pPr>
          </w:p>
        </w:tc>
      </w:tr>
      <w:tr>
        <w:trPr>
          <w:trHeight w:val="217"/>
        </w:trPr>
        <w:tc>
          <w:tcPr>
            <w:tcW w:w="4080" w:type="dxa"/>
            <w:vAlign w:val="bottom"/>
            <w:shd w:val="clear" w:color="auto" w:fill="FDFDFC"/>
          </w:tcPr>
          <w:p>
            <w:pPr>
              <w:spacing w:after="0" w:line="217" w:lineRule="exact"/>
              <w:rPr>
                <w:sz w:val="20"/>
                <w:szCs w:val="20"/>
                <w:color w:val="auto"/>
              </w:rPr>
            </w:pPr>
            <w:r>
              <w:rPr>
                <w:rFonts w:ascii="Times New Roman" w:cs="Times New Roman" w:eastAsia="Times New Roman" w:hAnsi="Times New Roman"/>
                <w:sz w:val="19"/>
                <w:szCs w:val="19"/>
                <w:color w:val="231F20"/>
              </w:rPr>
              <w:t>Accretion of original issue discount</w:t>
            </w:r>
          </w:p>
        </w:tc>
        <w:tc>
          <w:tcPr>
            <w:tcW w:w="140" w:type="dxa"/>
            <w:vAlign w:val="bottom"/>
            <w:shd w:val="clear" w:color="auto" w:fill="FDFDFC"/>
          </w:tcPr>
          <w:p>
            <w:pPr>
              <w:spacing w:after="0"/>
              <w:rPr>
                <w:sz w:val="18"/>
                <w:szCs w:val="18"/>
                <w:color w:val="auto"/>
              </w:rPr>
            </w:pPr>
          </w:p>
        </w:tc>
        <w:tc>
          <w:tcPr>
            <w:tcW w:w="180" w:type="dxa"/>
            <w:vAlign w:val="bottom"/>
            <w:shd w:val="clear" w:color="auto" w:fill="FDFDFC"/>
          </w:tcPr>
          <w:p>
            <w:pPr>
              <w:spacing w:after="0"/>
              <w:rPr>
                <w:sz w:val="18"/>
                <w:szCs w:val="18"/>
                <w:color w:val="auto"/>
              </w:rPr>
            </w:pPr>
          </w:p>
        </w:tc>
        <w:tc>
          <w:tcPr>
            <w:tcW w:w="1140" w:type="dxa"/>
            <w:vAlign w:val="bottom"/>
            <w:shd w:val="clear" w:color="auto" w:fill="FDFDFC"/>
          </w:tcPr>
          <w:p>
            <w:pPr>
              <w:jc w:val="right"/>
              <w:spacing w:after="0" w:line="217" w:lineRule="exact"/>
              <w:rPr>
                <w:sz w:val="20"/>
                <w:szCs w:val="20"/>
                <w:color w:val="auto"/>
              </w:rPr>
            </w:pPr>
            <w:r>
              <w:rPr>
                <w:rFonts w:ascii="Times New Roman" w:cs="Times New Roman" w:eastAsia="Times New Roman" w:hAnsi="Times New Roman"/>
                <w:sz w:val="19"/>
                <w:szCs w:val="19"/>
                <w:color w:val="231F20"/>
              </w:rPr>
              <w:t>1,614</w:t>
            </w:r>
          </w:p>
        </w:tc>
        <w:tc>
          <w:tcPr>
            <w:tcW w:w="320" w:type="dxa"/>
            <w:vAlign w:val="bottom"/>
            <w:shd w:val="clear" w:color="auto" w:fill="FDFDFC"/>
          </w:tcPr>
          <w:p>
            <w:pPr>
              <w:spacing w:after="0"/>
              <w:rPr>
                <w:sz w:val="18"/>
                <w:szCs w:val="18"/>
                <w:color w:val="auto"/>
              </w:rPr>
            </w:pPr>
          </w:p>
        </w:tc>
        <w:tc>
          <w:tcPr>
            <w:tcW w:w="180" w:type="dxa"/>
            <w:vAlign w:val="bottom"/>
            <w:shd w:val="clear" w:color="auto" w:fill="FDFDFC"/>
          </w:tcPr>
          <w:p>
            <w:pPr>
              <w:spacing w:after="0"/>
              <w:rPr>
                <w:sz w:val="18"/>
                <w:szCs w:val="18"/>
                <w:color w:val="auto"/>
              </w:rPr>
            </w:pPr>
          </w:p>
        </w:tc>
        <w:tc>
          <w:tcPr>
            <w:tcW w:w="1140" w:type="dxa"/>
            <w:vAlign w:val="bottom"/>
            <w:shd w:val="clear" w:color="auto" w:fill="FDFDFC"/>
          </w:tcPr>
          <w:p>
            <w:pPr>
              <w:jc w:val="right"/>
              <w:spacing w:after="0" w:line="217" w:lineRule="exact"/>
              <w:rPr>
                <w:sz w:val="20"/>
                <w:szCs w:val="20"/>
                <w:color w:val="auto"/>
              </w:rPr>
            </w:pPr>
            <w:r>
              <w:rPr>
                <w:rFonts w:ascii="Times New Roman" w:cs="Times New Roman" w:eastAsia="Times New Roman" w:hAnsi="Times New Roman"/>
                <w:sz w:val="19"/>
                <w:szCs w:val="19"/>
                <w:color w:val="231F20"/>
              </w:rPr>
              <w:t>899</w:t>
            </w:r>
          </w:p>
        </w:tc>
        <w:tc>
          <w:tcPr>
            <w:tcW w:w="240" w:type="dxa"/>
            <w:vAlign w:val="bottom"/>
            <w:shd w:val="clear" w:color="auto" w:fill="FDFDFC"/>
          </w:tcPr>
          <w:p>
            <w:pPr>
              <w:spacing w:after="0"/>
              <w:rPr>
                <w:sz w:val="18"/>
                <w:szCs w:val="18"/>
                <w:color w:val="auto"/>
              </w:rPr>
            </w:pPr>
          </w:p>
        </w:tc>
        <w:tc>
          <w:tcPr>
            <w:tcW w:w="80" w:type="dxa"/>
            <w:vAlign w:val="bottom"/>
            <w:shd w:val="clear" w:color="auto" w:fill="FDFDFC"/>
          </w:tcPr>
          <w:p>
            <w:pPr>
              <w:spacing w:after="0"/>
              <w:rPr>
                <w:sz w:val="18"/>
                <w:szCs w:val="18"/>
                <w:color w:val="auto"/>
              </w:rPr>
            </w:pPr>
          </w:p>
        </w:tc>
        <w:tc>
          <w:tcPr>
            <w:tcW w:w="180" w:type="dxa"/>
            <w:vAlign w:val="bottom"/>
            <w:shd w:val="clear" w:color="auto" w:fill="FDFDFC"/>
          </w:tcPr>
          <w:p>
            <w:pPr>
              <w:spacing w:after="0"/>
              <w:rPr>
                <w:sz w:val="18"/>
                <w:szCs w:val="18"/>
                <w:color w:val="auto"/>
              </w:rPr>
            </w:pPr>
          </w:p>
        </w:tc>
        <w:tc>
          <w:tcPr>
            <w:tcW w:w="1140" w:type="dxa"/>
            <w:vAlign w:val="bottom"/>
            <w:shd w:val="clear" w:color="auto" w:fill="FDFDFC"/>
          </w:tcPr>
          <w:p>
            <w:pPr>
              <w:jc w:val="right"/>
              <w:spacing w:after="0" w:line="217" w:lineRule="exact"/>
              <w:rPr>
                <w:sz w:val="20"/>
                <w:szCs w:val="20"/>
                <w:color w:val="auto"/>
              </w:rPr>
            </w:pPr>
            <w:r>
              <w:rPr>
                <w:rFonts w:ascii="Times New Roman" w:cs="Times New Roman" w:eastAsia="Times New Roman" w:hAnsi="Times New Roman"/>
                <w:sz w:val="19"/>
                <w:szCs w:val="19"/>
                <w:color w:val="231F20"/>
              </w:rPr>
              <w:t>766</w:t>
            </w:r>
          </w:p>
        </w:tc>
        <w:tc>
          <w:tcPr>
            <w:tcW w:w="140" w:type="dxa"/>
            <w:vAlign w:val="bottom"/>
            <w:shd w:val="clear" w:color="auto" w:fill="FDFDFC"/>
          </w:tcPr>
          <w:p>
            <w:pPr>
              <w:spacing w:after="0"/>
              <w:rPr>
                <w:sz w:val="18"/>
                <w:szCs w:val="18"/>
                <w:color w:val="auto"/>
              </w:rPr>
            </w:pPr>
          </w:p>
        </w:tc>
      </w:tr>
      <w:tr>
        <w:trPr>
          <w:trHeight w:val="217"/>
        </w:trPr>
        <w:tc>
          <w:tcPr>
            <w:tcW w:w="4080" w:type="dxa"/>
            <w:vAlign w:val="bottom"/>
            <w:tcBorders>
              <w:bottom w:val="single" w:sz="8" w:color="FDFDFC"/>
            </w:tcBorders>
            <w:shd w:val="clear" w:color="auto" w:fill="D0EBF2"/>
          </w:tcPr>
          <w:p>
            <w:pPr>
              <w:spacing w:after="0" w:line="217" w:lineRule="exact"/>
              <w:rPr>
                <w:sz w:val="20"/>
                <w:szCs w:val="20"/>
                <w:color w:val="auto"/>
              </w:rPr>
            </w:pPr>
            <w:r>
              <w:rPr>
                <w:rFonts w:ascii="Times New Roman" w:cs="Times New Roman" w:eastAsia="Times New Roman" w:hAnsi="Times New Roman"/>
                <w:sz w:val="19"/>
                <w:szCs w:val="19"/>
                <w:color w:val="231F20"/>
              </w:rPr>
              <w:t>Swap settlement</w:t>
            </w:r>
          </w:p>
        </w:tc>
        <w:tc>
          <w:tcPr>
            <w:tcW w:w="140" w:type="dxa"/>
            <w:vAlign w:val="bottom"/>
            <w:tcBorders>
              <w:bottom w:val="single" w:sz="8" w:color="FDFDFC"/>
            </w:tcBorders>
            <w:shd w:val="clear" w:color="auto" w:fill="D0EBF2"/>
          </w:tcPr>
          <w:p>
            <w:pPr>
              <w:spacing w:after="0"/>
              <w:rPr>
                <w:sz w:val="18"/>
                <w:szCs w:val="18"/>
                <w:color w:val="auto"/>
              </w:rPr>
            </w:pPr>
          </w:p>
        </w:tc>
        <w:tc>
          <w:tcPr>
            <w:tcW w:w="180" w:type="dxa"/>
            <w:vAlign w:val="bottom"/>
            <w:tcBorders>
              <w:bottom w:val="single" w:sz="8" w:color="231F20"/>
            </w:tcBorders>
            <w:shd w:val="clear" w:color="auto" w:fill="D0EBF2"/>
          </w:tcPr>
          <w:p>
            <w:pPr>
              <w:spacing w:after="0"/>
              <w:rPr>
                <w:sz w:val="18"/>
                <w:szCs w:val="18"/>
                <w:color w:val="auto"/>
              </w:rPr>
            </w:pPr>
          </w:p>
        </w:tc>
        <w:tc>
          <w:tcPr>
            <w:tcW w:w="1140" w:type="dxa"/>
            <w:vAlign w:val="bottom"/>
            <w:tcBorders>
              <w:bottom w:val="single" w:sz="8" w:color="231F20"/>
            </w:tcBorders>
            <w:shd w:val="clear" w:color="auto" w:fill="D0EBF2"/>
          </w:tcPr>
          <w:p>
            <w:pPr>
              <w:jc w:val="right"/>
              <w:spacing w:after="0" w:line="217" w:lineRule="exact"/>
              <w:rPr>
                <w:sz w:val="20"/>
                <w:szCs w:val="20"/>
                <w:color w:val="auto"/>
              </w:rPr>
            </w:pPr>
            <w:r>
              <w:rPr>
                <w:rFonts w:ascii="Times New Roman" w:cs="Times New Roman" w:eastAsia="Times New Roman" w:hAnsi="Times New Roman"/>
                <w:sz w:val="19"/>
                <w:szCs w:val="19"/>
                <w:color w:val="231F20"/>
              </w:rPr>
              <w:t>36,467</w:t>
            </w:r>
          </w:p>
        </w:tc>
        <w:tc>
          <w:tcPr>
            <w:tcW w:w="320" w:type="dxa"/>
            <w:vAlign w:val="bottom"/>
            <w:tcBorders>
              <w:bottom w:val="single" w:sz="8" w:color="FDFDFC"/>
            </w:tcBorders>
            <w:shd w:val="clear" w:color="auto" w:fill="D0EBF2"/>
          </w:tcPr>
          <w:p>
            <w:pPr>
              <w:spacing w:after="0"/>
              <w:rPr>
                <w:sz w:val="18"/>
                <w:szCs w:val="18"/>
                <w:color w:val="auto"/>
              </w:rPr>
            </w:pPr>
          </w:p>
        </w:tc>
        <w:tc>
          <w:tcPr>
            <w:tcW w:w="180" w:type="dxa"/>
            <w:vAlign w:val="bottom"/>
            <w:tcBorders>
              <w:bottom w:val="single" w:sz="8" w:color="231F20"/>
            </w:tcBorders>
            <w:shd w:val="clear" w:color="auto" w:fill="D0EBF2"/>
          </w:tcPr>
          <w:p>
            <w:pPr>
              <w:spacing w:after="0"/>
              <w:rPr>
                <w:sz w:val="18"/>
                <w:szCs w:val="18"/>
                <w:color w:val="auto"/>
              </w:rPr>
            </w:pPr>
          </w:p>
        </w:tc>
        <w:tc>
          <w:tcPr>
            <w:tcW w:w="1140" w:type="dxa"/>
            <w:vAlign w:val="bottom"/>
            <w:tcBorders>
              <w:bottom w:val="single" w:sz="8" w:color="231F20"/>
            </w:tcBorders>
            <w:shd w:val="clear" w:color="auto" w:fill="D0EBF2"/>
          </w:tcPr>
          <w:p>
            <w:pPr>
              <w:jc w:val="right"/>
              <w:spacing w:after="0" w:line="217" w:lineRule="exact"/>
              <w:rPr>
                <w:sz w:val="20"/>
                <w:szCs w:val="20"/>
                <w:color w:val="auto"/>
              </w:rPr>
            </w:pPr>
            <w:r>
              <w:rPr>
                <w:rFonts w:ascii="Times New Roman" w:cs="Times New Roman" w:eastAsia="Times New Roman" w:hAnsi="Times New Roman"/>
                <w:sz w:val="19"/>
                <w:szCs w:val="19"/>
                <w:color w:val="231F20"/>
              </w:rPr>
              <w:t>29,239</w:t>
            </w:r>
          </w:p>
        </w:tc>
        <w:tc>
          <w:tcPr>
            <w:tcW w:w="240" w:type="dxa"/>
            <w:vAlign w:val="bottom"/>
            <w:tcBorders>
              <w:bottom w:val="single" w:sz="8" w:color="FDFDFC"/>
            </w:tcBorders>
            <w:shd w:val="clear" w:color="auto" w:fill="D0EBF2"/>
          </w:tcPr>
          <w:p>
            <w:pPr>
              <w:spacing w:after="0"/>
              <w:rPr>
                <w:sz w:val="18"/>
                <w:szCs w:val="18"/>
                <w:color w:val="auto"/>
              </w:rPr>
            </w:pPr>
          </w:p>
        </w:tc>
        <w:tc>
          <w:tcPr>
            <w:tcW w:w="80" w:type="dxa"/>
            <w:vAlign w:val="bottom"/>
            <w:tcBorders>
              <w:bottom w:val="single" w:sz="8" w:color="FDFDFC"/>
            </w:tcBorders>
            <w:shd w:val="clear" w:color="auto" w:fill="D0EBF2"/>
          </w:tcPr>
          <w:p>
            <w:pPr>
              <w:spacing w:after="0"/>
              <w:rPr>
                <w:sz w:val="18"/>
                <w:szCs w:val="18"/>
                <w:color w:val="auto"/>
              </w:rPr>
            </w:pPr>
          </w:p>
        </w:tc>
        <w:tc>
          <w:tcPr>
            <w:tcW w:w="180" w:type="dxa"/>
            <w:vAlign w:val="bottom"/>
            <w:tcBorders>
              <w:bottom w:val="single" w:sz="8" w:color="231F20"/>
            </w:tcBorders>
            <w:shd w:val="clear" w:color="auto" w:fill="D0EBF2"/>
          </w:tcPr>
          <w:p>
            <w:pPr>
              <w:spacing w:after="0"/>
              <w:rPr>
                <w:sz w:val="18"/>
                <w:szCs w:val="18"/>
                <w:color w:val="auto"/>
              </w:rPr>
            </w:pPr>
          </w:p>
        </w:tc>
        <w:tc>
          <w:tcPr>
            <w:tcW w:w="1140" w:type="dxa"/>
            <w:vAlign w:val="bottom"/>
            <w:tcBorders>
              <w:bottom w:val="single" w:sz="8" w:color="231F20"/>
            </w:tcBorders>
            <w:shd w:val="clear" w:color="auto" w:fill="D0EBF2"/>
          </w:tcPr>
          <w:p>
            <w:pPr>
              <w:jc w:val="right"/>
              <w:spacing w:after="0" w:line="217" w:lineRule="exact"/>
              <w:rPr>
                <w:sz w:val="20"/>
                <w:szCs w:val="20"/>
                <w:color w:val="auto"/>
              </w:rPr>
            </w:pPr>
            <w:r>
              <w:rPr>
                <w:rFonts w:ascii="Times New Roman" w:cs="Times New Roman" w:eastAsia="Times New Roman" w:hAnsi="Times New Roman"/>
                <w:sz w:val="19"/>
                <w:szCs w:val="19"/>
                <w:color w:val="231F20"/>
              </w:rPr>
              <w:t>2,570</w:t>
            </w:r>
          </w:p>
        </w:tc>
        <w:tc>
          <w:tcPr>
            <w:tcW w:w="140" w:type="dxa"/>
            <w:vAlign w:val="bottom"/>
            <w:tcBorders>
              <w:bottom w:val="single" w:sz="8" w:color="FDFDFC"/>
            </w:tcBorders>
            <w:shd w:val="clear" w:color="auto" w:fill="D0EBF2"/>
          </w:tcPr>
          <w:p>
            <w:pPr>
              <w:spacing w:after="0"/>
              <w:rPr>
                <w:sz w:val="18"/>
                <w:szCs w:val="18"/>
                <w:color w:val="auto"/>
              </w:rPr>
            </w:pPr>
          </w:p>
        </w:tc>
      </w:tr>
      <w:tr>
        <w:trPr>
          <w:trHeight w:val="247"/>
        </w:trPr>
        <w:tc>
          <w:tcPr>
            <w:tcW w:w="4080" w:type="dxa"/>
            <w:vAlign w:val="bottom"/>
            <w:tcBorders>
              <w:bottom w:val="single" w:sz="8" w:color="D0EBF2"/>
            </w:tcBorders>
            <w:shd w:val="clear" w:color="auto" w:fill="FDFDFC"/>
          </w:tcPr>
          <w:p>
            <w:pPr>
              <w:ind w:left="180"/>
              <w:spacing w:after="0" w:line="207" w:lineRule="exact"/>
              <w:rPr>
                <w:sz w:val="20"/>
                <w:szCs w:val="20"/>
                <w:color w:val="auto"/>
              </w:rPr>
            </w:pPr>
            <w:r>
              <w:rPr>
                <w:rFonts w:ascii="Times New Roman" w:cs="Times New Roman" w:eastAsia="Times New Roman" w:hAnsi="Times New Roman"/>
                <w:sz w:val="19"/>
                <w:szCs w:val="19"/>
                <w:b w:val="1"/>
                <w:bCs w:val="1"/>
                <w:color w:val="231F20"/>
              </w:rPr>
              <w:t>Total Interest Expense</w:t>
            </w:r>
          </w:p>
        </w:tc>
        <w:tc>
          <w:tcPr>
            <w:tcW w:w="140" w:type="dxa"/>
            <w:vAlign w:val="bottom"/>
            <w:tcBorders>
              <w:bottom w:val="single" w:sz="8" w:color="D0EBF2"/>
            </w:tcBorders>
            <w:shd w:val="clear" w:color="auto" w:fill="FDFDFC"/>
          </w:tcPr>
          <w:p>
            <w:pPr>
              <w:spacing w:after="0"/>
              <w:rPr>
                <w:sz w:val="21"/>
                <w:szCs w:val="21"/>
                <w:color w:val="auto"/>
              </w:rPr>
            </w:pPr>
          </w:p>
        </w:tc>
        <w:tc>
          <w:tcPr>
            <w:tcW w:w="180" w:type="dxa"/>
            <w:vAlign w:val="bottom"/>
            <w:tcBorders>
              <w:bottom w:val="single" w:sz="8" w:color="231F20"/>
            </w:tcBorders>
            <w:shd w:val="clear" w:color="auto" w:fill="FDFDFC"/>
          </w:tcPr>
          <w:p>
            <w:pPr>
              <w:jc w:val="right"/>
              <w:spacing w:after="0" w:line="207" w:lineRule="exact"/>
              <w:rPr>
                <w:sz w:val="20"/>
                <w:szCs w:val="20"/>
                <w:color w:val="auto"/>
              </w:rPr>
            </w:pPr>
            <w:r>
              <w:rPr>
                <w:rFonts w:ascii="Times New Roman" w:cs="Times New Roman" w:eastAsia="Times New Roman" w:hAnsi="Times New Roman"/>
                <w:sz w:val="19"/>
                <w:szCs w:val="19"/>
                <w:color w:val="231F20"/>
                <w:w w:val="83"/>
              </w:rPr>
              <w:t>$</w:t>
            </w:r>
          </w:p>
        </w:tc>
        <w:tc>
          <w:tcPr>
            <w:tcW w:w="1140" w:type="dxa"/>
            <w:vAlign w:val="bottom"/>
            <w:tcBorders>
              <w:bottom w:val="single" w:sz="8" w:color="231F20"/>
            </w:tcBorders>
            <w:shd w:val="clear" w:color="auto" w:fill="FDFDFC"/>
          </w:tcPr>
          <w:p>
            <w:pPr>
              <w:jc w:val="right"/>
              <w:spacing w:after="0" w:line="207" w:lineRule="exact"/>
              <w:rPr>
                <w:sz w:val="20"/>
                <w:szCs w:val="20"/>
                <w:color w:val="auto"/>
              </w:rPr>
            </w:pPr>
            <w:r>
              <w:rPr>
                <w:rFonts w:ascii="Times New Roman" w:cs="Times New Roman" w:eastAsia="Times New Roman" w:hAnsi="Times New Roman"/>
                <w:sz w:val="19"/>
                <w:szCs w:val="19"/>
                <w:color w:val="231F20"/>
              </w:rPr>
              <w:t>154,145</w:t>
            </w:r>
          </w:p>
        </w:tc>
        <w:tc>
          <w:tcPr>
            <w:tcW w:w="320" w:type="dxa"/>
            <w:vAlign w:val="bottom"/>
            <w:tcBorders>
              <w:bottom w:val="single" w:sz="8" w:color="D0EBF2"/>
            </w:tcBorders>
            <w:shd w:val="clear" w:color="auto" w:fill="FDFDFC"/>
          </w:tcPr>
          <w:p>
            <w:pPr>
              <w:spacing w:after="0"/>
              <w:rPr>
                <w:sz w:val="21"/>
                <w:szCs w:val="21"/>
                <w:color w:val="auto"/>
              </w:rPr>
            </w:pPr>
          </w:p>
        </w:tc>
        <w:tc>
          <w:tcPr>
            <w:tcW w:w="180" w:type="dxa"/>
            <w:vAlign w:val="bottom"/>
            <w:tcBorders>
              <w:bottom w:val="single" w:sz="8" w:color="231F20"/>
            </w:tcBorders>
            <w:shd w:val="clear" w:color="auto" w:fill="FDFDFC"/>
          </w:tcPr>
          <w:p>
            <w:pPr>
              <w:jc w:val="right"/>
              <w:spacing w:after="0" w:line="207" w:lineRule="exact"/>
              <w:rPr>
                <w:sz w:val="20"/>
                <w:szCs w:val="20"/>
                <w:color w:val="auto"/>
              </w:rPr>
            </w:pPr>
            <w:r>
              <w:rPr>
                <w:rFonts w:ascii="Times New Roman" w:cs="Times New Roman" w:eastAsia="Times New Roman" w:hAnsi="Times New Roman"/>
                <w:sz w:val="19"/>
                <w:szCs w:val="19"/>
                <w:color w:val="231F20"/>
                <w:w w:val="83"/>
              </w:rPr>
              <w:t>$</w:t>
            </w:r>
          </w:p>
        </w:tc>
        <w:tc>
          <w:tcPr>
            <w:tcW w:w="1140" w:type="dxa"/>
            <w:vAlign w:val="bottom"/>
            <w:tcBorders>
              <w:bottom w:val="single" w:sz="8" w:color="231F20"/>
            </w:tcBorders>
            <w:shd w:val="clear" w:color="auto" w:fill="FDFDFC"/>
          </w:tcPr>
          <w:p>
            <w:pPr>
              <w:jc w:val="right"/>
              <w:spacing w:after="0" w:line="207" w:lineRule="exact"/>
              <w:rPr>
                <w:sz w:val="20"/>
                <w:szCs w:val="20"/>
                <w:color w:val="auto"/>
              </w:rPr>
            </w:pPr>
            <w:r>
              <w:rPr>
                <w:rFonts w:ascii="Times New Roman" w:cs="Times New Roman" w:eastAsia="Times New Roman" w:hAnsi="Times New Roman"/>
                <w:sz w:val="19"/>
                <w:szCs w:val="19"/>
                <w:color w:val="231F20"/>
              </w:rPr>
              <w:t>133,731</w:t>
            </w:r>
          </w:p>
        </w:tc>
        <w:tc>
          <w:tcPr>
            <w:tcW w:w="240" w:type="dxa"/>
            <w:vAlign w:val="bottom"/>
            <w:tcBorders>
              <w:bottom w:val="single" w:sz="8" w:color="D0EBF2"/>
            </w:tcBorders>
            <w:shd w:val="clear" w:color="auto" w:fill="FDFDFC"/>
          </w:tcPr>
          <w:p>
            <w:pPr>
              <w:spacing w:after="0"/>
              <w:rPr>
                <w:sz w:val="21"/>
                <w:szCs w:val="21"/>
                <w:color w:val="auto"/>
              </w:rPr>
            </w:pPr>
          </w:p>
        </w:tc>
        <w:tc>
          <w:tcPr>
            <w:tcW w:w="80" w:type="dxa"/>
            <w:vAlign w:val="bottom"/>
            <w:tcBorders>
              <w:bottom w:val="single" w:sz="8" w:color="D0EBF2"/>
            </w:tcBorders>
            <w:shd w:val="clear" w:color="auto" w:fill="FDFDFC"/>
          </w:tcPr>
          <w:p>
            <w:pPr>
              <w:spacing w:after="0"/>
              <w:rPr>
                <w:sz w:val="21"/>
                <w:szCs w:val="21"/>
                <w:color w:val="auto"/>
              </w:rPr>
            </w:pPr>
          </w:p>
        </w:tc>
        <w:tc>
          <w:tcPr>
            <w:tcW w:w="180" w:type="dxa"/>
            <w:vAlign w:val="bottom"/>
            <w:tcBorders>
              <w:bottom w:val="single" w:sz="8" w:color="231F20"/>
            </w:tcBorders>
            <w:shd w:val="clear" w:color="auto" w:fill="FDFDFC"/>
          </w:tcPr>
          <w:p>
            <w:pPr>
              <w:jc w:val="right"/>
              <w:spacing w:after="0" w:line="207" w:lineRule="exact"/>
              <w:rPr>
                <w:sz w:val="20"/>
                <w:szCs w:val="20"/>
                <w:color w:val="auto"/>
              </w:rPr>
            </w:pPr>
            <w:r>
              <w:rPr>
                <w:rFonts w:ascii="Times New Roman" w:cs="Times New Roman" w:eastAsia="Times New Roman" w:hAnsi="Times New Roman"/>
                <w:sz w:val="19"/>
                <w:szCs w:val="19"/>
                <w:color w:val="231F20"/>
                <w:w w:val="83"/>
              </w:rPr>
              <w:t>$</w:t>
            </w:r>
          </w:p>
        </w:tc>
        <w:tc>
          <w:tcPr>
            <w:tcW w:w="1140" w:type="dxa"/>
            <w:vAlign w:val="bottom"/>
            <w:tcBorders>
              <w:bottom w:val="single" w:sz="8" w:color="231F20"/>
            </w:tcBorders>
            <w:shd w:val="clear" w:color="auto" w:fill="FDFDFC"/>
          </w:tcPr>
          <w:p>
            <w:pPr>
              <w:jc w:val="right"/>
              <w:spacing w:after="0" w:line="207" w:lineRule="exact"/>
              <w:rPr>
                <w:sz w:val="20"/>
                <w:szCs w:val="20"/>
                <w:color w:val="auto"/>
              </w:rPr>
            </w:pPr>
            <w:r>
              <w:rPr>
                <w:rFonts w:ascii="Times New Roman" w:cs="Times New Roman" w:eastAsia="Times New Roman" w:hAnsi="Times New Roman"/>
                <w:sz w:val="19"/>
                <w:szCs w:val="19"/>
                <w:color w:val="231F20"/>
              </w:rPr>
              <w:t>62,991</w:t>
            </w:r>
          </w:p>
        </w:tc>
        <w:tc>
          <w:tcPr>
            <w:tcW w:w="140" w:type="dxa"/>
            <w:vAlign w:val="bottom"/>
            <w:tcBorders>
              <w:bottom w:val="single" w:sz="8" w:color="D0EBF2"/>
            </w:tcBorders>
            <w:shd w:val="clear" w:color="auto" w:fill="FDFDFC"/>
          </w:tcPr>
          <w:p>
            <w:pPr>
              <w:spacing w:after="0"/>
              <w:rPr>
                <w:sz w:val="21"/>
                <w:szCs w:val="21"/>
                <w:color w:val="auto"/>
              </w:rPr>
            </w:pPr>
          </w:p>
        </w:tc>
      </w:tr>
      <w:tr>
        <w:trPr>
          <w:trHeight w:val="200"/>
        </w:trPr>
        <w:tc>
          <w:tcPr>
            <w:tcW w:w="4080" w:type="dxa"/>
            <w:vAlign w:val="bottom"/>
            <w:shd w:val="clear" w:color="auto" w:fill="D0EBF2"/>
          </w:tcPr>
          <w:p>
            <w:pPr>
              <w:spacing w:after="0" w:line="200" w:lineRule="exact"/>
              <w:rPr>
                <w:sz w:val="20"/>
                <w:szCs w:val="20"/>
                <w:color w:val="auto"/>
              </w:rPr>
            </w:pPr>
            <w:r>
              <w:rPr>
                <w:rFonts w:ascii="Times New Roman" w:cs="Times New Roman" w:eastAsia="Times New Roman" w:hAnsi="Times New Roman"/>
                <w:sz w:val="19"/>
                <w:szCs w:val="19"/>
                <w:color w:val="231F20"/>
              </w:rPr>
              <w:t>Average debt outstanding (in millions)</w:t>
            </w:r>
          </w:p>
        </w:tc>
        <w:tc>
          <w:tcPr>
            <w:tcW w:w="140" w:type="dxa"/>
            <w:vAlign w:val="bottom"/>
            <w:shd w:val="clear" w:color="auto" w:fill="D0EBF2"/>
          </w:tcPr>
          <w:p>
            <w:pPr>
              <w:spacing w:after="0"/>
              <w:rPr>
                <w:sz w:val="17"/>
                <w:szCs w:val="17"/>
                <w:color w:val="auto"/>
              </w:rPr>
            </w:pPr>
          </w:p>
        </w:tc>
        <w:tc>
          <w:tcPr>
            <w:tcW w:w="180" w:type="dxa"/>
            <w:vAlign w:val="bottom"/>
            <w:shd w:val="clear" w:color="auto" w:fill="D0EBF2"/>
          </w:tcPr>
          <w:p>
            <w:pPr>
              <w:jc w:val="right"/>
              <w:spacing w:after="0" w:line="200" w:lineRule="exact"/>
              <w:rPr>
                <w:sz w:val="20"/>
                <w:szCs w:val="20"/>
                <w:color w:val="auto"/>
              </w:rPr>
            </w:pPr>
            <w:r>
              <w:rPr>
                <w:rFonts w:ascii="Times New Roman" w:cs="Times New Roman" w:eastAsia="Times New Roman" w:hAnsi="Times New Roman"/>
                <w:sz w:val="19"/>
                <w:szCs w:val="19"/>
                <w:color w:val="231F20"/>
                <w:w w:val="83"/>
              </w:rPr>
              <w:t>$</w:t>
            </w:r>
          </w:p>
        </w:tc>
        <w:tc>
          <w:tcPr>
            <w:tcW w:w="1140" w:type="dxa"/>
            <w:vAlign w:val="bottom"/>
            <w:shd w:val="clear" w:color="auto" w:fill="D0EBF2"/>
          </w:tcPr>
          <w:p>
            <w:pPr>
              <w:jc w:val="right"/>
              <w:spacing w:after="0" w:line="200" w:lineRule="exact"/>
              <w:rPr>
                <w:sz w:val="20"/>
                <w:szCs w:val="20"/>
                <w:color w:val="auto"/>
              </w:rPr>
            </w:pPr>
            <w:r>
              <w:rPr>
                <w:rFonts w:ascii="Times New Roman" w:cs="Times New Roman" w:eastAsia="Times New Roman" w:hAnsi="Times New Roman"/>
                <w:sz w:val="19"/>
                <w:szCs w:val="19"/>
                <w:color w:val="231F20"/>
              </w:rPr>
              <w:t>1,882.7</w:t>
            </w:r>
          </w:p>
        </w:tc>
        <w:tc>
          <w:tcPr>
            <w:tcW w:w="320" w:type="dxa"/>
            <w:vAlign w:val="bottom"/>
            <w:shd w:val="clear" w:color="auto" w:fill="D0EBF2"/>
          </w:tcPr>
          <w:p>
            <w:pPr>
              <w:spacing w:after="0"/>
              <w:rPr>
                <w:sz w:val="17"/>
                <w:szCs w:val="17"/>
                <w:color w:val="auto"/>
              </w:rPr>
            </w:pPr>
          </w:p>
        </w:tc>
        <w:tc>
          <w:tcPr>
            <w:tcW w:w="180" w:type="dxa"/>
            <w:vAlign w:val="bottom"/>
            <w:shd w:val="clear" w:color="auto" w:fill="D0EBF2"/>
          </w:tcPr>
          <w:p>
            <w:pPr>
              <w:jc w:val="right"/>
              <w:spacing w:after="0" w:line="200" w:lineRule="exact"/>
              <w:rPr>
                <w:sz w:val="20"/>
                <w:szCs w:val="20"/>
                <w:color w:val="auto"/>
              </w:rPr>
            </w:pPr>
            <w:r>
              <w:rPr>
                <w:rFonts w:ascii="Times New Roman" w:cs="Times New Roman" w:eastAsia="Times New Roman" w:hAnsi="Times New Roman"/>
                <w:sz w:val="19"/>
                <w:szCs w:val="19"/>
                <w:color w:val="231F20"/>
                <w:w w:val="83"/>
              </w:rPr>
              <w:t>$</w:t>
            </w:r>
          </w:p>
        </w:tc>
        <w:tc>
          <w:tcPr>
            <w:tcW w:w="1140" w:type="dxa"/>
            <w:vAlign w:val="bottom"/>
            <w:shd w:val="clear" w:color="auto" w:fill="D0EBF2"/>
          </w:tcPr>
          <w:p>
            <w:pPr>
              <w:jc w:val="right"/>
              <w:spacing w:after="0" w:line="200" w:lineRule="exact"/>
              <w:rPr>
                <w:sz w:val="20"/>
                <w:szCs w:val="20"/>
                <w:color w:val="auto"/>
              </w:rPr>
            </w:pPr>
            <w:r>
              <w:rPr>
                <w:rFonts w:ascii="Times New Roman" w:cs="Times New Roman" w:eastAsia="Times New Roman" w:hAnsi="Times New Roman"/>
                <w:sz w:val="19"/>
                <w:szCs w:val="19"/>
                <w:color w:val="231F20"/>
              </w:rPr>
              <w:t>1,705.6</w:t>
            </w:r>
          </w:p>
        </w:tc>
        <w:tc>
          <w:tcPr>
            <w:tcW w:w="240" w:type="dxa"/>
            <w:vAlign w:val="bottom"/>
            <w:shd w:val="clear" w:color="auto" w:fill="D0EBF2"/>
          </w:tcPr>
          <w:p>
            <w:pPr>
              <w:spacing w:after="0"/>
              <w:rPr>
                <w:sz w:val="17"/>
                <w:szCs w:val="17"/>
                <w:color w:val="auto"/>
              </w:rPr>
            </w:pPr>
          </w:p>
        </w:tc>
        <w:tc>
          <w:tcPr>
            <w:tcW w:w="80" w:type="dxa"/>
            <w:vAlign w:val="bottom"/>
            <w:shd w:val="clear" w:color="auto" w:fill="D0EBF2"/>
          </w:tcPr>
          <w:p>
            <w:pPr>
              <w:spacing w:after="0"/>
              <w:rPr>
                <w:sz w:val="17"/>
                <w:szCs w:val="17"/>
                <w:color w:val="auto"/>
              </w:rPr>
            </w:pPr>
          </w:p>
        </w:tc>
        <w:tc>
          <w:tcPr>
            <w:tcW w:w="180" w:type="dxa"/>
            <w:vAlign w:val="bottom"/>
            <w:shd w:val="clear" w:color="auto" w:fill="D0EBF2"/>
          </w:tcPr>
          <w:p>
            <w:pPr>
              <w:jc w:val="right"/>
              <w:spacing w:after="0" w:line="200" w:lineRule="exact"/>
              <w:rPr>
                <w:sz w:val="20"/>
                <w:szCs w:val="20"/>
                <w:color w:val="auto"/>
              </w:rPr>
            </w:pPr>
            <w:r>
              <w:rPr>
                <w:rFonts w:ascii="Times New Roman" w:cs="Times New Roman" w:eastAsia="Times New Roman" w:hAnsi="Times New Roman"/>
                <w:sz w:val="19"/>
                <w:szCs w:val="19"/>
                <w:color w:val="231F20"/>
                <w:w w:val="83"/>
              </w:rPr>
              <w:t>$</w:t>
            </w:r>
          </w:p>
        </w:tc>
        <w:tc>
          <w:tcPr>
            <w:tcW w:w="1140" w:type="dxa"/>
            <w:vAlign w:val="bottom"/>
            <w:shd w:val="clear" w:color="auto" w:fill="D0EBF2"/>
          </w:tcPr>
          <w:p>
            <w:pPr>
              <w:jc w:val="right"/>
              <w:spacing w:after="0" w:line="200" w:lineRule="exact"/>
              <w:rPr>
                <w:sz w:val="20"/>
                <w:szCs w:val="20"/>
                <w:color w:val="auto"/>
              </w:rPr>
            </w:pPr>
            <w:r>
              <w:rPr>
                <w:rFonts w:ascii="Times New Roman" w:cs="Times New Roman" w:eastAsia="Times New Roman" w:hAnsi="Times New Roman"/>
                <w:sz w:val="19"/>
                <w:szCs w:val="19"/>
                <w:color w:val="231F20"/>
              </w:rPr>
              <w:t>1,342.0</w:t>
            </w:r>
          </w:p>
        </w:tc>
        <w:tc>
          <w:tcPr>
            <w:tcW w:w="140" w:type="dxa"/>
            <w:vAlign w:val="bottom"/>
            <w:shd w:val="clear" w:color="auto" w:fill="D0EBF2"/>
          </w:tcPr>
          <w:p>
            <w:pPr>
              <w:spacing w:after="0"/>
              <w:rPr>
                <w:sz w:val="17"/>
                <w:szCs w:val="17"/>
                <w:color w:val="auto"/>
              </w:rPr>
            </w:pPr>
          </w:p>
        </w:tc>
      </w:tr>
      <w:tr>
        <w:trPr>
          <w:trHeight w:val="217"/>
        </w:trPr>
        <w:tc>
          <w:tcPr>
            <w:tcW w:w="4080" w:type="dxa"/>
            <w:vAlign w:val="bottom"/>
            <w:shd w:val="clear" w:color="auto" w:fill="FDFDFC"/>
          </w:tcPr>
          <w:p>
            <w:pPr>
              <w:spacing w:after="0" w:line="217" w:lineRule="exact"/>
              <w:rPr>
                <w:sz w:val="20"/>
                <w:szCs w:val="20"/>
                <w:color w:val="auto"/>
              </w:rPr>
            </w:pPr>
            <w:r>
              <w:rPr>
                <w:rFonts w:ascii="Times New Roman" w:cs="Times New Roman" w:eastAsia="Times New Roman" w:hAnsi="Times New Roman"/>
                <w:sz w:val="19"/>
                <w:szCs w:val="19"/>
                <w:color w:val="231F20"/>
              </w:rPr>
              <w:t>Weighted average interest rate</w:t>
            </w:r>
          </w:p>
        </w:tc>
        <w:tc>
          <w:tcPr>
            <w:tcW w:w="140" w:type="dxa"/>
            <w:vAlign w:val="bottom"/>
            <w:shd w:val="clear" w:color="auto" w:fill="FDFDFC"/>
          </w:tcPr>
          <w:p>
            <w:pPr>
              <w:spacing w:after="0"/>
              <w:rPr>
                <w:sz w:val="18"/>
                <w:szCs w:val="18"/>
                <w:color w:val="auto"/>
              </w:rPr>
            </w:pPr>
          </w:p>
        </w:tc>
        <w:tc>
          <w:tcPr>
            <w:tcW w:w="180" w:type="dxa"/>
            <w:vAlign w:val="bottom"/>
            <w:shd w:val="clear" w:color="auto" w:fill="FDFDFC"/>
          </w:tcPr>
          <w:p>
            <w:pPr>
              <w:spacing w:after="0"/>
              <w:rPr>
                <w:sz w:val="18"/>
                <w:szCs w:val="18"/>
                <w:color w:val="auto"/>
              </w:rPr>
            </w:pPr>
          </w:p>
        </w:tc>
        <w:tc>
          <w:tcPr>
            <w:tcW w:w="1460" w:type="dxa"/>
            <w:vAlign w:val="bottom"/>
            <w:gridSpan w:val="2"/>
            <w:shd w:val="clear" w:color="auto" w:fill="FDFDFC"/>
          </w:tcPr>
          <w:p>
            <w:pPr>
              <w:jc w:val="right"/>
              <w:ind w:right="160"/>
              <w:spacing w:after="0" w:line="217" w:lineRule="exact"/>
              <w:rPr>
                <w:sz w:val="20"/>
                <w:szCs w:val="20"/>
                <w:color w:val="auto"/>
              </w:rPr>
            </w:pPr>
            <w:r>
              <w:rPr>
                <w:rFonts w:ascii="Times New Roman" w:cs="Times New Roman" w:eastAsia="Times New Roman" w:hAnsi="Times New Roman"/>
                <w:sz w:val="19"/>
                <w:szCs w:val="19"/>
                <w:color w:val="231F20"/>
              </w:rPr>
              <w:t>7.5%</w:t>
            </w:r>
          </w:p>
        </w:tc>
        <w:tc>
          <w:tcPr>
            <w:tcW w:w="180" w:type="dxa"/>
            <w:vAlign w:val="bottom"/>
            <w:shd w:val="clear" w:color="auto" w:fill="FDFDFC"/>
          </w:tcPr>
          <w:p>
            <w:pPr>
              <w:spacing w:after="0"/>
              <w:rPr>
                <w:sz w:val="18"/>
                <w:szCs w:val="18"/>
                <w:color w:val="auto"/>
              </w:rPr>
            </w:pPr>
          </w:p>
        </w:tc>
        <w:tc>
          <w:tcPr>
            <w:tcW w:w="1380" w:type="dxa"/>
            <w:vAlign w:val="bottom"/>
            <w:gridSpan w:val="2"/>
            <w:shd w:val="clear" w:color="auto" w:fill="FDFDFC"/>
          </w:tcPr>
          <w:p>
            <w:pPr>
              <w:jc w:val="right"/>
              <w:ind w:right="80"/>
              <w:spacing w:after="0" w:line="217" w:lineRule="exact"/>
              <w:rPr>
                <w:sz w:val="20"/>
                <w:szCs w:val="20"/>
                <w:color w:val="auto"/>
              </w:rPr>
            </w:pPr>
            <w:r>
              <w:rPr>
                <w:rFonts w:ascii="Times New Roman" w:cs="Times New Roman" w:eastAsia="Times New Roman" w:hAnsi="Times New Roman"/>
                <w:sz w:val="19"/>
                <w:szCs w:val="19"/>
                <w:color w:val="231F20"/>
              </w:rPr>
              <w:t>7.3%</w:t>
            </w:r>
          </w:p>
        </w:tc>
        <w:tc>
          <w:tcPr>
            <w:tcW w:w="80" w:type="dxa"/>
            <w:vAlign w:val="bottom"/>
            <w:shd w:val="clear" w:color="auto" w:fill="FDFDFC"/>
          </w:tcPr>
          <w:p>
            <w:pPr>
              <w:spacing w:after="0"/>
              <w:rPr>
                <w:sz w:val="18"/>
                <w:szCs w:val="18"/>
                <w:color w:val="auto"/>
              </w:rPr>
            </w:pPr>
          </w:p>
        </w:tc>
        <w:tc>
          <w:tcPr>
            <w:tcW w:w="180" w:type="dxa"/>
            <w:vAlign w:val="bottom"/>
            <w:shd w:val="clear" w:color="auto" w:fill="FDFDFC"/>
          </w:tcPr>
          <w:p>
            <w:pPr>
              <w:spacing w:after="0"/>
              <w:rPr>
                <w:sz w:val="18"/>
                <w:szCs w:val="18"/>
                <w:color w:val="auto"/>
              </w:rPr>
            </w:pPr>
          </w:p>
        </w:tc>
        <w:tc>
          <w:tcPr>
            <w:tcW w:w="1280" w:type="dxa"/>
            <w:vAlign w:val="bottom"/>
            <w:gridSpan w:val="2"/>
            <w:shd w:val="clear" w:color="auto" w:fill="FDFDFC"/>
          </w:tcPr>
          <w:p>
            <w:pPr>
              <w:jc w:val="right"/>
              <w:spacing w:after="0" w:line="217" w:lineRule="exact"/>
              <w:rPr>
                <w:sz w:val="20"/>
                <w:szCs w:val="20"/>
                <w:color w:val="auto"/>
              </w:rPr>
            </w:pPr>
            <w:r>
              <w:rPr>
                <w:rFonts w:ascii="Times New Roman" w:cs="Times New Roman" w:eastAsia="Times New Roman" w:hAnsi="Times New Roman"/>
                <w:sz w:val="19"/>
                <w:szCs w:val="19"/>
                <w:color w:val="231F20"/>
              </w:rPr>
              <w:t>3.9%</w:t>
            </w:r>
          </w:p>
        </w:tc>
      </w:tr>
    </w:tbl>
    <w:p>
      <w:pPr>
        <w:spacing w:after="0" w:line="200" w:lineRule="exact"/>
        <w:rPr>
          <w:sz w:val="20"/>
          <w:szCs w:val="20"/>
          <w:color w:val="auto"/>
        </w:rPr>
      </w:pPr>
    </w:p>
    <w:p>
      <w:pPr>
        <w:sectPr>
          <w:pgSz w:w="12240" w:h="15840" w:orient="portrait"/>
          <w:cols w:equalWidth="0" w:num="1">
            <w:col w:w="10040"/>
          </w:cols>
          <w:pgMar w:left="1020" w:top="1306" w:right="1180" w:bottom="57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9"/>
          <w:szCs w:val="19"/>
          <w:color w:val="231F20"/>
        </w:rPr>
        <w:t>F-46</w:t>
      </w:r>
    </w:p>
    <w:p>
      <w:pPr>
        <w:sectPr>
          <w:pgSz w:w="12240" w:h="15840" w:orient="portrait"/>
          <w:cols w:equalWidth="0" w:num="1">
            <w:col w:w="10040"/>
          </w:cols>
          <w:pgMar w:left="1020" w:top="1306" w:right="1180" w:bottom="574" w:gutter="0" w:footer="0" w:header="0"/>
          <w:type w:val="continuous"/>
        </w:sectPr>
      </w:pPr>
    </w:p>
    <w:bookmarkStart w:id="134" w:name="page135"/>
    <w:bookmarkEnd w:id="134"/>
    <w:p>
      <w:pPr>
        <w:ind w:right="7320"/>
        <w:spacing w:after="0" w:line="384" w:lineRule="auto"/>
        <w:tabs>
          <w:tab w:leader="none" w:pos="189" w:val="left"/>
        </w:tabs>
        <w:numPr>
          <w:ilvl w:val="0"/>
          <w:numId w:val="99"/>
        </w:numPr>
        <w:rPr>
          <w:rFonts w:ascii="Times New Roman" w:cs="Times New Roman" w:eastAsia="Times New Roman" w:hAnsi="Times New Roman"/>
          <w:sz w:val="18"/>
          <w:szCs w:val="18"/>
          <w:b w:val="1"/>
          <w:bCs w:val="1"/>
          <w:color w:val="231F20"/>
        </w:rPr>
      </w:pPr>
      <w:r>
        <w:rPr>
          <w:rFonts w:ascii="Times New Roman" w:cs="Times New Roman" w:eastAsia="Times New Roman" w:hAnsi="Times New Roman"/>
          <w:sz w:val="18"/>
          <w:szCs w:val="18"/>
          <w:b w:val="1"/>
          <w:bCs w:val="1"/>
          <w:color w:val="231F20"/>
        </w:rPr>
        <w:t xml:space="preserve">Commitments and Contingencies </w:t>
      </w:r>
      <w:r>
        <w:rPr>
          <w:rFonts w:ascii="Times New Roman" w:cs="Times New Roman" w:eastAsia="Times New Roman" w:hAnsi="Times New Roman"/>
          <w:sz w:val="18"/>
          <w:szCs w:val="18"/>
          <w:i w:val="1"/>
          <w:iCs w:val="1"/>
          <w:color w:val="231F20"/>
        </w:rPr>
        <w:t>Portfolio Company Commitments</w:t>
      </w:r>
    </w:p>
    <w:p>
      <w:pPr>
        <w:spacing w:after="0" w:line="1" w:lineRule="exact"/>
        <w:rPr>
          <w:sz w:val="20"/>
          <w:szCs w:val="20"/>
          <w:color w:val="auto"/>
        </w:rPr>
      </w:pPr>
    </w:p>
    <w:p>
      <w:pPr>
        <w:ind w:firstLine="231"/>
        <w:spacing w:after="0" w:line="246" w:lineRule="auto"/>
        <w:rPr>
          <w:sz w:val="20"/>
          <w:szCs w:val="20"/>
          <w:color w:val="auto"/>
        </w:rPr>
      </w:pPr>
      <w:r>
        <w:rPr>
          <w:rFonts w:ascii="Times New Roman" w:cs="Times New Roman" w:eastAsia="Times New Roman" w:hAnsi="Times New Roman"/>
          <w:sz w:val="19"/>
          <w:szCs w:val="19"/>
          <w:color w:val="231F20"/>
        </w:rPr>
        <w:t>From time to time, the Company may enter into commitments to fund investments; such commitments are incorporated into the Company’s assessment of its liquidity position. The Company’s senior secured revolving loan commitments are generally available on a borrower’s demand and may remain outstanding until the maturity date of the applicable loan. The Company’s senior secured delayed draw term loan commitments are generally available on a borrower’s demand and, once drawn, generally have the same remaining term as the associated loan agreement. Undrawn senior secured delayed draw term loan commitments generally have a shorter availability period than the term of the associated loan agreement.</w:t>
      </w:r>
    </w:p>
    <w:p>
      <w:pPr>
        <w:spacing w:after="0" w:line="186" w:lineRule="exact"/>
        <w:rPr>
          <w:sz w:val="20"/>
          <w:szCs w:val="20"/>
          <w:color w:val="auto"/>
        </w:rPr>
      </w:pPr>
    </w:p>
    <w:p>
      <w:pPr>
        <w:ind w:right="280" w:firstLine="231"/>
        <w:spacing w:after="0" w:line="275" w:lineRule="auto"/>
        <w:rPr>
          <w:sz w:val="20"/>
          <w:szCs w:val="20"/>
          <w:color w:val="auto"/>
        </w:rPr>
      </w:pPr>
      <w:r>
        <w:rPr>
          <w:rFonts w:ascii="Times New Roman" w:cs="Times New Roman" w:eastAsia="Times New Roman" w:hAnsi="Times New Roman"/>
          <w:sz w:val="19"/>
          <w:szCs w:val="19"/>
          <w:color w:val="231F20"/>
        </w:rPr>
        <w:t>As of December 31, 2024 and December 31, 2023, the Company had the following commitments to fund investments in current portfolio companies:</w:t>
      </w:r>
    </w:p>
    <w:p>
      <w:pPr>
        <w:sectPr>
          <w:pgSz w:w="12240" w:h="15840" w:orient="portrait"/>
          <w:cols w:equalWidth="0" w:num="1">
            <w:col w:w="10180"/>
          </w:cols>
          <w:pgMar w:left="1020" w:top="1315" w:right="1040" w:bottom="57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231F20"/>
        </w:rPr>
        <w:t>F-47</w:t>
      </w:r>
    </w:p>
    <w:p>
      <w:pPr>
        <w:sectPr>
          <w:pgSz w:w="12240" w:h="15840" w:orient="portrait"/>
          <w:cols w:equalWidth="0" w:num="1">
            <w:col w:w="10180"/>
          </w:cols>
          <w:pgMar w:left="1020" w:top="1315" w:right="1040" w:bottom="574" w:gutter="0" w:footer="0" w:header="0"/>
          <w:type w:val="continuous"/>
        </w:sectPr>
      </w:pPr>
    </w:p>
    <w:bookmarkStart w:id="135" w:name="page136"/>
    <w:bookmarkEnd w:id="135"/>
    <w:tbl>
      <w:tblPr>
        <w:tblLayout w:type="fixed"/>
        <w:tblInd w:w="240" w:type="dxa"/>
        <w:tblCellMar>
          <w:top w:w="0" w:type="dxa"/>
          <w:left w:w="0" w:type="dxa"/>
          <w:bottom w:w="0" w:type="dxa"/>
          <w:right w:w="0" w:type="dxa"/>
        </w:tblCellMar>
      </w:tblPr>
      <w:tr>
        <w:trPr>
          <w:trHeight w:val="187"/>
        </w:trPr>
        <w:tc>
          <w:tcPr>
            <w:tcW w:w="5700" w:type="dxa"/>
            <w:vAlign w:val="bottom"/>
            <w:shd w:val="clear" w:color="auto" w:fill="FDFDFC"/>
          </w:tcPr>
          <w:p>
            <w:pPr>
              <w:spacing w:after="0"/>
              <w:rPr>
                <w:sz w:val="16"/>
                <w:szCs w:val="16"/>
                <w:color w:val="auto"/>
              </w:rPr>
            </w:pPr>
          </w:p>
        </w:tc>
        <w:tc>
          <w:tcPr>
            <w:tcW w:w="1400" w:type="dxa"/>
            <w:vAlign w:val="bottom"/>
            <w:gridSpan w:val="2"/>
            <w:shd w:val="clear" w:color="auto" w:fill="FDFDFC"/>
          </w:tcPr>
          <w:p>
            <w:pPr>
              <w:jc w:val="right"/>
              <w:ind w:right="6"/>
              <w:spacing w:after="0"/>
              <w:rPr>
                <w:sz w:val="20"/>
                <w:szCs w:val="20"/>
                <w:color w:val="auto"/>
              </w:rPr>
            </w:pPr>
            <w:r>
              <w:rPr>
                <w:rFonts w:ascii="Times New Roman" w:cs="Times New Roman" w:eastAsia="Times New Roman" w:hAnsi="Times New Roman"/>
                <w:sz w:val="15"/>
                <w:szCs w:val="15"/>
                <w:b w:val="1"/>
                <w:bCs w:val="1"/>
                <w:color w:val="231F20"/>
              </w:rPr>
              <w:t>December 31, 2024</w:t>
            </w:r>
          </w:p>
        </w:tc>
        <w:tc>
          <w:tcPr>
            <w:tcW w:w="280" w:type="dxa"/>
            <w:vAlign w:val="bottom"/>
            <w:shd w:val="clear" w:color="auto" w:fill="FDFDFC"/>
          </w:tcPr>
          <w:p>
            <w:pPr>
              <w:spacing w:after="0"/>
              <w:rPr>
                <w:sz w:val="16"/>
                <w:szCs w:val="16"/>
                <w:color w:val="auto"/>
              </w:rPr>
            </w:pPr>
          </w:p>
        </w:tc>
        <w:tc>
          <w:tcPr>
            <w:tcW w:w="1500" w:type="dxa"/>
            <w:vAlign w:val="bottom"/>
            <w:gridSpan w:val="3"/>
            <w:shd w:val="clear" w:color="auto" w:fill="FDFDFC"/>
          </w:tcPr>
          <w:p>
            <w:pPr>
              <w:ind w:left="80"/>
              <w:spacing w:after="0"/>
              <w:rPr>
                <w:sz w:val="20"/>
                <w:szCs w:val="20"/>
                <w:color w:val="auto"/>
              </w:rPr>
            </w:pPr>
            <w:r>
              <w:rPr>
                <w:rFonts w:ascii="Times New Roman" w:cs="Times New Roman" w:eastAsia="Times New Roman" w:hAnsi="Times New Roman"/>
                <w:sz w:val="15"/>
                <w:szCs w:val="15"/>
                <w:b w:val="1"/>
                <w:bCs w:val="1"/>
                <w:color w:val="231F20"/>
              </w:rPr>
              <w:t>December 31, 2023</w:t>
            </w:r>
          </w:p>
        </w:tc>
      </w:tr>
      <w:tr>
        <w:trPr>
          <w:trHeight w:val="220"/>
        </w:trPr>
        <w:tc>
          <w:tcPr>
            <w:tcW w:w="5700" w:type="dxa"/>
            <w:vAlign w:val="bottom"/>
            <w:tcBorders>
              <w:top w:val="single" w:sz="8" w:color="D0EBF2"/>
            </w:tcBorders>
            <w:shd w:val="clear" w:color="auto" w:fill="D0EBF2"/>
          </w:tcPr>
          <w:p>
            <w:pPr>
              <w:spacing w:after="0"/>
              <w:rPr>
                <w:sz w:val="20"/>
                <w:szCs w:val="20"/>
                <w:color w:val="auto"/>
              </w:rPr>
            </w:pPr>
            <w:r>
              <w:rPr>
                <w:rFonts w:ascii="Times New Roman" w:cs="Times New Roman" w:eastAsia="Times New Roman" w:hAnsi="Times New Roman"/>
                <w:sz w:val="19"/>
                <w:szCs w:val="19"/>
                <w:color w:val="231F20"/>
              </w:rPr>
              <w:t>Alaska Bidco Oy - Delayed Draw &amp; Revolver</w:t>
            </w:r>
          </w:p>
        </w:tc>
        <w:tc>
          <w:tcPr>
            <w:tcW w:w="460" w:type="dxa"/>
            <w:vAlign w:val="bottom"/>
            <w:tcBorders>
              <w:top w:val="single" w:sz="8" w:color="231F20"/>
            </w:tcBorders>
            <w:shd w:val="clear" w:color="auto" w:fill="D0EBF2"/>
          </w:tcPr>
          <w:p>
            <w:pPr>
              <w:jc w:val="right"/>
              <w:ind w:right="300"/>
              <w:spacing w:after="0"/>
              <w:rPr>
                <w:sz w:val="20"/>
                <w:szCs w:val="20"/>
                <w:color w:val="auto"/>
              </w:rPr>
            </w:pPr>
            <w:r>
              <w:rPr>
                <w:rFonts w:ascii="Times New Roman" w:cs="Times New Roman" w:eastAsia="Times New Roman" w:hAnsi="Times New Roman"/>
                <w:sz w:val="17"/>
                <w:szCs w:val="17"/>
                <w:color w:val="231F20"/>
                <w:w w:val="70"/>
              </w:rPr>
              <w:t>$</w:t>
            </w:r>
          </w:p>
        </w:tc>
        <w:tc>
          <w:tcPr>
            <w:tcW w:w="940" w:type="dxa"/>
            <w:vAlign w:val="bottom"/>
            <w:tcBorders>
              <w:top w:val="single" w:sz="8" w:color="231F20"/>
            </w:tcBorders>
            <w:shd w:val="clear" w:color="auto" w:fill="D0EBF2"/>
          </w:tcPr>
          <w:p>
            <w:pPr>
              <w:jc w:val="right"/>
              <w:spacing w:after="0"/>
              <w:rPr>
                <w:sz w:val="20"/>
                <w:szCs w:val="20"/>
                <w:color w:val="auto"/>
              </w:rPr>
            </w:pPr>
            <w:r>
              <w:rPr>
                <w:rFonts w:ascii="Times New Roman" w:cs="Times New Roman" w:eastAsia="Times New Roman" w:hAnsi="Times New Roman"/>
                <w:sz w:val="19"/>
                <w:szCs w:val="19"/>
                <w:color w:val="231F20"/>
              </w:rPr>
              <w:t>217</w:t>
            </w:r>
          </w:p>
        </w:tc>
        <w:tc>
          <w:tcPr>
            <w:tcW w:w="280" w:type="dxa"/>
            <w:vAlign w:val="bottom"/>
            <w:tcBorders>
              <w:top w:val="single" w:sz="8" w:color="D0EBF2"/>
            </w:tcBorders>
            <w:shd w:val="clear" w:color="auto" w:fill="D0EBF2"/>
          </w:tcPr>
          <w:p>
            <w:pPr>
              <w:spacing w:after="0"/>
              <w:rPr>
                <w:sz w:val="19"/>
                <w:szCs w:val="19"/>
                <w:color w:val="auto"/>
              </w:rPr>
            </w:pPr>
          </w:p>
        </w:tc>
        <w:tc>
          <w:tcPr>
            <w:tcW w:w="480" w:type="dxa"/>
            <w:vAlign w:val="bottom"/>
            <w:tcBorders>
              <w:top w:val="single" w:sz="8" w:color="231F20"/>
            </w:tcBorders>
            <w:shd w:val="clear" w:color="auto" w:fill="D0EBF2"/>
          </w:tcPr>
          <w:p>
            <w:pPr>
              <w:jc w:val="right"/>
              <w:ind w:right="295"/>
              <w:spacing w:after="0"/>
              <w:rPr>
                <w:sz w:val="20"/>
                <w:szCs w:val="20"/>
                <w:color w:val="auto"/>
              </w:rPr>
            </w:pPr>
            <w:r>
              <w:rPr>
                <w:rFonts w:ascii="Times New Roman" w:cs="Times New Roman" w:eastAsia="Times New Roman" w:hAnsi="Times New Roman"/>
                <w:sz w:val="19"/>
                <w:szCs w:val="19"/>
                <w:color w:val="231F20"/>
                <w:w w:val="83"/>
              </w:rPr>
              <w:t>$</w:t>
            </w:r>
          </w:p>
        </w:tc>
        <w:tc>
          <w:tcPr>
            <w:tcW w:w="940" w:type="dxa"/>
            <w:vAlign w:val="bottom"/>
            <w:tcBorders>
              <w:top w:val="single" w:sz="8" w:color="231F20"/>
            </w:tcBorders>
            <w:shd w:val="clear" w:color="auto" w:fill="D0EBF2"/>
          </w:tcPr>
          <w:p>
            <w:pPr>
              <w:jc w:val="right"/>
              <w:spacing w:after="0"/>
              <w:rPr>
                <w:sz w:val="20"/>
                <w:szCs w:val="20"/>
                <w:color w:val="auto"/>
              </w:rPr>
            </w:pPr>
            <w:r>
              <w:rPr>
                <w:rFonts w:ascii="Times New Roman" w:cs="Times New Roman" w:eastAsia="Times New Roman" w:hAnsi="Times New Roman"/>
                <w:sz w:val="19"/>
                <w:szCs w:val="19"/>
                <w:color w:val="231F20"/>
              </w:rPr>
              <w:t>231</w:t>
            </w:r>
          </w:p>
        </w:tc>
        <w:tc>
          <w:tcPr>
            <w:tcW w:w="80" w:type="dxa"/>
            <w:vAlign w:val="bottom"/>
            <w:tcBorders>
              <w:top w:val="single" w:sz="8" w:color="D0EBF2"/>
            </w:tcBorders>
            <w:shd w:val="clear" w:color="auto" w:fill="D0EBF2"/>
          </w:tcPr>
          <w:p>
            <w:pPr>
              <w:spacing w:after="0"/>
              <w:rPr>
                <w:sz w:val="19"/>
                <w:szCs w:val="19"/>
                <w:color w:val="auto"/>
              </w:rPr>
            </w:pPr>
          </w:p>
        </w:tc>
      </w:tr>
      <w:tr>
        <w:trPr>
          <w:trHeight w:val="230"/>
        </w:trPr>
        <w:tc>
          <w:tcPr>
            <w:tcW w:w="5700" w:type="dxa"/>
            <w:vAlign w:val="bottom"/>
            <w:shd w:val="clear" w:color="auto" w:fill="FDFDFC"/>
          </w:tcPr>
          <w:p>
            <w:pPr>
              <w:spacing w:after="0"/>
              <w:rPr>
                <w:sz w:val="20"/>
                <w:szCs w:val="20"/>
                <w:color w:val="auto"/>
              </w:rPr>
            </w:pPr>
            <w:r>
              <w:rPr>
                <w:rFonts w:ascii="Times New Roman" w:cs="Times New Roman" w:eastAsia="Times New Roman" w:hAnsi="Times New Roman"/>
                <w:sz w:val="19"/>
                <w:szCs w:val="19"/>
                <w:color w:val="231F20"/>
              </w:rPr>
              <w:t>Alpha Midco, Inc. - Delayed Draw &amp; Revolver</w:t>
            </w:r>
          </w:p>
        </w:tc>
        <w:tc>
          <w:tcPr>
            <w:tcW w:w="460" w:type="dxa"/>
            <w:vAlign w:val="bottom"/>
            <w:shd w:val="clear" w:color="auto" w:fill="FDFDFC"/>
          </w:tcPr>
          <w:p>
            <w:pPr>
              <w:spacing w:after="0"/>
              <w:rPr>
                <w:sz w:val="20"/>
                <w:szCs w:val="20"/>
                <w:color w:val="auto"/>
              </w:rPr>
            </w:pPr>
          </w:p>
        </w:tc>
        <w:tc>
          <w:tcPr>
            <w:tcW w:w="940" w:type="dxa"/>
            <w:vAlign w:val="bottom"/>
            <w:shd w:val="clear" w:color="auto" w:fill="FDFDFC"/>
          </w:tcPr>
          <w:p>
            <w:pPr>
              <w:jc w:val="right"/>
              <w:spacing w:after="0"/>
              <w:rPr>
                <w:sz w:val="20"/>
                <w:szCs w:val="20"/>
                <w:color w:val="auto"/>
              </w:rPr>
            </w:pPr>
            <w:r>
              <w:rPr>
                <w:rFonts w:ascii="Times New Roman" w:cs="Times New Roman" w:eastAsia="Times New Roman" w:hAnsi="Times New Roman"/>
                <w:sz w:val="19"/>
                <w:szCs w:val="19"/>
                <w:color w:val="231F20"/>
              </w:rPr>
              <w:t>452</w:t>
            </w:r>
          </w:p>
        </w:tc>
        <w:tc>
          <w:tcPr>
            <w:tcW w:w="280" w:type="dxa"/>
            <w:vAlign w:val="bottom"/>
            <w:shd w:val="clear" w:color="auto" w:fill="FDFDFC"/>
          </w:tcPr>
          <w:p>
            <w:pPr>
              <w:spacing w:after="0"/>
              <w:rPr>
                <w:sz w:val="20"/>
                <w:szCs w:val="20"/>
                <w:color w:val="auto"/>
              </w:rPr>
            </w:pPr>
          </w:p>
        </w:tc>
        <w:tc>
          <w:tcPr>
            <w:tcW w:w="480" w:type="dxa"/>
            <w:vAlign w:val="bottom"/>
            <w:shd w:val="clear" w:color="auto" w:fill="FDFDFC"/>
          </w:tcPr>
          <w:p>
            <w:pPr>
              <w:spacing w:after="0"/>
              <w:rPr>
                <w:sz w:val="20"/>
                <w:szCs w:val="20"/>
                <w:color w:val="auto"/>
              </w:rPr>
            </w:pPr>
          </w:p>
        </w:tc>
        <w:tc>
          <w:tcPr>
            <w:tcW w:w="940" w:type="dxa"/>
            <w:vAlign w:val="bottom"/>
            <w:shd w:val="clear" w:color="auto" w:fill="FDFDFC"/>
          </w:tcPr>
          <w:p>
            <w:pPr>
              <w:jc w:val="right"/>
              <w:spacing w:after="0"/>
              <w:rPr>
                <w:sz w:val="20"/>
                <w:szCs w:val="20"/>
                <w:color w:val="auto"/>
              </w:rPr>
            </w:pPr>
            <w:r>
              <w:rPr>
                <w:rFonts w:ascii="Times New Roman" w:cs="Times New Roman" w:eastAsia="Times New Roman" w:hAnsi="Times New Roman"/>
                <w:sz w:val="19"/>
                <w:szCs w:val="19"/>
                <w:color w:val="231F20"/>
              </w:rPr>
              <w:t>470</w:t>
            </w:r>
          </w:p>
        </w:tc>
        <w:tc>
          <w:tcPr>
            <w:tcW w:w="80" w:type="dxa"/>
            <w:vAlign w:val="bottom"/>
            <w:shd w:val="clear" w:color="auto" w:fill="FDFDFC"/>
          </w:tcPr>
          <w:p>
            <w:pPr>
              <w:spacing w:after="0"/>
              <w:rPr>
                <w:sz w:val="20"/>
                <w:szCs w:val="20"/>
                <w:color w:val="auto"/>
              </w:rPr>
            </w:pPr>
          </w:p>
        </w:tc>
      </w:tr>
      <w:tr>
        <w:trPr>
          <w:trHeight w:val="230"/>
        </w:trPr>
        <w:tc>
          <w:tcPr>
            <w:tcW w:w="5700" w:type="dxa"/>
            <w:vAlign w:val="bottom"/>
            <w:shd w:val="clear" w:color="auto" w:fill="D0EBF2"/>
          </w:tcPr>
          <w:p>
            <w:pPr>
              <w:spacing w:after="0"/>
              <w:rPr>
                <w:sz w:val="20"/>
                <w:szCs w:val="20"/>
                <w:color w:val="auto"/>
              </w:rPr>
            </w:pPr>
            <w:r>
              <w:rPr>
                <w:rFonts w:ascii="Times New Roman" w:cs="Times New Roman" w:eastAsia="Times New Roman" w:hAnsi="Times New Roman"/>
                <w:sz w:val="19"/>
                <w:szCs w:val="19"/>
                <w:color w:val="231F20"/>
              </w:rPr>
              <w:t>American Achievement, Corp. - Revolver</w:t>
            </w:r>
          </w:p>
        </w:tc>
        <w:tc>
          <w:tcPr>
            <w:tcW w:w="460" w:type="dxa"/>
            <w:vAlign w:val="bottom"/>
            <w:shd w:val="clear" w:color="auto" w:fill="D0EBF2"/>
          </w:tcPr>
          <w:p>
            <w:pPr>
              <w:spacing w:after="0"/>
              <w:rPr>
                <w:sz w:val="20"/>
                <w:szCs w:val="20"/>
                <w:color w:val="auto"/>
              </w:rPr>
            </w:pPr>
          </w:p>
        </w:tc>
        <w:tc>
          <w:tcPr>
            <w:tcW w:w="940" w:type="dxa"/>
            <w:vAlign w:val="bottom"/>
            <w:shd w:val="clear" w:color="auto" w:fill="D0EBF2"/>
          </w:tcPr>
          <w:p>
            <w:pPr>
              <w:jc w:val="right"/>
              <w:spacing w:after="0"/>
              <w:rPr>
                <w:sz w:val="20"/>
                <w:szCs w:val="20"/>
                <w:color w:val="auto"/>
              </w:rPr>
            </w:pPr>
            <w:r>
              <w:rPr>
                <w:rFonts w:ascii="Times New Roman" w:cs="Times New Roman" w:eastAsia="Times New Roman" w:hAnsi="Times New Roman"/>
                <w:sz w:val="19"/>
                <w:szCs w:val="19"/>
                <w:color w:val="231F20"/>
              </w:rPr>
              <w:t>2,403</w:t>
            </w:r>
          </w:p>
        </w:tc>
        <w:tc>
          <w:tcPr>
            <w:tcW w:w="280" w:type="dxa"/>
            <w:vAlign w:val="bottom"/>
            <w:shd w:val="clear" w:color="auto" w:fill="D0EBF2"/>
          </w:tcPr>
          <w:p>
            <w:pPr>
              <w:spacing w:after="0"/>
              <w:rPr>
                <w:sz w:val="20"/>
                <w:szCs w:val="20"/>
                <w:color w:val="auto"/>
              </w:rPr>
            </w:pPr>
          </w:p>
        </w:tc>
        <w:tc>
          <w:tcPr>
            <w:tcW w:w="480" w:type="dxa"/>
            <w:vAlign w:val="bottom"/>
            <w:shd w:val="clear" w:color="auto" w:fill="D0EBF2"/>
          </w:tcPr>
          <w:p>
            <w:pPr>
              <w:spacing w:after="0"/>
              <w:rPr>
                <w:sz w:val="20"/>
                <w:szCs w:val="20"/>
                <w:color w:val="auto"/>
              </w:rPr>
            </w:pPr>
          </w:p>
        </w:tc>
        <w:tc>
          <w:tcPr>
            <w:tcW w:w="940" w:type="dxa"/>
            <w:vAlign w:val="bottom"/>
            <w:shd w:val="clear" w:color="auto" w:fill="D0EBF2"/>
          </w:tcPr>
          <w:p>
            <w:pPr>
              <w:jc w:val="right"/>
              <w:spacing w:after="0"/>
              <w:rPr>
                <w:sz w:val="20"/>
                <w:szCs w:val="20"/>
                <w:color w:val="auto"/>
              </w:rPr>
            </w:pPr>
            <w:r>
              <w:rPr>
                <w:rFonts w:ascii="Times New Roman" w:cs="Times New Roman" w:eastAsia="Times New Roman" w:hAnsi="Times New Roman"/>
                <w:sz w:val="19"/>
                <w:szCs w:val="19"/>
                <w:color w:val="231F20"/>
              </w:rPr>
              <w:t>2,403</w:t>
            </w:r>
          </w:p>
        </w:tc>
        <w:tc>
          <w:tcPr>
            <w:tcW w:w="80" w:type="dxa"/>
            <w:vAlign w:val="bottom"/>
            <w:shd w:val="clear" w:color="auto" w:fill="D0EBF2"/>
          </w:tcPr>
          <w:p>
            <w:pPr>
              <w:spacing w:after="0"/>
              <w:rPr>
                <w:sz w:val="20"/>
                <w:szCs w:val="20"/>
                <w:color w:val="auto"/>
              </w:rPr>
            </w:pPr>
          </w:p>
        </w:tc>
      </w:tr>
      <w:tr>
        <w:trPr>
          <w:trHeight w:val="230"/>
        </w:trPr>
        <w:tc>
          <w:tcPr>
            <w:tcW w:w="5700" w:type="dxa"/>
            <w:vAlign w:val="bottom"/>
            <w:shd w:val="clear" w:color="auto" w:fill="FDFDFC"/>
          </w:tcPr>
          <w:p>
            <w:pPr>
              <w:spacing w:after="0"/>
              <w:rPr>
                <w:sz w:val="20"/>
                <w:szCs w:val="20"/>
                <w:color w:val="auto"/>
              </w:rPr>
            </w:pPr>
            <w:r>
              <w:rPr>
                <w:rFonts w:ascii="Times New Roman" w:cs="Times New Roman" w:eastAsia="Times New Roman" w:hAnsi="Times New Roman"/>
                <w:sz w:val="19"/>
                <w:szCs w:val="19"/>
                <w:color w:val="231F20"/>
              </w:rPr>
              <w:t>Apellis Pharmaceuticals, Inc. - Delayed Draw</w:t>
            </w:r>
          </w:p>
        </w:tc>
        <w:tc>
          <w:tcPr>
            <w:tcW w:w="460" w:type="dxa"/>
            <w:vAlign w:val="bottom"/>
            <w:shd w:val="clear" w:color="auto" w:fill="FDFDFC"/>
          </w:tcPr>
          <w:p>
            <w:pPr>
              <w:spacing w:after="0"/>
              <w:rPr>
                <w:sz w:val="20"/>
                <w:szCs w:val="20"/>
                <w:color w:val="auto"/>
              </w:rPr>
            </w:pPr>
          </w:p>
        </w:tc>
        <w:tc>
          <w:tcPr>
            <w:tcW w:w="940" w:type="dxa"/>
            <w:vAlign w:val="bottom"/>
            <w:shd w:val="clear" w:color="auto" w:fill="FDFDFC"/>
          </w:tcPr>
          <w:p>
            <w:pPr>
              <w:jc w:val="right"/>
              <w:spacing w:after="0"/>
              <w:rPr>
                <w:sz w:val="20"/>
                <w:szCs w:val="20"/>
                <w:color w:val="auto"/>
              </w:rPr>
            </w:pPr>
            <w:r>
              <w:rPr>
                <w:rFonts w:ascii="Times New Roman" w:cs="Times New Roman" w:eastAsia="Times New Roman" w:hAnsi="Times New Roman"/>
                <w:sz w:val="19"/>
                <w:szCs w:val="19"/>
                <w:color w:val="231F20"/>
              </w:rPr>
              <w:t>5,263</w:t>
            </w:r>
          </w:p>
        </w:tc>
        <w:tc>
          <w:tcPr>
            <w:tcW w:w="280" w:type="dxa"/>
            <w:vAlign w:val="bottom"/>
            <w:shd w:val="clear" w:color="auto" w:fill="FDFDFC"/>
          </w:tcPr>
          <w:p>
            <w:pPr>
              <w:spacing w:after="0"/>
              <w:rPr>
                <w:sz w:val="20"/>
                <w:szCs w:val="20"/>
                <w:color w:val="auto"/>
              </w:rPr>
            </w:pPr>
          </w:p>
        </w:tc>
        <w:tc>
          <w:tcPr>
            <w:tcW w:w="480" w:type="dxa"/>
            <w:vAlign w:val="bottom"/>
            <w:shd w:val="clear" w:color="auto" w:fill="FDFDFC"/>
          </w:tcPr>
          <w:p>
            <w:pPr>
              <w:spacing w:after="0"/>
              <w:rPr>
                <w:sz w:val="20"/>
                <w:szCs w:val="20"/>
                <w:color w:val="auto"/>
              </w:rPr>
            </w:pPr>
          </w:p>
        </w:tc>
        <w:tc>
          <w:tcPr>
            <w:tcW w:w="1020" w:type="dxa"/>
            <w:vAlign w:val="bottom"/>
            <w:gridSpan w:val="2"/>
            <w:shd w:val="clear" w:color="auto" w:fill="FDFDFC"/>
          </w:tcPr>
          <w:p>
            <w:pPr>
              <w:jc w:val="right"/>
              <w:ind w:right="120"/>
              <w:spacing w:after="0"/>
              <w:rPr>
                <w:sz w:val="20"/>
                <w:szCs w:val="20"/>
                <w:color w:val="auto"/>
              </w:rPr>
            </w:pPr>
            <w:r>
              <w:rPr>
                <w:rFonts w:ascii="Times New Roman" w:cs="Times New Roman" w:eastAsia="Times New Roman" w:hAnsi="Times New Roman"/>
                <w:sz w:val="19"/>
                <w:szCs w:val="19"/>
                <w:color w:val="231F20"/>
              </w:rPr>
              <w:t>—</w:t>
            </w:r>
          </w:p>
        </w:tc>
      </w:tr>
      <w:tr>
        <w:trPr>
          <w:trHeight w:val="230"/>
        </w:trPr>
        <w:tc>
          <w:tcPr>
            <w:tcW w:w="5700" w:type="dxa"/>
            <w:vAlign w:val="bottom"/>
            <w:shd w:val="clear" w:color="auto" w:fill="D0EBF2"/>
          </w:tcPr>
          <w:p>
            <w:pPr>
              <w:spacing w:after="0"/>
              <w:rPr>
                <w:sz w:val="20"/>
                <w:szCs w:val="20"/>
                <w:color w:val="auto"/>
              </w:rPr>
            </w:pPr>
            <w:r>
              <w:rPr>
                <w:rFonts w:ascii="Times New Roman" w:cs="Times New Roman" w:eastAsia="Times New Roman" w:hAnsi="Times New Roman"/>
                <w:sz w:val="19"/>
                <w:szCs w:val="19"/>
                <w:color w:val="231F20"/>
              </w:rPr>
              <w:t>Aptean, Inc. - Delayed Draw &amp; Revolver</w:t>
            </w:r>
          </w:p>
        </w:tc>
        <w:tc>
          <w:tcPr>
            <w:tcW w:w="460" w:type="dxa"/>
            <w:vAlign w:val="bottom"/>
            <w:shd w:val="clear" w:color="auto" w:fill="D0EBF2"/>
          </w:tcPr>
          <w:p>
            <w:pPr>
              <w:spacing w:after="0"/>
              <w:rPr>
                <w:sz w:val="20"/>
                <w:szCs w:val="20"/>
                <w:color w:val="auto"/>
              </w:rPr>
            </w:pPr>
          </w:p>
        </w:tc>
        <w:tc>
          <w:tcPr>
            <w:tcW w:w="940" w:type="dxa"/>
            <w:vAlign w:val="bottom"/>
            <w:shd w:val="clear" w:color="auto" w:fill="D0EBF2"/>
          </w:tcPr>
          <w:p>
            <w:pPr>
              <w:jc w:val="right"/>
              <w:spacing w:after="0"/>
              <w:rPr>
                <w:sz w:val="20"/>
                <w:szCs w:val="20"/>
                <w:color w:val="auto"/>
              </w:rPr>
            </w:pPr>
            <w:r>
              <w:rPr>
                <w:rFonts w:ascii="Times New Roman" w:cs="Times New Roman" w:eastAsia="Times New Roman" w:hAnsi="Times New Roman"/>
                <w:sz w:val="19"/>
                <w:szCs w:val="19"/>
                <w:color w:val="231F20"/>
              </w:rPr>
              <w:t>1,126</w:t>
            </w:r>
          </w:p>
        </w:tc>
        <w:tc>
          <w:tcPr>
            <w:tcW w:w="280" w:type="dxa"/>
            <w:vAlign w:val="bottom"/>
            <w:shd w:val="clear" w:color="auto" w:fill="D0EBF2"/>
          </w:tcPr>
          <w:p>
            <w:pPr>
              <w:spacing w:after="0"/>
              <w:rPr>
                <w:sz w:val="20"/>
                <w:szCs w:val="20"/>
                <w:color w:val="auto"/>
              </w:rPr>
            </w:pPr>
          </w:p>
        </w:tc>
        <w:tc>
          <w:tcPr>
            <w:tcW w:w="480" w:type="dxa"/>
            <w:vAlign w:val="bottom"/>
            <w:shd w:val="clear" w:color="auto" w:fill="D0EBF2"/>
          </w:tcPr>
          <w:p>
            <w:pPr>
              <w:spacing w:after="0"/>
              <w:rPr>
                <w:sz w:val="20"/>
                <w:szCs w:val="20"/>
                <w:color w:val="auto"/>
              </w:rPr>
            </w:pPr>
          </w:p>
        </w:tc>
        <w:tc>
          <w:tcPr>
            <w:tcW w:w="1020" w:type="dxa"/>
            <w:vAlign w:val="bottom"/>
            <w:gridSpan w:val="2"/>
            <w:shd w:val="clear" w:color="auto" w:fill="D0EBF2"/>
          </w:tcPr>
          <w:p>
            <w:pPr>
              <w:jc w:val="right"/>
              <w:ind w:right="120"/>
              <w:spacing w:after="0"/>
              <w:rPr>
                <w:sz w:val="20"/>
                <w:szCs w:val="20"/>
                <w:color w:val="auto"/>
              </w:rPr>
            </w:pPr>
            <w:r>
              <w:rPr>
                <w:rFonts w:ascii="Times New Roman" w:cs="Times New Roman" w:eastAsia="Times New Roman" w:hAnsi="Times New Roman"/>
                <w:sz w:val="19"/>
                <w:szCs w:val="19"/>
                <w:color w:val="231F20"/>
              </w:rPr>
              <w:t>—</w:t>
            </w:r>
          </w:p>
        </w:tc>
      </w:tr>
      <w:tr>
        <w:trPr>
          <w:trHeight w:val="230"/>
        </w:trPr>
        <w:tc>
          <w:tcPr>
            <w:tcW w:w="5700" w:type="dxa"/>
            <w:vAlign w:val="bottom"/>
            <w:shd w:val="clear" w:color="auto" w:fill="FDFDFC"/>
          </w:tcPr>
          <w:p>
            <w:pPr>
              <w:spacing w:after="0"/>
              <w:rPr>
                <w:sz w:val="20"/>
                <w:szCs w:val="20"/>
                <w:color w:val="auto"/>
              </w:rPr>
            </w:pPr>
            <w:r>
              <w:rPr>
                <w:rFonts w:ascii="Times New Roman" w:cs="Times New Roman" w:eastAsia="Times New Roman" w:hAnsi="Times New Roman"/>
                <w:sz w:val="19"/>
                <w:szCs w:val="19"/>
                <w:color w:val="231F20"/>
              </w:rPr>
              <w:t>Arrow Buyer, Inc. - Delayed Draw</w:t>
            </w:r>
          </w:p>
        </w:tc>
        <w:tc>
          <w:tcPr>
            <w:tcW w:w="460" w:type="dxa"/>
            <w:vAlign w:val="bottom"/>
            <w:shd w:val="clear" w:color="auto" w:fill="FDFDFC"/>
          </w:tcPr>
          <w:p>
            <w:pPr>
              <w:spacing w:after="0"/>
              <w:rPr>
                <w:sz w:val="20"/>
                <w:szCs w:val="20"/>
                <w:color w:val="auto"/>
              </w:rPr>
            </w:pPr>
          </w:p>
        </w:tc>
        <w:tc>
          <w:tcPr>
            <w:tcW w:w="940" w:type="dxa"/>
            <w:vAlign w:val="bottom"/>
            <w:shd w:val="clear" w:color="auto" w:fill="FDFDFC"/>
          </w:tcPr>
          <w:p>
            <w:pPr>
              <w:jc w:val="right"/>
              <w:spacing w:after="0"/>
              <w:rPr>
                <w:sz w:val="20"/>
                <w:szCs w:val="20"/>
                <w:color w:val="auto"/>
              </w:rPr>
            </w:pPr>
            <w:r>
              <w:rPr>
                <w:rFonts w:ascii="Times New Roman" w:cs="Times New Roman" w:eastAsia="Times New Roman" w:hAnsi="Times New Roman"/>
                <w:sz w:val="19"/>
                <w:szCs w:val="19"/>
                <w:color w:val="231F20"/>
              </w:rPr>
              <w:t>5,479</w:t>
            </w:r>
          </w:p>
        </w:tc>
        <w:tc>
          <w:tcPr>
            <w:tcW w:w="280" w:type="dxa"/>
            <w:vAlign w:val="bottom"/>
            <w:shd w:val="clear" w:color="auto" w:fill="FDFDFC"/>
          </w:tcPr>
          <w:p>
            <w:pPr>
              <w:spacing w:after="0"/>
              <w:rPr>
                <w:sz w:val="20"/>
                <w:szCs w:val="20"/>
                <w:color w:val="auto"/>
              </w:rPr>
            </w:pPr>
          </w:p>
        </w:tc>
        <w:tc>
          <w:tcPr>
            <w:tcW w:w="480" w:type="dxa"/>
            <w:vAlign w:val="bottom"/>
            <w:shd w:val="clear" w:color="auto" w:fill="FDFDFC"/>
          </w:tcPr>
          <w:p>
            <w:pPr>
              <w:spacing w:after="0"/>
              <w:rPr>
                <w:sz w:val="20"/>
                <w:szCs w:val="20"/>
                <w:color w:val="auto"/>
              </w:rPr>
            </w:pPr>
          </w:p>
        </w:tc>
        <w:tc>
          <w:tcPr>
            <w:tcW w:w="940" w:type="dxa"/>
            <w:vAlign w:val="bottom"/>
            <w:shd w:val="clear" w:color="auto" w:fill="FDFDFC"/>
          </w:tcPr>
          <w:p>
            <w:pPr>
              <w:jc w:val="right"/>
              <w:spacing w:after="0"/>
              <w:rPr>
                <w:sz w:val="20"/>
                <w:szCs w:val="20"/>
                <w:color w:val="auto"/>
              </w:rPr>
            </w:pPr>
            <w:r>
              <w:rPr>
                <w:rFonts w:ascii="Times New Roman" w:cs="Times New Roman" w:eastAsia="Times New Roman" w:hAnsi="Times New Roman"/>
                <w:sz w:val="19"/>
                <w:szCs w:val="19"/>
                <w:color w:val="231F20"/>
              </w:rPr>
              <w:t>7,644</w:t>
            </w:r>
          </w:p>
        </w:tc>
        <w:tc>
          <w:tcPr>
            <w:tcW w:w="80" w:type="dxa"/>
            <w:vAlign w:val="bottom"/>
            <w:shd w:val="clear" w:color="auto" w:fill="FDFDFC"/>
          </w:tcPr>
          <w:p>
            <w:pPr>
              <w:spacing w:after="0"/>
              <w:rPr>
                <w:sz w:val="20"/>
                <w:szCs w:val="20"/>
                <w:color w:val="auto"/>
              </w:rPr>
            </w:pPr>
          </w:p>
        </w:tc>
      </w:tr>
      <w:tr>
        <w:trPr>
          <w:trHeight w:val="230"/>
        </w:trPr>
        <w:tc>
          <w:tcPr>
            <w:tcW w:w="5700" w:type="dxa"/>
            <w:vAlign w:val="bottom"/>
            <w:shd w:val="clear" w:color="auto" w:fill="D0EBF2"/>
          </w:tcPr>
          <w:p>
            <w:pPr>
              <w:spacing w:after="0"/>
              <w:rPr>
                <w:sz w:val="20"/>
                <w:szCs w:val="20"/>
                <w:color w:val="auto"/>
              </w:rPr>
            </w:pPr>
            <w:r>
              <w:rPr>
                <w:rFonts w:ascii="Times New Roman" w:cs="Times New Roman" w:eastAsia="Times New Roman" w:hAnsi="Times New Roman"/>
                <w:sz w:val="19"/>
                <w:szCs w:val="19"/>
                <w:color w:val="231F20"/>
              </w:rPr>
              <w:t>Arrowhead Pharmaceuticals, Inc. - Delayed Draw</w:t>
            </w:r>
          </w:p>
        </w:tc>
        <w:tc>
          <w:tcPr>
            <w:tcW w:w="460" w:type="dxa"/>
            <w:vAlign w:val="bottom"/>
            <w:shd w:val="clear" w:color="auto" w:fill="D0EBF2"/>
          </w:tcPr>
          <w:p>
            <w:pPr>
              <w:spacing w:after="0"/>
              <w:rPr>
                <w:sz w:val="20"/>
                <w:szCs w:val="20"/>
                <w:color w:val="auto"/>
              </w:rPr>
            </w:pPr>
          </w:p>
        </w:tc>
        <w:tc>
          <w:tcPr>
            <w:tcW w:w="940" w:type="dxa"/>
            <w:vAlign w:val="bottom"/>
            <w:shd w:val="clear" w:color="auto" w:fill="D0EBF2"/>
          </w:tcPr>
          <w:p>
            <w:pPr>
              <w:jc w:val="right"/>
              <w:spacing w:after="0"/>
              <w:rPr>
                <w:sz w:val="20"/>
                <w:szCs w:val="20"/>
                <w:color w:val="auto"/>
              </w:rPr>
            </w:pPr>
            <w:r>
              <w:rPr>
                <w:rFonts w:ascii="Times New Roman" w:cs="Times New Roman" w:eastAsia="Times New Roman" w:hAnsi="Times New Roman"/>
                <w:sz w:val="19"/>
                <w:szCs w:val="19"/>
                <w:color w:val="231F20"/>
              </w:rPr>
              <w:t>31,961</w:t>
            </w:r>
          </w:p>
        </w:tc>
        <w:tc>
          <w:tcPr>
            <w:tcW w:w="280" w:type="dxa"/>
            <w:vAlign w:val="bottom"/>
            <w:shd w:val="clear" w:color="auto" w:fill="D0EBF2"/>
          </w:tcPr>
          <w:p>
            <w:pPr>
              <w:spacing w:after="0"/>
              <w:rPr>
                <w:sz w:val="20"/>
                <w:szCs w:val="20"/>
                <w:color w:val="auto"/>
              </w:rPr>
            </w:pPr>
          </w:p>
        </w:tc>
        <w:tc>
          <w:tcPr>
            <w:tcW w:w="480" w:type="dxa"/>
            <w:vAlign w:val="bottom"/>
            <w:shd w:val="clear" w:color="auto" w:fill="D0EBF2"/>
          </w:tcPr>
          <w:p>
            <w:pPr>
              <w:spacing w:after="0"/>
              <w:rPr>
                <w:sz w:val="20"/>
                <w:szCs w:val="20"/>
                <w:color w:val="auto"/>
              </w:rPr>
            </w:pPr>
          </w:p>
        </w:tc>
        <w:tc>
          <w:tcPr>
            <w:tcW w:w="1020" w:type="dxa"/>
            <w:vAlign w:val="bottom"/>
            <w:gridSpan w:val="2"/>
            <w:shd w:val="clear" w:color="auto" w:fill="D0EBF2"/>
          </w:tcPr>
          <w:p>
            <w:pPr>
              <w:jc w:val="right"/>
              <w:ind w:right="120"/>
              <w:spacing w:after="0"/>
              <w:rPr>
                <w:sz w:val="20"/>
                <w:szCs w:val="20"/>
                <w:color w:val="auto"/>
              </w:rPr>
            </w:pPr>
            <w:r>
              <w:rPr>
                <w:rFonts w:ascii="Times New Roman" w:cs="Times New Roman" w:eastAsia="Times New Roman" w:hAnsi="Times New Roman"/>
                <w:sz w:val="19"/>
                <w:szCs w:val="19"/>
                <w:color w:val="231F20"/>
              </w:rPr>
              <w:t>—</w:t>
            </w:r>
          </w:p>
        </w:tc>
      </w:tr>
      <w:tr>
        <w:trPr>
          <w:trHeight w:val="230"/>
        </w:trPr>
        <w:tc>
          <w:tcPr>
            <w:tcW w:w="5700" w:type="dxa"/>
            <w:vAlign w:val="bottom"/>
            <w:shd w:val="clear" w:color="auto" w:fill="FDFDFC"/>
          </w:tcPr>
          <w:p>
            <w:pPr>
              <w:spacing w:after="0"/>
              <w:rPr>
                <w:sz w:val="20"/>
                <w:szCs w:val="20"/>
                <w:color w:val="auto"/>
              </w:rPr>
            </w:pPr>
            <w:r>
              <w:rPr>
                <w:rFonts w:ascii="Times New Roman" w:cs="Times New Roman" w:eastAsia="Times New Roman" w:hAnsi="Times New Roman"/>
                <w:sz w:val="19"/>
                <w:szCs w:val="19"/>
                <w:color w:val="231F20"/>
              </w:rPr>
              <w:t>Artisan Bidco, Inc. - Revolver</w:t>
            </w:r>
          </w:p>
        </w:tc>
        <w:tc>
          <w:tcPr>
            <w:tcW w:w="460" w:type="dxa"/>
            <w:vAlign w:val="bottom"/>
            <w:shd w:val="clear" w:color="auto" w:fill="FDFDFC"/>
          </w:tcPr>
          <w:p>
            <w:pPr>
              <w:spacing w:after="0"/>
              <w:rPr>
                <w:sz w:val="20"/>
                <w:szCs w:val="20"/>
                <w:color w:val="auto"/>
              </w:rPr>
            </w:pPr>
          </w:p>
        </w:tc>
        <w:tc>
          <w:tcPr>
            <w:tcW w:w="940" w:type="dxa"/>
            <w:vAlign w:val="bottom"/>
            <w:shd w:val="clear" w:color="auto" w:fill="FDFDFC"/>
          </w:tcPr>
          <w:p>
            <w:pPr>
              <w:jc w:val="right"/>
              <w:spacing w:after="0"/>
              <w:rPr>
                <w:sz w:val="20"/>
                <w:szCs w:val="20"/>
                <w:color w:val="auto"/>
              </w:rPr>
            </w:pPr>
            <w:r>
              <w:rPr>
                <w:rFonts w:ascii="Times New Roman" w:cs="Times New Roman" w:eastAsia="Times New Roman" w:hAnsi="Times New Roman"/>
                <w:sz w:val="19"/>
                <w:szCs w:val="19"/>
                <w:color w:val="231F20"/>
              </w:rPr>
              <w:t>5,717</w:t>
            </w:r>
          </w:p>
        </w:tc>
        <w:tc>
          <w:tcPr>
            <w:tcW w:w="280" w:type="dxa"/>
            <w:vAlign w:val="bottom"/>
            <w:shd w:val="clear" w:color="auto" w:fill="FDFDFC"/>
          </w:tcPr>
          <w:p>
            <w:pPr>
              <w:spacing w:after="0"/>
              <w:rPr>
                <w:sz w:val="20"/>
                <w:szCs w:val="20"/>
                <w:color w:val="auto"/>
              </w:rPr>
            </w:pPr>
          </w:p>
        </w:tc>
        <w:tc>
          <w:tcPr>
            <w:tcW w:w="480" w:type="dxa"/>
            <w:vAlign w:val="bottom"/>
            <w:shd w:val="clear" w:color="auto" w:fill="FDFDFC"/>
          </w:tcPr>
          <w:p>
            <w:pPr>
              <w:spacing w:after="0"/>
              <w:rPr>
                <w:sz w:val="20"/>
                <w:szCs w:val="20"/>
                <w:color w:val="auto"/>
              </w:rPr>
            </w:pPr>
          </w:p>
        </w:tc>
        <w:tc>
          <w:tcPr>
            <w:tcW w:w="940" w:type="dxa"/>
            <w:vAlign w:val="bottom"/>
            <w:shd w:val="clear" w:color="auto" w:fill="FDFDFC"/>
          </w:tcPr>
          <w:p>
            <w:pPr>
              <w:jc w:val="right"/>
              <w:spacing w:after="0"/>
              <w:rPr>
                <w:sz w:val="20"/>
                <w:szCs w:val="20"/>
                <w:color w:val="auto"/>
              </w:rPr>
            </w:pPr>
            <w:r>
              <w:rPr>
                <w:rFonts w:ascii="Times New Roman" w:cs="Times New Roman" w:eastAsia="Times New Roman" w:hAnsi="Times New Roman"/>
                <w:sz w:val="19"/>
                <w:szCs w:val="19"/>
                <w:color w:val="231F20"/>
              </w:rPr>
              <w:t>5,716</w:t>
            </w:r>
          </w:p>
        </w:tc>
        <w:tc>
          <w:tcPr>
            <w:tcW w:w="80" w:type="dxa"/>
            <w:vAlign w:val="bottom"/>
            <w:shd w:val="clear" w:color="auto" w:fill="FDFDFC"/>
          </w:tcPr>
          <w:p>
            <w:pPr>
              <w:spacing w:after="0"/>
              <w:rPr>
                <w:sz w:val="20"/>
                <w:szCs w:val="20"/>
                <w:color w:val="auto"/>
              </w:rPr>
            </w:pPr>
          </w:p>
        </w:tc>
      </w:tr>
      <w:tr>
        <w:trPr>
          <w:trHeight w:val="230"/>
        </w:trPr>
        <w:tc>
          <w:tcPr>
            <w:tcW w:w="5700" w:type="dxa"/>
            <w:vAlign w:val="bottom"/>
            <w:shd w:val="clear" w:color="auto" w:fill="D0EBF2"/>
          </w:tcPr>
          <w:p>
            <w:pPr>
              <w:spacing w:after="0"/>
              <w:rPr>
                <w:sz w:val="20"/>
                <w:szCs w:val="20"/>
                <w:color w:val="auto"/>
              </w:rPr>
            </w:pPr>
            <w:r>
              <w:rPr>
                <w:rFonts w:ascii="Times New Roman" w:cs="Times New Roman" w:eastAsia="Times New Roman" w:hAnsi="Times New Roman"/>
                <w:sz w:val="19"/>
                <w:szCs w:val="19"/>
                <w:color w:val="231F20"/>
              </w:rPr>
              <w:t>ASG II, LLC - Delayed Draw</w:t>
            </w:r>
          </w:p>
        </w:tc>
        <w:tc>
          <w:tcPr>
            <w:tcW w:w="460" w:type="dxa"/>
            <w:vAlign w:val="bottom"/>
            <w:shd w:val="clear" w:color="auto" w:fill="D0EBF2"/>
          </w:tcPr>
          <w:p>
            <w:pPr>
              <w:spacing w:after="0"/>
              <w:rPr>
                <w:sz w:val="20"/>
                <w:szCs w:val="20"/>
                <w:color w:val="auto"/>
              </w:rPr>
            </w:pPr>
          </w:p>
        </w:tc>
        <w:tc>
          <w:tcPr>
            <w:tcW w:w="940" w:type="dxa"/>
            <w:vAlign w:val="bottom"/>
            <w:shd w:val="clear" w:color="auto" w:fill="D0EBF2"/>
          </w:tcPr>
          <w:p>
            <w:pPr>
              <w:jc w:val="right"/>
              <w:spacing w:after="0"/>
              <w:rPr>
                <w:sz w:val="20"/>
                <w:szCs w:val="20"/>
                <w:color w:val="auto"/>
              </w:rPr>
            </w:pPr>
            <w:r>
              <w:rPr>
                <w:rFonts w:ascii="Times New Roman" w:cs="Times New Roman" w:eastAsia="Times New Roman" w:hAnsi="Times New Roman"/>
                <w:sz w:val="19"/>
                <w:szCs w:val="19"/>
                <w:color w:val="231F20"/>
              </w:rPr>
              <w:t>—</w:t>
            </w:r>
          </w:p>
        </w:tc>
        <w:tc>
          <w:tcPr>
            <w:tcW w:w="280" w:type="dxa"/>
            <w:vAlign w:val="bottom"/>
            <w:shd w:val="clear" w:color="auto" w:fill="D0EBF2"/>
          </w:tcPr>
          <w:p>
            <w:pPr>
              <w:spacing w:after="0"/>
              <w:rPr>
                <w:sz w:val="20"/>
                <w:szCs w:val="20"/>
                <w:color w:val="auto"/>
              </w:rPr>
            </w:pPr>
          </w:p>
        </w:tc>
        <w:tc>
          <w:tcPr>
            <w:tcW w:w="480" w:type="dxa"/>
            <w:vAlign w:val="bottom"/>
            <w:shd w:val="clear" w:color="auto" w:fill="D0EBF2"/>
          </w:tcPr>
          <w:p>
            <w:pPr>
              <w:spacing w:after="0"/>
              <w:rPr>
                <w:sz w:val="20"/>
                <w:szCs w:val="20"/>
                <w:color w:val="auto"/>
              </w:rPr>
            </w:pPr>
          </w:p>
        </w:tc>
        <w:tc>
          <w:tcPr>
            <w:tcW w:w="940" w:type="dxa"/>
            <w:vAlign w:val="bottom"/>
            <w:shd w:val="clear" w:color="auto" w:fill="D0EBF2"/>
          </w:tcPr>
          <w:p>
            <w:pPr>
              <w:jc w:val="right"/>
              <w:spacing w:after="0"/>
              <w:rPr>
                <w:sz w:val="20"/>
                <w:szCs w:val="20"/>
                <w:color w:val="auto"/>
              </w:rPr>
            </w:pPr>
            <w:r>
              <w:rPr>
                <w:rFonts w:ascii="Times New Roman" w:cs="Times New Roman" w:eastAsia="Times New Roman" w:hAnsi="Times New Roman"/>
                <w:sz w:val="19"/>
                <w:szCs w:val="19"/>
                <w:color w:val="231F20"/>
              </w:rPr>
              <w:t>3,391</w:t>
            </w:r>
          </w:p>
        </w:tc>
        <w:tc>
          <w:tcPr>
            <w:tcW w:w="80" w:type="dxa"/>
            <w:vAlign w:val="bottom"/>
            <w:shd w:val="clear" w:color="auto" w:fill="D0EBF2"/>
          </w:tcPr>
          <w:p>
            <w:pPr>
              <w:spacing w:after="0"/>
              <w:rPr>
                <w:sz w:val="20"/>
                <w:szCs w:val="20"/>
                <w:color w:val="auto"/>
              </w:rPr>
            </w:pPr>
          </w:p>
        </w:tc>
      </w:tr>
      <w:tr>
        <w:trPr>
          <w:trHeight w:val="230"/>
        </w:trPr>
        <w:tc>
          <w:tcPr>
            <w:tcW w:w="5700" w:type="dxa"/>
            <w:vAlign w:val="bottom"/>
            <w:shd w:val="clear" w:color="auto" w:fill="FDFDFC"/>
          </w:tcPr>
          <w:p>
            <w:pPr>
              <w:spacing w:after="0"/>
              <w:rPr>
                <w:sz w:val="20"/>
                <w:szCs w:val="20"/>
                <w:color w:val="auto"/>
              </w:rPr>
            </w:pPr>
            <w:r>
              <w:rPr>
                <w:rFonts w:ascii="Times New Roman" w:cs="Times New Roman" w:eastAsia="Times New Roman" w:hAnsi="Times New Roman"/>
                <w:sz w:val="19"/>
                <w:szCs w:val="19"/>
                <w:color w:val="231F20"/>
              </w:rPr>
              <w:t>Avalara, Inc. - Revolver</w:t>
            </w:r>
          </w:p>
        </w:tc>
        <w:tc>
          <w:tcPr>
            <w:tcW w:w="460" w:type="dxa"/>
            <w:vAlign w:val="bottom"/>
            <w:shd w:val="clear" w:color="auto" w:fill="FDFDFC"/>
          </w:tcPr>
          <w:p>
            <w:pPr>
              <w:spacing w:after="0"/>
              <w:rPr>
                <w:sz w:val="20"/>
                <w:szCs w:val="20"/>
                <w:color w:val="auto"/>
              </w:rPr>
            </w:pPr>
          </w:p>
        </w:tc>
        <w:tc>
          <w:tcPr>
            <w:tcW w:w="940" w:type="dxa"/>
            <w:vAlign w:val="bottom"/>
            <w:shd w:val="clear" w:color="auto" w:fill="FDFDFC"/>
          </w:tcPr>
          <w:p>
            <w:pPr>
              <w:jc w:val="right"/>
              <w:spacing w:after="0"/>
              <w:rPr>
                <w:sz w:val="20"/>
                <w:szCs w:val="20"/>
                <w:color w:val="auto"/>
              </w:rPr>
            </w:pPr>
            <w:r>
              <w:rPr>
                <w:rFonts w:ascii="Times New Roman" w:cs="Times New Roman" w:eastAsia="Times New Roman" w:hAnsi="Times New Roman"/>
                <w:sz w:val="19"/>
                <w:szCs w:val="19"/>
                <w:color w:val="231F20"/>
              </w:rPr>
              <w:t>3,864</w:t>
            </w:r>
          </w:p>
        </w:tc>
        <w:tc>
          <w:tcPr>
            <w:tcW w:w="280" w:type="dxa"/>
            <w:vAlign w:val="bottom"/>
            <w:shd w:val="clear" w:color="auto" w:fill="FDFDFC"/>
          </w:tcPr>
          <w:p>
            <w:pPr>
              <w:spacing w:after="0"/>
              <w:rPr>
                <w:sz w:val="20"/>
                <w:szCs w:val="20"/>
                <w:color w:val="auto"/>
              </w:rPr>
            </w:pPr>
          </w:p>
        </w:tc>
        <w:tc>
          <w:tcPr>
            <w:tcW w:w="480" w:type="dxa"/>
            <w:vAlign w:val="bottom"/>
            <w:shd w:val="clear" w:color="auto" w:fill="FDFDFC"/>
          </w:tcPr>
          <w:p>
            <w:pPr>
              <w:spacing w:after="0"/>
              <w:rPr>
                <w:sz w:val="20"/>
                <w:szCs w:val="20"/>
                <w:color w:val="auto"/>
              </w:rPr>
            </w:pPr>
          </w:p>
        </w:tc>
        <w:tc>
          <w:tcPr>
            <w:tcW w:w="940" w:type="dxa"/>
            <w:vAlign w:val="bottom"/>
            <w:shd w:val="clear" w:color="auto" w:fill="FDFDFC"/>
          </w:tcPr>
          <w:p>
            <w:pPr>
              <w:jc w:val="right"/>
              <w:spacing w:after="0"/>
              <w:rPr>
                <w:sz w:val="20"/>
                <w:szCs w:val="20"/>
                <w:color w:val="auto"/>
              </w:rPr>
            </w:pPr>
            <w:r>
              <w:rPr>
                <w:rFonts w:ascii="Times New Roman" w:cs="Times New Roman" w:eastAsia="Times New Roman" w:hAnsi="Times New Roman"/>
                <w:sz w:val="19"/>
                <w:szCs w:val="19"/>
                <w:color w:val="231F20"/>
              </w:rPr>
              <w:t>3,863</w:t>
            </w:r>
          </w:p>
        </w:tc>
        <w:tc>
          <w:tcPr>
            <w:tcW w:w="80" w:type="dxa"/>
            <w:vAlign w:val="bottom"/>
            <w:shd w:val="clear" w:color="auto" w:fill="FDFDFC"/>
          </w:tcPr>
          <w:p>
            <w:pPr>
              <w:spacing w:after="0"/>
              <w:rPr>
                <w:sz w:val="20"/>
                <w:szCs w:val="20"/>
                <w:color w:val="auto"/>
              </w:rPr>
            </w:pPr>
          </w:p>
        </w:tc>
      </w:tr>
      <w:tr>
        <w:trPr>
          <w:trHeight w:val="230"/>
        </w:trPr>
        <w:tc>
          <w:tcPr>
            <w:tcW w:w="5700" w:type="dxa"/>
            <w:vAlign w:val="bottom"/>
            <w:shd w:val="clear" w:color="auto" w:fill="D0EBF2"/>
          </w:tcPr>
          <w:p>
            <w:pPr>
              <w:spacing w:after="0"/>
              <w:rPr>
                <w:sz w:val="20"/>
                <w:szCs w:val="20"/>
                <w:color w:val="auto"/>
              </w:rPr>
            </w:pPr>
            <w:r>
              <w:rPr>
                <w:rFonts w:ascii="Times New Roman" w:cs="Times New Roman" w:eastAsia="Times New Roman" w:hAnsi="Times New Roman"/>
                <w:sz w:val="19"/>
                <w:szCs w:val="19"/>
                <w:color w:val="231F20"/>
              </w:rPr>
              <w:t>AVSC Holding Corp. - Revolver</w:t>
            </w:r>
          </w:p>
        </w:tc>
        <w:tc>
          <w:tcPr>
            <w:tcW w:w="460" w:type="dxa"/>
            <w:vAlign w:val="bottom"/>
            <w:shd w:val="clear" w:color="auto" w:fill="D0EBF2"/>
          </w:tcPr>
          <w:p>
            <w:pPr>
              <w:spacing w:after="0"/>
              <w:rPr>
                <w:sz w:val="20"/>
                <w:szCs w:val="20"/>
                <w:color w:val="auto"/>
              </w:rPr>
            </w:pPr>
          </w:p>
        </w:tc>
        <w:tc>
          <w:tcPr>
            <w:tcW w:w="940" w:type="dxa"/>
            <w:vAlign w:val="bottom"/>
            <w:shd w:val="clear" w:color="auto" w:fill="D0EBF2"/>
          </w:tcPr>
          <w:p>
            <w:pPr>
              <w:jc w:val="right"/>
              <w:spacing w:after="0"/>
              <w:rPr>
                <w:sz w:val="20"/>
                <w:szCs w:val="20"/>
                <w:color w:val="auto"/>
              </w:rPr>
            </w:pPr>
            <w:r>
              <w:rPr>
                <w:rFonts w:ascii="Times New Roman" w:cs="Times New Roman" w:eastAsia="Times New Roman" w:hAnsi="Times New Roman"/>
                <w:sz w:val="19"/>
                <w:szCs w:val="19"/>
                <w:color w:val="231F20"/>
              </w:rPr>
              <w:t>4,833</w:t>
            </w:r>
          </w:p>
        </w:tc>
        <w:tc>
          <w:tcPr>
            <w:tcW w:w="280" w:type="dxa"/>
            <w:vAlign w:val="bottom"/>
            <w:shd w:val="clear" w:color="auto" w:fill="D0EBF2"/>
          </w:tcPr>
          <w:p>
            <w:pPr>
              <w:spacing w:after="0"/>
              <w:rPr>
                <w:sz w:val="20"/>
                <w:szCs w:val="20"/>
                <w:color w:val="auto"/>
              </w:rPr>
            </w:pPr>
          </w:p>
        </w:tc>
        <w:tc>
          <w:tcPr>
            <w:tcW w:w="480" w:type="dxa"/>
            <w:vAlign w:val="bottom"/>
            <w:shd w:val="clear" w:color="auto" w:fill="D0EBF2"/>
          </w:tcPr>
          <w:p>
            <w:pPr>
              <w:spacing w:after="0"/>
              <w:rPr>
                <w:sz w:val="20"/>
                <w:szCs w:val="20"/>
                <w:color w:val="auto"/>
              </w:rPr>
            </w:pPr>
          </w:p>
        </w:tc>
        <w:tc>
          <w:tcPr>
            <w:tcW w:w="1020" w:type="dxa"/>
            <w:vAlign w:val="bottom"/>
            <w:gridSpan w:val="2"/>
            <w:shd w:val="clear" w:color="auto" w:fill="D0EBF2"/>
          </w:tcPr>
          <w:p>
            <w:pPr>
              <w:jc w:val="right"/>
              <w:ind w:right="120"/>
              <w:spacing w:after="0"/>
              <w:rPr>
                <w:sz w:val="20"/>
                <w:szCs w:val="20"/>
                <w:color w:val="auto"/>
              </w:rPr>
            </w:pPr>
            <w:r>
              <w:rPr>
                <w:rFonts w:ascii="Times New Roman" w:cs="Times New Roman" w:eastAsia="Times New Roman" w:hAnsi="Times New Roman"/>
                <w:sz w:val="19"/>
                <w:szCs w:val="19"/>
                <w:color w:val="231F20"/>
              </w:rPr>
              <w:t>—</w:t>
            </w:r>
          </w:p>
        </w:tc>
      </w:tr>
      <w:tr>
        <w:trPr>
          <w:trHeight w:val="230"/>
        </w:trPr>
        <w:tc>
          <w:tcPr>
            <w:tcW w:w="5700" w:type="dxa"/>
            <w:vAlign w:val="bottom"/>
            <w:shd w:val="clear" w:color="auto" w:fill="FDFDFC"/>
          </w:tcPr>
          <w:p>
            <w:pPr>
              <w:spacing w:after="0"/>
              <w:rPr>
                <w:sz w:val="20"/>
                <w:szCs w:val="20"/>
                <w:color w:val="auto"/>
              </w:rPr>
            </w:pPr>
            <w:r>
              <w:rPr>
                <w:rFonts w:ascii="Times New Roman" w:cs="Times New Roman" w:eastAsia="Times New Roman" w:hAnsi="Times New Roman"/>
                <w:sz w:val="19"/>
                <w:szCs w:val="19"/>
                <w:color w:val="231F20"/>
              </w:rPr>
              <w:t>Axonify, Inc. - Delayed Draw</w:t>
            </w:r>
          </w:p>
        </w:tc>
        <w:tc>
          <w:tcPr>
            <w:tcW w:w="460" w:type="dxa"/>
            <w:vAlign w:val="bottom"/>
            <w:shd w:val="clear" w:color="auto" w:fill="FDFDFC"/>
          </w:tcPr>
          <w:p>
            <w:pPr>
              <w:spacing w:after="0"/>
              <w:rPr>
                <w:sz w:val="20"/>
                <w:szCs w:val="20"/>
                <w:color w:val="auto"/>
              </w:rPr>
            </w:pPr>
          </w:p>
        </w:tc>
        <w:tc>
          <w:tcPr>
            <w:tcW w:w="940" w:type="dxa"/>
            <w:vAlign w:val="bottom"/>
            <w:shd w:val="clear" w:color="auto" w:fill="FDFDFC"/>
          </w:tcPr>
          <w:p>
            <w:pPr>
              <w:jc w:val="right"/>
              <w:spacing w:after="0"/>
              <w:rPr>
                <w:sz w:val="20"/>
                <w:szCs w:val="20"/>
                <w:color w:val="auto"/>
              </w:rPr>
            </w:pPr>
            <w:r>
              <w:rPr>
                <w:rFonts w:ascii="Times New Roman" w:cs="Times New Roman" w:eastAsia="Times New Roman" w:hAnsi="Times New Roman"/>
                <w:sz w:val="19"/>
                <w:szCs w:val="19"/>
                <w:color w:val="231F20"/>
              </w:rPr>
              <w:t>694</w:t>
            </w:r>
          </w:p>
        </w:tc>
        <w:tc>
          <w:tcPr>
            <w:tcW w:w="280" w:type="dxa"/>
            <w:vAlign w:val="bottom"/>
            <w:shd w:val="clear" w:color="auto" w:fill="FDFDFC"/>
          </w:tcPr>
          <w:p>
            <w:pPr>
              <w:spacing w:after="0"/>
              <w:rPr>
                <w:sz w:val="20"/>
                <w:szCs w:val="20"/>
                <w:color w:val="auto"/>
              </w:rPr>
            </w:pPr>
          </w:p>
        </w:tc>
        <w:tc>
          <w:tcPr>
            <w:tcW w:w="480" w:type="dxa"/>
            <w:vAlign w:val="bottom"/>
            <w:shd w:val="clear" w:color="auto" w:fill="FDFDFC"/>
          </w:tcPr>
          <w:p>
            <w:pPr>
              <w:spacing w:after="0"/>
              <w:rPr>
                <w:sz w:val="20"/>
                <w:szCs w:val="20"/>
                <w:color w:val="auto"/>
              </w:rPr>
            </w:pPr>
          </w:p>
        </w:tc>
        <w:tc>
          <w:tcPr>
            <w:tcW w:w="940" w:type="dxa"/>
            <w:vAlign w:val="bottom"/>
            <w:shd w:val="clear" w:color="auto" w:fill="FDFDFC"/>
          </w:tcPr>
          <w:p>
            <w:pPr>
              <w:jc w:val="right"/>
              <w:spacing w:after="0"/>
              <w:rPr>
                <w:sz w:val="20"/>
                <w:szCs w:val="20"/>
                <w:color w:val="auto"/>
              </w:rPr>
            </w:pPr>
            <w:r>
              <w:rPr>
                <w:rFonts w:ascii="Times New Roman" w:cs="Times New Roman" w:eastAsia="Times New Roman" w:hAnsi="Times New Roman"/>
                <w:sz w:val="19"/>
                <w:szCs w:val="19"/>
                <w:color w:val="231F20"/>
              </w:rPr>
              <w:t>3,506</w:t>
            </w:r>
          </w:p>
        </w:tc>
        <w:tc>
          <w:tcPr>
            <w:tcW w:w="80" w:type="dxa"/>
            <w:vAlign w:val="bottom"/>
            <w:shd w:val="clear" w:color="auto" w:fill="FDFDFC"/>
          </w:tcPr>
          <w:p>
            <w:pPr>
              <w:spacing w:after="0"/>
              <w:rPr>
                <w:sz w:val="20"/>
                <w:szCs w:val="20"/>
                <w:color w:val="auto"/>
              </w:rPr>
            </w:pPr>
          </w:p>
        </w:tc>
      </w:tr>
      <w:tr>
        <w:trPr>
          <w:trHeight w:val="230"/>
        </w:trPr>
        <w:tc>
          <w:tcPr>
            <w:tcW w:w="5700" w:type="dxa"/>
            <w:vAlign w:val="bottom"/>
            <w:shd w:val="clear" w:color="auto" w:fill="D0EBF2"/>
          </w:tcPr>
          <w:p>
            <w:pPr>
              <w:spacing w:after="0"/>
              <w:rPr>
                <w:sz w:val="20"/>
                <w:szCs w:val="20"/>
                <w:color w:val="auto"/>
              </w:rPr>
            </w:pPr>
            <w:r>
              <w:rPr>
                <w:rFonts w:ascii="Times New Roman" w:cs="Times New Roman" w:eastAsia="Times New Roman" w:hAnsi="Times New Roman"/>
                <w:sz w:val="19"/>
                <w:szCs w:val="19"/>
                <w:color w:val="231F20"/>
              </w:rPr>
              <w:t>Azurite Intermediate Holdings, Inc. - Revolver &amp; Equity</w:t>
            </w:r>
          </w:p>
        </w:tc>
        <w:tc>
          <w:tcPr>
            <w:tcW w:w="460" w:type="dxa"/>
            <w:vAlign w:val="bottom"/>
            <w:shd w:val="clear" w:color="auto" w:fill="D0EBF2"/>
          </w:tcPr>
          <w:p>
            <w:pPr>
              <w:spacing w:after="0"/>
              <w:rPr>
                <w:sz w:val="20"/>
                <w:szCs w:val="20"/>
                <w:color w:val="auto"/>
              </w:rPr>
            </w:pPr>
          </w:p>
        </w:tc>
        <w:tc>
          <w:tcPr>
            <w:tcW w:w="940" w:type="dxa"/>
            <w:vAlign w:val="bottom"/>
            <w:shd w:val="clear" w:color="auto" w:fill="D0EBF2"/>
          </w:tcPr>
          <w:p>
            <w:pPr>
              <w:jc w:val="right"/>
              <w:spacing w:after="0"/>
              <w:rPr>
                <w:sz w:val="20"/>
                <w:szCs w:val="20"/>
                <w:color w:val="auto"/>
              </w:rPr>
            </w:pPr>
            <w:r>
              <w:rPr>
                <w:rFonts w:ascii="Times New Roman" w:cs="Times New Roman" w:eastAsia="Times New Roman" w:hAnsi="Times New Roman"/>
                <w:sz w:val="19"/>
                <w:szCs w:val="19"/>
                <w:color w:val="231F20"/>
              </w:rPr>
              <w:t>5,575</w:t>
            </w:r>
          </w:p>
        </w:tc>
        <w:tc>
          <w:tcPr>
            <w:tcW w:w="280" w:type="dxa"/>
            <w:vAlign w:val="bottom"/>
            <w:shd w:val="clear" w:color="auto" w:fill="D0EBF2"/>
          </w:tcPr>
          <w:p>
            <w:pPr>
              <w:spacing w:after="0"/>
              <w:rPr>
                <w:sz w:val="20"/>
                <w:szCs w:val="20"/>
                <w:color w:val="auto"/>
              </w:rPr>
            </w:pPr>
          </w:p>
        </w:tc>
        <w:tc>
          <w:tcPr>
            <w:tcW w:w="480" w:type="dxa"/>
            <w:vAlign w:val="bottom"/>
            <w:shd w:val="clear" w:color="auto" w:fill="D0EBF2"/>
          </w:tcPr>
          <w:p>
            <w:pPr>
              <w:spacing w:after="0"/>
              <w:rPr>
                <w:sz w:val="20"/>
                <w:szCs w:val="20"/>
                <w:color w:val="auto"/>
              </w:rPr>
            </w:pPr>
          </w:p>
        </w:tc>
        <w:tc>
          <w:tcPr>
            <w:tcW w:w="1020" w:type="dxa"/>
            <w:vAlign w:val="bottom"/>
            <w:gridSpan w:val="2"/>
            <w:shd w:val="clear" w:color="auto" w:fill="D0EBF2"/>
          </w:tcPr>
          <w:p>
            <w:pPr>
              <w:jc w:val="right"/>
              <w:ind w:right="120"/>
              <w:spacing w:after="0"/>
              <w:rPr>
                <w:sz w:val="20"/>
                <w:szCs w:val="20"/>
                <w:color w:val="auto"/>
              </w:rPr>
            </w:pPr>
            <w:r>
              <w:rPr>
                <w:rFonts w:ascii="Times New Roman" w:cs="Times New Roman" w:eastAsia="Times New Roman" w:hAnsi="Times New Roman"/>
                <w:sz w:val="19"/>
                <w:szCs w:val="19"/>
                <w:color w:val="231F20"/>
              </w:rPr>
              <w:t>—</w:t>
            </w:r>
          </w:p>
        </w:tc>
      </w:tr>
      <w:tr>
        <w:trPr>
          <w:trHeight w:val="230"/>
        </w:trPr>
        <w:tc>
          <w:tcPr>
            <w:tcW w:w="5700" w:type="dxa"/>
            <w:vAlign w:val="bottom"/>
            <w:shd w:val="clear" w:color="auto" w:fill="FDFDFC"/>
          </w:tcPr>
          <w:p>
            <w:pPr>
              <w:spacing w:after="0"/>
              <w:rPr>
                <w:sz w:val="20"/>
                <w:szCs w:val="20"/>
                <w:color w:val="auto"/>
              </w:rPr>
            </w:pPr>
            <w:r>
              <w:rPr>
                <w:rFonts w:ascii="Times New Roman" w:cs="Times New Roman" w:eastAsia="Times New Roman" w:hAnsi="Times New Roman"/>
                <w:sz w:val="19"/>
                <w:szCs w:val="19"/>
                <w:color w:val="231F20"/>
              </w:rPr>
              <w:t>Babylon Finco Limited - Delayed Draw</w:t>
            </w:r>
          </w:p>
        </w:tc>
        <w:tc>
          <w:tcPr>
            <w:tcW w:w="460" w:type="dxa"/>
            <w:vAlign w:val="bottom"/>
            <w:shd w:val="clear" w:color="auto" w:fill="FDFDFC"/>
          </w:tcPr>
          <w:p>
            <w:pPr>
              <w:spacing w:after="0"/>
              <w:rPr>
                <w:sz w:val="20"/>
                <w:szCs w:val="20"/>
                <w:color w:val="auto"/>
              </w:rPr>
            </w:pPr>
          </w:p>
        </w:tc>
        <w:tc>
          <w:tcPr>
            <w:tcW w:w="940" w:type="dxa"/>
            <w:vAlign w:val="bottom"/>
            <w:shd w:val="clear" w:color="auto" w:fill="FDFDFC"/>
          </w:tcPr>
          <w:p>
            <w:pPr>
              <w:jc w:val="right"/>
              <w:spacing w:after="0"/>
              <w:rPr>
                <w:sz w:val="20"/>
                <w:szCs w:val="20"/>
                <w:color w:val="auto"/>
              </w:rPr>
            </w:pPr>
            <w:r>
              <w:rPr>
                <w:rFonts w:ascii="Times New Roman" w:cs="Times New Roman" w:eastAsia="Times New Roman" w:hAnsi="Times New Roman"/>
                <w:sz w:val="19"/>
                <w:szCs w:val="19"/>
                <w:color w:val="231F20"/>
              </w:rPr>
              <w:t>287</w:t>
            </w:r>
          </w:p>
        </w:tc>
        <w:tc>
          <w:tcPr>
            <w:tcW w:w="280" w:type="dxa"/>
            <w:vAlign w:val="bottom"/>
            <w:shd w:val="clear" w:color="auto" w:fill="FDFDFC"/>
          </w:tcPr>
          <w:p>
            <w:pPr>
              <w:spacing w:after="0"/>
              <w:rPr>
                <w:sz w:val="20"/>
                <w:szCs w:val="20"/>
                <w:color w:val="auto"/>
              </w:rPr>
            </w:pPr>
          </w:p>
        </w:tc>
        <w:tc>
          <w:tcPr>
            <w:tcW w:w="480" w:type="dxa"/>
            <w:vAlign w:val="bottom"/>
            <w:shd w:val="clear" w:color="auto" w:fill="FDFDFC"/>
          </w:tcPr>
          <w:p>
            <w:pPr>
              <w:spacing w:after="0"/>
              <w:rPr>
                <w:sz w:val="20"/>
                <w:szCs w:val="20"/>
                <w:color w:val="auto"/>
              </w:rPr>
            </w:pPr>
          </w:p>
        </w:tc>
        <w:tc>
          <w:tcPr>
            <w:tcW w:w="1020" w:type="dxa"/>
            <w:vAlign w:val="bottom"/>
            <w:gridSpan w:val="2"/>
            <w:shd w:val="clear" w:color="auto" w:fill="FDFDFC"/>
          </w:tcPr>
          <w:p>
            <w:pPr>
              <w:jc w:val="right"/>
              <w:ind w:right="120"/>
              <w:spacing w:after="0"/>
              <w:rPr>
                <w:sz w:val="20"/>
                <w:szCs w:val="20"/>
                <w:color w:val="auto"/>
              </w:rPr>
            </w:pPr>
            <w:r>
              <w:rPr>
                <w:rFonts w:ascii="Times New Roman" w:cs="Times New Roman" w:eastAsia="Times New Roman" w:hAnsi="Times New Roman"/>
                <w:sz w:val="19"/>
                <w:szCs w:val="19"/>
                <w:color w:val="231F20"/>
              </w:rPr>
              <w:t>—</w:t>
            </w:r>
          </w:p>
        </w:tc>
      </w:tr>
      <w:tr>
        <w:trPr>
          <w:trHeight w:val="230"/>
        </w:trPr>
        <w:tc>
          <w:tcPr>
            <w:tcW w:w="5700" w:type="dxa"/>
            <w:vAlign w:val="bottom"/>
            <w:shd w:val="clear" w:color="auto" w:fill="D0EBF2"/>
          </w:tcPr>
          <w:p>
            <w:pPr>
              <w:spacing w:after="0"/>
              <w:rPr>
                <w:sz w:val="20"/>
                <w:szCs w:val="20"/>
                <w:color w:val="auto"/>
              </w:rPr>
            </w:pPr>
            <w:r>
              <w:rPr>
                <w:rFonts w:ascii="Times New Roman" w:cs="Times New Roman" w:eastAsia="Times New Roman" w:hAnsi="Times New Roman"/>
                <w:sz w:val="19"/>
                <w:szCs w:val="19"/>
                <w:color w:val="231F20"/>
              </w:rPr>
              <w:t>Banyan Software Holdings, LLC - Delayed Draw</w:t>
            </w:r>
          </w:p>
        </w:tc>
        <w:tc>
          <w:tcPr>
            <w:tcW w:w="460" w:type="dxa"/>
            <w:vAlign w:val="bottom"/>
            <w:shd w:val="clear" w:color="auto" w:fill="D0EBF2"/>
          </w:tcPr>
          <w:p>
            <w:pPr>
              <w:spacing w:after="0"/>
              <w:rPr>
                <w:sz w:val="20"/>
                <w:szCs w:val="20"/>
                <w:color w:val="auto"/>
              </w:rPr>
            </w:pPr>
          </w:p>
        </w:tc>
        <w:tc>
          <w:tcPr>
            <w:tcW w:w="940" w:type="dxa"/>
            <w:vAlign w:val="bottom"/>
            <w:shd w:val="clear" w:color="auto" w:fill="D0EBF2"/>
          </w:tcPr>
          <w:p>
            <w:pPr>
              <w:jc w:val="right"/>
              <w:spacing w:after="0"/>
              <w:rPr>
                <w:sz w:val="20"/>
                <w:szCs w:val="20"/>
                <w:color w:val="auto"/>
              </w:rPr>
            </w:pPr>
            <w:r>
              <w:rPr>
                <w:rFonts w:ascii="Times New Roman" w:cs="Times New Roman" w:eastAsia="Times New Roman" w:hAnsi="Times New Roman"/>
                <w:sz w:val="19"/>
                <w:szCs w:val="19"/>
                <w:color w:val="231F20"/>
              </w:rPr>
              <w:t>3,898</w:t>
            </w:r>
          </w:p>
        </w:tc>
        <w:tc>
          <w:tcPr>
            <w:tcW w:w="280" w:type="dxa"/>
            <w:vAlign w:val="bottom"/>
            <w:shd w:val="clear" w:color="auto" w:fill="D0EBF2"/>
          </w:tcPr>
          <w:p>
            <w:pPr>
              <w:spacing w:after="0"/>
              <w:rPr>
                <w:sz w:val="20"/>
                <w:szCs w:val="20"/>
                <w:color w:val="auto"/>
              </w:rPr>
            </w:pPr>
          </w:p>
        </w:tc>
        <w:tc>
          <w:tcPr>
            <w:tcW w:w="480" w:type="dxa"/>
            <w:vAlign w:val="bottom"/>
            <w:shd w:val="clear" w:color="auto" w:fill="D0EBF2"/>
          </w:tcPr>
          <w:p>
            <w:pPr>
              <w:spacing w:after="0"/>
              <w:rPr>
                <w:sz w:val="20"/>
                <w:szCs w:val="20"/>
                <w:color w:val="auto"/>
              </w:rPr>
            </w:pPr>
          </w:p>
        </w:tc>
        <w:tc>
          <w:tcPr>
            <w:tcW w:w="940" w:type="dxa"/>
            <w:vAlign w:val="bottom"/>
            <w:shd w:val="clear" w:color="auto" w:fill="D0EBF2"/>
          </w:tcPr>
          <w:p>
            <w:pPr>
              <w:jc w:val="right"/>
              <w:spacing w:after="0"/>
              <w:rPr>
                <w:sz w:val="20"/>
                <w:szCs w:val="20"/>
                <w:color w:val="auto"/>
              </w:rPr>
            </w:pPr>
            <w:r>
              <w:rPr>
                <w:rFonts w:ascii="Times New Roman" w:cs="Times New Roman" w:eastAsia="Times New Roman" w:hAnsi="Times New Roman"/>
                <w:sz w:val="19"/>
                <w:szCs w:val="19"/>
                <w:color w:val="231F20"/>
              </w:rPr>
              <w:t>10,036</w:t>
            </w:r>
          </w:p>
        </w:tc>
        <w:tc>
          <w:tcPr>
            <w:tcW w:w="80" w:type="dxa"/>
            <w:vAlign w:val="bottom"/>
            <w:shd w:val="clear" w:color="auto" w:fill="D0EBF2"/>
          </w:tcPr>
          <w:p>
            <w:pPr>
              <w:spacing w:after="0"/>
              <w:rPr>
                <w:sz w:val="20"/>
                <w:szCs w:val="20"/>
                <w:color w:val="auto"/>
              </w:rPr>
            </w:pPr>
          </w:p>
        </w:tc>
      </w:tr>
      <w:tr>
        <w:trPr>
          <w:trHeight w:val="230"/>
        </w:trPr>
        <w:tc>
          <w:tcPr>
            <w:tcW w:w="5700" w:type="dxa"/>
            <w:vAlign w:val="bottom"/>
            <w:shd w:val="clear" w:color="auto" w:fill="FDFDFC"/>
          </w:tcPr>
          <w:p>
            <w:pPr>
              <w:spacing w:after="0"/>
              <w:rPr>
                <w:sz w:val="20"/>
                <w:szCs w:val="20"/>
                <w:color w:val="auto"/>
              </w:rPr>
            </w:pPr>
            <w:r>
              <w:rPr>
                <w:rFonts w:ascii="Times New Roman" w:cs="Times New Roman" w:eastAsia="Times New Roman" w:hAnsi="Times New Roman"/>
                <w:sz w:val="19"/>
                <w:szCs w:val="19"/>
                <w:color w:val="231F20"/>
              </w:rPr>
              <w:t>Bayshore Intermediate #2, L.P. - Revolver</w:t>
            </w:r>
          </w:p>
        </w:tc>
        <w:tc>
          <w:tcPr>
            <w:tcW w:w="460" w:type="dxa"/>
            <w:vAlign w:val="bottom"/>
            <w:shd w:val="clear" w:color="auto" w:fill="FDFDFC"/>
          </w:tcPr>
          <w:p>
            <w:pPr>
              <w:spacing w:after="0"/>
              <w:rPr>
                <w:sz w:val="20"/>
                <w:szCs w:val="20"/>
                <w:color w:val="auto"/>
              </w:rPr>
            </w:pPr>
          </w:p>
        </w:tc>
        <w:tc>
          <w:tcPr>
            <w:tcW w:w="940" w:type="dxa"/>
            <w:vAlign w:val="bottom"/>
            <w:shd w:val="clear" w:color="auto" w:fill="FDFDFC"/>
          </w:tcPr>
          <w:p>
            <w:pPr>
              <w:jc w:val="right"/>
              <w:spacing w:after="0"/>
              <w:rPr>
                <w:sz w:val="20"/>
                <w:szCs w:val="20"/>
                <w:color w:val="auto"/>
              </w:rPr>
            </w:pPr>
            <w:r>
              <w:rPr>
                <w:rFonts w:ascii="Times New Roman" w:cs="Times New Roman" w:eastAsia="Times New Roman" w:hAnsi="Times New Roman"/>
                <w:sz w:val="19"/>
                <w:szCs w:val="19"/>
                <w:color w:val="231F20"/>
              </w:rPr>
              <w:t>3,635</w:t>
            </w:r>
          </w:p>
        </w:tc>
        <w:tc>
          <w:tcPr>
            <w:tcW w:w="280" w:type="dxa"/>
            <w:vAlign w:val="bottom"/>
            <w:shd w:val="clear" w:color="auto" w:fill="FDFDFC"/>
          </w:tcPr>
          <w:p>
            <w:pPr>
              <w:spacing w:after="0"/>
              <w:rPr>
                <w:sz w:val="20"/>
                <w:szCs w:val="20"/>
                <w:color w:val="auto"/>
              </w:rPr>
            </w:pPr>
          </w:p>
        </w:tc>
        <w:tc>
          <w:tcPr>
            <w:tcW w:w="480" w:type="dxa"/>
            <w:vAlign w:val="bottom"/>
            <w:shd w:val="clear" w:color="auto" w:fill="FDFDFC"/>
          </w:tcPr>
          <w:p>
            <w:pPr>
              <w:spacing w:after="0"/>
              <w:rPr>
                <w:sz w:val="20"/>
                <w:szCs w:val="20"/>
                <w:color w:val="auto"/>
              </w:rPr>
            </w:pPr>
          </w:p>
        </w:tc>
        <w:tc>
          <w:tcPr>
            <w:tcW w:w="940" w:type="dxa"/>
            <w:vAlign w:val="bottom"/>
            <w:shd w:val="clear" w:color="auto" w:fill="FDFDFC"/>
          </w:tcPr>
          <w:p>
            <w:pPr>
              <w:jc w:val="right"/>
              <w:spacing w:after="0"/>
              <w:rPr>
                <w:sz w:val="20"/>
                <w:szCs w:val="20"/>
                <w:color w:val="auto"/>
              </w:rPr>
            </w:pPr>
            <w:r>
              <w:rPr>
                <w:rFonts w:ascii="Times New Roman" w:cs="Times New Roman" w:eastAsia="Times New Roman" w:hAnsi="Times New Roman"/>
                <w:sz w:val="19"/>
                <w:szCs w:val="19"/>
                <w:color w:val="231F20"/>
              </w:rPr>
              <w:t>1,918</w:t>
            </w:r>
          </w:p>
        </w:tc>
        <w:tc>
          <w:tcPr>
            <w:tcW w:w="80" w:type="dxa"/>
            <w:vAlign w:val="bottom"/>
            <w:shd w:val="clear" w:color="auto" w:fill="FDFDFC"/>
          </w:tcPr>
          <w:p>
            <w:pPr>
              <w:spacing w:after="0"/>
              <w:rPr>
                <w:sz w:val="20"/>
                <w:szCs w:val="20"/>
                <w:color w:val="auto"/>
              </w:rPr>
            </w:pPr>
          </w:p>
        </w:tc>
      </w:tr>
      <w:tr>
        <w:trPr>
          <w:trHeight w:val="230"/>
        </w:trPr>
        <w:tc>
          <w:tcPr>
            <w:tcW w:w="5700" w:type="dxa"/>
            <w:vAlign w:val="bottom"/>
            <w:shd w:val="clear" w:color="auto" w:fill="D0EBF2"/>
          </w:tcPr>
          <w:p>
            <w:pPr>
              <w:spacing w:after="0"/>
              <w:rPr>
                <w:sz w:val="20"/>
                <w:szCs w:val="20"/>
                <w:color w:val="auto"/>
              </w:rPr>
            </w:pPr>
            <w:r>
              <w:rPr>
                <w:rFonts w:ascii="Times New Roman" w:cs="Times New Roman" w:eastAsia="Times New Roman" w:hAnsi="Times New Roman"/>
                <w:sz w:val="19"/>
                <w:szCs w:val="19"/>
                <w:color w:val="231F20"/>
              </w:rPr>
              <w:t>BCTO Ace Purchaser, Inc. - Delayed Draw &amp; Revolver</w:t>
            </w:r>
          </w:p>
        </w:tc>
        <w:tc>
          <w:tcPr>
            <w:tcW w:w="460" w:type="dxa"/>
            <w:vAlign w:val="bottom"/>
            <w:shd w:val="clear" w:color="auto" w:fill="D0EBF2"/>
          </w:tcPr>
          <w:p>
            <w:pPr>
              <w:spacing w:after="0"/>
              <w:rPr>
                <w:sz w:val="20"/>
                <w:szCs w:val="20"/>
                <w:color w:val="auto"/>
              </w:rPr>
            </w:pPr>
          </w:p>
        </w:tc>
        <w:tc>
          <w:tcPr>
            <w:tcW w:w="940" w:type="dxa"/>
            <w:vAlign w:val="bottom"/>
            <w:shd w:val="clear" w:color="auto" w:fill="D0EBF2"/>
          </w:tcPr>
          <w:p>
            <w:pPr>
              <w:jc w:val="right"/>
              <w:spacing w:after="0"/>
              <w:rPr>
                <w:sz w:val="20"/>
                <w:szCs w:val="20"/>
                <w:color w:val="auto"/>
              </w:rPr>
            </w:pPr>
            <w:r>
              <w:rPr>
                <w:rFonts w:ascii="Times New Roman" w:cs="Times New Roman" w:eastAsia="Times New Roman" w:hAnsi="Times New Roman"/>
                <w:sz w:val="19"/>
                <w:szCs w:val="19"/>
                <w:color w:val="231F20"/>
              </w:rPr>
              <w:t>324</w:t>
            </w:r>
          </w:p>
        </w:tc>
        <w:tc>
          <w:tcPr>
            <w:tcW w:w="280" w:type="dxa"/>
            <w:vAlign w:val="bottom"/>
            <w:shd w:val="clear" w:color="auto" w:fill="D0EBF2"/>
          </w:tcPr>
          <w:p>
            <w:pPr>
              <w:spacing w:after="0"/>
              <w:rPr>
                <w:sz w:val="20"/>
                <w:szCs w:val="20"/>
                <w:color w:val="auto"/>
              </w:rPr>
            </w:pPr>
          </w:p>
        </w:tc>
        <w:tc>
          <w:tcPr>
            <w:tcW w:w="480" w:type="dxa"/>
            <w:vAlign w:val="bottom"/>
            <w:shd w:val="clear" w:color="auto" w:fill="D0EBF2"/>
          </w:tcPr>
          <w:p>
            <w:pPr>
              <w:spacing w:after="0"/>
              <w:rPr>
                <w:sz w:val="20"/>
                <w:szCs w:val="20"/>
                <w:color w:val="auto"/>
              </w:rPr>
            </w:pPr>
          </w:p>
        </w:tc>
        <w:tc>
          <w:tcPr>
            <w:tcW w:w="940" w:type="dxa"/>
            <w:vAlign w:val="bottom"/>
            <w:shd w:val="clear" w:color="auto" w:fill="D0EBF2"/>
          </w:tcPr>
          <w:p>
            <w:pPr>
              <w:jc w:val="right"/>
              <w:spacing w:after="0"/>
              <w:rPr>
                <w:sz w:val="20"/>
                <w:szCs w:val="20"/>
                <w:color w:val="auto"/>
              </w:rPr>
            </w:pPr>
            <w:r>
              <w:rPr>
                <w:rFonts w:ascii="Times New Roman" w:cs="Times New Roman" w:eastAsia="Times New Roman" w:hAnsi="Times New Roman"/>
                <w:sz w:val="19"/>
                <w:szCs w:val="19"/>
                <w:color w:val="231F20"/>
              </w:rPr>
              <w:t>461</w:t>
            </w:r>
          </w:p>
        </w:tc>
        <w:tc>
          <w:tcPr>
            <w:tcW w:w="80" w:type="dxa"/>
            <w:vAlign w:val="bottom"/>
            <w:shd w:val="clear" w:color="auto" w:fill="D0EBF2"/>
          </w:tcPr>
          <w:p>
            <w:pPr>
              <w:spacing w:after="0"/>
              <w:rPr>
                <w:sz w:val="20"/>
                <w:szCs w:val="20"/>
                <w:color w:val="auto"/>
              </w:rPr>
            </w:pPr>
          </w:p>
        </w:tc>
      </w:tr>
      <w:tr>
        <w:trPr>
          <w:trHeight w:val="230"/>
        </w:trPr>
        <w:tc>
          <w:tcPr>
            <w:tcW w:w="5700" w:type="dxa"/>
            <w:vAlign w:val="bottom"/>
            <w:shd w:val="clear" w:color="auto" w:fill="FDFDFC"/>
          </w:tcPr>
          <w:p>
            <w:pPr>
              <w:spacing w:after="0"/>
              <w:rPr>
                <w:sz w:val="20"/>
                <w:szCs w:val="20"/>
                <w:color w:val="auto"/>
              </w:rPr>
            </w:pPr>
            <w:r>
              <w:rPr>
                <w:rFonts w:ascii="Times New Roman" w:cs="Times New Roman" w:eastAsia="Times New Roman" w:hAnsi="Times New Roman"/>
                <w:sz w:val="19"/>
                <w:szCs w:val="19"/>
                <w:color w:val="231F20"/>
              </w:rPr>
              <w:t>BCTO Bluebill Buyer, Inc. - Delayed Draw</w:t>
            </w:r>
          </w:p>
        </w:tc>
        <w:tc>
          <w:tcPr>
            <w:tcW w:w="460" w:type="dxa"/>
            <w:vAlign w:val="bottom"/>
            <w:shd w:val="clear" w:color="auto" w:fill="FDFDFC"/>
          </w:tcPr>
          <w:p>
            <w:pPr>
              <w:spacing w:after="0"/>
              <w:rPr>
                <w:sz w:val="20"/>
                <w:szCs w:val="20"/>
                <w:color w:val="auto"/>
              </w:rPr>
            </w:pPr>
          </w:p>
        </w:tc>
        <w:tc>
          <w:tcPr>
            <w:tcW w:w="940" w:type="dxa"/>
            <w:vAlign w:val="bottom"/>
            <w:shd w:val="clear" w:color="auto" w:fill="FDFDFC"/>
          </w:tcPr>
          <w:p>
            <w:pPr>
              <w:jc w:val="right"/>
              <w:spacing w:after="0"/>
              <w:rPr>
                <w:sz w:val="20"/>
                <w:szCs w:val="20"/>
                <w:color w:val="auto"/>
              </w:rPr>
            </w:pPr>
            <w:r>
              <w:rPr>
                <w:rFonts w:ascii="Times New Roman" w:cs="Times New Roman" w:eastAsia="Times New Roman" w:hAnsi="Times New Roman"/>
                <w:sz w:val="19"/>
                <w:szCs w:val="19"/>
                <w:color w:val="231F20"/>
              </w:rPr>
              <w:t>4,144</w:t>
            </w:r>
          </w:p>
        </w:tc>
        <w:tc>
          <w:tcPr>
            <w:tcW w:w="280" w:type="dxa"/>
            <w:vAlign w:val="bottom"/>
            <w:shd w:val="clear" w:color="auto" w:fill="FDFDFC"/>
          </w:tcPr>
          <w:p>
            <w:pPr>
              <w:spacing w:after="0"/>
              <w:rPr>
                <w:sz w:val="20"/>
                <w:szCs w:val="20"/>
                <w:color w:val="auto"/>
              </w:rPr>
            </w:pPr>
          </w:p>
        </w:tc>
        <w:tc>
          <w:tcPr>
            <w:tcW w:w="480" w:type="dxa"/>
            <w:vAlign w:val="bottom"/>
            <w:shd w:val="clear" w:color="auto" w:fill="FDFDFC"/>
          </w:tcPr>
          <w:p>
            <w:pPr>
              <w:spacing w:after="0"/>
              <w:rPr>
                <w:sz w:val="20"/>
                <w:szCs w:val="20"/>
                <w:color w:val="auto"/>
              </w:rPr>
            </w:pPr>
          </w:p>
        </w:tc>
        <w:tc>
          <w:tcPr>
            <w:tcW w:w="940" w:type="dxa"/>
            <w:vAlign w:val="bottom"/>
            <w:shd w:val="clear" w:color="auto" w:fill="FDFDFC"/>
          </w:tcPr>
          <w:p>
            <w:pPr>
              <w:jc w:val="right"/>
              <w:spacing w:after="0"/>
              <w:rPr>
                <w:sz w:val="20"/>
                <w:szCs w:val="20"/>
                <w:color w:val="auto"/>
              </w:rPr>
            </w:pPr>
            <w:r>
              <w:rPr>
                <w:rFonts w:ascii="Times New Roman" w:cs="Times New Roman" w:eastAsia="Times New Roman" w:hAnsi="Times New Roman"/>
                <w:sz w:val="19"/>
                <w:szCs w:val="19"/>
                <w:color w:val="231F20"/>
              </w:rPr>
              <w:t>5,110</w:t>
            </w:r>
          </w:p>
        </w:tc>
        <w:tc>
          <w:tcPr>
            <w:tcW w:w="80" w:type="dxa"/>
            <w:vAlign w:val="bottom"/>
            <w:shd w:val="clear" w:color="auto" w:fill="FDFDFC"/>
          </w:tcPr>
          <w:p>
            <w:pPr>
              <w:spacing w:after="0"/>
              <w:rPr>
                <w:sz w:val="20"/>
                <w:szCs w:val="20"/>
                <w:color w:val="auto"/>
              </w:rPr>
            </w:pPr>
          </w:p>
        </w:tc>
      </w:tr>
      <w:tr>
        <w:trPr>
          <w:trHeight w:val="230"/>
        </w:trPr>
        <w:tc>
          <w:tcPr>
            <w:tcW w:w="5700" w:type="dxa"/>
            <w:vAlign w:val="bottom"/>
            <w:shd w:val="clear" w:color="auto" w:fill="D0EBF2"/>
          </w:tcPr>
          <w:p>
            <w:pPr>
              <w:spacing w:after="0"/>
              <w:rPr>
                <w:sz w:val="20"/>
                <w:szCs w:val="20"/>
                <w:color w:val="auto"/>
              </w:rPr>
            </w:pPr>
            <w:r>
              <w:rPr>
                <w:rFonts w:ascii="Times New Roman" w:cs="Times New Roman" w:eastAsia="Times New Roman" w:hAnsi="Times New Roman"/>
                <w:sz w:val="19"/>
                <w:szCs w:val="19"/>
                <w:color w:val="231F20"/>
              </w:rPr>
              <w:t>Bear OpCo, LLC - Delayed Draw</w:t>
            </w:r>
          </w:p>
        </w:tc>
        <w:tc>
          <w:tcPr>
            <w:tcW w:w="460" w:type="dxa"/>
            <w:vAlign w:val="bottom"/>
            <w:shd w:val="clear" w:color="auto" w:fill="D0EBF2"/>
          </w:tcPr>
          <w:p>
            <w:pPr>
              <w:spacing w:after="0"/>
              <w:rPr>
                <w:sz w:val="20"/>
                <w:szCs w:val="20"/>
                <w:color w:val="auto"/>
              </w:rPr>
            </w:pPr>
          </w:p>
        </w:tc>
        <w:tc>
          <w:tcPr>
            <w:tcW w:w="940" w:type="dxa"/>
            <w:vAlign w:val="bottom"/>
            <w:shd w:val="clear" w:color="auto" w:fill="D0EBF2"/>
          </w:tcPr>
          <w:p>
            <w:pPr>
              <w:jc w:val="right"/>
              <w:spacing w:after="0"/>
              <w:rPr>
                <w:sz w:val="20"/>
                <w:szCs w:val="20"/>
                <w:color w:val="auto"/>
              </w:rPr>
            </w:pPr>
            <w:r>
              <w:rPr>
                <w:rFonts w:ascii="Times New Roman" w:cs="Times New Roman" w:eastAsia="Times New Roman" w:hAnsi="Times New Roman"/>
                <w:sz w:val="19"/>
                <w:szCs w:val="19"/>
                <w:color w:val="231F20"/>
              </w:rPr>
              <w:t>—</w:t>
            </w:r>
          </w:p>
        </w:tc>
        <w:tc>
          <w:tcPr>
            <w:tcW w:w="280" w:type="dxa"/>
            <w:vAlign w:val="bottom"/>
            <w:shd w:val="clear" w:color="auto" w:fill="D0EBF2"/>
          </w:tcPr>
          <w:p>
            <w:pPr>
              <w:spacing w:after="0"/>
              <w:rPr>
                <w:sz w:val="20"/>
                <w:szCs w:val="20"/>
                <w:color w:val="auto"/>
              </w:rPr>
            </w:pPr>
          </w:p>
        </w:tc>
        <w:tc>
          <w:tcPr>
            <w:tcW w:w="480" w:type="dxa"/>
            <w:vAlign w:val="bottom"/>
            <w:shd w:val="clear" w:color="auto" w:fill="D0EBF2"/>
          </w:tcPr>
          <w:p>
            <w:pPr>
              <w:spacing w:after="0"/>
              <w:rPr>
                <w:sz w:val="20"/>
                <w:szCs w:val="20"/>
                <w:color w:val="auto"/>
              </w:rPr>
            </w:pPr>
          </w:p>
        </w:tc>
        <w:tc>
          <w:tcPr>
            <w:tcW w:w="940" w:type="dxa"/>
            <w:vAlign w:val="bottom"/>
            <w:shd w:val="clear" w:color="auto" w:fill="D0EBF2"/>
          </w:tcPr>
          <w:p>
            <w:pPr>
              <w:jc w:val="right"/>
              <w:spacing w:after="0"/>
              <w:rPr>
                <w:sz w:val="20"/>
                <w:szCs w:val="20"/>
                <w:color w:val="auto"/>
              </w:rPr>
            </w:pPr>
            <w:r>
              <w:rPr>
                <w:rFonts w:ascii="Times New Roman" w:cs="Times New Roman" w:eastAsia="Times New Roman" w:hAnsi="Times New Roman"/>
                <w:sz w:val="19"/>
                <w:szCs w:val="19"/>
                <w:color w:val="231F20"/>
              </w:rPr>
              <w:t>1,183</w:t>
            </w:r>
          </w:p>
        </w:tc>
        <w:tc>
          <w:tcPr>
            <w:tcW w:w="80" w:type="dxa"/>
            <w:vAlign w:val="bottom"/>
            <w:shd w:val="clear" w:color="auto" w:fill="D0EBF2"/>
          </w:tcPr>
          <w:p>
            <w:pPr>
              <w:spacing w:after="0"/>
              <w:rPr>
                <w:sz w:val="20"/>
                <w:szCs w:val="20"/>
                <w:color w:val="auto"/>
              </w:rPr>
            </w:pPr>
          </w:p>
        </w:tc>
      </w:tr>
      <w:tr>
        <w:trPr>
          <w:trHeight w:val="230"/>
        </w:trPr>
        <w:tc>
          <w:tcPr>
            <w:tcW w:w="5700" w:type="dxa"/>
            <w:vAlign w:val="bottom"/>
            <w:shd w:val="clear" w:color="auto" w:fill="FDFDFC"/>
          </w:tcPr>
          <w:p>
            <w:pPr>
              <w:spacing w:after="0"/>
              <w:rPr>
                <w:sz w:val="20"/>
                <w:szCs w:val="20"/>
                <w:color w:val="auto"/>
              </w:rPr>
            </w:pPr>
            <w:r>
              <w:rPr>
                <w:rFonts w:ascii="Times New Roman" w:cs="Times New Roman" w:eastAsia="Times New Roman" w:hAnsi="Times New Roman"/>
                <w:sz w:val="19"/>
                <w:szCs w:val="19"/>
                <w:color w:val="231F20"/>
              </w:rPr>
              <w:t>Ben Nevis Midco Limited - Delayed Draw</w:t>
            </w:r>
          </w:p>
        </w:tc>
        <w:tc>
          <w:tcPr>
            <w:tcW w:w="460" w:type="dxa"/>
            <w:vAlign w:val="bottom"/>
            <w:shd w:val="clear" w:color="auto" w:fill="FDFDFC"/>
          </w:tcPr>
          <w:p>
            <w:pPr>
              <w:spacing w:after="0"/>
              <w:rPr>
                <w:sz w:val="20"/>
                <w:szCs w:val="20"/>
                <w:color w:val="auto"/>
              </w:rPr>
            </w:pPr>
          </w:p>
        </w:tc>
        <w:tc>
          <w:tcPr>
            <w:tcW w:w="940" w:type="dxa"/>
            <w:vAlign w:val="bottom"/>
            <w:shd w:val="clear" w:color="auto" w:fill="FDFDFC"/>
          </w:tcPr>
          <w:p>
            <w:pPr>
              <w:jc w:val="right"/>
              <w:spacing w:after="0"/>
              <w:rPr>
                <w:sz w:val="20"/>
                <w:szCs w:val="20"/>
                <w:color w:val="auto"/>
              </w:rPr>
            </w:pPr>
            <w:r>
              <w:rPr>
                <w:rFonts w:ascii="Times New Roman" w:cs="Times New Roman" w:eastAsia="Times New Roman" w:hAnsi="Times New Roman"/>
                <w:sz w:val="19"/>
                <w:szCs w:val="19"/>
                <w:color w:val="231F20"/>
              </w:rPr>
              <w:t>1,365</w:t>
            </w:r>
          </w:p>
        </w:tc>
        <w:tc>
          <w:tcPr>
            <w:tcW w:w="280" w:type="dxa"/>
            <w:vAlign w:val="bottom"/>
            <w:shd w:val="clear" w:color="auto" w:fill="FDFDFC"/>
          </w:tcPr>
          <w:p>
            <w:pPr>
              <w:spacing w:after="0"/>
              <w:rPr>
                <w:sz w:val="20"/>
                <w:szCs w:val="20"/>
                <w:color w:val="auto"/>
              </w:rPr>
            </w:pPr>
          </w:p>
        </w:tc>
        <w:tc>
          <w:tcPr>
            <w:tcW w:w="480" w:type="dxa"/>
            <w:vAlign w:val="bottom"/>
            <w:shd w:val="clear" w:color="auto" w:fill="FDFDFC"/>
          </w:tcPr>
          <w:p>
            <w:pPr>
              <w:spacing w:after="0"/>
              <w:rPr>
                <w:sz w:val="20"/>
                <w:szCs w:val="20"/>
                <w:color w:val="auto"/>
              </w:rPr>
            </w:pPr>
          </w:p>
        </w:tc>
        <w:tc>
          <w:tcPr>
            <w:tcW w:w="1020" w:type="dxa"/>
            <w:vAlign w:val="bottom"/>
            <w:gridSpan w:val="2"/>
            <w:shd w:val="clear" w:color="auto" w:fill="FDFDFC"/>
          </w:tcPr>
          <w:p>
            <w:pPr>
              <w:jc w:val="right"/>
              <w:ind w:right="120"/>
              <w:spacing w:after="0"/>
              <w:rPr>
                <w:sz w:val="20"/>
                <w:szCs w:val="20"/>
                <w:color w:val="auto"/>
              </w:rPr>
            </w:pPr>
            <w:r>
              <w:rPr>
                <w:rFonts w:ascii="Times New Roman" w:cs="Times New Roman" w:eastAsia="Times New Roman" w:hAnsi="Times New Roman"/>
                <w:sz w:val="19"/>
                <w:szCs w:val="19"/>
                <w:color w:val="231F20"/>
              </w:rPr>
              <w:t>—</w:t>
            </w:r>
          </w:p>
        </w:tc>
      </w:tr>
      <w:tr>
        <w:trPr>
          <w:trHeight w:val="230"/>
        </w:trPr>
        <w:tc>
          <w:tcPr>
            <w:tcW w:w="5700" w:type="dxa"/>
            <w:vAlign w:val="bottom"/>
            <w:shd w:val="clear" w:color="auto" w:fill="D0EBF2"/>
          </w:tcPr>
          <w:p>
            <w:pPr>
              <w:spacing w:after="0"/>
              <w:rPr>
                <w:sz w:val="20"/>
                <w:szCs w:val="20"/>
                <w:color w:val="auto"/>
              </w:rPr>
            </w:pPr>
            <w:r>
              <w:rPr>
                <w:rFonts w:ascii="Times New Roman" w:cs="Times New Roman" w:eastAsia="Times New Roman" w:hAnsi="Times New Roman"/>
                <w:sz w:val="19"/>
                <w:szCs w:val="19"/>
                <w:color w:val="231F20"/>
              </w:rPr>
              <w:t>BlueSnap, Inc. - Delayed Draw &amp; Revolver</w:t>
            </w:r>
          </w:p>
        </w:tc>
        <w:tc>
          <w:tcPr>
            <w:tcW w:w="460" w:type="dxa"/>
            <w:vAlign w:val="bottom"/>
            <w:shd w:val="clear" w:color="auto" w:fill="D0EBF2"/>
          </w:tcPr>
          <w:p>
            <w:pPr>
              <w:spacing w:after="0"/>
              <w:rPr>
                <w:sz w:val="20"/>
                <w:szCs w:val="20"/>
                <w:color w:val="auto"/>
              </w:rPr>
            </w:pPr>
          </w:p>
        </w:tc>
        <w:tc>
          <w:tcPr>
            <w:tcW w:w="940" w:type="dxa"/>
            <w:vAlign w:val="bottom"/>
            <w:shd w:val="clear" w:color="auto" w:fill="D0EBF2"/>
          </w:tcPr>
          <w:p>
            <w:pPr>
              <w:jc w:val="right"/>
              <w:spacing w:after="0"/>
              <w:rPr>
                <w:sz w:val="20"/>
                <w:szCs w:val="20"/>
                <w:color w:val="auto"/>
              </w:rPr>
            </w:pPr>
            <w:r>
              <w:rPr>
                <w:rFonts w:ascii="Times New Roman" w:cs="Times New Roman" w:eastAsia="Times New Roman" w:hAnsi="Times New Roman"/>
                <w:sz w:val="19"/>
                <w:szCs w:val="19"/>
                <w:color w:val="231F20"/>
              </w:rPr>
              <w:t>5,069</w:t>
            </w:r>
          </w:p>
        </w:tc>
        <w:tc>
          <w:tcPr>
            <w:tcW w:w="280" w:type="dxa"/>
            <w:vAlign w:val="bottom"/>
            <w:shd w:val="clear" w:color="auto" w:fill="D0EBF2"/>
          </w:tcPr>
          <w:p>
            <w:pPr>
              <w:spacing w:after="0"/>
              <w:rPr>
                <w:sz w:val="20"/>
                <w:szCs w:val="20"/>
                <w:color w:val="auto"/>
              </w:rPr>
            </w:pPr>
          </w:p>
        </w:tc>
        <w:tc>
          <w:tcPr>
            <w:tcW w:w="480" w:type="dxa"/>
            <w:vAlign w:val="bottom"/>
            <w:shd w:val="clear" w:color="auto" w:fill="D0EBF2"/>
          </w:tcPr>
          <w:p>
            <w:pPr>
              <w:spacing w:after="0"/>
              <w:rPr>
                <w:sz w:val="20"/>
                <w:szCs w:val="20"/>
                <w:color w:val="auto"/>
              </w:rPr>
            </w:pPr>
          </w:p>
        </w:tc>
        <w:tc>
          <w:tcPr>
            <w:tcW w:w="940" w:type="dxa"/>
            <w:vAlign w:val="bottom"/>
            <w:shd w:val="clear" w:color="auto" w:fill="D0EBF2"/>
          </w:tcPr>
          <w:p>
            <w:pPr>
              <w:jc w:val="right"/>
              <w:spacing w:after="0"/>
              <w:rPr>
                <w:sz w:val="20"/>
                <w:szCs w:val="20"/>
                <w:color w:val="auto"/>
              </w:rPr>
            </w:pPr>
            <w:r>
              <w:rPr>
                <w:rFonts w:ascii="Times New Roman" w:cs="Times New Roman" w:eastAsia="Times New Roman" w:hAnsi="Times New Roman"/>
                <w:sz w:val="19"/>
                <w:szCs w:val="19"/>
                <w:color w:val="231F20"/>
              </w:rPr>
              <w:t>2,500</w:t>
            </w:r>
          </w:p>
        </w:tc>
        <w:tc>
          <w:tcPr>
            <w:tcW w:w="80" w:type="dxa"/>
            <w:vAlign w:val="bottom"/>
            <w:shd w:val="clear" w:color="auto" w:fill="D0EBF2"/>
          </w:tcPr>
          <w:p>
            <w:pPr>
              <w:spacing w:after="0"/>
              <w:rPr>
                <w:sz w:val="20"/>
                <w:szCs w:val="20"/>
                <w:color w:val="auto"/>
              </w:rPr>
            </w:pPr>
          </w:p>
        </w:tc>
      </w:tr>
      <w:tr>
        <w:trPr>
          <w:trHeight w:val="230"/>
        </w:trPr>
        <w:tc>
          <w:tcPr>
            <w:tcW w:w="5700" w:type="dxa"/>
            <w:vAlign w:val="bottom"/>
            <w:shd w:val="clear" w:color="auto" w:fill="FDFDFC"/>
          </w:tcPr>
          <w:p>
            <w:pPr>
              <w:spacing w:after="0"/>
              <w:rPr>
                <w:sz w:val="20"/>
                <w:szCs w:val="20"/>
                <w:color w:val="auto"/>
              </w:rPr>
            </w:pPr>
            <w:r>
              <w:rPr>
                <w:rFonts w:ascii="Times New Roman" w:cs="Times New Roman" w:eastAsia="Times New Roman" w:hAnsi="Times New Roman"/>
                <w:sz w:val="19"/>
                <w:szCs w:val="19"/>
                <w:color w:val="231F20"/>
              </w:rPr>
              <w:t>BTRS Holdings, Inc. - Delayed Draw &amp; Revolver</w:t>
            </w:r>
          </w:p>
        </w:tc>
        <w:tc>
          <w:tcPr>
            <w:tcW w:w="460" w:type="dxa"/>
            <w:vAlign w:val="bottom"/>
            <w:shd w:val="clear" w:color="auto" w:fill="FDFDFC"/>
          </w:tcPr>
          <w:p>
            <w:pPr>
              <w:spacing w:after="0"/>
              <w:rPr>
                <w:sz w:val="20"/>
                <w:szCs w:val="20"/>
                <w:color w:val="auto"/>
              </w:rPr>
            </w:pPr>
          </w:p>
        </w:tc>
        <w:tc>
          <w:tcPr>
            <w:tcW w:w="940" w:type="dxa"/>
            <w:vAlign w:val="bottom"/>
            <w:shd w:val="clear" w:color="auto" w:fill="FDFDFC"/>
          </w:tcPr>
          <w:p>
            <w:pPr>
              <w:jc w:val="right"/>
              <w:spacing w:after="0"/>
              <w:rPr>
                <w:sz w:val="20"/>
                <w:szCs w:val="20"/>
                <w:color w:val="auto"/>
              </w:rPr>
            </w:pPr>
            <w:r>
              <w:rPr>
                <w:rFonts w:ascii="Times New Roman" w:cs="Times New Roman" w:eastAsia="Times New Roman" w:hAnsi="Times New Roman"/>
                <w:sz w:val="19"/>
                <w:szCs w:val="19"/>
                <w:color w:val="231F20"/>
              </w:rPr>
              <w:t>3,029</w:t>
            </w:r>
          </w:p>
        </w:tc>
        <w:tc>
          <w:tcPr>
            <w:tcW w:w="280" w:type="dxa"/>
            <w:vAlign w:val="bottom"/>
            <w:shd w:val="clear" w:color="auto" w:fill="FDFDFC"/>
          </w:tcPr>
          <w:p>
            <w:pPr>
              <w:spacing w:after="0"/>
              <w:rPr>
                <w:sz w:val="20"/>
                <w:szCs w:val="20"/>
                <w:color w:val="auto"/>
              </w:rPr>
            </w:pPr>
          </w:p>
        </w:tc>
        <w:tc>
          <w:tcPr>
            <w:tcW w:w="480" w:type="dxa"/>
            <w:vAlign w:val="bottom"/>
            <w:shd w:val="clear" w:color="auto" w:fill="FDFDFC"/>
          </w:tcPr>
          <w:p>
            <w:pPr>
              <w:spacing w:after="0"/>
              <w:rPr>
                <w:sz w:val="20"/>
                <w:szCs w:val="20"/>
                <w:color w:val="auto"/>
              </w:rPr>
            </w:pPr>
          </w:p>
        </w:tc>
        <w:tc>
          <w:tcPr>
            <w:tcW w:w="940" w:type="dxa"/>
            <w:vAlign w:val="bottom"/>
            <w:shd w:val="clear" w:color="auto" w:fill="FDFDFC"/>
          </w:tcPr>
          <w:p>
            <w:pPr>
              <w:jc w:val="right"/>
              <w:spacing w:after="0"/>
              <w:rPr>
                <w:sz w:val="20"/>
                <w:szCs w:val="20"/>
                <w:color w:val="auto"/>
              </w:rPr>
            </w:pPr>
            <w:r>
              <w:rPr>
                <w:rFonts w:ascii="Times New Roman" w:cs="Times New Roman" w:eastAsia="Times New Roman" w:hAnsi="Times New Roman"/>
                <w:sz w:val="19"/>
                <w:szCs w:val="19"/>
                <w:color w:val="231F20"/>
              </w:rPr>
              <w:t>5,563</w:t>
            </w:r>
          </w:p>
        </w:tc>
        <w:tc>
          <w:tcPr>
            <w:tcW w:w="80" w:type="dxa"/>
            <w:vAlign w:val="bottom"/>
            <w:shd w:val="clear" w:color="auto" w:fill="FDFDFC"/>
          </w:tcPr>
          <w:p>
            <w:pPr>
              <w:spacing w:after="0"/>
              <w:rPr>
                <w:sz w:val="20"/>
                <w:szCs w:val="20"/>
                <w:color w:val="auto"/>
              </w:rPr>
            </w:pPr>
          </w:p>
        </w:tc>
      </w:tr>
      <w:tr>
        <w:trPr>
          <w:trHeight w:val="230"/>
        </w:trPr>
        <w:tc>
          <w:tcPr>
            <w:tcW w:w="5700" w:type="dxa"/>
            <w:vAlign w:val="bottom"/>
            <w:shd w:val="clear" w:color="auto" w:fill="D0EBF2"/>
          </w:tcPr>
          <w:p>
            <w:pPr>
              <w:spacing w:after="0"/>
              <w:rPr>
                <w:sz w:val="20"/>
                <w:szCs w:val="20"/>
                <w:color w:val="auto"/>
              </w:rPr>
            </w:pPr>
            <w:r>
              <w:rPr>
                <w:rFonts w:ascii="Times New Roman" w:cs="Times New Roman" w:eastAsia="Times New Roman" w:hAnsi="Times New Roman"/>
                <w:sz w:val="19"/>
                <w:szCs w:val="19"/>
                <w:color w:val="231F20"/>
              </w:rPr>
              <w:t>Cirrus (Bidco) Ltd - Delayed Draw</w:t>
            </w:r>
          </w:p>
        </w:tc>
        <w:tc>
          <w:tcPr>
            <w:tcW w:w="460" w:type="dxa"/>
            <w:vAlign w:val="bottom"/>
            <w:shd w:val="clear" w:color="auto" w:fill="D0EBF2"/>
          </w:tcPr>
          <w:p>
            <w:pPr>
              <w:spacing w:after="0"/>
              <w:rPr>
                <w:sz w:val="20"/>
                <w:szCs w:val="20"/>
                <w:color w:val="auto"/>
              </w:rPr>
            </w:pPr>
          </w:p>
        </w:tc>
        <w:tc>
          <w:tcPr>
            <w:tcW w:w="940" w:type="dxa"/>
            <w:vAlign w:val="bottom"/>
            <w:shd w:val="clear" w:color="auto" w:fill="D0EBF2"/>
          </w:tcPr>
          <w:p>
            <w:pPr>
              <w:jc w:val="right"/>
              <w:spacing w:after="0"/>
              <w:rPr>
                <w:sz w:val="20"/>
                <w:szCs w:val="20"/>
                <w:color w:val="auto"/>
              </w:rPr>
            </w:pPr>
            <w:r>
              <w:rPr>
                <w:rFonts w:ascii="Times New Roman" w:cs="Times New Roman" w:eastAsia="Times New Roman" w:hAnsi="Times New Roman"/>
                <w:sz w:val="19"/>
                <w:szCs w:val="19"/>
                <w:color w:val="231F20"/>
              </w:rPr>
              <w:t>417</w:t>
            </w:r>
          </w:p>
        </w:tc>
        <w:tc>
          <w:tcPr>
            <w:tcW w:w="280" w:type="dxa"/>
            <w:vAlign w:val="bottom"/>
            <w:shd w:val="clear" w:color="auto" w:fill="D0EBF2"/>
          </w:tcPr>
          <w:p>
            <w:pPr>
              <w:spacing w:after="0"/>
              <w:rPr>
                <w:sz w:val="20"/>
                <w:szCs w:val="20"/>
                <w:color w:val="auto"/>
              </w:rPr>
            </w:pPr>
          </w:p>
        </w:tc>
        <w:tc>
          <w:tcPr>
            <w:tcW w:w="480" w:type="dxa"/>
            <w:vAlign w:val="bottom"/>
            <w:shd w:val="clear" w:color="auto" w:fill="D0EBF2"/>
          </w:tcPr>
          <w:p>
            <w:pPr>
              <w:spacing w:after="0"/>
              <w:rPr>
                <w:sz w:val="20"/>
                <w:szCs w:val="20"/>
                <w:color w:val="auto"/>
              </w:rPr>
            </w:pPr>
          </w:p>
        </w:tc>
        <w:tc>
          <w:tcPr>
            <w:tcW w:w="1020" w:type="dxa"/>
            <w:vAlign w:val="bottom"/>
            <w:gridSpan w:val="2"/>
            <w:shd w:val="clear" w:color="auto" w:fill="D0EBF2"/>
          </w:tcPr>
          <w:p>
            <w:pPr>
              <w:jc w:val="right"/>
              <w:ind w:right="120"/>
              <w:spacing w:after="0"/>
              <w:rPr>
                <w:sz w:val="20"/>
                <w:szCs w:val="20"/>
                <w:color w:val="auto"/>
              </w:rPr>
            </w:pPr>
            <w:r>
              <w:rPr>
                <w:rFonts w:ascii="Times New Roman" w:cs="Times New Roman" w:eastAsia="Times New Roman" w:hAnsi="Times New Roman"/>
                <w:sz w:val="19"/>
                <w:szCs w:val="19"/>
                <w:color w:val="231F20"/>
              </w:rPr>
              <w:t>—</w:t>
            </w:r>
          </w:p>
        </w:tc>
      </w:tr>
      <w:tr>
        <w:trPr>
          <w:trHeight w:val="230"/>
        </w:trPr>
        <w:tc>
          <w:tcPr>
            <w:tcW w:w="5700" w:type="dxa"/>
            <w:vAlign w:val="bottom"/>
            <w:shd w:val="clear" w:color="auto" w:fill="FDFDFC"/>
          </w:tcPr>
          <w:p>
            <w:pPr>
              <w:spacing w:after="0"/>
              <w:rPr>
                <w:sz w:val="20"/>
                <w:szCs w:val="20"/>
                <w:color w:val="auto"/>
              </w:rPr>
            </w:pPr>
            <w:r>
              <w:rPr>
                <w:rFonts w:ascii="Times New Roman" w:cs="Times New Roman" w:eastAsia="Times New Roman" w:hAnsi="Times New Roman"/>
                <w:sz w:val="19"/>
                <w:szCs w:val="19"/>
                <w:color w:val="231F20"/>
              </w:rPr>
              <w:t>Cordance Operations, LLC - Delayed Draw &amp; Revolver</w:t>
            </w:r>
          </w:p>
        </w:tc>
        <w:tc>
          <w:tcPr>
            <w:tcW w:w="460" w:type="dxa"/>
            <w:vAlign w:val="bottom"/>
            <w:shd w:val="clear" w:color="auto" w:fill="FDFDFC"/>
          </w:tcPr>
          <w:p>
            <w:pPr>
              <w:spacing w:after="0"/>
              <w:rPr>
                <w:sz w:val="20"/>
                <w:szCs w:val="20"/>
                <w:color w:val="auto"/>
              </w:rPr>
            </w:pPr>
          </w:p>
        </w:tc>
        <w:tc>
          <w:tcPr>
            <w:tcW w:w="940" w:type="dxa"/>
            <w:vAlign w:val="bottom"/>
            <w:shd w:val="clear" w:color="auto" w:fill="FDFDFC"/>
          </w:tcPr>
          <w:p>
            <w:pPr>
              <w:jc w:val="right"/>
              <w:spacing w:after="0"/>
              <w:rPr>
                <w:sz w:val="20"/>
                <w:szCs w:val="20"/>
                <w:color w:val="auto"/>
              </w:rPr>
            </w:pPr>
            <w:r>
              <w:rPr>
                <w:rFonts w:ascii="Times New Roman" w:cs="Times New Roman" w:eastAsia="Times New Roman" w:hAnsi="Times New Roman"/>
                <w:sz w:val="19"/>
                <w:szCs w:val="19"/>
                <w:color w:val="231F20"/>
              </w:rPr>
              <w:t>6,719</w:t>
            </w:r>
          </w:p>
        </w:tc>
        <w:tc>
          <w:tcPr>
            <w:tcW w:w="280" w:type="dxa"/>
            <w:vAlign w:val="bottom"/>
            <w:shd w:val="clear" w:color="auto" w:fill="FDFDFC"/>
          </w:tcPr>
          <w:p>
            <w:pPr>
              <w:spacing w:after="0"/>
              <w:rPr>
                <w:sz w:val="20"/>
                <w:szCs w:val="20"/>
                <w:color w:val="auto"/>
              </w:rPr>
            </w:pPr>
          </w:p>
        </w:tc>
        <w:tc>
          <w:tcPr>
            <w:tcW w:w="480" w:type="dxa"/>
            <w:vAlign w:val="bottom"/>
            <w:shd w:val="clear" w:color="auto" w:fill="FDFDFC"/>
          </w:tcPr>
          <w:p>
            <w:pPr>
              <w:spacing w:after="0"/>
              <w:rPr>
                <w:sz w:val="20"/>
                <w:szCs w:val="20"/>
                <w:color w:val="auto"/>
              </w:rPr>
            </w:pPr>
          </w:p>
        </w:tc>
        <w:tc>
          <w:tcPr>
            <w:tcW w:w="940" w:type="dxa"/>
            <w:vAlign w:val="bottom"/>
            <w:shd w:val="clear" w:color="auto" w:fill="FDFDFC"/>
          </w:tcPr>
          <w:p>
            <w:pPr>
              <w:jc w:val="right"/>
              <w:spacing w:after="0"/>
              <w:rPr>
                <w:sz w:val="20"/>
                <w:szCs w:val="20"/>
                <w:color w:val="auto"/>
              </w:rPr>
            </w:pPr>
            <w:r>
              <w:rPr>
                <w:rFonts w:ascii="Times New Roman" w:cs="Times New Roman" w:eastAsia="Times New Roman" w:hAnsi="Times New Roman"/>
                <w:sz w:val="19"/>
                <w:szCs w:val="19"/>
                <w:color w:val="231F20"/>
              </w:rPr>
              <w:t>1,956</w:t>
            </w:r>
          </w:p>
        </w:tc>
        <w:tc>
          <w:tcPr>
            <w:tcW w:w="80" w:type="dxa"/>
            <w:vAlign w:val="bottom"/>
            <w:shd w:val="clear" w:color="auto" w:fill="FDFDFC"/>
          </w:tcPr>
          <w:p>
            <w:pPr>
              <w:spacing w:after="0"/>
              <w:rPr>
                <w:sz w:val="20"/>
                <w:szCs w:val="20"/>
                <w:color w:val="auto"/>
              </w:rPr>
            </w:pPr>
          </w:p>
        </w:tc>
      </w:tr>
      <w:tr>
        <w:trPr>
          <w:trHeight w:val="230"/>
        </w:trPr>
        <w:tc>
          <w:tcPr>
            <w:tcW w:w="5700" w:type="dxa"/>
            <w:vAlign w:val="bottom"/>
            <w:shd w:val="clear" w:color="auto" w:fill="D0EBF2"/>
          </w:tcPr>
          <w:p>
            <w:pPr>
              <w:spacing w:after="0"/>
              <w:rPr>
                <w:sz w:val="20"/>
                <w:szCs w:val="20"/>
                <w:color w:val="auto"/>
              </w:rPr>
            </w:pPr>
            <w:r>
              <w:rPr>
                <w:rFonts w:ascii="Times New Roman" w:cs="Times New Roman" w:eastAsia="Times New Roman" w:hAnsi="Times New Roman"/>
                <w:sz w:val="19"/>
                <w:szCs w:val="19"/>
                <w:color w:val="231F20"/>
              </w:rPr>
              <w:t>Coupa Holdings, LLC - Delayed Draw &amp; Revolver</w:t>
            </w:r>
          </w:p>
        </w:tc>
        <w:tc>
          <w:tcPr>
            <w:tcW w:w="460" w:type="dxa"/>
            <w:vAlign w:val="bottom"/>
            <w:shd w:val="clear" w:color="auto" w:fill="D0EBF2"/>
          </w:tcPr>
          <w:p>
            <w:pPr>
              <w:spacing w:after="0"/>
              <w:rPr>
                <w:sz w:val="20"/>
                <w:szCs w:val="20"/>
                <w:color w:val="auto"/>
              </w:rPr>
            </w:pPr>
          </w:p>
        </w:tc>
        <w:tc>
          <w:tcPr>
            <w:tcW w:w="940" w:type="dxa"/>
            <w:vAlign w:val="bottom"/>
            <w:shd w:val="clear" w:color="auto" w:fill="D0EBF2"/>
          </w:tcPr>
          <w:p>
            <w:pPr>
              <w:jc w:val="right"/>
              <w:spacing w:after="0"/>
              <w:rPr>
                <w:sz w:val="20"/>
                <w:szCs w:val="20"/>
                <w:color w:val="auto"/>
              </w:rPr>
            </w:pPr>
            <w:r>
              <w:rPr>
                <w:rFonts w:ascii="Times New Roman" w:cs="Times New Roman" w:eastAsia="Times New Roman" w:hAnsi="Times New Roman"/>
                <w:sz w:val="19"/>
                <w:szCs w:val="19"/>
                <w:color w:val="231F20"/>
              </w:rPr>
              <w:t>6,809</w:t>
            </w:r>
          </w:p>
        </w:tc>
        <w:tc>
          <w:tcPr>
            <w:tcW w:w="280" w:type="dxa"/>
            <w:vAlign w:val="bottom"/>
            <w:shd w:val="clear" w:color="auto" w:fill="D0EBF2"/>
          </w:tcPr>
          <w:p>
            <w:pPr>
              <w:spacing w:after="0"/>
              <w:rPr>
                <w:sz w:val="20"/>
                <w:szCs w:val="20"/>
                <w:color w:val="auto"/>
              </w:rPr>
            </w:pPr>
          </w:p>
        </w:tc>
        <w:tc>
          <w:tcPr>
            <w:tcW w:w="480" w:type="dxa"/>
            <w:vAlign w:val="bottom"/>
            <w:shd w:val="clear" w:color="auto" w:fill="D0EBF2"/>
          </w:tcPr>
          <w:p>
            <w:pPr>
              <w:spacing w:after="0"/>
              <w:rPr>
                <w:sz w:val="20"/>
                <w:szCs w:val="20"/>
                <w:color w:val="auto"/>
              </w:rPr>
            </w:pPr>
          </w:p>
        </w:tc>
        <w:tc>
          <w:tcPr>
            <w:tcW w:w="940" w:type="dxa"/>
            <w:vAlign w:val="bottom"/>
            <w:shd w:val="clear" w:color="auto" w:fill="D0EBF2"/>
          </w:tcPr>
          <w:p>
            <w:pPr>
              <w:jc w:val="right"/>
              <w:spacing w:after="0"/>
              <w:rPr>
                <w:sz w:val="20"/>
                <w:szCs w:val="20"/>
                <w:color w:val="auto"/>
              </w:rPr>
            </w:pPr>
            <w:r>
              <w:rPr>
                <w:rFonts w:ascii="Times New Roman" w:cs="Times New Roman" w:eastAsia="Times New Roman" w:hAnsi="Times New Roman"/>
                <w:sz w:val="19"/>
                <w:szCs w:val="19"/>
                <w:color w:val="231F20"/>
              </w:rPr>
              <w:t>6,809</w:t>
            </w:r>
          </w:p>
        </w:tc>
        <w:tc>
          <w:tcPr>
            <w:tcW w:w="80" w:type="dxa"/>
            <w:vAlign w:val="bottom"/>
            <w:shd w:val="clear" w:color="auto" w:fill="D0EBF2"/>
          </w:tcPr>
          <w:p>
            <w:pPr>
              <w:spacing w:after="0"/>
              <w:rPr>
                <w:sz w:val="20"/>
                <w:szCs w:val="20"/>
                <w:color w:val="auto"/>
              </w:rPr>
            </w:pPr>
          </w:p>
        </w:tc>
      </w:tr>
      <w:tr>
        <w:trPr>
          <w:trHeight w:val="230"/>
        </w:trPr>
        <w:tc>
          <w:tcPr>
            <w:tcW w:w="5700" w:type="dxa"/>
            <w:vAlign w:val="bottom"/>
            <w:shd w:val="clear" w:color="auto" w:fill="FDFDFC"/>
          </w:tcPr>
          <w:p>
            <w:pPr>
              <w:spacing w:after="0"/>
              <w:rPr>
                <w:sz w:val="20"/>
                <w:szCs w:val="20"/>
                <w:color w:val="auto"/>
              </w:rPr>
            </w:pPr>
            <w:r>
              <w:rPr>
                <w:rFonts w:ascii="Times New Roman" w:cs="Times New Roman" w:eastAsia="Times New Roman" w:hAnsi="Times New Roman"/>
                <w:sz w:val="19"/>
                <w:szCs w:val="19"/>
                <w:color w:val="231F20"/>
              </w:rPr>
              <w:t>Crewline Buyer, Inc. - Revolver &amp; Equity</w:t>
            </w:r>
          </w:p>
        </w:tc>
        <w:tc>
          <w:tcPr>
            <w:tcW w:w="460" w:type="dxa"/>
            <w:vAlign w:val="bottom"/>
            <w:shd w:val="clear" w:color="auto" w:fill="FDFDFC"/>
          </w:tcPr>
          <w:p>
            <w:pPr>
              <w:spacing w:after="0"/>
              <w:rPr>
                <w:sz w:val="20"/>
                <w:szCs w:val="20"/>
                <w:color w:val="auto"/>
              </w:rPr>
            </w:pPr>
          </w:p>
        </w:tc>
        <w:tc>
          <w:tcPr>
            <w:tcW w:w="940" w:type="dxa"/>
            <w:vAlign w:val="bottom"/>
            <w:shd w:val="clear" w:color="auto" w:fill="FDFDFC"/>
          </w:tcPr>
          <w:p>
            <w:pPr>
              <w:jc w:val="right"/>
              <w:spacing w:after="0"/>
              <w:rPr>
                <w:sz w:val="20"/>
                <w:szCs w:val="20"/>
                <w:color w:val="auto"/>
              </w:rPr>
            </w:pPr>
            <w:r>
              <w:rPr>
                <w:rFonts w:ascii="Times New Roman" w:cs="Times New Roman" w:eastAsia="Times New Roman" w:hAnsi="Times New Roman"/>
                <w:sz w:val="19"/>
                <w:szCs w:val="19"/>
                <w:color w:val="231F20"/>
              </w:rPr>
              <w:t>6,148</w:t>
            </w:r>
          </w:p>
        </w:tc>
        <w:tc>
          <w:tcPr>
            <w:tcW w:w="280" w:type="dxa"/>
            <w:vAlign w:val="bottom"/>
            <w:shd w:val="clear" w:color="auto" w:fill="FDFDFC"/>
          </w:tcPr>
          <w:p>
            <w:pPr>
              <w:spacing w:after="0"/>
              <w:rPr>
                <w:sz w:val="20"/>
                <w:szCs w:val="20"/>
                <w:color w:val="auto"/>
              </w:rPr>
            </w:pPr>
          </w:p>
        </w:tc>
        <w:tc>
          <w:tcPr>
            <w:tcW w:w="480" w:type="dxa"/>
            <w:vAlign w:val="bottom"/>
            <w:shd w:val="clear" w:color="auto" w:fill="FDFDFC"/>
          </w:tcPr>
          <w:p>
            <w:pPr>
              <w:spacing w:after="0"/>
              <w:rPr>
                <w:sz w:val="20"/>
                <w:szCs w:val="20"/>
                <w:color w:val="auto"/>
              </w:rPr>
            </w:pPr>
          </w:p>
        </w:tc>
        <w:tc>
          <w:tcPr>
            <w:tcW w:w="940" w:type="dxa"/>
            <w:vAlign w:val="bottom"/>
            <w:shd w:val="clear" w:color="auto" w:fill="FDFDFC"/>
          </w:tcPr>
          <w:p>
            <w:pPr>
              <w:jc w:val="right"/>
              <w:spacing w:after="0"/>
              <w:rPr>
                <w:sz w:val="20"/>
                <w:szCs w:val="20"/>
                <w:color w:val="auto"/>
              </w:rPr>
            </w:pPr>
            <w:r>
              <w:rPr>
                <w:rFonts w:ascii="Times New Roman" w:cs="Times New Roman" w:eastAsia="Times New Roman" w:hAnsi="Times New Roman"/>
                <w:sz w:val="19"/>
                <w:szCs w:val="19"/>
                <w:color w:val="231F20"/>
              </w:rPr>
              <w:t>6,148</w:t>
            </w:r>
          </w:p>
        </w:tc>
        <w:tc>
          <w:tcPr>
            <w:tcW w:w="80" w:type="dxa"/>
            <w:vAlign w:val="bottom"/>
            <w:shd w:val="clear" w:color="auto" w:fill="FDFDFC"/>
          </w:tcPr>
          <w:p>
            <w:pPr>
              <w:spacing w:after="0"/>
              <w:rPr>
                <w:sz w:val="20"/>
                <w:szCs w:val="20"/>
                <w:color w:val="auto"/>
              </w:rPr>
            </w:pPr>
          </w:p>
        </w:tc>
      </w:tr>
      <w:tr>
        <w:trPr>
          <w:trHeight w:val="230"/>
        </w:trPr>
        <w:tc>
          <w:tcPr>
            <w:tcW w:w="5700" w:type="dxa"/>
            <w:vAlign w:val="bottom"/>
            <w:shd w:val="clear" w:color="auto" w:fill="D0EBF2"/>
          </w:tcPr>
          <w:p>
            <w:pPr>
              <w:spacing w:after="0"/>
              <w:rPr>
                <w:sz w:val="20"/>
                <w:szCs w:val="20"/>
                <w:color w:val="auto"/>
              </w:rPr>
            </w:pPr>
            <w:r>
              <w:rPr>
                <w:rFonts w:ascii="Times New Roman" w:cs="Times New Roman" w:eastAsia="Times New Roman" w:hAnsi="Times New Roman"/>
                <w:sz w:val="19"/>
                <w:szCs w:val="19"/>
                <w:color w:val="231F20"/>
              </w:rPr>
              <w:t>Disco Parent, Inc. - Revolver</w:t>
            </w:r>
          </w:p>
        </w:tc>
        <w:tc>
          <w:tcPr>
            <w:tcW w:w="460" w:type="dxa"/>
            <w:vAlign w:val="bottom"/>
            <w:shd w:val="clear" w:color="auto" w:fill="D0EBF2"/>
          </w:tcPr>
          <w:p>
            <w:pPr>
              <w:spacing w:after="0"/>
              <w:rPr>
                <w:sz w:val="20"/>
                <w:szCs w:val="20"/>
                <w:color w:val="auto"/>
              </w:rPr>
            </w:pPr>
          </w:p>
        </w:tc>
        <w:tc>
          <w:tcPr>
            <w:tcW w:w="940" w:type="dxa"/>
            <w:vAlign w:val="bottom"/>
            <w:shd w:val="clear" w:color="auto" w:fill="D0EBF2"/>
          </w:tcPr>
          <w:p>
            <w:pPr>
              <w:jc w:val="right"/>
              <w:spacing w:after="0"/>
              <w:rPr>
                <w:sz w:val="20"/>
                <w:szCs w:val="20"/>
                <w:color w:val="auto"/>
              </w:rPr>
            </w:pPr>
            <w:r>
              <w:rPr>
                <w:rFonts w:ascii="Times New Roman" w:cs="Times New Roman" w:eastAsia="Times New Roman" w:hAnsi="Times New Roman"/>
                <w:sz w:val="19"/>
                <w:szCs w:val="19"/>
                <w:color w:val="231F20"/>
              </w:rPr>
              <w:t>455</w:t>
            </w:r>
          </w:p>
        </w:tc>
        <w:tc>
          <w:tcPr>
            <w:tcW w:w="280" w:type="dxa"/>
            <w:vAlign w:val="bottom"/>
            <w:shd w:val="clear" w:color="auto" w:fill="D0EBF2"/>
          </w:tcPr>
          <w:p>
            <w:pPr>
              <w:spacing w:after="0"/>
              <w:rPr>
                <w:sz w:val="20"/>
                <w:szCs w:val="20"/>
                <w:color w:val="auto"/>
              </w:rPr>
            </w:pPr>
          </w:p>
        </w:tc>
        <w:tc>
          <w:tcPr>
            <w:tcW w:w="480" w:type="dxa"/>
            <w:vAlign w:val="bottom"/>
            <w:shd w:val="clear" w:color="auto" w:fill="D0EBF2"/>
          </w:tcPr>
          <w:p>
            <w:pPr>
              <w:spacing w:after="0"/>
              <w:rPr>
                <w:sz w:val="20"/>
                <w:szCs w:val="20"/>
                <w:color w:val="auto"/>
              </w:rPr>
            </w:pPr>
          </w:p>
        </w:tc>
        <w:tc>
          <w:tcPr>
            <w:tcW w:w="940" w:type="dxa"/>
            <w:vAlign w:val="bottom"/>
            <w:shd w:val="clear" w:color="auto" w:fill="D0EBF2"/>
          </w:tcPr>
          <w:p>
            <w:pPr>
              <w:jc w:val="right"/>
              <w:spacing w:after="0"/>
              <w:rPr>
                <w:sz w:val="20"/>
                <w:szCs w:val="20"/>
                <w:color w:val="auto"/>
              </w:rPr>
            </w:pPr>
            <w:r>
              <w:rPr>
                <w:rFonts w:ascii="Times New Roman" w:cs="Times New Roman" w:eastAsia="Times New Roman" w:hAnsi="Times New Roman"/>
                <w:sz w:val="19"/>
                <w:szCs w:val="19"/>
                <w:color w:val="231F20"/>
              </w:rPr>
              <w:t>455</w:t>
            </w:r>
          </w:p>
        </w:tc>
        <w:tc>
          <w:tcPr>
            <w:tcW w:w="80" w:type="dxa"/>
            <w:vAlign w:val="bottom"/>
            <w:shd w:val="clear" w:color="auto" w:fill="D0EBF2"/>
          </w:tcPr>
          <w:p>
            <w:pPr>
              <w:spacing w:after="0"/>
              <w:rPr>
                <w:sz w:val="20"/>
                <w:szCs w:val="20"/>
                <w:color w:val="auto"/>
              </w:rPr>
            </w:pPr>
          </w:p>
        </w:tc>
      </w:tr>
      <w:tr>
        <w:trPr>
          <w:trHeight w:val="230"/>
        </w:trPr>
        <w:tc>
          <w:tcPr>
            <w:tcW w:w="5700" w:type="dxa"/>
            <w:vAlign w:val="bottom"/>
            <w:shd w:val="clear" w:color="auto" w:fill="FDFDFC"/>
          </w:tcPr>
          <w:p>
            <w:pPr>
              <w:spacing w:after="0"/>
              <w:rPr>
                <w:sz w:val="20"/>
                <w:szCs w:val="20"/>
                <w:color w:val="auto"/>
              </w:rPr>
            </w:pPr>
            <w:r>
              <w:rPr>
                <w:rFonts w:ascii="Times New Roman" w:cs="Times New Roman" w:eastAsia="Times New Roman" w:hAnsi="Times New Roman"/>
                <w:sz w:val="19"/>
                <w:szCs w:val="19"/>
                <w:color w:val="231F20"/>
              </w:rPr>
              <w:t>Dye &amp; Durham Corp. - Revolver</w:t>
            </w:r>
          </w:p>
        </w:tc>
        <w:tc>
          <w:tcPr>
            <w:tcW w:w="460" w:type="dxa"/>
            <w:vAlign w:val="bottom"/>
            <w:shd w:val="clear" w:color="auto" w:fill="FDFDFC"/>
          </w:tcPr>
          <w:p>
            <w:pPr>
              <w:spacing w:after="0"/>
              <w:rPr>
                <w:sz w:val="20"/>
                <w:szCs w:val="20"/>
                <w:color w:val="auto"/>
              </w:rPr>
            </w:pPr>
          </w:p>
        </w:tc>
        <w:tc>
          <w:tcPr>
            <w:tcW w:w="940" w:type="dxa"/>
            <w:vAlign w:val="bottom"/>
            <w:shd w:val="clear" w:color="auto" w:fill="FDFDFC"/>
          </w:tcPr>
          <w:p>
            <w:pPr>
              <w:jc w:val="right"/>
              <w:spacing w:after="0"/>
              <w:rPr>
                <w:sz w:val="20"/>
                <w:szCs w:val="20"/>
                <w:color w:val="auto"/>
              </w:rPr>
            </w:pPr>
            <w:r>
              <w:rPr>
                <w:rFonts w:ascii="Times New Roman" w:cs="Times New Roman" w:eastAsia="Times New Roman" w:hAnsi="Times New Roman"/>
                <w:sz w:val="19"/>
                <w:szCs w:val="19"/>
                <w:color w:val="231F20"/>
              </w:rPr>
              <w:t>—</w:t>
            </w:r>
          </w:p>
        </w:tc>
        <w:tc>
          <w:tcPr>
            <w:tcW w:w="280" w:type="dxa"/>
            <w:vAlign w:val="bottom"/>
            <w:shd w:val="clear" w:color="auto" w:fill="FDFDFC"/>
          </w:tcPr>
          <w:p>
            <w:pPr>
              <w:spacing w:after="0"/>
              <w:rPr>
                <w:sz w:val="20"/>
                <w:szCs w:val="20"/>
                <w:color w:val="auto"/>
              </w:rPr>
            </w:pPr>
          </w:p>
        </w:tc>
        <w:tc>
          <w:tcPr>
            <w:tcW w:w="480" w:type="dxa"/>
            <w:vAlign w:val="bottom"/>
            <w:shd w:val="clear" w:color="auto" w:fill="FDFDFC"/>
          </w:tcPr>
          <w:p>
            <w:pPr>
              <w:spacing w:after="0"/>
              <w:rPr>
                <w:sz w:val="20"/>
                <w:szCs w:val="20"/>
                <w:color w:val="auto"/>
              </w:rPr>
            </w:pPr>
          </w:p>
        </w:tc>
        <w:tc>
          <w:tcPr>
            <w:tcW w:w="940" w:type="dxa"/>
            <w:vAlign w:val="bottom"/>
            <w:shd w:val="clear" w:color="auto" w:fill="FDFDFC"/>
          </w:tcPr>
          <w:p>
            <w:pPr>
              <w:jc w:val="right"/>
              <w:spacing w:after="0"/>
              <w:rPr>
                <w:sz w:val="20"/>
                <w:szCs w:val="20"/>
                <w:color w:val="auto"/>
              </w:rPr>
            </w:pPr>
            <w:r>
              <w:rPr>
                <w:rFonts w:ascii="Times New Roman" w:cs="Times New Roman" w:eastAsia="Times New Roman" w:hAnsi="Times New Roman"/>
                <w:sz w:val="19"/>
                <w:szCs w:val="19"/>
                <w:color w:val="231F20"/>
              </w:rPr>
              <w:t>1,236</w:t>
            </w:r>
          </w:p>
        </w:tc>
        <w:tc>
          <w:tcPr>
            <w:tcW w:w="80" w:type="dxa"/>
            <w:vAlign w:val="bottom"/>
            <w:shd w:val="clear" w:color="auto" w:fill="FDFDFC"/>
          </w:tcPr>
          <w:p>
            <w:pPr>
              <w:spacing w:after="0"/>
              <w:rPr>
                <w:sz w:val="20"/>
                <w:szCs w:val="20"/>
                <w:color w:val="auto"/>
              </w:rPr>
            </w:pPr>
          </w:p>
        </w:tc>
      </w:tr>
      <w:tr>
        <w:trPr>
          <w:trHeight w:val="230"/>
        </w:trPr>
        <w:tc>
          <w:tcPr>
            <w:tcW w:w="5700" w:type="dxa"/>
            <w:vAlign w:val="bottom"/>
            <w:shd w:val="clear" w:color="auto" w:fill="D0EBF2"/>
          </w:tcPr>
          <w:p>
            <w:pPr>
              <w:spacing w:after="0"/>
              <w:rPr>
                <w:sz w:val="20"/>
                <w:szCs w:val="20"/>
                <w:color w:val="auto"/>
              </w:rPr>
            </w:pPr>
            <w:r>
              <w:rPr>
                <w:rFonts w:ascii="Times New Roman" w:cs="Times New Roman" w:eastAsia="Times New Roman" w:hAnsi="Times New Roman"/>
                <w:sz w:val="19"/>
                <w:szCs w:val="19"/>
                <w:color w:val="231F20"/>
              </w:rPr>
              <w:t>EDB Parent, LLC - Delayed Draw</w:t>
            </w:r>
          </w:p>
        </w:tc>
        <w:tc>
          <w:tcPr>
            <w:tcW w:w="460" w:type="dxa"/>
            <w:vAlign w:val="bottom"/>
            <w:shd w:val="clear" w:color="auto" w:fill="D0EBF2"/>
          </w:tcPr>
          <w:p>
            <w:pPr>
              <w:spacing w:after="0"/>
              <w:rPr>
                <w:sz w:val="20"/>
                <w:szCs w:val="20"/>
                <w:color w:val="auto"/>
              </w:rPr>
            </w:pPr>
          </w:p>
        </w:tc>
        <w:tc>
          <w:tcPr>
            <w:tcW w:w="940" w:type="dxa"/>
            <w:vAlign w:val="bottom"/>
            <w:shd w:val="clear" w:color="auto" w:fill="D0EBF2"/>
          </w:tcPr>
          <w:p>
            <w:pPr>
              <w:jc w:val="right"/>
              <w:spacing w:after="0"/>
              <w:rPr>
                <w:sz w:val="20"/>
                <w:szCs w:val="20"/>
                <w:color w:val="auto"/>
              </w:rPr>
            </w:pPr>
            <w:r>
              <w:rPr>
                <w:rFonts w:ascii="Times New Roman" w:cs="Times New Roman" w:eastAsia="Times New Roman" w:hAnsi="Times New Roman"/>
                <w:sz w:val="19"/>
                <w:szCs w:val="19"/>
                <w:color w:val="231F20"/>
              </w:rPr>
              <w:t>5,127</w:t>
            </w:r>
          </w:p>
        </w:tc>
        <w:tc>
          <w:tcPr>
            <w:tcW w:w="280" w:type="dxa"/>
            <w:vAlign w:val="bottom"/>
            <w:shd w:val="clear" w:color="auto" w:fill="D0EBF2"/>
          </w:tcPr>
          <w:p>
            <w:pPr>
              <w:spacing w:after="0"/>
              <w:rPr>
                <w:sz w:val="20"/>
                <w:szCs w:val="20"/>
                <w:color w:val="auto"/>
              </w:rPr>
            </w:pPr>
          </w:p>
        </w:tc>
        <w:tc>
          <w:tcPr>
            <w:tcW w:w="480" w:type="dxa"/>
            <w:vAlign w:val="bottom"/>
            <w:shd w:val="clear" w:color="auto" w:fill="D0EBF2"/>
          </w:tcPr>
          <w:p>
            <w:pPr>
              <w:spacing w:after="0"/>
              <w:rPr>
                <w:sz w:val="20"/>
                <w:szCs w:val="20"/>
                <w:color w:val="auto"/>
              </w:rPr>
            </w:pPr>
          </w:p>
        </w:tc>
        <w:tc>
          <w:tcPr>
            <w:tcW w:w="940" w:type="dxa"/>
            <w:vAlign w:val="bottom"/>
            <w:shd w:val="clear" w:color="auto" w:fill="D0EBF2"/>
          </w:tcPr>
          <w:p>
            <w:pPr>
              <w:jc w:val="right"/>
              <w:spacing w:after="0"/>
              <w:rPr>
                <w:sz w:val="20"/>
                <w:szCs w:val="20"/>
                <w:color w:val="auto"/>
              </w:rPr>
            </w:pPr>
            <w:r>
              <w:rPr>
                <w:rFonts w:ascii="Times New Roman" w:cs="Times New Roman" w:eastAsia="Times New Roman" w:hAnsi="Times New Roman"/>
                <w:sz w:val="19"/>
                <w:szCs w:val="19"/>
                <w:color w:val="231F20"/>
              </w:rPr>
              <w:t>11,492</w:t>
            </w:r>
          </w:p>
        </w:tc>
        <w:tc>
          <w:tcPr>
            <w:tcW w:w="80" w:type="dxa"/>
            <w:vAlign w:val="bottom"/>
            <w:shd w:val="clear" w:color="auto" w:fill="D0EBF2"/>
          </w:tcPr>
          <w:p>
            <w:pPr>
              <w:spacing w:after="0"/>
              <w:rPr>
                <w:sz w:val="20"/>
                <w:szCs w:val="20"/>
                <w:color w:val="auto"/>
              </w:rPr>
            </w:pPr>
          </w:p>
        </w:tc>
      </w:tr>
      <w:tr>
        <w:trPr>
          <w:trHeight w:val="230"/>
        </w:trPr>
        <w:tc>
          <w:tcPr>
            <w:tcW w:w="5700" w:type="dxa"/>
            <w:vAlign w:val="bottom"/>
            <w:shd w:val="clear" w:color="auto" w:fill="FDFDFC"/>
          </w:tcPr>
          <w:p>
            <w:pPr>
              <w:spacing w:after="0"/>
              <w:rPr>
                <w:sz w:val="20"/>
                <w:szCs w:val="20"/>
                <w:color w:val="auto"/>
              </w:rPr>
            </w:pPr>
            <w:r>
              <w:rPr>
                <w:rFonts w:ascii="Times New Roman" w:cs="Times New Roman" w:eastAsia="Times New Roman" w:hAnsi="Times New Roman"/>
                <w:sz w:val="19"/>
                <w:szCs w:val="19"/>
                <w:color w:val="231F20"/>
              </w:rPr>
              <w:t>Edge Bidco B.V. - Delayed Draw &amp; Revolver</w:t>
            </w:r>
          </w:p>
        </w:tc>
        <w:tc>
          <w:tcPr>
            <w:tcW w:w="460" w:type="dxa"/>
            <w:vAlign w:val="bottom"/>
            <w:shd w:val="clear" w:color="auto" w:fill="FDFDFC"/>
          </w:tcPr>
          <w:p>
            <w:pPr>
              <w:spacing w:after="0"/>
              <w:rPr>
                <w:sz w:val="20"/>
                <w:szCs w:val="20"/>
                <w:color w:val="auto"/>
              </w:rPr>
            </w:pPr>
          </w:p>
        </w:tc>
        <w:tc>
          <w:tcPr>
            <w:tcW w:w="940" w:type="dxa"/>
            <w:vAlign w:val="bottom"/>
            <w:shd w:val="clear" w:color="auto" w:fill="FDFDFC"/>
          </w:tcPr>
          <w:p>
            <w:pPr>
              <w:jc w:val="right"/>
              <w:spacing w:after="0"/>
              <w:rPr>
                <w:sz w:val="20"/>
                <w:szCs w:val="20"/>
                <w:color w:val="auto"/>
              </w:rPr>
            </w:pPr>
            <w:r>
              <w:rPr>
                <w:rFonts w:ascii="Times New Roman" w:cs="Times New Roman" w:eastAsia="Times New Roman" w:hAnsi="Times New Roman"/>
                <w:sz w:val="19"/>
                <w:szCs w:val="19"/>
                <w:color w:val="231F20"/>
              </w:rPr>
              <w:t>993</w:t>
            </w:r>
          </w:p>
        </w:tc>
        <w:tc>
          <w:tcPr>
            <w:tcW w:w="280" w:type="dxa"/>
            <w:vAlign w:val="bottom"/>
            <w:shd w:val="clear" w:color="auto" w:fill="FDFDFC"/>
          </w:tcPr>
          <w:p>
            <w:pPr>
              <w:spacing w:after="0"/>
              <w:rPr>
                <w:sz w:val="20"/>
                <w:szCs w:val="20"/>
                <w:color w:val="auto"/>
              </w:rPr>
            </w:pPr>
          </w:p>
        </w:tc>
        <w:tc>
          <w:tcPr>
            <w:tcW w:w="480" w:type="dxa"/>
            <w:vAlign w:val="bottom"/>
            <w:shd w:val="clear" w:color="auto" w:fill="FDFDFC"/>
          </w:tcPr>
          <w:p>
            <w:pPr>
              <w:spacing w:after="0"/>
              <w:rPr>
                <w:sz w:val="20"/>
                <w:szCs w:val="20"/>
                <w:color w:val="auto"/>
              </w:rPr>
            </w:pPr>
          </w:p>
        </w:tc>
        <w:tc>
          <w:tcPr>
            <w:tcW w:w="940" w:type="dxa"/>
            <w:vAlign w:val="bottom"/>
            <w:shd w:val="clear" w:color="auto" w:fill="FDFDFC"/>
          </w:tcPr>
          <w:p>
            <w:pPr>
              <w:jc w:val="right"/>
              <w:spacing w:after="0"/>
              <w:rPr>
                <w:sz w:val="20"/>
                <w:szCs w:val="20"/>
                <w:color w:val="auto"/>
              </w:rPr>
            </w:pPr>
            <w:r>
              <w:rPr>
                <w:rFonts w:ascii="Times New Roman" w:cs="Times New Roman" w:eastAsia="Times New Roman" w:hAnsi="Times New Roman"/>
                <w:sz w:val="19"/>
                <w:szCs w:val="19"/>
                <w:color w:val="231F20"/>
              </w:rPr>
              <w:t>1,060</w:t>
            </w:r>
          </w:p>
        </w:tc>
        <w:tc>
          <w:tcPr>
            <w:tcW w:w="80" w:type="dxa"/>
            <w:vAlign w:val="bottom"/>
            <w:shd w:val="clear" w:color="auto" w:fill="FDFDFC"/>
          </w:tcPr>
          <w:p>
            <w:pPr>
              <w:spacing w:after="0"/>
              <w:rPr>
                <w:sz w:val="20"/>
                <w:szCs w:val="20"/>
                <w:color w:val="auto"/>
              </w:rPr>
            </w:pPr>
          </w:p>
        </w:tc>
      </w:tr>
      <w:tr>
        <w:trPr>
          <w:trHeight w:val="230"/>
        </w:trPr>
        <w:tc>
          <w:tcPr>
            <w:tcW w:w="5700" w:type="dxa"/>
            <w:vAlign w:val="bottom"/>
            <w:shd w:val="clear" w:color="auto" w:fill="D0EBF2"/>
          </w:tcPr>
          <w:p>
            <w:pPr>
              <w:spacing w:after="0"/>
              <w:rPr>
                <w:sz w:val="20"/>
                <w:szCs w:val="20"/>
                <w:color w:val="auto"/>
              </w:rPr>
            </w:pPr>
            <w:r>
              <w:rPr>
                <w:rFonts w:ascii="Times New Roman" w:cs="Times New Roman" w:eastAsia="Times New Roman" w:hAnsi="Times New Roman"/>
                <w:sz w:val="19"/>
                <w:szCs w:val="19"/>
                <w:color w:val="231F20"/>
              </w:rPr>
              <w:t>Elysian Finco Ltd. - Delayed Draw &amp; Revolver</w:t>
            </w:r>
          </w:p>
        </w:tc>
        <w:tc>
          <w:tcPr>
            <w:tcW w:w="460" w:type="dxa"/>
            <w:vAlign w:val="bottom"/>
            <w:shd w:val="clear" w:color="auto" w:fill="D0EBF2"/>
          </w:tcPr>
          <w:p>
            <w:pPr>
              <w:spacing w:after="0"/>
              <w:rPr>
                <w:sz w:val="20"/>
                <w:szCs w:val="20"/>
                <w:color w:val="auto"/>
              </w:rPr>
            </w:pPr>
          </w:p>
        </w:tc>
        <w:tc>
          <w:tcPr>
            <w:tcW w:w="940" w:type="dxa"/>
            <w:vAlign w:val="bottom"/>
            <w:shd w:val="clear" w:color="auto" w:fill="D0EBF2"/>
          </w:tcPr>
          <w:p>
            <w:pPr>
              <w:jc w:val="right"/>
              <w:spacing w:after="0"/>
              <w:rPr>
                <w:sz w:val="20"/>
                <w:szCs w:val="20"/>
                <w:color w:val="auto"/>
              </w:rPr>
            </w:pPr>
            <w:r>
              <w:rPr>
                <w:rFonts w:ascii="Times New Roman" w:cs="Times New Roman" w:eastAsia="Times New Roman" w:hAnsi="Times New Roman"/>
                <w:sz w:val="19"/>
                <w:szCs w:val="19"/>
                <w:color w:val="231F20"/>
              </w:rPr>
              <w:t>1,881</w:t>
            </w:r>
          </w:p>
        </w:tc>
        <w:tc>
          <w:tcPr>
            <w:tcW w:w="280" w:type="dxa"/>
            <w:vAlign w:val="bottom"/>
            <w:shd w:val="clear" w:color="auto" w:fill="D0EBF2"/>
          </w:tcPr>
          <w:p>
            <w:pPr>
              <w:spacing w:after="0"/>
              <w:rPr>
                <w:sz w:val="20"/>
                <w:szCs w:val="20"/>
                <w:color w:val="auto"/>
              </w:rPr>
            </w:pPr>
          </w:p>
        </w:tc>
        <w:tc>
          <w:tcPr>
            <w:tcW w:w="480" w:type="dxa"/>
            <w:vAlign w:val="bottom"/>
            <w:shd w:val="clear" w:color="auto" w:fill="D0EBF2"/>
          </w:tcPr>
          <w:p>
            <w:pPr>
              <w:spacing w:after="0"/>
              <w:rPr>
                <w:sz w:val="20"/>
                <w:szCs w:val="20"/>
                <w:color w:val="auto"/>
              </w:rPr>
            </w:pPr>
          </w:p>
        </w:tc>
        <w:tc>
          <w:tcPr>
            <w:tcW w:w="940" w:type="dxa"/>
            <w:vAlign w:val="bottom"/>
            <w:shd w:val="clear" w:color="auto" w:fill="D0EBF2"/>
          </w:tcPr>
          <w:p>
            <w:pPr>
              <w:jc w:val="right"/>
              <w:spacing w:after="0"/>
              <w:rPr>
                <w:sz w:val="20"/>
                <w:szCs w:val="20"/>
                <w:color w:val="auto"/>
              </w:rPr>
            </w:pPr>
            <w:r>
              <w:rPr>
                <w:rFonts w:ascii="Times New Roman" w:cs="Times New Roman" w:eastAsia="Times New Roman" w:hAnsi="Times New Roman"/>
                <w:sz w:val="19"/>
                <w:szCs w:val="19"/>
                <w:color w:val="231F20"/>
              </w:rPr>
              <w:t>4,704</w:t>
            </w:r>
          </w:p>
        </w:tc>
        <w:tc>
          <w:tcPr>
            <w:tcW w:w="80" w:type="dxa"/>
            <w:vAlign w:val="bottom"/>
            <w:shd w:val="clear" w:color="auto" w:fill="D0EBF2"/>
          </w:tcPr>
          <w:p>
            <w:pPr>
              <w:spacing w:after="0"/>
              <w:rPr>
                <w:sz w:val="20"/>
                <w:szCs w:val="20"/>
                <w:color w:val="auto"/>
              </w:rPr>
            </w:pPr>
          </w:p>
        </w:tc>
      </w:tr>
      <w:tr>
        <w:trPr>
          <w:trHeight w:val="230"/>
        </w:trPr>
        <w:tc>
          <w:tcPr>
            <w:tcW w:w="5700" w:type="dxa"/>
            <w:vAlign w:val="bottom"/>
            <w:shd w:val="clear" w:color="auto" w:fill="FDFDFC"/>
          </w:tcPr>
          <w:p>
            <w:pPr>
              <w:spacing w:after="0"/>
              <w:rPr>
                <w:sz w:val="20"/>
                <w:szCs w:val="20"/>
                <w:color w:val="auto"/>
              </w:rPr>
            </w:pPr>
            <w:r>
              <w:rPr>
                <w:rFonts w:ascii="Times New Roman" w:cs="Times New Roman" w:eastAsia="Times New Roman" w:hAnsi="Times New Roman"/>
                <w:sz w:val="19"/>
                <w:szCs w:val="19"/>
                <w:color w:val="231F20"/>
              </w:rPr>
              <w:t>Elysium BidCo Limited - Revolver</w:t>
            </w:r>
          </w:p>
        </w:tc>
        <w:tc>
          <w:tcPr>
            <w:tcW w:w="460" w:type="dxa"/>
            <w:vAlign w:val="bottom"/>
            <w:shd w:val="clear" w:color="auto" w:fill="FDFDFC"/>
          </w:tcPr>
          <w:p>
            <w:pPr>
              <w:spacing w:after="0"/>
              <w:rPr>
                <w:sz w:val="20"/>
                <w:szCs w:val="20"/>
                <w:color w:val="auto"/>
              </w:rPr>
            </w:pPr>
          </w:p>
        </w:tc>
        <w:tc>
          <w:tcPr>
            <w:tcW w:w="940" w:type="dxa"/>
            <w:vAlign w:val="bottom"/>
            <w:shd w:val="clear" w:color="auto" w:fill="FDFDFC"/>
          </w:tcPr>
          <w:p>
            <w:pPr>
              <w:jc w:val="right"/>
              <w:spacing w:after="0"/>
              <w:rPr>
                <w:sz w:val="20"/>
                <w:szCs w:val="20"/>
                <w:color w:val="auto"/>
              </w:rPr>
            </w:pPr>
            <w:r>
              <w:rPr>
                <w:rFonts w:ascii="Times New Roman" w:cs="Times New Roman" w:eastAsia="Times New Roman" w:hAnsi="Times New Roman"/>
                <w:sz w:val="19"/>
                <w:szCs w:val="19"/>
                <w:color w:val="231F20"/>
              </w:rPr>
              <w:t>2,493</w:t>
            </w:r>
          </w:p>
        </w:tc>
        <w:tc>
          <w:tcPr>
            <w:tcW w:w="280" w:type="dxa"/>
            <w:vAlign w:val="bottom"/>
            <w:shd w:val="clear" w:color="auto" w:fill="FDFDFC"/>
          </w:tcPr>
          <w:p>
            <w:pPr>
              <w:spacing w:after="0"/>
              <w:rPr>
                <w:sz w:val="20"/>
                <w:szCs w:val="20"/>
                <w:color w:val="auto"/>
              </w:rPr>
            </w:pPr>
          </w:p>
        </w:tc>
        <w:tc>
          <w:tcPr>
            <w:tcW w:w="480" w:type="dxa"/>
            <w:vAlign w:val="bottom"/>
            <w:shd w:val="clear" w:color="auto" w:fill="FDFDFC"/>
          </w:tcPr>
          <w:p>
            <w:pPr>
              <w:spacing w:after="0"/>
              <w:rPr>
                <w:sz w:val="20"/>
                <w:szCs w:val="20"/>
                <w:color w:val="auto"/>
              </w:rPr>
            </w:pPr>
          </w:p>
        </w:tc>
        <w:tc>
          <w:tcPr>
            <w:tcW w:w="1020" w:type="dxa"/>
            <w:vAlign w:val="bottom"/>
            <w:gridSpan w:val="2"/>
            <w:shd w:val="clear" w:color="auto" w:fill="FDFDFC"/>
          </w:tcPr>
          <w:p>
            <w:pPr>
              <w:jc w:val="right"/>
              <w:ind w:right="120"/>
              <w:spacing w:after="0"/>
              <w:rPr>
                <w:sz w:val="20"/>
                <w:szCs w:val="20"/>
                <w:color w:val="auto"/>
              </w:rPr>
            </w:pPr>
            <w:r>
              <w:rPr>
                <w:rFonts w:ascii="Times New Roman" w:cs="Times New Roman" w:eastAsia="Times New Roman" w:hAnsi="Times New Roman"/>
                <w:sz w:val="19"/>
                <w:szCs w:val="19"/>
                <w:color w:val="231F20"/>
              </w:rPr>
              <w:t>—</w:t>
            </w:r>
          </w:p>
        </w:tc>
      </w:tr>
      <w:tr>
        <w:trPr>
          <w:trHeight w:val="230"/>
        </w:trPr>
        <w:tc>
          <w:tcPr>
            <w:tcW w:w="5700" w:type="dxa"/>
            <w:vAlign w:val="bottom"/>
            <w:shd w:val="clear" w:color="auto" w:fill="D0EBF2"/>
          </w:tcPr>
          <w:p>
            <w:pPr>
              <w:spacing w:after="0"/>
              <w:rPr>
                <w:sz w:val="20"/>
                <w:szCs w:val="20"/>
                <w:color w:val="auto"/>
              </w:rPr>
            </w:pPr>
            <w:r>
              <w:rPr>
                <w:rFonts w:ascii="Times New Roman" w:cs="Times New Roman" w:eastAsia="Times New Roman" w:hAnsi="Times New Roman"/>
                <w:sz w:val="19"/>
                <w:szCs w:val="19"/>
                <w:color w:val="231F20"/>
              </w:rPr>
              <w:t>Employment Hero Holdings Pty Ltd. - Delayed Draw &amp; Revolver</w:t>
            </w:r>
          </w:p>
        </w:tc>
        <w:tc>
          <w:tcPr>
            <w:tcW w:w="460" w:type="dxa"/>
            <w:vAlign w:val="bottom"/>
            <w:shd w:val="clear" w:color="auto" w:fill="D0EBF2"/>
          </w:tcPr>
          <w:p>
            <w:pPr>
              <w:spacing w:after="0"/>
              <w:rPr>
                <w:sz w:val="20"/>
                <w:szCs w:val="20"/>
                <w:color w:val="auto"/>
              </w:rPr>
            </w:pPr>
          </w:p>
        </w:tc>
        <w:tc>
          <w:tcPr>
            <w:tcW w:w="940" w:type="dxa"/>
            <w:vAlign w:val="bottom"/>
            <w:shd w:val="clear" w:color="auto" w:fill="D0EBF2"/>
          </w:tcPr>
          <w:p>
            <w:pPr>
              <w:jc w:val="right"/>
              <w:spacing w:after="0"/>
              <w:rPr>
                <w:sz w:val="20"/>
                <w:szCs w:val="20"/>
                <w:color w:val="auto"/>
              </w:rPr>
            </w:pPr>
            <w:r>
              <w:rPr>
                <w:rFonts w:ascii="Times New Roman" w:cs="Times New Roman" w:eastAsia="Times New Roman" w:hAnsi="Times New Roman"/>
                <w:sz w:val="19"/>
                <w:szCs w:val="19"/>
                <w:color w:val="231F20"/>
              </w:rPr>
              <w:t>1,857</w:t>
            </w:r>
          </w:p>
        </w:tc>
        <w:tc>
          <w:tcPr>
            <w:tcW w:w="280" w:type="dxa"/>
            <w:vAlign w:val="bottom"/>
            <w:shd w:val="clear" w:color="auto" w:fill="D0EBF2"/>
          </w:tcPr>
          <w:p>
            <w:pPr>
              <w:spacing w:after="0"/>
              <w:rPr>
                <w:sz w:val="20"/>
                <w:szCs w:val="20"/>
                <w:color w:val="auto"/>
              </w:rPr>
            </w:pPr>
          </w:p>
        </w:tc>
        <w:tc>
          <w:tcPr>
            <w:tcW w:w="480" w:type="dxa"/>
            <w:vAlign w:val="bottom"/>
            <w:shd w:val="clear" w:color="auto" w:fill="D0EBF2"/>
          </w:tcPr>
          <w:p>
            <w:pPr>
              <w:spacing w:after="0"/>
              <w:rPr>
                <w:sz w:val="20"/>
                <w:szCs w:val="20"/>
                <w:color w:val="auto"/>
              </w:rPr>
            </w:pPr>
          </w:p>
        </w:tc>
        <w:tc>
          <w:tcPr>
            <w:tcW w:w="940" w:type="dxa"/>
            <w:vAlign w:val="bottom"/>
            <w:shd w:val="clear" w:color="auto" w:fill="D0EBF2"/>
          </w:tcPr>
          <w:p>
            <w:pPr>
              <w:jc w:val="right"/>
              <w:spacing w:after="0"/>
              <w:rPr>
                <w:sz w:val="20"/>
                <w:szCs w:val="20"/>
                <w:color w:val="auto"/>
              </w:rPr>
            </w:pPr>
            <w:r>
              <w:rPr>
                <w:rFonts w:ascii="Times New Roman" w:cs="Times New Roman" w:eastAsia="Times New Roman" w:hAnsi="Times New Roman"/>
                <w:sz w:val="19"/>
                <w:szCs w:val="19"/>
                <w:color w:val="231F20"/>
              </w:rPr>
              <w:t>8,871</w:t>
            </w:r>
          </w:p>
        </w:tc>
        <w:tc>
          <w:tcPr>
            <w:tcW w:w="80" w:type="dxa"/>
            <w:vAlign w:val="bottom"/>
            <w:shd w:val="clear" w:color="auto" w:fill="D0EBF2"/>
          </w:tcPr>
          <w:p>
            <w:pPr>
              <w:spacing w:after="0"/>
              <w:rPr>
                <w:sz w:val="20"/>
                <w:szCs w:val="20"/>
                <w:color w:val="auto"/>
              </w:rPr>
            </w:pPr>
          </w:p>
        </w:tc>
      </w:tr>
      <w:tr>
        <w:trPr>
          <w:trHeight w:val="230"/>
        </w:trPr>
        <w:tc>
          <w:tcPr>
            <w:tcW w:w="5700" w:type="dxa"/>
            <w:vAlign w:val="bottom"/>
            <w:shd w:val="clear" w:color="auto" w:fill="FDFDFC"/>
          </w:tcPr>
          <w:p>
            <w:pPr>
              <w:spacing w:after="0"/>
              <w:rPr>
                <w:sz w:val="20"/>
                <w:szCs w:val="20"/>
                <w:color w:val="auto"/>
              </w:rPr>
            </w:pPr>
            <w:r>
              <w:rPr>
                <w:rFonts w:ascii="Times New Roman" w:cs="Times New Roman" w:eastAsia="Times New Roman" w:hAnsi="Times New Roman"/>
                <w:sz w:val="19"/>
                <w:szCs w:val="19"/>
                <w:color w:val="231F20"/>
              </w:rPr>
              <w:t>EMS Linq, Inc. - Revolver</w:t>
            </w:r>
          </w:p>
        </w:tc>
        <w:tc>
          <w:tcPr>
            <w:tcW w:w="460" w:type="dxa"/>
            <w:vAlign w:val="bottom"/>
            <w:shd w:val="clear" w:color="auto" w:fill="FDFDFC"/>
          </w:tcPr>
          <w:p>
            <w:pPr>
              <w:spacing w:after="0"/>
              <w:rPr>
                <w:sz w:val="20"/>
                <w:szCs w:val="20"/>
                <w:color w:val="auto"/>
              </w:rPr>
            </w:pPr>
          </w:p>
        </w:tc>
        <w:tc>
          <w:tcPr>
            <w:tcW w:w="940" w:type="dxa"/>
            <w:vAlign w:val="bottom"/>
            <w:shd w:val="clear" w:color="auto" w:fill="FDFDFC"/>
          </w:tcPr>
          <w:p>
            <w:pPr>
              <w:jc w:val="right"/>
              <w:spacing w:after="0"/>
              <w:rPr>
                <w:sz w:val="20"/>
                <w:szCs w:val="20"/>
                <w:color w:val="auto"/>
              </w:rPr>
            </w:pPr>
            <w:r>
              <w:rPr>
                <w:rFonts w:ascii="Times New Roman" w:cs="Times New Roman" w:eastAsia="Times New Roman" w:hAnsi="Times New Roman"/>
                <w:sz w:val="19"/>
                <w:szCs w:val="19"/>
                <w:color w:val="231F20"/>
              </w:rPr>
              <w:t>4,568</w:t>
            </w:r>
          </w:p>
        </w:tc>
        <w:tc>
          <w:tcPr>
            <w:tcW w:w="280" w:type="dxa"/>
            <w:vAlign w:val="bottom"/>
            <w:shd w:val="clear" w:color="auto" w:fill="FDFDFC"/>
          </w:tcPr>
          <w:p>
            <w:pPr>
              <w:spacing w:after="0"/>
              <w:rPr>
                <w:sz w:val="20"/>
                <w:szCs w:val="20"/>
                <w:color w:val="auto"/>
              </w:rPr>
            </w:pPr>
          </w:p>
        </w:tc>
        <w:tc>
          <w:tcPr>
            <w:tcW w:w="480" w:type="dxa"/>
            <w:vAlign w:val="bottom"/>
            <w:shd w:val="clear" w:color="auto" w:fill="FDFDFC"/>
          </w:tcPr>
          <w:p>
            <w:pPr>
              <w:spacing w:after="0"/>
              <w:rPr>
                <w:sz w:val="20"/>
                <w:szCs w:val="20"/>
                <w:color w:val="auto"/>
              </w:rPr>
            </w:pPr>
          </w:p>
        </w:tc>
        <w:tc>
          <w:tcPr>
            <w:tcW w:w="940" w:type="dxa"/>
            <w:vAlign w:val="bottom"/>
            <w:shd w:val="clear" w:color="auto" w:fill="FDFDFC"/>
          </w:tcPr>
          <w:p>
            <w:pPr>
              <w:jc w:val="right"/>
              <w:spacing w:after="0"/>
              <w:rPr>
                <w:sz w:val="20"/>
                <w:szCs w:val="20"/>
                <w:color w:val="auto"/>
              </w:rPr>
            </w:pPr>
            <w:r>
              <w:rPr>
                <w:rFonts w:ascii="Times New Roman" w:cs="Times New Roman" w:eastAsia="Times New Roman" w:hAnsi="Times New Roman"/>
                <w:sz w:val="19"/>
                <w:szCs w:val="19"/>
                <w:color w:val="231F20"/>
              </w:rPr>
              <w:t>8,784</w:t>
            </w:r>
          </w:p>
        </w:tc>
        <w:tc>
          <w:tcPr>
            <w:tcW w:w="80" w:type="dxa"/>
            <w:vAlign w:val="bottom"/>
            <w:shd w:val="clear" w:color="auto" w:fill="FDFDFC"/>
          </w:tcPr>
          <w:p>
            <w:pPr>
              <w:spacing w:after="0"/>
              <w:rPr>
                <w:sz w:val="20"/>
                <w:szCs w:val="20"/>
                <w:color w:val="auto"/>
              </w:rPr>
            </w:pPr>
          </w:p>
        </w:tc>
      </w:tr>
      <w:tr>
        <w:trPr>
          <w:trHeight w:val="230"/>
        </w:trPr>
        <w:tc>
          <w:tcPr>
            <w:tcW w:w="5700" w:type="dxa"/>
            <w:vAlign w:val="bottom"/>
            <w:shd w:val="clear" w:color="auto" w:fill="D0EBF2"/>
          </w:tcPr>
          <w:p>
            <w:pPr>
              <w:spacing w:after="0"/>
              <w:rPr>
                <w:sz w:val="20"/>
                <w:szCs w:val="20"/>
                <w:color w:val="auto"/>
              </w:rPr>
            </w:pPr>
            <w:r>
              <w:rPr>
                <w:rFonts w:ascii="Times New Roman" w:cs="Times New Roman" w:eastAsia="Times New Roman" w:hAnsi="Times New Roman"/>
                <w:sz w:val="19"/>
                <w:szCs w:val="19"/>
                <w:color w:val="231F20"/>
              </w:rPr>
              <w:t>Erling Lux Bidco SARL - Delayed Draw &amp; Revolver</w:t>
            </w:r>
          </w:p>
        </w:tc>
        <w:tc>
          <w:tcPr>
            <w:tcW w:w="460" w:type="dxa"/>
            <w:vAlign w:val="bottom"/>
            <w:shd w:val="clear" w:color="auto" w:fill="D0EBF2"/>
          </w:tcPr>
          <w:p>
            <w:pPr>
              <w:spacing w:after="0"/>
              <w:rPr>
                <w:sz w:val="20"/>
                <w:szCs w:val="20"/>
                <w:color w:val="auto"/>
              </w:rPr>
            </w:pPr>
          </w:p>
        </w:tc>
        <w:tc>
          <w:tcPr>
            <w:tcW w:w="940" w:type="dxa"/>
            <w:vAlign w:val="bottom"/>
            <w:shd w:val="clear" w:color="auto" w:fill="D0EBF2"/>
          </w:tcPr>
          <w:p>
            <w:pPr>
              <w:jc w:val="right"/>
              <w:spacing w:after="0"/>
              <w:rPr>
                <w:sz w:val="20"/>
                <w:szCs w:val="20"/>
                <w:color w:val="auto"/>
              </w:rPr>
            </w:pPr>
            <w:r>
              <w:rPr>
                <w:rFonts w:ascii="Times New Roman" w:cs="Times New Roman" w:eastAsia="Times New Roman" w:hAnsi="Times New Roman"/>
                <w:sz w:val="19"/>
                <w:szCs w:val="19"/>
                <w:color w:val="231F20"/>
              </w:rPr>
              <w:t>2,772</w:t>
            </w:r>
          </w:p>
        </w:tc>
        <w:tc>
          <w:tcPr>
            <w:tcW w:w="280" w:type="dxa"/>
            <w:vAlign w:val="bottom"/>
            <w:shd w:val="clear" w:color="auto" w:fill="D0EBF2"/>
          </w:tcPr>
          <w:p>
            <w:pPr>
              <w:spacing w:after="0"/>
              <w:rPr>
                <w:sz w:val="20"/>
                <w:szCs w:val="20"/>
                <w:color w:val="auto"/>
              </w:rPr>
            </w:pPr>
          </w:p>
        </w:tc>
        <w:tc>
          <w:tcPr>
            <w:tcW w:w="480" w:type="dxa"/>
            <w:vAlign w:val="bottom"/>
            <w:shd w:val="clear" w:color="auto" w:fill="D0EBF2"/>
          </w:tcPr>
          <w:p>
            <w:pPr>
              <w:spacing w:after="0"/>
              <w:rPr>
                <w:sz w:val="20"/>
                <w:szCs w:val="20"/>
                <w:color w:val="auto"/>
              </w:rPr>
            </w:pPr>
          </w:p>
        </w:tc>
        <w:tc>
          <w:tcPr>
            <w:tcW w:w="940" w:type="dxa"/>
            <w:vAlign w:val="bottom"/>
            <w:shd w:val="clear" w:color="auto" w:fill="D0EBF2"/>
          </w:tcPr>
          <w:p>
            <w:pPr>
              <w:jc w:val="right"/>
              <w:spacing w:after="0"/>
              <w:rPr>
                <w:sz w:val="20"/>
                <w:szCs w:val="20"/>
                <w:color w:val="auto"/>
              </w:rPr>
            </w:pPr>
            <w:r>
              <w:rPr>
                <w:rFonts w:ascii="Times New Roman" w:cs="Times New Roman" w:eastAsia="Times New Roman" w:hAnsi="Times New Roman"/>
                <w:sz w:val="19"/>
                <w:szCs w:val="19"/>
                <w:color w:val="231F20"/>
              </w:rPr>
              <w:t>3,184</w:t>
            </w:r>
          </w:p>
        </w:tc>
        <w:tc>
          <w:tcPr>
            <w:tcW w:w="80" w:type="dxa"/>
            <w:vAlign w:val="bottom"/>
            <w:shd w:val="clear" w:color="auto" w:fill="D0EBF2"/>
          </w:tcPr>
          <w:p>
            <w:pPr>
              <w:spacing w:after="0"/>
              <w:rPr>
                <w:sz w:val="20"/>
                <w:szCs w:val="20"/>
                <w:color w:val="auto"/>
              </w:rPr>
            </w:pPr>
          </w:p>
        </w:tc>
      </w:tr>
      <w:tr>
        <w:trPr>
          <w:trHeight w:val="230"/>
        </w:trPr>
        <w:tc>
          <w:tcPr>
            <w:tcW w:w="5700" w:type="dxa"/>
            <w:vAlign w:val="bottom"/>
            <w:shd w:val="clear" w:color="auto" w:fill="FDFDFC"/>
          </w:tcPr>
          <w:p>
            <w:pPr>
              <w:spacing w:after="0"/>
              <w:rPr>
                <w:sz w:val="20"/>
                <w:szCs w:val="20"/>
                <w:color w:val="auto"/>
              </w:rPr>
            </w:pPr>
            <w:r>
              <w:rPr>
                <w:rFonts w:ascii="Times New Roman" w:cs="Times New Roman" w:eastAsia="Times New Roman" w:hAnsi="Times New Roman"/>
                <w:sz w:val="19"/>
                <w:szCs w:val="19"/>
                <w:color w:val="231F20"/>
              </w:rPr>
              <w:t>Eventus Buyer, LLC - Delayed Draw &amp; Revolver</w:t>
            </w:r>
          </w:p>
        </w:tc>
        <w:tc>
          <w:tcPr>
            <w:tcW w:w="460" w:type="dxa"/>
            <w:vAlign w:val="bottom"/>
            <w:shd w:val="clear" w:color="auto" w:fill="FDFDFC"/>
          </w:tcPr>
          <w:p>
            <w:pPr>
              <w:spacing w:after="0"/>
              <w:rPr>
                <w:sz w:val="20"/>
                <w:szCs w:val="20"/>
                <w:color w:val="auto"/>
              </w:rPr>
            </w:pPr>
          </w:p>
        </w:tc>
        <w:tc>
          <w:tcPr>
            <w:tcW w:w="940" w:type="dxa"/>
            <w:vAlign w:val="bottom"/>
            <w:shd w:val="clear" w:color="auto" w:fill="FDFDFC"/>
          </w:tcPr>
          <w:p>
            <w:pPr>
              <w:jc w:val="right"/>
              <w:spacing w:after="0"/>
              <w:rPr>
                <w:sz w:val="20"/>
                <w:szCs w:val="20"/>
                <w:color w:val="auto"/>
              </w:rPr>
            </w:pPr>
            <w:r>
              <w:rPr>
                <w:rFonts w:ascii="Times New Roman" w:cs="Times New Roman" w:eastAsia="Times New Roman" w:hAnsi="Times New Roman"/>
                <w:sz w:val="19"/>
                <w:szCs w:val="19"/>
                <w:color w:val="231F20"/>
              </w:rPr>
              <w:t>10,033</w:t>
            </w:r>
          </w:p>
        </w:tc>
        <w:tc>
          <w:tcPr>
            <w:tcW w:w="280" w:type="dxa"/>
            <w:vAlign w:val="bottom"/>
            <w:shd w:val="clear" w:color="auto" w:fill="FDFDFC"/>
          </w:tcPr>
          <w:p>
            <w:pPr>
              <w:spacing w:after="0"/>
              <w:rPr>
                <w:sz w:val="20"/>
                <w:szCs w:val="20"/>
                <w:color w:val="auto"/>
              </w:rPr>
            </w:pPr>
          </w:p>
        </w:tc>
        <w:tc>
          <w:tcPr>
            <w:tcW w:w="480" w:type="dxa"/>
            <w:vAlign w:val="bottom"/>
            <w:shd w:val="clear" w:color="auto" w:fill="FDFDFC"/>
          </w:tcPr>
          <w:p>
            <w:pPr>
              <w:spacing w:after="0"/>
              <w:rPr>
                <w:sz w:val="20"/>
                <w:szCs w:val="20"/>
                <w:color w:val="auto"/>
              </w:rPr>
            </w:pPr>
          </w:p>
        </w:tc>
        <w:tc>
          <w:tcPr>
            <w:tcW w:w="1020" w:type="dxa"/>
            <w:vAlign w:val="bottom"/>
            <w:gridSpan w:val="2"/>
            <w:shd w:val="clear" w:color="auto" w:fill="FDFDFC"/>
          </w:tcPr>
          <w:p>
            <w:pPr>
              <w:jc w:val="right"/>
              <w:ind w:right="120"/>
              <w:spacing w:after="0"/>
              <w:rPr>
                <w:sz w:val="20"/>
                <w:szCs w:val="20"/>
                <w:color w:val="auto"/>
              </w:rPr>
            </w:pPr>
            <w:r>
              <w:rPr>
                <w:rFonts w:ascii="Times New Roman" w:cs="Times New Roman" w:eastAsia="Times New Roman" w:hAnsi="Times New Roman"/>
                <w:sz w:val="19"/>
                <w:szCs w:val="19"/>
                <w:color w:val="231F20"/>
              </w:rPr>
              <w:t>—</w:t>
            </w:r>
          </w:p>
        </w:tc>
      </w:tr>
      <w:tr>
        <w:trPr>
          <w:trHeight w:val="230"/>
        </w:trPr>
        <w:tc>
          <w:tcPr>
            <w:tcW w:w="5700" w:type="dxa"/>
            <w:vAlign w:val="bottom"/>
            <w:shd w:val="clear" w:color="auto" w:fill="D0EBF2"/>
          </w:tcPr>
          <w:p>
            <w:pPr>
              <w:spacing w:after="0"/>
              <w:rPr>
                <w:sz w:val="20"/>
                <w:szCs w:val="20"/>
                <w:color w:val="auto"/>
              </w:rPr>
            </w:pPr>
            <w:r>
              <w:rPr>
                <w:rFonts w:ascii="Times New Roman" w:cs="Times New Roman" w:eastAsia="Times New Roman" w:hAnsi="Times New Roman"/>
                <w:sz w:val="19"/>
                <w:szCs w:val="19"/>
                <w:color w:val="231F20"/>
              </w:rPr>
              <w:t>ExtraHop Networks, Inc. - Delayed Draw &amp; Revolver</w:t>
            </w:r>
          </w:p>
        </w:tc>
        <w:tc>
          <w:tcPr>
            <w:tcW w:w="460" w:type="dxa"/>
            <w:vAlign w:val="bottom"/>
            <w:shd w:val="clear" w:color="auto" w:fill="D0EBF2"/>
          </w:tcPr>
          <w:p>
            <w:pPr>
              <w:spacing w:after="0"/>
              <w:rPr>
                <w:sz w:val="20"/>
                <w:szCs w:val="20"/>
                <w:color w:val="auto"/>
              </w:rPr>
            </w:pPr>
          </w:p>
        </w:tc>
        <w:tc>
          <w:tcPr>
            <w:tcW w:w="940" w:type="dxa"/>
            <w:vAlign w:val="bottom"/>
            <w:shd w:val="clear" w:color="auto" w:fill="D0EBF2"/>
          </w:tcPr>
          <w:p>
            <w:pPr>
              <w:jc w:val="right"/>
              <w:spacing w:after="0"/>
              <w:rPr>
                <w:sz w:val="20"/>
                <w:szCs w:val="20"/>
                <w:color w:val="auto"/>
              </w:rPr>
            </w:pPr>
            <w:r>
              <w:rPr>
                <w:rFonts w:ascii="Times New Roman" w:cs="Times New Roman" w:eastAsia="Times New Roman" w:hAnsi="Times New Roman"/>
                <w:sz w:val="19"/>
                <w:szCs w:val="19"/>
                <w:color w:val="231F20"/>
              </w:rPr>
              <w:t>3,384</w:t>
            </w:r>
          </w:p>
        </w:tc>
        <w:tc>
          <w:tcPr>
            <w:tcW w:w="280" w:type="dxa"/>
            <w:vAlign w:val="bottom"/>
            <w:shd w:val="clear" w:color="auto" w:fill="D0EBF2"/>
          </w:tcPr>
          <w:p>
            <w:pPr>
              <w:spacing w:after="0"/>
              <w:rPr>
                <w:sz w:val="20"/>
                <w:szCs w:val="20"/>
                <w:color w:val="auto"/>
              </w:rPr>
            </w:pPr>
          </w:p>
        </w:tc>
        <w:tc>
          <w:tcPr>
            <w:tcW w:w="480" w:type="dxa"/>
            <w:vAlign w:val="bottom"/>
            <w:shd w:val="clear" w:color="auto" w:fill="D0EBF2"/>
          </w:tcPr>
          <w:p>
            <w:pPr>
              <w:spacing w:after="0"/>
              <w:rPr>
                <w:sz w:val="20"/>
                <w:szCs w:val="20"/>
                <w:color w:val="auto"/>
              </w:rPr>
            </w:pPr>
          </w:p>
        </w:tc>
        <w:tc>
          <w:tcPr>
            <w:tcW w:w="940" w:type="dxa"/>
            <w:vAlign w:val="bottom"/>
            <w:shd w:val="clear" w:color="auto" w:fill="D0EBF2"/>
          </w:tcPr>
          <w:p>
            <w:pPr>
              <w:jc w:val="right"/>
              <w:spacing w:after="0"/>
              <w:rPr>
                <w:sz w:val="20"/>
                <w:szCs w:val="20"/>
                <w:color w:val="auto"/>
              </w:rPr>
            </w:pPr>
            <w:r>
              <w:rPr>
                <w:rFonts w:ascii="Times New Roman" w:cs="Times New Roman" w:eastAsia="Times New Roman" w:hAnsi="Times New Roman"/>
                <w:sz w:val="19"/>
                <w:szCs w:val="19"/>
                <w:color w:val="231F20"/>
              </w:rPr>
              <w:t>9,803</w:t>
            </w:r>
          </w:p>
        </w:tc>
        <w:tc>
          <w:tcPr>
            <w:tcW w:w="80" w:type="dxa"/>
            <w:vAlign w:val="bottom"/>
            <w:shd w:val="clear" w:color="auto" w:fill="D0EBF2"/>
          </w:tcPr>
          <w:p>
            <w:pPr>
              <w:spacing w:after="0"/>
              <w:rPr>
                <w:sz w:val="20"/>
                <w:szCs w:val="20"/>
                <w:color w:val="auto"/>
              </w:rPr>
            </w:pPr>
          </w:p>
        </w:tc>
      </w:tr>
      <w:tr>
        <w:trPr>
          <w:trHeight w:val="230"/>
        </w:trPr>
        <w:tc>
          <w:tcPr>
            <w:tcW w:w="5700" w:type="dxa"/>
            <w:vAlign w:val="bottom"/>
            <w:shd w:val="clear" w:color="auto" w:fill="FDFDFC"/>
          </w:tcPr>
          <w:p>
            <w:pPr>
              <w:spacing w:after="0"/>
              <w:rPr>
                <w:sz w:val="20"/>
                <w:szCs w:val="20"/>
                <w:color w:val="auto"/>
              </w:rPr>
            </w:pPr>
            <w:r>
              <w:rPr>
                <w:rFonts w:ascii="Times New Roman" w:cs="Times New Roman" w:eastAsia="Times New Roman" w:hAnsi="Times New Roman"/>
                <w:sz w:val="19"/>
                <w:szCs w:val="19"/>
                <w:color w:val="231F20"/>
              </w:rPr>
              <w:t>Flight Intermediate HoldCo, Inc. - Delayed Draw</w:t>
            </w:r>
          </w:p>
        </w:tc>
        <w:tc>
          <w:tcPr>
            <w:tcW w:w="460" w:type="dxa"/>
            <w:vAlign w:val="bottom"/>
            <w:shd w:val="clear" w:color="auto" w:fill="FDFDFC"/>
          </w:tcPr>
          <w:p>
            <w:pPr>
              <w:spacing w:after="0"/>
              <w:rPr>
                <w:sz w:val="20"/>
                <w:szCs w:val="20"/>
                <w:color w:val="auto"/>
              </w:rPr>
            </w:pPr>
          </w:p>
        </w:tc>
        <w:tc>
          <w:tcPr>
            <w:tcW w:w="940" w:type="dxa"/>
            <w:vAlign w:val="bottom"/>
            <w:shd w:val="clear" w:color="auto" w:fill="FDFDFC"/>
          </w:tcPr>
          <w:p>
            <w:pPr>
              <w:jc w:val="right"/>
              <w:spacing w:after="0"/>
              <w:rPr>
                <w:sz w:val="20"/>
                <w:szCs w:val="20"/>
                <w:color w:val="auto"/>
              </w:rPr>
            </w:pPr>
            <w:r>
              <w:rPr>
                <w:rFonts w:ascii="Times New Roman" w:cs="Times New Roman" w:eastAsia="Times New Roman" w:hAnsi="Times New Roman"/>
                <w:sz w:val="19"/>
                <w:szCs w:val="19"/>
                <w:color w:val="231F20"/>
              </w:rPr>
              <w:t>37,860</w:t>
            </w:r>
          </w:p>
        </w:tc>
        <w:tc>
          <w:tcPr>
            <w:tcW w:w="280" w:type="dxa"/>
            <w:vAlign w:val="bottom"/>
            <w:shd w:val="clear" w:color="auto" w:fill="FDFDFC"/>
          </w:tcPr>
          <w:p>
            <w:pPr>
              <w:spacing w:after="0"/>
              <w:rPr>
                <w:sz w:val="20"/>
                <w:szCs w:val="20"/>
                <w:color w:val="auto"/>
              </w:rPr>
            </w:pPr>
          </w:p>
        </w:tc>
        <w:tc>
          <w:tcPr>
            <w:tcW w:w="480" w:type="dxa"/>
            <w:vAlign w:val="bottom"/>
            <w:shd w:val="clear" w:color="auto" w:fill="FDFDFC"/>
          </w:tcPr>
          <w:p>
            <w:pPr>
              <w:spacing w:after="0"/>
              <w:rPr>
                <w:sz w:val="20"/>
                <w:szCs w:val="20"/>
                <w:color w:val="auto"/>
              </w:rPr>
            </w:pPr>
          </w:p>
        </w:tc>
        <w:tc>
          <w:tcPr>
            <w:tcW w:w="1020" w:type="dxa"/>
            <w:vAlign w:val="bottom"/>
            <w:gridSpan w:val="2"/>
            <w:shd w:val="clear" w:color="auto" w:fill="FDFDFC"/>
          </w:tcPr>
          <w:p>
            <w:pPr>
              <w:jc w:val="right"/>
              <w:ind w:right="120"/>
              <w:spacing w:after="0"/>
              <w:rPr>
                <w:sz w:val="20"/>
                <w:szCs w:val="20"/>
                <w:color w:val="auto"/>
              </w:rPr>
            </w:pPr>
            <w:r>
              <w:rPr>
                <w:rFonts w:ascii="Times New Roman" w:cs="Times New Roman" w:eastAsia="Times New Roman" w:hAnsi="Times New Roman"/>
                <w:sz w:val="19"/>
                <w:szCs w:val="19"/>
                <w:color w:val="231F20"/>
              </w:rPr>
              <w:t>—</w:t>
            </w:r>
          </w:p>
        </w:tc>
      </w:tr>
      <w:tr>
        <w:trPr>
          <w:trHeight w:val="230"/>
        </w:trPr>
        <w:tc>
          <w:tcPr>
            <w:tcW w:w="5700" w:type="dxa"/>
            <w:vAlign w:val="bottom"/>
            <w:shd w:val="clear" w:color="auto" w:fill="D0EBF2"/>
          </w:tcPr>
          <w:p>
            <w:pPr>
              <w:spacing w:after="0"/>
              <w:rPr>
                <w:sz w:val="20"/>
                <w:szCs w:val="20"/>
                <w:color w:val="auto"/>
              </w:rPr>
            </w:pPr>
            <w:r>
              <w:rPr>
                <w:rFonts w:ascii="Times New Roman" w:cs="Times New Roman" w:eastAsia="Times New Roman" w:hAnsi="Times New Roman"/>
                <w:sz w:val="19"/>
                <w:szCs w:val="19"/>
                <w:color w:val="231F20"/>
              </w:rPr>
              <w:t>ForeScout Technologies, Inc. - Delayed Draw &amp; Revolver</w:t>
            </w:r>
          </w:p>
        </w:tc>
        <w:tc>
          <w:tcPr>
            <w:tcW w:w="460" w:type="dxa"/>
            <w:vAlign w:val="bottom"/>
            <w:shd w:val="clear" w:color="auto" w:fill="D0EBF2"/>
          </w:tcPr>
          <w:p>
            <w:pPr>
              <w:spacing w:after="0"/>
              <w:rPr>
                <w:sz w:val="20"/>
                <w:szCs w:val="20"/>
                <w:color w:val="auto"/>
              </w:rPr>
            </w:pPr>
          </w:p>
        </w:tc>
        <w:tc>
          <w:tcPr>
            <w:tcW w:w="940" w:type="dxa"/>
            <w:vAlign w:val="bottom"/>
            <w:shd w:val="clear" w:color="auto" w:fill="D0EBF2"/>
          </w:tcPr>
          <w:p>
            <w:pPr>
              <w:jc w:val="right"/>
              <w:spacing w:after="0"/>
              <w:rPr>
                <w:sz w:val="20"/>
                <w:szCs w:val="20"/>
                <w:color w:val="auto"/>
              </w:rPr>
            </w:pPr>
            <w:r>
              <w:rPr>
                <w:rFonts w:ascii="Times New Roman" w:cs="Times New Roman" w:eastAsia="Times New Roman" w:hAnsi="Times New Roman"/>
                <w:sz w:val="19"/>
                <w:szCs w:val="19"/>
                <w:color w:val="231F20"/>
              </w:rPr>
              <w:t>800</w:t>
            </w:r>
          </w:p>
        </w:tc>
        <w:tc>
          <w:tcPr>
            <w:tcW w:w="280" w:type="dxa"/>
            <w:vAlign w:val="bottom"/>
            <w:shd w:val="clear" w:color="auto" w:fill="D0EBF2"/>
          </w:tcPr>
          <w:p>
            <w:pPr>
              <w:spacing w:after="0"/>
              <w:rPr>
                <w:sz w:val="20"/>
                <w:szCs w:val="20"/>
                <w:color w:val="auto"/>
              </w:rPr>
            </w:pPr>
          </w:p>
        </w:tc>
        <w:tc>
          <w:tcPr>
            <w:tcW w:w="480" w:type="dxa"/>
            <w:vAlign w:val="bottom"/>
            <w:shd w:val="clear" w:color="auto" w:fill="D0EBF2"/>
          </w:tcPr>
          <w:p>
            <w:pPr>
              <w:spacing w:after="0"/>
              <w:rPr>
                <w:sz w:val="20"/>
                <w:szCs w:val="20"/>
                <w:color w:val="auto"/>
              </w:rPr>
            </w:pPr>
          </w:p>
        </w:tc>
        <w:tc>
          <w:tcPr>
            <w:tcW w:w="940" w:type="dxa"/>
            <w:vAlign w:val="bottom"/>
            <w:shd w:val="clear" w:color="auto" w:fill="D0EBF2"/>
          </w:tcPr>
          <w:p>
            <w:pPr>
              <w:jc w:val="right"/>
              <w:spacing w:after="0"/>
              <w:rPr>
                <w:sz w:val="20"/>
                <w:szCs w:val="20"/>
                <w:color w:val="auto"/>
              </w:rPr>
            </w:pPr>
            <w:r>
              <w:rPr>
                <w:rFonts w:ascii="Times New Roman" w:cs="Times New Roman" w:eastAsia="Times New Roman" w:hAnsi="Times New Roman"/>
                <w:sz w:val="19"/>
                <w:szCs w:val="19"/>
                <w:color w:val="231F20"/>
              </w:rPr>
              <w:t>3,425</w:t>
            </w:r>
          </w:p>
        </w:tc>
        <w:tc>
          <w:tcPr>
            <w:tcW w:w="80" w:type="dxa"/>
            <w:vAlign w:val="bottom"/>
            <w:shd w:val="clear" w:color="auto" w:fill="D0EBF2"/>
          </w:tcPr>
          <w:p>
            <w:pPr>
              <w:spacing w:after="0"/>
              <w:rPr>
                <w:sz w:val="20"/>
                <w:szCs w:val="20"/>
                <w:color w:val="auto"/>
              </w:rPr>
            </w:pPr>
          </w:p>
        </w:tc>
      </w:tr>
      <w:tr>
        <w:trPr>
          <w:trHeight w:val="230"/>
        </w:trPr>
        <w:tc>
          <w:tcPr>
            <w:tcW w:w="5700" w:type="dxa"/>
            <w:vAlign w:val="bottom"/>
            <w:shd w:val="clear" w:color="auto" w:fill="FDFDFC"/>
          </w:tcPr>
          <w:p>
            <w:pPr>
              <w:spacing w:after="0"/>
              <w:rPr>
                <w:sz w:val="20"/>
                <w:szCs w:val="20"/>
                <w:color w:val="auto"/>
              </w:rPr>
            </w:pPr>
            <w:r>
              <w:rPr>
                <w:rFonts w:ascii="Times New Roman" w:cs="Times New Roman" w:eastAsia="Times New Roman" w:hAnsi="Times New Roman"/>
                <w:sz w:val="19"/>
                <w:szCs w:val="19"/>
                <w:color w:val="231F20"/>
              </w:rPr>
              <w:t>Fullsteam Operations, LLC - Delayed Draw &amp; Revolver</w:t>
            </w:r>
          </w:p>
        </w:tc>
        <w:tc>
          <w:tcPr>
            <w:tcW w:w="460" w:type="dxa"/>
            <w:vAlign w:val="bottom"/>
            <w:shd w:val="clear" w:color="auto" w:fill="FDFDFC"/>
          </w:tcPr>
          <w:p>
            <w:pPr>
              <w:spacing w:after="0"/>
              <w:rPr>
                <w:sz w:val="20"/>
                <w:szCs w:val="20"/>
                <w:color w:val="auto"/>
              </w:rPr>
            </w:pPr>
          </w:p>
        </w:tc>
        <w:tc>
          <w:tcPr>
            <w:tcW w:w="940" w:type="dxa"/>
            <w:vAlign w:val="bottom"/>
            <w:shd w:val="clear" w:color="auto" w:fill="FDFDFC"/>
          </w:tcPr>
          <w:p>
            <w:pPr>
              <w:jc w:val="right"/>
              <w:spacing w:after="0"/>
              <w:rPr>
                <w:sz w:val="20"/>
                <w:szCs w:val="20"/>
                <w:color w:val="auto"/>
              </w:rPr>
            </w:pPr>
            <w:r>
              <w:rPr>
                <w:rFonts w:ascii="Times New Roman" w:cs="Times New Roman" w:eastAsia="Times New Roman" w:hAnsi="Times New Roman"/>
                <w:sz w:val="19"/>
                <w:szCs w:val="19"/>
                <w:color w:val="231F20"/>
              </w:rPr>
              <w:t>8,885</w:t>
            </w:r>
          </w:p>
        </w:tc>
        <w:tc>
          <w:tcPr>
            <w:tcW w:w="280" w:type="dxa"/>
            <w:vAlign w:val="bottom"/>
            <w:shd w:val="clear" w:color="auto" w:fill="FDFDFC"/>
          </w:tcPr>
          <w:p>
            <w:pPr>
              <w:spacing w:after="0"/>
              <w:rPr>
                <w:sz w:val="20"/>
                <w:szCs w:val="20"/>
                <w:color w:val="auto"/>
              </w:rPr>
            </w:pPr>
          </w:p>
        </w:tc>
        <w:tc>
          <w:tcPr>
            <w:tcW w:w="480" w:type="dxa"/>
            <w:vAlign w:val="bottom"/>
            <w:shd w:val="clear" w:color="auto" w:fill="FDFDFC"/>
          </w:tcPr>
          <w:p>
            <w:pPr>
              <w:spacing w:after="0"/>
              <w:rPr>
                <w:sz w:val="20"/>
                <w:szCs w:val="20"/>
                <w:color w:val="auto"/>
              </w:rPr>
            </w:pPr>
          </w:p>
        </w:tc>
        <w:tc>
          <w:tcPr>
            <w:tcW w:w="940" w:type="dxa"/>
            <w:vAlign w:val="bottom"/>
            <w:shd w:val="clear" w:color="auto" w:fill="FDFDFC"/>
          </w:tcPr>
          <w:p>
            <w:pPr>
              <w:jc w:val="right"/>
              <w:spacing w:after="0"/>
              <w:rPr>
                <w:sz w:val="20"/>
                <w:szCs w:val="20"/>
                <w:color w:val="auto"/>
              </w:rPr>
            </w:pPr>
            <w:r>
              <w:rPr>
                <w:rFonts w:ascii="Times New Roman" w:cs="Times New Roman" w:eastAsia="Times New Roman" w:hAnsi="Times New Roman"/>
                <w:sz w:val="19"/>
                <w:szCs w:val="19"/>
                <w:color w:val="231F20"/>
              </w:rPr>
              <w:t>11,246</w:t>
            </w:r>
          </w:p>
        </w:tc>
        <w:tc>
          <w:tcPr>
            <w:tcW w:w="80" w:type="dxa"/>
            <w:vAlign w:val="bottom"/>
            <w:shd w:val="clear" w:color="auto" w:fill="FDFDFC"/>
          </w:tcPr>
          <w:p>
            <w:pPr>
              <w:spacing w:after="0"/>
              <w:rPr>
                <w:sz w:val="20"/>
                <w:szCs w:val="20"/>
                <w:color w:val="auto"/>
              </w:rPr>
            </w:pPr>
          </w:p>
        </w:tc>
      </w:tr>
      <w:tr>
        <w:trPr>
          <w:trHeight w:val="230"/>
        </w:trPr>
        <w:tc>
          <w:tcPr>
            <w:tcW w:w="5700" w:type="dxa"/>
            <w:vAlign w:val="bottom"/>
            <w:shd w:val="clear" w:color="auto" w:fill="D0EBF2"/>
          </w:tcPr>
          <w:p>
            <w:pPr>
              <w:spacing w:after="0"/>
              <w:rPr>
                <w:sz w:val="20"/>
                <w:szCs w:val="20"/>
                <w:color w:val="auto"/>
              </w:rPr>
            </w:pPr>
            <w:r>
              <w:rPr>
                <w:rFonts w:ascii="Times New Roman" w:cs="Times New Roman" w:eastAsia="Times New Roman" w:hAnsi="Times New Roman"/>
                <w:sz w:val="19"/>
                <w:szCs w:val="19"/>
                <w:color w:val="231F20"/>
              </w:rPr>
              <w:t>Galileo Parent, Inc. - Revolver</w:t>
            </w:r>
          </w:p>
        </w:tc>
        <w:tc>
          <w:tcPr>
            <w:tcW w:w="460" w:type="dxa"/>
            <w:vAlign w:val="bottom"/>
            <w:shd w:val="clear" w:color="auto" w:fill="D0EBF2"/>
          </w:tcPr>
          <w:p>
            <w:pPr>
              <w:spacing w:after="0"/>
              <w:rPr>
                <w:sz w:val="20"/>
                <w:szCs w:val="20"/>
                <w:color w:val="auto"/>
              </w:rPr>
            </w:pPr>
          </w:p>
        </w:tc>
        <w:tc>
          <w:tcPr>
            <w:tcW w:w="940" w:type="dxa"/>
            <w:vAlign w:val="bottom"/>
            <w:shd w:val="clear" w:color="auto" w:fill="D0EBF2"/>
          </w:tcPr>
          <w:p>
            <w:pPr>
              <w:jc w:val="right"/>
              <w:spacing w:after="0"/>
              <w:rPr>
                <w:sz w:val="20"/>
                <w:szCs w:val="20"/>
                <w:color w:val="auto"/>
              </w:rPr>
            </w:pPr>
            <w:r>
              <w:rPr>
                <w:rFonts w:ascii="Times New Roman" w:cs="Times New Roman" w:eastAsia="Times New Roman" w:hAnsi="Times New Roman"/>
                <w:sz w:val="19"/>
                <w:szCs w:val="19"/>
                <w:color w:val="231F20"/>
              </w:rPr>
              <w:t>5,481</w:t>
            </w:r>
          </w:p>
        </w:tc>
        <w:tc>
          <w:tcPr>
            <w:tcW w:w="280" w:type="dxa"/>
            <w:vAlign w:val="bottom"/>
            <w:shd w:val="clear" w:color="auto" w:fill="D0EBF2"/>
          </w:tcPr>
          <w:p>
            <w:pPr>
              <w:spacing w:after="0"/>
              <w:rPr>
                <w:sz w:val="20"/>
                <w:szCs w:val="20"/>
                <w:color w:val="auto"/>
              </w:rPr>
            </w:pPr>
          </w:p>
        </w:tc>
        <w:tc>
          <w:tcPr>
            <w:tcW w:w="480" w:type="dxa"/>
            <w:vAlign w:val="bottom"/>
            <w:shd w:val="clear" w:color="auto" w:fill="D0EBF2"/>
          </w:tcPr>
          <w:p>
            <w:pPr>
              <w:spacing w:after="0"/>
              <w:rPr>
                <w:sz w:val="20"/>
                <w:szCs w:val="20"/>
                <w:color w:val="auto"/>
              </w:rPr>
            </w:pPr>
          </w:p>
        </w:tc>
        <w:tc>
          <w:tcPr>
            <w:tcW w:w="940" w:type="dxa"/>
            <w:vAlign w:val="bottom"/>
            <w:shd w:val="clear" w:color="auto" w:fill="D0EBF2"/>
          </w:tcPr>
          <w:p>
            <w:pPr>
              <w:jc w:val="right"/>
              <w:spacing w:after="0"/>
              <w:rPr>
                <w:sz w:val="20"/>
                <w:szCs w:val="20"/>
                <w:color w:val="auto"/>
              </w:rPr>
            </w:pPr>
            <w:r>
              <w:rPr>
                <w:rFonts w:ascii="Times New Roman" w:cs="Times New Roman" w:eastAsia="Times New Roman" w:hAnsi="Times New Roman"/>
                <w:sz w:val="19"/>
                <w:szCs w:val="19"/>
                <w:color w:val="231F20"/>
              </w:rPr>
              <w:t>6,779</w:t>
            </w:r>
          </w:p>
        </w:tc>
        <w:tc>
          <w:tcPr>
            <w:tcW w:w="80" w:type="dxa"/>
            <w:vAlign w:val="bottom"/>
            <w:shd w:val="clear" w:color="auto" w:fill="D0EBF2"/>
          </w:tcPr>
          <w:p>
            <w:pPr>
              <w:spacing w:after="0"/>
              <w:rPr>
                <w:sz w:val="20"/>
                <w:szCs w:val="20"/>
                <w:color w:val="auto"/>
              </w:rPr>
            </w:pPr>
          </w:p>
        </w:tc>
      </w:tr>
      <w:tr>
        <w:trPr>
          <w:trHeight w:val="230"/>
        </w:trPr>
        <w:tc>
          <w:tcPr>
            <w:tcW w:w="5700" w:type="dxa"/>
            <w:vAlign w:val="bottom"/>
            <w:shd w:val="clear" w:color="auto" w:fill="FDFDFC"/>
          </w:tcPr>
          <w:p>
            <w:pPr>
              <w:spacing w:after="0"/>
              <w:rPr>
                <w:sz w:val="20"/>
                <w:szCs w:val="20"/>
                <w:color w:val="auto"/>
              </w:rPr>
            </w:pPr>
            <w:r>
              <w:rPr>
                <w:rFonts w:ascii="Times New Roman" w:cs="Times New Roman" w:eastAsia="Times New Roman" w:hAnsi="Times New Roman"/>
                <w:sz w:val="19"/>
                <w:szCs w:val="19"/>
                <w:color w:val="231F20"/>
              </w:rPr>
              <w:t>Greenshoot Bidco B.V. - Revolver</w:t>
            </w:r>
          </w:p>
        </w:tc>
        <w:tc>
          <w:tcPr>
            <w:tcW w:w="460" w:type="dxa"/>
            <w:vAlign w:val="bottom"/>
            <w:shd w:val="clear" w:color="auto" w:fill="FDFDFC"/>
          </w:tcPr>
          <w:p>
            <w:pPr>
              <w:spacing w:after="0"/>
              <w:rPr>
                <w:sz w:val="20"/>
                <w:szCs w:val="20"/>
                <w:color w:val="auto"/>
              </w:rPr>
            </w:pPr>
          </w:p>
        </w:tc>
        <w:tc>
          <w:tcPr>
            <w:tcW w:w="940" w:type="dxa"/>
            <w:vAlign w:val="bottom"/>
            <w:shd w:val="clear" w:color="auto" w:fill="FDFDFC"/>
          </w:tcPr>
          <w:p>
            <w:pPr>
              <w:jc w:val="right"/>
              <w:spacing w:after="0"/>
              <w:rPr>
                <w:sz w:val="20"/>
                <w:szCs w:val="20"/>
                <w:color w:val="auto"/>
              </w:rPr>
            </w:pPr>
            <w:r>
              <w:rPr>
                <w:rFonts w:ascii="Times New Roman" w:cs="Times New Roman" w:eastAsia="Times New Roman" w:hAnsi="Times New Roman"/>
                <w:sz w:val="19"/>
                <w:szCs w:val="19"/>
                <w:color w:val="231F20"/>
              </w:rPr>
              <w:t>407</w:t>
            </w:r>
          </w:p>
        </w:tc>
        <w:tc>
          <w:tcPr>
            <w:tcW w:w="280" w:type="dxa"/>
            <w:vAlign w:val="bottom"/>
            <w:shd w:val="clear" w:color="auto" w:fill="FDFDFC"/>
          </w:tcPr>
          <w:p>
            <w:pPr>
              <w:spacing w:after="0"/>
              <w:rPr>
                <w:sz w:val="20"/>
                <w:szCs w:val="20"/>
                <w:color w:val="auto"/>
              </w:rPr>
            </w:pPr>
          </w:p>
        </w:tc>
        <w:tc>
          <w:tcPr>
            <w:tcW w:w="480" w:type="dxa"/>
            <w:vAlign w:val="bottom"/>
            <w:shd w:val="clear" w:color="auto" w:fill="FDFDFC"/>
          </w:tcPr>
          <w:p>
            <w:pPr>
              <w:spacing w:after="0"/>
              <w:rPr>
                <w:sz w:val="20"/>
                <w:szCs w:val="20"/>
                <w:color w:val="auto"/>
              </w:rPr>
            </w:pPr>
          </w:p>
        </w:tc>
        <w:tc>
          <w:tcPr>
            <w:tcW w:w="1020" w:type="dxa"/>
            <w:vAlign w:val="bottom"/>
            <w:gridSpan w:val="2"/>
            <w:shd w:val="clear" w:color="auto" w:fill="FDFDFC"/>
          </w:tcPr>
          <w:p>
            <w:pPr>
              <w:jc w:val="right"/>
              <w:ind w:right="120"/>
              <w:spacing w:after="0"/>
              <w:rPr>
                <w:sz w:val="20"/>
                <w:szCs w:val="20"/>
                <w:color w:val="auto"/>
              </w:rPr>
            </w:pPr>
            <w:r>
              <w:rPr>
                <w:rFonts w:ascii="Times New Roman" w:cs="Times New Roman" w:eastAsia="Times New Roman" w:hAnsi="Times New Roman"/>
                <w:sz w:val="19"/>
                <w:szCs w:val="19"/>
                <w:color w:val="231F20"/>
              </w:rPr>
              <w:t>—</w:t>
            </w:r>
          </w:p>
        </w:tc>
      </w:tr>
      <w:tr>
        <w:trPr>
          <w:trHeight w:val="230"/>
        </w:trPr>
        <w:tc>
          <w:tcPr>
            <w:tcW w:w="5700" w:type="dxa"/>
            <w:vAlign w:val="bottom"/>
            <w:shd w:val="clear" w:color="auto" w:fill="D0EBF2"/>
          </w:tcPr>
          <w:p>
            <w:pPr>
              <w:spacing w:after="0"/>
              <w:rPr>
                <w:sz w:val="20"/>
                <w:szCs w:val="20"/>
                <w:color w:val="auto"/>
              </w:rPr>
            </w:pPr>
            <w:r>
              <w:rPr>
                <w:rFonts w:ascii="Times New Roman" w:cs="Times New Roman" w:eastAsia="Times New Roman" w:hAnsi="Times New Roman"/>
                <w:sz w:val="19"/>
                <w:szCs w:val="19"/>
                <w:color w:val="231F20"/>
              </w:rPr>
              <w:t>Heritage Environmental Services, Inc. - Delayed Draw &amp; Revolver</w:t>
            </w:r>
          </w:p>
        </w:tc>
        <w:tc>
          <w:tcPr>
            <w:tcW w:w="460" w:type="dxa"/>
            <w:vAlign w:val="bottom"/>
            <w:shd w:val="clear" w:color="auto" w:fill="D0EBF2"/>
          </w:tcPr>
          <w:p>
            <w:pPr>
              <w:spacing w:after="0"/>
              <w:rPr>
                <w:sz w:val="20"/>
                <w:szCs w:val="20"/>
                <w:color w:val="auto"/>
              </w:rPr>
            </w:pPr>
          </w:p>
        </w:tc>
        <w:tc>
          <w:tcPr>
            <w:tcW w:w="940" w:type="dxa"/>
            <w:vAlign w:val="bottom"/>
            <w:shd w:val="clear" w:color="auto" w:fill="D0EBF2"/>
          </w:tcPr>
          <w:p>
            <w:pPr>
              <w:jc w:val="right"/>
              <w:spacing w:after="0"/>
              <w:rPr>
                <w:sz w:val="20"/>
                <w:szCs w:val="20"/>
                <w:color w:val="auto"/>
              </w:rPr>
            </w:pPr>
            <w:r>
              <w:rPr>
                <w:rFonts w:ascii="Times New Roman" w:cs="Times New Roman" w:eastAsia="Times New Roman" w:hAnsi="Times New Roman"/>
                <w:sz w:val="19"/>
                <w:szCs w:val="19"/>
                <w:color w:val="231F20"/>
              </w:rPr>
              <w:t>2,521</w:t>
            </w:r>
          </w:p>
        </w:tc>
        <w:tc>
          <w:tcPr>
            <w:tcW w:w="280" w:type="dxa"/>
            <w:vAlign w:val="bottom"/>
            <w:shd w:val="clear" w:color="auto" w:fill="D0EBF2"/>
          </w:tcPr>
          <w:p>
            <w:pPr>
              <w:spacing w:after="0"/>
              <w:rPr>
                <w:sz w:val="20"/>
                <w:szCs w:val="20"/>
                <w:color w:val="auto"/>
              </w:rPr>
            </w:pPr>
          </w:p>
        </w:tc>
        <w:tc>
          <w:tcPr>
            <w:tcW w:w="480" w:type="dxa"/>
            <w:vAlign w:val="bottom"/>
            <w:shd w:val="clear" w:color="auto" w:fill="D0EBF2"/>
          </w:tcPr>
          <w:p>
            <w:pPr>
              <w:spacing w:after="0"/>
              <w:rPr>
                <w:sz w:val="20"/>
                <w:szCs w:val="20"/>
                <w:color w:val="auto"/>
              </w:rPr>
            </w:pPr>
          </w:p>
        </w:tc>
        <w:tc>
          <w:tcPr>
            <w:tcW w:w="1020" w:type="dxa"/>
            <w:vAlign w:val="bottom"/>
            <w:gridSpan w:val="2"/>
            <w:shd w:val="clear" w:color="auto" w:fill="D0EBF2"/>
          </w:tcPr>
          <w:p>
            <w:pPr>
              <w:jc w:val="right"/>
              <w:ind w:right="120"/>
              <w:spacing w:after="0"/>
              <w:rPr>
                <w:sz w:val="20"/>
                <w:szCs w:val="20"/>
                <w:color w:val="auto"/>
              </w:rPr>
            </w:pPr>
            <w:r>
              <w:rPr>
                <w:rFonts w:ascii="Times New Roman" w:cs="Times New Roman" w:eastAsia="Times New Roman" w:hAnsi="Times New Roman"/>
                <w:sz w:val="19"/>
                <w:szCs w:val="19"/>
                <w:color w:val="231F20"/>
              </w:rPr>
              <w:t>—</w:t>
            </w:r>
          </w:p>
        </w:tc>
      </w:tr>
      <w:tr>
        <w:trPr>
          <w:trHeight w:val="230"/>
        </w:trPr>
        <w:tc>
          <w:tcPr>
            <w:tcW w:w="5700" w:type="dxa"/>
            <w:vAlign w:val="bottom"/>
            <w:shd w:val="clear" w:color="auto" w:fill="FDFDFC"/>
          </w:tcPr>
          <w:p>
            <w:pPr>
              <w:spacing w:after="0"/>
              <w:rPr>
                <w:sz w:val="20"/>
                <w:szCs w:val="20"/>
                <w:color w:val="auto"/>
              </w:rPr>
            </w:pPr>
            <w:r>
              <w:rPr>
                <w:rFonts w:ascii="Times New Roman" w:cs="Times New Roman" w:eastAsia="Times New Roman" w:hAnsi="Times New Roman"/>
                <w:sz w:val="19"/>
                <w:szCs w:val="19"/>
                <w:color w:val="231F20"/>
              </w:rPr>
              <w:t>Hippo XPA Bidco AB - Delayed Draw &amp; Revolver</w:t>
            </w:r>
          </w:p>
        </w:tc>
        <w:tc>
          <w:tcPr>
            <w:tcW w:w="460" w:type="dxa"/>
            <w:vAlign w:val="bottom"/>
            <w:shd w:val="clear" w:color="auto" w:fill="FDFDFC"/>
          </w:tcPr>
          <w:p>
            <w:pPr>
              <w:spacing w:after="0"/>
              <w:rPr>
                <w:sz w:val="20"/>
                <w:szCs w:val="20"/>
                <w:color w:val="auto"/>
              </w:rPr>
            </w:pPr>
          </w:p>
        </w:tc>
        <w:tc>
          <w:tcPr>
            <w:tcW w:w="940" w:type="dxa"/>
            <w:vAlign w:val="bottom"/>
            <w:shd w:val="clear" w:color="auto" w:fill="FDFDFC"/>
          </w:tcPr>
          <w:p>
            <w:pPr>
              <w:jc w:val="right"/>
              <w:spacing w:after="0"/>
              <w:rPr>
                <w:sz w:val="20"/>
                <w:szCs w:val="20"/>
                <w:color w:val="auto"/>
              </w:rPr>
            </w:pPr>
            <w:r>
              <w:rPr>
                <w:rFonts w:ascii="Times New Roman" w:cs="Times New Roman" w:eastAsia="Times New Roman" w:hAnsi="Times New Roman"/>
                <w:sz w:val="19"/>
                <w:szCs w:val="19"/>
                <w:color w:val="231F20"/>
              </w:rPr>
              <w:t>1,697</w:t>
            </w:r>
          </w:p>
        </w:tc>
        <w:tc>
          <w:tcPr>
            <w:tcW w:w="280" w:type="dxa"/>
            <w:vAlign w:val="bottom"/>
            <w:shd w:val="clear" w:color="auto" w:fill="FDFDFC"/>
          </w:tcPr>
          <w:p>
            <w:pPr>
              <w:spacing w:after="0"/>
              <w:rPr>
                <w:sz w:val="20"/>
                <w:szCs w:val="20"/>
                <w:color w:val="auto"/>
              </w:rPr>
            </w:pPr>
          </w:p>
        </w:tc>
        <w:tc>
          <w:tcPr>
            <w:tcW w:w="480" w:type="dxa"/>
            <w:vAlign w:val="bottom"/>
            <w:shd w:val="clear" w:color="auto" w:fill="FDFDFC"/>
          </w:tcPr>
          <w:p>
            <w:pPr>
              <w:spacing w:after="0"/>
              <w:rPr>
                <w:sz w:val="20"/>
                <w:szCs w:val="20"/>
                <w:color w:val="auto"/>
              </w:rPr>
            </w:pPr>
          </w:p>
        </w:tc>
        <w:tc>
          <w:tcPr>
            <w:tcW w:w="1020" w:type="dxa"/>
            <w:vAlign w:val="bottom"/>
            <w:gridSpan w:val="2"/>
            <w:shd w:val="clear" w:color="auto" w:fill="FDFDFC"/>
          </w:tcPr>
          <w:p>
            <w:pPr>
              <w:jc w:val="right"/>
              <w:ind w:right="120"/>
              <w:spacing w:after="0"/>
              <w:rPr>
                <w:sz w:val="20"/>
                <w:szCs w:val="20"/>
                <w:color w:val="auto"/>
              </w:rPr>
            </w:pPr>
            <w:r>
              <w:rPr>
                <w:rFonts w:ascii="Times New Roman" w:cs="Times New Roman" w:eastAsia="Times New Roman" w:hAnsi="Times New Roman"/>
                <w:sz w:val="19"/>
                <w:szCs w:val="19"/>
                <w:color w:val="231F20"/>
              </w:rPr>
              <w:t>—</w:t>
            </w:r>
          </w:p>
        </w:tc>
      </w:tr>
      <w:tr>
        <w:trPr>
          <w:trHeight w:val="230"/>
        </w:trPr>
        <w:tc>
          <w:tcPr>
            <w:tcW w:w="5700" w:type="dxa"/>
            <w:vAlign w:val="bottom"/>
            <w:shd w:val="clear" w:color="auto" w:fill="D0EBF2"/>
          </w:tcPr>
          <w:p>
            <w:pPr>
              <w:spacing w:after="0"/>
              <w:rPr>
                <w:sz w:val="20"/>
                <w:szCs w:val="20"/>
                <w:color w:val="auto"/>
              </w:rPr>
            </w:pPr>
            <w:r>
              <w:rPr>
                <w:rFonts w:ascii="Times New Roman" w:cs="Times New Roman" w:eastAsia="Times New Roman" w:hAnsi="Times New Roman"/>
                <w:sz w:val="19"/>
                <w:szCs w:val="19"/>
                <w:color w:val="231F20"/>
              </w:rPr>
              <w:t>HireVue, Inc. - Revolver</w:t>
            </w:r>
          </w:p>
        </w:tc>
        <w:tc>
          <w:tcPr>
            <w:tcW w:w="460" w:type="dxa"/>
            <w:vAlign w:val="bottom"/>
            <w:shd w:val="clear" w:color="auto" w:fill="D0EBF2"/>
          </w:tcPr>
          <w:p>
            <w:pPr>
              <w:spacing w:after="0"/>
              <w:rPr>
                <w:sz w:val="20"/>
                <w:szCs w:val="20"/>
                <w:color w:val="auto"/>
              </w:rPr>
            </w:pPr>
          </w:p>
        </w:tc>
        <w:tc>
          <w:tcPr>
            <w:tcW w:w="940" w:type="dxa"/>
            <w:vAlign w:val="bottom"/>
            <w:shd w:val="clear" w:color="auto" w:fill="D0EBF2"/>
          </w:tcPr>
          <w:p>
            <w:pPr>
              <w:jc w:val="right"/>
              <w:spacing w:after="0"/>
              <w:rPr>
                <w:sz w:val="20"/>
                <w:szCs w:val="20"/>
                <w:color w:val="auto"/>
              </w:rPr>
            </w:pPr>
            <w:r>
              <w:rPr>
                <w:rFonts w:ascii="Times New Roman" w:cs="Times New Roman" w:eastAsia="Times New Roman" w:hAnsi="Times New Roman"/>
                <w:sz w:val="19"/>
                <w:szCs w:val="19"/>
                <w:color w:val="231F20"/>
              </w:rPr>
              <w:t>2,509</w:t>
            </w:r>
          </w:p>
        </w:tc>
        <w:tc>
          <w:tcPr>
            <w:tcW w:w="280" w:type="dxa"/>
            <w:vAlign w:val="bottom"/>
            <w:shd w:val="clear" w:color="auto" w:fill="D0EBF2"/>
          </w:tcPr>
          <w:p>
            <w:pPr>
              <w:spacing w:after="0"/>
              <w:rPr>
                <w:sz w:val="20"/>
                <w:szCs w:val="20"/>
                <w:color w:val="auto"/>
              </w:rPr>
            </w:pPr>
          </w:p>
        </w:tc>
        <w:tc>
          <w:tcPr>
            <w:tcW w:w="480" w:type="dxa"/>
            <w:vAlign w:val="bottom"/>
            <w:shd w:val="clear" w:color="auto" w:fill="D0EBF2"/>
          </w:tcPr>
          <w:p>
            <w:pPr>
              <w:spacing w:after="0"/>
              <w:rPr>
                <w:sz w:val="20"/>
                <w:szCs w:val="20"/>
                <w:color w:val="auto"/>
              </w:rPr>
            </w:pPr>
          </w:p>
        </w:tc>
        <w:tc>
          <w:tcPr>
            <w:tcW w:w="940" w:type="dxa"/>
            <w:vAlign w:val="bottom"/>
            <w:shd w:val="clear" w:color="auto" w:fill="D0EBF2"/>
          </w:tcPr>
          <w:p>
            <w:pPr>
              <w:jc w:val="right"/>
              <w:spacing w:after="0"/>
              <w:rPr>
                <w:sz w:val="20"/>
                <w:szCs w:val="20"/>
                <w:color w:val="auto"/>
              </w:rPr>
            </w:pPr>
            <w:r>
              <w:rPr>
                <w:rFonts w:ascii="Times New Roman" w:cs="Times New Roman" w:eastAsia="Times New Roman" w:hAnsi="Times New Roman"/>
                <w:sz w:val="19"/>
                <w:szCs w:val="19"/>
                <w:color w:val="231F20"/>
              </w:rPr>
              <w:t>6,887</w:t>
            </w:r>
          </w:p>
        </w:tc>
        <w:tc>
          <w:tcPr>
            <w:tcW w:w="80" w:type="dxa"/>
            <w:vAlign w:val="bottom"/>
            <w:shd w:val="clear" w:color="auto" w:fill="D0EBF2"/>
          </w:tcPr>
          <w:p>
            <w:pPr>
              <w:spacing w:after="0"/>
              <w:rPr>
                <w:sz w:val="20"/>
                <w:szCs w:val="20"/>
                <w:color w:val="auto"/>
              </w:rPr>
            </w:pPr>
          </w:p>
        </w:tc>
      </w:tr>
      <w:tr>
        <w:trPr>
          <w:trHeight w:val="230"/>
        </w:trPr>
        <w:tc>
          <w:tcPr>
            <w:tcW w:w="5700" w:type="dxa"/>
            <w:vAlign w:val="bottom"/>
            <w:shd w:val="clear" w:color="auto" w:fill="FDFDFC"/>
          </w:tcPr>
          <w:p>
            <w:pPr>
              <w:spacing w:after="0"/>
              <w:rPr>
                <w:sz w:val="20"/>
                <w:szCs w:val="20"/>
                <w:color w:val="auto"/>
              </w:rPr>
            </w:pPr>
            <w:r>
              <w:rPr>
                <w:rFonts w:ascii="Times New Roman" w:cs="Times New Roman" w:eastAsia="Times New Roman" w:hAnsi="Times New Roman"/>
                <w:sz w:val="19"/>
                <w:szCs w:val="19"/>
                <w:color w:val="231F20"/>
              </w:rPr>
              <w:t>Hornetsecurity Holding GmbH - Delayed Draw &amp; Revolver</w:t>
            </w:r>
          </w:p>
        </w:tc>
        <w:tc>
          <w:tcPr>
            <w:tcW w:w="460" w:type="dxa"/>
            <w:vAlign w:val="bottom"/>
            <w:shd w:val="clear" w:color="auto" w:fill="FDFDFC"/>
          </w:tcPr>
          <w:p>
            <w:pPr>
              <w:spacing w:after="0"/>
              <w:rPr>
                <w:sz w:val="20"/>
                <w:szCs w:val="20"/>
                <w:color w:val="auto"/>
              </w:rPr>
            </w:pPr>
          </w:p>
        </w:tc>
        <w:tc>
          <w:tcPr>
            <w:tcW w:w="940" w:type="dxa"/>
            <w:vAlign w:val="bottom"/>
            <w:shd w:val="clear" w:color="auto" w:fill="FDFDFC"/>
          </w:tcPr>
          <w:p>
            <w:pPr>
              <w:jc w:val="right"/>
              <w:spacing w:after="0"/>
              <w:rPr>
                <w:sz w:val="20"/>
                <w:szCs w:val="20"/>
                <w:color w:val="auto"/>
              </w:rPr>
            </w:pPr>
            <w:r>
              <w:rPr>
                <w:rFonts w:ascii="Times New Roman" w:cs="Times New Roman" w:eastAsia="Times New Roman" w:hAnsi="Times New Roman"/>
                <w:sz w:val="19"/>
                <w:szCs w:val="19"/>
                <w:color w:val="231F20"/>
              </w:rPr>
              <w:t>—</w:t>
            </w:r>
          </w:p>
        </w:tc>
        <w:tc>
          <w:tcPr>
            <w:tcW w:w="280" w:type="dxa"/>
            <w:vAlign w:val="bottom"/>
            <w:shd w:val="clear" w:color="auto" w:fill="FDFDFC"/>
          </w:tcPr>
          <w:p>
            <w:pPr>
              <w:spacing w:after="0"/>
              <w:rPr>
                <w:sz w:val="20"/>
                <w:szCs w:val="20"/>
                <w:color w:val="auto"/>
              </w:rPr>
            </w:pPr>
          </w:p>
        </w:tc>
        <w:tc>
          <w:tcPr>
            <w:tcW w:w="480" w:type="dxa"/>
            <w:vAlign w:val="bottom"/>
            <w:shd w:val="clear" w:color="auto" w:fill="FDFDFC"/>
          </w:tcPr>
          <w:p>
            <w:pPr>
              <w:spacing w:after="0"/>
              <w:rPr>
                <w:sz w:val="20"/>
                <w:szCs w:val="20"/>
                <w:color w:val="auto"/>
              </w:rPr>
            </w:pPr>
          </w:p>
        </w:tc>
        <w:tc>
          <w:tcPr>
            <w:tcW w:w="940" w:type="dxa"/>
            <w:vAlign w:val="bottom"/>
            <w:shd w:val="clear" w:color="auto" w:fill="FDFDFC"/>
          </w:tcPr>
          <w:p>
            <w:pPr>
              <w:jc w:val="right"/>
              <w:spacing w:after="0"/>
              <w:rPr>
                <w:sz w:val="20"/>
                <w:szCs w:val="20"/>
                <w:color w:val="auto"/>
              </w:rPr>
            </w:pPr>
            <w:r>
              <w:rPr>
                <w:rFonts w:ascii="Times New Roman" w:cs="Times New Roman" w:eastAsia="Times New Roman" w:hAnsi="Times New Roman"/>
                <w:sz w:val="19"/>
                <w:szCs w:val="19"/>
                <w:color w:val="231F20"/>
              </w:rPr>
              <w:t>2,113</w:t>
            </w:r>
          </w:p>
        </w:tc>
        <w:tc>
          <w:tcPr>
            <w:tcW w:w="80" w:type="dxa"/>
            <w:vAlign w:val="bottom"/>
            <w:shd w:val="clear" w:color="auto" w:fill="FDFDFC"/>
          </w:tcPr>
          <w:p>
            <w:pPr>
              <w:spacing w:after="0"/>
              <w:rPr>
                <w:sz w:val="20"/>
                <w:szCs w:val="20"/>
                <w:color w:val="auto"/>
              </w:rPr>
            </w:pPr>
          </w:p>
        </w:tc>
      </w:tr>
      <w:tr>
        <w:trPr>
          <w:trHeight w:val="230"/>
        </w:trPr>
        <w:tc>
          <w:tcPr>
            <w:tcW w:w="5700" w:type="dxa"/>
            <w:vAlign w:val="bottom"/>
            <w:shd w:val="clear" w:color="auto" w:fill="D0EBF2"/>
          </w:tcPr>
          <w:p>
            <w:pPr>
              <w:spacing w:after="0"/>
              <w:rPr>
                <w:sz w:val="20"/>
                <w:szCs w:val="20"/>
                <w:color w:val="auto"/>
              </w:rPr>
            </w:pPr>
            <w:r>
              <w:rPr>
                <w:rFonts w:ascii="Times New Roman" w:cs="Times New Roman" w:eastAsia="Times New Roman" w:hAnsi="Times New Roman"/>
                <w:sz w:val="19"/>
                <w:szCs w:val="19"/>
                <w:color w:val="231F20"/>
              </w:rPr>
              <w:t>Ibis Intermediate Co. - Delayed Draw</w:t>
            </w:r>
          </w:p>
        </w:tc>
        <w:tc>
          <w:tcPr>
            <w:tcW w:w="460" w:type="dxa"/>
            <w:vAlign w:val="bottom"/>
            <w:shd w:val="clear" w:color="auto" w:fill="D0EBF2"/>
          </w:tcPr>
          <w:p>
            <w:pPr>
              <w:spacing w:after="0"/>
              <w:rPr>
                <w:sz w:val="20"/>
                <w:szCs w:val="20"/>
                <w:color w:val="auto"/>
              </w:rPr>
            </w:pPr>
          </w:p>
        </w:tc>
        <w:tc>
          <w:tcPr>
            <w:tcW w:w="940" w:type="dxa"/>
            <w:vAlign w:val="bottom"/>
            <w:shd w:val="clear" w:color="auto" w:fill="D0EBF2"/>
          </w:tcPr>
          <w:p>
            <w:pPr>
              <w:jc w:val="right"/>
              <w:spacing w:after="0"/>
              <w:rPr>
                <w:sz w:val="20"/>
                <w:szCs w:val="20"/>
                <w:color w:val="auto"/>
              </w:rPr>
            </w:pPr>
            <w:r>
              <w:rPr>
                <w:rFonts w:ascii="Times New Roman" w:cs="Times New Roman" w:eastAsia="Times New Roman" w:hAnsi="Times New Roman"/>
                <w:sz w:val="19"/>
                <w:szCs w:val="19"/>
                <w:color w:val="231F20"/>
              </w:rPr>
              <w:t>—</w:t>
            </w:r>
          </w:p>
        </w:tc>
        <w:tc>
          <w:tcPr>
            <w:tcW w:w="280" w:type="dxa"/>
            <w:vAlign w:val="bottom"/>
            <w:shd w:val="clear" w:color="auto" w:fill="D0EBF2"/>
          </w:tcPr>
          <w:p>
            <w:pPr>
              <w:spacing w:after="0"/>
              <w:rPr>
                <w:sz w:val="20"/>
                <w:szCs w:val="20"/>
                <w:color w:val="auto"/>
              </w:rPr>
            </w:pPr>
          </w:p>
        </w:tc>
        <w:tc>
          <w:tcPr>
            <w:tcW w:w="480" w:type="dxa"/>
            <w:vAlign w:val="bottom"/>
            <w:shd w:val="clear" w:color="auto" w:fill="D0EBF2"/>
          </w:tcPr>
          <w:p>
            <w:pPr>
              <w:spacing w:after="0"/>
              <w:rPr>
                <w:sz w:val="20"/>
                <w:szCs w:val="20"/>
                <w:color w:val="auto"/>
              </w:rPr>
            </w:pPr>
          </w:p>
        </w:tc>
        <w:tc>
          <w:tcPr>
            <w:tcW w:w="940" w:type="dxa"/>
            <w:vAlign w:val="bottom"/>
            <w:shd w:val="clear" w:color="auto" w:fill="D0EBF2"/>
          </w:tcPr>
          <w:p>
            <w:pPr>
              <w:jc w:val="right"/>
              <w:spacing w:after="0"/>
              <w:rPr>
                <w:sz w:val="20"/>
                <w:szCs w:val="20"/>
                <w:color w:val="auto"/>
              </w:rPr>
            </w:pPr>
            <w:r>
              <w:rPr>
                <w:rFonts w:ascii="Times New Roman" w:cs="Times New Roman" w:eastAsia="Times New Roman" w:hAnsi="Times New Roman"/>
                <w:sz w:val="19"/>
                <w:szCs w:val="19"/>
                <w:color w:val="231F20"/>
              </w:rPr>
              <w:t>6,338</w:t>
            </w:r>
          </w:p>
        </w:tc>
        <w:tc>
          <w:tcPr>
            <w:tcW w:w="80" w:type="dxa"/>
            <w:vAlign w:val="bottom"/>
            <w:shd w:val="clear" w:color="auto" w:fill="D0EBF2"/>
          </w:tcPr>
          <w:p>
            <w:pPr>
              <w:spacing w:after="0"/>
              <w:rPr>
                <w:sz w:val="20"/>
                <w:szCs w:val="20"/>
                <w:color w:val="auto"/>
              </w:rPr>
            </w:pPr>
          </w:p>
        </w:tc>
      </w:tr>
      <w:tr>
        <w:trPr>
          <w:trHeight w:val="230"/>
        </w:trPr>
        <w:tc>
          <w:tcPr>
            <w:tcW w:w="5700" w:type="dxa"/>
            <w:vAlign w:val="bottom"/>
            <w:shd w:val="clear" w:color="auto" w:fill="FDFDFC"/>
          </w:tcPr>
          <w:p>
            <w:pPr>
              <w:spacing w:after="0"/>
              <w:rPr>
                <w:sz w:val="20"/>
                <w:szCs w:val="20"/>
                <w:color w:val="auto"/>
              </w:rPr>
            </w:pPr>
            <w:r>
              <w:rPr>
                <w:rFonts w:ascii="Times New Roman" w:cs="Times New Roman" w:eastAsia="Times New Roman" w:hAnsi="Times New Roman"/>
                <w:sz w:val="19"/>
                <w:szCs w:val="19"/>
                <w:color w:val="231F20"/>
              </w:rPr>
              <w:t>IRGSE Holding Corp. - Revolver</w:t>
            </w:r>
          </w:p>
        </w:tc>
        <w:tc>
          <w:tcPr>
            <w:tcW w:w="460" w:type="dxa"/>
            <w:vAlign w:val="bottom"/>
            <w:shd w:val="clear" w:color="auto" w:fill="FDFDFC"/>
          </w:tcPr>
          <w:p>
            <w:pPr>
              <w:spacing w:after="0"/>
              <w:rPr>
                <w:sz w:val="20"/>
                <w:szCs w:val="20"/>
                <w:color w:val="auto"/>
              </w:rPr>
            </w:pPr>
          </w:p>
        </w:tc>
        <w:tc>
          <w:tcPr>
            <w:tcW w:w="940" w:type="dxa"/>
            <w:vAlign w:val="bottom"/>
            <w:shd w:val="clear" w:color="auto" w:fill="FDFDFC"/>
          </w:tcPr>
          <w:p>
            <w:pPr>
              <w:jc w:val="right"/>
              <w:spacing w:after="0"/>
              <w:rPr>
                <w:sz w:val="20"/>
                <w:szCs w:val="20"/>
                <w:color w:val="auto"/>
              </w:rPr>
            </w:pPr>
            <w:r>
              <w:rPr>
                <w:rFonts w:ascii="Times New Roman" w:cs="Times New Roman" w:eastAsia="Times New Roman" w:hAnsi="Times New Roman"/>
                <w:sz w:val="19"/>
                <w:szCs w:val="19"/>
                <w:color w:val="231F20"/>
              </w:rPr>
              <w:t>528</w:t>
            </w:r>
          </w:p>
        </w:tc>
        <w:tc>
          <w:tcPr>
            <w:tcW w:w="280" w:type="dxa"/>
            <w:vAlign w:val="bottom"/>
            <w:shd w:val="clear" w:color="auto" w:fill="FDFDFC"/>
          </w:tcPr>
          <w:p>
            <w:pPr>
              <w:spacing w:after="0"/>
              <w:rPr>
                <w:sz w:val="20"/>
                <w:szCs w:val="20"/>
                <w:color w:val="auto"/>
              </w:rPr>
            </w:pPr>
          </w:p>
        </w:tc>
        <w:tc>
          <w:tcPr>
            <w:tcW w:w="480" w:type="dxa"/>
            <w:vAlign w:val="bottom"/>
            <w:shd w:val="clear" w:color="auto" w:fill="FDFDFC"/>
          </w:tcPr>
          <w:p>
            <w:pPr>
              <w:spacing w:after="0"/>
              <w:rPr>
                <w:sz w:val="20"/>
                <w:szCs w:val="20"/>
                <w:color w:val="auto"/>
              </w:rPr>
            </w:pPr>
          </w:p>
        </w:tc>
        <w:tc>
          <w:tcPr>
            <w:tcW w:w="940" w:type="dxa"/>
            <w:vAlign w:val="bottom"/>
            <w:shd w:val="clear" w:color="auto" w:fill="FDFDFC"/>
          </w:tcPr>
          <w:p>
            <w:pPr>
              <w:jc w:val="right"/>
              <w:spacing w:after="0"/>
              <w:rPr>
                <w:sz w:val="20"/>
                <w:szCs w:val="20"/>
                <w:color w:val="auto"/>
              </w:rPr>
            </w:pPr>
            <w:r>
              <w:rPr>
                <w:rFonts w:ascii="Times New Roman" w:cs="Times New Roman" w:eastAsia="Times New Roman" w:hAnsi="Times New Roman"/>
                <w:sz w:val="19"/>
                <w:szCs w:val="19"/>
                <w:color w:val="231F20"/>
              </w:rPr>
              <w:t>878</w:t>
            </w:r>
          </w:p>
        </w:tc>
        <w:tc>
          <w:tcPr>
            <w:tcW w:w="80" w:type="dxa"/>
            <w:vAlign w:val="bottom"/>
            <w:shd w:val="clear" w:color="auto" w:fill="FDFDFC"/>
          </w:tcPr>
          <w:p>
            <w:pPr>
              <w:spacing w:after="0"/>
              <w:rPr>
                <w:sz w:val="20"/>
                <w:szCs w:val="20"/>
                <w:color w:val="auto"/>
              </w:rPr>
            </w:pPr>
          </w:p>
        </w:tc>
      </w:tr>
      <w:tr>
        <w:trPr>
          <w:trHeight w:val="230"/>
        </w:trPr>
        <w:tc>
          <w:tcPr>
            <w:tcW w:w="5700" w:type="dxa"/>
            <w:vAlign w:val="bottom"/>
            <w:shd w:val="clear" w:color="auto" w:fill="D0EBF2"/>
          </w:tcPr>
          <w:p>
            <w:pPr>
              <w:spacing w:after="0"/>
              <w:rPr>
                <w:sz w:val="20"/>
                <w:szCs w:val="20"/>
                <w:color w:val="auto"/>
              </w:rPr>
            </w:pPr>
            <w:r>
              <w:rPr>
                <w:rFonts w:ascii="Times New Roman" w:cs="Times New Roman" w:eastAsia="Times New Roman" w:hAnsi="Times New Roman"/>
                <w:sz w:val="19"/>
                <w:szCs w:val="19"/>
                <w:color w:val="231F20"/>
              </w:rPr>
              <w:t>Kangaroo Bidco AS - Delayed Draw</w:t>
            </w:r>
          </w:p>
        </w:tc>
        <w:tc>
          <w:tcPr>
            <w:tcW w:w="460" w:type="dxa"/>
            <w:vAlign w:val="bottom"/>
            <w:shd w:val="clear" w:color="auto" w:fill="D0EBF2"/>
          </w:tcPr>
          <w:p>
            <w:pPr>
              <w:spacing w:after="0"/>
              <w:rPr>
                <w:sz w:val="20"/>
                <w:szCs w:val="20"/>
                <w:color w:val="auto"/>
              </w:rPr>
            </w:pPr>
          </w:p>
        </w:tc>
        <w:tc>
          <w:tcPr>
            <w:tcW w:w="940" w:type="dxa"/>
            <w:vAlign w:val="bottom"/>
            <w:shd w:val="clear" w:color="auto" w:fill="D0EBF2"/>
          </w:tcPr>
          <w:p>
            <w:pPr>
              <w:jc w:val="right"/>
              <w:spacing w:after="0"/>
              <w:rPr>
                <w:sz w:val="20"/>
                <w:szCs w:val="20"/>
                <w:color w:val="auto"/>
              </w:rPr>
            </w:pPr>
            <w:r>
              <w:rPr>
                <w:rFonts w:ascii="Times New Roman" w:cs="Times New Roman" w:eastAsia="Times New Roman" w:hAnsi="Times New Roman"/>
                <w:sz w:val="19"/>
                <w:szCs w:val="19"/>
                <w:color w:val="231F20"/>
              </w:rPr>
              <w:t>4,375</w:t>
            </w:r>
          </w:p>
        </w:tc>
        <w:tc>
          <w:tcPr>
            <w:tcW w:w="280" w:type="dxa"/>
            <w:vAlign w:val="bottom"/>
            <w:shd w:val="clear" w:color="auto" w:fill="D0EBF2"/>
          </w:tcPr>
          <w:p>
            <w:pPr>
              <w:spacing w:after="0"/>
              <w:rPr>
                <w:sz w:val="20"/>
                <w:szCs w:val="20"/>
                <w:color w:val="auto"/>
              </w:rPr>
            </w:pPr>
          </w:p>
        </w:tc>
        <w:tc>
          <w:tcPr>
            <w:tcW w:w="480" w:type="dxa"/>
            <w:vAlign w:val="bottom"/>
            <w:shd w:val="clear" w:color="auto" w:fill="D0EBF2"/>
          </w:tcPr>
          <w:p>
            <w:pPr>
              <w:spacing w:after="0"/>
              <w:rPr>
                <w:sz w:val="20"/>
                <w:szCs w:val="20"/>
                <w:color w:val="auto"/>
              </w:rPr>
            </w:pPr>
          </w:p>
        </w:tc>
        <w:tc>
          <w:tcPr>
            <w:tcW w:w="940" w:type="dxa"/>
            <w:vAlign w:val="bottom"/>
            <w:shd w:val="clear" w:color="auto" w:fill="D0EBF2"/>
          </w:tcPr>
          <w:p>
            <w:pPr>
              <w:jc w:val="right"/>
              <w:spacing w:after="0"/>
              <w:rPr>
                <w:sz w:val="20"/>
                <w:szCs w:val="20"/>
                <w:color w:val="auto"/>
              </w:rPr>
            </w:pPr>
            <w:r>
              <w:rPr>
                <w:rFonts w:ascii="Times New Roman" w:cs="Times New Roman" w:eastAsia="Times New Roman" w:hAnsi="Times New Roman"/>
                <w:sz w:val="19"/>
                <w:szCs w:val="19"/>
                <w:color w:val="231F20"/>
              </w:rPr>
              <w:t>9,418</w:t>
            </w:r>
          </w:p>
        </w:tc>
        <w:tc>
          <w:tcPr>
            <w:tcW w:w="80" w:type="dxa"/>
            <w:vAlign w:val="bottom"/>
            <w:shd w:val="clear" w:color="auto" w:fill="D0EBF2"/>
          </w:tcPr>
          <w:p>
            <w:pPr>
              <w:spacing w:after="0"/>
              <w:rPr>
                <w:sz w:val="20"/>
                <w:szCs w:val="20"/>
                <w:color w:val="auto"/>
              </w:rPr>
            </w:pPr>
          </w:p>
        </w:tc>
      </w:tr>
      <w:tr>
        <w:trPr>
          <w:trHeight w:val="230"/>
        </w:trPr>
        <w:tc>
          <w:tcPr>
            <w:tcW w:w="5700" w:type="dxa"/>
            <w:vAlign w:val="bottom"/>
            <w:shd w:val="clear" w:color="auto" w:fill="FDFDFC"/>
          </w:tcPr>
          <w:p>
            <w:pPr>
              <w:spacing w:after="0"/>
              <w:rPr>
                <w:sz w:val="20"/>
                <w:szCs w:val="20"/>
                <w:color w:val="auto"/>
              </w:rPr>
            </w:pPr>
            <w:r>
              <w:rPr>
                <w:rFonts w:ascii="Times New Roman" w:cs="Times New Roman" w:eastAsia="Times New Roman" w:hAnsi="Times New Roman"/>
                <w:sz w:val="19"/>
                <w:szCs w:val="19"/>
                <w:color w:val="231F20"/>
              </w:rPr>
              <w:t>Kryptona BidCo US, LLC - Revolver</w:t>
            </w:r>
          </w:p>
        </w:tc>
        <w:tc>
          <w:tcPr>
            <w:tcW w:w="460" w:type="dxa"/>
            <w:vAlign w:val="bottom"/>
            <w:shd w:val="clear" w:color="auto" w:fill="FDFDFC"/>
          </w:tcPr>
          <w:p>
            <w:pPr>
              <w:spacing w:after="0"/>
              <w:rPr>
                <w:sz w:val="20"/>
                <w:szCs w:val="20"/>
                <w:color w:val="auto"/>
              </w:rPr>
            </w:pPr>
          </w:p>
        </w:tc>
        <w:tc>
          <w:tcPr>
            <w:tcW w:w="940" w:type="dxa"/>
            <w:vAlign w:val="bottom"/>
            <w:shd w:val="clear" w:color="auto" w:fill="FDFDFC"/>
          </w:tcPr>
          <w:p>
            <w:pPr>
              <w:jc w:val="right"/>
              <w:spacing w:after="0"/>
              <w:rPr>
                <w:sz w:val="20"/>
                <w:szCs w:val="20"/>
                <w:color w:val="auto"/>
              </w:rPr>
            </w:pPr>
            <w:r>
              <w:rPr>
                <w:rFonts w:ascii="Times New Roman" w:cs="Times New Roman" w:eastAsia="Times New Roman" w:hAnsi="Times New Roman"/>
                <w:sz w:val="19"/>
                <w:szCs w:val="19"/>
                <w:color w:val="231F20"/>
              </w:rPr>
              <w:t>2,165</w:t>
            </w:r>
          </w:p>
        </w:tc>
        <w:tc>
          <w:tcPr>
            <w:tcW w:w="280" w:type="dxa"/>
            <w:vAlign w:val="bottom"/>
            <w:shd w:val="clear" w:color="auto" w:fill="FDFDFC"/>
          </w:tcPr>
          <w:p>
            <w:pPr>
              <w:spacing w:after="0"/>
              <w:rPr>
                <w:sz w:val="20"/>
                <w:szCs w:val="20"/>
                <w:color w:val="auto"/>
              </w:rPr>
            </w:pPr>
          </w:p>
        </w:tc>
        <w:tc>
          <w:tcPr>
            <w:tcW w:w="480" w:type="dxa"/>
            <w:vAlign w:val="bottom"/>
            <w:shd w:val="clear" w:color="auto" w:fill="FDFDFC"/>
          </w:tcPr>
          <w:p>
            <w:pPr>
              <w:spacing w:after="0"/>
              <w:rPr>
                <w:sz w:val="20"/>
                <w:szCs w:val="20"/>
                <w:color w:val="auto"/>
              </w:rPr>
            </w:pPr>
          </w:p>
        </w:tc>
        <w:tc>
          <w:tcPr>
            <w:tcW w:w="1020" w:type="dxa"/>
            <w:vAlign w:val="bottom"/>
            <w:gridSpan w:val="2"/>
            <w:shd w:val="clear" w:color="auto" w:fill="FDFDFC"/>
          </w:tcPr>
          <w:p>
            <w:pPr>
              <w:jc w:val="right"/>
              <w:ind w:right="120"/>
              <w:spacing w:after="0"/>
              <w:rPr>
                <w:sz w:val="20"/>
                <w:szCs w:val="20"/>
                <w:color w:val="auto"/>
              </w:rPr>
            </w:pPr>
            <w:r>
              <w:rPr>
                <w:rFonts w:ascii="Times New Roman" w:cs="Times New Roman" w:eastAsia="Times New Roman" w:hAnsi="Times New Roman"/>
                <w:sz w:val="19"/>
                <w:szCs w:val="19"/>
                <w:color w:val="231F20"/>
              </w:rPr>
              <w:t>—</w:t>
            </w:r>
          </w:p>
        </w:tc>
      </w:tr>
      <w:tr>
        <w:trPr>
          <w:trHeight w:val="230"/>
        </w:trPr>
        <w:tc>
          <w:tcPr>
            <w:tcW w:w="5700" w:type="dxa"/>
            <w:vAlign w:val="bottom"/>
            <w:shd w:val="clear" w:color="auto" w:fill="D0EBF2"/>
          </w:tcPr>
          <w:p>
            <w:pPr>
              <w:spacing w:after="0"/>
              <w:rPr>
                <w:sz w:val="20"/>
                <w:szCs w:val="20"/>
                <w:color w:val="auto"/>
              </w:rPr>
            </w:pPr>
            <w:r>
              <w:rPr>
                <w:rFonts w:ascii="Times New Roman" w:cs="Times New Roman" w:eastAsia="Times New Roman" w:hAnsi="Times New Roman"/>
                <w:sz w:val="19"/>
                <w:szCs w:val="19"/>
                <w:color w:val="231F20"/>
              </w:rPr>
              <w:t>Kyriba Corp. - Revolver</w:t>
            </w:r>
          </w:p>
        </w:tc>
        <w:tc>
          <w:tcPr>
            <w:tcW w:w="460" w:type="dxa"/>
            <w:vAlign w:val="bottom"/>
            <w:shd w:val="clear" w:color="auto" w:fill="D0EBF2"/>
          </w:tcPr>
          <w:p>
            <w:pPr>
              <w:spacing w:after="0"/>
              <w:rPr>
                <w:sz w:val="20"/>
                <w:szCs w:val="20"/>
                <w:color w:val="auto"/>
              </w:rPr>
            </w:pPr>
          </w:p>
        </w:tc>
        <w:tc>
          <w:tcPr>
            <w:tcW w:w="940" w:type="dxa"/>
            <w:vAlign w:val="bottom"/>
            <w:shd w:val="clear" w:color="auto" w:fill="D0EBF2"/>
          </w:tcPr>
          <w:p>
            <w:pPr>
              <w:jc w:val="right"/>
              <w:spacing w:after="0"/>
              <w:rPr>
                <w:sz w:val="20"/>
                <w:szCs w:val="20"/>
                <w:color w:val="auto"/>
              </w:rPr>
            </w:pPr>
            <w:r>
              <w:rPr>
                <w:rFonts w:ascii="Times New Roman" w:cs="Times New Roman" w:eastAsia="Times New Roman" w:hAnsi="Times New Roman"/>
                <w:sz w:val="19"/>
                <w:szCs w:val="19"/>
                <w:color w:val="231F20"/>
              </w:rPr>
              <w:t>—</w:t>
            </w:r>
          </w:p>
        </w:tc>
        <w:tc>
          <w:tcPr>
            <w:tcW w:w="280" w:type="dxa"/>
            <w:vAlign w:val="bottom"/>
            <w:shd w:val="clear" w:color="auto" w:fill="D0EBF2"/>
          </w:tcPr>
          <w:p>
            <w:pPr>
              <w:spacing w:after="0"/>
              <w:rPr>
                <w:sz w:val="20"/>
                <w:szCs w:val="20"/>
                <w:color w:val="auto"/>
              </w:rPr>
            </w:pPr>
          </w:p>
        </w:tc>
        <w:tc>
          <w:tcPr>
            <w:tcW w:w="480" w:type="dxa"/>
            <w:vAlign w:val="bottom"/>
            <w:shd w:val="clear" w:color="auto" w:fill="D0EBF2"/>
          </w:tcPr>
          <w:p>
            <w:pPr>
              <w:spacing w:after="0"/>
              <w:rPr>
                <w:sz w:val="20"/>
                <w:szCs w:val="20"/>
                <w:color w:val="auto"/>
              </w:rPr>
            </w:pPr>
          </w:p>
        </w:tc>
        <w:tc>
          <w:tcPr>
            <w:tcW w:w="940" w:type="dxa"/>
            <w:vAlign w:val="bottom"/>
            <w:shd w:val="clear" w:color="auto" w:fill="D0EBF2"/>
          </w:tcPr>
          <w:p>
            <w:pPr>
              <w:jc w:val="right"/>
              <w:spacing w:after="0"/>
              <w:rPr>
                <w:sz w:val="20"/>
                <w:szCs w:val="20"/>
                <w:color w:val="auto"/>
              </w:rPr>
            </w:pPr>
            <w:r>
              <w:rPr>
                <w:rFonts w:ascii="Times New Roman" w:cs="Times New Roman" w:eastAsia="Times New Roman" w:hAnsi="Times New Roman"/>
                <w:sz w:val="19"/>
                <w:szCs w:val="19"/>
                <w:color w:val="231F20"/>
              </w:rPr>
              <w:t>2,488</w:t>
            </w:r>
          </w:p>
        </w:tc>
        <w:tc>
          <w:tcPr>
            <w:tcW w:w="80" w:type="dxa"/>
            <w:vAlign w:val="bottom"/>
            <w:shd w:val="clear" w:color="auto" w:fill="D0EBF2"/>
          </w:tcPr>
          <w:p>
            <w:pPr>
              <w:spacing w:after="0"/>
              <w:rPr>
                <w:sz w:val="20"/>
                <w:szCs w:val="20"/>
                <w:color w:val="auto"/>
              </w:rPr>
            </w:pPr>
          </w:p>
        </w:tc>
      </w:tr>
      <w:tr>
        <w:trPr>
          <w:trHeight w:val="230"/>
        </w:trPr>
        <w:tc>
          <w:tcPr>
            <w:tcW w:w="5700" w:type="dxa"/>
            <w:vAlign w:val="bottom"/>
            <w:shd w:val="clear" w:color="auto" w:fill="FDFDFC"/>
          </w:tcPr>
          <w:p>
            <w:pPr>
              <w:spacing w:after="0"/>
              <w:rPr>
                <w:sz w:val="20"/>
                <w:szCs w:val="20"/>
                <w:color w:val="auto"/>
              </w:rPr>
            </w:pPr>
            <w:r>
              <w:rPr>
                <w:rFonts w:ascii="Times New Roman" w:cs="Times New Roman" w:eastAsia="Times New Roman" w:hAnsi="Times New Roman"/>
                <w:sz w:val="19"/>
                <w:szCs w:val="19"/>
                <w:color w:val="231F20"/>
              </w:rPr>
              <w:t>Laramie Energy, LLC - Delayed Draw</w:t>
            </w:r>
          </w:p>
        </w:tc>
        <w:tc>
          <w:tcPr>
            <w:tcW w:w="460" w:type="dxa"/>
            <w:vAlign w:val="bottom"/>
            <w:shd w:val="clear" w:color="auto" w:fill="FDFDFC"/>
          </w:tcPr>
          <w:p>
            <w:pPr>
              <w:spacing w:after="0"/>
              <w:rPr>
                <w:sz w:val="20"/>
                <w:szCs w:val="20"/>
                <w:color w:val="auto"/>
              </w:rPr>
            </w:pPr>
          </w:p>
        </w:tc>
        <w:tc>
          <w:tcPr>
            <w:tcW w:w="940" w:type="dxa"/>
            <w:vAlign w:val="bottom"/>
            <w:shd w:val="clear" w:color="auto" w:fill="FDFDFC"/>
          </w:tcPr>
          <w:p>
            <w:pPr>
              <w:jc w:val="right"/>
              <w:spacing w:after="0"/>
              <w:rPr>
                <w:sz w:val="20"/>
                <w:szCs w:val="20"/>
                <w:color w:val="auto"/>
              </w:rPr>
            </w:pPr>
            <w:r>
              <w:rPr>
                <w:rFonts w:ascii="Times New Roman" w:cs="Times New Roman" w:eastAsia="Times New Roman" w:hAnsi="Times New Roman"/>
                <w:sz w:val="19"/>
                <w:szCs w:val="19"/>
                <w:color w:val="231F20"/>
              </w:rPr>
              <w:t>—</w:t>
            </w:r>
          </w:p>
        </w:tc>
        <w:tc>
          <w:tcPr>
            <w:tcW w:w="280" w:type="dxa"/>
            <w:vAlign w:val="bottom"/>
            <w:shd w:val="clear" w:color="auto" w:fill="FDFDFC"/>
          </w:tcPr>
          <w:p>
            <w:pPr>
              <w:spacing w:after="0"/>
              <w:rPr>
                <w:sz w:val="20"/>
                <w:szCs w:val="20"/>
                <w:color w:val="auto"/>
              </w:rPr>
            </w:pPr>
          </w:p>
        </w:tc>
        <w:tc>
          <w:tcPr>
            <w:tcW w:w="480" w:type="dxa"/>
            <w:vAlign w:val="bottom"/>
            <w:shd w:val="clear" w:color="auto" w:fill="FDFDFC"/>
          </w:tcPr>
          <w:p>
            <w:pPr>
              <w:spacing w:after="0"/>
              <w:rPr>
                <w:sz w:val="20"/>
                <w:szCs w:val="20"/>
                <w:color w:val="auto"/>
              </w:rPr>
            </w:pPr>
          </w:p>
        </w:tc>
        <w:tc>
          <w:tcPr>
            <w:tcW w:w="940" w:type="dxa"/>
            <w:vAlign w:val="bottom"/>
            <w:shd w:val="clear" w:color="auto" w:fill="FDFDFC"/>
          </w:tcPr>
          <w:p>
            <w:pPr>
              <w:jc w:val="right"/>
              <w:spacing w:after="0"/>
              <w:rPr>
                <w:sz w:val="20"/>
                <w:szCs w:val="20"/>
                <w:color w:val="auto"/>
              </w:rPr>
            </w:pPr>
            <w:r>
              <w:rPr>
                <w:rFonts w:ascii="Times New Roman" w:cs="Times New Roman" w:eastAsia="Times New Roman" w:hAnsi="Times New Roman"/>
                <w:sz w:val="19"/>
                <w:szCs w:val="19"/>
                <w:color w:val="231F20"/>
              </w:rPr>
              <w:t>7,683</w:t>
            </w:r>
          </w:p>
        </w:tc>
        <w:tc>
          <w:tcPr>
            <w:tcW w:w="80" w:type="dxa"/>
            <w:vAlign w:val="bottom"/>
            <w:shd w:val="clear" w:color="auto" w:fill="FDFDFC"/>
          </w:tcPr>
          <w:p>
            <w:pPr>
              <w:spacing w:after="0"/>
              <w:rPr>
                <w:sz w:val="20"/>
                <w:szCs w:val="20"/>
                <w:color w:val="auto"/>
              </w:rPr>
            </w:pPr>
          </w:p>
        </w:tc>
      </w:tr>
      <w:tr>
        <w:trPr>
          <w:trHeight w:val="230"/>
        </w:trPr>
        <w:tc>
          <w:tcPr>
            <w:tcW w:w="5700" w:type="dxa"/>
            <w:vAlign w:val="bottom"/>
            <w:shd w:val="clear" w:color="auto" w:fill="D0EBF2"/>
          </w:tcPr>
          <w:p>
            <w:pPr>
              <w:spacing w:after="0"/>
              <w:rPr>
                <w:sz w:val="20"/>
                <w:szCs w:val="20"/>
                <w:color w:val="auto"/>
              </w:rPr>
            </w:pPr>
            <w:r>
              <w:rPr>
                <w:rFonts w:ascii="Times New Roman" w:cs="Times New Roman" w:eastAsia="Times New Roman" w:hAnsi="Times New Roman"/>
                <w:sz w:val="19"/>
                <w:szCs w:val="19"/>
                <w:color w:val="231F20"/>
              </w:rPr>
              <w:t>LeanTaaS Holdings, Inc. - Delayed Draw</w:t>
            </w:r>
          </w:p>
        </w:tc>
        <w:tc>
          <w:tcPr>
            <w:tcW w:w="460" w:type="dxa"/>
            <w:vAlign w:val="bottom"/>
            <w:shd w:val="clear" w:color="auto" w:fill="D0EBF2"/>
          </w:tcPr>
          <w:p>
            <w:pPr>
              <w:spacing w:after="0"/>
              <w:rPr>
                <w:sz w:val="20"/>
                <w:szCs w:val="20"/>
                <w:color w:val="auto"/>
              </w:rPr>
            </w:pPr>
          </w:p>
        </w:tc>
        <w:tc>
          <w:tcPr>
            <w:tcW w:w="940" w:type="dxa"/>
            <w:vAlign w:val="bottom"/>
            <w:shd w:val="clear" w:color="auto" w:fill="D0EBF2"/>
          </w:tcPr>
          <w:p>
            <w:pPr>
              <w:jc w:val="right"/>
              <w:spacing w:after="0"/>
              <w:rPr>
                <w:sz w:val="20"/>
                <w:szCs w:val="20"/>
                <w:color w:val="auto"/>
              </w:rPr>
            </w:pPr>
            <w:r>
              <w:rPr>
                <w:rFonts w:ascii="Times New Roman" w:cs="Times New Roman" w:eastAsia="Times New Roman" w:hAnsi="Times New Roman"/>
                <w:sz w:val="19"/>
                <w:szCs w:val="19"/>
                <w:color w:val="231F20"/>
              </w:rPr>
              <w:t>18,844</w:t>
            </w:r>
          </w:p>
        </w:tc>
        <w:tc>
          <w:tcPr>
            <w:tcW w:w="280" w:type="dxa"/>
            <w:vAlign w:val="bottom"/>
            <w:shd w:val="clear" w:color="auto" w:fill="D0EBF2"/>
          </w:tcPr>
          <w:p>
            <w:pPr>
              <w:spacing w:after="0"/>
              <w:rPr>
                <w:sz w:val="20"/>
                <w:szCs w:val="20"/>
                <w:color w:val="auto"/>
              </w:rPr>
            </w:pPr>
          </w:p>
        </w:tc>
        <w:tc>
          <w:tcPr>
            <w:tcW w:w="480" w:type="dxa"/>
            <w:vAlign w:val="bottom"/>
            <w:shd w:val="clear" w:color="auto" w:fill="D0EBF2"/>
          </w:tcPr>
          <w:p>
            <w:pPr>
              <w:spacing w:after="0"/>
              <w:rPr>
                <w:sz w:val="20"/>
                <w:szCs w:val="20"/>
                <w:color w:val="auto"/>
              </w:rPr>
            </w:pPr>
          </w:p>
        </w:tc>
        <w:tc>
          <w:tcPr>
            <w:tcW w:w="940" w:type="dxa"/>
            <w:vAlign w:val="bottom"/>
            <w:shd w:val="clear" w:color="auto" w:fill="D0EBF2"/>
          </w:tcPr>
          <w:p>
            <w:pPr>
              <w:jc w:val="right"/>
              <w:spacing w:after="0"/>
              <w:rPr>
                <w:sz w:val="20"/>
                <w:szCs w:val="20"/>
                <w:color w:val="auto"/>
              </w:rPr>
            </w:pPr>
            <w:r>
              <w:rPr>
                <w:rFonts w:ascii="Times New Roman" w:cs="Times New Roman" w:eastAsia="Times New Roman" w:hAnsi="Times New Roman"/>
                <w:sz w:val="19"/>
                <w:szCs w:val="19"/>
                <w:color w:val="231F20"/>
              </w:rPr>
              <w:t>38,034</w:t>
            </w:r>
          </w:p>
        </w:tc>
        <w:tc>
          <w:tcPr>
            <w:tcW w:w="80" w:type="dxa"/>
            <w:vAlign w:val="bottom"/>
            <w:shd w:val="clear" w:color="auto" w:fill="D0EBF2"/>
          </w:tcPr>
          <w:p>
            <w:pPr>
              <w:spacing w:after="0"/>
              <w:rPr>
                <w:sz w:val="20"/>
                <w:szCs w:val="20"/>
                <w:color w:val="auto"/>
              </w:rPr>
            </w:pPr>
          </w:p>
        </w:tc>
      </w:tr>
      <w:tr>
        <w:trPr>
          <w:trHeight w:val="230"/>
        </w:trPr>
        <w:tc>
          <w:tcPr>
            <w:tcW w:w="5700" w:type="dxa"/>
            <w:vAlign w:val="bottom"/>
            <w:shd w:val="clear" w:color="auto" w:fill="FDFDFC"/>
          </w:tcPr>
          <w:p>
            <w:pPr>
              <w:spacing w:after="0"/>
              <w:rPr>
                <w:sz w:val="20"/>
                <w:szCs w:val="20"/>
                <w:color w:val="auto"/>
              </w:rPr>
            </w:pPr>
            <w:r>
              <w:rPr>
                <w:rFonts w:ascii="Times New Roman" w:cs="Times New Roman" w:eastAsia="Times New Roman" w:hAnsi="Times New Roman"/>
                <w:sz w:val="19"/>
                <w:szCs w:val="19"/>
                <w:color w:val="231F20"/>
              </w:rPr>
              <w:t>Lucidworks, Inc. - Delayed Draw</w:t>
            </w:r>
          </w:p>
        </w:tc>
        <w:tc>
          <w:tcPr>
            <w:tcW w:w="460" w:type="dxa"/>
            <w:vAlign w:val="bottom"/>
            <w:shd w:val="clear" w:color="auto" w:fill="FDFDFC"/>
          </w:tcPr>
          <w:p>
            <w:pPr>
              <w:spacing w:after="0"/>
              <w:rPr>
                <w:sz w:val="20"/>
                <w:szCs w:val="20"/>
                <w:color w:val="auto"/>
              </w:rPr>
            </w:pPr>
          </w:p>
        </w:tc>
        <w:tc>
          <w:tcPr>
            <w:tcW w:w="940" w:type="dxa"/>
            <w:vAlign w:val="bottom"/>
            <w:shd w:val="clear" w:color="auto" w:fill="FDFDFC"/>
          </w:tcPr>
          <w:p>
            <w:pPr>
              <w:jc w:val="right"/>
              <w:spacing w:after="0"/>
              <w:rPr>
                <w:sz w:val="20"/>
                <w:szCs w:val="20"/>
                <w:color w:val="auto"/>
              </w:rPr>
            </w:pPr>
            <w:r>
              <w:rPr>
                <w:rFonts w:ascii="Times New Roman" w:cs="Times New Roman" w:eastAsia="Times New Roman" w:hAnsi="Times New Roman"/>
                <w:sz w:val="19"/>
                <w:szCs w:val="19"/>
                <w:color w:val="231F20"/>
              </w:rPr>
              <w:t>—</w:t>
            </w:r>
          </w:p>
        </w:tc>
        <w:tc>
          <w:tcPr>
            <w:tcW w:w="280" w:type="dxa"/>
            <w:vAlign w:val="bottom"/>
            <w:shd w:val="clear" w:color="auto" w:fill="FDFDFC"/>
          </w:tcPr>
          <w:p>
            <w:pPr>
              <w:spacing w:after="0"/>
              <w:rPr>
                <w:sz w:val="20"/>
                <w:szCs w:val="20"/>
                <w:color w:val="auto"/>
              </w:rPr>
            </w:pPr>
          </w:p>
        </w:tc>
        <w:tc>
          <w:tcPr>
            <w:tcW w:w="480" w:type="dxa"/>
            <w:vAlign w:val="bottom"/>
            <w:shd w:val="clear" w:color="auto" w:fill="FDFDFC"/>
          </w:tcPr>
          <w:p>
            <w:pPr>
              <w:spacing w:after="0"/>
              <w:rPr>
                <w:sz w:val="20"/>
                <w:szCs w:val="20"/>
                <w:color w:val="auto"/>
              </w:rPr>
            </w:pPr>
          </w:p>
        </w:tc>
        <w:tc>
          <w:tcPr>
            <w:tcW w:w="940" w:type="dxa"/>
            <w:vAlign w:val="bottom"/>
            <w:shd w:val="clear" w:color="auto" w:fill="FDFDFC"/>
          </w:tcPr>
          <w:p>
            <w:pPr>
              <w:jc w:val="right"/>
              <w:spacing w:after="0"/>
              <w:rPr>
                <w:sz w:val="20"/>
                <w:szCs w:val="20"/>
                <w:color w:val="auto"/>
              </w:rPr>
            </w:pPr>
            <w:r>
              <w:rPr>
                <w:rFonts w:ascii="Times New Roman" w:cs="Times New Roman" w:eastAsia="Times New Roman" w:hAnsi="Times New Roman"/>
                <w:sz w:val="19"/>
                <w:szCs w:val="19"/>
                <w:color w:val="231F20"/>
              </w:rPr>
              <w:t>833</w:t>
            </w:r>
          </w:p>
        </w:tc>
        <w:tc>
          <w:tcPr>
            <w:tcW w:w="80" w:type="dxa"/>
            <w:vAlign w:val="bottom"/>
            <w:shd w:val="clear" w:color="auto" w:fill="FDFDFC"/>
          </w:tcPr>
          <w:p>
            <w:pPr>
              <w:spacing w:after="0"/>
              <w:rPr>
                <w:sz w:val="20"/>
                <w:szCs w:val="20"/>
                <w:color w:val="auto"/>
              </w:rPr>
            </w:pPr>
          </w:p>
        </w:tc>
      </w:tr>
      <w:tr>
        <w:trPr>
          <w:trHeight w:val="230"/>
        </w:trPr>
        <w:tc>
          <w:tcPr>
            <w:tcW w:w="5700" w:type="dxa"/>
            <w:vAlign w:val="bottom"/>
            <w:shd w:val="clear" w:color="auto" w:fill="D0EBF2"/>
          </w:tcPr>
          <w:p>
            <w:pPr>
              <w:spacing w:after="0"/>
              <w:rPr>
                <w:sz w:val="20"/>
                <w:szCs w:val="20"/>
                <w:color w:val="auto"/>
              </w:rPr>
            </w:pPr>
            <w:r>
              <w:rPr>
                <w:rFonts w:ascii="Times New Roman" w:cs="Times New Roman" w:eastAsia="Times New Roman" w:hAnsi="Times New Roman"/>
                <w:sz w:val="19"/>
                <w:szCs w:val="19"/>
                <w:color w:val="231F20"/>
              </w:rPr>
              <w:t>Lynx BidCo - Delayed Draw &amp; Revolver</w:t>
            </w:r>
          </w:p>
        </w:tc>
        <w:tc>
          <w:tcPr>
            <w:tcW w:w="460" w:type="dxa"/>
            <w:vAlign w:val="bottom"/>
            <w:shd w:val="clear" w:color="auto" w:fill="D0EBF2"/>
          </w:tcPr>
          <w:p>
            <w:pPr>
              <w:spacing w:after="0"/>
              <w:rPr>
                <w:sz w:val="20"/>
                <w:szCs w:val="20"/>
                <w:color w:val="auto"/>
              </w:rPr>
            </w:pPr>
          </w:p>
        </w:tc>
        <w:tc>
          <w:tcPr>
            <w:tcW w:w="940" w:type="dxa"/>
            <w:vAlign w:val="bottom"/>
            <w:shd w:val="clear" w:color="auto" w:fill="D0EBF2"/>
          </w:tcPr>
          <w:p>
            <w:pPr>
              <w:jc w:val="right"/>
              <w:spacing w:after="0"/>
              <w:rPr>
                <w:sz w:val="20"/>
                <w:szCs w:val="20"/>
                <w:color w:val="auto"/>
              </w:rPr>
            </w:pPr>
            <w:r>
              <w:rPr>
                <w:rFonts w:ascii="Times New Roman" w:cs="Times New Roman" w:eastAsia="Times New Roman" w:hAnsi="Times New Roman"/>
                <w:sz w:val="19"/>
                <w:szCs w:val="19"/>
                <w:color w:val="231F20"/>
              </w:rPr>
              <w:t>891</w:t>
            </w:r>
          </w:p>
        </w:tc>
        <w:tc>
          <w:tcPr>
            <w:tcW w:w="280" w:type="dxa"/>
            <w:vAlign w:val="bottom"/>
            <w:shd w:val="clear" w:color="auto" w:fill="D0EBF2"/>
          </w:tcPr>
          <w:p>
            <w:pPr>
              <w:spacing w:after="0"/>
              <w:rPr>
                <w:sz w:val="20"/>
                <w:szCs w:val="20"/>
                <w:color w:val="auto"/>
              </w:rPr>
            </w:pPr>
          </w:p>
        </w:tc>
        <w:tc>
          <w:tcPr>
            <w:tcW w:w="480" w:type="dxa"/>
            <w:vAlign w:val="bottom"/>
            <w:shd w:val="clear" w:color="auto" w:fill="D0EBF2"/>
          </w:tcPr>
          <w:p>
            <w:pPr>
              <w:spacing w:after="0"/>
              <w:rPr>
                <w:sz w:val="20"/>
                <w:szCs w:val="20"/>
                <w:color w:val="auto"/>
              </w:rPr>
            </w:pPr>
          </w:p>
        </w:tc>
        <w:tc>
          <w:tcPr>
            <w:tcW w:w="1020" w:type="dxa"/>
            <w:vAlign w:val="bottom"/>
            <w:gridSpan w:val="2"/>
            <w:shd w:val="clear" w:color="auto" w:fill="D0EBF2"/>
          </w:tcPr>
          <w:p>
            <w:pPr>
              <w:jc w:val="right"/>
              <w:ind w:right="120"/>
              <w:spacing w:after="0"/>
              <w:rPr>
                <w:sz w:val="20"/>
                <w:szCs w:val="20"/>
                <w:color w:val="auto"/>
              </w:rPr>
            </w:pPr>
            <w:r>
              <w:rPr>
                <w:rFonts w:ascii="Times New Roman" w:cs="Times New Roman" w:eastAsia="Times New Roman" w:hAnsi="Times New Roman"/>
                <w:sz w:val="19"/>
                <w:szCs w:val="19"/>
                <w:color w:val="231F20"/>
              </w:rPr>
              <w:t>—</w:t>
            </w:r>
          </w:p>
        </w:tc>
      </w:tr>
    </w:tbl>
    <w:p>
      <w:pPr>
        <w:spacing w:after="0" w:line="200" w:lineRule="exact"/>
        <w:rPr>
          <w:sz w:val="20"/>
          <w:szCs w:val="20"/>
          <w:color w:val="auto"/>
        </w:rPr>
      </w:pPr>
    </w:p>
    <w:p>
      <w:pPr>
        <w:sectPr>
          <w:pgSz w:w="12240" w:h="15840" w:orient="portrait"/>
          <w:cols w:equalWidth="0" w:num="1">
            <w:col w:w="9360"/>
          </w:cols>
          <w:pgMar w:left="1440" w:top="1337" w:right="1440" w:bottom="574" w:gutter="0" w:footer="0" w:header="0"/>
        </w:sectPr>
      </w:pPr>
    </w:p>
    <w:p>
      <w:pPr>
        <w:spacing w:after="0" w:line="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231F20"/>
        </w:rPr>
        <w:t>F-48</w:t>
      </w:r>
    </w:p>
    <w:p>
      <w:pPr>
        <w:sectPr>
          <w:pgSz w:w="12240" w:h="15840" w:orient="portrait"/>
          <w:cols w:equalWidth="0" w:num="1">
            <w:col w:w="9360"/>
          </w:cols>
          <w:pgMar w:left="1440" w:top="1337" w:right="1440" w:bottom="574" w:gutter="0" w:footer="0" w:header="0"/>
          <w:type w:val="continuous"/>
        </w:sectPr>
      </w:pPr>
    </w:p>
    <w:bookmarkStart w:id="136" w:name="page137"/>
    <w:bookmarkEnd w:id="136"/>
    <w:tbl>
      <w:tblPr>
        <w:tblLayout w:type="fixed"/>
        <w:tblInd w:w="660" w:type="dxa"/>
        <w:tblCellMar>
          <w:top w:w="0" w:type="dxa"/>
          <w:left w:w="0" w:type="dxa"/>
          <w:bottom w:w="0" w:type="dxa"/>
          <w:right w:w="0" w:type="dxa"/>
        </w:tblCellMar>
      </w:tblPr>
      <w:tr>
        <w:trPr>
          <w:trHeight w:val="230"/>
        </w:trPr>
        <w:tc>
          <w:tcPr>
            <w:tcW w:w="5700" w:type="dxa"/>
            <w:vAlign w:val="bottom"/>
            <w:shd w:val="clear" w:color="auto" w:fill="FDFDFC"/>
          </w:tcPr>
          <w:p>
            <w:pPr>
              <w:spacing w:after="0"/>
              <w:rPr>
                <w:sz w:val="20"/>
                <w:szCs w:val="20"/>
                <w:color w:val="auto"/>
              </w:rPr>
            </w:pPr>
            <w:r>
              <w:rPr>
                <w:rFonts w:ascii="Times New Roman" w:cs="Times New Roman" w:eastAsia="Times New Roman" w:hAnsi="Times New Roman"/>
                <w:sz w:val="19"/>
                <w:szCs w:val="19"/>
                <w:color w:val="231F20"/>
              </w:rPr>
              <w:t>Marcura Equities LTD - Delayed Draw &amp; Revolver</w:t>
            </w:r>
          </w:p>
        </w:tc>
        <w:tc>
          <w:tcPr>
            <w:tcW w:w="420" w:type="dxa"/>
            <w:vAlign w:val="bottom"/>
            <w:shd w:val="clear" w:color="auto" w:fill="FDFDFC"/>
          </w:tcPr>
          <w:p>
            <w:pPr>
              <w:spacing w:after="0"/>
              <w:rPr>
                <w:sz w:val="20"/>
                <w:szCs w:val="20"/>
                <w:color w:val="auto"/>
              </w:rPr>
            </w:pPr>
          </w:p>
        </w:tc>
        <w:tc>
          <w:tcPr>
            <w:tcW w:w="980" w:type="dxa"/>
            <w:vAlign w:val="bottom"/>
            <w:shd w:val="clear" w:color="auto" w:fill="FDFDFC"/>
          </w:tcPr>
          <w:p>
            <w:pPr>
              <w:jc w:val="right"/>
              <w:spacing w:after="0"/>
              <w:rPr>
                <w:sz w:val="20"/>
                <w:szCs w:val="20"/>
                <w:color w:val="auto"/>
              </w:rPr>
            </w:pPr>
            <w:r>
              <w:rPr>
                <w:rFonts w:ascii="Times New Roman" w:cs="Times New Roman" w:eastAsia="Times New Roman" w:hAnsi="Times New Roman"/>
                <w:sz w:val="19"/>
                <w:szCs w:val="19"/>
                <w:color w:val="231F20"/>
              </w:rPr>
              <w:t>9,133</w:t>
            </w:r>
          </w:p>
        </w:tc>
        <w:tc>
          <w:tcPr>
            <w:tcW w:w="280" w:type="dxa"/>
            <w:vAlign w:val="bottom"/>
            <w:shd w:val="clear" w:color="auto" w:fill="FDFDFC"/>
          </w:tcPr>
          <w:p>
            <w:pPr>
              <w:spacing w:after="0"/>
              <w:rPr>
                <w:sz w:val="20"/>
                <w:szCs w:val="20"/>
                <w:color w:val="auto"/>
              </w:rPr>
            </w:pPr>
          </w:p>
        </w:tc>
        <w:tc>
          <w:tcPr>
            <w:tcW w:w="440" w:type="dxa"/>
            <w:vAlign w:val="bottom"/>
            <w:shd w:val="clear" w:color="auto" w:fill="FDFDFC"/>
          </w:tcPr>
          <w:p>
            <w:pPr>
              <w:spacing w:after="0"/>
              <w:rPr>
                <w:sz w:val="20"/>
                <w:szCs w:val="20"/>
                <w:color w:val="auto"/>
              </w:rPr>
            </w:pPr>
          </w:p>
        </w:tc>
        <w:tc>
          <w:tcPr>
            <w:tcW w:w="980" w:type="dxa"/>
            <w:vAlign w:val="bottom"/>
            <w:shd w:val="clear" w:color="auto" w:fill="FDFDFC"/>
          </w:tcPr>
          <w:p>
            <w:pPr>
              <w:jc w:val="right"/>
              <w:spacing w:after="0"/>
              <w:rPr>
                <w:sz w:val="20"/>
                <w:szCs w:val="20"/>
                <w:color w:val="auto"/>
              </w:rPr>
            </w:pPr>
            <w:r>
              <w:rPr>
                <w:rFonts w:ascii="Times New Roman" w:cs="Times New Roman" w:eastAsia="Times New Roman" w:hAnsi="Times New Roman"/>
                <w:sz w:val="19"/>
                <w:szCs w:val="19"/>
                <w:color w:val="231F20"/>
              </w:rPr>
              <w:t>11,667</w:t>
            </w:r>
          </w:p>
        </w:tc>
        <w:tc>
          <w:tcPr>
            <w:tcW w:w="80" w:type="dxa"/>
            <w:vAlign w:val="bottom"/>
            <w:shd w:val="clear" w:color="auto" w:fill="FDFDFC"/>
          </w:tcPr>
          <w:p>
            <w:pPr>
              <w:spacing w:after="0"/>
              <w:rPr>
                <w:sz w:val="20"/>
                <w:szCs w:val="20"/>
                <w:color w:val="auto"/>
              </w:rPr>
            </w:pPr>
          </w:p>
        </w:tc>
      </w:tr>
      <w:tr>
        <w:trPr>
          <w:trHeight w:val="230"/>
        </w:trPr>
        <w:tc>
          <w:tcPr>
            <w:tcW w:w="5700" w:type="dxa"/>
            <w:vAlign w:val="bottom"/>
            <w:shd w:val="clear" w:color="auto" w:fill="D0EBF2"/>
          </w:tcPr>
          <w:p>
            <w:pPr>
              <w:spacing w:after="0"/>
              <w:rPr>
                <w:sz w:val="20"/>
                <w:szCs w:val="20"/>
                <w:color w:val="auto"/>
              </w:rPr>
            </w:pPr>
            <w:r>
              <w:rPr>
                <w:rFonts w:ascii="Times New Roman" w:cs="Times New Roman" w:eastAsia="Times New Roman" w:hAnsi="Times New Roman"/>
                <w:sz w:val="19"/>
                <w:szCs w:val="19"/>
                <w:color w:val="231F20"/>
              </w:rPr>
              <w:t>Merit Software Finance Holdings, LLC - Delayed Draw &amp; Revolver</w:t>
            </w:r>
          </w:p>
        </w:tc>
        <w:tc>
          <w:tcPr>
            <w:tcW w:w="420" w:type="dxa"/>
            <w:vAlign w:val="bottom"/>
            <w:shd w:val="clear" w:color="auto" w:fill="D0EBF2"/>
          </w:tcPr>
          <w:p>
            <w:pPr>
              <w:spacing w:after="0"/>
              <w:rPr>
                <w:sz w:val="20"/>
                <w:szCs w:val="20"/>
                <w:color w:val="auto"/>
              </w:rPr>
            </w:pPr>
          </w:p>
        </w:tc>
        <w:tc>
          <w:tcPr>
            <w:tcW w:w="980" w:type="dxa"/>
            <w:vAlign w:val="bottom"/>
            <w:shd w:val="clear" w:color="auto" w:fill="D0EBF2"/>
          </w:tcPr>
          <w:p>
            <w:pPr>
              <w:jc w:val="right"/>
              <w:spacing w:after="0"/>
              <w:rPr>
                <w:sz w:val="20"/>
                <w:szCs w:val="20"/>
                <w:color w:val="auto"/>
              </w:rPr>
            </w:pPr>
            <w:r>
              <w:rPr>
                <w:rFonts w:ascii="Times New Roman" w:cs="Times New Roman" w:eastAsia="Times New Roman" w:hAnsi="Times New Roman"/>
                <w:sz w:val="19"/>
                <w:szCs w:val="19"/>
                <w:color w:val="231F20"/>
              </w:rPr>
              <w:t>11,786</w:t>
            </w:r>
          </w:p>
        </w:tc>
        <w:tc>
          <w:tcPr>
            <w:tcW w:w="280" w:type="dxa"/>
            <w:vAlign w:val="bottom"/>
            <w:shd w:val="clear" w:color="auto" w:fill="D0EBF2"/>
          </w:tcPr>
          <w:p>
            <w:pPr>
              <w:spacing w:after="0"/>
              <w:rPr>
                <w:sz w:val="20"/>
                <w:szCs w:val="20"/>
                <w:color w:val="auto"/>
              </w:rPr>
            </w:pPr>
          </w:p>
        </w:tc>
        <w:tc>
          <w:tcPr>
            <w:tcW w:w="440" w:type="dxa"/>
            <w:vAlign w:val="bottom"/>
            <w:shd w:val="clear" w:color="auto" w:fill="D0EBF2"/>
          </w:tcPr>
          <w:p>
            <w:pPr>
              <w:spacing w:after="0"/>
              <w:rPr>
                <w:sz w:val="20"/>
                <w:szCs w:val="20"/>
                <w:color w:val="auto"/>
              </w:rPr>
            </w:pPr>
          </w:p>
        </w:tc>
        <w:tc>
          <w:tcPr>
            <w:tcW w:w="1060" w:type="dxa"/>
            <w:vAlign w:val="bottom"/>
            <w:gridSpan w:val="2"/>
            <w:shd w:val="clear" w:color="auto" w:fill="D0EBF2"/>
          </w:tcPr>
          <w:p>
            <w:pPr>
              <w:jc w:val="right"/>
              <w:ind w:right="120"/>
              <w:spacing w:after="0"/>
              <w:rPr>
                <w:sz w:val="20"/>
                <w:szCs w:val="20"/>
                <w:color w:val="auto"/>
              </w:rPr>
            </w:pPr>
            <w:r>
              <w:rPr>
                <w:rFonts w:ascii="Times New Roman" w:cs="Times New Roman" w:eastAsia="Times New Roman" w:hAnsi="Times New Roman"/>
                <w:sz w:val="19"/>
                <w:szCs w:val="19"/>
                <w:color w:val="231F20"/>
              </w:rPr>
              <w:t>—</w:t>
            </w:r>
          </w:p>
        </w:tc>
      </w:tr>
      <w:tr>
        <w:trPr>
          <w:trHeight w:val="230"/>
        </w:trPr>
        <w:tc>
          <w:tcPr>
            <w:tcW w:w="5700" w:type="dxa"/>
            <w:vAlign w:val="bottom"/>
            <w:shd w:val="clear" w:color="auto" w:fill="FDFDFC"/>
          </w:tcPr>
          <w:p>
            <w:pPr>
              <w:spacing w:after="0"/>
              <w:rPr>
                <w:sz w:val="20"/>
                <w:szCs w:val="20"/>
                <w:color w:val="auto"/>
              </w:rPr>
            </w:pPr>
            <w:r>
              <w:rPr>
                <w:rFonts w:ascii="Times New Roman" w:cs="Times New Roman" w:eastAsia="Times New Roman" w:hAnsi="Times New Roman"/>
                <w:sz w:val="19"/>
                <w:szCs w:val="19"/>
                <w:color w:val="231F20"/>
              </w:rPr>
              <w:t>Netwrix Corp. - Delayed Draw &amp; Revolver</w:t>
            </w:r>
          </w:p>
        </w:tc>
        <w:tc>
          <w:tcPr>
            <w:tcW w:w="420" w:type="dxa"/>
            <w:vAlign w:val="bottom"/>
            <w:shd w:val="clear" w:color="auto" w:fill="FDFDFC"/>
          </w:tcPr>
          <w:p>
            <w:pPr>
              <w:spacing w:after="0"/>
              <w:rPr>
                <w:sz w:val="20"/>
                <w:szCs w:val="20"/>
                <w:color w:val="auto"/>
              </w:rPr>
            </w:pPr>
          </w:p>
        </w:tc>
        <w:tc>
          <w:tcPr>
            <w:tcW w:w="980" w:type="dxa"/>
            <w:vAlign w:val="bottom"/>
            <w:shd w:val="clear" w:color="auto" w:fill="FDFDFC"/>
          </w:tcPr>
          <w:p>
            <w:pPr>
              <w:jc w:val="right"/>
              <w:spacing w:after="0"/>
              <w:rPr>
                <w:sz w:val="20"/>
                <w:szCs w:val="20"/>
                <w:color w:val="auto"/>
              </w:rPr>
            </w:pPr>
            <w:r>
              <w:rPr>
                <w:rFonts w:ascii="Times New Roman" w:cs="Times New Roman" w:eastAsia="Times New Roman" w:hAnsi="Times New Roman"/>
                <w:sz w:val="19"/>
                <w:szCs w:val="19"/>
                <w:color w:val="231F20"/>
              </w:rPr>
              <w:t>—</w:t>
            </w:r>
          </w:p>
        </w:tc>
        <w:tc>
          <w:tcPr>
            <w:tcW w:w="280" w:type="dxa"/>
            <w:vAlign w:val="bottom"/>
            <w:shd w:val="clear" w:color="auto" w:fill="FDFDFC"/>
          </w:tcPr>
          <w:p>
            <w:pPr>
              <w:spacing w:after="0"/>
              <w:rPr>
                <w:sz w:val="20"/>
                <w:szCs w:val="20"/>
                <w:color w:val="auto"/>
              </w:rPr>
            </w:pPr>
          </w:p>
        </w:tc>
        <w:tc>
          <w:tcPr>
            <w:tcW w:w="440" w:type="dxa"/>
            <w:vAlign w:val="bottom"/>
            <w:shd w:val="clear" w:color="auto" w:fill="FDFDFC"/>
          </w:tcPr>
          <w:p>
            <w:pPr>
              <w:spacing w:after="0"/>
              <w:rPr>
                <w:sz w:val="20"/>
                <w:szCs w:val="20"/>
                <w:color w:val="auto"/>
              </w:rPr>
            </w:pPr>
          </w:p>
        </w:tc>
        <w:tc>
          <w:tcPr>
            <w:tcW w:w="980" w:type="dxa"/>
            <w:vAlign w:val="bottom"/>
            <w:shd w:val="clear" w:color="auto" w:fill="FDFDFC"/>
          </w:tcPr>
          <w:p>
            <w:pPr>
              <w:jc w:val="right"/>
              <w:spacing w:after="0"/>
              <w:rPr>
                <w:sz w:val="20"/>
                <w:szCs w:val="20"/>
                <w:color w:val="auto"/>
              </w:rPr>
            </w:pPr>
            <w:r>
              <w:rPr>
                <w:rFonts w:ascii="Times New Roman" w:cs="Times New Roman" w:eastAsia="Times New Roman" w:hAnsi="Times New Roman"/>
                <w:sz w:val="19"/>
                <w:szCs w:val="19"/>
                <w:color w:val="231F20"/>
              </w:rPr>
              <w:t>13,056</w:t>
            </w:r>
          </w:p>
        </w:tc>
        <w:tc>
          <w:tcPr>
            <w:tcW w:w="80" w:type="dxa"/>
            <w:vAlign w:val="bottom"/>
            <w:shd w:val="clear" w:color="auto" w:fill="FDFDFC"/>
          </w:tcPr>
          <w:p>
            <w:pPr>
              <w:spacing w:after="0"/>
              <w:rPr>
                <w:sz w:val="20"/>
                <w:szCs w:val="20"/>
                <w:color w:val="auto"/>
              </w:rPr>
            </w:pPr>
          </w:p>
        </w:tc>
      </w:tr>
      <w:tr>
        <w:trPr>
          <w:trHeight w:val="230"/>
        </w:trPr>
        <w:tc>
          <w:tcPr>
            <w:tcW w:w="5700" w:type="dxa"/>
            <w:vAlign w:val="bottom"/>
            <w:shd w:val="clear" w:color="auto" w:fill="D0EBF2"/>
          </w:tcPr>
          <w:p>
            <w:pPr>
              <w:spacing w:after="0"/>
              <w:rPr>
                <w:sz w:val="20"/>
                <w:szCs w:val="20"/>
                <w:color w:val="auto"/>
              </w:rPr>
            </w:pPr>
            <w:r>
              <w:rPr>
                <w:rFonts w:ascii="Times New Roman" w:cs="Times New Roman" w:eastAsia="Times New Roman" w:hAnsi="Times New Roman"/>
                <w:sz w:val="19"/>
                <w:szCs w:val="19"/>
                <w:color w:val="231F20"/>
              </w:rPr>
              <w:t>OutSystems Luxco SARL - Delayed Draw</w:t>
            </w:r>
          </w:p>
        </w:tc>
        <w:tc>
          <w:tcPr>
            <w:tcW w:w="420" w:type="dxa"/>
            <w:vAlign w:val="bottom"/>
            <w:shd w:val="clear" w:color="auto" w:fill="D0EBF2"/>
          </w:tcPr>
          <w:p>
            <w:pPr>
              <w:spacing w:after="0"/>
              <w:rPr>
                <w:sz w:val="20"/>
                <w:szCs w:val="20"/>
                <w:color w:val="auto"/>
              </w:rPr>
            </w:pPr>
          </w:p>
        </w:tc>
        <w:tc>
          <w:tcPr>
            <w:tcW w:w="980" w:type="dxa"/>
            <w:vAlign w:val="bottom"/>
            <w:shd w:val="clear" w:color="auto" w:fill="D0EBF2"/>
          </w:tcPr>
          <w:p>
            <w:pPr>
              <w:jc w:val="right"/>
              <w:spacing w:after="0"/>
              <w:rPr>
                <w:sz w:val="20"/>
                <w:szCs w:val="20"/>
                <w:color w:val="auto"/>
              </w:rPr>
            </w:pPr>
            <w:r>
              <w:rPr>
                <w:rFonts w:ascii="Times New Roman" w:cs="Times New Roman" w:eastAsia="Times New Roman" w:hAnsi="Times New Roman"/>
                <w:sz w:val="19"/>
                <w:szCs w:val="19"/>
                <w:color w:val="231F20"/>
              </w:rPr>
              <w:t>—</w:t>
            </w:r>
          </w:p>
        </w:tc>
        <w:tc>
          <w:tcPr>
            <w:tcW w:w="280" w:type="dxa"/>
            <w:vAlign w:val="bottom"/>
            <w:shd w:val="clear" w:color="auto" w:fill="D0EBF2"/>
          </w:tcPr>
          <w:p>
            <w:pPr>
              <w:spacing w:after="0"/>
              <w:rPr>
                <w:sz w:val="20"/>
                <w:szCs w:val="20"/>
                <w:color w:val="auto"/>
              </w:rPr>
            </w:pPr>
          </w:p>
        </w:tc>
        <w:tc>
          <w:tcPr>
            <w:tcW w:w="440" w:type="dxa"/>
            <w:vAlign w:val="bottom"/>
            <w:shd w:val="clear" w:color="auto" w:fill="D0EBF2"/>
          </w:tcPr>
          <w:p>
            <w:pPr>
              <w:spacing w:after="0"/>
              <w:rPr>
                <w:sz w:val="20"/>
                <w:szCs w:val="20"/>
                <w:color w:val="auto"/>
              </w:rPr>
            </w:pPr>
          </w:p>
        </w:tc>
        <w:tc>
          <w:tcPr>
            <w:tcW w:w="980" w:type="dxa"/>
            <w:vAlign w:val="bottom"/>
            <w:shd w:val="clear" w:color="auto" w:fill="D0EBF2"/>
          </w:tcPr>
          <w:p>
            <w:pPr>
              <w:jc w:val="right"/>
              <w:spacing w:after="0"/>
              <w:rPr>
                <w:sz w:val="20"/>
                <w:szCs w:val="20"/>
                <w:color w:val="auto"/>
              </w:rPr>
            </w:pPr>
            <w:r>
              <w:rPr>
                <w:rFonts w:ascii="Times New Roman" w:cs="Times New Roman" w:eastAsia="Times New Roman" w:hAnsi="Times New Roman"/>
                <w:sz w:val="19"/>
                <w:szCs w:val="19"/>
                <w:color w:val="231F20"/>
              </w:rPr>
              <w:t>2,212</w:t>
            </w:r>
          </w:p>
        </w:tc>
        <w:tc>
          <w:tcPr>
            <w:tcW w:w="80" w:type="dxa"/>
            <w:vAlign w:val="bottom"/>
            <w:shd w:val="clear" w:color="auto" w:fill="D0EBF2"/>
          </w:tcPr>
          <w:p>
            <w:pPr>
              <w:spacing w:after="0"/>
              <w:rPr>
                <w:sz w:val="20"/>
                <w:szCs w:val="20"/>
                <w:color w:val="auto"/>
              </w:rPr>
            </w:pPr>
          </w:p>
        </w:tc>
      </w:tr>
      <w:tr>
        <w:trPr>
          <w:trHeight w:val="230"/>
        </w:trPr>
        <w:tc>
          <w:tcPr>
            <w:tcW w:w="5700" w:type="dxa"/>
            <w:vAlign w:val="bottom"/>
            <w:shd w:val="clear" w:color="auto" w:fill="FDFDFC"/>
          </w:tcPr>
          <w:p>
            <w:pPr>
              <w:spacing w:after="0"/>
              <w:rPr>
                <w:sz w:val="20"/>
                <w:szCs w:val="20"/>
                <w:color w:val="auto"/>
              </w:rPr>
            </w:pPr>
            <w:r>
              <w:rPr>
                <w:rFonts w:ascii="Times New Roman" w:cs="Times New Roman" w:eastAsia="Times New Roman" w:hAnsi="Times New Roman"/>
                <w:sz w:val="19"/>
                <w:szCs w:val="19"/>
                <w:color w:val="231F20"/>
              </w:rPr>
              <w:t>Passport Labs, Inc. - Revolver</w:t>
            </w:r>
          </w:p>
        </w:tc>
        <w:tc>
          <w:tcPr>
            <w:tcW w:w="420" w:type="dxa"/>
            <w:vAlign w:val="bottom"/>
            <w:shd w:val="clear" w:color="auto" w:fill="FDFDFC"/>
          </w:tcPr>
          <w:p>
            <w:pPr>
              <w:spacing w:after="0"/>
              <w:rPr>
                <w:sz w:val="20"/>
                <w:szCs w:val="20"/>
                <w:color w:val="auto"/>
              </w:rPr>
            </w:pPr>
          </w:p>
        </w:tc>
        <w:tc>
          <w:tcPr>
            <w:tcW w:w="980" w:type="dxa"/>
            <w:vAlign w:val="bottom"/>
            <w:shd w:val="clear" w:color="auto" w:fill="FDFDFC"/>
          </w:tcPr>
          <w:p>
            <w:pPr>
              <w:jc w:val="right"/>
              <w:spacing w:after="0"/>
              <w:rPr>
                <w:sz w:val="20"/>
                <w:szCs w:val="20"/>
                <w:color w:val="auto"/>
              </w:rPr>
            </w:pPr>
            <w:r>
              <w:rPr>
                <w:rFonts w:ascii="Times New Roman" w:cs="Times New Roman" w:eastAsia="Times New Roman" w:hAnsi="Times New Roman"/>
                <w:sz w:val="19"/>
                <w:szCs w:val="19"/>
                <w:color w:val="231F20"/>
              </w:rPr>
              <w:t>—</w:t>
            </w:r>
          </w:p>
        </w:tc>
        <w:tc>
          <w:tcPr>
            <w:tcW w:w="280" w:type="dxa"/>
            <w:vAlign w:val="bottom"/>
            <w:shd w:val="clear" w:color="auto" w:fill="FDFDFC"/>
          </w:tcPr>
          <w:p>
            <w:pPr>
              <w:spacing w:after="0"/>
              <w:rPr>
                <w:sz w:val="20"/>
                <w:szCs w:val="20"/>
                <w:color w:val="auto"/>
              </w:rPr>
            </w:pPr>
          </w:p>
        </w:tc>
        <w:tc>
          <w:tcPr>
            <w:tcW w:w="440" w:type="dxa"/>
            <w:vAlign w:val="bottom"/>
            <w:shd w:val="clear" w:color="auto" w:fill="FDFDFC"/>
          </w:tcPr>
          <w:p>
            <w:pPr>
              <w:spacing w:after="0"/>
              <w:rPr>
                <w:sz w:val="20"/>
                <w:szCs w:val="20"/>
                <w:color w:val="auto"/>
              </w:rPr>
            </w:pPr>
          </w:p>
        </w:tc>
        <w:tc>
          <w:tcPr>
            <w:tcW w:w="980" w:type="dxa"/>
            <w:vAlign w:val="bottom"/>
            <w:shd w:val="clear" w:color="auto" w:fill="FDFDFC"/>
          </w:tcPr>
          <w:p>
            <w:pPr>
              <w:jc w:val="right"/>
              <w:spacing w:after="0"/>
              <w:rPr>
                <w:sz w:val="20"/>
                <w:szCs w:val="20"/>
                <w:color w:val="auto"/>
              </w:rPr>
            </w:pPr>
            <w:r>
              <w:rPr>
                <w:rFonts w:ascii="Times New Roman" w:cs="Times New Roman" w:eastAsia="Times New Roman" w:hAnsi="Times New Roman"/>
                <w:sz w:val="19"/>
                <w:szCs w:val="19"/>
                <w:color w:val="231F20"/>
              </w:rPr>
              <w:t>2,778</w:t>
            </w:r>
          </w:p>
        </w:tc>
        <w:tc>
          <w:tcPr>
            <w:tcW w:w="80" w:type="dxa"/>
            <w:vAlign w:val="bottom"/>
            <w:shd w:val="clear" w:color="auto" w:fill="FDFDFC"/>
          </w:tcPr>
          <w:p>
            <w:pPr>
              <w:spacing w:after="0"/>
              <w:rPr>
                <w:sz w:val="20"/>
                <w:szCs w:val="20"/>
                <w:color w:val="auto"/>
              </w:rPr>
            </w:pPr>
          </w:p>
        </w:tc>
      </w:tr>
      <w:tr>
        <w:trPr>
          <w:trHeight w:val="230"/>
        </w:trPr>
        <w:tc>
          <w:tcPr>
            <w:tcW w:w="5700" w:type="dxa"/>
            <w:vAlign w:val="bottom"/>
            <w:shd w:val="clear" w:color="auto" w:fill="D0EBF2"/>
          </w:tcPr>
          <w:p>
            <w:pPr>
              <w:spacing w:after="0"/>
              <w:rPr>
                <w:sz w:val="20"/>
                <w:szCs w:val="20"/>
                <w:color w:val="auto"/>
              </w:rPr>
            </w:pPr>
            <w:r>
              <w:rPr>
                <w:rFonts w:ascii="Times New Roman" w:cs="Times New Roman" w:eastAsia="Times New Roman" w:hAnsi="Times New Roman"/>
                <w:sz w:val="19"/>
                <w:szCs w:val="19"/>
                <w:color w:val="231F20"/>
              </w:rPr>
              <w:t>PDI TA Holdings, Inc. - Delayed Draw &amp; Revolver</w:t>
            </w:r>
          </w:p>
        </w:tc>
        <w:tc>
          <w:tcPr>
            <w:tcW w:w="420" w:type="dxa"/>
            <w:vAlign w:val="bottom"/>
            <w:shd w:val="clear" w:color="auto" w:fill="D0EBF2"/>
          </w:tcPr>
          <w:p>
            <w:pPr>
              <w:spacing w:after="0"/>
              <w:rPr>
                <w:sz w:val="20"/>
                <w:szCs w:val="20"/>
                <w:color w:val="auto"/>
              </w:rPr>
            </w:pPr>
          </w:p>
        </w:tc>
        <w:tc>
          <w:tcPr>
            <w:tcW w:w="980" w:type="dxa"/>
            <w:vAlign w:val="bottom"/>
            <w:shd w:val="clear" w:color="auto" w:fill="D0EBF2"/>
          </w:tcPr>
          <w:p>
            <w:pPr>
              <w:jc w:val="right"/>
              <w:spacing w:after="0"/>
              <w:rPr>
                <w:sz w:val="20"/>
                <w:szCs w:val="20"/>
                <w:color w:val="auto"/>
              </w:rPr>
            </w:pPr>
            <w:r>
              <w:rPr>
                <w:rFonts w:ascii="Times New Roman" w:cs="Times New Roman" w:eastAsia="Times New Roman" w:hAnsi="Times New Roman"/>
                <w:sz w:val="19"/>
                <w:szCs w:val="19"/>
                <w:color w:val="231F20"/>
              </w:rPr>
              <w:t>3,286</w:t>
            </w:r>
          </w:p>
        </w:tc>
        <w:tc>
          <w:tcPr>
            <w:tcW w:w="280" w:type="dxa"/>
            <w:vAlign w:val="bottom"/>
            <w:shd w:val="clear" w:color="auto" w:fill="D0EBF2"/>
          </w:tcPr>
          <w:p>
            <w:pPr>
              <w:spacing w:after="0"/>
              <w:rPr>
                <w:sz w:val="20"/>
                <w:szCs w:val="20"/>
                <w:color w:val="auto"/>
              </w:rPr>
            </w:pPr>
          </w:p>
        </w:tc>
        <w:tc>
          <w:tcPr>
            <w:tcW w:w="440" w:type="dxa"/>
            <w:vAlign w:val="bottom"/>
            <w:shd w:val="clear" w:color="auto" w:fill="D0EBF2"/>
          </w:tcPr>
          <w:p>
            <w:pPr>
              <w:spacing w:after="0"/>
              <w:rPr>
                <w:sz w:val="20"/>
                <w:szCs w:val="20"/>
                <w:color w:val="auto"/>
              </w:rPr>
            </w:pPr>
          </w:p>
        </w:tc>
        <w:tc>
          <w:tcPr>
            <w:tcW w:w="1060" w:type="dxa"/>
            <w:vAlign w:val="bottom"/>
            <w:gridSpan w:val="2"/>
            <w:shd w:val="clear" w:color="auto" w:fill="D0EBF2"/>
          </w:tcPr>
          <w:p>
            <w:pPr>
              <w:jc w:val="right"/>
              <w:ind w:right="120"/>
              <w:spacing w:after="0"/>
              <w:rPr>
                <w:sz w:val="20"/>
                <w:szCs w:val="20"/>
                <w:color w:val="auto"/>
              </w:rPr>
            </w:pPr>
            <w:r>
              <w:rPr>
                <w:rFonts w:ascii="Times New Roman" w:cs="Times New Roman" w:eastAsia="Times New Roman" w:hAnsi="Times New Roman"/>
                <w:sz w:val="19"/>
                <w:szCs w:val="19"/>
                <w:color w:val="231F20"/>
              </w:rPr>
              <w:t>—</w:t>
            </w:r>
          </w:p>
        </w:tc>
      </w:tr>
      <w:tr>
        <w:trPr>
          <w:trHeight w:val="230"/>
        </w:trPr>
        <w:tc>
          <w:tcPr>
            <w:tcW w:w="5700" w:type="dxa"/>
            <w:vAlign w:val="bottom"/>
            <w:shd w:val="clear" w:color="auto" w:fill="FDFDFC"/>
          </w:tcPr>
          <w:p>
            <w:pPr>
              <w:spacing w:after="0"/>
              <w:rPr>
                <w:sz w:val="20"/>
                <w:szCs w:val="20"/>
                <w:color w:val="auto"/>
              </w:rPr>
            </w:pPr>
            <w:r>
              <w:rPr>
                <w:rFonts w:ascii="Times New Roman" w:cs="Times New Roman" w:eastAsia="Times New Roman" w:hAnsi="Times New Roman"/>
                <w:sz w:val="19"/>
                <w:szCs w:val="19"/>
                <w:color w:val="231F20"/>
              </w:rPr>
              <w:t>Ping Identity Holding Corp. - Revolver</w:t>
            </w:r>
          </w:p>
        </w:tc>
        <w:tc>
          <w:tcPr>
            <w:tcW w:w="420" w:type="dxa"/>
            <w:vAlign w:val="bottom"/>
            <w:shd w:val="clear" w:color="auto" w:fill="FDFDFC"/>
          </w:tcPr>
          <w:p>
            <w:pPr>
              <w:spacing w:after="0"/>
              <w:rPr>
                <w:sz w:val="20"/>
                <w:szCs w:val="20"/>
                <w:color w:val="auto"/>
              </w:rPr>
            </w:pPr>
          </w:p>
        </w:tc>
        <w:tc>
          <w:tcPr>
            <w:tcW w:w="980" w:type="dxa"/>
            <w:vAlign w:val="bottom"/>
            <w:shd w:val="clear" w:color="auto" w:fill="FDFDFC"/>
          </w:tcPr>
          <w:p>
            <w:pPr>
              <w:jc w:val="right"/>
              <w:spacing w:after="0"/>
              <w:rPr>
                <w:sz w:val="20"/>
                <w:szCs w:val="20"/>
                <w:color w:val="auto"/>
              </w:rPr>
            </w:pPr>
            <w:r>
              <w:rPr>
                <w:rFonts w:ascii="Times New Roman" w:cs="Times New Roman" w:eastAsia="Times New Roman" w:hAnsi="Times New Roman"/>
                <w:sz w:val="19"/>
                <w:szCs w:val="19"/>
                <w:color w:val="231F20"/>
              </w:rPr>
              <w:t>—</w:t>
            </w:r>
          </w:p>
        </w:tc>
        <w:tc>
          <w:tcPr>
            <w:tcW w:w="280" w:type="dxa"/>
            <w:vAlign w:val="bottom"/>
            <w:shd w:val="clear" w:color="auto" w:fill="FDFDFC"/>
          </w:tcPr>
          <w:p>
            <w:pPr>
              <w:spacing w:after="0"/>
              <w:rPr>
                <w:sz w:val="20"/>
                <w:szCs w:val="20"/>
                <w:color w:val="auto"/>
              </w:rPr>
            </w:pPr>
          </w:p>
        </w:tc>
        <w:tc>
          <w:tcPr>
            <w:tcW w:w="440" w:type="dxa"/>
            <w:vAlign w:val="bottom"/>
            <w:shd w:val="clear" w:color="auto" w:fill="FDFDFC"/>
          </w:tcPr>
          <w:p>
            <w:pPr>
              <w:spacing w:after="0"/>
              <w:rPr>
                <w:sz w:val="20"/>
                <w:szCs w:val="20"/>
                <w:color w:val="auto"/>
              </w:rPr>
            </w:pPr>
          </w:p>
        </w:tc>
        <w:tc>
          <w:tcPr>
            <w:tcW w:w="980" w:type="dxa"/>
            <w:vAlign w:val="bottom"/>
            <w:shd w:val="clear" w:color="auto" w:fill="FDFDFC"/>
          </w:tcPr>
          <w:p>
            <w:pPr>
              <w:jc w:val="right"/>
              <w:spacing w:after="0"/>
              <w:rPr>
                <w:sz w:val="20"/>
                <w:szCs w:val="20"/>
                <w:color w:val="auto"/>
              </w:rPr>
            </w:pPr>
            <w:r>
              <w:rPr>
                <w:rFonts w:ascii="Times New Roman" w:cs="Times New Roman" w:eastAsia="Times New Roman" w:hAnsi="Times New Roman"/>
                <w:sz w:val="19"/>
                <w:szCs w:val="19"/>
                <w:color w:val="231F20"/>
              </w:rPr>
              <w:t>2,273</w:t>
            </w:r>
          </w:p>
        </w:tc>
        <w:tc>
          <w:tcPr>
            <w:tcW w:w="80" w:type="dxa"/>
            <w:vAlign w:val="bottom"/>
            <w:shd w:val="clear" w:color="auto" w:fill="FDFDFC"/>
          </w:tcPr>
          <w:p>
            <w:pPr>
              <w:spacing w:after="0"/>
              <w:rPr>
                <w:sz w:val="20"/>
                <w:szCs w:val="20"/>
                <w:color w:val="auto"/>
              </w:rPr>
            </w:pPr>
          </w:p>
        </w:tc>
      </w:tr>
      <w:tr>
        <w:trPr>
          <w:trHeight w:val="230"/>
        </w:trPr>
        <w:tc>
          <w:tcPr>
            <w:tcW w:w="5700" w:type="dxa"/>
            <w:vAlign w:val="bottom"/>
            <w:shd w:val="clear" w:color="auto" w:fill="D0EBF2"/>
          </w:tcPr>
          <w:p>
            <w:pPr>
              <w:spacing w:after="0"/>
              <w:rPr>
                <w:sz w:val="20"/>
                <w:szCs w:val="20"/>
                <w:color w:val="auto"/>
              </w:rPr>
            </w:pPr>
            <w:r>
              <w:rPr>
                <w:rFonts w:ascii="Times New Roman" w:cs="Times New Roman" w:eastAsia="Times New Roman" w:hAnsi="Times New Roman"/>
                <w:sz w:val="19"/>
                <w:szCs w:val="19"/>
                <w:color w:val="231F20"/>
              </w:rPr>
              <w:t>PrimePay Intermediate, LLC - Delayed Draw</w:t>
            </w:r>
          </w:p>
        </w:tc>
        <w:tc>
          <w:tcPr>
            <w:tcW w:w="420" w:type="dxa"/>
            <w:vAlign w:val="bottom"/>
            <w:shd w:val="clear" w:color="auto" w:fill="D0EBF2"/>
          </w:tcPr>
          <w:p>
            <w:pPr>
              <w:spacing w:after="0"/>
              <w:rPr>
                <w:sz w:val="20"/>
                <w:szCs w:val="20"/>
                <w:color w:val="auto"/>
              </w:rPr>
            </w:pPr>
          </w:p>
        </w:tc>
        <w:tc>
          <w:tcPr>
            <w:tcW w:w="980" w:type="dxa"/>
            <w:vAlign w:val="bottom"/>
            <w:shd w:val="clear" w:color="auto" w:fill="D0EBF2"/>
          </w:tcPr>
          <w:p>
            <w:pPr>
              <w:jc w:val="right"/>
              <w:spacing w:after="0"/>
              <w:rPr>
                <w:sz w:val="20"/>
                <w:szCs w:val="20"/>
                <w:color w:val="auto"/>
              </w:rPr>
            </w:pPr>
            <w:r>
              <w:rPr>
                <w:rFonts w:ascii="Times New Roman" w:cs="Times New Roman" w:eastAsia="Times New Roman" w:hAnsi="Times New Roman"/>
                <w:sz w:val="19"/>
                <w:szCs w:val="19"/>
                <w:color w:val="231F20"/>
              </w:rPr>
              <w:t>4,000</w:t>
            </w:r>
          </w:p>
        </w:tc>
        <w:tc>
          <w:tcPr>
            <w:tcW w:w="280" w:type="dxa"/>
            <w:vAlign w:val="bottom"/>
            <w:shd w:val="clear" w:color="auto" w:fill="D0EBF2"/>
          </w:tcPr>
          <w:p>
            <w:pPr>
              <w:spacing w:after="0"/>
              <w:rPr>
                <w:sz w:val="20"/>
                <w:szCs w:val="20"/>
                <w:color w:val="auto"/>
              </w:rPr>
            </w:pPr>
          </w:p>
        </w:tc>
        <w:tc>
          <w:tcPr>
            <w:tcW w:w="440" w:type="dxa"/>
            <w:vAlign w:val="bottom"/>
            <w:shd w:val="clear" w:color="auto" w:fill="D0EBF2"/>
          </w:tcPr>
          <w:p>
            <w:pPr>
              <w:spacing w:after="0"/>
              <w:rPr>
                <w:sz w:val="20"/>
                <w:szCs w:val="20"/>
                <w:color w:val="auto"/>
              </w:rPr>
            </w:pPr>
          </w:p>
        </w:tc>
        <w:tc>
          <w:tcPr>
            <w:tcW w:w="1060" w:type="dxa"/>
            <w:vAlign w:val="bottom"/>
            <w:gridSpan w:val="2"/>
            <w:shd w:val="clear" w:color="auto" w:fill="D0EBF2"/>
          </w:tcPr>
          <w:p>
            <w:pPr>
              <w:jc w:val="right"/>
              <w:ind w:right="120"/>
              <w:spacing w:after="0"/>
              <w:rPr>
                <w:sz w:val="20"/>
                <w:szCs w:val="20"/>
                <w:color w:val="auto"/>
              </w:rPr>
            </w:pPr>
            <w:r>
              <w:rPr>
                <w:rFonts w:ascii="Times New Roman" w:cs="Times New Roman" w:eastAsia="Times New Roman" w:hAnsi="Times New Roman"/>
                <w:sz w:val="19"/>
                <w:szCs w:val="19"/>
                <w:color w:val="231F20"/>
              </w:rPr>
              <w:t>—</w:t>
            </w:r>
          </w:p>
        </w:tc>
      </w:tr>
      <w:tr>
        <w:trPr>
          <w:trHeight w:val="230"/>
        </w:trPr>
        <w:tc>
          <w:tcPr>
            <w:tcW w:w="5700" w:type="dxa"/>
            <w:vAlign w:val="bottom"/>
            <w:shd w:val="clear" w:color="auto" w:fill="FDFDFC"/>
          </w:tcPr>
          <w:p>
            <w:pPr>
              <w:spacing w:after="0"/>
              <w:rPr>
                <w:sz w:val="20"/>
                <w:szCs w:val="20"/>
                <w:color w:val="auto"/>
              </w:rPr>
            </w:pPr>
            <w:r>
              <w:rPr>
                <w:rFonts w:ascii="Times New Roman" w:cs="Times New Roman" w:eastAsia="Times New Roman" w:hAnsi="Times New Roman"/>
                <w:sz w:val="19"/>
                <w:szCs w:val="19"/>
                <w:color w:val="231F20"/>
              </w:rPr>
              <w:t>PrimeRevenue, Inc. - Revolver</w:t>
            </w:r>
          </w:p>
        </w:tc>
        <w:tc>
          <w:tcPr>
            <w:tcW w:w="420" w:type="dxa"/>
            <w:vAlign w:val="bottom"/>
            <w:shd w:val="clear" w:color="auto" w:fill="FDFDFC"/>
          </w:tcPr>
          <w:p>
            <w:pPr>
              <w:spacing w:after="0"/>
              <w:rPr>
                <w:sz w:val="20"/>
                <w:szCs w:val="20"/>
                <w:color w:val="auto"/>
              </w:rPr>
            </w:pPr>
          </w:p>
        </w:tc>
        <w:tc>
          <w:tcPr>
            <w:tcW w:w="980" w:type="dxa"/>
            <w:vAlign w:val="bottom"/>
            <w:shd w:val="clear" w:color="auto" w:fill="FDFDFC"/>
          </w:tcPr>
          <w:p>
            <w:pPr>
              <w:jc w:val="right"/>
              <w:spacing w:after="0"/>
              <w:rPr>
                <w:sz w:val="20"/>
                <w:szCs w:val="20"/>
                <w:color w:val="auto"/>
              </w:rPr>
            </w:pPr>
            <w:r>
              <w:rPr>
                <w:rFonts w:ascii="Times New Roman" w:cs="Times New Roman" w:eastAsia="Times New Roman" w:hAnsi="Times New Roman"/>
                <w:sz w:val="19"/>
                <w:szCs w:val="19"/>
                <w:color w:val="231F20"/>
              </w:rPr>
              <w:t>6,250</w:t>
            </w:r>
          </w:p>
        </w:tc>
        <w:tc>
          <w:tcPr>
            <w:tcW w:w="280" w:type="dxa"/>
            <w:vAlign w:val="bottom"/>
            <w:shd w:val="clear" w:color="auto" w:fill="FDFDFC"/>
          </w:tcPr>
          <w:p>
            <w:pPr>
              <w:spacing w:after="0"/>
              <w:rPr>
                <w:sz w:val="20"/>
                <w:szCs w:val="20"/>
                <w:color w:val="auto"/>
              </w:rPr>
            </w:pPr>
          </w:p>
        </w:tc>
        <w:tc>
          <w:tcPr>
            <w:tcW w:w="440" w:type="dxa"/>
            <w:vAlign w:val="bottom"/>
            <w:shd w:val="clear" w:color="auto" w:fill="FDFDFC"/>
          </w:tcPr>
          <w:p>
            <w:pPr>
              <w:spacing w:after="0"/>
              <w:rPr>
                <w:sz w:val="20"/>
                <w:szCs w:val="20"/>
                <w:color w:val="auto"/>
              </w:rPr>
            </w:pPr>
          </w:p>
        </w:tc>
        <w:tc>
          <w:tcPr>
            <w:tcW w:w="980" w:type="dxa"/>
            <w:vAlign w:val="bottom"/>
            <w:shd w:val="clear" w:color="auto" w:fill="FDFDFC"/>
          </w:tcPr>
          <w:p>
            <w:pPr>
              <w:jc w:val="right"/>
              <w:spacing w:after="0"/>
              <w:rPr>
                <w:sz w:val="20"/>
                <w:szCs w:val="20"/>
                <w:color w:val="auto"/>
              </w:rPr>
            </w:pPr>
            <w:r>
              <w:rPr>
                <w:rFonts w:ascii="Times New Roman" w:cs="Times New Roman" w:eastAsia="Times New Roman" w:hAnsi="Times New Roman"/>
                <w:sz w:val="19"/>
                <w:szCs w:val="19"/>
                <w:color w:val="231F20"/>
              </w:rPr>
              <w:t>6,250</w:t>
            </w:r>
          </w:p>
        </w:tc>
        <w:tc>
          <w:tcPr>
            <w:tcW w:w="80" w:type="dxa"/>
            <w:vAlign w:val="bottom"/>
            <w:shd w:val="clear" w:color="auto" w:fill="FDFDFC"/>
          </w:tcPr>
          <w:p>
            <w:pPr>
              <w:spacing w:after="0"/>
              <w:rPr>
                <w:sz w:val="20"/>
                <w:szCs w:val="20"/>
                <w:color w:val="auto"/>
              </w:rPr>
            </w:pPr>
          </w:p>
        </w:tc>
      </w:tr>
      <w:tr>
        <w:trPr>
          <w:trHeight w:val="230"/>
        </w:trPr>
        <w:tc>
          <w:tcPr>
            <w:tcW w:w="5700" w:type="dxa"/>
            <w:vAlign w:val="bottom"/>
            <w:shd w:val="clear" w:color="auto" w:fill="D0EBF2"/>
          </w:tcPr>
          <w:p>
            <w:pPr>
              <w:spacing w:after="0"/>
              <w:rPr>
                <w:sz w:val="20"/>
                <w:szCs w:val="20"/>
                <w:color w:val="auto"/>
              </w:rPr>
            </w:pPr>
            <w:r>
              <w:rPr>
                <w:rFonts w:ascii="Times New Roman" w:cs="Times New Roman" w:eastAsia="Times New Roman" w:hAnsi="Times New Roman"/>
                <w:sz w:val="19"/>
                <w:szCs w:val="19"/>
                <w:color w:val="231F20"/>
              </w:rPr>
              <w:t>Project44, Inc. - Delayed Draw</w:t>
            </w:r>
          </w:p>
        </w:tc>
        <w:tc>
          <w:tcPr>
            <w:tcW w:w="420" w:type="dxa"/>
            <w:vAlign w:val="bottom"/>
            <w:shd w:val="clear" w:color="auto" w:fill="D0EBF2"/>
          </w:tcPr>
          <w:p>
            <w:pPr>
              <w:spacing w:after="0"/>
              <w:rPr>
                <w:sz w:val="20"/>
                <w:szCs w:val="20"/>
                <w:color w:val="auto"/>
              </w:rPr>
            </w:pPr>
          </w:p>
        </w:tc>
        <w:tc>
          <w:tcPr>
            <w:tcW w:w="980" w:type="dxa"/>
            <w:vAlign w:val="bottom"/>
            <w:shd w:val="clear" w:color="auto" w:fill="D0EBF2"/>
          </w:tcPr>
          <w:p>
            <w:pPr>
              <w:jc w:val="right"/>
              <w:spacing w:after="0"/>
              <w:rPr>
                <w:sz w:val="20"/>
                <w:szCs w:val="20"/>
                <w:color w:val="auto"/>
              </w:rPr>
            </w:pPr>
            <w:r>
              <w:rPr>
                <w:rFonts w:ascii="Times New Roman" w:cs="Times New Roman" w:eastAsia="Times New Roman" w:hAnsi="Times New Roman"/>
                <w:sz w:val="19"/>
                <w:szCs w:val="19"/>
                <w:color w:val="231F20"/>
              </w:rPr>
              <w:t>—</w:t>
            </w:r>
          </w:p>
        </w:tc>
        <w:tc>
          <w:tcPr>
            <w:tcW w:w="280" w:type="dxa"/>
            <w:vAlign w:val="bottom"/>
            <w:shd w:val="clear" w:color="auto" w:fill="D0EBF2"/>
          </w:tcPr>
          <w:p>
            <w:pPr>
              <w:spacing w:after="0"/>
              <w:rPr>
                <w:sz w:val="20"/>
                <w:szCs w:val="20"/>
                <w:color w:val="auto"/>
              </w:rPr>
            </w:pPr>
          </w:p>
        </w:tc>
        <w:tc>
          <w:tcPr>
            <w:tcW w:w="440" w:type="dxa"/>
            <w:vAlign w:val="bottom"/>
            <w:shd w:val="clear" w:color="auto" w:fill="D0EBF2"/>
          </w:tcPr>
          <w:p>
            <w:pPr>
              <w:spacing w:after="0"/>
              <w:rPr>
                <w:sz w:val="20"/>
                <w:szCs w:val="20"/>
                <w:color w:val="auto"/>
              </w:rPr>
            </w:pPr>
          </w:p>
        </w:tc>
        <w:tc>
          <w:tcPr>
            <w:tcW w:w="980" w:type="dxa"/>
            <w:vAlign w:val="bottom"/>
            <w:shd w:val="clear" w:color="auto" w:fill="D0EBF2"/>
          </w:tcPr>
          <w:p>
            <w:pPr>
              <w:jc w:val="right"/>
              <w:spacing w:after="0"/>
              <w:rPr>
                <w:sz w:val="20"/>
                <w:szCs w:val="20"/>
                <w:color w:val="auto"/>
              </w:rPr>
            </w:pPr>
            <w:r>
              <w:rPr>
                <w:rFonts w:ascii="Times New Roman" w:cs="Times New Roman" w:eastAsia="Times New Roman" w:hAnsi="Times New Roman"/>
                <w:sz w:val="19"/>
                <w:szCs w:val="19"/>
                <w:color w:val="231F20"/>
              </w:rPr>
              <w:t>19,861</w:t>
            </w:r>
          </w:p>
        </w:tc>
        <w:tc>
          <w:tcPr>
            <w:tcW w:w="80" w:type="dxa"/>
            <w:vAlign w:val="bottom"/>
            <w:shd w:val="clear" w:color="auto" w:fill="D0EBF2"/>
          </w:tcPr>
          <w:p>
            <w:pPr>
              <w:spacing w:after="0"/>
              <w:rPr>
                <w:sz w:val="20"/>
                <w:szCs w:val="20"/>
                <w:color w:val="auto"/>
              </w:rPr>
            </w:pPr>
          </w:p>
        </w:tc>
      </w:tr>
      <w:tr>
        <w:trPr>
          <w:trHeight w:val="230"/>
        </w:trPr>
        <w:tc>
          <w:tcPr>
            <w:tcW w:w="5700" w:type="dxa"/>
            <w:vAlign w:val="bottom"/>
            <w:shd w:val="clear" w:color="auto" w:fill="FDFDFC"/>
          </w:tcPr>
          <w:p>
            <w:pPr>
              <w:spacing w:after="0"/>
              <w:rPr>
                <w:sz w:val="20"/>
                <w:szCs w:val="20"/>
                <w:color w:val="auto"/>
              </w:rPr>
            </w:pPr>
            <w:r>
              <w:rPr>
                <w:rFonts w:ascii="Times New Roman" w:cs="Times New Roman" w:eastAsia="Times New Roman" w:hAnsi="Times New Roman"/>
                <w:sz w:val="19"/>
                <w:szCs w:val="19"/>
                <w:color w:val="231F20"/>
              </w:rPr>
              <w:t>QSR Acquisition Co. - Delayed Draw</w:t>
            </w:r>
          </w:p>
        </w:tc>
        <w:tc>
          <w:tcPr>
            <w:tcW w:w="420" w:type="dxa"/>
            <w:vAlign w:val="bottom"/>
            <w:shd w:val="clear" w:color="auto" w:fill="FDFDFC"/>
          </w:tcPr>
          <w:p>
            <w:pPr>
              <w:spacing w:after="0"/>
              <w:rPr>
                <w:sz w:val="20"/>
                <w:szCs w:val="20"/>
                <w:color w:val="auto"/>
              </w:rPr>
            </w:pPr>
          </w:p>
        </w:tc>
        <w:tc>
          <w:tcPr>
            <w:tcW w:w="980" w:type="dxa"/>
            <w:vAlign w:val="bottom"/>
            <w:shd w:val="clear" w:color="auto" w:fill="FDFDFC"/>
          </w:tcPr>
          <w:p>
            <w:pPr>
              <w:jc w:val="right"/>
              <w:spacing w:after="0"/>
              <w:rPr>
                <w:sz w:val="20"/>
                <w:szCs w:val="20"/>
                <w:color w:val="auto"/>
              </w:rPr>
            </w:pPr>
            <w:r>
              <w:rPr>
                <w:rFonts w:ascii="Times New Roman" w:cs="Times New Roman" w:eastAsia="Times New Roman" w:hAnsi="Times New Roman"/>
                <w:sz w:val="19"/>
                <w:szCs w:val="19"/>
                <w:color w:val="231F20"/>
              </w:rPr>
              <w:t>15,000</w:t>
            </w:r>
          </w:p>
        </w:tc>
        <w:tc>
          <w:tcPr>
            <w:tcW w:w="280" w:type="dxa"/>
            <w:vAlign w:val="bottom"/>
            <w:shd w:val="clear" w:color="auto" w:fill="FDFDFC"/>
          </w:tcPr>
          <w:p>
            <w:pPr>
              <w:spacing w:after="0"/>
              <w:rPr>
                <w:sz w:val="20"/>
                <w:szCs w:val="20"/>
                <w:color w:val="auto"/>
              </w:rPr>
            </w:pPr>
          </w:p>
        </w:tc>
        <w:tc>
          <w:tcPr>
            <w:tcW w:w="440" w:type="dxa"/>
            <w:vAlign w:val="bottom"/>
            <w:shd w:val="clear" w:color="auto" w:fill="FDFDFC"/>
          </w:tcPr>
          <w:p>
            <w:pPr>
              <w:spacing w:after="0"/>
              <w:rPr>
                <w:sz w:val="20"/>
                <w:szCs w:val="20"/>
                <w:color w:val="auto"/>
              </w:rPr>
            </w:pPr>
          </w:p>
        </w:tc>
        <w:tc>
          <w:tcPr>
            <w:tcW w:w="1060" w:type="dxa"/>
            <w:vAlign w:val="bottom"/>
            <w:gridSpan w:val="2"/>
            <w:shd w:val="clear" w:color="auto" w:fill="FDFDFC"/>
          </w:tcPr>
          <w:p>
            <w:pPr>
              <w:jc w:val="right"/>
              <w:ind w:right="120"/>
              <w:spacing w:after="0"/>
              <w:rPr>
                <w:sz w:val="20"/>
                <w:szCs w:val="20"/>
                <w:color w:val="auto"/>
              </w:rPr>
            </w:pPr>
            <w:r>
              <w:rPr>
                <w:rFonts w:ascii="Times New Roman" w:cs="Times New Roman" w:eastAsia="Times New Roman" w:hAnsi="Times New Roman"/>
                <w:sz w:val="19"/>
                <w:szCs w:val="19"/>
                <w:color w:val="231F20"/>
              </w:rPr>
              <w:t>—</w:t>
            </w:r>
          </w:p>
        </w:tc>
      </w:tr>
      <w:tr>
        <w:trPr>
          <w:trHeight w:val="230"/>
        </w:trPr>
        <w:tc>
          <w:tcPr>
            <w:tcW w:w="5700" w:type="dxa"/>
            <w:vAlign w:val="bottom"/>
            <w:shd w:val="clear" w:color="auto" w:fill="D0EBF2"/>
          </w:tcPr>
          <w:p>
            <w:pPr>
              <w:spacing w:after="0"/>
              <w:rPr>
                <w:sz w:val="20"/>
                <w:szCs w:val="20"/>
                <w:color w:val="auto"/>
              </w:rPr>
            </w:pPr>
            <w:r>
              <w:rPr>
                <w:rFonts w:ascii="Times New Roman" w:cs="Times New Roman" w:eastAsia="Times New Roman" w:hAnsi="Times New Roman"/>
                <w:sz w:val="19"/>
                <w:szCs w:val="19"/>
                <w:color w:val="231F20"/>
              </w:rPr>
              <w:t>Rapid Data GmbH Unternehmensberatung - Delayed Draw &amp; Revolver</w:t>
            </w:r>
          </w:p>
        </w:tc>
        <w:tc>
          <w:tcPr>
            <w:tcW w:w="420" w:type="dxa"/>
            <w:vAlign w:val="bottom"/>
            <w:shd w:val="clear" w:color="auto" w:fill="D0EBF2"/>
          </w:tcPr>
          <w:p>
            <w:pPr>
              <w:spacing w:after="0"/>
              <w:rPr>
                <w:sz w:val="20"/>
                <w:szCs w:val="20"/>
                <w:color w:val="auto"/>
              </w:rPr>
            </w:pPr>
          </w:p>
        </w:tc>
        <w:tc>
          <w:tcPr>
            <w:tcW w:w="980" w:type="dxa"/>
            <w:vAlign w:val="bottom"/>
            <w:shd w:val="clear" w:color="auto" w:fill="D0EBF2"/>
          </w:tcPr>
          <w:p>
            <w:pPr>
              <w:jc w:val="right"/>
              <w:spacing w:after="0"/>
              <w:rPr>
                <w:sz w:val="20"/>
                <w:szCs w:val="20"/>
                <w:color w:val="auto"/>
              </w:rPr>
            </w:pPr>
            <w:r>
              <w:rPr>
                <w:rFonts w:ascii="Times New Roman" w:cs="Times New Roman" w:eastAsia="Times New Roman" w:hAnsi="Times New Roman"/>
                <w:sz w:val="19"/>
                <w:szCs w:val="19"/>
                <w:color w:val="231F20"/>
              </w:rPr>
              <w:t>1,425</w:t>
            </w:r>
          </w:p>
        </w:tc>
        <w:tc>
          <w:tcPr>
            <w:tcW w:w="280" w:type="dxa"/>
            <w:vAlign w:val="bottom"/>
            <w:shd w:val="clear" w:color="auto" w:fill="D0EBF2"/>
          </w:tcPr>
          <w:p>
            <w:pPr>
              <w:spacing w:after="0"/>
              <w:rPr>
                <w:sz w:val="20"/>
                <w:szCs w:val="20"/>
                <w:color w:val="auto"/>
              </w:rPr>
            </w:pPr>
          </w:p>
        </w:tc>
        <w:tc>
          <w:tcPr>
            <w:tcW w:w="440" w:type="dxa"/>
            <w:vAlign w:val="bottom"/>
            <w:shd w:val="clear" w:color="auto" w:fill="D0EBF2"/>
          </w:tcPr>
          <w:p>
            <w:pPr>
              <w:spacing w:after="0"/>
              <w:rPr>
                <w:sz w:val="20"/>
                <w:szCs w:val="20"/>
                <w:color w:val="auto"/>
              </w:rPr>
            </w:pPr>
          </w:p>
        </w:tc>
        <w:tc>
          <w:tcPr>
            <w:tcW w:w="980" w:type="dxa"/>
            <w:vAlign w:val="bottom"/>
            <w:shd w:val="clear" w:color="auto" w:fill="D0EBF2"/>
          </w:tcPr>
          <w:p>
            <w:pPr>
              <w:jc w:val="right"/>
              <w:spacing w:after="0"/>
              <w:rPr>
                <w:sz w:val="20"/>
                <w:szCs w:val="20"/>
                <w:color w:val="auto"/>
              </w:rPr>
            </w:pPr>
            <w:r>
              <w:rPr>
                <w:rFonts w:ascii="Times New Roman" w:cs="Times New Roman" w:eastAsia="Times New Roman" w:hAnsi="Times New Roman"/>
                <w:sz w:val="19"/>
                <w:szCs w:val="19"/>
                <w:color w:val="231F20"/>
              </w:rPr>
              <w:t>6,254</w:t>
            </w:r>
          </w:p>
        </w:tc>
        <w:tc>
          <w:tcPr>
            <w:tcW w:w="80" w:type="dxa"/>
            <w:vAlign w:val="bottom"/>
            <w:shd w:val="clear" w:color="auto" w:fill="D0EBF2"/>
          </w:tcPr>
          <w:p>
            <w:pPr>
              <w:spacing w:after="0"/>
              <w:rPr>
                <w:sz w:val="20"/>
                <w:szCs w:val="20"/>
                <w:color w:val="auto"/>
              </w:rPr>
            </w:pPr>
          </w:p>
        </w:tc>
      </w:tr>
      <w:tr>
        <w:trPr>
          <w:trHeight w:val="230"/>
        </w:trPr>
        <w:tc>
          <w:tcPr>
            <w:tcW w:w="5700" w:type="dxa"/>
            <w:vAlign w:val="bottom"/>
            <w:shd w:val="clear" w:color="auto" w:fill="FDFDFC"/>
          </w:tcPr>
          <w:p>
            <w:pPr>
              <w:spacing w:after="0"/>
              <w:rPr>
                <w:sz w:val="20"/>
                <w:szCs w:val="20"/>
                <w:color w:val="auto"/>
              </w:rPr>
            </w:pPr>
            <w:r>
              <w:rPr>
                <w:rFonts w:ascii="Times New Roman" w:cs="Times New Roman" w:eastAsia="Times New Roman" w:hAnsi="Times New Roman"/>
                <w:sz w:val="19"/>
                <w:szCs w:val="19"/>
                <w:color w:val="231F20"/>
              </w:rPr>
              <w:t>Raptor US Buyer II Corp. - Revolver</w:t>
            </w:r>
          </w:p>
        </w:tc>
        <w:tc>
          <w:tcPr>
            <w:tcW w:w="420" w:type="dxa"/>
            <w:vAlign w:val="bottom"/>
            <w:shd w:val="clear" w:color="auto" w:fill="FDFDFC"/>
          </w:tcPr>
          <w:p>
            <w:pPr>
              <w:spacing w:after="0"/>
              <w:rPr>
                <w:sz w:val="20"/>
                <w:szCs w:val="20"/>
                <w:color w:val="auto"/>
              </w:rPr>
            </w:pPr>
          </w:p>
        </w:tc>
        <w:tc>
          <w:tcPr>
            <w:tcW w:w="980" w:type="dxa"/>
            <w:vAlign w:val="bottom"/>
            <w:shd w:val="clear" w:color="auto" w:fill="FDFDFC"/>
          </w:tcPr>
          <w:p>
            <w:pPr>
              <w:jc w:val="right"/>
              <w:spacing w:after="0"/>
              <w:rPr>
                <w:sz w:val="20"/>
                <w:szCs w:val="20"/>
                <w:color w:val="auto"/>
              </w:rPr>
            </w:pPr>
            <w:r>
              <w:rPr>
                <w:rFonts w:ascii="Times New Roman" w:cs="Times New Roman" w:eastAsia="Times New Roman" w:hAnsi="Times New Roman"/>
                <w:sz w:val="19"/>
                <w:szCs w:val="19"/>
                <w:color w:val="231F20"/>
              </w:rPr>
              <w:t>682</w:t>
            </w:r>
          </w:p>
        </w:tc>
        <w:tc>
          <w:tcPr>
            <w:tcW w:w="280" w:type="dxa"/>
            <w:vAlign w:val="bottom"/>
            <w:shd w:val="clear" w:color="auto" w:fill="FDFDFC"/>
          </w:tcPr>
          <w:p>
            <w:pPr>
              <w:spacing w:after="0"/>
              <w:rPr>
                <w:sz w:val="20"/>
                <w:szCs w:val="20"/>
                <w:color w:val="auto"/>
              </w:rPr>
            </w:pPr>
          </w:p>
        </w:tc>
        <w:tc>
          <w:tcPr>
            <w:tcW w:w="440" w:type="dxa"/>
            <w:vAlign w:val="bottom"/>
            <w:shd w:val="clear" w:color="auto" w:fill="FDFDFC"/>
          </w:tcPr>
          <w:p>
            <w:pPr>
              <w:spacing w:after="0"/>
              <w:rPr>
                <w:sz w:val="20"/>
                <w:szCs w:val="20"/>
                <w:color w:val="auto"/>
              </w:rPr>
            </w:pPr>
          </w:p>
        </w:tc>
        <w:tc>
          <w:tcPr>
            <w:tcW w:w="1060" w:type="dxa"/>
            <w:vAlign w:val="bottom"/>
            <w:gridSpan w:val="2"/>
            <w:shd w:val="clear" w:color="auto" w:fill="FDFDFC"/>
          </w:tcPr>
          <w:p>
            <w:pPr>
              <w:jc w:val="right"/>
              <w:ind w:right="120"/>
              <w:spacing w:after="0"/>
              <w:rPr>
                <w:sz w:val="20"/>
                <w:szCs w:val="20"/>
                <w:color w:val="auto"/>
              </w:rPr>
            </w:pPr>
            <w:r>
              <w:rPr>
                <w:rFonts w:ascii="Times New Roman" w:cs="Times New Roman" w:eastAsia="Times New Roman" w:hAnsi="Times New Roman"/>
                <w:sz w:val="19"/>
                <w:szCs w:val="19"/>
                <w:color w:val="231F20"/>
              </w:rPr>
              <w:t>—</w:t>
            </w:r>
          </w:p>
        </w:tc>
      </w:tr>
      <w:tr>
        <w:trPr>
          <w:trHeight w:val="230"/>
        </w:trPr>
        <w:tc>
          <w:tcPr>
            <w:tcW w:w="5700" w:type="dxa"/>
            <w:vAlign w:val="bottom"/>
            <w:shd w:val="clear" w:color="auto" w:fill="D0EBF2"/>
          </w:tcPr>
          <w:p>
            <w:pPr>
              <w:spacing w:after="0"/>
              <w:rPr>
                <w:sz w:val="20"/>
                <w:szCs w:val="20"/>
                <w:color w:val="auto"/>
              </w:rPr>
            </w:pPr>
            <w:r>
              <w:rPr>
                <w:rFonts w:ascii="Times New Roman" w:cs="Times New Roman" w:eastAsia="Times New Roman" w:hAnsi="Times New Roman"/>
                <w:sz w:val="19"/>
                <w:szCs w:val="19"/>
                <w:color w:val="231F20"/>
              </w:rPr>
              <w:t>ReliaQuest Holdings, LLC - Delayed Draw &amp; Equity</w:t>
            </w:r>
          </w:p>
        </w:tc>
        <w:tc>
          <w:tcPr>
            <w:tcW w:w="420" w:type="dxa"/>
            <w:vAlign w:val="bottom"/>
            <w:shd w:val="clear" w:color="auto" w:fill="D0EBF2"/>
          </w:tcPr>
          <w:p>
            <w:pPr>
              <w:spacing w:after="0"/>
              <w:rPr>
                <w:sz w:val="20"/>
                <w:szCs w:val="20"/>
                <w:color w:val="auto"/>
              </w:rPr>
            </w:pPr>
          </w:p>
        </w:tc>
        <w:tc>
          <w:tcPr>
            <w:tcW w:w="980" w:type="dxa"/>
            <w:vAlign w:val="bottom"/>
            <w:shd w:val="clear" w:color="auto" w:fill="D0EBF2"/>
          </w:tcPr>
          <w:p>
            <w:pPr>
              <w:jc w:val="right"/>
              <w:spacing w:after="0"/>
              <w:rPr>
                <w:sz w:val="20"/>
                <w:szCs w:val="20"/>
                <w:color w:val="auto"/>
              </w:rPr>
            </w:pPr>
            <w:r>
              <w:rPr>
                <w:rFonts w:ascii="Times New Roman" w:cs="Times New Roman" w:eastAsia="Times New Roman" w:hAnsi="Times New Roman"/>
                <w:sz w:val="19"/>
                <w:szCs w:val="19"/>
                <w:color w:val="231F20"/>
              </w:rPr>
              <w:t>—</w:t>
            </w:r>
          </w:p>
        </w:tc>
        <w:tc>
          <w:tcPr>
            <w:tcW w:w="280" w:type="dxa"/>
            <w:vAlign w:val="bottom"/>
            <w:shd w:val="clear" w:color="auto" w:fill="D0EBF2"/>
          </w:tcPr>
          <w:p>
            <w:pPr>
              <w:spacing w:after="0"/>
              <w:rPr>
                <w:sz w:val="20"/>
                <w:szCs w:val="20"/>
                <w:color w:val="auto"/>
              </w:rPr>
            </w:pPr>
          </w:p>
        </w:tc>
        <w:tc>
          <w:tcPr>
            <w:tcW w:w="440" w:type="dxa"/>
            <w:vAlign w:val="bottom"/>
            <w:shd w:val="clear" w:color="auto" w:fill="D0EBF2"/>
          </w:tcPr>
          <w:p>
            <w:pPr>
              <w:spacing w:after="0"/>
              <w:rPr>
                <w:sz w:val="20"/>
                <w:szCs w:val="20"/>
                <w:color w:val="auto"/>
              </w:rPr>
            </w:pPr>
          </w:p>
        </w:tc>
        <w:tc>
          <w:tcPr>
            <w:tcW w:w="980" w:type="dxa"/>
            <w:vAlign w:val="bottom"/>
            <w:shd w:val="clear" w:color="auto" w:fill="D0EBF2"/>
          </w:tcPr>
          <w:p>
            <w:pPr>
              <w:jc w:val="right"/>
              <w:spacing w:after="0"/>
              <w:rPr>
                <w:sz w:val="20"/>
                <w:szCs w:val="20"/>
                <w:color w:val="auto"/>
              </w:rPr>
            </w:pPr>
            <w:r>
              <w:rPr>
                <w:rFonts w:ascii="Times New Roman" w:cs="Times New Roman" w:eastAsia="Times New Roman" w:hAnsi="Times New Roman"/>
                <w:sz w:val="19"/>
                <w:szCs w:val="19"/>
                <w:color w:val="231F20"/>
              </w:rPr>
              <w:t>4,424</w:t>
            </w:r>
          </w:p>
        </w:tc>
        <w:tc>
          <w:tcPr>
            <w:tcW w:w="80" w:type="dxa"/>
            <w:vAlign w:val="bottom"/>
            <w:shd w:val="clear" w:color="auto" w:fill="D0EBF2"/>
          </w:tcPr>
          <w:p>
            <w:pPr>
              <w:spacing w:after="0"/>
              <w:rPr>
                <w:sz w:val="20"/>
                <w:szCs w:val="20"/>
                <w:color w:val="auto"/>
              </w:rPr>
            </w:pPr>
          </w:p>
        </w:tc>
      </w:tr>
      <w:tr>
        <w:trPr>
          <w:trHeight w:val="230"/>
        </w:trPr>
        <w:tc>
          <w:tcPr>
            <w:tcW w:w="5700" w:type="dxa"/>
            <w:vAlign w:val="bottom"/>
            <w:shd w:val="clear" w:color="auto" w:fill="FDFDFC"/>
          </w:tcPr>
          <w:p>
            <w:pPr>
              <w:spacing w:after="0"/>
              <w:rPr>
                <w:sz w:val="20"/>
                <w:szCs w:val="20"/>
                <w:color w:val="auto"/>
              </w:rPr>
            </w:pPr>
            <w:r>
              <w:rPr>
                <w:rFonts w:ascii="Times New Roman" w:cs="Times New Roman" w:eastAsia="Times New Roman" w:hAnsi="Times New Roman"/>
                <w:sz w:val="19"/>
                <w:szCs w:val="19"/>
                <w:color w:val="231F20"/>
              </w:rPr>
              <w:t>Sapphire Software Buyer, Inc. - Revolver</w:t>
            </w:r>
          </w:p>
        </w:tc>
        <w:tc>
          <w:tcPr>
            <w:tcW w:w="420" w:type="dxa"/>
            <w:vAlign w:val="bottom"/>
            <w:shd w:val="clear" w:color="auto" w:fill="FDFDFC"/>
          </w:tcPr>
          <w:p>
            <w:pPr>
              <w:spacing w:after="0"/>
              <w:rPr>
                <w:sz w:val="20"/>
                <w:szCs w:val="20"/>
                <w:color w:val="auto"/>
              </w:rPr>
            </w:pPr>
          </w:p>
        </w:tc>
        <w:tc>
          <w:tcPr>
            <w:tcW w:w="980" w:type="dxa"/>
            <w:vAlign w:val="bottom"/>
            <w:shd w:val="clear" w:color="auto" w:fill="FDFDFC"/>
          </w:tcPr>
          <w:p>
            <w:pPr>
              <w:jc w:val="right"/>
              <w:spacing w:after="0"/>
              <w:rPr>
                <w:sz w:val="20"/>
                <w:szCs w:val="20"/>
                <w:color w:val="auto"/>
              </w:rPr>
            </w:pPr>
            <w:r>
              <w:rPr>
                <w:rFonts w:ascii="Times New Roman" w:cs="Times New Roman" w:eastAsia="Times New Roman" w:hAnsi="Times New Roman"/>
                <w:sz w:val="19"/>
                <w:szCs w:val="19"/>
                <w:color w:val="231F20"/>
              </w:rPr>
              <w:t>3,243</w:t>
            </w:r>
          </w:p>
        </w:tc>
        <w:tc>
          <w:tcPr>
            <w:tcW w:w="280" w:type="dxa"/>
            <w:vAlign w:val="bottom"/>
            <w:shd w:val="clear" w:color="auto" w:fill="FDFDFC"/>
          </w:tcPr>
          <w:p>
            <w:pPr>
              <w:spacing w:after="0"/>
              <w:rPr>
                <w:sz w:val="20"/>
                <w:szCs w:val="20"/>
                <w:color w:val="auto"/>
              </w:rPr>
            </w:pPr>
          </w:p>
        </w:tc>
        <w:tc>
          <w:tcPr>
            <w:tcW w:w="440" w:type="dxa"/>
            <w:vAlign w:val="bottom"/>
            <w:shd w:val="clear" w:color="auto" w:fill="FDFDFC"/>
          </w:tcPr>
          <w:p>
            <w:pPr>
              <w:spacing w:after="0"/>
              <w:rPr>
                <w:sz w:val="20"/>
                <w:szCs w:val="20"/>
                <w:color w:val="auto"/>
              </w:rPr>
            </w:pPr>
          </w:p>
        </w:tc>
        <w:tc>
          <w:tcPr>
            <w:tcW w:w="1060" w:type="dxa"/>
            <w:vAlign w:val="bottom"/>
            <w:gridSpan w:val="2"/>
            <w:shd w:val="clear" w:color="auto" w:fill="FDFDFC"/>
          </w:tcPr>
          <w:p>
            <w:pPr>
              <w:jc w:val="right"/>
              <w:ind w:right="120"/>
              <w:spacing w:after="0"/>
              <w:rPr>
                <w:sz w:val="20"/>
                <w:szCs w:val="20"/>
                <w:color w:val="auto"/>
              </w:rPr>
            </w:pPr>
            <w:r>
              <w:rPr>
                <w:rFonts w:ascii="Times New Roman" w:cs="Times New Roman" w:eastAsia="Times New Roman" w:hAnsi="Times New Roman"/>
                <w:sz w:val="19"/>
                <w:szCs w:val="19"/>
                <w:color w:val="231F20"/>
              </w:rPr>
              <w:t>—</w:t>
            </w:r>
          </w:p>
        </w:tc>
      </w:tr>
      <w:tr>
        <w:trPr>
          <w:trHeight w:val="230"/>
        </w:trPr>
        <w:tc>
          <w:tcPr>
            <w:tcW w:w="5700" w:type="dxa"/>
            <w:vAlign w:val="bottom"/>
            <w:shd w:val="clear" w:color="auto" w:fill="D0EBF2"/>
          </w:tcPr>
          <w:p>
            <w:pPr>
              <w:spacing w:after="0"/>
              <w:rPr>
                <w:sz w:val="20"/>
                <w:szCs w:val="20"/>
                <w:color w:val="auto"/>
              </w:rPr>
            </w:pPr>
            <w:r>
              <w:rPr>
                <w:rFonts w:ascii="Times New Roman" w:cs="Times New Roman" w:eastAsia="Times New Roman" w:hAnsi="Times New Roman"/>
                <w:sz w:val="19"/>
                <w:szCs w:val="19"/>
                <w:color w:val="231F20"/>
              </w:rPr>
              <w:t>Scorpio Bidco - Delayed Draw</w:t>
            </w:r>
          </w:p>
        </w:tc>
        <w:tc>
          <w:tcPr>
            <w:tcW w:w="420" w:type="dxa"/>
            <w:vAlign w:val="bottom"/>
            <w:shd w:val="clear" w:color="auto" w:fill="D0EBF2"/>
          </w:tcPr>
          <w:p>
            <w:pPr>
              <w:spacing w:after="0"/>
              <w:rPr>
                <w:sz w:val="20"/>
                <w:szCs w:val="20"/>
                <w:color w:val="auto"/>
              </w:rPr>
            </w:pPr>
          </w:p>
        </w:tc>
        <w:tc>
          <w:tcPr>
            <w:tcW w:w="980" w:type="dxa"/>
            <w:vAlign w:val="bottom"/>
            <w:shd w:val="clear" w:color="auto" w:fill="D0EBF2"/>
          </w:tcPr>
          <w:p>
            <w:pPr>
              <w:jc w:val="right"/>
              <w:spacing w:after="0"/>
              <w:rPr>
                <w:sz w:val="20"/>
                <w:szCs w:val="20"/>
                <w:color w:val="auto"/>
              </w:rPr>
            </w:pPr>
            <w:r>
              <w:rPr>
                <w:rFonts w:ascii="Times New Roman" w:cs="Times New Roman" w:eastAsia="Times New Roman" w:hAnsi="Times New Roman"/>
                <w:sz w:val="19"/>
                <w:szCs w:val="19"/>
                <w:color w:val="231F20"/>
              </w:rPr>
              <w:t>506</w:t>
            </w:r>
          </w:p>
        </w:tc>
        <w:tc>
          <w:tcPr>
            <w:tcW w:w="280" w:type="dxa"/>
            <w:vAlign w:val="bottom"/>
            <w:shd w:val="clear" w:color="auto" w:fill="D0EBF2"/>
          </w:tcPr>
          <w:p>
            <w:pPr>
              <w:spacing w:after="0"/>
              <w:rPr>
                <w:sz w:val="20"/>
                <w:szCs w:val="20"/>
                <w:color w:val="auto"/>
              </w:rPr>
            </w:pPr>
          </w:p>
        </w:tc>
        <w:tc>
          <w:tcPr>
            <w:tcW w:w="440" w:type="dxa"/>
            <w:vAlign w:val="bottom"/>
            <w:shd w:val="clear" w:color="auto" w:fill="D0EBF2"/>
          </w:tcPr>
          <w:p>
            <w:pPr>
              <w:spacing w:after="0"/>
              <w:rPr>
                <w:sz w:val="20"/>
                <w:szCs w:val="20"/>
                <w:color w:val="auto"/>
              </w:rPr>
            </w:pPr>
          </w:p>
        </w:tc>
        <w:tc>
          <w:tcPr>
            <w:tcW w:w="1060" w:type="dxa"/>
            <w:vAlign w:val="bottom"/>
            <w:gridSpan w:val="2"/>
            <w:shd w:val="clear" w:color="auto" w:fill="D0EBF2"/>
          </w:tcPr>
          <w:p>
            <w:pPr>
              <w:jc w:val="right"/>
              <w:ind w:right="120"/>
              <w:spacing w:after="0"/>
              <w:rPr>
                <w:sz w:val="20"/>
                <w:szCs w:val="20"/>
                <w:color w:val="auto"/>
              </w:rPr>
            </w:pPr>
            <w:r>
              <w:rPr>
                <w:rFonts w:ascii="Times New Roman" w:cs="Times New Roman" w:eastAsia="Times New Roman" w:hAnsi="Times New Roman"/>
                <w:sz w:val="19"/>
                <w:szCs w:val="19"/>
                <w:color w:val="231F20"/>
              </w:rPr>
              <w:t>—</w:t>
            </w:r>
          </w:p>
        </w:tc>
      </w:tr>
      <w:tr>
        <w:trPr>
          <w:trHeight w:val="230"/>
        </w:trPr>
        <w:tc>
          <w:tcPr>
            <w:tcW w:w="5700" w:type="dxa"/>
            <w:vAlign w:val="bottom"/>
            <w:shd w:val="clear" w:color="auto" w:fill="FDFDFC"/>
          </w:tcPr>
          <w:p>
            <w:pPr>
              <w:spacing w:after="0"/>
              <w:rPr>
                <w:sz w:val="20"/>
                <w:szCs w:val="20"/>
                <w:color w:val="auto"/>
              </w:rPr>
            </w:pPr>
            <w:r>
              <w:rPr>
                <w:rFonts w:ascii="Times New Roman" w:cs="Times New Roman" w:eastAsia="Times New Roman" w:hAnsi="Times New Roman"/>
                <w:sz w:val="19"/>
                <w:szCs w:val="19"/>
                <w:color w:val="231F20"/>
              </w:rPr>
              <w:t>Severin Acquisition, LLC - Delayed Draw &amp; Revolver</w:t>
            </w:r>
          </w:p>
        </w:tc>
        <w:tc>
          <w:tcPr>
            <w:tcW w:w="420" w:type="dxa"/>
            <w:vAlign w:val="bottom"/>
            <w:shd w:val="clear" w:color="auto" w:fill="FDFDFC"/>
          </w:tcPr>
          <w:p>
            <w:pPr>
              <w:spacing w:after="0"/>
              <w:rPr>
                <w:sz w:val="20"/>
                <w:szCs w:val="20"/>
                <w:color w:val="auto"/>
              </w:rPr>
            </w:pPr>
          </w:p>
        </w:tc>
        <w:tc>
          <w:tcPr>
            <w:tcW w:w="980" w:type="dxa"/>
            <w:vAlign w:val="bottom"/>
            <w:shd w:val="clear" w:color="auto" w:fill="FDFDFC"/>
          </w:tcPr>
          <w:p>
            <w:pPr>
              <w:jc w:val="right"/>
              <w:spacing w:after="0"/>
              <w:rPr>
                <w:sz w:val="20"/>
                <w:szCs w:val="20"/>
                <w:color w:val="auto"/>
              </w:rPr>
            </w:pPr>
            <w:r>
              <w:rPr>
                <w:rFonts w:ascii="Times New Roman" w:cs="Times New Roman" w:eastAsia="Times New Roman" w:hAnsi="Times New Roman"/>
                <w:sz w:val="19"/>
                <w:szCs w:val="19"/>
                <w:color w:val="231F20"/>
              </w:rPr>
              <w:t>5,039</w:t>
            </w:r>
          </w:p>
        </w:tc>
        <w:tc>
          <w:tcPr>
            <w:tcW w:w="280" w:type="dxa"/>
            <w:vAlign w:val="bottom"/>
            <w:shd w:val="clear" w:color="auto" w:fill="FDFDFC"/>
          </w:tcPr>
          <w:p>
            <w:pPr>
              <w:spacing w:after="0"/>
              <w:rPr>
                <w:sz w:val="20"/>
                <w:szCs w:val="20"/>
                <w:color w:val="auto"/>
              </w:rPr>
            </w:pPr>
          </w:p>
        </w:tc>
        <w:tc>
          <w:tcPr>
            <w:tcW w:w="440" w:type="dxa"/>
            <w:vAlign w:val="bottom"/>
            <w:shd w:val="clear" w:color="auto" w:fill="FDFDFC"/>
          </w:tcPr>
          <w:p>
            <w:pPr>
              <w:spacing w:after="0"/>
              <w:rPr>
                <w:sz w:val="20"/>
                <w:szCs w:val="20"/>
                <w:color w:val="auto"/>
              </w:rPr>
            </w:pPr>
          </w:p>
        </w:tc>
        <w:tc>
          <w:tcPr>
            <w:tcW w:w="1060" w:type="dxa"/>
            <w:vAlign w:val="bottom"/>
            <w:gridSpan w:val="2"/>
            <w:shd w:val="clear" w:color="auto" w:fill="FDFDFC"/>
          </w:tcPr>
          <w:p>
            <w:pPr>
              <w:jc w:val="right"/>
              <w:ind w:right="120"/>
              <w:spacing w:after="0"/>
              <w:rPr>
                <w:sz w:val="20"/>
                <w:szCs w:val="20"/>
                <w:color w:val="auto"/>
              </w:rPr>
            </w:pPr>
            <w:r>
              <w:rPr>
                <w:rFonts w:ascii="Times New Roman" w:cs="Times New Roman" w:eastAsia="Times New Roman" w:hAnsi="Times New Roman"/>
                <w:sz w:val="19"/>
                <w:szCs w:val="19"/>
                <w:color w:val="231F20"/>
              </w:rPr>
              <w:t>—</w:t>
            </w:r>
          </w:p>
        </w:tc>
      </w:tr>
      <w:tr>
        <w:trPr>
          <w:trHeight w:val="230"/>
        </w:trPr>
        <w:tc>
          <w:tcPr>
            <w:tcW w:w="5700" w:type="dxa"/>
            <w:vAlign w:val="bottom"/>
            <w:shd w:val="clear" w:color="auto" w:fill="D0EBF2"/>
          </w:tcPr>
          <w:p>
            <w:pPr>
              <w:spacing w:after="0"/>
              <w:rPr>
                <w:sz w:val="20"/>
                <w:szCs w:val="20"/>
                <w:color w:val="auto"/>
              </w:rPr>
            </w:pPr>
            <w:r>
              <w:rPr>
                <w:rFonts w:ascii="Times New Roman" w:cs="Times New Roman" w:eastAsia="Times New Roman" w:hAnsi="Times New Roman"/>
                <w:sz w:val="19"/>
                <w:szCs w:val="19"/>
                <w:color w:val="231F20"/>
              </w:rPr>
              <w:t>Shiftmove GmbH - Delayed Draw</w:t>
            </w:r>
          </w:p>
        </w:tc>
        <w:tc>
          <w:tcPr>
            <w:tcW w:w="420" w:type="dxa"/>
            <w:vAlign w:val="bottom"/>
            <w:shd w:val="clear" w:color="auto" w:fill="D0EBF2"/>
          </w:tcPr>
          <w:p>
            <w:pPr>
              <w:spacing w:after="0"/>
              <w:rPr>
                <w:sz w:val="20"/>
                <w:szCs w:val="20"/>
                <w:color w:val="auto"/>
              </w:rPr>
            </w:pPr>
          </w:p>
        </w:tc>
        <w:tc>
          <w:tcPr>
            <w:tcW w:w="980" w:type="dxa"/>
            <w:vAlign w:val="bottom"/>
            <w:shd w:val="clear" w:color="auto" w:fill="D0EBF2"/>
          </w:tcPr>
          <w:p>
            <w:pPr>
              <w:jc w:val="right"/>
              <w:spacing w:after="0"/>
              <w:rPr>
                <w:sz w:val="20"/>
                <w:szCs w:val="20"/>
                <w:color w:val="auto"/>
              </w:rPr>
            </w:pPr>
            <w:r>
              <w:rPr>
                <w:rFonts w:ascii="Times New Roman" w:cs="Times New Roman" w:eastAsia="Times New Roman" w:hAnsi="Times New Roman"/>
                <w:sz w:val="19"/>
                <w:szCs w:val="19"/>
                <w:color w:val="231F20"/>
              </w:rPr>
              <w:t>13,591</w:t>
            </w:r>
          </w:p>
        </w:tc>
        <w:tc>
          <w:tcPr>
            <w:tcW w:w="280" w:type="dxa"/>
            <w:vAlign w:val="bottom"/>
            <w:shd w:val="clear" w:color="auto" w:fill="D0EBF2"/>
          </w:tcPr>
          <w:p>
            <w:pPr>
              <w:spacing w:after="0"/>
              <w:rPr>
                <w:sz w:val="20"/>
                <w:szCs w:val="20"/>
                <w:color w:val="auto"/>
              </w:rPr>
            </w:pPr>
          </w:p>
        </w:tc>
        <w:tc>
          <w:tcPr>
            <w:tcW w:w="440" w:type="dxa"/>
            <w:vAlign w:val="bottom"/>
            <w:shd w:val="clear" w:color="auto" w:fill="D0EBF2"/>
          </w:tcPr>
          <w:p>
            <w:pPr>
              <w:spacing w:after="0"/>
              <w:rPr>
                <w:sz w:val="20"/>
                <w:szCs w:val="20"/>
                <w:color w:val="auto"/>
              </w:rPr>
            </w:pPr>
          </w:p>
        </w:tc>
        <w:tc>
          <w:tcPr>
            <w:tcW w:w="1060" w:type="dxa"/>
            <w:vAlign w:val="bottom"/>
            <w:gridSpan w:val="2"/>
            <w:shd w:val="clear" w:color="auto" w:fill="D0EBF2"/>
          </w:tcPr>
          <w:p>
            <w:pPr>
              <w:jc w:val="right"/>
              <w:ind w:right="120"/>
              <w:spacing w:after="0"/>
              <w:rPr>
                <w:sz w:val="20"/>
                <w:szCs w:val="20"/>
                <w:color w:val="auto"/>
              </w:rPr>
            </w:pPr>
            <w:r>
              <w:rPr>
                <w:rFonts w:ascii="Times New Roman" w:cs="Times New Roman" w:eastAsia="Times New Roman" w:hAnsi="Times New Roman"/>
                <w:sz w:val="19"/>
                <w:szCs w:val="19"/>
                <w:color w:val="231F20"/>
              </w:rPr>
              <w:t>—</w:t>
            </w:r>
          </w:p>
        </w:tc>
      </w:tr>
      <w:tr>
        <w:trPr>
          <w:trHeight w:val="230"/>
        </w:trPr>
        <w:tc>
          <w:tcPr>
            <w:tcW w:w="5700" w:type="dxa"/>
            <w:vAlign w:val="bottom"/>
            <w:shd w:val="clear" w:color="auto" w:fill="FDFDFC"/>
          </w:tcPr>
          <w:p>
            <w:pPr>
              <w:spacing w:after="0"/>
              <w:rPr>
                <w:sz w:val="20"/>
                <w:szCs w:val="20"/>
                <w:color w:val="auto"/>
              </w:rPr>
            </w:pPr>
            <w:r>
              <w:rPr>
                <w:rFonts w:ascii="Times New Roman" w:cs="Times New Roman" w:eastAsia="Times New Roman" w:hAnsi="Times New Roman"/>
                <w:sz w:val="19"/>
                <w:szCs w:val="19"/>
                <w:color w:val="231F20"/>
              </w:rPr>
              <w:t>Sky Bidco S.p.A. - Delayed Draw</w:t>
            </w:r>
          </w:p>
        </w:tc>
        <w:tc>
          <w:tcPr>
            <w:tcW w:w="420" w:type="dxa"/>
            <w:vAlign w:val="bottom"/>
            <w:shd w:val="clear" w:color="auto" w:fill="FDFDFC"/>
          </w:tcPr>
          <w:p>
            <w:pPr>
              <w:spacing w:after="0"/>
              <w:rPr>
                <w:sz w:val="20"/>
                <w:szCs w:val="20"/>
                <w:color w:val="auto"/>
              </w:rPr>
            </w:pPr>
          </w:p>
        </w:tc>
        <w:tc>
          <w:tcPr>
            <w:tcW w:w="980" w:type="dxa"/>
            <w:vAlign w:val="bottom"/>
            <w:shd w:val="clear" w:color="auto" w:fill="FDFDFC"/>
          </w:tcPr>
          <w:p>
            <w:pPr>
              <w:jc w:val="right"/>
              <w:spacing w:after="0"/>
              <w:rPr>
                <w:sz w:val="20"/>
                <w:szCs w:val="20"/>
                <w:color w:val="auto"/>
              </w:rPr>
            </w:pPr>
            <w:r>
              <w:rPr>
                <w:rFonts w:ascii="Times New Roman" w:cs="Times New Roman" w:eastAsia="Times New Roman" w:hAnsi="Times New Roman"/>
                <w:sz w:val="19"/>
                <w:szCs w:val="19"/>
                <w:color w:val="231F20"/>
              </w:rPr>
              <w:t>3,627</w:t>
            </w:r>
          </w:p>
        </w:tc>
        <w:tc>
          <w:tcPr>
            <w:tcW w:w="280" w:type="dxa"/>
            <w:vAlign w:val="bottom"/>
            <w:shd w:val="clear" w:color="auto" w:fill="FDFDFC"/>
          </w:tcPr>
          <w:p>
            <w:pPr>
              <w:spacing w:after="0"/>
              <w:rPr>
                <w:sz w:val="20"/>
                <w:szCs w:val="20"/>
                <w:color w:val="auto"/>
              </w:rPr>
            </w:pPr>
          </w:p>
        </w:tc>
        <w:tc>
          <w:tcPr>
            <w:tcW w:w="440" w:type="dxa"/>
            <w:vAlign w:val="bottom"/>
            <w:shd w:val="clear" w:color="auto" w:fill="FDFDFC"/>
          </w:tcPr>
          <w:p>
            <w:pPr>
              <w:spacing w:after="0"/>
              <w:rPr>
                <w:sz w:val="20"/>
                <w:szCs w:val="20"/>
                <w:color w:val="auto"/>
              </w:rPr>
            </w:pPr>
          </w:p>
        </w:tc>
        <w:tc>
          <w:tcPr>
            <w:tcW w:w="1060" w:type="dxa"/>
            <w:vAlign w:val="bottom"/>
            <w:gridSpan w:val="2"/>
            <w:shd w:val="clear" w:color="auto" w:fill="FDFDFC"/>
          </w:tcPr>
          <w:p>
            <w:pPr>
              <w:jc w:val="right"/>
              <w:ind w:right="120"/>
              <w:spacing w:after="0"/>
              <w:rPr>
                <w:sz w:val="20"/>
                <w:szCs w:val="20"/>
                <w:color w:val="auto"/>
              </w:rPr>
            </w:pPr>
            <w:r>
              <w:rPr>
                <w:rFonts w:ascii="Times New Roman" w:cs="Times New Roman" w:eastAsia="Times New Roman" w:hAnsi="Times New Roman"/>
                <w:sz w:val="19"/>
                <w:szCs w:val="19"/>
                <w:color w:val="231F20"/>
              </w:rPr>
              <w:t>—</w:t>
            </w:r>
          </w:p>
        </w:tc>
      </w:tr>
      <w:tr>
        <w:trPr>
          <w:trHeight w:val="230"/>
        </w:trPr>
        <w:tc>
          <w:tcPr>
            <w:tcW w:w="5700" w:type="dxa"/>
            <w:vAlign w:val="bottom"/>
            <w:shd w:val="clear" w:color="auto" w:fill="D0EBF2"/>
          </w:tcPr>
          <w:p>
            <w:pPr>
              <w:spacing w:after="0"/>
              <w:rPr>
                <w:sz w:val="20"/>
                <w:szCs w:val="20"/>
                <w:color w:val="auto"/>
              </w:rPr>
            </w:pPr>
            <w:r>
              <w:rPr>
                <w:rFonts w:ascii="Times New Roman" w:cs="Times New Roman" w:eastAsia="Times New Roman" w:hAnsi="Times New Roman"/>
                <w:sz w:val="19"/>
                <w:szCs w:val="19"/>
                <w:color w:val="231F20"/>
              </w:rPr>
              <w:t>SkyLark UK DebtCo Limited - Delayed Draw</w:t>
            </w:r>
          </w:p>
        </w:tc>
        <w:tc>
          <w:tcPr>
            <w:tcW w:w="420" w:type="dxa"/>
            <w:vAlign w:val="bottom"/>
            <w:shd w:val="clear" w:color="auto" w:fill="D0EBF2"/>
          </w:tcPr>
          <w:p>
            <w:pPr>
              <w:spacing w:after="0"/>
              <w:rPr>
                <w:sz w:val="20"/>
                <w:szCs w:val="20"/>
                <w:color w:val="auto"/>
              </w:rPr>
            </w:pPr>
          </w:p>
        </w:tc>
        <w:tc>
          <w:tcPr>
            <w:tcW w:w="980" w:type="dxa"/>
            <w:vAlign w:val="bottom"/>
            <w:shd w:val="clear" w:color="auto" w:fill="D0EBF2"/>
          </w:tcPr>
          <w:p>
            <w:pPr>
              <w:jc w:val="right"/>
              <w:spacing w:after="0"/>
              <w:rPr>
                <w:sz w:val="20"/>
                <w:szCs w:val="20"/>
                <w:color w:val="auto"/>
              </w:rPr>
            </w:pPr>
            <w:r>
              <w:rPr>
                <w:rFonts w:ascii="Times New Roman" w:cs="Times New Roman" w:eastAsia="Times New Roman" w:hAnsi="Times New Roman"/>
                <w:sz w:val="19"/>
                <w:szCs w:val="19"/>
                <w:color w:val="231F20"/>
              </w:rPr>
              <w:t>6,946</w:t>
            </w:r>
          </w:p>
        </w:tc>
        <w:tc>
          <w:tcPr>
            <w:tcW w:w="280" w:type="dxa"/>
            <w:vAlign w:val="bottom"/>
            <w:shd w:val="clear" w:color="auto" w:fill="D0EBF2"/>
          </w:tcPr>
          <w:p>
            <w:pPr>
              <w:spacing w:after="0"/>
              <w:rPr>
                <w:sz w:val="20"/>
                <w:szCs w:val="20"/>
                <w:color w:val="auto"/>
              </w:rPr>
            </w:pPr>
          </w:p>
        </w:tc>
        <w:tc>
          <w:tcPr>
            <w:tcW w:w="440" w:type="dxa"/>
            <w:vAlign w:val="bottom"/>
            <w:shd w:val="clear" w:color="auto" w:fill="D0EBF2"/>
          </w:tcPr>
          <w:p>
            <w:pPr>
              <w:spacing w:after="0"/>
              <w:rPr>
                <w:sz w:val="20"/>
                <w:szCs w:val="20"/>
                <w:color w:val="auto"/>
              </w:rPr>
            </w:pPr>
          </w:p>
        </w:tc>
        <w:tc>
          <w:tcPr>
            <w:tcW w:w="980" w:type="dxa"/>
            <w:vAlign w:val="bottom"/>
            <w:shd w:val="clear" w:color="auto" w:fill="D0EBF2"/>
          </w:tcPr>
          <w:p>
            <w:pPr>
              <w:jc w:val="right"/>
              <w:spacing w:after="0"/>
              <w:rPr>
                <w:sz w:val="20"/>
                <w:szCs w:val="20"/>
                <w:color w:val="auto"/>
              </w:rPr>
            </w:pPr>
            <w:r>
              <w:rPr>
                <w:rFonts w:ascii="Times New Roman" w:cs="Times New Roman" w:eastAsia="Times New Roman" w:hAnsi="Times New Roman"/>
                <w:sz w:val="19"/>
                <w:szCs w:val="19"/>
                <w:color w:val="231F20"/>
              </w:rPr>
              <w:t>7,071</w:t>
            </w:r>
          </w:p>
        </w:tc>
        <w:tc>
          <w:tcPr>
            <w:tcW w:w="80" w:type="dxa"/>
            <w:vAlign w:val="bottom"/>
            <w:shd w:val="clear" w:color="auto" w:fill="D0EBF2"/>
          </w:tcPr>
          <w:p>
            <w:pPr>
              <w:spacing w:after="0"/>
              <w:rPr>
                <w:sz w:val="20"/>
                <w:szCs w:val="20"/>
                <w:color w:val="auto"/>
              </w:rPr>
            </w:pPr>
          </w:p>
        </w:tc>
      </w:tr>
      <w:tr>
        <w:trPr>
          <w:trHeight w:val="230"/>
        </w:trPr>
        <w:tc>
          <w:tcPr>
            <w:tcW w:w="5700" w:type="dxa"/>
            <w:vAlign w:val="bottom"/>
            <w:shd w:val="clear" w:color="auto" w:fill="FDFDFC"/>
          </w:tcPr>
          <w:p>
            <w:pPr>
              <w:spacing w:after="0"/>
              <w:rPr>
                <w:sz w:val="20"/>
                <w:szCs w:val="20"/>
                <w:color w:val="auto"/>
              </w:rPr>
            </w:pPr>
            <w:r>
              <w:rPr>
                <w:rFonts w:ascii="Times New Roman" w:cs="Times New Roman" w:eastAsia="Times New Roman" w:hAnsi="Times New Roman"/>
                <w:sz w:val="19"/>
                <w:szCs w:val="19"/>
                <w:color w:val="231F20"/>
              </w:rPr>
              <w:t>SL Buyer Corp. - Delayed Draw</w:t>
            </w:r>
          </w:p>
        </w:tc>
        <w:tc>
          <w:tcPr>
            <w:tcW w:w="420" w:type="dxa"/>
            <w:vAlign w:val="bottom"/>
            <w:shd w:val="clear" w:color="auto" w:fill="FDFDFC"/>
          </w:tcPr>
          <w:p>
            <w:pPr>
              <w:spacing w:after="0"/>
              <w:rPr>
                <w:sz w:val="20"/>
                <w:szCs w:val="20"/>
                <w:color w:val="auto"/>
              </w:rPr>
            </w:pPr>
          </w:p>
        </w:tc>
        <w:tc>
          <w:tcPr>
            <w:tcW w:w="980" w:type="dxa"/>
            <w:vAlign w:val="bottom"/>
            <w:shd w:val="clear" w:color="auto" w:fill="FDFDFC"/>
          </w:tcPr>
          <w:p>
            <w:pPr>
              <w:jc w:val="right"/>
              <w:spacing w:after="0"/>
              <w:rPr>
                <w:sz w:val="20"/>
                <w:szCs w:val="20"/>
                <w:color w:val="auto"/>
              </w:rPr>
            </w:pPr>
            <w:r>
              <w:rPr>
                <w:rFonts w:ascii="Times New Roman" w:cs="Times New Roman" w:eastAsia="Times New Roman" w:hAnsi="Times New Roman"/>
                <w:sz w:val="19"/>
                <w:szCs w:val="19"/>
                <w:color w:val="231F20"/>
              </w:rPr>
              <w:t>11,234</w:t>
            </w:r>
          </w:p>
        </w:tc>
        <w:tc>
          <w:tcPr>
            <w:tcW w:w="280" w:type="dxa"/>
            <w:vAlign w:val="bottom"/>
            <w:shd w:val="clear" w:color="auto" w:fill="FDFDFC"/>
          </w:tcPr>
          <w:p>
            <w:pPr>
              <w:spacing w:after="0"/>
              <w:rPr>
                <w:sz w:val="20"/>
                <w:szCs w:val="20"/>
                <w:color w:val="auto"/>
              </w:rPr>
            </w:pPr>
          </w:p>
        </w:tc>
        <w:tc>
          <w:tcPr>
            <w:tcW w:w="440" w:type="dxa"/>
            <w:vAlign w:val="bottom"/>
            <w:shd w:val="clear" w:color="auto" w:fill="FDFDFC"/>
          </w:tcPr>
          <w:p>
            <w:pPr>
              <w:spacing w:after="0"/>
              <w:rPr>
                <w:sz w:val="20"/>
                <w:szCs w:val="20"/>
                <w:color w:val="auto"/>
              </w:rPr>
            </w:pPr>
          </w:p>
        </w:tc>
        <w:tc>
          <w:tcPr>
            <w:tcW w:w="980" w:type="dxa"/>
            <w:vAlign w:val="bottom"/>
            <w:shd w:val="clear" w:color="auto" w:fill="FDFDFC"/>
          </w:tcPr>
          <w:p>
            <w:pPr>
              <w:jc w:val="right"/>
              <w:spacing w:after="0"/>
              <w:rPr>
                <w:sz w:val="20"/>
                <w:szCs w:val="20"/>
                <w:color w:val="auto"/>
              </w:rPr>
            </w:pPr>
            <w:r>
              <w:rPr>
                <w:rFonts w:ascii="Times New Roman" w:cs="Times New Roman" w:eastAsia="Times New Roman" w:hAnsi="Times New Roman"/>
                <w:sz w:val="19"/>
                <w:szCs w:val="19"/>
                <w:color w:val="231F20"/>
              </w:rPr>
              <w:t>13,175</w:t>
            </w:r>
          </w:p>
        </w:tc>
        <w:tc>
          <w:tcPr>
            <w:tcW w:w="80" w:type="dxa"/>
            <w:vAlign w:val="bottom"/>
            <w:shd w:val="clear" w:color="auto" w:fill="FDFDFC"/>
          </w:tcPr>
          <w:p>
            <w:pPr>
              <w:spacing w:after="0"/>
              <w:rPr>
                <w:sz w:val="20"/>
                <w:szCs w:val="20"/>
                <w:color w:val="auto"/>
              </w:rPr>
            </w:pPr>
          </w:p>
        </w:tc>
      </w:tr>
      <w:tr>
        <w:trPr>
          <w:trHeight w:val="230"/>
        </w:trPr>
        <w:tc>
          <w:tcPr>
            <w:tcW w:w="5700" w:type="dxa"/>
            <w:vAlign w:val="bottom"/>
            <w:shd w:val="clear" w:color="auto" w:fill="D0EBF2"/>
          </w:tcPr>
          <w:p>
            <w:pPr>
              <w:spacing w:after="0"/>
              <w:rPr>
                <w:sz w:val="20"/>
                <w:szCs w:val="20"/>
                <w:color w:val="auto"/>
              </w:rPr>
            </w:pPr>
            <w:r>
              <w:rPr>
                <w:rFonts w:ascii="Times New Roman" w:cs="Times New Roman" w:eastAsia="Times New Roman" w:hAnsi="Times New Roman"/>
                <w:sz w:val="19"/>
                <w:szCs w:val="19"/>
                <w:color w:val="231F20"/>
              </w:rPr>
              <w:t>SMA Technologies Holdings, LLC - Revolver</w:t>
            </w:r>
          </w:p>
        </w:tc>
        <w:tc>
          <w:tcPr>
            <w:tcW w:w="420" w:type="dxa"/>
            <w:vAlign w:val="bottom"/>
            <w:shd w:val="clear" w:color="auto" w:fill="D0EBF2"/>
          </w:tcPr>
          <w:p>
            <w:pPr>
              <w:spacing w:after="0"/>
              <w:rPr>
                <w:sz w:val="20"/>
                <w:szCs w:val="20"/>
                <w:color w:val="auto"/>
              </w:rPr>
            </w:pPr>
          </w:p>
        </w:tc>
        <w:tc>
          <w:tcPr>
            <w:tcW w:w="980" w:type="dxa"/>
            <w:vAlign w:val="bottom"/>
            <w:shd w:val="clear" w:color="auto" w:fill="D0EBF2"/>
          </w:tcPr>
          <w:p>
            <w:pPr>
              <w:jc w:val="right"/>
              <w:spacing w:after="0"/>
              <w:rPr>
                <w:sz w:val="20"/>
                <w:szCs w:val="20"/>
                <w:color w:val="auto"/>
              </w:rPr>
            </w:pPr>
            <w:r>
              <w:rPr>
                <w:rFonts w:ascii="Times New Roman" w:cs="Times New Roman" w:eastAsia="Times New Roman" w:hAnsi="Times New Roman"/>
                <w:sz w:val="19"/>
                <w:szCs w:val="19"/>
                <w:color w:val="231F20"/>
              </w:rPr>
              <w:t>1,009</w:t>
            </w:r>
          </w:p>
        </w:tc>
        <w:tc>
          <w:tcPr>
            <w:tcW w:w="280" w:type="dxa"/>
            <w:vAlign w:val="bottom"/>
            <w:shd w:val="clear" w:color="auto" w:fill="D0EBF2"/>
          </w:tcPr>
          <w:p>
            <w:pPr>
              <w:spacing w:after="0"/>
              <w:rPr>
                <w:sz w:val="20"/>
                <w:szCs w:val="20"/>
                <w:color w:val="auto"/>
              </w:rPr>
            </w:pPr>
          </w:p>
        </w:tc>
        <w:tc>
          <w:tcPr>
            <w:tcW w:w="440" w:type="dxa"/>
            <w:vAlign w:val="bottom"/>
            <w:shd w:val="clear" w:color="auto" w:fill="D0EBF2"/>
          </w:tcPr>
          <w:p>
            <w:pPr>
              <w:spacing w:after="0"/>
              <w:rPr>
                <w:sz w:val="20"/>
                <w:szCs w:val="20"/>
                <w:color w:val="auto"/>
              </w:rPr>
            </w:pPr>
          </w:p>
        </w:tc>
        <w:tc>
          <w:tcPr>
            <w:tcW w:w="1060" w:type="dxa"/>
            <w:vAlign w:val="bottom"/>
            <w:gridSpan w:val="2"/>
            <w:shd w:val="clear" w:color="auto" w:fill="D0EBF2"/>
          </w:tcPr>
          <w:p>
            <w:pPr>
              <w:jc w:val="right"/>
              <w:ind w:right="120"/>
              <w:spacing w:after="0"/>
              <w:rPr>
                <w:sz w:val="20"/>
                <w:szCs w:val="20"/>
                <w:color w:val="auto"/>
              </w:rPr>
            </w:pPr>
            <w:r>
              <w:rPr>
                <w:rFonts w:ascii="Times New Roman" w:cs="Times New Roman" w:eastAsia="Times New Roman" w:hAnsi="Times New Roman"/>
                <w:sz w:val="19"/>
                <w:szCs w:val="19"/>
                <w:color w:val="231F20"/>
              </w:rPr>
              <w:t>—</w:t>
            </w:r>
          </w:p>
        </w:tc>
      </w:tr>
      <w:tr>
        <w:trPr>
          <w:trHeight w:val="230"/>
        </w:trPr>
        <w:tc>
          <w:tcPr>
            <w:tcW w:w="5700" w:type="dxa"/>
            <w:vAlign w:val="bottom"/>
            <w:shd w:val="clear" w:color="auto" w:fill="FDFDFC"/>
          </w:tcPr>
          <w:p>
            <w:pPr>
              <w:spacing w:after="0"/>
              <w:rPr>
                <w:sz w:val="20"/>
                <w:szCs w:val="20"/>
                <w:color w:val="auto"/>
              </w:rPr>
            </w:pPr>
            <w:r>
              <w:rPr>
                <w:rFonts w:ascii="Times New Roman" w:cs="Times New Roman" w:eastAsia="Times New Roman" w:hAnsi="Times New Roman"/>
                <w:sz w:val="19"/>
                <w:szCs w:val="19"/>
                <w:color w:val="231F20"/>
              </w:rPr>
              <w:t>Sport Alliance GmbH - Revolver</w:t>
            </w:r>
          </w:p>
        </w:tc>
        <w:tc>
          <w:tcPr>
            <w:tcW w:w="420" w:type="dxa"/>
            <w:vAlign w:val="bottom"/>
            <w:shd w:val="clear" w:color="auto" w:fill="FDFDFC"/>
          </w:tcPr>
          <w:p>
            <w:pPr>
              <w:spacing w:after="0"/>
              <w:rPr>
                <w:sz w:val="20"/>
                <w:szCs w:val="20"/>
                <w:color w:val="auto"/>
              </w:rPr>
            </w:pPr>
          </w:p>
        </w:tc>
        <w:tc>
          <w:tcPr>
            <w:tcW w:w="980" w:type="dxa"/>
            <w:vAlign w:val="bottom"/>
            <w:shd w:val="clear" w:color="auto" w:fill="FDFDFC"/>
          </w:tcPr>
          <w:p>
            <w:pPr>
              <w:jc w:val="right"/>
              <w:spacing w:after="0"/>
              <w:rPr>
                <w:sz w:val="20"/>
                <w:szCs w:val="20"/>
                <w:color w:val="auto"/>
              </w:rPr>
            </w:pPr>
            <w:r>
              <w:rPr>
                <w:rFonts w:ascii="Times New Roman" w:cs="Times New Roman" w:eastAsia="Times New Roman" w:hAnsi="Times New Roman"/>
                <w:sz w:val="19"/>
                <w:szCs w:val="19"/>
                <w:color w:val="231F20"/>
              </w:rPr>
              <w:t>647</w:t>
            </w:r>
          </w:p>
        </w:tc>
        <w:tc>
          <w:tcPr>
            <w:tcW w:w="280" w:type="dxa"/>
            <w:vAlign w:val="bottom"/>
            <w:shd w:val="clear" w:color="auto" w:fill="FDFDFC"/>
          </w:tcPr>
          <w:p>
            <w:pPr>
              <w:spacing w:after="0"/>
              <w:rPr>
                <w:sz w:val="20"/>
                <w:szCs w:val="20"/>
                <w:color w:val="auto"/>
              </w:rPr>
            </w:pPr>
          </w:p>
        </w:tc>
        <w:tc>
          <w:tcPr>
            <w:tcW w:w="440" w:type="dxa"/>
            <w:vAlign w:val="bottom"/>
            <w:shd w:val="clear" w:color="auto" w:fill="FDFDFC"/>
          </w:tcPr>
          <w:p>
            <w:pPr>
              <w:spacing w:after="0"/>
              <w:rPr>
                <w:sz w:val="20"/>
                <w:szCs w:val="20"/>
                <w:color w:val="auto"/>
              </w:rPr>
            </w:pPr>
          </w:p>
        </w:tc>
        <w:tc>
          <w:tcPr>
            <w:tcW w:w="1060" w:type="dxa"/>
            <w:vAlign w:val="bottom"/>
            <w:gridSpan w:val="2"/>
            <w:shd w:val="clear" w:color="auto" w:fill="FDFDFC"/>
          </w:tcPr>
          <w:p>
            <w:pPr>
              <w:jc w:val="right"/>
              <w:ind w:right="120"/>
              <w:spacing w:after="0"/>
              <w:rPr>
                <w:sz w:val="20"/>
                <w:szCs w:val="20"/>
                <w:color w:val="auto"/>
              </w:rPr>
            </w:pPr>
            <w:r>
              <w:rPr>
                <w:rFonts w:ascii="Times New Roman" w:cs="Times New Roman" w:eastAsia="Times New Roman" w:hAnsi="Times New Roman"/>
                <w:sz w:val="19"/>
                <w:szCs w:val="19"/>
                <w:color w:val="231F20"/>
              </w:rPr>
              <w:t>—</w:t>
            </w:r>
          </w:p>
        </w:tc>
      </w:tr>
      <w:tr>
        <w:trPr>
          <w:trHeight w:val="230"/>
        </w:trPr>
        <w:tc>
          <w:tcPr>
            <w:tcW w:w="5700" w:type="dxa"/>
            <w:vAlign w:val="bottom"/>
            <w:shd w:val="clear" w:color="auto" w:fill="D0EBF2"/>
          </w:tcPr>
          <w:p>
            <w:pPr>
              <w:spacing w:after="0"/>
              <w:rPr>
                <w:sz w:val="20"/>
                <w:szCs w:val="20"/>
                <w:color w:val="auto"/>
              </w:rPr>
            </w:pPr>
            <w:r>
              <w:rPr>
                <w:rFonts w:ascii="Times New Roman" w:cs="Times New Roman" w:eastAsia="Times New Roman" w:hAnsi="Times New Roman"/>
                <w:sz w:val="19"/>
                <w:szCs w:val="19"/>
                <w:color w:val="231F20"/>
              </w:rPr>
              <w:t>Tango Management Consulting, LLC - Delayed Draw &amp; Revolver</w:t>
            </w:r>
          </w:p>
        </w:tc>
        <w:tc>
          <w:tcPr>
            <w:tcW w:w="420" w:type="dxa"/>
            <w:vAlign w:val="bottom"/>
            <w:shd w:val="clear" w:color="auto" w:fill="D0EBF2"/>
          </w:tcPr>
          <w:p>
            <w:pPr>
              <w:spacing w:after="0"/>
              <w:rPr>
                <w:sz w:val="20"/>
                <w:szCs w:val="20"/>
                <w:color w:val="auto"/>
              </w:rPr>
            </w:pPr>
          </w:p>
        </w:tc>
        <w:tc>
          <w:tcPr>
            <w:tcW w:w="980" w:type="dxa"/>
            <w:vAlign w:val="bottom"/>
            <w:shd w:val="clear" w:color="auto" w:fill="D0EBF2"/>
          </w:tcPr>
          <w:p>
            <w:pPr>
              <w:jc w:val="right"/>
              <w:spacing w:after="0"/>
              <w:rPr>
                <w:sz w:val="20"/>
                <w:szCs w:val="20"/>
                <w:color w:val="auto"/>
              </w:rPr>
            </w:pPr>
            <w:r>
              <w:rPr>
                <w:rFonts w:ascii="Times New Roman" w:cs="Times New Roman" w:eastAsia="Times New Roman" w:hAnsi="Times New Roman"/>
                <w:sz w:val="19"/>
                <w:szCs w:val="19"/>
                <w:color w:val="231F20"/>
              </w:rPr>
              <w:t>1,479</w:t>
            </w:r>
          </w:p>
        </w:tc>
        <w:tc>
          <w:tcPr>
            <w:tcW w:w="280" w:type="dxa"/>
            <w:vAlign w:val="bottom"/>
            <w:shd w:val="clear" w:color="auto" w:fill="D0EBF2"/>
          </w:tcPr>
          <w:p>
            <w:pPr>
              <w:spacing w:after="0"/>
              <w:rPr>
                <w:sz w:val="20"/>
                <w:szCs w:val="20"/>
                <w:color w:val="auto"/>
              </w:rPr>
            </w:pPr>
          </w:p>
        </w:tc>
        <w:tc>
          <w:tcPr>
            <w:tcW w:w="440" w:type="dxa"/>
            <w:vAlign w:val="bottom"/>
            <w:shd w:val="clear" w:color="auto" w:fill="D0EBF2"/>
          </w:tcPr>
          <w:p>
            <w:pPr>
              <w:spacing w:after="0"/>
              <w:rPr>
                <w:sz w:val="20"/>
                <w:szCs w:val="20"/>
                <w:color w:val="auto"/>
              </w:rPr>
            </w:pPr>
          </w:p>
        </w:tc>
        <w:tc>
          <w:tcPr>
            <w:tcW w:w="980" w:type="dxa"/>
            <w:vAlign w:val="bottom"/>
            <w:shd w:val="clear" w:color="auto" w:fill="D0EBF2"/>
          </w:tcPr>
          <w:p>
            <w:pPr>
              <w:jc w:val="right"/>
              <w:spacing w:after="0"/>
              <w:rPr>
                <w:sz w:val="20"/>
                <w:szCs w:val="20"/>
                <w:color w:val="auto"/>
              </w:rPr>
            </w:pPr>
            <w:r>
              <w:rPr>
                <w:rFonts w:ascii="Times New Roman" w:cs="Times New Roman" w:eastAsia="Times New Roman" w:hAnsi="Times New Roman"/>
                <w:sz w:val="19"/>
                <w:szCs w:val="19"/>
                <w:color w:val="231F20"/>
              </w:rPr>
              <w:t>11,043</w:t>
            </w:r>
          </w:p>
        </w:tc>
        <w:tc>
          <w:tcPr>
            <w:tcW w:w="80" w:type="dxa"/>
            <w:vAlign w:val="bottom"/>
            <w:shd w:val="clear" w:color="auto" w:fill="D0EBF2"/>
          </w:tcPr>
          <w:p>
            <w:pPr>
              <w:spacing w:after="0"/>
              <w:rPr>
                <w:sz w:val="20"/>
                <w:szCs w:val="20"/>
                <w:color w:val="auto"/>
              </w:rPr>
            </w:pPr>
          </w:p>
        </w:tc>
      </w:tr>
      <w:tr>
        <w:trPr>
          <w:trHeight w:val="230"/>
        </w:trPr>
        <w:tc>
          <w:tcPr>
            <w:tcW w:w="5700" w:type="dxa"/>
            <w:vAlign w:val="bottom"/>
            <w:shd w:val="clear" w:color="auto" w:fill="FDFDFC"/>
          </w:tcPr>
          <w:p>
            <w:pPr>
              <w:spacing w:after="0"/>
              <w:rPr>
                <w:sz w:val="20"/>
                <w:szCs w:val="20"/>
                <w:color w:val="auto"/>
              </w:rPr>
            </w:pPr>
            <w:r>
              <w:rPr>
                <w:rFonts w:ascii="Times New Roman" w:cs="Times New Roman" w:eastAsia="Times New Roman" w:hAnsi="Times New Roman"/>
                <w:sz w:val="19"/>
                <w:szCs w:val="19"/>
                <w:color w:val="231F20"/>
              </w:rPr>
              <w:t>TradingScreen, Inc. - Revolver</w:t>
            </w:r>
          </w:p>
        </w:tc>
        <w:tc>
          <w:tcPr>
            <w:tcW w:w="420" w:type="dxa"/>
            <w:vAlign w:val="bottom"/>
            <w:shd w:val="clear" w:color="auto" w:fill="FDFDFC"/>
          </w:tcPr>
          <w:p>
            <w:pPr>
              <w:spacing w:after="0"/>
              <w:rPr>
                <w:sz w:val="20"/>
                <w:szCs w:val="20"/>
                <w:color w:val="auto"/>
              </w:rPr>
            </w:pPr>
          </w:p>
        </w:tc>
        <w:tc>
          <w:tcPr>
            <w:tcW w:w="980" w:type="dxa"/>
            <w:vAlign w:val="bottom"/>
            <w:shd w:val="clear" w:color="auto" w:fill="FDFDFC"/>
          </w:tcPr>
          <w:p>
            <w:pPr>
              <w:jc w:val="right"/>
              <w:spacing w:after="0"/>
              <w:rPr>
                <w:sz w:val="20"/>
                <w:szCs w:val="20"/>
                <w:color w:val="auto"/>
              </w:rPr>
            </w:pPr>
            <w:r>
              <w:rPr>
                <w:rFonts w:ascii="Times New Roman" w:cs="Times New Roman" w:eastAsia="Times New Roman" w:hAnsi="Times New Roman"/>
                <w:sz w:val="19"/>
                <w:szCs w:val="19"/>
                <w:color w:val="231F20"/>
              </w:rPr>
              <w:t>768</w:t>
            </w:r>
          </w:p>
        </w:tc>
        <w:tc>
          <w:tcPr>
            <w:tcW w:w="280" w:type="dxa"/>
            <w:vAlign w:val="bottom"/>
            <w:shd w:val="clear" w:color="auto" w:fill="FDFDFC"/>
          </w:tcPr>
          <w:p>
            <w:pPr>
              <w:spacing w:after="0"/>
              <w:rPr>
                <w:sz w:val="20"/>
                <w:szCs w:val="20"/>
                <w:color w:val="auto"/>
              </w:rPr>
            </w:pPr>
          </w:p>
        </w:tc>
        <w:tc>
          <w:tcPr>
            <w:tcW w:w="440" w:type="dxa"/>
            <w:vAlign w:val="bottom"/>
            <w:shd w:val="clear" w:color="auto" w:fill="FDFDFC"/>
          </w:tcPr>
          <w:p>
            <w:pPr>
              <w:spacing w:after="0"/>
              <w:rPr>
                <w:sz w:val="20"/>
                <w:szCs w:val="20"/>
                <w:color w:val="auto"/>
              </w:rPr>
            </w:pPr>
          </w:p>
        </w:tc>
        <w:tc>
          <w:tcPr>
            <w:tcW w:w="1060" w:type="dxa"/>
            <w:vAlign w:val="bottom"/>
            <w:gridSpan w:val="2"/>
            <w:shd w:val="clear" w:color="auto" w:fill="FDFDFC"/>
          </w:tcPr>
          <w:p>
            <w:pPr>
              <w:jc w:val="right"/>
              <w:ind w:right="120"/>
              <w:spacing w:after="0"/>
              <w:rPr>
                <w:sz w:val="20"/>
                <w:szCs w:val="20"/>
                <w:color w:val="auto"/>
              </w:rPr>
            </w:pPr>
            <w:r>
              <w:rPr>
                <w:rFonts w:ascii="Times New Roman" w:cs="Times New Roman" w:eastAsia="Times New Roman" w:hAnsi="Times New Roman"/>
                <w:sz w:val="19"/>
                <w:szCs w:val="19"/>
                <w:color w:val="231F20"/>
              </w:rPr>
              <w:t>—</w:t>
            </w:r>
          </w:p>
        </w:tc>
      </w:tr>
      <w:tr>
        <w:trPr>
          <w:trHeight w:val="230"/>
        </w:trPr>
        <w:tc>
          <w:tcPr>
            <w:tcW w:w="5700" w:type="dxa"/>
            <w:vAlign w:val="bottom"/>
            <w:shd w:val="clear" w:color="auto" w:fill="D0EBF2"/>
          </w:tcPr>
          <w:p>
            <w:pPr>
              <w:spacing w:after="0"/>
              <w:rPr>
                <w:sz w:val="20"/>
                <w:szCs w:val="20"/>
                <w:color w:val="auto"/>
              </w:rPr>
            </w:pPr>
            <w:r>
              <w:rPr>
                <w:rFonts w:ascii="Times New Roman" w:cs="Times New Roman" w:eastAsia="Times New Roman" w:hAnsi="Times New Roman"/>
                <w:sz w:val="19"/>
                <w:szCs w:val="19"/>
                <w:color w:val="231F20"/>
              </w:rPr>
              <w:t>TRP Assets, LLC - Delayed Draw</w:t>
            </w:r>
          </w:p>
        </w:tc>
        <w:tc>
          <w:tcPr>
            <w:tcW w:w="420" w:type="dxa"/>
            <w:vAlign w:val="bottom"/>
            <w:shd w:val="clear" w:color="auto" w:fill="D0EBF2"/>
          </w:tcPr>
          <w:p>
            <w:pPr>
              <w:spacing w:after="0"/>
              <w:rPr>
                <w:sz w:val="20"/>
                <w:szCs w:val="20"/>
                <w:color w:val="auto"/>
              </w:rPr>
            </w:pPr>
          </w:p>
        </w:tc>
        <w:tc>
          <w:tcPr>
            <w:tcW w:w="980" w:type="dxa"/>
            <w:vAlign w:val="bottom"/>
            <w:shd w:val="clear" w:color="auto" w:fill="D0EBF2"/>
          </w:tcPr>
          <w:p>
            <w:pPr>
              <w:jc w:val="right"/>
              <w:spacing w:after="0"/>
              <w:rPr>
                <w:sz w:val="20"/>
                <w:szCs w:val="20"/>
                <w:color w:val="auto"/>
              </w:rPr>
            </w:pPr>
            <w:r>
              <w:rPr>
                <w:rFonts w:ascii="Times New Roman" w:cs="Times New Roman" w:eastAsia="Times New Roman" w:hAnsi="Times New Roman"/>
                <w:sz w:val="19"/>
                <w:szCs w:val="19"/>
                <w:color w:val="231F20"/>
              </w:rPr>
              <w:t>10,166</w:t>
            </w:r>
          </w:p>
        </w:tc>
        <w:tc>
          <w:tcPr>
            <w:tcW w:w="280" w:type="dxa"/>
            <w:vAlign w:val="bottom"/>
            <w:shd w:val="clear" w:color="auto" w:fill="D0EBF2"/>
          </w:tcPr>
          <w:p>
            <w:pPr>
              <w:spacing w:after="0"/>
              <w:rPr>
                <w:sz w:val="20"/>
                <w:szCs w:val="20"/>
                <w:color w:val="auto"/>
              </w:rPr>
            </w:pPr>
          </w:p>
        </w:tc>
        <w:tc>
          <w:tcPr>
            <w:tcW w:w="440" w:type="dxa"/>
            <w:vAlign w:val="bottom"/>
            <w:shd w:val="clear" w:color="auto" w:fill="D0EBF2"/>
          </w:tcPr>
          <w:p>
            <w:pPr>
              <w:spacing w:after="0"/>
              <w:rPr>
                <w:sz w:val="20"/>
                <w:szCs w:val="20"/>
                <w:color w:val="auto"/>
              </w:rPr>
            </w:pPr>
          </w:p>
        </w:tc>
        <w:tc>
          <w:tcPr>
            <w:tcW w:w="980" w:type="dxa"/>
            <w:vAlign w:val="bottom"/>
            <w:shd w:val="clear" w:color="auto" w:fill="D0EBF2"/>
          </w:tcPr>
          <w:p>
            <w:pPr>
              <w:jc w:val="right"/>
              <w:spacing w:after="0"/>
              <w:rPr>
                <w:sz w:val="20"/>
                <w:szCs w:val="20"/>
                <w:color w:val="auto"/>
              </w:rPr>
            </w:pPr>
            <w:r>
              <w:rPr>
                <w:rFonts w:ascii="Times New Roman" w:cs="Times New Roman" w:eastAsia="Times New Roman" w:hAnsi="Times New Roman"/>
                <w:sz w:val="19"/>
                <w:szCs w:val="19"/>
                <w:color w:val="231F20"/>
              </w:rPr>
              <w:t>1,000</w:t>
            </w:r>
          </w:p>
        </w:tc>
        <w:tc>
          <w:tcPr>
            <w:tcW w:w="80" w:type="dxa"/>
            <w:vAlign w:val="bottom"/>
            <w:shd w:val="clear" w:color="auto" w:fill="D0EBF2"/>
          </w:tcPr>
          <w:p>
            <w:pPr>
              <w:spacing w:after="0"/>
              <w:rPr>
                <w:sz w:val="20"/>
                <w:szCs w:val="20"/>
                <w:color w:val="auto"/>
              </w:rPr>
            </w:pPr>
          </w:p>
        </w:tc>
      </w:tr>
      <w:tr>
        <w:trPr>
          <w:trHeight w:val="230"/>
        </w:trPr>
        <w:tc>
          <w:tcPr>
            <w:tcW w:w="5700" w:type="dxa"/>
            <w:vAlign w:val="bottom"/>
            <w:shd w:val="clear" w:color="auto" w:fill="FDFDFC"/>
          </w:tcPr>
          <w:p>
            <w:pPr>
              <w:spacing w:after="0"/>
              <w:rPr>
                <w:sz w:val="20"/>
                <w:szCs w:val="20"/>
                <w:color w:val="auto"/>
              </w:rPr>
            </w:pPr>
            <w:r>
              <w:rPr>
                <w:rFonts w:ascii="Times New Roman" w:cs="Times New Roman" w:eastAsia="Times New Roman" w:hAnsi="Times New Roman"/>
                <w:sz w:val="19"/>
                <w:szCs w:val="19"/>
                <w:color w:val="231F20"/>
              </w:rPr>
              <w:t>Truck-Lite Co., LLC - Delayed Draw &amp; Revolver</w:t>
            </w:r>
          </w:p>
        </w:tc>
        <w:tc>
          <w:tcPr>
            <w:tcW w:w="420" w:type="dxa"/>
            <w:vAlign w:val="bottom"/>
            <w:shd w:val="clear" w:color="auto" w:fill="FDFDFC"/>
          </w:tcPr>
          <w:p>
            <w:pPr>
              <w:spacing w:after="0"/>
              <w:rPr>
                <w:sz w:val="20"/>
                <w:szCs w:val="20"/>
                <w:color w:val="auto"/>
              </w:rPr>
            </w:pPr>
          </w:p>
        </w:tc>
        <w:tc>
          <w:tcPr>
            <w:tcW w:w="980" w:type="dxa"/>
            <w:vAlign w:val="bottom"/>
            <w:shd w:val="clear" w:color="auto" w:fill="FDFDFC"/>
          </w:tcPr>
          <w:p>
            <w:pPr>
              <w:jc w:val="right"/>
              <w:spacing w:after="0"/>
              <w:rPr>
                <w:sz w:val="20"/>
                <w:szCs w:val="20"/>
                <w:color w:val="auto"/>
              </w:rPr>
            </w:pPr>
            <w:r>
              <w:rPr>
                <w:rFonts w:ascii="Times New Roman" w:cs="Times New Roman" w:eastAsia="Times New Roman" w:hAnsi="Times New Roman"/>
                <w:sz w:val="19"/>
                <w:szCs w:val="19"/>
                <w:color w:val="231F20"/>
              </w:rPr>
              <w:t>8,743</w:t>
            </w:r>
          </w:p>
        </w:tc>
        <w:tc>
          <w:tcPr>
            <w:tcW w:w="280" w:type="dxa"/>
            <w:vAlign w:val="bottom"/>
            <w:shd w:val="clear" w:color="auto" w:fill="FDFDFC"/>
          </w:tcPr>
          <w:p>
            <w:pPr>
              <w:spacing w:after="0"/>
              <w:rPr>
                <w:sz w:val="20"/>
                <w:szCs w:val="20"/>
                <w:color w:val="auto"/>
              </w:rPr>
            </w:pPr>
          </w:p>
        </w:tc>
        <w:tc>
          <w:tcPr>
            <w:tcW w:w="440" w:type="dxa"/>
            <w:vAlign w:val="bottom"/>
            <w:shd w:val="clear" w:color="auto" w:fill="FDFDFC"/>
          </w:tcPr>
          <w:p>
            <w:pPr>
              <w:spacing w:after="0"/>
              <w:rPr>
                <w:sz w:val="20"/>
                <w:szCs w:val="20"/>
                <w:color w:val="auto"/>
              </w:rPr>
            </w:pPr>
          </w:p>
        </w:tc>
        <w:tc>
          <w:tcPr>
            <w:tcW w:w="1060" w:type="dxa"/>
            <w:vAlign w:val="bottom"/>
            <w:gridSpan w:val="2"/>
            <w:shd w:val="clear" w:color="auto" w:fill="FDFDFC"/>
          </w:tcPr>
          <w:p>
            <w:pPr>
              <w:jc w:val="right"/>
              <w:ind w:right="120"/>
              <w:spacing w:after="0"/>
              <w:rPr>
                <w:sz w:val="20"/>
                <w:szCs w:val="20"/>
                <w:color w:val="auto"/>
              </w:rPr>
            </w:pPr>
            <w:r>
              <w:rPr>
                <w:rFonts w:ascii="Times New Roman" w:cs="Times New Roman" w:eastAsia="Times New Roman" w:hAnsi="Times New Roman"/>
                <w:sz w:val="19"/>
                <w:szCs w:val="19"/>
                <w:color w:val="231F20"/>
              </w:rPr>
              <w:t>—</w:t>
            </w:r>
          </w:p>
        </w:tc>
      </w:tr>
      <w:tr>
        <w:trPr>
          <w:trHeight w:val="230"/>
        </w:trPr>
        <w:tc>
          <w:tcPr>
            <w:tcW w:w="5700" w:type="dxa"/>
            <w:vAlign w:val="bottom"/>
            <w:shd w:val="clear" w:color="auto" w:fill="D0EBF2"/>
          </w:tcPr>
          <w:p>
            <w:pPr>
              <w:spacing w:after="0"/>
              <w:rPr>
                <w:sz w:val="20"/>
                <w:szCs w:val="20"/>
                <w:color w:val="auto"/>
              </w:rPr>
            </w:pPr>
            <w:r>
              <w:rPr>
                <w:rFonts w:ascii="Times New Roman" w:cs="Times New Roman" w:eastAsia="Times New Roman" w:hAnsi="Times New Roman"/>
                <w:sz w:val="19"/>
                <w:szCs w:val="19"/>
                <w:color w:val="231F20"/>
              </w:rPr>
              <w:t>USA Debusk LLC - Delayed Draw &amp; Revolver</w:t>
            </w:r>
          </w:p>
        </w:tc>
        <w:tc>
          <w:tcPr>
            <w:tcW w:w="420" w:type="dxa"/>
            <w:vAlign w:val="bottom"/>
            <w:shd w:val="clear" w:color="auto" w:fill="D0EBF2"/>
          </w:tcPr>
          <w:p>
            <w:pPr>
              <w:spacing w:after="0"/>
              <w:rPr>
                <w:sz w:val="20"/>
                <w:szCs w:val="20"/>
                <w:color w:val="auto"/>
              </w:rPr>
            </w:pPr>
          </w:p>
        </w:tc>
        <w:tc>
          <w:tcPr>
            <w:tcW w:w="980" w:type="dxa"/>
            <w:vAlign w:val="bottom"/>
            <w:shd w:val="clear" w:color="auto" w:fill="D0EBF2"/>
          </w:tcPr>
          <w:p>
            <w:pPr>
              <w:jc w:val="right"/>
              <w:spacing w:after="0"/>
              <w:rPr>
                <w:sz w:val="20"/>
                <w:szCs w:val="20"/>
                <w:color w:val="auto"/>
              </w:rPr>
            </w:pPr>
            <w:r>
              <w:rPr>
                <w:rFonts w:ascii="Times New Roman" w:cs="Times New Roman" w:eastAsia="Times New Roman" w:hAnsi="Times New Roman"/>
                <w:sz w:val="19"/>
                <w:szCs w:val="19"/>
                <w:color w:val="231F20"/>
              </w:rPr>
              <w:t>2,809</w:t>
            </w:r>
          </w:p>
        </w:tc>
        <w:tc>
          <w:tcPr>
            <w:tcW w:w="280" w:type="dxa"/>
            <w:vAlign w:val="bottom"/>
            <w:shd w:val="clear" w:color="auto" w:fill="D0EBF2"/>
          </w:tcPr>
          <w:p>
            <w:pPr>
              <w:spacing w:after="0"/>
              <w:rPr>
                <w:sz w:val="20"/>
                <w:szCs w:val="20"/>
                <w:color w:val="auto"/>
              </w:rPr>
            </w:pPr>
          </w:p>
        </w:tc>
        <w:tc>
          <w:tcPr>
            <w:tcW w:w="440" w:type="dxa"/>
            <w:vAlign w:val="bottom"/>
            <w:shd w:val="clear" w:color="auto" w:fill="D0EBF2"/>
          </w:tcPr>
          <w:p>
            <w:pPr>
              <w:spacing w:after="0"/>
              <w:rPr>
                <w:sz w:val="20"/>
                <w:szCs w:val="20"/>
                <w:color w:val="auto"/>
              </w:rPr>
            </w:pPr>
          </w:p>
        </w:tc>
        <w:tc>
          <w:tcPr>
            <w:tcW w:w="1060" w:type="dxa"/>
            <w:vAlign w:val="bottom"/>
            <w:gridSpan w:val="2"/>
            <w:shd w:val="clear" w:color="auto" w:fill="D0EBF2"/>
          </w:tcPr>
          <w:p>
            <w:pPr>
              <w:jc w:val="right"/>
              <w:ind w:right="120"/>
              <w:spacing w:after="0"/>
              <w:rPr>
                <w:sz w:val="20"/>
                <w:szCs w:val="20"/>
                <w:color w:val="auto"/>
              </w:rPr>
            </w:pPr>
            <w:r>
              <w:rPr>
                <w:rFonts w:ascii="Times New Roman" w:cs="Times New Roman" w:eastAsia="Times New Roman" w:hAnsi="Times New Roman"/>
                <w:sz w:val="19"/>
                <w:szCs w:val="19"/>
                <w:color w:val="231F20"/>
              </w:rPr>
              <w:t>—</w:t>
            </w:r>
          </w:p>
        </w:tc>
      </w:tr>
      <w:tr>
        <w:trPr>
          <w:trHeight w:val="230"/>
        </w:trPr>
        <w:tc>
          <w:tcPr>
            <w:tcW w:w="5700" w:type="dxa"/>
            <w:vAlign w:val="bottom"/>
            <w:shd w:val="clear" w:color="auto" w:fill="FDFDFC"/>
          </w:tcPr>
          <w:p>
            <w:pPr>
              <w:spacing w:after="0"/>
              <w:rPr>
                <w:sz w:val="20"/>
                <w:szCs w:val="20"/>
                <w:color w:val="auto"/>
              </w:rPr>
            </w:pPr>
            <w:r>
              <w:rPr>
                <w:rFonts w:ascii="Times New Roman" w:cs="Times New Roman" w:eastAsia="Times New Roman" w:hAnsi="Times New Roman"/>
                <w:sz w:val="19"/>
                <w:szCs w:val="19"/>
                <w:color w:val="231F20"/>
              </w:rPr>
              <w:t>Varinem German Bidco GmbH - Delayed Draw</w:t>
            </w:r>
          </w:p>
        </w:tc>
        <w:tc>
          <w:tcPr>
            <w:tcW w:w="420" w:type="dxa"/>
            <w:vAlign w:val="bottom"/>
            <w:shd w:val="clear" w:color="auto" w:fill="FDFDFC"/>
          </w:tcPr>
          <w:p>
            <w:pPr>
              <w:spacing w:after="0"/>
              <w:rPr>
                <w:sz w:val="20"/>
                <w:szCs w:val="20"/>
                <w:color w:val="auto"/>
              </w:rPr>
            </w:pPr>
          </w:p>
        </w:tc>
        <w:tc>
          <w:tcPr>
            <w:tcW w:w="980" w:type="dxa"/>
            <w:vAlign w:val="bottom"/>
            <w:shd w:val="clear" w:color="auto" w:fill="FDFDFC"/>
          </w:tcPr>
          <w:p>
            <w:pPr>
              <w:jc w:val="right"/>
              <w:spacing w:after="0"/>
              <w:rPr>
                <w:sz w:val="20"/>
                <w:szCs w:val="20"/>
                <w:color w:val="auto"/>
              </w:rPr>
            </w:pPr>
            <w:r>
              <w:rPr>
                <w:rFonts w:ascii="Times New Roman" w:cs="Times New Roman" w:eastAsia="Times New Roman" w:hAnsi="Times New Roman"/>
                <w:sz w:val="19"/>
                <w:szCs w:val="19"/>
                <w:color w:val="231F20"/>
              </w:rPr>
              <w:t>3,553</w:t>
            </w:r>
          </w:p>
        </w:tc>
        <w:tc>
          <w:tcPr>
            <w:tcW w:w="280" w:type="dxa"/>
            <w:vAlign w:val="bottom"/>
            <w:shd w:val="clear" w:color="auto" w:fill="FDFDFC"/>
          </w:tcPr>
          <w:p>
            <w:pPr>
              <w:spacing w:after="0"/>
              <w:rPr>
                <w:sz w:val="20"/>
                <w:szCs w:val="20"/>
                <w:color w:val="auto"/>
              </w:rPr>
            </w:pPr>
          </w:p>
        </w:tc>
        <w:tc>
          <w:tcPr>
            <w:tcW w:w="440" w:type="dxa"/>
            <w:vAlign w:val="bottom"/>
            <w:shd w:val="clear" w:color="auto" w:fill="FDFDFC"/>
          </w:tcPr>
          <w:p>
            <w:pPr>
              <w:spacing w:after="0"/>
              <w:rPr>
                <w:sz w:val="20"/>
                <w:szCs w:val="20"/>
                <w:color w:val="auto"/>
              </w:rPr>
            </w:pPr>
          </w:p>
        </w:tc>
        <w:tc>
          <w:tcPr>
            <w:tcW w:w="1060" w:type="dxa"/>
            <w:vAlign w:val="bottom"/>
            <w:gridSpan w:val="2"/>
            <w:shd w:val="clear" w:color="auto" w:fill="FDFDFC"/>
          </w:tcPr>
          <w:p>
            <w:pPr>
              <w:jc w:val="right"/>
              <w:ind w:right="120"/>
              <w:spacing w:after="0"/>
              <w:rPr>
                <w:sz w:val="20"/>
                <w:szCs w:val="20"/>
                <w:color w:val="auto"/>
              </w:rPr>
            </w:pPr>
            <w:r>
              <w:rPr>
                <w:rFonts w:ascii="Times New Roman" w:cs="Times New Roman" w:eastAsia="Times New Roman" w:hAnsi="Times New Roman"/>
                <w:sz w:val="19"/>
                <w:szCs w:val="19"/>
                <w:color w:val="231F20"/>
              </w:rPr>
              <w:t>—</w:t>
            </w:r>
          </w:p>
        </w:tc>
      </w:tr>
      <w:tr>
        <w:trPr>
          <w:trHeight w:val="230"/>
        </w:trPr>
        <w:tc>
          <w:tcPr>
            <w:tcW w:w="5700" w:type="dxa"/>
            <w:vAlign w:val="bottom"/>
            <w:tcBorders>
              <w:bottom w:val="single" w:sz="8" w:color="FDFDFC"/>
            </w:tcBorders>
            <w:shd w:val="clear" w:color="auto" w:fill="D0EBF2"/>
          </w:tcPr>
          <w:p>
            <w:pPr>
              <w:spacing w:after="0"/>
              <w:rPr>
                <w:sz w:val="20"/>
                <w:szCs w:val="20"/>
                <w:color w:val="auto"/>
              </w:rPr>
            </w:pPr>
            <w:r>
              <w:rPr>
                <w:rFonts w:ascii="Times New Roman" w:cs="Times New Roman" w:eastAsia="Times New Roman" w:hAnsi="Times New Roman"/>
                <w:sz w:val="19"/>
                <w:szCs w:val="19"/>
                <w:color w:val="231F20"/>
              </w:rPr>
              <w:t>Wrangler Topco, LLC - Delayed Draw &amp; Revolver</w:t>
            </w:r>
          </w:p>
        </w:tc>
        <w:tc>
          <w:tcPr>
            <w:tcW w:w="420" w:type="dxa"/>
            <w:vAlign w:val="bottom"/>
            <w:tcBorders>
              <w:bottom w:val="single" w:sz="8" w:color="231F20"/>
            </w:tcBorders>
            <w:shd w:val="clear" w:color="auto" w:fill="D0EBF2"/>
          </w:tcPr>
          <w:p>
            <w:pPr>
              <w:spacing w:after="0"/>
              <w:rPr>
                <w:sz w:val="20"/>
                <w:szCs w:val="20"/>
                <w:color w:val="auto"/>
              </w:rPr>
            </w:pPr>
          </w:p>
        </w:tc>
        <w:tc>
          <w:tcPr>
            <w:tcW w:w="980" w:type="dxa"/>
            <w:vAlign w:val="bottom"/>
            <w:tcBorders>
              <w:bottom w:val="single" w:sz="8" w:color="231F20"/>
            </w:tcBorders>
            <w:shd w:val="clear" w:color="auto" w:fill="D0EBF2"/>
          </w:tcPr>
          <w:p>
            <w:pPr>
              <w:jc w:val="right"/>
              <w:spacing w:after="0"/>
              <w:rPr>
                <w:sz w:val="20"/>
                <w:szCs w:val="20"/>
                <w:color w:val="auto"/>
              </w:rPr>
            </w:pPr>
            <w:r>
              <w:rPr>
                <w:rFonts w:ascii="Times New Roman" w:cs="Times New Roman" w:eastAsia="Times New Roman" w:hAnsi="Times New Roman"/>
                <w:sz w:val="19"/>
                <w:szCs w:val="19"/>
                <w:color w:val="231F20"/>
              </w:rPr>
              <w:t>1,433</w:t>
            </w:r>
          </w:p>
        </w:tc>
        <w:tc>
          <w:tcPr>
            <w:tcW w:w="280" w:type="dxa"/>
            <w:vAlign w:val="bottom"/>
            <w:tcBorders>
              <w:bottom w:val="single" w:sz="8" w:color="FDFDFC"/>
            </w:tcBorders>
            <w:shd w:val="clear" w:color="auto" w:fill="D0EBF2"/>
          </w:tcPr>
          <w:p>
            <w:pPr>
              <w:spacing w:after="0"/>
              <w:rPr>
                <w:sz w:val="20"/>
                <w:szCs w:val="20"/>
                <w:color w:val="auto"/>
              </w:rPr>
            </w:pPr>
          </w:p>
        </w:tc>
        <w:tc>
          <w:tcPr>
            <w:tcW w:w="440" w:type="dxa"/>
            <w:vAlign w:val="bottom"/>
            <w:tcBorders>
              <w:bottom w:val="single" w:sz="8" w:color="231F20"/>
            </w:tcBorders>
            <w:shd w:val="clear" w:color="auto" w:fill="D0EBF2"/>
          </w:tcPr>
          <w:p>
            <w:pPr>
              <w:spacing w:after="0"/>
              <w:rPr>
                <w:sz w:val="20"/>
                <w:szCs w:val="20"/>
                <w:color w:val="auto"/>
              </w:rPr>
            </w:pPr>
          </w:p>
        </w:tc>
        <w:tc>
          <w:tcPr>
            <w:tcW w:w="980" w:type="dxa"/>
            <w:vAlign w:val="bottom"/>
            <w:tcBorders>
              <w:bottom w:val="single" w:sz="8" w:color="231F20"/>
            </w:tcBorders>
            <w:shd w:val="clear" w:color="auto" w:fill="D0EBF2"/>
          </w:tcPr>
          <w:p>
            <w:pPr>
              <w:jc w:val="right"/>
              <w:spacing w:after="0"/>
              <w:rPr>
                <w:sz w:val="20"/>
                <w:szCs w:val="20"/>
                <w:color w:val="auto"/>
              </w:rPr>
            </w:pPr>
            <w:r>
              <w:rPr>
                <w:rFonts w:ascii="Times New Roman" w:cs="Times New Roman" w:eastAsia="Times New Roman" w:hAnsi="Times New Roman"/>
                <w:sz w:val="19"/>
                <w:szCs w:val="19"/>
                <w:color w:val="231F20"/>
              </w:rPr>
              <w:t>424</w:t>
            </w:r>
          </w:p>
        </w:tc>
        <w:tc>
          <w:tcPr>
            <w:tcW w:w="80" w:type="dxa"/>
            <w:vAlign w:val="bottom"/>
            <w:tcBorders>
              <w:bottom w:val="single" w:sz="8" w:color="FDFDFC"/>
            </w:tcBorders>
            <w:shd w:val="clear" w:color="auto" w:fill="D0EBF2"/>
          </w:tcPr>
          <w:p>
            <w:pPr>
              <w:spacing w:after="0"/>
              <w:rPr>
                <w:sz w:val="20"/>
                <w:szCs w:val="20"/>
                <w:color w:val="auto"/>
              </w:rPr>
            </w:pPr>
          </w:p>
        </w:tc>
      </w:tr>
      <w:tr>
        <w:trPr>
          <w:trHeight w:val="240"/>
        </w:trPr>
        <w:tc>
          <w:tcPr>
            <w:tcW w:w="5700" w:type="dxa"/>
            <w:vAlign w:val="bottom"/>
            <w:tcBorders>
              <w:bottom w:val="single" w:sz="8" w:color="FDFDFC"/>
            </w:tcBorders>
            <w:shd w:val="clear" w:color="auto" w:fill="FDFDFC"/>
          </w:tcPr>
          <w:p>
            <w:pPr>
              <w:ind w:left="100"/>
              <w:spacing w:after="0" w:line="220" w:lineRule="exact"/>
              <w:rPr>
                <w:sz w:val="20"/>
                <w:szCs w:val="20"/>
                <w:color w:val="auto"/>
              </w:rPr>
            </w:pPr>
            <w:r>
              <w:rPr>
                <w:rFonts w:ascii="Times New Roman" w:cs="Times New Roman" w:eastAsia="Times New Roman" w:hAnsi="Times New Roman"/>
                <w:sz w:val="19"/>
                <w:szCs w:val="19"/>
                <w:b w:val="1"/>
                <w:bCs w:val="1"/>
                <w:color w:val="231F20"/>
              </w:rPr>
              <w:t xml:space="preserve">Total Portfolio Company Commitments </w:t>
            </w:r>
            <w:r>
              <w:rPr>
                <w:rFonts w:ascii="Times New Roman" w:cs="Times New Roman" w:eastAsia="Times New Roman" w:hAnsi="Times New Roman"/>
                <w:sz w:val="24"/>
                <w:szCs w:val="24"/>
                <w:b w:val="1"/>
                <w:bCs w:val="1"/>
                <w:color w:val="231F20"/>
                <w:vertAlign w:val="superscript"/>
              </w:rPr>
              <w:t>(1)(2)</w:t>
            </w:r>
          </w:p>
        </w:tc>
        <w:tc>
          <w:tcPr>
            <w:tcW w:w="420" w:type="dxa"/>
            <w:vAlign w:val="bottom"/>
            <w:tcBorders>
              <w:bottom w:val="single" w:sz="8" w:color="231F20"/>
            </w:tcBorders>
            <w:shd w:val="clear" w:color="auto" w:fill="FDFDFC"/>
          </w:tcPr>
          <w:p>
            <w:pPr>
              <w:jc w:val="right"/>
              <w:ind w:right="256"/>
              <w:spacing w:after="0"/>
              <w:rPr>
                <w:sz w:val="20"/>
                <w:szCs w:val="20"/>
                <w:color w:val="auto"/>
              </w:rPr>
            </w:pPr>
            <w:r>
              <w:rPr>
                <w:rFonts w:ascii="Times New Roman" w:cs="Times New Roman" w:eastAsia="Times New Roman" w:hAnsi="Times New Roman"/>
                <w:sz w:val="17"/>
                <w:szCs w:val="17"/>
                <w:color w:val="231F20"/>
                <w:w w:val="70"/>
              </w:rPr>
              <w:t>$</w:t>
            </w:r>
          </w:p>
        </w:tc>
        <w:tc>
          <w:tcPr>
            <w:tcW w:w="980" w:type="dxa"/>
            <w:vAlign w:val="bottom"/>
            <w:tcBorders>
              <w:bottom w:val="single" w:sz="8" w:color="231F20"/>
            </w:tcBorders>
            <w:shd w:val="clear" w:color="auto" w:fill="FDFDFC"/>
          </w:tcPr>
          <w:p>
            <w:pPr>
              <w:jc w:val="right"/>
              <w:spacing w:after="0"/>
              <w:rPr>
                <w:sz w:val="20"/>
                <w:szCs w:val="20"/>
                <w:color w:val="auto"/>
              </w:rPr>
            </w:pPr>
            <w:r>
              <w:rPr>
                <w:rFonts w:ascii="Times New Roman" w:cs="Times New Roman" w:eastAsia="Times New Roman" w:hAnsi="Times New Roman"/>
                <w:sz w:val="19"/>
                <w:szCs w:val="19"/>
                <w:color w:val="231F20"/>
              </w:rPr>
              <w:t>356,309</w:t>
            </w:r>
          </w:p>
        </w:tc>
        <w:tc>
          <w:tcPr>
            <w:tcW w:w="280" w:type="dxa"/>
            <w:vAlign w:val="bottom"/>
            <w:tcBorders>
              <w:bottom w:val="single" w:sz="8" w:color="FDFDFC"/>
            </w:tcBorders>
            <w:shd w:val="clear" w:color="auto" w:fill="FDFDFC"/>
          </w:tcPr>
          <w:p>
            <w:pPr>
              <w:spacing w:after="0"/>
              <w:rPr>
                <w:sz w:val="20"/>
                <w:szCs w:val="20"/>
                <w:color w:val="auto"/>
              </w:rPr>
            </w:pPr>
          </w:p>
        </w:tc>
        <w:tc>
          <w:tcPr>
            <w:tcW w:w="440" w:type="dxa"/>
            <w:vAlign w:val="bottom"/>
            <w:tcBorders>
              <w:bottom w:val="single" w:sz="8" w:color="231F20"/>
            </w:tcBorders>
            <w:shd w:val="clear" w:color="auto" w:fill="FDFDFC"/>
          </w:tcPr>
          <w:p>
            <w:pPr>
              <w:jc w:val="right"/>
              <w:ind w:right="246"/>
              <w:spacing w:after="0"/>
              <w:rPr>
                <w:sz w:val="20"/>
                <w:szCs w:val="20"/>
                <w:color w:val="auto"/>
              </w:rPr>
            </w:pPr>
            <w:r>
              <w:rPr>
                <w:rFonts w:ascii="Times New Roman" w:cs="Times New Roman" w:eastAsia="Times New Roman" w:hAnsi="Times New Roman"/>
                <w:sz w:val="19"/>
                <w:szCs w:val="19"/>
                <w:color w:val="231F20"/>
                <w:w w:val="83"/>
              </w:rPr>
              <w:t>$</w:t>
            </w:r>
          </w:p>
        </w:tc>
        <w:tc>
          <w:tcPr>
            <w:tcW w:w="980" w:type="dxa"/>
            <w:vAlign w:val="bottom"/>
            <w:tcBorders>
              <w:bottom w:val="single" w:sz="8" w:color="231F20"/>
            </w:tcBorders>
            <w:shd w:val="clear" w:color="auto" w:fill="FDFDFC"/>
          </w:tcPr>
          <w:p>
            <w:pPr>
              <w:jc w:val="right"/>
              <w:spacing w:after="0"/>
              <w:rPr>
                <w:sz w:val="20"/>
                <w:szCs w:val="20"/>
                <w:color w:val="auto"/>
              </w:rPr>
            </w:pPr>
            <w:r>
              <w:rPr>
                <w:rFonts w:ascii="Times New Roman" w:cs="Times New Roman" w:eastAsia="Times New Roman" w:hAnsi="Times New Roman"/>
                <w:sz w:val="19"/>
                <w:szCs w:val="19"/>
                <w:color w:val="231F20"/>
              </w:rPr>
              <w:t>316,107</w:t>
            </w:r>
          </w:p>
        </w:tc>
        <w:tc>
          <w:tcPr>
            <w:tcW w:w="80" w:type="dxa"/>
            <w:vAlign w:val="bottom"/>
            <w:tcBorders>
              <w:bottom w:val="single" w:sz="8" w:color="FDFDFC"/>
            </w:tcBorders>
            <w:shd w:val="clear" w:color="auto" w:fill="FDFDFC"/>
          </w:tcPr>
          <w:p>
            <w:pPr>
              <w:spacing w:after="0"/>
              <w:rPr>
                <w:sz w:val="20"/>
                <w:szCs w:val="20"/>
                <w:color w:val="auto"/>
              </w:rPr>
            </w:pPr>
          </w:p>
        </w:tc>
      </w:tr>
      <w:tr>
        <w:trPr>
          <w:trHeight w:val="20"/>
        </w:trPr>
        <w:tc>
          <w:tcPr>
            <w:tcW w:w="5700" w:type="dxa"/>
            <w:vAlign w:val="bottom"/>
          </w:tcPr>
          <w:p>
            <w:pPr>
              <w:spacing w:after="0" w:line="20" w:lineRule="exact"/>
              <w:rPr>
                <w:sz w:val="1"/>
                <w:szCs w:val="1"/>
                <w:color w:val="auto"/>
              </w:rPr>
            </w:pPr>
          </w:p>
        </w:tc>
        <w:tc>
          <w:tcPr>
            <w:tcW w:w="420" w:type="dxa"/>
            <w:vAlign w:val="bottom"/>
            <w:tcBorders>
              <w:bottom w:val="single" w:sz="8" w:color="231F20"/>
            </w:tcBorders>
          </w:tcPr>
          <w:p>
            <w:pPr>
              <w:spacing w:after="0" w:line="20" w:lineRule="exact"/>
              <w:rPr>
                <w:sz w:val="1"/>
                <w:szCs w:val="1"/>
                <w:color w:val="auto"/>
              </w:rPr>
            </w:pPr>
          </w:p>
        </w:tc>
        <w:tc>
          <w:tcPr>
            <w:tcW w:w="980" w:type="dxa"/>
            <w:vAlign w:val="bottom"/>
            <w:tcBorders>
              <w:bottom w:val="single" w:sz="8" w:color="231F20"/>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tcBorders>
              <w:bottom w:val="single" w:sz="8" w:color="231F20"/>
            </w:tcBorders>
          </w:tcPr>
          <w:p>
            <w:pPr>
              <w:spacing w:after="0" w:line="20" w:lineRule="exact"/>
              <w:rPr>
                <w:sz w:val="1"/>
                <w:szCs w:val="1"/>
                <w:color w:val="auto"/>
              </w:rPr>
            </w:pPr>
          </w:p>
        </w:tc>
        <w:tc>
          <w:tcPr>
            <w:tcW w:w="980" w:type="dxa"/>
            <w:vAlign w:val="bottom"/>
            <w:tcBorders>
              <w:bottom w:val="single" w:sz="8" w:color="231F20"/>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73" w:lineRule="exact"/>
        <w:rPr>
          <w:sz w:val="20"/>
          <w:szCs w:val="20"/>
          <w:color w:val="auto"/>
        </w:rPr>
      </w:pPr>
    </w:p>
    <w:p>
      <w:pPr>
        <w:jc w:val="both"/>
        <w:ind w:left="340" w:right="120" w:hanging="340"/>
        <w:spacing w:after="0" w:line="252" w:lineRule="auto"/>
        <w:tabs>
          <w:tab w:leader="none" w:pos="340" w:val="left"/>
        </w:tabs>
        <w:numPr>
          <w:ilvl w:val="0"/>
          <w:numId w:val="100"/>
        </w:numPr>
        <w:rPr>
          <w:rFonts w:ascii="Times New Roman" w:cs="Times New Roman" w:eastAsia="Times New Roman" w:hAnsi="Times New Roman"/>
          <w:sz w:val="19"/>
          <w:szCs w:val="19"/>
          <w:color w:val="231F20"/>
        </w:rPr>
      </w:pPr>
      <w:r>
        <w:rPr>
          <w:rFonts w:ascii="Times New Roman" w:cs="Times New Roman" w:eastAsia="Times New Roman" w:hAnsi="Times New Roman"/>
          <w:sz w:val="19"/>
          <w:szCs w:val="19"/>
          <w:color w:val="231F20"/>
        </w:rPr>
        <w:t>Represents the full amount of the Company’s commitments to fund investments on such date. Commitments may be subject to limitations on borrowings set forth in the agreements between the Company and the applicable portfolio company. As a result, portfolio companies may not be eligible to borrow the full commitment amount on such date.</w:t>
      </w:r>
    </w:p>
    <w:p>
      <w:pPr>
        <w:spacing w:after="0" w:line="1" w:lineRule="exact"/>
        <w:rPr>
          <w:rFonts w:ascii="Times New Roman" w:cs="Times New Roman" w:eastAsia="Times New Roman" w:hAnsi="Times New Roman"/>
          <w:sz w:val="19"/>
          <w:szCs w:val="19"/>
          <w:color w:val="231F20"/>
        </w:rPr>
      </w:pPr>
    </w:p>
    <w:p>
      <w:pPr>
        <w:ind w:left="340" w:hanging="340"/>
        <w:spacing w:after="0" w:line="275" w:lineRule="auto"/>
        <w:tabs>
          <w:tab w:leader="none" w:pos="340" w:val="left"/>
        </w:tabs>
        <w:numPr>
          <w:ilvl w:val="0"/>
          <w:numId w:val="100"/>
        </w:numPr>
        <w:rPr>
          <w:rFonts w:ascii="Times New Roman" w:cs="Times New Roman" w:eastAsia="Times New Roman" w:hAnsi="Times New Roman"/>
          <w:sz w:val="19"/>
          <w:szCs w:val="19"/>
          <w:color w:val="231F20"/>
        </w:rPr>
      </w:pPr>
      <w:r>
        <w:rPr>
          <w:rFonts w:ascii="Times New Roman" w:cs="Times New Roman" w:eastAsia="Times New Roman" w:hAnsi="Times New Roman"/>
          <w:sz w:val="19"/>
          <w:szCs w:val="19"/>
          <w:color w:val="231F20"/>
        </w:rPr>
        <w:t>The Company’s estimate of the fair value of the current investments in these portfolio companies includes an analysis of the fair value of any unfunded commitments.</w:t>
      </w:r>
    </w:p>
    <w:p>
      <w:pPr>
        <w:spacing w:after="0" w:line="8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231F20"/>
        </w:rPr>
        <w:t>Other Commitments and Contingencies</w:t>
      </w:r>
    </w:p>
    <w:p>
      <w:pPr>
        <w:spacing w:after="0" w:line="108" w:lineRule="exact"/>
        <w:rPr>
          <w:sz w:val="20"/>
          <w:szCs w:val="20"/>
          <w:color w:val="auto"/>
        </w:rPr>
      </w:pPr>
    </w:p>
    <w:p>
      <w:pPr>
        <w:ind w:right="40" w:firstLine="231"/>
        <w:spacing w:after="0" w:line="275" w:lineRule="auto"/>
        <w:rPr>
          <w:sz w:val="20"/>
          <w:szCs w:val="20"/>
          <w:color w:val="auto"/>
        </w:rPr>
      </w:pPr>
      <w:r>
        <w:rPr>
          <w:rFonts w:ascii="Times New Roman" w:cs="Times New Roman" w:eastAsia="Times New Roman" w:hAnsi="Times New Roman"/>
          <w:sz w:val="19"/>
          <w:szCs w:val="19"/>
          <w:color w:val="231F20"/>
        </w:rPr>
        <w:t>As of December 31, 2024 and December 31, 2023, the Company did not have any unfunded commitments to fund investments to new borrowers that were not current portfolio companies as of such date.</w:t>
      </w:r>
    </w:p>
    <w:p>
      <w:pPr>
        <w:spacing w:after="0" w:line="160" w:lineRule="exact"/>
        <w:rPr>
          <w:sz w:val="20"/>
          <w:szCs w:val="20"/>
          <w:color w:val="auto"/>
        </w:rPr>
      </w:pPr>
    </w:p>
    <w:p>
      <w:pPr>
        <w:ind w:right="80" w:firstLine="231"/>
        <w:spacing w:after="0" w:line="257" w:lineRule="auto"/>
        <w:rPr>
          <w:sz w:val="20"/>
          <w:szCs w:val="20"/>
          <w:color w:val="auto"/>
        </w:rPr>
      </w:pPr>
      <w:r>
        <w:rPr>
          <w:rFonts w:ascii="Times New Roman" w:cs="Times New Roman" w:eastAsia="Times New Roman" w:hAnsi="Times New Roman"/>
          <w:sz w:val="19"/>
          <w:szCs w:val="19"/>
          <w:color w:val="231F20"/>
        </w:rPr>
        <w:t>From time to time, the Company may become a party to certain legal proceedings incidental to the normal course of its business. As of December 31, 2024 and December 31, 2023, management is not aware of any material pending or threatened litigation that would require accounting recognition or financial statement disclosure.</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231F20"/>
        </w:rPr>
        <w:t>9. Net Assets</w:t>
      </w:r>
    </w:p>
    <w:p>
      <w:pPr>
        <w:spacing w:after="0" w:line="219" w:lineRule="exact"/>
        <w:rPr>
          <w:sz w:val="20"/>
          <w:szCs w:val="20"/>
          <w:color w:val="auto"/>
        </w:rPr>
      </w:pPr>
    </w:p>
    <w:p>
      <w:pPr>
        <w:ind w:right="460" w:firstLine="231"/>
        <w:spacing w:after="0" w:line="263" w:lineRule="auto"/>
        <w:rPr>
          <w:sz w:val="20"/>
          <w:szCs w:val="20"/>
          <w:color w:val="auto"/>
        </w:rPr>
      </w:pPr>
      <w:r>
        <w:rPr>
          <w:rFonts w:ascii="Times New Roman" w:cs="Times New Roman" w:eastAsia="Times New Roman" w:hAnsi="Times New Roman"/>
          <w:sz w:val="19"/>
          <w:szCs w:val="19"/>
          <w:color w:val="231F20"/>
        </w:rPr>
        <w:t>On August 1, 2022, the Company issued a total of 4,360,125 shares of common stock, or $77.6 million as settlement for the conversion of $79.2 million principal amount of the 2022 Convertible Notes.</w:t>
      </w:r>
    </w:p>
    <w:p>
      <w:pPr>
        <w:spacing w:after="0" w:line="161" w:lineRule="exact"/>
        <w:rPr>
          <w:sz w:val="20"/>
          <w:szCs w:val="20"/>
          <w:color w:val="auto"/>
        </w:rPr>
      </w:pPr>
    </w:p>
    <w:p>
      <w:pPr>
        <w:ind w:right="20" w:firstLine="231"/>
        <w:spacing w:after="0" w:line="239" w:lineRule="auto"/>
        <w:rPr>
          <w:sz w:val="20"/>
          <w:szCs w:val="20"/>
          <w:color w:val="auto"/>
        </w:rPr>
      </w:pPr>
      <w:r>
        <w:rPr>
          <w:rFonts w:ascii="Times New Roman" w:cs="Times New Roman" w:eastAsia="Times New Roman" w:hAnsi="Times New Roman"/>
          <w:sz w:val="19"/>
          <w:szCs w:val="19"/>
          <w:color w:val="231F20"/>
        </w:rPr>
        <w:t>On May 15, 2023, the Company issued a total of 4,500,000 shares of common stock at $17.33 per share. Net of underwriting fees and offering costs, the Company received total cash proceeds of $77.6 million. Subsequent to the offering, the Company issued an additional 675,000 shares on June 12, 2023 pursuant to the overallotment option granted to underwriters and received, net of underwriting fees, additional total cash proceeds of $11.7 million.</w:t>
      </w:r>
    </w:p>
    <w:p>
      <w:pPr>
        <w:sectPr>
          <w:pgSz w:w="12240" w:h="15840" w:orient="portrait"/>
          <w:cols w:equalWidth="0" w:num="1">
            <w:col w:w="10040"/>
          </w:cols>
          <w:pgMar w:left="1020" w:top="1337" w:right="1180" w:bottom="574" w:gutter="0" w:footer="0" w:header="0"/>
        </w:sectPr>
      </w:pPr>
    </w:p>
    <w:p>
      <w:pPr>
        <w:spacing w:after="0" w:line="200" w:lineRule="exact"/>
        <w:rPr>
          <w:sz w:val="20"/>
          <w:szCs w:val="20"/>
          <w:color w:val="auto"/>
        </w:rPr>
      </w:pPr>
    </w:p>
    <w:p>
      <w:pPr>
        <w:spacing w:after="0" w:line="27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9"/>
          <w:szCs w:val="19"/>
          <w:color w:val="231F20"/>
        </w:rPr>
        <w:t>F-49</w:t>
      </w:r>
    </w:p>
    <w:p>
      <w:pPr>
        <w:sectPr>
          <w:pgSz w:w="12240" w:h="15840" w:orient="portrait"/>
          <w:cols w:equalWidth="0" w:num="1">
            <w:col w:w="10040"/>
          </w:cols>
          <w:pgMar w:left="1020" w:top="1337" w:right="1180" w:bottom="574" w:gutter="0" w:footer="0" w:header="0"/>
          <w:type w:val="continuous"/>
        </w:sectPr>
      </w:pPr>
    </w:p>
    <w:bookmarkStart w:id="137" w:name="page138"/>
    <w:bookmarkEnd w:id="137"/>
    <w:p>
      <w:pPr>
        <w:ind w:right="100" w:firstLine="231"/>
        <w:spacing w:after="0" w:line="239" w:lineRule="auto"/>
        <w:rPr>
          <w:sz w:val="20"/>
          <w:szCs w:val="20"/>
          <w:color w:val="auto"/>
        </w:rPr>
      </w:pPr>
      <w:r>
        <w:rPr>
          <w:rFonts w:ascii="Times New Roman" w:cs="Times New Roman" w:eastAsia="Times New Roman" w:hAnsi="Times New Roman"/>
          <w:sz w:val="19"/>
          <w:szCs w:val="19"/>
          <w:color w:val="231F20"/>
        </w:rPr>
        <w:t>On March 5, 2024, the Company issued a total of 4,000,000 shares of common stock at $20.52 per share. Net of underwriting fees and offering costs, the Company received total cash proceeds of $81.5 million. Subsequent to the offering, the Company issued an additional 600,000 shares on April 1, 2024 pursuant to the overallotment option granted to underwriters and received, net of offering and underwriting fees, additional total cash proceeds of $11.9 million.</w:t>
      </w:r>
    </w:p>
    <w:p>
      <w:pPr>
        <w:spacing w:after="0" w:line="182" w:lineRule="exact"/>
        <w:rPr>
          <w:sz w:val="20"/>
          <w:szCs w:val="20"/>
          <w:color w:val="auto"/>
        </w:rPr>
      </w:pPr>
    </w:p>
    <w:p>
      <w:pPr>
        <w:ind w:right="60" w:firstLine="231"/>
        <w:spacing w:after="0" w:line="244" w:lineRule="auto"/>
        <w:rPr>
          <w:sz w:val="20"/>
          <w:szCs w:val="20"/>
          <w:color w:val="auto"/>
        </w:rPr>
      </w:pPr>
      <w:r>
        <w:rPr>
          <w:rFonts w:ascii="Times New Roman" w:cs="Times New Roman" w:eastAsia="Times New Roman" w:hAnsi="Times New Roman"/>
          <w:sz w:val="18"/>
          <w:szCs w:val="18"/>
          <w:color w:val="231F20"/>
        </w:rPr>
        <w:t>The Company has a dividend reinvestment plan, whereby the Company may buy shares of its common stock in the open market or issue new shares in order to satisfy dividend reinvestment requests. The number of shares to be issued to a stockholder is determined by dividing the total dollar amount of the cash dividend or distribution payable to a stockholder by the market price per share of the Company’s common stock at the close of regular trading on the NYSE on the payment date of a distribution, or if no sale is reported for such day, the average of the reported bid and ask prices. However, if the market price per share on the payment date of a cash dividend or distribution exceeds the most recently computed net asset value per share, the Company will issue shares at the greater of</w:t>
      </w:r>
    </w:p>
    <w:p>
      <w:pPr>
        <w:spacing w:after="0" w:line="4" w:lineRule="exact"/>
        <w:rPr>
          <w:sz w:val="20"/>
          <w:szCs w:val="20"/>
          <w:color w:val="auto"/>
        </w:rPr>
      </w:pPr>
    </w:p>
    <w:p>
      <w:pPr>
        <w:jc w:val="both"/>
        <w:ind w:right="120"/>
        <w:spacing w:after="0" w:line="231" w:lineRule="auto"/>
        <w:tabs>
          <w:tab w:leader="none" w:pos="226" w:val="left"/>
        </w:tabs>
        <w:numPr>
          <w:ilvl w:val="0"/>
          <w:numId w:val="101"/>
        </w:numPr>
        <w:rPr>
          <w:rFonts w:ascii="Times New Roman" w:cs="Times New Roman" w:eastAsia="Times New Roman" w:hAnsi="Times New Roman"/>
          <w:sz w:val="19"/>
          <w:szCs w:val="19"/>
          <w:color w:val="231F20"/>
        </w:rPr>
      </w:pPr>
      <w:r>
        <w:rPr>
          <w:rFonts w:ascii="Times New Roman" w:cs="Times New Roman" w:eastAsia="Times New Roman" w:hAnsi="Times New Roman"/>
          <w:sz w:val="19"/>
          <w:szCs w:val="19"/>
          <w:color w:val="231F20"/>
        </w:rPr>
        <w:t>the most recently computed net asset value per share and (ii) 95% of the current market price per share (or such lesser discount to the current market price per share that still exceeded the most recently computed net asset value per share). Shares purchased in open market transactions by the plan administrator will be allocated to a stockholder based on the average purchase price, excluding any brokerage charges or other charges, of all shares of common stock purchased in the open market.</w:t>
      </w:r>
    </w:p>
    <w:p>
      <w:pPr>
        <w:spacing w:after="0" w:line="192" w:lineRule="exact"/>
        <w:rPr>
          <w:sz w:val="20"/>
          <w:szCs w:val="20"/>
          <w:color w:val="auto"/>
        </w:rPr>
      </w:pPr>
    </w:p>
    <w:p>
      <w:pPr>
        <w:ind w:right="40" w:firstLine="231"/>
        <w:spacing w:after="0" w:line="257" w:lineRule="auto"/>
        <w:rPr>
          <w:sz w:val="20"/>
          <w:szCs w:val="20"/>
          <w:color w:val="auto"/>
        </w:rPr>
      </w:pPr>
      <w:r>
        <w:rPr>
          <w:rFonts w:ascii="Times New Roman" w:cs="Times New Roman" w:eastAsia="Times New Roman" w:hAnsi="Times New Roman"/>
          <w:sz w:val="19"/>
          <w:szCs w:val="19"/>
          <w:color w:val="231F20"/>
        </w:rPr>
        <w:t>Pursuant to the Company’s dividend reinvestment plan, the following tables summarize the shares issued to stockholders who have not opted out of the Company’s dividend reinvestment plan during the years ended December 31, 2024 and December 31, 2023. All shares issued to stockholders in the tables below are newly issued shares.</w:t>
      </w:r>
    </w:p>
    <w:p>
      <w:pPr>
        <w:spacing w:after="0" w:line="230" w:lineRule="exact"/>
        <w:rPr>
          <w:sz w:val="20"/>
          <w:szCs w:val="20"/>
          <w:color w:val="auto"/>
        </w:rPr>
      </w:pPr>
    </w:p>
    <w:tbl>
      <w:tblPr>
        <w:tblLayout w:type="fixed"/>
        <w:tblInd w:w="520" w:type="dxa"/>
        <w:tblCellMar>
          <w:top w:w="0" w:type="dxa"/>
          <w:left w:w="0" w:type="dxa"/>
          <w:bottom w:w="0" w:type="dxa"/>
          <w:right w:w="0" w:type="dxa"/>
        </w:tblCellMar>
      </w:tblPr>
      <w:tr>
        <w:trPr>
          <w:trHeight w:val="187"/>
        </w:trPr>
        <w:tc>
          <w:tcPr>
            <w:tcW w:w="1820" w:type="dxa"/>
            <w:vAlign w:val="bottom"/>
            <w:shd w:val="clear" w:color="auto" w:fill="FDFDFC"/>
          </w:tcPr>
          <w:p>
            <w:pPr>
              <w:spacing w:after="0"/>
              <w:rPr>
                <w:sz w:val="16"/>
                <w:szCs w:val="16"/>
                <w:color w:val="auto"/>
              </w:rPr>
            </w:pPr>
          </w:p>
        </w:tc>
        <w:tc>
          <w:tcPr>
            <w:tcW w:w="20" w:type="dxa"/>
            <w:vAlign w:val="bottom"/>
            <w:shd w:val="clear" w:color="auto" w:fill="FDFDFC"/>
          </w:tcPr>
          <w:p>
            <w:pPr>
              <w:spacing w:after="0"/>
              <w:rPr>
                <w:sz w:val="16"/>
                <w:szCs w:val="16"/>
                <w:color w:val="auto"/>
              </w:rPr>
            </w:pPr>
          </w:p>
        </w:tc>
        <w:tc>
          <w:tcPr>
            <w:tcW w:w="80" w:type="dxa"/>
            <w:vAlign w:val="bottom"/>
            <w:shd w:val="clear" w:color="auto" w:fill="FDFDFC"/>
          </w:tcPr>
          <w:p>
            <w:pPr>
              <w:spacing w:after="0"/>
              <w:rPr>
                <w:sz w:val="16"/>
                <w:szCs w:val="16"/>
                <w:color w:val="auto"/>
              </w:rPr>
            </w:pPr>
          </w:p>
        </w:tc>
        <w:tc>
          <w:tcPr>
            <w:tcW w:w="1360" w:type="dxa"/>
            <w:vAlign w:val="bottom"/>
            <w:shd w:val="clear" w:color="auto" w:fill="FDFDFC"/>
          </w:tcPr>
          <w:p>
            <w:pPr>
              <w:spacing w:after="0"/>
              <w:rPr>
                <w:sz w:val="16"/>
                <w:szCs w:val="16"/>
                <w:color w:val="auto"/>
              </w:rPr>
            </w:pPr>
          </w:p>
        </w:tc>
        <w:tc>
          <w:tcPr>
            <w:tcW w:w="120" w:type="dxa"/>
            <w:vAlign w:val="bottom"/>
            <w:shd w:val="clear" w:color="auto" w:fill="FDFDFC"/>
          </w:tcPr>
          <w:p>
            <w:pPr>
              <w:spacing w:after="0"/>
              <w:rPr>
                <w:sz w:val="16"/>
                <w:szCs w:val="16"/>
                <w:color w:val="auto"/>
              </w:rPr>
            </w:pPr>
          </w:p>
        </w:tc>
        <w:tc>
          <w:tcPr>
            <w:tcW w:w="3980" w:type="dxa"/>
            <w:vAlign w:val="bottom"/>
            <w:gridSpan w:val="3"/>
            <w:shd w:val="clear" w:color="auto" w:fill="FDFDFC"/>
          </w:tcPr>
          <w:p>
            <w:pPr>
              <w:jc w:val="center"/>
              <w:ind w:left="91"/>
              <w:spacing w:after="0"/>
              <w:rPr>
                <w:sz w:val="20"/>
                <w:szCs w:val="20"/>
                <w:color w:val="auto"/>
              </w:rPr>
            </w:pPr>
            <w:r>
              <w:rPr>
                <w:rFonts w:ascii="Times New Roman" w:cs="Times New Roman" w:eastAsia="Times New Roman" w:hAnsi="Times New Roman"/>
                <w:sz w:val="15"/>
                <w:szCs w:val="15"/>
                <w:b w:val="1"/>
                <w:bCs w:val="1"/>
                <w:color w:val="231F20"/>
              </w:rPr>
              <w:t>For the Year Ended</w:t>
            </w:r>
          </w:p>
        </w:tc>
        <w:tc>
          <w:tcPr>
            <w:tcW w:w="120" w:type="dxa"/>
            <w:vAlign w:val="bottom"/>
            <w:shd w:val="clear" w:color="auto" w:fill="FDFDFC"/>
          </w:tcPr>
          <w:p>
            <w:pPr>
              <w:spacing w:after="0"/>
              <w:rPr>
                <w:sz w:val="16"/>
                <w:szCs w:val="16"/>
                <w:color w:val="auto"/>
              </w:rPr>
            </w:pPr>
          </w:p>
        </w:tc>
        <w:tc>
          <w:tcPr>
            <w:tcW w:w="1560" w:type="dxa"/>
            <w:vAlign w:val="bottom"/>
            <w:shd w:val="clear" w:color="auto" w:fill="FDFDFC"/>
          </w:tcPr>
          <w:p>
            <w:pPr>
              <w:spacing w:after="0"/>
              <w:rPr>
                <w:sz w:val="16"/>
                <w:szCs w:val="16"/>
                <w:color w:val="auto"/>
              </w:rPr>
            </w:pPr>
          </w:p>
        </w:tc>
        <w:tc>
          <w:tcPr>
            <w:tcW w:w="120" w:type="dxa"/>
            <w:vAlign w:val="bottom"/>
            <w:shd w:val="clear" w:color="auto" w:fill="FDFDFC"/>
          </w:tcPr>
          <w:p>
            <w:pPr>
              <w:spacing w:after="0"/>
              <w:rPr>
                <w:sz w:val="16"/>
                <w:szCs w:val="16"/>
                <w:color w:val="auto"/>
              </w:rPr>
            </w:pPr>
          </w:p>
        </w:tc>
      </w:tr>
      <w:tr>
        <w:trPr>
          <w:trHeight w:val="187"/>
        </w:trPr>
        <w:tc>
          <w:tcPr>
            <w:tcW w:w="1820" w:type="dxa"/>
            <w:vAlign w:val="bottom"/>
            <w:tcBorders>
              <w:bottom w:val="single" w:sz="8" w:color="FDFDFC"/>
            </w:tcBorders>
            <w:shd w:val="clear" w:color="auto" w:fill="FDFDFC"/>
          </w:tcPr>
          <w:p>
            <w:pPr>
              <w:spacing w:after="0"/>
              <w:rPr>
                <w:sz w:val="16"/>
                <w:szCs w:val="16"/>
                <w:color w:val="auto"/>
              </w:rPr>
            </w:pPr>
          </w:p>
        </w:tc>
        <w:tc>
          <w:tcPr>
            <w:tcW w:w="20" w:type="dxa"/>
            <w:vAlign w:val="bottom"/>
            <w:tcBorders>
              <w:bottom w:val="single" w:sz="8" w:color="FDFDFC"/>
            </w:tcBorders>
            <w:shd w:val="clear" w:color="auto" w:fill="FDFDFC"/>
          </w:tcPr>
          <w:p>
            <w:pPr>
              <w:spacing w:after="0"/>
              <w:rPr>
                <w:sz w:val="16"/>
                <w:szCs w:val="16"/>
                <w:color w:val="auto"/>
              </w:rPr>
            </w:pPr>
          </w:p>
        </w:tc>
        <w:tc>
          <w:tcPr>
            <w:tcW w:w="80" w:type="dxa"/>
            <w:vAlign w:val="bottom"/>
            <w:tcBorders>
              <w:bottom w:val="single" w:sz="8" w:color="FDFDFC"/>
            </w:tcBorders>
            <w:shd w:val="clear" w:color="auto" w:fill="FDFDFC"/>
          </w:tcPr>
          <w:p>
            <w:pPr>
              <w:spacing w:after="0"/>
              <w:rPr>
                <w:sz w:val="16"/>
                <w:szCs w:val="16"/>
                <w:color w:val="auto"/>
              </w:rPr>
            </w:pPr>
          </w:p>
        </w:tc>
        <w:tc>
          <w:tcPr>
            <w:tcW w:w="1360" w:type="dxa"/>
            <w:vAlign w:val="bottom"/>
            <w:tcBorders>
              <w:bottom w:val="single" w:sz="8" w:color="231F20"/>
            </w:tcBorders>
            <w:shd w:val="clear" w:color="auto" w:fill="FDFDFC"/>
          </w:tcPr>
          <w:p>
            <w:pPr>
              <w:spacing w:after="0"/>
              <w:rPr>
                <w:sz w:val="16"/>
                <w:szCs w:val="16"/>
                <w:color w:val="auto"/>
              </w:rPr>
            </w:pPr>
          </w:p>
        </w:tc>
        <w:tc>
          <w:tcPr>
            <w:tcW w:w="120" w:type="dxa"/>
            <w:vAlign w:val="bottom"/>
            <w:tcBorders>
              <w:bottom w:val="single" w:sz="8" w:color="231F20"/>
            </w:tcBorders>
            <w:shd w:val="clear" w:color="auto" w:fill="FDFDFC"/>
          </w:tcPr>
          <w:p>
            <w:pPr>
              <w:spacing w:after="0"/>
              <w:rPr>
                <w:sz w:val="16"/>
                <w:szCs w:val="16"/>
                <w:color w:val="auto"/>
              </w:rPr>
            </w:pPr>
          </w:p>
        </w:tc>
        <w:tc>
          <w:tcPr>
            <w:tcW w:w="3980" w:type="dxa"/>
            <w:vAlign w:val="bottom"/>
            <w:tcBorders>
              <w:bottom w:val="single" w:sz="8" w:color="231F20"/>
            </w:tcBorders>
            <w:gridSpan w:val="3"/>
            <w:shd w:val="clear" w:color="auto" w:fill="FDFDFC"/>
          </w:tcPr>
          <w:p>
            <w:pPr>
              <w:jc w:val="center"/>
              <w:ind w:left="111"/>
              <w:spacing w:after="0"/>
              <w:rPr>
                <w:sz w:val="20"/>
                <w:szCs w:val="20"/>
                <w:color w:val="auto"/>
              </w:rPr>
            </w:pPr>
            <w:r>
              <w:rPr>
                <w:rFonts w:ascii="Times New Roman" w:cs="Times New Roman" w:eastAsia="Times New Roman" w:hAnsi="Times New Roman"/>
                <w:sz w:val="15"/>
                <w:szCs w:val="15"/>
                <w:b w:val="1"/>
                <w:bCs w:val="1"/>
                <w:color w:val="231F20"/>
              </w:rPr>
              <w:t>December 31, 2024</w:t>
            </w:r>
          </w:p>
        </w:tc>
        <w:tc>
          <w:tcPr>
            <w:tcW w:w="120" w:type="dxa"/>
            <w:vAlign w:val="bottom"/>
            <w:tcBorders>
              <w:bottom w:val="single" w:sz="8" w:color="231F20"/>
            </w:tcBorders>
            <w:shd w:val="clear" w:color="auto" w:fill="FDFDFC"/>
          </w:tcPr>
          <w:p>
            <w:pPr>
              <w:spacing w:after="0"/>
              <w:rPr>
                <w:sz w:val="16"/>
                <w:szCs w:val="16"/>
                <w:color w:val="auto"/>
              </w:rPr>
            </w:pPr>
          </w:p>
        </w:tc>
        <w:tc>
          <w:tcPr>
            <w:tcW w:w="1560" w:type="dxa"/>
            <w:vAlign w:val="bottom"/>
            <w:tcBorders>
              <w:bottom w:val="single" w:sz="8" w:color="231F20"/>
            </w:tcBorders>
            <w:shd w:val="clear" w:color="auto" w:fill="FDFDFC"/>
          </w:tcPr>
          <w:p>
            <w:pPr>
              <w:spacing w:after="0"/>
              <w:rPr>
                <w:sz w:val="16"/>
                <w:szCs w:val="16"/>
                <w:color w:val="auto"/>
              </w:rPr>
            </w:pPr>
          </w:p>
        </w:tc>
        <w:tc>
          <w:tcPr>
            <w:tcW w:w="120" w:type="dxa"/>
            <w:vAlign w:val="bottom"/>
            <w:tcBorders>
              <w:bottom w:val="single" w:sz="8" w:color="FDFDFC"/>
            </w:tcBorders>
            <w:shd w:val="clear" w:color="auto" w:fill="FDFDFC"/>
          </w:tcPr>
          <w:p>
            <w:pPr>
              <w:spacing w:after="0"/>
              <w:rPr>
                <w:sz w:val="16"/>
                <w:szCs w:val="16"/>
                <w:color w:val="auto"/>
              </w:rPr>
            </w:pPr>
          </w:p>
        </w:tc>
      </w:tr>
      <w:tr>
        <w:trPr>
          <w:trHeight w:val="176"/>
        </w:trPr>
        <w:tc>
          <w:tcPr>
            <w:tcW w:w="1820" w:type="dxa"/>
            <w:vAlign w:val="bottom"/>
            <w:shd w:val="clear" w:color="auto" w:fill="FDFDFC"/>
          </w:tcPr>
          <w:p>
            <w:pPr>
              <w:spacing w:after="0"/>
              <w:rPr>
                <w:sz w:val="15"/>
                <w:szCs w:val="15"/>
                <w:color w:val="auto"/>
              </w:rPr>
            </w:pPr>
          </w:p>
        </w:tc>
        <w:tc>
          <w:tcPr>
            <w:tcW w:w="20" w:type="dxa"/>
            <w:vAlign w:val="bottom"/>
            <w:shd w:val="clear" w:color="auto" w:fill="FDFDFC"/>
          </w:tcPr>
          <w:p>
            <w:pPr>
              <w:spacing w:after="0"/>
              <w:rPr>
                <w:sz w:val="15"/>
                <w:szCs w:val="15"/>
                <w:color w:val="auto"/>
              </w:rPr>
            </w:pPr>
          </w:p>
        </w:tc>
        <w:tc>
          <w:tcPr>
            <w:tcW w:w="80" w:type="dxa"/>
            <w:vAlign w:val="bottom"/>
            <w:shd w:val="clear" w:color="auto" w:fill="FDFDFC"/>
          </w:tcPr>
          <w:p>
            <w:pPr>
              <w:spacing w:after="0"/>
              <w:rPr>
                <w:sz w:val="15"/>
                <w:szCs w:val="15"/>
                <w:color w:val="auto"/>
              </w:rPr>
            </w:pPr>
          </w:p>
        </w:tc>
        <w:tc>
          <w:tcPr>
            <w:tcW w:w="1360" w:type="dxa"/>
            <w:vAlign w:val="bottom"/>
            <w:shd w:val="clear" w:color="auto" w:fill="FDFDFC"/>
          </w:tcPr>
          <w:p>
            <w:pPr>
              <w:spacing w:after="0"/>
              <w:rPr>
                <w:sz w:val="15"/>
                <w:szCs w:val="15"/>
                <w:color w:val="auto"/>
              </w:rPr>
            </w:pPr>
          </w:p>
        </w:tc>
        <w:tc>
          <w:tcPr>
            <w:tcW w:w="120" w:type="dxa"/>
            <w:vAlign w:val="bottom"/>
            <w:shd w:val="clear" w:color="auto" w:fill="FDFDFC"/>
          </w:tcPr>
          <w:p>
            <w:pPr>
              <w:spacing w:after="0"/>
              <w:rPr>
                <w:sz w:val="15"/>
                <w:szCs w:val="15"/>
                <w:color w:val="auto"/>
              </w:rPr>
            </w:pPr>
          </w:p>
        </w:tc>
        <w:tc>
          <w:tcPr>
            <w:tcW w:w="2020" w:type="dxa"/>
            <w:vAlign w:val="bottom"/>
            <w:shd w:val="clear" w:color="auto" w:fill="FDFDFC"/>
          </w:tcPr>
          <w:p>
            <w:pPr>
              <w:spacing w:after="0"/>
              <w:rPr>
                <w:sz w:val="15"/>
                <w:szCs w:val="15"/>
                <w:color w:val="auto"/>
              </w:rPr>
            </w:pPr>
          </w:p>
        </w:tc>
        <w:tc>
          <w:tcPr>
            <w:tcW w:w="120" w:type="dxa"/>
            <w:vAlign w:val="bottom"/>
            <w:shd w:val="clear" w:color="auto" w:fill="FDFDFC"/>
          </w:tcPr>
          <w:p>
            <w:pPr>
              <w:spacing w:after="0"/>
              <w:rPr>
                <w:sz w:val="15"/>
                <w:szCs w:val="15"/>
                <w:color w:val="auto"/>
              </w:rPr>
            </w:pPr>
          </w:p>
        </w:tc>
        <w:tc>
          <w:tcPr>
            <w:tcW w:w="1840" w:type="dxa"/>
            <w:vAlign w:val="bottom"/>
            <w:shd w:val="clear" w:color="auto" w:fill="FDFDFC"/>
          </w:tcPr>
          <w:p>
            <w:pPr>
              <w:jc w:val="center"/>
              <w:spacing w:after="0"/>
              <w:rPr>
                <w:sz w:val="20"/>
                <w:szCs w:val="20"/>
                <w:color w:val="auto"/>
              </w:rPr>
            </w:pPr>
            <w:r>
              <w:rPr>
                <w:rFonts w:ascii="Times New Roman" w:cs="Times New Roman" w:eastAsia="Times New Roman" w:hAnsi="Times New Roman"/>
                <w:sz w:val="15"/>
                <w:szCs w:val="15"/>
                <w:b w:val="1"/>
                <w:bCs w:val="1"/>
                <w:color w:val="231F20"/>
                <w:w w:val="99"/>
              </w:rPr>
              <w:t>Date</w:t>
            </w:r>
          </w:p>
        </w:tc>
        <w:tc>
          <w:tcPr>
            <w:tcW w:w="120" w:type="dxa"/>
            <w:vAlign w:val="bottom"/>
            <w:shd w:val="clear" w:color="auto" w:fill="FDFDFC"/>
          </w:tcPr>
          <w:p>
            <w:pPr>
              <w:spacing w:after="0"/>
              <w:rPr>
                <w:sz w:val="15"/>
                <w:szCs w:val="15"/>
                <w:color w:val="auto"/>
              </w:rPr>
            </w:pPr>
          </w:p>
        </w:tc>
        <w:tc>
          <w:tcPr>
            <w:tcW w:w="1560" w:type="dxa"/>
            <w:vAlign w:val="bottom"/>
            <w:shd w:val="clear" w:color="auto" w:fill="FDFDFC"/>
          </w:tcPr>
          <w:p>
            <w:pPr>
              <w:spacing w:after="0"/>
              <w:rPr>
                <w:sz w:val="15"/>
                <w:szCs w:val="15"/>
                <w:color w:val="auto"/>
              </w:rPr>
            </w:pPr>
          </w:p>
        </w:tc>
        <w:tc>
          <w:tcPr>
            <w:tcW w:w="120" w:type="dxa"/>
            <w:vAlign w:val="bottom"/>
            <w:shd w:val="clear" w:color="auto" w:fill="FDFDFC"/>
          </w:tcPr>
          <w:p>
            <w:pPr>
              <w:spacing w:after="0"/>
              <w:rPr>
                <w:sz w:val="15"/>
                <w:szCs w:val="15"/>
                <w:color w:val="auto"/>
              </w:rPr>
            </w:pPr>
          </w:p>
        </w:tc>
      </w:tr>
      <w:tr>
        <w:trPr>
          <w:trHeight w:val="187"/>
        </w:trPr>
        <w:tc>
          <w:tcPr>
            <w:tcW w:w="1920" w:type="dxa"/>
            <w:vAlign w:val="bottom"/>
            <w:gridSpan w:val="3"/>
            <w:shd w:val="clear" w:color="auto" w:fill="FDFDFC"/>
          </w:tcPr>
          <w:p>
            <w:pPr>
              <w:spacing w:after="0"/>
              <w:rPr>
                <w:sz w:val="20"/>
                <w:szCs w:val="20"/>
                <w:color w:val="auto"/>
              </w:rPr>
            </w:pPr>
            <w:r>
              <w:rPr>
                <w:rFonts w:ascii="Times New Roman" w:cs="Times New Roman" w:eastAsia="Times New Roman" w:hAnsi="Times New Roman"/>
                <w:sz w:val="15"/>
                <w:szCs w:val="15"/>
                <w:b w:val="1"/>
                <w:bCs w:val="1"/>
                <w:color w:val="231F20"/>
              </w:rPr>
              <w:t>Date Declared</w:t>
            </w:r>
          </w:p>
        </w:tc>
        <w:tc>
          <w:tcPr>
            <w:tcW w:w="1360" w:type="dxa"/>
            <w:vAlign w:val="bottom"/>
            <w:shd w:val="clear" w:color="auto" w:fill="FDFDFC"/>
          </w:tcPr>
          <w:p>
            <w:pPr>
              <w:jc w:val="center"/>
              <w:spacing w:after="0"/>
              <w:rPr>
                <w:sz w:val="20"/>
                <w:szCs w:val="20"/>
                <w:color w:val="auto"/>
              </w:rPr>
            </w:pPr>
            <w:r>
              <w:rPr>
                <w:rFonts w:ascii="Times New Roman" w:cs="Times New Roman" w:eastAsia="Times New Roman" w:hAnsi="Times New Roman"/>
                <w:sz w:val="15"/>
                <w:szCs w:val="15"/>
                <w:b w:val="1"/>
                <w:bCs w:val="1"/>
                <w:color w:val="231F20"/>
              </w:rPr>
              <w:t xml:space="preserve">Dividend </w:t>
            </w:r>
            <w:r>
              <w:rPr>
                <w:rFonts w:ascii="Times New Roman" w:cs="Times New Roman" w:eastAsia="Times New Roman" w:hAnsi="Times New Roman"/>
                <w:sz w:val="9"/>
                <w:szCs w:val="9"/>
                <w:b w:val="1"/>
                <w:bCs w:val="1"/>
                <w:color w:val="231F20"/>
              </w:rPr>
              <w:t>(1)</w:t>
            </w:r>
          </w:p>
        </w:tc>
        <w:tc>
          <w:tcPr>
            <w:tcW w:w="120" w:type="dxa"/>
            <w:vAlign w:val="bottom"/>
            <w:shd w:val="clear" w:color="auto" w:fill="FDFDFC"/>
          </w:tcPr>
          <w:p>
            <w:pPr>
              <w:spacing w:after="0"/>
              <w:rPr>
                <w:sz w:val="16"/>
                <w:szCs w:val="16"/>
                <w:color w:val="auto"/>
              </w:rPr>
            </w:pPr>
          </w:p>
        </w:tc>
        <w:tc>
          <w:tcPr>
            <w:tcW w:w="2020" w:type="dxa"/>
            <w:vAlign w:val="bottom"/>
            <w:shd w:val="clear" w:color="auto" w:fill="FDFDFC"/>
          </w:tcPr>
          <w:p>
            <w:pPr>
              <w:jc w:val="right"/>
              <w:ind w:right="531"/>
              <w:spacing w:after="0"/>
              <w:rPr>
                <w:sz w:val="20"/>
                <w:szCs w:val="20"/>
                <w:color w:val="auto"/>
              </w:rPr>
            </w:pPr>
            <w:r>
              <w:rPr>
                <w:rFonts w:ascii="Times New Roman" w:cs="Times New Roman" w:eastAsia="Times New Roman" w:hAnsi="Times New Roman"/>
                <w:sz w:val="15"/>
                <w:szCs w:val="15"/>
                <w:b w:val="1"/>
                <w:bCs w:val="1"/>
                <w:color w:val="231F20"/>
              </w:rPr>
              <w:t>Record Date</w:t>
            </w:r>
          </w:p>
        </w:tc>
        <w:tc>
          <w:tcPr>
            <w:tcW w:w="120" w:type="dxa"/>
            <w:vAlign w:val="bottom"/>
            <w:shd w:val="clear" w:color="auto" w:fill="FDFDFC"/>
          </w:tcPr>
          <w:p>
            <w:pPr>
              <w:spacing w:after="0"/>
              <w:rPr>
                <w:sz w:val="16"/>
                <w:szCs w:val="16"/>
                <w:color w:val="auto"/>
              </w:rPr>
            </w:pPr>
          </w:p>
        </w:tc>
        <w:tc>
          <w:tcPr>
            <w:tcW w:w="1840" w:type="dxa"/>
            <w:vAlign w:val="bottom"/>
            <w:shd w:val="clear" w:color="auto" w:fill="FDFDFC"/>
          </w:tcPr>
          <w:p>
            <w:pPr>
              <w:jc w:val="center"/>
              <w:spacing w:after="0"/>
              <w:rPr>
                <w:sz w:val="20"/>
                <w:szCs w:val="20"/>
                <w:color w:val="auto"/>
              </w:rPr>
            </w:pPr>
            <w:r>
              <w:rPr>
                <w:rFonts w:ascii="Times New Roman" w:cs="Times New Roman" w:eastAsia="Times New Roman" w:hAnsi="Times New Roman"/>
                <w:sz w:val="15"/>
                <w:szCs w:val="15"/>
                <w:b w:val="1"/>
                <w:bCs w:val="1"/>
                <w:color w:val="231F20"/>
              </w:rPr>
              <w:t>Shares Issued</w:t>
            </w:r>
          </w:p>
        </w:tc>
        <w:tc>
          <w:tcPr>
            <w:tcW w:w="120" w:type="dxa"/>
            <w:vAlign w:val="bottom"/>
            <w:shd w:val="clear" w:color="auto" w:fill="FDFDFC"/>
          </w:tcPr>
          <w:p>
            <w:pPr>
              <w:spacing w:after="0"/>
              <w:rPr>
                <w:sz w:val="16"/>
                <w:szCs w:val="16"/>
                <w:color w:val="auto"/>
              </w:rPr>
            </w:pPr>
          </w:p>
        </w:tc>
        <w:tc>
          <w:tcPr>
            <w:tcW w:w="1560" w:type="dxa"/>
            <w:vAlign w:val="bottom"/>
            <w:shd w:val="clear" w:color="auto" w:fill="FDFDFC"/>
          </w:tcPr>
          <w:p>
            <w:pPr>
              <w:jc w:val="right"/>
              <w:ind w:right="250"/>
              <w:spacing w:after="0"/>
              <w:rPr>
                <w:sz w:val="20"/>
                <w:szCs w:val="20"/>
                <w:color w:val="auto"/>
              </w:rPr>
            </w:pPr>
            <w:r>
              <w:rPr>
                <w:rFonts w:ascii="Times New Roman" w:cs="Times New Roman" w:eastAsia="Times New Roman" w:hAnsi="Times New Roman"/>
                <w:sz w:val="15"/>
                <w:szCs w:val="15"/>
                <w:b w:val="1"/>
                <w:bCs w:val="1"/>
                <w:color w:val="231F20"/>
              </w:rPr>
              <w:t>Shares Issued</w:t>
            </w:r>
          </w:p>
        </w:tc>
        <w:tc>
          <w:tcPr>
            <w:tcW w:w="120" w:type="dxa"/>
            <w:vAlign w:val="bottom"/>
            <w:shd w:val="clear" w:color="auto" w:fill="FDFDFC"/>
          </w:tcPr>
          <w:p>
            <w:pPr>
              <w:spacing w:after="0"/>
              <w:rPr>
                <w:sz w:val="16"/>
                <w:szCs w:val="16"/>
                <w:color w:val="auto"/>
              </w:rPr>
            </w:pPr>
          </w:p>
        </w:tc>
      </w:tr>
      <w:tr>
        <w:trPr>
          <w:trHeight w:val="220"/>
        </w:trPr>
        <w:tc>
          <w:tcPr>
            <w:tcW w:w="1820" w:type="dxa"/>
            <w:vAlign w:val="bottom"/>
            <w:tcBorders>
              <w:top w:val="single" w:sz="8" w:color="231F20"/>
            </w:tcBorders>
            <w:shd w:val="clear" w:color="auto" w:fill="D0EBF2"/>
          </w:tcPr>
          <w:p>
            <w:pPr>
              <w:spacing w:after="0"/>
              <w:rPr>
                <w:sz w:val="20"/>
                <w:szCs w:val="20"/>
                <w:color w:val="auto"/>
              </w:rPr>
            </w:pPr>
            <w:r>
              <w:rPr>
                <w:rFonts w:ascii="Times New Roman" w:cs="Times New Roman" w:eastAsia="Times New Roman" w:hAnsi="Times New Roman"/>
                <w:sz w:val="19"/>
                <w:szCs w:val="19"/>
                <w:color w:val="231F20"/>
              </w:rPr>
              <w:t>February 15, 2024</w:t>
            </w:r>
          </w:p>
        </w:tc>
        <w:tc>
          <w:tcPr>
            <w:tcW w:w="20" w:type="dxa"/>
            <w:vAlign w:val="bottom"/>
            <w:tcBorders>
              <w:top w:val="single" w:sz="8" w:color="D0EBF2"/>
            </w:tcBorders>
            <w:shd w:val="clear" w:color="auto" w:fill="D0EBF2"/>
          </w:tcPr>
          <w:p>
            <w:pPr>
              <w:spacing w:after="0"/>
              <w:rPr>
                <w:sz w:val="19"/>
                <w:szCs w:val="19"/>
                <w:color w:val="auto"/>
              </w:rPr>
            </w:pPr>
          </w:p>
        </w:tc>
        <w:tc>
          <w:tcPr>
            <w:tcW w:w="80" w:type="dxa"/>
            <w:vAlign w:val="bottom"/>
            <w:tcBorders>
              <w:top w:val="single" w:sz="8" w:color="D0EBF2"/>
            </w:tcBorders>
            <w:shd w:val="clear" w:color="auto" w:fill="D0EBF2"/>
          </w:tcPr>
          <w:p>
            <w:pPr>
              <w:spacing w:after="0"/>
              <w:rPr>
                <w:sz w:val="19"/>
                <w:szCs w:val="19"/>
                <w:color w:val="auto"/>
              </w:rPr>
            </w:pPr>
          </w:p>
        </w:tc>
        <w:tc>
          <w:tcPr>
            <w:tcW w:w="1360" w:type="dxa"/>
            <w:vAlign w:val="bottom"/>
            <w:tcBorders>
              <w:top w:val="single" w:sz="8" w:color="231F20"/>
            </w:tcBorders>
            <w:shd w:val="clear" w:color="auto" w:fill="D0EBF2"/>
          </w:tcPr>
          <w:p>
            <w:pPr>
              <w:jc w:val="center"/>
              <w:spacing w:after="0"/>
              <w:rPr>
                <w:sz w:val="20"/>
                <w:szCs w:val="20"/>
                <w:color w:val="auto"/>
              </w:rPr>
            </w:pPr>
            <w:r>
              <w:rPr>
                <w:rFonts w:ascii="Times New Roman" w:cs="Times New Roman" w:eastAsia="Times New Roman" w:hAnsi="Times New Roman"/>
                <w:sz w:val="19"/>
                <w:szCs w:val="19"/>
                <w:color w:val="231F20"/>
                <w:w w:val="99"/>
              </w:rPr>
              <w:t>Supplemental</w:t>
            </w:r>
          </w:p>
        </w:tc>
        <w:tc>
          <w:tcPr>
            <w:tcW w:w="120" w:type="dxa"/>
            <w:vAlign w:val="bottom"/>
            <w:tcBorders>
              <w:top w:val="single" w:sz="8" w:color="D0EBF2"/>
            </w:tcBorders>
            <w:shd w:val="clear" w:color="auto" w:fill="D0EBF2"/>
          </w:tcPr>
          <w:p>
            <w:pPr>
              <w:spacing w:after="0"/>
              <w:rPr>
                <w:sz w:val="19"/>
                <w:szCs w:val="19"/>
                <w:color w:val="auto"/>
              </w:rPr>
            </w:pPr>
          </w:p>
        </w:tc>
        <w:tc>
          <w:tcPr>
            <w:tcW w:w="2020" w:type="dxa"/>
            <w:vAlign w:val="bottom"/>
            <w:tcBorders>
              <w:top w:val="single" w:sz="8" w:color="231F20"/>
            </w:tcBorders>
            <w:shd w:val="clear" w:color="auto" w:fill="D0EBF2"/>
          </w:tcPr>
          <w:p>
            <w:pPr>
              <w:jc w:val="right"/>
              <w:spacing w:after="0"/>
              <w:rPr>
                <w:sz w:val="20"/>
                <w:szCs w:val="20"/>
                <w:color w:val="auto"/>
              </w:rPr>
            </w:pPr>
            <w:r>
              <w:rPr>
                <w:rFonts w:ascii="Times New Roman" w:cs="Times New Roman" w:eastAsia="Times New Roman" w:hAnsi="Times New Roman"/>
                <w:sz w:val="19"/>
                <w:szCs w:val="19"/>
                <w:color w:val="231F20"/>
              </w:rPr>
              <w:t>February 29, 2024</w:t>
            </w:r>
          </w:p>
        </w:tc>
        <w:tc>
          <w:tcPr>
            <w:tcW w:w="120" w:type="dxa"/>
            <w:vAlign w:val="bottom"/>
            <w:tcBorders>
              <w:top w:val="single" w:sz="8" w:color="D0EBF2"/>
            </w:tcBorders>
            <w:shd w:val="clear" w:color="auto" w:fill="D0EBF2"/>
          </w:tcPr>
          <w:p>
            <w:pPr>
              <w:spacing w:after="0"/>
              <w:rPr>
                <w:sz w:val="19"/>
                <w:szCs w:val="19"/>
                <w:color w:val="auto"/>
              </w:rPr>
            </w:pPr>
          </w:p>
        </w:tc>
        <w:tc>
          <w:tcPr>
            <w:tcW w:w="1840" w:type="dxa"/>
            <w:vAlign w:val="bottom"/>
            <w:tcBorders>
              <w:top w:val="single" w:sz="8" w:color="231F20"/>
            </w:tcBorders>
            <w:shd w:val="clear" w:color="auto" w:fill="D0EBF2"/>
          </w:tcPr>
          <w:p>
            <w:pPr>
              <w:jc w:val="right"/>
              <w:spacing w:after="0"/>
              <w:rPr>
                <w:sz w:val="20"/>
                <w:szCs w:val="20"/>
                <w:color w:val="auto"/>
              </w:rPr>
            </w:pPr>
            <w:r>
              <w:rPr>
                <w:rFonts w:ascii="Times New Roman" w:cs="Times New Roman" w:eastAsia="Times New Roman" w:hAnsi="Times New Roman"/>
                <w:sz w:val="19"/>
                <w:szCs w:val="19"/>
                <w:color w:val="231F20"/>
              </w:rPr>
              <w:t>March 20, 2024</w:t>
            </w:r>
          </w:p>
        </w:tc>
        <w:tc>
          <w:tcPr>
            <w:tcW w:w="120" w:type="dxa"/>
            <w:vAlign w:val="bottom"/>
            <w:tcBorders>
              <w:top w:val="single" w:sz="8" w:color="D0EBF2"/>
            </w:tcBorders>
            <w:shd w:val="clear" w:color="auto" w:fill="D0EBF2"/>
          </w:tcPr>
          <w:p>
            <w:pPr>
              <w:spacing w:after="0"/>
              <w:rPr>
                <w:sz w:val="19"/>
                <w:szCs w:val="19"/>
                <w:color w:val="auto"/>
              </w:rPr>
            </w:pPr>
          </w:p>
        </w:tc>
        <w:tc>
          <w:tcPr>
            <w:tcW w:w="1560" w:type="dxa"/>
            <w:vAlign w:val="bottom"/>
            <w:tcBorders>
              <w:top w:val="single" w:sz="8" w:color="231F20"/>
            </w:tcBorders>
            <w:shd w:val="clear" w:color="auto" w:fill="D0EBF2"/>
          </w:tcPr>
          <w:p>
            <w:pPr>
              <w:jc w:val="right"/>
              <w:spacing w:after="0"/>
              <w:rPr>
                <w:sz w:val="20"/>
                <w:szCs w:val="20"/>
                <w:color w:val="auto"/>
              </w:rPr>
            </w:pPr>
            <w:r>
              <w:rPr>
                <w:rFonts w:ascii="Times New Roman" w:cs="Times New Roman" w:eastAsia="Times New Roman" w:hAnsi="Times New Roman"/>
                <w:sz w:val="19"/>
                <w:szCs w:val="19"/>
                <w:color w:val="231F20"/>
              </w:rPr>
              <w:t>36,749</w:t>
            </w:r>
          </w:p>
        </w:tc>
        <w:tc>
          <w:tcPr>
            <w:tcW w:w="120" w:type="dxa"/>
            <w:vAlign w:val="bottom"/>
            <w:tcBorders>
              <w:top w:val="single" w:sz="8" w:color="D0EBF2"/>
            </w:tcBorders>
            <w:shd w:val="clear" w:color="auto" w:fill="D0EBF2"/>
          </w:tcPr>
          <w:p>
            <w:pPr>
              <w:spacing w:after="0"/>
              <w:rPr>
                <w:sz w:val="19"/>
                <w:szCs w:val="19"/>
                <w:color w:val="auto"/>
              </w:rPr>
            </w:pPr>
          </w:p>
        </w:tc>
      </w:tr>
      <w:tr>
        <w:trPr>
          <w:trHeight w:val="230"/>
        </w:trPr>
        <w:tc>
          <w:tcPr>
            <w:tcW w:w="1820" w:type="dxa"/>
            <w:vAlign w:val="bottom"/>
            <w:shd w:val="clear" w:color="auto" w:fill="FDFDFC"/>
          </w:tcPr>
          <w:p>
            <w:pPr>
              <w:spacing w:after="0"/>
              <w:rPr>
                <w:sz w:val="20"/>
                <w:szCs w:val="20"/>
                <w:color w:val="auto"/>
              </w:rPr>
            </w:pPr>
            <w:r>
              <w:rPr>
                <w:rFonts w:ascii="Times New Roman" w:cs="Times New Roman" w:eastAsia="Times New Roman" w:hAnsi="Times New Roman"/>
                <w:sz w:val="19"/>
                <w:szCs w:val="19"/>
                <w:color w:val="231F20"/>
              </w:rPr>
              <w:t>February 15, 2024</w:t>
            </w:r>
          </w:p>
        </w:tc>
        <w:tc>
          <w:tcPr>
            <w:tcW w:w="20" w:type="dxa"/>
            <w:vAlign w:val="bottom"/>
            <w:shd w:val="clear" w:color="auto" w:fill="FDFDFC"/>
          </w:tcPr>
          <w:p>
            <w:pPr>
              <w:spacing w:after="0"/>
              <w:rPr>
                <w:sz w:val="20"/>
                <w:szCs w:val="20"/>
                <w:color w:val="auto"/>
              </w:rPr>
            </w:pPr>
          </w:p>
        </w:tc>
        <w:tc>
          <w:tcPr>
            <w:tcW w:w="80" w:type="dxa"/>
            <w:vAlign w:val="bottom"/>
            <w:shd w:val="clear" w:color="auto" w:fill="FDFDFC"/>
          </w:tcPr>
          <w:p>
            <w:pPr>
              <w:spacing w:after="0"/>
              <w:rPr>
                <w:sz w:val="20"/>
                <w:szCs w:val="20"/>
                <w:color w:val="auto"/>
              </w:rPr>
            </w:pPr>
          </w:p>
        </w:tc>
        <w:tc>
          <w:tcPr>
            <w:tcW w:w="1360" w:type="dxa"/>
            <w:vAlign w:val="bottom"/>
            <w:shd w:val="clear" w:color="auto" w:fill="FDFDFC"/>
          </w:tcPr>
          <w:p>
            <w:pPr>
              <w:jc w:val="center"/>
              <w:spacing w:after="0"/>
              <w:rPr>
                <w:sz w:val="20"/>
                <w:szCs w:val="20"/>
                <w:color w:val="auto"/>
              </w:rPr>
            </w:pPr>
            <w:r>
              <w:rPr>
                <w:rFonts w:ascii="Times New Roman" w:cs="Times New Roman" w:eastAsia="Times New Roman" w:hAnsi="Times New Roman"/>
                <w:sz w:val="19"/>
                <w:szCs w:val="19"/>
                <w:color w:val="231F20"/>
                <w:w w:val="97"/>
              </w:rPr>
              <w:t>Base</w:t>
            </w:r>
          </w:p>
        </w:tc>
        <w:tc>
          <w:tcPr>
            <w:tcW w:w="120" w:type="dxa"/>
            <w:vAlign w:val="bottom"/>
            <w:shd w:val="clear" w:color="auto" w:fill="FDFDFC"/>
          </w:tcPr>
          <w:p>
            <w:pPr>
              <w:spacing w:after="0"/>
              <w:rPr>
                <w:sz w:val="20"/>
                <w:szCs w:val="20"/>
                <w:color w:val="auto"/>
              </w:rPr>
            </w:pPr>
          </w:p>
        </w:tc>
        <w:tc>
          <w:tcPr>
            <w:tcW w:w="2020" w:type="dxa"/>
            <w:vAlign w:val="bottom"/>
            <w:shd w:val="clear" w:color="auto" w:fill="FDFDFC"/>
          </w:tcPr>
          <w:p>
            <w:pPr>
              <w:jc w:val="right"/>
              <w:spacing w:after="0"/>
              <w:rPr>
                <w:sz w:val="20"/>
                <w:szCs w:val="20"/>
                <w:color w:val="auto"/>
              </w:rPr>
            </w:pPr>
            <w:r>
              <w:rPr>
                <w:rFonts w:ascii="Times New Roman" w:cs="Times New Roman" w:eastAsia="Times New Roman" w:hAnsi="Times New Roman"/>
                <w:sz w:val="19"/>
                <w:szCs w:val="19"/>
                <w:color w:val="231F20"/>
              </w:rPr>
              <w:t>March 15, 2024</w:t>
            </w:r>
          </w:p>
        </w:tc>
        <w:tc>
          <w:tcPr>
            <w:tcW w:w="120" w:type="dxa"/>
            <w:vAlign w:val="bottom"/>
            <w:shd w:val="clear" w:color="auto" w:fill="FDFDFC"/>
          </w:tcPr>
          <w:p>
            <w:pPr>
              <w:spacing w:after="0"/>
              <w:rPr>
                <w:sz w:val="20"/>
                <w:szCs w:val="20"/>
                <w:color w:val="auto"/>
              </w:rPr>
            </w:pPr>
          </w:p>
        </w:tc>
        <w:tc>
          <w:tcPr>
            <w:tcW w:w="1840" w:type="dxa"/>
            <w:vAlign w:val="bottom"/>
            <w:shd w:val="clear" w:color="auto" w:fill="FDFDFC"/>
          </w:tcPr>
          <w:p>
            <w:pPr>
              <w:jc w:val="right"/>
              <w:spacing w:after="0"/>
              <w:rPr>
                <w:sz w:val="20"/>
                <w:szCs w:val="20"/>
                <w:color w:val="auto"/>
              </w:rPr>
            </w:pPr>
            <w:r>
              <w:rPr>
                <w:rFonts w:ascii="Times New Roman" w:cs="Times New Roman" w:eastAsia="Times New Roman" w:hAnsi="Times New Roman"/>
                <w:sz w:val="19"/>
                <w:szCs w:val="19"/>
                <w:color w:val="231F20"/>
              </w:rPr>
              <w:t>March 28, 2024</w:t>
            </w:r>
          </w:p>
        </w:tc>
        <w:tc>
          <w:tcPr>
            <w:tcW w:w="120" w:type="dxa"/>
            <w:vAlign w:val="bottom"/>
            <w:shd w:val="clear" w:color="auto" w:fill="FDFDFC"/>
          </w:tcPr>
          <w:p>
            <w:pPr>
              <w:spacing w:after="0"/>
              <w:rPr>
                <w:sz w:val="20"/>
                <w:szCs w:val="20"/>
                <w:color w:val="auto"/>
              </w:rPr>
            </w:pPr>
          </w:p>
        </w:tc>
        <w:tc>
          <w:tcPr>
            <w:tcW w:w="1560" w:type="dxa"/>
            <w:vAlign w:val="bottom"/>
            <w:shd w:val="clear" w:color="auto" w:fill="FDFDFC"/>
          </w:tcPr>
          <w:p>
            <w:pPr>
              <w:jc w:val="right"/>
              <w:spacing w:after="0"/>
              <w:rPr>
                <w:sz w:val="20"/>
                <w:szCs w:val="20"/>
                <w:color w:val="auto"/>
              </w:rPr>
            </w:pPr>
            <w:r>
              <w:rPr>
                <w:rFonts w:ascii="Times New Roman" w:cs="Times New Roman" w:eastAsia="Times New Roman" w:hAnsi="Times New Roman"/>
                <w:sz w:val="19"/>
                <w:szCs w:val="19"/>
                <w:color w:val="231F20"/>
              </w:rPr>
              <w:t>255,308</w:t>
            </w:r>
          </w:p>
        </w:tc>
        <w:tc>
          <w:tcPr>
            <w:tcW w:w="120" w:type="dxa"/>
            <w:vAlign w:val="bottom"/>
            <w:shd w:val="clear" w:color="auto" w:fill="FDFDFC"/>
          </w:tcPr>
          <w:p>
            <w:pPr>
              <w:spacing w:after="0"/>
              <w:rPr>
                <w:sz w:val="20"/>
                <w:szCs w:val="20"/>
                <w:color w:val="auto"/>
              </w:rPr>
            </w:pPr>
          </w:p>
        </w:tc>
      </w:tr>
      <w:tr>
        <w:trPr>
          <w:trHeight w:val="230"/>
        </w:trPr>
        <w:tc>
          <w:tcPr>
            <w:tcW w:w="1920" w:type="dxa"/>
            <w:vAlign w:val="bottom"/>
            <w:gridSpan w:val="3"/>
            <w:shd w:val="clear" w:color="auto" w:fill="D0EBF2"/>
          </w:tcPr>
          <w:p>
            <w:pPr>
              <w:spacing w:after="0"/>
              <w:rPr>
                <w:sz w:val="20"/>
                <w:szCs w:val="20"/>
                <w:color w:val="auto"/>
              </w:rPr>
            </w:pPr>
            <w:r>
              <w:rPr>
                <w:rFonts w:ascii="Times New Roman" w:cs="Times New Roman" w:eastAsia="Times New Roman" w:hAnsi="Times New Roman"/>
                <w:sz w:val="19"/>
                <w:szCs w:val="19"/>
                <w:color w:val="231F20"/>
              </w:rPr>
              <w:t>May 1, 2024</w:t>
            </w:r>
          </w:p>
        </w:tc>
        <w:tc>
          <w:tcPr>
            <w:tcW w:w="1360" w:type="dxa"/>
            <w:vAlign w:val="bottom"/>
            <w:shd w:val="clear" w:color="auto" w:fill="D0EBF2"/>
          </w:tcPr>
          <w:p>
            <w:pPr>
              <w:jc w:val="center"/>
              <w:spacing w:after="0"/>
              <w:rPr>
                <w:sz w:val="20"/>
                <w:szCs w:val="20"/>
                <w:color w:val="auto"/>
              </w:rPr>
            </w:pPr>
            <w:r>
              <w:rPr>
                <w:rFonts w:ascii="Times New Roman" w:cs="Times New Roman" w:eastAsia="Times New Roman" w:hAnsi="Times New Roman"/>
                <w:sz w:val="19"/>
                <w:szCs w:val="19"/>
                <w:color w:val="231F20"/>
                <w:w w:val="99"/>
              </w:rPr>
              <w:t>Supplemental</w:t>
            </w:r>
          </w:p>
        </w:tc>
        <w:tc>
          <w:tcPr>
            <w:tcW w:w="120" w:type="dxa"/>
            <w:vAlign w:val="bottom"/>
            <w:shd w:val="clear" w:color="auto" w:fill="D0EBF2"/>
          </w:tcPr>
          <w:p>
            <w:pPr>
              <w:spacing w:after="0"/>
              <w:rPr>
                <w:sz w:val="20"/>
                <w:szCs w:val="20"/>
                <w:color w:val="auto"/>
              </w:rPr>
            </w:pPr>
          </w:p>
        </w:tc>
        <w:tc>
          <w:tcPr>
            <w:tcW w:w="2020" w:type="dxa"/>
            <w:vAlign w:val="bottom"/>
            <w:shd w:val="clear" w:color="auto" w:fill="D0EBF2"/>
          </w:tcPr>
          <w:p>
            <w:pPr>
              <w:jc w:val="right"/>
              <w:spacing w:after="0"/>
              <w:rPr>
                <w:sz w:val="20"/>
                <w:szCs w:val="20"/>
                <w:color w:val="auto"/>
              </w:rPr>
            </w:pPr>
            <w:r>
              <w:rPr>
                <w:rFonts w:ascii="Times New Roman" w:cs="Times New Roman" w:eastAsia="Times New Roman" w:hAnsi="Times New Roman"/>
                <w:sz w:val="19"/>
                <w:szCs w:val="19"/>
                <w:color w:val="231F20"/>
              </w:rPr>
              <w:t>May 31, 2024</w:t>
            </w:r>
          </w:p>
        </w:tc>
        <w:tc>
          <w:tcPr>
            <w:tcW w:w="120" w:type="dxa"/>
            <w:vAlign w:val="bottom"/>
            <w:shd w:val="clear" w:color="auto" w:fill="D0EBF2"/>
          </w:tcPr>
          <w:p>
            <w:pPr>
              <w:spacing w:after="0"/>
              <w:rPr>
                <w:sz w:val="20"/>
                <w:szCs w:val="20"/>
                <w:color w:val="auto"/>
              </w:rPr>
            </w:pPr>
          </w:p>
        </w:tc>
        <w:tc>
          <w:tcPr>
            <w:tcW w:w="1840" w:type="dxa"/>
            <w:vAlign w:val="bottom"/>
            <w:shd w:val="clear" w:color="auto" w:fill="D0EBF2"/>
          </w:tcPr>
          <w:p>
            <w:pPr>
              <w:jc w:val="right"/>
              <w:spacing w:after="0"/>
              <w:rPr>
                <w:sz w:val="20"/>
                <w:szCs w:val="20"/>
                <w:color w:val="auto"/>
              </w:rPr>
            </w:pPr>
            <w:r>
              <w:rPr>
                <w:rFonts w:ascii="Times New Roman" w:cs="Times New Roman" w:eastAsia="Times New Roman" w:hAnsi="Times New Roman"/>
                <w:sz w:val="19"/>
                <w:szCs w:val="19"/>
                <w:color w:val="231F20"/>
              </w:rPr>
              <w:t>June 20, 2024</w:t>
            </w:r>
          </w:p>
        </w:tc>
        <w:tc>
          <w:tcPr>
            <w:tcW w:w="1680" w:type="dxa"/>
            <w:vAlign w:val="bottom"/>
            <w:gridSpan w:val="2"/>
            <w:shd w:val="clear" w:color="auto" w:fill="D0EBF2"/>
          </w:tcPr>
          <w:p>
            <w:pPr>
              <w:jc w:val="right"/>
              <w:spacing w:after="0"/>
              <w:rPr>
                <w:sz w:val="20"/>
                <w:szCs w:val="20"/>
                <w:color w:val="auto"/>
              </w:rPr>
            </w:pPr>
            <w:r>
              <w:rPr>
                <w:rFonts w:ascii="Times New Roman" w:cs="Times New Roman" w:eastAsia="Times New Roman" w:hAnsi="Times New Roman"/>
                <w:sz w:val="19"/>
                <w:szCs w:val="19"/>
                <w:color w:val="231F20"/>
              </w:rPr>
              <w:t>34,318</w:t>
            </w:r>
          </w:p>
        </w:tc>
        <w:tc>
          <w:tcPr>
            <w:tcW w:w="120" w:type="dxa"/>
            <w:vAlign w:val="bottom"/>
            <w:shd w:val="clear" w:color="auto" w:fill="D0EBF2"/>
          </w:tcPr>
          <w:p>
            <w:pPr>
              <w:spacing w:after="0"/>
              <w:rPr>
                <w:sz w:val="20"/>
                <w:szCs w:val="20"/>
                <w:color w:val="auto"/>
              </w:rPr>
            </w:pPr>
          </w:p>
        </w:tc>
      </w:tr>
      <w:tr>
        <w:trPr>
          <w:trHeight w:val="230"/>
        </w:trPr>
        <w:tc>
          <w:tcPr>
            <w:tcW w:w="1920" w:type="dxa"/>
            <w:vAlign w:val="bottom"/>
            <w:gridSpan w:val="3"/>
            <w:shd w:val="clear" w:color="auto" w:fill="FDFDFC"/>
          </w:tcPr>
          <w:p>
            <w:pPr>
              <w:spacing w:after="0"/>
              <w:rPr>
                <w:sz w:val="20"/>
                <w:szCs w:val="20"/>
                <w:color w:val="auto"/>
              </w:rPr>
            </w:pPr>
            <w:r>
              <w:rPr>
                <w:rFonts w:ascii="Times New Roman" w:cs="Times New Roman" w:eastAsia="Times New Roman" w:hAnsi="Times New Roman"/>
                <w:sz w:val="19"/>
                <w:szCs w:val="19"/>
                <w:color w:val="231F20"/>
              </w:rPr>
              <w:t>May 1, 2024</w:t>
            </w:r>
          </w:p>
        </w:tc>
        <w:tc>
          <w:tcPr>
            <w:tcW w:w="1360" w:type="dxa"/>
            <w:vAlign w:val="bottom"/>
            <w:shd w:val="clear" w:color="auto" w:fill="FDFDFC"/>
          </w:tcPr>
          <w:p>
            <w:pPr>
              <w:jc w:val="center"/>
              <w:spacing w:after="0"/>
              <w:rPr>
                <w:sz w:val="20"/>
                <w:szCs w:val="20"/>
                <w:color w:val="auto"/>
              </w:rPr>
            </w:pPr>
            <w:r>
              <w:rPr>
                <w:rFonts w:ascii="Times New Roman" w:cs="Times New Roman" w:eastAsia="Times New Roman" w:hAnsi="Times New Roman"/>
                <w:sz w:val="19"/>
                <w:szCs w:val="19"/>
                <w:color w:val="231F20"/>
                <w:w w:val="97"/>
              </w:rPr>
              <w:t>Base</w:t>
            </w:r>
          </w:p>
        </w:tc>
        <w:tc>
          <w:tcPr>
            <w:tcW w:w="120" w:type="dxa"/>
            <w:vAlign w:val="bottom"/>
            <w:shd w:val="clear" w:color="auto" w:fill="FDFDFC"/>
          </w:tcPr>
          <w:p>
            <w:pPr>
              <w:spacing w:after="0"/>
              <w:rPr>
                <w:sz w:val="20"/>
                <w:szCs w:val="20"/>
                <w:color w:val="auto"/>
              </w:rPr>
            </w:pPr>
          </w:p>
        </w:tc>
        <w:tc>
          <w:tcPr>
            <w:tcW w:w="2020" w:type="dxa"/>
            <w:vAlign w:val="bottom"/>
            <w:shd w:val="clear" w:color="auto" w:fill="FDFDFC"/>
          </w:tcPr>
          <w:p>
            <w:pPr>
              <w:jc w:val="right"/>
              <w:spacing w:after="0"/>
              <w:rPr>
                <w:sz w:val="20"/>
                <w:szCs w:val="20"/>
                <w:color w:val="auto"/>
              </w:rPr>
            </w:pPr>
            <w:r>
              <w:rPr>
                <w:rFonts w:ascii="Times New Roman" w:cs="Times New Roman" w:eastAsia="Times New Roman" w:hAnsi="Times New Roman"/>
                <w:sz w:val="19"/>
                <w:szCs w:val="19"/>
                <w:color w:val="231F20"/>
              </w:rPr>
              <w:t>June 14, 2024</w:t>
            </w:r>
          </w:p>
        </w:tc>
        <w:tc>
          <w:tcPr>
            <w:tcW w:w="120" w:type="dxa"/>
            <w:vAlign w:val="bottom"/>
            <w:shd w:val="clear" w:color="auto" w:fill="FDFDFC"/>
          </w:tcPr>
          <w:p>
            <w:pPr>
              <w:spacing w:after="0"/>
              <w:rPr>
                <w:sz w:val="20"/>
                <w:szCs w:val="20"/>
                <w:color w:val="auto"/>
              </w:rPr>
            </w:pPr>
          </w:p>
        </w:tc>
        <w:tc>
          <w:tcPr>
            <w:tcW w:w="1840" w:type="dxa"/>
            <w:vAlign w:val="bottom"/>
            <w:shd w:val="clear" w:color="auto" w:fill="FDFDFC"/>
          </w:tcPr>
          <w:p>
            <w:pPr>
              <w:jc w:val="right"/>
              <w:spacing w:after="0"/>
              <w:rPr>
                <w:sz w:val="20"/>
                <w:szCs w:val="20"/>
                <w:color w:val="auto"/>
              </w:rPr>
            </w:pPr>
            <w:r>
              <w:rPr>
                <w:rFonts w:ascii="Times New Roman" w:cs="Times New Roman" w:eastAsia="Times New Roman" w:hAnsi="Times New Roman"/>
                <w:sz w:val="19"/>
                <w:szCs w:val="19"/>
                <w:color w:val="231F20"/>
              </w:rPr>
              <w:t>June 28, 2024</w:t>
            </w:r>
          </w:p>
        </w:tc>
        <w:tc>
          <w:tcPr>
            <w:tcW w:w="1680" w:type="dxa"/>
            <w:vAlign w:val="bottom"/>
            <w:gridSpan w:val="2"/>
            <w:shd w:val="clear" w:color="auto" w:fill="FDFDFC"/>
          </w:tcPr>
          <w:p>
            <w:pPr>
              <w:jc w:val="right"/>
              <w:spacing w:after="0"/>
              <w:rPr>
                <w:sz w:val="20"/>
                <w:szCs w:val="20"/>
                <w:color w:val="auto"/>
              </w:rPr>
            </w:pPr>
            <w:r>
              <w:rPr>
                <w:rFonts w:ascii="Times New Roman" w:cs="Times New Roman" w:eastAsia="Times New Roman" w:hAnsi="Times New Roman"/>
                <w:sz w:val="19"/>
                <w:szCs w:val="19"/>
                <w:color w:val="231F20"/>
              </w:rPr>
              <w:t>261,331</w:t>
            </w:r>
          </w:p>
        </w:tc>
        <w:tc>
          <w:tcPr>
            <w:tcW w:w="120" w:type="dxa"/>
            <w:vAlign w:val="bottom"/>
            <w:shd w:val="clear" w:color="auto" w:fill="FDFDFC"/>
          </w:tcPr>
          <w:p>
            <w:pPr>
              <w:spacing w:after="0"/>
              <w:rPr>
                <w:sz w:val="20"/>
                <w:szCs w:val="20"/>
                <w:color w:val="auto"/>
              </w:rPr>
            </w:pPr>
          </w:p>
        </w:tc>
      </w:tr>
      <w:tr>
        <w:trPr>
          <w:trHeight w:val="230"/>
        </w:trPr>
        <w:tc>
          <w:tcPr>
            <w:tcW w:w="1920" w:type="dxa"/>
            <w:vAlign w:val="bottom"/>
            <w:gridSpan w:val="3"/>
            <w:shd w:val="clear" w:color="auto" w:fill="D0EBF2"/>
          </w:tcPr>
          <w:p>
            <w:pPr>
              <w:spacing w:after="0"/>
              <w:rPr>
                <w:sz w:val="20"/>
                <w:szCs w:val="20"/>
                <w:color w:val="auto"/>
              </w:rPr>
            </w:pPr>
            <w:r>
              <w:rPr>
                <w:rFonts w:ascii="Times New Roman" w:cs="Times New Roman" w:eastAsia="Times New Roman" w:hAnsi="Times New Roman"/>
                <w:sz w:val="19"/>
                <w:szCs w:val="19"/>
                <w:color w:val="231F20"/>
              </w:rPr>
              <w:t>July 31, 2024</w:t>
            </w:r>
          </w:p>
        </w:tc>
        <w:tc>
          <w:tcPr>
            <w:tcW w:w="1360" w:type="dxa"/>
            <w:vAlign w:val="bottom"/>
            <w:shd w:val="clear" w:color="auto" w:fill="D0EBF2"/>
          </w:tcPr>
          <w:p>
            <w:pPr>
              <w:jc w:val="center"/>
              <w:spacing w:after="0"/>
              <w:rPr>
                <w:sz w:val="20"/>
                <w:szCs w:val="20"/>
                <w:color w:val="auto"/>
              </w:rPr>
            </w:pPr>
            <w:r>
              <w:rPr>
                <w:rFonts w:ascii="Times New Roman" w:cs="Times New Roman" w:eastAsia="Times New Roman" w:hAnsi="Times New Roman"/>
                <w:sz w:val="19"/>
                <w:szCs w:val="19"/>
                <w:color w:val="231F20"/>
                <w:w w:val="99"/>
              </w:rPr>
              <w:t>Supplemental</w:t>
            </w:r>
          </w:p>
        </w:tc>
        <w:tc>
          <w:tcPr>
            <w:tcW w:w="120" w:type="dxa"/>
            <w:vAlign w:val="bottom"/>
            <w:shd w:val="clear" w:color="auto" w:fill="D0EBF2"/>
          </w:tcPr>
          <w:p>
            <w:pPr>
              <w:spacing w:after="0"/>
              <w:rPr>
                <w:sz w:val="20"/>
                <w:szCs w:val="20"/>
                <w:color w:val="auto"/>
              </w:rPr>
            </w:pPr>
          </w:p>
        </w:tc>
        <w:tc>
          <w:tcPr>
            <w:tcW w:w="2020" w:type="dxa"/>
            <w:vAlign w:val="bottom"/>
            <w:shd w:val="clear" w:color="auto" w:fill="D0EBF2"/>
          </w:tcPr>
          <w:p>
            <w:pPr>
              <w:jc w:val="right"/>
              <w:spacing w:after="0"/>
              <w:rPr>
                <w:sz w:val="20"/>
                <w:szCs w:val="20"/>
                <w:color w:val="auto"/>
              </w:rPr>
            </w:pPr>
            <w:r>
              <w:rPr>
                <w:rFonts w:ascii="Times New Roman" w:cs="Times New Roman" w:eastAsia="Times New Roman" w:hAnsi="Times New Roman"/>
                <w:sz w:val="19"/>
                <w:szCs w:val="19"/>
                <w:color w:val="231F20"/>
              </w:rPr>
              <w:t>August 30, 2024</w:t>
            </w:r>
          </w:p>
        </w:tc>
        <w:tc>
          <w:tcPr>
            <w:tcW w:w="120" w:type="dxa"/>
            <w:vAlign w:val="bottom"/>
            <w:shd w:val="clear" w:color="auto" w:fill="D0EBF2"/>
          </w:tcPr>
          <w:p>
            <w:pPr>
              <w:spacing w:after="0"/>
              <w:rPr>
                <w:sz w:val="20"/>
                <w:szCs w:val="20"/>
                <w:color w:val="auto"/>
              </w:rPr>
            </w:pPr>
          </w:p>
        </w:tc>
        <w:tc>
          <w:tcPr>
            <w:tcW w:w="1840" w:type="dxa"/>
            <w:vAlign w:val="bottom"/>
            <w:shd w:val="clear" w:color="auto" w:fill="D0EBF2"/>
          </w:tcPr>
          <w:p>
            <w:pPr>
              <w:jc w:val="right"/>
              <w:spacing w:after="0"/>
              <w:rPr>
                <w:sz w:val="20"/>
                <w:szCs w:val="20"/>
                <w:color w:val="auto"/>
              </w:rPr>
            </w:pPr>
            <w:r>
              <w:rPr>
                <w:rFonts w:ascii="Times New Roman" w:cs="Times New Roman" w:eastAsia="Times New Roman" w:hAnsi="Times New Roman"/>
                <w:sz w:val="19"/>
                <w:szCs w:val="19"/>
                <w:color w:val="231F20"/>
              </w:rPr>
              <w:t>September 20, 2024</w:t>
            </w:r>
          </w:p>
        </w:tc>
        <w:tc>
          <w:tcPr>
            <w:tcW w:w="1680" w:type="dxa"/>
            <w:vAlign w:val="bottom"/>
            <w:gridSpan w:val="2"/>
            <w:shd w:val="clear" w:color="auto" w:fill="D0EBF2"/>
          </w:tcPr>
          <w:p>
            <w:pPr>
              <w:jc w:val="right"/>
              <w:spacing w:after="0"/>
              <w:rPr>
                <w:sz w:val="20"/>
                <w:szCs w:val="20"/>
                <w:color w:val="auto"/>
              </w:rPr>
            </w:pPr>
            <w:r>
              <w:rPr>
                <w:rFonts w:ascii="Times New Roman" w:cs="Times New Roman" w:eastAsia="Times New Roman" w:hAnsi="Times New Roman"/>
                <w:sz w:val="19"/>
                <w:szCs w:val="19"/>
                <w:color w:val="231F20"/>
              </w:rPr>
              <w:t>33,887</w:t>
            </w:r>
          </w:p>
        </w:tc>
        <w:tc>
          <w:tcPr>
            <w:tcW w:w="120" w:type="dxa"/>
            <w:vAlign w:val="bottom"/>
            <w:shd w:val="clear" w:color="auto" w:fill="D0EBF2"/>
          </w:tcPr>
          <w:p>
            <w:pPr>
              <w:spacing w:after="0"/>
              <w:rPr>
                <w:sz w:val="20"/>
                <w:szCs w:val="20"/>
                <w:color w:val="auto"/>
              </w:rPr>
            </w:pPr>
          </w:p>
        </w:tc>
      </w:tr>
      <w:tr>
        <w:trPr>
          <w:trHeight w:val="230"/>
        </w:trPr>
        <w:tc>
          <w:tcPr>
            <w:tcW w:w="1920" w:type="dxa"/>
            <w:vAlign w:val="bottom"/>
            <w:gridSpan w:val="3"/>
            <w:shd w:val="clear" w:color="auto" w:fill="FDFDFC"/>
          </w:tcPr>
          <w:p>
            <w:pPr>
              <w:spacing w:after="0"/>
              <w:rPr>
                <w:sz w:val="20"/>
                <w:szCs w:val="20"/>
                <w:color w:val="auto"/>
              </w:rPr>
            </w:pPr>
            <w:r>
              <w:rPr>
                <w:rFonts w:ascii="Times New Roman" w:cs="Times New Roman" w:eastAsia="Times New Roman" w:hAnsi="Times New Roman"/>
                <w:sz w:val="19"/>
                <w:szCs w:val="19"/>
                <w:color w:val="231F20"/>
              </w:rPr>
              <w:t>July 31, 2024</w:t>
            </w:r>
          </w:p>
        </w:tc>
        <w:tc>
          <w:tcPr>
            <w:tcW w:w="1360" w:type="dxa"/>
            <w:vAlign w:val="bottom"/>
            <w:shd w:val="clear" w:color="auto" w:fill="FDFDFC"/>
          </w:tcPr>
          <w:p>
            <w:pPr>
              <w:jc w:val="center"/>
              <w:spacing w:after="0"/>
              <w:rPr>
                <w:sz w:val="20"/>
                <w:szCs w:val="20"/>
                <w:color w:val="auto"/>
              </w:rPr>
            </w:pPr>
            <w:r>
              <w:rPr>
                <w:rFonts w:ascii="Times New Roman" w:cs="Times New Roman" w:eastAsia="Times New Roman" w:hAnsi="Times New Roman"/>
                <w:sz w:val="19"/>
                <w:szCs w:val="19"/>
                <w:color w:val="231F20"/>
                <w:w w:val="97"/>
              </w:rPr>
              <w:t>Base</w:t>
            </w:r>
          </w:p>
        </w:tc>
        <w:tc>
          <w:tcPr>
            <w:tcW w:w="120" w:type="dxa"/>
            <w:vAlign w:val="bottom"/>
            <w:shd w:val="clear" w:color="auto" w:fill="FDFDFC"/>
          </w:tcPr>
          <w:p>
            <w:pPr>
              <w:spacing w:after="0"/>
              <w:rPr>
                <w:sz w:val="20"/>
                <w:szCs w:val="20"/>
                <w:color w:val="auto"/>
              </w:rPr>
            </w:pPr>
          </w:p>
        </w:tc>
        <w:tc>
          <w:tcPr>
            <w:tcW w:w="2020" w:type="dxa"/>
            <w:vAlign w:val="bottom"/>
            <w:shd w:val="clear" w:color="auto" w:fill="FDFDFC"/>
          </w:tcPr>
          <w:p>
            <w:pPr>
              <w:jc w:val="right"/>
              <w:spacing w:after="0"/>
              <w:rPr>
                <w:sz w:val="20"/>
                <w:szCs w:val="20"/>
                <w:color w:val="auto"/>
              </w:rPr>
            </w:pPr>
            <w:r>
              <w:rPr>
                <w:rFonts w:ascii="Times New Roman" w:cs="Times New Roman" w:eastAsia="Times New Roman" w:hAnsi="Times New Roman"/>
                <w:sz w:val="19"/>
                <w:szCs w:val="19"/>
                <w:color w:val="231F20"/>
              </w:rPr>
              <w:t>September 16, 2024</w:t>
            </w:r>
          </w:p>
        </w:tc>
        <w:tc>
          <w:tcPr>
            <w:tcW w:w="120" w:type="dxa"/>
            <w:vAlign w:val="bottom"/>
            <w:shd w:val="clear" w:color="auto" w:fill="FDFDFC"/>
          </w:tcPr>
          <w:p>
            <w:pPr>
              <w:spacing w:after="0"/>
              <w:rPr>
                <w:sz w:val="20"/>
                <w:szCs w:val="20"/>
                <w:color w:val="auto"/>
              </w:rPr>
            </w:pPr>
          </w:p>
        </w:tc>
        <w:tc>
          <w:tcPr>
            <w:tcW w:w="1840" w:type="dxa"/>
            <w:vAlign w:val="bottom"/>
            <w:shd w:val="clear" w:color="auto" w:fill="FDFDFC"/>
          </w:tcPr>
          <w:p>
            <w:pPr>
              <w:jc w:val="right"/>
              <w:spacing w:after="0"/>
              <w:rPr>
                <w:sz w:val="20"/>
                <w:szCs w:val="20"/>
                <w:color w:val="auto"/>
              </w:rPr>
            </w:pPr>
            <w:r>
              <w:rPr>
                <w:rFonts w:ascii="Times New Roman" w:cs="Times New Roman" w:eastAsia="Times New Roman" w:hAnsi="Times New Roman"/>
                <w:sz w:val="19"/>
                <w:szCs w:val="19"/>
                <w:color w:val="231F20"/>
              </w:rPr>
              <w:t>September 30, 2024</w:t>
            </w:r>
          </w:p>
        </w:tc>
        <w:tc>
          <w:tcPr>
            <w:tcW w:w="1680" w:type="dxa"/>
            <w:vAlign w:val="bottom"/>
            <w:gridSpan w:val="2"/>
            <w:shd w:val="clear" w:color="auto" w:fill="FDFDFC"/>
          </w:tcPr>
          <w:p>
            <w:pPr>
              <w:jc w:val="right"/>
              <w:spacing w:after="0"/>
              <w:rPr>
                <w:sz w:val="20"/>
                <w:szCs w:val="20"/>
                <w:color w:val="auto"/>
              </w:rPr>
            </w:pPr>
            <w:r>
              <w:rPr>
                <w:rFonts w:ascii="Times New Roman" w:cs="Times New Roman" w:eastAsia="Times New Roman" w:hAnsi="Times New Roman"/>
                <w:sz w:val="19"/>
                <w:szCs w:val="19"/>
                <w:color w:val="231F20"/>
              </w:rPr>
              <w:t>266,529</w:t>
            </w:r>
          </w:p>
        </w:tc>
        <w:tc>
          <w:tcPr>
            <w:tcW w:w="120" w:type="dxa"/>
            <w:vAlign w:val="bottom"/>
            <w:shd w:val="clear" w:color="auto" w:fill="FDFDFC"/>
          </w:tcPr>
          <w:p>
            <w:pPr>
              <w:spacing w:after="0"/>
              <w:rPr>
                <w:sz w:val="20"/>
                <w:szCs w:val="20"/>
                <w:color w:val="auto"/>
              </w:rPr>
            </w:pPr>
          </w:p>
        </w:tc>
      </w:tr>
      <w:tr>
        <w:trPr>
          <w:trHeight w:val="230"/>
        </w:trPr>
        <w:tc>
          <w:tcPr>
            <w:tcW w:w="1920" w:type="dxa"/>
            <w:vAlign w:val="bottom"/>
            <w:gridSpan w:val="3"/>
            <w:shd w:val="clear" w:color="auto" w:fill="D0EBF2"/>
          </w:tcPr>
          <w:p>
            <w:pPr>
              <w:spacing w:after="0"/>
              <w:rPr>
                <w:sz w:val="20"/>
                <w:szCs w:val="20"/>
                <w:color w:val="auto"/>
              </w:rPr>
            </w:pPr>
            <w:r>
              <w:rPr>
                <w:rFonts w:ascii="Times New Roman" w:cs="Times New Roman" w:eastAsia="Times New Roman" w:hAnsi="Times New Roman"/>
                <w:sz w:val="19"/>
                <w:szCs w:val="19"/>
                <w:color w:val="231F20"/>
              </w:rPr>
              <w:t>November 5, 2024</w:t>
            </w:r>
          </w:p>
        </w:tc>
        <w:tc>
          <w:tcPr>
            <w:tcW w:w="1360" w:type="dxa"/>
            <w:vAlign w:val="bottom"/>
            <w:shd w:val="clear" w:color="auto" w:fill="D0EBF2"/>
          </w:tcPr>
          <w:p>
            <w:pPr>
              <w:jc w:val="center"/>
              <w:spacing w:after="0"/>
              <w:rPr>
                <w:sz w:val="20"/>
                <w:szCs w:val="20"/>
                <w:color w:val="auto"/>
              </w:rPr>
            </w:pPr>
            <w:r>
              <w:rPr>
                <w:rFonts w:ascii="Times New Roman" w:cs="Times New Roman" w:eastAsia="Times New Roman" w:hAnsi="Times New Roman"/>
                <w:sz w:val="19"/>
                <w:szCs w:val="19"/>
                <w:color w:val="231F20"/>
                <w:w w:val="99"/>
              </w:rPr>
              <w:t>Supplemental</w:t>
            </w:r>
          </w:p>
        </w:tc>
        <w:tc>
          <w:tcPr>
            <w:tcW w:w="120" w:type="dxa"/>
            <w:vAlign w:val="bottom"/>
            <w:shd w:val="clear" w:color="auto" w:fill="D0EBF2"/>
          </w:tcPr>
          <w:p>
            <w:pPr>
              <w:spacing w:after="0"/>
              <w:rPr>
                <w:sz w:val="20"/>
                <w:szCs w:val="20"/>
                <w:color w:val="auto"/>
              </w:rPr>
            </w:pPr>
          </w:p>
        </w:tc>
        <w:tc>
          <w:tcPr>
            <w:tcW w:w="2020" w:type="dxa"/>
            <w:vAlign w:val="bottom"/>
            <w:shd w:val="clear" w:color="auto" w:fill="D0EBF2"/>
          </w:tcPr>
          <w:p>
            <w:pPr>
              <w:jc w:val="right"/>
              <w:spacing w:after="0"/>
              <w:rPr>
                <w:sz w:val="20"/>
                <w:szCs w:val="20"/>
                <w:color w:val="auto"/>
              </w:rPr>
            </w:pPr>
            <w:r>
              <w:rPr>
                <w:rFonts w:ascii="Times New Roman" w:cs="Times New Roman" w:eastAsia="Times New Roman" w:hAnsi="Times New Roman"/>
                <w:sz w:val="19"/>
                <w:szCs w:val="19"/>
                <w:color w:val="231F20"/>
              </w:rPr>
              <w:t>November 29, 2024</w:t>
            </w:r>
          </w:p>
        </w:tc>
        <w:tc>
          <w:tcPr>
            <w:tcW w:w="120" w:type="dxa"/>
            <w:vAlign w:val="bottom"/>
            <w:shd w:val="clear" w:color="auto" w:fill="D0EBF2"/>
          </w:tcPr>
          <w:p>
            <w:pPr>
              <w:spacing w:after="0"/>
              <w:rPr>
                <w:sz w:val="20"/>
                <w:szCs w:val="20"/>
                <w:color w:val="auto"/>
              </w:rPr>
            </w:pPr>
          </w:p>
        </w:tc>
        <w:tc>
          <w:tcPr>
            <w:tcW w:w="1840" w:type="dxa"/>
            <w:vAlign w:val="bottom"/>
            <w:shd w:val="clear" w:color="auto" w:fill="D0EBF2"/>
          </w:tcPr>
          <w:p>
            <w:pPr>
              <w:jc w:val="right"/>
              <w:spacing w:after="0"/>
              <w:rPr>
                <w:sz w:val="20"/>
                <w:szCs w:val="20"/>
                <w:color w:val="auto"/>
              </w:rPr>
            </w:pPr>
            <w:r>
              <w:rPr>
                <w:rFonts w:ascii="Times New Roman" w:cs="Times New Roman" w:eastAsia="Times New Roman" w:hAnsi="Times New Roman"/>
                <w:sz w:val="19"/>
                <w:szCs w:val="19"/>
                <w:color w:val="231F20"/>
              </w:rPr>
              <w:t>December 20, 2024</w:t>
            </w:r>
          </w:p>
        </w:tc>
        <w:tc>
          <w:tcPr>
            <w:tcW w:w="1680" w:type="dxa"/>
            <w:vAlign w:val="bottom"/>
            <w:gridSpan w:val="2"/>
            <w:shd w:val="clear" w:color="auto" w:fill="D0EBF2"/>
          </w:tcPr>
          <w:p>
            <w:pPr>
              <w:jc w:val="right"/>
              <w:spacing w:after="0"/>
              <w:rPr>
                <w:sz w:val="20"/>
                <w:szCs w:val="20"/>
                <w:color w:val="auto"/>
              </w:rPr>
            </w:pPr>
            <w:r>
              <w:rPr>
                <w:rFonts w:ascii="Times New Roman" w:cs="Times New Roman" w:eastAsia="Times New Roman" w:hAnsi="Times New Roman"/>
                <w:sz w:val="19"/>
                <w:szCs w:val="19"/>
                <w:color w:val="231F20"/>
              </w:rPr>
              <w:t>28,498</w:t>
            </w:r>
          </w:p>
        </w:tc>
        <w:tc>
          <w:tcPr>
            <w:tcW w:w="120" w:type="dxa"/>
            <w:vAlign w:val="bottom"/>
            <w:shd w:val="clear" w:color="auto" w:fill="D0EBF2"/>
          </w:tcPr>
          <w:p>
            <w:pPr>
              <w:spacing w:after="0"/>
              <w:rPr>
                <w:sz w:val="20"/>
                <w:szCs w:val="20"/>
                <w:color w:val="auto"/>
              </w:rPr>
            </w:pPr>
          </w:p>
        </w:tc>
      </w:tr>
      <w:tr>
        <w:trPr>
          <w:trHeight w:val="230"/>
        </w:trPr>
        <w:tc>
          <w:tcPr>
            <w:tcW w:w="1920" w:type="dxa"/>
            <w:vAlign w:val="bottom"/>
            <w:gridSpan w:val="3"/>
            <w:shd w:val="clear" w:color="auto" w:fill="FDFDFC"/>
          </w:tcPr>
          <w:p>
            <w:pPr>
              <w:spacing w:after="0"/>
              <w:rPr>
                <w:sz w:val="20"/>
                <w:szCs w:val="20"/>
                <w:color w:val="auto"/>
              </w:rPr>
            </w:pPr>
            <w:r>
              <w:rPr>
                <w:rFonts w:ascii="Times New Roman" w:cs="Times New Roman" w:eastAsia="Times New Roman" w:hAnsi="Times New Roman"/>
                <w:sz w:val="19"/>
                <w:szCs w:val="19"/>
                <w:color w:val="231F20"/>
              </w:rPr>
              <w:t>November 5, 2024</w:t>
            </w:r>
          </w:p>
        </w:tc>
        <w:tc>
          <w:tcPr>
            <w:tcW w:w="1360" w:type="dxa"/>
            <w:vAlign w:val="bottom"/>
            <w:shd w:val="clear" w:color="auto" w:fill="FDFDFC"/>
          </w:tcPr>
          <w:p>
            <w:pPr>
              <w:jc w:val="center"/>
              <w:spacing w:after="0"/>
              <w:rPr>
                <w:sz w:val="20"/>
                <w:szCs w:val="20"/>
                <w:color w:val="auto"/>
              </w:rPr>
            </w:pPr>
            <w:r>
              <w:rPr>
                <w:rFonts w:ascii="Times New Roman" w:cs="Times New Roman" w:eastAsia="Times New Roman" w:hAnsi="Times New Roman"/>
                <w:sz w:val="19"/>
                <w:szCs w:val="19"/>
                <w:color w:val="231F20"/>
                <w:w w:val="97"/>
              </w:rPr>
              <w:t>Base</w:t>
            </w:r>
          </w:p>
        </w:tc>
        <w:tc>
          <w:tcPr>
            <w:tcW w:w="120" w:type="dxa"/>
            <w:vAlign w:val="bottom"/>
            <w:shd w:val="clear" w:color="auto" w:fill="FDFDFC"/>
          </w:tcPr>
          <w:p>
            <w:pPr>
              <w:spacing w:after="0"/>
              <w:rPr>
                <w:sz w:val="20"/>
                <w:szCs w:val="20"/>
                <w:color w:val="auto"/>
              </w:rPr>
            </w:pPr>
          </w:p>
        </w:tc>
        <w:tc>
          <w:tcPr>
            <w:tcW w:w="2020" w:type="dxa"/>
            <w:vAlign w:val="bottom"/>
            <w:shd w:val="clear" w:color="auto" w:fill="FDFDFC"/>
          </w:tcPr>
          <w:p>
            <w:pPr>
              <w:jc w:val="right"/>
              <w:spacing w:after="0"/>
              <w:rPr>
                <w:sz w:val="20"/>
                <w:szCs w:val="20"/>
                <w:color w:val="auto"/>
              </w:rPr>
            </w:pPr>
            <w:r>
              <w:rPr>
                <w:rFonts w:ascii="Times New Roman" w:cs="Times New Roman" w:eastAsia="Times New Roman" w:hAnsi="Times New Roman"/>
                <w:sz w:val="19"/>
                <w:szCs w:val="19"/>
                <w:color w:val="231F20"/>
              </w:rPr>
              <w:t>December 16, 2024</w:t>
            </w:r>
          </w:p>
        </w:tc>
        <w:tc>
          <w:tcPr>
            <w:tcW w:w="120" w:type="dxa"/>
            <w:vAlign w:val="bottom"/>
            <w:shd w:val="clear" w:color="auto" w:fill="FDFDFC"/>
          </w:tcPr>
          <w:p>
            <w:pPr>
              <w:spacing w:after="0"/>
              <w:rPr>
                <w:sz w:val="20"/>
                <w:szCs w:val="20"/>
                <w:color w:val="auto"/>
              </w:rPr>
            </w:pPr>
          </w:p>
        </w:tc>
        <w:tc>
          <w:tcPr>
            <w:tcW w:w="1840" w:type="dxa"/>
            <w:vAlign w:val="bottom"/>
            <w:shd w:val="clear" w:color="auto" w:fill="FDFDFC"/>
          </w:tcPr>
          <w:p>
            <w:pPr>
              <w:jc w:val="right"/>
              <w:spacing w:after="0"/>
              <w:rPr>
                <w:sz w:val="20"/>
                <w:szCs w:val="20"/>
                <w:color w:val="auto"/>
              </w:rPr>
            </w:pPr>
            <w:r>
              <w:rPr>
                <w:rFonts w:ascii="Times New Roman" w:cs="Times New Roman" w:eastAsia="Times New Roman" w:hAnsi="Times New Roman"/>
                <w:sz w:val="19"/>
                <w:szCs w:val="19"/>
                <w:color w:val="231F20"/>
              </w:rPr>
              <w:t>December 31, 2024</w:t>
            </w:r>
          </w:p>
        </w:tc>
        <w:tc>
          <w:tcPr>
            <w:tcW w:w="1680" w:type="dxa"/>
            <w:vAlign w:val="bottom"/>
            <w:gridSpan w:val="2"/>
            <w:shd w:val="clear" w:color="auto" w:fill="FDFDFC"/>
          </w:tcPr>
          <w:p>
            <w:pPr>
              <w:jc w:val="right"/>
              <w:spacing w:after="0"/>
              <w:rPr>
                <w:sz w:val="20"/>
                <w:szCs w:val="20"/>
                <w:color w:val="auto"/>
              </w:rPr>
            </w:pPr>
            <w:r>
              <w:rPr>
                <w:rFonts w:ascii="Times New Roman" w:cs="Times New Roman" w:eastAsia="Times New Roman" w:hAnsi="Times New Roman"/>
                <w:sz w:val="19"/>
                <w:szCs w:val="19"/>
                <w:color w:val="231F20"/>
              </w:rPr>
              <w:t>315,317</w:t>
            </w:r>
          </w:p>
        </w:tc>
        <w:tc>
          <w:tcPr>
            <w:tcW w:w="120" w:type="dxa"/>
            <w:vAlign w:val="bottom"/>
            <w:shd w:val="clear" w:color="auto" w:fill="FDFDFC"/>
          </w:tcPr>
          <w:p>
            <w:pPr>
              <w:spacing w:after="0"/>
              <w:rPr>
                <w:sz w:val="20"/>
                <w:szCs w:val="20"/>
                <w:color w:val="auto"/>
              </w:rPr>
            </w:pPr>
          </w:p>
        </w:tc>
      </w:tr>
      <w:tr>
        <w:trPr>
          <w:trHeight w:val="220"/>
        </w:trPr>
        <w:tc>
          <w:tcPr>
            <w:tcW w:w="1920" w:type="dxa"/>
            <w:vAlign w:val="bottom"/>
            <w:tcBorders>
              <w:top w:val="single" w:sz="8" w:color="D0EBF2"/>
            </w:tcBorders>
            <w:gridSpan w:val="3"/>
            <w:shd w:val="clear" w:color="auto" w:fill="D0EBF2"/>
          </w:tcPr>
          <w:p>
            <w:pPr>
              <w:ind w:left="180"/>
              <w:spacing w:after="0"/>
              <w:rPr>
                <w:sz w:val="20"/>
                <w:szCs w:val="20"/>
                <w:color w:val="auto"/>
              </w:rPr>
            </w:pPr>
            <w:r>
              <w:rPr>
                <w:rFonts w:ascii="Times New Roman" w:cs="Times New Roman" w:eastAsia="Times New Roman" w:hAnsi="Times New Roman"/>
                <w:sz w:val="19"/>
                <w:szCs w:val="19"/>
                <w:b w:val="1"/>
                <w:bCs w:val="1"/>
                <w:color w:val="231F20"/>
              </w:rPr>
              <w:t>Total Shares Issued</w:t>
            </w:r>
          </w:p>
        </w:tc>
        <w:tc>
          <w:tcPr>
            <w:tcW w:w="1360" w:type="dxa"/>
            <w:vAlign w:val="bottom"/>
            <w:tcBorders>
              <w:top w:val="single" w:sz="8" w:color="D0EBF2"/>
            </w:tcBorders>
            <w:shd w:val="clear" w:color="auto" w:fill="D0EBF2"/>
          </w:tcPr>
          <w:p>
            <w:pPr>
              <w:spacing w:after="0"/>
              <w:rPr>
                <w:sz w:val="19"/>
                <w:szCs w:val="19"/>
                <w:color w:val="auto"/>
              </w:rPr>
            </w:pPr>
          </w:p>
        </w:tc>
        <w:tc>
          <w:tcPr>
            <w:tcW w:w="120" w:type="dxa"/>
            <w:vAlign w:val="bottom"/>
            <w:tcBorders>
              <w:top w:val="single" w:sz="8" w:color="D0EBF2"/>
            </w:tcBorders>
            <w:shd w:val="clear" w:color="auto" w:fill="D0EBF2"/>
          </w:tcPr>
          <w:p>
            <w:pPr>
              <w:spacing w:after="0"/>
              <w:rPr>
                <w:sz w:val="19"/>
                <w:szCs w:val="19"/>
                <w:color w:val="auto"/>
              </w:rPr>
            </w:pPr>
          </w:p>
        </w:tc>
        <w:tc>
          <w:tcPr>
            <w:tcW w:w="2020" w:type="dxa"/>
            <w:vAlign w:val="bottom"/>
            <w:tcBorders>
              <w:top w:val="single" w:sz="8" w:color="D0EBF2"/>
            </w:tcBorders>
            <w:shd w:val="clear" w:color="auto" w:fill="D0EBF2"/>
          </w:tcPr>
          <w:p>
            <w:pPr>
              <w:spacing w:after="0"/>
              <w:rPr>
                <w:sz w:val="19"/>
                <w:szCs w:val="19"/>
                <w:color w:val="auto"/>
              </w:rPr>
            </w:pPr>
          </w:p>
        </w:tc>
        <w:tc>
          <w:tcPr>
            <w:tcW w:w="120" w:type="dxa"/>
            <w:vAlign w:val="bottom"/>
            <w:tcBorders>
              <w:top w:val="single" w:sz="8" w:color="D0EBF2"/>
            </w:tcBorders>
            <w:shd w:val="clear" w:color="auto" w:fill="D0EBF2"/>
          </w:tcPr>
          <w:p>
            <w:pPr>
              <w:spacing w:after="0"/>
              <w:rPr>
                <w:sz w:val="19"/>
                <w:szCs w:val="19"/>
                <w:color w:val="auto"/>
              </w:rPr>
            </w:pPr>
          </w:p>
        </w:tc>
        <w:tc>
          <w:tcPr>
            <w:tcW w:w="1840" w:type="dxa"/>
            <w:vAlign w:val="bottom"/>
            <w:tcBorders>
              <w:top w:val="single" w:sz="8" w:color="D0EBF2"/>
            </w:tcBorders>
            <w:shd w:val="clear" w:color="auto" w:fill="D0EBF2"/>
          </w:tcPr>
          <w:p>
            <w:pPr>
              <w:spacing w:after="0"/>
              <w:rPr>
                <w:sz w:val="19"/>
                <w:szCs w:val="19"/>
                <w:color w:val="auto"/>
              </w:rPr>
            </w:pPr>
          </w:p>
        </w:tc>
        <w:tc>
          <w:tcPr>
            <w:tcW w:w="120" w:type="dxa"/>
            <w:vAlign w:val="bottom"/>
            <w:tcBorders>
              <w:top w:val="single" w:sz="8" w:color="D0EBF2"/>
            </w:tcBorders>
            <w:shd w:val="clear" w:color="auto" w:fill="D0EBF2"/>
          </w:tcPr>
          <w:p>
            <w:pPr>
              <w:spacing w:after="0"/>
              <w:rPr>
                <w:sz w:val="19"/>
                <w:szCs w:val="19"/>
                <w:color w:val="auto"/>
              </w:rPr>
            </w:pPr>
          </w:p>
        </w:tc>
        <w:tc>
          <w:tcPr>
            <w:tcW w:w="1560" w:type="dxa"/>
            <w:vAlign w:val="bottom"/>
            <w:tcBorders>
              <w:top w:val="single" w:sz="8" w:color="231F20"/>
              <w:bottom w:val="single" w:sz="8" w:color="231F20"/>
            </w:tcBorders>
            <w:shd w:val="clear" w:color="auto" w:fill="D0EBF2"/>
          </w:tcPr>
          <w:p>
            <w:pPr>
              <w:jc w:val="right"/>
              <w:spacing w:after="0"/>
              <w:rPr>
                <w:sz w:val="20"/>
                <w:szCs w:val="20"/>
                <w:color w:val="auto"/>
              </w:rPr>
            </w:pPr>
            <w:r>
              <w:rPr>
                <w:rFonts w:ascii="Times New Roman" w:cs="Times New Roman" w:eastAsia="Times New Roman" w:hAnsi="Times New Roman"/>
                <w:sz w:val="19"/>
                <w:szCs w:val="19"/>
                <w:color w:val="231F20"/>
              </w:rPr>
              <w:t>1,231,937</w:t>
            </w:r>
          </w:p>
        </w:tc>
        <w:tc>
          <w:tcPr>
            <w:tcW w:w="120" w:type="dxa"/>
            <w:vAlign w:val="bottom"/>
            <w:tcBorders>
              <w:top w:val="single" w:sz="8" w:color="D0EBF2"/>
            </w:tcBorders>
            <w:shd w:val="clear" w:color="auto" w:fill="D0EBF2"/>
          </w:tcPr>
          <w:p>
            <w:pPr>
              <w:spacing w:after="0"/>
              <w:rPr>
                <w:sz w:val="19"/>
                <w:szCs w:val="19"/>
                <w:color w:val="auto"/>
              </w:rPr>
            </w:pPr>
          </w:p>
        </w:tc>
      </w:tr>
      <w:tr>
        <w:trPr>
          <w:trHeight w:val="20"/>
        </w:trPr>
        <w:tc>
          <w:tcPr>
            <w:tcW w:w="1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60" w:type="dxa"/>
            <w:vAlign w:val="bottom"/>
            <w:tcBorders>
              <w:bottom w:val="single" w:sz="8" w:color="231F20"/>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43"/>
        </w:trPr>
        <w:tc>
          <w:tcPr>
            <w:tcW w:w="18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980" w:type="dxa"/>
            <w:vAlign w:val="bottom"/>
            <w:gridSpan w:val="3"/>
          </w:tcPr>
          <w:p>
            <w:pPr>
              <w:spacing w:after="0"/>
              <w:rPr>
                <w:sz w:val="21"/>
                <w:szCs w:val="21"/>
                <w:color w:val="auto"/>
              </w:rPr>
            </w:pPr>
          </w:p>
        </w:tc>
        <w:tc>
          <w:tcPr>
            <w:tcW w:w="12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120" w:type="dxa"/>
            <w:vAlign w:val="bottom"/>
          </w:tcPr>
          <w:p>
            <w:pPr>
              <w:spacing w:after="0"/>
              <w:rPr>
                <w:sz w:val="21"/>
                <w:szCs w:val="21"/>
                <w:color w:val="auto"/>
              </w:rPr>
            </w:pPr>
          </w:p>
        </w:tc>
      </w:tr>
      <w:tr>
        <w:trPr>
          <w:trHeight w:val="174"/>
        </w:trPr>
        <w:tc>
          <w:tcPr>
            <w:tcW w:w="1820" w:type="dxa"/>
            <w:vAlign w:val="bottom"/>
            <w:shd w:val="clear" w:color="auto" w:fill="FDFDFC"/>
          </w:tcPr>
          <w:p>
            <w:pPr>
              <w:spacing w:after="0"/>
              <w:rPr>
                <w:sz w:val="15"/>
                <w:szCs w:val="15"/>
                <w:color w:val="auto"/>
              </w:rPr>
            </w:pPr>
          </w:p>
        </w:tc>
        <w:tc>
          <w:tcPr>
            <w:tcW w:w="20" w:type="dxa"/>
            <w:vAlign w:val="bottom"/>
            <w:shd w:val="clear" w:color="auto" w:fill="FDFDFC"/>
          </w:tcPr>
          <w:p>
            <w:pPr>
              <w:spacing w:after="0"/>
              <w:rPr>
                <w:sz w:val="15"/>
                <w:szCs w:val="15"/>
                <w:color w:val="auto"/>
              </w:rPr>
            </w:pPr>
          </w:p>
        </w:tc>
        <w:tc>
          <w:tcPr>
            <w:tcW w:w="80" w:type="dxa"/>
            <w:vAlign w:val="bottom"/>
            <w:shd w:val="clear" w:color="auto" w:fill="FDFDFC"/>
          </w:tcPr>
          <w:p>
            <w:pPr>
              <w:spacing w:after="0"/>
              <w:rPr>
                <w:sz w:val="15"/>
                <w:szCs w:val="15"/>
                <w:color w:val="auto"/>
              </w:rPr>
            </w:pPr>
          </w:p>
        </w:tc>
        <w:tc>
          <w:tcPr>
            <w:tcW w:w="1360" w:type="dxa"/>
            <w:vAlign w:val="bottom"/>
            <w:shd w:val="clear" w:color="auto" w:fill="FDFDFC"/>
          </w:tcPr>
          <w:p>
            <w:pPr>
              <w:spacing w:after="0"/>
              <w:rPr>
                <w:sz w:val="15"/>
                <w:szCs w:val="15"/>
                <w:color w:val="auto"/>
              </w:rPr>
            </w:pPr>
          </w:p>
        </w:tc>
        <w:tc>
          <w:tcPr>
            <w:tcW w:w="120" w:type="dxa"/>
            <w:vAlign w:val="bottom"/>
            <w:shd w:val="clear" w:color="auto" w:fill="FDFDFC"/>
          </w:tcPr>
          <w:p>
            <w:pPr>
              <w:spacing w:after="0"/>
              <w:rPr>
                <w:sz w:val="15"/>
                <w:szCs w:val="15"/>
                <w:color w:val="auto"/>
              </w:rPr>
            </w:pPr>
          </w:p>
        </w:tc>
        <w:tc>
          <w:tcPr>
            <w:tcW w:w="3980" w:type="dxa"/>
            <w:vAlign w:val="bottom"/>
            <w:gridSpan w:val="3"/>
            <w:shd w:val="clear" w:color="auto" w:fill="FDFDFC"/>
          </w:tcPr>
          <w:p>
            <w:pPr>
              <w:jc w:val="center"/>
              <w:ind w:left="111"/>
              <w:spacing w:after="0"/>
              <w:rPr>
                <w:sz w:val="20"/>
                <w:szCs w:val="20"/>
                <w:color w:val="auto"/>
              </w:rPr>
            </w:pPr>
            <w:r>
              <w:rPr>
                <w:rFonts w:ascii="Times New Roman" w:cs="Times New Roman" w:eastAsia="Times New Roman" w:hAnsi="Times New Roman"/>
                <w:sz w:val="15"/>
                <w:szCs w:val="15"/>
                <w:b w:val="1"/>
                <w:bCs w:val="1"/>
                <w:color w:val="231F20"/>
              </w:rPr>
              <w:t>For the Year Ended</w:t>
            </w:r>
          </w:p>
        </w:tc>
        <w:tc>
          <w:tcPr>
            <w:tcW w:w="120" w:type="dxa"/>
            <w:vAlign w:val="bottom"/>
            <w:shd w:val="clear" w:color="auto" w:fill="FDFDFC"/>
          </w:tcPr>
          <w:p>
            <w:pPr>
              <w:spacing w:after="0"/>
              <w:rPr>
                <w:sz w:val="15"/>
                <w:szCs w:val="15"/>
                <w:color w:val="auto"/>
              </w:rPr>
            </w:pPr>
          </w:p>
        </w:tc>
        <w:tc>
          <w:tcPr>
            <w:tcW w:w="1560" w:type="dxa"/>
            <w:vAlign w:val="bottom"/>
            <w:shd w:val="clear" w:color="auto" w:fill="FDFDFC"/>
          </w:tcPr>
          <w:p>
            <w:pPr>
              <w:spacing w:after="0"/>
              <w:rPr>
                <w:sz w:val="15"/>
                <w:szCs w:val="15"/>
                <w:color w:val="auto"/>
              </w:rPr>
            </w:pPr>
          </w:p>
        </w:tc>
        <w:tc>
          <w:tcPr>
            <w:tcW w:w="120" w:type="dxa"/>
            <w:vAlign w:val="bottom"/>
            <w:shd w:val="clear" w:color="auto" w:fill="FDFDFC"/>
          </w:tcPr>
          <w:p>
            <w:pPr>
              <w:spacing w:after="0"/>
              <w:rPr>
                <w:sz w:val="15"/>
                <w:szCs w:val="15"/>
                <w:color w:val="auto"/>
              </w:rPr>
            </w:pPr>
          </w:p>
        </w:tc>
      </w:tr>
      <w:tr>
        <w:trPr>
          <w:trHeight w:val="174"/>
        </w:trPr>
        <w:tc>
          <w:tcPr>
            <w:tcW w:w="1820" w:type="dxa"/>
            <w:vAlign w:val="bottom"/>
            <w:tcBorders>
              <w:bottom w:val="single" w:sz="8" w:color="FDFDFC"/>
            </w:tcBorders>
            <w:shd w:val="clear" w:color="auto" w:fill="FDFDFC"/>
          </w:tcPr>
          <w:p>
            <w:pPr>
              <w:spacing w:after="0"/>
              <w:rPr>
                <w:sz w:val="15"/>
                <w:szCs w:val="15"/>
                <w:color w:val="auto"/>
              </w:rPr>
            </w:pPr>
          </w:p>
        </w:tc>
        <w:tc>
          <w:tcPr>
            <w:tcW w:w="20" w:type="dxa"/>
            <w:vAlign w:val="bottom"/>
            <w:tcBorders>
              <w:bottom w:val="single" w:sz="8" w:color="FDFDFC"/>
            </w:tcBorders>
            <w:shd w:val="clear" w:color="auto" w:fill="FDFDFC"/>
          </w:tcPr>
          <w:p>
            <w:pPr>
              <w:spacing w:after="0"/>
              <w:rPr>
                <w:sz w:val="15"/>
                <w:szCs w:val="15"/>
                <w:color w:val="auto"/>
              </w:rPr>
            </w:pPr>
          </w:p>
        </w:tc>
        <w:tc>
          <w:tcPr>
            <w:tcW w:w="80" w:type="dxa"/>
            <w:vAlign w:val="bottom"/>
            <w:tcBorders>
              <w:bottom w:val="single" w:sz="8" w:color="FDFDFC"/>
            </w:tcBorders>
            <w:shd w:val="clear" w:color="auto" w:fill="FDFDFC"/>
          </w:tcPr>
          <w:p>
            <w:pPr>
              <w:spacing w:after="0"/>
              <w:rPr>
                <w:sz w:val="15"/>
                <w:szCs w:val="15"/>
                <w:color w:val="auto"/>
              </w:rPr>
            </w:pPr>
          </w:p>
        </w:tc>
        <w:tc>
          <w:tcPr>
            <w:tcW w:w="1360" w:type="dxa"/>
            <w:vAlign w:val="bottom"/>
            <w:tcBorders>
              <w:bottom w:val="single" w:sz="8" w:color="231F20"/>
            </w:tcBorders>
            <w:shd w:val="clear" w:color="auto" w:fill="FDFDFC"/>
          </w:tcPr>
          <w:p>
            <w:pPr>
              <w:spacing w:after="0"/>
              <w:rPr>
                <w:sz w:val="15"/>
                <w:szCs w:val="15"/>
                <w:color w:val="auto"/>
              </w:rPr>
            </w:pPr>
          </w:p>
        </w:tc>
        <w:tc>
          <w:tcPr>
            <w:tcW w:w="120" w:type="dxa"/>
            <w:vAlign w:val="bottom"/>
            <w:tcBorders>
              <w:bottom w:val="single" w:sz="8" w:color="231F20"/>
            </w:tcBorders>
            <w:shd w:val="clear" w:color="auto" w:fill="FDFDFC"/>
          </w:tcPr>
          <w:p>
            <w:pPr>
              <w:spacing w:after="0"/>
              <w:rPr>
                <w:sz w:val="15"/>
                <w:szCs w:val="15"/>
                <w:color w:val="auto"/>
              </w:rPr>
            </w:pPr>
          </w:p>
        </w:tc>
        <w:tc>
          <w:tcPr>
            <w:tcW w:w="3980" w:type="dxa"/>
            <w:vAlign w:val="bottom"/>
            <w:tcBorders>
              <w:bottom w:val="single" w:sz="8" w:color="231F20"/>
            </w:tcBorders>
            <w:gridSpan w:val="3"/>
            <w:shd w:val="clear" w:color="auto" w:fill="FDFDFC"/>
          </w:tcPr>
          <w:p>
            <w:pPr>
              <w:jc w:val="center"/>
              <w:ind w:left="111"/>
              <w:spacing w:after="0"/>
              <w:rPr>
                <w:sz w:val="20"/>
                <w:szCs w:val="20"/>
                <w:color w:val="auto"/>
              </w:rPr>
            </w:pPr>
            <w:r>
              <w:rPr>
                <w:rFonts w:ascii="Times New Roman" w:cs="Times New Roman" w:eastAsia="Times New Roman" w:hAnsi="Times New Roman"/>
                <w:sz w:val="15"/>
                <w:szCs w:val="15"/>
                <w:b w:val="1"/>
                <w:bCs w:val="1"/>
                <w:color w:val="231F20"/>
              </w:rPr>
              <w:t>December 31, 2023</w:t>
            </w:r>
          </w:p>
        </w:tc>
        <w:tc>
          <w:tcPr>
            <w:tcW w:w="120" w:type="dxa"/>
            <w:vAlign w:val="bottom"/>
            <w:tcBorders>
              <w:bottom w:val="single" w:sz="8" w:color="231F20"/>
            </w:tcBorders>
            <w:shd w:val="clear" w:color="auto" w:fill="FDFDFC"/>
          </w:tcPr>
          <w:p>
            <w:pPr>
              <w:spacing w:after="0"/>
              <w:rPr>
                <w:sz w:val="15"/>
                <w:szCs w:val="15"/>
                <w:color w:val="auto"/>
              </w:rPr>
            </w:pPr>
          </w:p>
        </w:tc>
        <w:tc>
          <w:tcPr>
            <w:tcW w:w="1560" w:type="dxa"/>
            <w:vAlign w:val="bottom"/>
            <w:tcBorders>
              <w:bottom w:val="single" w:sz="8" w:color="231F20"/>
            </w:tcBorders>
            <w:shd w:val="clear" w:color="auto" w:fill="FDFDFC"/>
          </w:tcPr>
          <w:p>
            <w:pPr>
              <w:spacing w:after="0"/>
              <w:rPr>
                <w:sz w:val="15"/>
                <w:szCs w:val="15"/>
                <w:color w:val="auto"/>
              </w:rPr>
            </w:pPr>
          </w:p>
        </w:tc>
        <w:tc>
          <w:tcPr>
            <w:tcW w:w="120" w:type="dxa"/>
            <w:vAlign w:val="bottom"/>
            <w:tcBorders>
              <w:bottom w:val="single" w:sz="8" w:color="FDFDFC"/>
            </w:tcBorders>
            <w:shd w:val="clear" w:color="auto" w:fill="FDFDFC"/>
          </w:tcPr>
          <w:p>
            <w:pPr>
              <w:spacing w:after="0"/>
              <w:rPr>
                <w:sz w:val="15"/>
                <w:szCs w:val="15"/>
                <w:color w:val="auto"/>
              </w:rPr>
            </w:pPr>
          </w:p>
        </w:tc>
      </w:tr>
      <w:tr>
        <w:trPr>
          <w:trHeight w:val="163"/>
        </w:trPr>
        <w:tc>
          <w:tcPr>
            <w:tcW w:w="1820" w:type="dxa"/>
            <w:vAlign w:val="bottom"/>
            <w:shd w:val="clear" w:color="auto" w:fill="FDFDFC"/>
          </w:tcPr>
          <w:p>
            <w:pPr>
              <w:spacing w:after="0"/>
              <w:rPr>
                <w:sz w:val="14"/>
                <w:szCs w:val="14"/>
                <w:color w:val="auto"/>
              </w:rPr>
            </w:pPr>
          </w:p>
        </w:tc>
        <w:tc>
          <w:tcPr>
            <w:tcW w:w="20" w:type="dxa"/>
            <w:vAlign w:val="bottom"/>
            <w:shd w:val="clear" w:color="auto" w:fill="FDFDFC"/>
          </w:tcPr>
          <w:p>
            <w:pPr>
              <w:spacing w:after="0"/>
              <w:rPr>
                <w:sz w:val="14"/>
                <w:szCs w:val="14"/>
                <w:color w:val="auto"/>
              </w:rPr>
            </w:pPr>
          </w:p>
        </w:tc>
        <w:tc>
          <w:tcPr>
            <w:tcW w:w="80" w:type="dxa"/>
            <w:vAlign w:val="bottom"/>
            <w:shd w:val="clear" w:color="auto" w:fill="FDFDFC"/>
          </w:tcPr>
          <w:p>
            <w:pPr>
              <w:spacing w:after="0"/>
              <w:rPr>
                <w:sz w:val="14"/>
                <w:szCs w:val="14"/>
                <w:color w:val="auto"/>
              </w:rPr>
            </w:pPr>
          </w:p>
        </w:tc>
        <w:tc>
          <w:tcPr>
            <w:tcW w:w="1360" w:type="dxa"/>
            <w:vAlign w:val="bottom"/>
            <w:shd w:val="clear" w:color="auto" w:fill="FDFDFC"/>
          </w:tcPr>
          <w:p>
            <w:pPr>
              <w:spacing w:after="0"/>
              <w:rPr>
                <w:sz w:val="14"/>
                <w:szCs w:val="14"/>
                <w:color w:val="auto"/>
              </w:rPr>
            </w:pPr>
          </w:p>
        </w:tc>
        <w:tc>
          <w:tcPr>
            <w:tcW w:w="120" w:type="dxa"/>
            <w:vAlign w:val="bottom"/>
            <w:shd w:val="clear" w:color="auto" w:fill="FDFDFC"/>
          </w:tcPr>
          <w:p>
            <w:pPr>
              <w:spacing w:after="0"/>
              <w:rPr>
                <w:sz w:val="14"/>
                <w:szCs w:val="14"/>
                <w:color w:val="auto"/>
              </w:rPr>
            </w:pPr>
          </w:p>
        </w:tc>
        <w:tc>
          <w:tcPr>
            <w:tcW w:w="2020" w:type="dxa"/>
            <w:vAlign w:val="bottom"/>
            <w:shd w:val="clear" w:color="auto" w:fill="FDFDFC"/>
          </w:tcPr>
          <w:p>
            <w:pPr>
              <w:spacing w:after="0"/>
              <w:rPr>
                <w:sz w:val="14"/>
                <w:szCs w:val="14"/>
                <w:color w:val="auto"/>
              </w:rPr>
            </w:pPr>
          </w:p>
        </w:tc>
        <w:tc>
          <w:tcPr>
            <w:tcW w:w="120" w:type="dxa"/>
            <w:vAlign w:val="bottom"/>
            <w:shd w:val="clear" w:color="auto" w:fill="FDFDFC"/>
          </w:tcPr>
          <w:p>
            <w:pPr>
              <w:spacing w:after="0"/>
              <w:rPr>
                <w:sz w:val="14"/>
                <w:szCs w:val="14"/>
                <w:color w:val="auto"/>
              </w:rPr>
            </w:pPr>
          </w:p>
        </w:tc>
        <w:tc>
          <w:tcPr>
            <w:tcW w:w="1840" w:type="dxa"/>
            <w:vAlign w:val="bottom"/>
            <w:shd w:val="clear" w:color="auto" w:fill="FDFDFC"/>
          </w:tcPr>
          <w:p>
            <w:pPr>
              <w:jc w:val="center"/>
              <w:spacing w:after="0" w:line="164" w:lineRule="exact"/>
              <w:rPr>
                <w:sz w:val="20"/>
                <w:szCs w:val="20"/>
                <w:color w:val="auto"/>
              </w:rPr>
            </w:pPr>
            <w:r>
              <w:rPr>
                <w:rFonts w:ascii="Times New Roman" w:cs="Times New Roman" w:eastAsia="Times New Roman" w:hAnsi="Times New Roman"/>
                <w:sz w:val="15"/>
                <w:szCs w:val="15"/>
                <w:b w:val="1"/>
                <w:bCs w:val="1"/>
                <w:color w:val="231F20"/>
                <w:w w:val="99"/>
              </w:rPr>
              <w:t>Date</w:t>
            </w:r>
          </w:p>
        </w:tc>
        <w:tc>
          <w:tcPr>
            <w:tcW w:w="120" w:type="dxa"/>
            <w:vAlign w:val="bottom"/>
            <w:shd w:val="clear" w:color="auto" w:fill="FDFDFC"/>
          </w:tcPr>
          <w:p>
            <w:pPr>
              <w:spacing w:after="0"/>
              <w:rPr>
                <w:sz w:val="14"/>
                <w:szCs w:val="14"/>
                <w:color w:val="auto"/>
              </w:rPr>
            </w:pPr>
          </w:p>
        </w:tc>
        <w:tc>
          <w:tcPr>
            <w:tcW w:w="1560" w:type="dxa"/>
            <w:vAlign w:val="bottom"/>
            <w:shd w:val="clear" w:color="auto" w:fill="FDFDFC"/>
          </w:tcPr>
          <w:p>
            <w:pPr>
              <w:spacing w:after="0"/>
              <w:rPr>
                <w:sz w:val="14"/>
                <w:szCs w:val="14"/>
                <w:color w:val="auto"/>
              </w:rPr>
            </w:pPr>
          </w:p>
        </w:tc>
        <w:tc>
          <w:tcPr>
            <w:tcW w:w="120" w:type="dxa"/>
            <w:vAlign w:val="bottom"/>
            <w:shd w:val="clear" w:color="auto" w:fill="FDFDFC"/>
          </w:tcPr>
          <w:p>
            <w:pPr>
              <w:spacing w:after="0"/>
              <w:rPr>
                <w:sz w:val="14"/>
                <w:szCs w:val="14"/>
                <w:color w:val="auto"/>
              </w:rPr>
            </w:pPr>
          </w:p>
        </w:tc>
      </w:tr>
      <w:tr>
        <w:trPr>
          <w:trHeight w:val="174"/>
        </w:trPr>
        <w:tc>
          <w:tcPr>
            <w:tcW w:w="1920" w:type="dxa"/>
            <w:vAlign w:val="bottom"/>
            <w:gridSpan w:val="3"/>
            <w:shd w:val="clear" w:color="auto" w:fill="FDFDFC"/>
          </w:tcPr>
          <w:p>
            <w:pPr>
              <w:spacing w:after="0"/>
              <w:rPr>
                <w:sz w:val="20"/>
                <w:szCs w:val="20"/>
                <w:color w:val="auto"/>
              </w:rPr>
            </w:pPr>
            <w:r>
              <w:rPr>
                <w:rFonts w:ascii="Times New Roman" w:cs="Times New Roman" w:eastAsia="Times New Roman" w:hAnsi="Times New Roman"/>
                <w:sz w:val="15"/>
                <w:szCs w:val="15"/>
                <w:b w:val="1"/>
                <w:bCs w:val="1"/>
                <w:color w:val="231F20"/>
              </w:rPr>
              <w:t>Date Declared</w:t>
            </w:r>
          </w:p>
        </w:tc>
        <w:tc>
          <w:tcPr>
            <w:tcW w:w="1360" w:type="dxa"/>
            <w:vAlign w:val="bottom"/>
            <w:shd w:val="clear" w:color="auto" w:fill="FDFDFC"/>
          </w:tcPr>
          <w:p>
            <w:pPr>
              <w:jc w:val="center"/>
              <w:spacing w:after="0"/>
              <w:rPr>
                <w:sz w:val="20"/>
                <w:szCs w:val="20"/>
                <w:color w:val="auto"/>
              </w:rPr>
            </w:pPr>
            <w:r>
              <w:rPr>
                <w:rFonts w:ascii="Times New Roman" w:cs="Times New Roman" w:eastAsia="Times New Roman" w:hAnsi="Times New Roman"/>
                <w:sz w:val="15"/>
                <w:szCs w:val="15"/>
                <w:b w:val="1"/>
                <w:bCs w:val="1"/>
                <w:color w:val="231F20"/>
                <w:w w:val="99"/>
              </w:rPr>
              <w:t xml:space="preserve">Dividend </w:t>
            </w:r>
            <w:r>
              <w:rPr>
                <w:rFonts w:ascii="Times New Roman" w:cs="Times New Roman" w:eastAsia="Times New Roman" w:hAnsi="Times New Roman"/>
                <w:sz w:val="9"/>
                <w:szCs w:val="9"/>
                <w:b w:val="1"/>
                <w:bCs w:val="1"/>
                <w:color w:val="231F20"/>
                <w:w w:val="99"/>
              </w:rPr>
              <w:t>(1)</w:t>
            </w:r>
          </w:p>
        </w:tc>
        <w:tc>
          <w:tcPr>
            <w:tcW w:w="120" w:type="dxa"/>
            <w:vAlign w:val="bottom"/>
            <w:shd w:val="clear" w:color="auto" w:fill="FDFDFC"/>
          </w:tcPr>
          <w:p>
            <w:pPr>
              <w:spacing w:after="0"/>
              <w:rPr>
                <w:sz w:val="15"/>
                <w:szCs w:val="15"/>
                <w:color w:val="auto"/>
              </w:rPr>
            </w:pPr>
          </w:p>
        </w:tc>
        <w:tc>
          <w:tcPr>
            <w:tcW w:w="2020" w:type="dxa"/>
            <w:vAlign w:val="bottom"/>
            <w:shd w:val="clear" w:color="auto" w:fill="FDFDFC"/>
          </w:tcPr>
          <w:p>
            <w:pPr>
              <w:jc w:val="right"/>
              <w:ind w:right="511"/>
              <w:spacing w:after="0"/>
              <w:rPr>
                <w:sz w:val="20"/>
                <w:szCs w:val="20"/>
                <w:color w:val="auto"/>
              </w:rPr>
            </w:pPr>
            <w:r>
              <w:rPr>
                <w:rFonts w:ascii="Times New Roman" w:cs="Times New Roman" w:eastAsia="Times New Roman" w:hAnsi="Times New Roman"/>
                <w:sz w:val="15"/>
                <w:szCs w:val="15"/>
                <w:b w:val="1"/>
                <w:bCs w:val="1"/>
                <w:color w:val="231F20"/>
              </w:rPr>
              <w:t>Record Date</w:t>
            </w:r>
          </w:p>
        </w:tc>
        <w:tc>
          <w:tcPr>
            <w:tcW w:w="120" w:type="dxa"/>
            <w:vAlign w:val="bottom"/>
            <w:shd w:val="clear" w:color="auto" w:fill="FDFDFC"/>
          </w:tcPr>
          <w:p>
            <w:pPr>
              <w:spacing w:after="0"/>
              <w:rPr>
                <w:sz w:val="15"/>
                <w:szCs w:val="15"/>
                <w:color w:val="auto"/>
              </w:rPr>
            </w:pPr>
          </w:p>
        </w:tc>
        <w:tc>
          <w:tcPr>
            <w:tcW w:w="1840" w:type="dxa"/>
            <w:vAlign w:val="bottom"/>
            <w:shd w:val="clear" w:color="auto" w:fill="FDFDFC"/>
          </w:tcPr>
          <w:p>
            <w:pPr>
              <w:jc w:val="center"/>
              <w:spacing w:after="0"/>
              <w:rPr>
                <w:sz w:val="20"/>
                <w:szCs w:val="20"/>
                <w:color w:val="auto"/>
              </w:rPr>
            </w:pPr>
            <w:r>
              <w:rPr>
                <w:rFonts w:ascii="Times New Roman" w:cs="Times New Roman" w:eastAsia="Times New Roman" w:hAnsi="Times New Roman"/>
                <w:sz w:val="15"/>
                <w:szCs w:val="15"/>
                <w:b w:val="1"/>
                <w:bCs w:val="1"/>
                <w:color w:val="231F20"/>
              </w:rPr>
              <w:t>Shares Issued</w:t>
            </w:r>
          </w:p>
        </w:tc>
        <w:tc>
          <w:tcPr>
            <w:tcW w:w="120" w:type="dxa"/>
            <w:vAlign w:val="bottom"/>
            <w:shd w:val="clear" w:color="auto" w:fill="FDFDFC"/>
          </w:tcPr>
          <w:p>
            <w:pPr>
              <w:spacing w:after="0"/>
              <w:rPr>
                <w:sz w:val="15"/>
                <w:szCs w:val="15"/>
                <w:color w:val="auto"/>
              </w:rPr>
            </w:pPr>
          </w:p>
        </w:tc>
        <w:tc>
          <w:tcPr>
            <w:tcW w:w="1560" w:type="dxa"/>
            <w:vAlign w:val="bottom"/>
            <w:shd w:val="clear" w:color="auto" w:fill="FDFDFC"/>
          </w:tcPr>
          <w:p>
            <w:pPr>
              <w:jc w:val="right"/>
              <w:ind w:right="250"/>
              <w:spacing w:after="0"/>
              <w:rPr>
                <w:sz w:val="20"/>
                <w:szCs w:val="20"/>
                <w:color w:val="auto"/>
              </w:rPr>
            </w:pPr>
            <w:r>
              <w:rPr>
                <w:rFonts w:ascii="Times New Roman" w:cs="Times New Roman" w:eastAsia="Times New Roman" w:hAnsi="Times New Roman"/>
                <w:sz w:val="15"/>
                <w:szCs w:val="15"/>
                <w:b w:val="1"/>
                <w:bCs w:val="1"/>
                <w:color w:val="231F20"/>
              </w:rPr>
              <w:t>Shares Issued</w:t>
            </w:r>
          </w:p>
        </w:tc>
        <w:tc>
          <w:tcPr>
            <w:tcW w:w="120" w:type="dxa"/>
            <w:vAlign w:val="bottom"/>
            <w:shd w:val="clear" w:color="auto" w:fill="FDFDFC"/>
          </w:tcPr>
          <w:p>
            <w:pPr>
              <w:spacing w:after="0"/>
              <w:rPr>
                <w:sz w:val="15"/>
                <w:szCs w:val="15"/>
                <w:color w:val="auto"/>
              </w:rPr>
            </w:pPr>
          </w:p>
        </w:tc>
      </w:tr>
      <w:tr>
        <w:trPr>
          <w:trHeight w:val="207"/>
        </w:trPr>
        <w:tc>
          <w:tcPr>
            <w:tcW w:w="1840" w:type="dxa"/>
            <w:vAlign w:val="bottom"/>
            <w:tcBorders>
              <w:top w:val="single" w:sz="8" w:color="231F20"/>
            </w:tcBorders>
            <w:gridSpan w:val="2"/>
            <w:shd w:val="clear" w:color="auto" w:fill="D0EBF2"/>
          </w:tcPr>
          <w:p>
            <w:pPr>
              <w:spacing w:after="0" w:line="207" w:lineRule="exact"/>
              <w:rPr>
                <w:sz w:val="20"/>
                <w:szCs w:val="20"/>
                <w:color w:val="auto"/>
              </w:rPr>
            </w:pPr>
            <w:r>
              <w:rPr>
                <w:rFonts w:ascii="Times New Roman" w:cs="Times New Roman" w:eastAsia="Times New Roman" w:hAnsi="Times New Roman"/>
                <w:sz w:val="19"/>
                <w:szCs w:val="19"/>
                <w:color w:val="231F20"/>
              </w:rPr>
              <w:t>February 16, 2023</w:t>
            </w:r>
          </w:p>
        </w:tc>
        <w:tc>
          <w:tcPr>
            <w:tcW w:w="80" w:type="dxa"/>
            <w:vAlign w:val="bottom"/>
            <w:tcBorders>
              <w:top w:val="single" w:sz="8" w:color="D0EBF2"/>
            </w:tcBorders>
            <w:shd w:val="clear" w:color="auto" w:fill="D0EBF2"/>
          </w:tcPr>
          <w:p>
            <w:pPr>
              <w:spacing w:after="0"/>
              <w:rPr>
                <w:sz w:val="17"/>
                <w:szCs w:val="17"/>
                <w:color w:val="auto"/>
              </w:rPr>
            </w:pPr>
          </w:p>
        </w:tc>
        <w:tc>
          <w:tcPr>
            <w:tcW w:w="1360" w:type="dxa"/>
            <w:vAlign w:val="bottom"/>
            <w:tcBorders>
              <w:top w:val="single" w:sz="8" w:color="231F20"/>
            </w:tcBorders>
            <w:shd w:val="clear" w:color="auto" w:fill="D0EBF2"/>
          </w:tcPr>
          <w:p>
            <w:pPr>
              <w:jc w:val="center"/>
              <w:spacing w:after="0" w:line="207" w:lineRule="exact"/>
              <w:rPr>
                <w:sz w:val="20"/>
                <w:szCs w:val="20"/>
                <w:color w:val="auto"/>
              </w:rPr>
            </w:pPr>
            <w:r>
              <w:rPr>
                <w:rFonts w:ascii="Times New Roman" w:cs="Times New Roman" w:eastAsia="Times New Roman" w:hAnsi="Times New Roman"/>
                <w:sz w:val="19"/>
                <w:szCs w:val="19"/>
                <w:color w:val="231F20"/>
                <w:w w:val="99"/>
              </w:rPr>
              <w:t>Supplemental</w:t>
            </w:r>
          </w:p>
        </w:tc>
        <w:tc>
          <w:tcPr>
            <w:tcW w:w="120" w:type="dxa"/>
            <w:vAlign w:val="bottom"/>
            <w:tcBorders>
              <w:top w:val="single" w:sz="8" w:color="D0EBF2"/>
            </w:tcBorders>
            <w:shd w:val="clear" w:color="auto" w:fill="D0EBF2"/>
          </w:tcPr>
          <w:p>
            <w:pPr>
              <w:spacing w:after="0"/>
              <w:rPr>
                <w:sz w:val="17"/>
                <w:szCs w:val="17"/>
                <w:color w:val="auto"/>
              </w:rPr>
            </w:pPr>
          </w:p>
        </w:tc>
        <w:tc>
          <w:tcPr>
            <w:tcW w:w="2020" w:type="dxa"/>
            <w:vAlign w:val="bottom"/>
            <w:tcBorders>
              <w:top w:val="single" w:sz="8" w:color="231F20"/>
            </w:tcBorders>
            <w:shd w:val="clear" w:color="auto" w:fill="D0EBF2"/>
          </w:tcPr>
          <w:p>
            <w:pPr>
              <w:jc w:val="right"/>
              <w:spacing w:after="0" w:line="207" w:lineRule="exact"/>
              <w:rPr>
                <w:sz w:val="20"/>
                <w:szCs w:val="20"/>
                <w:color w:val="auto"/>
              </w:rPr>
            </w:pPr>
            <w:r>
              <w:rPr>
                <w:rFonts w:ascii="Times New Roman" w:cs="Times New Roman" w:eastAsia="Times New Roman" w:hAnsi="Times New Roman"/>
                <w:sz w:val="19"/>
                <w:szCs w:val="19"/>
                <w:color w:val="231F20"/>
              </w:rPr>
              <w:t>February 28, 2023</w:t>
            </w:r>
          </w:p>
        </w:tc>
        <w:tc>
          <w:tcPr>
            <w:tcW w:w="120" w:type="dxa"/>
            <w:vAlign w:val="bottom"/>
            <w:tcBorders>
              <w:top w:val="single" w:sz="8" w:color="D0EBF2"/>
            </w:tcBorders>
            <w:shd w:val="clear" w:color="auto" w:fill="D0EBF2"/>
          </w:tcPr>
          <w:p>
            <w:pPr>
              <w:spacing w:after="0"/>
              <w:rPr>
                <w:sz w:val="17"/>
                <w:szCs w:val="17"/>
                <w:color w:val="auto"/>
              </w:rPr>
            </w:pPr>
          </w:p>
        </w:tc>
        <w:tc>
          <w:tcPr>
            <w:tcW w:w="1840" w:type="dxa"/>
            <w:vAlign w:val="bottom"/>
            <w:tcBorders>
              <w:top w:val="single" w:sz="8" w:color="231F20"/>
            </w:tcBorders>
            <w:shd w:val="clear" w:color="auto" w:fill="D0EBF2"/>
          </w:tcPr>
          <w:p>
            <w:pPr>
              <w:jc w:val="right"/>
              <w:spacing w:after="0" w:line="207" w:lineRule="exact"/>
              <w:rPr>
                <w:sz w:val="20"/>
                <w:szCs w:val="20"/>
                <w:color w:val="auto"/>
              </w:rPr>
            </w:pPr>
            <w:r>
              <w:rPr>
                <w:rFonts w:ascii="Times New Roman" w:cs="Times New Roman" w:eastAsia="Times New Roman" w:hAnsi="Times New Roman"/>
                <w:sz w:val="19"/>
                <w:szCs w:val="19"/>
                <w:color w:val="231F20"/>
              </w:rPr>
              <w:t>March 20, 2023</w:t>
            </w:r>
          </w:p>
        </w:tc>
        <w:tc>
          <w:tcPr>
            <w:tcW w:w="120" w:type="dxa"/>
            <w:vAlign w:val="bottom"/>
            <w:tcBorders>
              <w:top w:val="single" w:sz="8" w:color="D0EBF2"/>
            </w:tcBorders>
            <w:shd w:val="clear" w:color="auto" w:fill="D0EBF2"/>
          </w:tcPr>
          <w:p>
            <w:pPr>
              <w:spacing w:after="0"/>
              <w:rPr>
                <w:sz w:val="17"/>
                <w:szCs w:val="17"/>
                <w:color w:val="auto"/>
              </w:rPr>
            </w:pPr>
          </w:p>
        </w:tc>
        <w:tc>
          <w:tcPr>
            <w:tcW w:w="1560" w:type="dxa"/>
            <w:vAlign w:val="bottom"/>
            <w:tcBorders>
              <w:top w:val="single" w:sz="8" w:color="231F20"/>
            </w:tcBorders>
            <w:shd w:val="clear" w:color="auto" w:fill="D0EBF2"/>
          </w:tcPr>
          <w:p>
            <w:pPr>
              <w:jc w:val="right"/>
              <w:spacing w:after="0" w:line="207" w:lineRule="exact"/>
              <w:rPr>
                <w:sz w:val="20"/>
                <w:szCs w:val="20"/>
                <w:color w:val="auto"/>
              </w:rPr>
            </w:pPr>
            <w:r>
              <w:rPr>
                <w:rFonts w:ascii="Times New Roman" w:cs="Times New Roman" w:eastAsia="Times New Roman" w:hAnsi="Times New Roman"/>
                <w:sz w:val="19"/>
                <w:szCs w:val="19"/>
                <w:color w:val="231F20"/>
              </w:rPr>
              <w:t>61,590</w:t>
            </w:r>
          </w:p>
        </w:tc>
        <w:tc>
          <w:tcPr>
            <w:tcW w:w="120" w:type="dxa"/>
            <w:vAlign w:val="bottom"/>
            <w:tcBorders>
              <w:top w:val="single" w:sz="8" w:color="D0EBF2"/>
            </w:tcBorders>
            <w:shd w:val="clear" w:color="auto" w:fill="D0EBF2"/>
          </w:tcPr>
          <w:p>
            <w:pPr>
              <w:spacing w:after="0"/>
              <w:rPr>
                <w:sz w:val="17"/>
                <w:szCs w:val="17"/>
                <w:color w:val="auto"/>
              </w:rPr>
            </w:pPr>
          </w:p>
        </w:tc>
      </w:tr>
      <w:tr>
        <w:trPr>
          <w:trHeight w:val="217"/>
        </w:trPr>
        <w:tc>
          <w:tcPr>
            <w:tcW w:w="1840" w:type="dxa"/>
            <w:vAlign w:val="bottom"/>
            <w:gridSpan w:val="2"/>
            <w:shd w:val="clear" w:color="auto" w:fill="FDFDFC"/>
          </w:tcPr>
          <w:p>
            <w:pPr>
              <w:spacing w:after="0" w:line="217" w:lineRule="exact"/>
              <w:rPr>
                <w:sz w:val="20"/>
                <w:szCs w:val="20"/>
                <w:color w:val="auto"/>
              </w:rPr>
            </w:pPr>
            <w:r>
              <w:rPr>
                <w:rFonts w:ascii="Times New Roman" w:cs="Times New Roman" w:eastAsia="Times New Roman" w:hAnsi="Times New Roman"/>
                <w:sz w:val="19"/>
                <w:szCs w:val="19"/>
                <w:color w:val="231F20"/>
              </w:rPr>
              <w:t>February 16, 2023</w:t>
            </w:r>
          </w:p>
        </w:tc>
        <w:tc>
          <w:tcPr>
            <w:tcW w:w="80" w:type="dxa"/>
            <w:vAlign w:val="bottom"/>
            <w:shd w:val="clear" w:color="auto" w:fill="FDFDFC"/>
          </w:tcPr>
          <w:p>
            <w:pPr>
              <w:spacing w:after="0"/>
              <w:rPr>
                <w:sz w:val="18"/>
                <w:szCs w:val="18"/>
                <w:color w:val="auto"/>
              </w:rPr>
            </w:pPr>
          </w:p>
        </w:tc>
        <w:tc>
          <w:tcPr>
            <w:tcW w:w="1360" w:type="dxa"/>
            <w:vAlign w:val="bottom"/>
            <w:shd w:val="clear" w:color="auto" w:fill="FDFDFC"/>
          </w:tcPr>
          <w:p>
            <w:pPr>
              <w:jc w:val="center"/>
              <w:spacing w:after="0" w:line="217" w:lineRule="exact"/>
              <w:rPr>
                <w:sz w:val="20"/>
                <w:szCs w:val="20"/>
                <w:color w:val="auto"/>
              </w:rPr>
            </w:pPr>
            <w:r>
              <w:rPr>
                <w:rFonts w:ascii="Times New Roman" w:cs="Times New Roman" w:eastAsia="Times New Roman" w:hAnsi="Times New Roman"/>
                <w:sz w:val="19"/>
                <w:szCs w:val="19"/>
                <w:color w:val="231F20"/>
                <w:w w:val="97"/>
              </w:rPr>
              <w:t>Base</w:t>
            </w:r>
          </w:p>
        </w:tc>
        <w:tc>
          <w:tcPr>
            <w:tcW w:w="120" w:type="dxa"/>
            <w:vAlign w:val="bottom"/>
            <w:shd w:val="clear" w:color="auto" w:fill="FDFDFC"/>
          </w:tcPr>
          <w:p>
            <w:pPr>
              <w:spacing w:after="0"/>
              <w:rPr>
                <w:sz w:val="18"/>
                <w:szCs w:val="18"/>
                <w:color w:val="auto"/>
              </w:rPr>
            </w:pPr>
          </w:p>
        </w:tc>
        <w:tc>
          <w:tcPr>
            <w:tcW w:w="2020" w:type="dxa"/>
            <w:vAlign w:val="bottom"/>
            <w:shd w:val="clear" w:color="auto" w:fill="FDFDFC"/>
          </w:tcPr>
          <w:p>
            <w:pPr>
              <w:jc w:val="right"/>
              <w:spacing w:after="0" w:line="217" w:lineRule="exact"/>
              <w:rPr>
                <w:sz w:val="20"/>
                <w:szCs w:val="20"/>
                <w:color w:val="auto"/>
              </w:rPr>
            </w:pPr>
            <w:r>
              <w:rPr>
                <w:rFonts w:ascii="Times New Roman" w:cs="Times New Roman" w:eastAsia="Times New Roman" w:hAnsi="Times New Roman"/>
                <w:sz w:val="19"/>
                <w:szCs w:val="19"/>
                <w:color w:val="231F20"/>
              </w:rPr>
              <w:t>March 15, 2023</w:t>
            </w:r>
          </w:p>
        </w:tc>
        <w:tc>
          <w:tcPr>
            <w:tcW w:w="120" w:type="dxa"/>
            <w:vAlign w:val="bottom"/>
            <w:shd w:val="clear" w:color="auto" w:fill="FDFDFC"/>
          </w:tcPr>
          <w:p>
            <w:pPr>
              <w:spacing w:after="0"/>
              <w:rPr>
                <w:sz w:val="18"/>
                <w:szCs w:val="18"/>
                <w:color w:val="auto"/>
              </w:rPr>
            </w:pPr>
          </w:p>
        </w:tc>
        <w:tc>
          <w:tcPr>
            <w:tcW w:w="1840" w:type="dxa"/>
            <w:vAlign w:val="bottom"/>
            <w:shd w:val="clear" w:color="auto" w:fill="FDFDFC"/>
          </w:tcPr>
          <w:p>
            <w:pPr>
              <w:jc w:val="right"/>
              <w:spacing w:after="0" w:line="217" w:lineRule="exact"/>
              <w:rPr>
                <w:sz w:val="20"/>
                <w:szCs w:val="20"/>
                <w:color w:val="auto"/>
              </w:rPr>
            </w:pPr>
            <w:r>
              <w:rPr>
                <w:rFonts w:ascii="Times New Roman" w:cs="Times New Roman" w:eastAsia="Times New Roman" w:hAnsi="Times New Roman"/>
                <w:sz w:val="19"/>
                <w:szCs w:val="19"/>
                <w:color w:val="231F20"/>
              </w:rPr>
              <w:t>March 31, 2023</w:t>
            </w:r>
          </w:p>
        </w:tc>
        <w:tc>
          <w:tcPr>
            <w:tcW w:w="120" w:type="dxa"/>
            <w:vAlign w:val="bottom"/>
            <w:shd w:val="clear" w:color="auto" w:fill="FDFDFC"/>
          </w:tcPr>
          <w:p>
            <w:pPr>
              <w:spacing w:after="0"/>
              <w:rPr>
                <w:sz w:val="18"/>
                <w:szCs w:val="18"/>
                <w:color w:val="auto"/>
              </w:rPr>
            </w:pPr>
          </w:p>
        </w:tc>
        <w:tc>
          <w:tcPr>
            <w:tcW w:w="1560" w:type="dxa"/>
            <w:vAlign w:val="bottom"/>
            <w:shd w:val="clear" w:color="auto" w:fill="FDFDFC"/>
          </w:tcPr>
          <w:p>
            <w:pPr>
              <w:jc w:val="right"/>
              <w:spacing w:after="0" w:line="217" w:lineRule="exact"/>
              <w:rPr>
                <w:sz w:val="20"/>
                <w:szCs w:val="20"/>
                <w:color w:val="auto"/>
              </w:rPr>
            </w:pPr>
            <w:r>
              <w:rPr>
                <w:rFonts w:ascii="Times New Roman" w:cs="Times New Roman" w:eastAsia="Times New Roman" w:hAnsi="Times New Roman"/>
                <w:sz w:val="19"/>
                <w:szCs w:val="19"/>
                <w:color w:val="231F20"/>
              </w:rPr>
              <w:t>300,988</w:t>
            </w:r>
          </w:p>
        </w:tc>
        <w:tc>
          <w:tcPr>
            <w:tcW w:w="120" w:type="dxa"/>
            <w:vAlign w:val="bottom"/>
            <w:shd w:val="clear" w:color="auto" w:fill="FDFDFC"/>
          </w:tcPr>
          <w:p>
            <w:pPr>
              <w:spacing w:after="0"/>
              <w:rPr>
                <w:sz w:val="18"/>
                <w:szCs w:val="18"/>
                <w:color w:val="auto"/>
              </w:rPr>
            </w:pPr>
          </w:p>
        </w:tc>
      </w:tr>
      <w:tr>
        <w:trPr>
          <w:trHeight w:val="217"/>
        </w:trPr>
        <w:tc>
          <w:tcPr>
            <w:tcW w:w="1920" w:type="dxa"/>
            <w:vAlign w:val="bottom"/>
            <w:gridSpan w:val="3"/>
            <w:shd w:val="clear" w:color="auto" w:fill="D0EBF2"/>
          </w:tcPr>
          <w:p>
            <w:pPr>
              <w:spacing w:after="0" w:line="217" w:lineRule="exact"/>
              <w:rPr>
                <w:sz w:val="20"/>
                <w:szCs w:val="20"/>
                <w:color w:val="auto"/>
              </w:rPr>
            </w:pPr>
            <w:r>
              <w:rPr>
                <w:rFonts w:ascii="Times New Roman" w:cs="Times New Roman" w:eastAsia="Times New Roman" w:hAnsi="Times New Roman"/>
                <w:sz w:val="19"/>
                <w:szCs w:val="19"/>
                <w:color w:val="231F20"/>
              </w:rPr>
              <w:t>May 8, 2023</w:t>
            </w:r>
          </w:p>
        </w:tc>
        <w:tc>
          <w:tcPr>
            <w:tcW w:w="1360" w:type="dxa"/>
            <w:vAlign w:val="bottom"/>
            <w:shd w:val="clear" w:color="auto" w:fill="D0EBF2"/>
          </w:tcPr>
          <w:p>
            <w:pPr>
              <w:jc w:val="center"/>
              <w:spacing w:after="0" w:line="217" w:lineRule="exact"/>
              <w:rPr>
                <w:sz w:val="20"/>
                <w:szCs w:val="20"/>
                <w:color w:val="auto"/>
              </w:rPr>
            </w:pPr>
            <w:r>
              <w:rPr>
                <w:rFonts w:ascii="Times New Roman" w:cs="Times New Roman" w:eastAsia="Times New Roman" w:hAnsi="Times New Roman"/>
                <w:sz w:val="19"/>
                <w:szCs w:val="19"/>
                <w:color w:val="231F20"/>
                <w:w w:val="99"/>
              </w:rPr>
              <w:t>Supplemental</w:t>
            </w:r>
          </w:p>
        </w:tc>
        <w:tc>
          <w:tcPr>
            <w:tcW w:w="120" w:type="dxa"/>
            <w:vAlign w:val="bottom"/>
            <w:shd w:val="clear" w:color="auto" w:fill="D0EBF2"/>
          </w:tcPr>
          <w:p>
            <w:pPr>
              <w:spacing w:after="0"/>
              <w:rPr>
                <w:sz w:val="18"/>
                <w:szCs w:val="18"/>
                <w:color w:val="auto"/>
              </w:rPr>
            </w:pPr>
          </w:p>
        </w:tc>
        <w:tc>
          <w:tcPr>
            <w:tcW w:w="2020" w:type="dxa"/>
            <w:vAlign w:val="bottom"/>
            <w:shd w:val="clear" w:color="auto" w:fill="D0EBF2"/>
          </w:tcPr>
          <w:p>
            <w:pPr>
              <w:jc w:val="right"/>
              <w:spacing w:after="0" w:line="217" w:lineRule="exact"/>
              <w:rPr>
                <w:sz w:val="20"/>
                <w:szCs w:val="20"/>
                <w:color w:val="auto"/>
              </w:rPr>
            </w:pPr>
            <w:r>
              <w:rPr>
                <w:rFonts w:ascii="Times New Roman" w:cs="Times New Roman" w:eastAsia="Times New Roman" w:hAnsi="Times New Roman"/>
                <w:sz w:val="19"/>
                <w:szCs w:val="19"/>
                <w:color w:val="231F20"/>
              </w:rPr>
              <w:t>May 31, 2023</w:t>
            </w:r>
          </w:p>
        </w:tc>
        <w:tc>
          <w:tcPr>
            <w:tcW w:w="120" w:type="dxa"/>
            <w:vAlign w:val="bottom"/>
            <w:shd w:val="clear" w:color="auto" w:fill="D0EBF2"/>
          </w:tcPr>
          <w:p>
            <w:pPr>
              <w:spacing w:after="0"/>
              <w:rPr>
                <w:sz w:val="18"/>
                <w:szCs w:val="18"/>
                <w:color w:val="auto"/>
              </w:rPr>
            </w:pPr>
          </w:p>
        </w:tc>
        <w:tc>
          <w:tcPr>
            <w:tcW w:w="1840" w:type="dxa"/>
            <w:vAlign w:val="bottom"/>
            <w:shd w:val="clear" w:color="auto" w:fill="D0EBF2"/>
          </w:tcPr>
          <w:p>
            <w:pPr>
              <w:jc w:val="right"/>
              <w:spacing w:after="0" w:line="217" w:lineRule="exact"/>
              <w:rPr>
                <w:sz w:val="20"/>
                <w:szCs w:val="20"/>
                <w:color w:val="auto"/>
              </w:rPr>
            </w:pPr>
            <w:r>
              <w:rPr>
                <w:rFonts w:ascii="Times New Roman" w:cs="Times New Roman" w:eastAsia="Times New Roman" w:hAnsi="Times New Roman"/>
                <w:sz w:val="19"/>
                <w:szCs w:val="19"/>
                <w:color w:val="231F20"/>
              </w:rPr>
              <w:t>June 20, 2023</w:t>
            </w:r>
          </w:p>
        </w:tc>
        <w:tc>
          <w:tcPr>
            <w:tcW w:w="1680" w:type="dxa"/>
            <w:vAlign w:val="bottom"/>
            <w:gridSpan w:val="2"/>
            <w:shd w:val="clear" w:color="auto" w:fill="D0EBF2"/>
          </w:tcPr>
          <w:p>
            <w:pPr>
              <w:jc w:val="right"/>
              <w:spacing w:after="0" w:line="217" w:lineRule="exact"/>
              <w:rPr>
                <w:sz w:val="20"/>
                <w:szCs w:val="20"/>
                <w:color w:val="auto"/>
              </w:rPr>
            </w:pPr>
            <w:r>
              <w:rPr>
                <w:rFonts w:ascii="Times New Roman" w:cs="Times New Roman" w:eastAsia="Times New Roman" w:hAnsi="Times New Roman"/>
                <w:sz w:val="19"/>
                <w:szCs w:val="19"/>
                <w:color w:val="231F20"/>
              </w:rPr>
              <w:t>23,686</w:t>
            </w:r>
          </w:p>
        </w:tc>
        <w:tc>
          <w:tcPr>
            <w:tcW w:w="120" w:type="dxa"/>
            <w:vAlign w:val="bottom"/>
            <w:shd w:val="clear" w:color="auto" w:fill="D0EBF2"/>
          </w:tcPr>
          <w:p>
            <w:pPr>
              <w:spacing w:after="0"/>
              <w:rPr>
                <w:sz w:val="18"/>
                <w:szCs w:val="18"/>
                <w:color w:val="auto"/>
              </w:rPr>
            </w:pPr>
          </w:p>
        </w:tc>
      </w:tr>
      <w:tr>
        <w:trPr>
          <w:trHeight w:val="217"/>
        </w:trPr>
        <w:tc>
          <w:tcPr>
            <w:tcW w:w="1920" w:type="dxa"/>
            <w:vAlign w:val="bottom"/>
            <w:gridSpan w:val="3"/>
            <w:shd w:val="clear" w:color="auto" w:fill="FDFDFC"/>
          </w:tcPr>
          <w:p>
            <w:pPr>
              <w:spacing w:after="0" w:line="217" w:lineRule="exact"/>
              <w:rPr>
                <w:sz w:val="20"/>
                <w:szCs w:val="20"/>
                <w:color w:val="auto"/>
              </w:rPr>
            </w:pPr>
            <w:r>
              <w:rPr>
                <w:rFonts w:ascii="Times New Roman" w:cs="Times New Roman" w:eastAsia="Times New Roman" w:hAnsi="Times New Roman"/>
                <w:sz w:val="19"/>
                <w:szCs w:val="19"/>
                <w:color w:val="231F20"/>
              </w:rPr>
              <w:t>May 8, 2023</w:t>
            </w:r>
          </w:p>
        </w:tc>
        <w:tc>
          <w:tcPr>
            <w:tcW w:w="1360" w:type="dxa"/>
            <w:vAlign w:val="bottom"/>
            <w:shd w:val="clear" w:color="auto" w:fill="FDFDFC"/>
          </w:tcPr>
          <w:p>
            <w:pPr>
              <w:jc w:val="center"/>
              <w:spacing w:after="0" w:line="217" w:lineRule="exact"/>
              <w:rPr>
                <w:sz w:val="20"/>
                <w:szCs w:val="20"/>
                <w:color w:val="auto"/>
              </w:rPr>
            </w:pPr>
            <w:r>
              <w:rPr>
                <w:rFonts w:ascii="Times New Roman" w:cs="Times New Roman" w:eastAsia="Times New Roman" w:hAnsi="Times New Roman"/>
                <w:sz w:val="19"/>
                <w:szCs w:val="19"/>
                <w:color w:val="231F20"/>
                <w:w w:val="97"/>
              </w:rPr>
              <w:t>Base</w:t>
            </w:r>
          </w:p>
        </w:tc>
        <w:tc>
          <w:tcPr>
            <w:tcW w:w="120" w:type="dxa"/>
            <w:vAlign w:val="bottom"/>
            <w:shd w:val="clear" w:color="auto" w:fill="FDFDFC"/>
          </w:tcPr>
          <w:p>
            <w:pPr>
              <w:spacing w:after="0"/>
              <w:rPr>
                <w:sz w:val="18"/>
                <w:szCs w:val="18"/>
                <w:color w:val="auto"/>
              </w:rPr>
            </w:pPr>
          </w:p>
        </w:tc>
        <w:tc>
          <w:tcPr>
            <w:tcW w:w="2020" w:type="dxa"/>
            <w:vAlign w:val="bottom"/>
            <w:shd w:val="clear" w:color="auto" w:fill="FDFDFC"/>
          </w:tcPr>
          <w:p>
            <w:pPr>
              <w:jc w:val="right"/>
              <w:spacing w:after="0" w:line="217" w:lineRule="exact"/>
              <w:rPr>
                <w:sz w:val="20"/>
                <w:szCs w:val="20"/>
                <w:color w:val="auto"/>
              </w:rPr>
            </w:pPr>
            <w:r>
              <w:rPr>
                <w:rFonts w:ascii="Times New Roman" w:cs="Times New Roman" w:eastAsia="Times New Roman" w:hAnsi="Times New Roman"/>
                <w:sz w:val="19"/>
                <w:szCs w:val="19"/>
                <w:color w:val="231F20"/>
              </w:rPr>
              <w:t>June 15, 2023</w:t>
            </w:r>
          </w:p>
        </w:tc>
        <w:tc>
          <w:tcPr>
            <w:tcW w:w="120" w:type="dxa"/>
            <w:vAlign w:val="bottom"/>
            <w:shd w:val="clear" w:color="auto" w:fill="FDFDFC"/>
          </w:tcPr>
          <w:p>
            <w:pPr>
              <w:spacing w:after="0"/>
              <w:rPr>
                <w:sz w:val="18"/>
                <w:szCs w:val="18"/>
                <w:color w:val="auto"/>
              </w:rPr>
            </w:pPr>
          </w:p>
        </w:tc>
        <w:tc>
          <w:tcPr>
            <w:tcW w:w="1840" w:type="dxa"/>
            <w:vAlign w:val="bottom"/>
            <w:shd w:val="clear" w:color="auto" w:fill="FDFDFC"/>
          </w:tcPr>
          <w:p>
            <w:pPr>
              <w:jc w:val="right"/>
              <w:spacing w:after="0" w:line="217" w:lineRule="exact"/>
              <w:rPr>
                <w:sz w:val="20"/>
                <w:szCs w:val="20"/>
                <w:color w:val="auto"/>
              </w:rPr>
            </w:pPr>
            <w:r>
              <w:rPr>
                <w:rFonts w:ascii="Times New Roman" w:cs="Times New Roman" w:eastAsia="Times New Roman" w:hAnsi="Times New Roman"/>
                <w:sz w:val="19"/>
                <w:szCs w:val="19"/>
                <w:color w:val="231F20"/>
              </w:rPr>
              <w:t>June 30, 2023</w:t>
            </w:r>
          </w:p>
        </w:tc>
        <w:tc>
          <w:tcPr>
            <w:tcW w:w="1680" w:type="dxa"/>
            <w:vAlign w:val="bottom"/>
            <w:gridSpan w:val="2"/>
            <w:shd w:val="clear" w:color="auto" w:fill="FDFDFC"/>
          </w:tcPr>
          <w:p>
            <w:pPr>
              <w:jc w:val="right"/>
              <w:spacing w:after="0" w:line="217" w:lineRule="exact"/>
              <w:rPr>
                <w:sz w:val="20"/>
                <w:szCs w:val="20"/>
                <w:color w:val="auto"/>
              </w:rPr>
            </w:pPr>
            <w:r>
              <w:rPr>
                <w:rFonts w:ascii="Times New Roman" w:cs="Times New Roman" w:eastAsia="Times New Roman" w:hAnsi="Times New Roman"/>
                <w:sz w:val="19"/>
                <w:szCs w:val="19"/>
                <w:color w:val="231F20"/>
              </w:rPr>
              <w:t>290,680</w:t>
            </w:r>
          </w:p>
        </w:tc>
        <w:tc>
          <w:tcPr>
            <w:tcW w:w="120" w:type="dxa"/>
            <w:vAlign w:val="bottom"/>
            <w:shd w:val="clear" w:color="auto" w:fill="FDFDFC"/>
          </w:tcPr>
          <w:p>
            <w:pPr>
              <w:spacing w:after="0"/>
              <w:rPr>
                <w:sz w:val="18"/>
                <w:szCs w:val="18"/>
                <w:color w:val="auto"/>
              </w:rPr>
            </w:pPr>
          </w:p>
        </w:tc>
      </w:tr>
      <w:tr>
        <w:trPr>
          <w:trHeight w:val="217"/>
        </w:trPr>
        <w:tc>
          <w:tcPr>
            <w:tcW w:w="1920" w:type="dxa"/>
            <w:vAlign w:val="bottom"/>
            <w:gridSpan w:val="3"/>
            <w:shd w:val="clear" w:color="auto" w:fill="D0EBF2"/>
          </w:tcPr>
          <w:p>
            <w:pPr>
              <w:spacing w:after="0" w:line="217" w:lineRule="exact"/>
              <w:rPr>
                <w:sz w:val="20"/>
                <w:szCs w:val="20"/>
                <w:color w:val="auto"/>
              </w:rPr>
            </w:pPr>
            <w:r>
              <w:rPr>
                <w:rFonts w:ascii="Times New Roman" w:cs="Times New Roman" w:eastAsia="Times New Roman" w:hAnsi="Times New Roman"/>
                <w:sz w:val="19"/>
                <w:szCs w:val="19"/>
                <w:color w:val="231F20"/>
              </w:rPr>
              <w:t>August 3, 2023</w:t>
            </w:r>
          </w:p>
        </w:tc>
        <w:tc>
          <w:tcPr>
            <w:tcW w:w="1360" w:type="dxa"/>
            <w:vAlign w:val="bottom"/>
            <w:shd w:val="clear" w:color="auto" w:fill="D0EBF2"/>
          </w:tcPr>
          <w:p>
            <w:pPr>
              <w:jc w:val="center"/>
              <w:spacing w:after="0" w:line="217" w:lineRule="exact"/>
              <w:rPr>
                <w:sz w:val="20"/>
                <w:szCs w:val="20"/>
                <w:color w:val="auto"/>
              </w:rPr>
            </w:pPr>
            <w:r>
              <w:rPr>
                <w:rFonts w:ascii="Times New Roman" w:cs="Times New Roman" w:eastAsia="Times New Roman" w:hAnsi="Times New Roman"/>
                <w:sz w:val="19"/>
                <w:szCs w:val="19"/>
                <w:color w:val="231F20"/>
                <w:w w:val="99"/>
              </w:rPr>
              <w:t>Supplemental</w:t>
            </w:r>
          </w:p>
        </w:tc>
        <w:tc>
          <w:tcPr>
            <w:tcW w:w="120" w:type="dxa"/>
            <w:vAlign w:val="bottom"/>
            <w:shd w:val="clear" w:color="auto" w:fill="D0EBF2"/>
          </w:tcPr>
          <w:p>
            <w:pPr>
              <w:spacing w:after="0"/>
              <w:rPr>
                <w:sz w:val="18"/>
                <w:szCs w:val="18"/>
                <w:color w:val="auto"/>
              </w:rPr>
            </w:pPr>
          </w:p>
        </w:tc>
        <w:tc>
          <w:tcPr>
            <w:tcW w:w="2020" w:type="dxa"/>
            <w:vAlign w:val="bottom"/>
            <w:shd w:val="clear" w:color="auto" w:fill="D0EBF2"/>
          </w:tcPr>
          <w:p>
            <w:pPr>
              <w:jc w:val="right"/>
              <w:spacing w:after="0" w:line="217" w:lineRule="exact"/>
              <w:rPr>
                <w:sz w:val="20"/>
                <w:szCs w:val="20"/>
                <w:color w:val="auto"/>
              </w:rPr>
            </w:pPr>
            <w:r>
              <w:rPr>
                <w:rFonts w:ascii="Times New Roman" w:cs="Times New Roman" w:eastAsia="Times New Roman" w:hAnsi="Times New Roman"/>
                <w:sz w:val="19"/>
                <w:szCs w:val="19"/>
                <w:color w:val="231F20"/>
              </w:rPr>
              <w:t>August 31, 2023</w:t>
            </w:r>
          </w:p>
        </w:tc>
        <w:tc>
          <w:tcPr>
            <w:tcW w:w="120" w:type="dxa"/>
            <w:vAlign w:val="bottom"/>
            <w:shd w:val="clear" w:color="auto" w:fill="D0EBF2"/>
          </w:tcPr>
          <w:p>
            <w:pPr>
              <w:spacing w:after="0"/>
              <w:rPr>
                <w:sz w:val="18"/>
                <w:szCs w:val="18"/>
                <w:color w:val="auto"/>
              </w:rPr>
            </w:pPr>
          </w:p>
        </w:tc>
        <w:tc>
          <w:tcPr>
            <w:tcW w:w="1840" w:type="dxa"/>
            <w:vAlign w:val="bottom"/>
            <w:shd w:val="clear" w:color="auto" w:fill="D0EBF2"/>
          </w:tcPr>
          <w:p>
            <w:pPr>
              <w:jc w:val="right"/>
              <w:spacing w:after="0" w:line="217" w:lineRule="exact"/>
              <w:rPr>
                <w:sz w:val="20"/>
                <w:szCs w:val="20"/>
                <w:color w:val="auto"/>
              </w:rPr>
            </w:pPr>
            <w:r>
              <w:rPr>
                <w:rFonts w:ascii="Times New Roman" w:cs="Times New Roman" w:eastAsia="Times New Roman" w:hAnsi="Times New Roman"/>
                <w:sz w:val="19"/>
                <w:szCs w:val="19"/>
                <w:color w:val="231F20"/>
              </w:rPr>
              <w:t>September 20, 2023</w:t>
            </w:r>
          </w:p>
        </w:tc>
        <w:tc>
          <w:tcPr>
            <w:tcW w:w="1680" w:type="dxa"/>
            <w:vAlign w:val="bottom"/>
            <w:gridSpan w:val="2"/>
            <w:shd w:val="clear" w:color="auto" w:fill="D0EBF2"/>
          </w:tcPr>
          <w:p>
            <w:pPr>
              <w:jc w:val="right"/>
              <w:spacing w:after="0" w:line="217" w:lineRule="exact"/>
              <w:rPr>
                <w:sz w:val="20"/>
                <w:szCs w:val="20"/>
                <w:color w:val="auto"/>
              </w:rPr>
            </w:pPr>
            <w:r>
              <w:rPr>
                <w:rFonts w:ascii="Times New Roman" w:cs="Times New Roman" w:eastAsia="Times New Roman" w:hAnsi="Times New Roman"/>
                <w:sz w:val="19"/>
                <w:szCs w:val="19"/>
                <w:color w:val="231F20"/>
              </w:rPr>
              <w:t>35,504</w:t>
            </w:r>
          </w:p>
        </w:tc>
        <w:tc>
          <w:tcPr>
            <w:tcW w:w="120" w:type="dxa"/>
            <w:vAlign w:val="bottom"/>
            <w:shd w:val="clear" w:color="auto" w:fill="D0EBF2"/>
          </w:tcPr>
          <w:p>
            <w:pPr>
              <w:spacing w:after="0"/>
              <w:rPr>
                <w:sz w:val="18"/>
                <w:szCs w:val="18"/>
                <w:color w:val="auto"/>
              </w:rPr>
            </w:pPr>
          </w:p>
        </w:tc>
      </w:tr>
      <w:tr>
        <w:trPr>
          <w:trHeight w:val="217"/>
        </w:trPr>
        <w:tc>
          <w:tcPr>
            <w:tcW w:w="1920" w:type="dxa"/>
            <w:vAlign w:val="bottom"/>
            <w:gridSpan w:val="3"/>
            <w:shd w:val="clear" w:color="auto" w:fill="FDFDFC"/>
          </w:tcPr>
          <w:p>
            <w:pPr>
              <w:spacing w:after="0" w:line="217" w:lineRule="exact"/>
              <w:rPr>
                <w:sz w:val="20"/>
                <w:szCs w:val="20"/>
                <w:color w:val="auto"/>
              </w:rPr>
            </w:pPr>
            <w:r>
              <w:rPr>
                <w:rFonts w:ascii="Times New Roman" w:cs="Times New Roman" w:eastAsia="Times New Roman" w:hAnsi="Times New Roman"/>
                <w:sz w:val="19"/>
                <w:szCs w:val="19"/>
                <w:color w:val="231F20"/>
              </w:rPr>
              <w:t>August 3, 2023</w:t>
            </w:r>
          </w:p>
        </w:tc>
        <w:tc>
          <w:tcPr>
            <w:tcW w:w="1360" w:type="dxa"/>
            <w:vAlign w:val="bottom"/>
            <w:shd w:val="clear" w:color="auto" w:fill="FDFDFC"/>
          </w:tcPr>
          <w:p>
            <w:pPr>
              <w:jc w:val="center"/>
              <w:spacing w:after="0" w:line="217" w:lineRule="exact"/>
              <w:rPr>
                <w:sz w:val="20"/>
                <w:szCs w:val="20"/>
                <w:color w:val="auto"/>
              </w:rPr>
            </w:pPr>
            <w:r>
              <w:rPr>
                <w:rFonts w:ascii="Times New Roman" w:cs="Times New Roman" w:eastAsia="Times New Roman" w:hAnsi="Times New Roman"/>
                <w:sz w:val="19"/>
                <w:szCs w:val="19"/>
                <w:color w:val="231F20"/>
                <w:w w:val="97"/>
              </w:rPr>
              <w:t>Base</w:t>
            </w:r>
          </w:p>
        </w:tc>
        <w:tc>
          <w:tcPr>
            <w:tcW w:w="120" w:type="dxa"/>
            <w:vAlign w:val="bottom"/>
            <w:shd w:val="clear" w:color="auto" w:fill="FDFDFC"/>
          </w:tcPr>
          <w:p>
            <w:pPr>
              <w:spacing w:after="0"/>
              <w:rPr>
                <w:sz w:val="18"/>
                <w:szCs w:val="18"/>
                <w:color w:val="auto"/>
              </w:rPr>
            </w:pPr>
          </w:p>
        </w:tc>
        <w:tc>
          <w:tcPr>
            <w:tcW w:w="2020" w:type="dxa"/>
            <w:vAlign w:val="bottom"/>
            <w:shd w:val="clear" w:color="auto" w:fill="FDFDFC"/>
          </w:tcPr>
          <w:p>
            <w:pPr>
              <w:jc w:val="right"/>
              <w:spacing w:after="0" w:line="217" w:lineRule="exact"/>
              <w:rPr>
                <w:sz w:val="20"/>
                <w:szCs w:val="20"/>
                <w:color w:val="auto"/>
              </w:rPr>
            </w:pPr>
            <w:r>
              <w:rPr>
                <w:rFonts w:ascii="Times New Roman" w:cs="Times New Roman" w:eastAsia="Times New Roman" w:hAnsi="Times New Roman"/>
                <w:sz w:val="19"/>
                <w:szCs w:val="19"/>
                <w:color w:val="231F20"/>
              </w:rPr>
              <w:t>September 15, 2023</w:t>
            </w:r>
          </w:p>
        </w:tc>
        <w:tc>
          <w:tcPr>
            <w:tcW w:w="120" w:type="dxa"/>
            <w:vAlign w:val="bottom"/>
            <w:shd w:val="clear" w:color="auto" w:fill="FDFDFC"/>
          </w:tcPr>
          <w:p>
            <w:pPr>
              <w:spacing w:after="0"/>
              <w:rPr>
                <w:sz w:val="18"/>
                <w:szCs w:val="18"/>
                <w:color w:val="auto"/>
              </w:rPr>
            </w:pPr>
          </w:p>
        </w:tc>
        <w:tc>
          <w:tcPr>
            <w:tcW w:w="1840" w:type="dxa"/>
            <w:vAlign w:val="bottom"/>
            <w:shd w:val="clear" w:color="auto" w:fill="FDFDFC"/>
          </w:tcPr>
          <w:p>
            <w:pPr>
              <w:jc w:val="right"/>
              <w:spacing w:after="0" w:line="217" w:lineRule="exact"/>
              <w:rPr>
                <w:sz w:val="20"/>
                <w:szCs w:val="20"/>
                <w:color w:val="auto"/>
              </w:rPr>
            </w:pPr>
            <w:r>
              <w:rPr>
                <w:rFonts w:ascii="Times New Roman" w:cs="Times New Roman" w:eastAsia="Times New Roman" w:hAnsi="Times New Roman"/>
                <w:sz w:val="19"/>
                <w:szCs w:val="19"/>
                <w:color w:val="231F20"/>
              </w:rPr>
              <w:t>September 29, 2023</w:t>
            </w:r>
          </w:p>
        </w:tc>
        <w:tc>
          <w:tcPr>
            <w:tcW w:w="1680" w:type="dxa"/>
            <w:vAlign w:val="bottom"/>
            <w:gridSpan w:val="2"/>
            <w:shd w:val="clear" w:color="auto" w:fill="FDFDFC"/>
          </w:tcPr>
          <w:p>
            <w:pPr>
              <w:jc w:val="right"/>
              <w:spacing w:after="0" w:line="217" w:lineRule="exact"/>
              <w:rPr>
                <w:sz w:val="20"/>
                <w:szCs w:val="20"/>
                <w:color w:val="auto"/>
              </w:rPr>
            </w:pPr>
            <w:r>
              <w:rPr>
                <w:rFonts w:ascii="Times New Roman" w:cs="Times New Roman" w:eastAsia="Times New Roman" w:hAnsi="Times New Roman"/>
                <w:sz w:val="19"/>
                <w:szCs w:val="19"/>
                <w:color w:val="231F20"/>
              </w:rPr>
              <w:t>269,763</w:t>
            </w:r>
          </w:p>
        </w:tc>
        <w:tc>
          <w:tcPr>
            <w:tcW w:w="120" w:type="dxa"/>
            <w:vAlign w:val="bottom"/>
            <w:shd w:val="clear" w:color="auto" w:fill="FDFDFC"/>
          </w:tcPr>
          <w:p>
            <w:pPr>
              <w:spacing w:after="0"/>
              <w:rPr>
                <w:sz w:val="18"/>
                <w:szCs w:val="18"/>
                <w:color w:val="auto"/>
              </w:rPr>
            </w:pPr>
          </w:p>
        </w:tc>
      </w:tr>
      <w:tr>
        <w:trPr>
          <w:trHeight w:val="217"/>
        </w:trPr>
        <w:tc>
          <w:tcPr>
            <w:tcW w:w="1920" w:type="dxa"/>
            <w:vAlign w:val="bottom"/>
            <w:gridSpan w:val="3"/>
            <w:shd w:val="clear" w:color="auto" w:fill="D0EBF2"/>
          </w:tcPr>
          <w:p>
            <w:pPr>
              <w:spacing w:after="0" w:line="217" w:lineRule="exact"/>
              <w:rPr>
                <w:sz w:val="20"/>
                <w:szCs w:val="20"/>
                <w:color w:val="auto"/>
              </w:rPr>
            </w:pPr>
            <w:r>
              <w:rPr>
                <w:rFonts w:ascii="Times New Roman" w:cs="Times New Roman" w:eastAsia="Times New Roman" w:hAnsi="Times New Roman"/>
                <w:sz w:val="19"/>
                <w:szCs w:val="19"/>
                <w:color w:val="231F20"/>
              </w:rPr>
              <w:t>November 2, 2023</w:t>
            </w:r>
          </w:p>
        </w:tc>
        <w:tc>
          <w:tcPr>
            <w:tcW w:w="1360" w:type="dxa"/>
            <w:vAlign w:val="bottom"/>
            <w:shd w:val="clear" w:color="auto" w:fill="D0EBF2"/>
          </w:tcPr>
          <w:p>
            <w:pPr>
              <w:jc w:val="center"/>
              <w:spacing w:after="0" w:line="217" w:lineRule="exact"/>
              <w:rPr>
                <w:sz w:val="20"/>
                <w:szCs w:val="20"/>
                <w:color w:val="auto"/>
              </w:rPr>
            </w:pPr>
            <w:r>
              <w:rPr>
                <w:rFonts w:ascii="Times New Roman" w:cs="Times New Roman" w:eastAsia="Times New Roman" w:hAnsi="Times New Roman"/>
                <w:sz w:val="19"/>
                <w:szCs w:val="19"/>
                <w:color w:val="231F20"/>
                <w:w w:val="99"/>
              </w:rPr>
              <w:t>Supplemental</w:t>
            </w:r>
          </w:p>
        </w:tc>
        <w:tc>
          <w:tcPr>
            <w:tcW w:w="120" w:type="dxa"/>
            <w:vAlign w:val="bottom"/>
            <w:shd w:val="clear" w:color="auto" w:fill="D0EBF2"/>
          </w:tcPr>
          <w:p>
            <w:pPr>
              <w:spacing w:after="0"/>
              <w:rPr>
                <w:sz w:val="18"/>
                <w:szCs w:val="18"/>
                <w:color w:val="auto"/>
              </w:rPr>
            </w:pPr>
          </w:p>
        </w:tc>
        <w:tc>
          <w:tcPr>
            <w:tcW w:w="2020" w:type="dxa"/>
            <w:vAlign w:val="bottom"/>
            <w:shd w:val="clear" w:color="auto" w:fill="D0EBF2"/>
          </w:tcPr>
          <w:p>
            <w:pPr>
              <w:jc w:val="right"/>
              <w:spacing w:after="0" w:line="217" w:lineRule="exact"/>
              <w:rPr>
                <w:sz w:val="20"/>
                <w:szCs w:val="20"/>
                <w:color w:val="auto"/>
              </w:rPr>
            </w:pPr>
            <w:r>
              <w:rPr>
                <w:rFonts w:ascii="Times New Roman" w:cs="Times New Roman" w:eastAsia="Times New Roman" w:hAnsi="Times New Roman"/>
                <w:sz w:val="19"/>
                <w:szCs w:val="19"/>
                <w:color w:val="231F20"/>
              </w:rPr>
              <w:t>November 30, 2023</w:t>
            </w:r>
          </w:p>
        </w:tc>
        <w:tc>
          <w:tcPr>
            <w:tcW w:w="120" w:type="dxa"/>
            <w:vAlign w:val="bottom"/>
            <w:shd w:val="clear" w:color="auto" w:fill="D0EBF2"/>
          </w:tcPr>
          <w:p>
            <w:pPr>
              <w:spacing w:after="0"/>
              <w:rPr>
                <w:sz w:val="18"/>
                <w:szCs w:val="18"/>
                <w:color w:val="auto"/>
              </w:rPr>
            </w:pPr>
          </w:p>
        </w:tc>
        <w:tc>
          <w:tcPr>
            <w:tcW w:w="1840" w:type="dxa"/>
            <w:vAlign w:val="bottom"/>
            <w:shd w:val="clear" w:color="auto" w:fill="D0EBF2"/>
          </w:tcPr>
          <w:p>
            <w:pPr>
              <w:jc w:val="right"/>
              <w:spacing w:after="0" w:line="217" w:lineRule="exact"/>
              <w:rPr>
                <w:sz w:val="20"/>
                <w:szCs w:val="20"/>
                <w:color w:val="auto"/>
              </w:rPr>
            </w:pPr>
            <w:r>
              <w:rPr>
                <w:rFonts w:ascii="Times New Roman" w:cs="Times New Roman" w:eastAsia="Times New Roman" w:hAnsi="Times New Roman"/>
                <w:sz w:val="19"/>
                <w:szCs w:val="19"/>
                <w:color w:val="231F20"/>
              </w:rPr>
              <w:t>December 20, 2023</w:t>
            </w:r>
          </w:p>
        </w:tc>
        <w:tc>
          <w:tcPr>
            <w:tcW w:w="1680" w:type="dxa"/>
            <w:vAlign w:val="bottom"/>
            <w:gridSpan w:val="2"/>
            <w:shd w:val="clear" w:color="auto" w:fill="D0EBF2"/>
          </w:tcPr>
          <w:p>
            <w:pPr>
              <w:jc w:val="right"/>
              <w:spacing w:after="0" w:line="217" w:lineRule="exact"/>
              <w:rPr>
                <w:sz w:val="20"/>
                <w:szCs w:val="20"/>
                <w:color w:val="auto"/>
              </w:rPr>
            </w:pPr>
            <w:r>
              <w:rPr>
                <w:rFonts w:ascii="Times New Roman" w:cs="Times New Roman" w:eastAsia="Times New Roman" w:hAnsi="Times New Roman"/>
                <w:sz w:val="19"/>
                <w:szCs w:val="19"/>
                <w:color w:val="231F20"/>
              </w:rPr>
              <w:t>32,157</w:t>
            </w:r>
          </w:p>
        </w:tc>
        <w:tc>
          <w:tcPr>
            <w:tcW w:w="120" w:type="dxa"/>
            <w:vAlign w:val="bottom"/>
            <w:shd w:val="clear" w:color="auto" w:fill="D0EBF2"/>
          </w:tcPr>
          <w:p>
            <w:pPr>
              <w:spacing w:after="0"/>
              <w:rPr>
                <w:sz w:val="18"/>
                <w:szCs w:val="18"/>
                <w:color w:val="auto"/>
              </w:rPr>
            </w:pPr>
          </w:p>
        </w:tc>
      </w:tr>
      <w:tr>
        <w:trPr>
          <w:trHeight w:val="217"/>
        </w:trPr>
        <w:tc>
          <w:tcPr>
            <w:tcW w:w="1920" w:type="dxa"/>
            <w:vAlign w:val="bottom"/>
            <w:gridSpan w:val="3"/>
            <w:shd w:val="clear" w:color="auto" w:fill="FDFDFC"/>
          </w:tcPr>
          <w:p>
            <w:pPr>
              <w:spacing w:after="0" w:line="217" w:lineRule="exact"/>
              <w:rPr>
                <w:sz w:val="20"/>
                <w:szCs w:val="20"/>
                <w:color w:val="auto"/>
              </w:rPr>
            </w:pPr>
            <w:r>
              <w:rPr>
                <w:rFonts w:ascii="Times New Roman" w:cs="Times New Roman" w:eastAsia="Times New Roman" w:hAnsi="Times New Roman"/>
                <w:sz w:val="19"/>
                <w:szCs w:val="19"/>
                <w:color w:val="231F20"/>
              </w:rPr>
              <w:t>November 2, 2023</w:t>
            </w:r>
          </w:p>
        </w:tc>
        <w:tc>
          <w:tcPr>
            <w:tcW w:w="1360" w:type="dxa"/>
            <w:vAlign w:val="bottom"/>
            <w:shd w:val="clear" w:color="auto" w:fill="FDFDFC"/>
          </w:tcPr>
          <w:p>
            <w:pPr>
              <w:jc w:val="center"/>
              <w:spacing w:after="0" w:line="217" w:lineRule="exact"/>
              <w:rPr>
                <w:sz w:val="20"/>
                <w:szCs w:val="20"/>
                <w:color w:val="auto"/>
              </w:rPr>
            </w:pPr>
            <w:r>
              <w:rPr>
                <w:rFonts w:ascii="Times New Roman" w:cs="Times New Roman" w:eastAsia="Times New Roman" w:hAnsi="Times New Roman"/>
                <w:sz w:val="19"/>
                <w:szCs w:val="19"/>
                <w:color w:val="231F20"/>
                <w:w w:val="97"/>
              </w:rPr>
              <w:t>Base</w:t>
            </w:r>
          </w:p>
        </w:tc>
        <w:tc>
          <w:tcPr>
            <w:tcW w:w="120" w:type="dxa"/>
            <w:vAlign w:val="bottom"/>
            <w:shd w:val="clear" w:color="auto" w:fill="FDFDFC"/>
          </w:tcPr>
          <w:p>
            <w:pPr>
              <w:spacing w:after="0"/>
              <w:rPr>
                <w:sz w:val="18"/>
                <w:szCs w:val="18"/>
                <w:color w:val="auto"/>
              </w:rPr>
            </w:pPr>
          </w:p>
        </w:tc>
        <w:tc>
          <w:tcPr>
            <w:tcW w:w="2020" w:type="dxa"/>
            <w:vAlign w:val="bottom"/>
            <w:shd w:val="clear" w:color="auto" w:fill="FDFDFC"/>
          </w:tcPr>
          <w:p>
            <w:pPr>
              <w:jc w:val="right"/>
              <w:spacing w:after="0" w:line="217" w:lineRule="exact"/>
              <w:rPr>
                <w:sz w:val="20"/>
                <w:szCs w:val="20"/>
                <w:color w:val="auto"/>
              </w:rPr>
            </w:pPr>
            <w:r>
              <w:rPr>
                <w:rFonts w:ascii="Times New Roman" w:cs="Times New Roman" w:eastAsia="Times New Roman" w:hAnsi="Times New Roman"/>
                <w:sz w:val="19"/>
                <w:szCs w:val="19"/>
                <w:color w:val="231F20"/>
              </w:rPr>
              <w:t>December 15, 2023</w:t>
            </w:r>
          </w:p>
        </w:tc>
        <w:tc>
          <w:tcPr>
            <w:tcW w:w="120" w:type="dxa"/>
            <w:vAlign w:val="bottom"/>
            <w:shd w:val="clear" w:color="auto" w:fill="FDFDFC"/>
          </w:tcPr>
          <w:p>
            <w:pPr>
              <w:spacing w:after="0"/>
              <w:rPr>
                <w:sz w:val="18"/>
                <w:szCs w:val="18"/>
                <w:color w:val="auto"/>
              </w:rPr>
            </w:pPr>
          </w:p>
        </w:tc>
        <w:tc>
          <w:tcPr>
            <w:tcW w:w="1840" w:type="dxa"/>
            <w:vAlign w:val="bottom"/>
            <w:shd w:val="clear" w:color="auto" w:fill="FDFDFC"/>
          </w:tcPr>
          <w:p>
            <w:pPr>
              <w:jc w:val="right"/>
              <w:spacing w:after="0" w:line="217" w:lineRule="exact"/>
              <w:rPr>
                <w:sz w:val="20"/>
                <w:szCs w:val="20"/>
                <w:color w:val="auto"/>
              </w:rPr>
            </w:pPr>
            <w:r>
              <w:rPr>
                <w:rFonts w:ascii="Times New Roman" w:cs="Times New Roman" w:eastAsia="Times New Roman" w:hAnsi="Times New Roman"/>
                <w:sz w:val="19"/>
                <w:szCs w:val="19"/>
                <w:color w:val="231F20"/>
              </w:rPr>
              <w:t>December 29, 2023</w:t>
            </w:r>
          </w:p>
        </w:tc>
        <w:tc>
          <w:tcPr>
            <w:tcW w:w="1680" w:type="dxa"/>
            <w:vAlign w:val="bottom"/>
            <w:gridSpan w:val="2"/>
            <w:shd w:val="clear" w:color="auto" w:fill="FDFDFC"/>
          </w:tcPr>
          <w:p>
            <w:pPr>
              <w:jc w:val="right"/>
              <w:spacing w:after="0" w:line="217" w:lineRule="exact"/>
              <w:rPr>
                <w:sz w:val="20"/>
                <w:szCs w:val="20"/>
                <w:color w:val="auto"/>
              </w:rPr>
            </w:pPr>
            <w:r>
              <w:rPr>
                <w:rFonts w:ascii="Times New Roman" w:cs="Times New Roman" w:eastAsia="Times New Roman" w:hAnsi="Times New Roman"/>
                <w:sz w:val="19"/>
                <w:szCs w:val="19"/>
                <w:color w:val="231F20"/>
              </w:rPr>
              <w:t>250,844</w:t>
            </w:r>
          </w:p>
        </w:tc>
        <w:tc>
          <w:tcPr>
            <w:tcW w:w="120" w:type="dxa"/>
            <w:vAlign w:val="bottom"/>
            <w:shd w:val="clear" w:color="auto" w:fill="FDFDFC"/>
          </w:tcPr>
          <w:p>
            <w:pPr>
              <w:spacing w:after="0"/>
              <w:rPr>
                <w:sz w:val="18"/>
                <w:szCs w:val="18"/>
                <w:color w:val="auto"/>
              </w:rPr>
            </w:pPr>
          </w:p>
        </w:tc>
      </w:tr>
      <w:tr>
        <w:trPr>
          <w:trHeight w:val="207"/>
        </w:trPr>
        <w:tc>
          <w:tcPr>
            <w:tcW w:w="1920" w:type="dxa"/>
            <w:vAlign w:val="bottom"/>
            <w:tcBorders>
              <w:top w:val="single" w:sz="8" w:color="D0EBF2"/>
            </w:tcBorders>
            <w:gridSpan w:val="3"/>
            <w:shd w:val="clear" w:color="auto" w:fill="D0EBF2"/>
          </w:tcPr>
          <w:p>
            <w:pPr>
              <w:ind w:left="180"/>
              <w:spacing w:after="0" w:line="206" w:lineRule="exact"/>
              <w:rPr>
                <w:sz w:val="20"/>
                <w:szCs w:val="20"/>
                <w:color w:val="auto"/>
              </w:rPr>
            </w:pPr>
            <w:r>
              <w:rPr>
                <w:rFonts w:ascii="Times New Roman" w:cs="Times New Roman" w:eastAsia="Times New Roman" w:hAnsi="Times New Roman"/>
                <w:sz w:val="19"/>
                <w:szCs w:val="19"/>
                <w:b w:val="1"/>
                <w:bCs w:val="1"/>
                <w:color w:val="231F20"/>
              </w:rPr>
              <w:t>Total Shares Issued</w:t>
            </w:r>
          </w:p>
        </w:tc>
        <w:tc>
          <w:tcPr>
            <w:tcW w:w="1360" w:type="dxa"/>
            <w:vAlign w:val="bottom"/>
            <w:tcBorders>
              <w:top w:val="single" w:sz="8" w:color="D0EBF2"/>
            </w:tcBorders>
            <w:shd w:val="clear" w:color="auto" w:fill="D0EBF2"/>
          </w:tcPr>
          <w:p>
            <w:pPr>
              <w:spacing w:after="0"/>
              <w:rPr>
                <w:sz w:val="17"/>
                <w:szCs w:val="17"/>
                <w:color w:val="auto"/>
              </w:rPr>
            </w:pPr>
          </w:p>
        </w:tc>
        <w:tc>
          <w:tcPr>
            <w:tcW w:w="120" w:type="dxa"/>
            <w:vAlign w:val="bottom"/>
            <w:tcBorders>
              <w:top w:val="single" w:sz="8" w:color="D0EBF2"/>
            </w:tcBorders>
            <w:shd w:val="clear" w:color="auto" w:fill="D0EBF2"/>
          </w:tcPr>
          <w:p>
            <w:pPr>
              <w:spacing w:after="0"/>
              <w:rPr>
                <w:sz w:val="17"/>
                <w:szCs w:val="17"/>
                <w:color w:val="auto"/>
              </w:rPr>
            </w:pPr>
          </w:p>
        </w:tc>
        <w:tc>
          <w:tcPr>
            <w:tcW w:w="2020" w:type="dxa"/>
            <w:vAlign w:val="bottom"/>
            <w:tcBorders>
              <w:top w:val="single" w:sz="8" w:color="D0EBF2"/>
            </w:tcBorders>
            <w:shd w:val="clear" w:color="auto" w:fill="D0EBF2"/>
          </w:tcPr>
          <w:p>
            <w:pPr>
              <w:spacing w:after="0"/>
              <w:rPr>
                <w:sz w:val="17"/>
                <w:szCs w:val="17"/>
                <w:color w:val="auto"/>
              </w:rPr>
            </w:pPr>
          </w:p>
        </w:tc>
        <w:tc>
          <w:tcPr>
            <w:tcW w:w="120" w:type="dxa"/>
            <w:vAlign w:val="bottom"/>
            <w:tcBorders>
              <w:top w:val="single" w:sz="8" w:color="D0EBF2"/>
            </w:tcBorders>
            <w:shd w:val="clear" w:color="auto" w:fill="D0EBF2"/>
          </w:tcPr>
          <w:p>
            <w:pPr>
              <w:spacing w:after="0"/>
              <w:rPr>
                <w:sz w:val="17"/>
                <w:szCs w:val="17"/>
                <w:color w:val="auto"/>
              </w:rPr>
            </w:pPr>
          </w:p>
        </w:tc>
        <w:tc>
          <w:tcPr>
            <w:tcW w:w="1840" w:type="dxa"/>
            <w:vAlign w:val="bottom"/>
            <w:tcBorders>
              <w:top w:val="single" w:sz="8" w:color="D0EBF2"/>
            </w:tcBorders>
            <w:shd w:val="clear" w:color="auto" w:fill="D0EBF2"/>
          </w:tcPr>
          <w:p>
            <w:pPr>
              <w:spacing w:after="0"/>
              <w:rPr>
                <w:sz w:val="17"/>
                <w:szCs w:val="17"/>
                <w:color w:val="auto"/>
              </w:rPr>
            </w:pPr>
          </w:p>
        </w:tc>
        <w:tc>
          <w:tcPr>
            <w:tcW w:w="120" w:type="dxa"/>
            <w:vAlign w:val="bottom"/>
            <w:tcBorders>
              <w:top w:val="single" w:sz="8" w:color="D0EBF2"/>
            </w:tcBorders>
            <w:shd w:val="clear" w:color="auto" w:fill="D0EBF2"/>
          </w:tcPr>
          <w:p>
            <w:pPr>
              <w:spacing w:after="0"/>
              <w:rPr>
                <w:sz w:val="17"/>
                <w:szCs w:val="17"/>
                <w:color w:val="auto"/>
              </w:rPr>
            </w:pPr>
          </w:p>
        </w:tc>
        <w:tc>
          <w:tcPr>
            <w:tcW w:w="1560" w:type="dxa"/>
            <w:vAlign w:val="bottom"/>
            <w:tcBorders>
              <w:top w:val="single" w:sz="8" w:color="231F20"/>
              <w:bottom w:val="single" w:sz="8" w:color="231F20"/>
            </w:tcBorders>
            <w:shd w:val="clear" w:color="auto" w:fill="D0EBF2"/>
          </w:tcPr>
          <w:p>
            <w:pPr>
              <w:jc w:val="right"/>
              <w:spacing w:after="0" w:line="206" w:lineRule="exact"/>
              <w:rPr>
                <w:sz w:val="20"/>
                <w:szCs w:val="20"/>
                <w:color w:val="auto"/>
              </w:rPr>
            </w:pPr>
            <w:r>
              <w:rPr>
                <w:rFonts w:ascii="Times New Roman" w:cs="Times New Roman" w:eastAsia="Times New Roman" w:hAnsi="Times New Roman"/>
                <w:sz w:val="19"/>
                <w:szCs w:val="19"/>
                <w:color w:val="231F20"/>
              </w:rPr>
              <w:t>1,265,212</w:t>
            </w:r>
          </w:p>
        </w:tc>
        <w:tc>
          <w:tcPr>
            <w:tcW w:w="120" w:type="dxa"/>
            <w:vAlign w:val="bottom"/>
            <w:tcBorders>
              <w:top w:val="single" w:sz="8" w:color="D0EBF2"/>
            </w:tcBorders>
            <w:shd w:val="clear" w:color="auto" w:fill="D0EBF2"/>
          </w:tcPr>
          <w:p>
            <w:pPr>
              <w:spacing w:after="0"/>
              <w:rPr>
                <w:sz w:val="17"/>
                <w:szCs w:val="17"/>
                <w:color w:val="auto"/>
              </w:rPr>
            </w:pPr>
          </w:p>
        </w:tc>
      </w:tr>
      <w:tr>
        <w:trPr>
          <w:trHeight w:val="20"/>
        </w:trPr>
        <w:tc>
          <w:tcPr>
            <w:tcW w:w="1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60" w:type="dxa"/>
            <w:vAlign w:val="bottom"/>
            <w:tcBorders>
              <w:bottom w:val="single" w:sz="8" w:color="231F20"/>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93" w:lineRule="exact"/>
        <w:rPr>
          <w:sz w:val="20"/>
          <w:szCs w:val="20"/>
          <w:color w:val="auto"/>
        </w:rPr>
      </w:pPr>
    </w:p>
    <w:p>
      <w:pPr>
        <w:ind w:left="460" w:hanging="460"/>
        <w:spacing w:after="0"/>
        <w:tabs>
          <w:tab w:leader="none" w:pos="460" w:val="left"/>
        </w:tabs>
        <w:numPr>
          <w:ilvl w:val="0"/>
          <w:numId w:val="102"/>
        </w:numPr>
        <w:rPr>
          <w:rFonts w:ascii="Times New Roman" w:cs="Times New Roman" w:eastAsia="Times New Roman" w:hAnsi="Times New Roman"/>
          <w:sz w:val="19"/>
          <w:szCs w:val="19"/>
          <w:color w:val="231F20"/>
        </w:rPr>
      </w:pPr>
      <w:r>
        <w:rPr>
          <w:rFonts w:ascii="Times New Roman" w:cs="Times New Roman" w:eastAsia="Times New Roman" w:hAnsi="Times New Roman"/>
          <w:sz w:val="19"/>
          <w:szCs w:val="19"/>
          <w:color w:val="231F20"/>
        </w:rPr>
        <w:t>See Note 11 for further information on base, supplemental and special dividends.</w:t>
      </w:r>
    </w:p>
    <w:p>
      <w:pPr>
        <w:spacing w:after="0" w:line="225" w:lineRule="exact"/>
        <w:rPr>
          <w:sz w:val="20"/>
          <w:szCs w:val="20"/>
          <w:color w:val="auto"/>
        </w:rPr>
      </w:pPr>
    </w:p>
    <w:p>
      <w:pPr>
        <w:jc w:val="both"/>
        <w:ind w:right="140" w:firstLine="231"/>
        <w:spacing w:after="0" w:line="257" w:lineRule="auto"/>
        <w:rPr>
          <w:sz w:val="20"/>
          <w:szCs w:val="20"/>
          <w:color w:val="auto"/>
        </w:rPr>
      </w:pPr>
      <w:r>
        <w:rPr>
          <w:rFonts w:ascii="Times New Roman" w:cs="Times New Roman" w:eastAsia="Times New Roman" w:hAnsi="Times New Roman"/>
          <w:sz w:val="19"/>
          <w:szCs w:val="19"/>
          <w:color w:val="231F20"/>
        </w:rPr>
        <w:t>During the year ended December 31, 2024 and December 31, 2023, we issued 1,231,937 and 1,265,212 shares of the Company's common stock, respectively, to investors who have not opted out of the Company's dividend reinvestment plan for proceeds of $24.7 million and $23.5 million, respectively.</w:t>
      </w:r>
    </w:p>
    <w:p>
      <w:pPr>
        <w:spacing w:after="0" w:line="176" w:lineRule="exact"/>
        <w:rPr>
          <w:sz w:val="20"/>
          <w:szCs w:val="20"/>
          <w:color w:val="auto"/>
        </w:rPr>
      </w:pPr>
    </w:p>
    <w:p>
      <w:pPr>
        <w:ind w:firstLine="231"/>
        <w:spacing w:after="0" w:line="247" w:lineRule="auto"/>
        <w:rPr>
          <w:sz w:val="20"/>
          <w:szCs w:val="20"/>
          <w:color w:val="auto"/>
        </w:rPr>
      </w:pPr>
      <w:r>
        <w:rPr>
          <w:rFonts w:ascii="Times New Roman" w:cs="Times New Roman" w:eastAsia="Times New Roman" w:hAnsi="Times New Roman"/>
          <w:sz w:val="19"/>
          <w:szCs w:val="19"/>
          <w:color w:val="231F20"/>
        </w:rPr>
        <w:t>On August 4, 2015, the Company's Board authorized the Company to acquire up to $50 million in aggregate of the Company’s common stock from time to time over an initial six month period, and has continued to authorize the refreshment of the $50 million amount authorized under and extension of the stock repurchase program prior to its expiration since that time, most recently as of May 1, 2024. The amount and timing of stock repurchases under the program may vary depending on market conditions, and no assurance can be given that any particular amount of common stock will be repurchased.</w:t>
      </w:r>
    </w:p>
    <w:p>
      <w:pPr>
        <w:sectPr>
          <w:pgSz w:w="12240" w:h="15840" w:orient="portrait"/>
          <w:cols w:equalWidth="0" w:num="1">
            <w:col w:w="10180"/>
          </w:cols>
          <w:pgMar w:left="1020" w:top="1308" w:right="1040" w:bottom="574" w:gutter="0" w:footer="0" w:header="0"/>
        </w:sectPr>
      </w:pPr>
    </w:p>
    <w:p>
      <w:pPr>
        <w:spacing w:after="0" w:line="200" w:lineRule="exact"/>
        <w:rPr>
          <w:sz w:val="20"/>
          <w:szCs w:val="20"/>
          <w:color w:val="auto"/>
        </w:rPr>
      </w:pPr>
    </w:p>
    <w:p>
      <w:pPr>
        <w:spacing w:after="0" w:line="2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231F20"/>
        </w:rPr>
        <w:t>F-50</w:t>
      </w:r>
    </w:p>
    <w:p>
      <w:pPr>
        <w:sectPr>
          <w:pgSz w:w="12240" w:h="15840" w:orient="portrait"/>
          <w:cols w:equalWidth="0" w:num="1">
            <w:col w:w="10180"/>
          </w:cols>
          <w:pgMar w:left="1020" w:top="1308" w:right="1040" w:bottom="574" w:gutter="0" w:footer="0" w:header="0"/>
          <w:type w:val="continuous"/>
        </w:sectPr>
      </w:pPr>
    </w:p>
    <w:bookmarkStart w:id="138" w:name="page139"/>
    <w:bookmarkEnd w:id="138"/>
    <w:p>
      <w:pPr>
        <w:ind w:left="240"/>
        <w:spacing w:after="0"/>
        <w:rPr>
          <w:sz w:val="20"/>
          <w:szCs w:val="20"/>
          <w:color w:val="auto"/>
        </w:rPr>
      </w:pPr>
      <w:r>
        <w:rPr>
          <w:rFonts w:ascii="Times New Roman" w:cs="Times New Roman" w:eastAsia="Times New Roman" w:hAnsi="Times New Roman"/>
          <w:sz w:val="19"/>
          <w:szCs w:val="19"/>
          <w:color w:val="231F20"/>
        </w:rPr>
        <w:t>No shares were repurchased during the years ended December 31, 2024 and December 31, 2023.</w:t>
      </w:r>
    </w:p>
    <w:p>
      <w:pPr>
        <w:spacing w:after="0" w:line="33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231F20"/>
        </w:rPr>
        <w:t>10. Earnings per share</w:t>
      </w:r>
    </w:p>
    <w:p>
      <w:pPr>
        <w:spacing w:after="0" w:line="11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9"/>
          <w:szCs w:val="19"/>
          <w:color w:val="231F20"/>
        </w:rPr>
        <w:t>The following table sets forth the computation of basic and diluted earnings per common share:</w:t>
      </w:r>
    </w:p>
    <w:p>
      <w:pPr>
        <w:spacing w:after="0" w:line="236" w:lineRule="exact"/>
        <w:rPr>
          <w:sz w:val="20"/>
          <w:szCs w:val="20"/>
          <w:color w:val="auto"/>
        </w:rPr>
      </w:pPr>
    </w:p>
    <w:tbl>
      <w:tblPr>
        <w:tblLayout w:type="fixed"/>
        <w:tblInd w:w="520" w:type="dxa"/>
        <w:tblCellMar>
          <w:top w:w="0" w:type="dxa"/>
          <w:left w:w="0" w:type="dxa"/>
          <w:bottom w:w="0" w:type="dxa"/>
          <w:right w:w="0" w:type="dxa"/>
        </w:tblCellMar>
      </w:tblPr>
      <w:tr>
        <w:trPr>
          <w:trHeight w:val="187"/>
        </w:trPr>
        <w:tc>
          <w:tcPr>
            <w:tcW w:w="4940" w:type="dxa"/>
            <w:vAlign w:val="bottom"/>
            <w:tcBorders>
              <w:bottom w:val="single" w:sz="8" w:color="FDFDFC"/>
            </w:tcBorders>
            <w:shd w:val="clear" w:color="auto" w:fill="FDFDFC"/>
          </w:tcPr>
          <w:p>
            <w:pPr>
              <w:spacing w:after="0"/>
              <w:rPr>
                <w:sz w:val="16"/>
                <w:szCs w:val="16"/>
                <w:color w:val="auto"/>
              </w:rPr>
            </w:pPr>
          </w:p>
        </w:tc>
        <w:tc>
          <w:tcPr>
            <w:tcW w:w="120" w:type="dxa"/>
            <w:vAlign w:val="bottom"/>
            <w:tcBorders>
              <w:bottom w:val="single" w:sz="8" w:color="FDFDFC"/>
            </w:tcBorders>
            <w:shd w:val="clear" w:color="auto" w:fill="FDFDFC"/>
          </w:tcPr>
          <w:p>
            <w:pPr>
              <w:spacing w:after="0"/>
              <w:rPr>
                <w:sz w:val="16"/>
                <w:szCs w:val="16"/>
                <w:color w:val="auto"/>
              </w:rPr>
            </w:pPr>
          </w:p>
        </w:tc>
        <w:tc>
          <w:tcPr>
            <w:tcW w:w="120" w:type="dxa"/>
            <w:vAlign w:val="bottom"/>
            <w:tcBorders>
              <w:bottom w:val="single" w:sz="8" w:color="231F20"/>
            </w:tcBorders>
            <w:shd w:val="clear" w:color="auto" w:fill="FDFDFC"/>
          </w:tcPr>
          <w:p>
            <w:pPr>
              <w:spacing w:after="0"/>
              <w:rPr>
                <w:sz w:val="16"/>
                <w:szCs w:val="16"/>
                <w:color w:val="auto"/>
              </w:rPr>
            </w:pPr>
          </w:p>
        </w:tc>
        <w:tc>
          <w:tcPr>
            <w:tcW w:w="1060" w:type="dxa"/>
            <w:vAlign w:val="bottom"/>
            <w:tcBorders>
              <w:bottom w:val="single" w:sz="8" w:color="231F20"/>
            </w:tcBorders>
            <w:shd w:val="clear" w:color="auto" w:fill="FDFDFC"/>
          </w:tcPr>
          <w:p>
            <w:pPr>
              <w:spacing w:after="0"/>
              <w:rPr>
                <w:sz w:val="16"/>
                <w:szCs w:val="16"/>
                <w:color w:val="auto"/>
              </w:rPr>
            </w:pPr>
          </w:p>
        </w:tc>
        <w:tc>
          <w:tcPr>
            <w:tcW w:w="240" w:type="dxa"/>
            <w:vAlign w:val="bottom"/>
            <w:tcBorders>
              <w:bottom w:val="single" w:sz="8" w:color="231F20"/>
            </w:tcBorders>
            <w:shd w:val="clear" w:color="auto" w:fill="FDFDFC"/>
          </w:tcPr>
          <w:p>
            <w:pPr>
              <w:spacing w:after="0"/>
              <w:rPr>
                <w:sz w:val="16"/>
                <w:szCs w:val="16"/>
                <w:color w:val="auto"/>
              </w:rPr>
            </w:pPr>
          </w:p>
        </w:tc>
        <w:tc>
          <w:tcPr>
            <w:tcW w:w="100" w:type="dxa"/>
            <w:vAlign w:val="bottom"/>
            <w:tcBorders>
              <w:bottom w:val="single" w:sz="8" w:color="231F20"/>
            </w:tcBorders>
            <w:shd w:val="clear" w:color="auto" w:fill="FDFDFC"/>
          </w:tcPr>
          <w:p>
            <w:pPr>
              <w:spacing w:after="0"/>
              <w:rPr>
                <w:sz w:val="16"/>
                <w:szCs w:val="16"/>
                <w:color w:val="auto"/>
              </w:rPr>
            </w:pPr>
          </w:p>
        </w:tc>
        <w:tc>
          <w:tcPr>
            <w:tcW w:w="1080" w:type="dxa"/>
            <w:vAlign w:val="bottom"/>
            <w:tcBorders>
              <w:bottom w:val="single" w:sz="8" w:color="231F20"/>
            </w:tcBorders>
            <w:shd w:val="clear" w:color="auto" w:fill="FDFDFC"/>
          </w:tcPr>
          <w:p>
            <w:pPr>
              <w:jc w:val="center"/>
              <w:ind w:right="35"/>
              <w:spacing w:after="0"/>
              <w:rPr>
                <w:sz w:val="20"/>
                <w:szCs w:val="20"/>
                <w:color w:val="auto"/>
              </w:rPr>
            </w:pPr>
            <w:r>
              <w:rPr>
                <w:rFonts w:ascii="Times New Roman" w:cs="Times New Roman" w:eastAsia="Times New Roman" w:hAnsi="Times New Roman"/>
                <w:sz w:val="15"/>
                <w:szCs w:val="15"/>
                <w:b w:val="1"/>
                <w:bCs w:val="1"/>
                <w:color w:val="231F20"/>
                <w:w w:val="98"/>
              </w:rPr>
              <w:t>Year Ended</w:t>
            </w:r>
          </w:p>
        </w:tc>
        <w:tc>
          <w:tcPr>
            <w:tcW w:w="240" w:type="dxa"/>
            <w:vAlign w:val="bottom"/>
            <w:tcBorders>
              <w:bottom w:val="single" w:sz="8" w:color="231F20"/>
            </w:tcBorders>
            <w:shd w:val="clear" w:color="auto" w:fill="FDFDFC"/>
          </w:tcPr>
          <w:p>
            <w:pPr>
              <w:spacing w:after="0"/>
              <w:rPr>
                <w:sz w:val="16"/>
                <w:szCs w:val="16"/>
                <w:color w:val="auto"/>
              </w:rPr>
            </w:pPr>
          </w:p>
        </w:tc>
        <w:tc>
          <w:tcPr>
            <w:tcW w:w="120" w:type="dxa"/>
            <w:vAlign w:val="bottom"/>
            <w:tcBorders>
              <w:bottom w:val="single" w:sz="8" w:color="231F20"/>
            </w:tcBorders>
            <w:shd w:val="clear" w:color="auto" w:fill="FDFDFC"/>
          </w:tcPr>
          <w:p>
            <w:pPr>
              <w:spacing w:after="0"/>
              <w:rPr>
                <w:sz w:val="16"/>
                <w:szCs w:val="16"/>
                <w:color w:val="auto"/>
              </w:rPr>
            </w:pPr>
          </w:p>
        </w:tc>
        <w:tc>
          <w:tcPr>
            <w:tcW w:w="1060" w:type="dxa"/>
            <w:vAlign w:val="bottom"/>
            <w:tcBorders>
              <w:bottom w:val="single" w:sz="8" w:color="231F20"/>
            </w:tcBorders>
            <w:shd w:val="clear" w:color="auto" w:fill="FDFDFC"/>
          </w:tcPr>
          <w:p>
            <w:pPr>
              <w:spacing w:after="0"/>
              <w:rPr>
                <w:sz w:val="16"/>
                <w:szCs w:val="16"/>
                <w:color w:val="auto"/>
              </w:rPr>
            </w:pPr>
          </w:p>
        </w:tc>
        <w:tc>
          <w:tcPr>
            <w:tcW w:w="100" w:type="dxa"/>
            <w:vAlign w:val="bottom"/>
            <w:tcBorders>
              <w:bottom w:val="single" w:sz="8" w:color="FDFDFC"/>
            </w:tcBorders>
            <w:shd w:val="clear" w:color="auto" w:fill="FDFDFC"/>
          </w:tcPr>
          <w:p>
            <w:pPr>
              <w:spacing w:after="0"/>
              <w:rPr>
                <w:sz w:val="16"/>
                <w:szCs w:val="16"/>
                <w:color w:val="auto"/>
              </w:rPr>
            </w:pPr>
          </w:p>
        </w:tc>
        <w:tc>
          <w:tcPr>
            <w:tcW w:w="0" w:type="dxa"/>
            <w:vAlign w:val="bottom"/>
          </w:tcPr>
          <w:p>
            <w:pPr>
              <w:spacing w:after="0"/>
              <w:rPr>
                <w:sz w:val="1"/>
                <w:szCs w:val="1"/>
                <w:color w:val="auto"/>
              </w:rPr>
            </w:pPr>
          </w:p>
        </w:tc>
      </w:tr>
      <w:tr>
        <w:trPr>
          <w:trHeight w:val="159"/>
        </w:trPr>
        <w:tc>
          <w:tcPr>
            <w:tcW w:w="4940" w:type="dxa"/>
            <w:vAlign w:val="bottom"/>
            <w:shd w:val="clear" w:color="auto" w:fill="FDFDFC"/>
          </w:tcPr>
          <w:p>
            <w:pPr>
              <w:spacing w:after="0"/>
              <w:rPr>
                <w:sz w:val="13"/>
                <w:szCs w:val="13"/>
                <w:color w:val="auto"/>
              </w:rPr>
            </w:pPr>
          </w:p>
        </w:tc>
        <w:tc>
          <w:tcPr>
            <w:tcW w:w="120" w:type="dxa"/>
            <w:vAlign w:val="bottom"/>
            <w:shd w:val="clear" w:color="auto" w:fill="FDFDFC"/>
          </w:tcPr>
          <w:p>
            <w:pPr>
              <w:spacing w:after="0"/>
              <w:rPr>
                <w:sz w:val="13"/>
                <w:szCs w:val="13"/>
                <w:color w:val="auto"/>
              </w:rPr>
            </w:pPr>
          </w:p>
        </w:tc>
        <w:tc>
          <w:tcPr>
            <w:tcW w:w="120" w:type="dxa"/>
            <w:vAlign w:val="bottom"/>
            <w:shd w:val="clear" w:color="auto" w:fill="FDFDFC"/>
          </w:tcPr>
          <w:p>
            <w:pPr>
              <w:spacing w:after="0"/>
              <w:rPr>
                <w:sz w:val="13"/>
                <w:szCs w:val="13"/>
                <w:color w:val="auto"/>
              </w:rPr>
            </w:pPr>
          </w:p>
        </w:tc>
        <w:tc>
          <w:tcPr>
            <w:tcW w:w="1060" w:type="dxa"/>
            <w:vAlign w:val="bottom"/>
            <w:shd w:val="clear" w:color="auto" w:fill="FDFDFC"/>
          </w:tcPr>
          <w:p>
            <w:pPr>
              <w:jc w:val="right"/>
              <w:ind w:right="73"/>
              <w:spacing w:after="0" w:line="159" w:lineRule="exact"/>
              <w:rPr>
                <w:sz w:val="20"/>
                <w:szCs w:val="20"/>
                <w:color w:val="auto"/>
              </w:rPr>
            </w:pPr>
            <w:r>
              <w:rPr>
                <w:rFonts w:ascii="Times New Roman" w:cs="Times New Roman" w:eastAsia="Times New Roman" w:hAnsi="Times New Roman"/>
                <w:sz w:val="15"/>
                <w:szCs w:val="15"/>
                <w:b w:val="1"/>
                <w:bCs w:val="1"/>
                <w:color w:val="231F20"/>
              </w:rPr>
              <w:t>December 31,</w:t>
            </w:r>
          </w:p>
        </w:tc>
        <w:tc>
          <w:tcPr>
            <w:tcW w:w="240" w:type="dxa"/>
            <w:vAlign w:val="bottom"/>
            <w:shd w:val="clear" w:color="auto" w:fill="FDFDFC"/>
          </w:tcPr>
          <w:p>
            <w:pPr>
              <w:spacing w:after="0"/>
              <w:rPr>
                <w:sz w:val="13"/>
                <w:szCs w:val="13"/>
                <w:color w:val="auto"/>
              </w:rPr>
            </w:pPr>
          </w:p>
        </w:tc>
        <w:tc>
          <w:tcPr>
            <w:tcW w:w="100" w:type="dxa"/>
            <w:vAlign w:val="bottom"/>
            <w:shd w:val="clear" w:color="auto" w:fill="FDFDFC"/>
          </w:tcPr>
          <w:p>
            <w:pPr>
              <w:spacing w:after="0"/>
              <w:rPr>
                <w:sz w:val="13"/>
                <w:szCs w:val="13"/>
                <w:color w:val="auto"/>
              </w:rPr>
            </w:pPr>
          </w:p>
        </w:tc>
        <w:tc>
          <w:tcPr>
            <w:tcW w:w="1080" w:type="dxa"/>
            <w:vAlign w:val="bottom"/>
            <w:shd w:val="clear" w:color="auto" w:fill="FDFDFC"/>
          </w:tcPr>
          <w:p>
            <w:pPr>
              <w:jc w:val="center"/>
              <w:ind w:right="75"/>
              <w:spacing w:after="0" w:line="159" w:lineRule="exact"/>
              <w:rPr>
                <w:sz w:val="20"/>
                <w:szCs w:val="20"/>
                <w:color w:val="auto"/>
              </w:rPr>
            </w:pPr>
            <w:r>
              <w:rPr>
                <w:rFonts w:ascii="Times New Roman" w:cs="Times New Roman" w:eastAsia="Times New Roman" w:hAnsi="Times New Roman"/>
                <w:sz w:val="15"/>
                <w:szCs w:val="15"/>
                <w:b w:val="1"/>
                <w:bCs w:val="1"/>
                <w:color w:val="231F20"/>
              </w:rPr>
              <w:t>December 31,</w:t>
            </w:r>
          </w:p>
        </w:tc>
        <w:tc>
          <w:tcPr>
            <w:tcW w:w="240" w:type="dxa"/>
            <w:vAlign w:val="bottom"/>
            <w:shd w:val="clear" w:color="auto" w:fill="FDFDFC"/>
          </w:tcPr>
          <w:p>
            <w:pPr>
              <w:spacing w:after="0"/>
              <w:rPr>
                <w:sz w:val="13"/>
                <w:szCs w:val="13"/>
                <w:color w:val="auto"/>
              </w:rPr>
            </w:pPr>
          </w:p>
        </w:tc>
        <w:tc>
          <w:tcPr>
            <w:tcW w:w="120" w:type="dxa"/>
            <w:vAlign w:val="bottom"/>
            <w:shd w:val="clear" w:color="auto" w:fill="FDFDFC"/>
          </w:tcPr>
          <w:p>
            <w:pPr>
              <w:spacing w:after="0"/>
              <w:rPr>
                <w:sz w:val="13"/>
                <w:szCs w:val="13"/>
                <w:color w:val="auto"/>
              </w:rPr>
            </w:pPr>
          </w:p>
        </w:tc>
        <w:tc>
          <w:tcPr>
            <w:tcW w:w="1060" w:type="dxa"/>
            <w:vAlign w:val="bottom"/>
            <w:shd w:val="clear" w:color="auto" w:fill="FDFDFC"/>
          </w:tcPr>
          <w:p>
            <w:pPr>
              <w:jc w:val="right"/>
              <w:ind w:right="73"/>
              <w:spacing w:after="0" w:line="159" w:lineRule="exact"/>
              <w:rPr>
                <w:sz w:val="20"/>
                <w:szCs w:val="20"/>
                <w:color w:val="auto"/>
              </w:rPr>
            </w:pPr>
            <w:r>
              <w:rPr>
                <w:rFonts w:ascii="Times New Roman" w:cs="Times New Roman" w:eastAsia="Times New Roman" w:hAnsi="Times New Roman"/>
                <w:sz w:val="15"/>
                <w:szCs w:val="15"/>
                <w:b w:val="1"/>
                <w:bCs w:val="1"/>
                <w:color w:val="231F20"/>
              </w:rPr>
              <w:t>December 31,</w:t>
            </w:r>
          </w:p>
        </w:tc>
        <w:tc>
          <w:tcPr>
            <w:tcW w:w="100" w:type="dxa"/>
            <w:vAlign w:val="bottom"/>
            <w:shd w:val="clear" w:color="auto" w:fill="FDFDFC"/>
          </w:tcPr>
          <w:p>
            <w:pPr>
              <w:spacing w:after="0"/>
              <w:rPr>
                <w:sz w:val="13"/>
                <w:szCs w:val="13"/>
                <w:color w:val="auto"/>
              </w:rPr>
            </w:pPr>
          </w:p>
        </w:tc>
        <w:tc>
          <w:tcPr>
            <w:tcW w:w="0" w:type="dxa"/>
            <w:vAlign w:val="bottom"/>
          </w:tcPr>
          <w:p>
            <w:pPr>
              <w:spacing w:after="0"/>
              <w:rPr>
                <w:sz w:val="1"/>
                <w:szCs w:val="1"/>
                <w:color w:val="auto"/>
              </w:rPr>
            </w:pPr>
          </w:p>
        </w:tc>
      </w:tr>
      <w:tr>
        <w:trPr>
          <w:trHeight w:val="191"/>
        </w:trPr>
        <w:tc>
          <w:tcPr>
            <w:tcW w:w="4940" w:type="dxa"/>
            <w:vAlign w:val="bottom"/>
            <w:tcBorders>
              <w:bottom w:val="single" w:sz="8" w:color="D0EBF2"/>
            </w:tcBorders>
            <w:shd w:val="clear" w:color="auto" w:fill="FDFDFC"/>
          </w:tcPr>
          <w:p>
            <w:pPr>
              <w:spacing w:after="0"/>
              <w:rPr>
                <w:sz w:val="16"/>
                <w:szCs w:val="16"/>
                <w:color w:val="auto"/>
              </w:rPr>
            </w:pPr>
          </w:p>
        </w:tc>
        <w:tc>
          <w:tcPr>
            <w:tcW w:w="120" w:type="dxa"/>
            <w:vAlign w:val="bottom"/>
            <w:tcBorders>
              <w:bottom w:val="single" w:sz="8" w:color="D0EBF2"/>
            </w:tcBorders>
            <w:shd w:val="clear" w:color="auto" w:fill="FDFDFC"/>
          </w:tcPr>
          <w:p>
            <w:pPr>
              <w:spacing w:after="0"/>
              <w:rPr>
                <w:sz w:val="16"/>
                <w:szCs w:val="16"/>
                <w:color w:val="auto"/>
              </w:rPr>
            </w:pPr>
          </w:p>
        </w:tc>
        <w:tc>
          <w:tcPr>
            <w:tcW w:w="120" w:type="dxa"/>
            <w:vAlign w:val="bottom"/>
            <w:tcBorders>
              <w:bottom w:val="single" w:sz="8" w:color="231F20"/>
            </w:tcBorders>
            <w:shd w:val="clear" w:color="auto" w:fill="FDFDFC"/>
          </w:tcPr>
          <w:p>
            <w:pPr>
              <w:spacing w:after="0"/>
              <w:rPr>
                <w:sz w:val="16"/>
                <w:szCs w:val="16"/>
                <w:color w:val="auto"/>
              </w:rPr>
            </w:pPr>
          </w:p>
        </w:tc>
        <w:tc>
          <w:tcPr>
            <w:tcW w:w="1060" w:type="dxa"/>
            <w:vAlign w:val="bottom"/>
            <w:tcBorders>
              <w:bottom w:val="single" w:sz="8" w:color="231F20"/>
            </w:tcBorders>
            <w:shd w:val="clear" w:color="auto" w:fill="FDFDFC"/>
          </w:tcPr>
          <w:p>
            <w:pPr>
              <w:jc w:val="right"/>
              <w:ind w:right="353"/>
              <w:spacing w:after="0"/>
              <w:rPr>
                <w:sz w:val="20"/>
                <w:szCs w:val="20"/>
                <w:color w:val="auto"/>
              </w:rPr>
            </w:pPr>
            <w:r>
              <w:rPr>
                <w:rFonts w:ascii="Times New Roman" w:cs="Times New Roman" w:eastAsia="Times New Roman" w:hAnsi="Times New Roman"/>
                <w:sz w:val="15"/>
                <w:szCs w:val="15"/>
                <w:b w:val="1"/>
                <w:bCs w:val="1"/>
                <w:color w:val="231F20"/>
              </w:rPr>
              <w:t>2024</w:t>
            </w:r>
          </w:p>
        </w:tc>
        <w:tc>
          <w:tcPr>
            <w:tcW w:w="240" w:type="dxa"/>
            <w:vAlign w:val="bottom"/>
            <w:tcBorders>
              <w:bottom w:val="single" w:sz="8" w:color="D0EBF2"/>
            </w:tcBorders>
            <w:shd w:val="clear" w:color="auto" w:fill="FDFDFC"/>
          </w:tcPr>
          <w:p>
            <w:pPr>
              <w:spacing w:after="0"/>
              <w:rPr>
                <w:sz w:val="16"/>
                <w:szCs w:val="16"/>
                <w:color w:val="auto"/>
              </w:rPr>
            </w:pPr>
          </w:p>
        </w:tc>
        <w:tc>
          <w:tcPr>
            <w:tcW w:w="100" w:type="dxa"/>
            <w:vAlign w:val="bottom"/>
            <w:tcBorders>
              <w:bottom w:val="single" w:sz="8" w:color="231F20"/>
            </w:tcBorders>
            <w:shd w:val="clear" w:color="auto" w:fill="FDFDFC"/>
          </w:tcPr>
          <w:p>
            <w:pPr>
              <w:spacing w:after="0"/>
              <w:rPr>
                <w:sz w:val="16"/>
                <w:szCs w:val="16"/>
                <w:color w:val="auto"/>
              </w:rPr>
            </w:pPr>
          </w:p>
        </w:tc>
        <w:tc>
          <w:tcPr>
            <w:tcW w:w="1080" w:type="dxa"/>
            <w:vAlign w:val="bottom"/>
            <w:tcBorders>
              <w:bottom w:val="single" w:sz="8" w:color="231F20"/>
            </w:tcBorders>
            <w:shd w:val="clear" w:color="auto" w:fill="FDFDFC"/>
          </w:tcPr>
          <w:p>
            <w:pPr>
              <w:jc w:val="center"/>
              <w:ind w:right="55"/>
              <w:spacing w:after="0"/>
              <w:rPr>
                <w:sz w:val="20"/>
                <w:szCs w:val="20"/>
                <w:color w:val="auto"/>
              </w:rPr>
            </w:pPr>
            <w:r>
              <w:rPr>
                <w:rFonts w:ascii="Times New Roman" w:cs="Times New Roman" w:eastAsia="Times New Roman" w:hAnsi="Times New Roman"/>
                <w:sz w:val="15"/>
                <w:szCs w:val="15"/>
                <w:b w:val="1"/>
                <w:bCs w:val="1"/>
                <w:color w:val="231F20"/>
                <w:w w:val="99"/>
              </w:rPr>
              <w:t>2023</w:t>
            </w:r>
          </w:p>
        </w:tc>
        <w:tc>
          <w:tcPr>
            <w:tcW w:w="240" w:type="dxa"/>
            <w:vAlign w:val="bottom"/>
            <w:tcBorders>
              <w:bottom w:val="single" w:sz="8" w:color="D0EBF2"/>
            </w:tcBorders>
            <w:shd w:val="clear" w:color="auto" w:fill="FDFDFC"/>
          </w:tcPr>
          <w:p>
            <w:pPr>
              <w:spacing w:after="0"/>
              <w:rPr>
                <w:sz w:val="16"/>
                <w:szCs w:val="16"/>
                <w:color w:val="auto"/>
              </w:rPr>
            </w:pPr>
          </w:p>
        </w:tc>
        <w:tc>
          <w:tcPr>
            <w:tcW w:w="120" w:type="dxa"/>
            <w:vAlign w:val="bottom"/>
            <w:tcBorders>
              <w:bottom w:val="single" w:sz="8" w:color="231F20"/>
            </w:tcBorders>
            <w:shd w:val="clear" w:color="auto" w:fill="FDFDFC"/>
          </w:tcPr>
          <w:p>
            <w:pPr>
              <w:spacing w:after="0"/>
              <w:rPr>
                <w:sz w:val="16"/>
                <w:szCs w:val="16"/>
                <w:color w:val="auto"/>
              </w:rPr>
            </w:pPr>
          </w:p>
        </w:tc>
        <w:tc>
          <w:tcPr>
            <w:tcW w:w="1060" w:type="dxa"/>
            <w:vAlign w:val="bottom"/>
            <w:tcBorders>
              <w:bottom w:val="single" w:sz="8" w:color="231F20"/>
            </w:tcBorders>
            <w:shd w:val="clear" w:color="auto" w:fill="FDFDFC"/>
          </w:tcPr>
          <w:p>
            <w:pPr>
              <w:jc w:val="right"/>
              <w:ind w:right="373"/>
              <w:spacing w:after="0"/>
              <w:rPr>
                <w:sz w:val="20"/>
                <w:szCs w:val="20"/>
                <w:color w:val="auto"/>
              </w:rPr>
            </w:pPr>
            <w:r>
              <w:rPr>
                <w:rFonts w:ascii="Times New Roman" w:cs="Times New Roman" w:eastAsia="Times New Roman" w:hAnsi="Times New Roman"/>
                <w:sz w:val="15"/>
                <w:szCs w:val="15"/>
                <w:b w:val="1"/>
                <w:bCs w:val="1"/>
                <w:color w:val="231F20"/>
              </w:rPr>
              <w:t>2022</w:t>
            </w:r>
          </w:p>
        </w:tc>
        <w:tc>
          <w:tcPr>
            <w:tcW w:w="100" w:type="dxa"/>
            <w:vAlign w:val="bottom"/>
            <w:tcBorders>
              <w:bottom w:val="single" w:sz="8" w:color="D0EBF2"/>
            </w:tcBorders>
            <w:shd w:val="clear" w:color="auto" w:fill="FDFDFC"/>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4940" w:type="dxa"/>
            <w:vAlign w:val="bottom"/>
            <w:shd w:val="clear" w:color="auto" w:fill="D0EBF2"/>
          </w:tcPr>
          <w:p>
            <w:pPr>
              <w:spacing w:after="0"/>
              <w:rPr>
                <w:sz w:val="20"/>
                <w:szCs w:val="20"/>
                <w:color w:val="auto"/>
              </w:rPr>
            </w:pPr>
            <w:r>
              <w:rPr>
                <w:rFonts w:ascii="Times New Roman" w:cs="Times New Roman" w:eastAsia="Times New Roman" w:hAnsi="Times New Roman"/>
                <w:sz w:val="19"/>
                <w:szCs w:val="19"/>
                <w:color w:val="231F20"/>
              </w:rPr>
              <w:t>Increase in net assets resulting from operations</w:t>
            </w:r>
          </w:p>
        </w:tc>
        <w:tc>
          <w:tcPr>
            <w:tcW w:w="120" w:type="dxa"/>
            <w:vAlign w:val="bottom"/>
            <w:shd w:val="clear" w:color="auto" w:fill="D0EBF2"/>
          </w:tcPr>
          <w:p>
            <w:pPr>
              <w:spacing w:after="0"/>
              <w:rPr>
                <w:sz w:val="19"/>
                <w:szCs w:val="19"/>
                <w:color w:val="auto"/>
              </w:rPr>
            </w:pPr>
          </w:p>
        </w:tc>
        <w:tc>
          <w:tcPr>
            <w:tcW w:w="120" w:type="dxa"/>
            <w:vAlign w:val="bottom"/>
            <w:shd w:val="clear" w:color="auto" w:fill="D0EBF2"/>
          </w:tcPr>
          <w:p>
            <w:pPr>
              <w:jc w:val="right"/>
              <w:spacing w:after="0"/>
              <w:rPr>
                <w:sz w:val="20"/>
                <w:szCs w:val="20"/>
                <w:color w:val="auto"/>
              </w:rPr>
            </w:pPr>
            <w:r>
              <w:rPr>
                <w:rFonts w:ascii="Times New Roman" w:cs="Times New Roman" w:eastAsia="Times New Roman" w:hAnsi="Times New Roman"/>
                <w:sz w:val="19"/>
                <w:szCs w:val="19"/>
                <w:color w:val="231F20"/>
                <w:w w:val="83"/>
              </w:rPr>
              <w:t>$</w:t>
            </w:r>
          </w:p>
        </w:tc>
        <w:tc>
          <w:tcPr>
            <w:tcW w:w="1060" w:type="dxa"/>
            <w:vAlign w:val="bottom"/>
            <w:shd w:val="clear" w:color="auto" w:fill="D0EBF2"/>
          </w:tcPr>
          <w:p>
            <w:pPr>
              <w:jc w:val="right"/>
              <w:spacing w:after="0"/>
              <w:rPr>
                <w:sz w:val="20"/>
                <w:szCs w:val="20"/>
                <w:color w:val="auto"/>
              </w:rPr>
            </w:pPr>
            <w:r>
              <w:rPr>
                <w:rFonts w:ascii="Times New Roman" w:cs="Times New Roman" w:eastAsia="Times New Roman" w:hAnsi="Times New Roman"/>
                <w:sz w:val="19"/>
                <w:szCs w:val="19"/>
                <w:color w:val="231F20"/>
              </w:rPr>
              <w:t>186,566</w:t>
            </w:r>
          </w:p>
        </w:tc>
        <w:tc>
          <w:tcPr>
            <w:tcW w:w="240" w:type="dxa"/>
            <w:vAlign w:val="bottom"/>
            <w:shd w:val="clear" w:color="auto" w:fill="D0EBF2"/>
          </w:tcPr>
          <w:p>
            <w:pPr>
              <w:spacing w:after="0"/>
              <w:rPr>
                <w:sz w:val="19"/>
                <w:szCs w:val="19"/>
                <w:color w:val="auto"/>
              </w:rPr>
            </w:pPr>
          </w:p>
        </w:tc>
        <w:tc>
          <w:tcPr>
            <w:tcW w:w="100" w:type="dxa"/>
            <w:vAlign w:val="bottom"/>
            <w:shd w:val="clear" w:color="auto" w:fill="D0EBF2"/>
          </w:tcPr>
          <w:p>
            <w:pPr>
              <w:jc w:val="right"/>
              <w:spacing w:after="0"/>
              <w:rPr>
                <w:sz w:val="20"/>
                <w:szCs w:val="20"/>
                <w:color w:val="auto"/>
              </w:rPr>
            </w:pPr>
            <w:r>
              <w:rPr>
                <w:rFonts w:ascii="Times New Roman" w:cs="Times New Roman" w:eastAsia="Times New Roman" w:hAnsi="Times New Roman"/>
                <w:sz w:val="17"/>
                <w:szCs w:val="17"/>
                <w:color w:val="231F20"/>
                <w:w w:val="70"/>
              </w:rPr>
              <w:t>$</w:t>
            </w:r>
          </w:p>
        </w:tc>
        <w:tc>
          <w:tcPr>
            <w:tcW w:w="1080" w:type="dxa"/>
            <w:vAlign w:val="bottom"/>
            <w:shd w:val="clear" w:color="auto" w:fill="D0EBF2"/>
          </w:tcPr>
          <w:p>
            <w:pPr>
              <w:jc w:val="right"/>
              <w:spacing w:after="0"/>
              <w:rPr>
                <w:sz w:val="20"/>
                <w:szCs w:val="20"/>
                <w:color w:val="auto"/>
              </w:rPr>
            </w:pPr>
            <w:r>
              <w:rPr>
                <w:rFonts w:ascii="Times New Roman" w:cs="Times New Roman" w:eastAsia="Times New Roman" w:hAnsi="Times New Roman"/>
                <w:sz w:val="19"/>
                <w:szCs w:val="19"/>
                <w:color w:val="231F20"/>
              </w:rPr>
              <w:t>222,023</w:t>
            </w:r>
          </w:p>
        </w:tc>
        <w:tc>
          <w:tcPr>
            <w:tcW w:w="240" w:type="dxa"/>
            <w:vAlign w:val="bottom"/>
            <w:shd w:val="clear" w:color="auto" w:fill="D0EBF2"/>
          </w:tcPr>
          <w:p>
            <w:pPr>
              <w:spacing w:after="0"/>
              <w:rPr>
                <w:sz w:val="19"/>
                <w:szCs w:val="19"/>
                <w:color w:val="auto"/>
              </w:rPr>
            </w:pPr>
          </w:p>
        </w:tc>
        <w:tc>
          <w:tcPr>
            <w:tcW w:w="120" w:type="dxa"/>
            <w:vAlign w:val="bottom"/>
            <w:shd w:val="clear" w:color="auto" w:fill="D0EBF2"/>
          </w:tcPr>
          <w:p>
            <w:pPr>
              <w:jc w:val="right"/>
              <w:spacing w:after="0"/>
              <w:rPr>
                <w:sz w:val="20"/>
                <w:szCs w:val="20"/>
                <w:color w:val="auto"/>
              </w:rPr>
            </w:pPr>
            <w:r>
              <w:rPr>
                <w:rFonts w:ascii="Times New Roman" w:cs="Times New Roman" w:eastAsia="Times New Roman" w:hAnsi="Times New Roman"/>
                <w:sz w:val="19"/>
                <w:szCs w:val="19"/>
                <w:color w:val="231F20"/>
                <w:w w:val="83"/>
              </w:rPr>
              <w:t>$</w:t>
            </w:r>
          </w:p>
        </w:tc>
        <w:tc>
          <w:tcPr>
            <w:tcW w:w="1060" w:type="dxa"/>
            <w:vAlign w:val="bottom"/>
            <w:shd w:val="clear" w:color="auto" w:fill="D0EBF2"/>
          </w:tcPr>
          <w:p>
            <w:pPr>
              <w:jc w:val="right"/>
              <w:spacing w:after="0"/>
              <w:rPr>
                <w:sz w:val="20"/>
                <w:szCs w:val="20"/>
                <w:color w:val="auto"/>
              </w:rPr>
            </w:pPr>
            <w:r>
              <w:rPr>
                <w:rFonts w:ascii="Times New Roman" w:cs="Times New Roman" w:eastAsia="Times New Roman" w:hAnsi="Times New Roman"/>
                <w:sz w:val="19"/>
                <w:szCs w:val="19"/>
                <w:color w:val="231F20"/>
              </w:rPr>
              <w:t>108,053</w:t>
            </w:r>
          </w:p>
        </w:tc>
        <w:tc>
          <w:tcPr>
            <w:tcW w:w="100" w:type="dxa"/>
            <w:vAlign w:val="bottom"/>
            <w:shd w:val="clear" w:color="auto" w:fill="D0EBF2"/>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4940" w:type="dxa"/>
            <w:vAlign w:val="bottom"/>
            <w:shd w:val="clear" w:color="auto" w:fill="FDFDFC"/>
          </w:tcPr>
          <w:p>
            <w:pPr>
              <w:spacing w:after="0" w:line="211" w:lineRule="exact"/>
              <w:rPr>
                <w:sz w:val="20"/>
                <w:szCs w:val="20"/>
                <w:color w:val="auto"/>
              </w:rPr>
            </w:pPr>
            <w:r>
              <w:rPr>
                <w:rFonts w:ascii="Times New Roman" w:cs="Times New Roman" w:eastAsia="Times New Roman" w:hAnsi="Times New Roman"/>
                <w:sz w:val="19"/>
                <w:szCs w:val="19"/>
                <w:color w:val="231F20"/>
              </w:rPr>
              <w:t>Weighted average shares of common stock outstanding—basic</w:t>
            </w:r>
          </w:p>
        </w:tc>
        <w:tc>
          <w:tcPr>
            <w:tcW w:w="120" w:type="dxa"/>
            <w:vAlign w:val="bottom"/>
            <w:shd w:val="clear" w:color="auto" w:fill="FDFDFC"/>
          </w:tcPr>
          <w:p>
            <w:pPr>
              <w:spacing w:after="0"/>
              <w:rPr>
                <w:sz w:val="18"/>
                <w:szCs w:val="18"/>
                <w:color w:val="auto"/>
              </w:rPr>
            </w:pPr>
          </w:p>
        </w:tc>
        <w:tc>
          <w:tcPr>
            <w:tcW w:w="120" w:type="dxa"/>
            <w:vAlign w:val="bottom"/>
            <w:shd w:val="clear" w:color="auto" w:fill="FDFDFC"/>
          </w:tcPr>
          <w:p>
            <w:pPr>
              <w:spacing w:after="0"/>
              <w:rPr>
                <w:sz w:val="18"/>
                <w:szCs w:val="18"/>
                <w:color w:val="auto"/>
              </w:rPr>
            </w:pPr>
          </w:p>
        </w:tc>
        <w:tc>
          <w:tcPr>
            <w:tcW w:w="1060" w:type="dxa"/>
            <w:vAlign w:val="bottom"/>
            <w:vMerge w:val="restart"/>
            <w:shd w:val="clear" w:color="auto" w:fill="FDFDFC"/>
          </w:tcPr>
          <w:p>
            <w:pPr>
              <w:jc w:val="right"/>
              <w:spacing w:after="0"/>
              <w:rPr>
                <w:sz w:val="20"/>
                <w:szCs w:val="20"/>
                <w:color w:val="auto"/>
              </w:rPr>
            </w:pPr>
            <w:r>
              <w:rPr>
                <w:rFonts w:ascii="Times New Roman" w:cs="Times New Roman" w:eastAsia="Times New Roman" w:hAnsi="Times New Roman"/>
                <w:sz w:val="19"/>
                <w:szCs w:val="19"/>
                <w:color w:val="231F20"/>
              </w:rPr>
              <w:t>92,035,165</w:t>
            </w:r>
          </w:p>
        </w:tc>
        <w:tc>
          <w:tcPr>
            <w:tcW w:w="240" w:type="dxa"/>
            <w:vAlign w:val="bottom"/>
            <w:shd w:val="clear" w:color="auto" w:fill="FDFDFC"/>
          </w:tcPr>
          <w:p>
            <w:pPr>
              <w:spacing w:after="0"/>
              <w:rPr>
                <w:sz w:val="18"/>
                <w:szCs w:val="18"/>
                <w:color w:val="auto"/>
              </w:rPr>
            </w:pPr>
          </w:p>
        </w:tc>
        <w:tc>
          <w:tcPr>
            <w:tcW w:w="100" w:type="dxa"/>
            <w:vAlign w:val="bottom"/>
            <w:shd w:val="clear" w:color="auto" w:fill="FDFDFC"/>
          </w:tcPr>
          <w:p>
            <w:pPr>
              <w:spacing w:after="0"/>
              <w:rPr>
                <w:sz w:val="18"/>
                <w:szCs w:val="18"/>
                <w:color w:val="auto"/>
              </w:rPr>
            </w:pPr>
          </w:p>
        </w:tc>
        <w:tc>
          <w:tcPr>
            <w:tcW w:w="1080" w:type="dxa"/>
            <w:vAlign w:val="bottom"/>
            <w:vMerge w:val="restart"/>
            <w:shd w:val="clear" w:color="auto" w:fill="FDFDFC"/>
          </w:tcPr>
          <w:p>
            <w:pPr>
              <w:jc w:val="right"/>
              <w:spacing w:after="0"/>
              <w:rPr>
                <w:sz w:val="20"/>
                <w:szCs w:val="20"/>
                <w:color w:val="auto"/>
              </w:rPr>
            </w:pPr>
            <w:r>
              <w:rPr>
                <w:rFonts w:ascii="Times New Roman" w:cs="Times New Roman" w:eastAsia="Times New Roman" w:hAnsi="Times New Roman"/>
                <w:sz w:val="19"/>
                <w:szCs w:val="19"/>
                <w:color w:val="231F20"/>
              </w:rPr>
              <w:t>85,131,264</w:t>
            </w:r>
          </w:p>
        </w:tc>
        <w:tc>
          <w:tcPr>
            <w:tcW w:w="240" w:type="dxa"/>
            <w:vAlign w:val="bottom"/>
            <w:shd w:val="clear" w:color="auto" w:fill="FDFDFC"/>
          </w:tcPr>
          <w:p>
            <w:pPr>
              <w:spacing w:after="0"/>
              <w:rPr>
                <w:sz w:val="18"/>
                <w:szCs w:val="18"/>
                <w:color w:val="auto"/>
              </w:rPr>
            </w:pPr>
          </w:p>
        </w:tc>
        <w:tc>
          <w:tcPr>
            <w:tcW w:w="120" w:type="dxa"/>
            <w:vAlign w:val="bottom"/>
            <w:shd w:val="clear" w:color="auto" w:fill="FDFDFC"/>
          </w:tcPr>
          <w:p>
            <w:pPr>
              <w:spacing w:after="0"/>
              <w:rPr>
                <w:sz w:val="18"/>
                <w:szCs w:val="18"/>
                <w:color w:val="auto"/>
              </w:rPr>
            </w:pPr>
          </w:p>
        </w:tc>
        <w:tc>
          <w:tcPr>
            <w:tcW w:w="1060" w:type="dxa"/>
            <w:vAlign w:val="bottom"/>
            <w:vMerge w:val="restart"/>
            <w:shd w:val="clear" w:color="auto" w:fill="FDFDFC"/>
          </w:tcPr>
          <w:p>
            <w:pPr>
              <w:jc w:val="right"/>
              <w:spacing w:after="0"/>
              <w:rPr>
                <w:sz w:val="20"/>
                <w:szCs w:val="20"/>
                <w:color w:val="auto"/>
              </w:rPr>
            </w:pPr>
            <w:r>
              <w:rPr>
                <w:rFonts w:ascii="Times New Roman" w:cs="Times New Roman" w:eastAsia="Times New Roman" w:hAnsi="Times New Roman"/>
                <w:sz w:val="19"/>
                <w:szCs w:val="19"/>
                <w:color w:val="231F20"/>
              </w:rPr>
              <w:t>78,197,826</w:t>
            </w:r>
          </w:p>
        </w:tc>
        <w:tc>
          <w:tcPr>
            <w:tcW w:w="100" w:type="dxa"/>
            <w:vAlign w:val="bottom"/>
            <w:shd w:val="clear" w:color="auto" w:fill="FDFDFC"/>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4940" w:type="dxa"/>
            <w:vAlign w:val="bottom"/>
            <w:tcBorders>
              <w:bottom w:val="single" w:sz="8" w:color="D0EBF2"/>
            </w:tcBorders>
            <w:shd w:val="clear" w:color="auto" w:fill="FDFDFC"/>
          </w:tcPr>
          <w:p>
            <w:pPr>
              <w:spacing w:after="0"/>
              <w:rPr>
                <w:sz w:val="20"/>
                <w:szCs w:val="20"/>
                <w:color w:val="auto"/>
              </w:rPr>
            </w:pPr>
            <w:r>
              <w:rPr>
                <w:rFonts w:ascii="Times New Roman" w:cs="Times New Roman" w:eastAsia="Times New Roman" w:hAnsi="Times New Roman"/>
                <w:sz w:val="19"/>
                <w:szCs w:val="19"/>
                <w:color w:val="231F20"/>
              </w:rPr>
              <w:t>and diluted</w:t>
            </w:r>
          </w:p>
        </w:tc>
        <w:tc>
          <w:tcPr>
            <w:tcW w:w="120" w:type="dxa"/>
            <w:vAlign w:val="bottom"/>
            <w:tcBorders>
              <w:bottom w:val="single" w:sz="8" w:color="D0EBF2"/>
            </w:tcBorders>
            <w:shd w:val="clear" w:color="auto" w:fill="FDFDFC"/>
          </w:tcPr>
          <w:p>
            <w:pPr>
              <w:spacing w:after="0"/>
              <w:rPr>
                <w:sz w:val="20"/>
                <w:szCs w:val="20"/>
                <w:color w:val="auto"/>
              </w:rPr>
            </w:pPr>
          </w:p>
        </w:tc>
        <w:tc>
          <w:tcPr>
            <w:tcW w:w="120" w:type="dxa"/>
            <w:vAlign w:val="bottom"/>
            <w:tcBorders>
              <w:bottom w:val="single" w:sz="8" w:color="231F20"/>
            </w:tcBorders>
            <w:shd w:val="clear" w:color="auto" w:fill="FDFDFC"/>
          </w:tcPr>
          <w:p>
            <w:pPr>
              <w:spacing w:after="0"/>
              <w:rPr>
                <w:sz w:val="20"/>
                <w:szCs w:val="20"/>
                <w:color w:val="auto"/>
              </w:rPr>
            </w:pPr>
          </w:p>
        </w:tc>
        <w:tc>
          <w:tcPr>
            <w:tcW w:w="1060" w:type="dxa"/>
            <w:vAlign w:val="bottom"/>
            <w:tcBorders>
              <w:bottom w:val="single" w:sz="8" w:color="231F20"/>
            </w:tcBorders>
            <w:vMerge w:val="continue"/>
            <w:shd w:val="clear" w:color="auto" w:fill="FDFDFC"/>
          </w:tcPr>
          <w:p>
            <w:pPr>
              <w:spacing w:after="0"/>
              <w:rPr>
                <w:sz w:val="20"/>
                <w:szCs w:val="20"/>
                <w:color w:val="auto"/>
              </w:rPr>
            </w:pPr>
          </w:p>
        </w:tc>
        <w:tc>
          <w:tcPr>
            <w:tcW w:w="240" w:type="dxa"/>
            <w:vAlign w:val="bottom"/>
            <w:tcBorders>
              <w:bottom w:val="single" w:sz="8" w:color="D0EBF2"/>
            </w:tcBorders>
            <w:shd w:val="clear" w:color="auto" w:fill="FDFDFC"/>
          </w:tcPr>
          <w:p>
            <w:pPr>
              <w:spacing w:after="0"/>
              <w:rPr>
                <w:sz w:val="20"/>
                <w:szCs w:val="20"/>
                <w:color w:val="auto"/>
              </w:rPr>
            </w:pPr>
          </w:p>
        </w:tc>
        <w:tc>
          <w:tcPr>
            <w:tcW w:w="100" w:type="dxa"/>
            <w:vAlign w:val="bottom"/>
            <w:tcBorders>
              <w:bottom w:val="single" w:sz="8" w:color="231F20"/>
            </w:tcBorders>
            <w:shd w:val="clear" w:color="auto" w:fill="FDFDFC"/>
          </w:tcPr>
          <w:p>
            <w:pPr>
              <w:spacing w:after="0"/>
              <w:rPr>
                <w:sz w:val="20"/>
                <w:szCs w:val="20"/>
                <w:color w:val="auto"/>
              </w:rPr>
            </w:pPr>
          </w:p>
        </w:tc>
        <w:tc>
          <w:tcPr>
            <w:tcW w:w="1080" w:type="dxa"/>
            <w:vAlign w:val="bottom"/>
            <w:tcBorders>
              <w:bottom w:val="single" w:sz="8" w:color="231F20"/>
            </w:tcBorders>
            <w:vMerge w:val="continue"/>
            <w:shd w:val="clear" w:color="auto" w:fill="FDFDFC"/>
          </w:tcPr>
          <w:p>
            <w:pPr>
              <w:spacing w:after="0"/>
              <w:rPr>
                <w:sz w:val="20"/>
                <w:szCs w:val="20"/>
                <w:color w:val="auto"/>
              </w:rPr>
            </w:pPr>
          </w:p>
        </w:tc>
        <w:tc>
          <w:tcPr>
            <w:tcW w:w="240" w:type="dxa"/>
            <w:vAlign w:val="bottom"/>
            <w:tcBorders>
              <w:bottom w:val="single" w:sz="8" w:color="D0EBF2"/>
            </w:tcBorders>
            <w:shd w:val="clear" w:color="auto" w:fill="FDFDFC"/>
          </w:tcPr>
          <w:p>
            <w:pPr>
              <w:spacing w:after="0"/>
              <w:rPr>
                <w:sz w:val="20"/>
                <w:szCs w:val="20"/>
                <w:color w:val="auto"/>
              </w:rPr>
            </w:pPr>
          </w:p>
        </w:tc>
        <w:tc>
          <w:tcPr>
            <w:tcW w:w="120" w:type="dxa"/>
            <w:vAlign w:val="bottom"/>
            <w:tcBorders>
              <w:bottom w:val="single" w:sz="8" w:color="231F20"/>
            </w:tcBorders>
            <w:shd w:val="clear" w:color="auto" w:fill="FDFDFC"/>
          </w:tcPr>
          <w:p>
            <w:pPr>
              <w:spacing w:after="0"/>
              <w:rPr>
                <w:sz w:val="20"/>
                <w:szCs w:val="20"/>
                <w:color w:val="auto"/>
              </w:rPr>
            </w:pPr>
          </w:p>
        </w:tc>
        <w:tc>
          <w:tcPr>
            <w:tcW w:w="1060" w:type="dxa"/>
            <w:vAlign w:val="bottom"/>
            <w:tcBorders>
              <w:bottom w:val="single" w:sz="8" w:color="231F20"/>
            </w:tcBorders>
            <w:vMerge w:val="continue"/>
            <w:shd w:val="clear" w:color="auto" w:fill="FDFDFC"/>
          </w:tcPr>
          <w:p>
            <w:pPr>
              <w:spacing w:after="0"/>
              <w:rPr>
                <w:sz w:val="20"/>
                <w:szCs w:val="20"/>
                <w:color w:val="auto"/>
              </w:rPr>
            </w:pPr>
          </w:p>
        </w:tc>
        <w:tc>
          <w:tcPr>
            <w:tcW w:w="100" w:type="dxa"/>
            <w:vAlign w:val="bottom"/>
            <w:tcBorders>
              <w:bottom w:val="single" w:sz="8" w:color="D0EBF2"/>
            </w:tcBorders>
            <w:shd w:val="clear" w:color="auto" w:fill="FDFDFC"/>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4940" w:type="dxa"/>
            <w:vAlign w:val="bottom"/>
            <w:shd w:val="clear" w:color="auto" w:fill="D0EBF2"/>
          </w:tcPr>
          <w:p>
            <w:pPr>
              <w:spacing w:after="0"/>
              <w:rPr>
                <w:sz w:val="20"/>
                <w:szCs w:val="20"/>
                <w:color w:val="auto"/>
              </w:rPr>
            </w:pPr>
            <w:r>
              <w:rPr>
                <w:rFonts w:ascii="Times New Roman" w:cs="Times New Roman" w:eastAsia="Times New Roman" w:hAnsi="Times New Roman"/>
                <w:sz w:val="19"/>
                <w:szCs w:val="19"/>
                <w:color w:val="231F20"/>
              </w:rPr>
              <w:t>Earnings per common share—basic and diluted</w:t>
            </w:r>
          </w:p>
        </w:tc>
        <w:tc>
          <w:tcPr>
            <w:tcW w:w="120" w:type="dxa"/>
            <w:vAlign w:val="bottom"/>
            <w:shd w:val="clear" w:color="auto" w:fill="D0EBF2"/>
          </w:tcPr>
          <w:p>
            <w:pPr>
              <w:spacing w:after="0"/>
              <w:rPr>
                <w:sz w:val="19"/>
                <w:szCs w:val="19"/>
                <w:color w:val="auto"/>
              </w:rPr>
            </w:pPr>
          </w:p>
        </w:tc>
        <w:tc>
          <w:tcPr>
            <w:tcW w:w="120" w:type="dxa"/>
            <w:vAlign w:val="bottom"/>
            <w:tcBorders>
              <w:bottom w:val="single" w:sz="8" w:color="231F20"/>
            </w:tcBorders>
            <w:shd w:val="clear" w:color="auto" w:fill="D0EBF2"/>
          </w:tcPr>
          <w:p>
            <w:pPr>
              <w:jc w:val="right"/>
              <w:spacing w:after="0"/>
              <w:rPr>
                <w:sz w:val="20"/>
                <w:szCs w:val="20"/>
                <w:color w:val="auto"/>
              </w:rPr>
            </w:pPr>
            <w:r>
              <w:rPr>
                <w:rFonts w:ascii="Times New Roman" w:cs="Times New Roman" w:eastAsia="Times New Roman" w:hAnsi="Times New Roman"/>
                <w:sz w:val="19"/>
                <w:szCs w:val="19"/>
                <w:color w:val="231F20"/>
                <w:w w:val="83"/>
              </w:rPr>
              <w:t>$</w:t>
            </w:r>
          </w:p>
        </w:tc>
        <w:tc>
          <w:tcPr>
            <w:tcW w:w="1060" w:type="dxa"/>
            <w:vAlign w:val="bottom"/>
            <w:tcBorders>
              <w:bottom w:val="single" w:sz="8" w:color="231F20"/>
            </w:tcBorders>
            <w:shd w:val="clear" w:color="auto" w:fill="D0EBF2"/>
          </w:tcPr>
          <w:p>
            <w:pPr>
              <w:jc w:val="right"/>
              <w:spacing w:after="0"/>
              <w:rPr>
                <w:sz w:val="20"/>
                <w:szCs w:val="20"/>
                <w:color w:val="auto"/>
              </w:rPr>
            </w:pPr>
            <w:r>
              <w:rPr>
                <w:rFonts w:ascii="Times New Roman" w:cs="Times New Roman" w:eastAsia="Times New Roman" w:hAnsi="Times New Roman"/>
                <w:sz w:val="19"/>
                <w:szCs w:val="19"/>
                <w:color w:val="231F20"/>
              </w:rPr>
              <w:t>2.03</w:t>
            </w:r>
          </w:p>
        </w:tc>
        <w:tc>
          <w:tcPr>
            <w:tcW w:w="240" w:type="dxa"/>
            <w:vAlign w:val="bottom"/>
            <w:shd w:val="clear" w:color="auto" w:fill="D0EBF2"/>
          </w:tcPr>
          <w:p>
            <w:pPr>
              <w:spacing w:after="0"/>
              <w:rPr>
                <w:sz w:val="19"/>
                <w:szCs w:val="19"/>
                <w:color w:val="auto"/>
              </w:rPr>
            </w:pPr>
          </w:p>
        </w:tc>
        <w:tc>
          <w:tcPr>
            <w:tcW w:w="100" w:type="dxa"/>
            <w:vAlign w:val="bottom"/>
            <w:tcBorders>
              <w:bottom w:val="single" w:sz="8" w:color="231F20"/>
            </w:tcBorders>
            <w:shd w:val="clear" w:color="auto" w:fill="D0EBF2"/>
          </w:tcPr>
          <w:p>
            <w:pPr>
              <w:jc w:val="right"/>
              <w:spacing w:after="0"/>
              <w:rPr>
                <w:sz w:val="20"/>
                <w:szCs w:val="20"/>
                <w:color w:val="auto"/>
              </w:rPr>
            </w:pPr>
            <w:r>
              <w:rPr>
                <w:rFonts w:ascii="Times New Roman" w:cs="Times New Roman" w:eastAsia="Times New Roman" w:hAnsi="Times New Roman"/>
                <w:sz w:val="17"/>
                <w:szCs w:val="17"/>
                <w:color w:val="231F20"/>
                <w:w w:val="70"/>
              </w:rPr>
              <w:t>$</w:t>
            </w:r>
          </w:p>
        </w:tc>
        <w:tc>
          <w:tcPr>
            <w:tcW w:w="1080" w:type="dxa"/>
            <w:vAlign w:val="bottom"/>
            <w:tcBorders>
              <w:bottom w:val="single" w:sz="8" w:color="231F20"/>
            </w:tcBorders>
            <w:shd w:val="clear" w:color="auto" w:fill="D0EBF2"/>
          </w:tcPr>
          <w:p>
            <w:pPr>
              <w:jc w:val="right"/>
              <w:spacing w:after="0"/>
              <w:rPr>
                <w:sz w:val="20"/>
                <w:szCs w:val="20"/>
                <w:color w:val="auto"/>
              </w:rPr>
            </w:pPr>
            <w:r>
              <w:rPr>
                <w:rFonts w:ascii="Times New Roman" w:cs="Times New Roman" w:eastAsia="Times New Roman" w:hAnsi="Times New Roman"/>
                <w:sz w:val="19"/>
                <w:szCs w:val="19"/>
                <w:color w:val="231F20"/>
              </w:rPr>
              <w:t>2.61</w:t>
            </w:r>
          </w:p>
        </w:tc>
        <w:tc>
          <w:tcPr>
            <w:tcW w:w="240" w:type="dxa"/>
            <w:vAlign w:val="bottom"/>
            <w:shd w:val="clear" w:color="auto" w:fill="D0EBF2"/>
          </w:tcPr>
          <w:p>
            <w:pPr>
              <w:spacing w:after="0"/>
              <w:rPr>
                <w:sz w:val="19"/>
                <w:szCs w:val="19"/>
                <w:color w:val="auto"/>
              </w:rPr>
            </w:pPr>
          </w:p>
        </w:tc>
        <w:tc>
          <w:tcPr>
            <w:tcW w:w="120" w:type="dxa"/>
            <w:vAlign w:val="bottom"/>
            <w:tcBorders>
              <w:bottom w:val="single" w:sz="8" w:color="231F20"/>
            </w:tcBorders>
            <w:shd w:val="clear" w:color="auto" w:fill="D0EBF2"/>
          </w:tcPr>
          <w:p>
            <w:pPr>
              <w:jc w:val="right"/>
              <w:spacing w:after="0"/>
              <w:rPr>
                <w:sz w:val="20"/>
                <w:szCs w:val="20"/>
                <w:color w:val="auto"/>
              </w:rPr>
            </w:pPr>
            <w:r>
              <w:rPr>
                <w:rFonts w:ascii="Times New Roman" w:cs="Times New Roman" w:eastAsia="Times New Roman" w:hAnsi="Times New Roman"/>
                <w:sz w:val="19"/>
                <w:szCs w:val="19"/>
                <w:color w:val="231F20"/>
                <w:w w:val="83"/>
              </w:rPr>
              <w:t>$</w:t>
            </w:r>
          </w:p>
        </w:tc>
        <w:tc>
          <w:tcPr>
            <w:tcW w:w="1060" w:type="dxa"/>
            <w:vAlign w:val="bottom"/>
            <w:tcBorders>
              <w:bottom w:val="single" w:sz="8" w:color="231F20"/>
            </w:tcBorders>
            <w:shd w:val="clear" w:color="auto" w:fill="D0EBF2"/>
          </w:tcPr>
          <w:p>
            <w:pPr>
              <w:jc w:val="right"/>
              <w:spacing w:after="0"/>
              <w:rPr>
                <w:sz w:val="20"/>
                <w:szCs w:val="20"/>
                <w:color w:val="auto"/>
              </w:rPr>
            </w:pPr>
            <w:r>
              <w:rPr>
                <w:rFonts w:ascii="Times New Roman" w:cs="Times New Roman" w:eastAsia="Times New Roman" w:hAnsi="Times New Roman"/>
                <w:sz w:val="19"/>
                <w:szCs w:val="19"/>
                <w:color w:val="231F20"/>
              </w:rPr>
              <w:t>1.38</w:t>
            </w:r>
          </w:p>
        </w:tc>
        <w:tc>
          <w:tcPr>
            <w:tcW w:w="100" w:type="dxa"/>
            <w:vAlign w:val="bottom"/>
            <w:shd w:val="clear" w:color="auto" w:fill="D0EBF2"/>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231F20"/>
            </w:tcBorders>
          </w:tcPr>
          <w:p>
            <w:pPr>
              <w:spacing w:after="0" w:line="20" w:lineRule="exact"/>
              <w:rPr>
                <w:sz w:val="1"/>
                <w:szCs w:val="1"/>
                <w:color w:val="auto"/>
              </w:rPr>
            </w:pPr>
          </w:p>
        </w:tc>
        <w:tc>
          <w:tcPr>
            <w:tcW w:w="1060" w:type="dxa"/>
            <w:vAlign w:val="bottom"/>
            <w:tcBorders>
              <w:bottom w:val="single" w:sz="8" w:color="231F20"/>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231F20"/>
            </w:tcBorders>
          </w:tcPr>
          <w:p>
            <w:pPr>
              <w:spacing w:after="0" w:line="20" w:lineRule="exact"/>
              <w:rPr>
                <w:sz w:val="1"/>
                <w:szCs w:val="1"/>
                <w:color w:val="auto"/>
              </w:rPr>
            </w:pPr>
          </w:p>
        </w:tc>
        <w:tc>
          <w:tcPr>
            <w:tcW w:w="1080" w:type="dxa"/>
            <w:vAlign w:val="bottom"/>
            <w:tcBorders>
              <w:bottom w:val="single" w:sz="8" w:color="231F20"/>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231F20"/>
            </w:tcBorders>
          </w:tcPr>
          <w:p>
            <w:pPr>
              <w:spacing w:after="0" w:line="20" w:lineRule="exact"/>
              <w:rPr>
                <w:sz w:val="1"/>
                <w:szCs w:val="1"/>
                <w:color w:val="auto"/>
              </w:rPr>
            </w:pPr>
          </w:p>
        </w:tc>
        <w:tc>
          <w:tcPr>
            <w:tcW w:w="1060" w:type="dxa"/>
            <w:vAlign w:val="bottom"/>
            <w:tcBorders>
              <w:bottom w:val="single" w:sz="8" w:color="231F20"/>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231F20"/>
        </w:rPr>
        <w:t>11. Dividends</w:t>
      </w:r>
    </w:p>
    <w:p>
      <w:pPr>
        <w:spacing w:after="0" w:line="114" w:lineRule="exact"/>
        <w:rPr>
          <w:sz w:val="20"/>
          <w:szCs w:val="20"/>
          <w:color w:val="auto"/>
        </w:rPr>
      </w:pPr>
    </w:p>
    <w:p>
      <w:pPr>
        <w:jc w:val="both"/>
        <w:ind w:right="200" w:firstLine="231"/>
        <w:spacing w:after="0" w:line="257" w:lineRule="auto"/>
        <w:rPr>
          <w:sz w:val="20"/>
          <w:szCs w:val="20"/>
          <w:color w:val="auto"/>
        </w:rPr>
      </w:pPr>
      <w:r>
        <w:rPr>
          <w:rFonts w:ascii="Times New Roman" w:cs="Times New Roman" w:eastAsia="Times New Roman" w:hAnsi="Times New Roman"/>
          <w:sz w:val="19"/>
          <w:szCs w:val="19"/>
          <w:color w:val="231F20"/>
        </w:rPr>
        <w:t>The Company has historically paid a dividend to stockholders on a quarterly basis. The Company has a dividend framework that provides for a quarterly base dividend and a variable supplemental dividend, subject to satisfaction of certain measurement tests and the approval of the Board.</w:t>
      </w:r>
    </w:p>
    <w:p>
      <w:pPr>
        <w:spacing w:after="0" w:line="176" w:lineRule="exact"/>
        <w:rPr>
          <w:sz w:val="20"/>
          <w:szCs w:val="20"/>
          <w:color w:val="auto"/>
        </w:rPr>
      </w:pPr>
    </w:p>
    <w:p>
      <w:pPr>
        <w:ind w:right="40" w:firstLine="231"/>
        <w:spacing w:after="0" w:line="275" w:lineRule="auto"/>
        <w:rPr>
          <w:sz w:val="20"/>
          <w:szCs w:val="20"/>
          <w:color w:val="auto"/>
        </w:rPr>
      </w:pPr>
      <w:r>
        <w:rPr>
          <w:rFonts w:ascii="Times New Roman" w:cs="Times New Roman" w:eastAsia="Times New Roman" w:hAnsi="Times New Roman"/>
          <w:sz w:val="19"/>
          <w:szCs w:val="19"/>
          <w:color w:val="231F20"/>
        </w:rPr>
        <w:t>The following tables summarize dividends declared during the years ended December 31, 2024, December 31, 2023 and December 31, 2022:</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2560" w:type="dxa"/>
            <w:vAlign w:val="bottom"/>
            <w:shd w:val="clear" w:color="auto" w:fill="FDFDFC"/>
          </w:tcPr>
          <w:p>
            <w:pPr>
              <w:spacing w:after="0"/>
              <w:rPr>
                <w:sz w:val="16"/>
                <w:szCs w:val="16"/>
                <w:color w:val="auto"/>
              </w:rPr>
            </w:pPr>
          </w:p>
        </w:tc>
        <w:tc>
          <w:tcPr>
            <w:tcW w:w="100" w:type="dxa"/>
            <w:vAlign w:val="bottom"/>
            <w:shd w:val="clear" w:color="auto" w:fill="FDFDFC"/>
          </w:tcPr>
          <w:p>
            <w:pPr>
              <w:spacing w:after="0"/>
              <w:rPr>
                <w:sz w:val="16"/>
                <w:szCs w:val="16"/>
                <w:color w:val="auto"/>
              </w:rPr>
            </w:pPr>
          </w:p>
        </w:tc>
        <w:tc>
          <w:tcPr>
            <w:tcW w:w="1600" w:type="dxa"/>
            <w:vAlign w:val="bottom"/>
            <w:shd w:val="clear" w:color="auto" w:fill="FDFDFC"/>
          </w:tcPr>
          <w:p>
            <w:pPr>
              <w:spacing w:after="0"/>
              <w:rPr>
                <w:sz w:val="16"/>
                <w:szCs w:val="16"/>
                <w:color w:val="auto"/>
              </w:rPr>
            </w:pPr>
          </w:p>
        </w:tc>
        <w:tc>
          <w:tcPr>
            <w:tcW w:w="20" w:type="dxa"/>
            <w:vAlign w:val="bottom"/>
            <w:shd w:val="clear" w:color="auto" w:fill="FDFDFC"/>
          </w:tcPr>
          <w:p>
            <w:pPr>
              <w:spacing w:after="0"/>
              <w:rPr>
                <w:sz w:val="16"/>
                <w:szCs w:val="16"/>
                <w:color w:val="auto"/>
              </w:rPr>
            </w:pPr>
          </w:p>
        </w:tc>
        <w:tc>
          <w:tcPr>
            <w:tcW w:w="100" w:type="dxa"/>
            <w:vAlign w:val="bottom"/>
            <w:shd w:val="clear" w:color="auto" w:fill="FDFDFC"/>
          </w:tcPr>
          <w:p>
            <w:pPr>
              <w:spacing w:after="0"/>
              <w:rPr>
                <w:sz w:val="16"/>
                <w:szCs w:val="16"/>
                <w:color w:val="auto"/>
              </w:rPr>
            </w:pPr>
          </w:p>
        </w:tc>
        <w:tc>
          <w:tcPr>
            <w:tcW w:w="20" w:type="dxa"/>
            <w:vAlign w:val="bottom"/>
            <w:shd w:val="clear" w:color="auto" w:fill="FDFDFC"/>
          </w:tcPr>
          <w:p>
            <w:pPr>
              <w:spacing w:after="0"/>
              <w:rPr>
                <w:sz w:val="16"/>
                <w:szCs w:val="16"/>
                <w:color w:val="auto"/>
              </w:rPr>
            </w:pPr>
          </w:p>
        </w:tc>
        <w:tc>
          <w:tcPr>
            <w:tcW w:w="2640" w:type="dxa"/>
            <w:vAlign w:val="bottom"/>
            <w:gridSpan w:val="4"/>
            <w:shd w:val="clear" w:color="auto" w:fill="FDFDFC"/>
          </w:tcPr>
          <w:p>
            <w:pPr>
              <w:jc w:val="center"/>
              <w:ind w:left="1091"/>
              <w:spacing w:after="0"/>
              <w:rPr>
                <w:sz w:val="20"/>
                <w:szCs w:val="20"/>
                <w:color w:val="auto"/>
              </w:rPr>
            </w:pPr>
            <w:r>
              <w:rPr>
                <w:rFonts w:ascii="Times New Roman" w:cs="Times New Roman" w:eastAsia="Times New Roman" w:hAnsi="Times New Roman"/>
                <w:sz w:val="15"/>
                <w:szCs w:val="15"/>
                <w:b w:val="1"/>
                <w:bCs w:val="1"/>
                <w:color w:val="231F20"/>
              </w:rPr>
              <w:t>For the Year Ended</w:t>
            </w:r>
          </w:p>
        </w:tc>
        <w:tc>
          <w:tcPr>
            <w:tcW w:w="1580" w:type="dxa"/>
            <w:vAlign w:val="bottom"/>
            <w:shd w:val="clear" w:color="auto" w:fill="FDFDFC"/>
          </w:tcPr>
          <w:p>
            <w:pPr>
              <w:spacing w:after="0"/>
              <w:rPr>
                <w:sz w:val="16"/>
                <w:szCs w:val="16"/>
                <w:color w:val="auto"/>
              </w:rPr>
            </w:pPr>
          </w:p>
        </w:tc>
        <w:tc>
          <w:tcPr>
            <w:tcW w:w="20" w:type="dxa"/>
            <w:vAlign w:val="bottom"/>
            <w:shd w:val="clear" w:color="auto" w:fill="FDFDFC"/>
          </w:tcPr>
          <w:p>
            <w:pPr>
              <w:spacing w:after="0"/>
              <w:rPr>
                <w:sz w:val="16"/>
                <w:szCs w:val="16"/>
                <w:color w:val="auto"/>
              </w:rPr>
            </w:pPr>
          </w:p>
        </w:tc>
        <w:tc>
          <w:tcPr>
            <w:tcW w:w="100" w:type="dxa"/>
            <w:vAlign w:val="bottom"/>
            <w:shd w:val="clear" w:color="auto" w:fill="FDFDFC"/>
          </w:tcPr>
          <w:p>
            <w:pPr>
              <w:spacing w:after="0"/>
              <w:rPr>
                <w:sz w:val="16"/>
                <w:szCs w:val="16"/>
                <w:color w:val="auto"/>
              </w:rPr>
            </w:pPr>
          </w:p>
        </w:tc>
        <w:tc>
          <w:tcPr>
            <w:tcW w:w="20" w:type="dxa"/>
            <w:vAlign w:val="bottom"/>
            <w:shd w:val="clear" w:color="auto" w:fill="FDFDFC"/>
          </w:tcPr>
          <w:p>
            <w:pPr>
              <w:spacing w:after="0"/>
              <w:rPr>
                <w:sz w:val="16"/>
                <w:szCs w:val="16"/>
                <w:color w:val="auto"/>
              </w:rPr>
            </w:pPr>
          </w:p>
        </w:tc>
        <w:tc>
          <w:tcPr>
            <w:tcW w:w="520" w:type="dxa"/>
            <w:vAlign w:val="bottom"/>
            <w:shd w:val="clear" w:color="auto" w:fill="FDFDFC"/>
          </w:tcPr>
          <w:p>
            <w:pPr>
              <w:spacing w:after="0"/>
              <w:rPr>
                <w:sz w:val="16"/>
                <w:szCs w:val="16"/>
                <w:color w:val="auto"/>
              </w:rPr>
            </w:pPr>
          </w:p>
        </w:tc>
        <w:tc>
          <w:tcPr>
            <w:tcW w:w="820" w:type="dxa"/>
            <w:vAlign w:val="bottom"/>
            <w:shd w:val="clear" w:color="auto" w:fill="FDFDFC"/>
          </w:tcPr>
          <w:p>
            <w:pPr>
              <w:spacing w:after="0"/>
              <w:rPr>
                <w:sz w:val="16"/>
                <w:szCs w:val="16"/>
                <w:color w:val="auto"/>
              </w:rPr>
            </w:pPr>
          </w:p>
        </w:tc>
        <w:tc>
          <w:tcPr>
            <w:tcW w:w="100" w:type="dxa"/>
            <w:vAlign w:val="bottom"/>
            <w:shd w:val="clear" w:color="auto" w:fill="FDFDFC"/>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2560" w:type="dxa"/>
            <w:vAlign w:val="bottom"/>
            <w:tcBorders>
              <w:bottom w:val="single" w:sz="8" w:color="FDFDFC"/>
            </w:tcBorders>
            <w:vMerge w:val="restart"/>
            <w:shd w:val="clear" w:color="auto" w:fill="FDFDFC"/>
          </w:tcPr>
          <w:p>
            <w:pPr>
              <w:spacing w:after="0"/>
              <w:rPr>
                <w:sz w:val="20"/>
                <w:szCs w:val="20"/>
                <w:color w:val="auto"/>
              </w:rPr>
            </w:pPr>
            <w:r>
              <w:rPr>
                <w:rFonts w:ascii="Times New Roman" w:cs="Times New Roman" w:eastAsia="Times New Roman" w:hAnsi="Times New Roman"/>
                <w:sz w:val="15"/>
                <w:szCs w:val="15"/>
                <w:b w:val="1"/>
                <w:bCs w:val="1"/>
                <w:color w:val="231F20"/>
              </w:rPr>
              <w:t>Date Declared</w:t>
            </w:r>
          </w:p>
        </w:tc>
        <w:tc>
          <w:tcPr>
            <w:tcW w:w="100" w:type="dxa"/>
            <w:vAlign w:val="bottom"/>
            <w:tcBorders>
              <w:bottom w:val="single" w:sz="8" w:color="231F20"/>
            </w:tcBorders>
            <w:shd w:val="clear" w:color="auto" w:fill="FDFDFC"/>
          </w:tcPr>
          <w:p>
            <w:pPr>
              <w:spacing w:after="0"/>
              <w:rPr>
                <w:sz w:val="16"/>
                <w:szCs w:val="16"/>
                <w:color w:val="auto"/>
              </w:rPr>
            </w:pPr>
          </w:p>
        </w:tc>
        <w:tc>
          <w:tcPr>
            <w:tcW w:w="1600" w:type="dxa"/>
            <w:vAlign w:val="bottom"/>
            <w:tcBorders>
              <w:bottom w:val="single" w:sz="8" w:color="231F20"/>
            </w:tcBorders>
            <w:shd w:val="clear" w:color="auto" w:fill="FDFDFC"/>
          </w:tcPr>
          <w:p>
            <w:pPr>
              <w:spacing w:after="0"/>
              <w:rPr>
                <w:sz w:val="16"/>
                <w:szCs w:val="16"/>
                <w:color w:val="auto"/>
              </w:rPr>
            </w:pPr>
          </w:p>
        </w:tc>
        <w:tc>
          <w:tcPr>
            <w:tcW w:w="20" w:type="dxa"/>
            <w:vAlign w:val="bottom"/>
            <w:tcBorders>
              <w:bottom w:val="single" w:sz="8" w:color="231F20"/>
            </w:tcBorders>
            <w:shd w:val="clear" w:color="auto" w:fill="FDFDFC"/>
          </w:tcPr>
          <w:p>
            <w:pPr>
              <w:spacing w:after="0"/>
              <w:rPr>
                <w:sz w:val="16"/>
                <w:szCs w:val="16"/>
                <w:color w:val="auto"/>
              </w:rPr>
            </w:pPr>
          </w:p>
        </w:tc>
        <w:tc>
          <w:tcPr>
            <w:tcW w:w="100" w:type="dxa"/>
            <w:vAlign w:val="bottom"/>
            <w:tcBorders>
              <w:bottom w:val="single" w:sz="8" w:color="231F20"/>
            </w:tcBorders>
            <w:shd w:val="clear" w:color="auto" w:fill="FDFDFC"/>
          </w:tcPr>
          <w:p>
            <w:pPr>
              <w:spacing w:after="0"/>
              <w:rPr>
                <w:sz w:val="16"/>
                <w:szCs w:val="16"/>
                <w:color w:val="auto"/>
              </w:rPr>
            </w:pPr>
          </w:p>
        </w:tc>
        <w:tc>
          <w:tcPr>
            <w:tcW w:w="20" w:type="dxa"/>
            <w:vAlign w:val="bottom"/>
            <w:tcBorders>
              <w:bottom w:val="single" w:sz="8" w:color="231F20"/>
            </w:tcBorders>
            <w:shd w:val="clear" w:color="auto" w:fill="FDFDFC"/>
          </w:tcPr>
          <w:p>
            <w:pPr>
              <w:spacing w:after="0"/>
              <w:rPr>
                <w:sz w:val="16"/>
                <w:szCs w:val="16"/>
                <w:color w:val="auto"/>
              </w:rPr>
            </w:pPr>
          </w:p>
        </w:tc>
        <w:tc>
          <w:tcPr>
            <w:tcW w:w="2640" w:type="dxa"/>
            <w:vAlign w:val="bottom"/>
            <w:tcBorders>
              <w:bottom w:val="single" w:sz="8" w:color="231F20"/>
            </w:tcBorders>
            <w:gridSpan w:val="4"/>
            <w:shd w:val="clear" w:color="auto" w:fill="FDFDFC"/>
          </w:tcPr>
          <w:p>
            <w:pPr>
              <w:jc w:val="center"/>
              <w:ind w:left="1091"/>
              <w:spacing w:after="0"/>
              <w:rPr>
                <w:sz w:val="20"/>
                <w:szCs w:val="20"/>
                <w:color w:val="auto"/>
              </w:rPr>
            </w:pPr>
            <w:r>
              <w:rPr>
                <w:rFonts w:ascii="Times New Roman" w:cs="Times New Roman" w:eastAsia="Times New Roman" w:hAnsi="Times New Roman"/>
                <w:sz w:val="15"/>
                <w:szCs w:val="15"/>
                <w:b w:val="1"/>
                <w:bCs w:val="1"/>
                <w:color w:val="231F20"/>
              </w:rPr>
              <w:t>December 31, 2024</w:t>
            </w:r>
          </w:p>
        </w:tc>
        <w:tc>
          <w:tcPr>
            <w:tcW w:w="1580" w:type="dxa"/>
            <w:vAlign w:val="bottom"/>
            <w:tcBorders>
              <w:bottom w:val="single" w:sz="8" w:color="231F20"/>
            </w:tcBorders>
            <w:shd w:val="clear" w:color="auto" w:fill="FDFDFC"/>
          </w:tcPr>
          <w:p>
            <w:pPr>
              <w:spacing w:after="0"/>
              <w:rPr>
                <w:sz w:val="16"/>
                <w:szCs w:val="16"/>
                <w:color w:val="auto"/>
              </w:rPr>
            </w:pPr>
          </w:p>
        </w:tc>
        <w:tc>
          <w:tcPr>
            <w:tcW w:w="20" w:type="dxa"/>
            <w:vAlign w:val="bottom"/>
            <w:tcBorders>
              <w:bottom w:val="single" w:sz="8" w:color="231F20"/>
            </w:tcBorders>
            <w:shd w:val="clear" w:color="auto" w:fill="FDFDFC"/>
          </w:tcPr>
          <w:p>
            <w:pPr>
              <w:spacing w:after="0"/>
              <w:rPr>
                <w:sz w:val="16"/>
                <w:szCs w:val="16"/>
                <w:color w:val="auto"/>
              </w:rPr>
            </w:pPr>
          </w:p>
        </w:tc>
        <w:tc>
          <w:tcPr>
            <w:tcW w:w="100" w:type="dxa"/>
            <w:vAlign w:val="bottom"/>
            <w:tcBorders>
              <w:bottom w:val="single" w:sz="8" w:color="231F20"/>
            </w:tcBorders>
            <w:shd w:val="clear" w:color="auto" w:fill="FDFDFC"/>
          </w:tcPr>
          <w:p>
            <w:pPr>
              <w:spacing w:after="0"/>
              <w:rPr>
                <w:sz w:val="16"/>
                <w:szCs w:val="16"/>
                <w:color w:val="auto"/>
              </w:rPr>
            </w:pPr>
          </w:p>
        </w:tc>
        <w:tc>
          <w:tcPr>
            <w:tcW w:w="20" w:type="dxa"/>
            <w:vAlign w:val="bottom"/>
            <w:tcBorders>
              <w:bottom w:val="single" w:sz="8" w:color="231F20"/>
            </w:tcBorders>
            <w:shd w:val="clear" w:color="auto" w:fill="FDFDFC"/>
          </w:tcPr>
          <w:p>
            <w:pPr>
              <w:spacing w:after="0"/>
              <w:rPr>
                <w:sz w:val="16"/>
                <w:szCs w:val="16"/>
                <w:color w:val="auto"/>
              </w:rPr>
            </w:pPr>
          </w:p>
        </w:tc>
        <w:tc>
          <w:tcPr>
            <w:tcW w:w="520" w:type="dxa"/>
            <w:vAlign w:val="bottom"/>
            <w:tcBorders>
              <w:bottom w:val="single" w:sz="8" w:color="231F20"/>
            </w:tcBorders>
            <w:shd w:val="clear" w:color="auto" w:fill="FDFDFC"/>
          </w:tcPr>
          <w:p>
            <w:pPr>
              <w:spacing w:after="0"/>
              <w:rPr>
                <w:sz w:val="16"/>
                <w:szCs w:val="16"/>
                <w:color w:val="auto"/>
              </w:rPr>
            </w:pPr>
          </w:p>
        </w:tc>
        <w:tc>
          <w:tcPr>
            <w:tcW w:w="820" w:type="dxa"/>
            <w:vAlign w:val="bottom"/>
            <w:tcBorders>
              <w:bottom w:val="single" w:sz="8" w:color="231F20"/>
            </w:tcBorders>
            <w:shd w:val="clear" w:color="auto" w:fill="FDFDFC"/>
          </w:tcPr>
          <w:p>
            <w:pPr>
              <w:spacing w:after="0"/>
              <w:rPr>
                <w:sz w:val="16"/>
                <w:szCs w:val="16"/>
                <w:color w:val="auto"/>
              </w:rPr>
            </w:pPr>
          </w:p>
        </w:tc>
        <w:tc>
          <w:tcPr>
            <w:tcW w:w="100" w:type="dxa"/>
            <w:vAlign w:val="bottom"/>
            <w:tcBorders>
              <w:bottom w:val="single" w:sz="8" w:color="FDFDFC"/>
            </w:tcBorders>
            <w:shd w:val="clear" w:color="auto" w:fill="FDFDFC"/>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2560" w:type="dxa"/>
            <w:vAlign w:val="bottom"/>
            <w:vMerge w:val="continue"/>
            <w:shd w:val="clear" w:color="auto" w:fill="FDFDFC"/>
          </w:tcPr>
          <w:p>
            <w:pPr>
              <w:spacing w:after="0"/>
              <w:rPr>
                <w:sz w:val="15"/>
                <w:szCs w:val="15"/>
                <w:color w:val="auto"/>
              </w:rPr>
            </w:pPr>
          </w:p>
        </w:tc>
        <w:tc>
          <w:tcPr>
            <w:tcW w:w="100" w:type="dxa"/>
            <w:vAlign w:val="bottom"/>
            <w:shd w:val="clear" w:color="auto" w:fill="FDFDFC"/>
          </w:tcPr>
          <w:p>
            <w:pPr>
              <w:spacing w:after="0"/>
              <w:rPr>
                <w:sz w:val="15"/>
                <w:szCs w:val="15"/>
                <w:color w:val="auto"/>
              </w:rPr>
            </w:pPr>
          </w:p>
        </w:tc>
        <w:tc>
          <w:tcPr>
            <w:tcW w:w="1600" w:type="dxa"/>
            <w:vAlign w:val="bottom"/>
            <w:shd w:val="clear" w:color="auto" w:fill="FDFDFC"/>
          </w:tcPr>
          <w:p>
            <w:pPr>
              <w:jc w:val="center"/>
              <w:ind w:right="48"/>
              <w:spacing w:after="0"/>
              <w:rPr>
                <w:sz w:val="20"/>
                <w:szCs w:val="20"/>
                <w:color w:val="auto"/>
              </w:rPr>
            </w:pPr>
            <w:r>
              <w:rPr>
                <w:rFonts w:ascii="Times New Roman" w:cs="Times New Roman" w:eastAsia="Times New Roman" w:hAnsi="Times New Roman"/>
                <w:sz w:val="15"/>
                <w:szCs w:val="15"/>
                <w:b w:val="1"/>
                <w:bCs w:val="1"/>
                <w:color w:val="231F20"/>
                <w:w w:val="99"/>
              </w:rPr>
              <w:t>Dividend</w:t>
            </w:r>
          </w:p>
        </w:tc>
        <w:tc>
          <w:tcPr>
            <w:tcW w:w="20" w:type="dxa"/>
            <w:vAlign w:val="bottom"/>
            <w:shd w:val="clear" w:color="auto" w:fill="FDFDFC"/>
          </w:tcPr>
          <w:p>
            <w:pPr>
              <w:spacing w:after="0"/>
              <w:rPr>
                <w:sz w:val="15"/>
                <w:szCs w:val="15"/>
                <w:color w:val="auto"/>
              </w:rPr>
            </w:pPr>
          </w:p>
        </w:tc>
        <w:tc>
          <w:tcPr>
            <w:tcW w:w="100" w:type="dxa"/>
            <w:vAlign w:val="bottom"/>
            <w:shd w:val="clear" w:color="auto" w:fill="FDFDFC"/>
          </w:tcPr>
          <w:p>
            <w:pPr>
              <w:spacing w:after="0"/>
              <w:rPr>
                <w:sz w:val="15"/>
                <w:szCs w:val="15"/>
                <w:color w:val="auto"/>
              </w:rPr>
            </w:pPr>
          </w:p>
        </w:tc>
        <w:tc>
          <w:tcPr>
            <w:tcW w:w="20" w:type="dxa"/>
            <w:vAlign w:val="bottom"/>
            <w:shd w:val="clear" w:color="auto" w:fill="FDFDFC"/>
          </w:tcPr>
          <w:p>
            <w:pPr>
              <w:spacing w:after="0"/>
              <w:rPr>
                <w:sz w:val="15"/>
                <w:szCs w:val="15"/>
                <w:color w:val="auto"/>
              </w:rPr>
            </w:pPr>
          </w:p>
        </w:tc>
        <w:tc>
          <w:tcPr>
            <w:tcW w:w="2640" w:type="dxa"/>
            <w:vAlign w:val="bottom"/>
            <w:gridSpan w:val="4"/>
            <w:shd w:val="clear" w:color="auto" w:fill="FDFDFC"/>
          </w:tcPr>
          <w:p>
            <w:pPr>
              <w:ind w:left="560"/>
              <w:spacing w:after="0"/>
              <w:rPr>
                <w:sz w:val="20"/>
                <w:szCs w:val="20"/>
                <w:color w:val="auto"/>
              </w:rPr>
            </w:pPr>
            <w:r>
              <w:rPr>
                <w:rFonts w:ascii="Times New Roman" w:cs="Times New Roman" w:eastAsia="Times New Roman" w:hAnsi="Times New Roman"/>
                <w:sz w:val="15"/>
                <w:szCs w:val="15"/>
                <w:b w:val="1"/>
                <w:bCs w:val="1"/>
                <w:color w:val="231F20"/>
              </w:rPr>
              <w:t>Record Date</w:t>
            </w:r>
          </w:p>
        </w:tc>
        <w:tc>
          <w:tcPr>
            <w:tcW w:w="1580" w:type="dxa"/>
            <w:vAlign w:val="bottom"/>
            <w:shd w:val="clear" w:color="auto" w:fill="FDFDFC"/>
          </w:tcPr>
          <w:p>
            <w:pPr>
              <w:jc w:val="right"/>
              <w:ind w:right="528"/>
              <w:spacing w:after="0"/>
              <w:rPr>
                <w:sz w:val="20"/>
                <w:szCs w:val="20"/>
                <w:color w:val="auto"/>
              </w:rPr>
            </w:pPr>
            <w:r>
              <w:rPr>
                <w:rFonts w:ascii="Times New Roman" w:cs="Times New Roman" w:eastAsia="Times New Roman" w:hAnsi="Times New Roman"/>
                <w:sz w:val="15"/>
                <w:szCs w:val="15"/>
                <w:b w:val="1"/>
                <w:bCs w:val="1"/>
                <w:color w:val="231F20"/>
              </w:rPr>
              <w:t>Payment Date</w:t>
            </w:r>
          </w:p>
        </w:tc>
        <w:tc>
          <w:tcPr>
            <w:tcW w:w="20" w:type="dxa"/>
            <w:vAlign w:val="bottom"/>
            <w:shd w:val="clear" w:color="auto" w:fill="FDFDFC"/>
          </w:tcPr>
          <w:p>
            <w:pPr>
              <w:spacing w:after="0"/>
              <w:rPr>
                <w:sz w:val="15"/>
                <w:szCs w:val="15"/>
                <w:color w:val="auto"/>
              </w:rPr>
            </w:pPr>
          </w:p>
        </w:tc>
        <w:tc>
          <w:tcPr>
            <w:tcW w:w="100" w:type="dxa"/>
            <w:vAlign w:val="bottom"/>
            <w:shd w:val="clear" w:color="auto" w:fill="FDFDFC"/>
          </w:tcPr>
          <w:p>
            <w:pPr>
              <w:spacing w:after="0"/>
              <w:rPr>
                <w:sz w:val="15"/>
                <w:szCs w:val="15"/>
                <w:color w:val="auto"/>
              </w:rPr>
            </w:pPr>
          </w:p>
        </w:tc>
        <w:tc>
          <w:tcPr>
            <w:tcW w:w="20" w:type="dxa"/>
            <w:vAlign w:val="bottom"/>
            <w:shd w:val="clear" w:color="auto" w:fill="FDFDFC"/>
          </w:tcPr>
          <w:p>
            <w:pPr>
              <w:spacing w:after="0"/>
              <w:rPr>
                <w:sz w:val="15"/>
                <w:szCs w:val="15"/>
                <w:color w:val="auto"/>
              </w:rPr>
            </w:pPr>
          </w:p>
        </w:tc>
        <w:tc>
          <w:tcPr>
            <w:tcW w:w="1340" w:type="dxa"/>
            <w:vAlign w:val="bottom"/>
            <w:gridSpan w:val="2"/>
            <w:shd w:val="clear" w:color="auto" w:fill="FDFDFC"/>
          </w:tcPr>
          <w:p>
            <w:pPr>
              <w:jc w:val="right"/>
              <w:spacing w:after="0"/>
              <w:rPr>
                <w:sz w:val="20"/>
                <w:szCs w:val="20"/>
                <w:color w:val="auto"/>
              </w:rPr>
            </w:pPr>
            <w:r>
              <w:rPr>
                <w:rFonts w:ascii="Times New Roman" w:cs="Times New Roman" w:eastAsia="Times New Roman" w:hAnsi="Times New Roman"/>
                <w:sz w:val="15"/>
                <w:szCs w:val="15"/>
                <w:b w:val="1"/>
                <w:bCs w:val="1"/>
                <w:color w:val="231F20"/>
              </w:rPr>
              <w:t>Dividend per Share</w:t>
            </w:r>
          </w:p>
        </w:tc>
        <w:tc>
          <w:tcPr>
            <w:tcW w:w="100" w:type="dxa"/>
            <w:vAlign w:val="bottom"/>
            <w:shd w:val="clear" w:color="auto" w:fill="FDFDFC"/>
          </w:tcPr>
          <w:p>
            <w:pPr>
              <w:spacing w:after="0"/>
              <w:rPr>
                <w:sz w:val="15"/>
                <w:szCs w:val="15"/>
                <w:color w:val="auto"/>
              </w:rPr>
            </w:pPr>
          </w:p>
        </w:tc>
        <w:tc>
          <w:tcPr>
            <w:tcW w:w="0" w:type="dxa"/>
            <w:vAlign w:val="bottom"/>
          </w:tcPr>
          <w:p>
            <w:pPr>
              <w:spacing w:after="0"/>
              <w:rPr>
                <w:sz w:val="1"/>
                <w:szCs w:val="1"/>
                <w:color w:val="auto"/>
              </w:rPr>
            </w:pPr>
          </w:p>
        </w:tc>
      </w:tr>
      <w:tr>
        <w:trPr>
          <w:trHeight w:val="220"/>
        </w:trPr>
        <w:tc>
          <w:tcPr>
            <w:tcW w:w="2560" w:type="dxa"/>
            <w:vAlign w:val="bottom"/>
            <w:tcBorders>
              <w:top w:val="single" w:sz="8" w:color="D0EBF2"/>
            </w:tcBorders>
            <w:shd w:val="clear" w:color="auto" w:fill="D0EBF2"/>
          </w:tcPr>
          <w:p>
            <w:pPr>
              <w:spacing w:after="0"/>
              <w:rPr>
                <w:sz w:val="20"/>
                <w:szCs w:val="20"/>
                <w:color w:val="auto"/>
              </w:rPr>
            </w:pPr>
            <w:r>
              <w:rPr>
                <w:rFonts w:ascii="Times New Roman" w:cs="Times New Roman" w:eastAsia="Times New Roman" w:hAnsi="Times New Roman"/>
                <w:sz w:val="19"/>
                <w:szCs w:val="19"/>
                <w:color w:val="231F20"/>
              </w:rPr>
              <w:t>February 15, 2024</w:t>
            </w:r>
          </w:p>
        </w:tc>
        <w:tc>
          <w:tcPr>
            <w:tcW w:w="100" w:type="dxa"/>
            <w:vAlign w:val="bottom"/>
            <w:tcBorders>
              <w:top w:val="single" w:sz="8" w:color="231F20"/>
            </w:tcBorders>
            <w:shd w:val="clear" w:color="auto" w:fill="D0EBF2"/>
          </w:tcPr>
          <w:p>
            <w:pPr>
              <w:spacing w:after="0"/>
              <w:rPr>
                <w:sz w:val="19"/>
                <w:szCs w:val="19"/>
                <w:color w:val="auto"/>
              </w:rPr>
            </w:pPr>
          </w:p>
        </w:tc>
        <w:tc>
          <w:tcPr>
            <w:tcW w:w="1600" w:type="dxa"/>
            <w:vAlign w:val="bottom"/>
            <w:tcBorders>
              <w:top w:val="single" w:sz="8" w:color="231F20"/>
            </w:tcBorders>
            <w:shd w:val="clear" w:color="auto" w:fill="D0EBF2"/>
          </w:tcPr>
          <w:p>
            <w:pPr>
              <w:jc w:val="center"/>
              <w:ind w:right="48"/>
              <w:spacing w:after="0"/>
              <w:rPr>
                <w:sz w:val="20"/>
                <w:szCs w:val="20"/>
                <w:color w:val="auto"/>
              </w:rPr>
            </w:pPr>
            <w:r>
              <w:rPr>
                <w:rFonts w:ascii="Times New Roman" w:cs="Times New Roman" w:eastAsia="Times New Roman" w:hAnsi="Times New Roman"/>
                <w:sz w:val="19"/>
                <w:szCs w:val="19"/>
                <w:color w:val="231F20"/>
                <w:w w:val="97"/>
              </w:rPr>
              <w:t>Supplemental</w:t>
            </w:r>
          </w:p>
        </w:tc>
        <w:tc>
          <w:tcPr>
            <w:tcW w:w="20" w:type="dxa"/>
            <w:vAlign w:val="bottom"/>
            <w:tcBorders>
              <w:top w:val="single" w:sz="8" w:color="D0EBF2"/>
            </w:tcBorders>
            <w:shd w:val="clear" w:color="auto" w:fill="D0EBF2"/>
          </w:tcPr>
          <w:p>
            <w:pPr>
              <w:spacing w:after="0"/>
              <w:rPr>
                <w:sz w:val="19"/>
                <w:szCs w:val="19"/>
                <w:color w:val="auto"/>
              </w:rPr>
            </w:pPr>
          </w:p>
        </w:tc>
        <w:tc>
          <w:tcPr>
            <w:tcW w:w="100" w:type="dxa"/>
            <w:vAlign w:val="bottom"/>
            <w:tcBorders>
              <w:top w:val="single" w:sz="8" w:color="D0EBF2"/>
            </w:tcBorders>
            <w:shd w:val="clear" w:color="auto" w:fill="D0EBF2"/>
          </w:tcPr>
          <w:p>
            <w:pPr>
              <w:spacing w:after="0"/>
              <w:rPr>
                <w:sz w:val="19"/>
                <w:szCs w:val="19"/>
                <w:color w:val="auto"/>
              </w:rPr>
            </w:pPr>
          </w:p>
        </w:tc>
        <w:tc>
          <w:tcPr>
            <w:tcW w:w="20" w:type="dxa"/>
            <w:vAlign w:val="bottom"/>
            <w:tcBorders>
              <w:top w:val="single" w:sz="8" w:color="231F20"/>
            </w:tcBorders>
            <w:shd w:val="clear" w:color="auto" w:fill="D0EBF2"/>
          </w:tcPr>
          <w:p>
            <w:pPr>
              <w:spacing w:after="0"/>
              <w:rPr>
                <w:sz w:val="19"/>
                <w:szCs w:val="19"/>
                <w:color w:val="auto"/>
              </w:rPr>
            </w:pPr>
          </w:p>
        </w:tc>
        <w:tc>
          <w:tcPr>
            <w:tcW w:w="1960" w:type="dxa"/>
            <w:vAlign w:val="bottom"/>
            <w:tcBorders>
              <w:top w:val="single" w:sz="8" w:color="231F20"/>
            </w:tcBorders>
            <w:shd w:val="clear" w:color="auto" w:fill="D0EBF2"/>
          </w:tcPr>
          <w:p>
            <w:pPr>
              <w:jc w:val="right"/>
              <w:spacing w:after="0"/>
              <w:rPr>
                <w:sz w:val="20"/>
                <w:szCs w:val="20"/>
                <w:color w:val="auto"/>
              </w:rPr>
            </w:pPr>
            <w:r>
              <w:rPr>
                <w:rFonts w:ascii="Times New Roman" w:cs="Times New Roman" w:eastAsia="Times New Roman" w:hAnsi="Times New Roman"/>
                <w:sz w:val="19"/>
                <w:szCs w:val="19"/>
                <w:color w:val="231F20"/>
              </w:rPr>
              <w:t>February 29, 2024</w:t>
            </w:r>
          </w:p>
        </w:tc>
        <w:tc>
          <w:tcPr>
            <w:tcW w:w="20" w:type="dxa"/>
            <w:vAlign w:val="bottom"/>
            <w:tcBorders>
              <w:top w:val="single" w:sz="8" w:color="D0EBF2"/>
            </w:tcBorders>
            <w:shd w:val="clear" w:color="auto" w:fill="D0EBF2"/>
          </w:tcPr>
          <w:p>
            <w:pPr>
              <w:spacing w:after="0"/>
              <w:rPr>
                <w:sz w:val="19"/>
                <w:szCs w:val="19"/>
                <w:color w:val="auto"/>
              </w:rPr>
            </w:pPr>
          </w:p>
        </w:tc>
        <w:tc>
          <w:tcPr>
            <w:tcW w:w="120" w:type="dxa"/>
            <w:vAlign w:val="bottom"/>
            <w:tcBorders>
              <w:top w:val="single" w:sz="8" w:color="D0EBF2"/>
            </w:tcBorders>
            <w:shd w:val="clear" w:color="auto" w:fill="D0EBF2"/>
          </w:tcPr>
          <w:p>
            <w:pPr>
              <w:spacing w:after="0"/>
              <w:rPr>
                <w:sz w:val="19"/>
                <w:szCs w:val="19"/>
                <w:color w:val="auto"/>
              </w:rPr>
            </w:pPr>
          </w:p>
        </w:tc>
        <w:tc>
          <w:tcPr>
            <w:tcW w:w="540" w:type="dxa"/>
            <w:vAlign w:val="bottom"/>
            <w:tcBorders>
              <w:top w:val="single" w:sz="8" w:color="231F20"/>
            </w:tcBorders>
            <w:shd w:val="clear" w:color="auto" w:fill="D0EBF2"/>
          </w:tcPr>
          <w:p>
            <w:pPr>
              <w:spacing w:after="0"/>
              <w:rPr>
                <w:sz w:val="19"/>
                <w:szCs w:val="19"/>
                <w:color w:val="auto"/>
              </w:rPr>
            </w:pPr>
          </w:p>
        </w:tc>
        <w:tc>
          <w:tcPr>
            <w:tcW w:w="1580" w:type="dxa"/>
            <w:vAlign w:val="bottom"/>
            <w:tcBorders>
              <w:top w:val="single" w:sz="8" w:color="231F20"/>
            </w:tcBorders>
            <w:shd w:val="clear" w:color="auto" w:fill="D0EBF2"/>
          </w:tcPr>
          <w:p>
            <w:pPr>
              <w:jc w:val="right"/>
              <w:spacing w:after="0"/>
              <w:rPr>
                <w:sz w:val="20"/>
                <w:szCs w:val="20"/>
                <w:color w:val="auto"/>
              </w:rPr>
            </w:pPr>
            <w:r>
              <w:rPr>
                <w:rFonts w:ascii="Times New Roman" w:cs="Times New Roman" w:eastAsia="Times New Roman" w:hAnsi="Times New Roman"/>
                <w:sz w:val="19"/>
                <w:szCs w:val="19"/>
                <w:color w:val="231F20"/>
              </w:rPr>
              <w:t>March 20, 2024</w:t>
            </w:r>
          </w:p>
        </w:tc>
        <w:tc>
          <w:tcPr>
            <w:tcW w:w="20" w:type="dxa"/>
            <w:vAlign w:val="bottom"/>
            <w:tcBorders>
              <w:top w:val="single" w:sz="8" w:color="D0EBF2"/>
            </w:tcBorders>
            <w:shd w:val="clear" w:color="auto" w:fill="D0EBF2"/>
          </w:tcPr>
          <w:p>
            <w:pPr>
              <w:spacing w:after="0"/>
              <w:rPr>
                <w:sz w:val="19"/>
                <w:szCs w:val="19"/>
                <w:color w:val="auto"/>
              </w:rPr>
            </w:pPr>
          </w:p>
        </w:tc>
        <w:tc>
          <w:tcPr>
            <w:tcW w:w="100" w:type="dxa"/>
            <w:vAlign w:val="bottom"/>
            <w:tcBorders>
              <w:top w:val="single" w:sz="8" w:color="D0EBF2"/>
            </w:tcBorders>
            <w:shd w:val="clear" w:color="auto" w:fill="D0EBF2"/>
          </w:tcPr>
          <w:p>
            <w:pPr>
              <w:spacing w:after="0"/>
              <w:rPr>
                <w:sz w:val="19"/>
                <w:szCs w:val="19"/>
                <w:color w:val="auto"/>
              </w:rPr>
            </w:pPr>
          </w:p>
        </w:tc>
        <w:tc>
          <w:tcPr>
            <w:tcW w:w="540" w:type="dxa"/>
            <w:vAlign w:val="bottom"/>
            <w:tcBorders>
              <w:top w:val="single" w:sz="8" w:color="231F20"/>
            </w:tcBorders>
            <w:gridSpan w:val="2"/>
            <w:shd w:val="clear" w:color="auto" w:fill="D0EBF2"/>
          </w:tcPr>
          <w:p>
            <w:pPr>
              <w:jc w:val="right"/>
              <w:ind w:right="360"/>
              <w:spacing w:after="0"/>
              <w:rPr>
                <w:sz w:val="20"/>
                <w:szCs w:val="20"/>
                <w:color w:val="auto"/>
              </w:rPr>
            </w:pPr>
            <w:r>
              <w:rPr>
                <w:rFonts w:ascii="Times New Roman" w:cs="Times New Roman" w:eastAsia="Times New Roman" w:hAnsi="Times New Roman"/>
                <w:sz w:val="19"/>
                <w:szCs w:val="19"/>
                <w:color w:val="231F20"/>
                <w:w w:val="83"/>
              </w:rPr>
              <w:t>$</w:t>
            </w:r>
          </w:p>
        </w:tc>
        <w:tc>
          <w:tcPr>
            <w:tcW w:w="820" w:type="dxa"/>
            <w:vAlign w:val="bottom"/>
            <w:tcBorders>
              <w:top w:val="single" w:sz="8" w:color="231F20"/>
            </w:tcBorders>
            <w:shd w:val="clear" w:color="auto" w:fill="D0EBF2"/>
          </w:tcPr>
          <w:p>
            <w:pPr>
              <w:jc w:val="right"/>
              <w:spacing w:after="0"/>
              <w:rPr>
                <w:sz w:val="20"/>
                <w:szCs w:val="20"/>
                <w:color w:val="auto"/>
              </w:rPr>
            </w:pPr>
            <w:r>
              <w:rPr>
                <w:rFonts w:ascii="Times New Roman" w:cs="Times New Roman" w:eastAsia="Times New Roman" w:hAnsi="Times New Roman"/>
                <w:sz w:val="19"/>
                <w:szCs w:val="19"/>
                <w:color w:val="231F20"/>
              </w:rPr>
              <w:t>0.08</w:t>
            </w:r>
          </w:p>
        </w:tc>
        <w:tc>
          <w:tcPr>
            <w:tcW w:w="100" w:type="dxa"/>
            <w:vAlign w:val="bottom"/>
            <w:tcBorders>
              <w:top w:val="single" w:sz="8" w:color="D0EBF2"/>
            </w:tcBorders>
            <w:shd w:val="clear" w:color="auto" w:fill="D0EBF2"/>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560" w:type="dxa"/>
            <w:vAlign w:val="bottom"/>
            <w:shd w:val="clear" w:color="auto" w:fill="FDFDFC"/>
          </w:tcPr>
          <w:p>
            <w:pPr>
              <w:spacing w:after="0"/>
              <w:rPr>
                <w:sz w:val="20"/>
                <w:szCs w:val="20"/>
                <w:color w:val="auto"/>
              </w:rPr>
            </w:pPr>
            <w:r>
              <w:rPr>
                <w:rFonts w:ascii="Times New Roman" w:cs="Times New Roman" w:eastAsia="Times New Roman" w:hAnsi="Times New Roman"/>
                <w:sz w:val="19"/>
                <w:szCs w:val="19"/>
                <w:color w:val="231F20"/>
              </w:rPr>
              <w:t>February 15, 2024</w:t>
            </w:r>
          </w:p>
        </w:tc>
        <w:tc>
          <w:tcPr>
            <w:tcW w:w="100" w:type="dxa"/>
            <w:vAlign w:val="bottom"/>
            <w:shd w:val="clear" w:color="auto" w:fill="FDFDFC"/>
          </w:tcPr>
          <w:p>
            <w:pPr>
              <w:spacing w:after="0"/>
              <w:rPr>
                <w:sz w:val="20"/>
                <w:szCs w:val="20"/>
                <w:color w:val="auto"/>
              </w:rPr>
            </w:pPr>
          </w:p>
        </w:tc>
        <w:tc>
          <w:tcPr>
            <w:tcW w:w="1600" w:type="dxa"/>
            <w:vAlign w:val="bottom"/>
            <w:shd w:val="clear" w:color="auto" w:fill="FDFDFC"/>
          </w:tcPr>
          <w:p>
            <w:pPr>
              <w:jc w:val="center"/>
              <w:ind w:right="48"/>
              <w:spacing w:after="0"/>
              <w:rPr>
                <w:sz w:val="20"/>
                <w:szCs w:val="20"/>
                <w:color w:val="auto"/>
              </w:rPr>
            </w:pPr>
            <w:r>
              <w:rPr>
                <w:rFonts w:ascii="Times New Roman" w:cs="Times New Roman" w:eastAsia="Times New Roman" w:hAnsi="Times New Roman"/>
                <w:sz w:val="19"/>
                <w:szCs w:val="19"/>
                <w:color w:val="231F20"/>
              </w:rPr>
              <w:t>Base</w:t>
            </w:r>
          </w:p>
        </w:tc>
        <w:tc>
          <w:tcPr>
            <w:tcW w:w="20" w:type="dxa"/>
            <w:vAlign w:val="bottom"/>
            <w:shd w:val="clear" w:color="auto" w:fill="FDFDFC"/>
          </w:tcPr>
          <w:p>
            <w:pPr>
              <w:spacing w:after="0"/>
              <w:rPr>
                <w:sz w:val="20"/>
                <w:szCs w:val="20"/>
                <w:color w:val="auto"/>
              </w:rPr>
            </w:pPr>
          </w:p>
        </w:tc>
        <w:tc>
          <w:tcPr>
            <w:tcW w:w="100" w:type="dxa"/>
            <w:vAlign w:val="bottom"/>
            <w:shd w:val="clear" w:color="auto" w:fill="FDFDFC"/>
          </w:tcPr>
          <w:p>
            <w:pPr>
              <w:spacing w:after="0"/>
              <w:rPr>
                <w:sz w:val="20"/>
                <w:szCs w:val="20"/>
                <w:color w:val="auto"/>
              </w:rPr>
            </w:pPr>
          </w:p>
        </w:tc>
        <w:tc>
          <w:tcPr>
            <w:tcW w:w="20" w:type="dxa"/>
            <w:vAlign w:val="bottom"/>
            <w:shd w:val="clear" w:color="auto" w:fill="FDFDFC"/>
          </w:tcPr>
          <w:p>
            <w:pPr>
              <w:spacing w:after="0"/>
              <w:rPr>
                <w:sz w:val="20"/>
                <w:szCs w:val="20"/>
                <w:color w:val="auto"/>
              </w:rPr>
            </w:pPr>
          </w:p>
        </w:tc>
        <w:tc>
          <w:tcPr>
            <w:tcW w:w="1960" w:type="dxa"/>
            <w:vAlign w:val="bottom"/>
            <w:shd w:val="clear" w:color="auto" w:fill="FDFDFC"/>
          </w:tcPr>
          <w:p>
            <w:pPr>
              <w:jc w:val="right"/>
              <w:spacing w:after="0"/>
              <w:rPr>
                <w:sz w:val="20"/>
                <w:szCs w:val="20"/>
                <w:color w:val="auto"/>
              </w:rPr>
            </w:pPr>
            <w:r>
              <w:rPr>
                <w:rFonts w:ascii="Times New Roman" w:cs="Times New Roman" w:eastAsia="Times New Roman" w:hAnsi="Times New Roman"/>
                <w:sz w:val="19"/>
                <w:szCs w:val="19"/>
                <w:color w:val="231F20"/>
              </w:rPr>
              <w:t>March 15, 2024</w:t>
            </w:r>
          </w:p>
        </w:tc>
        <w:tc>
          <w:tcPr>
            <w:tcW w:w="20" w:type="dxa"/>
            <w:vAlign w:val="bottom"/>
            <w:shd w:val="clear" w:color="auto" w:fill="FDFDFC"/>
          </w:tcPr>
          <w:p>
            <w:pPr>
              <w:spacing w:after="0"/>
              <w:rPr>
                <w:sz w:val="20"/>
                <w:szCs w:val="20"/>
                <w:color w:val="auto"/>
              </w:rPr>
            </w:pPr>
          </w:p>
        </w:tc>
        <w:tc>
          <w:tcPr>
            <w:tcW w:w="120" w:type="dxa"/>
            <w:vAlign w:val="bottom"/>
            <w:shd w:val="clear" w:color="auto" w:fill="FDFDFC"/>
          </w:tcPr>
          <w:p>
            <w:pPr>
              <w:spacing w:after="0"/>
              <w:rPr>
                <w:sz w:val="20"/>
                <w:szCs w:val="20"/>
                <w:color w:val="auto"/>
              </w:rPr>
            </w:pPr>
          </w:p>
        </w:tc>
        <w:tc>
          <w:tcPr>
            <w:tcW w:w="540" w:type="dxa"/>
            <w:vAlign w:val="bottom"/>
            <w:shd w:val="clear" w:color="auto" w:fill="FDFDFC"/>
          </w:tcPr>
          <w:p>
            <w:pPr>
              <w:spacing w:after="0"/>
              <w:rPr>
                <w:sz w:val="20"/>
                <w:szCs w:val="20"/>
                <w:color w:val="auto"/>
              </w:rPr>
            </w:pPr>
          </w:p>
        </w:tc>
        <w:tc>
          <w:tcPr>
            <w:tcW w:w="1580" w:type="dxa"/>
            <w:vAlign w:val="bottom"/>
            <w:shd w:val="clear" w:color="auto" w:fill="FDFDFC"/>
          </w:tcPr>
          <w:p>
            <w:pPr>
              <w:jc w:val="right"/>
              <w:spacing w:after="0"/>
              <w:rPr>
                <w:sz w:val="20"/>
                <w:szCs w:val="20"/>
                <w:color w:val="auto"/>
              </w:rPr>
            </w:pPr>
            <w:r>
              <w:rPr>
                <w:rFonts w:ascii="Times New Roman" w:cs="Times New Roman" w:eastAsia="Times New Roman" w:hAnsi="Times New Roman"/>
                <w:sz w:val="19"/>
                <w:szCs w:val="19"/>
                <w:color w:val="231F20"/>
              </w:rPr>
              <w:t>March 28, 2024</w:t>
            </w:r>
          </w:p>
        </w:tc>
        <w:tc>
          <w:tcPr>
            <w:tcW w:w="20" w:type="dxa"/>
            <w:vAlign w:val="bottom"/>
            <w:shd w:val="clear" w:color="auto" w:fill="FDFDFC"/>
          </w:tcPr>
          <w:p>
            <w:pPr>
              <w:spacing w:after="0"/>
              <w:rPr>
                <w:sz w:val="20"/>
                <w:szCs w:val="20"/>
                <w:color w:val="auto"/>
              </w:rPr>
            </w:pPr>
          </w:p>
        </w:tc>
        <w:tc>
          <w:tcPr>
            <w:tcW w:w="100" w:type="dxa"/>
            <w:vAlign w:val="bottom"/>
            <w:shd w:val="clear" w:color="auto" w:fill="FDFDFC"/>
          </w:tcPr>
          <w:p>
            <w:pPr>
              <w:spacing w:after="0"/>
              <w:rPr>
                <w:sz w:val="20"/>
                <w:szCs w:val="20"/>
                <w:color w:val="auto"/>
              </w:rPr>
            </w:pPr>
          </w:p>
        </w:tc>
        <w:tc>
          <w:tcPr>
            <w:tcW w:w="20" w:type="dxa"/>
            <w:vAlign w:val="bottom"/>
            <w:shd w:val="clear" w:color="auto" w:fill="FDFDFC"/>
          </w:tcPr>
          <w:p>
            <w:pPr>
              <w:spacing w:after="0"/>
              <w:rPr>
                <w:sz w:val="20"/>
                <w:szCs w:val="20"/>
                <w:color w:val="auto"/>
              </w:rPr>
            </w:pPr>
          </w:p>
        </w:tc>
        <w:tc>
          <w:tcPr>
            <w:tcW w:w="520" w:type="dxa"/>
            <w:vAlign w:val="bottom"/>
            <w:shd w:val="clear" w:color="auto" w:fill="FDFDFC"/>
          </w:tcPr>
          <w:p>
            <w:pPr>
              <w:spacing w:after="0"/>
              <w:rPr>
                <w:sz w:val="20"/>
                <w:szCs w:val="20"/>
                <w:color w:val="auto"/>
              </w:rPr>
            </w:pPr>
          </w:p>
        </w:tc>
        <w:tc>
          <w:tcPr>
            <w:tcW w:w="820" w:type="dxa"/>
            <w:vAlign w:val="bottom"/>
            <w:shd w:val="clear" w:color="auto" w:fill="FDFDFC"/>
          </w:tcPr>
          <w:p>
            <w:pPr>
              <w:jc w:val="right"/>
              <w:spacing w:after="0"/>
              <w:rPr>
                <w:sz w:val="20"/>
                <w:szCs w:val="20"/>
                <w:color w:val="auto"/>
              </w:rPr>
            </w:pPr>
            <w:r>
              <w:rPr>
                <w:rFonts w:ascii="Times New Roman" w:cs="Times New Roman" w:eastAsia="Times New Roman" w:hAnsi="Times New Roman"/>
                <w:sz w:val="19"/>
                <w:szCs w:val="19"/>
                <w:color w:val="231F20"/>
              </w:rPr>
              <w:t>0.46</w:t>
            </w:r>
          </w:p>
        </w:tc>
        <w:tc>
          <w:tcPr>
            <w:tcW w:w="100" w:type="dxa"/>
            <w:vAlign w:val="bottom"/>
            <w:shd w:val="clear" w:color="auto" w:fill="FDFD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560" w:type="dxa"/>
            <w:vAlign w:val="bottom"/>
            <w:shd w:val="clear" w:color="auto" w:fill="D0EBF2"/>
          </w:tcPr>
          <w:p>
            <w:pPr>
              <w:spacing w:after="0"/>
              <w:rPr>
                <w:sz w:val="20"/>
                <w:szCs w:val="20"/>
                <w:color w:val="auto"/>
              </w:rPr>
            </w:pPr>
            <w:r>
              <w:rPr>
                <w:rFonts w:ascii="Times New Roman" w:cs="Times New Roman" w:eastAsia="Times New Roman" w:hAnsi="Times New Roman"/>
                <w:sz w:val="19"/>
                <w:szCs w:val="19"/>
                <w:color w:val="231F20"/>
              </w:rPr>
              <w:t>May 1, 2024</w:t>
            </w:r>
          </w:p>
        </w:tc>
        <w:tc>
          <w:tcPr>
            <w:tcW w:w="100" w:type="dxa"/>
            <w:vAlign w:val="bottom"/>
            <w:shd w:val="clear" w:color="auto" w:fill="D0EBF2"/>
          </w:tcPr>
          <w:p>
            <w:pPr>
              <w:spacing w:after="0"/>
              <w:rPr>
                <w:sz w:val="20"/>
                <w:szCs w:val="20"/>
                <w:color w:val="auto"/>
              </w:rPr>
            </w:pPr>
          </w:p>
        </w:tc>
        <w:tc>
          <w:tcPr>
            <w:tcW w:w="1600" w:type="dxa"/>
            <w:vAlign w:val="bottom"/>
            <w:shd w:val="clear" w:color="auto" w:fill="D0EBF2"/>
          </w:tcPr>
          <w:p>
            <w:pPr>
              <w:jc w:val="center"/>
              <w:ind w:right="48"/>
              <w:spacing w:after="0"/>
              <w:rPr>
                <w:sz w:val="20"/>
                <w:szCs w:val="20"/>
                <w:color w:val="auto"/>
              </w:rPr>
            </w:pPr>
            <w:r>
              <w:rPr>
                <w:rFonts w:ascii="Times New Roman" w:cs="Times New Roman" w:eastAsia="Times New Roman" w:hAnsi="Times New Roman"/>
                <w:sz w:val="19"/>
                <w:szCs w:val="19"/>
                <w:color w:val="231F20"/>
                <w:w w:val="97"/>
              </w:rPr>
              <w:t>Supplemental</w:t>
            </w:r>
          </w:p>
        </w:tc>
        <w:tc>
          <w:tcPr>
            <w:tcW w:w="20" w:type="dxa"/>
            <w:vAlign w:val="bottom"/>
            <w:shd w:val="clear" w:color="auto" w:fill="D0EBF2"/>
          </w:tcPr>
          <w:p>
            <w:pPr>
              <w:spacing w:after="0"/>
              <w:rPr>
                <w:sz w:val="20"/>
                <w:szCs w:val="20"/>
                <w:color w:val="auto"/>
              </w:rPr>
            </w:pPr>
          </w:p>
        </w:tc>
        <w:tc>
          <w:tcPr>
            <w:tcW w:w="100" w:type="dxa"/>
            <w:vAlign w:val="bottom"/>
            <w:shd w:val="clear" w:color="auto" w:fill="D0EBF2"/>
          </w:tcPr>
          <w:p>
            <w:pPr>
              <w:spacing w:after="0"/>
              <w:rPr>
                <w:sz w:val="20"/>
                <w:szCs w:val="20"/>
                <w:color w:val="auto"/>
              </w:rPr>
            </w:pPr>
          </w:p>
        </w:tc>
        <w:tc>
          <w:tcPr>
            <w:tcW w:w="20" w:type="dxa"/>
            <w:vAlign w:val="bottom"/>
            <w:shd w:val="clear" w:color="auto" w:fill="D0EBF2"/>
          </w:tcPr>
          <w:p>
            <w:pPr>
              <w:spacing w:after="0"/>
              <w:rPr>
                <w:sz w:val="20"/>
                <w:szCs w:val="20"/>
                <w:color w:val="auto"/>
              </w:rPr>
            </w:pPr>
          </w:p>
        </w:tc>
        <w:tc>
          <w:tcPr>
            <w:tcW w:w="2640" w:type="dxa"/>
            <w:vAlign w:val="bottom"/>
            <w:gridSpan w:val="4"/>
            <w:shd w:val="clear" w:color="auto" w:fill="D0EBF2"/>
          </w:tcPr>
          <w:p>
            <w:pPr>
              <w:jc w:val="right"/>
              <w:ind w:right="700"/>
              <w:spacing w:after="0"/>
              <w:rPr>
                <w:sz w:val="20"/>
                <w:szCs w:val="20"/>
                <w:color w:val="auto"/>
              </w:rPr>
            </w:pPr>
            <w:r>
              <w:rPr>
                <w:rFonts w:ascii="Times New Roman" w:cs="Times New Roman" w:eastAsia="Times New Roman" w:hAnsi="Times New Roman"/>
                <w:sz w:val="19"/>
                <w:szCs w:val="19"/>
                <w:color w:val="231F20"/>
              </w:rPr>
              <w:t>May 31, 2024</w:t>
            </w:r>
          </w:p>
        </w:tc>
        <w:tc>
          <w:tcPr>
            <w:tcW w:w="1580" w:type="dxa"/>
            <w:vAlign w:val="bottom"/>
            <w:shd w:val="clear" w:color="auto" w:fill="D0EBF2"/>
          </w:tcPr>
          <w:p>
            <w:pPr>
              <w:jc w:val="right"/>
              <w:spacing w:after="0"/>
              <w:rPr>
                <w:sz w:val="20"/>
                <w:szCs w:val="20"/>
                <w:color w:val="auto"/>
              </w:rPr>
            </w:pPr>
            <w:r>
              <w:rPr>
                <w:rFonts w:ascii="Times New Roman" w:cs="Times New Roman" w:eastAsia="Times New Roman" w:hAnsi="Times New Roman"/>
                <w:sz w:val="19"/>
                <w:szCs w:val="19"/>
                <w:color w:val="231F20"/>
              </w:rPr>
              <w:t>June 20, 2024</w:t>
            </w:r>
          </w:p>
        </w:tc>
        <w:tc>
          <w:tcPr>
            <w:tcW w:w="20" w:type="dxa"/>
            <w:vAlign w:val="bottom"/>
            <w:shd w:val="clear" w:color="auto" w:fill="D0EBF2"/>
          </w:tcPr>
          <w:p>
            <w:pPr>
              <w:spacing w:after="0"/>
              <w:rPr>
                <w:sz w:val="20"/>
                <w:szCs w:val="20"/>
                <w:color w:val="auto"/>
              </w:rPr>
            </w:pPr>
          </w:p>
        </w:tc>
        <w:tc>
          <w:tcPr>
            <w:tcW w:w="100" w:type="dxa"/>
            <w:vAlign w:val="bottom"/>
            <w:shd w:val="clear" w:color="auto" w:fill="D0EBF2"/>
          </w:tcPr>
          <w:p>
            <w:pPr>
              <w:spacing w:after="0"/>
              <w:rPr>
                <w:sz w:val="20"/>
                <w:szCs w:val="20"/>
                <w:color w:val="auto"/>
              </w:rPr>
            </w:pPr>
          </w:p>
        </w:tc>
        <w:tc>
          <w:tcPr>
            <w:tcW w:w="20" w:type="dxa"/>
            <w:vAlign w:val="bottom"/>
            <w:shd w:val="clear" w:color="auto" w:fill="D0EBF2"/>
          </w:tcPr>
          <w:p>
            <w:pPr>
              <w:spacing w:after="0"/>
              <w:rPr>
                <w:sz w:val="20"/>
                <w:szCs w:val="20"/>
                <w:color w:val="auto"/>
              </w:rPr>
            </w:pPr>
          </w:p>
        </w:tc>
        <w:tc>
          <w:tcPr>
            <w:tcW w:w="520" w:type="dxa"/>
            <w:vAlign w:val="bottom"/>
            <w:shd w:val="clear" w:color="auto" w:fill="D0EBF2"/>
          </w:tcPr>
          <w:p>
            <w:pPr>
              <w:spacing w:after="0"/>
              <w:rPr>
                <w:sz w:val="20"/>
                <w:szCs w:val="20"/>
                <w:color w:val="auto"/>
              </w:rPr>
            </w:pPr>
          </w:p>
        </w:tc>
        <w:tc>
          <w:tcPr>
            <w:tcW w:w="820" w:type="dxa"/>
            <w:vAlign w:val="bottom"/>
            <w:shd w:val="clear" w:color="auto" w:fill="D0EBF2"/>
          </w:tcPr>
          <w:p>
            <w:pPr>
              <w:jc w:val="right"/>
              <w:spacing w:after="0"/>
              <w:rPr>
                <w:sz w:val="20"/>
                <w:szCs w:val="20"/>
                <w:color w:val="auto"/>
              </w:rPr>
            </w:pPr>
            <w:r>
              <w:rPr>
                <w:rFonts w:ascii="Times New Roman" w:cs="Times New Roman" w:eastAsia="Times New Roman" w:hAnsi="Times New Roman"/>
                <w:sz w:val="19"/>
                <w:szCs w:val="19"/>
                <w:color w:val="231F20"/>
              </w:rPr>
              <w:t>0.06</w:t>
            </w:r>
          </w:p>
        </w:tc>
        <w:tc>
          <w:tcPr>
            <w:tcW w:w="100" w:type="dxa"/>
            <w:vAlign w:val="bottom"/>
            <w:shd w:val="clear" w:color="auto" w:fill="D0EBF2"/>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560" w:type="dxa"/>
            <w:vAlign w:val="bottom"/>
            <w:shd w:val="clear" w:color="auto" w:fill="FDFDFC"/>
          </w:tcPr>
          <w:p>
            <w:pPr>
              <w:spacing w:after="0"/>
              <w:rPr>
                <w:sz w:val="20"/>
                <w:szCs w:val="20"/>
                <w:color w:val="auto"/>
              </w:rPr>
            </w:pPr>
            <w:r>
              <w:rPr>
                <w:rFonts w:ascii="Times New Roman" w:cs="Times New Roman" w:eastAsia="Times New Roman" w:hAnsi="Times New Roman"/>
                <w:sz w:val="19"/>
                <w:szCs w:val="19"/>
                <w:color w:val="231F20"/>
              </w:rPr>
              <w:t>May 1, 2024</w:t>
            </w:r>
          </w:p>
        </w:tc>
        <w:tc>
          <w:tcPr>
            <w:tcW w:w="100" w:type="dxa"/>
            <w:vAlign w:val="bottom"/>
            <w:shd w:val="clear" w:color="auto" w:fill="FDFDFC"/>
          </w:tcPr>
          <w:p>
            <w:pPr>
              <w:spacing w:after="0"/>
              <w:rPr>
                <w:sz w:val="20"/>
                <w:szCs w:val="20"/>
                <w:color w:val="auto"/>
              </w:rPr>
            </w:pPr>
          </w:p>
        </w:tc>
        <w:tc>
          <w:tcPr>
            <w:tcW w:w="1600" w:type="dxa"/>
            <w:vAlign w:val="bottom"/>
            <w:shd w:val="clear" w:color="auto" w:fill="FDFDFC"/>
          </w:tcPr>
          <w:p>
            <w:pPr>
              <w:jc w:val="center"/>
              <w:ind w:right="48"/>
              <w:spacing w:after="0"/>
              <w:rPr>
                <w:sz w:val="20"/>
                <w:szCs w:val="20"/>
                <w:color w:val="auto"/>
              </w:rPr>
            </w:pPr>
            <w:r>
              <w:rPr>
                <w:rFonts w:ascii="Times New Roman" w:cs="Times New Roman" w:eastAsia="Times New Roman" w:hAnsi="Times New Roman"/>
                <w:sz w:val="19"/>
                <w:szCs w:val="19"/>
                <w:color w:val="231F20"/>
              </w:rPr>
              <w:t>Base</w:t>
            </w:r>
          </w:p>
        </w:tc>
        <w:tc>
          <w:tcPr>
            <w:tcW w:w="20" w:type="dxa"/>
            <w:vAlign w:val="bottom"/>
            <w:shd w:val="clear" w:color="auto" w:fill="FDFDFC"/>
          </w:tcPr>
          <w:p>
            <w:pPr>
              <w:spacing w:after="0"/>
              <w:rPr>
                <w:sz w:val="20"/>
                <w:szCs w:val="20"/>
                <w:color w:val="auto"/>
              </w:rPr>
            </w:pPr>
          </w:p>
        </w:tc>
        <w:tc>
          <w:tcPr>
            <w:tcW w:w="100" w:type="dxa"/>
            <w:vAlign w:val="bottom"/>
            <w:shd w:val="clear" w:color="auto" w:fill="FDFDFC"/>
          </w:tcPr>
          <w:p>
            <w:pPr>
              <w:spacing w:after="0"/>
              <w:rPr>
                <w:sz w:val="20"/>
                <w:szCs w:val="20"/>
                <w:color w:val="auto"/>
              </w:rPr>
            </w:pPr>
          </w:p>
        </w:tc>
        <w:tc>
          <w:tcPr>
            <w:tcW w:w="20" w:type="dxa"/>
            <w:vAlign w:val="bottom"/>
            <w:shd w:val="clear" w:color="auto" w:fill="FDFDFC"/>
          </w:tcPr>
          <w:p>
            <w:pPr>
              <w:spacing w:after="0"/>
              <w:rPr>
                <w:sz w:val="20"/>
                <w:szCs w:val="20"/>
                <w:color w:val="auto"/>
              </w:rPr>
            </w:pPr>
          </w:p>
        </w:tc>
        <w:tc>
          <w:tcPr>
            <w:tcW w:w="2640" w:type="dxa"/>
            <w:vAlign w:val="bottom"/>
            <w:gridSpan w:val="4"/>
            <w:shd w:val="clear" w:color="auto" w:fill="FDFDFC"/>
          </w:tcPr>
          <w:p>
            <w:pPr>
              <w:jc w:val="right"/>
              <w:ind w:right="700"/>
              <w:spacing w:after="0"/>
              <w:rPr>
                <w:sz w:val="20"/>
                <w:szCs w:val="20"/>
                <w:color w:val="auto"/>
              </w:rPr>
            </w:pPr>
            <w:r>
              <w:rPr>
                <w:rFonts w:ascii="Times New Roman" w:cs="Times New Roman" w:eastAsia="Times New Roman" w:hAnsi="Times New Roman"/>
                <w:sz w:val="19"/>
                <w:szCs w:val="19"/>
                <w:color w:val="231F20"/>
              </w:rPr>
              <w:t>June 14, 2024</w:t>
            </w:r>
          </w:p>
        </w:tc>
        <w:tc>
          <w:tcPr>
            <w:tcW w:w="1580" w:type="dxa"/>
            <w:vAlign w:val="bottom"/>
            <w:shd w:val="clear" w:color="auto" w:fill="FDFDFC"/>
          </w:tcPr>
          <w:p>
            <w:pPr>
              <w:jc w:val="right"/>
              <w:spacing w:after="0"/>
              <w:rPr>
                <w:sz w:val="20"/>
                <w:szCs w:val="20"/>
                <w:color w:val="auto"/>
              </w:rPr>
            </w:pPr>
            <w:r>
              <w:rPr>
                <w:rFonts w:ascii="Times New Roman" w:cs="Times New Roman" w:eastAsia="Times New Roman" w:hAnsi="Times New Roman"/>
                <w:sz w:val="19"/>
                <w:szCs w:val="19"/>
                <w:color w:val="231F20"/>
              </w:rPr>
              <w:t>June 28, 2024</w:t>
            </w:r>
          </w:p>
        </w:tc>
        <w:tc>
          <w:tcPr>
            <w:tcW w:w="20" w:type="dxa"/>
            <w:vAlign w:val="bottom"/>
            <w:shd w:val="clear" w:color="auto" w:fill="FDFDFC"/>
          </w:tcPr>
          <w:p>
            <w:pPr>
              <w:spacing w:after="0"/>
              <w:rPr>
                <w:sz w:val="20"/>
                <w:szCs w:val="20"/>
                <w:color w:val="auto"/>
              </w:rPr>
            </w:pPr>
          </w:p>
        </w:tc>
        <w:tc>
          <w:tcPr>
            <w:tcW w:w="100" w:type="dxa"/>
            <w:vAlign w:val="bottom"/>
            <w:shd w:val="clear" w:color="auto" w:fill="FDFDFC"/>
          </w:tcPr>
          <w:p>
            <w:pPr>
              <w:spacing w:after="0"/>
              <w:rPr>
                <w:sz w:val="20"/>
                <w:szCs w:val="20"/>
                <w:color w:val="auto"/>
              </w:rPr>
            </w:pPr>
          </w:p>
        </w:tc>
        <w:tc>
          <w:tcPr>
            <w:tcW w:w="20" w:type="dxa"/>
            <w:vAlign w:val="bottom"/>
            <w:shd w:val="clear" w:color="auto" w:fill="FDFDFC"/>
          </w:tcPr>
          <w:p>
            <w:pPr>
              <w:spacing w:after="0"/>
              <w:rPr>
                <w:sz w:val="20"/>
                <w:szCs w:val="20"/>
                <w:color w:val="auto"/>
              </w:rPr>
            </w:pPr>
          </w:p>
        </w:tc>
        <w:tc>
          <w:tcPr>
            <w:tcW w:w="520" w:type="dxa"/>
            <w:vAlign w:val="bottom"/>
            <w:shd w:val="clear" w:color="auto" w:fill="FDFDFC"/>
          </w:tcPr>
          <w:p>
            <w:pPr>
              <w:spacing w:after="0"/>
              <w:rPr>
                <w:sz w:val="20"/>
                <w:szCs w:val="20"/>
                <w:color w:val="auto"/>
              </w:rPr>
            </w:pPr>
          </w:p>
        </w:tc>
        <w:tc>
          <w:tcPr>
            <w:tcW w:w="820" w:type="dxa"/>
            <w:vAlign w:val="bottom"/>
            <w:shd w:val="clear" w:color="auto" w:fill="FDFDFC"/>
          </w:tcPr>
          <w:p>
            <w:pPr>
              <w:jc w:val="right"/>
              <w:spacing w:after="0"/>
              <w:rPr>
                <w:sz w:val="20"/>
                <w:szCs w:val="20"/>
                <w:color w:val="auto"/>
              </w:rPr>
            </w:pPr>
            <w:r>
              <w:rPr>
                <w:rFonts w:ascii="Times New Roman" w:cs="Times New Roman" w:eastAsia="Times New Roman" w:hAnsi="Times New Roman"/>
                <w:sz w:val="19"/>
                <w:szCs w:val="19"/>
                <w:color w:val="231F20"/>
              </w:rPr>
              <w:t>0.46</w:t>
            </w:r>
          </w:p>
        </w:tc>
        <w:tc>
          <w:tcPr>
            <w:tcW w:w="100" w:type="dxa"/>
            <w:vAlign w:val="bottom"/>
            <w:shd w:val="clear" w:color="auto" w:fill="FDFD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560" w:type="dxa"/>
            <w:vAlign w:val="bottom"/>
            <w:shd w:val="clear" w:color="auto" w:fill="D0EBF2"/>
          </w:tcPr>
          <w:p>
            <w:pPr>
              <w:spacing w:after="0"/>
              <w:rPr>
                <w:sz w:val="20"/>
                <w:szCs w:val="20"/>
                <w:color w:val="auto"/>
              </w:rPr>
            </w:pPr>
            <w:r>
              <w:rPr>
                <w:rFonts w:ascii="Times New Roman" w:cs="Times New Roman" w:eastAsia="Times New Roman" w:hAnsi="Times New Roman"/>
                <w:sz w:val="19"/>
                <w:szCs w:val="19"/>
                <w:color w:val="231F20"/>
              </w:rPr>
              <w:t>July 31, 2024</w:t>
            </w:r>
          </w:p>
        </w:tc>
        <w:tc>
          <w:tcPr>
            <w:tcW w:w="100" w:type="dxa"/>
            <w:vAlign w:val="bottom"/>
            <w:shd w:val="clear" w:color="auto" w:fill="D0EBF2"/>
          </w:tcPr>
          <w:p>
            <w:pPr>
              <w:spacing w:after="0"/>
              <w:rPr>
                <w:sz w:val="20"/>
                <w:szCs w:val="20"/>
                <w:color w:val="auto"/>
              </w:rPr>
            </w:pPr>
          </w:p>
        </w:tc>
        <w:tc>
          <w:tcPr>
            <w:tcW w:w="1600" w:type="dxa"/>
            <w:vAlign w:val="bottom"/>
            <w:shd w:val="clear" w:color="auto" w:fill="D0EBF2"/>
          </w:tcPr>
          <w:p>
            <w:pPr>
              <w:jc w:val="center"/>
              <w:ind w:right="48"/>
              <w:spacing w:after="0"/>
              <w:rPr>
                <w:sz w:val="20"/>
                <w:szCs w:val="20"/>
                <w:color w:val="auto"/>
              </w:rPr>
            </w:pPr>
            <w:r>
              <w:rPr>
                <w:rFonts w:ascii="Times New Roman" w:cs="Times New Roman" w:eastAsia="Times New Roman" w:hAnsi="Times New Roman"/>
                <w:sz w:val="19"/>
                <w:szCs w:val="19"/>
                <w:color w:val="231F20"/>
                <w:w w:val="97"/>
              </w:rPr>
              <w:t>Supplemental</w:t>
            </w:r>
          </w:p>
        </w:tc>
        <w:tc>
          <w:tcPr>
            <w:tcW w:w="20" w:type="dxa"/>
            <w:vAlign w:val="bottom"/>
            <w:shd w:val="clear" w:color="auto" w:fill="D0EBF2"/>
          </w:tcPr>
          <w:p>
            <w:pPr>
              <w:spacing w:after="0"/>
              <w:rPr>
                <w:sz w:val="20"/>
                <w:szCs w:val="20"/>
                <w:color w:val="auto"/>
              </w:rPr>
            </w:pPr>
          </w:p>
        </w:tc>
        <w:tc>
          <w:tcPr>
            <w:tcW w:w="100" w:type="dxa"/>
            <w:vAlign w:val="bottom"/>
            <w:shd w:val="clear" w:color="auto" w:fill="D0EBF2"/>
          </w:tcPr>
          <w:p>
            <w:pPr>
              <w:spacing w:after="0"/>
              <w:rPr>
                <w:sz w:val="20"/>
                <w:szCs w:val="20"/>
                <w:color w:val="auto"/>
              </w:rPr>
            </w:pPr>
          </w:p>
        </w:tc>
        <w:tc>
          <w:tcPr>
            <w:tcW w:w="20" w:type="dxa"/>
            <w:vAlign w:val="bottom"/>
            <w:shd w:val="clear" w:color="auto" w:fill="D0EBF2"/>
          </w:tcPr>
          <w:p>
            <w:pPr>
              <w:spacing w:after="0"/>
              <w:rPr>
                <w:sz w:val="20"/>
                <w:szCs w:val="20"/>
                <w:color w:val="auto"/>
              </w:rPr>
            </w:pPr>
          </w:p>
        </w:tc>
        <w:tc>
          <w:tcPr>
            <w:tcW w:w="2640" w:type="dxa"/>
            <w:vAlign w:val="bottom"/>
            <w:gridSpan w:val="4"/>
            <w:shd w:val="clear" w:color="auto" w:fill="D0EBF2"/>
          </w:tcPr>
          <w:p>
            <w:pPr>
              <w:jc w:val="right"/>
              <w:ind w:right="700"/>
              <w:spacing w:after="0"/>
              <w:rPr>
                <w:sz w:val="20"/>
                <w:szCs w:val="20"/>
                <w:color w:val="auto"/>
              </w:rPr>
            </w:pPr>
            <w:r>
              <w:rPr>
                <w:rFonts w:ascii="Times New Roman" w:cs="Times New Roman" w:eastAsia="Times New Roman" w:hAnsi="Times New Roman"/>
                <w:sz w:val="19"/>
                <w:szCs w:val="19"/>
                <w:color w:val="231F20"/>
              </w:rPr>
              <w:t>August 30, 2024</w:t>
            </w:r>
          </w:p>
        </w:tc>
        <w:tc>
          <w:tcPr>
            <w:tcW w:w="1580" w:type="dxa"/>
            <w:vAlign w:val="bottom"/>
            <w:shd w:val="clear" w:color="auto" w:fill="D0EBF2"/>
          </w:tcPr>
          <w:p>
            <w:pPr>
              <w:jc w:val="right"/>
              <w:spacing w:after="0"/>
              <w:rPr>
                <w:sz w:val="20"/>
                <w:szCs w:val="20"/>
                <w:color w:val="auto"/>
              </w:rPr>
            </w:pPr>
            <w:r>
              <w:rPr>
                <w:rFonts w:ascii="Times New Roman" w:cs="Times New Roman" w:eastAsia="Times New Roman" w:hAnsi="Times New Roman"/>
                <w:sz w:val="19"/>
                <w:szCs w:val="19"/>
                <w:color w:val="231F20"/>
                <w:w w:val="99"/>
              </w:rPr>
              <w:t>September 20, 2024</w:t>
            </w:r>
          </w:p>
        </w:tc>
        <w:tc>
          <w:tcPr>
            <w:tcW w:w="20" w:type="dxa"/>
            <w:vAlign w:val="bottom"/>
            <w:shd w:val="clear" w:color="auto" w:fill="D0EBF2"/>
          </w:tcPr>
          <w:p>
            <w:pPr>
              <w:spacing w:after="0"/>
              <w:rPr>
                <w:sz w:val="20"/>
                <w:szCs w:val="20"/>
                <w:color w:val="auto"/>
              </w:rPr>
            </w:pPr>
          </w:p>
        </w:tc>
        <w:tc>
          <w:tcPr>
            <w:tcW w:w="100" w:type="dxa"/>
            <w:vAlign w:val="bottom"/>
            <w:shd w:val="clear" w:color="auto" w:fill="D0EBF2"/>
          </w:tcPr>
          <w:p>
            <w:pPr>
              <w:spacing w:after="0"/>
              <w:rPr>
                <w:sz w:val="20"/>
                <w:szCs w:val="20"/>
                <w:color w:val="auto"/>
              </w:rPr>
            </w:pPr>
          </w:p>
        </w:tc>
        <w:tc>
          <w:tcPr>
            <w:tcW w:w="20" w:type="dxa"/>
            <w:vAlign w:val="bottom"/>
            <w:shd w:val="clear" w:color="auto" w:fill="D0EBF2"/>
          </w:tcPr>
          <w:p>
            <w:pPr>
              <w:spacing w:after="0"/>
              <w:rPr>
                <w:sz w:val="20"/>
                <w:szCs w:val="20"/>
                <w:color w:val="auto"/>
              </w:rPr>
            </w:pPr>
          </w:p>
        </w:tc>
        <w:tc>
          <w:tcPr>
            <w:tcW w:w="520" w:type="dxa"/>
            <w:vAlign w:val="bottom"/>
            <w:shd w:val="clear" w:color="auto" w:fill="D0EBF2"/>
          </w:tcPr>
          <w:p>
            <w:pPr>
              <w:spacing w:after="0"/>
              <w:rPr>
                <w:sz w:val="20"/>
                <w:szCs w:val="20"/>
                <w:color w:val="auto"/>
              </w:rPr>
            </w:pPr>
          </w:p>
        </w:tc>
        <w:tc>
          <w:tcPr>
            <w:tcW w:w="820" w:type="dxa"/>
            <w:vAlign w:val="bottom"/>
            <w:shd w:val="clear" w:color="auto" w:fill="D0EBF2"/>
          </w:tcPr>
          <w:p>
            <w:pPr>
              <w:jc w:val="right"/>
              <w:spacing w:after="0"/>
              <w:rPr>
                <w:sz w:val="20"/>
                <w:szCs w:val="20"/>
                <w:color w:val="auto"/>
              </w:rPr>
            </w:pPr>
            <w:r>
              <w:rPr>
                <w:rFonts w:ascii="Times New Roman" w:cs="Times New Roman" w:eastAsia="Times New Roman" w:hAnsi="Times New Roman"/>
                <w:sz w:val="19"/>
                <w:szCs w:val="19"/>
                <w:color w:val="231F20"/>
              </w:rPr>
              <w:t>0.06</w:t>
            </w:r>
          </w:p>
        </w:tc>
        <w:tc>
          <w:tcPr>
            <w:tcW w:w="100" w:type="dxa"/>
            <w:vAlign w:val="bottom"/>
            <w:shd w:val="clear" w:color="auto" w:fill="D0EBF2"/>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560" w:type="dxa"/>
            <w:vAlign w:val="bottom"/>
            <w:shd w:val="clear" w:color="auto" w:fill="FDFDFC"/>
          </w:tcPr>
          <w:p>
            <w:pPr>
              <w:spacing w:after="0"/>
              <w:rPr>
                <w:sz w:val="20"/>
                <w:szCs w:val="20"/>
                <w:color w:val="auto"/>
              </w:rPr>
            </w:pPr>
            <w:r>
              <w:rPr>
                <w:rFonts w:ascii="Times New Roman" w:cs="Times New Roman" w:eastAsia="Times New Roman" w:hAnsi="Times New Roman"/>
                <w:sz w:val="19"/>
                <w:szCs w:val="19"/>
                <w:color w:val="231F20"/>
              </w:rPr>
              <w:t>July 31, 2024</w:t>
            </w:r>
          </w:p>
        </w:tc>
        <w:tc>
          <w:tcPr>
            <w:tcW w:w="100" w:type="dxa"/>
            <w:vAlign w:val="bottom"/>
            <w:shd w:val="clear" w:color="auto" w:fill="FDFDFC"/>
          </w:tcPr>
          <w:p>
            <w:pPr>
              <w:spacing w:after="0"/>
              <w:rPr>
                <w:sz w:val="20"/>
                <w:szCs w:val="20"/>
                <w:color w:val="auto"/>
              </w:rPr>
            </w:pPr>
          </w:p>
        </w:tc>
        <w:tc>
          <w:tcPr>
            <w:tcW w:w="1600" w:type="dxa"/>
            <w:vAlign w:val="bottom"/>
            <w:shd w:val="clear" w:color="auto" w:fill="FDFDFC"/>
          </w:tcPr>
          <w:p>
            <w:pPr>
              <w:jc w:val="center"/>
              <w:ind w:right="48"/>
              <w:spacing w:after="0"/>
              <w:rPr>
                <w:sz w:val="20"/>
                <w:szCs w:val="20"/>
                <w:color w:val="auto"/>
              </w:rPr>
            </w:pPr>
            <w:r>
              <w:rPr>
                <w:rFonts w:ascii="Times New Roman" w:cs="Times New Roman" w:eastAsia="Times New Roman" w:hAnsi="Times New Roman"/>
                <w:sz w:val="19"/>
                <w:szCs w:val="19"/>
                <w:color w:val="231F20"/>
              </w:rPr>
              <w:t>Base</w:t>
            </w:r>
          </w:p>
        </w:tc>
        <w:tc>
          <w:tcPr>
            <w:tcW w:w="20" w:type="dxa"/>
            <w:vAlign w:val="bottom"/>
            <w:shd w:val="clear" w:color="auto" w:fill="FDFDFC"/>
          </w:tcPr>
          <w:p>
            <w:pPr>
              <w:spacing w:after="0"/>
              <w:rPr>
                <w:sz w:val="20"/>
                <w:szCs w:val="20"/>
                <w:color w:val="auto"/>
              </w:rPr>
            </w:pPr>
          </w:p>
        </w:tc>
        <w:tc>
          <w:tcPr>
            <w:tcW w:w="100" w:type="dxa"/>
            <w:vAlign w:val="bottom"/>
            <w:shd w:val="clear" w:color="auto" w:fill="FDFDFC"/>
          </w:tcPr>
          <w:p>
            <w:pPr>
              <w:spacing w:after="0"/>
              <w:rPr>
                <w:sz w:val="20"/>
                <w:szCs w:val="20"/>
                <w:color w:val="auto"/>
              </w:rPr>
            </w:pPr>
          </w:p>
        </w:tc>
        <w:tc>
          <w:tcPr>
            <w:tcW w:w="20" w:type="dxa"/>
            <w:vAlign w:val="bottom"/>
            <w:shd w:val="clear" w:color="auto" w:fill="FDFDFC"/>
          </w:tcPr>
          <w:p>
            <w:pPr>
              <w:spacing w:after="0"/>
              <w:rPr>
                <w:sz w:val="20"/>
                <w:szCs w:val="20"/>
                <w:color w:val="auto"/>
              </w:rPr>
            </w:pPr>
          </w:p>
        </w:tc>
        <w:tc>
          <w:tcPr>
            <w:tcW w:w="2640" w:type="dxa"/>
            <w:vAlign w:val="bottom"/>
            <w:gridSpan w:val="4"/>
            <w:shd w:val="clear" w:color="auto" w:fill="FDFDFC"/>
          </w:tcPr>
          <w:p>
            <w:pPr>
              <w:jc w:val="right"/>
              <w:ind w:right="700"/>
              <w:spacing w:after="0"/>
              <w:rPr>
                <w:sz w:val="20"/>
                <w:szCs w:val="20"/>
                <w:color w:val="auto"/>
              </w:rPr>
            </w:pPr>
            <w:r>
              <w:rPr>
                <w:rFonts w:ascii="Times New Roman" w:cs="Times New Roman" w:eastAsia="Times New Roman" w:hAnsi="Times New Roman"/>
                <w:sz w:val="19"/>
                <w:szCs w:val="19"/>
                <w:color w:val="231F20"/>
              </w:rPr>
              <w:t>September 16, 2024</w:t>
            </w:r>
          </w:p>
        </w:tc>
        <w:tc>
          <w:tcPr>
            <w:tcW w:w="1580" w:type="dxa"/>
            <w:vAlign w:val="bottom"/>
            <w:shd w:val="clear" w:color="auto" w:fill="FDFDFC"/>
          </w:tcPr>
          <w:p>
            <w:pPr>
              <w:jc w:val="right"/>
              <w:spacing w:after="0"/>
              <w:rPr>
                <w:sz w:val="20"/>
                <w:szCs w:val="20"/>
                <w:color w:val="auto"/>
              </w:rPr>
            </w:pPr>
            <w:r>
              <w:rPr>
                <w:rFonts w:ascii="Times New Roman" w:cs="Times New Roman" w:eastAsia="Times New Roman" w:hAnsi="Times New Roman"/>
                <w:sz w:val="19"/>
                <w:szCs w:val="19"/>
                <w:color w:val="231F20"/>
                <w:w w:val="99"/>
              </w:rPr>
              <w:t>September 30, 2024</w:t>
            </w:r>
          </w:p>
        </w:tc>
        <w:tc>
          <w:tcPr>
            <w:tcW w:w="20" w:type="dxa"/>
            <w:vAlign w:val="bottom"/>
            <w:shd w:val="clear" w:color="auto" w:fill="FDFDFC"/>
          </w:tcPr>
          <w:p>
            <w:pPr>
              <w:spacing w:after="0"/>
              <w:rPr>
                <w:sz w:val="20"/>
                <w:szCs w:val="20"/>
                <w:color w:val="auto"/>
              </w:rPr>
            </w:pPr>
          </w:p>
        </w:tc>
        <w:tc>
          <w:tcPr>
            <w:tcW w:w="100" w:type="dxa"/>
            <w:vAlign w:val="bottom"/>
            <w:shd w:val="clear" w:color="auto" w:fill="FDFDFC"/>
          </w:tcPr>
          <w:p>
            <w:pPr>
              <w:spacing w:after="0"/>
              <w:rPr>
                <w:sz w:val="20"/>
                <w:szCs w:val="20"/>
                <w:color w:val="auto"/>
              </w:rPr>
            </w:pPr>
          </w:p>
        </w:tc>
        <w:tc>
          <w:tcPr>
            <w:tcW w:w="20" w:type="dxa"/>
            <w:vAlign w:val="bottom"/>
            <w:shd w:val="clear" w:color="auto" w:fill="FDFDFC"/>
          </w:tcPr>
          <w:p>
            <w:pPr>
              <w:spacing w:after="0"/>
              <w:rPr>
                <w:sz w:val="20"/>
                <w:szCs w:val="20"/>
                <w:color w:val="auto"/>
              </w:rPr>
            </w:pPr>
          </w:p>
        </w:tc>
        <w:tc>
          <w:tcPr>
            <w:tcW w:w="520" w:type="dxa"/>
            <w:vAlign w:val="bottom"/>
            <w:shd w:val="clear" w:color="auto" w:fill="FDFDFC"/>
          </w:tcPr>
          <w:p>
            <w:pPr>
              <w:spacing w:after="0"/>
              <w:rPr>
                <w:sz w:val="20"/>
                <w:szCs w:val="20"/>
                <w:color w:val="auto"/>
              </w:rPr>
            </w:pPr>
          </w:p>
        </w:tc>
        <w:tc>
          <w:tcPr>
            <w:tcW w:w="820" w:type="dxa"/>
            <w:vAlign w:val="bottom"/>
            <w:shd w:val="clear" w:color="auto" w:fill="FDFDFC"/>
          </w:tcPr>
          <w:p>
            <w:pPr>
              <w:jc w:val="right"/>
              <w:spacing w:after="0"/>
              <w:rPr>
                <w:sz w:val="20"/>
                <w:szCs w:val="20"/>
                <w:color w:val="auto"/>
              </w:rPr>
            </w:pPr>
            <w:r>
              <w:rPr>
                <w:rFonts w:ascii="Times New Roman" w:cs="Times New Roman" w:eastAsia="Times New Roman" w:hAnsi="Times New Roman"/>
                <w:sz w:val="19"/>
                <w:szCs w:val="19"/>
                <w:color w:val="231F20"/>
              </w:rPr>
              <w:t>0.46</w:t>
            </w:r>
          </w:p>
        </w:tc>
        <w:tc>
          <w:tcPr>
            <w:tcW w:w="100" w:type="dxa"/>
            <w:vAlign w:val="bottom"/>
            <w:shd w:val="clear" w:color="auto" w:fill="FDFD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560" w:type="dxa"/>
            <w:vAlign w:val="bottom"/>
            <w:shd w:val="clear" w:color="auto" w:fill="D0EBF2"/>
          </w:tcPr>
          <w:p>
            <w:pPr>
              <w:spacing w:after="0"/>
              <w:rPr>
                <w:sz w:val="20"/>
                <w:szCs w:val="20"/>
                <w:color w:val="auto"/>
              </w:rPr>
            </w:pPr>
            <w:r>
              <w:rPr>
                <w:rFonts w:ascii="Times New Roman" w:cs="Times New Roman" w:eastAsia="Times New Roman" w:hAnsi="Times New Roman"/>
                <w:sz w:val="19"/>
                <w:szCs w:val="19"/>
                <w:color w:val="231F20"/>
              </w:rPr>
              <w:t>November 5, 2024</w:t>
            </w:r>
          </w:p>
        </w:tc>
        <w:tc>
          <w:tcPr>
            <w:tcW w:w="100" w:type="dxa"/>
            <w:vAlign w:val="bottom"/>
            <w:shd w:val="clear" w:color="auto" w:fill="D0EBF2"/>
          </w:tcPr>
          <w:p>
            <w:pPr>
              <w:spacing w:after="0"/>
              <w:rPr>
                <w:sz w:val="20"/>
                <w:szCs w:val="20"/>
                <w:color w:val="auto"/>
              </w:rPr>
            </w:pPr>
          </w:p>
        </w:tc>
        <w:tc>
          <w:tcPr>
            <w:tcW w:w="1600" w:type="dxa"/>
            <w:vAlign w:val="bottom"/>
            <w:shd w:val="clear" w:color="auto" w:fill="D0EBF2"/>
          </w:tcPr>
          <w:p>
            <w:pPr>
              <w:jc w:val="center"/>
              <w:ind w:right="48"/>
              <w:spacing w:after="0"/>
              <w:rPr>
                <w:sz w:val="20"/>
                <w:szCs w:val="20"/>
                <w:color w:val="auto"/>
              </w:rPr>
            </w:pPr>
            <w:r>
              <w:rPr>
                <w:rFonts w:ascii="Times New Roman" w:cs="Times New Roman" w:eastAsia="Times New Roman" w:hAnsi="Times New Roman"/>
                <w:sz w:val="19"/>
                <w:szCs w:val="19"/>
                <w:color w:val="231F20"/>
                <w:w w:val="97"/>
              </w:rPr>
              <w:t>Supplemental</w:t>
            </w:r>
          </w:p>
        </w:tc>
        <w:tc>
          <w:tcPr>
            <w:tcW w:w="20" w:type="dxa"/>
            <w:vAlign w:val="bottom"/>
            <w:shd w:val="clear" w:color="auto" w:fill="D0EBF2"/>
          </w:tcPr>
          <w:p>
            <w:pPr>
              <w:spacing w:after="0"/>
              <w:rPr>
                <w:sz w:val="20"/>
                <w:szCs w:val="20"/>
                <w:color w:val="auto"/>
              </w:rPr>
            </w:pPr>
          </w:p>
        </w:tc>
        <w:tc>
          <w:tcPr>
            <w:tcW w:w="100" w:type="dxa"/>
            <w:vAlign w:val="bottom"/>
            <w:shd w:val="clear" w:color="auto" w:fill="D0EBF2"/>
          </w:tcPr>
          <w:p>
            <w:pPr>
              <w:spacing w:after="0"/>
              <w:rPr>
                <w:sz w:val="20"/>
                <w:szCs w:val="20"/>
                <w:color w:val="auto"/>
              </w:rPr>
            </w:pPr>
          </w:p>
        </w:tc>
        <w:tc>
          <w:tcPr>
            <w:tcW w:w="20" w:type="dxa"/>
            <w:vAlign w:val="bottom"/>
            <w:shd w:val="clear" w:color="auto" w:fill="D0EBF2"/>
          </w:tcPr>
          <w:p>
            <w:pPr>
              <w:spacing w:after="0"/>
              <w:rPr>
                <w:sz w:val="20"/>
                <w:szCs w:val="20"/>
                <w:color w:val="auto"/>
              </w:rPr>
            </w:pPr>
          </w:p>
        </w:tc>
        <w:tc>
          <w:tcPr>
            <w:tcW w:w="2640" w:type="dxa"/>
            <w:vAlign w:val="bottom"/>
            <w:gridSpan w:val="4"/>
            <w:shd w:val="clear" w:color="auto" w:fill="D0EBF2"/>
          </w:tcPr>
          <w:p>
            <w:pPr>
              <w:jc w:val="right"/>
              <w:ind w:right="700"/>
              <w:spacing w:after="0"/>
              <w:rPr>
                <w:sz w:val="20"/>
                <w:szCs w:val="20"/>
                <w:color w:val="auto"/>
              </w:rPr>
            </w:pPr>
            <w:r>
              <w:rPr>
                <w:rFonts w:ascii="Times New Roman" w:cs="Times New Roman" w:eastAsia="Times New Roman" w:hAnsi="Times New Roman"/>
                <w:sz w:val="19"/>
                <w:szCs w:val="19"/>
                <w:color w:val="231F20"/>
              </w:rPr>
              <w:t>November 29, 2024</w:t>
            </w:r>
          </w:p>
        </w:tc>
        <w:tc>
          <w:tcPr>
            <w:tcW w:w="1580" w:type="dxa"/>
            <w:vAlign w:val="bottom"/>
            <w:shd w:val="clear" w:color="auto" w:fill="D0EBF2"/>
          </w:tcPr>
          <w:p>
            <w:pPr>
              <w:jc w:val="right"/>
              <w:spacing w:after="0"/>
              <w:rPr>
                <w:sz w:val="20"/>
                <w:szCs w:val="20"/>
                <w:color w:val="auto"/>
              </w:rPr>
            </w:pPr>
            <w:r>
              <w:rPr>
                <w:rFonts w:ascii="Times New Roman" w:cs="Times New Roman" w:eastAsia="Times New Roman" w:hAnsi="Times New Roman"/>
                <w:sz w:val="19"/>
                <w:szCs w:val="19"/>
                <w:color w:val="231F20"/>
              </w:rPr>
              <w:t>December 20, 2024</w:t>
            </w:r>
          </w:p>
        </w:tc>
        <w:tc>
          <w:tcPr>
            <w:tcW w:w="20" w:type="dxa"/>
            <w:vAlign w:val="bottom"/>
            <w:shd w:val="clear" w:color="auto" w:fill="D0EBF2"/>
          </w:tcPr>
          <w:p>
            <w:pPr>
              <w:spacing w:after="0"/>
              <w:rPr>
                <w:sz w:val="20"/>
                <w:szCs w:val="20"/>
                <w:color w:val="auto"/>
              </w:rPr>
            </w:pPr>
          </w:p>
        </w:tc>
        <w:tc>
          <w:tcPr>
            <w:tcW w:w="100" w:type="dxa"/>
            <w:vAlign w:val="bottom"/>
            <w:shd w:val="clear" w:color="auto" w:fill="D0EBF2"/>
          </w:tcPr>
          <w:p>
            <w:pPr>
              <w:spacing w:after="0"/>
              <w:rPr>
                <w:sz w:val="20"/>
                <w:szCs w:val="20"/>
                <w:color w:val="auto"/>
              </w:rPr>
            </w:pPr>
          </w:p>
        </w:tc>
        <w:tc>
          <w:tcPr>
            <w:tcW w:w="20" w:type="dxa"/>
            <w:vAlign w:val="bottom"/>
            <w:shd w:val="clear" w:color="auto" w:fill="D0EBF2"/>
          </w:tcPr>
          <w:p>
            <w:pPr>
              <w:spacing w:after="0"/>
              <w:rPr>
                <w:sz w:val="20"/>
                <w:szCs w:val="20"/>
                <w:color w:val="auto"/>
              </w:rPr>
            </w:pPr>
          </w:p>
        </w:tc>
        <w:tc>
          <w:tcPr>
            <w:tcW w:w="520" w:type="dxa"/>
            <w:vAlign w:val="bottom"/>
            <w:shd w:val="clear" w:color="auto" w:fill="D0EBF2"/>
          </w:tcPr>
          <w:p>
            <w:pPr>
              <w:spacing w:after="0"/>
              <w:rPr>
                <w:sz w:val="20"/>
                <w:szCs w:val="20"/>
                <w:color w:val="auto"/>
              </w:rPr>
            </w:pPr>
          </w:p>
        </w:tc>
        <w:tc>
          <w:tcPr>
            <w:tcW w:w="820" w:type="dxa"/>
            <w:vAlign w:val="bottom"/>
            <w:shd w:val="clear" w:color="auto" w:fill="D0EBF2"/>
          </w:tcPr>
          <w:p>
            <w:pPr>
              <w:jc w:val="right"/>
              <w:spacing w:after="0"/>
              <w:rPr>
                <w:sz w:val="20"/>
                <w:szCs w:val="20"/>
                <w:color w:val="auto"/>
              </w:rPr>
            </w:pPr>
            <w:r>
              <w:rPr>
                <w:rFonts w:ascii="Times New Roman" w:cs="Times New Roman" w:eastAsia="Times New Roman" w:hAnsi="Times New Roman"/>
                <w:sz w:val="19"/>
                <w:szCs w:val="19"/>
                <w:color w:val="231F20"/>
              </w:rPr>
              <w:t>0.05</w:t>
            </w:r>
          </w:p>
        </w:tc>
        <w:tc>
          <w:tcPr>
            <w:tcW w:w="100" w:type="dxa"/>
            <w:vAlign w:val="bottom"/>
            <w:shd w:val="clear" w:color="auto" w:fill="D0EBF2"/>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560" w:type="dxa"/>
            <w:vAlign w:val="bottom"/>
            <w:tcBorders>
              <w:bottom w:val="single" w:sz="8" w:color="D0EBF2"/>
            </w:tcBorders>
            <w:shd w:val="clear" w:color="auto" w:fill="FDFDFC"/>
          </w:tcPr>
          <w:p>
            <w:pPr>
              <w:spacing w:after="0"/>
              <w:rPr>
                <w:sz w:val="20"/>
                <w:szCs w:val="20"/>
                <w:color w:val="auto"/>
              </w:rPr>
            </w:pPr>
            <w:r>
              <w:rPr>
                <w:rFonts w:ascii="Times New Roman" w:cs="Times New Roman" w:eastAsia="Times New Roman" w:hAnsi="Times New Roman"/>
                <w:sz w:val="19"/>
                <w:szCs w:val="19"/>
                <w:color w:val="231F20"/>
              </w:rPr>
              <w:t>November 5, 2024</w:t>
            </w:r>
          </w:p>
        </w:tc>
        <w:tc>
          <w:tcPr>
            <w:tcW w:w="100" w:type="dxa"/>
            <w:vAlign w:val="bottom"/>
            <w:tcBorders>
              <w:bottom w:val="single" w:sz="8" w:color="D0EBF2"/>
            </w:tcBorders>
            <w:shd w:val="clear" w:color="auto" w:fill="FDFDFC"/>
          </w:tcPr>
          <w:p>
            <w:pPr>
              <w:spacing w:after="0"/>
              <w:rPr>
                <w:sz w:val="20"/>
                <w:szCs w:val="20"/>
                <w:color w:val="auto"/>
              </w:rPr>
            </w:pPr>
          </w:p>
        </w:tc>
        <w:tc>
          <w:tcPr>
            <w:tcW w:w="1600" w:type="dxa"/>
            <w:vAlign w:val="bottom"/>
            <w:tcBorders>
              <w:bottom w:val="single" w:sz="8" w:color="D0EBF2"/>
            </w:tcBorders>
            <w:shd w:val="clear" w:color="auto" w:fill="FDFDFC"/>
          </w:tcPr>
          <w:p>
            <w:pPr>
              <w:jc w:val="center"/>
              <w:ind w:right="48"/>
              <w:spacing w:after="0"/>
              <w:rPr>
                <w:sz w:val="20"/>
                <w:szCs w:val="20"/>
                <w:color w:val="auto"/>
              </w:rPr>
            </w:pPr>
            <w:r>
              <w:rPr>
                <w:rFonts w:ascii="Times New Roman" w:cs="Times New Roman" w:eastAsia="Times New Roman" w:hAnsi="Times New Roman"/>
                <w:sz w:val="19"/>
                <w:szCs w:val="19"/>
                <w:color w:val="231F20"/>
              </w:rPr>
              <w:t>Base</w:t>
            </w:r>
          </w:p>
        </w:tc>
        <w:tc>
          <w:tcPr>
            <w:tcW w:w="20" w:type="dxa"/>
            <w:vAlign w:val="bottom"/>
            <w:tcBorders>
              <w:bottom w:val="single" w:sz="8" w:color="D0EBF2"/>
            </w:tcBorders>
            <w:shd w:val="clear" w:color="auto" w:fill="FDFDFC"/>
          </w:tcPr>
          <w:p>
            <w:pPr>
              <w:spacing w:after="0"/>
              <w:rPr>
                <w:sz w:val="20"/>
                <w:szCs w:val="20"/>
                <w:color w:val="auto"/>
              </w:rPr>
            </w:pPr>
          </w:p>
        </w:tc>
        <w:tc>
          <w:tcPr>
            <w:tcW w:w="100" w:type="dxa"/>
            <w:vAlign w:val="bottom"/>
            <w:tcBorders>
              <w:bottom w:val="single" w:sz="8" w:color="D0EBF2"/>
            </w:tcBorders>
            <w:shd w:val="clear" w:color="auto" w:fill="FDFDFC"/>
          </w:tcPr>
          <w:p>
            <w:pPr>
              <w:spacing w:after="0"/>
              <w:rPr>
                <w:sz w:val="20"/>
                <w:szCs w:val="20"/>
                <w:color w:val="auto"/>
              </w:rPr>
            </w:pPr>
          </w:p>
        </w:tc>
        <w:tc>
          <w:tcPr>
            <w:tcW w:w="20" w:type="dxa"/>
            <w:vAlign w:val="bottom"/>
            <w:tcBorders>
              <w:bottom w:val="single" w:sz="8" w:color="D0EBF2"/>
            </w:tcBorders>
            <w:shd w:val="clear" w:color="auto" w:fill="FDFDFC"/>
          </w:tcPr>
          <w:p>
            <w:pPr>
              <w:spacing w:after="0"/>
              <w:rPr>
                <w:sz w:val="20"/>
                <w:szCs w:val="20"/>
                <w:color w:val="auto"/>
              </w:rPr>
            </w:pPr>
          </w:p>
        </w:tc>
        <w:tc>
          <w:tcPr>
            <w:tcW w:w="2640" w:type="dxa"/>
            <w:vAlign w:val="bottom"/>
            <w:tcBorders>
              <w:bottom w:val="single" w:sz="8" w:color="D0EBF2"/>
            </w:tcBorders>
            <w:gridSpan w:val="4"/>
            <w:shd w:val="clear" w:color="auto" w:fill="FDFDFC"/>
          </w:tcPr>
          <w:p>
            <w:pPr>
              <w:jc w:val="right"/>
              <w:ind w:right="700"/>
              <w:spacing w:after="0"/>
              <w:rPr>
                <w:sz w:val="20"/>
                <w:szCs w:val="20"/>
                <w:color w:val="auto"/>
              </w:rPr>
            </w:pPr>
            <w:r>
              <w:rPr>
                <w:rFonts w:ascii="Times New Roman" w:cs="Times New Roman" w:eastAsia="Times New Roman" w:hAnsi="Times New Roman"/>
                <w:sz w:val="19"/>
                <w:szCs w:val="19"/>
                <w:color w:val="231F20"/>
              </w:rPr>
              <w:t>December 16, 2024</w:t>
            </w:r>
          </w:p>
        </w:tc>
        <w:tc>
          <w:tcPr>
            <w:tcW w:w="1580" w:type="dxa"/>
            <w:vAlign w:val="bottom"/>
            <w:tcBorders>
              <w:bottom w:val="single" w:sz="8" w:color="D0EBF2"/>
            </w:tcBorders>
            <w:shd w:val="clear" w:color="auto" w:fill="FDFDFC"/>
          </w:tcPr>
          <w:p>
            <w:pPr>
              <w:jc w:val="right"/>
              <w:spacing w:after="0"/>
              <w:rPr>
                <w:sz w:val="20"/>
                <w:szCs w:val="20"/>
                <w:color w:val="auto"/>
              </w:rPr>
            </w:pPr>
            <w:r>
              <w:rPr>
                <w:rFonts w:ascii="Times New Roman" w:cs="Times New Roman" w:eastAsia="Times New Roman" w:hAnsi="Times New Roman"/>
                <w:sz w:val="19"/>
                <w:szCs w:val="19"/>
                <w:color w:val="231F20"/>
              </w:rPr>
              <w:t>December 31, 2024</w:t>
            </w:r>
          </w:p>
        </w:tc>
        <w:tc>
          <w:tcPr>
            <w:tcW w:w="20" w:type="dxa"/>
            <w:vAlign w:val="bottom"/>
            <w:tcBorders>
              <w:bottom w:val="single" w:sz="8" w:color="D0EBF2"/>
            </w:tcBorders>
            <w:shd w:val="clear" w:color="auto" w:fill="FDFDFC"/>
          </w:tcPr>
          <w:p>
            <w:pPr>
              <w:spacing w:after="0"/>
              <w:rPr>
                <w:sz w:val="20"/>
                <w:szCs w:val="20"/>
                <w:color w:val="auto"/>
              </w:rPr>
            </w:pPr>
          </w:p>
        </w:tc>
        <w:tc>
          <w:tcPr>
            <w:tcW w:w="100" w:type="dxa"/>
            <w:vAlign w:val="bottom"/>
            <w:tcBorders>
              <w:bottom w:val="single" w:sz="8" w:color="D0EBF2"/>
            </w:tcBorders>
            <w:shd w:val="clear" w:color="auto" w:fill="FDFDFC"/>
          </w:tcPr>
          <w:p>
            <w:pPr>
              <w:spacing w:after="0"/>
              <w:rPr>
                <w:sz w:val="20"/>
                <w:szCs w:val="20"/>
                <w:color w:val="auto"/>
              </w:rPr>
            </w:pPr>
          </w:p>
        </w:tc>
        <w:tc>
          <w:tcPr>
            <w:tcW w:w="20" w:type="dxa"/>
            <w:vAlign w:val="bottom"/>
            <w:tcBorders>
              <w:bottom w:val="single" w:sz="8" w:color="231F20"/>
            </w:tcBorders>
            <w:shd w:val="clear" w:color="auto" w:fill="FDFDFC"/>
          </w:tcPr>
          <w:p>
            <w:pPr>
              <w:spacing w:after="0"/>
              <w:rPr>
                <w:sz w:val="20"/>
                <w:szCs w:val="20"/>
                <w:color w:val="auto"/>
              </w:rPr>
            </w:pPr>
          </w:p>
        </w:tc>
        <w:tc>
          <w:tcPr>
            <w:tcW w:w="520" w:type="dxa"/>
            <w:vAlign w:val="bottom"/>
            <w:tcBorders>
              <w:bottom w:val="single" w:sz="8" w:color="231F20"/>
            </w:tcBorders>
            <w:shd w:val="clear" w:color="auto" w:fill="FDFDFC"/>
          </w:tcPr>
          <w:p>
            <w:pPr>
              <w:spacing w:after="0"/>
              <w:rPr>
                <w:sz w:val="20"/>
                <w:szCs w:val="20"/>
                <w:color w:val="auto"/>
              </w:rPr>
            </w:pPr>
          </w:p>
        </w:tc>
        <w:tc>
          <w:tcPr>
            <w:tcW w:w="820" w:type="dxa"/>
            <w:vAlign w:val="bottom"/>
            <w:tcBorders>
              <w:bottom w:val="single" w:sz="8" w:color="231F20"/>
            </w:tcBorders>
            <w:shd w:val="clear" w:color="auto" w:fill="FDFDFC"/>
          </w:tcPr>
          <w:p>
            <w:pPr>
              <w:jc w:val="right"/>
              <w:spacing w:after="0"/>
              <w:rPr>
                <w:sz w:val="20"/>
                <w:szCs w:val="20"/>
                <w:color w:val="auto"/>
              </w:rPr>
            </w:pPr>
            <w:r>
              <w:rPr>
                <w:rFonts w:ascii="Times New Roman" w:cs="Times New Roman" w:eastAsia="Times New Roman" w:hAnsi="Times New Roman"/>
                <w:sz w:val="19"/>
                <w:szCs w:val="19"/>
                <w:color w:val="231F20"/>
              </w:rPr>
              <w:t>0.46</w:t>
            </w:r>
          </w:p>
        </w:tc>
        <w:tc>
          <w:tcPr>
            <w:tcW w:w="100" w:type="dxa"/>
            <w:vAlign w:val="bottom"/>
            <w:tcBorders>
              <w:bottom w:val="single" w:sz="8" w:color="D0EBF2"/>
            </w:tcBorders>
            <w:shd w:val="clear" w:color="auto" w:fill="FDFDFC"/>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2560" w:type="dxa"/>
            <w:vAlign w:val="bottom"/>
            <w:shd w:val="clear" w:color="auto" w:fill="D0EBF2"/>
          </w:tcPr>
          <w:p>
            <w:pPr>
              <w:ind w:left="180"/>
              <w:spacing w:after="0"/>
              <w:rPr>
                <w:sz w:val="20"/>
                <w:szCs w:val="20"/>
                <w:color w:val="auto"/>
              </w:rPr>
            </w:pPr>
            <w:r>
              <w:rPr>
                <w:rFonts w:ascii="Times New Roman" w:cs="Times New Roman" w:eastAsia="Times New Roman" w:hAnsi="Times New Roman"/>
                <w:sz w:val="19"/>
                <w:szCs w:val="19"/>
                <w:b w:val="1"/>
                <w:bCs w:val="1"/>
                <w:color w:val="231F20"/>
              </w:rPr>
              <w:t>Total Dividends Declared</w:t>
            </w:r>
          </w:p>
        </w:tc>
        <w:tc>
          <w:tcPr>
            <w:tcW w:w="100" w:type="dxa"/>
            <w:vAlign w:val="bottom"/>
            <w:shd w:val="clear" w:color="auto" w:fill="D0EBF2"/>
          </w:tcPr>
          <w:p>
            <w:pPr>
              <w:spacing w:after="0"/>
              <w:rPr>
                <w:sz w:val="19"/>
                <w:szCs w:val="19"/>
                <w:color w:val="auto"/>
              </w:rPr>
            </w:pPr>
          </w:p>
        </w:tc>
        <w:tc>
          <w:tcPr>
            <w:tcW w:w="1600" w:type="dxa"/>
            <w:vAlign w:val="bottom"/>
            <w:shd w:val="clear" w:color="auto" w:fill="D0EBF2"/>
          </w:tcPr>
          <w:p>
            <w:pPr>
              <w:spacing w:after="0"/>
              <w:rPr>
                <w:sz w:val="19"/>
                <w:szCs w:val="19"/>
                <w:color w:val="auto"/>
              </w:rPr>
            </w:pPr>
          </w:p>
        </w:tc>
        <w:tc>
          <w:tcPr>
            <w:tcW w:w="20" w:type="dxa"/>
            <w:vAlign w:val="bottom"/>
            <w:shd w:val="clear" w:color="auto" w:fill="D0EBF2"/>
          </w:tcPr>
          <w:p>
            <w:pPr>
              <w:spacing w:after="0"/>
              <w:rPr>
                <w:sz w:val="19"/>
                <w:szCs w:val="19"/>
                <w:color w:val="auto"/>
              </w:rPr>
            </w:pPr>
          </w:p>
        </w:tc>
        <w:tc>
          <w:tcPr>
            <w:tcW w:w="100" w:type="dxa"/>
            <w:vAlign w:val="bottom"/>
            <w:shd w:val="clear" w:color="auto" w:fill="D0EBF2"/>
          </w:tcPr>
          <w:p>
            <w:pPr>
              <w:spacing w:after="0"/>
              <w:rPr>
                <w:sz w:val="19"/>
                <w:szCs w:val="19"/>
                <w:color w:val="auto"/>
              </w:rPr>
            </w:pPr>
          </w:p>
        </w:tc>
        <w:tc>
          <w:tcPr>
            <w:tcW w:w="20" w:type="dxa"/>
            <w:vAlign w:val="bottom"/>
            <w:shd w:val="clear" w:color="auto" w:fill="D0EBF2"/>
          </w:tcPr>
          <w:p>
            <w:pPr>
              <w:spacing w:after="0"/>
              <w:rPr>
                <w:sz w:val="19"/>
                <w:szCs w:val="19"/>
                <w:color w:val="auto"/>
              </w:rPr>
            </w:pPr>
          </w:p>
        </w:tc>
        <w:tc>
          <w:tcPr>
            <w:tcW w:w="1960" w:type="dxa"/>
            <w:vAlign w:val="bottom"/>
            <w:shd w:val="clear" w:color="auto" w:fill="D0EBF2"/>
          </w:tcPr>
          <w:p>
            <w:pPr>
              <w:spacing w:after="0"/>
              <w:rPr>
                <w:sz w:val="19"/>
                <w:szCs w:val="19"/>
                <w:color w:val="auto"/>
              </w:rPr>
            </w:pPr>
          </w:p>
        </w:tc>
        <w:tc>
          <w:tcPr>
            <w:tcW w:w="20" w:type="dxa"/>
            <w:vAlign w:val="bottom"/>
            <w:shd w:val="clear" w:color="auto" w:fill="D0EBF2"/>
          </w:tcPr>
          <w:p>
            <w:pPr>
              <w:spacing w:after="0"/>
              <w:rPr>
                <w:sz w:val="19"/>
                <w:szCs w:val="19"/>
                <w:color w:val="auto"/>
              </w:rPr>
            </w:pPr>
          </w:p>
        </w:tc>
        <w:tc>
          <w:tcPr>
            <w:tcW w:w="120" w:type="dxa"/>
            <w:vAlign w:val="bottom"/>
            <w:shd w:val="clear" w:color="auto" w:fill="D0EBF2"/>
          </w:tcPr>
          <w:p>
            <w:pPr>
              <w:spacing w:after="0"/>
              <w:rPr>
                <w:sz w:val="19"/>
                <w:szCs w:val="19"/>
                <w:color w:val="auto"/>
              </w:rPr>
            </w:pPr>
          </w:p>
        </w:tc>
        <w:tc>
          <w:tcPr>
            <w:tcW w:w="540" w:type="dxa"/>
            <w:vAlign w:val="bottom"/>
            <w:shd w:val="clear" w:color="auto" w:fill="D0EBF2"/>
          </w:tcPr>
          <w:p>
            <w:pPr>
              <w:spacing w:after="0"/>
              <w:rPr>
                <w:sz w:val="19"/>
                <w:szCs w:val="19"/>
                <w:color w:val="auto"/>
              </w:rPr>
            </w:pPr>
          </w:p>
        </w:tc>
        <w:tc>
          <w:tcPr>
            <w:tcW w:w="1580" w:type="dxa"/>
            <w:vAlign w:val="bottom"/>
            <w:shd w:val="clear" w:color="auto" w:fill="D0EBF2"/>
          </w:tcPr>
          <w:p>
            <w:pPr>
              <w:spacing w:after="0"/>
              <w:rPr>
                <w:sz w:val="19"/>
                <w:szCs w:val="19"/>
                <w:color w:val="auto"/>
              </w:rPr>
            </w:pPr>
          </w:p>
        </w:tc>
        <w:tc>
          <w:tcPr>
            <w:tcW w:w="20" w:type="dxa"/>
            <w:vAlign w:val="bottom"/>
            <w:shd w:val="clear" w:color="auto" w:fill="D0EBF2"/>
          </w:tcPr>
          <w:p>
            <w:pPr>
              <w:spacing w:after="0"/>
              <w:rPr>
                <w:sz w:val="19"/>
                <w:szCs w:val="19"/>
                <w:color w:val="auto"/>
              </w:rPr>
            </w:pPr>
          </w:p>
        </w:tc>
        <w:tc>
          <w:tcPr>
            <w:tcW w:w="100" w:type="dxa"/>
            <w:vAlign w:val="bottom"/>
            <w:shd w:val="clear" w:color="auto" w:fill="D0EBF2"/>
          </w:tcPr>
          <w:p>
            <w:pPr>
              <w:spacing w:after="0"/>
              <w:rPr>
                <w:sz w:val="19"/>
                <w:szCs w:val="19"/>
                <w:color w:val="auto"/>
              </w:rPr>
            </w:pPr>
          </w:p>
        </w:tc>
        <w:tc>
          <w:tcPr>
            <w:tcW w:w="540" w:type="dxa"/>
            <w:vAlign w:val="bottom"/>
            <w:tcBorders>
              <w:bottom w:val="single" w:sz="8" w:color="231F20"/>
            </w:tcBorders>
            <w:gridSpan w:val="2"/>
            <w:shd w:val="clear" w:color="auto" w:fill="D0EBF2"/>
          </w:tcPr>
          <w:p>
            <w:pPr>
              <w:jc w:val="right"/>
              <w:ind w:right="360"/>
              <w:spacing w:after="0"/>
              <w:rPr>
                <w:sz w:val="20"/>
                <w:szCs w:val="20"/>
                <w:color w:val="auto"/>
              </w:rPr>
            </w:pPr>
            <w:r>
              <w:rPr>
                <w:rFonts w:ascii="Times New Roman" w:cs="Times New Roman" w:eastAsia="Times New Roman" w:hAnsi="Times New Roman"/>
                <w:sz w:val="19"/>
                <w:szCs w:val="19"/>
                <w:color w:val="231F20"/>
                <w:w w:val="83"/>
              </w:rPr>
              <w:t>$</w:t>
            </w:r>
          </w:p>
        </w:tc>
        <w:tc>
          <w:tcPr>
            <w:tcW w:w="820" w:type="dxa"/>
            <w:vAlign w:val="bottom"/>
            <w:tcBorders>
              <w:bottom w:val="single" w:sz="8" w:color="231F20"/>
            </w:tcBorders>
            <w:shd w:val="clear" w:color="auto" w:fill="D0EBF2"/>
          </w:tcPr>
          <w:p>
            <w:pPr>
              <w:jc w:val="right"/>
              <w:spacing w:after="0"/>
              <w:rPr>
                <w:sz w:val="20"/>
                <w:szCs w:val="20"/>
                <w:color w:val="auto"/>
              </w:rPr>
            </w:pPr>
            <w:r>
              <w:rPr>
                <w:rFonts w:ascii="Times New Roman" w:cs="Times New Roman" w:eastAsia="Times New Roman" w:hAnsi="Times New Roman"/>
                <w:sz w:val="19"/>
                <w:szCs w:val="19"/>
                <w:color w:val="231F20"/>
              </w:rPr>
              <w:t>2.09</w:t>
            </w:r>
          </w:p>
        </w:tc>
        <w:tc>
          <w:tcPr>
            <w:tcW w:w="100" w:type="dxa"/>
            <w:vAlign w:val="bottom"/>
            <w:shd w:val="clear" w:color="auto" w:fill="D0EBF2"/>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231F20"/>
            </w:tcBorders>
          </w:tcPr>
          <w:p>
            <w:pPr>
              <w:spacing w:after="0" w:line="20" w:lineRule="exact"/>
              <w:rPr>
                <w:sz w:val="1"/>
                <w:szCs w:val="1"/>
                <w:color w:val="auto"/>
              </w:rPr>
            </w:pPr>
          </w:p>
        </w:tc>
        <w:tc>
          <w:tcPr>
            <w:tcW w:w="520" w:type="dxa"/>
            <w:vAlign w:val="bottom"/>
            <w:tcBorders>
              <w:bottom w:val="single" w:sz="8" w:color="231F20"/>
            </w:tcBorders>
          </w:tcPr>
          <w:p>
            <w:pPr>
              <w:spacing w:after="0" w:line="20" w:lineRule="exact"/>
              <w:rPr>
                <w:sz w:val="1"/>
                <w:szCs w:val="1"/>
                <w:color w:val="auto"/>
              </w:rPr>
            </w:pPr>
          </w:p>
        </w:tc>
        <w:tc>
          <w:tcPr>
            <w:tcW w:w="820" w:type="dxa"/>
            <w:vAlign w:val="bottom"/>
            <w:tcBorders>
              <w:bottom w:val="single" w:sz="8" w:color="231F20"/>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2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9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4"/>
        </w:trPr>
        <w:tc>
          <w:tcPr>
            <w:tcW w:w="2560" w:type="dxa"/>
            <w:vAlign w:val="bottom"/>
            <w:shd w:val="clear" w:color="auto" w:fill="FDFDFC"/>
          </w:tcPr>
          <w:p>
            <w:pPr>
              <w:spacing w:after="0"/>
              <w:rPr>
                <w:sz w:val="15"/>
                <w:szCs w:val="15"/>
                <w:color w:val="auto"/>
              </w:rPr>
            </w:pPr>
          </w:p>
        </w:tc>
        <w:tc>
          <w:tcPr>
            <w:tcW w:w="100" w:type="dxa"/>
            <w:vAlign w:val="bottom"/>
            <w:shd w:val="clear" w:color="auto" w:fill="FDFDFC"/>
          </w:tcPr>
          <w:p>
            <w:pPr>
              <w:spacing w:after="0"/>
              <w:rPr>
                <w:sz w:val="15"/>
                <w:szCs w:val="15"/>
                <w:color w:val="auto"/>
              </w:rPr>
            </w:pPr>
          </w:p>
        </w:tc>
        <w:tc>
          <w:tcPr>
            <w:tcW w:w="1600" w:type="dxa"/>
            <w:vAlign w:val="bottom"/>
            <w:shd w:val="clear" w:color="auto" w:fill="FDFDFC"/>
          </w:tcPr>
          <w:p>
            <w:pPr>
              <w:spacing w:after="0"/>
              <w:rPr>
                <w:sz w:val="15"/>
                <w:szCs w:val="15"/>
                <w:color w:val="auto"/>
              </w:rPr>
            </w:pPr>
          </w:p>
        </w:tc>
        <w:tc>
          <w:tcPr>
            <w:tcW w:w="20" w:type="dxa"/>
            <w:vAlign w:val="bottom"/>
            <w:shd w:val="clear" w:color="auto" w:fill="FDFDFC"/>
          </w:tcPr>
          <w:p>
            <w:pPr>
              <w:spacing w:after="0"/>
              <w:rPr>
                <w:sz w:val="15"/>
                <w:szCs w:val="15"/>
                <w:color w:val="auto"/>
              </w:rPr>
            </w:pPr>
          </w:p>
        </w:tc>
        <w:tc>
          <w:tcPr>
            <w:tcW w:w="100" w:type="dxa"/>
            <w:vAlign w:val="bottom"/>
            <w:shd w:val="clear" w:color="auto" w:fill="FDFDFC"/>
          </w:tcPr>
          <w:p>
            <w:pPr>
              <w:spacing w:after="0"/>
              <w:rPr>
                <w:sz w:val="15"/>
                <w:szCs w:val="15"/>
                <w:color w:val="auto"/>
              </w:rPr>
            </w:pPr>
          </w:p>
        </w:tc>
        <w:tc>
          <w:tcPr>
            <w:tcW w:w="20" w:type="dxa"/>
            <w:vAlign w:val="bottom"/>
            <w:shd w:val="clear" w:color="auto" w:fill="FDFDFC"/>
          </w:tcPr>
          <w:p>
            <w:pPr>
              <w:spacing w:after="0"/>
              <w:rPr>
                <w:sz w:val="15"/>
                <w:szCs w:val="15"/>
                <w:color w:val="auto"/>
              </w:rPr>
            </w:pPr>
          </w:p>
        </w:tc>
        <w:tc>
          <w:tcPr>
            <w:tcW w:w="2640" w:type="dxa"/>
            <w:vAlign w:val="bottom"/>
            <w:gridSpan w:val="4"/>
            <w:shd w:val="clear" w:color="auto" w:fill="FDFDFC"/>
          </w:tcPr>
          <w:p>
            <w:pPr>
              <w:jc w:val="center"/>
              <w:ind w:left="1211"/>
              <w:spacing w:after="0"/>
              <w:rPr>
                <w:sz w:val="20"/>
                <w:szCs w:val="20"/>
                <w:color w:val="auto"/>
              </w:rPr>
            </w:pPr>
            <w:r>
              <w:rPr>
                <w:rFonts w:ascii="Times New Roman" w:cs="Times New Roman" w:eastAsia="Times New Roman" w:hAnsi="Times New Roman"/>
                <w:sz w:val="15"/>
                <w:szCs w:val="15"/>
                <w:b w:val="1"/>
                <w:bCs w:val="1"/>
                <w:color w:val="231F20"/>
              </w:rPr>
              <w:t>For the Year Ended</w:t>
            </w:r>
          </w:p>
        </w:tc>
        <w:tc>
          <w:tcPr>
            <w:tcW w:w="1580" w:type="dxa"/>
            <w:vAlign w:val="bottom"/>
            <w:shd w:val="clear" w:color="auto" w:fill="FDFDFC"/>
          </w:tcPr>
          <w:p>
            <w:pPr>
              <w:spacing w:after="0"/>
              <w:rPr>
                <w:sz w:val="15"/>
                <w:szCs w:val="15"/>
                <w:color w:val="auto"/>
              </w:rPr>
            </w:pPr>
          </w:p>
        </w:tc>
        <w:tc>
          <w:tcPr>
            <w:tcW w:w="20" w:type="dxa"/>
            <w:vAlign w:val="bottom"/>
            <w:shd w:val="clear" w:color="auto" w:fill="FDFDFC"/>
          </w:tcPr>
          <w:p>
            <w:pPr>
              <w:spacing w:after="0"/>
              <w:rPr>
                <w:sz w:val="15"/>
                <w:szCs w:val="15"/>
                <w:color w:val="auto"/>
              </w:rPr>
            </w:pPr>
          </w:p>
        </w:tc>
        <w:tc>
          <w:tcPr>
            <w:tcW w:w="100" w:type="dxa"/>
            <w:vAlign w:val="bottom"/>
            <w:shd w:val="clear" w:color="auto" w:fill="FDFDFC"/>
          </w:tcPr>
          <w:p>
            <w:pPr>
              <w:spacing w:after="0"/>
              <w:rPr>
                <w:sz w:val="15"/>
                <w:szCs w:val="15"/>
                <w:color w:val="auto"/>
              </w:rPr>
            </w:pPr>
          </w:p>
        </w:tc>
        <w:tc>
          <w:tcPr>
            <w:tcW w:w="20" w:type="dxa"/>
            <w:vAlign w:val="bottom"/>
            <w:shd w:val="clear" w:color="auto" w:fill="FDFDFC"/>
          </w:tcPr>
          <w:p>
            <w:pPr>
              <w:spacing w:after="0"/>
              <w:rPr>
                <w:sz w:val="15"/>
                <w:szCs w:val="15"/>
                <w:color w:val="auto"/>
              </w:rPr>
            </w:pPr>
          </w:p>
        </w:tc>
        <w:tc>
          <w:tcPr>
            <w:tcW w:w="520" w:type="dxa"/>
            <w:vAlign w:val="bottom"/>
            <w:shd w:val="clear" w:color="auto" w:fill="FDFDFC"/>
          </w:tcPr>
          <w:p>
            <w:pPr>
              <w:spacing w:after="0"/>
              <w:rPr>
                <w:sz w:val="15"/>
                <w:szCs w:val="15"/>
                <w:color w:val="auto"/>
              </w:rPr>
            </w:pPr>
          </w:p>
        </w:tc>
        <w:tc>
          <w:tcPr>
            <w:tcW w:w="820" w:type="dxa"/>
            <w:vAlign w:val="bottom"/>
            <w:shd w:val="clear" w:color="auto" w:fill="FDFDFC"/>
          </w:tcPr>
          <w:p>
            <w:pPr>
              <w:spacing w:after="0"/>
              <w:rPr>
                <w:sz w:val="15"/>
                <w:szCs w:val="15"/>
                <w:color w:val="auto"/>
              </w:rPr>
            </w:pPr>
          </w:p>
        </w:tc>
        <w:tc>
          <w:tcPr>
            <w:tcW w:w="100" w:type="dxa"/>
            <w:vAlign w:val="bottom"/>
            <w:shd w:val="clear" w:color="auto" w:fill="FDFDFC"/>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2560" w:type="dxa"/>
            <w:vAlign w:val="bottom"/>
            <w:tcBorders>
              <w:bottom w:val="single" w:sz="8" w:color="FDFDFC"/>
            </w:tcBorders>
            <w:vMerge w:val="restart"/>
            <w:shd w:val="clear" w:color="auto" w:fill="FDFDFC"/>
          </w:tcPr>
          <w:p>
            <w:pPr>
              <w:spacing w:after="0"/>
              <w:rPr>
                <w:sz w:val="20"/>
                <w:szCs w:val="20"/>
                <w:color w:val="auto"/>
              </w:rPr>
            </w:pPr>
            <w:r>
              <w:rPr>
                <w:rFonts w:ascii="Times New Roman" w:cs="Times New Roman" w:eastAsia="Times New Roman" w:hAnsi="Times New Roman"/>
                <w:sz w:val="15"/>
                <w:szCs w:val="15"/>
                <w:b w:val="1"/>
                <w:bCs w:val="1"/>
                <w:color w:val="231F20"/>
              </w:rPr>
              <w:t>Date Declared</w:t>
            </w:r>
          </w:p>
        </w:tc>
        <w:tc>
          <w:tcPr>
            <w:tcW w:w="100" w:type="dxa"/>
            <w:vAlign w:val="bottom"/>
            <w:tcBorders>
              <w:bottom w:val="single" w:sz="8" w:color="FDFDFC"/>
            </w:tcBorders>
            <w:shd w:val="clear" w:color="auto" w:fill="FDFDFC"/>
          </w:tcPr>
          <w:p>
            <w:pPr>
              <w:spacing w:after="0"/>
              <w:rPr>
                <w:sz w:val="15"/>
                <w:szCs w:val="15"/>
                <w:color w:val="auto"/>
              </w:rPr>
            </w:pPr>
          </w:p>
        </w:tc>
        <w:tc>
          <w:tcPr>
            <w:tcW w:w="1600" w:type="dxa"/>
            <w:vAlign w:val="bottom"/>
            <w:tcBorders>
              <w:bottom w:val="single" w:sz="8" w:color="231F20"/>
            </w:tcBorders>
            <w:shd w:val="clear" w:color="auto" w:fill="FDFDFC"/>
          </w:tcPr>
          <w:p>
            <w:pPr>
              <w:spacing w:after="0"/>
              <w:rPr>
                <w:sz w:val="15"/>
                <w:szCs w:val="15"/>
                <w:color w:val="auto"/>
              </w:rPr>
            </w:pPr>
          </w:p>
        </w:tc>
        <w:tc>
          <w:tcPr>
            <w:tcW w:w="20" w:type="dxa"/>
            <w:vAlign w:val="bottom"/>
            <w:tcBorders>
              <w:bottom w:val="single" w:sz="8" w:color="231F20"/>
            </w:tcBorders>
            <w:shd w:val="clear" w:color="auto" w:fill="FDFDFC"/>
          </w:tcPr>
          <w:p>
            <w:pPr>
              <w:spacing w:after="0"/>
              <w:rPr>
                <w:sz w:val="15"/>
                <w:szCs w:val="15"/>
                <w:color w:val="auto"/>
              </w:rPr>
            </w:pPr>
          </w:p>
        </w:tc>
        <w:tc>
          <w:tcPr>
            <w:tcW w:w="100" w:type="dxa"/>
            <w:vAlign w:val="bottom"/>
            <w:tcBorders>
              <w:bottom w:val="single" w:sz="8" w:color="231F20"/>
            </w:tcBorders>
            <w:shd w:val="clear" w:color="auto" w:fill="FDFDFC"/>
          </w:tcPr>
          <w:p>
            <w:pPr>
              <w:spacing w:after="0"/>
              <w:rPr>
                <w:sz w:val="15"/>
                <w:szCs w:val="15"/>
                <w:color w:val="auto"/>
              </w:rPr>
            </w:pPr>
          </w:p>
        </w:tc>
        <w:tc>
          <w:tcPr>
            <w:tcW w:w="20" w:type="dxa"/>
            <w:vAlign w:val="bottom"/>
            <w:tcBorders>
              <w:bottom w:val="single" w:sz="8" w:color="231F20"/>
            </w:tcBorders>
            <w:shd w:val="clear" w:color="auto" w:fill="FDFDFC"/>
          </w:tcPr>
          <w:p>
            <w:pPr>
              <w:spacing w:after="0"/>
              <w:rPr>
                <w:sz w:val="15"/>
                <w:szCs w:val="15"/>
                <w:color w:val="auto"/>
              </w:rPr>
            </w:pPr>
          </w:p>
        </w:tc>
        <w:tc>
          <w:tcPr>
            <w:tcW w:w="2640" w:type="dxa"/>
            <w:vAlign w:val="bottom"/>
            <w:tcBorders>
              <w:bottom w:val="single" w:sz="8" w:color="231F20"/>
            </w:tcBorders>
            <w:gridSpan w:val="4"/>
            <w:shd w:val="clear" w:color="auto" w:fill="FDFDFC"/>
          </w:tcPr>
          <w:p>
            <w:pPr>
              <w:jc w:val="center"/>
              <w:ind w:left="1211"/>
              <w:spacing w:after="0"/>
              <w:rPr>
                <w:sz w:val="20"/>
                <w:szCs w:val="20"/>
                <w:color w:val="auto"/>
              </w:rPr>
            </w:pPr>
            <w:r>
              <w:rPr>
                <w:rFonts w:ascii="Times New Roman" w:cs="Times New Roman" w:eastAsia="Times New Roman" w:hAnsi="Times New Roman"/>
                <w:sz w:val="15"/>
                <w:szCs w:val="15"/>
                <w:b w:val="1"/>
                <w:bCs w:val="1"/>
                <w:color w:val="231F20"/>
              </w:rPr>
              <w:t>December 31, 2023</w:t>
            </w:r>
          </w:p>
        </w:tc>
        <w:tc>
          <w:tcPr>
            <w:tcW w:w="1580" w:type="dxa"/>
            <w:vAlign w:val="bottom"/>
            <w:tcBorders>
              <w:bottom w:val="single" w:sz="8" w:color="231F20"/>
            </w:tcBorders>
            <w:shd w:val="clear" w:color="auto" w:fill="FDFDFC"/>
          </w:tcPr>
          <w:p>
            <w:pPr>
              <w:spacing w:after="0"/>
              <w:rPr>
                <w:sz w:val="15"/>
                <w:szCs w:val="15"/>
                <w:color w:val="auto"/>
              </w:rPr>
            </w:pPr>
          </w:p>
        </w:tc>
        <w:tc>
          <w:tcPr>
            <w:tcW w:w="20" w:type="dxa"/>
            <w:vAlign w:val="bottom"/>
            <w:tcBorders>
              <w:bottom w:val="single" w:sz="8" w:color="231F20"/>
            </w:tcBorders>
            <w:shd w:val="clear" w:color="auto" w:fill="FDFDFC"/>
          </w:tcPr>
          <w:p>
            <w:pPr>
              <w:spacing w:after="0"/>
              <w:rPr>
                <w:sz w:val="15"/>
                <w:szCs w:val="15"/>
                <w:color w:val="auto"/>
              </w:rPr>
            </w:pPr>
          </w:p>
        </w:tc>
        <w:tc>
          <w:tcPr>
            <w:tcW w:w="100" w:type="dxa"/>
            <w:vAlign w:val="bottom"/>
            <w:tcBorders>
              <w:bottom w:val="single" w:sz="8" w:color="231F20"/>
            </w:tcBorders>
            <w:shd w:val="clear" w:color="auto" w:fill="FDFDFC"/>
          </w:tcPr>
          <w:p>
            <w:pPr>
              <w:spacing w:after="0"/>
              <w:rPr>
                <w:sz w:val="15"/>
                <w:szCs w:val="15"/>
                <w:color w:val="auto"/>
              </w:rPr>
            </w:pPr>
          </w:p>
        </w:tc>
        <w:tc>
          <w:tcPr>
            <w:tcW w:w="20" w:type="dxa"/>
            <w:vAlign w:val="bottom"/>
            <w:tcBorders>
              <w:bottom w:val="single" w:sz="8" w:color="231F20"/>
            </w:tcBorders>
            <w:shd w:val="clear" w:color="auto" w:fill="FDFDFC"/>
          </w:tcPr>
          <w:p>
            <w:pPr>
              <w:spacing w:after="0"/>
              <w:rPr>
                <w:sz w:val="15"/>
                <w:szCs w:val="15"/>
                <w:color w:val="auto"/>
              </w:rPr>
            </w:pPr>
          </w:p>
        </w:tc>
        <w:tc>
          <w:tcPr>
            <w:tcW w:w="520" w:type="dxa"/>
            <w:vAlign w:val="bottom"/>
            <w:tcBorders>
              <w:bottom w:val="single" w:sz="8" w:color="231F20"/>
            </w:tcBorders>
            <w:shd w:val="clear" w:color="auto" w:fill="FDFDFC"/>
          </w:tcPr>
          <w:p>
            <w:pPr>
              <w:spacing w:after="0"/>
              <w:rPr>
                <w:sz w:val="15"/>
                <w:szCs w:val="15"/>
                <w:color w:val="auto"/>
              </w:rPr>
            </w:pPr>
          </w:p>
        </w:tc>
        <w:tc>
          <w:tcPr>
            <w:tcW w:w="820" w:type="dxa"/>
            <w:vAlign w:val="bottom"/>
            <w:tcBorders>
              <w:bottom w:val="single" w:sz="8" w:color="231F20"/>
            </w:tcBorders>
            <w:shd w:val="clear" w:color="auto" w:fill="FDFDFC"/>
          </w:tcPr>
          <w:p>
            <w:pPr>
              <w:spacing w:after="0"/>
              <w:rPr>
                <w:sz w:val="15"/>
                <w:szCs w:val="15"/>
                <w:color w:val="auto"/>
              </w:rPr>
            </w:pPr>
          </w:p>
        </w:tc>
        <w:tc>
          <w:tcPr>
            <w:tcW w:w="100" w:type="dxa"/>
            <w:vAlign w:val="bottom"/>
            <w:tcBorders>
              <w:bottom w:val="single" w:sz="8" w:color="FDFDFC"/>
            </w:tcBorders>
            <w:shd w:val="clear" w:color="auto" w:fill="FDFDFC"/>
          </w:tcPr>
          <w:p>
            <w:pPr>
              <w:spacing w:after="0"/>
              <w:rPr>
                <w:sz w:val="15"/>
                <w:szCs w:val="15"/>
                <w:color w:val="auto"/>
              </w:rPr>
            </w:pPr>
          </w:p>
        </w:tc>
        <w:tc>
          <w:tcPr>
            <w:tcW w:w="0" w:type="dxa"/>
            <w:vAlign w:val="bottom"/>
          </w:tcPr>
          <w:p>
            <w:pPr>
              <w:spacing w:after="0"/>
              <w:rPr>
                <w:sz w:val="1"/>
                <w:szCs w:val="1"/>
                <w:color w:val="auto"/>
              </w:rPr>
            </w:pPr>
          </w:p>
        </w:tc>
      </w:tr>
      <w:tr>
        <w:trPr>
          <w:trHeight w:val="163"/>
        </w:trPr>
        <w:tc>
          <w:tcPr>
            <w:tcW w:w="2560" w:type="dxa"/>
            <w:vAlign w:val="bottom"/>
            <w:tcBorders>
              <w:bottom w:val="single" w:sz="8" w:color="D0EBF2"/>
            </w:tcBorders>
            <w:vMerge w:val="continue"/>
            <w:shd w:val="clear" w:color="auto" w:fill="FDFDFC"/>
          </w:tcPr>
          <w:p>
            <w:pPr>
              <w:spacing w:after="0"/>
              <w:rPr>
                <w:sz w:val="14"/>
                <w:szCs w:val="14"/>
                <w:color w:val="auto"/>
              </w:rPr>
            </w:pPr>
          </w:p>
        </w:tc>
        <w:tc>
          <w:tcPr>
            <w:tcW w:w="100" w:type="dxa"/>
            <w:vAlign w:val="bottom"/>
            <w:tcBorders>
              <w:bottom w:val="single" w:sz="8" w:color="D0EBF2"/>
            </w:tcBorders>
            <w:shd w:val="clear" w:color="auto" w:fill="FDFDFC"/>
          </w:tcPr>
          <w:p>
            <w:pPr>
              <w:spacing w:after="0"/>
              <w:rPr>
                <w:sz w:val="14"/>
                <w:szCs w:val="14"/>
                <w:color w:val="auto"/>
              </w:rPr>
            </w:pPr>
          </w:p>
        </w:tc>
        <w:tc>
          <w:tcPr>
            <w:tcW w:w="1600" w:type="dxa"/>
            <w:vAlign w:val="bottom"/>
            <w:tcBorders>
              <w:bottom w:val="single" w:sz="8" w:color="231F20"/>
            </w:tcBorders>
            <w:shd w:val="clear" w:color="auto" w:fill="FDFDFC"/>
          </w:tcPr>
          <w:p>
            <w:pPr>
              <w:jc w:val="center"/>
              <w:spacing w:after="0" w:line="164" w:lineRule="exact"/>
              <w:rPr>
                <w:sz w:val="20"/>
                <w:szCs w:val="20"/>
                <w:color w:val="auto"/>
              </w:rPr>
            </w:pPr>
            <w:r>
              <w:rPr>
                <w:rFonts w:ascii="Times New Roman" w:cs="Times New Roman" w:eastAsia="Times New Roman" w:hAnsi="Times New Roman"/>
                <w:sz w:val="15"/>
                <w:szCs w:val="15"/>
                <w:b w:val="1"/>
                <w:bCs w:val="1"/>
                <w:color w:val="231F20"/>
                <w:w w:val="99"/>
              </w:rPr>
              <w:t>Dividend</w:t>
            </w:r>
          </w:p>
        </w:tc>
        <w:tc>
          <w:tcPr>
            <w:tcW w:w="20" w:type="dxa"/>
            <w:vAlign w:val="bottom"/>
            <w:tcBorders>
              <w:bottom w:val="single" w:sz="8" w:color="231F20"/>
            </w:tcBorders>
            <w:shd w:val="clear" w:color="auto" w:fill="FDFDFC"/>
          </w:tcPr>
          <w:p>
            <w:pPr>
              <w:spacing w:after="0"/>
              <w:rPr>
                <w:sz w:val="14"/>
                <w:szCs w:val="14"/>
                <w:color w:val="auto"/>
              </w:rPr>
            </w:pPr>
          </w:p>
        </w:tc>
        <w:tc>
          <w:tcPr>
            <w:tcW w:w="100" w:type="dxa"/>
            <w:vAlign w:val="bottom"/>
            <w:tcBorders>
              <w:bottom w:val="single" w:sz="8" w:color="D0EBF2"/>
            </w:tcBorders>
            <w:shd w:val="clear" w:color="auto" w:fill="FDFDFC"/>
          </w:tcPr>
          <w:p>
            <w:pPr>
              <w:spacing w:after="0"/>
              <w:rPr>
                <w:sz w:val="14"/>
                <w:szCs w:val="14"/>
                <w:color w:val="auto"/>
              </w:rPr>
            </w:pPr>
          </w:p>
        </w:tc>
        <w:tc>
          <w:tcPr>
            <w:tcW w:w="20" w:type="dxa"/>
            <w:vAlign w:val="bottom"/>
            <w:tcBorders>
              <w:bottom w:val="single" w:sz="8" w:color="D0EBF2"/>
            </w:tcBorders>
            <w:shd w:val="clear" w:color="auto" w:fill="FDFDFC"/>
          </w:tcPr>
          <w:p>
            <w:pPr>
              <w:spacing w:after="0"/>
              <w:rPr>
                <w:sz w:val="14"/>
                <w:szCs w:val="14"/>
                <w:color w:val="auto"/>
              </w:rPr>
            </w:pPr>
          </w:p>
        </w:tc>
        <w:tc>
          <w:tcPr>
            <w:tcW w:w="1960" w:type="dxa"/>
            <w:vAlign w:val="bottom"/>
            <w:tcBorders>
              <w:bottom w:val="single" w:sz="8" w:color="231F20"/>
            </w:tcBorders>
            <w:shd w:val="clear" w:color="auto" w:fill="FDFDFC"/>
          </w:tcPr>
          <w:p>
            <w:pPr>
              <w:jc w:val="right"/>
              <w:ind w:right="491"/>
              <w:spacing w:after="0" w:line="164" w:lineRule="exact"/>
              <w:rPr>
                <w:sz w:val="20"/>
                <w:szCs w:val="20"/>
                <w:color w:val="auto"/>
              </w:rPr>
            </w:pPr>
            <w:r>
              <w:rPr>
                <w:rFonts w:ascii="Times New Roman" w:cs="Times New Roman" w:eastAsia="Times New Roman" w:hAnsi="Times New Roman"/>
                <w:sz w:val="15"/>
                <w:szCs w:val="15"/>
                <w:b w:val="1"/>
                <w:bCs w:val="1"/>
                <w:color w:val="231F20"/>
              </w:rPr>
              <w:t>Record Date</w:t>
            </w:r>
          </w:p>
        </w:tc>
        <w:tc>
          <w:tcPr>
            <w:tcW w:w="20" w:type="dxa"/>
            <w:vAlign w:val="bottom"/>
            <w:tcBorders>
              <w:bottom w:val="single" w:sz="8" w:color="231F20"/>
            </w:tcBorders>
            <w:shd w:val="clear" w:color="auto" w:fill="FDFDFC"/>
          </w:tcPr>
          <w:p>
            <w:pPr>
              <w:spacing w:after="0"/>
              <w:rPr>
                <w:sz w:val="14"/>
                <w:szCs w:val="14"/>
                <w:color w:val="auto"/>
              </w:rPr>
            </w:pPr>
          </w:p>
        </w:tc>
        <w:tc>
          <w:tcPr>
            <w:tcW w:w="120" w:type="dxa"/>
            <w:vAlign w:val="bottom"/>
            <w:tcBorders>
              <w:bottom w:val="single" w:sz="8" w:color="D0EBF2"/>
            </w:tcBorders>
            <w:shd w:val="clear" w:color="auto" w:fill="FDFDFC"/>
          </w:tcPr>
          <w:p>
            <w:pPr>
              <w:spacing w:after="0"/>
              <w:rPr>
                <w:sz w:val="14"/>
                <w:szCs w:val="14"/>
                <w:color w:val="auto"/>
              </w:rPr>
            </w:pPr>
          </w:p>
        </w:tc>
        <w:tc>
          <w:tcPr>
            <w:tcW w:w="540" w:type="dxa"/>
            <w:vAlign w:val="bottom"/>
            <w:tcBorders>
              <w:bottom w:val="single" w:sz="8" w:color="231F20"/>
            </w:tcBorders>
            <w:shd w:val="clear" w:color="auto" w:fill="FDFDFC"/>
          </w:tcPr>
          <w:p>
            <w:pPr>
              <w:spacing w:after="0"/>
              <w:rPr>
                <w:sz w:val="14"/>
                <w:szCs w:val="14"/>
                <w:color w:val="auto"/>
              </w:rPr>
            </w:pPr>
          </w:p>
        </w:tc>
        <w:tc>
          <w:tcPr>
            <w:tcW w:w="1580" w:type="dxa"/>
            <w:vAlign w:val="bottom"/>
            <w:tcBorders>
              <w:bottom w:val="single" w:sz="8" w:color="231F20"/>
            </w:tcBorders>
            <w:shd w:val="clear" w:color="auto" w:fill="FDFDFC"/>
          </w:tcPr>
          <w:p>
            <w:pPr>
              <w:jc w:val="right"/>
              <w:ind w:right="528"/>
              <w:spacing w:after="0" w:line="164" w:lineRule="exact"/>
              <w:rPr>
                <w:sz w:val="20"/>
                <w:szCs w:val="20"/>
                <w:color w:val="auto"/>
              </w:rPr>
            </w:pPr>
            <w:r>
              <w:rPr>
                <w:rFonts w:ascii="Times New Roman" w:cs="Times New Roman" w:eastAsia="Times New Roman" w:hAnsi="Times New Roman"/>
                <w:sz w:val="15"/>
                <w:szCs w:val="15"/>
                <w:b w:val="1"/>
                <w:bCs w:val="1"/>
                <w:color w:val="231F20"/>
              </w:rPr>
              <w:t>Payment Date</w:t>
            </w:r>
          </w:p>
        </w:tc>
        <w:tc>
          <w:tcPr>
            <w:tcW w:w="20" w:type="dxa"/>
            <w:vAlign w:val="bottom"/>
            <w:tcBorders>
              <w:bottom w:val="single" w:sz="8" w:color="231F20"/>
            </w:tcBorders>
            <w:shd w:val="clear" w:color="auto" w:fill="FDFDFC"/>
          </w:tcPr>
          <w:p>
            <w:pPr>
              <w:spacing w:after="0"/>
              <w:rPr>
                <w:sz w:val="14"/>
                <w:szCs w:val="14"/>
                <w:color w:val="auto"/>
              </w:rPr>
            </w:pPr>
          </w:p>
        </w:tc>
        <w:tc>
          <w:tcPr>
            <w:tcW w:w="100" w:type="dxa"/>
            <w:vAlign w:val="bottom"/>
            <w:tcBorders>
              <w:bottom w:val="single" w:sz="8" w:color="D0EBF2"/>
            </w:tcBorders>
            <w:shd w:val="clear" w:color="auto" w:fill="FDFDFC"/>
          </w:tcPr>
          <w:p>
            <w:pPr>
              <w:spacing w:after="0"/>
              <w:rPr>
                <w:sz w:val="14"/>
                <w:szCs w:val="14"/>
                <w:color w:val="auto"/>
              </w:rPr>
            </w:pPr>
          </w:p>
        </w:tc>
        <w:tc>
          <w:tcPr>
            <w:tcW w:w="20" w:type="dxa"/>
            <w:vAlign w:val="bottom"/>
            <w:tcBorders>
              <w:bottom w:val="single" w:sz="8" w:color="D0EBF2"/>
            </w:tcBorders>
            <w:shd w:val="clear" w:color="auto" w:fill="FDFDFC"/>
          </w:tcPr>
          <w:p>
            <w:pPr>
              <w:spacing w:after="0"/>
              <w:rPr>
                <w:sz w:val="14"/>
                <w:szCs w:val="14"/>
                <w:color w:val="auto"/>
              </w:rPr>
            </w:pPr>
          </w:p>
        </w:tc>
        <w:tc>
          <w:tcPr>
            <w:tcW w:w="1340" w:type="dxa"/>
            <w:vAlign w:val="bottom"/>
            <w:tcBorders>
              <w:bottom w:val="single" w:sz="8" w:color="231F20"/>
            </w:tcBorders>
            <w:gridSpan w:val="2"/>
            <w:shd w:val="clear" w:color="auto" w:fill="FDFDFC"/>
          </w:tcPr>
          <w:p>
            <w:pPr>
              <w:jc w:val="right"/>
              <w:spacing w:after="0" w:line="164" w:lineRule="exact"/>
              <w:rPr>
                <w:sz w:val="20"/>
                <w:szCs w:val="20"/>
                <w:color w:val="auto"/>
              </w:rPr>
            </w:pPr>
            <w:r>
              <w:rPr>
                <w:rFonts w:ascii="Times New Roman" w:cs="Times New Roman" w:eastAsia="Times New Roman" w:hAnsi="Times New Roman"/>
                <w:sz w:val="15"/>
                <w:szCs w:val="15"/>
                <w:b w:val="1"/>
                <w:bCs w:val="1"/>
                <w:color w:val="231F20"/>
              </w:rPr>
              <w:t>Dividend per Share</w:t>
            </w:r>
          </w:p>
        </w:tc>
        <w:tc>
          <w:tcPr>
            <w:tcW w:w="100" w:type="dxa"/>
            <w:vAlign w:val="bottom"/>
            <w:tcBorders>
              <w:bottom w:val="single" w:sz="8" w:color="D0EBF2"/>
            </w:tcBorders>
            <w:shd w:val="clear" w:color="auto" w:fill="FDFDFC"/>
          </w:tcPr>
          <w:p>
            <w:pPr>
              <w:spacing w:after="0"/>
              <w:rPr>
                <w:sz w:val="14"/>
                <w:szCs w:val="14"/>
                <w:color w:val="auto"/>
              </w:rPr>
            </w:pPr>
          </w:p>
        </w:tc>
        <w:tc>
          <w:tcPr>
            <w:tcW w:w="0" w:type="dxa"/>
            <w:vAlign w:val="bottom"/>
          </w:tcPr>
          <w:p>
            <w:pPr>
              <w:spacing w:after="0"/>
              <w:rPr>
                <w:sz w:val="1"/>
                <w:szCs w:val="1"/>
                <w:color w:val="auto"/>
              </w:rPr>
            </w:pPr>
          </w:p>
        </w:tc>
      </w:tr>
      <w:tr>
        <w:trPr>
          <w:trHeight w:val="207"/>
        </w:trPr>
        <w:tc>
          <w:tcPr>
            <w:tcW w:w="2560" w:type="dxa"/>
            <w:vAlign w:val="bottom"/>
            <w:shd w:val="clear" w:color="auto" w:fill="D0EBF2"/>
          </w:tcPr>
          <w:p>
            <w:pPr>
              <w:spacing w:after="0" w:line="206" w:lineRule="exact"/>
              <w:rPr>
                <w:sz w:val="20"/>
                <w:szCs w:val="20"/>
                <w:color w:val="auto"/>
              </w:rPr>
            </w:pPr>
            <w:r>
              <w:rPr>
                <w:rFonts w:ascii="Times New Roman" w:cs="Times New Roman" w:eastAsia="Times New Roman" w:hAnsi="Times New Roman"/>
                <w:sz w:val="19"/>
                <w:szCs w:val="19"/>
                <w:color w:val="231F20"/>
              </w:rPr>
              <w:t>February 16, 2023</w:t>
            </w:r>
          </w:p>
        </w:tc>
        <w:tc>
          <w:tcPr>
            <w:tcW w:w="100" w:type="dxa"/>
            <w:vAlign w:val="bottom"/>
            <w:shd w:val="clear" w:color="auto" w:fill="D0EBF2"/>
          </w:tcPr>
          <w:p>
            <w:pPr>
              <w:spacing w:after="0"/>
              <w:rPr>
                <w:sz w:val="17"/>
                <w:szCs w:val="17"/>
                <w:color w:val="auto"/>
              </w:rPr>
            </w:pPr>
          </w:p>
        </w:tc>
        <w:tc>
          <w:tcPr>
            <w:tcW w:w="1600" w:type="dxa"/>
            <w:vAlign w:val="bottom"/>
            <w:shd w:val="clear" w:color="auto" w:fill="D0EBF2"/>
          </w:tcPr>
          <w:p>
            <w:pPr>
              <w:jc w:val="center"/>
              <w:spacing w:after="0" w:line="206" w:lineRule="exact"/>
              <w:rPr>
                <w:sz w:val="20"/>
                <w:szCs w:val="20"/>
                <w:color w:val="auto"/>
              </w:rPr>
            </w:pPr>
            <w:r>
              <w:rPr>
                <w:rFonts w:ascii="Times New Roman" w:cs="Times New Roman" w:eastAsia="Times New Roman" w:hAnsi="Times New Roman"/>
                <w:sz w:val="19"/>
                <w:szCs w:val="19"/>
                <w:color w:val="231F20"/>
                <w:w w:val="99"/>
              </w:rPr>
              <w:t>Supplemental</w:t>
            </w:r>
          </w:p>
        </w:tc>
        <w:tc>
          <w:tcPr>
            <w:tcW w:w="20" w:type="dxa"/>
            <w:vAlign w:val="bottom"/>
            <w:shd w:val="clear" w:color="auto" w:fill="D0EBF2"/>
          </w:tcPr>
          <w:p>
            <w:pPr>
              <w:spacing w:after="0"/>
              <w:rPr>
                <w:sz w:val="17"/>
                <w:szCs w:val="17"/>
                <w:color w:val="auto"/>
              </w:rPr>
            </w:pPr>
          </w:p>
        </w:tc>
        <w:tc>
          <w:tcPr>
            <w:tcW w:w="100" w:type="dxa"/>
            <w:vAlign w:val="bottom"/>
            <w:shd w:val="clear" w:color="auto" w:fill="D0EBF2"/>
          </w:tcPr>
          <w:p>
            <w:pPr>
              <w:spacing w:after="0"/>
              <w:rPr>
                <w:sz w:val="17"/>
                <w:szCs w:val="17"/>
                <w:color w:val="auto"/>
              </w:rPr>
            </w:pPr>
          </w:p>
        </w:tc>
        <w:tc>
          <w:tcPr>
            <w:tcW w:w="20" w:type="dxa"/>
            <w:vAlign w:val="bottom"/>
            <w:shd w:val="clear" w:color="auto" w:fill="D0EBF2"/>
          </w:tcPr>
          <w:p>
            <w:pPr>
              <w:spacing w:after="0"/>
              <w:rPr>
                <w:sz w:val="17"/>
                <w:szCs w:val="17"/>
                <w:color w:val="auto"/>
              </w:rPr>
            </w:pPr>
          </w:p>
        </w:tc>
        <w:tc>
          <w:tcPr>
            <w:tcW w:w="1960" w:type="dxa"/>
            <w:vAlign w:val="bottom"/>
            <w:shd w:val="clear" w:color="auto" w:fill="D0EBF2"/>
          </w:tcPr>
          <w:p>
            <w:pPr>
              <w:jc w:val="right"/>
              <w:spacing w:after="0" w:line="206" w:lineRule="exact"/>
              <w:rPr>
                <w:sz w:val="20"/>
                <w:szCs w:val="20"/>
                <w:color w:val="auto"/>
              </w:rPr>
            </w:pPr>
            <w:r>
              <w:rPr>
                <w:rFonts w:ascii="Times New Roman" w:cs="Times New Roman" w:eastAsia="Times New Roman" w:hAnsi="Times New Roman"/>
                <w:sz w:val="19"/>
                <w:szCs w:val="19"/>
                <w:color w:val="231F20"/>
              </w:rPr>
              <w:t>February 28, 2023</w:t>
            </w:r>
          </w:p>
        </w:tc>
        <w:tc>
          <w:tcPr>
            <w:tcW w:w="20" w:type="dxa"/>
            <w:vAlign w:val="bottom"/>
            <w:shd w:val="clear" w:color="auto" w:fill="D0EBF2"/>
          </w:tcPr>
          <w:p>
            <w:pPr>
              <w:spacing w:after="0"/>
              <w:rPr>
                <w:sz w:val="17"/>
                <w:szCs w:val="17"/>
                <w:color w:val="auto"/>
              </w:rPr>
            </w:pPr>
          </w:p>
        </w:tc>
        <w:tc>
          <w:tcPr>
            <w:tcW w:w="120" w:type="dxa"/>
            <w:vAlign w:val="bottom"/>
            <w:shd w:val="clear" w:color="auto" w:fill="D0EBF2"/>
          </w:tcPr>
          <w:p>
            <w:pPr>
              <w:spacing w:after="0"/>
              <w:rPr>
                <w:sz w:val="17"/>
                <w:szCs w:val="17"/>
                <w:color w:val="auto"/>
              </w:rPr>
            </w:pPr>
          </w:p>
        </w:tc>
        <w:tc>
          <w:tcPr>
            <w:tcW w:w="540" w:type="dxa"/>
            <w:vAlign w:val="bottom"/>
            <w:shd w:val="clear" w:color="auto" w:fill="D0EBF2"/>
          </w:tcPr>
          <w:p>
            <w:pPr>
              <w:spacing w:after="0"/>
              <w:rPr>
                <w:sz w:val="17"/>
                <w:szCs w:val="17"/>
                <w:color w:val="auto"/>
              </w:rPr>
            </w:pPr>
          </w:p>
        </w:tc>
        <w:tc>
          <w:tcPr>
            <w:tcW w:w="1580" w:type="dxa"/>
            <w:vAlign w:val="bottom"/>
            <w:shd w:val="clear" w:color="auto" w:fill="D0EBF2"/>
          </w:tcPr>
          <w:p>
            <w:pPr>
              <w:jc w:val="right"/>
              <w:spacing w:after="0" w:line="206" w:lineRule="exact"/>
              <w:rPr>
                <w:sz w:val="20"/>
                <w:szCs w:val="20"/>
                <w:color w:val="auto"/>
              </w:rPr>
            </w:pPr>
            <w:r>
              <w:rPr>
                <w:rFonts w:ascii="Times New Roman" w:cs="Times New Roman" w:eastAsia="Times New Roman" w:hAnsi="Times New Roman"/>
                <w:sz w:val="19"/>
                <w:szCs w:val="19"/>
                <w:color w:val="231F20"/>
              </w:rPr>
              <w:t>March 20, 2023</w:t>
            </w:r>
          </w:p>
        </w:tc>
        <w:tc>
          <w:tcPr>
            <w:tcW w:w="20" w:type="dxa"/>
            <w:vAlign w:val="bottom"/>
            <w:shd w:val="clear" w:color="auto" w:fill="D0EBF2"/>
          </w:tcPr>
          <w:p>
            <w:pPr>
              <w:spacing w:after="0"/>
              <w:rPr>
                <w:sz w:val="17"/>
                <w:szCs w:val="17"/>
                <w:color w:val="auto"/>
              </w:rPr>
            </w:pPr>
          </w:p>
        </w:tc>
        <w:tc>
          <w:tcPr>
            <w:tcW w:w="120" w:type="dxa"/>
            <w:vAlign w:val="bottom"/>
            <w:gridSpan w:val="2"/>
            <w:shd w:val="clear" w:color="auto" w:fill="D0EBF2"/>
          </w:tcPr>
          <w:p>
            <w:pPr>
              <w:spacing w:after="0"/>
              <w:rPr>
                <w:sz w:val="17"/>
                <w:szCs w:val="17"/>
                <w:color w:val="auto"/>
              </w:rPr>
            </w:pPr>
          </w:p>
        </w:tc>
        <w:tc>
          <w:tcPr>
            <w:tcW w:w="520" w:type="dxa"/>
            <w:vAlign w:val="bottom"/>
            <w:shd w:val="clear" w:color="auto" w:fill="D0EBF2"/>
          </w:tcPr>
          <w:p>
            <w:pPr>
              <w:jc w:val="right"/>
              <w:ind w:right="360"/>
              <w:spacing w:after="0"/>
              <w:rPr>
                <w:sz w:val="20"/>
                <w:szCs w:val="20"/>
                <w:color w:val="auto"/>
              </w:rPr>
            </w:pPr>
            <w:r>
              <w:rPr>
                <w:rFonts w:ascii="Times New Roman" w:cs="Times New Roman" w:eastAsia="Times New Roman" w:hAnsi="Times New Roman"/>
                <w:sz w:val="17"/>
                <w:szCs w:val="17"/>
                <w:color w:val="231F20"/>
                <w:w w:val="70"/>
              </w:rPr>
              <w:t>$</w:t>
            </w:r>
          </w:p>
        </w:tc>
        <w:tc>
          <w:tcPr>
            <w:tcW w:w="820" w:type="dxa"/>
            <w:vAlign w:val="bottom"/>
            <w:shd w:val="clear" w:color="auto" w:fill="D0EBF2"/>
          </w:tcPr>
          <w:p>
            <w:pPr>
              <w:jc w:val="right"/>
              <w:spacing w:after="0" w:line="206" w:lineRule="exact"/>
              <w:rPr>
                <w:sz w:val="20"/>
                <w:szCs w:val="20"/>
                <w:color w:val="auto"/>
              </w:rPr>
            </w:pPr>
            <w:r>
              <w:rPr>
                <w:rFonts w:ascii="Times New Roman" w:cs="Times New Roman" w:eastAsia="Times New Roman" w:hAnsi="Times New Roman"/>
                <w:sz w:val="19"/>
                <w:szCs w:val="19"/>
                <w:color w:val="231F20"/>
              </w:rPr>
              <w:t>0.09</w:t>
            </w:r>
          </w:p>
        </w:tc>
        <w:tc>
          <w:tcPr>
            <w:tcW w:w="100" w:type="dxa"/>
            <w:vAlign w:val="bottom"/>
            <w:shd w:val="clear" w:color="auto" w:fill="D0EBF2"/>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2560" w:type="dxa"/>
            <w:vAlign w:val="bottom"/>
            <w:shd w:val="clear" w:color="auto" w:fill="FDFDFC"/>
          </w:tcPr>
          <w:p>
            <w:pPr>
              <w:spacing w:after="0" w:line="217" w:lineRule="exact"/>
              <w:rPr>
                <w:sz w:val="20"/>
                <w:szCs w:val="20"/>
                <w:color w:val="auto"/>
              </w:rPr>
            </w:pPr>
            <w:r>
              <w:rPr>
                <w:rFonts w:ascii="Times New Roman" w:cs="Times New Roman" w:eastAsia="Times New Roman" w:hAnsi="Times New Roman"/>
                <w:sz w:val="19"/>
                <w:szCs w:val="19"/>
                <w:color w:val="231F20"/>
              </w:rPr>
              <w:t>February 16, 2023</w:t>
            </w:r>
          </w:p>
        </w:tc>
        <w:tc>
          <w:tcPr>
            <w:tcW w:w="100" w:type="dxa"/>
            <w:vAlign w:val="bottom"/>
            <w:shd w:val="clear" w:color="auto" w:fill="FDFDFC"/>
          </w:tcPr>
          <w:p>
            <w:pPr>
              <w:spacing w:after="0"/>
              <w:rPr>
                <w:sz w:val="18"/>
                <w:szCs w:val="18"/>
                <w:color w:val="auto"/>
              </w:rPr>
            </w:pPr>
          </w:p>
        </w:tc>
        <w:tc>
          <w:tcPr>
            <w:tcW w:w="1600" w:type="dxa"/>
            <w:vAlign w:val="bottom"/>
            <w:shd w:val="clear" w:color="auto" w:fill="FDFDFC"/>
          </w:tcPr>
          <w:p>
            <w:pPr>
              <w:jc w:val="center"/>
              <w:spacing w:after="0" w:line="217" w:lineRule="exact"/>
              <w:rPr>
                <w:sz w:val="20"/>
                <w:szCs w:val="20"/>
                <w:color w:val="auto"/>
              </w:rPr>
            </w:pPr>
            <w:r>
              <w:rPr>
                <w:rFonts w:ascii="Times New Roman" w:cs="Times New Roman" w:eastAsia="Times New Roman" w:hAnsi="Times New Roman"/>
                <w:sz w:val="19"/>
                <w:szCs w:val="19"/>
                <w:color w:val="231F20"/>
              </w:rPr>
              <w:t>Base</w:t>
            </w:r>
          </w:p>
        </w:tc>
        <w:tc>
          <w:tcPr>
            <w:tcW w:w="20" w:type="dxa"/>
            <w:vAlign w:val="bottom"/>
            <w:shd w:val="clear" w:color="auto" w:fill="FDFDFC"/>
          </w:tcPr>
          <w:p>
            <w:pPr>
              <w:spacing w:after="0"/>
              <w:rPr>
                <w:sz w:val="18"/>
                <w:szCs w:val="18"/>
                <w:color w:val="auto"/>
              </w:rPr>
            </w:pPr>
          </w:p>
        </w:tc>
        <w:tc>
          <w:tcPr>
            <w:tcW w:w="100" w:type="dxa"/>
            <w:vAlign w:val="bottom"/>
            <w:shd w:val="clear" w:color="auto" w:fill="FDFDFC"/>
          </w:tcPr>
          <w:p>
            <w:pPr>
              <w:spacing w:after="0"/>
              <w:rPr>
                <w:sz w:val="18"/>
                <w:szCs w:val="18"/>
                <w:color w:val="auto"/>
              </w:rPr>
            </w:pPr>
          </w:p>
        </w:tc>
        <w:tc>
          <w:tcPr>
            <w:tcW w:w="20" w:type="dxa"/>
            <w:vAlign w:val="bottom"/>
            <w:shd w:val="clear" w:color="auto" w:fill="FDFDFC"/>
          </w:tcPr>
          <w:p>
            <w:pPr>
              <w:spacing w:after="0"/>
              <w:rPr>
                <w:sz w:val="18"/>
                <w:szCs w:val="18"/>
                <w:color w:val="auto"/>
              </w:rPr>
            </w:pPr>
          </w:p>
        </w:tc>
        <w:tc>
          <w:tcPr>
            <w:tcW w:w="1960" w:type="dxa"/>
            <w:vAlign w:val="bottom"/>
            <w:shd w:val="clear" w:color="auto" w:fill="FDFDFC"/>
          </w:tcPr>
          <w:p>
            <w:pPr>
              <w:jc w:val="right"/>
              <w:spacing w:after="0" w:line="217" w:lineRule="exact"/>
              <w:rPr>
                <w:sz w:val="20"/>
                <w:szCs w:val="20"/>
                <w:color w:val="auto"/>
              </w:rPr>
            </w:pPr>
            <w:r>
              <w:rPr>
                <w:rFonts w:ascii="Times New Roman" w:cs="Times New Roman" w:eastAsia="Times New Roman" w:hAnsi="Times New Roman"/>
                <w:sz w:val="19"/>
                <w:szCs w:val="19"/>
                <w:color w:val="231F20"/>
              </w:rPr>
              <w:t>March 15, 2023</w:t>
            </w:r>
          </w:p>
        </w:tc>
        <w:tc>
          <w:tcPr>
            <w:tcW w:w="20" w:type="dxa"/>
            <w:vAlign w:val="bottom"/>
            <w:shd w:val="clear" w:color="auto" w:fill="FDFDFC"/>
          </w:tcPr>
          <w:p>
            <w:pPr>
              <w:spacing w:after="0"/>
              <w:rPr>
                <w:sz w:val="18"/>
                <w:szCs w:val="18"/>
                <w:color w:val="auto"/>
              </w:rPr>
            </w:pPr>
          </w:p>
        </w:tc>
        <w:tc>
          <w:tcPr>
            <w:tcW w:w="120" w:type="dxa"/>
            <w:vAlign w:val="bottom"/>
            <w:shd w:val="clear" w:color="auto" w:fill="FDFDFC"/>
          </w:tcPr>
          <w:p>
            <w:pPr>
              <w:spacing w:after="0"/>
              <w:rPr>
                <w:sz w:val="18"/>
                <w:szCs w:val="18"/>
                <w:color w:val="auto"/>
              </w:rPr>
            </w:pPr>
          </w:p>
        </w:tc>
        <w:tc>
          <w:tcPr>
            <w:tcW w:w="540" w:type="dxa"/>
            <w:vAlign w:val="bottom"/>
            <w:shd w:val="clear" w:color="auto" w:fill="FDFDFC"/>
          </w:tcPr>
          <w:p>
            <w:pPr>
              <w:spacing w:after="0"/>
              <w:rPr>
                <w:sz w:val="18"/>
                <w:szCs w:val="18"/>
                <w:color w:val="auto"/>
              </w:rPr>
            </w:pPr>
          </w:p>
        </w:tc>
        <w:tc>
          <w:tcPr>
            <w:tcW w:w="1580" w:type="dxa"/>
            <w:vAlign w:val="bottom"/>
            <w:shd w:val="clear" w:color="auto" w:fill="FDFDFC"/>
          </w:tcPr>
          <w:p>
            <w:pPr>
              <w:jc w:val="right"/>
              <w:spacing w:after="0" w:line="217" w:lineRule="exact"/>
              <w:rPr>
                <w:sz w:val="20"/>
                <w:szCs w:val="20"/>
                <w:color w:val="auto"/>
              </w:rPr>
            </w:pPr>
            <w:r>
              <w:rPr>
                <w:rFonts w:ascii="Times New Roman" w:cs="Times New Roman" w:eastAsia="Times New Roman" w:hAnsi="Times New Roman"/>
                <w:sz w:val="19"/>
                <w:szCs w:val="19"/>
                <w:color w:val="231F20"/>
              </w:rPr>
              <w:t>March 31, 2023</w:t>
            </w:r>
          </w:p>
        </w:tc>
        <w:tc>
          <w:tcPr>
            <w:tcW w:w="20" w:type="dxa"/>
            <w:vAlign w:val="bottom"/>
            <w:shd w:val="clear" w:color="auto" w:fill="FDFDFC"/>
          </w:tcPr>
          <w:p>
            <w:pPr>
              <w:spacing w:after="0"/>
              <w:rPr>
                <w:sz w:val="18"/>
                <w:szCs w:val="18"/>
                <w:color w:val="auto"/>
              </w:rPr>
            </w:pPr>
          </w:p>
        </w:tc>
        <w:tc>
          <w:tcPr>
            <w:tcW w:w="100" w:type="dxa"/>
            <w:vAlign w:val="bottom"/>
            <w:shd w:val="clear" w:color="auto" w:fill="FDFDFC"/>
          </w:tcPr>
          <w:p>
            <w:pPr>
              <w:spacing w:after="0"/>
              <w:rPr>
                <w:sz w:val="18"/>
                <w:szCs w:val="18"/>
                <w:color w:val="auto"/>
              </w:rPr>
            </w:pPr>
          </w:p>
        </w:tc>
        <w:tc>
          <w:tcPr>
            <w:tcW w:w="20" w:type="dxa"/>
            <w:vAlign w:val="bottom"/>
            <w:shd w:val="clear" w:color="auto" w:fill="FDFDFC"/>
          </w:tcPr>
          <w:p>
            <w:pPr>
              <w:spacing w:after="0"/>
              <w:rPr>
                <w:sz w:val="18"/>
                <w:szCs w:val="18"/>
                <w:color w:val="auto"/>
              </w:rPr>
            </w:pPr>
          </w:p>
        </w:tc>
        <w:tc>
          <w:tcPr>
            <w:tcW w:w="520" w:type="dxa"/>
            <w:vAlign w:val="bottom"/>
            <w:shd w:val="clear" w:color="auto" w:fill="FDFDFC"/>
          </w:tcPr>
          <w:p>
            <w:pPr>
              <w:spacing w:after="0"/>
              <w:rPr>
                <w:sz w:val="18"/>
                <w:szCs w:val="18"/>
                <w:color w:val="auto"/>
              </w:rPr>
            </w:pPr>
          </w:p>
        </w:tc>
        <w:tc>
          <w:tcPr>
            <w:tcW w:w="820" w:type="dxa"/>
            <w:vAlign w:val="bottom"/>
            <w:shd w:val="clear" w:color="auto" w:fill="FDFDFC"/>
          </w:tcPr>
          <w:p>
            <w:pPr>
              <w:jc w:val="right"/>
              <w:spacing w:after="0" w:line="217" w:lineRule="exact"/>
              <w:rPr>
                <w:sz w:val="20"/>
                <w:szCs w:val="20"/>
                <w:color w:val="auto"/>
              </w:rPr>
            </w:pPr>
            <w:r>
              <w:rPr>
                <w:rFonts w:ascii="Times New Roman" w:cs="Times New Roman" w:eastAsia="Times New Roman" w:hAnsi="Times New Roman"/>
                <w:sz w:val="19"/>
                <w:szCs w:val="19"/>
                <w:color w:val="231F20"/>
              </w:rPr>
              <w:t>0.46</w:t>
            </w:r>
          </w:p>
        </w:tc>
        <w:tc>
          <w:tcPr>
            <w:tcW w:w="100" w:type="dxa"/>
            <w:vAlign w:val="bottom"/>
            <w:shd w:val="clear" w:color="auto" w:fill="FDFDFC"/>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560" w:type="dxa"/>
            <w:vAlign w:val="bottom"/>
            <w:shd w:val="clear" w:color="auto" w:fill="D0EBF2"/>
          </w:tcPr>
          <w:p>
            <w:pPr>
              <w:spacing w:after="0" w:line="217" w:lineRule="exact"/>
              <w:rPr>
                <w:sz w:val="20"/>
                <w:szCs w:val="20"/>
                <w:color w:val="auto"/>
              </w:rPr>
            </w:pPr>
            <w:r>
              <w:rPr>
                <w:rFonts w:ascii="Times New Roman" w:cs="Times New Roman" w:eastAsia="Times New Roman" w:hAnsi="Times New Roman"/>
                <w:sz w:val="19"/>
                <w:szCs w:val="19"/>
                <w:color w:val="231F20"/>
              </w:rPr>
              <w:t>May 8, 2023</w:t>
            </w:r>
          </w:p>
        </w:tc>
        <w:tc>
          <w:tcPr>
            <w:tcW w:w="100" w:type="dxa"/>
            <w:vAlign w:val="bottom"/>
            <w:shd w:val="clear" w:color="auto" w:fill="D0EBF2"/>
          </w:tcPr>
          <w:p>
            <w:pPr>
              <w:spacing w:after="0"/>
              <w:rPr>
                <w:sz w:val="18"/>
                <w:szCs w:val="18"/>
                <w:color w:val="auto"/>
              </w:rPr>
            </w:pPr>
          </w:p>
        </w:tc>
        <w:tc>
          <w:tcPr>
            <w:tcW w:w="1600" w:type="dxa"/>
            <w:vAlign w:val="bottom"/>
            <w:shd w:val="clear" w:color="auto" w:fill="D0EBF2"/>
          </w:tcPr>
          <w:p>
            <w:pPr>
              <w:jc w:val="center"/>
              <w:spacing w:after="0" w:line="217" w:lineRule="exact"/>
              <w:rPr>
                <w:sz w:val="20"/>
                <w:szCs w:val="20"/>
                <w:color w:val="auto"/>
              </w:rPr>
            </w:pPr>
            <w:r>
              <w:rPr>
                <w:rFonts w:ascii="Times New Roman" w:cs="Times New Roman" w:eastAsia="Times New Roman" w:hAnsi="Times New Roman"/>
                <w:sz w:val="19"/>
                <w:szCs w:val="19"/>
                <w:color w:val="231F20"/>
                <w:w w:val="99"/>
              </w:rPr>
              <w:t>Supplemental</w:t>
            </w:r>
          </w:p>
        </w:tc>
        <w:tc>
          <w:tcPr>
            <w:tcW w:w="20" w:type="dxa"/>
            <w:vAlign w:val="bottom"/>
            <w:shd w:val="clear" w:color="auto" w:fill="D0EBF2"/>
          </w:tcPr>
          <w:p>
            <w:pPr>
              <w:spacing w:after="0"/>
              <w:rPr>
                <w:sz w:val="18"/>
                <w:szCs w:val="18"/>
                <w:color w:val="auto"/>
              </w:rPr>
            </w:pPr>
          </w:p>
        </w:tc>
        <w:tc>
          <w:tcPr>
            <w:tcW w:w="100" w:type="dxa"/>
            <w:vAlign w:val="bottom"/>
            <w:shd w:val="clear" w:color="auto" w:fill="D0EBF2"/>
          </w:tcPr>
          <w:p>
            <w:pPr>
              <w:spacing w:after="0"/>
              <w:rPr>
                <w:sz w:val="18"/>
                <w:szCs w:val="18"/>
                <w:color w:val="auto"/>
              </w:rPr>
            </w:pPr>
          </w:p>
        </w:tc>
        <w:tc>
          <w:tcPr>
            <w:tcW w:w="20" w:type="dxa"/>
            <w:vAlign w:val="bottom"/>
            <w:shd w:val="clear" w:color="auto" w:fill="D0EBF2"/>
          </w:tcPr>
          <w:p>
            <w:pPr>
              <w:spacing w:after="0"/>
              <w:rPr>
                <w:sz w:val="18"/>
                <w:szCs w:val="18"/>
                <w:color w:val="auto"/>
              </w:rPr>
            </w:pPr>
          </w:p>
        </w:tc>
        <w:tc>
          <w:tcPr>
            <w:tcW w:w="1960" w:type="dxa"/>
            <w:vAlign w:val="bottom"/>
            <w:shd w:val="clear" w:color="auto" w:fill="D0EBF2"/>
          </w:tcPr>
          <w:p>
            <w:pPr>
              <w:jc w:val="right"/>
              <w:spacing w:after="0" w:line="217" w:lineRule="exact"/>
              <w:rPr>
                <w:sz w:val="20"/>
                <w:szCs w:val="20"/>
                <w:color w:val="auto"/>
              </w:rPr>
            </w:pPr>
            <w:r>
              <w:rPr>
                <w:rFonts w:ascii="Times New Roman" w:cs="Times New Roman" w:eastAsia="Times New Roman" w:hAnsi="Times New Roman"/>
                <w:sz w:val="19"/>
                <w:szCs w:val="19"/>
                <w:color w:val="231F20"/>
              </w:rPr>
              <w:t>May 31, 2023</w:t>
            </w:r>
          </w:p>
        </w:tc>
        <w:tc>
          <w:tcPr>
            <w:tcW w:w="20" w:type="dxa"/>
            <w:vAlign w:val="bottom"/>
            <w:shd w:val="clear" w:color="auto" w:fill="D0EBF2"/>
          </w:tcPr>
          <w:p>
            <w:pPr>
              <w:spacing w:after="0"/>
              <w:rPr>
                <w:sz w:val="18"/>
                <w:szCs w:val="18"/>
                <w:color w:val="auto"/>
              </w:rPr>
            </w:pPr>
          </w:p>
        </w:tc>
        <w:tc>
          <w:tcPr>
            <w:tcW w:w="120" w:type="dxa"/>
            <w:vAlign w:val="bottom"/>
            <w:shd w:val="clear" w:color="auto" w:fill="D0EBF2"/>
          </w:tcPr>
          <w:p>
            <w:pPr>
              <w:spacing w:after="0"/>
              <w:rPr>
                <w:sz w:val="18"/>
                <w:szCs w:val="18"/>
                <w:color w:val="auto"/>
              </w:rPr>
            </w:pPr>
          </w:p>
        </w:tc>
        <w:tc>
          <w:tcPr>
            <w:tcW w:w="540" w:type="dxa"/>
            <w:vAlign w:val="bottom"/>
            <w:shd w:val="clear" w:color="auto" w:fill="D0EBF2"/>
          </w:tcPr>
          <w:p>
            <w:pPr>
              <w:spacing w:after="0"/>
              <w:rPr>
                <w:sz w:val="18"/>
                <w:szCs w:val="18"/>
                <w:color w:val="auto"/>
              </w:rPr>
            </w:pPr>
          </w:p>
        </w:tc>
        <w:tc>
          <w:tcPr>
            <w:tcW w:w="1580" w:type="dxa"/>
            <w:vAlign w:val="bottom"/>
            <w:shd w:val="clear" w:color="auto" w:fill="D0EBF2"/>
          </w:tcPr>
          <w:p>
            <w:pPr>
              <w:jc w:val="right"/>
              <w:spacing w:after="0" w:line="217" w:lineRule="exact"/>
              <w:rPr>
                <w:sz w:val="20"/>
                <w:szCs w:val="20"/>
                <w:color w:val="auto"/>
              </w:rPr>
            </w:pPr>
            <w:r>
              <w:rPr>
                <w:rFonts w:ascii="Times New Roman" w:cs="Times New Roman" w:eastAsia="Times New Roman" w:hAnsi="Times New Roman"/>
                <w:sz w:val="19"/>
                <w:szCs w:val="19"/>
                <w:color w:val="231F20"/>
              </w:rPr>
              <w:t>June 20, 2023</w:t>
            </w:r>
          </w:p>
        </w:tc>
        <w:tc>
          <w:tcPr>
            <w:tcW w:w="20" w:type="dxa"/>
            <w:vAlign w:val="bottom"/>
            <w:shd w:val="clear" w:color="auto" w:fill="D0EBF2"/>
          </w:tcPr>
          <w:p>
            <w:pPr>
              <w:spacing w:after="0"/>
              <w:rPr>
                <w:sz w:val="18"/>
                <w:szCs w:val="18"/>
                <w:color w:val="auto"/>
              </w:rPr>
            </w:pPr>
          </w:p>
        </w:tc>
        <w:tc>
          <w:tcPr>
            <w:tcW w:w="100" w:type="dxa"/>
            <w:vAlign w:val="bottom"/>
            <w:shd w:val="clear" w:color="auto" w:fill="D0EBF2"/>
          </w:tcPr>
          <w:p>
            <w:pPr>
              <w:spacing w:after="0"/>
              <w:rPr>
                <w:sz w:val="18"/>
                <w:szCs w:val="18"/>
                <w:color w:val="auto"/>
              </w:rPr>
            </w:pPr>
          </w:p>
        </w:tc>
        <w:tc>
          <w:tcPr>
            <w:tcW w:w="20" w:type="dxa"/>
            <w:vAlign w:val="bottom"/>
            <w:shd w:val="clear" w:color="auto" w:fill="D0EBF2"/>
          </w:tcPr>
          <w:p>
            <w:pPr>
              <w:spacing w:after="0"/>
              <w:rPr>
                <w:sz w:val="18"/>
                <w:szCs w:val="18"/>
                <w:color w:val="auto"/>
              </w:rPr>
            </w:pPr>
          </w:p>
        </w:tc>
        <w:tc>
          <w:tcPr>
            <w:tcW w:w="520" w:type="dxa"/>
            <w:vAlign w:val="bottom"/>
            <w:shd w:val="clear" w:color="auto" w:fill="D0EBF2"/>
          </w:tcPr>
          <w:p>
            <w:pPr>
              <w:spacing w:after="0"/>
              <w:rPr>
                <w:sz w:val="18"/>
                <w:szCs w:val="18"/>
                <w:color w:val="auto"/>
              </w:rPr>
            </w:pPr>
          </w:p>
        </w:tc>
        <w:tc>
          <w:tcPr>
            <w:tcW w:w="820" w:type="dxa"/>
            <w:vAlign w:val="bottom"/>
            <w:shd w:val="clear" w:color="auto" w:fill="D0EBF2"/>
          </w:tcPr>
          <w:p>
            <w:pPr>
              <w:jc w:val="right"/>
              <w:spacing w:after="0" w:line="217" w:lineRule="exact"/>
              <w:rPr>
                <w:sz w:val="20"/>
                <w:szCs w:val="20"/>
                <w:color w:val="auto"/>
              </w:rPr>
            </w:pPr>
            <w:r>
              <w:rPr>
                <w:rFonts w:ascii="Times New Roman" w:cs="Times New Roman" w:eastAsia="Times New Roman" w:hAnsi="Times New Roman"/>
                <w:sz w:val="19"/>
                <w:szCs w:val="19"/>
                <w:color w:val="231F20"/>
              </w:rPr>
              <w:t>0.04</w:t>
            </w:r>
          </w:p>
        </w:tc>
        <w:tc>
          <w:tcPr>
            <w:tcW w:w="100" w:type="dxa"/>
            <w:vAlign w:val="bottom"/>
            <w:shd w:val="clear" w:color="auto" w:fill="D0EBF2"/>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560" w:type="dxa"/>
            <w:vAlign w:val="bottom"/>
            <w:shd w:val="clear" w:color="auto" w:fill="FDFDFC"/>
          </w:tcPr>
          <w:p>
            <w:pPr>
              <w:spacing w:after="0" w:line="217" w:lineRule="exact"/>
              <w:rPr>
                <w:sz w:val="20"/>
                <w:szCs w:val="20"/>
                <w:color w:val="auto"/>
              </w:rPr>
            </w:pPr>
            <w:r>
              <w:rPr>
                <w:rFonts w:ascii="Times New Roman" w:cs="Times New Roman" w:eastAsia="Times New Roman" w:hAnsi="Times New Roman"/>
                <w:sz w:val="19"/>
                <w:szCs w:val="19"/>
                <w:color w:val="231F20"/>
              </w:rPr>
              <w:t>May 8, 2023</w:t>
            </w:r>
          </w:p>
        </w:tc>
        <w:tc>
          <w:tcPr>
            <w:tcW w:w="100" w:type="dxa"/>
            <w:vAlign w:val="bottom"/>
            <w:shd w:val="clear" w:color="auto" w:fill="FDFDFC"/>
          </w:tcPr>
          <w:p>
            <w:pPr>
              <w:spacing w:after="0"/>
              <w:rPr>
                <w:sz w:val="18"/>
                <w:szCs w:val="18"/>
                <w:color w:val="auto"/>
              </w:rPr>
            </w:pPr>
          </w:p>
        </w:tc>
        <w:tc>
          <w:tcPr>
            <w:tcW w:w="1600" w:type="dxa"/>
            <w:vAlign w:val="bottom"/>
            <w:shd w:val="clear" w:color="auto" w:fill="FDFDFC"/>
          </w:tcPr>
          <w:p>
            <w:pPr>
              <w:jc w:val="center"/>
              <w:spacing w:after="0" w:line="217" w:lineRule="exact"/>
              <w:rPr>
                <w:sz w:val="20"/>
                <w:szCs w:val="20"/>
                <w:color w:val="auto"/>
              </w:rPr>
            </w:pPr>
            <w:r>
              <w:rPr>
                <w:rFonts w:ascii="Times New Roman" w:cs="Times New Roman" w:eastAsia="Times New Roman" w:hAnsi="Times New Roman"/>
                <w:sz w:val="19"/>
                <w:szCs w:val="19"/>
                <w:color w:val="231F20"/>
              </w:rPr>
              <w:t>Base</w:t>
            </w:r>
          </w:p>
        </w:tc>
        <w:tc>
          <w:tcPr>
            <w:tcW w:w="20" w:type="dxa"/>
            <w:vAlign w:val="bottom"/>
            <w:shd w:val="clear" w:color="auto" w:fill="FDFDFC"/>
          </w:tcPr>
          <w:p>
            <w:pPr>
              <w:spacing w:after="0"/>
              <w:rPr>
                <w:sz w:val="18"/>
                <w:szCs w:val="18"/>
                <w:color w:val="auto"/>
              </w:rPr>
            </w:pPr>
          </w:p>
        </w:tc>
        <w:tc>
          <w:tcPr>
            <w:tcW w:w="100" w:type="dxa"/>
            <w:vAlign w:val="bottom"/>
            <w:shd w:val="clear" w:color="auto" w:fill="FDFDFC"/>
          </w:tcPr>
          <w:p>
            <w:pPr>
              <w:spacing w:after="0"/>
              <w:rPr>
                <w:sz w:val="18"/>
                <w:szCs w:val="18"/>
                <w:color w:val="auto"/>
              </w:rPr>
            </w:pPr>
          </w:p>
        </w:tc>
        <w:tc>
          <w:tcPr>
            <w:tcW w:w="20" w:type="dxa"/>
            <w:vAlign w:val="bottom"/>
            <w:shd w:val="clear" w:color="auto" w:fill="FDFDFC"/>
          </w:tcPr>
          <w:p>
            <w:pPr>
              <w:spacing w:after="0"/>
              <w:rPr>
                <w:sz w:val="18"/>
                <w:szCs w:val="18"/>
                <w:color w:val="auto"/>
              </w:rPr>
            </w:pPr>
          </w:p>
        </w:tc>
        <w:tc>
          <w:tcPr>
            <w:tcW w:w="1960" w:type="dxa"/>
            <w:vAlign w:val="bottom"/>
            <w:shd w:val="clear" w:color="auto" w:fill="FDFDFC"/>
          </w:tcPr>
          <w:p>
            <w:pPr>
              <w:jc w:val="right"/>
              <w:spacing w:after="0" w:line="217" w:lineRule="exact"/>
              <w:rPr>
                <w:sz w:val="20"/>
                <w:szCs w:val="20"/>
                <w:color w:val="auto"/>
              </w:rPr>
            </w:pPr>
            <w:r>
              <w:rPr>
                <w:rFonts w:ascii="Times New Roman" w:cs="Times New Roman" w:eastAsia="Times New Roman" w:hAnsi="Times New Roman"/>
                <w:sz w:val="19"/>
                <w:szCs w:val="19"/>
                <w:color w:val="231F20"/>
              </w:rPr>
              <w:t>June 15, 2023</w:t>
            </w:r>
          </w:p>
        </w:tc>
        <w:tc>
          <w:tcPr>
            <w:tcW w:w="20" w:type="dxa"/>
            <w:vAlign w:val="bottom"/>
            <w:shd w:val="clear" w:color="auto" w:fill="FDFDFC"/>
          </w:tcPr>
          <w:p>
            <w:pPr>
              <w:spacing w:after="0"/>
              <w:rPr>
                <w:sz w:val="18"/>
                <w:szCs w:val="18"/>
                <w:color w:val="auto"/>
              </w:rPr>
            </w:pPr>
          </w:p>
        </w:tc>
        <w:tc>
          <w:tcPr>
            <w:tcW w:w="120" w:type="dxa"/>
            <w:vAlign w:val="bottom"/>
            <w:shd w:val="clear" w:color="auto" w:fill="FDFDFC"/>
          </w:tcPr>
          <w:p>
            <w:pPr>
              <w:spacing w:after="0"/>
              <w:rPr>
                <w:sz w:val="18"/>
                <w:szCs w:val="18"/>
                <w:color w:val="auto"/>
              </w:rPr>
            </w:pPr>
          </w:p>
        </w:tc>
        <w:tc>
          <w:tcPr>
            <w:tcW w:w="540" w:type="dxa"/>
            <w:vAlign w:val="bottom"/>
            <w:shd w:val="clear" w:color="auto" w:fill="FDFDFC"/>
          </w:tcPr>
          <w:p>
            <w:pPr>
              <w:spacing w:after="0"/>
              <w:rPr>
                <w:sz w:val="18"/>
                <w:szCs w:val="18"/>
                <w:color w:val="auto"/>
              </w:rPr>
            </w:pPr>
          </w:p>
        </w:tc>
        <w:tc>
          <w:tcPr>
            <w:tcW w:w="1580" w:type="dxa"/>
            <w:vAlign w:val="bottom"/>
            <w:shd w:val="clear" w:color="auto" w:fill="FDFDFC"/>
          </w:tcPr>
          <w:p>
            <w:pPr>
              <w:jc w:val="right"/>
              <w:spacing w:after="0" w:line="217" w:lineRule="exact"/>
              <w:rPr>
                <w:sz w:val="20"/>
                <w:szCs w:val="20"/>
                <w:color w:val="auto"/>
              </w:rPr>
            </w:pPr>
            <w:r>
              <w:rPr>
                <w:rFonts w:ascii="Times New Roman" w:cs="Times New Roman" w:eastAsia="Times New Roman" w:hAnsi="Times New Roman"/>
                <w:sz w:val="19"/>
                <w:szCs w:val="19"/>
                <w:color w:val="231F20"/>
              </w:rPr>
              <w:t>June 30, 2023</w:t>
            </w:r>
          </w:p>
        </w:tc>
        <w:tc>
          <w:tcPr>
            <w:tcW w:w="20" w:type="dxa"/>
            <w:vAlign w:val="bottom"/>
            <w:shd w:val="clear" w:color="auto" w:fill="FDFDFC"/>
          </w:tcPr>
          <w:p>
            <w:pPr>
              <w:spacing w:after="0"/>
              <w:rPr>
                <w:sz w:val="18"/>
                <w:szCs w:val="18"/>
                <w:color w:val="auto"/>
              </w:rPr>
            </w:pPr>
          </w:p>
        </w:tc>
        <w:tc>
          <w:tcPr>
            <w:tcW w:w="100" w:type="dxa"/>
            <w:vAlign w:val="bottom"/>
            <w:shd w:val="clear" w:color="auto" w:fill="FDFDFC"/>
          </w:tcPr>
          <w:p>
            <w:pPr>
              <w:spacing w:after="0"/>
              <w:rPr>
                <w:sz w:val="18"/>
                <w:szCs w:val="18"/>
                <w:color w:val="auto"/>
              </w:rPr>
            </w:pPr>
          </w:p>
        </w:tc>
        <w:tc>
          <w:tcPr>
            <w:tcW w:w="20" w:type="dxa"/>
            <w:vAlign w:val="bottom"/>
            <w:shd w:val="clear" w:color="auto" w:fill="FDFDFC"/>
          </w:tcPr>
          <w:p>
            <w:pPr>
              <w:spacing w:after="0"/>
              <w:rPr>
                <w:sz w:val="18"/>
                <w:szCs w:val="18"/>
                <w:color w:val="auto"/>
              </w:rPr>
            </w:pPr>
          </w:p>
        </w:tc>
        <w:tc>
          <w:tcPr>
            <w:tcW w:w="520" w:type="dxa"/>
            <w:vAlign w:val="bottom"/>
            <w:shd w:val="clear" w:color="auto" w:fill="FDFDFC"/>
          </w:tcPr>
          <w:p>
            <w:pPr>
              <w:spacing w:after="0"/>
              <w:rPr>
                <w:sz w:val="18"/>
                <w:szCs w:val="18"/>
                <w:color w:val="auto"/>
              </w:rPr>
            </w:pPr>
          </w:p>
        </w:tc>
        <w:tc>
          <w:tcPr>
            <w:tcW w:w="820" w:type="dxa"/>
            <w:vAlign w:val="bottom"/>
            <w:shd w:val="clear" w:color="auto" w:fill="FDFDFC"/>
          </w:tcPr>
          <w:p>
            <w:pPr>
              <w:jc w:val="right"/>
              <w:spacing w:after="0" w:line="217" w:lineRule="exact"/>
              <w:rPr>
                <w:sz w:val="20"/>
                <w:szCs w:val="20"/>
                <w:color w:val="auto"/>
              </w:rPr>
            </w:pPr>
            <w:r>
              <w:rPr>
                <w:rFonts w:ascii="Times New Roman" w:cs="Times New Roman" w:eastAsia="Times New Roman" w:hAnsi="Times New Roman"/>
                <w:sz w:val="19"/>
                <w:szCs w:val="19"/>
                <w:color w:val="231F20"/>
              </w:rPr>
              <w:t>0.46</w:t>
            </w:r>
          </w:p>
        </w:tc>
        <w:tc>
          <w:tcPr>
            <w:tcW w:w="100" w:type="dxa"/>
            <w:vAlign w:val="bottom"/>
            <w:shd w:val="clear" w:color="auto" w:fill="FDFDFC"/>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560" w:type="dxa"/>
            <w:vAlign w:val="bottom"/>
            <w:shd w:val="clear" w:color="auto" w:fill="D0EBF2"/>
          </w:tcPr>
          <w:p>
            <w:pPr>
              <w:spacing w:after="0" w:line="217" w:lineRule="exact"/>
              <w:rPr>
                <w:sz w:val="20"/>
                <w:szCs w:val="20"/>
                <w:color w:val="auto"/>
              </w:rPr>
            </w:pPr>
            <w:r>
              <w:rPr>
                <w:rFonts w:ascii="Times New Roman" w:cs="Times New Roman" w:eastAsia="Times New Roman" w:hAnsi="Times New Roman"/>
                <w:sz w:val="19"/>
                <w:szCs w:val="19"/>
                <w:color w:val="231F20"/>
              </w:rPr>
              <w:t>August 3, 2023</w:t>
            </w:r>
          </w:p>
        </w:tc>
        <w:tc>
          <w:tcPr>
            <w:tcW w:w="100" w:type="dxa"/>
            <w:vAlign w:val="bottom"/>
            <w:shd w:val="clear" w:color="auto" w:fill="D0EBF2"/>
          </w:tcPr>
          <w:p>
            <w:pPr>
              <w:spacing w:after="0"/>
              <w:rPr>
                <w:sz w:val="18"/>
                <w:szCs w:val="18"/>
                <w:color w:val="auto"/>
              </w:rPr>
            </w:pPr>
          </w:p>
        </w:tc>
        <w:tc>
          <w:tcPr>
            <w:tcW w:w="1600" w:type="dxa"/>
            <w:vAlign w:val="bottom"/>
            <w:shd w:val="clear" w:color="auto" w:fill="D0EBF2"/>
          </w:tcPr>
          <w:p>
            <w:pPr>
              <w:jc w:val="center"/>
              <w:spacing w:after="0" w:line="217" w:lineRule="exact"/>
              <w:rPr>
                <w:sz w:val="20"/>
                <w:szCs w:val="20"/>
                <w:color w:val="auto"/>
              </w:rPr>
            </w:pPr>
            <w:r>
              <w:rPr>
                <w:rFonts w:ascii="Times New Roman" w:cs="Times New Roman" w:eastAsia="Times New Roman" w:hAnsi="Times New Roman"/>
                <w:sz w:val="19"/>
                <w:szCs w:val="19"/>
                <w:color w:val="231F20"/>
                <w:w w:val="99"/>
              </w:rPr>
              <w:t>Supplemental</w:t>
            </w:r>
          </w:p>
        </w:tc>
        <w:tc>
          <w:tcPr>
            <w:tcW w:w="20" w:type="dxa"/>
            <w:vAlign w:val="bottom"/>
            <w:shd w:val="clear" w:color="auto" w:fill="D0EBF2"/>
          </w:tcPr>
          <w:p>
            <w:pPr>
              <w:spacing w:after="0"/>
              <w:rPr>
                <w:sz w:val="18"/>
                <w:szCs w:val="18"/>
                <w:color w:val="auto"/>
              </w:rPr>
            </w:pPr>
          </w:p>
        </w:tc>
        <w:tc>
          <w:tcPr>
            <w:tcW w:w="100" w:type="dxa"/>
            <w:vAlign w:val="bottom"/>
            <w:shd w:val="clear" w:color="auto" w:fill="D0EBF2"/>
          </w:tcPr>
          <w:p>
            <w:pPr>
              <w:spacing w:after="0"/>
              <w:rPr>
                <w:sz w:val="18"/>
                <w:szCs w:val="18"/>
                <w:color w:val="auto"/>
              </w:rPr>
            </w:pPr>
          </w:p>
        </w:tc>
        <w:tc>
          <w:tcPr>
            <w:tcW w:w="20" w:type="dxa"/>
            <w:vAlign w:val="bottom"/>
            <w:shd w:val="clear" w:color="auto" w:fill="D0EBF2"/>
          </w:tcPr>
          <w:p>
            <w:pPr>
              <w:spacing w:after="0"/>
              <w:rPr>
                <w:sz w:val="18"/>
                <w:szCs w:val="18"/>
                <w:color w:val="auto"/>
              </w:rPr>
            </w:pPr>
          </w:p>
        </w:tc>
        <w:tc>
          <w:tcPr>
            <w:tcW w:w="1960" w:type="dxa"/>
            <w:vAlign w:val="bottom"/>
            <w:shd w:val="clear" w:color="auto" w:fill="D0EBF2"/>
          </w:tcPr>
          <w:p>
            <w:pPr>
              <w:jc w:val="right"/>
              <w:spacing w:after="0" w:line="217" w:lineRule="exact"/>
              <w:rPr>
                <w:sz w:val="20"/>
                <w:szCs w:val="20"/>
                <w:color w:val="auto"/>
              </w:rPr>
            </w:pPr>
            <w:r>
              <w:rPr>
                <w:rFonts w:ascii="Times New Roman" w:cs="Times New Roman" w:eastAsia="Times New Roman" w:hAnsi="Times New Roman"/>
                <w:sz w:val="19"/>
                <w:szCs w:val="19"/>
                <w:color w:val="231F20"/>
              </w:rPr>
              <w:t>August 31, 2023</w:t>
            </w:r>
          </w:p>
        </w:tc>
        <w:tc>
          <w:tcPr>
            <w:tcW w:w="20" w:type="dxa"/>
            <w:vAlign w:val="bottom"/>
            <w:shd w:val="clear" w:color="auto" w:fill="D0EBF2"/>
          </w:tcPr>
          <w:p>
            <w:pPr>
              <w:spacing w:after="0"/>
              <w:rPr>
                <w:sz w:val="18"/>
                <w:szCs w:val="18"/>
                <w:color w:val="auto"/>
              </w:rPr>
            </w:pPr>
          </w:p>
        </w:tc>
        <w:tc>
          <w:tcPr>
            <w:tcW w:w="120" w:type="dxa"/>
            <w:vAlign w:val="bottom"/>
            <w:shd w:val="clear" w:color="auto" w:fill="D0EBF2"/>
          </w:tcPr>
          <w:p>
            <w:pPr>
              <w:spacing w:after="0"/>
              <w:rPr>
                <w:sz w:val="18"/>
                <w:szCs w:val="18"/>
                <w:color w:val="auto"/>
              </w:rPr>
            </w:pPr>
          </w:p>
        </w:tc>
        <w:tc>
          <w:tcPr>
            <w:tcW w:w="540" w:type="dxa"/>
            <w:vAlign w:val="bottom"/>
            <w:shd w:val="clear" w:color="auto" w:fill="D0EBF2"/>
          </w:tcPr>
          <w:p>
            <w:pPr>
              <w:spacing w:after="0"/>
              <w:rPr>
                <w:sz w:val="18"/>
                <w:szCs w:val="18"/>
                <w:color w:val="auto"/>
              </w:rPr>
            </w:pPr>
          </w:p>
        </w:tc>
        <w:tc>
          <w:tcPr>
            <w:tcW w:w="1580" w:type="dxa"/>
            <w:vAlign w:val="bottom"/>
            <w:shd w:val="clear" w:color="auto" w:fill="D0EBF2"/>
          </w:tcPr>
          <w:p>
            <w:pPr>
              <w:jc w:val="right"/>
              <w:spacing w:after="0" w:line="217" w:lineRule="exact"/>
              <w:rPr>
                <w:sz w:val="20"/>
                <w:szCs w:val="20"/>
                <w:color w:val="auto"/>
              </w:rPr>
            </w:pPr>
            <w:r>
              <w:rPr>
                <w:rFonts w:ascii="Times New Roman" w:cs="Times New Roman" w:eastAsia="Times New Roman" w:hAnsi="Times New Roman"/>
                <w:sz w:val="19"/>
                <w:szCs w:val="19"/>
                <w:color w:val="231F20"/>
              </w:rPr>
              <w:t>September 20, 2023</w:t>
            </w:r>
          </w:p>
        </w:tc>
        <w:tc>
          <w:tcPr>
            <w:tcW w:w="20" w:type="dxa"/>
            <w:vAlign w:val="bottom"/>
            <w:shd w:val="clear" w:color="auto" w:fill="D0EBF2"/>
          </w:tcPr>
          <w:p>
            <w:pPr>
              <w:spacing w:after="0"/>
              <w:rPr>
                <w:sz w:val="18"/>
                <w:szCs w:val="18"/>
                <w:color w:val="auto"/>
              </w:rPr>
            </w:pPr>
          </w:p>
        </w:tc>
        <w:tc>
          <w:tcPr>
            <w:tcW w:w="100" w:type="dxa"/>
            <w:vAlign w:val="bottom"/>
            <w:shd w:val="clear" w:color="auto" w:fill="D0EBF2"/>
          </w:tcPr>
          <w:p>
            <w:pPr>
              <w:spacing w:after="0"/>
              <w:rPr>
                <w:sz w:val="18"/>
                <w:szCs w:val="18"/>
                <w:color w:val="auto"/>
              </w:rPr>
            </w:pPr>
          </w:p>
        </w:tc>
        <w:tc>
          <w:tcPr>
            <w:tcW w:w="20" w:type="dxa"/>
            <w:vAlign w:val="bottom"/>
            <w:shd w:val="clear" w:color="auto" w:fill="D0EBF2"/>
          </w:tcPr>
          <w:p>
            <w:pPr>
              <w:spacing w:after="0"/>
              <w:rPr>
                <w:sz w:val="18"/>
                <w:szCs w:val="18"/>
                <w:color w:val="auto"/>
              </w:rPr>
            </w:pPr>
          </w:p>
        </w:tc>
        <w:tc>
          <w:tcPr>
            <w:tcW w:w="520" w:type="dxa"/>
            <w:vAlign w:val="bottom"/>
            <w:shd w:val="clear" w:color="auto" w:fill="D0EBF2"/>
          </w:tcPr>
          <w:p>
            <w:pPr>
              <w:spacing w:after="0"/>
              <w:rPr>
                <w:sz w:val="18"/>
                <w:szCs w:val="18"/>
                <w:color w:val="auto"/>
              </w:rPr>
            </w:pPr>
          </w:p>
        </w:tc>
        <w:tc>
          <w:tcPr>
            <w:tcW w:w="820" w:type="dxa"/>
            <w:vAlign w:val="bottom"/>
            <w:shd w:val="clear" w:color="auto" w:fill="D0EBF2"/>
          </w:tcPr>
          <w:p>
            <w:pPr>
              <w:jc w:val="right"/>
              <w:spacing w:after="0" w:line="217" w:lineRule="exact"/>
              <w:rPr>
                <w:sz w:val="20"/>
                <w:szCs w:val="20"/>
                <w:color w:val="auto"/>
              </w:rPr>
            </w:pPr>
            <w:r>
              <w:rPr>
                <w:rFonts w:ascii="Times New Roman" w:cs="Times New Roman" w:eastAsia="Times New Roman" w:hAnsi="Times New Roman"/>
                <w:sz w:val="19"/>
                <w:szCs w:val="19"/>
                <w:color w:val="231F20"/>
              </w:rPr>
              <w:t>0.06</w:t>
            </w:r>
          </w:p>
        </w:tc>
        <w:tc>
          <w:tcPr>
            <w:tcW w:w="100" w:type="dxa"/>
            <w:vAlign w:val="bottom"/>
            <w:shd w:val="clear" w:color="auto" w:fill="D0EBF2"/>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560" w:type="dxa"/>
            <w:vAlign w:val="bottom"/>
            <w:shd w:val="clear" w:color="auto" w:fill="FDFDFC"/>
          </w:tcPr>
          <w:p>
            <w:pPr>
              <w:spacing w:after="0" w:line="217" w:lineRule="exact"/>
              <w:rPr>
                <w:sz w:val="20"/>
                <w:szCs w:val="20"/>
                <w:color w:val="auto"/>
              </w:rPr>
            </w:pPr>
            <w:r>
              <w:rPr>
                <w:rFonts w:ascii="Times New Roman" w:cs="Times New Roman" w:eastAsia="Times New Roman" w:hAnsi="Times New Roman"/>
                <w:sz w:val="19"/>
                <w:szCs w:val="19"/>
                <w:color w:val="231F20"/>
              </w:rPr>
              <w:t>August 3, 2023</w:t>
            </w:r>
          </w:p>
        </w:tc>
        <w:tc>
          <w:tcPr>
            <w:tcW w:w="100" w:type="dxa"/>
            <w:vAlign w:val="bottom"/>
            <w:shd w:val="clear" w:color="auto" w:fill="FDFDFC"/>
          </w:tcPr>
          <w:p>
            <w:pPr>
              <w:spacing w:after="0"/>
              <w:rPr>
                <w:sz w:val="18"/>
                <w:szCs w:val="18"/>
                <w:color w:val="auto"/>
              </w:rPr>
            </w:pPr>
          </w:p>
        </w:tc>
        <w:tc>
          <w:tcPr>
            <w:tcW w:w="1600" w:type="dxa"/>
            <w:vAlign w:val="bottom"/>
            <w:shd w:val="clear" w:color="auto" w:fill="FDFDFC"/>
          </w:tcPr>
          <w:p>
            <w:pPr>
              <w:jc w:val="center"/>
              <w:spacing w:after="0" w:line="217" w:lineRule="exact"/>
              <w:rPr>
                <w:sz w:val="20"/>
                <w:szCs w:val="20"/>
                <w:color w:val="auto"/>
              </w:rPr>
            </w:pPr>
            <w:r>
              <w:rPr>
                <w:rFonts w:ascii="Times New Roman" w:cs="Times New Roman" w:eastAsia="Times New Roman" w:hAnsi="Times New Roman"/>
                <w:sz w:val="19"/>
                <w:szCs w:val="19"/>
                <w:color w:val="231F20"/>
              </w:rPr>
              <w:t>Base</w:t>
            </w:r>
          </w:p>
        </w:tc>
        <w:tc>
          <w:tcPr>
            <w:tcW w:w="20" w:type="dxa"/>
            <w:vAlign w:val="bottom"/>
            <w:shd w:val="clear" w:color="auto" w:fill="FDFDFC"/>
          </w:tcPr>
          <w:p>
            <w:pPr>
              <w:spacing w:after="0"/>
              <w:rPr>
                <w:sz w:val="18"/>
                <w:szCs w:val="18"/>
                <w:color w:val="auto"/>
              </w:rPr>
            </w:pPr>
          </w:p>
        </w:tc>
        <w:tc>
          <w:tcPr>
            <w:tcW w:w="100" w:type="dxa"/>
            <w:vAlign w:val="bottom"/>
            <w:shd w:val="clear" w:color="auto" w:fill="FDFDFC"/>
          </w:tcPr>
          <w:p>
            <w:pPr>
              <w:spacing w:after="0"/>
              <w:rPr>
                <w:sz w:val="18"/>
                <w:szCs w:val="18"/>
                <w:color w:val="auto"/>
              </w:rPr>
            </w:pPr>
          </w:p>
        </w:tc>
        <w:tc>
          <w:tcPr>
            <w:tcW w:w="20" w:type="dxa"/>
            <w:vAlign w:val="bottom"/>
            <w:shd w:val="clear" w:color="auto" w:fill="FDFDFC"/>
          </w:tcPr>
          <w:p>
            <w:pPr>
              <w:spacing w:after="0"/>
              <w:rPr>
                <w:sz w:val="18"/>
                <w:szCs w:val="18"/>
                <w:color w:val="auto"/>
              </w:rPr>
            </w:pPr>
          </w:p>
        </w:tc>
        <w:tc>
          <w:tcPr>
            <w:tcW w:w="1960" w:type="dxa"/>
            <w:vAlign w:val="bottom"/>
            <w:shd w:val="clear" w:color="auto" w:fill="FDFDFC"/>
          </w:tcPr>
          <w:p>
            <w:pPr>
              <w:jc w:val="right"/>
              <w:spacing w:after="0" w:line="217" w:lineRule="exact"/>
              <w:rPr>
                <w:sz w:val="20"/>
                <w:szCs w:val="20"/>
                <w:color w:val="auto"/>
              </w:rPr>
            </w:pPr>
            <w:r>
              <w:rPr>
                <w:rFonts w:ascii="Times New Roman" w:cs="Times New Roman" w:eastAsia="Times New Roman" w:hAnsi="Times New Roman"/>
                <w:sz w:val="19"/>
                <w:szCs w:val="19"/>
                <w:color w:val="231F20"/>
              </w:rPr>
              <w:t>September 15, 2023</w:t>
            </w:r>
          </w:p>
        </w:tc>
        <w:tc>
          <w:tcPr>
            <w:tcW w:w="20" w:type="dxa"/>
            <w:vAlign w:val="bottom"/>
            <w:shd w:val="clear" w:color="auto" w:fill="FDFDFC"/>
          </w:tcPr>
          <w:p>
            <w:pPr>
              <w:spacing w:after="0"/>
              <w:rPr>
                <w:sz w:val="18"/>
                <w:szCs w:val="18"/>
                <w:color w:val="auto"/>
              </w:rPr>
            </w:pPr>
          </w:p>
        </w:tc>
        <w:tc>
          <w:tcPr>
            <w:tcW w:w="120" w:type="dxa"/>
            <w:vAlign w:val="bottom"/>
            <w:shd w:val="clear" w:color="auto" w:fill="FDFDFC"/>
          </w:tcPr>
          <w:p>
            <w:pPr>
              <w:spacing w:after="0"/>
              <w:rPr>
                <w:sz w:val="18"/>
                <w:szCs w:val="18"/>
                <w:color w:val="auto"/>
              </w:rPr>
            </w:pPr>
          </w:p>
        </w:tc>
        <w:tc>
          <w:tcPr>
            <w:tcW w:w="540" w:type="dxa"/>
            <w:vAlign w:val="bottom"/>
            <w:shd w:val="clear" w:color="auto" w:fill="FDFDFC"/>
          </w:tcPr>
          <w:p>
            <w:pPr>
              <w:spacing w:after="0"/>
              <w:rPr>
                <w:sz w:val="18"/>
                <w:szCs w:val="18"/>
                <w:color w:val="auto"/>
              </w:rPr>
            </w:pPr>
          </w:p>
        </w:tc>
        <w:tc>
          <w:tcPr>
            <w:tcW w:w="1580" w:type="dxa"/>
            <w:vAlign w:val="bottom"/>
            <w:shd w:val="clear" w:color="auto" w:fill="FDFDFC"/>
          </w:tcPr>
          <w:p>
            <w:pPr>
              <w:jc w:val="right"/>
              <w:spacing w:after="0" w:line="217" w:lineRule="exact"/>
              <w:rPr>
                <w:sz w:val="20"/>
                <w:szCs w:val="20"/>
                <w:color w:val="auto"/>
              </w:rPr>
            </w:pPr>
            <w:r>
              <w:rPr>
                <w:rFonts w:ascii="Times New Roman" w:cs="Times New Roman" w:eastAsia="Times New Roman" w:hAnsi="Times New Roman"/>
                <w:sz w:val="19"/>
                <w:szCs w:val="19"/>
                <w:color w:val="231F20"/>
              </w:rPr>
              <w:t>September 29, 2023</w:t>
            </w:r>
          </w:p>
        </w:tc>
        <w:tc>
          <w:tcPr>
            <w:tcW w:w="20" w:type="dxa"/>
            <w:vAlign w:val="bottom"/>
            <w:shd w:val="clear" w:color="auto" w:fill="FDFDFC"/>
          </w:tcPr>
          <w:p>
            <w:pPr>
              <w:spacing w:after="0"/>
              <w:rPr>
                <w:sz w:val="18"/>
                <w:szCs w:val="18"/>
                <w:color w:val="auto"/>
              </w:rPr>
            </w:pPr>
          </w:p>
        </w:tc>
        <w:tc>
          <w:tcPr>
            <w:tcW w:w="100" w:type="dxa"/>
            <w:vAlign w:val="bottom"/>
            <w:shd w:val="clear" w:color="auto" w:fill="FDFDFC"/>
          </w:tcPr>
          <w:p>
            <w:pPr>
              <w:spacing w:after="0"/>
              <w:rPr>
                <w:sz w:val="18"/>
                <w:szCs w:val="18"/>
                <w:color w:val="auto"/>
              </w:rPr>
            </w:pPr>
          </w:p>
        </w:tc>
        <w:tc>
          <w:tcPr>
            <w:tcW w:w="20" w:type="dxa"/>
            <w:vAlign w:val="bottom"/>
            <w:shd w:val="clear" w:color="auto" w:fill="FDFDFC"/>
          </w:tcPr>
          <w:p>
            <w:pPr>
              <w:spacing w:after="0"/>
              <w:rPr>
                <w:sz w:val="18"/>
                <w:szCs w:val="18"/>
                <w:color w:val="auto"/>
              </w:rPr>
            </w:pPr>
          </w:p>
        </w:tc>
        <w:tc>
          <w:tcPr>
            <w:tcW w:w="520" w:type="dxa"/>
            <w:vAlign w:val="bottom"/>
            <w:shd w:val="clear" w:color="auto" w:fill="FDFDFC"/>
          </w:tcPr>
          <w:p>
            <w:pPr>
              <w:spacing w:after="0"/>
              <w:rPr>
                <w:sz w:val="18"/>
                <w:szCs w:val="18"/>
                <w:color w:val="auto"/>
              </w:rPr>
            </w:pPr>
          </w:p>
        </w:tc>
        <w:tc>
          <w:tcPr>
            <w:tcW w:w="820" w:type="dxa"/>
            <w:vAlign w:val="bottom"/>
            <w:shd w:val="clear" w:color="auto" w:fill="FDFDFC"/>
          </w:tcPr>
          <w:p>
            <w:pPr>
              <w:jc w:val="right"/>
              <w:spacing w:after="0" w:line="217" w:lineRule="exact"/>
              <w:rPr>
                <w:sz w:val="20"/>
                <w:szCs w:val="20"/>
                <w:color w:val="auto"/>
              </w:rPr>
            </w:pPr>
            <w:r>
              <w:rPr>
                <w:rFonts w:ascii="Times New Roman" w:cs="Times New Roman" w:eastAsia="Times New Roman" w:hAnsi="Times New Roman"/>
                <w:sz w:val="19"/>
                <w:szCs w:val="19"/>
                <w:color w:val="231F20"/>
              </w:rPr>
              <w:t>0.46</w:t>
            </w:r>
          </w:p>
        </w:tc>
        <w:tc>
          <w:tcPr>
            <w:tcW w:w="100" w:type="dxa"/>
            <w:vAlign w:val="bottom"/>
            <w:shd w:val="clear" w:color="auto" w:fill="FDFDFC"/>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560" w:type="dxa"/>
            <w:vAlign w:val="bottom"/>
            <w:shd w:val="clear" w:color="auto" w:fill="D0EBF2"/>
          </w:tcPr>
          <w:p>
            <w:pPr>
              <w:spacing w:after="0" w:line="217" w:lineRule="exact"/>
              <w:rPr>
                <w:sz w:val="20"/>
                <w:szCs w:val="20"/>
                <w:color w:val="auto"/>
              </w:rPr>
            </w:pPr>
            <w:r>
              <w:rPr>
                <w:rFonts w:ascii="Times New Roman" w:cs="Times New Roman" w:eastAsia="Times New Roman" w:hAnsi="Times New Roman"/>
                <w:sz w:val="19"/>
                <w:szCs w:val="19"/>
                <w:color w:val="231F20"/>
              </w:rPr>
              <w:t>November 2, 2023</w:t>
            </w:r>
          </w:p>
        </w:tc>
        <w:tc>
          <w:tcPr>
            <w:tcW w:w="100" w:type="dxa"/>
            <w:vAlign w:val="bottom"/>
            <w:shd w:val="clear" w:color="auto" w:fill="D0EBF2"/>
          </w:tcPr>
          <w:p>
            <w:pPr>
              <w:spacing w:after="0"/>
              <w:rPr>
                <w:sz w:val="18"/>
                <w:szCs w:val="18"/>
                <w:color w:val="auto"/>
              </w:rPr>
            </w:pPr>
          </w:p>
        </w:tc>
        <w:tc>
          <w:tcPr>
            <w:tcW w:w="1600" w:type="dxa"/>
            <w:vAlign w:val="bottom"/>
            <w:shd w:val="clear" w:color="auto" w:fill="D0EBF2"/>
          </w:tcPr>
          <w:p>
            <w:pPr>
              <w:jc w:val="center"/>
              <w:spacing w:after="0" w:line="217" w:lineRule="exact"/>
              <w:rPr>
                <w:sz w:val="20"/>
                <w:szCs w:val="20"/>
                <w:color w:val="auto"/>
              </w:rPr>
            </w:pPr>
            <w:r>
              <w:rPr>
                <w:rFonts w:ascii="Times New Roman" w:cs="Times New Roman" w:eastAsia="Times New Roman" w:hAnsi="Times New Roman"/>
                <w:sz w:val="19"/>
                <w:szCs w:val="19"/>
                <w:color w:val="231F20"/>
                <w:w w:val="99"/>
              </w:rPr>
              <w:t>Supplemental</w:t>
            </w:r>
          </w:p>
        </w:tc>
        <w:tc>
          <w:tcPr>
            <w:tcW w:w="20" w:type="dxa"/>
            <w:vAlign w:val="bottom"/>
            <w:shd w:val="clear" w:color="auto" w:fill="D0EBF2"/>
          </w:tcPr>
          <w:p>
            <w:pPr>
              <w:spacing w:after="0"/>
              <w:rPr>
                <w:sz w:val="18"/>
                <w:szCs w:val="18"/>
                <w:color w:val="auto"/>
              </w:rPr>
            </w:pPr>
          </w:p>
        </w:tc>
        <w:tc>
          <w:tcPr>
            <w:tcW w:w="100" w:type="dxa"/>
            <w:vAlign w:val="bottom"/>
            <w:shd w:val="clear" w:color="auto" w:fill="D0EBF2"/>
          </w:tcPr>
          <w:p>
            <w:pPr>
              <w:spacing w:after="0"/>
              <w:rPr>
                <w:sz w:val="18"/>
                <w:szCs w:val="18"/>
                <w:color w:val="auto"/>
              </w:rPr>
            </w:pPr>
          </w:p>
        </w:tc>
        <w:tc>
          <w:tcPr>
            <w:tcW w:w="20" w:type="dxa"/>
            <w:vAlign w:val="bottom"/>
            <w:shd w:val="clear" w:color="auto" w:fill="D0EBF2"/>
          </w:tcPr>
          <w:p>
            <w:pPr>
              <w:spacing w:after="0"/>
              <w:rPr>
                <w:sz w:val="18"/>
                <w:szCs w:val="18"/>
                <w:color w:val="auto"/>
              </w:rPr>
            </w:pPr>
          </w:p>
        </w:tc>
        <w:tc>
          <w:tcPr>
            <w:tcW w:w="1960" w:type="dxa"/>
            <w:vAlign w:val="bottom"/>
            <w:shd w:val="clear" w:color="auto" w:fill="D0EBF2"/>
          </w:tcPr>
          <w:p>
            <w:pPr>
              <w:jc w:val="right"/>
              <w:spacing w:after="0" w:line="217" w:lineRule="exact"/>
              <w:rPr>
                <w:sz w:val="20"/>
                <w:szCs w:val="20"/>
                <w:color w:val="auto"/>
              </w:rPr>
            </w:pPr>
            <w:r>
              <w:rPr>
                <w:rFonts w:ascii="Times New Roman" w:cs="Times New Roman" w:eastAsia="Times New Roman" w:hAnsi="Times New Roman"/>
                <w:sz w:val="19"/>
                <w:szCs w:val="19"/>
                <w:color w:val="231F20"/>
              </w:rPr>
              <w:t>November 30, 2023</w:t>
            </w:r>
          </w:p>
        </w:tc>
        <w:tc>
          <w:tcPr>
            <w:tcW w:w="20" w:type="dxa"/>
            <w:vAlign w:val="bottom"/>
            <w:shd w:val="clear" w:color="auto" w:fill="D0EBF2"/>
          </w:tcPr>
          <w:p>
            <w:pPr>
              <w:spacing w:after="0"/>
              <w:rPr>
                <w:sz w:val="18"/>
                <w:szCs w:val="18"/>
                <w:color w:val="auto"/>
              </w:rPr>
            </w:pPr>
          </w:p>
        </w:tc>
        <w:tc>
          <w:tcPr>
            <w:tcW w:w="120" w:type="dxa"/>
            <w:vAlign w:val="bottom"/>
            <w:shd w:val="clear" w:color="auto" w:fill="D0EBF2"/>
          </w:tcPr>
          <w:p>
            <w:pPr>
              <w:spacing w:after="0"/>
              <w:rPr>
                <w:sz w:val="18"/>
                <w:szCs w:val="18"/>
                <w:color w:val="auto"/>
              </w:rPr>
            </w:pPr>
          </w:p>
        </w:tc>
        <w:tc>
          <w:tcPr>
            <w:tcW w:w="540" w:type="dxa"/>
            <w:vAlign w:val="bottom"/>
            <w:shd w:val="clear" w:color="auto" w:fill="D0EBF2"/>
          </w:tcPr>
          <w:p>
            <w:pPr>
              <w:spacing w:after="0"/>
              <w:rPr>
                <w:sz w:val="18"/>
                <w:szCs w:val="18"/>
                <w:color w:val="auto"/>
              </w:rPr>
            </w:pPr>
          </w:p>
        </w:tc>
        <w:tc>
          <w:tcPr>
            <w:tcW w:w="1580" w:type="dxa"/>
            <w:vAlign w:val="bottom"/>
            <w:shd w:val="clear" w:color="auto" w:fill="D0EBF2"/>
          </w:tcPr>
          <w:p>
            <w:pPr>
              <w:jc w:val="right"/>
              <w:spacing w:after="0" w:line="217" w:lineRule="exact"/>
              <w:rPr>
                <w:sz w:val="20"/>
                <w:szCs w:val="20"/>
                <w:color w:val="auto"/>
              </w:rPr>
            </w:pPr>
            <w:r>
              <w:rPr>
                <w:rFonts w:ascii="Times New Roman" w:cs="Times New Roman" w:eastAsia="Times New Roman" w:hAnsi="Times New Roman"/>
                <w:sz w:val="19"/>
                <w:szCs w:val="19"/>
                <w:color w:val="231F20"/>
              </w:rPr>
              <w:t>December 20, 2023</w:t>
            </w:r>
          </w:p>
        </w:tc>
        <w:tc>
          <w:tcPr>
            <w:tcW w:w="20" w:type="dxa"/>
            <w:vAlign w:val="bottom"/>
            <w:shd w:val="clear" w:color="auto" w:fill="D0EBF2"/>
          </w:tcPr>
          <w:p>
            <w:pPr>
              <w:spacing w:after="0"/>
              <w:rPr>
                <w:sz w:val="18"/>
                <w:szCs w:val="18"/>
                <w:color w:val="auto"/>
              </w:rPr>
            </w:pPr>
          </w:p>
        </w:tc>
        <w:tc>
          <w:tcPr>
            <w:tcW w:w="100" w:type="dxa"/>
            <w:vAlign w:val="bottom"/>
            <w:shd w:val="clear" w:color="auto" w:fill="D0EBF2"/>
          </w:tcPr>
          <w:p>
            <w:pPr>
              <w:spacing w:after="0"/>
              <w:rPr>
                <w:sz w:val="18"/>
                <w:szCs w:val="18"/>
                <w:color w:val="auto"/>
              </w:rPr>
            </w:pPr>
          </w:p>
        </w:tc>
        <w:tc>
          <w:tcPr>
            <w:tcW w:w="20" w:type="dxa"/>
            <w:vAlign w:val="bottom"/>
            <w:shd w:val="clear" w:color="auto" w:fill="D0EBF2"/>
          </w:tcPr>
          <w:p>
            <w:pPr>
              <w:spacing w:after="0"/>
              <w:rPr>
                <w:sz w:val="18"/>
                <w:szCs w:val="18"/>
                <w:color w:val="auto"/>
              </w:rPr>
            </w:pPr>
          </w:p>
        </w:tc>
        <w:tc>
          <w:tcPr>
            <w:tcW w:w="520" w:type="dxa"/>
            <w:vAlign w:val="bottom"/>
            <w:shd w:val="clear" w:color="auto" w:fill="D0EBF2"/>
          </w:tcPr>
          <w:p>
            <w:pPr>
              <w:spacing w:after="0"/>
              <w:rPr>
                <w:sz w:val="18"/>
                <w:szCs w:val="18"/>
                <w:color w:val="auto"/>
              </w:rPr>
            </w:pPr>
          </w:p>
        </w:tc>
        <w:tc>
          <w:tcPr>
            <w:tcW w:w="820" w:type="dxa"/>
            <w:vAlign w:val="bottom"/>
            <w:shd w:val="clear" w:color="auto" w:fill="D0EBF2"/>
          </w:tcPr>
          <w:p>
            <w:pPr>
              <w:jc w:val="right"/>
              <w:spacing w:after="0" w:line="217" w:lineRule="exact"/>
              <w:rPr>
                <w:sz w:val="20"/>
                <w:szCs w:val="20"/>
                <w:color w:val="auto"/>
              </w:rPr>
            </w:pPr>
            <w:r>
              <w:rPr>
                <w:rFonts w:ascii="Times New Roman" w:cs="Times New Roman" w:eastAsia="Times New Roman" w:hAnsi="Times New Roman"/>
                <w:sz w:val="19"/>
                <w:szCs w:val="19"/>
                <w:color w:val="231F20"/>
              </w:rPr>
              <w:t>0.07</w:t>
            </w:r>
          </w:p>
        </w:tc>
        <w:tc>
          <w:tcPr>
            <w:tcW w:w="100" w:type="dxa"/>
            <w:vAlign w:val="bottom"/>
            <w:shd w:val="clear" w:color="auto" w:fill="D0EBF2"/>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560" w:type="dxa"/>
            <w:vAlign w:val="bottom"/>
            <w:tcBorders>
              <w:bottom w:val="single" w:sz="8" w:color="D0EBF2"/>
            </w:tcBorders>
            <w:shd w:val="clear" w:color="auto" w:fill="FDFDFC"/>
          </w:tcPr>
          <w:p>
            <w:pPr>
              <w:spacing w:after="0" w:line="217" w:lineRule="exact"/>
              <w:rPr>
                <w:sz w:val="20"/>
                <w:szCs w:val="20"/>
                <w:color w:val="auto"/>
              </w:rPr>
            </w:pPr>
            <w:r>
              <w:rPr>
                <w:rFonts w:ascii="Times New Roman" w:cs="Times New Roman" w:eastAsia="Times New Roman" w:hAnsi="Times New Roman"/>
                <w:sz w:val="19"/>
                <w:szCs w:val="19"/>
                <w:color w:val="231F20"/>
              </w:rPr>
              <w:t>November 2, 2023</w:t>
            </w:r>
          </w:p>
        </w:tc>
        <w:tc>
          <w:tcPr>
            <w:tcW w:w="100" w:type="dxa"/>
            <w:vAlign w:val="bottom"/>
            <w:tcBorders>
              <w:bottom w:val="single" w:sz="8" w:color="D0EBF2"/>
            </w:tcBorders>
            <w:shd w:val="clear" w:color="auto" w:fill="FDFDFC"/>
          </w:tcPr>
          <w:p>
            <w:pPr>
              <w:spacing w:after="0"/>
              <w:rPr>
                <w:sz w:val="18"/>
                <w:szCs w:val="18"/>
                <w:color w:val="auto"/>
              </w:rPr>
            </w:pPr>
          </w:p>
        </w:tc>
        <w:tc>
          <w:tcPr>
            <w:tcW w:w="1600" w:type="dxa"/>
            <w:vAlign w:val="bottom"/>
            <w:tcBorders>
              <w:bottom w:val="single" w:sz="8" w:color="D0EBF2"/>
            </w:tcBorders>
            <w:shd w:val="clear" w:color="auto" w:fill="FDFDFC"/>
          </w:tcPr>
          <w:p>
            <w:pPr>
              <w:jc w:val="center"/>
              <w:spacing w:after="0" w:line="217" w:lineRule="exact"/>
              <w:rPr>
                <w:sz w:val="20"/>
                <w:szCs w:val="20"/>
                <w:color w:val="auto"/>
              </w:rPr>
            </w:pPr>
            <w:r>
              <w:rPr>
                <w:rFonts w:ascii="Times New Roman" w:cs="Times New Roman" w:eastAsia="Times New Roman" w:hAnsi="Times New Roman"/>
                <w:sz w:val="19"/>
                <w:szCs w:val="19"/>
                <w:color w:val="231F20"/>
              </w:rPr>
              <w:t>Base</w:t>
            </w:r>
          </w:p>
        </w:tc>
        <w:tc>
          <w:tcPr>
            <w:tcW w:w="20" w:type="dxa"/>
            <w:vAlign w:val="bottom"/>
            <w:tcBorders>
              <w:bottom w:val="single" w:sz="8" w:color="D0EBF2"/>
            </w:tcBorders>
            <w:shd w:val="clear" w:color="auto" w:fill="FDFDFC"/>
          </w:tcPr>
          <w:p>
            <w:pPr>
              <w:spacing w:after="0"/>
              <w:rPr>
                <w:sz w:val="18"/>
                <w:szCs w:val="18"/>
                <w:color w:val="auto"/>
              </w:rPr>
            </w:pPr>
          </w:p>
        </w:tc>
        <w:tc>
          <w:tcPr>
            <w:tcW w:w="100" w:type="dxa"/>
            <w:vAlign w:val="bottom"/>
            <w:tcBorders>
              <w:bottom w:val="single" w:sz="8" w:color="D0EBF2"/>
            </w:tcBorders>
            <w:shd w:val="clear" w:color="auto" w:fill="FDFDFC"/>
          </w:tcPr>
          <w:p>
            <w:pPr>
              <w:spacing w:after="0"/>
              <w:rPr>
                <w:sz w:val="18"/>
                <w:szCs w:val="18"/>
                <w:color w:val="auto"/>
              </w:rPr>
            </w:pPr>
          </w:p>
        </w:tc>
        <w:tc>
          <w:tcPr>
            <w:tcW w:w="20" w:type="dxa"/>
            <w:vAlign w:val="bottom"/>
            <w:tcBorders>
              <w:bottom w:val="single" w:sz="8" w:color="D0EBF2"/>
            </w:tcBorders>
            <w:shd w:val="clear" w:color="auto" w:fill="FDFDFC"/>
          </w:tcPr>
          <w:p>
            <w:pPr>
              <w:spacing w:after="0"/>
              <w:rPr>
                <w:sz w:val="18"/>
                <w:szCs w:val="18"/>
                <w:color w:val="auto"/>
              </w:rPr>
            </w:pPr>
          </w:p>
        </w:tc>
        <w:tc>
          <w:tcPr>
            <w:tcW w:w="1960" w:type="dxa"/>
            <w:vAlign w:val="bottom"/>
            <w:tcBorders>
              <w:bottom w:val="single" w:sz="8" w:color="D0EBF2"/>
            </w:tcBorders>
            <w:shd w:val="clear" w:color="auto" w:fill="FDFDFC"/>
          </w:tcPr>
          <w:p>
            <w:pPr>
              <w:jc w:val="right"/>
              <w:spacing w:after="0" w:line="217" w:lineRule="exact"/>
              <w:rPr>
                <w:sz w:val="20"/>
                <w:szCs w:val="20"/>
                <w:color w:val="auto"/>
              </w:rPr>
            </w:pPr>
            <w:r>
              <w:rPr>
                <w:rFonts w:ascii="Times New Roman" w:cs="Times New Roman" w:eastAsia="Times New Roman" w:hAnsi="Times New Roman"/>
                <w:sz w:val="19"/>
                <w:szCs w:val="19"/>
                <w:color w:val="231F20"/>
              </w:rPr>
              <w:t>December 15, 2023</w:t>
            </w:r>
          </w:p>
        </w:tc>
        <w:tc>
          <w:tcPr>
            <w:tcW w:w="20" w:type="dxa"/>
            <w:vAlign w:val="bottom"/>
            <w:tcBorders>
              <w:bottom w:val="single" w:sz="8" w:color="D0EBF2"/>
            </w:tcBorders>
            <w:shd w:val="clear" w:color="auto" w:fill="FDFDFC"/>
          </w:tcPr>
          <w:p>
            <w:pPr>
              <w:spacing w:after="0"/>
              <w:rPr>
                <w:sz w:val="18"/>
                <w:szCs w:val="18"/>
                <w:color w:val="auto"/>
              </w:rPr>
            </w:pPr>
          </w:p>
        </w:tc>
        <w:tc>
          <w:tcPr>
            <w:tcW w:w="120" w:type="dxa"/>
            <w:vAlign w:val="bottom"/>
            <w:tcBorders>
              <w:bottom w:val="single" w:sz="8" w:color="D0EBF2"/>
            </w:tcBorders>
            <w:shd w:val="clear" w:color="auto" w:fill="FDFDFC"/>
          </w:tcPr>
          <w:p>
            <w:pPr>
              <w:spacing w:after="0"/>
              <w:rPr>
                <w:sz w:val="18"/>
                <w:szCs w:val="18"/>
                <w:color w:val="auto"/>
              </w:rPr>
            </w:pPr>
          </w:p>
        </w:tc>
        <w:tc>
          <w:tcPr>
            <w:tcW w:w="540" w:type="dxa"/>
            <w:vAlign w:val="bottom"/>
            <w:tcBorders>
              <w:bottom w:val="single" w:sz="8" w:color="D0EBF2"/>
            </w:tcBorders>
            <w:shd w:val="clear" w:color="auto" w:fill="FDFDFC"/>
          </w:tcPr>
          <w:p>
            <w:pPr>
              <w:spacing w:after="0"/>
              <w:rPr>
                <w:sz w:val="18"/>
                <w:szCs w:val="18"/>
                <w:color w:val="auto"/>
              </w:rPr>
            </w:pPr>
          </w:p>
        </w:tc>
        <w:tc>
          <w:tcPr>
            <w:tcW w:w="1580" w:type="dxa"/>
            <w:vAlign w:val="bottom"/>
            <w:tcBorders>
              <w:bottom w:val="single" w:sz="8" w:color="D0EBF2"/>
            </w:tcBorders>
            <w:shd w:val="clear" w:color="auto" w:fill="FDFDFC"/>
          </w:tcPr>
          <w:p>
            <w:pPr>
              <w:jc w:val="right"/>
              <w:spacing w:after="0" w:line="217" w:lineRule="exact"/>
              <w:rPr>
                <w:sz w:val="20"/>
                <w:szCs w:val="20"/>
                <w:color w:val="auto"/>
              </w:rPr>
            </w:pPr>
            <w:r>
              <w:rPr>
                <w:rFonts w:ascii="Times New Roman" w:cs="Times New Roman" w:eastAsia="Times New Roman" w:hAnsi="Times New Roman"/>
                <w:sz w:val="19"/>
                <w:szCs w:val="19"/>
                <w:color w:val="231F20"/>
              </w:rPr>
              <w:t>December 29, 2023</w:t>
            </w:r>
          </w:p>
        </w:tc>
        <w:tc>
          <w:tcPr>
            <w:tcW w:w="20" w:type="dxa"/>
            <w:vAlign w:val="bottom"/>
            <w:tcBorders>
              <w:bottom w:val="single" w:sz="8" w:color="D0EBF2"/>
            </w:tcBorders>
            <w:shd w:val="clear" w:color="auto" w:fill="FDFDFC"/>
          </w:tcPr>
          <w:p>
            <w:pPr>
              <w:spacing w:after="0"/>
              <w:rPr>
                <w:sz w:val="18"/>
                <w:szCs w:val="18"/>
                <w:color w:val="auto"/>
              </w:rPr>
            </w:pPr>
          </w:p>
        </w:tc>
        <w:tc>
          <w:tcPr>
            <w:tcW w:w="100" w:type="dxa"/>
            <w:vAlign w:val="bottom"/>
            <w:tcBorders>
              <w:bottom w:val="single" w:sz="8" w:color="D0EBF2"/>
            </w:tcBorders>
            <w:shd w:val="clear" w:color="auto" w:fill="FDFDFC"/>
          </w:tcPr>
          <w:p>
            <w:pPr>
              <w:spacing w:after="0"/>
              <w:rPr>
                <w:sz w:val="18"/>
                <w:szCs w:val="18"/>
                <w:color w:val="auto"/>
              </w:rPr>
            </w:pPr>
          </w:p>
        </w:tc>
        <w:tc>
          <w:tcPr>
            <w:tcW w:w="20" w:type="dxa"/>
            <w:vAlign w:val="bottom"/>
            <w:tcBorders>
              <w:bottom w:val="single" w:sz="8" w:color="D0EBF2"/>
            </w:tcBorders>
            <w:shd w:val="clear" w:color="auto" w:fill="FDFDFC"/>
          </w:tcPr>
          <w:p>
            <w:pPr>
              <w:spacing w:after="0"/>
              <w:rPr>
                <w:sz w:val="18"/>
                <w:szCs w:val="18"/>
                <w:color w:val="auto"/>
              </w:rPr>
            </w:pPr>
          </w:p>
        </w:tc>
        <w:tc>
          <w:tcPr>
            <w:tcW w:w="520" w:type="dxa"/>
            <w:vAlign w:val="bottom"/>
            <w:tcBorders>
              <w:bottom w:val="single" w:sz="8" w:color="231F20"/>
            </w:tcBorders>
            <w:shd w:val="clear" w:color="auto" w:fill="FDFDFC"/>
          </w:tcPr>
          <w:p>
            <w:pPr>
              <w:spacing w:after="0"/>
              <w:rPr>
                <w:sz w:val="18"/>
                <w:szCs w:val="18"/>
                <w:color w:val="auto"/>
              </w:rPr>
            </w:pPr>
          </w:p>
        </w:tc>
        <w:tc>
          <w:tcPr>
            <w:tcW w:w="820" w:type="dxa"/>
            <w:vAlign w:val="bottom"/>
            <w:tcBorders>
              <w:bottom w:val="single" w:sz="8" w:color="231F20"/>
            </w:tcBorders>
            <w:shd w:val="clear" w:color="auto" w:fill="FDFDFC"/>
          </w:tcPr>
          <w:p>
            <w:pPr>
              <w:jc w:val="right"/>
              <w:spacing w:after="0" w:line="217" w:lineRule="exact"/>
              <w:rPr>
                <w:sz w:val="20"/>
                <w:szCs w:val="20"/>
                <w:color w:val="auto"/>
              </w:rPr>
            </w:pPr>
            <w:r>
              <w:rPr>
                <w:rFonts w:ascii="Times New Roman" w:cs="Times New Roman" w:eastAsia="Times New Roman" w:hAnsi="Times New Roman"/>
                <w:sz w:val="19"/>
                <w:szCs w:val="19"/>
                <w:color w:val="231F20"/>
              </w:rPr>
              <w:t>0.46</w:t>
            </w:r>
          </w:p>
        </w:tc>
        <w:tc>
          <w:tcPr>
            <w:tcW w:w="100" w:type="dxa"/>
            <w:vAlign w:val="bottom"/>
            <w:tcBorders>
              <w:bottom w:val="single" w:sz="8" w:color="D0EBF2"/>
            </w:tcBorders>
            <w:shd w:val="clear" w:color="auto" w:fill="FDFDFC"/>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2560" w:type="dxa"/>
            <w:vAlign w:val="bottom"/>
            <w:shd w:val="clear" w:color="auto" w:fill="D0EBF2"/>
          </w:tcPr>
          <w:p>
            <w:pPr>
              <w:ind w:left="180"/>
              <w:spacing w:after="0" w:line="206" w:lineRule="exact"/>
              <w:rPr>
                <w:sz w:val="20"/>
                <w:szCs w:val="20"/>
                <w:color w:val="auto"/>
              </w:rPr>
            </w:pPr>
            <w:r>
              <w:rPr>
                <w:rFonts w:ascii="Times New Roman" w:cs="Times New Roman" w:eastAsia="Times New Roman" w:hAnsi="Times New Roman"/>
                <w:sz w:val="19"/>
                <w:szCs w:val="19"/>
                <w:b w:val="1"/>
                <w:bCs w:val="1"/>
                <w:color w:val="231F20"/>
              </w:rPr>
              <w:t>Total Dividends Declared</w:t>
            </w:r>
          </w:p>
        </w:tc>
        <w:tc>
          <w:tcPr>
            <w:tcW w:w="100" w:type="dxa"/>
            <w:vAlign w:val="bottom"/>
            <w:shd w:val="clear" w:color="auto" w:fill="D0EBF2"/>
          </w:tcPr>
          <w:p>
            <w:pPr>
              <w:spacing w:after="0"/>
              <w:rPr>
                <w:sz w:val="17"/>
                <w:szCs w:val="17"/>
                <w:color w:val="auto"/>
              </w:rPr>
            </w:pPr>
          </w:p>
        </w:tc>
        <w:tc>
          <w:tcPr>
            <w:tcW w:w="1600" w:type="dxa"/>
            <w:vAlign w:val="bottom"/>
            <w:shd w:val="clear" w:color="auto" w:fill="D0EBF2"/>
          </w:tcPr>
          <w:p>
            <w:pPr>
              <w:spacing w:after="0"/>
              <w:rPr>
                <w:sz w:val="17"/>
                <w:szCs w:val="17"/>
                <w:color w:val="auto"/>
              </w:rPr>
            </w:pPr>
          </w:p>
        </w:tc>
        <w:tc>
          <w:tcPr>
            <w:tcW w:w="20" w:type="dxa"/>
            <w:vAlign w:val="bottom"/>
            <w:shd w:val="clear" w:color="auto" w:fill="D0EBF2"/>
          </w:tcPr>
          <w:p>
            <w:pPr>
              <w:spacing w:after="0"/>
              <w:rPr>
                <w:sz w:val="17"/>
                <w:szCs w:val="17"/>
                <w:color w:val="auto"/>
              </w:rPr>
            </w:pPr>
          </w:p>
        </w:tc>
        <w:tc>
          <w:tcPr>
            <w:tcW w:w="100" w:type="dxa"/>
            <w:vAlign w:val="bottom"/>
            <w:shd w:val="clear" w:color="auto" w:fill="D0EBF2"/>
          </w:tcPr>
          <w:p>
            <w:pPr>
              <w:spacing w:after="0"/>
              <w:rPr>
                <w:sz w:val="17"/>
                <w:szCs w:val="17"/>
                <w:color w:val="auto"/>
              </w:rPr>
            </w:pPr>
          </w:p>
        </w:tc>
        <w:tc>
          <w:tcPr>
            <w:tcW w:w="20" w:type="dxa"/>
            <w:vAlign w:val="bottom"/>
            <w:shd w:val="clear" w:color="auto" w:fill="D0EBF2"/>
          </w:tcPr>
          <w:p>
            <w:pPr>
              <w:spacing w:after="0"/>
              <w:rPr>
                <w:sz w:val="17"/>
                <w:szCs w:val="17"/>
                <w:color w:val="auto"/>
              </w:rPr>
            </w:pPr>
          </w:p>
        </w:tc>
        <w:tc>
          <w:tcPr>
            <w:tcW w:w="1960" w:type="dxa"/>
            <w:vAlign w:val="bottom"/>
            <w:shd w:val="clear" w:color="auto" w:fill="D0EBF2"/>
          </w:tcPr>
          <w:p>
            <w:pPr>
              <w:spacing w:after="0"/>
              <w:rPr>
                <w:sz w:val="17"/>
                <w:szCs w:val="17"/>
                <w:color w:val="auto"/>
              </w:rPr>
            </w:pPr>
          </w:p>
        </w:tc>
        <w:tc>
          <w:tcPr>
            <w:tcW w:w="20" w:type="dxa"/>
            <w:vAlign w:val="bottom"/>
            <w:shd w:val="clear" w:color="auto" w:fill="D0EBF2"/>
          </w:tcPr>
          <w:p>
            <w:pPr>
              <w:spacing w:after="0"/>
              <w:rPr>
                <w:sz w:val="17"/>
                <w:szCs w:val="17"/>
                <w:color w:val="auto"/>
              </w:rPr>
            </w:pPr>
          </w:p>
        </w:tc>
        <w:tc>
          <w:tcPr>
            <w:tcW w:w="120" w:type="dxa"/>
            <w:vAlign w:val="bottom"/>
            <w:shd w:val="clear" w:color="auto" w:fill="D0EBF2"/>
          </w:tcPr>
          <w:p>
            <w:pPr>
              <w:spacing w:after="0"/>
              <w:rPr>
                <w:sz w:val="17"/>
                <w:szCs w:val="17"/>
                <w:color w:val="auto"/>
              </w:rPr>
            </w:pPr>
          </w:p>
        </w:tc>
        <w:tc>
          <w:tcPr>
            <w:tcW w:w="540" w:type="dxa"/>
            <w:vAlign w:val="bottom"/>
            <w:shd w:val="clear" w:color="auto" w:fill="D0EBF2"/>
          </w:tcPr>
          <w:p>
            <w:pPr>
              <w:spacing w:after="0"/>
              <w:rPr>
                <w:sz w:val="17"/>
                <w:szCs w:val="17"/>
                <w:color w:val="auto"/>
              </w:rPr>
            </w:pPr>
          </w:p>
        </w:tc>
        <w:tc>
          <w:tcPr>
            <w:tcW w:w="1580" w:type="dxa"/>
            <w:vAlign w:val="bottom"/>
            <w:shd w:val="clear" w:color="auto" w:fill="D0EBF2"/>
          </w:tcPr>
          <w:p>
            <w:pPr>
              <w:spacing w:after="0"/>
              <w:rPr>
                <w:sz w:val="17"/>
                <w:szCs w:val="17"/>
                <w:color w:val="auto"/>
              </w:rPr>
            </w:pPr>
          </w:p>
        </w:tc>
        <w:tc>
          <w:tcPr>
            <w:tcW w:w="20" w:type="dxa"/>
            <w:vAlign w:val="bottom"/>
            <w:shd w:val="clear" w:color="auto" w:fill="D0EBF2"/>
          </w:tcPr>
          <w:p>
            <w:pPr>
              <w:spacing w:after="0"/>
              <w:rPr>
                <w:sz w:val="17"/>
                <w:szCs w:val="17"/>
                <w:color w:val="auto"/>
              </w:rPr>
            </w:pPr>
          </w:p>
        </w:tc>
        <w:tc>
          <w:tcPr>
            <w:tcW w:w="100" w:type="dxa"/>
            <w:vAlign w:val="bottom"/>
            <w:shd w:val="clear" w:color="auto" w:fill="D0EBF2"/>
          </w:tcPr>
          <w:p>
            <w:pPr>
              <w:spacing w:after="0"/>
              <w:rPr>
                <w:sz w:val="17"/>
                <w:szCs w:val="17"/>
                <w:color w:val="auto"/>
              </w:rPr>
            </w:pPr>
          </w:p>
        </w:tc>
        <w:tc>
          <w:tcPr>
            <w:tcW w:w="20" w:type="dxa"/>
            <w:vAlign w:val="bottom"/>
            <w:shd w:val="clear" w:color="auto" w:fill="D0EBF2"/>
          </w:tcPr>
          <w:p>
            <w:pPr>
              <w:spacing w:after="0"/>
              <w:rPr>
                <w:sz w:val="17"/>
                <w:szCs w:val="17"/>
                <w:color w:val="auto"/>
              </w:rPr>
            </w:pPr>
          </w:p>
        </w:tc>
        <w:tc>
          <w:tcPr>
            <w:tcW w:w="520" w:type="dxa"/>
            <w:vAlign w:val="bottom"/>
            <w:tcBorders>
              <w:bottom w:val="single" w:sz="8" w:color="231F20"/>
            </w:tcBorders>
            <w:shd w:val="clear" w:color="auto" w:fill="D0EBF2"/>
          </w:tcPr>
          <w:p>
            <w:pPr>
              <w:jc w:val="right"/>
              <w:ind w:right="360"/>
              <w:spacing w:after="0"/>
              <w:rPr>
                <w:sz w:val="20"/>
                <w:szCs w:val="20"/>
                <w:color w:val="auto"/>
              </w:rPr>
            </w:pPr>
            <w:r>
              <w:rPr>
                <w:rFonts w:ascii="Times New Roman" w:cs="Times New Roman" w:eastAsia="Times New Roman" w:hAnsi="Times New Roman"/>
                <w:sz w:val="17"/>
                <w:szCs w:val="17"/>
                <w:color w:val="231F20"/>
                <w:w w:val="70"/>
              </w:rPr>
              <w:t>$</w:t>
            </w:r>
          </w:p>
        </w:tc>
        <w:tc>
          <w:tcPr>
            <w:tcW w:w="820" w:type="dxa"/>
            <w:vAlign w:val="bottom"/>
            <w:tcBorders>
              <w:bottom w:val="single" w:sz="8" w:color="231F20"/>
            </w:tcBorders>
            <w:shd w:val="clear" w:color="auto" w:fill="D0EBF2"/>
          </w:tcPr>
          <w:p>
            <w:pPr>
              <w:jc w:val="right"/>
              <w:spacing w:after="0" w:line="207" w:lineRule="exact"/>
              <w:rPr>
                <w:sz w:val="20"/>
                <w:szCs w:val="20"/>
                <w:color w:val="auto"/>
              </w:rPr>
            </w:pPr>
            <w:r>
              <w:rPr>
                <w:rFonts w:ascii="Times New Roman" w:cs="Times New Roman" w:eastAsia="Times New Roman" w:hAnsi="Times New Roman"/>
                <w:sz w:val="19"/>
                <w:szCs w:val="19"/>
                <w:color w:val="231F20"/>
              </w:rPr>
              <w:t>2.10</w:t>
            </w:r>
          </w:p>
        </w:tc>
        <w:tc>
          <w:tcPr>
            <w:tcW w:w="100" w:type="dxa"/>
            <w:vAlign w:val="bottom"/>
            <w:shd w:val="clear" w:color="auto" w:fill="D0EBF2"/>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Borders>
              <w:bottom w:val="single" w:sz="8" w:color="231F20"/>
            </w:tcBorders>
          </w:tcPr>
          <w:p>
            <w:pPr>
              <w:spacing w:after="0" w:line="20" w:lineRule="exact"/>
              <w:rPr>
                <w:sz w:val="1"/>
                <w:szCs w:val="1"/>
                <w:color w:val="auto"/>
              </w:rPr>
            </w:pPr>
          </w:p>
        </w:tc>
        <w:tc>
          <w:tcPr>
            <w:tcW w:w="820" w:type="dxa"/>
            <w:vAlign w:val="bottom"/>
            <w:tcBorders>
              <w:bottom w:val="single" w:sz="8" w:color="231F20"/>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2240" w:h="15840" w:orient="portrait"/>
          <w:cols w:equalWidth="0" w:num="1">
            <w:col w:w="10200"/>
          </w:cols>
          <w:pgMar w:left="1020" w:top="1317" w:right="1020" w:bottom="57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231F20"/>
        </w:rPr>
        <w:t>F-51</w:t>
      </w:r>
    </w:p>
    <w:p>
      <w:pPr>
        <w:sectPr>
          <w:pgSz w:w="12240" w:h="15840" w:orient="portrait"/>
          <w:cols w:equalWidth="0" w:num="1">
            <w:col w:w="10200"/>
          </w:cols>
          <w:pgMar w:left="1020" w:top="1317" w:right="1020" w:bottom="574" w:gutter="0" w:footer="0" w:header="0"/>
          <w:type w:val="continuous"/>
        </w:sectPr>
      </w:pPr>
    </w:p>
    <w:bookmarkStart w:id="139" w:name="page140"/>
    <w:bookmarkEnd w:id="139"/>
    <w:tbl>
      <w:tblPr>
        <w:tblLayout w:type="fixed"/>
        <w:tblInd w:w="0" w:type="dxa"/>
        <w:tblCellMar>
          <w:top w:w="0" w:type="dxa"/>
          <w:left w:w="0" w:type="dxa"/>
          <w:bottom w:w="0" w:type="dxa"/>
          <w:right w:w="0" w:type="dxa"/>
        </w:tblCellMar>
      </w:tblPr>
      <w:tr>
        <w:trPr>
          <w:trHeight w:val="174"/>
        </w:trPr>
        <w:tc>
          <w:tcPr>
            <w:tcW w:w="2660" w:type="dxa"/>
            <w:vAlign w:val="bottom"/>
            <w:shd w:val="clear" w:color="auto" w:fill="FDFDFC"/>
          </w:tcPr>
          <w:p>
            <w:pPr>
              <w:spacing w:after="0"/>
              <w:rPr>
                <w:sz w:val="15"/>
                <w:szCs w:val="15"/>
                <w:color w:val="auto"/>
              </w:rPr>
            </w:pPr>
          </w:p>
        </w:tc>
        <w:tc>
          <w:tcPr>
            <w:tcW w:w="1600" w:type="dxa"/>
            <w:vAlign w:val="bottom"/>
            <w:shd w:val="clear" w:color="auto" w:fill="FDFDFC"/>
          </w:tcPr>
          <w:p>
            <w:pPr>
              <w:spacing w:after="0"/>
              <w:rPr>
                <w:sz w:val="15"/>
                <w:szCs w:val="15"/>
                <w:color w:val="auto"/>
              </w:rPr>
            </w:pPr>
          </w:p>
        </w:tc>
        <w:tc>
          <w:tcPr>
            <w:tcW w:w="120" w:type="dxa"/>
            <w:vAlign w:val="bottom"/>
            <w:shd w:val="clear" w:color="auto" w:fill="FDFDFC"/>
          </w:tcPr>
          <w:p>
            <w:pPr>
              <w:spacing w:after="0"/>
              <w:rPr>
                <w:sz w:val="15"/>
                <w:szCs w:val="15"/>
                <w:color w:val="auto"/>
              </w:rPr>
            </w:pPr>
          </w:p>
        </w:tc>
        <w:tc>
          <w:tcPr>
            <w:tcW w:w="2660" w:type="dxa"/>
            <w:vAlign w:val="bottom"/>
            <w:gridSpan w:val="3"/>
            <w:shd w:val="clear" w:color="auto" w:fill="FDFDFC"/>
          </w:tcPr>
          <w:p>
            <w:pPr>
              <w:jc w:val="center"/>
              <w:ind w:left="1232"/>
              <w:spacing w:after="0"/>
              <w:rPr>
                <w:sz w:val="20"/>
                <w:szCs w:val="20"/>
                <w:color w:val="auto"/>
              </w:rPr>
            </w:pPr>
            <w:r>
              <w:rPr>
                <w:rFonts w:ascii="Times New Roman" w:cs="Times New Roman" w:eastAsia="Times New Roman" w:hAnsi="Times New Roman"/>
                <w:sz w:val="15"/>
                <w:szCs w:val="15"/>
                <w:b w:val="1"/>
                <w:bCs w:val="1"/>
                <w:color w:val="231F20"/>
              </w:rPr>
              <w:t>Year Ended</w:t>
            </w:r>
          </w:p>
        </w:tc>
        <w:tc>
          <w:tcPr>
            <w:tcW w:w="1580" w:type="dxa"/>
            <w:vAlign w:val="bottom"/>
            <w:shd w:val="clear" w:color="auto" w:fill="FDFDFC"/>
          </w:tcPr>
          <w:p>
            <w:pPr>
              <w:spacing w:after="0"/>
              <w:rPr>
                <w:sz w:val="15"/>
                <w:szCs w:val="15"/>
                <w:color w:val="auto"/>
              </w:rPr>
            </w:pPr>
          </w:p>
        </w:tc>
        <w:tc>
          <w:tcPr>
            <w:tcW w:w="120" w:type="dxa"/>
            <w:vAlign w:val="bottom"/>
            <w:shd w:val="clear" w:color="auto" w:fill="FDFDFC"/>
          </w:tcPr>
          <w:p>
            <w:pPr>
              <w:spacing w:after="0"/>
              <w:rPr>
                <w:sz w:val="15"/>
                <w:szCs w:val="15"/>
                <w:color w:val="auto"/>
              </w:rPr>
            </w:pPr>
          </w:p>
        </w:tc>
        <w:tc>
          <w:tcPr>
            <w:tcW w:w="560" w:type="dxa"/>
            <w:vAlign w:val="bottom"/>
            <w:shd w:val="clear" w:color="auto" w:fill="FDFDFC"/>
          </w:tcPr>
          <w:p>
            <w:pPr>
              <w:spacing w:after="0"/>
              <w:rPr>
                <w:sz w:val="15"/>
                <w:szCs w:val="15"/>
                <w:color w:val="auto"/>
              </w:rPr>
            </w:pPr>
          </w:p>
        </w:tc>
        <w:tc>
          <w:tcPr>
            <w:tcW w:w="800" w:type="dxa"/>
            <w:vAlign w:val="bottom"/>
            <w:shd w:val="clear" w:color="auto" w:fill="FDFDFC"/>
          </w:tcPr>
          <w:p>
            <w:pPr>
              <w:spacing w:after="0"/>
              <w:rPr>
                <w:sz w:val="15"/>
                <w:szCs w:val="15"/>
                <w:color w:val="auto"/>
              </w:rPr>
            </w:pPr>
          </w:p>
        </w:tc>
        <w:tc>
          <w:tcPr>
            <w:tcW w:w="20" w:type="dxa"/>
            <w:vAlign w:val="bottom"/>
            <w:shd w:val="clear" w:color="auto" w:fill="FDFDFC"/>
          </w:tcPr>
          <w:p>
            <w:pPr>
              <w:spacing w:after="0"/>
              <w:rPr>
                <w:sz w:val="15"/>
                <w:szCs w:val="15"/>
                <w:color w:val="auto"/>
              </w:rPr>
            </w:pPr>
          </w:p>
        </w:tc>
        <w:tc>
          <w:tcPr>
            <w:tcW w:w="80" w:type="dxa"/>
            <w:vAlign w:val="bottom"/>
            <w:shd w:val="clear" w:color="auto" w:fill="FDFDFC"/>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2660" w:type="dxa"/>
            <w:vAlign w:val="bottom"/>
            <w:tcBorders>
              <w:bottom w:val="single" w:sz="8" w:color="FDFDFC"/>
            </w:tcBorders>
            <w:vMerge w:val="restart"/>
            <w:shd w:val="clear" w:color="auto" w:fill="FDFDFC"/>
          </w:tcPr>
          <w:p>
            <w:pPr>
              <w:spacing w:after="0"/>
              <w:rPr>
                <w:sz w:val="20"/>
                <w:szCs w:val="20"/>
                <w:color w:val="auto"/>
              </w:rPr>
            </w:pPr>
            <w:r>
              <w:rPr>
                <w:rFonts w:ascii="Times New Roman" w:cs="Times New Roman" w:eastAsia="Times New Roman" w:hAnsi="Times New Roman"/>
                <w:sz w:val="15"/>
                <w:szCs w:val="15"/>
                <w:b w:val="1"/>
                <w:bCs w:val="1"/>
                <w:color w:val="231F20"/>
              </w:rPr>
              <w:t>Date Declared</w:t>
            </w:r>
          </w:p>
        </w:tc>
        <w:tc>
          <w:tcPr>
            <w:tcW w:w="1600" w:type="dxa"/>
            <w:vAlign w:val="bottom"/>
            <w:tcBorders>
              <w:bottom w:val="single" w:sz="8" w:color="231F20"/>
            </w:tcBorders>
            <w:shd w:val="clear" w:color="auto" w:fill="FDFDFC"/>
          </w:tcPr>
          <w:p>
            <w:pPr>
              <w:spacing w:after="0"/>
              <w:rPr>
                <w:sz w:val="15"/>
                <w:szCs w:val="15"/>
                <w:color w:val="auto"/>
              </w:rPr>
            </w:pPr>
          </w:p>
        </w:tc>
        <w:tc>
          <w:tcPr>
            <w:tcW w:w="120" w:type="dxa"/>
            <w:vAlign w:val="bottom"/>
            <w:tcBorders>
              <w:bottom w:val="single" w:sz="8" w:color="231F20"/>
            </w:tcBorders>
            <w:shd w:val="clear" w:color="auto" w:fill="FDFDFC"/>
          </w:tcPr>
          <w:p>
            <w:pPr>
              <w:spacing w:after="0"/>
              <w:rPr>
                <w:sz w:val="15"/>
                <w:szCs w:val="15"/>
                <w:color w:val="auto"/>
              </w:rPr>
            </w:pPr>
          </w:p>
        </w:tc>
        <w:tc>
          <w:tcPr>
            <w:tcW w:w="2660" w:type="dxa"/>
            <w:vAlign w:val="bottom"/>
            <w:tcBorders>
              <w:bottom w:val="single" w:sz="8" w:color="231F20"/>
            </w:tcBorders>
            <w:gridSpan w:val="3"/>
            <w:shd w:val="clear" w:color="auto" w:fill="FDFDFC"/>
          </w:tcPr>
          <w:p>
            <w:pPr>
              <w:jc w:val="center"/>
              <w:ind w:left="1232"/>
              <w:spacing w:after="0"/>
              <w:rPr>
                <w:sz w:val="20"/>
                <w:szCs w:val="20"/>
                <w:color w:val="auto"/>
              </w:rPr>
            </w:pPr>
            <w:r>
              <w:rPr>
                <w:rFonts w:ascii="Times New Roman" w:cs="Times New Roman" w:eastAsia="Times New Roman" w:hAnsi="Times New Roman"/>
                <w:sz w:val="15"/>
                <w:szCs w:val="15"/>
                <w:b w:val="1"/>
                <w:bCs w:val="1"/>
                <w:color w:val="231F20"/>
              </w:rPr>
              <w:t>December 31, 2022</w:t>
            </w:r>
          </w:p>
        </w:tc>
        <w:tc>
          <w:tcPr>
            <w:tcW w:w="1580" w:type="dxa"/>
            <w:vAlign w:val="bottom"/>
            <w:tcBorders>
              <w:bottom w:val="single" w:sz="8" w:color="231F20"/>
            </w:tcBorders>
            <w:shd w:val="clear" w:color="auto" w:fill="FDFDFC"/>
          </w:tcPr>
          <w:p>
            <w:pPr>
              <w:spacing w:after="0"/>
              <w:rPr>
                <w:sz w:val="15"/>
                <w:szCs w:val="15"/>
                <w:color w:val="auto"/>
              </w:rPr>
            </w:pPr>
          </w:p>
        </w:tc>
        <w:tc>
          <w:tcPr>
            <w:tcW w:w="120" w:type="dxa"/>
            <w:vAlign w:val="bottom"/>
            <w:tcBorders>
              <w:bottom w:val="single" w:sz="8" w:color="231F20"/>
            </w:tcBorders>
            <w:shd w:val="clear" w:color="auto" w:fill="FDFDFC"/>
          </w:tcPr>
          <w:p>
            <w:pPr>
              <w:spacing w:after="0"/>
              <w:rPr>
                <w:sz w:val="15"/>
                <w:szCs w:val="15"/>
                <w:color w:val="auto"/>
              </w:rPr>
            </w:pPr>
          </w:p>
        </w:tc>
        <w:tc>
          <w:tcPr>
            <w:tcW w:w="560" w:type="dxa"/>
            <w:vAlign w:val="bottom"/>
            <w:tcBorders>
              <w:bottom w:val="single" w:sz="8" w:color="231F20"/>
            </w:tcBorders>
            <w:shd w:val="clear" w:color="auto" w:fill="FDFDFC"/>
          </w:tcPr>
          <w:p>
            <w:pPr>
              <w:spacing w:after="0"/>
              <w:rPr>
                <w:sz w:val="15"/>
                <w:szCs w:val="15"/>
                <w:color w:val="auto"/>
              </w:rPr>
            </w:pPr>
          </w:p>
        </w:tc>
        <w:tc>
          <w:tcPr>
            <w:tcW w:w="800" w:type="dxa"/>
            <w:vAlign w:val="bottom"/>
            <w:tcBorders>
              <w:bottom w:val="single" w:sz="8" w:color="231F20"/>
            </w:tcBorders>
            <w:shd w:val="clear" w:color="auto" w:fill="FDFDFC"/>
          </w:tcPr>
          <w:p>
            <w:pPr>
              <w:spacing w:after="0"/>
              <w:rPr>
                <w:sz w:val="15"/>
                <w:szCs w:val="15"/>
                <w:color w:val="auto"/>
              </w:rPr>
            </w:pPr>
          </w:p>
        </w:tc>
        <w:tc>
          <w:tcPr>
            <w:tcW w:w="20" w:type="dxa"/>
            <w:vAlign w:val="bottom"/>
            <w:tcBorders>
              <w:bottom w:val="single" w:sz="8" w:color="231F20"/>
            </w:tcBorders>
            <w:shd w:val="clear" w:color="auto" w:fill="FDFDFC"/>
          </w:tcPr>
          <w:p>
            <w:pPr>
              <w:spacing w:after="0"/>
              <w:rPr>
                <w:sz w:val="15"/>
                <w:szCs w:val="15"/>
                <w:color w:val="auto"/>
              </w:rPr>
            </w:pPr>
          </w:p>
        </w:tc>
        <w:tc>
          <w:tcPr>
            <w:tcW w:w="80" w:type="dxa"/>
            <w:vAlign w:val="bottom"/>
            <w:tcBorders>
              <w:bottom w:val="single" w:sz="8" w:color="FDFDFC"/>
            </w:tcBorders>
            <w:shd w:val="clear" w:color="auto" w:fill="FDFDFC"/>
          </w:tcPr>
          <w:p>
            <w:pPr>
              <w:spacing w:after="0"/>
              <w:rPr>
                <w:sz w:val="15"/>
                <w:szCs w:val="15"/>
                <w:color w:val="auto"/>
              </w:rPr>
            </w:pPr>
          </w:p>
        </w:tc>
        <w:tc>
          <w:tcPr>
            <w:tcW w:w="0" w:type="dxa"/>
            <w:vAlign w:val="bottom"/>
          </w:tcPr>
          <w:p>
            <w:pPr>
              <w:spacing w:after="0"/>
              <w:rPr>
                <w:sz w:val="1"/>
                <w:szCs w:val="1"/>
                <w:color w:val="auto"/>
              </w:rPr>
            </w:pPr>
          </w:p>
        </w:tc>
      </w:tr>
      <w:tr>
        <w:trPr>
          <w:trHeight w:val="163"/>
        </w:trPr>
        <w:tc>
          <w:tcPr>
            <w:tcW w:w="2660" w:type="dxa"/>
            <w:vAlign w:val="bottom"/>
            <w:vMerge w:val="continue"/>
            <w:shd w:val="clear" w:color="auto" w:fill="FDFDFC"/>
          </w:tcPr>
          <w:p>
            <w:pPr>
              <w:spacing w:after="0"/>
              <w:rPr>
                <w:sz w:val="14"/>
                <w:szCs w:val="14"/>
                <w:color w:val="auto"/>
              </w:rPr>
            </w:pPr>
          </w:p>
        </w:tc>
        <w:tc>
          <w:tcPr>
            <w:tcW w:w="1600" w:type="dxa"/>
            <w:vAlign w:val="bottom"/>
            <w:shd w:val="clear" w:color="auto" w:fill="FDFDFC"/>
          </w:tcPr>
          <w:p>
            <w:pPr>
              <w:jc w:val="center"/>
              <w:spacing w:after="0" w:line="164" w:lineRule="exact"/>
              <w:rPr>
                <w:sz w:val="20"/>
                <w:szCs w:val="20"/>
                <w:color w:val="auto"/>
              </w:rPr>
            </w:pPr>
            <w:r>
              <w:rPr>
                <w:rFonts w:ascii="Times New Roman" w:cs="Times New Roman" w:eastAsia="Times New Roman" w:hAnsi="Times New Roman"/>
                <w:sz w:val="15"/>
                <w:szCs w:val="15"/>
                <w:b w:val="1"/>
                <w:bCs w:val="1"/>
                <w:color w:val="231F20"/>
                <w:w w:val="99"/>
              </w:rPr>
              <w:t>Dividend</w:t>
            </w:r>
          </w:p>
        </w:tc>
        <w:tc>
          <w:tcPr>
            <w:tcW w:w="120" w:type="dxa"/>
            <w:vAlign w:val="bottom"/>
            <w:shd w:val="clear" w:color="auto" w:fill="FDFDFC"/>
          </w:tcPr>
          <w:p>
            <w:pPr>
              <w:spacing w:after="0"/>
              <w:rPr>
                <w:sz w:val="14"/>
                <w:szCs w:val="14"/>
                <w:color w:val="auto"/>
              </w:rPr>
            </w:pPr>
          </w:p>
        </w:tc>
        <w:tc>
          <w:tcPr>
            <w:tcW w:w="1980" w:type="dxa"/>
            <w:vAlign w:val="bottom"/>
            <w:shd w:val="clear" w:color="auto" w:fill="FDFDFC"/>
          </w:tcPr>
          <w:p>
            <w:pPr>
              <w:jc w:val="right"/>
              <w:ind w:right="492"/>
              <w:spacing w:after="0" w:line="164" w:lineRule="exact"/>
              <w:rPr>
                <w:sz w:val="20"/>
                <w:szCs w:val="20"/>
                <w:color w:val="auto"/>
              </w:rPr>
            </w:pPr>
            <w:r>
              <w:rPr>
                <w:rFonts w:ascii="Times New Roman" w:cs="Times New Roman" w:eastAsia="Times New Roman" w:hAnsi="Times New Roman"/>
                <w:sz w:val="15"/>
                <w:szCs w:val="15"/>
                <w:b w:val="1"/>
                <w:bCs w:val="1"/>
                <w:color w:val="231F20"/>
              </w:rPr>
              <w:t>Record Date</w:t>
            </w:r>
          </w:p>
        </w:tc>
        <w:tc>
          <w:tcPr>
            <w:tcW w:w="140" w:type="dxa"/>
            <w:vAlign w:val="bottom"/>
            <w:shd w:val="clear" w:color="auto" w:fill="FDFDFC"/>
          </w:tcPr>
          <w:p>
            <w:pPr>
              <w:spacing w:after="0"/>
              <w:rPr>
                <w:sz w:val="14"/>
                <w:szCs w:val="14"/>
                <w:color w:val="auto"/>
              </w:rPr>
            </w:pPr>
          </w:p>
        </w:tc>
        <w:tc>
          <w:tcPr>
            <w:tcW w:w="540" w:type="dxa"/>
            <w:vAlign w:val="bottom"/>
            <w:shd w:val="clear" w:color="auto" w:fill="FDFDFC"/>
          </w:tcPr>
          <w:p>
            <w:pPr>
              <w:spacing w:after="0"/>
              <w:rPr>
                <w:sz w:val="14"/>
                <w:szCs w:val="14"/>
                <w:color w:val="auto"/>
              </w:rPr>
            </w:pPr>
          </w:p>
        </w:tc>
        <w:tc>
          <w:tcPr>
            <w:tcW w:w="1580" w:type="dxa"/>
            <w:vAlign w:val="bottom"/>
            <w:shd w:val="clear" w:color="auto" w:fill="FDFDFC"/>
          </w:tcPr>
          <w:p>
            <w:pPr>
              <w:jc w:val="right"/>
              <w:ind w:right="528"/>
              <w:spacing w:after="0" w:line="164" w:lineRule="exact"/>
              <w:rPr>
                <w:sz w:val="20"/>
                <w:szCs w:val="20"/>
                <w:color w:val="auto"/>
              </w:rPr>
            </w:pPr>
            <w:r>
              <w:rPr>
                <w:rFonts w:ascii="Times New Roman" w:cs="Times New Roman" w:eastAsia="Times New Roman" w:hAnsi="Times New Roman"/>
                <w:sz w:val="15"/>
                <w:szCs w:val="15"/>
                <w:b w:val="1"/>
                <w:bCs w:val="1"/>
                <w:color w:val="231F20"/>
              </w:rPr>
              <w:t>Payment Date</w:t>
            </w:r>
          </w:p>
        </w:tc>
        <w:tc>
          <w:tcPr>
            <w:tcW w:w="120" w:type="dxa"/>
            <w:vAlign w:val="bottom"/>
            <w:shd w:val="clear" w:color="auto" w:fill="FDFDFC"/>
          </w:tcPr>
          <w:p>
            <w:pPr>
              <w:spacing w:after="0"/>
              <w:rPr>
                <w:sz w:val="14"/>
                <w:szCs w:val="14"/>
                <w:color w:val="auto"/>
              </w:rPr>
            </w:pPr>
          </w:p>
        </w:tc>
        <w:tc>
          <w:tcPr>
            <w:tcW w:w="1380" w:type="dxa"/>
            <w:vAlign w:val="bottom"/>
            <w:gridSpan w:val="3"/>
            <w:shd w:val="clear" w:color="auto" w:fill="FDFDFC"/>
          </w:tcPr>
          <w:p>
            <w:pPr>
              <w:ind w:left="40"/>
              <w:spacing w:after="0" w:line="164" w:lineRule="exact"/>
              <w:rPr>
                <w:sz w:val="20"/>
                <w:szCs w:val="20"/>
                <w:color w:val="auto"/>
              </w:rPr>
            </w:pPr>
            <w:r>
              <w:rPr>
                <w:rFonts w:ascii="Times New Roman" w:cs="Times New Roman" w:eastAsia="Times New Roman" w:hAnsi="Times New Roman"/>
                <w:sz w:val="15"/>
                <w:szCs w:val="15"/>
                <w:b w:val="1"/>
                <w:bCs w:val="1"/>
                <w:color w:val="231F20"/>
              </w:rPr>
              <w:t>Dividend per Share</w:t>
            </w:r>
          </w:p>
        </w:tc>
        <w:tc>
          <w:tcPr>
            <w:tcW w:w="80" w:type="dxa"/>
            <w:vAlign w:val="bottom"/>
            <w:shd w:val="clear" w:color="auto" w:fill="FDFDFC"/>
          </w:tcPr>
          <w:p>
            <w:pPr>
              <w:spacing w:after="0"/>
              <w:rPr>
                <w:sz w:val="14"/>
                <w:szCs w:val="14"/>
                <w:color w:val="auto"/>
              </w:rPr>
            </w:pPr>
          </w:p>
        </w:tc>
        <w:tc>
          <w:tcPr>
            <w:tcW w:w="0" w:type="dxa"/>
            <w:vAlign w:val="bottom"/>
          </w:tcPr>
          <w:p>
            <w:pPr>
              <w:spacing w:after="0"/>
              <w:rPr>
                <w:sz w:val="1"/>
                <w:szCs w:val="1"/>
                <w:color w:val="auto"/>
              </w:rPr>
            </w:pPr>
          </w:p>
        </w:tc>
      </w:tr>
      <w:tr>
        <w:trPr>
          <w:trHeight w:val="207"/>
        </w:trPr>
        <w:tc>
          <w:tcPr>
            <w:tcW w:w="2660" w:type="dxa"/>
            <w:vAlign w:val="bottom"/>
            <w:tcBorders>
              <w:top w:val="single" w:sz="8" w:color="D0EBF2"/>
            </w:tcBorders>
            <w:shd w:val="clear" w:color="auto" w:fill="D0EBF2"/>
          </w:tcPr>
          <w:p>
            <w:pPr>
              <w:spacing w:after="0" w:line="207" w:lineRule="exact"/>
              <w:rPr>
                <w:sz w:val="20"/>
                <w:szCs w:val="20"/>
                <w:color w:val="auto"/>
              </w:rPr>
            </w:pPr>
            <w:r>
              <w:rPr>
                <w:rFonts w:ascii="Times New Roman" w:cs="Times New Roman" w:eastAsia="Times New Roman" w:hAnsi="Times New Roman"/>
                <w:sz w:val="19"/>
                <w:szCs w:val="19"/>
                <w:color w:val="231F20"/>
              </w:rPr>
              <w:t>February 17, 2022</w:t>
            </w:r>
          </w:p>
        </w:tc>
        <w:tc>
          <w:tcPr>
            <w:tcW w:w="1600" w:type="dxa"/>
            <w:vAlign w:val="bottom"/>
            <w:tcBorders>
              <w:top w:val="single" w:sz="8" w:color="231F20"/>
            </w:tcBorders>
            <w:shd w:val="clear" w:color="auto" w:fill="D0EBF2"/>
          </w:tcPr>
          <w:p>
            <w:pPr>
              <w:jc w:val="center"/>
              <w:spacing w:after="0" w:line="207" w:lineRule="exact"/>
              <w:rPr>
                <w:sz w:val="20"/>
                <w:szCs w:val="20"/>
                <w:color w:val="auto"/>
              </w:rPr>
            </w:pPr>
            <w:r>
              <w:rPr>
                <w:rFonts w:ascii="Times New Roman" w:cs="Times New Roman" w:eastAsia="Times New Roman" w:hAnsi="Times New Roman"/>
                <w:sz w:val="19"/>
                <w:szCs w:val="19"/>
                <w:color w:val="231F20"/>
                <w:w w:val="99"/>
              </w:rPr>
              <w:t>Supplemental</w:t>
            </w:r>
          </w:p>
        </w:tc>
        <w:tc>
          <w:tcPr>
            <w:tcW w:w="120" w:type="dxa"/>
            <w:vAlign w:val="bottom"/>
            <w:tcBorders>
              <w:top w:val="single" w:sz="8" w:color="D0EBF2"/>
            </w:tcBorders>
            <w:shd w:val="clear" w:color="auto" w:fill="D0EBF2"/>
          </w:tcPr>
          <w:p>
            <w:pPr>
              <w:spacing w:after="0"/>
              <w:rPr>
                <w:sz w:val="17"/>
                <w:szCs w:val="17"/>
                <w:color w:val="auto"/>
              </w:rPr>
            </w:pPr>
          </w:p>
        </w:tc>
        <w:tc>
          <w:tcPr>
            <w:tcW w:w="1980" w:type="dxa"/>
            <w:vAlign w:val="bottom"/>
            <w:tcBorders>
              <w:top w:val="single" w:sz="8" w:color="231F20"/>
            </w:tcBorders>
            <w:shd w:val="clear" w:color="auto" w:fill="D0EBF2"/>
          </w:tcPr>
          <w:p>
            <w:pPr>
              <w:jc w:val="right"/>
              <w:spacing w:after="0" w:line="207" w:lineRule="exact"/>
              <w:rPr>
                <w:sz w:val="20"/>
                <w:szCs w:val="20"/>
                <w:color w:val="auto"/>
              </w:rPr>
            </w:pPr>
            <w:r>
              <w:rPr>
                <w:rFonts w:ascii="Times New Roman" w:cs="Times New Roman" w:eastAsia="Times New Roman" w:hAnsi="Times New Roman"/>
                <w:sz w:val="19"/>
                <w:szCs w:val="19"/>
                <w:color w:val="231F20"/>
              </w:rPr>
              <w:t>February 28, 2022</w:t>
            </w:r>
          </w:p>
        </w:tc>
        <w:tc>
          <w:tcPr>
            <w:tcW w:w="140" w:type="dxa"/>
            <w:vAlign w:val="bottom"/>
            <w:tcBorders>
              <w:top w:val="single" w:sz="8" w:color="D0EBF2"/>
            </w:tcBorders>
            <w:shd w:val="clear" w:color="auto" w:fill="D0EBF2"/>
          </w:tcPr>
          <w:p>
            <w:pPr>
              <w:spacing w:after="0"/>
              <w:rPr>
                <w:sz w:val="17"/>
                <w:szCs w:val="17"/>
                <w:color w:val="auto"/>
              </w:rPr>
            </w:pPr>
          </w:p>
        </w:tc>
        <w:tc>
          <w:tcPr>
            <w:tcW w:w="540" w:type="dxa"/>
            <w:vAlign w:val="bottom"/>
            <w:tcBorders>
              <w:top w:val="single" w:sz="8" w:color="231F20"/>
            </w:tcBorders>
            <w:shd w:val="clear" w:color="auto" w:fill="D0EBF2"/>
          </w:tcPr>
          <w:p>
            <w:pPr>
              <w:spacing w:after="0"/>
              <w:rPr>
                <w:sz w:val="17"/>
                <w:szCs w:val="17"/>
                <w:color w:val="auto"/>
              </w:rPr>
            </w:pPr>
          </w:p>
        </w:tc>
        <w:tc>
          <w:tcPr>
            <w:tcW w:w="1580" w:type="dxa"/>
            <w:vAlign w:val="bottom"/>
            <w:tcBorders>
              <w:top w:val="single" w:sz="8" w:color="231F20"/>
            </w:tcBorders>
            <w:shd w:val="clear" w:color="auto" w:fill="D0EBF2"/>
          </w:tcPr>
          <w:p>
            <w:pPr>
              <w:jc w:val="right"/>
              <w:spacing w:after="0" w:line="207" w:lineRule="exact"/>
              <w:rPr>
                <w:sz w:val="20"/>
                <w:szCs w:val="20"/>
                <w:color w:val="auto"/>
              </w:rPr>
            </w:pPr>
            <w:r>
              <w:rPr>
                <w:rFonts w:ascii="Times New Roman" w:cs="Times New Roman" w:eastAsia="Times New Roman" w:hAnsi="Times New Roman"/>
                <w:sz w:val="19"/>
                <w:szCs w:val="19"/>
                <w:color w:val="231F20"/>
              </w:rPr>
              <w:t>March 31, 2022</w:t>
            </w:r>
          </w:p>
        </w:tc>
        <w:tc>
          <w:tcPr>
            <w:tcW w:w="120" w:type="dxa"/>
            <w:vAlign w:val="bottom"/>
            <w:tcBorders>
              <w:top w:val="single" w:sz="8" w:color="D0EBF2"/>
            </w:tcBorders>
            <w:shd w:val="clear" w:color="auto" w:fill="D0EBF2"/>
          </w:tcPr>
          <w:p>
            <w:pPr>
              <w:spacing w:after="0"/>
              <w:rPr>
                <w:sz w:val="17"/>
                <w:szCs w:val="17"/>
                <w:color w:val="auto"/>
              </w:rPr>
            </w:pPr>
          </w:p>
        </w:tc>
        <w:tc>
          <w:tcPr>
            <w:tcW w:w="560" w:type="dxa"/>
            <w:vAlign w:val="bottom"/>
            <w:tcBorders>
              <w:top w:val="single" w:sz="8" w:color="231F20"/>
            </w:tcBorders>
            <w:shd w:val="clear" w:color="auto" w:fill="D0EBF2"/>
          </w:tcPr>
          <w:p>
            <w:pPr>
              <w:jc w:val="right"/>
              <w:ind w:right="372"/>
              <w:spacing w:after="0" w:line="207" w:lineRule="exact"/>
              <w:rPr>
                <w:sz w:val="20"/>
                <w:szCs w:val="20"/>
                <w:color w:val="auto"/>
              </w:rPr>
            </w:pPr>
            <w:r>
              <w:rPr>
                <w:rFonts w:ascii="Times New Roman" w:cs="Times New Roman" w:eastAsia="Times New Roman" w:hAnsi="Times New Roman"/>
                <w:sz w:val="19"/>
                <w:szCs w:val="19"/>
                <w:color w:val="231F20"/>
                <w:w w:val="83"/>
              </w:rPr>
              <w:t>$</w:t>
            </w:r>
          </w:p>
        </w:tc>
        <w:tc>
          <w:tcPr>
            <w:tcW w:w="800" w:type="dxa"/>
            <w:vAlign w:val="bottom"/>
            <w:tcBorders>
              <w:top w:val="single" w:sz="8" w:color="231F20"/>
            </w:tcBorders>
            <w:shd w:val="clear" w:color="auto" w:fill="D0EBF2"/>
          </w:tcPr>
          <w:p>
            <w:pPr>
              <w:jc w:val="right"/>
              <w:spacing w:after="0" w:line="207" w:lineRule="exact"/>
              <w:rPr>
                <w:sz w:val="20"/>
                <w:szCs w:val="20"/>
                <w:color w:val="auto"/>
              </w:rPr>
            </w:pPr>
            <w:r>
              <w:rPr>
                <w:rFonts w:ascii="Times New Roman" w:cs="Times New Roman" w:eastAsia="Times New Roman" w:hAnsi="Times New Roman"/>
                <w:sz w:val="19"/>
                <w:szCs w:val="19"/>
                <w:color w:val="231F20"/>
              </w:rPr>
              <w:t>0.11</w:t>
            </w:r>
          </w:p>
        </w:tc>
        <w:tc>
          <w:tcPr>
            <w:tcW w:w="20" w:type="dxa"/>
            <w:vAlign w:val="bottom"/>
            <w:tcBorders>
              <w:top w:val="single" w:sz="8" w:color="D0EBF2"/>
            </w:tcBorders>
            <w:shd w:val="clear" w:color="auto" w:fill="D0EBF2"/>
          </w:tcPr>
          <w:p>
            <w:pPr>
              <w:spacing w:after="0"/>
              <w:rPr>
                <w:sz w:val="17"/>
                <w:szCs w:val="17"/>
                <w:color w:val="auto"/>
              </w:rPr>
            </w:pPr>
          </w:p>
        </w:tc>
        <w:tc>
          <w:tcPr>
            <w:tcW w:w="80" w:type="dxa"/>
            <w:vAlign w:val="bottom"/>
            <w:tcBorders>
              <w:top w:val="single" w:sz="8" w:color="D0EBF2"/>
            </w:tcBorders>
            <w:shd w:val="clear" w:color="auto" w:fill="D0EBF2"/>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2660" w:type="dxa"/>
            <w:vAlign w:val="bottom"/>
            <w:shd w:val="clear" w:color="auto" w:fill="FDFDFC"/>
          </w:tcPr>
          <w:p>
            <w:pPr>
              <w:spacing w:after="0" w:line="217" w:lineRule="exact"/>
              <w:rPr>
                <w:sz w:val="20"/>
                <w:szCs w:val="20"/>
                <w:color w:val="auto"/>
              </w:rPr>
            </w:pPr>
            <w:r>
              <w:rPr>
                <w:rFonts w:ascii="Times New Roman" w:cs="Times New Roman" w:eastAsia="Times New Roman" w:hAnsi="Times New Roman"/>
                <w:sz w:val="19"/>
                <w:szCs w:val="19"/>
                <w:color w:val="231F20"/>
              </w:rPr>
              <w:t>February 17, 2022</w:t>
            </w:r>
          </w:p>
        </w:tc>
        <w:tc>
          <w:tcPr>
            <w:tcW w:w="1600" w:type="dxa"/>
            <w:vAlign w:val="bottom"/>
            <w:shd w:val="clear" w:color="auto" w:fill="FDFDFC"/>
          </w:tcPr>
          <w:p>
            <w:pPr>
              <w:jc w:val="center"/>
              <w:spacing w:after="0" w:line="217" w:lineRule="exact"/>
              <w:rPr>
                <w:sz w:val="20"/>
                <w:szCs w:val="20"/>
                <w:color w:val="auto"/>
              </w:rPr>
            </w:pPr>
            <w:r>
              <w:rPr>
                <w:rFonts w:ascii="Times New Roman" w:cs="Times New Roman" w:eastAsia="Times New Roman" w:hAnsi="Times New Roman"/>
                <w:sz w:val="19"/>
                <w:szCs w:val="19"/>
                <w:color w:val="231F20"/>
              </w:rPr>
              <w:t>Base</w:t>
            </w:r>
          </w:p>
        </w:tc>
        <w:tc>
          <w:tcPr>
            <w:tcW w:w="120" w:type="dxa"/>
            <w:vAlign w:val="bottom"/>
            <w:shd w:val="clear" w:color="auto" w:fill="FDFDFC"/>
          </w:tcPr>
          <w:p>
            <w:pPr>
              <w:spacing w:after="0"/>
              <w:rPr>
                <w:sz w:val="18"/>
                <w:szCs w:val="18"/>
                <w:color w:val="auto"/>
              </w:rPr>
            </w:pPr>
          </w:p>
        </w:tc>
        <w:tc>
          <w:tcPr>
            <w:tcW w:w="1980" w:type="dxa"/>
            <w:vAlign w:val="bottom"/>
            <w:shd w:val="clear" w:color="auto" w:fill="FDFDFC"/>
          </w:tcPr>
          <w:p>
            <w:pPr>
              <w:jc w:val="right"/>
              <w:spacing w:after="0" w:line="217" w:lineRule="exact"/>
              <w:rPr>
                <w:sz w:val="20"/>
                <w:szCs w:val="20"/>
                <w:color w:val="auto"/>
              </w:rPr>
            </w:pPr>
            <w:r>
              <w:rPr>
                <w:rFonts w:ascii="Times New Roman" w:cs="Times New Roman" w:eastAsia="Times New Roman" w:hAnsi="Times New Roman"/>
                <w:sz w:val="19"/>
                <w:szCs w:val="19"/>
                <w:color w:val="231F20"/>
              </w:rPr>
              <w:t>March 15, 2022</w:t>
            </w:r>
          </w:p>
        </w:tc>
        <w:tc>
          <w:tcPr>
            <w:tcW w:w="140" w:type="dxa"/>
            <w:vAlign w:val="bottom"/>
            <w:shd w:val="clear" w:color="auto" w:fill="FDFDFC"/>
          </w:tcPr>
          <w:p>
            <w:pPr>
              <w:spacing w:after="0"/>
              <w:rPr>
                <w:sz w:val="18"/>
                <w:szCs w:val="18"/>
                <w:color w:val="auto"/>
              </w:rPr>
            </w:pPr>
          </w:p>
        </w:tc>
        <w:tc>
          <w:tcPr>
            <w:tcW w:w="540" w:type="dxa"/>
            <w:vAlign w:val="bottom"/>
            <w:shd w:val="clear" w:color="auto" w:fill="FDFDFC"/>
          </w:tcPr>
          <w:p>
            <w:pPr>
              <w:spacing w:after="0"/>
              <w:rPr>
                <w:sz w:val="18"/>
                <w:szCs w:val="18"/>
                <w:color w:val="auto"/>
              </w:rPr>
            </w:pPr>
          </w:p>
        </w:tc>
        <w:tc>
          <w:tcPr>
            <w:tcW w:w="1580" w:type="dxa"/>
            <w:vAlign w:val="bottom"/>
            <w:shd w:val="clear" w:color="auto" w:fill="FDFDFC"/>
          </w:tcPr>
          <w:p>
            <w:pPr>
              <w:jc w:val="right"/>
              <w:spacing w:after="0" w:line="217" w:lineRule="exact"/>
              <w:rPr>
                <w:sz w:val="20"/>
                <w:szCs w:val="20"/>
                <w:color w:val="auto"/>
              </w:rPr>
            </w:pPr>
            <w:r>
              <w:rPr>
                <w:rFonts w:ascii="Times New Roman" w:cs="Times New Roman" w:eastAsia="Times New Roman" w:hAnsi="Times New Roman"/>
                <w:sz w:val="19"/>
                <w:szCs w:val="19"/>
                <w:color w:val="231F20"/>
              </w:rPr>
              <w:t>April 18, 2022</w:t>
            </w:r>
          </w:p>
        </w:tc>
        <w:tc>
          <w:tcPr>
            <w:tcW w:w="120" w:type="dxa"/>
            <w:vAlign w:val="bottom"/>
            <w:shd w:val="clear" w:color="auto" w:fill="FDFDFC"/>
          </w:tcPr>
          <w:p>
            <w:pPr>
              <w:spacing w:after="0"/>
              <w:rPr>
                <w:sz w:val="18"/>
                <w:szCs w:val="18"/>
                <w:color w:val="auto"/>
              </w:rPr>
            </w:pPr>
          </w:p>
        </w:tc>
        <w:tc>
          <w:tcPr>
            <w:tcW w:w="560" w:type="dxa"/>
            <w:vAlign w:val="bottom"/>
            <w:shd w:val="clear" w:color="auto" w:fill="FDFDFC"/>
          </w:tcPr>
          <w:p>
            <w:pPr>
              <w:spacing w:after="0"/>
              <w:rPr>
                <w:sz w:val="18"/>
                <w:szCs w:val="18"/>
                <w:color w:val="auto"/>
              </w:rPr>
            </w:pPr>
          </w:p>
        </w:tc>
        <w:tc>
          <w:tcPr>
            <w:tcW w:w="800" w:type="dxa"/>
            <w:vAlign w:val="bottom"/>
            <w:shd w:val="clear" w:color="auto" w:fill="FDFDFC"/>
          </w:tcPr>
          <w:p>
            <w:pPr>
              <w:jc w:val="right"/>
              <w:spacing w:after="0" w:line="217" w:lineRule="exact"/>
              <w:rPr>
                <w:sz w:val="20"/>
                <w:szCs w:val="20"/>
                <w:color w:val="auto"/>
              </w:rPr>
            </w:pPr>
            <w:r>
              <w:rPr>
                <w:rFonts w:ascii="Times New Roman" w:cs="Times New Roman" w:eastAsia="Times New Roman" w:hAnsi="Times New Roman"/>
                <w:sz w:val="19"/>
                <w:szCs w:val="19"/>
                <w:color w:val="231F20"/>
              </w:rPr>
              <w:t>0.41</w:t>
            </w:r>
          </w:p>
        </w:tc>
        <w:tc>
          <w:tcPr>
            <w:tcW w:w="20" w:type="dxa"/>
            <w:vAlign w:val="bottom"/>
            <w:shd w:val="clear" w:color="auto" w:fill="FDFDFC"/>
          </w:tcPr>
          <w:p>
            <w:pPr>
              <w:spacing w:after="0"/>
              <w:rPr>
                <w:sz w:val="18"/>
                <w:szCs w:val="18"/>
                <w:color w:val="auto"/>
              </w:rPr>
            </w:pPr>
          </w:p>
        </w:tc>
        <w:tc>
          <w:tcPr>
            <w:tcW w:w="80" w:type="dxa"/>
            <w:vAlign w:val="bottom"/>
            <w:shd w:val="clear" w:color="auto" w:fill="FDFDFC"/>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660" w:type="dxa"/>
            <w:vAlign w:val="bottom"/>
            <w:shd w:val="clear" w:color="auto" w:fill="D0EBF2"/>
          </w:tcPr>
          <w:p>
            <w:pPr>
              <w:spacing w:after="0" w:line="217" w:lineRule="exact"/>
              <w:rPr>
                <w:sz w:val="20"/>
                <w:szCs w:val="20"/>
                <w:color w:val="auto"/>
              </w:rPr>
            </w:pPr>
            <w:r>
              <w:rPr>
                <w:rFonts w:ascii="Times New Roman" w:cs="Times New Roman" w:eastAsia="Times New Roman" w:hAnsi="Times New Roman"/>
                <w:sz w:val="19"/>
                <w:szCs w:val="19"/>
                <w:color w:val="231F20"/>
              </w:rPr>
              <w:t>May 3, 2022</w:t>
            </w:r>
          </w:p>
        </w:tc>
        <w:tc>
          <w:tcPr>
            <w:tcW w:w="1600" w:type="dxa"/>
            <w:vAlign w:val="bottom"/>
            <w:shd w:val="clear" w:color="auto" w:fill="D0EBF2"/>
          </w:tcPr>
          <w:p>
            <w:pPr>
              <w:jc w:val="center"/>
              <w:spacing w:after="0" w:line="217" w:lineRule="exact"/>
              <w:rPr>
                <w:sz w:val="20"/>
                <w:szCs w:val="20"/>
                <w:color w:val="auto"/>
              </w:rPr>
            </w:pPr>
            <w:r>
              <w:rPr>
                <w:rFonts w:ascii="Times New Roman" w:cs="Times New Roman" w:eastAsia="Times New Roman" w:hAnsi="Times New Roman"/>
                <w:sz w:val="19"/>
                <w:szCs w:val="19"/>
                <w:color w:val="231F20"/>
                <w:w w:val="99"/>
              </w:rPr>
              <w:t>Supplemental</w:t>
            </w:r>
          </w:p>
        </w:tc>
        <w:tc>
          <w:tcPr>
            <w:tcW w:w="120" w:type="dxa"/>
            <w:vAlign w:val="bottom"/>
            <w:shd w:val="clear" w:color="auto" w:fill="D0EBF2"/>
          </w:tcPr>
          <w:p>
            <w:pPr>
              <w:spacing w:after="0"/>
              <w:rPr>
                <w:sz w:val="18"/>
                <w:szCs w:val="18"/>
                <w:color w:val="auto"/>
              </w:rPr>
            </w:pPr>
          </w:p>
        </w:tc>
        <w:tc>
          <w:tcPr>
            <w:tcW w:w="1980" w:type="dxa"/>
            <w:vAlign w:val="bottom"/>
            <w:shd w:val="clear" w:color="auto" w:fill="D0EBF2"/>
          </w:tcPr>
          <w:p>
            <w:pPr>
              <w:jc w:val="right"/>
              <w:spacing w:after="0" w:line="217" w:lineRule="exact"/>
              <w:rPr>
                <w:sz w:val="20"/>
                <w:szCs w:val="20"/>
                <w:color w:val="auto"/>
              </w:rPr>
            </w:pPr>
            <w:r>
              <w:rPr>
                <w:rFonts w:ascii="Times New Roman" w:cs="Times New Roman" w:eastAsia="Times New Roman" w:hAnsi="Times New Roman"/>
                <w:sz w:val="19"/>
                <w:szCs w:val="19"/>
                <w:color w:val="231F20"/>
              </w:rPr>
              <w:t>May 31, 2022</w:t>
            </w:r>
          </w:p>
        </w:tc>
        <w:tc>
          <w:tcPr>
            <w:tcW w:w="140" w:type="dxa"/>
            <w:vAlign w:val="bottom"/>
            <w:shd w:val="clear" w:color="auto" w:fill="D0EBF2"/>
          </w:tcPr>
          <w:p>
            <w:pPr>
              <w:spacing w:after="0"/>
              <w:rPr>
                <w:sz w:val="18"/>
                <w:szCs w:val="18"/>
                <w:color w:val="auto"/>
              </w:rPr>
            </w:pPr>
          </w:p>
        </w:tc>
        <w:tc>
          <w:tcPr>
            <w:tcW w:w="540" w:type="dxa"/>
            <w:vAlign w:val="bottom"/>
            <w:shd w:val="clear" w:color="auto" w:fill="D0EBF2"/>
          </w:tcPr>
          <w:p>
            <w:pPr>
              <w:spacing w:after="0"/>
              <w:rPr>
                <w:sz w:val="18"/>
                <w:szCs w:val="18"/>
                <w:color w:val="auto"/>
              </w:rPr>
            </w:pPr>
          </w:p>
        </w:tc>
        <w:tc>
          <w:tcPr>
            <w:tcW w:w="1580" w:type="dxa"/>
            <w:vAlign w:val="bottom"/>
            <w:shd w:val="clear" w:color="auto" w:fill="D0EBF2"/>
          </w:tcPr>
          <w:p>
            <w:pPr>
              <w:jc w:val="right"/>
              <w:spacing w:after="0" w:line="217" w:lineRule="exact"/>
              <w:rPr>
                <w:sz w:val="20"/>
                <w:szCs w:val="20"/>
                <w:color w:val="auto"/>
              </w:rPr>
            </w:pPr>
            <w:r>
              <w:rPr>
                <w:rFonts w:ascii="Times New Roman" w:cs="Times New Roman" w:eastAsia="Times New Roman" w:hAnsi="Times New Roman"/>
                <w:sz w:val="19"/>
                <w:szCs w:val="19"/>
                <w:color w:val="231F20"/>
              </w:rPr>
              <w:t>June 30, 2022</w:t>
            </w:r>
          </w:p>
        </w:tc>
        <w:tc>
          <w:tcPr>
            <w:tcW w:w="120" w:type="dxa"/>
            <w:vAlign w:val="bottom"/>
            <w:shd w:val="clear" w:color="auto" w:fill="D0EBF2"/>
          </w:tcPr>
          <w:p>
            <w:pPr>
              <w:spacing w:after="0"/>
              <w:rPr>
                <w:sz w:val="18"/>
                <w:szCs w:val="18"/>
                <w:color w:val="auto"/>
              </w:rPr>
            </w:pPr>
          </w:p>
        </w:tc>
        <w:tc>
          <w:tcPr>
            <w:tcW w:w="560" w:type="dxa"/>
            <w:vAlign w:val="bottom"/>
            <w:shd w:val="clear" w:color="auto" w:fill="D0EBF2"/>
          </w:tcPr>
          <w:p>
            <w:pPr>
              <w:spacing w:after="0"/>
              <w:rPr>
                <w:sz w:val="18"/>
                <w:szCs w:val="18"/>
                <w:color w:val="auto"/>
              </w:rPr>
            </w:pPr>
          </w:p>
        </w:tc>
        <w:tc>
          <w:tcPr>
            <w:tcW w:w="800" w:type="dxa"/>
            <w:vAlign w:val="bottom"/>
            <w:shd w:val="clear" w:color="auto" w:fill="D0EBF2"/>
          </w:tcPr>
          <w:p>
            <w:pPr>
              <w:jc w:val="right"/>
              <w:spacing w:after="0" w:line="217" w:lineRule="exact"/>
              <w:rPr>
                <w:sz w:val="20"/>
                <w:szCs w:val="20"/>
                <w:color w:val="auto"/>
              </w:rPr>
            </w:pPr>
            <w:r>
              <w:rPr>
                <w:rFonts w:ascii="Times New Roman" w:cs="Times New Roman" w:eastAsia="Times New Roman" w:hAnsi="Times New Roman"/>
                <w:sz w:val="19"/>
                <w:szCs w:val="19"/>
                <w:color w:val="231F20"/>
              </w:rPr>
              <w:t>0.04</w:t>
            </w:r>
          </w:p>
        </w:tc>
        <w:tc>
          <w:tcPr>
            <w:tcW w:w="20" w:type="dxa"/>
            <w:vAlign w:val="bottom"/>
            <w:shd w:val="clear" w:color="auto" w:fill="D0EBF2"/>
          </w:tcPr>
          <w:p>
            <w:pPr>
              <w:spacing w:after="0"/>
              <w:rPr>
                <w:sz w:val="18"/>
                <w:szCs w:val="18"/>
                <w:color w:val="auto"/>
              </w:rPr>
            </w:pPr>
          </w:p>
        </w:tc>
        <w:tc>
          <w:tcPr>
            <w:tcW w:w="80" w:type="dxa"/>
            <w:vAlign w:val="bottom"/>
            <w:shd w:val="clear" w:color="auto" w:fill="D0EBF2"/>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660" w:type="dxa"/>
            <w:vAlign w:val="bottom"/>
            <w:shd w:val="clear" w:color="auto" w:fill="FDFDFC"/>
          </w:tcPr>
          <w:p>
            <w:pPr>
              <w:spacing w:after="0" w:line="217" w:lineRule="exact"/>
              <w:rPr>
                <w:sz w:val="20"/>
                <w:szCs w:val="20"/>
                <w:color w:val="auto"/>
              </w:rPr>
            </w:pPr>
            <w:r>
              <w:rPr>
                <w:rFonts w:ascii="Times New Roman" w:cs="Times New Roman" w:eastAsia="Times New Roman" w:hAnsi="Times New Roman"/>
                <w:sz w:val="19"/>
                <w:szCs w:val="19"/>
                <w:color w:val="231F20"/>
              </w:rPr>
              <w:t>May 3, 2022</w:t>
            </w:r>
          </w:p>
        </w:tc>
        <w:tc>
          <w:tcPr>
            <w:tcW w:w="1600" w:type="dxa"/>
            <w:vAlign w:val="bottom"/>
            <w:shd w:val="clear" w:color="auto" w:fill="FDFDFC"/>
          </w:tcPr>
          <w:p>
            <w:pPr>
              <w:jc w:val="center"/>
              <w:spacing w:after="0" w:line="217" w:lineRule="exact"/>
              <w:rPr>
                <w:sz w:val="20"/>
                <w:szCs w:val="20"/>
                <w:color w:val="auto"/>
              </w:rPr>
            </w:pPr>
            <w:r>
              <w:rPr>
                <w:rFonts w:ascii="Times New Roman" w:cs="Times New Roman" w:eastAsia="Times New Roman" w:hAnsi="Times New Roman"/>
                <w:sz w:val="19"/>
                <w:szCs w:val="19"/>
                <w:color w:val="231F20"/>
              </w:rPr>
              <w:t>Base</w:t>
            </w:r>
          </w:p>
        </w:tc>
        <w:tc>
          <w:tcPr>
            <w:tcW w:w="120" w:type="dxa"/>
            <w:vAlign w:val="bottom"/>
            <w:shd w:val="clear" w:color="auto" w:fill="FDFDFC"/>
          </w:tcPr>
          <w:p>
            <w:pPr>
              <w:spacing w:after="0"/>
              <w:rPr>
                <w:sz w:val="18"/>
                <w:szCs w:val="18"/>
                <w:color w:val="auto"/>
              </w:rPr>
            </w:pPr>
          </w:p>
        </w:tc>
        <w:tc>
          <w:tcPr>
            <w:tcW w:w="1980" w:type="dxa"/>
            <w:vAlign w:val="bottom"/>
            <w:shd w:val="clear" w:color="auto" w:fill="FDFDFC"/>
          </w:tcPr>
          <w:p>
            <w:pPr>
              <w:jc w:val="right"/>
              <w:spacing w:after="0" w:line="217" w:lineRule="exact"/>
              <w:rPr>
                <w:sz w:val="20"/>
                <w:szCs w:val="20"/>
                <w:color w:val="auto"/>
              </w:rPr>
            </w:pPr>
            <w:r>
              <w:rPr>
                <w:rFonts w:ascii="Times New Roman" w:cs="Times New Roman" w:eastAsia="Times New Roman" w:hAnsi="Times New Roman"/>
                <w:sz w:val="19"/>
                <w:szCs w:val="19"/>
                <w:color w:val="231F20"/>
              </w:rPr>
              <w:t>June 15, 2022</w:t>
            </w:r>
          </w:p>
        </w:tc>
        <w:tc>
          <w:tcPr>
            <w:tcW w:w="140" w:type="dxa"/>
            <w:vAlign w:val="bottom"/>
            <w:shd w:val="clear" w:color="auto" w:fill="FDFDFC"/>
          </w:tcPr>
          <w:p>
            <w:pPr>
              <w:spacing w:after="0"/>
              <w:rPr>
                <w:sz w:val="18"/>
                <w:szCs w:val="18"/>
                <w:color w:val="auto"/>
              </w:rPr>
            </w:pPr>
          </w:p>
        </w:tc>
        <w:tc>
          <w:tcPr>
            <w:tcW w:w="540" w:type="dxa"/>
            <w:vAlign w:val="bottom"/>
            <w:shd w:val="clear" w:color="auto" w:fill="FDFDFC"/>
          </w:tcPr>
          <w:p>
            <w:pPr>
              <w:spacing w:after="0"/>
              <w:rPr>
                <w:sz w:val="18"/>
                <w:szCs w:val="18"/>
                <w:color w:val="auto"/>
              </w:rPr>
            </w:pPr>
          </w:p>
        </w:tc>
        <w:tc>
          <w:tcPr>
            <w:tcW w:w="1580" w:type="dxa"/>
            <w:vAlign w:val="bottom"/>
            <w:shd w:val="clear" w:color="auto" w:fill="FDFDFC"/>
          </w:tcPr>
          <w:p>
            <w:pPr>
              <w:jc w:val="right"/>
              <w:spacing w:after="0" w:line="217" w:lineRule="exact"/>
              <w:rPr>
                <w:sz w:val="20"/>
                <w:szCs w:val="20"/>
                <w:color w:val="auto"/>
              </w:rPr>
            </w:pPr>
            <w:r>
              <w:rPr>
                <w:rFonts w:ascii="Times New Roman" w:cs="Times New Roman" w:eastAsia="Times New Roman" w:hAnsi="Times New Roman"/>
                <w:sz w:val="19"/>
                <w:szCs w:val="19"/>
                <w:color w:val="231F20"/>
              </w:rPr>
              <w:t>July 15, 2022</w:t>
            </w:r>
          </w:p>
        </w:tc>
        <w:tc>
          <w:tcPr>
            <w:tcW w:w="120" w:type="dxa"/>
            <w:vAlign w:val="bottom"/>
            <w:shd w:val="clear" w:color="auto" w:fill="FDFDFC"/>
          </w:tcPr>
          <w:p>
            <w:pPr>
              <w:spacing w:after="0"/>
              <w:rPr>
                <w:sz w:val="18"/>
                <w:szCs w:val="18"/>
                <w:color w:val="auto"/>
              </w:rPr>
            </w:pPr>
          </w:p>
        </w:tc>
        <w:tc>
          <w:tcPr>
            <w:tcW w:w="560" w:type="dxa"/>
            <w:vAlign w:val="bottom"/>
            <w:shd w:val="clear" w:color="auto" w:fill="FDFDFC"/>
          </w:tcPr>
          <w:p>
            <w:pPr>
              <w:spacing w:after="0"/>
              <w:rPr>
                <w:sz w:val="18"/>
                <w:szCs w:val="18"/>
                <w:color w:val="auto"/>
              </w:rPr>
            </w:pPr>
          </w:p>
        </w:tc>
        <w:tc>
          <w:tcPr>
            <w:tcW w:w="800" w:type="dxa"/>
            <w:vAlign w:val="bottom"/>
            <w:shd w:val="clear" w:color="auto" w:fill="FDFDFC"/>
          </w:tcPr>
          <w:p>
            <w:pPr>
              <w:jc w:val="right"/>
              <w:spacing w:after="0" w:line="217" w:lineRule="exact"/>
              <w:rPr>
                <w:sz w:val="20"/>
                <w:szCs w:val="20"/>
                <w:color w:val="auto"/>
              </w:rPr>
            </w:pPr>
            <w:r>
              <w:rPr>
                <w:rFonts w:ascii="Times New Roman" w:cs="Times New Roman" w:eastAsia="Times New Roman" w:hAnsi="Times New Roman"/>
                <w:sz w:val="19"/>
                <w:szCs w:val="19"/>
                <w:color w:val="231F20"/>
              </w:rPr>
              <w:t>0.41</w:t>
            </w:r>
          </w:p>
        </w:tc>
        <w:tc>
          <w:tcPr>
            <w:tcW w:w="20" w:type="dxa"/>
            <w:vAlign w:val="bottom"/>
            <w:shd w:val="clear" w:color="auto" w:fill="FDFDFC"/>
          </w:tcPr>
          <w:p>
            <w:pPr>
              <w:spacing w:after="0"/>
              <w:rPr>
                <w:sz w:val="18"/>
                <w:szCs w:val="18"/>
                <w:color w:val="auto"/>
              </w:rPr>
            </w:pPr>
          </w:p>
        </w:tc>
        <w:tc>
          <w:tcPr>
            <w:tcW w:w="80" w:type="dxa"/>
            <w:vAlign w:val="bottom"/>
            <w:shd w:val="clear" w:color="auto" w:fill="FDFDFC"/>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660" w:type="dxa"/>
            <w:vAlign w:val="bottom"/>
            <w:shd w:val="clear" w:color="auto" w:fill="D0EBF2"/>
          </w:tcPr>
          <w:p>
            <w:pPr>
              <w:spacing w:after="0" w:line="217" w:lineRule="exact"/>
              <w:rPr>
                <w:sz w:val="20"/>
                <w:szCs w:val="20"/>
                <w:color w:val="auto"/>
              </w:rPr>
            </w:pPr>
            <w:r>
              <w:rPr>
                <w:rFonts w:ascii="Times New Roman" w:cs="Times New Roman" w:eastAsia="Times New Roman" w:hAnsi="Times New Roman"/>
                <w:sz w:val="19"/>
                <w:szCs w:val="19"/>
                <w:color w:val="231F20"/>
              </w:rPr>
              <w:t>August 2, 2022</w:t>
            </w:r>
          </w:p>
        </w:tc>
        <w:tc>
          <w:tcPr>
            <w:tcW w:w="1600" w:type="dxa"/>
            <w:vAlign w:val="bottom"/>
            <w:shd w:val="clear" w:color="auto" w:fill="D0EBF2"/>
          </w:tcPr>
          <w:p>
            <w:pPr>
              <w:jc w:val="center"/>
              <w:spacing w:after="0" w:line="217" w:lineRule="exact"/>
              <w:rPr>
                <w:sz w:val="20"/>
                <w:szCs w:val="20"/>
                <w:color w:val="auto"/>
              </w:rPr>
            </w:pPr>
            <w:r>
              <w:rPr>
                <w:rFonts w:ascii="Times New Roman" w:cs="Times New Roman" w:eastAsia="Times New Roman" w:hAnsi="Times New Roman"/>
                <w:sz w:val="19"/>
                <w:szCs w:val="19"/>
                <w:color w:val="231F20"/>
              </w:rPr>
              <w:t>Base</w:t>
            </w:r>
          </w:p>
        </w:tc>
        <w:tc>
          <w:tcPr>
            <w:tcW w:w="120" w:type="dxa"/>
            <w:vAlign w:val="bottom"/>
            <w:shd w:val="clear" w:color="auto" w:fill="D0EBF2"/>
          </w:tcPr>
          <w:p>
            <w:pPr>
              <w:spacing w:after="0"/>
              <w:rPr>
                <w:sz w:val="18"/>
                <w:szCs w:val="18"/>
                <w:color w:val="auto"/>
              </w:rPr>
            </w:pPr>
          </w:p>
        </w:tc>
        <w:tc>
          <w:tcPr>
            <w:tcW w:w="1980" w:type="dxa"/>
            <w:vAlign w:val="bottom"/>
            <w:shd w:val="clear" w:color="auto" w:fill="D0EBF2"/>
          </w:tcPr>
          <w:p>
            <w:pPr>
              <w:jc w:val="right"/>
              <w:spacing w:after="0" w:line="217" w:lineRule="exact"/>
              <w:rPr>
                <w:sz w:val="20"/>
                <w:szCs w:val="20"/>
                <w:color w:val="auto"/>
              </w:rPr>
            </w:pPr>
            <w:r>
              <w:rPr>
                <w:rFonts w:ascii="Times New Roman" w:cs="Times New Roman" w:eastAsia="Times New Roman" w:hAnsi="Times New Roman"/>
                <w:sz w:val="19"/>
                <w:szCs w:val="19"/>
                <w:color w:val="231F20"/>
              </w:rPr>
              <w:t>September 15, 2022</w:t>
            </w:r>
          </w:p>
        </w:tc>
        <w:tc>
          <w:tcPr>
            <w:tcW w:w="140" w:type="dxa"/>
            <w:vAlign w:val="bottom"/>
            <w:shd w:val="clear" w:color="auto" w:fill="D0EBF2"/>
          </w:tcPr>
          <w:p>
            <w:pPr>
              <w:spacing w:after="0"/>
              <w:rPr>
                <w:sz w:val="18"/>
                <w:szCs w:val="18"/>
                <w:color w:val="auto"/>
              </w:rPr>
            </w:pPr>
          </w:p>
        </w:tc>
        <w:tc>
          <w:tcPr>
            <w:tcW w:w="540" w:type="dxa"/>
            <w:vAlign w:val="bottom"/>
            <w:shd w:val="clear" w:color="auto" w:fill="D0EBF2"/>
          </w:tcPr>
          <w:p>
            <w:pPr>
              <w:spacing w:after="0"/>
              <w:rPr>
                <w:sz w:val="18"/>
                <w:szCs w:val="18"/>
                <w:color w:val="auto"/>
              </w:rPr>
            </w:pPr>
          </w:p>
        </w:tc>
        <w:tc>
          <w:tcPr>
            <w:tcW w:w="1580" w:type="dxa"/>
            <w:vAlign w:val="bottom"/>
            <w:shd w:val="clear" w:color="auto" w:fill="D0EBF2"/>
          </w:tcPr>
          <w:p>
            <w:pPr>
              <w:jc w:val="right"/>
              <w:spacing w:after="0" w:line="217" w:lineRule="exact"/>
              <w:rPr>
                <w:sz w:val="20"/>
                <w:szCs w:val="20"/>
                <w:color w:val="auto"/>
              </w:rPr>
            </w:pPr>
            <w:r>
              <w:rPr>
                <w:rFonts w:ascii="Times New Roman" w:cs="Times New Roman" w:eastAsia="Times New Roman" w:hAnsi="Times New Roman"/>
                <w:sz w:val="19"/>
                <w:szCs w:val="19"/>
                <w:color w:val="231F20"/>
              </w:rPr>
              <w:t>September 30, 2022</w:t>
            </w:r>
          </w:p>
        </w:tc>
        <w:tc>
          <w:tcPr>
            <w:tcW w:w="120" w:type="dxa"/>
            <w:vAlign w:val="bottom"/>
            <w:shd w:val="clear" w:color="auto" w:fill="D0EBF2"/>
          </w:tcPr>
          <w:p>
            <w:pPr>
              <w:spacing w:after="0"/>
              <w:rPr>
                <w:sz w:val="18"/>
                <w:szCs w:val="18"/>
                <w:color w:val="auto"/>
              </w:rPr>
            </w:pPr>
          </w:p>
        </w:tc>
        <w:tc>
          <w:tcPr>
            <w:tcW w:w="560" w:type="dxa"/>
            <w:vAlign w:val="bottom"/>
            <w:shd w:val="clear" w:color="auto" w:fill="D0EBF2"/>
          </w:tcPr>
          <w:p>
            <w:pPr>
              <w:spacing w:after="0"/>
              <w:rPr>
                <w:sz w:val="18"/>
                <w:szCs w:val="18"/>
                <w:color w:val="auto"/>
              </w:rPr>
            </w:pPr>
          </w:p>
        </w:tc>
        <w:tc>
          <w:tcPr>
            <w:tcW w:w="800" w:type="dxa"/>
            <w:vAlign w:val="bottom"/>
            <w:shd w:val="clear" w:color="auto" w:fill="D0EBF2"/>
          </w:tcPr>
          <w:p>
            <w:pPr>
              <w:jc w:val="right"/>
              <w:spacing w:after="0" w:line="217" w:lineRule="exact"/>
              <w:rPr>
                <w:sz w:val="20"/>
                <w:szCs w:val="20"/>
                <w:color w:val="auto"/>
              </w:rPr>
            </w:pPr>
            <w:r>
              <w:rPr>
                <w:rFonts w:ascii="Times New Roman" w:cs="Times New Roman" w:eastAsia="Times New Roman" w:hAnsi="Times New Roman"/>
                <w:sz w:val="19"/>
                <w:szCs w:val="19"/>
                <w:color w:val="231F20"/>
              </w:rPr>
              <w:t>0.42</w:t>
            </w:r>
          </w:p>
        </w:tc>
        <w:tc>
          <w:tcPr>
            <w:tcW w:w="20" w:type="dxa"/>
            <w:vAlign w:val="bottom"/>
            <w:shd w:val="clear" w:color="auto" w:fill="D0EBF2"/>
          </w:tcPr>
          <w:p>
            <w:pPr>
              <w:spacing w:after="0"/>
              <w:rPr>
                <w:sz w:val="18"/>
                <w:szCs w:val="18"/>
                <w:color w:val="auto"/>
              </w:rPr>
            </w:pPr>
          </w:p>
        </w:tc>
        <w:tc>
          <w:tcPr>
            <w:tcW w:w="80" w:type="dxa"/>
            <w:vAlign w:val="bottom"/>
            <w:shd w:val="clear" w:color="auto" w:fill="D0EBF2"/>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660" w:type="dxa"/>
            <w:vAlign w:val="bottom"/>
            <w:tcBorders>
              <w:bottom w:val="single" w:sz="8" w:color="D0EBF2"/>
            </w:tcBorders>
            <w:shd w:val="clear" w:color="auto" w:fill="FDFDFC"/>
          </w:tcPr>
          <w:p>
            <w:pPr>
              <w:spacing w:after="0" w:line="217" w:lineRule="exact"/>
              <w:rPr>
                <w:sz w:val="20"/>
                <w:szCs w:val="20"/>
                <w:color w:val="auto"/>
              </w:rPr>
            </w:pPr>
            <w:r>
              <w:rPr>
                <w:rFonts w:ascii="Times New Roman" w:cs="Times New Roman" w:eastAsia="Times New Roman" w:hAnsi="Times New Roman"/>
                <w:sz w:val="19"/>
                <w:szCs w:val="19"/>
                <w:color w:val="231F20"/>
              </w:rPr>
              <w:t>November 1, 2022</w:t>
            </w:r>
          </w:p>
        </w:tc>
        <w:tc>
          <w:tcPr>
            <w:tcW w:w="1600" w:type="dxa"/>
            <w:vAlign w:val="bottom"/>
            <w:tcBorders>
              <w:bottom w:val="single" w:sz="8" w:color="D0EBF2"/>
            </w:tcBorders>
            <w:shd w:val="clear" w:color="auto" w:fill="FDFDFC"/>
          </w:tcPr>
          <w:p>
            <w:pPr>
              <w:jc w:val="center"/>
              <w:spacing w:after="0" w:line="217" w:lineRule="exact"/>
              <w:rPr>
                <w:sz w:val="20"/>
                <w:szCs w:val="20"/>
                <w:color w:val="auto"/>
              </w:rPr>
            </w:pPr>
            <w:r>
              <w:rPr>
                <w:rFonts w:ascii="Times New Roman" w:cs="Times New Roman" w:eastAsia="Times New Roman" w:hAnsi="Times New Roman"/>
                <w:sz w:val="19"/>
                <w:szCs w:val="19"/>
                <w:color w:val="231F20"/>
              </w:rPr>
              <w:t>Base</w:t>
            </w:r>
          </w:p>
        </w:tc>
        <w:tc>
          <w:tcPr>
            <w:tcW w:w="120" w:type="dxa"/>
            <w:vAlign w:val="bottom"/>
            <w:tcBorders>
              <w:bottom w:val="single" w:sz="8" w:color="D0EBF2"/>
            </w:tcBorders>
            <w:shd w:val="clear" w:color="auto" w:fill="FDFDFC"/>
          </w:tcPr>
          <w:p>
            <w:pPr>
              <w:spacing w:after="0"/>
              <w:rPr>
                <w:sz w:val="18"/>
                <w:szCs w:val="18"/>
                <w:color w:val="auto"/>
              </w:rPr>
            </w:pPr>
          </w:p>
        </w:tc>
        <w:tc>
          <w:tcPr>
            <w:tcW w:w="1980" w:type="dxa"/>
            <w:vAlign w:val="bottom"/>
            <w:tcBorders>
              <w:bottom w:val="single" w:sz="8" w:color="D0EBF2"/>
            </w:tcBorders>
            <w:shd w:val="clear" w:color="auto" w:fill="FDFDFC"/>
          </w:tcPr>
          <w:p>
            <w:pPr>
              <w:jc w:val="right"/>
              <w:spacing w:after="0" w:line="217" w:lineRule="exact"/>
              <w:rPr>
                <w:sz w:val="20"/>
                <w:szCs w:val="20"/>
                <w:color w:val="auto"/>
              </w:rPr>
            </w:pPr>
            <w:r>
              <w:rPr>
                <w:rFonts w:ascii="Times New Roman" w:cs="Times New Roman" w:eastAsia="Times New Roman" w:hAnsi="Times New Roman"/>
                <w:sz w:val="19"/>
                <w:szCs w:val="19"/>
                <w:color w:val="231F20"/>
              </w:rPr>
              <w:t>December 15, 2022</w:t>
            </w:r>
          </w:p>
        </w:tc>
        <w:tc>
          <w:tcPr>
            <w:tcW w:w="140" w:type="dxa"/>
            <w:vAlign w:val="bottom"/>
            <w:tcBorders>
              <w:bottom w:val="single" w:sz="8" w:color="D0EBF2"/>
            </w:tcBorders>
            <w:shd w:val="clear" w:color="auto" w:fill="FDFDFC"/>
          </w:tcPr>
          <w:p>
            <w:pPr>
              <w:spacing w:after="0"/>
              <w:rPr>
                <w:sz w:val="18"/>
                <w:szCs w:val="18"/>
                <w:color w:val="auto"/>
              </w:rPr>
            </w:pPr>
          </w:p>
        </w:tc>
        <w:tc>
          <w:tcPr>
            <w:tcW w:w="540" w:type="dxa"/>
            <w:vAlign w:val="bottom"/>
            <w:tcBorders>
              <w:bottom w:val="single" w:sz="8" w:color="D0EBF2"/>
            </w:tcBorders>
            <w:shd w:val="clear" w:color="auto" w:fill="FDFDFC"/>
          </w:tcPr>
          <w:p>
            <w:pPr>
              <w:spacing w:after="0"/>
              <w:rPr>
                <w:sz w:val="18"/>
                <w:szCs w:val="18"/>
                <w:color w:val="auto"/>
              </w:rPr>
            </w:pPr>
          </w:p>
        </w:tc>
        <w:tc>
          <w:tcPr>
            <w:tcW w:w="1580" w:type="dxa"/>
            <w:vAlign w:val="bottom"/>
            <w:tcBorders>
              <w:bottom w:val="single" w:sz="8" w:color="D0EBF2"/>
            </w:tcBorders>
            <w:shd w:val="clear" w:color="auto" w:fill="FDFDFC"/>
          </w:tcPr>
          <w:p>
            <w:pPr>
              <w:jc w:val="right"/>
              <w:spacing w:after="0" w:line="217" w:lineRule="exact"/>
              <w:rPr>
                <w:sz w:val="20"/>
                <w:szCs w:val="20"/>
                <w:color w:val="auto"/>
              </w:rPr>
            </w:pPr>
            <w:r>
              <w:rPr>
                <w:rFonts w:ascii="Times New Roman" w:cs="Times New Roman" w:eastAsia="Times New Roman" w:hAnsi="Times New Roman"/>
                <w:sz w:val="19"/>
                <w:szCs w:val="19"/>
                <w:color w:val="231F20"/>
              </w:rPr>
              <w:t>December 30, 2022</w:t>
            </w:r>
          </w:p>
        </w:tc>
        <w:tc>
          <w:tcPr>
            <w:tcW w:w="120" w:type="dxa"/>
            <w:vAlign w:val="bottom"/>
            <w:tcBorders>
              <w:bottom w:val="single" w:sz="8" w:color="D0EBF2"/>
            </w:tcBorders>
            <w:shd w:val="clear" w:color="auto" w:fill="FDFDFC"/>
          </w:tcPr>
          <w:p>
            <w:pPr>
              <w:spacing w:after="0"/>
              <w:rPr>
                <w:sz w:val="18"/>
                <w:szCs w:val="18"/>
                <w:color w:val="auto"/>
              </w:rPr>
            </w:pPr>
          </w:p>
        </w:tc>
        <w:tc>
          <w:tcPr>
            <w:tcW w:w="560" w:type="dxa"/>
            <w:vAlign w:val="bottom"/>
            <w:tcBorders>
              <w:bottom w:val="single" w:sz="8" w:color="231F20"/>
            </w:tcBorders>
            <w:shd w:val="clear" w:color="auto" w:fill="FDFDFC"/>
          </w:tcPr>
          <w:p>
            <w:pPr>
              <w:spacing w:after="0"/>
              <w:rPr>
                <w:sz w:val="18"/>
                <w:szCs w:val="18"/>
                <w:color w:val="auto"/>
              </w:rPr>
            </w:pPr>
          </w:p>
        </w:tc>
        <w:tc>
          <w:tcPr>
            <w:tcW w:w="800" w:type="dxa"/>
            <w:vAlign w:val="bottom"/>
            <w:tcBorders>
              <w:bottom w:val="single" w:sz="8" w:color="231F20"/>
            </w:tcBorders>
            <w:shd w:val="clear" w:color="auto" w:fill="FDFDFC"/>
          </w:tcPr>
          <w:p>
            <w:pPr>
              <w:jc w:val="right"/>
              <w:spacing w:after="0" w:line="217" w:lineRule="exact"/>
              <w:rPr>
                <w:sz w:val="20"/>
                <w:szCs w:val="20"/>
                <w:color w:val="auto"/>
              </w:rPr>
            </w:pPr>
            <w:r>
              <w:rPr>
                <w:rFonts w:ascii="Times New Roman" w:cs="Times New Roman" w:eastAsia="Times New Roman" w:hAnsi="Times New Roman"/>
                <w:sz w:val="19"/>
                <w:szCs w:val="19"/>
                <w:color w:val="231F20"/>
              </w:rPr>
              <w:t>0.45</w:t>
            </w:r>
          </w:p>
        </w:tc>
        <w:tc>
          <w:tcPr>
            <w:tcW w:w="20" w:type="dxa"/>
            <w:vAlign w:val="bottom"/>
            <w:shd w:val="clear" w:color="auto" w:fill="FDFDFC"/>
          </w:tcPr>
          <w:p>
            <w:pPr>
              <w:spacing w:after="0"/>
              <w:rPr>
                <w:sz w:val="18"/>
                <w:szCs w:val="18"/>
                <w:color w:val="auto"/>
              </w:rPr>
            </w:pPr>
          </w:p>
        </w:tc>
        <w:tc>
          <w:tcPr>
            <w:tcW w:w="80" w:type="dxa"/>
            <w:vAlign w:val="bottom"/>
            <w:tcBorders>
              <w:bottom w:val="single" w:sz="8" w:color="D0EBF2"/>
            </w:tcBorders>
            <w:shd w:val="clear" w:color="auto" w:fill="FDFDFC"/>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2660" w:type="dxa"/>
            <w:vAlign w:val="bottom"/>
            <w:shd w:val="clear" w:color="auto" w:fill="D0EBF2"/>
          </w:tcPr>
          <w:p>
            <w:pPr>
              <w:ind w:left="180"/>
              <w:spacing w:after="0" w:line="207" w:lineRule="exact"/>
              <w:rPr>
                <w:sz w:val="20"/>
                <w:szCs w:val="20"/>
                <w:color w:val="auto"/>
              </w:rPr>
            </w:pPr>
            <w:r>
              <w:rPr>
                <w:rFonts w:ascii="Times New Roman" w:cs="Times New Roman" w:eastAsia="Times New Roman" w:hAnsi="Times New Roman"/>
                <w:sz w:val="19"/>
                <w:szCs w:val="19"/>
                <w:b w:val="1"/>
                <w:bCs w:val="1"/>
                <w:color w:val="231F20"/>
              </w:rPr>
              <w:t>Total Dividends Declared</w:t>
            </w:r>
          </w:p>
        </w:tc>
        <w:tc>
          <w:tcPr>
            <w:tcW w:w="1600" w:type="dxa"/>
            <w:vAlign w:val="bottom"/>
            <w:shd w:val="clear" w:color="auto" w:fill="D0EBF2"/>
          </w:tcPr>
          <w:p>
            <w:pPr>
              <w:spacing w:after="0"/>
              <w:rPr>
                <w:sz w:val="17"/>
                <w:szCs w:val="17"/>
                <w:color w:val="auto"/>
              </w:rPr>
            </w:pPr>
          </w:p>
        </w:tc>
        <w:tc>
          <w:tcPr>
            <w:tcW w:w="120" w:type="dxa"/>
            <w:vAlign w:val="bottom"/>
            <w:shd w:val="clear" w:color="auto" w:fill="D0EBF2"/>
          </w:tcPr>
          <w:p>
            <w:pPr>
              <w:spacing w:after="0"/>
              <w:rPr>
                <w:sz w:val="17"/>
                <w:szCs w:val="17"/>
                <w:color w:val="auto"/>
              </w:rPr>
            </w:pPr>
          </w:p>
        </w:tc>
        <w:tc>
          <w:tcPr>
            <w:tcW w:w="1980" w:type="dxa"/>
            <w:vAlign w:val="bottom"/>
            <w:shd w:val="clear" w:color="auto" w:fill="D0EBF2"/>
          </w:tcPr>
          <w:p>
            <w:pPr>
              <w:spacing w:after="0"/>
              <w:rPr>
                <w:sz w:val="17"/>
                <w:szCs w:val="17"/>
                <w:color w:val="auto"/>
              </w:rPr>
            </w:pPr>
          </w:p>
        </w:tc>
        <w:tc>
          <w:tcPr>
            <w:tcW w:w="140" w:type="dxa"/>
            <w:vAlign w:val="bottom"/>
            <w:shd w:val="clear" w:color="auto" w:fill="D0EBF2"/>
          </w:tcPr>
          <w:p>
            <w:pPr>
              <w:spacing w:after="0"/>
              <w:rPr>
                <w:sz w:val="17"/>
                <w:szCs w:val="17"/>
                <w:color w:val="auto"/>
              </w:rPr>
            </w:pPr>
          </w:p>
        </w:tc>
        <w:tc>
          <w:tcPr>
            <w:tcW w:w="540" w:type="dxa"/>
            <w:vAlign w:val="bottom"/>
            <w:shd w:val="clear" w:color="auto" w:fill="D0EBF2"/>
          </w:tcPr>
          <w:p>
            <w:pPr>
              <w:spacing w:after="0"/>
              <w:rPr>
                <w:sz w:val="17"/>
                <w:szCs w:val="17"/>
                <w:color w:val="auto"/>
              </w:rPr>
            </w:pPr>
          </w:p>
        </w:tc>
        <w:tc>
          <w:tcPr>
            <w:tcW w:w="1580" w:type="dxa"/>
            <w:vAlign w:val="bottom"/>
            <w:shd w:val="clear" w:color="auto" w:fill="D0EBF2"/>
          </w:tcPr>
          <w:p>
            <w:pPr>
              <w:spacing w:after="0"/>
              <w:rPr>
                <w:sz w:val="17"/>
                <w:szCs w:val="17"/>
                <w:color w:val="auto"/>
              </w:rPr>
            </w:pPr>
          </w:p>
        </w:tc>
        <w:tc>
          <w:tcPr>
            <w:tcW w:w="120" w:type="dxa"/>
            <w:vAlign w:val="bottom"/>
            <w:shd w:val="clear" w:color="auto" w:fill="D0EBF2"/>
          </w:tcPr>
          <w:p>
            <w:pPr>
              <w:spacing w:after="0"/>
              <w:rPr>
                <w:sz w:val="17"/>
                <w:szCs w:val="17"/>
                <w:color w:val="auto"/>
              </w:rPr>
            </w:pPr>
          </w:p>
        </w:tc>
        <w:tc>
          <w:tcPr>
            <w:tcW w:w="560" w:type="dxa"/>
            <w:vAlign w:val="bottom"/>
            <w:tcBorders>
              <w:bottom w:val="single" w:sz="8" w:color="231F20"/>
            </w:tcBorders>
            <w:shd w:val="clear" w:color="auto" w:fill="D0EBF2"/>
          </w:tcPr>
          <w:p>
            <w:pPr>
              <w:jc w:val="right"/>
              <w:ind w:right="372"/>
              <w:spacing w:after="0" w:line="207" w:lineRule="exact"/>
              <w:rPr>
                <w:sz w:val="20"/>
                <w:szCs w:val="20"/>
                <w:color w:val="auto"/>
              </w:rPr>
            </w:pPr>
            <w:r>
              <w:rPr>
                <w:rFonts w:ascii="Times New Roman" w:cs="Times New Roman" w:eastAsia="Times New Roman" w:hAnsi="Times New Roman"/>
                <w:sz w:val="19"/>
                <w:szCs w:val="19"/>
                <w:color w:val="231F20"/>
                <w:w w:val="83"/>
              </w:rPr>
              <w:t>$</w:t>
            </w:r>
          </w:p>
        </w:tc>
        <w:tc>
          <w:tcPr>
            <w:tcW w:w="800" w:type="dxa"/>
            <w:vAlign w:val="bottom"/>
            <w:tcBorders>
              <w:bottom w:val="single" w:sz="8" w:color="231F20"/>
            </w:tcBorders>
            <w:shd w:val="clear" w:color="auto" w:fill="D0EBF2"/>
          </w:tcPr>
          <w:p>
            <w:pPr>
              <w:jc w:val="right"/>
              <w:spacing w:after="0" w:line="207" w:lineRule="exact"/>
              <w:rPr>
                <w:sz w:val="20"/>
                <w:szCs w:val="20"/>
                <w:color w:val="auto"/>
              </w:rPr>
            </w:pPr>
            <w:r>
              <w:rPr>
                <w:rFonts w:ascii="Times New Roman" w:cs="Times New Roman" w:eastAsia="Times New Roman" w:hAnsi="Times New Roman"/>
                <w:sz w:val="19"/>
                <w:szCs w:val="19"/>
                <w:color w:val="231F20"/>
              </w:rPr>
              <w:t>1.84</w:t>
            </w:r>
          </w:p>
        </w:tc>
        <w:tc>
          <w:tcPr>
            <w:tcW w:w="20" w:type="dxa"/>
            <w:vAlign w:val="bottom"/>
            <w:tcBorders>
              <w:bottom w:val="single" w:sz="8" w:color="231F20"/>
            </w:tcBorders>
            <w:shd w:val="clear" w:color="auto" w:fill="D0EBF2"/>
          </w:tcPr>
          <w:p>
            <w:pPr>
              <w:spacing w:after="0"/>
              <w:rPr>
                <w:sz w:val="17"/>
                <w:szCs w:val="17"/>
                <w:color w:val="auto"/>
              </w:rPr>
            </w:pPr>
          </w:p>
        </w:tc>
        <w:tc>
          <w:tcPr>
            <w:tcW w:w="80" w:type="dxa"/>
            <w:vAlign w:val="bottom"/>
            <w:shd w:val="clear" w:color="auto" w:fill="D0EBF2"/>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66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Borders>
              <w:bottom w:val="single" w:sz="8" w:color="231F20"/>
            </w:tcBorders>
          </w:tcPr>
          <w:p>
            <w:pPr>
              <w:spacing w:after="0" w:line="20" w:lineRule="exact"/>
              <w:rPr>
                <w:sz w:val="1"/>
                <w:szCs w:val="1"/>
                <w:color w:val="auto"/>
              </w:rPr>
            </w:pPr>
          </w:p>
        </w:tc>
        <w:tc>
          <w:tcPr>
            <w:tcW w:w="800" w:type="dxa"/>
            <w:vAlign w:val="bottom"/>
            <w:tcBorders>
              <w:bottom w:val="single" w:sz="8" w:color="231F20"/>
            </w:tcBorders>
          </w:tcPr>
          <w:p>
            <w:pPr>
              <w:spacing w:after="0" w:line="20" w:lineRule="exact"/>
              <w:rPr>
                <w:sz w:val="1"/>
                <w:szCs w:val="1"/>
                <w:color w:val="auto"/>
              </w:rPr>
            </w:pPr>
          </w:p>
        </w:tc>
        <w:tc>
          <w:tcPr>
            <w:tcW w:w="20" w:type="dxa"/>
            <w:vAlign w:val="bottom"/>
            <w:tcBorders>
              <w:bottom w:val="single" w:sz="8" w:color="231F20"/>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7" w:lineRule="exact"/>
        <w:rPr>
          <w:sz w:val="20"/>
          <w:szCs w:val="20"/>
          <w:color w:val="auto"/>
        </w:rPr>
      </w:pPr>
    </w:p>
    <w:p>
      <w:pPr>
        <w:ind w:right="40" w:firstLine="231"/>
        <w:spacing w:after="0" w:line="275" w:lineRule="auto"/>
        <w:rPr>
          <w:sz w:val="20"/>
          <w:szCs w:val="20"/>
          <w:color w:val="auto"/>
        </w:rPr>
      </w:pPr>
      <w:r>
        <w:rPr>
          <w:rFonts w:ascii="Times New Roman" w:cs="Times New Roman" w:eastAsia="Times New Roman" w:hAnsi="Times New Roman"/>
          <w:sz w:val="19"/>
          <w:szCs w:val="19"/>
          <w:color w:val="231F20"/>
        </w:rPr>
        <w:t>The dividends declared during the years ended December 31, 2024, December 31, 2023 and December 31, 2022 were derived from net investment income and long-term capital gains, determined on a tax basis.</w:t>
      </w:r>
    </w:p>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231F20"/>
        </w:rPr>
        <w:t>12. Income Taxes</w:t>
      </w:r>
    </w:p>
    <w:p>
      <w:pPr>
        <w:spacing w:after="0" w:line="11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9"/>
          <w:szCs w:val="19"/>
          <w:color w:val="231F20"/>
        </w:rPr>
        <w:t>The tax character of shareholder distributions attributable to the fiscal years ended December 31, 2024, December 31, 2023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231F20"/>
        </w:rPr>
        <w:t>December 31, 2022 were as follows:</w:t>
      </w:r>
    </w:p>
    <w:p>
      <w:pPr>
        <w:spacing w:after="0" w:line="251" w:lineRule="exact"/>
        <w:rPr>
          <w:sz w:val="20"/>
          <w:szCs w:val="20"/>
          <w:color w:val="auto"/>
        </w:rPr>
      </w:pPr>
    </w:p>
    <w:tbl>
      <w:tblPr>
        <w:tblLayout w:type="fixed"/>
        <w:tblInd w:w="460" w:type="dxa"/>
        <w:tblCellMar>
          <w:top w:w="0" w:type="dxa"/>
          <w:left w:w="0" w:type="dxa"/>
          <w:bottom w:w="0" w:type="dxa"/>
          <w:right w:w="0" w:type="dxa"/>
        </w:tblCellMar>
      </w:tblPr>
      <w:tr>
        <w:trPr>
          <w:trHeight w:val="174"/>
        </w:trPr>
        <w:tc>
          <w:tcPr>
            <w:tcW w:w="3560" w:type="dxa"/>
            <w:vAlign w:val="bottom"/>
            <w:shd w:val="clear" w:color="auto" w:fill="FDFDFC"/>
          </w:tcPr>
          <w:p>
            <w:pPr>
              <w:spacing w:after="0"/>
              <w:rPr>
                <w:sz w:val="15"/>
                <w:szCs w:val="15"/>
                <w:color w:val="auto"/>
              </w:rPr>
            </w:pPr>
          </w:p>
        </w:tc>
        <w:tc>
          <w:tcPr>
            <w:tcW w:w="160" w:type="dxa"/>
            <w:vAlign w:val="bottom"/>
            <w:shd w:val="clear" w:color="auto" w:fill="FDFDFC"/>
          </w:tcPr>
          <w:p>
            <w:pPr>
              <w:spacing w:after="0"/>
              <w:rPr>
                <w:sz w:val="15"/>
                <w:szCs w:val="15"/>
                <w:color w:val="auto"/>
              </w:rPr>
            </w:pPr>
          </w:p>
        </w:tc>
        <w:tc>
          <w:tcPr>
            <w:tcW w:w="1480" w:type="dxa"/>
            <w:vAlign w:val="bottom"/>
            <w:shd w:val="clear" w:color="auto" w:fill="FDFDFC"/>
          </w:tcPr>
          <w:p>
            <w:pPr>
              <w:jc w:val="right"/>
              <w:ind w:right="353"/>
              <w:spacing w:after="0"/>
              <w:rPr>
                <w:sz w:val="20"/>
                <w:szCs w:val="20"/>
                <w:color w:val="auto"/>
              </w:rPr>
            </w:pPr>
            <w:r>
              <w:rPr>
                <w:rFonts w:ascii="Times New Roman" w:cs="Times New Roman" w:eastAsia="Times New Roman" w:hAnsi="Times New Roman"/>
                <w:sz w:val="15"/>
                <w:szCs w:val="15"/>
                <w:b w:val="1"/>
                <w:bCs w:val="1"/>
                <w:color w:val="231F20"/>
              </w:rPr>
              <w:t>Year Ended</w:t>
            </w:r>
          </w:p>
        </w:tc>
        <w:tc>
          <w:tcPr>
            <w:tcW w:w="200" w:type="dxa"/>
            <w:vAlign w:val="bottom"/>
            <w:shd w:val="clear" w:color="auto" w:fill="FDFDFC"/>
          </w:tcPr>
          <w:p>
            <w:pPr>
              <w:spacing w:after="0"/>
              <w:rPr>
                <w:sz w:val="15"/>
                <w:szCs w:val="15"/>
                <w:color w:val="auto"/>
              </w:rPr>
            </w:pPr>
          </w:p>
        </w:tc>
        <w:tc>
          <w:tcPr>
            <w:tcW w:w="160" w:type="dxa"/>
            <w:vAlign w:val="bottom"/>
            <w:shd w:val="clear" w:color="auto" w:fill="FDFDFC"/>
          </w:tcPr>
          <w:p>
            <w:pPr>
              <w:spacing w:after="0"/>
              <w:rPr>
                <w:sz w:val="15"/>
                <w:szCs w:val="15"/>
                <w:color w:val="auto"/>
              </w:rPr>
            </w:pPr>
          </w:p>
        </w:tc>
        <w:tc>
          <w:tcPr>
            <w:tcW w:w="1480" w:type="dxa"/>
            <w:vAlign w:val="bottom"/>
            <w:shd w:val="clear" w:color="auto" w:fill="FDFDFC"/>
          </w:tcPr>
          <w:p>
            <w:pPr>
              <w:jc w:val="right"/>
              <w:ind w:right="353"/>
              <w:spacing w:after="0"/>
              <w:rPr>
                <w:sz w:val="20"/>
                <w:szCs w:val="20"/>
                <w:color w:val="auto"/>
              </w:rPr>
            </w:pPr>
            <w:r>
              <w:rPr>
                <w:rFonts w:ascii="Times New Roman" w:cs="Times New Roman" w:eastAsia="Times New Roman" w:hAnsi="Times New Roman"/>
                <w:sz w:val="15"/>
                <w:szCs w:val="15"/>
                <w:b w:val="1"/>
                <w:bCs w:val="1"/>
                <w:color w:val="231F20"/>
              </w:rPr>
              <w:t>Year Ended</w:t>
            </w:r>
          </w:p>
        </w:tc>
        <w:tc>
          <w:tcPr>
            <w:tcW w:w="200" w:type="dxa"/>
            <w:vAlign w:val="bottom"/>
            <w:shd w:val="clear" w:color="auto" w:fill="FDFDFC"/>
          </w:tcPr>
          <w:p>
            <w:pPr>
              <w:spacing w:after="0"/>
              <w:rPr>
                <w:sz w:val="15"/>
                <w:szCs w:val="15"/>
                <w:color w:val="auto"/>
              </w:rPr>
            </w:pPr>
          </w:p>
        </w:tc>
        <w:tc>
          <w:tcPr>
            <w:tcW w:w="220" w:type="dxa"/>
            <w:vAlign w:val="bottom"/>
            <w:shd w:val="clear" w:color="auto" w:fill="FDFDFC"/>
          </w:tcPr>
          <w:p>
            <w:pPr>
              <w:spacing w:after="0"/>
              <w:rPr>
                <w:sz w:val="15"/>
                <w:szCs w:val="15"/>
                <w:color w:val="auto"/>
              </w:rPr>
            </w:pPr>
          </w:p>
        </w:tc>
        <w:tc>
          <w:tcPr>
            <w:tcW w:w="1820" w:type="dxa"/>
            <w:vAlign w:val="bottom"/>
            <w:gridSpan w:val="2"/>
            <w:shd w:val="clear" w:color="auto" w:fill="FDFDFC"/>
          </w:tcPr>
          <w:p>
            <w:pPr>
              <w:jc w:val="center"/>
              <w:ind w:right="320"/>
              <w:spacing w:after="0"/>
              <w:rPr>
                <w:sz w:val="20"/>
                <w:szCs w:val="20"/>
                <w:color w:val="auto"/>
              </w:rPr>
            </w:pPr>
            <w:r>
              <w:rPr>
                <w:rFonts w:ascii="Times New Roman" w:cs="Times New Roman" w:eastAsia="Times New Roman" w:hAnsi="Times New Roman"/>
                <w:sz w:val="15"/>
                <w:szCs w:val="15"/>
                <w:b w:val="1"/>
                <w:bCs w:val="1"/>
                <w:color w:val="231F20"/>
              </w:rPr>
              <w:t>Year Ended</w:t>
            </w:r>
          </w:p>
        </w:tc>
      </w:tr>
      <w:tr>
        <w:trPr>
          <w:trHeight w:val="174"/>
        </w:trPr>
        <w:tc>
          <w:tcPr>
            <w:tcW w:w="3560" w:type="dxa"/>
            <w:vAlign w:val="bottom"/>
            <w:shd w:val="clear" w:color="auto" w:fill="FDFDFC"/>
          </w:tcPr>
          <w:p>
            <w:pPr>
              <w:spacing w:after="0"/>
              <w:rPr>
                <w:sz w:val="15"/>
                <w:szCs w:val="15"/>
                <w:color w:val="auto"/>
              </w:rPr>
            </w:pPr>
          </w:p>
        </w:tc>
        <w:tc>
          <w:tcPr>
            <w:tcW w:w="160" w:type="dxa"/>
            <w:vAlign w:val="bottom"/>
            <w:shd w:val="clear" w:color="auto" w:fill="FDFDFC"/>
          </w:tcPr>
          <w:p>
            <w:pPr>
              <w:spacing w:after="0"/>
              <w:rPr>
                <w:sz w:val="15"/>
                <w:szCs w:val="15"/>
                <w:color w:val="auto"/>
              </w:rPr>
            </w:pPr>
          </w:p>
        </w:tc>
        <w:tc>
          <w:tcPr>
            <w:tcW w:w="1480" w:type="dxa"/>
            <w:vAlign w:val="bottom"/>
            <w:shd w:val="clear" w:color="auto" w:fill="FDFDFC"/>
          </w:tcPr>
          <w:p>
            <w:pPr>
              <w:jc w:val="right"/>
              <w:ind w:right="133"/>
              <w:spacing w:after="0"/>
              <w:rPr>
                <w:sz w:val="20"/>
                <w:szCs w:val="20"/>
                <w:color w:val="auto"/>
              </w:rPr>
            </w:pPr>
            <w:r>
              <w:rPr>
                <w:rFonts w:ascii="Times New Roman" w:cs="Times New Roman" w:eastAsia="Times New Roman" w:hAnsi="Times New Roman"/>
                <w:sz w:val="15"/>
                <w:szCs w:val="15"/>
                <w:b w:val="1"/>
                <w:bCs w:val="1"/>
                <w:color w:val="231F20"/>
              </w:rPr>
              <w:t>December 31, 2024</w:t>
            </w:r>
          </w:p>
        </w:tc>
        <w:tc>
          <w:tcPr>
            <w:tcW w:w="200" w:type="dxa"/>
            <w:vAlign w:val="bottom"/>
            <w:shd w:val="clear" w:color="auto" w:fill="FDFDFC"/>
          </w:tcPr>
          <w:p>
            <w:pPr>
              <w:spacing w:after="0"/>
              <w:rPr>
                <w:sz w:val="15"/>
                <w:szCs w:val="15"/>
                <w:color w:val="auto"/>
              </w:rPr>
            </w:pPr>
          </w:p>
        </w:tc>
        <w:tc>
          <w:tcPr>
            <w:tcW w:w="160" w:type="dxa"/>
            <w:vAlign w:val="bottom"/>
            <w:shd w:val="clear" w:color="auto" w:fill="FDFDFC"/>
          </w:tcPr>
          <w:p>
            <w:pPr>
              <w:spacing w:after="0"/>
              <w:rPr>
                <w:sz w:val="15"/>
                <w:szCs w:val="15"/>
                <w:color w:val="auto"/>
              </w:rPr>
            </w:pPr>
          </w:p>
        </w:tc>
        <w:tc>
          <w:tcPr>
            <w:tcW w:w="1480" w:type="dxa"/>
            <w:vAlign w:val="bottom"/>
            <w:shd w:val="clear" w:color="auto" w:fill="FDFDFC"/>
          </w:tcPr>
          <w:p>
            <w:pPr>
              <w:jc w:val="right"/>
              <w:ind w:right="133"/>
              <w:spacing w:after="0"/>
              <w:rPr>
                <w:sz w:val="20"/>
                <w:szCs w:val="20"/>
                <w:color w:val="auto"/>
              </w:rPr>
            </w:pPr>
            <w:r>
              <w:rPr>
                <w:rFonts w:ascii="Times New Roman" w:cs="Times New Roman" w:eastAsia="Times New Roman" w:hAnsi="Times New Roman"/>
                <w:sz w:val="15"/>
                <w:szCs w:val="15"/>
                <w:b w:val="1"/>
                <w:bCs w:val="1"/>
                <w:color w:val="231F20"/>
              </w:rPr>
              <w:t>December 31, 2023</w:t>
            </w:r>
          </w:p>
        </w:tc>
        <w:tc>
          <w:tcPr>
            <w:tcW w:w="200" w:type="dxa"/>
            <w:vAlign w:val="bottom"/>
            <w:shd w:val="clear" w:color="auto" w:fill="FDFDFC"/>
          </w:tcPr>
          <w:p>
            <w:pPr>
              <w:spacing w:after="0"/>
              <w:rPr>
                <w:sz w:val="15"/>
                <w:szCs w:val="15"/>
                <w:color w:val="auto"/>
              </w:rPr>
            </w:pPr>
          </w:p>
        </w:tc>
        <w:tc>
          <w:tcPr>
            <w:tcW w:w="220" w:type="dxa"/>
            <w:vAlign w:val="bottom"/>
            <w:shd w:val="clear" w:color="auto" w:fill="FDFDFC"/>
          </w:tcPr>
          <w:p>
            <w:pPr>
              <w:spacing w:after="0"/>
              <w:rPr>
                <w:sz w:val="15"/>
                <w:szCs w:val="15"/>
                <w:color w:val="auto"/>
              </w:rPr>
            </w:pPr>
          </w:p>
        </w:tc>
        <w:tc>
          <w:tcPr>
            <w:tcW w:w="1820" w:type="dxa"/>
            <w:vAlign w:val="bottom"/>
            <w:gridSpan w:val="2"/>
            <w:shd w:val="clear" w:color="auto" w:fill="FDFDFC"/>
          </w:tcPr>
          <w:p>
            <w:pPr>
              <w:jc w:val="center"/>
              <w:ind w:right="320"/>
              <w:spacing w:after="0"/>
              <w:rPr>
                <w:sz w:val="20"/>
                <w:szCs w:val="20"/>
                <w:color w:val="auto"/>
              </w:rPr>
            </w:pPr>
            <w:r>
              <w:rPr>
                <w:rFonts w:ascii="Times New Roman" w:cs="Times New Roman" w:eastAsia="Times New Roman" w:hAnsi="Times New Roman"/>
                <w:sz w:val="15"/>
                <w:szCs w:val="15"/>
                <w:b w:val="1"/>
                <w:bCs w:val="1"/>
                <w:color w:val="231F20"/>
              </w:rPr>
              <w:t>December 31, 2022</w:t>
            </w:r>
          </w:p>
        </w:tc>
      </w:tr>
      <w:tr>
        <w:trPr>
          <w:trHeight w:val="207"/>
        </w:trPr>
        <w:tc>
          <w:tcPr>
            <w:tcW w:w="3560" w:type="dxa"/>
            <w:vAlign w:val="bottom"/>
            <w:tcBorders>
              <w:top w:val="single" w:sz="8" w:color="D0EBF2"/>
            </w:tcBorders>
            <w:shd w:val="clear" w:color="auto" w:fill="D0EBF2"/>
          </w:tcPr>
          <w:p>
            <w:pPr>
              <w:spacing w:after="0" w:line="207" w:lineRule="exact"/>
              <w:rPr>
                <w:sz w:val="20"/>
                <w:szCs w:val="20"/>
                <w:color w:val="auto"/>
              </w:rPr>
            </w:pPr>
            <w:r>
              <w:rPr>
                <w:rFonts w:ascii="Times New Roman" w:cs="Times New Roman" w:eastAsia="Times New Roman" w:hAnsi="Times New Roman"/>
                <w:sz w:val="18"/>
                <w:szCs w:val="18"/>
                <w:color w:val="231F20"/>
              </w:rPr>
              <w:t xml:space="preserve">Ordinary Income </w:t>
            </w:r>
            <w:r>
              <w:rPr>
                <w:rFonts w:ascii="Times New Roman" w:cs="Times New Roman" w:eastAsia="Times New Roman" w:hAnsi="Times New Roman"/>
                <w:sz w:val="23"/>
                <w:szCs w:val="23"/>
                <w:color w:val="231F20"/>
                <w:vertAlign w:val="superscript"/>
              </w:rPr>
              <w:t>(1)</w:t>
            </w:r>
          </w:p>
        </w:tc>
        <w:tc>
          <w:tcPr>
            <w:tcW w:w="160" w:type="dxa"/>
            <w:vAlign w:val="bottom"/>
            <w:tcBorders>
              <w:top w:val="single" w:sz="8" w:color="231F20"/>
            </w:tcBorders>
            <w:shd w:val="clear" w:color="auto" w:fill="D0EBF2"/>
          </w:tcPr>
          <w:p>
            <w:pPr>
              <w:jc w:val="right"/>
              <w:spacing w:after="0" w:line="206" w:lineRule="exact"/>
              <w:rPr>
                <w:sz w:val="20"/>
                <w:szCs w:val="20"/>
                <w:color w:val="auto"/>
              </w:rPr>
            </w:pPr>
            <w:r>
              <w:rPr>
                <w:rFonts w:ascii="Times New Roman" w:cs="Times New Roman" w:eastAsia="Times New Roman" w:hAnsi="Times New Roman"/>
                <w:sz w:val="19"/>
                <w:szCs w:val="19"/>
                <w:color w:val="231F20"/>
                <w:w w:val="83"/>
              </w:rPr>
              <w:t>$</w:t>
            </w:r>
          </w:p>
        </w:tc>
        <w:tc>
          <w:tcPr>
            <w:tcW w:w="1480" w:type="dxa"/>
            <w:vAlign w:val="bottom"/>
            <w:tcBorders>
              <w:top w:val="single" w:sz="8" w:color="231F20"/>
            </w:tcBorders>
            <w:shd w:val="clear" w:color="auto" w:fill="D0EBF2"/>
          </w:tcPr>
          <w:p>
            <w:pPr>
              <w:jc w:val="right"/>
              <w:spacing w:after="0" w:line="206" w:lineRule="exact"/>
              <w:rPr>
                <w:sz w:val="20"/>
                <w:szCs w:val="20"/>
                <w:color w:val="auto"/>
              </w:rPr>
            </w:pPr>
            <w:r>
              <w:rPr>
                <w:rFonts w:ascii="Times New Roman" w:cs="Times New Roman" w:eastAsia="Times New Roman" w:hAnsi="Times New Roman"/>
                <w:sz w:val="19"/>
                <w:szCs w:val="19"/>
                <w:color w:val="231F20"/>
              </w:rPr>
              <w:t>186,880</w:t>
            </w:r>
          </w:p>
        </w:tc>
        <w:tc>
          <w:tcPr>
            <w:tcW w:w="200" w:type="dxa"/>
            <w:vAlign w:val="bottom"/>
            <w:tcBorders>
              <w:top w:val="single" w:sz="8" w:color="D0EBF2"/>
            </w:tcBorders>
            <w:shd w:val="clear" w:color="auto" w:fill="D0EBF2"/>
          </w:tcPr>
          <w:p>
            <w:pPr>
              <w:spacing w:after="0"/>
              <w:rPr>
                <w:sz w:val="17"/>
                <w:szCs w:val="17"/>
                <w:color w:val="auto"/>
              </w:rPr>
            </w:pPr>
          </w:p>
        </w:tc>
        <w:tc>
          <w:tcPr>
            <w:tcW w:w="160" w:type="dxa"/>
            <w:vAlign w:val="bottom"/>
            <w:tcBorders>
              <w:top w:val="single" w:sz="8" w:color="231F20"/>
            </w:tcBorders>
            <w:shd w:val="clear" w:color="auto" w:fill="D0EBF2"/>
          </w:tcPr>
          <w:p>
            <w:pPr>
              <w:jc w:val="right"/>
              <w:spacing w:after="0" w:line="206" w:lineRule="exact"/>
              <w:rPr>
                <w:sz w:val="20"/>
                <w:szCs w:val="20"/>
                <w:color w:val="auto"/>
              </w:rPr>
            </w:pPr>
            <w:r>
              <w:rPr>
                <w:rFonts w:ascii="Times New Roman" w:cs="Times New Roman" w:eastAsia="Times New Roman" w:hAnsi="Times New Roman"/>
                <w:sz w:val="19"/>
                <w:szCs w:val="19"/>
                <w:color w:val="231F20"/>
                <w:w w:val="83"/>
              </w:rPr>
              <w:t>$</w:t>
            </w:r>
          </w:p>
        </w:tc>
        <w:tc>
          <w:tcPr>
            <w:tcW w:w="1480" w:type="dxa"/>
            <w:vAlign w:val="bottom"/>
            <w:tcBorders>
              <w:top w:val="single" w:sz="8" w:color="231F20"/>
            </w:tcBorders>
            <w:shd w:val="clear" w:color="auto" w:fill="D0EBF2"/>
          </w:tcPr>
          <w:p>
            <w:pPr>
              <w:jc w:val="right"/>
              <w:spacing w:after="0" w:line="206" w:lineRule="exact"/>
              <w:rPr>
                <w:sz w:val="20"/>
                <w:szCs w:val="20"/>
                <w:color w:val="auto"/>
              </w:rPr>
            </w:pPr>
            <w:r>
              <w:rPr>
                <w:rFonts w:ascii="Times New Roman" w:cs="Times New Roman" w:eastAsia="Times New Roman" w:hAnsi="Times New Roman"/>
                <w:sz w:val="19"/>
                <w:szCs w:val="19"/>
                <w:color w:val="231F20"/>
              </w:rPr>
              <w:t>151,336</w:t>
            </w:r>
          </w:p>
        </w:tc>
        <w:tc>
          <w:tcPr>
            <w:tcW w:w="200" w:type="dxa"/>
            <w:vAlign w:val="bottom"/>
            <w:tcBorders>
              <w:top w:val="single" w:sz="8" w:color="D0EBF2"/>
            </w:tcBorders>
            <w:shd w:val="clear" w:color="auto" w:fill="D0EBF2"/>
          </w:tcPr>
          <w:p>
            <w:pPr>
              <w:spacing w:after="0"/>
              <w:rPr>
                <w:sz w:val="17"/>
                <w:szCs w:val="17"/>
                <w:color w:val="auto"/>
              </w:rPr>
            </w:pPr>
          </w:p>
        </w:tc>
        <w:tc>
          <w:tcPr>
            <w:tcW w:w="220" w:type="dxa"/>
            <w:vAlign w:val="bottom"/>
            <w:tcBorders>
              <w:top w:val="single" w:sz="8" w:color="231F20"/>
            </w:tcBorders>
            <w:shd w:val="clear" w:color="auto" w:fill="D0EBF2"/>
          </w:tcPr>
          <w:p>
            <w:pPr>
              <w:jc w:val="right"/>
              <w:ind w:right="26"/>
              <w:spacing w:after="0" w:line="206" w:lineRule="exact"/>
              <w:rPr>
                <w:sz w:val="20"/>
                <w:szCs w:val="20"/>
                <w:color w:val="auto"/>
              </w:rPr>
            </w:pPr>
            <w:r>
              <w:rPr>
                <w:rFonts w:ascii="Times New Roman" w:cs="Times New Roman" w:eastAsia="Times New Roman" w:hAnsi="Times New Roman"/>
                <w:sz w:val="19"/>
                <w:szCs w:val="19"/>
                <w:color w:val="231F20"/>
                <w:w w:val="83"/>
              </w:rPr>
              <w:t>$</w:t>
            </w:r>
          </w:p>
        </w:tc>
        <w:tc>
          <w:tcPr>
            <w:tcW w:w="1720" w:type="dxa"/>
            <w:vAlign w:val="bottom"/>
            <w:tcBorders>
              <w:top w:val="single" w:sz="8" w:color="231F20"/>
            </w:tcBorders>
            <w:shd w:val="clear" w:color="auto" w:fill="D0EBF2"/>
          </w:tcPr>
          <w:p>
            <w:pPr>
              <w:jc w:val="right"/>
              <w:spacing w:after="0" w:line="206" w:lineRule="exact"/>
              <w:rPr>
                <w:sz w:val="20"/>
                <w:szCs w:val="20"/>
                <w:color w:val="auto"/>
              </w:rPr>
            </w:pPr>
            <w:r>
              <w:rPr>
                <w:rFonts w:ascii="Times New Roman" w:cs="Times New Roman" w:eastAsia="Times New Roman" w:hAnsi="Times New Roman"/>
                <w:sz w:val="19"/>
                <w:szCs w:val="19"/>
                <w:color w:val="231F20"/>
              </w:rPr>
              <w:t>124,760</w:t>
            </w:r>
          </w:p>
        </w:tc>
        <w:tc>
          <w:tcPr>
            <w:tcW w:w="100" w:type="dxa"/>
            <w:vAlign w:val="bottom"/>
            <w:tcBorders>
              <w:top w:val="single" w:sz="8" w:color="D0EBF2"/>
            </w:tcBorders>
            <w:shd w:val="clear" w:color="auto" w:fill="D0EBF2"/>
          </w:tcPr>
          <w:p>
            <w:pPr>
              <w:spacing w:after="0"/>
              <w:rPr>
                <w:sz w:val="17"/>
                <w:szCs w:val="17"/>
                <w:color w:val="auto"/>
              </w:rPr>
            </w:pPr>
          </w:p>
        </w:tc>
      </w:tr>
      <w:tr>
        <w:trPr>
          <w:trHeight w:val="217"/>
        </w:trPr>
        <w:tc>
          <w:tcPr>
            <w:tcW w:w="3560" w:type="dxa"/>
            <w:vAlign w:val="bottom"/>
            <w:tcBorders>
              <w:bottom w:val="single" w:sz="8" w:color="D0EBF2"/>
            </w:tcBorders>
            <w:shd w:val="clear" w:color="auto" w:fill="FDFDFC"/>
          </w:tcPr>
          <w:p>
            <w:pPr>
              <w:spacing w:after="0" w:line="217" w:lineRule="exact"/>
              <w:rPr>
                <w:sz w:val="20"/>
                <w:szCs w:val="20"/>
                <w:color w:val="auto"/>
              </w:rPr>
            </w:pPr>
            <w:r>
              <w:rPr>
                <w:rFonts w:ascii="Times New Roman" w:cs="Times New Roman" w:eastAsia="Times New Roman" w:hAnsi="Times New Roman"/>
                <w:sz w:val="19"/>
                <w:szCs w:val="19"/>
                <w:color w:val="231F20"/>
              </w:rPr>
              <w:t>Long Term Capital Gains</w:t>
            </w:r>
          </w:p>
        </w:tc>
        <w:tc>
          <w:tcPr>
            <w:tcW w:w="160" w:type="dxa"/>
            <w:vAlign w:val="bottom"/>
            <w:tcBorders>
              <w:bottom w:val="single" w:sz="8" w:color="231F20"/>
            </w:tcBorders>
            <w:shd w:val="clear" w:color="auto" w:fill="FDFDFC"/>
          </w:tcPr>
          <w:p>
            <w:pPr>
              <w:spacing w:after="0"/>
              <w:rPr>
                <w:sz w:val="18"/>
                <w:szCs w:val="18"/>
                <w:color w:val="auto"/>
              </w:rPr>
            </w:pPr>
          </w:p>
        </w:tc>
        <w:tc>
          <w:tcPr>
            <w:tcW w:w="1480" w:type="dxa"/>
            <w:vAlign w:val="bottom"/>
            <w:tcBorders>
              <w:bottom w:val="single" w:sz="8" w:color="231F20"/>
            </w:tcBorders>
            <w:shd w:val="clear" w:color="auto" w:fill="FDFDFC"/>
          </w:tcPr>
          <w:p>
            <w:pPr>
              <w:jc w:val="right"/>
              <w:spacing w:after="0" w:line="217" w:lineRule="exact"/>
              <w:rPr>
                <w:sz w:val="20"/>
                <w:szCs w:val="20"/>
                <w:color w:val="auto"/>
              </w:rPr>
            </w:pPr>
            <w:r>
              <w:rPr>
                <w:rFonts w:ascii="Times New Roman" w:cs="Times New Roman" w:eastAsia="Times New Roman" w:hAnsi="Times New Roman"/>
                <w:sz w:val="19"/>
                <w:szCs w:val="19"/>
                <w:color w:val="231F20"/>
              </w:rPr>
              <w:t>6,563</w:t>
            </w:r>
          </w:p>
        </w:tc>
        <w:tc>
          <w:tcPr>
            <w:tcW w:w="200" w:type="dxa"/>
            <w:vAlign w:val="bottom"/>
            <w:tcBorders>
              <w:bottom w:val="single" w:sz="8" w:color="D0EBF2"/>
            </w:tcBorders>
            <w:shd w:val="clear" w:color="auto" w:fill="FDFDFC"/>
          </w:tcPr>
          <w:p>
            <w:pPr>
              <w:spacing w:after="0"/>
              <w:rPr>
                <w:sz w:val="18"/>
                <w:szCs w:val="18"/>
                <w:color w:val="auto"/>
              </w:rPr>
            </w:pPr>
          </w:p>
        </w:tc>
        <w:tc>
          <w:tcPr>
            <w:tcW w:w="160" w:type="dxa"/>
            <w:vAlign w:val="bottom"/>
            <w:tcBorders>
              <w:bottom w:val="single" w:sz="8" w:color="231F20"/>
            </w:tcBorders>
            <w:shd w:val="clear" w:color="auto" w:fill="FDFDFC"/>
          </w:tcPr>
          <w:p>
            <w:pPr>
              <w:spacing w:after="0"/>
              <w:rPr>
                <w:sz w:val="18"/>
                <w:szCs w:val="18"/>
                <w:color w:val="auto"/>
              </w:rPr>
            </w:pPr>
          </w:p>
        </w:tc>
        <w:tc>
          <w:tcPr>
            <w:tcW w:w="1480" w:type="dxa"/>
            <w:vAlign w:val="bottom"/>
            <w:tcBorders>
              <w:bottom w:val="single" w:sz="8" w:color="231F20"/>
            </w:tcBorders>
            <w:shd w:val="clear" w:color="auto" w:fill="FDFDFC"/>
          </w:tcPr>
          <w:p>
            <w:pPr>
              <w:jc w:val="right"/>
              <w:spacing w:after="0" w:line="217" w:lineRule="exact"/>
              <w:rPr>
                <w:sz w:val="20"/>
                <w:szCs w:val="20"/>
                <w:color w:val="auto"/>
              </w:rPr>
            </w:pPr>
            <w:r>
              <w:rPr>
                <w:rFonts w:ascii="Times New Roman" w:cs="Times New Roman" w:eastAsia="Times New Roman" w:hAnsi="Times New Roman"/>
                <w:sz w:val="19"/>
                <w:szCs w:val="19"/>
                <w:color w:val="231F20"/>
              </w:rPr>
              <w:t>28,630</w:t>
            </w:r>
          </w:p>
        </w:tc>
        <w:tc>
          <w:tcPr>
            <w:tcW w:w="200" w:type="dxa"/>
            <w:vAlign w:val="bottom"/>
            <w:tcBorders>
              <w:bottom w:val="single" w:sz="8" w:color="D0EBF2"/>
            </w:tcBorders>
            <w:shd w:val="clear" w:color="auto" w:fill="FDFDFC"/>
          </w:tcPr>
          <w:p>
            <w:pPr>
              <w:spacing w:after="0"/>
              <w:rPr>
                <w:sz w:val="18"/>
                <w:szCs w:val="18"/>
                <w:color w:val="auto"/>
              </w:rPr>
            </w:pPr>
          </w:p>
        </w:tc>
        <w:tc>
          <w:tcPr>
            <w:tcW w:w="220" w:type="dxa"/>
            <w:vAlign w:val="bottom"/>
            <w:tcBorders>
              <w:bottom w:val="single" w:sz="8" w:color="231F20"/>
            </w:tcBorders>
            <w:shd w:val="clear" w:color="auto" w:fill="FDFDFC"/>
          </w:tcPr>
          <w:p>
            <w:pPr>
              <w:spacing w:after="0"/>
              <w:rPr>
                <w:sz w:val="18"/>
                <w:szCs w:val="18"/>
                <w:color w:val="auto"/>
              </w:rPr>
            </w:pPr>
          </w:p>
        </w:tc>
        <w:tc>
          <w:tcPr>
            <w:tcW w:w="1720" w:type="dxa"/>
            <w:vAlign w:val="bottom"/>
            <w:tcBorders>
              <w:bottom w:val="single" w:sz="8" w:color="231F20"/>
            </w:tcBorders>
            <w:shd w:val="clear" w:color="auto" w:fill="FDFDFC"/>
          </w:tcPr>
          <w:p>
            <w:pPr>
              <w:jc w:val="right"/>
              <w:spacing w:after="0" w:line="217" w:lineRule="exact"/>
              <w:rPr>
                <w:sz w:val="20"/>
                <w:szCs w:val="20"/>
                <w:color w:val="auto"/>
              </w:rPr>
            </w:pPr>
            <w:r>
              <w:rPr>
                <w:rFonts w:ascii="Times New Roman" w:cs="Times New Roman" w:eastAsia="Times New Roman" w:hAnsi="Times New Roman"/>
                <w:sz w:val="19"/>
                <w:szCs w:val="19"/>
                <w:color w:val="231F20"/>
              </w:rPr>
              <w:t>19,562</w:t>
            </w:r>
          </w:p>
        </w:tc>
        <w:tc>
          <w:tcPr>
            <w:tcW w:w="100" w:type="dxa"/>
            <w:vAlign w:val="bottom"/>
            <w:tcBorders>
              <w:bottom w:val="single" w:sz="8" w:color="D0EBF2"/>
            </w:tcBorders>
            <w:shd w:val="clear" w:color="auto" w:fill="FDFDFC"/>
          </w:tcPr>
          <w:p>
            <w:pPr>
              <w:spacing w:after="0"/>
              <w:rPr>
                <w:sz w:val="18"/>
                <w:szCs w:val="18"/>
                <w:color w:val="auto"/>
              </w:rPr>
            </w:pPr>
          </w:p>
        </w:tc>
      </w:tr>
      <w:tr>
        <w:trPr>
          <w:trHeight w:val="207"/>
        </w:trPr>
        <w:tc>
          <w:tcPr>
            <w:tcW w:w="3560" w:type="dxa"/>
            <w:vAlign w:val="bottom"/>
            <w:shd w:val="clear" w:color="auto" w:fill="D0EBF2"/>
          </w:tcPr>
          <w:p>
            <w:pPr>
              <w:spacing w:after="0" w:line="206" w:lineRule="exact"/>
              <w:rPr>
                <w:sz w:val="20"/>
                <w:szCs w:val="20"/>
                <w:color w:val="auto"/>
              </w:rPr>
            </w:pPr>
            <w:r>
              <w:rPr>
                <w:rFonts w:ascii="Times New Roman" w:cs="Times New Roman" w:eastAsia="Times New Roman" w:hAnsi="Times New Roman"/>
                <w:sz w:val="19"/>
                <w:szCs w:val="19"/>
                <w:b w:val="1"/>
                <w:bCs w:val="1"/>
                <w:color w:val="231F20"/>
              </w:rPr>
              <w:t>Total</w:t>
            </w:r>
          </w:p>
        </w:tc>
        <w:tc>
          <w:tcPr>
            <w:tcW w:w="160" w:type="dxa"/>
            <w:vAlign w:val="bottom"/>
            <w:tcBorders>
              <w:bottom w:val="single" w:sz="8" w:color="231F20"/>
            </w:tcBorders>
            <w:shd w:val="clear" w:color="auto" w:fill="D0EBF2"/>
          </w:tcPr>
          <w:p>
            <w:pPr>
              <w:jc w:val="right"/>
              <w:spacing w:after="0" w:line="206" w:lineRule="exact"/>
              <w:rPr>
                <w:sz w:val="20"/>
                <w:szCs w:val="20"/>
                <w:color w:val="auto"/>
              </w:rPr>
            </w:pPr>
            <w:r>
              <w:rPr>
                <w:rFonts w:ascii="Times New Roman" w:cs="Times New Roman" w:eastAsia="Times New Roman" w:hAnsi="Times New Roman"/>
                <w:sz w:val="19"/>
                <w:szCs w:val="19"/>
                <w:color w:val="231F20"/>
                <w:w w:val="83"/>
              </w:rPr>
              <w:t>$</w:t>
            </w:r>
          </w:p>
        </w:tc>
        <w:tc>
          <w:tcPr>
            <w:tcW w:w="1480" w:type="dxa"/>
            <w:vAlign w:val="bottom"/>
            <w:tcBorders>
              <w:bottom w:val="single" w:sz="8" w:color="231F20"/>
            </w:tcBorders>
            <w:shd w:val="clear" w:color="auto" w:fill="D0EBF2"/>
          </w:tcPr>
          <w:p>
            <w:pPr>
              <w:jc w:val="right"/>
              <w:spacing w:after="0" w:line="206" w:lineRule="exact"/>
              <w:rPr>
                <w:sz w:val="20"/>
                <w:szCs w:val="20"/>
                <w:color w:val="auto"/>
              </w:rPr>
            </w:pPr>
            <w:r>
              <w:rPr>
                <w:rFonts w:ascii="Times New Roman" w:cs="Times New Roman" w:eastAsia="Times New Roman" w:hAnsi="Times New Roman"/>
                <w:sz w:val="19"/>
                <w:szCs w:val="19"/>
                <w:color w:val="231F20"/>
              </w:rPr>
              <w:t>193,443</w:t>
            </w:r>
          </w:p>
        </w:tc>
        <w:tc>
          <w:tcPr>
            <w:tcW w:w="200" w:type="dxa"/>
            <w:vAlign w:val="bottom"/>
            <w:shd w:val="clear" w:color="auto" w:fill="D0EBF2"/>
          </w:tcPr>
          <w:p>
            <w:pPr>
              <w:spacing w:after="0"/>
              <w:rPr>
                <w:sz w:val="17"/>
                <w:szCs w:val="17"/>
                <w:color w:val="auto"/>
              </w:rPr>
            </w:pPr>
          </w:p>
        </w:tc>
        <w:tc>
          <w:tcPr>
            <w:tcW w:w="160" w:type="dxa"/>
            <w:vAlign w:val="bottom"/>
            <w:tcBorders>
              <w:bottom w:val="single" w:sz="8" w:color="231F20"/>
            </w:tcBorders>
            <w:shd w:val="clear" w:color="auto" w:fill="D0EBF2"/>
          </w:tcPr>
          <w:p>
            <w:pPr>
              <w:jc w:val="right"/>
              <w:spacing w:after="0" w:line="206" w:lineRule="exact"/>
              <w:rPr>
                <w:sz w:val="20"/>
                <w:szCs w:val="20"/>
                <w:color w:val="auto"/>
              </w:rPr>
            </w:pPr>
            <w:r>
              <w:rPr>
                <w:rFonts w:ascii="Times New Roman" w:cs="Times New Roman" w:eastAsia="Times New Roman" w:hAnsi="Times New Roman"/>
                <w:sz w:val="19"/>
                <w:szCs w:val="19"/>
                <w:color w:val="231F20"/>
                <w:w w:val="83"/>
              </w:rPr>
              <w:t>$</w:t>
            </w:r>
          </w:p>
        </w:tc>
        <w:tc>
          <w:tcPr>
            <w:tcW w:w="1480" w:type="dxa"/>
            <w:vAlign w:val="bottom"/>
            <w:tcBorders>
              <w:bottom w:val="single" w:sz="8" w:color="231F20"/>
            </w:tcBorders>
            <w:shd w:val="clear" w:color="auto" w:fill="D0EBF2"/>
          </w:tcPr>
          <w:p>
            <w:pPr>
              <w:jc w:val="right"/>
              <w:spacing w:after="0" w:line="206" w:lineRule="exact"/>
              <w:rPr>
                <w:sz w:val="20"/>
                <w:szCs w:val="20"/>
                <w:color w:val="auto"/>
              </w:rPr>
            </w:pPr>
            <w:r>
              <w:rPr>
                <w:rFonts w:ascii="Times New Roman" w:cs="Times New Roman" w:eastAsia="Times New Roman" w:hAnsi="Times New Roman"/>
                <w:sz w:val="19"/>
                <w:szCs w:val="19"/>
                <w:color w:val="231F20"/>
              </w:rPr>
              <w:t>179,966</w:t>
            </w:r>
          </w:p>
        </w:tc>
        <w:tc>
          <w:tcPr>
            <w:tcW w:w="200" w:type="dxa"/>
            <w:vAlign w:val="bottom"/>
            <w:shd w:val="clear" w:color="auto" w:fill="D0EBF2"/>
          </w:tcPr>
          <w:p>
            <w:pPr>
              <w:spacing w:after="0"/>
              <w:rPr>
                <w:sz w:val="17"/>
                <w:szCs w:val="17"/>
                <w:color w:val="auto"/>
              </w:rPr>
            </w:pPr>
          </w:p>
        </w:tc>
        <w:tc>
          <w:tcPr>
            <w:tcW w:w="220" w:type="dxa"/>
            <w:vAlign w:val="bottom"/>
            <w:tcBorders>
              <w:bottom w:val="single" w:sz="8" w:color="231F20"/>
            </w:tcBorders>
            <w:shd w:val="clear" w:color="auto" w:fill="D0EBF2"/>
          </w:tcPr>
          <w:p>
            <w:pPr>
              <w:jc w:val="right"/>
              <w:ind w:right="26"/>
              <w:spacing w:after="0" w:line="206" w:lineRule="exact"/>
              <w:rPr>
                <w:sz w:val="20"/>
                <w:szCs w:val="20"/>
                <w:color w:val="auto"/>
              </w:rPr>
            </w:pPr>
            <w:r>
              <w:rPr>
                <w:rFonts w:ascii="Times New Roman" w:cs="Times New Roman" w:eastAsia="Times New Roman" w:hAnsi="Times New Roman"/>
                <w:sz w:val="19"/>
                <w:szCs w:val="19"/>
                <w:color w:val="231F20"/>
                <w:w w:val="83"/>
              </w:rPr>
              <w:t>$</w:t>
            </w:r>
          </w:p>
        </w:tc>
        <w:tc>
          <w:tcPr>
            <w:tcW w:w="1720" w:type="dxa"/>
            <w:vAlign w:val="bottom"/>
            <w:tcBorders>
              <w:bottom w:val="single" w:sz="8" w:color="231F20"/>
            </w:tcBorders>
            <w:shd w:val="clear" w:color="auto" w:fill="D0EBF2"/>
          </w:tcPr>
          <w:p>
            <w:pPr>
              <w:jc w:val="right"/>
              <w:spacing w:after="0" w:line="206" w:lineRule="exact"/>
              <w:rPr>
                <w:sz w:val="20"/>
                <w:szCs w:val="20"/>
                <w:color w:val="auto"/>
              </w:rPr>
            </w:pPr>
            <w:r>
              <w:rPr>
                <w:rFonts w:ascii="Times New Roman" w:cs="Times New Roman" w:eastAsia="Times New Roman" w:hAnsi="Times New Roman"/>
                <w:sz w:val="19"/>
                <w:szCs w:val="19"/>
                <w:color w:val="231F20"/>
              </w:rPr>
              <w:t>144,322</w:t>
            </w:r>
          </w:p>
        </w:tc>
        <w:tc>
          <w:tcPr>
            <w:tcW w:w="100" w:type="dxa"/>
            <w:vAlign w:val="bottom"/>
            <w:shd w:val="clear" w:color="auto" w:fill="D0EBF2"/>
          </w:tcPr>
          <w:p>
            <w:pPr>
              <w:spacing w:after="0"/>
              <w:rPr>
                <w:sz w:val="17"/>
                <w:szCs w:val="17"/>
                <w:color w:val="auto"/>
              </w:rPr>
            </w:pPr>
          </w:p>
        </w:tc>
      </w:tr>
      <w:tr>
        <w:trPr>
          <w:trHeight w:val="20"/>
        </w:trPr>
        <w:tc>
          <w:tcPr>
            <w:tcW w:w="3560" w:type="dxa"/>
            <w:vAlign w:val="bottom"/>
          </w:tcPr>
          <w:p>
            <w:pPr>
              <w:spacing w:after="0" w:line="20" w:lineRule="exact"/>
              <w:rPr>
                <w:sz w:val="1"/>
                <w:szCs w:val="1"/>
                <w:color w:val="auto"/>
              </w:rPr>
            </w:pPr>
          </w:p>
        </w:tc>
        <w:tc>
          <w:tcPr>
            <w:tcW w:w="160" w:type="dxa"/>
            <w:vAlign w:val="bottom"/>
            <w:tcBorders>
              <w:bottom w:val="single" w:sz="8" w:color="231F20"/>
            </w:tcBorders>
          </w:tcPr>
          <w:p>
            <w:pPr>
              <w:spacing w:after="0" w:line="20" w:lineRule="exact"/>
              <w:rPr>
                <w:sz w:val="1"/>
                <w:szCs w:val="1"/>
                <w:color w:val="auto"/>
              </w:rPr>
            </w:pPr>
          </w:p>
        </w:tc>
        <w:tc>
          <w:tcPr>
            <w:tcW w:w="1480" w:type="dxa"/>
            <w:vAlign w:val="bottom"/>
            <w:tcBorders>
              <w:bottom w:val="single" w:sz="8" w:color="231F20"/>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231F20"/>
            </w:tcBorders>
          </w:tcPr>
          <w:p>
            <w:pPr>
              <w:spacing w:after="0" w:line="20" w:lineRule="exact"/>
              <w:rPr>
                <w:sz w:val="1"/>
                <w:szCs w:val="1"/>
                <w:color w:val="auto"/>
              </w:rPr>
            </w:pPr>
          </w:p>
        </w:tc>
        <w:tc>
          <w:tcPr>
            <w:tcW w:w="1480" w:type="dxa"/>
            <w:vAlign w:val="bottom"/>
            <w:tcBorders>
              <w:bottom w:val="single" w:sz="8" w:color="231F20"/>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231F20"/>
            </w:tcBorders>
          </w:tcPr>
          <w:p>
            <w:pPr>
              <w:spacing w:after="0" w:line="20" w:lineRule="exact"/>
              <w:rPr>
                <w:sz w:val="1"/>
                <w:szCs w:val="1"/>
                <w:color w:val="auto"/>
              </w:rPr>
            </w:pPr>
          </w:p>
        </w:tc>
        <w:tc>
          <w:tcPr>
            <w:tcW w:w="1720" w:type="dxa"/>
            <w:vAlign w:val="bottom"/>
            <w:tcBorders>
              <w:bottom w:val="single" w:sz="8" w:color="231F20"/>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2" w:lineRule="exact"/>
        <w:rPr>
          <w:sz w:val="20"/>
          <w:szCs w:val="20"/>
          <w:color w:val="auto"/>
        </w:rPr>
      </w:pPr>
    </w:p>
    <w:p>
      <w:pPr>
        <w:ind w:left="460" w:right="100" w:hanging="460"/>
        <w:spacing w:after="0" w:line="293" w:lineRule="auto"/>
        <w:tabs>
          <w:tab w:leader="none" w:pos="460" w:val="left"/>
        </w:tabs>
        <w:numPr>
          <w:ilvl w:val="0"/>
          <w:numId w:val="103"/>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For the years ended December 31, 2024, December 31, 2023 and December 31, 2022, 86.81%, 87.01% and 87.86% of ordinary income qualified as interest related dividend which is exempt from U.S. withholding tax applicable to non-U.S. shareholders.</w:t>
      </w:r>
    </w:p>
    <w:p>
      <w:pPr>
        <w:spacing w:after="0" w:line="199" w:lineRule="exact"/>
        <w:rPr>
          <w:sz w:val="20"/>
          <w:szCs w:val="20"/>
          <w:color w:val="auto"/>
        </w:rPr>
      </w:pPr>
    </w:p>
    <w:p>
      <w:pPr>
        <w:ind w:right="100" w:firstLine="231"/>
        <w:spacing w:after="0" w:line="265" w:lineRule="auto"/>
        <w:rPr>
          <w:sz w:val="20"/>
          <w:szCs w:val="20"/>
          <w:color w:val="auto"/>
        </w:rPr>
      </w:pPr>
      <w:r>
        <w:rPr>
          <w:rFonts w:ascii="Times New Roman" w:cs="Times New Roman" w:eastAsia="Times New Roman" w:hAnsi="Times New Roman"/>
          <w:sz w:val="19"/>
          <w:szCs w:val="19"/>
          <w:color w:val="231F20"/>
        </w:rPr>
        <w:t>The tax basis components of distributable earnings for the years ended December 31, 2024, December 31, 2023 and December 31, 2022 were as follows:</w:t>
      </w:r>
    </w:p>
    <w:p>
      <w:pPr>
        <w:spacing w:after="0" w:line="207" w:lineRule="exact"/>
        <w:rPr>
          <w:sz w:val="20"/>
          <w:szCs w:val="20"/>
          <w:color w:val="auto"/>
        </w:rPr>
      </w:pPr>
    </w:p>
    <w:tbl>
      <w:tblPr>
        <w:tblLayout w:type="fixed"/>
        <w:tblInd w:w="300" w:type="dxa"/>
        <w:tblCellMar>
          <w:top w:w="0" w:type="dxa"/>
          <w:left w:w="0" w:type="dxa"/>
          <w:bottom w:w="0" w:type="dxa"/>
          <w:right w:w="0" w:type="dxa"/>
        </w:tblCellMar>
      </w:tblPr>
      <w:tr>
        <w:trPr>
          <w:trHeight w:val="187"/>
        </w:trPr>
        <w:tc>
          <w:tcPr>
            <w:tcW w:w="4200" w:type="dxa"/>
            <w:vAlign w:val="bottom"/>
            <w:shd w:val="clear" w:color="auto" w:fill="FDFDFC"/>
          </w:tcPr>
          <w:p>
            <w:pPr>
              <w:spacing w:after="0"/>
              <w:rPr>
                <w:sz w:val="16"/>
                <w:szCs w:val="16"/>
                <w:color w:val="auto"/>
              </w:rPr>
            </w:pPr>
          </w:p>
        </w:tc>
        <w:tc>
          <w:tcPr>
            <w:tcW w:w="140" w:type="dxa"/>
            <w:vAlign w:val="bottom"/>
            <w:shd w:val="clear" w:color="auto" w:fill="FDFDFC"/>
          </w:tcPr>
          <w:p>
            <w:pPr>
              <w:spacing w:after="0"/>
              <w:rPr>
                <w:sz w:val="16"/>
                <w:szCs w:val="16"/>
                <w:color w:val="auto"/>
              </w:rPr>
            </w:pPr>
          </w:p>
        </w:tc>
        <w:tc>
          <w:tcPr>
            <w:tcW w:w="120" w:type="dxa"/>
            <w:vAlign w:val="bottom"/>
            <w:shd w:val="clear" w:color="auto" w:fill="FDFDFC"/>
          </w:tcPr>
          <w:p>
            <w:pPr>
              <w:spacing w:after="0"/>
              <w:rPr>
                <w:sz w:val="16"/>
                <w:szCs w:val="16"/>
                <w:color w:val="auto"/>
              </w:rPr>
            </w:pPr>
          </w:p>
        </w:tc>
        <w:tc>
          <w:tcPr>
            <w:tcW w:w="1420" w:type="dxa"/>
            <w:vAlign w:val="bottom"/>
            <w:shd w:val="clear" w:color="auto" w:fill="FDFDFC"/>
          </w:tcPr>
          <w:p>
            <w:pPr>
              <w:jc w:val="right"/>
              <w:ind w:right="311"/>
              <w:spacing w:after="0"/>
              <w:rPr>
                <w:sz w:val="20"/>
                <w:szCs w:val="20"/>
                <w:color w:val="auto"/>
              </w:rPr>
            </w:pPr>
            <w:r>
              <w:rPr>
                <w:rFonts w:ascii="Times New Roman" w:cs="Times New Roman" w:eastAsia="Times New Roman" w:hAnsi="Times New Roman"/>
                <w:sz w:val="15"/>
                <w:szCs w:val="15"/>
                <w:b w:val="1"/>
                <w:bCs w:val="1"/>
                <w:color w:val="231F20"/>
              </w:rPr>
              <w:t>Year Ended</w:t>
            </w:r>
          </w:p>
        </w:tc>
        <w:tc>
          <w:tcPr>
            <w:tcW w:w="240" w:type="dxa"/>
            <w:vAlign w:val="bottom"/>
            <w:shd w:val="clear" w:color="auto" w:fill="FDFDFC"/>
          </w:tcPr>
          <w:p>
            <w:pPr>
              <w:spacing w:after="0"/>
              <w:rPr>
                <w:sz w:val="16"/>
                <w:szCs w:val="16"/>
                <w:color w:val="auto"/>
              </w:rPr>
            </w:pPr>
          </w:p>
        </w:tc>
        <w:tc>
          <w:tcPr>
            <w:tcW w:w="120" w:type="dxa"/>
            <w:vAlign w:val="bottom"/>
            <w:shd w:val="clear" w:color="auto" w:fill="FDFDFC"/>
          </w:tcPr>
          <w:p>
            <w:pPr>
              <w:spacing w:after="0"/>
              <w:rPr>
                <w:sz w:val="16"/>
                <w:szCs w:val="16"/>
                <w:color w:val="auto"/>
              </w:rPr>
            </w:pPr>
          </w:p>
        </w:tc>
        <w:tc>
          <w:tcPr>
            <w:tcW w:w="1580" w:type="dxa"/>
            <w:vAlign w:val="bottom"/>
            <w:gridSpan w:val="2"/>
            <w:shd w:val="clear" w:color="auto" w:fill="FDFDFC"/>
          </w:tcPr>
          <w:p>
            <w:pPr>
              <w:jc w:val="right"/>
              <w:ind w:right="560"/>
              <w:spacing w:after="0"/>
              <w:rPr>
                <w:sz w:val="20"/>
                <w:szCs w:val="20"/>
                <w:color w:val="auto"/>
              </w:rPr>
            </w:pPr>
            <w:r>
              <w:rPr>
                <w:rFonts w:ascii="Times New Roman" w:cs="Times New Roman" w:eastAsia="Times New Roman" w:hAnsi="Times New Roman"/>
                <w:sz w:val="15"/>
                <w:szCs w:val="15"/>
                <w:b w:val="1"/>
                <w:bCs w:val="1"/>
                <w:color w:val="231F20"/>
              </w:rPr>
              <w:t>Year Ended</w:t>
            </w:r>
          </w:p>
        </w:tc>
        <w:tc>
          <w:tcPr>
            <w:tcW w:w="60" w:type="dxa"/>
            <w:vAlign w:val="bottom"/>
            <w:shd w:val="clear" w:color="auto" w:fill="FDFDFC"/>
          </w:tcPr>
          <w:p>
            <w:pPr>
              <w:spacing w:after="0"/>
              <w:rPr>
                <w:sz w:val="16"/>
                <w:szCs w:val="16"/>
                <w:color w:val="auto"/>
              </w:rPr>
            </w:pPr>
          </w:p>
        </w:tc>
        <w:tc>
          <w:tcPr>
            <w:tcW w:w="140" w:type="dxa"/>
            <w:vAlign w:val="bottom"/>
            <w:shd w:val="clear" w:color="auto" w:fill="FDFDFC"/>
          </w:tcPr>
          <w:p>
            <w:pPr>
              <w:spacing w:after="0"/>
              <w:rPr>
                <w:sz w:val="16"/>
                <w:szCs w:val="16"/>
                <w:color w:val="auto"/>
              </w:rPr>
            </w:pPr>
          </w:p>
        </w:tc>
        <w:tc>
          <w:tcPr>
            <w:tcW w:w="1580" w:type="dxa"/>
            <w:vAlign w:val="bottom"/>
            <w:gridSpan w:val="2"/>
            <w:shd w:val="clear" w:color="auto" w:fill="FDFDFC"/>
          </w:tcPr>
          <w:p>
            <w:pPr>
              <w:jc w:val="right"/>
              <w:ind w:right="540"/>
              <w:spacing w:after="0"/>
              <w:rPr>
                <w:sz w:val="20"/>
                <w:szCs w:val="20"/>
                <w:color w:val="auto"/>
              </w:rPr>
            </w:pPr>
            <w:r>
              <w:rPr>
                <w:rFonts w:ascii="Times New Roman" w:cs="Times New Roman" w:eastAsia="Times New Roman" w:hAnsi="Times New Roman"/>
                <w:sz w:val="15"/>
                <w:szCs w:val="15"/>
                <w:b w:val="1"/>
                <w:bCs w:val="1"/>
                <w:color w:val="231F20"/>
              </w:rPr>
              <w:t>Year Ended</w:t>
            </w:r>
          </w:p>
        </w:tc>
      </w:tr>
      <w:tr>
        <w:trPr>
          <w:trHeight w:val="187"/>
        </w:trPr>
        <w:tc>
          <w:tcPr>
            <w:tcW w:w="4200" w:type="dxa"/>
            <w:vAlign w:val="bottom"/>
            <w:shd w:val="clear" w:color="auto" w:fill="FDFDFC"/>
          </w:tcPr>
          <w:p>
            <w:pPr>
              <w:spacing w:after="0"/>
              <w:rPr>
                <w:sz w:val="16"/>
                <w:szCs w:val="16"/>
                <w:color w:val="auto"/>
              </w:rPr>
            </w:pPr>
          </w:p>
        </w:tc>
        <w:tc>
          <w:tcPr>
            <w:tcW w:w="140" w:type="dxa"/>
            <w:vAlign w:val="bottom"/>
            <w:shd w:val="clear" w:color="auto" w:fill="FDFDFC"/>
          </w:tcPr>
          <w:p>
            <w:pPr>
              <w:spacing w:after="0"/>
              <w:rPr>
                <w:sz w:val="16"/>
                <w:szCs w:val="16"/>
                <w:color w:val="auto"/>
              </w:rPr>
            </w:pPr>
          </w:p>
        </w:tc>
        <w:tc>
          <w:tcPr>
            <w:tcW w:w="120" w:type="dxa"/>
            <w:vAlign w:val="bottom"/>
            <w:shd w:val="clear" w:color="auto" w:fill="FDFDFC"/>
          </w:tcPr>
          <w:p>
            <w:pPr>
              <w:spacing w:after="0"/>
              <w:rPr>
                <w:sz w:val="16"/>
                <w:szCs w:val="16"/>
                <w:color w:val="auto"/>
              </w:rPr>
            </w:pPr>
          </w:p>
        </w:tc>
        <w:tc>
          <w:tcPr>
            <w:tcW w:w="1420" w:type="dxa"/>
            <w:vAlign w:val="bottom"/>
            <w:shd w:val="clear" w:color="auto" w:fill="FDFDFC"/>
          </w:tcPr>
          <w:p>
            <w:pPr>
              <w:jc w:val="right"/>
              <w:ind w:right="91"/>
              <w:spacing w:after="0"/>
              <w:rPr>
                <w:sz w:val="20"/>
                <w:szCs w:val="20"/>
                <w:color w:val="auto"/>
              </w:rPr>
            </w:pPr>
            <w:r>
              <w:rPr>
                <w:rFonts w:ascii="Times New Roman" w:cs="Times New Roman" w:eastAsia="Times New Roman" w:hAnsi="Times New Roman"/>
                <w:sz w:val="15"/>
                <w:szCs w:val="15"/>
                <w:b w:val="1"/>
                <w:bCs w:val="1"/>
                <w:color w:val="231F20"/>
              </w:rPr>
              <w:t>December 31, 2024</w:t>
            </w:r>
          </w:p>
        </w:tc>
        <w:tc>
          <w:tcPr>
            <w:tcW w:w="240" w:type="dxa"/>
            <w:vAlign w:val="bottom"/>
            <w:shd w:val="clear" w:color="auto" w:fill="FDFDFC"/>
          </w:tcPr>
          <w:p>
            <w:pPr>
              <w:spacing w:after="0"/>
              <w:rPr>
                <w:sz w:val="16"/>
                <w:szCs w:val="16"/>
                <w:color w:val="auto"/>
              </w:rPr>
            </w:pPr>
          </w:p>
        </w:tc>
        <w:tc>
          <w:tcPr>
            <w:tcW w:w="120" w:type="dxa"/>
            <w:vAlign w:val="bottom"/>
            <w:shd w:val="clear" w:color="auto" w:fill="FDFDFC"/>
          </w:tcPr>
          <w:p>
            <w:pPr>
              <w:spacing w:after="0"/>
              <w:rPr>
                <w:sz w:val="16"/>
                <w:szCs w:val="16"/>
                <w:color w:val="auto"/>
              </w:rPr>
            </w:pPr>
          </w:p>
        </w:tc>
        <w:tc>
          <w:tcPr>
            <w:tcW w:w="1580" w:type="dxa"/>
            <w:vAlign w:val="bottom"/>
            <w:gridSpan w:val="2"/>
            <w:shd w:val="clear" w:color="auto" w:fill="FDFDFC"/>
          </w:tcPr>
          <w:p>
            <w:pPr>
              <w:jc w:val="right"/>
              <w:ind w:right="340"/>
              <w:spacing w:after="0"/>
              <w:rPr>
                <w:sz w:val="20"/>
                <w:szCs w:val="20"/>
                <w:color w:val="auto"/>
              </w:rPr>
            </w:pPr>
            <w:r>
              <w:rPr>
                <w:rFonts w:ascii="Times New Roman" w:cs="Times New Roman" w:eastAsia="Times New Roman" w:hAnsi="Times New Roman"/>
                <w:sz w:val="15"/>
                <w:szCs w:val="15"/>
                <w:b w:val="1"/>
                <w:bCs w:val="1"/>
                <w:color w:val="231F20"/>
              </w:rPr>
              <w:t>December 31, 2023</w:t>
            </w:r>
          </w:p>
        </w:tc>
        <w:tc>
          <w:tcPr>
            <w:tcW w:w="60" w:type="dxa"/>
            <w:vAlign w:val="bottom"/>
            <w:shd w:val="clear" w:color="auto" w:fill="FDFDFC"/>
          </w:tcPr>
          <w:p>
            <w:pPr>
              <w:spacing w:after="0"/>
              <w:rPr>
                <w:sz w:val="16"/>
                <w:szCs w:val="16"/>
                <w:color w:val="auto"/>
              </w:rPr>
            </w:pPr>
          </w:p>
        </w:tc>
        <w:tc>
          <w:tcPr>
            <w:tcW w:w="140" w:type="dxa"/>
            <w:vAlign w:val="bottom"/>
            <w:shd w:val="clear" w:color="auto" w:fill="FDFDFC"/>
          </w:tcPr>
          <w:p>
            <w:pPr>
              <w:spacing w:after="0"/>
              <w:rPr>
                <w:sz w:val="16"/>
                <w:szCs w:val="16"/>
                <w:color w:val="auto"/>
              </w:rPr>
            </w:pPr>
          </w:p>
        </w:tc>
        <w:tc>
          <w:tcPr>
            <w:tcW w:w="1580" w:type="dxa"/>
            <w:vAlign w:val="bottom"/>
            <w:gridSpan w:val="2"/>
            <w:shd w:val="clear" w:color="auto" w:fill="FDFDFC"/>
          </w:tcPr>
          <w:p>
            <w:pPr>
              <w:jc w:val="right"/>
              <w:ind w:right="300"/>
              <w:spacing w:after="0"/>
              <w:rPr>
                <w:sz w:val="20"/>
                <w:szCs w:val="20"/>
                <w:color w:val="auto"/>
              </w:rPr>
            </w:pPr>
            <w:r>
              <w:rPr>
                <w:rFonts w:ascii="Times New Roman" w:cs="Times New Roman" w:eastAsia="Times New Roman" w:hAnsi="Times New Roman"/>
                <w:sz w:val="15"/>
                <w:szCs w:val="15"/>
                <w:b w:val="1"/>
                <w:bCs w:val="1"/>
                <w:color w:val="231F20"/>
              </w:rPr>
              <w:t>December 31, 2022</w:t>
            </w:r>
          </w:p>
        </w:tc>
      </w:tr>
      <w:tr>
        <w:trPr>
          <w:trHeight w:val="220"/>
        </w:trPr>
        <w:tc>
          <w:tcPr>
            <w:tcW w:w="4200" w:type="dxa"/>
            <w:vAlign w:val="bottom"/>
            <w:tcBorders>
              <w:top w:val="single" w:sz="8" w:color="D0EBF2"/>
            </w:tcBorders>
            <w:shd w:val="clear" w:color="auto" w:fill="D0EBF2"/>
          </w:tcPr>
          <w:p>
            <w:pPr>
              <w:spacing w:after="0"/>
              <w:rPr>
                <w:sz w:val="20"/>
                <w:szCs w:val="20"/>
                <w:color w:val="auto"/>
              </w:rPr>
            </w:pPr>
            <w:r>
              <w:rPr>
                <w:rFonts w:ascii="Times New Roman" w:cs="Times New Roman" w:eastAsia="Times New Roman" w:hAnsi="Times New Roman"/>
                <w:sz w:val="19"/>
                <w:szCs w:val="19"/>
                <w:color w:val="231F20"/>
              </w:rPr>
              <w:t>Undistributed net investment income - tax basis</w:t>
            </w:r>
          </w:p>
        </w:tc>
        <w:tc>
          <w:tcPr>
            <w:tcW w:w="140" w:type="dxa"/>
            <w:vAlign w:val="bottom"/>
            <w:tcBorders>
              <w:top w:val="single" w:sz="8" w:color="D0EBF2"/>
            </w:tcBorders>
            <w:shd w:val="clear" w:color="auto" w:fill="D0EBF2"/>
          </w:tcPr>
          <w:p>
            <w:pPr>
              <w:spacing w:after="0"/>
              <w:rPr>
                <w:sz w:val="19"/>
                <w:szCs w:val="19"/>
                <w:color w:val="auto"/>
              </w:rPr>
            </w:pPr>
          </w:p>
        </w:tc>
        <w:tc>
          <w:tcPr>
            <w:tcW w:w="120" w:type="dxa"/>
            <w:vAlign w:val="bottom"/>
            <w:tcBorders>
              <w:top w:val="single" w:sz="8" w:color="231F20"/>
            </w:tcBorders>
            <w:shd w:val="clear" w:color="auto" w:fill="D0EBF2"/>
          </w:tcPr>
          <w:p>
            <w:pPr>
              <w:jc w:val="right"/>
              <w:spacing w:after="0"/>
              <w:rPr>
                <w:sz w:val="20"/>
                <w:szCs w:val="20"/>
                <w:color w:val="auto"/>
              </w:rPr>
            </w:pPr>
            <w:r>
              <w:rPr>
                <w:rFonts w:ascii="Times New Roman" w:cs="Times New Roman" w:eastAsia="Times New Roman" w:hAnsi="Times New Roman"/>
                <w:sz w:val="17"/>
                <w:szCs w:val="17"/>
                <w:color w:val="231F20"/>
                <w:w w:val="70"/>
              </w:rPr>
              <w:t>$</w:t>
            </w:r>
          </w:p>
        </w:tc>
        <w:tc>
          <w:tcPr>
            <w:tcW w:w="1420" w:type="dxa"/>
            <w:vAlign w:val="bottom"/>
            <w:tcBorders>
              <w:top w:val="single" w:sz="8" w:color="231F20"/>
            </w:tcBorders>
            <w:shd w:val="clear" w:color="auto" w:fill="D0EBF2"/>
          </w:tcPr>
          <w:p>
            <w:pPr>
              <w:jc w:val="right"/>
              <w:spacing w:after="0"/>
              <w:rPr>
                <w:sz w:val="20"/>
                <w:szCs w:val="20"/>
                <w:color w:val="auto"/>
              </w:rPr>
            </w:pPr>
            <w:r>
              <w:rPr>
                <w:rFonts w:ascii="Times New Roman" w:cs="Times New Roman" w:eastAsia="Times New Roman" w:hAnsi="Times New Roman"/>
                <w:sz w:val="19"/>
                <w:szCs w:val="19"/>
                <w:color w:val="231F20"/>
              </w:rPr>
              <w:t>105,332</w:t>
            </w:r>
          </w:p>
        </w:tc>
        <w:tc>
          <w:tcPr>
            <w:tcW w:w="240" w:type="dxa"/>
            <w:vAlign w:val="bottom"/>
            <w:tcBorders>
              <w:top w:val="single" w:sz="8" w:color="D0EBF2"/>
            </w:tcBorders>
            <w:shd w:val="clear" w:color="auto" w:fill="D0EBF2"/>
          </w:tcPr>
          <w:p>
            <w:pPr>
              <w:spacing w:after="0"/>
              <w:rPr>
                <w:sz w:val="19"/>
                <w:szCs w:val="19"/>
                <w:color w:val="auto"/>
              </w:rPr>
            </w:pPr>
          </w:p>
        </w:tc>
        <w:tc>
          <w:tcPr>
            <w:tcW w:w="120" w:type="dxa"/>
            <w:vAlign w:val="bottom"/>
            <w:tcBorders>
              <w:top w:val="single" w:sz="8" w:color="231F20"/>
            </w:tcBorders>
            <w:shd w:val="clear" w:color="auto" w:fill="D0EBF2"/>
          </w:tcPr>
          <w:p>
            <w:pPr>
              <w:jc w:val="right"/>
              <w:spacing w:after="0"/>
              <w:rPr>
                <w:sz w:val="20"/>
                <w:szCs w:val="20"/>
                <w:color w:val="auto"/>
              </w:rPr>
            </w:pPr>
            <w:r>
              <w:rPr>
                <w:rFonts w:ascii="Times New Roman" w:cs="Times New Roman" w:eastAsia="Times New Roman" w:hAnsi="Times New Roman"/>
                <w:sz w:val="17"/>
                <w:szCs w:val="17"/>
                <w:color w:val="231F20"/>
                <w:w w:val="70"/>
              </w:rPr>
              <w:t>$</w:t>
            </w:r>
          </w:p>
        </w:tc>
        <w:tc>
          <w:tcPr>
            <w:tcW w:w="1440" w:type="dxa"/>
            <w:vAlign w:val="bottom"/>
            <w:tcBorders>
              <w:top w:val="single" w:sz="8" w:color="231F20"/>
            </w:tcBorders>
            <w:shd w:val="clear" w:color="auto" w:fill="D0EBF2"/>
          </w:tcPr>
          <w:p>
            <w:pPr>
              <w:jc w:val="right"/>
              <w:spacing w:after="0"/>
              <w:rPr>
                <w:sz w:val="20"/>
                <w:szCs w:val="20"/>
                <w:color w:val="auto"/>
              </w:rPr>
            </w:pPr>
            <w:r>
              <w:rPr>
                <w:rFonts w:ascii="Times New Roman" w:cs="Times New Roman" w:eastAsia="Times New Roman" w:hAnsi="Times New Roman"/>
                <w:sz w:val="19"/>
                <w:szCs w:val="19"/>
                <w:color w:val="231F20"/>
              </w:rPr>
              <w:t>85,002</w:t>
            </w:r>
          </w:p>
        </w:tc>
        <w:tc>
          <w:tcPr>
            <w:tcW w:w="140" w:type="dxa"/>
            <w:vAlign w:val="bottom"/>
            <w:tcBorders>
              <w:top w:val="single" w:sz="8" w:color="D0EBF2"/>
            </w:tcBorders>
            <w:shd w:val="clear" w:color="auto" w:fill="D0EBF2"/>
          </w:tcPr>
          <w:p>
            <w:pPr>
              <w:spacing w:after="0"/>
              <w:rPr>
                <w:sz w:val="19"/>
                <w:szCs w:val="19"/>
                <w:color w:val="auto"/>
              </w:rPr>
            </w:pPr>
          </w:p>
        </w:tc>
        <w:tc>
          <w:tcPr>
            <w:tcW w:w="60" w:type="dxa"/>
            <w:vAlign w:val="bottom"/>
            <w:tcBorders>
              <w:top w:val="single" w:sz="8" w:color="D0EBF2"/>
            </w:tcBorders>
            <w:shd w:val="clear" w:color="auto" w:fill="D0EBF2"/>
          </w:tcPr>
          <w:p>
            <w:pPr>
              <w:spacing w:after="0"/>
              <w:rPr>
                <w:sz w:val="19"/>
                <w:szCs w:val="19"/>
                <w:color w:val="auto"/>
              </w:rPr>
            </w:pPr>
          </w:p>
        </w:tc>
        <w:tc>
          <w:tcPr>
            <w:tcW w:w="140" w:type="dxa"/>
            <w:vAlign w:val="bottom"/>
            <w:tcBorders>
              <w:top w:val="single" w:sz="8" w:color="231F20"/>
            </w:tcBorders>
            <w:shd w:val="clear" w:color="auto" w:fill="D0EBF2"/>
          </w:tcPr>
          <w:p>
            <w:pPr>
              <w:jc w:val="right"/>
              <w:spacing w:after="0"/>
              <w:rPr>
                <w:sz w:val="20"/>
                <w:szCs w:val="20"/>
                <w:color w:val="auto"/>
              </w:rPr>
            </w:pPr>
            <w:r>
              <w:rPr>
                <w:rFonts w:ascii="Times New Roman" w:cs="Times New Roman" w:eastAsia="Times New Roman" w:hAnsi="Times New Roman"/>
                <w:sz w:val="19"/>
                <w:szCs w:val="19"/>
                <w:color w:val="231F20"/>
                <w:w w:val="83"/>
              </w:rPr>
              <w:t>$</w:t>
            </w:r>
          </w:p>
        </w:tc>
        <w:tc>
          <w:tcPr>
            <w:tcW w:w="1480" w:type="dxa"/>
            <w:vAlign w:val="bottom"/>
            <w:tcBorders>
              <w:top w:val="single" w:sz="8" w:color="231F20"/>
            </w:tcBorders>
            <w:shd w:val="clear" w:color="auto" w:fill="D0EBF2"/>
          </w:tcPr>
          <w:p>
            <w:pPr>
              <w:jc w:val="right"/>
              <w:spacing w:after="0"/>
              <w:rPr>
                <w:sz w:val="20"/>
                <w:szCs w:val="20"/>
                <w:color w:val="auto"/>
              </w:rPr>
            </w:pPr>
            <w:r>
              <w:rPr>
                <w:rFonts w:ascii="Times New Roman" w:cs="Times New Roman" w:eastAsia="Times New Roman" w:hAnsi="Times New Roman"/>
                <w:sz w:val="19"/>
                <w:szCs w:val="19"/>
                <w:color w:val="231F20"/>
              </w:rPr>
              <w:t>36,436</w:t>
            </w:r>
          </w:p>
        </w:tc>
        <w:tc>
          <w:tcPr>
            <w:tcW w:w="100" w:type="dxa"/>
            <w:vAlign w:val="bottom"/>
            <w:tcBorders>
              <w:top w:val="single" w:sz="8" w:color="D0EBF2"/>
            </w:tcBorders>
            <w:shd w:val="clear" w:color="auto" w:fill="D0EBF2"/>
          </w:tcPr>
          <w:p>
            <w:pPr>
              <w:spacing w:after="0"/>
              <w:rPr>
                <w:sz w:val="19"/>
                <w:szCs w:val="19"/>
                <w:color w:val="auto"/>
              </w:rPr>
            </w:pPr>
          </w:p>
        </w:tc>
      </w:tr>
      <w:tr>
        <w:trPr>
          <w:trHeight w:val="230"/>
        </w:trPr>
        <w:tc>
          <w:tcPr>
            <w:tcW w:w="4200" w:type="dxa"/>
            <w:vAlign w:val="bottom"/>
            <w:shd w:val="clear" w:color="auto" w:fill="FDFDFC"/>
          </w:tcPr>
          <w:p>
            <w:pPr>
              <w:spacing w:after="0"/>
              <w:rPr>
                <w:sz w:val="20"/>
                <w:szCs w:val="20"/>
                <w:color w:val="auto"/>
              </w:rPr>
            </w:pPr>
            <w:r>
              <w:rPr>
                <w:rFonts w:ascii="Times New Roman" w:cs="Times New Roman" w:eastAsia="Times New Roman" w:hAnsi="Times New Roman"/>
                <w:sz w:val="19"/>
                <w:szCs w:val="19"/>
                <w:color w:val="231F20"/>
              </w:rPr>
              <w:t>Undistributed net realized gains (losses) - tax basis</w:t>
            </w:r>
          </w:p>
        </w:tc>
        <w:tc>
          <w:tcPr>
            <w:tcW w:w="140" w:type="dxa"/>
            <w:vAlign w:val="bottom"/>
            <w:shd w:val="clear" w:color="auto" w:fill="FDFDFC"/>
          </w:tcPr>
          <w:p>
            <w:pPr>
              <w:spacing w:after="0"/>
              <w:rPr>
                <w:sz w:val="20"/>
                <w:szCs w:val="20"/>
                <w:color w:val="auto"/>
              </w:rPr>
            </w:pPr>
          </w:p>
        </w:tc>
        <w:tc>
          <w:tcPr>
            <w:tcW w:w="120" w:type="dxa"/>
            <w:vAlign w:val="bottom"/>
            <w:shd w:val="clear" w:color="auto" w:fill="FDFDFC"/>
          </w:tcPr>
          <w:p>
            <w:pPr>
              <w:spacing w:after="0"/>
              <w:rPr>
                <w:sz w:val="20"/>
                <w:szCs w:val="20"/>
                <w:color w:val="auto"/>
              </w:rPr>
            </w:pPr>
          </w:p>
        </w:tc>
        <w:tc>
          <w:tcPr>
            <w:tcW w:w="1420" w:type="dxa"/>
            <w:vAlign w:val="bottom"/>
            <w:shd w:val="clear" w:color="auto" w:fill="FDFDFC"/>
          </w:tcPr>
          <w:p>
            <w:pPr>
              <w:jc w:val="right"/>
              <w:spacing w:after="0"/>
              <w:rPr>
                <w:sz w:val="20"/>
                <w:szCs w:val="20"/>
                <w:color w:val="auto"/>
              </w:rPr>
            </w:pPr>
            <w:r>
              <w:rPr>
                <w:rFonts w:ascii="Times New Roman" w:cs="Times New Roman" w:eastAsia="Times New Roman" w:hAnsi="Times New Roman"/>
                <w:sz w:val="19"/>
                <w:szCs w:val="19"/>
                <w:color w:val="231F20"/>
              </w:rPr>
              <w:t>10,903</w:t>
            </w:r>
          </w:p>
        </w:tc>
        <w:tc>
          <w:tcPr>
            <w:tcW w:w="240" w:type="dxa"/>
            <w:vAlign w:val="bottom"/>
            <w:shd w:val="clear" w:color="auto" w:fill="FDFDFC"/>
          </w:tcPr>
          <w:p>
            <w:pPr>
              <w:spacing w:after="0"/>
              <w:rPr>
                <w:sz w:val="20"/>
                <w:szCs w:val="20"/>
                <w:color w:val="auto"/>
              </w:rPr>
            </w:pPr>
          </w:p>
        </w:tc>
        <w:tc>
          <w:tcPr>
            <w:tcW w:w="120" w:type="dxa"/>
            <w:vAlign w:val="bottom"/>
            <w:shd w:val="clear" w:color="auto" w:fill="FDFDFC"/>
          </w:tcPr>
          <w:p>
            <w:pPr>
              <w:spacing w:after="0"/>
              <w:rPr>
                <w:sz w:val="20"/>
                <w:szCs w:val="20"/>
                <w:color w:val="auto"/>
              </w:rPr>
            </w:pPr>
          </w:p>
        </w:tc>
        <w:tc>
          <w:tcPr>
            <w:tcW w:w="1440" w:type="dxa"/>
            <w:vAlign w:val="bottom"/>
            <w:shd w:val="clear" w:color="auto" w:fill="FDFDFC"/>
          </w:tcPr>
          <w:p>
            <w:pPr>
              <w:jc w:val="right"/>
              <w:spacing w:after="0"/>
              <w:rPr>
                <w:sz w:val="20"/>
                <w:szCs w:val="20"/>
                <w:color w:val="auto"/>
              </w:rPr>
            </w:pPr>
            <w:r>
              <w:rPr>
                <w:rFonts w:ascii="Times New Roman" w:cs="Times New Roman" w:eastAsia="Times New Roman" w:hAnsi="Times New Roman"/>
                <w:sz w:val="19"/>
                <w:szCs w:val="19"/>
                <w:color w:val="231F20"/>
              </w:rPr>
              <w:t>6,562</w:t>
            </w:r>
          </w:p>
        </w:tc>
        <w:tc>
          <w:tcPr>
            <w:tcW w:w="140" w:type="dxa"/>
            <w:vAlign w:val="bottom"/>
            <w:shd w:val="clear" w:color="auto" w:fill="FDFDFC"/>
          </w:tcPr>
          <w:p>
            <w:pPr>
              <w:spacing w:after="0"/>
              <w:rPr>
                <w:sz w:val="20"/>
                <w:szCs w:val="20"/>
                <w:color w:val="auto"/>
              </w:rPr>
            </w:pPr>
          </w:p>
        </w:tc>
        <w:tc>
          <w:tcPr>
            <w:tcW w:w="60" w:type="dxa"/>
            <w:vAlign w:val="bottom"/>
            <w:shd w:val="clear" w:color="auto" w:fill="FDFDFC"/>
          </w:tcPr>
          <w:p>
            <w:pPr>
              <w:spacing w:after="0"/>
              <w:rPr>
                <w:sz w:val="20"/>
                <w:szCs w:val="20"/>
                <w:color w:val="auto"/>
              </w:rPr>
            </w:pPr>
          </w:p>
        </w:tc>
        <w:tc>
          <w:tcPr>
            <w:tcW w:w="140" w:type="dxa"/>
            <w:vAlign w:val="bottom"/>
            <w:shd w:val="clear" w:color="auto" w:fill="FDFDFC"/>
          </w:tcPr>
          <w:p>
            <w:pPr>
              <w:spacing w:after="0"/>
              <w:rPr>
                <w:sz w:val="20"/>
                <w:szCs w:val="20"/>
                <w:color w:val="auto"/>
              </w:rPr>
            </w:pPr>
          </w:p>
        </w:tc>
        <w:tc>
          <w:tcPr>
            <w:tcW w:w="1480" w:type="dxa"/>
            <w:vAlign w:val="bottom"/>
            <w:shd w:val="clear" w:color="auto" w:fill="FDFDFC"/>
          </w:tcPr>
          <w:p>
            <w:pPr>
              <w:jc w:val="right"/>
              <w:spacing w:after="0"/>
              <w:rPr>
                <w:sz w:val="20"/>
                <w:szCs w:val="20"/>
                <w:color w:val="auto"/>
              </w:rPr>
            </w:pPr>
            <w:r>
              <w:rPr>
                <w:rFonts w:ascii="Times New Roman" w:cs="Times New Roman" w:eastAsia="Times New Roman" w:hAnsi="Times New Roman"/>
                <w:sz w:val="19"/>
                <w:szCs w:val="19"/>
                <w:color w:val="231F20"/>
              </w:rPr>
              <w:t>26,377</w:t>
            </w:r>
          </w:p>
        </w:tc>
        <w:tc>
          <w:tcPr>
            <w:tcW w:w="100" w:type="dxa"/>
            <w:vAlign w:val="bottom"/>
            <w:shd w:val="clear" w:color="auto" w:fill="FDFDFC"/>
          </w:tcPr>
          <w:p>
            <w:pPr>
              <w:spacing w:after="0"/>
              <w:rPr>
                <w:sz w:val="20"/>
                <w:szCs w:val="20"/>
                <w:color w:val="auto"/>
              </w:rPr>
            </w:pPr>
          </w:p>
        </w:tc>
      </w:tr>
      <w:tr>
        <w:trPr>
          <w:trHeight w:val="230"/>
        </w:trPr>
        <w:tc>
          <w:tcPr>
            <w:tcW w:w="4200" w:type="dxa"/>
            <w:vAlign w:val="bottom"/>
            <w:shd w:val="clear" w:color="auto" w:fill="D0EBF2"/>
          </w:tcPr>
          <w:p>
            <w:pPr>
              <w:spacing w:after="0"/>
              <w:rPr>
                <w:sz w:val="20"/>
                <w:szCs w:val="20"/>
                <w:color w:val="auto"/>
              </w:rPr>
            </w:pPr>
            <w:r>
              <w:rPr>
                <w:rFonts w:ascii="Times New Roman" w:cs="Times New Roman" w:eastAsia="Times New Roman" w:hAnsi="Times New Roman"/>
                <w:sz w:val="19"/>
                <w:szCs w:val="19"/>
                <w:color w:val="231F20"/>
              </w:rPr>
              <w:t>Net unrealized gains (losses) on investments</w:t>
            </w:r>
          </w:p>
        </w:tc>
        <w:tc>
          <w:tcPr>
            <w:tcW w:w="140" w:type="dxa"/>
            <w:vAlign w:val="bottom"/>
            <w:shd w:val="clear" w:color="auto" w:fill="D0EBF2"/>
          </w:tcPr>
          <w:p>
            <w:pPr>
              <w:spacing w:after="0"/>
              <w:rPr>
                <w:sz w:val="20"/>
                <w:szCs w:val="20"/>
                <w:color w:val="auto"/>
              </w:rPr>
            </w:pPr>
          </w:p>
        </w:tc>
        <w:tc>
          <w:tcPr>
            <w:tcW w:w="120" w:type="dxa"/>
            <w:vAlign w:val="bottom"/>
            <w:shd w:val="clear" w:color="auto" w:fill="D0EBF2"/>
          </w:tcPr>
          <w:p>
            <w:pPr>
              <w:spacing w:after="0"/>
              <w:rPr>
                <w:sz w:val="20"/>
                <w:szCs w:val="20"/>
                <w:color w:val="auto"/>
              </w:rPr>
            </w:pPr>
          </w:p>
        </w:tc>
        <w:tc>
          <w:tcPr>
            <w:tcW w:w="1660" w:type="dxa"/>
            <w:vAlign w:val="bottom"/>
            <w:gridSpan w:val="2"/>
            <w:shd w:val="clear" w:color="auto" w:fill="D0EBF2"/>
          </w:tcPr>
          <w:p>
            <w:pPr>
              <w:jc w:val="right"/>
              <w:ind w:right="180"/>
              <w:spacing w:after="0"/>
              <w:rPr>
                <w:sz w:val="20"/>
                <w:szCs w:val="20"/>
                <w:color w:val="auto"/>
              </w:rPr>
            </w:pPr>
            <w:r>
              <w:rPr>
                <w:rFonts w:ascii="Times New Roman" w:cs="Times New Roman" w:eastAsia="Times New Roman" w:hAnsi="Times New Roman"/>
                <w:sz w:val="19"/>
                <w:szCs w:val="19"/>
                <w:color w:val="231F20"/>
              </w:rPr>
              <w:t>(9,540 )</w:t>
            </w:r>
          </w:p>
        </w:tc>
        <w:tc>
          <w:tcPr>
            <w:tcW w:w="120" w:type="dxa"/>
            <w:vAlign w:val="bottom"/>
            <w:shd w:val="clear" w:color="auto" w:fill="D0EBF2"/>
          </w:tcPr>
          <w:p>
            <w:pPr>
              <w:spacing w:after="0"/>
              <w:rPr>
                <w:sz w:val="20"/>
                <w:szCs w:val="20"/>
                <w:color w:val="auto"/>
              </w:rPr>
            </w:pPr>
          </w:p>
        </w:tc>
        <w:tc>
          <w:tcPr>
            <w:tcW w:w="1440" w:type="dxa"/>
            <w:vAlign w:val="bottom"/>
            <w:shd w:val="clear" w:color="auto" w:fill="D0EBF2"/>
          </w:tcPr>
          <w:p>
            <w:pPr>
              <w:jc w:val="right"/>
              <w:spacing w:after="0"/>
              <w:rPr>
                <w:sz w:val="20"/>
                <w:szCs w:val="20"/>
                <w:color w:val="auto"/>
              </w:rPr>
            </w:pPr>
            <w:r>
              <w:rPr>
                <w:rFonts w:ascii="Times New Roman" w:cs="Times New Roman" w:eastAsia="Times New Roman" w:hAnsi="Times New Roman"/>
                <w:sz w:val="19"/>
                <w:szCs w:val="19"/>
                <w:color w:val="231F20"/>
              </w:rPr>
              <w:t>23,675</w:t>
            </w:r>
          </w:p>
        </w:tc>
        <w:tc>
          <w:tcPr>
            <w:tcW w:w="140" w:type="dxa"/>
            <w:vAlign w:val="bottom"/>
            <w:shd w:val="clear" w:color="auto" w:fill="D0EBF2"/>
          </w:tcPr>
          <w:p>
            <w:pPr>
              <w:spacing w:after="0"/>
              <w:rPr>
                <w:sz w:val="20"/>
                <w:szCs w:val="20"/>
                <w:color w:val="auto"/>
              </w:rPr>
            </w:pPr>
          </w:p>
        </w:tc>
        <w:tc>
          <w:tcPr>
            <w:tcW w:w="60" w:type="dxa"/>
            <w:vAlign w:val="bottom"/>
            <w:shd w:val="clear" w:color="auto" w:fill="D0EBF2"/>
          </w:tcPr>
          <w:p>
            <w:pPr>
              <w:spacing w:after="0"/>
              <w:rPr>
                <w:sz w:val="20"/>
                <w:szCs w:val="20"/>
                <w:color w:val="auto"/>
              </w:rPr>
            </w:pPr>
          </w:p>
        </w:tc>
        <w:tc>
          <w:tcPr>
            <w:tcW w:w="140" w:type="dxa"/>
            <w:vAlign w:val="bottom"/>
            <w:shd w:val="clear" w:color="auto" w:fill="D0EBF2"/>
          </w:tcPr>
          <w:p>
            <w:pPr>
              <w:spacing w:after="0"/>
              <w:rPr>
                <w:sz w:val="20"/>
                <w:szCs w:val="20"/>
                <w:color w:val="auto"/>
              </w:rPr>
            </w:pPr>
          </w:p>
        </w:tc>
        <w:tc>
          <w:tcPr>
            <w:tcW w:w="1480" w:type="dxa"/>
            <w:vAlign w:val="bottom"/>
            <w:shd w:val="clear" w:color="auto" w:fill="D0EBF2"/>
          </w:tcPr>
          <w:p>
            <w:pPr>
              <w:jc w:val="right"/>
              <w:spacing w:after="0"/>
              <w:rPr>
                <w:sz w:val="20"/>
                <w:szCs w:val="20"/>
                <w:color w:val="auto"/>
              </w:rPr>
            </w:pPr>
            <w:r>
              <w:rPr>
                <w:rFonts w:ascii="Times New Roman" w:cs="Times New Roman" w:eastAsia="Times New Roman" w:hAnsi="Times New Roman"/>
                <w:sz w:val="19"/>
                <w:szCs w:val="19"/>
                <w:color w:val="231F20"/>
              </w:rPr>
              <w:t>3,823</w:t>
            </w:r>
          </w:p>
        </w:tc>
        <w:tc>
          <w:tcPr>
            <w:tcW w:w="100" w:type="dxa"/>
            <w:vAlign w:val="bottom"/>
            <w:shd w:val="clear" w:color="auto" w:fill="D0EBF2"/>
          </w:tcPr>
          <w:p>
            <w:pPr>
              <w:spacing w:after="0"/>
              <w:rPr>
                <w:sz w:val="20"/>
                <w:szCs w:val="20"/>
                <w:color w:val="auto"/>
              </w:rPr>
            </w:pPr>
          </w:p>
        </w:tc>
      </w:tr>
      <w:tr>
        <w:trPr>
          <w:trHeight w:val="230"/>
        </w:trPr>
        <w:tc>
          <w:tcPr>
            <w:tcW w:w="4200" w:type="dxa"/>
            <w:vAlign w:val="bottom"/>
            <w:shd w:val="clear" w:color="auto" w:fill="FDFDFC"/>
          </w:tcPr>
          <w:p>
            <w:pPr>
              <w:spacing w:after="0"/>
              <w:rPr>
                <w:sz w:val="20"/>
                <w:szCs w:val="20"/>
                <w:color w:val="auto"/>
              </w:rPr>
            </w:pPr>
            <w:r>
              <w:rPr>
                <w:rFonts w:ascii="Times New Roman" w:cs="Times New Roman" w:eastAsia="Times New Roman" w:hAnsi="Times New Roman"/>
                <w:sz w:val="19"/>
                <w:szCs w:val="19"/>
                <w:color w:val="231F20"/>
              </w:rPr>
              <w:t>Other temporary differences</w:t>
            </w:r>
          </w:p>
        </w:tc>
        <w:tc>
          <w:tcPr>
            <w:tcW w:w="140" w:type="dxa"/>
            <w:vAlign w:val="bottom"/>
            <w:shd w:val="clear" w:color="auto" w:fill="FDFDFC"/>
          </w:tcPr>
          <w:p>
            <w:pPr>
              <w:spacing w:after="0"/>
              <w:rPr>
                <w:sz w:val="20"/>
                <w:szCs w:val="20"/>
                <w:color w:val="auto"/>
              </w:rPr>
            </w:pPr>
          </w:p>
        </w:tc>
        <w:tc>
          <w:tcPr>
            <w:tcW w:w="120" w:type="dxa"/>
            <w:vAlign w:val="bottom"/>
            <w:shd w:val="clear" w:color="auto" w:fill="FDFDFC"/>
          </w:tcPr>
          <w:p>
            <w:pPr>
              <w:spacing w:after="0"/>
              <w:rPr>
                <w:sz w:val="20"/>
                <w:szCs w:val="20"/>
                <w:color w:val="auto"/>
              </w:rPr>
            </w:pPr>
          </w:p>
        </w:tc>
        <w:tc>
          <w:tcPr>
            <w:tcW w:w="1660" w:type="dxa"/>
            <w:vAlign w:val="bottom"/>
            <w:gridSpan w:val="2"/>
            <w:shd w:val="clear" w:color="auto" w:fill="FDFDFC"/>
          </w:tcPr>
          <w:p>
            <w:pPr>
              <w:jc w:val="right"/>
              <w:ind w:right="180"/>
              <w:spacing w:after="0"/>
              <w:rPr>
                <w:sz w:val="20"/>
                <w:szCs w:val="20"/>
                <w:color w:val="auto"/>
              </w:rPr>
            </w:pPr>
            <w:r>
              <w:rPr>
                <w:rFonts w:ascii="Times New Roman" w:cs="Times New Roman" w:eastAsia="Times New Roman" w:hAnsi="Times New Roman"/>
                <w:sz w:val="19"/>
                <w:szCs w:val="19"/>
                <w:color w:val="231F20"/>
              </w:rPr>
              <w:t>(8,987 )</w:t>
            </w:r>
          </w:p>
        </w:tc>
        <w:tc>
          <w:tcPr>
            <w:tcW w:w="120" w:type="dxa"/>
            <w:vAlign w:val="bottom"/>
            <w:shd w:val="clear" w:color="auto" w:fill="FDFDFC"/>
          </w:tcPr>
          <w:p>
            <w:pPr>
              <w:spacing w:after="0"/>
              <w:rPr>
                <w:sz w:val="20"/>
                <w:szCs w:val="20"/>
                <w:color w:val="auto"/>
              </w:rPr>
            </w:pPr>
          </w:p>
        </w:tc>
        <w:tc>
          <w:tcPr>
            <w:tcW w:w="1580" w:type="dxa"/>
            <w:vAlign w:val="bottom"/>
            <w:gridSpan w:val="2"/>
            <w:shd w:val="clear" w:color="auto" w:fill="FDFDFC"/>
          </w:tcPr>
          <w:p>
            <w:pPr>
              <w:jc w:val="right"/>
              <w:ind w:right="80"/>
              <w:spacing w:after="0"/>
              <w:rPr>
                <w:sz w:val="20"/>
                <w:szCs w:val="20"/>
                <w:color w:val="auto"/>
              </w:rPr>
            </w:pPr>
            <w:r>
              <w:rPr>
                <w:rFonts w:ascii="Times New Roman" w:cs="Times New Roman" w:eastAsia="Times New Roman" w:hAnsi="Times New Roman"/>
                <w:sz w:val="19"/>
                <w:szCs w:val="19"/>
                <w:color w:val="231F20"/>
              </w:rPr>
              <w:t>(14,463 )</w:t>
            </w:r>
          </w:p>
        </w:tc>
        <w:tc>
          <w:tcPr>
            <w:tcW w:w="60" w:type="dxa"/>
            <w:vAlign w:val="bottom"/>
            <w:shd w:val="clear" w:color="auto" w:fill="FDFDFC"/>
          </w:tcPr>
          <w:p>
            <w:pPr>
              <w:spacing w:after="0"/>
              <w:rPr>
                <w:sz w:val="20"/>
                <w:szCs w:val="20"/>
                <w:color w:val="auto"/>
              </w:rPr>
            </w:pPr>
          </w:p>
        </w:tc>
        <w:tc>
          <w:tcPr>
            <w:tcW w:w="140" w:type="dxa"/>
            <w:vAlign w:val="bottom"/>
            <w:shd w:val="clear" w:color="auto" w:fill="FDFDFC"/>
          </w:tcPr>
          <w:p>
            <w:pPr>
              <w:spacing w:after="0"/>
              <w:rPr>
                <w:sz w:val="20"/>
                <w:szCs w:val="20"/>
                <w:color w:val="auto"/>
              </w:rPr>
            </w:pPr>
          </w:p>
        </w:tc>
        <w:tc>
          <w:tcPr>
            <w:tcW w:w="1580" w:type="dxa"/>
            <w:vAlign w:val="bottom"/>
            <w:gridSpan w:val="2"/>
            <w:shd w:val="clear" w:color="auto" w:fill="FDFDFC"/>
          </w:tcPr>
          <w:p>
            <w:pPr>
              <w:jc w:val="right"/>
              <w:ind w:right="40"/>
              <w:spacing w:after="0"/>
              <w:rPr>
                <w:sz w:val="20"/>
                <w:szCs w:val="20"/>
                <w:color w:val="auto"/>
              </w:rPr>
            </w:pPr>
            <w:r>
              <w:rPr>
                <w:rFonts w:ascii="Times New Roman" w:cs="Times New Roman" w:eastAsia="Times New Roman" w:hAnsi="Times New Roman"/>
                <w:sz w:val="19"/>
                <w:szCs w:val="19"/>
                <w:color w:val="231F20"/>
              </w:rPr>
              <w:t>(10,180 )</w:t>
            </w:r>
          </w:p>
        </w:tc>
      </w:tr>
      <w:tr>
        <w:trPr>
          <w:trHeight w:val="220"/>
        </w:trPr>
        <w:tc>
          <w:tcPr>
            <w:tcW w:w="4200" w:type="dxa"/>
            <w:vAlign w:val="bottom"/>
            <w:tcBorders>
              <w:top w:val="single" w:sz="8" w:color="D0EBF2"/>
            </w:tcBorders>
            <w:shd w:val="clear" w:color="auto" w:fill="D0EBF2"/>
          </w:tcPr>
          <w:p>
            <w:pPr>
              <w:ind w:left="380"/>
              <w:spacing w:after="0"/>
              <w:rPr>
                <w:sz w:val="20"/>
                <w:szCs w:val="20"/>
                <w:color w:val="auto"/>
              </w:rPr>
            </w:pPr>
            <w:r>
              <w:rPr>
                <w:rFonts w:ascii="Times New Roman" w:cs="Times New Roman" w:eastAsia="Times New Roman" w:hAnsi="Times New Roman"/>
                <w:sz w:val="19"/>
                <w:szCs w:val="19"/>
                <w:b w:val="1"/>
                <w:bCs w:val="1"/>
                <w:color w:val="231F20"/>
              </w:rPr>
              <w:t>Total distributable earnings - book basis</w:t>
            </w:r>
          </w:p>
        </w:tc>
        <w:tc>
          <w:tcPr>
            <w:tcW w:w="140" w:type="dxa"/>
            <w:vAlign w:val="bottom"/>
            <w:tcBorders>
              <w:top w:val="single" w:sz="8" w:color="D0EBF2"/>
            </w:tcBorders>
            <w:shd w:val="clear" w:color="auto" w:fill="D0EBF2"/>
          </w:tcPr>
          <w:p>
            <w:pPr>
              <w:spacing w:after="0"/>
              <w:rPr>
                <w:sz w:val="19"/>
                <w:szCs w:val="19"/>
                <w:color w:val="auto"/>
              </w:rPr>
            </w:pPr>
          </w:p>
        </w:tc>
        <w:tc>
          <w:tcPr>
            <w:tcW w:w="120" w:type="dxa"/>
            <w:vAlign w:val="bottom"/>
            <w:tcBorders>
              <w:top w:val="single" w:sz="8" w:color="231F20"/>
              <w:bottom w:val="single" w:sz="8" w:color="231F20"/>
            </w:tcBorders>
            <w:shd w:val="clear" w:color="auto" w:fill="D0EBF2"/>
          </w:tcPr>
          <w:p>
            <w:pPr>
              <w:jc w:val="right"/>
              <w:spacing w:after="0"/>
              <w:rPr>
                <w:sz w:val="20"/>
                <w:szCs w:val="20"/>
                <w:color w:val="auto"/>
              </w:rPr>
            </w:pPr>
            <w:r>
              <w:rPr>
                <w:rFonts w:ascii="Times New Roman" w:cs="Times New Roman" w:eastAsia="Times New Roman" w:hAnsi="Times New Roman"/>
                <w:sz w:val="17"/>
                <w:szCs w:val="17"/>
                <w:color w:val="231F20"/>
                <w:w w:val="70"/>
              </w:rPr>
              <w:t>$</w:t>
            </w:r>
          </w:p>
        </w:tc>
        <w:tc>
          <w:tcPr>
            <w:tcW w:w="1420" w:type="dxa"/>
            <w:vAlign w:val="bottom"/>
            <w:tcBorders>
              <w:top w:val="single" w:sz="8" w:color="231F20"/>
              <w:bottom w:val="single" w:sz="8" w:color="231F20"/>
            </w:tcBorders>
            <w:shd w:val="clear" w:color="auto" w:fill="D0EBF2"/>
          </w:tcPr>
          <w:p>
            <w:pPr>
              <w:jc w:val="right"/>
              <w:spacing w:after="0"/>
              <w:rPr>
                <w:sz w:val="20"/>
                <w:szCs w:val="20"/>
                <w:color w:val="auto"/>
              </w:rPr>
            </w:pPr>
            <w:r>
              <w:rPr>
                <w:rFonts w:ascii="Times New Roman" w:cs="Times New Roman" w:eastAsia="Times New Roman" w:hAnsi="Times New Roman"/>
                <w:sz w:val="19"/>
                <w:szCs w:val="19"/>
                <w:color w:val="231F20"/>
              </w:rPr>
              <w:t>97,708</w:t>
            </w:r>
          </w:p>
        </w:tc>
        <w:tc>
          <w:tcPr>
            <w:tcW w:w="240" w:type="dxa"/>
            <w:vAlign w:val="bottom"/>
            <w:tcBorders>
              <w:top w:val="single" w:sz="8" w:color="D0EBF2"/>
            </w:tcBorders>
            <w:shd w:val="clear" w:color="auto" w:fill="D0EBF2"/>
          </w:tcPr>
          <w:p>
            <w:pPr>
              <w:spacing w:after="0"/>
              <w:rPr>
                <w:sz w:val="19"/>
                <w:szCs w:val="19"/>
                <w:color w:val="auto"/>
              </w:rPr>
            </w:pPr>
          </w:p>
        </w:tc>
        <w:tc>
          <w:tcPr>
            <w:tcW w:w="120" w:type="dxa"/>
            <w:vAlign w:val="bottom"/>
            <w:tcBorders>
              <w:top w:val="single" w:sz="8" w:color="231F20"/>
              <w:bottom w:val="single" w:sz="8" w:color="231F20"/>
            </w:tcBorders>
            <w:shd w:val="clear" w:color="auto" w:fill="D0EBF2"/>
          </w:tcPr>
          <w:p>
            <w:pPr>
              <w:jc w:val="right"/>
              <w:spacing w:after="0"/>
              <w:rPr>
                <w:sz w:val="20"/>
                <w:szCs w:val="20"/>
                <w:color w:val="auto"/>
              </w:rPr>
            </w:pPr>
            <w:r>
              <w:rPr>
                <w:rFonts w:ascii="Times New Roman" w:cs="Times New Roman" w:eastAsia="Times New Roman" w:hAnsi="Times New Roman"/>
                <w:sz w:val="17"/>
                <w:szCs w:val="17"/>
                <w:color w:val="231F20"/>
                <w:w w:val="70"/>
              </w:rPr>
              <w:t>$</w:t>
            </w:r>
          </w:p>
        </w:tc>
        <w:tc>
          <w:tcPr>
            <w:tcW w:w="1440" w:type="dxa"/>
            <w:vAlign w:val="bottom"/>
            <w:tcBorders>
              <w:top w:val="single" w:sz="8" w:color="231F20"/>
              <w:bottom w:val="single" w:sz="8" w:color="231F20"/>
            </w:tcBorders>
            <w:shd w:val="clear" w:color="auto" w:fill="D0EBF2"/>
          </w:tcPr>
          <w:p>
            <w:pPr>
              <w:jc w:val="right"/>
              <w:spacing w:after="0"/>
              <w:rPr>
                <w:sz w:val="20"/>
                <w:szCs w:val="20"/>
                <w:color w:val="auto"/>
              </w:rPr>
            </w:pPr>
            <w:r>
              <w:rPr>
                <w:rFonts w:ascii="Times New Roman" w:cs="Times New Roman" w:eastAsia="Times New Roman" w:hAnsi="Times New Roman"/>
                <w:sz w:val="19"/>
                <w:szCs w:val="19"/>
                <w:color w:val="231F20"/>
              </w:rPr>
              <w:t>100,776</w:t>
            </w:r>
          </w:p>
        </w:tc>
        <w:tc>
          <w:tcPr>
            <w:tcW w:w="140" w:type="dxa"/>
            <w:vAlign w:val="bottom"/>
            <w:tcBorders>
              <w:top w:val="single" w:sz="8" w:color="D0EBF2"/>
            </w:tcBorders>
            <w:shd w:val="clear" w:color="auto" w:fill="D0EBF2"/>
          </w:tcPr>
          <w:p>
            <w:pPr>
              <w:spacing w:after="0"/>
              <w:rPr>
                <w:sz w:val="19"/>
                <w:szCs w:val="19"/>
                <w:color w:val="auto"/>
              </w:rPr>
            </w:pPr>
          </w:p>
        </w:tc>
        <w:tc>
          <w:tcPr>
            <w:tcW w:w="60" w:type="dxa"/>
            <w:vAlign w:val="bottom"/>
            <w:tcBorders>
              <w:top w:val="single" w:sz="8" w:color="D0EBF2"/>
            </w:tcBorders>
            <w:shd w:val="clear" w:color="auto" w:fill="D0EBF2"/>
          </w:tcPr>
          <w:p>
            <w:pPr>
              <w:spacing w:after="0"/>
              <w:rPr>
                <w:sz w:val="19"/>
                <w:szCs w:val="19"/>
                <w:color w:val="auto"/>
              </w:rPr>
            </w:pPr>
          </w:p>
        </w:tc>
        <w:tc>
          <w:tcPr>
            <w:tcW w:w="140" w:type="dxa"/>
            <w:vAlign w:val="bottom"/>
            <w:tcBorders>
              <w:top w:val="single" w:sz="8" w:color="231F20"/>
              <w:bottom w:val="single" w:sz="8" w:color="231F20"/>
            </w:tcBorders>
            <w:shd w:val="clear" w:color="auto" w:fill="D0EBF2"/>
          </w:tcPr>
          <w:p>
            <w:pPr>
              <w:jc w:val="right"/>
              <w:spacing w:after="0"/>
              <w:rPr>
                <w:sz w:val="20"/>
                <w:szCs w:val="20"/>
                <w:color w:val="auto"/>
              </w:rPr>
            </w:pPr>
            <w:r>
              <w:rPr>
                <w:rFonts w:ascii="Times New Roman" w:cs="Times New Roman" w:eastAsia="Times New Roman" w:hAnsi="Times New Roman"/>
                <w:sz w:val="19"/>
                <w:szCs w:val="19"/>
                <w:color w:val="231F20"/>
                <w:w w:val="83"/>
              </w:rPr>
              <w:t>$</w:t>
            </w:r>
          </w:p>
        </w:tc>
        <w:tc>
          <w:tcPr>
            <w:tcW w:w="1480" w:type="dxa"/>
            <w:vAlign w:val="bottom"/>
            <w:tcBorders>
              <w:top w:val="single" w:sz="8" w:color="231F20"/>
              <w:bottom w:val="single" w:sz="8" w:color="231F20"/>
            </w:tcBorders>
            <w:shd w:val="clear" w:color="auto" w:fill="D0EBF2"/>
          </w:tcPr>
          <w:p>
            <w:pPr>
              <w:jc w:val="right"/>
              <w:spacing w:after="0"/>
              <w:rPr>
                <w:sz w:val="20"/>
                <w:szCs w:val="20"/>
                <w:color w:val="auto"/>
              </w:rPr>
            </w:pPr>
            <w:r>
              <w:rPr>
                <w:rFonts w:ascii="Times New Roman" w:cs="Times New Roman" w:eastAsia="Times New Roman" w:hAnsi="Times New Roman"/>
                <w:sz w:val="19"/>
                <w:szCs w:val="19"/>
                <w:color w:val="231F20"/>
              </w:rPr>
              <w:t>56,456</w:t>
            </w:r>
          </w:p>
        </w:tc>
        <w:tc>
          <w:tcPr>
            <w:tcW w:w="100" w:type="dxa"/>
            <w:vAlign w:val="bottom"/>
            <w:tcBorders>
              <w:top w:val="single" w:sz="8" w:color="D0EBF2"/>
            </w:tcBorders>
            <w:shd w:val="clear" w:color="auto" w:fill="D0EBF2"/>
          </w:tcPr>
          <w:p>
            <w:pPr>
              <w:spacing w:after="0"/>
              <w:rPr>
                <w:sz w:val="19"/>
                <w:szCs w:val="19"/>
                <w:color w:val="auto"/>
              </w:rPr>
            </w:pPr>
          </w:p>
        </w:tc>
      </w:tr>
      <w:tr>
        <w:trPr>
          <w:trHeight w:val="20"/>
        </w:trPr>
        <w:tc>
          <w:tcPr>
            <w:tcW w:w="4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231F20"/>
            </w:tcBorders>
          </w:tcPr>
          <w:p>
            <w:pPr>
              <w:spacing w:after="0" w:line="20" w:lineRule="exact"/>
              <w:rPr>
                <w:sz w:val="1"/>
                <w:szCs w:val="1"/>
                <w:color w:val="auto"/>
              </w:rPr>
            </w:pPr>
          </w:p>
        </w:tc>
        <w:tc>
          <w:tcPr>
            <w:tcW w:w="1420" w:type="dxa"/>
            <w:vAlign w:val="bottom"/>
            <w:tcBorders>
              <w:bottom w:val="single" w:sz="8" w:color="231F20"/>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231F20"/>
            </w:tcBorders>
          </w:tcPr>
          <w:p>
            <w:pPr>
              <w:spacing w:after="0" w:line="20" w:lineRule="exact"/>
              <w:rPr>
                <w:sz w:val="1"/>
                <w:szCs w:val="1"/>
                <w:color w:val="auto"/>
              </w:rPr>
            </w:pPr>
          </w:p>
        </w:tc>
        <w:tc>
          <w:tcPr>
            <w:tcW w:w="1440" w:type="dxa"/>
            <w:vAlign w:val="bottom"/>
            <w:tcBorders>
              <w:bottom w:val="single" w:sz="8" w:color="231F20"/>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231F20"/>
            </w:tcBorders>
          </w:tcPr>
          <w:p>
            <w:pPr>
              <w:spacing w:after="0" w:line="20" w:lineRule="exact"/>
              <w:rPr>
                <w:sz w:val="1"/>
                <w:szCs w:val="1"/>
                <w:color w:val="auto"/>
              </w:rPr>
            </w:pPr>
          </w:p>
        </w:tc>
        <w:tc>
          <w:tcPr>
            <w:tcW w:w="1480" w:type="dxa"/>
            <w:vAlign w:val="bottom"/>
            <w:tcBorders>
              <w:bottom w:val="single" w:sz="8" w:color="231F20"/>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56"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9"/>
          <w:szCs w:val="19"/>
          <w:color w:val="231F20"/>
        </w:rPr>
        <w:t>The following reconciles increase in net assets resulting from operations for the fiscal years ended December 31, 2024,</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231F20"/>
        </w:rPr>
        <w:t>December 31, 2023 and December 31, 2022, to taxable income at December 31, 2024, December 31, 2023 and December 31, 2022:</w:t>
      </w:r>
    </w:p>
    <w:p>
      <w:pPr>
        <w:spacing w:after="0" w:line="235" w:lineRule="exact"/>
        <w:rPr>
          <w:sz w:val="20"/>
          <w:szCs w:val="20"/>
          <w:color w:val="auto"/>
        </w:rPr>
      </w:pPr>
    </w:p>
    <w:tbl>
      <w:tblPr>
        <w:tblLayout w:type="fixed"/>
        <w:tblInd w:w="460" w:type="dxa"/>
        <w:tblCellMar>
          <w:top w:w="0" w:type="dxa"/>
          <w:left w:w="0" w:type="dxa"/>
          <w:bottom w:w="0" w:type="dxa"/>
          <w:right w:w="0" w:type="dxa"/>
        </w:tblCellMar>
      </w:tblPr>
      <w:tr>
        <w:trPr>
          <w:trHeight w:val="174"/>
        </w:trPr>
        <w:tc>
          <w:tcPr>
            <w:tcW w:w="3620" w:type="dxa"/>
            <w:vAlign w:val="bottom"/>
            <w:shd w:val="clear" w:color="auto" w:fill="FDFDFC"/>
          </w:tcPr>
          <w:p>
            <w:pPr>
              <w:spacing w:after="0"/>
              <w:rPr>
                <w:sz w:val="15"/>
                <w:szCs w:val="15"/>
                <w:color w:val="auto"/>
              </w:rPr>
            </w:pPr>
          </w:p>
        </w:tc>
        <w:tc>
          <w:tcPr>
            <w:tcW w:w="100" w:type="dxa"/>
            <w:vAlign w:val="bottom"/>
            <w:shd w:val="clear" w:color="auto" w:fill="FDFDFC"/>
          </w:tcPr>
          <w:p>
            <w:pPr>
              <w:spacing w:after="0"/>
              <w:rPr>
                <w:sz w:val="15"/>
                <w:szCs w:val="15"/>
                <w:color w:val="auto"/>
              </w:rPr>
            </w:pPr>
          </w:p>
        </w:tc>
        <w:tc>
          <w:tcPr>
            <w:tcW w:w="1580" w:type="dxa"/>
            <w:vAlign w:val="bottom"/>
            <w:shd w:val="clear" w:color="auto" w:fill="FDFDFC"/>
          </w:tcPr>
          <w:p>
            <w:pPr>
              <w:jc w:val="right"/>
              <w:ind w:right="370"/>
              <w:spacing w:after="0"/>
              <w:rPr>
                <w:sz w:val="20"/>
                <w:szCs w:val="20"/>
                <w:color w:val="auto"/>
              </w:rPr>
            </w:pPr>
            <w:r>
              <w:rPr>
                <w:rFonts w:ascii="Times New Roman" w:cs="Times New Roman" w:eastAsia="Times New Roman" w:hAnsi="Times New Roman"/>
                <w:sz w:val="15"/>
                <w:szCs w:val="15"/>
                <w:b w:val="1"/>
                <w:bCs w:val="1"/>
                <w:color w:val="231F20"/>
              </w:rPr>
              <w:t>Year Ended</w:t>
            </w:r>
          </w:p>
        </w:tc>
        <w:tc>
          <w:tcPr>
            <w:tcW w:w="240" w:type="dxa"/>
            <w:vAlign w:val="bottom"/>
            <w:shd w:val="clear" w:color="auto" w:fill="FDFDFC"/>
          </w:tcPr>
          <w:p>
            <w:pPr>
              <w:spacing w:after="0"/>
              <w:rPr>
                <w:sz w:val="15"/>
                <w:szCs w:val="15"/>
                <w:color w:val="auto"/>
              </w:rPr>
            </w:pPr>
          </w:p>
        </w:tc>
        <w:tc>
          <w:tcPr>
            <w:tcW w:w="160" w:type="dxa"/>
            <w:vAlign w:val="bottom"/>
            <w:shd w:val="clear" w:color="auto" w:fill="FDFDFC"/>
          </w:tcPr>
          <w:p>
            <w:pPr>
              <w:spacing w:after="0"/>
              <w:rPr>
                <w:sz w:val="15"/>
                <w:szCs w:val="15"/>
                <w:color w:val="auto"/>
              </w:rPr>
            </w:pPr>
          </w:p>
        </w:tc>
        <w:tc>
          <w:tcPr>
            <w:tcW w:w="1780" w:type="dxa"/>
            <w:vAlign w:val="bottom"/>
            <w:gridSpan w:val="2"/>
            <w:shd w:val="clear" w:color="auto" w:fill="FDFDFC"/>
          </w:tcPr>
          <w:p>
            <w:pPr>
              <w:jc w:val="right"/>
              <w:ind w:right="700"/>
              <w:spacing w:after="0"/>
              <w:rPr>
                <w:sz w:val="20"/>
                <w:szCs w:val="20"/>
                <w:color w:val="auto"/>
              </w:rPr>
            </w:pPr>
            <w:r>
              <w:rPr>
                <w:rFonts w:ascii="Times New Roman" w:cs="Times New Roman" w:eastAsia="Times New Roman" w:hAnsi="Times New Roman"/>
                <w:sz w:val="15"/>
                <w:szCs w:val="15"/>
                <w:b w:val="1"/>
                <w:bCs w:val="1"/>
                <w:color w:val="231F20"/>
              </w:rPr>
              <w:t>Year Ended</w:t>
            </w:r>
          </w:p>
        </w:tc>
        <w:tc>
          <w:tcPr>
            <w:tcW w:w="160" w:type="dxa"/>
            <w:vAlign w:val="bottom"/>
            <w:shd w:val="clear" w:color="auto" w:fill="FDFDFC"/>
          </w:tcPr>
          <w:p>
            <w:pPr>
              <w:spacing w:after="0"/>
              <w:rPr>
                <w:sz w:val="15"/>
                <w:szCs w:val="15"/>
                <w:color w:val="auto"/>
              </w:rPr>
            </w:pPr>
          </w:p>
        </w:tc>
        <w:tc>
          <w:tcPr>
            <w:tcW w:w="1640" w:type="dxa"/>
            <w:vAlign w:val="bottom"/>
            <w:gridSpan w:val="2"/>
            <w:shd w:val="clear" w:color="auto" w:fill="FDFDFC"/>
          </w:tcPr>
          <w:p>
            <w:pPr>
              <w:jc w:val="right"/>
              <w:ind w:right="580"/>
              <w:spacing w:after="0"/>
              <w:rPr>
                <w:sz w:val="20"/>
                <w:szCs w:val="20"/>
                <w:color w:val="auto"/>
              </w:rPr>
            </w:pPr>
            <w:r>
              <w:rPr>
                <w:rFonts w:ascii="Times New Roman" w:cs="Times New Roman" w:eastAsia="Times New Roman" w:hAnsi="Times New Roman"/>
                <w:sz w:val="15"/>
                <w:szCs w:val="15"/>
                <w:b w:val="1"/>
                <w:bCs w:val="1"/>
                <w:color w:val="231F20"/>
              </w:rPr>
              <w:t>Year Ended</w:t>
            </w:r>
          </w:p>
        </w:tc>
        <w:tc>
          <w:tcPr>
            <w:tcW w:w="0" w:type="dxa"/>
            <w:vAlign w:val="bottom"/>
          </w:tcPr>
          <w:p>
            <w:pPr>
              <w:spacing w:after="0"/>
              <w:rPr>
                <w:sz w:val="1"/>
                <w:szCs w:val="1"/>
                <w:color w:val="auto"/>
              </w:rPr>
            </w:pPr>
          </w:p>
        </w:tc>
      </w:tr>
      <w:tr>
        <w:trPr>
          <w:trHeight w:val="174"/>
        </w:trPr>
        <w:tc>
          <w:tcPr>
            <w:tcW w:w="3620" w:type="dxa"/>
            <w:vAlign w:val="bottom"/>
            <w:shd w:val="clear" w:color="auto" w:fill="FDFDFC"/>
          </w:tcPr>
          <w:p>
            <w:pPr>
              <w:spacing w:after="0"/>
              <w:rPr>
                <w:sz w:val="15"/>
                <w:szCs w:val="15"/>
                <w:color w:val="auto"/>
              </w:rPr>
            </w:pPr>
          </w:p>
        </w:tc>
        <w:tc>
          <w:tcPr>
            <w:tcW w:w="100" w:type="dxa"/>
            <w:vAlign w:val="bottom"/>
            <w:shd w:val="clear" w:color="auto" w:fill="FDFDFC"/>
          </w:tcPr>
          <w:p>
            <w:pPr>
              <w:spacing w:after="0"/>
              <w:rPr>
                <w:sz w:val="15"/>
                <w:szCs w:val="15"/>
                <w:color w:val="auto"/>
              </w:rPr>
            </w:pPr>
          </w:p>
        </w:tc>
        <w:tc>
          <w:tcPr>
            <w:tcW w:w="1580" w:type="dxa"/>
            <w:vAlign w:val="bottom"/>
            <w:shd w:val="clear" w:color="auto" w:fill="FDFDFC"/>
          </w:tcPr>
          <w:p>
            <w:pPr>
              <w:jc w:val="right"/>
              <w:ind w:right="150"/>
              <w:spacing w:after="0"/>
              <w:rPr>
                <w:sz w:val="20"/>
                <w:szCs w:val="20"/>
                <w:color w:val="auto"/>
              </w:rPr>
            </w:pPr>
            <w:r>
              <w:rPr>
                <w:rFonts w:ascii="Times New Roman" w:cs="Times New Roman" w:eastAsia="Times New Roman" w:hAnsi="Times New Roman"/>
                <w:sz w:val="15"/>
                <w:szCs w:val="15"/>
                <w:b w:val="1"/>
                <w:bCs w:val="1"/>
                <w:color w:val="231F20"/>
              </w:rPr>
              <w:t>December 31, 2024</w:t>
            </w:r>
          </w:p>
        </w:tc>
        <w:tc>
          <w:tcPr>
            <w:tcW w:w="240" w:type="dxa"/>
            <w:vAlign w:val="bottom"/>
            <w:shd w:val="clear" w:color="auto" w:fill="FDFDFC"/>
          </w:tcPr>
          <w:p>
            <w:pPr>
              <w:spacing w:after="0"/>
              <w:rPr>
                <w:sz w:val="15"/>
                <w:szCs w:val="15"/>
                <w:color w:val="auto"/>
              </w:rPr>
            </w:pPr>
          </w:p>
        </w:tc>
        <w:tc>
          <w:tcPr>
            <w:tcW w:w="160" w:type="dxa"/>
            <w:vAlign w:val="bottom"/>
            <w:shd w:val="clear" w:color="auto" w:fill="FDFDFC"/>
          </w:tcPr>
          <w:p>
            <w:pPr>
              <w:spacing w:after="0"/>
              <w:rPr>
                <w:sz w:val="15"/>
                <w:szCs w:val="15"/>
                <w:color w:val="auto"/>
              </w:rPr>
            </w:pPr>
          </w:p>
        </w:tc>
        <w:tc>
          <w:tcPr>
            <w:tcW w:w="1780" w:type="dxa"/>
            <w:vAlign w:val="bottom"/>
            <w:gridSpan w:val="2"/>
            <w:shd w:val="clear" w:color="auto" w:fill="FDFDFC"/>
          </w:tcPr>
          <w:p>
            <w:pPr>
              <w:jc w:val="right"/>
              <w:ind w:right="480"/>
              <w:spacing w:after="0"/>
              <w:rPr>
                <w:sz w:val="20"/>
                <w:szCs w:val="20"/>
                <w:color w:val="auto"/>
              </w:rPr>
            </w:pPr>
            <w:r>
              <w:rPr>
                <w:rFonts w:ascii="Times New Roman" w:cs="Times New Roman" w:eastAsia="Times New Roman" w:hAnsi="Times New Roman"/>
                <w:sz w:val="15"/>
                <w:szCs w:val="15"/>
                <w:b w:val="1"/>
                <w:bCs w:val="1"/>
                <w:color w:val="231F20"/>
              </w:rPr>
              <w:t>December 31, 2023</w:t>
            </w:r>
          </w:p>
        </w:tc>
        <w:tc>
          <w:tcPr>
            <w:tcW w:w="160" w:type="dxa"/>
            <w:vAlign w:val="bottom"/>
            <w:shd w:val="clear" w:color="auto" w:fill="FDFDFC"/>
          </w:tcPr>
          <w:p>
            <w:pPr>
              <w:spacing w:after="0"/>
              <w:rPr>
                <w:sz w:val="15"/>
                <w:szCs w:val="15"/>
                <w:color w:val="auto"/>
              </w:rPr>
            </w:pPr>
          </w:p>
        </w:tc>
        <w:tc>
          <w:tcPr>
            <w:tcW w:w="1640" w:type="dxa"/>
            <w:vAlign w:val="bottom"/>
            <w:gridSpan w:val="2"/>
            <w:shd w:val="clear" w:color="auto" w:fill="FDFDFC"/>
          </w:tcPr>
          <w:p>
            <w:pPr>
              <w:jc w:val="right"/>
              <w:ind w:right="340"/>
              <w:spacing w:after="0"/>
              <w:rPr>
                <w:sz w:val="20"/>
                <w:szCs w:val="20"/>
                <w:color w:val="auto"/>
              </w:rPr>
            </w:pPr>
            <w:r>
              <w:rPr>
                <w:rFonts w:ascii="Times New Roman" w:cs="Times New Roman" w:eastAsia="Times New Roman" w:hAnsi="Times New Roman"/>
                <w:sz w:val="15"/>
                <w:szCs w:val="15"/>
                <w:b w:val="1"/>
                <w:bCs w:val="1"/>
                <w:color w:val="231F20"/>
              </w:rPr>
              <w:t>December 31, 2022</w:t>
            </w:r>
          </w:p>
        </w:tc>
        <w:tc>
          <w:tcPr>
            <w:tcW w:w="0" w:type="dxa"/>
            <w:vAlign w:val="bottom"/>
          </w:tcPr>
          <w:p>
            <w:pPr>
              <w:spacing w:after="0"/>
              <w:rPr>
                <w:sz w:val="1"/>
                <w:szCs w:val="1"/>
                <w:color w:val="auto"/>
              </w:rPr>
            </w:pPr>
          </w:p>
        </w:tc>
      </w:tr>
      <w:tr>
        <w:trPr>
          <w:trHeight w:val="187"/>
        </w:trPr>
        <w:tc>
          <w:tcPr>
            <w:tcW w:w="3620" w:type="dxa"/>
            <w:vAlign w:val="bottom"/>
            <w:tcBorders>
              <w:top w:val="single" w:sz="8" w:color="D0EBF2"/>
            </w:tcBorders>
            <w:shd w:val="clear" w:color="auto" w:fill="D0EBF2"/>
          </w:tcPr>
          <w:p>
            <w:pPr>
              <w:spacing w:after="0" w:line="187" w:lineRule="exact"/>
              <w:rPr>
                <w:sz w:val="20"/>
                <w:szCs w:val="20"/>
                <w:color w:val="auto"/>
              </w:rPr>
            </w:pPr>
            <w:r>
              <w:rPr>
                <w:rFonts w:ascii="Times New Roman" w:cs="Times New Roman" w:eastAsia="Times New Roman" w:hAnsi="Times New Roman"/>
                <w:sz w:val="19"/>
                <w:szCs w:val="19"/>
                <w:color w:val="231F20"/>
              </w:rPr>
              <w:t>Increase in net assets resulting from</w:t>
            </w:r>
          </w:p>
        </w:tc>
        <w:tc>
          <w:tcPr>
            <w:tcW w:w="100" w:type="dxa"/>
            <w:vAlign w:val="bottom"/>
            <w:tcBorders>
              <w:top w:val="single" w:sz="8" w:color="231F20"/>
            </w:tcBorders>
            <w:vMerge w:val="restart"/>
            <w:shd w:val="clear" w:color="auto" w:fill="D0EBF2"/>
          </w:tcPr>
          <w:p>
            <w:pPr>
              <w:jc w:val="right"/>
              <w:spacing w:after="0"/>
              <w:rPr>
                <w:sz w:val="20"/>
                <w:szCs w:val="20"/>
                <w:color w:val="auto"/>
              </w:rPr>
            </w:pPr>
            <w:r>
              <w:rPr>
                <w:rFonts w:ascii="Times New Roman" w:cs="Times New Roman" w:eastAsia="Times New Roman" w:hAnsi="Times New Roman"/>
                <w:sz w:val="17"/>
                <w:szCs w:val="17"/>
                <w:color w:val="231F20"/>
                <w:w w:val="70"/>
              </w:rPr>
              <w:t>$</w:t>
            </w:r>
          </w:p>
        </w:tc>
        <w:tc>
          <w:tcPr>
            <w:tcW w:w="1580" w:type="dxa"/>
            <w:vAlign w:val="bottom"/>
            <w:tcBorders>
              <w:top w:val="single" w:sz="8" w:color="231F20"/>
            </w:tcBorders>
            <w:vMerge w:val="restart"/>
            <w:shd w:val="clear" w:color="auto" w:fill="D0EBF2"/>
          </w:tcPr>
          <w:p>
            <w:pPr>
              <w:jc w:val="right"/>
              <w:spacing w:after="0"/>
              <w:rPr>
                <w:sz w:val="20"/>
                <w:szCs w:val="20"/>
                <w:color w:val="auto"/>
              </w:rPr>
            </w:pPr>
            <w:r>
              <w:rPr>
                <w:rFonts w:ascii="Times New Roman" w:cs="Times New Roman" w:eastAsia="Times New Roman" w:hAnsi="Times New Roman"/>
                <w:sz w:val="19"/>
                <w:szCs w:val="19"/>
                <w:color w:val="231F20"/>
              </w:rPr>
              <w:t>186,566</w:t>
            </w:r>
          </w:p>
        </w:tc>
        <w:tc>
          <w:tcPr>
            <w:tcW w:w="240" w:type="dxa"/>
            <w:vAlign w:val="bottom"/>
            <w:tcBorders>
              <w:top w:val="single" w:sz="8" w:color="D0EBF2"/>
            </w:tcBorders>
            <w:shd w:val="clear" w:color="auto" w:fill="D0EBF2"/>
          </w:tcPr>
          <w:p>
            <w:pPr>
              <w:spacing w:after="0"/>
              <w:rPr>
                <w:sz w:val="16"/>
                <w:szCs w:val="16"/>
                <w:color w:val="auto"/>
              </w:rPr>
            </w:pPr>
          </w:p>
        </w:tc>
        <w:tc>
          <w:tcPr>
            <w:tcW w:w="160" w:type="dxa"/>
            <w:vAlign w:val="bottom"/>
            <w:tcBorders>
              <w:top w:val="single" w:sz="8" w:color="231F20"/>
            </w:tcBorders>
            <w:vMerge w:val="restart"/>
            <w:shd w:val="clear" w:color="auto" w:fill="D0EBF2"/>
          </w:tcPr>
          <w:p>
            <w:pPr>
              <w:jc w:val="right"/>
              <w:spacing w:after="0"/>
              <w:rPr>
                <w:sz w:val="20"/>
                <w:szCs w:val="20"/>
                <w:color w:val="auto"/>
              </w:rPr>
            </w:pPr>
            <w:r>
              <w:rPr>
                <w:rFonts w:ascii="Times New Roman" w:cs="Times New Roman" w:eastAsia="Times New Roman" w:hAnsi="Times New Roman"/>
                <w:sz w:val="19"/>
                <w:szCs w:val="19"/>
                <w:color w:val="231F20"/>
                <w:w w:val="83"/>
              </w:rPr>
              <w:t>$</w:t>
            </w:r>
          </w:p>
        </w:tc>
        <w:tc>
          <w:tcPr>
            <w:tcW w:w="1540" w:type="dxa"/>
            <w:vAlign w:val="bottom"/>
            <w:tcBorders>
              <w:top w:val="single" w:sz="8" w:color="231F20"/>
            </w:tcBorders>
            <w:vMerge w:val="restart"/>
            <w:shd w:val="clear" w:color="auto" w:fill="D0EBF2"/>
          </w:tcPr>
          <w:p>
            <w:pPr>
              <w:jc w:val="right"/>
              <w:spacing w:after="0"/>
              <w:rPr>
                <w:sz w:val="20"/>
                <w:szCs w:val="20"/>
                <w:color w:val="auto"/>
              </w:rPr>
            </w:pPr>
            <w:r>
              <w:rPr>
                <w:rFonts w:ascii="Times New Roman" w:cs="Times New Roman" w:eastAsia="Times New Roman" w:hAnsi="Times New Roman"/>
                <w:sz w:val="19"/>
                <w:szCs w:val="19"/>
                <w:color w:val="231F20"/>
              </w:rPr>
              <w:t>222,023</w:t>
            </w:r>
          </w:p>
        </w:tc>
        <w:tc>
          <w:tcPr>
            <w:tcW w:w="240" w:type="dxa"/>
            <w:vAlign w:val="bottom"/>
            <w:tcBorders>
              <w:top w:val="single" w:sz="8" w:color="D0EBF2"/>
            </w:tcBorders>
            <w:shd w:val="clear" w:color="auto" w:fill="D0EBF2"/>
          </w:tcPr>
          <w:p>
            <w:pPr>
              <w:spacing w:after="0"/>
              <w:rPr>
                <w:sz w:val="16"/>
                <w:szCs w:val="16"/>
                <w:color w:val="auto"/>
              </w:rPr>
            </w:pPr>
          </w:p>
        </w:tc>
        <w:tc>
          <w:tcPr>
            <w:tcW w:w="160" w:type="dxa"/>
            <w:vAlign w:val="bottom"/>
            <w:tcBorders>
              <w:top w:val="single" w:sz="8" w:color="231F20"/>
            </w:tcBorders>
            <w:vMerge w:val="restart"/>
            <w:shd w:val="clear" w:color="auto" w:fill="D0EBF2"/>
          </w:tcPr>
          <w:p>
            <w:pPr>
              <w:jc w:val="right"/>
              <w:spacing w:after="0"/>
              <w:rPr>
                <w:sz w:val="20"/>
                <w:szCs w:val="20"/>
                <w:color w:val="auto"/>
              </w:rPr>
            </w:pPr>
            <w:r>
              <w:rPr>
                <w:rFonts w:ascii="Times New Roman" w:cs="Times New Roman" w:eastAsia="Times New Roman" w:hAnsi="Times New Roman"/>
                <w:sz w:val="17"/>
                <w:szCs w:val="17"/>
                <w:color w:val="231F20"/>
                <w:w w:val="70"/>
              </w:rPr>
              <w:t>$</w:t>
            </w:r>
          </w:p>
        </w:tc>
        <w:tc>
          <w:tcPr>
            <w:tcW w:w="1540" w:type="dxa"/>
            <w:vAlign w:val="bottom"/>
            <w:tcBorders>
              <w:top w:val="single" w:sz="8" w:color="231F20"/>
            </w:tcBorders>
            <w:vMerge w:val="restart"/>
            <w:shd w:val="clear" w:color="auto" w:fill="D0EBF2"/>
          </w:tcPr>
          <w:p>
            <w:pPr>
              <w:jc w:val="right"/>
              <w:spacing w:after="0"/>
              <w:rPr>
                <w:sz w:val="20"/>
                <w:szCs w:val="20"/>
                <w:color w:val="auto"/>
              </w:rPr>
            </w:pPr>
            <w:r>
              <w:rPr>
                <w:rFonts w:ascii="Times New Roman" w:cs="Times New Roman" w:eastAsia="Times New Roman" w:hAnsi="Times New Roman"/>
                <w:sz w:val="19"/>
                <w:szCs w:val="19"/>
                <w:color w:val="231F20"/>
              </w:rPr>
              <w:t>108,053</w:t>
            </w:r>
          </w:p>
        </w:tc>
        <w:tc>
          <w:tcPr>
            <w:tcW w:w="100" w:type="dxa"/>
            <w:vAlign w:val="bottom"/>
            <w:tcBorders>
              <w:top w:val="single" w:sz="8" w:color="D0EBF2"/>
            </w:tcBorders>
            <w:shd w:val="clear" w:color="auto" w:fill="D0EBF2"/>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3620" w:type="dxa"/>
            <w:vAlign w:val="bottom"/>
            <w:shd w:val="clear" w:color="auto" w:fill="D0EBF2"/>
          </w:tcPr>
          <w:p>
            <w:pPr>
              <w:ind w:left="140"/>
              <w:spacing w:after="0"/>
              <w:rPr>
                <w:sz w:val="20"/>
                <w:szCs w:val="20"/>
                <w:color w:val="auto"/>
              </w:rPr>
            </w:pPr>
            <w:r>
              <w:rPr>
                <w:rFonts w:ascii="Times New Roman" w:cs="Times New Roman" w:eastAsia="Times New Roman" w:hAnsi="Times New Roman"/>
                <w:sz w:val="19"/>
                <w:szCs w:val="19"/>
                <w:color w:val="231F20"/>
              </w:rPr>
              <w:t>operations</w:t>
            </w:r>
          </w:p>
        </w:tc>
        <w:tc>
          <w:tcPr>
            <w:tcW w:w="100" w:type="dxa"/>
            <w:vAlign w:val="bottom"/>
            <w:vMerge w:val="continue"/>
            <w:shd w:val="clear" w:color="auto" w:fill="D0EBF2"/>
          </w:tcPr>
          <w:p>
            <w:pPr>
              <w:spacing w:after="0"/>
              <w:rPr>
                <w:sz w:val="20"/>
                <w:szCs w:val="20"/>
                <w:color w:val="auto"/>
              </w:rPr>
            </w:pPr>
          </w:p>
        </w:tc>
        <w:tc>
          <w:tcPr>
            <w:tcW w:w="1580" w:type="dxa"/>
            <w:vAlign w:val="bottom"/>
            <w:vMerge w:val="continue"/>
            <w:shd w:val="clear" w:color="auto" w:fill="D0EBF2"/>
          </w:tcPr>
          <w:p>
            <w:pPr>
              <w:spacing w:after="0"/>
              <w:rPr>
                <w:sz w:val="20"/>
                <w:szCs w:val="20"/>
                <w:color w:val="auto"/>
              </w:rPr>
            </w:pPr>
          </w:p>
        </w:tc>
        <w:tc>
          <w:tcPr>
            <w:tcW w:w="240" w:type="dxa"/>
            <w:vAlign w:val="bottom"/>
            <w:shd w:val="clear" w:color="auto" w:fill="D0EBF2"/>
          </w:tcPr>
          <w:p>
            <w:pPr>
              <w:spacing w:after="0"/>
              <w:rPr>
                <w:sz w:val="20"/>
                <w:szCs w:val="20"/>
                <w:color w:val="auto"/>
              </w:rPr>
            </w:pPr>
          </w:p>
        </w:tc>
        <w:tc>
          <w:tcPr>
            <w:tcW w:w="160" w:type="dxa"/>
            <w:vAlign w:val="bottom"/>
            <w:vMerge w:val="continue"/>
            <w:shd w:val="clear" w:color="auto" w:fill="D0EBF2"/>
          </w:tcPr>
          <w:p>
            <w:pPr>
              <w:spacing w:after="0"/>
              <w:rPr>
                <w:sz w:val="20"/>
                <w:szCs w:val="20"/>
                <w:color w:val="auto"/>
              </w:rPr>
            </w:pPr>
          </w:p>
        </w:tc>
        <w:tc>
          <w:tcPr>
            <w:tcW w:w="1540" w:type="dxa"/>
            <w:vAlign w:val="bottom"/>
            <w:vMerge w:val="continue"/>
            <w:shd w:val="clear" w:color="auto" w:fill="D0EBF2"/>
          </w:tcPr>
          <w:p>
            <w:pPr>
              <w:spacing w:after="0"/>
              <w:rPr>
                <w:sz w:val="20"/>
                <w:szCs w:val="20"/>
                <w:color w:val="auto"/>
              </w:rPr>
            </w:pPr>
          </w:p>
        </w:tc>
        <w:tc>
          <w:tcPr>
            <w:tcW w:w="240" w:type="dxa"/>
            <w:vAlign w:val="bottom"/>
            <w:shd w:val="clear" w:color="auto" w:fill="D0EBF2"/>
          </w:tcPr>
          <w:p>
            <w:pPr>
              <w:spacing w:after="0"/>
              <w:rPr>
                <w:sz w:val="20"/>
                <w:szCs w:val="20"/>
                <w:color w:val="auto"/>
              </w:rPr>
            </w:pPr>
          </w:p>
        </w:tc>
        <w:tc>
          <w:tcPr>
            <w:tcW w:w="160" w:type="dxa"/>
            <w:vAlign w:val="bottom"/>
            <w:vMerge w:val="continue"/>
            <w:shd w:val="clear" w:color="auto" w:fill="D0EBF2"/>
          </w:tcPr>
          <w:p>
            <w:pPr>
              <w:spacing w:after="0"/>
              <w:rPr>
                <w:sz w:val="20"/>
                <w:szCs w:val="20"/>
                <w:color w:val="auto"/>
              </w:rPr>
            </w:pPr>
          </w:p>
        </w:tc>
        <w:tc>
          <w:tcPr>
            <w:tcW w:w="1540" w:type="dxa"/>
            <w:vAlign w:val="bottom"/>
            <w:vMerge w:val="continue"/>
            <w:shd w:val="clear" w:color="auto" w:fill="D0EBF2"/>
          </w:tcPr>
          <w:p>
            <w:pPr>
              <w:spacing w:after="0"/>
              <w:rPr>
                <w:sz w:val="20"/>
                <w:szCs w:val="20"/>
                <w:color w:val="auto"/>
              </w:rPr>
            </w:pPr>
          </w:p>
        </w:tc>
        <w:tc>
          <w:tcPr>
            <w:tcW w:w="100" w:type="dxa"/>
            <w:vAlign w:val="bottom"/>
            <w:shd w:val="clear" w:color="auto" w:fill="D0EBF2"/>
          </w:tcPr>
          <w:p>
            <w:pPr>
              <w:spacing w:after="0"/>
              <w:rPr>
                <w:sz w:val="20"/>
                <w:szCs w:val="20"/>
                <w:color w:val="auto"/>
              </w:rPr>
            </w:pPr>
          </w:p>
        </w:tc>
        <w:tc>
          <w:tcPr>
            <w:tcW w:w="0" w:type="dxa"/>
            <w:vAlign w:val="bottom"/>
          </w:tcPr>
          <w:p>
            <w:pPr>
              <w:spacing w:after="0"/>
              <w:rPr>
                <w:sz w:val="1"/>
                <w:szCs w:val="1"/>
                <w:color w:val="auto"/>
              </w:rPr>
            </w:pPr>
          </w:p>
        </w:tc>
      </w:tr>
      <w:tr>
        <w:trPr>
          <w:trHeight w:val="217"/>
        </w:trPr>
        <w:tc>
          <w:tcPr>
            <w:tcW w:w="3620" w:type="dxa"/>
            <w:vAlign w:val="bottom"/>
            <w:shd w:val="clear" w:color="auto" w:fill="FDFDFC"/>
          </w:tcPr>
          <w:p>
            <w:pPr>
              <w:spacing w:after="0" w:line="217" w:lineRule="exact"/>
              <w:rPr>
                <w:sz w:val="20"/>
                <w:szCs w:val="20"/>
                <w:color w:val="auto"/>
              </w:rPr>
            </w:pPr>
            <w:r>
              <w:rPr>
                <w:rFonts w:ascii="Times New Roman" w:cs="Times New Roman" w:eastAsia="Times New Roman" w:hAnsi="Times New Roman"/>
                <w:sz w:val="19"/>
                <w:szCs w:val="19"/>
                <w:color w:val="231F20"/>
              </w:rPr>
              <w:t>Adjustments:</w:t>
            </w:r>
          </w:p>
        </w:tc>
        <w:tc>
          <w:tcPr>
            <w:tcW w:w="100" w:type="dxa"/>
            <w:vAlign w:val="bottom"/>
            <w:shd w:val="clear" w:color="auto" w:fill="FDFDFC"/>
          </w:tcPr>
          <w:p>
            <w:pPr>
              <w:spacing w:after="0"/>
              <w:rPr>
                <w:sz w:val="18"/>
                <w:szCs w:val="18"/>
                <w:color w:val="auto"/>
              </w:rPr>
            </w:pPr>
          </w:p>
        </w:tc>
        <w:tc>
          <w:tcPr>
            <w:tcW w:w="1580" w:type="dxa"/>
            <w:vAlign w:val="bottom"/>
            <w:shd w:val="clear" w:color="auto" w:fill="FDFDFC"/>
          </w:tcPr>
          <w:p>
            <w:pPr>
              <w:spacing w:after="0"/>
              <w:rPr>
                <w:sz w:val="18"/>
                <w:szCs w:val="18"/>
                <w:color w:val="auto"/>
              </w:rPr>
            </w:pPr>
          </w:p>
        </w:tc>
        <w:tc>
          <w:tcPr>
            <w:tcW w:w="240" w:type="dxa"/>
            <w:vAlign w:val="bottom"/>
            <w:shd w:val="clear" w:color="auto" w:fill="FDFDFC"/>
          </w:tcPr>
          <w:p>
            <w:pPr>
              <w:spacing w:after="0"/>
              <w:rPr>
                <w:sz w:val="18"/>
                <w:szCs w:val="18"/>
                <w:color w:val="auto"/>
              </w:rPr>
            </w:pPr>
          </w:p>
        </w:tc>
        <w:tc>
          <w:tcPr>
            <w:tcW w:w="160" w:type="dxa"/>
            <w:vAlign w:val="bottom"/>
            <w:shd w:val="clear" w:color="auto" w:fill="FDFDFC"/>
          </w:tcPr>
          <w:p>
            <w:pPr>
              <w:spacing w:after="0"/>
              <w:rPr>
                <w:sz w:val="18"/>
                <w:szCs w:val="18"/>
                <w:color w:val="auto"/>
              </w:rPr>
            </w:pPr>
          </w:p>
        </w:tc>
        <w:tc>
          <w:tcPr>
            <w:tcW w:w="1540" w:type="dxa"/>
            <w:vAlign w:val="bottom"/>
            <w:shd w:val="clear" w:color="auto" w:fill="FDFDFC"/>
          </w:tcPr>
          <w:p>
            <w:pPr>
              <w:spacing w:after="0"/>
              <w:rPr>
                <w:sz w:val="18"/>
                <w:szCs w:val="18"/>
                <w:color w:val="auto"/>
              </w:rPr>
            </w:pPr>
          </w:p>
        </w:tc>
        <w:tc>
          <w:tcPr>
            <w:tcW w:w="240" w:type="dxa"/>
            <w:vAlign w:val="bottom"/>
            <w:shd w:val="clear" w:color="auto" w:fill="FDFDFC"/>
          </w:tcPr>
          <w:p>
            <w:pPr>
              <w:spacing w:after="0"/>
              <w:rPr>
                <w:sz w:val="18"/>
                <w:szCs w:val="18"/>
                <w:color w:val="auto"/>
              </w:rPr>
            </w:pPr>
          </w:p>
        </w:tc>
        <w:tc>
          <w:tcPr>
            <w:tcW w:w="160" w:type="dxa"/>
            <w:vAlign w:val="bottom"/>
            <w:shd w:val="clear" w:color="auto" w:fill="FDFDFC"/>
          </w:tcPr>
          <w:p>
            <w:pPr>
              <w:spacing w:after="0"/>
              <w:rPr>
                <w:sz w:val="18"/>
                <w:szCs w:val="18"/>
                <w:color w:val="auto"/>
              </w:rPr>
            </w:pPr>
          </w:p>
        </w:tc>
        <w:tc>
          <w:tcPr>
            <w:tcW w:w="1540" w:type="dxa"/>
            <w:vAlign w:val="bottom"/>
            <w:shd w:val="clear" w:color="auto" w:fill="FDFDFC"/>
          </w:tcPr>
          <w:p>
            <w:pPr>
              <w:spacing w:after="0"/>
              <w:rPr>
                <w:sz w:val="18"/>
                <w:szCs w:val="18"/>
                <w:color w:val="auto"/>
              </w:rPr>
            </w:pPr>
          </w:p>
        </w:tc>
        <w:tc>
          <w:tcPr>
            <w:tcW w:w="100" w:type="dxa"/>
            <w:vAlign w:val="bottom"/>
            <w:shd w:val="clear" w:color="auto" w:fill="FDFDFC"/>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3620" w:type="dxa"/>
            <w:vAlign w:val="bottom"/>
            <w:shd w:val="clear" w:color="auto" w:fill="D0EBF2"/>
          </w:tcPr>
          <w:p>
            <w:pPr>
              <w:spacing w:after="0" w:line="217" w:lineRule="exact"/>
              <w:rPr>
                <w:sz w:val="20"/>
                <w:szCs w:val="20"/>
                <w:color w:val="auto"/>
              </w:rPr>
            </w:pPr>
            <w:r>
              <w:rPr>
                <w:rFonts w:ascii="Times New Roman" w:cs="Times New Roman" w:eastAsia="Times New Roman" w:hAnsi="Times New Roman"/>
                <w:sz w:val="19"/>
                <w:szCs w:val="19"/>
                <w:color w:val="231F20"/>
              </w:rPr>
              <w:t>Net unrealized (gains) losses on investments</w:t>
            </w:r>
          </w:p>
        </w:tc>
        <w:tc>
          <w:tcPr>
            <w:tcW w:w="100" w:type="dxa"/>
            <w:vAlign w:val="bottom"/>
            <w:shd w:val="clear" w:color="auto" w:fill="D0EBF2"/>
          </w:tcPr>
          <w:p>
            <w:pPr>
              <w:spacing w:after="0"/>
              <w:rPr>
                <w:sz w:val="18"/>
                <w:szCs w:val="18"/>
                <w:color w:val="auto"/>
              </w:rPr>
            </w:pPr>
          </w:p>
        </w:tc>
        <w:tc>
          <w:tcPr>
            <w:tcW w:w="1580" w:type="dxa"/>
            <w:vAlign w:val="bottom"/>
            <w:shd w:val="clear" w:color="auto" w:fill="D0EBF2"/>
          </w:tcPr>
          <w:p>
            <w:pPr>
              <w:jc w:val="right"/>
              <w:spacing w:after="0" w:line="217" w:lineRule="exact"/>
              <w:rPr>
                <w:sz w:val="20"/>
                <w:szCs w:val="20"/>
                <w:color w:val="auto"/>
              </w:rPr>
            </w:pPr>
            <w:r>
              <w:rPr>
                <w:rFonts w:ascii="Times New Roman" w:cs="Times New Roman" w:eastAsia="Times New Roman" w:hAnsi="Times New Roman"/>
                <w:sz w:val="19"/>
                <w:szCs w:val="19"/>
                <w:color w:val="231F20"/>
              </w:rPr>
              <w:t>42,024</w:t>
            </w:r>
          </w:p>
        </w:tc>
        <w:tc>
          <w:tcPr>
            <w:tcW w:w="240" w:type="dxa"/>
            <w:vAlign w:val="bottom"/>
            <w:shd w:val="clear" w:color="auto" w:fill="D0EBF2"/>
          </w:tcPr>
          <w:p>
            <w:pPr>
              <w:spacing w:after="0"/>
              <w:rPr>
                <w:sz w:val="18"/>
                <w:szCs w:val="18"/>
                <w:color w:val="auto"/>
              </w:rPr>
            </w:pPr>
          </w:p>
        </w:tc>
        <w:tc>
          <w:tcPr>
            <w:tcW w:w="160" w:type="dxa"/>
            <w:vAlign w:val="bottom"/>
            <w:shd w:val="clear" w:color="auto" w:fill="D0EBF2"/>
          </w:tcPr>
          <w:p>
            <w:pPr>
              <w:spacing w:after="0"/>
              <w:rPr>
                <w:sz w:val="18"/>
                <w:szCs w:val="18"/>
                <w:color w:val="auto"/>
              </w:rPr>
            </w:pPr>
          </w:p>
        </w:tc>
        <w:tc>
          <w:tcPr>
            <w:tcW w:w="1780" w:type="dxa"/>
            <w:vAlign w:val="bottom"/>
            <w:gridSpan w:val="2"/>
            <w:shd w:val="clear" w:color="auto" w:fill="D0EBF2"/>
          </w:tcPr>
          <w:p>
            <w:pPr>
              <w:jc w:val="right"/>
              <w:ind w:right="180"/>
              <w:spacing w:after="0" w:line="217" w:lineRule="exact"/>
              <w:rPr>
                <w:sz w:val="20"/>
                <w:szCs w:val="20"/>
                <w:color w:val="auto"/>
              </w:rPr>
            </w:pPr>
            <w:r>
              <w:rPr>
                <w:rFonts w:ascii="Times New Roman" w:cs="Times New Roman" w:eastAsia="Times New Roman" w:hAnsi="Times New Roman"/>
                <w:sz w:val="19"/>
                <w:szCs w:val="19"/>
                <w:color w:val="231F20"/>
              </w:rPr>
              <w:t>(13,191)</w:t>
            </w:r>
          </w:p>
        </w:tc>
        <w:tc>
          <w:tcPr>
            <w:tcW w:w="160" w:type="dxa"/>
            <w:vAlign w:val="bottom"/>
            <w:shd w:val="clear" w:color="auto" w:fill="D0EBF2"/>
          </w:tcPr>
          <w:p>
            <w:pPr>
              <w:spacing w:after="0"/>
              <w:rPr>
                <w:sz w:val="18"/>
                <w:szCs w:val="18"/>
                <w:color w:val="auto"/>
              </w:rPr>
            </w:pPr>
          </w:p>
        </w:tc>
        <w:tc>
          <w:tcPr>
            <w:tcW w:w="1540" w:type="dxa"/>
            <w:vAlign w:val="bottom"/>
            <w:shd w:val="clear" w:color="auto" w:fill="D0EBF2"/>
          </w:tcPr>
          <w:p>
            <w:pPr>
              <w:jc w:val="right"/>
              <w:spacing w:after="0" w:line="217" w:lineRule="exact"/>
              <w:rPr>
                <w:sz w:val="20"/>
                <w:szCs w:val="20"/>
                <w:color w:val="auto"/>
              </w:rPr>
            </w:pPr>
            <w:r>
              <w:rPr>
                <w:rFonts w:ascii="Times New Roman" w:cs="Times New Roman" w:eastAsia="Times New Roman" w:hAnsi="Times New Roman"/>
                <w:sz w:val="19"/>
                <w:szCs w:val="19"/>
                <w:color w:val="231F20"/>
              </w:rPr>
              <w:t>74,969</w:t>
            </w:r>
          </w:p>
        </w:tc>
        <w:tc>
          <w:tcPr>
            <w:tcW w:w="100" w:type="dxa"/>
            <w:vAlign w:val="bottom"/>
            <w:shd w:val="clear" w:color="auto" w:fill="D0EBF2"/>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3620" w:type="dxa"/>
            <w:vAlign w:val="bottom"/>
            <w:shd w:val="clear" w:color="auto" w:fill="FDFDFC"/>
          </w:tcPr>
          <w:p>
            <w:pPr>
              <w:ind w:left="180"/>
              <w:spacing w:after="0" w:line="217" w:lineRule="exact"/>
              <w:rPr>
                <w:sz w:val="20"/>
                <w:szCs w:val="20"/>
                <w:color w:val="auto"/>
              </w:rPr>
            </w:pPr>
            <w:r>
              <w:rPr>
                <w:rFonts w:ascii="Times New Roman" w:cs="Times New Roman" w:eastAsia="Times New Roman" w:hAnsi="Times New Roman"/>
                <w:sz w:val="19"/>
                <w:szCs w:val="19"/>
                <w:color w:val="231F20"/>
              </w:rPr>
              <w:t>Other income for tax purposes, not book</w:t>
            </w:r>
          </w:p>
        </w:tc>
        <w:tc>
          <w:tcPr>
            <w:tcW w:w="100" w:type="dxa"/>
            <w:vAlign w:val="bottom"/>
            <w:shd w:val="clear" w:color="auto" w:fill="FDFDFC"/>
          </w:tcPr>
          <w:p>
            <w:pPr>
              <w:spacing w:after="0"/>
              <w:rPr>
                <w:sz w:val="18"/>
                <w:szCs w:val="18"/>
                <w:color w:val="auto"/>
              </w:rPr>
            </w:pPr>
          </w:p>
        </w:tc>
        <w:tc>
          <w:tcPr>
            <w:tcW w:w="1580" w:type="dxa"/>
            <w:vAlign w:val="bottom"/>
            <w:shd w:val="clear" w:color="auto" w:fill="FDFDFC"/>
          </w:tcPr>
          <w:p>
            <w:pPr>
              <w:jc w:val="right"/>
              <w:spacing w:after="0" w:line="217" w:lineRule="exact"/>
              <w:rPr>
                <w:sz w:val="20"/>
                <w:szCs w:val="20"/>
                <w:color w:val="auto"/>
              </w:rPr>
            </w:pPr>
            <w:r>
              <w:rPr>
                <w:rFonts w:ascii="Times New Roman" w:cs="Times New Roman" w:eastAsia="Times New Roman" w:hAnsi="Times New Roman"/>
                <w:sz w:val="19"/>
                <w:szCs w:val="19"/>
                <w:color w:val="231F20"/>
              </w:rPr>
              <w:t>(1,815)</w:t>
            </w:r>
          </w:p>
        </w:tc>
        <w:tc>
          <w:tcPr>
            <w:tcW w:w="240" w:type="dxa"/>
            <w:vAlign w:val="bottom"/>
            <w:shd w:val="clear" w:color="auto" w:fill="FDFDFC"/>
          </w:tcPr>
          <w:p>
            <w:pPr>
              <w:spacing w:after="0"/>
              <w:rPr>
                <w:sz w:val="18"/>
                <w:szCs w:val="18"/>
                <w:color w:val="auto"/>
              </w:rPr>
            </w:pPr>
          </w:p>
        </w:tc>
        <w:tc>
          <w:tcPr>
            <w:tcW w:w="160" w:type="dxa"/>
            <w:vAlign w:val="bottom"/>
            <w:shd w:val="clear" w:color="auto" w:fill="FDFDFC"/>
          </w:tcPr>
          <w:p>
            <w:pPr>
              <w:spacing w:after="0"/>
              <w:rPr>
                <w:sz w:val="18"/>
                <w:szCs w:val="18"/>
                <w:color w:val="auto"/>
              </w:rPr>
            </w:pPr>
          </w:p>
        </w:tc>
        <w:tc>
          <w:tcPr>
            <w:tcW w:w="1540" w:type="dxa"/>
            <w:vAlign w:val="bottom"/>
            <w:shd w:val="clear" w:color="auto" w:fill="FDFDFC"/>
          </w:tcPr>
          <w:p>
            <w:pPr>
              <w:jc w:val="right"/>
              <w:spacing w:after="0" w:line="217" w:lineRule="exact"/>
              <w:rPr>
                <w:sz w:val="20"/>
                <w:szCs w:val="20"/>
                <w:color w:val="auto"/>
              </w:rPr>
            </w:pPr>
            <w:r>
              <w:rPr>
                <w:rFonts w:ascii="Times New Roman" w:cs="Times New Roman" w:eastAsia="Times New Roman" w:hAnsi="Times New Roman"/>
                <w:sz w:val="19"/>
                <w:szCs w:val="19"/>
                <w:color w:val="231F20"/>
              </w:rPr>
              <w:t>2,680</w:t>
            </w:r>
          </w:p>
        </w:tc>
        <w:tc>
          <w:tcPr>
            <w:tcW w:w="240" w:type="dxa"/>
            <w:vAlign w:val="bottom"/>
            <w:shd w:val="clear" w:color="auto" w:fill="FDFDFC"/>
          </w:tcPr>
          <w:p>
            <w:pPr>
              <w:spacing w:after="0"/>
              <w:rPr>
                <w:sz w:val="18"/>
                <w:szCs w:val="18"/>
                <w:color w:val="auto"/>
              </w:rPr>
            </w:pPr>
          </w:p>
        </w:tc>
        <w:tc>
          <w:tcPr>
            <w:tcW w:w="160" w:type="dxa"/>
            <w:vAlign w:val="bottom"/>
            <w:shd w:val="clear" w:color="auto" w:fill="FDFDFC"/>
          </w:tcPr>
          <w:p>
            <w:pPr>
              <w:spacing w:after="0"/>
              <w:rPr>
                <w:sz w:val="18"/>
                <w:szCs w:val="18"/>
                <w:color w:val="auto"/>
              </w:rPr>
            </w:pPr>
          </w:p>
        </w:tc>
        <w:tc>
          <w:tcPr>
            <w:tcW w:w="1540" w:type="dxa"/>
            <w:vAlign w:val="bottom"/>
            <w:shd w:val="clear" w:color="auto" w:fill="FDFDFC"/>
          </w:tcPr>
          <w:p>
            <w:pPr>
              <w:jc w:val="right"/>
              <w:spacing w:after="0" w:line="217" w:lineRule="exact"/>
              <w:rPr>
                <w:sz w:val="20"/>
                <w:szCs w:val="20"/>
                <w:color w:val="auto"/>
              </w:rPr>
            </w:pPr>
            <w:r>
              <w:rPr>
                <w:rFonts w:ascii="Times New Roman" w:cs="Times New Roman" w:eastAsia="Times New Roman" w:hAnsi="Times New Roman"/>
                <w:sz w:val="19"/>
                <w:szCs w:val="19"/>
                <w:color w:val="231F20"/>
              </w:rPr>
              <w:t>688</w:t>
            </w:r>
          </w:p>
        </w:tc>
        <w:tc>
          <w:tcPr>
            <w:tcW w:w="100" w:type="dxa"/>
            <w:vAlign w:val="bottom"/>
            <w:shd w:val="clear" w:color="auto" w:fill="FDFDFC"/>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3620" w:type="dxa"/>
            <w:vAlign w:val="bottom"/>
            <w:shd w:val="clear" w:color="auto" w:fill="D0EBF2"/>
          </w:tcPr>
          <w:p>
            <w:pPr>
              <w:ind w:left="180"/>
              <w:spacing w:after="0" w:line="217" w:lineRule="exact"/>
              <w:rPr>
                <w:sz w:val="20"/>
                <w:szCs w:val="20"/>
                <w:color w:val="auto"/>
              </w:rPr>
            </w:pPr>
            <w:r>
              <w:rPr>
                <w:rFonts w:ascii="Times New Roman" w:cs="Times New Roman" w:eastAsia="Times New Roman" w:hAnsi="Times New Roman"/>
                <w:sz w:val="19"/>
                <w:szCs w:val="19"/>
                <w:color w:val="231F20"/>
              </w:rPr>
              <w:t>Deferred organization costs</w:t>
            </w:r>
          </w:p>
        </w:tc>
        <w:tc>
          <w:tcPr>
            <w:tcW w:w="100" w:type="dxa"/>
            <w:vAlign w:val="bottom"/>
            <w:shd w:val="clear" w:color="auto" w:fill="D0EBF2"/>
          </w:tcPr>
          <w:p>
            <w:pPr>
              <w:spacing w:after="0"/>
              <w:rPr>
                <w:sz w:val="18"/>
                <w:szCs w:val="18"/>
                <w:color w:val="auto"/>
              </w:rPr>
            </w:pPr>
          </w:p>
        </w:tc>
        <w:tc>
          <w:tcPr>
            <w:tcW w:w="1580" w:type="dxa"/>
            <w:vAlign w:val="bottom"/>
            <w:shd w:val="clear" w:color="auto" w:fill="D0EBF2"/>
          </w:tcPr>
          <w:p>
            <w:pPr>
              <w:jc w:val="right"/>
              <w:spacing w:after="0" w:line="217" w:lineRule="exact"/>
              <w:rPr>
                <w:sz w:val="20"/>
                <w:szCs w:val="20"/>
                <w:color w:val="auto"/>
              </w:rPr>
            </w:pPr>
            <w:r>
              <w:rPr>
                <w:rFonts w:ascii="Times New Roman" w:cs="Times New Roman" w:eastAsia="Times New Roman" w:hAnsi="Times New Roman"/>
                <w:sz w:val="19"/>
                <w:szCs w:val="19"/>
                <w:color w:val="231F20"/>
              </w:rPr>
              <w:t>(100)</w:t>
            </w:r>
          </w:p>
        </w:tc>
        <w:tc>
          <w:tcPr>
            <w:tcW w:w="240" w:type="dxa"/>
            <w:vAlign w:val="bottom"/>
            <w:shd w:val="clear" w:color="auto" w:fill="D0EBF2"/>
          </w:tcPr>
          <w:p>
            <w:pPr>
              <w:spacing w:after="0"/>
              <w:rPr>
                <w:sz w:val="18"/>
                <w:szCs w:val="18"/>
                <w:color w:val="auto"/>
              </w:rPr>
            </w:pPr>
          </w:p>
        </w:tc>
        <w:tc>
          <w:tcPr>
            <w:tcW w:w="160" w:type="dxa"/>
            <w:vAlign w:val="bottom"/>
            <w:shd w:val="clear" w:color="auto" w:fill="D0EBF2"/>
          </w:tcPr>
          <w:p>
            <w:pPr>
              <w:spacing w:after="0"/>
              <w:rPr>
                <w:sz w:val="18"/>
                <w:szCs w:val="18"/>
                <w:color w:val="auto"/>
              </w:rPr>
            </w:pPr>
          </w:p>
        </w:tc>
        <w:tc>
          <w:tcPr>
            <w:tcW w:w="1780" w:type="dxa"/>
            <w:vAlign w:val="bottom"/>
            <w:gridSpan w:val="2"/>
            <w:shd w:val="clear" w:color="auto" w:fill="D0EBF2"/>
          </w:tcPr>
          <w:p>
            <w:pPr>
              <w:jc w:val="right"/>
              <w:ind w:right="180"/>
              <w:spacing w:after="0" w:line="217" w:lineRule="exact"/>
              <w:rPr>
                <w:sz w:val="20"/>
                <w:szCs w:val="20"/>
                <w:color w:val="auto"/>
              </w:rPr>
            </w:pPr>
            <w:r>
              <w:rPr>
                <w:rFonts w:ascii="Times New Roman" w:cs="Times New Roman" w:eastAsia="Times New Roman" w:hAnsi="Times New Roman"/>
                <w:sz w:val="19"/>
                <w:szCs w:val="19"/>
                <w:color w:val="231F20"/>
              </w:rPr>
              <w:t>(100)</w:t>
            </w:r>
          </w:p>
        </w:tc>
        <w:tc>
          <w:tcPr>
            <w:tcW w:w="160" w:type="dxa"/>
            <w:vAlign w:val="bottom"/>
            <w:shd w:val="clear" w:color="auto" w:fill="D0EBF2"/>
          </w:tcPr>
          <w:p>
            <w:pPr>
              <w:spacing w:after="0"/>
              <w:rPr>
                <w:sz w:val="18"/>
                <w:szCs w:val="18"/>
                <w:color w:val="auto"/>
              </w:rPr>
            </w:pPr>
          </w:p>
        </w:tc>
        <w:tc>
          <w:tcPr>
            <w:tcW w:w="1640" w:type="dxa"/>
            <w:vAlign w:val="bottom"/>
            <w:gridSpan w:val="2"/>
            <w:shd w:val="clear" w:color="auto" w:fill="D0EBF2"/>
          </w:tcPr>
          <w:p>
            <w:pPr>
              <w:jc w:val="right"/>
              <w:ind w:right="40"/>
              <w:spacing w:after="0" w:line="217" w:lineRule="exact"/>
              <w:rPr>
                <w:sz w:val="20"/>
                <w:szCs w:val="20"/>
                <w:color w:val="auto"/>
              </w:rPr>
            </w:pPr>
            <w:r>
              <w:rPr>
                <w:rFonts w:ascii="Times New Roman" w:cs="Times New Roman" w:eastAsia="Times New Roman" w:hAnsi="Times New Roman"/>
                <w:sz w:val="19"/>
                <w:szCs w:val="19"/>
                <w:color w:val="231F20"/>
              </w:rPr>
              <w:t>(100)</w:t>
            </w:r>
          </w:p>
        </w:tc>
        <w:tc>
          <w:tcPr>
            <w:tcW w:w="0" w:type="dxa"/>
            <w:vAlign w:val="bottom"/>
          </w:tcPr>
          <w:p>
            <w:pPr>
              <w:spacing w:after="0"/>
              <w:rPr>
                <w:sz w:val="1"/>
                <w:szCs w:val="1"/>
                <w:color w:val="auto"/>
              </w:rPr>
            </w:pPr>
          </w:p>
        </w:tc>
      </w:tr>
      <w:tr>
        <w:trPr>
          <w:trHeight w:val="217"/>
        </w:trPr>
        <w:tc>
          <w:tcPr>
            <w:tcW w:w="3620" w:type="dxa"/>
            <w:vAlign w:val="bottom"/>
            <w:shd w:val="clear" w:color="auto" w:fill="FDFDFC"/>
          </w:tcPr>
          <w:p>
            <w:pPr>
              <w:ind w:left="180"/>
              <w:spacing w:after="0" w:line="217" w:lineRule="exact"/>
              <w:rPr>
                <w:sz w:val="20"/>
                <w:szCs w:val="20"/>
                <w:color w:val="auto"/>
              </w:rPr>
            </w:pPr>
            <w:r>
              <w:rPr>
                <w:rFonts w:ascii="Times New Roman" w:cs="Times New Roman" w:eastAsia="Times New Roman" w:hAnsi="Times New Roman"/>
                <w:sz w:val="19"/>
                <w:szCs w:val="19"/>
                <w:color w:val="231F20"/>
              </w:rPr>
              <w:t>Other expenses not currently deductible</w:t>
            </w:r>
          </w:p>
        </w:tc>
        <w:tc>
          <w:tcPr>
            <w:tcW w:w="100" w:type="dxa"/>
            <w:vAlign w:val="bottom"/>
            <w:shd w:val="clear" w:color="auto" w:fill="FDFDFC"/>
          </w:tcPr>
          <w:p>
            <w:pPr>
              <w:spacing w:after="0"/>
              <w:rPr>
                <w:sz w:val="18"/>
                <w:szCs w:val="18"/>
                <w:color w:val="auto"/>
              </w:rPr>
            </w:pPr>
          </w:p>
        </w:tc>
        <w:tc>
          <w:tcPr>
            <w:tcW w:w="1580" w:type="dxa"/>
            <w:vAlign w:val="bottom"/>
            <w:shd w:val="clear" w:color="auto" w:fill="FDFDFC"/>
          </w:tcPr>
          <w:p>
            <w:pPr>
              <w:jc w:val="right"/>
              <w:spacing w:after="0" w:line="217" w:lineRule="exact"/>
              <w:rPr>
                <w:sz w:val="20"/>
                <w:szCs w:val="20"/>
                <w:color w:val="auto"/>
              </w:rPr>
            </w:pPr>
            <w:r>
              <w:rPr>
                <w:rFonts w:ascii="Times New Roman" w:cs="Times New Roman" w:eastAsia="Times New Roman" w:hAnsi="Times New Roman"/>
                <w:sz w:val="19"/>
                <w:szCs w:val="19"/>
                <w:color w:val="231F20"/>
              </w:rPr>
              <w:t>3,809</w:t>
            </w:r>
          </w:p>
        </w:tc>
        <w:tc>
          <w:tcPr>
            <w:tcW w:w="240" w:type="dxa"/>
            <w:vAlign w:val="bottom"/>
            <w:shd w:val="clear" w:color="auto" w:fill="FDFDFC"/>
          </w:tcPr>
          <w:p>
            <w:pPr>
              <w:spacing w:after="0"/>
              <w:rPr>
                <w:sz w:val="18"/>
                <w:szCs w:val="18"/>
                <w:color w:val="auto"/>
              </w:rPr>
            </w:pPr>
          </w:p>
        </w:tc>
        <w:tc>
          <w:tcPr>
            <w:tcW w:w="160" w:type="dxa"/>
            <w:vAlign w:val="bottom"/>
            <w:shd w:val="clear" w:color="auto" w:fill="FDFDFC"/>
          </w:tcPr>
          <w:p>
            <w:pPr>
              <w:spacing w:after="0"/>
              <w:rPr>
                <w:sz w:val="18"/>
                <w:szCs w:val="18"/>
                <w:color w:val="auto"/>
              </w:rPr>
            </w:pPr>
          </w:p>
        </w:tc>
        <w:tc>
          <w:tcPr>
            <w:tcW w:w="1540" w:type="dxa"/>
            <w:vAlign w:val="bottom"/>
            <w:shd w:val="clear" w:color="auto" w:fill="FDFDFC"/>
          </w:tcPr>
          <w:p>
            <w:pPr>
              <w:jc w:val="right"/>
              <w:spacing w:after="0" w:line="217" w:lineRule="exact"/>
              <w:rPr>
                <w:sz w:val="20"/>
                <w:szCs w:val="20"/>
                <w:color w:val="auto"/>
              </w:rPr>
            </w:pPr>
            <w:r>
              <w:rPr>
                <w:rFonts w:ascii="Times New Roman" w:cs="Times New Roman" w:eastAsia="Times New Roman" w:hAnsi="Times New Roman"/>
                <w:sz w:val="19"/>
                <w:szCs w:val="19"/>
                <w:color w:val="231F20"/>
              </w:rPr>
              <w:t>2,263</w:t>
            </w:r>
          </w:p>
        </w:tc>
        <w:tc>
          <w:tcPr>
            <w:tcW w:w="240" w:type="dxa"/>
            <w:vAlign w:val="bottom"/>
            <w:shd w:val="clear" w:color="auto" w:fill="FDFDFC"/>
          </w:tcPr>
          <w:p>
            <w:pPr>
              <w:spacing w:after="0"/>
              <w:rPr>
                <w:sz w:val="18"/>
                <w:szCs w:val="18"/>
                <w:color w:val="auto"/>
              </w:rPr>
            </w:pPr>
          </w:p>
        </w:tc>
        <w:tc>
          <w:tcPr>
            <w:tcW w:w="160" w:type="dxa"/>
            <w:vAlign w:val="bottom"/>
            <w:shd w:val="clear" w:color="auto" w:fill="FDFDFC"/>
          </w:tcPr>
          <w:p>
            <w:pPr>
              <w:spacing w:after="0"/>
              <w:rPr>
                <w:sz w:val="18"/>
                <w:szCs w:val="18"/>
                <w:color w:val="auto"/>
              </w:rPr>
            </w:pPr>
          </w:p>
        </w:tc>
        <w:tc>
          <w:tcPr>
            <w:tcW w:w="1540" w:type="dxa"/>
            <w:vAlign w:val="bottom"/>
            <w:shd w:val="clear" w:color="auto" w:fill="FDFDFC"/>
          </w:tcPr>
          <w:p>
            <w:pPr>
              <w:jc w:val="right"/>
              <w:spacing w:after="0" w:line="217" w:lineRule="exact"/>
              <w:rPr>
                <w:sz w:val="20"/>
                <w:szCs w:val="20"/>
                <w:color w:val="auto"/>
              </w:rPr>
            </w:pPr>
            <w:r>
              <w:rPr>
                <w:rFonts w:ascii="Times New Roman" w:cs="Times New Roman" w:eastAsia="Times New Roman" w:hAnsi="Times New Roman"/>
                <w:sz w:val="19"/>
                <w:szCs w:val="19"/>
                <w:color w:val="231F20"/>
              </w:rPr>
              <w:t>2,621</w:t>
            </w:r>
          </w:p>
        </w:tc>
        <w:tc>
          <w:tcPr>
            <w:tcW w:w="100" w:type="dxa"/>
            <w:vAlign w:val="bottom"/>
            <w:shd w:val="clear" w:color="auto" w:fill="FDFDFC"/>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3620" w:type="dxa"/>
            <w:vAlign w:val="bottom"/>
            <w:shd w:val="clear" w:color="auto" w:fill="D0EBF2"/>
          </w:tcPr>
          <w:p>
            <w:pPr>
              <w:ind w:left="180"/>
              <w:spacing w:after="0" w:line="217" w:lineRule="exact"/>
              <w:rPr>
                <w:sz w:val="20"/>
                <w:szCs w:val="20"/>
                <w:color w:val="auto"/>
              </w:rPr>
            </w:pPr>
            <w:r>
              <w:rPr>
                <w:rFonts w:ascii="Times New Roman" w:cs="Times New Roman" w:eastAsia="Times New Roman" w:hAnsi="Times New Roman"/>
                <w:sz w:val="19"/>
                <w:szCs w:val="19"/>
                <w:color w:val="231F20"/>
              </w:rPr>
              <w:t>Other book-tax differences</w:t>
            </w:r>
          </w:p>
        </w:tc>
        <w:tc>
          <w:tcPr>
            <w:tcW w:w="100" w:type="dxa"/>
            <w:vAlign w:val="bottom"/>
            <w:shd w:val="clear" w:color="auto" w:fill="D0EBF2"/>
          </w:tcPr>
          <w:p>
            <w:pPr>
              <w:spacing w:after="0"/>
              <w:rPr>
                <w:sz w:val="18"/>
                <w:szCs w:val="18"/>
                <w:color w:val="auto"/>
              </w:rPr>
            </w:pPr>
          </w:p>
        </w:tc>
        <w:tc>
          <w:tcPr>
            <w:tcW w:w="1580" w:type="dxa"/>
            <w:vAlign w:val="bottom"/>
            <w:shd w:val="clear" w:color="auto" w:fill="D0EBF2"/>
          </w:tcPr>
          <w:p>
            <w:pPr>
              <w:jc w:val="right"/>
              <w:spacing w:after="0" w:line="217" w:lineRule="exact"/>
              <w:rPr>
                <w:sz w:val="20"/>
                <w:szCs w:val="20"/>
                <w:color w:val="auto"/>
              </w:rPr>
            </w:pPr>
            <w:r>
              <w:rPr>
                <w:rFonts w:ascii="Times New Roman" w:cs="Times New Roman" w:eastAsia="Times New Roman" w:hAnsi="Times New Roman"/>
                <w:sz w:val="19"/>
                <w:szCs w:val="19"/>
                <w:color w:val="231F20"/>
              </w:rPr>
              <w:t>(12,365)</w:t>
            </w:r>
          </w:p>
        </w:tc>
        <w:tc>
          <w:tcPr>
            <w:tcW w:w="240" w:type="dxa"/>
            <w:vAlign w:val="bottom"/>
            <w:shd w:val="clear" w:color="auto" w:fill="D0EBF2"/>
          </w:tcPr>
          <w:p>
            <w:pPr>
              <w:spacing w:after="0"/>
              <w:rPr>
                <w:sz w:val="18"/>
                <w:szCs w:val="18"/>
                <w:color w:val="auto"/>
              </w:rPr>
            </w:pPr>
          </w:p>
        </w:tc>
        <w:tc>
          <w:tcPr>
            <w:tcW w:w="160" w:type="dxa"/>
            <w:vAlign w:val="bottom"/>
            <w:shd w:val="clear" w:color="auto" w:fill="D0EBF2"/>
          </w:tcPr>
          <w:p>
            <w:pPr>
              <w:spacing w:after="0"/>
              <w:rPr>
                <w:sz w:val="18"/>
                <w:szCs w:val="18"/>
                <w:color w:val="auto"/>
              </w:rPr>
            </w:pPr>
          </w:p>
        </w:tc>
        <w:tc>
          <w:tcPr>
            <w:tcW w:w="1780" w:type="dxa"/>
            <w:vAlign w:val="bottom"/>
            <w:gridSpan w:val="2"/>
            <w:shd w:val="clear" w:color="auto" w:fill="D0EBF2"/>
          </w:tcPr>
          <w:p>
            <w:pPr>
              <w:jc w:val="right"/>
              <w:ind w:right="180"/>
              <w:spacing w:after="0" w:line="217" w:lineRule="exact"/>
              <w:rPr>
                <w:sz w:val="20"/>
                <w:szCs w:val="20"/>
                <w:color w:val="auto"/>
              </w:rPr>
            </w:pPr>
            <w:r>
              <w:rPr>
                <w:rFonts w:ascii="Times New Roman" w:cs="Times New Roman" w:eastAsia="Times New Roman" w:hAnsi="Times New Roman"/>
                <w:sz w:val="19"/>
                <w:szCs w:val="19"/>
                <w:color w:val="231F20"/>
              </w:rPr>
              <w:t>(4,959)</w:t>
            </w:r>
          </w:p>
        </w:tc>
        <w:tc>
          <w:tcPr>
            <w:tcW w:w="160" w:type="dxa"/>
            <w:vAlign w:val="bottom"/>
            <w:shd w:val="clear" w:color="auto" w:fill="D0EBF2"/>
          </w:tcPr>
          <w:p>
            <w:pPr>
              <w:spacing w:after="0"/>
              <w:rPr>
                <w:sz w:val="18"/>
                <w:szCs w:val="18"/>
                <w:color w:val="auto"/>
              </w:rPr>
            </w:pPr>
          </w:p>
        </w:tc>
        <w:tc>
          <w:tcPr>
            <w:tcW w:w="1640" w:type="dxa"/>
            <w:vAlign w:val="bottom"/>
            <w:gridSpan w:val="2"/>
            <w:shd w:val="clear" w:color="auto" w:fill="D0EBF2"/>
          </w:tcPr>
          <w:p>
            <w:pPr>
              <w:jc w:val="right"/>
              <w:ind w:right="40"/>
              <w:spacing w:after="0" w:line="217" w:lineRule="exact"/>
              <w:rPr>
                <w:sz w:val="20"/>
                <w:szCs w:val="20"/>
                <w:color w:val="auto"/>
              </w:rPr>
            </w:pPr>
            <w:r>
              <w:rPr>
                <w:rFonts w:ascii="Times New Roman" w:cs="Times New Roman" w:eastAsia="Times New Roman" w:hAnsi="Times New Roman"/>
                <w:sz w:val="19"/>
                <w:szCs w:val="19"/>
                <w:color w:val="231F20"/>
              </w:rPr>
              <w:t>(11,123)</w:t>
            </w:r>
          </w:p>
        </w:tc>
        <w:tc>
          <w:tcPr>
            <w:tcW w:w="0" w:type="dxa"/>
            <w:vAlign w:val="bottom"/>
          </w:tcPr>
          <w:p>
            <w:pPr>
              <w:spacing w:after="0"/>
              <w:rPr>
                <w:sz w:val="1"/>
                <w:szCs w:val="1"/>
                <w:color w:val="auto"/>
              </w:rPr>
            </w:pPr>
          </w:p>
        </w:tc>
      </w:tr>
      <w:tr>
        <w:trPr>
          <w:trHeight w:val="227"/>
        </w:trPr>
        <w:tc>
          <w:tcPr>
            <w:tcW w:w="3620" w:type="dxa"/>
            <w:vAlign w:val="bottom"/>
            <w:tcBorders>
              <w:top w:val="single" w:sz="8" w:color="FDFDFC"/>
              <w:bottom w:val="single" w:sz="8" w:color="FDFDFC"/>
            </w:tcBorders>
            <w:shd w:val="clear" w:color="auto" w:fill="FDFDFC"/>
          </w:tcPr>
          <w:p>
            <w:pPr>
              <w:ind w:left="380"/>
              <w:spacing w:after="0" w:line="207" w:lineRule="exact"/>
              <w:rPr>
                <w:sz w:val="20"/>
                <w:szCs w:val="20"/>
                <w:color w:val="auto"/>
              </w:rPr>
            </w:pPr>
            <w:r>
              <w:rPr>
                <w:rFonts w:ascii="Times New Roman" w:cs="Times New Roman" w:eastAsia="Times New Roman" w:hAnsi="Times New Roman"/>
                <w:sz w:val="19"/>
                <w:szCs w:val="19"/>
                <w:b w:val="1"/>
                <w:bCs w:val="1"/>
                <w:color w:val="231F20"/>
              </w:rPr>
              <w:t>Taxable Income</w:t>
            </w:r>
          </w:p>
        </w:tc>
        <w:tc>
          <w:tcPr>
            <w:tcW w:w="100" w:type="dxa"/>
            <w:vAlign w:val="bottom"/>
            <w:tcBorders>
              <w:top w:val="single" w:sz="8" w:color="231F20"/>
              <w:bottom w:val="single" w:sz="8" w:color="231F20"/>
            </w:tcBorders>
            <w:shd w:val="clear" w:color="auto" w:fill="FDFDFC"/>
          </w:tcPr>
          <w:p>
            <w:pPr>
              <w:jc w:val="right"/>
              <w:spacing w:after="0"/>
              <w:rPr>
                <w:sz w:val="20"/>
                <w:szCs w:val="20"/>
                <w:color w:val="auto"/>
              </w:rPr>
            </w:pPr>
            <w:r>
              <w:rPr>
                <w:rFonts w:ascii="Times New Roman" w:cs="Times New Roman" w:eastAsia="Times New Roman" w:hAnsi="Times New Roman"/>
                <w:sz w:val="17"/>
                <w:szCs w:val="17"/>
                <w:color w:val="231F20"/>
                <w:highlight w:val="white"/>
                <w:w w:val="70"/>
              </w:rPr>
              <w:t>$</w:t>
            </w:r>
          </w:p>
        </w:tc>
        <w:tc>
          <w:tcPr>
            <w:tcW w:w="1580" w:type="dxa"/>
            <w:vAlign w:val="bottom"/>
            <w:tcBorders>
              <w:top w:val="single" w:sz="8" w:color="231F20"/>
              <w:bottom w:val="single" w:sz="8" w:color="231F20"/>
            </w:tcBorders>
            <w:shd w:val="clear" w:color="auto" w:fill="FDFDFC"/>
          </w:tcPr>
          <w:p>
            <w:pPr>
              <w:jc w:val="right"/>
              <w:spacing w:after="0" w:line="207" w:lineRule="exact"/>
              <w:rPr>
                <w:sz w:val="20"/>
                <w:szCs w:val="20"/>
                <w:color w:val="auto"/>
              </w:rPr>
            </w:pPr>
            <w:r>
              <w:rPr>
                <w:rFonts w:ascii="Times New Roman" w:cs="Times New Roman" w:eastAsia="Times New Roman" w:hAnsi="Times New Roman"/>
                <w:sz w:val="19"/>
                <w:szCs w:val="19"/>
                <w:color w:val="231F20"/>
              </w:rPr>
              <w:t>218,119</w:t>
            </w:r>
          </w:p>
        </w:tc>
        <w:tc>
          <w:tcPr>
            <w:tcW w:w="240" w:type="dxa"/>
            <w:vAlign w:val="bottom"/>
            <w:tcBorders>
              <w:top w:val="single" w:sz="8" w:color="FDFDFC"/>
              <w:bottom w:val="single" w:sz="8" w:color="FDFDFC"/>
            </w:tcBorders>
            <w:shd w:val="clear" w:color="auto" w:fill="FDFDFC"/>
          </w:tcPr>
          <w:p>
            <w:pPr>
              <w:spacing w:after="0"/>
              <w:rPr>
                <w:sz w:val="19"/>
                <w:szCs w:val="19"/>
                <w:color w:val="auto"/>
              </w:rPr>
            </w:pPr>
          </w:p>
        </w:tc>
        <w:tc>
          <w:tcPr>
            <w:tcW w:w="160" w:type="dxa"/>
            <w:vAlign w:val="bottom"/>
            <w:tcBorders>
              <w:top w:val="single" w:sz="8" w:color="231F20"/>
              <w:bottom w:val="single" w:sz="8" w:color="231F20"/>
            </w:tcBorders>
            <w:shd w:val="clear" w:color="auto" w:fill="FDFDFC"/>
          </w:tcPr>
          <w:p>
            <w:pPr>
              <w:jc w:val="right"/>
              <w:spacing w:after="0" w:line="207" w:lineRule="exact"/>
              <w:rPr>
                <w:sz w:val="20"/>
                <w:szCs w:val="20"/>
                <w:color w:val="auto"/>
              </w:rPr>
            </w:pPr>
            <w:r>
              <w:rPr>
                <w:rFonts w:ascii="Times New Roman" w:cs="Times New Roman" w:eastAsia="Times New Roman" w:hAnsi="Times New Roman"/>
                <w:sz w:val="19"/>
                <w:szCs w:val="19"/>
                <w:color w:val="231F20"/>
                <w:w w:val="83"/>
              </w:rPr>
              <w:t>$</w:t>
            </w:r>
          </w:p>
        </w:tc>
        <w:tc>
          <w:tcPr>
            <w:tcW w:w="1540" w:type="dxa"/>
            <w:vAlign w:val="bottom"/>
            <w:tcBorders>
              <w:top w:val="single" w:sz="8" w:color="231F20"/>
              <w:bottom w:val="single" w:sz="8" w:color="231F20"/>
            </w:tcBorders>
            <w:shd w:val="clear" w:color="auto" w:fill="FDFDFC"/>
          </w:tcPr>
          <w:p>
            <w:pPr>
              <w:jc w:val="right"/>
              <w:spacing w:after="0" w:line="207" w:lineRule="exact"/>
              <w:rPr>
                <w:sz w:val="20"/>
                <w:szCs w:val="20"/>
                <w:color w:val="auto"/>
              </w:rPr>
            </w:pPr>
            <w:r>
              <w:rPr>
                <w:rFonts w:ascii="Times New Roman" w:cs="Times New Roman" w:eastAsia="Times New Roman" w:hAnsi="Times New Roman"/>
                <w:sz w:val="19"/>
                <w:szCs w:val="19"/>
                <w:color w:val="231F20"/>
              </w:rPr>
              <w:t>208,716</w:t>
            </w:r>
          </w:p>
        </w:tc>
        <w:tc>
          <w:tcPr>
            <w:tcW w:w="240" w:type="dxa"/>
            <w:vAlign w:val="bottom"/>
            <w:tcBorders>
              <w:top w:val="single" w:sz="8" w:color="FDFDFC"/>
              <w:bottom w:val="single" w:sz="8" w:color="FDFDFC"/>
            </w:tcBorders>
            <w:shd w:val="clear" w:color="auto" w:fill="FDFDFC"/>
          </w:tcPr>
          <w:p>
            <w:pPr>
              <w:spacing w:after="0"/>
              <w:rPr>
                <w:sz w:val="19"/>
                <w:szCs w:val="19"/>
                <w:color w:val="auto"/>
              </w:rPr>
            </w:pPr>
          </w:p>
        </w:tc>
        <w:tc>
          <w:tcPr>
            <w:tcW w:w="160" w:type="dxa"/>
            <w:vAlign w:val="bottom"/>
            <w:tcBorders>
              <w:top w:val="single" w:sz="8" w:color="231F20"/>
              <w:bottom w:val="single" w:sz="8" w:color="231F20"/>
            </w:tcBorders>
            <w:shd w:val="clear" w:color="auto" w:fill="FDFDFC"/>
          </w:tcPr>
          <w:p>
            <w:pPr>
              <w:jc w:val="right"/>
              <w:spacing w:after="0"/>
              <w:rPr>
                <w:sz w:val="20"/>
                <w:szCs w:val="20"/>
                <w:color w:val="auto"/>
              </w:rPr>
            </w:pPr>
            <w:r>
              <w:rPr>
                <w:rFonts w:ascii="Times New Roman" w:cs="Times New Roman" w:eastAsia="Times New Roman" w:hAnsi="Times New Roman"/>
                <w:sz w:val="17"/>
                <w:szCs w:val="17"/>
                <w:color w:val="231F20"/>
                <w:w w:val="70"/>
              </w:rPr>
              <w:t>$</w:t>
            </w:r>
          </w:p>
        </w:tc>
        <w:tc>
          <w:tcPr>
            <w:tcW w:w="1540" w:type="dxa"/>
            <w:vAlign w:val="bottom"/>
            <w:tcBorders>
              <w:top w:val="single" w:sz="8" w:color="231F20"/>
              <w:bottom w:val="single" w:sz="8" w:color="231F20"/>
            </w:tcBorders>
            <w:shd w:val="clear" w:color="auto" w:fill="FDFDFC"/>
          </w:tcPr>
          <w:p>
            <w:pPr>
              <w:jc w:val="right"/>
              <w:spacing w:after="0" w:line="207" w:lineRule="exact"/>
              <w:rPr>
                <w:sz w:val="20"/>
                <w:szCs w:val="20"/>
                <w:color w:val="auto"/>
              </w:rPr>
            </w:pPr>
            <w:r>
              <w:rPr>
                <w:rFonts w:ascii="Times New Roman" w:cs="Times New Roman" w:eastAsia="Times New Roman" w:hAnsi="Times New Roman"/>
                <w:sz w:val="19"/>
                <w:szCs w:val="19"/>
                <w:color w:val="231F20"/>
              </w:rPr>
              <w:t>175,108</w:t>
            </w:r>
          </w:p>
        </w:tc>
        <w:tc>
          <w:tcPr>
            <w:tcW w:w="100" w:type="dxa"/>
            <w:vAlign w:val="bottom"/>
            <w:tcBorders>
              <w:top w:val="single" w:sz="8" w:color="FDFDFC"/>
              <w:bottom w:val="single" w:sz="8" w:color="FDFDFC"/>
            </w:tcBorders>
            <w:shd w:val="clear" w:color="auto" w:fill="FDFD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620" w:type="dxa"/>
            <w:vAlign w:val="bottom"/>
          </w:tcPr>
          <w:p>
            <w:pPr>
              <w:spacing w:after="0" w:line="20" w:lineRule="exact"/>
              <w:rPr>
                <w:sz w:val="1"/>
                <w:szCs w:val="1"/>
                <w:color w:val="auto"/>
              </w:rPr>
            </w:pPr>
          </w:p>
        </w:tc>
        <w:tc>
          <w:tcPr>
            <w:tcW w:w="100" w:type="dxa"/>
            <w:vAlign w:val="bottom"/>
            <w:tcBorders>
              <w:bottom w:val="single" w:sz="8" w:color="231F20"/>
            </w:tcBorders>
          </w:tcPr>
          <w:p>
            <w:pPr>
              <w:spacing w:after="0" w:line="20" w:lineRule="exact"/>
              <w:rPr>
                <w:sz w:val="1"/>
                <w:szCs w:val="1"/>
                <w:color w:val="auto"/>
              </w:rPr>
            </w:pPr>
          </w:p>
        </w:tc>
        <w:tc>
          <w:tcPr>
            <w:tcW w:w="1580" w:type="dxa"/>
            <w:vAlign w:val="bottom"/>
            <w:tcBorders>
              <w:bottom w:val="single" w:sz="8" w:color="231F20"/>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231F20"/>
            </w:tcBorders>
          </w:tcPr>
          <w:p>
            <w:pPr>
              <w:spacing w:after="0" w:line="20" w:lineRule="exact"/>
              <w:rPr>
                <w:sz w:val="1"/>
                <w:szCs w:val="1"/>
                <w:color w:val="auto"/>
              </w:rPr>
            </w:pPr>
          </w:p>
        </w:tc>
        <w:tc>
          <w:tcPr>
            <w:tcW w:w="1540" w:type="dxa"/>
            <w:vAlign w:val="bottom"/>
            <w:tcBorders>
              <w:bottom w:val="single" w:sz="8" w:color="231F20"/>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231F20"/>
            </w:tcBorders>
          </w:tcPr>
          <w:p>
            <w:pPr>
              <w:spacing w:after="0" w:line="20" w:lineRule="exact"/>
              <w:rPr>
                <w:sz w:val="1"/>
                <w:szCs w:val="1"/>
                <w:color w:val="auto"/>
              </w:rPr>
            </w:pPr>
          </w:p>
        </w:tc>
        <w:tc>
          <w:tcPr>
            <w:tcW w:w="1540" w:type="dxa"/>
            <w:vAlign w:val="bottom"/>
            <w:tcBorders>
              <w:bottom w:val="single" w:sz="8" w:color="231F20"/>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6" w:lineRule="exact"/>
        <w:rPr>
          <w:sz w:val="20"/>
          <w:szCs w:val="20"/>
          <w:color w:val="auto"/>
        </w:rPr>
      </w:pPr>
    </w:p>
    <w:p>
      <w:pPr>
        <w:ind w:right="280" w:firstLine="231"/>
        <w:spacing w:after="0" w:line="256" w:lineRule="auto"/>
        <w:rPr>
          <w:sz w:val="20"/>
          <w:szCs w:val="20"/>
          <w:color w:val="auto"/>
        </w:rPr>
      </w:pPr>
      <w:r>
        <w:rPr>
          <w:rFonts w:ascii="Times New Roman" w:cs="Times New Roman" w:eastAsia="Times New Roman" w:hAnsi="Times New Roman"/>
          <w:sz w:val="19"/>
          <w:szCs w:val="19"/>
          <w:color w:val="231F20"/>
        </w:rPr>
        <w:t>Note: Taxable income is an estimate and is not fully determined until the Company’s tax return is filed. The Company's tax year changed from March 31 to December 31 during calendar year 2024.</w:t>
      </w:r>
    </w:p>
    <w:p>
      <w:pPr>
        <w:sectPr>
          <w:pgSz w:w="12240" w:h="15840" w:orient="portrait"/>
          <w:cols w:equalWidth="0" w:num="1">
            <w:col w:w="10200"/>
          </w:cols>
          <w:pgMar w:left="1020" w:top="1337" w:right="1020" w:bottom="57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231F20"/>
        </w:rPr>
        <w:t>F-52</w:t>
      </w:r>
    </w:p>
    <w:p>
      <w:pPr>
        <w:sectPr>
          <w:pgSz w:w="12240" w:h="15840" w:orient="portrait"/>
          <w:cols w:equalWidth="0" w:num="1">
            <w:col w:w="10200"/>
          </w:cols>
          <w:pgMar w:left="1020" w:top="1337" w:right="1020" w:bottom="574" w:gutter="0" w:footer="0" w:header="0"/>
          <w:type w:val="continuous"/>
        </w:sectPr>
      </w:pPr>
    </w:p>
    <w:bookmarkStart w:id="140" w:name="page141"/>
    <w:bookmarkEnd w:id="140"/>
    <w:p>
      <w:pPr>
        <w:ind w:right="40" w:firstLine="231"/>
        <w:spacing w:after="0" w:line="238" w:lineRule="auto"/>
        <w:rPr>
          <w:sz w:val="20"/>
          <w:szCs w:val="20"/>
          <w:color w:val="auto"/>
        </w:rPr>
      </w:pPr>
      <w:r>
        <w:rPr>
          <w:rFonts w:ascii="Times New Roman" w:cs="Times New Roman" w:eastAsia="Times New Roman" w:hAnsi="Times New Roman"/>
          <w:sz w:val="19"/>
          <w:szCs w:val="19"/>
          <w:color w:val="231F20"/>
        </w:rPr>
        <w:t>Taxable income generally differs from increase in net assets resulting from operations due to temporary and permanent differences in the recognition of income and expenses, and generally excludes net unrealized gains or losses, as unrealized gains or losses are generally not included in taxable income until they are realized.</w:t>
      </w:r>
    </w:p>
    <w:p>
      <w:pPr>
        <w:spacing w:after="0" w:line="177" w:lineRule="exact"/>
        <w:rPr>
          <w:sz w:val="20"/>
          <w:szCs w:val="20"/>
          <w:color w:val="auto"/>
        </w:rPr>
      </w:pPr>
    </w:p>
    <w:p>
      <w:pPr>
        <w:ind w:right="160" w:firstLine="231"/>
        <w:spacing w:after="0" w:line="231" w:lineRule="auto"/>
        <w:rPr>
          <w:sz w:val="20"/>
          <w:szCs w:val="20"/>
          <w:color w:val="auto"/>
        </w:rPr>
      </w:pPr>
      <w:r>
        <w:rPr>
          <w:rFonts w:ascii="Times New Roman" w:cs="Times New Roman" w:eastAsia="Times New Roman" w:hAnsi="Times New Roman"/>
          <w:sz w:val="19"/>
          <w:szCs w:val="19"/>
          <w:color w:val="231F20"/>
        </w:rPr>
        <w:t>The Company makes certain adjustments to the classification of stockholders’ equity as a result of permanent book-to-tax differences, which include differences in the book and tax basis of certain assets and liabilities, and nondeductible federal taxes or losses among other items. To the extent these differences are permanent, they are charged or credited to additional paid in capital, or distributable earnings, as appropriate. In addition, due to the Company’s differing fiscal, tax, and excise tax year ends, the best estimates available are recorded to the above accounts in the period that such differences arise or are identifiable.</w:t>
      </w:r>
    </w:p>
    <w:p>
      <w:pPr>
        <w:spacing w:after="0" w:line="175" w:lineRule="exact"/>
        <w:rPr>
          <w:sz w:val="20"/>
          <w:szCs w:val="20"/>
          <w:color w:val="auto"/>
        </w:rPr>
      </w:pPr>
    </w:p>
    <w:p>
      <w:pPr>
        <w:ind w:right="520" w:firstLine="231"/>
        <w:spacing w:after="0" w:line="256" w:lineRule="auto"/>
        <w:rPr>
          <w:sz w:val="20"/>
          <w:szCs w:val="20"/>
          <w:color w:val="auto"/>
        </w:rPr>
      </w:pPr>
      <w:r>
        <w:rPr>
          <w:rFonts w:ascii="Times New Roman" w:cs="Times New Roman" w:eastAsia="Times New Roman" w:hAnsi="Times New Roman"/>
          <w:sz w:val="19"/>
          <w:szCs w:val="19"/>
          <w:color w:val="231F20"/>
        </w:rPr>
        <w:t>During the period January 1, 2024 through December 31, 2024, the Company increased distributable earnings and decreased additional paid in capital by $3.8 million which was primarily attributable to U.S. federal excise taxes.</w:t>
      </w:r>
    </w:p>
    <w:p>
      <w:pPr>
        <w:spacing w:after="0" w:line="161" w:lineRule="exact"/>
        <w:rPr>
          <w:sz w:val="20"/>
          <w:szCs w:val="20"/>
          <w:color w:val="auto"/>
        </w:rPr>
      </w:pPr>
    </w:p>
    <w:p>
      <w:pPr>
        <w:ind w:right="700" w:firstLine="231"/>
        <w:spacing w:after="0" w:line="256" w:lineRule="auto"/>
        <w:rPr>
          <w:sz w:val="20"/>
          <w:szCs w:val="20"/>
          <w:color w:val="auto"/>
        </w:rPr>
      </w:pPr>
      <w:r>
        <w:rPr>
          <w:rFonts w:ascii="Times New Roman" w:cs="Times New Roman" w:eastAsia="Times New Roman" w:hAnsi="Times New Roman"/>
          <w:sz w:val="19"/>
          <w:szCs w:val="19"/>
          <w:color w:val="231F20"/>
        </w:rPr>
        <w:t>During the period April 1, 2023 through December 31, 2023, the Company increased distributable earnings and decreased additional paid in capital by $1.9 million which was primarily attributable to U.S. federal excise taxes.</w:t>
      </w:r>
    </w:p>
    <w:p>
      <w:pPr>
        <w:spacing w:after="0" w:line="161" w:lineRule="exact"/>
        <w:rPr>
          <w:sz w:val="20"/>
          <w:szCs w:val="20"/>
          <w:color w:val="auto"/>
        </w:rPr>
      </w:pPr>
    </w:p>
    <w:p>
      <w:pPr>
        <w:ind w:right="700" w:firstLine="231"/>
        <w:spacing w:after="0" w:line="256" w:lineRule="auto"/>
        <w:rPr>
          <w:sz w:val="20"/>
          <w:szCs w:val="20"/>
          <w:color w:val="auto"/>
        </w:rPr>
      </w:pPr>
      <w:r>
        <w:rPr>
          <w:rFonts w:ascii="Times New Roman" w:cs="Times New Roman" w:eastAsia="Times New Roman" w:hAnsi="Times New Roman"/>
          <w:sz w:val="19"/>
          <w:szCs w:val="19"/>
          <w:color w:val="231F20"/>
        </w:rPr>
        <w:t>During the period April 1, 2022 through December 31, 2022, the Company increased distributable earnings and decreased additional paid in capital by $2.3 million which was primarily attributable to U.S. federal excise taxes.</w:t>
      </w:r>
    </w:p>
    <w:p>
      <w:pPr>
        <w:spacing w:after="0" w:line="155" w:lineRule="exact"/>
        <w:rPr>
          <w:sz w:val="20"/>
          <w:szCs w:val="20"/>
          <w:color w:val="auto"/>
        </w:rPr>
      </w:pPr>
    </w:p>
    <w:p>
      <w:pPr>
        <w:ind w:right="40" w:firstLine="231"/>
        <w:spacing w:after="0" w:line="228" w:lineRule="auto"/>
        <w:rPr>
          <w:sz w:val="20"/>
          <w:szCs w:val="20"/>
          <w:color w:val="auto"/>
        </w:rPr>
      </w:pPr>
      <w:r>
        <w:rPr>
          <w:rFonts w:ascii="Times New Roman" w:cs="Times New Roman" w:eastAsia="Times New Roman" w:hAnsi="Times New Roman"/>
          <w:sz w:val="19"/>
          <w:szCs w:val="19"/>
          <w:color w:val="231F20"/>
        </w:rPr>
        <w:t>The Company’s wholly-owned subsidiary, Sixth Street SL Holding, LLC, is a taxable subsidiary in which the Company holds certain equity investments. Sixth Street SL Holding, LLC is not consolidated for U.S. federal income tax purposes and may generate income tax expense as a result of its ownership of certain portfolio companies. The income tax expense, or benefit, and the related tax assets and liabilities, if any, are reflected in our Statement of Operations.</w:t>
      </w:r>
    </w:p>
    <w:p>
      <w:pPr>
        <w:spacing w:after="0" w:line="171" w:lineRule="exact"/>
        <w:rPr>
          <w:sz w:val="20"/>
          <w:szCs w:val="20"/>
          <w:color w:val="auto"/>
        </w:rPr>
      </w:pPr>
    </w:p>
    <w:p>
      <w:pPr>
        <w:ind w:right="60" w:firstLine="231"/>
        <w:spacing w:after="0" w:line="228" w:lineRule="auto"/>
        <w:rPr>
          <w:sz w:val="20"/>
          <w:szCs w:val="20"/>
          <w:color w:val="auto"/>
        </w:rPr>
      </w:pPr>
      <w:r>
        <w:rPr>
          <w:rFonts w:ascii="Times New Roman" w:cs="Times New Roman" w:eastAsia="Times New Roman" w:hAnsi="Times New Roman"/>
          <w:sz w:val="19"/>
          <w:szCs w:val="19"/>
          <w:color w:val="231F20"/>
        </w:rPr>
        <w:t>As of December 31, 2024, the Company had a deferred tax liability of $5.2 million pertaining to net unrealized gains, related to eight of its investments. Given the unrealized gains generated by this entity, the deferred tax liability has been offset by a deferred tax asset of $0.6 million pertaining to operating losses. The Company recorded a current tax expense of $0.2 million and a deferred tax expense of $2.6 million for the year ended December 31, 2024.</w:t>
      </w:r>
    </w:p>
    <w:p>
      <w:pPr>
        <w:spacing w:after="0" w:line="171" w:lineRule="exact"/>
        <w:rPr>
          <w:sz w:val="20"/>
          <w:szCs w:val="20"/>
          <w:color w:val="auto"/>
        </w:rPr>
      </w:pPr>
    </w:p>
    <w:p>
      <w:pPr>
        <w:ind w:firstLine="231"/>
        <w:spacing w:after="0" w:line="228" w:lineRule="auto"/>
        <w:rPr>
          <w:sz w:val="20"/>
          <w:szCs w:val="20"/>
          <w:color w:val="auto"/>
        </w:rPr>
      </w:pPr>
      <w:r>
        <w:rPr>
          <w:rFonts w:ascii="Times New Roman" w:cs="Times New Roman" w:eastAsia="Times New Roman" w:hAnsi="Times New Roman"/>
          <w:sz w:val="19"/>
          <w:szCs w:val="19"/>
          <w:color w:val="231F20"/>
        </w:rPr>
        <w:t>As of December 31, 2023, the Company had a deferred tax liability of $2.8 million pertaining to net unrealized gains, related to seven of its investments. Given the unrealized gains generated by this entity, the deferred tax liability has been offset by a deferred tax asset of $0.9 million pertaining to operating losses. The Company recorded a current tax expense of $0.1 million and a deferred tax benefit of $0.6 million for the year ended December 31, 2023.</w:t>
      </w:r>
    </w:p>
    <w:p>
      <w:pPr>
        <w:spacing w:after="0" w:line="171" w:lineRule="exact"/>
        <w:rPr>
          <w:sz w:val="20"/>
          <w:szCs w:val="20"/>
          <w:color w:val="auto"/>
        </w:rPr>
      </w:pPr>
    </w:p>
    <w:p>
      <w:pPr>
        <w:ind w:right="140" w:firstLine="231"/>
        <w:spacing w:after="0" w:line="228" w:lineRule="auto"/>
        <w:rPr>
          <w:sz w:val="20"/>
          <w:szCs w:val="20"/>
          <w:color w:val="auto"/>
        </w:rPr>
      </w:pPr>
      <w:r>
        <w:rPr>
          <w:rFonts w:ascii="Times New Roman" w:cs="Times New Roman" w:eastAsia="Times New Roman" w:hAnsi="Times New Roman"/>
          <w:sz w:val="19"/>
          <w:szCs w:val="19"/>
          <w:color w:val="231F20"/>
        </w:rPr>
        <w:t>As of December 31, 2022, the Company had a deferred tax liability of $3.3 million pertaining to net unrealized gains, related to five of its investments. Given the unrealized gains generated by this entity, the deferred tax liability has been offset by a deferred tax asset of $0.8 million pertaining to operating losses. The Company recorded a current tax expense of $0.1 million and a deferred tax expense of $0.6 million for the year ended December 31, 2022.</w:t>
      </w:r>
    </w:p>
    <w:p>
      <w:pPr>
        <w:spacing w:after="0" w:line="17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231F20"/>
        </w:rPr>
        <w:t>The tax cost of the Company’s investments as of December 31, 2024 was $3,535,963, resulting in estimated gross unrealized gains</w:t>
      </w:r>
    </w:p>
    <w:p>
      <w:pPr>
        <w:spacing w:after="0" w:line="228" w:lineRule="auto"/>
        <w:rPr>
          <w:sz w:val="20"/>
          <w:szCs w:val="20"/>
          <w:color w:val="auto"/>
        </w:rPr>
      </w:pPr>
      <w:r>
        <w:rPr>
          <w:rFonts w:ascii="Times New Roman" w:cs="Times New Roman" w:eastAsia="Times New Roman" w:hAnsi="Times New Roman"/>
          <w:sz w:val="19"/>
          <w:szCs w:val="19"/>
          <w:color w:val="231F20"/>
        </w:rPr>
        <w:t>and losses of $207,435 and $216,975, respectively. The tax cost of the Company’s investments as of December 31, 2023 was</w:t>
      </w:r>
    </w:p>
    <w:p>
      <w:pPr>
        <w:spacing w:after="0" w:line="213" w:lineRule="auto"/>
        <w:rPr>
          <w:sz w:val="20"/>
          <w:szCs w:val="20"/>
          <w:color w:val="auto"/>
        </w:rPr>
      </w:pPr>
      <w:r>
        <w:rPr>
          <w:rFonts w:ascii="Times New Roman" w:cs="Times New Roman" w:eastAsia="Times New Roman" w:hAnsi="Times New Roman"/>
          <w:sz w:val="19"/>
          <w:szCs w:val="19"/>
          <w:color w:val="231F20"/>
        </w:rPr>
        <w:t>$3,256,630, resulting in estimated gross unrealized gains and losses of $159,281 and $135,606, respectively. The tax cost of the</w:t>
      </w:r>
    </w:p>
    <w:p>
      <w:pPr>
        <w:spacing w:after="0" w:line="213" w:lineRule="auto"/>
        <w:rPr>
          <w:sz w:val="20"/>
          <w:szCs w:val="20"/>
          <w:color w:val="auto"/>
        </w:rPr>
      </w:pPr>
      <w:r>
        <w:rPr>
          <w:rFonts w:ascii="Times New Roman" w:cs="Times New Roman" w:eastAsia="Times New Roman" w:hAnsi="Times New Roman"/>
          <w:sz w:val="19"/>
          <w:szCs w:val="19"/>
          <w:color w:val="231F20"/>
        </w:rPr>
        <w:t>Company’s investments as of December 31, 2022 was $2,787,005, resulting in estimated gross unrealized gains and losses of</w:t>
      </w:r>
    </w:p>
    <w:p>
      <w:pPr>
        <w:spacing w:after="0"/>
        <w:rPr>
          <w:sz w:val="20"/>
          <w:szCs w:val="20"/>
          <w:color w:val="auto"/>
        </w:rPr>
      </w:pPr>
      <w:r>
        <w:rPr>
          <w:rFonts w:ascii="Times New Roman" w:cs="Times New Roman" w:eastAsia="Times New Roman" w:hAnsi="Times New Roman"/>
          <w:sz w:val="19"/>
          <w:szCs w:val="19"/>
          <w:color w:val="231F20"/>
        </w:rPr>
        <w:t>$109,609 and $105,786, respectively.</w:t>
      </w:r>
    </w:p>
    <w:p>
      <w:pPr>
        <w:spacing w:after="0" w:line="174" w:lineRule="exact"/>
        <w:rPr>
          <w:sz w:val="20"/>
          <w:szCs w:val="20"/>
          <w:color w:val="auto"/>
        </w:rPr>
      </w:pPr>
    </w:p>
    <w:p>
      <w:pPr>
        <w:ind w:right="140" w:firstLine="231"/>
        <w:spacing w:after="0" w:line="228" w:lineRule="auto"/>
        <w:rPr>
          <w:sz w:val="20"/>
          <w:szCs w:val="20"/>
          <w:color w:val="auto"/>
        </w:rPr>
      </w:pPr>
      <w:r>
        <w:rPr>
          <w:rFonts w:ascii="Times New Roman" w:cs="Times New Roman" w:eastAsia="Times New Roman" w:hAnsi="Times New Roman"/>
          <w:sz w:val="19"/>
          <w:szCs w:val="19"/>
          <w:color w:val="231F20"/>
        </w:rPr>
        <w:t>To the extent that the Company determines that its estimated current year annual taxable income will exceed its estimated current year dividends from such taxable income, the Company accrues excise tax on estimated excess taxable income. For the year ended December 31, 2024, December 31, 2023 and December 31, 2022, a net expense of $3.8 million, $2.3 million and $2.2 million, respectively, was recorded for U.S. federal excise tax.</w:t>
      </w:r>
    </w:p>
    <w:p>
      <w:pPr>
        <w:sectPr>
          <w:pgSz w:w="12240" w:h="15840" w:orient="portrait"/>
          <w:cols w:equalWidth="0" w:num="1">
            <w:col w:w="10160"/>
          </w:cols>
          <w:pgMar w:left="1020" w:top="1303" w:right="1060" w:bottom="57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9"/>
          <w:szCs w:val="19"/>
          <w:color w:val="231F20"/>
        </w:rPr>
        <w:t>F-53</w:t>
      </w:r>
    </w:p>
    <w:p>
      <w:pPr>
        <w:sectPr>
          <w:pgSz w:w="12240" w:h="15840" w:orient="portrait"/>
          <w:cols w:equalWidth="0" w:num="1">
            <w:col w:w="10160"/>
          </w:cols>
          <w:pgMar w:left="1020" w:top="1303" w:right="1060" w:bottom="574" w:gutter="0" w:footer="0" w:header="0"/>
          <w:type w:val="continuous"/>
        </w:sectPr>
      </w:pPr>
    </w:p>
    <w:bookmarkStart w:id="141" w:name="page142"/>
    <w:bookmarkEnd w:id="141"/>
    <w:p>
      <w:pPr>
        <w:spacing w:after="0"/>
        <w:rPr>
          <w:sz w:val="20"/>
          <w:szCs w:val="20"/>
          <w:color w:val="auto"/>
        </w:rPr>
      </w:pPr>
      <w:r>
        <w:rPr>
          <w:rFonts w:ascii="Times New Roman" w:cs="Times New Roman" w:eastAsia="Times New Roman" w:hAnsi="Times New Roman"/>
          <w:sz w:val="19"/>
          <w:szCs w:val="19"/>
          <w:b w:val="1"/>
          <w:bCs w:val="1"/>
          <w:color w:val="231F20"/>
        </w:rPr>
        <w:t>13. Financial Highlights</w:t>
      </w:r>
    </w:p>
    <w:p>
      <w:pPr>
        <w:spacing w:after="0" w:line="114" w:lineRule="exact"/>
        <w:rPr>
          <w:sz w:val="20"/>
          <w:szCs w:val="20"/>
          <w:color w:val="auto"/>
        </w:rPr>
      </w:pPr>
    </w:p>
    <w:p>
      <w:pPr>
        <w:ind w:right="100" w:firstLine="231"/>
        <w:spacing w:after="0" w:line="257" w:lineRule="auto"/>
        <w:rPr>
          <w:sz w:val="20"/>
          <w:szCs w:val="20"/>
          <w:color w:val="auto"/>
        </w:rPr>
      </w:pPr>
      <w:r>
        <w:rPr>
          <w:rFonts w:ascii="Times New Roman" w:cs="Times New Roman" w:eastAsia="Times New Roman" w:hAnsi="Times New Roman"/>
          <w:sz w:val="19"/>
          <w:szCs w:val="19"/>
          <w:color w:val="231F20"/>
        </w:rPr>
        <w:t>The following per share data and ratios have been derived from information provided in the consolidated financial statements. The following are the financial highlights for one share of common stock outstanding during the years ended December 31, 2024, 2023, 2022, 2021, 2020, 2019, 2018, 2017, 2016, and 2015:</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41"/>
        </w:trPr>
        <w:tc>
          <w:tcPr>
            <w:tcW w:w="2660" w:type="dxa"/>
            <w:vAlign w:val="bottom"/>
            <w:tcBorders>
              <w:bottom w:val="single" w:sz="8" w:color="FDFDFC"/>
            </w:tcBorders>
            <w:shd w:val="clear" w:color="auto" w:fill="FDFDFC"/>
          </w:tcPr>
          <w:p>
            <w:pPr>
              <w:spacing w:after="0"/>
              <w:rPr>
                <w:sz w:val="12"/>
                <w:szCs w:val="12"/>
                <w:color w:val="auto"/>
              </w:rPr>
            </w:pPr>
          </w:p>
        </w:tc>
        <w:tc>
          <w:tcPr>
            <w:tcW w:w="20" w:type="dxa"/>
            <w:vAlign w:val="bottom"/>
            <w:tcBorders>
              <w:bottom w:val="single" w:sz="8" w:color="FDFDFC"/>
            </w:tcBorders>
            <w:shd w:val="clear" w:color="auto" w:fill="FDFDFC"/>
          </w:tcPr>
          <w:p>
            <w:pPr>
              <w:spacing w:after="0"/>
              <w:rPr>
                <w:sz w:val="12"/>
                <w:szCs w:val="12"/>
                <w:color w:val="auto"/>
              </w:rPr>
            </w:pPr>
          </w:p>
        </w:tc>
        <w:tc>
          <w:tcPr>
            <w:tcW w:w="20" w:type="dxa"/>
            <w:vAlign w:val="bottom"/>
            <w:tcBorders>
              <w:bottom w:val="single" w:sz="8" w:color="FDFDFC"/>
            </w:tcBorders>
            <w:shd w:val="clear" w:color="auto" w:fill="FDFDFC"/>
          </w:tcPr>
          <w:p>
            <w:pPr>
              <w:spacing w:after="0"/>
              <w:rPr>
                <w:sz w:val="12"/>
                <w:szCs w:val="12"/>
                <w:color w:val="auto"/>
              </w:rPr>
            </w:pPr>
          </w:p>
        </w:tc>
        <w:tc>
          <w:tcPr>
            <w:tcW w:w="20" w:type="dxa"/>
            <w:vAlign w:val="bottom"/>
            <w:tcBorders>
              <w:bottom w:val="single" w:sz="8" w:color="FDFDFC"/>
            </w:tcBorders>
            <w:shd w:val="clear" w:color="auto" w:fill="FDFDFC"/>
          </w:tcPr>
          <w:p>
            <w:pPr>
              <w:spacing w:after="0"/>
              <w:rPr>
                <w:sz w:val="12"/>
                <w:szCs w:val="12"/>
                <w:color w:val="auto"/>
              </w:rPr>
            </w:pPr>
          </w:p>
        </w:tc>
        <w:tc>
          <w:tcPr>
            <w:tcW w:w="0" w:type="dxa"/>
            <w:vAlign w:val="bottom"/>
            <w:tcBorders>
              <w:bottom w:val="single" w:sz="8" w:color="231F20"/>
            </w:tcBorders>
            <w:shd w:val="clear" w:color="auto" w:fill="FDFDFC"/>
          </w:tcPr>
          <w:p>
            <w:pPr>
              <w:spacing w:after="0"/>
              <w:rPr>
                <w:sz w:val="12"/>
                <w:szCs w:val="12"/>
                <w:color w:val="auto"/>
              </w:rPr>
            </w:pPr>
          </w:p>
        </w:tc>
        <w:tc>
          <w:tcPr>
            <w:tcW w:w="560" w:type="dxa"/>
            <w:vAlign w:val="bottom"/>
            <w:tcBorders>
              <w:bottom w:val="single" w:sz="8" w:color="231F20"/>
            </w:tcBorders>
            <w:shd w:val="clear" w:color="auto" w:fill="FDFDFC"/>
          </w:tcPr>
          <w:p>
            <w:pPr>
              <w:spacing w:after="0"/>
              <w:rPr>
                <w:sz w:val="12"/>
                <w:szCs w:val="12"/>
                <w:color w:val="auto"/>
              </w:rPr>
            </w:pPr>
          </w:p>
        </w:tc>
        <w:tc>
          <w:tcPr>
            <w:tcW w:w="120" w:type="dxa"/>
            <w:vAlign w:val="bottom"/>
            <w:tcBorders>
              <w:bottom w:val="single" w:sz="8" w:color="231F20"/>
            </w:tcBorders>
            <w:shd w:val="clear" w:color="auto" w:fill="FDFDFC"/>
          </w:tcPr>
          <w:p>
            <w:pPr>
              <w:spacing w:after="0"/>
              <w:rPr>
                <w:sz w:val="12"/>
                <w:szCs w:val="12"/>
                <w:color w:val="auto"/>
              </w:rPr>
            </w:pPr>
          </w:p>
        </w:tc>
        <w:tc>
          <w:tcPr>
            <w:tcW w:w="40" w:type="dxa"/>
            <w:vAlign w:val="bottom"/>
            <w:tcBorders>
              <w:bottom w:val="single" w:sz="8" w:color="231F20"/>
            </w:tcBorders>
            <w:shd w:val="clear" w:color="auto" w:fill="FDFDFC"/>
          </w:tcPr>
          <w:p>
            <w:pPr>
              <w:spacing w:after="0"/>
              <w:rPr>
                <w:sz w:val="12"/>
                <w:szCs w:val="12"/>
                <w:color w:val="auto"/>
              </w:rPr>
            </w:pPr>
          </w:p>
        </w:tc>
        <w:tc>
          <w:tcPr>
            <w:tcW w:w="60" w:type="dxa"/>
            <w:vAlign w:val="bottom"/>
            <w:tcBorders>
              <w:bottom w:val="single" w:sz="8" w:color="231F20"/>
            </w:tcBorders>
            <w:shd w:val="clear" w:color="auto" w:fill="FDFDFC"/>
          </w:tcPr>
          <w:p>
            <w:pPr>
              <w:spacing w:after="0"/>
              <w:rPr>
                <w:sz w:val="12"/>
                <w:szCs w:val="12"/>
                <w:color w:val="auto"/>
              </w:rPr>
            </w:pPr>
          </w:p>
        </w:tc>
        <w:tc>
          <w:tcPr>
            <w:tcW w:w="580" w:type="dxa"/>
            <w:vAlign w:val="bottom"/>
            <w:tcBorders>
              <w:bottom w:val="single" w:sz="8" w:color="231F20"/>
            </w:tcBorders>
            <w:shd w:val="clear" w:color="auto" w:fill="FDFDFC"/>
          </w:tcPr>
          <w:p>
            <w:pPr>
              <w:spacing w:after="0"/>
              <w:rPr>
                <w:sz w:val="12"/>
                <w:szCs w:val="12"/>
                <w:color w:val="auto"/>
              </w:rPr>
            </w:pPr>
          </w:p>
        </w:tc>
        <w:tc>
          <w:tcPr>
            <w:tcW w:w="0" w:type="dxa"/>
            <w:vAlign w:val="bottom"/>
            <w:tcBorders>
              <w:bottom w:val="single" w:sz="8" w:color="231F20"/>
            </w:tcBorders>
            <w:shd w:val="clear" w:color="auto" w:fill="FDFDFC"/>
          </w:tcPr>
          <w:p>
            <w:pPr>
              <w:spacing w:after="0"/>
              <w:rPr>
                <w:sz w:val="12"/>
                <w:szCs w:val="12"/>
                <w:color w:val="auto"/>
              </w:rPr>
            </w:pPr>
          </w:p>
        </w:tc>
        <w:tc>
          <w:tcPr>
            <w:tcW w:w="100" w:type="dxa"/>
            <w:vAlign w:val="bottom"/>
            <w:tcBorders>
              <w:bottom w:val="single" w:sz="8" w:color="231F20"/>
            </w:tcBorders>
            <w:shd w:val="clear" w:color="auto" w:fill="FDFDFC"/>
          </w:tcPr>
          <w:p>
            <w:pPr>
              <w:spacing w:after="0"/>
              <w:rPr>
                <w:sz w:val="12"/>
                <w:szCs w:val="12"/>
                <w:color w:val="auto"/>
              </w:rPr>
            </w:pPr>
          </w:p>
        </w:tc>
        <w:tc>
          <w:tcPr>
            <w:tcW w:w="40" w:type="dxa"/>
            <w:vAlign w:val="bottom"/>
            <w:tcBorders>
              <w:bottom w:val="single" w:sz="8" w:color="231F20"/>
            </w:tcBorders>
            <w:shd w:val="clear" w:color="auto" w:fill="FDFDFC"/>
          </w:tcPr>
          <w:p>
            <w:pPr>
              <w:spacing w:after="0"/>
              <w:rPr>
                <w:sz w:val="12"/>
                <w:szCs w:val="12"/>
                <w:color w:val="auto"/>
              </w:rPr>
            </w:pPr>
          </w:p>
        </w:tc>
        <w:tc>
          <w:tcPr>
            <w:tcW w:w="60" w:type="dxa"/>
            <w:vAlign w:val="bottom"/>
            <w:tcBorders>
              <w:bottom w:val="single" w:sz="8" w:color="231F20"/>
            </w:tcBorders>
            <w:shd w:val="clear" w:color="auto" w:fill="FDFDFC"/>
          </w:tcPr>
          <w:p>
            <w:pPr>
              <w:spacing w:after="0"/>
              <w:rPr>
                <w:sz w:val="12"/>
                <w:szCs w:val="12"/>
                <w:color w:val="auto"/>
              </w:rPr>
            </w:pPr>
          </w:p>
        </w:tc>
        <w:tc>
          <w:tcPr>
            <w:tcW w:w="580" w:type="dxa"/>
            <w:vAlign w:val="bottom"/>
            <w:tcBorders>
              <w:bottom w:val="single" w:sz="8" w:color="231F20"/>
            </w:tcBorders>
            <w:shd w:val="clear" w:color="auto" w:fill="FDFDFC"/>
          </w:tcPr>
          <w:p>
            <w:pPr>
              <w:spacing w:after="0"/>
              <w:rPr>
                <w:sz w:val="12"/>
                <w:szCs w:val="12"/>
                <w:color w:val="auto"/>
              </w:rPr>
            </w:pPr>
          </w:p>
        </w:tc>
        <w:tc>
          <w:tcPr>
            <w:tcW w:w="0" w:type="dxa"/>
            <w:vAlign w:val="bottom"/>
            <w:tcBorders>
              <w:bottom w:val="single" w:sz="8" w:color="231F20"/>
            </w:tcBorders>
            <w:shd w:val="clear" w:color="auto" w:fill="FDFDFC"/>
          </w:tcPr>
          <w:p>
            <w:pPr>
              <w:spacing w:after="0"/>
              <w:rPr>
                <w:sz w:val="12"/>
                <w:szCs w:val="12"/>
                <w:color w:val="auto"/>
              </w:rPr>
            </w:pPr>
          </w:p>
        </w:tc>
        <w:tc>
          <w:tcPr>
            <w:tcW w:w="100" w:type="dxa"/>
            <w:vAlign w:val="bottom"/>
            <w:tcBorders>
              <w:bottom w:val="single" w:sz="8" w:color="231F20"/>
            </w:tcBorders>
            <w:shd w:val="clear" w:color="auto" w:fill="FDFDFC"/>
          </w:tcPr>
          <w:p>
            <w:pPr>
              <w:spacing w:after="0"/>
              <w:rPr>
                <w:sz w:val="12"/>
                <w:szCs w:val="12"/>
                <w:color w:val="auto"/>
              </w:rPr>
            </w:pPr>
          </w:p>
        </w:tc>
        <w:tc>
          <w:tcPr>
            <w:tcW w:w="20" w:type="dxa"/>
            <w:vAlign w:val="bottom"/>
            <w:tcBorders>
              <w:bottom w:val="single" w:sz="8" w:color="231F20"/>
            </w:tcBorders>
            <w:shd w:val="clear" w:color="auto" w:fill="FDFDFC"/>
          </w:tcPr>
          <w:p>
            <w:pPr>
              <w:spacing w:after="0"/>
              <w:rPr>
                <w:sz w:val="12"/>
                <w:szCs w:val="12"/>
                <w:color w:val="auto"/>
              </w:rPr>
            </w:pPr>
          </w:p>
        </w:tc>
        <w:tc>
          <w:tcPr>
            <w:tcW w:w="60" w:type="dxa"/>
            <w:vAlign w:val="bottom"/>
            <w:tcBorders>
              <w:bottom w:val="single" w:sz="8" w:color="231F20"/>
            </w:tcBorders>
            <w:shd w:val="clear" w:color="auto" w:fill="FDFDFC"/>
          </w:tcPr>
          <w:p>
            <w:pPr>
              <w:spacing w:after="0"/>
              <w:rPr>
                <w:sz w:val="12"/>
                <w:szCs w:val="12"/>
                <w:color w:val="auto"/>
              </w:rPr>
            </w:pPr>
          </w:p>
        </w:tc>
        <w:tc>
          <w:tcPr>
            <w:tcW w:w="2900" w:type="dxa"/>
            <w:vAlign w:val="bottom"/>
            <w:tcBorders>
              <w:bottom w:val="single" w:sz="8" w:color="231F20"/>
            </w:tcBorders>
            <w:gridSpan w:val="18"/>
            <w:shd w:val="clear" w:color="auto" w:fill="FDFDFC"/>
          </w:tcPr>
          <w:p>
            <w:pPr>
              <w:jc w:val="right"/>
              <w:ind w:right="640"/>
              <w:spacing w:after="0"/>
              <w:rPr>
                <w:sz w:val="20"/>
                <w:szCs w:val="20"/>
                <w:color w:val="auto"/>
              </w:rPr>
            </w:pPr>
            <w:r>
              <w:rPr>
                <w:rFonts w:ascii="Times New Roman" w:cs="Times New Roman" w:eastAsia="Times New Roman" w:hAnsi="Times New Roman"/>
                <w:sz w:val="12"/>
                <w:szCs w:val="12"/>
                <w:b w:val="1"/>
                <w:bCs w:val="1"/>
                <w:color w:val="231F20"/>
              </w:rPr>
              <w:t>For the Years Ended December 31,</w:t>
            </w:r>
          </w:p>
        </w:tc>
        <w:tc>
          <w:tcPr>
            <w:tcW w:w="20" w:type="dxa"/>
            <w:vAlign w:val="bottom"/>
            <w:tcBorders>
              <w:bottom w:val="single" w:sz="8" w:color="231F20"/>
            </w:tcBorders>
            <w:shd w:val="clear" w:color="auto" w:fill="FDFDFC"/>
          </w:tcPr>
          <w:p>
            <w:pPr>
              <w:spacing w:after="0"/>
              <w:rPr>
                <w:sz w:val="12"/>
                <w:szCs w:val="12"/>
                <w:color w:val="auto"/>
              </w:rPr>
            </w:pPr>
          </w:p>
        </w:tc>
        <w:tc>
          <w:tcPr>
            <w:tcW w:w="60" w:type="dxa"/>
            <w:vAlign w:val="bottom"/>
            <w:tcBorders>
              <w:bottom w:val="single" w:sz="8" w:color="231F20"/>
            </w:tcBorders>
            <w:shd w:val="clear" w:color="auto" w:fill="FDFDFC"/>
          </w:tcPr>
          <w:p>
            <w:pPr>
              <w:spacing w:after="0"/>
              <w:rPr>
                <w:sz w:val="12"/>
                <w:szCs w:val="12"/>
                <w:color w:val="auto"/>
              </w:rPr>
            </w:pPr>
          </w:p>
        </w:tc>
        <w:tc>
          <w:tcPr>
            <w:tcW w:w="580" w:type="dxa"/>
            <w:vAlign w:val="bottom"/>
            <w:tcBorders>
              <w:bottom w:val="single" w:sz="8" w:color="231F20"/>
            </w:tcBorders>
            <w:shd w:val="clear" w:color="auto" w:fill="FDFDFC"/>
          </w:tcPr>
          <w:p>
            <w:pPr>
              <w:spacing w:after="0"/>
              <w:rPr>
                <w:sz w:val="12"/>
                <w:szCs w:val="12"/>
                <w:color w:val="auto"/>
              </w:rPr>
            </w:pPr>
          </w:p>
        </w:tc>
        <w:tc>
          <w:tcPr>
            <w:tcW w:w="0" w:type="dxa"/>
            <w:vAlign w:val="bottom"/>
            <w:tcBorders>
              <w:bottom w:val="single" w:sz="8" w:color="231F20"/>
            </w:tcBorders>
            <w:shd w:val="clear" w:color="auto" w:fill="FDFDFC"/>
          </w:tcPr>
          <w:p>
            <w:pPr>
              <w:spacing w:after="0"/>
              <w:rPr>
                <w:sz w:val="12"/>
                <w:szCs w:val="12"/>
                <w:color w:val="auto"/>
              </w:rPr>
            </w:pPr>
          </w:p>
        </w:tc>
        <w:tc>
          <w:tcPr>
            <w:tcW w:w="100" w:type="dxa"/>
            <w:vAlign w:val="bottom"/>
            <w:tcBorders>
              <w:bottom w:val="single" w:sz="8" w:color="231F20"/>
            </w:tcBorders>
            <w:shd w:val="clear" w:color="auto" w:fill="FDFDFC"/>
          </w:tcPr>
          <w:p>
            <w:pPr>
              <w:spacing w:after="0"/>
              <w:rPr>
                <w:sz w:val="12"/>
                <w:szCs w:val="12"/>
                <w:color w:val="auto"/>
              </w:rPr>
            </w:pPr>
          </w:p>
        </w:tc>
        <w:tc>
          <w:tcPr>
            <w:tcW w:w="80" w:type="dxa"/>
            <w:vAlign w:val="bottom"/>
            <w:tcBorders>
              <w:bottom w:val="single" w:sz="8" w:color="231F20"/>
            </w:tcBorders>
            <w:shd w:val="clear" w:color="auto" w:fill="FDFDFC"/>
          </w:tcPr>
          <w:p>
            <w:pPr>
              <w:spacing w:after="0"/>
              <w:rPr>
                <w:sz w:val="12"/>
                <w:szCs w:val="12"/>
                <w:color w:val="auto"/>
              </w:rPr>
            </w:pPr>
          </w:p>
        </w:tc>
        <w:tc>
          <w:tcPr>
            <w:tcW w:w="560" w:type="dxa"/>
            <w:vAlign w:val="bottom"/>
            <w:tcBorders>
              <w:bottom w:val="single" w:sz="8" w:color="231F20"/>
            </w:tcBorders>
            <w:shd w:val="clear" w:color="auto" w:fill="FDFDFC"/>
          </w:tcPr>
          <w:p>
            <w:pPr>
              <w:spacing w:after="0"/>
              <w:rPr>
                <w:sz w:val="12"/>
                <w:szCs w:val="12"/>
                <w:color w:val="auto"/>
              </w:rPr>
            </w:pPr>
          </w:p>
        </w:tc>
        <w:tc>
          <w:tcPr>
            <w:tcW w:w="0" w:type="dxa"/>
            <w:vAlign w:val="bottom"/>
            <w:tcBorders>
              <w:bottom w:val="single" w:sz="8" w:color="231F20"/>
            </w:tcBorders>
            <w:shd w:val="clear" w:color="auto" w:fill="FDFDFC"/>
          </w:tcPr>
          <w:p>
            <w:pPr>
              <w:spacing w:after="0"/>
              <w:rPr>
                <w:sz w:val="12"/>
                <w:szCs w:val="12"/>
                <w:color w:val="auto"/>
              </w:rPr>
            </w:pPr>
          </w:p>
        </w:tc>
        <w:tc>
          <w:tcPr>
            <w:tcW w:w="100" w:type="dxa"/>
            <w:vAlign w:val="bottom"/>
            <w:tcBorders>
              <w:bottom w:val="single" w:sz="8" w:color="231F20"/>
            </w:tcBorders>
            <w:shd w:val="clear" w:color="auto" w:fill="FDFDFC"/>
          </w:tcPr>
          <w:p>
            <w:pPr>
              <w:spacing w:after="0"/>
              <w:rPr>
                <w:sz w:val="12"/>
                <w:szCs w:val="12"/>
                <w:color w:val="auto"/>
              </w:rPr>
            </w:pPr>
          </w:p>
        </w:tc>
        <w:tc>
          <w:tcPr>
            <w:tcW w:w="20" w:type="dxa"/>
            <w:vAlign w:val="bottom"/>
            <w:tcBorders>
              <w:bottom w:val="single" w:sz="8" w:color="231F20"/>
            </w:tcBorders>
            <w:shd w:val="clear" w:color="auto" w:fill="FDFDFC"/>
          </w:tcPr>
          <w:p>
            <w:pPr>
              <w:spacing w:after="0"/>
              <w:rPr>
                <w:sz w:val="12"/>
                <w:szCs w:val="12"/>
                <w:color w:val="auto"/>
              </w:rPr>
            </w:pPr>
          </w:p>
        </w:tc>
        <w:tc>
          <w:tcPr>
            <w:tcW w:w="80" w:type="dxa"/>
            <w:vAlign w:val="bottom"/>
            <w:tcBorders>
              <w:bottom w:val="single" w:sz="8" w:color="231F20"/>
            </w:tcBorders>
            <w:shd w:val="clear" w:color="auto" w:fill="FDFDFC"/>
          </w:tcPr>
          <w:p>
            <w:pPr>
              <w:spacing w:after="0"/>
              <w:rPr>
                <w:sz w:val="12"/>
                <w:szCs w:val="12"/>
                <w:color w:val="auto"/>
              </w:rPr>
            </w:pPr>
          </w:p>
        </w:tc>
        <w:tc>
          <w:tcPr>
            <w:tcW w:w="560" w:type="dxa"/>
            <w:vAlign w:val="bottom"/>
            <w:tcBorders>
              <w:bottom w:val="single" w:sz="8" w:color="231F20"/>
            </w:tcBorders>
            <w:shd w:val="clear" w:color="auto" w:fill="FDFDFC"/>
          </w:tcPr>
          <w:p>
            <w:pPr>
              <w:spacing w:after="0"/>
              <w:rPr>
                <w:sz w:val="12"/>
                <w:szCs w:val="12"/>
                <w:color w:val="auto"/>
              </w:rPr>
            </w:pPr>
          </w:p>
        </w:tc>
        <w:tc>
          <w:tcPr>
            <w:tcW w:w="20" w:type="dxa"/>
            <w:vAlign w:val="bottom"/>
            <w:tcBorders>
              <w:bottom w:val="single" w:sz="8" w:color="231F20"/>
            </w:tcBorders>
            <w:shd w:val="clear" w:color="auto" w:fill="FDFDFC"/>
          </w:tcPr>
          <w:p>
            <w:pPr>
              <w:spacing w:after="0"/>
              <w:rPr>
                <w:sz w:val="12"/>
                <w:szCs w:val="12"/>
                <w:color w:val="auto"/>
              </w:rPr>
            </w:pPr>
          </w:p>
        </w:tc>
        <w:tc>
          <w:tcPr>
            <w:tcW w:w="20" w:type="dxa"/>
            <w:vAlign w:val="bottom"/>
            <w:tcBorders>
              <w:bottom w:val="single" w:sz="8" w:color="231F20"/>
            </w:tcBorders>
            <w:shd w:val="clear" w:color="auto" w:fill="FDFDFC"/>
          </w:tcPr>
          <w:p>
            <w:pPr>
              <w:spacing w:after="0"/>
              <w:rPr>
                <w:sz w:val="12"/>
                <w:szCs w:val="12"/>
                <w:color w:val="auto"/>
              </w:rPr>
            </w:pPr>
          </w:p>
        </w:tc>
        <w:tc>
          <w:tcPr>
            <w:tcW w:w="60" w:type="dxa"/>
            <w:vAlign w:val="bottom"/>
            <w:tcBorders>
              <w:bottom w:val="single" w:sz="8" w:color="FDFDFC"/>
            </w:tcBorders>
            <w:shd w:val="clear" w:color="auto" w:fill="FDFDFC"/>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2660" w:type="dxa"/>
            <w:vAlign w:val="bottom"/>
            <w:tcBorders>
              <w:bottom w:val="single" w:sz="8" w:color="D0EBF2"/>
            </w:tcBorders>
            <w:shd w:val="clear" w:color="auto" w:fill="FDFDFC"/>
          </w:tcPr>
          <w:p>
            <w:pPr>
              <w:spacing w:after="0"/>
              <w:rPr>
                <w:sz w:val="12"/>
                <w:szCs w:val="12"/>
                <w:color w:val="auto"/>
              </w:rPr>
            </w:pPr>
          </w:p>
        </w:tc>
        <w:tc>
          <w:tcPr>
            <w:tcW w:w="20" w:type="dxa"/>
            <w:vAlign w:val="bottom"/>
            <w:tcBorders>
              <w:bottom w:val="single" w:sz="8" w:color="D0EBF2"/>
            </w:tcBorders>
            <w:shd w:val="clear" w:color="auto" w:fill="FDFDFC"/>
          </w:tcPr>
          <w:p>
            <w:pPr>
              <w:spacing w:after="0"/>
              <w:rPr>
                <w:sz w:val="12"/>
                <w:szCs w:val="12"/>
                <w:color w:val="auto"/>
              </w:rPr>
            </w:pPr>
          </w:p>
        </w:tc>
        <w:tc>
          <w:tcPr>
            <w:tcW w:w="20" w:type="dxa"/>
            <w:vAlign w:val="bottom"/>
            <w:tcBorders>
              <w:bottom w:val="single" w:sz="8" w:color="D0EBF2"/>
            </w:tcBorders>
            <w:shd w:val="clear" w:color="auto" w:fill="FDFDFC"/>
          </w:tcPr>
          <w:p>
            <w:pPr>
              <w:spacing w:after="0"/>
              <w:rPr>
                <w:sz w:val="12"/>
                <w:szCs w:val="12"/>
                <w:color w:val="auto"/>
              </w:rPr>
            </w:pPr>
          </w:p>
        </w:tc>
        <w:tc>
          <w:tcPr>
            <w:tcW w:w="20" w:type="dxa"/>
            <w:vAlign w:val="bottom"/>
            <w:tcBorders>
              <w:bottom w:val="single" w:sz="8" w:color="D0EBF2"/>
            </w:tcBorders>
            <w:shd w:val="clear" w:color="auto" w:fill="FDFDFC"/>
          </w:tcPr>
          <w:p>
            <w:pPr>
              <w:spacing w:after="0"/>
              <w:rPr>
                <w:sz w:val="12"/>
                <w:szCs w:val="12"/>
                <w:color w:val="auto"/>
              </w:rPr>
            </w:pPr>
          </w:p>
        </w:tc>
        <w:tc>
          <w:tcPr>
            <w:tcW w:w="0" w:type="dxa"/>
            <w:vAlign w:val="bottom"/>
            <w:tcBorders>
              <w:bottom w:val="single" w:sz="8" w:color="231F20"/>
            </w:tcBorders>
            <w:shd w:val="clear" w:color="auto" w:fill="FDFDFC"/>
          </w:tcPr>
          <w:p>
            <w:pPr>
              <w:spacing w:after="0"/>
              <w:rPr>
                <w:sz w:val="12"/>
                <w:szCs w:val="12"/>
                <w:color w:val="auto"/>
              </w:rPr>
            </w:pPr>
          </w:p>
        </w:tc>
        <w:tc>
          <w:tcPr>
            <w:tcW w:w="560" w:type="dxa"/>
            <w:vAlign w:val="bottom"/>
            <w:tcBorders>
              <w:bottom w:val="single" w:sz="8" w:color="231F20"/>
            </w:tcBorders>
            <w:shd w:val="clear" w:color="auto" w:fill="FDFDFC"/>
          </w:tcPr>
          <w:p>
            <w:pPr>
              <w:jc w:val="right"/>
              <w:ind w:right="119"/>
              <w:spacing w:after="0"/>
              <w:rPr>
                <w:sz w:val="20"/>
                <w:szCs w:val="20"/>
                <w:color w:val="auto"/>
              </w:rPr>
            </w:pPr>
            <w:r>
              <w:rPr>
                <w:rFonts w:ascii="Times New Roman" w:cs="Times New Roman" w:eastAsia="Times New Roman" w:hAnsi="Times New Roman"/>
                <w:sz w:val="12"/>
                <w:szCs w:val="12"/>
                <w:b w:val="1"/>
                <w:bCs w:val="1"/>
                <w:color w:val="231F20"/>
              </w:rPr>
              <w:t>2024</w:t>
            </w:r>
          </w:p>
        </w:tc>
        <w:tc>
          <w:tcPr>
            <w:tcW w:w="120" w:type="dxa"/>
            <w:vAlign w:val="bottom"/>
            <w:tcBorders>
              <w:bottom w:val="single" w:sz="8" w:color="D0EBF2"/>
            </w:tcBorders>
            <w:shd w:val="clear" w:color="auto" w:fill="FDFDFC"/>
          </w:tcPr>
          <w:p>
            <w:pPr>
              <w:spacing w:after="0"/>
              <w:rPr>
                <w:sz w:val="12"/>
                <w:szCs w:val="12"/>
                <w:color w:val="auto"/>
              </w:rPr>
            </w:pPr>
          </w:p>
        </w:tc>
        <w:tc>
          <w:tcPr>
            <w:tcW w:w="40" w:type="dxa"/>
            <w:vAlign w:val="bottom"/>
            <w:tcBorders>
              <w:bottom w:val="single" w:sz="8" w:color="D0EBF2"/>
            </w:tcBorders>
            <w:shd w:val="clear" w:color="auto" w:fill="FDFDFC"/>
          </w:tcPr>
          <w:p>
            <w:pPr>
              <w:spacing w:after="0"/>
              <w:rPr>
                <w:sz w:val="12"/>
                <w:szCs w:val="12"/>
                <w:color w:val="auto"/>
              </w:rPr>
            </w:pPr>
          </w:p>
        </w:tc>
        <w:tc>
          <w:tcPr>
            <w:tcW w:w="60" w:type="dxa"/>
            <w:vAlign w:val="bottom"/>
            <w:tcBorders>
              <w:bottom w:val="single" w:sz="8" w:color="231F20"/>
            </w:tcBorders>
            <w:shd w:val="clear" w:color="auto" w:fill="FDFDFC"/>
          </w:tcPr>
          <w:p>
            <w:pPr>
              <w:spacing w:after="0"/>
              <w:rPr>
                <w:sz w:val="12"/>
                <w:szCs w:val="12"/>
                <w:color w:val="auto"/>
              </w:rPr>
            </w:pPr>
          </w:p>
        </w:tc>
        <w:tc>
          <w:tcPr>
            <w:tcW w:w="580" w:type="dxa"/>
            <w:vAlign w:val="bottom"/>
            <w:tcBorders>
              <w:bottom w:val="single" w:sz="8" w:color="231F20"/>
            </w:tcBorders>
            <w:shd w:val="clear" w:color="auto" w:fill="FDFDFC"/>
          </w:tcPr>
          <w:p>
            <w:pPr>
              <w:jc w:val="right"/>
              <w:ind w:right="139"/>
              <w:spacing w:after="0"/>
              <w:rPr>
                <w:sz w:val="20"/>
                <w:szCs w:val="20"/>
                <w:color w:val="auto"/>
              </w:rPr>
            </w:pPr>
            <w:r>
              <w:rPr>
                <w:rFonts w:ascii="Times New Roman" w:cs="Times New Roman" w:eastAsia="Times New Roman" w:hAnsi="Times New Roman"/>
                <w:sz w:val="12"/>
                <w:szCs w:val="12"/>
                <w:b w:val="1"/>
                <w:bCs w:val="1"/>
                <w:color w:val="231F20"/>
              </w:rPr>
              <w:t>2023</w:t>
            </w:r>
          </w:p>
        </w:tc>
        <w:tc>
          <w:tcPr>
            <w:tcW w:w="0" w:type="dxa"/>
            <w:vAlign w:val="bottom"/>
            <w:tcBorders>
              <w:bottom w:val="single" w:sz="8" w:color="231F20"/>
            </w:tcBorders>
            <w:shd w:val="clear" w:color="auto" w:fill="FDFDFC"/>
          </w:tcPr>
          <w:p>
            <w:pPr>
              <w:spacing w:after="0"/>
              <w:rPr>
                <w:sz w:val="12"/>
                <w:szCs w:val="12"/>
                <w:color w:val="auto"/>
              </w:rPr>
            </w:pPr>
          </w:p>
        </w:tc>
        <w:tc>
          <w:tcPr>
            <w:tcW w:w="100" w:type="dxa"/>
            <w:vAlign w:val="bottom"/>
            <w:tcBorders>
              <w:bottom w:val="single" w:sz="8" w:color="D0EBF2"/>
            </w:tcBorders>
            <w:shd w:val="clear" w:color="auto" w:fill="FDFDFC"/>
          </w:tcPr>
          <w:p>
            <w:pPr>
              <w:spacing w:after="0"/>
              <w:rPr>
                <w:sz w:val="12"/>
                <w:szCs w:val="12"/>
                <w:color w:val="auto"/>
              </w:rPr>
            </w:pPr>
          </w:p>
        </w:tc>
        <w:tc>
          <w:tcPr>
            <w:tcW w:w="40" w:type="dxa"/>
            <w:vAlign w:val="bottom"/>
            <w:tcBorders>
              <w:bottom w:val="single" w:sz="8" w:color="D0EBF2"/>
            </w:tcBorders>
            <w:shd w:val="clear" w:color="auto" w:fill="FDFDFC"/>
          </w:tcPr>
          <w:p>
            <w:pPr>
              <w:spacing w:after="0"/>
              <w:rPr>
                <w:sz w:val="12"/>
                <w:szCs w:val="12"/>
                <w:color w:val="auto"/>
              </w:rPr>
            </w:pPr>
          </w:p>
        </w:tc>
        <w:tc>
          <w:tcPr>
            <w:tcW w:w="60" w:type="dxa"/>
            <w:vAlign w:val="bottom"/>
            <w:tcBorders>
              <w:bottom w:val="single" w:sz="8" w:color="231F20"/>
            </w:tcBorders>
            <w:shd w:val="clear" w:color="auto" w:fill="FDFDFC"/>
          </w:tcPr>
          <w:p>
            <w:pPr>
              <w:spacing w:after="0"/>
              <w:rPr>
                <w:sz w:val="12"/>
                <w:szCs w:val="12"/>
                <w:color w:val="auto"/>
              </w:rPr>
            </w:pPr>
          </w:p>
        </w:tc>
        <w:tc>
          <w:tcPr>
            <w:tcW w:w="580" w:type="dxa"/>
            <w:vAlign w:val="bottom"/>
            <w:tcBorders>
              <w:bottom w:val="single" w:sz="8" w:color="231F20"/>
            </w:tcBorders>
            <w:shd w:val="clear" w:color="auto" w:fill="FDFDFC"/>
          </w:tcPr>
          <w:p>
            <w:pPr>
              <w:jc w:val="right"/>
              <w:ind w:right="139"/>
              <w:spacing w:after="0"/>
              <w:rPr>
                <w:sz w:val="20"/>
                <w:szCs w:val="20"/>
                <w:color w:val="auto"/>
              </w:rPr>
            </w:pPr>
            <w:r>
              <w:rPr>
                <w:rFonts w:ascii="Times New Roman" w:cs="Times New Roman" w:eastAsia="Times New Roman" w:hAnsi="Times New Roman"/>
                <w:sz w:val="12"/>
                <w:szCs w:val="12"/>
                <w:b w:val="1"/>
                <w:bCs w:val="1"/>
                <w:color w:val="231F20"/>
              </w:rPr>
              <w:t>2022</w:t>
            </w:r>
          </w:p>
        </w:tc>
        <w:tc>
          <w:tcPr>
            <w:tcW w:w="0" w:type="dxa"/>
            <w:vAlign w:val="bottom"/>
            <w:tcBorders>
              <w:bottom w:val="single" w:sz="8" w:color="231F20"/>
            </w:tcBorders>
            <w:shd w:val="clear" w:color="auto" w:fill="FDFDFC"/>
          </w:tcPr>
          <w:p>
            <w:pPr>
              <w:spacing w:after="0"/>
              <w:rPr>
                <w:sz w:val="12"/>
                <w:szCs w:val="12"/>
                <w:color w:val="auto"/>
              </w:rPr>
            </w:pPr>
          </w:p>
        </w:tc>
        <w:tc>
          <w:tcPr>
            <w:tcW w:w="100" w:type="dxa"/>
            <w:vAlign w:val="bottom"/>
            <w:tcBorders>
              <w:bottom w:val="single" w:sz="8" w:color="D0EBF2"/>
            </w:tcBorders>
            <w:shd w:val="clear" w:color="auto" w:fill="FDFDFC"/>
          </w:tcPr>
          <w:p>
            <w:pPr>
              <w:spacing w:after="0"/>
              <w:rPr>
                <w:sz w:val="12"/>
                <w:szCs w:val="12"/>
                <w:color w:val="auto"/>
              </w:rPr>
            </w:pPr>
          </w:p>
        </w:tc>
        <w:tc>
          <w:tcPr>
            <w:tcW w:w="20" w:type="dxa"/>
            <w:vAlign w:val="bottom"/>
            <w:tcBorders>
              <w:bottom w:val="single" w:sz="8" w:color="231F20"/>
            </w:tcBorders>
            <w:shd w:val="clear" w:color="auto" w:fill="FDFDFC"/>
          </w:tcPr>
          <w:p>
            <w:pPr>
              <w:spacing w:after="0"/>
              <w:rPr>
                <w:sz w:val="12"/>
                <w:szCs w:val="12"/>
                <w:color w:val="auto"/>
              </w:rPr>
            </w:pPr>
          </w:p>
        </w:tc>
        <w:tc>
          <w:tcPr>
            <w:tcW w:w="60" w:type="dxa"/>
            <w:vAlign w:val="bottom"/>
            <w:tcBorders>
              <w:bottom w:val="single" w:sz="8" w:color="231F20"/>
            </w:tcBorders>
            <w:shd w:val="clear" w:color="auto" w:fill="FDFDFC"/>
          </w:tcPr>
          <w:p>
            <w:pPr>
              <w:spacing w:after="0"/>
              <w:rPr>
                <w:sz w:val="12"/>
                <w:szCs w:val="12"/>
                <w:color w:val="auto"/>
              </w:rPr>
            </w:pPr>
          </w:p>
        </w:tc>
        <w:tc>
          <w:tcPr>
            <w:tcW w:w="580" w:type="dxa"/>
            <w:vAlign w:val="bottom"/>
            <w:tcBorders>
              <w:bottom w:val="single" w:sz="8" w:color="231F20"/>
            </w:tcBorders>
            <w:shd w:val="clear" w:color="auto" w:fill="FDFDFC"/>
          </w:tcPr>
          <w:p>
            <w:pPr>
              <w:jc w:val="right"/>
              <w:ind w:right="139"/>
              <w:spacing w:after="0"/>
              <w:rPr>
                <w:sz w:val="20"/>
                <w:szCs w:val="20"/>
                <w:color w:val="auto"/>
              </w:rPr>
            </w:pPr>
            <w:r>
              <w:rPr>
                <w:rFonts w:ascii="Times New Roman" w:cs="Times New Roman" w:eastAsia="Times New Roman" w:hAnsi="Times New Roman"/>
                <w:sz w:val="12"/>
                <w:szCs w:val="12"/>
                <w:b w:val="1"/>
                <w:bCs w:val="1"/>
                <w:color w:val="231F20"/>
              </w:rPr>
              <w:t>2021</w:t>
            </w:r>
          </w:p>
        </w:tc>
        <w:tc>
          <w:tcPr>
            <w:tcW w:w="20" w:type="dxa"/>
            <w:vAlign w:val="bottom"/>
            <w:tcBorders>
              <w:bottom w:val="single" w:sz="8" w:color="231F20"/>
            </w:tcBorders>
            <w:shd w:val="clear" w:color="auto" w:fill="FDFDFC"/>
          </w:tcPr>
          <w:p>
            <w:pPr>
              <w:spacing w:after="0"/>
              <w:rPr>
                <w:sz w:val="12"/>
                <w:szCs w:val="12"/>
                <w:color w:val="auto"/>
              </w:rPr>
            </w:pPr>
          </w:p>
        </w:tc>
        <w:tc>
          <w:tcPr>
            <w:tcW w:w="20" w:type="dxa"/>
            <w:vAlign w:val="bottom"/>
            <w:tcBorders>
              <w:bottom w:val="single" w:sz="8" w:color="231F20"/>
            </w:tcBorders>
            <w:shd w:val="clear" w:color="auto" w:fill="FDFDFC"/>
          </w:tcPr>
          <w:p>
            <w:pPr>
              <w:spacing w:after="0"/>
              <w:rPr>
                <w:sz w:val="12"/>
                <w:szCs w:val="12"/>
                <w:color w:val="auto"/>
              </w:rPr>
            </w:pPr>
          </w:p>
        </w:tc>
        <w:tc>
          <w:tcPr>
            <w:tcW w:w="60" w:type="dxa"/>
            <w:vAlign w:val="bottom"/>
            <w:tcBorders>
              <w:bottom w:val="single" w:sz="8" w:color="D0EBF2"/>
            </w:tcBorders>
            <w:shd w:val="clear" w:color="auto" w:fill="FDFDFC"/>
          </w:tcPr>
          <w:p>
            <w:pPr>
              <w:spacing w:after="0"/>
              <w:rPr>
                <w:sz w:val="12"/>
                <w:szCs w:val="12"/>
                <w:color w:val="auto"/>
              </w:rPr>
            </w:pPr>
          </w:p>
        </w:tc>
        <w:tc>
          <w:tcPr>
            <w:tcW w:w="80" w:type="dxa"/>
            <w:vAlign w:val="bottom"/>
            <w:tcBorders>
              <w:bottom w:val="single" w:sz="8" w:color="231F20"/>
            </w:tcBorders>
            <w:shd w:val="clear" w:color="auto" w:fill="FDFDFC"/>
          </w:tcPr>
          <w:p>
            <w:pPr>
              <w:spacing w:after="0"/>
              <w:rPr>
                <w:sz w:val="12"/>
                <w:szCs w:val="12"/>
                <w:color w:val="auto"/>
              </w:rPr>
            </w:pPr>
          </w:p>
        </w:tc>
        <w:tc>
          <w:tcPr>
            <w:tcW w:w="560" w:type="dxa"/>
            <w:vAlign w:val="bottom"/>
            <w:tcBorders>
              <w:bottom w:val="single" w:sz="8" w:color="231F20"/>
            </w:tcBorders>
            <w:shd w:val="clear" w:color="auto" w:fill="FDFDFC"/>
          </w:tcPr>
          <w:p>
            <w:pPr>
              <w:jc w:val="right"/>
              <w:ind w:right="139"/>
              <w:spacing w:after="0"/>
              <w:rPr>
                <w:sz w:val="20"/>
                <w:szCs w:val="20"/>
                <w:color w:val="auto"/>
              </w:rPr>
            </w:pPr>
            <w:r>
              <w:rPr>
                <w:rFonts w:ascii="Times New Roman" w:cs="Times New Roman" w:eastAsia="Times New Roman" w:hAnsi="Times New Roman"/>
                <w:sz w:val="12"/>
                <w:szCs w:val="12"/>
                <w:b w:val="1"/>
                <w:bCs w:val="1"/>
                <w:color w:val="231F20"/>
              </w:rPr>
              <w:t>2020</w:t>
            </w:r>
          </w:p>
        </w:tc>
        <w:tc>
          <w:tcPr>
            <w:tcW w:w="0" w:type="dxa"/>
            <w:vAlign w:val="bottom"/>
            <w:tcBorders>
              <w:bottom w:val="single" w:sz="8" w:color="231F20"/>
            </w:tcBorders>
            <w:shd w:val="clear" w:color="auto" w:fill="FDFDFC"/>
          </w:tcPr>
          <w:p>
            <w:pPr>
              <w:spacing w:after="0"/>
              <w:rPr>
                <w:sz w:val="12"/>
                <w:szCs w:val="12"/>
                <w:color w:val="auto"/>
              </w:rPr>
            </w:pPr>
          </w:p>
        </w:tc>
        <w:tc>
          <w:tcPr>
            <w:tcW w:w="100" w:type="dxa"/>
            <w:vAlign w:val="bottom"/>
            <w:tcBorders>
              <w:bottom w:val="single" w:sz="8" w:color="D0EBF2"/>
            </w:tcBorders>
            <w:shd w:val="clear" w:color="auto" w:fill="FDFDFC"/>
          </w:tcPr>
          <w:p>
            <w:pPr>
              <w:spacing w:after="0"/>
              <w:rPr>
                <w:sz w:val="12"/>
                <w:szCs w:val="12"/>
                <w:color w:val="auto"/>
              </w:rPr>
            </w:pPr>
          </w:p>
        </w:tc>
        <w:tc>
          <w:tcPr>
            <w:tcW w:w="20" w:type="dxa"/>
            <w:vAlign w:val="bottom"/>
            <w:tcBorders>
              <w:bottom w:val="single" w:sz="8" w:color="D0EBF2"/>
            </w:tcBorders>
            <w:shd w:val="clear" w:color="auto" w:fill="FDFDFC"/>
          </w:tcPr>
          <w:p>
            <w:pPr>
              <w:spacing w:after="0"/>
              <w:rPr>
                <w:sz w:val="12"/>
                <w:szCs w:val="12"/>
                <w:color w:val="auto"/>
              </w:rPr>
            </w:pPr>
          </w:p>
        </w:tc>
        <w:tc>
          <w:tcPr>
            <w:tcW w:w="60" w:type="dxa"/>
            <w:vAlign w:val="bottom"/>
            <w:tcBorders>
              <w:bottom w:val="single" w:sz="8" w:color="231F20"/>
            </w:tcBorders>
            <w:shd w:val="clear" w:color="auto" w:fill="FDFDFC"/>
          </w:tcPr>
          <w:p>
            <w:pPr>
              <w:spacing w:after="0"/>
              <w:rPr>
                <w:sz w:val="12"/>
                <w:szCs w:val="12"/>
                <w:color w:val="auto"/>
              </w:rPr>
            </w:pPr>
          </w:p>
        </w:tc>
        <w:tc>
          <w:tcPr>
            <w:tcW w:w="560" w:type="dxa"/>
            <w:vAlign w:val="bottom"/>
            <w:tcBorders>
              <w:bottom w:val="single" w:sz="8" w:color="231F20"/>
            </w:tcBorders>
            <w:shd w:val="clear" w:color="auto" w:fill="FDFDFC"/>
          </w:tcPr>
          <w:p>
            <w:pPr>
              <w:jc w:val="right"/>
              <w:ind w:right="139"/>
              <w:spacing w:after="0"/>
              <w:rPr>
                <w:sz w:val="20"/>
                <w:szCs w:val="20"/>
                <w:color w:val="auto"/>
              </w:rPr>
            </w:pPr>
            <w:r>
              <w:rPr>
                <w:rFonts w:ascii="Times New Roman" w:cs="Times New Roman" w:eastAsia="Times New Roman" w:hAnsi="Times New Roman"/>
                <w:sz w:val="12"/>
                <w:szCs w:val="12"/>
                <w:b w:val="1"/>
                <w:bCs w:val="1"/>
                <w:color w:val="231F20"/>
              </w:rPr>
              <w:t>2019</w:t>
            </w:r>
          </w:p>
        </w:tc>
        <w:tc>
          <w:tcPr>
            <w:tcW w:w="0" w:type="dxa"/>
            <w:vAlign w:val="bottom"/>
            <w:tcBorders>
              <w:bottom w:val="single" w:sz="8" w:color="231F20"/>
            </w:tcBorders>
            <w:shd w:val="clear" w:color="auto" w:fill="FDFDFC"/>
          </w:tcPr>
          <w:p>
            <w:pPr>
              <w:spacing w:after="0"/>
              <w:rPr>
                <w:sz w:val="12"/>
                <w:szCs w:val="12"/>
                <w:color w:val="auto"/>
              </w:rPr>
            </w:pPr>
          </w:p>
        </w:tc>
        <w:tc>
          <w:tcPr>
            <w:tcW w:w="100" w:type="dxa"/>
            <w:vAlign w:val="bottom"/>
            <w:tcBorders>
              <w:bottom w:val="single" w:sz="8" w:color="D0EBF2"/>
            </w:tcBorders>
            <w:shd w:val="clear" w:color="auto" w:fill="FDFDFC"/>
          </w:tcPr>
          <w:p>
            <w:pPr>
              <w:spacing w:after="0"/>
              <w:rPr>
                <w:sz w:val="12"/>
                <w:szCs w:val="12"/>
                <w:color w:val="auto"/>
              </w:rPr>
            </w:pPr>
          </w:p>
        </w:tc>
        <w:tc>
          <w:tcPr>
            <w:tcW w:w="20" w:type="dxa"/>
            <w:vAlign w:val="bottom"/>
            <w:tcBorders>
              <w:bottom w:val="single" w:sz="8" w:color="D0EBF2"/>
            </w:tcBorders>
            <w:shd w:val="clear" w:color="auto" w:fill="FDFDFC"/>
          </w:tcPr>
          <w:p>
            <w:pPr>
              <w:spacing w:after="0"/>
              <w:rPr>
                <w:sz w:val="12"/>
                <w:szCs w:val="12"/>
                <w:color w:val="auto"/>
              </w:rPr>
            </w:pPr>
          </w:p>
        </w:tc>
        <w:tc>
          <w:tcPr>
            <w:tcW w:w="60" w:type="dxa"/>
            <w:vAlign w:val="bottom"/>
            <w:tcBorders>
              <w:bottom w:val="single" w:sz="8" w:color="231F20"/>
            </w:tcBorders>
            <w:shd w:val="clear" w:color="auto" w:fill="FDFDFC"/>
          </w:tcPr>
          <w:p>
            <w:pPr>
              <w:spacing w:after="0"/>
              <w:rPr>
                <w:sz w:val="12"/>
                <w:szCs w:val="12"/>
                <w:color w:val="auto"/>
              </w:rPr>
            </w:pPr>
          </w:p>
        </w:tc>
        <w:tc>
          <w:tcPr>
            <w:tcW w:w="560" w:type="dxa"/>
            <w:vAlign w:val="bottom"/>
            <w:tcBorders>
              <w:bottom w:val="single" w:sz="8" w:color="231F20"/>
            </w:tcBorders>
            <w:shd w:val="clear" w:color="auto" w:fill="FDFDFC"/>
          </w:tcPr>
          <w:p>
            <w:pPr>
              <w:jc w:val="right"/>
              <w:ind w:right="139"/>
              <w:spacing w:after="0"/>
              <w:rPr>
                <w:sz w:val="20"/>
                <w:szCs w:val="20"/>
                <w:color w:val="auto"/>
              </w:rPr>
            </w:pPr>
            <w:r>
              <w:rPr>
                <w:rFonts w:ascii="Times New Roman" w:cs="Times New Roman" w:eastAsia="Times New Roman" w:hAnsi="Times New Roman"/>
                <w:sz w:val="12"/>
                <w:szCs w:val="12"/>
                <w:b w:val="1"/>
                <w:bCs w:val="1"/>
                <w:color w:val="231F20"/>
              </w:rPr>
              <w:t>2018</w:t>
            </w:r>
          </w:p>
        </w:tc>
        <w:tc>
          <w:tcPr>
            <w:tcW w:w="0" w:type="dxa"/>
            <w:vAlign w:val="bottom"/>
            <w:tcBorders>
              <w:bottom w:val="single" w:sz="8" w:color="231F20"/>
            </w:tcBorders>
            <w:shd w:val="clear" w:color="auto" w:fill="FDFDFC"/>
          </w:tcPr>
          <w:p>
            <w:pPr>
              <w:spacing w:after="0"/>
              <w:rPr>
                <w:sz w:val="12"/>
                <w:szCs w:val="12"/>
                <w:color w:val="auto"/>
              </w:rPr>
            </w:pPr>
          </w:p>
        </w:tc>
        <w:tc>
          <w:tcPr>
            <w:tcW w:w="100" w:type="dxa"/>
            <w:vAlign w:val="bottom"/>
            <w:tcBorders>
              <w:bottom w:val="single" w:sz="8" w:color="D0EBF2"/>
            </w:tcBorders>
            <w:shd w:val="clear" w:color="auto" w:fill="FDFDFC"/>
          </w:tcPr>
          <w:p>
            <w:pPr>
              <w:spacing w:after="0"/>
              <w:rPr>
                <w:sz w:val="12"/>
                <w:szCs w:val="12"/>
                <w:color w:val="auto"/>
              </w:rPr>
            </w:pPr>
          </w:p>
        </w:tc>
        <w:tc>
          <w:tcPr>
            <w:tcW w:w="20" w:type="dxa"/>
            <w:vAlign w:val="bottom"/>
            <w:tcBorders>
              <w:bottom w:val="single" w:sz="8" w:color="D0EBF2"/>
            </w:tcBorders>
            <w:shd w:val="clear" w:color="auto" w:fill="FDFDFC"/>
          </w:tcPr>
          <w:p>
            <w:pPr>
              <w:spacing w:after="0"/>
              <w:rPr>
                <w:sz w:val="12"/>
                <w:szCs w:val="12"/>
                <w:color w:val="auto"/>
              </w:rPr>
            </w:pPr>
          </w:p>
        </w:tc>
        <w:tc>
          <w:tcPr>
            <w:tcW w:w="60" w:type="dxa"/>
            <w:vAlign w:val="bottom"/>
            <w:tcBorders>
              <w:bottom w:val="single" w:sz="8" w:color="231F20"/>
            </w:tcBorders>
            <w:shd w:val="clear" w:color="auto" w:fill="FDFDFC"/>
          </w:tcPr>
          <w:p>
            <w:pPr>
              <w:spacing w:after="0"/>
              <w:rPr>
                <w:sz w:val="12"/>
                <w:szCs w:val="12"/>
                <w:color w:val="auto"/>
              </w:rPr>
            </w:pPr>
          </w:p>
        </w:tc>
        <w:tc>
          <w:tcPr>
            <w:tcW w:w="580" w:type="dxa"/>
            <w:vAlign w:val="bottom"/>
            <w:tcBorders>
              <w:bottom w:val="single" w:sz="8" w:color="231F20"/>
            </w:tcBorders>
            <w:shd w:val="clear" w:color="auto" w:fill="FDFDFC"/>
          </w:tcPr>
          <w:p>
            <w:pPr>
              <w:jc w:val="right"/>
              <w:ind w:right="139"/>
              <w:spacing w:after="0"/>
              <w:rPr>
                <w:sz w:val="20"/>
                <w:szCs w:val="20"/>
                <w:color w:val="auto"/>
              </w:rPr>
            </w:pPr>
            <w:r>
              <w:rPr>
                <w:rFonts w:ascii="Times New Roman" w:cs="Times New Roman" w:eastAsia="Times New Roman" w:hAnsi="Times New Roman"/>
                <w:sz w:val="12"/>
                <w:szCs w:val="12"/>
                <w:b w:val="1"/>
                <w:bCs w:val="1"/>
                <w:color w:val="231F20"/>
              </w:rPr>
              <w:t>2017</w:t>
            </w:r>
          </w:p>
        </w:tc>
        <w:tc>
          <w:tcPr>
            <w:tcW w:w="0" w:type="dxa"/>
            <w:vAlign w:val="bottom"/>
            <w:tcBorders>
              <w:bottom w:val="single" w:sz="8" w:color="231F20"/>
            </w:tcBorders>
            <w:shd w:val="clear" w:color="auto" w:fill="FDFDFC"/>
          </w:tcPr>
          <w:p>
            <w:pPr>
              <w:spacing w:after="0"/>
              <w:rPr>
                <w:sz w:val="12"/>
                <w:szCs w:val="12"/>
                <w:color w:val="auto"/>
              </w:rPr>
            </w:pPr>
          </w:p>
        </w:tc>
        <w:tc>
          <w:tcPr>
            <w:tcW w:w="100" w:type="dxa"/>
            <w:vAlign w:val="bottom"/>
            <w:tcBorders>
              <w:bottom w:val="single" w:sz="8" w:color="D0EBF2"/>
            </w:tcBorders>
            <w:shd w:val="clear" w:color="auto" w:fill="FDFDFC"/>
          </w:tcPr>
          <w:p>
            <w:pPr>
              <w:spacing w:after="0"/>
              <w:rPr>
                <w:sz w:val="12"/>
                <w:szCs w:val="12"/>
                <w:color w:val="auto"/>
              </w:rPr>
            </w:pPr>
          </w:p>
        </w:tc>
        <w:tc>
          <w:tcPr>
            <w:tcW w:w="80" w:type="dxa"/>
            <w:vAlign w:val="bottom"/>
            <w:tcBorders>
              <w:bottom w:val="single" w:sz="8" w:color="231F20"/>
            </w:tcBorders>
            <w:shd w:val="clear" w:color="auto" w:fill="FDFDFC"/>
          </w:tcPr>
          <w:p>
            <w:pPr>
              <w:spacing w:after="0"/>
              <w:rPr>
                <w:sz w:val="12"/>
                <w:szCs w:val="12"/>
                <w:color w:val="auto"/>
              </w:rPr>
            </w:pPr>
          </w:p>
        </w:tc>
        <w:tc>
          <w:tcPr>
            <w:tcW w:w="560" w:type="dxa"/>
            <w:vAlign w:val="bottom"/>
            <w:tcBorders>
              <w:bottom w:val="single" w:sz="8" w:color="231F20"/>
            </w:tcBorders>
            <w:shd w:val="clear" w:color="auto" w:fill="FDFDFC"/>
          </w:tcPr>
          <w:p>
            <w:pPr>
              <w:jc w:val="right"/>
              <w:ind w:right="139"/>
              <w:spacing w:after="0"/>
              <w:rPr>
                <w:sz w:val="20"/>
                <w:szCs w:val="20"/>
                <w:color w:val="auto"/>
              </w:rPr>
            </w:pPr>
            <w:r>
              <w:rPr>
                <w:rFonts w:ascii="Times New Roman" w:cs="Times New Roman" w:eastAsia="Times New Roman" w:hAnsi="Times New Roman"/>
                <w:sz w:val="12"/>
                <w:szCs w:val="12"/>
                <w:b w:val="1"/>
                <w:bCs w:val="1"/>
                <w:color w:val="231F20"/>
              </w:rPr>
              <w:t>2016</w:t>
            </w:r>
          </w:p>
        </w:tc>
        <w:tc>
          <w:tcPr>
            <w:tcW w:w="0" w:type="dxa"/>
            <w:vAlign w:val="bottom"/>
            <w:tcBorders>
              <w:bottom w:val="single" w:sz="8" w:color="231F20"/>
            </w:tcBorders>
            <w:shd w:val="clear" w:color="auto" w:fill="FDFDFC"/>
          </w:tcPr>
          <w:p>
            <w:pPr>
              <w:spacing w:after="0"/>
              <w:rPr>
                <w:sz w:val="12"/>
                <w:szCs w:val="12"/>
                <w:color w:val="auto"/>
              </w:rPr>
            </w:pPr>
          </w:p>
        </w:tc>
        <w:tc>
          <w:tcPr>
            <w:tcW w:w="100" w:type="dxa"/>
            <w:vAlign w:val="bottom"/>
            <w:tcBorders>
              <w:bottom w:val="single" w:sz="8" w:color="D0EBF2"/>
            </w:tcBorders>
            <w:shd w:val="clear" w:color="auto" w:fill="FDFDFC"/>
          </w:tcPr>
          <w:p>
            <w:pPr>
              <w:spacing w:after="0"/>
              <w:rPr>
                <w:sz w:val="12"/>
                <w:szCs w:val="12"/>
                <w:color w:val="auto"/>
              </w:rPr>
            </w:pPr>
          </w:p>
        </w:tc>
        <w:tc>
          <w:tcPr>
            <w:tcW w:w="20" w:type="dxa"/>
            <w:vAlign w:val="bottom"/>
            <w:tcBorders>
              <w:bottom w:val="single" w:sz="8" w:color="D0EBF2"/>
            </w:tcBorders>
            <w:shd w:val="clear" w:color="auto" w:fill="FDFDFC"/>
          </w:tcPr>
          <w:p>
            <w:pPr>
              <w:spacing w:after="0"/>
              <w:rPr>
                <w:sz w:val="12"/>
                <w:szCs w:val="12"/>
                <w:color w:val="auto"/>
              </w:rPr>
            </w:pPr>
          </w:p>
        </w:tc>
        <w:tc>
          <w:tcPr>
            <w:tcW w:w="80" w:type="dxa"/>
            <w:vAlign w:val="bottom"/>
            <w:tcBorders>
              <w:bottom w:val="single" w:sz="8" w:color="231F20"/>
            </w:tcBorders>
            <w:shd w:val="clear" w:color="auto" w:fill="FDFDFC"/>
          </w:tcPr>
          <w:p>
            <w:pPr>
              <w:spacing w:after="0"/>
              <w:rPr>
                <w:sz w:val="12"/>
                <w:szCs w:val="12"/>
                <w:color w:val="auto"/>
              </w:rPr>
            </w:pPr>
          </w:p>
        </w:tc>
        <w:tc>
          <w:tcPr>
            <w:tcW w:w="560" w:type="dxa"/>
            <w:vAlign w:val="bottom"/>
            <w:tcBorders>
              <w:bottom w:val="single" w:sz="8" w:color="231F20"/>
            </w:tcBorders>
            <w:shd w:val="clear" w:color="auto" w:fill="FDFDFC"/>
          </w:tcPr>
          <w:p>
            <w:pPr>
              <w:jc w:val="right"/>
              <w:ind w:right="139"/>
              <w:spacing w:after="0"/>
              <w:rPr>
                <w:sz w:val="20"/>
                <w:szCs w:val="20"/>
                <w:color w:val="auto"/>
              </w:rPr>
            </w:pPr>
            <w:r>
              <w:rPr>
                <w:rFonts w:ascii="Times New Roman" w:cs="Times New Roman" w:eastAsia="Times New Roman" w:hAnsi="Times New Roman"/>
                <w:sz w:val="12"/>
                <w:szCs w:val="12"/>
                <w:b w:val="1"/>
                <w:bCs w:val="1"/>
                <w:color w:val="231F20"/>
              </w:rPr>
              <w:t>2015</w:t>
            </w:r>
          </w:p>
        </w:tc>
        <w:tc>
          <w:tcPr>
            <w:tcW w:w="20" w:type="dxa"/>
            <w:vAlign w:val="bottom"/>
            <w:tcBorders>
              <w:bottom w:val="single" w:sz="8" w:color="231F20"/>
            </w:tcBorders>
            <w:shd w:val="clear" w:color="auto" w:fill="FDFDFC"/>
          </w:tcPr>
          <w:p>
            <w:pPr>
              <w:spacing w:after="0"/>
              <w:rPr>
                <w:sz w:val="12"/>
                <w:szCs w:val="12"/>
                <w:color w:val="auto"/>
              </w:rPr>
            </w:pPr>
          </w:p>
        </w:tc>
        <w:tc>
          <w:tcPr>
            <w:tcW w:w="20" w:type="dxa"/>
            <w:vAlign w:val="bottom"/>
            <w:tcBorders>
              <w:bottom w:val="single" w:sz="8" w:color="231F20"/>
            </w:tcBorders>
            <w:shd w:val="clear" w:color="auto" w:fill="FDFDFC"/>
          </w:tcPr>
          <w:p>
            <w:pPr>
              <w:spacing w:after="0"/>
              <w:rPr>
                <w:sz w:val="12"/>
                <w:szCs w:val="12"/>
                <w:color w:val="auto"/>
              </w:rPr>
            </w:pPr>
          </w:p>
        </w:tc>
        <w:tc>
          <w:tcPr>
            <w:tcW w:w="60" w:type="dxa"/>
            <w:vAlign w:val="bottom"/>
            <w:tcBorders>
              <w:bottom w:val="single" w:sz="8" w:color="D0EBF2"/>
            </w:tcBorders>
            <w:shd w:val="clear" w:color="auto" w:fill="FDFDFC"/>
          </w:tcPr>
          <w:p>
            <w:pPr>
              <w:spacing w:after="0"/>
              <w:rPr>
                <w:sz w:val="12"/>
                <w:szCs w:val="12"/>
                <w:color w:val="auto"/>
              </w:rPr>
            </w:pPr>
          </w:p>
        </w:tc>
        <w:tc>
          <w:tcPr>
            <w:tcW w:w="0" w:type="dxa"/>
            <w:vAlign w:val="bottom"/>
          </w:tcPr>
          <w:p>
            <w:pPr>
              <w:spacing w:after="0"/>
              <w:rPr>
                <w:sz w:val="1"/>
                <w:szCs w:val="1"/>
                <w:color w:val="auto"/>
              </w:rPr>
            </w:pPr>
          </w:p>
        </w:tc>
      </w:tr>
      <w:tr>
        <w:trPr>
          <w:trHeight w:val="131"/>
        </w:trPr>
        <w:tc>
          <w:tcPr>
            <w:tcW w:w="2720" w:type="dxa"/>
            <w:vAlign w:val="bottom"/>
            <w:gridSpan w:val="4"/>
            <w:shd w:val="clear" w:color="auto" w:fill="D0EBF2"/>
          </w:tcPr>
          <w:p>
            <w:pPr>
              <w:spacing w:after="0" w:line="131" w:lineRule="exact"/>
              <w:rPr>
                <w:sz w:val="20"/>
                <w:szCs w:val="20"/>
                <w:color w:val="auto"/>
              </w:rPr>
            </w:pPr>
            <w:r>
              <w:rPr>
                <w:rFonts w:ascii="Times New Roman" w:cs="Times New Roman" w:eastAsia="Times New Roman" w:hAnsi="Times New Roman"/>
                <w:sz w:val="12"/>
                <w:szCs w:val="12"/>
                <w:b w:val="1"/>
                <w:bCs w:val="1"/>
                <w:color w:val="231F20"/>
              </w:rPr>
              <w:t xml:space="preserve">Per Share Data </w:t>
            </w:r>
            <w:r>
              <w:rPr>
                <w:rFonts w:ascii="Times New Roman" w:cs="Times New Roman" w:eastAsia="Times New Roman" w:hAnsi="Times New Roman"/>
                <w:sz w:val="7"/>
                <w:szCs w:val="7"/>
                <w:b w:val="1"/>
                <w:bCs w:val="1"/>
                <w:color w:val="231F20"/>
              </w:rPr>
              <w:t>(7)(8)</w:t>
            </w:r>
          </w:p>
        </w:tc>
        <w:tc>
          <w:tcPr>
            <w:tcW w:w="0" w:type="dxa"/>
            <w:vAlign w:val="bottom"/>
            <w:shd w:val="clear" w:color="auto" w:fill="D0EBF2"/>
          </w:tcPr>
          <w:p>
            <w:pPr>
              <w:spacing w:after="0"/>
              <w:rPr>
                <w:sz w:val="11"/>
                <w:szCs w:val="11"/>
                <w:color w:val="auto"/>
              </w:rPr>
            </w:pPr>
          </w:p>
        </w:tc>
        <w:tc>
          <w:tcPr>
            <w:tcW w:w="560" w:type="dxa"/>
            <w:vAlign w:val="bottom"/>
            <w:shd w:val="clear" w:color="auto" w:fill="D0EBF2"/>
          </w:tcPr>
          <w:p>
            <w:pPr>
              <w:spacing w:after="0"/>
              <w:rPr>
                <w:sz w:val="11"/>
                <w:szCs w:val="11"/>
                <w:color w:val="auto"/>
              </w:rPr>
            </w:pPr>
          </w:p>
        </w:tc>
        <w:tc>
          <w:tcPr>
            <w:tcW w:w="120" w:type="dxa"/>
            <w:vAlign w:val="bottom"/>
            <w:shd w:val="clear" w:color="auto" w:fill="D0EBF2"/>
          </w:tcPr>
          <w:p>
            <w:pPr>
              <w:spacing w:after="0"/>
              <w:rPr>
                <w:sz w:val="11"/>
                <w:szCs w:val="11"/>
                <w:color w:val="auto"/>
              </w:rPr>
            </w:pPr>
          </w:p>
        </w:tc>
        <w:tc>
          <w:tcPr>
            <w:tcW w:w="40" w:type="dxa"/>
            <w:vAlign w:val="bottom"/>
            <w:shd w:val="clear" w:color="auto" w:fill="D0EBF2"/>
          </w:tcPr>
          <w:p>
            <w:pPr>
              <w:spacing w:after="0"/>
              <w:rPr>
                <w:sz w:val="11"/>
                <w:szCs w:val="11"/>
                <w:color w:val="auto"/>
              </w:rPr>
            </w:pPr>
          </w:p>
        </w:tc>
        <w:tc>
          <w:tcPr>
            <w:tcW w:w="60" w:type="dxa"/>
            <w:vAlign w:val="bottom"/>
            <w:shd w:val="clear" w:color="auto" w:fill="D0EBF2"/>
          </w:tcPr>
          <w:p>
            <w:pPr>
              <w:spacing w:after="0"/>
              <w:rPr>
                <w:sz w:val="11"/>
                <w:szCs w:val="11"/>
                <w:color w:val="auto"/>
              </w:rPr>
            </w:pPr>
          </w:p>
        </w:tc>
        <w:tc>
          <w:tcPr>
            <w:tcW w:w="580" w:type="dxa"/>
            <w:vAlign w:val="bottom"/>
            <w:shd w:val="clear" w:color="auto" w:fill="D0EBF2"/>
          </w:tcPr>
          <w:p>
            <w:pPr>
              <w:spacing w:after="0"/>
              <w:rPr>
                <w:sz w:val="11"/>
                <w:szCs w:val="11"/>
                <w:color w:val="auto"/>
              </w:rPr>
            </w:pPr>
          </w:p>
        </w:tc>
        <w:tc>
          <w:tcPr>
            <w:tcW w:w="0" w:type="dxa"/>
            <w:vAlign w:val="bottom"/>
            <w:shd w:val="clear" w:color="auto" w:fill="D0EBF2"/>
          </w:tcPr>
          <w:p>
            <w:pPr>
              <w:spacing w:after="0"/>
              <w:rPr>
                <w:sz w:val="11"/>
                <w:szCs w:val="11"/>
                <w:color w:val="auto"/>
              </w:rPr>
            </w:pPr>
          </w:p>
        </w:tc>
        <w:tc>
          <w:tcPr>
            <w:tcW w:w="100" w:type="dxa"/>
            <w:vAlign w:val="bottom"/>
            <w:shd w:val="clear" w:color="auto" w:fill="D0EBF2"/>
          </w:tcPr>
          <w:p>
            <w:pPr>
              <w:spacing w:after="0"/>
              <w:rPr>
                <w:sz w:val="11"/>
                <w:szCs w:val="11"/>
                <w:color w:val="auto"/>
              </w:rPr>
            </w:pPr>
          </w:p>
        </w:tc>
        <w:tc>
          <w:tcPr>
            <w:tcW w:w="40" w:type="dxa"/>
            <w:vAlign w:val="bottom"/>
            <w:shd w:val="clear" w:color="auto" w:fill="D0EBF2"/>
          </w:tcPr>
          <w:p>
            <w:pPr>
              <w:spacing w:after="0"/>
              <w:rPr>
                <w:sz w:val="11"/>
                <w:szCs w:val="11"/>
                <w:color w:val="auto"/>
              </w:rPr>
            </w:pPr>
          </w:p>
        </w:tc>
        <w:tc>
          <w:tcPr>
            <w:tcW w:w="60" w:type="dxa"/>
            <w:vAlign w:val="bottom"/>
            <w:shd w:val="clear" w:color="auto" w:fill="D0EBF2"/>
          </w:tcPr>
          <w:p>
            <w:pPr>
              <w:spacing w:after="0"/>
              <w:rPr>
                <w:sz w:val="11"/>
                <w:szCs w:val="11"/>
                <w:color w:val="auto"/>
              </w:rPr>
            </w:pPr>
          </w:p>
        </w:tc>
        <w:tc>
          <w:tcPr>
            <w:tcW w:w="580" w:type="dxa"/>
            <w:vAlign w:val="bottom"/>
            <w:shd w:val="clear" w:color="auto" w:fill="D0EBF2"/>
          </w:tcPr>
          <w:p>
            <w:pPr>
              <w:spacing w:after="0"/>
              <w:rPr>
                <w:sz w:val="11"/>
                <w:szCs w:val="11"/>
                <w:color w:val="auto"/>
              </w:rPr>
            </w:pPr>
          </w:p>
        </w:tc>
        <w:tc>
          <w:tcPr>
            <w:tcW w:w="0" w:type="dxa"/>
            <w:vAlign w:val="bottom"/>
            <w:shd w:val="clear" w:color="auto" w:fill="D0EBF2"/>
          </w:tcPr>
          <w:p>
            <w:pPr>
              <w:spacing w:after="0"/>
              <w:rPr>
                <w:sz w:val="11"/>
                <w:szCs w:val="11"/>
                <w:color w:val="auto"/>
              </w:rPr>
            </w:pPr>
          </w:p>
        </w:tc>
        <w:tc>
          <w:tcPr>
            <w:tcW w:w="100" w:type="dxa"/>
            <w:vAlign w:val="bottom"/>
            <w:shd w:val="clear" w:color="auto" w:fill="D0EBF2"/>
          </w:tcPr>
          <w:p>
            <w:pPr>
              <w:spacing w:after="0"/>
              <w:rPr>
                <w:sz w:val="11"/>
                <w:szCs w:val="11"/>
                <w:color w:val="auto"/>
              </w:rPr>
            </w:pPr>
          </w:p>
        </w:tc>
        <w:tc>
          <w:tcPr>
            <w:tcW w:w="20" w:type="dxa"/>
            <w:vAlign w:val="bottom"/>
            <w:shd w:val="clear" w:color="auto" w:fill="D0EBF2"/>
          </w:tcPr>
          <w:p>
            <w:pPr>
              <w:spacing w:after="0"/>
              <w:rPr>
                <w:sz w:val="11"/>
                <w:szCs w:val="11"/>
                <w:color w:val="auto"/>
              </w:rPr>
            </w:pPr>
          </w:p>
        </w:tc>
        <w:tc>
          <w:tcPr>
            <w:tcW w:w="60" w:type="dxa"/>
            <w:vAlign w:val="bottom"/>
            <w:shd w:val="clear" w:color="auto" w:fill="D0EBF2"/>
          </w:tcPr>
          <w:p>
            <w:pPr>
              <w:spacing w:after="0"/>
              <w:rPr>
                <w:sz w:val="11"/>
                <w:szCs w:val="11"/>
                <w:color w:val="auto"/>
              </w:rPr>
            </w:pPr>
          </w:p>
        </w:tc>
        <w:tc>
          <w:tcPr>
            <w:tcW w:w="580" w:type="dxa"/>
            <w:vAlign w:val="bottom"/>
            <w:shd w:val="clear" w:color="auto" w:fill="D0EBF2"/>
          </w:tcPr>
          <w:p>
            <w:pPr>
              <w:spacing w:after="0"/>
              <w:rPr>
                <w:sz w:val="11"/>
                <w:szCs w:val="11"/>
                <w:color w:val="auto"/>
              </w:rPr>
            </w:pPr>
          </w:p>
        </w:tc>
        <w:tc>
          <w:tcPr>
            <w:tcW w:w="20" w:type="dxa"/>
            <w:vAlign w:val="bottom"/>
            <w:shd w:val="clear" w:color="auto" w:fill="D0EBF2"/>
          </w:tcPr>
          <w:p>
            <w:pPr>
              <w:spacing w:after="0"/>
              <w:rPr>
                <w:sz w:val="11"/>
                <w:szCs w:val="11"/>
                <w:color w:val="auto"/>
              </w:rPr>
            </w:pPr>
          </w:p>
        </w:tc>
        <w:tc>
          <w:tcPr>
            <w:tcW w:w="20" w:type="dxa"/>
            <w:vAlign w:val="bottom"/>
            <w:shd w:val="clear" w:color="auto" w:fill="D0EBF2"/>
          </w:tcPr>
          <w:p>
            <w:pPr>
              <w:spacing w:after="0"/>
              <w:rPr>
                <w:sz w:val="11"/>
                <w:szCs w:val="11"/>
                <w:color w:val="auto"/>
              </w:rPr>
            </w:pPr>
          </w:p>
        </w:tc>
        <w:tc>
          <w:tcPr>
            <w:tcW w:w="60" w:type="dxa"/>
            <w:vAlign w:val="bottom"/>
            <w:shd w:val="clear" w:color="auto" w:fill="D0EBF2"/>
          </w:tcPr>
          <w:p>
            <w:pPr>
              <w:spacing w:after="0"/>
              <w:rPr>
                <w:sz w:val="11"/>
                <w:szCs w:val="11"/>
                <w:color w:val="auto"/>
              </w:rPr>
            </w:pPr>
          </w:p>
        </w:tc>
        <w:tc>
          <w:tcPr>
            <w:tcW w:w="80" w:type="dxa"/>
            <w:vAlign w:val="bottom"/>
            <w:shd w:val="clear" w:color="auto" w:fill="D0EBF2"/>
          </w:tcPr>
          <w:p>
            <w:pPr>
              <w:spacing w:after="0"/>
              <w:rPr>
                <w:sz w:val="11"/>
                <w:szCs w:val="11"/>
                <w:color w:val="auto"/>
              </w:rPr>
            </w:pPr>
          </w:p>
        </w:tc>
        <w:tc>
          <w:tcPr>
            <w:tcW w:w="560" w:type="dxa"/>
            <w:vAlign w:val="bottom"/>
            <w:shd w:val="clear" w:color="auto" w:fill="D0EBF2"/>
          </w:tcPr>
          <w:p>
            <w:pPr>
              <w:spacing w:after="0"/>
              <w:rPr>
                <w:sz w:val="11"/>
                <w:szCs w:val="11"/>
                <w:color w:val="auto"/>
              </w:rPr>
            </w:pPr>
          </w:p>
        </w:tc>
        <w:tc>
          <w:tcPr>
            <w:tcW w:w="0" w:type="dxa"/>
            <w:vAlign w:val="bottom"/>
            <w:shd w:val="clear" w:color="auto" w:fill="D0EBF2"/>
          </w:tcPr>
          <w:p>
            <w:pPr>
              <w:spacing w:after="0"/>
              <w:rPr>
                <w:sz w:val="11"/>
                <w:szCs w:val="11"/>
                <w:color w:val="auto"/>
              </w:rPr>
            </w:pPr>
          </w:p>
        </w:tc>
        <w:tc>
          <w:tcPr>
            <w:tcW w:w="100" w:type="dxa"/>
            <w:vAlign w:val="bottom"/>
            <w:shd w:val="clear" w:color="auto" w:fill="D0EBF2"/>
          </w:tcPr>
          <w:p>
            <w:pPr>
              <w:spacing w:after="0"/>
              <w:rPr>
                <w:sz w:val="11"/>
                <w:szCs w:val="11"/>
                <w:color w:val="auto"/>
              </w:rPr>
            </w:pPr>
          </w:p>
        </w:tc>
        <w:tc>
          <w:tcPr>
            <w:tcW w:w="20" w:type="dxa"/>
            <w:vAlign w:val="bottom"/>
            <w:shd w:val="clear" w:color="auto" w:fill="D0EBF2"/>
          </w:tcPr>
          <w:p>
            <w:pPr>
              <w:spacing w:after="0"/>
              <w:rPr>
                <w:sz w:val="11"/>
                <w:szCs w:val="11"/>
                <w:color w:val="auto"/>
              </w:rPr>
            </w:pPr>
          </w:p>
        </w:tc>
        <w:tc>
          <w:tcPr>
            <w:tcW w:w="60" w:type="dxa"/>
            <w:vAlign w:val="bottom"/>
            <w:shd w:val="clear" w:color="auto" w:fill="D0EBF2"/>
          </w:tcPr>
          <w:p>
            <w:pPr>
              <w:spacing w:after="0"/>
              <w:rPr>
                <w:sz w:val="11"/>
                <w:szCs w:val="11"/>
                <w:color w:val="auto"/>
              </w:rPr>
            </w:pPr>
          </w:p>
        </w:tc>
        <w:tc>
          <w:tcPr>
            <w:tcW w:w="560" w:type="dxa"/>
            <w:vAlign w:val="bottom"/>
            <w:shd w:val="clear" w:color="auto" w:fill="D0EBF2"/>
          </w:tcPr>
          <w:p>
            <w:pPr>
              <w:spacing w:after="0"/>
              <w:rPr>
                <w:sz w:val="11"/>
                <w:szCs w:val="11"/>
                <w:color w:val="auto"/>
              </w:rPr>
            </w:pPr>
          </w:p>
        </w:tc>
        <w:tc>
          <w:tcPr>
            <w:tcW w:w="0" w:type="dxa"/>
            <w:vAlign w:val="bottom"/>
            <w:shd w:val="clear" w:color="auto" w:fill="D0EBF2"/>
          </w:tcPr>
          <w:p>
            <w:pPr>
              <w:spacing w:after="0"/>
              <w:rPr>
                <w:sz w:val="11"/>
                <w:szCs w:val="11"/>
                <w:color w:val="auto"/>
              </w:rPr>
            </w:pPr>
          </w:p>
        </w:tc>
        <w:tc>
          <w:tcPr>
            <w:tcW w:w="100" w:type="dxa"/>
            <w:vAlign w:val="bottom"/>
            <w:shd w:val="clear" w:color="auto" w:fill="D0EBF2"/>
          </w:tcPr>
          <w:p>
            <w:pPr>
              <w:spacing w:after="0"/>
              <w:rPr>
                <w:sz w:val="11"/>
                <w:szCs w:val="11"/>
                <w:color w:val="auto"/>
              </w:rPr>
            </w:pPr>
          </w:p>
        </w:tc>
        <w:tc>
          <w:tcPr>
            <w:tcW w:w="20" w:type="dxa"/>
            <w:vAlign w:val="bottom"/>
            <w:shd w:val="clear" w:color="auto" w:fill="D0EBF2"/>
          </w:tcPr>
          <w:p>
            <w:pPr>
              <w:spacing w:after="0"/>
              <w:rPr>
                <w:sz w:val="11"/>
                <w:szCs w:val="11"/>
                <w:color w:val="auto"/>
              </w:rPr>
            </w:pPr>
          </w:p>
        </w:tc>
        <w:tc>
          <w:tcPr>
            <w:tcW w:w="60" w:type="dxa"/>
            <w:vAlign w:val="bottom"/>
            <w:shd w:val="clear" w:color="auto" w:fill="D0EBF2"/>
          </w:tcPr>
          <w:p>
            <w:pPr>
              <w:spacing w:after="0"/>
              <w:rPr>
                <w:sz w:val="11"/>
                <w:szCs w:val="11"/>
                <w:color w:val="auto"/>
              </w:rPr>
            </w:pPr>
          </w:p>
        </w:tc>
        <w:tc>
          <w:tcPr>
            <w:tcW w:w="560" w:type="dxa"/>
            <w:vAlign w:val="bottom"/>
            <w:shd w:val="clear" w:color="auto" w:fill="D0EBF2"/>
          </w:tcPr>
          <w:p>
            <w:pPr>
              <w:spacing w:after="0"/>
              <w:rPr>
                <w:sz w:val="11"/>
                <w:szCs w:val="11"/>
                <w:color w:val="auto"/>
              </w:rPr>
            </w:pPr>
          </w:p>
        </w:tc>
        <w:tc>
          <w:tcPr>
            <w:tcW w:w="0" w:type="dxa"/>
            <w:vAlign w:val="bottom"/>
            <w:shd w:val="clear" w:color="auto" w:fill="D0EBF2"/>
          </w:tcPr>
          <w:p>
            <w:pPr>
              <w:spacing w:after="0"/>
              <w:rPr>
                <w:sz w:val="11"/>
                <w:szCs w:val="11"/>
                <w:color w:val="auto"/>
              </w:rPr>
            </w:pPr>
          </w:p>
        </w:tc>
        <w:tc>
          <w:tcPr>
            <w:tcW w:w="100" w:type="dxa"/>
            <w:vAlign w:val="bottom"/>
            <w:shd w:val="clear" w:color="auto" w:fill="D0EBF2"/>
          </w:tcPr>
          <w:p>
            <w:pPr>
              <w:spacing w:after="0"/>
              <w:rPr>
                <w:sz w:val="11"/>
                <w:szCs w:val="11"/>
                <w:color w:val="auto"/>
              </w:rPr>
            </w:pPr>
          </w:p>
        </w:tc>
        <w:tc>
          <w:tcPr>
            <w:tcW w:w="20" w:type="dxa"/>
            <w:vAlign w:val="bottom"/>
            <w:shd w:val="clear" w:color="auto" w:fill="D0EBF2"/>
          </w:tcPr>
          <w:p>
            <w:pPr>
              <w:spacing w:after="0"/>
              <w:rPr>
                <w:sz w:val="11"/>
                <w:szCs w:val="11"/>
                <w:color w:val="auto"/>
              </w:rPr>
            </w:pPr>
          </w:p>
        </w:tc>
        <w:tc>
          <w:tcPr>
            <w:tcW w:w="60" w:type="dxa"/>
            <w:vAlign w:val="bottom"/>
            <w:shd w:val="clear" w:color="auto" w:fill="D0EBF2"/>
          </w:tcPr>
          <w:p>
            <w:pPr>
              <w:spacing w:after="0"/>
              <w:rPr>
                <w:sz w:val="11"/>
                <w:szCs w:val="11"/>
                <w:color w:val="auto"/>
              </w:rPr>
            </w:pPr>
          </w:p>
        </w:tc>
        <w:tc>
          <w:tcPr>
            <w:tcW w:w="580" w:type="dxa"/>
            <w:vAlign w:val="bottom"/>
            <w:shd w:val="clear" w:color="auto" w:fill="D0EBF2"/>
          </w:tcPr>
          <w:p>
            <w:pPr>
              <w:spacing w:after="0"/>
              <w:rPr>
                <w:sz w:val="11"/>
                <w:szCs w:val="11"/>
                <w:color w:val="auto"/>
              </w:rPr>
            </w:pPr>
          </w:p>
        </w:tc>
        <w:tc>
          <w:tcPr>
            <w:tcW w:w="0" w:type="dxa"/>
            <w:vAlign w:val="bottom"/>
            <w:shd w:val="clear" w:color="auto" w:fill="D0EBF2"/>
          </w:tcPr>
          <w:p>
            <w:pPr>
              <w:spacing w:after="0"/>
              <w:rPr>
                <w:sz w:val="11"/>
                <w:szCs w:val="11"/>
                <w:color w:val="auto"/>
              </w:rPr>
            </w:pPr>
          </w:p>
        </w:tc>
        <w:tc>
          <w:tcPr>
            <w:tcW w:w="100" w:type="dxa"/>
            <w:vAlign w:val="bottom"/>
            <w:shd w:val="clear" w:color="auto" w:fill="D0EBF2"/>
          </w:tcPr>
          <w:p>
            <w:pPr>
              <w:spacing w:after="0"/>
              <w:rPr>
                <w:sz w:val="11"/>
                <w:szCs w:val="11"/>
                <w:color w:val="auto"/>
              </w:rPr>
            </w:pPr>
          </w:p>
        </w:tc>
        <w:tc>
          <w:tcPr>
            <w:tcW w:w="80" w:type="dxa"/>
            <w:vAlign w:val="bottom"/>
            <w:shd w:val="clear" w:color="auto" w:fill="D0EBF2"/>
          </w:tcPr>
          <w:p>
            <w:pPr>
              <w:spacing w:after="0"/>
              <w:rPr>
                <w:sz w:val="11"/>
                <w:szCs w:val="11"/>
                <w:color w:val="auto"/>
              </w:rPr>
            </w:pPr>
          </w:p>
        </w:tc>
        <w:tc>
          <w:tcPr>
            <w:tcW w:w="560" w:type="dxa"/>
            <w:vAlign w:val="bottom"/>
            <w:shd w:val="clear" w:color="auto" w:fill="D0EBF2"/>
          </w:tcPr>
          <w:p>
            <w:pPr>
              <w:spacing w:after="0"/>
              <w:rPr>
                <w:sz w:val="11"/>
                <w:szCs w:val="11"/>
                <w:color w:val="auto"/>
              </w:rPr>
            </w:pPr>
          </w:p>
        </w:tc>
        <w:tc>
          <w:tcPr>
            <w:tcW w:w="0" w:type="dxa"/>
            <w:vAlign w:val="bottom"/>
            <w:shd w:val="clear" w:color="auto" w:fill="D0EBF2"/>
          </w:tcPr>
          <w:p>
            <w:pPr>
              <w:spacing w:after="0"/>
              <w:rPr>
                <w:sz w:val="11"/>
                <w:szCs w:val="11"/>
                <w:color w:val="auto"/>
              </w:rPr>
            </w:pPr>
          </w:p>
        </w:tc>
        <w:tc>
          <w:tcPr>
            <w:tcW w:w="100" w:type="dxa"/>
            <w:vAlign w:val="bottom"/>
            <w:shd w:val="clear" w:color="auto" w:fill="D0EBF2"/>
          </w:tcPr>
          <w:p>
            <w:pPr>
              <w:spacing w:after="0"/>
              <w:rPr>
                <w:sz w:val="11"/>
                <w:szCs w:val="11"/>
                <w:color w:val="auto"/>
              </w:rPr>
            </w:pPr>
          </w:p>
        </w:tc>
        <w:tc>
          <w:tcPr>
            <w:tcW w:w="20" w:type="dxa"/>
            <w:vAlign w:val="bottom"/>
            <w:shd w:val="clear" w:color="auto" w:fill="D0EBF2"/>
          </w:tcPr>
          <w:p>
            <w:pPr>
              <w:spacing w:after="0"/>
              <w:rPr>
                <w:sz w:val="11"/>
                <w:szCs w:val="11"/>
                <w:color w:val="auto"/>
              </w:rPr>
            </w:pPr>
          </w:p>
        </w:tc>
        <w:tc>
          <w:tcPr>
            <w:tcW w:w="80" w:type="dxa"/>
            <w:vAlign w:val="bottom"/>
            <w:shd w:val="clear" w:color="auto" w:fill="D0EBF2"/>
          </w:tcPr>
          <w:p>
            <w:pPr>
              <w:spacing w:after="0"/>
              <w:rPr>
                <w:sz w:val="11"/>
                <w:szCs w:val="11"/>
                <w:color w:val="auto"/>
              </w:rPr>
            </w:pPr>
          </w:p>
        </w:tc>
        <w:tc>
          <w:tcPr>
            <w:tcW w:w="560" w:type="dxa"/>
            <w:vAlign w:val="bottom"/>
            <w:shd w:val="clear" w:color="auto" w:fill="D0EBF2"/>
          </w:tcPr>
          <w:p>
            <w:pPr>
              <w:spacing w:after="0"/>
              <w:rPr>
                <w:sz w:val="11"/>
                <w:szCs w:val="11"/>
                <w:color w:val="auto"/>
              </w:rPr>
            </w:pPr>
          </w:p>
        </w:tc>
        <w:tc>
          <w:tcPr>
            <w:tcW w:w="20" w:type="dxa"/>
            <w:vAlign w:val="bottom"/>
            <w:shd w:val="clear" w:color="auto" w:fill="D0EBF2"/>
          </w:tcPr>
          <w:p>
            <w:pPr>
              <w:spacing w:after="0"/>
              <w:rPr>
                <w:sz w:val="11"/>
                <w:szCs w:val="11"/>
                <w:color w:val="auto"/>
              </w:rPr>
            </w:pPr>
          </w:p>
        </w:tc>
        <w:tc>
          <w:tcPr>
            <w:tcW w:w="20" w:type="dxa"/>
            <w:vAlign w:val="bottom"/>
            <w:shd w:val="clear" w:color="auto" w:fill="D0EBF2"/>
          </w:tcPr>
          <w:p>
            <w:pPr>
              <w:spacing w:after="0"/>
              <w:rPr>
                <w:sz w:val="11"/>
                <w:szCs w:val="11"/>
                <w:color w:val="auto"/>
              </w:rPr>
            </w:pPr>
          </w:p>
        </w:tc>
        <w:tc>
          <w:tcPr>
            <w:tcW w:w="60" w:type="dxa"/>
            <w:vAlign w:val="bottom"/>
            <w:shd w:val="clear" w:color="auto" w:fill="D0EBF2"/>
          </w:tcPr>
          <w:p>
            <w:pPr>
              <w:spacing w:after="0"/>
              <w:rPr>
                <w:sz w:val="11"/>
                <w:szCs w:val="11"/>
                <w:color w:val="auto"/>
              </w:rPr>
            </w:pPr>
          </w:p>
        </w:tc>
        <w:tc>
          <w:tcPr>
            <w:tcW w:w="0" w:type="dxa"/>
            <w:vAlign w:val="bottom"/>
          </w:tcPr>
          <w:p>
            <w:pPr>
              <w:spacing w:after="0"/>
              <w:rPr>
                <w:sz w:val="1"/>
                <w:szCs w:val="1"/>
                <w:color w:val="auto"/>
              </w:rPr>
            </w:pPr>
          </w:p>
        </w:tc>
      </w:tr>
      <w:tr>
        <w:trPr>
          <w:trHeight w:val="141"/>
        </w:trPr>
        <w:tc>
          <w:tcPr>
            <w:tcW w:w="2720" w:type="dxa"/>
            <w:vAlign w:val="bottom"/>
            <w:gridSpan w:val="4"/>
            <w:shd w:val="clear" w:color="auto" w:fill="FDFDFC"/>
          </w:tcPr>
          <w:p>
            <w:pPr>
              <w:spacing w:after="0"/>
              <w:rPr>
                <w:sz w:val="20"/>
                <w:szCs w:val="20"/>
                <w:color w:val="auto"/>
              </w:rPr>
            </w:pPr>
            <w:r>
              <w:rPr>
                <w:rFonts w:ascii="Times New Roman" w:cs="Times New Roman" w:eastAsia="Times New Roman" w:hAnsi="Times New Roman"/>
                <w:sz w:val="12"/>
                <w:szCs w:val="12"/>
                <w:color w:val="231F20"/>
              </w:rPr>
              <w:t>Net asset value, beginning of period</w:t>
            </w:r>
          </w:p>
        </w:tc>
        <w:tc>
          <w:tcPr>
            <w:tcW w:w="0" w:type="dxa"/>
            <w:vAlign w:val="bottom"/>
            <w:shd w:val="clear" w:color="auto" w:fill="FDFDFC"/>
          </w:tcPr>
          <w:p>
            <w:pPr>
              <w:jc w:val="right"/>
              <w:spacing w:after="0"/>
              <w:rPr>
                <w:sz w:val="20"/>
                <w:szCs w:val="20"/>
                <w:color w:val="auto"/>
              </w:rPr>
            </w:pPr>
            <w:r>
              <w:rPr>
                <w:rFonts w:ascii="Times New Roman" w:cs="Times New Roman" w:eastAsia="Times New Roman" w:hAnsi="Times New Roman"/>
                <w:sz w:val="5"/>
                <w:szCs w:val="5"/>
                <w:color w:val="231F20"/>
                <w:w w:val="78"/>
              </w:rPr>
              <w:t>$</w:t>
            </w:r>
          </w:p>
        </w:tc>
        <w:tc>
          <w:tcPr>
            <w:tcW w:w="560" w:type="dxa"/>
            <w:vAlign w:val="bottom"/>
            <w:shd w:val="clear" w:color="auto" w:fill="FDFDFC"/>
          </w:tcPr>
          <w:p>
            <w:pPr>
              <w:jc w:val="right"/>
              <w:spacing w:after="0"/>
              <w:rPr>
                <w:sz w:val="20"/>
                <w:szCs w:val="20"/>
                <w:color w:val="auto"/>
              </w:rPr>
            </w:pPr>
            <w:r>
              <w:rPr>
                <w:rFonts w:ascii="Times New Roman" w:cs="Times New Roman" w:eastAsia="Times New Roman" w:hAnsi="Times New Roman"/>
                <w:sz w:val="12"/>
                <w:szCs w:val="12"/>
                <w:color w:val="231F20"/>
              </w:rPr>
              <w:t>17.04</w:t>
            </w:r>
          </w:p>
        </w:tc>
        <w:tc>
          <w:tcPr>
            <w:tcW w:w="120" w:type="dxa"/>
            <w:vAlign w:val="bottom"/>
            <w:shd w:val="clear" w:color="auto" w:fill="FDFDFC"/>
          </w:tcPr>
          <w:p>
            <w:pPr>
              <w:spacing w:after="0"/>
              <w:rPr>
                <w:sz w:val="12"/>
                <w:szCs w:val="12"/>
                <w:color w:val="auto"/>
              </w:rPr>
            </w:pPr>
          </w:p>
        </w:tc>
        <w:tc>
          <w:tcPr>
            <w:tcW w:w="100" w:type="dxa"/>
            <w:vAlign w:val="bottom"/>
            <w:gridSpan w:val="2"/>
            <w:shd w:val="clear" w:color="auto" w:fill="FDFDFC"/>
          </w:tcPr>
          <w:p>
            <w:pPr>
              <w:jc w:val="right"/>
              <w:spacing w:after="0"/>
              <w:rPr>
                <w:sz w:val="20"/>
                <w:szCs w:val="20"/>
                <w:color w:val="auto"/>
              </w:rPr>
            </w:pPr>
            <w:r>
              <w:rPr>
                <w:rFonts w:ascii="Times New Roman" w:cs="Times New Roman" w:eastAsia="Times New Roman" w:hAnsi="Times New Roman"/>
                <w:sz w:val="12"/>
                <w:szCs w:val="12"/>
                <w:color w:val="231F20"/>
              </w:rPr>
              <w:t>$</w:t>
            </w:r>
          </w:p>
        </w:tc>
        <w:tc>
          <w:tcPr>
            <w:tcW w:w="580" w:type="dxa"/>
            <w:vAlign w:val="bottom"/>
            <w:shd w:val="clear" w:color="auto" w:fill="FDFDFC"/>
          </w:tcPr>
          <w:p>
            <w:pPr>
              <w:jc w:val="right"/>
              <w:spacing w:after="0"/>
              <w:rPr>
                <w:sz w:val="20"/>
                <w:szCs w:val="20"/>
                <w:color w:val="auto"/>
              </w:rPr>
            </w:pPr>
            <w:r>
              <w:rPr>
                <w:rFonts w:ascii="Times New Roman" w:cs="Times New Roman" w:eastAsia="Times New Roman" w:hAnsi="Times New Roman"/>
                <w:sz w:val="12"/>
                <w:szCs w:val="12"/>
                <w:color w:val="231F20"/>
              </w:rPr>
              <w:t>16.48</w:t>
            </w:r>
          </w:p>
        </w:tc>
        <w:tc>
          <w:tcPr>
            <w:tcW w:w="0" w:type="dxa"/>
            <w:vAlign w:val="bottom"/>
            <w:shd w:val="clear" w:color="auto" w:fill="FDFDFC"/>
          </w:tcPr>
          <w:p>
            <w:pPr>
              <w:spacing w:after="0"/>
              <w:rPr>
                <w:sz w:val="12"/>
                <w:szCs w:val="12"/>
                <w:color w:val="auto"/>
              </w:rPr>
            </w:pPr>
          </w:p>
        </w:tc>
        <w:tc>
          <w:tcPr>
            <w:tcW w:w="100" w:type="dxa"/>
            <w:vAlign w:val="bottom"/>
            <w:shd w:val="clear" w:color="auto" w:fill="FDFDFC"/>
          </w:tcPr>
          <w:p>
            <w:pPr>
              <w:spacing w:after="0"/>
              <w:rPr>
                <w:sz w:val="12"/>
                <w:szCs w:val="12"/>
                <w:color w:val="auto"/>
              </w:rPr>
            </w:pPr>
          </w:p>
        </w:tc>
        <w:tc>
          <w:tcPr>
            <w:tcW w:w="100" w:type="dxa"/>
            <w:vAlign w:val="bottom"/>
            <w:gridSpan w:val="2"/>
            <w:shd w:val="clear" w:color="auto" w:fill="FDFDFC"/>
          </w:tcPr>
          <w:p>
            <w:pPr>
              <w:jc w:val="right"/>
              <w:spacing w:after="0"/>
              <w:rPr>
                <w:sz w:val="20"/>
                <w:szCs w:val="20"/>
                <w:color w:val="auto"/>
              </w:rPr>
            </w:pPr>
            <w:r>
              <w:rPr>
                <w:rFonts w:ascii="Times New Roman" w:cs="Times New Roman" w:eastAsia="Times New Roman" w:hAnsi="Times New Roman"/>
                <w:sz w:val="12"/>
                <w:szCs w:val="12"/>
                <w:color w:val="231F20"/>
              </w:rPr>
              <w:t>$</w:t>
            </w:r>
          </w:p>
        </w:tc>
        <w:tc>
          <w:tcPr>
            <w:tcW w:w="580" w:type="dxa"/>
            <w:vAlign w:val="bottom"/>
            <w:shd w:val="clear" w:color="auto" w:fill="FDFDFC"/>
          </w:tcPr>
          <w:p>
            <w:pPr>
              <w:jc w:val="right"/>
              <w:spacing w:after="0"/>
              <w:rPr>
                <w:sz w:val="20"/>
                <w:szCs w:val="20"/>
                <w:color w:val="auto"/>
              </w:rPr>
            </w:pPr>
            <w:r>
              <w:rPr>
                <w:rFonts w:ascii="Times New Roman" w:cs="Times New Roman" w:eastAsia="Times New Roman" w:hAnsi="Times New Roman"/>
                <w:sz w:val="12"/>
                <w:szCs w:val="12"/>
                <w:color w:val="231F20"/>
              </w:rPr>
              <w:t>16.84</w:t>
            </w:r>
          </w:p>
        </w:tc>
        <w:tc>
          <w:tcPr>
            <w:tcW w:w="0" w:type="dxa"/>
            <w:vAlign w:val="bottom"/>
            <w:shd w:val="clear" w:color="auto" w:fill="FDFDFC"/>
          </w:tcPr>
          <w:p>
            <w:pPr>
              <w:spacing w:after="0"/>
              <w:rPr>
                <w:sz w:val="12"/>
                <w:szCs w:val="12"/>
                <w:color w:val="auto"/>
              </w:rPr>
            </w:pPr>
          </w:p>
        </w:tc>
        <w:tc>
          <w:tcPr>
            <w:tcW w:w="100" w:type="dxa"/>
            <w:vAlign w:val="bottom"/>
            <w:shd w:val="clear" w:color="auto" w:fill="FDFDFC"/>
          </w:tcPr>
          <w:p>
            <w:pPr>
              <w:spacing w:after="0"/>
              <w:rPr>
                <w:sz w:val="12"/>
                <w:szCs w:val="12"/>
                <w:color w:val="auto"/>
              </w:rPr>
            </w:pPr>
          </w:p>
        </w:tc>
        <w:tc>
          <w:tcPr>
            <w:tcW w:w="80" w:type="dxa"/>
            <w:vAlign w:val="bottom"/>
            <w:gridSpan w:val="2"/>
            <w:shd w:val="clear" w:color="auto" w:fill="FDFDFC"/>
          </w:tcPr>
          <w:p>
            <w:pPr>
              <w:jc w:val="right"/>
              <w:spacing w:after="0"/>
              <w:rPr>
                <w:sz w:val="20"/>
                <w:szCs w:val="20"/>
                <w:color w:val="auto"/>
              </w:rPr>
            </w:pPr>
            <w:r>
              <w:rPr>
                <w:rFonts w:ascii="Times New Roman" w:cs="Times New Roman" w:eastAsia="Times New Roman" w:hAnsi="Times New Roman"/>
                <w:sz w:val="12"/>
                <w:szCs w:val="12"/>
                <w:color w:val="231F20"/>
                <w:w w:val="99"/>
              </w:rPr>
              <w:t>$</w:t>
            </w:r>
          </w:p>
        </w:tc>
        <w:tc>
          <w:tcPr>
            <w:tcW w:w="580" w:type="dxa"/>
            <w:vAlign w:val="bottom"/>
            <w:shd w:val="clear" w:color="auto" w:fill="FDFDFC"/>
          </w:tcPr>
          <w:p>
            <w:pPr>
              <w:jc w:val="right"/>
              <w:spacing w:after="0"/>
              <w:rPr>
                <w:sz w:val="20"/>
                <w:szCs w:val="20"/>
                <w:color w:val="auto"/>
              </w:rPr>
            </w:pPr>
            <w:r>
              <w:rPr>
                <w:rFonts w:ascii="Times New Roman" w:cs="Times New Roman" w:eastAsia="Times New Roman" w:hAnsi="Times New Roman"/>
                <w:sz w:val="12"/>
                <w:szCs w:val="12"/>
                <w:color w:val="231F20"/>
              </w:rPr>
              <w:t>17.16</w:t>
            </w:r>
          </w:p>
        </w:tc>
        <w:tc>
          <w:tcPr>
            <w:tcW w:w="20" w:type="dxa"/>
            <w:vAlign w:val="bottom"/>
            <w:shd w:val="clear" w:color="auto" w:fill="FDFDFC"/>
          </w:tcPr>
          <w:p>
            <w:pPr>
              <w:spacing w:after="0"/>
              <w:rPr>
                <w:sz w:val="12"/>
                <w:szCs w:val="12"/>
                <w:color w:val="auto"/>
              </w:rPr>
            </w:pPr>
          </w:p>
        </w:tc>
        <w:tc>
          <w:tcPr>
            <w:tcW w:w="20" w:type="dxa"/>
            <w:vAlign w:val="bottom"/>
            <w:shd w:val="clear" w:color="auto" w:fill="FDFDFC"/>
          </w:tcPr>
          <w:p>
            <w:pPr>
              <w:spacing w:after="0"/>
              <w:rPr>
                <w:sz w:val="12"/>
                <w:szCs w:val="12"/>
                <w:color w:val="auto"/>
              </w:rPr>
            </w:pPr>
          </w:p>
        </w:tc>
        <w:tc>
          <w:tcPr>
            <w:tcW w:w="60" w:type="dxa"/>
            <w:vAlign w:val="bottom"/>
            <w:shd w:val="clear" w:color="auto" w:fill="FDFDFC"/>
          </w:tcPr>
          <w:p>
            <w:pPr>
              <w:spacing w:after="0"/>
              <w:rPr>
                <w:sz w:val="12"/>
                <w:szCs w:val="12"/>
                <w:color w:val="auto"/>
              </w:rPr>
            </w:pPr>
          </w:p>
        </w:tc>
        <w:tc>
          <w:tcPr>
            <w:tcW w:w="80" w:type="dxa"/>
            <w:vAlign w:val="bottom"/>
            <w:shd w:val="clear" w:color="auto" w:fill="FDFDFC"/>
          </w:tcPr>
          <w:p>
            <w:pPr>
              <w:jc w:val="right"/>
              <w:spacing w:after="0"/>
              <w:rPr>
                <w:sz w:val="20"/>
                <w:szCs w:val="20"/>
                <w:color w:val="auto"/>
              </w:rPr>
            </w:pPr>
            <w:r>
              <w:rPr>
                <w:rFonts w:ascii="Times New Roman" w:cs="Times New Roman" w:eastAsia="Times New Roman" w:hAnsi="Times New Roman"/>
                <w:sz w:val="12"/>
                <w:szCs w:val="12"/>
                <w:color w:val="231F20"/>
                <w:w w:val="99"/>
              </w:rPr>
              <w:t>$</w:t>
            </w:r>
          </w:p>
        </w:tc>
        <w:tc>
          <w:tcPr>
            <w:tcW w:w="560" w:type="dxa"/>
            <w:vAlign w:val="bottom"/>
            <w:shd w:val="clear" w:color="auto" w:fill="FDFDFC"/>
          </w:tcPr>
          <w:p>
            <w:pPr>
              <w:jc w:val="right"/>
              <w:spacing w:after="0"/>
              <w:rPr>
                <w:sz w:val="20"/>
                <w:szCs w:val="20"/>
                <w:color w:val="auto"/>
              </w:rPr>
            </w:pPr>
            <w:r>
              <w:rPr>
                <w:rFonts w:ascii="Times New Roman" w:cs="Times New Roman" w:eastAsia="Times New Roman" w:hAnsi="Times New Roman"/>
                <w:sz w:val="12"/>
                <w:szCs w:val="12"/>
                <w:color w:val="231F20"/>
              </w:rPr>
              <w:t>16.83</w:t>
            </w:r>
          </w:p>
        </w:tc>
        <w:tc>
          <w:tcPr>
            <w:tcW w:w="0" w:type="dxa"/>
            <w:vAlign w:val="bottom"/>
            <w:shd w:val="clear" w:color="auto" w:fill="FDFDFC"/>
          </w:tcPr>
          <w:p>
            <w:pPr>
              <w:spacing w:after="0"/>
              <w:rPr>
                <w:sz w:val="12"/>
                <w:szCs w:val="12"/>
                <w:color w:val="auto"/>
              </w:rPr>
            </w:pPr>
          </w:p>
        </w:tc>
        <w:tc>
          <w:tcPr>
            <w:tcW w:w="100" w:type="dxa"/>
            <w:vAlign w:val="bottom"/>
            <w:shd w:val="clear" w:color="auto" w:fill="FDFDFC"/>
          </w:tcPr>
          <w:p>
            <w:pPr>
              <w:spacing w:after="0"/>
              <w:rPr>
                <w:sz w:val="12"/>
                <w:szCs w:val="12"/>
                <w:color w:val="auto"/>
              </w:rPr>
            </w:pPr>
          </w:p>
        </w:tc>
        <w:tc>
          <w:tcPr>
            <w:tcW w:w="80" w:type="dxa"/>
            <w:vAlign w:val="bottom"/>
            <w:gridSpan w:val="2"/>
            <w:shd w:val="clear" w:color="auto" w:fill="FDFDFC"/>
          </w:tcPr>
          <w:p>
            <w:pPr>
              <w:jc w:val="right"/>
              <w:spacing w:after="0"/>
              <w:rPr>
                <w:sz w:val="20"/>
                <w:szCs w:val="20"/>
                <w:color w:val="auto"/>
              </w:rPr>
            </w:pPr>
            <w:r>
              <w:rPr>
                <w:rFonts w:ascii="Times New Roman" w:cs="Times New Roman" w:eastAsia="Times New Roman" w:hAnsi="Times New Roman"/>
                <w:sz w:val="12"/>
                <w:szCs w:val="12"/>
                <w:color w:val="231F20"/>
                <w:w w:val="99"/>
              </w:rPr>
              <w:t>$</w:t>
            </w:r>
          </w:p>
        </w:tc>
        <w:tc>
          <w:tcPr>
            <w:tcW w:w="560" w:type="dxa"/>
            <w:vAlign w:val="bottom"/>
            <w:shd w:val="clear" w:color="auto" w:fill="FDFDFC"/>
          </w:tcPr>
          <w:p>
            <w:pPr>
              <w:jc w:val="right"/>
              <w:spacing w:after="0"/>
              <w:rPr>
                <w:sz w:val="20"/>
                <w:szCs w:val="20"/>
                <w:color w:val="auto"/>
              </w:rPr>
            </w:pPr>
            <w:r>
              <w:rPr>
                <w:rFonts w:ascii="Times New Roman" w:cs="Times New Roman" w:eastAsia="Times New Roman" w:hAnsi="Times New Roman"/>
                <w:sz w:val="12"/>
                <w:szCs w:val="12"/>
                <w:color w:val="231F20"/>
              </w:rPr>
              <w:t>16.25</w:t>
            </w:r>
          </w:p>
        </w:tc>
        <w:tc>
          <w:tcPr>
            <w:tcW w:w="0" w:type="dxa"/>
            <w:vAlign w:val="bottom"/>
            <w:shd w:val="clear" w:color="auto" w:fill="FDFDFC"/>
          </w:tcPr>
          <w:p>
            <w:pPr>
              <w:spacing w:after="0"/>
              <w:rPr>
                <w:sz w:val="12"/>
                <w:szCs w:val="12"/>
                <w:color w:val="auto"/>
              </w:rPr>
            </w:pPr>
          </w:p>
        </w:tc>
        <w:tc>
          <w:tcPr>
            <w:tcW w:w="100" w:type="dxa"/>
            <w:vAlign w:val="bottom"/>
            <w:shd w:val="clear" w:color="auto" w:fill="FDFDFC"/>
          </w:tcPr>
          <w:p>
            <w:pPr>
              <w:spacing w:after="0"/>
              <w:rPr>
                <w:sz w:val="12"/>
                <w:szCs w:val="12"/>
                <w:color w:val="auto"/>
              </w:rPr>
            </w:pPr>
          </w:p>
        </w:tc>
        <w:tc>
          <w:tcPr>
            <w:tcW w:w="80" w:type="dxa"/>
            <w:vAlign w:val="bottom"/>
            <w:gridSpan w:val="2"/>
            <w:shd w:val="clear" w:color="auto" w:fill="FDFDFC"/>
          </w:tcPr>
          <w:p>
            <w:pPr>
              <w:jc w:val="right"/>
              <w:spacing w:after="0"/>
              <w:rPr>
                <w:sz w:val="20"/>
                <w:szCs w:val="20"/>
                <w:color w:val="auto"/>
              </w:rPr>
            </w:pPr>
            <w:r>
              <w:rPr>
                <w:rFonts w:ascii="Times New Roman" w:cs="Times New Roman" w:eastAsia="Times New Roman" w:hAnsi="Times New Roman"/>
                <w:sz w:val="12"/>
                <w:szCs w:val="12"/>
                <w:color w:val="231F20"/>
                <w:w w:val="99"/>
              </w:rPr>
              <w:t>$</w:t>
            </w:r>
          </w:p>
        </w:tc>
        <w:tc>
          <w:tcPr>
            <w:tcW w:w="560" w:type="dxa"/>
            <w:vAlign w:val="bottom"/>
            <w:shd w:val="clear" w:color="auto" w:fill="FDFDFC"/>
          </w:tcPr>
          <w:p>
            <w:pPr>
              <w:jc w:val="right"/>
              <w:spacing w:after="0"/>
              <w:rPr>
                <w:sz w:val="20"/>
                <w:szCs w:val="20"/>
                <w:color w:val="auto"/>
              </w:rPr>
            </w:pPr>
            <w:r>
              <w:rPr>
                <w:rFonts w:ascii="Times New Roman" w:cs="Times New Roman" w:eastAsia="Times New Roman" w:hAnsi="Times New Roman"/>
                <w:sz w:val="12"/>
                <w:szCs w:val="12"/>
                <w:color w:val="231F20"/>
              </w:rPr>
              <w:t>16.09</w:t>
            </w:r>
          </w:p>
        </w:tc>
        <w:tc>
          <w:tcPr>
            <w:tcW w:w="0" w:type="dxa"/>
            <w:vAlign w:val="bottom"/>
            <w:shd w:val="clear" w:color="auto" w:fill="FDFDFC"/>
          </w:tcPr>
          <w:p>
            <w:pPr>
              <w:spacing w:after="0"/>
              <w:rPr>
                <w:sz w:val="12"/>
                <w:szCs w:val="12"/>
                <w:color w:val="auto"/>
              </w:rPr>
            </w:pPr>
          </w:p>
        </w:tc>
        <w:tc>
          <w:tcPr>
            <w:tcW w:w="100" w:type="dxa"/>
            <w:vAlign w:val="bottom"/>
            <w:shd w:val="clear" w:color="auto" w:fill="FDFDFC"/>
          </w:tcPr>
          <w:p>
            <w:pPr>
              <w:spacing w:after="0"/>
              <w:rPr>
                <w:sz w:val="12"/>
                <w:szCs w:val="12"/>
                <w:color w:val="auto"/>
              </w:rPr>
            </w:pPr>
          </w:p>
        </w:tc>
        <w:tc>
          <w:tcPr>
            <w:tcW w:w="80" w:type="dxa"/>
            <w:vAlign w:val="bottom"/>
            <w:gridSpan w:val="2"/>
            <w:shd w:val="clear" w:color="auto" w:fill="FDFDFC"/>
          </w:tcPr>
          <w:p>
            <w:pPr>
              <w:jc w:val="right"/>
              <w:spacing w:after="0"/>
              <w:rPr>
                <w:sz w:val="20"/>
                <w:szCs w:val="20"/>
                <w:color w:val="auto"/>
              </w:rPr>
            </w:pPr>
            <w:r>
              <w:rPr>
                <w:rFonts w:ascii="Times New Roman" w:cs="Times New Roman" w:eastAsia="Times New Roman" w:hAnsi="Times New Roman"/>
                <w:sz w:val="12"/>
                <w:szCs w:val="12"/>
                <w:color w:val="231F20"/>
                <w:w w:val="99"/>
              </w:rPr>
              <w:t>$</w:t>
            </w:r>
          </w:p>
        </w:tc>
        <w:tc>
          <w:tcPr>
            <w:tcW w:w="580" w:type="dxa"/>
            <w:vAlign w:val="bottom"/>
            <w:shd w:val="clear" w:color="auto" w:fill="FDFDFC"/>
          </w:tcPr>
          <w:p>
            <w:pPr>
              <w:jc w:val="right"/>
              <w:spacing w:after="0"/>
              <w:rPr>
                <w:sz w:val="20"/>
                <w:szCs w:val="20"/>
                <w:color w:val="auto"/>
              </w:rPr>
            </w:pPr>
            <w:r>
              <w:rPr>
                <w:rFonts w:ascii="Times New Roman" w:cs="Times New Roman" w:eastAsia="Times New Roman" w:hAnsi="Times New Roman"/>
                <w:sz w:val="12"/>
                <w:szCs w:val="12"/>
                <w:color w:val="231F20"/>
              </w:rPr>
              <w:t>15.95</w:t>
            </w:r>
          </w:p>
        </w:tc>
        <w:tc>
          <w:tcPr>
            <w:tcW w:w="0" w:type="dxa"/>
            <w:vAlign w:val="bottom"/>
            <w:shd w:val="clear" w:color="auto" w:fill="FDFDFC"/>
          </w:tcPr>
          <w:p>
            <w:pPr>
              <w:spacing w:after="0"/>
              <w:rPr>
                <w:sz w:val="12"/>
                <w:szCs w:val="12"/>
                <w:color w:val="auto"/>
              </w:rPr>
            </w:pPr>
          </w:p>
        </w:tc>
        <w:tc>
          <w:tcPr>
            <w:tcW w:w="100" w:type="dxa"/>
            <w:vAlign w:val="bottom"/>
            <w:shd w:val="clear" w:color="auto" w:fill="FDFDFC"/>
          </w:tcPr>
          <w:p>
            <w:pPr>
              <w:spacing w:after="0"/>
              <w:rPr>
                <w:sz w:val="12"/>
                <w:szCs w:val="12"/>
                <w:color w:val="auto"/>
              </w:rPr>
            </w:pPr>
          </w:p>
        </w:tc>
        <w:tc>
          <w:tcPr>
            <w:tcW w:w="80" w:type="dxa"/>
            <w:vAlign w:val="bottom"/>
            <w:shd w:val="clear" w:color="auto" w:fill="FDFDFC"/>
          </w:tcPr>
          <w:p>
            <w:pPr>
              <w:jc w:val="right"/>
              <w:spacing w:after="0"/>
              <w:rPr>
                <w:sz w:val="20"/>
                <w:szCs w:val="20"/>
                <w:color w:val="auto"/>
              </w:rPr>
            </w:pPr>
            <w:r>
              <w:rPr>
                <w:rFonts w:ascii="Times New Roman" w:cs="Times New Roman" w:eastAsia="Times New Roman" w:hAnsi="Times New Roman"/>
                <w:sz w:val="12"/>
                <w:szCs w:val="12"/>
                <w:color w:val="231F20"/>
                <w:w w:val="99"/>
              </w:rPr>
              <w:t>$</w:t>
            </w:r>
          </w:p>
        </w:tc>
        <w:tc>
          <w:tcPr>
            <w:tcW w:w="560" w:type="dxa"/>
            <w:vAlign w:val="bottom"/>
            <w:shd w:val="clear" w:color="auto" w:fill="FDFDFC"/>
          </w:tcPr>
          <w:p>
            <w:pPr>
              <w:jc w:val="right"/>
              <w:spacing w:after="0"/>
              <w:rPr>
                <w:sz w:val="20"/>
                <w:szCs w:val="20"/>
                <w:color w:val="auto"/>
              </w:rPr>
            </w:pPr>
            <w:r>
              <w:rPr>
                <w:rFonts w:ascii="Times New Roman" w:cs="Times New Roman" w:eastAsia="Times New Roman" w:hAnsi="Times New Roman"/>
                <w:sz w:val="12"/>
                <w:szCs w:val="12"/>
                <w:color w:val="231F20"/>
              </w:rPr>
              <w:t>15.15</w:t>
            </w:r>
          </w:p>
        </w:tc>
        <w:tc>
          <w:tcPr>
            <w:tcW w:w="0" w:type="dxa"/>
            <w:vAlign w:val="bottom"/>
            <w:shd w:val="clear" w:color="auto" w:fill="FDFDFC"/>
          </w:tcPr>
          <w:p>
            <w:pPr>
              <w:spacing w:after="0"/>
              <w:rPr>
                <w:sz w:val="12"/>
                <w:szCs w:val="12"/>
                <w:color w:val="auto"/>
              </w:rPr>
            </w:pPr>
          </w:p>
        </w:tc>
        <w:tc>
          <w:tcPr>
            <w:tcW w:w="100" w:type="dxa"/>
            <w:vAlign w:val="bottom"/>
            <w:shd w:val="clear" w:color="auto" w:fill="FDFDFC"/>
          </w:tcPr>
          <w:p>
            <w:pPr>
              <w:spacing w:after="0"/>
              <w:rPr>
                <w:sz w:val="12"/>
                <w:szCs w:val="12"/>
                <w:color w:val="auto"/>
              </w:rPr>
            </w:pPr>
          </w:p>
        </w:tc>
        <w:tc>
          <w:tcPr>
            <w:tcW w:w="100" w:type="dxa"/>
            <w:vAlign w:val="bottom"/>
            <w:gridSpan w:val="2"/>
            <w:shd w:val="clear" w:color="auto" w:fill="FDFDFC"/>
          </w:tcPr>
          <w:p>
            <w:pPr>
              <w:jc w:val="right"/>
              <w:spacing w:after="0"/>
              <w:rPr>
                <w:sz w:val="20"/>
                <w:szCs w:val="20"/>
                <w:color w:val="auto"/>
              </w:rPr>
            </w:pPr>
            <w:r>
              <w:rPr>
                <w:rFonts w:ascii="Times New Roman" w:cs="Times New Roman" w:eastAsia="Times New Roman" w:hAnsi="Times New Roman"/>
                <w:sz w:val="12"/>
                <w:szCs w:val="12"/>
                <w:color w:val="231F20"/>
              </w:rPr>
              <w:t>$</w:t>
            </w:r>
          </w:p>
        </w:tc>
        <w:tc>
          <w:tcPr>
            <w:tcW w:w="560" w:type="dxa"/>
            <w:vAlign w:val="bottom"/>
            <w:shd w:val="clear" w:color="auto" w:fill="FDFDFC"/>
          </w:tcPr>
          <w:p>
            <w:pPr>
              <w:jc w:val="right"/>
              <w:spacing w:after="0"/>
              <w:rPr>
                <w:sz w:val="20"/>
                <w:szCs w:val="20"/>
                <w:color w:val="auto"/>
              </w:rPr>
            </w:pPr>
            <w:r>
              <w:rPr>
                <w:rFonts w:ascii="Times New Roman" w:cs="Times New Roman" w:eastAsia="Times New Roman" w:hAnsi="Times New Roman"/>
                <w:sz w:val="12"/>
                <w:szCs w:val="12"/>
                <w:color w:val="231F20"/>
              </w:rPr>
              <w:t>15.53</w:t>
            </w:r>
          </w:p>
        </w:tc>
        <w:tc>
          <w:tcPr>
            <w:tcW w:w="20" w:type="dxa"/>
            <w:vAlign w:val="bottom"/>
            <w:shd w:val="clear" w:color="auto" w:fill="FDFDFC"/>
          </w:tcPr>
          <w:p>
            <w:pPr>
              <w:spacing w:after="0"/>
              <w:rPr>
                <w:sz w:val="12"/>
                <w:szCs w:val="12"/>
                <w:color w:val="auto"/>
              </w:rPr>
            </w:pPr>
          </w:p>
        </w:tc>
        <w:tc>
          <w:tcPr>
            <w:tcW w:w="20" w:type="dxa"/>
            <w:vAlign w:val="bottom"/>
            <w:shd w:val="clear" w:color="auto" w:fill="FDFDFC"/>
          </w:tcPr>
          <w:p>
            <w:pPr>
              <w:spacing w:after="0"/>
              <w:rPr>
                <w:sz w:val="12"/>
                <w:szCs w:val="12"/>
                <w:color w:val="auto"/>
              </w:rPr>
            </w:pPr>
          </w:p>
        </w:tc>
        <w:tc>
          <w:tcPr>
            <w:tcW w:w="60" w:type="dxa"/>
            <w:vAlign w:val="bottom"/>
            <w:shd w:val="clear" w:color="auto" w:fill="FDFDFC"/>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2660" w:type="dxa"/>
            <w:vAlign w:val="bottom"/>
            <w:shd w:val="clear" w:color="auto" w:fill="D0EBF2"/>
          </w:tcPr>
          <w:p>
            <w:pPr>
              <w:spacing w:after="0"/>
              <w:rPr>
                <w:sz w:val="12"/>
                <w:szCs w:val="12"/>
                <w:color w:val="auto"/>
              </w:rPr>
            </w:pPr>
          </w:p>
        </w:tc>
        <w:tc>
          <w:tcPr>
            <w:tcW w:w="20" w:type="dxa"/>
            <w:vAlign w:val="bottom"/>
            <w:shd w:val="clear" w:color="auto" w:fill="D0EBF2"/>
          </w:tcPr>
          <w:p>
            <w:pPr>
              <w:spacing w:after="0"/>
              <w:rPr>
                <w:sz w:val="12"/>
                <w:szCs w:val="12"/>
                <w:color w:val="auto"/>
              </w:rPr>
            </w:pPr>
          </w:p>
        </w:tc>
        <w:tc>
          <w:tcPr>
            <w:tcW w:w="20" w:type="dxa"/>
            <w:vAlign w:val="bottom"/>
            <w:shd w:val="clear" w:color="auto" w:fill="D0EBF2"/>
          </w:tcPr>
          <w:p>
            <w:pPr>
              <w:spacing w:after="0"/>
              <w:rPr>
                <w:sz w:val="12"/>
                <w:szCs w:val="12"/>
                <w:color w:val="auto"/>
              </w:rPr>
            </w:pPr>
          </w:p>
        </w:tc>
        <w:tc>
          <w:tcPr>
            <w:tcW w:w="20" w:type="dxa"/>
            <w:vAlign w:val="bottom"/>
            <w:shd w:val="clear" w:color="auto" w:fill="D0EBF2"/>
          </w:tcPr>
          <w:p>
            <w:pPr>
              <w:spacing w:after="0"/>
              <w:rPr>
                <w:sz w:val="12"/>
                <w:szCs w:val="12"/>
                <w:color w:val="auto"/>
              </w:rPr>
            </w:pPr>
          </w:p>
        </w:tc>
        <w:tc>
          <w:tcPr>
            <w:tcW w:w="0" w:type="dxa"/>
            <w:vAlign w:val="bottom"/>
            <w:shd w:val="clear" w:color="auto" w:fill="D0EBF2"/>
          </w:tcPr>
          <w:p>
            <w:pPr>
              <w:spacing w:after="0"/>
              <w:rPr>
                <w:sz w:val="12"/>
                <w:szCs w:val="12"/>
                <w:color w:val="auto"/>
              </w:rPr>
            </w:pPr>
          </w:p>
        </w:tc>
        <w:tc>
          <w:tcPr>
            <w:tcW w:w="560" w:type="dxa"/>
            <w:vAlign w:val="bottom"/>
            <w:shd w:val="clear" w:color="auto" w:fill="D0EBF2"/>
          </w:tcPr>
          <w:p>
            <w:pPr>
              <w:spacing w:after="0"/>
              <w:rPr>
                <w:sz w:val="12"/>
                <w:szCs w:val="12"/>
                <w:color w:val="auto"/>
              </w:rPr>
            </w:pPr>
          </w:p>
        </w:tc>
        <w:tc>
          <w:tcPr>
            <w:tcW w:w="120" w:type="dxa"/>
            <w:vAlign w:val="bottom"/>
            <w:shd w:val="clear" w:color="auto" w:fill="D0EBF2"/>
          </w:tcPr>
          <w:p>
            <w:pPr>
              <w:spacing w:after="0"/>
              <w:rPr>
                <w:sz w:val="12"/>
                <w:szCs w:val="12"/>
                <w:color w:val="auto"/>
              </w:rPr>
            </w:pPr>
          </w:p>
        </w:tc>
        <w:tc>
          <w:tcPr>
            <w:tcW w:w="40" w:type="dxa"/>
            <w:vAlign w:val="bottom"/>
            <w:shd w:val="clear" w:color="auto" w:fill="D0EBF2"/>
          </w:tcPr>
          <w:p>
            <w:pPr>
              <w:spacing w:after="0"/>
              <w:rPr>
                <w:sz w:val="12"/>
                <w:szCs w:val="12"/>
                <w:color w:val="auto"/>
              </w:rPr>
            </w:pPr>
          </w:p>
        </w:tc>
        <w:tc>
          <w:tcPr>
            <w:tcW w:w="60" w:type="dxa"/>
            <w:vAlign w:val="bottom"/>
            <w:shd w:val="clear" w:color="auto" w:fill="D0EBF2"/>
          </w:tcPr>
          <w:p>
            <w:pPr>
              <w:spacing w:after="0"/>
              <w:rPr>
                <w:sz w:val="12"/>
                <w:szCs w:val="12"/>
                <w:color w:val="auto"/>
              </w:rPr>
            </w:pPr>
          </w:p>
        </w:tc>
        <w:tc>
          <w:tcPr>
            <w:tcW w:w="580" w:type="dxa"/>
            <w:vAlign w:val="bottom"/>
            <w:shd w:val="clear" w:color="auto" w:fill="D0EBF2"/>
          </w:tcPr>
          <w:p>
            <w:pPr>
              <w:spacing w:after="0"/>
              <w:rPr>
                <w:sz w:val="12"/>
                <w:szCs w:val="12"/>
                <w:color w:val="auto"/>
              </w:rPr>
            </w:pPr>
          </w:p>
        </w:tc>
        <w:tc>
          <w:tcPr>
            <w:tcW w:w="0" w:type="dxa"/>
            <w:vAlign w:val="bottom"/>
            <w:shd w:val="clear" w:color="auto" w:fill="D0EBF2"/>
          </w:tcPr>
          <w:p>
            <w:pPr>
              <w:spacing w:after="0"/>
              <w:rPr>
                <w:sz w:val="12"/>
                <w:szCs w:val="12"/>
                <w:color w:val="auto"/>
              </w:rPr>
            </w:pPr>
          </w:p>
        </w:tc>
        <w:tc>
          <w:tcPr>
            <w:tcW w:w="100" w:type="dxa"/>
            <w:vAlign w:val="bottom"/>
            <w:shd w:val="clear" w:color="auto" w:fill="D0EBF2"/>
          </w:tcPr>
          <w:p>
            <w:pPr>
              <w:spacing w:after="0"/>
              <w:rPr>
                <w:sz w:val="12"/>
                <w:szCs w:val="12"/>
                <w:color w:val="auto"/>
              </w:rPr>
            </w:pPr>
          </w:p>
        </w:tc>
        <w:tc>
          <w:tcPr>
            <w:tcW w:w="40" w:type="dxa"/>
            <w:vAlign w:val="bottom"/>
            <w:shd w:val="clear" w:color="auto" w:fill="D0EBF2"/>
          </w:tcPr>
          <w:p>
            <w:pPr>
              <w:spacing w:after="0"/>
              <w:rPr>
                <w:sz w:val="12"/>
                <w:szCs w:val="12"/>
                <w:color w:val="auto"/>
              </w:rPr>
            </w:pPr>
          </w:p>
        </w:tc>
        <w:tc>
          <w:tcPr>
            <w:tcW w:w="60" w:type="dxa"/>
            <w:vAlign w:val="bottom"/>
            <w:shd w:val="clear" w:color="auto" w:fill="D0EBF2"/>
          </w:tcPr>
          <w:p>
            <w:pPr>
              <w:spacing w:after="0"/>
              <w:rPr>
                <w:sz w:val="12"/>
                <w:szCs w:val="12"/>
                <w:color w:val="auto"/>
              </w:rPr>
            </w:pPr>
          </w:p>
        </w:tc>
        <w:tc>
          <w:tcPr>
            <w:tcW w:w="580" w:type="dxa"/>
            <w:vAlign w:val="bottom"/>
            <w:shd w:val="clear" w:color="auto" w:fill="D0EBF2"/>
          </w:tcPr>
          <w:p>
            <w:pPr>
              <w:spacing w:after="0"/>
              <w:rPr>
                <w:sz w:val="12"/>
                <w:szCs w:val="12"/>
                <w:color w:val="auto"/>
              </w:rPr>
            </w:pPr>
          </w:p>
        </w:tc>
        <w:tc>
          <w:tcPr>
            <w:tcW w:w="0" w:type="dxa"/>
            <w:vAlign w:val="bottom"/>
            <w:shd w:val="clear" w:color="auto" w:fill="D0EBF2"/>
          </w:tcPr>
          <w:p>
            <w:pPr>
              <w:spacing w:after="0"/>
              <w:rPr>
                <w:sz w:val="12"/>
                <w:szCs w:val="12"/>
                <w:color w:val="auto"/>
              </w:rPr>
            </w:pPr>
          </w:p>
        </w:tc>
        <w:tc>
          <w:tcPr>
            <w:tcW w:w="100" w:type="dxa"/>
            <w:vAlign w:val="bottom"/>
            <w:shd w:val="clear" w:color="auto" w:fill="D0EBF2"/>
          </w:tcPr>
          <w:p>
            <w:pPr>
              <w:spacing w:after="0"/>
              <w:rPr>
                <w:sz w:val="12"/>
                <w:szCs w:val="12"/>
                <w:color w:val="auto"/>
              </w:rPr>
            </w:pPr>
          </w:p>
        </w:tc>
        <w:tc>
          <w:tcPr>
            <w:tcW w:w="20" w:type="dxa"/>
            <w:vAlign w:val="bottom"/>
            <w:shd w:val="clear" w:color="auto" w:fill="D0EBF2"/>
          </w:tcPr>
          <w:p>
            <w:pPr>
              <w:spacing w:after="0"/>
              <w:rPr>
                <w:sz w:val="12"/>
                <w:szCs w:val="12"/>
                <w:color w:val="auto"/>
              </w:rPr>
            </w:pPr>
          </w:p>
        </w:tc>
        <w:tc>
          <w:tcPr>
            <w:tcW w:w="60" w:type="dxa"/>
            <w:vAlign w:val="bottom"/>
            <w:shd w:val="clear" w:color="auto" w:fill="D0EBF2"/>
          </w:tcPr>
          <w:p>
            <w:pPr>
              <w:spacing w:after="0"/>
              <w:rPr>
                <w:sz w:val="12"/>
                <w:szCs w:val="12"/>
                <w:color w:val="auto"/>
              </w:rPr>
            </w:pPr>
          </w:p>
        </w:tc>
        <w:tc>
          <w:tcPr>
            <w:tcW w:w="580" w:type="dxa"/>
            <w:vAlign w:val="bottom"/>
            <w:shd w:val="clear" w:color="auto" w:fill="D0EBF2"/>
          </w:tcPr>
          <w:p>
            <w:pPr>
              <w:spacing w:after="0"/>
              <w:rPr>
                <w:sz w:val="12"/>
                <w:szCs w:val="12"/>
                <w:color w:val="auto"/>
              </w:rPr>
            </w:pPr>
          </w:p>
        </w:tc>
        <w:tc>
          <w:tcPr>
            <w:tcW w:w="20" w:type="dxa"/>
            <w:vAlign w:val="bottom"/>
            <w:shd w:val="clear" w:color="auto" w:fill="D0EBF2"/>
          </w:tcPr>
          <w:p>
            <w:pPr>
              <w:spacing w:after="0"/>
              <w:rPr>
                <w:sz w:val="12"/>
                <w:szCs w:val="12"/>
                <w:color w:val="auto"/>
              </w:rPr>
            </w:pPr>
          </w:p>
        </w:tc>
        <w:tc>
          <w:tcPr>
            <w:tcW w:w="20" w:type="dxa"/>
            <w:vAlign w:val="bottom"/>
            <w:shd w:val="clear" w:color="auto" w:fill="D0EBF2"/>
          </w:tcPr>
          <w:p>
            <w:pPr>
              <w:spacing w:after="0"/>
              <w:rPr>
                <w:sz w:val="12"/>
                <w:szCs w:val="12"/>
                <w:color w:val="auto"/>
              </w:rPr>
            </w:pPr>
          </w:p>
        </w:tc>
        <w:tc>
          <w:tcPr>
            <w:tcW w:w="60" w:type="dxa"/>
            <w:vAlign w:val="bottom"/>
            <w:shd w:val="clear" w:color="auto" w:fill="D0EBF2"/>
          </w:tcPr>
          <w:p>
            <w:pPr>
              <w:spacing w:after="0"/>
              <w:rPr>
                <w:sz w:val="12"/>
                <w:szCs w:val="12"/>
                <w:color w:val="auto"/>
              </w:rPr>
            </w:pPr>
          </w:p>
        </w:tc>
        <w:tc>
          <w:tcPr>
            <w:tcW w:w="80" w:type="dxa"/>
            <w:vAlign w:val="bottom"/>
            <w:shd w:val="clear" w:color="auto" w:fill="D0EBF2"/>
          </w:tcPr>
          <w:p>
            <w:pPr>
              <w:spacing w:after="0"/>
              <w:rPr>
                <w:sz w:val="12"/>
                <w:szCs w:val="12"/>
                <w:color w:val="auto"/>
              </w:rPr>
            </w:pPr>
          </w:p>
        </w:tc>
        <w:tc>
          <w:tcPr>
            <w:tcW w:w="560" w:type="dxa"/>
            <w:vAlign w:val="bottom"/>
            <w:shd w:val="clear" w:color="auto" w:fill="D0EBF2"/>
          </w:tcPr>
          <w:p>
            <w:pPr>
              <w:spacing w:after="0"/>
              <w:rPr>
                <w:sz w:val="12"/>
                <w:szCs w:val="12"/>
                <w:color w:val="auto"/>
              </w:rPr>
            </w:pPr>
          </w:p>
        </w:tc>
        <w:tc>
          <w:tcPr>
            <w:tcW w:w="0" w:type="dxa"/>
            <w:vAlign w:val="bottom"/>
            <w:shd w:val="clear" w:color="auto" w:fill="D0EBF2"/>
          </w:tcPr>
          <w:p>
            <w:pPr>
              <w:spacing w:after="0"/>
              <w:rPr>
                <w:sz w:val="12"/>
                <w:szCs w:val="12"/>
                <w:color w:val="auto"/>
              </w:rPr>
            </w:pPr>
          </w:p>
        </w:tc>
        <w:tc>
          <w:tcPr>
            <w:tcW w:w="100" w:type="dxa"/>
            <w:vAlign w:val="bottom"/>
            <w:shd w:val="clear" w:color="auto" w:fill="D0EBF2"/>
          </w:tcPr>
          <w:p>
            <w:pPr>
              <w:spacing w:after="0"/>
              <w:rPr>
                <w:sz w:val="12"/>
                <w:szCs w:val="12"/>
                <w:color w:val="auto"/>
              </w:rPr>
            </w:pPr>
          </w:p>
        </w:tc>
        <w:tc>
          <w:tcPr>
            <w:tcW w:w="20" w:type="dxa"/>
            <w:vAlign w:val="bottom"/>
            <w:shd w:val="clear" w:color="auto" w:fill="D0EBF2"/>
          </w:tcPr>
          <w:p>
            <w:pPr>
              <w:spacing w:after="0"/>
              <w:rPr>
                <w:sz w:val="12"/>
                <w:szCs w:val="12"/>
                <w:color w:val="auto"/>
              </w:rPr>
            </w:pPr>
          </w:p>
        </w:tc>
        <w:tc>
          <w:tcPr>
            <w:tcW w:w="60" w:type="dxa"/>
            <w:vAlign w:val="bottom"/>
            <w:shd w:val="clear" w:color="auto" w:fill="D0EBF2"/>
          </w:tcPr>
          <w:p>
            <w:pPr>
              <w:spacing w:after="0"/>
              <w:rPr>
                <w:sz w:val="12"/>
                <w:szCs w:val="12"/>
                <w:color w:val="auto"/>
              </w:rPr>
            </w:pPr>
          </w:p>
        </w:tc>
        <w:tc>
          <w:tcPr>
            <w:tcW w:w="560" w:type="dxa"/>
            <w:vAlign w:val="bottom"/>
            <w:shd w:val="clear" w:color="auto" w:fill="D0EBF2"/>
          </w:tcPr>
          <w:p>
            <w:pPr>
              <w:spacing w:after="0"/>
              <w:rPr>
                <w:sz w:val="12"/>
                <w:szCs w:val="12"/>
                <w:color w:val="auto"/>
              </w:rPr>
            </w:pPr>
          </w:p>
        </w:tc>
        <w:tc>
          <w:tcPr>
            <w:tcW w:w="0" w:type="dxa"/>
            <w:vAlign w:val="bottom"/>
            <w:shd w:val="clear" w:color="auto" w:fill="D0EBF2"/>
          </w:tcPr>
          <w:p>
            <w:pPr>
              <w:spacing w:after="0"/>
              <w:rPr>
                <w:sz w:val="12"/>
                <w:szCs w:val="12"/>
                <w:color w:val="auto"/>
              </w:rPr>
            </w:pPr>
          </w:p>
        </w:tc>
        <w:tc>
          <w:tcPr>
            <w:tcW w:w="100" w:type="dxa"/>
            <w:vAlign w:val="bottom"/>
            <w:shd w:val="clear" w:color="auto" w:fill="D0EBF2"/>
          </w:tcPr>
          <w:p>
            <w:pPr>
              <w:spacing w:after="0"/>
              <w:rPr>
                <w:sz w:val="12"/>
                <w:szCs w:val="12"/>
                <w:color w:val="auto"/>
              </w:rPr>
            </w:pPr>
          </w:p>
        </w:tc>
        <w:tc>
          <w:tcPr>
            <w:tcW w:w="20" w:type="dxa"/>
            <w:vAlign w:val="bottom"/>
            <w:shd w:val="clear" w:color="auto" w:fill="D0EBF2"/>
          </w:tcPr>
          <w:p>
            <w:pPr>
              <w:spacing w:after="0"/>
              <w:rPr>
                <w:sz w:val="12"/>
                <w:szCs w:val="12"/>
                <w:color w:val="auto"/>
              </w:rPr>
            </w:pPr>
          </w:p>
        </w:tc>
        <w:tc>
          <w:tcPr>
            <w:tcW w:w="60" w:type="dxa"/>
            <w:vAlign w:val="bottom"/>
            <w:shd w:val="clear" w:color="auto" w:fill="D0EBF2"/>
          </w:tcPr>
          <w:p>
            <w:pPr>
              <w:spacing w:after="0"/>
              <w:rPr>
                <w:sz w:val="12"/>
                <w:szCs w:val="12"/>
                <w:color w:val="auto"/>
              </w:rPr>
            </w:pPr>
          </w:p>
        </w:tc>
        <w:tc>
          <w:tcPr>
            <w:tcW w:w="560" w:type="dxa"/>
            <w:vAlign w:val="bottom"/>
            <w:shd w:val="clear" w:color="auto" w:fill="D0EBF2"/>
          </w:tcPr>
          <w:p>
            <w:pPr>
              <w:spacing w:after="0"/>
              <w:rPr>
                <w:sz w:val="12"/>
                <w:szCs w:val="12"/>
                <w:color w:val="auto"/>
              </w:rPr>
            </w:pPr>
          </w:p>
        </w:tc>
        <w:tc>
          <w:tcPr>
            <w:tcW w:w="0" w:type="dxa"/>
            <w:vAlign w:val="bottom"/>
            <w:shd w:val="clear" w:color="auto" w:fill="D0EBF2"/>
          </w:tcPr>
          <w:p>
            <w:pPr>
              <w:spacing w:after="0"/>
              <w:rPr>
                <w:sz w:val="12"/>
                <w:szCs w:val="12"/>
                <w:color w:val="auto"/>
              </w:rPr>
            </w:pPr>
          </w:p>
        </w:tc>
        <w:tc>
          <w:tcPr>
            <w:tcW w:w="100" w:type="dxa"/>
            <w:vAlign w:val="bottom"/>
            <w:shd w:val="clear" w:color="auto" w:fill="D0EBF2"/>
          </w:tcPr>
          <w:p>
            <w:pPr>
              <w:spacing w:after="0"/>
              <w:rPr>
                <w:sz w:val="12"/>
                <w:szCs w:val="12"/>
                <w:color w:val="auto"/>
              </w:rPr>
            </w:pPr>
          </w:p>
        </w:tc>
        <w:tc>
          <w:tcPr>
            <w:tcW w:w="20" w:type="dxa"/>
            <w:vAlign w:val="bottom"/>
            <w:shd w:val="clear" w:color="auto" w:fill="D0EBF2"/>
          </w:tcPr>
          <w:p>
            <w:pPr>
              <w:spacing w:after="0"/>
              <w:rPr>
                <w:sz w:val="12"/>
                <w:szCs w:val="12"/>
                <w:color w:val="auto"/>
              </w:rPr>
            </w:pPr>
          </w:p>
        </w:tc>
        <w:tc>
          <w:tcPr>
            <w:tcW w:w="60" w:type="dxa"/>
            <w:vAlign w:val="bottom"/>
            <w:shd w:val="clear" w:color="auto" w:fill="D0EBF2"/>
          </w:tcPr>
          <w:p>
            <w:pPr>
              <w:spacing w:after="0"/>
              <w:rPr>
                <w:sz w:val="12"/>
                <w:szCs w:val="12"/>
                <w:color w:val="auto"/>
              </w:rPr>
            </w:pPr>
          </w:p>
        </w:tc>
        <w:tc>
          <w:tcPr>
            <w:tcW w:w="580" w:type="dxa"/>
            <w:vAlign w:val="bottom"/>
            <w:shd w:val="clear" w:color="auto" w:fill="D0EBF2"/>
          </w:tcPr>
          <w:p>
            <w:pPr>
              <w:spacing w:after="0"/>
              <w:rPr>
                <w:sz w:val="12"/>
                <w:szCs w:val="12"/>
                <w:color w:val="auto"/>
              </w:rPr>
            </w:pPr>
          </w:p>
        </w:tc>
        <w:tc>
          <w:tcPr>
            <w:tcW w:w="0" w:type="dxa"/>
            <w:vAlign w:val="bottom"/>
            <w:shd w:val="clear" w:color="auto" w:fill="D0EBF2"/>
          </w:tcPr>
          <w:p>
            <w:pPr>
              <w:spacing w:after="0"/>
              <w:rPr>
                <w:sz w:val="12"/>
                <w:szCs w:val="12"/>
                <w:color w:val="auto"/>
              </w:rPr>
            </w:pPr>
          </w:p>
        </w:tc>
        <w:tc>
          <w:tcPr>
            <w:tcW w:w="100" w:type="dxa"/>
            <w:vAlign w:val="bottom"/>
            <w:shd w:val="clear" w:color="auto" w:fill="D0EBF2"/>
          </w:tcPr>
          <w:p>
            <w:pPr>
              <w:spacing w:after="0"/>
              <w:rPr>
                <w:sz w:val="12"/>
                <w:szCs w:val="12"/>
                <w:color w:val="auto"/>
              </w:rPr>
            </w:pPr>
          </w:p>
        </w:tc>
        <w:tc>
          <w:tcPr>
            <w:tcW w:w="80" w:type="dxa"/>
            <w:vAlign w:val="bottom"/>
            <w:shd w:val="clear" w:color="auto" w:fill="D0EBF2"/>
          </w:tcPr>
          <w:p>
            <w:pPr>
              <w:spacing w:after="0"/>
              <w:rPr>
                <w:sz w:val="12"/>
                <w:szCs w:val="12"/>
                <w:color w:val="auto"/>
              </w:rPr>
            </w:pPr>
          </w:p>
        </w:tc>
        <w:tc>
          <w:tcPr>
            <w:tcW w:w="560" w:type="dxa"/>
            <w:vAlign w:val="bottom"/>
            <w:shd w:val="clear" w:color="auto" w:fill="D0EBF2"/>
          </w:tcPr>
          <w:p>
            <w:pPr>
              <w:spacing w:after="0"/>
              <w:rPr>
                <w:sz w:val="12"/>
                <w:szCs w:val="12"/>
                <w:color w:val="auto"/>
              </w:rPr>
            </w:pPr>
          </w:p>
        </w:tc>
        <w:tc>
          <w:tcPr>
            <w:tcW w:w="0" w:type="dxa"/>
            <w:vAlign w:val="bottom"/>
            <w:shd w:val="clear" w:color="auto" w:fill="D0EBF2"/>
          </w:tcPr>
          <w:p>
            <w:pPr>
              <w:spacing w:after="0"/>
              <w:rPr>
                <w:sz w:val="12"/>
                <w:szCs w:val="12"/>
                <w:color w:val="auto"/>
              </w:rPr>
            </w:pPr>
          </w:p>
        </w:tc>
        <w:tc>
          <w:tcPr>
            <w:tcW w:w="100" w:type="dxa"/>
            <w:vAlign w:val="bottom"/>
            <w:shd w:val="clear" w:color="auto" w:fill="D0EBF2"/>
          </w:tcPr>
          <w:p>
            <w:pPr>
              <w:spacing w:after="0"/>
              <w:rPr>
                <w:sz w:val="12"/>
                <w:szCs w:val="12"/>
                <w:color w:val="auto"/>
              </w:rPr>
            </w:pPr>
          </w:p>
        </w:tc>
        <w:tc>
          <w:tcPr>
            <w:tcW w:w="20" w:type="dxa"/>
            <w:vAlign w:val="bottom"/>
            <w:shd w:val="clear" w:color="auto" w:fill="D0EBF2"/>
          </w:tcPr>
          <w:p>
            <w:pPr>
              <w:spacing w:after="0"/>
              <w:rPr>
                <w:sz w:val="12"/>
                <w:szCs w:val="12"/>
                <w:color w:val="auto"/>
              </w:rPr>
            </w:pPr>
          </w:p>
        </w:tc>
        <w:tc>
          <w:tcPr>
            <w:tcW w:w="80" w:type="dxa"/>
            <w:vAlign w:val="bottom"/>
            <w:shd w:val="clear" w:color="auto" w:fill="D0EBF2"/>
          </w:tcPr>
          <w:p>
            <w:pPr>
              <w:spacing w:after="0"/>
              <w:rPr>
                <w:sz w:val="12"/>
                <w:szCs w:val="12"/>
                <w:color w:val="auto"/>
              </w:rPr>
            </w:pPr>
          </w:p>
        </w:tc>
        <w:tc>
          <w:tcPr>
            <w:tcW w:w="560" w:type="dxa"/>
            <w:vAlign w:val="bottom"/>
            <w:shd w:val="clear" w:color="auto" w:fill="D0EBF2"/>
          </w:tcPr>
          <w:p>
            <w:pPr>
              <w:spacing w:after="0"/>
              <w:rPr>
                <w:sz w:val="12"/>
                <w:szCs w:val="12"/>
                <w:color w:val="auto"/>
              </w:rPr>
            </w:pPr>
          </w:p>
        </w:tc>
        <w:tc>
          <w:tcPr>
            <w:tcW w:w="20" w:type="dxa"/>
            <w:vAlign w:val="bottom"/>
            <w:shd w:val="clear" w:color="auto" w:fill="D0EBF2"/>
          </w:tcPr>
          <w:p>
            <w:pPr>
              <w:spacing w:after="0"/>
              <w:rPr>
                <w:sz w:val="12"/>
                <w:szCs w:val="12"/>
                <w:color w:val="auto"/>
              </w:rPr>
            </w:pPr>
          </w:p>
        </w:tc>
        <w:tc>
          <w:tcPr>
            <w:tcW w:w="20" w:type="dxa"/>
            <w:vAlign w:val="bottom"/>
            <w:shd w:val="clear" w:color="auto" w:fill="D0EBF2"/>
          </w:tcPr>
          <w:p>
            <w:pPr>
              <w:spacing w:after="0"/>
              <w:rPr>
                <w:sz w:val="12"/>
                <w:szCs w:val="12"/>
                <w:color w:val="auto"/>
              </w:rPr>
            </w:pPr>
          </w:p>
        </w:tc>
        <w:tc>
          <w:tcPr>
            <w:tcW w:w="60" w:type="dxa"/>
            <w:vAlign w:val="bottom"/>
            <w:shd w:val="clear" w:color="auto" w:fill="D0EBF2"/>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2720" w:type="dxa"/>
            <w:vAlign w:val="bottom"/>
            <w:gridSpan w:val="4"/>
            <w:shd w:val="clear" w:color="auto" w:fill="FDFDFC"/>
          </w:tcPr>
          <w:p>
            <w:pPr>
              <w:spacing w:after="0"/>
              <w:rPr>
                <w:sz w:val="20"/>
                <w:szCs w:val="20"/>
                <w:color w:val="auto"/>
              </w:rPr>
            </w:pPr>
            <w:r>
              <w:rPr>
                <w:rFonts w:ascii="Times New Roman" w:cs="Times New Roman" w:eastAsia="Times New Roman" w:hAnsi="Times New Roman"/>
                <w:sz w:val="12"/>
                <w:szCs w:val="12"/>
                <w:color w:val="231F20"/>
              </w:rPr>
              <w:t xml:space="preserve">Net investment income </w:t>
            </w:r>
            <w:r>
              <w:rPr>
                <w:rFonts w:ascii="Times New Roman" w:cs="Times New Roman" w:eastAsia="Times New Roman" w:hAnsi="Times New Roman"/>
                <w:sz w:val="7"/>
                <w:szCs w:val="7"/>
                <w:color w:val="231F20"/>
              </w:rPr>
              <w:t>(1)</w:t>
            </w:r>
          </w:p>
        </w:tc>
        <w:tc>
          <w:tcPr>
            <w:tcW w:w="0" w:type="dxa"/>
            <w:vAlign w:val="bottom"/>
            <w:shd w:val="clear" w:color="auto" w:fill="FDFDFC"/>
          </w:tcPr>
          <w:p>
            <w:pPr>
              <w:spacing w:after="0"/>
              <w:rPr>
                <w:sz w:val="12"/>
                <w:szCs w:val="12"/>
                <w:color w:val="auto"/>
              </w:rPr>
            </w:pPr>
          </w:p>
        </w:tc>
        <w:tc>
          <w:tcPr>
            <w:tcW w:w="560" w:type="dxa"/>
            <w:vAlign w:val="bottom"/>
            <w:shd w:val="clear" w:color="auto" w:fill="FDFDFC"/>
          </w:tcPr>
          <w:p>
            <w:pPr>
              <w:jc w:val="right"/>
              <w:spacing w:after="0"/>
              <w:rPr>
                <w:sz w:val="20"/>
                <w:szCs w:val="20"/>
                <w:color w:val="auto"/>
              </w:rPr>
            </w:pPr>
            <w:r>
              <w:rPr>
                <w:rFonts w:ascii="Times New Roman" w:cs="Times New Roman" w:eastAsia="Times New Roman" w:hAnsi="Times New Roman"/>
                <w:sz w:val="12"/>
                <w:szCs w:val="12"/>
                <w:color w:val="231F20"/>
              </w:rPr>
              <w:t>2.39</w:t>
            </w:r>
          </w:p>
        </w:tc>
        <w:tc>
          <w:tcPr>
            <w:tcW w:w="120" w:type="dxa"/>
            <w:vAlign w:val="bottom"/>
            <w:shd w:val="clear" w:color="auto" w:fill="FDFDFC"/>
          </w:tcPr>
          <w:p>
            <w:pPr>
              <w:spacing w:after="0"/>
              <w:rPr>
                <w:sz w:val="12"/>
                <w:szCs w:val="12"/>
                <w:color w:val="auto"/>
              </w:rPr>
            </w:pPr>
          </w:p>
        </w:tc>
        <w:tc>
          <w:tcPr>
            <w:tcW w:w="40" w:type="dxa"/>
            <w:vAlign w:val="bottom"/>
            <w:shd w:val="clear" w:color="auto" w:fill="FDFDFC"/>
          </w:tcPr>
          <w:p>
            <w:pPr>
              <w:spacing w:after="0"/>
              <w:rPr>
                <w:sz w:val="12"/>
                <w:szCs w:val="12"/>
                <w:color w:val="auto"/>
              </w:rPr>
            </w:pPr>
          </w:p>
        </w:tc>
        <w:tc>
          <w:tcPr>
            <w:tcW w:w="60" w:type="dxa"/>
            <w:vAlign w:val="bottom"/>
            <w:shd w:val="clear" w:color="auto" w:fill="FDFDFC"/>
          </w:tcPr>
          <w:p>
            <w:pPr>
              <w:spacing w:after="0"/>
              <w:rPr>
                <w:sz w:val="12"/>
                <w:szCs w:val="12"/>
                <w:color w:val="auto"/>
              </w:rPr>
            </w:pPr>
          </w:p>
        </w:tc>
        <w:tc>
          <w:tcPr>
            <w:tcW w:w="580" w:type="dxa"/>
            <w:vAlign w:val="bottom"/>
            <w:shd w:val="clear" w:color="auto" w:fill="FDFDFC"/>
          </w:tcPr>
          <w:p>
            <w:pPr>
              <w:jc w:val="right"/>
              <w:spacing w:after="0"/>
              <w:rPr>
                <w:sz w:val="20"/>
                <w:szCs w:val="20"/>
                <w:color w:val="auto"/>
              </w:rPr>
            </w:pPr>
            <w:r>
              <w:rPr>
                <w:rFonts w:ascii="Times New Roman" w:cs="Times New Roman" w:eastAsia="Times New Roman" w:hAnsi="Times New Roman"/>
                <w:sz w:val="12"/>
                <w:szCs w:val="12"/>
                <w:color w:val="231F20"/>
              </w:rPr>
              <w:t>2.31</w:t>
            </w:r>
          </w:p>
        </w:tc>
        <w:tc>
          <w:tcPr>
            <w:tcW w:w="0" w:type="dxa"/>
            <w:vAlign w:val="bottom"/>
            <w:shd w:val="clear" w:color="auto" w:fill="FDFDFC"/>
          </w:tcPr>
          <w:p>
            <w:pPr>
              <w:spacing w:after="0"/>
              <w:rPr>
                <w:sz w:val="12"/>
                <w:szCs w:val="12"/>
                <w:color w:val="auto"/>
              </w:rPr>
            </w:pPr>
          </w:p>
        </w:tc>
        <w:tc>
          <w:tcPr>
            <w:tcW w:w="100" w:type="dxa"/>
            <w:vAlign w:val="bottom"/>
            <w:shd w:val="clear" w:color="auto" w:fill="FDFDFC"/>
          </w:tcPr>
          <w:p>
            <w:pPr>
              <w:spacing w:after="0"/>
              <w:rPr>
                <w:sz w:val="12"/>
                <w:szCs w:val="12"/>
                <w:color w:val="auto"/>
              </w:rPr>
            </w:pPr>
          </w:p>
        </w:tc>
        <w:tc>
          <w:tcPr>
            <w:tcW w:w="40" w:type="dxa"/>
            <w:vAlign w:val="bottom"/>
            <w:shd w:val="clear" w:color="auto" w:fill="FDFDFC"/>
          </w:tcPr>
          <w:p>
            <w:pPr>
              <w:spacing w:after="0"/>
              <w:rPr>
                <w:sz w:val="12"/>
                <w:szCs w:val="12"/>
                <w:color w:val="auto"/>
              </w:rPr>
            </w:pPr>
          </w:p>
        </w:tc>
        <w:tc>
          <w:tcPr>
            <w:tcW w:w="60" w:type="dxa"/>
            <w:vAlign w:val="bottom"/>
            <w:shd w:val="clear" w:color="auto" w:fill="FDFDFC"/>
          </w:tcPr>
          <w:p>
            <w:pPr>
              <w:spacing w:after="0"/>
              <w:rPr>
                <w:sz w:val="12"/>
                <w:szCs w:val="12"/>
                <w:color w:val="auto"/>
              </w:rPr>
            </w:pPr>
          </w:p>
        </w:tc>
        <w:tc>
          <w:tcPr>
            <w:tcW w:w="580" w:type="dxa"/>
            <w:vAlign w:val="bottom"/>
            <w:shd w:val="clear" w:color="auto" w:fill="FDFDFC"/>
          </w:tcPr>
          <w:p>
            <w:pPr>
              <w:jc w:val="right"/>
              <w:spacing w:after="0"/>
              <w:rPr>
                <w:sz w:val="20"/>
                <w:szCs w:val="20"/>
                <w:color w:val="auto"/>
              </w:rPr>
            </w:pPr>
            <w:r>
              <w:rPr>
                <w:rFonts w:ascii="Times New Roman" w:cs="Times New Roman" w:eastAsia="Times New Roman" w:hAnsi="Times New Roman"/>
                <w:sz w:val="12"/>
                <w:szCs w:val="12"/>
                <w:color w:val="231F20"/>
              </w:rPr>
              <w:t>2.13</w:t>
            </w:r>
          </w:p>
        </w:tc>
        <w:tc>
          <w:tcPr>
            <w:tcW w:w="0" w:type="dxa"/>
            <w:vAlign w:val="bottom"/>
            <w:shd w:val="clear" w:color="auto" w:fill="FDFDFC"/>
          </w:tcPr>
          <w:p>
            <w:pPr>
              <w:spacing w:after="0"/>
              <w:rPr>
                <w:sz w:val="12"/>
                <w:szCs w:val="12"/>
                <w:color w:val="auto"/>
              </w:rPr>
            </w:pPr>
          </w:p>
        </w:tc>
        <w:tc>
          <w:tcPr>
            <w:tcW w:w="100" w:type="dxa"/>
            <w:vAlign w:val="bottom"/>
            <w:shd w:val="clear" w:color="auto" w:fill="FDFDFC"/>
          </w:tcPr>
          <w:p>
            <w:pPr>
              <w:spacing w:after="0"/>
              <w:rPr>
                <w:sz w:val="12"/>
                <w:szCs w:val="12"/>
                <w:color w:val="auto"/>
              </w:rPr>
            </w:pPr>
          </w:p>
        </w:tc>
        <w:tc>
          <w:tcPr>
            <w:tcW w:w="20" w:type="dxa"/>
            <w:vAlign w:val="bottom"/>
            <w:shd w:val="clear" w:color="auto" w:fill="FDFDFC"/>
          </w:tcPr>
          <w:p>
            <w:pPr>
              <w:spacing w:after="0"/>
              <w:rPr>
                <w:sz w:val="12"/>
                <w:szCs w:val="12"/>
                <w:color w:val="auto"/>
              </w:rPr>
            </w:pPr>
          </w:p>
        </w:tc>
        <w:tc>
          <w:tcPr>
            <w:tcW w:w="60" w:type="dxa"/>
            <w:vAlign w:val="bottom"/>
            <w:shd w:val="clear" w:color="auto" w:fill="FDFDFC"/>
          </w:tcPr>
          <w:p>
            <w:pPr>
              <w:spacing w:after="0"/>
              <w:rPr>
                <w:sz w:val="12"/>
                <w:szCs w:val="12"/>
                <w:color w:val="auto"/>
              </w:rPr>
            </w:pPr>
          </w:p>
        </w:tc>
        <w:tc>
          <w:tcPr>
            <w:tcW w:w="580" w:type="dxa"/>
            <w:vAlign w:val="bottom"/>
            <w:shd w:val="clear" w:color="auto" w:fill="FDFDFC"/>
          </w:tcPr>
          <w:p>
            <w:pPr>
              <w:jc w:val="right"/>
              <w:spacing w:after="0"/>
              <w:rPr>
                <w:sz w:val="20"/>
                <w:szCs w:val="20"/>
                <w:color w:val="auto"/>
              </w:rPr>
            </w:pPr>
            <w:r>
              <w:rPr>
                <w:rFonts w:ascii="Times New Roman" w:cs="Times New Roman" w:eastAsia="Times New Roman" w:hAnsi="Times New Roman"/>
                <w:sz w:val="12"/>
                <w:szCs w:val="12"/>
                <w:color w:val="231F20"/>
              </w:rPr>
              <w:t>1.97</w:t>
            </w:r>
          </w:p>
        </w:tc>
        <w:tc>
          <w:tcPr>
            <w:tcW w:w="20" w:type="dxa"/>
            <w:vAlign w:val="bottom"/>
            <w:shd w:val="clear" w:color="auto" w:fill="FDFDFC"/>
          </w:tcPr>
          <w:p>
            <w:pPr>
              <w:spacing w:after="0"/>
              <w:rPr>
                <w:sz w:val="12"/>
                <w:szCs w:val="12"/>
                <w:color w:val="auto"/>
              </w:rPr>
            </w:pPr>
          </w:p>
        </w:tc>
        <w:tc>
          <w:tcPr>
            <w:tcW w:w="20" w:type="dxa"/>
            <w:vAlign w:val="bottom"/>
            <w:shd w:val="clear" w:color="auto" w:fill="FDFDFC"/>
          </w:tcPr>
          <w:p>
            <w:pPr>
              <w:spacing w:after="0"/>
              <w:rPr>
                <w:sz w:val="12"/>
                <w:szCs w:val="12"/>
                <w:color w:val="auto"/>
              </w:rPr>
            </w:pPr>
          </w:p>
        </w:tc>
        <w:tc>
          <w:tcPr>
            <w:tcW w:w="60" w:type="dxa"/>
            <w:vAlign w:val="bottom"/>
            <w:shd w:val="clear" w:color="auto" w:fill="FDFDFC"/>
          </w:tcPr>
          <w:p>
            <w:pPr>
              <w:spacing w:after="0"/>
              <w:rPr>
                <w:sz w:val="12"/>
                <w:szCs w:val="12"/>
                <w:color w:val="auto"/>
              </w:rPr>
            </w:pPr>
          </w:p>
        </w:tc>
        <w:tc>
          <w:tcPr>
            <w:tcW w:w="80" w:type="dxa"/>
            <w:vAlign w:val="bottom"/>
            <w:shd w:val="clear" w:color="auto" w:fill="FDFDFC"/>
          </w:tcPr>
          <w:p>
            <w:pPr>
              <w:spacing w:after="0"/>
              <w:rPr>
                <w:sz w:val="12"/>
                <w:szCs w:val="12"/>
                <w:color w:val="auto"/>
              </w:rPr>
            </w:pPr>
          </w:p>
        </w:tc>
        <w:tc>
          <w:tcPr>
            <w:tcW w:w="560" w:type="dxa"/>
            <w:vAlign w:val="bottom"/>
            <w:shd w:val="clear" w:color="auto" w:fill="FDFDFC"/>
          </w:tcPr>
          <w:p>
            <w:pPr>
              <w:jc w:val="right"/>
              <w:spacing w:after="0"/>
              <w:rPr>
                <w:sz w:val="20"/>
                <w:szCs w:val="20"/>
                <w:color w:val="auto"/>
              </w:rPr>
            </w:pPr>
            <w:r>
              <w:rPr>
                <w:rFonts w:ascii="Times New Roman" w:cs="Times New Roman" w:eastAsia="Times New Roman" w:hAnsi="Times New Roman"/>
                <w:sz w:val="12"/>
                <w:szCs w:val="12"/>
                <w:color w:val="231F20"/>
              </w:rPr>
              <w:t>2.19</w:t>
            </w:r>
          </w:p>
        </w:tc>
        <w:tc>
          <w:tcPr>
            <w:tcW w:w="0" w:type="dxa"/>
            <w:vAlign w:val="bottom"/>
            <w:shd w:val="clear" w:color="auto" w:fill="FDFDFC"/>
          </w:tcPr>
          <w:p>
            <w:pPr>
              <w:spacing w:after="0"/>
              <w:rPr>
                <w:sz w:val="12"/>
                <w:szCs w:val="12"/>
                <w:color w:val="auto"/>
              </w:rPr>
            </w:pPr>
          </w:p>
        </w:tc>
        <w:tc>
          <w:tcPr>
            <w:tcW w:w="100" w:type="dxa"/>
            <w:vAlign w:val="bottom"/>
            <w:shd w:val="clear" w:color="auto" w:fill="FDFDFC"/>
          </w:tcPr>
          <w:p>
            <w:pPr>
              <w:spacing w:after="0"/>
              <w:rPr>
                <w:sz w:val="12"/>
                <w:szCs w:val="12"/>
                <w:color w:val="auto"/>
              </w:rPr>
            </w:pPr>
          </w:p>
        </w:tc>
        <w:tc>
          <w:tcPr>
            <w:tcW w:w="20" w:type="dxa"/>
            <w:vAlign w:val="bottom"/>
            <w:shd w:val="clear" w:color="auto" w:fill="FDFDFC"/>
          </w:tcPr>
          <w:p>
            <w:pPr>
              <w:spacing w:after="0"/>
              <w:rPr>
                <w:sz w:val="12"/>
                <w:szCs w:val="12"/>
                <w:color w:val="auto"/>
              </w:rPr>
            </w:pPr>
          </w:p>
        </w:tc>
        <w:tc>
          <w:tcPr>
            <w:tcW w:w="60" w:type="dxa"/>
            <w:vAlign w:val="bottom"/>
            <w:shd w:val="clear" w:color="auto" w:fill="FDFDFC"/>
          </w:tcPr>
          <w:p>
            <w:pPr>
              <w:spacing w:after="0"/>
              <w:rPr>
                <w:sz w:val="12"/>
                <w:szCs w:val="12"/>
                <w:color w:val="auto"/>
              </w:rPr>
            </w:pPr>
          </w:p>
        </w:tc>
        <w:tc>
          <w:tcPr>
            <w:tcW w:w="560" w:type="dxa"/>
            <w:vAlign w:val="bottom"/>
            <w:shd w:val="clear" w:color="auto" w:fill="FDFDFC"/>
          </w:tcPr>
          <w:p>
            <w:pPr>
              <w:jc w:val="right"/>
              <w:spacing w:after="0"/>
              <w:rPr>
                <w:sz w:val="20"/>
                <w:szCs w:val="20"/>
                <w:color w:val="auto"/>
              </w:rPr>
            </w:pPr>
            <w:r>
              <w:rPr>
                <w:rFonts w:ascii="Times New Roman" w:cs="Times New Roman" w:eastAsia="Times New Roman" w:hAnsi="Times New Roman"/>
                <w:sz w:val="12"/>
                <w:szCs w:val="12"/>
                <w:color w:val="231F20"/>
              </w:rPr>
              <w:t>1.94</w:t>
            </w:r>
          </w:p>
        </w:tc>
        <w:tc>
          <w:tcPr>
            <w:tcW w:w="0" w:type="dxa"/>
            <w:vAlign w:val="bottom"/>
            <w:shd w:val="clear" w:color="auto" w:fill="FDFDFC"/>
          </w:tcPr>
          <w:p>
            <w:pPr>
              <w:spacing w:after="0"/>
              <w:rPr>
                <w:sz w:val="12"/>
                <w:szCs w:val="12"/>
                <w:color w:val="auto"/>
              </w:rPr>
            </w:pPr>
          </w:p>
        </w:tc>
        <w:tc>
          <w:tcPr>
            <w:tcW w:w="100" w:type="dxa"/>
            <w:vAlign w:val="bottom"/>
            <w:shd w:val="clear" w:color="auto" w:fill="FDFDFC"/>
          </w:tcPr>
          <w:p>
            <w:pPr>
              <w:spacing w:after="0"/>
              <w:rPr>
                <w:sz w:val="12"/>
                <w:szCs w:val="12"/>
                <w:color w:val="auto"/>
              </w:rPr>
            </w:pPr>
          </w:p>
        </w:tc>
        <w:tc>
          <w:tcPr>
            <w:tcW w:w="20" w:type="dxa"/>
            <w:vAlign w:val="bottom"/>
            <w:shd w:val="clear" w:color="auto" w:fill="FDFDFC"/>
          </w:tcPr>
          <w:p>
            <w:pPr>
              <w:spacing w:after="0"/>
              <w:rPr>
                <w:sz w:val="12"/>
                <w:szCs w:val="12"/>
                <w:color w:val="auto"/>
              </w:rPr>
            </w:pPr>
          </w:p>
        </w:tc>
        <w:tc>
          <w:tcPr>
            <w:tcW w:w="60" w:type="dxa"/>
            <w:vAlign w:val="bottom"/>
            <w:shd w:val="clear" w:color="auto" w:fill="FDFDFC"/>
          </w:tcPr>
          <w:p>
            <w:pPr>
              <w:spacing w:after="0"/>
              <w:rPr>
                <w:sz w:val="12"/>
                <w:szCs w:val="12"/>
                <w:color w:val="auto"/>
              </w:rPr>
            </w:pPr>
          </w:p>
        </w:tc>
        <w:tc>
          <w:tcPr>
            <w:tcW w:w="560" w:type="dxa"/>
            <w:vAlign w:val="bottom"/>
            <w:shd w:val="clear" w:color="auto" w:fill="FDFDFC"/>
          </w:tcPr>
          <w:p>
            <w:pPr>
              <w:jc w:val="right"/>
              <w:spacing w:after="0"/>
              <w:rPr>
                <w:sz w:val="20"/>
                <w:szCs w:val="20"/>
                <w:color w:val="auto"/>
              </w:rPr>
            </w:pPr>
            <w:r>
              <w:rPr>
                <w:rFonts w:ascii="Times New Roman" w:cs="Times New Roman" w:eastAsia="Times New Roman" w:hAnsi="Times New Roman"/>
                <w:sz w:val="12"/>
                <w:szCs w:val="12"/>
                <w:color w:val="231F20"/>
              </w:rPr>
              <w:t>2.25</w:t>
            </w:r>
          </w:p>
        </w:tc>
        <w:tc>
          <w:tcPr>
            <w:tcW w:w="0" w:type="dxa"/>
            <w:vAlign w:val="bottom"/>
            <w:shd w:val="clear" w:color="auto" w:fill="FDFDFC"/>
          </w:tcPr>
          <w:p>
            <w:pPr>
              <w:spacing w:after="0"/>
              <w:rPr>
                <w:sz w:val="12"/>
                <w:szCs w:val="12"/>
                <w:color w:val="auto"/>
              </w:rPr>
            </w:pPr>
          </w:p>
        </w:tc>
        <w:tc>
          <w:tcPr>
            <w:tcW w:w="100" w:type="dxa"/>
            <w:vAlign w:val="bottom"/>
            <w:shd w:val="clear" w:color="auto" w:fill="FDFDFC"/>
          </w:tcPr>
          <w:p>
            <w:pPr>
              <w:spacing w:after="0"/>
              <w:rPr>
                <w:sz w:val="12"/>
                <w:szCs w:val="12"/>
                <w:color w:val="auto"/>
              </w:rPr>
            </w:pPr>
          </w:p>
        </w:tc>
        <w:tc>
          <w:tcPr>
            <w:tcW w:w="20" w:type="dxa"/>
            <w:vAlign w:val="bottom"/>
            <w:shd w:val="clear" w:color="auto" w:fill="FDFDFC"/>
          </w:tcPr>
          <w:p>
            <w:pPr>
              <w:spacing w:after="0"/>
              <w:rPr>
                <w:sz w:val="12"/>
                <w:szCs w:val="12"/>
                <w:color w:val="auto"/>
              </w:rPr>
            </w:pPr>
          </w:p>
        </w:tc>
        <w:tc>
          <w:tcPr>
            <w:tcW w:w="60" w:type="dxa"/>
            <w:vAlign w:val="bottom"/>
            <w:shd w:val="clear" w:color="auto" w:fill="FDFDFC"/>
          </w:tcPr>
          <w:p>
            <w:pPr>
              <w:spacing w:after="0"/>
              <w:rPr>
                <w:sz w:val="12"/>
                <w:szCs w:val="12"/>
                <w:color w:val="auto"/>
              </w:rPr>
            </w:pPr>
          </w:p>
        </w:tc>
        <w:tc>
          <w:tcPr>
            <w:tcW w:w="580" w:type="dxa"/>
            <w:vAlign w:val="bottom"/>
            <w:shd w:val="clear" w:color="auto" w:fill="FDFDFC"/>
          </w:tcPr>
          <w:p>
            <w:pPr>
              <w:jc w:val="right"/>
              <w:spacing w:after="0"/>
              <w:rPr>
                <w:sz w:val="20"/>
                <w:szCs w:val="20"/>
                <w:color w:val="auto"/>
              </w:rPr>
            </w:pPr>
            <w:r>
              <w:rPr>
                <w:rFonts w:ascii="Times New Roman" w:cs="Times New Roman" w:eastAsia="Times New Roman" w:hAnsi="Times New Roman"/>
                <w:sz w:val="12"/>
                <w:szCs w:val="12"/>
                <w:color w:val="231F20"/>
              </w:rPr>
              <w:t>2.00</w:t>
            </w:r>
          </w:p>
        </w:tc>
        <w:tc>
          <w:tcPr>
            <w:tcW w:w="0" w:type="dxa"/>
            <w:vAlign w:val="bottom"/>
            <w:shd w:val="clear" w:color="auto" w:fill="FDFDFC"/>
          </w:tcPr>
          <w:p>
            <w:pPr>
              <w:spacing w:after="0"/>
              <w:rPr>
                <w:sz w:val="12"/>
                <w:szCs w:val="12"/>
                <w:color w:val="auto"/>
              </w:rPr>
            </w:pPr>
          </w:p>
        </w:tc>
        <w:tc>
          <w:tcPr>
            <w:tcW w:w="100" w:type="dxa"/>
            <w:vAlign w:val="bottom"/>
            <w:shd w:val="clear" w:color="auto" w:fill="FDFDFC"/>
          </w:tcPr>
          <w:p>
            <w:pPr>
              <w:spacing w:after="0"/>
              <w:rPr>
                <w:sz w:val="12"/>
                <w:szCs w:val="12"/>
                <w:color w:val="auto"/>
              </w:rPr>
            </w:pPr>
          </w:p>
        </w:tc>
        <w:tc>
          <w:tcPr>
            <w:tcW w:w="80" w:type="dxa"/>
            <w:vAlign w:val="bottom"/>
            <w:shd w:val="clear" w:color="auto" w:fill="FDFDFC"/>
          </w:tcPr>
          <w:p>
            <w:pPr>
              <w:spacing w:after="0"/>
              <w:rPr>
                <w:sz w:val="12"/>
                <w:szCs w:val="12"/>
                <w:color w:val="auto"/>
              </w:rPr>
            </w:pPr>
          </w:p>
        </w:tc>
        <w:tc>
          <w:tcPr>
            <w:tcW w:w="560" w:type="dxa"/>
            <w:vAlign w:val="bottom"/>
            <w:shd w:val="clear" w:color="auto" w:fill="FDFDFC"/>
          </w:tcPr>
          <w:p>
            <w:pPr>
              <w:jc w:val="right"/>
              <w:spacing w:after="0"/>
              <w:rPr>
                <w:sz w:val="20"/>
                <w:szCs w:val="20"/>
                <w:color w:val="auto"/>
              </w:rPr>
            </w:pPr>
            <w:r>
              <w:rPr>
                <w:rFonts w:ascii="Times New Roman" w:cs="Times New Roman" w:eastAsia="Times New Roman" w:hAnsi="Times New Roman"/>
                <w:sz w:val="12"/>
                <w:szCs w:val="12"/>
                <w:color w:val="231F20"/>
              </w:rPr>
              <w:t>1.83</w:t>
            </w:r>
          </w:p>
        </w:tc>
        <w:tc>
          <w:tcPr>
            <w:tcW w:w="0" w:type="dxa"/>
            <w:vAlign w:val="bottom"/>
            <w:shd w:val="clear" w:color="auto" w:fill="FDFDFC"/>
          </w:tcPr>
          <w:p>
            <w:pPr>
              <w:spacing w:after="0"/>
              <w:rPr>
                <w:sz w:val="12"/>
                <w:szCs w:val="12"/>
                <w:color w:val="auto"/>
              </w:rPr>
            </w:pPr>
          </w:p>
        </w:tc>
        <w:tc>
          <w:tcPr>
            <w:tcW w:w="100" w:type="dxa"/>
            <w:vAlign w:val="bottom"/>
            <w:shd w:val="clear" w:color="auto" w:fill="FDFDFC"/>
          </w:tcPr>
          <w:p>
            <w:pPr>
              <w:spacing w:after="0"/>
              <w:rPr>
                <w:sz w:val="12"/>
                <w:szCs w:val="12"/>
                <w:color w:val="auto"/>
              </w:rPr>
            </w:pPr>
          </w:p>
        </w:tc>
        <w:tc>
          <w:tcPr>
            <w:tcW w:w="20" w:type="dxa"/>
            <w:vAlign w:val="bottom"/>
            <w:shd w:val="clear" w:color="auto" w:fill="FDFDFC"/>
          </w:tcPr>
          <w:p>
            <w:pPr>
              <w:spacing w:after="0"/>
              <w:rPr>
                <w:sz w:val="12"/>
                <w:szCs w:val="12"/>
                <w:color w:val="auto"/>
              </w:rPr>
            </w:pPr>
          </w:p>
        </w:tc>
        <w:tc>
          <w:tcPr>
            <w:tcW w:w="80" w:type="dxa"/>
            <w:vAlign w:val="bottom"/>
            <w:shd w:val="clear" w:color="auto" w:fill="FDFDFC"/>
          </w:tcPr>
          <w:p>
            <w:pPr>
              <w:spacing w:after="0"/>
              <w:rPr>
                <w:sz w:val="12"/>
                <w:szCs w:val="12"/>
                <w:color w:val="auto"/>
              </w:rPr>
            </w:pPr>
          </w:p>
        </w:tc>
        <w:tc>
          <w:tcPr>
            <w:tcW w:w="560" w:type="dxa"/>
            <w:vAlign w:val="bottom"/>
            <w:shd w:val="clear" w:color="auto" w:fill="FDFDFC"/>
          </w:tcPr>
          <w:p>
            <w:pPr>
              <w:jc w:val="right"/>
              <w:spacing w:after="0"/>
              <w:rPr>
                <w:sz w:val="20"/>
                <w:szCs w:val="20"/>
                <w:color w:val="auto"/>
              </w:rPr>
            </w:pPr>
            <w:r>
              <w:rPr>
                <w:rFonts w:ascii="Times New Roman" w:cs="Times New Roman" w:eastAsia="Times New Roman" w:hAnsi="Times New Roman"/>
                <w:sz w:val="12"/>
                <w:szCs w:val="12"/>
                <w:color w:val="231F20"/>
              </w:rPr>
              <w:t>1.76</w:t>
            </w:r>
          </w:p>
        </w:tc>
        <w:tc>
          <w:tcPr>
            <w:tcW w:w="20" w:type="dxa"/>
            <w:vAlign w:val="bottom"/>
            <w:shd w:val="clear" w:color="auto" w:fill="FDFDFC"/>
          </w:tcPr>
          <w:p>
            <w:pPr>
              <w:spacing w:after="0"/>
              <w:rPr>
                <w:sz w:val="12"/>
                <w:szCs w:val="12"/>
                <w:color w:val="auto"/>
              </w:rPr>
            </w:pPr>
          </w:p>
        </w:tc>
        <w:tc>
          <w:tcPr>
            <w:tcW w:w="20" w:type="dxa"/>
            <w:vAlign w:val="bottom"/>
            <w:shd w:val="clear" w:color="auto" w:fill="FDFDFC"/>
          </w:tcPr>
          <w:p>
            <w:pPr>
              <w:spacing w:after="0"/>
              <w:rPr>
                <w:sz w:val="12"/>
                <w:szCs w:val="12"/>
                <w:color w:val="auto"/>
              </w:rPr>
            </w:pPr>
          </w:p>
        </w:tc>
        <w:tc>
          <w:tcPr>
            <w:tcW w:w="60" w:type="dxa"/>
            <w:vAlign w:val="bottom"/>
            <w:shd w:val="clear" w:color="auto" w:fill="FDFDFC"/>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2720" w:type="dxa"/>
            <w:vAlign w:val="bottom"/>
            <w:gridSpan w:val="4"/>
            <w:shd w:val="clear" w:color="auto" w:fill="D0EBF2"/>
          </w:tcPr>
          <w:p>
            <w:pPr>
              <w:spacing w:after="0" w:line="129" w:lineRule="exact"/>
              <w:rPr>
                <w:sz w:val="20"/>
                <w:szCs w:val="20"/>
                <w:color w:val="auto"/>
              </w:rPr>
            </w:pPr>
            <w:r>
              <w:rPr>
                <w:rFonts w:ascii="Times New Roman" w:cs="Times New Roman" w:eastAsia="Times New Roman" w:hAnsi="Times New Roman"/>
                <w:sz w:val="12"/>
                <w:szCs w:val="12"/>
                <w:color w:val="231F20"/>
              </w:rPr>
              <w:t>Net realized and unrealized gains</w:t>
            </w:r>
          </w:p>
        </w:tc>
        <w:tc>
          <w:tcPr>
            <w:tcW w:w="0" w:type="dxa"/>
            <w:vAlign w:val="bottom"/>
            <w:shd w:val="clear" w:color="auto" w:fill="D0EBF2"/>
          </w:tcPr>
          <w:p>
            <w:pPr>
              <w:spacing w:after="0"/>
              <w:rPr>
                <w:sz w:val="11"/>
                <w:szCs w:val="11"/>
                <w:color w:val="auto"/>
              </w:rPr>
            </w:pPr>
          </w:p>
        </w:tc>
        <w:tc>
          <w:tcPr>
            <w:tcW w:w="680" w:type="dxa"/>
            <w:vAlign w:val="bottom"/>
            <w:gridSpan w:val="2"/>
            <w:vMerge w:val="restart"/>
            <w:shd w:val="clear" w:color="auto" w:fill="D0EBF2"/>
          </w:tcPr>
          <w:p>
            <w:pPr>
              <w:jc w:val="right"/>
              <w:ind w:right="80"/>
              <w:spacing w:after="0"/>
              <w:rPr>
                <w:sz w:val="20"/>
                <w:szCs w:val="20"/>
                <w:color w:val="auto"/>
              </w:rPr>
            </w:pPr>
            <w:r>
              <w:rPr>
                <w:rFonts w:ascii="Times New Roman" w:cs="Times New Roman" w:eastAsia="Times New Roman" w:hAnsi="Times New Roman"/>
                <w:sz w:val="12"/>
                <w:szCs w:val="12"/>
                <w:color w:val="231F20"/>
              </w:rPr>
              <w:t>(0.36)</w:t>
            </w:r>
          </w:p>
        </w:tc>
        <w:tc>
          <w:tcPr>
            <w:tcW w:w="40" w:type="dxa"/>
            <w:vAlign w:val="bottom"/>
            <w:shd w:val="clear" w:color="auto" w:fill="D0EBF2"/>
          </w:tcPr>
          <w:p>
            <w:pPr>
              <w:spacing w:after="0"/>
              <w:rPr>
                <w:sz w:val="11"/>
                <w:szCs w:val="11"/>
                <w:color w:val="auto"/>
              </w:rPr>
            </w:pPr>
          </w:p>
        </w:tc>
        <w:tc>
          <w:tcPr>
            <w:tcW w:w="60" w:type="dxa"/>
            <w:vAlign w:val="bottom"/>
            <w:shd w:val="clear" w:color="auto" w:fill="D0EBF2"/>
          </w:tcPr>
          <w:p>
            <w:pPr>
              <w:spacing w:after="0"/>
              <w:rPr>
                <w:sz w:val="11"/>
                <w:szCs w:val="11"/>
                <w:color w:val="auto"/>
              </w:rPr>
            </w:pPr>
          </w:p>
        </w:tc>
        <w:tc>
          <w:tcPr>
            <w:tcW w:w="580" w:type="dxa"/>
            <w:vAlign w:val="bottom"/>
            <w:vMerge w:val="restart"/>
            <w:shd w:val="clear" w:color="auto" w:fill="D0EBF2"/>
          </w:tcPr>
          <w:p>
            <w:pPr>
              <w:jc w:val="right"/>
              <w:spacing w:after="0"/>
              <w:rPr>
                <w:sz w:val="20"/>
                <w:szCs w:val="20"/>
                <w:color w:val="auto"/>
              </w:rPr>
            </w:pPr>
            <w:r>
              <w:rPr>
                <w:rFonts w:ascii="Times New Roman" w:cs="Times New Roman" w:eastAsia="Times New Roman" w:hAnsi="Times New Roman"/>
                <w:sz w:val="12"/>
                <w:szCs w:val="12"/>
                <w:color w:val="231F20"/>
              </w:rPr>
              <w:t>0.30</w:t>
            </w:r>
          </w:p>
        </w:tc>
        <w:tc>
          <w:tcPr>
            <w:tcW w:w="0" w:type="dxa"/>
            <w:vAlign w:val="bottom"/>
            <w:shd w:val="clear" w:color="auto" w:fill="D0EBF2"/>
          </w:tcPr>
          <w:p>
            <w:pPr>
              <w:spacing w:after="0"/>
              <w:rPr>
                <w:sz w:val="11"/>
                <w:szCs w:val="11"/>
                <w:color w:val="auto"/>
              </w:rPr>
            </w:pPr>
          </w:p>
        </w:tc>
        <w:tc>
          <w:tcPr>
            <w:tcW w:w="100" w:type="dxa"/>
            <w:vAlign w:val="bottom"/>
            <w:shd w:val="clear" w:color="auto" w:fill="D0EBF2"/>
          </w:tcPr>
          <w:p>
            <w:pPr>
              <w:spacing w:after="0"/>
              <w:rPr>
                <w:sz w:val="11"/>
                <w:szCs w:val="11"/>
                <w:color w:val="auto"/>
              </w:rPr>
            </w:pPr>
          </w:p>
        </w:tc>
        <w:tc>
          <w:tcPr>
            <w:tcW w:w="40" w:type="dxa"/>
            <w:vAlign w:val="bottom"/>
            <w:shd w:val="clear" w:color="auto" w:fill="D0EBF2"/>
          </w:tcPr>
          <w:p>
            <w:pPr>
              <w:spacing w:after="0"/>
              <w:rPr>
                <w:sz w:val="11"/>
                <w:szCs w:val="11"/>
                <w:color w:val="auto"/>
              </w:rPr>
            </w:pPr>
          </w:p>
        </w:tc>
        <w:tc>
          <w:tcPr>
            <w:tcW w:w="60" w:type="dxa"/>
            <w:vAlign w:val="bottom"/>
            <w:shd w:val="clear" w:color="auto" w:fill="D0EBF2"/>
          </w:tcPr>
          <w:p>
            <w:pPr>
              <w:spacing w:after="0"/>
              <w:rPr>
                <w:sz w:val="11"/>
                <w:szCs w:val="11"/>
                <w:color w:val="auto"/>
              </w:rPr>
            </w:pPr>
          </w:p>
        </w:tc>
        <w:tc>
          <w:tcPr>
            <w:tcW w:w="580" w:type="dxa"/>
            <w:vAlign w:val="bottom"/>
            <w:gridSpan w:val="2"/>
            <w:vMerge w:val="restart"/>
            <w:shd w:val="clear" w:color="auto" w:fill="D0EBF2"/>
          </w:tcPr>
          <w:p>
            <w:pPr>
              <w:jc w:val="right"/>
              <w:spacing w:after="0"/>
              <w:rPr>
                <w:sz w:val="20"/>
                <w:szCs w:val="20"/>
                <w:color w:val="auto"/>
              </w:rPr>
            </w:pPr>
            <w:r>
              <w:rPr>
                <w:rFonts w:ascii="Times New Roman" w:cs="Times New Roman" w:eastAsia="Times New Roman" w:hAnsi="Times New Roman"/>
                <w:sz w:val="12"/>
                <w:szCs w:val="12"/>
                <w:color w:val="231F20"/>
              </w:rPr>
              <w:t>(0.75)</w:t>
            </w:r>
          </w:p>
        </w:tc>
        <w:tc>
          <w:tcPr>
            <w:tcW w:w="100" w:type="dxa"/>
            <w:vAlign w:val="bottom"/>
            <w:shd w:val="clear" w:color="auto" w:fill="D0EBF2"/>
          </w:tcPr>
          <w:p>
            <w:pPr>
              <w:spacing w:after="0"/>
              <w:rPr>
                <w:sz w:val="11"/>
                <w:szCs w:val="11"/>
                <w:color w:val="auto"/>
              </w:rPr>
            </w:pPr>
          </w:p>
        </w:tc>
        <w:tc>
          <w:tcPr>
            <w:tcW w:w="20" w:type="dxa"/>
            <w:vAlign w:val="bottom"/>
            <w:shd w:val="clear" w:color="auto" w:fill="D0EBF2"/>
          </w:tcPr>
          <w:p>
            <w:pPr>
              <w:spacing w:after="0"/>
              <w:rPr>
                <w:sz w:val="11"/>
                <w:szCs w:val="11"/>
                <w:color w:val="auto"/>
              </w:rPr>
            </w:pPr>
          </w:p>
        </w:tc>
        <w:tc>
          <w:tcPr>
            <w:tcW w:w="60" w:type="dxa"/>
            <w:vAlign w:val="bottom"/>
            <w:shd w:val="clear" w:color="auto" w:fill="D0EBF2"/>
          </w:tcPr>
          <w:p>
            <w:pPr>
              <w:spacing w:after="0"/>
              <w:rPr>
                <w:sz w:val="11"/>
                <w:szCs w:val="11"/>
                <w:color w:val="auto"/>
              </w:rPr>
            </w:pPr>
          </w:p>
        </w:tc>
        <w:tc>
          <w:tcPr>
            <w:tcW w:w="580" w:type="dxa"/>
            <w:vAlign w:val="bottom"/>
            <w:vMerge w:val="restart"/>
            <w:shd w:val="clear" w:color="auto" w:fill="D0EBF2"/>
          </w:tcPr>
          <w:p>
            <w:pPr>
              <w:jc w:val="right"/>
              <w:spacing w:after="0"/>
              <w:rPr>
                <w:sz w:val="20"/>
                <w:szCs w:val="20"/>
                <w:color w:val="auto"/>
              </w:rPr>
            </w:pPr>
            <w:r>
              <w:rPr>
                <w:rFonts w:ascii="Times New Roman" w:cs="Times New Roman" w:eastAsia="Times New Roman" w:hAnsi="Times New Roman"/>
                <w:sz w:val="12"/>
                <w:szCs w:val="12"/>
                <w:color w:val="231F20"/>
              </w:rPr>
              <w:t>0.96</w:t>
            </w:r>
          </w:p>
        </w:tc>
        <w:tc>
          <w:tcPr>
            <w:tcW w:w="20" w:type="dxa"/>
            <w:vAlign w:val="bottom"/>
            <w:shd w:val="clear" w:color="auto" w:fill="D0EBF2"/>
          </w:tcPr>
          <w:p>
            <w:pPr>
              <w:spacing w:after="0"/>
              <w:rPr>
                <w:sz w:val="11"/>
                <w:szCs w:val="11"/>
                <w:color w:val="auto"/>
              </w:rPr>
            </w:pPr>
          </w:p>
        </w:tc>
        <w:tc>
          <w:tcPr>
            <w:tcW w:w="20" w:type="dxa"/>
            <w:vAlign w:val="bottom"/>
            <w:shd w:val="clear" w:color="auto" w:fill="D0EBF2"/>
          </w:tcPr>
          <w:p>
            <w:pPr>
              <w:spacing w:after="0"/>
              <w:rPr>
                <w:sz w:val="11"/>
                <w:szCs w:val="11"/>
                <w:color w:val="auto"/>
              </w:rPr>
            </w:pPr>
          </w:p>
        </w:tc>
        <w:tc>
          <w:tcPr>
            <w:tcW w:w="60" w:type="dxa"/>
            <w:vAlign w:val="bottom"/>
            <w:shd w:val="clear" w:color="auto" w:fill="D0EBF2"/>
          </w:tcPr>
          <w:p>
            <w:pPr>
              <w:spacing w:after="0"/>
              <w:rPr>
                <w:sz w:val="11"/>
                <w:szCs w:val="11"/>
                <w:color w:val="auto"/>
              </w:rPr>
            </w:pPr>
          </w:p>
        </w:tc>
        <w:tc>
          <w:tcPr>
            <w:tcW w:w="80" w:type="dxa"/>
            <w:vAlign w:val="bottom"/>
            <w:shd w:val="clear" w:color="auto" w:fill="D0EBF2"/>
          </w:tcPr>
          <w:p>
            <w:pPr>
              <w:spacing w:after="0"/>
              <w:rPr>
                <w:sz w:val="11"/>
                <w:szCs w:val="11"/>
                <w:color w:val="auto"/>
              </w:rPr>
            </w:pPr>
          </w:p>
        </w:tc>
        <w:tc>
          <w:tcPr>
            <w:tcW w:w="560" w:type="dxa"/>
            <w:vAlign w:val="bottom"/>
            <w:vMerge w:val="restart"/>
            <w:shd w:val="clear" w:color="auto" w:fill="D0EBF2"/>
          </w:tcPr>
          <w:p>
            <w:pPr>
              <w:jc w:val="right"/>
              <w:spacing w:after="0"/>
              <w:rPr>
                <w:sz w:val="20"/>
                <w:szCs w:val="20"/>
                <w:color w:val="auto"/>
              </w:rPr>
            </w:pPr>
            <w:r>
              <w:rPr>
                <w:rFonts w:ascii="Times New Roman" w:cs="Times New Roman" w:eastAsia="Times New Roman" w:hAnsi="Times New Roman"/>
                <w:sz w:val="12"/>
                <w:szCs w:val="12"/>
                <w:color w:val="231F20"/>
              </w:rPr>
              <w:t>0.46</w:t>
            </w:r>
          </w:p>
        </w:tc>
        <w:tc>
          <w:tcPr>
            <w:tcW w:w="0" w:type="dxa"/>
            <w:vAlign w:val="bottom"/>
            <w:shd w:val="clear" w:color="auto" w:fill="D0EBF2"/>
          </w:tcPr>
          <w:p>
            <w:pPr>
              <w:spacing w:after="0"/>
              <w:rPr>
                <w:sz w:val="11"/>
                <w:szCs w:val="11"/>
                <w:color w:val="auto"/>
              </w:rPr>
            </w:pPr>
          </w:p>
        </w:tc>
        <w:tc>
          <w:tcPr>
            <w:tcW w:w="100" w:type="dxa"/>
            <w:vAlign w:val="bottom"/>
            <w:shd w:val="clear" w:color="auto" w:fill="D0EBF2"/>
          </w:tcPr>
          <w:p>
            <w:pPr>
              <w:spacing w:after="0"/>
              <w:rPr>
                <w:sz w:val="11"/>
                <w:szCs w:val="11"/>
                <w:color w:val="auto"/>
              </w:rPr>
            </w:pPr>
          </w:p>
        </w:tc>
        <w:tc>
          <w:tcPr>
            <w:tcW w:w="20" w:type="dxa"/>
            <w:vAlign w:val="bottom"/>
            <w:shd w:val="clear" w:color="auto" w:fill="D0EBF2"/>
          </w:tcPr>
          <w:p>
            <w:pPr>
              <w:spacing w:after="0"/>
              <w:rPr>
                <w:sz w:val="11"/>
                <w:szCs w:val="11"/>
                <w:color w:val="auto"/>
              </w:rPr>
            </w:pPr>
          </w:p>
        </w:tc>
        <w:tc>
          <w:tcPr>
            <w:tcW w:w="60" w:type="dxa"/>
            <w:vAlign w:val="bottom"/>
            <w:shd w:val="clear" w:color="auto" w:fill="D0EBF2"/>
          </w:tcPr>
          <w:p>
            <w:pPr>
              <w:spacing w:after="0"/>
              <w:rPr>
                <w:sz w:val="11"/>
                <w:szCs w:val="11"/>
                <w:color w:val="auto"/>
              </w:rPr>
            </w:pPr>
          </w:p>
        </w:tc>
        <w:tc>
          <w:tcPr>
            <w:tcW w:w="560" w:type="dxa"/>
            <w:vAlign w:val="bottom"/>
            <w:vMerge w:val="restart"/>
            <w:shd w:val="clear" w:color="auto" w:fill="D0EBF2"/>
          </w:tcPr>
          <w:p>
            <w:pPr>
              <w:jc w:val="right"/>
              <w:spacing w:after="0"/>
              <w:rPr>
                <w:sz w:val="20"/>
                <w:szCs w:val="20"/>
                <w:color w:val="auto"/>
              </w:rPr>
            </w:pPr>
            <w:r>
              <w:rPr>
                <w:rFonts w:ascii="Times New Roman" w:cs="Times New Roman" w:eastAsia="Times New Roman" w:hAnsi="Times New Roman"/>
                <w:sz w:val="12"/>
                <w:szCs w:val="12"/>
                <w:color w:val="231F20"/>
              </w:rPr>
              <w:t>0.40</w:t>
            </w:r>
          </w:p>
        </w:tc>
        <w:tc>
          <w:tcPr>
            <w:tcW w:w="0" w:type="dxa"/>
            <w:vAlign w:val="bottom"/>
            <w:shd w:val="clear" w:color="auto" w:fill="D0EBF2"/>
          </w:tcPr>
          <w:p>
            <w:pPr>
              <w:spacing w:after="0"/>
              <w:rPr>
                <w:sz w:val="11"/>
                <w:szCs w:val="11"/>
                <w:color w:val="auto"/>
              </w:rPr>
            </w:pPr>
          </w:p>
        </w:tc>
        <w:tc>
          <w:tcPr>
            <w:tcW w:w="100" w:type="dxa"/>
            <w:vAlign w:val="bottom"/>
            <w:shd w:val="clear" w:color="auto" w:fill="D0EBF2"/>
          </w:tcPr>
          <w:p>
            <w:pPr>
              <w:spacing w:after="0"/>
              <w:rPr>
                <w:sz w:val="11"/>
                <w:szCs w:val="11"/>
                <w:color w:val="auto"/>
              </w:rPr>
            </w:pPr>
          </w:p>
        </w:tc>
        <w:tc>
          <w:tcPr>
            <w:tcW w:w="20" w:type="dxa"/>
            <w:vAlign w:val="bottom"/>
            <w:shd w:val="clear" w:color="auto" w:fill="D0EBF2"/>
          </w:tcPr>
          <w:p>
            <w:pPr>
              <w:spacing w:after="0"/>
              <w:rPr>
                <w:sz w:val="11"/>
                <w:szCs w:val="11"/>
                <w:color w:val="auto"/>
              </w:rPr>
            </w:pPr>
          </w:p>
        </w:tc>
        <w:tc>
          <w:tcPr>
            <w:tcW w:w="60" w:type="dxa"/>
            <w:vAlign w:val="bottom"/>
            <w:shd w:val="clear" w:color="auto" w:fill="D0EBF2"/>
          </w:tcPr>
          <w:p>
            <w:pPr>
              <w:spacing w:after="0"/>
              <w:rPr>
                <w:sz w:val="11"/>
                <w:szCs w:val="11"/>
                <w:color w:val="auto"/>
              </w:rPr>
            </w:pPr>
          </w:p>
        </w:tc>
        <w:tc>
          <w:tcPr>
            <w:tcW w:w="660" w:type="dxa"/>
            <w:vAlign w:val="bottom"/>
            <w:gridSpan w:val="3"/>
            <w:vMerge w:val="restart"/>
            <w:shd w:val="clear" w:color="auto" w:fill="D0EBF2"/>
          </w:tcPr>
          <w:p>
            <w:pPr>
              <w:jc w:val="right"/>
              <w:ind w:right="60"/>
              <w:spacing w:after="0"/>
              <w:rPr>
                <w:sz w:val="20"/>
                <w:szCs w:val="20"/>
                <w:color w:val="auto"/>
              </w:rPr>
            </w:pPr>
            <w:r>
              <w:rPr>
                <w:rFonts w:ascii="Times New Roman" w:cs="Times New Roman" w:eastAsia="Times New Roman" w:hAnsi="Times New Roman"/>
                <w:sz w:val="12"/>
                <w:szCs w:val="12"/>
                <w:color w:val="231F20"/>
              </w:rPr>
              <w:t>(0.39)</w:t>
            </w:r>
          </w:p>
        </w:tc>
        <w:tc>
          <w:tcPr>
            <w:tcW w:w="20" w:type="dxa"/>
            <w:vAlign w:val="bottom"/>
            <w:shd w:val="clear" w:color="auto" w:fill="D0EBF2"/>
          </w:tcPr>
          <w:p>
            <w:pPr>
              <w:spacing w:after="0"/>
              <w:rPr>
                <w:sz w:val="11"/>
                <w:szCs w:val="11"/>
                <w:color w:val="auto"/>
              </w:rPr>
            </w:pPr>
          </w:p>
        </w:tc>
        <w:tc>
          <w:tcPr>
            <w:tcW w:w="60" w:type="dxa"/>
            <w:vAlign w:val="bottom"/>
            <w:shd w:val="clear" w:color="auto" w:fill="D0EBF2"/>
          </w:tcPr>
          <w:p>
            <w:pPr>
              <w:spacing w:after="0"/>
              <w:rPr>
                <w:sz w:val="11"/>
                <w:szCs w:val="11"/>
                <w:color w:val="auto"/>
              </w:rPr>
            </w:pPr>
          </w:p>
        </w:tc>
        <w:tc>
          <w:tcPr>
            <w:tcW w:w="680" w:type="dxa"/>
            <w:vAlign w:val="bottom"/>
            <w:gridSpan w:val="3"/>
            <w:vMerge w:val="restart"/>
            <w:shd w:val="clear" w:color="auto" w:fill="D0EBF2"/>
          </w:tcPr>
          <w:p>
            <w:pPr>
              <w:jc w:val="right"/>
              <w:ind w:right="60"/>
              <w:spacing w:after="0"/>
              <w:rPr>
                <w:sz w:val="20"/>
                <w:szCs w:val="20"/>
                <w:color w:val="auto"/>
              </w:rPr>
            </w:pPr>
            <w:r>
              <w:rPr>
                <w:rFonts w:ascii="Times New Roman" w:cs="Times New Roman" w:eastAsia="Times New Roman" w:hAnsi="Times New Roman"/>
                <w:sz w:val="12"/>
                <w:szCs w:val="12"/>
                <w:color w:val="231F20"/>
              </w:rPr>
              <w:t>(0.14)</w:t>
            </w:r>
          </w:p>
        </w:tc>
        <w:tc>
          <w:tcPr>
            <w:tcW w:w="80" w:type="dxa"/>
            <w:vAlign w:val="bottom"/>
            <w:shd w:val="clear" w:color="auto" w:fill="D0EBF2"/>
          </w:tcPr>
          <w:p>
            <w:pPr>
              <w:spacing w:after="0"/>
              <w:rPr>
                <w:sz w:val="11"/>
                <w:szCs w:val="11"/>
                <w:color w:val="auto"/>
              </w:rPr>
            </w:pPr>
          </w:p>
        </w:tc>
        <w:tc>
          <w:tcPr>
            <w:tcW w:w="560" w:type="dxa"/>
            <w:vAlign w:val="bottom"/>
            <w:vMerge w:val="restart"/>
            <w:shd w:val="clear" w:color="auto" w:fill="D0EBF2"/>
          </w:tcPr>
          <w:p>
            <w:pPr>
              <w:jc w:val="right"/>
              <w:spacing w:after="0"/>
              <w:rPr>
                <w:sz w:val="20"/>
                <w:szCs w:val="20"/>
                <w:color w:val="auto"/>
              </w:rPr>
            </w:pPr>
            <w:r>
              <w:rPr>
                <w:rFonts w:ascii="Times New Roman" w:cs="Times New Roman" w:eastAsia="Times New Roman" w:hAnsi="Times New Roman"/>
                <w:sz w:val="12"/>
                <w:szCs w:val="12"/>
                <w:color w:val="231F20"/>
              </w:rPr>
              <w:t>0.51</w:t>
            </w:r>
          </w:p>
        </w:tc>
        <w:tc>
          <w:tcPr>
            <w:tcW w:w="0" w:type="dxa"/>
            <w:vAlign w:val="bottom"/>
            <w:shd w:val="clear" w:color="auto" w:fill="D0EBF2"/>
          </w:tcPr>
          <w:p>
            <w:pPr>
              <w:spacing w:after="0"/>
              <w:rPr>
                <w:sz w:val="11"/>
                <w:szCs w:val="11"/>
                <w:color w:val="auto"/>
              </w:rPr>
            </w:pPr>
          </w:p>
        </w:tc>
        <w:tc>
          <w:tcPr>
            <w:tcW w:w="100" w:type="dxa"/>
            <w:vAlign w:val="bottom"/>
            <w:shd w:val="clear" w:color="auto" w:fill="D0EBF2"/>
          </w:tcPr>
          <w:p>
            <w:pPr>
              <w:spacing w:after="0"/>
              <w:rPr>
                <w:sz w:val="11"/>
                <w:szCs w:val="11"/>
                <w:color w:val="auto"/>
              </w:rPr>
            </w:pPr>
          </w:p>
        </w:tc>
        <w:tc>
          <w:tcPr>
            <w:tcW w:w="20" w:type="dxa"/>
            <w:vAlign w:val="bottom"/>
            <w:shd w:val="clear" w:color="auto" w:fill="D0EBF2"/>
          </w:tcPr>
          <w:p>
            <w:pPr>
              <w:spacing w:after="0"/>
              <w:rPr>
                <w:sz w:val="11"/>
                <w:szCs w:val="11"/>
                <w:color w:val="auto"/>
              </w:rPr>
            </w:pPr>
          </w:p>
        </w:tc>
        <w:tc>
          <w:tcPr>
            <w:tcW w:w="80" w:type="dxa"/>
            <w:vAlign w:val="bottom"/>
            <w:shd w:val="clear" w:color="auto" w:fill="D0EBF2"/>
          </w:tcPr>
          <w:p>
            <w:pPr>
              <w:spacing w:after="0"/>
              <w:rPr>
                <w:sz w:val="11"/>
                <w:szCs w:val="11"/>
                <w:color w:val="auto"/>
              </w:rPr>
            </w:pPr>
          </w:p>
        </w:tc>
        <w:tc>
          <w:tcPr>
            <w:tcW w:w="660" w:type="dxa"/>
            <w:vAlign w:val="bottom"/>
            <w:gridSpan w:val="4"/>
            <w:vMerge w:val="restart"/>
            <w:shd w:val="clear" w:color="auto" w:fill="D0EBF2"/>
          </w:tcPr>
          <w:p>
            <w:pPr>
              <w:jc w:val="right"/>
              <w:ind w:right="60"/>
              <w:spacing w:after="0"/>
              <w:rPr>
                <w:sz w:val="20"/>
                <w:szCs w:val="20"/>
                <w:color w:val="auto"/>
              </w:rPr>
            </w:pPr>
            <w:r>
              <w:rPr>
                <w:rFonts w:ascii="Times New Roman" w:cs="Times New Roman" w:eastAsia="Times New Roman" w:hAnsi="Times New Roman"/>
                <w:sz w:val="12"/>
                <w:szCs w:val="12"/>
                <w:color w:val="231F20"/>
              </w:rPr>
              <w:t>(0.58)</w:t>
            </w:r>
          </w:p>
        </w:tc>
        <w:tc>
          <w:tcPr>
            <w:tcW w:w="0" w:type="dxa"/>
            <w:vAlign w:val="bottom"/>
          </w:tcPr>
          <w:p>
            <w:pPr>
              <w:spacing w:after="0"/>
              <w:rPr>
                <w:sz w:val="1"/>
                <w:szCs w:val="1"/>
                <w:color w:val="auto"/>
              </w:rPr>
            </w:pPr>
          </w:p>
        </w:tc>
      </w:tr>
      <w:tr>
        <w:trPr>
          <w:trHeight w:val="154"/>
        </w:trPr>
        <w:tc>
          <w:tcPr>
            <w:tcW w:w="2720" w:type="dxa"/>
            <w:vAlign w:val="bottom"/>
            <w:gridSpan w:val="4"/>
            <w:shd w:val="clear" w:color="auto" w:fill="D0EBF2"/>
          </w:tcPr>
          <w:p>
            <w:pPr>
              <w:ind w:left="40"/>
              <w:spacing w:after="0"/>
              <w:rPr>
                <w:sz w:val="20"/>
                <w:szCs w:val="20"/>
                <w:color w:val="auto"/>
              </w:rPr>
            </w:pPr>
            <w:r>
              <w:rPr>
                <w:rFonts w:ascii="Times New Roman" w:cs="Times New Roman" w:eastAsia="Times New Roman" w:hAnsi="Times New Roman"/>
                <w:sz w:val="12"/>
                <w:szCs w:val="12"/>
                <w:color w:val="231F20"/>
              </w:rPr>
              <w:t xml:space="preserve">(losses) </w:t>
            </w:r>
            <w:r>
              <w:rPr>
                <w:rFonts w:ascii="Times New Roman" w:cs="Times New Roman" w:eastAsia="Times New Roman" w:hAnsi="Times New Roman"/>
                <w:sz w:val="7"/>
                <w:szCs w:val="7"/>
                <w:color w:val="231F20"/>
              </w:rPr>
              <w:t>(1)</w:t>
            </w:r>
          </w:p>
        </w:tc>
        <w:tc>
          <w:tcPr>
            <w:tcW w:w="0" w:type="dxa"/>
            <w:vAlign w:val="bottom"/>
            <w:shd w:val="clear" w:color="auto" w:fill="D0EBF2"/>
          </w:tcPr>
          <w:p>
            <w:pPr>
              <w:spacing w:after="0"/>
              <w:rPr>
                <w:sz w:val="13"/>
                <w:szCs w:val="13"/>
                <w:color w:val="auto"/>
              </w:rPr>
            </w:pPr>
          </w:p>
        </w:tc>
        <w:tc>
          <w:tcPr>
            <w:tcW w:w="680" w:type="dxa"/>
            <w:vAlign w:val="bottom"/>
            <w:gridSpan w:val="2"/>
            <w:vMerge w:val="continue"/>
            <w:shd w:val="clear" w:color="auto" w:fill="D0EBF2"/>
          </w:tcPr>
          <w:p>
            <w:pPr>
              <w:spacing w:after="0"/>
              <w:rPr>
                <w:sz w:val="13"/>
                <w:szCs w:val="13"/>
                <w:color w:val="auto"/>
              </w:rPr>
            </w:pPr>
          </w:p>
        </w:tc>
        <w:tc>
          <w:tcPr>
            <w:tcW w:w="40" w:type="dxa"/>
            <w:vAlign w:val="bottom"/>
            <w:shd w:val="clear" w:color="auto" w:fill="D0EBF2"/>
          </w:tcPr>
          <w:p>
            <w:pPr>
              <w:spacing w:after="0"/>
              <w:rPr>
                <w:sz w:val="13"/>
                <w:szCs w:val="13"/>
                <w:color w:val="auto"/>
              </w:rPr>
            </w:pPr>
          </w:p>
        </w:tc>
        <w:tc>
          <w:tcPr>
            <w:tcW w:w="60" w:type="dxa"/>
            <w:vAlign w:val="bottom"/>
            <w:shd w:val="clear" w:color="auto" w:fill="D0EBF2"/>
          </w:tcPr>
          <w:p>
            <w:pPr>
              <w:spacing w:after="0"/>
              <w:rPr>
                <w:sz w:val="13"/>
                <w:szCs w:val="13"/>
                <w:color w:val="auto"/>
              </w:rPr>
            </w:pPr>
          </w:p>
        </w:tc>
        <w:tc>
          <w:tcPr>
            <w:tcW w:w="580" w:type="dxa"/>
            <w:vAlign w:val="bottom"/>
            <w:vMerge w:val="continue"/>
            <w:shd w:val="clear" w:color="auto" w:fill="D0EBF2"/>
          </w:tcPr>
          <w:p>
            <w:pPr>
              <w:spacing w:after="0"/>
              <w:rPr>
                <w:sz w:val="13"/>
                <w:szCs w:val="13"/>
                <w:color w:val="auto"/>
              </w:rPr>
            </w:pPr>
          </w:p>
        </w:tc>
        <w:tc>
          <w:tcPr>
            <w:tcW w:w="0" w:type="dxa"/>
            <w:vAlign w:val="bottom"/>
            <w:shd w:val="clear" w:color="auto" w:fill="D0EBF2"/>
          </w:tcPr>
          <w:p>
            <w:pPr>
              <w:spacing w:after="0"/>
              <w:rPr>
                <w:sz w:val="13"/>
                <w:szCs w:val="13"/>
                <w:color w:val="auto"/>
              </w:rPr>
            </w:pPr>
          </w:p>
        </w:tc>
        <w:tc>
          <w:tcPr>
            <w:tcW w:w="100" w:type="dxa"/>
            <w:vAlign w:val="bottom"/>
            <w:shd w:val="clear" w:color="auto" w:fill="D0EBF2"/>
          </w:tcPr>
          <w:p>
            <w:pPr>
              <w:spacing w:after="0"/>
              <w:rPr>
                <w:sz w:val="13"/>
                <w:szCs w:val="13"/>
                <w:color w:val="auto"/>
              </w:rPr>
            </w:pPr>
          </w:p>
        </w:tc>
        <w:tc>
          <w:tcPr>
            <w:tcW w:w="40" w:type="dxa"/>
            <w:vAlign w:val="bottom"/>
            <w:shd w:val="clear" w:color="auto" w:fill="D0EBF2"/>
          </w:tcPr>
          <w:p>
            <w:pPr>
              <w:spacing w:after="0"/>
              <w:rPr>
                <w:sz w:val="13"/>
                <w:szCs w:val="13"/>
                <w:color w:val="auto"/>
              </w:rPr>
            </w:pPr>
          </w:p>
        </w:tc>
        <w:tc>
          <w:tcPr>
            <w:tcW w:w="60" w:type="dxa"/>
            <w:vAlign w:val="bottom"/>
            <w:shd w:val="clear" w:color="auto" w:fill="D0EBF2"/>
          </w:tcPr>
          <w:p>
            <w:pPr>
              <w:spacing w:after="0"/>
              <w:rPr>
                <w:sz w:val="13"/>
                <w:szCs w:val="13"/>
                <w:color w:val="auto"/>
              </w:rPr>
            </w:pPr>
          </w:p>
        </w:tc>
        <w:tc>
          <w:tcPr>
            <w:tcW w:w="580" w:type="dxa"/>
            <w:vAlign w:val="bottom"/>
            <w:gridSpan w:val="2"/>
            <w:vMerge w:val="continue"/>
            <w:shd w:val="clear" w:color="auto" w:fill="D0EBF2"/>
          </w:tcPr>
          <w:p>
            <w:pPr>
              <w:spacing w:after="0"/>
              <w:rPr>
                <w:sz w:val="13"/>
                <w:szCs w:val="13"/>
                <w:color w:val="auto"/>
              </w:rPr>
            </w:pPr>
          </w:p>
        </w:tc>
        <w:tc>
          <w:tcPr>
            <w:tcW w:w="100" w:type="dxa"/>
            <w:vAlign w:val="bottom"/>
            <w:shd w:val="clear" w:color="auto" w:fill="D0EBF2"/>
          </w:tcPr>
          <w:p>
            <w:pPr>
              <w:spacing w:after="0"/>
              <w:rPr>
                <w:sz w:val="13"/>
                <w:szCs w:val="13"/>
                <w:color w:val="auto"/>
              </w:rPr>
            </w:pPr>
          </w:p>
        </w:tc>
        <w:tc>
          <w:tcPr>
            <w:tcW w:w="20" w:type="dxa"/>
            <w:vAlign w:val="bottom"/>
            <w:shd w:val="clear" w:color="auto" w:fill="D0EBF2"/>
          </w:tcPr>
          <w:p>
            <w:pPr>
              <w:spacing w:after="0"/>
              <w:rPr>
                <w:sz w:val="13"/>
                <w:szCs w:val="13"/>
                <w:color w:val="auto"/>
              </w:rPr>
            </w:pPr>
          </w:p>
        </w:tc>
        <w:tc>
          <w:tcPr>
            <w:tcW w:w="60" w:type="dxa"/>
            <w:vAlign w:val="bottom"/>
            <w:shd w:val="clear" w:color="auto" w:fill="D0EBF2"/>
          </w:tcPr>
          <w:p>
            <w:pPr>
              <w:spacing w:after="0"/>
              <w:rPr>
                <w:sz w:val="13"/>
                <w:szCs w:val="13"/>
                <w:color w:val="auto"/>
              </w:rPr>
            </w:pPr>
          </w:p>
        </w:tc>
        <w:tc>
          <w:tcPr>
            <w:tcW w:w="580" w:type="dxa"/>
            <w:vAlign w:val="bottom"/>
            <w:vMerge w:val="continue"/>
            <w:shd w:val="clear" w:color="auto" w:fill="D0EBF2"/>
          </w:tcPr>
          <w:p>
            <w:pPr>
              <w:spacing w:after="0"/>
              <w:rPr>
                <w:sz w:val="13"/>
                <w:szCs w:val="13"/>
                <w:color w:val="auto"/>
              </w:rPr>
            </w:pPr>
          </w:p>
        </w:tc>
        <w:tc>
          <w:tcPr>
            <w:tcW w:w="20" w:type="dxa"/>
            <w:vAlign w:val="bottom"/>
            <w:shd w:val="clear" w:color="auto" w:fill="D0EBF2"/>
          </w:tcPr>
          <w:p>
            <w:pPr>
              <w:spacing w:after="0"/>
              <w:rPr>
                <w:sz w:val="13"/>
                <w:szCs w:val="13"/>
                <w:color w:val="auto"/>
              </w:rPr>
            </w:pPr>
          </w:p>
        </w:tc>
        <w:tc>
          <w:tcPr>
            <w:tcW w:w="20" w:type="dxa"/>
            <w:vAlign w:val="bottom"/>
            <w:shd w:val="clear" w:color="auto" w:fill="D0EBF2"/>
          </w:tcPr>
          <w:p>
            <w:pPr>
              <w:spacing w:after="0"/>
              <w:rPr>
                <w:sz w:val="13"/>
                <w:szCs w:val="13"/>
                <w:color w:val="auto"/>
              </w:rPr>
            </w:pPr>
          </w:p>
        </w:tc>
        <w:tc>
          <w:tcPr>
            <w:tcW w:w="60" w:type="dxa"/>
            <w:vAlign w:val="bottom"/>
            <w:shd w:val="clear" w:color="auto" w:fill="D0EBF2"/>
          </w:tcPr>
          <w:p>
            <w:pPr>
              <w:spacing w:after="0"/>
              <w:rPr>
                <w:sz w:val="13"/>
                <w:szCs w:val="13"/>
                <w:color w:val="auto"/>
              </w:rPr>
            </w:pPr>
          </w:p>
        </w:tc>
        <w:tc>
          <w:tcPr>
            <w:tcW w:w="80" w:type="dxa"/>
            <w:vAlign w:val="bottom"/>
            <w:shd w:val="clear" w:color="auto" w:fill="D0EBF2"/>
          </w:tcPr>
          <w:p>
            <w:pPr>
              <w:spacing w:after="0"/>
              <w:rPr>
                <w:sz w:val="13"/>
                <w:szCs w:val="13"/>
                <w:color w:val="auto"/>
              </w:rPr>
            </w:pPr>
          </w:p>
        </w:tc>
        <w:tc>
          <w:tcPr>
            <w:tcW w:w="560" w:type="dxa"/>
            <w:vAlign w:val="bottom"/>
            <w:vMerge w:val="continue"/>
            <w:shd w:val="clear" w:color="auto" w:fill="D0EBF2"/>
          </w:tcPr>
          <w:p>
            <w:pPr>
              <w:spacing w:after="0"/>
              <w:rPr>
                <w:sz w:val="13"/>
                <w:szCs w:val="13"/>
                <w:color w:val="auto"/>
              </w:rPr>
            </w:pPr>
          </w:p>
        </w:tc>
        <w:tc>
          <w:tcPr>
            <w:tcW w:w="0" w:type="dxa"/>
            <w:vAlign w:val="bottom"/>
            <w:shd w:val="clear" w:color="auto" w:fill="D0EBF2"/>
          </w:tcPr>
          <w:p>
            <w:pPr>
              <w:spacing w:after="0"/>
              <w:rPr>
                <w:sz w:val="13"/>
                <w:szCs w:val="13"/>
                <w:color w:val="auto"/>
              </w:rPr>
            </w:pPr>
          </w:p>
        </w:tc>
        <w:tc>
          <w:tcPr>
            <w:tcW w:w="100" w:type="dxa"/>
            <w:vAlign w:val="bottom"/>
            <w:shd w:val="clear" w:color="auto" w:fill="D0EBF2"/>
          </w:tcPr>
          <w:p>
            <w:pPr>
              <w:spacing w:after="0"/>
              <w:rPr>
                <w:sz w:val="13"/>
                <w:szCs w:val="13"/>
                <w:color w:val="auto"/>
              </w:rPr>
            </w:pPr>
          </w:p>
        </w:tc>
        <w:tc>
          <w:tcPr>
            <w:tcW w:w="20" w:type="dxa"/>
            <w:vAlign w:val="bottom"/>
            <w:shd w:val="clear" w:color="auto" w:fill="D0EBF2"/>
          </w:tcPr>
          <w:p>
            <w:pPr>
              <w:spacing w:after="0"/>
              <w:rPr>
                <w:sz w:val="13"/>
                <w:szCs w:val="13"/>
                <w:color w:val="auto"/>
              </w:rPr>
            </w:pPr>
          </w:p>
        </w:tc>
        <w:tc>
          <w:tcPr>
            <w:tcW w:w="60" w:type="dxa"/>
            <w:vAlign w:val="bottom"/>
            <w:shd w:val="clear" w:color="auto" w:fill="D0EBF2"/>
          </w:tcPr>
          <w:p>
            <w:pPr>
              <w:spacing w:after="0"/>
              <w:rPr>
                <w:sz w:val="13"/>
                <w:szCs w:val="13"/>
                <w:color w:val="auto"/>
              </w:rPr>
            </w:pPr>
          </w:p>
        </w:tc>
        <w:tc>
          <w:tcPr>
            <w:tcW w:w="560" w:type="dxa"/>
            <w:vAlign w:val="bottom"/>
            <w:vMerge w:val="continue"/>
            <w:shd w:val="clear" w:color="auto" w:fill="D0EBF2"/>
          </w:tcPr>
          <w:p>
            <w:pPr>
              <w:spacing w:after="0"/>
              <w:rPr>
                <w:sz w:val="13"/>
                <w:szCs w:val="13"/>
                <w:color w:val="auto"/>
              </w:rPr>
            </w:pPr>
          </w:p>
        </w:tc>
        <w:tc>
          <w:tcPr>
            <w:tcW w:w="0" w:type="dxa"/>
            <w:vAlign w:val="bottom"/>
            <w:shd w:val="clear" w:color="auto" w:fill="D0EBF2"/>
          </w:tcPr>
          <w:p>
            <w:pPr>
              <w:spacing w:after="0"/>
              <w:rPr>
                <w:sz w:val="13"/>
                <w:szCs w:val="13"/>
                <w:color w:val="auto"/>
              </w:rPr>
            </w:pPr>
          </w:p>
        </w:tc>
        <w:tc>
          <w:tcPr>
            <w:tcW w:w="100" w:type="dxa"/>
            <w:vAlign w:val="bottom"/>
            <w:shd w:val="clear" w:color="auto" w:fill="D0EBF2"/>
          </w:tcPr>
          <w:p>
            <w:pPr>
              <w:spacing w:after="0"/>
              <w:rPr>
                <w:sz w:val="13"/>
                <w:szCs w:val="13"/>
                <w:color w:val="auto"/>
              </w:rPr>
            </w:pPr>
          </w:p>
        </w:tc>
        <w:tc>
          <w:tcPr>
            <w:tcW w:w="20" w:type="dxa"/>
            <w:vAlign w:val="bottom"/>
            <w:shd w:val="clear" w:color="auto" w:fill="D0EBF2"/>
          </w:tcPr>
          <w:p>
            <w:pPr>
              <w:spacing w:after="0"/>
              <w:rPr>
                <w:sz w:val="13"/>
                <w:szCs w:val="13"/>
                <w:color w:val="auto"/>
              </w:rPr>
            </w:pPr>
          </w:p>
        </w:tc>
        <w:tc>
          <w:tcPr>
            <w:tcW w:w="60" w:type="dxa"/>
            <w:vAlign w:val="bottom"/>
            <w:shd w:val="clear" w:color="auto" w:fill="D0EBF2"/>
          </w:tcPr>
          <w:p>
            <w:pPr>
              <w:spacing w:after="0"/>
              <w:rPr>
                <w:sz w:val="13"/>
                <w:szCs w:val="13"/>
                <w:color w:val="auto"/>
              </w:rPr>
            </w:pPr>
          </w:p>
        </w:tc>
        <w:tc>
          <w:tcPr>
            <w:tcW w:w="660" w:type="dxa"/>
            <w:vAlign w:val="bottom"/>
            <w:gridSpan w:val="3"/>
            <w:vMerge w:val="continue"/>
            <w:shd w:val="clear" w:color="auto" w:fill="D0EBF2"/>
          </w:tcPr>
          <w:p>
            <w:pPr>
              <w:spacing w:after="0"/>
              <w:rPr>
                <w:sz w:val="13"/>
                <w:szCs w:val="13"/>
                <w:color w:val="auto"/>
              </w:rPr>
            </w:pPr>
          </w:p>
        </w:tc>
        <w:tc>
          <w:tcPr>
            <w:tcW w:w="20" w:type="dxa"/>
            <w:vAlign w:val="bottom"/>
            <w:shd w:val="clear" w:color="auto" w:fill="D0EBF2"/>
          </w:tcPr>
          <w:p>
            <w:pPr>
              <w:spacing w:after="0"/>
              <w:rPr>
                <w:sz w:val="13"/>
                <w:szCs w:val="13"/>
                <w:color w:val="auto"/>
              </w:rPr>
            </w:pPr>
          </w:p>
        </w:tc>
        <w:tc>
          <w:tcPr>
            <w:tcW w:w="60" w:type="dxa"/>
            <w:vAlign w:val="bottom"/>
            <w:shd w:val="clear" w:color="auto" w:fill="D0EBF2"/>
          </w:tcPr>
          <w:p>
            <w:pPr>
              <w:spacing w:after="0"/>
              <w:rPr>
                <w:sz w:val="13"/>
                <w:szCs w:val="13"/>
                <w:color w:val="auto"/>
              </w:rPr>
            </w:pPr>
          </w:p>
        </w:tc>
        <w:tc>
          <w:tcPr>
            <w:tcW w:w="680" w:type="dxa"/>
            <w:vAlign w:val="bottom"/>
            <w:gridSpan w:val="3"/>
            <w:vMerge w:val="continue"/>
            <w:shd w:val="clear" w:color="auto" w:fill="D0EBF2"/>
          </w:tcPr>
          <w:p>
            <w:pPr>
              <w:spacing w:after="0"/>
              <w:rPr>
                <w:sz w:val="13"/>
                <w:szCs w:val="13"/>
                <w:color w:val="auto"/>
              </w:rPr>
            </w:pPr>
          </w:p>
        </w:tc>
        <w:tc>
          <w:tcPr>
            <w:tcW w:w="80" w:type="dxa"/>
            <w:vAlign w:val="bottom"/>
            <w:shd w:val="clear" w:color="auto" w:fill="D0EBF2"/>
          </w:tcPr>
          <w:p>
            <w:pPr>
              <w:spacing w:after="0"/>
              <w:rPr>
                <w:sz w:val="13"/>
                <w:szCs w:val="13"/>
                <w:color w:val="auto"/>
              </w:rPr>
            </w:pPr>
          </w:p>
        </w:tc>
        <w:tc>
          <w:tcPr>
            <w:tcW w:w="560" w:type="dxa"/>
            <w:vAlign w:val="bottom"/>
            <w:vMerge w:val="continue"/>
            <w:shd w:val="clear" w:color="auto" w:fill="D0EBF2"/>
          </w:tcPr>
          <w:p>
            <w:pPr>
              <w:spacing w:after="0"/>
              <w:rPr>
                <w:sz w:val="13"/>
                <w:szCs w:val="13"/>
                <w:color w:val="auto"/>
              </w:rPr>
            </w:pPr>
          </w:p>
        </w:tc>
        <w:tc>
          <w:tcPr>
            <w:tcW w:w="0" w:type="dxa"/>
            <w:vAlign w:val="bottom"/>
            <w:shd w:val="clear" w:color="auto" w:fill="D0EBF2"/>
          </w:tcPr>
          <w:p>
            <w:pPr>
              <w:spacing w:after="0"/>
              <w:rPr>
                <w:sz w:val="13"/>
                <w:szCs w:val="13"/>
                <w:color w:val="auto"/>
              </w:rPr>
            </w:pPr>
          </w:p>
        </w:tc>
        <w:tc>
          <w:tcPr>
            <w:tcW w:w="100" w:type="dxa"/>
            <w:vAlign w:val="bottom"/>
            <w:shd w:val="clear" w:color="auto" w:fill="D0EBF2"/>
          </w:tcPr>
          <w:p>
            <w:pPr>
              <w:spacing w:after="0"/>
              <w:rPr>
                <w:sz w:val="13"/>
                <w:szCs w:val="13"/>
                <w:color w:val="auto"/>
              </w:rPr>
            </w:pPr>
          </w:p>
        </w:tc>
        <w:tc>
          <w:tcPr>
            <w:tcW w:w="20" w:type="dxa"/>
            <w:vAlign w:val="bottom"/>
            <w:shd w:val="clear" w:color="auto" w:fill="D0EBF2"/>
          </w:tcPr>
          <w:p>
            <w:pPr>
              <w:spacing w:after="0"/>
              <w:rPr>
                <w:sz w:val="13"/>
                <w:szCs w:val="13"/>
                <w:color w:val="auto"/>
              </w:rPr>
            </w:pPr>
          </w:p>
        </w:tc>
        <w:tc>
          <w:tcPr>
            <w:tcW w:w="80" w:type="dxa"/>
            <w:vAlign w:val="bottom"/>
            <w:shd w:val="clear" w:color="auto" w:fill="D0EBF2"/>
          </w:tcPr>
          <w:p>
            <w:pPr>
              <w:spacing w:after="0"/>
              <w:rPr>
                <w:sz w:val="13"/>
                <w:szCs w:val="13"/>
                <w:color w:val="auto"/>
              </w:rPr>
            </w:pPr>
          </w:p>
        </w:tc>
        <w:tc>
          <w:tcPr>
            <w:tcW w:w="660" w:type="dxa"/>
            <w:vAlign w:val="bottom"/>
            <w:gridSpan w:val="4"/>
            <w:vMerge w:val="continue"/>
            <w:shd w:val="clear" w:color="auto" w:fill="D0EBF2"/>
          </w:tcPr>
          <w:p>
            <w:pPr>
              <w:spacing w:after="0"/>
              <w:rPr>
                <w:sz w:val="13"/>
                <w:szCs w:val="13"/>
                <w:color w:val="auto"/>
              </w:rPr>
            </w:pPr>
          </w:p>
        </w:tc>
        <w:tc>
          <w:tcPr>
            <w:tcW w:w="0" w:type="dxa"/>
            <w:vAlign w:val="bottom"/>
          </w:tcPr>
          <w:p>
            <w:pPr>
              <w:spacing w:after="0"/>
              <w:rPr>
                <w:sz w:val="1"/>
                <w:szCs w:val="1"/>
                <w:color w:val="auto"/>
              </w:rPr>
            </w:pPr>
          </w:p>
        </w:tc>
      </w:tr>
      <w:tr>
        <w:trPr>
          <w:trHeight w:val="131"/>
        </w:trPr>
        <w:tc>
          <w:tcPr>
            <w:tcW w:w="2720" w:type="dxa"/>
            <w:vAlign w:val="bottom"/>
            <w:tcBorders>
              <w:top w:val="single" w:sz="8" w:color="FDFDFC"/>
            </w:tcBorders>
            <w:gridSpan w:val="4"/>
            <w:shd w:val="clear" w:color="auto" w:fill="FDFDFC"/>
          </w:tcPr>
          <w:p>
            <w:pPr>
              <w:spacing w:after="0" w:line="131" w:lineRule="exact"/>
              <w:rPr>
                <w:sz w:val="20"/>
                <w:szCs w:val="20"/>
                <w:color w:val="auto"/>
              </w:rPr>
            </w:pPr>
            <w:r>
              <w:rPr>
                <w:rFonts w:ascii="Times New Roman" w:cs="Times New Roman" w:eastAsia="Times New Roman" w:hAnsi="Times New Roman"/>
                <w:sz w:val="12"/>
                <w:szCs w:val="12"/>
                <w:color w:val="231F20"/>
              </w:rPr>
              <w:t>Total from operations</w:t>
            </w:r>
          </w:p>
        </w:tc>
        <w:tc>
          <w:tcPr>
            <w:tcW w:w="0" w:type="dxa"/>
            <w:vAlign w:val="bottom"/>
            <w:tcBorders>
              <w:top w:val="single" w:sz="8" w:color="231F20"/>
            </w:tcBorders>
            <w:shd w:val="clear" w:color="auto" w:fill="FDFDFC"/>
          </w:tcPr>
          <w:p>
            <w:pPr>
              <w:spacing w:after="0"/>
              <w:rPr>
                <w:sz w:val="11"/>
                <w:szCs w:val="11"/>
                <w:color w:val="auto"/>
              </w:rPr>
            </w:pPr>
          </w:p>
        </w:tc>
        <w:tc>
          <w:tcPr>
            <w:tcW w:w="560" w:type="dxa"/>
            <w:vAlign w:val="bottom"/>
            <w:tcBorders>
              <w:top w:val="single" w:sz="8" w:color="231F20"/>
            </w:tcBorders>
            <w:shd w:val="clear" w:color="auto" w:fill="FDFDFC"/>
          </w:tcPr>
          <w:p>
            <w:pPr>
              <w:jc w:val="right"/>
              <w:spacing w:after="0" w:line="131" w:lineRule="exact"/>
              <w:rPr>
                <w:sz w:val="20"/>
                <w:szCs w:val="20"/>
                <w:color w:val="auto"/>
              </w:rPr>
            </w:pPr>
            <w:r>
              <w:rPr>
                <w:rFonts w:ascii="Times New Roman" w:cs="Times New Roman" w:eastAsia="Times New Roman" w:hAnsi="Times New Roman"/>
                <w:sz w:val="12"/>
                <w:szCs w:val="12"/>
                <w:color w:val="231F20"/>
              </w:rPr>
              <w:t>2.03</w:t>
            </w:r>
          </w:p>
        </w:tc>
        <w:tc>
          <w:tcPr>
            <w:tcW w:w="120" w:type="dxa"/>
            <w:vAlign w:val="bottom"/>
            <w:tcBorders>
              <w:top w:val="single" w:sz="8" w:color="FDFDFC"/>
            </w:tcBorders>
            <w:shd w:val="clear" w:color="auto" w:fill="FDFDFC"/>
          </w:tcPr>
          <w:p>
            <w:pPr>
              <w:spacing w:after="0"/>
              <w:rPr>
                <w:sz w:val="11"/>
                <w:szCs w:val="11"/>
                <w:color w:val="auto"/>
              </w:rPr>
            </w:pPr>
          </w:p>
        </w:tc>
        <w:tc>
          <w:tcPr>
            <w:tcW w:w="40" w:type="dxa"/>
            <w:vAlign w:val="bottom"/>
            <w:tcBorders>
              <w:top w:val="single" w:sz="8" w:color="FDFDFC"/>
            </w:tcBorders>
            <w:shd w:val="clear" w:color="auto" w:fill="FDFDFC"/>
          </w:tcPr>
          <w:p>
            <w:pPr>
              <w:spacing w:after="0"/>
              <w:rPr>
                <w:sz w:val="11"/>
                <w:szCs w:val="11"/>
                <w:color w:val="auto"/>
              </w:rPr>
            </w:pPr>
          </w:p>
        </w:tc>
        <w:tc>
          <w:tcPr>
            <w:tcW w:w="60" w:type="dxa"/>
            <w:vAlign w:val="bottom"/>
            <w:tcBorders>
              <w:top w:val="single" w:sz="8" w:color="231F20"/>
            </w:tcBorders>
            <w:shd w:val="clear" w:color="auto" w:fill="FDFDFC"/>
          </w:tcPr>
          <w:p>
            <w:pPr>
              <w:spacing w:after="0"/>
              <w:rPr>
                <w:sz w:val="11"/>
                <w:szCs w:val="11"/>
                <w:color w:val="auto"/>
              </w:rPr>
            </w:pPr>
          </w:p>
        </w:tc>
        <w:tc>
          <w:tcPr>
            <w:tcW w:w="580" w:type="dxa"/>
            <w:vAlign w:val="bottom"/>
            <w:tcBorders>
              <w:top w:val="single" w:sz="8" w:color="231F20"/>
            </w:tcBorders>
            <w:shd w:val="clear" w:color="auto" w:fill="FDFDFC"/>
          </w:tcPr>
          <w:p>
            <w:pPr>
              <w:jc w:val="right"/>
              <w:spacing w:after="0" w:line="131" w:lineRule="exact"/>
              <w:rPr>
                <w:sz w:val="20"/>
                <w:szCs w:val="20"/>
                <w:color w:val="auto"/>
              </w:rPr>
            </w:pPr>
            <w:r>
              <w:rPr>
                <w:rFonts w:ascii="Times New Roman" w:cs="Times New Roman" w:eastAsia="Times New Roman" w:hAnsi="Times New Roman"/>
                <w:sz w:val="12"/>
                <w:szCs w:val="12"/>
                <w:color w:val="231F20"/>
              </w:rPr>
              <w:t>2.61</w:t>
            </w:r>
          </w:p>
        </w:tc>
        <w:tc>
          <w:tcPr>
            <w:tcW w:w="0" w:type="dxa"/>
            <w:vAlign w:val="bottom"/>
            <w:tcBorders>
              <w:top w:val="single" w:sz="8" w:color="231F20"/>
            </w:tcBorders>
            <w:shd w:val="clear" w:color="auto" w:fill="FDFDFC"/>
          </w:tcPr>
          <w:p>
            <w:pPr>
              <w:spacing w:after="0"/>
              <w:rPr>
                <w:sz w:val="11"/>
                <w:szCs w:val="11"/>
                <w:color w:val="auto"/>
              </w:rPr>
            </w:pPr>
          </w:p>
        </w:tc>
        <w:tc>
          <w:tcPr>
            <w:tcW w:w="100" w:type="dxa"/>
            <w:vAlign w:val="bottom"/>
            <w:tcBorders>
              <w:top w:val="single" w:sz="8" w:color="FDFDFC"/>
            </w:tcBorders>
            <w:shd w:val="clear" w:color="auto" w:fill="FDFDFC"/>
          </w:tcPr>
          <w:p>
            <w:pPr>
              <w:spacing w:after="0"/>
              <w:rPr>
                <w:sz w:val="11"/>
                <w:szCs w:val="11"/>
                <w:color w:val="auto"/>
              </w:rPr>
            </w:pPr>
          </w:p>
        </w:tc>
        <w:tc>
          <w:tcPr>
            <w:tcW w:w="40" w:type="dxa"/>
            <w:vAlign w:val="bottom"/>
            <w:tcBorders>
              <w:top w:val="single" w:sz="8" w:color="FDFDFC"/>
            </w:tcBorders>
            <w:shd w:val="clear" w:color="auto" w:fill="FDFDFC"/>
          </w:tcPr>
          <w:p>
            <w:pPr>
              <w:spacing w:after="0"/>
              <w:rPr>
                <w:sz w:val="11"/>
                <w:szCs w:val="11"/>
                <w:color w:val="auto"/>
              </w:rPr>
            </w:pPr>
          </w:p>
        </w:tc>
        <w:tc>
          <w:tcPr>
            <w:tcW w:w="60" w:type="dxa"/>
            <w:vAlign w:val="bottom"/>
            <w:tcBorders>
              <w:top w:val="single" w:sz="8" w:color="231F20"/>
            </w:tcBorders>
            <w:shd w:val="clear" w:color="auto" w:fill="FDFDFC"/>
          </w:tcPr>
          <w:p>
            <w:pPr>
              <w:spacing w:after="0"/>
              <w:rPr>
                <w:sz w:val="11"/>
                <w:szCs w:val="11"/>
                <w:color w:val="auto"/>
              </w:rPr>
            </w:pPr>
          </w:p>
        </w:tc>
        <w:tc>
          <w:tcPr>
            <w:tcW w:w="580" w:type="dxa"/>
            <w:vAlign w:val="bottom"/>
            <w:tcBorders>
              <w:top w:val="single" w:sz="8" w:color="231F20"/>
            </w:tcBorders>
            <w:shd w:val="clear" w:color="auto" w:fill="FDFDFC"/>
          </w:tcPr>
          <w:p>
            <w:pPr>
              <w:jc w:val="right"/>
              <w:spacing w:after="0" w:line="131" w:lineRule="exact"/>
              <w:rPr>
                <w:sz w:val="20"/>
                <w:szCs w:val="20"/>
                <w:color w:val="auto"/>
              </w:rPr>
            </w:pPr>
            <w:r>
              <w:rPr>
                <w:rFonts w:ascii="Times New Roman" w:cs="Times New Roman" w:eastAsia="Times New Roman" w:hAnsi="Times New Roman"/>
                <w:sz w:val="12"/>
                <w:szCs w:val="12"/>
                <w:color w:val="231F20"/>
              </w:rPr>
              <w:t>1.38</w:t>
            </w:r>
          </w:p>
        </w:tc>
        <w:tc>
          <w:tcPr>
            <w:tcW w:w="0" w:type="dxa"/>
            <w:vAlign w:val="bottom"/>
            <w:tcBorders>
              <w:top w:val="single" w:sz="8" w:color="231F20"/>
            </w:tcBorders>
            <w:shd w:val="clear" w:color="auto" w:fill="FDFDFC"/>
          </w:tcPr>
          <w:p>
            <w:pPr>
              <w:spacing w:after="0"/>
              <w:rPr>
                <w:sz w:val="11"/>
                <w:szCs w:val="11"/>
                <w:color w:val="auto"/>
              </w:rPr>
            </w:pPr>
          </w:p>
        </w:tc>
        <w:tc>
          <w:tcPr>
            <w:tcW w:w="100" w:type="dxa"/>
            <w:vAlign w:val="bottom"/>
            <w:tcBorders>
              <w:top w:val="single" w:sz="8" w:color="FDFDFC"/>
            </w:tcBorders>
            <w:shd w:val="clear" w:color="auto" w:fill="FDFDFC"/>
          </w:tcPr>
          <w:p>
            <w:pPr>
              <w:spacing w:after="0"/>
              <w:rPr>
                <w:sz w:val="11"/>
                <w:szCs w:val="11"/>
                <w:color w:val="auto"/>
              </w:rPr>
            </w:pPr>
          </w:p>
        </w:tc>
        <w:tc>
          <w:tcPr>
            <w:tcW w:w="20" w:type="dxa"/>
            <w:vAlign w:val="bottom"/>
            <w:tcBorders>
              <w:top w:val="single" w:sz="8" w:color="FDFDFC"/>
            </w:tcBorders>
            <w:shd w:val="clear" w:color="auto" w:fill="FDFDFC"/>
          </w:tcPr>
          <w:p>
            <w:pPr>
              <w:spacing w:after="0"/>
              <w:rPr>
                <w:sz w:val="11"/>
                <w:szCs w:val="11"/>
                <w:color w:val="auto"/>
              </w:rPr>
            </w:pPr>
          </w:p>
        </w:tc>
        <w:tc>
          <w:tcPr>
            <w:tcW w:w="60" w:type="dxa"/>
            <w:vAlign w:val="bottom"/>
            <w:tcBorders>
              <w:top w:val="single" w:sz="8" w:color="231F20"/>
            </w:tcBorders>
            <w:shd w:val="clear" w:color="auto" w:fill="FDFDFC"/>
          </w:tcPr>
          <w:p>
            <w:pPr>
              <w:spacing w:after="0"/>
              <w:rPr>
                <w:sz w:val="11"/>
                <w:szCs w:val="11"/>
                <w:color w:val="auto"/>
              </w:rPr>
            </w:pPr>
          </w:p>
        </w:tc>
        <w:tc>
          <w:tcPr>
            <w:tcW w:w="580" w:type="dxa"/>
            <w:vAlign w:val="bottom"/>
            <w:tcBorders>
              <w:top w:val="single" w:sz="8" w:color="231F20"/>
            </w:tcBorders>
            <w:shd w:val="clear" w:color="auto" w:fill="FDFDFC"/>
          </w:tcPr>
          <w:p>
            <w:pPr>
              <w:jc w:val="right"/>
              <w:spacing w:after="0" w:line="131" w:lineRule="exact"/>
              <w:rPr>
                <w:sz w:val="20"/>
                <w:szCs w:val="20"/>
                <w:color w:val="auto"/>
              </w:rPr>
            </w:pPr>
            <w:r>
              <w:rPr>
                <w:rFonts w:ascii="Times New Roman" w:cs="Times New Roman" w:eastAsia="Times New Roman" w:hAnsi="Times New Roman"/>
                <w:sz w:val="12"/>
                <w:szCs w:val="12"/>
                <w:color w:val="231F20"/>
              </w:rPr>
              <w:t>2.93</w:t>
            </w:r>
          </w:p>
        </w:tc>
        <w:tc>
          <w:tcPr>
            <w:tcW w:w="20" w:type="dxa"/>
            <w:vAlign w:val="bottom"/>
            <w:tcBorders>
              <w:top w:val="single" w:sz="8" w:color="231F20"/>
            </w:tcBorders>
            <w:shd w:val="clear" w:color="auto" w:fill="FDFDFC"/>
          </w:tcPr>
          <w:p>
            <w:pPr>
              <w:spacing w:after="0"/>
              <w:rPr>
                <w:sz w:val="11"/>
                <w:szCs w:val="11"/>
                <w:color w:val="auto"/>
              </w:rPr>
            </w:pPr>
          </w:p>
        </w:tc>
        <w:tc>
          <w:tcPr>
            <w:tcW w:w="20" w:type="dxa"/>
            <w:vAlign w:val="bottom"/>
            <w:tcBorders>
              <w:top w:val="single" w:sz="8" w:color="231F20"/>
            </w:tcBorders>
            <w:shd w:val="clear" w:color="auto" w:fill="FDFDFC"/>
          </w:tcPr>
          <w:p>
            <w:pPr>
              <w:spacing w:after="0"/>
              <w:rPr>
                <w:sz w:val="11"/>
                <w:szCs w:val="11"/>
                <w:color w:val="auto"/>
              </w:rPr>
            </w:pPr>
          </w:p>
        </w:tc>
        <w:tc>
          <w:tcPr>
            <w:tcW w:w="60" w:type="dxa"/>
            <w:vAlign w:val="bottom"/>
            <w:tcBorders>
              <w:top w:val="single" w:sz="8" w:color="FDFDFC"/>
            </w:tcBorders>
            <w:shd w:val="clear" w:color="auto" w:fill="FDFDFC"/>
          </w:tcPr>
          <w:p>
            <w:pPr>
              <w:spacing w:after="0"/>
              <w:rPr>
                <w:sz w:val="11"/>
                <w:szCs w:val="11"/>
                <w:color w:val="auto"/>
              </w:rPr>
            </w:pPr>
          </w:p>
        </w:tc>
        <w:tc>
          <w:tcPr>
            <w:tcW w:w="80" w:type="dxa"/>
            <w:vAlign w:val="bottom"/>
            <w:tcBorders>
              <w:top w:val="single" w:sz="8" w:color="231F20"/>
            </w:tcBorders>
            <w:shd w:val="clear" w:color="auto" w:fill="FDFDFC"/>
          </w:tcPr>
          <w:p>
            <w:pPr>
              <w:spacing w:after="0"/>
              <w:rPr>
                <w:sz w:val="11"/>
                <w:szCs w:val="11"/>
                <w:color w:val="auto"/>
              </w:rPr>
            </w:pPr>
          </w:p>
        </w:tc>
        <w:tc>
          <w:tcPr>
            <w:tcW w:w="560" w:type="dxa"/>
            <w:vAlign w:val="bottom"/>
            <w:tcBorders>
              <w:top w:val="single" w:sz="8" w:color="231F20"/>
            </w:tcBorders>
            <w:shd w:val="clear" w:color="auto" w:fill="FDFDFC"/>
          </w:tcPr>
          <w:p>
            <w:pPr>
              <w:jc w:val="right"/>
              <w:spacing w:after="0" w:line="131" w:lineRule="exact"/>
              <w:rPr>
                <w:sz w:val="20"/>
                <w:szCs w:val="20"/>
                <w:color w:val="auto"/>
              </w:rPr>
            </w:pPr>
            <w:r>
              <w:rPr>
                <w:rFonts w:ascii="Times New Roman" w:cs="Times New Roman" w:eastAsia="Times New Roman" w:hAnsi="Times New Roman"/>
                <w:sz w:val="12"/>
                <w:szCs w:val="12"/>
                <w:color w:val="231F20"/>
              </w:rPr>
              <w:t>2.65</w:t>
            </w:r>
          </w:p>
        </w:tc>
        <w:tc>
          <w:tcPr>
            <w:tcW w:w="0" w:type="dxa"/>
            <w:vAlign w:val="bottom"/>
            <w:tcBorders>
              <w:top w:val="single" w:sz="8" w:color="231F20"/>
            </w:tcBorders>
            <w:shd w:val="clear" w:color="auto" w:fill="FDFDFC"/>
          </w:tcPr>
          <w:p>
            <w:pPr>
              <w:spacing w:after="0"/>
              <w:rPr>
                <w:sz w:val="11"/>
                <w:szCs w:val="11"/>
                <w:color w:val="auto"/>
              </w:rPr>
            </w:pPr>
          </w:p>
        </w:tc>
        <w:tc>
          <w:tcPr>
            <w:tcW w:w="100" w:type="dxa"/>
            <w:vAlign w:val="bottom"/>
            <w:tcBorders>
              <w:top w:val="single" w:sz="8" w:color="FDFDFC"/>
            </w:tcBorders>
            <w:shd w:val="clear" w:color="auto" w:fill="FDFDFC"/>
          </w:tcPr>
          <w:p>
            <w:pPr>
              <w:spacing w:after="0"/>
              <w:rPr>
                <w:sz w:val="11"/>
                <w:szCs w:val="11"/>
                <w:color w:val="auto"/>
              </w:rPr>
            </w:pPr>
          </w:p>
        </w:tc>
        <w:tc>
          <w:tcPr>
            <w:tcW w:w="20" w:type="dxa"/>
            <w:vAlign w:val="bottom"/>
            <w:tcBorders>
              <w:top w:val="single" w:sz="8" w:color="FDFDFC"/>
            </w:tcBorders>
            <w:shd w:val="clear" w:color="auto" w:fill="FDFDFC"/>
          </w:tcPr>
          <w:p>
            <w:pPr>
              <w:spacing w:after="0"/>
              <w:rPr>
                <w:sz w:val="11"/>
                <w:szCs w:val="11"/>
                <w:color w:val="auto"/>
              </w:rPr>
            </w:pPr>
          </w:p>
        </w:tc>
        <w:tc>
          <w:tcPr>
            <w:tcW w:w="60" w:type="dxa"/>
            <w:vAlign w:val="bottom"/>
            <w:tcBorders>
              <w:top w:val="single" w:sz="8" w:color="231F20"/>
            </w:tcBorders>
            <w:shd w:val="clear" w:color="auto" w:fill="FDFDFC"/>
          </w:tcPr>
          <w:p>
            <w:pPr>
              <w:spacing w:after="0"/>
              <w:rPr>
                <w:sz w:val="11"/>
                <w:szCs w:val="11"/>
                <w:color w:val="auto"/>
              </w:rPr>
            </w:pPr>
          </w:p>
        </w:tc>
        <w:tc>
          <w:tcPr>
            <w:tcW w:w="560" w:type="dxa"/>
            <w:vAlign w:val="bottom"/>
            <w:tcBorders>
              <w:top w:val="single" w:sz="8" w:color="231F20"/>
            </w:tcBorders>
            <w:shd w:val="clear" w:color="auto" w:fill="FDFDFC"/>
          </w:tcPr>
          <w:p>
            <w:pPr>
              <w:jc w:val="right"/>
              <w:spacing w:after="0" w:line="131" w:lineRule="exact"/>
              <w:rPr>
                <w:sz w:val="20"/>
                <w:szCs w:val="20"/>
                <w:color w:val="auto"/>
              </w:rPr>
            </w:pPr>
            <w:r>
              <w:rPr>
                <w:rFonts w:ascii="Times New Roman" w:cs="Times New Roman" w:eastAsia="Times New Roman" w:hAnsi="Times New Roman"/>
                <w:sz w:val="12"/>
                <w:szCs w:val="12"/>
                <w:color w:val="231F20"/>
              </w:rPr>
              <w:t>2.34</w:t>
            </w:r>
          </w:p>
        </w:tc>
        <w:tc>
          <w:tcPr>
            <w:tcW w:w="0" w:type="dxa"/>
            <w:vAlign w:val="bottom"/>
            <w:tcBorders>
              <w:top w:val="single" w:sz="8" w:color="231F20"/>
            </w:tcBorders>
            <w:shd w:val="clear" w:color="auto" w:fill="FDFDFC"/>
          </w:tcPr>
          <w:p>
            <w:pPr>
              <w:spacing w:after="0"/>
              <w:rPr>
                <w:sz w:val="11"/>
                <w:szCs w:val="11"/>
                <w:color w:val="auto"/>
              </w:rPr>
            </w:pPr>
          </w:p>
        </w:tc>
        <w:tc>
          <w:tcPr>
            <w:tcW w:w="100" w:type="dxa"/>
            <w:vAlign w:val="bottom"/>
            <w:tcBorders>
              <w:top w:val="single" w:sz="8" w:color="FDFDFC"/>
            </w:tcBorders>
            <w:shd w:val="clear" w:color="auto" w:fill="FDFDFC"/>
          </w:tcPr>
          <w:p>
            <w:pPr>
              <w:spacing w:after="0"/>
              <w:rPr>
                <w:sz w:val="11"/>
                <w:szCs w:val="11"/>
                <w:color w:val="auto"/>
              </w:rPr>
            </w:pPr>
          </w:p>
        </w:tc>
        <w:tc>
          <w:tcPr>
            <w:tcW w:w="20" w:type="dxa"/>
            <w:vAlign w:val="bottom"/>
            <w:tcBorders>
              <w:top w:val="single" w:sz="8" w:color="FDFDFC"/>
            </w:tcBorders>
            <w:shd w:val="clear" w:color="auto" w:fill="FDFDFC"/>
          </w:tcPr>
          <w:p>
            <w:pPr>
              <w:spacing w:after="0"/>
              <w:rPr>
                <w:sz w:val="11"/>
                <w:szCs w:val="11"/>
                <w:color w:val="auto"/>
              </w:rPr>
            </w:pPr>
          </w:p>
        </w:tc>
        <w:tc>
          <w:tcPr>
            <w:tcW w:w="60" w:type="dxa"/>
            <w:vAlign w:val="bottom"/>
            <w:tcBorders>
              <w:top w:val="single" w:sz="8" w:color="231F20"/>
            </w:tcBorders>
            <w:shd w:val="clear" w:color="auto" w:fill="FDFDFC"/>
          </w:tcPr>
          <w:p>
            <w:pPr>
              <w:spacing w:after="0"/>
              <w:rPr>
                <w:sz w:val="11"/>
                <w:szCs w:val="11"/>
                <w:color w:val="auto"/>
              </w:rPr>
            </w:pPr>
          </w:p>
        </w:tc>
        <w:tc>
          <w:tcPr>
            <w:tcW w:w="560" w:type="dxa"/>
            <w:vAlign w:val="bottom"/>
            <w:tcBorders>
              <w:top w:val="single" w:sz="8" w:color="231F20"/>
            </w:tcBorders>
            <w:shd w:val="clear" w:color="auto" w:fill="FDFDFC"/>
          </w:tcPr>
          <w:p>
            <w:pPr>
              <w:jc w:val="right"/>
              <w:spacing w:after="0" w:line="131" w:lineRule="exact"/>
              <w:rPr>
                <w:sz w:val="20"/>
                <w:szCs w:val="20"/>
                <w:color w:val="auto"/>
              </w:rPr>
            </w:pPr>
            <w:r>
              <w:rPr>
                <w:rFonts w:ascii="Times New Roman" w:cs="Times New Roman" w:eastAsia="Times New Roman" w:hAnsi="Times New Roman"/>
                <w:sz w:val="12"/>
                <w:szCs w:val="12"/>
                <w:color w:val="231F20"/>
              </w:rPr>
              <w:t>1.86</w:t>
            </w:r>
          </w:p>
        </w:tc>
        <w:tc>
          <w:tcPr>
            <w:tcW w:w="0" w:type="dxa"/>
            <w:vAlign w:val="bottom"/>
            <w:tcBorders>
              <w:top w:val="single" w:sz="8" w:color="231F20"/>
            </w:tcBorders>
            <w:shd w:val="clear" w:color="auto" w:fill="FDFDFC"/>
          </w:tcPr>
          <w:p>
            <w:pPr>
              <w:spacing w:after="0"/>
              <w:rPr>
                <w:sz w:val="11"/>
                <w:szCs w:val="11"/>
                <w:color w:val="auto"/>
              </w:rPr>
            </w:pPr>
          </w:p>
        </w:tc>
        <w:tc>
          <w:tcPr>
            <w:tcW w:w="100" w:type="dxa"/>
            <w:vAlign w:val="bottom"/>
            <w:tcBorders>
              <w:top w:val="single" w:sz="8" w:color="FDFDFC"/>
            </w:tcBorders>
            <w:shd w:val="clear" w:color="auto" w:fill="FDFDFC"/>
          </w:tcPr>
          <w:p>
            <w:pPr>
              <w:spacing w:after="0"/>
              <w:rPr>
                <w:sz w:val="11"/>
                <w:szCs w:val="11"/>
                <w:color w:val="auto"/>
              </w:rPr>
            </w:pPr>
          </w:p>
        </w:tc>
        <w:tc>
          <w:tcPr>
            <w:tcW w:w="20" w:type="dxa"/>
            <w:vAlign w:val="bottom"/>
            <w:tcBorders>
              <w:top w:val="single" w:sz="8" w:color="FDFDFC"/>
            </w:tcBorders>
            <w:shd w:val="clear" w:color="auto" w:fill="FDFDFC"/>
          </w:tcPr>
          <w:p>
            <w:pPr>
              <w:spacing w:after="0"/>
              <w:rPr>
                <w:sz w:val="11"/>
                <w:szCs w:val="11"/>
                <w:color w:val="auto"/>
              </w:rPr>
            </w:pPr>
          </w:p>
        </w:tc>
        <w:tc>
          <w:tcPr>
            <w:tcW w:w="60" w:type="dxa"/>
            <w:vAlign w:val="bottom"/>
            <w:tcBorders>
              <w:top w:val="single" w:sz="8" w:color="231F20"/>
            </w:tcBorders>
            <w:shd w:val="clear" w:color="auto" w:fill="FDFDFC"/>
          </w:tcPr>
          <w:p>
            <w:pPr>
              <w:spacing w:after="0"/>
              <w:rPr>
                <w:sz w:val="11"/>
                <w:szCs w:val="11"/>
                <w:color w:val="auto"/>
              </w:rPr>
            </w:pPr>
          </w:p>
        </w:tc>
        <w:tc>
          <w:tcPr>
            <w:tcW w:w="580" w:type="dxa"/>
            <w:vAlign w:val="bottom"/>
            <w:tcBorders>
              <w:top w:val="single" w:sz="8" w:color="231F20"/>
            </w:tcBorders>
            <w:shd w:val="clear" w:color="auto" w:fill="FDFDFC"/>
          </w:tcPr>
          <w:p>
            <w:pPr>
              <w:jc w:val="right"/>
              <w:spacing w:after="0" w:line="131" w:lineRule="exact"/>
              <w:rPr>
                <w:sz w:val="20"/>
                <w:szCs w:val="20"/>
                <w:color w:val="auto"/>
              </w:rPr>
            </w:pPr>
            <w:r>
              <w:rPr>
                <w:rFonts w:ascii="Times New Roman" w:cs="Times New Roman" w:eastAsia="Times New Roman" w:hAnsi="Times New Roman"/>
                <w:sz w:val="12"/>
                <w:szCs w:val="12"/>
                <w:color w:val="231F20"/>
              </w:rPr>
              <w:t>1.86</w:t>
            </w:r>
          </w:p>
        </w:tc>
        <w:tc>
          <w:tcPr>
            <w:tcW w:w="0" w:type="dxa"/>
            <w:vAlign w:val="bottom"/>
            <w:tcBorders>
              <w:top w:val="single" w:sz="8" w:color="231F20"/>
            </w:tcBorders>
            <w:shd w:val="clear" w:color="auto" w:fill="FDFDFC"/>
          </w:tcPr>
          <w:p>
            <w:pPr>
              <w:spacing w:after="0"/>
              <w:rPr>
                <w:sz w:val="11"/>
                <w:szCs w:val="11"/>
                <w:color w:val="auto"/>
              </w:rPr>
            </w:pPr>
          </w:p>
        </w:tc>
        <w:tc>
          <w:tcPr>
            <w:tcW w:w="100" w:type="dxa"/>
            <w:vAlign w:val="bottom"/>
            <w:tcBorders>
              <w:top w:val="single" w:sz="8" w:color="FDFDFC"/>
            </w:tcBorders>
            <w:shd w:val="clear" w:color="auto" w:fill="FDFDFC"/>
          </w:tcPr>
          <w:p>
            <w:pPr>
              <w:spacing w:after="0"/>
              <w:rPr>
                <w:sz w:val="11"/>
                <w:szCs w:val="11"/>
                <w:color w:val="auto"/>
              </w:rPr>
            </w:pPr>
          </w:p>
        </w:tc>
        <w:tc>
          <w:tcPr>
            <w:tcW w:w="80" w:type="dxa"/>
            <w:vAlign w:val="bottom"/>
            <w:tcBorders>
              <w:top w:val="single" w:sz="8" w:color="231F20"/>
            </w:tcBorders>
            <w:shd w:val="clear" w:color="auto" w:fill="FDFDFC"/>
          </w:tcPr>
          <w:p>
            <w:pPr>
              <w:spacing w:after="0"/>
              <w:rPr>
                <w:sz w:val="11"/>
                <w:szCs w:val="11"/>
                <w:color w:val="auto"/>
              </w:rPr>
            </w:pPr>
          </w:p>
        </w:tc>
        <w:tc>
          <w:tcPr>
            <w:tcW w:w="560" w:type="dxa"/>
            <w:vAlign w:val="bottom"/>
            <w:tcBorders>
              <w:top w:val="single" w:sz="8" w:color="231F20"/>
            </w:tcBorders>
            <w:shd w:val="clear" w:color="auto" w:fill="FDFDFC"/>
          </w:tcPr>
          <w:p>
            <w:pPr>
              <w:jc w:val="right"/>
              <w:spacing w:after="0" w:line="131" w:lineRule="exact"/>
              <w:rPr>
                <w:sz w:val="20"/>
                <w:szCs w:val="20"/>
                <w:color w:val="auto"/>
              </w:rPr>
            </w:pPr>
            <w:r>
              <w:rPr>
                <w:rFonts w:ascii="Times New Roman" w:cs="Times New Roman" w:eastAsia="Times New Roman" w:hAnsi="Times New Roman"/>
                <w:sz w:val="12"/>
                <w:szCs w:val="12"/>
                <w:color w:val="231F20"/>
              </w:rPr>
              <w:t>2.34</w:t>
            </w:r>
          </w:p>
        </w:tc>
        <w:tc>
          <w:tcPr>
            <w:tcW w:w="0" w:type="dxa"/>
            <w:vAlign w:val="bottom"/>
            <w:tcBorders>
              <w:top w:val="single" w:sz="8" w:color="231F20"/>
            </w:tcBorders>
            <w:shd w:val="clear" w:color="auto" w:fill="FDFDFC"/>
          </w:tcPr>
          <w:p>
            <w:pPr>
              <w:spacing w:after="0"/>
              <w:rPr>
                <w:sz w:val="11"/>
                <w:szCs w:val="11"/>
                <w:color w:val="auto"/>
              </w:rPr>
            </w:pPr>
          </w:p>
        </w:tc>
        <w:tc>
          <w:tcPr>
            <w:tcW w:w="100" w:type="dxa"/>
            <w:vAlign w:val="bottom"/>
            <w:tcBorders>
              <w:top w:val="single" w:sz="8" w:color="FDFDFC"/>
            </w:tcBorders>
            <w:shd w:val="clear" w:color="auto" w:fill="FDFDFC"/>
          </w:tcPr>
          <w:p>
            <w:pPr>
              <w:spacing w:after="0"/>
              <w:rPr>
                <w:sz w:val="11"/>
                <w:szCs w:val="11"/>
                <w:color w:val="auto"/>
              </w:rPr>
            </w:pPr>
          </w:p>
        </w:tc>
        <w:tc>
          <w:tcPr>
            <w:tcW w:w="20" w:type="dxa"/>
            <w:vAlign w:val="bottom"/>
            <w:tcBorders>
              <w:top w:val="single" w:sz="8" w:color="FDFDFC"/>
            </w:tcBorders>
            <w:shd w:val="clear" w:color="auto" w:fill="FDFDFC"/>
          </w:tcPr>
          <w:p>
            <w:pPr>
              <w:spacing w:after="0"/>
              <w:rPr>
                <w:sz w:val="11"/>
                <w:szCs w:val="11"/>
                <w:color w:val="auto"/>
              </w:rPr>
            </w:pPr>
          </w:p>
        </w:tc>
        <w:tc>
          <w:tcPr>
            <w:tcW w:w="80" w:type="dxa"/>
            <w:vAlign w:val="bottom"/>
            <w:tcBorders>
              <w:top w:val="single" w:sz="8" w:color="231F20"/>
            </w:tcBorders>
            <w:shd w:val="clear" w:color="auto" w:fill="FDFDFC"/>
          </w:tcPr>
          <w:p>
            <w:pPr>
              <w:spacing w:after="0"/>
              <w:rPr>
                <w:sz w:val="11"/>
                <w:szCs w:val="11"/>
                <w:color w:val="auto"/>
              </w:rPr>
            </w:pPr>
          </w:p>
        </w:tc>
        <w:tc>
          <w:tcPr>
            <w:tcW w:w="560" w:type="dxa"/>
            <w:vAlign w:val="bottom"/>
            <w:tcBorders>
              <w:top w:val="single" w:sz="8" w:color="231F20"/>
            </w:tcBorders>
            <w:shd w:val="clear" w:color="auto" w:fill="FDFDFC"/>
          </w:tcPr>
          <w:p>
            <w:pPr>
              <w:jc w:val="right"/>
              <w:spacing w:after="0" w:line="131" w:lineRule="exact"/>
              <w:rPr>
                <w:sz w:val="20"/>
                <w:szCs w:val="20"/>
                <w:color w:val="auto"/>
              </w:rPr>
            </w:pPr>
            <w:r>
              <w:rPr>
                <w:rFonts w:ascii="Times New Roman" w:cs="Times New Roman" w:eastAsia="Times New Roman" w:hAnsi="Times New Roman"/>
                <w:sz w:val="12"/>
                <w:szCs w:val="12"/>
                <w:color w:val="231F20"/>
              </w:rPr>
              <w:t>1.18</w:t>
            </w:r>
          </w:p>
        </w:tc>
        <w:tc>
          <w:tcPr>
            <w:tcW w:w="20" w:type="dxa"/>
            <w:vAlign w:val="bottom"/>
            <w:tcBorders>
              <w:top w:val="single" w:sz="8" w:color="231F20"/>
            </w:tcBorders>
            <w:shd w:val="clear" w:color="auto" w:fill="FDFDFC"/>
          </w:tcPr>
          <w:p>
            <w:pPr>
              <w:spacing w:after="0"/>
              <w:rPr>
                <w:sz w:val="11"/>
                <w:szCs w:val="11"/>
                <w:color w:val="auto"/>
              </w:rPr>
            </w:pPr>
          </w:p>
        </w:tc>
        <w:tc>
          <w:tcPr>
            <w:tcW w:w="20" w:type="dxa"/>
            <w:vAlign w:val="bottom"/>
            <w:tcBorders>
              <w:top w:val="single" w:sz="8" w:color="231F20"/>
            </w:tcBorders>
            <w:shd w:val="clear" w:color="auto" w:fill="FDFDFC"/>
          </w:tcPr>
          <w:p>
            <w:pPr>
              <w:spacing w:after="0"/>
              <w:rPr>
                <w:sz w:val="11"/>
                <w:szCs w:val="11"/>
                <w:color w:val="auto"/>
              </w:rPr>
            </w:pPr>
          </w:p>
        </w:tc>
        <w:tc>
          <w:tcPr>
            <w:tcW w:w="60" w:type="dxa"/>
            <w:vAlign w:val="bottom"/>
            <w:tcBorders>
              <w:top w:val="single" w:sz="8" w:color="FDFDFC"/>
            </w:tcBorders>
            <w:shd w:val="clear" w:color="auto" w:fill="FDFDFC"/>
          </w:tcPr>
          <w:p>
            <w:pPr>
              <w:spacing w:after="0"/>
              <w:rPr>
                <w:sz w:val="11"/>
                <w:szCs w:val="11"/>
                <w:color w:val="auto"/>
              </w:rPr>
            </w:pPr>
          </w:p>
        </w:tc>
        <w:tc>
          <w:tcPr>
            <w:tcW w:w="0" w:type="dxa"/>
            <w:vAlign w:val="bottom"/>
          </w:tcPr>
          <w:p>
            <w:pPr>
              <w:spacing w:after="0"/>
              <w:rPr>
                <w:sz w:val="1"/>
                <w:szCs w:val="1"/>
                <w:color w:val="auto"/>
              </w:rPr>
            </w:pPr>
          </w:p>
        </w:tc>
      </w:tr>
      <w:tr>
        <w:trPr>
          <w:trHeight w:val="141"/>
        </w:trPr>
        <w:tc>
          <w:tcPr>
            <w:tcW w:w="2720" w:type="dxa"/>
            <w:vAlign w:val="bottom"/>
            <w:gridSpan w:val="4"/>
            <w:shd w:val="clear" w:color="auto" w:fill="D0EBF2"/>
          </w:tcPr>
          <w:p>
            <w:pPr>
              <w:spacing w:after="0"/>
              <w:rPr>
                <w:sz w:val="20"/>
                <w:szCs w:val="20"/>
                <w:color w:val="auto"/>
              </w:rPr>
            </w:pPr>
            <w:r>
              <w:rPr>
                <w:rFonts w:ascii="Times New Roman" w:cs="Times New Roman" w:eastAsia="Times New Roman" w:hAnsi="Times New Roman"/>
                <w:sz w:val="12"/>
                <w:szCs w:val="12"/>
                <w:color w:val="231F20"/>
              </w:rPr>
              <w:t xml:space="preserve">Issuance of common stock, net of offering costs </w:t>
            </w:r>
            <w:r>
              <w:rPr>
                <w:rFonts w:ascii="Times New Roman" w:cs="Times New Roman" w:eastAsia="Times New Roman" w:hAnsi="Times New Roman"/>
                <w:sz w:val="7"/>
                <w:szCs w:val="7"/>
                <w:color w:val="231F20"/>
              </w:rPr>
              <w:t>(2)</w:t>
            </w:r>
          </w:p>
        </w:tc>
        <w:tc>
          <w:tcPr>
            <w:tcW w:w="0" w:type="dxa"/>
            <w:vAlign w:val="bottom"/>
            <w:shd w:val="clear" w:color="auto" w:fill="D0EBF2"/>
          </w:tcPr>
          <w:p>
            <w:pPr>
              <w:spacing w:after="0"/>
              <w:rPr>
                <w:sz w:val="12"/>
                <w:szCs w:val="12"/>
                <w:color w:val="auto"/>
              </w:rPr>
            </w:pPr>
          </w:p>
        </w:tc>
        <w:tc>
          <w:tcPr>
            <w:tcW w:w="560" w:type="dxa"/>
            <w:vAlign w:val="bottom"/>
            <w:shd w:val="clear" w:color="auto" w:fill="D0EBF2"/>
          </w:tcPr>
          <w:p>
            <w:pPr>
              <w:jc w:val="right"/>
              <w:spacing w:after="0"/>
              <w:rPr>
                <w:sz w:val="20"/>
                <w:szCs w:val="20"/>
                <w:color w:val="auto"/>
              </w:rPr>
            </w:pPr>
            <w:r>
              <w:rPr>
                <w:rFonts w:ascii="Times New Roman" w:cs="Times New Roman" w:eastAsia="Times New Roman" w:hAnsi="Times New Roman"/>
                <w:sz w:val="12"/>
                <w:szCs w:val="12"/>
                <w:color w:val="231F20"/>
              </w:rPr>
              <w:t>0.18</w:t>
            </w:r>
          </w:p>
        </w:tc>
        <w:tc>
          <w:tcPr>
            <w:tcW w:w="120" w:type="dxa"/>
            <w:vAlign w:val="bottom"/>
            <w:shd w:val="clear" w:color="auto" w:fill="D0EBF2"/>
          </w:tcPr>
          <w:p>
            <w:pPr>
              <w:spacing w:after="0"/>
              <w:rPr>
                <w:sz w:val="12"/>
                <w:szCs w:val="12"/>
                <w:color w:val="auto"/>
              </w:rPr>
            </w:pPr>
          </w:p>
        </w:tc>
        <w:tc>
          <w:tcPr>
            <w:tcW w:w="40" w:type="dxa"/>
            <w:vAlign w:val="bottom"/>
            <w:shd w:val="clear" w:color="auto" w:fill="D0EBF2"/>
          </w:tcPr>
          <w:p>
            <w:pPr>
              <w:spacing w:after="0"/>
              <w:rPr>
                <w:sz w:val="12"/>
                <w:szCs w:val="12"/>
                <w:color w:val="auto"/>
              </w:rPr>
            </w:pPr>
          </w:p>
        </w:tc>
        <w:tc>
          <w:tcPr>
            <w:tcW w:w="60" w:type="dxa"/>
            <w:vAlign w:val="bottom"/>
            <w:shd w:val="clear" w:color="auto" w:fill="D0EBF2"/>
          </w:tcPr>
          <w:p>
            <w:pPr>
              <w:spacing w:after="0"/>
              <w:rPr>
                <w:sz w:val="12"/>
                <w:szCs w:val="12"/>
                <w:color w:val="auto"/>
              </w:rPr>
            </w:pPr>
          </w:p>
        </w:tc>
        <w:tc>
          <w:tcPr>
            <w:tcW w:w="580" w:type="dxa"/>
            <w:vAlign w:val="bottom"/>
            <w:shd w:val="clear" w:color="auto" w:fill="D0EBF2"/>
          </w:tcPr>
          <w:p>
            <w:pPr>
              <w:jc w:val="right"/>
              <w:spacing w:after="0"/>
              <w:rPr>
                <w:sz w:val="20"/>
                <w:szCs w:val="20"/>
                <w:color w:val="auto"/>
              </w:rPr>
            </w:pPr>
            <w:r>
              <w:rPr>
                <w:rFonts w:ascii="Times New Roman" w:cs="Times New Roman" w:eastAsia="Times New Roman" w:hAnsi="Times New Roman"/>
                <w:sz w:val="12"/>
                <w:szCs w:val="12"/>
                <w:color w:val="231F20"/>
              </w:rPr>
              <w:t>0.05</w:t>
            </w:r>
          </w:p>
        </w:tc>
        <w:tc>
          <w:tcPr>
            <w:tcW w:w="0" w:type="dxa"/>
            <w:vAlign w:val="bottom"/>
            <w:shd w:val="clear" w:color="auto" w:fill="D0EBF2"/>
          </w:tcPr>
          <w:p>
            <w:pPr>
              <w:spacing w:after="0"/>
              <w:rPr>
                <w:sz w:val="12"/>
                <w:szCs w:val="12"/>
                <w:color w:val="auto"/>
              </w:rPr>
            </w:pPr>
          </w:p>
        </w:tc>
        <w:tc>
          <w:tcPr>
            <w:tcW w:w="100" w:type="dxa"/>
            <w:vAlign w:val="bottom"/>
            <w:shd w:val="clear" w:color="auto" w:fill="D0EBF2"/>
          </w:tcPr>
          <w:p>
            <w:pPr>
              <w:spacing w:after="0"/>
              <w:rPr>
                <w:sz w:val="12"/>
                <w:szCs w:val="12"/>
                <w:color w:val="auto"/>
              </w:rPr>
            </w:pPr>
          </w:p>
        </w:tc>
        <w:tc>
          <w:tcPr>
            <w:tcW w:w="40" w:type="dxa"/>
            <w:vAlign w:val="bottom"/>
            <w:shd w:val="clear" w:color="auto" w:fill="D0EBF2"/>
          </w:tcPr>
          <w:p>
            <w:pPr>
              <w:spacing w:after="0"/>
              <w:rPr>
                <w:sz w:val="12"/>
                <w:szCs w:val="12"/>
                <w:color w:val="auto"/>
              </w:rPr>
            </w:pPr>
          </w:p>
        </w:tc>
        <w:tc>
          <w:tcPr>
            <w:tcW w:w="60" w:type="dxa"/>
            <w:vAlign w:val="bottom"/>
            <w:shd w:val="clear" w:color="auto" w:fill="D0EBF2"/>
          </w:tcPr>
          <w:p>
            <w:pPr>
              <w:spacing w:after="0"/>
              <w:rPr>
                <w:sz w:val="12"/>
                <w:szCs w:val="12"/>
                <w:color w:val="auto"/>
              </w:rPr>
            </w:pPr>
          </w:p>
        </w:tc>
        <w:tc>
          <w:tcPr>
            <w:tcW w:w="580" w:type="dxa"/>
            <w:vAlign w:val="bottom"/>
            <w:shd w:val="clear" w:color="auto" w:fill="D0EBF2"/>
          </w:tcPr>
          <w:p>
            <w:pPr>
              <w:jc w:val="right"/>
              <w:spacing w:after="0"/>
              <w:rPr>
                <w:sz w:val="20"/>
                <w:szCs w:val="20"/>
                <w:color w:val="auto"/>
              </w:rPr>
            </w:pPr>
            <w:r>
              <w:rPr>
                <w:rFonts w:ascii="Times New Roman" w:cs="Times New Roman" w:eastAsia="Times New Roman" w:hAnsi="Times New Roman"/>
                <w:sz w:val="12"/>
                <w:szCs w:val="12"/>
                <w:color w:val="231F20"/>
              </w:rPr>
              <w:t>0.04</w:t>
            </w:r>
          </w:p>
        </w:tc>
        <w:tc>
          <w:tcPr>
            <w:tcW w:w="0" w:type="dxa"/>
            <w:vAlign w:val="bottom"/>
            <w:shd w:val="clear" w:color="auto" w:fill="D0EBF2"/>
          </w:tcPr>
          <w:p>
            <w:pPr>
              <w:spacing w:after="0"/>
              <w:rPr>
                <w:sz w:val="12"/>
                <w:szCs w:val="12"/>
                <w:color w:val="auto"/>
              </w:rPr>
            </w:pPr>
          </w:p>
        </w:tc>
        <w:tc>
          <w:tcPr>
            <w:tcW w:w="100" w:type="dxa"/>
            <w:vAlign w:val="bottom"/>
            <w:shd w:val="clear" w:color="auto" w:fill="D0EBF2"/>
          </w:tcPr>
          <w:p>
            <w:pPr>
              <w:spacing w:after="0"/>
              <w:rPr>
                <w:sz w:val="12"/>
                <w:szCs w:val="12"/>
                <w:color w:val="auto"/>
              </w:rPr>
            </w:pPr>
          </w:p>
        </w:tc>
        <w:tc>
          <w:tcPr>
            <w:tcW w:w="20" w:type="dxa"/>
            <w:vAlign w:val="bottom"/>
            <w:shd w:val="clear" w:color="auto" w:fill="D0EBF2"/>
          </w:tcPr>
          <w:p>
            <w:pPr>
              <w:spacing w:after="0"/>
              <w:rPr>
                <w:sz w:val="12"/>
                <w:szCs w:val="12"/>
                <w:color w:val="auto"/>
              </w:rPr>
            </w:pPr>
          </w:p>
        </w:tc>
        <w:tc>
          <w:tcPr>
            <w:tcW w:w="60" w:type="dxa"/>
            <w:vAlign w:val="bottom"/>
            <w:shd w:val="clear" w:color="auto" w:fill="D0EBF2"/>
          </w:tcPr>
          <w:p>
            <w:pPr>
              <w:spacing w:after="0"/>
              <w:rPr>
                <w:sz w:val="12"/>
                <w:szCs w:val="12"/>
                <w:color w:val="auto"/>
              </w:rPr>
            </w:pPr>
          </w:p>
        </w:tc>
        <w:tc>
          <w:tcPr>
            <w:tcW w:w="580" w:type="dxa"/>
            <w:vAlign w:val="bottom"/>
            <w:shd w:val="clear" w:color="auto" w:fill="D0EBF2"/>
          </w:tcPr>
          <w:p>
            <w:pPr>
              <w:jc w:val="right"/>
              <w:spacing w:after="0"/>
              <w:rPr>
                <w:sz w:val="20"/>
                <w:szCs w:val="20"/>
                <w:color w:val="auto"/>
              </w:rPr>
            </w:pPr>
            <w:r>
              <w:rPr>
                <w:rFonts w:ascii="Times New Roman" w:cs="Times New Roman" w:eastAsia="Times New Roman" w:hAnsi="Times New Roman"/>
                <w:sz w:val="12"/>
                <w:szCs w:val="12"/>
                <w:color w:val="231F20"/>
              </w:rPr>
              <w:t>0.31</w:t>
            </w:r>
          </w:p>
        </w:tc>
        <w:tc>
          <w:tcPr>
            <w:tcW w:w="20" w:type="dxa"/>
            <w:vAlign w:val="bottom"/>
            <w:shd w:val="clear" w:color="auto" w:fill="D0EBF2"/>
          </w:tcPr>
          <w:p>
            <w:pPr>
              <w:spacing w:after="0"/>
              <w:rPr>
                <w:sz w:val="12"/>
                <w:szCs w:val="12"/>
                <w:color w:val="auto"/>
              </w:rPr>
            </w:pPr>
          </w:p>
        </w:tc>
        <w:tc>
          <w:tcPr>
            <w:tcW w:w="20" w:type="dxa"/>
            <w:vAlign w:val="bottom"/>
            <w:shd w:val="clear" w:color="auto" w:fill="D0EBF2"/>
          </w:tcPr>
          <w:p>
            <w:pPr>
              <w:spacing w:after="0"/>
              <w:rPr>
                <w:sz w:val="12"/>
                <w:szCs w:val="12"/>
                <w:color w:val="auto"/>
              </w:rPr>
            </w:pPr>
          </w:p>
        </w:tc>
        <w:tc>
          <w:tcPr>
            <w:tcW w:w="60" w:type="dxa"/>
            <w:vAlign w:val="bottom"/>
            <w:shd w:val="clear" w:color="auto" w:fill="D0EBF2"/>
          </w:tcPr>
          <w:p>
            <w:pPr>
              <w:spacing w:after="0"/>
              <w:rPr>
                <w:sz w:val="12"/>
                <w:szCs w:val="12"/>
                <w:color w:val="auto"/>
              </w:rPr>
            </w:pPr>
          </w:p>
        </w:tc>
        <w:tc>
          <w:tcPr>
            <w:tcW w:w="80" w:type="dxa"/>
            <w:vAlign w:val="bottom"/>
            <w:shd w:val="clear" w:color="auto" w:fill="D0EBF2"/>
          </w:tcPr>
          <w:p>
            <w:pPr>
              <w:spacing w:after="0"/>
              <w:rPr>
                <w:sz w:val="12"/>
                <w:szCs w:val="12"/>
                <w:color w:val="auto"/>
              </w:rPr>
            </w:pPr>
          </w:p>
        </w:tc>
        <w:tc>
          <w:tcPr>
            <w:tcW w:w="560" w:type="dxa"/>
            <w:vAlign w:val="bottom"/>
            <w:shd w:val="clear" w:color="auto" w:fill="D0EBF2"/>
          </w:tcPr>
          <w:p>
            <w:pPr>
              <w:jc w:val="right"/>
              <w:spacing w:after="0"/>
              <w:rPr>
                <w:sz w:val="20"/>
                <w:szCs w:val="20"/>
                <w:color w:val="auto"/>
              </w:rPr>
            </w:pPr>
            <w:r>
              <w:rPr>
                <w:rFonts w:ascii="Times New Roman" w:cs="Times New Roman" w:eastAsia="Times New Roman" w:hAnsi="Times New Roman"/>
                <w:sz w:val="12"/>
                <w:szCs w:val="12"/>
                <w:color w:val="231F20"/>
              </w:rPr>
              <w:t>0.01</w:t>
            </w:r>
          </w:p>
        </w:tc>
        <w:tc>
          <w:tcPr>
            <w:tcW w:w="0" w:type="dxa"/>
            <w:vAlign w:val="bottom"/>
            <w:shd w:val="clear" w:color="auto" w:fill="D0EBF2"/>
          </w:tcPr>
          <w:p>
            <w:pPr>
              <w:spacing w:after="0"/>
              <w:rPr>
                <w:sz w:val="12"/>
                <w:szCs w:val="12"/>
                <w:color w:val="auto"/>
              </w:rPr>
            </w:pPr>
          </w:p>
        </w:tc>
        <w:tc>
          <w:tcPr>
            <w:tcW w:w="100" w:type="dxa"/>
            <w:vAlign w:val="bottom"/>
            <w:shd w:val="clear" w:color="auto" w:fill="D0EBF2"/>
          </w:tcPr>
          <w:p>
            <w:pPr>
              <w:spacing w:after="0"/>
              <w:rPr>
                <w:sz w:val="12"/>
                <w:szCs w:val="12"/>
                <w:color w:val="auto"/>
              </w:rPr>
            </w:pPr>
          </w:p>
        </w:tc>
        <w:tc>
          <w:tcPr>
            <w:tcW w:w="20" w:type="dxa"/>
            <w:vAlign w:val="bottom"/>
            <w:shd w:val="clear" w:color="auto" w:fill="D0EBF2"/>
          </w:tcPr>
          <w:p>
            <w:pPr>
              <w:spacing w:after="0"/>
              <w:rPr>
                <w:sz w:val="12"/>
                <w:szCs w:val="12"/>
                <w:color w:val="auto"/>
              </w:rPr>
            </w:pPr>
          </w:p>
        </w:tc>
        <w:tc>
          <w:tcPr>
            <w:tcW w:w="60" w:type="dxa"/>
            <w:vAlign w:val="bottom"/>
            <w:shd w:val="clear" w:color="auto" w:fill="D0EBF2"/>
          </w:tcPr>
          <w:p>
            <w:pPr>
              <w:spacing w:after="0"/>
              <w:rPr>
                <w:sz w:val="12"/>
                <w:szCs w:val="12"/>
                <w:color w:val="auto"/>
              </w:rPr>
            </w:pPr>
          </w:p>
        </w:tc>
        <w:tc>
          <w:tcPr>
            <w:tcW w:w="560" w:type="dxa"/>
            <w:vAlign w:val="bottom"/>
            <w:shd w:val="clear" w:color="auto" w:fill="D0EBF2"/>
          </w:tcPr>
          <w:p>
            <w:pPr>
              <w:jc w:val="right"/>
              <w:spacing w:after="0"/>
              <w:rPr>
                <w:sz w:val="20"/>
                <w:szCs w:val="20"/>
                <w:color w:val="auto"/>
              </w:rPr>
            </w:pPr>
            <w:r>
              <w:rPr>
                <w:rFonts w:ascii="Times New Roman" w:cs="Times New Roman" w:eastAsia="Times New Roman" w:hAnsi="Times New Roman"/>
                <w:sz w:val="12"/>
                <w:szCs w:val="12"/>
                <w:color w:val="231F20"/>
              </w:rPr>
              <w:t>0.04</w:t>
            </w:r>
          </w:p>
        </w:tc>
        <w:tc>
          <w:tcPr>
            <w:tcW w:w="0" w:type="dxa"/>
            <w:vAlign w:val="bottom"/>
            <w:shd w:val="clear" w:color="auto" w:fill="D0EBF2"/>
          </w:tcPr>
          <w:p>
            <w:pPr>
              <w:spacing w:after="0"/>
              <w:rPr>
                <w:sz w:val="12"/>
                <w:szCs w:val="12"/>
                <w:color w:val="auto"/>
              </w:rPr>
            </w:pPr>
          </w:p>
        </w:tc>
        <w:tc>
          <w:tcPr>
            <w:tcW w:w="100" w:type="dxa"/>
            <w:vAlign w:val="bottom"/>
            <w:shd w:val="clear" w:color="auto" w:fill="D0EBF2"/>
          </w:tcPr>
          <w:p>
            <w:pPr>
              <w:spacing w:after="0"/>
              <w:rPr>
                <w:sz w:val="12"/>
                <w:szCs w:val="12"/>
                <w:color w:val="auto"/>
              </w:rPr>
            </w:pPr>
          </w:p>
        </w:tc>
        <w:tc>
          <w:tcPr>
            <w:tcW w:w="20" w:type="dxa"/>
            <w:vAlign w:val="bottom"/>
            <w:shd w:val="clear" w:color="auto" w:fill="D0EBF2"/>
          </w:tcPr>
          <w:p>
            <w:pPr>
              <w:spacing w:after="0"/>
              <w:rPr>
                <w:sz w:val="12"/>
                <w:szCs w:val="12"/>
                <w:color w:val="auto"/>
              </w:rPr>
            </w:pPr>
          </w:p>
        </w:tc>
        <w:tc>
          <w:tcPr>
            <w:tcW w:w="60" w:type="dxa"/>
            <w:vAlign w:val="bottom"/>
            <w:shd w:val="clear" w:color="auto" w:fill="D0EBF2"/>
          </w:tcPr>
          <w:p>
            <w:pPr>
              <w:spacing w:after="0"/>
              <w:rPr>
                <w:sz w:val="12"/>
                <w:szCs w:val="12"/>
                <w:color w:val="auto"/>
              </w:rPr>
            </w:pPr>
          </w:p>
        </w:tc>
        <w:tc>
          <w:tcPr>
            <w:tcW w:w="560" w:type="dxa"/>
            <w:vAlign w:val="bottom"/>
            <w:shd w:val="clear" w:color="auto" w:fill="D0EBF2"/>
          </w:tcPr>
          <w:p>
            <w:pPr>
              <w:jc w:val="right"/>
              <w:spacing w:after="0"/>
              <w:rPr>
                <w:sz w:val="20"/>
                <w:szCs w:val="20"/>
                <w:color w:val="auto"/>
              </w:rPr>
            </w:pPr>
            <w:r>
              <w:rPr>
                <w:rFonts w:ascii="Times New Roman" w:cs="Times New Roman" w:eastAsia="Times New Roman" w:hAnsi="Times New Roman"/>
                <w:sz w:val="12"/>
                <w:szCs w:val="12"/>
                <w:color w:val="231F20"/>
              </w:rPr>
              <w:t>0.08</w:t>
            </w:r>
          </w:p>
        </w:tc>
        <w:tc>
          <w:tcPr>
            <w:tcW w:w="0" w:type="dxa"/>
            <w:vAlign w:val="bottom"/>
            <w:shd w:val="clear" w:color="auto" w:fill="D0EBF2"/>
          </w:tcPr>
          <w:p>
            <w:pPr>
              <w:spacing w:after="0"/>
              <w:rPr>
                <w:sz w:val="12"/>
                <w:szCs w:val="12"/>
                <w:color w:val="auto"/>
              </w:rPr>
            </w:pPr>
          </w:p>
        </w:tc>
        <w:tc>
          <w:tcPr>
            <w:tcW w:w="100" w:type="dxa"/>
            <w:vAlign w:val="bottom"/>
            <w:shd w:val="clear" w:color="auto" w:fill="D0EBF2"/>
          </w:tcPr>
          <w:p>
            <w:pPr>
              <w:spacing w:after="0"/>
              <w:rPr>
                <w:sz w:val="12"/>
                <w:szCs w:val="12"/>
                <w:color w:val="auto"/>
              </w:rPr>
            </w:pPr>
          </w:p>
        </w:tc>
        <w:tc>
          <w:tcPr>
            <w:tcW w:w="20" w:type="dxa"/>
            <w:vAlign w:val="bottom"/>
            <w:shd w:val="clear" w:color="auto" w:fill="D0EBF2"/>
          </w:tcPr>
          <w:p>
            <w:pPr>
              <w:spacing w:after="0"/>
              <w:rPr>
                <w:sz w:val="12"/>
                <w:szCs w:val="12"/>
                <w:color w:val="auto"/>
              </w:rPr>
            </w:pPr>
          </w:p>
        </w:tc>
        <w:tc>
          <w:tcPr>
            <w:tcW w:w="60" w:type="dxa"/>
            <w:vAlign w:val="bottom"/>
            <w:shd w:val="clear" w:color="auto" w:fill="D0EBF2"/>
          </w:tcPr>
          <w:p>
            <w:pPr>
              <w:spacing w:after="0"/>
              <w:rPr>
                <w:sz w:val="12"/>
                <w:szCs w:val="12"/>
                <w:color w:val="auto"/>
              </w:rPr>
            </w:pPr>
          </w:p>
        </w:tc>
        <w:tc>
          <w:tcPr>
            <w:tcW w:w="580" w:type="dxa"/>
            <w:vAlign w:val="bottom"/>
            <w:shd w:val="clear" w:color="auto" w:fill="D0EBF2"/>
          </w:tcPr>
          <w:p>
            <w:pPr>
              <w:jc w:val="right"/>
              <w:spacing w:after="0"/>
              <w:rPr>
                <w:sz w:val="20"/>
                <w:szCs w:val="20"/>
                <w:color w:val="auto"/>
              </w:rPr>
            </w:pPr>
            <w:r>
              <w:rPr>
                <w:rFonts w:ascii="Times New Roman" w:cs="Times New Roman" w:eastAsia="Times New Roman" w:hAnsi="Times New Roman"/>
                <w:sz w:val="12"/>
                <w:szCs w:val="12"/>
                <w:color w:val="231F20"/>
              </w:rPr>
              <w:t>0.03</w:t>
            </w:r>
          </w:p>
        </w:tc>
        <w:tc>
          <w:tcPr>
            <w:tcW w:w="0" w:type="dxa"/>
            <w:vAlign w:val="bottom"/>
            <w:shd w:val="clear" w:color="auto" w:fill="D0EBF2"/>
          </w:tcPr>
          <w:p>
            <w:pPr>
              <w:spacing w:after="0"/>
              <w:rPr>
                <w:sz w:val="12"/>
                <w:szCs w:val="12"/>
                <w:color w:val="auto"/>
              </w:rPr>
            </w:pPr>
          </w:p>
        </w:tc>
        <w:tc>
          <w:tcPr>
            <w:tcW w:w="100" w:type="dxa"/>
            <w:vAlign w:val="bottom"/>
            <w:shd w:val="clear" w:color="auto" w:fill="D0EBF2"/>
          </w:tcPr>
          <w:p>
            <w:pPr>
              <w:spacing w:after="0"/>
              <w:rPr>
                <w:sz w:val="12"/>
                <w:szCs w:val="12"/>
                <w:color w:val="auto"/>
              </w:rPr>
            </w:pPr>
          </w:p>
        </w:tc>
        <w:tc>
          <w:tcPr>
            <w:tcW w:w="80" w:type="dxa"/>
            <w:vAlign w:val="bottom"/>
            <w:shd w:val="clear" w:color="auto" w:fill="D0EBF2"/>
          </w:tcPr>
          <w:p>
            <w:pPr>
              <w:spacing w:after="0"/>
              <w:rPr>
                <w:sz w:val="12"/>
                <w:szCs w:val="12"/>
                <w:color w:val="auto"/>
              </w:rPr>
            </w:pPr>
          </w:p>
        </w:tc>
        <w:tc>
          <w:tcPr>
            <w:tcW w:w="560" w:type="dxa"/>
            <w:vAlign w:val="bottom"/>
            <w:shd w:val="clear" w:color="auto" w:fill="D0EBF2"/>
          </w:tcPr>
          <w:p>
            <w:pPr>
              <w:jc w:val="right"/>
              <w:spacing w:after="0"/>
              <w:rPr>
                <w:sz w:val="20"/>
                <w:szCs w:val="20"/>
                <w:color w:val="auto"/>
              </w:rPr>
            </w:pPr>
            <w:r>
              <w:rPr>
                <w:rFonts w:ascii="Times New Roman" w:cs="Times New Roman" w:eastAsia="Times New Roman" w:hAnsi="Times New Roman"/>
                <w:sz w:val="12"/>
                <w:szCs w:val="12"/>
                <w:color w:val="231F20"/>
              </w:rPr>
              <w:t>0.03</w:t>
            </w:r>
          </w:p>
        </w:tc>
        <w:tc>
          <w:tcPr>
            <w:tcW w:w="0" w:type="dxa"/>
            <w:vAlign w:val="bottom"/>
            <w:shd w:val="clear" w:color="auto" w:fill="D0EBF2"/>
          </w:tcPr>
          <w:p>
            <w:pPr>
              <w:spacing w:after="0"/>
              <w:rPr>
                <w:sz w:val="12"/>
                <w:szCs w:val="12"/>
                <w:color w:val="auto"/>
              </w:rPr>
            </w:pPr>
          </w:p>
        </w:tc>
        <w:tc>
          <w:tcPr>
            <w:tcW w:w="100" w:type="dxa"/>
            <w:vAlign w:val="bottom"/>
            <w:shd w:val="clear" w:color="auto" w:fill="D0EBF2"/>
          </w:tcPr>
          <w:p>
            <w:pPr>
              <w:spacing w:after="0"/>
              <w:rPr>
                <w:sz w:val="12"/>
                <w:szCs w:val="12"/>
                <w:color w:val="auto"/>
              </w:rPr>
            </w:pPr>
          </w:p>
        </w:tc>
        <w:tc>
          <w:tcPr>
            <w:tcW w:w="20" w:type="dxa"/>
            <w:vAlign w:val="bottom"/>
            <w:shd w:val="clear" w:color="auto" w:fill="D0EBF2"/>
          </w:tcPr>
          <w:p>
            <w:pPr>
              <w:spacing w:after="0"/>
              <w:rPr>
                <w:sz w:val="12"/>
                <w:szCs w:val="12"/>
                <w:color w:val="auto"/>
              </w:rPr>
            </w:pPr>
          </w:p>
        </w:tc>
        <w:tc>
          <w:tcPr>
            <w:tcW w:w="80" w:type="dxa"/>
            <w:vAlign w:val="bottom"/>
            <w:shd w:val="clear" w:color="auto" w:fill="D0EBF2"/>
          </w:tcPr>
          <w:p>
            <w:pPr>
              <w:spacing w:after="0"/>
              <w:rPr>
                <w:sz w:val="12"/>
                <w:szCs w:val="12"/>
                <w:color w:val="auto"/>
              </w:rPr>
            </w:pPr>
          </w:p>
        </w:tc>
        <w:tc>
          <w:tcPr>
            <w:tcW w:w="600" w:type="dxa"/>
            <w:vAlign w:val="bottom"/>
            <w:gridSpan w:val="3"/>
            <w:shd w:val="clear" w:color="auto" w:fill="D0EBF2"/>
          </w:tcPr>
          <w:p>
            <w:pPr>
              <w:jc w:val="right"/>
              <w:ind w:right="60"/>
              <w:spacing w:after="0"/>
              <w:rPr>
                <w:sz w:val="20"/>
                <w:szCs w:val="20"/>
                <w:color w:val="auto"/>
              </w:rPr>
            </w:pPr>
            <w:r>
              <w:rPr>
                <w:rFonts w:ascii="Times New Roman" w:cs="Times New Roman" w:eastAsia="Times New Roman" w:hAnsi="Times New Roman"/>
                <w:sz w:val="12"/>
                <w:szCs w:val="12"/>
                <w:color w:val="231F20"/>
              </w:rPr>
              <w:t>—</w:t>
            </w:r>
          </w:p>
        </w:tc>
        <w:tc>
          <w:tcPr>
            <w:tcW w:w="60" w:type="dxa"/>
            <w:vAlign w:val="bottom"/>
            <w:shd w:val="clear" w:color="auto" w:fill="D0EBF2"/>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2720" w:type="dxa"/>
            <w:vAlign w:val="bottom"/>
            <w:gridSpan w:val="4"/>
            <w:shd w:val="clear" w:color="auto" w:fill="FDFDFC"/>
          </w:tcPr>
          <w:p>
            <w:pPr>
              <w:spacing w:after="0"/>
              <w:rPr>
                <w:sz w:val="20"/>
                <w:szCs w:val="20"/>
                <w:color w:val="auto"/>
              </w:rPr>
            </w:pPr>
            <w:r>
              <w:rPr>
                <w:rFonts w:ascii="Times New Roman" w:cs="Times New Roman" w:eastAsia="Times New Roman" w:hAnsi="Times New Roman"/>
                <w:sz w:val="12"/>
                <w:szCs w:val="12"/>
                <w:color w:val="231F20"/>
              </w:rPr>
              <w:t xml:space="preserve">Settlement of 2022 Convertible Notes </w:t>
            </w:r>
            <w:r>
              <w:rPr>
                <w:rFonts w:ascii="Times New Roman" w:cs="Times New Roman" w:eastAsia="Times New Roman" w:hAnsi="Times New Roman"/>
                <w:sz w:val="7"/>
                <w:szCs w:val="7"/>
                <w:color w:val="231F20"/>
              </w:rPr>
              <w:t>(2)</w:t>
            </w:r>
          </w:p>
        </w:tc>
        <w:tc>
          <w:tcPr>
            <w:tcW w:w="0" w:type="dxa"/>
            <w:vAlign w:val="bottom"/>
            <w:shd w:val="clear" w:color="auto" w:fill="FDFDFC"/>
          </w:tcPr>
          <w:p>
            <w:pPr>
              <w:spacing w:after="0"/>
              <w:rPr>
                <w:sz w:val="12"/>
                <w:szCs w:val="12"/>
                <w:color w:val="auto"/>
              </w:rPr>
            </w:pPr>
          </w:p>
        </w:tc>
        <w:tc>
          <w:tcPr>
            <w:tcW w:w="680" w:type="dxa"/>
            <w:vAlign w:val="bottom"/>
            <w:gridSpan w:val="2"/>
            <w:shd w:val="clear" w:color="auto" w:fill="FDFDFC"/>
          </w:tcPr>
          <w:p>
            <w:pPr>
              <w:jc w:val="right"/>
              <w:ind w:right="120"/>
              <w:spacing w:after="0"/>
              <w:rPr>
                <w:sz w:val="20"/>
                <w:szCs w:val="20"/>
                <w:color w:val="auto"/>
              </w:rPr>
            </w:pPr>
            <w:r>
              <w:rPr>
                <w:rFonts w:ascii="Times New Roman" w:cs="Times New Roman" w:eastAsia="Times New Roman" w:hAnsi="Times New Roman"/>
                <w:sz w:val="12"/>
                <w:szCs w:val="12"/>
                <w:color w:val="231F20"/>
              </w:rPr>
              <w:t>—</w:t>
            </w:r>
          </w:p>
        </w:tc>
        <w:tc>
          <w:tcPr>
            <w:tcW w:w="40" w:type="dxa"/>
            <w:vAlign w:val="bottom"/>
            <w:shd w:val="clear" w:color="auto" w:fill="FDFDFC"/>
          </w:tcPr>
          <w:p>
            <w:pPr>
              <w:spacing w:after="0"/>
              <w:rPr>
                <w:sz w:val="12"/>
                <w:szCs w:val="12"/>
                <w:color w:val="auto"/>
              </w:rPr>
            </w:pPr>
          </w:p>
        </w:tc>
        <w:tc>
          <w:tcPr>
            <w:tcW w:w="60" w:type="dxa"/>
            <w:vAlign w:val="bottom"/>
            <w:shd w:val="clear" w:color="auto" w:fill="FDFDFC"/>
          </w:tcPr>
          <w:p>
            <w:pPr>
              <w:spacing w:after="0"/>
              <w:rPr>
                <w:sz w:val="12"/>
                <w:szCs w:val="12"/>
                <w:color w:val="auto"/>
              </w:rPr>
            </w:pPr>
          </w:p>
        </w:tc>
        <w:tc>
          <w:tcPr>
            <w:tcW w:w="680" w:type="dxa"/>
            <w:vAlign w:val="bottom"/>
            <w:gridSpan w:val="3"/>
            <w:shd w:val="clear" w:color="auto" w:fill="FDFDFC"/>
          </w:tcPr>
          <w:p>
            <w:pPr>
              <w:jc w:val="right"/>
              <w:ind w:right="120"/>
              <w:spacing w:after="0"/>
              <w:rPr>
                <w:sz w:val="20"/>
                <w:szCs w:val="20"/>
                <w:color w:val="auto"/>
              </w:rPr>
            </w:pPr>
            <w:r>
              <w:rPr>
                <w:rFonts w:ascii="Times New Roman" w:cs="Times New Roman" w:eastAsia="Times New Roman" w:hAnsi="Times New Roman"/>
                <w:sz w:val="12"/>
                <w:szCs w:val="12"/>
                <w:color w:val="231F20"/>
              </w:rPr>
              <w:t>—</w:t>
            </w:r>
          </w:p>
        </w:tc>
        <w:tc>
          <w:tcPr>
            <w:tcW w:w="40" w:type="dxa"/>
            <w:vAlign w:val="bottom"/>
            <w:shd w:val="clear" w:color="auto" w:fill="FDFDFC"/>
          </w:tcPr>
          <w:p>
            <w:pPr>
              <w:spacing w:after="0"/>
              <w:rPr>
                <w:sz w:val="12"/>
                <w:szCs w:val="12"/>
                <w:color w:val="auto"/>
              </w:rPr>
            </w:pPr>
          </w:p>
        </w:tc>
        <w:tc>
          <w:tcPr>
            <w:tcW w:w="60" w:type="dxa"/>
            <w:vAlign w:val="bottom"/>
            <w:shd w:val="clear" w:color="auto" w:fill="FDFDFC"/>
          </w:tcPr>
          <w:p>
            <w:pPr>
              <w:spacing w:after="0"/>
              <w:rPr>
                <w:sz w:val="12"/>
                <w:szCs w:val="12"/>
                <w:color w:val="auto"/>
              </w:rPr>
            </w:pPr>
          </w:p>
        </w:tc>
        <w:tc>
          <w:tcPr>
            <w:tcW w:w="580" w:type="dxa"/>
            <w:vAlign w:val="bottom"/>
            <w:shd w:val="clear" w:color="auto" w:fill="FDFDFC"/>
          </w:tcPr>
          <w:p>
            <w:pPr>
              <w:jc w:val="right"/>
              <w:spacing w:after="0"/>
              <w:rPr>
                <w:sz w:val="20"/>
                <w:szCs w:val="20"/>
                <w:color w:val="auto"/>
              </w:rPr>
            </w:pPr>
            <w:r>
              <w:rPr>
                <w:rFonts w:ascii="Times New Roman" w:cs="Times New Roman" w:eastAsia="Times New Roman" w:hAnsi="Times New Roman"/>
                <w:sz w:val="12"/>
                <w:szCs w:val="12"/>
                <w:color w:val="231F20"/>
              </w:rPr>
              <w:t>0.08</w:t>
            </w:r>
          </w:p>
        </w:tc>
        <w:tc>
          <w:tcPr>
            <w:tcW w:w="0" w:type="dxa"/>
            <w:vAlign w:val="bottom"/>
            <w:shd w:val="clear" w:color="auto" w:fill="FDFDFC"/>
          </w:tcPr>
          <w:p>
            <w:pPr>
              <w:spacing w:after="0"/>
              <w:rPr>
                <w:sz w:val="12"/>
                <w:szCs w:val="12"/>
                <w:color w:val="auto"/>
              </w:rPr>
            </w:pPr>
          </w:p>
        </w:tc>
        <w:tc>
          <w:tcPr>
            <w:tcW w:w="100" w:type="dxa"/>
            <w:vAlign w:val="bottom"/>
            <w:shd w:val="clear" w:color="auto" w:fill="FDFDFC"/>
          </w:tcPr>
          <w:p>
            <w:pPr>
              <w:spacing w:after="0"/>
              <w:rPr>
                <w:sz w:val="12"/>
                <w:szCs w:val="12"/>
                <w:color w:val="auto"/>
              </w:rPr>
            </w:pPr>
          </w:p>
        </w:tc>
        <w:tc>
          <w:tcPr>
            <w:tcW w:w="20" w:type="dxa"/>
            <w:vAlign w:val="bottom"/>
            <w:shd w:val="clear" w:color="auto" w:fill="FDFDFC"/>
          </w:tcPr>
          <w:p>
            <w:pPr>
              <w:spacing w:after="0"/>
              <w:rPr>
                <w:sz w:val="12"/>
                <w:szCs w:val="12"/>
                <w:color w:val="auto"/>
              </w:rPr>
            </w:pPr>
          </w:p>
        </w:tc>
        <w:tc>
          <w:tcPr>
            <w:tcW w:w="60" w:type="dxa"/>
            <w:vAlign w:val="bottom"/>
            <w:shd w:val="clear" w:color="auto" w:fill="FDFDFC"/>
          </w:tcPr>
          <w:p>
            <w:pPr>
              <w:spacing w:after="0"/>
              <w:rPr>
                <w:sz w:val="12"/>
                <w:szCs w:val="12"/>
                <w:color w:val="auto"/>
              </w:rPr>
            </w:pPr>
          </w:p>
        </w:tc>
        <w:tc>
          <w:tcPr>
            <w:tcW w:w="580" w:type="dxa"/>
            <w:vAlign w:val="bottom"/>
            <w:shd w:val="clear" w:color="auto" w:fill="FDFDFC"/>
          </w:tcPr>
          <w:p>
            <w:pPr>
              <w:jc w:val="right"/>
              <w:spacing w:after="0"/>
              <w:rPr>
                <w:sz w:val="20"/>
                <w:szCs w:val="20"/>
                <w:color w:val="auto"/>
              </w:rPr>
            </w:pPr>
            <w:r>
              <w:rPr>
                <w:rFonts w:ascii="Times New Roman" w:cs="Times New Roman" w:eastAsia="Times New Roman" w:hAnsi="Times New Roman"/>
                <w:sz w:val="12"/>
                <w:szCs w:val="12"/>
                <w:color w:val="231F20"/>
              </w:rPr>
              <w:t>0.03</w:t>
            </w:r>
          </w:p>
        </w:tc>
        <w:tc>
          <w:tcPr>
            <w:tcW w:w="20" w:type="dxa"/>
            <w:vAlign w:val="bottom"/>
            <w:shd w:val="clear" w:color="auto" w:fill="FDFDFC"/>
          </w:tcPr>
          <w:p>
            <w:pPr>
              <w:spacing w:after="0"/>
              <w:rPr>
                <w:sz w:val="12"/>
                <w:szCs w:val="12"/>
                <w:color w:val="auto"/>
              </w:rPr>
            </w:pPr>
          </w:p>
        </w:tc>
        <w:tc>
          <w:tcPr>
            <w:tcW w:w="20" w:type="dxa"/>
            <w:vAlign w:val="bottom"/>
            <w:shd w:val="clear" w:color="auto" w:fill="FDFDFC"/>
          </w:tcPr>
          <w:p>
            <w:pPr>
              <w:spacing w:after="0"/>
              <w:rPr>
                <w:sz w:val="12"/>
                <w:szCs w:val="12"/>
                <w:color w:val="auto"/>
              </w:rPr>
            </w:pPr>
          </w:p>
        </w:tc>
        <w:tc>
          <w:tcPr>
            <w:tcW w:w="60" w:type="dxa"/>
            <w:vAlign w:val="bottom"/>
            <w:shd w:val="clear" w:color="auto" w:fill="FDFDFC"/>
          </w:tcPr>
          <w:p>
            <w:pPr>
              <w:spacing w:after="0"/>
              <w:rPr>
                <w:sz w:val="12"/>
                <w:szCs w:val="12"/>
                <w:color w:val="auto"/>
              </w:rPr>
            </w:pPr>
          </w:p>
        </w:tc>
        <w:tc>
          <w:tcPr>
            <w:tcW w:w="80" w:type="dxa"/>
            <w:vAlign w:val="bottom"/>
            <w:shd w:val="clear" w:color="auto" w:fill="FDFDFC"/>
          </w:tcPr>
          <w:p>
            <w:pPr>
              <w:spacing w:after="0"/>
              <w:rPr>
                <w:sz w:val="12"/>
                <w:szCs w:val="12"/>
                <w:color w:val="auto"/>
              </w:rPr>
            </w:pPr>
          </w:p>
        </w:tc>
        <w:tc>
          <w:tcPr>
            <w:tcW w:w="660" w:type="dxa"/>
            <w:vAlign w:val="bottom"/>
            <w:gridSpan w:val="3"/>
            <w:shd w:val="clear" w:color="auto" w:fill="FDFDFC"/>
          </w:tcPr>
          <w:p>
            <w:pPr>
              <w:jc w:val="right"/>
              <w:ind w:right="120"/>
              <w:spacing w:after="0"/>
              <w:rPr>
                <w:sz w:val="20"/>
                <w:szCs w:val="20"/>
                <w:color w:val="auto"/>
              </w:rPr>
            </w:pPr>
            <w:r>
              <w:rPr>
                <w:rFonts w:ascii="Times New Roman" w:cs="Times New Roman" w:eastAsia="Times New Roman" w:hAnsi="Times New Roman"/>
                <w:sz w:val="12"/>
                <w:szCs w:val="12"/>
                <w:color w:val="231F20"/>
              </w:rPr>
              <w:t>—</w:t>
            </w:r>
          </w:p>
        </w:tc>
        <w:tc>
          <w:tcPr>
            <w:tcW w:w="20" w:type="dxa"/>
            <w:vAlign w:val="bottom"/>
            <w:shd w:val="clear" w:color="auto" w:fill="FDFDFC"/>
          </w:tcPr>
          <w:p>
            <w:pPr>
              <w:spacing w:after="0"/>
              <w:rPr>
                <w:sz w:val="12"/>
                <w:szCs w:val="12"/>
                <w:color w:val="auto"/>
              </w:rPr>
            </w:pPr>
          </w:p>
        </w:tc>
        <w:tc>
          <w:tcPr>
            <w:tcW w:w="60" w:type="dxa"/>
            <w:vAlign w:val="bottom"/>
            <w:shd w:val="clear" w:color="auto" w:fill="FDFDFC"/>
          </w:tcPr>
          <w:p>
            <w:pPr>
              <w:spacing w:after="0"/>
              <w:rPr>
                <w:sz w:val="12"/>
                <w:szCs w:val="12"/>
                <w:color w:val="auto"/>
              </w:rPr>
            </w:pPr>
          </w:p>
        </w:tc>
        <w:tc>
          <w:tcPr>
            <w:tcW w:w="660" w:type="dxa"/>
            <w:vAlign w:val="bottom"/>
            <w:gridSpan w:val="3"/>
            <w:shd w:val="clear" w:color="auto" w:fill="FDFDFC"/>
          </w:tcPr>
          <w:p>
            <w:pPr>
              <w:jc w:val="right"/>
              <w:ind w:right="120"/>
              <w:spacing w:after="0"/>
              <w:rPr>
                <w:sz w:val="20"/>
                <w:szCs w:val="20"/>
                <w:color w:val="auto"/>
              </w:rPr>
            </w:pPr>
            <w:r>
              <w:rPr>
                <w:rFonts w:ascii="Times New Roman" w:cs="Times New Roman" w:eastAsia="Times New Roman" w:hAnsi="Times New Roman"/>
                <w:sz w:val="12"/>
                <w:szCs w:val="12"/>
                <w:color w:val="231F20"/>
              </w:rPr>
              <w:t>—</w:t>
            </w:r>
          </w:p>
        </w:tc>
        <w:tc>
          <w:tcPr>
            <w:tcW w:w="20" w:type="dxa"/>
            <w:vAlign w:val="bottom"/>
            <w:shd w:val="clear" w:color="auto" w:fill="FDFDFC"/>
          </w:tcPr>
          <w:p>
            <w:pPr>
              <w:spacing w:after="0"/>
              <w:rPr>
                <w:sz w:val="12"/>
                <w:szCs w:val="12"/>
                <w:color w:val="auto"/>
              </w:rPr>
            </w:pPr>
          </w:p>
        </w:tc>
        <w:tc>
          <w:tcPr>
            <w:tcW w:w="60" w:type="dxa"/>
            <w:vAlign w:val="bottom"/>
            <w:shd w:val="clear" w:color="auto" w:fill="FDFDFC"/>
          </w:tcPr>
          <w:p>
            <w:pPr>
              <w:spacing w:after="0"/>
              <w:rPr>
                <w:sz w:val="12"/>
                <w:szCs w:val="12"/>
                <w:color w:val="auto"/>
              </w:rPr>
            </w:pPr>
          </w:p>
        </w:tc>
        <w:tc>
          <w:tcPr>
            <w:tcW w:w="660" w:type="dxa"/>
            <w:vAlign w:val="bottom"/>
            <w:gridSpan w:val="3"/>
            <w:shd w:val="clear" w:color="auto" w:fill="FDFDFC"/>
          </w:tcPr>
          <w:p>
            <w:pPr>
              <w:jc w:val="right"/>
              <w:ind w:right="100"/>
              <w:spacing w:after="0"/>
              <w:rPr>
                <w:sz w:val="20"/>
                <w:szCs w:val="20"/>
                <w:color w:val="auto"/>
              </w:rPr>
            </w:pPr>
            <w:r>
              <w:rPr>
                <w:rFonts w:ascii="Times New Roman" w:cs="Times New Roman" w:eastAsia="Times New Roman" w:hAnsi="Times New Roman"/>
                <w:sz w:val="12"/>
                <w:szCs w:val="12"/>
                <w:color w:val="231F20"/>
              </w:rPr>
              <w:t>—</w:t>
            </w:r>
          </w:p>
        </w:tc>
        <w:tc>
          <w:tcPr>
            <w:tcW w:w="20" w:type="dxa"/>
            <w:vAlign w:val="bottom"/>
            <w:shd w:val="clear" w:color="auto" w:fill="FDFDFC"/>
          </w:tcPr>
          <w:p>
            <w:pPr>
              <w:spacing w:after="0"/>
              <w:rPr>
                <w:sz w:val="12"/>
                <w:szCs w:val="12"/>
                <w:color w:val="auto"/>
              </w:rPr>
            </w:pPr>
          </w:p>
        </w:tc>
        <w:tc>
          <w:tcPr>
            <w:tcW w:w="60" w:type="dxa"/>
            <w:vAlign w:val="bottom"/>
            <w:shd w:val="clear" w:color="auto" w:fill="FDFDFC"/>
          </w:tcPr>
          <w:p>
            <w:pPr>
              <w:spacing w:after="0"/>
              <w:rPr>
                <w:sz w:val="12"/>
                <w:szCs w:val="12"/>
                <w:color w:val="auto"/>
              </w:rPr>
            </w:pPr>
          </w:p>
        </w:tc>
        <w:tc>
          <w:tcPr>
            <w:tcW w:w="680" w:type="dxa"/>
            <w:vAlign w:val="bottom"/>
            <w:gridSpan w:val="3"/>
            <w:shd w:val="clear" w:color="auto" w:fill="FDFDFC"/>
          </w:tcPr>
          <w:p>
            <w:pPr>
              <w:jc w:val="right"/>
              <w:ind w:right="120"/>
              <w:spacing w:after="0"/>
              <w:rPr>
                <w:sz w:val="20"/>
                <w:szCs w:val="20"/>
                <w:color w:val="auto"/>
              </w:rPr>
            </w:pPr>
            <w:r>
              <w:rPr>
                <w:rFonts w:ascii="Times New Roman" w:cs="Times New Roman" w:eastAsia="Times New Roman" w:hAnsi="Times New Roman"/>
                <w:sz w:val="12"/>
                <w:szCs w:val="12"/>
                <w:color w:val="231F20"/>
              </w:rPr>
              <w:t>—</w:t>
            </w:r>
          </w:p>
        </w:tc>
        <w:tc>
          <w:tcPr>
            <w:tcW w:w="80" w:type="dxa"/>
            <w:vAlign w:val="bottom"/>
            <w:shd w:val="clear" w:color="auto" w:fill="FDFDFC"/>
          </w:tcPr>
          <w:p>
            <w:pPr>
              <w:spacing w:after="0"/>
              <w:rPr>
                <w:sz w:val="12"/>
                <w:szCs w:val="12"/>
                <w:color w:val="auto"/>
              </w:rPr>
            </w:pPr>
          </w:p>
        </w:tc>
        <w:tc>
          <w:tcPr>
            <w:tcW w:w="660" w:type="dxa"/>
            <w:vAlign w:val="bottom"/>
            <w:gridSpan w:val="3"/>
            <w:shd w:val="clear" w:color="auto" w:fill="FDFDFC"/>
          </w:tcPr>
          <w:p>
            <w:pPr>
              <w:jc w:val="right"/>
              <w:ind w:right="120"/>
              <w:spacing w:after="0"/>
              <w:rPr>
                <w:sz w:val="20"/>
                <w:szCs w:val="20"/>
                <w:color w:val="auto"/>
              </w:rPr>
            </w:pPr>
            <w:r>
              <w:rPr>
                <w:rFonts w:ascii="Times New Roman" w:cs="Times New Roman" w:eastAsia="Times New Roman" w:hAnsi="Times New Roman"/>
                <w:sz w:val="12"/>
                <w:szCs w:val="12"/>
                <w:color w:val="231F20"/>
              </w:rPr>
              <w:t>—</w:t>
            </w:r>
          </w:p>
        </w:tc>
        <w:tc>
          <w:tcPr>
            <w:tcW w:w="20" w:type="dxa"/>
            <w:vAlign w:val="bottom"/>
            <w:shd w:val="clear" w:color="auto" w:fill="FDFDFC"/>
          </w:tcPr>
          <w:p>
            <w:pPr>
              <w:spacing w:after="0"/>
              <w:rPr>
                <w:sz w:val="12"/>
                <w:szCs w:val="12"/>
                <w:color w:val="auto"/>
              </w:rPr>
            </w:pPr>
          </w:p>
        </w:tc>
        <w:tc>
          <w:tcPr>
            <w:tcW w:w="80" w:type="dxa"/>
            <w:vAlign w:val="bottom"/>
            <w:shd w:val="clear" w:color="auto" w:fill="FDFDFC"/>
          </w:tcPr>
          <w:p>
            <w:pPr>
              <w:spacing w:after="0"/>
              <w:rPr>
                <w:sz w:val="12"/>
                <w:szCs w:val="12"/>
                <w:color w:val="auto"/>
              </w:rPr>
            </w:pPr>
          </w:p>
        </w:tc>
        <w:tc>
          <w:tcPr>
            <w:tcW w:w="660" w:type="dxa"/>
            <w:vAlign w:val="bottom"/>
            <w:gridSpan w:val="4"/>
            <w:shd w:val="clear" w:color="auto" w:fill="FDFDFC"/>
          </w:tcPr>
          <w:p>
            <w:pPr>
              <w:jc w:val="right"/>
              <w:ind w:right="120"/>
              <w:spacing w:after="0"/>
              <w:rPr>
                <w:sz w:val="20"/>
                <w:szCs w:val="20"/>
                <w:color w:val="auto"/>
              </w:rPr>
            </w:pPr>
            <w:r>
              <w:rPr>
                <w:rFonts w:ascii="Times New Roman" w:cs="Times New Roman" w:eastAsia="Times New Roman" w:hAnsi="Times New Roman"/>
                <w:sz w:val="12"/>
                <w:szCs w:val="12"/>
                <w:color w:val="231F20"/>
              </w:rPr>
              <w:t>—</w:t>
            </w:r>
          </w:p>
        </w:tc>
        <w:tc>
          <w:tcPr>
            <w:tcW w:w="0" w:type="dxa"/>
            <w:vAlign w:val="bottom"/>
          </w:tcPr>
          <w:p>
            <w:pPr>
              <w:spacing w:after="0"/>
              <w:rPr>
                <w:sz w:val="1"/>
                <w:szCs w:val="1"/>
                <w:color w:val="auto"/>
              </w:rPr>
            </w:pPr>
          </w:p>
        </w:tc>
      </w:tr>
      <w:tr>
        <w:trPr>
          <w:trHeight w:val="141"/>
        </w:trPr>
        <w:tc>
          <w:tcPr>
            <w:tcW w:w="2720" w:type="dxa"/>
            <w:vAlign w:val="bottom"/>
            <w:gridSpan w:val="4"/>
            <w:shd w:val="clear" w:color="auto" w:fill="D0EBF2"/>
          </w:tcPr>
          <w:p>
            <w:pPr>
              <w:spacing w:after="0"/>
              <w:rPr>
                <w:sz w:val="20"/>
                <w:szCs w:val="20"/>
                <w:color w:val="auto"/>
              </w:rPr>
            </w:pPr>
            <w:r>
              <w:rPr>
                <w:rFonts w:ascii="Times New Roman" w:cs="Times New Roman" w:eastAsia="Times New Roman" w:hAnsi="Times New Roman"/>
                <w:sz w:val="12"/>
                <w:szCs w:val="12"/>
                <w:color w:val="231F20"/>
              </w:rPr>
              <w:t xml:space="preserve">Repurchase of common stock </w:t>
            </w:r>
            <w:r>
              <w:rPr>
                <w:rFonts w:ascii="Times New Roman" w:cs="Times New Roman" w:eastAsia="Times New Roman" w:hAnsi="Times New Roman"/>
                <w:sz w:val="7"/>
                <w:szCs w:val="7"/>
                <w:color w:val="231F20"/>
              </w:rPr>
              <w:t>(2)</w:t>
            </w:r>
          </w:p>
        </w:tc>
        <w:tc>
          <w:tcPr>
            <w:tcW w:w="0" w:type="dxa"/>
            <w:vAlign w:val="bottom"/>
            <w:shd w:val="clear" w:color="auto" w:fill="D0EBF2"/>
          </w:tcPr>
          <w:p>
            <w:pPr>
              <w:spacing w:after="0"/>
              <w:rPr>
                <w:sz w:val="12"/>
                <w:szCs w:val="12"/>
                <w:color w:val="auto"/>
              </w:rPr>
            </w:pPr>
          </w:p>
        </w:tc>
        <w:tc>
          <w:tcPr>
            <w:tcW w:w="680" w:type="dxa"/>
            <w:vAlign w:val="bottom"/>
            <w:gridSpan w:val="2"/>
            <w:shd w:val="clear" w:color="auto" w:fill="D0EBF2"/>
          </w:tcPr>
          <w:p>
            <w:pPr>
              <w:jc w:val="right"/>
              <w:ind w:right="120"/>
              <w:spacing w:after="0"/>
              <w:rPr>
                <w:sz w:val="20"/>
                <w:szCs w:val="20"/>
                <w:color w:val="auto"/>
              </w:rPr>
            </w:pPr>
            <w:r>
              <w:rPr>
                <w:rFonts w:ascii="Times New Roman" w:cs="Times New Roman" w:eastAsia="Times New Roman" w:hAnsi="Times New Roman"/>
                <w:sz w:val="12"/>
                <w:szCs w:val="12"/>
                <w:color w:val="231F20"/>
              </w:rPr>
              <w:t>—</w:t>
            </w:r>
          </w:p>
        </w:tc>
        <w:tc>
          <w:tcPr>
            <w:tcW w:w="40" w:type="dxa"/>
            <w:vAlign w:val="bottom"/>
            <w:shd w:val="clear" w:color="auto" w:fill="D0EBF2"/>
          </w:tcPr>
          <w:p>
            <w:pPr>
              <w:spacing w:after="0"/>
              <w:rPr>
                <w:sz w:val="12"/>
                <w:szCs w:val="12"/>
                <w:color w:val="auto"/>
              </w:rPr>
            </w:pPr>
          </w:p>
        </w:tc>
        <w:tc>
          <w:tcPr>
            <w:tcW w:w="60" w:type="dxa"/>
            <w:vAlign w:val="bottom"/>
            <w:shd w:val="clear" w:color="auto" w:fill="D0EBF2"/>
          </w:tcPr>
          <w:p>
            <w:pPr>
              <w:spacing w:after="0"/>
              <w:rPr>
                <w:sz w:val="12"/>
                <w:szCs w:val="12"/>
                <w:color w:val="auto"/>
              </w:rPr>
            </w:pPr>
          </w:p>
        </w:tc>
        <w:tc>
          <w:tcPr>
            <w:tcW w:w="680" w:type="dxa"/>
            <w:vAlign w:val="bottom"/>
            <w:gridSpan w:val="3"/>
            <w:shd w:val="clear" w:color="auto" w:fill="D0EBF2"/>
          </w:tcPr>
          <w:p>
            <w:pPr>
              <w:jc w:val="right"/>
              <w:ind w:right="120"/>
              <w:spacing w:after="0"/>
              <w:rPr>
                <w:sz w:val="20"/>
                <w:szCs w:val="20"/>
                <w:color w:val="auto"/>
              </w:rPr>
            </w:pPr>
            <w:r>
              <w:rPr>
                <w:rFonts w:ascii="Times New Roman" w:cs="Times New Roman" w:eastAsia="Times New Roman" w:hAnsi="Times New Roman"/>
                <w:sz w:val="12"/>
                <w:szCs w:val="12"/>
                <w:color w:val="231F20"/>
              </w:rPr>
              <w:t>—</w:t>
            </w:r>
          </w:p>
        </w:tc>
        <w:tc>
          <w:tcPr>
            <w:tcW w:w="40" w:type="dxa"/>
            <w:vAlign w:val="bottom"/>
            <w:shd w:val="clear" w:color="auto" w:fill="D0EBF2"/>
          </w:tcPr>
          <w:p>
            <w:pPr>
              <w:spacing w:after="0"/>
              <w:rPr>
                <w:sz w:val="12"/>
                <w:szCs w:val="12"/>
                <w:color w:val="auto"/>
              </w:rPr>
            </w:pPr>
          </w:p>
        </w:tc>
        <w:tc>
          <w:tcPr>
            <w:tcW w:w="60" w:type="dxa"/>
            <w:vAlign w:val="bottom"/>
            <w:shd w:val="clear" w:color="auto" w:fill="D0EBF2"/>
          </w:tcPr>
          <w:p>
            <w:pPr>
              <w:spacing w:after="0"/>
              <w:rPr>
                <w:sz w:val="12"/>
                <w:szCs w:val="12"/>
                <w:color w:val="auto"/>
              </w:rPr>
            </w:pPr>
          </w:p>
        </w:tc>
        <w:tc>
          <w:tcPr>
            <w:tcW w:w="580" w:type="dxa"/>
            <w:vAlign w:val="bottom"/>
            <w:gridSpan w:val="2"/>
            <w:shd w:val="clear" w:color="auto" w:fill="D0EBF2"/>
          </w:tcPr>
          <w:p>
            <w:pPr>
              <w:jc w:val="right"/>
              <w:spacing w:after="0"/>
              <w:rPr>
                <w:sz w:val="20"/>
                <w:szCs w:val="20"/>
                <w:color w:val="auto"/>
              </w:rPr>
            </w:pPr>
            <w:r>
              <w:rPr>
                <w:rFonts w:ascii="Times New Roman" w:cs="Times New Roman" w:eastAsia="Times New Roman" w:hAnsi="Times New Roman"/>
                <w:sz w:val="12"/>
                <w:szCs w:val="12"/>
                <w:color w:val="231F20"/>
              </w:rPr>
              <w:t>(0.02)</w:t>
            </w:r>
          </w:p>
        </w:tc>
        <w:tc>
          <w:tcPr>
            <w:tcW w:w="100" w:type="dxa"/>
            <w:vAlign w:val="bottom"/>
            <w:shd w:val="clear" w:color="auto" w:fill="D0EBF2"/>
          </w:tcPr>
          <w:p>
            <w:pPr>
              <w:spacing w:after="0"/>
              <w:rPr>
                <w:sz w:val="12"/>
                <w:szCs w:val="12"/>
                <w:color w:val="auto"/>
              </w:rPr>
            </w:pPr>
          </w:p>
        </w:tc>
        <w:tc>
          <w:tcPr>
            <w:tcW w:w="20" w:type="dxa"/>
            <w:vAlign w:val="bottom"/>
            <w:shd w:val="clear" w:color="auto" w:fill="D0EBF2"/>
          </w:tcPr>
          <w:p>
            <w:pPr>
              <w:spacing w:after="0"/>
              <w:rPr>
                <w:sz w:val="12"/>
                <w:szCs w:val="12"/>
                <w:color w:val="auto"/>
              </w:rPr>
            </w:pPr>
          </w:p>
        </w:tc>
        <w:tc>
          <w:tcPr>
            <w:tcW w:w="60" w:type="dxa"/>
            <w:vAlign w:val="bottom"/>
            <w:shd w:val="clear" w:color="auto" w:fill="D0EBF2"/>
          </w:tcPr>
          <w:p>
            <w:pPr>
              <w:spacing w:after="0"/>
              <w:rPr>
                <w:sz w:val="12"/>
                <w:szCs w:val="12"/>
                <w:color w:val="auto"/>
              </w:rPr>
            </w:pPr>
          </w:p>
        </w:tc>
        <w:tc>
          <w:tcPr>
            <w:tcW w:w="680" w:type="dxa"/>
            <w:vAlign w:val="bottom"/>
            <w:gridSpan w:val="4"/>
            <w:shd w:val="clear" w:color="auto" w:fill="D0EBF2"/>
          </w:tcPr>
          <w:p>
            <w:pPr>
              <w:jc w:val="right"/>
              <w:ind w:right="120"/>
              <w:spacing w:after="0"/>
              <w:rPr>
                <w:sz w:val="20"/>
                <w:szCs w:val="20"/>
                <w:color w:val="auto"/>
              </w:rPr>
            </w:pPr>
            <w:r>
              <w:rPr>
                <w:rFonts w:ascii="Times New Roman" w:cs="Times New Roman" w:eastAsia="Times New Roman" w:hAnsi="Times New Roman"/>
                <w:sz w:val="12"/>
                <w:szCs w:val="12"/>
                <w:color w:val="231F20"/>
              </w:rPr>
              <w:t>—</w:t>
            </w:r>
          </w:p>
        </w:tc>
        <w:tc>
          <w:tcPr>
            <w:tcW w:w="80" w:type="dxa"/>
            <w:vAlign w:val="bottom"/>
            <w:shd w:val="clear" w:color="auto" w:fill="D0EBF2"/>
          </w:tcPr>
          <w:p>
            <w:pPr>
              <w:spacing w:after="0"/>
              <w:rPr>
                <w:sz w:val="12"/>
                <w:szCs w:val="12"/>
                <w:color w:val="auto"/>
              </w:rPr>
            </w:pPr>
          </w:p>
        </w:tc>
        <w:tc>
          <w:tcPr>
            <w:tcW w:w="560" w:type="dxa"/>
            <w:vAlign w:val="bottom"/>
            <w:shd w:val="clear" w:color="auto" w:fill="D0EBF2"/>
          </w:tcPr>
          <w:p>
            <w:pPr>
              <w:jc w:val="right"/>
              <w:spacing w:after="0"/>
              <w:rPr>
                <w:sz w:val="20"/>
                <w:szCs w:val="20"/>
                <w:color w:val="auto"/>
              </w:rPr>
            </w:pPr>
            <w:r>
              <w:rPr>
                <w:rFonts w:ascii="Times New Roman" w:cs="Times New Roman" w:eastAsia="Times New Roman" w:hAnsi="Times New Roman"/>
                <w:sz w:val="12"/>
                <w:szCs w:val="12"/>
                <w:color w:val="231F20"/>
              </w:rPr>
              <w:t>0.01</w:t>
            </w:r>
          </w:p>
        </w:tc>
        <w:tc>
          <w:tcPr>
            <w:tcW w:w="0" w:type="dxa"/>
            <w:vAlign w:val="bottom"/>
            <w:shd w:val="clear" w:color="auto" w:fill="D0EBF2"/>
          </w:tcPr>
          <w:p>
            <w:pPr>
              <w:spacing w:after="0"/>
              <w:rPr>
                <w:sz w:val="12"/>
                <w:szCs w:val="12"/>
                <w:color w:val="auto"/>
              </w:rPr>
            </w:pPr>
          </w:p>
        </w:tc>
        <w:tc>
          <w:tcPr>
            <w:tcW w:w="100" w:type="dxa"/>
            <w:vAlign w:val="bottom"/>
            <w:shd w:val="clear" w:color="auto" w:fill="D0EBF2"/>
          </w:tcPr>
          <w:p>
            <w:pPr>
              <w:spacing w:after="0"/>
              <w:rPr>
                <w:sz w:val="12"/>
                <w:szCs w:val="12"/>
                <w:color w:val="auto"/>
              </w:rPr>
            </w:pPr>
          </w:p>
        </w:tc>
        <w:tc>
          <w:tcPr>
            <w:tcW w:w="20" w:type="dxa"/>
            <w:vAlign w:val="bottom"/>
            <w:shd w:val="clear" w:color="auto" w:fill="D0EBF2"/>
          </w:tcPr>
          <w:p>
            <w:pPr>
              <w:spacing w:after="0"/>
              <w:rPr>
                <w:sz w:val="12"/>
                <w:szCs w:val="12"/>
                <w:color w:val="auto"/>
              </w:rPr>
            </w:pPr>
          </w:p>
        </w:tc>
        <w:tc>
          <w:tcPr>
            <w:tcW w:w="60" w:type="dxa"/>
            <w:vAlign w:val="bottom"/>
            <w:shd w:val="clear" w:color="auto" w:fill="D0EBF2"/>
          </w:tcPr>
          <w:p>
            <w:pPr>
              <w:spacing w:after="0"/>
              <w:rPr>
                <w:sz w:val="12"/>
                <w:szCs w:val="12"/>
                <w:color w:val="auto"/>
              </w:rPr>
            </w:pPr>
          </w:p>
        </w:tc>
        <w:tc>
          <w:tcPr>
            <w:tcW w:w="660" w:type="dxa"/>
            <w:vAlign w:val="bottom"/>
            <w:gridSpan w:val="3"/>
            <w:shd w:val="clear" w:color="auto" w:fill="D0EBF2"/>
          </w:tcPr>
          <w:p>
            <w:pPr>
              <w:jc w:val="right"/>
              <w:ind w:right="120"/>
              <w:spacing w:after="0"/>
              <w:rPr>
                <w:sz w:val="20"/>
                <w:szCs w:val="20"/>
                <w:color w:val="auto"/>
              </w:rPr>
            </w:pPr>
            <w:r>
              <w:rPr>
                <w:rFonts w:ascii="Times New Roman" w:cs="Times New Roman" w:eastAsia="Times New Roman" w:hAnsi="Times New Roman"/>
                <w:sz w:val="12"/>
                <w:szCs w:val="12"/>
                <w:color w:val="231F20"/>
              </w:rPr>
              <w:t>—</w:t>
            </w:r>
          </w:p>
        </w:tc>
        <w:tc>
          <w:tcPr>
            <w:tcW w:w="20" w:type="dxa"/>
            <w:vAlign w:val="bottom"/>
            <w:shd w:val="clear" w:color="auto" w:fill="D0EBF2"/>
          </w:tcPr>
          <w:p>
            <w:pPr>
              <w:spacing w:after="0"/>
              <w:rPr>
                <w:sz w:val="12"/>
                <w:szCs w:val="12"/>
                <w:color w:val="auto"/>
              </w:rPr>
            </w:pPr>
          </w:p>
        </w:tc>
        <w:tc>
          <w:tcPr>
            <w:tcW w:w="60" w:type="dxa"/>
            <w:vAlign w:val="bottom"/>
            <w:shd w:val="clear" w:color="auto" w:fill="D0EBF2"/>
          </w:tcPr>
          <w:p>
            <w:pPr>
              <w:spacing w:after="0"/>
              <w:rPr>
                <w:sz w:val="12"/>
                <w:szCs w:val="12"/>
                <w:color w:val="auto"/>
              </w:rPr>
            </w:pPr>
          </w:p>
        </w:tc>
        <w:tc>
          <w:tcPr>
            <w:tcW w:w="660" w:type="dxa"/>
            <w:vAlign w:val="bottom"/>
            <w:gridSpan w:val="3"/>
            <w:shd w:val="clear" w:color="auto" w:fill="D0EBF2"/>
          </w:tcPr>
          <w:p>
            <w:pPr>
              <w:jc w:val="right"/>
              <w:ind w:right="100"/>
              <w:spacing w:after="0"/>
              <w:rPr>
                <w:sz w:val="20"/>
                <w:szCs w:val="20"/>
                <w:color w:val="auto"/>
              </w:rPr>
            </w:pPr>
            <w:r>
              <w:rPr>
                <w:rFonts w:ascii="Times New Roman" w:cs="Times New Roman" w:eastAsia="Times New Roman" w:hAnsi="Times New Roman"/>
                <w:sz w:val="12"/>
                <w:szCs w:val="12"/>
                <w:color w:val="231F20"/>
              </w:rPr>
              <w:t>—</w:t>
            </w:r>
          </w:p>
        </w:tc>
        <w:tc>
          <w:tcPr>
            <w:tcW w:w="20" w:type="dxa"/>
            <w:vAlign w:val="bottom"/>
            <w:shd w:val="clear" w:color="auto" w:fill="D0EBF2"/>
          </w:tcPr>
          <w:p>
            <w:pPr>
              <w:spacing w:after="0"/>
              <w:rPr>
                <w:sz w:val="12"/>
                <w:szCs w:val="12"/>
                <w:color w:val="auto"/>
              </w:rPr>
            </w:pPr>
          </w:p>
        </w:tc>
        <w:tc>
          <w:tcPr>
            <w:tcW w:w="60" w:type="dxa"/>
            <w:vAlign w:val="bottom"/>
            <w:shd w:val="clear" w:color="auto" w:fill="D0EBF2"/>
          </w:tcPr>
          <w:p>
            <w:pPr>
              <w:spacing w:after="0"/>
              <w:rPr>
                <w:sz w:val="12"/>
                <w:szCs w:val="12"/>
                <w:color w:val="auto"/>
              </w:rPr>
            </w:pPr>
          </w:p>
        </w:tc>
        <w:tc>
          <w:tcPr>
            <w:tcW w:w="680" w:type="dxa"/>
            <w:vAlign w:val="bottom"/>
            <w:gridSpan w:val="3"/>
            <w:shd w:val="clear" w:color="auto" w:fill="D0EBF2"/>
          </w:tcPr>
          <w:p>
            <w:pPr>
              <w:jc w:val="right"/>
              <w:ind w:right="120"/>
              <w:spacing w:after="0"/>
              <w:rPr>
                <w:sz w:val="20"/>
                <w:szCs w:val="20"/>
                <w:color w:val="auto"/>
              </w:rPr>
            </w:pPr>
            <w:r>
              <w:rPr>
                <w:rFonts w:ascii="Times New Roman" w:cs="Times New Roman" w:eastAsia="Times New Roman" w:hAnsi="Times New Roman"/>
                <w:sz w:val="12"/>
                <w:szCs w:val="12"/>
                <w:color w:val="231F20"/>
              </w:rPr>
              <w:t>—</w:t>
            </w:r>
          </w:p>
        </w:tc>
        <w:tc>
          <w:tcPr>
            <w:tcW w:w="80" w:type="dxa"/>
            <w:vAlign w:val="bottom"/>
            <w:shd w:val="clear" w:color="auto" w:fill="D0EBF2"/>
          </w:tcPr>
          <w:p>
            <w:pPr>
              <w:spacing w:after="0"/>
              <w:rPr>
                <w:sz w:val="12"/>
                <w:szCs w:val="12"/>
                <w:color w:val="auto"/>
              </w:rPr>
            </w:pPr>
          </w:p>
        </w:tc>
        <w:tc>
          <w:tcPr>
            <w:tcW w:w="660" w:type="dxa"/>
            <w:vAlign w:val="bottom"/>
            <w:gridSpan w:val="3"/>
            <w:shd w:val="clear" w:color="auto" w:fill="D0EBF2"/>
          </w:tcPr>
          <w:p>
            <w:pPr>
              <w:jc w:val="right"/>
              <w:ind w:right="120"/>
              <w:spacing w:after="0"/>
              <w:rPr>
                <w:sz w:val="20"/>
                <w:szCs w:val="20"/>
                <w:color w:val="auto"/>
              </w:rPr>
            </w:pPr>
            <w:r>
              <w:rPr>
                <w:rFonts w:ascii="Times New Roman" w:cs="Times New Roman" w:eastAsia="Times New Roman" w:hAnsi="Times New Roman"/>
                <w:sz w:val="12"/>
                <w:szCs w:val="12"/>
                <w:color w:val="231F20"/>
              </w:rPr>
              <w:t>—</w:t>
            </w:r>
          </w:p>
        </w:tc>
        <w:tc>
          <w:tcPr>
            <w:tcW w:w="20" w:type="dxa"/>
            <w:vAlign w:val="bottom"/>
            <w:shd w:val="clear" w:color="auto" w:fill="D0EBF2"/>
          </w:tcPr>
          <w:p>
            <w:pPr>
              <w:spacing w:after="0"/>
              <w:rPr>
                <w:sz w:val="12"/>
                <w:szCs w:val="12"/>
                <w:color w:val="auto"/>
              </w:rPr>
            </w:pPr>
          </w:p>
        </w:tc>
        <w:tc>
          <w:tcPr>
            <w:tcW w:w="80" w:type="dxa"/>
            <w:vAlign w:val="bottom"/>
            <w:shd w:val="clear" w:color="auto" w:fill="D0EBF2"/>
          </w:tcPr>
          <w:p>
            <w:pPr>
              <w:spacing w:after="0"/>
              <w:rPr>
                <w:sz w:val="12"/>
                <w:szCs w:val="12"/>
                <w:color w:val="auto"/>
              </w:rPr>
            </w:pPr>
          </w:p>
        </w:tc>
        <w:tc>
          <w:tcPr>
            <w:tcW w:w="660" w:type="dxa"/>
            <w:vAlign w:val="bottom"/>
            <w:gridSpan w:val="4"/>
            <w:shd w:val="clear" w:color="auto" w:fill="D0EBF2"/>
          </w:tcPr>
          <w:p>
            <w:pPr>
              <w:jc w:val="right"/>
              <w:ind w:right="120"/>
              <w:spacing w:after="0"/>
              <w:rPr>
                <w:sz w:val="20"/>
                <w:szCs w:val="20"/>
                <w:color w:val="auto"/>
              </w:rPr>
            </w:pPr>
            <w:r>
              <w:rPr>
                <w:rFonts w:ascii="Times New Roman" w:cs="Times New Roman" w:eastAsia="Times New Roman" w:hAnsi="Times New Roman"/>
                <w:sz w:val="12"/>
                <w:szCs w:val="12"/>
                <w:color w:val="231F20"/>
              </w:rPr>
              <w:t>—</w:t>
            </w:r>
          </w:p>
        </w:tc>
        <w:tc>
          <w:tcPr>
            <w:tcW w:w="0" w:type="dxa"/>
            <w:vAlign w:val="bottom"/>
          </w:tcPr>
          <w:p>
            <w:pPr>
              <w:spacing w:after="0"/>
              <w:rPr>
                <w:sz w:val="1"/>
                <w:szCs w:val="1"/>
                <w:color w:val="auto"/>
              </w:rPr>
            </w:pPr>
          </w:p>
        </w:tc>
      </w:tr>
      <w:tr>
        <w:trPr>
          <w:trHeight w:val="141"/>
        </w:trPr>
        <w:tc>
          <w:tcPr>
            <w:tcW w:w="2720" w:type="dxa"/>
            <w:vAlign w:val="bottom"/>
            <w:gridSpan w:val="4"/>
            <w:shd w:val="clear" w:color="auto" w:fill="FDFDFC"/>
          </w:tcPr>
          <w:p>
            <w:pPr>
              <w:spacing w:after="0"/>
              <w:rPr>
                <w:sz w:val="20"/>
                <w:szCs w:val="20"/>
                <w:color w:val="auto"/>
              </w:rPr>
            </w:pPr>
            <w:r>
              <w:rPr>
                <w:rFonts w:ascii="Times New Roman" w:cs="Times New Roman" w:eastAsia="Times New Roman" w:hAnsi="Times New Roman"/>
                <w:sz w:val="12"/>
                <w:szCs w:val="12"/>
                <w:color w:val="231F20"/>
              </w:rPr>
              <w:t xml:space="preserve">Repurchase of debt </w:t>
            </w:r>
            <w:r>
              <w:rPr>
                <w:rFonts w:ascii="Times New Roman" w:cs="Times New Roman" w:eastAsia="Times New Roman" w:hAnsi="Times New Roman"/>
                <w:sz w:val="7"/>
                <w:szCs w:val="7"/>
                <w:color w:val="231F20"/>
              </w:rPr>
              <w:t>(2)</w:t>
            </w:r>
          </w:p>
        </w:tc>
        <w:tc>
          <w:tcPr>
            <w:tcW w:w="0" w:type="dxa"/>
            <w:vAlign w:val="bottom"/>
            <w:shd w:val="clear" w:color="auto" w:fill="FDFDFC"/>
          </w:tcPr>
          <w:p>
            <w:pPr>
              <w:spacing w:after="0"/>
              <w:rPr>
                <w:sz w:val="12"/>
                <w:szCs w:val="12"/>
                <w:color w:val="auto"/>
              </w:rPr>
            </w:pPr>
          </w:p>
        </w:tc>
        <w:tc>
          <w:tcPr>
            <w:tcW w:w="680" w:type="dxa"/>
            <w:vAlign w:val="bottom"/>
            <w:gridSpan w:val="2"/>
            <w:shd w:val="clear" w:color="auto" w:fill="FDFDFC"/>
          </w:tcPr>
          <w:p>
            <w:pPr>
              <w:jc w:val="right"/>
              <w:ind w:right="120"/>
              <w:spacing w:after="0"/>
              <w:rPr>
                <w:sz w:val="20"/>
                <w:szCs w:val="20"/>
                <w:color w:val="auto"/>
              </w:rPr>
            </w:pPr>
            <w:r>
              <w:rPr>
                <w:rFonts w:ascii="Times New Roman" w:cs="Times New Roman" w:eastAsia="Times New Roman" w:hAnsi="Times New Roman"/>
                <w:sz w:val="12"/>
                <w:szCs w:val="12"/>
                <w:color w:val="231F20"/>
              </w:rPr>
              <w:t>—</w:t>
            </w:r>
          </w:p>
        </w:tc>
        <w:tc>
          <w:tcPr>
            <w:tcW w:w="40" w:type="dxa"/>
            <w:vAlign w:val="bottom"/>
            <w:shd w:val="clear" w:color="auto" w:fill="FDFDFC"/>
          </w:tcPr>
          <w:p>
            <w:pPr>
              <w:spacing w:after="0"/>
              <w:rPr>
                <w:sz w:val="12"/>
                <w:szCs w:val="12"/>
                <w:color w:val="auto"/>
              </w:rPr>
            </w:pPr>
          </w:p>
        </w:tc>
        <w:tc>
          <w:tcPr>
            <w:tcW w:w="60" w:type="dxa"/>
            <w:vAlign w:val="bottom"/>
            <w:shd w:val="clear" w:color="auto" w:fill="FDFDFC"/>
          </w:tcPr>
          <w:p>
            <w:pPr>
              <w:spacing w:after="0"/>
              <w:rPr>
                <w:sz w:val="12"/>
                <w:szCs w:val="12"/>
                <w:color w:val="auto"/>
              </w:rPr>
            </w:pPr>
          </w:p>
        </w:tc>
        <w:tc>
          <w:tcPr>
            <w:tcW w:w="680" w:type="dxa"/>
            <w:vAlign w:val="bottom"/>
            <w:gridSpan w:val="3"/>
            <w:shd w:val="clear" w:color="auto" w:fill="FDFDFC"/>
          </w:tcPr>
          <w:p>
            <w:pPr>
              <w:jc w:val="right"/>
              <w:ind w:right="120"/>
              <w:spacing w:after="0"/>
              <w:rPr>
                <w:sz w:val="20"/>
                <w:szCs w:val="20"/>
                <w:color w:val="auto"/>
              </w:rPr>
            </w:pPr>
            <w:r>
              <w:rPr>
                <w:rFonts w:ascii="Times New Roman" w:cs="Times New Roman" w:eastAsia="Times New Roman" w:hAnsi="Times New Roman"/>
                <w:sz w:val="12"/>
                <w:szCs w:val="12"/>
                <w:color w:val="231F20"/>
              </w:rPr>
              <w:t>—</w:t>
            </w:r>
          </w:p>
        </w:tc>
        <w:tc>
          <w:tcPr>
            <w:tcW w:w="40" w:type="dxa"/>
            <w:vAlign w:val="bottom"/>
            <w:shd w:val="clear" w:color="auto" w:fill="FDFDFC"/>
          </w:tcPr>
          <w:p>
            <w:pPr>
              <w:spacing w:after="0"/>
              <w:rPr>
                <w:sz w:val="12"/>
                <w:szCs w:val="12"/>
                <w:color w:val="auto"/>
              </w:rPr>
            </w:pPr>
          </w:p>
        </w:tc>
        <w:tc>
          <w:tcPr>
            <w:tcW w:w="60" w:type="dxa"/>
            <w:vAlign w:val="bottom"/>
            <w:shd w:val="clear" w:color="auto" w:fill="FDFDFC"/>
          </w:tcPr>
          <w:p>
            <w:pPr>
              <w:spacing w:after="0"/>
              <w:rPr>
                <w:sz w:val="12"/>
                <w:szCs w:val="12"/>
                <w:color w:val="auto"/>
              </w:rPr>
            </w:pPr>
          </w:p>
        </w:tc>
        <w:tc>
          <w:tcPr>
            <w:tcW w:w="580" w:type="dxa"/>
            <w:vAlign w:val="bottom"/>
            <w:gridSpan w:val="2"/>
            <w:shd w:val="clear" w:color="auto" w:fill="FDFDFC"/>
          </w:tcPr>
          <w:p>
            <w:pPr>
              <w:jc w:val="right"/>
              <w:ind w:right="20"/>
              <w:spacing w:after="0"/>
              <w:rPr>
                <w:sz w:val="20"/>
                <w:szCs w:val="20"/>
                <w:color w:val="auto"/>
              </w:rPr>
            </w:pPr>
            <w:r>
              <w:rPr>
                <w:rFonts w:ascii="Times New Roman" w:cs="Times New Roman" w:eastAsia="Times New Roman" w:hAnsi="Times New Roman"/>
                <w:sz w:val="12"/>
                <w:szCs w:val="12"/>
                <w:color w:val="231F20"/>
              </w:rPr>
              <w:t>—</w:t>
            </w:r>
          </w:p>
        </w:tc>
        <w:tc>
          <w:tcPr>
            <w:tcW w:w="100" w:type="dxa"/>
            <w:vAlign w:val="bottom"/>
            <w:shd w:val="clear" w:color="auto" w:fill="FDFDFC"/>
          </w:tcPr>
          <w:p>
            <w:pPr>
              <w:spacing w:after="0"/>
              <w:rPr>
                <w:sz w:val="12"/>
                <w:szCs w:val="12"/>
                <w:color w:val="auto"/>
              </w:rPr>
            </w:pPr>
          </w:p>
        </w:tc>
        <w:tc>
          <w:tcPr>
            <w:tcW w:w="20" w:type="dxa"/>
            <w:vAlign w:val="bottom"/>
            <w:shd w:val="clear" w:color="auto" w:fill="FDFDFC"/>
          </w:tcPr>
          <w:p>
            <w:pPr>
              <w:spacing w:after="0"/>
              <w:rPr>
                <w:sz w:val="12"/>
                <w:szCs w:val="12"/>
                <w:color w:val="auto"/>
              </w:rPr>
            </w:pPr>
          </w:p>
        </w:tc>
        <w:tc>
          <w:tcPr>
            <w:tcW w:w="60" w:type="dxa"/>
            <w:vAlign w:val="bottom"/>
            <w:shd w:val="clear" w:color="auto" w:fill="FDFDFC"/>
          </w:tcPr>
          <w:p>
            <w:pPr>
              <w:spacing w:after="0"/>
              <w:rPr>
                <w:sz w:val="12"/>
                <w:szCs w:val="12"/>
                <w:color w:val="auto"/>
              </w:rPr>
            </w:pPr>
          </w:p>
        </w:tc>
        <w:tc>
          <w:tcPr>
            <w:tcW w:w="680" w:type="dxa"/>
            <w:vAlign w:val="bottom"/>
            <w:gridSpan w:val="4"/>
            <w:shd w:val="clear" w:color="auto" w:fill="FDFDFC"/>
          </w:tcPr>
          <w:p>
            <w:pPr>
              <w:jc w:val="right"/>
              <w:ind w:right="120"/>
              <w:spacing w:after="0"/>
              <w:rPr>
                <w:sz w:val="20"/>
                <w:szCs w:val="20"/>
                <w:color w:val="auto"/>
              </w:rPr>
            </w:pPr>
            <w:r>
              <w:rPr>
                <w:rFonts w:ascii="Times New Roman" w:cs="Times New Roman" w:eastAsia="Times New Roman" w:hAnsi="Times New Roman"/>
                <w:sz w:val="12"/>
                <w:szCs w:val="12"/>
                <w:color w:val="231F20"/>
              </w:rPr>
              <w:t>—</w:t>
            </w:r>
          </w:p>
        </w:tc>
        <w:tc>
          <w:tcPr>
            <w:tcW w:w="80" w:type="dxa"/>
            <w:vAlign w:val="bottom"/>
            <w:shd w:val="clear" w:color="auto" w:fill="FDFDFC"/>
          </w:tcPr>
          <w:p>
            <w:pPr>
              <w:spacing w:after="0"/>
              <w:rPr>
                <w:sz w:val="12"/>
                <w:szCs w:val="12"/>
                <w:color w:val="auto"/>
              </w:rPr>
            </w:pPr>
          </w:p>
        </w:tc>
        <w:tc>
          <w:tcPr>
            <w:tcW w:w="660" w:type="dxa"/>
            <w:vAlign w:val="bottom"/>
            <w:gridSpan w:val="3"/>
            <w:shd w:val="clear" w:color="auto" w:fill="FDFDFC"/>
          </w:tcPr>
          <w:p>
            <w:pPr>
              <w:jc w:val="right"/>
              <w:ind w:right="60"/>
              <w:spacing w:after="0"/>
              <w:rPr>
                <w:sz w:val="20"/>
                <w:szCs w:val="20"/>
                <w:color w:val="auto"/>
              </w:rPr>
            </w:pPr>
            <w:r>
              <w:rPr>
                <w:rFonts w:ascii="Times New Roman" w:cs="Times New Roman" w:eastAsia="Times New Roman" w:hAnsi="Times New Roman"/>
                <w:sz w:val="12"/>
                <w:szCs w:val="12"/>
                <w:color w:val="231F20"/>
              </w:rPr>
              <w:t>(0.01)</w:t>
            </w:r>
          </w:p>
        </w:tc>
        <w:tc>
          <w:tcPr>
            <w:tcW w:w="20" w:type="dxa"/>
            <w:vAlign w:val="bottom"/>
            <w:shd w:val="clear" w:color="auto" w:fill="FDFDFC"/>
          </w:tcPr>
          <w:p>
            <w:pPr>
              <w:spacing w:after="0"/>
              <w:rPr>
                <w:sz w:val="12"/>
                <w:szCs w:val="12"/>
                <w:color w:val="auto"/>
              </w:rPr>
            </w:pPr>
          </w:p>
        </w:tc>
        <w:tc>
          <w:tcPr>
            <w:tcW w:w="60" w:type="dxa"/>
            <w:vAlign w:val="bottom"/>
            <w:shd w:val="clear" w:color="auto" w:fill="FDFDFC"/>
          </w:tcPr>
          <w:p>
            <w:pPr>
              <w:spacing w:after="0"/>
              <w:rPr>
                <w:sz w:val="12"/>
                <w:szCs w:val="12"/>
                <w:color w:val="auto"/>
              </w:rPr>
            </w:pPr>
          </w:p>
        </w:tc>
        <w:tc>
          <w:tcPr>
            <w:tcW w:w="660" w:type="dxa"/>
            <w:vAlign w:val="bottom"/>
            <w:gridSpan w:val="3"/>
            <w:shd w:val="clear" w:color="auto" w:fill="FDFDFC"/>
          </w:tcPr>
          <w:p>
            <w:pPr>
              <w:jc w:val="right"/>
              <w:ind w:right="120"/>
              <w:spacing w:after="0"/>
              <w:rPr>
                <w:sz w:val="20"/>
                <w:szCs w:val="20"/>
                <w:color w:val="auto"/>
              </w:rPr>
            </w:pPr>
            <w:r>
              <w:rPr>
                <w:rFonts w:ascii="Times New Roman" w:cs="Times New Roman" w:eastAsia="Times New Roman" w:hAnsi="Times New Roman"/>
                <w:sz w:val="12"/>
                <w:szCs w:val="12"/>
                <w:color w:val="231F20"/>
              </w:rPr>
              <w:t>—</w:t>
            </w:r>
          </w:p>
        </w:tc>
        <w:tc>
          <w:tcPr>
            <w:tcW w:w="20" w:type="dxa"/>
            <w:vAlign w:val="bottom"/>
            <w:shd w:val="clear" w:color="auto" w:fill="FDFDFC"/>
          </w:tcPr>
          <w:p>
            <w:pPr>
              <w:spacing w:after="0"/>
              <w:rPr>
                <w:sz w:val="12"/>
                <w:szCs w:val="12"/>
                <w:color w:val="auto"/>
              </w:rPr>
            </w:pPr>
          </w:p>
        </w:tc>
        <w:tc>
          <w:tcPr>
            <w:tcW w:w="60" w:type="dxa"/>
            <w:vAlign w:val="bottom"/>
            <w:shd w:val="clear" w:color="auto" w:fill="FDFDFC"/>
          </w:tcPr>
          <w:p>
            <w:pPr>
              <w:spacing w:after="0"/>
              <w:rPr>
                <w:sz w:val="12"/>
                <w:szCs w:val="12"/>
                <w:color w:val="auto"/>
              </w:rPr>
            </w:pPr>
          </w:p>
        </w:tc>
        <w:tc>
          <w:tcPr>
            <w:tcW w:w="660" w:type="dxa"/>
            <w:vAlign w:val="bottom"/>
            <w:gridSpan w:val="3"/>
            <w:shd w:val="clear" w:color="auto" w:fill="FDFDFC"/>
          </w:tcPr>
          <w:p>
            <w:pPr>
              <w:jc w:val="right"/>
              <w:ind w:right="100"/>
              <w:spacing w:after="0"/>
              <w:rPr>
                <w:sz w:val="20"/>
                <w:szCs w:val="20"/>
                <w:color w:val="auto"/>
              </w:rPr>
            </w:pPr>
            <w:r>
              <w:rPr>
                <w:rFonts w:ascii="Times New Roman" w:cs="Times New Roman" w:eastAsia="Times New Roman" w:hAnsi="Times New Roman"/>
                <w:sz w:val="12"/>
                <w:szCs w:val="12"/>
                <w:color w:val="231F20"/>
              </w:rPr>
              <w:t>—</w:t>
            </w:r>
          </w:p>
        </w:tc>
        <w:tc>
          <w:tcPr>
            <w:tcW w:w="20" w:type="dxa"/>
            <w:vAlign w:val="bottom"/>
            <w:shd w:val="clear" w:color="auto" w:fill="FDFDFC"/>
          </w:tcPr>
          <w:p>
            <w:pPr>
              <w:spacing w:after="0"/>
              <w:rPr>
                <w:sz w:val="12"/>
                <w:szCs w:val="12"/>
                <w:color w:val="auto"/>
              </w:rPr>
            </w:pPr>
          </w:p>
        </w:tc>
        <w:tc>
          <w:tcPr>
            <w:tcW w:w="60" w:type="dxa"/>
            <w:vAlign w:val="bottom"/>
            <w:shd w:val="clear" w:color="auto" w:fill="FDFDFC"/>
          </w:tcPr>
          <w:p>
            <w:pPr>
              <w:spacing w:after="0"/>
              <w:rPr>
                <w:sz w:val="12"/>
                <w:szCs w:val="12"/>
                <w:color w:val="auto"/>
              </w:rPr>
            </w:pPr>
          </w:p>
        </w:tc>
        <w:tc>
          <w:tcPr>
            <w:tcW w:w="680" w:type="dxa"/>
            <w:vAlign w:val="bottom"/>
            <w:gridSpan w:val="3"/>
            <w:shd w:val="clear" w:color="auto" w:fill="FDFDFC"/>
          </w:tcPr>
          <w:p>
            <w:pPr>
              <w:jc w:val="right"/>
              <w:ind w:right="120"/>
              <w:spacing w:after="0"/>
              <w:rPr>
                <w:sz w:val="20"/>
                <w:szCs w:val="20"/>
                <w:color w:val="auto"/>
              </w:rPr>
            </w:pPr>
            <w:r>
              <w:rPr>
                <w:rFonts w:ascii="Times New Roman" w:cs="Times New Roman" w:eastAsia="Times New Roman" w:hAnsi="Times New Roman"/>
                <w:sz w:val="12"/>
                <w:szCs w:val="12"/>
                <w:color w:val="231F20"/>
              </w:rPr>
              <w:t>—</w:t>
            </w:r>
          </w:p>
        </w:tc>
        <w:tc>
          <w:tcPr>
            <w:tcW w:w="80" w:type="dxa"/>
            <w:vAlign w:val="bottom"/>
            <w:shd w:val="clear" w:color="auto" w:fill="FDFDFC"/>
          </w:tcPr>
          <w:p>
            <w:pPr>
              <w:spacing w:after="0"/>
              <w:rPr>
                <w:sz w:val="12"/>
                <w:szCs w:val="12"/>
                <w:color w:val="auto"/>
              </w:rPr>
            </w:pPr>
          </w:p>
        </w:tc>
        <w:tc>
          <w:tcPr>
            <w:tcW w:w="660" w:type="dxa"/>
            <w:vAlign w:val="bottom"/>
            <w:gridSpan w:val="3"/>
            <w:shd w:val="clear" w:color="auto" w:fill="FDFDFC"/>
          </w:tcPr>
          <w:p>
            <w:pPr>
              <w:jc w:val="right"/>
              <w:ind w:right="120"/>
              <w:spacing w:after="0"/>
              <w:rPr>
                <w:sz w:val="20"/>
                <w:szCs w:val="20"/>
                <w:color w:val="auto"/>
              </w:rPr>
            </w:pPr>
            <w:r>
              <w:rPr>
                <w:rFonts w:ascii="Times New Roman" w:cs="Times New Roman" w:eastAsia="Times New Roman" w:hAnsi="Times New Roman"/>
                <w:sz w:val="12"/>
                <w:szCs w:val="12"/>
                <w:color w:val="231F20"/>
              </w:rPr>
              <w:t>—</w:t>
            </w:r>
          </w:p>
        </w:tc>
        <w:tc>
          <w:tcPr>
            <w:tcW w:w="20" w:type="dxa"/>
            <w:vAlign w:val="bottom"/>
            <w:shd w:val="clear" w:color="auto" w:fill="FDFDFC"/>
          </w:tcPr>
          <w:p>
            <w:pPr>
              <w:spacing w:after="0"/>
              <w:rPr>
                <w:sz w:val="12"/>
                <w:szCs w:val="12"/>
                <w:color w:val="auto"/>
              </w:rPr>
            </w:pPr>
          </w:p>
        </w:tc>
        <w:tc>
          <w:tcPr>
            <w:tcW w:w="80" w:type="dxa"/>
            <w:vAlign w:val="bottom"/>
            <w:shd w:val="clear" w:color="auto" w:fill="FDFDFC"/>
          </w:tcPr>
          <w:p>
            <w:pPr>
              <w:spacing w:after="0"/>
              <w:rPr>
                <w:sz w:val="12"/>
                <w:szCs w:val="12"/>
                <w:color w:val="auto"/>
              </w:rPr>
            </w:pPr>
          </w:p>
        </w:tc>
        <w:tc>
          <w:tcPr>
            <w:tcW w:w="660" w:type="dxa"/>
            <w:vAlign w:val="bottom"/>
            <w:gridSpan w:val="4"/>
            <w:shd w:val="clear" w:color="auto" w:fill="FDFDFC"/>
          </w:tcPr>
          <w:p>
            <w:pPr>
              <w:jc w:val="right"/>
              <w:ind w:right="120"/>
              <w:spacing w:after="0"/>
              <w:rPr>
                <w:sz w:val="20"/>
                <w:szCs w:val="20"/>
                <w:color w:val="auto"/>
              </w:rPr>
            </w:pPr>
            <w:r>
              <w:rPr>
                <w:rFonts w:ascii="Times New Roman" w:cs="Times New Roman" w:eastAsia="Times New Roman" w:hAnsi="Times New Roman"/>
                <w:sz w:val="12"/>
                <w:szCs w:val="12"/>
                <w:color w:val="231F20"/>
              </w:rPr>
              <w:t>—</w:t>
            </w:r>
          </w:p>
        </w:tc>
        <w:tc>
          <w:tcPr>
            <w:tcW w:w="0" w:type="dxa"/>
            <w:vAlign w:val="bottom"/>
          </w:tcPr>
          <w:p>
            <w:pPr>
              <w:spacing w:after="0"/>
              <w:rPr>
                <w:sz w:val="1"/>
                <w:szCs w:val="1"/>
                <w:color w:val="auto"/>
              </w:rPr>
            </w:pPr>
          </w:p>
        </w:tc>
      </w:tr>
      <w:tr>
        <w:trPr>
          <w:trHeight w:val="141"/>
        </w:trPr>
        <w:tc>
          <w:tcPr>
            <w:tcW w:w="2720" w:type="dxa"/>
            <w:vAlign w:val="bottom"/>
            <w:gridSpan w:val="4"/>
            <w:shd w:val="clear" w:color="auto" w:fill="D0EBF2"/>
          </w:tcPr>
          <w:p>
            <w:pPr>
              <w:spacing w:after="0"/>
              <w:rPr>
                <w:sz w:val="20"/>
                <w:szCs w:val="20"/>
                <w:color w:val="auto"/>
              </w:rPr>
            </w:pPr>
            <w:r>
              <w:rPr>
                <w:rFonts w:ascii="Times New Roman" w:cs="Times New Roman" w:eastAsia="Times New Roman" w:hAnsi="Times New Roman"/>
                <w:sz w:val="12"/>
                <w:szCs w:val="12"/>
                <w:color w:val="231F20"/>
              </w:rPr>
              <w:t xml:space="preserve">Dividends declared from net investment income </w:t>
            </w:r>
            <w:r>
              <w:rPr>
                <w:rFonts w:ascii="Times New Roman" w:cs="Times New Roman" w:eastAsia="Times New Roman" w:hAnsi="Times New Roman"/>
                <w:sz w:val="7"/>
                <w:szCs w:val="7"/>
                <w:color w:val="231F20"/>
              </w:rPr>
              <w:t>(2)</w:t>
            </w:r>
          </w:p>
        </w:tc>
        <w:tc>
          <w:tcPr>
            <w:tcW w:w="0" w:type="dxa"/>
            <w:vAlign w:val="bottom"/>
            <w:shd w:val="clear" w:color="auto" w:fill="D0EBF2"/>
          </w:tcPr>
          <w:p>
            <w:pPr>
              <w:spacing w:after="0"/>
              <w:rPr>
                <w:sz w:val="12"/>
                <w:szCs w:val="12"/>
                <w:color w:val="auto"/>
              </w:rPr>
            </w:pPr>
          </w:p>
        </w:tc>
        <w:tc>
          <w:tcPr>
            <w:tcW w:w="680" w:type="dxa"/>
            <w:vAlign w:val="bottom"/>
            <w:gridSpan w:val="2"/>
            <w:shd w:val="clear" w:color="auto" w:fill="D0EBF2"/>
          </w:tcPr>
          <w:p>
            <w:pPr>
              <w:jc w:val="right"/>
              <w:ind w:right="80"/>
              <w:spacing w:after="0"/>
              <w:rPr>
                <w:sz w:val="20"/>
                <w:szCs w:val="20"/>
                <w:color w:val="auto"/>
              </w:rPr>
            </w:pPr>
            <w:r>
              <w:rPr>
                <w:rFonts w:ascii="Times New Roman" w:cs="Times New Roman" w:eastAsia="Times New Roman" w:hAnsi="Times New Roman"/>
                <w:sz w:val="12"/>
                <w:szCs w:val="12"/>
                <w:color w:val="231F20"/>
              </w:rPr>
              <w:t>(2.09)</w:t>
            </w:r>
          </w:p>
        </w:tc>
        <w:tc>
          <w:tcPr>
            <w:tcW w:w="40" w:type="dxa"/>
            <w:vAlign w:val="bottom"/>
            <w:shd w:val="clear" w:color="auto" w:fill="D0EBF2"/>
          </w:tcPr>
          <w:p>
            <w:pPr>
              <w:spacing w:after="0"/>
              <w:rPr>
                <w:sz w:val="12"/>
                <w:szCs w:val="12"/>
                <w:color w:val="auto"/>
              </w:rPr>
            </w:pPr>
          </w:p>
        </w:tc>
        <w:tc>
          <w:tcPr>
            <w:tcW w:w="60" w:type="dxa"/>
            <w:vAlign w:val="bottom"/>
            <w:shd w:val="clear" w:color="auto" w:fill="D0EBF2"/>
          </w:tcPr>
          <w:p>
            <w:pPr>
              <w:spacing w:after="0"/>
              <w:rPr>
                <w:sz w:val="12"/>
                <w:szCs w:val="12"/>
                <w:color w:val="auto"/>
              </w:rPr>
            </w:pPr>
          </w:p>
        </w:tc>
        <w:tc>
          <w:tcPr>
            <w:tcW w:w="680" w:type="dxa"/>
            <w:vAlign w:val="bottom"/>
            <w:gridSpan w:val="3"/>
            <w:shd w:val="clear" w:color="auto" w:fill="D0EBF2"/>
          </w:tcPr>
          <w:p>
            <w:pPr>
              <w:jc w:val="right"/>
              <w:ind w:right="60"/>
              <w:spacing w:after="0"/>
              <w:rPr>
                <w:sz w:val="20"/>
                <w:szCs w:val="20"/>
                <w:color w:val="auto"/>
              </w:rPr>
            </w:pPr>
            <w:r>
              <w:rPr>
                <w:rFonts w:ascii="Times New Roman" w:cs="Times New Roman" w:eastAsia="Times New Roman" w:hAnsi="Times New Roman"/>
                <w:sz w:val="12"/>
                <w:szCs w:val="12"/>
                <w:color w:val="231F20"/>
              </w:rPr>
              <w:t>(2.10)</w:t>
            </w:r>
          </w:p>
        </w:tc>
        <w:tc>
          <w:tcPr>
            <w:tcW w:w="40" w:type="dxa"/>
            <w:vAlign w:val="bottom"/>
            <w:shd w:val="clear" w:color="auto" w:fill="D0EBF2"/>
          </w:tcPr>
          <w:p>
            <w:pPr>
              <w:spacing w:after="0"/>
              <w:rPr>
                <w:sz w:val="12"/>
                <w:szCs w:val="12"/>
                <w:color w:val="auto"/>
              </w:rPr>
            </w:pPr>
          </w:p>
        </w:tc>
        <w:tc>
          <w:tcPr>
            <w:tcW w:w="60" w:type="dxa"/>
            <w:vAlign w:val="bottom"/>
            <w:shd w:val="clear" w:color="auto" w:fill="D0EBF2"/>
          </w:tcPr>
          <w:p>
            <w:pPr>
              <w:spacing w:after="0"/>
              <w:rPr>
                <w:sz w:val="12"/>
                <w:szCs w:val="12"/>
                <w:color w:val="auto"/>
              </w:rPr>
            </w:pPr>
          </w:p>
        </w:tc>
        <w:tc>
          <w:tcPr>
            <w:tcW w:w="580" w:type="dxa"/>
            <w:vAlign w:val="bottom"/>
            <w:gridSpan w:val="2"/>
            <w:shd w:val="clear" w:color="auto" w:fill="D0EBF2"/>
          </w:tcPr>
          <w:p>
            <w:pPr>
              <w:jc w:val="right"/>
              <w:spacing w:after="0"/>
              <w:rPr>
                <w:sz w:val="20"/>
                <w:szCs w:val="20"/>
                <w:color w:val="auto"/>
              </w:rPr>
            </w:pPr>
            <w:r>
              <w:rPr>
                <w:rFonts w:ascii="Times New Roman" w:cs="Times New Roman" w:eastAsia="Times New Roman" w:hAnsi="Times New Roman"/>
                <w:sz w:val="12"/>
                <w:szCs w:val="12"/>
                <w:color w:val="231F20"/>
              </w:rPr>
              <w:t>(1.59)</w:t>
            </w:r>
          </w:p>
        </w:tc>
        <w:tc>
          <w:tcPr>
            <w:tcW w:w="100" w:type="dxa"/>
            <w:vAlign w:val="bottom"/>
            <w:shd w:val="clear" w:color="auto" w:fill="D0EBF2"/>
          </w:tcPr>
          <w:p>
            <w:pPr>
              <w:spacing w:after="0"/>
              <w:rPr>
                <w:sz w:val="12"/>
                <w:szCs w:val="12"/>
                <w:color w:val="auto"/>
              </w:rPr>
            </w:pPr>
          </w:p>
        </w:tc>
        <w:tc>
          <w:tcPr>
            <w:tcW w:w="20" w:type="dxa"/>
            <w:vAlign w:val="bottom"/>
            <w:shd w:val="clear" w:color="auto" w:fill="D0EBF2"/>
          </w:tcPr>
          <w:p>
            <w:pPr>
              <w:spacing w:after="0"/>
              <w:rPr>
                <w:sz w:val="12"/>
                <w:szCs w:val="12"/>
                <w:color w:val="auto"/>
              </w:rPr>
            </w:pPr>
          </w:p>
        </w:tc>
        <w:tc>
          <w:tcPr>
            <w:tcW w:w="60" w:type="dxa"/>
            <w:vAlign w:val="bottom"/>
            <w:shd w:val="clear" w:color="auto" w:fill="D0EBF2"/>
          </w:tcPr>
          <w:p>
            <w:pPr>
              <w:spacing w:after="0"/>
              <w:rPr>
                <w:sz w:val="12"/>
                <w:szCs w:val="12"/>
                <w:color w:val="auto"/>
              </w:rPr>
            </w:pPr>
          </w:p>
        </w:tc>
        <w:tc>
          <w:tcPr>
            <w:tcW w:w="680" w:type="dxa"/>
            <w:vAlign w:val="bottom"/>
            <w:gridSpan w:val="4"/>
            <w:shd w:val="clear" w:color="auto" w:fill="D0EBF2"/>
          </w:tcPr>
          <w:p>
            <w:pPr>
              <w:jc w:val="right"/>
              <w:ind w:right="60"/>
              <w:spacing w:after="0"/>
              <w:rPr>
                <w:sz w:val="20"/>
                <w:szCs w:val="20"/>
                <w:color w:val="auto"/>
              </w:rPr>
            </w:pPr>
            <w:r>
              <w:rPr>
                <w:rFonts w:ascii="Times New Roman" w:cs="Times New Roman" w:eastAsia="Times New Roman" w:hAnsi="Times New Roman"/>
                <w:sz w:val="12"/>
                <w:szCs w:val="12"/>
                <w:color w:val="231F20"/>
              </w:rPr>
              <w:t>(2.80)</w:t>
            </w:r>
          </w:p>
        </w:tc>
        <w:tc>
          <w:tcPr>
            <w:tcW w:w="80" w:type="dxa"/>
            <w:vAlign w:val="bottom"/>
            <w:shd w:val="clear" w:color="auto" w:fill="D0EBF2"/>
          </w:tcPr>
          <w:p>
            <w:pPr>
              <w:spacing w:after="0"/>
              <w:rPr>
                <w:sz w:val="12"/>
                <w:szCs w:val="12"/>
                <w:color w:val="auto"/>
              </w:rPr>
            </w:pPr>
          </w:p>
        </w:tc>
        <w:tc>
          <w:tcPr>
            <w:tcW w:w="660" w:type="dxa"/>
            <w:vAlign w:val="bottom"/>
            <w:gridSpan w:val="3"/>
            <w:shd w:val="clear" w:color="auto" w:fill="D0EBF2"/>
          </w:tcPr>
          <w:p>
            <w:pPr>
              <w:jc w:val="right"/>
              <w:ind w:right="60"/>
              <w:spacing w:after="0"/>
              <w:rPr>
                <w:sz w:val="20"/>
                <w:szCs w:val="20"/>
                <w:color w:val="auto"/>
              </w:rPr>
            </w:pPr>
            <w:r>
              <w:rPr>
                <w:rFonts w:ascii="Times New Roman" w:cs="Times New Roman" w:eastAsia="Times New Roman" w:hAnsi="Times New Roman"/>
                <w:sz w:val="12"/>
                <w:szCs w:val="12"/>
                <w:color w:val="231F20"/>
              </w:rPr>
              <w:t>(2.07)</w:t>
            </w:r>
          </w:p>
        </w:tc>
        <w:tc>
          <w:tcPr>
            <w:tcW w:w="20" w:type="dxa"/>
            <w:vAlign w:val="bottom"/>
            <w:shd w:val="clear" w:color="auto" w:fill="D0EBF2"/>
          </w:tcPr>
          <w:p>
            <w:pPr>
              <w:spacing w:after="0"/>
              <w:rPr>
                <w:sz w:val="12"/>
                <w:szCs w:val="12"/>
                <w:color w:val="auto"/>
              </w:rPr>
            </w:pPr>
          </w:p>
        </w:tc>
        <w:tc>
          <w:tcPr>
            <w:tcW w:w="60" w:type="dxa"/>
            <w:vAlign w:val="bottom"/>
            <w:shd w:val="clear" w:color="auto" w:fill="D0EBF2"/>
          </w:tcPr>
          <w:p>
            <w:pPr>
              <w:spacing w:after="0"/>
              <w:rPr>
                <w:sz w:val="12"/>
                <w:szCs w:val="12"/>
                <w:color w:val="auto"/>
              </w:rPr>
            </w:pPr>
          </w:p>
        </w:tc>
        <w:tc>
          <w:tcPr>
            <w:tcW w:w="660" w:type="dxa"/>
            <w:vAlign w:val="bottom"/>
            <w:gridSpan w:val="3"/>
            <w:shd w:val="clear" w:color="auto" w:fill="D0EBF2"/>
          </w:tcPr>
          <w:p>
            <w:pPr>
              <w:jc w:val="right"/>
              <w:ind w:right="60"/>
              <w:spacing w:after="0"/>
              <w:rPr>
                <w:sz w:val="20"/>
                <w:szCs w:val="20"/>
                <w:color w:val="auto"/>
              </w:rPr>
            </w:pPr>
            <w:r>
              <w:rPr>
                <w:rFonts w:ascii="Times New Roman" w:cs="Times New Roman" w:eastAsia="Times New Roman" w:hAnsi="Times New Roman"/>
                <w:sz w:val="12"/>
                <w:szCs w:val="12"/>
                <w:color w:val="231F20"/>
              </w:rPr>
              <w:t>(1.81)</w:t>
            </w:r>
          </w:p>
        </w:tc>
        <w:tc>
          <w:tcPr>
            <w:tcW w:w="20" w:type="dxa"/>
            <w:vAlign w:val="bottom"/>
            <w:shd w:val="clear" w:color="auto" w:fill="D0EBF2"/>
          </w:tcPr>
          <w:p>
            <w:pPr>
              <w:spacing w:after="0"/>
              <w:rPr>
                <w:sz w:val="12"/>
                <w:szCs w:val="12"/>
                <w:color w:val="auto"/>
              </w:rPr>
            </w:pPr>
          </w:p>
        </w:tc>
        <w:tc>
          <w:tcPr>
            <w:tcW w:w="60" w:type="dxa"/>
            <w:vAlign w:val="bottom"/>
            <w:shd w:val="clear" w:color="auto" w:fill="D0EBF2"/>
          </w:tcPr>
          <w:p>
            <w:pPr>
              <w:spacing w:after="0"/>
              <w:rPr>
                <w:sz w:val="12"/>
                <w:szCs w:val="12"/>
                <w:color w:val="auto"/>
              </w:rPr>
            </w:pPr>
          </w:p>
        </w:tc>
        <w:tc>
          <w:tcPr>
            <w:tcW w:w="660" w:type="dxa"/>
            <w:vAlign w:val="bottom"/>
            <w:gridSpan w:val="3"/>
            <w:shd w:val="clear" w:color="auto" w:fill="D0EBF2"/>
          </w:tcPr>
          <w:p>
            <w:pPr>
              <w:jc w:val="right"/>
              <w:ind w:right="60"/>
              <w:spacing w:after="0"/>
              <w:rPr>
                <w:sz w:val="20"/>
                <w:szCs w:val="20"/>
                <w:color w:val="auto"/>
              </w:rPr>
            </w:pPr>
            <w:r>
              <w:rPr>
                <w:rFonts w:ascii="Times New Roman" w:cs="Times New Roman" w:eastAsia="Times New Roman" w:hAnsi="Times New Roman"/>
                <w:sz w:val="12"/>
                <w:szCs w:val="12"/>
                <w:color w:val="231F20"/>
              </w:rPr>
              <w:t>(1.77)</w:t>
            </w:r>
          </w:p>
        </w:tc>
        <w:tc>
          <w:tcPr>
            <w:tcW w:w="20" w:type="dxa"/>
            <w:vAlign w:val="bottom"/>
            <w:shd w:val="clear" w:color="auto" w:fill="D0EBF2"/>
          </w:tcPr>
          <w:p>
            <w:pPr>
              <w:spacing w:after="0"/>
              <w:rPr>
                <w:sz w:val="12"/>
                <w:szCs w:val="12"/>
                <w:color w:val="auto"/>
              </w:rPr>
            </w:pPr>
          </w:p>
        </w:tc>
        <w:tc>
          <w:tcPr>
            <w:tcW w:w="60" w:type="dxa"/>
            <w:vAlign w:val="bottom"/>
            <w:shd w:val="clear" w:color="auto" w:fill="D0EBF2"/>
          </w:tcPr>
          <w:p>
            <w:pPr>
              <w:spacing w:after="0"/>
              <w:rPr>
                <w:sz w:val="12"/>
                <w:szCs w:val="12"/>
                <w:color w:val="auto"/>
              </w:rPr>
            </w:pPr>
          </w:p>
        </w:tc>
        <w:tc>
          <w:tcPr>
            <w:tcW w:w="680" w:type="dxa"/>
            <w:vAlign w:val="bottom"/>
            <w:gridSpan w:val="3"/>
            <w:shd w:val="clear" w:color="auto" w:fill="D0EBF2"/>
          </w:tcPr>
          <w:p>
            <w:pPr>
              <w:jc w:val="right"/>
              <w:ind w:right="60"/>
              <w:spacing w:after="0"/>
              <w:rPr>
                <w:sz w:val="20"/>
                <w:szCs w:val="20"/>
                <w:color w:val="auto"/>
              </w:rPr>
            </w:pPr>
            <w:r>
              <w:rPr>
                <w:rFonts w:ascii="Times New Roman" w:cs="Times New Roman" w:eastAsia="Times New Roman" w:hAnsi="Times New Roman"/>
                <w:sz w:val="12"/>
                <w:szCs w:val="12"/>
                <w:color w:val="231F20"/>
              </w:rPr>
              <w:t>(1.53)</w:t>
            </w:r>
          </w:p>
        </w:tc>
        <w:tc>
          <w:tcPr>
            <w:tcW w:w="80" w:type="dxa"/>
            <w:vAlign w:val="bottom"/>
            <w:shd w:val="clear" w:color="auto" w:fill="D0EBF2"/>
          </w:tcPr>
          <w:p>
            <w:pPr>
              <w:spacing w:after="0"/>
              <w:rPr>
                <w:sz w:val="12"/>
                <w:szCs w:val="12"/>
                <w:color w:val="auto"/>
              </w:rPr>
            </w:pPr>
          </w:p>
        </w:tc>
        <w:tc>
          <w:tcPr>
            <w:tcW w:w="660" w:type="dxa"/>
            <w:vAlign w:val="bottom"/>
            <w:gridSpan w:val="3"/>
            <w:shd w:val="clear" w:color="auto" w:fill="D0EBF2"/>
          </w:tcPr>
          <w:p>
            <w:pPr>
              <w:jc w:val="right"/>
              <w:ind w:right="60"/>
              <w:spacing w:after="0"/>
              <w:rPr>
                <w:sz w:val="20"/>
                <w:szCs w:val="20"/>
                <w:color w:val="auto"/>
              </w:rPr>
            </w:pPr>
            <w:r>
              <w:rPr>
                <w:rFonts w:ascii="Times New Roman" w:cs="Times New Roman" w:eastAsia="Times New Roman" w:hAnsi="Times New Roman"/>
                <w:sz w:val="12"/>
                <w:szCs w:val="12"/>
                <w:color w:val="231F20"/>
              </w:rPr>
              <w:t>(1.39)</w:t>
            </w:r>
          </w:p>
        </w:tc>
        <w:tc>
          <w:tcPr>
            <w:tcW w:w="20" w:type="dxa"/>
            <w:vAlign w:val="bottom"/>
            <w:shd w:val="clear" w:color="auto" w:fill="D0EBF2"/>
          </w:tcPr>
          <w:p>
            <w:pPr>
              <w:spacing w:after="0"/>
              <w:rPr>
                <w:sz w:val="12"/>
                <w:szCs w:val="12"/>
                <w:color w:val="auto"/>
              </w:rPr>
            </w:pPr>
          </w:p>
        </w:tc>
        <w:tc>
          <w:tcPr>
            <w:tcW w:w="80" w:type="dxa"/>
            <w:vAlign w:val="bottom"/>
            <w:shd w:val="clear" w:color="auto" w:fill="D0EBF2"/>
          </w:tcPr>
          <w:p>
            <w:pPr>
              <w:spacing w:after="0"/>
              <w:rPr>
                <w:sz w:val="12"/>
                <w:szCs w:val="12"/>
                <w:color w:val="auto"/>
              </w:rPr>
            </w:pPr>
          </w:p>
        </w:tc>
        <w:tc>
          <w:tcPr>
            <w:tcW w:w="660" w:type="dxa"/>
            <w:vAlign w:val="bottom"/>
            <w:gridSpan w:val="4"/>
            <w:shd w:val="clear" w:color="auto" w:fill="D0EBF2"/>
          </w:tcPr>
          <w:p>
            <w:pPr>
              <w:jc w:val="right"/>
              <w:ind w:right="60"/>
              <w:spacing w:after="0"/>
              <w:rPr>
                <w:sz w:val="20"/>
                <w:szCs w:val="20"/>
                <w:color w:val="auto"/>
              </w:rPr>
            </w:pPr>
            <w:r>
              <w:rPr>
                <w:rFonts w:ascii="Times New Roman" w:cs="Times New Roman" w:eastAsia="Times New Roman" w:hAnsi="Times New Roman"/>
                <w:sz w:val="12"/>
                <w:szCs w:val="12"/>
                <w:color w:val="231F20"/>
              </w:rPr>
              <w:t>(1.15)</w:t>
            </w:r>
          </w:p>
        </w:tc>
        <w:tc>
          <w:tcPr>
            <w:tcW w:w="0" w:type="dxa"/>
            <w:vAlign w:val="bottom"/>
          </w:tcPr>
          <w:p>
            <w:pPr>
              <w:spacing w:after="0"/>
              <w:rPr>
                <w:sz w:val="1"/>
                <w:szCs w:val="1"/>
                <w:color w:val="auto"/>
              </w:rPr>
            </w:pPr>
          </w:p>
        </w:tc>
      </w:tr>
      <w:tr>
        <w:trPr>
          <w:trHeight w:val="128"/>
        </w:trPr>
        <w:tc>
          <w:tcPr>
            <w:tcW w:w="2720" w:type="dxa"/>
            <w:vAlign w:val="bottom"/>
            <w:gridSpan w:val="4"/>
            <w:shd w:val="clear" w:color="auto" w:fill="FDFDFC"/>
          </w:tcPr>
          <w:p>
            <w:pPr>
              <w:spacing w:after="0" w:line="129" w:lineRule="exact"/>
              <w:rPr>
                <w:sz w:val="20"/>
                <w:szCs w:val="20"/>
                <w:color w:val="auto"/>
              </w:rPr>
            </w:pPr>
            <w:r>
              <w:rPr>
                <w:rFonts w:ascii="Times New Roman" w:cs="Times New Roman" w:eastAsia="Times New Roman" w:hAnsi="Times New Roman"/>
                <w:sz w:val="12"/>
                <w:szCs w:val="12"/>
                <w:color w:val="231F20"/>
              </w:rPr>
              <w:t>Dividends declared from realized</w:t>
            </w:r>
          </w:p>
        </w:tc>
        <w:tc>
          <w:tcPr>
            <w:tcW w:w="0" w:type="dxa"/>
            <w:vAlign w:val="bottom"/>
            <w:shd w:val="clear" w:color="auto" w:fill="FDFDFC"/>
          </w:tcPr>
          <w:p>
            <w:pPr>
              <w:spacing w:after="0"/>
              <w:rPr>
                <w:sz w:val="11"/>
                <w:szCs w:val="11"/>
                <w:color w:val="auto"/>
              </w:rPr>
            </w:pPr>
          </w:p>
        </w:tc>
        <w:tc>
          <w:tcPr>
            <w:tcW w:w="560" w:type="dxa"/>
            <w:vAlign w:val="bottom"/>
            <w:shd w:val="clear" w:color="auto" w:fill="FDFDFC"/>
          </w:tcPr>
          <w:p>
            <w:pPr>
              <w:spacing w:after="0"/>
              <w:rPr>
                <w:sz w:val="11"/>
                <w:szCs w:val="11"/>
                <w:color w:val="auto"/>
              </w:rPr>
            </w:pPr>
          </w:p>
        </w:tc>
        <w:tc>
          <w:tcPr>
            <w:tcW w:w="120" w:type="dxa"/>
            <w:vAlign w:val="bottom"/>
            <w:shd w:val="clear" w:color="auto" w:fill="FDFDFC"/>
          </w:tcPr>
          <w:p>
            <w:pPr>
              <w:spacing w:after="0"/>
              <w:rPr>
                <w:sz w:val="11"/>
                <w:szCs w:val="11"/>
                <w:color w:val="auto"/>
              </w:rPr>
            </w:pPr>
          </w:p>
        </w:tc>
        <w:tc>
          <w:tcPr>
            <w:tcW w:w="40" w:type="dxa"/>
            <w:vAlign w:val="bottom"/>
            <w:shd w:val="clear" w:color="auto" w:fill="FDFDFC"/>
          </w:tcPr>
          <w:p>
            <w:pPr>
              <w:spacing w:after="0"/>
              <w:rPr>
                <w:sz w:val="11"/>
                <w:szCs w:val="11"/>
                <w:color w:val="auto"/>
              </w:rPr>
            </w:pPr>
          </w:p>
        </w:tc>
        <w:tc>
          <w:tcPr>
            <w:tcW w:w="60" w:type="dxa"/>
            <w:vAlign w:val="bottom"/>
            <w:shd w:val="clear" w:color="auto" w:fill="FDFDFC"/>
          </w:tcPr>
          <w:p>
            <w:pPr>
              <w:spacing w:after="0"/>
              <w:rPr>
                <w:sz w:val="11"/>
                <w:szCs w:val="11"/>
                <w:color w:val="auto"/>
              </w:rPr>
            </w:pPr>
          </w:p>
        </w:tc>
        <w:tc>
          <w:tcPr>
            <w:tcW w:w="580" w:type="dxa"/>
            <w:vAlign w:val="bottom"/>
            <w:shd w:val="clear" w:color="auto" w:fill="FDFDFC"/>
          </w:tcPr>
          <w:p>
            <w:pPr>
              <w:spacing w:after="0"/>
              <w:rPr>
                <w:sz w:val="11"/>
                <w:szCs w:val="11"/>
                <w:color w:val="auto"/>
              </w:rPr>
            </w:pPr>
          </w:p>
        </w:tc>
        <w:tc>
          <w:tcPr>
            <w:tcW w:w="0" w:type="dxa"/>
            <w:vAlign w:val="bottom"/>
            <w:shd w:val="clear" w:color="auto" w:fill="FDFDFC"/>
          </w:tcPr>
          <w:p>
            <w:pPr>
              <w:spacing w:after="0"/>
              <w:rPr>
                <w:sz w:val="11"/>
                <w:szCs w:val="11"/>
                <w:color w:val="auto"/>
              </w:rPr>
            </w:pPr>
          </w:p>
        </w:tc>
        <w:tc>
          <w:tcPr>
            <w:tcW w:w="100" w:type="dxa"/>
            <w:vAlign w:val="bottom"/>
            <w:shd w:val="clear" w:color="auto" w:fill="FDFDFC"/>
          </w:tcPr>
          <w:p>
            <w:pPr>
              <w:spacing w:after="0"/>
              <w:rPr>
                <w:sz w:val="11"/>
                <w:szCs w:val="11"/>
                <w:color w:val="auto"/>
              </w:rPr>
            </w:pPr>
          </w:p>
        </w:tc>
        <w:tc>
          <w:tcPr>
            <w:tcW w:w="40" w:type="dxa"/>
            <w:vAlign w:val="bottom"/>
            <w:shd w:val="clear" w:color="auto" w:fill="FDFDFC"/>
          </w:tcPr>
          <w:p>
            <w:pPr>
              <w:spacing w:after="0"/>
              <w:rPr>
                <w:sz w:val="11"/>
                <w:szCs w:val="11"/>
                <w:color w:val="auto"/>
              </w:rPr>
            </w:pPr>
          </w:p>
        </w:tc>
        <w:tc>
          <w:tcPr>
            <w:tcW w:w="60" w:type="dxa"/>
            <w:vAlign w:val="bottom"/>
            <w:shd w:val="clear" w:color="auto" w:fill="FDFDFC"/>
          </w:tcPr>
          <w:p>
            <w:pPr>
              <w:spacing w:after="0"/>
              <w:rPr>
                <w:sz w:val="11"/>
                <w:szCs w:val="11"/>
                <w:color w:val="auto"/>
              </w:rPr>
            </w:pPr>
          </w:p>
        </w:tc>
        <w:tc>
          <w:tcPr>
            <w:tcW w:w="580" w:type="dxa"/>
            <w:vAlign w:val="bottom"/>
            <w:shd w:val="clear" w:color="auto" w:fill="FDFDFC"/>
          </w:tcPr>
          <w:p>
            <w:pPr>
              <w:spacing w:after="0"/>
              <w:rPr>
                <w:sz w:val="11"/>
                <w:szCs w:val="11"/>
                <w:color w:val="auto"/>
              </w:rPr>
            </w:pPr>
          </w:p>
        </w:tc>
        <w:tc>
          <w:tcPr>
            <w:tcW w:w="0" w:type="dxa"/>
            <w:vAlign w:val="bottom"/>
            <w:shd w:val="clear" w:color="auto" w:fill="FDFDFC"/>
          </w:tcPr>
          <w:p>
            <w:pPr>
              <w:spacing w:after="0"/>
              <w:rPr>
                <w:sz w:val="11"/>
                <w:szCs w:val="11"/>
                <w:color w:val="auto"/>
              </w:rPr>
            </w:pPr>
          </w:p>
        </w:tc>
        <w:tc>
          <w:tcPr>
            <w:tcW w:w="100" w:type="dxa"/>
            <w:vAlign w:val="bottom"/>
            <w:shd w:val="clear" w:color="auto" w:fill="FDFDFC"/>
          </w:tcPr>
          <w:p>
            <w:pPr>
              <w:spacing w:after="0"/>
              <w:rPr>
                <w:sz w:val="11"/>
                <w:szCs w:val="11"/>
                <w:color w:val="auto"/>
              </w:rPr>
            </w:pPr>
          </w:p>
        </w:tc>
        <w:tc>
          <w:tcPr>
            <w:tcW w:w="20" w:type="dxa"/>
            <w:vAlign w:val="bottom"/>
            <w:shd w:val="clear" w:color="auto" w:fill="FDFDFC"/>
          </w:tcPr>
          <w:p>
            <w:pPr>
              <w:spacing w:after="0"/>
              <w:rPr>
                <w:sz w:val="11"/>
                <w:szCs w:val="11"/>
                <w:color w:val="auto"/>
              </w:rPr>
            </w:pPr>
          </w:p>
        </w:tc>
        <w:tc>
          <w:tcPr>
            <w:tcW w:w="60" w:type="dxa"/>
            <w:vAlign w:val="bottom"/>
            <w:shd w:val="clear" w:color="auto" w:fill="FDFDFC"/>
          </w:tcPr>
          <w:p>
            <w:pPr>
              <w:spacing w:after="0"/>
              <w:rPr>
                <w:sz w:val="11"/>
                <w:szCs w:val="11"/>
                <w:color w:val="auto"/>
              </w:rPr>
            </w:pPr>
          </w:p>
        </w:tc>
        <w:tc>
          <w:tcPr>
            <w:tcW w:w="580" w:type="dxa"/>
            <w:vAlign w:val="bottom"/>
            <w:shd w:val="clear" w:color="auto" w:fill="FDFDFC"/>
          </w:tcPr>
          <w:p>
            <w:pPr>
              <w:spacing w:after="0"/>
              <w:rPr>
                <w:sz w:val="11"/>
                <w:szCs w:val="11"/>
                <w:color w:val="auto"/>
              </w:rPr>
            </w:pPr>
          </w:p>
        </w:tc>
        <w:tc>
          <w:tcPr>
            <w:tcW w:w="20" w:type="dxa"/>
            <w:vAlign w:val="bottom"/>
            <w:shd w:val="clear" w:color="auto" w:fill="FDFDFC"/>
          </w:tcPr>
          <w:p>
            <w:pPr>
              <w:spacing w:after="0"/>
              <w:rPr>
                <w:sz w:val="11"/>
                <w:szCs w:val="11"/>
                <w:color w:val="auto"/>
              </w:rPr>
            </w:pPr>
          </w:p>
        </w:tc>
        <w:tc>
          <w:tcPr>
            <w:tcW w:w="20" w:type="dxa"/>
            <w:vAlign w:val="bottom"/>
            <w:shd w:val="clear" w:color="auto" w:fill="FDFDFC"/>
          </w:tcPr>
          <w:p>
            <w:pPr>
              <w:spacing w:after="0"/>
              <w:rPr>
                <w:sz w:val="11"/>
                <w:szCs w:val="11"/>
                <w:color w:val="auto"/>
              </w:rPr>
            </w:pPr>
          </w:p>
        </w:tc>
        <w:tc>
          <w:tcPr>
            <w:tcW w:w="60" w:type="dxa"/>
            <w:vAlign w:val="bottom"/>
            <w:shd w:val="clear" w:color="auto" w:fill="FDFDFC"/>
          </w:tcPr>
          <w:p>
            <w:pPr>
              <w:spacing w:after="0"/>
              <w:rPr>
                <w:sz w:val="11"/>
                <w:szCs w:val="11"/>
                <w:color w:val="auto"/>
              </w:rPr>
            </w:pPr>
          </w:p>
        </w:tc>
        <w:tc>
          <w:tcPr>
            <w:tcW w:w="80" w:type="dxa"/>
            <w:vAlign w:val="bottom"/>
            <w:shd w:val="clear" w:color="auto" w:fill="FDFDFC"/>
          </w:tcPr>
          <w:p>
            <w:pPr>
              <w:spacing w:after="0"/>
              <w:rPr>
                <w:sz w:val="11"/>
                <w:szCs w:val="11"/>
                <w:color w:val="auto"/>
              </w:rPr>
            </w:pPr>
          </w:p>
        </w:tc>
        <w:tc>
          <w:tcPr>
            <w:tcW w:w="560" w:type="dxa"/>
            <w:vAlign w:val="bottom"/>
            <w:shd w:val="clear" w:color="auto" w:fill="FDFDFC"/>
          </w:tcPr>
          <w:p>
            <w:pPr>
              <w:spacing w:after="0"/>
              <w:rPr>
                <w:sz w:val="11"/>
                <w:szCs w:val="11"/>
                <w:color w:val="auto"/>
              </w:rPr>
            </w:pPr>
          </w:p>
        </w:tc>
        <w:tc>
          <w:tcPr>
            <w:tcW w:w="0" w:type="dxa"/>
            <w:vAlign w:val="bottom"/>
            <w:shd w:val="clear" w:color="auto" w:fill="FDFDFC"/>
          </w:tcPr>
          <w:p>
            <w:pPr>
              <w:spacing w:after="0"/>
              <w:rPr>
                <w:sz w:val="11"/>
                <w:szCs w:val="11"/>
                <w:color w:val="auto"/>
              </w:rPr>
            </w:pPr>
          </w:p>
        </w:tc>
        <w:tc>
          <w:tcPr>
            <w:tcW w:w="100" w:type="dxa"/>
            <w:vAlign w:val="bottom"/>
            <w:shd w:val="clear" w:color="auto" w:fill="FDFDFC"/>
          </w:tcPr>
          <w:p>
            <w:pPr>
              <w:spacing w:after="0"/>
              <w:rPr>
                <w:sz w:val="11"/>
                <w:szCs w:val="11"/>
                <w:color w:val="auto"/>
              </w:rPr>
            </w:pPr>
          </w:p>
        </w:tc>
        <w:tc>
          <w:tcPr>
            <w:tcW w:w="20" w:type="dxa"/>
            <w:vAlign w:val="bottom"/>
            <w:shd w:val="clear" w:color="auto" w:fill="FDFDFC"/>
          </w:tcPr>
          <w:p>
            <w:pPr>
              <w:spacing w:after="0"/>
              <w:rPr>
                <w:sz w:val="11"/>
                <w:szCs w:val="11"/>
                <w:color w:val="auto"/>
              </w:rPr>
            </w:pPr>
          </w:p>
        </w:tc>
        <w:tc>
          <w:tcPr>
            <w:tcW w:w="60" w:type="dxa"/>
            <w:vAlign w:val="bottom"/>
            <w:shd w:val="clear" w:color="auto" w:fill="FDFDFC"/>
          </w:tcPr>
          <w:p>
            <w:pPr>
              <w:spacing w:after="0"/>
              <w:rPr>
                <w:sz w:val="11"/>
                <w:szCs w:val="11"/>
                <w:color w:val="auto"/>
              </w:rPr>
            </w:pPr>
          </w:p>
        </w:tc>
        <w:tc>
          <w:tcPr>
            <w:tcW w:w="560" w:type="dxa"/>
            <w:vAlign w:val="bottom"/>
            <w:shd w:val="clear" w:color="auto" w:fill="FDFDFC"/>
          </w:tcPr>
          <w:p>
            <w:pPr>
              <w:spacing w:after="0"/>
              <w:rPr>
                <w:sz w:val="11"/>
                <w:szCs w:val="11"/>
                <w:color w:val="auto"/>
              </w:rPr>
            </w:pPr>
          </w:p>
        </w:tc>
        <w:tc>
          <w:tcPr>
            <w:tcW w:w="0" w:type="dxa"/>
            <w:vAlign w:val="bottom"/>
            <w:shd w:val="clear" w:color="auto" w:fill="FDFDFC"/>
          </w:tcPr>
          <w:p>
            <w:pPr>
              <w:spacing w:after="0"/>
              <w:rPr>
                <w:sz w:val="11"/>
                <w:szCs w:val="11"/>
                <w:color w:val="auto"/>
              </w:rPr>
            </w:pPr>
          </w:p>
        </w:tc>
        <w:tc>
          <w:tcPr>
            <w:tcW w:w="100" w:type="dxa"/>
            <w:vAlign w:val="bottom"/>
            <w:shd w:val="clear" w:color="auto" w:fill="FDFDFC"/>
          </w:tcPr>
          <w:p>
            <w:pPr>
              <w:spacing w:after="0"/>
              <w:rPr>
                <w:sz w:val="11"/>
                <w:szCs w:val="11"/>
                <w:color w:val="auto"/>
              </w:rPr>
            </w:pPr>
          </w:p>
        </w:tc>
        <w:tc>
          <w:tcPr>
            <w:tcW w:w="20" w:type="dxa"/>
            <w:vAlign w:val="bottom"/>
            <w:shd w:val="clear" w:color="auto" w:fill="FDFDFC"/>
          </w:tcPr>
          <w:p>
            <w:pPr>
              <w:spacing w:after="0"/>
              <w:rPr>
                <w:sz w:val="11"/>
                <w:szCs w:val="11"/>
                <w:color w:val="auto"/>
              </w:rPr>
            </w:pPr>
          </w:p>
        </w:tc>
        <w:tc>
          <w:tcPr>
            <w:tcW w:w="60" w:type="dxa"/>
            <w:vAlign w:val="bottom"/>
            <w:shd w:val="clear" w:color="auto" w:fill="FDFDFC"/>
          </w:tcPr>
          <w:p>
            <w:pPr>
              <w:spacing w:after="0"/>
              <w:rPr>
                <w:sz w:val="11"/>
                <w:szCs w:val="11"/>
                <w:color w:val="auto"/>
              </w:rPr>
            </w:pPr>
          </w:p>
        </w:tc>
        <w:tc>
          <w:tcPr>
            <w:tcW w:w="560" w:type="dxa"/>
            <w:vAlign w:val="bottom"/>
            <w:shd w:val="clear" w:color="auto" w:fill="FDFDFC"/>
          </w:tcPr>
          <w:p>
            <w:pPr>
              <w:spacing w:after="0"/>
              <w:rPr>
                <w:sz w:val="11"/>
                <w:szCs w:val="11"/>
                <w:color w:val="auto"/>
              </w:rPr>
            </w:pPr>
          </w:p>
        </w:tc>
        <w:tc>
          <w:tcPr>
            <w:tcW w:w="0" w:type="dxa"/>
            <w:vAlign w:val="bottom"/>
            <w:shd w:val="clear" w:color="auto" w:fill="FDFDFC"/>
          </w:tcPr>
          <w:p>
            <w:pPr>
              <w:spacing w:after="0"/>
              <w:rPr>
                <w:sz w:val="11"/>
                <w:szCs w:val="11"/>
                <w:color w:val="auto"/>
              </w:rPr>
            </w:pPr>
          </w:p>
        </w:tc>
        <w:tc>
          <w:tcPr>
            <w:tcW w:w="100" w:type="dxa"/>
            <w:vAlign w:val="bottom"/>
            <w:shd w:val="clear" w:color="auto" w:fill="FDFDFC"/>
          </w:tcPr>
          <w:p>
            <w:pPr>
              <w:spacing w:after="0"/>
              <w:rPr>
                <w:sz w:val="11"/>
                <w:szCs w:val="11"/>
                <w:color w:val="auto"/>
              </w:rPr>
            </w:pPr>
          </w:p>
        </w:tc>
        <w:tc>
          <w:tcPr>
            <w:tcW w:w="20" w:type="dxa"/>
            <w:vAlign w:val="bottom"/>
            <w:shd w:val="clear" w:color="auto" w:fill="FDFDFC"/>
          </w:tcPr>
          <w:p>
            <w:pPr>
              <w:spacing w:after="0"/>
              <w:rPr>
                <w:sz w:val="11"/>
                <w:szCs w:val="11"/>
                <w:color w:val="auto"/>
              </w:rPr>
            </w:pPr>
          </w:p>
        </w:tc>
        <w:tc>
          <w:tcPr>
            <w:tcW w:w="60" w:type="dxa"/>
            <w:vAlign w:val="bottom"/>
            <w:shd w:val="clear" w:color="auto" w:fill="FDFDFC"/>
          </w:tcPr>
          <w:p>
            <w:pPr>
              <w:spacing w:after="0"/>
              <w:rPr>
                <w:sz w:val="11"/>
                <w:szCs w:val="11"/>
                <w:color w:val="auto"/>
              </w:rPr>
            </w:pPr>
          </w:p>
        </w:tc>
        <w:tc>
          <w:tcPr>
            <w:tcW w:w="580" w:type="dxa"/>
            <w:vAlign w:val="bottom"/>
            <w:shd w:val="clear" w:color="auto" w:fill="FDFDFC"/>
          </w:tcPr>
          <w:p>
            <w:pPr>
              <w:spacing w:after="0"/>
              <w:rPr>
                <w:sz w:val="11"/>
                <w:szCs w:val="11"/>
                <w:color w:val="auto"/>
              </w:rPr>
            </w:pPr>
          </w:p>
        </w:tc>
        <w:tc>
          <w:tcPr>
            <w:tcW w:w="0" w:type="dxa"/>
            <w:vAlign w:val="bottom"/>
            <w:shd w:val="clear" w:color="auto" w:fill="FDFDFC"/>
          </w:tcPr>
          <w:p>
            <w:pPr>
              <w:spacing w:after="0"/>
              <w:rPr>
                <w:sz w:val="11"/>
                <w:szCs w:val="11"/>
                <w:color w:val="auto"/>
              </w:rPr>
            </w:pPr>
          </w:p>
        </w:tc>
        <w:tc>
          <w:tcPr>
            <w:tcW w:w="100" w:type="dxa"/>
            <w:vAlign w:val="bottom"/>
            <w:shd w:val="clear" w:color="auto" w:fill="FDFDFC"/>
          </w:tcPr>
          <w:p>
            <w:pPr>
              <w:spacing w:after="0"/>
              <w:rPr>
                <w:sz w:val="11"/>
                <w:szCs w:val="11"/>
                <w:color w:val="auto"/>
              </w:rPr>
            </w:pPr>
          </w:p>
        </w:tc>
        <w:tc>
          <w:tcPr>
            <w:tcW w:w="80" w:type="dxa"/>
            <w:vAlign w:val="bottom"/>
            <w:shd w:val="clear" w:color="auto" w:fill="FDFDFC"/>
          </w:tcPr>
          <w:p>
            <w:pPr>
              <w:spacing w:after="0"/>
              <w:rPr>
                <w:sz w:val="11"/>
                <w:szCs w:val="11"/>
                <w:color w:val="auto"/>
              </w:rPr>
            </w:pPr>
          </w:p>
        </w:tc>
        <w:tc>
          <w:tcPr>
            <w:tcW w:w="560" w:type="dxa"/>
            <w:vAlign w:val="bottom"/>
            <w:shd w:val="clear" w:color="auto" w:fill="FDFDFC"/>
          </w:tcPr>
          <w:p>
            <w:pPr>
              <w:spacing w:after="0"/>
              <w:rPr>
                <w:sz w:val="11"/>
                <w:szCs w:val="11"/>
                <w:color w:val="auto"/>
              </w:rPr>
            </w:pPr>
          </w:p>
        </w:tc>
        <w:tc>
          <w:tcPr>
            <w:tcW w:w="0" w:type="dxa"/>
            <w:vAlign w:val="bottom"/>
            <w:shd w:val="clear" w:color="auto" w:fill="FDFDFC"/>
          </w:tcPr>
          <w:p>
            <w:pPr>
              <w:spacing w:after="0"/>
              <w:rPr>
                <w:sz w:val="11"/>
                <w:szCs w:val="11"/>
                <w:color w:val="auto"/>
              </w:rPr>
            </w:pPr>
          </w:p>
        </w:tc>
        <w:tc>
          <w:tcPr>
            <w:tcW w:w="100" w:type="dxa"/>
            <w:vAlign w:val="bottom"/>
            <w:shd w:val="clear" w:color="auto" w:fill="FDFDFC"/>
          </w:tcPr>
          <w:p>
            <w:pPr>
              <w:spacing w:after="0"/>
              <w:rPr>
                <w:sz w:val="11"/>
                <w:szCs w:val="11"/>
                <w:color w:val="auto"/>
              </w:rPr>
            </w:pPr>
          </w:p>
        </w:tc>
        <w:tc>
          <w:tcPr>
            <w:tcW w:w="20" w:type="dxa"/>
            <w:vAlign w:val="bottom"/>
            <w:shd w:val="clear" w:color="auto" w:fill="FDFDFC"/>
          </w:tcPr>
          <w:p>
            <w:pPr>
              <w:spacing w:after="0"/>
              <w:rPr>
                <w:sz w:val="11"/>
                <w:szCs w:val="11"/>
                <w:color w:val="auto"/>
              </w:rPr>
            </w:pPr>
          </w:p>
        </w:tc>
        <w:tc>
          <w:tcPr>
            <w:tcW w:w="80" w:type="dxa"/>
            <w:vAlign w:val="bottom"/>
            <w:shd w:val="clear" w:color="auto" w:fill="FDFDFC"/>
          </w:tcPr>
          <w:p>
            <w:pPr>
              <w:spacing w:after="0"/>
              <w:rPr>
                <w:sz w:val="11"/>
                <w:szCs w:val="11"/>
                <w:color w:val="auto"/>
              </w:rPr>
            </w:pPr>
          </w:p>
        </w:tc>
        <w:tc>
          <w:tcPr>
            <w:tcW w:w="560" w:type="dxa"/>
            <w:vAlign w:val="bottom"/>
            <w:shd w:val="clear" w:color="auto" w:fill="FDFDFC"/>
          </w:tcPr>
          <w:p>
            <w:pPr>
              <w:spacing w:after="0"/>
              <w:rPr>
                <w:sz w:val="11"/>
                <w:szCs w:val="11"/>
                <w:color w:val="auto"/>
              </w:rPr>
            </w:pPr>
          </w:p>
        </w:tc>
        <w:tc>
          <w:tcPr>
            <w:tcW w:w="20" w:type="dxa"/>
            <w:vAlign w:val="bottom"/>
            <w:shd w:val="clear" w:color="auto" w:fill="FDFDFC"/>
          </w:tcPr>
          <w:p>
            <w:pPr>
              <w:spacing w:after="0"/>
              <w:rPr>
                <w:sz w:val="11"/>
                <w:szCs w:val="11"/>
                <w:color w:val="auto"/>
              </w:rPr>
            </w:pPr>
          </w:p>
        </w:tc>
        <w:tc>
          <w:tcPr>
            <w:tcW w:w="20" w:type="dxa"/>
            <w:vAlign w:val="bottom"/>
            <w:shd w:val="clear" w:color="auto" w:fill="FDFDFC"/>
          </w:tcPr>
          <w:p>
            <w:pPr>
              <w:spacing w:after="0"/>
              <w:rPr>
                <w:sz w:val="11"/>
                <w:szCs w:val="11"/>
                <w:color w:val="auto"/>
              </w:rPr>
            </w:pPr>
          </w:p>
        </w:tc>
        <w:tc>
          <w:tcPr>
            <w:tcW w:w="60" w:type="dxa"/>
            <w:vAlign w:val="bottom"/>
            <w:shd w:val="clear" w:color="auto" w:fill="FDFDFC"/>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720" w:type="dxa"/>
            <w:vAlign w:val="bottom"/>
            <w:gridSpan w:val="4"/>
            <w:shd w:val="clear" w:color="auto" w:fill="FDFDFC"/>
          </w:tcPr>
          <w:p>
            <w:pPr>
              <w:ind w:left="40"/>
              <w:spacing w:after="0"/>
              <w:rPr>
                <w:sz w:val="20"/>
                <w:szCs w:val="20"/>
                <w:color w:val="auto"/>
              </w:rPr>
            </w:pPr>
            <w:r>
              <w:rPr>
                <w:rFonts w:ascii="Times New Roman" w:cs="Times New Roman" w:eastAsia="Times New Roman" w:hAnsi="Times New Roman"/>
                <w:sz w:val="12"/>
                <w:szCs w:val="12"/>
                <w:color w:val="231F20"/>
              </w:rPr>
              <w:t xml:space="preserve">gains </w:t>
            </w:r>
            <w:r>
              <w:rPr>
                <w:rFonts w:ascii="Times New Roman" w:cs="Times New Roman" w:eastAsia="Times New Roman" w:hAnsi="Times New Roman"/>
                <w:sz w:val="7"/>
                <w:szCs w:val="7"/>
                <w:color w:val="231F20"/>
              </w:rPr>
              <w:t>(2)</w:t>
            </w:r>
          </w:p>
        </w:tc>
        <w:tc>
          <w:tcPr>
            <w:tcW w:w="0" w:type="dxa"/>
            <w:vAlign w:val="bottom"/>
            <w:shd w:val="clear" w:color="auto" w:fill="FDFDFC"/>
          </w:tcPr>
          <w:p>
            <w:pPr>
              <w:spacing w:after="0"/>
              <w:rPr>
                <w:sz w:val="13"/>
                <w:szCs w:val="13"/>
                <w:color w:val="auto"/>
              </w:rPr>
            </w:pPr>
          </w:p>
        </w:tc>
        <w:tc>
          <w:tcPr>
            <w:tcW w:w="680" w:type="dxa"/>
            <w:vAlign w:val="bottom"/>
            <w:gridSpan w:val="2"/>
            <w:shd w:val="clear" w:color="auto" w:fill="FDFDFC"/>
          </w:tcPr>
          <w:p>
            <w:pPr>
              <w:jc w:val="right"/>
              <w:ind w:right="120"/>
              <w:spacing w:after="0"/>
              <w:rPr>
                <w:sz w:val="20"/>
                <w:szCs w:val="20"/>
                <w:color w:val="auto"/>
              </w:rPr>
            </w:pPr>
            <w:r>
              <w:rPr>
                <w:rFonts w:ascii="Times New Roman" w:cs="Times New Roman" w:eastAsia="Times New Roman" w:hAnsi="Times New Roman"/>
                <w:sz w:val="12"/>
                <w:szCs w:val="12"/>
                <w:color w:val="231F20"/>
              </w:rPr>
              <w:t>—</w:t>
            </w:r>
          </w:p>
        </w:tc>
        <w:tc>
          <w:tcPr>
            <w:tcW w:w="40" w:type="dxa"/>
            <w:vAlign w:val="bottom"/>
            <w:shd w:val="clear" w:color="auto" w:fill="FDFDFC"/>
          </w:tcPr>
          <w:p>
            <w:pPr>
              <w:spacing w:after="0"/>
              <w:rPr>
                <w:sz w:val="13"/>
                <w:szCs w:val="13"/>
                <w:color w:val="auto"/>
              </w:rPr>
            </w:pPr>
          </w:p>
        </w:tc>
        <w:tc>
          <w:tcPr>
            <w:tcW w:w="60" w:type="dxa"/>
            <w:vAlign w:val="bottom"/>
            <w:shd w:val="clear" w:color="auto" w:fill="FDFDFC"/>
          </w:tcPr>
          <w:p>
            <w:pPr>
              <w:spacing w:after="0"/>
              <w:rPr>
                <w:sz w:val="13"/>
                <w:szCs w:val="13"/>
                <w:color w:val="auto"/>
              </w:rPr>
            </w:pPr>
          </w:p>
        </w:tc>
        <w:tc>
          <w:tcPr>
            <w:tcW w:w="680" w:type="dxa"/>
            <w:vAlign w:val="bottom"/>
            <w:gridSpan w:val="3"/>
            <w:shd w:val="clear" w:color="auto" w:fill="FDFDFC"/>
          </w:tcPr>
          <w:p>
            <w:pPr>
              <w:jc w:val="right"/>
              <w:ind w:right="120"/>
              <w:spacing w:after="0"/>
              <w:rPr>
                <w:sz w:val="20"/>
                <w:szCs w:val="20"/>
                <w:color w:val="auto"/>
              </w:rPr>
            </w:pPr>
            <w:r>
              <w:rPr>
                <w:rFonts w:ascii="Times New Roman" w:cs="Times New Roman" w:eastAsia="Times New Roman" w:hAnsi="Times New Roman"/>
                <w:sz w:val="12"/>
                <w:szCs w:val="12"/>
                <w:color w:val="231F20"/>
              </w:rPr>
              <w:t>—</w:t>
            </w:r>
          </w:p>
        </w:tc>
        <w:tc>
          <w:tcPr>
            <w:tcW w:w="40" w:type="dxa"/>
            <w:vAlign w:val="bottom"/>
            <w:shd w:val="clear" w:color="auto" w:fill="FDFDFC"/>
          </w:tcPr>
          <w:p>
            <w:pPr>
              <w:spacing w:after="0"/>
              <w:rPr>
                <w:sz w:val="13"/>
                <w:szCs w:val="13"/>
                <w:color w:val="auto"/>
              </w:rPr>
            </w:pPr>
          </w:p>
        </w:tc>
        <w:tc>
          <w:tcPr>
            <w:tcW w:w="60" w:type="dxa"/>
            <w:vAlign w:val="bottom"/>
            <w:shd w:val="clear" w:color="auto" w:fill="FDFDFC"/>
          </w:tcPr>
          <w:p>
            <w:pPr>
              <w:spacing w:after="0"/>
              <w:rPr>
                <w:sz w:val="13"/>
                <w:szCs w:val="13"/>
                <w:color w:val="auto"/>
              </w:rPr>
            </w:pPr>
          </w:p>
        </w:tc>
        <w:tc>
          <w:tcPr>
            <w:tcW w:w="580" w:type="dxa"/>
            <w:vAlign w:val="bottom"/>
            <w:gridSpan w:val="2"/>
            <w:shd w:val="clear" w:color="auto" w:fill="FDFDFC"/>
          </w:tcPr>
          <w:p>
            <w:pPr>
              <w:jc w:val="right"/>
              <w:spacing w:after="0"/>
              <w:rPr>
                <w:sz w:val="20"/>
                <w:szCs w:val="20"/>
                <w:color w:val="auto"/>
              </w:rPr>
            </w:pPr>
            <w:r>
              <w:rPr>
                <w:rFonts w:ascii="Times New Roman" w:cs="Times New Roman" w:eastAsia="Times New Roman" w:hAnsi="Times New Roman"/>
                <w:sz w:val="12"/>
                <w:szCs w:val="12"/>
                <w:color w:val="231F20"/>
              </w:rPr>
              <w:t>(0.25)</w:t>
            </w:r>
          </w:p>
        </w:tc>
        <w:tc>
          <w:tcPr>
            <w:tcW w:w="100" w:type="dxa"/>
            <w:vAlign w:val="bottom"/>
            <w:shd w:val="clear" w:color="auto" w:fill="FDFDFC"/>
          </w:tcPr>
          <w:p>
            <w:pPr>
              <w:spacing w:after="0"/>
              <w:rPr>
                <w:sz w:val="13"/>
                <w:szCs w:val="13"/>
                <w:color w:val="auto"/>
              </w:rPr>
            </w:pPr>
          </w:p>
        </w:tc>
        <w:tc>
          <w:tcPr>
            <w:tcW w:w="20" w:type="dxa"/>
            <w:vAlign w:val="bottom"/>
            <w:shd w:val="clear" w:color="auto" w:fill="FDFDFC"/>
          </w:tcPr>
          <w:p>
            <w:pPr>
              <w:spacing w:after="0"/>
              <w:rPr>
                <w:sz w:val="13"/>
                <w:szCs w:val="13"/>
                <w:color w:val="auto"/>
              </w:rPr>
            </w:pPr>
          </w:p>
        </w:tc>
        <w:tc>
          <w:tcPr>
            <w:tcW w:w="60" w:type="dxa"/>
            <w:vAlign w:val="bottom"/>
            <w:shd w:val="clear" w:color="auto" w:fill="FDFDFC"/>
          </w:tcPr>
          <w:p>
            <w:pPr>
              <w:spacing w:after="0"/>
              <w:rPr>
                <w:sz w:val="13"/>
                <w:szCs w:val="13"/>
                <w:color w:val="auto"/>
              </w:rPr>
            </w:pPr>
          </w:p>
        </w:tc>
        <w:tc>
          <w:tcPr>
            <w:tcW w:w="680" w:type="dxa"/>
            <w:vAlign w:val="bottom"/>
            <w:gridSpan w:val="4"/>
            <w:shd w:val="clear" w:color="auto" w:fill="FDFDFC"/>
          </w:tcPr>
          <w:p>
            <w:pPr>
              <w:jc w:val="right"/>
              <w:ind w:right="60"/>
              <w:spacing w:after="0"/>
              <w:rPr>
                <w:sz w:val="20"/>
                <w:szCs w:val="20"/>
                <w:color w:val="auto"/>
              </w:rPr>
            </w:pPr>
            <w:r>
              <w:rPr>
                <w:rFonts w:ascii="Times New Roman" w:cs="Times New Roman" w:eastAsia="Times New Roman" w:hAnsi="Times New Roman"/>
                <w:sz w:val="12"/>
                <w:szCs w:val="12"/>
                <w:color w:val="231F20"/>
              </w:rPr>
              <w:t>(0.79)</w:t>
            </w:r>
          </w:p>
        </w:tc>
        <w:tc>
          <w:tcPr>
            <w:tcW w:w="80" w:type="dxa"/>
            <w:vAlign w:val="bottom"/>
            <w:shd w:val="clear" w:color="auto" w:fill="FDFDFC"/>
          </w:tcPr>
          <w:p>
            <w:pPr>
              <w:spacing w:after="0"/>
              <w:rPr>
                <w:sz w:val="13"/>
                <w:szCs w:val="13"/>
                <w:color w:val="auto"/>
              </w:rPr>
            </w:pPr>
          </w:p>
        </w:tc>
        <w:tc>
          <w:tcPr>
            <w:tcW w:w="660" w:type="dxa"/>
            <w:vAlign w:val="bottom"/>
            <w:gridSpan w:val="3"/>
            <w:shd w:val="clear" w:color="auto" w:fill="FDFDFC"/>
          </w:tcPr>
          <w:p>
            <w:pPr>
              <w:jc w:val="right"/>
              <w:ind w:right="60"/>
              <w:spacing w:after="0"/>
              <w:rPr>
                <w:sz w:val="20"/>
                <w:szCs w:val="20"/>
                <w:color w:val="auto"/>
              </w:rPr>
            </w:pPr>
            <w:r>
              <w:rPr>
                <w:rFonts w:ascii="Times New Roman" w:cs="Times New Roman" w:eastAsia="Times New Roman" w:hAnsi="Times New Roman"/>
                <w:sz w:val="12"/>
                <w:szCs w:val="12"/>
                <w:color w:val="231F20"/>
              </w:rPr>
              <w:t>(0.23)</w:t>
            </w:r>
          </w:p>
        </w:tc>
        <w:tc>
          <w:tcPr>
            <w:tcW w:w="20" w:type="dxa"/>
            <w:vAlign w:val="bottom"/>
            <w:shd w:val="clear" w:color="auto" w:fill="FDFDFC"/>
          </w:tcPr>
          <w:p>
            <w:pPr>
              <w:spacing w:after="0"/>
              <w:rPr>
                <w:sz w:val="13"/>
                <w:szCs w:val="13"/>
                <w:color w:val="auto"/>
              </w:rPr>
            </w:pPr>
          </w:p>
        </w:tc>
        <w:tc>
          <w:tcPr>
            <w:tcW w:w="60" w:type="dxa"/>
            <w:vAlign w:val="bottom"/>
            <w:shd w:val="clear" w:color="auto" w:fill="FDFDFC"/>
          </w:tcPr>
          <w:p>
            <w:pPr>
              <w:spacing w:after="0"/>
              <w:rPr>
                <w:sz w:val="13"/>
                <w:szCs w:val="13"/>
                <w:color w:val="auto"/>
              </w:rPr>
            </w:pPr>
          </w:p>
        </w:tc>
        <w:tc>
          <w:tcPr>
            <w:tcW w:w="660" w:type="dxa"/>
            <w:vAlign w:val="bottom"/>
            <w:gridSpan w:val="3"/>
            <w:shd w:val="clear" w:color="auto" w:fill="FDFDFC"/>
          </w:tcPr>
          <w:p>
            <w:pPr>
              <w:jc w:val="right"/>
              <w:ind w:right="120"/>
              <w:spacing w:after="0"/>
              <w:rPr>
                <w:sz w:val="20"/>
                <w:szCs w:val="20"/>
                <w:color w:val="auto"/>
              </w:rPr>
            </w:pPr>
            <w:r>
              <w:rPr>
                <w:rFonts w:ascii="Times New Roman" w:cs="Times New Roman" w:eastAsia="Times New Roman" w:hAnsi="Times New Roman"/>
                <w:sz w:val="12"/>
                <w:szCs w:val="12"/>
                <w:color w:val="231F20"/>
              </w:rPr>
              <w:t>—</w:t>
            </w:r>
          </w:p>
        </w:tc>
        <w:tc>
          <w:tcPr>
            <w:tcW w:w="20" w:type="dxa"/>
            <w:vAlign w:val="bottom"/>
            <w:shd w:val="clear" w:color="auto" w:fill="FDFDFC"/>
          </w:tcPr>
          <w:p>
            <w:pPr>
              <w:spacing w:after="0"/>
              <w:rPr>
                <w:sz w:val="13"/>
                <w:szCs w:val="13"/>
                <w:color w:val="auto"/>
              </w:rPr>
            </w:pPr>
          </w:p>
        </w:tc>
        <w:tc>
          <w:tcPr>
            <w:tcW w:w="60" w:type="dxa"/>
            <w:vAlign w:val="bottom"/>
            <w:shd w:val="clear" w:color="auto" w:fill="FDFDFC"/>
          </w:tcPr>
          <w:p>
            <w:pPr>
              <w:spacing w:after="0"/>
              <w:rPr>
                <w:sz w:val="13"/>
                <w:szCs w:val="13"/>
                <w:color w:val="auto"/>
              </w:rPr>
            </w:pPr>
          </w:p>
        </w:tc>
        <w:tc>
          <w:tcPr>
            <w:tcW w:w="660" w:type="dxa"/>
            <w:vAlign w:val="bottom"/>
            <w:gridSpan w:val="3"/>
            <w:shd w:val="clear" w:color="auto" w:fill="FDFDFC"/>
          </w:tcPr>
          <w:p>
            <w:pPr>
              <w:jc w:val="right"/>
              <w:ind w:right="60"/>
              <w:spacing w:after="0"/>
              <w:rPr>
                <w:sz w:val="20"/>
                <w:szCs w:val="20"/>
                <w:color w:val="auto"/>
              </w:rPr>
            </w:pPr>
            <w:r>
              <w:rPr>
                <w:rFonts w:ascii="Times New Roman" w:cs="Times New Roman" w:eastAsia="Times New Roman" w:hAnsi="Times New Roman"/>
                <w:sz w:val="12"/>
                <w:szCs w:val="12"/>
                <w:color w:val="231F20"/>
              </w:rPr>
              <w:t>(0.01)</w:t>
            </w:r>
          </w:p>
        </w:tc>
        <w:tc>
          <w:tcPr>
            <w:tcW w:w="20" w:type="dxa"/>
            <w:vAlign w:val="bottom"/>
            <w:shd w:val="clear" w:color="auto" w:fill="FDFDFC"/>
          </w:tcPr>
          <w:p>
            <w:pPr>
              <w:spacing w:after="0"/>
              <w:rPr>
                <w:sz w:val="13"/>
                <w:szCs w:val="13"/>
                <w:color w:val="auto"/>
              </w:rPr>
            </w:pPr>
          </w:p>
        </w:tc>
        <w:tc>
          <w:tcPr>
            <w:tcW w:w="60" w:type="dxa"/>
            <w:vAlign w:val="bottom"/>
            <w:shd w:val="clear" w:color="auto" w:fill="FDFDFC"/>
          </w:tcPr>
          <w:p>
            <w:pPr>
              <w:spacing w:after="0"/>
              <w:rPr>
                <w:sz w:val="13"/>
                <w:szCs w:val="13"/>
                <w:color w:val="auto"/>
              </w:rPr>
            </w:pPr>
          </w:p>
        </w:tc>
        <w:tc>
          <w:tcPr>
            <w:tcW w:w="680" w:type="dxa"/>
            <w:vAlign w:val="bottom"/>
            <w:gridSpan w:val="3"/>
            <w:shd w:val="clear" w:color="auto" w:fill="FDFDFC"/>
          </w:tcPr>
          <w:p>
            <w:pPr>
              <w:jc w:val="right"/>
              <w:ind w:right="60"/>
              <w:spacing w:after="0"/>
              <w:rPr>
                <w:sz w:val="20"/>
                <w:szCs w:val="20"/>
                <w:color w:val="auto"/>
              </w:rPr>
            </w:pPr>
            <w:r>
              <w:rPr>
                <w:rFonts w:ascii="Times New Roman" w:cs="Times New Roman" w:eastAsia="Times New Roman" w:hAnsi="Times New Roman"/>
                <w:sz w:val="12"/>
                <w:szCs w:val="12"/>
                <w:color w:val="231F20"/>
              </w:rPr>
              <w:t>(0.22)</w:t>
            </w:r>
          </w:p>
        </w:tc>
        <w:tc>
          <w:tcPr>
            <w:tcW w:w="80" w:type="dxa"/>
            <w:vAlign w:val="bottom"/>
            <w:shd w:val="clear" w:color="auto" w:fill="FDFDFC"/>
          </w:tcPr>
          <w:p>
            <w:pPr>
              <w:spacing w:after="0"/>
              <w:rPr>
                <w:sz w:val="13"/>
                <w:szCs w:val="13"/>
                <w:color w:val="auto"/>
              </w:rPr>
            </w:pPr>
          </w:p>
        </w:tc>
        <w:tc>
          <w:tcPr>
            <w:tcW w:w="660" w:type="dxa"/>
            <w:vAlign w:val="bottom"/>
            <w:gridSpan w:val="3"/>
            <w:shd w:val="clear" w:color="auto" w:fill="FDFDFC"/>
          </w:tcPr>
          <w:p>
            <w:pPr>
              <w:jc w:val="right"/>
              <w:ind w:right="60"/>
              <w:spacing w:after="0"/>
              <w:rPr>
                <w:sz w:val="20"/>
                <w:szCs w:val="20"/>
                <w:color w:val="auto"/>
              </w:rPr>
            </w:pPr>
            <w:r>
              <w:rPr>
                <w:rFonts w:ascii="Times New Roman" w:cs="Times New Roman" w:eastAsia="Times New Roman" w:hAnsi="Times New Roman"/>
                <w:sz w:val="12"/>
                <w:szCs w:val="12"/>
                <w:color w:val="231F20"/>
              </w:rPr>
              <w:t>(0.17)</w:t>
            </w:r>
          </w:p>
        </w:tc>
        <w:tc>
          <w:tcPr>
            <w:tcW w:w="20" w:type="dxa"/>
            <w:vAlign w:val="bottom"/>
            <w:shd w:val="clear" w:color="auto" w:fill="FDFDFC"/>
          </w:tcPr>
          <w:p>
            <w:pPr>
              <w:spacing w:after="0"/>
              <w:rPr>
                <w:sz w:val="13"/>
                <w:szCs w:val="13"/>
                <w:color w:val="auto"/>
              </w:rPr>
            </w:pPr>
          </w:p>
        </w:tc>
        <w:tc>
          <w:tcPr>
            <w:tcW w:w="80" w:type="dxa"/>
            <w:vAlign w:val="bottom"/>
            <w:shd w:val="clear" w:color="auto" w:fill="FDFDFC"/>
          </w:tcPr>
          <w:p>
            <w:pPr>
              <w:spacing w:after="0"/>
              <w:rPr>
                <w:sz w:val="13"/>
                <w:szCs w:val="13"/>
                <w:color w:val="auto"/>
              </w:rPr>
            </w:pPr>
          </w:p>
        </w:tc>
        <w:tc>
          <w:tcPr>
            <w:tcW w:w="660" w:type="dxa"/>
            <w:vAlign w:val="bottom"/>
            <w:gridSpan w:val="4"/>
            <w:shd w:val="clear" w:color="auto" w:fill="FDFDFC"/>
          </w:tcPr>
          <w:p>
            <w:pPr>
              <w:jc w:val="right"/>
              <w:ind w:right="60"/>
              <w:spacing w:after="0"/>
              <w:rPr>
                <w:sz w:val="20"/>
                <w:szCs w:val="20"/>
                <w:color w:val="auto"/>
              </w:rPr>
            </w:pPr>
            <w:r>
              <w:rPr>
                <w:rFonts w:ascii="Times New Roman" w:cs="Times New Roman" w:eastAsia="Times New Roman" w:hAnsi="Times New Roman"/>
                <w:sz w:val="12"/>
                <w:szCs w:val="12"/>
                <w:color w:val="231F20"/>
              </w:rPr>
              <w:t>(0.41)</w:t>
            </w:r>
          </w:p>
        </w:tc>
        <w:tc>
          <w:tcPr>
            <w:tcW w:w="0" w:type="dxa"/>
            <w:vAlign w:val="bottom"/>
          </w:tcPr>
          <w:p>
            <w:pPr>
              <w:spacing w:after="0"/>
              <w:rPr>
                <w:sz w:val="1"/>
                <w:szCs w:val="1"/>
                <w:color w:val="auto"/>
              </w:rPr>
            </w:pPr>
          </w:p>
        </w:tc>
      </w:tr>
      <w:tr>
        <w:trPr>
          <w:trHeight w:val="131"/>
        </w:trPr>
        <w:tc>
          <w:tcPr>
            <w:tcW w:w="2720" w:type="dxa"/>
            <w:vAlign w:val="bottom"/>
            <w:tcBorders>
              <w:top w:val="single" w:sz="8" w:color="D0EBF2"/>
            </w:tcBorders>
            <w:gridSpan w:val="4"/>
            <w:shd w:val="clear" w:color="auto" w:fill="D0EBF2"/>
          </w:tcPr>
          <w:p>
            <w:pPr>
              <w:spacing w:after="0" w:line="131" w:lineRule="exact"/>
              <w:rPr>
                <w:sz w:val="20"/>
                <w:szCs w:val="20"/>
                <w:color w:val="auto"/>
              </w:rPr>
            </w:pPr>
            <w:r>
              <w:rPr>
                <w:rFonts w:ascii="Times New Roman" w:cs="Times New Roman" w:eastAsia="Times New Roman" w:hAnsi="Times New Roman"/>
                <w:sz w:val="12"/>
                <w:szCs w:val="12"/>
                <w:color w:val="231F20"/>
              </w:rPr>
              <w:t>Total increase/(decrease) in net assets</w:t>
            </w:r>
          </w:p>
        </w:tc>
        <w:tc>
          <w:tcPr>
            <w:tcW w:w="0" w:type="dxa"/>
            <w:vAlign w:val="bottom"/>
            <w:tcBorders>
              <w:top w:val="single" w:sz="8" w:color="231F20"/>
            </w:tcBorders>
            <w:shd w:val="clear" w:color="auto" w:fill="D0EBF2"/>
          </w:tcPr>
          <w:p>
            <w:pPr>
              <w:spacing w:after="0"/>
              <w:rPr>
                <w:sz w:val="11"/>
                <w:szCs w:val="11"/>
                <w:color w:val="auto"/>
              </w:rPr>
            </w:pPr>
          </w:p>
        </w:tc>
        <w:tc>
          <w:tcPr>
            <w:tcW w:w="560" w:type="dxa"/>
            <w:vAlign w:val="bottom"/>
            <w:tcBorders>
              <w:top w:val="single" w:sz="8" w:color="231F20"/>
            </w:tcBorders>
            <w:shd w:val="clear" w:color="auto" w:fill="D0EBF2"/>
          </w:tcPr>
          <w:p>
            <w:pPr>
              <w:jc w:val="right"/>
              <w:spacing w:after="0" w:line="131" w:lineRule="exact"/>
              <w:rPr>
                <w:sz w:val="20"/>
                <w:szCs w:val="20"/>
                <w:color w:val="auto"/>
              </w:rPr>
            </w:pPr>
            <w:r>
              <w:rPr>
                <w:rFonts w:ascii="Times New Roman" w:cs="Times New Roman" w:eastAsia="Times New Roman" w:hAnsi="Times New Roman"/>
                <w:sz w:val="12"/>
                <w:szCs w:val="12"/>
                <w:color w:val="231F20"/>
              </w:rPr>
              <w:t>0.12</w:t>
            </w:r>
          </w:p>
        </w:tc>
        <w:tc>
          <w:tcPr>
            <w:tcW w:w="120" w:type="dxa"/>
            <w:vAlign w:val="bottom"/>
            <w:tcBorders>
              <w:top w:val="single" w:sz="8" w:color="D0EBF2"/>
            </w:tcBorders>
            <w:shd w:val="clear" w:color="auto" w:fill="D0EBF2"/>
          </w:tcPr>
          <w:p>
            <w:pPr>
              <w:spacing w:after="0"/>
              <w:rPr>
                <w:sz w:val="11"/>
                <w:szCs w:val="11"/>
                <w:color w:val="auto"/>
              </w:rPr>
            </w:pPr>
          </w:p>
        </w:tc>
        <w:tc>
          <w:tcPr>
            <w:tcW w:w="40" w:type="dxa"/>
            <w:vAlign w:val="bottom"/>
            <w:tcBorders>
              <w:top w:val="single" w:sz="8" w:color="D0EBF2"/>
            </w:tcBorders>
            <w:shd w:val="clear" w:color="auto" w:fill="D0EBF2"/>
          </w:tcPr>
          <w:p>
            <w:pPr>
              <w:spacing w:after="0"/>
              <w:rPr>
                <w:sz w:val="11"/>
                <w:szCs w:val="11"/>
                <w:color w:val="auto"/>
              </w:rPr>
            </w:pPr>
          </w:p>
        </w:tc>
        <w:tc>
          <w:tcPr>
            <w:tcW w:w="60" w:type="dxa"/>
            <w:vAlign w:val="bottom"/>
            <w:tcBorders>
              <w:top w:val="single" w:sz="8" w:color="231F20"/>
            </w:tcBorders>
            <w:shd w:val="clear" w:color="auto" w:fill="D0EBF2"/>
          </w:tcPr>
          <w:p>
            <w:pPr>
              <w:spacing w:after="0"/>
              <w:rPr>
                <w:sz w:val="11"/>
                <w:szCs w:val="11"/>
                <w:color w:val="auto"/>
              </w:rPr>
            </w:pPr>
          </w:p>
        </w:tc>
        <w:tc>
          <w:tcPr>
            <w:tcW w:w="580" w:type="dxa"/>
            <w:vAlign w:val="bottom"/>
            <w:tcBorders>
              <w:top w:val="single" w:sz="8" w:color="231F20"/>
            </w:tcBorders>
            <w:shd w:val="clear" w:color="auto" w:fill="D0EBF2"/>
          </w:tcPr>
          <w:p>
            <w:pPr>
              <w:jc w:val="right"/>
              <w:spacing w:after="0" w:line="131" w:lineRule="exact"/>
              <w:rPr>
                <w:sz w:val="20"/>
                <w:szCs w:val="20"/>
                <w:color w:val="auto"/>
              </w:rPr>
            </w:pPr>
            <w:r>
              <w:rPr>
                <w:rFonts w:ascii="Times New Roman" w:cs="Times New Roman" w:eastAsia="Times New Roman" w:hAnsi="Times New Roman"/>
                <w:sz w:val="12"/>
                <w:szCs w:val="12"/>
                <w:color w:val="231F20"/>
              </w:rPr>
              <w:t>0.56</w:t>
            </w:r>
          </w:p>
        </w:tc>
        <w:tc>
          <w:tcPr>
            <w:tcW w:w="0" w:type="dxa"/>
            <w:vAlign w:val="bottom"/>
            <w:tcBorders>
              <w:top w:val="single" w:sz="8" w:color="231F20"/>
            </w:tcBorders>
            <w:shd w:val="clear" w:color="auto" w:fill="D0EBF2"/>
          </w:tcPr>
          <w:p>
            <w:pPr>
              <w:spacing w:after="0"/>
              <w:rPr>
                <w:sz w:val="11"/>
                <w:szCs w:val="11"/>
                <w:color w:val="auto"/>
              </w:rPr>
            </w:pPr>
          </w:p>
        </w:tc>
        <w:tc>
          <w:tcPr>
            <w:tcW w:w="100" w:type="dxa"/>
            <w:vAlign w:val="bottom"/>
            <w:tcBorders>
              <w:top w:val="single" w:sz="8" w:color="D0EBF2"/>
            </w:tcBorders>
            <w:shd w:val="clear" w:color="auto" w:fill="D0EBF2"/>
          </w:tcPr>
          <w:p>
            <w:pPr>
              <w:spacing w:after="0"/>
              <w:rPr>
                <w:sz w:val="11"/>
                <w:szCs w:val="11"/>
                <w:color w:val="auto"/>
              </w:rPr>
            </w:pPr>
          </w:p>
        </w:tc>
        <w:tc>
          <w:tcPr>
            <w:tcW w:w="40" w:type="dxa"/>
            <w:vAlign w:val="bottom"/>
            <w:tcBorders>
              <w:top w:val="single" w:sz="8" w:color="D0EBF2"/>
            </w:tcBorders>
            <w:shd w:val="clear" w:color="auto" w:fill="D0EBF2"/>
          </w:tcPr>
          <w:p>
            <w:pPr>
              <w:spacing w:after="0"/>
              <w:rPr>
                <w:sz w:val="11"/>
                <w:szCs w:val="11"/>
                <w:color w:val="auto"/>
              </w:rPr>
            </w:pPr>
          </w:p>
        </w:tc>
        <w:tc>
          <w:tcPr>
            <w:tcW w:w="60" w:type="dxa"/>
            <w:vAlign w:val="bottom"/>
            <w:tcBorders>
              <w:top w:val="single" w:sz="8" w:color="231F20"/>
            </w:tcBorders>
            <w:shd w:val="clear" w:color="auto" w:fill="D0EBF2"/>
          </w:tcPr>
          <w:p>
            <w:pPr>
              <w:spacing w:after="0"/>
              <w:rPr>
                <w:sz w:val="11"/>
                <w:szCs w:val="11"/>
                <w:color w:val="auto"/>
              </w:rPr>
            </w:pPr>
          </w:p>
        </w:tc>
        <w:tc>
          <w:tcPr>
            <w:tcW w:w="580" w:type="dxa"/>
            <w:vAlign w:val="bottom"/>
            <w:tcBorders>
              <w:top w:val="single" w:sz="8" w:color="231F20"/>
            </w:tcBorders>
            <w:gridSpan w:val="2"/>
            <w:shd w:val="clear" w:color="auto" w:fill="D0EBF2"/>
          </w:tcPr>
          <w:p>
            <w:pPr>
              <w:jc w:val="right"/>
              <w:spacing w:after="0" w:line="131" w:lineRule="exact"/>
              <w:rPr>
                <w:sz w:val="20"/>
                <w:szCs w:val="20"/>
                <w:color w:val="auto"/>
              </w:rPr>
            </w:pPr>
            <w:r>
              <w:rPr>
                <w:rFonts w:ascii="Times New Roman" w:cs="Times New Roman" w:eastAsia="Times New Roman" w:hAnsi="Times New Roman"/>
                <w:sz w:val="12"/>
                <w:szCs w:val="12"/>
                <w:color w:val="231F20"/>
              </w:rPr>
              <w:t>(0.36)</w:t>
            </w:r>
          </w:p>
        </w:tc>
        <w:tc>
          <w:tcPr>
            <w:tcW w:w="100" w:type="dxa"/>
            <w:vAlign w:val="bottom"/>
            <w:tcBorders>
              <w:top w:val="single" w:sz="8" w:color="D0EBF2"/>
            </w:tcBorders>
            <w:shd w:val="clear" w:color="auto" w:fill="D0EBF2"/>
          </w:tcPr>
          <w:p>
            <w:pPr>
              <w:spacing w:after="0"/>
              <w:rPr>
                <w:sz w:val="11"/>
                <w:szCs w:val="11"/>
                <w:color w:val="auto"/>
              </w:rPr>
            </w:pPr>
          </w:p>
        </w:tc>
        <w:tc>
          <w:tcPr>
            <w:tcW w:w="20" w:type="dxa"/>
            <w:vAlign w:val="bottom"/>
            <w:tcBorders>
              <w:top w:val="single" w:sz="8" w:color="D0EBF2"/>
            </w:tcBorders>
            <w:shd w:val="clear" w:color="auto" w:fill="D0EBF2"/>
          </w:tcPr>
          <w:p>
            <w:pPr>
              <w:spacing w:after="0"/>
              <w:rPr>
                <w:sz w:val="11"/>
                <w:szCs w:val="11"/>
                <w:color w:val="auto"/>
              </w:rPr>
            </w:pPr>
          </w:p>
        </w:tc>
        <w:tc>
          <w:tcPr>
            <w:tcW w:w="60" w:type="dxa"/>
            <w:vAlign w:val="bottom"/>
            <w:tcBorders>
              <w:top w:val="single" w:sz="8" w:color="231F20"/>
            </w:tcBorders>
            <w:shd w:val="clear" w:color="auto" w:fill="D0EBF2"/>
          </w:tcPr>
          <w:p>
            <w:pPr>
              <w:spacing w:after="0"/>
              <w:rPr>
                <w:sz w:val="11"/>
                <w:szCs w:val="11"/>
                <w:color w:val="auto"/>
              </w:rPr>
            </w:pPr>
          </w:p>
        </w:tc>
        <w:tc>
          <w:tcPr>
            <w:tcW w:w="600" w:type="dxa"/>
            <w:vAlign w:val="bottom"/>
            <w:tcBorders>
              <w:top w:val="single" w:sz="8" w:color="231F20"/>
            </w:tcBorders>
            <w:gridSpan w:val="2"/>
            <w:shd w:val="clear" w:color="auto" w:fill="D0EBF2"/>
          </w:tcPr>
          <w:p>
            <w:pPr>
              <w:jc w:val="right"/>
              <w:ind w:right="20"/>
              <w:spacing w:after="0" w:line="131" w:lineRule="exact"/>
              <w:rPr>
                <w:sz w:val="20"/>
                <w:szCs w:val="20"/>
                <w:color w:val="auto"/>
              </w:rPr>
            </w:pPr>
            <w:r>
              <w:rPr>
                <w:rFonts w:ascii="Times New Roman" w:cs="Times New Roman" w:eastAsia="Times New Roman" w:hAnsi="Times New Roman"/>
                <w:sz w:val="12"/>
                <w:szCs w:val="12"/>
                <w:color w:val="231F20"/>
              </w:rPr>
              <w:t>(0.32)</w:t>
            </w:r>
          </w:p>
        </w:tc>
        <w:tc>
          <w:tcPr>
            <w:tcW w:w="20" w:type="dxa"/>
            <w:vAlign w:val="bottom"/>
            <w:tcBorders>
              <w:top w:val="single" w:sz="8" w:color="D0EBF2"/>
            </w:tcBorders>
            <w:shd w:val="clear" w:color="auto" w:fill="D0EBF2"/>
          </w:tcPr>
          <w:p>
            <w:pPr>
              <w:spacing w:after="0"/>
              <w:rPr>
                <w:sz w:val="11"/>
                <w:szCs w:val="11"/>
                <w:color w:val="auto"/>
              </w:rPr>
            </w:pPr>
          </w:p>
        </w:tc>
        <w:tc>
          <w:tcPr>
            <w:tcW w:w="60" w:type="dxa"/>
            <w:vAlign w:val="bottom"/>
            <w:tcBorders>
              <w:top w:val="single" w:sz="8" w:color="D0EBF2"/>
            </w:tcBorders>
            <w:shd w:val="clear" w:color="auto" w:fill="D0EBF2"/>
          </w:tcPr>
          <w:p>
            <w:pPr>
              <w:spacing w:after="0"/>
              <w:rPr>
                <w:sz w:val="11"/>
                <w:szCs w:val="11"/>
                <w:color w:val="auto"/>
              </w:rPr>
            </w:pPr>
          </w:p>
        </w:tc>
        <w:tc>
          <w:tcPr>
            <w:tcW w:w="80" w:type="dxa"/>
            <w:vAlign w:val="bottom"/>
            <w:tcBorders>
              <w:top w:val="single" w:sz="8" w:color="231F20"/>
            </w:tcBorders>
            <w:shd w:val="clear" w:color="auto" w:fill="D0EBF2"/>
          </w:tcPr>
          <w:p>
            <w:pPr>
              <w:spacing w:after="0"/>
              <w:rPr>
                <w:sz w:val="11"/>
                <w:szCs w:val="11"/>
                <w:color w:val="auto"/>
              </w:rPr>
            </w:pPr>
          </w:p>
        </w:tc>
        <w:tc>
          <w:tcPr>
            <w:tcW w:w="560" w:type="dxa"/>
            <w:vAlign w:val="bottom"/>
            <w:tcBorders>
              <w:top w:val="single" w:sz="8" w:color="231F20"/>
            </w:tcBorders>
            <w:shd w:val="clear" w:color="auto" w:fill="D0EBF2"/>
          </w:tcPr>
          <w:p>
            <w:pPr>
              <w:jc w:val="right"/>
              <w:spacing w:after="0" w:line="131" w:lineRule="exact"/>
              <w:rPr>
                <w:sz w:val="20"/>
                <w:szCs w:val="20"/>
                <w:color w:val="auto"/>
              </w:rPr>
            </w:pPr>
            <w:r>
              <w:rPr>
                <w:rFonts w:ascii="Times New Roman" w:cs="Times New Roman" w:eastAsia="Times New Roman" w:hAnsi="Times New Roman"/>
                <w:sz w:val="12"/>
                <w:szCs w:val="12"/>
                <w:color w:val="231F20"/>
              </w:rPr>
              <w:t>0.33</w:t>
            </w:r>
          </w:p>
        </w:tc>
        <w:tc>
          <w:tcPr>
            <w:tcW w:w="0" w:type="dxa"/>
            <w:vAlign w:val="bottom"/>
            <w:tcBorders>
              <w:top w:val="single" w:sz="8" w:color="231F20"/>
            </w:tcBorders>
            <w:shd w:val="clear" w:color="auto" w:fill="D0EBF2"/>
          </w:tcPr>
          <w:p>
            <w:pPr>
              <w:spacing w:after="0"/>
              <w:rPr>
                <w:sz w:val="11"/>
                <w:szCs w:val="11"/>
                <w:color w:val="auto"/>
              </w:rPr>
            </w:pPr>
          </w:p>
        </w:tc>
        <w:tc>
          <w:tcPr>
            <w:tcW w:w="100" w:type="dxa"/>
            <w:vAlign w:val="bottom"/>
            <w:tcBorders>
              <w:top w:val="single" w:sz="8" w:color="D0EBF2"/>
            </w:tcBorders>
            <w:shd w:val="clear" w:color="auto" w:fill="D0EBF2"/>
          </w:tcPr>
          <w:p>
            <w:pPr>
              <w:spacing w:after="0"/>
              <w:rPr>
                <w:sz w:val="11"/>
                <w:szCs w:val="11"/>
                <w:color w:val="auto"/>
              </w:rPr>
            </w:pPr>
          </w:p>
        </w:tc>
        <w:tc>
          <w:tcPr>
            <w:tcW w:w="20" w:type="dxa"/>
            <w:vAlign w:val="bottom"/>
            <w:tcBorders>
              <w:top w:val="single" w:sz="8" w:color="D0EBF2"/>
            </w:tcBorders>
            <w:shd w:val="clear" w:color="auto" w:fill="D0EBF2"/>
          </w:tcPr>
          <w:p>
            <w:pPr>
              <w:spacing w:after="0"/>
              <w:rPr>
                <w:sz w:val="11"/>
                <w:szCs w:val="11"/>
                <w:color w:val="auto"/>
              </w:rPr>
            </w:pPr>
          </w:p>
        </w:tc>
        <w:tc>
          <w:tcPr>
            <w:tcW w:w="60" w:type="dxa"/>
            <w:vAlign w:val="bottom"/>
            <w:tcBorders>
              <w:top w:val="single" w:sz="8" w:color="231F20"/>
            </w:tcBorders>
            <w:shd w:val="clear" w:color="auto" w:fill="D0EBF2"/>
          </w:tcPr>
          <w:p>
            <w:pPr>
              <w:spacing w:after="0"/>
              <w:rPr>
                <w:sz w:val="11"/>
                <w:szCs w:val="11"/>
                <w:color w:val="auto"/>
              </w:rPr>
            </w:pPr>
          </w:p>
        </w:tc>
        <w:tc>
          <w:tcPr>
            <w:tcW w:w="560" w:type="dxa"/>
            <w:vAlign w:val="bottom"/>
            <w:tcBorders>
              <w:top w:val="single" w:sz="8" w:color="231F20"/>
            </w:tcBorders>
            <w:shd w:val="clear" w:color="auto" w:fill="D0EBF2"/>
          </w:tcPr>
          <w:p>
            <w:pPr>
              <w:jc w:val="right"/>
              <w:spacing w:after="0" w:line="131" w:lineRule="exact"/>
              <w:rPr>
                <w:sz w:val="20"/>
                <w:szCs w:val="20"/>
                <w:color w:val="auto"/>
              </w:rPr>
            </w:pPr>
            <w:r>
              <w:rPr>
                <w:rFonts w:ascii="Times New Roman" w:cs="Times New Roman" w:eastAsia="Times New Roman" w:hAnsi="Times New Roman"/>
                <w:sz w:val="12"/>
                <w:szCs w:val="12"/>
                <w:color w:val="231F20"/>
              </w:rPr>
              <w:t>0.58</w:t>
            </w:r>
          </w:p>
        </w:tc>
        <w:tc>
          <w:tcPr>
            <w:tcW w:w="0" w:type="dxa"/>
            <w:vAlign w:val="bottom"/>
            <w:tcBorders>
              <w:top w:val="single" w:sz="8" w:color="231F20"/>
            </w:tcBorders>
            <w:shd w:val="clear" w:color="auto" w:fill="D0EBF2"/>
          </w:tcPr>
          <w:p>
            <w:pPr>
              <w:spacing w:after="0"/>
              <w:rPr>
                <w:sz w:val="11"/>
                <w:szCs w:val="11"/>
                <w:color w:val="auto"/>
              </w:rPr>
            </w:pPr>
          </w:p>
        </w:tc>
        <w:tc>
          <w:tcPr>
            <w:tcW w:w="100" w:type="dxa"/>
            <w:vAlign w:val="bottom"/>
            <w:tcBorders>
              <w:top w:val="single" w:sz="8" w:color="D0EBF2"/>
            </w:tcBorders>
            <w:shd w:val="clear" w:color="auto" w:fill="D0EBF2"/>
          </w:tcPr>
          <w:p>
            <w:pPr>
              <w:spacing w:after="0"/>
              <w:rPr>
                <w:sz w:val="11"/>
                <w:szCs w:val="11"/>
                <w:color w:val="auto"/>
              </w:rPr>
            </w:pPr>
          </w:p>
        </w:tc>
        <w:tc>
          <w:tcPr>
            <w:tcW w:w="20" w:type="dxa"/>
            <w:vAlign w:val="bottom"/>
            <w:tcBorders>
              <w:top w:val="single" w:sz="8" w:color="D0EBF2"/>
            </w:tcBorders>
            <w:shd w:val="clear" w:color="auto" w:fill="D0EBF2"/>
          </w:tcPr>
          <w:p>
            <w:pPr>
              <w:spacing w:after="0"/>
              <w:rPr>
                <w:sz w:val="11"/>
                <w:szCs w:val="11"/>
                <w:color w:val="auto"/>
              </w:rPr>
            </w:pPr>
          </w:p>
        </w:tc>
        <w:tc>
          <w:tcPr>
            <w:tcW w:w="60" w:type="dxa"/>
            <w:vAlign w:val="bottom"/>
            <w:tcBorders>
              <w:top w:val="single" w:sz="8" w:color="231F20"/>
            </w:tcBorders>
            <w:shd w:val="clear" w:color="auto" w:fill="D0EBF2"/>
          </w:tcPr>
          <w:p>
            <w:pPr>
              <w:spacing w:after="0"/>
              <w:rPr>
                <w:sz w:val="11"/>
                <w:szCs w:val="11"/>
                <w:color w:val="auto"/>
              </w:rPr>
            </w:pPr>
          </w:p>
        </w:tc>
        <w:tc>
          <w:tcPr>
            <w:tcW w:w="560" w:type="dxa"/>
            <w:vAlign w:val="bottom"/>
            <w:tcBorders>
              <w:top w:val="single" w:sz="8" w:color="231F20"/>
            </w:tcBorders>
            <w:shd w:val="clear" w:color="auto" w:fill="D0EBF2"/>
          </w:tcPr>
          <w:p>
            <w:pPr>
              <w:jc w:val="right"/>
              <w:spacing w:after="0" w:line="131" w:lineRule="exact"/>
              <w:rPr>
                <w:sz w:val="20"/>
                <w:szCs w:val="20"/>
                <w:color w:val="auto"/>
              </w:rPr>
            </w:pPr>
            <w:r>
              <w:rPr>
                <w:rFonts w:ascii="Times New Roman" w:cs="Times New Roman" w:eastAsia="Times New Roman" w:hAnsi="Times New Roman"/>
                <w:sz w:val="12"/>
                <w:szCs w:val="12"/>
                <w:color w:val="231F20"/>
              </w:rPr>
              <w:t>0.16</w:t>
            </w:r>
          </w:p>
        </w:tc>
        <w:tc>
          <w:tcPr>
            <w:tcW w:w="0" w:type="dxa"/>
            <w:vAlign w:val="bottom"/>
            <w:tcBorders>
              <w:top w:val="single" w:sz="8" w:color="231F20"/>
            </w:tcBorders>
            <w:shd w:val="clear" w:color="auto" w:fill="D0EBF2"/>
          </w:tcPr>
          <w:p>
            <w:pPr>
              <w:spacing w:after="0"/>
              <w:rPr>
                <w:sz w:val="11"/>
                <w:szCs w:val="11"/>
                <w:color w:val="auto"/>
              </w:rPr>
            </w:pPr>
          </w:p>
        </w:tc>
        <w:tc>
          <w:tcPr>
            <w:tcW w:w="100" w:type="dxa"/>
            <w:vAlign w:val="bottom"/>
            <w:tcBorders>
              <w:top w:val="single" w:sz="8" w:color="D0EBF2"/>
            </w:tcBorders>
            <w:shd w:val="clear" w:color="auto" w:fill="D0EBF2"/>
          </w:tcPr>
          <w:p>
            <w:pPr>
              <w:spacing w:after="0"/>
              <w:rPr>
                <w:sz w:val="11"/>
                <w:szCs w:val="11"/>
                <w:color w:val="auto"/>
              </w:rPr>
            </w:pPr>
          </w:p>
        </w:tc>
        <w:tc>
          <w:tcPr>
            <w:tcW w:w="20" w:type="dxa"/>
            <w:vAlign w:val="bottom"/>
            <w:tcBorders>
              <w:top w:val="single" w:sz="8" w:color="D0EBF2"/>
            </w:tcBorders>
            <w:shd w:val="clear" w:color="auto" w:fill="D0EBF2"/>
          </w:tcPr>
          <w:p>
            <w:pPr>
              <w:spacing w:after="0"/>
              <w:rPr>
                <w:sz w:val="11"/>
                <w:szCs w:val="11"/>
                <w:color w:val="auto"/>
              </w:rPr>
            </w:pPr>
          </w:p>
        </w:tc>
        <w:tc>
          <w:tcPr>
            <w:tcW w:w="60" w:type="dxa"/>
            <w:vAlign w:val="bottom"/>
            <w:tcBorders>
              <w:top w:val="single" w:sz="8" w:color="231F20"/>
            </w:tcBorders>
            <w:shd w:val="clear" w:color="auto" w:fill="D0EBF2"/>
          </w:tcPr>
          <w:p>
            <w:pPr>
              <w:spacing w:after="0"/>
              <w:rPr>
                <w:sz w:val="11"/>
                <w:szCs w:val="11"/>
                <w:color w:val="auto"/>
              </w:rPr>
            </w:pPr>
          </w:p>
        </w:tc>
        <w:tc>
          <w:tcPr>
            <w:tcW w:w="580" w:type="dxa"/>
            <w:vAlign w:val="bottom"/>
            <w:tcBorders>
              <w:top w:val="single" w:sz="8" w:color="231F20"/>
            </w:tcBorders>
            <w:shd w:val="clear" w:color="auto" w:fill="D0EBF2"/>
          </w:tcPr>
          <w:p>
            <w:pPr>
              <w:jc w:val="right"/>
              <w:spacing w:after="0" w:line="131" w:lineRule="exact"/>
              <w:rPr>
                <w:sz w:val="20"/>
                <w:szCs w:val="20"/>
                <w:color w:val="auto"/>
              </w:rPr>
            </w:pPr>
            <w:r>
              <w:rPr>
                <w:rFonts w:ascii="Times New Roman" w:cs="Times New Roman" w:eastAsia="Times New Roman" w:hAnsi="Times New Roman"/>
                <w:sz w:val="12"/>
                <w:szCs w:val="12"/>
                <w:color w:val="231F20"/>
              </w:rPr>
              <w:t>0.14</w:t>
            </w:r>
          </w:p>
        </w:tc>
        <w:tc>
          <w:tcPr>
            <w:tcW w:w="0" w:type="dxa"/>
            <w:vAlign w:val="bottom"/>
            <w:tcBorders>
              <w:top w:val="single" w:sz="8" w:color="231F20"/>
            </w:tcBorders>
            <w:shd w:val="clear" w:color="auto" w:fill="D0EBF2"/>
          </w:tcPr>
          <w:p>
            <w:pPr>
              <w:spacing w:after="0"/>
              <w:rPr>
                <w:sz w:val="11"/>
                <w:szCs w:val="11"/>
                <w:color w:val="auto"/>
              </w:rPr>
            </w:pPr>
          </w:p>
        </w:tc>
        <w:tc>
          <w:tcPr>
            <w:tcW w:w="100" w:type="dxa"/>
            <w:vAlign w:val="bottom"/>
            <w:tcBorders>
              <w:top w:val="single" w:sz="8" w:color="D0EBF2"/>
            </w:tcBorders>
            <w:shd w:val="clear" w:color="auto" w:fill="D0EBF2"/>
          </w:tcPr>
          <w:p>
            <w:pPr>
              <w:spacing w:after="0"/>
              <w:rPr>
                <w:sz w:val="11"/>
                <w:szCs w:val="11"/>
                <w:color w:val="auto"/>
              </w:rPr>
            </w:pPr>
          </w:p>
        </w:tc>
        <w:tc>
          <w:tcPr>
            <w:tcW w:w="80" w:type="dxa"/>
            <w:vAlign w:val="bottom"/>
            <w:tcBorders>
              <w:top w:val="single" w:sz="8" w:color="231F20"/>
            </w:tcBorders>
            <w:shd w:val="clear" w:color="auto" w:fill="D0EBF2"/>
          </w:tcPr>
          <w:p>
            <w:pPr>
              <w:spacing w:after="0"/>
              <w:rPr>
                <w:sz w:val="11"/>
                <w:szCs w:val="11"/>
                <w:color w:val="auto"/>
              </w:rPr>
            </w:pPr>
          </w:p>
        </w:tc>
        <w:tc>
          <w:tcPr>
            <w:tcW w:w="560" w:type="dxa"/>
            <w:vAlign w:val="bottom"/>
            <w:tcBorders>
              <w:top w:val="single" w:sz="8" w:color="231F20"/>
            </w:tcBorders>
            <w:shd w:val="clear" w:color="auto" w:fill="D0EBF2"/>
          </w:tcPr>
          <w:p>
            <w:pPr>
              <w:jc w:val="right"/>
              <w:spacing w:after="0" w:line="131" w:lineRule="exact"/>
              <w:rPr>
                <w:sz w:val="20"/>
                <w:szCs w:val="20"/>
                <w:color w:val="auto"/>
              </w:rPr>
            </w:pPr>
            <w:r>
              <w:rPr>
                <w:rFonts w:ascii="Times New Roman" w:cs="Times New Roman" w:eastAsia="Times New Roman" w:hAnsi="Times New Roman"/>
                <w:sz w:val="12"/>
                <w:szCs w:val="12"/>
                <w:color w:val="231F20"/>
              </w:rPr>
              <w:t>0.81</w:t>
            </w:r>
          </w:p>
        </w:tc>
        <w:tc>
          <w:tcPr>
            <w:tcW w:w="0" w:type="dxa"/>
            <w:vAlign w:val="bottom"/>
            <w:tcBorders>
              <w:top w:val="single" w:sz="8" w:color="231F20"/>
            </w:tcBorders>
            <w:shd w:val="clear" w:color="auto" w:fill="D0EBF2"/>
          </w:tcPr>
          <w:p>
            <w:pPr>
              <w:spacing w:after="0"/>
              <w:rPr>
                <w:sz w:val="11"/>
                <w:szCs w:val="11"/>
                <w:color w:val="auto"/>
              </w:rPr>
            </w:pPr>
          </w:p>
        </w:tc>
        <w:tc>
          <w:tcPr>
            <w:tcW w:w="100" w:type="dxa"/>
            <w:vAlign w:val="bottom"/>
            <w:tcBorders>
              <w:top w:val="single" w:sz="8" w:color="D0EBF2"/>
            </w:tcBorders>
            <w:shd w:val="clear" w:color="auto" w:fill="D0EBF2"/>
          </w:tcPr>
          <w:p>
            <w:pPr>
              <w:spacing w:after="0"/>
              <w:rPr>
                <w:sz w:val="11"/>
                <w:szCs w:val="11"/>
                <w:color w:val="auto"/>
              </w:rPr>
            </w:pPr>
          </w:p>
        </w:tc>
        <w:tc>
          <w:tcPr>
            <w:tcW w:w="20" w:type="dxa"/>
            <w:vAlign w:val="bottom"/>
            <w:tcBorders>
              <w:top w:val="single" w:sz="8" w:color="D0EBF2"/>
            </w:tcBorders>
            <w:shd w:val="clear" w:color="auto" w:fill="D0EBF2"/>
          </w:tcPr>
          <w:p>
            <w:pPr>
              <w:spacing w:after="0"/>
              <w:rPr>
                <w:sz w:val="11"/>
                <w:szCs w:val="11"/>
                <w:color w:val="auto"/>
              </w:rPr>
            </w:pPr>
          </w:p>
        </w:tc>
        <w:tc>
          <w:tcPr>
            <w:tcW w:w="80" w:type="dxa"/>
            <w:vAlign w:val="bottom"/>
            <w:tcBorders>
              <w:top w:val="single" w:sz="8" w:color="231F20"/>
            </w:tcBorders>
            <w:shd w:val="clear" w:color="auto" w:fill="D0EBF2"/>
          </w:tcPr>
          <w:p>
            <w:pPr>
              <w:spacing w:after="0"/>
              <w:rPr>
                <w:sz w:val="11"/>
                <w:szCs w:val="11"/>
                <w:color w:val="auto"/>
              </w:rPr>
            </w:pPr>
          </w:p>
        </w:tc>
        <w:tc>
          <w:tcPr>
            <w:tcW w:w="580" w:type="dxa"/>
            <w:vAlign w:val="bottom"/>
            <w:tcBorders>
              <w:top w:val="single" w:sz="8" w:color="231F20"/>
            </w:tcBorders>
            <w:gridSpan w:val="2"/>
            <w:shd w:val="clear" w:color="auto" w:fill="D0EBF2"/>
          </w:tcPr>
          <w:p>
            <w:pPr>
              <w:jc w:val="right"/>
              <w:ind w:right="20"/>
              <w:spacing w:after="0" w:line="131" w:lineRule="exact"/>
              <w:rPr>
                <w:sz w:val="20"/>
                <w:szCs w:val="20"/>
                <w:color w:val="auto"/>
              </w:rPr>
            </w:pPr>
            <w:r>
              <w:rPr>
                <w:rFonts w:ascii="Times New Roman" w:cs="Times New Roman" w:eastAsia="Times New Roman" w:hAnsi="Times New Roman"/>
                <w:sz w:val="12"/>
                <w:szCs w:val="12"/>
                <w:color w:val="231F20"/>
              </w:rPr>
              <w:t>(0.38)</w:t>
            </w:r>
          </w:p>
        </w:tc>
        <w:tc>
          <w:tcPr>
            <w:tcW w:w="20" w:type="dxa"/>
            <w:vAlign w:val="bottom"/>
            <w:tcBorders>
              <w:top w:val="single" w:sz="8" w:color="D0EBF2"/>
            </w:tcBorders>
            <w:shd w:val="clear" w:color="auto" w:fill="D0EBF2"/>
          </w:tcPr>
          <w:p>
            <w:pPr>
              <w:spacing w:after="0"/>
              <w:rPr>
                <w:sz w:val="11"/>
                <w:szCs w:val="11"/>
                <w:color w:val="auto"/>
              </w:rPr>
            </w:pPr>
          </w:p>
        </w:tc>
        <w:tc>
          <w:tcPr>
            <w:tcW w:w="60" w:type="dxa"/>
            <w:vAlign w:val="bottom"/>
            <w:tcBorders>
              <w:top w:val="single" w:sz="8" w:color="D0EBF2"/>
            </w:tcBorders>
            <w:shd w:val="clear" w:color="auto" w:fill="D0EBF2"/>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700" w:type="dxa"/>
            <w:vAlign w:val="bottom"/>
            <w:tcBorders>
              <w:top w:val="single" w:sz="8" w:color="FDFDFC"/>
            </w:tcBorders>
            <w:gridSpan w:val="3"/>
            <w:shd w:val="clear" w:color="auto" w:fill="FDFDFC"/>
          </w:tcPr>
          <w:p>
            <w:pPr>
              <w:spacing w:after="0" w:line="131" w:lineRule="exact"/>
              <w:rPr>
                <w:sz w:val="20"/>
                <w:szCs w:val="20"/>
                <w:color w:val="auto"/>
              </w:rPr>
            </w:pPr>
            <w:r>
              <w:rPr>
                <w:rFonts w:ascii="Times New Roman" w:cs="Times New Roman" w:eastAsia="Times New Roman" w:hAnsi="Times New Roman"/>
                <w:sz w:val="12"/>
                <w:szCs w:val="12"/>
                <w:b w:val="1"/>
                <w:bCs w:val="1"/>
                <w:color w:val="231F20"/>
              </w:rPr>
              <w:t>Net Asset Value, End of Period</w:t>
            </w:r>
          </w:p>
        </w:tc>
        <w:tc>
          <w:tcPr>
            <w:tcW w:w="20" w:type="dxa"/>
            <w:vAlign w:val="bottom"/>
            <w:tcBorders>
              <w:top w:val="single" w:sz="8" w:color="231F20"/>
            </w:tcBorders>
            <w:shd w:val="clear" w:color="auto" w:fill="FDFDFC"/>
          </w:tcPr>
          <w:p>
            <w:pPr>
              <w:spacing w:after="0"/>
              <w:rPr>
                <w:sz w:val="11"/>
                <w:szCs w:val="11"/>
                <w:color w:val="auto"/>
              </w:rPr>
            </w:pPr>
          </w:p>
        </w:tc>
        <w:tc>
          <w:tcPr>
            <w:tcW w:w="0" w:type="dxa"/>
            <w:vAlign w:val="bottom"/>
            <w:tcBorders>
              <w:top w:val="single" w:sz="8" w:color="231F20"/>
            </w:tcBorders>
            <w:shd w:val="clear" w:color="auto" w:fill="FDFDFC"/>
          </w:tcPr>
          <w:p>
            <w:pPr>
              <w:jc w:val="right"/>
              <w:spacing w:after="0"/>
              <w:rPr>
                <w:sz w:val="20"/>
                <w:szCs w:val="20"/>
                <w:color w:val="auto"/>
              </w:rPr>
            </w:pPr>
            <w:r>
              <w:rPr>
                <w:rFonts w:ascii="Times New Roman" w:cs="Times New Roman" w:eastAsia="Times New Roman" w:hAnsi="Times New Roman"/>
                <w:sz w:val="5"/>
                <w:szCs w:val="5"/>
                <w:color w:val="231F20"/>
                <w:w w:val="78"/>
              </w:rPr>
              <w:t>$</w:t>
            </w:r>
          </w:p>
        </w:tc>
        <w:tc>
          <w:tcPr>
            <w:tcW w:w="560" w:type="dxa"/>
            <w:vAlign w:val="bottom"/>
            <w:tcBorders>
              <w:top w:val="single" w:sz="8" w:color="231F20"/>
            </w:tcBorders>
            <w:shd w:val="clear" w:color="auto" w:fill="FDFDFC"/>
          </w:tcPr>
          <w:p>
            <w:pPr>
              <w:jc w:val="right"/>
              <w:spacing w:after="0" w:line="131" w:lineRule="exact"/>
              <w:rPr>
                <w:sz w:val="20"/>
                <w:szCs w:val="20"/>
                <w:color w:val="auto"/>
              </w:rPr>
            </w:pPr>
            <w:r>
              <w:rPr>
                <w:rFonts w:ascii="Times New Roman" w:cs="Times New Roman" w:eastAsia="Times New Roman" w:hAnsi="Times New Roman"/>
                <w:sz w:val="12"/>
                <w:szCs w:val="12"/>
                <w:color w:val="231F20"/>
              </w:rPr>
              <w:t>17.16</w:t>
            </w:r>
          </w:p>
        </w:tc>
        <w:tc>
          <w:tcPr>
            <w:tcW w:w="120" w:type="dxa"/>
            <w:vAlign w:val="bottom"/>
            <w:tcBorders>
              <w:top w:val="single" w:sz="8" w:color="FDFDFC"/>
            </w:tcBorders>
            <w:shd w:val="clear" w:color="auto" w:fill="FDFDFC"/>
          </w:tcPr>
          <w:p>
            <w:pPr>
              <w:spacing w:after="0"/>
              <w:rPr>
                <w:sz w:val="11"/>
                <w:szCs w:val="11"/>
                <w:color w:val="auto"/>
              </w:rPr>
            </w:pPr>
          </w:p>
        </w:tc>
        <w:tc>
          <w:tcPr>
            <w:tcW w:w="40" w:type="dxa"/>
            <w:vAlign w:val="bottom"/>
            <w:tcBorders>
              <w:top w:val="single" w:sz="8" w:color="FDFDFC"/>
            </w:tcBorders>
            <w:shd w:val="clear" w:color="auto" w:fill="FDFDFC"/>
          </w:tcPr>
          <w:p>
            <w:pPr>
              <w:spacing w:after="0"/>
              <w:rPr>
                <w:sz w:val="11"/>
                <w:szCs w:val="11"/>
                <w:color w:val="auto"/>
              </w:rPr>
            </w:pPr>
          </w:p>
        </w:tc>
        <w:tc>
          <w:tcPr>
            <w:tcW w:w="60" w:type="dxa"/>
            <w:vAlign w:val="bottom"/>
            <w:tcBorders>
              <w:top w:val="single" w:sz="8" w:color="231F20"/>
            </w:tcBorders>
            <w:shd w:val="clear" w:color="auto" w:fill="FDFDFC"/>
          </w:tcPr>
          <w:p>
            <w:pPr>
              <w:jc w:val="right"/>
              <w:spacing w:after="0"/>
              <w:rPr>
                <w:sz w:val="20"/>
                <w:szCs w:val="20"/>
                <w:color w:val="auto"/>
              </w:rPr>
            </w:pPr>
            <w:r>
              <w:rPr>
                <w:rFonts w:ascii="Times New Roman" w:cs="Times New Roman" w:eastAsia="Times New Roman" w:hAnsi="Times New Roman"/>
                <w:sz w:val="11"/>
                <w:szCs w:val="11"/>
                <w:color w:val="231F20"/>
                <w:w w:val="71"/>
              </w:rPr>
              <w:t>$</w:t>
            </w:r>
          </w:p>
        </w:tc>
        <w:tc>
          <w:tcPr>
            <w:tcW w:w="580" w:type="dxa"/>
            <w:vAlign w:val="bottom"/>
            <w:tcBorders>
              <w:top w:val="single" w:sz="8" w:color="231F20"/>
            </w:tcBorders>
            <w:shd w:val="clear" w:color="auto" w:fill="FDFDFC"/>
          </w:tcPr>
          <w:p>
            <w:pPr>
              <w:jc w:val="right"/>
              <w:spacing w:after="0" w:line="131" w:lineRule="exact"/>
              <w:rPr>
                <w:sz w:val="20"/>
                <w:szCs w:val="20"/>
                <w:color w:val="auto"/>
              </w:rPr>
            </w:pPr>
            <w:r>
              <w:rPr>
                <w:rFonts w:ascii="Times New Roman" w:cs="Times New Roman" w:eastAsia="Times New Roman" w:hAnsi="Times New Roman"/>
                <w:sz w:val="12"/>
                <w:szCs w:val="12"/>
                <w:color w:val="231F20"/>
              </w:rPr>
              <w:t>17.04</w:t>
            </w:r>
          </w:p>
        </w:tc>
        <w:tc>
          <w:tcPr>
            <w:tcW w:w="0" w:type="dxa"/>
            <w:vAlign w:val="bottom"/>
            <w:tcBorders>
              <w:top w:val="single" w:sz="8" w:color="FDFDFC"/>
            </w:tcBorders>
            <w:shd w:val="clear" w:color="auto" w:fill="FDFDFC"/>
          </w:tcPr>
          <w:p>
            <w:pPr>
              <w:spacing w:after="0"/>
              <w:rPr>
                <w:sz w:val="11"/>
                <w:szCs w:val="11"/>
                <w:color w:val="auto"/>
              </w:rPr>
            </w:pPr>
          </w:p>
        </w:tc>
        <w:tc>
          <w:tcPr>
            <w:tcW w:w="100" w:type="dxa"/>
            <w:vAlign w:val="bottom"/>
            <w:tcBorders>
              <w:top w:val="single" w:sz="8" w:color="FDFDFC"/>
            </w:tcBorders>
            <w:shd w:val="clear" w:color="auto" w:fill="FDFDFC"/>
          </w:tcPr>
          <w:p>
            <w:pPr>
              <w:spacing w:after="0"/>
              <w:rPr>
                <w:sz w:val="11"/>
                <w:szCs w:val="11"/>
                <w:color w:val="auto"/>
              </w:rPr>
            </w:pPr>
          </w:p>
        </w:tc>
        <w:tc>
          <w:tcPr>
            <w:tcW w:w="40" w:type="dxa"/>
            <w:vAlign w:val="bottom"/>
            <w:tcBorders>
              <w:top w:val="single" w:sz="8" w:color="FDFDFC"/>
            </w:tcBorders>
            <w:shd w:val="clear" w:color="auto" w:fill="FDFDFC"/>
          </w:tcPr>
          <w:p>
            <w:pPr>
              <w:spacing w:after="0"/>
              <w:rPr>
                <w:sz w:val="11"/>
                <w:szCs w:val="11"/>
                <w:color w:val="auto"/>
              </w:rPr>
            </w:pPr>
          </w:p>
        </w:tc>
        <w:tc>
          <w:tcPr>
            <w:tcW w:w="60" w:type="dxa"/>
            <w:vAlign w:val="bottom"/>
            <w:tcBorders>
              <w:top w:val="single" w:sz="8" w:color="231F20"/>
            </w:tcBorders>
            <w:shd w:val="clear" w:color="auto" w:fill="FDFDFC"/>
          </w:tcPr>
          <w:p>
            <w:pPr>
              <w:jc w:val="right"/>
              <w:spacing w:after="0"/>
              <w:rPr>
                <w:sz w:val="20"/>
                <w:szCs w:val="20"/>
                <w:color w:val="auto"/>
              </w:rPr>
            </w:pPr>
            <w:r>
              <w:rPr>
                <w:rFonts w:ascii="Times New Roman" w:cs="Times New Roman" w:eastAsia="Times New Roman" w:hAnsi="Times New Roman"/>
                <w:sz w:val="11"/>
                <w:szCs w:val="11"/>
                <w:color w:val="231F20"/>
                <w:highlight w:val="white"/>
                <w:w w:val="71"/>
              </w:rPr>
              <w:t>$</w:t>
            </w:r>
          </w:p>
        </w:tc>
        <w:tc>
          <w:tcPr>
            <w:tcW w:w="580" w:type="dxa"/>
            <w:vAlign w:val="bottom"/>
            <w:tcBorders>
              <w:top w:val="single" w:sz="8" w:color="231F20"/>
            </w:tcBorders>
            <w:shd w:val="clear" w:color="auto" w:fill="FDFDFC"/>
          </w:tcPr>
          <w:p>
            <w:pPr>
              <w:jc w:val="right"/>
              <w:spacing w:after="0" w:line="131" w:lineRule="exact"/>
              <w:rPr>
                <w:sz w:val="20"/>
                <w:szCs w:val="20"/>
                <w:color w:val="auto"/>
              </w:rPr>
            </w:pPr>
            <w:r>
              <w:rPr>
                <w:rFonts w:ascii="Times New Roman" w:cs="Times New Roman" w:eastAsia="Times New Roman" w:hAnsi="Times New Roman"/>
                <w:sz w:val="12"/>
                <w:szCs w:val="12"/>
                <w:color w:val="231F20"/>
              </w:rPr>
              <w:t>16.48</w:t>
            </w:r>
          </w:p>
        </w:tc>
        <w:tc>
          <w:tcPr>
            <w:tcW w:w="0" w:type="dxa"/>
            <w:vAlign w:val="bottom"/>
            <w:tcBorders>
              <w:top w:val="single" w:sz="8" w:color="FDFDFC"/>
            </w:tcBorders>
            <w:shd w:val="clear" w:color="auto" w:fill="FDFDFC"/>
          </w:tcPr>
          <w:p>
            <w:pPr>
              <w:spacing w:after="0"/>
              <w:rPr>
                <w:sz w:val="11"/>
                <w:szCs w:val="11"/>
                <w:color w:val="auto"/>
              </w:rPr>
            </w:pPr>
          </w:p>
        </w:tc>
        <w:tc>
          <w:tcPr>
            <w:tcW w:w="100" w:type="dxa"/>
            <w:vAlign w:val="bottom"/>
            <w:tcBorders>
              <w:top w:val="single" w:sz="8" w:color="FDFDFC"/>
            </w:tcBorders>
            <w:shd w:val="clear" w:color="auto" w:fill="FDFDFC"/>
          </w:tcPr>
          <w:p>
            <w:pPr>
              <w:spacing w:after="0"/>
              <w:rPr>
                <w:sz w:val="11"/>
                <w:szCs w:val="11"/>
                <w:color w:val="auto"/>
              </w:rPr>
            </w:pPr>
          </w:p>
        </w:tc>
        <w:tc>
          <w:tcPr>
            <w:tcW w:w="20" w:type="dxa"/>
            <w:vAlign w:val="bottom"/>
            <w:tcBorders>
              <w:top w:val="single" w:sz="8" w:color="FDFDFC"/>
            </w:tcBorders>
            <w:shd w:val="clear" w:color="auto" w:fill="FDFDFC"/>
          </w:tcPr>
          <w:p>
            <w:pPr>
              <w:spacing w:after="0"/>
              <w:rPr>
                <w:sz w:val="11"/>
                <w:szCs w:val="11"/>
                <w:color w:val="auto"/>
              </w:rPr>
            </w:pPr>
          </w:p>
        </w:tc>
        <w:tc>
          <w:tcPr>
            <w:tcW w:w="60" w:type="dxa"/>
            <w:vAlign w:val="bottom"/>
            <w:tcBorders>
              <w:top w:val="single" w:sz="8" w:color="231F20"/>
            </w:tcBorders>
            <w:shd w:val="clear" w:color="auto" w:fill="FDFDFC"/>
          </w:tcPr>
          <w:p>
            <w:pPr>
              <w:jc w:val="right"/>
              <w:spacing w:after="0"/>
              <w:rPr>
                <w:sz w:val="20"/>
                <w:szCs w:val="20"/>
                <w:color w:val="auto"/>
              </w:rPr>
            </w:pPr>
            <w:r>
              <w:rPr>
                <w:rFonts w:ascii="Times New Roman" w:cs="Times New Roman" w:eastAsia="Times New Roman" w:hAnsi="Times New Roman"/>
                <w:sz w:val="11"/>
                <w:szCs w:val="11"/>
                <w:color w:val="231F20"/>
                <w:w w:val="71"/>
              </w:rPr>
              <w:t>$</w:t>
            </w:r>
          </w:p>
        </w:tc>
        <w:tc>
          <w:tcPr>
            <w:tcW w:w="580" w:type="dxa"/>
            <w:vAlign w:val="bottom"/>
            <w:tcBorders>
              <w:top w:val="single" w:sz="8" w:color="231F20"/>
            </w:tcBorders>
            <w:shd w:val="clear" w:color="auto" w:fill="FDFDFC"/>
          </w:tcPr>
          <w:p>
            <w:pPr>
              <w:jc w:val="right"/>
              <w:spacing w:after="0" w:line="131" w:lineRule="exact"/>
              <w:rPr>
                <w:sz w:val="20"/>
                <w:szCs w:val="20"/>
                <w:color w:val="auto"/>
              </w:rPr>
            </w:pPr>
            <w:r>
              <w:rPr>
                <w:rFonts w:ascii="Times New Roman" w:cs="Times New Roman" w:eastAsia="Times New Roman" w:hAnsi="Times New Roman"/>
                <w:sz w:val="12"/>
                <w:szCs w:val="12"/>
                <w:color w:val="231F20"/>
              </w:rPr>
              <w:t>16.84</w:t>
            </w:r>
          </w:p>
        </w:tc>
        <w:tc>
          <w:tcPr>
            <w:tcW w:w="20" w:type="dxa"/>
            <w:vAlign w:val="bottom"/>
            <w:tcBorders>
              <w:top w:val="single" w:sz="8" w:color="FDFDFC"/>
            </w:tcBorders>
            <w:shd w:val="clear" w:color="auto" w:fill="FDFDFC"/>
          </w:tcPr>
          <w:p>
            <w:pPr>
              <w:spacing w:after="0"/>
              <w:rPr>
                <w:sz w:val="11"/>
                <w:szCs w:val="11"/>
                <w:color w:val="auto"/>
              </w:rPr>
            </w:pPr>
          </w:p>
        </w:tc>
        <w:tc>
          <w:tcPr>
            <w:tcW w:w="20" w:type="dxa"/>
            <w:vAlign w:val="bottom"/>
            <w:tcBorders>
              <w:top w:val="single" w:sz="8" w:color="FDFDFC"/>
            </w:tcBorders>
            <w:shd w:val="clear" w:color="auto" w:fill="FDFDFC"/>
          </w:tcPr>
          <w:p>
            <w:pPr>
              <w:spacing w:after="0"/>
              <w:rPr>
                <w:sz w:val="11"/>
                <w:szCs w:val="11"/>
                <w:color w:val="auto"/>
              </w:rPr>
            </w:pPr>
          </w:p>
        </w:tc>
        <w:tc>
          <w:tcPr>
            <w:tcW w:w="60" w:type="dxa"/>
            <w:vAlign w:val="bottom"/>
            <w:tcBorders>
              <w:top w:val="single" w:sz="8" w:color="FDFDFC"/>
            </w:tcBorders>
            <w:shd w:val="clear" w:color="auto" w:fill="FDFDFC"/>
          </w:tcPr>
          <w:p>
            <w:pPr>
              <w:spacing w:after="0"/>
              <w:rPr>
                <w:sz w:val="11"/>
                <w:szCs w:val="11"/>
                <w:color w:val="auto"/>
              </w:rPr>
            </w:pPr>
          </w:p>
        </w:tc>
        <w:tc>
          <w:tcPr>
            <w:tcW w:w="80" w:type="dxa"/>
            <w:vAlign w:val="bottom"/>
            <w:tcBorders>
              <w:top w:val="single" w:sz="8" w:color="231F20"/>
            </w:tcBorders>
            <w:shd w:val="clear" w:color="auto" w:fill="FDFDFC"/>
          </w:tcPr>
          <w:p>
            <w:pPr>
              <w:jc w:val="right"/>
              <w:spacing w:after="0" w:line="131" w:lineRule="exact"/>
              <w:rPr>
                <w:sz w:val="20"/>
                <w:szCs w:val="20"/>
                <w:color w:val="auto"/>
              </w:rPr>
            </w:pPr>
            <w:r>
              <w:rPr>
                <w:rFonts w:ascii="Times New Roman" w:cs="Times New Roman" w:eastAsia="Times New Roman" w:hAnsi="Times New Roman"/>
                <w:sz w:val="12"/>
                <w:szCs w:val="12"/>
                <w:color w:val="231F20"/>
                <w:w w:val="99"/>
              </w:rPr>
              <w:t>$</w:t>
            </w:r>
          </w:p>
        </w:tc>
        <w:tc>
          <w:tcPr>
            <w:tcW w:w="560" w:type="dxa"/>
            <w:vAlign w:val="bottom"/>
            <w:tcBorders>
              <w:top w:val="single" w:sz="8" w:color="231F20"/>
            </w:tcBorders>
            <w:shd w:val="clear" w:color="auto" w:fill="FDFDFC"/>
          </w:tcPr>
          <w:p>
            <w:pPr>
              <w:jc w:val="right"/>
              <w:spacing w:after="0" w:line="131" w:lineRule="exact"/>
              <w:rPr>
                <w:sz w:val="20"/>
                <w:szCs w:val="20"/>
                <w:color w:val="auto"/>
              </w:rPr>
            </w:pPr>
            <w:r>
              <w:rPr>
                <w:rFonts w:ascii="Times New Roman" w:cs="Times New Roman" w:eastAsia="Times New Roman" w:hAnsi="Times New Roman"/>
                <w:sz w:val="12"/>
                <w:szCs w:val="12"/>
                <w:color w:val="231F20"/>
              </w:rPr>
              <w:t>17.16</w:t>
            </w:r>
          </w:p>
        </w:tc>
        <w:tc>
          <w:tcPr>
            <w:tcW w:w="0" w:type="dxa"/>
            <w:vAlign w:val="bottom"/>
            <w:tcBorders>
              <w:top w:val="single" w:sz="8" w:color="FDFDFC"/>
            </w:tcBorders>
            <w:shd w:val="clear" w:color="auto" w:fill="FDFDFC"/>
          </w:tcPr>
          <w:p>
            <w:pPr>
              <w:spacing w:after="0"/>
              <w:rPr>
                <w:sz w:val="11"/>
                <w:szCs w:val="11"/>
                <w:color w:val="auto"/>
              </w:rPr>
            </w:pPr>
          </w:p>
        </w:tc>
        <w:tc>
          <w:tcPr>
            <w:tcW w:w="100" w:type="dxa"/>
            <w:vAlign w:val="bottom"/>
            <w:tcBorders>
              <w:top w:val="single" w:sz="8" w:color="FDFDFC"/>
            </w:tcBorders>
            <w:shd w:val="clear" w:color="auto" w:fill="FDFDFC"/>
          </w:tcPr>
          <w:p>
            <w:pPr>
              <w:spacing w:after="0"/>
              <w:rPr>
                <w:sz w:val="11"/>
                <w:szCs w:val="11"/>
                <w:color w:val="auto"/>
              </w:rPr>
            </w:pPr>
          </w:p>
        </w:tc>
        <w:tc>
          <w:tcPr>
            <w:tcW w:w="20" w:type="dxa"/>
            <w:vAlign w:val="bottom"/>
            <w:tcBorders>
              <w:top w:val="single" w:sz="8" w:color="FDFDFC"/>
            </w:tcBorders>
            <w:shd w:val="clear" w:color="auto" w:fill="FDFDFC"/>
          </w:tcPr>
          <w:p>
            <w:pPr>
              <w:spacing w:after="0"/>
              <w:rPr>
                <w:sz w:val="11"/>
                <w:szCs w:val="11"/>
                <w:color w:val="auto"/>
              </w:rPr>
            </w:pPr>
          </w:p>
        </w:tc>
        <w:tc>
          <w:tcPr>
            <w:tcW w:w="60" w:type="dxa"/>
            <w:vAlign w:val="bottom"/>
            <w:tcBorders>
              <w:top w:val="single" w:sz="8" w:color="231F20"/>
            </w:tcBorders>
            <w:shd w:val="clear" w:color="auto" w:fill="FDFDFC"/>
          </w:tcPr>
          <w:p>
            <w:pPr>
              <w:jc w:val="right"/>
              <w:spacing w:after="0"/>
              <w:rPr>
                <w:sz w:val="20"/>
                <w:szCs w:val="20"/>
                <w:color w:val="auto"/>
              </w:rPr>
            </w:pPr>
            <w:r>
              <w:rPr>
                <w:rFonts w:ascii="Times New Roman" w:cs="Times New Roman" w:eastAsia="Times New Roman" w:hAnsi="Times New Roman"/>
                <w:sz w:val="11"/>
                <w:szCs w:val="11"/>
                <w:color w:val="231F20"/>
                <w:w w:val="71"/>
              </w:rPr>
              <w:t>$</w:t>
            </w:r>
          </w:p>
        </w:tc>
        <w:tc>
          <w:tcPr>
            <w:tcW w:w="560" w:type="dxa"/>
            <w:vAlign w:val="bottom"/>
            <w:tcBorders>
              <w:top w:val="single" w:sz="8" w:color="231F20"/>
            </w:tcBorders>
            <w:shd w:val="clear" w:color="auto" w:fill="FDFDFC"/>
          </w:tcPr>
          <w:p>
            <w:pPr>
              <w:jc w:val="right"/>
              <w:spacing w:after="0" w:line="131" w:lineRule="exact"/>
              <w:rPr>
                <w:sz w:val="20"/>
                <w:szCs w:val="20"/>
                <w:color w:val="auto"/>
              </w:rPr>
            </w:pPr>
            <w:r>
              <w:rPr>
                <w:rFonts w:ascii="Times New Roman" w:cs="Times New Roman" w:eastAsia="Times New Roman" w:hAnsi="Times New Roman"/>
                <w:sz w:val="12"/>
                <w:szCs w:val="12"/>
                <w:color w:val="231F20"/>
              </w:rPr>
              <w:t>16.83</w:t>
            </w:r>
          </w:p>
        </w:tc>
        <w:tc>
          <w:tcPr>
            <w:tcW w:w="0" w:type="dxa"/>
            <w:vAlign w:val="bottom"/>
            <w:tcBorders>
              <w:top w:val="single" w:sz="8" w:color="FDFDFC"/>
            </w:tcBorders>
            <w:shd w:val="clear" w:color="auto" w:fill="FDFDFC"/>
          </w:tcPr>
          <w:p>
            <w:pPr>
              <w:spacing w:after="0"/>
              <w:rPr>
                <w:sz w:val="11"/>
                <w:szCs w:val="11"/>
                <w:color w:val="auto"/>
              </w:rPr>
            </w:pPr>
          </w:p>
        </w:tc>
        <w:tc>
          <w:tcPr>
            <w:tcW w:w="100" w:type="dxa"/>
            <w:vAlign w:val="bottom"/>
            <w:tcBorders>
              <w:top w:val="single" w:sz="8" w:color="FDFDFC"/>
            </w:tcBorders>
            <w:shd w:val="clear" w:color="auto" w:fill="FDFDFC"/>
          </w:tcPr>
          <w:p>
            <w:pPr>
              <w:spacing w:after="0"/>
              <w:rPr>
                <w:sz w:val="11"/>
                <w:szCs w:val="11"/>
                <w:color w:val="auto"/>
              </w:rPr>
            </w:pPr>
          </w:p>
        </w:tc>
        <w:tc>
          <w:tcPr>
            <w:tcW w:w="20" w:type="dxa"/>
            <w:vAlign w:val="bottom"/>
            <w:tcBorders>
              <w:top w:val="single" w:sz="8" w:color="FDFDFC"/>
            </w:tcBorders>
            <w:shd w:val="clear" w:color="auto" w:fill="FDFDFC"/>
          </w:tcPr>
          <w:p>
            <w:pPr>
              <w:spacing w:after="0"/>
              <w:rPr>
                <w:sz w:val="11"/>
                <w:szCs w:val="11"/>
                <w:color w:val="auto"/>
              </w:rPr>
            </w:pPr>
          </w:p>
        </w:tc>
        <w:tc>
          <w:tcPr>
            <w:tcW w:w="60" w:type="dxa"/>
            <w:vAlign w:val="bottom"/>
            <w:tcBorders>
              <w:top w:val="single" w:sz="8" w:color="231F20"/>
            </w:tcBorders>
            <w:shd w:val="clear" w:color="auto" w:fill="FDFDFC"/>
          </w:tcPr>
          <w:p>
            <w:pPr>
              <w:jc w:val="right"/>
              <w:spacing w:after="0"/>
              <w:rPr>
                <w:sz w:val="20"/>
                <w:szCs w:val="20"/>
                <w:color w:val="auto"/>
              </w:rPr>
            </w:pPr>
            <w:r>
              <w:rPr>
                <w:rFonts w:ascii="Times New Roman" w:cs="Times New Roman" w:eastAsia="Times New Roman" w:hAnsi="Times New Roman"/>
                <w:sz w:val="11"/>
                <w:szCs w:val="11"/>
                <w:color w:val="231F20"/>
                <w:w w:val="71"/>
              </w:rPr>
              <w:t>$</w:t>
            </w:r>
          </w:p>
        </w:tc>
        <w:tc>
          <w:tcPr>
            <w:tcW w:w="560" w:type="dxa"/>
            <w:vAlign w:val="bottom"/>
            <w:tcBorders>
              <w:top w:val="single" w:sz="8" w:color="231F20"/>
            </w:tcBorders>
            <w:shd w:val="clear" w:color="auto" w:fill="FDFDFC"/>
          </w:tcPr>
          <w:p>
            <w:pPr>
              <w:jc w:val="right"/>
              <w:spacing w:after="0" w:line="131" w:lineRule="exact"/>
              <w:rPr>
                <w:sz w:val="20"/>
                <w:szCs w:val="20"/>
                <w:color w:val="auto"/>
              </w:rPr>
            </w:pPr>
            <w:r>
              <w:rPr>
                <w:rFonts w:ascii="Times New Roman" w:cs="Times New Roman" w:eastAsia="Times New Roman" w:hAnsi="Times New Roman"/>
                <w:sz w:val="12"/>
                <w:szCs w:val="12"/>
                <w:color w:val="231F20"/>
              </w:rPr>
              <w:t>16.25</w:t>
            </w:r>
          </w:p>
        </w:tc>
        <w:tc>
          <w:tcPr>
            <w:tcW w:w="0" w:type="dxa"/>
            <w:vAlign w:val="bottom"/>
            <w:tcBorders>
              <w:top w:val="single" w:sz="8" w:color="FDFDFC"/>
            </w:tcBorders>
            <w:shd w:val="clear" w:color="auto" w:fill="FDFDFC"/>
          </w:tcPr>
          <w:p>
            <w:pPr>
              <w:spacing w:after="0"/>
              <w:rPr>
                <w:sz w:val="11"/>
                <w:szCs w:val="11"/>
                <w:color w:val="auto"/>
              </w:rPr>
            </w:pPr>
          </w:p>
        </w:tc>
        <w:tc>
          <w:tcPr>
            <w:tcW w:w="100" w:type="dxa"/>
            <w:vAlign w:val="bottom"/>
            <w:tcBorders>
              <w:top w:val="single" w:sz="8" w:color="FDFDFC"/>
            </w:tcBorders>
            <w:shd w:val="clear" w:color="auto" w:fill="FDFDFC"/>
          </w:tcPr>
          <w:p>
            <w:pPr>
              <w:spacing w:after="0"/>
              <w:rPr>
                <w:sz w:val="11"/>
                <w:szCs w:val="11"/>
                <w:color w:val="auto"/>
              </w:rPr>
            </w:pPr>
          </w:p>
        </w:tc>
        <w:tc>
          <w:tcPr>
            <w:tcW w:w="20" w:type="dxa"/>
            <w:vAlign w:val="bottom"/>
            <w:tcBorders>
              <w:top w:val="single" w:sz="8" w:color="FDFDFC"/>
            </w:tcBorders>
            <w:shd w:val="clear" w:color="auto" w:fill="FDFDFC"/>
          </w:tcPr>
          <w:p>
            <w:pPr>
              <w:spacing w:after="0"/>
              <w:rPr>
                <w:sz w:val="11"/>
                <w:szCs w:val="11"/>
                <w:color w:val="auto"/>
              </w:rPr>
            </w:pPr>
          </w:p>
        </w:tc>
        <w:tc>
          <w:tcPr>
            <w:tcW w:w="60" w:type="dxa"/>
            <w:vAlign w:val="bottom"/>
            <w:tcBorders>
              <w:top w:val="single" w:sz="8" w:color="231F20"/>
            </w:tcBorders>
            <w:shd w:val="clear" w:color="auto" w:fill="FDFDFC"/>
          </w:tcPr>
          <w:p>
            <w:pPr>
              <w:jc w:val="right"/>
              <w:spacing w:after="0"/>
              <w:rPr>
                <w:sz w:val="20"/>
                <w:szCs w:val="20"/>
                <w:color w:val="auto"/>
              </w:rPr>
            </w:pPr>
            <w:r>
              <w:rPr>
                <w:rFonts w:ascii="Times New Roman" w:cs="Times New Roman" w:eastAsia="Times New Roman" w:hAnsi="Times New Roman"/>
                <w:sz w:val="11"/>
                <w:szCs w:val="11"/>
                <w:color w:val="231F20"/>
                <w:w w:val="71"/>
              </w:rPr>
              <w:t>$</w:t>
            </w:r>
          </w:p>
        </w:tc>
        <w:tc>
          <w:tcPr>
            <w:tcW w:w="580" w:type="dxa"/>
            <w:vAlign w:val="bottom"/>
            <w:tcBorders>
              <w:top w:val="single" w:sz="8" w:color="231F20"/>
            </w:tcBorders>
            <w:shd w:val="clear" w:color="auto" w:fill="FDFDFC"/>
          </w:tcPr>
          <w:p>
            <w:pPr>
              <w:jc w:val="right"/>
              <w:spacing w:after="0" w:line="131" w:lineRule="exact"/>
              <w:rPr>
                <w:sz w:val="20"/>
                <w:szCs w:val="20"/>
                <w:color w:val="auto"/>
              </w:rPr>
            </w:pPr>
            <w:r>
              <w:rPr>
                <w:rFonts w:ascii="Times New Roman" w:cs="Times New Roman" w:eastAsia="Times New Roman" w:hAnsi="Times New Roman"/>
                <w:sz w:val="12"/>
                <w:szCs w:val="12"/>
                <w:color w:val="231F20"/>
              </w:rPr>
              <w:t>16.09</w:t>
            </w:r>
          </w:p>
        </w:tc>
        <w:tc>
          <w:tcPr>
            <w:tcW w:w="0" w:type="dxa"/>
            <w:vAlign w:val="bottom"/>
            <w:tcBorders>
              <w:top w:val="single" w:sz="8" w:color="FDFDFC"/>
            </w:tcBorders>
            <w:shd w:val="clear" w:color="auto" w:fill="FDFDFC"/>
          </w:tcPr>
          <w:p>
            <w:pPr>
              <w:spacing w:after="0"/>
              <w:rPr>
                <w:sz w:val="11"/>
                <w:szCs w:val="11"/>
                <w:color w:val="auto"/>
              </w:rPr>
            </w:pPr>
          </w:p>
        </w:tc>
        <w:tc>
          <w:tcPr>
            <w:tcW w:w="100" w:type="dxa"/>
            <w:vAlign w:val="bottom"/>
            <w:tcBorders>
              <w:top w:val="single" w:sz="8" w:color="FDFDFC"/>
            </w:tcBorders>
            <w:shd w:val="clear" w:color="auto" w:fill="FDFDFC"/>
          </w:tcPr>
          <w:p>
            <w:pPr>
              <w:spacing w:after="0"/>
              <w:rPr>
                <w:sz w:val="11"/>
                <w:szCs w:val="11"/>
                <w:color w:val="auto"/>
              </w:rPr>
            </w:pPr>
          </w:p>
        </w:tc>
        <w:tc>
          <w:tcPr>
            <w:tcW w:w="80" w:type="dxa"/>
            <w:vAlign w:val="bottom"/>
            <w:tcBorders>
              <w:top w:val="single" w:sz="8" w:color="231F20"/>
            </w:tcBorders>
            <w:shd w:val="clear" w:color="auto" w:fill="FDFDFC"/>
          </w:tcPr>
          <w:p>
            <w:pPr>
              <w:jc w:val="right"/>
              <w:spacing w:after="0" w:line="131" w:lineRule="exact"/>
              <w:rPr>
                <w:sz w:val="20"/>
                <w:szCs w:val="20"/>
                <w:color w:val="auto"/>
              </w:rPr>
            </w:pPr>
            <w:r>
              <w:rPr>
                <w:rFonts w:ascii="Times New Roman" w:cs="Times New Roman" w:eastAsia="Times New Roman" w:hAnsi="Times New Roman"/>
                <w:sz w:val="12"/>
                <w:szCs w:val="12"/>
                <w:color w:val="231F20"/>
                <w:w w:val="99"/>
              </w:rPr>
              <w:t>$</w:t>
            </w:r>
          </w:p>
        </w:tc>
        <w:tc>
          <w:tcPr>
            <w:tcW w:w="560" w:type="dxa"/>
            <w:vAlign w:val="bottom"/>
            <w:tcBorders>
              <w:top w:val="single" w:sz="8" w:color="231F20"/>
            </w:tcBorders>
            <w:shd w:val="clear" w:color="auto" w:fill="FDFDFC"/>
          </w:tcPr>
          <w:p>
            <w:pPr>
              <w:jc w:val="right"/>
              <w:spacing w:after="0" w:line="131" w:lineRule="exact"/>
              <w:rPr>
                <w:sz w:val="20"/>
                <w:szCs w:val="20"/>
                <w:color w:val="auto"/>
              </w:rPr>
            </w:pPr>
            <w:r>
              <w:rPr>
                <w:rFonts w:ascii="Times New Roman" w:cs="Times New Roman" w:eastAsia="Times New Roman" w:hAnsi="Times New Roman"/>
                <w:sz w:val="12"/>
                <w:szCs w:val="12"/>
                <w:color w:val="231F20"/>
              </w:rPr>
              <w:t>15.95</w:t>
            </w:r>
          </w:p>
        </w:tc>
        <w:tc>
          <w:tcPr>
            <w:tcW w:w="0" w:type="dxa"/>
            <w:vAlign w:val="bottom"/>
            <w:tcBorders>
              <w:top w:val="single" w:sz="8" w:color="FDFDFC"/>
            </w:tcBorders>
            <w:shd w:val="clear" w:color="auto" w:fill="FDFDFC"/>
          </w:tcPr>
          <w:p>
            <w:pPr>
              <w:spacing w:after="0"/>
              <w:rPr>
                <w:sz w:val="11"/>
                <w:szCs w:val="11"/>
                <w:color w:val="auto"/>
              </w:rPr>
            </w:pPr>
          </w:p>
        </w:tc>
        <w:tc>
          <w:tcPr>
            <w:tcW w:w="100" w:type="dxa"/>
            <w:vAlign w:val="bottom"/>
            <w:tcBorders>
              <w:top w:val="single" w:sz="8" w:color="FDFDFC"/>
            </w:tcBorders>
            <w:shd w:val="clear" w:color="auto" w:fill="FDFDFC"/>
          </w:tcPr>
          <w:p>
            <w:pPr>
              <w:spacing w:after="0"/>
              <w:rPr>
                <w:sz w:val="11"/>
                <w:szCs w:val="11"/>
                <w:color w:val="auto"/>
              </w:rPr>
            </w:pPr>
          </w:p>
        </w:tc>
        <w:tc>
          <w:tcPr>
            <w:tcW w:w="20" w:type="dxa"/>
            <w:vAlign w:val="bottom"/>
            <w:tcBorders>
              <w:top w:val="single" w:sz="8" w:color="FDFDFC"/>
            </w:tcBorders>
            <w:shd w:val="clear" w:color="auto" w:fill="FDFDFC"/>
          </w:tcPr>
          <w:p>
            <w:pPr>
              <w:spacing w:after="0"/>
              <w:rPr>
                <w:sz w:val="11"/>
                <w:szCs w:val="11"/>
                <w:color w:val="auto"/>
              </w:rPr>
            </w:pPr>
          </w:p>
        </w:tc>
        <w:tc>
          <w:tcPr>
            <w:tcW w:w="80" w:type="dxa"/>
            <w:vAlign w:val="bottom"/>
            <w:tcBorders>
              <w:top w:val="single" w:sz="8" w:color="231F20"/>
            </w:tcBorders>
            <w:shd w:val="clear" w:color="auto" w:fill="FDFDFC"/>
          </w:tcPr>
          <w:p>
            <w:pPr>
              <w:jc w:val="right"/>
              <w:spacing w:after="0" w:line="131" w:lineRule="exact"/>
              <w:rPr>
                <w:sz w:val="20"/>
                <w:szCs w:val="20"/>
                <w:color w:val="auto"/>
              </w:rPr>
            </w:pPr>
            <w:r>
              <w:rPr>
                <w:rFonts w:ascii="Times New Roman" w:cs="Times New Roman" w:eastAsia="Times New Roman" w:hAnsi="Times New Roman"/>
                <w:sz w:val="12"/>
                <w:szCs w:val="12"/>
                <w:color w:val="231F20"/>
                <w:w w:val="99"/>
              </w:rPr>
              <w:t>$</w:t>
            </w:r>
          </w:p>
        </w:tc>
        <w:tc>
          <w:tcPr>
            <w:tcW w:w="560" w:type="dxa"/>
            <w:vAlign w:val="bottom"/>
            <w:tcBorders>
              <w:top w:val="single" w:sz="8" w:color="231F20"/>
            </w:tcBorders>
            <w:shd w:val="clear" w:color="auto" w:fill="FDFDFC"/>
          </w:tcPr>
          <w:p>
            <w:pPr>
              <w:jc w:val="right"/>
              <w:spacing w:after="0" w:line="131" w:lineRule="exact"/>
              <w:rPr>
                <w:sz w:val="20"/>
                <w:szCs w:val="20"/>
                <w:color w:val="auto"/>
              </w:rPr>
            </w:pPr>
            <w:r>
              <w:rPr>
                <w:rFonts w:ascii="Times New Roman" w:cs="Times New Roman" w:eastAsia="Times New Roman" w:hAnsi="Times New Roman"/>
                <w:sz w:val="12"/>
                <w:szCs w:val="12"/>
                <w:color w:val="231F20"/>
              </w:rPr>
              <w:t>15.15</w:t>
            </w:r>
          </w:p>
        </w:tc>
        <w:tc>
          <w:tcPr>
            <w:tcW w:w="20" w:type="dxa"/>
            <w:vAlign w:val="bottom"/>
            <w:tcBorders>
              <w:top w:val="single" w:sz="8" w:color="FDFDFC"/>
            </w:tcBorders>
            <w:shd w:val="clear" w:color="auto" w:fill="FDFDFC"/>
          </w:tcPr>
          <w:p>
            <w:pPr>
              <w:spacing w:after="0"/>
              <w:rPr>
                <w:sz w:val="11"/>
                <w:szCs w:val="11"/>
                <w:color w:val="auto"/>
              </w:rPr>
            </w:pPr>
          </w:p>
        </w:tc>
        <w:tc>
          <w:tcPr>
            <w:tcW w:w="20" w:type="dxa"/>
            <w:vAlign w:val="bottom"/>
            <w:tcBorders>
              <w:top w:val="single" w:sz="8" w:color="FDFDFC"/>
            </w:tcBorders>
            <w:shd w:val="clear" w:color="auto" w:fill="FDFDFC"/>
          </w:tcPr>
          <w:p>
            <w:pPr>
              <w:spacing w:after="0"/>
              <w:rPr>
                <w:sz w:val="11"/>
                <w:szCs w:val="11"/>
                <w:color w:val="auto"/>
              </w:rPr>
            </w:pPr>
          </w:p>
        </w:tc>
        <w:tc>
          <w:tcPr>
            <w:tcW w:w="60" w:type="dxa"/>
            <w:vAlign w:val="bottom"/>
            <w:tcBorders>
              <w:top w:val="single" w:sz="8" w:color="FDFDFC"/>
            </w:tcBorders>
            <w:shd w:val="clear" w:color="auto" w:fill="FDFDFC"/>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680" w:type="dxa"/>
            <w:vAlign w:val="bottom"/>
            <w:tcBorders>
              <w:top w:val="single" w:sz="8" w:color="D0EBF2"/>
            </w:tcBorders>
            <w:gridSpan w:val="2"/>
            <w:shd w:val="clear" w:color="auto" w:fill="D0EBF2"/>
          </w:tcPr>
          <w:p>
            <w:pPr>
              <w:spacing w:after="0" w:line="131" w:lineRule="exact"/>
              <w:rPr>
                <w:sz w:val="20"/>
                <w:szCs w:val="20"/>
                <w:color w:val="auto"/>
              </w:rPr>
            </w:pPr>
            <w:r>
              <w:rPr>
                <w:rFonts w:ascii="Times New Roman" w:cs="Times New Roman" w:eastAsia="Times New Roman" w:hAnsi="Times New Roman"/>
                <w:sz w:val="12"/>
                <w:szCs w:val="12"/>
                <w:color w:val="231F20"/>
              </w:rPr>
              <w:t>Per share market value at end of period</w:t>
            </w:r>
          </w:p>
        </w:tc>
        <w:tc>
          <w:tcPr>
            <w:tcW w:w="40" w:type="dxa"/>
            <w:vAlign w:val="bottom"/>
            <w:tcBorders>
              <w:top w:val="single" w:sz="8" w:color="231F20"/>
            </w:tcBorders>
            <w:gridSpan w:val="2"/>
            <w:shd w:val="clear" w:color="auto" w:fill="D0EBF2"/>
          </w:tcPr>
          <w:p>
            <w:pPr>
              <w:spacing w:after="0"/>
              <w:rPr>
                <w:sz w:val="11"/>
                <w:szCs w:val="11"/>
                <w:color w:val="auto"/>
              </w:rPr>
            </w:pPr>
          </w:p>
        </w:tc>
        <w:tc>
          <w:tcPr>
            <w:tcW w:w="0" w:type="dxa"/>
            <w:vAlign w:val="bottom"/>
            <w:tcBorders>
              <w:top w:val="single" w:sz="8" w:color="231F20"/>
            </w:tcBorders>
            <w:shd w:val="clear" w:color="auto" w:fill="D0EBF2"/>
          </w:tcPr>
          <w:p>
            <w:pPr>
              <w:jc w:val="right"/>
              <w:spacing w:after="0"/>
              <w:rPr>
                <w:sz w:val="20"/>
                <w:szCs w:val="20"/>
                <w:color w:val="auto"/>
              </w:rPr>
            </w:pPr>
            <w:r>
              <w:rPr>
                <w:rFonts w:ascii="Times New Roman" w:cs="Times New Roman" w:eastAsia="Times New Roman" w:hAnsi="Times New Roman"/>
                <w:sz w:val="5"/>
                <w:szCs w:val="5"/>
                <w:color w:val="231F20"/>
                <w:w w:val="78"/>
              </w:rPr>
              <w:t>$</w:t>
            </w:r>
          </w:p>
        </w:tc>
        <w:tc>
          <w:tcPr>
            <w:tcW w:w="560" w:type="dxa"/>
            <w:vAlign w:val="bottom"/>
            <w:tcBorders>
              <w:top w:val="single" w:sz="8" w:color="231F20"/>
            </w:tcBorders>
            <w:shd w:val="clear" w:color="auto" w:fill="D0EBF2"/>
          </w:tcPr>
          <w:p>
            <w:pPr>
              <w:jc w:val="right"/>
              <w:spacing w:after="0" w:line="131" w:lineRule="exact"/>
              <w:rPr>
                <w:sz w:val="20"/>
                <w:szCs w:val="20"/>
                <w:color w:val="auto"/>
              </w:rPr>
            </w:pPr>
            <w:r>
              <w:rPr>
                <w:rFonts w:ascii="Times New Roman" w:cs="Times New Roman" w:eastAsia="Times New Roman" w:hAnsi="Times New Roman"/>
                <w:sz w:val="12"/>
                <w:szCs w:val="12"/>
                <w:color w:val="231F20"/>
              </w:rPr>
              <w:t>21.30</w:t>
            </w:r>
          </w:p>
        </w:tc>
        <w:tc>
          <w:tcPr>
            <w:tcW w:w="120" w:type="dxa"/>
            <w:vAlign w:val="bottom"/>
            <w:tcBorders>
              <w:top w:val="single" w:sz="8" w:color="D0EBF2"/>
            </w:tcBorders>
            <w:shd w:val="clear" w:color="auto" w:fill="D0EBF2"/>
          </w:tcPr>
          <w:p>
            <w:pPr>
              <w:spacing w:after="0"/>
              <w:rPr>
                <w:sz w:val="11"/>
                <w:szCs w:val="11"/>
                <w:color w:val="auto"/>
              </w:rPr>
            </w:pPr>
          </w:p>
        </w:tc>
        <w:tc>
          <w:tcPr>
            <w:tcW w:w="40" w:type="dxa"/>
            <w:vAlign w:val="bottom"/>
            <w:tcBorders>
              <w:top w:val="single" w:sz="8" w:color="D0EBF2"/>
            </w:tcBorders>
            <w:shd w:val="clear" w:color="auto" w:fill="D0EBF2"/>
          </w:tcPr>
          <w:p>
            <w:pPr>
              <w:spacing w:after="0"/>
              <w:rPr>
                <w:sz w:val="11"/>
                <w:szCs w:val="11"/>
                <w:color w:val="auto"/>
              </w:rPr>
            </w:pPr>
          </w:p>
        </w:tc>
        <w:tc>
          <w:tcPr>
            <w:tcW w:w="60" w:type="dxa"/>
            <w:vAlign w:val="bottom"/>
            <w:tcBorders>
              <w:top w:val="single" w:sz="8" w:color="231F20"/>
            </w:tcBorders>
            <w:shd w:val="clear" w:color="auto" w:fill="D0EBF2"/>
          </w:tcPr>
          <w:p>
            <w:pPr>
              <w:jc w:val="right"/>
              <w:spacing w:after="0"/>
              <w:rPr>
                <w:sz w:val="20"/>
                <w:szCs w:val="20"/>
                <w:color w:val="auto"/>
              </w:rPr>
            </w:pPr>
            <w:r>
              <w:rPr>
                <w:rFonts w:ascii="Times New Roman" w:cs="Times New Roman" w:eastAsia="Times New Roman" w:hAnsi="Times New Roman"/>
                <w:sz w:val="11"/>
                <w:szCs w:val="11"/>
                <w:color w:val="231F20"/>
                <w:w w:val="71"/>
              </w:rPr>
              <w:t>$</w:t>
            </w:r>
          </w:p>
        </w:tc>
        <w:tc>
          <w:tcPr>
            <w:tcW w:w="580" w:type="dxa"/>
            <w:vAlign w:val="bottom"/>
            <w:tcBorders>
              <w:top w:val="single" w:sz="8" w:color="231F20"/>
            </w:tcBorders>
            <w:shd w:val="clear" w:color="auto" w:fill="D0EBF2"/>
          </w:tcPr>
          <w:p>
            <w:pPr>
              <w:jc w:val="right"/>
              <w:spacing w:after="0" w:line="131" w:lineRule="exact"/>
              <w:rPr>
                <w:sz w:val="20"/>
                <w:szCs w:val="20"/>
                <w:color w:val="auto"/>
              </w:rPr>
            </w:pPr>
            <w:r>
              <w:rPr>
                <w:rFonts w:ascii="Times New Roman" w:cs="Times New Roman" w:eastAsia="Times New Roman" w:hAnsi="Times New Roman"/>
                <w:sz w:val="12"/>
                <w:szCs w:val="12"/>
                <w:color w:val="231F20"/>
              </w:rPr>
              <w:t>21.60</w:t>
            </w:r>
          </w:p>
        </w:tc>
        <w:tc>
          <w:tcPr>
            <w:tcW w:w="0" w:type="dxa"/>
            <w:vAlign w:val="bottom"/>
            <w:shd w:val="clear" w:color="auto" w:fill="D0EBF2"/>
          </w:tcPr>
          <w:p>
            <w:pPr>
              <w:spacing w:after="0"/>
              <w:rPr>
                <w:sz w:val="11"/>
                <w:szCs w:val="11"/>
                <w:color w:val="auto"/>
              </w:rPr>
            </w:pPr>
          </w:p>
        </w:tc>
        <w:tc>
          <w:tcPr>
            <w:tcW w:w="100" w:type="dxa"/>
            <w:vAlign w:val="bottom"/>
            <w:tcBorders>
              <w:top w:val="single" w:sz="8" w:color="D0EBF2"/>
            </w:tcBorders>
            <w:shd w:val="clear" w:color="auto" w:fill="D0EBF2"/>
          </w:tcPr>
          <w:p>
            <w:pPr>
              <w:spacing w:after="0"/>
              <w:rPr>
                <w:sz w:val="11"/>
                <w:szCs w:val="11"/>
                <w:color w:val="auto"/>
              </w:rPr>
            </w:pPr>
          </w:p>
        </w:tc>
        <w:tc>
          <w:tcPr>
            <w:tcW w:w="40" w:type="dxa"/>
            <w:vAlign w:val="bottom"/>
            <w:tcBorders>
              <w:top w:val="single" w:sz="8" w:color="D0EBF2"/>
            </w:tcBorders>
            <w:shd w:val="clear" w:color="auto" w:fill="D0EBF2"/>
          </w:tcPr>
          <w:p>
            <w:pPr>
              <w:spacing w:after="0"/>
              <w:rPr>
                <w:sz w:val="11"/>
                <w:szCs w:val="11"/>
                <w:color w:val="auto"/>
              </w:rPr>
            </w:pPr>
          </w:p>
        </w:tc>
        <w:tc>
          <w:tcPr>
            <w:tcW w:w="60" w:type="dxa"/>
            <w:vAlign w:val="bottom"/>
            <w:tcBorders>
              <w:top w:val="single" w:sz="8" w:color="231F20"/>
            </w:tcBorders>
            <w:shd w:val="clear" w:color="auto" w:fill="D0EBF2"/>
          </w:tcPr>
          <w:p>
            <w:pPr>
              <w:jc w:val="right"/>
              <w:spacing w:after="0"/>
              <w:rPr>
                <w:sz w:val="20"/>
                <w:szCs w:val="20"/>
                <w:color w:val="auto"/>
              </w:rPr>
            </w:pPr>
            <w:r>
              <w:rPr>
                <w:rFonts w:ascii="Times New Roman" w:cs="Times New Roman" w:eastAsia="Times New Roman" w:hAnsi="Times New Roman"/>
                <w:sz w:val="11"/>
                <w:szCs w:val="11"/>
                <w:color w:val="231F20"/>
                <w:w w:val="71"/>
                <w:shd w:val="clear" w:color="auto" w:fill="D0EBF2"/>
              </w:rPr>
              <w:t>$</w:t>
            </w:r>
          </w:p>
        </w:tc>
        <w:tc>
          <w:tcPr>
            <w:tcW w:w="580" w:type="dxa"/>
            <w:vAlign w:val="bottom"/>
            <w:tcBorders>
              <w:top w:val="single" w:sz="8" w:color="231F20"/>
            </w:tcBorders>
            <w:shd w:val="clear" w:color="auto" w:fill="D0EBF2"/>
          </w:tcPr>
          <w:p>
            <w:pPr>
              <w:jc w:val="right"/>
              <w:spacing w:after="0" w:line="131" w:lineRule="exact"/>
              <w:rPr>
                <w:sz w:val="20"/>
                <w:szCs w:val="20"/>
                <w:color w:val="auto"/>
              </w:rPr>
            </w:pPr>
            <w:r>
              <w:rPr>
                <w:rFonts w:ascii="Times New Roman" w:cs="Times New Roman" w:eastAsia="Times New Roman" w:hAnsi="Times New Roman"/>
                <w:sz w:val="12"/>
                <w:szCs w:val="12"/>
                <w:color w:val="231F20"/>
              </w:rPr>
              <w:t>17.80</w:t>
            </w:r>
          </w:p>
        </w:tc>
        <w:tc>
          <w:tcPr>
            <w:tcW w:w="0" w:type="dxa"/>
            <w:vAlign w:val="bottom"/>
            <w:shd w:val="clear" w:color="auto" w:fill="D0EBF2"/>
          </w:tcPr>
          <w:p>
            <w:pPr>
              <w:spacing w:after="0"/>
              <w:rPr>
                <w:sz w:val="11"/>
                <w:szCs w:val="11"/>
                <w:color w:val="auto"/>
              </w:rPr>
            </w:pPr>
          </w:p>
        </w:tc>
        <w:tc>
          <w:tcPr>
            <w:tcW w:w="100" w:type="dxa"/>
            <w:vAlign w:val="bottom"/>
            <w:tcBorders>
              <w:top w:val="single" w:sz="8" w:color="D0EBF2"/>
            </w:tcBorders>
            <w:shd w:val="clear" w:color="auto" w:fill="D0EBF2"/>
          </w:tcPr>
          <w:p>
            <w:pPr>
              <w:spacing w:after="0"/>
              <w:rPr>
                <w:sz w:val="11"/>
                <w:szCs w:val="11"/>
                <w:color w:val="auto"/>
              </w:rPr>
            </w:pPr>
          </w:p>
        </w:tc>
        <w:tc>
          <w:tcPr>
            <w:tcW w:w="20" w:type="dxa"/>
            <w:vAlign w:val="bottom"/>
            <w:tcBorders>
              <w:top w:val="single" w:sz="8" w:color="D0EBF2"/>
            </w:tcBorders>
            <w:shd w:val="clear" w:color="auto" w:fill="D0EBF2"/>
          </w:tcPr>
          <w:p>
            <w:pPr>
              <w:spacing w:after="0"/>
              <w:rPr>
                <w:sz w:val="11"/>
                <w:szCs w:val="11"/>
                <w:color w:val="auto"/>
              </w:rPr>
            </w:pPr>
          </w:p>
        </w:tc>
        <w:tc>
          <w:tcPr>
            <w:tcW w:w="60" w:type="dxa"/>
            <w:vAlign w:val="bottom"/>
            <w:tcBorders>
              <w:top w:val="single" w:sz="8" w:color="231F20"/>
            </w:tcBorders>
            <w:shd w:val="clear" w:color="auto" w:fill="D0EBF2"/>
          </w:tcPr>
          <w:p>
            <w:pPr>
              <w:jc w:val="right"/>
              <w:spacing w:after="0"/>
              <w:rPr>
                <w:sz w:val="20"/>
                <w:szCs w:val="20"/>
                <w:color w:val="auto"/>
              </w:rPr>
            </w:pPr>
            <w:r>
              <w:rPr>
                <w:rFonts w:ascii="Times New Roman" w:cs="Times New Roman" w:eastAsia="Times New Roman" w:hAnsi="Times New Roman"/>
                <w:sz w:val="11"/>
                <w:szCs w:val="11"/>
                <w:color w:val="231F20"/>
                <w:w w:val="71"/>
              </w:rPr>
              <w:t>$</w:t>
            </w:r>
          </w:p>
        </w:tc>
        <w:tc>
          <w:tcPr>
            <w:tcW w:w="580" w:type="dxa"/>
            <w:vAlign w:val="bottom"/>
            <w:tcBorders>
              <w:top w:val="single" w:sz="8" w:color="231F20"/>
            </w:tcBorders>
            <w:shd w:val="clear" w:color="auto" w:fill="D0EBF2"/>
          </w:tcPr>
          <w:p>
            <w:pPr>
              <w:jc w:val="right"/>
              <w:spacing w:after="0" w:line="131" w:lineRule="exact"/>
              <w:rPr>
                <w:sz w:val="20"/>
                <w:szCs w:val="20"/>
                <w:color w:val="auto"/>
              </w:rPr>
            </w:pPr>
            <w:r>
              <w:rPr>
                <w:rFonts w:ascii="Times New Roman" w:cs="Times New Roman" w:eastAsia="Times New Roman" w:hAnsi="Times New Roman"/>
                <w:sz w:val="12"/>
                <w:szCs w:val="12"/>
                <w:color w:val="231F20"/>
              </w:rPr>
              <w:t>23.39</w:t>
            </w:r>
          </w:p>
        </w:tc>
        <w:tc>
          <w:tcPr>
            <w:tcW w:w="20" w:type="dxa"/>
            <w:vAlign w:val="bottom"/>
            <w:shd w:val="clear" w:color="auto" w:fill="D0EBF2"/>
          </w:tcPr>
          <w:p>
            <w:pPr>
              <w:spacing w:after="0"/>
              <w:rPr>
                <w:sz w:val="11"/>
                <w:szCs w:val="11"/>
                <w:color w:val="auto"/>
              </w:rPr>
            </w:pPr>
          </w:p>
        </w:tc>
        <w:tc>
          <w:tcPr>
            <w:tcW w:w="20" w:type="dxa"/>
            <w:vAlign w:val="bottom"/>
            <w:shd w:val="clear" w:color="auto" w:fill="D0EBF2"/>
          </w:tcPr>
          <w:p>
            <w:pPr>
              <w:spacing w:after="0"/>
              <w:rPr>
                <w:sz w:val="11"/>
                <w:szCs w:val="11"/>
                <w:color w:val="auto"/>
              </w:rPr>
            </w:pPr>
          </w:p>
        </w:tc>
        <w:tc>
          <w:tcPr>
            <w:tcW w:w="60" w:type="dxa"/>
            <w:vAlign w:val="bottom"/>
            <w:tcBorders>
              <w:top w:val="single" w:sz="8" w:color="D0EBF2"/>
            </w:tcBorders>
            <w:shd w:val="clear" w:color="auto" w:fill="D0EBF2"/>
          </w:tcPr>
          <w:p>
            <w:pPr>
              <w:spacing w:after="0"/>
              <w:rPr>
                <w:sz w:val="11"/>
                <w:szCs w:val="11"/>
                <w:color w:val="auto"/>
              </w:rPr>
            </w:pPr>
          </w:p>
        </w:tc>
        <w:tc>
          <w:tcPr>
            <w:tcW w:w="80" w:type="dxa"/>
            <w:vAlign w:val="bottom"/>
            <w:tcBorders>
              <w:top w:val="single" w:sz="8" w:color="231F20"/>
            </w:tcBorders>
            <w:shd w:val="clear" w:color="auto" w:fill="D0EBF2"/>
          </w:tcPr>
          <w:p>
            <w:pPr>
              <w:jc w:val="right"/>
              <w:spacing w:after="0" w:line="131" w:lineRule="exact"/>
              <w:rPr>
                <w:sz w:val="20"/>
                <w:szCs w:val="20"/>
                <w:color w:val="auto"/>
              </w:rPr>
            </w:pPr>
            <w:r>
              <w:rPr>
                <w:rFonts w:ascii="Times New Roman" w:cs="Times New Roman" w:eastAsia="Times New Roman" w:hAnsi="Times New Roman"/>
                <w:sz w:val="12"/>
                <w:szCs w:val="12"/>
                <w:color w:val="231F20"/>
                <w:w w:val="99"/>
              </w:rPr>
              <w:t>$</w:t>
            </w:r>
          </w:p>
        </w:tc>
        <w:tc>
          <w:tcPr>
            <w:tcW w:w="560" w:type="dxa"/>
            <w:vAlign w:val="bottom"/>
            <w:tcBorders>
              <w:top w:val="single" w:sz="8" w:color="231F20"/>
            </w:tcBorders>
            <w:shd w:val="clear" w:color="auto" w:fill="D0EBF2"/>
          </w:tcPr>
          <w:p>
            <w:pPr>
              <w:jc w:val="right"/>
              <w:spacing w:after="0" w:line="131" w:lineRule="exact"/>
              <w:rPr>
                <w:sz w:val="20"/>
                <w:szCs w:val="20"/>
                <w:color w:val="auto"/>
              </w:rPr>
            </w:pPr>
            <w:r>
              <w:rPr>
                <w:rFonts w:ascii="Times New Roman" w:cs="Times New Roman" w:eastAsia="Times New Roman" w:hAnsi="Times New Roman"/>
                <w:sz w:val="12"/>
                <w:szCs w:val="12"/>
                <w:color w:val="231F20"/>
              </w:rPr>
              <w:t>20.75</w:t>
            </w:r>
          </w:p>
        </w:tc>
        <w:tc>
          <w:tcPr>
            <w:tcW w:w="0" w:type="dxa"/>
            <w:vAlign w:val="bottom"/>
            <w:shd w:val="clear" w:color="auto" w:fill="D0EBF2"/>
          </w:tcPr>
          <w:p>
            <w:pPr>
              <w:spacing w:after="0"/>
              <w:rPr>
                <w:sz w:val="11"/>
                <w:szCs w:val="11"/>
                <w:color w:val="auto"/>
              </w:rPr>
            </w:pPr>
          </w:p>
        </w:tc>
        <w:tc>
          <w:tcPr>
            <w:tcW w:w="100" w:type="dxa"/>
            <w:vAlign w:val="bottom"/>
            <w:tcBorders>
              <w:top w:val="single" w:sz="8" w:color="D0EBF2"/>
            </w:tcBorders>
            <w:shd w:val="clear" w:color="auto" w:fill="D0EBF2"/>
          </w:tcPr>
          <w:p>
            <w:pPr>
              <w:spacing w:after="0"/>
              <w:rPr>
                <w:sz w:val="11"/>
                <w:szCs w:val="11"/>
                <w:color w:val="auto"/>
              </w:rPr>
            </w:pPr>
          </w:p>
        </w:tc>
        <w:tc>
          <w:tcPr>
            <w:tcW w:w="20" w:type="dxa"/>
            <w:vAlign w:val="bottom"/>
            <w:tcBorders>
              <w:top w:val="single" w:sz="8" w:color="D0EBF2"/>
            </w:tcBorders>
            <w:shd w:val="clear" w:color="auto" w:fill="D0EBF2"/>
          </w:tcPr>
          <w:p>
            <w:pPr>
              <w:spacing w:after="0"/>
              <w:rPr>
                <w:sz w:val="11"/>
                <w:szCs w:val="11"/>
                <w:color w:val="auto"/>
              </w:rPr>
            </w:pPr>
          </w:p>
        </w:tc>
        <w:tc>
          <w:tcPr>
            <w:tcW w:w="60" w:type="dxa"/>
            <w:vAlign w:val="bottom"/>
            <w:tcBorders>
              <w:top w:val="single" w:sz="8" w:color="231F20"/>
            </w:tcBorders>
            <w:shd w:val="clear" w:color="auto" w:fill="D0EBF2"/>
          </w:tcPr>
          <w:p>
            <w:pPr>
              <w:jc w:val="right"/>
              <w:spacing w:after="0"/>
              <w:rPr>
                <w:sz w:val="20"/>
                <w:szCs w:val="20"/>
                <w:color w:val="auto"/>
              </w:rPr>
            </w:pPr>
            <w:r>
              <w:rPr>
                <w:rFonts w:ascii="Times New Roman" w:cs="Times New Roman" w:eastAsia="Times New Roman" w:hAnsi="Times New Roman"/>
                <w:sz w:val="11"/>
                <w:szCs w:val="11"/>
                <w:color w:val="231F20"/>
                <w:w w:val="71"/>
              </w:rPr>
              <w:t>$</w:t>
            </w:r>
          </w:p>
        </w:tc>
        <w:tc>
          <w:tcPr>
            <w:tcW w:w="560" w:type="dxa"/>
            <w:vAlign w:val="bottom"/>
            <w:tcBorders>
              <w:top w:val="single" w:sz="8" w:color="231F20"/>
            </w:tcBorders>
            <w:shd w:val="clear" w:color="auto" w:fill="D0EBF2"/>
          </w:tcPr>
          <w:p>
            <w:pPr>
              <w:jc w:val="right"/>
              <w:spacing w:after="0" w:line="131" w:lineRule="exact"/>
              <w:rPr>
                <w:sz w:val="20"/>
                <w:szCs w:val="20"/>
                <w:color w:val="auto"/>
              </w:rPr>
            </w:pPr>
            <w:r>
              <w:rPr>
                <w:rFonts w:ascii="Times New Roman" w:cs="Times New Roman" w:eastAsia="Times New Roman" w:hAnsi="Times New Roman"/>
                <w:sz w:val="12"/>
                <w:szCs w:val="12"/>
                <w:color w:val="231F20"/>
              </w:rPr>
              <w:t>21.47</w:t>
            </w:r>
          </w:p>
        </w:tc>
        <w:tc>
          <w:tcPr>
            <w:tcW w:w="0" w:type="dxa"/>
            <w:vAlign w:val="bottom"/>
            <w:shd w:val="clear" w:color="auto" w:fill="D0EBF2"/>
          </w:tcPr>
          <w:p>
            <w:pPr>
              <w:spacing w:after="0"/>
              <w:rPr>
                <w:sz w:val="11"/>
                <w:szCs w:val="11"/>
                <w:color w:val="auto"/>
              </w:rPr>
            </w:pPr>
          </w:p>
        </w:tc>
        <w:tc>
          <w:tcPr>
            <w:tcW w:w="100" w:type="dxa"/>
            <w:vAlign w:val="bottom"/>
            <w:tcBorders>
              <w:top w:val="single" w:sz="8" w:color="D0EBF2"/>
            </w:tcBorders>
            <w:shd w:val="clear" w:color="auto" w:fill="D0EBF2"/>
          </w:tcPr>
          <w:p>
            <w:pPr>
              <w:spacing w:after="0"/>
              <w:rPr>
                <w:sz w:val="11"/>
                <w:szCs w:val="11"/>
                <w:color w:val="auto"/>
              </w:rPr>
            </w:pPr>
          </w:p>
        </w:tc>
        <w:tc>
          <w:tcPr>
            <w:tcW w:w="20" w:type="dxa"/>
            <w:vAlign w:val="bottom"/>
            <w:tcBorders>
              <w:top w:val="single" w:sz="8" w:color="D0EBF2"/>
            </w:tcBorders>
            <w:shd w:val="clear" w:color="auto" w:fill="D0EBF2"/>
          </w:tcPr>
          <w:p>
            <w:pPr>
              <w:spacing w:after="0"/>
              <w:rPr>
                <w:sz w:val="11"/>
                <w:szCs w:val="11"/>
                <w:color w:val="auto"/>
              </w:rPr>
            </w:pPr>
          </w:p>
        </w:tc>
        <w:tc>
          <w:tcPr>
            <w:tcW w:w="60" w:type="dxa"/>
            <w:vAlign w:val="bottom"/>
            <w:tcBorders>
              <w:top w:val="single" w:sz="8" w:color="231F20"/>
            </w:tcBorders>
            <w:shd w:val="clear" w:color="auto" w:fill="D0EBF2"/>
          </w:tcPr>
          <w:p>
            <w:pPr>
              <w:jc w:val="right"/>
              <w:spacing w:after="0"/>
              <w:rPr>
                <w:sz w:val="20"/>
                <w:szCs w:val="20"/>
                <w:color w:val="auto"/>
              </w:rPr>
            </w:pPr>
            <w:r>
              <w:rPr>
                <w:rFonts w:ascii="Times New Roman" w:cs="Times New Roman" w:eastAsia="Times New Roman" w:hAnsi="Times New Roman"/>
                <w:sz w:val="11"/>
                <w:szCs w:val="11"/>
                <w:color w:val="231F20"/>
                <w:w w:val="71"/>
              </w:rPr>
              <w:t>$</w:t>
            </w:r>
          </w:p>
        </w:tc>
        <w:tc>
          <w:tcPr>
            <w:tcW w:w="560" w:type="dxa"/>
            <w:vAlign w:val="bottom"/>
            <w:tcBorders>
              <w:top w:val="single" w:sz="8" w:color="231F20"/>
            </w:tcBorders>
            <w:shd w:val="clear" w:color="auto" w:fill="D0EBF2"/>
          </w:tcPr>
          <w:p>
            <w:pPr>
              <w:jc w:val="right"/>
              <w:spacing w:after="0" w:line="131" w:lineRule="exact"/>
              <w:rPr>
                <w:sz w:val="20"/>
                <w:szCs w:val="20"/>
                <w:color w:val="auto"/>
              </w:rPr>
            </w:pPr>
            <w:r>
              <w:rPr>
                <w:rFonts w:ascii="Times New Roman" w:cs="Times New Roman" w:eastAsia="Times New Roman" w:hAnsi="Times New Roman"/>
                <w:sz w:val="12"/>
                <w:szCs w:val="12"/>
                <w:color w:val="231F20"/>
              </w:rPr>
              <w:t>18.09</w:t>
            </w:r>
          </w:p>
        </w:tc>
        <w:tc>
          <w:tcPr>
            <w:tcW w:w="0" w:type="dxa"/>
            <w:vAlign w:val="bottom"/>
            <w:shd w:val="clear" w:color="auto" w:fill="D0EBF2"/>
          </w:tcPr>
          <w:p>
            <w:pPr>
              <w:spacing w:after="0"/>
              <w:rPr>
                <w:sz w:val="11"/>
                <w:szCs w:val="11"/>
                <w:color w:val="auto"/>
              </w:rPr>
            </w:pPr>
          </w:p>
        </w:tc>
        <w:tc>
          <w:tcPr>
            <w:tcW w:w="100" w:type="dxa"/>
            <w:vAlign w:val="bottom"/>
            <w:tcBorders>
              <w:top w:val="single" w:sz="8" w:color="D0EBF2"/>
            </w:tcBorders>
            <w:shd w:val="clear" w:color="auto" w:fill="D0EBF2"/>
          </w:tcPr>
          <w:p>
            <w:pPr>
              <w:spacing w:after="0"/>
              <w:rPr>
                <w:sz w:val="11"/>
                <w:szCs w:val="11"/>
                <w:color w:val="auto"/>
              </w:rPr>
            </w:pPr>
          </w:p>
        </w:tc>
        <w:tc>
          <w:tcPr>
            <w:tcW w:w="20" w:type="dxa"/>
            <w:vAlign w:val="bottom"/>
            <w:tcBorders>
              <w:top w:val="single" w:sz="8" w:color="D0EBF2"/>
            </w:tcBorders>
            <w:shd w:val="clear" w:color="auto" w:fill="D0EBF2"/>
          </w:tcPr>
          <w:p>
            <w:pPr>
              <w:spacing w:after="0"/>
              <w:rPr>
                <w:sz w:val="11"/>
                <w:szCs w:val="11"/>
                <w:color w:val="auto"/>
              </w:rPr>
            </w:pPr>
          </w:p>
        </w:tc>
        <w:tc>
          <w:tcPr>
            <w:tcW w:w="60" w:type="dxa"/>
            <w:vAlign w:val="bottom"/>
            <w:tcBorders>
              <w:top w:val="single" w:sz="8" w:color="231F20"/>
            </w:tcBorders>
            <w:shd w:val="clear" w:color="auto" w:fill="D0EBF2"/>
          </w:tcPr>
          <w:p>
            <w:pPr>
              <w:jc w:val="right"/>
              <w:spacing w:after="0"/>
              <w:rPr>
                <w:sz w:val="20"/>
                <w:szCs w:val="20"/>
                <w:color w:val="auto"/>
              </w:rPr>
            </w:pPr>
            <w:r>
              <w:rPr>
                <w:rFonts w:ascii="Times New Roman" w:cs="Times New Roman" w:eastAsia="Times New Roman" w:hAnsi="Times New Roman"/>
                <w:sz w:val="11"/>
                <w:szCs w:val="11"/>
                <w:color w:val="231F20"/>
                <w:w w:val="71"/>
              </w:rPr>
              <w:t>$</w:t>
            </w:r>
          </w:p>
        </w:tc>
        <w:tc>
          <w:tcPr>
            <w:tcW w:w="580" w:type="dxa"/>
            <w:vAlign w:val="bottom"/>
            <w:tcBorders>
              <w:top w:val="single" w:sz="8" w:color="231F20"/>
            </w:tcBorders>
            <w:shd w:val="clear" w:color="auto" w:fill="D0EBF2"/>
          </w:tcPr>
          <w:p>
            <w:pPr>
              <w:jc w:val="right"/>
              <w:spacing w:after="0" w:line="131" w:lineRule="exact"/>
              <w:rPr>
                <w:sz w:val="20"/>
                <w:szCs w:val="20"/>
                <w:color w:val="auto"/>
              </w:rPr>
            </w:pPr>
            <w:r>
              <w:rPr>
                <w:rFonts w:ascii="Times New Roman" w:cs="Times New Roman" w:eastAsia="Times New Roman" w:hAnsi="Times New Roman"/>
                <w:sz w:val="12"/>
                <w:szCs w:val="12"/>
                <w:color w:val="231F20"/>
              </w:rPr>
              <w:t>19.80</w:t>
            </w:r>
          </w:p>
        </w:tc>
        <w:tc>
          <w:tcPr>
            <w:tcW w:w="0" w:type="dxa"/>
            <w:vAlign w:val="bottom"/>
            <w:shd w:val="clear" w:color="auto" w:fill="D0EBF2"/>
          </w:tcPr>
          <w:p>
            <w:pPr>
              <w:spacing w:after="0"/>
              <w:rPr>
                <w:sz w:val="11"/>
                <w:szCs w:val="11"/>
                <w:color w:val="auto"/>
              </w:rPr>
            </w:pPr>
          </w:p>
        </w:tc>
        <w:tc>
          <w:tcPr>
            <w:tcW w:w="100" w:type="dxa"/>
            <w:vAlign w:val="bottom"/>
            <w:tcBorders>
              <w:top w:val="single" w:sz="8" w:color="D0EBF2"/>
            </w:tcBorders>
            <w:shd w:val="clear" w:color="auto" w:fill="D0EBF2"/>
          </w:tcPr>
          <w:p>
            <w:pPr>
              <w:spacing w:after="0"/>
              <w:rPr>
                <w:sz w:val="11"/>
                <w:szCs w:val="11"/>
                <w:color w:val="auto"/>
              </w:rPr>
            </w:pPr>
          </w:p>
        </w:tc>
        <w:tc>
          <w:tcPr>
            <w:tcW w:w="80" w:type="dxa"/>
            <w:vAlign w:val="bottom"/>
            <w:tcBorders>
              <w:top w:val="single" w:sz="8" w:color="231F20"/>
            </w:tcBorders>
            <w:shd w:val="clear" w:color="auto" w:fill="D0EBF2"/>
          </w:tcPr>
          <w:p>
            <w:pPr>
              <w:jc w:val="right"/>
              <w:spacing w:after="0" w:line="131" w:lineRule="exact"/>
              <w:rPr>
                <w:sz w:val="20"/>
                <w:szCs w:val="20"/>
                <w:color w:val="auto"/>
              </w:rPr>
            </w:pPr>
            <w:r>
              <w:rPr>
                <w:rFonts w:ascii="Times New Roman" w:cs="Times New Roman" w:eastAsia="Times New Roman" w:hAnsi="Times New Roman"/>
                <w:sz w:val="12"/>
                <w:szCs w:val="12"/>
                <w:color w:val="231F20"/>
                <w:w w:val="99"/>
              </w:rPr>
              <w:t>$</w:t>
            </w:r>
          </w:p>
        </w:tc>
        <w:tc>
          <w:tcPr>
            <w:tcW w:w="560" w:type="dxa"/>
            <w:vAlign w:val="bottom"/>
            <w:tcBorders>
              <w:top w:val="single" w:sz="8" w:color="231F20"/>
            </w:tcBorders>
            <w:shd w:val="clear" w:color="auto" w:fill="D0EBF2"/>
          </w:tcPr>
          <w:p>
            <w:pPr>
              <w:jc w:val="right"/>
              <w:spacing w:after="0" w:line="131" w:lineRule="exact"/>
              <w:rPr>
                <w:sz w:val="20"/>
                <w:szCs w:val="20"/>
                <w:color w:val="auto"/>
              </w:rPr>
            </w:pPr>
            <w:r>
              <w:rPr>
                <w:rFonts w:ascii="Times New Roman" w:cs="Times New Roman" w:eastAsia="Times New Roman" w:hAnsi="Times New Roman"/>
                <w:sz w:val="12"/>
                <w:szCs w:val="12"/>
                <w:color w:val="231F20"/>
              </w:rPr>
              <w:t>18.68</w:t>
            </w:r>
          </w:p>
        </w:tc>
        <w:tc>
          <w:tcPr>
            <w:tcW w:w="0" w:type="dxa"/>
            <w:vAlign w:val="bottom"/>
            <w:shd w:val="clear" w:color="auto" w:fill="D0EBF2"/>
          </w:tcPr>
          <w:p>
            <w:pPr>
              <w:spacing w:after="0"/>
              <w:rPr>
                <w:sz w:val="11"/>
                <w:szCs w:val="11"/>
                <w:color w:val="auto"/>
              </w:rPr>
            </w:pPr>
          </w:p>
        </w:tc>
        <w:tc>
          <w:tcPr>
            <w:tcW w:w="100" w:type="dxa"/>
            <w:vAlign w:val="bottom"/>
            <w:tcBorders>
              <w:top w:val="single" w:sz="8" w:color="D0EBF2"/>
            </w:tcBorders>
            <w:shd w:val="clear" w:color="auto" w:fill="D0EBF2"/>
          </w:tcPr>
          <w:p>
            <w:pPr>
              <w:spacing w:after="0"/>
              <w:rPr>
                <w:sz w:val="11"/>
                <w:szCs w:val="11"/>
                <w:color w:val="auto"/>
              </w:rPr>
            </w:pPr>
          </w:p>
        </w:tc>
        <w:tc>
          <w:tcPr>
            <w:tcW w:w="20" w:type="dxa"/>
            <w:vAlign w:val="bottom"/>
            <w:tcBorders>
              <w:top w:val="single" w:sz="8" w:color="D0EBF2"/>
            </w:tcBorders>
            <w:shd w:val="clear" w:color="auto" w:fill="D0EBF2"/>
          </w:tcPr>
          <w:p>
            <w:pPr>
              <w:spacing w:after="0"/>
              <w:rPr>
                <w:sz w:val="11"/>
                <w:szCs w:val="11"/>
                <w:color w:val="auto"/>
              </w:rPr>
            </w:pPr>
          </w:p>
        </w:tc>
        <w:tc>
          <w:tcPr>
            <w:tcW w:w="80" w:type="dxa"/>
            <w:vAlign w:val="bottom"/>
            <w:tcBorders>
              <w:top w:val="single" w:sz="8" w:color="231F20"/>
            </w:tcBorders>
            <w:shd w:val="clear" w:color="auto" w:fill="D0EBF2"/>
          </w:tcPr>
          <w:p>
            <w:pPr>
              <w:jc w:val="right"/>
              <w:spacing w:after="0" w:line="131" w:lineRule="exact"/>
              <w:rPr>
                <w:sz w:val="20"/>
                <w:szCs w:val="20"/>
                <w:color w:val="auto"/>
              </w:rPr>
            </w:pPr>
            <w:r>
              <w:rPr>
                <w:rFonts w:ascii="Times New Roman" w:cs="Times New Roman" w:eastAsia="Times New Roman" w:hAnsi="Times New Roman"/>
                <w:sz w:val="12"/>
                <w:szCs w:val="12"/>
                <w:color w:val="231F20"/>
                <w:w w:val="99"/>
              </w:rPr>
              <w:t>$</w:t>
            </w:r>
          </w:p>
        </w:tc>
        <w:tc>
          <w:tcPr>
            <w:tcW w:w="560" w:type="dxa"/>
            <w:vAlign w:val="bottom"/>
            <w:tcBorders>
              <w:top w:val="single" w:sz="8" w:color="231F20"/>
            </w:tcBorders>
            <w:shd w:val="clear" w:color="auto" w:fill="D0EBF2"/>
          </w:tcPr>
          <w:p>
            <w:pPr>
              <w:jc w:val="right"/>
              <w:spacing w:after="0" w:line="131" w:lineRule="exact"/>
              <w:rPr>
                <w:sz w:val="20"/>
                <w:szCs w:val="20"/>
                <w:color w:val="auto"/>
              </w:rPr>
            </w:pPr>
            <w:r>
              <w:rPr>
                <w:rFonts w:ascii="Times New Roman" w:cs="Times New Roman" w:eastAsia="Times New Roman" w:hAnsi="Times New Roman"/>
                <w:sz w:val="12"/>
                <w:szCs w:val="12"/>
                <w:color w:val="231F20"/>
              </w:rPr>
              <w:t>16.22</w:t>
            </w:r>
          </w:p>
        </w:tc>
        <w:tc>
          <w:tcPr>
            <w:tcW w:w="20" w:type="dxa"/>
            <w:vAlign w:val="bottom"/>
            <w:shd w:val="clear" w:color="auto" w:fill="D0EBF2"/>
          </w:tcPr>
          <w:p>
            <w:pPr>
              <w:spacing w:after="0"/>
              <w:rPr>
                <w:sz w:val="11"/>
                <w:szCs w:val="11"/>
                <w:color w:val="auto"/>
              </w:rPr>
            </w:pPr>
          </w:p>
        </w:tc>
        <w:tc>
          <w:tcPr>
            <w:tcW w:w="20" w:type="dxa"/>
            <w:vAlign w:val="bottom"/>
            <w:shd w:val="clear" w:color="auto" w:fill="D0EBF2"/>
          </w:tcPr>
          <w:p>
            <w:pPr>
              <w:spacing w:after="0"/>
              <w:rPr>
                <w:sz w:val="11"/>
                <w:szCs w:val="11"/>
                <w:color w:val="auto"/>
              </w:rPr>
            </w:pPr>
          </w:p>
        </w:tc>
        <w:tc>
          <w:tcPr>
            <w:tcW w:w="60" w:type="dxa"/>
            <w:vAlign w:val="bottom"/>
            <w:tcBorders>
              <w:top w:val="single" w:sz="8" w:color="D0EBF2"/>
            </w:tcBorders>
            <w:shd w:val="clear" w:color="auto" w:fill="D0EBF2"/>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720" w:type="dxa"/>
            <w:vAlign w:val="bottom"/>
            <w:gridSpan w:val="4"/>
            <w:shd w:val="clear" w:color="auto" w:fill="FDFDFC"/>
          </w:tcPr>
          <w:p>
            <w:pPr>
              <w:spacing w:after="0" w:line="129" w:lineRule="exact"/>
              <w:rPr>
                <w:sz w:val="20"/>
                <w:szCs w:val="20"/>
                <w:color w:val="auto"/>
              </w:rPr>
            </w:pPr>
            <w:r>
              <w:rPr>
                <w:rFonts w:ascii="Times New Roman" w:cs="Times New Roman" w:eastAsia="Times New Roman" w:hAnsi="Times New Roman"/>
                <w:sz w:val="12"/>
                <w:szCs w:val="12"/>
                <w:color w:val="231F20"/>
              </w:rPr>
              <w:t>Total return based on market value with</w:t>
            </w:r>
          </w:p>
        </w:tc>
        <w:tc>
          <w:tcPr>
            <w:tcW w:w="0" w:type="dxa"/>
            <w:vAlign w:val="bottom"/>
            <w:shd w:val="clear" w:color="auto" w:fill="FDFDFC"/>
          </w:tcPr>
          <w:p>
            <w:pPr>
              <w:spacing w:after="0"/>
              <w:rPr>
                <w:sz w:val="11"/>
                <w:szCs w:val="11"/>
                <w:color w:val="auto"/>
              </w:rPr>
            </w:pPr>
          </w:p>
        </w:tc>
        <w:tc>
          <w:tcPr>
            <w:tcW w:w="680" w:type="dxa"/>
            <w:vAlign w:val="bottom"/>
            <w:gridSpan w:val="2"/>
            <w:vMerge w:val="restart"/>
            <w:shd w:val="clear" w:color="auto" w:fill="FDFDFC"/>
          </w:tcPr>
          <w:p>
            <w:pPr>
              <w:jc w:val="right"/>
              <w:spacing w:after="0"/>
              <w:rPr>
                <w:sz w:val="20"/>
                <w:szCs w:val="20"/>
                <w:color w:val="auto"/>
              </w:rPr>
            </w:pPr>
            <w:r>
              <w:rPr>
                <w:rFonts w:ascii="Times New Roman" w:cs="Times New Roman" w:eastAsia="Times New Roman" w:hAnsi="Times New Roman"/>
                <w:sz w:val="12"/>
                <w:szCs w:val="12"/>
                <w:color w:val="231F20"/>
              </w:rPr>
              <w:t>9.33%</w:t>
            </w:r>
          </w:p>
        </w:tc>
        <w:tc>
          <w:tcPr>
            <w:tcW w:w="40" w:type="dxa"/>
            <w:vAlign w:val="bottom"/>
            <w:shd w:val="clear" w:color="auto" w:fill="FDFDFC"/>
          </w:tcPr>
          <w:p>
            <w:pPr>
              <w:spacing w:after="0"/>
              <w:rPr>
                <w:sz w:val="11"/>
                <w:szCs w:val="11"/>
                <w:color w:val="auto"/>
              </w:rPr>
            </w:pPr>
          </w:p>
        </w:tc>
        <w:tc>
          <w:tcPr>
            <w:tcW w:w="60" w:type="dxa"/>
            <w:vAlign w:val="bottom"/>
            <w:shd w:val="clear" w:color="auto" w:fill="FDFDFC"/>
          </w:tcPr>
          <w:p>
            <w:pPr>
              <w:spacing w:after="0"/>
              <w:rPr>
                <w:sz w:val="11"/>
                <w:szCs w:val="11"/>
                <w:color w:val="auto"/>
              </w:rPr>
            </w:pPr>
          </w:p>
        </w:tc>
        <w:tc>
          <w:tcPr>
            <w:tcW w:w="680" w:type="dxa"/>
            <w:vAlign w:val="bottom"/>
            <w:gridSpan w:val="3"/>
            <w:vMerge w:val="restart"/>
            <w:shd w:val="clear" w:color="auto" w:fill="FDFDFC"/>
          </w:tcPr>
          <w:p>
            <w:pPr>
              <w:jc w:val="right"/>
              <w:spacing w:after="0"/>
              <w:rPr>
                <w:sz w:val="20"/>
                <w:szCs w:val="20"/>
                <w:color w:val="auto"/>
              </w:rPr>
            </w:pPr>
            <w:r>
              <w:rPr>
                <w:rFonts w:ascii="Times New Roman" w:cs="Times New Roman" w:eastAsia="Times New Roman" w:hAnsi="Times New Roman"/>
                <w:sz w:val="12"/>
                <w:szCs w:val="12"/>
                <w:color w:val="231F20"/>
              </w:rPr>
              <w:t>35.68%</w:t>
            </w:r>
          </w:p>
        </w:tc>
        <w:tc>
          <w:tcPr>
            <w:tcW w:w="40" w:type="dxa"/>
            <w:vAlign w:val="bottom"/>
            <w:shd w:val="clear" w:color="auto" w:fill="FDFDFC"/>
          </w:tcPr>
          <w:p>
            <w:pPr>
              <w:spacing w:after="0"/>
              <w:rPr>
                <w:sz w:val="11"/>
                <w:szCs w:val="11"/>
                <w:color w:val="auto"/>
              </w:rPr>
            </w:pPr>
          </w:p>
        </w:tc>
        <w:tc>
          <w:tcPr>
            <w:tcW w:w="60" w:type="dxa"/>
            <w:vAlign w:val="bottom"/>
            <w:shd w:val="clear" w:color="auto" w:fill="FDFDFC"/>
          </w:tcPr>
          <w:p>
            <w:pPr>
              <w:spacing w:after="0"/>
              <w:rPr>
                <w:sz w:val="11"/>
                <w:szCs w:val="11"/>
                <w:color w:val="auto"/>
              </w:rPr>
            </w:pPr>
          </w:p>
        </w:tc>
        <w:tc>
          <w:tcPr>
            <w:tcW w:w="580" w:type="dxa"/>
            <w:vAlign w:val="bottom"/>
            <w:vMerge w:val="restart"/>
            <w:shd w:val="clear" w:color="auto" w:fill="FDFDFC"/>
          </w:tcPr>
          <w:p>
            <w:pPr>
              <w:jc w:val="right"/>
              <w:spacing w:after="0"/>
              <w:rPr>
                <w:sz w:val="20"/>
                <w:szCs w:val="20"/>
                <w:color w:val="auto"/>
              </w:rPr>
            </w:pPr>
            <w:r>
              <w:rPr>
                <w:rFonts w:ascii="Times New Roman" w:cs="Times New Roman" w:eastAsia="Times New Roman" w:hAnsi="Times New Roman"/>
                <w:sz w:val="12"/>
                <w:szCs w:val="12"/>
                <w:color w:val="231F20"/>
              </w:rPr>
              <w:t>(15.78)%</w:t>
            </w:r>
          </w:p>
        </w:tc>
        <w:tc>
          <w:tcPr>
            <w:tcW w:w="0" w:type="dxa"/>
            <w:vAlign w:val="bottom"/>
            <w:shd w:val="clear" w:color="auto" w:fill="FDFDFC"/>
          </w:tcPr>
          <w:p>
            <w:pPr>
              <w:spacing w:after="0"/>
              <w:rPr>
                <w:sz w:val="11"/>
                <w:szCs w:val="11"/>
                <w:color w:val="auto"/>
              </w:rPr>
            </w:pPr>
          </w:p>
        </w:tc>
        <w:tc>
          <w:tcPr>
            <w:tcW w:w="100" w:type="dxa"/>
            <w:vAlign w:val="bottom"/>
            <w:shd w:val="clear" w:color="auto" w:fill="FDFDFC"/>
          </w:tcPr>
          <w:p>
            <w:pPr>
              <w:spacing w:after="0"/>
              <w:rPr>
                <w:sz w:val="11"/>
                <w:szCs w:val="11"/>
                <w:color w:val="auto"/>
              </w:rPr>
            </w:pPr>
          </w:p>
        </w:tc>
        <w:tc>
          <w:tcPr>
            <w:tcW w:w="20" w:type="dxa"/>
            <w:vAlign w:val="bottom"/>
            <w:shd w:val="clear" w:color="auto" w:fill="FDFDFC"/>
          </w:tcPr>
          <w:p>
            <w:pPr>
              <w:spacing w:after="0"/>
              <w:rPr>
                <w:sz w:val="11"/>
                <w:szCs w:val="11"/>
                <w:color w:val="auto"/>
              </w:rPr>
            </w:pPr>
          </w:p>
        </w:tc>
        <w:tc>
          <w:tcPr>
            <w:tcW w:w="60" w:type="dxa"/>
            <w:vAlign w:val="bottom"/>
            <w:shd w:val="clear" w:color="auto" w:fill="FDFDFC"/>
          </w:tcPr>
          <w:p>
            <w:pPr>
              <w:spacing w:after="0"/>
              <w:rPr>
                <w:sz w:val="11"/>
                <w:szCs w:val="11"/>
                <w:color w:val="auto"/>
              </w:rPr>
            </w:pPr>
          </w:p>
        </w:tc>
        <w:tc>
          <w:tcPr>
            <w:tcW w:w="680" w:type="dxa"/>
            <w:vAlign w:val="bottom"/>
            <w:gridSpan w:val="4"/>
            <w:vMerge w:val="restart"/>
            <w:shd w:val="clear" w:color="auto" w:fill="FDFDFC"/>
          </w:tcPr>
          <w:p>
            <w:pPr>
              <w:jc w:val="right"/>
              <w:spacing w:after="0"/>
              <w:rPr>
                <w:sz w:val="20"/>
                <w:szCs w:val="20"/>
                <w:color w:val="auto"/>
              </w:rPr>
            </w:pPr>
            <w:r>
              <w:rPr>
                <w:rFonts w:ascii="Times New Roman" w:cs="Times New Roman" w:eastAsia="Times New Roman" w:hAnsi="Times New Roman"/>
                <w:sz w:val="12"/>
                <w:szCs w:val="12"/>
                <w:color w:val="231F20"/>
              </w:rPr>
              <w:t>32.80%</w:t>
            </w:r>
          </w:p>
        </w:tc>
        <w:tc>
          <w:tcPr>
            <w:tcW w:w="80" w:type="dxa"/>
            <w:vAlign w:val="bottom"/>
            <w:shd w:val="clear" w:color="auto" w:fill="FDFDFC"/>
          </w:tcPr>
          <w:p>
            <w:pPr>
              <w:spacing w:after="0"/>
              <w:rPr>
                <w:sz w:val="11"/>
                <w:szCs w:val="11"/>
                <w:color w:val="auto"/>
              </w:rPr>
            </w:pPr>
          </w:p>
        </w:tc>
        <w:tc>
          <w:tcPr>
            <w:tcW w:w="660" w:type="dxa"/>
            <w:vAlign w:val="bottom"/>
            <w:gridSpan w:val="3"/>
            <w:vMerge w:val="restart"/>
            <w:shd w:val="clear" w:color="auto" w:fill="FDFDFC"/>
          </w:tcPr>
          <w:p>
            <w:pPr>
              <w:jc w:val="right"/>
              <w:spacing w:after="0"/>
              <w:rPr>
                <w:sz w:val="20"/>
                <w:szCs w:val="20"/>
                <w:color w:val="auto"/>
              </w:rPr>
            </w:pPr>
            <w:r>
              <w:rPr>
                <w:rFonts w:ascii="Times New Roman" w:cs="Times New Roman" w:eastAsia="Times New Roman" w:hAnsi="Times New Roman"/>
                <w:sz w:val="12"/>
                <w:szCs w:val="12"/>
                <w:color w:val="231F20"/>
              </w:rPr>
              <w:t>11.24%</w:t>
            </w:r>
          </w:p>
        </w:tc>
        <w:tc>
          <w:tcPr>
            <w:tcW w:w="20" w:type="dxa"/>
            <w:vAlign w:val="bottom"/>
            <w:shd w:val="clear" w:color="auto" w:fill="FDFDFC"/>
          </w:tcPr>
          <w:p>
            <w:pPr>
              <w:spacing w:after="0"/>
              <w:rPr>
                <w:sz w:val="11"/>
                <w:szCs w:val="11"/>
                <w:color w:val="auto"/>
              </w:rPr>
            </w:pPr>
          </w:p>
        </w:tc>
        <w:tc>
          <w:tcPr>
            <w:tcW w:w="60" w:type="dxa"/>
            <w:vAlign w:val="bottom"/>
            <w:shd w:val="clear" w:color="auto" w:fill="FDFDFC"/>
          </w:tcPr>
          <w:p>
            <w:pPr>
              <w:spacing w:after="0"/>
              <w:rPr>
                <w:sz w:val="11"/>
                <w:szCs w:val="11"/>
                <w:color w:val="auto"/>
              </w:rPr>
            </w:pPr>
          </w:p>
        </w:tc>
        <w:tc>
          <w:tcPr>
            <w:tcW w:w="660" w:type="dxa"/>
            <w:vAlign w:val="bottom"/>
            <w:gridSpan w:val="3"/>
            <w:vMerge w:val="restart"/>
            <w:shd w:val="clear" w:color="auto" w:fill="FDFDFC"/>
          </w:tcPr>
          <w:p>
            <w:pPr>
              <w:jc w:val="right"/>
              <w:spacing w:after="0"/>
              <w:rPr>
                <w:sz w:val="20"/>
                <w:szCs w:val="20"/>
                <w:color w:val="auto"/>
              </w:rPr>
            </w:pPr>
            <w:r>
              <w:rPr>
                <w:rFonts w:ascii="Times New Roman" w:cs="Times New Roman" w:eastAsia="Times New Roman" w:hAnsi="Times New Roman"/>
                <w:sz w:val="12"/>
                <w:szCs w:val="12"/>
                <w:color w:val="231F20"/>
              </w:rPr>
              <w:t>30.57%</w:t>
            </w:r>
          </w:p>
        </w:tc>
        <w:tc>
          <w:tcPr>
            <w:tcW w:w="20" w:type="dxa"/>
            <w:vAlign w:val="bottom"/>
            <w:shd w:val="clear" w:color="auto" w:fill="FDFDFC"/>
          </w:tcPr>
          <w:p>
            <w:pPr>
              <w:spacing w:after="0"/>
              <w:rPr>
                <w:sz w:val="11"/>
                <w:szCs w:val="11"/>
                <w:color w:val="auto"/>
              </w:rPr>
            </w:pPr>
          </w:p>
        </w:tc>
        <w:tc>
          <w:tcPr>
            <w:tcW w:w="60" w:type="dxa"/>
            <w:vAlign w:val="bottom"/>
            <w:shd w:val="clear" w:color="auto" w:fill="FDFDFC"/>
          </w:tcPr>
          <w:p>
            <w:pPr>
              <w:spacing w:after="0"/>
              <w:rPr>
                <w:sz w:val="11"/>
                <w:szCs w:val="11"/>
                <w:color w:val="auto"/>
              </w:rPr>
            </w:pPr>
          </w:p>
        </w:tc>
        <w:tc>
          <w:tcPr>
            <w:tcW w:w="660" w:type="dxa"/>
            <w:vAlign w:val="bottom"/>
            <w:gridSpan w:val="3"/>
            <w:vMerge w:val="restart"/>
            <w:shd w:val="clear" w:color="auto" w:fill="FDFDFC"/>
          </w:tcPr>
          <w:p>
            <w:pPr>
              <w:jc w:val="right"/>
              <w:spacing w:after="0"/>
              <w:rPr>
                <w:sz w:val="20"/>
                <w:szCs w:val="20"/>
                <w:color w:val="auto"/>
              </w:rPr>
            </w:pPr>
            <w:r>
              <w:rPr>
                <w:rFonts w:ascii="Times New Roman" w:cs="Times New Roman" w:eastAsia="Times New Roman" w:hAnsi="Times New Roman"/>
                <w:sz w:val="12"/>
                <w:szCs w:val="12"/>
                <w:color w:val="231F20"/>
              </w:rPr>
              <w:t>4.24%</w:t>
            </w:r>
          </w:p>
        </w:tc>
        <w:tc>
          <w:tcPr>
            <w:tcW w:w="20" w:type="dxa"/>
            <w:vAlign w:val="bottom"/>
            <w:shd w:val="clear" w:color="auto" w:fill="FDFDFC"/>
          </w:tcPr>
          <w:p>
            <w:pPr>
              <w:spacing w:after="0"/>
              <w:rPr>
                <w:sz w:val="11"/>
                <w:szCs w:val="11"/>
                <w:color w:val="auto"/>
              </w:rPr>
            </w:pPr>
          </w:p>
        </w:tc>
        <w:tc>
          <w:tcPr>
            <w:tcW w:w="60" w:type="dxa"/>
            <w:vAlign w:val="bottom"/>
            <w:shd w:val="clear" w:color="auto" w:fill="FDFDFC"/>
          </w:tcPr>
          <w:p>
            <w:pPr>
              <w:spacing w:after="0"/>
              <w:rPr>
                <w:sz w:val="11"/>
                <w:szCs w:val="11"/>
                <w:color w:val="auto"/>
              </w:rPr>
            </w:pPr>
          </w:p>
        </w:tc>
        <w:tc>
          <w:tcPr>
            <w:tcW w:w="680" w:type="dxa"/>
            <w:vAlign w:val="bottom"/>
            <w:gridSpan w:val="3"/>
            <w:vMerge w:val="restart"/>
            <w:shd w:val="clear" w:color="auto" w:fill="FDFDFC"/>
          </w:tcPr>
          <w:p>
            <w:pPr>
              <w:jc w:val="right"/>
              <w:spacing w:after="0"/>
              <w:rPr>
                <w:sz w:val="20"/>
                <w:szCs w:val="20"/>
                <w:color w:val="auto"/>
              </w:rPr>
            </w:pPr>
            <w:r>
              <w:rPr>
                <w:rFonts w:ascii="Times New Roman" w:cs="Times New Roman" w:eastAsia="Times New Roman" w:hAnsi="Times New Roman"/>
                <w:sz w:val="12"/>
                <w:szCs w:val="12"/>
                <w:color w:val="231F20"/>
              </w:rPr>
              <w:t>15.75%</w:t>
            </w:r>
          </w:p>
        </w:tc>
        <w:tc>
          <w:tcPr>
            <w:tcW w:w="80" w:type="dxa"/>
            <w:vAlign w:val="bottom"/>
            <w:shd w:val="clear" w:color="auto" w:fill="FDFDFC"/>
          </w:tcPr>
          <w:p>
            <w:pPr>
              <w:spacing w:after="0"/>
              <w:rPr>
                <w:sz w:val="11"/>
                <w:szCs w:val="11"/>
                <w:color w:val="auto"/>
              </w:rPr>
            </w:pPr>
          </w:p>
        </w:tc>
        <w:tc>
          <w:tcPr>
            <w:tcW w:w="660" w:type="dxa"/>
            <w:vAlign w:val="bottom"/>
            <w:gridSpan w:val="3"/>
            <w:vMerge w:val="restart"/>
            <w:shd w:val="clear" w:color="auto" w:fill="FDFDFC"/>
          </w:tcPr>
          <w:p>
            <w:pPr>
              <w:jc w:val="right"/>
              <w:spacing w:after="0"/>
              <w:rPr>
                <w:sz w:val="20"/>
                <w:szCs w:val="20"/>
                <w:color w:val="auto"/>
              </w:rPr>
            </w:pPr>
            <w:r>
              <w:rPr>
                <w:rFonts w:ascii="Times New Roman" w:cs="Times New Roman" w:eastAsia="Times New Roman" w:hAnsi="Times New Roman"/>
                <w:sz w:val="12"/>
                <w:szCs w:val="12"/>
                <w:color w:val="231F20"/>
              </w:rPr>
              <w:t>26.74%</w:t>
            </w:r>
          </w:p>
        </w:tc>
        <w:tc>
          <w:tcPr>
            <w:tcW w:w="20" w:type="dxa"/>
            <w:vAlign w:val="bottom"/>
            <w:shd w:val="clear" w:color="auto" w:fill="FDFDFC"/>
          </w:tcPr>
          <w:p>
            <w:pPr>
              <w:spacing w:after="0"/>
              <w:rPr>
                <w:sz w:val="11"/>
                <w:szCs w:val="11"/>
                <w:color w:val="auto"/>
              </w:rPr>
            </w:pPr>
          </w:p>
        </w:tc>
        <w:tc>
          <w:tcPr>
            <w:tcW w:w="80" w:type="dxa"/>
            <w:vAlign w:val="bottom"/>
            <w:shd w:val="clear" w:color="auto" w:fill="FDFDFC"/>
          </w:tcPr>
          <w:p>
            <w:pPr>
              <w:spacing w:after="0"/>
              <w:rPr>
                <w:sz w:val="11"/>
                <w:szCs w:val="11"/>
                <w:color w:val="auto"/>
              </w:rPr>
            </w:pPr>
          </w:p>
        </w:tc>
        <w:tc>
          <w:tcPr>
            <w:tcW w:w="660" w:type="dxa"/>
            <w:vAlign w:val="bottom"/>
            <w:gridSpan w:val="4"/>
            <w:vMerge w:val="restart"/>
            <w:shd w:val="clear" w:color="auto" w:fill="FDFDFC"/>
          </w:tcPr>
          <w:p>
            <w:pPr>
              <w:jc w:val="right"/>
              <w:spacing w:after="0"/>
              <w:rPr>
                <w:sz w:val="20"/>
                <w:szCs w:val="20"/>
                <w:color w:val="auto"/>
              </w:rPr>
            </w:pPr>
            <w:r>
              <w:rPr>
                <w:rFonts w:ascii="Times New Roman" w:cs="Times New Roman" w:eastAsia="Times New Roman" w:hAnsi="Times New Roman"/>
                <w:sz w:val="12"/>
                <w:szCs w:val="12"/>
                <w:color w:val="231F20"/>
              </w:rPr>
              <w:t>5.75%</w:t>
            </w:r>
          </w:p>
        </w:tc>
        <w:tc>
          <w:tcPr>
            <w:tcW w:w="0" w:type="dxa"/>
            <w:vAlign w:val="bottom"/>
          </w:tcPr>
          <w:p>
            <w:pPr>
              <w:spacing w:after="0"/>
              <w:rPr>
                <w:sz w:val="1"/>
                <w:szCs w:val="1"/>
                <w:color w:val="auto"/>
              </w:rPr>
            </w:pPr>
          </w:p>
        </w:tc>
      </w:tr>
      <w:tr>
        <w:trPr>
          <w:trHeight w:val="154"/>
        </w:trPr>
        <w:tc>
          <w:tcPr>
            <w:tcW w:w="2720" w:type="dxa"/>
            <w:vAlign w:val="bottom"/>
            <w:gridSpan w:val="4"/>
            <w:shd w:val="clear" w:color="auto" w:fill="FDFDFC"/>
          </w:tcPr>
          <w:p>
            <w:pPr>
              <w:spacing w:after="0"/>
              <w:rPr>
                <w:sz w:val="20"/>
                <w:szCs w:val="20"/>
                <w:color w:val="auto"/>
              </w:rPr>
            </w:pPr>
            <w:r>
              <w:rPr>
                <w:rFonts w:ascii="Times New Roman" w:cs="Times New Roman" w:eastAsia="Times New Roman" w:hAnsi="Times New Roman"/>
                <w:sz w:val="12"/>
                <w:szCs w:val="12"/>
                <w:color w:val="231F20"/>
              </w:rPr>
              <w:t xml:space="preserve">reinvestment of dividends </w:t>
            </w:r>
            <w:r>
              <w:rPr>
                <w:rFonts w:ascii="Times New Roman" w:cs="Times New Roman" w:eastAsia="Times New Roman" w:hAnsi="Times New Roman"/>
                <w:sz w:val="7"/>
                <w:szCs w:val="7"/>
                <w:color w:val="231F20"/>
              </w:rPr>
              <w:t>(3)</w:t>
            </w:r>
          </w:p>
        </w:tc>
        <w:tc>
          <w:tcPr>
            <w:tcW w:w="0" w:type="dxa"/>
            <w:vAlign w:val="bottom"/>
            <w:shd w:val="clear" w:color="auto" w:fill="FDFDFC"/>
          </w:tcPr>
          <w:p>
            <w:pPr>
              <w:spacing w:after="0"/>
              <w:rPr>
                <w:sz w:val="13"/>
                <w:szCs w:val="13"/>
                <w:color w:val="auto"/>
              </w:rPr>
            </w:pPr>
          </w:p>
        </w:tc>
        <w:tc>
          <w:tcPr>
            <w:tcW w:w="680" w:type="dxa"/>
            <w:vAlign w:val="bottom"/>
            <w:gridSpan w:val="2"/>
            <w:vMerge w:val="continue"/>
            <w:shd w:val="clear" w:color="auto" w:fill="FDFDFC"/>
          </w:tcPr>
          <w:p>
            <w:pPr>
              <w:spacing w:after="0"/>
              <w:rPr>
                <w:sz w:val="13"/>
                <w:szCs w:val="13"/>
                <w:color w:val="auto"/>
              </w:rPr>
            </w:pPr>
          </w:p>
        </w:tc>
        <w:tc>
          <w:tcPr>
            <w:tcW w:w="40" w:type="dxa"/>
            <w:vAlign w:val="bottom"/>
            <w:shd w:val="clear" w:color="auto" w:fill="FDFDFC"/>
          </w:tcPr>
          <w:p>
            <w:pPr>
              <w:spacing w:after="0"/>
              <w:rPr>
                <w:sz w:val="13"/>
                <w:szCs w:val="13"/>
                <w:color w:val="auto"/>
              </w:rPr>
            </w:pPr>
          </w:p>
        </w:tc>
        <w:tc>
          <w:tcPr>
            <w:tcW w:w="60" w:type="dxa"/>
            <w:vAlign w:val="bottom"/>
            <w:shd w:val="clear" w:color="auto" w:fill="FDFDFC"/>
          </w:tcPr>
          <w:p>
            <w:pPr>
              <w:spacing w:after="0"/>
              <w:rPr>
                <w:sz w:val="13"/>
                <w:szCs w:val="13"/>
                <w:color w:val="auto"/>
              </w:rPr>
            </w:pPr>
          </w:p>
        </w:tc>
        <w:tc>
          <w:tcPr>
            <w:tcW w:w="680" w:type="dxa"/>
            <w:vAlign w:val="bottom"/>
            <w:gridSpan w:val="3"/>
            <w:vMerge w:val="continue"/>
            <w:shd w:val="clear" w:color="auto" w:fill="FDFDFC"/>
          </w:tcPr>
          <w:p>
            <w:pPr>
              <w:spacing w:after="0"/>
              <w:rPr>
                <w:sz w:val="13"/>
                <w:szCs w:val="13"/>
                <w:color w:val="auto"/>
              </w:rPr>
            </w:pPr>
          </w:p>
        </w:tc>
        <w:tc>
          <w:tcPr>
            <w:tcW w:w="40" w:type="dxa"/>
            <w:vAlign w:val="bottom"/>
            <w:shd w:val="clear" w:color="auto" w:fill="FDFDFC"/>
          </w:tcPr>
          <w:p>
            <w:pPr>
              <w:spacing w:after="0"/>
              <w:rPr>
                <w:sz w:val="13"/>
                <w:szCs w:val="13"/>
                <w:color w:val="auto"/>
              </w:rPr>
            </w:pPr>
          </w:p>
        </w:tc>
        <w:tc>
          <w:tcPr>
            <w:tcW w:w="60" w:type="dxa"/>
            <w:vAlign w:val="bottom"/>
            <w:shd w:val="clear" w:color="auto" w:fill="FDFDFC"/>
          </w:tcPr>
          <w:p>
            <w:pPr>
              <w:spacing w:after="0"/>
              <w:rPr>
                <w:sz w:val="13"/>
                <w:szCs w:val="13"/>
                <w:color w:val="auto"/>
              </w:rPr>
            </w:pPr>
          </w:p>
        </w:tc>
        <w:tc>
          <w:tcPr>
            <w:tcW w:w="580" w:type="dxa"/>
            <w:vAlign w:val="bottom"/>
            <w:vMerge w:val="continue"/>
            <w:shd w:val="clear" w:color="auto" w:fill="FDFDFC"/>
          </w:tcPr>
          <w:p>
            <w:pPr>
              <w:spacing w:after="0"/>
              <w:rPr>
                <w:sz w:val="13"/>
                <w:szCs w:val="13"/>
                <w:color w:val="auto"/>
              </w:rPr>
            </w:pPr>
          </w:p>
        </w:tc>
        <w:tc>
          <w:tcPr>
            <w:tcW w:w="0" w:type="dxa"/>
            <w:vAlign w:val="bottom"/>
            <w:shd w:val="clear" w:color="auto" w:fill="FDFDFC"/>
          </w:tcPr>
          <w:p>
            <w:pPr>
              <w:spacing w:after="0"/>
              <w:rPr>
                <w:sz w:val="13"/>
                <w:szCs w:val="13"/>
                <w:color w:val="auto"/>
              </w:rPr>
            </w:pPr>
          </w:p>
        </w:tc>
        <w:tc>
          <w:tcPr>
            <w:tcW w:w="100" w:type="dxa"/>
            <w:vAlign w:val="bottom"/>
            <w:shd w:val="clear" w:color="auto" w:fill="FDFDFC"/>
          </w:tcPr>
          <w:p>
            <w:pPr>
              <w:spacing w:after="0"/>
              <w:rPr>
                <w:sz w:val="13"/>
                <w:szCs w:val="13"/>
                <w:color w:val="auto"/>
              </w:rPr>
            </w:pPr>
          </w:p>
        </w:tc>
        <w:tc>
          <w:tcPr>
            <w:tcW w:w="20" w:type="dxa"/>
            <w:vAlign w:val="bottom"/>
            <w:shd w:val="clear" w:color="auto" w:fill="FDFDFC"/>
          </w:tcPr>
          <w:p>
            <w:pPr>
              <w:spacing w:after="0"/>
              <w:rPr>
                <w:sz w:val="13"/>
                <w:szCs w:val="13"/>
                <w:color w:val="auto"/>
              </w:rPr>
            </w:pPr>
          </w:p>
        </w:tc>
        <w:tc>
          <w:tcPr>
            <w:tcW w:w="60" w:type="dxa"/>
            <w:vAlign w:val="bottom"/>
            <w:shd w:val="clear" w:color="auto" w:fill="FDFDFC"/>
          </w:tcPr>
          <w:p>
            <w:pPr>
              <w:spacing w:after="0"/>
              <w:rPr>
                <w:sz w:val="13"/>
                <w:szCs w:val="13"/>
                <w:color w:val="auto"/>
              </w:rPr>
            </w:pPr>
          </w:p>
        </w:tc>
        <w:tc>
          <w:tcPr>
            <w:tcW w:w="680" w:type="dxa"/>
            <w:vAlign w:val="bottom"/>
            <w:gridSpan w:val="4"/>
            <w:vMerge w:val="continue"/>
            <w:shd w:val="clear" w:color="auto" w:fill="FDFDFC"/>
          </w:tcPr>
          <w:p>
            <w:pPr>
              <w:spacing w:after="0"/>
              <w:rPr>
                <w:sz w:val="13"/>
                <w:szCs w:val="13"/>
                <w:color w:val="auto"/>
              </w:rPr>
            </w:pPr>
          </w:p>
        </w:tc>
        <w:tc>
          <w:tcPr>
            <w:tcW w:w="80" w:type="dxa"/>
            <w:vAlign w:val="bottom"/>
            <w:shd w:val="clear" w:color="auto" w:fill="FDFDFC"/>
          </w:tcPr>
          <w:p>
            <w:pPr>
              <w:spacing w:after="0"/>
              <w:rPr>
                <w:sz w:val="13"/>
                <w:szCs w:val="13"/>
                <w:color w:val="auto"/>
              </w:rPr>
            </w:pPr>
          </w:p>
        </w:tc>
        <w:tc>
          <w:tcPr>
            <w:tcW w:w="660" w:type="dxa"/>
            <w:vAlign w:val="bottom"/>
            <w:gridSpan w:val="3"/>
            <w:vMerge w:val="continue"/>
            <w:shd w:val="clear" w:color="auto" w:fill="FDFDFC"/>
          </w:tcPr>
          <w:p>
            <w:pPr>
              <w:spacing w:after="0"/>
              <w:rPr>
                <w:sz w:val="13"/>
                <w:szCs w:val="13"/>
                <w:color w:val="auto"/>
              </w:rPr>
            </w:pPr>
          </w:p>
        </w:tc>
        <w:tc>
          <w:tcPr>
            <w:tcW w:w="20" w:type="dxa"/>
            <w:vAlign w:val="bottom"/>
            <w:shd w:val="clear" w:color="auto" w:fill="FDFDFC"/>
          </w:tcPr>
          <w:p>
            <w:pPr>
              <w:spacing w:after="0"/>
              <w:rPr>
                <w:sz w:val="13"/>
                <w:szCs w:val="13"/>
                <w:color w:val="auto"/>
              </w:rPr>
            </w:pPr>
          </w:p>
        </w:tc>
        <w:tc>
          <w:tcPr>
            <w:tcW w:w="60" w:type="dxa"/>
            <w:vAlign w:val="bottom"/>
            <w:shd w:val="clear" w:color="auto" w:fill="FDFDFC"/>
          </w:tcPr>
          <w:p>
            <w:pPr>
              <w:spacing w:after="0"/>
              <w:rPr>
                <w:sz w:val="13"/>
                <w:szCs w:val="13"/>
                <w:color w:val="auto"/>
              </w:rPr>
            </w:pPr>
          </w:p>
        </w:tc>
        <w:tc>
          <w:tcPr>
            <w:tcW w:w="660" w:type="dxa"/>
            <w:vAlign w:val="bottom"/>
            <w:gridSpan w:val="3"/>
            <w:vMerge w:val="continue"/>
            <w:shd w:val="clear" w:color="auto" w:fill="FDFDFC"/>
          </w:tcPr>
          <w:p>
            <w:pPr>
              <w:spacing w:after="0"/>
              <w:rPr>
                <w:sz w:val="13"/>
                <w:szCs w:val="13"/>
                <w:color w:val="auto"/>
              </w:rPr>
            </w:pPr>
          </w:p>
        </w:tc>
        <w:tc>
          <w:tcPr>
            <w:tcW w:w="20" w:type="dxa"/>
            <w:vAlign w:val="bottom"/>
            <w:shd w:val="clear" w:color="auto" w:fill="FDFDFC"/>
          </w:tcPr>
          <w:p>
            <w:pPr>
              <w:spacing w:after="0"/>
              <w:rPr>
                <w:sz w:val="13"/>
                <w:szCs w:val="13"/>
                <w:color w:val="auto"/>
              </w:rPr>
            </w:pPr>
          </w:p>
        </w:tc>
        <w:tc>
          <w:tcPr>
            <w:tcW w:w="60" w:type="dxa"/>
            <w:vAlign w:val="bottom"/>
            <w:shd w:val="clear" w:color="auto" w:fill="FDFDFC"/>
          </w:tcPr>
          <w:p>
            <w:pPr>
              <w:spacing w:after="0"/>
              <w:rPr>
                <w:sz w:val="13"/>
                <w:szCs w:val="13"/>
                <w:color w:val="auto"/>
              </w:rPr>
            </w:pPr>
          </w:p>
        </w:tc>
        <w:tc>
          <w:tcPr>
            <w:tcW w:w="660" w:type="dxa"/>
            <w:vAlign w:val="bottom"/>
            <w:gridSpan w:val="3"/>
            <w:vMerge w:val="continue"/>
            <w:shd w:val="clear" w:color="auto" w:fill="FDFDFC"/>
          </w:tcPr>
          <w:p>
            <w:pPr>
              <w:spacing w:after="0"/>
              <w:rPr>
                <w:sz w:val="13"/>
                <w:szCs w:val="13"/>
                <w:color w:val="auto"/>
              </w:rPr>
            </w:pPr>
          </w:p>
        </w:tc>
        <w:tc>
          <w:tcPr>
            <w:tcW w:w="20" w:type="dxa"/>
            <w:vAlign w:val="bottom"/>
            <w:shd w:val="clear" w:color="auto" w:fill="FDFDFC"/>
          </w:tcPr>
          <w:p>
            <w:pPr>
              <w:spacing w:after="0"/>
              <w:rPr>
                <w:sz w:val="13"/>
                <w:szCs w:val="13"/>
                <w:color w:val="auto"/>
              </w:rPr>
            </w:pPr>
          </w:p>
        </w:tc>
        <w:tc>
          <w:tcPr>
            <w:tcW w:w="60" w:type="dxa"/>
            <w:vAlign w:val="bottom"/>
            <w:shd w:val="clear" w:color="auto" w:fill="FDFDFC"/>
          </w:tcPr>
          <w:p>
            <w:pPr>
              <w:spacing w:after="0"/>
              <w:rPr>
                <w:sz w:val="13"/>
                <w:szCs w:val="13"/>
                <w:color w:val="auto"/>
              </w:rPr>
            </w:pPr>
          </w:p>
        </w:tc>
        <w:tc>
          <w:tcPr>
            <w:tcW w:w="680" w:type="dxa"/>
            <w:vAlign w:val="bottom"/>
            <w:gridSpan w:val="3"/>
            <w:vMerge w:val="continue"/>
            <w:shd w:val="clear" w:color="auto" w:fill="FDFDFC"/>
          </w:tcPr>
          <w:p>
            <w:pPr>
              <w:spacing w:after="0"/>
              <w:rPr>
                <w:sz w:val="13"/>
                <w:szCs w:val="13"/>
                <w:color w:val="auto"/>
              </w:rPr>
            </w:pPr>
          </w:p>
        </w:tc>
        <w:tc>
          <w:tcPr>
            <w:tcW w:w="80" w:type="dxa"/>
            <w:vAlign w:val="bottom"/>
            <w:shd w:val="clear" w:color="auto" w:fill="FDFDFC"/>
          </w:tcPr>
          <w:p>
            <w:pPr>
              <w:spacing w:after="0"/>
              <w:rPr>
                <w:sz w:val="13"/>
                <w:szCs w:val="13"/>
                <w:color w:val="auto"/>
              </w:rPr>
            </w:pPr>
          </w:p>
        </w:tc>
        <w:tc>
          <w:tcPr>
            <w:tcW w:w="660" w:type="dxa"/>
            <w:vAlign w:val="bottom"/>
            <w:gridSpan w:val="3"/>
            <w:vMerge w:val="continue"/>
            <w:shd w:val="clear" w:color="auto" w:fill="FDFDFC"/>
          </w:tcPr>
          <w:p>
            <w:pPr>
              <w:spacing w:after="0"/>
              <w:rPr>
                <w:sz w:val="13"/>
                <w:szCs w:val="13"/>
                <w:color w:val="auto"/>
              </w:rPr>
            </w:pPr>
          </w:p>
        </w:tc>
        <w:tc>
          <w:tcPr>
            <w:tcW w:w="20" w:type="dxa"/>
            <w:vAlign w:val="bottom"/>
            <w:shd w:val="clear" w:color="auto" w:fill="FDFDFC"/>
          </w:tcPr>
          <w:p>
            <w:pPr>
              <w:spacing w:after="0"/>
              <w:rPr>
                <w:sz w:val="13"/>
                <w:szCs w:val="13"/>
                <w:color w:val="auto"/>
              </w:rPr>
            </w:pPr>
          </w:p>
        </w:tc>
        <w:tc>
          <w:tcPr>
            <w:tcW w:w="80" w:type="dxa"/>
            <w:vAlign w:val="bottom"/>
            <w:shd w:val="clear" w:color="auto" w:fill="FDFDFC"/>
          </w:tcPr>
          <w:p>
            <w:pPr>
              <w:spacing w:after="0"/>
              <w:rPr>
                <w:sz w:val="13"/>
                <w:szCs w:val="13"/>
                <w:color w:val="auto"/>
              </w:rPr>
            </w:pPr>
          </w:p>
        </w:tc>
        <w:tc>
          <w:tcPr>
            <w:tcW w:w="660" w:type="dxa"/>
            <w:vAlign w:val="bottom"/>
            <w:gridSpan w:val="4"/>
            <w:vMerge w:val="continue"/>
            <w:shd w:val="clear" w:color="auto" w:fill="FDFDFC"/>
          </w:tcPr>
          <w:p>
            <w:pPr>
              <w:spacing w:after="0"/>
              <w:rPr>
                <w:sz w:val="13"/>
                <w:szCs w:val="13"/>
                <w:color w:val="auto"/>
              </w:rPr>
            </w:pPr>
          </w:p>
        </w:tc>
        <w:tc>
          <w:tcPr>
            <w:tcW w:w="0" w:type="dxa"/>
            <w:vAlign w:val="bottom"/>
          </w:tcPr>
          <w:p>
            <w:pPr>
              <w:spacing w:after="0"/>
              <w:rPr>
                <w:sz w:val="1"/>
                <w:szCs w:val="1"/>
                <w:color w:val="auto"/>
              </w:rPr>
            </w:pPr>
          </w:p>
        </w:tc>
      </w:tr>
      <w:tr>
        <w:trPr>
          <w:trHeight w:val="141"/>
        </w:trPr>
        <w:tc>
          <w:tcPr>
            <w:tcW w:w="2720" w:type="dxa"/>
            <w:vAlign w:val="bottom"/>
            <w:gridSpan w:val="4"/>
            <w:shd w:val="clear" w:color="auto" w:fill="D0EBF2"/>
          </w:tcPr>
          <w:p>
            <w:pPr>
              <w:spacing w:after="0"/>
              <w:rPr>
                <w:sz w:val="20"/>
                <w:szCs w:val="20"/>
                <w:color w:val="auto"/>
              </w:rPr>
            </w:pPr>
            <w:r>
              <w:rPr>
                <w:rFonts w:ascii="Times New Roman" w:cs="Times New Roman" w:eastAsia="Times New Roman" w:hAnsi="Times New Roman"/>
                <w:sz w:val="12"/>
                <w:szCs w:val="12"/>
                <w:color w:val="231F20"/>
              </w:rPr>
              <w:t xml:space="preserve">Total return based on market value </w:t>
            </w:r>
            <w:r>
              <w:rPr>
                <w:rFonts w:ascii="Times New Roman" w:cs="Times New Roman" w:eastAsia="Times New Roman" w:hAnsi="Times New Roman"/>
                <w:sz w:val="7"/>
                <w:szCs w:val="7"/>
                <w:color w:val="231F20"/>
              </w:rPr>
              <w:t>(4)</w:t>
            </w:r>
          </w:p>
        </w:tc>
        <w:tc>
          <w:tcPr>
            <w:tcW w:w="0" w:type="dxa"/>
            <w:vAlign w:val="bottom"/>
            <w:shd w:val="clear" w:color="auto" w:fill="D0EBF2"/>
          </w:tcPr>
          <w:p>
            <w:pPr>
              <w:spacing w:after="0"/>
              <w:rPr>
                <w:sz w:val="12"/>
                <w:szCs w:val="12"/>
                <w:color w:val="auto"/>
              </w:rPr>
            </w:pPr>
          </w:p>
        </w:tc>
        <w:tc>
          <w:tcPr>
            <w:tcW w:w="680" w:type="dxa"/>
            <w:vAlign w:val="bottom"/>
            <w:gridSpan w:val="2"/>
            <w:shd w:val="clear" w:color="auto" w:fill="D0EBF2"/>
          </w:tcPr>
          <w:p>
            <w:pPr>
              <w:jc w:val="right"/>
              <w:spacing w:after="0"/>
              <w:rPr>
                <w:sz w:val="20"/>
                <w:szCs w:val="20"/>
                <w:color w:val="auto"/>
              </w:rPr>
            </w:pPr>
            <w:r>
              <w:rPr>
                <w:rFonts w:ascii="Times New Roman" w:cs="Times New Roman" w:eastAsia="Times New Roman" w:hAnsi="Times New Roman"/>
                <w:sz w:val="12"/>
                <w:szCs w:val="12"/>
                <w:color w:val="231F20"/>
              </w:rPr>
              <w:t>8.29%</w:t>
            </w:r>
          </w:p>
        </w:tc>
        <w:tc>
          <w:tcPr>
            <w:tcW w:w="40" w:type="dxa"/>
            <w:vAlign w:val="bottom"/>
            <w:shd w:val="clear" w:color="auto" w:fill="D0EBF2"/>
          </w:tcPr>
          <w:p>
            <w:pPr>
              <w:spacing w:after="0"/>
              <w:rPr>
                <w:sz w:val="12"/>
                <w:szCs w:val="12"/>
                <w:color w:val="auto"/>
              </w:rPr>
            </w:pPr>
          </w:p>
        </w:tc>
        <w:tc>
          <w:tcPr>
            <w:tcW w:w="60" w:type="dxa"/>
            <w:vAlign w:val="bottom"/>
            <w:shd w:val="clear" w:color="auto" w:fill="D0EBF2"/>
          </w:tcPr>
          <w:p>
            <w:pPr>
              <w:spacing w:after="0"/>
              <w:rPr>
                <w:sz w:val="12"/>
                <w:szCs w:val="12"/>
                <w:color w:val="auto"/>
              </w:rPr>
            </w:pPr>
          </w:p>
        </w:tc>
        <w:tc>
          <w:tcPr>
            <w:tcW w:w="680" w:type="dxa"/>
            <w:vAlign w:val="bottom"/>
            <w:gridSpan w:val="3"/>
            <w:shd w:val="clear" w:color="auto" w:fill="D0EBF2"/>
          </w:tcPr>
          <w:p>
            <w:pPr>
              <w:jc w:val="right"/>
              <w:spacing w:after="0"/>
              <w:rPr>
                <w:sz w:val="20"/>
                <w:szCs w:val="20"/>
                <w:color w:val="auto"/>
              </w:rPr>
            </w:pPr>
            <w:r>
              <w:rPr>
                <w:rFonts w:ascii="Times New Roman" w:cs="Times New Roman" w:eastAsia="Times New Roman" w:hAnsi="Times New Roman"/>
                <w:sz w:val="12"/>
                <w:szCs w:val="12"/>
                <w:color w:val="231F20"/>
              </w:rPr>
              <w:t>33.14%</w:t>
            </w:r>
          </w:p>
        </w:tc>
        <w:tc>
          <w:tcPr>
            <w:tcW w:w="40" w:type="dxa"/>
            <w:vAlign w:val="bottom"/>
            <w:shd w:val="clear" w:color="auto" w:fill="D0EBF2"/>
          </w:tcPr>
          <w:p>
            <w:pPr>
              <w:spacing w:after="0"/>
              <w:rPr>
                <w:sz w:val="12"/>
                <w:szCs w:val="12"/>
                <w:color w:val="auto"/>
              </w:rPr>
            </w:pPr>
          </w:p>
        </w:tc>
        <w:tc>
          <w:tcPr>
            <w:tcW w:w="60" w:type="dxa"/>
            <w:vAlign w:val="bottom"/>
            <w:shd w:val="clear" w:color="auto" w:fill="D0EBF2"/>
          </w:tcPr>
          <w:p>
            <w:pPr>
              <w:spacing w:after="0"/>
              <w:rPr>
                <w:sz w:val="12"/>
                <w:szCs w:val="12"/>
                <w:color w:val="auto"/>
              </w:rPr>
            </w:pPr>
          </w:p>
        </w:tc>
        <w:tc>
          <w:tcPr>
            <w:tcW w:w="580" w:type="dxa"/>
            <w:vAlign w:val="bottom"/>
            <w:shd w:val="clear" w:color="auto" w:fill="D0EBF2"/>
          </w:tcPr>
          <w:p>
            <w:pPr>
              <w:jc w:val="right"/>
              <w:spacing w:after="0"/>
              <w:rPr>
                <w:sz w:val="20"/>
                <w:szCs w:val="20"/>
                <w:color w:val="auto"/>
              </w:rPr>
            </w:pPr>
            <w:r>
              <w:rPr>
                <w:rFonts w:ascii="Times New Roman" w:cs="Times New Roman" w:eastAsia="Times New Roman" w:hAnsi="Times New Roman"/>
                <w:sz w:val="12"/>
                <w:szCs w:val="12"/>
                <w:color w:val="231F20"/>
              </w:rPr>
              <w:t>(16.03)%</w:t>
            </w:r>
          </w:p>
        </w:tc>
        <w:tc>
          <w:tcPr>
            <w:tcW w:w="0" w:type="dxa"/>
            <w:vAlign w:val="bottom"/>
            <w:shd w:val="clear" w:color="auto" w:fill="D0EBF2"/>
          </w:tcPr>
          <w:p>
            <w:pPr>
              <w:spacing w:after="0"/>
              <w:rPr>
                <w:sz w:val="12"/>
                <w:szCs w:val="12"/>
                <w:color w:val="auto"/>
              </w:rPr>
            </w:pPr>
          </w:p>
        </w:tc>
        <w:tc>
          <w:tcPr>
            <w:tcW w:w="100" w:type="dxa"/>
            <w:vAlign w:val="bottom"/>
            <w:shd w:val="clear" w:color="auto" w:fill="D0EBF2"/>
          </w:tcPr>
          <w:p>
            <w:pPr>
              <w:spacing w:after="0"/>
              <w:rPr>
                <w:sz w:val="12"/>
                <w:szCs w:val="12"/>
                <w:color w:val="auto"/>
              </w:rPr>
            </w:pPr>
          </w:p>
        </w:tc>
        <w:tc>
          <w:tcPr>
            <w:tcW w:w="20" w:type="dxa"/>
            <w:vAlign w:val="bottom"/>
            <w:shd w:val="clear" w:color="auto" w:fill="D0EBF2"/>
          </w:tcPr>
          <w:p>
            <w:pPr>
              <w:spacing w:after="0"/>
              <w:rPr>
                <w:sz w:val="12"/>
                <w:szCs w:val="12"/>
                <w:color w:val="auto"/>
              </w:rPr>
            </w:pPr>
          </w:p>
        </w:tc>
        <w:tc>
          <w:tcPr>
            <w:tcW w:w="60" w:type="dxa"/>
            <w:vAlign w:val="bottom"/>
            <w:shd w:val="clear" w:color="auto" w:fill="D0EBF2"/>
          </w:tcPr>
          <w:p>
            <w:pPr>
              <w:spacing w:after="0"/>
              <w:rPr>
                <w:sz w:val="12"/>
                <w:szCs w:val="12"/>
                <w:color w:val="auto"/>
              </w:rPr>
            </w:pPr>
          </w:p>
        </w:tc>
        <w:tc>
          <w:tcPr>
            <w:tcW w:w="680" w:type="dxa"/>
            <w:vAlign w:val="bottom"/>
            <w:gridSpan w:val="4"/>
            <w:shd w:val="clear" w:color="auto" w:fill="D0EBF2"/>
          </w:tcPr>
          <w:p>
            <w:pPr>
              <w:jc w:val="right"/>
              <w:spacing w:after="0"/>
              <w:rPr>
                <w:sz w:val="20"/>
                <w:szCs w:val="20"/>
                <w:color w:val="auto"/>
              </w:rPr>
            </w:pPr>
            <w:r>
              <w:rPr>
                <w:rFonts w:ascii="Times New Roman" w:cs="Times New Roman" w:eastAsia="Times New Roman" w:hAnsi="Times New Roman"/>
                <w:sz w:val="12"/>
                <w:szCs w:val="12"/>
                <w:color w:val="231F20"/>
              </w:rPr>
              <w:t>30.02%</w:t>
            </w:r>
          </w:p>
        </w:tc>
        <w:tc>
          <w:tcPr>
            <w:tcW w:w="80" w:type="dxa"/>
            <w:vAlign w:val="bottom"/>
            <w:shd w:val="clear" w:color="auto" w:fill="D0EBF2"/>
          </w:tcPr>
          <w:p>
            <w:pPr>
              <w:spacing w:after="0"/>
              <w:rPr>
                <w:sz w:val="12"/>
                <w:szCs w:val="12"/>
                <w:color w:val="auto"/>
              </w:rPr>
            </w:pPr>
          </w:p>
        </w:tc>
        <w:tc>
          <w:tcPr>
            <w:tcW w:w="660" w:type="dxa"/>
            <w:vAlign w:val="bottom"/>
            <w:gridSpan w:val="3"/>
            <w:shd w:val="clear" w:color="auto" w:fill="D0EBF2"/>
          </w:tcPr>
          <w:p>
            <w:pPr>
              <w:jc w:val="right"/>
              <w:spacing w:after="0"/>
              <w:rPr>
                <w:sz w:val="20"/>
                <w:szCs w:val="20"/>
                <w:color w:val="auto"/>
              </w:rPr>
            </w:pPr>
            <w:r>
              <w:rPr>
                <w:rFonts w:ascii="Times New Roman" w:cs="Times New Roman" w:eastAsia="Times New Roman" w:hAnsi="Times New Roman"/>
                <w:sz w:val="12"/>
                <w:szCs w:val="12"/>
                <w:color w:val="231F20"/>
              </w:rPr>
              <w:t>7.36%</w:t>
            </w:r>
          </w:p>
        </w:tc>
        <w:tc>
          <w:tcPr>
            <w:tcW w:w="20" w:type="dxa"/>
            <w:vAlign w:val="bottom"/>
            <w:shd w:val="clear" w:color="auto" w:fill="D0EBF2"/>
          </w:tcPr>
          <w:p>
            <w:pPr>
              <w:spacing w:after="0"/>
              <w:rPr>
                <w:sz w:val="12"/>
                <w:szCs w:val="12"/>
                <w:color w:val="auto"/>
              </w:rPr>
            </w:pPr>
          </w:p>
        </w:tc>
        <w:tc>
          <w:tcPr>
            <w:tcW w:w="60" w:type="dxa"/>
            <w:vAlign w:val="bottom"/>
            <w:shd w:val="clear" w:color="auto" w:fill="D0EBF2"/>
          </w:tcPr>
          <w:p>
            <w:pPr>
              <w:spacing w:after="0"/>
              <w:rPr>
                <w:sz w:val="12"/>
                <w:szCs w:val="12"/>
                <w:color w:val="auto"/>
              </w:rPr>
            </w:pPr>
          </w:p>
        </w:tc>
        <w:tc>
          <w:tcPr>
            <w:tcW w:w="660" w:type="dxa"/>
            <w:vAlign w:val="bottom"/>
            <w:gridSpan w:val="3"/>
            <w:shd w:val="clear" w:color="auto" w:fill="D0EBF2"/>
          </w:tcPr>
          <w:p>
            <w:pPr>
              <w:jc w:val="right"/>
              <w:spacing w:after="0"/>
              <w:rPr>
                <w:sz w:val="20"/>
                <w:szCs w:val="20"/>
                <w:color w:val="auto"/>
              </w:rPr>
            </w:pPr>
            <w:r>
              <w:rPr>
                <w:rFonts w:ascii="Times New Roman" w:cs="Times New Roman" w:eastAsia="Times New Roman" w:hAnsi="Times New Roman"/>
                <w:sz w:val="12"/>
                <w:szCs w:val="12"/>
                <w:color w:val="231F20"/>
              </w:rPr>
              <w:t>28.69%</w:t>
            </w:r>
          </w:p>
        </w:tc>
        <w:tc>
          <w:tcPr>
            <w:tcW w:w="20" w:type="dxa"/>
            <w:vAlign w:val="bottom"/>
            <w:shd w:val="clear" w:color="auto" w:fill="D0EBF2"/>
          </w:tcPr>
          <w:p>
            <w:pPr>
              <w:spacing w:after="0"/>
              <w:rPr>
                <w:sz w:val="12"/>
                <w:szCs w:val="12"/>
                <w:color w:val="auto"/>
              </w:rPr>
            </w:pPr>
          </w:p>
        </w:tc>
        <w:tc>
          <w:tcPr>
            <w:tcW w:w="60" w:type="dxa"/>
            <w:vAlign w:val="bottom"/>
            <w:shd w:val="clear" w:color="auto" w:fill="D0EBF2"/>
          </w:tcPr>
          <w:p>
            <w:pPr>
              <w:spacing w:after="0"/>
              <w:rPr>
                <w:sz w:val="12"/>
                <w:szCs w:val="12"/>
                <w:color w:val="auto"/>
              </w:rPr>
            </w:pPr>
          </w:p>
        </w:tc>
        <w:tc>
          <w:tcPr>
            <w:tcW w:w="660" w:type="dxa"/>
            <w:vAlign w:val="bottom"/>
            <w:gridSpan w:val="3"/>
            <w:shd w:val="clear" w:color="auto" w:fill="D0EBF2"/>
          </w:tcPr>
          <w:p>
            <w:pPr>
              <w:jc w:val="right"/>
              <w:spacing w:after="0"/>
              <w:rPr>
                <w:sz w:val="20"/>
                <w:szCs w:val="20"/>
                <w:color w:val="auto"/>
              </w:rPr>
            </w:pPr>
            <w:r>
              <w:rPr>
                <w:rFonts w:ascii="Times New Roman" w:cs="Times New Roman" w:eastAsia="Times New Roman" w:hAnsi="Times New Roman"/>
                <w:sz w:val="12"/>
                <w:szCs w:val="12"/>
                <w:color w:val="231F20"/>
              </w:rPr>
              <w:t>0.35%</w:t>
            </w:r>
          </w:p>
        </w:tc>
        <w:tc>
          <w:tcPr>
            <w:tcW w:w="20" w:type="dxa"/>
            <w:vAlign w:val="bottom"/>
            <w:shd w:val="clear" w:color="auto" w:fill="D0EBF2"/>
          </w:tcPr>
          <w:p>
            <w:pPr>
              <w:spacing w:after="0"/>
              <w:rPr>
                <w:sz w:val="12"/>
                <w:szCs w:val="12"/>
                <w:color w:val="auto"/>
              </w:rPr>
            </w:pPr>
          </w:p>
        </w:tc>
        <w:tc>
          <w:tcPr>
            <w:tcW w:w="60" w:type="dxa"/>
            <w:vAlign w:val="bottom"/>
            <w:shd w:val="clear" w:color="auto" w:fill="D0EBF2"/>
          </w:tcPr>
          <w:p>
            <w:pPr>
              <w:spacing w:after="0"/>
              <w:rPr>
                <w:sz w:val="12"/>
                <w:szCs w:val="12"/>
                <w:color w:val="auto"/>
              </w:rPr>
            </w:pPr>
          </w:p>
        </w:tc>
        <w:tc>
          <w:tcPr>
            <w:tcW w:w="680" w:type="dxa"/>
            <w:vAlign w:val="bottom"/>
            <w:gridSpan w:val="3"/>
            <w:shd w:val="clear" w:color="auto" w:fill="D0EBF2"/>
          </w:tcPr>
          <w:p>
            <w:pPr>
              <w:jc w:val="right"/>
              <w:spacing w:after="0"/>
              <w:rPr>
                <w:sz w:val="20"/>
                <w:szCs w:val="20"/>
                <w:color w:val="auto"/>
              </w:rPr>
            </w:pPr>
            <w:r>
              <w:rPr>
                <w:rFonts w:ascii="Times New Roman" w:cs="Times New Roman" w:eastAsia="Times New Roman" w:hAnsi="Times New Roman"/>
                <w:sz w:val="12"/>
                <w:szCs w:val="12"/>
                <w:color w:val="231F20"/>
              </w:rPr>
              <w:t>15.36%</w:t>
            </w:r>
          </w:p>
        </w:tc>
        <w:tc>
          <w:tcPr>
            <w:tcW w:w="80" w:type="dxa"/>
            <w:vAlign w:val="bottom"/>
            <w:shd w:val="clear" w:color="auto" w:fill="D0EBF2"/>
          </w:tcPr>
          <w:p>
            <w:pPr>
              <w:spacing w:after="0"/>
              <w:rPr>
                <w:sz w:val="12"/>
                <w:szCs w:val="12"/>
                <w:color w:val="auto"/>
              </w:rPr>
            </w:pPr>
          </w:p>
        </w:tc>
        <w:tc>
          <w:tcPr>
            <w:tcW w:w="660" w:type="dxa"/>
            <w:vAlign w:val="bottom"/>
            <w:gridSpan w:val="3"/>
            <w:shd w:val="clear" w:color="auto" w:fill="D0EBF2"/>
          </w:tcPr>
          <w:p>
            <w:pPr>
              <w:jc w:val="right"/>
              <w:spacing w:after="0"/>
              <w:rPr>
                <w:sz w:val="20"/>
                <w:szCs w:val="20"/>
                <w:color w:val="auto"/>
              </w:rPr>
            </w:pPr>
            <w:r>
              <w:rPr>
                <w:rFonts w:ascii="Times New Roman" w:cs="Times New Roman" w:eastAsia="Times New Roman" w:hAnsi="Times New Roman"/>
                <w:sz w:val="12"/>
                <w:szCs w:val="12"/>
                <w:color w:val="231F20"/>
              </w:rPr>
              <w:t>24.78%</w:t>
            </w:r>
          </w:p>
        </w:tc>
        <w:tc>
          <w:tcPr>
            <w:tcW w:w="20" w:type="dxa"/>
            <w:vAlign w:val="bottom"/>
            <w:shd w:val="clear" w:color="auto" w:fill="D0EBF2"/>
          </w:tcPr>
          <w:p>
            <w:pPr>
              <w:spacing w:after="0"/>
              <w:rPr>
                <w:sz w:val="12"/>
                <w:szCs w:val="12"/>
                <w:color w:val="auto"/>
              </w:rPr>
            </w:pPr>
          </w:p>
        </w:tc>
        <w:tc>
          <w:tcPr>
            <w:tcW w:w="80" w:type="dxa"/>
            <w:vAlign w:val="bottom"/>
            <w:shd w:val="clear" w:color="auto" w:fill="D0EBF2"/>
          </w:tcPr>
          <w:p>
            <w:pPr>
              <w:spacing w:after="0"/>
              <w:rPr>
                <w:sz w:val="12"/>
                <w:szCs w:val="12"/>
                <w:color w:val="auto"/>
              </w:rPr>
            </w:pPr>
          </w:p>
        </w:tc>
        <w:tc>
          <w:tcPr>
            <w:tcW w:w="660" w:type="dxa"/>
            <w:vAlign w:val="bottom"/>
            <w:gridSpan w:val="4"/>
            <w:shd w:val="clear" w:color="auto" w:fill="D0EBF2"/>
          </w:tcPr>
          <w:p>
            <w:pPr>
              <w:jc w:val="right"/>
              <w:spacing w:after="0"/>
              <w:rPr>
                <w:sz w:val="20"/>
                <w:szCs w:val="20"/>
                <w:color w:val="auto"/>
              </w:rPr>
            </w:pPr>
            <w:r>
              <w:rPr>
                <w:rFonts w:ascii="Times New Roman" w:cs="Times New Roman" w:eastAsia="Times New Roman" w:hAnsi="Times New Roman"/>
                <w:sz w:val="12"/>
                <w:szCs w:val="12"/>
                <w:color w:val="231F20"/>
              </w:rPr>
              <w:t>5.71%</w:t>
            </w:r>
          </w:p>
        </w:tc>
        <w:tc>
          <w:tcPr>
            <w:tcW w:w="0" w:type="dxa"/>
            <w:vAlign w:val="bottom"/>
          </w:tcPr>
          <w:p>
            <w:pPr>
              <w:spacing w:after="0"/>
              <w:rPr>
                <w:sz w:val="1"/>
                <w:szCs w:val="1"/>
                <w:color w:val="auto"/>
              </w:rPr>
            </w:pPr>
          </w:p>
        </w:tc>
      </w:tr>
      <w:tr>
        <w:trPr>
          <w:trHeight w:val="141"/>
        </w:trPr>
        <w:tc>
          <w:tcPr>
            <w:tcW w:w="2720" w:type="dxa"/>
            <w:vAlign w:val="bottom"/>
            <w:gridSpan w:val="4"/>
          </w:tcPr>
          <w:p>
            <w:pPr>
              <w:spacing w:after="0"/>
              <w:rPr>
                <w:sz w:val="20"/>
                <w:szCs w:val="20"/>
                <w:color w:val="auto"/>
              </w:rPr>
            </w:pPr>
            <w:r>
              <w:rPr>
                <w:rFonts w:ascii="Times New Roman" w:cs="Times New Roman" w:eastAsia="Times New Roman" w:hAnsi="Times New Roman"/>
                <w:sz w:val="12"/>
                <w:szCs w:val="12"/>
                <w:color w:val="231F20"/>
              </w:rPr>
              <w:t xml:space="preserve">Total return based on net asset value </w:t>
            </w:r>
            <w:r>
              <w:rPr>
                <w:rFonts w:ascii="Times New Roman" w:cs="Times New Roman" w:eastAsia="Times New Roman" w:hAnsi="Times New Roman"/>
                <w:sz w:val="7"/>
                <w:szCs w:val="7"/>
                <w:color w:val="231F20"/>
              </w:rPr>
              <w:t>(5)</w:t>
            </w:r>
          </w:p>
        </w:tc>
        <w:tc>
          <w:tcPr>
            <w:tcW w:w="0" w:type="dxa"/>
            <w:vAlign w:val="bottom"/>
          </w:tcPr>
          <w:p>
            <w:pPr>
              <w:spacing w:after="0"/>
              <w:rPr>
                <w:sz w:val="12"/>
                <w:szCs w:val="12"/>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231F20"/>
              </w:rPr>
              <w:t>12.98%</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gridSpan w:val="3"/>
          </w:tcPr>
          <w:p>
            <w:pPr>
              <w:jc w:val="right"/>
              <w:spacing w:after="0"/>
              <w:rPr>
                <w:sz w:val="20"/>
                <w:szCs w:val="20"/>
                <w:color w:val="auto"/>
              </w:rPr>
            </w:pPr>
            <w:r>
              <w:rPr>
                <w:rFonts w:ascii="Times New Roman" w:cs="Times New Roman" w:eastAsia="Times New Roman" w:hAnsi="Times New Roman"/>
                <w:sz w:val="12"/>
                <w:szCs w:val="12"/>
                <w:color w:val="231F20"/>
              </w:rPr>
              <w:t>16.09%</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gridSpan w:val="3"/>
          </w:tcPr>
          <w:p>
            <w:pPr>
              <w:jc w:val="right"/>
              <w:spacing w:after="0"/>
              <w:rPr>
                <w:sz w:val="20"/>
                <w:szCs w:val="20"/>
                <w:color w:val="auto"/>
              </w:rPr>
            </w:pPr>
            <w:r>
              <w:rPr>
                <w:rFonts w:ascii="Times New Roman" w:cs="Times New Roman" w:eastAsia="Times New Roman" w:hAnsi="Times New Roman"/>
                <w:sz w:val="12"/>
                <w:szCs w:val="12"/>
                <w:color w:val="231F20"/>
              </w:rPr>
              <w:t>8.79%</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gridSpan w:val="4"/>
          </w:tcPr>
          <w:p>
            <w:pPr>
              <w:jc w:val="right"/>
              <w:spacing w:after="0"/>
              <w:rPr>
                <w:sz w:val="20"/>
                <w:szCs w:val="20"/>
                <w:color w:val="auto"/>
              </w:rPr>
            </w:pPr>
            <w:r>
              <w:rPr>
                <w:rFonts w:ascii="Times New Roman" w:cs="Times New Roman" w:eastAsia="Times New Roman" w:hAnsi="Times New Roman"/>
                <w:sz w:val="12"/>
                <w:szCs w:val="12"/>
                <w:color w:val="231F20"/>
              </w:rPr>
              <w:t>19.06%</w:t>
            </w:r>
          </w:p>
        </w:tc>
        <w:tc>
          <w:tcPr>
            <w:tcW w:w="80" w:type="dxa"/>
            <w:vAlign w:val="bottom"/>
          </w:tcPr>
          <w:p>
            <w:pPr>
              <w:spacing w:after="0"/>
              <w:rPr>
                <w:sz w:val="12"/>
                <w:szCs w:val="12"/>
                <w:color w:val="auto"/>
              </w:rPr>
            </w:pPr>
          </w:p>
        </w:tc>
        <w:tc>
          <w:tcPr>
            <w:tcW w:w="660" w:type="dxa"/>
            <w:vAlign w:val="bottom"/>
            <w:gridSpan w:val="3"/>
          </w:tcPr>
          <w:p>
            <w:pPr>
              <w:jc w:val="right"/>
              <w:spacing w:after="0"/>
              <w:rPr>
                <w:sz w:val="20"/>
                <w:szCs w:val="20"/>
                <w:color w:val="auto"/>
              </w:rPr>
            </w:pPr>
            <w:r>
              <w:rPr>
                <w:rFonts w:ascii="Times New Roman" w:cs="Times New Roman" w:eastAsia="Times New Roman" w:hAnsi="Times New Roman"/>
                <w:sz w:val="12"/>
                <w:szCs w:val="12"/>
                <w:color w:val="231F20"/>
              </w:rPr>
              <w:t>15.63%</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gridSpan w:val="3"/>
          </w:tcPr>
          <w:p>
            <w:pPr>
              <w:jc w:val="right"/>
              <w:spacing w:after="0"/>
              <w:rPr>
                <w:sz w:val="20"/>
                <w:szCs w:val="20"/>
                <w:color w:val="auto"/>
              </w:rPr>
            </w:pPr>
            <w:r>
              <w:rPr>
                <w:rFonts w:ascii="Times New Roman" w:cs="Times New Roman" w:eastAsia="Times New Roman" w:hAnsi="Times New Roman"/>
                <w:sz w:val="12"/>
                <w:szCs w:val="12"/>
                <w:color w:val="231F20"/>
              </w:rPr>
              <w:t>14.71%</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gridSpan w:val="3"/>
          </w:tcPr>
          <w:p>
            <w:pPr>
              <w:jc w:val="right"/>
              <w:spacing w:after="0"/>
              <w:rPr>
                <w:sz w:val="20"/>
                <w:szCs w:val="20"/>
                <w:color w:val="auto"/>
              </w:rPr>
            </w:pPr>
            <w:r>
              <w:rPr>
                <w:rFonts w:ascii="Times New Roman" w:cs="Times New Roman" w:eastAsia="Times New Roman" w:hAnsi="Times New Roman"/>
                <w:sz w:val="12"/>
                <w:szCs w:val="12"/>
                <w:color w:val="231F20"/>
              </w:rPr>
              <w:t>12.06%</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gridSpan w:val="3"/>
          </w:tcPr>
          <w:p>
            <w:pPr>
              <w:jc w:val="right"/>
              <w:spacing w:after="0"/>
              <w:rPr>
                <w:sz w:val="20"/>
                <w:szCs w:val="20"/>
                <w:color w:val="auto"/>
              </w:rPr>
            </w:pPr>
            <w:r>
              <w:rPr>
                <w:rFonts w:ascii="Times New Roman" w:cs="Times New Roman" w:eastAsia="Times New Roman" w:hAnsi="Times New Roman"/>
                <w:sz w:val="12"/>
                <w:szCs w:val="12"/>
                <w:color w:val="231F20"/>
              </w:rPr>
              <w:t>11.87%</w:t>
            </w:r>
          </w:p>
        </w:tc>
        <w:tc>
          <w:tcPr>
            <w:tcW w:w="80" w:type="dxa"/>
            <w:vAlign w:val="bottom"/>
          </w:tcPr>
          <w:p>
            <w:pPr>
              <w:spacing w:after="0"/>
              <w:rPr>
                <w:sz w:val="12"/>
                <w:szCs w:val="12"/>
                <w:color w:val="auto"/>
              </w:rPr>
            </w:pPr>
          </w:p>
        </w:tc>
        <w:tc>
          <w:tcPr>
            <w:tcW w:w="660" w:type="dxa"/>
            <w:vAlign w:val="bottom"/>
            <w:gridSpan w:val="3"/>
          </w:tcPr>
          <w:p>
            <w:pPr>
              <w:jc w:val="right"/>
              <w:spacing w:after="0"/>
              <w:rPr>
                <w:sz w:val="20"/>
                <w:szCs w:val="20"/>
                <w:color w:val="auto"/>
              </w:rPr>
            </w:pPr>
            <w:r>
              <w:rPr>
                <w:rFonts w:ascii="Times New Roman" w:cs="Times New Roman" w:eastAsia="Times New Roman" w:hAnsi="Times New Roman"/>
                <w:sz w:val="12"/>
                <w:szCs w:val="12"/>
                <w:color w:val="231F20"/>
              </w:rPr>
              <w:t>15.54%</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gridSpan w:val="4"/>
          </w:tcPr>
          <w:p>
            <w:pPr>
              <w:jc w:val="right"/>
              <w:spacing w:after="0"/>
              <w:rPr>
                <w:sz w:val="20"/>
                <w:szCs w:val="20"/>
                <w:color w:val="auto"/>
              </w:rPr>
            </w:pPr>
            <w:r>
              <w:rPr>
                <w:rFonts w:ascii="Times New Roman" w:cs="Times New Roman" w:eastAsia="Times New Roman" w:hAnsi="Times New Roman"/>
                <w:sz w:val="12"/>
                <w:szCs w:val="12"/>
                <w:color w:val="231F20"/>
              </w:rPr>
              <w:t>7.62%</w:t>
            </w:r>
          </w:p>
        </w:tc>
        <w:tc>
          <w:tcPr>
            <w:tcW w:w="0" w:type="dxa"/>
            <w:vAlign w:val="bottom"/>
          </w:tcPr>
          <w:p>
            <w:pPr>
              <w:spacing w:after="0"/>
              <w:rPr>
                <w:sz w:val="1"/>
                <w:szCs w:val="1"/>
                <w:color w:val="auto"/>
              </w:rPr>
            </w:pPr>
          </w:p>
        </w:tc>
      </w:tr>
      <w:tr>
        <w:trPr>
          <w:trHeight w:val="141"/>
        </w:trPr>
        <w:tc>
          <w:tcPr>
            <w:tcW w:w="2720" w:type="dxa"/>
            <w:vAlign w:val="bottom"/>
            <w:gridSpan w:val="4"/>
            <w:shd w:val="clear" w:color="auto" w:fill="D0EBF2"/>
          </w:tcPr>
          <w:p>
            <w:pPr>
              <w:spacing w:after="0"/>
              <w:rPr>
                <w:sz w:val="20"/>
                <w:szCs w:val="20"/>
                <w:color w:val="auto"/>
              </w:rPr>
            </w:pPr>
            <w:r>
              <w:rPr>
                <w:rFonts w:ascii="Times New Roman" w:cs="Times New Roman" w:eastAsia="Times New Roman" w:hAnsi="Times New Roman"/>
                <w:sz w:val="12"/>
                <w:szCs w:val="12"/>
                <w:color w:val="231F20"/>
              </w:rPr>
              <w:t>Shares Outstanding, End of Period</w:t>
            </w:r>
          </w:p>
        </w:tc>
        <w:tc>
          <w:tcPr>
            <w:tcW w:w="0" w:type="dxa"/>
            <w:vAlign w:val="bottom"/>
            <w:shd w:val="clear" w:color="auto" w:fill="D0EBF2"/>
          </w:tcPr>
          <w:p>
            <w:pPr>
              <w:spacing w:after="0"/>
              <w:rPr>
                <w:sz w:val="12"/>
                <w:szCs w:val="12"/>
                <w:color w:val="auto"/>
              </w:rPr>
            </w:pPr>
          </w:p>
        </w:tc>
        <w:tc>
          <w:tcPr>
            <w:tcW w:w="560" w:type="dxa"/>
            <w:vAlign w:val="bottom"/>
            <w:shd w:val="clear" w:color="auto" w:fill="D0EBF2"/>
          </w:tcPr>
          <w:p>
            <w:pPr>
              <w:jc w:val="right"/>
              <w:spacing w:after="0"/>
              <w:rPr>
                <w:sz w:val="20"/>
                <w:szCs w:val="20"/>
                <w:color w:val="auto"/>
              </w:rPr>
            </w:pPr>
            <w:r>
              <w:rPr>
                <w:rFonts w:ascii="Times New Roman" w:cs="Times New Roman" w:eastAsia="Times New Roman" w:hAnsi="Times New Roman"/>
                <w:sz w:val="12"/>
                <w:szCs w:val="12"/>
                <w:color w:val="231F20"/>
                <w:w w:val="99"/>
              </w:rPr>
              <w:t>93,661,436</w:t>
            </w:r>
          </w:p>
        </w:tc>
        <w:tc>
          <w:tcPr>
            <w:tcW w:w="120" w:type="dxa"/>
            <w:vAlign w:val="bottom"/>
            <w:shd w:val="clear" w:color="auto" w:fill="D0EBF2"/>
          </w:tcPr>
          <w:p>
            <w:pPr>
              <w:spacing w:after="0"/>
              <w:rPr>
                <w:sz w:val="12"/>
                <w:szCs w:val="12"/>
                <w:color w:val="auto"/>
              </w:rPr>
            </w:pPr>
          </w:p>
        </w:tc>
        <w:tc>
          <w:tcPr>
            <w:tcW w:w="40" w:type="dxa"/>
            <w:vAlign w:val="bottom"/>
            <w:shd w:val="clear" w:color="auto" w:fill="D0EBF2"/>
          </w:tcPr>
          <w:p>
            <w:pPr>
              <w:spacing w:after="0"/>
              <w:rPr>
                <w:sz w:val="12"/>
                <w:szCs w:val="12"/>
                <w:color w:val="auto"/>
              </w:rPr>
            </w:pPr>
          </w:p>
        </w:tc>
        <w:tc>
          <w:tcPr>
            <w:tcW w:w="60" w:type="dxa"/>
            <w:vAlign w:val="bottom"/>
            <w:shd w:val="clear" w:color="auto" w:fill="D0EBF2"/>
          </w:tcPr>
          <w:p>
            <w:pPr>
              <w:spacing w:after="0"/>
              <w:rPr>
                <w:sz w:val="12"/>
                <w:szCs w:val="12"/>
                <w:color w:val="auto"/>
              </w:rPr>
            </w:pPr>
          </w:p>
        </w:tc>
        <w:tc>
          <w:tcPr>
            <w:tcW w:w="580" w:type="dxa"/>
            <w:vAlign w:val="bottom"/>
            <w:shd w:val="clear" w:color="auto" w:fill="D0EBF2"/>
          </w:tcPr>
          <w:p>
            <w:pPr>
              <w:jc w:val="right"/>
              <w:spacing w:after="0"/>
              <w:rPr>
                <w:sz w:val="20"/>
                <w:szCs w:val="20"/>
                <w:color w:val="auto"/>
              </w:rPr>
            </w:pPr>
            <w:r>
              <w:rPr>
                <w:rFonts w:ascii="Times New Roman" w:cs="Times New Roman" w:eastAsia="Times New Roman" w:hAnsi="Times New Roman"/>
                <w:sz w:val="12"/>
                <w:szCs w:val="12"/>
                <w:color w:val="231F20"/>
                <w:w w:val="99"/>
              </w:rPr>
              <w:t>87,829,499</w:t>
            </w:r>
          </w:p>
        </w:tc>
        <w:tc>
          <w:tcPr>
            <w:tcW w:w="0" w:type="dxa"/>
            <w:vAlign w:val="bottom"/>
            <w:shd w:val="clear" w:color="auto" w:fill="D0EBF2"/>
          </w:tcPr>
          <w:p>
            <w:pPr>
              <w:spacing w:after="0"/>
              <w:rPr>
                <w:sz w:val="12"/>
                <w:szCs w:val="12"/>
                <w:color w:val="auto"/>
              </w:rPr>
            </w:pPr>
          </w:p>
        </w:tc>
        <w:tc>
          <w:tcPr>
            <w:tcW w:w="100" w:type="dxa"/>
            <w:vAlign w:val="bottom"/>
            <w:shd w:val="clear" w:color="auto" w:fill="D0EBF2"/>
          </w:tcPr>
          <w:p>
            <w:pPr>
              <w:spacing w:after="0"/>
              <w:rPr>
                <w:sz w:val="12"/>
                <w:szCs w:val="12"/>
                <w:color w:val="auto"/>
              </w:rPr>
            </w:pPr>
          </w:p>
        </w:tc>
        <w:tc>
          <w:tcPr>
            <w:tcW w:w="40" w:type="dxa"/>
            <w:vAlign w:val="bottom"/>
            <w:shd w:val="clear" w:color="auto" w:fill="D0EBF2"/>
          </w:tcPr>
          <w:p>
            <w:pPr>
              <w:spacing w:after="0"/>
              <w:rPr>
                <w:sz w:val="12"/>
                <w:szCs w:val="12"/>
                <w:color w:val="auto"/>
              </w:rPr>
            </w:pPr>
          </w:p>
        </w:tc>
        <w:tc>
          <w:tcPr>
            <w:tcW w:w="60" w:type="dxa"/>
            <w:vAlign w:val="bottom"/>
            <w:shd w:val="clear" w:color="auto" w:fill="D0EBF2"/>
          </w:tcPr>
          <w:p>
            <w:pPr>
              <w:spacing w:after="0"/>
              <w:rPr>
                <w:sz w:val="12"/>
                <w:szCs w:val="12"/>
                <w:color w:val="auto"/>
              </w:rPr>
            </w:pPr>
          </w:p>
        </w:tc>
        <w:tc>
          <w:tcPr>
            <w:tcW w:w="580" w:type="dxa"/>
            <w:vAlign w:val="bottom"/>
            <w:shd w:val="clear" w:color="auto" w:fill="D0EBF2"/>
          </w:tcPr>
          <w:p>
            <w:pPr>
              <w:jc w:val="right"/>
              <w:spacing w:after="0"/>
              <w:rPr>
                <w:sz w:val="20"/>
                <w:szCs w:val="20"/>
                <w:color w:val="auto"/>
              </w:rPr>
            </w:pPr>
            <w:r>
              <w:rPr>
                <w:rFonts w:ascii="Times New Roman" w:cs="Times New Roman" w:eastAsia="Times New Roman" w:hAnsi="Times New Roman"/>
                <w:sz w:val="12"/>
                <w:szCs w:val="12"/>
                <w:color w:val="231F20"/>
                <w:w w:val="99"/>
              </w:rPr>
              <w:t>81,389,287</w:t>
            </w:r>
          </w:p>
        </w:tc>
        <w:tc>
          <w:tcPr>
            <w:tcW w:w="0" w:type="dxa"/>
            <w:vAlign w:val="bottom"/>
            <w:shd w:val="clear" w:color="auto" w:fill="D0EBF2"/>
          </w:tcPr>
          <w:p>
            <w:pPr>
              <w:spacing w:after="0"/>
              <w:rPr>
                <w:sz w:val="12"/>
                <w:szCs w:val="12"/>
                <w:color w:val="auto"/>
              </w:rPr>
            </w:pPr>
          </w:p>
        </w:tc>
        <w:tc>
          <w:tcPr>
            <w:tcW w:w="100" w:type="dxa"/>
            <w:vAlign w:val="bottom"/>
            <w:shd w:val="clear" w:color="auto" w:fill="D0EBF2"/>
          </w:tcPr>
          <w:p>
            <w:pPr>
              <w:spacing w:after="0"/>
              <w:rPr>
                <w:sz w:val="12"/>
                <w:szCs w:val="12"/>
                <w:color w:val="auto"/>
              </w:rPr>
            </w:pPr>
          </w:p>
        </w:tc>
        <w:tc>
          <w:tcPr>
            <w:tcW w:w="20" w:type="dxa"/>
            <w:vAlign w:val="bottom"/>
            <w:shd w:val="clear" w:color="auto" w:fill="D0EBF2"/>
          </w:tcPr>
          <w:p>
            <w:pPr>
              <w:spacing w:after="0"/>
              <w:rPr>
                <w:sz w:val="12"/>
                <w:szCs w:val="12"/>
                <w:color w:val="auto"/>
              </w:rPr>
            </w:pPr>
          </w:p>
        </w:tc>
        <w:tc>
          <w:tcPr>
            <w:tcW w:w="60" w:type="dxa"/>
            <w:vAlign w:val="bottom"/>
            <w:shd w:val="clear" w:color="auto" w:fill="D0EBF2"/>
          </w:tcPr>
          <w:p>
            <w:pPr>
              <w:spacing w:after="0"/>
              <w:rPr>
                <w:sz w:val="12"/>
                <w:szCs w:val="12"/>
                <w:color w:val="auto"/>
              </w:rPr>
            </w:pPr>
          </w:p>
        </w:tc>
        <w:tc>
          <w:tcPr>
            <w:tcW w:w="580" w:type="dxa"/>
            <w:vAlign w:val="bottom"/>
            <w:shd w:val="clear" w:color="auto" w:fill="D0EBF2"/>
          </w:tcPr>
          <w:p>
            <w:pPr>
              <w:jc w:val="right"/>
              <w:spacing w:after="0"/>
              <w:rPr>
                <w:sz w:val="20"/>
                <w:szCs w:val="20"/>
                <w:color w:val="auto"/>
              </w:rPr>
            </w:pPr>
            <w:r>
              <w:rPr>
                <w:rFonts w:ascii="Times New Roman" w:cs="Times New Roman" w:eastAsia="Times New Roman" w:hAnsi="Times New Roman"/>
                <w:sz w:val="12"/>
                <w:szCs w:val="12"/>
                <w:color w:val="231F20"/>
                <w:w w:val="99"/>
              </w:rPr>
              <w:t>75,771,542</w:t>
            </w:r>
          </w:p>
        </w:tc>
        <w:tc>
          <w:tcPr>
            <w:tcW w:w="20" w:type="dxa"/>
            <w:vAlign w:val="bottom"/>
            <w:shd w:val="clear" w:color="auto" w:fill="D0EBF2"/>
          </w:tcPr>
          <w:p>
            <w:pPr>
              <w:spacing w:after="0"/>
              <w:rPr>
                <w:sz w:val="12"/>
                <w:szCs w:val="12"/>
                <w:color w:val="auto"/>
              </w:rPr>
            </w:pPr>
          </w:p>
        </w:tc>
        <w:tc>
          <w:tcPr>
            <w:tcW w:w="20" w:type="dxa"/>
            <w:vAlign w:val="bottom"/>
            <w:shd w:val="clear" w:color="auto" w:fill="D0EBF2"/>
          </w:tcPr>
          <w:p>
            <w:pPr>
              <w:spacing w:after="0"/>
              <w:rPr>
                <w:sz w:val="12"/>
                <w:szCs w:val="12"/>
                <w:color w:val="auto"/>
              </w:rPr>
            </w:pPr>
          </w:p>
        </w:tc>
        <w:tc>
          <w:tcPr>
            <w:tcW w:w="60" w:type="dxa"/>
            <w:vAlign w:val="bottom"/>
            <w:shd w:val="clear" w:color="auto" w:fill="D0EBF2"/>
          </w:tcPr>
          <w:p>
            <w:pPr>
              <w:spacing w:after="0"/>
              <w:rPr>
                <w:sz w:val="12"/>
                <w:szCs w:val="12"/>
                <w:color w:val="auto"/>
              </w:rPr>
            </w:pPr>
          </w:p>
        </w:tc>
        <w:tc>
          <w:tcPr>
            <w:tcW w:w="80" w:type="dxa"/>
            <w:vAlign w:val="bottom"/>
            <w:shd w:val="clear" w:color="auto" w:fill="D0EBF2"/>
          </w:tcPr>
          <w:p>
            <w:pPr>
              <w:spacing w:after="0"/>
              <w:rPr>
                <w:sz w:val="12"/>
                <w:szCs w:val="12"/>
                <w:color w:val="auto"/>
              </w:rPr>
            </w:pPr>
          </w:p>
        </w:tc>
        <w:tc>
          <w:tcPr>
            <w:tcW w:w="560" w:type="dxa"/>
            <w:vAlign w:val="bottom"/>
            <w:shd w:val="clear" w:color="auto" w:fill="D0EBF2"/>
          </w:tcPr>
          <w:p>
            <w:pPr>
              <w:jc w:val="right"/>
              <w:spacing w:after="0"/>
              <w:rPr>
                <w:sz w:val="20"/>
                <w:szCs w:val="20"/>
                <w:color w:val="auto"/>
              </w:rPr>
            </w:pPr>
            <w:r>
              <w:rPr>
                <w:rFonts w:ascii="Times New Roman" w:cs="Times New Roman" w:eastAsia="Times New Roman" w:hAnsi="Times New Roman"/>
                <w:sz w:val="12"/>
                <w:szCs w:val="12"/>
                <w:color w:val="231F20"/>
                <w:w w:val="96"/>
              </w:rPr>
              <w:t>67,684,209</w:t>
            </w:r>
          </w:p>
        </w:tc>
        <w:tc>
          <w:tcPr>
            <w:tcW w:w="0" w:type="dxa"/>
            <w:vAlign w:val="bottom"/>
            <w:shd w:val="clear" w:color="auto" w:fill="D0EBF2"/>
          </w:tcPr>
          <w:p>
            <w:pPr>
              <w:spacing w:after="0"/>
              <w:rPr>
                <w:sz w:val="12"/>
                <w:szCs w:val="12"/>
                <w:color w:val="auto"/>
              </w:rPr>
            </w:pPr>
          </w:p>
        </w:tc>
        <w:tc>
          <w:tcPr>
            <w:tcW w:w="100" w:type="dxa"/>
            <w:vAlign w:val="bottom"/>
            <w:shd w:val="clear" w:color="auto" w:fill="D0EBF2"/>
          </w:tcPr>
          <w:p>
            <w:pPr>
              <w:spacing w:after="0"/>
              <w:rPr>
                <w:sz w:val="12"/>
                <w:szCs w:val="12"/>
                <w:color w:val="auto"/>
              </w:rPr>
            </w:pPr>
          </w:p>
        </w:tc>
        <w:tc>
          <w:tcPr>
            <w:tcW w:w="20" w:type="dxa"/>
            <w:vAlign w:val="bottom"/>
            <w:shd w:val="clear" w:color="auto" w:fill="D0EBF2"/>
          </w:tcPr>
          <w:p>
            <w:pPr>
              <w:spacing w:after="0"/>
              <w:rPr>
                <w:sz w:val="12"/>
                <w:szCs w:val="12"/>
                <w:color w:val="auto"/>
              </w:rPr>
            </w:pPr>
          </w:p>
        </w:tc>
        <w:tc>
          <w:tcPr>
            <w:tcW w:w="60" w:type="dxa"/>
            <w:vAlign w:val="bottom"/>
            <w:shd w:val="clear" w:color="auto" w:fill="D0EBF2"/>
          </w:tcPr>
          <w:p>
            <w:pPr>
              <w:spacing w:after="0"/>
              <w:rPr>
                <w:sz w:val="12"/>
                <w:szCs w:val="12"/>
                <w:color w:val="auto"/>
              </w:rPr>
            </w:pPr>
          </w:p>
        </w:tc>
        <w:tc>
          <w:tcPr>
            <w:tcW w:w="560" w:type="dxa"/>
            <w:vAlign w:val="bottom"/>
            <w:shd w:val="clear" w:color="auto" w:fill="D0EBF2"/>
          </w:tcPr>
          <w:p>
            <w:pPr>
              <w:jc w:val="right"/>
              <w:spacing w:after="0"/>
              <w:rPr>
                <w:sz w:val="20"/>
                <w:szCs w:val="20"/>
                <w:color w:val="auto"/>
              </w:rPr>
            </w:pPr>
            <w:r>
              <w:rPr>
                <w:rFonts w:ascii="Times New Roman" w:cs="Times New Roman" w:eastAsia="Times New Roman" w:hAnsi="Times New Roman"/>
                <w:sz w:val="12"/>
                <w:szCs w:val="12"/>
                <w:color w:val="231F20"/>
                <w:w w:val="96"/>
              </w:rPr>
              <w:t>66,524,591</w:t>
            </w:r>
          </w:p>
        </w:tc>
        <w:tc>
          <w:tcPr>
            <w:tcW w:w="0" w:type="dxa"/>
            <w:vAlign w:val="bottom"/>
            <w:shd w:val="clear" w:color="auto" w:fill="D0EBF2"/>
          </w:tcPr>
          <w:p>
            <w:pPr>
              <w:spacing w:after="0"/>
              <w:rPr>
                <w:sz w:val="12"/>
                <w:szCs w:val="12"/>
                <w:color w:val="auto"/>
              </w:rPr>
            </w:pPr>
          </w:p>
        </w:tc>
        <w:tc>
          <w:tcPr>
            <w:tcW w:w="100" w:type="dxa"/>
            <w:vAlign w:val="bottom"/>
            <w:shd w:val="clear" w:color="auto" w:fill="D0EBF2"/>
          </w:tcPr>
          <w:p>
            <w:pPr>
              <w:spacing w:after="0"/>
              <w:rPr>
                <w:sz w:val="12"/>
                <w:szCs w:val="12"/>
                <w:color w:val="auto"/>
              </w:rPr>
            </w:pPr>
          </w:p>
        </w:tc>
        <w:tc>
          <w:tcPr>
            <w:tcW w:w="20" w:type="dxa"/>
            <w:vAlign w:val="bottom"/>
            <w:shd w:val="clear" w:color="auto" w:fill="D0EBF2"/>
          </w:tcPr>
          <w:p>
            <w:pPr>
              <w:spacing w:after="0"/>
              <w:rPr>
                <w:sz w:val="12"/>
                <w:szCs w:val="12"/>
                <w:color w:val="auto"/>
              </w:rPr>
            </w:pPr>
          </w:p>
        </w:tc>
        <w:tc>
          <w:tcPr>
            <w:tcW w:w="60" w:type="dxa"/>
            <w:vAlign w:val="bottom"/>
            <w:shd w:val="clear" w:color="auto" w:fill="D0EBF2"/>
          </w:tcPr>
          <w:p>
            <w:pPr>
              <w:spacing w:after="0"/>
              <w:rPr>
                <w:sz w:val="12"/>
                <w:szCs w:val="12"/>
                <w:color w:val="auto"/>
              </w:rPr>
            </w:pPr>
          </w:p>
        </w:tc>
        <w:tc>
          <w:tcPr>
            <w:tcW w:w="560" w:type="dxa"/>
            <w:vAlign w:val="bottom"/>
            <w:shd w:val="clear" w:color="auto" w:fill="D0EBF2"/>
          </w:tcPr>
          <w:p>
            <w:pPr>
              <w:jc w:val="right"/>
              <w:spacing w:after="0"/>
              <w:rPr>
                <w:sz w:val="20"/>
                <w:szCs w:val="20"/>
                <w:color w:val="auto"/>
              </w:rPr>
            </w:pPr>
            <w:r>
              <w:rPr>
                <w:rFonts w:ascii="Times New Roman" w:cs="Times New Roman" w:eastAsia="Times New Roman" w:hAnsi="Times New Roman"/>
                <w:sz w:val="12"/>
                <w:szCs w:val="12"/>
                <w:color w:val="231F20"/>
                <w:w w:val="99"/>
              </w:rPr>
              <w:t>65,412,817</w:t>
            </w:r>
          </w:p>
        </w:tc>
        <w:tc>
          <w:tcPr>
            <w:tcW w:w="0" w:type="dxa"/>
            <w:vAlign w:val="bottom"/>
            <w:shd w:val="clear" w:color="auto" w:fill="D0EBF2"/>
          </w:tcPr>
          <w:p>
            <w:pPr>
              <w:spacing w:after="0"/>
              <w:rPr>
                <w:sz w:val="12"/>
                <w:szCs w:val="12"/>
                <w:color w:val="auto"/>
              </w:rPr>
            </w:pPr>
          </w:p>
        </w:tc>
        <w:tc>
          <w:tcPr>
            <w:tcW w:w="100" w:type="dxa"/>
            <w:vAlign w:val="bottom"/>
            <w:shd w:val="clear" w:color="auto" w:fill="D0EBF2"/>
          </w:tcPr>
          <w:p>
            <w:pPr>
              <w:spacing w:after="0"/>
              <w:rPr>
                <w:sz w:val="12"/>
                <w:szCs w:val="12"/>
                <w:color w:val="auto"/>
              </w:rPr>
            </w:pPr>
          </w:p>
        </w:tc>
        <w:tc>
          <w:tcPr>
            <w:tcW w:w="20" w:type="dxa"/>
            <w:vAlign w:val="bottom"/>
            <w:shd w:val="clear" w:color="auto" w:fill="D0EBF2"/>
          </w:tcPr>
          <w:p>
            <w:pPr>
              <w:spacing w:after="0"/>
              <w:rPr>
                <w:sz w:val="12"/>
                <w:szCs w:val="12"/>
                <w:color w:val="auto"/>
              </w:rPr>
            </w:pPr>
          </w:p>
        </w:tc>
        <w:tc>
          <w:tcPr>
            <w:tcW w:w="60" w:type="dxa"/>
            <w:vAlign w:val="bottom"/>
            <w:shd w:val="clear" w:color="auto" w:fill="D0EBF2"/>
          </w:tcPr>
          <w:p>
            <w:pPr>
              <w:spacing w:after="0"/>
              <w:rPr>
                <w:sz w:val="12"/>
                <w:szCs w:val="12"/>
                <w:color w:val="auto"/>
              </w:rPr>
            </w:pPr>
          </w:p>
        </w:tc>
        <w:tc>
          <w:tcPr>
            <w:tcW w:w="580" w:type="dxa"/>
            <w:vAlign w:val="bottom"/>
            <w:shd w:val="clear" w:color="auto" w:fill="D0EBF2"/>
          </w:tcPr>
          <w:p>
            <w:pPr>
              <w:jc w:val="right"/>
              <w:spacing w:after="0"/>
              <w:rPr>
                <w:sz w:val="20"/>
                <w:szCs w:val="20"/>
                <w:color w:val="auto"/>
              </w:rPr>
            </w:pPr>
            <w:r>
              <w:rPr>
                <w:rFonts w:ascii="Times New Roman" w:cs="Times New Roman" w:eastAsia="Times New Roman" w:hAnsi="Times New Roman"/>
                <w:sz w:val="12"/>
                <w:szCs w:val="12"/>
                <w:color w:val="231F20"/>
                <w:w w:val="99"/>
              </w:rPr>
              <w:t>60,247,201</w:t>
            </w:r>
          </w:p>
        </w:tc>
        <w:tc>
          <w:tcPr>
            <w:tcW w:w="0" w:type="dxa"/>
            <w:vAlign w:val="bottom"/>
            <w:shd w:val="clear" w:color="auto" w:fill="D0EBF2"/>
          </w:tcPr>
          <w:p>
            <w:pPr>
              <w:spacing w:after="0"/>
              <w:rPr>
                <w:sz w:val="12"/>
                <w:szCs w:val="12"/>
                <w:color w:val="auto"/>
              </w:rPr>
            </w:pPr>
          </w:p>
        </w:tc>
        <w:tc>
          <w:tcPr>
            <w:tcW w:w="100" w:type="dxa"/>
            <w:vAlign w:val="bottom"/>
            <w:shd w:val="clear" w:color="auto" w:fill="D0EBF2"/>
          </w:tcPr>
          <w:p>
            <w:pPr>
              <w:spacing w:after="0"/>
              <w:rPr>
                <w:sz w:val="12"/>
                <w:szCs w:val="12"/>
                <w:color w:val="auto"/>
              </w:rPr>
            </w:pPr>
          </w:p>
        </w:tc>
        <w:tc>
          <w:tcPr>
            <w:tcW w:w="80" w:type="dxa"/>
            <w:vAlign w:val="bottom"/>
            <w:shd w:val="clear" w:color="auto" w:fill="D0EBF2"/>
          </w:tcPr>
          <w:p>
            <w:pPr>
              <w:spacing w:after="0"/>
              <w:rPr>
                <w:sz w:val="12"/>
                <w:szCs w:val="12"/>
                <w:color w:val="auto"/>
              </w:rPr>
            </w:pPr>
          </w:p>
        </w:tc>
        <w:tc>
          <w:tcPr>
            <w:tcW w:w="560" w:type="dxa"/>
            <w:vAlign w:val="bottom"/>
            <w:shd w:val="clear" w:color="auto" w:fill="D0EBF2"/>
          </w:tcPr>
          <w:p>
            <w:pPr>
              <w:jc w:val="right"/>
              <w:spacing w:after="0"/>
              <w:rPr>
                <w:sz w:val="20"/>
                <w:szCs w:val="20"/>
                <w:color w:val="auto"/>
              </w:rPr>
            </w:pPr>
            <w:r>
              <w:rPr>
                <w:rFonts w:ascii="Times New Roman" w:cs="Times New Roman" w:eastAsia="Times New Roman" w:hAnsi="Times New Roman"/>
                <w:sz w:val="12"/>
                <w:szCs w:val="12"/>
                <w:color w:val="231F20"/>
                <w:w w:val="96"/>
              </w:rPr>
              <w:t>59,716,205</w:t>
            </w:r>
          </w:p>
        </w:tc>
        <w:tc>
          <w:tcPr>
            <w:tcW w:w="0" w:type="dxa"/>
            <w:vAlign w:val="bottom"/>
            <w:shd w:val="clear" w:color="auto" w:fill="D0EBF2"/>
          </w:tcPr>
          <w:p>
            <w:pPr>
              <w:spacing w:after="0"/>
              <w:rPr>
                <w:sz w:val="12"/>
                <w:szCs w:val="12"/>
                <w:color w:val="auto"/>
              </w:rPr>
            </w:pPr>
          </w:p>
        </w:tc>
        <w:tc>
          <w:tcPr>
            <w:tcW w:w="100" w:type="dxa"/>
            <w:vAlign w:val="bottom"/>
            <w:shd w:val="clear" w:color="auto" w:fill="D0EBF2"/>
          </w:tcPr>
          <w:p>
            <w:pPr>
              <w:spacing w:after="0"/>
              <w:rPr>
                <w:sz w:val="12"/>
                <w:szCs w:val="12"/>
                <w:color w:val="auto"/>
              </w:rPr>
            </w:pPr>
          </w:p>
        </w:tc>
        <w:tc>
          <w:tcPr>
            <w:tcW w:w="20" w:type="dxa"/>
            <w:vAlign w:val="bottom"/>
            <w:shd w:val="clear" w:color="auto" w:fill="D0EBF2"/>
          </w:tcPr>
          <w:p>
            <w:pPr>
              <w:spacing w:after="0"/>
              <w:rPr>
                <w:sz w:val="12"/>
                <w:szCs w:val="12"/>
                <w:color w:val="auto"/>
              </w:rPr>
            </w:pPr>
          </w:p>
        </w:tc>
        <w:tc>
          <w:tcPr>
            <w:tcW w:w="80" w:type="dxa"/>
            <w:vAlign w:val="bottom"/>
            <w:shd w:val="clear" w:color="auto" w:fill="D0EBF2"/>
          </w:tcPr>
          <w:p>
            <w:pPr>
              <w:spacing w:after="0"/>
              <w:rPr>
                <w:sz w:val="12"/>
                <w:szCs w:val="12"/>
                <w:color w:val="auto"/>
              </w:rPr>
            </w:pPr>
          </w:p>
        </w:tc>
        <w:tc>
          <w:tcPr>
            <w:tcW w:w="560" w:type="dxa"/>
            <w:vAlign w:val="bottom"/>
            <w:shd w:val="clear" w:color="auto" w:fill="D0EBF2"/>
          </w:tcPr>
          <w:p>
            <w:pPr>
              <w:jc w:val="right"/>
              <w:spacing w:after="0"/>
              <w:rPr>
                <w:sz w:val="20"/>
                <w:szCs w:val="20"/>
                <w:color w:val="auto"/>
              </w:rPr>
            </w:pPr>
            <w:r>
              <w:rPr>
                <w:rFonts w:ascii="Times New Roman" w:cs="Times New Roman" w:eastAsia="Times New Roman" w:hAnsi="Times New Roman"/>
                <w:sz w:val="12"/>
                <w:szCs w:val="12"/>
                <w:color w:val="231F20"/>
                <w:w w:val="96"/>
              </w:rPr>
              <w:t>54,163,960</w:t>
            </w:r>
          </w:p>
        </w:tc>
        <w:tc>
          <w:tcPr>
            <w:tcW w:w="20" w:type="dxa"/>
            <w:vAlign w:val="bottom"/>
            <w:shd w:val="clear" w:color="auto" w:fill="D0EBF2"/>
          </w:tcPr>
          <w:p>
            <w:pPr>
              <w:spacing w:after="0"/>
              <w:rPr>
                <w:sz w:val="12"/>
                <w:szCs w:val="12"/>
                <w:color w:val="auto"/>
              </w:rPr>
            </w:pPr>
          </w:p>
        </w:tc>
        <w:tc>
          <w:tcPr>
            <w:tcW w:w="20" w:type="dxa"/>
            <w:vAlign w:val="bottom"/>
            <w:shd w:val="clear" w:color="auto" w:fill="D0EBF2"/>
          </w:tcPr>
          <w:p>
            <w:pPr>
              <w:spacing w:after="0"/>
              <w:rPr>
                <w:sz w:val="12"/>
                <w:szCs w:val="12"/>
                <w:color w:val="auto"/>
              </w:rPr>
            </w:pPr>
          </w:p>
        </w:tc>
        <w:tc>
          <w:tcPr>
            <w:tcW w:w="60" w:type="dxa"/>
            <w:vAlign w:val="bottom"/>
            <w:shd w:val="clear" w:color="auto" w:fill="D0EBF2"/>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2720" w:type="dxa"/>
            <w:vAlign w:val="bottom"/>
            <w:gridSpan w:val="4"/>
            <w:shd w:val="clear" w:color="auto" w:fill="FDFDFC"/>
          </w:tcPr>
          <w:p>
            <w:pPr>
              <w:spacing w:after="0"/>
              <w:rPr>
                <w:sz w:val="20"/>
                <w:szCs w:val="20"/>
                <w:color w:val="auto"/>
              </w:rPr>
            </w:pPr>
            <w:r>
              <w:rPr>
                <w:rFonts w:ascii="Times New Roman" w:cs="Times New Roman" w:eastAsia="Times New Roman" w:hAnsi="Times New Roman"/>
                <w:sz w:val="12"/>
                <w:szCs w:val="12"/>
                <w:b w:val="1"/>
                <w:bCs w:val="1"/>
                <w:color w:val="231F20"/>
              </w:rPr>
              <w:t xml:space="preserve">Ratios / Supplemental Data </w:t>
            </w:r>
            <w:r>
              <w:rPr>
                <w:rFonts w:ascii="Times New Roman" w:cs="Times New Roman" w:eastAsia="Times New Roman" w:hAnsi="Times New Roman"/>
                <w:sz w:val="7"/>
                <w:szCs w:val="7"/>
                <w:b w:val="1"/>
                <w:bCs w:val="1"/>
                <w:color w:val="231F20"/>
              </w:rPr>
              <w:t>(6)</w:t>
            </w:r>
          </w:p>
        </w:tc>
        <w:tc>
          <w:tcPr>
            <w:tcW w:w="0" w:type="dxa"/>
            <w:vAlign w:val="bottom"/>
            <w:shd w:val="clear" w:color="auto" w:fill="FDFDFC"/>
          </w:tcPr>
          <w:p>
            <w:pPr>
              <w:spacing w:after="0"/>
              <w:rPr>
                <w:sz w:val="12"/>
                <w:szCs w:val="12"/>
                <w:color w:val="auto"/>
              </w:rPr>
            </w:pPr>
          </w:p>
        </w:tc>
        <w:tc>
          <w:tcPr>
            <w:tcW w:w="560" w:type="dxa"/>
            <w:vAlign w:val="bottom"/>
            <w:shd w:val="clear" w:color="auto" w:fill="FDFDFC"/>
          </w:tcPr>
          <w:p>
            <w:pPr>
              <w:spacing w:after="0"/>
              <w:rPr>
                <w:sz w:val="12"/>
                <w:szCs w:val="12"/>
                <w:color w:val="auto"/>
              </w:rPr>
            </w:pPr>
          </w:p>
        </w:tc>
        <w:tc>
          <w:tcPr>
            <w:tcW w:w="120" w:type="dxa"/>
            <w:vAlign w:val="bottom"/>
            <w:shd w:val="clear" w:color="auto" w:fill="FDFDFC"/>
          </w:tcPr>
          <w:p>
            <w:pPr>
              <w:spacing w:after="0"/>
              <w:rPr>
                <w:sz w:val="12"/>
                <w:szCs w:val="12"/>
                <w:color w:val="auto"/>
              </w:rPr>
            </w:pPr>
          </w:p>
        </w:tc>
        <w:tc>
          <w:tcPr>
            <w:tcW w:w="40" w:type="dxa"/>
            <w:vAlign w:val="bottom"/>
            <w:shd w:val="clear" w:color="auto" w:fill="FDFDFC"/>
          </w:tcPr>
          <w:p>
            <w:pPr>
              <w:spacing w:after="0"/>
              <w:rPr>
                <w:sz w:val="12"/>
                <w:szCs w:val="12"/>
                <w:color w:val="auto"/>
              </w:rPr>
            </w:pPr>
          </w:p>
        </w:tc>
        <w:tc>
          <w:tcPr>
            <w:tcW w:w="60" w:type="dxa"/>
            <w:vAlign w:val="bottom"/>
            <w:shd w:val="clear" w:color="auto" w:fill="FDFDFC"/>
          </w:tcPr>
          <w:p>
            <w:pPr>
              <w:spacing w:after="0"/>
              <w:rPr>
                <w:sz w:val="12"/>
                <w:szCs w:val="12"/>
                <w:color w:val="auto"/>
              </w:rPr>
            </w:pPr>
          </w:p>
        </w:tc>
        <w:tc>
          <w:tcPr>
            <w:tcW w:w="580" w:type="dxa"/>
            <w:vAlign w:val="bottom"/>
            <w:shd w:val="clear" w:color="auto" w:fill="FDFDFC"/>
          </w:tcPr>
          <w:p>
            <w:pPr>
              <w:spacing w:after="0"/>
              <w:rPr>
                <w:sz w:val="12"/>
                <w:szCs w:val="12"/>
                <w:color w:val="auto"/>
              </w:rPr>
            </w:pPr>
          </w:p>
        </w:tc>
        <w:tc>
          <w:tcPr>
            <w:tcW w:w="0" w:type="dxa"/>
            <w:vAlign w:val="bottom"/>
            <w:shd w:val="clear" w:color="auto" w:fill="FDFDFC"/>
          </w:tcPr>
          <w:p>
            <w:pPr>
              <w:spacing w:after="0"/>
              <w:rPr>
                <w:sz w:val="12"/>
                <w:szCs w:val="12"/>
                <w:color w:val="auto"/>
              </w:rPr>
            </w:pPr>
          </w:p>
        </w:tc>
        <w:tc>
          <w:tcPr>
            <w:tcW w:w="100" w:type="dxa"/>
            <w:vAlign w:val="bottom"/>
            <w:shd w:val="clear" w:color="auto" w:fill="FDFDFC"/>
          </w:tcPr>
          <w:p>
            <w:pPr>
              <w:spacing w:after="0"/>
              <w:rPr>
                <w:sz w:val="12"/>
                <w:szCs w:val="12"/>
                <w:color w:val="auto"/>
              </w:rPr>
            </w:pPr>
          </w:p>
        </w:tc>
        <w:tc>
          <w:tcPr>
            <w:tcW w:w="40" w:type="dxa"/>
            <w:vAlign w:val="bottom"/>
            <w:shd w:val="clear" w:color="auto" w:fill="FDFDFC"/>
          </w:tcPr>
          <w:p>
            <w:pPr>
              <w:spacing w:after="0"/>
              <w:rPr>
                <w:sz w:val="12"/>
                <w:szCs w:val="12"/>
                <w:color w:val="auto"/>
              </w:rPr>
            </w:pPr>
          </w:p>
        </w:tc>
        <w:tc>
          <w:tcPr>
            <w:tcW w:w="60" w:type="dxa"/>
            <w:vAlign w:val="bottom"/>
            <w:shd w:val="clear" w:color="auto" w:fill="FDFDFC"/>
          </w:tcPr>
          <w:p>
            <w:pPr>
              <w:spacing w:after="0"/>
              <w:rPr>
                <w:sz w:val="12"/>
                <w:szCs w:val="12"/>
                <w:color w:val="auto"/>
              </w:rPr>
            </w:pPr>
          </w:p>
        </w:tc>
        <w:tc>
          <w:tcPr>
            <w:tcW w:w="580" w:type="dxa"/>
            <w:vAlign w:val="bottom"/>
            <w:shd w:val="clear" w:color="auto" w:fill="FDFDFC"/>
          </w:tcPr>
          <w:p>
            <w:pPr>
              <w:spacing w:after="0"/>
              <w:rPr>
                <w:sz w:val="12"/>
                <w:szCs w:val="12"/>
                <w:color w:val="auto"/>
              </w:rPr>
            </w:pPr>
          </w:p>
        </w:tc>
        <w:tc>
          <w:tcPr>
            <w:tcW w:w="0" w:type="dxa"/>
            <w:vAlign w:val="bottom"/>
            <w:shd w:val="clear" w:color="auto" w:fill="FDFDFC"/>
          </w:tcPr>
          <w:p>
            <w:pPr>
              <w:spacing w:after="0"/>
              <w:rPr>
                <w:sz w:val="12"/>
                <w:szCs w:val="12"/>
                <w:color w:val="auto"/>
              </w:rPr>
            </w:pPr>
          </w:p>
        </w:tc>
        <w:tc>
          <w:tcPr>
            <w:tcW w:w="100" w:type="dxa"/>
            <w:vAlign w:val="bottom"/>
            <w:shd w:val="clear" w:color="auto" w:fill="FDFDFC"/>
          </w:tcPr>
          <w:p>
            <w:pPr>
              <w:spacing w:after="0"/>
              <w:rPr>
                <w:sz w:val="12"/>
                <w:szCs w:val="12"/>
                <w:color w:val="auto"/>
              </w:rPr>
            </w:pPr>
          </w:p>
        </w:tc>
        <w:tc>
          <w:tcPr>
            <w:tcW w:w="20" w:type="dxa"/>
            <w:vAlign w:val="bottom"/>
            <w:shd w:val="clear" w:color="auto" w:fill="FDFDFC"/>
          </w:tcPr>
          <w:p>
            <w:pPr>
              <w:spacing w:after="0"/>
              <w:rPr>
                <w:sz w:val="12"/>
                <w:szCs w:val="12"/>
                <w:color w:val="auto"/>
              </w:rPr>
            </w:pPr>
          </w:p>
        </w:tc>
        <w:tc>
          <w:tcPr>
            <w:tcW w:w="60" w:type="dxa"/>
            <w:vAlign w:val="bottom"/>
            <w:shd w:val="clear" w:color="auto" w:fill="FDFDFC"/>
          </w:tcPr>
          <w:p>
            <w:pPr>
              <w:spacing w:after="0"/>
              <w:rPr>
                <w:sz w:val="12"/>
                <w:szCs w:val="12"/>
                <w:color w:val="auto"/>
              </w:rPr>
            </w:pPr>
          </w:p>
        </w:tc>
        <w:tc>
          <w:tcPr>
            <w:tcW w:w="580" w:type="dxa"/>
            <w:vAlign w:val="bottom"/>
            <w:shd w:val="clear" w:color="auto" w:fill="FDFDFC"/>
          </w:tcPr>
          <w:p>
            <w:pPr>
              <w:spacing w:after="0"/>
              <w:rPr>
                <w:sz w:val="12"/>
                <w:szCs w:val="12"/>
                <w:color w:val="auto"/>
              </w:rPr>
            </w:pPr>
          </w:p>
        </w:tc>
        <w:tc>
          <w:tcPr>
            <w:tcW w:w="20" w:type="dxa"/>
            <w:vAlign w:val="bottom"/>
            <w:shd w:val="clear" w:color="auto" w:fill="FDFDFC"/>
          </w:tcPr>
          <w:p>
            <w:pPr>
              <w:spacing w:after="0"/>
              <w:rPr>
                <w:sz w:val="12"/>
                <w:szCs w:val="12"/>
                <w:color w:val="auto"/>
              </w:rPr>
            </w:pPr>
          </w:p>
        </w:tc>
        <w:tc>
          <w:tcPr>
            <w:tcW w:w="20" w:type="dxa"/>
            <w:vAlign w:val="bottom"/>
            <w:shd w:val="clear" w:color="auto" w:fill="FDFDFC"/>
          </w:tcPr>
          <w:p>
            <w:pPr>
              <w:spacing w:after="0"/>
              <w:rPr>
                <w:sz w:val="12"/>
                <w:szCs w:val="12"/>
                <w:color w:val="auto"/>
              </w:rPr>
            </w:pPr>
          </w:p>
        </w:tc>
        <w:tc>
          <w:tcPr>
            <w:tcW w:w="60" w:type="dxa"/>
            <w:vAlign w:val="bottom"/>
            <w:shd w:val="clear" w:color="auto" w:fill="FDFDFC"/>
          </w:tcPr>
          <w:p>
            <w:pPr>
              <w:spacing w:after="0"/>
              <w:rPr>
                <w:sz w:val="12"/>
                <w:szCs w:val="12"/>
                <w:color w:val="auto"/>
              </w:rPr>
            </w:pPr>
          </w:p>
        </w:tc>
        <w:tc>
          <w:tcPr>
            <w:tcW w:w="80" w:type="dxa"/>
            <w:vAlign w:val="bottom"/>
            <w:shd w:val="clear" w:color="auto" w:fill="FDFDFC"/>
          </w:tcPr>
          <w:p>
            <w:pPr>
              <w:spacing w:after="0"/>
              <w:rPr>
                <w:sz w:val="12"/>
                <w:szCs w:val="12"/>
                <w:color w:val="auto"/>
              </w:rPr>
            </w:pPr>
          </w:p>
        </w:tc>
        <w:tc>
          <w:tcPr>
            <w:tcW w:w="560" w:type="dxa"/>
            <w:vAlign w:val="bottom"/>
            <w:shd w:val="clear" w:color="auto" w:fill="FDFDFC"/>
          </w:tcPr>
          <w:p>
            <w:pPr>
              <w:spacing w:after="0"/>
              <w:rPr>
                <w:sz w:val="12"/>
                <w:szCs w:val="12"/>
                <w:color w:val="auto"/>
              </w:rPr>
            </w:pPr>
          </w:p>
        </w:tc>
        <w:tc>
          <w:tcPr>
            <w:tcW w:w="0" w:type="dxa"/>
            <w:vAlign w:val="bottom"/>
            <w:shd w:val="clear" w:color="auto" w:fill="FDFDFC"/>
          </w:tcPr>
          <w:p>
            <w:pPr>
              <w:spacing w:after="0"/>
              <w:rPr>
                <w:sz w:val="12"/>
                <w:szCs w:val="12"/>
                <w:color w:val="auto"/>
              </w:rPr>
            </w:pPr>
          </w:p>
        </w:tc>
        <w:tc>
          <w:tcPr>
            <w:tcW w:w="100" w:type="dxa"/>
            <w:vAlign w:val="bottom"/>
            <w:shd w:val="clear" w:color="auto" w:fill="FDFDFC"/>
          </w:tcPr>
          <w:p>
            <w:pPr>
              <w:spacing w:after="0"/>
              <w:rPr>
                <w:sz w:val="12"/>
                <w:szCs w:val="12"/>
                <w:color w:val="auto"/>
              </w:rPr>
            </w:pPr>
          </w:p>
        </w:tc>
        <w:tc>
          <w:tcPr>
            <w:tcW w:w="20" w:type="dxa"/>
            <w:vAlign w:val="bottom"/>
            <w:shd w:val="clear" w:color="auto" w:fill="FDFDFC"/>
          </w:tcPr>
          <w:p>
            <w:pPr>
              <w:spacing w:after="0"/>
              <w:rPr>
                <w:sz w:val="12"/>
                <w:szCs w:val="12"/>
                <w:color w:val="auto"/>
              </w:rPr>
            </w:pPr>
          </w:p>
        </w:tc>
        <w:tc>
          <w:tcPr>
            <w:tcW w:w="60" w:type="dxa"/>
            <w:vAlign w:val="bottom"/>
            <w:shd w:val="clear" w:color="auto" w:fill="FDFDFC"/>
          </w:tcPr>
          <w:p>
            <w:pPr>
              <w:spacing w:after="0"/>
              <w:rPr>
                <w:sz w:val="12"/>
                <w:szCs w:val="12"/>
                <w:color w:val="auto"/>
              </w:rPr>
            </w:pPr>
          </w:p>
        </w:tc>
        <w:tc>
          <w:tcPr>
            <w:tcW w:w="560" w:type="dxa"/>
            <w:vAlign w:val="bottom"/>
            <w:shd w:val="clear" w:color="auto" w:fill="FDFDFC"/>
          </w:tcPr>
          <w:p>
            <w:pPr>
              <w:spacing w:after="0"/>
              <w:rPr>
                <w:sz w:val="12"/>
                <w:szCs w:val="12"/>
                <w:color w:val="auto"/>
              </w:rPr>
            </w:pPr>
          </w:p>
        </w:tc>
        <w:tc>
          <w:tcPr>
            <w:tcW w:w="0" w:type="dxa"/>
            <w:vAlign w:val="bottom"/>
            <w:shd w:val="clear" w:color="auto" w:fill="FDFDFC"/>
          </w:tcPr>
          <w:p>
            <w:pPr>
              <w:spacing w:after="0"/>
              <w:rPr>
                <w:sz w:val="12"/>
                <w:szCs w:val="12"/>
                <w:color w:val="auto"/>
              </w:rPr>
            </w:pPr>
          </w:p>
        </w:tc>
        <w:tc>
          <w:tcPr>
            <w:tcW w:w="100" w:type="dxa"/>
            <w:vAlign w:val="bottom"/>
            <w:shd w:val="clear" w:color="auto" w:fill="FDFDFC"/>
          </w:tcPr>
          <w:p>
            <w:pPr>
              <w:spacing w:after="0"/>
              <w:rPr>
                <w:sz w:val="12"/>
                <w:szCs w:val="12"/>
                <w:color w:val="auto"/>
              </w:rPr>
            </w:pPr>
          </w:p>
        </w:tc>
        <w:tc>
          <w:tcPr>
            <w:tcW w:w="20" w:type="dxa"/>
            <w:vAlign w:val="bottom"/>
            <w:shd w:val="clear" w:color="auto" w:fill="FDFDFC"/>
          </w:tcPr>
          <w:p>
            <w:pPr>
              <w:spacing w:after="0"/>
              <w:rPr>
                <w:sz w:val="12"/>
                <w:szCs w:val="12"/>
                <w:color w:val="auto"/>
              </w:rPr>
            </w:pPr>
          </w:p>
        </w:tc>
        <w:tc>
          <w:tcPr>
            <w:tcW w:w="60" w:type="dxa"/>
            <w:vAlign w:val="bottom"/>
            <w:shd w:val="clear" w:color="auto" w:fill="FDFDFC"/>
          </w:tcPr>
          <w:p>
            <w:pPr>
              <w:spacing w:after="0"/>
              <w:rPr>
                <w:sz w:val="12"/>
                <w:szCs w:val="12"/>
                <w:color w:val="auto"/>
              </w:rPr>
            </w:pPr>
          </w:p>
        </w:tc>
        <w:tc>
          <w:tcPr>
            <w:tcW w:w="560" w:type="dxa"/>
            <w:vAlign w:val="bottom"/>
            <w:shd w:val="clear" w:color="auto" w:fill="FDFDFC"/>
          </w:tcPr>
          <w:p>
            <w:pPr>
              <w:spacing w:after="0"/>
              <w:rPr>
                <w:sz w:val="12"/>
                <w:szCs w:val="12"/>
                <w:color w:val="auto"/>
              </w:rPr>
            </w:pPr>
          </w:p>
        </w:tc>
        <w:tc>
          <w:tcPr>
            <w:tcW w:w="0" w:type="dxa"/>
            <w:vAlign w:val="bottom"/>
            <w:shd w:val="clear" w:color="auto" w:fill="FDFDFC"/>
          </w:tcPr>
          <w:p>
            <w:pPr>
              <w:spacing w:after="0"/>
              <w:rPr>
                <w:sz w:val="12"/>
                <w:szCs w:val="12"/>
                <w:color w:val="auto"/>
              </w:rPr>
            </w:pPr>
          </w:p>
        </w:tc>
        <w:tc>
          <w:tcPr>
            <w:tcW w:w="100" w:type="dxa"/>
            <w:vAlign w:val="bottom"/>
            <w:shd w:val="clear" w:color="auto" w:fill="FDFDFC"/>
          </w:tcPr>
          <w:p>
            <w:pPr>
              <w:spacing w:after="0"/>
              <w:rPr>
                <w:sz w:val="12"/>
                <w:szCs w:val="12"/>
                <w:color w:val="auto"/>
              </w:rPr>
            </w:pPr>
          </w:p>
        </w:tc>
        <w:tc>
          <w:tcPr>
            <w:tcW w:w="20" w:type="dxa"/>
            <w:vAlign w:val="bottom"/>
            <w:shd w:val="clear" w:color="auto" w:fill="FDFDFC"/>
          </w:tcPr>
          <w:p>
            <w:pPr>
              <w:spacing w:after="0"/>
              <w:rPr>
                <w:sz w:val="12"/>
                <w:szCs w:val="12"/>
                <w:color w:val="auto"/>
              </w:rPr>
            </w:pPr>
          </w:p>
        </w:tc>
        <w:tc>
          <w:tcPr>
            <w:tcW w:w="60" w:type="dxa"/>
            <w:vAlign w:val="bottom"/>
            <w:shd w:val="clear" w:color="auto" w:fill="FDFDFC"/>
          </w:tcPr>
          <w:p>
            <w:pPr>
              <w:spacing w:after="0"/>
              <w:rPr>
                <w:sz w:val="12"/>
                <w:szCs w:val="12"/>
                <w:color w:val="auto"/>
              </w:rPr>
            </w:pPr>
          </w:p>
        </w:tc>
        <w:tc>
          <w:tcPr>
            <w:tcW w:w="580" w:type="dxa"/>
            <w:vAlign w:val="bottom"/>
            <w:shd w:val="clear" w:color="auto" w:fill="FDFDFC"/>
          </w:tcPr>
          <w:p>
            <w:pPr>
              <w:spacing w:after="0"/>
              <w:rPr>
                <w:sz w:val="12"/>
                <w:szCs w:val="12"/>
                <w:color w:val="auto"/>
              </w:rPr>
            </w:pPr>
          </w:p>
        </w:tc>
        <w:tc>
          <w:tcPr>
            <w:tcW w:w="0" w:type="dxa"/>
            <w:vAlign w:val="bottom"/>
            <w:shd w:val="clear" w:color="auto" w:fill="FDFDFC"/>
          </w:tcPr>
          <w:p>
            <w:pPr>
              <w:spacing w:after="0"/>
              <w:rPr>
                <w:sz w:val="12"/>
                <w:szCs w:val="12"/>
                <w:color w:val="auto"/>
              </w:rPr>
            </w:pPr>
          </w:p>
        </w:tc>
        <w:tc>
          <w:tcPr>
            <w:tcW w:w="100" w:type="dxa"/>
            <w:vAlign w:val="bottom"/>
            <w:shd w:val="clear" w:color="auto" w:fill="FDFDFC"/>
          </w:tcPr>
          <w:p>
            <w:pPr>
              <w:spacing w:after="0"/>
              <w:rPr>
                <w:sz w:val="12"/>
                <w:szCs w:val="12"/>
                <w:color w:val="auto"/>
              </w:rPr>
            </w:pPr>
          </w:p>
        </w:tc>
        <w:tc>
          <w:tcPr>
            <w:tcW w:w="80" w:type="dxa"/>
            <w:vAlign w:val="bottom"/>
            <w:shd w:val="clear" w:color="auto" w:fill="FDFDFC"/>
          </w:tcPr>
          <w:p>
            <w:pPr>
              <w:spacing w:after="0"/>
              <w:rPr>
                <w:sz w:val="12"/>
                <w:szCs w:val="12"/>
                <w:color w:val="auto"/>
              </w:rPr>
            </w:pPr>
          </w:p>
        </w:tc>
        <w:tc>
          <w:tcPr>
            <w:tcW w:w="560" w:type="dxa"/>
            <w:vAlign w:val="bottom"/>
            <w:shd w:val="clear" w:color="auto" w:fill="FDFDFC"/>
          </w:tcPr>
          <w:p>
            <w:pPr>
              <w:spacing w:after="0"/>
              <w:rPr>
                <w:sz w:val="12"/>
                <w:szCs w:val="12"/>
                <w:color w:val="auto"/>
              </w:rPr>
            </w:pPr>
          </w:p>
        </w:tc>
        <w:tc>
          <w:tcPr>
            <w:tcW w:w="0" w:type="dxa"/>
            <w:vAlign w:val="bottom"/>
            <w:shd w:val="clear" w:color="auto" w:fill="FDFDFC"/>
          </w:tcPr>
          <w:p>
            <w:pPr>
              <w:spacing w:after="0"/>
              <w:rPr>
                <w:sz w:val="12"/>
                <w:szCs w:val="12"/>
                <w:color w:val="auto"/>
              </w:rPr>
            </w:pPr>
          </w:p>
        </w:tc>
        <w:tc>
          <w:tcPr>
            <w:tcW w:w="100" w:type="dxa"/>
            <w:vAlign w:val="bottom"/>
            <w:shd w:val="clear" w:color="auto" w:fill="FDFDFC"/>
          </w:tcPr>
          <w:p>
            <w:pPr>
              <w:spacing w:after="0"/>
              <w:rPr>
                <w:sz w:val="12"/>
                <w:szCs w:val="12"/>
                <w:color w:val="auto"/>
              </w:rPr>
            </w:pPr>
          </w:p>
        </w:tc>
        <w:tc>
          <w:tcPr>
            <w:tcW w:w="20" w:type="dxa"/>
            <w:vAlign w:val="bottom"/>
            <w:shd w:val="clear" w:color="auto" w:fill="FDFDFC"/>
          </w:tcPr>
          <w:p>
            <w:pPr>
              <w:spacing w:after="0"/>
              <w:rPr>
                <w:sz w:val="12"/>
                <w:szCs w:val="12"/>
                <w:color w:val="auto"/>
              </w:rPr>
            </w:pPr>
          </w:p>
        </w:tc>
        <w:tc>
          <w:tcPr>
            <w:tcW w:w="80" w:type="dxa"/>
            <w:vAlign w:val="bottom"/>
            <w:shd w:val="clear" w:color="auto" w:fill="FDFDFC"/>
          </w:tcPr>
          <w:p>
            <w:pPr>
              <w:spacing w:after="0"/>
              <w:rPr>
                <w:sz w:val="12"/>
                <w:szCs w:val="12"/>
                <w:color w:val="auto"/>
              </w:rPr>
            </w:pPr>
          </w:p>
        </w:tc>
        <w:tc>
          <w:tcPr>
            <w:tcW w:w="560" w:type="dxa"/>
            <w:vAlign w:val="bottom"/>
            <w:shd w:val="clear" w:color="auto" w:fill="FDFDFC"/>
          </w:tcPr>
          <w:p>
            <w:pPr>
              <w:spacing w:after="0"/>
              <w:rPr>
                <w:sz w:val="12"/>
                <w:szCs w:val="12"/>
                <w:color w:val="auto"/>
              </w:rPr>
            </w:pPr>
          </w:p>
        </w:tc>
        <w:tc>
          <w:tcPr>
            <w:tcW w:w="20" w:type="dxa"/>
            <w:vAlign w:val="bottom"/>
            <w:shd w:val="clear" w:color="auto" w:fill="FDFDFC"/>
          </w:tcPr>
          <w:p>
            <w:pPr>
              <w:spacing w:after="0"/>
              <w:rPr>
                <w:sz w:val="12"/>
                <w:szCs w:val="12"/>
                <w:color w:val="auto"/>
              </w:rPr>
            </w:pPr>
          </w:p>
        </w:tc>
        <w:tc>
          <w:tcPr>
            <w:tcW w:w="20" w:type="dxa"/>
            <w:vAlign w:val="bottom"/>
            <w:shd w:val="clear" w:color="auto" w:fill="FDFDFC"/>
          </w:tcPr>
          <w:p>
            <w:pPr>
              <w:spacing w:after="0"/>
              <w:rPr>
                <w:sz w:val="12"/>
                <w:szCs w:val="12"/>
                <w:color w:val="auto"/>
              </w:rPr>
            </w:pPr>
          </w:p>
        </w:tc>
        <w:tc>
          <w:tcPr>
            <w:tcW w:w="60" w:type="dxa"/>
            <w:vAlign w:val="bottom"/>
            <w:shd w:val="clear" w:color="auto" w:fill="FDFDFC"/>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2720" w:type="dxa"/>
            <w:vAlign w:val="bottom"/>
            <w:gridSpan w:val="4"/>
          </w:tcPr>
          <w:p>
            <w:pPr>
              <w:spacing w:after="0"/>
              <w:rPr>
                <w:sz w:val="20"/>
                <w:szCs w:val="20"/>
                <w:color w:val="auto"/>
              </w:rPr>
            </w:pPr>
            <w:r>
              <w:rPr>
                <w:rFonts w:ascii="Times New Roman" w:cs="Times New Roman" w:eastAsia="Times New Roman" w:hAnsi="Times New Roman"/>
                <w:sz w:val="12"/>
                <w:szCs w:val="12"/>
                <w:color w:val="231F20"/>
              </w:rPr>
              <w:t>Ratio of net expenses to average net assets</w:t>
            </w:r>
          </w:p>
        </w:tc>
        <w:tc>
          <w:tcPr>
            <w:tcW w:w="0" w:type="dxa"/>
            <w:vAlign w:val="bottom"/>
          </w:tcPr>
          <w:p>
            <w:pPr>
              <w:spacing w:after="0"/>
              <w:rPr>
                <w:sz w:val="12"/>
                <w:szCs w:val="12"/>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231F20"/>
              </w:rPr>
              <w:t>16.65%</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gridSpan w:val="3"/>
          </w:tcPr>
          <w:p>
            <w:pPr>
              <w:jc w:val="right"/>
              <w:spacing w:after="0"/>
              <w:rPr>
                <w:sz w:val="20"/>
                <w:szCs w:val="20"/>
                <w:color w:val="auto"/>
              </w:rPr>
            </w:pPr>
            <w:r>
              <w:rPr>
                <w:rFonts w:ascii="Times New Roman" w:cs="Times New Roman" w:eastAsia="Times New Roman" w:hAnsi="Times New Roman"/>
                <w:sz w:val="12"/>
                <w:szCs w:val="12"/>
                <w:color w:val="231F20"/>
              </w:rPr>
              <w:t>16.92%</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gridSpan w:val="3"/>
          </w:tcPr>
          <w:p>
            <w:pPr>
              <w:jc w:val="right"/>
              <w:spacing w:after="0"/>
              <w:rPr>
                <w:sz w:val="20"/>
                <w:szCs w:val="20"/>
                <w:color w:val="auto"/>
              </w:rPr>
            </w:pPr>
            <w:r>
              <w:rPr>
                <w:rFonts w:ascii="Times New Roman" w:cs="Times New Roman" w:eastAsia="Times New Roman" w:hAnsi="Times New Roman"/>
                <w:sz w:val="12"/>
                <w:szCs w:val="12"/>
                <w:color w:val="231F20"/>
              </w:rPr>
              <w:t>11.05%</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gridSpan w:val="4"/>
          </w:tcPr>
          <w:p>
            <w:pPr>
              <w:jc w:val="right"/>
              <w:spacing w:after="0"/>
              <w:rPr>
                <w:sz w:val="20"/>
                <w:szCs w:val="20"/>
                <w:color w:val="auto"/>
              </w:rPr>
            </w:pPr>
            <w:r>
              <w:rPr>
                <w:rFonts w:ascii="Times New Roman" w:cs="Times New Roman" w:eastAsia="Times New Roman" w:hAnsi="Times New Roman"/>
                <w:sz w:val="12"/>
                <w:szCs w:val="12"/>
                <w:color w:val="231F20"/>
              </w:rPr>
              <w:t>11.17%</w:t>
            </w:r>
          </w:p>
        </w:tc>
        <w:tc>
          <w:tcPr>
            <w:tcW w:w="80" w:type="dxa"/>
            <w:vAlign w:val="bottom"/>
          </w:tcPr>
          <w:p>
            <w:pPr>
              <w:spacing w:after="0"/>
              <w:rPr>
                <w:sz w:val="12"/>
                <w:szCs w:val="12"/>
                <w:color w:val="auto"/>
              </w:rPr>
            </w:pPr>
          </w:p>
        </w:tc>
        <w:tc>
          <w:tcPr>
            <w:tcW w:w="660" w:type="dxa"/>
            <w:vAlign w:val="bottom"/>
            <w:gridSpan w:val="3"/>
          </w:tcPr>
          <w:p>
            <w:pPr>
              <w:jc w:val="right"/>
              <w:spacing w:after="0"/>
              <w:rPr>
                <w:sz w:val="20"/>
                <w:szCs w:val="20"/>
                <w:color w:val="auto"/>
              </w:rPr>
            </w:pPr>
            <w:r>
              <w:rPr>
                <w:rFonts w:ascii="Times New Roman" w:cs="Times New Roman" w:eastAsia="Times New Roman" w:hAnsi="Times New Roman"/>
                <w:sz w:val="12"/>
                <w:szCs w:val="12"/>
                <w:color w:val="231F20"/>
              </w:rPr>
              <w:t>11.10%</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gridSpan w:val="3"/>
          </w:tcPr>
          <w:p>
            <w:pPr>
              <w:jc w:val="right"/>
              <w:spacing w:after="0"/>
              <w:rPr>
                <w:sz w:val="20"/>
                <w:szCs w:val="20"/>
                <w:color w:val="auto"/>
              </w:rPr>
            </w:pPr>
            <w:r>
              <w:rPr>
                <w:rFonts w:ascii="Times New Roman" w:cs="Times New Roman" w:eastAsia="Times New Roman" w:hAnsi="Times New Roman"/>
                <w:sz w:val="12"/>
                <w:szCs w:val="12"/>
                <w:color w:val="231F20"/>
              </w:rPr>
              <w:t>11.27%</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gridSpan w:val="3"/>
          </w:tcPr>
          <w:p>
            <w:pPr>
              <w:jc w:val="right"/>
              <w:spacing w:after="0"/>
              <w:rPr>
                <w:sz w:val="20"/>
                <w:szCs w:val="20"/>
                <w:color w:val="auto"/>
              </w:rPr>
            </w:pPr>
            <w:r>
              <w:rPr>
                <w:rFonts w:ascii="Times New Roman" w:cs="Times New Roman" w:eastAsia="Times New Roman" w:hAnsi="Times New Roman"/>
                <w:sz w:val="12"/>
                <w:szCs w:val="12"/>
                <w:color w:val="231F20"/>
              </w:rPr>
              <w:t>11.32%</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gridSpan w:val="3"/>
          </w:tcPr>
          <w:p>
            <w:pPr>
              <w:jc w:val="right"/>
              <w:spacing w:after="0"/>
              <w:rPr>
                <w:sz w:val="20"/>
                <w:szCs w:val="20"/>
                <w:color w:val="auto"/>
              </w:rPr>
            </w:pPr>
            <w:r>
              <w:rPr>
                <w:rFonts w:ascii="Times New Roman" w:cs="Times New Roman" w:eastAsia="Times New Roman" w:hAnsi="Times New Roman"/>
                <w:sz w:val="12"/>
                <w:szCs w:val="12"/>
                <w:color w:val="231F20"/>
              </w:rPr>
              <w:t>9.41%</w:t>
            </w:r>
          </w:p>
        </w:tc>
        <w:tc>
          <w:tcPr>
            <w:tcW w:w="80" w:type="dxa"/>
            <w:vAlign w:val="bottom"/>
          </w:tcPr>
          <w:p>
            <w:pPr>
              <w:spacing w:after="0"/>
              <w:rPr>
                <w:sz w:val="12"/>
                <w:szCs w:val="12"/>
                <w:color w:val="auto"/>
              </w:rPr>
            </w:pPr>
          </w:p>
        </w:tc>
        <w:tc>
          <w:tcPr>
            <w:tcW w:w="660" w:type="dxa"/>
            <w:vAlign w:val="bottom"/>
            <w:gridSpan w:val="3"/>
          </w:tcPr>
          <w:p>
            <w:pPr>
              <w:jc w:val="right"/>
              <w:spacing w:after="0"/>
              <w:rPr>
                <w:sz w:val="20"/>
                <w:szCs w:val="20"/>
                <w:color w:val="auto"/>
              </w:rPr>
            </w:pPr>
            <w:r>
              <w:rPr>
                <w:rFonts w:ascii="Times New Roman" w:cs="Times New Roman" w:eastAsia="Times New Roman" w:hAnsi="Times New Roman"/>
                <w:sz w:val="12"/>
                <w:szCs w:val="12"/>
                <w:color w:val="231F20"/>
              </w:rPr>
              <w:t>9.39%</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gridSpan w:val="4"/>
          </w:tcPr>
          <w:p>
            <w:pPr>
              <w:jc w:val="right"/>
              <w:spacing w:after="0"/>
              <w:rPr>
                <w:sz w:val="20"/>
                <w:szCs w:val="20"/>
                <w:color w:val="auto"/>
              </w:rPr>
            </w:pPr>
            <w:r>
              <w:rPr>
                <w:rFonts w:ascii="Times New Roman" w:cs="Times New Roman" w:eastAsia="Times New Roman" w:hAnsi="Times New Roman"/>
                <w:sz w:val="12"/>
                <w:szCs w:val="12"/>
                <w:color w:val="231F20"/>
              </w:rPr>
              <w:t>9.31%</w:t>
            </w:r>
          </w:p>
        </w:tc>
        <w:tc>
          <w:tcPr>
            <w:tcW w:w="0" w:type="dxa"/>
            <w:vAlign w:val="bottom"/>
          </w:tcPr>
          <w:p>
            <w:pPr>
              <w:spacing w:after="0"/>
              <w:rPr>
                <w:sz w:val="1"/>
                <w:szCs w:val="1"/>
                <w:color w:val="auto"/>
              </w:rPr>
            </w:pPr>
          </w:p>
        </w:tc>
      </w:tr>
      <w:tr>
        <w:trPr>
          <w:trHeight w:val="141"/>
        </w:trPr>
        <w:tc>
          <w:tcPr>
            <w:tcW w:w="2720" w:type="dxa"/>
            <w:vAlign w:val="bottom"/>
            <w:gridSpan w:val="4"/>
          </w:tcPr>
          <w:p>
            <w:pPr>
              <w:spacing w:after="0"/>
              <w:rPr>
                <w:sz w:val="20"/>
                <w:szCs w:val="20"/>
                <w:color w:val="auto"/>
              </w:rPr>
            </w:pPr>
            <w:r>
              <w:rPr>
                <w:rFonts w:ascii="Times New Roman" w:cs="Times New Roman" w:eastAsia="Times New Roman" w:hAnsi="Times New Roman"/>
                <w:sz w:val="12"/>
                <w:szCs w:val="12"/>
                <w:color w:val="231F20"/>
              </w:rPr>
              <w:t>Ratio of net investment income to average net assets</w:t>
            </w:r>
          </w:p>
        </w:tc>
        <w:tc>
          <w:tcPr>
            <w:tcW w:w="0" w:type="dxa"/>
            <w:vAlign w:val="bottom"/>
          </w:tcPr>
          <w:p>
            <w:pPr>
              <w:spacing w:after="0"/>
              <w:rPr>
                <w:sz w:val="12"/>
                <w:szCs w:val="12"/>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231F20"/>
              </w:rPr>
              <w:t>13.96%</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gridSpan w:val="3"/>
          </w:tcPr>
          <w:p>
            <w:pPr>
              <w:jc w:val="right"/>
              <w:spacing w:after="0"/>
              <w:rPr>
                <w:sz w:val="20"/>
                <w:szCs w:val="20"/>
                <w:color w:val="auto"/>
              </w:rPr>
            </w:pPr>
            <w:r>
              <w:rPr>
                <w:rFonts w:ascii="Times New Roman" w:cs="Times New Roman" w:eastAsia="Times New Roman" w:hAnsi="Times New Roman"/>
                <w:sz w:val="12"/>
                <w:szCs w:val="12"/>
                <w:color w:val="231F20"/>
              </w:rPr>
              <w:t>13.75%</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gridSpan w:val="3"/>
          </w:tcPr>
          <w:p>
            <w:pPr>
              <w:jc w:val="right"/>
              <w:spacing w:after="0"/>
              <w:rPr>
                <w:sz w:val="20"/>
                <w:szCs w:val="20"/>
                <w:color w:val="auto"/>
              </w:rPr>
            </w:pPr>
            <w:r>
              <w:rPr>
                <w:rFonts w:ascii="Times New Roman" w:cs="Times New Roman" w:eastAsia="Times New Roman" w:hAnsi="Times New Roman"/>
                <w:sz w:val="12"/>
                <w:szCs w:val="12"/>
                <w:color w:val="231F20"/>
              </w:rPr>
              <w:t>12.85%</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gridSpan w:val="4"/>
          </w:tcPr>
          <w:p>
            <w:pPr>
              <w:jc w:val="right"/>
              <w:spacing w:after="0"/>
              <w:rPr>
                <w:sz w:val="20"/>
                <w:szCs w:val="20"/>
                <w:color w:val="auto"/>
              </w:rPr>
            </w:pPr>
            <w:r>
              <w:rPr>
                <w:rFonts w:ascii="Times New Roman" w:cs="Times New Roman" w:eastAsia="Times New Roman" w:hAnsi="Times New Roman"/>
                <w:sz w:val="12"/>
                <w:szCs w:val="12"/>
                <w:color w:val="231F20"/>
              </w:rPr>
              <w:t>11.67%</w:t>
            </w:r>
          </w:p>
        </w:tc>
        <w:tc>
          <w:tcPr>
            <w:tcW w:w="80" w:type="dxa"/>
            <w:vAlign w:val="bottom"/>
          </w:tcPr>
          <w:p>
            <w:pPr>
              <w:spacing w:after="0"/>
              <w:rPr>
                <w:sz w:val="12"/>
                <w:szCs w:val="12"/>
                <w:color w:val="auto"/>
              </w:rPr>
            </w:pPr>
          </w:p>
        </w:tc>
        <w:tc>
          <w:tcPr>
            <w:tcW w:w="660" w:type="dxa"/>
            <w:vAlign w:val="bottom"/>
            <w:gridSpan w:val="3"/>
          </w:tcPr>
          <w:p>
            <w:pPr>
              <w:jc w:val="right"/>
              <w:spacing w:after="0"/>
              <w:rPr>
                <w:sz w:val="20"/>
                <w:szCs w:val="20"/>
                <w:color w:val="auto"/>
              </w:rPr>
            </w:pPr>
            <w:r>
              <w:rPr>
                <w:rFonts w:ascii="Times New Roman" w:cs="Times New Roman" w:eastAsia="Times New Roman" w:hAnsi="Times New Roman"/>
                <w:sz w:val="12"/>
                <w:szCs w:val="12"/>
                <w:color w:val="231F20"/>
              </w:rPr>
              <w:t>13.26%</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gridSpan w:val="3"/>
          </w:tcPr>
          <w:p>
            <w:pPr>
              <w:jc w:val="right"/>
              <w:spacing w:after="0"/>
              <w:rPr>
                <w:sz w:val="20"/>
                <w:szCs w:val="20"/>
                <w:color w:val="auto"/>
              </w:rPr>
            </w:pPr>
            <w:r>
              <w:rPr>
                <w:rFonts w:ascii="Times New Roman" w:cs="Times New Roman" w:eastAsia="Times New Roman" w:hAnsi="Times New Roman"/>
                <w:sz w:val="12"/>
                <w:szCs w:val="12"/>
                <w:color w:val="231F20"/>
              </w:rPr>
              <w:t>11.73%</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gridSpan w:val="3"/>
          </w:tcPr>
          <w:p>
            <w:pPr>
              <w:jc w:val="right"/>
              <w:spacing w:after="0"/>
              <w:rPr>
                <w:sz w:val="20"/>
                <w:szCs w:val="20"/>
                <w:color w:val="auto"/>
              </w:rPr>
            </w:pPr>
            <w:r>
              <w:rPr>
                <w:rFonts w:ascii="Times New Roman" w:cs="Times New Roman" w:eastAsia="Times New Roman" w:hAnsi="Times New Roman"/>
                <w:sz w:val="12"/>
                <w:szCs w:val="12"/>
                <w:color w:val="231F20"/>
              </w:rPr>
              <w:t>13.80%</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gridSpan w:val="3"/>
          </w:tcPr>
          <w:p>
            <w:pPr>
              <w:jc w:val="right"/>
              <w:spacing w:after="0"/>
              <w:rPr>
                <w:sz w:val="20"/>
                <w:szCs w:val="20"/>
                <w:color w:val="auto"/>
              </w:rPr>
            </w:pPr>
            <w:r>
              <w:rPr>
                <w:rFonts w:ascii="Times New Roman" w:cs="Times New Roman" w:eastAsia="Times New Roman" w:hAnsi="Times New Roman"/>
                <w:sz w:val="12"/>
                <w:szCs w:val="12"/>
                <w:color w:val="231F20"/>
              </w:rPr>
              <w:t>12.49%</w:t>
            </w:r>
          </w:p>
        </w:tc>
        <w:tc>
          <w:tcPr>
            <w:tcW w:w="80" w:type="dxa"/>
            <w:vAlign w:val="bottom"/>
          </w:tcPr>
          <w:p>
            <w:pPr>
              <w:spacing w:after="0"/>
              <w:rPr>
                <w:sz w:val="12"/>
                <w:szCs w:val="12"/>
                <w:color w:val="auto"/>
              </w:rPr>
            </w:pPr>
          </w:p>
        </w:tc>
        <w:tc>
          <w:tcPr>
            <w:tcW w:w="660" w:type="dxa"/>
            <w:vAlign w:val="bottom"/>
            <w:gridSpan w:val="3"/>
          </w:tcPr>
          <w:p>
            <w:pPr>
              <w:jc w:val="right"/>
              <w:spacing w:after="0"/>
              <w:rPr>
                <w:sz w:val="20"/>
                <w:szCs w:val="20"/>
                <w:color w:val="auto"/>
              </w:rPr>
            </w:pPr>
            <w:r>
              <w:rPr>
                <w:rFonts w:ascii="Times New Roman" w:cs="Times New Roman" w:eastAsia="Times New Roman" w:hAnsi="Times New Roman"/>
                <w:sz w:val="12"/>
                <w:szCs w:val="12"/>
                <w:color w:val="231F20"/>
              </w:rPr>
              <w:t>11.84%</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gridSpan w:val="4"/>
          </w:tcPr>
          <w:p>
            <w:pPr>
              <w:jc w:val="right"/>
              <w:spacing w:after="0"/>
              <w:rPr>
                <w:sz w:val="20"/>
                <w:szCs w:val="20"/>
                <w:color w:val="auto"/>
              </w:rPr>
            </w:pPr>
            <w:r>
              <w:rPr>
                <w:rFonts w:ascii="Times New Roman" w:cs="Times New Roman" w:eastAsia="Times New Roman" w:hAnsi="Times New Roman"/>
                <w:sz w:val="12"/>
                <w:szCs w:val="12"/>
                <w:color w:val="231F20"/>
              </w:rPr>
              <w:t>11.35%</w:t>
            </w:r>
          </w:p>
        </w:tc>
        <w:tc>
          <w:tcPr>
            <w:tcW w:w="0" w:type="dxa"/>
            <w:vAlign w:val="bottom"/>
          </w:tcPr>
          <w:p>
            <w:pPr>
              <w:spacing w:after="0"/>
              <w:rPr>
                <w:sz w:val="1"/>
                <w:szCs w:val="1"/>
                <w:color w:val="auto"/>
              </w:rPr>
            </w:pPr>
          </w:p>
        </w:tc>
      </w:tr>
      <w:tr>
        <w:trPr>
          <w:trHeight w:val="141"/>
        </w:trPr>
        <w:tc>
          <w:tcPr>
            <w:tcW w:w="2720" w:type="dxa"/>
            <w:vAlign w:val="bottom"/>
            <w:gridSpan w:val="4"/>
          </w:tcPr>
          <w:p>
            <w:pPr>
              <w:spacing w:after="0"/>
              <w:rPr>
                <w:sz w:val="20"/>
                <w:szCs w:val="20"/>
                <w:color w:val="auto"/>
              </w:rPr>
            </w:pPr>
            <w:r>
              <w:rPr>
                <w:rFonts w:ascii="Times New Roman" w:cs="Times New Roman" w:eastAsia="Times New Roman" w:hAnsi="Times New Roman"/>
                <w:sz w:val="12"/>
                <w:szCs w:val="12"/>
                <w:color w:val="231F20"/>
              </w:rPr>
              <w:t>Portfolio turnover</w:t>
            </w:r>
          </w:p>
        </w:tc>
        <w:tc>
          <w:tcPr>
            <w:tcW w:w="0" w:type="dxa"/>
            <w:vAlign w:val="bottom"/>
          </w:tcPr>
          <w:p>
            <w:pPr>
              <w:spacing w:after="0"/>
              <w:rPr>
                <w:sz w:val="12"/>
                <w:szCs w:val="12"/>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231F20"/>
              </w:rPr>
              <w:t>24.44%</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gridSpan w:val="3"/>
          </w:tcPr>
          <w:p>
            <w:pPr>
              <w:jc w:val="right"/>
              <w:spacing w:after="0"/>
              <w:rPr>
                <w:sz w:val="20"/>
                <w:szCs w:val="20"/>
                <w:color w:val="auto"/>
              </w:rPr>
            </w:pPr>
            <w:r>
              <w:rPr>
                <w:rFonts w:ascii="Times New Roman" w:cs="Times New Roman" w:eastAsia="Times New Roman" w:hAnsi="Times New Roman"/>
                <w:sz w:val="12"/>
                <w:szCs w:val="12"/>
                <w:color w:val="231F20"/>
              </w:rPr>
              <w:t>16.92%</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gridSpan w:val="3"/>
          </w:tcPr>
          <w:p>
            <w:pPr>
              <w:jc w:val="right"/>
              <w:spacing w:after="0"/>
              <w:rPr>
                <w:sz w:val="20"/>
                <w:szCs w:val="20"/>
                <w:color w:val="auto"/>
              </w:rPr>
            </w:pPr>
            <w:r>
              <w:rPr>
                <w:rFonts w:ascii="Times New Roman" w:cs="Times New Roman" w:eastAsia="Times New Roman" w:hAnsi="Times New Roman"/>
                <w:sz w:val="12"/>
                <w:szCs w:val="12"/>
                <w:color w:val="231F20"/>
              </w:rPr>
              <w:t>26.67%</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gridSpan w:val="4"/>
          </w:tcPr>
          <w:p>
            <w:pPr>
              <w:jc w:val="right"/>
              <w:spacing w:after="0"/>
              <w:rPr>
                <w:sz w:val="20"/>
                <w:szCs w:val="20"/>
                <w:color w:val="auto"/>
              </w:rPr>
            </w:pPr>
            <w:r>
              <w:rPr>
                <w:rFonts w:ascii="Times New Roman" w:cs="Times New Roman" w:eastAsia="Times New Roman" w:hAnsi="Times New Roman"/>
                <w:sz w:val="12"/>
                <w:szCs w:val="12"/>
                <w:color w:val="231F20"/>
              </w:rPr>
              <w:t>44.23%</w:t>
            </w:r>
          </w:p>
        </w:tc>
        <w:tc>
          <w:tcPr>
            <w:tcW w:w="80" w:type="dxa"/>
            <w:vAlign w:val="bottom"/>
          </w:tcPr>
          <w:p>
            <w:pPr>
              <w:spacing w:after="0"/>
              <w:rPr>
                <w:sz w:val="12"/>
                <w:szCs w:val="12"/>
                <w:color w:val="auto"/>
              </w:rPr>
            </w:pPr>
          </w:p>
        </w:tc>
        <w:tc>
          <w:tcPr>
            <w:tcW w:w="660" w:type="dxa"/>
            <w:vAlign w:val="bottom"/>
            <w:gridSpan w:val="3"/>
          </w:tcPr>
          <w:p>
            <w:pPr>
              <w:jc w:val="right"/>
              <w:spacing w:after="0"/>
              <w:rPr>
                <w:sz w:val="20"/>
                <w:szCs w:val="20"/>
                <w:color w:val="auto"/>
              </w:rPr>
            </w:pPr>
            <w:r>
              <w:rPr>
                <w:rFonts w:ascii="Times New Roman" w:cs="Times New Roman" w:eastAsia="Times New Roman" w:hAnsi="Times New Roman"/>
                <w:sz w:val="12"/>
                <w:szCs w:val="12"/>
                <w:color w:val="231F20"/>
              </w:rPr>
              <w:t>41.88%</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gridSpan w:val="3"/>
          </w:tcPr>
          <w:p>
            <w:pPr>
              <w:jc w:val="right"/>
              <w:spacing w:after="0"/>
              <w:rPr>
                <w:sz w:val="20"/>
                <w:szCs w:val="20"/>
                <w:color w:val="auto"/>
              </w:rPr>
            </w:pPr>
            <w:r>
              <w:rPr>
                <w:rFonts w:ascii="Times New Roman" w:cs="Times New Roman" w:eastAsia="Times New Roman" w:hAnsi="Times New Roman"/>
                <w:sz w:val="12"/>
                <w:szCs w:val="12"/>
                <w:color w:val="231F20"/>
              </w:rPr>
              <w:t>30.89%</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gridSpan w:val="3"/>
          </w:tcPr>
          <w:p>
            <w:pPr>
              <w:jc w:val="right"/>
              <w:spacing w:after="0"/>
              <w:rPr>
                <w:sz w:val="20"/>
                <w:szCs w:val="20"/>
                <w:color w:val="auto"/>
              </w:rPr>
            </w:pPr>
            <w:r>
              <w:rPr>
                <w:rFonts w:ascii="Times New Roman" w:cs="Times New Roman" w:eastAsia="Times New Roman" w:hAnsi="Times New Roman"/>
                <w:sz w:val="12"/>
                <w:szCs w:val="12"/>
                <w:color w:val="231F20"/>
              </w:rPr>
              <w:t>44.57%</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gridSpan w:val="3"/>
          </w:tcPr>
          <w:p>
            <w:pPr>
              <w:jc w:val="right"/>
              <w:spacing w:after="0"/>
              <w:rPr>
                <w:sz w:val="20"/>
                <w:szCs w:val="20"/>
                <w:color w:val="auto"/>
              </w:rPr>
            </w:pPr>
            <w:r>
              <w:rPr>
                <w:rFonts w:ascii="Times New Roman" w:cs="Times New Roman" w:eastAsia="Times New Roman" w:hAnsi="Times New Roman"/>
                <w:sz w:val="12"/>
                <w:szCs w:val="12"/>
                <w:color w:val="231F20"/>
              </w:rPr>
              <w:t>58.08%</w:t>
            </w:r>
          </w:p>
        </w:tc>
        <w:tc>
          <w:tcPr>
            <w:tcW w:w="80" w:type="dxa"/>
            <w:vAlign w:val="bottom"/>
          </w:tcPr>
          <w:p>
            <w:pPr>
              <w:spacing w:after="0"/>
              <w:rPr>
                <w:sz w:val="12"/>
                <w:szCs w:val="12"/>
                <w:color w:val="auto"/>
              </w:rPr>
            </w:pPr>
          </w:p>
        </w:tc>
        <w:tc>
          <w:tcPr>
            <w:tcW w:w="660" w:type="dxa"/>
            <w:vAlign w:val="bottom"/>
            <w:gridSpan w:val="3"/>
          </w:tcPr>
          <w:p>
            <w:pPr>
              <w:jc w:val="right"/>
              <w:spacing w:after="0"/>
              <w:rPr>
                <w:sz w:val="20"/>
                <w:szCs w:val="20"/>
                <w:color w:val="auto"/>
              </w:rPr>
            </w:pPr>
            <w:r>
              <w:rPr>
                <w:rFonts w:ascii="Times New Roman" w:cs="Times New Roman" w:eastAsia="Times New Roman" w:hAnsi="Times New Roman"/>
                <w:sz w:val="12"/>
                <w:szCs w:val="12"/>
                <w:color w:val="231F20"/>
              </w:rPr>
              <w:t>37.40%</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gridSpan w:val="4"/>
          </w:tcPr>
          <w:p>
            <w:pPr>
              <w:jc w:val="right"/>
              <w:spacing w:after="0"/>
              <w:rPr>
                <w:sz w:val="20"/>
                <w:szCs w:val="20"/>
                <w:color w:val="auto"/>
              </w:rPr>
            </w:pPr>
            <w:r>
              <w:rPr>
                <w:rFonts w:ascii="Times New Roman" w:cs="Times New Roman" w:eastAsia="Times New Roman" w:hAnsi="Times New Roman"/>
                <w:sz w:val="12"/>
                <w:szCs w:val="12"/>
                <w:color w:val="231F20"/>
              </w:rPr>
              <w:t>34.51%</w:t>
            </w:r>
          </w:p>
        </w:tc>
        <w:tc>
          <w:tcPr>
            <w:tcW w:w="0" w:type="dxa"/>
            <w:vAlign w:val="bottom"/>
          </w:tcPr>
          <w:p>
            <w:pPr>
              <w:spacing w:after="0"/>
              <w:rPr>
                <w:sz w:val="1"/>
                <w:szCs w:val="1"/>
                <w:color w:val="auto"/>
              </w:rPr>
            </w:pPr>
          </w:p>
        </w:tc>
      </w:tr>
      <w:tr>
        <w:trPr>
          <w:trHeight w:val="131"/>
        </w:trPr>
        <w:tc>
          <w:tcPr>
            <w:tcW w:w="2660" w:type="dxa"/>
            <w:vAlign w:val="bottom"/>
            <w:tcBorders>
              <w:top w:val="single" w:sz="8" w:color="FDFDFC"/>
            </w:tcBorders>
            <w:shd w:val="clear" w:color="auto" w:fill="FDFDFC"/>
          </w:tcPr>
          <w:p>
            <w:pPr>
              <w:spacing w:after="0" w:line="131" w:lineRule="exact"/>
              <w:rPr>
                <w:sz w:val="20"/>
                <w:szCs w:val="20"/>
                <w:color w:val="auto"/>
              </w:rPr>
            </w:pPr>
            <w:r>
              <w:rPr>
                <w:rFonts w:ascii="Times New Roman" w:cs="Times New Roman" w:eastAsia="Times New Roman" w:hAnsi="Times New Roman"/>
                <w:sz w:val="12"/>
                <w:szCs w:val="12"/>
                <w:color w:val="231F20"/>
              </w:rPr>
              <w:t>Net assets, end of period</w:t>
            </w:r>
          </w:p>
        </w:tc>
        <w:tc>
          <w:tcPr>
            <w:tcW w:w="60" w:type="dxa"/>
            <w:vAlign w:val="bottom"/>
            <w:tcBorders>
              <w:top w:val="single" w:sz="8" w:color="231F20"/>
            </w:tcBorders>
            <w:gridSpan w:val="3"/>
            <w:shd w:val="clear" w:color="auto" w:fill="FDFDFC"/>
          </w:tcPr>
          <w:p>
            <w:pPr>
              <w:spacing w:after="0"/>
              <w:rPr>
                <w:sz w:val="11"/>
                <w:szCs w:val="11"/>
                <w:color w:val="auto"/>
              </w:rPr>
            </w:pPr>
          </w:p>
        </w:tc>
        <w:tc>
          <w:tcPr>
            <w:tcW w:w="0" w:type="dxa"/>
            <w:vAlign w:val="bottom"/>
            <w:tcBorders>
              <w:top w:val="single" w:sz="8" w:color="231F20"/>
              <w:bottom w:val="single" w:sz="8" w:color="231F20"/>
            </w:tcBorders>
            <w:shd w:val="clear" w:color="auto" w:fill="FDFDFC"/>
          </w:tcPr>
          <w:p>
            <w:pPr>
              <w:jc w:val="right"/>
              <w:spacing w:after="0"/>
              <w:rPr>
                <w:sz w:val="20"/>
                <w:szCs w:val="20"/>
                <w:color w:val="auto"/>
              </w:rPr>
            </w:pPr>
            <w:r>
              <w:rPr>
                <w:rFonts w:ascii="Times New Roman" w:cs="Times New Roman" w:eastAsia="Times New Roman" w:hAnsi="Times New Roman"/>
                <w:sz w:val="5"/>
                <w:szCs w:val="5"/>
                <w:color w:val="231F20"/>
                <w:highlight w:val="white"/>
                <w:w w:val="78"/>
              </w:rPr>
              <w:t>$</w:t>
            </w:r>
          </w:p>
        </w:tc>
        <w:tc>
          <w:tcPr>
            <w:tcW w:w="560" w:type="dxa"/>
            <w:vAlign w:val="bottom"/>
            <w:tcBorders>
              <w:top w:val="single" w:sz="8" w:color="231F20"/>
              <w:bottom w:val="single" w:sz="8" w:color="231F20"/>
            </w:tcBorders>
            <w:shd w:val="clear" w:color="auto" w:fill="FDFDFC"/>
          </w:tcPr>
          <w:p>
            <w:pPr>
              <w:jc w:val="right"/>
              <w:spacing w:after="0" w:line="131" w:lineRule="exact"/>
              <w:rPr>
                <w:sz w:val="20"/>
                <w:szCs w:val="20"/>
                <w:color w:val="auto"/>
              </w:rPr>
            </w:pPr>
            <w:r>
              <w:rPr>
                <w:rFonts w:ascii="Times New Roman" w:cs="Times New Roman" w:eastAsia="Times New Roman" w:hAnsi="Times New Roman"/>
                <w:sz w:val="12"/>
                <w:szCs w:val="12"/>
                <w:color w:val="231F20"/>
                <w:highlight w:val="white"/>
              </w:rPr>
              <w:t>1,607,529</w:t>
            </w:r>
          </w:p>
        </w:tc>
        <w:tc>
          <w:tcPr>
            <w:tcW w:w="120" w:type="dxa"/>
            <w:vAlign w:val="bottom"/>
            <w:tcBorders>
              <w:top w:val="single" w:sz="8" w:color="FDFDFC"/>
            </w:tcBorders>
            <w:shd w:val="clear" w:color="auto" w:fill="FDFDFC"/>
          </w:tcPr>
          <w:p>
            <w:pPr>
              <w:spacing w:after="0"/>
              <w:rPr>
                <w:sz w:val="11"/>
                <w:szCs w:val="11"/>
                <w:color w:val="auto"/>
              </w:rPr>
            </w:pPr>
          </w:p>
        </w:tc>
        <w:tc>
          <w:tcPr>
            <w:tcW w:w="40" w:type="dxa"/>
            <w:vAlign w:val="bottom"/>
            <w:tcBorders>
              <w:top w:val="single" w:sz="8" w:color="FDFDFC"/>
            </w:tcBorders>
            <w:shd w:val="clear" w:color="auto" w:fill="FDFDFC"/>
          </w:tcPr>
          <w:p>
            <w:pPr>
              <w:spacing w:after="0"/>
              <w:rPr>
                <w:sz w:val="11"/>
                <w:szCs w:val="11"/>
                <w:color w:val="auto"/>
              </w:rPr>
            </w:pPr>
          </w:p>
        </w:tc>
        <w:tc>
          <w:tcPr>
            <w:tcW w:w="60" w:type="dxa"/>
            <w:vAlign w:val="bottom"/>
            <w:tcBorders>
              <w:top w:val="single" w:sz="8" w:color="231F20"/>
              <w:bottom w:val="single" w:sz="8" w:color="231F20"/>
            </w:tcBorders>
            <w:shd w:val="clear" w:color="auto" w:fill="FDFDFC"/>
          </w:tcPr>
          <w:p>
            <w:pPr>
              <w:jc w:val="right"/>
              <w:spacing w:after="0"/>
              <w:rPr>
                <w:sz w:val="20"/>
                <w:szCs w:val="20"/>
                <w:color w:val="auto"/>
              </w:rPr>
            </w:pPr>
            <w:r>
              <w:rPr>
                <w:rFonts w:ascii="Times New Roman" w:cs="Times New Roman" w:eastAsia="Times New Roman" w:hAnsi="Times New Roman"/>
                <w:sz w:val="11"/>
                <w:szCs w:val="11"/>
                <w:color w:val="231F20"/>
                <w:highlight w:val="white"/>
                <w:w w:val="71"/>
              </w:rPr>
              <w:t>$</w:t>
            </w:r>
          </w:p>
        </w:tc>
        <w:tc>
          <w:tcPr>
            <w:tcW w:w="580" w:type="dxa"/>
            <w:vAlign w:val="bottom"/>
            <w:tcBorders>
              <w:top w:val="single" w:sz="8" w:color="231F20"/>
              <w:bottom w:val="single" w:sz="8" w:color="231F20"/>
            </w:tcBorders>
            <w:shd w:val="clear" w:color="auto" w:fill="FDFDFC"/>
          </w:tcPr>
          <w:p>
            <w:pPr>
              <w:jc w:val="right"/>
              <w:spacing w:after="0" w:line="131" w:lineRule="exact"/>
              <w:rPr>
                <w:sz w:val="20"/>
                <w:szCs w:val="20"/>
                <w:color w:val="auto"/>
              </w:rPr>
            </w:pPr>
            <w:r>
              <w:rPr>
                <w:rFonts w:ascii="Times New Roman" w:cs="Times New Roman" w:eastAsia="Times New Roman" w:hAnsi="Times New Roman"/>
                <w:sz w:val="12"/>
                <w:szCs w:val="12"/>
                <w:color w:val="231F20"/>
                <w:highlight w:val="white"/>
              </w:rPr>
              <w:t>1,496,375</w:t>
            </w:r>
          </w:p>
        </w:tc>
        <w:tc>
          <w:tcPr>
            <w:tcW w:w="0" w:type="dxa"/>
            <w:vAlign w:val="bottom"/>
            <w:tcBorders>
              <w:bottom w:val="single" w:sz="8" w:color="231F20"/>
            </w:tcBorders>
            <w:shd w:val="clear" w:color="auto" w:fill="FDFDFC"/>
          </w:tcPr>
          <w:p>
            <w:pPr>
              <w:spacing w:after="0"/>
              <w:rPr>
                <w:sz w:val="11"/>
                <w:szCs w:val="11"/>
                <w:color w:val="auto"/>
              </w:rPr>
            </w:pPr>
          </w:p>
        </w:tc>
        <w:tc>
          <w:tcPr>
            <w:tcW w:w="100" w:type="dxa"/>
            <w:vAlign w:val="bottom"/>
            <w:tcBorders>
              <w:top w:val="single" w:sz="8" w:color="FDFDFC"/>
            </w:tcBorders>
            <w:shd w:val="clear" w:color="auto" w:fill="FDFDFC"/>
          </w:tcPr>
          <w:p>
            <w:pPr>
              <w:spacing w:after="0"/>
              <w:rPr>
                <w:sz w:val="11"/>
                <w:szCs w:val="11"/>
                <w:color w:val="auto"/>
              </w:rPr>
            </w:pPr>
          </w:p>
        </w:tc>
        <w:tc>
          <w:tcPr>
            <w:tcW w:w="40" w:type="dxa"/>
            <w:vAlign w:val="bottom"/>
            <w:tcBorders>
              <w:top w:val="single" w:sz="8" w:color="FDFDFC"/>
            </w:tcBorders>
            <w:shd w:val="clear" w:color="auto" w:fill="FDFDFC"/>
          </w:tcPr>
          <w:p>
            <w:pPr>
              <w:spacing w:after="0"/>
              <w:rPr>
                <w:sz w:val="11"/>
                <w:szCs w:val="11"/>
                <w:color w:val="auto"/>
              </w:rPr>
            </w:pPr>
          </w:p>
        </w:tc>
        <w:tc>
          <w:tcPr>
            <w:tcW w:w="60" w:type="dxa"/>
            <w:vAlign w:val="bottom"/>
            <w:tcBorders>
              <w:top w:val="single" w:sz="8" w:color="231F20"/>
              <w:bottom w:val="single" w:sz="8" w:color="231F20"/>
            </w:tcBorders>
            <w:shd w:val="clear" w:color="auto" w:fill="FDFDFC"/>
          </w:tcPr>
          <w:p>
            <w:pPr>
              <w:jc w:val="right"/>
              <w:spacing w:after="0"/>
              <w:rPr>
                <w:sz w:val="20"/>
                <w:szCs w:val="20"/>
                <w:color w:val="auto"/>
              </w:rPr>
            </w:pPr>
            <w:r>
              <w:rPr>
                <w:rFonts w:ascii="Times New Roman" w:cs="Times New Roman" w:eastAsia="Times New Roman" w:hAnsi="Times New Roman"/>
                <w:sz w:val="11"/>
                <w:szCs w:val="11"/>
                <w:color w:val="231F20"/>
                <w:highlight w:val="white"/>
                <w:w w:val="71"/>
              </w:rPr>
              <w:t>$</w:t>
            </w:r>
          </w:p>
        </w:tc>
        <w:tc>
          <w:tcPr>
            <w:tcW w:w="580" w:type="dxa"/>
            <w:vAlign w:val="bottom"/>
            <w:tcBorders>
              <w:top w:val="single" w:sz="8" w:color="231F20"/>
              <w:bottom w:val="single" w:sz="8" w:color="231F20"/>
            </w:tcBorders>
            <w:shd w:val="clear" w:color="auto" w:fill="FDFDFC"/>
          </w:tcPr>
          <w:p>
            <w:pPr>
              <w:jc w:val="right"/>
              <w:spacing w:after="0" w:line="131" w:lineRule="exact"/>
              <w:rPr>
                <w:sz w:val="20"/>
                <w:szCs w:val="20"/>
                <w:color w:val="auto"/>
              </w:rPr>
            </w:pPr>
            <w:r>
              <w:rPr>
                <w:rFonts w:ascii="Times New Roman" w:cs="Times New Roman" w:eastAsia="Times New Roman" w:hAnsi="Times New Roman"/>
                <w:sz w:val="12"/>
                <w:szCs w:val="12"/>
                <w:color w:val="231F20"/>
                <w:highlight w:val="white"/>
              </w:rPr>
              <w:t>1,341,569</w:t>
            </w:r>
          </w:p>
        </w:tc>
        <w:tc>
          <w:tcPr>
            <w:tcW w:w="0" w:type="dxa"/>
            <w:vAlign w:val="bottom"/>
            <w:tcBorders>
              <w:bottom w:val="single" w:sz="8" w:color="231F20"/>
            </w:tcBorders>
            <w:shd w:val="clear" w:color="auto" w:fill="FDFDFC"/>
          </w:tcPr>
          <w:p>
            <w:pPr>
              <w:spacing w:after="0"/>
              <w:rPr>
                <w:sz w:val="11"/>
                <w:szCs w:val="11"/>
                <w:color w:val="auto"/>
              </w:rPr>
            </w:pPr>
          </w:p>
        </w:tc>
        <w:tc>
          <w:tcPr>
            <w:tcW w:w="100" w:type="dxa"/>
            <w:vAlign w:val="bottom"/>
            <w:tcBorders>
              <w:top w:val="single" w:sz="8" w:color="FDFDFC"/>
            </w:tcBorders>
            <w:shd w:val="clear" w:color="auto" w:fill="FDFDFC"/>
          </w:tcPr>
          <w:p>
            <w:pPr>
              <w:spacing w:after="0"/>
              <w:rPr>
                <w:sz w:val="11"/>
                <w:szCs w:val="11"/>
                <w:color w:val="auto"/>
              </w:rPr>
            </w:pPr>
          </w:p>
        </w:tc>
        <w:tc>
          <w:tcPr>
            <w:tcW w:w="20" w:type="dxa"/>
            <w:vAlign w:val="bottom"/>
            <w:tcBorders>
              <w:top w:val="single" w:sz="8" w:color="FDFDFC"/>
            </w:tcBorders>
            <w:shd w:val="clear" w:color="auto" w:fill="FDFDFC"/>
          </w:tcPr>
          <w:p>
            <w:pPr>
              <w:spacing w:after="0"/>
              <w:rPr>
                <w:sz w:val="11"/>
                <w:szCs w:val="11"/>
                <w:color w:val="auto"/>
              </w:rPr>
            </w:pPr>
          </w:p>
        </w:tc>
        <w:tc>
          <w:tcPr>
            <w:tcW w:w="60" w:type="dxa"/>
            <w:vAlign w:val="bottom"/>
            <w:tcBorders>
              <w:top w:val="single" w:sz="8" w:color="231F20"/>
              <w:bottom w:val="single" w:sz="8" w:color="231F20"/>
            </w:tcBorders>
            <w:shd w:val="clear" w:color="auto" w:fill="FDFDFC"/>
          </w:tcPr>
          <w:p>
            <w:pPr>
              <w:jc w:val="right"/>
              <w:spacing w:after="0"/>
              <w:rPr>
                <w:sz w:val="20"/>
                <w:szCs w:val="20"/>
                <w:color w:val="auto"/>
              </w:rPr>
            </w:pPr>
            <w:r>
              <w:rPr>
                <w:rFonts w:ascii="Times New Roman" w:cs="Times New Roman" w:eastAsia="Times New Roman" w:hAnsi="Times New Roman"/>
                <w:sz w:val="11"/>
                <w:szCs w:val="11"/>
                <w:color w:val="231F20"/>
                <w:highlight w:val="white"/>
                <w:w w:val="71"/>
              </w:rPr>
              <w:t>$</w:t>
            </w:r>
          </w:p>
        </w:tc>
        <w:tc>
          <w:tcPr>
            <w:tcW w:w="580" w:type="dxa"/>
            <w:vAlign w:val="bottom"/>
            <w:tcBorders>
              <w:top w:val="single" w:sz="8" w:color="231F20"/>
              <w:bottom w:val="single" w:sz="8" w:color="231F20"/>
            </w:tcBorders>
            <w:shd w:val="clear" w:color="auto" w:fill="FDFDFC"/>
          </w:tcPr>
          <w:p>
            <w:pPr>
              <w:jc w:val="right"/>
              <w:spacing w:after="0" w:line="131" w:lineRule="exact"/>
              <w:rPr>
                <w:sz w:val="20"/>
                <w:szCs w:val="20"/>
                <w:color w:val="auto"/>
              </w:rPr>
            </w:pPr>
            <w:r>
              <w:rPr>
                <w:rFonts w:ascii="Times New Roman" w:cs="Times New Roman" w:eastAsia="Times New Roman" w:hAnsi="Times New Roman"/>
                <w:sz w:val="12"/>
                <w:szCs w:val="12"/>
                <w:color w:val="231F20"/>
                <w:highlight w:val="white"/>
              </w:rPr>
              <w:t>1,275,848</w:t>
            </w:r>
          </w:p>
        </w:tc>
        <w:tc>
          <w:tcPr>
            <w:tcW w:w="20" w:type="dxa"/>
            <w:vAlign w:val="bottom"/>
            <w:tcBorders>
              <w:bottom w:val="single" w:sz="8" w:color="231F20"/>
            </w:tcBorders>
            <w:shd w:val="clear" w:color="auto" w:fill="FDFDFC"/>
          </w:tcPr>
          <w:p>
            <w:pPr>
              <w:spacing w:after="0"/>
              <w:rPr>
                <w:sz w:val="11"/>
                <w:szCs w:val="11"/>
                <w:color w:val="auto"/>
              </w:rPr>
            </w:pPr>
          </w:p>
        </w:tc>
        <w:tc>
          <w:tcPr>
            <w:tcW w:w="20" w:type="dxa"/>
            <w:vAlign w:val="bottom"/>
            <w:tcBorders>
              <w:bottom w:val="single" w:sz="8" w:color="231F20"/>
            </w:tcBorders>
            <w:shd w:val="clear" w:color="auto" w:fill="FDFDFC"/>
          </w:tcPr>
          <w:p>
            <w:pPr>
              <w:spacing w:after="0"/>
              <w:rPr>
                <w:sz w:val="11"/>
                <w:szCs w:val="11"/>
                <w:color w:val="auto"/>
              </w:rPr>
            </w:pPr>
          </w:p>
        </w:tc>
        <w:tc>
          <w:tcPr>
            <w:tcW w:w="60" w:type="dxa"/>
            <w:vAlign w:val="bottom"/>
            <w:tcBorders>
              <w:top w:val="single" w:sz="8" w:color="FDFDFC"/>
            </w:tcBorders>
            <w:shd w:val="clear" w:color="auto" w:fill="FDFDFC"/>
          </w:tcPr>
          <w:p>
            <w:pPr>
              <w:spacing w:after="0"/>
              <w:rPr>
                <w:sz w:val="11"/>
                <w:szCs w:val="11"/>
                <w:color w:val="auto"/>
              </w:rPr>
            </w:pPr>
          </w:p>
        </w:tc>
        <w:tc>
          <w:tcPr>
            <w:tcW w:w="80" w:type="dxa"/>
            <w:vAlign w:val="bottom"/>
            <w:tcBorders>
              <w:top w:val="single" w:sz="8" w:color="231F20"/>
              <w:bottom w:val="single" w:sz="8" w:color="231F20"/>
            </w:tcBorders>
            <w:shd w:val="clear" w:color="auto" w:fill="FDFDFC"/>
          </w:tcPr>
          <w:p>
            <w:pPr>
              <w:jc w:val="right"/>
              <w:spacing w:after="0" w:line="131" w:lineRule="exact"/>
              <w:rPr>
                <w:sz w:val="20"/>
                <w:szCs w:val="20"/>
                <w:color w:val="auto"/>
              </w:rPr>
            </w:pPr>
            <w:r>
              <w:rPr>
                <w:rFonts w:ascii="Times New Roman" w:cs="Times New Roman" w:eastAsia="Times New Roman" w:hAnsi="Times New Roman"/>
                <w:sz w:val="12"/>
                <w:szCs w:val="12"/>
                <w:color w:val="231F20"/>
                <w:highlight w:val="white"/>
                <w:w w:val="99"/>
              </w:rPr>
              <w:t>$</w:t>
            </w:r>
          </w:p>
        </w:tc>
        <w:tc>
          <w:tcPr>
            <w:tcW w:w="560" w:type="dxa"/>
            <w:vAlign w:val="bottom"/>
            <w:tcBorders>
              <w:top w:val="single" w:sz="8" w:color="231F20"/>
              <w:bottom w:val="single" w:sz="8" w:color="231F20"/>
            </w:tcBorders>
            <w:shd w:val="clear" w:color="auto" w:fill="FDFDFC"/>
          </w:tcPr>
          <w:p>
            <w:pPr>
              <w:jc w:val="right"/>
              <w:spacing w:after="0" w:line="131" w:lineRule="exact"/>
              <w:rPr>
                <w:sz w:val="20"/>
                <w:szCs w:val="20"/>
                <w:color w:val="auto"/>
              </w:rPr>
            </w:pPr>
            <w:r>
              <w:rPr>
                <w:rFonts w:ascii="Times New Roman" w:cs="Times New Roman" w:eastAsia="Times New Roman" w:hAnsi="Times New Roman"/>
                <w:sz w:val="12"/>
                <w:szCs w:val="12"/>
                <w:color w:val="231F20"/>
                <w:highlight w:val="white"/>
              </w:rPr>
              <w:t>1,161,315</w:t>
            </w:r>
          </w:p>
        </w:tc>
        <w:tc>
          <w:tcPr>
            <w:tcW w:w="0" w:type="dxa"/>
            <w:vAlign w:val="bottom"/>
            <w:tcBorders>
              <w:bottom w:val="single" w:sz="8" w:color="231F20"/>
            </w:tcBorders>
            <w:shd w:val="clear" w:color="auto" w:fill="FDFDFC"/>
          </w:tcPr>
          <w:p>
            <w:pPr>
              <w:spacing w:after="0"/>
              <w:rPr>
                <w:sz w:val="11"/>
                <w:szCs w:val="11"/>
                <w:color w:val="auto"/>
              </w:rPr>
            </w:pPr>
          </w:p>
        </w:tc>
        <w:tc>
          <w:tcPr>
            <w:tcW w:w="100" w:type="dxa"/>
            <w:vAlign w:val="bottom"/>
            <w:tcBorders>
              <w:top w:val="single" w:sz="8" w:color="FDFDFC"/>
            </w:tcBorders>
            <w:shd w:val="clear" w:color="auto" w:fill="FDFDFC"/>
          </w:tcPr>
          <w:p>
            <w:pPr>
              <w:spacing w:after="0"/>
              <w:rPr>
                <w:sz w:val="11"/>
                <w:szCs w:val="11"/>
                <w:color w:val="auto"/>
              </w:rPr>
            </w:pPr>
          </w:p>
        </w:tc>
        <w:tc>
          <w:tcPr>
            <w:tcW w:w="20" w:type="dxa"/>
            <w:vAlign w:val="bottom"/>
            <w:tcBorders>
              <w:top w:val="single" w:sz="8" w:color="FDFDFC"/>
            </w:tcBorders>
            <w:shd w:val="clear" w:color="auto" w:fill="FDFDFC"/>
          </w:tcPr>
          <w:p>
            <w:pPr>
              <w:spacing w:after="0"/>
              <w:rPr>
                <w:sz w:val="11"/>
                <w:szCs w:val="11"/>
                <w:color w:val="auto"/>
              </w:rPr>
            </w:pPr>
          </w:p>
        </w:tc>
        <w:tc>
          <w:tcPr>
            <w:tcW w:w="60" w:type="dxa"/>
            <w:vAlign w:val="bottom"/>
            <w:tcBorders>
              <w:top w:val="single" w:sz="8" w:color="231F20"/>
              <w:bottom w:val="single" w:sz="8" w:color="231F20"/>
            </w:tcBorders>
            <w:shd w:val="clear" w:color="auto" w:fill="FDFDFC"/>
          </w:tcPr>
          <w:p>
            <w:pPr>
              <w:jc w:val="right"/>
              <w:spacing w:after="0"/>
              <w:rPr>
                <w:sz w:val="20"/>
                <w:szCs w:val="20"/>
                <w:color w:val="auto"/>
              </w:rPr>
            </w:pPr>
            <w:r>
              <w:rPr>
                <w:rFonts w:ascii="Times New Roman" w:cs="Times New Roman" w:eastAsia="Times New Roman" w:hAnsi="Times New Roman"/>
                <w:sz w:val="11"/>
                <w:szCs w:val="11"/>
                <w:color w:val="231F20"/>
                <w:highlight w:val="white"/>
                <w:w w:val="71"/>
              </w:rPr>
              <w:t>$</w:t>
            </w:r>
          </w:p>
        </w:tc>
        <w:tc>
          <w:tcPr>
            <w:tcW w:w="560" w:type="dxa"/>
            <w:vAlign w:val="bottom"/>
            <w:tcBorders>
              <w:top w:val="single" w:sz="8" w:color="231F20"/>
              <w:bottom w:val="single" w:sz="8" w:color="231F20"/>
            </w:tcBorders>
            <w:shd w:val="clear" w:color="auto" w:fill="FDFDFC"/>
          </w:tcPr>
          <w:p>
            <w:pPr>
              <w:jc w:val="right"/>
              <w:spacing w:after="0" w:line="131" w:lineRule="exact"/>
              <w:rPr>
                <w:sz w:val="20"/>
                <w:szCs w:val="20"/>
                <w:color w:val="auto"/>
              </w:rPr>
            </w:pPr>
            <w:r>
              <w:rPr>
                <w:rFonts w:ascii="Times New Roman" w:cs="Times New Roman" w:eastAsia="Times New Roman" w:hAnsi="Times New Roman"/>
                <w:sz w:val="12"/>
                <w:szCs w:val="12"/>
                <w:color w:val="231F20"/>
                <w:highlight w:val="white"/>
              </w:rPr>
              <w:t>1,119,297</w:t>
            </w:r>
          </w:p>
        </w:tc>
        <w:tc>
          <w:tcPr>
            <w:tcW w:w="0" w:type="dxa"/>
            <w:vAlign w:val="bottom"/>
            <w:tcBorders>
              <w:bottom w:val="single" w:sz="8" w:color="231F20"/>
            </w:tcBorders>
            <w:shd w:val="clear" w:color="auto" w:fill="FDFDFC"/>
          </w:tcPr>
          <w:p>
            <w:pPr>
              <w:spacing w:after="0"/>
              <w:rPr>
                <w:sz w:val="11"/>
                <w:szCs w:val="11"/>
                <w:color w:val="auto"/>
              </w:rPr>
            </w:pPr>
          </w:p>
        </w:tc>
        <w:tc>
          <w:tcPr>
            <w:tcW w:w="100" w:type="dxa"/>
            <w:vAlign w:val="bottom"/>
            <w:tcBorders>
              <w:top w:val="single" w:sz="8" w:color="FDFDFC"/>
            </w:tcBorders>
            <w:shd w:val="clear" w:color="auto" w:fill="FDFDFC"/>
          </w:tcPr>
          <w:p>
            <w:pPr>
              <w:spacing w:after="0"/>
              <w:rPr>
                <w:sz w:val="11"/>
                <w:szCs w:val="11"/>
                <w:color w:val="auto"/>
              </w:rPr>
            </w:pPr>
          </w:p>
        </w:tc>
        <w:tc>
          <w:tcPr>
            <w:tcW w:w="20" w:type="dxa"/>
            <w:vAlign w:val="bottom"/>
            <w:tcBorders>
              <w:top w:val="single" w:sz="8" w:color="FDFDFC"/>
            </w:tcBorders>
            <w:shd w:val="clear" w:color="auto" w:fill="FDFDFC"/>
          </w:tcPr>
          <w:p>
            <w:pPr>
              <w:spacing w:after="0"/>
              <w:rPr>
                <w:sz w:val="11"/>
                <w:szCs w:val="11"/>
                <w:color w:val="auto"/>
              </w:rPr>
            </w:pPr>
          </w:p>
        </w:tc>
        <w:tc>
          <w:tcPr>
            <w:tcW w:w="60" w:type="dxa"/>
            <w:vAlign w:val="bottom"/>
            <w:tcBorders>
              <w:top w:val="single" w:sz="8" w:color="231F20"/>
              <w:bottom w:val="single" w:sz="8" w:color="231F20"/>
            </w:tcBorders>
            <w:shd w:val="clear" w:color="auto" w:fill="FDFDFC"/>
          </w:tcPr>
          <w:p>
            <w:pPr>
              <w:jc w:val="right"/>
              <w:spacing w:after="0"/>
              <w:rPr>
                <w:sz w:val="20"/>
                <w:szCs w:val="20"/>
                <w:color w:val="auto"/>
              </w:rPr>
            </w:pPr>
            <w:r>
              <w:rPr>
                <w:rFonts w:ascii="Times New Roman" w:cs="Times New Roman" w:eastAsia="Times New Roman" w:hAnsi="Times New Roman"/>
                <w:sz w:val="11"/>
                <w:szCs w:val="11"/>
                <w:color w:val="231F20"/>
                <w:highlight w:val="white"/>
                <w:w w:val="71"/>
              </w:rPr>
              <w:t>$</w:t>
            </w:r>
          </w:p>
        </w:tc>
        <w:tc>
          <w:tcPr>
            <w:tcW w:w="560" w:type="dxa"/>
            <w:vAlign w:val="bottom"/>
            <w:tcBorders>
              <w:top w:val="single" w:sz="8" w:color="231F20"/>
              <w:bottom w:val="single" w:sz="8" w:color="231F20"/>
            </w:tcBorders>
            <w:shd w:val="clear" w:color="auto" w:fill="FDFDFC"/>
          </w:tcPr>
          <w:p>
            <w:pPr>
              <w:jc w:val="right"/>
              <w:spacing w:after="0" w:line="131" w:lineRule="exact"/>
              <w:rPr>
                <w:sz w:val="20"/>
                <w:szCs w:val="20"/>
                <w:color w:val="auto"/>
              </w:rPr>
            </w:pPr>
            <w:r>
              <w:rPr>
                <w:rFonts w:ascii="Times New Roman" w:cs="Times New Roman" w:eastAsia="Times New Roman" w:hAnsi="Times New Roman"/>
                <w:sz w:val="12"/>
                <w:szCs w:val="12"/>
                <w:color w:val="231F20"/>
                <w:highlight w:val="white"/>
              </w:rPr>
              <w:t>1,063,202</w:t>
            </w:r>
          </w:p>
        </w:tc>
        <w:tc>
          <w:tcPr>
            <w:tcW w:w="0" w:type="dxa"/>
            <w:vAlign w:val="bottom"/>
            <w:tcBorders>
              <w:bottom w:val="single" w:sz="8" w:color="231F20"/>
            </w:tcBorders>
            <w:shd w:val="clear" w:color="auto" w:fill="FDFDFC"/>
          </w:tcPr>
          <w:p>
            <w:pPr>
              <w:spacing w:after="0"/>
              <w:rPr>
                <w:sz w:val="11"/>
                <w:szCs w:val="11"/>
                <w:color w:val="auto"/>
              </w:rPr>
            </w:pPr>
          </w:p>
        </w:tc>
        <w:tc>
          <w:tcPr>
            <w:tcW w:w="100" w:type="dxa"/>
            <w:vAlign w:val="bottom"/>
            <w:tcBorders>
              <w:top w:val="single" w:sz="8" w:color="FDFDFC"/>
            </w:tcBorders>
            <w:shd w:val="clear" w:color="auto" w:fill="FDFDFC"/>
          </w:tcPr>
          <w:p>
            <w:pPr>
              <w:spacing w:after="0"/>
              <w:rPr>
                <w:sz w:val="11"/>
                <w:szCs w:val="11"/>
                <w:color w:val="auto"/>
              </w:rPr>
            </w:pPr>
          </w:p>
        </w:tc>
        <w:tc>
          <w:tcPr>
            <w:tcW w:w="20" w:type="dxa"/>
            <w:vAlign w:val="bottom"/>
            <w:tcBorders>
              <w:top w:val="single" w:sz="8" w:color="FDFDFC"/>
            </w:tcBorders>
            <w:shd w:val="clear" w:color="auto" w:fill="FDFDFC"/>
          </w:tcPr>
          <w:p>
            <w:pPr>
              <w:spacing w:after="0"/>
              <w:rPr>
                <w:sz w:val="11"/>
                <w:szCs w:val="11"/>
                <w:color w:val="auto"/>
              </w:rPr>
            </w:pPr>
          </w:p>
        </w:tc>
        <w:tc>
          <w:tcPr>
            <w:tcW w:w="60" w:type="dxa"/>
            <w:vAlign w:val="bottom"/>
            <w:tcBorders>
              <w:top w:val="single" w:sz="8" w:color="231F20"/>
              <w:bottom w:val="single" w:sz="8" w:color="231F20"/>
            </w:tcBorders>
            <w:shd w:val="clear" w:color="auto" w:fill="FDFDFC"/>
          </w:tcPr>
          <w:p>
            <w:pPr>
              <w:jc w:val="right"/>
              <w:spacing w:after="0"/>
              <w:rPr>
                <w:sz w:val="20"/>
                <w:szCs w:val="20"/>
                <w:color w:val="auto"/>
              </w:rPr>
            </w:pPr>
            <w:r>
              <w:rPr>
                <w:rFonts w:ascii="Times New Roman" w:cs="Times New Roman" w:eastAsia="Times New Roman" w:hAnsi="Times New Roman"/>
                <w:sz w:val="11"/>
                <w:szCs w:val="11"/>
                <w:color w:val="231F20"/>
                <w:highlight w:val="white"/>
                <w:w w:val="71"/>
              </w:rPr>
              <w:t>$</w:t>
            </w:r>
          </w:p>
        </w:tc>
        <w:tc>
          <w:tcPr>
            <w:tcW w:w="580" w:type="dxa"/>
            <w:vAlign w:val="bottom"/>
            <w:tcBorders>
              <w:top w:val="single" w:sz="8" w:color="231F20"/>
              <w:bottom w:val="single" w:sz="8" w:color="231F20"/>
            </w:tcBorders>
            <w:shd w:val="clear" w:color="auto" w:fill="FDFDFC"/>
          </w:tcPr>
          <w:p>
            <w:pPr>
              <w:jc w:val="right"/>
              <w:spacing w:after="0" w:line="131" w:lineRule="exact"/>
              <w:rPr>
                <w:sz w:val="20"/>
                <w:szCs w:val="20"/>
                <w:color w:val="auto"/>
              </w:rPr>
            </w:pPr>
            <w:r>
              <w:rPr>
                <w:rFonts w:ascii="Times New Roman" w:cs="Times New Roman" w:eastAsia="Times New Roman" w:hAnsi="Times New Roman"/>
                <w:sz w:val="12"/>
                <w:szCs w:val="12"/>
                <w:color w:val="231F20"/>
                <w:highlight w:val="white"/>
              </w:rPr>
              <w:t>969,284</w:t>
            </w:r>
          </w:p>
        </w:tc>
        <w:tc>
          <w:tcPr>
            <w:tcW w:w="0" w:type="dxa"/>
            <w:vAlign w:val="bottom"/>
            <w:tcBorders>
              <w:bottom w:val="single" w:sz="8" w:color="231F20"/>
            </w:tcBorders>
            <w:shd w:val="clear" w:color="auto" w:fill="FDFDFC"/>
          </w:tcPr>
          <w:p>
            <w:pPr>
              <w:spacing w:after="0"/>
              <w:rPr>
                <w:sz w:val="11"/>
                <w:szCs w:val="11"/>
                <w:color w:val="auto"/>
              </w:rPr>
            </w:pPr>
          </w:p>
        </w:tc>
        <w:tc>
          <w:tcPr>
            <w:tcW w:w="100" w:type="dxa"/>
            <w:vAlign w:val="bottom"/>
            <w:tcBorders>
              <w:top w:val="single" w:sz="8" w:color="FDFDFC"/>
            </w:tcBorders>
            <w:shd w:val="clear" w:color="auto" w:fill="FDFDFC"/>
          </w:tcPr>
          <w:p>
            <w:pPr>
              <w:spacing w:after="0"/>
              <w:rPr>
                <w:sz w:val="11"/>
                <w:szCs w:val="11"/>
                <w:color w:val="auto"/>
              </w:rPr>
            </w:pPr>
          </w:p>
        </w:tc>
        <w:tc>
          <w:tcPr>
            <w:tcW w:w="80" w:type="dxa"/>
            <w:vAlign w:val="bottom"/>
            <w:tcBorders>
              <w:top w:val="single" w:sz="8" w:color="231F20"/>
              <w:bottom w:val="single" w:sz="8" w:color="231F20"/>
            </w:tcBorders>
            <w:shd w:val="clear" w:color="auto" w:fill="FDFDFC"/>
          </w:tcPr>
          <w:p>
            <w:pPr>
              <w:jc w:val="right"/>
              <w:spacing w:after="0" w:line="131" w:lineRule="exact"/>
              <w:rPr>
                <w:sz w:val="20"/>
                <w:szCs w:val="20"/>
                <w:color w:val="auto"/>
              </w:rPr>
            </w:pPr>
            <w:r>
              <w:rPr>
                <w:rFonts w:ascii="Times New Roman" w:cs="Times New Roman" w:eastAsia="Times New Roman" w:hAnsi="Times New Roman"/>
                <w:sz w:val="12"/>
                <w:szCs w:val="12"/>
                <w:color w:val="231F20"/>
                <w:highlight w:val="white"/>
                <w:w w:val="99"/>
              </w:rPr>
              <w:t>$</w:t>
            </w:r>
          </w:p>
        </w:tc>
        <w:tc>
          <w:tcPr>
            <w:tcW w:w="560" w:type="dxa"/>
            <w:vAlign w:val="bottom"/>
            <w:tcBorders>
              <w:top w:val="single" w:sz="8" w:color="231F20"/>
              <w:bottom w:val="single" w:sz="8" w:color="231F20"/>
            </w:tcBorders>
            <w:shd w:val="clear" w:color="auto" w:fill="FDFDFC"/>
          </w:tcPr>
          <w:p>
            <w:pPr>
              <w:jc w:val="right"/>
              <w:spacing w:after="0" w:line="131" w:lineRule="exact"/>
              <w:rPr>
                <w:sz w:val="20"/>
                <w:szCs w:val="20"/>
                <w:color w:val="auto"/>
              </w:rPr>
            </w:pPr>
            <w:r>
              <w:rPr>
                <w:rFonts w:ascii="Times New Roman" w:cs="Times New Roman" w:eastAsia="Times New Roman" w:hAnsi="Times New Roman"/>
                <w:sz w:val="12"/>
                <w:szCs w:val="12"/>
                <w:color w:val="231F20"/>
                <w:highlight w:val="white"/>
              </w:rPr>
              <w:t>952,212</w:t>
            </w:r>
          </w:p>
        </w:tc>
        <w:tc>
          <w:tcPr>
            <w:tcW w:w="0" w:type="dxa"/>
            <w:vAlign w:val="bottom"/>
            <w:tcBorders>
              <w:bottom w:val="single" w:sz="8" w:color="231F20"/>
            </w:tcBorders>
            <w:shd w:val="clear" w:color="auto" w:fill="FDFDFC"/>
          </w:tcPr>
          <w:p>
            <w:pPr>
              <w:spacing w:after="0"/>
              <w:rPr>
                <w:sz w:val="11"/>
                <w:szCs w:val="11"/>
                <w:color w:val="auto"/>
              </w:rPr>
            </w:pPr>
          </w:p>
        </w:tc>
        <w:tc>
          <w:tcPr>
            <w:tcW w:w="100" w:type="dxa"/>
            <w:vAlign w:val="bottom"/>
            <w:tcBorders>
              <w:top w:val="single" w:sz="8" w:color="FDFDFC"/>
            </w:tcBorders>
            <w:shd w:val="clear" w:color="auto" w:fill="FDFDFC"/>
          </w:tcPr>
          <w:p>
            <w:pPr>
              <w:spacing w:after="0"/>
              <w:rPr>
                <w:sz w:val="11"/>
                <w:szCs w:val="11"/>
                <w:color w:val="auto"/>
              </w:rPr>
            </w:pPr>
          </w:p>
        </w:tc>
        <w:tc>
          <w:tcPr>
            <w:tcW w:w="20" w:type="dxa"/>
            <w:vAlign w:val="bottom"/>
            <w:tcBorders>
              <w:top w:val="single" w:sz="8" w:color="FDFDFC"/>
            </w:tcBorders>
            <w:shd w:val="clear" w:color="auto" w:fill="FDFDFC"/>
          </w:tcPr>
          <w:p>
            <w:pPr>
              <w:spacing w:after="0"/>
              <w:rPr>
                <w:sz w:val="11"/>
                <w:szCs w:val="11"/>
                <w:color w:val="auto"/>
              </w:rPr>
            </w:pPr>
          </w:p>
        </w:tc>
        <w:tc>
          <w:tcPr>
            <w:tcW w:w="80" w:type="dxa"/>
            <w:vAlign w:val="bottom"/>
            <w:tcBorders>
              <w:top w:val="single" w:sz="8" w:color="231F20"/>
              <w:bottom w:val="single" w:sz="8" w:color="231F20"/>
            </w:tcBorders>
            <w:shd w:val="clear" w:color="auto" w:fill="FDFDFC"/>
          </w:tcPr>
          <w:p>
            <w:pPr>
              <w:jc w:val="right"/>
              <w:spacing w:after="0" w:line="131" w:lineRule="exact"/>
              <w:rPr>
                <w:sz w:val="20"/>
                <w:szCs w:val="20"/>
                <w:color w:val="auto"/>
              </w:rPr>
            </w:pPr>
            <w:r>
              <w:rPr>
                <w:rFonts w:ascii="Times New Roman" w:cs="Times New Roman" w:eastAsia="Times New Roman" w:hAnsi="Times New Roman"/>
                <w:sz w:val="12"/>
                <w:szCs w:val="12"/>
                <w:color w:val="231F20"/>
                <w:highlight w:val="white"/>
                <w:w w:val="99"/>
              </w:rPr>
              <w:t>$</w:t>
            </w:r>
          </w:p>
        </w:tc>
        <w:tc>
          <w:tcPr>
            <w:tcW w:w="560" w:type="dxa"/>
            <w:vAlign w:val="bottom"/>
            <w:tcBorders>
              <w:top w:val="single" w:sz="8" w:color="231F20"/>
              <w:bottom w:val="single" w:sz="8" w:color="231F20"/>
            </w:tcBorders>
            <w:shd w:val="clear" w:color="auto" w:fill="FDFDFC"/>
          </w:tcPr>
          <w:p>
            <w:pPr>
              <w:jc w:val="right"/>
              <w:spacing w:after="0" w:line="131" w:lineRule="exact"/>
              <w:rPr>
                <w:sz w:val="20"/>
                <w:szCs w:val="20"/>
                <w:color w:val="auto"/>
              </w:rPr>
            </w:pPr>
            <w:r>
              <w:rPr>
                <w:rFonts w:ascii="Times New Roman" w:cs="Times New Roman" w:eastAsia="Times New Roman" w:hAnsi="Times New Roman"/>
                <w:sz w:val="12"/>
                <w:szCs w:val="12"/>
                <w:color w:val="231F20"/>
                <w:highlight w:val="white"/>
              </w:rPr>
              <w:t>820,741</w:t>
            </w:r>
          </w:p>
        </w:tc>
        <w:tc>
          <w:tcPr>
            <w:tcW w:w="20" w:type="dxa"/>
            <w:vAlign w:val="bottom"/>
            <w:tcBorders>
              <w:bottom w:val="single" w:sz="8" w:color="231F20"/>
            </w:tcBorders>
            <w:shd w:val="clear" w:color="auto" w:fill="FDFDFC"/>
          </w:tcPr>
          <w:p>
            <w:pPr>
              <w:spacing w:after="0"/>
              <w:rPr>
                <w:sz w:val="11"/>
                <w:szCs w:val="11"/>
                <w:color w:val="auto"/>
              </w:rPr>
            </w:pPr>
          </w:p>
        </w:tc>
        <w:tc>
          <w:tcPr>
            <w:tcW w:w="20" w:type="dxa"/>
            <w:vAlign w:val="bottom"/>
            <w:tcBorders>
              <w:bottom w:val="single" w:sz="8" w:color="231F20"/>
            </w:tcBorders>
            <w:shd w:val="clear" w:color="auto" w:fill="FDFDFC"/>
          </w:tcPr>
          <w:p>
            <w:pPr>
              <w:spacing w:after="0"/>
              <w:rPr>
                <w:sz w:val="11"/>
                <w:szCs w:val="11"/>
                <w:color w:val="auto"/>
              </w:rPr>
            </w:pPr>
          </w:p>
        </w:tc>
        <w:tc>
          <w:tcPr>
            <w:tcW w:w="60" w:type="dxa"/>
            <w:vAlign w:val="bottom"/>
            <w:tcBorders>
              <w:top w:val="single" w:sz="8" w:color="FDFDFC"/>
            </w:tcBorders>
            <w:shd w:val="clear" w:color="auto" w:fill="FDFDFC"/>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Borders>
              <w:bottom w:val="single" w:sz="8" w:color="231F20"/>
            </w:tcBorders>
          </w:tcPr>
          <w:p>
            <w:pPr>
              <w:spacing w:after="0" w:line="20" w:lineRule="exact"/>
              <w:rPr>
                <w:sz w:val="1"/>
                <w:szCs w:val="1"/>
                <w:color w:val="auto"/>
              </w:rPr>
            </w:pPr>
          </w:p>
        </w:tc>
        <w:tc>
          <w:tcPr>
            <w:tcW w:w="560" w:type="dxa"/>
            <w:vAlign w:val="bottom"/>
            <w:tcBorders>
              <w:bottom w:val="single" w:sz="8" w:color="231F20"/>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Borders>
              <w:bottom w:val="single" w:sz="8" w:color="231F20"/>
            </w:tcBorders>
          </w:tcPr>
          <w:p>
            <w:pPr>
              <w:spacing w:after="0" w:line="20" w:lineRule="exact"/>
              <w:rPr>
                <w:sz w:val="1"/>
                <w:szCs w:val="1"/>
                <w:color w:val="auto"/>
              </w:rPr>
            </w:pPr>
          </w:p>
        </w:tc>
        <w:tc>
          <w:tcPr>
            <w:tcW w:w="580" w:type="dxa"/>
            <w:vAlign w:val="bottom"/>
            <w:tcBorders>
              <w:bottom w:val="single" w:sz="8" w:color="231F20"/>
            </w:tcBorders>
          </w:tcPr>
          <w:p>
            <w:pPr>
              <w:spacing w:after="0" w:line="20" w:lineRule="exact"/>
              <w:rPr>
                <w:sz w:val="1"/>
                <w:szCs w:val="1"/>
                <w:color w:val="auto"/>
              </w:rPr>
            </w:pPr>
          </w:p>
        </w:tc>
        <w:tc>
          <w:tcPr>
            <w:tcW w:w="0" w:type="dxa"/>
            <w:vAlign w:val="bottom"/>
            <w:tcBorders>
              <w:bottom w:val="single" w:sz="8" w:color="231F20"/>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Borders>
              <w:bottom w:val="single" w:sz="8" w:color="231F20"/>
            </w:tcBorders>
          </w:tcPr>
          <w:p>
            <w:pPr>
              <w:spacing w:after="0" w:line="20" w:lineRule="exact"/>
              <w:rPr>
                <w:sz w:val="1"/>
                <w:szCs w:val="1"/>
                <w:color w:val="auto"/>
              </w:rPr>
            </w:pPr>
          </w:p>
        </w:tc>
        <w:tc>
          <w:tcPr>
            <w:tcW w:w="580" w:type="dxa"/>
            <w:vAlign w:val="bottom"/>
            <w:tcBorders>
              <w:bottom w:val="single" w:sz="8" w:color="231F20"/>
            </w:tcBorders>
          </w:tcPr>
          <w:p>
            <w:pPr>
              <w:spacing w:after="0" w:line="20" w:lineRule="exact"/>
              <w:rPr>
                <w:sz w:val="1"/>
                <w:szCs w:val="1"/>
                <w:color w:val="auto"/>
              </w:rPr>
            </w:pPr>
          </w:p>
        </w:tc>
        <w:tc>
          <w:tcPr>
            <w:tcW w:w="0" w:type="dxa"/>
            <w:vAlign w:val="bottom"/>
            <w:tcBorders>
              <w:bottom w:val="single" w:sz="8" w:color="231F20"/>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231F20"/>
            </w:tcBorders>
          </w:tcPr>
          <w:p>
            <w:pPr>
              <w:spacing w:after="0" w:line="20" w:lineRule="exact"/>
              <w:rPr>
                <w:sz w:val="1"/>
                <w:szCs w:val="1"/>
                <w:color w:val="auto"/>
              </w:rPr>
            </w:pPr>
          </w:p>
        </w:tc>
        <w:tc>
          <w:tcPr>
            <w:tcW w:w="580" w:type="dxa"/>
            <w:vAlign w:val="bottom"/>
            <w:tcBorders>
              <w:bottom w:val="single" w:sz="8" w:color="231F20"/>
            </w:tcBorders>
          </w:tcPr>
          <w:p>
            <w:pPr>
              <w:spacing w:after="0" w:line="20" w:lineRule="exact"/>
              <w:rPr>
                <w:sz w:val="1"/>
                <w:szCs w:val="1"/>
                <w:color w:val="auto"/>
              </w:rPr>
            </w:pPr>
          </w:p>
        </w:tc>
        <w:tc>
          <w:tcPr>
            <w:tcW w:w="20" w:type="dxa"/>
            <w:vAlign w:val="bottom"/>
            <w:tcBorders>
              <w:bottom w:val="single" w:sz="8" w:color="231F20"/>
            </w:tcBorders>
          </w:tcPr>
          <w:p>
            <w:pPr>
              <w:spacing w:after="0" w:line="20" w:lineRule="exact"/>
              <w:rPr>
                <w:sz w:val="1"/>
                <w:szCs w:val="1"/>
                <w:color w:val="auto"/>
              </w:rPr>
            </w:pPr>
          </w:p>
        </w:tc>
        <w:tc>
          <w:tcPr>
            <w:tcW w:w="20" w:type="dxa"/>
            <w:vAlign w:val="bottom"/>
            <w:tcBorders>
              <w:bottom w:val="single" w:sz="8" w:color="231F20"/>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231F20"/>
            </w:tcBorders>
          </w:tcPr>
          <w:p>
            <w:pPr>
              <w:spacing w:after="0" w:line="20" w:lineRule="exact"/>
              <w:rPr>
                <w:sz w:val="1"/>
                <w:szCs w:val="1"/>
                <w:color w:val="auto"/>
              </w:rPr>
            </w:pPr>
          </w:p>
        </w:tc>
        <w:tc>
          <w:tcPr>
            <w:tcW w:w="560" w:type="dxa"/>
            <w:vAlign w:val="bottom"/>
            <w:tcBorders>
              <w:bottom w:val="single" w:sz="8" w:color="231F20"/>
            </w:tcBorders>
          </w:tcPr>
          <w:p>
            <w:pPr>
              <w:spacing w:after="0" w:line="20" w:lineRule="exact"/>
              <w:rPr>
                <w:sz w:val="1"/>
                <w:szCs w:val="1"/>
                <w:color w:val="auto"/>
              </w:rPr>
            </w:pPr>
          </w:p>
        </w:tc>
        <w:tc>
          <w:tcPr>
            <w:tcW w:w="0" w:type="dxa"/>
            <w:vAlign w:val="bottom"/>
            <w:tcBorders>
              <w:bottom w:val="single" w:sz="8" w:color="231F20"/>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231F20"/>
            </w:tcBorders>
          </w:tcPr>
          <w:p>
            <w:pPr>
              <w:spacing w:after="0" w:line="20" w:lineRule="exact"/>
              <w:rPr>
                <w:sz w:val="1"/>
                <w:szCs w:val="1"/>
                <w:color w:val="auto"/>
              </w:rPr>
            </w:pPr>
          </w:p>
        </w:tc>
        <w:tc>
          <w:tcPr>
            <w:tcW w:w="560" w:type="dxa"/>
            <w:vAlign w:val="bottom"/>
            <w:tcBorders>
              <w:bottom w:val="single" w:sz="8" w:color="231F20"/>
            </w:tcBorders>
          </w:tcPr>
          <w:p>
            <w:pPr>
              <w:spacing w:after="0" w:line="20" w:lineRule="exact"/>
              <w:rPr>
                <w:sz w:val="1"/>
                <w:szCs w:val="1"/>
                <w:color w:val="auto"/>
              </w:rPr>
            </w:pPr>
          </w:p>
        </w:tc>
        <w:tc>
          <w:tcPr>
            <w:tcW w:w="0" w:type="dxa"/>
            <w:vAlign w:val="bottom"/>
            <w:tcBorders>
              <w:bottom w:val="single" w:sz="8" w:color="231F20"/>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231F20"/>
            </w:tcBorders>
          </w:tcPr>
          <w:p>
            <w:pPr>
              <w:spacing w:after="0" w:line="20" w:lineRule="exact"/>
              <w:rPr>
                <w:sz w:val="1"/>
                <w:szCs w:val="1"/>
                <w:color w:val="auto"/>
              </w:rPr>
            </w:pPr>
          </w:p>
        </w:tc>
        <w:tc>
          <w:tcPr>
            <w:tcW w:w="560" w:type="dxa"/>
            <w:vAlign w:val="bottom"/>
            <w:tcBorders>
              <w:bottom w:val="single" w:sz="8" w:color="231F20"/>
            </w:tcBorders>
          </w:tcPr>
          <w:p>
            <w:pPr>
              <w:spacing w:after="0" w:line="20" w:lineRule="exact"/>
              <w:rPr>
                <w:sz w:val="1"/>
                <w:szCs w:val="1"/>
                <w:color w:val="auto"/>
              </w:rPr>
            </w:pPr>
          </w:p>
        </w:tc>
        <w:tc>
          <w:tcPr>
            <w:tcW w:w="0" w:type="dxa"/>
            <w:vAlign w:val="bottom"/>
            <w:tcBorders>
              <w:bottom w:val="single" w:sz="8" w:color="231F20"/>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231F20"/>
            </w:tcBorders>
          </w:tcPr>
          <w:p>
            <w:pPr>
              <w:spacing w:after="0" w:line="20" w:lineRule="exact"/>
              <w:rPr>
                <w:sz w:val="1"/>
                <w:szCs w:val="1"/>
                <w:color w:val="auto"/>
              </w:rPr>
            </w:pPr>
          </w:p>
        </w:tc>
        <w:tc>
          <w:tcPr>
            <w:tcW w:w="580" w:type="dxa"/>
            <w:vAlign w:val="bottom"/>
            <w:tcBorders>
              <w:bottom w:val="single" w:sz="8" w:color="231F20"/>
            </w:tcBorders>
          </w:tcPr>
          <w:p>
            <w:pPr>
              <w:spacing w:after="0" w:line="20" w:lineRule="exact"/>
              <w:rPr>
                <w:sz w:val="1"/>
                <w:szCs w:val="1"/>
                <w:color w:val="auto"/>
              </w:rPr>
            </w:pPr>
          </w:p>
        </w:tc>
        <w:tc>
          <w:tcPr>
            <w:tcW w:w="0" w:type="dxa"/>
            <w:vAlign w:val="bottom"/>
            <w:tcBorders>
              <w:bottom w:val="single" w:sz="8" w:color="231F20"/>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231F20"/>
            </w:tcBorders>
          </w:tcPr>
          <w:p>
            <w:pPr>
              <w:spacing w:after="0" w:line="20" w:lineRule="exact"/>
              <w:rPr>
                <w:sz w:val="1"/>
                <w:szCs w:val="1"/>
                <w:color w:val="auto"/>
              </w:rPr>
            </w:pPr>
          </w:p>
        </w:tc>
        <w:tc>
          <w:tcPr>
            <w:tcW w:w="560" w:type="dxa"/>
            <w:vAlign w:val="bottom"/>
            <w:tcBorders>
              <w:bottom w:val="single" w:sz="8" w:color="231F20"/>
            </w:tcBorders>
          </w:tcPr>
          <w:p>
            <w:pPr>
              <w:spacing w:after="0" w:line="20" w:lineRule="exact"/>
              <w:rPr>
                <w:sz w:val="1"/>
                <w:szCs w:val="1"/>
                <w:color w:val="auto"/>
              </w:rPr>
            </w:pPr>
          </w:p>
        </w:tc>
        <w:tc>
          <w:tcPr>
            <w:tcW w:w="0" w:type="dxa"/>
            <w:vAlign w:val="bottom"/>
            <w:tcBorders>
              <w:bottom w:val="single" w:sz="8" w:color="231F20"/>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231F20"/>
            </w:tcBorders>
          </w:tcPr>
          <w:p>
            <w:pPr>
              <w:spacing w:after="0" w:line="20" w:lineRule="exact"/>
              <w:rPr>
                <w:sz w:val="1"/>
                <w:szCs w:val="1"/>
                <w:color w:val="auto"/>
              </w:rPr>
            </w:pPr>
          </w:p>
        </w:tc>
        <w:tc>
          <w:tcPr>
            <w:tcW w:w="560" w:type="dxa"/>
            <w:vAlign w:val="bottom"/>
            <w:tcBorders>
              <w:bottom w:val="single" w:sz="8" w:color="231F20"/>
            </w:tcBorders>
          </w:tcPr>
          <w:p>
            <w:pPr>
              <w:spacing w:after="0" w:line="20" w:lineRule="exact"/>
              <w:rPr>
                <w:sz w:val="1"/>
                <w:szCs w:val="1"/>
                <w:color w:val="auto"/>
              </w:rPr>
            </w:pPr>
          </w:p>
        </w:tc>
        <w:tc>
          <w:tcPr>
            <w:tcW w:w="20" w:type="dxa"/>
            <w:vAlign w:val="bottom"/>
            <w:tcBorders>
              <w:bottom w:val="single" w:sz="8" w:color="231F20"/>
            </w:tcBorders>
          </w:tcPr>
          <w:p>
            <w:pPr>
              <w:spacing w:after="0" w:line="20" w:lineRule="exact"/>
              <w:rPr>
                <w:sz w:val="1"/>
                <w:szCs w:val="1"/>
                <w:color w:val="auto"/>
              </w:rPr>
            </w:pPr>
          </w:p>
        </w:tc>
        <w:tc>
          <w:tcPr>
            <w:tcW w:w="20" w:type="dxa"/>
            <w:vAlign w:val="bottom"/>
            <w:tcBorders>
              <w:bottom w:val="single" w:sz="8" w:color="231F20"/>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-660400</wp:posOffset>
                </wp:positionV>
                <wp:extent cx="3082290" cy="89535"/>
                <wp:wrapNone/>
                <wp:docPr id="98" name="Shape 9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082290" cy="89535"/>
                        </a:xfrm>
                        <a:prstGeom prst="rect">
                          <a:avLst/>
                        </a:prstGeom>
                        <a:solidFill>
                          <a:srgbClr val="FDFDFC"/>
                        </a:solidFill>
                      </wps:spPr>
                      <wps:bodyPr/>
                    </wps:wsp>
                  </a:graphicData>
                </a:graphic>
              </wp:anchor>
            </w:drawing>
          </mc:Choice>
          <mc:Fallback>
            <w:pict>
              <v:rect id="Shape 98" o:spid="_x0000_s1123" style="position:absolute;margin-left:0pt;margin-top:-52pt;width:242.7pt;height:7.0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FDFDFC" stroked="f"/>
            </w:pict>
          </mc:Fallback>
        </mc:AlternateContent>
        <mc:AlternateContent>
          <mc:Choice Requires="wps">
            <w:drawing>
              <wp:anchor simplePos="0" relativeHeight="251657728" behindDoc="1" locked="0" layoutInCell="0" allowOverlap="1">
                <wp:simplePos x="0" y="0"/>
                <wp:positionH relativeFrom="column">
                  <wp:posOffset>3082290</wp:posOffset>
                </wp:positionH>
                <wp:positionV relativeFrom="paragraph">
                  <wp:posOffset>-660400</wp:posOffset>
                </wp:positionV>
                <wp:extent cx="3394710" cy="89535"/>
                <wp:wrapNone/>
                <wp:docPr id="99" name="Shape 9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394710" cy="89535"/>
                        </a:xfrm>
                        <a:prstGeom prst="rect">
                          <a:avLst/>
                        </a:prstGeom>
                        <a:solidFill>
                          <a:srgbClr val="FDFDFC"/>
                        </a:solidFill>
                      </wps:spPr>
                      <wps:bodyPr/>
                    </wps:wsp>
                  </a:graphicData>
                </a:graphic>
              </wp:anchor>
            </w:drawing>
          </mc:Choice>
          <mc:Fallback>
            <w:pict>
              <v:rect id="Shape 99" o:spid="_x0000_s1124" style="position:absolute;margin-left:242.7pt;margin-top:-52pt;width:267.3pt;height:7.0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FDFDFC" stroked="f"/>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-391160</wp:posOffset>
                </wp:positionV>
                <wp:extent cx="3082290" cy="89535"/>
                <wp:wrapNone/>
                <wp:docPr id="100" name="Shape 10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082290" cy="89535"/>
                        </a:xfrm>
                        <a:prstGeom prst="rect">
                          <a:avLst/>
                        </a:prstGeom>
                        <a:solidFill>
                          <a:srgbClr val="D0EBF2"/>
                        </a:solidFill>
                      </wps:spPr>
                      <wps:bodyPr/>
                    </wps:wsp>
                  </a:graphicData>
                </a:graphic>
              </wp:anchor>
            </w:drawing>
          </mc:Choice>
          <mc:Fallback>
            <w:pict>
              <v:rect id="Shape 100" o:spid="_x0000_s1125" style="position:absolute;margin-left:0pt;margin-top:-30.7999pt;width:242.7pt;height:7.0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0EBF2" stroked="f"/>
            </w:pict>
          </mc:Fallback>
        </mc:AlternateContent>
        <mc:AlternateContent>
          <mc:Choice Requires="wps">
            <w:drawing>
              <wp:anchor simplePos="0" relativeHeight="251657728" behindDoc="1" locked="0" layoutInCell="0" allowOverlap="1">
                <wp:simplePos x="0" y="0"/>
                <wp:positionH relativeFrom="column">
                  <wp:posOffset>3082290</wp:posOffset>
                </wp:positionH>
                <wp:positionV relativeFrom="paragraph">
                  <wp:posOffset>-391160</wp:posOffset>
                </wp:positionV>
                <wp:extent cx="3394710" cy="89535"/>
                <wp:wrapNone/>
                <wp:docPr id="101" name="Shape 10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394710" cy="89535"/>
                        </a:xfrm>
                        <a:prstGeom prst="rect">
                          <a:avLst/>
                        </a:prstGeom>
                        <a:solidFill>
                          <a:srgbClr val="D0EBF2"/>
                        </a:solidFill>
                      </wps:spPr>
                      <wps:bodyPr/>
                    </wps:wsp>
                  </a:graphicData>
                </a:graphic>
              </wp:anchor>
            </w:drawing>
          </mc:Choice>
          <mc:Fallback>
            <w:pict>
              <v:rect id="Shape 101" o:spid="_x0000_s1126" style="position:absolute;margin-left:242.7pt;margin-top:-30.7999pt;width:267.3pt;height:7.0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0EBF2" stroked="f"/>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-301625</wp:posOffset>
                </wp:positionV>
                <wp:extent cx="3082290" cy="89535"/>
                <wp:wrapNone/>
                <wp:docPr id="102" name="Shape 10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082290" cy="89535"/>
                        </a:xfrm>
                        <a:prstGeom prst="rect">
                          <a:avLst/>
                        </a:prstGeom>
                        <a:solidFill>
                          <a:srgbClr val="FDFDFC"/>
                        </a:solidFill>
                      </wps:spPr>
                      <wps:bodyPr/>
                    </wps:wsp>
                  </a:graphicData>
                </a:graphic>
              </wp:anchor>
            </w:drawing>
          </mc:Choice>
          <mc:Fallback>
            <w:pict>
              <v:rect id="Shape 102" o:spid="_x0000_s1127" style="position:absolute;margin-left:0pt;margin-top:-23.7499pt;width:242.7pt;height:7.0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FDFDFC" stroked="f"/>
            </w:pict>
          </mc:Fallback>
        </mc:AlternateContent>
        <mc:AlternateContent>
          <mc:Choice Requires="wps">
            <w:drawing>
              <wp:anchor simplePos="0" relativeHeight="251657728" behindDoc="1" locked="0" layoutInCell="0" allowOverlap="1">
                <wp:simplePos x="0" y="0"/>
                <wp:positionH relativeFrom="column">
                  <wp:posOffset>3082290</wp:posOffset>
                </wp:positionH>
                <wp:positionV relativeFrom="paragraph">
                  <wp:posOffset>-301625</wp:posOffset>
                </wp:positionV>
                <wp:extent cx="3394710" cy="89535"/>
                <wp:wrapNone/>
                <wp:docPr id="103" name="Shape 10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394710" cy="89535"/>
                        </a:xfrm>
                        <a:prstGeom prst="rect">
                          <a:avLst/>
                        </a:prstGeom>
                        <a:solidFill>
                          <a:srgbClr val="FDFDFC"/>
                        </a:solidFill>
                      </wps:spPr>
                      <wps:bodyPr/>
                    </wps:wsp>
                  </a:graphicData>
                </a:graphic>
              </wp:anchor>
            </w:drawing>
          </mc:Choice>
          <mc:Fallback>
            <w:pict>
              <v:rect id="Shape 103" o:spid="_x0000_s1128" style="position:absolute;margin-left:242.7pt;margin-top:-23.7499pt;width:267.3pt;height:7.0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FDFDFC" stroked="f"/>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-212090</wp:posOffset>
                </wp:positionV>
                <wp:extent cx="3082290" cy="89535"/>
                <wp:wrapNone/>
                <wp:docPr id="104" name="Shape 10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082290" cy="89535"/>
                        </a:xfrm>
                        <a:prstGeom prst="rect">
                          <a:avLst/>
                        </a:prstGeom>
                        <a:solidFill>
                          <a:srgbClr val="D0EBF2"/>
                        </a:solidFill>
                      </wps:spPr>
                      <wps:bodyPr/>
                    </wps:wsp>
                  </a:graphicData>
                </a:graphic>
              </wp:anchor>
            </w:drawing>
          </mc:Choice>
          <mc:Fallback>
            <w:pict>
              <v:rect id="Shape 104" o:spid="_x0000_s1129" style="position:absolute;margin-left:0pt;margin-top:-16.6999pt;width:242.7pt;height:7.0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0EBF2" stroked="f"/>
            </w:pict>
          </mc:Fallback>
        </mc:AlternateContent>
        <mc:AlternateContent>
          <mc:Choice Requires="wps">
            <w:drawing>
              <wp:anchor simplePos="0" relativeHeight="251657728" behindDoc="1" locked="0" layoutInCell="0" allowOverlap="1">
                <wp:simplePos x="0" y="0"/>
                <wp:positionH relativeFrom="column">
                  <wp:posOffset>3082290</wp:posOffset>
                </wp:positionH>
                <wp:positionV relativeFrom="paragraph">
                  <wp:posOffset>-212090</wp:posOffset>
                </wp:positionV>
                <wp:extent cx="3394710" cy="89535"/>
                <wp:wrapNone/>
                <wp:docPr id="105" name="Shape 10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394710" cy="89535"/>
                        </a:xfrm>
                        <a:prstGeom prst="rect">
                          <a:avLst/>
                        </a:prstGeom>
                        <a:solidFill>
                          <a:srgbClr val="D0EBF2"/>
                        </a:solidFill>
                      </wps:spPr>
                      <wps:bodyPr/>
                    </wps:wsp>
                  </a:graphicData>
                </a:graphic>
              </wp:anchor>
            </w:drawing>
          </mc:Choice>
          <mc:Fallback>
            <w:pict>
              <v:rect id="Shape 105" o:spid="_x0000_s1130" style="position:absolute;margin-left:242.7pt;margin-top:-16.6999pt;width:267.3pt;height:7.0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D0EBF2" stroked="f"/>
            </w:pict>
          </mc:Fallback>
        </mc:AlternateContent>
      </w:r>
    </w:p>
    <w:p>
      <w:pPr>
        <w:spacing w:after="0" w:line="177" w:lineRule="exact"/>
        <w:rPr>
          <w:sz w:val="20"/>
          <w:szCs w:val="20"/>
          <w:color w:val="auto"/>
        </w:rPr>
      </w:pPr>
    </w:p>
    <w:p>
      <w:pPr>
        <w:ind w:left="460" w:hanging="460"/>
        <w:spacing w:after="0"/>
        <w:tabs>
          <w:tab w:leader="none" w:pos="460" w:val="left"/>
        </w:tabs>
        <w:numPr>
          <w:ilvl w:val="0"/>
          <w:numId w:val="104"/>
        </w:numPr>
        <w:rPr>
          <w:rFonts w:ascii="Times New Roman" w:cs="Times New Roman" w:eastAsia="Times New Roman" w:hAnsi="Times New Roman"/>
          <w:sz w:val="19"/>
          <w:szCs w:val="19"/>
          <w:color w:val="231F20"/>
        </w:rPr>
      </w:pPr>
      <w:r>
        <w:rPr>
          <w:rFonts w:ascii="Times New Roman" w:cs="Times New Roman" w:eastAsia="Times New Roman" w:hAnsi="Times New Roman"/>
          <w:sz w:val="19"/>
          <w:szCs w:val="19"/>
          <w:color w:val="231F20"/>
        </w:rPr>
        <w:t>The per share data was derived by using the weighted average shares outstanding during the period.</w:t>
      </w:r>
    </w:p>
    <w:p>
      <w:pPr>
        <w:spacing w:after="0" w:line="26" w:lineRule="exact"/>
        <w:rPr>
          <w:rFonts w:ascii="Times New Roman" w:cs="Times New Roman" w:eastAsia="Times New Roman" w:hAnsi="Times New Roman"/>
          <w:sz w:val="19"/>
          <w:szCs w:val="19"/>
          <w:color w:val="231F20"/>
        </w:rPr>
      </w:pPr>
    </w:p>
    <w:p>
      <w:pPr>
        <w:ind w:left="460" w:hanging="460"/>
        <w:spacing w:after="0" w:line="238" w:lineRule="auto"/>
        <w:tabs>
          <w:tab w:leader="none" w:pos="460" w:val="left"/>
        </w:tabs>
        <w:numPr>
          <w:ilvl w:val="0"/>
          <w:numId w:val="104"/>
        </w:numPr>
        <w:rPr>
          <w:rFonts w:ascii="Times New Roman" w:cs="Times New Roman" w:eastAsia="Times New Roman" w:hAnsi="Times New Roman"/>
          <w:sz w:val="19"/>
          <w:szCs w:val="19"/>
          <w:color w:val="231F20"/>
        </w:rPr>
      </w:pPr>
      <w:r>
        <w:rPr>
          <w:rFonts w:ascii="Times New Roman" w:cs="Times New Roman" w:eastAsia="Times New Roman" w:hAnsi="Times New Roman"/>
          <w:sz w:val="19"/>
          <w:szCs w:val="19"/>
          <w:color w:val="231F20"/>
        </w:rPr>
        <w:t>The per share data was derived by using the actual shares outstanding at the date of the relevant transactions.</w:t>
      </w:r>
    </w:p>
    <w:p>
      <w:pPr>
        <w:ind w:left="460" w:right="80" w:hanging="460"/>
        <w:spacing w:after="0" w:line="251" w:lineRule="auto"/>
        <w:tabs>
          <w:tab w:leader="none" w:pos="507" w:val="left"/>
        </w:tabs>
        <w:numPr>
          <w:ilvl w:val="0"/>
          <w:numId w:val="104"/>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Total return based on market value with dividends reinvested is calculated as the change in market value per share during the period plus declared dividends per share, assuming reinvestment of dividends, divided by the beginning market value per share.</w:t>
      </w:r>
    </w:p>
    <w:p>
      <w:pPr>
        <w:spacing w:after="0" w:line="1" w:lineRule="exact"/>
        <w:rPr>
          <w:rFonts w:ascii="Times New Roman" w:cs="Times New Roman" w:eastAsia="Times New Roman" w:hAnsi="Times New Roman"/>
          <w:sz w:val="18"/>
          <w:szCs w:val="18"/>
          <w:color w:val="231F20"/>
        </w:rPr>
      </w:pPr>
    </w:p>
    <w:p>
      <w:pPr>
        <w:ind w:left="460" w:right="700" w:hanging="460"/>
        <w:spacing w:after="0" w:line="238" w:lineRule="auto"/>
        <w:tabs>
          <w:tab w:leader="none" w:pos="460" w:val="left"/>
        </w:tabs>
        <w:numPr>
          <w:ilvl w:val="0"/>
          <w:numId w:val="104"/>
        </w:numPr>
        <w:rPr>
          <w:rFonts w:ascii="Times New Roman" w:cs="Times New Roman" w:eastAsia="Times New Roman" w:hAnsi="Times New Roman"/>
          <w:sz w:val="19"/>
          <w:szCs w:val="19"/>
          <w:color w:val="231F20"/>
        </w:rPr>
      </w:pPr>
      <w:r>
        <w:rPr>
          <w:rFonts w:ascii="Times New Roman" w:cs="Times New Roman" w:eastAsia="Times New Roman" w:hAnsi="Times New Roman"/>
          <w:sz w:val="19"/>
          <w:szCs w:val="19"/>
          <w:color w:val="231F20"/>
        </w:rPr>
        <w:t>Total return based on market value is calculated as the change in market value per share during the period plus declared dividends per share, divided by the beginning market value per share.</w:t>
      </w:r>
    </w:p>
    <w:p>
      <w:pPr>
        <w:spacing w:after="0" w:line="1" w:lineRule="exact"/>
        <w:rPr>
          <w:rFonts w:ascii="Times New Roman" w:cs="Times New Roman" w:eastAsia="Times New Roman" w:hAnsi="Times New Roman"/>
          <w:sz w:val="19"/>
          <w:szCs w:val="19"/>
          <w:color w:val="231F20"/>
        </w:rPr>
      </w:pPr>
    </w:p>
    <w:p>
      <w:pPr>
        <w:ind w:left="460" w:right="460" w:hanging="460"/>
        <w:spacing w:after="0" w:line="238" w:lineRule="auto"/>
        <w:tabs>
          <w:tab w:leader="none" w:pos="460" w:val="left"/>
        </w:tabs>
        <w:numPr>
          <w:ilvl w:val="0"/>
          <w:numId w:val="104"/>
        </w:numPr>
        <w:rPr>
          <w:rFonts w:ascii="Times New Roman" w:cs="Times New Roman" w:eastAsia="Times New Roman" w:hAnsi="Times New Roman"/>
          <w:sz w:val="19"/>
          <w:szCs w:val="19"/>
          <w:color w:val="231F20"/>
        </w:rPr>
      </w:pPr>
      <w:r>
        <w:rPr>
          <w:rFonts w:ascii="Times New Roman" w:cs="Times New Roman" w:eastAsia="Times New Roman" w:hAnsi="Times New Roman"/>
          <w:sz w:val="19"/>
          <w:szCs w:val="19"/>
          <w:color w:val="231F20"/>
        </w:rPr>
        <w:t>Total return based on net asset value is calculated as the change in net asset value per share during the period plus declared dividends per share, divided by the beginning net asset value per share.</w:t>
      </w:r>
    </w:p>
    <w:p>
      <w:pPr>
        <w:spacing w:after="0" w:line="1" w:lineRule="exact"/>
        <w:rPr>
          <w:rFonts w:ascii="Times New Roman" w:cs="Times New Roman" w:eastAsia="Times New Roman" w:hAnsi="Times New Roman"/>
          <w:sz w:val="19"/>
          <w:szCs w:val="19"/>
          <w:color w:val="231F20"/>
        </w:rPr>
      </w:pPr>
    </w:p>
    <w:p>
      <w:pPr>
        <w:ind w:left="460" w:hanging="460"/>
        <w:spacing w:after="0" w:line="238" w:lineRule="auto"/>
        <w:tabs>
          <w:tab w:leader="none" w:pos="460" w:val="left"/>
        </w:tabs>
        <w:numPr>
          <w:ilvl w:val="0"/>
          <w:numId w:val="104"/>
        </w:numPr>
        <w:rPr>
          <w:rFonts w:ascii="Times New Roman" w:cs="Times New Roman" w:eastAsia="Times New Roman" w:hAnsi="Times New Roman"/>
          <w:sz w:val="19"/>
          <w:szCs w:val="19"/>
          <w:color w:val="231F20"/>
        </w:rPr>
      </w:pPr>
      <w:r>
        <w:rPr>
          <w:rFonts w:ascii="Times New Roman" w:cs="Times New Roman" w:eastAsia="Times New Roman" w:hAnsi="Times New Roman"/>
          <w:sz w:val="19"/>
          <w:szCs w:val="19"/>
          <w:color w:val="231F20"/>
        </w:rPr>
        <w:t>The ratios reflect an annualized amount.</w:t>
      </w:r>
    </w:p>
    <w:p>
      <w:pPr>
        <w:ind w:left="460" w:right="20" w:hanging="460"/>
        <w:spacing w:after="0" w:line="238" w:lineRule="auto"/>
        <w:tabs>
          <w:tab w:leader="none" w:pos="460" w:val="left"/>
        </w:tabs>
        <w:numPr>
          <w:ilvl w:val="0"/>
          <w:numId w:val="104"/>
        </w:numPr>
        <w:rPr>
          <w:rFonts w:ascii="Times New Roman" w:cs="Times New Roman" w:eastAsia="Times New Roman" w:hAnsi="Times New Roman"/>
          <w:sz w:val="19"/>
          <w:szCs w:val="19"/>
          <w:color w:val="231F20"/>
        </w:rPr>
      </w:pPr>
      <w:r>
        <w:rPr>
          <w:rFonts w:ascii="Times New Roman" w:cs="Times New Roman" w:eastAsia="Times New Roman" w:hAnsi="Times New Roman"/>
          <w:sz w:val="19"/>
          <w:szCs w:val="19"/>
          <w:color w:val="231F20"/>
        </w:rPr>
        <w:t>The ratio of net expenses to average net assets in the table above reflects the Adviser’s waivers of its right to receive a portion of the Management Fee pursuant to the Leverage Waiver for the year ended December 31, 2024. Excluding the effects of the waivers, the ratio of net expenses to average net assets would have been 16.75% and 17.00% for the years ended December 31, 2024 and December 31, 2023. The ratio of net expenses to average net assets in the table above reflects the Adviser’s waivers of its right to receive a portion of the Management Fee pursuant to the Leverage Waiver for the years ended December 31, 2023 and 2022 and the Adviser’s waivers of its right to receive a portion of the Management and Incentive Fees with respect to the Company’s ownership of shares of common stock of Oxford Square Capital Corp. and Triangle Capital Corp. for the year ended December 31, 2018. Excluding the effects of the waivers, the ratio of net expenses to average net assets would have been</w:t>
      </w:r>
    </w:p>
    <w:p>
      <w:pPr>
        <w:spacing w:after="0" w:line="4" w:lineRule="exact"/>
        <w:rPr>
          <w:rFonts w:ascii="Times New Roman" w:cs="Times New Roman" w:eastAsia="Times New Roman" w:hAnsi="Times New Roman"/>
          <w:sz w:val="19"/>
          <w:szCs w:val="19"/>
          <w:color w:val="231F20"/>
        </w:rPr>
      </w:pPr>
    </w:p>
    <w:p>
      <w:pPr>
        <w:ind w:left="460" w:right="60"/>
        <w:spacing w:after="0" w:line="238" w:lineRule="auto"/>
        <w:rPr>
          <w:rFonts w:ascii="Times New Roman" w:cs="Times New Roman" w:eastAsia="Times New Roman" w:hAnsi="Times New Roman"/>
          <w:sz w:val="19"/>
          <w:szCs w:val="19"/>
          <w:color w:val="231F20"/>
        </w:rPr>
      </w:pPr>
      <w:r>
        <w:rPr>
          <w:rFonts w:ascii="Times New Roman" w:cs="Times New Roman" w:eastAsia="Times New Roman" w:hAnsi="Times New Roman"/>
          <w:sz w:val="19"/>
          <w:szCs w:val="19"/>
          <w:color w:val="231F20"/>
        </w:rPr>
        <w:t>11.08%, 11.19% and 11.33% for the years ended December 31, 2022, 2021 and 2018, respectively. The Adviser did not waive any Management Fees or Incentive Fees for the years ended December 31, 2020 and 2019. Excluding the effects of the waivers, the ratio of net expenses to average net assets would have been 9.42%, 9.43% and 9.33% for the years ended December 31, 2017, 2016 and 2015, respectively.</w:t>
      </w:r>
    </w:p>
    <w:p>
      <w:pPr>
        <w:spacing w:after="0" w:line="2" w:lineRule="exact"/>
        <w:rPr>
          <w:rFonts w:ascii="Times New Roman" w:cs="Times New Roman" w:eastAsia="Times New Roman" w:hAnsi="Times New Roman"/>
          <w:sz w:val="19"/>
          <w:szCs w:val="19"/>
          <w:color w:val="231F20"/>
        </w:rPr>
      </w:pPr>
    </w:p>
    <w:p>
      <w:pPr>
        <w:ind w:left="460" w:hanging="460"/>
        <w:spacing w:after="0"/>
        <w:tabs>
          <w:tab w:leader="none" w:pos="460" w:val="left"/>
        </w:tabs>
        <w:numPr>
          <w:ilvl w:val="0"/>
          <w:numId w:val="104"/>
        </w:numPr>
        <w:rPr>
          <w:rFonts w:ascii="Times New Roman" w:cs="Times New Roman" w:eastAsia="Times New Roman" w:hAnsi="Times New Roman"/>
          <w:sz w:val="19"/>
          <w:szCs w:val="19"/>
          <w:color w:val="231F20"/>
        </w:rPr>
      </w:pPr>
      <w:r>
        <w:rPr>
          <w:rFonts w:ascii="Times New Roman" w:cs="Times New Roman" w:eastAsia="Times New Roman" w:hAnsi="Times New Roman"/>
          <w:sz w:val="19"/>
          <w:szCs w:val="19"/>
          <w:color w:val="231F20"/>
        </w:rPr>
        <w:t>Table may not sum due to rounding.</w:t>
      </w:r>
    </w:p>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231F20"/>
        </w:rPr>
        <w:t>14. Selected Quarterly Financial Data (Unaudited)</w:t>
      </w:r>
    </w:p>
    <w:p>
      <w:pPr>
        <w:spacing w:after="0" w:line="238" w:lineRule="exact"/>
        <w:rPr>
          <w:sz w:val="20"/>
          <w:szCs w:val="20"/>
          <w:color w:val="auto"/>
        </w:rPr>
      </w:pPr>
    </w:p>
    <w:tbl>
      <w:tblPr>
        <w:tblLayout w:type="fixed"/>
        <w:tblInd w:w="460" w:type="dxa"/>
        <w:tblCellMar>
          <w:top w:w="0" w:type="dxa"/>
          <w:left w:w="0" w:type="dxa"/>
          <w:bottom w:w="0" w:type="dxa"/>
          <w:right w:w="0" w:type="dxa"/>
        </w:tblCellMar>
      </w:tblPr>
      <w:tr>
        <w:trPr>
          <w:trHeight w:val="217"/>
        </w:trPr>
        <w:tc>
          <w:tcPr>
            <w:tcW w:w="4280" w:type="dxa"/>
            <w:vAlign w:val="bottom"/>
            <w:tcBorders>
              <w:bottom w:val="single" w:sz="8" w:color="FDFDFC"/>
            </w:tcBorders>
            <w:shd w:val="clear" w:color="auto" w:fill="FDFDFC"/>
          </w:tcPr>
          <w:p>
            <w:pPr>
              <w:spacing w:after="0"/>
              <w:rPr>
                <w:sz w:val="18"/>
                <w:szCs w:val="18"/>
                <w:color w:val="auto"/>
              </w:rPr>
            </w:pPr>
          </w:p>
        </w:tc>
        <w:tc>
          <w:tcPr>
            <w:tcW w:w="200" w:type="dxa"/>
            <w:vAlign w:val="bottom"/>
            <w:tcBorders>
              <w:bottom w:val="single" w:sz="8" w:color="FDFDFC"/>
            </w:tcBorders>
            <w:shd w:val="clear" w:color="auto" w:fill="FDFDFC"/>
          </w:tcPr>
          <w:p>
            <w:pPr>
              <w:spacing w:after="0"/>
              <w:rPr>
                <w:sz w:val="18"/>
                <w:szCs w:val="18"/>
                <w:color w:val="auto"/>
              </w:rPr>
            </w:pPr>
          </w:p>
        </w:tc>
        <w:tc>
          <w:tcPr>
            <w:tcW w:w="240" w:type="dxa"/>
            <w:vAlign w:val="bottom"/>
            <w:tcBorders>
              <w:bottom w:val="single" w:sz="8" w:color="231F20"/>
            </w:tcBorders>
            <w:shd w:val="clear" w:color="auto" w:fill="FDFDFC"/>
          </w:tcPr>
          <w:p>
            <w:pPr>
              <w:spacing w:after="0"/>
              <w:rPr>
                <w:sz w:val="18"/>
                <w:szCs w:val="18"/>
                <w:color w:val="auto"/>
              </w:rPr>
            </w:pPr>
          </w:p>
        </w:tc>
        <w:tc>
          <w:tcPr>
            <w:tcW w:w="760" w:type="dxa"/>
            <w:vAlign w:val="bottom"/>
            <w:tcBorders>
              <w:bottom w:val="single" w:sz="8" w:color="231F20"/>
            </w:tcBorders>
            <w:shd w:val="clear" w:color="auto" w:fill="FDFDFC"/>
          </w:tcPr>
          <w:p>
            <w:pPr>
              <w:spacing w:after="0"/>
              <w:rPr>
                <w:sz w:val="18"/>
                <w:szCs w:val="18"/>
                <w:color w:val="auto"/>
              </w:rPr>
            </w:pPr>
          </w:p>
        </w:tc>
        <w:tc>
          <w:tcPr>
            <w:tcW w:w="160" w:type="dxa"/>
            <w:vAlign w:val="bottom"/>
            <w:tcBorders>
              <w:bottom w:val="single" w:sz="8" w:color="231F20"/>
            </w:tcBorders>
            <w:shd w:val="clear" w:color="auto" w:fill="FDFDFC"/>
          </w:tcPr>
          <w:p>
            <w:pPr>
              <w:spacing w:after="0"/>
              <w:rPr>
                <w:sz w:val="18"/>
                <w:szCs w:val="18"/>
                <w:color w:val="auto"/>
              </w:rPr>
            </w:pPr>
          </w:p>
        </w:tc>
        <w:tc>
          <w:tcPr>
            <w:tcW w:w="100" w:type="dxa"/>
            <w:vAlign w:val="bottom"/>
            <w:tcBorders>
              <w:bottom w:val="single" w:sz="8" w:color="231F20"/>
            </w:tcBorders>
            <w:shd w:val="clear" w:color="auto" w:fill="FDFDFC"/>
          </w:tcPr>
          <w:p>
            <w:pPr>
              <w:spacing w:after="0"/>
              <w:rPr>
                <w:sz w:val="18"/>
                <w:szCs w:val="18"/>
                <w:color w:val="auto"/>
              </w:rPr>
            </w:pPr>
          </w:p>
        </w:tc>
        <w:tc>
          <w:tcPr>
            <w:tcW w:w="160" w:type="dxa"/>
            <w:vAlign w:val="bottom"/>
            <w:tcBorders>
              <w:bottom w:val="single" w:sz="8" w:color="231F20"/>
            </w:tcBorders>
            <w:shd w:val="clear" w:color="auto" w:fill="FDFDFC"/>
          </w:tcPr>
          <w:p>
            <w:pPr>
              <w:spacing w:after="0"/>
              <w:rPr>
                <w:sz w:val="18"/>
                <w:szCs w:val="18"/>
                <w:color w:val="auto"/>
              </w:rPr>
            </w:pPr>
          </w:p>
        </w:tc>
        <w:tc>
          <w:tcPr>
            <w:tcW w:w="680" w:type="dxa"/>
            <w:vAlign w:val="bottom"/>
            <w:tcBorders>
              <w:bottom w:val="single" w:sz="8" w:color="231F20"/>
            </w:tcBorders>
            <w:shd w:val="clear" w:color="auto" w:fill="FDFDFC"/>
          </w:tcPr>
          <w:p>
            <w:pPr>
              <w:spacing w:after="0"/>
              <w:rPr>
                <w:sz w:val="18"/>
                <w:szCs w:val="18"/>
                <w:color w:val="auto"/>
              </w:rPr>
            </w:pPr>
          </w:p>
        </w:tc>
        <w:tc>
          <w:tcPr>
            <w:tcW w:w="80" w:type="dxa"/>
            <w:vAlign w:val="bottom"/>
            <w:tcBorders>
              <w:bottom w:val="single" w:sz="8" w:color="231F20"/>
            </w:tcBorders>
            <w:shd w:val="clear" w:color="auto" w:fill="FDFDFC"/>
          </w:tcPr>
          <w:p>
            <w:pPr>
              <w:spacing w:after="0"/>
              <w:rPr>
                <w:sz w:val="18"/>
                <w:szCs w:val="18"/>
                <w:color w:val="auto"/>
              </w:rPr>
            </w:pPr>
          </w:p>
        </w:tc>
        <w:tc>
          <w:tcPr>
            <w:tcW w:w="380" w:type="dxa"/>
            <w:vAlign w:val="bottom"/>
            <w:tcBorders>
              <w:bottom w:val="single" w:sz="8" w:color="231F20"/>
            </w:tcBorders>
            <w:gridSpan w:val="2"/>
            <w:shd w:val="clear" w:color="auto" w:fill="FDFDFC"/>
          </w:tcPr>
          <w:p>
            <w:pPr>
              <w:jc w:val="right"/>
              <w:spacing w:after="0"/>
              <w:rPr>
                <w:sz w:val="20"/>
                <w:szCs w:val="20"/>
                <w:color w:val="auto"/>
              </w:rPr>
            </w:pPr>
            <w:r>
              <w:rPr>
                <w:rFonts w:ascii="Times New Roman" w:cs="Times New Roman" w:eastAsia="Times New Roman" w:hAnsi="Times New Roman"/>
                <w:sz w:val="15"/>
                <w:szCs w:val="15"/>
                <w:b w:val="1"/>
                <w:bCs w:val="1"/>
                <w:color w:val="231F20"/>
                <w:w w:val="93"/>
              </w:rPr>
              <w:t>2024</w:t>
            </w:r>
          </w:p>
        </w:tc>
        <w:tc>
          <w:tcPr>
            <w:tcW w:w="720" w:type="dxa"/>
            <w:vAlign w:val="bottom"/>
            <w:tcBorders>
              <w:bottom w:val="single" w:sz="8" w:color="231F20"/>
            </w:tcBorders>
            <w:shd w:val="clear" w:color="auto" w:fill="FDFDFC"/>
          </w:tcPr>
          <w:p>
            <w:pPr>
              <w:spacing w:after="0"/>
              <w:rPr>
                <w:sz w:val="18"/>
                <w:szCs w:val="18"/>
                <w:color w:val="auto"/>
              </w:rPr>
            </w:pPr>
          </w:p>
        </w:tc>
        <w:tc>
          <w:tcPr>
            <w:tcW w:w="180" w:type="dxa"/>
            <w:vAlign w:val="bottom"/>
            <w:tcBorders>
              <w:bottom w:val="single" w:sz="8" w:color="231F20"/>
            </w:tcBorders>
            <w:shd w:val="clear" w:color="auto" w:fill="FDFDFC"/>
          </w:tcPr>
          <w:p>
            <w:pPr>
              <w:spacing w:after="0"/>
              <w:rPr>
                <w:sz w:val="18"/>
                <w:szCs w:val="18"/>
                <w:color w:val="auto"/>
              </w:rPr>
            </w:pPr>
          </w:p>
        </w:tc>
        <w:tc>
          <w:tcPr>
            <w:tcW w:w="100" w:type="dxa"/>
            <w:vAlign w:val="bottom"/>
            <w:tcBorders>
              <w:bottom w:val="single" w:sz="8" w:color="231F20"/>
            </w:tcBorders>
            <w:shd w:val="clear" w:color="auto" w:fill="FDFDFC"/>
          </w:tcPr>
          <w:p>
            <w:pPr>
              <w:spacing w:after="0"/>
              <w:rPr>
                <w:sz w:val="18"/>
                <w:szCs w:val="18"/>
                <w:color w:val="auto"/>
              </w:rPr>
            </w:pPr>
          </w:p>
        </w:tc>
        <w:tc>
          <w:tcPr>
            <w:tcW w:w="260" w:type="dxa"/>
            <w:vAlign w:val="bottom"/>
            <w:tcBorders>
              <w:bottom w:val="single" w:sz="8" w:color="231F20"/>
            </w:tcBorders>
            <w:shd w:val="clear" w:color="auto" w:fill="FDFDFC"/>
          </w:tcPr>
          <w:p>
            <w:pPr>
              <w:spacing w:after="0"/>
              <w:rPr>
                <w:sz w:val="18"/>
                <w:szCs w:val="18"/>
                <w:color w:val="auto"/>
              </w:rPr>
            </w:pPr>
          </w:p>
        </w:tc>
        <w:tc>
          <w:tcPr>
            <w:tcW w:w="840" w:type="dxa"/>
            <w:vAlign w:val="bottom"/>
            <w:tcBorders>
              <w:bottom w:val="single" w:sz="8" w:color="231F20"/>
            </w:tcBorders>
            <w:shd w:val="clear" w:color="auto" w:fill="FDFDFC"/>
          </w:tcPr>
          <w:p>
            <w:pPr>
              <w:spacing w:after="0"/>
              <w:rPr>
                <w:sz w:val="18"/>
                <w:szCs w:val="18"/>
                <w:color w:val="auto"/>
              </w:rPr>
            </w:pPr>
          </w:p>
        </w:tc>
        <w:tc>
          <w:tcPr>
            <w:tcW w:w="140" w:type="dxa"/>
            <w:vAlign w:val="bottom"/>
            <w:tcBorders>
              <w:bottom w:val="single" w:sz="8" w:color="FDFDFC"/>
            </w:tcBorders>
            <w:shd w:val="clear" w:color="auto" w:fill="FDFDFC"/>
          </w:tcPr>
          <w:p>
            <w:pPr>
              <w:spacing w:after="0"/>
              <w:rPr>
                <w:sz w:val="18"/>
                <w:szCs w:val="18"/>
                <w:color w:val="auto"/>
              </w:rPr>
            </w:pPr>
          </w:p>
        </w:tc>
      </w:tr>
      <w:tr>
        <w:trPr>
          <w:trHeight w:val="163"/>
        </w:trPr>
        <w:tc>
          <w:tcPr>
            <w:tcW w:w="4280" w:type="dxa"/>
            <w:vAlign w:val="bottom"/>
            <w:tcBorders>
              <w:bottom w:val="single" w:sz="8" w:color="D0EBF2"/>
            </w:tcBorders>
            <w:shd w:val="clear" w:color="auto" w:fill="FDFDFC"/>
          </w:tcPr>
          <w:p>
            <w:pPr>
              <w:spacing w:after="0"/>
              <w:rPr>
                <w:sz w:val="14"/>
                <w:szCs w:val="14"/>
                <w:color w:val="auto"/>
              </w:rPr>
            </w:pPr>
          </w:p>
        </w:tc>
        <w:tc>
          <w:tcPr>
            <w:tcW w:w="200" w:type="dxa"/>
            <w:vAlign w:val="bottom"/>
            <w:tcBorders>
              <w:bottom w:val="single" w:sz="8" w:color="D0EBF2"/>
            </w:tcBorders>
            <w:shd w:val="clear" w:color="auto" w:fill="FDFDFC"/>
          </w:tcPr>
          <w:p>
            <w:pPr>
              <w:spacing w:after="0"/>
              <w:rPr>
                <w:sz w:val="14"/>
                <w:szCs w:val="14"/>
                <w:color w:val="auto"/>
              </w:rPr>
            </w:pPr>
          </w:p>
        </w:tc>
        <w:tc>
          <w:tcPr>
            <w:tcW w:w="240" w:type="dxa"/>
            <w:vAlign w:val="bottom"/>
            <w:tcBorders>
              <w:bottom w:val="single" w:sz="8" w:color="231F20"/>
            </w:tcBorders>
            <w:shd w:val="clear" w:color="auto" w:fill="FDFDFC"/>
          </w:tcPr>
          <w:p>
            <w:pPr>
              <w:spacing w:after="0"/>
              <w:rPr>
                <w:sz w:val="14"/>
                <w:szCs w:val="14"/>
                <w:color w:val="auto"/>
              </w:rPr>
            </w:pPr>
          </w:p>
        </w:tc>
        <w:tc>
          <w:tcPr>
            <w:tcW w:w="760" w:type="dxa"/>
            <w:vAlign w:val="bottom"/>
            <w:tcBorders>
              <w:bottom w:val="single" w:sz="8" w:color="231F20"/>
            </w:tcBorders>
            <w:shd w:val="clear" w:color="auto" w:fill="FDFDFC"/>
          </w:tcPr>
          <w:p>
            <w:pPr>
              <w:jc w:val="right"/>
              <w:ind w:right="328"/>
              <w:spacing w:after="0" w:line="164" w:lineRule="exact"/>
              <w:rPr>
                <w:sz w:val="20"/>
                <w:szCs w:val="20"/>
                <w:color w:val="auto"/>
              </w:rPr>
            </w:pPr>
            <w:r>
              <w:rPr>
                <w:rFonts w:ascii="Times New Roman" w:cs="Times New Roman" w:eastAsia="Times New Roman" w:hAnsi="Times New Roman"/>
                <w:sz w:val="15"/>
                <w:szCs w:val="15"/>
                <w:b w:val="1"/>
                <w:bCs w:val="1"/>
                <w:color w:val="231F20"/>
              </w:rPr>
              <w:t>Q4</w:t>
            </w:r>
          </w:p>
        </w:tc>
        <w:tc>
          <w:tcPr>
            <w:tcW w:w="160" w:type="dxa"/>
            <w:vAlign w:val="bottom"/>
            <w:tcBorders>
              <w:bottom w:val="single" w:sz="8" w:color="D0EBF2"/>
            </w:tcBorders>
            <w:shd w:val="clear" w:color="auto" w:fill="FDFDFC"/>
          </w:tcPr>
          <w:p>
            <w:pPr>
              <w:spacing w:after="0"/>
              <w:rPr>
                <w:sz w:val="14"/>
                <w:szCs w:val="14"/>
                <w:color w:val="auto"/>
              </w:rPr>
            </w:pPr>
          </w:p>
        </w:tc>
        <w:tc>
          <w:tcPr>
            <w:tcW w:w="100" w:type="dxa"/>
            <w:vAlign w:val="bottom"/>
            <w:tcBorders>
              <w:bottom w:val="single" w:sz="8" w:color="D0EBF2"/>
            </w:tcBorders>
            <w:shd w:val="clear" w:color="auto" w:fill="FDFDFC"/>
          </w:tcPr>
          <w:p>
            <w:pPr>
              <w:spacing w:after="0"/>
              <w:rPr>
                <w:sz w:val="14"/>
                <w:szCs w:val="14"/>
                <w:color w:val="auto"/>
              </w:rPr>
            </w:pPr>
          </w:p>
        </w:tc>
        <w:tc>
          <w:tcPr>
            <w:tcW w:w="160" w:type="dxa"/>
            <w:vAlign w:val="bottom"/>
            <w:tcBorders>
              <w:bottom w:val="single" w:sz="8" w:color="231F20"/>
            </w:tcBorders>
            <w:shd w:val="clear" w:color="auto" w:fill="FDFDFC"/>
          </w:tcPr>
          <w:p>
            <w:pPr>
              <w:spacing w:after="0"/>
              <w:rPr>
                <w:sz w:val="14"/>
                <w:szCs w:val="14"/>
                <w:color w:val="auto"/>
              </w:rPr>
            </w:pPr>
          </w:p>
        </w:tc>
        <w:tc>
          <w:tcPr>
            <w:tcW w:w="680" w:type="dxa"/>
            <w:vAlign w:val="bottom"/>
            <w:tcBorders>
              <w:bottom w:val="single" w:sz="8" w:color="231F20"/>
            </w:tcBorders>
            <w:shd w:val="clear" w:color="auto" w:fill="FDFDFC"/>
          </w:tcPr>
          <w:p>
            <w:pPr>
              <w:jc w:val="right"/>
              <w:ind w:right="228"/>
              <w:spacing w:after="0" w:line="164" w:lineRule="exact"/>
              <w:rPr>
                <w:sz w:val="20"/>
                <w:szCs w:val="20"/>
                <w:color w:val="auto"/>
              </w:rPr>
            </w:pPr>
            <w:r>
              <w:rPr>
                <w:rFonts w:ascii="Times New Roman" w:cs="Times New Roman" w:eastAsia="Times New Roman" w:hAnsi="Times New Roman"/>
                <w:sz w:val="15"/>
                <w:szCs w:val="15"/>
                <w:b w:val="1"/>
                <w:bCs w:val="1"/>
                <w:color w:val="231F20"/>
              </w:rPr>
              <w:t>Q3</w:t>
            </w:r>
          </w:p>
        </w:tc>
        <w:tc>
          <w:tcPr>
            <w:tcW w:w="80" w:type="dxa"/>
            <w:vAlign w:val="bottom"/>
            <w:tcBorders>
              <w:bottom w:val="single" w:sz="8" w:color="D0EBF2"/>
            </w:tcBorders>
            <w:shd w:val="clear" w:color="auto" w:fill="FDFDFC"/>
          </w:tcPr>
          <w:p>
            <w:pPr>
              <w:spacing w:after="0"/>
              <w:rPr>
                <w:sz w:val="14"/>
                <w:szCs w:val="14"/>
                <w:color w:val="auto"/>
              </w:rPr>
            </w:pPr>
          </w:p>
        </w:tc>
        <w:tc>
          <w:tcPr>
            <w:tcW w:w="180" w:type="dxa"/>
            <w:vAlign w:val="bottom"/>
            <w:tcBorders>
              <w:bottom w:val="single" w:sz="8" w:color="D0EBF2"/>
            </w:tcBorders>
            <w:shd w:val="clear" w:color="auto" w:fill="FDFDFC"/>
          </w:tcPr>
          <w:p>
            <w:pPr>
              <w:spacing w:after="0"/>
              <w:rPr>
                <w:sz w:val="14"/>
                <w:szCs w:val="14"/>
                <w:color w:val="auto"/>
              </w:rPr>
            </w:pPr>
          </w:p>
        </w:tc>
        <w:tc>
          <w:tcPr>
            <w:tcW w:w="200" w:type="dxa"/>
            <w:vAlign w:val="bottom"/>
            <w:tcBorders>
              <w:bottom w:val="single" w:sz="8" w:color="231F20"/>
            </w:tcBorders>
            <w:shd w:val="clear" w:color="auto" w:fill="FDFDFC"/>
          </w:tcPr>
          <w:p>
            <w:pPr>
              <w:spacing w:after="0"/>
              <w:rPr>
                <w:sz w:val="14"/>
                <w:szCs w:val="14"/>
                <w:color w:val="auto"/>
              </w:rPr>
            </w:pPr>
          </w:p>
        </w:tc>
        <w:tc>
          <w:tcPr>
            <w:tcW w:w="720" w:type="dxa"/>
            <w:vAlign w:val="bottom"/>
            <w:tcBorders>
              <w:bottom w:val="single" w:sz="8" w:color="231F20"/>
            </w:tcBorders>
            <w:shd w:val="clear" w:color="auto" w:fill="FDFDFC"/>
          </w:tcPr>
          <w:p>
            <w:pPr>
              <w:jc w:val="right"/>
              <w:ind w:right="288"/>
              <w:spacing w:after="0" w:line="164" w:lineRule="exact"/>
              <w:rPr>
                <w:sz w:val="20"/>
                <w:szCs w:val="20"/>
                <w:color w:val="auto"/>
              </w:rPr>
            </w:pPr>
            <w:r>
              <w:rPr>
                <w:rFonts w:ascii="Times New Roman" w:cs="Times New Roman" w:eastAsia="Times New Roman" w:hAnsi="Times New Roman"/>
                <w:sz w:val="15"/>
                <w:szCs w:val="15"/>
                <w:b w:val="1"/>
                <w:bCs w:val="1"/>
                <w:color w:val="231F20"/>
              </w:rPr>
              <w:t>Q2</w:t>
            </w:r>
          </w:p>
        </w:tc>
        <w:tc>
          <w:tcPr>
            <w:tcW w:w="180" w:type="dxa"/>
            <w:vAlign w:val="bottom"/>
            <w:tcBorders>
              <w:bottom w:val="single" w:sz="8" w:color="D0EBF2"/>
            </w:tcBorders>
            <w:shd w:val="clear" w:color="auto" w:fill="FDFDFC"/>
          </w:tcPr>
          <w:p>
            <w:pPr>
              <w:spacing w:after="0"/>
              <w:rPr>
                <w:sz w:val="14"/>
                <w:szCs w:val="14"/>
                <w:color w:val="auto"/>
              </w:rPr>
            </w:pPr>
          </w:p>
        </w:tc>
        <w:tc>
          <w:tcPr>
            <w:tcW w:w="100" w:type="dxa"/>
            <w:vAlign w:val="bottom"/>
            <w:tcBorders>
              <w:bottom w:val="single" w:sz="8" w:color="D0EBF2"/>
            </w:tcBorders>
            <w:shd w:val="clear" w:color="auto" w:fill="FDFDFC"/>
          </w:tcPr>
          <w:p>
            <w:pPr>
              <w:spacing w:after="0"/>
              <w:rPr>
                <w:sz w:val="14"/>
                <w:szCs w:val="14"/>
                <w:color w:val="auto"/>
              </w:rPr>
            </w:pPr>
          </w:p>
        </w:tc>
        <w:tc>
          <w:tcPr>
            <w:tcW w:w="260" w:type="dxa"/>
            <w:vAlign w:val="bottom"/>
            <w:tcBorders>
              <w:bottom w:val="single" w:sz="8" w:color="231F20"/>
            </w:tcBorders>
            <w:shd w:val="clear" w:color="auto" w:fill="FDFDFC"/>
          </w:tcPr>
          <w:p>
            <w:pPr>
              <w:spacing w:after="0"/>
              <w:rPr>
                <w:sz w:val="14"/>
                <w:szCs w:val="14"/>
                <w:color w:val="auto"/>
              </w:rPr>
            </w:pPr>
          </w:p>
        </w:tc>
        <w:tc>
          <w:tcPr>
            <w:tcW w:w="840" w:type="dxa"/>
            <w:vAlign w:val="bottom"/>
            <w:tcBorders>
              <w:bottom w:val="single" w:sz="8" w:color="231F20"/>
            </w:tcBorders>
            <w:shd w:val="clear" w:color="auto" w:fill="FDFDFC"/>
          </w:tcPr>
          <w:p>
            <w:pPr>
              <w:jc w:val="right"/>
              <w:ind w:right="368"/>
              <w:spacing w:after="0" w:line="164" w:lineRule="exact"/>
              <w:rPr>
                <w:sz w:val="20"/>
                <w:szCs w:val="20"/>
                <w:color w:val="auto"/>
              </w:rPr>
            </w:pPr>
            <w:r>
              <w:rPr>
                <w:rFonts w:ascii="Times New Roman" w:cs="Times New Roman" w:eastAsia="Times New Roman" w:hAnsi="Times New Roman"/>
                <w:sz w:val="15"/>
                <w:szCs w:val="15"/>
                <w:b w:val="1"/>
                <w:bCs w:val="1"/>
                <w:color w:val="231F20"/>
              </w:rPr>
              <w:t>Q1</w:t>
            </w:r>
          </w:p>
        </w:tc>
        <w:tc>
          <w:tcPr>
            <w:tcW w:w="140" w:type="dxa"/>
            <w:vAlign w:val="bottom"/>
            <w:tcBorders>
              <w:bottom w:val="single" w:sz="8" w:color="D0EBF2"/>
            </w:tcBorders>
            <w:shd w:val="clear" w:color="auto" w:fill="FDFDFC"/>
          </w:tcPr>
          <w:p>
            <w:pPr>
              <w:spacing w:after="0"/>
              <w:rPr>
                <w:sz w:val="14"/>
                <w:szCs w:val="14"/>
                <w:color w:val="auto"/>
              </w:rPr>
            </w:pPr>
          </w:p>
        </w:tc>
      </w:tr>
      <w:tr>
        <w:trPr>
          <w:trHeight w:val="207"/>
        </w:trPr>
        <w:tc>
          <w:tcPr>
            <w:tcW w:w="4280" w:type="dxa"/>
            <w:vAlign w:val="bottom"/>
            <w:shd w:val="clear" w:color="auto" w:fill="D0EBF2"/>
          </w:tcPr>
          <w:p>
            <w:pPr>
              <w:spacing w:after="0" w:line="206" w:lineRule="exact"/>
              <w:rPr>
                <w:sz w:val="20"/>
                <w:szCs w:val="20"/>
                <w:color w:val="auto"/>
              </w:rPr>
            </w:pPr>
            <w:r>
              <w:rPr>
                <w:rFonts w:ascii="Times New Roman" w:cs="Times New Roman" w:eastAsia="Times New Roman" w:hAnsi="Times New Roman"/>
                <w:sz w:val="19"/>
                <w:szCs w:val="19"/>
                <w:color w:val="231F20"/>
              </w:rPr>
              <w:t>Investment Income</w:t>
            </w:r>
          </w:p>
        </w:tc>
        <w:tc>
          <w:tcPr>
            <w:tcW w:w="200" w:type="dxa"/>
            <w:vAlign w:val="bottom"/>
            <w:shd w:val="clear" w:color="auto" w:fill="D0EBF2"/>
          </w:tcPr>
          <w:p>
            <w:pPr>
              <w:spacing w:after="0"/>
              <w:rPr>
                <w:sz w:val="17"/>
                <w:szCs w:val="17"/>
                <w:color w:val="auto"/>
              </w:rPr>
            </w:pPr>
          </w:p>
        </w:tc>
        <w:tc>
          <w:tcPr>
            <w:tcW w:w="240" w:type="dxa"/>
            <w:vAlign w:val="bottom"/>
            <w:shd w:val="clear" w:color="auto" w:fill="D0EBF2"/>
          </w:tcPr>
          <w:p>
            <w:pPr>
              <w:jc w:val="right"/>
              <w:ind w:right="46"/>
              <w:spacing w:after="0" w:line="206" w:lineRule="exact"/>
              <w:rPr>
                <w:sz w:val="20"/>
                <w:szCs w:val="20"/>
                <w:color w:val="auto"/>
              </w:rPr>
            </w:pPr>
            <w:r>
              <w:rPr>
                <w:rFonts w:ascii="Times New Roman" w:cs="Times New Roman" w:eastAsia="Times New Roman" w:hAnsi="Times New Roman"/>
                <w:sz w:val="19"/>
                <w:szCs w:val="19"/>
                <w:color w:val="231F20"/>
                <w:w w:val="83"/>
                <w:shd w:val="clear" w:color="auto" w:fill="D0EBF2"/>
              </w:rPr>
              <w:t>$</w:t>
            </w:r>
          </w:p>
        </w:tc>
        <w:tc>
          <w:tcPr>
            <w:tcW w:w="760" w:type="dxa"/>
            <w:vAlign w:val="bottom"/>
            <w:shd w:val="clear" w:color="auto" w:fill="D0EBF2"/>
          </w:tcPr>
          <w:p>
            <w:pPr>
              <w:jc w:val="right"/>
              <w:spacing w:after="0" w:line="206" w:lineRule="exact"/>
              <w:rPr>
                <w:sz w:val="20"/>
                <w:szCs w:val="20"/>
                <w:color w:val="auto"/>
              </w:rPr>
            </w:pPr>
            <w:r>
              <w:rPr>
                <w:rFonts w:ascii="Times New Roman" w:cs="Times New Roman" w:eastAsia="Times New Roman" w:hAnsi="Times New Roman"/>
                <w:sz w:val="19"/>
                <w:szCs w:val="19"/>
                <w:color w:val="231F20"/>
                <w:shd w:val="clear" w:color="auto" w:fill="D0EBF2"/>
              </w:rPr>
              <w:t>123,704</w:t>
            </w:r>
          </w:p>
        </w:tc>
        <w:tc>
          <w:tcPr>
            <w:tcW w:w="160" w:type="dxa"/>
            <w:vAlign w:val="bottom"/>
            <w:shd w:val="clear" w:color="auto" w:fill="D0EBF2"/>
          </w:tcPr>
          <w:p>
            <w:pPr>
              <w:spacing w:after="0"/>
              <w:rPr>
                <w:sz w:val="17"/>
                <w:szCs w:val="17"/>
                <w:color w:val="auto"/>
              </w:rPr>
            </w:pPr>
          </w:p>
        </w:tc>
        <w:tc>
          <w:tcPr>
            <w:tcW w:w="100" w:type="dxa"/>
            <w:vAlign w:val="bottom"/>
            <w:shd w:val="clear" w:color="auto" w:fill="D0EBF2"/>
          </w:tcPr>
          <w:p>
            <w:pPr>
              <w:spacing w:after="0"/>
              <w:rPr>
                <w:sz w:val="17"/>
                <w:szCs w:val="17"/>
                <w:color w:val="auto"/>
              </w:rPr>
            </w:pPr>
          </w:p>
        </w:tc>
        <w:tc>
          <w:tcPr>
            <w:tcW w:w="160" w:type="dxa"/>
            <w:vAlign w:val="bottom"/>
            <w:shd w:val="clear" w:color="auto" w:fill="D0EBF2"/>
          </w:tcPr>
          <w:p>
            <w:pPr>
              <w:jc w:val="right"/>
              <w:spacing w:after="0"/>
              <w:rPr>
                <w:sz w:val="20"/>
                <w:szCs w:val="20"/>
                <w:color w:val="auto"/>
              </w:rPr>
            </w:pPr>
            <w:r>
              <w:rPr>
                <w:rFonts w:ascii="Times New Roman" w:cs="Times New Roman" w:eastAsia="Times New Roman" w:hAnsi="Times New Roman"/>
                <w:sz w:val="17"/>
                <w:szCs w:val="17"/>
                <w:color w:val="231F20"/>
                <w:w w:val="70"/>
                <w:shd w:val="clear" w:color="auto" w:fill="D0EBF2"/>
              </w:rPr>
              <w:t>$</w:t>
            </w:r>
          </w:p>
        </w:tc>
        <w:tc>
          <w:tcPr>
            <w:tcW w:w="680" w:type="dxa"/>
            <w:vAlign w:val="bottom"/>
            <w:shd w:val="clear" w:color="auto" w:fill="D0EBF2"/>
          </w:tcPr>
          <w:p>
            <w:pPr>
              <w:jc w:val="right"/>
              <w:spacing w:after="0" w:line="206" w:lineRule="exact"/>
              <w:rPr>
                <w:sz w:val="20"/>
                <w:szCs w:val="20"/>
                <w:color w:val="auto"/>
              </w:rPr>
            </w:pPr>
            <w:r>
              <w:rPr>
                <w:rFonts w:ascii="Times New Roman" w:cs="Times New Roman" w:eastAsia="Times New Roman" w:hAnsi="Times New Roman"/>
                <w:sz w:val="19"/>
                <w:szCs w:val="19"/>
                <w:color w:val="231F20"/>
                <w:shd w:val="clear" w:color="auto" w:fill="D0EBF2"/>
              </w:rPr>
              <w:t>119,223</w:t>
            </w:r>
          </w:p>
        </w:tc>
        <w:tc>
          <w:tcPr>
            <w:tcW w:w="80" w:type="dxa"/>
            <w:vAlign w:val="bottom"/>
            <w:shd w:val="clear" w:color="auto" w:fill="D0EBF2"/>
          </w:tcPr>
          <w:p>
            <w:pPr>
              <w:spacing w:after="0"/>
              <w:rPr>
                <w:sz w:val="17"/>
                <w:szCs w:val="17"/>
                <w:color w:val="auto"/>
              </w:rPr>
            </w:pPr>
          </w:p>
        </w:tc>
        <w:tc>
          <w:tcPr>
            <w:tcW w:w="180" w:type="dxa"/>
            <w:vAlign w:val="bottom"/>
            <w:shd w:val="clear" w:color="auto" w:fill="D0EBF2"/>
          </w:tcPr>
          <w:p>
            <w:pPr>
              <w:spacing w:after="0"/>
              <w:rPr>
                <w:sz w:val="17"/>
                <w:szCs w:val="17"/>
                <w:color w:val="auto"/>
              </w:rPr>
            </w:pPr>
          </w:p>
        </w:tc>
        <w:tc>
          <w:tcPr>
            <w:tcW w:w="200" w:type="dxa"/>
            <w:vAlign w:val="bottom"/>
            <w:shd w:val="clear" w:color="auto" w:fill="D0EBF2"/>
          </w:tcPr>
          <w:p>
            <w:pPr>
              <w:jc w:val="right"/>
              <w:ind w:right="6"/>
              <w:spacing w:after="0" w:line="206" w:lineRule="exact"/>
              <w:rPr>
                <w:sz w:val="20"/>
                <w:szCs w:val="20"/>
                <w:color w:val="auto"/>
              </w:rPr>
            </w:pPr>
            <w:r>
              <w:rPr>
                <w:rFonts w:ascii="Times New Roman" w:cs="Times New Roman" w:eastAsia="Times New Roman" w:hAnsi="Times New Roman"/>
                <w:sz w:val="19"/>
                <w:szCs w:val="19"/>
                <w:color w:val="231F20"/>
                <w:w w:val="83"/>
                <w:shd w:val="clear" w:color="auto" w:fill="D0EBF2"/>
              </w:rPr>
              <w:t>$</w:t>
            </w:r>
          </w:p>
        </w:tc>
        <w:tc>
          <w:tcPr>
            <w:tcW w:w="720" w:type="dxa"/>
            <w:vAlign w:val="bottom"/>
            <w:shd w:val="clear" w:color="auto" w:fill="D0EBF2"/>
          </w:tcPr>
          <w:p>
            <w:pPr>
              <w:jc w:val="right"/>
              <w:spacing w:after="0" w:line="206" w:lineRule="exact"/>
              <w:rPr>
                <w:sz w:val="20"/>
                <w:szCs w:val="20"/>
                <w:color w:val="auto"/>
              </w:rPr>
            </w:pPr>
            <w:r>
              <w:rPr>
                <w:rFonts w:ascii="Times New Roman" w:cs="Times New Roman" w:eastAsia="Times New Roman" w:hAnsi="Times New Roman"/>
                <w:sz w:val="19"/>
                <w:szCs w:val="19"/>
                <w:color w:val="231F20"/>
                <w:shd w:val="clear" w:color="auto" w:fill="D0EBF2"/>
              </w:rPr>
              <w:t>121,816</w:t>
            </w:r>
          </w:p>
        </w:tc>
        <w:tc>
          <w:tcPr>
            <w:tcW w:w="180" w:type="dxa"/>
            <w:vAlign w:val="bottom"/>
            <w:shd w:val="clear" w:color="auto" w:fill="D0EBF2"/>
          </w:tcPr>
          <w:p>
            <w:pPr>
              <w:spacing w:after="0"/>
              <w:rPr>
                <w:sz w:val="17"/>
                <w:szCs w:val="17"/>
                <w:color w:val="auto"/>
              </w:rPr>
            </w:pPr>
          </w:p>
        </w:tc>
        <w:tc>
          <w:tcPr>
            <w:tcW w:w="100" w:type="dxa"/>
            <w:vAlign w:val="bottom"/>
            <w:shd w:val="clear" w:color="auto" w:fill="D0EBF2"/>
          </w:tcPr>
          <w:p>
            <w:pPr>
              <w:spacing w:after="0"/>
              <w:rPr>
                <w:sz w:val="17"/>
                <w:szCs w:val="17"/>
                <w:color w:val="auto"/>
              </w:rPr>
            </w:pPr>
          </w:p>
        </w:tc>
        <w:tc>
          <w:tcPr>
            <w:tcW w:w="260" w:type="dxa"/>
            <w:vAlign w:val="bottom"/>
            <w:shd w:val="clear" w:color="auto" w:fill="D0EBF2"/>
          </w:tcPr>
          <w:p>
            <w:pPr>
              <w:jc w:val="right"/>
              <w:ind w:right="66"/>
              <w:spacing w:after="0" w:line="206" w:lineRule="exact"/>
              <w:rPr>
                <w:sz w:val="20"/>
                <w:szCs w:val="20"/>
                <w:color w:val="auto"/>
              </w:rPr>
            </w:pPr>
            <w:r>
              <w:rPr>
                <w:rFonts w:ascii="Times New Roman" w:cs="Times New Roman" w:eastAsia="Times New Roman" w:hAnsi="Times New Roman"/>
                <w:sz w:val="19"/>
                <w:szCs w:val="19"/>
                <w:color w:val="231F20"/>
                <w:w w:val="83"/>
              </w:rPr>
              <w:t>$</w:t>
            </w:r>
          </w:p>
        </w:tc>
        <w:tc>
          <w:tcPr>
            <w:tcW w:w="840" w:type="dxa"/>
            <w:vAlign w:val="bottom"/>
            <w:shd w:val="clear" w:color="auto" w:fill="D0EBF2"/>
          </w:tcPr>
          <w:p>
            <w:pPr>
              <w:jc w:val="right"/>
              <w:spacing w:after="0" w:line="206" w:lineRule="exact"/>
              <w:rPr>
                <w:sz w:val="20"/>
                <w:szCs w:val="20"/>
                <w:color w:val="auto"/>
              </w:rPr>
            </w:pPr>
            <w:r>
              <w:rPr>
                <w:rFonts w:ascii="Times New Roman" w:cs="Times New Roman" w:eastAsia="Times New Roman" w:hAnsi="Times New Roman"/>
                <w:sz w:val="19"/>
                <w:szCs w:val="19"/>
                <w:color w:val="231F20"/>
              </w:rPr>
              <w:t>117,783</w:t>
            </w:r>
          </w:p>
        </w:tc>
        <w:tc>
          <w:tcPr>
            <w:tcW w:w="140" w:type="dxa"/>
            <w:vAlign w:val="bottom"/>
            <w:shd w:val="clear" w:color="auto" w:fill="D0EBF2"/>
          </w:tcPr>
          <w:p>
            <w:pPr>
              <w:spacing w:after="0"/>
              <w:rPr>
                <w:sz w:val="17"/>
                <w:szCs w:val="17"/>
                <w:color w:val="auto"/>
              </w:rPr>
            </w:pPr>
          </w:p>
        </w:tc>
      </w:tr>
      <w:tr>
        <w:trPr>
          <w:trHeight w:val="217"/>
        </w:trPr>
        <w:tc>
          <w:tcPr>
            <w:tcW w:w="4280" w:type="dxa"/>
            <w:vAlign w:val="bottom"/>
            <w:shd w:val="clear" w:color="auto" w:fill="FDFDFC"/>
          </w:tcPr>
          <w:p>
            <w:pPr>
              <w:spacing w:after="0" w:line="217" w:lineRule="exact"/>
              <w:rPr>
                <w:sz w:val="20"/>
                <w:szCs w:val="20"/>
                <w:color w:val="auto"/>
              </w:rPr>
            </w:pPr>
            <w:r>
              <w:rPr>
                <w:rFonts w:ascii="Times New Roman" w:cs="Times New Roman" w:eastAsia="Times New Roman" w:hAnsi="Times New Roman"/>
                <w:sz w:val="19"/>
                <w:szCs w:val="19"/>
                <w:color w:val="231F20"/>
              </w:rPr>
              <w:t xml:space="preserve">Net Expenses </w:t>
            </w:r>
            <w:r>
              <w:rPr>
                <w:rFonts w:ascii="Times New Roman" w:cs="Times New Roman" w:eastAsia="Times New Roman" w:hAnsi="Times New Roman"/>
                <w:sz w:val="24"/>
                <w:szCs w:val="24"/>
                <w:color w:val="231F20"/>
                <w:vertAlign w:val="superscript"/>
              </w:rPr>
              <w:t>(1)</w:t>
            </w:r>
          </w:p>
        </w:tc>
        <w:tc>
          <w:tcPr>
            <w:tcW w:w="200" w:type="dxa"/>
            <w:vAlign w:val="bottom"/>
            <w:shd w:val="clear" w:color="auto" w:fill="FDFDFC"/>
          </w:tcPr>
          <w:p>
            <w:pPr>
              <w:spacing w:after="0"/>
              <w:rPr>
                <w:sz w:val="18"/>
                <w:szCs w:val="18"/>
                <w:color w:val="auto"/>
              </w:rPr>
            </w:pPr>
          </w:p>
        </w:tc>
        <w:tc>
          <w:tcPr>
            <w:tcW w:w="240" w:type="dxa"/>
            <w:vAlign w:val="bottom"/>
            <w:shd w:val="clear" w:color="auto" w:fill="FDFDFC"/>
          </w:tcPr>
          <w:p>
            <w:pPr>
              <w:jc w:val="right"/>
              <w:ind w:right="46"/>
              <w:spacing w:after="0" w:line="217" w:lineRule="exact"/>
              <w:rPr>
                <w:sz w:val="20"/>
                <w:szCs w:val="20"/>
                <w:color w:val="auto"/>
              </w:rPr>
            </w:pPr>
            <w:r>
              <w:rPr>
                <w:rFonts w:ascii="Times New Roman" w:cs="Times New Roman" w:eastAsia="Times New Roman" w:hAnsi="Times New Roman"/>
                <w:sz w:val="19"/>
                <w:szCs w:val="19"/>
                <w:color w:val="231F20"/>
                <w:w w:val="83"/>
              </w:rPr>
              <w:t>$</w:t>
            </w:r>
          </w:p>
        </w:tc>
        <w:tc>
          <w:tcPr>
            <w:tcW w:w="760" w:type="dxa"/>
            <w:vAlign w:val="bottom"/>
            <w:shd w:val="clear" w:color="auto" w:fill="FDFDFC"/>
          </w:tcPr>
          <w:p>
            <w:pPr>
              <w:jc w:val="right"/>
              <w:spacing w:after="0" w:line="217" w:lineRule="exact"/>
              <w:rPr>
                <w:sz w:val="20"/>
                <w:szCs w:val="20"/>
                <w:color w:val="auto"/>
              </w:rPr>
            </w:pPr>
            <w:r>
              <w:rPr>
                <w:rFonts w:ascii="Times New Roman" w:cs="Times New Roman" w:eastAsia="Times New Roman" w:hAnsi="Times New Roman"/>
                <w:sz w:val="19"/>
                <w:szCs w:val="19"/>
                <w:color w:val="231F20"/>
              </w:rPr>
              <w:t>64,949</w:t>
            </w:r>
          </w:p>
        </w:tc>
        <w:tc>
          <w:tcPr>
            <w:tcW w:w="160" w:type="dxa"/>
            <w:vAlign w:val="bottom"/>
            <w:shd w:val="clear" w:color="auto" w:fill="FDFDFC"/>
          </w:tcPr>
          <w:p>
            <w:pPr>
              <w:spacing w:after="0"/>
              <w:rPr>
                <w:sz w:val="18"/>
                <w:szCs w:val="18"/>
                <w:color w:val="auto"/>
              </w:rPr>
            </w:pPr>
          </w:p>
        </w:tc>
        <w:tc>
          <w:tcPr>
            <w:tcW w:w="100" w:type="dxa"/>
            <w:vAlign w:val="bottom"/>
            <w:shd w:val="clear" w:color="auto" w:fill="FDFDFC"/>
          </w:tcPr>
          <w:p>
            <w:pPr>
              <w:spacing w:after="0"/>
              <w:rPr>
                <w:sz w:val="18"/>
                <w:szCs w:val="18"/>
                <w:color w:val="auto"/>
              </w:rPr>
            </w:pPr>
          </w:p>
        </w:tc>
        <w:tc>
          <w:tcPr>
            <w:tcW w:w="160" w:type="dxa"/>
            <w:vAlign w:val="bottom"/>
            <w:shd w:val="clear" w:color="auto" w:fill="FDFDFC"/>
          </w:tcPr>
          <w:p>
            <w:pPr>
              <w:jc w:val="right"/>
              <w:spacing w:after="0"/>
              <w:rPr>
                <w:sz w:val="20"/>
                <w:szCs w:val="20"/>
                <w:color w:val="auto"/>
              </w:rPr>
            </w:pPr>
            <w:r>
              <w:rPr>
                <w:rFonts w:ascii="Times New Roman" w:cs="Times New Roman" w:eastAsia="Times New Roman" w:hAnsi="Times New Roman"/>
                <w:sz w:val="17"/>
                <w:szCs w:val="17"/>
                <w:color w:val="231F20"/>
                <w:w w:val="70"/>
              </w:rPr>
              <w:t>$</w:t>
            </w:r>
          </w:p>
        </w:tc>
        <w:tc>
          <w:tcPr>
            <w:tcW w:w="680" w:type="dxa"/>
            <w:vAlign w:val="bottom"/>
            <w:shd w:val="clear" w:color="auto" w:fill="FDFDFC"/>
          </w:tcPr>
          <w:p>
            <w:pPr>
              <w:jc w:val="right"/>
              <w:spacing w:after="0" w:line="217" w:lineRule="exact"/>
              <w:rPr>
                <w:sz w:val="20"/>
                <w:szCs w:val="20"/>
                <w:color w:val="auto"/>
              </w:rPr>
            </w:pPr>
            <w:r>
              <w:rPr>
                <w:rFonts w:ascii="Times New Roman" w:cs="Times New Roman" w:eastAsia="Times New Roman" w:hAnsi="Times New Roman"/>
                <w:sz w:val="19"/>
                <w:szCs w:val="19"/>
                <w:color w:val="231F20"/>
              </w:rPr>
              <w:t>63,599</w:t>
            </w:r>
          </w:p>
        </w:tc>
        <w:tc>
          <w:tcPr>
            <w:tcW w:w="80" w:type="dxa"/>
            <w:vAlign w:val="bottom"/>
            <w:shd w:val="clear" w:color="auto" w:fill="FDFDFC"/>
          </w:tcPr>
          <w:p>
            <w:pPr>
              <w:spacing w:after="0"/>
              <w:rPr>
                <w:sz w:val="18"/>
                <w:szCs w:val="18"/>
                <w:color w:val="auto"/>
              </w:rPr>
            </w:pPr>
          </w:p>
        </w:tc>
        <w:tc>
          <w:tcPr>
            <w:tcW w:w="180" w:type="dxa"/>
            <w:vAlign w:val="bottom"/>
            <w:shd w:val="clear" w:color="auto" w:fill="FDFDFC"/>
          </w:tcPr>
          <w:p>
            <w:pPr>
              <w:spacing w:after="0"/>
              <w:rPr>
                <w:sz w:val="18"/>
                <w:szCs w:val="18"/>
                <w:color w:val="auto"/>
              </w:rPr>
            </w:pPr>
          </w:p>
        </w:tc>
        <w:tc>
          <w:tcPr>
            <w:tcW w:w="200" w:type="dxa"/>
            <w:vAlign w:val="bottom"/>
            <w:shd w:val="clear" w:color="auto" w:fill="FDFDFC"/>
          </w:tcPr>
          <w:p>
            <w:pPr>
              <w:jc w:val="right"/>
              <w:ind w:right="6"/>
              <w:spacing w:after="0" w:line="217" w:lineRule="exact"/>
              <w:rPr>
                <w:sz w:val="20"/>
                <w:szCs w:val="20"/>
                <w:color w:val="auto"/>
              </w:rPr>
            </w:pPr>
            <w:r>
              <w:rPr>
                <w:rFonts w:ascii="Times New Roman" w:cs="Times New Roman" w:eastAsia="Times New Roman" w:hAnsi="Times New Roman"/>
                <w:sz w:val="19"/>
                <w:szCs w:val="19"/>
                <w:color w:val="231F20"/>
                <w:w w:val="83"/>
              </w:rPr>
              <w:t>$</w:t>
            </w:r>
          </w:p>
        </w:tc>
        <w:tc>
          <w:tcPr>
            <w:tcW w:w="720" w:type="dxa"/>
            <w:vAlign w:val="bottom"/>
            <w:shd w:val="clear" w:color="auto" w:fill="FDFDFC"/>
          </w:tcPr>
          <w:p>
            <w:pPr>
              <w:jc w:val="right"/>
              <w:spacing w:after="0" w:line="217" w:lineRule="exact"/>
              <w:rPr>
                <w:sz w:val="20"/>
                <w:szCs w:val="20"/>
                <w:color w:val="auto"/>
              </w:rPr>
            </w:pPr>
            <w:r>
              <w:rPr>
                <w:rFonts w:ascii="Times New Roman" w:cs="Times New Roman" w:eastAsia="Times New Roman" w:hAnsi="Times New Roman"/>
                <w:sz w:val="19"/>
                <w:szCs w:val="19"/>
                <w:color w:val="231F20"/>
              </w:rPr>
              <w:t>65,446</w:t>
            </w:r>
          </w:p>
        </w:tc>
        <w:tc>
          <w:tcPr>
            <w:tcW w:w="180" w:type="dxa"/>
            <w:vAlign w:val="bottom"/>
            <w:shd w:val="clear" w:color="auto" w:fill="FDFDFC"/>
          </w:tcPr>
          <w:p>
            <w:pPr>
              <w:spacing w:after="0"/>
              <w:rPr>
                <w:sz w:val="18"/>
                <w:szCs w:val="18"/>
                <w:color w:val="auto"/>
              </w:rPr>
            </w:pPr>
          </w:p>
        </w:tc>
        <w:tc>
          <w:tcPr>
            <w:tcW w:w="100" w:type="dxa"/>
            <w:vAlign w:val="bottom"/>
            <w:shd w:val="clear" w:color="auto" w:fill="FDFDFC"/>
          </w:tcPr>
          <w:p>
            <w:pPr>
              <w:spacing w:after="0"/>
              <w:rPr>
                <w:sz w:val="18"/>
                <w:szCs w:val="18"/>
                <w:color w:val="auto"/>
              </w:rPr>
            </w:pPr>
          </w:p>
        </w:tc>
        <w:tc>
          <w:tcPr>
            <w:tcW w:w="260" w:type="dxa"/>
            <w:vAlign w:val="bottom"/>
            <w:shd w:val="clear" w:color="auto" w:fill="FDFDFC"/>
          </w:tcPr>
          <w:p>
            <w:pPr>
              <w:jc w:val="right"/>
              <w:ind w:right="66"/>
              <w:spacing w:after="0" w:line="217" w:lineRule="exact"/>
              <w:rPr>
                <w:sz w:val="20"/>
                <w:szCs w:val="20"/>
                <w:color w:val="auto"/>
              </w:rPr>
            </w:pPr>
            <w:r>
              <w:rPr>
                <w:rFonts w:ascii="Times New Roman" w:cs="Times New Roman" w:eastAsia="Times New Roman" w:hAnsi="Times New Roman"/>
                <w:sz w:val="19"/>
                <w:szCs w:val="19"/>
                <w:color w:val="231F20"/>
                <w:w w:val="83"/>
              </w:rPr>
              <w:t>$</w:t>
            </w:r>
          </w:p>
        </w:tc>
        <w:tc>
          <w:tcPr>
            <w:tcW w:w="840" w:type="dxa"/>
            <w:vAlign w:val="bottom"/>
            <w:shd w:val="clear" w:color="auto" w:fill="FDFDFC"/>
          </w:tcPr>
          <w:p>
            <w:pPr>
              <w:jc w:val="right"/>
              <w:spacing w:after="0" w:line="217" w:lineRule="exact"/>
              <w:rPr>
                <w:sz w:val="20"/>
                <w:szCs w:val="20"/>
                <w:color w:val="auto"/>
              </w:rPr>
            </w:pPr>
            <w:r>
              <w:rPr>
                <w:rFonts w:ascii="Times New Roman" w:cs="Times New Roman" w:eastAsia="Times New Roman" w:hAnsi="Times New Roman"/>
                <w:sz w:val="19"/>
                <w:szCs w:val="19"/>
                <w:color w:val="231F20"/>
              </w:rPr>
              <w:t>64,571</w:t>
            </w:r>
          </w:p>
        </w:tc>
        <w:tc>
          <w:tcPr>
            <w:tcW w:w="140" w:type="dxa"/>
            <w:vAlign w:val="bottom"/>
            <w:shd w:val="clear" w:color="auto" w:fill="FDFDFC"/>
          </w:tcPr>
          <w:p>
            <w:pPr>
              <w:spacing w:after="0"/>
              <w:rPr>
                <w:sz w:val="18"/>
                <w:szCs w:val="18"/>
                <w:color w:val="auto"/>
              </w:rPr>
            </w:pPr>
          </w:p>
        </w:tc>
      </w:tr>
      <w:tr>
        <w:trPr>
          <w:trHeight w:val="217"/>
        </w:trPr>
        <w:tc>
          <w:tcPr>
            <w:tcW w:w="4280" w:type="dxa"/>
            <w:vAlign w:val="bottom"/>
            <w:shd w:val="clear" w:color="auto" w:fill="D0EBF2"/>
          </w:tcPr>
          <w:p>
            <w:pPr>
              <w:spacing w:after="0" w:line="217" w:lineRule="exact"/>
              <w:rPr>
                <w:sz w:val="20"/>
                <w:szCs w:val="20"/>
                <w:color w:val="auto"/>
              </w:rPr>
            </w:pPr>
            <w:r>
              <w:rPr>
                <w:rFonts w:ascii="Times New Roman" w:cs="Times New Roman" w:eastAsia="Times New Roman" w:hAnsi="Times New Roman"/>
                <w:sz w:val="19"/>
                <w:szCs w:val="19"/>
                <w:color w:val="231F20"/>
              </w:rPr>
              <w:t>Net Investment Income</w:t>
            </w:r>
          </w:p>
        </w:tc>
        <w:tc>
          <w:tcPr>
            <w:tcW w:w="440" w:type="dxa"/>
            <w:vAlign w:val="bottom"/>
            <w:gridSpan w:val="2"/>
            <w:shd w:val="clear" w:color="auto" w:fill="D0EBF2"/>
          </w:tcPr>
          <w:p>
            <w:pPr>
              <w:jc w:val="right"/>
              <w:ind w:right="46"/>
              <w:spacing w:after="0" w:line="217" w:lineRule="exact"/>
              <w:rPr>
                <w:sz w:val="20"/>
                <w:szCs w:val="20"/>
                <w:color w:val="auto"/>
              </w:rPr>
            </w:pPr>
            <w:r>
              <w:rPr>
                <w:rFonts w:ascii="Times New Roman" w:cs="Times New Roman" w:eastAsia="Times New Roman" w:hAnsi="Times New Roman"/>
                <w:sz w:val="19"/>
                <w:szCs w:val="19"/>
                <w:color w:val="231F20"/>
              </w:rPr>
              <w:t>$</w:t>
            </w:r>
          </w:p>
        </w:tc>
        <w:tc>
          <w:tcPr>
            <w:tcW w:w="760" w:type="dxa"/>
            <w:vAlign w:val="bottom"/>
            <w:shd w:val="clear" w:color="auto" w:fill="D0EBF2"/>
          </w:tcPr>
          <w:p>
            <w:pPr>
              <w:jc w:val="right"/>
              <w:spacing w:after="0" w:line="217" w:lineRule="exact"/>
              <w:rPr>
                <w:sz w:val="20"/>
                <w:szCs w:val="20"/>
                <w:color w:val="auto"/>
              </w:rPr>
            </w:pPr>
            <w:r>
              <w:rPr>
                <w:rFonts w:ascii="Times New Roman" w:cs="Times New Roman" w:eastAsia="Times New Roman" w:hAnsi="Times New Roman"/>
                <w:sz w:val="19"/>
                <w:szCs w:val="19"/>
                <w:color w:val="231F20"/>
              </w:rPr>
              <w:t>57,585</w:t>
            </w:r>
          </w:p>
        </w:tc>
        <w:tc>
          <w:tcPr>
            <w:tcW w:w="160" w:type="dxa"/>
            <w:vAlign w:val="bottom"/>
            <w:shd w:val="clear" w:color="auto" w:fill="D0EBF2"/>
          </w:tcPr>
          <w:p>
            <w:pPr>
              <w:spacing w:after="0"/>
              <w:rPr>
                <w:sz w:val="18"/>
                <w:szCs w:val="18"/>
                <w:color w:val="auto"/>
              </w:rPr>
            </w:pPr>
          </w:p>
        </w:tc>
        <w:tc>
          <w:tcPr>
            <w:tcW w:w="260" w:type="dxa"/>
            <w:vAlign w:val="bottom"/>
            <w:gridSpan w:val="2"/>
            <w:shd w:val="clear" w:color="auto" w:fill="D0EBF2"/>
          </w:tcPr>
          <w:p>
            <w:pPr>
              <w:jc w:val="right"/>
              <w:spacing w:after="0" w:line="217" w:lineRule="exact"/>
              <w:rPr>
                <w:sz w:val="20"/>
                <w:szCs w:val="20"/>
                <w:color w:val="auto"/>
              </w:rPr>
            </w:pPr>
            <w:r>
              <w:rPr>
                <w:rFonts w:ascii="Times New Roman" w:cs="Times New Roman" w:eastAsia="Times New Roman" w:hAnsi="Times New Roman"/>
                <w:sz w:val="19"/>
                <w:szCs w:val="19"/>
                <w:color w:val="231F20"/>
              </w:rPr>
              <w:t>$</w:t>
            </w:r>
          </w:p>
        </w:tc>
        <w:tc>
          <w:tcPr>
            <w:tcW w:w="680" w:type="dxa"/>
            <w:vAlign w:val="bottom"/>
            <w:shd w:val="clear" w:color="auto" w:fill="D0EBF2"/>
          </w:tcPr>
          <w:p>
            <w:pPr>
              <w:jc w:val="right"/>
              <w:spacing w:after="0" w:line="217" w:lineRule="exact"/>
              <w:rPr>
                <w:sz w:val="20"/>
                <w:szCs w:val="20"/>
                <w:color w:val="auto"/>
              </w:rPr>
            </w:pPr>
            <w:r>
              <w:rPr>
                <w:rFonts w:ascii="Times New Roman" w:cs="Times New Roman" w:eastAsia="Times New Roman" w:hAnsi="Times New Roman"/>
                <w:sz w:val="19"/>
                <w:szCs w:val="19"/>
                <w:color w:val="231F20"/>
              </w:rPr>
              <w:t>54,926</w:t>
            </w:r>
          </w:p>
        </w:tc>
        <w:tc>
          <w:tcPr>
            <w:tcW w:w="80" w:type="dxa"/>
            <w:vAlign w:val="bottom"/>
            <w:shd w:val="clear" w:color="auto" w:fill="D0EBF2"/>
          </w:tcPr>
          <w:p>
            <w:pPr>
              <w:spacing w:after="0"/>
              <w:rPr>
                <w:sz w:val="18"/>
                <w:szCs w:val="18"/>
                <w:color w:val="auto"/>
              </w:rPr>
            </w:pPr>
          </w:p>
        </w:tc>
        <w:tc>
          <w:tcPr>
            <w:tcW w:w="380" w:type="dxa"/>
            <w:vAlign w:val="bottom"/>
            <w:gridSpan w:val="2"/>
            <w:shd w:val="clear" w:color="auto" w:fill="D0EBF2"/>
          </w:tcPr>
          <w:p>
            <w:pPr>
              <w:jc w:val="right"/>
              <w:ind w:right="6"/>
              <w:spacing w:after="0" w:line="217" w:lineRule="exact"/>
              <w:rPr>
                <w:sz w:val="20"/>
                <w:szCs w:val="20"/>
                <w:color w:val="auto"/>
              </w:rPr>
            </w:pPr>
            <w:r>
              <w:rPr>
                <w:rFonts w:ascii="Times New Roman" w:cs="Times New Roman" w:eastAsia="Times New Roman" w:hAnsi="Times New Roman"/>
                <w:sz w:val="19"/>
                <w:szCs w:val="19"/>
                <w:color w:val="231F20"/>
              </w:rPr>
              <w:t>$</w:t>
            </w:r>
          </w:p>
        </w:tc>
        <w:tc>
          <w:tcPr>
            <w:tcW w:w="720" w:type="dxa"/>
            <w:vAlign w:val="bottom"/>
            <w:shd w:val="clear" w:color="auto" w:fill="D0EBF2"/>
          </w:tcPr>
          <w:p>
            <w:pPr>
              <w:jc w:val="right"/>
              <w:spacing w:after="0" w:line="217" w:lineRule="exact"/>
              <w:rPr>
                <w:sz w:val="20"/>
                <w:szCs w:val="20"/>
                <w:color w:val="auto"/>
              </w:rPr>
            </w:pPr>
            <w:r>
              <w:rPr>
                <w:rFonts w:ascii="Times New Roman" w:cs="Times New Roman" w:eastAsia="Times New Roman" w:hAnsi="Times New Roman"/>
                <w:sz w:val="19"/>
                <w:szCs w:val="19"/>
                <w:color w:val="231F20"/>
              </w:rPr>
              <w:t>55,144</w:t>
            </w:r>
          </w:p>
        </w:tc>
        <w:tc>
          <w:tcPr>
            <w:tcW w:w="180" w:type="dxa"/>
            <w:vAlign w:val="bottom"/>
            <w:shd w:val="clear" w:color="auto" w:fill="D0EBF2"/>
          </w:tcPr>
          <w:p>
            <w:pPr>
              <w:spacing w:after="0"/>
              <w:rPr>
                <w:sz w:val="18"/>
                <w:szCs w:val="18"/>
                <w:color w:val="auto"/>
              </w:rPr>
            </w:pPr>
          </w:p>
        </w:tc>
        <w:tc>
          <w:tcPr>
            <w:tcW w:w="360" w:type="dxa"/>
            <w:vAlign w:val="bottom"/>
            <w:gridSpan w:val="2"/>
            <w:shd w:val="clear" w:color="auto" w:fill="D0EBF2"/>
          </w:tcPr>
          <w:p>
            <w:pPr>
              <w:jc w:val="right"/>
              <w:ind w:right="66"/>
              <w:spacing w:after="0" w:line="217" w:lineRule="exact"/>
              <w:rPr>
                <w:sz w:val="20"/>
                <w:szCs w:val="20"/>
                <w:color w:val="auto"/>
              </w:rPr>
            </w:pPr>
            <w:r>
              <w:rPr>
                <w:rFonts w:ascii="Times New Roman" w:cs="Times New Roman" w:eastAsia="Times New Roman" w:hAnsi="Times New Roman"/>
                <w:sz w:val="19"/>
                <w:szCs w:val="19"/>
                <w:color w:val="231F20"/>
              </w:rPr>
              <w:t>$</w:t>
            </w:r>
          </w:p>
        </w:tc>
        <w:tc>
          <w:tcPr>
            <w:tcW w:w="840" w:type="dxa"/>
            <w:vAlign w:val="bottom"/>
            <w:shd w:val="clear" w:color="auto" w:fill="D0EBF2"/>
          </w:tcPr>
          <w:p>
            <w:pPr>
              <w:jc w:val="right"/>
              <w:spacing w:after="0" w:line="217" w:lineRule="exact"/>
              <w:rPr>
                <w:sz w:val="20"/>
                <w:szCs w:val="20"/>
                <w:color w:val="auto"/>
              </w:rPr>
            </w:pPr>
            <w:r>
              <w:rPr>
                <w:rFonts w:ascii="Times New Roman" w:cs="Times New Roman" w:eastAsia="Times New Roman" w:hAnsi="Times New Roman"/>
                <w:sz w:val="19"/>
                <w:szCs w:val="19"/>
                <w:color w:val="231F20"/>
              </w:rPr>
              <w:t>52,362</w:t>
            </w:r>
          </w:p>
        </w:tc>
        <w:tc>
          <w:tcPr>
            <w:tcW w:w="140" w:type="dxa"/>
            <w:vAlign w:val="bottom"/>
            <w:shd w:val="clear" w:color="auto" w:fill="D0EBF2"/>
          </w:tcPr>
          <w:p>
            <w:pPr>
              <w:spacing w:after="0"/>
              <w:rPr>
                <w:sz w:val="18"/>
                <w:szCs w:val="18"/>
                <w:color w:val="auto"/>
              </w:rPr>
            </w:pPr>
          </w:p>
        </w:tc>
      </w:tr>
      <w:tr>
        <w:trPr>
          <w:trHeight w:val="217"/>
        </w:trPr>
        <w:tc>
          <w:tcPr>
            <w:tcW w:w="4280" w:type="dxa"/>
            <w:vAlign w:val="bottom"/>
            <w:shd w:val="clear" w:color="auto" w:fill="FDFDFC"/>
          </w:tcPr>
          <w:p>
            <w:pPr>
              <w:spacing w:after="0" w:line="217" w:lineRule="exact"/>
              <w:rPr>
                <w:sz w:val="20"/>
                <w:szCs w:val="20"/>
                <w:color w:val="auto"/>
              </w:rPr>
            </w:pPr>
            <w:r>
              <w:rPr>
                <w:rFonts w:ascii="Times New Roman" w:cs="Times New Roman" w:eastAsia="Times New Roman" w:hAnsi="Times New Roman"/>
                <w:sz w:val="19"/>
                <w:szCs w:val="19"/>
                <w:color w:val="231F20"/>
              </w:rPr>
              <w:t>Total unrealized and realized gains (losses)</w:t>
            </w:r>
          </w:p>
        </w:tc>
        <w:tc>
          <w:tcPr>
            <w:tcW w:w="440" w:type="dxa"/>
            <w:vAlign w:val="bottom"/>
            <w:gridSpan w:val="2"/>
            <w:shd w:val="clear" w:color="auto" w:fill="FDFDFC"/>
          </w:tcPr>
          <w:p>
            <w:pPr>
              <w:jc w:val="right"/>
              <w:ind w:right="46"/>
              <w:spacing w:after="0" w:line="217" w:lineRule="exact"/>
              <w:rPr>
                <w:sz w:val="20"/>
                <w:szCs w:val="20"/>
                <w:color w:val="auto"/>
              </w:rPr>
            </w:pPr>
            <w:r>
              <w:rPr>
                <w:rFonts w:ascii="Times New Roman" w:cs="Times New Roman" w:eastAsia="Times New Roman" w:hAnsi="Times New Roman"/>
                <w:sz w:val="19"/>
                <w:szCs w:val="19"/>
                <w:color w:val="231F20"/>
              </w:rPr>
              <w:t>$</w:t>
            </w:r>
          </w:p>
        </w:tc>
        <w:tc>
          <w:tcPr>
            <w:tcW w:w="920" w:type="dxa"/>
            <w:vAlign w:val="bottom"/>
            <w:gridSpan w:val="2"/>
            <w:shd w:val="clear" w:color="auto" w:fill="FDFDFC"/>
          </w:tcPr>
          <w:p>
            <w:pPr>
              <w:jc w:val="right"/>
              <w:ind w:right="100"/>
              <w:spacing w:after="0" w:line="217" w:lineRule="exact"/>
              <w:rPr>
                <w:sz w:val="20"/>
                <w:szCs w:val="20"/>
                <w:color w:val="auto"/>
              </w:rPr>
            </w:pPr>
            <w:r>
              <w:rPr>
                <w:rFonts w:ascii="Times New Roman" w:cs="Times New Roman" w:eastAsia="Times New Roman" w:hAnsi="Times New Roman"/>
                <w:sz w:val="19"/>
                <w:szCs w:val="19"/>
                <w:color w:val="231F20"/>
              </w:rPr>
              <w:t>(6,594)</w:t>
            </w:r>
          </w:p>
        </w:tc>
        <w:tc>
          <w:tcPr>
            <w:tcW w:w="260" w:type="dxa"/>
            <w:vAlign w:val="bottom"/>
            <w:gridSpan w:val="2"/>
            <w:shd w:val="clear" w:color="auto" w:fill="FDFDFC"/>
          </w:tcPr>
          <w:p>
            <w:pPr>
              <w:jc w:val="right"/>
              <w:spacing w:after="0" w:line="217" w:lineRule="exact"/>
              <w:rPr>
                <w:sz w:val="20"/>
                <w:szCs w:val="20"/>
                <w:color w:val="auto"/>
              </w:rPr>
            </w:pPr>
            <w:r>
              <w:rPr>
                <w:rFonts w:ascii="Times New Roman" w:cs="Times New Roman" w:eastAsia="Times New Roman" w:hAnsi="Times New Roman"/>
                <w:sz w:val="19"/>
                <w:szCs w:val="19"/>
                <w:color w:val="231F20"/>
              </w:rPr>
              <w:t>$</w:t>
            </w:r>
          </w:p>
        </w:tc>
        <w:tc>
          <w:tcPr>
            <w:tcW w:w="760" w:type="dxa"/>
            <w:vAlign w:val="bottom"/>
            <w:gridSpan w:val="2"/>
            <w:shd w:val="clear" w:color="auto" w:fill="FDFDFC"/>
          </w:tcPr>
          <w:p>
            <w:pPr>
              <w:jc w:val="right"/>
              <w:spacing w:after="0" w:line="217" w:lineRule="exact"/>
              <w:rPr>
                <w:sz w:val="20"/>
                <w:szCs w:val="20"/>
                <w:color w:val="auto"/>
              </w:rPr>
            </w:pPr>
            <w:r>
              <w:rPr>
                <w:rFonts w:ascii="Times New Roman" w:cs="Times New Roman" w:eastAsia="Times New Roman" w:hAnsi="Times New Roman"/>
                <w:sz w:val="19"/>
                <w:szCs w:val="19"/>
                <w:color w:val="231F20"/>
              </w:rPr>
              <w:t>(14,271)</w:t>
            </w:r>
          </w:p>
        </w:tc>
        <w:tc>
          <w:tcPr>
            <w:tcW w:w="380" w:type="dxa"/>
            <w:vAlign w:val="bottom"/>
            <w:gridSpan w:val="2"/>
            <w:shd w:val="clear" w:color="auto" w:fill="FDFDFC"/>
          </w:tcPr>
          <w:p>
            <w:pPr>
              <w:jc w:val="right"/>
              <w:ind w:right="6"/>
              <w:spacing w:after="0" w:line="217" w:lineRule="exact"/>
              <w:rPr>
                <w:sz w:val="20"/>
                <w:szCs w:val="20"/>
                <w:color w:val="auto"/>
              </w:rPr>
            </w:pPr>
            <w:r>
              <w:rPr>
                <w:rFonts w:ascii="Times New Roman" w:cs="Times New Roman" w:eastAsia="Times New Roman" w:hAnsi="Times New Roman"/>
                <w:sz w:val="19"/>
                <w:szCs w:val="19"/>
                <w:color w:val="231F20"/>
              </w:rPr>
              <w:t>$</w:t>
            </w:r>
          </w:p>
        </w:tc>
        <w:tc>
          <w:tcPr>
            <w:tcW w:w="900" w:type="dxa"/>
            <w:vAlign w:val="bottom"/>
            <w:gridSpan w:val="2"/>
            <w:shd w:val="clear" w:color="auto" w:fill="FDFDFC"/>
          </w:tcPr>
          <w:p>
            <w:pPr>
              <w:jc w:val="right"/>
              <w:ind w:right="120"/>
              <w:spacing w:after="0" w:line="217" w:lineRule="exact"/>
              <w:rPr>
                <w:sz w:val="20"/>
                <w:szCs w:val="20"/>
                <w:color w:val="auto"/>
              </w:rPr>
            </w:pPr>
            <w:r>
              <w:rPr>
                <w:rFonts w:ascii="Times New Roman" w:cs="Times New Roman" w:eastAsia="Times New Roman" w:hAnsi="Times New Roman"/>
                <w:sz w:val="19"/>
                <w:szCs w:val="19"/>
                <w:color w:val="231F20"/>
              </w:rPr>
              <w:t>(7,742)</w:t>
            </w:r>
          </w:p>
        </w:tc>
        <w:tc>
          <w:tcPr>
            <w:tcW w:w="360" w:type="dxa"/>
            <w:vAlign w:val="bottom"/>
            <w:gridSpan w:val="2"/>
            <w:shd w:val="clear" w:color="auto" w:fill="FDFDFC"/>
          </w:tcPr>
          <w:p>
            <w:pPr>
              <w:jc w:val="right"/>
              <w:ind w:right="66"/>
              <w:spacing w:after="0" w:line="217" w:lineRule="exact"/>
              <w:rPr>
                <w:sz w:val="20"/>
                <w:szCs w:val="20"/>
                <w:color w:val="auto"/>
              </w:rPr>
            </w:pPr>
            <w:r>
              <w:rPr>
                <w:rFonts w:ascii="Times New Roman" w:cs="Times New Roman" w:eastAsia="Times New Roman" w:hAnsi="Times New Roman"/>
                <w:sz w:val="19"/>
                <w:szCs w:val="19"/>
                <w:color w:val="231F20"/>
              </w:rPr>
              <w:t>$</w:t>
            </w:r>
          </w:p>
        </w:tc>
        <w:tc>
          <w:tcPr>
            <w:tcW w:w="980" w:type="dxa"/>
            <w:vAlign w:val="bottom"/>
            <w:gridSpan w:val="2"/>
            <w:shd w:val="clear" w:color="auto" w:fill="FDFDFC"/>
          </w:tcPr>
          <w:p>
            <w:pPr>
              <w:jc w:val="right"/>
              <w:ind w:right="80"/>
              <w:spacing w:after="0" w:line="217" w:lineRule="exact"/>
              <w:rPr>
                <w:sz w:val="20"/>
                <w:szCs w:val="20"/>
                <w:color w:val="auto"/>
              </w:rPr>
            </w:pPr>
            <w:r>
              <w:rPr>
                <w:rFonts w:ascii="Times New Roman" w:cs="Times New Roman" w:eastAsia="Times New Roman" w:hAnsi="Times New Roman"/>
                <w:sz w:val="19"/>
                <w:szCs w:val="19"/>
                <w:color w:val="231F20"/>
              </w:rPr>
              <w:t>(4,844)</w:t>
            </w:r>
          </w:p>
        </w:tc>
      </w:tr>
      <w:tr>
        <w:trPr>
          <w:trHeight w:val="217"/>
        </w:trPr>
        <w:tc>
          <w:tcPr>
            <w:tcW w:w="4280" w:type="dxa"/>
            <w:vAlign w:val="bottom"/>
            <w:shd w:val="clear" w:color="auto" w:fill="D0EBF2"/>
          </w:tcPr>
          <w:p>
            <w:pPr>
              <w:spacing w:after="0" w:line="217" w:lineRule="exact"/>
              <w:rPr>
                <w:sz w:val="20"/>
                <w:szCs w:val="20"/>
                <w:color w:val="auto"/>
              </w:rPr>
            </w:pPr>
            <w:r>
              <w:rPr>
                <w:rFonts w:ascii="Times New Roman" w:cs="Times New Roman" w:eastAsia="Times New Roman" w:hAnsi="Times New Roman"/>
                <w:sz w:val="19"/>
                <w:szCs w:val="19"/>
                <w:color w:val="231F20"/>
              </w:rPr>
              <w:t>Increase in Net Assets Resulting from Operations</w:t>
            </w:r>
          </w:p>
        </w:tc>
        <w:tc>
          <w:tcPr>
            <w:tcW w:w="440" w:type="dxa"/>
            <w:vAlign w:val="bottom"/>
            <w:gridSpan w:val="2"/>
            <w:shd w:val="clear" w:color="auto" w:fill="D0EBF2"/>
          </w:tcPr>
          <w:p>
            <w:pPr>
              <w:jc w:val="right"/>
              <w:ind w:right="46"/>
              <w:spacing w:after="0" w:line="217" w:lineRule="exact"/>
              <w:rPr>
                <w:sz w:val="20"/>
                <w:szCs w:val="20"/>
                <w:color w:val="auto"/>
              </w:rPr>
            </w:pPr>
            <w:r>
              <w:rPr>
                <w:rFonts w:ascii="Times New Roman" w:cs="Times New Roman" w:eastAsia="Times New Roman" w:hAnsi="Times New Roman"/>
                <w:sz w:val="19"/>
                <w:szCs w:val="19"/>
                <w:color w:val="231F20"/>
              </w:rPr>
              <w:t>$</w:t>
            </w:r>
          </w:p>
        </w:tc>
        <w:tc>
          <w:tcPr>
            <w:tcW w:w="760" w:type="dxa"/>
            <w:vAlign w:val="bottom"/>
            <w:shd w:val="clear" w:color="auto" w:fill="D0EBF2"/>
          </w:tcPr>
          <w:p>
            <w:pPr>
              <w:jc w:val="right"/>
              <w:spacing w:after="0" w:line="217" w:lineRule="exact"/>
              <w:rPr>
                <w:sz w:val="20"/>
                <w:szCs w:val="20"/>
                <w:color w:val="auto"/>
              </w:rPr>
            </w:pPr>
            <w:r>
              <w:rPr>
                <w:rFonts w:ascii="Times New Roman" w:cs="Times New Roman" w:eastAsia="Times New Roman" w:hAnsi="Times New Roman"/>
                <w:sz w:val="19"/>
                <w:szCs w:val="19"/>
                <w:color w:val="231F20"/>
              </w:rPr>
              <w:t>50,992</w:t>
            </w:r>
          </w:p>
        </w:tc>
        <w:tc>
          <w:tcPr>
            <w:tcW w:w="160" w:type="dxa"/>
            <w:vAlign w:val="bottom"/>
            <w:shd w:val="clear" w:color="auto" w:fill="D0EBF2"/>
          </w:tcPr>
          <w:p>
            <w:pPr>
              <w:spacing w:after="0"/>
              <w:rPr>
                <w:sz w:val="18"/>
                <w:szCs w:val="18"/>
                <w:color w:val="auto"/>
              </w:rPr>
            </w:pPr>
          </w:p>
        </w:tc>
        <w:tc>
          <w:tcPr>
            <w:tcW w:w="260" w:type="dxa"/>
            <w:vAlign w:val="bottom"/>
            <w:gridSpan w:val="2"/>
            <w:shd w:val="clear" w:color="auto" w:fill="D0EBF2"/>
          </w:tcPr>
          <w:p>
            <w:pPr>
              <w:jc w:val="right"/>
              <w:spacing w:after="0" w:line="217" w:lineRule="exact"/>
              <w:rPr>
                <w:sz w:val="20"/>
                <w:szCs w:val="20"/>
                <w:color w:val="auto"/>
              </w:rPr>
            </w:pPr>
            <w:r>
              <w:rPr>
                <w:rFonts w:ascii="Times New Roman" w:cs="Times New Roman" w:eastAsia="Times New Roman" w:hAnsi="Times New Roman"/>
                <w:sz w:val="19"/>
                <w:szCs w:val="19"/>
                <w:color w:val="231F20"/>
              </w:rPr>
              <w:t>$</w:t>
            </w:r>
          </w:p>
        </w:tc>
        <w:tc>
          <w:tcPr>
            <w:tcW w:w="680" w:type="dxa"/>
            <w:vAlign w:val="bottom"/>
            <w:shd w:val="clear" w:color="auto" w:fill="D0EBF2"/>
          </w:tcPr>
          <w:p>
            <w:pPr>
              <w:jc w:val="right"/>
              <w:spacing w:after="0" w:line="217" w:lineRule="exact"/>
              <w:rPr>
                <w:sz w:val="20"/>
                <w:szCs w:val="20"/>
                <w:color w:val="auto"/>
              </w:rPr>
            </w:pPr>
            <w:r>
              <w:rPr>
                <w:rFonts w:ascii="Times New Roman" w:cs="Times New Roman" w:eastAsia="Times New Roman" w:hAnsi="Times New Roman"/>
                <w:sz w:val="19"/>
                <w:szCs w:val="19"/>
                <w:color w:val="231F20"/>
              </w:rPr>
              <w:t>40,655</w:t>
            </w:r>
          </w:p>
        </w:tc>
        <w:tc>
          <w:tcPr>
            <w:tcW w:w="80" w:type="dxa"/>
            <w:vAlign w:val="bottom"/>
            <w:shd w:val="clear" w:color="auto" w:fill="D0EBF2"/>
          </w:tcPr>
          <w:p>
            <w:pPr>
              <w:spacing w:after="0"/>
              <w:rPr>
                <w:sz w:val="18"/>
                <w:szCs w:val="18"/>
                <w:color w:val="auto"/>
              </w:rPr>
            </w:pPr>
          </w:p>
        </w:tc>
        <w:tc>
          <w:tcPr>
            <w:tcW w:w="380" w:type="dxa"/>
            <w:vAlign w:val="bottom"/>
            <w:gridSpan w:val="2"/>
            <w:shd w:val="clear" w:color="auto" w:fill="D0EBF2"/>
          </w:tcPr>
          <w:p>
            <w:pPr>
              <w:jc w:val="right"/>
              <w:ind w:right="6"/>
              <w:spacing w:after="0" w:line="217" w:lineRule="exact"/>
              <w:rPr>
                <w:sz w:val="20"/>
                <w:szCs w:val="20"/>
                <w:color w:val="auto"/>
              </w:rPr>
            </w:pPr>
            <w:r>
              <w:rPr>
                <w:rFonts w:ascii="Times New Roman" w:cs="Times New Roman" w:eastAsia="Times New Roman" w:hAnsi="Times New Roman"/>
                <w:sz w:val="19"/>
                <w:szCs w:val="19"/>
                <w:color w:val="231F20"/>
              </w:rPr>
              <w:t>$</w:t>
            </w:r>
          </w:p>
        </w:tc>
        <w:tc>
          <w:tcPr>
            <w:tcW w:w="720" w:type="dxa"/>
            <w:vAlign w:val="bottom"/>
            <w:shd w:val="clear" w:color="auto" w:fill="D0EBF2"/>
          </w:tcPr>
          <w:p>
            <w:pPr>
              <w:jc w:val="right"/>
              <w:spacing w:after="0" w:line="217" w:lineRule="exact"/>
              <w:rPr>
                <w:sz w:val="20"/>
                <w:szCs w:val="20"/>
                <w:color w:val="auto"/>
              </w:rPr>
            </w:pPr>
            <w:r>
              <w:rPr>
                <w:rFonts w:ascii="Times New Roman" w:cs="Times New Roman" w:eastAsia="Times New Roman" w:hAnsi="Times New Roman"/>
                <w:sz w:val="19"/>
                <w:szCs w:val="19"/>
                <w:color w:val="231F20"/>
              </w:rPr>
              <w:t>47,401</w:t>
            </w:r>
          </w:p>
        </w:tc>
        <w:tc>
          <w:tcPr>
            <w:tcW w:w="180" w:type="dxa"/>
            <w:vAlign w:val="bottom"/>
            <w:shd w:val="clear" w:color="auto" w:fill="D0EBF2"/>
          </w:tcPr>
          <w:p>
            <w:pPr>
              <w:spacing w:after="0"/>
              <w:rPr>
                <w:sz w:val="18"/>
                <w:szCs w:val="18"/>
                <w:color w:val="auto"/>
              </w:rPr>
            </w:pPr>
          </w:p>
        </w:tc>
        <w:tc>
          <w:tcPr>
            <w:tcW w:w="360" w:type="dxa"/>
            <w:vAlign w:val="bottom"/>
            <w:gridSpan w:val="2"/>
            <w:shd w:val="clear" w:color="auto" w:fill="D0EBF2"/>
          </w:tcPr>
          <w:p>
            <w:pPr>
              <w:jc w:val="right"/>
              <w:ind w:right="66"/>
              <w:spacing w:after="0" w:line="217" w:lineRule="exact"/>
              <w:rPr>
                <w:sz w:val="20"/>
                <w:szCs w:val="20"/>
                <w:color w:val="auto"/>
              </w:rPr>
            </w:pPr>
            <w:r>
              <w:rPr>
                <w:rFonts w:ascii="Times New Roman" w:cs="Times New Roman" w:eastAsia="Times New Roman" w:hAnsi="Times New Roman"/>
                <w:sz w:val="19"/>
                <w:szCs w:val="19"/>
                <w:color w:val="231F20"/>
              </w:rPr>
              <w:t>$</w:t>
            </w:r>
          </w:p>
        </w:tc>
        <w:tc>
          <w:tcPr>
            <w:tcW w:w="840" w:type="dxa"/>
            <w:vAlign w:val="bottom"/>
            <w:shd w:val="clear" w:color="auto" w:fill="D0EBF2"/>
          </w:tcPr>
          <w:p>
            <w:pPr>
              <w:jc w:val="right"/>
              <w:spacing w:after="0" w:line="217" w:lineRule="exact"/>
              <w:rPr>
                <w:sz w:val="20"/>
                <w:szCs w:val="20"/>
                <w:color w:val="auto"/>
              </w:rPr>
            </w:pPr>
            <w:r>
              <w:rPr>
                <w:rFonts w:ascii="Times New Roman" w:cs="Times New Roman" w:eastAsia="Times New Roman" w:hAnsi="Times New Roman"/>
                <w:sz w:val="19"/>
                <w:szCs w:val="19"/>
                <w:color w:val="231F20"/>
              </w:rPr>
              <w:t>47,518</w:t>
            </w:r>
          </w:p>
        </w:tc>
        <w:tc>
          <w:tcPr>
            <w:tcW w:w="140" w:type="dxa"/>
            <w:vAlign w:val="bottom"/>
            <w:shd w:val="clear" w:color="auto" w:fill="D0EBF2"/>
          </w:tcPr>
          <w:p>
            <w:pPr>
              <w:spacing w:after="0"/>
              <w:rPr>
                <w:sz w:val="18"/>
                <w:szCs w:val="18"/>
                <w:color w:val="auto"/>
              </w:rPr>
            </w:pPr>
          </w:p>
        </w:tc>
      </w:tr>
      <w:tr>
        <w:trPr>
          <w:trHeight w:val="217"/>
        </w:trPr>
        <w:tc>
          <w:tcPr>
            <w:tcW w:w="4280" w:type="dxa"/>
            <w:vAlign w:val="bottom"/>
            <w:shd w:val="clear" w:color="auto" w:fill="FDFDFC"/>
          </w:tcPr>
          <w:p>
            <w:pPr>
              <w:spacing w:after="0" w:line="217" w:lineRule="exact"/>
              <w:rPr>
                <w:sz w:val="20"/>
                <w:szCs w:val="20"/>
                <w:color w:val="auto"/>
              </w:rPr>
            </w:pPr>
            <w:r>
              <w:rPr>
                <w:rFonts w:ascii="Times New Roman" w:cs="Times New Roman" w:eastAsia="Times New Roman" w:hAnsi="Times New Roman"/>
                <w:sz w:val="19"/>
                <w:szCs w:val="19"/>
                <w:color w:val="231F20"/>
              </w:rPr>
              <w:t>Net Asset Value per Share as of the End of the Quarter</w:t>
            </w:r>
          </w:p>
        </w:tc>
        <w:tc>
          <w:tcPr>
            <w:tcW w:w="440" w:type="dxa"/>
            <w:vAlign w:val="bottom"/>
            <w:gridSpan w:val="2"/>
            <w:shd w:val="clear" w:color="auto" w:fill="FDFDFC"/>
          </w:tcPr>
          <w:p>
            <w:pPr>
              <w:jc w:val="right"/>
              <w:ind w:right="46"/>
              <w:spacing w:after="0" w:line="217" w:lineRule="exact"/>
              <w:rPr>
                <w:sz w:val="20"/>
                <w:szCs w:val="20"/>
                <w:color w:val="auto"/>
              </w:rPr>
            </w:pPr>
            <w:r>
              <w:rPr>
                <w:rFonts w:ascii="Times New Roman" w:cs="Times New Roman" w:eastAsia="Times New Roman" w:hAnsi="Times New Roman"/>
                <w:sz w:val="19"/>
                <w:szCs w:val="19"/>
                <w:color w:val="231F20"/>
              </w:rPr>
              <w:t>$</w:t>
            </w:r>
          </w:p>
        </w:tc>
        <w:tc>
          <w:tcPr>
            <w:tcW w:w="760" w:type="dxa"/>
            <w:vAlign w:val="bottom"/>
            <w:shd w:val="clear" w:color="auto" w:fill="FDFDFC"/>
          </w:tcPr>
          <w:p>
            <w:pPr>
              <w:jc w:val="right"/>
              <w:spacing w:after="0" w:line="217" w:lineRule="exact"/>
              <w:rPr>
                <w:sz w:val="20"/>
                <w:szCs w:val="20"/>
                <w:color w:val="auto"/>
              </w:rPr>
            </w:pPr>
            <w:r>
              <w:rPr>
                <w:rFonts w:ascii="Times New Roman" w:cs="Times New Roman" w:eastAsia="Times New Roman" w:hAnsi="Times New Roman"/>
                <w:sz w:val="19"/>
                <w:szCs w:val="19"/>
                <w:color w:val="231F20"/>
              </w:rPr>
              <w:t>17.16</w:t>
            </w:r>
          </w:p>
        </w:tc>
        <w:tc>
          <w:tcPr>
            <w:tcW w:w="160" w:type="dxa"/>
            <w:vAlign w:val="bottom"/>
            <w:shd w:val="clear" w:color="auto" w:fill="FDFDFC"/>
          </w:tcPr>
          <w:p>
            <w:pPr>
              <w:spacing w:after="0"/>
              <w:rPr>
                <w:sz w:val="18"/>
                <w:szCs w:val="18"/>
                <w:color w:val="auto"/>
              </w:rPr>
            </w:pPr>
          </w:p>
        </w:tc>
        <w:tc>
          <w:tcPr>
            <w:tcW w:w="260" w:type="dxa"/>
            <w:vAlign w:val="bottom"/>
            <w:gridSpan w:val="2"/>
            <w:shd w:val="clear" w:color="auto" w:fill="FDFDFC"/>
          </w:tcPr>
          <w:p>
            <w:pPr>
              <w:jc w:val="right"/>
              <w:spacing w:after="0" w:line="217" w:lineRule="exact"/>
              <w:rPr>
                <w:sz w:val="20"/>
                <w:szCs w:val="20"/>
                <w:color w:val="auto"/>
              </w:rPr>
            </w:pPr>
            <w:r>
              <w:rPr>
                <w:rFonts w:ascii="Times New Roman" w:cs="Times New Roman" w:eastAsia="Times New Roman" w:hAnsi="Times New Roman"/>
                <w:sz w:val="19"/>
                <w:szCs w:val="19"/>
                <w:color w:val="231F20"/>
              </w:rPr>
              <w:t>$</w:t>
            </w:r>
          </w:p>
        </w:tc>
        <w:tc>
          <w:tcPr>
            <w:tcW w:w="680" w:type="dxa"/>
            <w:vAlign w:val="bottom"/>
            <w:shd w:val="clear" w:color="auto" w:fill="FDFDFC"/>
          </w:tcPr>
          <w:p>
            <w:pPr>
              <w:jc w:val="right"/>
              <w:spacing w:after="0" w:line="217" w:lineRule="exact"/>
              <w:rPr>
                <w:sz w:val="20"/>
                <w:szCs w:val="20"/>
                <w:color w:val="auto"/>
              </w:rPr>
            </w:pPr>
            <w:r>
              <w:rPr>
                <w:rFonts w:ascii="Times New Roman" w:cs="Times New Roman" w:eastAsia="Times New Roman" w:hAnsi="Times New Roman"/>
                <w:sz w:val="19"/>
                <w:szCs w:val="19"/>
                <w:color w:val="231F20"/>
              </w:rPr>
              <w:t>17.12</w:t>
            </w:r>
          </w:p>
        </w:tc>
        <w:tc>
          <w:tcPr>
            <w:tcW w:w="80" w:type="dxa"/>
            <w:vAlign w:val="bottom"/>
            <w:shd w:val="clear" w:color="auto" w:fill="FDFDFC"/>
          </w:tcPr>
          <w:p>
            <w:pPr>
              <w:spacing w:after="0"/>
              <w:rPr>
                <w:sz w:val="18"/>
                <w:szCs w:val="18"/>
                <w:color w:val="auto"/>
              </w:rPr>
            </w:pPr>
          </w:p>
        </w:tc>
        <w:tc>
          <w:tcPr>
            <w:tcW w:w="380" w:type="dxa"/>
            <w:vAlign w:val="bottom"/>
            <w:gridSpan w:val="2"/>
            <w:shd w:val="clear" w:color="auto" w:fill="FDFDFC"/>
          </w:tcPr>
          <w:p>
            <w:pPr>
              <w:jc w:val="right"/>
              <w:ind w:right="6"/>
              <w:spacing w:after="0" w:line="217" w:lineRule="exact"/>
              <w:rPr>
                <w:sz w:val="20"/>
                <w:szCs w:val="20"/>
                <w:color w:val="auto"/>
              </w:rPr>
            </w:pPr>
            <w:r>
              <w:rPr>
                <w:rFonts w:ascii="Times New Roman" w:cs="Times New Roman" w:eastAsia="Times New Roman" w:hAnsi="Times New Roman"/>
                <w:sz w:val="19"/>
                <w:szCs w:val="19"/>
                <w:color w:val="231F20"/>
              </w:rPr>
              <w:t>$</w:t>
            </w:r>
          </w:p>
        </w:tc>
        <w:tc>
          <w:tcPr>
            <w:tcW w:w="720" w:type="dxa"/>
            <w:vAlign w:val="bottom"/>
            <w:shd w:val="clear" w:color="auto" w:fill="FDFDFC"/>
          </w:tcPr>
          <w:p>
            <w:pPr>
              <w:jc w:val="right"/>
              <w:spacing w:after="0" w:line="217" w:lineRule="exact"/>
              <w:rPr>
                <w:sz w:val="20"/>
                <w:szCs w:val="20"/>
                <w:color w:val="auto"/>
              </w:rPr>
            </w:pPr>
            <w:r>
              <w:rPr>
                <w:rFonts w:ascii="Times New Roman" w:cs="Times New Roman" w:eastAsia="Times New Roman" w:hAnsi="Times New Roman"/>
                <w:sz w:val="19"/>
                <w:szCs w:val="19"/>
                <w:color w:val="231F20"/>
              </w:rPr>
              <w:t>17.19</w:t>
            </w:r>
          </w:p>
        </w:tc>
        <w:tc>
          <w:tcPr>
            <w:tcW w:w="180" w:type="dxa"/>
            <w:vAlign w:val="bottom"/>
            <w:shd w:val="clear" w:color="auto" w:fill="FDFDFC"/>
          </w:tcPr>
          <w:p>
            <w:pPr>
              <w:spacing w:after="0"/>
              <w:rPr>
                <w:sz w:val="18"/>
                <w:szCs w:val="18"/>
                <w:color w:val="auto"/>
              </w:rPr>
            </w:pPr>
          </w:p>
        </w:tc>
        <w:tc>
          <w:tcPr>
            <w:tcW w:w="360" w:type="dxa"/>
            <w:vAlign w:val="bottom"/>
            <w:gridSpan w:val="2"/>
            <w:shd w:val="clear" w:color="auto" w:fill="FDFDFC"/>
          </w:tcPr>
          <w:p>
            <w:pPr>
              <w:jc w:val="right"/>
              <w:ind w:right="66"/>
              <w:spacing w:after="0" w:line="217" w:lineRule="exact"/>
              <w:rPr>
                <w:sz w:val="20"/>
                <w:szCs w:val="20"/>
                <w:color w:val="auto"/>
              </w:rPr>
            </w:pPr>
            <w:r>
              <w:rPr>
                <w:rFonts w:ascii="Times New Roman" w:cs="Times New Roman" w:eastAsia="Times New Roman" w:hAnsi="Times New Roman"/>
                <w:sz w:val="19"/>
                <w:szCs w:val="19"/>
                <w:color w:val="231F20"/>
              </w:rPr>
              <w:t>$</w:t>
            </w:r>
          </w:p>
        </w:tc>
        <w:tc>
          <w:tcPr>
            <w:tcW w:w="840" w:type="dxa"/>
            <w:vAlign w:val="bottom"/>
            <w:shd w:val="clear" w:color="auto" w:fill="FDFDFC"/>
          </w:tcPr>
          <w:p>
            <w:pPr>
              <w:jc w:val="right"/>
              <w:spacing w:after="0" w:line="217" w:lineRule="exact"/>
              <w:rPr>
                <w:sz w:val="20"/>
                <w:szCs w:val="20"/>
                <w:color w:val="auto"/>
              </w:rPr>
            </w:pPr>
            <w:r>
              <w:rPr>
                <w:rFonts w:ascii="Times New Roman" w:cs="Times New Roman" w:eastAsia="Times New Roman" w:hAnsi="Times New Roman"/>
                <w:sz w:val="19"/>
                <w:szCs w:val="19"/>
                <w:color w:val="231F20"/>
              </w:rPr>
              <w:t>17.17</w:t>
            </w:r>
          </w:p>
        </w:tc>
        <w:tc>
          <w:tcPr>
            <w:tcW w:w="140" w:type="dxa"/>
            <w:vAlign w:val="bottom"/>
            <w:shd w:val="clear" w:color="auto" w:fill="FDFDFC"/>
          </w:tcPr>
          <w:p>
            <w:pPr>
              <w:spacing w:after="0"/>
              <w:rPr>
                <w:sz w:val="18"/>
                <w:szCs w:val="18"/>
                <w:color w:val="auto"/>
              </w:rPr>
            </w:pPr>
          </w:p>
        </w:tc>
      </w:tr>
    </w:tbl>
    <w:p>
      <w:pPr>
        <w:spacing w:after="0" w:line="200" w:lineRule="exact"/>
        <w:rPr>
          <w:sz w:val="20"/>
          <w:szCs w:val="20"/>
          <w:color w:val="auto"/>
        </w:rPr>
      </w:pPr>
    </w:p>
    <w:p>
      <w:pPr>
        <w:sectPr>
          <w:pgSz w:w="12240" w:h="15840" w:orient="portrait"/>
          <w:cols w:equalWidth="0" w:num="1">
            <w:col w:w="10200"/>
          </w:cols>
          <w:pgMar w:left="1020" w:top="1315" w:right="1020" w:bottom="574" w:gutter="0" w:footer="0" w:header="0"/>
        </w:sectPr>
      </w:pPr>
    </w:p>
    <w:p>
      <w:pPr>
        <w:spacing w:after="0" w:line="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231F20"/>
        </w:rPr>
        <w:t>F-54</w:t>
      </w:r>
    </w:p>
    <w:p>
      <w:pPr>
        <w:sectPr>
          <w:pgSz w:w="12240" w:h="15840" w:orient="portrait"/>
          <w:cols w:equalWidth="0" w:num="1">
            <w:col w:w="10200"/>
          </w:cols>
          <w:pgMar w:left="1020" w:top="1315" w:right="1020" w:bottom="574" w:gutter="0" w:footer="0" w:header="0"/>
          <w:type w:val="continuous"/>
        </w:sectPr>
      </w:pPr>
    </w:p>
    <w:bookmarkStart w:id="142" w:name="page143"/>
    <w:bookmarkEnd w:id="142"/>
    <w:p>
      <w:pPr>
        <w:spacing w:after="0" w:line="158" w:lineRule="exact"/>
        <w:rPr>
          <w:sz w:val="20"/>
          <w:szCs w:val="20"/>
          <w:color w:val="auto"/>
        </w:rPr>
      </w:pPr>
    </w:p>
    <w:tbl>
      <w:tblPr>
        <w:tblLayout w:type="fixed"/>
        <w:tblInd w:w="460" w:type="dxa"/>
        <w:tblCellMar>
          <w:top w:w="0" w:type="dxa"/>
          <w:left w:w="0" w:type="dxa"/>
          <w:bottom w:w="0" w:type="dxa"/>
          <w:right w:w="0" w:type="dxa"/>
        </w:tblCellMar>
      </w:tblPr>
      <w:tr>
        <w:trPr>
          <w:trHeight w:val="217"/>
        </w:trPr>
        <w:tc>
          <w:tcPr>
            <w:tcW w:w="4280" w:type="dxa"/>
            <w:vAlign w:val="bottom"/>
            <w:tcBorders>
              <w:bottom w:val="single" w:sz="8" w:color="FDFDFC"/>
            </w:tcBorders>
            <w:shd w:val="clear" w:color="auto" w:fill="FDFDFC"/>
          </w:tcPr>
          <w:p>
            <w:pPr>
              <w:spacing w:after="0"/>
              <w:rPr>
                <w:sz w:val="18"/>
                <w:szCs w:val="18"/>
                <w:color w:val="auto"/>
              </w:rPr>
            </w:pPr>
          </w:p>
        </w:tc>
        <w:tc>
          <w:tcPr>
            <w:tcW w:w="200" w:type="dxa"/>
            <w:vAlign w:val="bottom"/>
            <w:tcBorders>
              <w:bottom w:val="single" w:sz="8" w:color="FDFDFC"/>
            </w:tcBorders>
            <w:shd w:val="clear" w:color="auto" w:fill="FDFDFC"/>
          </w:tcPr>
          <w:p>
            <w:pPr>
              <w:spacing w:after="0"/>
              <w:rPr>
                <w:sz w:val="18"/>
                <w:szCs w:val="18"/>
                <w:color w:val="auto"/>
              </w:rPr>
            </w:pPr>
          </w:p>
        </w:tc>
        <w:tc>
          <w:tcPr>
            <w:tcW w:w="260" w:type="dxa"/>
            <w:vAlign w:val="bottom"/>
            <w:tcBorders>
              <w:bottom w:val="single" w:sz="8" w:color="231F20"/>
            </w:tcBorders>
            <w:shd w:val="clear" w:color="auto" w:fill="FDFDFC"/>
          </w:tcPr>
          <w:p>
            <w:pPr>
              <w:spacing w:after="0"/>
              <w:rPr>
                <w:sz w:val="18"/>
                <w:szCs w:val="18"/>
                <w:color w:val="auto"/>
              </w:rPr>
            </w:pPr>
          </w:p>
        </w:tc>
        <w:tc>
          <w:tcPr>
            <w:tcW w:w="800" w:type="dxa"/>
            <w:vAlign w:val="bottom"/>
            <w:tcBorders>
              <w:bottom w:val="single" w:sz="8" w:color="231F20"/>
            </w:tcBorders>
            <w:shd w:val="clear" w:color="auto" w:fill="FDFDFC"/>
          </w:tcPr>
          <w:p>
            <w:pPr>
              <w:spacing w:after="0"/>
              <w:rPr>
                <w:sz w:val="18"/>
                <w:szCs w:val="18"/>
                <w:color w:val="auto"/>
              </w:rPr>
            </w:pPr>
          </w:p>
        </w:tc>
        <w:tc>
          <w:tcPr>
            <w:tcW w:w="180" w:type="dxa"/>
            <w:vAlign w:val="bottom"/>
            <w:tcBorders>
              <w:bottom w:val="single" w:sz="8" w:color="231F20"/>
            </w:tcBorders>
            <w:shd w:val="clear" w:color="auto" w:fill="FDFDFC"/>
          </w:tcPr>
          <w:p>
            <w:pPr>
              <w:spacing w:after="0"/>
              <w:rPr>
                <w:sz w:val="18"/>
                <w:szCs w:val="18"/>
                <w:color w:val="auto"/>
              </w:rPr>
            </w:pPr>
          </w:p>
        </w:tc>
        <w:tc>
          <w:tcPr>
            <w:tcW w:w="20" w:type="dxa"/>
            <w:vAlign w:val="bottom"/>
            <w:tcBorders>
              <w:bottom w:val="single" w:sz="8" w:color="231F20"/>
            </w:tcBorders>
            <w:shd w:val="clear" w:color="auto" w:fill="FDFDFC"/>
          </w:tcPr>
          <w:p>
            <w:pPr>
              <w:spacing w:after="0"/>
              <w:rPr>
                <w:sz w:val="18"/>
                <w:szCs w:val="18"/>
                <w:color w:val="auto"/>
              </w:rPr>
            </w:pPr>
          </w:p>
        </w:tc>
        <w:tc>
          <w:tcPr>
            <w:tcW w:w="120" w:type="dxa"/>
            <w:vAlign w:val="bottom"/>
            <w:tcBorders>
              <w:bottom w:val="single" w:sz="8" w:color="231F20"/>
            </w:tcBorders>
            <w:shd w:val="clear" w:color="auto" w:fill="FDFDFC"/>
          </w:tcPr>
          <w:p>
            <w:pPr>
              <w:spacing w:after="0"/>
              <w:rPr>
                <w:sz w:val="18"/>
                <w:szCs w:val="18"/>
                <w:color w:val="auto"/>
              </w:rPr>
            </w:pPr>
          </w:p>
        </w:tc>
        <w:tc>
          <w:tcPr>
            <w:tcW w:w="100" w:type="dxa"/>
            <w:vAlign w:val="bottom"/>
            <w:tcBorders>
              <w:bottom w:val="single" w:sz="8" w:color="231F20"/>
            </w:tcBorders>
            <w:shd w:val="clear" w:color="auto" w:fill="FDFDFC"/>
          </w:tcPr>
          <w:p>
            <w:pPr>
              <w:spacing w:after="0"/>
              <w:rPr>
                <w:sz w:val="18"/>
                <w:szCs w:val="18"/>
                <w:color w:val="auto"/>
              </w:rPr>
            </w:pPr>
          </w:p>
        </w:tc>
        <w:tc>
          <w:tcPr>
            <w:tcW w:w="140" w:type="dxa"/>
            <w:vAlign w:val="bottom"/>
            <w:tcBorders>
              <w:bottom w:val="single" w:sz="8" w:color="231F20"/>
            </w:tcBorders>
            <w:shd w:val="clear" w:color="auto" w:fill="FDFDFC"/>
          </w:tcPr>
          <w:p>
            <w:pPr>
              <w:spacing w:after="0"/>
              <w:rPr>
                <w:sz w:val="18"/>
                <w:szCs w:val="18"/>
                <w:color w:val="auto"/>
              </w:rPr>
            </w:pPr>
          </w:p>
        </w:tc>
        <w:tc>
          <w:tcPr>
            <w:tcW w:w="1040" w:type="dxa"/>
            <w:vAlign w:val="bottom"/>
            <w:tcBorders>
              <w:bottom w:val="single" w:sz="8" w:color="231F20"/>
            </w:tcBorders>
            <w:gridSpan w:val="4"/>
            <w:shd w:val="clear" w:color="auto" w:fill="FDFDFC"/>
          </w:tcPr>
          <w:p>
            <w:pPr>
              <w:jc w:val="right"/>
              <w:ind w:right="66"/>
              <w:spacing w:after="0"/>
              <w:rPr>
                <w:sz w:val="20"/>
                <w:szCs w:val="20"/>
                <w:color w:val="auto"/>
              </w:rPr>
            </w:pPr>
            <w:r>
              <w:rPr>
                <w:rFonts w:ascii="Times New Roman" w:cs="Times New Roman" w:eastAsia="Times New Roman" w:hAnsi="Times New Roman"/>
                <w:sz w:val="15"/>
                <w:szCs w:val="15"/>
                <w:b w:val="1"/>
                <w:bCs w:val="1"/>
                <w:color w:val="231F20"/>
              </w:rPr>
              <w:t>2023</w:t>
            </w:r>
          </w:p>
        </w:tc>
        <w:tc>
          <w:tcPr>
            <w:tcW w:w="120" w:type="dxa"/>
            <w:vAlign w:val="bottom"/>
            <w:tcBorders>
              <w:bottom w:val="single" w:sz="8" w:color="231F20"/>
            </w:tcBorders>
            <w:shd w:val="clear" w:color="auto" w:fill="FDFDFC"/>
          </w:tcPr>
          <w:p>
            <w:pPr>
              <w:spacing w:after="0"/>
              <w:rPr>
                <w:sz w:val="18"/>
                <w:szCs w:val="18"/>
                <w:color w:val="auto"/>
              </w:rPr>
            </w:pPr>
          </w:p>
        </w:tc>
        <w:tc>
          <w:tcPr>
            <w:tcW w:w="660" w:type="dxa"/>
            <w:vAlign w:val="bottom"/>
            <w:tcBorders>
              <w:bottom w:val="single" w:sz="8" w:color="231F20"/>
            </w:tcBorders>
            <w:shd w:val="clear" w:color="auto" w:fill="FDFDFC"/>
          </w:tcPr>
          <w:p>
            <w:pPr>
              <w:spacing w:after="0"/>
              <w:rPr>
                <w:sz w:val="18"/>
                <w:szCs w:val="18"/>
                <w:color w:val="auto"/>
              </w:rPr>
            </w:pPr>
          </w:p>
        </w:tc>
        <w:tc>
          <w:tcPr>
            <w:tcW w:w="60" w:type="dxa"/>
            <w:vAlign w:val="bottom"/>
            <w:tcBorders>
              <w:bottom w:val="single" w:sz="8" w:color="231F20"/>
            </w:tcBorders>
            <w:shd w:val="clear" w:color="auto" w:fill="FDFDFC"/>
          </w:tcPr>
          <w:p>
            <w:pPr>
              <w:spacing w:after="0"/>
              <w:rPr>
                <w:sz w:val="18"/>
                <w:szCs w:val="18"/>
                <w:color w:val="auto"/>
              </w:rPr>
            </w:pPr>
          </w:p>
        </w:tc>
        <w:tc>
          <w:tcPr>
            <w:tcW w:w="160" w:type="dxa"/>
            <w:vAlign w:val="bottom"/>
            <w:tcBorders>
              <w:bottom w:val="single" w:sz="8" w:color="231F20"/>
            </w:tcBorders>
            <w:shd w:val="clear" w:color="auto" w:fill="FDFDFC"/>
          </w:tcPr>
          <w:p>
            <w:pPr>
              <w:spacing w:after="0"/>
              <w:rPr>
                <w:sz w:val="18"/>
                <w:szCs w:val="18"/>
                <w:color w:val="auto"/>
              </w:rPr>
            </w:pPr>
          </w:p>
        </w:tc>
        <w:tc>
          <w:tcPr>
            <w:tcW w:w="80" w:type="dxa"/>
            <w:vAlign w:val="bottom"/>
            <w:tcBorders>
              <w:bottom w:val="single" w:sz="8" w:color="231F20"/>
            </w:tcBorders>
            <w:shd w:val="clear" w:color="auto" w:fill="FDFDFC"/>
          </w:tcPr>
          <w:p>
            <w:pPr>
              <w:spacing w:after="0"/>
              <w:rPr>
                <w:sz w:val="18"/>
                <w:szCs w:val="18"/>
                <w:color w:val="auto"/>
              </w:rPr>
            </w:pPr>
          </w:p>
        </w:tc>
        <w:tc>
          <w:tcPr>
            <w:tcW w:w="220" w:type="dxa"/>
            <w:vAlign w:val="bottom"/>
            <w:tcBorders>
              <w:bottom w:val="single" w:sz="8" w:color="231F20"/>
            </w:tcBorders>
            <w:shd w:val="clear" w:color="auto" w:fill="FDFDFC"/>
          </w:tcPr>
          <w:p>
            <w:pPr>
              <w:spacing w:after="0"/>
              <w:rPr>
                <w:sz w:val="18"/>
                <w:szCs w:val="18"/>
                <w:color w:val="auto"/>
              </w:rPr>
            </w:pPr>
          </w:p>
        </w:tc>
        <w:tc>
          <w:tcPr>
            <w:tcW w:w="740" w:type="dxa"/>
            <w:vAlign w:val="bottom"/>
            <w:tcBorders>
              <w:bottom w:val="single" w:sz="8" w:color="231F20"/>
            </w:tcBorders>
            <w:shd w:val="clear" w:color="auto" w:fill="FDFDFC"/>
          </w:tcPr>
          <w:p>
            <w:pPr>
              <w:spacing w:after="0"/>
              <w:rPr>
                <w:sz w:val="18"/>
                <w:szCs w:val="18"/>
                <w:color w:val="auto"/>
              </w:rPr>
            </w:pPr>
          </w:p>
        </w:tc>
        <w:tc>
          <w:tcPr>
            <w:tcW w:w="20" w:type="dxa"/>
            <w:vAlign w:val="bottom"/>
            <w:tcBorders>
              <w:bottom w:val="single" w:sz="8" w:color="231F20"/>
            </w:tcBorders>
            <w:shd w:val="clear" w:color="auto" w:fill="FDFDFC"/>
          </w:tcPr>
          <w:p>
            <w:pPr>
              <w:spacing w:after="0"/>
              <w:rPr>
                <w:sz w:val="18"/>
                <w:szCs w:val="18"/>
                <w:color w:val="auto"/>
              </w:rPr>
            </w:pPr>
          </w:p>
        </w:tc>
        <w:tc>
          <w:tcPr>
            <w:tcW w:w="80" w:type="dxa"/>
            <w:vAlign w:val="bottom"/>
            <w:tcBorders>
              <w:bottom w:val="single" w:sz="8" w:color="FDFDFC"/>
            </w:tcBorders>
            <w:shd w:val="clear" w:color="auto" w:fill="FDFDFC"/>
          </w:tcPr>
          <w:p>
            <w:pPr>
              <w:spacing w:after="0"/>
              <w:rPr>
                <w:sz w:val="18"/>
                <w:szCs w:val="18"/>
                <w:color w:val="auto"/>
              </w:rPr>
            </w:pPr>
          </w:p>
        </w:tc>
      </w:tr>
      <w:tr>
        <w:trPr>
          <w:trHeight w:val="163"/>
        </w:trPr>
        <w:tc>
          <w:tcPr>
            <w:tcW w:w="4280" w:type="dxa"/>
            <w:vAlign w:val="bottom"/>
            <w:tcBorders>
              <w:bottom w:val="single" w:sz="8" w:color="D0EBF2"/>
            </w:tcBorders>
            <w:shd w:val="clear" w:color="auto" w:fill="FDFDFC"/>
          </w:tcPr>
          <w:p>
            <w:pPr>
              <w:spacing w:after="0"/>
              <w:rPr>
                <w:sz w:val="14"/>
                <w:szCs w:val="14"/>
                <w:color w:val="auto"/>
              </w:rPr>
            </w:pPr>
          </w:p>
        </w:tc>
        <w:tc>
          <w:tcPr>
            <w:tcW w:w="200" w:type="dxa"/>
            <w:vAlign w:val="bottom"/>
            <w:tcBorders>
              <w:bottom w:val="single" w:sz="8" w:color="D0EBF2"/>
            </w:tcBorders>
            <w:shd w:val="clear" w:color="auto" w:fill="FDFDFC"/>
          </w:tcPr>
          <w:p>
            <w:pPr>
              <w:spacing w:after="0"/>
              <w:rPr>
                <w:sz w:val="14"/>
                <w:szCs w:val="14"/>
                <w:color w:val="auto"/>
              </w:rPr>
            </w:pPr>
          </w:p>
        </w:tc>
        <w:tc>
          <w:tcPr>
            <w:tcW w:w="260" w:type="dxa"/>
            <w:vAlign w:val="bottom"/>
            <w:tcBorders>
              <w:bottom w:val="single" w:sz="8" w:color="231F20"/>
            </w:tcBorders>
            <w:shd w:val="clear" w:color="auto" w:fill="FDFDFC"/>
          </w:tcPr>
          <w:p>
            <w:pPr>
              <w:spacing w:after="0"/>
              <w:rPr>
                <w:sz w:val="14"/>
                <w:szCs w:val="14"/>
                <w:color w:val="auto"/>
              </w:rPr>
            </w:pPr>
          </w:p>
        </w:tc>
        <w:tc>
          <w:tcPr>
            <w:tcW w:w="800" w:type="dxa"/>
            <w:vAlign w:val="bottom"/>
            <w:tcBorders>
              <w:bottom w:val="single" w:sz="8" w:color="231F20"/>
            </w:tcBorders>
            <w:shd w:val="clear" w:color="auto" w:fill="FDFDFC"/>
          </w:tcPr>
          <w:p>
            <w:pPr>
              <w:jc w:val="right"/>
              <w:ind w:right="348"/>
              <w:spacing w:after="0" w:line="164" w:lineRule="exact"/>
              <w:rPr>
                <w:sz w:val="20"/>
                <w:szCs w:val="20"/>
                <w:color w:val="auto"/>
              </w:rPr>
            </w:pPr>
            <w:r>
              <w:rPr>
                <w:rFonts w:ascii="Times New Roman" w:cs="Times New Roman" w:eastAsia="Times New Roman" w:hAnsi="Times New Roman"/>
                <w:sz w:val="15"/>
                <w:szCs w:val="15"/>
                <w:b w:val="1"/>
                <w:bCs w:val="1"/>
                <w:color w:val="231F20"/>
              </w:rPr>
              <w:t>Q4</w:t>
            </w:r>
          </w:p>
        </w:tc>
        <w:tc>
          <w:tcPr>
            <w:tcW w:w="180" w:type="dxa"/>
            <w:vAlign w:val="bottom"/>
            <w:tcBorders>
              <w:bottom w:val="single" w:sz="8" w:color="D0EBF2"/>
            </w:tcBorders>
            <w:shd w:val="clear" w:color="auto" w:fill="FDFDFC"/>
          </w:tcPr>
          <w:p>
            <w:pPr>
              <w:spacing w:after="0"/>
              <w:rPr>
                <w:sz w:val="14"/>
                <w:szCs w:val="14"/>
                <w:color w:val="auto"/>
              </w:rPr>
            </w:pPr>
          </w:p>
        </w:tc>
        <w:tc>
          <w:tcPr>
            <w:tcW w:w="20" w:type="dxa"/>
            <w:vAlign w:val="bottom"/>
            <w:tcBorders>
              <w:bottom w:val="single" w:sz="8" w:color="D0EBF2"/>
            </w:tcBorders>
            <w:shd w:val="clear" w:color="auto" w:fill="FDFDFC"/>
          </w:tcPr>
          <w:p>
            <w:pPr>
              <w:spacing w:after="0"/>
              <w:rPr>
                <w:sz w:val="14"/>
                <w:szCs w:val="14"/>
                <w:color w:val="auto"/>
              </w:rPr>
            </w:pPr>
          </w:p>
        </w:tc>
        <w:tc>
          <w:tcPr>
            <w:tcW w:w="120" w:type="dxa"/>
            <w:vAlign w:val="bottom"/>
            <w:tcBorders>
              <w:bottom w:val="single" w:sz="8" w:color="231F20"/>
            </w:tcBorders>
            <w:shd w:val="clear" w:color="auto" w:fill="FDFDFC"/>
          </w:tcPr>
          <w:p>
            <w:pPr>
              <w:spacing w:after="0"/>
              <w:rPr>
                <w:sz w:val="14"/>
                <w:szCs w:val="14"/>
                <w:color w:val="auto"/>
              </w:rPr>
            </w:pPr>
          </w:p>
        </w:tc>
        <w:tc>
          <w:tcPr>
            <w:tcW w:w="100" w:type="dxa"/>
            <w:vAlign w:val="bottom"/>
            <w:tcBorders>
              <w:bottom w:val="single" w:sz="8" w:color="231F20"/>
            </w:tcBorders>
            <w:shd w:val="clear" w:color="auto" w:fill="FDFDFC"/>
          </w:tcPr>
          <w:p>
            <w:pPr>
              <w:spacing w:after="0"/>
              <w:rPr>
                <w:sz w:val="14"/>
                <w:szCs w:val="14"/>
                <w:color w:val="auto"/>
              </w:rPr>
            </w:pPr>
          </w:p>
        </w:tc>
        <w:tc>
          <w:tcPr>
            <w:tcW w:w="140" w:type="dxa"/>
            <w:vAlign w:val="bottom"/>
            <w:tcBorders>
              <w:bottom w:val="single" w:sz="8" w:color="231F20"/>
            </w:tcBorders>
            <w:shd w:val="clear" w:color="auto" w:fill="FDFDFC"/>
          </w:tcPr>
          <w:p>
            <w:pPr>
              <w:spacing w:after="0"/>
              <w:rPr>
                <w:sz w:val="14"/>
                <w:szCs w:val="14"/>
                <w:color w:val="auto"/>
              </w:rPr>
            </w:pPr>
          </w:p>
        </w:tc>
        <w:tc>
          <w:tcPr>
            <w:tcW w:w="660" w:type="dxa"/>
            <w:vAlign w:val="bottom"/>
            <w:tcBorders>
              <w:bottom w:val="single" w:sz="8" w:color="231F20"/>
            </w:tcBorders>
            <w:shd w:val="clear" w:color="auto" w:fill="FDFDFC"/>
          </w:tcPr>
          <w:p>
            <w:pPr>
              <w:jc w:val="right"/>
              <w:ind w:right="330"/>
              <w:spacing w:after="0" w:line="164" w:lineRule="exact"/>
              <w:rPr>
                <w:sz w:val="20"/>
                <w:szCs w:val="20"/>
                <w:color w:val="auto"/>
              </w:rPr>
            </w:pPr>
            <w:r>
              <w:rPr>
                <w:rFonts w:ascii="Times New Roman" w:cs="Times New Roman" w:eastAsia="Times New Roman" w:hAnsi="Times New Roman"/>
                <w:sz w:val="15"/>
                <w:szCs w:val="15"/>
                <w:b w:val="1"/>
                <w:bCs w:val="1"/>
                <w:color w:val="231F20"/>
              </w:rPr>
              <w:t>Q3</w:t>
            </w:r>
          </w:p>
        </w:tc>
        <w:tc>
          <w:tcPr>
            <w:tcW w:w="120" w:type="dxa"/>
            <w:vAlign w:val="bottom"/>
            <w:tcBorders>
              <w:bottom w:val="single" w:sz="8" w:color="D0EBF2"/>
            </w:tcBorders>
            <w:shd w:val="clear" w:color="auto" w:fill="FDFDFC"/>
          </w:tcPr>
          <w:p>
            <w:pPr>
              <w:spacing w:after="0"/>
              <w:rPr>
                <w:sz w:val="14"/>
                <w:szCs w:val="14"/>
                <w:color w:val="auto"/>
              </w:rPr>
            </w:pPr>
          </w:p>
        </w:tc>
        <w:tc>
          <w:tcPr>
            <w:tcW w:w="80" w:type="dxa"/>
            <w:vAlign w:val="bottom"/>
            <w:tcBorders>
              <w:bottom w:val="single" w:sz="8" w:color="D0EBF2"/>
            </w:tcBorders>
            <w:shd w:val="clear" w:color="auto" w:fill="FDFDFC"/>
          </w:tcPr>
          <w:p>
            <w:pPr>
              <w:spacing w:after="0"/>
              <w:rPr>
                <w:sz w:val="14"/>
                <w:szCs w:val="14"/>
                <w:color w:val="auto"/>
              </w:rPr>
            </w:pPr>
          </w:p>
        </w:tc>
        <w:tc>
          <w:tcPr>
            <w:tcW w:w="180" w:type="dxa"/>
            <w:vAlign w:val="bottom"/>
            <w:tcBorders>
              <w:bottom w:val="single" w:sz="8" w:color="231F20"/>
            </w:tcBorders>
            <w:shd w:val="clear" w:color="auto" w:fill="FDFDFC"/>
          </w:tcPr>
          <w:p>
            <w:pPr>
              <w:spacing w:after="0"/>
              <w:rPr>
                <w:sz w:val="14"/>
                <w:szCs w:val="14"/>
                <w:color w:val="auto"/>
              </w:rPr>
            </w:pPr>
          </w:p>
        </w:tc>
        <w:tc>
          <w:tcPr>
            <w:tcW w:w="120" w:type="dxa"/>
            <w:vAlign w:val="bottom"/>
            <w:tcBorders>
              <w:bottom w:val="single" w:sz="8" w:color="231F20"/>
            </w:tcBorders>
            <w:shd w:val="clear" w:color="auto" w:fill="FDFDFC"/>
          </w:tcPr>
          <w:p>
            <w:pPr>
              <w:spacing w:after="0"/>
              <w:rPr>
                <w:sz w:val="14"/>
                <w:szCs w:val="14"/>
                <w:color w:val="auto"/>
              </w:rPr>
            </w:pPr>
          </w:p>
        </w:tc>
        <w:tc>
          <w:tcPr>
            <w:tcW w:w="660" w:type="dxa"/>
            <w:vAlign w:val="bottom"/>
            <w:tcBorders>
              <w:bottom w:val="single" w:sz="8" w:color="231F20"/>
            </w:tcBorders>
            <w:shd w:val="clear" w:color="auto" w:fill="FDFDFC"/>
          </w:tcPr>
          <w:p>
            <w:pPr>
              <w:jc w:val="right"/>
              <w:ind w:right="288"/>
              <w:spacing w:after="0" w:line="164" w:lineRule="exact"/>
              <w:rPr>
                <w:sz w:val="20"/>
                <w:szCs w:val="20"/>
                <w:color w:val="auto"/>
              </w:rPr>
            </w:pPr>
            <w:r>
              <w:rPr>
                <w:rFonts w:ascii="Times New Roman" w:cs="Times New Roman" w:eastAsia="Times New Roman" w:hAnsi="Times New Roman"/>
                <w:sz w:val="15"/>
                <w:szCs w:val="15"/>
                <w:b w:val="1"/>
                <w:bCs w:val="1"/>
                <w:color w:val="231F20"/>
              </w:rPr>
              <w:t>Q2</w:t>
            </w:r>
          </w:p>
        </w:tc>
        <w:tc>
          <w:tcPr>
            <w:tcW w:w="60" w:type="dxa"/>
            <w:vAlign w:val="bottom"/>
            <w:tcBorders>
              <w:bottom w:val="single" w:sz="8" w:color="D0EBF2"/>
            </w:tcBorders>
            <w:shd w:val="clear" w:color="auto" w:fill="FDFDFC"/>
          </w:tcPr>
          <w:p>
            <w:pPr>
              <w:spacing w:after="0"/>
              <w:rPr>
                <w:sz w:val="14"/>
                <w:szCs w:val="14"/>
                <w:color w:val="auto"/>
              </w:rPr>
            </w:pPr>
          </w:p>
        </w:tc>
        <w:tc>
          <w:tcPr>
            <w:tcW w:w="160" w:type="dxa"/>
            <w:vAlign w:val="bottom"/>
            <w:tcBorders>
              <w:bottom w:val="single" w:sz="8" w:color="D0EBF2"/>
            </w:tcBorders>
            <w:shd w:val="clear" w:color="auto" w:fill="FDFDFC"/>
          </w:tcPr>
          <w:p>
            <w:pPr>
              <w:spacing w:after="0"/>
              <w:rPr>
                <w:sz w:val="14"/>
                <w:szCs w:val="14"/>
                <w:color w:val="auto"/>
              </w:rPr>
            </w:pPr>
          </w:p>
        </w:tc>
        <w:tc>
          <w:tcPr>
            <w:tcW w:w="80" w:type="dxa"/>
            <w:vAlign w:val="bottom"/>
            <w:tcBorders>
              <w:bottom w:val="single" w:sz="8" w:color="231F20"/>
            </w:tcBorders>
            <w:shd w:val="clear" w:color="auto" w:fill="FDFDFC"/>
          </w:tcPr>
          <w:p>
            <w:pPr>
              <w:spacing w:after="0"/>
              <w:rPr>
                <w:sz w:val="14"/>
                <w:szCs w:val="14"/>
                <w:color w:val="auto"/>
              </w:rPr>
            </w:pPr>
          </w:p>
        </w:tc>
        <w:tc>
          <w:tcPr>
            <w:tcW w:w="220" w:type="dxa"/>
            <w:vAlign w:val="bottom"/>
            <w:tcBorders>
              <w:bottom w:val="single" w:sz="8" w:color="231F20"/>
            </w:tcBorders>
            <w:shd w:val="clear" w:color="auto" w:fill="FDFDFC"/>
          </w:tcPr>
          <w:p>
            <w:pPr>
              <w:spacing w:after="0"/>
              <w:rPr>
                <w:sz w:val="14"/>
                <w:szCs w:val="14"/>
                <w:color w:val="auto"/>
              </w:rPr>
            </w:pPr>
          </w:p>
        </w:tc>
        <w:tc>
          <w:tcPr>
            <w:tcW w:w="740" w:type="dxa"/>
            <w:vAlign w:val="bottom"/>
            <w:tcBorders>
              <w:bottom w:val="single" w:sz="8" w:color="231F20"/>
            </w:tcBorders>
            <w:shd w:val="clear" w:color="auto" w:fill="FDFDFC"/>
          </w:tcPr>
          <w:p>
            <w:pPr>
              <w:jc w:val="right"/>
              <w:ind w:right="348"/>
              <w:spacing w:after="0" w:line="164" w:lineRule="exact"/>
              <w:rPr>
                <w:sz w:val="20"/>
                <w:szCs w:val="20"/>
                <w:color w:val="auto"/>
              </w:rPr>
            </w:pPr>
            <w:r>
              <w:rPr>
                <w:rFonts w:ascii="Times New Roman" w:cs="Times New Roman" w:eastAsia="Times New Roman" w:hAnsi="Times New Roman"/>
                <w:sz w:val="15"/>
                <w:szCs w:val="15"/>
                <w:b w:val="1"/>
                <w:bCs w:val="1"/>
                <w:color w:val="231F20"/>
              </w:rPr>
              <w:t>Q1</w:t>
            </w:r>
          </w:p>
        </w:tc>
        <w:tc>
          <w:tcPr>
            <w:tcW w:w="20" w:type="dxa"/>
            <w:vAlign w:val="bottom"/>
            <w:tcBorders>
              <w:bottom w:val="single" w:sz="8" w:color="D0EBF2"/>
            </w:tcBorders>
            <w:shd w:val="clear" w:color="auto" w:fill="FDFDFC"/>
          </w:tcPr>
          <w:p>
            <w:pPr>
              <w:spacing w:after="0"/>
              <w:rPr>
                <w:sz w:val="14"/>
                <w:szCs w:val="14"/>
                <w:color w:val="auto"/>
              </w:rPr>
            </w:pPr>
          </w:p>
        </w:tc>
        <w:tc>
          <w:tcPr>
            <w:tcW w:w="80" w:type="dxa"/>
            <w:vAlign w:val="bottom"/>
            <w:tcBorders>
              <w:bottom w:val="single" w:sz="8" w:color="D0EBF2"/>
            </w:tcBorders>
            <w:shd w:val="clear" w:color="auto" w:fill="FDFDFC"/>
          </w:tcPr>
          <w:p>
            <w:pPr>
              <w:spacing w:after="0"/>
              <w:rPr>
                <w:sz w:val="14"/>
                <w:szCs w:val="14"/>
                <w:color w:val="auto"/>
              </w:rPr>
            </w:pPr>
          </w:p>
        </w:tc>
      </w:tr>
      <w:tr>
        <w:trPr>
          <w:trHeight w:val="207"/>
        </w:trPr>
        <w:tc>
          <w:tcPr>
            <w:tcW w:w="4280" w:type="dxa"/>
            <w:vAlign w:val="bottom"/>
            <w:shd w:val="clear" w:color="auto" w:fill="D0EBF2"/>
          </w:tcPr>
          <w:p>
            <w:pPr>
              <w:spacing w:after="0" w:line="206" w:lineRule="exact"/>
              <w:rPr>
                <w:sz w:val="20"/>
                <w:szCs w:val="20"/>
                <w:color w:val="auto"/>
              </w:rPr>
            </w:pPr>
            <w:r>
              <w:rPr>
                <w:rFonts w:ascii="Times New Roman" w:cs="Times New Roman" w:eastAsia="Times New Roman" w:hAnsi="Times New Roman"/>
                <w:sz w:val="19"/>
                <w:szCs w:val="19"/>
                <w:color w:val="231F20"/>
              </w:rPr>
              <w:t>Investment Income</w:t>
            </w:r>
          </w:p>
        </w:tc>
        <w:tc>
          <w:tcPr>
            <w:tcW w:w="200" w:type="dxa"/>
            <w:vAlign w:val="bottom"/>
            <w:shd w:val="clear" w:color="auto" w:fill="D0EBF2"/>
          </w:tcPr>
          <w:p>
            <w:pPr>
              <w:spacing w:after="0"/>
              <w:rPr>
                <w:sz w:val="17"/>
                <w:szCs w:val="17"/>
                <w:color w:val="auto"/>
              </w:rPr>
            </w:pPr>
          </w:p>
        </w:tc>
        <w:tc>
          <w:tcPr>
            <w:tcW w:w="260" w:type="dxa"/>
            <w:vAlign w:val="bottom"/>
            <w:shd w:val="clear" w:color="auto" w:fill="D0EBF2"/>
          </w:tcPr>
          <w:p>
            <w:pPr>
              <w:jc w:val="right"/>
              <w:ind w:right="66"/>
              <w:spacing w:after="0" w:line="206" w:lineRule="exact"/>
              <w:rPr>
                <w:sz w:val="20"/>
                <w:szCs w:val="20"/>
                <w:color w:val="auto"/>
              </w:rPr>
            </w:pPr>
            <w:r>
              <w:rPr>
                <w:rFonts w:ascii="Times New Roman" w:cs="Times New Roman" w:eastAsia="Times New Roman" w:hAnsi="Times New Roman"/>
                <w:sz w:val="19"/>
                <w:szCs w:val="19"/>
                <w:color w:val="231F20"/>
                <w:w w:val="83"/>
                <w:shd w:val="clear" w:color="auto" w:fill="D0EBF2"/>
              </w:rPr>
              <w:t>$</w:t>
            </w:r>
          </w:p>
        </w:tc>
        <w:tc>
          <w:tcPr>
            <w:tcW w:w="800" w:type="dxa"/>
            <w:vAlign w:val="bottom"/>
            <w:shd w:val="clear" w:color="auto" w:fill="D0EBF2"/>
          </w:tcPr>
          <w:p>
            <w:pPr>
              <w:jc w:val="right"/>
              <w:spacing w:after="0" w:line="206" w:lineRule="exact"/>
              <w:rPr>
                <w:sz w:val="20"/>
                <w:szCs w:val="20"/>
                <w:color w:val="auto"/>
              </w:rPr>
            </w:pPr>
            <w:r>
              <w:rPr>
                <w:rFonts w:ascii="Times New Roman" w:cs="Times New Roman" w:eastAsia="Times New Roman" w:hAnsi="Times New Roman"/>
                <w:sz w:val="19"/>
                <w:szCs w:val="19"/>
                <w:color w:val="231F20"/>
                <w:shd w:val="clear" w:color="auto" w:fill="D0EBF2"/>
              </w:rPr>
              <w:t>119,542</w:t>
            </w:r>
          </w:p>
        </w:tc>
        <w:tc>
          <w:tcPr>
            <w:tcW w:w="180" w:type="dxa"/>
            <w:vAlign w:val="bottom"/>
            <w:shd w:val="clear" w:color="auto" w:fill="D0EBF2"/>
          </w:tcPr>
          <w:p>
            <w:pPr>
              <w:spacing w:after="0"/>
              <w:rPr>
                <w:sz w:val="17"/>
                <w:szCs w:val="17"/>
                <w:color w:val="auto"/>
              </w:rPr>
            </w:pPr>
          </w:p>
        </w:tc>
        <w:tc>
          <w:tcPr>
            <w:tcW w:w="20" w:type="dxa"/>
            <w:vAlign w:val="bottom"/>
            <w:shd w:val="clear" w:color="auto" w:fill="D0EBF2"/>
          </w:tcPr>
          <w:p>
            <w:pPr>
              <w:spacing w:after="0"/>
              <w:rPr>
                <w:sz w:val="17"/>
                <w:szCs w:val="17"/>
                <w:color w:val="auto"/>
              </w:rPr>
            </w:pPr>
          </w:p>
        </w:tc>
        <w:tc>
          <w:tcPr>
            <w:tcW w:w="120" w:type="dxa"/>
            <w:vAlign w:val="bottom"/>
            <w:shd w:val="clear" w:color="auto" w:fill="D0EBF2"/>
          </w:tcPr>
          <w:p>
            <w:pPr>
              <w:jc w:val="right"/>
              <w:spacing w:after="0" w:line="206" w:lineRule="exact"/>
              <w:rPr>
                <w:sz w:val="20"/>
                <w:szCs w:val="20"/>
                <w:color w:val="auto"/>
              </w:rPr>
            </w:pPr>
            <w:r>
              <w:rPr>
                <w:rFonts w:ascii="Times New Roman" w:cs="Times New Roman" w:eastAsia="Times New Roman" w:hAnsi="Times New Roman"/>
                <w:sz w:val="19"/>
                <w:szCs w:val="19"/>
                <w:color w:val="231F20"/>
                <w:w w:val="83"/>
                <w:shd w:val="clear" w:color="auto" w:fill="D0EBF2"/>
              </w:rPr>
              <w:t>$</w:t>
            </w:r>
          </w:p>
        </w:tc>
        <w:tc>
          <w:tcPr>
            <w:tcW w:w="100" w:type="dxa"/>
            <w:vAlign w:val="bottom"/>
            <w:shd w:val="clear" w:color="auto" w:fill="D0EBF2"/>
          </w:tcPr>
          <w:p>
            <w:pPr>
              <w:spacing w:after="0"/>
              <w:rPr>
                <w:sz w:val="17"/>
                <w:szCs w:val="17"/>
                <w:color w:val="auto"/>
              </w:rPr>
            </w:pPr>
          </w:p>
        </w:tc>
        <w:tc>
          <w:tcPr>
            <w:tcW w:w="140" w:type="dxa"/>
            <w:vAlign w:val="bottom"/>
            <w:shd w:val="clear" w:color="auto" w:fill="D0EBF2"/>
          </w:tcPr>
          <w:p>
            <w:pPr>
              <w:spacing w:after="0"/>
              <w:rPr>
                <w:sz w:val="17"/>
                <w:szCs w:val="17"/>
                <w:color w:val="auto"/>
              </w:rPr>
            </w:pPr>
          </w:p>
        </w:tc>
        <w:tc>
          <w:tcPr>
            <w:tcW w:w="660" w:type="dxa"/>
            <w:vAlign w:val="bottom"/>
            <w:shd w:val="clear" w:color="auto" w:fill="D0EBF2"/>
          </w:tcPr>
          <w:p>
            <w:pPr>
              <w:jc w:val="right"/>
              <w:spacing w:after="0" w:line="206" w:lineRule="exact"/>
              <w:rPr>
                <w:sz w:val="20"/>
                <w:szCs w:val="20"/>
                <w:color w:val="auto"/>
              </w:rPr>
            </w:pPr>
            <w:r>
              <w:rPr>
                <w:rFonts w:ascii="Times New Roman" w:cs="Times New Roman" w:eastAsia="Times New Roman" w:hAnsi="Times New Roman"/>
                <w:sz w:val="19"/>
                <w:szCs w:val="19"/>
                <w:color w:val="231F20"/>
                <w:shd w:val="clear" w:color="auto" w:fill="D0EBF2"/>
              </w:rPr>
              <w:t>114,435</w:t>
            </w:r>
          </w:p>
        </w:tc>
        <w:tc>
          <w:tcPr>
            <w:tcW w:w="120" w:type="dxa"/>
            <w:vAlign w:val="bottom"/>
            <w:shd w:val="clear" w:color="auto" w:fill="D0EBF2"/>
          </w:tcPr>
          <w:p>
            <w:pPr>
              <w:spacing w:after="0"/>
              <w:rPr>
                <w:sz w:val="17"/>
                <w:szCs w:val="17"/>
                <w:color w:val="auto"/>
              </w:rPr>
            </w:pPr>
          </w:p>
        </w:tc>
        <w:tc>
          <w:tcPr>
            <w:tcW w:w="80" w:type="dxa"/>
            <w:vAlign w:val="bottom"/>
            <w:shd w:val="clear" w:color="auto" w:fill="D0EBF2"/>
          </w:tcPr>
          <w:p>
            <w:pPr>
              <w:spacing w:after="0"/>
              <w:rPr>
                <w:sz w:val="17"/>
                <w:szCs w:val="17"/>
                <w:color w:val="auto"/>
              </w:rPr>
            </w:pPr>
          </w:p>
        </w:tc>
        <w:tc>
          <w:tcPr>
            <w:tcW w:w="180" w:type="dxa"/>
            <w:vAlign w:val="bottom"/>
            <w:shd w:val="clear" w:color="auto" w:fill="D0EBF2"/>
          </w:tcPr>
          <w:p>
            <w:pPr>
              <w:jc w:val="right"/>
              <w:spacing w:after="0" w:line="206" w:lineRule="exact"/>
              <w:rPr>
                <w:sz w:val="20"/>
                <w:szCs w:val="20"/>
                <w:color w:val="auto"/>
              </w:rPr>
            </w:pPr>
            <w:r>
              <w:rPr>
                <w:rFonts w:ascii="Times New Roman" w:cs="Times New Roman" w:eastAsia="Times New Roman" w:hAnsi="Times New Roman"/>
                <w:sz w:val="19"/>
                <w:szCs w:val="19"/>
                <w:color w:val="231F20"/>
                <w:w w:val="83"/>
                <w:shd w:val="clear" w:color="auto" w:fill="D0EBF2"/>
              </w:rPr>
              <w:t>$</w:t>
            </w:r>
          </w:p>
        </w:tc>
        <w:tc>
          <w:tcPr>
            <w:tcW w:w="120" w:type="dxa"/>
            <w:vAlign w:val="bottom"/>
            <w:shd w:val="clear" w:color="auto" w:fill="D0EBF2"/>
          </w:tcPr>
          <w:p>
            <w:pPr>
              <w:spacing w:after="0"/>
              <w:rPr>
                <w:sz w:val="17"/>
                <w:szCs w:val="17"/>
                <w:color w:val="auto"/>
              </w:rPr>
            </w:pPr>
          </w:p>
        </w:tc>
        <w:tc>
          <w:tcPr>
            <w:tcW w:w="660" w:type="dxa"/>
            <w:vAlign w:val="bottom"/>
            <w:shd w:val="clear" w:color="auto" w:fill="D0EBF2"/>
          </w:tcPr>
          <w:p>
            <w:pPr>
              <w:jc w:val="right"/>
              <w:spacing w:after="0" w:line="206" w:lineRule="exact"/>
              <w:rPr>
                <w:sz w:val="20"/>
                <w:szCs w:val="20"/>
                <w:color w:val="auto"/>
              </w:rPr>
            </w:pPr>
            <w:r>
              <w:rPr>
                <w:rFonts w:ascii="Times New Roman" w:cs="Times New Roman" w:eastAsia="Times New Roman" w:hAnsi="Times New Roman"/>
                <w:sz w:val="19"/>
                <w:szCs w:val="19"/>
                <w:color w:val="231F20"/>
                <w:shd w:val="clear" w:color="auto" w:fill="D0EBF2"/>
              </w:rPr>
              <w:t>107,605</w:t>
            </w:r>
          </w:p>
        </w:tc>
        <w:tc>
          <w:tcPr>
            <w:tcW w:w="60" w:type="dxa"/>
            <w:vAlign w:val="bottom"/>
            <w:shd w:val="clear" w:color="auto" w:fill="D0EBF2"/>
          </w:tcPr>
          <w:p>
            <w:pPr>
              <w:spacing w:after="0"/>
              <w:rPr>
                <w:sz w:val="17"/>
                <w:szCs w:val="17"/>
                <w:color w:val="auto"/>
              </w:rPr>
            </w:pPr>
          </w:p>
        </w:tc>
        <w:tc>
          <w:tcPr>
            <w:tcW w:w="160" w:type="dxa"/>
            <w:vAlign w:val="bottom"/>
            <w:shd w:val="clear" w:color="auto" w:fill="D0EBF2"/>
          </w:tcPr>
          <w:p>
            <w:pPr>
              <w:spacing w:after="0"/>
              <w:rPr>
                <w:sz w:val="17"/>
                <w:szCs w:val="17"/>
                <w:color w:val="auto"/>
              </w:rPr>
            </w:pPr>
          </w:p>
        </w:tc>
        <w:tc>
          <w:tcPr>
            <w:tcW w:w="80" w:type="dxa"/>
            <w:vAlign w:val="bottom"/>
            <w:shd w:val="clear" w:color="auto" w:fill="D0EBF2"/>
          </w:tcPr>
          <w:p>
            <w:pPr>
              <w:jc w:val="right"/>
              <w:spacing w:after="0"/>
              <w:rPr>
                <w:sz w:val="20"/>
                <w:szCs w:val="20"/>
                <w:color w:val="auto"/>
              </w:rPr>
            </w:pPr>
            <w:r>
              <w:rPr>
                <w:rFonts w:ascii="Times New Roman" w:cs="Times New Roman" w:eastAsia="Times New Roman" w:hAnsi="Times New Roman"/>
                <w:sz w:val="17"/>
                <w:szCs w:val="17"/>
                <w:color w:val="231F20"/>
                <w:w w:val="70"/>
              </w:rPr>
              <w:t>$</w:t>
            </w:r>
          </w:p>
        </w:tc>
        <w:tc>
          <w:tcPr>
            <w:tcW w:w="220" w:type="dxa"/>
            <w:vAlign w:val="bottom"/>
            <w:shd w:val="clear" w:color="auto" w:fill="D0EBF2"/>
          </w:tcPr>
          <w:p>
            <w:pPr>
              <w:spacing w:after="0"/>
              <w:rPr>
                <w:sz w:val="17"/>
                <w:szCs w:val="17"/>
                <w:color w:val="auto"/>
              </w:rPr>
            </w:pPr>
          </w:p>
        </w:tc>
        <w:tc>
          <w:tcPr>
            <w:tcW w:w="740" w:type="dxa"/>
            <w:vAlign w:val="bottom"/>
            <w:shd w:val="clear" w:color="auto" w:fill="D0EBF2"/>
          </w:tcPr>
          <w:p>
            <w:pPr>
              <w:jc w:val="right"/>
              <w:spacing w:after="0" w:line="206" w:lineRule="exact"/>
              <w:rPr>
                <w:sz w:val="20"/>
                <w:szCs w:val="20"/>
                <w:color w:val="auto"/>
              </w:rPr>
            </w:pPr>
            <w:r>
              <w:rPr>
                <w:rFonts w:ascii="Times New Roman" w:cs="Times New Roman" w:eastAsia="Times New Roman" w:hAnsi="Times New Roman"/>
                <w:sz w:val="19"/>
                <w:szCs w:val="19"/>
                <w:color w:val="231F20"/>
              </w:rPr>
              <w:t>96,505</w:t>
            </w:r>
          </w:p>
        </w:tc>
        <w:tc>
          <w:tcPr>
            <w:tcW w:w="20" w:type="dxa"/>
            <w:vAlign w:val="bottom"/>
            <w:shd w:val="clear" w:color="auto" w:fill="D0EBF2"/>
          </w:tcPr>
          <w:p>
            <w:pPr>
              <w:spacing w:after="0"/>
              <w:rPr>
                <w:sz w:val="17"/>
                <w:szCs w:val="17"/>
                <w:color w:val="auto"/>
              </w:rPr>
            </w:pPr>
          </w:p>
        </w:tc>
        <w:tc>
          <w:tcPr>
            <w:tcW w:w="80" w:type="dxa"/>
            <w:vAlign w:val="bottom"/>
            <w:shd w:val="clear" w:color="auto" w:fill="D0EBF2"/>
          </w:tcPr>
          <w:p>
            <w:pPr>
              <w:spacing w:after="0"/>
              <w:rPr>
                <w:sz w:val="17"/>
                <w:szCs w:val="17"/>
                <w:color w:val="auto"/>
              </w:rPr>
            </w:pPr>
          </w:p>
        </w:tc>
      </w:tr>
      <w:tr>
        <w:trPr>
          <w:trHeight w:val="217"/>
        </w:trPr>
        <w:tc>
          <w:tcPr>
            <w:tcW w:w="4280" w:type="dxa"/>
            <w:vAlign w:val="bottom"/>
            <w:shd w:val="clear" w:color="auto" w:fill="FDFDFC"/>
          </w:tcPr>
          <w:p>
            <w:pPr>
              <w:spacing w:after="0" w:line="217" w:lineRule="exact"/>
              <w:rPr>
                <w:sz w:val="20"/>
                <w:szCs w:val="20"/>
                <w:color w:val="auto"/>
              </w:rPr>
            </w:pPr>
            <w:r>
              <w:rPr>
                <w:rFonts w:ascii="Times New Roman" w:cs="Times New Roman" w:eastAsia="Times New Roman" w:hAnsi="Times New Roman"/>
                <w:sz w:val="19"/>
                <w:szCs w:val="19"/>
                <w:color w:val="231F20"/>
              </w:rPr>
              <w:t xml:space="preserve">Net Expenses </w:t>
            </w:r>
            <w:r>
              <w:rPr>
                <w:rFonts w:ascii="Times New Roman" w:cs="Times New Roman" w:eastAsia="Times New Roman" w:hAnsi="Times New Roman"/>
                <w:sz w:val="24"/>
                <w:szCs w:val="24"/>
                <w:color w:val="231F20"/>
                <w:vertAlign w:val="superscript"/>
              </w:rPr>
              <w:t>(1)</w:t>
            </w:r>
          </w:p>
        </w:tc>
        <w:tc>
          <w:tcPr>
            <w:tcW w:w="200" w:type="dxa"/>
            <w:vAlign w:val="bottom"/>
            <w:shd w:val="clear" w:color="auto" w:fill="FDFDFC"/>
          </w:tcPr>
          <w:p>
            <w:pPr>
              <w:spacing w:after="0"/>
              <w:rPr>
                <w:sz w:val="18"/>
                <w:szCs w:val="18"/>
                <w:color w:val="auto"/>
              </w:rPr>
            </w:pPr>
          </w:p>
        </w:tc>
        <w:tc>
          <w:tcPr>
            <w:tcW w:w="260" w:type="dxa"/>
            <w:vAlign w:val="bottom"/>
            <w:shd w:val="clear" w:color="auto" w:fill="FDFDFC"/>
          </w:tcPr>
          <w:p>
            <w:pPr>
              <w:jc w:val="right"/>
              <w:ind w:right="66"/>
              <w:spacing w:after="0" w:line="217" w:lineRule="exact"/>
              <w:rPr>
                <w:sz w:val="20"/>
                <w:szCs w:val="20"/>
                <w:color w:val="auto"/>
              </w:rPr>
            </w:pPr>
            <w:r>
              <w:rPr>
                <w:rFonts w:ascii="Times New Roman" w:cs="Times New Roman" w:eastAsia="Times New Roman" w:hAnsi="Times New Roman"/>
                <w:sz w:val="19"/>
                <w:szCs w:val="19"/>
                <w:color w:val="231F20"/>
                <w:w w:val="83"/>
              </w:rPr>
              <w:t>$</w:t>
            </w:r>
          </w:p>
        </w:tc>
        <w:tc>
          <w:tcPr>
            <w:tcW w:w="800" w:type="dxa"/>
            <w:vAlign w:val="bottom"/>
            <w:shd w:val="clear" w:color="auto" w:fill="FDFDFC"/>
          </w:tcPr>
          <w:p>
            <w:pPr>
              <w:jc w:val="right"/>
              <w:spacing w:after="0" w:line="217" w:lineRule="exact"/>
              <w:rPr>
                <w:sz w:val="20"/>
                <w:szCs w:val="20"/>
                <w:color w:val="auto"/>
              </w:rPr>
            </w:pPr>
            <w:r>
              <w:rPr>
                <w:rFonts w:ascii="Times New Roman" w:cs="Times New Roman" w:eastAsia="Times New Roman" w:hAnsi="Times New Roman"/>
                <w:sz w:val="19"/>
                <w:szCs w:val="19"/>
                <w:color w:val="231F20"/>
              </w:rPr>
              <w:t>64,269</w:t>
            </w:r>
          </w:p>
        </w:tc>
        <w:tc>
          <w:tcPr>
            <w:tcW w:w="180" w:type="dxa"/>
            <w:vAlign w:val="bottom"/>
            <w:shd w:val="clear" w:color="auto" w:fill="FDFDFC"/>
          </w:tcPr>
          <w:p>
            <w:pPr>
              <w:spacing w:after="0"/>
              <w:rPr>
                <w:sz w:val="18"/>
                <w:szCs w:val="18"/>
                <w:color w:val="auto"/>
              </w:rPr>
            </w:pPr>
          </w:p>
        </w:tc>
        <w:tc>
          <w:tcPr>
            <w:tcW w:w="20" w:type="dxa"/>
            <w:vAlign w:val="bottom"/>
            <w:shd w:val="clear" w:color="auto" w:fill="FDFDFC"/>
          </w:tcPr>
          <w:p>
            <w:pPr>
              <w:spacing w:after="0"/>
              <w:rPr>
                <w:sz w:val="18"/>
                <w:szCs w:val="18"/>
                <w:color w:val="auto"/>
              </w:rPr>
            </w:pPr>
          </w:p>
        </w:tc>
        <w:tc>
          <w:tcPr>
            <w:tcW w:w="120" w:type="dxa"/>
            <w:vAlign w:val="bottom"/>
            <w:shd w:val="clear" w:color="auto" w:fill="FDFDFC"/>
          </w:tcPr>
          <w:p>
            <w:pPr>
              <w:jc w:val="right"/>
              <w:spacing w:after="0" w:line="217" w:lineRule="exact"/>
              <w:rPr>
                <w:sz w:val="20"/>
                <w:szCs w:val="20"/>
                <w:color w:val="auto"/>
              </w:rPr>
            </w:pPr>
            <w:r>
              <w:rPr>
                <w:rFonts w:ascii="Times New Roman" w:cs="Times New Roman" w:eastAsia="Times New Roman" w:hAnsi="Times New Roman"/>
                <w:sz w:val="19"/>
                <w:szCs w:val="19"/>
                <w:color w:val="231F20"/>
                <w:w w:val="83"/>
              </w:rPr>
              <w:t>$</w:t>
            </w:r>
          </w:p>
        </w:tc>
        <w:tc>
          <w:tcPr>
            <w:tcW w:w="100" w:type="dxa"/>
            <w:vAlign w:val="bottom"/>
            <w:shd w:val="clear" w:color="auto" w:fill="FDFDFC"/>
          </w:tcPr>
          <w:p>
            <w:pPr>
              <w:spacing w:after="0"/>
              <w:rPr>
                <w:sz w:val="18"/>
                <w:szCs w:val="18"/>
                <w:color w:val="auto"/>
              </w:rPr>
            </w:pPr>
          </w:p>
        </w:tc>
        <w:tc>
          <w:tcPr>
            <w:tcW w:w="140" w:type="dxa"/>
            <w:vAlign w:val="bottom"/>
            <w:shd w:val="clear" w:color="auto" w:fill="FDFDFC"/>
          </w:tcPr>
          <w:p>
            <w:pPr>
              <w:spacing w:after="0"/>
              <w:rPr>
                <w:sz w:val="18"/>
                <w:szCs w:val="18"/>
                <w:color w:val="auto"/>
              </w:rPr>
            </w:pPr>
          </w:p>
        </w:tc>
        <w:tc>
          <w:tcPr>
            <w:tcW w:w="660" w:type="dxa"/>
            <w:vAlign w:val="bottom"/>
            <w:shd w:val="clear" w:color="auto" w:fill="FDFDFC"/>
          </w:tcPr>
          <w:p>
            <w:pPr>
              <w:jc w:val="right"/>
              <w:spacing w:after="0" w:line="217" w:lineRule="exact"/>
              <w:rPr>
                <w:sz w:val="20"/>
                <w:szCs w:val="20"/>
                <w:color w:val="auto"/>
              </w:rPr>
            </w:pPr>
            <w:r>
              <w:rPr>
                <w:rFonts w:ascii="Times New Roman" w:cs="Times New Roman" w:eastAsia="Times New Roman" w:hAnsi="Times New Roman"/>
                <w:sz w:val="19"/>
                <w:szCs w:val="19"/>
                <w:color w:val="231F20"/>
              </w:rPr>
              <w:t>63,980</w:t>
            </w:r>
          </w:p>
        </w:tc>
        <w:tc>
          <w:tcPr>
            <w:tcW w:w="120" w:type="dxa"/>
            <w:vAlign w:val="bottom"/>
            <w:shd w:val="clear" w:color="auto" w:fill="FDFDFC"/>
          </w:tcPr>
          <w:p>
            <w:pPr>
              <w:spacing w:after="0"/>
              <w:rPr>
                <w:sz w:val="18"/>
                <w:szCs w:val="18"/>
                <w:color w:val="auto"/>
              </w:rPr>
            </w:pPr>
          </w:p>
        </w:tc>
        <w:tc>
          <w:tcPr>
            <w:tcW w:w="80" w:type="dxa"/>
            <w:vAlign w:val="bottom"/>
            <w:shd w:val="clear" w:color="auto" w:fill="FDFDFC"/>
          </w:tcPr>
          <w:p>
            <w:pPr>
              <w:spacing w:after="0"/>
              <w:rPr>
                <w:sz w:val="18"/>
                <w:szCs w:val="18"/>
                <w:color w:val="auto"/>
              </w:rPr>
            </w:pPr>
          </w:p>
        </w:tc>
        <w:tc>
          <w:tcPr>
            <w:tcW w:w="180" w:type="dxa"/>
            <w:vAlign w:val="bottom"/>
            <w:shd w:val="clear" w:color="auto" w:fill="FDFDFC"/>
          </w:tcPr>
          <w:p>
            <w:pPr>
              <w:jc w:val="right"/>
              <w:spacing w:after="0" w:line="217" w:lineRule="exact"/>
              <w:rPr>
                <w:sz w:val="20"/>
                <w:szCs w:val="20"/>
                <w:color w:val="auto"/>
              </w:rPr>
            </w:pPr>
            <w:r>
              <w:rPr>
                <w:rFonts w:ascii="Times New Roman" w:cs="Times New Roman" w:eastAsia="Times New Roman" w:hAnsi="Times New Roman"/>
                <w:sz w:val="19"/>
                <w:szCs w:val="19"/>
                <w:color w:val="231F20"/>
                <w:w w:val="83"/>
              </w:rPr>
              <w:t>$</w:t>
            </w:r>
          </w:p>
        </w:tc>
        <w:tc>
          <w:tcPr>
            <w:tcW w:w="120" w:type="dxa"/>
            <w:vAlign w:val="bottom"/>
            <w:shd w:val="clear" w:color="auto" w:fill="FDFDFC"/>
          </w:tcPr>
          <w:p>
            <w:pPr>
              <w:spacing w:after="0"/>
              <w:rPr>
                <w:sz w:val="18"/>
                <w:szCs w:val="18"/>
                <w:color w:val="auto"/>
              </w:rPr>
            </w:pPr>
          </w:p>
        </w:tc>
        <w:tc>
          <w:tcPr>
            <w:tcW w:w="660" w:type="dxa"/>
            <w:vAlign w:val="bottom"/>
            <w:shd w:val="clear" w:color="auto" w:fill="FDFDFC"/>
          </w:tcPr>
          <w:p>
            <w:pPr>
              <w:jc w:val="right"/>
              <w:spacing w:after="0" w:line="217" w:lineRule="exact"/>
              <w:rPr>
                <w:sz w:val="20"/>
                <w:szCs w:val="20"/>
                <w:color w:val="auto"/>
              </w:rPr>
            </w:pPr>
            <w:r>
              <w:rPr>
                <w:rFonts w:ascii="Times New Roman" w:cs="Times New Roman" w:eastAsia="Times New Roman" w:hAnsi="Times New Roman"/>
                <w:sz w:val="19"/>
                <w:szCs w:val="19"/>
                <w:color w:val="231F20"/>
              </w:rPr>
              <w:t>57,919</w:t>
            </w:r>
          </w:p>
        </w:tc>
        <w:tc>
          <w:tcPr>
            <w:tcW w:w="60" w:type="dxa"/>
            <w:vAlign w:val="bottom"/>
            <w:shd w:val="clear" w:color="auto" w:fill="FDFDFC"/>
          </w:tcPr>
          <w:p>
            <w:pPr>
              <w:spacing w:after="0"/>
              <w:rPr>
                <w:sz w:val="18"/>
                <w:szCs w:val="18"/>
                <w:color w:val="auto"/>
              </w:rPr>
            </w:pPr>
          </w:p>
        </w:tc>
        <w:tc>
          <w:tcPr>
            <w:tcW w:w="160" w:type="dxa"/>
            <w:vAlign w:val="bottom"/>
            <w:shd w:val="clear" w:color="auto" w:fill="FDFDFC"/>
          </w:tcPr>
          <w:p>
            <w:pPr>
              <w:spacing w:after="0"/>
              <w:rPr>
                <w:sz w:val="18"/>
                <w:szCs w:val="18"/>
                <w:color w:val="auto"/>
              </w:rPr>
            </w:pPr>
          </w:p>
        </w:tc>
        <w:tc>
          <w:tcPr>
            <w:tcW w:w="80" w:type="dxa"/>
            <w:vAlign w:val="bottom"/>
            <w:shd w:val="clear" w:color="auto" w:fill="FDFDFC"/>
          </w:tcPr>
          <w:p>
            <w:pPr>
              <w:jc w:val="right"/>
              <w:spacing w:after="0"/>
              <w:rPr>
                <w:sz w:val="20"/>
                <w:szCs w:val="20"/>
                <w:color w:val="auto"/>
              </w:rPr>
            </w:pPr>
            <w:r>
              <w:rPr>
                <w:rFonts w:ascii="Times New Roman" w:cs="Times New Roman" w:eastAsia="Times New Roman" w:hAnsi="Times New Roman"/>
                <w:sz w:val="17"/>
                <w:szCs w:val="17"/>
                <w:color w:val="231F20"/>
                <w:w w:val="70"/>
              </w:rPr>
              <w:t>$</w:t>
            </w:r>
          </w:p>
        </w:tc>
        <w:tc>
          <w:tcPr>
            <w:tcW w:w="220" w:type="dxa"/>
            <w:vAlign w:val="bottom"/>
            <w:shd w:val="clear" w:color="auto" w:fill="FDFDFC"/>
          </w:tcPr>
          <w:p>
            <w:pPr>
              <w:spacing w:after="0"/>
              <w:rPr>
                <w:sz w:val="18"/>
                <w:szCs w:val="18"/>
                <w:color w:val="auto"/>
              </w:rPr>
            </w:pPr>
          </w:p>
        </w:tc>
        <w:tc>
          <w:tcPr>
            <w:tcW w:w="740" w:type="dxa"/>
            <w:vAlign w:val="bottom"/>
            <w:shd w:val="clear" w:color="auto" w:fill="FDFDFC"/>
          </w:tcPr>
          <w:p>
            <w:pPr>
              <w:jc w:val="right"/>
              <w:spacing w:after="0" w:line="217" w:lineRule="exact"/>
              <w:rPr>
                <w:sz w:val="20"/>
                <w:szCs w:val="20"/>
                <w:color w:val="auto"/>
              </w:rPr>
            </w:pPr>
            <w:r>
              <w:rPr>
                <w:rFonts w:ascii="Times New Roman" w:cs="Times New Roman" w:eastAsia="Times New Roman" w:hAnsi="Times New Roman"/>
                <w:sz w:val="19"/>
                <w:szCs w:val="19"/>
                <w:color w:val="231F20"/>
              </w:rPr>
              <w:t>53,155</w:t>
            </w:r>
          </w:p>
        </w:tc>
        <w:tc>
          <w:tcPr>
            <w:tcW w:w="20" w:type="dxa"/>
            <w:vAlign w:val="bottom"/>
            <w:shd w:val="clear" w:color="auto" w:fill="FDFDFC"/>
          </w:tcPr>
          <w:p>
            <w:pPr>
              <w:spacing w:after="0"/>
              <w:rPr>
                <w:sz w:val="18"/>
                <w:szCs w:val="18"/>
                <w:color w:val="auto"/>
              </w:rPr>
            </w:pPr>
          </w:p>
        </w:tc>
        <w:tc>
          <w:tcPr>
            <w:tcW w:w="80" w:type="dxa"/>
            <w:vAlign w:val="bottom"/>
            <w:shd w:val="clear" w:color="auto" w:fill="FDFDFC"/>
          </w:tcPr>
          <w:p>
            <w:pPr>
              <w:spacing w:after="0"/>
              <w:rPr>
                <w:sz w:val="18"/>
                <w:szCs w:val="18"/>
                <w:color w:val="auto"/>
              </w:rPr>
            </w:pPr>
          </w:p>
        </w:tc>
      </w:tr>
      <w:tr>
        <w:trPr>
          <w:trHeight w:val="217"/>
        </w:trPr>
        <w:tc>
          <w:tcPr>
            <w:tcW w:w="4280" w:type="dxa"/>
            <w:vAlign w:val="bottom"/>
            <w:shd w:val="clear" w:color="auto" w:fill="D0EBF2"/>
          </w:tcPr>
          <w:p>
            <w:pPr>
              <w:spacing w:after="0" w:line="217" w:lineRule="exact"/>
              <w:rPr>
                <w:sz w:val="20"/>
                <w:szCs w:val="20"/>
                <w:color w:val="auto"/>
              </w:rPr>
            </w:pPr>
            <w:r>
              <w:rPr>
                <w:rFonts w:ascii="Times New Roman" w:cs="Times New Roman" w:eastAsia="Times New Roman" w:hAnsi="Times New Roman"/>
                <w:sz w:val="19"/>
                <w:szCs w:val="19"/>
                <w:color w:val="231F20"/>
              </w:rPr>
              <w:t>Net Investment Income</w:t>
            </w:r>
          </w:p>
        </w:tc>
        <w:tc>
          <w:tcPr>
            <w:tcW w:w="460" w:type="dxa"/>
            <w:vAlign w:val="bottom"/>
            <w:gridSpan w:val="2"/>
            <w:shd w:val="clear" w:color="auto" w:fill="D0EBF2"/>
          </w:tcPr>
          <w:p>
            <w:pPr>
              <w:jc w:val="right"/>
              <w:ind w:right="66"/>
              <w:spacing w:after="0" w:line="217" w:lineRule="exact"/>
              <w:rPr>
                <w:sz w:val="20"/>
                <w:szCs w:val="20"/>
                <w:color w:val="auto"/>
              </w:rPr>
            </w:pPr>
            <w:r>
              <w:rPr>
                <w:rFonts w:ascii="Times New Roman" w:cs="Times New Roman" w:eastAsia="Times New Roman" w:hAnsi="Times New Roman"/>
                <w:sz w:val="19"/>
                <w:szCs w:val="19"/>
                <w:color w:val="231F20"/>
              </w:rPr>
              <w:t>$</w:t>
            </w:r>
          </w:p>
        </w:tc>
        <w:tc>
          <w:tcPr>
            <w:tcW w:w="800" w:type="dxa"/>
            <w:vAlign w:val="bottom"/>
            <w:shd w:val="clear" w:color="auto" w:fill="D0EBF2"/>
          </w:tcPr>
          <w:p>
            <w:pPr>
              <w:jc w:val="right"/>
              <w:spacing w:after="0" w:line="217" w:lineRule="exact"/>
              <w:rPr>
                <w:sz w:val="20"/>
                <w:szCs w:val="20"/>
                <w:color w:val="auto"/>
              </w:rPr>
            </w:pPr>
            <w:r>
              <w:rPr>
                <w:rFonts w:ascii="Times New Roman" w:cs="Times New Roman" w:eastAsia="Times New Roman" w:hAnsi="Times New Roman"/>
                <w:sz w:val="19"/>
                <w:szCs w:val="19"/>
                <w:color w:val="231F20"/>
              </w:rPr>
              <w:t>54,684</w:t>
            </w:r>
          </w:p>
        </w:tc>
        <w:tc>
          <w:tcPr>
            <w:tcW w:w="180" w:type="dxa"/>
            <w:vAlign w:val="bottom"/>
            <w:shd w:val="clear" w:color="auto" w:fill="D0EBF2"/>
          </w:tcPr>
          <w:p>
            <w:pPr>
              <w:spacing w:after="0"/>
              <w:rPr>
                <w:sz w:val="18"/>
                <w:szCs w:val="18"/>
                <w:color w:val="auto"/>
              </w:rPr>
            </w:pPr>
          </w:p>
        </w:tc>
        <w:tc>
          <w:tcPr>
            <w:tcW w:w="140" w:type="dxa"/>
            <w:vAlign w:val="bottom"/>
            <w:gridSpan w:val="2"/>
            <w:shd w:val="clear" w:color="auto" w:fill="D0EBF2"/>
          </w:tcPr>
          <w:p>
            <w:pPr>
              <w:jc w:val="right"/>
              <w:spacing w:after="0" w:line="217" w:lineRule="exact"/>
              <w:rPr>
                <w:sz w:val="20"/>
                <w:szCs w:val="20"/>
                <w:color w:val="auto"/>
              </w:rPr>
            </w:pPr>
            <w:r>
              <w:rPr>
                <w:rFonts w:ascii="Times New Roman" w:cs="Times New Roman" w:eastAsia="Times New Roman" w:hAnsi="Times New Roman"/>
                <w:sz w:val="19"/>
                <w:szCs w:val="19"/>
                <w:color w:val="231F20"/>
              </w:rPr>
              <w:t>$</w:t>
            </w:r>
          </w:p>
        </w:tc>
        <w:tc>
          <w:tcPr>
            <w:tcW w:w="100" w:type="dxa"/>
            <w:vAlign w:val="bottom"/>
            <w:shd w:val="clear" w:color="auto" w:fill="D0EBF2"/>
          </w:tcPr>
          <w:p>
            <w:pPr>
              <w:spacing w:after="0"/>
              <w:rPr>
                <w:sz w:val="18"/>
                <w:szCs w:val="18"/>
                <w:color w:val="auto"/>
              </w:rPr>
            </w:pPr>
          </w:p>
        </w:tc>
        <w:tc>
          <w:tcPr>
            <w:tcW w:w="140" w:type="dxa"/>
            <w:vAlign w:val="bottom"/>
            <w:shd w:val="clear" w:color="auto" w:fill="D0EBF2"/>
          </w:tcPr>
          <w:p>
            <w:pPr>
              <w:spacing w:after="0"/>
              <w:rPr>
                <w:sz w:val="18"/>
                <w:szCs w:val="18"/>
                <w:color w:val="auto"/>
              </w:rPr>
            </w:pPr>
          </w:p>
        </w:tc>
        <w:tc>
          <w:tcPr>
            <w:tcW w:w="660" w:type="dxa"/>
            <w:vAlign w:val="bottom"/>
            <w:shd w:val="clear" w:color="auto" w:fill="D0EBF2"/>
          </w:tcPr>
          <w:p>
            <w:pPr>
              <w:jc w:val="right"/>
              <w:spacing w:after="0" w:line="217" w:lineRule="exact"/>
              <w:rPr>
                <w:sz w:val="20"/>
                <w:szCs w:val="20"/>
                <w:color w:val="auto"/>
              </w:rPr>
            </w:pPr>
            <w:r>
              <w:rPr>
                <w:rFonts w:ascii="Times New Roman" w:cs="Times New Roman" w:eastAsia="Times New Roman" w:hAnsi="Times New Roman"/>
                <w:sz w:val="19"/>
                <w:szCs w:val="19"/>
                <w:color w:val="231F20"/>
              </w:rPr>
              <w:t>49,994</w:t>
            </w:r>
          </w:p>
        </w:tc>
        <w:tc>
          <w:tcPr>
            <w:tcW w:w="120" w:type="dxa"/>
            <w:vAlign w:val="bottom"/>
            <w:shd w:val="clear" w:color="auto" w:fill="D0EBF2"/>
          </w:tcPr>
          <w:p>
            <w:pPr>
              <w:spacing w:after="0"/>
              <w:rPr>
                <w:sz w:val="18"/>
                <w:szCs w:val="18"/>
                <w:color w:val="auto"/>
              </w:rPr>
            </w:pPr>
          </w:p>
        </w:tc>
        <w:tc>
          <w:tcPr>
            <w:tcW w:w="80" w:type="dxa"/>
            <w:vAlign w:val="bottom"/>
            <w:shd w:val="clear" w:color="auto" w:fill="D0EBF2"/>
          </w:tcPr>
          <w:p>
            <w:pPr>
              <w:spacing w:after="0"/>
              <w:rPr>
                <w:sz w:val="18"/>
                <w:szCs w:val="18"/>
                <w:color w:val="auto"/>
              </w:rPr>
            </w:pPr>
          </w:p>
        </w:tc>
        <w:tc>
          <w:tcPr>
            <w:tcW w:w="180" w:type="dxa"/>
            <w:vAlign w:val="bottom"/>
            <w:shd w:val="clear" w:color="auto" w:fill="D0EBF2"/>
          </w:tcPr>
          <w:p>
            <w:pPr>
              <w:jc w:val="right"/>
              <w:spacing w:after="0" w:line="217" w:lineRule="exact"/>
              <w:rPr>
                <w:sz w:val="20"/>
                <w:szCs w:val="20"/>
                <w:color w:val="auto"/>
              </w:rPr>
            </w:pPr>
            <w:r>
              <w:rPr>
                <w:rFonts w:ascii="Times New Roman" w:cs="Times New Roman" w:eastAsia="Times New Roman" w:hAnsi="Times New Roman"/>
                <w:sz w:val="19"/>
                <w:szCs w:val="19"/>
                <w:color w:val="231F20"/>
                <w:w w:val="83"/>
              </w:rPr>
              <w:t>$</w:t>
            </w:r>
          </w:p>
        </w:tc>
        <w:tc>
          <w:tcPr>
            <w:tcW w:w="120" w:type="dxa"/>
            <w:vAlign w:val="bottom"/>
            <w:shd w:val="clear" w:color="auto" w:fill="D0EBF2"/>
          </w:tcPr>
          <w:p>
            <w:pPr>
              <w:spacing w:after="0"/>
              <w:rPr>
                <w:sz w:val="18"/>
                <w:szCs w:val="18"/>
                <w:color w:val="auto"/>
              </w:rPr>
            </w:pPr>
          </w:p>
        </w:tc>
        <w:tc>
          <w:tcPr>
            <w:tcW w:w="660" w:type="dxa"/>
            <w:vAlign w:val="bottom"/>
            <w:shd w:val="clear" w:color="auto" w:fill="D0EBF2"/>
          </w:tcPr>
          <w:p>
            <w:pPr>
              <w:jc w:val="right"/>
              <w:spacing w:after="0" w:line="217" w:lineRule="exact"/>
              <w:rPr>
                <w:sz w:val="20"/>
                <w:szCs w:val="20"/>
                <w:color w:val="auto"/>
              </w:rPr>
            </w:pPr>
            <w:r>
              <w:rPr>
                <w:rFonts w:ascii="Times New Roman" w:cs="Times New Roman" w:eastAsia="Times New Roman" w:hAnsi="Times New Roman"/>
                <w:sz w:val="19"/>
                <w:szCs w:val="19"/>
                <w:color w:val="231F20"/>
              </w:rPr>
              <w:t>48,784</w:t>
            </w:r>
          </w:p>
        </w:tc>
        <w:tc>
          <w:tcPr>
            <w:tcW w:w="60" w:type="dxa"/>
            <w:vAlign w:val="bottom"/>
            <w:shd w:val="clear" w:color="auto" w:fill="D0EBF2"/>
          </w:tcPr>
          <w:p>
            <w:pPr>
              <w:spacing w:after="0"/>
              <w:rPr>
                <w:sz w:val="18"/>
                <w:szCs w:val="18"/>
                <w:color w:val="auto"/>
              </w:rPr>
            </w:pPr>
          </w:p>
        </w:tc>
        <w:tc>
          <w:tcPr>
            <w:tcW w:w="160" w:type="dxa"/>
            <w:vAlign w:val="bottom"/>
            <w:shd w:val="clear" w:color="auto" w:fill="D0EBF2"/>
          </w:tcPr>
          <w:p>
            <w:pPr>
              <w:spacing w:after="0"/>
              <w:rPr>
                <w:sz w:val="18"/>
                <w:szCs w:val="18"/>
                <w:color w:val="auto"/>
              </w:rPr>
            </w:pPr>
          </w:p>
        </w:tc>
        <w:tc>
          <w:tcPr>
            <w:tcW w:w="80" w:type="dxa"/>
            <w:vAlign w:val="bottom"/>
            <w:shd w:val="clear" w:color="auto" w:fill="D0EBF2"/>
          </w:tcPr>
          <w:p>
            <w:pPr>
              <w:jc w:val="right"/>
              <w:spacing w:after="0"/>
              <w:rPr>
                <w:sz w:val="20"/>
                <w:szCs w:val="20"/>
                <w:color w:val="auto"/>
              </w:rPr>
            </w:pPr>
            <w:r>
              <w:rPr>
                <w:rFonts w:ascii="Times New Roman" w:cs="Times New Roman" w:eastAsia="Times New Roman" w:hAnsi="Times New Roman"/>
                <w:sz w:val="17"/>
                <w:szCs w:val="17"/>
                <w:color w:val="231F20"/>
                <w:w w:val="70"/>
              </w:rPr>
              <w:t>$</w:t>
            </w:r>
          </w:p>
        </w:tc>
        <w:tc>
          <w:tcPr>
            <w:tcW w:w="220" w:type="dxa"/>
            <w:vAlign w:val="bottom"/>
            <w:shd w:val="clear" w:color="auto" w:fill="D0EBF2"/>
          </w:tcPr>
          <w:p>
            <w:pPr>
              <w:spacing w:after="0"/>
              <w:rPr>
                <w:sz w:val="18"/>
                <w:szCs w:val="18"/>
                <w:color w:val="auto"/>
              </w:rPr>
            </w:pPr>
          </w:p>
        </w:tc>
        <w:tc>
          <w:tcPr>
            <w:tcW w:w="740" w:type="dxa"/>
            <w:vAlign w:val="bottom"/>
            <w:shd w:val="clear" w:color="auto" w:fill="D0EBF2"/>
          </w:tcPr>
          <w:p>
            <w:pPr>
              <w:jc w:val="right"/>
              <w:spacing w:after="0" w:line="217" w:lineRule="exact"/>
              <w:rPr>
                <w:sz w:val="20"/>
                <w:szCs w:val="20"/>
                <w:color w:val="auto"/>
              </w:rPr>
            </w:pPr>
            <w:r>
              <w:rPr>
                <w:rFonts w:ascii="Times New Roman" w:cs="Times New Roman" w:eastAsia="Times New Roman" w:hAnsi="Times New Roman"/>
                <w:sz w:val="19"/>
                <w:szCs w:val="19"/>
                <w:color w:val="231F20"/>
              </w:rPr>
              <w:t>42,937</w:t>
            </w:r>
          </w:p>
        </w:tc>
        <w:tc>
          <w:tcPr>
            <w:tcW w:w="20" w:type="dxa"/>
            <w:vAlign w:val="bottom"/>
            <w:shd w:val="clear" w:color="auto" w:fill="D0EBF2"/>
          </w:tcPr>
          <w:p>
            <w:pPr>
              <w:spacing w:after="0"/>
              <w:rPr>
                <w:sz w:val="18"/>
                <w:szCs w:val="18"/>
                <w:color w:val="auto"/>
              </w:rPr>
            </w:pPr>
          </w:p>
        </w:tc>
        <w:tc>
          <w:tcPr>
            <w:tcW w:w="80" w:type="dxa"/>
            <w:vAlign w:val="bottom"/>
            <w:shd w:val="clear" w:color="auto" w:fill="D0EBF2"/>
          </w:tcPr>
          <w:p>
            <w:pPr>
              <w:spacing w:after="0"/>
              <w:rPr>
                <w:sz w:val="18"/>
                <w:szCs w:val="18"/>
                <w:color w:val="auto"/>
              </w:rPr>
            </w:pPr>
          </w:p>
        </w:tc>
      </w:tr>
      <w:tr>
        <w:trPr>
          <w:trHeight w:val="217"/>
        </w:trPr>
        <w:tc>
          <w:tcPr>
            <w:tcW w:w="4280" w:type="dxa"/>
            <w:vAlign w:val="bottom"/>
            <w:shd w:val="clear" w:color="auto" w:fill="FDFDFC"/>
          </w:tcPr>
          <w:p>
            <w:pPr>
              <w:spacing w:after="0" w:line="217" w:lineRule="exact"/>
              <w:rPr>
                <w:sz w:val="20"/>
                <w:szCs w:val="20"/>
                <w:color w:val="auto"/>
              </w:rPr>
            </w:pPr>
            <w:r>
              <w:rPr>
                <w:rFonts w:ascii="Times New Roman" w:cs="Times New Roman" w:eastAsia="Times New Roman" w:hAnsi="Times New Roman"/>
                <w:sz w:val="19"/>
                <w:szCs w:val="19"/>
                <w:color w:val="231F20"/>
              </w:rPr>
              <w:t>Total unrealized and realized gains (losses)</w:t>
            </w:r>
          </w:p>
        </w:tc>
        <w:tc>
          <w:tcPr>
            <w:tcW w:w="460" w:type="dxa"/>
            <w:vAlign w:val="bottom"/>
            <w:gridSpan w:val="2"/>
            <w:shd w:val="clear" w:color="auto" w:fill="FDFDFC"/>
          </w:tcPr>
          <w:p>
            <w:pPr>
              <w:jc w:val="right"/>
              <w:ind w:right="66"/>
              <w:spacing w:after="0" w:line="217" w:lineRule="exact"/>
              <w:rPr>
                <w:sz w:val="20"/>
                <w:szCs w:val="20"/>
                <w:color w:val="auto"/>
              </w:rPr>
            </w:pPr>
            <w:r>
              <w:rPr>
                <w:rFonts w:ascii="Times New Roman" w:cs="Times New Roman" w:eastAsia="Times New Roman" w:hAnsi="Times New Roman"/>
                <w:sz w:val="19"/>
                <w:szCs w:val="19"/>
                <w:color w:val="231F20"/>
              </w:rPr>
              <w:t>$</w:t>
            </w:r>
          </w:p>
        </w:tc>
        <w:tc>
          <w:tcPr>
            <w:tcW w:w="980" w:type="dxa"/>
            <w:vAlign w:val="bottom"/>
            <w:gridSpan w:val="2"/>
            <w:shd w:val="clear" w:color="auto" w:fill="FDFDFC"/>
          </w:tcPr>
          <w:p>
            <w:pPr>
              <w:jc w:val="right"/>
              <w:ind w:right="120"/>
              <w:spacing w:after="0" w:line="217" w:lineRule="exact"/>
              <w:rPr>
                <w:sz w:val="20"/>
                <w:szCs w:val="20"/>
                <w:color w:val="auto"/>
              </w:rPr>
            </w:pPr>
            <w:r>
              <w:rPr>
                <w:rFonts w:ascii="Times New Roman" w:cs="Times New Roman" w:eastAsia="Times New Roman" w:hAnsi="Times New Roman"/>
                <w:sz w:val="19"/>
                <w:szCs w:val="19"/>
                <w:color w:val="231F20"/>
              </w:rPr>
              <w:t>(3,523)</w:t>
            </w:r>
          </w:p>
        </w:tc>
        <w:tc>
          <w:tcPr>
            <w:tcW w:w="140" w:type="dxa"/>
            <w:vAlign w:val="bottom"/>
            <w:gridSpan w:val="2"/>
            <w:shd w:val="clear" w:color="auto" w:fill="FDFDFC"/>
          </w:tcPr>
          <w:p>
            <w:pPr>
              <w:jc w:val="right"/>
              <w:spacing w:after="0" w:line="217" w:lineRule="exact"/>
              <w:rPr>
                <w:sz w:val="20"/>
                <w:szCs w:val="20"/>
                <w:color w:val="auto"/>
              </w:rPr>
            </w:pPr>
            <w:r>
              <w:rPr>
                <w:rFonts w:ascii="Times New Roman" w:cs="Times New Roman" w:eastAsia="Times New Roman" w:hAnsi="Times New Roman"/>
                <w:sz w:val="19"/>
                <w:szCs w:val="19"/>
                <w:color w:val="231F20"/>
              </w:rPr>
              <w:t>$</w:t>
            </w:r>
          </w:p>
        </w:tc>
        <w:tc>
          <w:tcPr>
            <w:tcW w:w="100" w:type="dxa"/>
            <w:vAlign w:val="bottom"/>
            <w:shd w:val="clear" w:color="auto" w:fill="FDFDFC"/>
          </w:tcPr>
          <w:p>
            <w:pPr>
              <w:spacing w:after="0"/>
              <w:rPr>
                <w:sz w:val="18"/>
                <w:szCs w:val="18"/>
                <w:color w:val="auto"/>
              </w:rPr>
            </w:pPr>
          </w:p>
        </w:tc>
        <w:tc>
          <w:tcPr>
            <w:tcW w:w="140" w:type="dxa"/>
            <w:vAlign w:val="bottom"/>
            <w:shd w:val="clear" w:color="auto" w:fill="FDFDFC"/>
          </w:tcPr>
          <w:p>
            <w:pPr>
              <w:spacing w:after="0"/>
              <w:rPr>
                <w:sz w:val="18"/>
                <w:szCs w:val="18"/>
                <w:color w:val="auto"/>
              </w:rPr>
            </w:pPr>
          </w:p>
        </w:tc>
        <w:tc>
          <w:tcPr>
            <w:tcW w:w="660" w:type="dxa"/>
            <w:vAlign w:val="bottom"/>
            <w:shd w:val="clear" w:color="auto" w:fill="FDFDFC"/>
          </w:tcPr>
          <w:p>
            <w:pPr>
              <w:jc w:val="right"/>
              <w:spacing w:after="0" w:line="217" w:lineRule="exact"/>
              <w:rPr>
                <w:sz w:val="20"/>
                <w:szCs w:val="20"/>
                <w:color w:val="auto"/>
              </w:rPr>
            </w:pPr>
            <w:r>
              <w:rPr>
                <w:rFonts w:ascii="Times New Roman" w:cs="Times New Roman" w:eastAsia="Times New Roman" w:hAnsi="Times New Roman"/>
                <w:sz w:val="19"/>
                <w:szCs w:val="19"/>
                <w:color w:val="231F20"/>
              </w:rPr>
              <w:t>14,826</w:t>
            </w:r>
          </w:p>
        </w:tc>
        <w:tc>
          <w:tcPr>
            <w:tcW w:w="120" w:type="dxa"/>
            <w:vAlign w:val="bottom"/>
            <w:shd w:val="clear" w:color="auto" w:fill="FDFDFC"/>
          </w:tcPr>
          <w:p>
            <w:pPr>
              <w:spacing w:after="0"/>
              <w:rPr>
                <w:sz w:val="18"/>
                <w:szCs w:val="18"/>
                <w:color w:val="auto"/>
              </w:rPr>
            </w:pPr>
          </w:p>
        </w:tc>
        <w:tc>
          <w:tcPr>
            <w:tcW w:w="80" w:type="dxa"/>
            <w:vAlign w:val="bottom"/>
            <w:shd w:val="clear" w:color="auto" w:fill="FDFDFC"/>
          </w:tcPr>
          <w:p>
            <w:pPr>
              <w:spacing w:after="0"/>
              <w:rPr>
                <w:sz w:val="18"/>
                <w:szCs w:val="18"/>
                <w:color w:val="auto"/>
              </w:rPr>
            </w:pPr>
          </w:p>
        </w:tc>
        <w:tc>
          <w:tcPr>
            <w:tcW w:w="180" w:type="dxa"/>
            <w:vAlign w:val="bottom"/>
            <w:shd w:val="clear" w:color="auto" w:fill="FDFDFC"/>
          </w:tcPr>
          <w:p>
            <w:pPr>
              <w:jc w:val="right"/>
              <w:spacing w:after="0" w:line="217" w:lineRule="exact"/>
              <w:rPr>
                <w:sz w:val="20"/>
                <w:szCs w:val="20"/>
                <w:color w:val="auto"/>
              </w:rPr>
            </w:pPr>
            <w:r>
              <w:rPr>
                <w:rFonts w:ascii="Times New Roman" w:cs="Times New Roman" w:eastAsia="Times New Roman" w:hAnsi="Times New Roman"/>
                <w:sz w:val="19"/>
                <w:szCs w:val="19"/>
                <w:color w:val="231F20"/>
                <w:w w:val="83"/>
              </w:rPr>
              <w:t>$</w:t>
            </w:r>
          </w:p>
        </w:tc>
        <w:tc>
          <w:tcPr>
            <w:tcW w:w="120" w:type="dxa"/>
            <w:vAlign w:val="bottom"/>
            <w:shd w:val="clear" w:color="auto" w:fill="FDFDFC"/>
          </w:tcPr>
          <w:p>
            <w:pPr>
              <w:spacing w:after="0"/>
              <w:rPr>
                <w:sz w:val="18"/>
                <w:szCs w:val="18"/>
                <w:color w:val="auto"/>
              </w:rPr>
            </w:pPr>
          </w:p>
        </w:tc>
        <w:tc>
          <w:tcPr>
            <w:tcW w:w="660" w:type="dxa"/>
            <w:vAlign w:val="bottom"/>
            <w:shd w:val="clear" w:color="auto" w:fill="FDFDFC"/>
          </w:tcPr>
          <w:p>
            <w:pPr>
              <w:jc w:val="right"/>
              <w:spacing w:after="0" w:line="217" w:lineRule="exact"/>
              <w:rPr>
                <w:sz w:val="20"/>
                <w:szCs w:val="20"/>
                <w:color w:val="auto"/>
              </w:rPr>
            </w:pPr>
            <w:r>
              <w:rPr>
                <w:rFonts w:ascii="Times New Roman" w:cs="Times New Roman" w:eastAsia="Times New Roman" w:hAnsi="Times New Roman"/>
                <w:sz w:val="19"/>
                <w:szCs w:val="19"/>
                <w:color w:val="231F20"/>
              </w:rPr>
              <w:t>4,306</w:t>
            </w:r>
          </w:p>
        </w:tc>
        <w:tc>
          <w:tcPr>
            <w:tcW w:w="60" w:type="dxa"/>
            <w:vAlign w:val="bottom"/>
            <w:shd w:val="clear" w:color="auto" w:fill="FDFDFC"/>
          </w:tcPr>
          <w:p>
            <w:pPr>
              <w:spacing w:after="0"/>
              <w:rPr>
                <w:sz w:val="18"/>
                <w:szCs w:val="18"/>
                <w:color w:val="auto"/>
              </w:rPr>
            </w:pPr>
          </w:p>
        </w:tc>
        <w:tc>
          <w:tcPr>
            <w:tcW w:w="160" w:type="dxa"/>
            <w:vAlign w:val="bottom"/>
            <w:shd w:val="clear" w:color="auto" w:fill="FDFDFC"/>
          </w:tcPr>
          <w:p>
            <w:pPr>
              <w:spacing w:after="0"/>
              <w:rPr>
                <w:sz w:val="18"/>
                <w:szCs w:val="18"/>
                <w:color w:val="auto"/>
              </w:rPr>
            </w:pPr>
          </w:p>
        </w:tc>
        <w:tc>
          <w:tcPr>
            <w:tcW w:w="80" w:type="dxa"/>
            <w:vAlign w:val="bottom"/>
            <w:shd w:val="clear" w:color="auto" w:fill="FDFDFC"/>
          </w:tcPr>
          <w:p>
            <w:pPr>
              <w:jc w:val="right"/>
              <w:spacing w:after="0"/>
              <w:rPr>
                <w:sz w:val="20"/>
                <w:szCs w:val="20"/>
                <w:color w:val="auto"/>
              </w:rPr>
            </w:pPr>
            <w:r>
              <w:rPr>
                <w:rFonts w:ascii="Times New Roman" w:cs="Times New Roman" w:eastAsia="Times New Roman" w:hAnsi="Times New Roman"/>
                <w:sz w:val="17"/>
                <w:szCs w:val="17"/>
                <w:color w:val="231F20"/>
                <w:w w:val="70"/>
              </w:rPr>
              <w:t>$</w:t>
            </w:r>
          </w:p>
        </w:tc>
        <w:tc>
          <w:tcPr>
            <w:tcW w:w="220" w:type="dxa"/>
            <w:vAlign w:val="bottom"/>
            <w:shd w:val="clear" w:color="auto" w:fill="FDFDFC"/>
          </w:tcPr>
          <w:p>
            <w:pPr>
              <w:spacing w:after="0"/>
              <w:rPr>
                <w:sz w:val="18"/>
                <w:szCs w:val="18"/>
                <w:color w:val="auto"/>
              </w:rPr>
            </w:pPr>
          </w:p>
        </w:tc>
        <w:tc>
          <w:tcPr>
            <w:tcW w:w="740" w:type="dxa"/>
            <w:vAlign w:val="bottom"/>
            <w:shd w:val="clear" w:color="auto" w:fill="FDFDFC"/>
          </w:tcPr>
          <w:p>
            <w:pPr>
              <w:jc w:val="right"/>
              <w:spacing w:after="0" w:line="217" w:lineRule="exact"/>
              <w:rPr>
                <w:sz w:val="20"/>
                <w:szCs w:val="20"/>
                <w:color w:val="auto"/>
              </w:rPr>
            </w:pPr>
            <w:r>
              <w:rPr>
                <w:rFonts w:ascii="Times New Roman" w:cs="Times New Roman" w:eastAsia="Times New Roman" w:hAnsi="Times New Roman"/>
                <w:sz w:val="19"/>
                <w:szCs w:val="19"/>
                <w:color w:val="231F20"/>
              </w:rPr>
              <w:t>10,015</w:t>
            </w:r>
          </w:p>
        </w:tc>
        <w:tc>
          <w:tcPr>
            <w:tcW w:w="20" w:type="dxa"/>
            <w:vAlign w:val="bottom"/>
            <w:shd w:val="clear" w:color="auto" w:fill="FDFDFC"/>
          </w:tcPr>
          <w:p>
            <w:pPr>
              <w:spacing w:after="0"/>
              <w:rPr>
                <w:sz w:val="18"/>
                <w:szCs w:val="18"/>
                <w:color w:val="auto"/>
              </w:rPr>
            </w:pPr>
          </w:p>
        </w:tc>
        <w:tc>
          <w:tcPr>
            <w:tcW w:w="80" w:type="dxa"/>
            <w:vAlign w:val="bottom"/>
            <w:shd w:val="clear" w:color="auto" w:fill="FDFDFC"/>
          </w:tcPr>
          <w:p>
            <w:pPr>
              <w:spacing w:after="0"/>
              <w:rPr>
                <w:sz w:val="18"/>
                <w:szCs w:val="18"/>
                <w:color w:val="auto"/>
              </w:rPr>
            </w:pPr>
          </w:p>
        </w:tc>
      </w:tr>
      <w:tr>
        <w:trPr>
          <w:trHeight w:val="217"/>
        </w:trPr>
        <w:tc>
          <w:tcPr>
            <w:tcW w:w="4280" w:type="dxa"/>
            <w:vAlign w:val="bottom"/>
            <w:shd w:val="clear" w:color="auto" w:fill="D0EBF2"/>
          </w:tcPr>
          <w:p>
            <w:pPr>
              <w:spacing w:after="0" w:line="217" w:lineRule="exact"/>
              <w:rPr>
                <w:sz w:val="20"/>
                <w:szCs w:val="20"/>
                <w:color w:val="auto"/>
              </w:rPr>
            </w:pPr>
            <w:r>
              <w:rPr>
                <w:rFonts w:ascii="Times New Roman" w:cs="Times New Roman" w:eastAsia="Times New Roman" w:hAnsi="Times New Roman"/>
                <w:sz w:val="19"/>
                <w:szCs w:val="19"/>
                <w:color w:val="231F20"/>
              </w:rPr>
              <w:t>Increase in Net Assets Resulting from Operations</w:t>
            </w:r>
          </w:p>
        </w:tc>
        <w:tc>
          <w:tcPr>
            <w:tcW w:w="460" w:type="dxa"/>
            <w:vAlign w:val="bottom"/>
            <w:gridSpan w:val="2"/>
            <w:shd w:val="clear" w:color="auto" w:fill="D0EBF2"/>
          </w:tcPr>
          <w:p>
            <w:pPr>
              <w:jc w:val="right"/>
              <w:ind w:right="66"/>
              <w:spacing w:after="0" w:line="217" w:lineRule="exact"/>
              <w:rPr>
                <w:sz w:val="20"/>
                <w:szCs w:val="20"/>
                <w:color w:val="auto"/>
              </w:rPr>
            </w:pPr>
            <w:r>
              <w:rPr>
                <w:rFonts w:ascii="Times New Roman" w:cs="Times New Roman" w:eastAsia="Times New Roman" w:hAnsi="Times New Roman"/>
                <w:sz w:val="19"/>
                <w:szCs w:val="19"/>
                <w:color w:val="231F20"/>
              </w:rPr>
              <w:t>$</w:t>
            </w:r>
          </w:p>
        </w:tc>
        <w:tc>
          <w:tcPr>
            <w:tcW w:w="800" w:type="dxa"/>
            <w:vAlign w:val="bottom"/>
            <w:shd w:val="clear" w:color="auto" w:fill="D0EBF2"/>
          </w:tcPr>
          <w:p>
            <w:pPr>
              <w:jc w:val="right"/>
              <w:spacing w:after="0" w:line="217" w:lineRule="exact"/>
              <w:rPr>
                <w:sz w:val="20"/>
                <w:szCs w:val="20"/>
                <w:color w:val="auto"/>
              </w:rPr>
            </w:pPr>
            <w:r>
              <w:rPr>
                <w:rFonts w:ascii="Times New Roman" w:cs="Times New Roman" w:eastAsia="Times New Roman" w:hAnsi="Times New Roman"/>
                <w:sz w:val="19"/>
                <w:szCs w:val="19"/>
                <w:color w:val="231F20"/>
              </w:rPr>
              <w:t>51,161</w:t>
            </w:r>
          </w:p>
        </w:tc>
        <w:tc>
          <w:tcPr>
            <w:tcW w:w="180" w:type="dxa"/>
            <w:vAlign w:val="bottom"/>
            <w:shd w:val="clear" w:color="auto" w:fill="D0EBF2"/>
          </w:tcPr>
          <w:p>
            <w:pPr>
              <w:spacing w:after="0"/>
              <w:rPr>
                <w:sz w:val="18"/>
                <w:szCs w:val="18"/>
                <w:color w:val="auto"/>
              </w:rPr>
            </w:pPr>
          </w:p>
        </w:tc>
        <w:tc>
          <w:tcPr>
            <w:tcW w:w="140" w:type="dxa"/>
            <w:vAlign w:val="bottom"/>
            <w:gridSpan w:val="2"/>
            <w:shd w:val="clear" w:color="auto" w:fill="D0EBF2"/>
          </w:tcPr>
          <w:p>
            <w:pPr>
              <w:jc w:val="right"/>
              <w:spacing w:after="0" w:line="217" w:lineRule="exact"/>
              <w:rPr>
                <w:sz w:val="20"/>
                <w:szCs w:val="20"/>
                <w:color w:val="auto"/>
              </w:rPr>
            </w:pPr>
            <w:r>
              <w:rPr>
                <w:rFonts w:ascii="Times New Roman" w:cs="Times New Roman" w:eastAsia="Times New Roman" w:hAnsi="Times New Roman"/>
                <w:sz w:val="19"/>
                <w:szCs w:val="19"/>
                <w:color w:val="231F20"/>
              </w:rPr>
              <w:t>$</w:t>
            </w:r>
          </w:p>
        </w:tc>
        <w:tc>
          <w:tcPr>
            <w:tcW w:w="100" w:type="dxa"/>
            <w:vAlign w:val="bottom"/>
            <w:shd w:val="clear" w:color="auto" w:fill="D0EBF2"/>
          </w:tcPr>
          <w:p>
            <w:pPr>
              <w:spacing w:after="0"/>
              <w:rPr>
                <w:sz w:val="18"/>
                <w:szCs w:val="18"/>
                <w:color w:val="auto"/>
              </w:rPr>
            </w:pPr>
          </w:p>
        </w:tc>
        <w:tc>
          <w:tcPr>
            <w:tcW w:w="140" w:type="dxa"/>
            <w:vAlign w:val="bottom"/>
            <w:shd w:val="clear" w:color="auto" w:fill="D0EBF2"/>
          </w:tcPr>
          <w:p>
            <w:pPr>
              <w:spacing w:after="0"/>
              <w:rPr>
                <w:sz w:val="18"/>
                <w:szCs w:val="18"/>
                <w:color w:val="auto"/>
              </w:rPr>
            </w:pPr>
          </w:p>
        </w:tc>
        <w:tc>
          <w:tcPr>
            <w:tcW w:w="660" w:type="dxa"/>
            <w:vAlign w:val="bottom"/>
            <w:shd w:val="clear" w:color="auto" w:fill="D0EBF2"/>
          </w:tcPr>
          <w:p>
            <w:pPr>
              <w:jc w:val="right"/>
              <w:spacing w:after="0" w:line="217" w:lineRule="exact"/>
              <w:rPr>
                <w:sz w:val="20"/>
                <w:szCs w:val="20"/>
                <w:color w:val="auto"/>
              </w:rPr>
            </w:pPr>
            <w:r>
              <w:rPr>
                <w:rFonts w:ascii="Times New Roman" w:cs="Times New Roman" w:eastAsia="Times New Roman" w:hAnsi="Times New Roman"/>
                <w:sz w:val="19"/>
                <w:szCs w:val="19"/>
                <w:color w:val="231F20"/>
              </w:rPr>
              <w:t>64,820</w:t>
            </w:r>
          </w:p>
        </w:tc>
        <w:tc>
          <w:tcPr>
            <w:tcW w:w="120" w:type="dxa"/>
            <w:vAlign w:val="bottom"/>
            <w:shd w:val="clear" w:color="auto" w:fill="D0EBF2"/>
          </w:tcPr>
          <w:p>
            <w:pPr>
              <w:spacing w:after="0"/>
              <w:rPr>
                <w:sz w:val="18"/>
                <w:szCs w:val="18"/>
                <w:color w:val="auto"/>
              </w:rPr>
            </w:pPr>
          </w:p>
        </w:tc>
        <w:tc>
          <w:tcPr>
            <w:tcW w:w="80" w:type="dxa"/>
            <w:vAlign w:val="bottom"/>
            <w:shd w:val="clear" w:color="auto" w:fill="D0EBF2"/>
          </w:tcPr>
          <w:p>
            <w:pPr>
              <w:spacing w:after="0"/>
              <w:rPr>
                <w:sz w:val="18"/>
                <w:szCs w:val="18"/>
                <w:color w:val="auto"/>
              </w:rPr>
            </w:pPr>
          </w:p>
        </w:tc>
        <w:tc>
          <w:tcPr>
            <w:tcW w:w="180" w:type="dxa"/>
            <w:vAlign w:val="bottom"/>
            <w:shd w:val="clear" w:color="auto" w:fill="D0EBF2"/>
          </w:tcPr>
          <w:p>
            <w:pPr>
              <w:jc w:val="right"/>
              <w:spacing w:after="0" w:line="217" w:lineRule="exact"/>
              <w:rPr>
                <w:sz w:val="20"/>
                <w:szCs w:val="20"/>
                <w:color w:val="auto"/>
              </w:rPr>
            </w:pPr>
            <w:r>
              <w:rPr>
                <w:rFonts w:ascii="Times New Roman" w:cs="Times New Roman" w:eastAsia="Times New Roman" w:hAnsi="Times New Roman"/>
                <w:sz w:val="19"/>
                <w:szCs w:val="19"/>
                <w:color w:val="231F20"/>
                <w:w w:val="83"/>
              </w:rPr>
              <w:t>$</w:t>
            </w:r>
          </w:p>
        </w:tc>
        <w:tc>
          <w:tcPr>
            <w:tcW w:w="120" w:type="dxa"/>
            <w:vAlign w:val="bottom"/>
            <w:shd w:val="clear" w:color="auto" w:fill="D0EBF2"/>
          </w:tcPr>
          <w:p>
            <w:pPr>
              <w:spacing w:after="0"/>
              <w:rPr>
                <w:sz w:val="18"/>
                <w:szCs w:val="18"/>
                <w:color w:val="auto"/>
              </w:rPr>
            </w:pPr>
          </w:p>
        </w:tc>
        <w:tc>
          <w:tcPr>
            <w:tcW w:w="660" w:type="dxa"/>
            <w:vAlign w:val="bottom"/>
            <w:shd w:val="clear" w:color="auto" w:fill="D0EBF2"/>
          </w:tcPr>
          <w:p>
            <w:pPr>
              <w:jc w:val="right"/>
              <w:spacing w:after="0" w:line="217" w:lineRule="exact"/>
              <w:rPr>
                <w:sz w:val="20"/>
                <w:szCs w:val="20"/>
                <w:color w:val="auto"/>
              </w:rPr>
            </w:pPr>
            <w:r>
              <w:rPr>
                <w:rFonts w:ascii="Times New Roman" w:cs="Times New Roman" w:eastAsia="Times New Roman" w:hAnsi="Times New Roman"/>
                <w:sz w:val="19"/>
                <w:szCs w:val="19"/>
                <w:color w:val="231F20"/>
              </w:rPr>
              <w:t>53,090</w:t>
            </w:r>
          </w:p>
        </w:tc>
        <w:tc>
          <w:tcPr>
            <w:tcW w:w="60" w:type="dxa"/>
            <w:vAlign w:val="bottom"/>
            <w:shd w:val="clear" w:color="auto" w:fill="D0EBF2"/>
          </w:tcPr>
          <w:p>
            <w:pPr>
              <w:spacing w:after="0"/>
              <w:rPr>
                <w:sz w:val="18"/>
                <w:szCs w:val="18"/>
                <w:color w:val="auto"/>
              </w:rPr>
            </w:pPr>
          </w:p>
        </w:tc>
        <w:tc>
          <w:tcPr>
            <w:tcW w:w="160" w:type="dxa"/>
            <w:vAlign w:val="bottom"/>
            <w:shd w:val="clear" w:color="auto" w:fill="D0EBF2"/>
          </w:tcPr>
          <w:p>
            <w:pPr>
              <w:spacing w:after="0"/>
              <w:rPr>
                <w:sz w:val="18"/>
                <w:szCs w:val="18"/>
                <w:color w:val="auto"/>
              </w:rPr>
            </w:pPr>
          </w:p>
        </w:tc>
        <w:tc>
          <w:tcPr>
            <w:tcW w:w="80" w:type="dxa"/>
            <w:vAlign w:val="bottom"/>
            <w:shd w:val="clear" w:color="auto" w:fill="D0EBF2"/>
          </w:tcPr>
          <w:p>
            <w:pPr>
              <w:jc w:val="right"/>
              <w:spacing w:after="0"/>
              <w:rPr>
                <w:sz w:val="20"/>
                <w:szCs w:val="20"/>
                <w:color w:val="auto"/>
              </w:rPr>
            </w:pPr>
            <w:r>
              <w:rPr>
                <w:rFonts w:ascii="Times New Roman" w:cs="Times New Roman" w:eastAsia="Times New Roman" w:hAnsi="Times New Roman"/>
                <w:sz w:val="17"/>
                <w:szCs w:val="17"/>
                <w:color w:val="231F20"/>
                <w:w w:val="70"/>
              </w:rPr>
              <w:t>$</w:t>
            </w:r>
          </w:p>
        </w:tc>
        <w:tc>
          <w:tcPr>
            <w:tcW w:w="220" w:type="dxa"/>
            <w:vAlign w:val="bottom"/>
            <w:shd w:val="clear" w:color="auto" w:fill="D0EBF2"/>
          </w:tcPr>
          <w:p>
            <w:pPr>
              <w:spacing w:after="0"/>
              <w:rPr>
                <w:sz w:val="18"/>
                <w:szCs w:val="18"/>
                <w:color w:val="auto"/>
              </w:rPr>
            </w:pPr>
          </w:p>
        </w:tc>
        <w:tc>
          <w:tcPr>
            <w:tcW w:w="740" w:type="dxa"/>
            <w:vAlign w:val="bottom"/>
            <w:shd w:val="clear" w:color="auto" w:fill="D0EBF2"/>
          </w:tcPr>
          <w:p>
            <w:pPr>
              <w:jc w:val="right"/>
              <w:spacing w:after="0" w:line="217" w:lineRule="exact"/>
              <w:rPr>
                <w:sz w:val="20"/>
                <w:szCs w:val="20"/>
                <w:color w:val="auto"/>
              </w:rPr>
            </w:pPr>
            <w:r>
              <w:rPr>
                <w:rFonts w:ascii="Times New Roman" w:cs="Times New Roman" w:eastAsia="Times New Roman" w:hAnsi="Times New Roman"/>
                <w:sz w:val="19"/>
                <w:szCs w:val="19"/>
                <w:color w:val="231F20"/>
              </w:rPr>
              <w:t>52,952</w:t>
            </w:r>
          </w:p>
        </w:tc>
        <w:tc>
          <w:tcPr>
            <w:tcW w:w="20" w:type="dxa"/>
            <w:vAlign w:val="bottom"/>
            <w:shd w:val="clear" w:color="auto" w:fill="D0EBF2"/>
          </w:tcPr>
          <w:p>
            <w:pPr>
              <w:spacing w:after="0"/>
              <w:rPr>
                <w:sz w:val="18"/>
                <w:szCs w:val="18"/>
                <w:color w:val="auto"/>
              </w:rPr>
            </w:pPr>
          </w:p>
        </w:tc>
        <w:tc>
          <w:tcPr>
            <w:tcW w:w="80" w:type="dxa"/>
            <w:vAlign w:val="bottom"/>
            <w:shd w:val="clear" w:color="auto" w:fill="D0EBF2"/>
          </w:tcPr>
          <w:p>
            <w:pPr>
              <w:spacing w:after="0"/>
              <w:rPr>
                <w:sz w:val="18"/>
                <w:szCs w:val="18"/>
                <w:color w:val="auto"/>
              </w:rPr>
            </w:pPr>
          </w:p>
        </w:tc>
      </w:tr>
      <w:tr>
        <w:trPr>
          <w:trHeight w:val="217"/>
        </w:trPr>
        <w:tc>
          <w:tcPr>
            <w:tcW w:w="4280" w:type="dxa"/>
            <w:vAlign w:val="bottom"/>
            <w:shd w:val="clear" w:color="auto" w:fill="FDFDFC"/>
          </w:tcPr>
          <w:p>
            <w:pPr>
              <w:spacing w:after="0" w:line="217" w:lineRule="exact"/>
              <w:rPr>
                <w:sz w:val="20"/>
                <w:szCs w:val="20"/>
                <w:color w:val="auto"/>
              </w:rPr>
            </w:pPr>
            <w:r>
              <w:rPr>
                <w:rFonts w:ascii="Times New Roman" w:cs="Times New Roman" w:eastAsia="Times New Roman" w:hAnsi="Times New Roman"/>
                <w:sz w:val="19"/>
                <w:szCs w:val="19"/>
                <w:color w:val="231F20"/>
              </w:rPr>
              <w:t>Net Asset Value per Share as of the End of the Quarter</w:t>
            </w:r>
          </w:p>
        </w:tc>
        <w:tc>
          <w:tcPr>
            <w:tcW w:w="460" w:type="dxa"/>
            <w:vAlign w:val="bottom"/>
            <w:gridSpan w:val="2"/>
            <w:shd w:val="clear" w:color="auto" w:fill="FDFDFC"/>
          </w:tcPr>
          <w:p>
            <w:pPr>
              <w:jc w:val="right"/>
              <w:ind w:right="66"/>
              <w:spacing w:after="0" w:line="217" w:lineRule="exact"/>
              <w:rPr>
                <w:sz w:val="20"/>
                <w:szCs w:val="20"/>
                <w:color w:val="auto"/>
              </w:rPr>
            </w:pPr>
            <w:r>
              <w:rPr>
                <w:rFonts w:ascii="Times New Roman" w:cs="Times New Roman" w:eastAsia="Times New Roman" w:hAnsi="Times New Roman"/>
                <w:sz w:val="19"/>
                <w:szCs w:val="19"/>
                <w:color w:val="231F20"/>
              </w:rPr>
              <w:t>$</w:t>
            </w:r>
          </w:p>
        </w:tc>
        <w:tc>
          <w:tcPr>
            <w:tcW w:w="800" w:type="dxa"/>
            <w:vAlign w:val="bottom"/>
            <w:shd w:val="clear" w:color="auto" w:fill="FDFDFC"/>
          </w:tcPr>
          <w:p>
            <w:pPr>
              <w:jc w:val="right"/>
              <w:spacing w:after="0" w:line="217" w:lineRule="exact"/>
              <w:rPr>
                <w:sz w:val="20"/>
                <w:szCs w:val="20"/>
                <w:color w:val="auto"/>
              </w:rPr>
            </w:pPr>
            <w:r>
              <w:rPr>
                <w:rFonts w:ascii="Times New Roman" w:cs="Times New Roman" w:eastAsia="Times New Roman" w:hAnsi="Times New Roman"/>
                <w:sz w:val="19"/>
                <w:szCs w:val="19"/>
                <w:color w:val="231F20"/>
              </w:rPr>
              <w:t>17.04</w:t>
            </w:r>
          </w:p>
        </w:tc>
        <w:tc>
          <w:tcPr>
            <w:tcW w:w="180" w:type="dxa"/>
            <w:vAlign w:val="bottom"/>
            <w:shd w:val="clear" w:color="auto" w:fill="FDFDFC"/>
          </w:tcPr>
          <w:p>
            <w:pPr>
              <w:spacing w:after="0"/>
              <w:rPr>
                <w:sz w:val="18"/>
                <w:szCs w:val="18"/>
                <w:color w:val="auto"/>
              </w:rPr>
            </w:pPr>
          </w:p>
        </w:tc>
        <w:tc>
          <w:tcPr>
            <w:tcW w:w="140" w:type="dxa"/>
            <w:vAlign w:val="bottom"/>
            <w:gridSpan w:val="2"/>
            <w:shd w:val="clear" w:color="auto" w:fill="FDFDFC"/>
          </w:tcPr>
          <w:p>
            <w:pPr>
              <w:jc w:val="right"/>
              <w:spacing w:after="0" w:line="217" w:lineRule="exact"/>
              <w:rPr>
                <w:sz w:val="20"/>
                <w:szCs w:val="20"/>
                <w:color w:val="auto"/>
              </w:rPr>
            </w:pPr>
            <w:r>
              <w:rPr>
                <w:rFonts w:ascii="Times New Roman" w:cs="Times New Roman" w:eastAsia="Times New Roman" w:hAnsi="Times New Roman"/>
                <w:sz w:val="19"/>
                <w:szCs w:val="19"/>
                <w:color w:val="231F20"/>
              </w:rPr>
              <w:t>$</w:t>
            </w:r>
          </w:p>
        </w:tc>
        <w:tc>
          <w:tcPr>
            <w:tcW w:w="100" w:type="dxa"/>
            <w:vAlign w:val="bottom"/>
            <w:shd w:val="clear" w:color="auto" w:fill="FDFDFC"/>
          </w:tcPr>
          <w:p>
            <w:pPr>
              <w:spacing w:after="0"/>
              <w:rPr>
                <w:sz w:val="18"/>
                <w:szCs w:val="18"/>
                <w:color w:val="auto"/>
              </w:rPr>
            </w:pPr>
          </w:p>
        </w:tc>
        <w:tc>
          <w:tcPr>
            <w:tcW w:w="140" w:type="dxa"/>
            <w:vAlign w:val="bottom"/>
            <w:shd w:val="clear" w:color="auto" w:fill="FDFDFC"/>
          </w:tcPr>
          <w:p>
            <w:pPr>
              <w:spacing w:after="0"/>
              <w:rPr>
                <w:sz w:val="18"/>
                <w:szCs w:val="18"/>
                <w:color w:val="auto"/>
              </w:rPr>
            </w:pPr>
          </w:p>
        </w:tc>
        <w:tc>
          <w:tcPr>
            <w:tcW w:w="660" w:type="dxa"/>
            <w:vAlign w:val="bottom"/>
            <w:shd w:val="clear" w:color="auto" w:fill="FDFDFC"/>
          </w:tcPr>
          <w:p>
            <w:pPr>
              <w:jc w:val="right"/>
              <w:spacing w:after="0" w:line="217" w:lineRule="exact"/>
              <w:rPr>
                <w:sz w:val="20"/>
                <w:szCs w:val="20"/>
                <w:color w:val="auto"/>
              </w:rPr>
            </w:pPr>
            <w:r>
              <w:rPr>
                <w:rFonts w:ascii="Times New Roman" w:cs="Times New Roman" w:eastAsia="Times New Roman" w:hAnsi="Times New Roman"/>
                <w:sz w:val="19"/>
                <w:szCs w:val="19"/>
                <w:color w:val="231F20"/>
              </w:rPr>
              <w:t>16.97</w:t>
            </w:r>
          </w:p>
        </w:tc>
        <w:tc>
          <w:tcPr>
            <w:tcW w:w="120" w:type="dxa"/>
            <w:vAlign w:val="bottom"/>
            <w:shd w:val="clear" w:color="auto" w:fill="FDFDFC"/>
          </w:tcPr>
          <w:p>
            <w:pPr>
              <w:spacing w:after="0"/>
              <w:rPr>
                <w:sz w:val="18"/>
                <w:szCs w:val="18"/>
                <w:color w:val="auto"/>
              </w:rPr>
            </w:pPr>
          </w:p>
        </w:tc>
        <w:tc>
          <w:tcPr>
            <w:tcW w:w="80" w:type="dxa"/>
            <w:vAlign w:val="bottom"/>
            <w:shd w:val="clear" w:color="auto" w:fill="FDFDFC"/>
          </w:tcPr>
          <w:p>
            <w:pPr>
              <w:spacing w:after="0"/>
              <w:rPr>
                <w:sz w:val="18"/>
                <w:szCs w:val="18"/>
                <w:color w:val="auto"/>
              </w:rPr>
            </w:pPr>
          </w:p>
        </w:tc>
        <w:tc>
          <w:tcPr>
            <w:tcW w:w="180" w:type="dxa"/>
            <w:vAlign w:val="bottom"/>
            <w:shd w:val="clear" w:color="auto" w:fill="FDFDFC"/>
          </w:tcPr>
          <w:p>
            <w:pPr>
              <w:jc w:val="right"/>
              <w:spacing w:after="0" w:line="217" w:lineRule="exact"/>
              <w:rPr>
                <w:sz w:val="20"/>
                <w:szCs w:val="20"/>
                <w:color w:val="auto"/>
              </w:rPr>
            </w:pPr>
            <w:r>
              <w:rPr>
                <w:rFonts w:ascii="Times New Roman" w:cs="Times New Roman" w:eastAsia="Times New Roman" w:hAnsi="Times New Roman"/>
                <w:sz w:val="19"/>
                <w:szCs w:val="19"/>
                <w:color w:val="231F20"/>
                <w:w w:val="83"/>
              </w:rPr>
              <w:t>$</w:t>
            </w:r>
          </w:p>
        </w:tc>
        <w:tc>
          <w:tcPr>
            <w:tcW w:w="120" w:type="dxa"/>
            <w:vAlign w:val="bottom"/>
            <w:shd w:val="clear" w:color="auto" w:fill="FDFDFC"/>
          </w:tcPr>
          <w:p>
            <w:pPr>
              <w:spacing w:after="0"/>
              <w:rPr>
                <w:sz w:val="18"/>
                <w:szCs w:val="18"/>
                <w:color w:val="auto"/>
              </w:rPr>
            </w:pPr>
          </w:p>
        </w:tc>
        <w:tc>
          <w:tcPr>
            <w:tcW w:w="660" w:type="dxa"/>
            <w:vAlign w:val="bottom"/>
            <w:shd w:val="clear" w:color="auto" w:fill="FDFDFC"/>
          </w:tcPr>
          <w:p>
            <w:pPr>
              <w:jc w:val="right"/>
              <w:spacing w:after="0" w:line="217" w:lineRule="exact"/>
              <w:rPr>
                <w:sz w:val="20"/>
                <w:szCs w:val="20"/>
                <w:color w:val="auto"/>
              </w:rPr>
            </w:pPr>
            <w:r>
              <w:rPr>
                <w:rFonts w:ascii="Times New Roman" w:cs="Times New Roman" w:eastAsia="Times New Roman" w:hAnsi="Times New Roman"/>
                <w:sz w:val="19"/>
                <w:szCs w:val="19"/>
                <w:color w:val="231F20"/>
              </w:rPr>
              <w:t>16.74</w:t>
            </w:r>
          </w:p>
        </w:tc>
        <w:tc>
          <w:tcPr>
            <w:tcW w:w="60" w:type="dxa"/>
            <w:vAlign w:val="bottom"/>
            <w:shd w:val="clear" w:color="auto" w:fill="FDFDFC"/>
          </w:tcPr>
          <w:p>
            <w:pPr>
              <w:spacing w:after="0"/>
              <w:rPr>
                <w:sz w:val="18"/>
                <w:szCs w:val="18"/>
                <w:color w:val="auto"/>
              </w:rPr>
            </w:pPr>
          </w:p>
        </w:tc>
        <w:tc>
          <w:tcPr>
            <w:tcW w:w="160" w:type="dxa"/>
            <w:vAlign w:val="bottom"/>
            <w:shd w:val="clear" w:color="auto" w:fill="FDFDFC"/>
          </w:tcPr>
          <w:p>
            <w:pPr>
              <w:spacing w:after="0"/>
              <w:rPr>
                <w:sz w:val="18"/>
                <w:szCs w:val="18"/>
                <w:color w:val="auto"/>
              </w:rPr>
            </w:pPr>
          </w:p>
        </w:tc>
        <w:tc>
          <w:tcPr>
            <w:tcW w:w="80" w:type="dxa"/>
            <w:vAlign w:val="bottom"/>
            <w:shd w:val="clear" w:color="auto" w:fill="FDFDFC"/>
          </w:tcPr>
          <w:p>
            <w:pPr>
              <w:jc w:val="right"/>
              <w:spacing w:after="0"/>
              <w:rPr>
                <w:sz w:val="20"/>
                <w:szCs w:val="20"/>
                <w:color w:val="auto"/>
              </w:rPr>
            </w:pPr>
            <w:r>
              <w:rPr>
                <w:rFonts w:ascii="Times New Roman" w:cs="Times New Roman" w:eastAsia="Times New Roman" w:hAnsi="Times New Roman"/>
                <w:sz w:val="17"/>
                <w:szCs w:val="17"/>
                <w:color w:val="231F20"/>
                <w:w w:val="70"/>
              </w:rPr>
              <w:t>$</w:t>
            </w:r>
          </w:p>
        </w:tc>
        <w:tc>
          <w:tcPr>
            <w:tcW w:w="220" w:type="dxa"/>
            <w:vAlign w:val="bottom"/>
            <w:shd w:val="clear" w:color="auto" w:fill="FDFDFC"/>
          </w:tcPr>
          <w:p>
            <w:pPr>
              <w:spacing w:after="0"/>
              <w:rPr>
                <w:sz w:val="18"/>
                <w:szCs w:val="18"/>
                <w:color w:val="auto"/>
              </w:rPr>
            </w:pPr>
          </w:p>
        </w:tc>
        <w:tc>
          <w:tcPr>
            <w:tcW w:w="740" w:type="dxa"/>
            <w:vAlign w:val="bottom"/>
            <w:shd w:val="clear" w:color="auto" w:fill="FDFDFC"/>
          </w:tcPr>
          <w:p>
            <w:pPr>
              <w:jc w:val="right"/>
              <w:spacing w:after="0" w:line="217" w:lineRule="exact"/>
              <w:rPr>
                <w:sz w:val="20"/>
                <w:szCs w:val="20"/>
                <w:color w:val="auto"/>
              </w:rPr>
            </w:pPr>
            <w:r>
              <w:rPr>
                <w:rFonts w:ascii="Times New Roman" w:cs="Times New Roman" w:eastAsia="Times New Roman" w:hAnsi="Times New Roman"/>
                <w:sz w:val="19"/>
                <w:szCs w:val="19"/>
                <w:color w:val="231F20"/>
              </w:rPr>
              <w:t>16.59</w:t>
            </w:r>
          </w:p>
        </w:tc>
        <w:tc>
          <w:tcPr>
            <w:tcW w:w="20" w:type="dxa"/>
            <w:vAlign w:val="bottom"/>
            <w:shd w:val="clear" w:color="auto" w:fill="FDFDFC"/>
          </w:tcPr>
          <w:p>
            <w:pPr>
              <w:spacing w:after="0"/>
              <w:rPr>
                <w:sz w:val="18"/>
                <w:szCs w:val="18"/>
                <w:color w:val="auto"/>
              </w:rPr>
            </w:pPr>
          </w:p>
        </w:tc>
        <w:tc>
          <w:tcPr>
            <w:tcW w:w="80" w:type="dxa"/>
            <w:vAlign w:val="bottom"/>
            <w:shd w:val="clear" w:color="auto" w:fill="FDFDFC"/>
          </w:tcPr>
          <w:p>
            <w:pPr>
              <w:spacing w:after="0"/>
              <w:rPr>
                <w:sz w:val="18"/>
                <w:szCs w:val="18"/>
                <w:color w:val="auto"/>
              </w:rPr>
            </w:pPr>
          </w:p>
        </w:tc>
      </w:tr>
      <w:tr>
        <w:trPr>
          <w:trHeight w:val="217"/>
        </w:trPr>
        <w:tc>
          <w:tcPr>
            <w:tcW w:w="4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tcPr>
          <w:p>
            <w:pPr>
              <w:spacing w:after="0"/>
              <w:rPr>
                <w:sz w:val="18"/>
                <w:szCs w:val="18"/>
                <w:color w:val="auto"/>
              </w:rPr>
            </w:pPr>
          </w:p>
        </w:tc>
        <w:tc>
          <w:tcPr>
            <w:tcW w:w="26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4280" w:type="dxa"/>
            <w:vAlign w:val="bottom"/>
            <w:tcBorders>
              <w:bottom w:val="single" w:sz="8" w:color="FDFDFC"/>
            </w:tcBorders>
            <w:shd w:val="clear" w:color="auto" w:fill="FDFDFC"/>
          </w:tcPr>
          <w:p>
            <w:pPr>
              <w:spacing w:after="0"/>
              <w:rPr>
                <w:sz w:val="18"/>
                <w:szCs w:val="18"/>
                <w:color w:val="auto"/>
              </w:rPr>
            </w:pPr>
          </w:p>
        </w:tc>
        <w:tc>
          <w:tcPr>
            <w:tcW w:w="200" w:type="dxa"/>
            <w:vAlign w:val="bottom"/>
            <w:tcBorders>
              <w:bottom w:val="single" w:sz="8" w:color="FDFDFC"/>
            </w:tcBorders>
            <w:shd w:val="clear" w:color="auto" w:fill="FDFDFC"/>
          </w:tcPr>
          <w:p>
            <w:pPr>
              <w:spacing w:after="0"/>
              <w:rPr>
                <w:sz w:val="18"/>
                <w:szCs w:val="18"/>
                <w:color w:val="auto"/>
              </w:rPr>
            </w:pPr>
          </w:p>
        </w:tc>
        <w:tc>
          <w:tcPr>
            <w:tcW w:w="260" w:type="dxa"/>
            <w:vAlign w:val="bottom"/>
            <w:tcBorders>
              <w:bottom w:val="single" w:sz="8" w:color="231F20"/>
            </w:tcBorders>
            <w:shd w:val="clear" w:color="auto" w:fill="FDFDFC"/>
          </w:tcPr>
          <w:p>
            <w:pPr>
              <w:spacing w:after="0"/>
              <w:rPr>
                <w:sz w:val="18"/>
                <w:szCs w:val="18"/>
                <w:color w:val="auto"/>
              </w:rPr>
            </w:pPr>
          </w:p>
        </w:tc>
        <w:tc>
          <w:tcPr>
            <w:tcW w:w="800" w:type="dxa"/>
            <w:vAlign w:val="bottom"/>
            <w:tcBorders>
              <w:bottom w:val="single" w:sz="8" w:color="231F20"/>
            </w:tcBorders>
            <w:shd w:val="clear" w:color="auto" w:fill="FDFDFC"/>
          </w:tcPr>
          <w:p>
            <w:pPr>
              <w:spacing w:after="0"/>
              <w:rPr>
                <w:sz w:val="18"/>
                <w:szCs w:val="18"/>
                <w:color w:val="auto"/>
              </w:rPr>
            </w:pPr>
          </w:p>
        </w:tc>
        <w:tc>
          <w:tcPr>
            <w:tcW w:w="180" w:type="dxa"/>
            <w:vAlign w:val="bottom"/>
            <w:tcBorders>
              <w:bottom w:val="single" w:sz="8" w:color="231F20"/>
            </w:tcBorders>
            <w:shd w:val="clear" w:color="auto" w:fill="FDFDFC"/>
          </w:tcPr>
          <w:p>
            <w:pPr>
              <w:spacing w:after="0"/>
              <w:rPr>
                <w:sz w:val="18"/>
                <w:szCs w:val="18"/>
                <w:color w:val="auto"/>
              </w:rPr>
            </w:pPr>
          </w:p>
        </w:tc>
        <w:tc>
          <w:tcPr>
            <w:tcW w:w="20" w:type="dxa"/>
            <w:vAlign w:val="bottom"/>
            <w:tcBorders>
              <w:bottom w:val="single" w:sz="8" w:color="231F20"/>
            </w:tcBorders>
            <w:shd w:val="clear" w:color="auto" w:fill="FDFDFC"/>
          </w:tcPr>
          <w:p>
            <w:pPr>
              <w:spacing w:after="0"/>
              <w:rPr>
                <w:sz w:val="18"/>
                <w:szCs w:val="18"/>
                <w:color w:val="auto"/>
              </w:rPr>
            </w:pPr>
          </w:p>
        </w:tc>
        <w:tc>
          <w:tcPr>
            <w:tcW w:w="120" w:type="dxa"/>
            <w:vAlign w:val="bottom"/>
            <w:tcBorders>
              <w:bottom w:val="single" w:sz="8" w:color="231F20"/>
            </w:tcBorders>
            <w:shd w:val="clear" w:color="auto" w:fill="FDFDFC"/>
          </w:tcPr>
          <w:p>
            <w:pPr>
              <w:spacing w:after="0"/>
              <w:rPr>
                <w:sz w:val="18"/>
                <w:szCs w:val="18"/>
                <w:color w:val="auto"/>
              </w:rPr>
            </w:pPr>
          </w:p>
        </w:tc>
        <w:tc>
          <w:tcPr>
            <w:tcW w:w="100" w:type="dxa"/>
            <w:vAlign w:val="bottom"/>
            <w:tcBorders>
              <w:bottom w:val="single" w:sz="8" w:color="231F20"/>
            </w:tcBorders>
            <w:shd w:val="clear" w:color="auto" w:fill="FDFDFC"/>
          </w:tcPr>
          <w:p>
            <w:pPr>
              <w:spacing w:after="0"/>
              <w:rPr>
                <w:sz w:val="18"/>
                <w:szCs w:val="18"/>
                <w:color w:val="auto"/>
              </w:rPr>
            </w:pPr>
          </w:p>
        </w:tc>
        <w:tc>
          <w:tcPr>
            <w:tcW w:w="140" w:type="dxa"/>
            <w:vAlign w:val="bottom"/>
            <w:tcBorders>
              <w:bottom w:val="single" w:sz="8" w:color="231F20"/>
            </w:tcBorders>
            <w:shd w:val="clear" w:color="auto" w:fill="FDFDFC"/>
          </w:tcPr>
          <w:p>
            <w:pPr>
              <w:spacing w:after="0"/>
              <w:rPr>
                <w:sz w:val="18"/>
                <w:szCs w:val="18"/>
                <w:color w:val="auto"/>
              </w:rPr>
            </w:pPr>
          </w:p>
        </w:tc>
        <w:tc>
          <w:tcPr>
            <w:tcW w:w="1040" w:type="dxa"/>
            <w:vAlign w:val="bottom"/>
            <w:tcBorders>
              <w:bottom w:val="single" w:sz="8" w:color="231F20"/>
            </w:tcBorders>
            <w:gridSpan w:val="4"/>
            <w:shd w:val="clear" w:color="auto" w:fill="FDFDFC"/>
          </w:tcPr>
          <w:p>
            <w:pPr>
              <w:jc w:val="right"/>
              <w:ind w:right="66"/>
              <w:spacing w:after="0"/>
              <w:rPr>
                <w:sz w:val="20"/>
                <w:szCs w:val="20"/>
                <w:color w:val="auto"/>
              </w:rPr>
            </w:pPr>
            <w:r>
              <w:rPr>
                <w:rFonts w:ascii="Times New Roman" w:cs="Times New Roman" w:eastAsia="Times New Roman" w:hAnsi="Times New Roman"/>
                <w:sz w:val="15"/>
                <w:szCs w:val="15"/>
                <w:b w:val="1"/>
                <w:bCs w:val="1"/>
                <w:color w:val="231F20"/>
              </w:rPr>
              <w:t>2022</w:t>
            </w:r>
          </w:p>
        </w:tc>
        <w:tc>
          <w:tcPr>
            <w:tcW w:w="120" w:type="dxa"/>
            <w:vAlign w:val="bottom"/>
            <w:tcBorders>
              <w:bottom w:val="single" w:sz="8" w:color="231F20"/>
            </w:tcBorders>
            <w:shd w:val="clear" w:color="auto" w:fill="FDFDFC"/>
          </w:tcPr>
          <w:p>
            <w:pPr>
              <w:spacing w:after="0"/>
              <w:rPr>
                <w:sz w:val="18"/>
                <w:szCs w:val="18"/>
                <w:color w:val="auto"/>
              </w:rPr>
            </w:pPr>
          </w:p>
        </w:tc>
        <w:tc>
          <w:tcPr>
            <w:tcW w:w="660" w:type="dxa"/>
            <w:vAlign w:val="bottom"/>
            <w:tcBorders>
              <w:bottom w:val="single" w:sz="8" w:color="231F20"/>
            </w:tcBorders>
            <w:shd w:val="clear" w:color="auto" w:fill="FDFDFC"/>
          </w:tcPr>
          <w:p>
            <w:pPr>
              <w:spacing w:after="0"/>
              <w:rPr>
                <w:sz w:val="18"/>
                <w:szCs w:val="18"/>
                <w:color w:val="auto"/>
              </w:rPr>
            </w:pPr>
          </w:p>
        </w:tc>
        <w:tc>
          <w:tcPr>
            <w:tcW w:w="60" w:type="dxa"/>
            <w:vAlign w:val="bottom"/>
            <w:tcBorders>
              <w:bottom w:val="single" w:sz="8" w:color="231F20"/>
            </w:tcBorders>
            <w:shd w:val="clear" w:color="auto" w:fill="FDFDFC"/>
          </w:tcPr>
          <w:p>
            <w:pPr>
              <w:spacing w:after="0"/>
              <w:rPr>
                <w:sz w:val="18"/>
                <w:szCs w:val="18"/>
                <w:color w:val="auto"/>
              </w:rPr>
            </w:pPr>
          </w:p>
        </w:tc>
        <w:tc>
          <w:tcPr>
            <w:tcW w:w="160" w:type="dxa"/>
            <w:vAlign w:val="bottom"/>
            <w:tcBorders>
              <w:bottom w:val="single" w:sz="8" w:color="231F20"/>
            </w:tcBorders>
            <w:shd w:val="clear" w:color="auto" w:fill="FDFDFC"/>
          </w:tcPr>
          <w:p>
            <w:pPr>
              <w:spacing w:after="0"/>
              <w:rPr>
                <w:sz w:val="18"/>
                <w:szCs w:val="18"/>
                <w:color w:val="auto"/>
              </w:rPr>
            </w:pPr>
          </w:p>
        </w:tc>
        <w:tc>
          <w:tcPr>
            <w:tcW w:w="80" w:type="dxa"/>
            <w:vAlign w:val="bottom"/>
            <w:tcBorders>
              <w:bottom w:val="single" w:sz="8" w:color="231F20"/>
            </w:tcBorders>
            <w:shd w:val="clear" w:color="auto" w:fill="FDFDFC"/>
          </w:tcPr>
          <w:p>
            <w:pPr>
              <w:spacing w:after="0"/>
              <w:rPr>
                <w:sz w:val="18"/>
                <w:szCs w:val="18"/>
                <w:color w:val="auto"/>
              </w:rPr>
            </w:pPr>
          </w:p>
        </w:tc>
        <w:tc>
          <w:tcPr>
            <w:tcW w:w="220" w:type="dxa"/>
            <w:vAlign w:val="bottom"/>
            <w:tcBorders>
              <w:bottom w:val="single" w:sz="8" w:color="231F20"/>
            </w:tcBorders>
            <w:shd w:val="clear" w:color="auto" w:fill="FDFDFC"/>
          </w:tcPr>
          <w:p>
            <w:pPr>
              <w:spacing w:after="0"/>
              <w:rPr>
                <w:sz w:val="18"/>
                <w:szCs w:val="18"/>
                <w:color w:val="auto"/>
              </w:rPr>
            </w:pPr>
          </w:p>
        </w:tc>
        <w:tc>
          <w:tcPr>
            <w:tcW w:w="740" w:type="dxa"/>
            <w:vAlign w:val="bottom"/>
            <w:tcBorders>
              <w:bottom w:val="single" w:sz="8" w:color="231F20"/>
            </w:tcBorders>
            <w:shd w:val="clear" w:color="auto" w:fill="FDFDFC"/>
          </w:tcPr>
          <w:p>
            <w:pPr>
              <w:spacing w:after="0"/>
              <w:rPr>
                <w:sz w:val="18"/>
                <w:szCs w:val="18"/>
                <w:color w:val="auto"/>
              </w:rPr>
            </w:pPr>
          </w:p>
        </w:tc>
        <w:tc>
          <w:tcPr>
            <w:tcW w:w="20" w:type="dxa"/>
            <w:vAlign w:val="bottom"/>
            <w:tcBorders>
              <w:bottom w:val="single" w:sz="8" w:color="FDFDFC"/>
            </w:tcBorders>
            <w:shd w:val="clear" w:color="auto" w:fill="FDFDFC"/>
          </w:tcPr>
          <w:p>
            <w:pPr>
              <w:spacing w:after="0"/>
              <w:rPr>
                <w:sz w:val="18"/>
                <w:szCs w:val="18"/>
                <w:color w:val="auto"/>
              </w:rPr>
            </w:pPr>
          </w:p>
        </w:tc>
        <w:tc>
          <w:tcPr>
            <w:tcW w:w="80" w:type="dxa"/>
            <w:vAlign w:val="bottom"/>
            <w:tcBorders>
              <w:bottom w:val="single" w:sz="8" w:color="FDFDFC"/>
            </w:tcBorders>
            <w:shd w:val="clear" w:color="auto" w:fill="FDFDFC"/>
          </w:tcPr>
          <w:p>
            <w:pPr>
              <w:spacing w:after="0"/>
              <w:rPr>
                <w:sz w:val="18"/>
                <w:szCs w:val="18"/>
                <w:color w:val="auto"/>
              </w:rPr>
            </w:pPr>
          </w:p>
        </w:tc>
      </w:tr>
      <w:tr>
        <w:trPr>
          <w:trHeight w:val="165"/>
        </w:trPr>
        <w:tc>
          <w:tcPr>
            <w:tcW w:w="4280" w:type="dxa"/>
            <w:vAlign w:val="bottom"/>
            <w:tcBorders>
              <w:bottom w:val="single" w:sz="8" w:color="D0EBF2"/>
            </w:tcBorders>
            <w:shd w:val="clear" w:color="auto" w:fill="FDFDFC"/>
          </w:tcPr>
          <w:p>
            <w:pPr>
              <w:spacing w:after="0"/>
              <w:rPr>
                <w:sz w:val="14"/>
                <w:szCs w:val="14"/>
                <w:color w:val="auto"/>
              </w:rPr>
            </w:pPr>
          </w:p>
        </w:tc>
        <w:tc>
          <w:tcPr>
            <w:tcW w:w="200" w:type="dxa"/>
            <w:vAlign w:val="bottom"/>
            <w:tcBorders>
              <w:bottom w:val="single" w:sz="8" w:color="D0EBF2"/>
            </w:tcBorders>
            <w:shd w:val="clear" w:color="auto" w:fill="FDFDFC"/>
          </w:tcPr>
          <w:p>
            <w:pPr>
              <w:spacing w:after="0"/>
              <w:rPr>
                <w:sz w:val="14"/>
                <w:szCs w:val="14"/>
                <w:color w:val="auto"/>
              </w:rPr>
            </w:pPr>
          </w:p>
        </w:tc>
        <w:tc>
          <w:tcPr>
            <w:tcW w:w="260" w:type="dxa"/>
            <w:vAlign w:val="bottom"/>
            <w:tcBorders>
              <w:bottom w:val="single" w:sz="8" w:color="231F20"/>
            </w:tcBorders>
            <w:shd w:val="clear" w:color="auto" w:fill="FDFDFC"/>
          </w:tcPr>
          <w:p>
            <w:pPr>
              <w:spacing w:after="0"/>
              <w:rPr>
                <w:sz w:val="14"/>
                <w:szCs w:val="14"/>
                <w:color w:val="auto"/>
              </w:rPr>
            </w:pPr>
          </w:p>
        </w:tc>
        <w:tc>
          <w:tcPr>
            <w:tcW w:w="980" w:type="dxa"/>
            <w:vAlign w:val="bottom"/>
            <w:tcBorders>
              <w:bottom w:val="single" w:sz="8" w:color="231F20"/>
            </w:tcBorders>
            <w:gridSpan w:val="2"/>
            <w:shd w:val="clear" w:color="auto" w:fill="FDFDFC"/>
          </w:tcPr>
          <w:p>
            <w:pPr>
              <w:jc w:val="right"/>
              <w:ind w:right="520"/>
              <w:spacing w:after="0" w:line="165" w:lineRule="exact"/>
              <w:rPr>
                <w:sz w:val="20"/>
                <w:szCs w:val="20"/>
                <w:color w:val="auto"/>
              </w:rPr>
            </w:pPr>
            <w:r>
              <w:rPr>
                <w:rFonts w:ascii="Times New Roman" w:cs="Times New Roman" w:eastAsia="Times New Roman" w:hAnsi="Times New Roman"/>
                <w:sz w:val="15"/>
                <w:szCs w:val="15"/>
                <w:b w:val="1"/>
                <w:bCs w:val="1"/>
                <w:color w:val="231F20"/>
              </w:rPr>
              <w:t>Q4</w:t>
            </w:r>
          </w:p>
        </w:tc>
        <w:tc>
          <w:tcPr>
            <w:tcW w:w="20" w:type="dxa"/>
            <w:vAlign w:val="bottom"/>
            <w:tcBorders>
              <w:bottom w:val="single" w:sz="8" w:color="D0EBF2"/>
            </w:tcBorders>
            <w:shd w:val="clear" w:color="auto" w:fill="FDFDFC"/>
          </w:tcPr>
          <w:p>
            <w:pPr>
              <w:spacing w:after="0"/>
              <w:rPr>
                <w:sz w:val="14"/>
                <w:szCs w:val="14"/>
                <w:color w:val="auto"/>
              </w:rPr>
            </w:pPr>
          </w:p>
        </w:tc>
        <w:tc>
          <w:tcPr>
            <w:tcW w:w="120" w:type="dxa"/>
            <w:vAlign w:val="bottom"/>
            <w:tcBorders>
              <w:bottom w:val="single" w:sz="8" w:color="D0EBF2"/>
            </w:tcBorders>
            <w:shd w:val="clear" w:color="auto" w:fill="FDFDFC"/>
          </w:tcPr>
          <w:p>
            <w:pPr>
              <w:spacing w:after="0"/>
              <w:rPr>
                <w:sz w:val="14"/>
                <w:szCs w:val="14"/>
                <w:color w:val="auto"/>
              </w:rPr>
            </w:pPr>
          </w:p>
        </w:tc>
        <w:tc>
          <w:tcPr>
            <w:tcW w:w="100" w:type="dxa"/>
            <w:vAlign w:val="bottom"/>
            <w:tcBorders>
              <w:bottom w:val="single" w:sz="8" w:color="D0EBF2"/>
            </w:tcBorders>
            <w:shd w:val="clear" w:color="auto" w:fill="FDFDFC"/>
          </w:tcPr>
          <w:p>
            <w:pPr>
              <w:spacing w:after="0"/>
              <w:rPr>
                <w:sz w:val="14"/>
                <w:szCs w:val="14"/>
                <w:color w:val="auto"/>
              </w:rPr>
            </w:pPr>
          </w:p>
        </w:tc>
        <w:tc>
          <w:tcPr>
            <w:tcW w:w="140" w:type="dxa"/>
            <w:vAlign w:val="bottom"/>
            <w:tcBorders>
              <w:bottom w:val="single" w:sz="8" w:color="231F20"/>
            </w:tcBorders>
            <w:shd w:val="clear" w:color="auto" w:fill="FDFDFC"/>
          </w:tcPr>
          <w:p>
            <w:pPr>
              <w:spacing w:after="0"/>
              <w:rPr>
                <w:sz w:val="14"/>
                <w:szCs w:val="14"/>
                <w:color w:val="auto"/>
              </w:rPr>
            </w:pPr>
          </w:p>
        </w:tc>
        <w:tc>
          <w:tcPr>
            <w:tcW w:w="780" w:type="dxa"/>
            <w:vAlign w:val="bottom"/>
            <w:tcBorders>
              <w:bottom w:val="single" w:sz="8" w:color="231F20"/>
            </w:tcBorders>
            <w:gridSpan w:val="2"/>
            <w:shd w:val="clear" w:color="auto" w:fill="FDFDFC"/>
          </w:tcPr>
          <w:p>
            <w:pPr>
              <w:jc w:val="right"/>
              <w:ind w:right="380"/>
              <w:spacing w:after="0" w:line="165" w:lineRule="exact"/>
              <w:rPr>
                <w:sz w:val="20"/>
                <w:szCs w:val="20"/>
                <w:color w:val="auto"/>
              </w:rPr>
            </w:pPr>
            <w:r>
              <w:rPr>
                <w:rFonts w:ascii="Times New Roman" w:cs="Times New Roman" w:eastAsia="Times New Roman" w:hAnsi="Times New Roman"/>
                <w:sz w:val="15"/>
                <w:szCs w:val="15"/>
                <w:b w:val="1"/>
                <w:bCs w:val="1"/>
                <w:color w:val="231F20"/>
              </w:rPr>
              <w:t>Q3</w:t>
            </w:r>
          </w:p>
        </w:tc>
        <w:tc>
          <w:tcPr>
            <w:tcW w:w="80" w:type="dxa"/>
            <w:vAlign w:val="bottom"/>
            <w:tcBorders>
              <w:bottom w:val="single" w:sz="8" w:color="D0EBF2"/>
            </w:tcBorders>
            <w:shd w:val="clear" w:color="auto" w:fill="FDFDFC"/>
          </w:tcPr>
          <w:p>
            <w:pPr>
              <w:spacing w:after="0"/>
              <w:rPr>
                <w:sz w:val="14"/>
                <w:szCs w:val="14"/>
                <w:color w:val="auto"/>
              </w:rPr>
            </w:pPr>
          </w:p>
        </w:tc>
        <w:tc>
          <w:tcPr>
            <w:tcW w:w="180" w:type="dxa"/>
            <w:vAlign w:val="bottom"/>
            <w:tcBorders>
              <w:bottom w:val="single" w:sz="8" w:color="D0EBF2"/>
            </w:tcBorders>
            <w:shd w:val="clear" w:color="auto" w:fill="FDFDFC"/>
          </w:tcPr>
          <w:p>
            <w:pPr>
              <w:spacing w:after="0"/>
              <w:rPr>
                <w:sz w:val="14"/>
                <w:szCs w:val="14"/>
                <w:color w:val="auto"/>
              </w:rPr>
            </w:pPr>
          </w:p>
        </w:tc>
        <w:tc>
          <w:tcPr>
            <w:tcW w:w="120" w:type="dxa"/>
            <w:vAlign w:val="bottom"/>
            <w:tcBorders>
              <w:bottom w:val="single" w:sz="8" w:color="231F20"/>
            </w:tcBorders>
            <w:shd w:val="clear" w:color="auto" w:fill="FDFDFC"/>
          </w:tcPr>
          <w:p>
            <w:pPr>
              <w:spacing w:after="0"/>
              <w:rPr>
                <w:sz w:val="14"/>
                <w:szCs w:val="14"/>
                <w:color w:val="auto"/>
              </w:rPr>
            </w:pPr>
          </w:p>
        </w:tc>
        <w:tc>
          <w:tcPr>
            <w:tcW w:w="720" w:type="dxa"/>
            <w:vAlign w:val="bottom"/>
            <w:tcBorders>
              <w:bottom w:val="single" w:sz="8" w:color="231F20"/>
            </w:tcBorders>
            <w:gridSpan w:val="2"/>
            <w:shd w:val="clear" w:color="auto" w:fill="FDFDFC"/>
          </w:tcPr>
          <w:p>
            <w:pPr>
              <w:jc w:val="right"/>
              <w:ind w:right="340"/>
              <w:spacing w:after="0" w:line="165" w:lineRule="exact"/>
              <w:rPr>
                <w:sz w:val="20"/>
                <w:szCs w:val="20"/>
                <w:color w:val="auto"/>
              </w:rPr>
            </w:pPr>
            <w:r>
              <w:rPr>
                <w:rFonts w:ascii="Times New Roman" w:cs="Times New Roman" w:eastAsia="Times New Roman" w:hAnsi="Times New Roman"/>
                <w:sz w:val="15"/>
                <w:szCs w:val="15"/>
                <w:b w:val="1"/>
                <w:bCs w:val="1"/>
                <w:color w:val="231F20"/>
              </w:rPr>
              <w:t>Q2</w:t>
            </w:r>
          </w:p>
        </w:tc>
        <w:tc>
          <w:tcPr>
            <w:tcW w:w="160" w:type="dxa"/>
            <w:vAlign w:val="bottom"/>
            <w:tcBorders>
              <w:bottom w:val="single" w:sz="8" w:color="D0EBF2"/>
            </w:tcBorders>
            <w:shd w:val="clear" w:color="auto" w:fill="FDFDFC"/>
          </w:tcPr>
          <w:p>
            <w:pPr>
              <w:spacing w:after="0"/>
              <w:rPr>
                <w:sz w:val="14"/>
                <w:szCs w:val="14"/>
                <w:color w:val="auto"/>
              </w:rPr>
            </w:pPr>
          </w:p>
        </w:tc>
        <w:tc>
          <w:tcPr>
            <w:tcW w:w="80" w:type="dxa"/>
            <w:vAlign w:val="bottom"/>
            <w:tcBorders>
              <w:bottom w:val="single" w:sz="8" w:color="D0EBF2"/>
            </w:tcBorders>
            <w:shd w:val="clear" w:color="auto" w:fill="FDFDFC"/>
          </w:tcPr>
          <w:p>
            <w:pPr>
              <w:spacing w:after="0"/>
              <w:rPr>
                <w:sz w:val="14"/>
                <w:szCs w:val="14"/>
                <w:color w:val="auto"/>
              </w:rPr>
            </w:pPr>
          </w:p>
        </w:tc>
        <w:tc>
          <w:tcPr>
            <w:tcW w:w="220" w:type="dxa"/>
            <w:vAlign w:val="bottom"/>
            <w:tcBorders>
              <w:bottom w:val="single" w:sz="8" w:color="231F20"/>
            </w:tcBorders>
            <w:shd w:val="clear" w:color="auto" w:fill="FDFDFC"/>
          </w:tcPr>
          <w:p>
            <w:pPr>
              <w:spacing w:after="0"/>
              <w:rPr>
                <w:sz w:val="14"/>
                <w:szCs w:val="14"/>
                <w:color w:val="auto"/>
              </w:rPr>
            </w:pPr>
          </w:p>
        </w:tc>
        <w:tc>
          <w:tcPr>
            <w:tcW w:w="740" w:type="dxa"/>
            <w:vAlign w:val="bottom"/>
            <w:tcBorders>
              <w:bottom w:val="single" w:sz="8" w:color="231F20"/>
            </w:tcBorders>
            <w:shd w:val="clear" w:color="auto" w:fill="FDFDFC"/>
          </w:tcPr>
          <w:p>
            <w:pPr>
              <w:jc w:val="right"/>
              <w:ind w:right="288"/>
              <w:spacing w:after="0" w:line="165" w:lineRule="exact"/>
              <w:rPr>
                <w:sz w:val="20"/>
                <w:szCs w:val="20"/>
                <w:color w:val="auto"/>
              </w:rPr>
            </w:pPr>
            <w:r>
              <w:rPr>
                <w:rFonts w:ascii="Times New Roman" w:cs="Times New Roman" w:eastAsia="Times New Roman" w:hAnsi="Times New Roman"/>
                <w:sz w:val="15"/>
                <w:szCs w:val="15"/>
                <w:b w:val="1"/>
                <w:bCs w:val="1"/>
                <w:color w:val="231F20"/>
              </w:rPr>
              <w:t>Q1</w:t>
            </w:r>
          </w:p>
        </w:tc>
        <w:tc>
          <w:tcPr>
            <w:tcW w:w="100" w:type="dxa"/>
            <w:vAlign w:val="bottom"/>
            <w:tcBorders>
              <w:bottom w:val="single" w:sz="8" w:color="D0EBF2"/>
            </w:tcBorders>
            <w:gridSpan w:val="2"/>
            <w:shd w:val="clear" w:color="auto" w:fill="FDFDFC"/>
          </w:tcPr>
          <w:p>
            <w:pPr>
              <w:spacing w:after="0"/>
              <w:rPr>
                <w:sz w:val="14"/>
                <w:szCs w:val="14"/>
                <w:color w:val="auto"/>
              </w:rPr>
            </w:pPr>
          </w:p>
        </w:tc>
      </w:tr>
      <w:tr>
        <w:trPr>
          <w:trHeight w:val="207"/>
        </w:trPr>
        <w:tc>
          <w:tcPr>
            <w:tcW w:w="4280" w:type="dxa"/>
            <w:vAlign w:val="bottom"/>
            <w:shd w:val="clear" w:color="auto" w:fill="D0EBF2"/>
          </w:tcPr>
          <w:p>
            <w:pPr>
              <w:spacing w:after="0" w:line="206" w:lineRule="exact"/>
              <w:rPr>
                <w:sz w:val="20"/>
                <w:szCs w:val="20"/>
                <w:color w:val="auto"/>
              </w:rPr>
            </w:pPr>
            <w:r>
              <w:rPr>
                <w:rFonts w:ascii="Times New Roman" w:cs="Times New Roman" w:eastAsia="Times New Roman" w:hAnsi="Times New Roman"/>
                <w:sz w:val="19"/>
                <w:szCs w:val="19"/>
                <w:color w:val="231F20"/>
              </w:rPr>
              <w:t>Investment Income</w:t>
            </w:r>
          </w:p>
        </w:tc>
        <w:tc>
          <w:tcPr>
            <w:tcW w:w="200" w:type="dxa"/>
            <w:vAlign w:val="bottom"/>
            <w:shd w:val="clear" w:color="auto" w:fill="D0EBF2"/>
          </w:tcPr>
          <w:p>
            <w:pPr>
              <w:spacing w:after="0"/>
              <w:rPr>
                <w:sz w:val="17"/>
                <w:szCs w:val="17"/>
                <w:color w:val="auto"/>
              </w:rPr>
            </w:pPr>
          </w:p>
        </w:tc>
        <w:tc>
          <w:tcPr>
            <w:tcW w:w="260" w:type="dxa"/>
            <w:vAlign w:val="bottom"/>
            <w:shd w:val="clear" w:color="auto" w:fill="D0EBF2"/>
          </w:tcPr>
          <w:p>
            <w:pPr>
              <w:jc w:val="right"/>
              <w:ind w:right="66"/>
              <w:spacing w:after="0" w:line="206" w:lineRule="exact"/>
              <w:rPr>
                <w:sz w:val="20"/>
                <w:szCs w:val="20"/>
                <w:color w:val="auto"/>
              </w:rPr>
            </w:pPr>
            <w:r>
              <w:rPr>
                <w:rFonts w:ascii="Times New Roman" w:cs="Times New Roman" w:eastAsia="Times New Roman" w:hAnsi="Times New Roman"/>
                <w:sz w:val="19"/>
                <w:szCs w:val="19"/>
                <w:color w:val="231F20"/>
                <w:w w:val="83"/>
              </w:rPr>
              <w:t>$</w:t>
            </w:r>
          </w:p>
        </w:tc>
        <w:tc>
          <w:tcPr>
            <w:tcW w:w="980" w:type="dxa"/>
            <w:vAlign w:val="bottom"/>
            <w:gridSpan w:val="2"/>
            <w:shd w:val="clear" w:color="auto" w:fill="D0EBF2"/>
          </w:tcPr>
          <w:p>
            <w:pPr>
              <w:jc w:val="right"/>
              <w:ind w:right="20"/>
              <w:spacing w:after="0" w:line="206" w:lineRule="exact"/>
              <w:rPr>
                <w:sz w:val="20"/>
                <w:szCs w:val="20"/>
                <w:color w:val="auto"/>
              </w:rPr>
            </w:pPr>
            <w:r>
              <w:rPr>
                <w:rFonts w:ascii="Times New Roman" w:cs="Times New Roman" w:eastAsia="Times New Roman" w:hAnsi="Times New Roman"/>
                <w:sz w:val="19"/>
                <w:szCs w:val="19"/>
                <w:color w:val="231F20"/>
              </w:rPr>
              <w:t>100,149</w:t>
            </w:r>
          </w:p>
        </w:tc>
        <w:tc>
          <w:tcPr>
            <w:tcW w:w="20" w:type="dxa"/>
            <w:vAlign w:val="bottom"/>
            <w:shd w:val="clear" w:color="auto" w:fill="D0EBF2"/>
          </w:tcPr>
          <w:p>
            <w:pPr>
              <w:spacing w:after="0"/>
              <w:rPr>
                <w:sz w:val="17"/>
                <w:szCs w:val="17"/>
                <w:color w:val="auto"/>
              </w:rPr>
            </w:pPr>
          </w:p>
        </w:tc>
        <w:tc>
          <w:tcPr>
            <w:tcW w:w="120" w:type="dxa"/>
            <w:vAlign w:val="bottom"/>
            <w:shd w:val="clear" w:color="auto" w:fill="D0EBF2"/>
          </w:tcPr>
          <w:p>
            <w:pPr>
              <w:spacing w:after="0"/>
              <w:rPr>
                <w:sz w:val="17"/>
                <w:szCs w:val="17"/>
                <w:color w:val="auto"/>
              </w:rPr>
            </w:pPr>
          </w:p>
        </w:tc>
        <w:tc>
          <w:tcPr>
            <w:tcW w:w="100" w:type="dxa"/>
            <w:vAlign w:val="bottom"/>
            <w:shd w:val="clear" w:color="auto" w:fill="D0EBF2"/>
          </w:tcPr>
          <w:p>
            <w:pPr>
              <w:spacing w:after="0"/>
              <w:rPr>
                <w:sz w:val="17"/>
                <w:szCs w:val="17"/>
                <w:color w:val="auto"/>
              </w:rPr>
            </w:pPr>
          </w:p>
        </w:tc>
        <w:tc>
          <w:tcPr>
            <w:tcW w:w="140" w:type="dxa"/>
            <w:vAlign w:val="bottom"/>
            <w:shd w:val="clear" w:color="auto" w:fill="D0EBF2"/>
          </w:tcPr>
          <w:p>
            <w:pPr>
              <w:jc w:val="right"/>
              <w:spacing w:after="0" w:line="206" w:lineRule="exact"/>
              <w:rPr>
                <w:sz w:val="20"/>
                <w:szCs w:val="20"/>
                <w:color w:val="auto"/>
              </w:rPr>
            </w:pPr>
            <w:r>
              <w:rPr>
                <w:rFonts w:ascii="Times New Roman" w:cs="Times New Roman" w:eastAsia="Times New Roman" w:hAnsi="Times New Roman"/>
                <w:sz w:val="19"/>
                <w:szCs w:val="19"/>
                <w:color w:val="231F20"/>
                <w:w w:val="83"/>
                <w:shd w:val="clear" w:color="auto" w:fill="D0EBF2"/>
              </w:rPr>
              <w:t>$</w:t>
            </w:r>
          </w:p>
        </w:tc>
        <w:tc>
          <w:tcPr>
            <w:tcW w:w="780" w:type="dxa"/>
            <w:vAlign w:val="bottom"/>
            <w:gridSpan w:val="2"/>
            <w:shd w:val="clear" w:color="auto" w:fill="D0EBF2"/>
          </w:tcPr>
          <w:p>
            <w:pPr>
              <w:jc w:val="right"/>
              <w:ind w:right="20"/>
              <w:spacing w:after="0" w:line="206" w:lineRule="exact"/>
              <w:rPr>
                <w:sz w:val="20"/>
                <w:szCs w:val="20"/>
                <w:color w:val="auto"/>
              </w:rPr>
            </w:pPr>
            <w:r>
              <w:rPr>
                <w:rFonts w:ascii="Times New Roman" w:cs="Times New Roman" w:eastAsia="Times New Roman" w:hAnsi="Times New Roman"/>
                <w:sz w:val="19"/>
                <w:szCs w:val="19"/>
                <w:color w:val="231F20"/>
                <w:shd w:val="clear" w:color="auto" w:fill="D0EBF2"/>
              </w:rPr>
              <w:t>77,839</w:t>
            </w:r>
          </w:p>
        </w:tc>
        <w:tc>
          <w:tcPr>
            <w:tcW w:w="80" w:type="dxa"/>
            <w:vAlign w:val="bottom"/>
            <w:shd w:val="clear" w:color="auto" w:fill="D0EBF2"/>
          </w:tcPr>
          <w:p>
            <w:pPr>
              <w:spacing w:after="0"/>
              <w:rPr>
                <w:sz w:val="17"/>
                <w:szCs w:val="17"/>
                <w:color w:val="auto"/>
              </w:rPr>
            </w:pPr>
          </w:p>
        </w:tc>
        <w:tc>
          <w:tcPr>
            <w:tcW w:w="180" w:type="dxa"/>
            <w:vAlign w:val="bottom"/>
            <w:shd w:val="clear" w:color="auto" w:fill="D0EBF2"/>
          </w:tcPr>
          <w:p>
            <w:pPr>
              <w:spacing w:after="0"/>
              <w:rPr>
                <w:sz w:val="17"/>
                <w:szCs w:val="17"/>
                <w:color w:val="auto"/>
              </w:rPr>
            </w:pPr>
          </w:p>
        </w:tc>
        <w:tc>
          <w:tcPr>
            <w:tcW w:w="120" w:type="dxa"/>
            <w:vAlign w:val="bottom"/>
            <w:shd w:val="clear" w:color="auto" w:fill="D0EBF2"/>
          </w:tcPr>
          <w:p>
            <w:pPr>
              <w:jc w:val="right"/>
              <w:spacing w:after="0"/>
              <w:rPr>
                <w:sz w:val="20"/>
                <w:szCs w:val="20"/>
                <w:color w:val="auto"/>
              </w:rPr>
            </w:pPr>
            <w:r>
              <w:rPr>
                <w:rFonts w:ascii="Times New Roman" w:cs="Times New Roman" w:eastAsia="Times New Roman" w:hAnsi="Times New Roman"/>
                <w:sz w:val="17"/>
                <w:szCs w:val="17"/>
                <w:color w:val="231F20"/>
                <w:w w:val="70"/>
                <w:shd w:val="clear" w:color="auto" w:fill="D0EBF2"/>
              </w:rPr>
              <w:t>$</w:t>
            </w:r>
          </w:p>
        </w:tc>
        <w:tc>
          <w:tcPr>
            <w:tcW w:w="720" w:type="dxa"/>
            <w:vAlign w:val="bottom"/>
            <w:gridSpan w:val="2"/>
            <w:shd w:val="clear" w:color="auto" w:fill="D0EBF2"/>
          </w:tcPr>
          <w:p>
            <w:pPr>
              <w:jc w:val="right"/>
              <w:ind w:right="20"/>
              <w:spacing w:after="0" w:line="206" w:lineRule="exact"/>
              <w:rPr>
                <w:sz w:val="20"/>
                <w:szCs w:val="20"/>
                <w:color w:val="auto"/>
              </w:rPr>
            </w:pPr>
            <w:r>
              <w:rPr>
                <w:rFonts w:ascii="Times New Roman" w:cs="Times New Roman" w:eastAsia="Times New Roman" w:hAnsi="Times New Roman"/>
                <w:sz w:val="19"/>
                <w:szCs w:val="19"/>
                <w:color w:val="231F20"/>
                <w:shd w:val="clear" w:color="auto" w:fill="D0EBF2"/>
              </w:rPr>
              <w:t>63,888</w:t>
            </w:r>
          </w:p>
        </w:tc>
        <w:tc>
          <w:tcPr>
            <w:tcW w:w="160" w:type="dxa"/>
            <w:vAlign w:val="bottom"/>
            <w:shd w:val="clear" w:color="auto" w:fill="D0EBF2"/>
          </w:tcPr>
          <w:p>
            <w:pPr>
              <w:spacing w:after="0"/>
              <w:rPr>
                <w:sz w:val="17"/>
                <w:szCs w:val="17"/>
                <w:color w:val="auto"/>
              </w:rPr>
            </w:pPr>
          </w:p>
        </w:tc>
        <w:tc>
          <w:tcPr>
            <w:tcW w:w="80" w:type="dxa"/>
            <w:vAlign w:val="bottom"/>
            <w:shd w:val="clear" w:color="auto" w:fill="D0EBF2"/>
          </w:tcPr>
          <w:p>
            <w:pPr>
              <w:spacing w:after="0"/>
              <w:rPr>
                <w:sz w:val="17"/>
                <w:szCs w:val="17"/>
                <w:color w:val="auto"/>
              </w:rPr>
            </w:pPr>
          </w:p>
        </w:tc>
        <w:tc>
          <w:tcPr>
            <w:tcW w:w="220" w:type="dxa"/>
            <w:vAlign w:val="bottom"/>
            <w:shd w:val="clear" w:color="auto" w:fill="D0EBF2"/>
          </w:tcPr>
          <w:p>
            <w:pPr>
              <w:jc w:val="right"/>
              <w:ind w:right="26"/>
              <w:spacing w:after="0" w:line="206" w:lineRule="exact"/>
              <w:rPr>
                <w:sz w:val="20"/>
                <w:szCs w:val="20"/>
                <w:color w:val="auto"/>
              </w:rPr>
            </w:pPr>
            <w:r>
              <w:rPr>
                <w:rFonts w:ascii="Times New Roman" w:cs="Times New Roman" w:eastAsia="Times New Roman" w:hAnsi="Times New Roman"/>
                <w:sz w:val="19"/>
                <w:szCs w:val="19"/>
                <w:color w:val="231F20"/>
                <w:w w:val="83"/>
                <w:shd w:val="clear" w:color="auto" w:fill="D0EBF2"/>
              </w:rPr>
              <w:t>$</w:t>
            </w:r>
          </w:p>
        </w:tc>
        <w:tc>
          <w:tcPr>
            <w:tcW w:w="740" w:type="dxa"/>
            <w:vAlign w:val="bottom"/>
            <w:shd w:val="clear" w:color="auto" w:fill="D0EBF2"/>
          </w:tcPr>
          <w:p>
            <w:pPr>
              <w:jc w:val="right"/>
              <w:spacing w:after="0" w:line="206" w:lineRule="exact"/>
              <w:rPr>
                <w:sz w:val="20"/>
                <w:szCs w:val="20"/>
                <w:color w:val="auto"/>
              </w:rPr>
            </w:pPr>
            <w:r>
              <w:rPr>
                <w:rFonts w:ascii="Times New Roman" w:cs="Times New Roman" w:eastAsia="Times New Roman" w:hAnsi="Times New Roman"/>
                <w:sz w:val="19"/>
                <w:szCs w:val="19"/>
                <w:color w:val="231F20"/>
                <w:shd w:val="clear" w:color="auto" w:fill="D0EBF2"/>
              </w:rPr>
              <w:t>67,429</w:t>
            </w:r>
          </w:p>
        </w:tc>
        <w:tc>
          <w:tcPr>
            <w:tcW w:w="20" w:type="dxa"/>
            <w:vAlign w:val="bottom"/>
            <w:shd w:val="clear" w:color="auto" w:fill="D0EBF2"/>
          </w:tcPr>
          <w:p>
            <w:pPr>
              <w:spacing w:after="0"/>
              <w:rPr>
                <w:sz w:val="17"/>
                <w:szCs w:val="17"/>
                <w:color w:val="auto"/>
              </w:rPr>
            </w:pPr>
          </w:p>
        </w:tc>
        <w:tc>
          <w:tcPr>
            <w:tcW w:w="80" w:type="dxa"/>
            <w:vAlign w:val="bottom"/>
            <w:shd w:val="clear" w:color="auto" w:fill="D0EBF2"/>
          </w:tcPr>
          <w:p>
            <w:pPr>
              <w:spacing w:after="0"/>
              <w:rPr>
                <w:sz w:val="17"/>
                <w:szCs w:val="17"/>
                <w:color w:val="auto"/>
              </w:rPr>
            </w:pPr>
          </w:p>
        </w:tc>
      </w:tr>
      <w:tr>
        <w:trPr>
          <w:trHeight w:val="217"/>
        </w:trPr>
        <w:tc>
          <w:tcPr>
            <w:tcW w:w="4280" w:type="dxa"/>
            <w:vAlign w:val="bottom"/>
            <w:shd w:val="clear" w:color="auto" w:fill="FDFDFC"/>
          </w:tcPr>
          <w:p>
            <w:pPr>
              <w:spacing w:after="0" w:line="217" w:lineRule="exact"/>
              <w:rPr>
                <w:sz w:val="20"/>
                <w:szCs w:val="20"/>
                <w:color w:val="auto"/>
              </w:rPr>
            </w:pPr>
            <w:r>
              <w:rPr>
                <w:rFonts w:ascii="Times New Roman" w:cs="Times New Roman" w:eastAsia="Times New Roman" w:hAnsi="Times New Roman"/>
                <w:sz w:val="19"/>
                <w:szCs w:val="19"/>
                <w:color w:val="231F20"/>
              </w:rPr>
              <w:t xml:space="preserve">Net Expenses </w:t>
            </w:r>
            <w:r>
              <w:rPr>
                <w:rFonts w:ascii="Times New Roman" w:cs="Times New Roman" w:eastAsia="Times New Roman" w:hAnsi="Times New Roman"/>
                <w:sz w:val="24"/>
                <w:szCs w:val="24"/>
                <w:color w:val="231F20"/>
                <w:vertAlign w:val="superscript"/>
              </w:rPr>
              <w:t>(1)</w:t>
            </w:r>
          </w:p>
        </w:tc>
        <w:tc>
          <w:tcPr>
            <w:tcW w:w="200" w:type="dxa"/>
            <w:vAlign w:val="bottom"/>
            <w:shd w:val="clear" w:color="auto" w:fill="FDFDFC"/>
          </w:tcPr>
          <w:p>
            <w:pPr>
              <w:spacing w:after="0"/>
              <w:rPr>
                <w:sz w:val="18"/>
                <w:szCs w:val="18"/>
                <w:color w:val="auto"/>
              </w:rPr>
            </w:pPr>
          </w:p>
        </w:tc>
        <w:tc>
          <w:tcPr>
            <w:tcW w:w="260" w:type="dxa"/>
            <w:vAlign w:val="bottom"/>
            <w:shd w:val="clear" w:color="auto" w:fill="FDFDFC"/>
          </w:tcPr>
          <w:p>
            <w:pPr>
              <w:jc w:val="right"/>
              <w:ind w:right="66"/>
              <w:spacing w:after="0" w:line="217" w:lineRule="exact"/>
              <w:rPr>
                <w:sz w:val="20"/>
                <w:szCs w:val="20"/>
                <w:color w:val="auto"/>
              </w:rPr>
            </w:pPr>
            <w:r>
              <w:rPr>
                <w:rFonts w:ascii="Times New Roman" w:cs="Times New Roman" w:eastAsia="Times New Roman" w:hAnsi="Times New Roman"/>
                <w:sz w:val="19"/>
                <w:szCs w:val="19"/>
                <w:color w:val="231F20"/>
                <w:w w:val="83"/>
              </w:rPr>
              <w:t>$</w:t>
            </w:r>
          </w:p>
        </w:tc>
        <w:tc>
          <w:tcPr>
            <w:tcW w:w="980" w:type="dxa"/>
            <w:vAlign w:val="bottom"/>
            <w:gridSpan w:val="2"/>
            <w:shd w:val="clear" w:color="auto" w:fill="FDFDFC"/>
          </w:tcPr>
          <w:p>
            <w:pPr>
              <w:jc w:val="right"/>
              <w:ind w:right="20"/>
              <w:spacing w:after="0" w:line="217" w:lineRule="exact"/>
              <w:rPr>
                <w:sz w:val="20"/>
                <w:szCs w:val="20"/>
                <w:color w:val="auto"/>
              </w:rPr>
            </w:pPr>
            <w:r>
              <w:rPr>
                <w:rFonts w:ascii="Times New Roman" w:cs="Times New Roman" w:eastAsia="Times New Roman" w:hAnsi="Times New Roman"/>
                <w:sz w:val="19"/>
                <w:szCs w:val="19"/>
                <w:color w:val="231F20"/>
              </w:rPr>
              <w:t>47,536</w:t>
            </w:r>
          </w:p>
        </w:tc>
        <w:tc>
          <w:tcPr>
            <w:tcW w:w="20" w:type="dxa"/>
            <w:vAlign w:val="bottom"/>
            <w:shd w:val="clear" w:color="auto" w:fill="FDFDFC"/>
          </w:tcPr>
          <w:p>
            <w:pPr>
              <w:spacing w:after="0"/>
              <w:rPr>
                <w:sz w:val="18"/>
                <w:szCs w:val="18"/>
                <w:color w:val="auto"/>
              </w:rPr>
            </w:pPr>
          </w:p>
        </w:tc>
        <w:tc>
          <w:tcPr>
            <w:tcW w:w="120" w:type="dxa"/>
            <w:vAlign w:val="bottom"/>
            <w:shd w:val="clear" w:color="auto" w:fill="FDFDFC"/>
          </w:tcPr>
          <w:p>
            <w:pPr>
              <w:spacing w:after="0"/>
              <w:rPr>
                <w:sz w:val="18"/>
                <w:szCs w:val="18"/>
                <w:color w:val="auto"/>
              </w:rPr>
            </w:pPr>
          </w:p>
        </w:tc>
        <w:tc>
          <w:tcPr>
            <w:tcW w:w="100" w:type="dxa"/>
            <w:vAlign w:val="bottom"/>
            <w:shd w:val="clear" w:color="auto" w:fill="FDFDFC"/>
          </w:tcPr>
          <w:p>
            <w:pPr>
              <w:spacing w:after="0"/>
              <w:rPr>
                <w:sz w:val="18"/>
                <w:szCs w:val="18"/>
                <w:color w:val="auto"/>
              </w:rPr>
            </w:pPr>
          </w:p>
        </w:tc>
        <w:tc>
          <w:tcPr>
            <w:tcW w:w="140" w:type="dxa"/>
            <w:vAlign w:val="bottom"/>
            <w:shd w:val="clear" w:color="auto" w:fill="FDFDFC"/>
          </w:tcPr>
          <w:p>
            <w:pPr>
              <w:jc w:val="right"/>
              <w:spacing w:after="0" w:line="217" w:lineRule="exact"/>
              <w:rPr>
                <w:sz w:val="20"/>
                <w:szCs w:val="20"/>
                <w:color w:val="auto"/>
              </w:rPr>
            </w:pPr>
            <w:r>
              <w:rPr>
                <w:rFonts w:ascii="Times New Roman" w:cs="Times New Roman" w:eastAsia="Times New Roman" w:hAnsi="Times New Roman"/>
                <w:sz w:val="19"/>
                <w:szCs w:val="19"/>
                <w:color w:val="231F20"/>
                <w:w w:val="83"/>
              </w:rPr>
              <w:t>$</w:t>
            </w:r>
          </w:p>
        </w:tc>
        <w:tc>
          <w:tcPr>
            <w:tcW w:w="780" w:type="dxa"/>
            <w:vAlign w:val="bottom"/>
            <w:gridSpan w:val="2"/>
            <w:shd w:val="clear" w:color="auto" w:fill="FDFDFC"/>
          </w:tcPr>
          <w:p>
            <w:pPr>
              <w:jc w:val="right"/>
              <w:ind w:right="20"/>
              <w:spacing w:after="0" w:line="217" w:lineRule="exact"/>
              <w:rPr>
                <w:sz w:val="20"/>
                <w:szCs w:val="20"/>
                <w:color w:val="auto"/>
              </w:rPr>
            </w:pPr>
            <w:r>
              <w:rPr>
                <w:rFonts w:ascii="Times New Roman" w:cs="Times New Roman" w:eastAsia="Times New Roman" w:hAnsi="Times New Roman"/>
                <w:sz w:val="19"/>
                <w:szCs w:val="19"/>
                <w:color w:val="231F20"/>
              </w:rPr>
              <w:t>40,659</w:t>
            </w:r>
          </w:p>
        </w:tc>
        <w:tc>
          <w:tcPr>
            <w:tcW w:w="80" w:type="dxa"/>
            <w:vAlign w:val="bottom"/>
            <w:shd w:val="clear" w:color="auto" w:fill="FDFDFC"/>
          </w:tcPr>
          <w:p>
            <w:pPr>
              <w:spacing w:after="0"/>
              <w:rPr>
                <w:sz w:val="18"/>
                <w:szCs w:val="18"/>
                <w:color w:val="auto"/>
              </w:rPr>
            </w:pPr>
          </w:p>
        </w:tc>
        <w:tc>
          <w:tcPr>
            <w:tcW w:w="180" w:type="dxa"/>
            <w:vAlign w:val="bottom"/>
            <w:shd w:val="clear" w:color="auto" w:fill="FDFDFC"/>
          </w:tcPr>
          <w:p>
            <w:pPr>
              <w:spacing w:after="0"/>
              <w:rPr>
                <w:sz w:val="18"/>
                <w:szCs w:val="18"/>
                <w:color w:val="auto"/>
              </w:rPr>
            </w:pPr>
          </w:p>
        </w:tc>
        <w:tc>
          <w:tcPr>
            <w:tcW w:w="120" w:type="dxa"/>
            <w:vAlign w:val="bottom"/>
            <w:shd w:val="clear" w:color="auto" w:fill="FDFDFC"/>
          </w:tcPr>
          <w:p>
            <w:pPr>
              <w:jc w:val="right"/>
              <w:spacing w:after="0"/>
              <w:rPr>
                <w:sz w:val="20"/>
                <w:szCs w:val="20"/>
                <w:color w:val="auto"/>
              </w:rPr>
            </w:pPr>
            <w:r>
              <w:rPr>
                <w:rFonts w:ascii="Times New Roman" w:cs="Times New Roman" w:eastAsia="Times New Roman" w:hAnsi="Times New Roman"/>
                <w:sz w:val="17"/>
                <w:szCs w:val="17"/>
                <w:color w:val="231F20"/>
                <w:w w:val="70"/>
              </w:rPr>
              <w:t>$</w:t>
            </w:r>
          </w:p>
        </w:tc>
        <w:tc>
          <w:tcPr>
            <w:tcW w:w="720" w:type="dxa"/>
            <w:vAlign w:val="bottom"/>
            <w:gridSpan w:val="2"/>
            <w:shd w:val="clear" w:color="auto" w:fill="FDFDFC"/>
          </w:tcPr>
          <w:p>
            <w:pPr>
              <w:jc w:val="right"/>
              <w:ind w:right="20"/>
              <w:spacing w:after="0" w:line="217" w:lineRule="exact"/>
              <w:rPr>
                <w:sz w:val="20"/>
                <w:szCs w:val="20"/>
                <w:color w:val="auto"/>
              </w:rPr>
            </w:pPr>
            <w:r>
              <w:rPr>
                <w:rFonts w:ascii="Times New Roman" w:cs="Times New Roman" w:eastAsia="Times New Roman" w:hAnsi="Times New Roman"/>
                <w:sz w:val="19"/>
                <w:szCs w:val="19"/>
                <w:color w:val="231F20"/>
              </w:rPr>
              <w:t>23,066</w:t>
            </w:r>
          </w:p>
        </w:tc>
        <w:tc>
          <w:tcPr>
            <w:tcW w:w="160" w:type="dxa"/>
            <w:vAlign w:val="bottom"/>
            <w:shd w:val="clear" w:color="auto" w:fill="FDFDFC"/>
          </w:tcPr>
          <w:p>
            <w:pPr>
              <w:spacing w:after="0"/>
              <w:rPr>
                <w:sz w:val="18"/>
                <w:szCs w:val="18"/>
                <w:color w:val="auto"/>
              </w:rPr>
            </w:pPr>
          </w:p>
        </w:tc>
        <w:tc>
          <w:tcPr>
            <w:tcW w:w="80" w:type="dxa"/>
            <w:vAlign w:val="bottom"/>
            <w:shd w:val="clear" w:color="auto" w:fill="FDFDFC"/>
          </w:tcPr>
          <w:p>
            <w:pPr>
              <w:spacing w:after="0"/>
              <w:rPr>
                <w:sz w:val="18"/>
                <w:szCs w:val="18"/>
                <w:color w:val="auto"/>
              </w:rPr>
            </w:pPr>
          </w:p>
        </w:tc>
        <w:tc>
          <w:tcPr>
            <w:tcW w:w="220" w:type="dxa"/>
            <w:vAlign w:val="bottom"/>
            <w:shd w:val="clear" w:color="auto" w:fill="FDFDFC"/>
          </w:tcPr>
          <w:p>
            <w:pPr>
              <w:jc w:val="right"/>
              <w:ind w:right="26"/>
              <w:spacing w:after="0" w:line="217" w:lineRule="exact"/>
              <w:rPr>
                <w:sz w:val="20"/>
                <w:szCs w:val="20"/>
                <w:color w:val="auto"/>
              </w:rPr>
            </w:pPr>
            <w:r>
              <w:rPr>
                <w:rFonts w:ascii="Times New Roman" w:cs="Times New Roman" w:eastAsia="Times New Roman" w:hAnsi="Times New Roman"/>
                <w:sz w:val="19"/>
                <w:szCs w:val="19"/>
                <w:color w:val="231F20"/>
                <w:w w:val="83"/>
              </w:rPr>
              <w:t>$</w:t>
            </w:r>
          </w:p>
        </w:tc>
        <w:tc>
          <w:tcPr>
            <w:tcW w:w="740" w:type="dxa"/>
            <w:vAlign w:val="bottom"/>
            <w:shd w:val="clear" w:color="auto" w:fill="FDFDFC"/>
          </w:tcPr>
          <w:p>
            <w:pPr>
              <w:jc w:val="right"/>
              <w:spacing w:after="0" w:line="217" w:lineRule="exact"/>
              <w:rPr>
                <w:sz w:val="20"/>
                <w:szCs w:val="20"/>
                <w:color w:val="auto"/>
              </w:rPr>
            </w:pPr>
            <w:r>
              <w:rPr>
                <w:rFonts w:ascii="Times New Roman" w:cs="Times New Roman" w:eastAsia="Times New Roman" w:hAnsi="Times New Roman"/>
                <w:sz w:val="19"/>
                <w:szCs w:val="19"/>
                <w:color w:val="231F20"/>
              </w:rPr>
              <w:t>31,717</w:t>
            </w:r>
          </w:p>
        </w:tc>
        <w:tc>
          <w:tcPr>
            <w:tcW w:w="20" w:type="dxa"/>
            <w:vAlign w:val="bottom"/>
            <w:shd w:val="clear" w:color="auto" w:fill="FDFDFC"/>
          </w:tcPr>
          <w:p>
            <w:pPr>
              <w:spacing w:after="0"/>
              <w:rPr>
                <w:sz w:val="18"/>
                <w:szCs w:val="18"/>
                <w:color w:val="auto"/>
              </w:rPr>
            </w:pPr>
          </w:p>
        </w:tc>
        <w:tc>
          <w:tcPr>
            <w:tcW w:w="80" w:type="dxa"/>
            <w:vAlign w:val="bottom"/>
            <w:shd w:val="clear" w:color="auto" w:fill="FDFDFC"/>
          </w:tcPr>
          <w:p>
            <w:pPr>
              <w:spacing w:after="0"/>
              <w:rPr>
                <w:sz w:val="18"/>
                <w:szCs w:val="18"/>
                <w:color w:val="auto"/>
              </w:rPr>
            </w:pPr>
          </w:p>
        </w:tc>
      </w:tr>
      <w:tr>
        <w:trPr>
          <w:trHeight w:val="217"/>
        </w:trPr>
        <w:tc>
          <w:tcPr>
            <w:tcW w:w="4280" w:type="dxa"/>
            <w:vAlign w:val="bottom"/>
            <w:shd w:val="clear" w:color="auto" w:fill="D0EBF2"/>
          </w:tcPr>
          <w:p>
            <w:pPr>
              <w:spacing w:after="0" w:line="217" w:lineRule="exact"/>
              <w:rPr>
                <w:sz w:val="20"/>
                <w:szCs w:val="20"/>
                <w:color w:val="auto"/>
              </w:rPr>
            </w:pPr>
            <w:r>
              <w:rPr>
                <w:rFonts w:ascii="Times New Roman" w:cs="Times New Roman" w:eastAsia="Times New Roman" w:hAnsi="Times New Roman"/>
                <w:sz w:val="19"/>
                <w:szCs w:val="19"/>
                <w:color w:val="231F20"/>
              </w:rPr>
              <w:t>Net Investment Income</w:t>
            </w:r>
          </w:p>
        </w:tc>
        <w:tc>
          <w:tcPr>
            <w:tcW w:w="460" w:type="dxa"/>
            <w:vAlign w:val="bottom"/>
            <w:gridSpan w:val="2"/>
            <w:shd w:val="clear" w:color="auto" w:fill="D0EBF2"/>
          </w:tcPr>
          <w:p>
            <w:pPr>
              <w:jc w:val="right"/>
              <w:ind w:right="66"/>
              <w:spacing w:after="0" w:line="217" w:lineRule="exact"/>
              <w:rPr>
                <w:sz w:val="20"/>
                <w:szCs w:val="20"/>
                <w:color w:val="auto"/>
              </w:rPr>
            </w:pPr>
            <w:r>
              <w:rPr>
                <w:rFonts w:ascii="Times New Roman" w:cs="Times New Roman" w:eastAsia="Times New Roman" w:hAnsi="Times New Roman"/>
                <w:sz w:val="19"/>
                <w:szCs w:val="19"/>
                <w:color w:val="231F20"/>
              </w:rPr>
              <w:t>$</w:t>
            </w:r>
          </w:p>
        </w:tc>
        <w:tc>
          <w:tcPr>
            <w:tcW w:w="980" w:type="dxa"/>
            <w:vAlign w:val="bottom"/>
            <w:gridSpan w:val="2"/>
            <w:shd w:val="clear" w:color="auto" w:fill="D0EBF2"/>
          </w:tcPr>
          <w:p>
            <w:pPr>
              <w:jc w:val="right"/>
              <w:ind w:right="20"/>
              <w:spacing w:after="0" w:line="217" w:lineRule="exact"/>
              <w:rPr>
                <w:sz w:val="20"/>
                <w:szCs w:val="20"/>
                <w:color w:val="auto"/>
              </w:rPr>
            </w:pPr>
            <w:r>
              <w:rPr>
                <w:rFonts w:ascii="Times New Roman" w:cs="Times New Roman" w:eastAsia="Times New Roman" w:hAnsi="Times New Roman"/>
                <w:sz w:val="19"/>
                <w:szCs w:val="19"/>
                <w:color w:val="231F20"/>
              </w:rPr>
              <w:t>52,613</w:t>
            </w:r>
          </w:p>
        </w:tc>
        <w:tc>
          <w:tcPr>
            <w:tcW w:w="20" w:type="dxa"/>
            <w:vAlign w:val="bottom"/>
            <w:shd w:val="clear" w:color="auto" w:fill="D0EBF2"/>
          </w:tcPr>
          <w:p>
            <w:pPr>
              <w:spacing w:after="0"/>
              <w:rPr>
                <w:sz w:val="18"/>
                <w:szCs w:val="18"/>
                <w:color w:val="auto"/>
              </w:rPr>
            </w:pPr>
          </w:p>
        </w:tc>
        <w:tc>
          <w:tcPr>
            <w:tcW w:w="120" w:type="dxa"/>
            <w:vAlign w:val="bottom"/>
            <w:shd w:val="clear" w:color="auto" w:fill="D0EBF2"/>
          </w:tcPr>
          <w:p>
            <w:pPr>
              <w:spacing w:after="0"/>
              <w:rPr>
                <w:sz w:val="18"/>
                <w:szCs w:val="18"/>
                <w:color w:val="auto"/>
              </w:rPr>
            </w:pPr>
          </w:p>
        </w:tc>
        <w:tc>
          <w:tcPr>
            <w:tcW w:w="240" w:type="dxa"/>
            <w:vAlign w:val="bottom"/>
            <w:gridSpan w:val="2"/>
            <w:shd w:val="clear" w:color="auto" w:fill="D0EBF2"/>
          </w:tcPr>
          <w:p>
            <w:pPr>
              <w:jc w:val="right"/>
              <w:spacing w:after="0" w:line="217" w:lineRule="exact"/>
              <w:rPr>
                <w:sz w:val="20"/>
                <w:szCs w:val="20"/>
                <w:color w:val="auto"/>
              </w:rPr>
            </w:pPr>
            <w:r>
              <w:rPr>
                <w:rFonts w:ascii="Times New Roman" w:cs="Times New Roman" w:eastAsia="Times New Roman" w:hAnsi="Times New Roman"/>
                <w:sz w:val="19"/>
                <w:szCs w:val="19"/>
                <w:color w:val="231F20"/>
              </w:rPr>
              <w:t>$</w:t>
            </w:r>
          </w:p>
        </w:tc>
        <w:tc>
          <w:tcPr>
            <w:tcW w:w="780" w:type="dxa"/>
            <w:vAlign w:val="bottom"/>
            <w:gridSpan w:val="2"/>
            <w:shd w:val="clear" w:color="auto" w:fill="D0EBF2"/>
          </w:tcPr>
          <w:p>
            <w:pPr>
              <w:jc w:val="right"/>
              <w:ind w:right="20"/>
              <w:spacing w:after="0" w:line="217" w:lineRule="exact"/>
              <w:rPr>
                <w:sz w:val="20"/>
                <w:szCs w:val="20"/>
                <w:color w:val="auto"/>
              </w:rPr>
            </w:pPr>
            <w:r>
              <w:rPr>
                <w:rFonts w:ascii="Times New Roman" w:cs="Times New Roman" w:eastAsia="Times New Roman" w:hAnsi="Times New Roman"/>
                <w:sz w:val="19"/>
                <w:szCs w:val="19"/>
                <w:color w:val="231F20"/>
              </w:rPr>
              <w:t>37,180</w:t>
            </w:r>
          </w:p>
        </w:tc>
        <w:tc>
          <w:tcPr>
            <w:tcW w:w="80" w:type="dxa"/>
            <w:vAlign w:val="bottom"/>
            <w:shd w:val="clear" w:color="auto" w:fill="D0EBF2"/>
          </w:tcPr>
          <w:p>
            <w:pPr>
              <w:spacing w:after="0"/>
              <w:rPr>
                <w:sz w:val="18"/>
                <w:szCs w:val="18"/>
                <w:color w:val="auto"/>
              </w:rPr>
            </w:pPr>
          </w:p>
        </w:tc>
        <w:tc>
          <w:tcPr>
            <w:tcW w:w="180" w:type="dxa"/>
            <w:vAlign w:val="bottom"/>
            <w:shd w:val="clear" w:color="auto" w:fill="D0EBF2"/>
          </w:tcPr>
          <w:p>
            <w:pPr>
              <w:spacing w:after="0"/>
              <w:rPr>
                <w:sz w:val="18"/>
                <w:szCs w:val="18"/>
                <w:color w:val="auto"/>
              </w:rPr>
            </w:pPr>
          </w:p>
        </w:tc>
        <w:tc>
          <w:tcPr>
            <w:tcW w:w="120" w:type="dxa"/>
            <w:vAlign w:val="bottom"/>
            <w:shd w:val="clear" w:color="auto" w:fill="D0EBF2"/>
          </w:tcPr>
          <w:p>
            <w:pPr>
              <w:jc w:val="right"/>
              <w:spacing w:after="0"/>
              <w:rPr>
                <w:sz w:val="20"/>
                <w:szCs w:val="20"/>
                <w:color w:val="auto"/>
              </w:rPr>
            </w:pPr>
            <w:r>
              <w:rPr>
                <w:rFonts w:ascii="Times New Roman" w:cs="Times New Roman" w:eastAsia="Times New Roman" w:hAnsi="Times New Roman"/>
                <w:sz w:val="17"/>
                <w:szCs w:val="17"/>
                <w:color w:val="231F20"/>
                <w:w w:val="70"/>
              </w:rPr>
              <w:t>$</w:t>
            </w:r>
          </w:p>
        </w:tc>
        <w:tc>
          <w:tcPr>
            <w:tcW w:w="720" w:type="dxa"/>
            <w:vAlign w:val="bottom"/>
            <w:gridSpan w:val="2"/>
            <w:shd w:val="clear" w:color="auto" w:fill="D0EBF2"/>
          </w:tcPr>
          <w:p>
            <w:pPr>
              <w:jc w:val="right"/>
              <w:ind w:right="20"/>
              <w:spacing w:after="0" w:line="217" w:lineRule="exact"/>
              <w:rPr>
                <w:sz w:val="20"/>
                <w:szCs w:val="20"/>
                <w:color w:val="auto"/>
              </w:rPr>
            </w:pPr>
            <w:r>
              <w:rPr>
                <w:rFonts w:ascii="Times New Roman" w:cs="Times New Roman" w:eastAsia="Times New Roman" w:hAnsi="Times New Roman"/>
                <w:sz w:val="19"/>
                <w:szCs w:val="19"/>
                <w:color w:val="231F20"/>
              </w:rPr>
              <w:t>40,822</w:t>
            </w:r>
          </w:p>
        </w:tc>
        <w:tc>
          <w:tcPr>
            <w:tcW w:w="160" w:type="dxa"/>
            <w:vAlign w:val="bottom"/>
            <w:shd w:val="clear" w:color="auto" w:fill="D0EBF2"/>
          </w:tcPr>
          <w:p>
            <w:pPr>
              <w:spacing w:after="0"/>
              <w:rPr>
                <w:sz w:val="18"/>
                <w:szCs w:val="18"/>
                <w:color w:val="auto"/>
              </w:rPr>
            </w:pPr>
          </w:p>
        </w:tc>
        <w:tc>
          <w:tcPr>
            <w:tcW w:w="300" w:type="dxa"/>
            <w:vAlign w:val="bottom"/>
            <w:gridSpan w:val="2"/>
            <w:shd w:val="clear" w:color="auto" w:fill="D0EBF2"/>
          </w:tcPr>
          <w:p>
            <w:pPr>
              <w:jc w:val="right"/>
              <w:ind w:right="26"/>
              <w:spacing w:after="0" w:line="217" w:lineRule="exact"/>
              <w:rPr>
                <w:sz w:val="20"/>
                <w:szCs w:val="20"/>
                <w:color w:val="auto"/>
              </w:rPr>
            </w:pPr>
            <w:r>
              <w:rPr>
                <w:rFonts w:ascii="Times New Roman" w:cs="Times New Roman" w:eastAsia="Times New Roman" w:hAnsi="Times New Roman"/>
                <w:sz w:val="19"/>
                <w:szCs w:val="19"/>
                <w:color w:val="231F20"/>
              </w:rPr>
              <w:t>$</w:t>
            </w:r>
          </w:p>
        </w:tc>
        <w:tc>
          <w:tcPr>
            <w:tcW w:w="740" w:type="dxa"/>
            <w:vAlign w:val="bottom"/>
            <w:shd w:val="clear" w:color="auto" w:fill="D0EBF2"/>
          </w:tcPr>
          <w:p>
            <w:pPr>
              <w:jc w:val="right"/>
              <w:spacing w:after="0" w:line="217" w:lineRule="exact"/>
              <w:rPr>
                <w:sz w:val="20"/>
                <w:szCs w:val="20"/>
                <w:color w:val="auto"/>
              </w:rPr>
            </w:pPr>
            <w:r>
              <w:rPr>
                <w:rFonts w:ascii="Times New Roman" w:cs="Times New Roman" w:eastAsia="Times New Roman" w:hAnsi="Times New Roman"/>
                <w:sz w:val="19"/>
                <w:szCs w:val="19"/>
                <w:color w:val="231F20"/>
              </w:rPr>
              <w:t>35,712</w:t>
            </w:r>
          </w:p>
        </w:tc>
        <w:tc>
          <w:tcPr>
            <w:tcW w:w="20" w:type="dxa"/>
            <w:vAlign w:val="bottom"/>
            <w:shd w:val="clear" w:color="auto" w:fill="D0EBF2"/>
          </w:tcPr>
          <w:p>
            <w:pPr>
              <w:spacing w:after="0"/>
              <w:rPr>
                <w:sz w:val="18"/>
                <w:szCs w:val="18"/>
                <w:color w:val="auto"/>
              </w:rPr>
            </w:pPr>
          </w:p>
        </w:tc>
        <w:tc>
          <w:tcPr>
            <w:tcW w:w="80" w:type="dxa"/>
            <w:vAlign w:val="bottom"/>
            <w:shd w:val="clear" w:color="auto" w:fill="D0EBF2"/>
          </w:tcPr>
          <w:p>
            <w:pPr>
              <w:spacing w:after="0"/>
              <w:rPr>
                <w:sz w:val="18"/>
                <w:szCs w:val="18"/>
                <w:color w:val="auto"/>
              </w:rPr>
            </w:pPr>
          </w:p>
        </w:tc>
      </w:tr>
      <w:tr>
        <w:trPr>
          <w:trHeight w:val="217"/>
        </w:trPr>
        <w:tc>
          <w:tcPr>
            <w:tcW w:w="4280" w:type="dxa"/>
            <w:vAlign w:val="bottom"/>
            <w:shd w:val="clear" w:color="auto" w:fill="FDFDFC"/>
          </w:tcPr>
          <w:p>
            <w:pPr>
              <w:spacing w:after="0" w:line="217" w:lineRule="exact"/>
              <w:rPr>
                <w:sz w:val="20"/>
                <w:szCs w:val="20"/>
                <w:color w:val="auto"/>
              </w:rPr>
            </w:pPr>
            <w:r>
              <w:rPr>
                <w:rFonts w:ascii="Times New Roman" w:cs="Times New Roman" w:eastAsia="Times New Roman" w:hAnsi="Times New Roman"/>
                <w:sz w:val="19"/>
                <w:szCs w:val="19"/>
                <w:color w:val="231F20"/>
              </w:rPr>
              <w:t>Total unrealized and realized gains (losses)</w:t>
            </w:r>
          </w:p>
        </w:tc>
        <w:tc>
          <w:tcPr>
            <w:tcW w:w="460" w:type="dxa"/>
            <w:vAlign w:val="bottom"/>
            <w:gridSpan w:val="2"/>
            <w:shd w:val="clear" w:color="auto" w:fill="FDFDFC"/>
          </w:tcPr>
          <w:p>
            <w:pPr>
              <w:jc w:val="right"/>
              <w:ind w:right="66"/>
              <w:spacing w:after="0" w:line="217" w:lineRule="exact"/>
              <w:rPr>
                <w:sz w:val="20"/>
                <w:szCs w:val="20"/>
                <w:color w:val="auto"/>
              </w:rPr>
            </w:pPr>
            <w:r>
              <w:rPr>
                <w:rFonts w:ascii="Times New Roman" w:cs="Times New Roman" w:eastAsia="Times New Roman" w:hAnsi="Times New Roman"/>
                <w:sz w:val="19"/>
                <w:szCs w:val="19"/>
                <w:color w:val="231F20"/>
              </w:rPr>
              <w:t>$</w:t>
            </w:r>
          </w:p>
        </w:tc>
        <w:tc>
          <w:tcPr>
            <w:tcW w:w="1120" w:type="dxa"/>
            <w:vAlign w:val="bottom"/>
            <w:gridSpan w:val="4"/>
            <w:shd w:val="clear" w:color="auto" w:fill="FDFDFC"/>
          </w:tcPr>
          <w:p>
            <w:pPr>
              <w:jc w:val="right"/>
              <w:spacing w:after="0" w:line="217" w:lineRule="exact"/>
              <w:rPr>
                <w:sz w:val="20"/>
                <w:szCs w:val="20"/>
                <w:color w:val="auto"/>
              </w:rPr>
            </w:pPr>
            <w:r>
              <w:rPr>
                <w:rFonts w:ascii="Times New Roman" w:cs="Times New Roman" w:eastAsia="Times New Roman" w:hAnsi="Times New Roman"/>
                <w:sz w:val="19"/>
                <w:szCs w:val="19"/>
                <w:color w:val="231F20"/>
              </w:rPr>
              <w:t>(6,351)</w:t>
            </w:r>
          </w:p>
        </w:tc>
        <w:tc>
          <w:tcPr>
            <w:tcW w:w="240" w:type="dxa"/>
            <w:vAlign w:val="bottom"/>
            <w:gridSpan w:val="2"/>
            <w:shd w:val="clear" w:color="auto" w:fill="FDFDFC"/>
          </w:tcPr>
          <w:p>
            <w:pPr>
              <w:jc w:val="right"/>
              <w:spacing w:after="0" w:line="217" w:lineRule="exact"/>
              <w:rPr>
                <w:sz w:val="20"/>
                <w:szCs w:val="20"/>
                <w:color w:val="auto"/>
              </w:rPr>
            </w:pPr>
            <w:r>
              <w:rPr>
                <w:rFonts w:ascii="Times New Roman" w:cs="Times New Roman" w:eastAsia="Times New Roman" w:hAnsi="Times New Roman"/>
                <w:sz w:val="19"/>
                <w:szCs w:val="19"/>
                <w:color w:val="231F20"/>
              </w:rPr>
              <w:t>$</w:t>
            </w:r>
          </w:p>
        </w:tc>
        <w:tc>
          <w:tcPr>
            <w:tcW w:w="860" w:type="dxa"/>
            <w:vAlign w:val="bottom"/>
            <w:gridSpan w:val="3"/>
            <w:shd w:val="clear" w:color="auto" w:fill="FDFDFC"/>
          </w:tcPr>
          <w:p>
            <w:pPr>
              <w:jc w:val="right"/>
              <w:ind w:right="20"/>
              <w:spacing w:after="0" w:line="217" w:lineRule="exact"/>
              <w:rPr>
                <w:sz w:val="20"/>
                <w:szCs w:val="20"/>
                <w:color w:val="auto"/>
              </w:rPr>
            </w:pPr>
            <w:r>
              <w:rPr>
                <w:rFonts w:ascii="Times New Roman" w:cs="Times New Roman" w:eastAsia="Times New Roman" w:hAnsi="Times New Roman"/>
                <w:sz w:val="19"/>
                <w:szCs w:val="19"/>
                <w:color w:val="231F20"/>
              </w:rPr>
              <w:t>(2,749)</w:t>
            </w:r>
          </w:p>
        </w:tc>
        <w:tc>
          <w:tcPr>
            <w:tcW w:w="180" w:type="dxa"/>
            <w:vAlign w:val="bottom"/>
            <w:shd w:val="clear" w:color="auto" w:fill="FDFDFC"/>
          </w:tcPr>
          <w:p>
            <w:pPr>
              <w:spacing w:after="0"/>
              <w:rPr>
                <w:sz w:val="18"/>
                <w:szCs w:val="18"/>
                <w:color w:val="auto"/>
              </w:rPr>
            </w:pPr>
          </w:p>
        </w:tc>
        <w:tc>
          <w:tcPr>
            <w:tcW w:w="120" w:type="dxa"/>
            <w:vAlign w:val="bottom"/>
            <w:shd w:val="clear" w:color="auto" w:fill="FDFDFC"/>
          </w:tcPr>
          <w:p>
            <w:pPr>
              <w:jc w:val="right"/>
              <w:spacing w:after="0"/>
              <w:rPr>
                <w:sz w:val="20"/>
                <w:szCs w:val="20"/>
                <w:color w:val="auto"/>
              </w:rPr>
            </w:pPr>
            <w:r>
              <w:rPr>
                <w:rFonts w:ascii="Times New Roman" w:cs="Times New Roman" w:eastAsia="Times New Roman" w:hAnsi="Times New Roman"/>
                <w:sz w:val="17"/>
                <w:szCs w:val="17"/>
                <w:color w:val="231F20"/>
                <w:w w:val="70"/>
              </w:rPr>
              <w:t>$</w:t>
            </w:r>
          </w:p>
        </w:tc>
        <w:tc>
          <w:tcPr>
            <w:tcW w:w="880" w:type="dxa"/>
            <w:vAlign w:val="bottom"/>
            <w:gridSpan w:val="3"/>
            <w:shd w:val="clear" w:color="auto" w:fill="FDFDFC"/>
          </w:tcPr>
          <w:p>
            <w:pPr>
              <w:jc w:val="right"/>
              <w:ind w:right="100"/>
              <w:spacing w:after="0" w:line="217" w:lineRule="exact"/>
              <w:rPr>
                <w:sz w:val="20"/>
                <w:szCs w:val="20"/>
                <w:color w:val="auto"/>
              </w:rPr>
            </w:pPr>
            <w:r>
              <w:rPr>
                <w:rFonts w:ascii="Times New Roman" w:cs="Times New Roman" w:eastAsia="Times New Roman" w:hAnsi="Times New Roman"/>
                <w:sz w:val="19"/>
                <w:szCs w:val="19"/>
                <w:color w:val="231F20"/>
              </w:rPr>
              <w:t>(54,347)</w:t>
            </w:r>
          </w:p>
        </w:tc>
        <w:tc>
          <w:tcPr>
            <w:tcW w:w="300" w:type="dxa"/>
            <w:vAlign w:val="bottom"/>
            <w:gridSpan w:val="2"/>
            <w:shd w:val="clear" w:color="auto" w:fill="FDFDFC"/>
          </w:tcPr>
          <w:p>
            <w:pPr>
              <w:jc w:val="right"/>
              <w:ind w:right="26"/>
              <w:spacing w:after="0" w:line="217" w:lineRule="exact"/>
              <w:rPr>
                <w:sz w:val="20"/>
                <w:szCs w:val="20"/>
                <w:color w:val="auto"/>
              </w:rPr>
            </w:pPr>
            <w:r>
              <w:rPr>
                <w:rFonts w:ascii="Times New Roman" w:cs="Times New Roman" w:eastAsia="Times New Roman" w:hAnsi="Times New Roman"/>
                <w:sz w:val="19"/>
                <w:szCs w:val="19"/>
                <w:color w:val="231F20"/>
              </w:rPr>
              <w:t>$</w:t>
            </w:r>
          </w:p>
        </w:tc>
        <w:tc>
          <w:tcPr>
            <w:tcW w:w="740" w:type="dxa"/>
            <w:vAlign w:val="bottom"/>
            <w:shd w:val="clear" w:color="auto" w:fill="FDFDFC"/>
          </w:tcPr>
          <w:p>
            <w:pPr>
              <w:jc w:val="right"/>
              <w:spacing w:after="0" w:line="217" w:lineRule="exact"/>
              <w:rPr>
                <w:sz w:val="20"/>
                <w:szCs w:val="20"/>
                <w:color w:val="auto"/>
              </w:rPr>
            </w:pPr>
            <w:r>
              <w:rPr>
                <w:rFonts w:ascii="Times New Roman" w:cs="Times New Roman" w:eastAsia="Times New Roman" w:hAnsi="Times New Roman"/>
                <w:sz w:val="19"/>
                <w:szCs w:val="19"/>
                <w:color w:val="231F20"/>
              </w:rPr>
              <w:t>5,173</w:t>
            </w:r>
          </w:p>
        </w:tc>
        <w:tc>
          <w:tcPr>
            <w:tcW w:w="20" w:type="dxa"/>
            <w:vAlign w:val="bottom"/>
            <w:shd w:val="clear" w:color="auto" w:fill="FDFDFC"/>
          </w:tcPr>
          <w:p>
            <w:pPr>
              <w:spacing w:after="0"/>
              <w:rPr>
                <w:sz w:val="18"/>
                <w:szCs w:val="18"/>
                <w:color w:val="auto"/>
              </w:rPr>
            </w:pPr>
          </w:p>
        </w:tc>
        <w:tc>
          <w:tcPr>
            <w:tcW w:w="80" w:type="dxa"/>
            <w:vAlign w:val="bottom"/>
            <w:shd w:val="clear" w:color="auto" w:fill="FDFDFC"/>
          </w:tcPr>
          <w:p>
            <w:pPr>
              <w:spacing w:after="0"/>
              <w:rPr>
                <w:sz w:val="18"/>
                <w:szCs w:val="18"/>
                <w:color w:val="auto"/>
              </w:rPr>
            </w:pPr>
          </w:p>
        </w:tc>
      </w:tr>
      <w:tr>
        <w:trPr>
          <w:trHeight w:val="217"/>
        </w:trPr>
        <w:tc>
          <w:tcPr>
            <w:tcW w:w="4280" w:type="dxa"/>
            <w:vAlign w:val="bottom"/>
            <w:shd w:val="clear" w:color="auto" w:fill="D0EBF2"/>
          </w:tcPr>
          <w:p>
            <w:pPr>
              <w:spacing w:after="0" w:line="217" w:lineRule="exact"/>
              <w:rPr>
                <w:sz w:val="20"/>
                <w:szCs w:val="20"/>
                <w:color w:val="auto"/>
              </w:rPr>
            </w:pPr>
            <w:r>
              <w:rPr>
                <w:rFonts w:ascii="Times New Roman" w:cs="Times New Roman" w:eastAsia="Times New Roman" w:hAnsi="Times New Roman"/>
                <w:sz w:val="19"/>
                <w:szCs w:val="19"/>
                <w:color w:val="231F20"/>
              </w:rPr>
              <w:t>Increase in Net Assets Resulting from Operations</w:t>
            </w:r>
          </w:p>
        </w:tc>
        <w:tc>
          <w:tcPr>
            <w:tcW w:w="460" w:type="dxa"/>
            <w:vAlign w:val="bottom"/>
            <w:gridSpan w:val="2"/>
            <w:shd w:val="clear" w:color="auto" w:fill="D0EBF2"/>
          </w:tcPr>
          <w:p>
            <w:pPr>
              <w:jc w:val="right"/>
              <w:ind w:right="66"/>
              <w:spacing w:after="0" w:line="217" w:lineRule="exact"/>
              <w:rPr>
                <w:sz w:val="20"/>
                <w:szCs w:val="20"/>
                <w:color w:val="auto"/>
              </w:rPr>
            </w:pPr>
            <w:r>
              <w:rPr>
                <w:rFonts w:ascii="Times New Roman" w:cs="Times New Roman" w:eastAsia="Times New Roman" w:hAnsi="Times New Roman"/>
                <w:sz w:val="19"/>
                <w:szCs w:val="19"/>
                <w:color w:val="231F20"/>
              </w:rPr>
              <w:t>$</w:t>
            </w:r>
          </w:p>
        </w:tc>
        <w:tc>
          <w:tcPr>
            <w:tcW w:w="980" w:type="dxa"/>
            <w:vAlign w:val="bottom"/>
            <w:gridSpan w:val="2"/>
            <w:shd w:val="clear" w:color="auto" w:fill="D0EBF2"/>
          </w:tcPr>
          <w:p>
            <w:pPr>
              <w:jc w:val="right"/>
              <w:ind w:right="20"/>
              <w:spacing w:after="0" w:line="217" w:lineRule="exact"/>
              <w:rPr>
                <w:sz w:val="20"/>
                <w:szCs w:val="20"/>
                <w:color w:val="auto"/>
              </w:rPr>
            </w:pPr>
            <w:r>
              <w:rPr>
                <w:rFonts w:ascii="Times New Roman" w:cs="Times New Roman" w:eastAsia="Times New Roman" w:hAnsi="Times New Roman"/>
                <w:sz w:val="19"/>
                <w:szCs w:val="19"/>
                <w:color w:val="231F20"/>
              </w:rPr>
              <w:t>46,262</w:t>
            </w:r>
          </w:p>
        </w:tc>
        <w:tc>
          <w:tcPr>
            <w:tcW w:w="20" w:type="dxa"/>
            <w:vAlign w:val="bottom"/>
            <w:shd w:val="clear" w:color="auto" w:fill="D0EBF2"/>
          </w:tcPr>
          <w:p>
            <w:pPr>
              <w:spacing w:after="0"/>
              <w:rPr>
                <w:sz w:val="18"/>
                <w:szCs w:val="18"/>
                <w:color w:val="auto"/>
              </w:rPr>
            </w:pPr>
          </w:p>
        </w:tc>
        <w:tc>
          <w:tcPr>
            <w:tcW w:w="120" w:type="dxa"/>
            <w:vAlign w:val="bottom"/>
            <w:shd w:val="clear" w:color="auto" w:fill="D0EBF2"/>
          </w:tcPr>
          <w:p>
            <w:pPr>
              <w:spacing w:after="0"/>
              <w:rPr>
                <w:sz w:val="18"/>
                <w:szCs w:val="18"/>
                <w:color w:val="auto"/>
              </w:rPr>
            </w:pPr>
          </w:p>
        </w:tc>
        <w:tc>
          <w:tcPr>
            <w:tcW w:w="240" w:type="dxa"/>
            <w:vAlign w:val="bottom"/>
            <w:gridSpan w:val="2"/>
            <w:shd w:val="clear" w:color="auto" w:fill="D0EBF2"/>
          </w:tcPr>
          <w:p>
            <w:pPr>
              <w:jc w:val="right"/>
              <w:spacing w:after="0" w:line="217" w:lineRule="exact"/>
              <w:rPr>
                <w:sz w:val="20"/>
                <w:szCs w:val="20"/>
                <w:color w:val="auto"/>
              </w:rPr>
            </w:pPr>
            <w:r>
              <w:rPr>
                <w:rFonts w:ascii="Times New Roman" w:cs="Times New Roman" w:eastAsia="Times New Roman" w:hAnsi="Times New Roman"/>
                <w:sz w:val="19"/>
                <w:szCs w:val="19"/>
                <w:color w:val="231F20"/>
              </w:rPr>
              <w:t>$</w:t>
            </w:r>
          </w:p>
        </w:tc>
        <w:tc>
          <w:tcPr>
            <w:tcW w:w="780" w:type="dxa"/>
            <w:vAlign w:val="bottom"/>
            <w:gridSpan w:val="2"/>
            <w:shd w:val="clear" w:color="auto" w:fill="D0EBF2"/>
          </w:tcPr>
          <w:p>
            <w:pPr>
              <w:jc w:val="right"/>
              <w:ind w:right="20"/>
              <w:spacing w:after="0" w:line="217" w:lineRule="exact"/>
              <w:rPr>
                <w:sz w:val="20"/>
                <w:szCs w:val="20"/>
                <w:color w:val="auto"/>
              </w:rPr>
            </w:pPr>
            <w:r>
              <w:rPr>
                <w:rFonts w:ascii="Times New Roman" w:cs="Times New Roman" w:eastAsia="Times New Roman" w:hAnsi="Times New Roman"/>
                <w:sz w:val="19"/>
                <w:szCs w:val="19"/>
                <w:color w:val="231F20"/>
              </w:rPr>
              <w:t>34,431</w:t>
            </w:r>
          </w:p>
        </w:tc>
        <w:tc>
          <w:tcPr>
            <w:tcW w:w="80" w:type="dxa"/>
            <w:vAlign w:val="bottom"/>
            <w:shd w:val="clear" w:color="auto" w:fill="D0EBF2"/>
          </w:tcPr>
          <w:p>
            <w:pPr>
              <w:spacing w:after="0"/>
              <w:rPr>
                <w:sz w:val="18"/>
                <w:szCs w:val="18"/>
                <w:color w:val="auto"/>
              </w:rPr>
            </w:pPr>
          </w:p>
        </w:tc>
        <w:tc>
          <w:tcPr>
            <w:tcW w:w="180" w:type="dxa"/>
            <w:vAlign w:val="bottom"/>
            <w:shd w:val="clear" w:color="auto" w:fill="D0EBF2"/>
          </w:tcPr>
          <w:p>
            <w:pPr>
              <w:spacing w:after="0"/>
              <w:rPr>
                <w:sz w:val="18"/>
                <w:szCs w:val="18"/>
                <w:color w:val="auto"/>
              </w:rPr>
            </w:pPr>
          </w:p>
        </w:tc>
        <w:tc>
          <w:tcPr>
            <w:tcW w:w="120" w:type="dxa"/>
            <w:vAlign w:val="bottom"/>
            <w:shd w:val="clear" w:color="auto" w:fill="D0EBF2"/>
          </w:tcPr>
          <w:p>
            <w:pPr>
              <w:jc w:val="right"/>
              <w:spacing w:after="0"/>
              <w:rPr>
                <w:sz w:val="20"/>
                <w:szCs w:val="20"/>
                <w:color w:val="auto"/>
              </w:rPr>
            </w:pPr>
            <w:r>
              <w:rPr>
                <w:rFonts w:ascii="Times New Roman" w:cs="Times New Roman" w:eastAsia="Times New Roman" w:hAnsi="Times New Roman"/>
                <w:sz w:val="17"/>
                <w:szCs w:val="17"/>
                <w:color w:val="231F20"/>
                <w:w w:val="70"/>
              </w:rPr>
              <w:t>$</w:t>
            </w:r>
          </w:p>
        </w:tc>
        <w:tc>
          <w:tcPr>
            <w:tcW w:w="880" w:type="dxa"/>
            <w:vAlign w:val="bottom"/>
            <w:gridSpan w:val="3"/>
            <w:shd w:val="clear" w:color="auto" w:fill="D0EBF2"/>
          </w:tcPr>
          <w:p>
            <w:pPr>
              <w:jc w:val="right"/>
              <w:ind w:right="100"/>
              <w:spacing w:after="0" w:line="217" w:lineRule="exact"/>
              <w:rPr>
                <w:sz w:val="20"/>
                <w:szCs w:val="20"/>
                <w:color w:val="auto"/>
              </w:rPr>
            </w:pPr>
            <w:r>
              <w:rPr>
                <w:rFonts w:ascii="Times New Roman" w:cs="Times New Roman" w:eastAsia="Times New Roman" w:hAnsi="Times New Roman"/>
                <w:sz w:val="19"/>
                <w:szCs w:val="19"/>
                <w:color w:val="231F20"/>
              </w:rPr>
              <w:t>(13,525)</w:t>
            </w:r>
          </w:p>
        </w:tc>
        <w:tc>
          <w:tcPr>
            <w:tcW w:w="300" w:type="dxa"/>
            <w:vAlign w:val="bottom"/>
            <w:gridSpan w:val="2"/>
            <w:shd w:val="clear" w:color="auto" w:fill="D0EBF2"/>
          </w:tcPr>
          <w:p>
            <w:pPr>
              <w:jc w:val="right"/>
              <w:ind w:right="26"/>
              <w:spacing w:after="0" w:line="217" w:lineRule="exact"/>
              <w:rPr>
                <w:sz w:val="20"/>
                <w:szCs w:val="20"/>
                <w:color w:val="auto"/>
              </w:rPr>
            </w:pPr>
            <w:r>
              <w:rPr>
                <w:rFonts w:ascii="Times New Roman" w:cs="Times New Roman" w:eastAsia="Times New Roman" w:hAnsi="Times New Roman"/>
                <w:sz w:val="19"/>
                <w:szCs w:val="19"/>
                <w:color w:val="231F20"/>
              </w:rPr>
              <w:t>$</w:t>
            </w:r>
          </w:p>
        </w:tc>
        <w:tc>
          <w:tcPr>
            <w:tcW w:w="740" w:type="dxa"/>
            <w:vAlign w:val="bottom"/>
            <w:shd w:val="clear" w:color="auto" w:fill="D0EBF2"/>
          </w:tcPr>
          <w:p>
            <w:pPr>
              <w:jc w:val="right"/>
              <w:spacing w:after="0" w:line="217" w:lineRule="exact"/>
              <w:rPr>
                <w:sz w:val="20"/>
                <w:szCs w:val="20"/>
                <w:color w:val="auto"/>
              </w:rPr>
            </w:pPr>
            <w:r>
              <w:rPr>
                <w:rFonts w:ascii="Times New Roman" w:cs="Times New Roman" w:eastAsia="Times New Roman" w:hAnsi="Times New Roman"/>
                <w:sz w:val="19"/>
                <w:szCs w:val="19"/>
                <w:color w:val="231F20"/>
              </w:rPr>
              <w:t>40,885</w:t>
            </w:r>
          </w:p>
        </w:tc>
        <w:tc>
          <w:tcPr>
            <w:tcW w:w="20" w:type="dxa"/>
            <w:vAlign w:val="bottom"/>
            <w:shd w:val="clear" w:color="auto" w:fill="D0EBF2"/>
          </w:tcPr>
          <w:p>
            <w:pPr>
              <w:spacing w:after="0"/>
              <w:rPr>
                <w:sz w:val="18"/>
                <w:szCs w:val="18"/>
                <w:color w:val="auto"/>
              </w:rPr>
            </w:pPr>
          </w:p>
        </w:tc>
        <w:tc>
          <w:tcPr>
            <w:tcW w:w="80" w:type="dxa"/>
            <w:vAlign w:val="bottom"/>
            <w:shd w:val="clear" w:color="auto" w:fill="D0EBF2"/>
          </w:tcPr>
          <w:p>
            <w:pPr>
              <w:spacing w:after="0"/>
              <w:rPr>
                <w:sz w:val="18"/>
                <w:szCs w:val="18"/>
                <w:color w:val="auto"/>
              </w:rPr>
            </w:pPr>
          </w:p>
        </w:tc>
      </w:tr>
      <w:tr>
        <w:trPr>
          <w:trHeight w:val="217"/>
        </w:trPr>
        <w:tc>
          <w:tcPr>
            <w:tcW w:w="4280" w:type="dxa"/>
            <w:vAlign w:val="bottom"/>
            <w:shd w:val="clear" w:color="auto" w:fill="FDFDFC"/>
          </w:tcPr>
          <w:p>
            <w:pPr>
              <w:spacing w:after="0" w:line="217" w:lineRule="exact"/>
              <w:rPr>
                <w:sz w:val="20"/>
                <w:szCs w:val="20"/>
                <w:color w:val="auto"/>
              </w:rPr>
            </w:pPr>
            <w:r>
              <w:rPr>
                <w:rFonts w:ascii="Times New Roman" w:cs="Times New Roman" w:eastAsia="Times New Roman" w:hAnsi="Times New Roman"/>
                <w:sz w:val="19"/>
                <w:szCs w:val="19"/>
                <w:color w:val="231F20"/>
              </w:rPr>
              <w:t>Net Asset Value per Share as of the End of the Quarter</w:t>
            </w:r>
          </w:p>
        </w:tc>
        <w:tc>
          <w:tcPr>
            <w:tcW w:w="460" w:type="dxa"/>
            <w:vAlign w:val="bottom"/>
            <w:gridSpan w:val="2"/>
            <w:shd w:val="clear" w:color="auto" w:fill="FDFDFC"/>
          </w:tcPr>
          <w:p>
            <w:pPr>
              <w:jc w:val="right"/>
              <w:ind w:right="66"/>
              <w:spacing w:after="0" w:line="217" w:lineRule="exact"/>
              <w:rPr>
                <w:sz w:val="20"/>
                <w:szCs w:val="20"/>
                <w:color w:val="auto"/>
              </w:rPr>
            </w:pPr>
            <w:r>
              <w:rPr>
                <w:rFonts w:ascii="Times New Roman" w:cs="Times New Roman" w:eastAsia="Times New Roman" w:hAnsi="Times New Roman"/>
                <w:sz w:val="19"/>
                <w:szCs w:val="19"/>
                <w:color w:val="231F20"/>
              </w:rPr>
              <w:t>$</w:t>
            </w:r>
          </w:p>
        </w:tc>
        <w:tc>
          <w:tcPr>
            <w:tcW w:w="980" w:type="dxa"/>
            <w:vAlign w:val="bottom"/>
            <w:gridSpan w:val="2"/>
            <w:shd w:val="clear" w:color="auto" w:fill="FDFDFC"/>
          </w:tcPr>
          <w:p>
            <w:pPr>
              <w:jc w:val="right"/>
              <w:ind w:right="20"/>
              <w:spacing w:after="0" w:line="217" w:lineRule="exact"/>
              <w:rPr>
                <w:sz w:val="20"/>
                <w:szCs w:val="20"/>
                <w:color w:val="auto"/>
              </w:rPr>
            </w:pPr>
            <w:r>
              <w:rPr>
                <w:rFonts w:ascii="Times New Roman" w:cs="Times New Roman" w:eastAsia="Times New Roman" w:hAnsi="Times New Roman"/>
                <w:sz w:val="19"/>
                <w:szCs w:val="19"/>
                <w:color w:val="231F20"/>
              </w:rPr>
              <w:t>16.48</w:t>
            </w:r>
          </w:p>
        </w:tc>
        <w:tc>
          <w:tcPr>
            <w:tcW w:w="20" w:type="dxa"/>
            <w:vAlign w:val="bottom"/>
            <w:shd w:val="clear" w:color="auto" w:fill="FDFDFC"/>
          </w:tcPr>
          <w:p>
            <w:pPr>
              <w:spacing w:after="0"/>
              <w:rPr>
                <w:sz w:val="18"/>
                <w:szCs w:val="18"/>
                <w:color w:val="auto"/>
              </w:rPr>
            </w:pPr>
          </w:p>
        </w:tc>
        <w:tc>
          <w:tcPr>
            <w:tcW w:w="120" w:type="dxa"/>
            <w:vAlign w:val="bottom"/>
            <w:shd w:val="clear" w:color="auto" w:fill="FDFDFC"/>
          </w:tcPr>
          <w:p>
            <w:pPr>
              <w:spacing w:after="0"/>
              <w:rPr>
                <w:sz w:val="18"/>
                <w:szCs w:val="18"/>
                <w:color w:val="auto"/>
              </w:rPr>
            </w:pPr>
          </w:p>
        </w:tc>
        <w:tc>
          <w:tcPr>
            <w:tcW w:w="240" w:type="dxa"/>
            <w:vAlign w:val="bottom"/>
            <w:gridSpan w:val="2"/>
            <w:shd w:val="clear" w:color="auto" w:fill="FDFDFC"/>
          </w:tcPr>
          <w:p>
            <w:pPr>
              <w:jc w:val="right"/>
              <w:spacing w:after="0" w:line="217" w:lineRule="exact"/>
              <w:rPr>
                <w:sz w:val="20"/>
                <w:szCs w:val="20"/>
                <w:color w:val="auto"/>
              </w:rPr>
            </w:pPr>
            <w:r>
              <w:rPr>
                <w:rFonts w:ascii="Times New Roman" w:cs="Times New Roman" w:eastAsia="Times New Roman" w:hAnsi="Times New Roman"/>
                <w:sz w:val="19"/>
                <w:szCs w:val="19"/>
                <w:color w:val="231F20"/>
              </w:rPr>
              <w:t>$</w:t>
            </w:r>
          </w:p>
        </w:tc>
        <w:tc>
          <w:tcPr>
            <w:tcW w:w="780" w:type="dxa"/>
            <w:vAlign w:val="bottom"/>
            <w:gridSpan w:val="2"/>
            <w:shd w:val="clear" w:color="auto" w:fill="FDFDFC"/>
          </w:tcPr>
          <w:p>
            <w:pPr>
              <w:jc w:val="right"/>
              <w:ind w:right="20"/>
              <w:spacing w:after="0" w:line="217" w:lineRule="exact"/>
              <w:rPr>
                <w:sz w:val="20"/>
                <w:szCs w:val="20"/>
                <w:color w:val="auto"/>
              </w:rPr>
            </w:pPr>
            <w:r>
              <w:rPr>
                <w:rFonts w:ascii="Times New Roman" w:cs="Times New Roman" w:eastAsia="Times New Roman" w:hAnsi="Times New Roman"/>
                <w:sz w:val="19"/>
                <w:szCs w:val="19"/>
                <w:color w:val="231F20"/>
              </w:rPr>
              <w:t>16.36</w:t>
            </w:r>
          </w:p>
        </w:tc>
        <w:tc>
          <w:tcPr>
            <w:tcW w:w="80" w:type="dxa"/>
            <w:vAlign w:val="bottom"/>
            <w:shd w:val="clear" w:color="auto" w:fill="FDFDFC"/>
          </w:tcPr>
          <w:p>
            <w:pPr>
              <w:spacing w:after="0"/>
              <w:rPr>
                <w:sz w:val="18"/>
                <w:szCs w:val="18"/>
                <w:color w:val="auto"/>
              </w:rPr>
            </w:pPr>
          </w:p>
        </w:tc>
        <w:tc>
          <w:tcPr>
            <w:tcW w:w="180" w:type="dxa"/>
            <w:vAlign w:val="bottom"/>
            <w:shd w:val="clear" w:color="auto" w:fill="FDFDFC"/>
          </w:tcPr>
          <w:p>
            <w:pPr>
              <w:spacing w:after="0"/>
              <w:rPr>
                <w:sz w:val="18"/>
                <w:szCs w:val="18"/>
                <w:color w:val="auto"/>
              </w:rPr>
            </w:pPr>
          </w:p>
        </w:tc>
        <w:tc>
          <w:tcPr>
            <w:tcW w:w="120" w:type="dxa"/>
            <w:vAlign w:val="bottom"/>
            <w:shd w:val="clear" w:color="auto" w:fill="FDFDFC"/>
          </w:tcPr>
          <w:p>
            <w:pPr>
              <w:jc w:val="right"/>
              <w:spacing w:after="0"/>
              <w:rPr>
                <w:sz w:val="20"/>
                <w:szCs w:val="20"/>
                <w:color w:val="auto"/>
              </w:rPr>
            </w:pPr>
            <w:r>
              <w:rPr>
                <w:rFonts w:ascii="Times New Roman" w:cs="Times New Roman" w:eastAsia="Times New Roman" w:hAnsi="Times New Roman"/>
                <w:sz w:val="17"/>
                <w:szCs w:val="17"/>
                <w:color w:val="231F20"/>
                <w:w w:val="70"/>
              </w:rPr>
              <w:t>$</w:t>
            </w:r>
          </w:p>
        </w:tc>
        <w:tc>
          <w:tcPr>
            <w:tcW w:w="720" w:type="dxa"/>
            <w:vAlign w:val="bottom"/>
            <w:gridSpan w:val="2"/>
            <w:shd w:val="clear" w:color="auto" w:fill="FDFDFC"/>
          </w:tcPr>
          <w:p>
            <w:pPr>
              <w:jc w:val="right"/>
              <w:ind w:right="20"/>
              <w:spacing w:after="0" w:line="217" w:lineRule="exact"/>
              <w:rPr>
                <w:sz w:val="20"/>
                <w:szCs w:val="20"/>
                <w:color w:val="auto"/>
              </w:rPr>
            </w:pPr>
            <w:r>
              <w:rPr>
                <w:rFonts w:ascii="Times New Roman" w:cs="Times New Roman" w:eastAsia="Times New Roman" w:hAnsi="Times New Roman"/>
                <w:sz w:val="19"/>
                <w:szCs w:val="19"/>
                <w:color w:val="231F20"/>
              </w:rPr>
              <w:t>16.27</w:t>
            </w:r>
          </w:p>
        </w:tc>
        <w:tc>
          <w:tcPr>
            <w:tcW w:w="160" w:type="dxa"/>
            <w:vAlign w:val="bottom"/>
            <w:shd w:val="clear" w:color="auto" w:fill="FDFDFC"/>
          </w:tcPr>
          <w:p>
            <w:pPr>
              <w:spacing w:after="0"/>
              <w:rPr>
                <w:sz w:val="18"/>
                <w:szCs w:val="18"/>
                <w:color w:val="auto"/>
              </w:rPr>
            </w:pPr>
          </w:p>
        </w:tc>
        <w:tc>
          <w:tcPr>
            <w:tcW w:w="300" w:type="dxa"/>
            <w:vAlign w:val="bottom"/>
            <w:gridSpan w:val="2"/>
            <w:shd w:val="clear" w:color="auto" w:fill="FDFDFC"/>
          </w:tcPr>
          <w:p>
            <w:pPr>
              <w:jc w:val="right"/>
              <w:ind w:right="26"/>
              <w:spacing w:after="0" w:line="217" w:lineRule="exact"/>
              <w:rPr>
                <w:sz w:val="20"/>
                <w:szCs w:val="20"/>
                <w:color w:val="auto"/>
              </w:rPr>
            </w:pPr>
            <w:r>
              <w:rPr>
                <w:rFonts w:ascii="Times New Roman" w:cs="Times New Roman" w:eastAsia="Times New Roman" w:hAnsi="Times New Roman"/>
                <w:sz w:val="19"/>
                <w:szCs w:val="19"/>
                <w:color w:val="231F20"/>
              </w:rPr>
              <w:t>$</w:t>
            </w:r>
          </w:p>
        </w:tc>
        <w:tc>
          <w:tcPr>
            <w:tcW w:w="740" w:type="dxa"/>
            <w:vAlign w:val="bottom"/>
            <w:shd w:val="clear" w:color="auto" w:fill="FDFDFC"/>
          </w:tcPr>
          <w:p>
            <w:pPr>
              <w:jc w:val="right"/>
              <w:spacing w:after="0" w:line="217" w:lineRule="exact"/>
              <w:rPr>
                <w:sz w:val="20"/>
                <w:szCs w:val="20"/>
                <w:color w:val="auto"/>
              </w:rPr>
            </w:pPr>
            <w:r>
              <w:rPr>
                <w:rFonts w:ascii="Times New Roman" w:cs="Times New Roman" w:eastAsia="Times New Roman" w:hAnsi="Times New Roman"/>
                <w:sz w:val="19"/>
                <w:szCs w:val="19"/>
                <w:color w:val="231F20"/>
              </w:rPr>
              <w:t>16.88</w:t>
            </w:r>
          </w:p>
        </w:tc>
        <w:tc>
          <w:tcPr>
            <w:tcW w:w="20" w:type="dxa"/>
            <w:vAlign w:val="bottom"/>
            <w:shd w:val="clear" w:color="auto" w:fill="FDFDFC"/>
          </w:tcPr>
          <w:p>
            <w:pPr>
              <w:spacing w:after="0"/>
              <w:rPr>
                <w:sz w:val="18"/>
                <w:szCs w:val="18"/>
                <w:color w:val="auto"/>
              </w:rPr>
            </w:pPr>
          </w:p>
        </w:tc>
        <w:tc>
          <w:tcPr>
            <w:tcW w:w="80" w:type="dxa"/>
            <w:vAlign w:val="bottom"/>
            <w:shd w:val="clear" w:color="auto" w:fill="FDFDFC"/>
          </w:tcPr>
          <w:p>
            <w:pPr>
              <w:spacing w:after="0"/>
              <w:rPr>
                <w:sz w:val="18"/>
                <w:szCs w:val="18"/>
                <w:color w:val="auto"/>
              </w:rPr>
            </w:pPr>
          </w:p>
        </w:tc>
      </w:tr>
    </w:tbl>
    <w:p>
      <w:pPr>
        <w:spacing w:after="0" w:line="197" w:lineRule="exact"/>
        <w:rPr>
          <w:sz w:val="20"/>
          <w:szCs w:val="20"/>
          <w:color w:val="auto"/>
        </w:rPr>
      </w:pPr>
    </w:p>
    <w:p>
      <w:pPr>
        <w:ind w:left="460" w:hanging="460"/>
        <w:spacing w:after="0"/>
        <w:tabs>
          <w:tab w:leader="none" w:pos="460" w:val="left"/>
        </w:tabs>
        <w:numPr>
          <w:ilvl w:val="0"/>
          <w:numId w:val="105"/>
        </w:numPr>
        <w:rPr>
          <w:rFonts w:ascii="Times New Roman" w:cs="Times New Roman" w:eastAsia="Times New Roman" w:hAnsi="Times New Roman"/>
          <w:sz w:val="17"/>
          <w:szCs w:val="17"/>
          <w:color w:val="231F20"/>
        </w:rPr>
      </w:pPr>
      <w:r>
        <w:rPr>
          <w:rFonts w:ascii="Times New Roman" w:cs="Times New Roman" w:eastAsia="Times New Roman" w:hAnsi="Times New Roman"/>
          <w:sz w:val="19"/>
          <w:szCs w:val="19"/>
          <w:color w:val="231F20"/>
        </w:rPr>
        <w:t>Net expenses include income taxes, including excise taxes.</w:t>
      </w:r>
    </w:p>
    <w:p>
      <w:pPr>
        <w:spacing w:after="0" w:line="33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231F20"/>
        </w:rPr>
        <w:t>15. Subsequent Events</w:t>
      </w:r>
    </w:p>
    <w:p>
      <w:pPr>
        <w:spacing w:after="0" w:line="114" w:lineRule="exact"/>
        <w:rPr>
          <w:sz w:val="20"/>
          <w:szCs w:val="20"/>
          <w:color w:val="auto"/>
        </w:rPr>
      </w:pPr>
    </w:p>
    <w:p>
      <w:pPr>
        <w:ind w:firstLine="231"/>
        <w:spacing w:after="0" w:line="250" w:lineRule="auto"/>
        <w:rPr>
          <w:sz w:val="20"/>
          <w:szCs w:val="20"/>
          <w:color w:val="auto"/>
        </w:rPr>
      </w:pPr>
      <w:r>
        <w:rPr>
          <w:rFonts w:ascii="Times New Roman" w:cs="Times New Roman" w:eastAsia="Times New Roman" w:hAnsi="Times New Roman"/>
          <w:sz w:val="19"/>
          <w:szCs w:val="19"/>
          <w:color w:val="231F20"/>
        </w:rPr>
        <w:t>The Company’s management has evaluated subsequent events through the date of issuance of the consolidated financial statements included herein. There have been no subsequent events, except as already disclosed, that occurred during such period that would require disclosure in this Form 10-K or would be required to be recognized in the consolidated financial statements as of and for the year ended December 31, 2024.</w:t>
      </w:r>
    </w:p>
    <w:p>
      <w:pPr>
        <w:sectPr>
          <w:pgSz w:w="12240" w:h="15840" w:orient="portrait"/>
          <w:cols w:equalWidth="0" w:num="1">
            <w:col w:w="10140"/>
          </w:cols>
          <w:pgMar w:left="1020" w:top="1440" w:right="1080" w:bottom="57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9"/>
          <w:szCs w:val="19"/>
          <w:color w:val="231F20"/>
        </w:rPr>
        <w:t>F-55</w:t>
      </w:r>
    </w:p>
    <w:p>
      <w:pPr>
        <w:sectPr>
          <w:pgSz w:w="12240" w:h="15840" w:orient="portrait"/>
          <w:cols w:equalWidth="0" w:num="1">
            <w:col w:w="10140"/>
          </w:cols>
          <w:pgMar w:left="1020" w:top="1440" w:right="1080" w:bottom="574" w:gutter="0" w:footer="0" w:header="0"/>
          <w:type w:val="continuous"/>
        </w:sectPr>
      </w:pPr>
    </w:p>
    <w:bookmarkStart w:id="143" w:name="page144"/>
    <w:bookmarkEnd w:id="143"/>
    <w:p>
      <w:pPr>
        <w:ind w:right="740"/>
        <w:spacing w:after="0" w:line="282" w:lineRule="auto"/>
        <w:rPr>
          <w:sz w:val="20"/>
          <w:szCs w:val="20"/>
          <w:color w:val="auto"/>
        </w:rPr>
      </w:pPr>
      <w:r>
        <w:rPr>
          <w:rFonts w:ascii="Times New Roman" w:cs="Times New Roman" w:eastAsia="Times New Roman" w:hAnsi="Times New Roman"/>
          <w:sz w:val="19"/>
          <w:szCs w:val="19"/>
          <w:b w:val="1"/>
          <w:bCs w:val="1"/>
          <w:color w:val="231F20"/>
        </w:rPr>
        <w:t>ITEM 9. CHANGES IN AND DISAGREEMENTS WITH ACCOUNTANTS ON ACCOUNTING AND FINANCIAL DISCLOSURE</w:t>
      </w:r>
    </w:p>
    <w:p>
      <w:pPr>
        <w:spacing w:after="0" w:line="36"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9"/>
          <w:szCs w:val="19"/>
          <w:color w:val="231F20"/>
        </w:rPr>
        <w:t>None.</w:t>
      </w:r>
    </w:p>
    <w:p>
      <w:pPr>
        <w:spacing w:after="0" w:line="38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231F20"/>
        </w:rPr>
        <w:t>ITEM 9A. CONTROLS AND PROCEDURES</w:t>
      </w:r>
    </w:p>
    <w:p>
      <w:pPr>
        <w:spacing w:after="0" w:line="114" w:lineRule="exact"/>
        <w:rPr>
          <w:sz w:val="20"/>
          <w:szCs w:val="20"/>
          <w:color w:val="auto"/>
        </w:rPr>
      </w:pPr>
    </w:p>
    <w:p>
      <w:pPr>
        <w:ind w:firstLine="231"/>
        <w:spacing w:after="0" w:line="246" w:lineRule="auto"/>
        <w:rPr>
          <w:sz w:val="20"/>
          <w:szCs w:val="20"/>
          <w:color w:val="auto"/>
        </w:rPr>
      </w:pPr>
      <w:r>
        <w:rPr>
          <w:rFonts w:ascii="Times New Roman" w:cs="Times New Roman" w:eastAsia="Times New Roman" w:hAnsi="Times New Roman"/>
          <w:sz w:val="19"/>
          <w:szCs w:val="19"/>
          <w:b w:val="1"/>
          <w:bCs w:val="1"/>
          <w:i w:val="1"/>
          <w:iCs w:val="1"/>
          <w:color w:val="231F20"/>
        </w:rPr>
        <w:t xml:space="preserve">Evaluation of Disclosure Controls and Procedures. </w:t>
      </w:r>
      <w:r>
        <w:rPr>
          <w:rFonts w:ascii="Times New Roman" w:cs="Times New Roman" w:eastAsia="Times New Roman" w:hAnsi="Times New Roman"/>
          <w:sz w:val="19"/>
          <w:szCs w:val="19"/>
          <w:color w:val="231F20"/>
        </w:rPr>
        <w:t>As of the end of the period covered by this Annual Report, we carried out an</w:t>
      </w:r>
      <w:r>
        <w:rPr>
          <w:rFonts w:ascii="Times New Roman" w:cs="Times New Roman" w:eastAsia="Times New Roman" w:hAnsi="Times New Roman"/>
          <w:sz w:val="19"/>
          <w:szCs w:val="19"/>
          <w:b w:val="1"/>
          <w:bCs w:val="1"/>
          <w:i w:val="1"/>
          <w:iCs w:val="1"/>
          <w:color w:val="231F20"/>
        </w:rPr>
        <w:t xml:space="preserve"> </w:t>
      </w:r>
      <w:r>
        <w:rPr>
          <w:rFonts w:ascii="Times New Roman" w:cs="Times New Roman" w:eastAsia="Times New Roman" w:hAnsi="Times New Roman"/>
          <w:sz w:val="19"/>
          <w:szCs w:val="19"/>
          <w:color w:val="231F20"/>
        </w:rPr>
        <w:t>evaluation, under the supervision and with the participation of our management, including our Chief Executive Officer and Chief Financial Officer, of the effectiveness of the design and operation of our disclosure controls and procedures (as defined in Rule 13a-15 under the Exchange Act). Based on that evaluation, our Chief Executive Officer and Chief Financial Officer have concluded that our current disclosure controls and procedures are effective in timely alerting them to material information relating to us that is required to be disclosed by us in the reports we file or submit under the Exchange Act.</w:t>
      </w:r>
    </w:p>
    <w:p>
      <w:pPr>
        <w:spacing w:after="0" w:line="186" w:lineRule="exact"/>
        <w:rPr>
          <w:sz w:val="20"/>
          <w:szCs w:val="20"/>
          <w:color w:val="auto"/>
        </w:rPr>
      </w:pPr>
    </w:p>
    <w:p>
      <w:pPr>
        <w:ind w:right="80" w:firstLine="231"/>
        <w:spacing w:after="0" w:line="244" w:lineRule="auto"/>
        <w:rPr>
          <w:sz w:val="20"/>
          <w:szCs w:val="20"/>
          <w:color w:val="auto"/>
        </w:rPr>
      </w:pPr>
      <w:r>
        <w:rPr>
          <w:rFonts w:ascii="Times New Roman" w:cs="Times New Roman" w:eastAsia="Times New Roman" w:hAnsi="Times New Roman"/>
          <w:sz w:val="19"/>
          <w:szCs w:val="19"/>
          <w:b w:val="1"/>
          <w:bCs w:val="1"/>
          <w:i w:val="1"/>
          <w:iCs w:val="1"/>
          <w:color w:val="231F20"/>
        </w:rPr>
        <w:t xml:space="preserve">Management’s Report on Internal Control Over Financial Reporting. </w:t>
      </w:r>
      <w:r>
        <w:rPr>
          <w:rFonts w:ascii="Times New Roman" w:cs="Times New Roman" w:eastAsia="Times New Roman" w:hAnsi="Times New Roman"/>
          <w:sz w:val="19"/>
          <w:szCs w:val="19"/>
          <w:color w:val="231F20"/>
        </w:rPr>
        <w:t>Our management is responsible for establishing and</w:t>
      </w:r>
      <w:r>
        <w:rPr>
          <w:rFonts w:ascii="Times New Roman" w:cs="Times New Roman" w:eastAsia="Times New Roman" w:hAnsi="Times New Roman"/>
          <w:sz w:val="19"/>
          <w:szCs w:val="19"/>
          <w:b w:val="1"/>
          <w:bCs w:val="1"/>
          <w:i w:val="1"/>
          <w:iCs w:val="1"/>
          <w:color w:val="231F20"/>
        </w:rPr>
        <w:t xml:space="preserve"> </w:t>
      </w:r>
      <w:r>
        <w:rPr>
          <w:rFonts w:ascii="Times New Roman" w:cs="Times New Roman" w:eastAsia="Times New Roman" w:hAnsi="Times New Roman"/>
          <w:sz w:val="19"/>
          <w:szCs w:val="19"/>
          <w:color w:val="231F20"/>
        </w:rPr>
        <w:t xml:space="preserve">maintaining adequate internal control over financial reporting (as defined in Rules 13a-15(f) and 15d-15(f) of the Exchange Act). Under the supervision and with the participation of management, including the Chief Executive Officer and Chief Financial Officer, we conducted an evaluation of the effectiveness of our internal control over financial reporting based on the criteria established in </w:t>
      </w:r>
      <w:r>
        <w:rPr>
          <w:rFonts w:ascii="Times New Roman" w:cs="Times New Roman" w:eastAsia="Times New Roman" w:hAnsi="Times New Roman"/>
          <w:sz w:val="19"/>
          <w:szCs w:val="19"/>
          <w:i w:val="1"/>
          <w:iCs w:val="1"/>
          <w:color w:val="231F20"/>
        </w:rPr>
        <w:t xml:space="preserve">Internal Control—Integrated Framework (2013) </w:t>
      </w:r>
      <w:r>
        <w:rPr>
          <w:rFonts w:ascii="Times New Roman" w:cs="Times New Roman" w:eastAsia="Times New Roman" w:hAnsi="Times New Roman"/>
          <w:sz w:val="19"/>
          <w:szCs w:val="19"/>
          <w:color w:val="231F20"/>
        </w:rPr>
        <w:t>issued by the Committee of Sponsoring Organizations of the Treadway Commission</w:t>
      </w:r>
      <w:r>
        <w:rPr>
          <w:rFonts w:ascii="Times New Roman" w:cs="Times New Roman" w:eastAsia="Times New Roman" w:hAnsi="Times New Roman"/>
          <w:sz w:val="19"/>
          <w:szCs w:val="19"/>
          <w:i w:val="1"/>
          <w:iCs w:val="1"/>
          <w:color w:val="231F20"/>
        </w:rPr>
        <w:t xml:space="preserve"> </w:t>
      </w:r>
      <w:r>
        <w:rPr>
          <w:rFonts w:ascii="Times New Roman" w:cs="Times New Roman" w:eastAsia="Times New Roman" w:hAnsi="Times New Roman"/>
          <w:sz w:val="19"/>
          <w:szCs w:val="19"/>
          <w:color w:val="231F20"/>
        </w:rPr>
        <w:t xml:space="preserve">(2013 COSO Framework). Based on our evaluation under the framework in </w:t>
      </w:r>
      <w:r>
        <w:rPr>
          <w:rFonts w:ascii="Times New Roman" w:cs="Times New Roman" w:eastAsia="Times New Roman" w:hAnsi="Times New Roman"/>
          <w:sz w:val="19"/>
          <w:szCs w:val="19"/>
          <w:i w:val="1"/>
          <w:iCs w:val="1"/>
          <w:color w:val="231F20"/>
        </w:rPr>
        <w:t>Internal Control—Integrated Framework</w:t>
      </w:r>
      <w:r>
        <w:rPr>
          <w:rFonts w:ascii="Times New Roman" w:cs="Times New Roman" w:eastAsia="Times New Roman" w:hAnsi="Times New Roman"/>
          <w:sz w:val="19"/>
          <w:szCs w:val="19"/>
          <w:color w:val="231F20"/>
        </w:rPr>
        <w:t>, management concluded that our internal control over financial reporting was effective as of December 31, 2024.</w:t>
      </w:r>
    </w:p>
    <w:p>
      <w:pPr>
        <w:spacing w:after="0" w:line="192" w:lineRule="exact"/>
        <w:rPr>
          <w:sz w:val="20"/>
          <w:szCs w:val="20"/>
          <w:color w:val="auto"/>
        </w:rPr>
      </w:pPr>
    </w:p>
    <w:p>
      <w:pPr>
        <w:ind w:right="80" w:firstLine="231"/>
        <w:spacing w:after="0" w:line="257" w:lineRule="auto"/>
        <w:rPr>
          <w:sz w:val="20"/>
          <w:szCs w:val="20"/>
          <w:color w:val="auto"/>
        </w:rPr>
      </w:pPr>
      <w:r>
        <w:rPr>
          <w:rFonts w:ascii="Times New Roman" w:cs="Times New Roman" w:eastAsia="Times New Roman" w:hAnsi="Times New Roman"/>
          <w:sz w:val="19"/>
          <w:szCs w:val="19"/>
          <w:color w:val="231F20"/>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76" w:lineRule="exact"/>
        <w:rPr>
          <w:sz w:val="20"/>
          <w:szCs w:val="20"/>
          <w:color w:val="auto"/>
        </w:rPr>
      </w:pPr>
    </w:p>
    <w:p>
      <w:pPr>
        <w:ind w:firstLine="231"/>
        <w:spacing w:after="0" w:line="257" w:lineRule="auto"/>
        <w:rPr>
          <w:sz w:val="20"/>
          <w:szCs w:val="20"/>
          <w:color w:val="auto"/>
        </w:rPr>
      </w:pPr>
      <w:r>
        <w:rPr>
          <w:rFonts w:ascii="Times New Roman" w:cs="Times New Roman" w:eastAsia="Times New Roman" w:hAnsi="Times New Roman"/>
          <w:sz w:val="19"/>
          <w:szCs w:val="19"/>
          <w:b w:val="1"/>
          <w:bCs w:val="1"/>
          <w:i w:val="1"/>
          <w:iCs w:val="1"/>
          <w:color w:val="231F20"/>
        </w:rPr>
        <w:t xml:space="preserve">Attestation Report of the Independent Registered Public Accounting Firm. </w:t>
      </w:r>
      <w:r>
        <w:rPr>
          <w:rFonts w:ascii="Times New Roman" w:cs="Times New Roman" w:eastAsia="Times New Roman" w:hAnsi="Times New Roman"/>
          <w:sz w:val="19"/>
          <w:szCs w:val="19"/>
          <w:color w:val="231F20"/>
        </w:rPr>
        <w:t>Our independent registered public accounting firm,</w:t>
      </w:r>
      <w:r>
        <w:rPr>
          <w:rFonts w:ascii="Times New Roman" w:cs="Times New Roman" w:eastAsia="Times New Roman" w:hAnsi="Times New Roman"/>
          <w:sz w:val="19"/>
          <w:szCs w:val="19"/>
          <w:b w:val="1"/>
          <w:bCs w:val="1"/>
          <w:i w:val="1"/>
          <w:iCs w:val="1"/>
          <w:color w:val="231F20"/>
        </w:rPr>
        <w:t xml:space="preserve"> </w:t>
      </w:r>
      <w:r>
        <w:rPr>
          <w:rFonts w:ascii="Times New Roman" w:cs="Times New Roman" w:eastAsia="Times New Roman" w:hAnsi="Times New Roman"/>
          <w:sz w:val="19"/>
          <w:szCs w:val="19"/>
          <w:color w:val="231F20"/>
        </w:rPr>
        <w:t>KPMG LLP, has issued an audit report on the effectiveness of our internal control over financial reporting, which is set forth under the heading “Report of Independent Registered Public Accounting Firm” on page F-2.</w:t>
      </w:r>
    </w:p>
    <w:p>
      <w:pPr>
        <w:spacing w:after="0" w:line="176" w:lineRule="exact"/>
        <w:rPr>
          <w:sz w:val="20"/>
          <w:szCs w:val="20"/>
          <w:color w:val="auto"/>
        </w:rPr>
      </w:pPr>
    </w:p>
    <w:p>
      <w:pPr>
        <w:ind w:right="400" w:firstLine="231"/>
        <w:spacing w:after="0" w:line="257" w:lineRule="auto"/>
        <w:rPr>
          <w:sz w:val="20"/>
          <w:szCs w:val="20"/>
          <w:color w:val="auto"/>
        </w:rPr>
      </w:pPr>
      <w:r>
        <w:rPr>
          <w:rFonts w:ascii="Times New Roman" w:cs="Times New Roman" w:eastAsia="Times New Roman" w:hAnsi="Times New Roman"/>
          <w:sz w:val="19"/>
          <w:szCs w:val="19"/>
          <w:b w:val="1"/>
          <w:bCs w:val="1"/>
          <w:i w:val="1"/>
          <w:iCs w:val="1"/>
          <w:color w:val="231F20"/>
        </w:rPr>
        <w:t xml:space="preserve">Changes in Internal Control over Financial Reporting. </w:t>
      </w:r>
      <w:r>
        <w:rPr>
          <w:rFonts w:ascii="Times New Roman" w:cs="Times New Roman" w:eastAsia="Times New Roman" w:hAnsi="Times New Roman"/>
          <w:sz w:val="19"/>
          <w:szCs w:val="19"/>
          <w:color w:val="231F20"/>
        </w:rPr>
        <w:t>There have been no changes in our internal control over financial</w:t>
      </w:r>
      <w:r>
        <w:rPr>
          <w:rFonts w:ascii="Times New Roman" w:cs="Times New Roman" w:eastAsia="Times New Roman" w:hAnsi="Times New Roman"/>
          <w:sz w:val="19"/>
          <w:szCs w:val="19"/>
          <w:b w:val="1"/>
          <w:bCs w:val="1"/>
          <w:i w:val="1"/>
          <w:iCs w:val="1"/>
          <w:color w:val="231F20"/>
        </w:rPr>
        <w:t xml:space="preserve"> </w:t>
      </w:r>
      <w:r>
        <w:rPr>
          <w:rFonts w:ascii="Times New Roman" w:cs="Times New Roman" w:eastAsia="Times New Roman" w:hAnsi="Times New Roman"/>
          <w:sz w:val="19"/>
          <w:szCs w:val="19"/>
          <w:color w:val="231F20"/>
        </w:rPr>
        <w:t>reporting that occurred during our most recently completed fiscal quarter that have materially affected, or are reasonably likely to materially affect, our internal control over financial reporting.</w:t>
      </w:r>
    </w:p>
    <w:p>
      <w:pPr>
        <w:spacing w:after="0" w:line="33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231F20"/>
        </w:rPr>
        <w:t>ITEM 9B. OTHER INFORMATION</w:t>
      </w:r>
    </w:p>
    <w:p>
      <w:pPr>
        <w:spacing w:after="0" w:line="11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9"/>
          <w:szCs w:val="19"/>
          <w:color w:val="231F20"/>
        </w:rPr>
        <w:t>None.</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231F20"/>
        </w:rPr>
        <w:t>ITEM 9C. DISCLOSURE REGARDING FOREIGN JURISDICTIONS THAT PREVENT INSPECTIONS</w:t>
      </w:r>
    </w:p>
    <w:p>
      <w:pPr>
        <w:spacing w:after="0" w:line="11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9"/>
          <w:szCs w:val="19"/>
          <w:color w:val="231F20"/>
        </w:rPr>
        <w:t>Not Applicable.</w:t>
      </w:r>
    </w:p>
    <w:p>
      <w:pPr>
        <w:sectPr>
          <w:pgSz w:w="12240" w:h="15840" w:orient="portrait"/>
          <w:cols w:equalWidth="0" w:num="1">
            <w:col w:w="10180"/>
          </w:cols>
          <w:pgMar w:left="1020" w:top="1315" w:right="1040" w:bottom="57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231F20"/>
        </w:rPr>
        <w:t>89</w:t>
      </w:r>
    </w:p>
    <w:p>
      <w:pPr>
        <w:sectPr>
          <w:pgSz w:w="12240" w:h="15840" w:orient="portrait"/>
          <w:cols w:equalWidth="0" w:num="1">
            <w:col w:w="10180"/>
          </w:cols>
          <w:pgMar w:left="1020" w:top="1315" w:right="1040" w:bottom="574" w:gutter="0" w:footer="0" w:header="0"/>
          <w:type w:val="continuous"/>
        </w:sectPr>
      </w:pPr>
    </w:p>
    <w:bookmarkStart w:id="144" w:name="page145"/>
    <w:bookmarkEnd w:id="144"/>
    <w:p>
      <w:pPr>
        <w:jc w:val="center"/>
        <w:ind w:right="-19"/>
        <w:spacing w:after="0"/>
        <w:rPr>
          <w:sz w:val="20"/>
          <w:szCs w:val="20"/>
          <w:color w:val="auto"/>
        </w:rPr>
      </w:pPr>
      <w:r>
        <w:rPr>
          <w:rFonts w:ascii="Times New Roman" w:cs="Times New Roman" w:eastAsia="Times New Roman" w:hAnsi="Times New Roman"/>
          <w:sz w:val="19"/>
          <w:szCs w:val="19"/>
          <w:b w:val="1"/>
          <w:bCs w:val="1"/>
          <w:color w:val="231F20"/>
        </w:rPr>
        <w:t>PART III</w:t>
      </w: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231F20"/>
        </w:rPr>
        <w:t>ITEM 10. DIRECTORS, EXECUTIVE OFFICERS AND CORPORATE GOVERNANCE</w:t>
      </w:r>
    </w:p>
    <w:p>
      <w:pPr>
        <w:spacing w:after="0" w:line="114" w:lineRule="exact"/>
        <w:rPr>
          <w:sz w:val="20"/>
          <w:szCs w:val="20"/>
          <w:color w:val="auto"/>
        </w:rPr>
      </w:pPr>
    </w:p>
    <w:p>
      <w:pPr>
        <w:ind w:right="100" w:firstLine="231"/>
        <w:spacing w:after="0" w:line="250" w:lineRule="auto"/>
        <w:rPr>
          <w:sz w:val="20"/>
          <w:szCs w:val="20"/>
          <w:color w:val="auto"/>
        </w:rPr>
      </w:pPr>
      <w:r>
        <w:rPr>
          <w:rFonts w:ascii="Times New Roman" w:cs="Times New Roman" w:eastAsia="Times New Roman" w:hAnsi="Times New Roman"/>
          <w:sz w:val="19"/>
          <w:szCs w:val="19"/>
          <w:color w:val="231F20"/>
        </w:rPr>
        <w:t>Except for the information regarding the SOX Code of Business Conduct and Ethics (which is set forth below), information in response to this item is incorporated by reference from our Proxy Statement relating to our 2025 annual meeting of stockholders. The Proxy Statement will be filed with the SEC within 120 days after the end of the fiscal year covered by this Form 10-K pursuant to Regulation 14A under the Exchange Act.</w:t>
      </w:r>
    </w:p>
    <w:p>
      <w:pPr>
        <w:spacing w:after="0" w:line="185" w:lineRule="exact"/>
        <w:rPr>
          <w:sz w:val="20"/>
          <w:szCs w:val="20"/>
          <w:color w:val="auto"/>
        </w:rPr>
      </w:pPr>
    </w:p>
    <w:p>
      <w:pPr>
        <w:ind w:firstLine="231"/>
        <w:spacing w:after="0" w:line="257" w:lineRule="auto"/>
        <w:rPr>
          <w:sz w:val="20"/>
          <w:szCs w:val="20"/>
          <w:color w:val="auto"/>
        </w:rPr>
      </w:pPr>
      <w:r>
        <w:rPr>
          <w:rFonts w:ascii="Times New Roman" w:cs="Times New Roman" w:eastAsia="Times New Roman" w:hAnsi="Times New Roman"/>
          <w:sz w:val="19"/>
          <w:szCs w:val="19"/>
          <w:color w:val="231F20"/>
        </w:rPr>
        <w:t>Our SOX Code of Business Conduct and Ethics may be found at http://www.sixthstreetspecialtylending.com in the “Investor Resources” section of our website. We intend to disclose any substantive amendments to or waivers of required provisions of the SOX Code of Business Conduct and Ethics on our website.</w:t>
      </w:r>
    </w:p>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231F20"/>
        </w:rPr>
        <w:t>ITEM 11. EXECUTIVE COMPENSATION</w:t>
      </w:r>
    </w:p>
    <w:p>
      <w:pPr>
        <w:spacing w:after="0" w:line="114" w:lineRule="exact"/>
        <w:rPr>
          <w:sz w:val="20"/>
          <w:szCs w:val="20"/>
          <w:color w:val="auto"/>
        </w:rPr>
      </w:pPr>
    </w:p>
    <w:p>
      <w:pPr>
        <w:ind w:right="120" w:firstLine="231"/>
        <w:spacing w:after="0" w:line="275" w:lineRule="auto"/>
        <w:rPr>
          <w:sz w:val="20"/>
          <w:szCs w:val="20"/>
          <w:color w:val="auto"/>
        </w:rPr>
      </w:pPr>
      <w:r>
        <w:rPr>
          <w:rFonts w:ascii="Times New Roman" w:cs="Times New Roman" w:eastAsia="Times New Roman" w:hAnsi="Times New Roman"/>
          <w:sz w:val="19"/>
          <w:szCs w:val="19"/>
          <w:color w:val="231F20"/>
        </w:rPr>
        <w:t>Information in response to this item is incorporated by reference from our Proxy Statement relating to our 2025 annual meeting of stockholders.</w:t>
      </w:r>
    </w:p>
    <w:p>
      <w:pPr>
        <w:spacing w:after="0" w:line="323"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19"/>
          <w:szCs w:val="19"/>
          <w:b w:val="1"/>
          <w:bCs w:val="1"/>
          <w:color w:val="231F20"/>
        </w:rPr>
        <w:t>ITEM 12. SECURITY OWNERSHIP OF CERTAIN BENEFICIAL OWNERS AND MANAGEMENT AND RELATED STOCKHOLDER MATTERS</w:t>
      </w:r>
    </w:p>
    <w:p>
      <w:pPr>
        <w:spacing w:after="0" w:line="36" w:lineRule="exact"/>
        <w:rPr>
          <w:sz w:val="20"/>
          <w:szCs w:val="20"/>
          <w:color w:val="auto"/>
        </w:rPr>
      </w:pPr>
    </w:p>
    <w:p>
      <w:pPr>
        <w:ind w:right="120" w:firstLine="231"/>
        <w:spacing w:after="0" w:line="275" w:lineRule="auto"/>
        <w:rPr>
          <w:sz w:val="20"/>
          <w:szCs w:val="20"/>
          <w:color w:val="auto"/>
        </w:rPr>
      </w:pPr>
      <w:r>
        <w:rPr>
          <w:rFonts w:ascii="Times New Roman" w:cs="Times New Roman" w:eastAsia="Times New Roman" w:hAnsi="Times New Roman"/>
          <w:sz w:val="19"/>
          <w:szCs w:val="19"/>
          <w:color w:val="231F20"/>
        </w:rPr>
        <w:t>Information in response to this item is incorporated by reference from our Proxy Statement relating to our 2025 annual meeting of stockholders.</w:t>
      </w: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231F20"/>
        </w:rPr>
        <w:t>ITEM 13. CERTAIN RELATIONSHIP AND RELATED TRANSACTION, AND DIRECTOR INDEPENDENCE</w:t>
      </w:r>
    </w:p>
    <w:p>
      <w:pPr>
        <w:spacing w:after="0" w:line="114" w:lineRule="exact"/>
        <w:rPr>
          <w:sz w:val="20"/>
          <w:szCs w:val="20"/>
          <w:color w:val="auto"/>
        </w:rPr>
      </w:pPr>
    </w:p>
    <w:p>
      <w:pPr>
        <w:ind w:right="120" w:firstLine="231"/>
        <w:spacing w:after="0" w:line="275" w:lineRule="auto"/>
        <w:rPr>
          <w:sz w:val="20"/>
          <w:szCs w:val="20"/>
          <w:color w:val="auto"/>
        </w:rPr>
      </w:pPr>
      <w:r>
        <w:rPr>
          <w:rFonts w:ascii="Times New Roman" w:cs="Times New Roman" w:eastAsia="Times New Roman" w:hAnsi="Times New Roman"/>
          <w:sz w:val="19"/>
          <w:szCs w:val="19"/>
          <w:color w:val="231F20"/>
        </w:rPr>
        <w:t>Information in response to this item is incorporated by reference from our Proxy Statement relating to our 2025 annual meeting of stockholders.</w:t>
      </w: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231F20"/>
        </w:rPr>
        <w:t>ITEM 14. PRINCIPAL ACCOUNTANT FEES AND SERVICES</w:t>
      </w:r>
    </w:p>
    <w:p>
      <w:pPr>
        <w:spacing w:after="0" w:line="114" w:lineRule="exact"/>
        <w:rPr>
          <w:sz w:val="20"/>
          <w:szCs w:val="20"/>
          <w:color w:val="auto"/>
        </w:rPr>
      </w:pPr>
    </w:p>
    <w:p>
      <w:pPr>
        <w:ind w:right="120" w:firstLine="231"/>
        <w:spacing w:after="0" w:line="275" w:lineRule="auto"/>
        <w:rPr>
          <w:sz w:val="20"/>
          <w:szCs w:val="20"/>
          <w:color w:val="auto"/>
        </w:rPr>
      </w:pPr>
      <w:r>
        <w:rPr>
          <w:rFonts w:ascii="Times New Roman" w:cs="Times New Roman" w:eastAsia="Times New Roman" w:hAnsi="Times New Roman"/>
          <w:sz w:val="19"/>
          <w:szCs w:val="19"/>
          <w:color w:val="231F20"/>
        </w:rPr>
        <w:t>Information in response to this item is incorporated by reference from our Proxy Statement relating to our 2025 annual meeting of stockholders.</w:t>
      </w:r>
    </w:p>
    <w:p>
      <w:pPr>
        <w:sectPr>
          <w:pgSz w:w="12240" w:h="15840" w:orient="portrait"/>
          <w:cols w:equalWidth="0" w:num="1">
            <w:col w:w="10180"/>
          </w:cols>
          <w:pgMar w:left="1020" w:top="1315" w:right="1040" w:bottom="57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231F20"/>
        </w:rPr>
        <w:t>90</w:t>
      </w:r>
    </w:p>
    <w:p>
      <w:pPr>
        <w:sectPr>
          <w:pgSz w:w="12240" w:h="15840" w:orient="portrait"/>
          <w:cols w:equalWidth="0" w:num="1">
            <w:col w:w="10180"/>
          </w:cols>
          <w:pgMar w:left="1020" w:top="1315" w:right="1040" w:bottom="574" w:gutter="0" w:footer="0" w:header="0"/>
          <w:type w:val="continuous"/>
        </w:sectPr>
      </w:pPr>
    </w:p>
    <w:bookmarkStart w:id="145" w:name="page146"/>
    <w:bookmarkEnd w:id="145"/>
    <w:p>
      <w:pPr>
        <w:jc w:val="center"/>
        <w:spacing w:after="0"/>
        <w:rPr>
          <w:sz w:val="20"/>
          <w:szCs w:val="20"/>
          <w:color w:val="auto"/>
        </w:rPr>
      </w:pPr>
      <w:r>
        <w:rPr>
          <w:rFonts w:ascii="Times New Roman" w:cs="Times New Roman" w:eastAsia="Times New Roman" w:hAnsi="Times New Roman"/>
          <w:sz w:val="19"/>
          <w:szCs w:val="19"/>
          <w:b w:val="1"/>
          <w:bCs w:val="1"/>
          <w:color w:val="231F20"/>
        </w:rPr>
        <w:t>PART IV</w:t>
      </w: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231F20"/>
        </w:rPr>
        <w:t>ITEM 15. EXHIBITS AND FINANCIAL STATEMENT SCHEDULES</w:t>
      </w:r>
    </w:p>
    <w:p>
      <w:pPr>
        <w:spacing w:after="0" w:line="11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9"/>
          <w:szCs w:val="19"/>
          <w:color w:val="231F20"/>
        </w:rPr>
        <w:t>The following documents are filed as part of this Annual Report:</w:t>
      </w:r>
    </w:p>
    <w:p>
      <w:pPr>
        <w:spacing w:after="0" w:line="112" w:lineRule="exact"/>
        <w:rPr>
          <w:sz w:val="20"/>
          <w:szCs w:val="20"/>
          <w:color w:val="auto"/>
        </w:rPr>
      </w:pPr>
    </w:p>
    <w:p>
      <w:pPr>
        <w:ind w:left="400" w:right="380" w:hanging="400"/>
        <w:spacing w:after="0" w:line="275" w:lineRule="auto"/>
        <w:tabs>
          <w:tab w:leader="none" w:pos="400" w:val="left"/>
        </w:tabs>
        <w:numPr>
          <w:ilvl w:val="0"/>
          <w:numId w:val="106"/>
        </w:numPr>
        <w:rPr>
          <w:rFonts w:ascii="Times New Roman" w:cs="Times New Roman" w:eastAsia="Times New Roman" w:hAnsi="Times New Roman"/>
          <w:sz w:val="19"/>
          <w:szCs w:val="19"/>
          <w:color w:val="231F20"/>
        </w:rPr>
      </w:pPr>
      <w:r>
        <w:rPr>
          <w:rFonts w:ascii="Times New Roman" w:cs="Times New Roman" w:eastAsia="Times New Roman" w:hAnsi="Times New Roman"/>
          <w:sz w:val="19"/>
          <w:szCs w:val="19"/>
          <w:color w:val="231F20"/>
        </w:rPr>
        <w:t>Financial Statements—Financial statements are included in Item 8. See the Index to the consolidated financial statements on page F-1 of this annual report on Form 10-K.</w:t>
      </w:r>
    </w:p>
    <w:p>
      <w:pPr>
        <w:spacing w:after="0" w:line="47" w:lineRule="exact"/>
        <w:rPr>
          <w:rFonts w:ascii="Times New Roman" w:cs="Times New Roman" w:eastAsia="Times New Roman" w:hAnsi="Times New Roman"/>
          <w:sz w:val="19"/>
          <w:szCs w:val="19"/>
          <w:color w:val="231F20"/>
        </w:rPr>
      </w:pPr>
    </w:p>
    <w:p>
      <w:pPr>
        <w:ind w:left="400" w:right="120" w:hanging="400"/>
        <w:spacing w:after="0" w:line="257" w:lineRule="auto"/>
        <w:tabs>
          <w:tab w:leader="none" w:pos="400" w:val="left"/>
        </w:tabs>
        <w:numPr>
          <w:ilvl w:val="0"/>
          <w:numId w:val="106"/>
        </w:numPr>
        <w:rPr>
          <w:rFonts w:ascii="Times New Roman" w:cs="Times New Roman" w:eastAsia="Times New Roman" w:hAnsi="Times New Roman"/>
          <w:sz w:val="19"/>
          <w:szCs w:val="19"/>
          <w:color w:val="231F20"/>
        </w:rPr>
      </w:pPr>
      <w:r>
        <w:rPr>
          <w:rFonts w:ascii="Times New Roman" w:cs="Times New Roman" w:eastAsia="Times New Roman" w:hAnsi="Times New Roman"/>
          <w:sz w:val="19"/>
          <w:szCs w:val="19"/>
          <w:color w:val="231F20"/>
        </w:rPr>
        <w:t>Financial Statement Schedules—None. We have omitted financial statements schedules because they are not required or are not applicable, or the required information is shown in the consolidated financial statements or notes to the consolidated financial statements included in this annual report on Form 10-K.</w:t>
      </w:r>
    </w:p>
    <w:p>
      <w:pPr>
        <w:spacing w:after="0" w:line="63" w:lineRule="exact"/>
        <w:rPr>
          <w:rFonts w:ascii="Times New Roman" w:cs="Times New Roman" w:eastAsia="Times New Roman" w:hAnsi="Times New Roman"/>
          <w:sz w:val="19"/>
          <w:szCs w:val="19"/>
          <w:color w:val="231F20"/>
        </w:rPr>
      </w:pPr>
    </w:p>
    <w:p>
      <w:pPr>
        <w:ind w:left="400" w:right="200" w:hanging="400"/>
        <w:spacing w:after="0" w:line="275" w:lineRule="auto"/>
        <w:tabs>
          <w:tab w:leader="none" w:pos="400" w:val="left"/>
        </w:tabs>
        <w:numPr>
          <w:ilvl w:val="0"/>
          <w:numId w:val="106"/>
        </w:numPr>
        <w:rPr>
          <w:rFonts w:ascii="Times New Roman" w:cs="Times New Roman" w:eastAsia="Times New Roman" w:hAnsi="Times New Roman"/>
          <w:sz w:val="19"/>
          <w:szCs w:val="19"/>
          <w:color w:val="231F20"/>
        </w:rPr>
      </w:pPr>
      <w:r>
        <w:rPr>
          <w:rFonts w:ascii="Times New Roman" w:cs="Times New Roman" w:eastAsia="Times New Roman" w:hAnsi="Times New Roman"/>
          <w:sz w:val="19"/>
          <w:szCs w:val="19"/>
          <w:color w:val="231F20"/>
        </w:rPr>
        <w:t>Exhibits—The following is a list of all exhibits filed as a part of this annual report on Form 10-K, including those incorporated by reference.</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60" w:type="dxa"/>
            <w:vAlign w:val="bottom"/>
            <w:tcBorders>
              <w:bottom w:val="single" w:sz="8" w:color="231F20"/>
            </w:tcBorders>
          </w:tcPr>
          <w:p>
            <w:pPr>
              <w:spacing w:after="0"/>
              <w:rPr>
                <w:sz w:val="20"/>
                <w:szCs w:val="20"/>
                <w:color w:val="auto"/>
              </w:rPr>
            </w:pPr>
            <w:r>
              <w:rPr>
                <w:rFonts w:ascii="Times New Roman" w:cs="Times New Roman" w:eastAsia="Times New Roman" w:hAnsi="Times New Roman"/>
                <w:sz w:val="15"/>
                <w:szCs w:val="15"/>
                <w:color w:val="231F20"/>
              </w:rPr>
              <w:t>Exhibit No</w:t>
            </w:r>
          </w:p>
        </w:tc>
        <w:tc>
          <w:tcPr>
            <w:tcW w:w="140" w:type="dxa"/>
            <w:vAlign w:val="bottom"/>
          </w:tcPr>
          <w:p>
            <w:pPr>
              <w:spacing w:after="0"/>
              <w:rPr>
                <w:sz w:val="16"/>
                <w:szCs w:val="16"/>
                <w:color w:val="auto"/>
              </w:rPr>
            </w:pPr>
          </w:p>
        </w:tc>
        <w:tc>
          <w:tcPr>
            <w:tcW w:w="9300" w:type="dxa"/>
            <w:vAlign w:val="bottom"/>
            <w:tcBorders>
              <w:bottom w:val="single" w:sz="8" w:color="231F20"/>
            </w:tcBorders>
          </w:tcPr>
          <w:p>
            <w:pPr>
              <w:spacing w:after="0"/>
              <w:rPr>
                <w:sz w:val="20"/>
                <w:szCs w:val="20"/>
                <w:color w:val="auto"/>
              </w:rPr>
            </w:pPr>
            <w:r>
              <w:rPr>
                <w:rFonts w:ascii="Times New Roman" w:cs="Times New Roman" w:eastAsia="Times New Roman" w:hAnsi="Times New Roman"/>
                <w:sz w:val="15"/>
                <w:szCs w:val="15"/>
                <w:color w:val="231F20"/>
              </w:rPr>
              <w:t>Description of Exhibits</w:t>
            </w:r>
          </w:p>
        </w:tc>
      </w:tr>
      <w:tr>
        <w:trPr>
          <w:trHeight w:val="317"/>
        </w:trPr>
        <w:tc>
          <w:tcPr>
            <w:tcW w:w="760" w:type="dxa"/>
            <w:vAlign w:val="bottom"/>
          </w:tcPr>
          <w:p>
            <w:pPr>
              <w:spacing w:after="0"/>
              <w:rPr>
                <w:sz w:val="20"/>
                <w:szCs w:val="20"/>
                <w:color w:val="auto"/>
              </w:rPr>
            </w:pPr>
            <w:r>
              <w:rPr>
                <w:rFonts w:ascii="Times New Roman" w:cs="Times New Roman" w:eastAsia="Times New Roman" w:hAnsi="Times New Roman"/>
                <w:sz w:val="19"/>
                <w:szCs w:val="19"/>
                <w:color w:val="231F20"/>
              </w:rPr>
              <w:t>3.1</w:t>
            </w:r>
          </w:p>
        </w:tc>
        <w:tc>
          <w:tcPr>
            <w:tcW w:w="140" w:type="dxa"/>
            <w:vAlign w:val="bottom"/>
          </w:tcPr>
          <w:p>
            <w:pPr>
              <w:spacing w:after="0"/>
              <w:rPr>
                <w:sz w:val="24"/>
                <w:szCs w:val="24"/>
                <w:color w:val="auto"/>
              </w:rPr>
            </w:pPr>
          </w:p>
        </w:tc>
        <w:tc>
          <w:tcPr>
            <w:tcW w:w="9300" w:type="dxa"/>
            <w:vAlign w:val="bottom"/>
          </w:tcPr>
          <w:p>
            <w:pPr>
              <w:spacing w:after="0"/>
              <w:rPr>
                <w:sz w:val="20"/>
                <w:szCs w:val="20"/>
                <w:color w:val="auto"/>
              </w:rPr>
            </w:pPr>
            <w:r>
              <w:rPr>
                <w:rFonts w:ascii="Times New Roman" w:cs="Times New Roman" w:eastAsia="Times New Roman" w:hAnsi="Times New Roman"/>
                <w:sz w:val="19"/>
                <w:szCs w:val="19"/>
                <w:color w:val="231F20"/>
              </w:rPr>
              <w:t>Restated Certificate of Incorporation (incorporated by reference to Exhibit 3.2 to Amendment No. 1 to the Company’s</w:t>
            </w:r>
          </w:p>
        </w:tc>
      </w:tr>
      <w:tr>
        <w:trPr>
          <w:trHeight w:val="252"/>
        </w:trPr>
        <w:tc>
          <w:tcPr>
            <w:tcW w:w="7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300" w:type="dxa"/>
            <w:vAlign w:val="bottom"/>
          </w:tcPr>
          <w:p>
            <w:pPr>
              <w:spacing w:after="0"/>
              <w:rPr>
                <w:sz w:val="20"/>
                <w:szCs w:val="20"/>
                <w:color w:val="auto"/>
              </w:rPr>
            </w:pPr>
            <w:r>
              <w:rPr>
                <w:rFonts w:ascii="Times New Roman" w:cs="Times New Roman" w:eastAsia="Times New Roman" w:hAnsi="Times New Roman"/>
                <w:sz w:val="19"/>
                <w:szCs w:val="19"/>
                <w:color w:val="231F20"/>
              </w:rPr>
              <w:t>Current Report on Form 8-K filed on June 19, 2020).</w:t>
            </w:r>
          </w:p>
        </w:tc>
      </w:tr>
      <w:tr>
        <w:trPr>
          <w:trHeight w:val="399"/>
        </w:trPr>
        <w:tc>
          <w:tcPr>
            <w:tcW w:w="760" w:type="dxa"/>
            <w:vAlign w:val="bottom"/>
          </w:tcPr>
          <w:p>
            <w:pPr>
              <w:spacing w:after="0"/>
              <w:rPr>
                <w:sz w:val="20"/>
                <w:szCs w:val="20"/>
                <w:color w:val="auto"/>
              </w:rPr>
            </w:pPr>
            <w:r>
              <w:rPr>
                <w:rFonts w:ascii="Times New Roman" w:cs="Times New Roman" w:eastAsia="Times New Roman" w:hAnsi="Times New Roman"/>
                <w:sz w:val="19"/>
                <w:szCs w:val="19"/>
                <w:color w:val="231F20"/>
              </w:rPr>
              <w:t>3.2</w:t>
            </w:r>
          </w:p>
        </w:tc>
        <w:tc>
          <w:tcPr>
            <w:tcW w:w="140" w:type="dxa"/>
            <w:vAlign w:val="bottom"/>
          </w:tcPr>
          <w:p>
            <w:pPr>
              <w:spacing w:after="0"/>
              <w:rPr>
                <w:sz w:val="24"/>
                <w:szCs w:val="24"/>
                <w:color w:val="auto"/>
              </w:rPr>
            </w:pPr>
          </w:p>
        </w:tc>
        <w:tc>
          <w:tcPr>
            <w:tcW w:w="9300" w:type="dxa"/>
            <w:vAlign w:val="bottom"/>
          </w:tcPr>
          <w:p>
            <w:pPr>
              <w:spacing w:after="0"/>
              <w:rPr>
                <w:sz w:val="20"/>
                <w:szCs w:val="20"/>
                <w:color w:val="auto"/>
              </w:rPr>
            </w:pPr>
            <w:r>
              <w:rPr>
                <w:rFonts w:ascii="Times New Roman" w:cs="Times New Roman" w:eastAsia="Times New Roman" w:hAnsi="Times New Roman"/>
                <w:sz w:val="19"/>
                <w:szCs w:val="19"/>
                <w:color w:val="231F20"/>
              </w:rPr>
              <w:t>Second Amended and Restated Bylaws dated July 10, 2023 (incorporated by reference to Exhibit 3.1 to the Company’s</w:t>
            </w:r>
          </w:p>
        </w:tc>
      </w:tr>
      <w:tr>
        <w:trPr>
          <w:trHeight w:val="252"/>
        </w:trPr>
        <w:tc>
          <w:tcPr>
            <w:tcW w:w="7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300" w:type="dxa"/>
            <w:vAlign w:val="bottom"/>
          </w:tcPr>
          <w:p>
            <w:pPr>
              <w:spacing w:after="0"/>
              <w:rPr>
                <w:sz w:val="20"/>
                <w:szCs w:val="20"/>
                <w:color w:val="auto"/>
              </w:rPr>
            </w:pPr>
            <w:r>
              <w:rPr>
                <w:rFonts w:ascii="Times New Roman" w:cs="Times New Roman" w:eastAsia="Times New Roman" w:hAnsi="Times New Roman"/>
                <w:sz w:val="19"/>
                <w:szCs w:val="19"/>
                <w:color w:val="231F20"/>
              </w:rPr>
              <w:t>Current Report on Form 8-K/A filed on July 17, 2023).</w:t>
            </w:r>
          </w:p>
        </w:tc>
      </w:tr>
      <w:tr>
        <w:trPr>
          <w:trHeight w:val="399"/>
        </w:trPr>
        <w:tc>
          <w:tcPr>
            <w:tcW w:w="760" w:type="dxa"/>
            <w:vAlign w:val="bottom"/>
          </w:tcPr>
          <w:p>
            <w:pPr>
              <w:spacing w:after="0"/>
              <w:rPr>
                <w:sz w:val="20"/>
                <w:szCs w:val="20"/>
                <w:color w:val="auto"/>
              </w:rPr>
            </w:pPr>
            <w:r>
              <w:rPr>
                <w:rFonts w:ascii="Times New Roman" w:cs="Times New Roman" w:eastAsia="Times New Roman" w:hAnsi="Times New Roman"/>
                <w:sz w:val="19"/>
                <w:szCs w:val="19"/>
                <w:color w:val="231F20"/>
              </w:rPr>
              <w:t>4.1</w:t>
            </w:r>
          </w:p>
        </w:tc>
        <w:tc>
          <w:tcPr>
            <w:tcW w:w="140" w:type="dxa"/>
            <w:vAlign w:val="bottom"/>
          </w:tcPr>
          <w:p>
            <w:pPr>
              <w:spacing w:after="0"/>
              <w:rPr>
                <w:sz w:val="24"/>
                <w:szCs w:val="24"/>
                <w:color w:val="auto"/>
              </w:rPr>
            </w:pPr>
          </w:p>
        </w:tc>
        <w:tc>
          <w:tcPr>
            <w:tcW w:w="9300" w:type="dxa"/>
            <w:vAlign w:val="bottom"/>
          </w:tcPr>
          <w:p>
            <w:pPr>
              <w:spacing w:after="0"/>
              <w:rPr>
                <w:sz w:val="20"/>
                <w:szCs w:val="20"/>
                <w:color w:val="auto"/>
              </w:rPr>
            </w:pPr>
            <w:r>
              <w:rPr>
                <w:rFonts w:ascii="Times New Roman" w:cs="Times New Roman" w:eastAsia="Times New Roman" w:hAnsi="Times New Roman"/>
                <w:sz w:val="19"/>
                <w:szCs w:val="19"/>
                <w:color w:val="231F20"/>
              </w:rPr>
              <w:t>Form of Common Stock Certificate (incorporated by reference to Exhibit 4.2 to the Company’s Annual Report on Form</w:t>
            </w:r>
          </w:p>
        </w:tc>
      </w:tr>
      <w:tr>
        <w:trPr>
          <w:trHeight w:val="252"/>
        </w:trPr>
        <w:tc>
          <w:tcPr>
            <w:tcW w:w="7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300" w:type="dxa"/>
            <w:vAlign w:val="bottom"/>
          </w:tcPr>
          <w:p>
            <w:pPr>
              <w:spacing w:after="0"/>
              <w:rPr>
                <w:sz w:val="20"/>
                <w:szCs w:val="20"/>
                <w:color w:val="auto"/>
              </w:rPr>
            </w:pPr>
            <w:r>
              <w:rPr>
                <w:rFonts w:ascii="Times New Roman" w:cs="Times New Roman" w:eastAsia="Times New Roman" w:hAnsi="Times New Roman"/>
                <w:sz w:val="19"/>
                <w:szCs w:val="19"/>
                <w:color w:val="231F20"/>
              </w:rPr>
              <w:t>10-K filed on March 22, 2012).</w:t>
            </w:r>
          </w:p>
        </w:tc>
      </w:tr>
      <w:tr>
        <w:trPr>
          <w:trHeight w:val="513"/>
        </w:trPr>
        <w:tc>
          <w:tcPr>
            <w:tcW w:w="760" w:type="dxa"/>
            <w:vAlign w:val="bottom"/>
          </w:tcPr>
          <w:p>
            <w:pPr>
              <w:spacing w:after="0"/>
              <w:rPr>
                <w:sz w:val="20"/>
                <w:szCs w:val="20"/>
                <w:color w:val="auto"/>
              </w:rPr>
            </w:pPr>
            <w:r>
              <w:rPr>
                <w:rFonts w:ascii="Times New Roman" w:cs="Times New Roman" w:eastAsia="Times New Roman" w:hAnsi="Times New Roman"/>
                <w:sz w:val="19"/>
                <w:szCs w:val="19"/>
                <w:color w:val="231F20"/>
              </w:rPr>
              <w:t>4.2</w:t>
            </w:r>
          </w:p>
        </w:tc>
        <w:tc>
          <w:tcPr>
            <w:tcW w:w="140" w:type="dxa"/>
            <w:vAlign w:val="bottom"/>
          </w:tcPr>
          <w:p>
            <w:pPr>
              <w:spacing w:after="0"/>
              <w:rPr>
                <w:sz w:val="24"/>
                <w:szCs w:val="24"/>
                <w:color w:val="auto"/>
              </w:rPr>
            </w:pPr>
          </w:p>
        </w:tc>
        <w:tc>
          <w:tcPr>
            <w:tcW w:w="9300" w:type="dxa"/>
            <w:vAlign w:val="bottom"/>
          </w:tcPr>
          <w:p>
            <w:pPr>
              <w:spacing w:after="0"/>
              <w:rPr>
                <w:sz w:val="20"/>
                <w:szCs w:val="20"/>
                <w:color w:val="auto"/>
              </w:rPr>
            </w:pPr>
            <w:r>
              <w:rPr>
                <w:rFonts w:ascii="Times New Roman" w:cs="Times New Roman" w:eastAsia="Times New Roman" w:hAnsi="Times New Roman"/>
                <w:sz w:val="19"/>
                <w:szCs w:val="19"/>
                <w:color w:val="231F20"/>
                <w:w w:val="99"/>
              </w:rPr>
              <w:t>Third Supplemental Indenture, dated as of February 3, 2021, between Sixth Street Specialty Lending, Inc. and Wells Fargo</w:t>
            </w:r>
          </w:p>
        </w:tc>
      </w:tr>
      <w:tr>
        <w:trPr>
          <w:trHeight w:val="217"/>
        </w:trPr>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300" w:type="dxa"/>
            <w:vAlign w:val="bottom"/>
          </w:tcPr>
          <w:p>
            <w:pPr>
              <w:spacing w:after="0" w:line="217" w:lineRule="exact"/>
              <w:rPr>
                <w:sz w:val="20"/>
                <w:szCs w:val="20"/>
                <w:color w:val="auto"/>
              </w:rPr>
            </w:pPr>
            <w:r>
              <w:rPr>
                <w:rFonts w:ascii="Times New Roman" w:cs="Times New Roman" w:eastAsia="Times New Roman" w:hAnsi="Times New Roman"/>
                <w:sz w:val="19"/>
                <w:szCs w:val="19"/>
                <w:color w:val="231F20"/>
              </w:rPr>
              <w:t>Bank, National Association, as Trustee (incorporated by reference to Exhibit 4.2 to the Company’s Current Report on</w:t>
            </w:r>
          </w:p>
        </w:tc>
      </w:tr>
      <w:tr>
        <w:trPr>
          <w:trHeight w:val="252"/>
        </w:trPr>
        <w:tc>
          <w:tcPr>
            <w:tcW w:w="7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300" w:type="dxa"/>
            <w:vAlign w:val="bottom"/>
          </w:tcPr>
          <w:p>
            <w:pPr>
              <w:spacing w:after="0"/>
              <w:rPr>
                <w:sz w:val="20"/>
                <w:szCs w:val="20"/>
                <w:color w:val="auto"/>
              </w:rPr>
            </w:pPr>
            <w:r>
              <w:rPr>
                <w:rFonts w:ascii="Times New Roman" w:cs="Times New Roman" w:eastAsia="Times New Roman" w:hAnsi="Times New Roman"/>
                <w:sz w:val="19"/>
                <w:szCs w:val="19"/>
                <w:color w:val="231F20"/>
              </w:rPr>
              <w:t>Form 8-K filed on February 3, 2021).</w:t>
            </w:r>
          </w:p>
        </w:tc>
      </w:tr>
      <w:tr>
        <w:trPr>
          <w:trHeight w:val="399"/>
        </w:trPr>
        <w:tc>
          <w:tcPr>
            <w:tcW w:w="760" w:type="dxa"/>
            <w:vAlign w:val="bottom"/>
          </w:tcPr>
          <w:p>
            <w:pPr>
              <w:spacing w:after="0"/>
              <w:rPr>
                <w:sz w:val="20"/>
                <w:szCs w:val="20"/>
                <w:color w:val="auto"/>
              </w:rPr>
            </w:pPr>
            <w:r>
              <w:rPr>
                <w:rFonts w:ascii="Times New Roman" w:cs="Times New Roman" w:eastAsia="Times New Roman" w:hAnsi="Times New Roman"/>
                <w:sz w:val="19"/>
                <w:szCs w:val="19"/>
                <w:color w:val="231F20"/>
              </w:rPr>
              <w:t>4.3</w:t>
            </w:r>
          </w:p>
        </w:tc>
        <w:tc>
          <w:tcPr>
            <w:tcW w:w="140" w:type="dxa"/>
            <w:vAlign w:val="bottom"/>
          </w:tcPr>
          <w:p>
            <w:pPr>
              <w:spacing w:after="0"/>
              <w:rPr>
                <w:sz w:val="24"/>
                <w:szCs w:val="24"/>
                <w:color w:val="auto"/>
              </w:rPr>
            </w:pPr>
          </w:p>
        </w:tc>
        <w:tc>
          <w:tcPr>
            <w:tcW w:w="9300" w:type="dxa"/>
            <w:vAlign w:val="bottom"/>
          </w:tcPr>
          <w:p>
            <w:pPr>
              <w:spacing w:after="0"/>
              <w:rPr>
                <w:sz w:val="20"/>
                <w:szCs w:val="20"/>
                <w:color w:val="auto"/>
              </w:rPr>
            </w:pPr>
            <w:r>
              <w:rPr>
                <w:rFonts w:ascii="Times New Roman" w:cs="Times New Roman" w:eastAsia="Times New Roman" w:hAnsi="Times New Roman"/>
                <w:sz w:val="19"/>
                <w:szCs w:val="19"/>
                <w:color w:val="231F20"/>
              </w:rPr>
              <w:t>Form of 2.500% Note (incorporated by reference to Exhibit 4.2 to the Company’s Current Report on Form 8-K filed on</w:t>
            </w:r>
          </w:p>
        </w:tc>
      </w:tr>
      <w:tr>
        <w:trPr>
          <w:trHeight w:val="252"/>
        </w:trPr>
        <w:tc>
          <w:tcPr>
            <w:tcW w:w="7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300" w:type="dxa"/>
            <w:vAlign w:val="bottom"/>
          </w:tcPr>
          <w:p>
            <w:pPr>
              <w:spacing w:after="0"/>
              <w:rPr>
                <w:sz w:val="20"/>
                <w:szCs w:val="20"/>
                <w:color w:val="auto"/>
              </w:rPr>
            </w:pPr>
            <w:r>
              <w:rPr>
                <w:rFonts w:ascii="Times New Roman" w:cs="Times New Roman" w:eastAsia="Times New Roman" w:hAnsi="Times New Roman"/>
                <w:sz w:val="19"/>
                <w:szCs w:val="19"/>
                <w:color w:val="231F20"/>
              </w:rPr>
              <w:t>February 3, 2021).</w:t>
            </w:r>
          </w:p>
        </w:tc>
      </w:tr>
      <w:tr>
        <w:trPr>
          <w:trHeight w:val="399"/>
        </w:trPr>
        <w:tc>
          <w:tcPr>
            <w:tcW w:w="760" w:type="dxa"/>
            <w:vAlign w:val="bottom"/>
          </w:tcPr>
          <w:p>
            <w:pPr>
              <w:spacing w:after="0"/>
              <w:rPr>
                <w:sz w:val="20"/>
                <w:szCs w:val="20"/>
                <w:color w:val="auto"/>
              </w:rPr>
            </w:pPr>
            <w:r>
              <w:rPr>
                <w:rFonts w:ascii="Times New Roman" w:cs="Times New Roman" w:eastAsia="Times New Roman" w:hAnsi="Times New Roman"/>
                <w:sz w:val="19"/>
                <w:szCs w:val="19"/>
                <w:color w:val="231F20"/>
              </w:rPr>
              <w:t>4.4</w:t>
            </w:r>
          </w:p>
        </w:tc>
        <w:tc>
          <w:tcPr>
            <w:tcW w:w="140" w:type="dxa"/>
            <w:vAlign w:val="bottom"/>
          </w:tcPr>
          <w:p>
            <w:pPr>
              <w:spacing w:after="0"/>
              <w:rPr>
                <w:sz w:val="24"/>
                <w:szCs w:val="24"/>
                <w:color w:val="auto"/>
              </w:rPr>
            </w:pPr>
          </w:p>
        </w:tc>
        <w:tc>
          <w:tcPr>
            <w:tcW w:w="9300" w:type="dxa"/>
            <w:vAlign w:val="bottom"/>
          </w:tcPr>
          <w:p>
            <w:pPr>
              <w:spacing w:after="0"/>
              <w:rPr>
                <w:sz w:val="20"/>
                <w:szCs w:val="20"/>
                <w:color w:val="auto"/>
              </w:rPr>
            </w:pPr>
            <w:r>
              <w:rPr>
                <w:rFonts w:ascii="Times New Roman" w:cs="Times New Roman" w:eastAsia="Times New Roman" w:hAnsi="Times New Roman"/>
                <w:sz w:val="19"/>
                <w:szCs w:val="19"/>
                <w:color w:val="231F20"/>
              </w:rPr>
              <w:t>Fourth Supplemental Indenture, dated as of August 14, 2023, between Sixth Street Specialty Lending, Inc. and</w:t>
            </w:r>
          </w:p>
        </w:tc>
      </w:tr>
      <w:tr>
        <w:trPr>
          <w:trHeight w:val="217"/>
        </w:trPr>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300" w:type="dxa"/>
            <w:vAlign w:val="bottom"/>
          </w:tcPr>
          <w:p>
            <w:pPr>
              <w:spacing w:after="0" w:line="217" w:lineRule="exact"/>
              <w:rPr>
                <w:sz w:val="20"/>
                <w:szCs w:val="20"/>
                <w:color w:val="auto"/>
              </w:rPr>
            </w:pPr>
            <w:r>
              <w:rPr>
                <w:rFonts w:ascii="Times New Roman" w:cs="Times New Roman" w:eastAsia="Times New Roman" w:hAnsi="Times New Roman"/>
                <w:sz w:val="19"/>
                <w:szCs w:val="19"/>
                <w:color w:val="231F20"/>
              </w:rPr>
              <w:t>Computershare Trust Company, N.A., as successor to Wells Fargo Bank, National Association, as Trustee (incorporated</w:t>
            </w:r>
          </w:p>
        </w:tc>
      </w:tr>
      <w:tr>
        <w:trPr>
          <w:trHeight w:val="252"/>
        </w:trPr>
        <w:tc>
          <w:tcPr>
            <w:tcW w:w="7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300" w:type="dxa"/>
            <w:vAlign w:val="bottom"/>
          </w:tcPr>
          <w:p>
            <w:pPr>
              <w:spacing w:after="0"/>
              <w:rPr>
                <w:sz w:val="20"/>
                <w:szCs w:val="20"/>
                <w:color w:val="auto"/>
              </w:rPr>
            </w:pPr>
            <w:r>
              <w:rPr>
                <w:rFonts w:ascii="Times New Roman" w:cs="Times New Roman" w:eastAsia="Times New Roman" w:hAnsi="Times New Roman"/>
                <w:sz w:val="19"/>
                <w:szCs w:val="19"/>
                <w:color w:val="231F20"/>
              </w:rPr>
              <w:t>by reference to Exhibit 4.2 to the Company’s Current Report on Form 8-K filed on August 14, 2023).</w:t>
            </w:r>
          </w:p>
        </w:tc>
      </w:tr>
      <w:tr>
        <w:trPr>
          <w:trHeight w:val="312"/>
        </w:trPr>
        <w:tc>
          <w:tcPr>
            <w:tcW w:w="760" w:type="dxa"/>
            <w:vAlign w:val="bottom"/>
          </w:tcPr>
          <w:p>
            <w:pPr>
              <w:spacing w:after="0"/>
              <w:rPr>
                <w:sz w:val="20"/>
                <w:szCs w:val="20"/>
                <w:color w:val="auto"/>
              </w:rPr>
            </w:pPr>
            <w:r>
              <w:rPr>
                <w:rFonts w:ascii="Times New Roman" w:cs="Times New Roman" w:eastAsia="Times New Roman" w:hAnsi="Times New Roman"/>
                <w:sz w:val="19"/>
                <w:szCs w:val="19"/>
                <w:color w:val="231F20"/>
              </w:rPr>
              <w:t>4.5</w:t>
            </w:r>
          </w:p>
        </w:tc>
        <w:tc>
          <w:tcPr>
            <w:tcW w:w="140" w:type="dxa"/>
            <w:vAlign w:val="bottom"/>
          </w:tcPr>
          <w:p>
            <w:pPr>
              <w:spacing w:after="0"/>
              <w:rPr>
                <w:sz w:val="24"/>
                <w:szCs w:val="24"/>
                <w:color w:val="auto"/>
              </w:rPr>
            </w:pPr>
          </w:p>
        </w:tc>
        <w:tc>
          <w:tcPr>
            <w:tcW w:w="9300" w:type="dxa"/>
            <w:vAlign w:val="bottom"/>
          </w:tcPr>
          <w:p>
            <w:pPr>
              <w:spacing w:after="0"/>
              <w:rPr>
                <w:sz w:val="20"/>
                <w:szCs w:val="20"/>
                <w:color w:val="auto"/>
              </w:rPr>
            </w:pPr>
            <w:r>
              <w:rPr>
                <w:rFonts w:ascii="Times New Roman" w:cs="Times New Roman" w:eastAsia="Times New Roman" w:hAnsi="Times New Roman"/>
                <w:sz w:val="19"/>
                <w:szCs w:val="19"/>
                <w:color w:val="231F20"/>
              </w:rPr>
              <w:t>Form of 6.950% Note Due 2028 (incorporated by reference to Exhibit 4.2 to the Company’s Current Report on Form 8-K</w:t>
            </w:r>
          </w:p>
        </w:tc>
      </w:tr>
      <w:tr>
        <w:trPr>
          <w:trHeight w:val="252"/>
        </w:trPr>
        <w:tc>
          <w:tcPr>
            <w:tcW w:w="7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300" w:type="dxa"/>
            <w:vAlign w:val="bottom"/>
          </w:tcPr>
          <w:p>
            <w:pPr>
              <w:spacing w:after="0"/>
              <w:rPr>
                <w:sz w:val="20"/>
                <w:szCs w:val="20"/>
                <w:color w:val="auto"/>
              </w:rPr>
            </w:pPr>
            <w:r>
              <w:rPr>
                <w:rFonts w:ascii="Times New Roman" w:cs="Times New Roman" w:eastAsia="Times New Roman" w:hAnsi="Times New Roman"/>
                <w:sz w:val="19"/>
                <w:szCs w:val="19"/>
                <w:color w:val="231F20"/>
              </w:rPr>
              <w:t>filed on August 14, 2023).</w:t>
            </w:r>
          </w:p>
        </w:tc>
      </w:tr>
      <w:tr>
        <w:trPr>
          <w:trHeight w:val="399"/>
        </w:trPr>
        <w:tc>
          <w:tcPr>
            <w:tcW w:w="760" w:type="dxa"/>
            <w:vAlign w:val="bottom"/>
          </w:tcPr>
          <w:p>
            <w:pPr>
              <w:spacing w:after="0"/>
              <w:rPr>
                <w:sz w:val="20"/>
                <w:szCs w:val="20"/>
                <w:color w:val="auto"/>
              </w:rPr>
            </w:pPr>
            <w:r>
              <w:rPr>
                <w:rFonts w:ascii="Times New Roman" w:cs="Times New Roman" w:eastAsia="Times New Roman" w:hAnsi="Times New Roman"/>
                <w:sz w:val="19"/>
                <w:szCs w:val="19"/>
                <w:color w:val="231F20"/>
              </w:rPr>
              <w:t>4.6</w:t>
            </w:r>
          </w:p>
        </w:tc>
        <w:tc>
          <w:tcPr>
            <w:tcW w:w="140" w:type="dxa"/>
            <w:vAlign w:val="bottom"/>
          </w:tcPr>
          <w:p>
            <w:pPr>
              <w:spacing w:after="0"/>
              <w:rPr>
                <w:sz w:val="24"/>
                <w:szCs w:val="24"/>
                <w:color w:val="auto"/>
              </w:rPr>
            </w:pPr>
          </w:p>
        </w:tc>
        <w:tc>
          <w:tcPr>
            <w:tcW w:w="9300" w:type="dxa"/>
            <w:vAlign w:val="bottom"/>
          </w:tcPr>
          <w:p>
            <w:pPr>
              <w:spacing w:after="0"/>
              <w:rPr>
                <w:sz w:val="20"/>
                <w:szCs w:val="20"/>
                <w:color w:val="auto"/>
              </w:rPr>
            </w:pPr>
            <w:r>
              <w:rPr>
                <w:rFonts w:ascii="Times New Roman" w:cs="Times New Roman" w:eastAsia="Times New Roman" w:hAnsi="Times New Roman"/>
                <w:sz w:val="19"/>
                <w:szCs w:val="19"/>
                <w:color w:val="231F20"/>
              </w:rPr>
              <w:t>Indenture, dated as of January 16, 2024, between Sixth Street Specialty Lending, Inc. and U.S. Bank Trust Company,</w:t>
            </w:r>
          </w:p>
        </w:tc>
      </w:tr>
      <w:tr>
        <w:trPr>
          <w:trHeight w:val="217"/>
        </w:trPr>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300" w:type="dxa"/>
            <w:vAlign w:val="bottom"/>
          </w:tcPr>
          <w:p>
            <w:pPr>
              <w:spacing w:after="0" w:line="217" w:lineRule="exact"/>
              <w:rPr>
                <w:sz w:val="20"/>
                <w:szCs w:val="20"/>
                <w:color w:val="auto"/>
              </w:rPr>
            </w:pPr>
            <w:r>
              <w:rPr>
                <w:rFonts w:ascii="Times New Roman" w:cs="Times New Roman" w:eastAsia="Times New Roman" w:hAnsi="Times New Roman"/>
                <w:sz w:val="19"/>
                <w:szCs w:val="19"/>
                <w:color w:val="231F20"/>
              </w:rPr>
              <w:t>National Association, as Trustee (incorporated by reference to Exhibit 4.1 to the Company’s Current Report on Form 8-K</w:t>
            </w:r>
          </w:p>
        </w:tc>
      </w:tr>
      <w:tr>
        <w:trPr>
          <w:trHeight w:val="252"/>
        </w:trPr>
        <w:tc>
          <w:tcPr>
            <w:tcW w:w="7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300" w:type="dxa"/>
            <w:vAlign w:val="bottom"/>
          </w:tcPr>
          <w:p>
            <w:pPr>
              <w:spacing w:after="0"/>
              <w:rPr>
                <w:sz w:val="20"/>
                <w:szCs w:val="20"/>
                <w:color w:val="auto"/>
              </w:rPr>
            </w:pPr>
            <w:r>
              <w:rPr>
                <w:rFonts w:ascii="Times New Roman" w:cs="Times New Roman" w:eastAsia="Times New Roman" w:hAnsi="Times New Roman"/>
                <w:sz w:val="19"/>
                <w:szCs w:val="19"/>
                <w:color w:val="231F20"/>
              </w:rPr>
              <w:t>filed on January 16, 2024).</w:t>
            </w:r>
          </w:p>
        </w:tc>
      </w:tr>
      <w:tr>
        <w:trPr>
          <w:trHeight w:val="399"/>
        </w:trPr>
        <w:tc>
          <w:tcPr>
            <w:tcW w:w="760" w:type="dxa"/>
            <w:vAlign w:val="bottom"/>
          </w:tcPr>
          <w:p>
            <w:pPr>
              <w:spacing w:after="0"/>
              <w:rPr>
                <w:sz w:val="20"/>
                <w:szCs w:val="20"/>
                <w:color w:val="auto"/>
              </w:rPr>
            </w:pPr>
            <w:r>
              <w:rPr>
                <w:rFonts w:ascii="Times New Roman" w:cs="Times New Roman" w:eastAsia="Times New Roman" w:hAnsi="Times New Roman"/>
                <w:sz w:val="19"/>
                <w:szCs w:val="19"/>
                <w:color w:val="231F20"/>
              </w:rPr>
              <w:t>4.7</w:t>
            </w:r>
          </w:p>
        </w:tc>
        <w:tc>
          <w:tcPr>
            <w:tcW w:w="140" w:type="dxa"/>
            <w:vAlign w:val="bottom"/>
          </w:tcPr>
          <w:p>
            <w:pPr>
              <w:spacing w:after="0"/>
              <w:rPr>
                <w:sz w:val="24"/>
                <w:szCs w:val="24"/>
                <w:color w:val="auto"/>
              </w:rPr>
            </w:pPr>
          </w:p>
        </w:tc>
        <w:tc>
          <w:tcPr>
            <w:tcW w:w="9300" w:type="dxa"/>
            <w:vAlign w:val="bottom"/>
          </w:tcPr>
          <w:p>
            <w:pPr>
              <w:spacing w:after="0"/>
              <w:rPr>
                <w:sz w:val="20"/>
                <w:szCs w:val="20"/>
                <w:color w:val="auto"/>
              </w:rPr>
            </w:pPr>
            <w:r>
              <w:rPr>
                <w:rFonts w:ascii="Times New Roman" w:cs="Times New Roman" w:eastAsia="Times New Roman" w:hAnsi="Times New Roman"/>
                <w:sz w:val="19"/>
                <w:szCs w:val="19"/>
                <w:color w:val="231F20"/>
              </w:rPr>
              <w:t>First Supplemental Indenture, dated as of January 16, 2024, between Sixth Street Specialty Lending, Inc. and U.S. Bank</w:t>
            </w:r>
          </w:p>
        </w:tc>
      </w:tr>
      <w:tr>
        <w:trPr>
          <w:trHeight w:val="217"/>
        </w:trPr>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300" w:type="dxa"/>
            <w:vAlign w:val="bottom"/>
          </w:tcPr>
          <w:p>
            <w:pPr>
              <w:spacing w:after="0" w:line="217" w:lineRule="exact"/>
              <w:rPr>
                <w:sz w:val="20"/>
                <w:szCs w:val="20"/>
                <w:color w:val="auto"/>
              </w:rPr>
            </w:pPr>
            <w:r>
              <w:rPr>
                <w:rFonts w:ascii="Times New Roman" w:cs="Times New Roman" w:eastAsia="Times New Roman" w:hAnsi="Times New Roman"/>
                <w:sz w:val="19"/>
                <w:szCs w:val="19"/>
                <w:color w:val="231F20"/>
              </w:rPr>
              <w:t>Trust Company, National Association, as Trustee (incorporated by reference to Exhibit 4.2 to the Company's Current</w:t>
            </w:r>
          </w:p>
        </w:tc>
      </w:tr>
      <w:tr>
        <w:trPr>
          <w:trHeight w:val="252"/>
        </w:trPr>
        <w:tc>
          <w:tcPr>
            <w:tcW w:w="7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300" w:type="dxa"/>
            <w:vAlign w:val="bottom"/>
          </w:tcPr>
          <w:p>
            <w:pPr>
              <w:spacing w:after="0"/>
              <w:rPr>
                <w:sz w:val="20"/>
                <w:szCs w:val="20"/>
                <w:color w:val="auto"/>
              </w:rPr>
            </w:pPr>
            <w:r>
              <w:rPr>
                <w:rFonts w:ascii="Times New Roman" w:cs="Times New Roman" w:eastAsia="Times New Roman" w:hAnsi="Times New Roman"/>
                <w:sz w:val="19"/>
                <w:szCs w:val="19"/>
                <w:color w:val="231F20"/>
              </w:rPr>
              <w:t>Report on Form 8-K filed on January 16, 2024).</w:t>
            </w:r>
          </w:p>
        </w:tc>
      </w:tr>
      <w:tr>
        <w:trPr>
          <w:trHeight w:val="399"/>
        </w:trPr>
        <w:tc>
          <w:tcPr>
            <w:tcW w:w="760" w:type="dxa"/>
            <w:vAlign w:val="bottom"/>
          </w:tcPr>
          <w:p>
            <w:pPr>
              <w:spacing w:after="0"/>
              <w:rPr>
                <w:sz w:val="20"/>
                <w:szCs w:val="20"/>
                <w:color w:val="auto"/>
              </w:rPr>
            </w:pPr>
            <w:r>
              <w:rPr>
                <w:rFonts w:ascii="Times New Roman" w:cs="Times New Roman" w:eastAsia="Times New Roman" w:hAnsi="Times New Roman"/>
                <w:sz w:val="19"/>
                <w:szCs w:val="19"/>
                <w:color w:val="231F20"/>
              </w:rPr>
              <w:t>4.8</w:t>
            </w:r>
          </w:p>
        </w:tc>
        <w:tc>
          <w:tcPr>
            <w:tcW w:w="140" w:type="dxa"/>
            <w:vAlign w:val="bottom"/>
          </w:tcPr>
          <w:p>
            <w:pPr>
              <w:spacing w:after="0"/>
              <w:rPr>
                <w:sz w:val="24"/>
                <w:szCs w:val="24"/>
                <w:color w:val="auto"/>
              </w:rPr>
            </w:pPr>
          </w:p>
        </w:tc>
        <w:tc>
          <w:tcPr>
            <w:tcW w:w="9300" w:type="dxa"/>
            <w:vAlign w:val="bottom"/>
          </w:tcPr>
          <w:p>
            <w:pPr>
              <w:spacing w:after="0"/>
              <w:rPr>
                <w:sz w:val="20"/>
                <w:szCs w:val="20"/>
                <w:color w:val="auto"/>
              </w:rPr>
            </w:pPr>
            <w:r>
              <w:rPr>
                <w:rFonts w:ascii="Times New Roman" w:cs="Times New Roman" w:eastAsia="Times New Roman" w:hAnsi="Times New Roman"/>
                <w:sz w:val="19"/>
                <w:szCs w:val="19"/>
                <w:color w:val="231F20"/>
              </w:rPr>
              <w:t>Form of 6.125% Note Due 2029 (included in Exhibit 4.2 to the Company’s Current Report on Form 8-K filed on January</w:t>
            </w:r>
          </w:p>
        </w:tc>
      </w:tr>
      <w:tr>
        <w:trPr>
          <w:trHeight w:val="252"/>
        </w:trPr>
        <w:tc>
          <w:tcPr>
            <w:tcW w:w="760" w:type="dxa"/>
            <w:vAlign w:val="bottom"/>
          </w:tcPr>
          <w:p>
            <w:pPr>
              <w:spacing w:after="0"/>
              <w:rPr>
                <w:sz w:val="21"/>
                <w:szCs w:val="21"/>
                <w:color w:val="auto"/>
              </w:rPr>
            </w:pPr>
          </w:p>
        </w:tc>
        <w:tc>
          <w:tcPr>
            <w:tcW w:w="9440" w:type="dxa"/>
            <w:vAlign w:val="bottom"/>
            <w:gridSpan w:val="2"/>
          </w:tcPr>
          <w:p>
            <w:pPr>
              <w:ind w:left="140"/>
              <w:spacing w:after="0"/>
              <w:rPr>
                <w:sz w:val="20"/>
                <w:szCs w:val="20"/>
                <w:color w:val="auto"/>
              </w:rPr>
            </w:pPr>
            <w:r>
              <w:rPr>
                <w:rFonts w:ascii="Times New Roman" w:cs="Times New Roman" w:eastAsia="Times New Roman" w:hAnsi="Times New Roman"/>
                <w:sz w:val="19"/>
                <w:szCs w:val="19"/>
                <w:color w:val="231F20"/>
              </w:rPr>
              <w:t>16, 2024).</w:t>
            </w:r>
          </w:p>
        </w:tc>
      </w:tr>
      <w:tr>
        <w:trPr>
          <w:trHeight w:val="312"/>
        </w:trPr>
        <w:tc>
          <w:tcPr>
            <w:tcW w:w="760" w:type="dxa"/>
            <w:vAlign w:val="bottom"/>
          </w:tcPr>
          <w:p>
            <w:pPr>
              <w:spacing w:after="0"/>
              <w:rPr>
                <w:sz w:val="20"/>
                <w:szCs w:val="20"/>
                <w:color w:val="auto"/>
              </w:rPr>
            </w:pPr>
            <w:r>
              <w:rPr>
                <w:rFonts w:ascii="Times New Roman" w:cs="Times New Roman" w:eastAsia="Times New Roman" w:hAnsi="Times New Roman"/>
                <w:sz w:val="19"/>
                <w:szCs w:val="19"/>
                <w:color w:val="231F20"/>
              </w:rPr>
              <w:t>4.9</w:t>
            </w:r>
          </w:p>
        </w:tc>
        <w:tc>
          <w:tcPr>
            <w:tcW w:w="140" w:type="dxa"/>
            <w:vAlign w:val="bottom"/>
          </w:tcPr>
          <w:p>
            <w:pPr>
              <w:spacing w:after="0"/>
              <w:rPr>
                <w:sz w:val="24"/>
                <w:szCs w:val="24"/>
                <w:color w:val="auto"/>
              </w:rPr>
            </w:pPr>
          </w:p>
        </w:tc>
        <w:tc>
          <w:tcPr>
            <w:tcW w:w="9300" w:type="dxa"/>
            <w:vAlign w:val="bottom"/>
          </w:tcPr>
          <w:p>
            <w:pPr>
              <w:spacing w:after="0"/>
              <w:rPr>
                <w:sz w:val="20"/>
                <w:szCs w:val="20"/>
                <w:color w:val="auto"/>
              </w:rPr>
            </w:pPr>
            <w:r>
              <w:rPr>
                <w:rFonts w:ascii="Times New Roman" w:cs="Times New Roman" w:eastAsia="Times New Roman" w:hAnsi="Times New Roman"/>
                <w:sz w:val="19"/>
                <w:szCs w:val="19"/>
                <w:color w:val="231F20"/>
              </w:rPr>
              <w:t>Description of Securities Registered Pursuant to Section 12 of the Securities Exchange Act of 1934 (incorporated by</w:t>
            </w:r>
          </w:p>
        </w:tc>
      </w:tr>
      <w:tr>
        <w:trPr>
          <w:trHeight w:val="252"/>
        </w:trPr>
        <w:tc>
          <w:tcPr>
            <w:tcW w:w="7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300" w:type="dxa"/>
            <w:vAlign w:val="bottom"/>
          </w:tcPr>
          <w:p>
            <w:pPr>
              <w:spacing w:after="0"/>
              <w:rPr>
                <w:sz w:val="20"/>
                <w:szCs w:val="20"/>
                <w:color w:val="auto"/>
              </w:rPr>
            </w:pPr>
            <w:r>
              <w:rPr>
                <w:rFonts w:ascii="Times New Roman" w:cs="Times New Roman" w:eastAsia="Times New Roman" w:hAnsi="Times New Roman"/>
                <w:sz w:val="19"/>
                <w:szCs w:val="19"/>
                <w:color w:val="231F20"/>
              </w:rPr>
              <w:t>reference to Exhibit 4.8 to the Company’s Annual Report on Form 10-K filed on February 15, 2024).</w:t>
            </w:r>
          </w:p>
        </w:tc>
      </w:tr>
      <w:tr>
        <w:trPr>
          <w:trHeight w:val="312"/>
        </w:trPr>
        <w:tc>
          <w:tcPr>
            <w:tcW w:w="760" w:type="dxa"/>
            <w:vAlign w:val="bottom"/>
          </w:tcPr>
          <w:p>
            <w:pPr>
              <w:spacing w:after="0"/>
              <w:rPr>
                <w:sz w:val="20"/>
                <w:szCs w:val="20"/>
                <w:color w:val="auto"/>
              </w:rPr>
            </w:pPr>
            <w:r>
              <w:rPr>
                <w:rFonts w:ascii="Times New Roman" w:cs="Times New Roman" w:eastAsia="Times New Roman" w:hAnsi="Times New Roman"/>
                <w:sz w:val="19"/>
                <w:szCs w:val="19"/>
                <w:color w:val="231F20"/>
              </w:rPr>
              <w:t>10.1</w:t>
            </w:r>
          </w:p>
        </w:tc>
        <w:tc>
          <w:tcPr>
            <w:tcW w:w="140" w:type="dxa"/>
            <w:vAlign w:val="bottom"/>
          </w:tcPr>
          <w:p>
            <w:pPr>
              <w:spacing w:after="0"/>
              <w:rPr>
                <w:sz w:val="24"/>
                <w:szCs w:val="24"/>
                <w:color w:val="auto"/>
              </w:rPr>
            </w:pPr>
          </w:p>
        </w:tc>
        <w:tc>
          <w:tcPr>
            <w:tcW w:w="9300" w:type="dxa"/>
            <w:vAlign w:val="bottom"/>
          </w:tcPr>
          <w:p>
            <w:pPr>
              <w:spacing w:after="0"/>
              <w:rPr>
                <w:sz w:val="20"/>
                <w:szCs w:val="20"/>
                <w:color w:val="auto"/>
              </w:rPr>
            </w:pPr>
            <w:r>
              <w:rPr>
                <w:rFonts w:ascii="Times New Roman" w:cs="Times New Roman" w:eastAsia="Times New Roman" w:hAnsi="Times New Roman"/>
                <w:sz w:val="19"/>
                <w:szCs w:val="19"/>
                <w:color w:val="231F20"/>
                <w:w w:val="99"/>
              </w:rPr>
              <w:t>Form of Indemnification Agreement between the Company and certain officers and directors (incorporated by reference to</w:t>
            </w:r>
          </w:p>
        </w:tc>
      </w:tr>
      <w:tr>
        <w:trPr>
          <w:trHeight w:val="252"/>
        </w:trPr>
        <w:tc>
          <w:tcPr>
            <w:tcW w:w="7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300" w:type="dxa"/>
            <w:vAlign w:val="bottom"/>
          </w:tcPr>
          <w:p>
            <w:pPr>
              <w:spacing w:after="0"/>
              <w:rPr>
                <w:sz w:val="20"/>
                <w:szCs w:val="20"/>
                <w:color w:val="auto"/>
              </w:rPr>
            </w:pPr>
            <w:r>
              <w:rPr>
                <w:rFonts w:ascii="Times New Roman" w:cs="Times New Roman" w:eastAsia="Times New Roman" w:hAnsi="Times New Roman"/>
                <w:sz w:val="19"/>
                <w:szCs w:val="19"/>
                <w:color w:val="231F20"/>
              </w:rPr>
              <w:t>Exhibit 10.3 to Amendment No. 1 to the Company’s Registration Statement on Form 10 filed on March 14, 2011).</w:t>
            </w:r>
          </w:p>
        </w:tc>
      </w:tr>
    </w:tbl>
    <w:p>
      <w:pPr>
        <w:spacing w:after="0" w:line="200" w:lineRule="exact"/>
        <w:rPr>
          <w:sz w:val="20"/>
          <w:szCs w:val="20"/>
          <w:color w:val="auto"/>
        </w:rPr>
      </w:pPr>
    </w:p>
    <w:p>
      <w:pPr>
        <w:sectPr>
          <w:pgSz w:w="12240" w:h="15840" w:orient="portrait"/>
          <w:cols w:equalWidth="0" w:num="1">
            <w:col w:w="10200"/>
          </w:cols>
          <w:pgMar w:left="1020" w:top="1315" w:right="1020" w:bottom="57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231F20"/>
        </w:rPr>
        <w:t>91</w:t>
      </w:r>
    </w:p>
    <w:p>
      <w:pPr>
        <w:sectPr>
          <w:pgSz w:w="12240" w:h="15840" w:orient="portrait"/>
          <w:cols w:equalWidth="0" w:num="1">
            <w:col w:w="10200"/>
          </w:cols>
          <w:pgMar w:left="1020" w:top="1315" w:right="1020" w:bottom="574" w:gutter="0" w:footer="0" w:header="0"/>
          <w:type w:val="continuous"/>
        </w:sectPr>
      </w:pPr>
    </w:p>
    <w:bookmarkStart w:id="146" w:name="page147"/>
    <w:bookmarkEnd w:id="146"/>
    <w:p>
      <w:pPr>
        <w:spacing w:after="0"/>
        <w:tabs>
          <w:tab w:leader="none" w:pos="880" w:val="left"/>
        </w:tabs>
        <w:rPr>
          <w:sz w:val="20"/>
          <w:szCs w:val="20"/>
          <w:color w:val="auto"/>
        </w:rPr>
      </w:pPr>
      <w:r>
        <w:rPr>
          <w:rFonts w:ascii="Times New Roman" w:cs="Times New Roman" w:eastAsia="Times New Roman" w:hAnsi="Times New Roman"/>
          <w:sz w:val="15"/>
          <w:szCs w:val="15"/>
          <w:u w:val="single" w:color="auto"/>
          <w:color w:val="231F20"/>
        </w:rPr>
        <w:t>Exhibit No</w:t>
      </w:r>
      <w:r>
        <w:rPr>
          <w:sz w:val="20"/>
          <w:szCs w:val="20"/>
          <w:color w:val="auto"/>
        </w:rPr>
        <w:tab/>
      </w:r>
      <w:r>
        <w:rPr>
          <w:rFonts w:ascii="Times New Roman" w:cs="Times New Roman" w:eastAsia="Times New Roman" w:hAnsi="Times New Roman"/>
          <w:sz w:val="14"/>
          <w:szCs w:val="14"/>
          <w:color w:val="231F20"/>
        </w:rPr>
        <w:t>Description of Exhibits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567690</wp:posOffset>
                </wp:positionH>
                <wp:positionV relativeFrom="paragraph">
                  <wp:posOffset>13335</wp:posOffset>
                </wp:positionV>
                <wp:extent cx="5909310" cy="0"/>
                <wp:wrapNone/>
                <wp:docPr id="106" name="Shape 10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09310" cy="4763"/>
                        </a:xfrm>
                        <a:prstGeom prst="line">
                          <a:avLst/>
                        </a:prstGeom>
                        <a:solidFill>
                          <a:srgbClr val="FFFFFF"/>
                        </a:solidFill>
                        <a:ln w="5994">
                          <a:solidFill>
                            <a:srgbClr val="231F20"/>
                          </a:solidFill>
                          <a:miter lim="800000"/>
                          <a:headEnd/>
                          <a:tailEnd/>
                        </a:ln>
                      </wps:spPr>
                      <wps:bodyPr/>
                    </wps:wsp>
                  </a:graphicData>
                </a:graphic>
              </wp:anchor>
            </w:drawing>
          </mc:Choice>
          <mc:Fallback>
            <w:pict>
              <v:line id="Shape 106" o:spid="_x0000_s113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4.7pt,1.05pt" to="510pt,1.05pt" o:allowincell="f" strokecolor="#231F20" strokeweight="0.472pt"/>
            </w:pict>
          </mc:Fallback>
        </mc:AlternateContent>
      </w:r>
    </w:p>
    <w:p>
      <w:pPr>
        <w:spacing w:after="0" w:line="117" w:lineRule="exact"/>
        <w:rPr>
          <w:sz w:val="20"/>
          <w:szCs w:val="20"/>
          <w:color w:val="auto"/>
        </w:rPr>
      </w:pPr>
    </w:p>
    <w:p>
      <w:pPr>
        <w:ind w:left="900" w:right="100" w:hanging="893"/>
        <w:spacing w:after="0" w:line="257" w:lineRule="auto"/>
        <w:tabs>
          <w:tab w:leader="none" w:pos="880" w:val="left"/>
        </w:tabs>
        <w:rPr>
          <w:sz w:val="20"/>
          <w:szCs w:val="20"/>
          <w:color w:val="auto"/>
        </w:rPr>
      </w:pPr>
      <w:r>
        <w:rPr>
          <w:rFonts w:ascii="Times New Roman" w:cs="Times New Roman" w:eastAsia="Times New Roman" w:hAnsi="Times New Roman"/>
          <w:sz w:val="19"/>
          <w:szCs w:val="19"/>
          <w:color w:val="231F20"/>
        </w:rPr>
        <w:t>10.2</w:t>
      </w:r>
      <w:r>
        <w:rPr>
          <w:sz w:val="20"/>
          <w:szCs w:val="20"/>
          <w:color w:val="auto"/>
        </w:rPr>
        <w:tab/>
      </w:r>
      <w:r>
        <w:rPr>
          <w:rFonts w:ascii="Times New Roman" w:cs="Times New Roman" w:eastAsia="Times New Roman" w:hAnsi="Times New Roman"/>
          <w:sz w:val="19"/>
          <w:szCs w:val="19"/>
          <w:color w:val="231F20"/>
        </w:rPr>
        <w:t>Amended and Restated Investment Advisory and Management Agreement, dated December 12, 2011, between the Company and the Adviser (incorporated by reference to Exhibit 10.1 to the Company’s Current Report on Form 8-K filed on December 13, 2011).</w:t>
      </w:r>
    </w:p>
    <w:p>
      <w:pPr>
        <w:spacing w:after="0" w:line="80" w:lineRule="exact"/>
        <w:rPr>
          <w:sz w:val="20"/>
          <w:szCs w:val="20"/>
          <w:color w:val="auto"/>
        </w:rPr>
      </w:pPr>
    </w:p>
    <w:p>
      <w:pPr>
        <w:ind w:left="900" w:right="400" w:hanging="893"/>
        <w:spacing w:after="0" w:line="275" w:lineRule="auto"/>
        <w:tabs>
          <w:tab w:leader="none" w:pos="880" w:val="left"/>
        </w:tabs>
        <w:rPr>
          <w:sz w:val="20"/>
          <w:szCs w:val="20"/>
          <w:color w:val="auto"/>
        </w:rPr>
      </w:pPr>
      <w:r>
        <w:rPr>
          <w:rFonts w:ascii="Times New Roman" w:cs="Times New Roman" w:eastAsia="Times New Roman" w:hAnsi="Times New Roman"/>
          <w:sz w:val="19"/>
          <w:szCs w:val="19"/>
          <w:color w:val="231F20"/>
        </w:rPr>
        <w:t>10.3</w:t>
      </w:r>
      <w:r>
        <w:rPr>
          <w:sz w:val="20"/>
          <w:szCs w:val="20"/>
          <w:color w:val="auto"/>
        </w:rPr>
        <w:tab/>
      </w:r>
      <w:r>
        <w:rPr>
          <w:rFonts w:ascii="Times New Roman" w:cs="Times New Roman" w:eastAsia="Times New Roman" w:hAnsi="Times New Roman"/>
          <w:sz w:val="19"/>
          <w:szCs w:val="19"/>
          <w:color w:val="231F20"/>
        </w:rPr>
        <w:t>Custodian Agreement dated November 29, 2012 (incorporated by reference to Exhibit 10.1 to the Company’s Current Report on Form 8-K filed on December 4, 2012).</w:t>
      </w:r>
    </w:p>
    <w:p>
      <w:pPr>
        <w:spacing w:after="0" w:line="64" w:lineRule="exact"/>
        <w:rPr>
          <w:sz w:val="20"/>
          <w:szCs w:val="20"/>
          <w:color w:val="auto"/>
        </w:rPr>
      </w:pPr>
    </w:p>
    <w:p>
      <w:pPr>
        <w:ind w:left="900" w:right="20" w:hanging="893"/>
        <w:spacing w:after="0" w:line="250" w:lineRule="auto"/>
        <w:tabs>
          <w:tab w:leader="none" w:pos="880" w:val="left"/>
        </w:tabs>
        <w:rPr>
          <w:sz w:val="20"/>
          <w:szCs w:val="20"/>
          <w:color w:val="auto"/>
        </w:rPr>
      </w:pPr>
      <w:r>
        <w:rPr>
          <w:rFonts w:ascii="Times New Roman" w:cs="Times New Roman" w:eastAsia="Times New Roman" w:hAnsi="Times New Roman"/>
          <w:sz w:val="19"/>
          <w:szCs w:val="19"/>
          <w:color w:val="231F20"/>
        </w:rPr>
        <w:t>10.4</w:t>
      </w:r>
      <w:r>
        <w:rPr>
          <w:sz w:val="20"/>
          <w:szCs w:val="20"/>
          <w:color w:val="auto"/>
        </w:rPr>
        <w:tab/>
      </w:r>
      <w:r>
        <w:rPr>
          <w:rFonts w:ascii="Times New Roman" w:cs="Times New Roman" w:eastAsia="Times New Roman" w:hAnsi="Times New Roman"/>
          <w:sz w:val="19"/>
          <w:szCs w:val="19"/>
          <w:color w:val="231F20"/>
        </w:rPr>
        <w:t>Second Amended and Restated Senior Secured Credit Agreement, dated February 27, 2014, among TPG Specialty Lending, Inc., as Borrower, the Lenders Party Hereto and Truist Bank (as successor by merger to SunTrust Bank), as Administrative Agent, and JPMorgan Chase Bank, N.A., as Syndication Agent (incorporated by reference to Exhibit 10.20 to the Company’s Annual Report on Form 10-K filed on March 4, 2014).</w:t>
      </w:r>
    </w:p>
    <w:p>
      <w:pPr>
        <w:spacing w:after="0" w:line="89" w:lineRule="exact"/>
        <w:rPr>
          <w:sz w:val="20"/>
          <w:szCs w:val="20"/>
          <w:color w:val="auto"/>
        </w:rPr>
      </w:pPr>
    </w:p>
    <w:p>
      <w:pPr>
        <w:ind w:left="900" w:right="360" w:hanging="893"/>
        <w:spacing w:after="0" w:line="275" w:lineRule="auto"/>
        <w:tabs>
          <w:tab w:leader="none" w:pos="880" w:val="left"/>
        </w:tabs>
        <w:rPr>
          <w:sz w:val="20"/>
          <w:szCs w:val="20"/>
          <w:color w:val="auto"/>
        </w:rPr>
      </w:pPr>
      <w:r>
        <w:rPr>
          <w:rFonts w:ascii="Times New Roman" w:cs="Times New Roman" w:eastAsia="Times New Roman" w:hAnsi="Times New Roman"/>
          <w:sz w:val="19"/>
          <w:szCs w:val="19"/>
          <w:color w:val="231F20"/>
        </w:rPr>
        <w:t>10.5</w:t>
      </w:r>
      <w:r>
        <w:rPr>
          <w:sz w:val="20"/>
          <w:szCs w:val="20"/>
          <w:color w:val="auto"/>
        </w:rPr>
        <w:tab/>
      </w:r>
      <w:r>
        <w:rPr>
          <w:rFonts w:ascii="Times New Roman" w:cs="Times New Roman" w:eastAsia="Times New Roman" w:hAnsi="Times New Roman"/>
          <w:sz w:val="19"/>
          <w:szCs w:val="19"/>
          <w:color w:val="231F20"/>
        </w:rPr>
        <w:t>Dividend Reinvestment Plan of TPG Specialty Lending, Inc. (incorporated by reference to Exhibit (e) to Pre-Effective Amendment No. 4 to the Company’s Registration Statement on Form N-2 filed on March 17, 2014).</w:t>
      </w:r>
    </w:p>
    <w:p>
      <w:pPr>
        <w:spacing w:after="0" w:line="64" w:lineRule="exact"/>
        <w:rPr>
          <w:sz w:val="20"/>
          <w:szCs w:val="20"/>
          <w:color w:val="auto"/>
        </w:rPr>
      </w:pPr>
    </w:p>
    <w:p>
      <w:pPr>
        <w:ind w:left="900" w:hanging="893"/>
        <w:spacing w:after="0" w:line="269" w:lineRule="auto"/>
        <w:tabs>
          <w:tab w:leader="none" w:pos="880" w:val="left"/>
        </w:tabs>
        <w:rPr>
          <w:sz w:val="20"/>
          <w:szCs w:val="20"/>
          <w:color w:val="auto"/>
        </w:rPr>
      </w:pPr>
      <w:r>
        <w:rPr>
          <w:rFonts w:ascii="Times New Roman" w:cs="Times New Roman" w:eastAsia="Times New Roman" w:hAnsi="Times New Roman"/>
          <w:sz w:val="19"/>
          <w:szCs w:val="19"/>
          <w:color w:val="231F20"/>
        </w:rPr>
        <w:t>10.6</w:t>
      </w:r>
      <w:r>
        <w:rPr>
          <w:sz w:val="20"/>
          <w:szCs w:val="20"/>
          <w:color w:val="auto"/>
        </w:rPr>
        <w:tab/>
      </w:r>
      <w:r>
        <w:rPr>
          <w:rFonts w:ascii="Times New Roman" w:cs="Times New Roman" w:eastAsia="Times New Roman" w:hAnsi="Times New Roman"/>
          <w:sz w:val="18"/>
          <w:szCs w:val="18"/>
          <w:color w:val="231F20"/>
        </w:rPr>
        <w:t>Form of Increase Letter pursuant to the Second Amended and Restated Senior Secured Credit Agreement, dated February 27, 2014, among TPG Specialty Lending, Inc., as Borrower, the Lenders Party Hereto and Truist Bank (as successor by merger to SunTrust Bank), as Administrative Agent, and JPMorgan Chase Bank, N.A., as Syndication Agent (incorporated by reference to Exhibit 10.3 to the Company’s Quarterly Annual Report on Form 10-Q filed on August 4, 2014).</w:t>
      </w:r>
    </w:p>
    <w:p>
      <w:pPr>
        <w:spacing w:after="0" w:line="71" w:lineRule="exact"/>
        <w:rPr>
          <w:sz w:val="20"/>
          <w:szCs w:val="20"/>
          <w:color w:val="auto"/>
        </w:rPr>
      </w:pPr>
    </w:p>
    <w:p>
      <w:pPr>
        <w:ind w:left="900" w:right="260" w:hanging="893"/>
        <w:spacing w:after="0" w:line="250" w:lineRule="auto"/>
        <w:tabs>
          <w:tab w:leader="none" w:pos="880" w:val="left"/>
        </w:tabs>
        <w:rPr>
          <w:sz w:val="20"/>
          <w:szCs w:val="20"/>
          <w:color w:val="auto"/>
        </w:rPr>
      </w:pPr>
      <w:r>
        <w:rPr>
          <w:rFonts w:ascii="Times New Roman" w:cs="Times New Roman" w:eastAsia="Times New Roman" w:hAnsi="Times New Roman"/>
          <w:sz w:val="19"/>
          <w:szCs w:val="19"/>
          <w:color w:val="231F20"/>
        </w:rPr>
        <w:t>10.7</w:t>
      </w:r>
      <w:r>
        <w:rPr>
          <w:sz w:val="20"/>
          <w:szCs w:val="20"/>
          <w:color w:val="auto"/>
        </w:rPr>
        <w:tab/>
      </w:r>
      <w:r>
        <w:rPr>
          <w:rFonts w:ascii="Times New Roman" w:cs="Times New Roman" w:eastAsia="Times New Roman" w:hAnsi="Times New Roman"/>
          <w:sz w:val="19"/>
          <w:szCs w:val="19"/>
          <w:color w:val="231F20"/>
        </w:rPr>
        <w:t>First Amendment to Second Amended and Restated Senior Secured Revolving Credit Agreement, dated June 3, 2014, among TPG Specialty Lending, Inc., as Borrower, the Lenders party thereto and Truist Bank (as successor by merger to SunTrust Bank), as Administrative Agent and Collateral Agent (incorporated by reference to Exhibit 10.4 to the Company’s Quarterly Report on Form 10-Q filed on August 4, 2014).</w:t>
      </w:r>
    </w:p>
    <w:p>
      <w:pPr>
        <w:spacing w:after="0" w:line="89" w:lineRule="exact"/>
        <w:rPr>
          <w:sz w:val="20"/>
          <w:szCs w:val="20"/>
          <w:color w:val="auto"/>
        </w:rPr>
      </w:pPr>
    </w:p>
    <w:p>
      <w:pPr>
        <w:ind w:left="900" w:right="20" w:hanging="893"/>
        <w:spacing w:after="0" w:line="250" w:lineRule="auto"/>
        <w:tabs>
          <w:tab w:leader="none" w:pos="880" w:val="left"/>
        </w:tabs>
        <w:rPr>
          <w:sz w:val="20"/>
          <w:szCs w:val="20"/>
          <w:color w:val="auto"/>
        </w:rPr>
      </w:pPr>
      <w:r>
        <w:rPr>
          <w:rFonts w:ascii="Times New Roman" w:cs="Times New Roman" w:eastAsia="Times New Roman" w:hAnsi="Times New Roman"/>
          <w:sz w:val="19"/>
          <w:szCs w:val="19"/>
          <w:color w:val="231F20"/>
        </w:rPr>
        <w:t>10.8</w:t>
      </w:r>
      <w:r>
        <w:rPr>
          <w:sz w:val="20"/>
          <w:szCs w:val="20"/>
          <w:color w:val="auto"/>
        </w:rPr>
        <w:tab/>
      </w:r>
      <w:r>
        <w:rPr>
          <w:rFonts w:ascii="Times New Roman" w:cs="Times New Roman" w:eastAsia="Times New Roman" w:hAnsi="Times New Roman"/>
          <w:sz w:val="19"/>
          <w:szCs w:val="19"/>
          <w:color w:val="231F20"/>
        </w:rPr>
        <w:t>Second Amendment to Second Amended and Restated Senior Secured Revolving Credit Agreement, dated June 27, 2014, among TPG Specialty Lending, Inc., as Borrower, Morgan Stanley Bank, N.A., as a Lender, and Truist Bank (as successor by merger to SunTrust Bank), as Administrative Agent (incorporated by reference to Exhibit 10.5 to the Company’s Quarterly Report on Form 10-Q filed on August 4, 2014).</w:t>
      </w:r>
    </w:p>
    <w:p>
      <w:pPr>
        <w:spacing w:after="0" w:line="89" w:lineRule="exact"/>
        <w:rPr>
          <w:sz w:val="20"/>
          <w:szCs w:val="20"/>
          <w:color w:val="auto"/>
        </w:rPr>
      </w:pPr>
    </w:p>
    <w:p>
      <w:pPr>
        <w:ind w:left="900" w:hanging="893"/>
        <w:spacing w:after="0" w:line="250" w:lineRule="auto"/>
        <w:tabs>
          <w:tab w:leader="none" w:pos="880" w:val="left"/>
        </w:tabs>
        <w:rPr>
          <w:sz w:val="20"/>
          <w:szCs w:val="20"/>
          <w:color w:val="auto"/>
        </w:rPr>
      </w:pPr>
      <w:r>
        <w:rPr>
          <w:rFonts w:ascii="Times New Roman" w:cs="Times New Roman" w:eastAsia="Times New Roman" w:hAnsi="Times New Roman"/>
          <w:sz w:val="19"/>
          <w:szCs w:val="19"/>
          <w:color w:val="231F20"/>
        </w:rPr>
        <w:t>10.9</w:t>
      </w:r>
      <w:r>
        <w:rPr>
          <w:sz w:val="20"/>
          <w:szCs w:val="20"/>
          <w:color w:val="auto"/>
        </w:rPr>
        <w:tab/>
      </w:r>
      <w:r>
        <w:rPr>
          <w:rFonts w:ascii="Times New Roman" w:cs="Times New Roman" w:eastAsia="Times New Roman" w:hAnsi="Times New Roman"/>
          <w:sz w:val="19"/>
          <w:szCs w:val="19"/>
          <w:color w:val="231F20"/>
        </w:rPr>
        <w:t>Third Amendment to Second Amended and Restated Senior Secured Revolving Credit Agreement, dated October 17, 2014, among TPG Specialty Lending, Inc., as Borrower, the Lenders party thereto and Truist Bank (as successor by merger to SunTrust Bank), as Administrative Agent (incorporated by reference to Exhibit 10.1 to the Company’s Quarterly Report on Form 10-Q filed on November 3, 2014).</w:t>
      </w:r>
    </w:p>
    <w:p>
      <w:pPr>
        <w:spacing w:after="0" w:line="89" w:lineRule="exact"/>
        <w:rPr>
          <w:sz w:val="20"/>
          <w:szCs w:val="20"/>
          <w:color w:val="auto"/>
        </w:rPr>
      </w:pPr>
    </w:p>
    <w:p>
      <w:pPr>
        <w:ind w:left="900" w:hanging="893"/>
        <w:spacing w:after="0" w:line="250" w:lineRule="auto"/>
        <w:tabs>
          <w:tab w:leader="none" w:pos="880" w:val="left"/>
        </w:tabs>
        <w:rPr>
          <w:sz w:val="20"/>
          <w:szCs w:val="20"/>
          <w:color w:val="auto"/>
        </w:rPr>
      </w:pPr>
      <w:r>
        <w:rPr>
          <w:rFonts w:ascii="Times New Roman" w:cs="Times New Roman" w:eastAsia="Times New Roman" w:hAnsi="Times New Roman"/>
          <w:sz w:val="19"/>
          <w:szCs w:val="19"/>
          <w:color w:val="231F20"/>
        </w:rPr>
        <w:t>10.10</w:t>
      </w:r>
      <w:r>
        <w:rPr>
          <w:sz w:val="20"/>
          <w:szCs w:val="20"/>
          <w:color w:val="auto"/>
        </w:rPr>
        <w:tab/>
      </w:r>
      <w:r>
        <w:rPr>
          <w:rFonts w:ascii="Times New Roman" w:cs="Times New Roman" w:eastAsia="Times New Roman" w:hAnsi="Times New Roman"/>
          <w:sz w:val="19"/>
          <w:szCs w:val="19"/>
          <w:color w:val="231F20"/>
        </w:rPr>
        <w:t>Second Amended and Restated Credit and Security Agreement, dated as of March 27, 2015, among TPG SL SPV, LLC, as Borrower, the Lenders from time to time parties thereto, Natixis, New York Branch, as Facility Agent and State Street Bank and Trust Company, as Collateral Agent (incorporated by reference to Exhibit 10.1 to the Company’s Current Report on Form 8-K filed on March 30, 2015).</w:t>
      </w:r>
    </w:p>
    <w:p>
      <w:pPr>
        <w:spacing w:after="0" w:line="89" w:lineRule="exact"/>
        <w:rPr>
          <w:sz w:val="20"/>
          <w:szCs w:val="20"/>
          <w:color w:val="auto"/>
        </w:rPr>
      </w:pPr>
    </w:p>
    <w:p>
      <w:pPr>
        <w:ind w:left="900" w:hanging="893"/>
        <w:spacing w:after="0" w:line="250" w:lineRule="auto"/>
        <w:tabs>
          <w:tab w:leader="none" w:pos="880" w:val="left"/>
        </w:tabs>
        <w:rPr>
          <w:sz w:val="20"/>
          <w:szCs w:val="20"/>
          <w:color w:val="auto"/>
        </w:rPr>
      </w:pPr>
      <w:r>
        <w:rPr>
          <w:rFonts w:ascii="Times New Roman" w:cs="Times New Roman" w:eastAsia="Times New Roman" w:hAnsi="Times New Roman"/>
          <w:sz w:val="19"/>
          <w:szCs w:val="19"/>
          <w:color w:val="231F20"/>
        </w:rPr>
        <w:t>10.11</w:t>
      </w:r>
      <w:r>
        <w:rPr>
          <w:sz w:val="20"/>
          <w:szCs w:val="20"/>
          <w:color w:val="auto"/>
        </w:rPr>
        <w:tab/>
      </w:r>
      <w:r>
        <w:rPr>
          <w:rFonts w:ascii="Times New Roman" w:cs="Times New Roman" w:eastAsia="Times New Roman" w:hAnsi="Times New Roman"/>
          <w:sz w:val="19"/>
          <w:szCs w:val="19"/>
          <w:color w:val="231F20"/>
        </w:rPr>
        <w:t>Fourth Amendment to Second Amended and Restated Senior Secured Revolving Credit Agreement, dated October 2, 2015, among TPG Specialty Lending, Inc., as Borrower, the Lenders party thereto and Truist Bank (as successor by merger to SunTrust Bank), as Administrative Agent (incorporated by reference to Exhibit 10.1 to the Company’s Quarterly Report on Form 10-Q filed on November 3, 2015).</w:t>
      </w:r>
    </w:p>
    <w:p>
      <w:pPr>
        <w:spacing w:after="0" w:line="89" w:lineRule="exact"/>
        <w:rPr>
          <w:sz w:val="20"/>
          <w:szCs w:val="20"/>
          <w:color w:val="auto"/>
        </w:rPr>
      </w:pPr>
    </w:p>
    <w:p>
      <w:pPr>
        <w:ind w:left="900" w:right="80" w:hanging="893"/>
        <w:spacing w:after="0" w:line="250" w:lineRule="auto"/>
        <w:tabs>
          <w:tab w:leader="none" w:pos="880" w:val="left"/>
        </w:tabs>
        <w:rPr>
          <w:sz w:val="20"/>
          <w:szCs w:val="20"/>
          <w:color w:val="auto"/>
        </w:rPr>
      </w:pPr>
      <w:r>
        <w:rPr>
          <w:rFonts w:ascii="Times New Roman" w:cs="Times New Roman" w:eastAsia="Times New Roman" w:hAnsi="Times New Roman"/>
          <w:sz w:val="19"/>
          <w:szCs w:val="19"/>
          <w:color w:val="231F20"/>
        </w:rPr>
        <w:t>10.12</w:t>
      </w:r>
      <w:r>
        <w:rPr>
          <w:sz w:val="20"/>
          <w:szCs w:val="20"/>
          <w:color w:val="auto"/>
        </w:rPr>
        <w:tab/>
      </w:r>
      <w:r>
        <w:rPr>
          <w:rFonts w:ascii="Times New Roman" w:cs="Times New Roman" w:eastAsia="Times New Roman" w:hAnsi="Times New Roman"/>
          <w:sz w:val="19"/>
          <w:szCs w:val="19"/>
          <w:color w:val="231F20"/>
        </w:rPr>
        <w:t>Fifth Amendment to Second Amended and Restated Senior Secured Revolving Credit Agreement, dated December 22, 2016, among TPG Specialty Lending, Inc., as Borrower, the Lenders party thereto and Truist Bank (as successor by merger to SunTrust Bank), as Administrative Agent (incorporated by reference to Exhibit 10.15 to the Company’s Annual Report on Form 10-K filed on February 22, 2017).</w:t>
      </w:r>
    </w:p>
    <w:p>
      <w:pPr>
        <w:spacing w:after="0" w:line="89" w:lineRule="exact"/>
        <w:rPr>
          <w:sz w:val="20"/>
          <w:szCs w:val="20"/>
          <w:color w:val="auto"/>
        </w:rPr>
      </w:pPr>
    </w:p>
    <w:p>
      <w:pPr>
        <w:jc w:val="right"/>
        <w:ind w:right="140"/>
        <w:spacing w:after="0" w:line="275" w:lineRule="auto"/>
        <w:rPr>
          <w:sz w:val="20"/>
          <w:szCs w:val="20"/>
          <w:color w:val="auto"/>
        </w:rPr>
      </w:pPr>
      <w:r>
        <w:rPr>
          <w:rFonts w:ascii="Times New Roman" w:cs="Times New Roman" w:eastAsia="Times New Roman" w:hAnsi="Times New Roman"/>
          <w:sz w:val="19"/>
          <w:szCs w:val="19"/>
          <w:color w:val="231F20"/>
        </w:rPr>
        <w:t>10.13     Amended and Restated Administration Agreement, dated as of February 22, 2017 between the Company and the Adviser (incorporated by reference to Exhibit 10.16 to the Company’s Annual Report on Form 10-K filed on February 22, 2017).</w:t>
      </w:r>
    </w:p>
    <w:p>
      <w:pPr>
        <w:spacing w:after="0" w:line="64" w:lineRule="exact"/>
        <w:rPr>
          <w:sz w:val="20"/>
          <w:szCs w:val="20"/>
          <w:color w:val="auto"/>
        </w:rPr>
      </w:pPr>
    </w:p>
    <w:p>
      <w:pPr>
        <w:ind w:left="900" w:right="80" w:hanging="893"/>
        <w:spacing w:after="0" w:line="250" w:lineRule="auto"/>
        <w:tabs>
          <w:tab w:leader="none" w:pos="880" w:val="left"/>
        </w:tabs>
        <w:rPr>
          <w:sz w:val="20"/>
          <w:szCs w:val="20"/>
          <w:color w:val="auto"/>
        </w:rPr>
      </w:pPr>
      <w:r>
        <w:rPr>
          <w:rFonts w:ascii="Times New Roman" w:cs="Times New Roman" w:eastAsia="Times New Roman" w:hAnsi="Times New Roman"/>
          <w:sz w:val="19"/>
          <w:szCs w:val="19"/>
          <w:color w:val="231F20"/>
        </w:rPr>
        <w:t>10.14</w:t>
      </w:r>
      <w:r>
        <w:rPr>
          <w:sz w:val="20"/>
          <w:szCs w:val="20"/>
          <w:color w:val="auto"/>
        </w:rPr>
        <w:tab/>
      </w:r>
      <w:r>
        <w:rPr>
          <w:rFonts w:ascii="Times New Roman" w:cs="Times New Roman" w:eastAsia="Times New Roman" w:hAnsi="Times New Roman"/>
          <w:sz w:val="19"/>
          <w:szCs w:val="19"/>
          <w:color w:val="231F20"/>
        </w:rPr>
        <w:t>Sixth Amendment to Second Amended and Restated Senior Secured Revolving Credit Agreement, dated February 20, 2018, among TPG Specialty Lending, Inc., as Borrower, the Lenders party thereto and Truist Bank (as successor by merger to SunTrust Bank), as Administrative Agent (incorporated by reference to Exhibit 10.16 to the Company’s Annual Report on Form 10-K filed on February 21, 2018).</w:t>
      </w:r>
    </w:p>
    <w:p>
      <w:pPr>
        <w:spacing w:after="0" w:line="89" w:lineRule="exact"/>
        <w:rPr>
          <w:sz w:val="20"/>
          <w:szCs w:val="20"/>
          <w:color w:val="auto"/>
        </w:rPr>
      </w:pPr>
    </w:p>
    <w:p>
      <w:pPr>
        <w:ind w:left="900" w:right="520" w:hanging="893"/>
        <w:spacing w:after="0" w:line="250" w:lineRule="auto"/>
        <w:tabs>
          <w:tab w:leader="none" w:pos="880" w:val="left"/>
        </w:tabs>
        <w:rPr>
          <w:sz w:val="20"/>
          <w:szCs w:val="20"/>
          <w:color w:val="auto"/>
        </w:rPr>
      </w:pPr>
      <w:r>
        <w:rPr>
          <w:rFonts w:ascii="Times New Roman" w:cs="Times New Roman" w:eastAsia="Times New Roman" w:hAnsi="Times New Roman"/>
          <w:sz w:val="19"/>
          <w:szCs w:val="19"/>
          <w:color w:val="231F20"/>
        </w:rPr>
        <w:t>10.15</w:t>
      </w:r>
      <w:r>
        <w:rPr>
          <w:sz w:val="20"/>
          <w:szCs w:val="20"/>
          <w:color w:val="auto"/>
        </w:rPr>
        <w:tab/>
      </w:r>
      <w:r>
        <w:rPr>
          <w:rFonts w:ascii="Times New Roman" w:cs="Times New Roman" w:eastAsia="Times New Roman" w:hAnsi="Times New Roman"/>
          <w:sz w:val="19"/>
          <w:szCs w:val="19"/>
          <w:color w:val="231F20"/>
        </w:rPr>
        <w:t>Seventh Amendment to Second Amended and Restated Senior Secured Revolving Credit Agreement, dated as of November 5, 2018, among TPG Specialty Lending, Inc., as Borrower, the Lenders party thereto and Truist Bank (as successor by merger to SunTrust Bank), as Administrative Agent (incorporated by reference to Exhibit 10.1 to the Company's Quarterly Report on Form 10-Q filed on November 6, 2018).</w:t>
      </w:r>
    </w:p>
    <w:p>
      <w:pPr>
        <w:sectPr>
          <w:pgSz w:w="12240" w:h="15840" w:orient="portrait"/>
          <w:cols w:equalWidth="0" w:num="1">
            <w:col w:w="10200"/>
          </w:cols>
          <w:pgMar w:left="1020" w:top="1321" w:right="1020" w:bottom="574" w:gutter="0" w:footer="0" w:header="0"/>
        </w:sect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231F20"/>
        </w:rPr>
        <w:t>92</w:t>
      </w:r>
    </w:p>
    <w:p>
      <w:pPr>
        <w:sectPr>
          <w:pgSz w:w="12240" w:h="15840" w:orient="portrait"/>
          <w:cols w:equalWidth="0" w:num="1">
            <w:col w:w="10200"/>
          </w:cols>
          <w:pgMar w:left="1020" w:top="1321" w:right="1020" w:bottom="574" w:gutter="0" w:footer="0" w:header="0"/>
          <w:type w:val="continuous"/>
        </w:sectPr>
      </w:pPr>
    </w:p>
    <w:bookmarkStart w:id="147" w:name="page148"/>
    <w:bookmarkEnd w:id="147"/>
    <w:tbl>
      <w:tblPr>
        <w:tblLayout w:type="fixed"/>
        <w:tblInd w:w="0" w:type="dxa"/>
        <w:tblCellMar>
          <w:top w:w="0" w:type="dxa"/>
          <w:left w:w="0" w:type="dxa"/>
          <w:bottom w:w="0" w:type="dxa"/>
          <w:right w:w="0" w:type="dxa"/>
        </w:tblCellMar>
      </w:tblPr>
      <w:tr>
        <w:trPr>
          <w:trHeight w:val="189"/>
        </w:trPr>
        <w:tc>
          <w:tcPr>
            <w:tcW w:w="760" w:type="dxa"/>
            <w:vAlign w:val="bottom"/>
            <w:tcBorders>
              <w:bottom w:val="single" w:sz="8" w:color="231F20"/>
            </w:tcBorders>
          </w:tcPr>
          <w:p>
            <w:pPr>
              <w:spacing w:after="0"/>
              <w:rPr>
                <w:sz w:val="20"/>
                <w:szCs w:val="20"/>
                <w:color w:val="auto"/>
              </w:rPr>
            </w:pPr>
            <w:r>
              <w:rPr>
                <w:rFonts w:ascii="Times New Roman" w:cs="Times New Roman" w:eastAsia="Times New Roman" w:hAnsi="Times New Roman"/>
                <w:sz w:val="15"/>
                <w:szCs w:val="15"/>
                <w:color w:val="231F20"/>
              </w:rPr>
              <w:t>Exhibit No</w:t>
            </w:r>
          </w:p>
        </w:tc>
        <w:tc>
          <w:tcPr>
            <w:tcW w:w="140" w:type="dxa"/>
            <w:vAlign w:val="bottom"/>
          </w:tcPr>
          <w:p>
            <w:pPr>
              <w:spacing w:after="0"/>
              <w:rPr>
                <w:sz w:val="16"/>
                <w:szCs w:val="16"/>
                <w:color w:val="auto"/>
              </w:rPr>
            </w:pPr>
          </w:p>
        </w:tc>
        <w:tc>
          <w:tcPr>
            <w:tcW w:w="3620" w:type="dxa"/>
            <w:vAlign w:val="bottom"/>
            <w:tcBorders>
              <w:bottom w:val="single" w:sz="8" w:color="231F20"/>
            </w:tcBorders>
          </w:tcPr>
          <w:p>
            <w:pPr>
              <w:spacing w:after="0"/>
              <w:rPr>
                <w:sz w:val="20"/>
                <w:szCs w:val="20"/>
                <w:color w:val="auto"/>
              </w:rPr>
            </w:pPr>
            <w:r>
              <w:rPr>
                <w:rFonts w:ascii="Times New Roman" w:cs="Times New Roman" w:eastAsia="Times New Roman" w:hAnsi="Times New Roman"/>
                <w:sz w:val="15"/>
                <w:szCs w:val="15"/>
                <w:color w:val="231F20"/>
              </w:rPr>
              <w:t>Description of Exhibits</w:t>
            </w:r>
          </w:p>
        </w:tc>
        <w:tc>
          <w:tcPr>
            <w:tcW w:w="260" w:type="dxa"/>
            <w:vAlign w:val="bottom"/>
            <w:tcBorders>
              <w:bottom w:val="single" w:sz="8" w:color="231F20"/>
            </w:tcBorders>
          </w:tcPr>
          <w:p>
            <w:pPr>
              <w:spacing w:after="0"/>
              <w:rPr>
                <w:sz w:val="16"/>
                <w:szCs w:val="16"/>
                <w:color w:val="auto"/>
              </w:rPr>
            </w:pPr>
          </w:p>
        </w:tc>
        <w:tc>
          <w:tcPr>
            <w:tcW w:w="5420" w:type="dxa"/>
            <w:vAlign w:val="bottom"/>
            <w:tcBorders>
              <w:bottom w:val="single" w:sz="8" w:color="231F20"/>
            </w:tcBorders>
          </w:tcPr>
          <w:p>
            <w:pPr>
              <w:spacing w:after="0"/>
              <w:rPr>
                <w:sz w:val="16"/>
                <w:szCs w:val="16"/>
                <w:color w:val="auto"/>
              </w:rPr>
            </w:pPr>
          </w:p>
        </w:tc>
      </w:tr>
      <w:tr>
        <w:trPr>
          <w:trHeight w:val="317"/>
        </w:trPr>
        <w:tc>
          <w:tcPr>
            <w:tcW w:w="760" w:type="dxa"/>
            <w:vAlign w:val="bottom"/>
          </w:tcPr>
          <w:p>
            <w:pPr>
              <w:spacing w:after="0"/>
              <w:rPr>
                <w:sz w:val="20"/>
                <w:szCs w:val="20"/>
                <w:color w:val="auto"/>
              </w:rPr>
            </w:pPr>
            <w:r>
              <w:rPr>
                <w:rFonts w:ascii="Times New Roman" w:cs="Times New Roman" w:eastAsia="Times New Roman" w:hAnsi="Times New Roman"/>
                <w:sz w:val="19"/>
                <w:szCs w:val="19"/>
                <w:color w:val="231F20"/>
              </w:rPr>
              <w:t>10.16</w:t>
            </w:r>
          </w:p>
        </w:tc>
        <w:tc>
          <w:tcPr>
            <w:tcW w:w="140" w:type="dxa"/>
            <w:vAlign w:val="bottom"/>
          </w:tcPr>
          <w:p>
            <w:pPr>
              <w:spacing w:after="0"/>
              <w:rPr>
                <w:sz w:val="24"/>
                <w:szCs w:val="24"/>
                <w:color w:val="auto"/>
              </w:rPr>
            </w:pPr>
          </w:p>
        </w:tc>
        <w:tc>
          <w:tcPr>
            <w:tcW w:w="9300" w:type="dxa"/>
            <w:vAlign w:val="bottom"/>
            <w:gridSpan w:val="3"/>
          </w:tcPr>
          <w:p>
            <w:pPr>
              <w:spacing w:after="0"/>
              <w:rPr>
                <w:sz w:val="20"/>
                <w:szCs w:val="20"/>
                <w:color w:val="auto"/>
              </w:rPr>
            </w:pPr>
            <w:r>
              <w:rPr>
                <w:rFonts w:ascii="Times New Roman" w:cs="Times New Roman" w:eastAsia="Times New Roman" w:hAnsi="Times New Roman"/>
                <w:sz w:val="19"/>
                <w:szCs w:val="19"/>
                <w:color w:val="231F20"/>
              </w:rPr>
              <w:t>Eighth Amendment to Second Amended and Restated Senior Secured Revolving Credit Agreement, dated as of February</w:t>
            </w:r>
          </w:p>
        </w:tc>
      </w:tr>
      <w:tr>
        <w:trPr>
          <w:trHeight w:val="217"/>
        </w:trPr>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300" w:type="dxa"/>
            <w:vAlign w:val="bottom"/>
            <w:gridSpan w:val="3"/>
          </w:tcPr>
          <w:p>
            <w:pPr>
              <w:spacing w:after="0" w:line="217" w:lineRule="exact"/>
              <w:rPr>
                <w:sz w:val="20"/>
                <w:szCs w:val="20"/>
                <w:color w:val="auto"/>
              </w:rPr>
            </w:pPr>
            <w:r>
              <w:rPr>
                <w:rFonts w:ascii="Times New Roman" w:cs="Times New Roman" w:eastAsia="Times New Roman" w:hAnsi="Times New Roman"/>
                <w:sz w:val="19"/>
                <w:szCs w:val="19"/>
                <w:color w:val="231F20"/>
              </w:rPr>
              <w:t>14, 2019, among TPG Specialty Lending, Inc., as Borrower, the Lenders party thereto and Truist Bank (as successor by</w:t>
            </w:r>
          </w:p>
        </w:tc>
      </w:tr>
      <w:tr>
        <w:trPr>
          <w:trHeight w:val="217"/>
        </w:trPr>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300" w:type="dxa"/>
            <w:vAlign w:val="bottom"/>
            <w:gridSpan w:val="3"/>
          </w:tcPr>
          <w:p>
            <w:pPr>
              <w:spacing w:after="0" w:line="217" w:lineRule="exact"/>
              <w:rPr>
                <w:sz w:val="20"/>
                <w:szCs w:val="20"/>
                <w:color w:val="auto"/>
              </w:rPr>
            </w:pPr>
            <w:r>
              <w:rPr>
                <w:rFonts w:ascii="Times New Roman" w:cs="Times New Roman" w:eastAsia="Times New Roman" w:hAnsi="Times New Roman"/>
                <w:sz w:val="19"/>
                <w:szCs w:val="19"/>
                <w:color w:val="231F20"/>
                <w:w w:val="99"/>
              </w:rPr>
              <w:t>merger to SunTrust Bank), as Administrative Agent. (incorporated by reference to Exhibit 10.16 to the Company’s Annual</w:t>
            </w:r>
          </w:p>
        </w:tc>
      </w:tr>
      <w:tr>
        <w:trPr>
          <w:trHeight w:val="252"/>
        </w:trPr>
        <w:tc>
          <w:tcPr>
            <w:tcW w:w="7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880" w:type="dxa"/>
            <w:vAlign w:val="bottom"/>
            <w:gridSpan w:val="2"/>
          </w:tcPr>
          <w:p>
            <w:pPr>
              <w:spacing w:after="0"/>
              <w:rPr>
                <w:sz w:val="20"/>
                <w:szCs w:val="20"/>
                <w:color w:val="auto"/>
              </w:rPr>
            </w:pPr>
            <w:r>
              <w:rPr>
                <w:rFonts w:ascii="Times New Roman" w:cs="Times New Roman" w:eastAsia="Times New Roman" w:hAnsi="Times New Roman"/>
                <w:sz w:val="19"/>
                <w:szCs w:val="19"/>
                <w:color w:val="231F20"/>
              </w:rPr>
              <w:t>Report on Form 10-K filed on February 20, 2019).</w:t>
            </w:r>
          </w:p>
        </w:tc>
        <w:tc>
          <w:tcPr>
            <w:tcW w:w="5420" w:type="dxa"/>
            <w:vAlign w:val="bottom"/>
          </w:tcPr>
          <w:p>
            <w:pPr>
              <w:spacing w:after="0"/>
              <w:rPr>
                <w:sz w:val="21"/>
                <w:szCs w:val="21"/>
                <w:color w:val="auto"/>
              </w:rPr>
            </w:pPr>
          </w:p>
        </w:tc>
      </w:tr>
      <w:tr>
        <w:trPr>
          <w:trHeight w:val="312"/>
        </w:trPr>
        <w:tc>
          <w:tcPr>
            <w:tcW w:w="760" w:type="dxa"/>
            <w:vAlign w:val="bottom"/>
          </w:tcPr>
          <w:p>
            <w:pPr>
              <w:spacing w:after="0"/>
              <w:rPr>
                <w:sz w:val="20"/>
                <w:szCs w:val="20"/>
                <w:color w:val="auto"/>
              </w:rPr>
            </w:pPr>
            <w:r>
              <w:rPr>
                <w:rFonts w:ascii="Times New Roman" w:cs="Times New Roman" w:eastAsia="Times New Roman" w:hAnsi="Times New Roman"/>
                <w:sz w:val="19"/>
                <w:szCs w:val="19"/>
                <w:color w:val="231F20"/>
              </w:rPr>
              <w:t>10.17</w:t>
            </w:r>
          </w:p>
        </w:tc>
        <w:tc>
          <w:tcPr>
            <w:tcW w:w="140" w:type="dxa"/>
            <w:vAlign w:val="bottom"/>
          </w:tcPr>
          <w:p>
            <w:pPr>
              <w:spacing w:after="0"/>
              <w:rPr>
                <w:sz w:val="24"/>
                <w:szCs w:val="24"/>
                <w:color w:val="auto"/>
              </w:rPr>
            </w:pPr>
          </w:p>
        </w:tc>
        <w:tc>
          <w:tcPr>
            <w:tcW w:w="9300" w:type="dxa"/>
            <w:vAlign w:val="bottom"/>
            <w:gridSpan w:val="3"/>
          </w:tcPr>
          <w:p>
            <w:pPr>
              <w:spacing w:after="0"/>
              <w:rPr>
                <w:sz w:val="20"/>
                <w:szCs w:val="20"/>
                <w:color w:val="auto"/>
              </w:rPr>
            </w:pPr>
            <w:r>
              <w:rPr>
                <w:rFonts w:ascii="Times New Roman" w:cs="Times New Roman" w:eastAsia="Times New Roman" w:hAnsi="Times New Roman"/>
                <w:sz w:val="19"/>
                <w:szCs w:val="19"/>
                <w:color w:val="231F20"/>
                <w:w w:val="99"/>
              </w:rPr>
              <w:t>Ninth Amendment to Second Amended and Restated Senior Secured Revolving Credit Agreement, dated as of January 31,</w:t>
            </w:r>
          </w:p>
        </w:tc>
      </w:tr>
      <w:tr>
        <w:trPr>
          <w:trHeight w:val="217"/>
        </w:trPr>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300" w:type="dxa"/>
            <w:vAlign w:val="bottom"/>
            <w:gridSpan w:val="3"/>
          </w:tcPr>
          <w:p>
            <w:pPr>
              <w:spacing w:after="0" w:line="217" w:lineRule="exact"/>
              <w:rPr>
                <w:sz w:val="20"/>
                <w:szCs w:val="20"/>
                <w:color w:val="auto"/>
              </w:rPr>
            </w:pPr>
            <w:r>
              <w:rPr>
                <w:rFonts w:ascii="Times New Roman" w:cs="Times New Roman" w:eastAsia="Times New Roman" w:hAnsi="Times New Roman"/>
                <w:sz w:val="19"/>
                <w:szCs w:val="19"/>
                <w:color w:val="231F20"/>
              </w:rPr>
              <w:t>2020, among TPG Specialty Lending, Inc., as Borrower, the Lenders party thereto and Truist Bank (as successor by</w:t>
            </w:r>
          </w:p>
        </w:tc>
      </w:tr>
      <w:tr>
        <w:trPr>
          <w:trHeight w:val="217"/>
        </w:trPr>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300" w:type="dxa"/>
            <w:vAlign w:val="bottom"/>
            <w:gridSpan w:val="3"/>
          </w:tcPr>
          <w:p>
            <w:pPr>
              <w:spacing w:after="0" w:line="217" w:lineRule="exact"/>
              <w:rPr>
                <w:sz w:val="20"/>
                <w:szCs w:val="20"/>
                <w:color w:val="auto"/>
              </w:rPr>
            </w:pPr>
            <w:r>
              <w:rPr>
                <w:rFonts w:ascii="Times New Roman" w:cs="Times New Roman" w:eastAsia="Times New Roman" w:hAnsi="Times New Roman"/>
                <w:sz w:val="19"/>
                <w:szCs w:val="19"/>
                <w:color w:val="231F20"/>
                <w:w w:val="99"/>
              </w:rPr>
              <w:t>merger to SunTrust Bank), as Administrative Agent. (incorporated by reference to Exhibit 10.17 to the Company’s Annual</w:t>
            </w:r>
          </w:p>
        </w:tc>
      </w:tr>
      <w:tr>
        <w:trPr>
          <w:trHeight w:val="252"/>
        </w:trPr>
        <w:tc>
          <w:tcPr>
            <w:tcW w:w="7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880" w:type="dxa"/>
            <w:vAlign w:val="bottom"/>
            <w:gridSpan w:val="2"/>
          </w:tcPr>
          <w:p>
            <w:pPr>
              <w:spacing w:after="0"/>
              <w:rPr>
                <w:sz w:val="20"/>
                <w:szCs w:val="20"/>
                <w:color w:val="auto"/>
              </w:rPr>
            </w:pPr>
            <w:r>
              <w:rPr>
                <w:rFonts w:ascii="Times New Roman" w:cs="Times New Roman" w:eastAsia="Times New Roman" w:hAnsi="Times New Roman"/>
                <w:sz w:val="19"/>
                <w:szCs w:val="19"/>
                <w:color w:val="231F20"/>
              </w:rPr>
              <w:t>Report on Form 10-K filed on February 19, 2020).</w:t>
            </w:r>
          </w:p>
        </w:tc>
        <w:tc>
          <w:tcPr>
            <w:tcW w:w="5420" w:type="dxa"/>
            <w:vAlign w:val="bottom"/>
          </w:tcPr>
          <w:p>
            <w:pPr>
              <w:spacing w:after="0"/>
              <w:rPr>
                <w:sz w:val="21"/>
                <w:szCs w:val="21"/>
                <w:color w:val="auto"/>
              </w:rPr>
            </w:pPr>
          </w:p>
        </w:tc>
      </w:tr>
      <w:tr>
        <w:trPr>
          <w:trHeight w:val="312"/>
        </w:trPr>
        <w:tc>
          <w:tcPr>
            <w:tcW w:w="760" w:type="dxa"/>
            <w:vAlign w:val="bottom"/>
          </w:tcPr>
          <w:p>
            <w:pPr>
              <w:spacing w:after="0"/>
              <w:rPr>
                <w:sz w:val="20"/>
                <w:szCs w:val="20"/>
                <w:color w:val="auto"/>
              </w:rPr>
            </w:pPr>
            <w:r>
              <w:rPr>
                <w:rFonts w:ascii="Times New Roman" w:cs="Times New Roman" w:eastAsia="Times New Roman" w:hAnsi="Times New Roman"/>
                <w:sz w:val="19"/>
                <w:szCs w:val="19"/>
                <w:color w:val="231F20"/>
              </w:rPr>
              <w:t>10.18</w:t>
            </w:r>
          </w:p>
        </w:tc>
        <w:tc>
          <w:tcPr>
            <w:tcW w:w="140" w:type="dxa"/>
            <w:vAlign w:val="bottom"/>
          </w:tcPr>
          <w:p>
            <w:pPr>
              <w:spacing w:after="0"/>
              <w:rPr>
                <w:sz w:val="24"/>
                <w:szCs w:val="24"/>
                <w:color w:val="auto"/>
              </w:rPr>
            </w:pPr>
          </w:p>
        </w:tc>
        <w:tc>
          <w:tcPr>
            <w:tcW w:w="9300" w:type="dxa"/>
            <w:vAlign w:val="bottom"/>
            <w:gridSpan w:val="3"/>
          </w:tcPr>
          <w:p>
            <w:pPr>
              <w:spacing w:after="0"/>
              <w:rPr>
                <w:sz w:val="20"/>
                <w:szCs w:val="20"/>
                <w:color w:val="auto"/>
              </w:rPr>
            </w:pPr>
            <w:r>
              <w:rPr>
                <w:rFonts w:ascii="Times New Roman" w:cs="Times New Roman" w:eastAsia="Times New Roman" w:hAnsi="Times New Roman"/>
                <w:sz w:val="19"/>
                <w:szCs w:val="19"/>
                <w:color w:val="231F20"/>
                <w:w w:val="99"/>
              </w:rPr>
              <w:t>Tenth Amendment to Second Amended and Restated Senior Secured Revolving Credit Agreement, dated as of February 5,</w:t>
            </w:r>
          </w:p>
        </w:tc>
      </w:tr>
      <w:tr>
        <w:trPr>
          <w:trHeight w:val="217"/>
        </w:trPr>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300" w:type="dxa"/>
            <w:vAlign w:val="bottom"/>
            <w:gridSpan w:val="3"/>
          </w:tcPr>
          <w:p>
            <w:pPr>
              <w:spacing w:after="0" w:line="217" w:lineRule="exact"/>
              <w:rPr>
                <w:sz w:val="20"/>
                <w:szCs w:val="20"/>
                <w:color w:val="auto"/>
              </w:rPr>
            </w:pPr>
            <w:r>
              <w:rPr>
                <w:rFonts w:ascii="Times New Roman" w:cs="Times New Roman" w:eastAsia="Times New Roman" w:hAnsi="Times New Roman"/>
                <w:sz w:val="19"/>
                <w:szCs w:val="19"/>
                <w:color w:val="231F20"/>
                <w:w w:val="99"/>
              </w:rPr>
              <w:t>2021, among Sixth Street Specialty Lending, Inc., as Borrower, the Lenders party thereto and Truist Bank (as successor by</w:t>
            </w:r>
          </w:p>
        </w:tc>
      </w:tr>
      <w:tr>
        <w:trPr>
          <w:trHeight w:val="217"/>
        </w:trPr>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300" w:type="dxa"/>
            <w:vAlign w:val="bottom"/>
            <w:gridSpan w:val="3"/>
          </w:tcPr>
          <w:p>
            <w:pPr>
              <w:spacing w:after="0" w:line="217" w:lineRule="exact"/>
              <w:rPr>
                <w:sz w:val="20"/>
                <w:szCs w:val="20"/>
                <w:color w:val="auto"/>
              </w:rPr>
            </w:pPr>
            <w:r>
              <w:rPr>
                <w:rFonts w:ascii="Times New Roman" w:cs="Times New Roman" w:eastAsia="Times New Roman" w:hAnsi="Times New Roman"/>
                <w:sz w:val="19"/>
                <w:szCs w:val="19"/>
                <w:color w:val="231F20"/>
                <w:w w:val="99"/>
              </w:rPr>
              <w:t>merger to SunTrust Bank), as Administrative Agent (incorporated by reference to Exhibit 10.18 to the Company’s Annual</w:t>
            </w:r>
          </w:p>
        </w:tc>
      </w:tr>
      <w:tr>
        <w:trPr>
          <w:trHeight w:val="252"/>
        </w:trPr>
        <w:tc>
          <w:tcPr>
            <w:tcW w:w="7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880" w:type="dxa"/>
            <w:vAlign w:val="bottom"/>
            <w:gridSpan w:val="2"/>
          </w:tcPr>
          <w:p>
            <w:pPr>
              <w:spacing w:after="0"/>
              <w:rPr>
                <w:sz w:val="20"/>
                <w:szCs w:val="20"/>
                <w:color w:val="auto"/>
              </w:rPr>
            </w:pPr>
            <w:r>
              <w:rPr>
                <w:rFonts w:ascii="Times New Roman" w:cs="Times New Roman" w:eastAsia="Times New Roman" w:hAnsi="Times New Roman"/>
                <w:sz w:val="19"/>
                <w:szCs w:val="19"/>
                <w:color w:val="231F20"/>
              </w:rPr>
              <w:t>Report on Form 10-K filed on February 17, 2021).</w:t>
            </w:r>
          </w:p>
        </w:tc>
        <w:tc>
          <w:tcPr>
            <w:tcW w:w="5420" w:type="dxa"/>
            <w:vAlign w:val="bottom"/>
          </w:tcPr>
          <w:p>
            <w:pPr>
              <w:spacing w:after="0"/>
              <w:rPr>
                <w:sz w:val="21"/>
                <w:szCs w:val="21"/>
                <w:color w:val="auto"/>
              </w:rPr>
            </w:pPr>
          </w:p>
        </w:tc>
      </w:tr>
      <w:tr>
        <w:trPr>
          <w:trHeight w:val="399"/>
        </w:trPr>
        <w:tc>
          <w:tcPr>
            <w:tcW w:w="760" w:type="dxa"/>
            <w:vAlign w:val="bottom"/>
          </w:tcPr>
          <w:p>
            <w:pPr>
              <w:spacing w:after="0"/>
              <w:rPr>
                <w:sz w:val="20"/>
                <w:szCs w:val="20"/>
                <w:color w:val="auto"/>
              </w:rPr>
            </w:pPr>
            <w:r>
              <w:rPr>
                <w:rFonts w:ascii="Times New Roman" w:cs="Times New Roman" w:eastAsia="Times New Roman" w:hAnsi="Times New Roman"/>
                <w:sz w:val="19"/>
                <w:szCs w:val="19"/>
                <w:color w:val="231F20"/>
              </w:rPr>
              <w:t>10.19</w:t>
            </w:r>
          </w:p>
        </w:tc>
        <w:tc>
          <w:tcPr>
            <w:tcW w:w="140" w:type="dxa"/>
            <w:vAlign w:val="bottom"/>
          </w:tcPr>
          <w:p>
            <w:pPr>
              <w:spacing w:after="0"/>
              <w:rPr>
                <w:sz w:val="24"/>
                <w:szCs w:val="24"/>
                <w:color w:val="auto"/>
              </w:rPr>
            </w:pPr>
          </w:p>
        </w:tc>
        <w:tc>
          <w:tcPr>
            <w:tcW w:w="3620" w:type="dxa"/>
            <w:vAlign w:val="bottom"/>
          </w:tcPr>
          <w:p>
            <w:pPr>
              <w:spacing w:after="0"/>
              <w:rPr>
                <w:sz w:val="20"/>
                <w:szCs w:val="20"/>
                <w:color w:val="auto"/>
              </w:rPr>
            </w:pPr>
            <w:r>
              <w:rPr>
                <w:rFonts w:ascii="Times New Roman" w:cs="Times New Roman" w:eastAsia="Times New Roman" w:hAnsi="Times New Roman"/>
                <w:sz w:val="19"/>
                <w:szCs w:val="19"/>
                <w:color w:val="231F20"/>
              </w:rPr>
              <w:t>Eleventh Amendment to Second Amended and</w:t>
            </w:r>
          </w:p>
        </w:tc>
        <w:tc>
          <w:tcPr>
            <w:tcW w:w="5680" w:type="dxa"/>
            <w:vAlign w:val="bottom"/>
            <w:gridSpan w:val="2"/>
          </w:tcPr>
          <w:p>
            <w:pPr>
              <w:ind w:left="120"/>
              <w:spacing w:after="0"/>
              <w:rPr>
                <w:sz w:val="20"/>
                <w:szCs w:val="20"/>
                <w:color w:val="auto"/>
              </w:rPr>
            </w:pPr>
            <w:r>
              <w:rPr>
                <w:rFonts w:ascii="Times New Roman" w:cs="Times New Roman" w:eastAsia="Times New Roman" w:hAnsi="Times New Roman"/>
                <w:sz w:val="19"/>
                <w:szCs w:val="19"/>
                <w:color w:val="231F20"/>
              </w:rPr>
              <w:t>Restated Senior Secured Revolving Credit Agreement, dated as of</w:t>
            </w:r>
          </w:p>
        </w:tc>
      </w:tr>
      <w:tr>
        <w:trPr>
          <w:trHeight w:val="217"/>
        </w:trPr>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80" w:type="dxa"/>
            <w:vAlign w:val="bottom"/>
            <w:gridSpan w:val="2"/>
          </w:tcPr>
          <w:p>
            <w:pPr>
              <w:spacing w:after="0" w:line="217" w:lineRule="exact"/>
              <w:rPr>
                <w:sz w:val="20"/>
                <w:szCs w:val="20"/>
                <w:color w:val="auto"/>
              </w:rPr>
            </w:pPr>
            <w:r>
              <w:rPr>
                <w:rFonts w:ascii="Times New Roman" w:cs="Times New Roman" w:eastAsia="Times New Roman" w:hAnsi="Times New Roman"/>
                <w:sz w:val="19"/>
                <w:szCs w:val="19"/>
                <w:color w:val="231F20"/>
              </w:rPr>
              <w:t>December 21, 2021, among Sixth Street Specialty</w:t>
            </w:r>
          </w:p>
        </w:tc>
        <w:tc>
          <w:tcPr>
            <w:tcW w:w="5420" w:type="dxa"/>
            <w:vAlign w:val="bottom"/>
          </w:tcPr>
          <w:p>
            <w:pPr>
              <w:ind w:left="80"/>
              <w:spacing w:after="0" w:line="217" w:lineRule="exact"/>
              <w:rPr>
                <w:sz w:val="20"/>
                <w:szCs w:val="20"/>
                <w:color w:val="auto"/>
              </w:rPr>
            </w:pPr>
            <w:r>
              <w:rPr>
                <w:rFonts w:ascii="Times New Roman" w:cs="Times New Roman" w:eastAsia="Times New Roman" w:hAnsi="Times New Roman"/>
                <w:sz w:val="19"/>
                <w:szCs w:val="19"/>
                <w:color w:val="231F20"/>
              </w:rPr>
              <w:t>Lending, Inc., as Borrower, the Lenders party thereto and Truist Bank</w:t>
            </w:r>
          </w:p>
        </w:tc>
      </w:tr>
      <w:tr>
        <w:trPr>
          <w:trHeight w:val="217"/>
        </w:trPr>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20" w:type="dxa"/>
            <w:vAlign w:val="bottom"/>
          </w:tcPr>
          <w:p>
            <w:pPr>
              <w:spacing w:after="0" w:line="217" w:lineRule="exact"/>
              <w:rPr>
                <w:sz w:val="20"/>
                <w:szCs w:val="20"/>
                <w:color w:val="auto"/>
              </w:rPr>
            </w:pPr>
            <w:r>
              <w:rPr>
                <w:rFonts w:ascii="Times New Roman" w:cs="Times New Roman" w:eastAsia="Times New Roman" w:hAnsi="Times New Roman"/>
                <w:sz w:val="19"/>
                <w:szCs w:val="19"/>
                <w:color w:val="231F20"/>
              </w:rPr>
              <w:t>(as successor by merger to SunTrust Bank), as</w:t>
            </w:r>
          </w:p>
        </w:tc>
        <w:tc>
          <w:tcPr>
            <w:tcW w:w="5680" w:type="dxa"/>
            <w:vAlign w:val="bottom"/>
            <w:gridSpan w:val="2"/>
          </w:tcPr>
          <w:p>
            <w:pPr>
              <w:ind w:left="80"/>
              <w:spacing w:after="0" w:line="217" w:lineRule="exact"/>
              <w:rPr>
                <w:sz w:val="20"/>
                <w:szCs w:val="20"/>
                <w:color w:val="auto"/>
              </w:rPr>
            </w:pPr>
            <w:r>
              <w:rPr>
                <w:rFonts w:ascii="Times New Roman" w:cs="Times New Roman" w:eastAsia="Times New Roman" w:hAnsi="Times New Roman"/>
                <w:sz w:val="19"/>
                <w:szCs w:val="19"/>
                <w:color w:val="231F20"/>
              </w:rPr>
              <w:t>Administrative Agent (incorporated by reference to Exhibit 10.19 to the</w:t>
            </w:r>
          </w:p>
        </w:tc>
      </w:tr>
      <w:tr>
        <w:trPr>
          <w:trHeight w:val="252"/>
        </w:trPr>
        <w:tc>
          <w:tcPr>
            <w:tcW w:w="7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880" w:type="dxa"/>
            <w:vAlign w:val="bottom"/>
            <w:gridSpan w:val="2"/>
          </w:tcPr>
          <w:p>
            <w:pPr>
              <w:spacing w:after="0"/>
              <w:rPr>
                <w:sz w:val="20"/>
                <w:szCs w:val="20"/>
                <w:color w:val="auto"/>
              </w:rPr>
            </w:pPr>
            <w:r>
              <w:rPr>
                <w:rFonts w:ascii="Times New Roman" w:cs="Times New Roman" w:eastAsia="Times New Roman" w:hAnsi="Times New Roman"/>
                <w:sz w:val="19"/>
                <w:szCs w:val="19"/>
                <w:color w:val="231F20"/>
              </w:rPr>
              <w:t>Company’s Annual Report on Form 10-K filed on</w:t>
            </w:r>
          </w:p>
        </w:tc>
        <w:tc>
          <w:tcPr>
            <w:tcW w:w="5420" w:type="dxa"/>
            <w:vAlign w:val="bottom"/>
          </w:tcPr>
          <w:p>
            <w:pPr>
              <w:ind w:left="100"/>
              <w:spacing w:after="0"/>
              <w:rPr>
                <w:sz w:val="20"/>
                <w:szCs w:val="20"/>
                <w:color w:val="auto"/>
              </w:rPr>
            </w:pPr>
            <w:r>
              <w:rPr>
                <w:rFonts w:ascii="Times New Roman" w:cs="Times New Roman" w:eastAsia="Times New Roman" w:hAnsi="Times New Roman"/>
                <w:sz w:val="19"/>
                <w:szCs w:val="19"/>
                <w:color w:val="231F20"/>
              </w:rPr>
              <w:t>February 17, 2022).</w:t>
            </w:r>
          </w:p>
        </w:tc>
      </w:tr>
      <w:tr>
        <w:trPr>
          <w:trHeight w:val="399"/>
        </w:trPr>
        <w:tc>
          <w:tcPr>
            <w:tcW w:w="760" w:type="dxa"/>
            <w:vAlign w:val="bottom"/>
          </w:tcPr>
          <w:p>
            <w:pPr>
              <w:spacing w:after="0"/>
              <w:rPr>
                <w:sz w:val="20"/>
                <w:szCs w:val="20"/>
                <w:color w:val="auto"/>
              </w:rPr>
            </w:pPr>
            <w:r>
              <w:rPr>
                <w:rFonts w:ascii="Times New Roman" w:cs="Times New Roman" w:eastAsia="Times New Roman" w:hAnsi="Times New Roman"/>
                <w:sz w:val="19"/>
                <w:szCs w:val="19"/>
                <w:color w:val="231F20"/>
              </w:rPr>
              <w:t>10.20</w:t>
            </w:r>
          </w:p>
        </w:tc>
        <w:tc>
          <w:tcPr>
            <w:tcW w:w="140" w:type="dxa"/>
            <w:vAlign w:val="bottom"/>
          </w:tcPr>
          <w:p>
            <w:pPr>
              <w:spacing w:after="0"/>
              <w:rPr>
                <w:sz w:val="24"/>
                <w:szCs w:val="24"/>
                <w:color w:val="auto"/>
              </w:rPr>
            </w:pPr>
          </w:p>
        </w:tc>
        <w:tc>
          <w:tcPr>
            <w:tcW w:w="9300" w:type="dxa"/>
            <w:vAlign w:val="bottom"/>
            <w:gridSpan w:val="3"/>
          </w:tcPr>
          <w:p>
            <w:pPr>
              <w:spacing w:after="0"/>
              <w:rPr>
                <w:sz w:val="20"/>
                <w:szCs w:val="20"/>
                <w:color w:val="auto"/>
              </w:rPr>
            </w:pPr>
            <w:r>
              <w:rPr>
                <w:rFonts w:ascii="Times New Roman" w:cs="Times New Roman" w:eastAsia="Times New Roman" w:hAnsi="Times New Roman"/>
                <w:sz w:val="19"/>
                <w:szCs w:val="19"/>
                <w:color w:val="231F20"/>
                <w:w w:val="99"/>
              </w:rPr>
              <w:t>Twelfth Amendment to Second Amended and Restated Senior Secured Revolving Credit Agreement, dated as of April 25,</w:t>
            </w:r>
          </w:p>
        </w:tc>
      </w:tr>
      <w:tr>
        <w:trPr>
          <w:trHeight w:val="217"/>
        </w:trPr>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300" w:type="dxa"/>
            <w:vAlign w:val="bottom"/>
            <w:gridSpan w:val="3"/>
          </w:tcPr>
          <w:p>
            <w:pPr>
              <w:spacing w:after="0" w:line="217" w:lineRule="exact"/>
              <w:rPr>
                <w:sz w:val="20"/>
                <w:szCs w:val="20"/>
                <w:color w:val="auto"/>
              </w:rPr>
            </w:pPr>
            <w:r>
              <w:rPr>
                <w:rFonts w:ascii="Times New Roman" w:cs="Times New Roman" w:eastAsia="Times New Roman" w:hAnsi="Times New Roman"/>
                <w:sz w:val="19"/>
                <w:szCs w:val="19"/>
                <w:color w:val="231F20"/>
                <w:w w:val="99"/>
              </w:rPr>
              <w:t>2022, among Sixth Street Specialty Lending, Inc., as Borrower, the Lenders party thereto and Truist Bank (as successor by</w:t>
            </w:r>
          </w:p>
        </w:tc>
      </w:tr>
      <w:tr>
        <w:trPr>
          <w:trHeight w:val="217"/>
        </w:trPr>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300" w:type="dxa"/>
            <w:vAlign w:val="bottom"/>
            <w:gridSpan w:val="3"/>
          </w:tcPr>
          <w:p>
            <w:pPr>
              <w:spacing w:after="0" w:line="217" w:lineRule="exact"/>
              <w:rPr>
                <w:sz w:val="20"/>
                <w:szCs w:val="20"/>
                <w:color w:val="auto"/>
              </w:rPr>
            </w:pPr>
            <w:r>
              <w:rPr>
                <w:rFonts w:ascii="Times New Roman" w:cs="Times New Roman" w:eastAsia="Times New Roman" w:hAnsi="Times New Roman"/>
                <w:sz w:val="19"/>
                <w:szCs w:val="19"/>
                <w:color w:val="231F20"/>
                <w:w w:val="99"/>
              </w:rPr>
              <w:t>merger to SunTrust Bank), as Administrative Agent (incorporated by reference to Exhibit 10.1 to the Company’s Quarterly</w:t>
            </w:r>
          </w:p>
        </w:tc>
      </w:tr>
      <w:tr>
        <w:trPr>
          <w:trHeight w:val="252"/>
        </w:trPr>
        <w:tc>
          <w:tcPr>
            <w:tcW w:w="7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620" w:type="dxa"/>
            <w:vAlign w:val="bottom"/>
          </w:tcPr>
          <w:p>
            <w:pPr>
              <w:spacing w:after="0"/>
              <w:rPr>
                <w:sz w:val="20"/>
                <w:szCs w:val="20"/>
                <w:color w:val="auto"/>
              </w:rPr>
            </w:pPr>
            <w:r>
              <w:rPr>
                <w:rFonts w:ascii="Times New Roman" w:cs="Times New Roman" w:eastAsia="Times New Roman" w:hAnsi="Times New Roman"/>
                <w:sz w:val="19"/>
                <w:szCs w:val="19"/>
                <w:color w:val="231F20"/>
              </w:rPr>
              <w:t>Report on Form 10-Q filed on May 5, 2022).</w:t>
            </w:r>
          </w:p>
        </w:tc>
        <w:tc>
          <w:tcPr>
            <w:tcW w:w="260" w:type="dxa"/>
            <w:vAlign w:val="bottom"/>
          </w:tcPr>
          <w:p>
            <w:pPr>
              <w:spacing w:after="0"/>
              <w:rPr>
                <w:sz w:val="21"/>
                <w:szCs w:val="21"/>
                <w:color w:val="auto"/>
              </w:rPr>
            </w:pPr>
          </w:p>
        </w:tc>
        <w:tc>
          <w:tcPr>
            <w:tcW w:w="5420" w:type="dxa"/>
            <w:vAlign w:val="bottom"/>
          </w:tcPr>
          <w:p>
            <w:pPr>
              <w:spacing w:after="0"/>
              <w:rPr>
                <w:sz w:val="21"/>
                <w:szCs w:val="21"/>
                <w:color w:val="auto"/>
              </w:rPr>
            </w:pPr>
          </w:p>
        </w:tc>
      </w:tr>
    </w:tbl>
    <w:p>
      <w:pPr>
        <w:spacing w:after="0" w:line="182" w:lineRule="exact"/>
        <w:rPr>
          <w:sz w:val="20"/>
          <w:szCs w:val="20"/>
          <w:color w:val="auto"/>
        </w:rPr>
      </w:pPr>
    </w:p>
    <w:p>
      <w:pPr>
        <w:ind w:left="900" w:right="200" w:hanging="893"/>
        <w:spacing w:after="0" w:line="250" w:lineRule="auto"/>
        <w:tabs>
          <w:tab w:leader="none" w:pos="880" w:val="left"/>
        </w:tabs>
        <w:rPr>
          <w:sz w:val="20"/>
          <w:szCs w:val="20"/>
          <w:color w:val="auto"/>
        </w:rPr>
      </w:pPr>
      <w:r>
        <w:rPr>
          <w:rFonts w:ascii="Times New Roman" w:cs="Times New Roman" w:eastAsia="Times New Roman" w:hAnsi="Times New Roman"/>
          <w:sz w:val="19"/>
          <w:szCs w:val="19"/>
          <w:color w:val="231F20"/>
        </w:rPr>
        <w:t>10.21</w:t>
      </w:r>
      <w:r>
        <w:rPr>
          <w:sz w:val="20"/>
          <w:szCs w:val="20"/>
          <w:color w:val="auto"/>
        </w:rPr>
        <w:tab/>
      </w:r>
      <w:r>
        <w:rPr>
          <w:rFonts w:ascii="Times New Roman" w:cs="Times New Roman" w:eastAsia="Times New Roman" w:hAnsi="Times New Roman"/>
          <w:sz w:val="19"/>
          <w:szCs w:val="19"/>
          <w:color w:val="231F20"/>
        </w:rPr>
        <w:t>Thirteenth Amendment to Second Amended and Restated Senior Secured Revolving Credit Agreement, dated as of May 19, 2022, among Sixth Street Specialty Lending, Inc., as Borrower, the Lenders party thereto and Truist Bank (as successor by merger to SunTrust Bank), as Administrative Agent (incorporated by reference to Exhibit 10.2 to the Company’s Quarterly Report on Form 10-Q filed on August 2, 2022).</w:t>
      </w:r>
    </w:p>
    <w:p>
      <w:pPr>
        <w:spacing w:after="0" w:line="176" w:lineRule="exact"/>
        <w:rPr>
          <w:sz w:val="20"/>
          <w:szCs w:val="20"/>
          <w:color w:val="auto"/>
        </w:rPr>
      </w:pPr>
    </w:p>
    <w:p>
      <w:pPr>
        <w:ind w:left="900" w:right="160" w:hanging="893"/>
        <w:spacing w:after="0" w:line="250" w:lineRule="auto"/>
        <w:tabs>
          <w:tab w:leader="none" w:pos="880" w:val="left"/>
        </w:tabs>
        <w:rPr>
          <w:sz w:val="20"/>
          <w:szCs w:val="20"/>
          <w:color w:val="auto"/>
        </w:rPr>
      </w:pPr>
      <w:r>
        <w:rPr>
          <w:rFonts w:ascii="Times New Roman" w:cs="Times New Roman" w:eastAsia="Times New Roman" w:hAnsi="Times New Roman"/>
          <w:sz w:val="19"/>
          <w:szCs w:val="19"/>
          <w:color w:val="231F20"/>
        </w:rPr>
        <w:t>10.22</w:t>
      </w:r>
      <w:r>
        <w:rPr>
          <w:sz w:val="20"/>
          <w:szCs w:val="20"/>
          <w:color w:val="auto"/>
        </w:rPr>
        <w:tab/>
      </w:r>
      <w:r>
        <w:rPr>
          <w:rFonts w:ascii="Times New Roman" w:cs="Times New Roman" w:eastAsia="Times New Roman" w:hAnsi="Times New Roman"/>
          <w:sz w:val="19"/>
          <w:szCs w:val="19"/>
          <w:color w:val="231F20"/>
        </w:rPr>
        <w:t>Fourteenth Amendment to Second Amended and Restated Senior Secured Revolving Credit Agreement, dated as of June 12, 2023, among Sixth Street Specialty Lending, Inc., as Borrower, the Lenders party thereto and Truist Bank (as successor by merger to SunTrust Bank), as Administrative Agent (incorporated by reference to Exhibit 10.1 to the Company’s Quarterly Report on Form 10-Q filed on August 3, 2023).</w:t>
      </w:r>
    </w:p>
    <w:p>
      <w:pPr>
        <w:spacing w:after="0" w:line="176" w:lineRule="exact"/>
        <w:rPr>
          <w:sz w:val="20"/>
          <w:szCs w:val="20"/>
          <w:color w:val="auto"/>
        </w:rPr>
      </w:pPr>
    </w:p>
    <w:p>
      <w:pPr>
        <w:ind w:left="900" w:right="260" w:hanging="893"/>
        <w:spacing w:after="0" w:line="250" w:lineRule="auto"/>
        <w:tabs>
          <w:tab w:leader="none" w:pos="880" w:val="left"/>
        </w:tabs>
        <w:rPr>
          <w:sz w:val="20"/>
          <w:szCs w:val="20"/>
          <w:color w:val="auto"/>
        </w:rPr>
      </w:pPr>
      <w:r>
        <w:rPr>
          <w:rFonts w:ascii="Times New Roman" w:cs="Times New Roman" w:eastAsia="Times New Roman" w:hAnsi="Times New Roman"/>
          <w:sz w:val="19"/>
          <w:szCs w:val="19"/>
          <w:color w:val="231F20"/>
        </w:rPr>
        <w:t>10.23</w:t>
      </w:r>
      <w:r>
        <w:rPr>
          <w:sz w:val="20"/>
          <w:szCs w:val="20"/>
          <w:color w:val="auto"/>
        </w:rPr>
        <w:tab/>
      </w:r>
      <w:r>
        <w:rPr>
          <w:rFonts w:ascii="Times New Roman" w:cs="Times New Roman" w:eastAsia="Times New Roman" w:hAnsi="Times New Roman"/>
          <w:sz w:val="19"/>
          <w:szCs w:val="19"/>
          <w:color w:val="231F20"/>
        </w:rPr>
        <w:t>Fifteenth Amendment to Second Amended and Restated Senior Secured Revolving Credit Agreement, dated as of April 24, 2024, among Sixth Street Specialty Lending, Inc., as Borrower, the Lenders party thereto and Truist Bank (as successor by merger to SunTrust Bank), as Administrative Agent (incorporated by reference to Exhibit 10.1 to the Company’s Quarterly Report on Form 10-Q filed on July 31, 2024).</w:t>
      </w:r>
    </w:p>
    <w:p>
      <w:pPr>
        <w:spacing w:after="0" w:line="176"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9"/>
          <w:szCs w:val="19"/>
          <w:color w:val="231F20"/>
        </w:rPr>
        <w:t>19.1</w:t>
      </w:r>
      <w:r>
        <w:rPr>
          <w:sz w:val="20"/>
          <w:szCs w:val="20"/>
          <w:color w:val="auto"/>
        </w:rPr>
        <w:tab/>
      </w:r>
      <w:r>
        <w:rPr>
          <w:rFonts w:ascii="Times New Roman" w:cs="Times New Roman" w:eastAsia="Times New Roman" w:hAnsi="Times New Roman"/>
          <w:sz w:val="18"/>
          <w:szCs w:val="18"/>
          <w:color w:val="231F20"/>
        </w:rPr>
        <w:t>Sixth Street Specialty Lending, Inc.’s Statement of Policy on Insider Trading.</w:t>
      </w:r>
    </w:p>
    <w:p>
      <w:pPr>
        <w:spacing w:after="0" w:line="216"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9"/>
          <w:szCs w:val="19"/>
          <w:color w:val="231F20"/>
        </w:rPr>
        <w:t>21.1</w:t>
      </w:r>
      <w:r>
        <w:rPr>
          <w:sz w:val="20"/>
          <w:szCs w:val="20"/>
          <w:color w:val="auto"/>
        </w:rPr>
        <w:tab/>
      </w:r>
      <w:r>
        <w:rPr>
          <w:rFonts w:ascii="Times New Roman" w:cs="Times New Roman" w:eastAsia="Times New Roman" w:hAnsi="Times New Roman"/>
          <w:sz w:val="18"/>
          <w:szCs w:val="18"/>
          <w:color w:val="231F20"/>
        </w:rPr>
        <w:t>Subsidiaries of Sixth Street Specialty Lending, Inc.</w:t>
      </w:r>
    </w:p>
    <w:p>
      <w:pPr>
        <w:spacing w:after="0" w:line="129"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9"/>
          <w:szCs w:val="19"/>
          <w:color w:val="231F20"/>
        </w:rPr>
        <w:t>23.1</w:t>
      </w:r>
      <w:r>
        <w:rPr>
          <w:sz w:val="20"/>
          <w:szCs w:val="20"/>
          <w:color w:val="auto"/>
        </w:rPr>
        <w:tab/>
      </w:r>
      <w:r>
        <w:rPr>
          <w:rFonts w:ascii="Times New Roman" w:cs="Times New Roman" w:eastAsia="Times New Roman" w:hAnsi="Times New Roman"/>
          <w:sz w:val="18"/>
          <w:szCs w:val="18"/>
          <w:color w:val="231F20"/>
        </w:rPr>
        <w:t>Consent of Independent Registered Public Accounting Firm</w:t>
      </w:r>
    </w:p>
    <w:p>
      <w:pPr>
        <w:sectPr>
          <w:pgSz w:w="12240" w:h="15840" w:orient="portrait"/>
          <w:cols w:equalWidth="0" w:num="1">
            <w:col w:w="10200"/>
          </w:cols>
          <w:pgMar w:left="1020" w:top="1321" w:right="1020" w:bottom="57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231F20"/>
        </w:rPr>
        <w:t>93</w:t>
      </w:r>
    </w:p>
    <w:p>
      <w:pPr>
        <w:sectPr>
          <w:pgSz w:w="12240" w:h="15840" w:orient="portrait"/>
          <w:cols w:equalWidth="0" w:num="1">
            <w:col w:w="10200"/>
          </w:cols>
          <w:pgMar w:left="1020" w:top="1321" w:right="1020" w:bottom="574" w:gutter="0" w:footer="0" w:header="0"/>
          <w:type w:val="continuous"/>
        </w:sectPr>
      </w:pPr>
    </w:p>
    <w:bookmarkStart w:id="148" w:name="page149"/>
    <w:bookmarkEnd w:id="148"/>
    <w:p>
      <w:pPr>
        <w:spacing w:after="0"/>
        <w:tabs>
          <w:tab w:leader="none" w:pos="880" w:val="left"/>
        </w:tabs>
        <w:rPr>
          <w:sz w:val="20"/>
          <w:szCs w:val="20"/>
          <w:color w:val="auto"/>
        </w:rPr>
      </w:pPr>
      <w:r>
        <w:rPr>
          <w:rFonts w:ascii="Times New Roman" w:cs="Times New Roman" w:eastAsia="Times New Roman" w:hAnsi="Times New Roman"/>
          <w:sz w:val="15"/>
          <w:szCs w:val="15"/>
          <w:u w:val="single" w:color="auto"/>
          <w:color w:val="231F20"/>
        </w:rPr>
        <w:t>Exhibit No</w:t>
      </w:r>
      <w:r>
        <w:rPr>
          <w:sz w:val="20"/>
          <w:szCs w:val="20"/>
          <w:color w:val="auto"/>
        </w:rPr>
        <w:tab/>
      </w:r>
      <w:r>
        <w:rPr>
          <w:rFonts w:ascii="Times New Roman" w:cs="Times New Roman" w:eastAsia="Times New Roman" w:hAnsi="Times New Roman"/>
          <w:sz w:val="14"/>
          <w:szCs w:val="14"/>
          <w:color w:val="231F20"/>
        </w:rPr>
        <w:t>Description of Exhibits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567690</wp:posOffset>
                </wp:positionH>
                <wp:positionV relativeFrom="paragraph">
                  <wp:posOffset>13335</wp:posOffset>
                </wp:positionV>
                <wp:extent cx="5909310" cy="0"/>
                <wp:wrapNone/>
                <wp:docPr id="107" name="Shape 10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09310" cy="4763"/>
                        </a:xfrm>
                        <a:prstGeom prst="line">
                          <a:avLst/>
                        </a:prstGeom>
                        <a:solidFill>
                          <a:srgbClr val="FFFFFF"/>
                        </a:solidFill>
                        <a:ln w="5994">
                          <a:solidFill>
                            <a:srgbClr val="231F20"/>
                          </a:solidFill>
                          <a:miter lim="800000"/>
                          <a:headEnd/>
                          <a:tailEnd/>
                        </a:ln>
                      </wps:spPr>
                      <wps:bodyPr/>
                    </wps:wsp>
                  </a:graphicData>
                </a:graphic>
              </wp:anchor>
            </w:drawing>
          </mc:Choice>
          <mc:Fallback>
            <w:pict>
              <v:line id="Shape 107" o:spid="_x0000_s113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4.7pt,1.05pt" to="510pt,1.05pt" o:allowincell="f" strokecolor="#231F20" strokeweight="0.472pt"/>
            </w:pict>
          </mc:Fallback>
        </mc:AlternateContent>
      </w:r>
    </w:p>
    <w:p>
      <w:pPr>
        <w:spacing w:after="0" w:line="247" w:lineRule="exact"/>
        <w:rPr>
          <w:sz w:val="20"/>
          <w:szCs w:val="20"/>
          <w:color w:val="auto"/>
        </w:rPr>
      </w:pPr>
    </w:p>
    <w:p>
      <w:pPr>
        <w:ind w:left="900" w:right="180" w:hanging="893"/>
        <w:spacing w:after="0" w:line="275" w:lineRule="auto"/>
        <w:tabs>
          <w:tab w:leader="none" w:pos="880" w:val="left"/>
        </w:tabs>
        <w:rPr>
          <w:sz w:val="20"/>
          <w:szCs w:val="20"/>
          <w:color w:val="auto"/>
        </w:rPr>
      </w:pPr>
      <w:r>
        <w:rPr>
          <w:rFonts w:ascii="Times New Roman" w:cs="Times New Roman" w:eastAsia="Times New Roman" w:hAnsi="Times New Roman"/>
          <w:sz w:val="19"/>
          <w:szCs w:val="19"/>
          <w:color w:val="231F20"/>
        </w:rPr>
        <w:t>31.1</w:t>
      </w:r>
      <w:r>
        <w:rPr>
          <w:sz w:val="20"/>
          <w:szCs w:val="20"/>
          <w:color w:val="auto"/>
        </w:rPr>
        <w:tab/>
      </w:r>
      <w:r>
        <w:rPr>
          <w:rFonts w:ascii="Times New Roman" w:cs="Times New Roman" w:eastAsia="Times New Roman" w:hAnsi="Times New Roman"/>
          <w:sz w:val="19"/>
          <w:szCs w:val="19"/>
          <w:color w:val="231F20"/>
        </w:rPr>
        <w:t>Certification of Chief Executive Officer Pursuant to 18 U.S.C. Section 1350, as Adopted Pursuant to Section 302 of the Sarbanes-Oxley Act of 2002.</w:t>
      </w:r>
    </w:p>
    <w:p>
      <w:pPr>
        <w:spacing w:after="0" w:line="64" w:lineRule="exact"/>
        <w:rPr>
          <w:sz w:val="20"/>
          <w:szCs w:val="20"/>
          <w:color w:val="auto"/>
        </w:rPr>
      </w:pPr>
    </w:p>
    <w:p>
      <w:pPr>
        <w:ind w:left="900" w:right="220" w:hanging="893"/>
        <w:spacing w:after="0" w:line="275" w:lineRule="auto"/>
        <w:tabs>
          <w:tab w:leader="none" w:pos="880" w:val="left"/>
        </w:tabs>
        <w:rPr>
          <w:sz w:val="20"/>
          <w:szCs w:val="20"/>
          <w:color w:val="auto"/>
        </w:rPr>
      </w:pPr>
      <w:r>
        <w:rPr>
          <w:rFonts w:ascii="Times New Roman" w:cs="Times New Roman" w:eastAsia="Times New Roman" w:hAnsi="Times New Roman"/>
          <w:sz w:val="19"/>
          <w:szCs w:val="19"/>
          <w:color w:val="231F20"/>
        </w:rPr>
        <w:t>31.2</w:t>
      </w:r>
      <w:r>
        <w:rPr>
          <w:sz w:val="20"/>
          <w:szCs w:val="20"/>
          <w:color w:val="auto"/>
        </w:rPr>
        <w:tab/>
      </w:r>
      <w:r>
        <w:rPr>
          <w:rFonts w:ascii="Times New Roman" w:cs="Times New Roman" w:eastAsia="Times New Roman" w:hAnsi="Times New Roman"/>
          <w:sz w:val="19"/>
          <w:szCs w:val="19"/>
          <w:color w:val="231F20"/>
        </w:rPr>
        <w:t>Certification of Chief Financial Officer Pursuant to 18 U.S.C. Section 1350, as Adopted Pursuant to Section 302 of the Sarbanes-Oxley Act of 2002.</w:t>
      </w:r>
    </w:p>
    <w:p>
      <w:pPr>
        <w:spacing w:after="0" w:line="64" w:lineRule="exact"/>
        <w:rPr>
          <w:sz w:val="20"/>
          <w:szCs w:val="20"/>
          <w:color w:val="auto"/>
        </w:rPr>
      </w:pPr>
    </w:p>
    <w:p>
      <w:pPr>
        <w:ind w:left="900" w:right="80" w:hanging="900"/>
        <w:spacing w:after="0" w:line="275" w:lineRule="auto"/>
        <w:tabs>
          <w:tab w:leader="none" w:pos="900" w:val="left"/>
        </w:tabs>
        <w:numPr>
          <w:ilvl w:val="0"/>
          <w:numId w:val="107"/>
        </w:numPr>
        <w:rPr>
          <w:rFonts w:ascii="Times New Roman" w:cs="Times New Roman" w:eastAsia="Times New Roman" w:hAnsi="Times New Roman"/>
          <w:sz w:val="19"/>
          <w:szCs w:val="19"/>
          <w:color w:val="231F20"/>
        </w:rPr>
      </w:pPr>
      <w:r>
        <w:rPr>
          <w:rFonts w:ascii="Times New Roman" w:cs="Times New Roman" w:eastAsia="Times New Roman" w:hAnsi="Times New Roman"/>
          <w:sz w:val="19"/>
          <w:szCs w:val="19"/>
          <w:color w:val="231F20"/>
        </w:rPr>
        <w:t>Certification of CEO and CFO Pursuant to 18 U.S.C. Section 1350, as Adopted Pursuant to Section 906 of the Sarbanes-Oxley Act of 2002.</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800" w:type="dxa"/>
            <w:vAlign w:val="bottom"/>
          </w:tcPr>
          <w:p>
            <w:pPr>
              <w:spacing w:after="0"/>
              <w:rPr>
                <w:sz w:val="20"/>
                <w:szCs w:val="20"/>
                <w:color w:val="auto"/>
              </w:rPr>
            </w:pPr>
            <w:r>
              <w:rPr>
                <w:rFonts w:ascii="Times New Roman" w:cs="Times New Roman" w:eastAsia="Times New Roman" w:hAnsi="Times New Roman"/>
                <w:sz w:val="19"/>
                <w:szCs w:val="19"/>
                <w:color w:val="231F20"/>
              </w:rPr>
              <w:t>97.1</w:t>
            </w:r>
          </w:p>
        </w:tc>
        <w:tc>
          <w:tcPr>
            <w:tcW w:w="9300" w:type="dxa"/>
            <w:vAlign w:val="bottom"/>
          </w:tcPr>
          <w:p>
            <w:pPr>
              <w:ind w:left="100"/>
              <w:spacing w:after="0"/>
              <w:rPr>
                <w:sz w:val="20"/>
                <w:szCs w:val="20"/>
                <w:color w:val="auto"/>
              </w:rPr>
            </w:pPr>
            <w:r>
              <w:rPr>
                <w:rFonts w:ascii="Times New Roman" w:cs="Times New Roman" w:eastAsia="Times New Roman" w:hAnsi="Times New Roman"/>
                <w:sz w:val="19"/>
                <w:szCs w:val="19"/>
                <w:color w:val="231F20"/>
                <w:w w:val="99"/>
              </w:rPr>
              <w:t>Incentive Compensation Clawback Policy (incorporated by reference to Exhibit 97.1 to the Company’s Annual Report on</w:t>
            </w:r>
          </w:p>
        </w:tc>
      </w:tr>
      <w:tr>
        <w:trPr>
          <w:trHeight w:val="252"/>
        </w:trPr>
        <w:tc>
          <w:tcPr>
            <w:tcW w:w="800" w:type="dxa"/>
            <w:vAlign w:val="bottom"/>
          </w:tcPr>
          <w:p>
            <w:pPr>
              <w:spacing w:after="0"/>
              <w:rPr>
                <w:sz w:val="21"/>
                <w:szCs w:val="21"/>
                <w:color w:val="auto"/>
              </w:rPr>
            </w:pPr>
          </w:p>
        </w:tc>
        <w:tc>
          <w:tcPr>
            <w:tcW w:w="9300" w:type="dxa"/>
            <w:vAlign w:val="bottom"/>
          </w:tcPr>
          <w:p>
            <w:pPr>
              <w:ind w:left="100"/>
              <w:spacing w:after="0"/>
              <w:rPr>
                <w:sz w:val="20"/>
                <w:szCs w:val="20"/>
                <w:color w:val="auto"/>
              </w:rPr>
            </w:pPr>
            <w:r>
              <w:rPr>
                <w:rFonts w:ascii="Times New Roman" w:cs="Times New Roman" w:eastAsia="Times New Roman" w:hAnsi="Times New Roman"/>
                <w:sz w:val="19"/>
                <w:szCs w:val="19"/>
                <w:color w:val="231F20"/>
              </w:rPr>
              <w:t>Form 10-K filed on February 15, 2024).</w:t>
            </w:r>
          </w:p>
        </w:tc>
      </w:tr>
      <w:tr>
        <w:trPr>
          <w:trHeight w:val="348"/>
        </w:trPr>
        <w:tc>
          <w:tcPr>
            <w:tcW w:w="800" w:type="dxa"/>
            <w:vAlign w:val="bottom"/>
          </w:tcPr>
          <w:p>
            <w:pPr>
              <w:spacing w:after="0"/>
              <w:rPr>
                <w:sz w:val="20"/>
                <w:szCs w:val="20"/>
                <w:color w:val="auto"/>
              </w:rPr>
            </w:pPr>
            <w:r>
              <w:rPr>
                <w:rFonts w:ascii="Times New Roman" w:cs="Times New Roman" w:eastAsia="Times New Roman" w:hAnsi="Times New Roman"/>
                <w:sz w:val="19"/>
                <w:szCs w:val="19"/>
                <w:color w:val="231F20"/>
              </w:rPr>
              <w:t>99.1</w:t>
            </w:r>
          </w:p>
        </w:tc>
        <w:tc>
          <w:tcPr>
            <w:tcW w:w="9300" w:type="dxa"/>
            <w:vAlign w:val="bottom"/>
          </w:tcPr>
          <w:p>
            <w:pPr>
              <w:ind w:left="100"/>
              <w:spacing w:after="0"/>
              <w:rPr>
                <w:sz w:val="20"/>
                <w:szCs w:val="20"/>
                <w:color w:val="auto"/>
              </w:rPr>
            </w:pPr>
            <w:r>
              <w:rPr>
                <w:rFonts w:ascii="Times New Roman" w:cs="Times New Roman" w:eastAsia="Times New Roman" w:hAnsi="Times New Roman"/>
                <w:sz w:val="19"/>
                <w:szCs w:val="19"/>
                <w:color w:val="231F20"/>
              </w:rPr>
              <w:t>Report of Independent Registered Public Accounting Firm on Supplemental Information.</w:t>
            </w:r>
          </w:p>
        </w:tc>
      </w:tr>
      <w:tr>
        <w:trPr>
          <w:trHeight w:val="312"/>
        </w:trPr>
        <w:tc>
          <w:tcPr>
            <w:tcW w:w="800" w:type="dxa"/>
            <w:vAlign w:val="bottom"/>
          </w:tcPr>
          <w:p>
            <w:pPr>
              <w:spacing w:after="0"/>
              <w:rPr>
                <w:sz w:val="20"/>
                <w:szCs w:val="20"/>
                <w:color w:val="auto"/>
              </w:rPr>
            </w:pPr>
            <w:r>
              <w:rPr>
                <w:rFonts w:ascii="Times New Roman" w:cs="Times New Roman" w:eastAsia="Times New Roman" w:hAnsi="Times New Roman"/>
                <w:sz w:val="19"/>
                <w:szCs w:val="19"/>
                <w:color w:val="231F20"/>
              </w:rPr>
              <w:t>101.INS</w:t>
            </w:r>
          </w:p>
        </w:tc>
        <w:tc>
          <w:tcPr>
            <w:tcW w:w="9300" w:type="dxa"/>
            <w:vAlign w:val="bottom"/>
          </w:tcPr>
          <w:p>
            <w:pPr>
              <w:ind w:left="100"/>
              <w:spacing w:after="0"/>
              <w:rPr>
                <w:sz w:val="20"/>
                <w:szCs w:val="20"/>
                <w:color w:val="auto"/>
              </w:rPr>
            </w:pPr>
            <w:r>
              <w:rPr>
                <w:rFonts w:ascii="Times New Roman" w:cs="Times New Roman" w:eastAsia="Times New Roman" w:hAnsi="Times New Roman"/>
                <w:sz w:val="19"/>
                <w:szCs w:val="19"/>
                <w:color w:val="231F20"/>
                <w:w w:val="99"/>
              </w:rPr>
              <w:t>Inline XBRL Instance Document - the instance document does not appear in the Interactive Data File because XBRL tags</w:t>
            </w:r>
          </w:p>
        </w:tc>
      </w:tr>
      <w:tr>
        <w:trPr>
          <w:trHeight w:val="252"/>
        </w:trPr>
        <w:tc>
          <w:tcPr>
            <w:tcW w:w="800" w:type="dxa"/>
            <w:vAlign w:val="bottom"/>
          </w:tcPr>
          <w:p>
            <w:pPr>
              <w:spacing w:after="0"/>
              <w:rPr>
                <w:sz w:val="21"/>
                <w:szCs w:val="21"/>
                <w:color w:val="auto"/>
              </w:rPr>
            </w:pPr>
          </w:p>
        </w:tc>
        <w:tc>
          <w:tcPr>
            <w:tcW w:w="9300" w:type="dxa"/>
            <w:vAlign w:val="bottom"/>
          </w:tcPr>
          <w:p>
            <w:pPr>
              <w:ind w:left="100"/>
              <w:spacing w:after="0"/>
              <w:rPr>
                <w:sz w:val="20"/>
                <w:szCs w:val="20"/>
                <w:color w:val="auto"/>
              </w:rPr>
            </w:pPr>
            <w:r>
              <w:rPr>
                <w:rFonts w:ascii="Times New Roman" w:cs="Times New Roman" w:eastAsia="Times New Roman" w:hAnsi="Times New Roman"/>
                <w:sz w:val="19"/>
                <w:szCs w:val="19"/>
                <w:color w:val="231F20"/>
              </w:rPr>
              <w:t>are embedded within the Inline XBRL document.</w:t>
            </w:r>
          </w:p>
        </w:tc>
      </w:tr>
      <w:tr>
        <w:trPr>
          <w:trHeight w:val="331"/>
        </w:trPr>
        <w:tc>
          <w:tcPr>
            <w:tcW w:w="800" w:type="dxa"/>
            <w:vAlign w:val="bottom"/>
          </w:tcPr>
          <w:p>
            <w:pPr>
              <w:spacing w:after="0"/>
              <w:rPr>
                <w:sz w:val="20"/>
                <w:szCs w:val="20"/>
                <w:color w:val="auto"/>
              </w:rPr>
            </w:pPr>
            <w:r>
              <w:rPr>
                <w:rFonts w:ascii="Times New Roman" w:cs="Times New Roman" w:eastAsia="Times New Roman" w:hAnsi="Times New Roman"/>
                <w:sz w:val="19"/>
                <w:szCs w:val="19"/>
                <w:color w:val="231F20"/>
              </w:rPr>
              <w:t>101.SCH</w:t>
            </w:r>
          </w:p>
        </w:tc>
        <w:tc>
          <w:tcPr>
            <w:tcW w:w="9300" w:type="dxa"/>
            <w:vAlign w:val="bottom"/>
          </w:tcPr>
          <w:p>
            <w:pPr>
              <w:ind w:left="100"/>
              <w:spacing w:after="0"/>
              <w:rPr>
                <w:sz w:val="20"/>
                <w:szCs w:val="20"/>
                <w:color w:val="auto"/>
              </w:rPr>
            </w:pPr>
            <w:r>
              <w:rPr>
                <w:rFonts w:ascii="Times New Roman" w:cs="Times New Roman" w:eastAsia="Times New Roman" w:hAnsi="Times New Roman"/>
                <w:sz w:val="19"/>
                <w:szCs w:val="19"/>
                <w:color w:val="231F20"/>
              </w:rPr>
              <w:t>Inline XBRL Taxonomy Extension Schema With Embedded Linkbase Documents</w:t>
            </w:r>
          </w:p>
        </w:tc>
      </w:tr>
      <w:tr>
        <w:trPr>
          <w:trHeight w:val="331"/>
        </w:trPr>
        <w:tc>
          <w:tcPr>
            <w:tcW w:w="800" w:type="dxa"/>
            <w:vAlign w:val="bottom"/>
          </w:tcPr>
          <w:p>
            <w:pPr>
              <w:spacing w:after="0"/>
              <w:rPr>
                <w:sz w:val="20"/>
                <w:szCs w:val="20"/>
                <w:color w:val="auto"/>
              </w:rPr>
            </w:pPr>
            <w:r>
              <w:rPr>
                <w:rFonts w:ascii="Times New Roman" w:cs="Times New Roman" w:eastAsia="Times New Roman" w:hAnsi="Times New Roman"/>
                <w:sz w:val="19"/>
                <w:szCs w:val="19"/>
                <w:color w:val="231F20"/>
              </w:rPr>
              <w:t>104</w:t>
            </w:r>
          </w:p>
        </w:tc>
        <w:tc>
          <w:tcPr>
            <w:tcW w:w="9300" w:type="dxa"/>
            <w:vAlign w:val="bottom"/>
          </w:tcPr>
          <w:p>
            <w:pPr>
              <w:ind w:left="100"/>
              <w:spacing w:after="0"/>
              <w:rPr>
                <w:sz w:val="20"/>
                <w:szCs w:val="20"/>
                <w:color w:val="auto"/>
              </w:rPr>
            </w:pPr>
            <w:r>
              <w:rPr>
                <w:rFonts w:ascii="Times New Roman" w:cs="Times New Roman" w:eastAsia="Times New Roman" w:hAnsi="Times New Roman"/>
                <w:sz w:val="19"/>
                <w:szCs w:val="19"/>
                <w:color w:val="231F20"/>
              </w:rPr>
              <w:t>Cover Page Interactive Data File (embedded within the Inline XBRL document)</w:t>
            </w:r>
          </w:p>
        </w:tc>
      </w:tr>
      <w:tr>
        <w:trPr>
          <w:trHeight w:val="286"/>
        </w:trPr>
        <w:tc>
          <w:tcPr>
            <w:tcW w:w="800" w:type="dxa"/>
            <w:vAlign w:val="bottom"/>
          </w:tcPr>
          <w:p>
            <w:pPr>
              <w:spacing w:after="0"/>
              <w:rPr>
                <w:sz w:val="20"/>
                <w:szCs w:val="20"/>
                <w:color w:val="auto"/>
              </w:rPr>
            </w:pPr>
            <w:r>
              <w:rPr>
                <w:rFonts w:ascii="Times New Roman" w:cs="Times New Roman" w:eastAsia="Times New Roman" w:hAnsi="Times New Roman"/>
                <w:sz w:val="14"/>
                <w:szCs w:val="14"/>
                <w:color w:val="231F20"/>
              </w:rPr>
              <w:t> </w:t>
            </w:r>
          </w:p>
        </w:tc>
        <w:tc>
          <w:tcPr>
            <w:tcW w:w="9300" w:type="dxa"/>
            <w:vAlign w:val="bottom"/>
          </w:tcPr>
          <w:p>
            <w:pPr>
              <w:spacing w:after="0"/>
              <w:rPr>
                <w:sz w:val="24"/>
                <w:szCs w:val="24"/>
                <w:color w:val="auto"/>
              </w:rPr>
            </w:pPr>
          </w:p>
        </w:tc>
      </w:tr>
    </w:tbl>
    <w:p>
      <w:pPr>
        <w:spacing w:after="0" w:line="200" w:lineRule="exact"/>
        <w:rPr>
          <w:sz w:val="20"/>
          <w:szCs w:val="20"/>
          <w:color w:val="auto"/>
        </w:rPr>
      </w:pPr>
    </w:p>
    <w:p>
      <w:pPr>
        <w:sectPr>
          <w:pgSz w:w="12240" w:h="15840" w:orient="portrait"/>
          <w:cols w:equalWidth="0" w:num="1">
            <w:col w:w="10100"/>
          </w:cols>
          <w:pgMar w:left="1020" w:top="1321" w:right="1120" w:bottom="57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9"/>
          <w:szCs w:val="19"/>
          <w:color w:val="231F20"/>
        </w:rPr>
        <w:t>94</w:t>
      </w:r>
    </w:p>
    <w:p>
      <w:pPr>
        <w:sectPr>
          <w:pgSz w:w="12240" w:h="15840" w:orient="portrait"/>
          <w:cols w:equalWidth="0" w:num="1">
            <w:col w:w="10100"/>
          </w:cols>
          <w:pgMar w:left="1020" w:top="1321" w:right="1120" w:bottom="574" w:gutter="0" w:footer="0" w:header="0"/>
          <w:type w:val="continuous"/>
        </w:sectPr>
      </w:pPr>
    </w:p>
    <w:bookmarkStart w:id="149" w:name="page150"/>
    <w:bookmarkEnd w:id="149"/>
    <w:p>
      <w:pPr>
        <w:spacing w:after="0"/>
        <w:rPr>
          <w:sz w:val="20"/>
          <w:szCs w:val="20"/>
          <w:color w:val="auto"/>
        </w:rPr>
      </w:pPr>
      <w:r>
        <w:rPr>
          <w:rFonts w:ascii="Times New Roman" w:cs="Times New Roman" w:eastAsia="Times New Roman" w:hAnsi="Times New Roman"/>
          <w:sz w:val="18"/>
          <w:szCs w:val="18"/>
          <w:b w:val="1"/>
          <w:bCs w:val="1"/>
          <w:color w:val="231F20"/>
        </w:rPr>
        <w:t>ITEM 16. FORM 10-K SUMMARY</w:t>
      </w:r>
    </w:p>
    <w:p>
      <w:pPr>
        <w:sectPr>
          <w:pgSz w:w="12240" w:h="15840" w:orient="portrait"/>
          <w:cols w:equalWidth="0" w:num="1">
            <w:col w:w="9780"/>
          </w:cols>
          <w:pgMar w:left="1020" w:top="1315" w:right="1440" w:bottom="574" w:gutter="0" w:footer="0" w:header="0"/>
        </w:sectPr>
      </w:pPr>
    </w:p>
    <w:p>
      <w:pPr>
        <w:spacing w:after="0" w:line="126"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231F20"/>
        </w:rPr>
        <w:t>Not applicable.</w:t>
      </w:r>
    </w:p>
    <w:p>
      <w:pPr>
        <w:sectPr>
          <w:pgSz w:w="12240" w:h="15840" w:orient="portrait"/>
          <w:cols w:equalWidth="0" w:num="1">
            <w:col w:w="9780"/>
          </w:cols>
          <w:pgMar w:left="1020" w:top="1315" w:right="1440" w:bottom="574"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9"/>
          <w:szCs w:val="19"/>
          <w:color w:val="231F20"/>
        </w:rPr>
        <w:t>95</w:t>
      </w:r>
    </w:p>
    <w:p>
      <w:pPr>
        <w:sectPr>
          <w:pgSz w:w="12240" w:h="15840" w:orient="portrait"/>
          <w:cols w:equalWidth="0" w:num="1">
            <w:col w:w="9780"/>
          </w:cols>
          <w:pgMar w:left="1020" w:top="1315" w:right="1440" w:bottom="574" w:gutter="0" w:footer="0" w:header="0"/>
          <w:type w:val="continuous"/>
        </w:sectPr>
      </w:pPr>
    </w:p>
    <w:bookmarkStart w:id="150" w:name="page151"/>
    <w:bookmarkEnd w:id="150"/>
    <w:p>
      <w:pPr>
        <w:jc w:val="center"/>
        <w:spacing w:after="0"/>
        <w:rPr>
          <w:sz w:val="20"/>
          <w:szCs w:val="20"/>
          <w:color w:val="auto"/>
        </w:rPr>
      </w:pPr>
      <w:r>
        <w:rPr>
          <w:rFonts w:ascii="Times New Roman" w:cs="Times New Roman" w:eastAsia="Times New Roman" w:hAnsi="Times New Roman"/>
          <w:sz w:val="19"/>
          <w:szCs w:val="19"/>
          <w:b w:val="1"/>
          <w:bCs w:val="1"/>
          <w:color w:val="231F20"/>
        </w:rPr>
        <w:t>SIGNATURES</w:t>
      </w:r>
    </w:p>
    <w:p>
      <w:pPr>
        <w:spacing w:after="0" w:line="227" w:lineRule="exact"/>
        <w:rPr>
          <w:sz w:val="20"/>
          <w:szCs w:val="20"/>
          <w:color w:val="auto"/>
        </w:rPr>
      </w:pPr>
    </w:p>
    <w:p>
      <w:pPr>
        <w:ind w:right="420" w:firstLine="231"/>
        <w:spacing w:after="0" w:line="275" w:lineRule="auto"/>
        <w:rPr>
          <w:sz w:val="20"/>
          <w:szCs w:val="20"/>
          <w:color w:val="auto"/>
        </w:rPr>
      </w:pPr>
      <w:r>
        <w:rPr>
          <w:rFonts w:ascii="Times New Roman" w:cs="Times New Roman" w:eastAsia="Times New Roman" w:hAnsi="Times New Roman"/>
          <w:sz w:val="19"/>
          <w:szCs w:val="19"/>
          <w:color w:val="231F20"/>
        </w:rPr>
        <w:t>Pursuant to the requirements of Section 13 or 15(d) of the Securities Exchange Act of 1934, the registrant has duly caused this report to be signed on its behalf by the undersigned, thereunto duly authorized.</w:t>
      </w:r>
    </w:p>
    <w:p>
      <w:pPr>
        <w:spacing w:after="0" w:line="149" w:lineRule="exact"/>
        <w:rPr>
          <w:sz w:val="20"/>
          <w:szCs w:val="20"/>
          <w:color w:val="auto"/>
        </w:rPr>
      </w:pPr>
    </w:p>
    <w:p>
      <w:pPr>
        <w:spacing w:after="0"/>
        <w:tabs>
          <w:tab w:leader="none" w:pos="5180" w:val="left"/>
        </w:tabs>
        <w:rPr>
          <w:sz w:val="20"/>
          <w:szCs w:val="20"/>
          <w:color w:val="auto"/>
        </w:rPr>
      </w:pPr>
      <w:r>
        <w:rPr>
          <w:rFonts w:ascii="Times New Roman" w:cs="Times New Roman" w:eastAsia="Times New Roman" w:hAnsi="Times New Roman"/>
          <w:sz w:val="19"/>
          <w:szCs w:val="19"/>
          <w:color w:val="231F20"/>
        </w:rPr>
        <w:t>Date: February 13, 2025</w:t>
      </w:r>
      <w:r>
        <w:rPr>
          <w:sz w:val="20"/>
          <w:szCs w:val="20"/>
          <w:color w:val="auto"/>
        </w:rPr>
        <w:tab/>
      </w:r>
      <w:r>
        <w:rPr>
          <w:rFonts w:ascii="Times New Roman" w:cs="Times New Roman" w:eastAsia="Times New Roman" w:hAnsi="Times New Roman"/>
          <w:sz w:val="18"/>
          <w:szCs w:val="18"/>
          <w:b w:val="1"/>
          <w:bCs w:val="1"/>
          <w:color w:val="231F20"/>
        </w:rPr>
        <w:t>SIXTH STREET SPECIALTY LENDING, INC.</w:t>
      </w:r>
    </w:p>
    <w:p>
      <w:pPr>
        <w:spacing w:after="0" w:line="232"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9"/>
          <w:szCs w:val="19"/>
          <w:color w:val="231F20"/>
        </w:rPr>
        <w:t>/s/ Joshua Easterly</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3303270</wp:posOffset>
                </wp:positionH>
                <wp:positionV relativeFrom="paragraph">
                  <wp:posOffset>14605</wp:posOffset>
                </wp:positionV>
                <wp:extent cx="3173730" cy="0"/>
                <wp:wrapNone/>
                <wp:docPr id="108" name="Shape 10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173730" cy="4763"/>
                        </a:xfrm>
                        <a:prstGeom prst="line">
                          <a:avLst/>
                        </a:prstGeom>
                        <a:solidFill>
                          <a:srgbClr val="FFFFFF"/>
                        </a:solidFill>
                        <a:ln w="5994">
                          <a:solidFill>
                            <a:srgbClr val="231F20"/>
                          </a:solidFill>
                          <a:miter lim="800000"/>
                          <a:headEnd/>
                          <a:tailEnd/>
                        </a:ln>
                      </wps:spPr>
                      <wps:bodyPr/>
                    </wps:wsp>
                  </a:graphicData>
                </a:graphic>
              </wp:anchor>
            </w:drawing>
          </mc:Choice>
          <mc:Fallback>
            <w:pict>
              <v:line id="Shape 108" o:spid="_x0000_s113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60.1pt,1.15pt" to="510pt,1.15pt" o:allowincell="f" strokecolor="#231F20" strokeweight="0.472pt"/>
            </w:pict>
          </mc:Fallback>
        </mc:AlternateContent>
      </w:r>
    </w:p>
    <w:p>
      <w:pPr>
        <w:spacing w:after="0" w:line="14"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9"/>
          <w:szCs w:val="19"/>
          <w:color w:val="231F20"/>
        </w:rPr>
        <w:t>Chief Executive Officer</w:t>
      </w:r>
    </w:p>
    <w:p>
      <w:pPr>
        <w:spacing w:after="0" w:line="1"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9"/>
          <w:szCs w:val="19"/>
          <w:color w:val="231F20"/>
        </w:rPr>
        <w:t>(principal executive officer)</w:t>
      </w:r>
    </w:p>
    <w:p>
      <w:pPr>
        <w:spacing w:after="0" w:line="197" w:lineRule="exact"/>
        <w:rPr>
          <w:sz w:val="20"/>
          <w:szCs w:val="20"/>
          <w:color w:val="auto"/>
        </w:rPr>
      </w:pPr>
    </w:p>
    <w:p>
      <w:pPr>
        <w:ind w:right="20" w:firstLine="231"/>
        <w:spacing w:after="0" w:line="275" w:lineRule="auto"/>
        <w:rPr>
          <w:sz w:val="20"/>
          <w:szCs w:val="20"/>
          <w:color w:val="auto"/>
        </w:rPr>
      </w:pPr>
      <w:r>
        <w:rPr>
          <w:rFonts w:ascii="Times New Roman" w:cs="Times New Roman" w:eastAsia="Times New Roman" w:hAnsi="Times New Roman"/>
          <w:sz w:val="19"/>
          <w:szCs w:val="19"/>
          <w:color w:val="231F20"/>
        </w:rPr>
        <w:t>Pursuant to the requirements of the Securities Exchange Act of 1934, this report has been signed below by the following persons on behalf of the registrant and in the capacities indicated on February 13, 2025.</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4280" w:type="dxa"/>
            <w:vAlign w:val="bottom"/>
            <w:tcBorders>
              <w:bottom w:val="single" w:sz="8" w:color="231F20"/>
            </w:tcBorders>
          </w:tcPr>
          <w:p>
            <w:pPr>
              <w:ind w:left="1820"/>
              <w:spacing w:after="0"/>
              <w:rPr>
                <w:sz w:val="20"/>
                <w:szCs w:val="20"/>
                <w:color w:val="auto"/>
              </w:rPr>
            </w:pPr>
            <w:r>
              <w:rPr>
                <w:rFonts w:ascii="Times New Roman" w:cs="Times New Roman" w:eastAsia="Times New Roman" w:hAnsi="Times New Roman"/>
                <w:sz w:val="15"/>
                <w:szCs w:val="15"/>
                <w:b w:val="1"/>
                <w:bCs w:val="1"/>
                <w:color w:val="231F20"/>
              </w:rPr>
              <w:t>Signature</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20" w:type="dxa"/>
            <w:vAlign w:val="bottom"/>
            <w:tcBorders>
              <w:bottom w:val="single" w:sz="8" w:color="231F20"/>
            </w:tcBorders>
          </w:tcPr>
          <w:p>
            <w:pPr>
              <w:ind w:left="2760"/>
              <w:spacing w:after="0"/>
              <w:rPr>
                <w:sz w:val="20"/>
                <w:szCs w:val="20"/>
                <w:color w:val="auto"/>
              </w:rPr>
            </w:pPr>
            <w:r>
              <w:rPr>
                <w:rFonts w:ascii="Times New Roman" w:cs="Times New Roman" w:eastAsia="Times New Roman" w:hAnsi="Times New Roman"/>
                <w:sz w:val="15"/>
                <w:szCs w:val="15"/>
                <w:b w:val="1"/>
                <w:bCs w:val="1"/>
                <w:color w:val="231F20"/>
              </w:rPr>
              <w:t>Title</w:t>
            </w:r>
          </w:p>
        </w:tc>
      </w:tr>
      <w:tr>
        <w:trPr>
          <w:trHeight w:val="417"/>
        </w:trPr>
        <w:tc>
          <w:tcPr>
            <w:tcW w:w="4300" w:type="dxa"/>
            <w:vAlign w:val="bottom"/>
            <w:tcBorders>
              <w:bottom w:val="single" w:sz="8" w:color="231F20"/>
            </w:tcBorders>
            <w:gridSpan w:val="2"/>
          </w:tcPr>
          <w:p>
            <w:pPr>
              <w:spacing w:after="0"/>
              <w:rPr>
                <w:sz w:val="20"/>
                <w:szCs w:val="20"/>
                <w:color w:val="auto"/>
              </w:rPr>
            </w:pPr>
            <w:r>
              <w:rPr>
                <w:rFonts w:ascii="Times New Roman" w:cs="Times New Roman" w:eastAsia="Times New Roman" w:hAnsi="Times New Roman"/>
                <w:sz w:val="19"/>
                <w:szCs w:val="19"/>
                <w:color w:val="231F20"/>
              </w:rPr>
              <w:t>/s/ Joshua Easterly</w:t>
            </w:r>
          </w:p>
        </w:tc>
        <w:tc>
          <w:tcPr>
            <w:tcW w:w="80" w:type="dxa"/>
            <w:vAlign w:val="bottom"/>
          </w:tcPr>
          <w:p>
            <w:pPr>
              <w:spacing w:after="0"/>
              <w:rPr>
                <w:sz w:val="24"/>
                <w:szCs w:val="24"/>
                <w:color w:val="auto"/>
              </w:rPr>
            </w:pPr>
          </w:p>
        </w:tc>
        <w:tc>
          <w:tcPr>
            <w:tcW w:w="5820" w:type="dxa"/>
            <w:vAlign w:val="bottom"/>
          </w:tcPr>
          <w:p>
            <w:pPr>
              <w:spacing w:after="0"/>
              <w:rPr>
                <w:sz w:val="20"/>
                <w:szCs w:val="20"/>
                <w:color w:val="auto"/>
              </w:rPr>
            </w:pPr>
            <w:r>
              <w:rPr>
                <w:rFonts w:ascii="Times New Roman" w:cs="Times New Roman" w:eastAsia="Times New Roman" w:hAnsi="Times New Roman"/>
                <w:sz w:val="19"/>
                <w:szCs w:val="19"/>
                <w:color w:val="231F20"/>
              </w:rPr>
              <w:t>Chief Executive Officer, Director and Chairman of the Board of Directors</w:t>
            </w:r>
          </w:p>
        </w:tc>
      </w:tr>
      <w:tr>
        <w:trPr>
          <w:trHeight w:val="246"/>
        </w:trPr>
        <w:tc>
          <w:tcPr>
            <w:tcW w:w="4300" w:type="dxa"/>
            <w:vAlign w:val="bottom"/>
            <w:gridSpan w:val="2"/>
          </w:tcPr>
          <w:p>
            <w:pPr>
              <w:spacing w:after="0"/>
              <w:rPr>
                <w:sz w:val="20"/>
                <w:szCs w:val="20"/>
                <w:color w:val="auto"/>
              </w:rPr>
            </w:pPr>
            <w:r>
              <w:rPr>
                <w:rFonts w:ascii="Times New Roman" w:cs="Times New Roman" w:eastAsia="Times New Roman" w:hAnsi="Times New Roman"/>
                <w:sz w:val="19"/>
                <w:szCs w:val="19"/>
                <w:color w:val="231F20"/>
              </w:rPr>
              <w:t>Joshua Easterly</w:t>
            </w:r>
          </w:p>
        </w:tc>
        <w:tc>
          <w:tcPr>
            <w:tcW w:w="80" w:type="dxa"/>
            <w:vAlign w:val="bottom"/>
          </w:tcPr>
          <w:p>
            <w:pPr>
              <w:spacing w:after="0"/>
              <w:rPr>
                <w:sz w:val="21"/>
                <w:szCs w:val="21"/>
                <w:color w:val="auto"/>
              </w:rPr>
            </w:pPr>
          </w:p>
        </w:tc>
        <w:tc>
          <w:tcPr>
            <w:tcW w:w="5820" w:type="dxa"/>
            <w:vAlign w:val="bottom"/>
          </w:tcPr>
          <w:p>
            <w:pPr>
              <w:spacing w:after="0"/>
              <w:rPr>
                <w:sz w:val="20"/>
                <w:szCs w:val="20"/>
                <w:color w:val="auto"/>
              </w:rPr>
            </w:pPr>
            <w:r>
              <w:rPr>
                <w:rFonts w:ascii="Times New Roman" w:cs="Times New Roman" w:eastAsia="Times New Roman" w:hAnsi="Times New Roman"/>
                <w:sz w:val="19"/>
                <w:szCs w:val="19"/>
                <w:color w:val="231F20"/>
              </w:rPr>
              <w:t>(principal executive officer)</w:t>
            </w:r>
          </w:p>
        </w:tc>
      </w:tr>
      <w:tr>
        <w:trPr>
          <w:trHeight w:val="422"/>
        </w:trPr>
        <w:tc>
          <w:tcPr>
            <w:tcW w:w="4300" w:type="dxa"/>
            <w:vAlign w:val="bottom"/>
            <w:tcBorders>
              <w:bottom w:val="single" w:sz="8" w:color="231F20"/>
            </w:tcBorders>
            <w:gridSpan w:val="2"/>
          </w:tcPr>
          <w:p>
            <w:pPr>
              <w:spacing w:after="0"/>
              <w:rPr>
                <w:sz w:val="20"/>
                <w:szCs w:val="20"/>
                <w:color w:val="auto"/>
              </w:rPr>
            </w:pPr>
            <w:r>
              <w:rPr>
                <w:rFonts w:ascii="Times New Roman" w:cs="Times New Roman" w:eastAsia="Times New Roman" w:hAnsi="Times New Roman"/>
                <w:sz w:val="19"/>
                <w:szCs w:val="19"/>
                <w:color w:val="231F20"/>
              </w:rPr>
              <w:t>/s/ Ian Simmonds</w:t>
            </w:r>
          </w:p>
        </w:tc>
        <w:tc>
          <w:tcPr>
            <w:tcW w:w="80" w:type="dxa"/>
            <w:vAlign w:val="bottom"/>
          </w:tcPr>
          <w:p>
            <w:pPr>
              <w:spacing w:after="0"/>
              <w:rPr>
                <w:sz w:val="24"/>
                <w:szCs w:val="24"/>
                <w:color w:val="auto"/>
              </w:rPr>
            </w:pPr>
          </w:p>
        </w:tc>
        <w:tc>
          <w:tcPr>
            <w:tcW w:w="5820" w:type="dxa"/>
            <w:vAlign w:val="bottom"/>
          </w:tcPr>
          <w:p>
            <w:pPr>
              <w:spacing w:after="0"/>
              <w:rPr>
                <w:sz w:val="20"/>
                <w:szCs w:val="20"/>
                <w:color w:val="auto"/>
              </w:rPr>
            </w:pPr>
            <w:r>
              <w:rPr>
                <w:rFonts w:ascii="Times New Roman" w:cs="Times New Roman" w:eastAsia="Times New Roman" w:hAnsi="Times New Roman"/>
                <w:sz w:val="19"/>
                <w:szCs w:val="19"/>
                <w:color w:val="231F20"/>
              </w:rPr>
              <w:t>Chief Financial Officer (principal financial officer)</w:t>
            </w:r>
          </w:p>
        </w:tc>
      </w:tr>
      <w:tr>
        <w:trPr>
          <w:trHeight w:val="246"/>
        </w:trPr>
        <w:tc>
          <w:tcPr>
            <w:tcW w:w="4300" w:type="dxa"/>
            <w:vAlign w:val="bottom"/>
            <w:gridSpan w:val="2"/>
          </w:tcPr>
          <w:p>
            <w:pPr>
              <w:spacing w:after="0"/>
              <w:rPr>
                <w:sz w:val="20"/>
                <w:szCs w:val="20"/>
                <w:color w:val="auto"/>
              </w:rPr>
            </w:pPr>
            <w:r>
              <w:rPr>
                <w:rFonts w:ascii="Times New Roman" w:cs="Times New Roman" w:eastAsia="Times New Roman" w:hAnsi="Times New Roman"/>
                <w:sz w:val="19"/>
                <w:szCs w:val="19"/>
                <w:color w:val="231F20"/>
              </w:rPr>
              <w:t>Ian Simmonds</w:t>
            </w:r>
          </w:p>
        </w:tc>
        <w:tc>
          <w:tcPr>
            <w:tcW w:w="80" w:type="dxa"/>
            <w:vAlign w:val="bottom"/>
          </w:tcPr>
          <w:p>
            <w:pPr>
              <w:spacing w:after="0"/>
              <w:rPr>
                <w:sz w:val="21"/>
                <w:szCs w:val="21"/>
                <w:color w:val="auto"/>
              </w:rPr>
            </w:pPr>
          </w:p>
        </w:tc>
        <w:tc>
          <w:tcPr>
            <w:tcW w:w="5820" w:type="dxa"/>
            <w:vAlign w:val="bottom"/>
          </w:tcPr>
          <w:p>
            <w:pPr>
              <w:spacing w:after="0"/>
              <w:rPr>
                <w:sz w:val="21"/>
                <w:szCs w:val="21"/>
                <w:color w:val="auto"/>
              </w:rPr>
            </w:pPr>
          </w:p>
        </w:tc>
      </w:tr>
      <w:tr>
        <w:trPr>
          <w:trHeight w:val="312"/>
        </w:trPr>
        <w:tc>
          <w:tcPr>
            <w:tcW w:w="4300" w:type="dxa"/>
            <w:vAlign w:val="bottom"/>
            <w:tcBorders>
              <w:bottom w:val="single" w:sz="8" w:color="231F20"/>
            </w:tcBorders>
            <w:gridSpan w:val="2"/>
          </w:tcPr>
          <w:p>
            <w:pPr>
              <w:spacing w:after="0"/>
              <w:rPr>
                <w:sz w:val="20"/>
                <w:szCs w:val="20"/>
                <w:color w:val="auto"/>
              </w:rPr>
            </w:pPr>
            <w:r>
              <w:rPr>
                <w:rFonts w:ascii="Times New Roman" w:cs="Times New Roman" w:eastAsia="Times New Roman" w:hAnsi="Times New Roman"/>
                <w:sz w:val="19"/>
                <w:szCs w:val="19"/>
                <w:color w:val="231F20"/>
              </w:rPr>
              <w:t>/s/ Michael Graf</w:t>
            </w:r>
          </w:p>
        </w:tc>
        <w:tc>
          <w:tcPr>
            <w:tcW w:w="80" w:type="dxa"/>
            <w:vAlign w:val="bottom"/>
          </w:tcPr>
          <w:p>
            <w:pPr>
              <w:spacing w:after="0"/>
              <w:rPr>
                <w:sz w:val="24"/>
                <w:szCs w:val="24"/>
                <w:color w:val="auto"/>
              </w:rPr>
            </w:pPr>
          </w:p>
        </w:tc>
        <w:tc>
          <w:tcPr>
            <w:tcW w:w="5820" w:type="dxa"/>
            <w:vAlign w:val="bottom"/>
          </w:tcPr>
          <w:p>
            <w:pPr>
              <w:spacing w:after="0"/>
              <w:rPr>
                <w:sz w:val="20"/>
                <w:szCs w:val="20"/>
                <w:color w:val="auto"/>
              </w:rPr>
            </w:pPr>
            <w:r>
              <w:rPr>
                <w:rFonts w:ascii="Times New Roman" w:cs="Times New Roman" w:eastAsia="Times New Roman" w:hAnsi="Times New Roman"/>
                <w:sz w:val="19"/>
                <w:szCs w:val="19"/>
                <w:color w:val="231F20"/>
              </w:rPr>
              <w:t>Deputy Chief Financial Officer (principal accounting officer)</w:t>
            </w:r>
          </w:p>
        </w:tc>
      </w:tr>
      <w:tr>
        <w:trPr>
          <w:trHeight w:val="246"/>
        </w:trPr>
        <w:tc>
          <w:tcPr>
            <w:tcW w:w="4300" w:type="dxa"/>
            <w:vAlign w:val="bottom"/>
            <w:gridSpan w:val="2"/>
          </w:tcPr>
          <w:p>
            <w:pPr>
              <w:spacing w:after="0"/>
              <w:rPr>
                <w:sz w:val="20"/>
                <w:szCs w:val="20"/>
                <w:color w:val="auto"/>
              </w:rPr>
            </w:pPr>
            <w:r>
              <w:rPr>
                <w:rFonts w:ascii="Times New Roman" w:cs="Times New Roman" w:eastAsia="Times New Roman" w:hAnsi="Times New Roman"/>
                <w:sz w:val="19"/>
                <w:szCs w:val="19"/>
                <w:color w:val="231F20"/>
              </w:rPr>
              <w:t>Michael Graf</w:t>
            </w:r>
          </w:p>
        </w:tc>
        <w:tc>
          <w:tcPr>
            <w:tcW w:w="80" w:type="dxa"/>
            <w:vAlign w:val="bottom"/>
          </w:tcPr>
          <w:p>
            <w:pPr>
              <w:spacing w:after="0"/>
              <w:rPr>
                <w:sz w:val="21"/>
                <w:szCs w:val="21"/>
                <w:color w:val="auto"/>
              </w:rPr>
            </w:pPr>
          </w:p>
        </w:tc>
        <w:tc>
          <w:tcPr>
            <w:tcW w:w="5820" w:type="dxa"/>
            <w:vAlign w:val="bottom"/>
          </w:tcPr>
          <w:p>
            <w:pPr>
              <w:spacing w:after="0"/>
              <w:rPr>
                <w:sz w:val="21"/>
                <w:szCs w:val="21"/>
                <w:color w:val="auto"/>
              </w:rPr>
            </w:pPr>
          </w:p>
        </w:tc>
      </w:tr>
      <w:tr>
        <w:trPr>
          <w:trHeight w:val="312"/>
        </w:trPr>
        <w:tc>
          <w:tcPr>
            <w:tcW w:w="4300" w:type="dxa"/>
            <w:vAlign w:val="bottom"/>
            <w:tcBorders>
              <w:bottom w:val="single" w:sz="8" w:color="231F20"/>
            </w:tcBorders>
            <w:gridSpan w:val="2"/>
          </w:tcPr>
          <w:p>
            <w:pPr>
              <w:spacing w:after="0"/>
              <w:rPr>
                <w:sz w:val="20"/>
                <w:szCs w:val="20"/>
                <w:color w:val="auto"/>
              </w:rPr>
            </w:pPr>
            <w:r>
              <w:rPr>
                <w:rFonts w:ascii="Times New Roman" w:cs="Times New Roman" w:eastAsia="Times New Roman" w:hAnsi="Times New Roman"/>
                <w:sz w:val="19"/>
                <w:szCs w:val="19"/>
                <w:color w:val="231F20"/>
              </w:rPr>
              <w:t>/s/ Judy Slotkin</w:t>
            </w:r>
          </w:p>
        </w:tc>
        <w:tc>
          <w:tcPr>
            <w:tcW w:w="80" w:type="dxa"/>
            <w:vAlign w:val="bottom"/>
          </w:tcPr>
          <w:p>
            <w:pPr>
              <w:spacing w:after="0"/>
              <w:rPr>
                <w:sz w:val="24"/>
                <w:szCs w:val="24"/>
                <w:color w:val="auto"/>
              </w:rPr>
            </w:pPr>
          </w:p>
        </w:tc>
        <w:tc>
          <w:tcPr>
            <w:tcW w:w="5820" w:type="dxa"/>
            <w:vAlign w:val="bottom"/>
          </w:tcPr>
          <w:p>
            <w:pPr>
              <w:spacing w:after="0"/>
              <w:rPr>
                <w:sz w:val="20"/>
                <w:szCs w:val="20"/>
                <w:color w:val="auto"/>
              </w:rPr>
            </w:pPr>
            <w:r>
              <w:rPr>
                <w:rFonts w:ascii="Times New Roman" w:cs="Times New Roman" w:eastAsia="Times New Roman" w:hAnsi="Times New Roman"/>
                <w:sz w:val="19"/>
                <w:szCs w:val="19"/>
                <w:color w:val="231F20"/>
              </w:rPr>
              <w:t>Director and Chairman of the Audit Committee</w:t>
            </w:r>
          </w:p>
        </w:tc>
      </w:tr>
      <w:tr>
        <w:trPr>
          <w:trHeight w:val="246"/>
        </w:trPr>
        <w:tc>
          <w:tcPr>
            <w:tcW w:w="4300" w:type="dxa"/>
            <w:vAlign w:val="bottom"/>
            <w:gridSpan w:val="2"/>
          </w:tcPr>
          <w:p>
            <w:pPr>
              <w:spacing w:after="0"/>
              <w:rPr>
                <w:sz w:val="20"/>
                <w:szCs w:val="20"/>
                <w:color w:val="auto"/>
              </w:rPr>
            </w:pPr>
            <w:r>
              <w:rPr>
                <w:rFonts w:ascii="Times New Roman" w:cs="Times New Roman" w:eastAsia="Times New Roman" w:hAnsi="Times New Roman"/>
                <w:sz w:val="19"/>
                <w:szCs w:val="19"/>
                <w:color w:val="231F20"/>
              </w:rPr>
              <w:t>Judy Slotkin</w:t>
            </w:r>
          </w:p>
        </w:tc>
        <w:tc>
          <w:tcPr>
            <w:tcW w:w="80" w:type="dxa"/>
            <w:vAlign w:val="bottom"/>
          </w:tcPr>
          <w:p>
            <w:pPr>
              <w:spacing w:after="0"/>
              <w:rPr>
                <w:sz w:val="21"/>
                <w:szCs w:val="21"/>
                <w:color w:val="auto"/>
              </w:rPr>
            </w:pPr>
          </w:p>
        </w:tc>
        <w:tc>
          <w:tcPr>
            <w:tcW w:w="5820" w:type="dxa"/>
            <w:vAlign w:val="bottom"/>
          </w:tcPr>
          <w:p>
            <w:pPr>
              <w:spacing w:after="0"/>
              <w:rPr>
                <w:sz w:val="21"/>
                <w:szCs w:val="21"/>
                <w:color w:val="auto"/>
              </w:rPr>
            </w:pPr>
          </w:p>
        </w:tc>
      </w:tr>
      <w:tr>
        <w:trPr>
          <w:trHeight w:val="332"/>
        </w:trPr>
        <w:tc>
          <w:tcPr>
            <w:tcW w:w="4300" w:type="dxa"/>
            <w:vAlign w:val="bottom"/>
            <w:tcBorders>
              <w:bottom w:val="single" w:sz="8" w:color="231F20"/>
            </w:tcBorders>
            <w:gridSpan w:val="2"/>
          </w:tcPr>
          <w:p>
            <w:pPr>
              <w:spacing w:after="0"/>
              <w:rPr>
                <w:sz w:val="20"/>
                <w:szCs w:val="20"/>
                <w:color w:val="auto"/>
              </w:rPr>
            </w:pPr>
            <w:r>
              <w:rPr>
                <w:rFonts w:ascii="Times New Roman" w:cs="Times New Roman" w:eastAsia="Times New Roman" w:hAnsi="Times New Roman"/>
                <w:sz w:val="19"/>
                <w:szCs w:val="19"/>
                <w:color w:val="231F20"/>
              </w:rPr>
              <w:t>/s/ P. Emery Covington</w:t>
            </w:r>
          </w:p>
        </w:tc>
        <w:tc>
          <w:tcPr>
            <w:tcW w:w="80" w:type="dxa"/>
            <w:vAlign w:val="bottom"/>
          </w:tcPr>
          <w:p>
            <w:pPr>
              <w:spacing w:after="0"/>
              <w:rPr>
                <w:sz w:val="24"/>
                <w:szCs w:val="24"/>
                <w:color w:val="auto"/>
              </w:rPr>
            </w:pPr>
          </w:p>
        </w:tc>
        <w:tc>
          <w:tcPr>
            <w:tcW w:w="5820" w:type="dxa"/>
            <w:vAlign w:val="bottom"/>
          </w:tcPr>
          <w:p>
            <w:pPr>
              <w:spacing w:after="0"/>
              <w:rPr>
                <w:sz w:val="20"/>
                <w:szCs w:val="20"/>
                <w:color w:val="auto"/>
              </w:rPr>
            </w:pPr>
            <w:r>
              <w:rPr>
                <w:rFonts w:ascii="Times New Roman" w:cs="Times New Roman" w:eastAsia="Times New Roman" w:hAnsi="Times New Roman"/>
                <w:sz w:val="19"/>
                <w:szCs w:val="19"/>
                <w:color w:val="231F20"/>
              </w:rPr>
              <w:t>Director</w:t>
            </w:r>
          </w:p>
        </w:tc>
      </w:tr>
      <w:tr>
        <w:trPr>
          <w:trHeight w:val="246"/>
        </w:trPr>
        <w:tc>
          <w:tcPr>
            <w:tcW w:w="4300" w:type="dxa"/>
            <w:vAlign w:val="bottom"/>
            <w:gridSpan w:val="2"/>
          </w:tcPr>
          <w:p>
            <w:pPr>
              <w:spacing w:after="0"/>
              <w:rPr>
                <w:sz w:val="20"/>
                <w:szCs w:val="20"/>
                <w:color w:val="auto"/>
              </w:rPr>
            </w:pPr>
            <w:r>
              <w:rPr>
                <w:rFonts w:ascii="Times New Roman" w:cs="Times New Roman" w:eastAsia="Times New Roman" w:hAnsi="Times New Roman"/>
                <w:sz w:val="19"/>
                <w:szCs w:val="19"/>
                <w:color w:val="231F20"/>
              </w:rPr>
              <w:t>P. Emery Covington</w:t>
            </w:r>
          </w:p>
        </w:tc>
        <w:tc>
          <w:tcPr>
            <w:tcW w:w="80" w:type="dxa"/>
            <w:vAlign w:val="bottom"/>
          </w:tcPr>
          <w:p>
            <w:pPr>
              <w:spacing w:after="0"/>
              <w:rPr>
                <w:sz w:val="21"/>
                <w:szCs w:val="21"/>
                <w:color w:val="auto"/>
              </w:rPr>
            </w:pPr>
          </w:p>
        </w:tc>
        <w:tc>
          <w:tcPr>
            <w:tcW w:w="5820" w:type="dxa"/>
            <w:vAlign w:val="bottom"/>
          </w:tcPr>
          <w:p>
            <w:pPr>
              <w:spacing w:after="0"/>
              <w:rPr>
                <w:sz w:val="21"/>
                <w:szCs w:val="21"/>
                <w:color w:val="auto"/>
              </w:rPr>
            </w:pPr>
          </w:p>
        </w:tc>
      </w:tr>
      <w:tr>
        <w:trPr>
          <w:trHeight w:val="350"/>
        </w:trPr>
        <w:tc>
          <w:tcPr>
            <w:tcW w:w="4300" w:type="dxa"/>
            <w:vAlign w:val="bottom"/>
            <w:tcBorders>
              <w:bottom w:val="single" w:sz="8" w:color="231F20"/>
            </w:tcBorders>
            <w:gridSpan w:val="2"/>
          </w:tcPr>
          <w:p>
            <w:pPr>
              <w:spacing w:after="0"/>
              <w:rPr>
                <w:sz w:val="20"/>
                <w:szCs w:val="20"/>
                <w:color w:val="auto"/>
              </w:rPr>
            </w:pPr>
            <w:r>
              <w:rPr>
                <w:rFonts w:ascii="Times New Roman" w:cs="Times New Roman" w:eastAsia="Times New Roman" w:hAnsi="Times New Roman"/>
                <w:sz w:val="19"/>
                <w:szCs w:val="19"/>
                <w:color w:val="231F20"/>
              </w:rPr>
              <w:t>/s/ Hurley Doddy</w:t>
            </w:r>
          </w:p>
        </w:tc>
        <w:tc>
          <w:tcPr>
            <w:tcW w:w="80" w:type="dxa"/>
            <w:vAlign w:val="bottom"/>
          </w:tcPr>
          <w:p>
            <w:pPr>
              <w:spacing w:after="0"/>
              <w:rPr>
                <w:sz w:val="24"/>
                <w:szCs w:val="24"/>
                <w:color w:val="auto"/>
              </w:rPr>
            </w:pPr>
          </w:p>
        </w:tc>
        <w:tc>
          <w:tcPr>
            <w:tcW w:w="5820" w:type="dxa"/>
            <w:vAlign w:val="bottom"/>
          </w:tcPr>
          <w:p>
            <w:pPr>
              <w:spacing w:after="0"/>
              <w:rPr>
                <w:sz w:val="20"/>
                <w:szCs w:val="20"/>
                <w:color w:val="auto"/>
              </w:rPr>
            </w:pPr>
            <w:r>
              <w:rPr>
                <w:rFonts w:ascii="Times New Roman" w:cs="Times New Roman" w:eastAsia="Times New Roman" w:hAnsi="Times New Roman"/>
                <w:sz w:val="19"/>
                <w:szCs w:val="19"/>
                <w:color w:val="231F20"/>
              </w:rPr>
              <w:t>Director</w:t>
            </w:r>
          </w:p>
        </w:tc>
      </w:tr>
      <w:tr>
        <w:trPr>
          <w:trHeight w:val="246"/>
        </w:trPr>
        <w:tc>
          <w:tcPr>
            <w:tcW w:w="4300" w:type="dxa"/>
            <w:vAlign w:val="bottom"/>
            <w:gridSpan w:val="2"/>
          </w:tcPr>
          <w:p>
            <w:pPr>
              <w:spacing w:after="0"/>
              <w:rPr>
                <w:sz w:val="20"/>
                <w:szCs w:val="20"/>
                <w:color w:val="auto"/>
              </w:rPr>
            </w:pPr>
            <w:r>
              <w:rPr>
                <w:rFonts w:ascii="Times New Roman" w:cs="Times New Roman" w:eastAsia="Times New Roman" w:hAnsi="Times New Roman"/>
                <w:sz w:val="19"/>
                <w:szCs w:val="19"/>
                <w:color w:val="231F20"/>
              </w:rPr>
              <w:t>Hurley Doddy</w:t>
            </w:r>
          </w:p>
        </w:tc>
        <w:tc>
          <w:tcPr>
            <w:tcW w:w="80" w:type="dxa"/>
            <w:vAlign w:val="bottom"/>
          </w:tcPr>
          <w:p>
            <w:pPr>
              <w:spacing w:after="0"/>
              <w:rPr>
                <w:sz w:val="21"/>
                <w:szCs w:val="21"/>
                <w:color w:val="auto"/>
              </w:rPr>
            </w:pPr>
          </w:p>
        </w:tc>
        <w:tc>
          <w:tcPr>
            <w:tcW w:w="5820" w:type="dxa"/>
            <w:vAlign w:val="bottom"/>
          </w:tcPr>
          <w:p>
            <w:pPr>
              <w:spacing w:after="0"/>
              <w:rPr>
                <w:sz w:val="21"/>
                <w:szCs w:val="21"/>
                <w:color w:val="auto"/>
              </w:rPr>
            </w:pPr>
          </w:p>
        </w:tc>
      </w:tr>
      <w:tr>
        <w:trPr>
          <w:trHeight w:val="331"/>
        </w:trPr>
        <w:tc>
          <w:tcPr>
            <w:tcW w:w="4300" w:type="dxa"/>
            <w:vAlign w:val="bottom"/>
            <w:tcBorders>
              <w:bottom w:val="single" w:sz="8" w:color="231F20"/>
            </w:tcBorders>
            <w:gridSpan w:val="2"/>
          </w:tcPr>
          <w:p>
            <w:pPr>
              <w:spacing w:after="0"/>
              <w:rPr>
                <w:sz w:val="20"/>
                <w:szCs w:val="20"/>
                <w:color w:val="auto"/>
              </w:rPr>
            </w:pPr>
            <w:r>
              <w:rPr>
                <w:rFonts w:ascii="Times New Roman" w:cs="Times New Roman" w:eastAsia="Times New Roman" w:hAnsi="Times New Roman"/>
                <w:sz w:val="19"/>
                <w:szCs w:val="19"/>
                <w:color w:val="231F20"/>
              </w:rPr>
              <w:t>/s/ Michael Fishman</w:t>
            </w:r>
          </w:p>
        </w:tc>
        <w:tc>
          <w:tcPr>
            <w:tcW w:w="80" w:type="dxa"/>
            <w:vAlign w:val="bottom"/>
          </w:tcPr>
          <w:p>
            <w:pPr>
              <w:spacing w:after="0"/>
              <w:rPr>
                <w:sz w:val="24"/>
                <w:szCs w:val="24"/>
                <w:color w:val="auto"/>
              </w:rPr>
            </w:pPr>
          </w:p>
        </w:tc>
        <w:tc>
          <w:tcPr>
            <w:tcW w:w="5820" w:type="dxa"/>
            <w:vAlign w:val="bottom"/>
          </w:tcPr>
          <w:p>
            <w:pPr>
              <w:spacing w:after="0"/>
              <w:rPr>
                <w:sz w:val="20"/>
                <w:szCs w:val="20"/>
                <w:color w:val="auto"/>
              </w:rPr>
            </w:pPr>
            <w:r>
              <w:rPr>
                <w:rFonts w:ascii="Times New Roman" w:cs="Times New Roman" w:eastAsia="Times New Roman" w:hAnsi="Times New Roman"/>
                <w:sz w:val="19"/>
                <w:szCs w:val="19"/>
                <w:color w:val="231F20"/>
              </w:rPr>
              <w:t>Director</w:t>
            </w:r>
          </w:p>
        </w:tc>
      </w:tr>
      <w:tr>
        <w:trPr>
          <w:trHeight w:val="246"/>
        </w:trPr>
        <w:tc>
          <w:tcPr>
            <w:tcW w:w="4300" w:type="dxa"/>
            <w:vAlign w:val="bottom"/>
            <w:gridSpan w:val="2"/>
          </w:tcPr>
          <w:p>
            <w:pPr>
              <w:spacing w:after="0"/>
              <w:rPr>
                <w:sz w:val="20"/>
                <w:szCs w:val="20"/>
                <w:color w:val="auto"/>
              </w:rPr>
            </w:pPr>
            <w:r>
              <w:rPr>
                <w:rFonts w:ascii="Times New Roman" w:cs="Times New Roman" w:eastAsia="Times New Roman" w:hAnsi="Times New Roman"/>
                <w:sz w:val="19"/>
                <w:szCs w:val="19"/>
                <w:color w:val="231F20"/>
              </w:rPr>
              <w:t>Michael Fishman</w:t>
            </w:r>
          </w:p>
        </w:tc>
        <w:tc>
          <w:tcPr>
            <w:tcW w:w="80" w:type="dxa"/>
            <w:vAlign w:val="bottom"/>
          </w:tcPr>
          <w:p>
            <w:pPr>
              <w:spacing w:after="0"/>
              <w:rPr>
                <w:sz w:val="21"/>
                <w:szCs w:val="21"/>
                <w:color w:val="auto"/>
              </w:rPr>
            </w:pPr>
          </w:p>
        </w:tc>
        <w:tc>
          <w:tcPr>
            <w:tcW w:w="5820" w:type="dxa"/>
            <w:vAlign w:val="bottom"/>
          </w:tcPr>
          <w:p>
            <w:pPr>
              <w:spacing w:after="0"/>
              <w:rPr>
                <w:sz w:val="21"/>
                <w:szCs w:val="21"/>
                <w:color w:val="auto"/>
              </w:rPr>
            </w:pPr>
          </w:p>
        </w:tc>
      </w:tr>
      <w:tr>
        <w:trPr>
          <w:trHeight w:val="331"/>
        </w:trPr>
        <w:tc>
          <w:tcPr>
            <w:tcW w:w="4300" w:type="dxa"/>
            <w:vAlign w:val="bottom"/>
            <w:tcBorders>
              <w:bottom w:val="single" w:sz="8" w:color="231F20"/>
            </w:tcBorders>
            <w:gridSpan w:val="2"/>
          </w:tcPr>
          <w:p>
            <w:pPr>
              <w:spacing w:after="0"/>
              <w:rPr>
                <w:sz w:val="20"/>
                <w:szCs w:val="20"/>
                <w:color w:val="auto"/>
              </w:rPr>
            </w:pPr>
            <w:r>
              <w:rPr>
                <w:rFonts w:ascii="Times New Roman" w:cs="Times New Roman" w:eastAsia="Times New Roman" w:hAnsi="Times New Roman"/>
                <w:sz w:val="19"/>
                <w:szCs w:val="19"/>
                <w:color w:val="231F20"/>
              </w:rPr>
              <w:t>/s/ Jennifer Gordon</w:t>
            </w:r>
          </w:p>
        </w:tc>
        <w:tc>
          <w:tcPr>
            <w:tcW w:w="80" w:type="dxa"/>
            <w:vAlign w:val="bottom"/>
          </w:tcPr>
          <w:p>
            <w:pPr>
              <w:spacing w:after="0"/>
              <w:rPr>
                <w:sz w:val="24"/>
                <w:szCs w:val="24"/>
                <w:color w:val="auto"/>
              </w:rPr>
            </w:pPr>
          </w:p>
        </w:tc>
        <w:tc>
          <w:tcPr>
            <w:tcW w:w="5820" w:type="dxa"/>
            <w:vAlign w:val="bottom"/>
          </w:tcPr>
          <w:p>
            <w:pPr>
              <w:spacing w:after="0"/>
              <w:rPr>
                <w:sz w:val="20"/>
                <w:szCs w:val="20"/>
                <w:color w:val="auto"/>
              </w:rPr>
            </w:pPr>
            <w:r>
              <w:rPr>
                <w:rFonts w:ascii="Times New Roman" w:cs="Times New Roman" w:eastAsia="Times New Roman" w:hAnsi="Times New Roman"/>
                <w:sz w:val="19"/>
                <w:szCs w:val="19"/>
                <w:color w:val="231F20"/>
              </w:rPr>
              <w:t>Director</w:t>
            </w:r>
          </w:p>
        </w:tc>
      </w:tr>
      <w:tr>
        <w:trPr>
          <w:trHeight w:val="246"/>
        </w:trPr>
        <w:tc>
          <w:tcPr>
            <w:tcW w:w="4300" w:type="dxa"/>
            <w:vAlign w:val="bottom"/>
            <w:gridSpan w:val="2"/>
          </w:tcPr>
          <w:p>
            <w:pPr>
              <w:spacing w:after="0"/>
              <w:rPr>
                <w:sz w:val="20"/>
                <w:szCs w:val="20"/>
                <w:color w:val="auto"/>
              </w:rPr>
            </w:pPr>
            <w:r>
              <w:rPr>
                <w:rFonts w:ascii="Times New Roman" w:cs="Times New Roman" w:eastAsia="Times New Roman" w:hAnsi="Times New Roman"/>
                <w:sz w:val="19"/>
                <w:szCs w:val="19"/>
                <w:color w:val="231F20"/>
              </w:rPr>
              <w:t>Jennifer Gordon</w:t>
            </w:r>
          </w:p>
        </w:tc>
        <w:tc>
          <w:tcPr>
            <w:tcW w:w="80" w:type="dxa"/>
            <w:vAlign w:val="bottom"/>
          </w:tcPr>
          <w:p>
            <w:pPr>
              <w:spacing w:after="0"/>
              <w:rPr>
                <w:sz w:val="21"/>
                <w:szCs w:val="21"/>
                <w:color w:val="auto"/>
              </w:rPr>
            </w:pPr>
          </w:p>
        </w:tc>
        <w:tc>
          <w:tcPr>
            <w:tcW w:w="5820" w:type="dxa"/>
            <w:vAlign w:val="bottom"/>
          </w:tcPr>
          <w:p>
            <w:pPr>
              <w:spacing w:after="0"/>
              <w:rPr>
                <w:sz w:val="21"/>
                <w:szCs w:val="21"/>
                <w:color w:val="auto"/>
              </w:rPr>
            </w:pPr>
          </w:p>
        </w:tc>
      </w:tr>
      <w:tr>
        <w:trPr>
          <w:trHeight w:val="331"/>
        </w:trPr>
        <w:tc>
          <w:tcPr>
            <w:tcW w:w="4300" w:type="dxa"/>
            <w:vAlign w:val="bottom"/>
            <w:gridSpan w:val="2"/>
          </w:tcPr>
          <w:p>
            <w:pPr>
              <w:spacing w:after="0"/>
              <w:rPr>
                <w:sz w:val="20"/>
                <w:szCs w:val="20"/>
                <w:color w:val="auto"/>
              </w:rPr>
            </w:pPr>
            <w:r>
              <w:rPr>
                <w:rFonts w:ascii="Times New Roman" w:cs="Times New Roman" w:eastAsia="Times New Roman" w:hAnsi="Times New Roman"/>
                <w:sz w:val="19"/>
                <w:szCs w:val="19"/>
                <w:color w:val="231F20"/>
              </w:rPr>
              <w:t>/s/ Richard A. Higginbotham</w:t>
            </w:r>
          </w:p>
        </w:tc>
        <w:tc>
          <w:tcPr>
            <w:tcW w:w="80" w:type="dxa"/>
            <w:vAlign w:val="bottom"/>
          </w:tcPr>
          <w:p>
            <w:pPr>
              <w:spacing w:after="0"/>
              <w:rPr>
                <w:sz w:val="24"/>
                <w:szCs w:val="24"/>
                <w:color w:val="auto"/>
              </w:rPr>
            </w:pPr>
          </w:p>
        </w:tc>
        <w:tc>
          <w:tcPr>
            <w:tcW w:w="5820" w:type="dxa"/>
            <w:vAlign w:val="bottom"/>
          </w:tcPr>
          <w:p>
            <w:pPr>
              <w:spacing w:after="0"/>
              <w:rPr>
                <w:sz w:val="20"/>
                <w:szCs w:val="20"/>
                <w:color w:val="auto"/>
              </w:rPr>
            </w:pPr>
            <w:r>
              <w:rPr>
                <w:rFonts w:ascii="Times New Roman" w:cs="Times New Roman" w:eastAsia="Times New Roman" w:hAnsi="Times New Roman"/>
                <w:sz w:val="19"/>
                <w:szCs w:val="19"/>
                <w:color w:val="231F20"/>
              </w:rPr>
              <w:t>Director</w:t>
            </w:r>
          </w:p>
        </w:tc>
      </w:tr>
      <w:tr>
        <w:trPr>
          <w:trHeight w:val="246"/>
        </w:trPr>
        <w:tc>
          <w:tcPr>
            <w:tcW w:w="4280" w:type="dxa"/>
            <w:vAlign w:val="bottom"/>
            <w:tcBorders>
              <w:top w:val="single" w:sz="8" w:color="231F20"/>
            </w:tcBorders>
          </w:tcPr>
          <w:p>
            <w:pPr>
              <w:spacing w:after="0"/>
              <w:rPr>
                <w:sz w:val="20"/>
                <w:szCs w:val="20"/>
                <w:color w:val="auto"/>
              </w:rPr>
            </w:pPr>
            <w:r>
              <w:rPr>
                <w:rFonts w:ascii="Times New Roman" w:cs="Times New Roman" w:eastAsia="Times New Roman" w:hAnsi="Times New Roman"/>
                <w:sz w:val="19"/>
                <w:szCs w:val="19"/>
                <w:color w:val="231F20"/>
              </w:rPr>
              <w:t>Richard A. Higginbotham</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820" w:type="dxa"/>
            <w:vAlign w:val="bottom"/>
          </w:tcPr>
          <w:p>
            <w:pPr>
              <w:spacing w:after="0"/>
              <w:rPr>
                <w:sz w:val="21"/>
                <w:szCs w:val="21"/>
                <w:color w:val="auto"/>
              </w:rPr>
            </w:pPr>
          </w:p>
        </w:tc>
      </w:tr>
      <w:tr>
        <w:trPr>
          <w:trHeight w:val="331"/>
        </w:trPr>
        <w:tc>
          <w:tcPr>
            <w:tcW w:w="4300" w:type="dxa"/>
            <w:vAlign w:val="bottom"/>
            <w:gridSpan w:val="2"/>
          </w:tcPr>
          <w:p>
            <w:pPr>
              <w:spacing w:after="0"/>
              <w:rPr>
                <w:sz w:val="20"/>
                <w:szCs w:val="20"/>
                <w:color w:val="auto"/>
              </w:rPr>
            </w:pPr>
            <w:r>
              <w:rPr>
                <w:rFonts w:ascii="Times New Roman" w:cs="Times New Roman" w:eastAsia="Times New Roman" w:hAnsi="Times New Roman"/>
                <w:sz w:val="19"/>
                <w:szCs w:val="19"/>
                <w:color w:val="231F20"/>
              </w:rPr>
              <w:t>/s/ John A. Ross</w:t>
            </w:r>
          </w:p>
        </w:tc>
        <w:tc>
          <w:tcPr>
            <w:tcW w:w="80" w:type="dxa"/>
            <w:vAlign w:val="bottom"/>
          </w:tcPr>
          <w:p>
            <w:pPr>
              <w:spacing w:after="0"/>
              <w:rPr>
                <w:sz w:val="24"/>
                <w:szCs w:val="24"/>
                <w:color w:val="auto"/>
              </w:rPr>
            </w:pPr>
          </w:p>
        </w:tc>
        <w:tc>
          <w:tcPr>
            <w:tcW w:w="5820" w:type="dxa"/>
            <w:vAlign w:val="bottom"/>
          </w:tcPr>
          <w:p>
            <w:pPr>
              <w:spacing w:after="0"/>
              <w:rPr>
                <w:sz w:val="20"/>
                <w:szCs w:val="20"/>
                <w:color w:val="auto"/>
              </w:rPr>
            </w:pPr>
            <w:r>
              <w:rPr>
                <w:rFonts w:ascii="Times New Roman" w:cs="Times New Roman" w:eastAsia="Times New Roman" w:hAnsi="Times New Roman"/>
                <w:sz w:val="19"/>
                <w:szCs w:val="19"/>
                <w:color w:val="231F20"/>
              </w:rPr>
              <w:t>Director</w:t>
            </w:r>
          </w:p>
        </w:tc>
      </w:tr>
      <w:tr>
        <w:trPr>
          <w:trHeight w:val="246"/>
        </w:trPr>
        <w:tc>
          <w:tcPr>
            <w:tcW w:w="4280" w:type="dxa"/>
            <w:vAlign w:val="bottom"/>
            <w:tcBorders>
              <w:top w:val="single" w:sz="8" w:color="231F20"/>
            </w:tcBorders>
          </w:tcPr>
          <w:p>
            <w:pPr>
              <w:spacing w:after="0"/>
              <w:rPr>
                <w:sz w:val="20"/>
                <w:szCs w:val="20"/>
                <w:color w:val="auto"/>
              </w:rPr>
            </w:pPr>
            <w:r>
              <w:rPr>
                <w:rFonts w:ascii="Times New Roman" w:cs="Times New Roman" w:eastAsia="Times New Roman" w:hAnsi="Times New Roman"/>
                <w:sz w:val="19"/>
                <w:szCs w:val="19"/>
                <w:color w:val="231F20"/>
              </w:rPr>
              <w:t>John A. Ross</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820" w:type="dxa"/>
            <w:vAlign w:val="bottom"/>
          </w:tcPr>
          <w:p>
            <w:pPr>
              <w:spacing w:after="0"/>
              <w:rPr>
                <w:sz w:val="21"/>
                <w:szCs w:val="21"/>
                <w:color w:val="auto"/>
              </w:rPr>
            </w:pPr>
          </w:p>
        </w:tc>
      </w:tr>
      <w:tr>
        <w:trPr>
          <w:trHeight w:val="331"/>
        </w:trPr>
        <w:tc>
          <w:tcPr>
            <w:tcW w:w="4300" w:type="dxa"/>
            <w:vAlign w:val="bottom"/>
            <w:gridSpan w:val="2"/>
          </w:tcPr>
          <w:p>
            <w:pPr>
              <w:spacing w:after="0"/>
              <w:rPr>
                <w:sz w:val="20"/>
                <w:szCs w:val="20"/>
                <w:color w:val="auto"/>
              </w:rPr>
            </w:pPr>
            <w:r>
              <w:rPr>
                <w:rFonts w:ascii="Times New Roman" w:cs="Times New Roman" w:eastAsia="Times New Roman" w:hAnsi="Times New Roman"/>
                <w:sz w:val="19"/>
                <w:szCs w:val="19"/>
                <w:color w:val="231F20"/>
              </w:rPr>
              <w:t>/s/ David Stiepleman</w:t>
            </w:r>
          </w:p>
        </w:tc>
        <w:tc>
          <w:tcPr>
            <w:tcW w:w="80" w:type="dxa"/>
            <w:vAlign w:val="bottom"/>
          </w:tcPr>
          <w:p>
            <w:pPr>
              <w:spacing w:after="0"/>
              <w:rPr>
                <w:sz w:val="24"/>
                <w:szCs w:val="24"/>
                <w:color w:val="auto"/>
              </w:rPr>
            </w:pPr>
          </w:p>
        </w:tc>
        <w:tc>
          <w:tcPr>
            <w:tcW w:w="5820" w:type="dxa"/>
            <w:vAlign w:val="bottom"/>
          </w:tcPr>
          <w:p>
            <w:pPr>
              <w:spacing w:after="0"/>
              <w:rPr>
                <w:sz w:val="20"/>
                <w:szCs w:val="20"/>
                <w:color w:val="auto"/>
              </w:rPr>
            </w:pPr>
            <w:r>
              <w:rPr>
                <w:rFonts w:ascii="Times New Roman" w:cs="Times New Roman" w:eastAsia="Times New Roman" w:hAnsi="Times New Roman"/>
                <w:sz w:val="19"/>
                <w:szCs w:val="19"/>
                <w:color w:val="231F20"/>
              </w:rPr>
              <w:t>Director</w:t>
            </w:r>
          </w:p>
        </w:tc>
      </w:tr>
      <w:tr>
        <w:trPr>
          <w:trHeight w:val="246"/>
        </w:trPr>
        <w:tc>
          <w:tcPr>
            <w:tcW w:w="4280" w:type="dxa"/>
            <w:vAlign w:val="bottom"/>
            <w:tcBorders>
              <w:top w:val="single" w:sz="8" w:color="231F20"/>
            </w:tcBorders>
          </w:tcPr>
          <w:p>
            <w:pPr>
              <w:spacing w:after="0"/>
              <w:rPr>
                <w:sz w:val="20"/>
                <w:szCs w:val="20"/>
                <w:color w:val="auto"/>
              </w:rPr>
            </w:pPr>
            <w:r>
              <w:rPr>
                <w:rFonts w:ascii="Times New Roman" w:cs="Times New Roman" w:eastAsia="Times New Roman" w:hAnsi="Times New Roman"/>
                <w:sz w:val="19"/>
                <w:szCs w:val="19"/>
                <w:color w:val="231F20"/>
              </w:rPr>
              <w:t>David Stiepleman</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820" w:type="dxa"/>
            <w:vAlign w:val="bottom"/>
          </w:tcPr>
          <w:p>
            <w:pPr>
              <w:spacing w:after="0"/>
              <w:rPr>
                <w:sz w:val="21"/>
                <w:szCs w:val="21"/>
                <w:color w:val="auto"/>
              </w:rPr>
            </w:pPr>
          </w:p>
        </w:tc>
      </w:tr>
      <w:tr>
        <w:trPr>
          <w:trHeight w:val="331"/>
        </w:trPr>
        <w:tc>
          <w:tcPr>
            <w:tcW w:w="4300" w:type="dxa"/>
            <w:vAlign w:val="bottom"/>
            <w:gridSpan w:val="2"/>
          </w:tcPr>
          <w:p>
            <w:pPr>
              <w:spacing w:after="0"/>
              <w:rPr>
                <w:sz w:val="20"/>
                <w:szCs w:val="20"/>
                <w:color w:val="auto"/>
              </w:rPr>
            </w:pPr>
            <w:r>
              <w:rPr>
                <w:rFonts w:ascii="Times New Roman" w:cs="Times New Roman" w:eastAsia="Times New Roman" w:hAnsi="Times New Roman"/>
                <w:sz w:val="19"/>
                <w:szCs w:val="19"/>
                <w:color w:val="231F20"/>
              </w:rPr>
              <w:t>/s/ Ronald K. Tanemura</w:t>
            </w:r>
          </w:p>
        </w:tc>
        <w:tc>
          <w:tcPr>
            <w:tcW w:w="80" w:type="dxa"/>
            <w:vAlign w:val="bottom"/>
          </w:tcPr>
          <w:p>
            <w:pPr>
              <w:spacing w:after="0"/>
              <w:rPr>
                <w:sz w:val="24"/>
                <w:szCs w:val="24"/>
                <w:color w:val="auto"/>
              </w:rPr>
            </w:pPr>
          </w:p>
        </w:tc>
        <w:tc>
          <w:tcPr>
            <w:tcW w:w="5820" w:type="dxa"/>
            <w:vAlign w:val="bottom"/>
          </w:tcPr>
          <w:p>
            <w:pPr>
              <w:spacing w:after="0"/>
              <w:rPr>
                <w:sz w:val="20"/>
                <w:szCs w:val="20"/>
                <w:color w:val="auto"/>
              </w:rPr>
            </w:pPr>
            <w:r>
              <w:rPr>
                <w:rFonts w:ascii="Times New Roman" w:cs="Times New Roman" w:eastAsia="Times New Roman" w:hAnsi="Times New Roman"/>
                <w:sz w:val="19"/>
                <w:szCs w:val="19"/>
                <w:color w:val="231F20"/>
              </w:rPr>
              <w:t>Director</w:t>
            </w:r>
          </w:p>
        </w:tc>
      </w:tr>
      <w:tr>
        <w:trPr>
          <w:trHeight w:val="246"/>
        </w:trPr>
        <w:tc>
          <w:tcPr>
            <w:tcW w:w="4280" w:type="dxa"/>
            <w:vAlign w:val="bottom"/>
            <w:tcBorders>
              <w:top w:val="single" w:sz="8" w:color="231F20"/>
            </w:tcBorders>
          </w:tcPr>
          <w:p>
            <w:pPr>
              <w:spacing w:after="0"/>
              <w:rPr>
                <w:sz w:val="20"/>
                <w:szCs w:val="20"/>
                <w:color w:val="auto"/>
              </w:rPr>
            </w:pPr>
            <w:r>
              <w:rPr>
                <w:rFonts w:ascii="Times New Roman" w:cs="Times New Roman" w:eastAsia="Times New Roman" w:hAnsi="Times New Roman"/>
                <w:sz w:val="19"/>
                <w:szCs w:val="19"/>
                <w:color w:val="231F20"/>
              </w:rPr>
              <w:t>Ronald K. Tanemura</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820" w:type="dxa"/>
            <w:vAlign w:val="bottom"/>
          </w:tcPr>
          <w:p>
            <w:pPr>
              <w:spacing w:after="0"/>
              <w:rPr>
                <w:sz w:val="21"/>
                <w:szCs w:val="21"/>
                <w:color w:val="auto"/>
              </w:rPr>
            </w:pPr>
          </w:p>
        </w:tc>
      </w:tr>
    </w:tbl>
    <w:p>
      <w:pPr>
        <w:spacing w:after="0" w:line="200" w:lineRule="exact"/>
        <w:rPr>
          <w:sz w:val="20"/>
          <w:szCs w:val="20"/>
          <w:color w:val="auto"/>
        </w:rPr>
      </w:pPr>
    </w:p>
    <w:p>
      <w:pPr>
        <w:sectPr>
          <w:pgSz w:w="12240" w:h="15840" w:orient="portrait"/>
          <w:cols w:equalWidth="0" w:num="1">
            <w:col w:w="10200"/>
          </w:cols>
          <w:pgMar w:left="1020" w:top="1315" w:right="1020" w:bottom="57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231F20"/>
        </w:rPr>
        <w:t>96</w:t>
      </w:r>
    </w:p>
    <w:sectPr>
      <w:pgSz w:w="12240" w:h="15840" w:orient="portrait"/>
      <w:cols w:equalWidth="0" w:num="1">
        <w:col w:w="10200"/>
      </w:cols>
      <w:pgMar w:left="1020" w:top="1315" w:right="1020" w:bottom="574"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74A3FE6"/>
    <w:multiLevelType w:val="hybridMultilevel"/>
    <w:lvl w:ilvl="0">
      <w:lvlJc w:val="left"/>
      <w:lvlText w:val="%4"/>
      <w:numFmt w:val="bullet"/>
      <w:start w:val="1"/>
    </w:lvl>
  </w:abstractNum>
  <w:abstractNum w:abstractNumId="1">
    <w:nsid w:val="4F4EF005"/>
    <w:multiLevelType w:val="hybridMultilevel"/>
    <w:lvl w:ilvl="0">
      <w:lvlJc w:val="left"/>
      <w:lvlText w:val="%5"/>
      <w:numFmt w:val="bullet"/>
      <w:start w:val="1"/>
    </w:lvl>
  </w:abstractNum>
  <w:abstractNum w:abstractNumId="2">
    <w:nsid w:val="23F9C13C"/>
    <w:multiLevelType w:val="hybridMultilevel"/>
    <w:lvl w:ilvl="0">
      <w:lvlJc w:val="left"/>
      <w:lvlText w:val="•"/>
      <w:numFmt w:val="bullet"/>
      <w:start w:val="1"/>
    </w:lvl>
  </w:abstractNum>
  <w:abstractNum w:abstractNumId="3">
    <w:nsid w:val="649BB77C"/>
    <w:multiLevelType w:val="hybridMultilevel"/>
    <w:lvl w:ilvl="0">
      <w:lvlJc w:val="left"/>
      <w:lvlText w:val="•"/>
      <w:numFmt w:val="bullet"/>
      <w:start w:val="1"/>
    </w:lvl>
  </w:abstractNum>
  <w:abstractNum w:abstractNumId="4">
    <w:nsid w:val="275AC794"/>
    <w:multiLevelType w:val="hybridMultilevel"/>
    <w:lvl w:ilvl="0">
      <w:lvlJc w:val="left"/>
      <w:lvlText w:val="•"/>
      <w:numFmt w:val="bullet"/>
      <w:start w:val="1"/>
    </w:lvl>
  </w:abstractNum>
  <w:abstractNum w:abstractNumId="5">
    <w:nsid w:val="39386575"/>
    <w:multiLevelType w:val="hybridMultilevel"/>
    <w:lvl w:ilvl="0">
      <w:lvlJc w:val="left"/>
      <w:lvlText w:val="•"/>
      <w:numFmt w:val="bullet"/>
      <w:start w:val="1"/>
    </w:lvl>
  </w:abstractNum>
  <w:abstractNum w:abstractNumId="6">
    <w:nsid w:val="1CF10FD8"/>
    <w:multiLevelType w:val="hybridMultilevel"/>
    <w:lvl w:ilvl="0">
      <w:lvlJc w:val="left"/>
      <w:lvlText w:val="•"/>
      <w:numFmt w:val="bullet"/>
      <w:start w:val="1"/>
    </w:lvl>
  </w:abstractNum>
  <w:abstractNum w:abstractNumId="7">
    <w:nsid w:val="180115BE"/>
    <w:multiLevelType w:val="hybridMultilevel"/>
    <w:lvl w:ilvl="0">
      <w:lvlJc w:val="left"/>
      <w:lvlText w:val="•"/>
      <w:numFmt w:val="bullet"/>
      <w:start w:val="1"/>
    </w:lvl>
  </w:abstractNum>
  <w:abstractNum w:abstractNumId="8">
    <w:nsid w:val="235BA861"/>
    <w:multiLevelType w:val="hybridMultilevel"/>
    <w:lvl w:ilvl="0">
      <w:lvlJc w:val="left"/>
      <w:lvlText w:val="•"/>
      <w:numFmt w:val="bullet"/>
      <w:start w:val="1"/>
    </w:lvl>
  </w:abstractNum>
  <w:abstractNum w:abstractNumId="9">
    <w:nsid w:val="47398C89"/>
    <w:multiLevelType w:val="hybridMultilevel"/>
    <w:lvl w:ilvl="0">
      <w:lvlJc w:val="left"/>
      <w:lvlText w:val="•"/>
      <w:numFmt w:val="bullet"/>
      <w:start w:val="1"/>
    </w:lvl>
  </w:abstractNum>
  <w:abstractNum w:abstractNumId="10">
    <w:nsid w:val="354FE9F9"/>
    <w:multiLevelType w:val="hybridMultilevel"/>
    <w:lvl w:ilvl="0">
      <w:lvlJc w:val="left"/>
      <w:lvlText w:val="•"/>
      <w:numFmt w:val="bullet"/>
      <w:start w:val="1"/>
    </w:lvl>
  </w:abstractNum>
  <w:abstractNum w:abstractNumId="11">
    <w:nsid w:val="15B5AF5C"/>
    <w:multiLevelType w:val="hybridMultilevel"/>
    <w:lvl w:ilvl="0">
      <w:lvlJc w:val="left"/>
      <w:lvlText w:val="•"/>
      <w:numFmt w:val="bullet"/>
      <w:start w:val="1"/>
    </w:lvl>
  </w:abstractNum>
  <w:abstractNum w:abstractNumId="12">
    <w:nsid w:val="741226BB"/>
    <w:multiLevelType w:val="hybridMultilevel"/>
    <w:lvl w:ilvl="0">
      <w:lvlJc w:val="left"/>
      <w:lvlText w:val="•"/>
      <w:numFmt w:val="bullet"/>
      <w:start w:val="1"/>
    </w:lvl>
  </w:abstractNum>
  <w:abstractNum w:abstractNumId="13">
    <w:nsid w:val="D34B6A8"/>
    <w:multiLevelType w:val="hybridMultilevel"/>
    <w:lvl w:ilvl="0">
      <w:lvlJc w:val="left"/>
      <w:lvlText w:val="(%1)"/>
      <w:numFmt w:val="decimal"/>
      <w:start w:val="1"/>
    </w:lvl>
  </w:abstractNum>
  <w:abstractNum w:abstractNumId="14">
    <w:nsid w:val="10233C99"/>
    <w:multiLevelType w:val="hybridMultilevel"/>
    <w:lvl w:ilvl="0">
      <w:lvlJc w:val="left"/>
      <w:lvlText w:val="(%1)"/>
      <w:numFmt w:val="decimal"/>
      <w:start w:val="1"/>
    </w:lvl>
  </w:abstractNum>
  <w:abstractNum w:abstractNumId="15">
    <w:nsid w:val="3F6AB60F"/>
    <w:multiLevelType w:val="hybridMultilevel"/>
    <w:lvl w:ilvl="0">
      <w:lvlJc w:val="left"/>
      <w:lvlText w:val="(%1)"/>
      <w:numFmt w:val="decimal"/>
      <w:start w:val="1"/>
    </w:lvl>
  </w:abstractNum>
  <w:abstractNum w:abstractNumId="16">
    <w:nsid w:val="61574095"/>
    <w:multiLevelType w:val="hybridMultilevel"/>
    <w:lvl w:ilvl="0">
      <w:lvlJc w:val="left"/>
      <w:lvlText w:val="(%1)"/>
      <w:numFmt w:val="decimal"/>
      <w:start w:val="1"/>
    </w:lvl>
  </w:abstractNum>
  <w:abstractNum w:abstractNumId="17">
    <w:nsid w:val="7E0C57B1"/>
    <w:multiLevelType w:val="hybridMultilevel"/>
    <w:lvl w:ilvl="0">
      <w:lvlJc w:val="left"/>
      <w:lvlText w:val="(%1)"/>
      <w:numFmt w:val="decimal"/>
      <w:start w:val="1"/>
    </w:lvl>
  </w:abstractNum>
  <w:abstractNum w:abstractNumId="18">
    <w:nsid w:val="77AE35EB"/>
    <w:multiLevelType w:val="hybridMultilevel"/>
    <w:lvl w:ilvl="0">
      <w:lvlJc w:val="left"/>
      <w:lvlText w:val="(%1)"/>
      <w:numFmt w:val="decimal"/>
      <w:start w:val="2"/>
    </w:lvl>
  </w:abstractNum>
  <w:abstractNum w:abstractNumId="19">
    <w:nsid w:val="579BE4F1"/>
    <w:multiLevelType w:val="hybridMultilevel"/>
    <w:lvl w:ilvl="0">
      <w:lvlJc w:val="left"/>
      <w:lvlText w:val="•"/>
      <w:numFmt w:val="bullet"/>
      <w:start w:val="1"/>
    </w:lvl>
  </w:abstractNum>
  <w:abstractNum w:abstractNumId="20">
    <w:nsid w:val="310C50B3"/>
    <w:multiLevelType w:val="hybridMultilevel"/>
    <w:lvl w:ilvl="0">
      <w:lvlJc w:val="left"/>
      <w:lvlText w:val="(%1)"/>
      <w:numFmt w:val="lowerRoman"/>
      <w:start w:val="2"/>
    </w:lvl>
  </w:abstractNum>
  <w:abstractNum w:abstractNumId="21">
    <w:nsid w:val="5FF87E05"/>
    <w:multiLevelType w:val="hybridMultilevel"/>
    <w:lvl w:ilvl="0">
      <w:lvlJc w:val="left"/>
      <w:lvlText w:val="•"/>
      <w:numFmt w:val="bullet"/>
      <w:start w:val="1"/>
    </w:lvl>
  </w:abstractNum>
  <w:abstractNum w:abstractNumId="22">
    <w:nsid w:val="2F305DEF"/>
    <w:multiLevelType w:val="hybridMultilevel"/>
    <w:lvl w:ilvl="0">
      <w:lvlJc w:val="left"/>
      <w:lvlText w:val="•"/>
      <w:numFmt w:val="bullet"/>
      <w:start w:val="1"/>
    </w:lvl>
  </w:abstractNum>
  <w:abstractNum w:abstractNumId="23">
    <w:nsid w:val="25A70BF7"/>
    <w:multiLevelType w:val="hybridMultilevel"/>
    <w:lvl w:ilvl="0">
      <w:lvlJc w:val="left"/>
      <w:lvlText w:val="(%1)"/>
      <w:numFmt w:val="lowerRoman"/>
      <w:start w:val="1"/>
    </w:lvl>
  </w:abstractNum>
  <w:abstractNum w:abstractNumId="24">
    <w:nsid w:val="1DBABF00"/>
    <w:multiLevelType w:val="hybridMultilevel"/>
    <w:lvl w:ilvl="0">
      <w:lvlJc w:val="left"/>
      <w:lvlText w:val="•"/>
      <w:numFmt w:val="bullet"/>
      <w:start w:val="1"/>
    </w:lvl>
  </w:abstractNum>
  <w:abstractNum w:abstractNumId="25">
    <w:nsid w:val="4AD084E9"/>
    <w:multiLevelType w:val="hybridMultilevel"/>
    <w:lvl w:ilvl="0">
      <w:lvlJc w:val="left"/>
      <w:lvlText w:val="•"/>
      <w:numFmt w:val="bullet"/>
      <w:start w:val="1"/>
    </w:lvl>
  </w:abstractNum>
  <w:abstractNum w:abstractNumId="26">
    <w:nsid w:val="1F48EAA1"/>
    <w:multiLevelType w:val="hybridMultilevel"/>
    <w:lvl w:ilvl="0">
      <w:lvlJc w:val="left"/>
      <w:lvlText w:val="•"/>
      <w:numFmt w:val="bullet"/>
      <w:start w:val="1"/>
    </w:lvl>
  </w:abstractNum>
  <w:abstractNum w:abstractNumId="27">
    <w:nsid w:val="1381823A"/>
    <w:multiLevelType w:val="hybridMultilevel"/>
    <w:lvl w:ilvl="0">
      <w:lvlJc w:val="left"/>
      <w:lvlText w:val="•"/>
      <w:numFmt w:val="bullet"/>
      <w:start w:val="1"/>
    </w:lvl>
  </w:abstractNum>
  <w:abstractNum w:abstractNumId="28">
    <w:nsid w:val="5DB70AE5"/>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29">
    <w:nsid w:val="100F8FCA"/>
    <w:multiLevelType w:val="hybridMultilevel"/>
    <w:lvl w:ilvl="0">
      <w:lvlJc w:val="left"/>
      <w:lvlText w:val="•"/>
      <w:numFmt w:val="bullet"/>
      <w:start w:val="1"/>
    </w:lvl>
    <w:lvl w:ilvl="1">
      <w:lvlJc w:val="left"/>
      <w:lvlText w:val="•"/>
      <w:numFmt w:val="bullet"/>
      <w:start w:val="1"/>
    </w:lvl>
  </w:abstractNum>
  <w:abstractNum w:abstractNumId="30">
    <w:nsid w:val="6590700B"/>
    <w:multiLevelType w:val="hybridMultilevel"/>
    <w:lvl w:ilvl="0">
      <w:lvlJc w:val="left"/>
      <w:lvlText w:val="•"/>
      <w:numFmt w:val="bullet"/>
      <w:start w:val="1"/>
    </w:lvl>
  </w:abstractNum>
  <w:abstractNum w:abstractNumId="31">
    <w:nsid w:val="15014ACB"/>
    <w:multiLevelType w:val="hybridMultilevel"/>
    <w:lvl w:ilvl="0">
      <w:lvlJc w:val="left"/>
      <w:lvlText w:val="•"/>
      <w:numFmt w:val="bullet"/>
      <w:start w:val="1"/>
    </w:lvl>
  </w:abstractNum>
  <w:abstractNum w:abstractNumId="32">
    <w:nsid w:val="5F5E7FD0"/>
    <w:multiLevelType w:val="hybridMultilevel"/>
    <w:lvl w:ilvl="0">
      <w:lvlJc w:val="left"/>
      <w:lvlText w:val="•"/>
      <w:numFmt w:val="bullet"/>
      <w:start w:val="1"/>
    </w:lvl>
  </w:abstractNum>
  <w:abstractNum w:abstractNumId="33">
    <w:nsid w:val="98A3148"/>
    <w:multiLevelType w:val="hybridMultilevel"/>
    <w:lvl w:ilvl="0">
      <w:lvlJc w:val="left"/>
      <w:lvlText w:val="•"/>
      <w:numFmt w:val="bullet"/>
      <w:start w:val="1"/>
    </w:lvl>
  </w:abstractNum>
  <w:abstractNum w:abstractNumId="34">
    <w:nsid w:val="799D0247"/>
    <w:multiLevelType w:val="hybridMultilevel"/>
    <w:lvl w:ilvl="0">
      <w:lvlJc w:val="left"/>
      <w:lvlText w:val="•"/>
      <w:numFmt w:val="bullet"/>
      <w:start w:val="1"/>
    </w:lvl>
  </w:abstractNum>
  <w:abstractNum w:abstractNumId="35">
    <w:nsid w:val="6B94764"/>
    <w:multiLevelType w:val="hybridMultilevel"/>
    <w:lvl w:ilvl="0">
      <w:lvlJc w:val="left"/>
      <w:lvlText w:val="•"/>
      <w:numFmt w:val="bullet"/>
      <w:start w:val="1"/>
    </w:lvl>
  </w:abstractNum>
  <w:abstractNum w:abstractNumId="36">
    <w:nsid w:val="42C296BD"/>
    <w:multiLevelType w:val="hybridMultilevel"/>
    <w:lvl w:ilvl="0">
      <w:lvlJc w:val="left"/>
      <w:lvlText w:val="•"/>
      <w:numFmt w:val="bullet"/>
      <w:start w:val="1"/>
    </w:lvl>
  </w:abstractNum>
  <w:abstractNum w:abstractNumId="37">
    <w:nsid w:val="168E121F"/>
    <w:multiLevelType w:val="hybridMultilevel"/>
    <w:lvl w:ilvl="0">
      <w:lvlJc w:val="left"/>
      <w:lvlText w:val="•"/>
      <w:numFmt w:val="bullet"/>
      <w:start w:val="1"/>
    </w:lvl>
  </w:abstractNum>
  <w:abstractNum w:abstractNumId="38">
    <w:nsid w:val="1EBA5D23"/>
    <w:multiLevelType w:val="hybridMultilevel"/>
    <w:lvl w:ilvl="0">
      <w:lvlJc w:val="left"/>
      <w:lvlText w:val="(%1)"/>
      <w:numFmt w:val="decimal"/>
      <w:start w:val="1"/>
    </w:lvl>
  </w:abstractNum>
  <w:abstractNum w:abstractNumId="39">
    <w:nsid w:val="661E3F1E"/>
    <w:multiLevelType w:val="hybridMultilevel"/>
    <w:lvl w:ilvl="0">
      <w:lvlJc w:val="left"/>
      <w:lvlText w:val="•"/>
      <w:numFmt w:val="bullet"/>
      <w:start w:val="1"/>
    </w:lvl>
  </w:abstractNum>
  <w:abstractNum w:abstractNumId="40">
    <w:nsid w:val="5DC79EA8"/>
    <w:multiLevelType w:val="hybridMultilevel"/>
    <w:lvl w:ilvl="0">
      <w:lvlJc w:val="left"/>
      <w:lvlText w:val="•"/>
      <w:numFmt w:val="bullet"/>
      <w:start w:val="1"/>
    </w:lvl>
  </w:abstractNum>
  <w:abstractNum w:abstractNumId="41">
    <w:nsid w:val="540A471C"/>
    <w:multiLevelType w:val="hybridMultilevel"/>
    <w:lvl w:ilvl="0">
      <w:lvlJc w:val="left"/>
      <w:lvlText w:val="•"/>
      <w:numFmt w:val="bullet"/>
      <w:start w:val="1"/>
    </w:lvl>
  </w:abstractNum>
  <w:abstractNum w:abstractNumId="42">
    <w:nsid w:val="7BD3EE7B"/>
    <w:multiLevelType w:val="hybridMultilevel"/>
    <w:lvl w:ilvl="0">
      <w:lvlJc w:val="left"/>
      <w:lvlText w:val="•"/>
      <w:numFmt w:val="bullet"/>
      <w:start w:val="1"/>
    </w:lvl>
  </w:abstractNum>
  <w:abstractNum w:abstractNumId="43">
    <w:nsid w:val="51D9C564"/>
    <w:multiLevelType w:val="hybridMultilevel"/>
    <w:lvl w:ilvl="0">
      <w:lvlJc w:val="left"/>
      <w:lvlText w:val="•"/>
      <w:numFmt w:val="bullet"/>
      <w:start w:val="1"/>
    </w:lvl>
  </w:abstractNum>
  <w:abstractNum w:abstractNumId="44">
    <w:nsid w:val="613EFDC5"/>
    <w:multiLevelType w:val="hybridMultilevel"/>
    <w:lvl w:ilvl="0">
      <w:lvlJc w:val="left"/>
      <w:lvlText w:val="•"/>
      <w:numFmt w:val="bullet"/>
      <w:start w:val="1"/>
    </w:lvl>
  </w:abstractNum>
  <w:abstractNum w:abstractNumId="45">
    <w:nsid w:val="BF72B14"/>
    <w:multiLevelType w:val="hybridMultilevel"/>
    <w:lvl w:ilvl="0">
      <w:lvlJc w:val="left"/>
      <w:lvlText w:val="•"/>
      <w:numFmt w:val="bullet"/>
      <w:start w:val="1"/>
    </w:lvl>
  </w:abstractNum>
  <w:abstractNum w:abstractNumId="46">
    <w:nsid w:val="11447B73"/>
    <w:multiLevelType w:val="hybridMultilevel"/>
    <w:lvl w:ilvl="0">
      <w:lvlJc w:val="left"/>
      <w:lvlText w:val="•"/>
      <w:numFmt w:val="bullet"/>
      <w:start w:val="1"/>
    </w:lvl>
  </w:abstractNum>
  <w:abstractNum w:abstractNumId="47">
    <w:nsid w:val="42963E5A"/>
    <w:multiLevelType w:val="hybridMultilevel"/>
    <w:lvl w:ilvl="0">
      <w:lvlJc w:val="left"/>
      <w:lvlText w:val="•"/>
      <w:numFmt w:val="bullet"/>
      <w:start w:val="1"/>
    </w:lvl>
  </w:abstractNum>
  <w:abstractNum w:abstractNumId="48">
    <w:nsid w:val="A0382C5"/>
    <w:multiLevelType w:val="hybridMultilevel"/>
    <w:lvl w:ilvl="0">
      <w:lvlJc w:val="left"/>
      <w:lvlText w:val="•"/>
      <w:numFmt w:val="bullet"/>
      <w:start w:val="1"/>
    </w:lvl>
  </w:abstractNum>
  <w:abstractNum w:abstractNumId="49">
    <w:nsid w:val="8F2B15E"/>
    <w:multiLevelType w:val="hybridMultilevel"/>
    <w:lvl w:ilvl="0">
      <w:lvlJc w:val="left"/>
      <w:lvlText w:val="(%1)"/>
      <w:numFmt w:val="decimal"/>
      <w:start w:val="1"/>
    </w:lvl>
  </w:abstractNum>
  <w:abstractNum w:abstractNumId="50">
    <w:nsid w:val="1A32234B"/>
    <w:multiLevelType w:val="hybridMultilevel"/>
    <w:lvl w:ilvl="0">
      <w:lvlJc w:val="left"/>
      <w:lvlText w:val="•"/>
      <w:numFmt w:val="bullet"/>
      <w:start w:val="1"/>
    </w:lvl>
  </w:abstractNum>
  <w:abstractNum w:abstractNumId="51">
    <w:nsid w:val="3B0FD379"/>
    <w:multiLevelType w:val="hybridMultilevel"/>
    <w:lvl w:ilvl="0">
      <w:lvlJc w:val="left"/>
      <w:lvlText w:val="•"/>
      <w:numFmt w:val="bullet"/>
      <w:start w:val="1"/>
    </w:lvl>
  </w:abstractNum>
  <w:abstractNum w:abstractNumId="52">
    <w:nsid w:val="68EB2F63"/>
    <w:multiLevelType w:val="hybridMultilevel"/>
    <w:lvl w:ilvl="0">
      <w:lvlJc w:val="left"/>
      <w:lvlText w:val="•"/>
      <w:numFmt w:val="bullet"/>
      <w:start w:val="1"/>
    </w:lvl>
  </w:abstractNum>
  <w:abstractNum w:abstractNumId="53">
    <w:nsid w:val="4962813B"/>
    <w:multiLevelType w:val="hybridMultilevel"/>
    <w:lvl w:ilvl="0">
      <w:lvlJc w:val="left"/>
      <w:lvlText w:val="(%1)"/>
      <w:numFmt w:val="decimal"/>
      <w:start w:val="1"/>
    </w:lvl>
  </w:abstractNum>
  <w:abstractNum w:abstractNumId="54">
    <w:nsid w:val="60B6DF70"/>
    <w:multiLevelType w:val="hybridMultilevel"/>
    <w:lvl w:ilvl="0">
      <w:lvlJc w:val="left"/>
      <w:lvlText w:val="(%1)"/>
      <w:numFmt w:val="decimal"/>
      <w:start w:val="1"/>
    </w:lvl>
  </w:abstractNum>
  <w:abstractNum w:abstractNumId="55">
    <w:nsid w:val="6A5EE64"/>
    <w:multiLevelType w:val="hybridMultilevel"/>
    <w:lvl w:ilvl="0">
      <w:lvlJc w:val="left"/>
      <w:lvlText w:val="•"/>
      <w:numFmt w:val="bullet"/>
      <w:start w:val="1"/>
    </w:lvl>
  </w:abstractNum>
  <w:abstractNum w:abstractNumId="56">
    <w:nsid w:val="14330624"/>
    <w:multiLevelType w:val="hybridMultilevel"/>
    <w:lvl w:ilvl="0">
      <w:lvlJc w:val="left"/>
      <w:lvlText w:val="•"/>
      <w:numFmt w:val="bullet"/>
      <w:start w:val="1"/>
    </w:lvl>
  </w:abstractNum>
  <w:abstractNum w:abstractNumId="57">
    <w:nsid w:val="7FFFCA11"/>
    <w:multiLevelType w:val="hybridMultilevel"/>
    <w:lvl w:ilvl="0">
      <w:lvlJc w:val="left"/>
      <w:lvlText w:val="•"/>
      <w:numFmt w:val="bullet"/>
      <w:start w:val="1"/>
    </w:lvl>
  </w:abstractNum>
  <w:abstractNum w:abstractNumId="58">
    <w:nsid w:val="1A27709E"/>
    <w:multiLevelType w:val="hybridMultilevel"/>
    <w:lvl w:ilvl="0">
      <w:lvlJc w:val="left"/>
      <w:lvlText w:val="•"/>
      <w:numFmt w:val="bullet"/>
      <w:start w:val="1"/>
    </w:lvl>
  </w:abstractNum>
  <w:abstractNum w:abstractNumId="59">
    <w:nsid w:val="71EA1109"/>
    <w:multiLevelType w:val="hybridMultilevel"/>
    <w:lvl w:ilvl="0">
      <w:lvlJc w:val="left"/>
      <w:lvlText w:val="•"/>
      <w:numFmt w:val="bullet"/>
      <w:start w:val="1"/>
    </w:lvl>
  </w:abstractNum>
  <w:abstractNum w:abstractNumId="60">
    <w:nsid w:val="100F59DC"/>
    <w:multiLevelType w:val="hybridMultilevel"/>
    <w:lvl w:ilvl="0">
      <w:lvlJc w:val="left"/>
      <w:lvlText w:val="(%1)"/>
      <w:numFmt w:val="decimal"/>
      <w:start w:val="1"/>
    </w:lvl>
  </w:abstractNum>
  <w:abstractNum w:abstractNumId="61">
    <w:nsid w:val="7FB7E0AA"/>
    <w:multiLevelType w:val="hybridMultilevel"/>
    <w:lvl w:ilvl="0">
      <w:lvlJc w:val="left"/>
      <w:lvlText w:val="(%1)"/>
      <w:numFmt w:val="decimal"/>
      <w:start w:val="1"/>
    </w:lvl>
  </w:abstractNum>
  <w:abstractNum w:abstractNumId="62">
    <w:nsid w:val="6EB5BD4"/>
    <w:multiLevelType w:val="hybridMultilevel"/>
    <w:lvl w:ilvl="0">
      <w:lvlJc w:val="left"/>
      <w:lvlText w:val="(%1)"/>
      <w:numFmt w:val="decimal"/>
      <w:start w:val="1"/>
    </w:lvl>
  </w:abstractNum>
  <w:abstractNum w:abstractNumId="63">
    <w:nsid w:val="6F6DD9AC"/>
    <w:multiLevelType w:val="hybridMultilevel"/>
    <w:lvl w:ilvl="0">
      <w:lvlJc w:val="left"/>
      <w:lvlText w:val="•"/>
      <w:numFmt w:val="bullet"/>
      <w:start w:val="1"/>
    </w:lvl>
  </w:abstractNum>
  <w:abstractNum w:abstractNumId="64">
    <w:nsid w:val="94211F2"/>
    <w:multiLevelType w:val="hybridMultilevel"/>
    <w:lvl w:ilvl="0">
      <w:lvlJc w:val="left"/>
      <w:lvlText w:val="•"/>
      <w:numFmt w:val="bullet"/>
      <w:start w:val="1"/>
    </w:lvl>
  </w:abstractNum>
  <w:abstractNum w:abstractNumId="65">
    <w:nsid w:val="885E1B"/>
    <w:multiLevelType w:val="hybridMultilevel"/>
    <w:lvl w:ilvl="0">
      <w:lvlJc w:val="left"/>
      <w:lvlText w:val="•"/>
      <w:numFmt w:val="bullet"/>
      <w:start w:val="1"/>
    </w:lvl>
  </w:abstractNum>
  <w:abstractNum w:abstractNumId="66">
    <w:nsid w:val="76272110"/>
    <w:multiLevelType w:val="hybridMultilevel"/>
    <w:lvl w:ilvl="0">
      <w:lvlJc w:val="left"/>
      <w:lvlText w:val="•"/>
      <w:numFmt w:val="bullet"/>
      <w:start w:val="1"/>
    </w:lvl>
  </w:abstractNum>
  <w:abstractNum w:abstractNumId="67">
    <w:nsid w:val="4C04A8AF"/>
    <w:multiLevelType w:val="hybridMultilevel"/>
    <w:lvl w:ilvl="0">
      <w:lvlJc w:val="left"/>
      <w:lvlText w:val="•"/>
      <w:numFmt w:val="bullet"/>
      <w:start w:val="1"/>
    </w:lvl>
  </w:abstractNum>
  <w:abstractNum w:abstractNumId="68">
    <w:nsid w:val="1716703B"/>
    <w:multiLevelType w:val="hybridMultilevel"/>
    <w:lvl w:ilvl="0">
      <w:lvlJc w:val="left"/>
      <w:lvlText w:val="•"/>
      <w:numFmt w:val="bullet"/>
      <w:start w:val="1"/>
    </w:lvl>
  </w:abstractNum>
  <w:abstractNum w:abstractNumId="69">
    <w:nsid w:val="14E17E33"/>
    <w:multiLevelType w:val="hybridMultilevel"/>
    <w:lvl w:ilvl="0">
      <w:lvlJc w:val="left"/>
      <w:lvlText w:val="%1"/>
      <w:numFmt w:val="decimal"/>
      <w:start w:val="1"/>
    </w:lvl>
    <w:lvl w:ilvl="1">
      <w:lvlJc w:val="left"/>
      <w:lvlText w:val="%2)"/>
      <w:numFmt w:val="lowerLetter"/>
      <w:start w:val="1"/>
    </w:lvl>
  </w:abstractNum>
  <w:abstractNum w:abstractNumId="70">
    <w:nsid w:val="3222E7CD"/>
    <w:multiLevelType w:val="hybridMultilevel"/>
    <w:lvl w:ilvl="0">
      <w:lvlJc w:val="left"/>
      <w:lvlText w:val="(%1)"/>
      <w:numFmt w:val="decimal"/>
      <w:start w:val="1"/>
    </w:lvl>
    <w:lvl w:ilvl="1">
      <w:lvlJc w:val="left"/>
      <w:lvlText w:val="%2"/>
      <w:numFmt w:val="lowerLetter"/>
      <w:start w:val="1"/>
    </w:lvl>
  </w:abstractNum>
  <w:abstractNum w:abstractNumId="71">
    <w:nsid w:val="74DE0EE3"/>
    <w:multiLevelType w:val="hybridMultilevel"/>
    <w:lvl w:ilvl="0">
      <w:lvlJc w:val="left"/>
      <w:lvlText w:val="(%1)"/>
      <w:numFmt w:val="decimal"/>
      <w:start w:val="3"/>
    </w:lvl>
  </w:abstractNum>
  <w:abstractNum w:abstractNumId="72">
    <w:nsid w:val="68EBC550"/>
    <w:multiLevelType w:val="hybridMultilevel"/>
    <w:lvl w:ilvl="0">
      <w:lvlJc w:val="left"/>
      <w:lvlText w:val="%1"/>
      <w:numFmt w:val="decimal"/>
      <w:start w:val="1"/>
    </w:lvl>
    <w:lvl w:ilvl="1">
      <w:lvlJc w:val="left"/>
      <w:lvlText w:val="(%2)"/>
      <w:numFmt w:val="lowerLetter"/>
      <w:start w:val="1"/>
    </w:lvl>
  </w:abstractNum>
  <w:abstractNum w:abstractNumId="73">
    <w:nsid w:val="2DF6D648"/>
    <w:multiLevelType w:val="hybridMultilevel"/>
    <w:lvl w:ilvl="0">
      <w:lvlJc w:val="left"/>
      <w:lvlText w:val="(%1)"/>
      <w:numFmt w:val="decimal"/>
      <w:start w:val="7"/>
    </w:lvl>
    <w:lvl w:ilvl="1">
      <w:lvlJc w:val="left"/>
      <w:lvlText w:val="%2"/>
      <w:numFmt w:val="lowerLetter"/>
      <w:start w:val="1"/>
    </w:lvl>
  </w:abstractNum>
  <w:abstractNum w:abstractNumId="74">
    <w:nsid w:val="46B7D447"/>
    <w:multiLevelType w:val="hybridMultilevel"/>
    <w:lvl w:ilvl="0">
      <w:lvlJc w:val="left"/>
      <w:lvlText w:val="%1"/>
      <w:numFmt w:val="decimal"/>
      <w:start w:val="1"/>
    </w:lvl>
    <w:lvl w:ilvl="1">
      <w:lvlJc w:val="left"/>
      <w:lvlText w:val="(%2)"/>
      <w:numFmt w:val="lowerLetter"/>
      <w:start w:val="1"/>
    </w:lvl>
  </w:abstractNum>
  <w:abstractNum w:abstractNumId="75">
    <w:nsid w:val="4A2AC315"/>
    <w:multiLevelType w:val="hybridMultilevel"/>
    <w:lvl w:ilvl="0">
      <w:lvlJc w:val="left"/>
      <w:lvlText w:val="(%1)"/>
      <w:numFmt w:val="decimal"/>
      <w:start w:val="1"/>
    </w:lvl>
    <w:lvl w:ilvl="1">
      <w:lvlJc w:val="left"/>
      <w:lvlText w:val="%2"/>
      <w:numFmt w:val="lowerLetter"/>
      <w:start w:val="1"/>
    </w:lvl>
  </w:abstractNum>
  <w:abstractNum w:abstractNumId="76">
    <w:nsid w:val="39EE015C"/>
    <w:multiLevelType w:val="hybridMultilevel"/>
    <w:lvl w:ilvl="0">
      <w:lvlJc w:val="left"/>
      <w:lvlText w:val="%1"/>
      <w:numFmt w:val="decimal"/>
      <w:start w:val="1"/>
    </w:lvl>
    <w:lvl w:ilvl="1">
      <w:lvlJc w:val="left"/>
      <w:lvlText w:val="(%2)"/>
      <w:numFmt w:val="lowerLetter"/>
      <w:start w:val="1"/>
    </w:lvl>
  </w:abstractNum>
  <w:abstractNum w:abstractNumId="77">
    <w:nsid w:val="57FC4FBB"/>
    <w:multiLevelType w:val="hybridMultilevel"/>
    <w:lvl w:ilvl="0">
      <w:lvlJc w:val="left"/>
      <w:lvlText w:val="(%1)"/>
      <w:numFmt w:val="decimal"/>
      <w:start w:val="7"/>
    </w:lvl>
    <w:lvl w:ilvl="1">
      <w:lvlJc w:val="left"/>
      <w:lvlText w:val="%2"/>
      <w:numFmt w:val="lowerLetter"/>
      <w:start w:val="1"/>
    </w:lvl>
  </w:abstractNum>
  <w:abstractNum w:abstractNumId="78">
    <w:nsid w:val="CC1016F"/>
    <w:multiLevelType w:val="hybridMultilevel"/>
    <w:lvl w:ilvl="0">
      <w:lvlJc w:val="left"/>
      <w:lvlText w:val="(%1)"/>
      <w:numFmt w:val="decimal"/>
      <w:start w:val="1"/>
    </w:lvl>
  </w:abstractNum>
  <w:abstractNum w:abstractNumId="79">
    <w:nsid w:val="43F18422"/>
    <w:multiLevelType w:val="hybridMultilevel"/>
    <w:lvl w:ilvl="0">
      <w:lvlJc w:val="left"/>
      <w:lvlText w:val="%1."/>
      <w:numFmt w:val="decimal"/>
      <w:start w:val="1"/>
    </w:lvl>
  </w:abstractNum>
  <w:abstractNum w:abstractNumId="80">
    <w:nsid w:val="60EF0119"/>
    <w:multiLevelType w:val="hybridMultilevel"/>
    <w:lvl w:ilvl="0">
      <w:lvlJc w:val="left"/>
      <w:lvlText w:val="%1."/>
      <w:numFmt w:val="decimal"/>
      <w:start w:val="2"/>
    </w:lvl>
  </w:abstractNum>
  <w:abstractNum w:abstractNumId="81">
    <w:nsid w:val="26F324BA"/>
    <w:multiLevelType w:val="hybridMultilevel"/>
    <w:lvl w:ilvl="0">
      <w:lvlJc w:val="left"/>
      <w:lvlText w:val="•"/>
      <w:numFmt w:val="bullet"/>
      <w:start w:val="1"/>
    </w:lvl>
  </w:abstractNum>
  <w:abstractNum w:abstractNumId="82">
    <w:nsid w:val="7F01579B"/>
    <w:multiLevelType w:val="hybridMultilevel"/>
    <w:lvl w:ilvl="0">
      <w:lvlJc w:val="left"/>
      <w:lvlText w:val="•"/>
      <w:numFmt w:val="bullet"/>
      <w:start w:val="1"/>
    </w:lvl>
  </w:abstractNum>
  <w:abstractNum w:abstractNumId="83">
    <w:nsid w:val="49DA307D"/>
    <w:multiLevelType w:val="hybridMultilevel"/>
    <w:lvl w:ilvl="0">
      <w:lvlJc w:val="left"/>
      <w:lvlText w:val="•"/>
      <w:numFmt w:val="bullet"/>
      <w:start w:val="1"/>
    </w:lvl>
  </w:abstractNum>
  <w:abstractNum w:abstractNumId="84">
    <w:nsid w:val="7055A5F5"/>
    <w:multiLevelType w:val="hybridMultilevel"/>
    <w:lvl w:ilvl="0">
      <w:lvlJc w:val="left"/>
      <w:lvlText w:val="%1."/>
      <w:numFmt w:val="decimal"/>
      <w:start w:val="3"/>
    </w:lvl>
  </w:abstractNum>
  <w:abstractNum w:abstractNumId="85">
    <w:nsid w:val="5FB8370B"/>
    <w:multiLevelType w:val="hybridMultilevel"/>
    <w:lvl w:ilvl="0">
      <w:lvlJc w:val="left"/>
      <w:lvlText w:val="%1."/>
      <w:numFmt w:val="decimal"/>
      <w:start w:val="1"/>
    </w:lvl>
  </w:abstractNum>
  <w:abstractNum w:abstractNumId="86">
    <w:nsid w:val="50801EE1"/>
    <w:multiLevelType w:val="hybridMultilevel"/>
    <w:lvl w:ilvl="0">
      <w:lvlJc w:val="left"/>
      <w:lvlText w:val="%1."/>
      <w:numFmt w:val="decimal"/>
      <w:start w:val="2"/>
    </w:lvl>
  </w:abstractNum>
  <w:abstractNum w:abstractNumId="87">
    <w:nsid w:val="488AC1A"/>
    <w:multiLevelType w:val="hybridMultilevel"/>
    <w:lvl w:ilvl="0">
      <w:lvlJc w:val="left"/>
      <w:lvlText w:val="(%1)"/>
      <w:numFmt w:val="decimal"/>
      <w:start w:val="1"/>
    </w:lvl>
  </w:abstractNum>
  <w:abstractNum w:abstractNumId="88">
    <w:nsid w:val="5FB8011C"/>
    <w:multiLevelType w:val="hybridMultilevel"/>
    <w:lvl w:ilvl="0">
      <w:lvlJc w:val="left"/>
      <w:lvlText w:val="%1"/>
      <w:numFmt w:val="decimal"/>
      <w:start w:val="1"/>
    </w:lvl>
    <w:lvl w:ilvl="1">
      <w:lvlJc w:val="left"/>
      <w:lvlText w:val="(%2)"/>
      <w:numFmt w:val="decimal"/>
      <w:start w:val="1"/>
    </w:lvl>
  </w:abstractNum>
  <w:abstractNum w:abstractNumId="89">
    <w:nsid w:val="6AA78F7F"/>
    <w:multiLevelType w:val="hybridMultilevel"/>
    <w:lvl w:ilvl="0">
      <w:lvlJc w:val="left"/>
      <w:lvlText w:val="%1."/>
      <w:numFmt w:val="decimal"/>
      <w:start w:val="5"/>
    </w:lvl>
    <w:lvl w:ilvl="1">
      <w:lvlJc w:val="left"/>
      <w:lvlText w:val="%2"/>
      <w:numFmt w:val="decimal"/>
      <w:start w:val="1"/>
    </w:lvl>
  </w:abstractNum>
  <w:abstractNum w:abstractNumId="90">
    <w:nsid w:val="7672BD23"/>
    <w:multiLevelType w:val="hybridMultilevel"/>
    <w:lvl w:ilvl="0">
      <w:lvlJc w:val="left"/>
      <w:lvlText w:val="(%1)"/>
      <w:numFmt w:val="decimal"/>
      <w:start w:val="1"/>
    </w:lvl>
  </w:abstractNum>
  <w:abstractNum w:abstractNumId="91">
    <w:nsid w:val="6FC75AF8"/>
    <w:multiLevelType w:val="hybridMultilevel"/>
    <w:lvl w:ilvl="0">
      <w:lvlJc w:val="left"/>
      <w:lvlText w:val="(%1)"/>
      <w:numFmt w:val="decimal"/>
      <w:start w:val="1"/>
    </w:lvl>
  </w:abstractNum>
  <w:abstractNum w:abstractNumId="92">
    <w:nsid w:val="6A5F7029"/>
    <w:multiLevelType w:val="hybridMultilevel"/>
    <w:lvl w:ilvl="0">
      <w:lvlJc w:val="left"/>
      <w:lvlText w:val="%1."/>
      <w:numFmt w:val="decimal"/>
      <w:start w:val="6"/>
    </w:lvl>
  </w:abstractNum>
  <w:abstractNum w:abstractNumId="93">
    <w:nsid w:val="7D5E18F8"/>
    <w:multiLevelType w:val="hybridMultilevel"/>
    <w:lvl w:ilvl="0">
      <w:lvlJc w:val="left"/>
      <w:lvlText w:val="(%1)"/>
      <w:numFmt w:val="decimal"/>
      <w:start w:val="1"/>
    </w:lvl>
  </w:abstractNum>
  <w:abstractNum w:abstractNumId="94">
    <w:nsid w:val="5F3534A4"/>
    <w:multiLevelType w:val="hybridMultilevel"/>
    <w:lvl w:ilvl="0">
      <w:lvlJc w:val="left"/>
      <w:lvlText w:val="(%1)"/>
      <w:numFmt w:val="decimal"/>
      <w:start w:val="1"/>
    </w:lvl>
  </w:abstractNum>
  <w:abstractNum w:abstractNumId="95">
    <w:nsid w:val="73A1821B"/>
    <w:multiLevelType w:val="hybridMultilevel"/>
    <w:lvl w:ilvl="0">
      <w:lvlJc w:val="left"/>
      <w:lvlText w:val="•"/>
      <w:numFmt w:val="bullet"/>
      <w:start w:val="1"/>
    </w:lvl>
  </w:abstractNum>
  <w:abstractNum w:abstractNumId="96">
    <w:nsid w:val="7DE67713"/>
    <w:multiLevelType w:val="hybridMultilevel"/>
    <w:lvl w:ilvl="0">
      <w:lvlJc w:val="left"/>
      <w:lvlText w:val="(%1)"/>
      <w:numFmt w:val="decimal"/>
      <w:start w:val="1"/>
    </w:lvl>
  </w:abstractNum>
  <w:abstractNum w:abstractNumId="97">
    <w:nsid w:val="555C55B5"/>
    <w:multiLevelType w:val="hybridMultilevel"/>
    <w:lvl w:ilvl="0">
      <w:lvlJc w:val="left"/>
      <w:lvlText w:val="(%1)"/>
      <w:numFmt w:val="decimal"/>
      <w:start w:val="1"/>
    </w:lvl>
  </w:abstractNum>
  <w:abstractNum w:abstractNumId="98">
    <w:nsid w:val="3FA62ACA"/>
    <w:multiLevelType w:val="hybridMultilevel"/>
    <w:lvl w:ilvl="0">
      <w:lvlJc w:val="left"/>
      <w:lvlText w:val="%1."/>
      <w:numFmt w:val="decimal"/>
      <w:start w:val="8"/>
    </w:lvl>
  </w:abstractNum>
  <w:abstractNum w:abstractNumId="99">
    <w:nsid w:val="14FCE74E"/>
    <w:multiLevelType w:val="hybridMultilevel"/>
    <w:lvl w:ilvl="0">
      <w:lvlJc w:val="left"/>
      <w:lvlText w:val="(%1)"/>
      <w:numFmt w:val="decimal"/>
      <w:start w:val="1"/>
    </w:lvl>
  </w:abstractNum>
  <w:abstractNum w:abstractNumId="100">
    <w:nsid w:val="6A3DD3E8"/>
    <w:multiLevelType w:val="hybridMultilevel"/>
    <w:lvl w:ilvl="0">
      <w:lvlJc w:val="left"/>
      <w:lvlText w:val="(%1)"/>
      <w:numFmt w:val="lowerRoman"/>
      <w:start w:val="1"/>
    </w:lvl>
  </w:abstractNum>
  <w:abstractNum w:abstractNumId="101">
    <w:nsid w:val="71C91298"/>
    <w:multiLevelType w:val="hybridMultilevel"/>
    <w:lvl w:ilvl="0">
      <w:lvlJc w:val="left"/>
      <w:lvlText w:val="(%1)"/>
      <w:numFmt w:val="decimal"/>
      <w:start w:val="1"/>
    </w:lvl>
  </w:abstractNum>
  <w:abstractNum w:abstractNumId="102">
    <w:nsid w:val="9DAF632"/>
    <w:multiLevelType w:val="hybridMultilevel"/>
    <w:lvl w:ilvl="0">
      <w:lvlJc w:val="left"/>
      <w:lvlText w:val="(%1)"/>
      <w:numFmt w:val="decimal"/>
      <w:start w:val="1"/>
    </w:lvl>
  </w:abstractNum>
  <w:abstractNum w:abstractNumId="103">
    <w:nsid w:val="53299938"/>
    <w:multiLevelType w:val="hybridMultilevel"/>
    <w:lvl w:ilvl="0">
      <w:lvlJc w:val="left"/>
      <w:lvlText w:val="(%1)"/>
      <w:numFmt w:val="decimal"/>
      <w:start w:val="1"/>
    </w:lvl>
  </w:abstractNum>
  <w:abstractNum w:abstractNumId="104">
    <w:nsid w:val="1FBFE8E0"/>
    <w:multiLevelType w:val="hybridMultilevel"/>
    <w:lvl w:ilvl="0">
      <w:lvlJc w:val="left"/>
      <w:lvlText w:val="(%1)"/>
      <w:numFmt w:val="decimal"/>
      <w:start w:val="1"/>
    </w:lvl>
  </w:abstractNum>
  <w:abstractNum w:abstractNumId="105">
    <w:nsid w:val="5092CA79"/>
    <w:multiLevelType w:val="hybridMultilevel"/>
    <w:lvl w:ilvl="0">
      <w:lvlJc w:val="left"/>
      <w:lvlText w:val="(%1)"/>
      <w:numFmt w:val="decimal"/>
      <w:start w:val="1"/>
    </w:lvl>
  </w:abstractNum>
  <w:abstractNum w:abstractNumId="106">
    <w:nsid w:val="1D545C4D"/>
    <w:multiLevelType w:val="hybridMultilevel"/>
    <w:lvl w:ilvl="0">
      <w:lvlJc w:val="left"/>
      <w:lvlText w:val="%1"/>
      <w:numFmt w:val="decimal"/>
      <w:start w:val="3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2025-04-10T16:34:57Z</dcterms:created>
  <dcterms:modified xsi:type="dcterms:W3CDTF">2025-04-10T16:34:57Z</dcterms:modified>
</cp:coreProperties>
</file>